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4489E" w14:textId="06BFBB54" w:rsidR="00310D6B" w:rsidRDefault="00E91357" w:rsidP="00080FC6">
      <w:r>
        <w:rPr>
          <w:noProof/>
        </w:rPr>
        <mc:AlternateContent>
          <mc:Choice Requires="wps">
            <w:drawing>
              <wp:anchor distT="0" distB="0" distL="114300" distR="114300" simplePos="0" relativeHeight="251658240" behindDoc="0" locked="0" layoutInCell="1" allowOverlap="1" wp14:anchorId="1AAE6808" wp14:editId="2FD9C4B6">
                <wp:simplePos x="0" y="0"/>
                <wp:positionH relativeFrom="column">
                  <wp:posOffset>4511040</wp:posOffset>
                </wp:positionH>
                <wp:positionV relativeFrom="paragraph">
                  <wp:posOffset>281940</wp:posOffset>
                </wp:positionV>
                <wp:extent cx="2143125" cy="1207770"/>
                <wp:effectExtent l="0" t="0" r="381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207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F9BCAB" w14:textId="6D36392A" w:rsidR="000F483A" w:rsidRPr="008B0978" w:rsidRDefault="000F483A" w:rsidP="008C66A0">
                            <w:pPr>
                              <w:pStyle w:val="NoSpacing"/>
                              <w:rPr>
                                <w:b/>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AAE6808" id="_x0000_t202" coordsize="21600,21600" o:spt="202" path="m,l,21600r21600,l21600,xe">
                <v:stroke joinstyle="miter"/>
                <v:path gradientshapeok="t" o:connecttype="rect"/>
              </v:shapetype>
              <v:shape id="Text Box 2" o:spid="_x0000_s1026" type="#_x0000_t202" style="position:absolute;margin-left:355.2pt;margin-top:22.2pt;width:168.75pt;height:95.1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" stroked="f">
                <v:textbox style="mso-fit-shape-to-text:t">
                  <w:txbxContent>
                    <w:p w14:paraId="10F9BCAB" w14:textId="6D36392A" w:rsidR="000F483A" w:rsidRPr="008B0978" w:rsidRDefault="000F483A" w:rsidP="008C66A0">
                      <w:pPr>
                        <w:pStyle w:val="NoSpacing"/>
                        <w:rPr>
                          <w:b/>
                          <w:sz w:val="18"/>
                          <w:szCs w:val="18"/>
                        </w:rPr>
                      </w:pPr>
                    </w:p>
                  </w:txbxContent>
                </v:textbox>
              </v:shape>
            </w:pict>
          </mc:Fallback>
        </mc:AlternateContent>
      </w:r>
      <w:bookmarkStart w:id="0" w:name="_Hlk503776811"/>
    </w:p>
    <w:p w14:paraId="6D5C5379" w14:textId="69EBB73E" w:rsidR="00E97D63" w:rsidRDefault="006D1817" w:rsidP="000318C6">
      <w:pPr>
        <w:jc w:val="center"/>
        <w:rPr>
          <w:rFonts w:ascii="Times New Roman" w:hAnsi="Times New Roman"/>
          <w:sz w:val="24"/>
          <w:szCs w:val="24"/>
        </w:rPr>
      </w:pPr>
      <w:r>
        <w:rPr>
          <w:rFonts w:ascii="Times New Roman" w:hAnsi="Times New Roman"/>
          <w:sz w:val="24"/>
          <w:szCs w:val="24"/>
        </w:rPr>
        <w:t>9/</w:t>
      </w:r>
      <w:r w:rsidR="00286FE7">
        <w:rPr>
          <w:rFonts w:ascii="Times New Roman" w:hAnsi="Times New Roman"/>
          <w:sz w:val="24"/>
          <w:szCs w:val="24"/>
        </w:rPr>
        <w:t>4</w:t>
      </w:r>
      <w:r w:rsidR="00BB145E">
        <w:rPr>
          <w:rFonts w:ascii="Times New Roman" w:hAnsi="Times New Roman"/>
          <w:sz w:val="24"/>
          <w:szCs w:val="24"/>
        </w:rPr>
        <w:t>/</w:t>
      </w:r>
      <w:r w:rsidR="00310992">
        <w:rPr>
          <w:rFonts w:ascii="Times New Roman" w:hAnsi="Times New Roman"/>
          <w:sz w:val="24"/>
          <w:szCs w:val="24"/>
        </w:rPr>
        <w:t xml:space="preserve">2026 </w:t>
      </w:r>
      <w:r w:rsidR="00C0703E">
        <w:rPr>
          <w:rFonts w:ascii="Times New Roman" w:hAnsi="Times New Roman"/>
          <w:sz w:val="24"/>
          <w:szCs w:val="24"/>
        </w:rPr>
        <w:t xml:space="preserve"> </w:t>
      </w:r>
      <w:r w:rsidR="00812C71">
        <w:rPr>
          <w:rFonts w:ascii="Times New Roman" w:hAnsi="Times New Roman"/>
          <w:sz w:val="24"/>
          <w:szCs w:val="24"/>
        </w:rPr>
        <w:t xml:space="preserve">  </w:t>
      </w:r>
    </w:p>
    <w:p w14:paraId="01728056" w14:textId="78168CA1" w:rsidR="000318C6" w:rsidRDefault="000318C6" w:rsidP="000318C6">
      <w:pPr>
        <w:jc w:val="center"/>
        <w:rPr>
          <w:rFonts w:ascii="Arial Black" w:hAnsi="Arial Black"/>
          <w:sz w:val="40"/>
          <w:szCs w:val="40"/>
        </w:rPr>
      </w:pPr>
      <w:r>
        <w:rPr>
          <w:rFonts w:ascii="Arial Black" w:hAnsi="Arial Black"/>
          <w:sz w:val="40"/>
          <w:szCs w:val="40"/>
        </w:rPr>
        <w:t>FIRE</w:t>
      </w:r>
      <w:r w:rsidR="00D507CB">
        <w:rPr>
          <w:rFonts w:ascii="Arial Black" w:hAnsi="Arial Black"/>
          <w:sz w:val="40"/>
          <w:szCs w:val="40"/>
        </w:rPr>
        <w:t xml:space="preserve"> &amp; E</w:t>
      </w:r>
      <w:r>
        <w:rPr>
          <w:rFonts w:ascii="Arial Black" w:hAnsi="Arial Black"/>
          <w:sz w:val="40"/>
          <w:szCs w:val="40"/>
        </w:rPr>
        <w:t>MS</w:t>
      </w:r>
      <w:r w:rsidR="00877589">
        <w:rPr>
          <w:rFonts w:ascii="Arial Black" w:hAnsi="Arial Black"/>
          <w:sz w:val="40"/>
          <w:szCs w:val="40"/>
        </w:rPr>
        <w:t xml:space="preserve"> </w:t>
      </w:r>
      <w:r>
        <w:rPr>
          <w:rFonts w:ascii="Arial Black" w:hAnsi="Arial Black"/>
          <w:sz w:val="40"/>
          <w:szCs w:val="40"/>
        </w:rPr>
        <w:t>LAW –</w:t>
      </w:r>
      <w:r w:rsidR="008C6EC1">
        <w:rPr>
          <w:rFonts w:ascii="Arial Black" w:hAnsi="Arial Black"/>
          <w:sz w:val="40"/>
          <w:szCs w:val="40"/>
        </w:rPr>
        <w:t xml:space="preserve"> LIBRARY </w:t>
      </w:r>
      <w:r>
        <w:rPr>
          <w:rFonts w:ascii="Arial Black" w:hAnsi="Arial Black"/>
          <w:sz w:val="40"/>
          <w:szCs w:val="40"/>
        </w:rPr>
        <w:t>RECENT CASE SUMMARIES</w:t>
      </w:r>
    </w:p>
    <w:p w14:paraId="473F7A23" w14:textId="77777777" w:rsidR="00286FE7" w:rsidRPr="00286FE7" w:rsidRDefault="00601F58" w:rsidP="000318C6">
      <w:pPr>
        <w:jc w:val="center"/>
        <w:rPr>
          <w:rFonts w:ascii="Arial Black" w:hAnsi="Arial Black"/>
          <w:color w:val="EE0000"/>
          <w:sz w:val="24"/>
          <w:szCs w:val="24"/>
        </w:rPr>
      </w:pPr>
      <w:r w:rsidRPr="00286FE7">
        <w:rPr>
          <w:rFonts w:ascii="Arial Black" w:hAnsi="Arial Black"/>
          <w:color w:val="EE0000"/>
          <w:sz w:val="24"/>
          <w:szCs w:val="24"/>
        </w:rPr>
        <w:t>SEND ME E-MAIL IF WISH TO RECEIVE MONTHLY FIRE &amp; EMS LAW NEWSLETTERS</w:t>
      </w:r>
    </w:p>
    <w:p w14:paraId="441765E4" w14:textId="77777777" w:rsidR="00286FE7" w:rsidRDefault="00286FE7" w:rsidP="00286FE7">
      <w:pPr>
        <w:pStyle w:val="NoSpacing"/>
        <w:ind w:left="1440" w:firstLine="720"/>
      </w:pPr>
      <w:r w:rsidRPr="00D72CFF">
        <w:rPr>
          <w:rFonts w:ascii="Times New Roman" w:hAnsi="Times New Roman"/>
          <w:bCs/>
          <w:sz w:val="20"/>
          <w:szCs w:val="20"/>
        </w:rPr>
        <w:t xml:space="preserve">Posted online, UC Libraries, </w:t>
      </w:r>
      <w:proofErr w:type="spellStart"/>
      <w:r w:rsidRPr="00D72CFF">
        <w:rPr>
          <w:rFonts w:ascii="Times New Roman" w:hAnsi="Times New Roman"/>
          <w:bCs/>
          <w:sz w:val="20"/>
          <w:szCs w:val="20"/>
        </w:rPr>
        <w:t>Scholar@UC</w:t>
      </w:r>
      <w:proofErr w:type="spellEnd"/>
      <w:r w:rsidRPr="00D72CFF">
        <w:rPr>
          <w:rFonts w:ascii="Times New Roman" w:hAnsi="Times New Roman"/>
          <w:bCs/>
          <w:sz w:val="20"/>
          <w:szCs w:val="20"/>
        </w:rPr>
        <w:t>:</w:t>
      </w:r>
      <w:r>
        <w:rPr>
          <w:rFonts w:ascii="Times New Roman" w:hAnsi="Times New Roman"/>
          <w:bCs/>
          <w:sz w:val="20"/>
          <w:szCs w:val="20"/>
        </w:rPr>
        <w:t xml:space="preserve"> </w:t>
      </w:r>
      <w:hyperlink r:id="rId8" w:history="1">
        <w:r w:rsidRPr="00EE6CD3">
          <w:rPr>
            <w:rStyle w:val="Hyperlink"/>
            <w:sz w:val="20"/>
            <w:szCs w:val="20"/>
          </w:rPr>
          <w:t>https://doi.org/10.7945/j6c2-q930</w:t>
        </w:r>
      </w:hyperlink>
    </w:p>
    <w:p w14:paraId="50ACA542" w14:textId="77777777" w:rsidR="00286FE7" w:rsidRDefault="00286FE7" w:rsidP="00286FE7">
      <w:pPr>
        <w:pStyle w:val="NoSpacing"/>
        <w:ind w:left="1440" w:firstLine="720"/>
      </w:pPr>
    </w:p>
    <w:p w14:paraId="0A4CAF1E" w14:textId="77777777" w:rsidR="00286FE7" w:rsidRDefault="00286FE7" w:rsidP="00286FE7">
      <w:pPr>
        <w:pStyle w:val="NoSpacing"/>
        <w:ind w:left="720"/>
        <w:jc w:val="center"/>
      </w:pPr>
      <w:r w:rsidRPr="00AB532E">
        <w:rPr>
          <w:rFonts w:ascii="Times New Roman" w:hAnsi="Times New Roman"/>
          <w:b/>
          <w:bCs/>
          <w:sz w:val="20"/>
          <w:szCs w:val="20"/>
        </w:rPr>
        <w:t>Also posted: National Fire Academy –</w:t>
      </w:r>
      <w:r w:rsidRPr="00AB532E">
        <w:rPr>
          <w:rStyle w:val="Strong"/>
          <w:rFonts w:ascii="Times New Roman" w:hAnsi="Times New Roman"/>
          <w:sz w:val="20"/>
          <w:szCs w:val="20"/>
        </w:rPr>
        <w:t xml:space="preserve"> National Emergency Training Center Library: </w:t>
      </w:r>
      <w:hyperlink r:id="rId9" w:history="1">
        <w:r w:rsidRPr="00AB532E">
          <w:rPr>
            <w:rStyle w:val="Hyperlink"/>
            <w:rFonts w:ascii="Times New Roman" w:hAnsi="Times New Roman"/>
            <w:sz w:val="20"/>
            <w:szCs w:val="20"/>
          </w:rPr>
          <w:t>https://usfa.bibliovation.com/app/work/255508</w:t>
        </w:r>
      </w:hyperlink>
    </w:p>
    <w:p w14:paraId="5DA170AB" w14:textId="77777777" w:rsidR="00601F58" w:rsidRDefault="00601F58" w:rsidP="00AB532E">
      <w:pPr>
        <w:pStyle w:val="NoSpacing"/>
        <w:ind w:left="720"/>
        <w:jc w:val="center"/>
        <w:rPr>
          <w:rFonts w:ascii="Times New Roman" w:hAnsi="Times New Roman"/>
          <w:sz w:val="20"/>
          <w:szCs w:val="20"/>
        </w:rPr>
      </w:pPr>
    </w:p>
    <w:p w14:paraId="7DDE9128" w14:textId="3797B2F2" w:rsidR="00336514" w:rsidRDefault="00336514" w:rsidP="00336514">
      <w:pPr>
        <w:pStyle w:val="NoSpacing"/>
        <w:ind w:left="2880"/>
        <w:rPr>
          <w:rFonts w:ascii="Arial Black" w:hAnsi="Arial Black"/>
          <w:sz w:val="28"/>
          <w:szCs w:val="28"/>
        </w:rPr>
      </w:pPr>
      <w:r w:rsidRPr="006216EF">
        <w:rPr>
          <w:rFonts w:ascii="Arial Black" w:hAnsi="Arial Black"/>
          <w:sz w:val="28"/>
          <w:szCs w:val="28"/>
        </w:rPr>
        <w:t>NOT PROVIDING LEGAL ADVICE.</w:t>
      </w:r>
    </w:p>
    <w:p w14:paraId="59FC0D6D" w14:textId="77777777" w:rsidR="001C1C3A" w:rsidRDefault="001C1C3A" w:rsidP="00336514">
      <w:pPr>
        <w:pStyle w:val="NoSpacing"/>
        <w:ind w:left="2880"/>
        <w:rPr>
          <w:rFonts w:ascii="Arial Black" w:hAnsi="Arial Black"/>
          <w:sz w:val="28"/>
          <w:szCs w:val="28"/>
        </w:rPr>
      </w:pPr>
    </w:p>
    <w:p w14:paraId="7F7A5763" w14:textId="1714EF1B" w:rsidR="00DA1200" w:rsidRDefault="00DA1200" w:rsidP="00601F58">
      <w:pPr>
        <w:pStyle w:val="p0"/>
        <w:ind w:left="2160"/>
        <w:rPr>
          <w:b/>
          <w:bCs/>
          <w:sz w:val="16"/>
          <w:szCs w:val="16"/>
        </w:rPr>
      </w:pPr>
      <w:r>
        <w:rPr>
          <w:b/>
          <w:bCs/>
        </w:rPr>
        <w:t xml:space="preserve">      </w:t>
      </w:r>
      <w:r w:rsidRPr="00492302">
        <w:rPr>
          <w:bCs/>
          <w:noProof/>
        </w:rPr>
        <w:drawing>
          <wp:inline distT="0" distB="0" distL="0" distR="0" wp14:anchorId="210DB762" wp14:editId="2640F1B6">
            <wp:extent cx="1554480" cy="1630680"/>
            <wp:effectExtent l="0" t="0" r="0" b="0"/>
            <wp:docPr id="618278438" name="Picture 1" descr="A person holding a d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erson holding a dog&#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4480" cy="1630680"/>
                    </a:xfrm>
                    <a:prstGeom prst="rect">
                      <a:avLst/>
                    </a:prstGeom>
                    <a:noFill/>
                    <a:ln>
                      <a:noFill/>
                    </a:ln>
                  </pic:spPr>
                </pic:pic>
              </a:graphicData>
            </a:graphic>
          </wp:inline>
        </w:drawing>
      </w:r>
      <w:r w:rsidR="00601F58" w:rsidRPr="00E87FC9">
        <w:rPr>
          <w:noProof/>
        </w:rPr>
        <w:drawing>
          <wp:inline distT="0" distB="0" distL="0" distR="0" wp14:anchorId="192590F0" wp14:editId="705B0E98">
            <wp:extent cx="1638300" cy="1612398"/>
            <wp:effectExtent l="0" t="0" r="0" b="0"/>
            <wp:docPr id="1617325897" name="Picture 12" descr="A firefighter wearing a ma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636339" name="Picture 12" descr="A firefighter wearing a mask&#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6207" cy="1630021"/>
                    </a:xfrm>
                    <a:prstGeom prst="rect">
                      <a:avLst/>
                    </a:prstGeom>
                    <a:noFill/>
                    <a:ln>
                      <a:noFill/>
                    </a:ln>
                  </pic:spPr>
                </pic:pic>
              </a:graphicData>
            </a:graphic>
          </wp:inline>
        </w:drawing>
      </w:r>
    </w:p>
    <w:p w14:paraId="2D9637BB" w14:textId="77777777" w:rsidR="002E2775" w:rsidRPr="00E203E2" w:rsidRDefault="002E2775" w:rsidP="002E2775">
      <w:pPr>
        <w:pStyle w:val="NoSpacing"/>
        <w:ind w:left="720" w:firstLine="720"/>
        <w:jc w:val="center"/>
        <w:rPr>
          <w:sz w:val="20"/>
          <w:szCs w:val="20"/>
        </w:rPr>
      </w:pPr>
      <w:r w:rsidRPr="00E203E2">
        <w:rPr>
          <w:sz w:val="20"/>
          <w:szCs w:val="20"/>
        </w:rPr>
        <w:t>Former Vol FF / EMT; Now Pet Therapy - 3 Dispatch Centers</w:t>
      </w:r>
      <w:r>
        <w:rPr>
          <w:sz w:val="20"/>
          <w:szCs w:val="20"/>
        </w:rPr>
        <w:t>. 4 EDs</w:t>
      </w:r>
      <w:r w:rsidRPr="00E203E2">
        <w:rPr>
          <w:sz w:val="20"/>
          <w:szCs w:val="20"/>
        </w:rPr>
        <w:t xml:space="preserve"> with “FRYE”</w:t>
      </w:r>
    </w:p>
    <w:p w14:paraId="205294EC" w14:textId="77777777" w:rsidR="008E3395" w:rsidRPr="008E3395" w:rsidRDefault="008E3395" w:rsidP="008E3395"/>
    <w:p w14:paraId="5D3C60EC" w14:textId="3D322CDE" w:rsidR="00327B64" w:rsidRDefault="006C14C0" w:rsidP="00601F58">
      <w:pPr>
        <w:ind w:firstLine="720"/>
        <w:jc w:val="center"/>
        <w:rPr>
          <w:rStyle w:val="Strong"/>
          <w:b w:val="0"/>
        </w:rPr>
      </w:pPr>
      <w:r>
        <w:rPr>
          <w:noProof/>
        </w:rPr>
        <w:drawing>
          <wp:inline distT="0" distB="0" distL="0" distR="0" wp14:anchorId="671DD1C9" wp14:editId="2DAAC41A">
            <wp:extent cx="1172046" cy="1562100"/>
            <wp:effectExtent l="0" t="0" r="9525" b="0"/>
            <wp:docPr id="1143274283" name="Picture 1" descr="Fire Service Law:  by Lawrence T. Benn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e Service Law:  by Lawrence T. Bennet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2210" cy="1602303"/>
                    </a:xfrm>
                    <a:prstGeom prst="rect">
                      <a:avLst/>
                    </a:prstGeom>
                    <a:noFill/>
                    <a:ln>
                      <a:noFill/>
                    </a:ln>
                  </pic:spPr>
                </pic:pic>
              </a:graphicData>
            </a:graphic>
          </wp:inline>
        </w:drawing>
      </w:r>
    </w:p>
    <w:p w14:paraId="685461D8" w14:textId="78880B6F" w:rsidR="001C1C3A" w:rsidRPr="001C1C3A" w:rsidRDefault="001C1C3A" w:rsidP="008D7007">
      <w:pPr>
        <w:pStyle w:val="NoSpacing"/>
      </w:pPr>
      <w:r w:rsidRPr="00E7637D">
        <w:t>Updating 18 chapters of my textbook</w:t>
      </w:r>
      <w:r w:rsidR="00C134B7">
        <w:t xml:space="preserve">: </w:t>
      </w:r>
      <w:r w:rsidRPr="00E7637D">
        <w:t>Fire Service Law (2017)</w:t>
      </w:r>
      <w:r w:rsidR="00D4353F">
        <w:t>:</w:t>
      </w:r>
      <w:hyperlink r:id="rId13" w:history="1">
        <w:r w:rsidRPr="00E7637D">
          <w:rPr>
            <w:rStyle w:val="Hyperlink"/>
            <w:rFonts w:ascii="Times New Roman" w:hAnsi="Times New Roman"/>
            <w:bCs/>
            <w:szCs w:val="20"/>
          </w:rPr>
          <w:t>http://www.waveland.com/browse.php?t=708</w:t>
        </w:r>
      </w:hyperlink>
    </w:p>
    <w:p w14:paraId="38451120" w14:textId="77777777" w:rsidR="001C1C3A" w:rsidRDefault="001C1C3A" w:rsidP="004E6CA7">
      <w:pPr>
        <w:pStyle w:val="NoSpacing"/>
        <w:jc w:val="center"/>
        <w:rPr>
          <w:rFonts w:ascii="Times New Roman" w:hAnsi="Times New Roman"/>
          <w:sz w:val="24"/>
          <w:szCs w:val="24"/>
        </w:rPr>
      </w:pPr>
    </w:p>
    <w:p w14:paraId="353FA1A8" w14:textId="3B153954" w:rsidR="004E6CA7" w:rsidRDefault="004E6CA7" w:rsidP="004E6CA7">
      <w:pPr>
        <w:pStyle w:val="NoSpacing"/>
        <w:jc w:val="center"/>
        <w:rPr>
          <w:rFonts w:ascii="Times New Roman" w:hAnsi="Times New Roman"/>
          <w:sz w:val="24"/>
          <w:szCs w:val="24"/>
        </w:rPr>
      </w:pPr>
      <w:r w:rsidRPr="00403244">
        <w:rPr>
          <w:rFonts w:ascii="Times New Roman" w:hAnsi="Times New Roman"/>
          <w:sz w:val="24"/>
          <w:szCs w:val="24"/>
        </w:rPr>
        <w:t>Lawrence T. Bennett, Esq.</w:t>
      </w:r>
    </w:p>
    <w:p w14:paraId="65297302" w14:textId="77777777" w:rsidR="004E6CA7" w:rsidRPr="00403244" w:rsidRDefault="004E6CA7" w:rsidP="004E6CA7">
      <w:pPr>
        <w:pStyle w:val="NoSpacing"/>
        <w:jc w:val="center"/>
        <w:rPr>
          <w:rFonts w:ascii="Times New Roman" w:hAnsi="Times New Roman"/>
          <w:sz w:val="24"/>
          <w:szCs w:val="24"/>
        </w:rPr>
      </w:pPr>
      <w:r>
        <w:rPr>
          <w:rFonts w:ascii="Times New Roman" w:hAnsi="Times New Roman"/>
          <w:sz w:val="24"/>
          <w:szCs w:val="24"/>
        </w:rPr>
        <w:t>Professor – Educator Emeritus</w:t>
      </w:r>
    </w:p>
    <w:p w14:paraId="022E10C9" w14:textId="27CE8FC9" w:rsidR="004E6CA7" w:rsidRPr="00403244" w:rsidRDefault="00684B8D" w:rsidP="004E6CA7">
      <w:pPr>
        <w:pStyle w:val="NoSpacing"/>
        <w:jc w:val="center"/>
        <w:rPr>
          <w:rFonts w:ascii="Times New Roman" w:hAnsi="Times New Roman"/>
          <w:sz w:val="24"/>
          <w:szCs w:val="24"/>
        </w:rPr>
      </w:pPr>
      <w:r>
        <w:rPr>
          <w:rFonts w:ascii="Times New Roman" w:hAnsi="Times New Roman"/>
          <w:sz w:val="24"/>
          <w:szCs w:val="24"/>
        </w:rPr>
        <w:t xml:space="preserve">Former </w:t>
      </w:r>
      <w:r w:rsidR="004E6CA7" w:rsidRPr="00403244">
        <w:rPr>
          <w:rFonts w:ascii="Times New Roman" w:hAnsi="Times New Roman"/>
          <w:sz w:val="24"/>
          <w:szCs w:val="24"/>
        </w:rPr>
        <w:t>Program Chair</w:t>
      </w:r>
    </w:p>
    <w:p w14:paraId="3C46A891" w14:textId="77777777" w:rsidR="004E6CA7" w:rsidRPr="00403244" w:rsidRDefault="004E6CA7" w:rsidP="004E6CA7">
      <w:pPr>
        <w:pStyle w:val="NoSpacing"/>
        <w:jc w:val="center"/>
        <w:rPr>
          <w:rFonts w:ascii="Times New Roman" w:hAnsi="Times New Roman"/>
          <w:sz w:val="24"/>
          <w:szCs w:val="24"/>
        </w:rPr>
      </w:pPr>
      <w:r w:rsidRPr="00403244">
        <w:rPr>
          <w:rFonts w:ascii="Times New Roman" w:hAnsi="Times New Roman"/>
          <w:sz w:val="24"/>
          <w:szCs w:val="24"/>
        </w:rPr>
        <w:t>Fire Science &amp; Emergency Management</w:t>
      </w:r>
    </w:p>
    <w:p w14:paraId="7DBD8955" w14:textId="77777777" w:rsidR="004E6CA7" w:rsidRPr="00403244" w:rsidRDefault="004E6CA7" w:rsidP="004E6CA7">
      <w:pPr>
        <w:pStyle w:val="NoSpacing"/>
        <w:jc w:val="center"/>
        <w:rPr>
          <w:rFonts w:ascii="Times New Roman" w:hAnsi="Times New Roman"/>
          <w:sz w:val="24"/>
          <w:szCs w:val="24"/>
        </w:rPr>
      </w:pPr>
      <w:r w:rsidRPr="00403244">
        <w:rPr>
          <w:rFonts w:ascii="Times New Roman" w:hAnsi="Times New Roman"/>
          <w:sz w:val="24"/>
          <w:szCs w:val="24"/>
        </w:rPr>
        <w:t>Cell 513-470-2744</w:t>
      </w:r>
    </w:p>
    <w:p w14:paraId="6B4A7DBC" w14:textId="77777777" w:rsidR="004E6CA7" w:rsidRDefault="004E6CA7" w:rsidP="004E6CA7">
      <w:pPr>
        <w:pStyle w:val="NoSpacing"/>
        <w:jc w:val="center"/>
      </w:pPr>
      <w:hyperlink r:id="rId14" w:history="1">
        <w:r w:rsidRPr="00403244">
          <w:rPr>
            <w:rStyle w:val="Hyperlink"/>
            <w:rFonts w:ascii="Times New Roman" w:hAnsi="Times New Roman"/>
            <w:sz w:val="24"/>
            <w:szCs w:val="24"/>
          </w:rPr>
          <w:t>Lawrence.bennett@uc.edu</w:t>
        </w:r>
      </w:hyperlink>
    </w:p>
    <w:p w14:paraId="07589320" w14:textId="77777777" w:rsidR="00552763" w:rsidRDefault="00552763" w:rsidP="004E6CA7">
      <w:pPr>
        <w:pStyle w:val="NoSpacing"/>
        <w:jc w:val="center"/>
      </w:pPr>
    </w:p>
    <w:p w14:paraId="35FCA165" w14:textId="77777777" w:rsidR="002E2775" w:rsidRDefault="002E2775" w:rsidP="004E6CA7">
      <w:pPr>
        <w:pStyle w:val="NoSpacing"/>
        <w:jc w:val="center"/>
        <w:rPr>
          <w:rFonts w:ascii="Times New Roman" w:hAnsi="Times New Roman"/>
          <w:b/>
          <w:bCs/>
          <w:color w:val="EE0000"/>
          <w:sz w:val="24"/>
          <w:szCs w:val="24"/>
        </w:rPr>
      </w:pPr>
    </w:p>
    <w:p w14:paraId="5F3006ED" w14:textId="048D2622" w:rsidR="00552763" w:rsidRPr="002E2775" w:rsidRDefault="00286FE7" w:rsidP="004E6CA7">
      <w:pPr>
        <w:pStyle w:val="NoSpacing"/>
        <w:jc w:val="center"/>
        <w:rPr>
          <w:rFonts w:ascii="Arial Black" w:hAnsi="Arial Black"/>
          <w:b/>
          <w:bCs/>
          <w:color w:val="EE0000"/>
          <w:sz w:val="28"/>
          <w:szCs w:val="28"/>
        </w:rPr>
      </w:pPr>
      <w:r w:rsidRPr="002E2775">
        <w:rPr>
          <w:rFonts w:ascii="Arial Black" w:hAnsi="Arial Black"/>
          <w:b/>
          <w:bCs/>
          <w:color w:val="EE0000"/>
          <w:sz w:val="28"/>
          <w:szCs w:val="28"/>
        </w:rPr>
        <w:lastRenderedPageBreak/>
        <w:t xml:space="preserve">2018 – Present: </w:t>
      </w:r>
      <w:r w:rsidR="00552763" w:rsidRPr="002E2775">
        <w:rPr>
          <w:rFonts w:ascii="Arial Black" w:hAnsi="Arial Black"/>
          <w:b/>
          <w:bCs/>
          <w:color w:val="EE0000"/>
          <w:sz w:val="28"/>
          <w:szCs w:val="28"/>
        </w:rPr>
        <w:t>1,</w:t>
      </w:r>
      <w:r w:rsidR="00BB5B4E" w:rsidRPr="002E2775">
        <w:rPr>
          <w:rFonts w:ascii="Arial Black" w:hAnsi="Arial Black"/>
          <w:b/>
          <w:bCs/>
          <w:color w:val="EE0000"/>
          <w:sz w:val="28"/>
          <w:szCs w:val="28"/>
        </w:rPr>
        <w:t>753 Case Reviews</w:t>
      </w:r>
    </w:p>
    <w:p w14:paraId="5D83A70E" w14:textId="77777777" w:rsidR="00B921CF" w:rsidRDefault="00B921CF" w:rsidP="004E6CA7">
      <w:pPr>
        <w:pStyle w:val="NoSpacing"/>
        <w:jc w:val="center"/>
      </w:pPr>
    </w:p>
    <w:p w14:paraId="630A6671" w14:textId="34E90852" w:rsidR="00F326E5" w:rsidRPr="00105EF2"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1</w:t>
      </w:r>
      <w:r w:rsidR="00F22A0D">
        <w:rPr>
          <w:rFonts w:ascii="Times New Roman" w:hAnsi="Times New Roman"/>
          <w:b/>
          <w:sz w:val="24"/>
          <w:szCs w:val="24"/>
        </w:rPr>
        <w:tab/>
      </w:r>
      <w:r w:rsidRPr="00F22A0D">
        <w:rPr>
          <w:rFonts w:ascii="Times New Roman" w:hAnsi="Times New Roman"/>
          <w:b/>
          <w:sz w:val="24"/>
          <w:szCs w:val="24"/>
        </w:rPr>
        <w:t>American Legal System</w:t>
      </w:r>
      <w:r w:rsidR="003F660F" w:rsidRPr="00F22A0D">
        <w:rPr>
          <w:rFonts w:ascii="Times New Roman" w:hAnsi="Times New Roman"/>
          <w:b/>
          <w:sz w:val="24"/>
          <w:szCs w:val="24"/>
        </w:rPr>
        <w:t xml:space="preserve">, incl. Fire Code, Fire Invest. </w:t>
      </w:r>
      <w:r w:rsidR="00636395" w:rsidRPr="00F22A0D">
        <w:rPr>
          <w:rFonts w:ascii="Times New Roman" w:hAnsi="Times New Roman"/>
          <w:b/>
          <w:sz w:val="24"/>
          <w:szCs w:val="24"/>
        </w:rPr>
        <w:t xml:space="preserve"> </w:t>
      </w:r>
      <w:r w:rsidRPr="00F22A0D">
        <w:rPr>
          <w:rFonts w:ascii="Times New Roman" w:hAnsi="Times New Roman"/>
          <w:b/>
          <w:sz w:val="24"/>
          <w:szCs w:val="24"/>
        </w:rPr>
        <w:t xml:space="preserve">   </w:t>
      </w:r>
      <w:r w:rsidR="00105EF2">
        <w:rPr>
          <w:rFonts w:ascii="Times New Roman" w:hAnsi="Times New Roman"/>
          <w:b/>
          <w:sz w:val="24"/>
          <w:szCs w:val="24"/>
        </w:rPr>
        <w:t xml:space="preserve"> </w:t>
      </w:r>
      <w:r w:rsidR="00105EF2">
        <w:rPr>
          <w:rFonts w:ascii="Times New Roman" w:hAnsi="Times New Roman"/>
          <w:b/>
          <w:sz w:val="24"/>
          <w:szCs w:val="24"/>
        </w:rPr>
        <w:tab/>
      </w:r>
      <w:r w:rsidR="00105EF2">
        <w:rPr>
          <w:rFonts w:ascii="Times New Roman" w:hAnsi="Times New Roman"/>
          <w:b/>
          <w:sz w:val="24"/>
          <w:szCs w:val="24"/>
        </w:rPr>
        <w:tab/>
      </w:r>
      <w:r w:rsidR="00105EF2">
        <w:rPr>
          <w:rFonts w:ascii="Times New Roman" w:hAnsi="Times New Roman"/>
          <w:b/>
          <w:sz w:val="24"/>
          <w:szCs w:val="24"/>
        </w:rPr>
        <w:tab/>
      </w:r>
      <w:r w:rsidR="00105EF2" w:rsidRPr="00105EF2">
        <w:rPr>
          <w:rFonts w:ascii="Times New Roman" w:hAnsi="Times New Roman"/>
          <w:b/>
          <w:color w:val="EE0000"/>
          <w:sz w:val="24"/>
          <w:szCs w:val="24"/>
        </w:rPr>
        <w:t>2</w:t>
      </w:r>
      <w:r w:rsidR="00E16BDA">
        <w:rPr>
          <w:rFonts w:ascii="Times New Roman" w:hAnsi="Times New Roman"/>
          <w:b/>
          <w:color w:val="EE0000"/>
          <w:sz w:val="24"/>
          <w:szCs w:val="24"/>
        </w:rPr>
        <w:t>2</w:t>
      </w:r>
      <w:r w:rsidR="0050742B">
        <w:rPr>
          <w:rFonts w:ascii="Times New Roman" w:hAnsi="Times New Roman"/>
          <w:b/>
          <w:color w:val="EE0000"/>
          <w:sz w:val="24"/>
          <w:szCs w:val="24"/>
        </w:rPr>
        <w:t>3</w:t>
      </w:r>
      <w:r w:rsidR="00105EF2" w:rsidRPr="00105EF2">
        <w:rPr>
          <w:rFonts w:ascii="Times New Roman" w:hAnsi="Times New Roman"/>
          <w:b/>
          <w:color w:val="EE0000"/>
          <w:sz w:val="24"/>
          <w:szCs w:val="24"/>
        </w:rPr>
        <w:t xml:space="preserve"> cases</w:t>
      </w:r>
    </w:p>
    <w:p w14:paraId="2108EABF" w14:textId="02455C5C" w:rsidR="00F326E5" w:rsidRPr="00F22A0D" w:rsidRDefault="00F326E5" w:rsidP="00F326E5">
      <w:pPr>
        <w:pStyle w:val="NoSpacing"/>
        <w:rPr>
          <w:rFonts w:ascii="Times New Roman" w:hAnsi="Times New Roman"/>
          <w:b/>
          <w:sz w:val="24"/>
          <w:szCs w:val="24"/>
        </w:rPr>
      </w:pPr>
      <w:r w:rsidRPr="00F22A0D">
        <w:rPr>
          <w:rFonts w:ascii="Times New Roman" w:hAnsi="Times New Roman"/>
          <w:b/>
          <w:sz w:val="24"/>
          <w:szCs w:val="24"/>
        </w:rPr>
        <w:t>Chap. 2</w:t>
      </w:r>
      <w:r w:rsidRPr="00F22A0D">
        <w:rPr>
          <w:rFonts w:ascii="Times New Roman" w:hAnsi="Times New Roman"/>
          <w:b/>
          <w:sz w:val="24"/>
          <w:szCs w:val="24"/>
        </w:rPr>
        <w:tab/>
        <w:t xml:space="preserve">Line </w:t>
      </w:r>
      <w:proofErr w:type="gramStart"/>
      <w:r w:rsidRPr="00F22A0D">
        <w:rPr>
          <w:rFonts w:ascii="Times New Roman" w:hAnsi="Times New Roman"/>
          <w:b/>
          <w:sz w:val="24"/>
          <w:szCs w:val="24"/>
        </w:rPr>
        <w:t>Of</w:t>
      </w:r>
      <w:proofErr w:type="gramEnd"/>
      <w:r w:rsidRPr="00F22A0D">
        <w:rPr>
          <w:rFonts w:ascii="Times New Roman" w:hAnsi="Times New Roman"/>
          <w:b/>
          <w:sz w:val="24"/>
          <w:szCs w:val="24"/>
        </w:rPr>
        <w:t xml:space="preserve"> Duty Death</w:t>
      </w:r>
      <w:r w:rsidR="00636395" w:rsidRPr="00F22A0D">
        <w:rPr>
          <w:rFonts w:ascii="Times New Roman" w:hAnsi="Times New Roman"/>
          <w:b/>
          <w:sz w:val="24"/>
          <w:szCs w:val="24"/>
        </w:rPr>
        <w:t xml:space="preserve"> / </w:t>
      </w:r>
      <w:r w:rsidRPr="00F22A0D">
        <w:rPr>
          <w:rFonts w:ascii="Times New Roman" w:hAnsi="Times New Roman"/>
          <w:b/>
          <w:sz w:val="24"/>
          <w:szCs w:val="24"/>
        </w:rPr>
        <w:t>Safety</w:t>
      </w:r>
      <w:r w:rsidR="00105EF2">
        <w:rPr>
          <w:rFonts w:ascii="Times New Roman" w:hAnsi="Times New Roman"/>
          <w:b/>
          <w:sz w:val="24"/>
          <w:szCs w:val="24"/>
        </w:rPr>
        <w:tab/>
      </w:r>
      <w:r w:rsidR="00105EF2">
        <w:rPr>
          <w:rFonts w:ascii="Times New Roman" w:hAnsi="Times New Roman"/>
          <w:b/>
          <w:sz w:val="24"/>
          <w:szCs w:val="24"/>
        </w:rPr>
        <w:tab/>
      </w:r>
      <w:r w:rsidR="00105EF2">
        <w:rPr>
          <w:rFonts w:ascii="Times New Roman" w:hAnsi="Times New Roman"/>
          <w:b/>
          <w:sz w:val="24"/>
          <w:szCs w:val="24"/>
        </w:rPr>
        <w:tab/>
      </w:r>
      <w:r w:rsidR="00105EF2">
        <w:rPr>
          <w:rFonts w:ascii="Times New Roman" w:hAnsi="Times New Roman"/>
          <w:b/>
          <w:sz w:val="24"/>
          <w:szCs w:val="24"/>
        </w:rPr>
        <w:tab/>
      </w:r>
      <w:r w:rsidR="00105EF2">
        <w:rPr>
          <w:rFonts w:ascii="Times New Roman" w:hAnsi="Times New Roman"/>
          <w:b/>
          <w:sz w:val="24"/>
          <w:szCs w:val="24"/>
        </w:rPr>
        <w:tab/>
      </w:r>
      <w:r w:rsidR="00105EF2">
        <w:rPr>
          <w:rFonts w:ascii="Times New Roman" w:hAnsi="Times New Roman"/>
          <w:b/>
          <w:sz w:val="24"/>
          <w:szCs w:val="24"/>
        </w:rPr>
        <w:tab/>
      </w:r>
      <w:r w:rsidR="00105EF2">
        <w:rPr>
          <w:rFonts w:ascii="Times New Roman" w:hAnsi="Times New Roman"/>
          <w:b/>
          <w:sz w:val="24"/>
          <w:szCs w:val="24"/>
        </w:rPr>
        <w:tab/>
      </w:r>
      <w:r w:rsidR="00597923" w:rsidRPr="00597923">
        <w:rPr>
          <w:rFonts w:ascii="Times New Roman" w:hAnsi="Times New Roman"/>
          <w:b/>
          <w:color w:val="EE0000"/>
          <w:sz w:val="24"/>
          <w:szCs w:val="24"/>
        </w:rPr>
        <w:t>1</w:t>
      </w:r>
      <w:r w:rsidR="00CA73AA">
        <w:rPr>
          <w:rFonts w:ascii="Times New Roman" w:hAnsi="Times New Roman"/>
          <w:b/>
          <w:color w:val="EE0000"/>
          <w:sz w:val="24"/>
          <w:szCs w:val="24"/>
        </w:rPr>
        <w:t>1</w:t>
      </w:r>
      <w:r w:rsidR="00ED5F90">
        <w:rPr>
          <w:rFonts w:ascii="Times New Roman" w:hAnsi="Times New Roman"/>
          <w:b/>
          <w:color w:val="EE0000"/>
          <w:sz w:val="24"/>
          <w:szCs w:val="24"/>
        </w:rPr>
        <w:t>9</w:t>
      </w:r>
      <w:r w:rsidR="00597923" w:rsidRPr="00597923">
        <w:rPr>
          <w:rFonts w:ascii="Times New Roman" w:hAnsi="Times New Roman"/>
          <w:b/>
          <w:color w:val="EE0000"/>
          <w:sz w:val="24"/>
          <w:szCs w:val="24"/>
        </w:rPr>
        <w:t xml:space="preserve"> cases</w:t>
      </w:r>
      <w:r w:rsidR="00105EF2">
        <w:rPr>
          <w:rFonts w:ascii="Times New Roman" w:hAnsi="Times New Roman"/>
          <w:b/>
          <w:sz w:val="24"/>
          <w:szCs w:val="24"/>
        </w:rPr>
        <w:tab/>
      </w:r>
      <w:r w:rsidR="00105EF2">
        <w:rPr>
          <w:rFonts w:ascii="Times New Roman" w:hAnsi="Times New Roman"/>
          <w:b/>
          <w:sz w:val="24"/>
          <w:szCs w:val="24"/>
        </w:rPr>
        <w:tab/>
      </w:r>
    </w:p>
    <w:p w14:paraId="6E22783A" w14:textId="7DE34396" w:rsidR="00F326E5" w:rsidRPr="00597923"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3</w:t>
      </w:r>
      <w:r w:rsidRPr="00F22A0D">
        <w:rPr>
          <w:rFonts w:ascii="Times New Roman" w:hAnsi="Times New Roman"/>
          <w:b/>
          <w:sz w:val="24"/>
          <w:szCs w:val="24"/>
        </w:rPr>
        <w:tab/>
        <w:t>Homeland Security</w:t>
      </w:r>
      <w:r w:rsidR="003F660F" w:rsidRPr="00F22A0D">
        <w:rPr>
          <w:rFonts w:ascii="Times New Roman" w:hAnsi="Times New Roman"/>
          <w:b/>
          <w:sz w:val="24"/>
          <w:szCs w:val="24"/>
        </w:rPr>
        <w:t>, incl.</w:t>
      </w:r>
      <w:r w:rsidR="00636395" w:rsidRPr="00F22A0D">
        <w:rPr>
          <w:rFonts w:ascii="Times New Roman" w:hAnsi="Times New Roman"/>
          <w:b/>
          <w:sz w:val="24"/>
          <w:szCs w:val="24"/>
        </w:rPr>
        <w:t xml:space="preserve"> </w:t>
      </w:r>
      <w:r w:rsidRPr="00F22A0D">
        <w:rPr>
          <w:rFonts w:ascii="Times New Roman" w:hAnsi="Times New Roman"/>
          <w:b/>
          <w:sz w:val="24"/>
          <w:szCs w:val="24"/>
        </w:rPr>
        <w:t>Active Shooter</w:t>
      </w:r>
      <w:r w:rsidR="003F660F" w:rsidRPr="00F22A0D">
        <w:rPr>
          <w:rFonts w:ascii="Times New Roman" w:hAnsi="Times New Roman"/>
          <w:b/>
          <w:sz w:val="24"/>
          <w:szCs w:val="24"/>
        </w:rPr>
        <w:t xml:space="preserve">, </w:t>
      </w:r>
      <w:r w:rsidR="00636395" w:rsidRPr="00F22A0D">
        <w:rPr>
          <w:rFonts w:ascii="Times New Roman" w:hAnsi="Times New Roman"/>
          <w:b/>
          <w:sz w:val="24"/>
          <w:szCs w:val="24"/>
        </w:rPr>
        <w:t>Cybersecurity</w:t>
      </w:r>
      <w:r w:rsidR="00B7693D">
        <w:rPr>
          <w:rFonts w:ascii="Times New Roman" w:hAnsi="Times New Roman"/>
          <w:b/>
          <w:sz w:val="24"/>
          <w:szCs w:val="24"/>
        </w:rPr>
        <w:tab/>
      </w:r>
      <w:r w:rsidR="00B7693D">
        <w:rPr>
          <w:rFonts w:ascii="Times New Roman" w:hAnsi="Times New Roman"/>
          <w:b/>
          <w:sz w:val="24"/>
          <w:szCs w:val="24"/>
        </w:rPr>
        <w:tab/>
      </w:r>
      <w:r w:rsidR="00597923">
        <w:rPr>
          <w:rFonts w:ascii="Times New Roman" w:hAnsi="Times New Roman"/>
          <w:b/>
          <w:sz w:val="24"/>
          <w:szCs w:val="24"/>
        </w:rPr>
        <w:tab/>
      </w:r>
      <w:r w:rsidR="00CA73AA">
        <w:rPr>
          <w:rFonts w:ascii="Times New Roman" w:hAnsi="Times New Roman"/>
          <w:b/>
          <w:color w:val="EE0000"/>
          <w:sz w:val="24"/>
          <w:szCs w:val="24"/>
        </w:rPr>
        <w:t>9</w:t>
      </w:r>
      <w:r w:rsidR="00B8435D">
        <w:rPr>
          <w:rFonts w:ascii="Times New Roman" w:hAnsi="Times New Roman"/>
          <w:b/>
          <w:color w:val="EE0000"/>
          <w:sz w:val="24"/>
          <w:szCs w:val="24"/>
        </w:rPr>
        <w:t>5</w:t>
      </w:r>
      <w:r w:rsidR="00597923" w:rsidRPr="00597923">
        <w:rPr>
          <w:rFonts w:ascii="Times New Roman" w:hAnsi="Times New Roman"/>
          <w:b/>
          <w:color w:val="EE0000"/>
          <w:sz w:val="24"/>
          <w:szCs w:val="24"/>
        </w:rPr>
        <w:t xml:space="preserve"> cases</w:t>
      </w:r>
    </w:p>
    <w:p w14:paraId="3B6B36EA" w14:textId="5721B604" w:rsidR="00F326E5" w:rsidRPr="0076241C"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4</w:t>
      </w:r>
      <w:r w:rsidRPr="00F22A0D">
        <w:rPr>
          <w:rFonts w:ascii="Times New Roman" w:hAnsi="Times New Roman"/>
          <w:b/>
          <w:sz w:val="24"/>
          <w:szCs w:val="24"/>
        </w:rPr>
        <w:tab/>
        <w:t>Incident Command</w:t>
      </w:r>
      <w:r w:rsidR="003F660F" w:rsidRPr="00F22A0D">
        <w:rPr>
          <w:rFonts w:ascii="Times New Roman" w:hAnsi="Times New Roman"/>
          <w:b/>
          <w:sz w:val="24"/>
          <w:szCs w:val="24"/>
        </w:rPr>
        <w:t xml:space="preserve">, incl </w:t>
      </w:r>
      <w:r w:rsidRPr="00F22A0D">
        <w:rPr>
          <w:rFonts w:ascii="Times New Roman" w:hAnsi="Times New Roman"/>
          <w:b/>
          <w:sz w:val="24"/>
          <w:szCs w:val="24"/>
        </w:rPr>
        <w:t>Training</w:t>
      </w:r>
      <w:r w:rsidR="003F660F" w:rsidRPr="00F22A0D">
        <w:rPr>
          <w:rFonts w:ascii="Times New Roman" w:hAnsi="Times New Roman"/>
          <w:b/>
          <w:sz w:val="24"/>
          <w:szCs w:val="24"/>
        </w:rPr>
        <w:t xml:space="preserve">, </w:t>
      </w:r>
      <w:r w:rsidRPr="00F22A0D">
        <w:rPr>
          <w:rFonts w:ascii="Times New Roman" w:hAnsi="Times New Roman"/>
          <w:b/>
          <w:sz w:val="24"/>
          <w:szCs w:val="24"/>
        </w:rPr>
        <w:t>Drones</w:t>
      </w:r>
      <w:r w:rsidR="00597923">
        <w:rPr>
          <w:rFonts w:ascii="Times New Roman" w:hAnsi="Times New Roman"/>
          <w:b/>
          <w:sz w:val="24"/>
          <w:szCs w:val="24"/>
        </w:rPr>
        <w:tab/>
      </w:r>
      <w:r w:rsidR="00597923">
        <w:rPr>
          <w:rFonts w:ascii="Times New Roman" w:hAnsi="Times New Roman"/>
          <w:b/>
          <w:sz w:val="24"/>
          <w:szCs w:val="24"/>
        </w:rPr>
        <w:tab/>
      </w:r>
      <w:r w:rsidR="00597923">
        <w:rPr>
          <w:rFonts w:ascii="Times New Roman" w:hAnsi="Times New Roman"/>
          <w:b/>
          <w:sz w:val="24"/>
          <w:szCs w:val="24"/>
        </w:rPr>
        <w:tab/>
      </w:r>
      <w:r w:rsidR="00597923">
        <w:rPr>
          <w:rFonts w:ascii="Times New Roman" w:hAnsi="Times New Roman"/>
          <w:b/>
          <w:sz w:val="24"/>
          <w:szCs w:val="24"/>
        </w:rPr>
        <w:tab/>
      </w:r>
      <w:r w:rsidR="00597923">
        <w:rPr>
          <w:rFonts w:ascii="Times New Roman" w:hAnsi="Times New Roman"/>
          <w:b/>
          <w:sz w:val="24"/>
          <w:szCs w:val="24"/>
        </w:rPr>
        <w:tab/>
      </w:r>
      <w:r w:rsidR="0076241C" w:rsidRPr="0076241C">
        <w:rPr>
          <w:rFonts w:ascii="Times New Roman" w:hAnsi="Times New Roman"/>
          <w:b/>
          <w:color w:val="EE0000"/>
          <w:sz w:val="24"/>
          <w:szCs w:val="24"/>
        </w:rPr>
        <w:t>5</w:t>
      </w:r>
      <w:r w:rsidR="00B8435D">
        <w:rPr>
          <w:rFonts w:ascii="Times New Roman" w:hAnsi="Times New Roman"/>
          <w:b/>
          <w:color w:val="EE0000"/>
          <w:sz w:val="24"/>
          <w:szCs w:val="24"/>
        </w:rPr>
        <w:t>7</w:t>
      </w:r>
      <w:r w:rsidR="0076241C" w:rsidRPr="0076241C">
        <w:rPr>
          <w:rFonts w:ascii="Times New Roman" w:hAnsi="Times New Roman"/>
          <w:b/>
          <w:color w:val="EE0000"/>
          <w:sz w:val="24"/>
          <w:szCs w:val="24"/>
        </w:rPr>
        <w:t xml:space="preserve"> cases</w:t>
      </w:r>
    </w:p>
    <w:p w14:paraId="1B2693F0" w14:textId="760CE284" w:rsidR="00F326E5" w:rsidRPr="00F22A0D" w:rsidRDefault="00F326E5" w:rsidP="00F326E5">
      <w:pPr>
        <w:pStyle w:val="NoSpacing"/>
        <w:rPr>
          <w:rFonts w:ascii="Times New Roman" w:hAnsi="Times New Roman"/>
          <w:b/>
          <w:sz w:val="24"/>
          <w:szCs w:val="24"/>
        </w:rPr>
      </w:pPr>
      <w:r w:rsidRPr="00F22A0D">
        <w:rPr>
          <w:rFonts w:ascii="Times New Roman" w:hAnsi="Times New Roman"/>
          <w:b/>
          <w:sz w:val="24"/>
          <w:szCs w:val="24"/>
        </w:rPr>
        <w:t>Chap. 5</w:t>
      </w:r>
      <w:r w:rsidRPr="00F22A0D">
        <w:rPr>
          <w:rFonts w:ascii="Times New Roman" w:hAnsi="Times New Roman"/>
          <w:b/>
          <w:sz w:val="24"/>
          <w:szCs w:val="24"/>
        </w:rPr>
        <w:tab/>
        <w:t>Emergency Vehicle Operations</w:t>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sidRPr="0076241C">
        <w:rPr>
          <w:rFonts w:ascii="Times New Roman" w:hAnsi="Times New Roman"/>
          <w:b/>
          <w:color w:val="EE0000"/>
          <w:sz w:val="24"/>
          <w:szCs w:val="24"/>
        </w:rPr>
        <w:t>6</w:t>
      </w:r>
      <w:r w:rsidR="00747DAC">
        <w:rPr>
          <w:rFonts w:ascii="Times New Roman" w:hAnsi="Times New Roman"/>
          <w:b/>
          <w:color w:val="EE0000"/>
          <w:sz w:val="24"/>
          <w:szCs w:val="24"/>
        </w:rPr>
        <w:t>8</w:t>
      </w:r>
      <w:r w:rsidR="0076241C" w:rsidRPr="0076241C">
        <w:rPr>
          <w:rFonts w:ascii="Times New Roman" w:hAnsi="Times New Roman"/>
          <w:b/>
          <w:color w:val="EE0000"/>
          <w:sz w:val="24"/>
          <w:szCs w:val="24"/>
        </w:rPr>
        <w:t xml:space="preserve"> cases</w:t>
      </w:r>
    </w:p>
    <w:p w14:paraId="32062B5D" w14:textId="24CD3787" w:rsidR="00F326E5" w:rsidRPr="00F22A0D" w:rsidRDefault="00F326E5" w:rsidP="00F326E5">
      <w:pPr>
        <w:pStyle w:val="NoSpacing"/>
        <w:rPr>
          <w:rFonts w:ascii="Times New Roman" w:hAnsi="Times New Roman"/>
          <w:b/>
          <w:sz w:val="24"/>
          <w:szCs w:val="24"/>
        </w:rPr>
      </w:pPr>
      <w:r w:rsidRPr="00F22A0D">
        <w:rPr>
          <w:rFonts w:ascii="Times New Roman" w:hAnsi="Times New Roman"/>
          <w:b/>
          <w:sz w:val="24"/>
          <w:szCs w:val="24"/>
        </w:rPr>
        <w:t>Chap. 6</w:t>
      </w:r>
      <w:r w:rsidRPr="00F22A0D">
        <w:rPr>
          <w:rFonts w:ascii="Times New Roman" w:hAnsi="Times New Roman"/>
          <w:b/>
          <w:sz w:val="24"/>
          <w:szCs w:val="24"/>
        </w:rPr>
        <w:tab/>
        <w:t>Employment Litigation</w:t>
      </w:r>
      <w:r w:rsidR="003F660F" w:rsidRPr="00F22A0D">
        <w:rPr>
          <w:rFonts w:ascii="Times New Roman" w:hAnsi="Times New Roman"/>
          <w:b/>
          <w:sz w:val="24"/>
          <w:szCs w:val="24"/>
        </w:rPr>
        <w:t xml:space="preserve">, incl. </w:t>
      </w:r>
      <w:r w:rsidR="00BB43DD" w:rsidRPr="00F22A0D">
        <w:rPr>
          <w:rFonts w:ascii="Times New Roman" w:hAnsi="Times New Roman"/>
          <w:b/>
          <w:sz w:val="24"/>
          <w:szCs w:val="24"/>
        </w:rPr>
        <w:t>Worker’s Comp</w:t>
      </w:r>
      <w:r w:rsidR="00DB0696">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425E76">
        <w:rPr>
          <w:rFonts w:ascii="Times New Roman" w:hAnsi="Times New Roman"/>
          <w:b/>
          <w:sz w:val="24"/>
          <w:szCs w:val="24"/>
        </w:rPr>
        <w:tab/>
      </w:r>
      <w:r w:rsidR="0076241C" w:rsidRPr="0076241C">
        <w:rPr>
          <w:rFonts w:ascii="Times New Roman" w:hAnsi="Times New Roman"/>
          <w:b/>
          <w:color w:val="EE0000"/>
          <w:sz w:val="24"/>
          <w:szCs w:val="24"/>
        </w:rPr>
        <w:t>1</w:t>
      </w:r>
      <w:r w:rsidR="00192A5E">
        <w:rPr>
          <w:rFonts w:ascii="Times New Roman" w:hAnsi="Times New Roman"/>
          <w:b/>
          <w:color w:val="EE0000"/>
          <w:sz w:val="24"/>
          <w:szCs w:val="24"/>
        </w:rPr>
        <w:t>90</w:t>
      </w:r>
      <w:r w:rsidR="0076241C" w:rsidRPr="0076241C">
        <w:rPr>
          <w:rFonts w:ascii="Times New Roman" w:hAnsi="Times New Roman"/>
          <w:b/>
          <w:color w:val="EE0000"/>
          <w:sz w:val="24"/>
          <w:szCs w:val="24"/>
        </w:rPr>
        <w:t xml:space="preserve"> cases</w:t>
      </w:r>
    </w:p>
    <w:p w14:paraId="31BA6C12" w14:textId="4D78A94F" w:rsidR="00F326E5" w:rsidRPr="0076241C"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7</w:t>
      </w:r>
      <w:r w:rsidRPr="00F22A0D">
        <w:rPr>
          <w:rFonts w:ascii="Times New Roman" w:hAnsi="Times New Roman"/>
          <w:b/>
          <w:sz w:val="24"/>
          <w:szCs w:val="24"/>
        </w:rPr>
        <w:tab/>
        <w:t>Sexual Harassment</w:t>
      </w:r>
      <w:r w:rsidR="003F660F" w:rsidRPr="00F22A0D">
        <w:rPr>
          <w:rFonts w:ascii="Times New Roman" w:hAnsi="Times New Roman"/>
          <w:b/>
          <w:sz w:val="24"/>
          <w:szCs w:val="24"/>
        </w:rPr>
        <w:t xml:space="preserve">, incl. </w:t>
      </w:r>
      <w:r w:rsidR="00EF4D50">
        <w:rPr>
          <w:rFonts w:ascii="Times New Roman" w:hAnsi="Times New Roman"/>
          <w:b/>
          <w:sz w:val="24"/>
          <w:szCs w:val="24"/>
        </w:rPr>
        <w:t xml:space="preserve">Gender, </w:t>
      </w:r>
      <w:r w:rsidRPr="00F22A0D">
        <w:rPr>
          <w:rFonts w:ascii="Times New Roman" w:hAnsi="Times New Roman"/>
          <w:b/>
          <w:sz w:val="24"/>
          <w:szCs w:val="24"/>
        </w:rPr>
        <w:t>Pregnancy Discrimination</w:t>
      </w:r>
      <w:r w:rsidR="0076241C">
        <w:rPr>
          <w:rFonts w:ascii="Times New Roman" w:hAnsi="Times New Roman"/>
          <w:b/>
          <w:sz w:val="24"/>
          <w:szCs w:val="24"/>
        </w:rPr>
        <w:tab/>
      </w:r>
      <w:r w:rsidR="00EF4D50">
        <w:rPr>
          <w:rFonts w:ascii="Times New Roman" w:hAnsi="Times New Roman"/>
          <w:b/>
          <w:sz w:val="24"/>
          <w:szCs w:val="24"/>
        </w:rPr>
        <w:tab/>
      </w:r>
      <w:r w:rsidR="001F5D19">
        <w:rPr>
          <w:rFonts w:ascii="Times New Roman" w:hAnsi="Times New Roman"/>
          <w:b/>
          <w:color w:val="EE0000"/>
          <w:sz w:val="24"/>
          <w:szCs w:val="24"/>
        </w:rPr>
        <w:t>9</w:t>
      </w:r>
      <w:r w:rsidR="002B205A">
        <w:rPr>
          <w:rFonts w:ascii="Times New Roman" w:hAnsi="Times New Roman"/>
          <w:b/>
          <w:color w:val="EE0000"/>
          <w:sz w:val="24"/>
          <w:szCs w:val="24"/>
        </w:rPr>
        <w:t>5</w:t>
      </w:r>
      <w:r w:rsidR="00BC3D44">
        <w:rPr>
          <w:rFonts w:ascii="Times New Roman" w:hAnsi="Times New Roman"/>
          <w:b/>
          <w:color w:val="EE0000"/>
          <w:sz w:val="24"/>
          <w:szCs w:val="24"/>
        </w:rPr>
        <w:t xml:space="preserve"> </w:t>
      </w:r>
      <w:r w:rsidR="0076241C" w:rsidRPr="0076241C">
        <w:rPr>
          <w:rFonts w:ascii="Times New Roman" w:hAnsi="Times New Roman"/>
          <w:b/>
          <w:color w:val="EE0000"/>
          <w:sz w:val="24"/>
          <w:szCs w:val="24"/>
        </w:rPr>
        <w:t>cases</w:t>
      </w:r>
    </w:p>
    <w:p w14:paraId="57D0CDD9" w14:textId="694D770F" w:rsidR="00F326E5" w:rsidRPr="007209A9"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8</w:t>
      </w:r>
      <w:r w:rsidRPr="00F22A0D">
        <w:rPr>
          <w:rFonts w:ascii="Times New Roman" w:hAnsi="Times New Roman"/>
          <w:b/>
          <w:sz w:val="24"/>
          <w:szCs w:val="24"/>
        </w:rPr>
        <w:tab/>
        <w:t>Race Discrimination</w:t>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76241C">
        <w:rPr>
          <w:rFonts w:ascii="Times New Roman" w:hAnsi="Times New Roman"/>
          <w:b/>
          <w:sz w:val="24"/>
          <w:szCs w:val="24"/>
        </w:rPr>
        <w:tab/>
      </w:r>
      <w:r w:rsidR="00E209BC">
        <w:rPr>
          <w:rFonts w:ascii="Times New Roman" w:hAnsi="Times New Roman"/>
          <w:b/>
          <w:color w:val="EE0000"/>
          <w:sz w:val="24"/>
          <w:szCs w:val="24"/>
        </w:rPr>
        <w:t>9</w:t>
      </w:r>
      <w:r w:rsidR="00515C5E">
        <w:rPr>
          <w:rFonts w:ascii="Times New Roman" w:hAnsi="Times New Roman"/>
          <w:b/>
          <w:color w:val="EE0000"/>
          <w:sz w:val="24"/>
          <w:szCs w:val="24"/>
        </w:rPr>
        <w:t>8</w:t>
      </w:r>
      <w:r w:rsidR="007209A9" w:rsidRPr="007209A9">
        <w:rPr>
          <w:rFonts w:ascii="Times New Roman" w:hAnsi="Times New Roman"/>
          <w:b/>
          <w:color w:val="EE0000"/>
          <w:sz w:val="24"/>
          <w:szCs w:val="24"/>
        </w:rPr>
        <w:t xml:space="preserve"> cases</w:t>
      </w:r>
    </w:p>
    <w:p w14:paraId="0075D979" w14:textId="65D410BE" w:rsidR="00F326E5" w:rsidRPr="007209A9"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9</w:t>
      </w:r>
      <w:r w:rsidRPr="00F22A0D">
        <w:rPr>
          <w:rFonts w:ascii="Times New Roman" w:hAnsi="Times New Roman"/>
          <w:b/>
          <w:sz w:val="24"/>
          <w:szCs w:val="24"/>
        </w:rPr>
        <w:tab/>
        <w:t xml:space="preserve">Americans </w:t>
      </w:r>
      <w:proofErr w:type="gramStart"/>
      <w:r w:rsidRPr="00F22A0D">
        <w:rPr>
          <w:rFonts w:ascii="Times New Roman" w:hAnsi="Times New Roman"/>
          <w:b/>
          <w:sz w:val="24"/>
          <w:szCs w:val="24"/>
        </w:rPr>
        <w:t>With</w:t>
      </w:r>
      <w:proofErr w:type="gramEnd"/>
      <w:r w:rsidRPr="00F22A0D">
        <w:rPr>
          <w:rFonts w:ascii="Times New Roman" w:hAnsi="Times New Roman"/>
          <w:b/>
          <w:sz w:val="24"/>
          <w:szCs w:val="24"/>
        </w:rPr>
        <w:t xml:space="preserve"> Disabilities Act</w:t>
      </w:r>
      <w:r w:rsidR="007209A9">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r w:rsidR="00697C86">
        <w:rPr>
          <w:rFonts w:ascii="Times New Roman" w:hAnsi="Times New Roman"/>
          <w:b/>
          <w:color w:val="EE0000"/>
          <w:sz w:val="24"/>
          <w:szCs w:val="24"/>
        </w:rPr>
        <w:t>71</w:t>
      </w:r>
      <w:r w:rsidR="007209A9" w:rsidRPr="007209A9">
        <w:rPr>
          <w:rFonts w:ascii="Times New Roman" w:hAnsi="Times New Roman"/>
          <w:b/>
          <w:color w:val="EE0000"/>
          <w:sz w:val="24"/>
          <w:szCs w:val="24"/>
        </w:rPr>
        <w:t xml:space="preserve"> cases</w:t>
      </w:r>
    </w:p>
    <w:p w14:paraId="4424B00D" w14:textId="737DF983" w:rsidR="00F326E5" w:rsidRPr="00F22A0D" w:rsidRDefault="00F326E5" w:rsidP="00F326E5">
      <w:pPr>
        <w:pStyle w:val="NoSpacing"/>
        <w:rPr>
          <w:rFonts w:ascii="Times New Roman" w:hAnsi="Times New Roman"/>
          <w:b/>
          <w:sz w:val="24"/>
          <w:szCs w:val="24"/>
        </w:rPr>
      </w:pPr>
      <w:r w:rsidRPr="00F22A0D">
        <w:rPr>
          <w:rFonts w:ascii="Times New Roman" w:hAnsi="Times New Roman"/>
          <w:b/>
          <w:sz w:val="24"/>
          <w:szCs w:val="24"/>
        </w:rPr>
        <w:t>Chap. 10</w:t>
      </w:r>
      <w:r w:rsidRPr="00F22A0D">
        <w:rPr>
          <w:rFonts w:ascii="Times New Roman" w:hAnsi="Times New Roman"/>
          <w:b/>
          <w:sz w:val="24"/>
          <w:szCs w:val="24"/>
        </w:rPr>
        <w:tab/>
        <w:t>Family Medical Leave Act</w:t>
      </w:r>
      <w:r w:rsidRPr="00F22A0D">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r w:rsidR="007209A9">
        <w:rPr>
          <w:rFonts w:ascii="Times New Roman" w:hAnsi="Times New Roman"/>
          <w:b/>
          <w:sz w:val="24"/>
          <w:szCs w:val="24"/>
        </w:rPr>
        <w:tab/>
      </w:r>
      <w:r w:rsidR="004246F0" w:rsidRPr="004246F0">
        <w:rPr>
          <w:rFonts w:ascii="Times New Roman" w:hAnsi="Times New Roman"/>
          <w:b/>
          <w:color w:val="EE0000"/>
          <w:sz w:val="24"/>
          <w:szCs w:val="24"/>
        </w:rPr>
        <w:t>13 cases</w:t>
      </w:r>
    </w:p>
    <w:p w14:paraId="4E82CC4C" w14:textId="0BCC8E55" w:rsidR="00F326E5" w:rsidRPr="00F22A0D" w:rsidRDefault="00F326E5" w:rsidP="00F326E5">
      <w:pPr>
        <w:pStyle w:val="NoSpacing"/>
        <w:rPr>
          <w:rFonts w:ascii="Times New Roman" w:hAnsi="Times New Roman"/>
          <w:b/>
          <w:sz w:val="24"/>
          <w:szCs w:val="24"/>
        </w:rPr>
      </w:pPr>
      <w:r w:rsidRPr="00F22A0D">
        <w:rPr>
          <w:rFonts w:ascii="Times New Roman" w:hAnsi="Times New Roman"/>
          <w:b/>
          <w:sz w:val="24"/>
          <w:szCs w:val="24"/>
        </w:rPr>
        <w:t>Chap. 11</w:t>
      </w:r>
      <w:r w:rsidRPr="00F22A0D">
        <w:rPr>
          <w:rFonts w:ascii="Times New Roman" w:hAnsi="Times New Roman"/>
          <w:b/>
          <w:sz w:val="24"/>
          <w:szCs w:val="24"/>
        </w:rPr>
        <w:tab/>
        <w:t>Fair Labor Standards Act</w:t>
      </w:r>
      <w:r w:rsidR="00664013">
        <w:rPr>
          <w:rFonts w:ascii="Times New Roman" w:hAnsi="Times New Roman"/>
          <w:b/>
          <w:sz w:val="24"/>
          <w:szCs w:val="24"/>
        </w:rPr>
        <w:t xml:space="preserve">, and Military Leave </w:t>
      </w:r>
      <w:r w:rsidR="004246F0">
        <w:rPr>
          <w:rFonts w:ascii="Times New Roman" w:hAnsi="Times New Roman"/>
          <w:b/>
          <w:sz w:val="24"/>
          <w:szCs w:val="24"/>
        </w:rPr>
        <w:tab/>
      </w:r>
      <w:r w:rsidR="004246F0">
        <w:rPr>
          <w:rFonts w:ascii="Times New Roman" w:hAnsi="Times New Roman"/>
          <w:b/>
          <w:sz w:val="24"/>
          <w:szCs w:val="24"/>
        </w:rPr>
        <w:tab/>
      </w:r>
      <w:r w:rsidR="004246F0">
        <w:rPr>
          <w:rFonts w:ascii="Times New Roman" w:hAnsi="Times New Roman"/>
          <w:b/>
          <w:sz w:val="24"/>
          <w:szCs w:val="24"/>
        </w:rPr>
        <w:tab/>
      </w:r>
      <w:r w:rsidR="004246F0">
        <w:rPr>
          <w:rFonts w:ascii="Times New Roman" w:hAnsi="Times New Roman"/>
          <w:b/>
          <w:sz w:val="24"/>
          <w:szCs w:val="24"/>
        </w:rPr>
        <w:tab/>
      </w:r>
      <w:r w:rsidR="003814D7">
        <w:rPr>
          <w:rFonts w:ascii="Times New Roman" w:hAnsi="Times New Roman"/>
          <w:b/>
          <w:color w:val="EE0000"/>
          <w:sz w:val="24"/>
          <w:szCs w:val="24"/>
        </w:rPr>
        <w:t>7</w:t>
      </w:r>
      <w:r w:rsidR="007F336D">
        <w:rPr>
          <w:rFonts w:ascii="Times New Roman" w:hAnsi="Times New Roman"/>
          <w:b/>
          <w:color w:val="EE0000"/>
          <w:sz w:val="24"/>
          <w:szCs w:val="24"/>
        </w:rPr>
        <w:t>4</w:t>
      </w:r>
      <w:r w:rsidR="004246F0" w:rsidRPr="004246F0">
        <w:rPr>
          <w:rFonts w:ascii="Times New Roman" w:hAnsi="Times New Roman"/>
          <w:b/>
          <w:color w:val="EE0000"/>
          <w:sz w:val="24"/>
          <w:szCs w:val="24"/>
        </w:rPr>
        <w:t xml:space="preserve"> cases</w:t>
      </w:r>
      <w:r w:rsidRPr="00F22A0D">
        <w:rPr>
          <w:rFonts w:ascii="Times New Roman" w:hAnsi="Times New Roman"/>
          <w:b/>
          <w:sz w:val="24"/>
          <w:szCs w:val="24"/>
        </w:rPr>
        <w:tab/>
      </w:r>
    </w:p>
    <w:p w14:paraId="0AE4624B" w14:textId="155E4D07" w:rsidR="00F326E5" w:rsidRPr="009C594C"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12</w:t>
      </w:r>
      <w:r w:rsidRPr="00F22A0D">
        <w:rPr>
          <w:rFonts w:ascii="Times New Roman" w:hAnsi="Times New Roman"/>
          <w:b/>
          <w:sz w:val="24"/>
          <w:szCs w:val="24"/>
        </w:rPr>
        <w:tab/>
        <w:t>Drug-Free Workplace</w:t>
      </w:r>
      <w:r w:rsidR="004246F0">
        <w:rPr>
          <w:rFonts w:ascii="Times New Roman" w:hAnsi="Times New Roman"/>
          <w:b/>
          <w:sz w:val="24"/>
          <w:szCs w:val="24"/>
        </w:rPr>
        <w:tab/>
      </w:r>
      <w:r w:rsidR="004246F0">
        <w:rPr>
          <w:rFonts w:ascii="Times New Roman" w:hAnsi="Times New Roman"/>
          <w:b/>
          <w:sz w:val="24"/>
          <w:szCs w:val="24"/>
        </w:rPr>
        <w:tab/>
      </w:r>
      <w:r w:rsidR="004246F0">
        <w:rPr>
          <w:rFonts w:ascii="Times New Roman" w:hAnsi="Times New Roman"/>
          <w:b/>
          <w:sz w:val="24"/>
          <w:szCs w:val="24"/>
        </w:rPr>
        <w:tab/>
      </w:r>
      <w:r w:rsidR="004246F0">
        <w:rPr>
          <w:rFonts w:ascii="Times New Roman" w:hAnsi="Times New Roman"/>
          <w:b/>
          <w:sz w:val="24"/>
          <w:szCs w:val="24"/>
        </w:rPr>
        <w:tab/>
      </w:r>
      <w:r w:rsidR="004246F0">
        <w:rPr>
          <w:rFonts w:ascii="Times New Roman" w:hAnsi="Times New Roman"/>
          <w:b/>
          <w:sz w:val="24"/>
          <w:szCs w:val="24"/>
        </w:rPr>
        <w:tab/>
      </w:r>
      <w:r w:rsidR="004246F0">
        <w:rPr>
          <w:rFonts w:ascii="Times New Roman" w:hAnsi="Times New Roman"/>
          <w:b/>
          <w:sz w:val="24"/>
          <w:szCs w:val="24"/>
        </w:rPr>
        <w:tab/>
      </w:r>
      <w:r w:rsidR="004246F0">
        <w:rPr>
          <w:rFonts w:ascii="Times New Roman" w:hAnsi="Times New Roman"/>
          <w:b/>
          <w:sz w:val="24"/>
          <w:szCs w:val="24"/>
        </w:rPr>
        <w:tab/>
      </w:r>
      <w:r w:rsidR="00C37020">
        <w:rPr>
          <w:rFonts w:ascii="Times New Roman" w:hAnsi="Times New Roman"/>
          <w:b/>
          <w:color w:val="EE0000"/>
          <w:sz w:val="24"/>
          <w:szCs w:val="24"/>
        </w:rPr>
        <w:t>4</w:t>
      </w:r>
      <w:r w:rsidR="003D4642">
        <w:rPr>
          <w:rFonts w:ascii="Times New Roman" w:hAnsi="Times New Roman"/>
          <w:b/>
          <w:color w:val="EE0000"/>
          <w:sz w:val="24"/>
          <w:szCs w:val="24"/>
        </w:rPr>
        <w:t>1</w:t>
      </w:r>
      <w:r w:rsidR="009C594C" w:rsidRPr="009C594C">
        <w:rPr>
          <w:rFonts w:ascii="Times New Roman" w:hAnsi="Times New Roman"/>
          <w:b/>
          <w:color w:val="EE0000"/>
          <w:sz w:val="24"/>
          <w:szCs w:val="24"/>
        </w:rPr>
        <w:t xml:space="preserve"> cases</w:t>
      </w:r>
    </w:p>
    <w:p w14:paraId="769B9330" w14:textId="42C50ABF" w:rsidR="00F326E5" w:rsidRPr="009C594C"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13</w:t>
      </w:r>
      <w:r w:rsidRPr="00F22A0D">
        <w:rPr>
          <w:rFonts w:ascii="Times New Roman" w:hAnsi="Times New Roman"/>
          <w:b/>
          <w:sz w:val="24"/>
          <w:szCs w:val="24"/>
        </w:rPr>
        <w:tab/>
        <w:t>EMS</w:t>
      </w:r>
      <w:r w:rsidR="003F660F" w:rsidRPr="00F22A0D">
        <w:rPr>
          <w:rFonts w:ascii="Times New Roman" w:hAnsi="Times New Roman"/>
          <w:b/>
          <w:sz w:val="24"/>
          <w:szCs w:val="24"/>
        </w:rPr>
        <w:t xml:space="preserve">, incl. </w:t>
      </w:r>
      <w:r w:rsidR="00636395" w:rsidRPr="00F22A0D">
        <w:rPr>
          <w:rFonts w:ascii="Times New Roman" w:hAnsi="Times New Roman"/>
          <w:b/>
          <w:sz w:val="24"/>
          <w:szCs w:val="24"/>
        </w:rPr>
        <w:t>Community Paramedicine</w:t>
      </w:r>
      <w:r w:rsidR="003F660F" w:rsidRPr="00F22A0D">
        <w:rPr>
          <w:rFonts w:ascii="Times New Roman" w:hAnsi="Times New Roman"/>
          <w:b/>
          <w:sz w:val="24"/>
          <w:szCs w:val="24"/>
        </w:rPr>
        <w:t>, Corona Virus</w:t>
      </w:r>
      <w:r w:rsidRPr="00F22A0D">
        <w:rPr>
          <w:rFonts w:ascii="Times New Roman" w:hAnsi="Times New Roman"/>
          <w:b/>
          <w:sz w:val="24"/>
          <w:szCs w:val="24"/>
        </w:rPr>
        <w:tab/>
      </w:r>
      <w:r w:rsidR="009C594C">
        <w:rPr>
          <w:rFonts w:ascii="Times New Roman" w:hAnsi="Times New Roman"/>
          <w:b/>
          <w:sz w:val="24"/>
          <w:szCs w:val="24"/>
        </w:rPr>
        <w:tab/>
      </w:r>
      <w:r w:rsidR="009C594C">
        <w:rPr>
          <w:rFonts w:ascii="Times New Roman" w:hAnsi="Times New Roman"/>
          <w:b/>
          <w:sz w:val="24"/>
          <w:szCs w:val="24"/>
        </w:rPr>
        <w:tab/>
      </w:r>
      <w:r w:rsidR="009C594C" w:rsidRPr="009C594C">
        <w:rPr>
          <w:rFonts w:ascii="Times New Roman" w:hAnsi="Times New Roman"/>
          <w:b/>
          <w:color w:val="EE0000"/>
          <w:sz w:val="24"/>
          <w:szCs w:val="24"/>
        </w:rPr>
        <w:t>2</w:t>
      </w:r>
      <w:r w:rsidR="00A971EA">
        <w:rPr>
          <w:rFonts w:ascii="Times New Roman" w:hAnsi="Times New Roman"/>
          <w:b/>
          <w:color w:val="EE0000"/>
          <w:sz w:val="24"/>
          <w:szCs w:val="24"/>
        </w:rPr>
        <w:t>7</w:t>
      </w:r>
      <w:r w:rsidR="00E47580">
        <w:rPr>
          <w:rFonts w:ascii="Times New Roman" w:hAnsi="Times New Roman"/>
          <w:b/>
          <w:color w:val="EE0000"/>
          <w:sz w:val="24"/>
          <w:szCs w:val="24"/>
        </w:rPr>
        <w:t>6</w:t>
      </w:r>
      <w:r w:rsidR="009C594C" w:rsidRPr="009C594C">
        <w:rPr>
          <w:rFonts w:ascii="Times New Roman" w:hAnsi="Times New Roman"/>
          <w:b/>
          <w:color w:val="EE0000"/>
          <w:sz w:val="24"/>
          <w:szCs w:val="24"/>
        </w:rPr>
        <w:t xml:space="preserve"> cases</w:t>
      </w:r>
    </w:p>
    <w:p w14:paraId="496A7E44" w14:textId="5BD53696" w:rsidR="00F326E5" w:rsidRPr="000A5D63"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14</w:t>
      </w:r>
      <w:r w:rsidRPr="00F22A0D">
        <w:rPr>
          <w:rFonts w:ascii="Times New Roman" w:hAnsi="Times New Roman"/>
          <w:b/>
          <w:sz w:val="24"/>
          <w:szCs w:val="24"/>
        </w:rPr>
        <w:tab/>
        <w:t>Physical Fitness</w:t>
      </w:r>
      <w:r w:rsidR="00BE44CB">
        <w:rPr>
          <w:rFonts w:ascii="Times New Roman" w:hAnsi="Times New Roman"/>
          <w:b/>
          <w:sz w:val="24"/>
          <w:szCs w:val="24"/>
        </w:rPr>
        <w:t xml:space="preserve"> and</w:t>
      </w:r>
      <w:r w:rsidR="00D5755F">
        <w:rPr>
          <w:rFonts w:ascii="Times New Roman" w:hAnsi="Times New Roman"/>
          <w:b/>
          <w:sz w:val="24"/>
          <w:szCs w:val="24"/>
        </w:rPr>
        <w:t xml:space="preserve"> Light Duty</w:t>
      </w:r>
      <w:r w:rsidRPr="00F22A0D">
        <w:rPr>
          <w:rFonts w:ascii="Times New Roman" w:hAnsi="Times New Roman"/>
          <w:b/>
          <w:sz w:val="24"/>
          <w:szCs w:val="24"/>
        </w:rPr>
        <w:tab/>
      </w:r>
      <w:r w:rsidR="009C594C">
        <w:rPr>
          <w:rFonts w:ascii="Times New Roman" w:hAnsi="Times New Roman"/>
          <w:b/>
          <w:sz w:val="24"/>
          <w:szCs w:val="24"/>
        </w:rPr>
        <w:tab/>
      </w:r>
      <w:r w:rsidR="009C594C">
        <w:rPr>
          <w:rFonts w:ascii="Times New Roman" w:hAnsi="Times New Roman"/>
          <w:b/>
          <w:sz w:val="24"/>
          <w:szCs w:val="24"/>
        </w:rPr>
        <w:tab/>
      </w:r>
      <w:r w:rsidR="009C594C">
        <w:rPr>
          <w:rFonts w:ascii="Times New Roman" w:hAnsi="Times New Roman"/>
          <w:b/>
          <w:sz w:val="24"/>
          <w:szCs w:val="24"/>
        </w:rPr>
        <w:tab/>
      </w:r>
      <w:r w:rsidR="009C594C">
        <w:rPr>
          <w:rFonts w:ascii="Times New Roman" w:hAnsi="Times New Roman"/>
          <w:b/>
          <w:sz w:val="24"/>
          <w:szCs w:val="24"/>
        </w:rPr>
        <w:tab/>
      </w:r>
      <w:r w:rsidR="009C594C">
        <w:rPr>
          <w:rFonts w:ascii="Times New Roman" w:hAnsi="Times New Roman"/>
          <w:b/>
          <w:sz w:val="24"/>
          <w:szCs w:val="24"/>
        </w:rPr>
        <w:tab/>
      </w:r>
      <w:r w:rsidR="00140966">
        <w:rPr>
          <w:rFonts w:ascii="Times New Roman" w:hAnsi="Times New Roman"/>
          <w:b/>
          <w:color w:val="EE0000"/>
          <w:sz w:val="24"/>
          <w:szCs w:val="24"/>
        </w:rPr>
        <w:t>10</w:t>
      </w:r>
      <w:r w:rsidR="00F42EFD">
        <w:rPr>
          <w:rFonts w:ascii="Times New Roman" w:hAnsi="Times New Roman"/>
          <w:b/>
          <w:color w:val="EE0000"/>
          <w:sz w:val="24"/>
          <w:szCs w:val="24"/>
        </w:rPr>
        <w:t xml:space="preserve"> </w:t>
      </w:r>
      <w:r w:rsidR="000A5D63" w:rsidRPr="000A5D63">
        <w:rPr>
          <w:rFonts w:ascii="Times New Roman" w:hAnsi="Times New Roman"/>
          <w:b/>
          <w:color w:val="EE0000"/>
          <w:sz w:val="24"/>
          <w:szCs w:val="24"/>
        </w:rPr>
        <w:t>cases</w:t>
      </w:r>
    </w:p>
    <w:p w14:paraId="157ACADA" w14:textId="7923C22A" w:rsidR="00F326E5" w:rsidRPr="000A5D63"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Chap. 15</w:t>
      </w:r>
      <w:r w:rsidRPr="00F22A0D">
        <w:rPr>
          <w:rFonts w:ascii="Times New Roman" w:hAnsi="Times New Roman"/>
          <w:b/>
          <w:sz w:val="24"/>
          <w:szCs w:val="24"/>
        </w:rPr>
        <w:tab/>
      </w:r>
      <w:r w:rsidR="00C61FBA">
        <w:rPr>
          <w:rFonts w:ascii="Times New Roman" w:hAnsi="Times New Roman"/>
          <w:b/>
          <w:sz w:val="24"/>
          <w:szCs w:val="24"/>
        </w:rPr>
        <w:t xml:space="preserve">Mental Health, incl. </w:t>
      </w:r>
      <w:r w:rsidRPr="00F22A0D">
        <w:rPr>
          <w:rFonts w:ascii="Times New Roman" w:hAnsi="Times New Roman"/>
          <w:b/>
          <w:sz w:val="24"/>
          <w:szCs w:val="24"/>
        </w:rPr>
        <w:t>C</w:t>
      </w:r>
      <w:r w:rsidR="006D5E9F" w:rsidRPr="00F22A0D">
        <w:rPr>
          <w:rFonts w:ascii="Times New Roman" w:hAnsi="Times New Roman"/>
          <w:b/>
          <w:sz w:val="24"/>
          <w:szCs w:val="24"/>
        </w:rPr>
        <w:t>ISM</w:t>
      </w:r>
      <w:r w:rsidR="003F660F" w:rsidRPr="00F22A0D">
        <w:rPr>
          <w:rFonts w:ascii="Times New Roman" w:hAnsi="Times New Roman"/>
          <w:b/>
          <w:sz w:val="24"/>
          <w:szCs w:val="24"/>
        </w:rPr>
        <w:t>, Pee</w:t>
      </w:r>
      <w:r w:rsidR="00321766" w:rsidRPr="00F22A0D">
        <w:rPr>
          <w:rFonts w:ascii="Times New Roman" w:hAnsi="Times New Roman"/>
          <w:b/>
          <w:sz w:val="24"/>
          <w:szCs w:val="24"/>
        </w:rPr>
        <w:t>r Support</w:t>
      </w:r>
      <w:r w:rsidR="000A5D63">
        <w:rPr>
          <w:rFonts w:ascii="Times New Roman" w:hAnsi="Times New Roman"/>
          <w:b/>
          <w:sz w:val="24"/>
          <w:szCs w:val="24"/>
        </w:rPr>
        <w:tab/>
      </w:r>
      <w:r w:rsidR="000A5D63">
        <w:rPr>
          <w:rFonts w:ascii="Times New Roman" w:hAnsi="Times New Roman"/>
          <w:b/>
          <w:sz w:val="24"/>
          <w:szCs w:val="24"/>
        </w:rPr>
        <w:tab/>
      </w:r>
      <w:r w:rsidR="000A5D63">
        <w:rPr>
          <w:rFonts w:ascii="Times New Roman" w:hAnsi="Times New Roman"/>
          <w:b/>
          <w:sz w:val="24"/>
          <w:szCs w:val="24"/>
        </w:rPr>
        <w:tab/>
      </w:r>
      <w:r w:rsidR="000A5D63">
        <w:rPr>
          <w:rFonts w:ascii="Times New Roman" w:hAnsi="Times New Roman"/>
          <w:b/>
          <w:sz w:val="24"/>
          <w:szCs w:val="24"/>
        </w:rPr>
        <w:tab/>
      </w:r>
      <w:r w:rsidR="000A5D63">
        <w:rPr>
          <w:rFonts w:ascii="Times New Roman" w:hAnsi="Times New Roman"/>
          <w:b/>
          <w:sz w:val="24"/>
          <w:szCs w:val="24"/>
        </w:rPr>
        <w:tab/>
      </w:r>
      <w:r w:rsidR="000A5D63" w:rsidRPr="000A5D63">
        <w:rPr>
          <w:rFonts w:ascii="Times New Roman" w:hAnsi="Times New Roman"/>
          <w:b/>
          <w:color w:val="EE0000"/>
          <w:sz w:val="24"/>
          <w:szCs w:val="24"/>
        </w:rPr>
        <w:t>5</w:t>
      </w:r>
      <w:r w:rsidR="005611CE">
        <w:rPr>
          <w:rFonts w:ascii="Times New Roman" w:hAnsi="Times New Roman"/>
          <w:b/>
          <w:color w:val="EE0000"/>
          <w:sz w:val="24"/>
          <w:szCs w:val="24"/>
        </w:rPr>
        <w:t>5</w:t>
      </w:r>
      <w:r w:rsidR="000A5D63" w:rsidRPr="000A5D63">
        <w:rPr>
          <w:rFonts w:ascii="Times New Roman" w:hAnsi="Times New Roman"/>
          <w:b/>
          <w:color w:val="EE0000"/>
          <w:sz w:val="24"/>
          <w:szCs w:val="24"/>
        </w:rPr>
        <w:t xml:space="preserve"> cases</w:t>
      </w:r>
    </w:p>
    <w:p w14:paraId="22C4C000" w14:textId="34805C07" w:rsidR="00F326E5" w:rsidRPr="00F22A0D" w:rsidRDefault="00F326E5" w:rsidP="00F326E5">
      <w:pPr>
        <w:pStyle w:val="NoSpacing"/>
        <w:rPr>
          <w:rFonts w:ascii="Times New Roman" w:hAnsi="Times New Roman"/>
          <w:b/>
          <w:sz w:val="24"/>
          <w:szCs w:val="24"/>
        </w:rPr>
      </w:pPr>
      <w:r w:rsidRPr="00F22A0D">
        <w:rPr>
          <w:rFonts w:ascii="Times New Roman" w:hAnsi="Times New Roman"/>
          <w:b/>
          <w:sz w:val="24"/>
          <w:szCs w:val="24"/>
        </w:rPr>
        <w:t>Chap. 16</w:t>
      </w:r>
      <w:r w:rsidRPr="00F22A0D">
        <w:rPr>
          <w:rFonts w:ascii="Times New Roman" w:hAnsi="Times New Roman"/>
          <w:b/>
          <w:sz w:val="24"/>
          <w:szCs w:val="24"/>
        </w:rPr>
        <w:tab/>
        <w:t>Discipline</w:t>
      </w:r>
      <w:r w:rsidR="00F27CD5" w:rsidRPr="00F22A0D">
        <w:rPr>
          <w:rFonts w:ascii="Times New Roman" w:hAnsi="Times New Roman"/>
          <w:b/>
          <w:sz w:val="24"/>
          <w:szCs w:val="24"/>
        </w:rPr>
        <w:t>, incl. Social Media</w:t>
      </w:r>
      <w:r w:rsidR="00991BC0">
        <w:rPr>
          <w:rFonts w:ascii="Times New Roman" w:hAnsi="Times New Roman"/>
          <w:b/>
          <w:sz w:val="24"/>
          <w:szCs w:val="24"/>
        </w:rPr>
        <w:t xml:space="preserve"> Posts</w:t>
      </w:r>
      <w:r w:rsidR="000A5D63">
        <w:rPr>
          <w:rFonts w:ascii="Times New Roman" w:hAnsi="Times New Roman"/>
          <w:b/>
          <w:sz w:val="24"/>
          <w:szCs w:val="24"/>
        </w:rPr>
        <w:tab/>
      </w:r>
      <w:r w:rsidR="000A5D63">
        <w:rPr>
          <w:rFonts w:ascii="Times New Roman" w:hAnsi="Times New Roman"/>
          <w:b/>
          <w:sz w:val="24"/>
          <w:szCs w:val="24"/>
        </w:rPr>
        <w:tab/>
      </w:r>
      <w:r w:rsidR="000A5D63">
        <w:rPr>
          <w:rFonts w:ascii="Times New Roman" w:hAnsi="Times New Roman"/>
          <w:b/>
          <w:sz w:val="24"/>
          <w:szCs w:val="24"/>
        </w:rPr>
        <w:tab/>
      </w:r>
      <w:r w:rsidR="000A5D63">
        <w:rPr>
          <w:rFonts w:ascii="Times New Roman" w:hAnsi="Times New Roman"/>
          <w:b/>
          <w:sz w:val="24"/>
          <w:szCs w:val="24"/>
        </w:rPr>
        <w:tab/>
      </w:r>
      <w:r w:rsidR="000A5D63">
        <w:rPr>
          <w:rFonts w:ascii="Times New Roman" w:hAnsi="Times New Roman"/>
          <w:b/>
          <w:sz w:val="24"/>
          <w:szCs w:val="24"/>
        </w:rPr>
        <w:tab/>
      </w:r>
      <w:r w:rsidR="000A5D63">
        <w:rPr>
          <w:rFonts w:ascii="Times New Roman" w:hAnsi="Times New Roman"/>
          <w:b/>
          <w:sz w:val="24"/>
          <w:szCs w:val="24"/>
        </w:rPr>
        <w:tab/>
      </w:r>
      <w:r w:rsidR="00644E1A" w:rsidRPr="00644E1A">
        <w:rPr>
          <w:rFonts w:ascii="Times New Roman" w:hAnsi="Times New Roman"/>
          <w:b/>
          <w:color w:val="EE0000"/>
          <w:sz w:val="24"/>
          <w:szCs w:val="24"/>
        </w:rPr>
        <w:t>1</w:t>
      </w:r>
      <w:r w:rsidR="002C229D">
        <w:rPr>
          <w:rFonts w:ascii="Times New Roman" w:hAnsi="Times New Roman"/>
          <w:b/>
          <w:color w:val="EE0000"/>
          <w:sz w:val="24"/>
          <w:szCs w:val="24"/>
        </w:rPr>
        <w:t>6</w:t>
      </w:r>
      <w:r w:rsidR="00B207FB">
        <w:rPr>
          <w:rFonts w:ascii="Times New Roman" w:hAnsi="Times New Roman"/>
          <w:b/>
          <w:color w:val="EE0000"/>
          <w:sz w:val="24"/>
          <w:szCs w:val="24"/>
        </w:rPr>
        <w:t>9</w:t>
      </w:r>
      <w:r w:rsidR="00644E1A" w:rsidRPr="00644E1A">
        <w:rPr>
          <w:rFonts w:ascii="Times New Roman" w:hAnsi="Times New Roman"/>
          <w:b/>
          <w:color w:val="EE0000"/>
          <w:sz w:val="24"/>
          <w:szCs w:val="24"/>
        </w:rPr>
        <w:t xml:space="preserve"> cases</w:t>
      </w:r>
      <w:r w:rsidRPr="00F22A0D">
        <w:rPr>
          <w:rFonts w:ascii="Times New Roman" w:hAnsi="Times New Roman"/>
          <w:b/>
          <w:sz w:val="24"/>
          <w:szCs w:val="24"/>
        </w:rPr>
        <w:tab/>
      </w:r>
    </w:p>
    <w:p w14:paraId="71067951" w14:textId="089A4913" w:rsidR="00F326E5" w:rsidRPr="00F22A0D" w:rsidRDefault="00F326E5" w:rsidP="00F326E5">
      <w:pPr>
        <w:pStyle w:val="NoSpacing"/>
        <w:rPr>
          <w:rFonts w:ascii="Times New Roman" w:hAnsi="Times New Roman"/>
          <w:b/>
          <w:sz w:val="24"/>
          <w:szCs w:val="24"/>
        </w:rPr>
      </w:pPr>
      <w:r w:rsidRPr="00F22A0D">
        <w:rPr>
          <w:rFonts w:ascii="Times New Roman" w:hAnsi="Times New Roman"/>
          <w:b/>
          <w:sz w:val="24"/>
          <w:szCs w:val="24"/>
        </w:rPr>
        <w:t>Chap. 17</w:t>
      </w:r>
      <w:r w:rsidRPr="00F22A0D">
        <w:rPr>
          <w:rFonts w:ascii="Times New Roman" w:hAnsi="Times New Roman"/>
          <w:b/>
          <w:sz w:val="24"/>
          <w:szCs w:val="24"/>
        </w:rPr>
        <w:tab/>
        <w:t>Arbitration</w:t>
      </w:r>
      <w:r w:rsidR="005E16F7" w:rsidRPr="00F22A0D">
        <w:rPr>
          <w:rFonts w:ascii="Times New Roman" w:hAnsi="Times New Roman"/>
          <w:b/>
          <w:sz w:val="24"/>
          <w:szCs w:val="24"/>
        </w:rPr>
        <w:t xml:space="preserve">, </w:t>
      </w:r>
      <w:r w:rsidR="00F27CD5" w:rsidRPr="00F22A0D">
        <w:rPr>
          <w:rFonts w:ascii="Times New Roman" w:hAnsi="Times New Roman"/>
          <w:b/>
          <w:sz w:val="24"/>
          <w:szCs w:val="24"/>
        </w:rPr>
        <w:t xml:space="preserve">incl. </w:t>
      </w:r>
      <w:r w:rsidRPr="00F22A0D">
        <w:rPr>
          <w:rFonts w:ascii="Times New Roman" w:hAnsi="Times New Roman"/>
          <w:b/>
          <w:sz w:val="24"/>
          <w:szCs w:val="24"/>
        </w:rPr>
        <w:t>Mediation</w:t>
      </w:r>
      <w:r w:rsidR="005E16F7" w:rsidRPr="00F22A0D">
        <w:rPr>
          <w:rFonts w:ascii="Times New Roman" w:hAnsi="Times New Roman"/>
          <w:b/>
          <w:sz w:val="24"/>
          <w:szCs w:val="24"/>
        </w:rPr>
        <w:t>, Labor Relations</w:t>
      </w:r>
      <w:r w:rsidR="00644E1A">
        <w:rPr>
          <w:rFonts w:ascii="Times New Roman" w:hAnsi="Times New Roman"/>
          <w:b/>
          <w:sz w:val="24"/>
          <w:szCs w:val="24"/>
        </w:rPr>
        <w:tab/>
      </w:r>
      <w:r w:rsidR="00644E1A">
        <w:rPr>
          <w:rFonts w:ascii="Times New Roman" w:hAnsi="Times New Roman"/>
          <w:b/>
          <w:sz w:val="24"/>
          <w:szCs w:val="24"/>
        </w:rPr>
        <w:tab/>
      </w:r>
      <w:r w:rsidR="00644E1A">
        <w:rPr>
          <w:rFonts w:ascii="Times New Roman" w:hAnsi="Times New Roman"/>
          <w:b/>
          <w:sz w:val="24"/>
          <w:szCs w:val="24"/>
        </w:rPr>
        <w:tab/>
      </w:r>
      <w:r w:rsidR="00644E1A">
        <w:rPr>
          <w:rFonts w:ascii="Times New Roman" w:hAnsi="Times New Roman"/>
          <w:b/>
          <w:sz w:val="24"/>
          <w:szCs w:val="24"/>
        </w:rPr>
        <w:tab/>
      </w:r>
      <w:r w:rsidR="00F42EFD">
        <w:rPr>
          <w:rFonts w:ascii="Times New Roman" w:hAnsi="Times New Roman"/>
          <w:b/>
          <w:color w:val="EE0000"/>
          <w:sz w:val="24"/>
          <w:szCs w:val="24"/>
        </w:rPr>
        <w:t>6</w:t>
      </w:r>
      <w:r w:rsidR="00C049AD">
        <w:rPr>
          <w:rFonts w:ascii="Times New Roman" w:hAnsi="Times New Roman"/>
          <w:b/>
          <w:color w:val="EE0000"/>
          <w:sz w:val="24"/>
          <w:szCs w:val="24"/>
        </w:rPr>
        <w:t>5</w:t>
      </w:r>
      <w:r w:rsidR="00644E1A" w:rsidRPr="00644E1A">
        <w:rPr>
          <w:rFonts w:ascii="Times New Roman" w:hAnsi="Times New Roman"/>
          <w:b/>
          <w:color w:val="EE0000"/>
          <w:sz w:val="24"/>
          <w:szCs w:val="24"/>
        </w:rPr>
        <w:t xml:space="preserve"> cases</w:t>
      </w:r>
    </w:p>
    <w:p w14:paraId="74F6F193" w14:textId="5FF03821" w:rsidR="00447518" w:rsidRPr="00165526" w:rsidRDefault="00F326E5" w:rsidP="00F326E5">
      <w:pPr>
        <w:pStyle w:val="NoSpacing"/>
        <w:rPr>
          <w:rFonts w:ascii="Times New Roman" w:hAnsi="Times New Roman"/>
          <w:b/>
          <w:color w:val="EE0000"/>
          <w:sz w:val="24"/>
          <w:szCs w:val="24"/>
        </w:rPr>
      </w:pPr>
      <w:r w:rsidRPr="00F22A0D">
        <w:rPr>
          <w:rFonts w:ascii="Times New Roman" w:hAnsi="Times New Roman"/>
          <w:b/>
          <w:sz w:val="24"/>
          <w:szCs w:val="24"/>
        </w:rPr>
        <w:t xml:space="preserve">Chap. 18 </w:t>
      </w:r>
      <w:r w:rsidRPr="00F22A0D">
        <w:rPr>
          <w:rFonts w:ascii="Times New Roman" w:hAnsi="Times New Roman"/>
          <w:b/>
          <w:sz w:val="24"/>
          <w:szCs w:val="24"/>
        </w:rPr>
        <w:tab/>
        <w:t>Legislation</w:t>
      </w:r>
      <w:r w:rsidR="00801D3A">
        <w:rPr>
          <w:rFonts w:ascii="Times New Roman" w:hAnsi="Times New Roman"/>
          <w:b/>
          <w:sz w:val="24"/>
          <w:szCs w:val="24"/>
        </w:rPr>
        <w:t>, incl. Public Documents</w:t>
      </w:r>
      <w:r w:rsidR="00644E1A">
        <w:rPr>
          <w:rFonts w:ascii="Times New Roman" w:hAnsi="Times New Roman"/>
          <w:b/>
          <w:sz w:val="24"/>
          <w:szCs w:val="24"/>
        </w:rPr>
        <w:tab/>
      </w:r>
      <w:r w:rsidR="00644E1A">
        <w:rPr>
          <w:rFonts w:ascii="Times New Roman" w:hAnsi="Times New Roman"/>
          <w:b/>
          <w:sz w:val="24"/>
          <w:szCs w:val="24"/>
        </w:rPr>
        <w:tab/>
      </w:r>
      <w:r w:rsidR="00644E1A">
        <w:rPr>
          <w:rFonts w:ascii="Times New Roman" w:hAnsi="Times New Roman"/>
          <w:b/>
          <w:sz w:val="24"/>
          <w:szCs w:val="24"/>
        </w:rPr>
        <w:tab/>
      </w:r>
      <w:r w:rsidR="00644E1A">
        <w:rPr>
          <w:rFonts w:ascii="Times New Roman" w:hAnsi="Times New Roman"/>
          <w:b/>
          <w:sz w:val="24"/>
          <w:szCs w:val="24"/>
        </w:rPr>
        <w:tab/>
      </w:r>
      <w:r w:rsidR="00644E1A">
        <w:rPr>
          <w:rFonts w:ascii="Times New Roman" w:hAnsi="Times New Roman"/>
          <w:b/>
          <w:sz w:val="24"/>
          <w:szCs w:val="24"/>
        </w:rPr>
        <w:tab/>
      </w:r>
      <w:r w:rsidR="00165526" w:rsidRPr="00165526">
        <w:rPr>
          <w:rFonts w:ascii="Times New Roman" w:hAnsi="Times New Roman"/>
          <w:b/>
          <w:color w:val="EE0000"/>
          <w:sz w:val="24"/>
          <w:szCs w:val="24"/>
        </w:rPr>
        <w:t>3</w:t>
      </w:r>
      <w:r w:rsidR="00C049AD">
        <w:rPr>
          <w:rFonts w:ascii="Times New Roman" w:hAnsi="Times New Roman"/>
          <w:b/>
          <w:color w:val="EE0000"/>
          <w:sz w:val="24"/>
          <w:szCs w:val="24"/>
        </w:rPr>
        <w:t>4</w:t>
      </w:r>
      <w:r w:rsidR="00165526" w:rsidRPr="00165526">
        <w:rPr>
          <w:rFonts w:ascii="Times New Roman" w:hAnsi="Times New Roman"/>
          <w:b/>
          <w:color w:val="EE0000"/>
          <w:sz w:val="24"/>
          <w:szCs w:val="24"/>
        </w:rPr>
        <w:t xml:space="preserve"> cases</w:t>
      </w:r>
    </w:p>
    <w:p w14:paraId="786BD399" w14:textId="77777777" w:rsidR="00EE45D8" w:rsidRDefault="00EE45D8" w:rsidP="00F326E5">
      <w:pPr>
        <w:pStyle w:val="NoSpacing"/>
        <w:rPr>
          <w:rFonts w:ascii="Times New Roman" w:hAnsi="Times New Roman"/>
          <w:b/>
          <w:sz w:val="24"/>
          <w:szCs w:val="24"/>
        </w:rPr>
      </w:pPr>
    </w:p>
    <w:p w14:paraId="2CD1179B" w14:textId="77777777" w:rsidR="00080FC6" w:rsidRDefault="00080FC6" w:rsidP="00F326E5">
      <w:pPr>
        <w:pStyle w:val="NoSpacing"/>
        <w:rPr>
          <w:rFonts w:ascii="Times New Roman" w:hAnsi="Times New Roman"/>
          <w:b/>
          <w:sz w:val="20"/>
          <w:szCs w:val="20"/>
        </w:rPr>
      </w:pPr>
    </w:p>
    <w:p w14:paraId="5A3CA201" w14:textId="77777777" w:rsidR="009F6174" w:rsidRPr="009F6174" w:rsidRDefault="009F6174" w:rsidP="009F6174">
      <w:pPr>
        <w:pStyle w:val="NoSpacing"/>
        <w:rPr>
          <w:b/>
          <w:bCs/>
          <w:sz w:val="16"/>
          <w:szCs w:val="16"/>
          <w:u w:val="single"/>
        </w:rPr>
      </w:pPr>
      <w:r w:rsidRPr="009F6174">
        <w:rPr>
          <w:b/>
          <w:bCs/>
          <w:sz w:val="16"/>
          <w:szCs w:val="16"/>
          <w:u w:val="single"/>
        </w:rPr>
        <w:t>Textbooks / Other Publications</w:t>
      </w:r>
    </w:p>
    <w:p w14:paraId="631FF5ED" w14:textId="77777777" w:rsidR="009F6174" w:rsidRPr="009F6174" w:rsidRDefault="009F6174" w:rsidP="009F6174">
      <w:pPr>
        <w:pStyle w:val="NoSpacing"/>
        <w:numPr>
          <w:ilvl w:val="0"/>
          <w:numId w:val="42"/>
        </w:numPr>
        <w:rPr>
          <w:b/>
          <w:bCs/>
          <w:sz w:val="16"/>
          <w:szCs w:val="16"/>
        </w:rPr>
      </w:pPr>
      <w:r w:rsidRPr="009F6174">
        <w:rPr>
          <w:b/>
          <w:bCs/>
          <w:sz w:val="16"/>
          <w:szCs w:val="16"/>
        </w:rPr>
        <w:t xml:space="preserve">2026: FIRE &amp; EMS LAW – LIBRARY OF RECENT CASE SUMMARIES:  Over 1,600 case summaries since 2018 from monthly newsletters (supplement my 2017 Textbook, Fire Service Law):  </w:t>
      </w:r>
      <w:hyperlink r:id="rId15" w:history="1">
        <w:r w:rsidRPr="009F6174">
          <w:rPr>
            <w:rStyle w:val="Hyperlink"/>
            <w:b/>
            <w:bCs/>
            <w:sz w:val="16"/>
            <w:szCs w:val="16"/>
          </w:rPr>
          <w:t>https://doi.org/10.7945/j6c2-q930</w:t>
        </w:r>
      </w:hyperlink>
    </w:p>
    <w:p w14:paraId="5C2A5EB6" w14:textId="77777777" w:rsidR="009F6174" w:rsidRPr="009F6174" w:rsidRDefault="009F6174" w:rsidP="009F6174">
      <w:pPr>
        <w:pStyle w:val="NoSpacing"/>
        <w:numPr>
          <w:ilvl w:val="0"/>
          <w:numId w:val="42"/>
        </w:numPr>
        <w:rPr>
          <w:b/>
          <w:bCs/>
          <w:sz w:val="16"/>
          <w:szCs w:val="16"/>
        </w:rPr>
      </w:pPr>
      <w:r w:rsidRPr="009F6174">
        <w:rPr>
          <w:b/>
          <w:bCs/>
          <w:sz w:val="16"/>
          <w:szCs w:val="16"/>
        </w:rPr>
        <w:t xml:space="preserve">2026: FIRE &amp; EMS - CURRENT EVENTS:   </w:t>
      </w:r>
      <w:hyperlink r:id="rId16" w:history="1">
        <w:r w:rsidRPr="009F6174">
          <w:rPr>
            <w:rStyle w:val="Hyperlink"/>
            <w:b/>
            <w:bCs/>
            <w:sz w:val="16"/>
            <w:szCs w:val="16"/>
          </w:rPr>
          <w:t>https://doi.org/10.7945/0dwx-fc52</w:t>
        </w:r>
      </w:hyperlink>
    </w:p>
    <w:p w14:paraId="60804F3F" w14:textId="77777777" w:rsidR="009F6174" w:rsidRPr="009F6174" w:rsidRDefault="009F6174" w:rsidP="009F6174">
      <w:pPr>
        <w:pStyle w:val="NoSpacing"/>
        <w:numPr>
          <w:ilvl w:val="0"/>
          <w:numId w:val="42"/>
        </w:numPr>
        <w:rPr>
          <w:b/>
          <w:bCs/>
          <w:sz w:val="16"/>
          <w:szCs w:val="16"/>
        </w:rPr>
      </w:pPr>
      <w:r w:rsidRPr="009F6174">
        <w:rPr>
          <w:b/>
          <w:bCs/>
          <w:sz w:val="16"/>
          <w:szCs w:val="16"/>
        </w:rPr>
        <w:t>2026: EMS LAW – LEGAL LESSONS LEARNED (3</w:t>
      </w:r>
      <w:r w:rsidRPr="009F6174">
        <w:rPr>
          <w:b/>
          <w:bCs/>
          <w:sz w:val="16"/>
          <w:szCs w:val="16"/>
          <w:vertAlign w:val="superscript"/>
        </w:rPr>
        <w:t>rd</w:t>
      </w:r>
      <w:r w:rsidRPr="009F6174">
        <w:rPr>
          <w:b/>
          <w:bCs/>
          <w:sz w:val="16"/>
          <w:szCs w:val="16"/>
        </w:rPr>
        <w:t xml:space="preserve"> Edition) – case summaries 2018 - present: </w:t>
      </w:r>
      <w:hyperlink r:id="rId17" w:history="1">
        <w:r w:rsidRPr="009F6174">
          <w:rPr>
            <w:rStyle w:val="Hyperlink"/>
            <w:b/>
            <w:bCs/>
            <w:sz w:val="16"/>
            <w:szCs w:val="16"/>
          </w:rPr>
          <w:t>https://scholar.uc.edu/show/dn39x307g</w:t>
        </w:r>
      </w:hyperlink>
    </w:p>
    <w:p w14:paraId="356D09A4" w14:textId="77777777" w:rsidR="009F6174" w:rsidRPr="009F6174" w:rsidRDefault="009F6174" w:rsidP="009F6174">
      <w:pPr>
        <w:pStyle w:val="NoSpacing"/>
        <w:numPr>
          <w:ilvl w:val="0"/>
          <w:numId w:val="42"/>
        </w:numPr>
        <w:rPr>
          <w:b/>
          <w:bCs/>
          <w:sz w:val="16"/>
          <w:szCs w:val="16"/>
        </w:rPr>
      </w:pPr>
      <w:r w:rsidRPr="009F6174">
        <w:rPr>
          <w:b/>
          <w:bCs/>
          <w:sz w:val="16"/>
          <w:szCs w:val="16"/>
        </w:rPr>
        <w:t xml:space="preserve">2026: POLITICAL &amp; LEGAL APPLICATIONS FOR EMERGENCY SERVICES (3 Author text for National Fire Academy / FESHE online course): </w:t>
      </w:r>
      <w:hyperlink r:id="rId18" w:history="1">
        <w:r w:rsidRPr="009F6174">
          <w:rPr>
            <w:rStyle w:val="Hyperlink"/>
            <w:b/>
            <w:bCs/>
            <w:sz w:val="16"/>
            <w:szCs w:val="16"/>
          </w:rPr>
          <w:t>https://doi.org/10.7945/av8d-c920</w:t>
        </w:r>
      </w:hyperlink>
    </w:p>
    <w:p w14:paraId="3317A5AE" w14:textId="77777777" w:rsidR="009F6174" w:rsidRPr="009F6174" w:rsidRDefault="009F6174" w:rsidP="009F6174">
      <w:pPr>
        <w:pStyle w:val="NoSpacing"/>
        <w:numPr>
          <w:ilvl w:val="0"/>
          <w:numId w:val="42"/>
        </w:numPr>
        <w:rPr>
          <w:b/>
          <w:bCs/>
          <w:sz w:val="16"/>
          <w:szCs w:val="16"/>
        </w:rPr>
      </w:pPr>
      <w:r w:rsidRPr="009F6174">
        <w:rPr>
          <w:b/>
          <w:bCs/>
          <w:sz w:val="16"/>
          <w:szCs w:val="16"/>
        </w:rPr>
        <w:t xml:space="preserve">2026: EMS POLITICAL &amp; LEGAL APPLICATIONS FOR EMERGENCY MEDICAL SERVICES  (4 Author text for National Fire Academy / FESHE online course): </w:t>
      </w:r>
      <w:hyperlink r:id="rId19" w:history="1">
        <w:r w:rsidRPr="009F6174">
          <w:rPr>
            <w:rStyle w:val="Hyperlink"/>
            <w:b/>
            <w:bCs/>
            <w:sz w:val="16"/>
            <w:szCs w:val="16"/>
          </w:rPr>
          <w:t>https://scholar.uc.edu/concern/documents/ht24wm15r?locale=en</w:t>
        </w:r>
      </w:hyperlink>
    </w:p>
    <w:p w14:paraId="2D3BDA88" w14:textId="77777777" w:rsidR="009F6174" w:rsidRPr="009F6174" w:rsidRDefault="009F6174" w:rsidP="009F6174">
      <w:pPr>
        <w:pStyle w:val="NoSpacing"/>
        <w:numPr>
          <w:ilvl w:val="0"/>
          <w:numId w:val="42"/>
        </w:numPr>
        <w:rPr>
          <w:b/>
          <w:bCs/>
          <w:sz w:val="16"/>
          <w:szCs w:val="16"/>
        </w:rPr>
      </w:pPr>
      <w:r w:rsidRPr="009F6174">
        <w:rPr>
          <w:b/>
          <w:bCs/>
          <w:sz w:val="16"/>
          <w:szCs w:val="16"/>
        </w:rPr>
        <w:t xml:space="preserve">2026: AMERICAN HISTORY – FOR FIRE &amp; EMS (including U.S. Supreme Court decisions, and Major Fires)  </w:t>
      </w:r>
      <w:hyperlink r:id="rId20" w:history="1">
        <w:r w:rsidRPr="009F6174">
          <w:rPr>
            <w:rStyle w:val="Hyperlink"/>
            <w:b/>
            <w:bCs/>
            <w:sz w:val="16"/>
            <w:szCs w:val="16"/>
          </w:rPr>
          <w:t>https://scholar.uc.edu/show/ks65hd707</w:t>
        </w:r>
      </w:hyperlink>
    </w:p>
    <w:p w14:paraId="6C3B5078" w14:textId="77777777" w:rsidR="009F6174" w:rsidRPr="009F6174" w:rsidRDefault="009F6174" w:rsidP="009F6174">
      <w:pPr>
        <w:pStyle w:val="NoSpacing"/>
        <w:numPr>
          <w:ilvl w:val="0"/>
          <w:numId w:val="42"/>
        </w:numPr>
        <w:rPr>
          <w:b/>
          <w:bCs/>
          <w:sz w:val="16"/>
          <w:szCs w:val="16"/>
        </w:rPr>
      </w:pPr>
      <w:r w:rsidRPr="009F6174">
        <w:rPr>
          <w:b/>
          <w:bCs/>
          <w:sz w:val="16"/>
          <w:szCs w:val="16"/>
        </w:rPr>
        <w:t xml:space="preserve">2017: TEXTBOOK:  FIRE SERVICE LAW (Second Edition) (ISBN 978-1-4786-3397-6); Waveland Press: </w:t>
      </w:r>
      <w:hyperlink r:id="rId21" w:history="1">
        <w:r w:rsidRPr="009F6174">
          <w:rPr>
            <w:rStyle w:val="Hyperlink"/>
            <w:b/>
            <w:bCs/>
            <w:sz w:val="16"/>
            <w:szCs w:val="16"/>
          </w:rPr>
          <w:t>http://www.waveland.com/browse.php?t=708</w:t>
        </w:r>
      </w:hyperlink>
      <w:r w:rsidRPr="009F6174">
        <w:rPr>
          <w:b/>
          <w:bCs/>
          <w:sz w:val="16"/>
          <w:szCs w:val="16"/>
        </w:rPr>
        <w:t xml:space="preserve">  (First Edition – Prentice Hall, 2008).</w:t>
      </w:r>
    </w:p>
    <w:p w14:paraId="3A8B0D38" w14:textId="77777777" w:rsidR="009F6174" w:rsidRPr="009F6174" w:rsidRDefault="009F6174" w:rsidP="009F6174">
      <w:pPr>
        <w:pStyle w:val="NoSpacing"/>
        <w:numPr>
          <w:ilvl w:val="0"/>
          <w:numId w:val="42"/>
        </w:numPr>
        <w:rPr>
          <w:b/>
          <w:bCs/>
          <w:sz w:val="16"/>
          <w:szCs w:val="16"/>
        </w:rPr>
      </w:pPr>
      <w:r w:rsidRPr="009F6174">
        <w:rPr>
          <w:b/>
          <w:bCs/>
          <w:sz w:val="16"/>
          <w:szCs w:val="16"/>
        </w:rPr>
        <w:t>2006: CHIEF FIRE OFFICER’S DESK REFERENCE: Jones &amp; Bartlett, Chap. 4: U.S. Legal System.</w:t>
      </w:r>
    </w:p>
    <w:p w14:paraId="0387007A" w14:textId="77777777" w:rsidR="009F6174" w:rsidRPr="009F6174" w:rsidRDefault="009F6174" w:rsidP="009F6174">
      <w:pPr>
        <w:pStyle w:val="NoSpacing"/>
        <w:numPr>
          <w:ilvl w:val="0"/>
          <w:numId w:val="42"/>
        </w:numPr>
        <w:rPr>
          <w:b/>
          <w:bCs/>
          <w:sz w:val="16"/>
          <w:szCs w:val="16"/>
        </w:rPr>
      </w:pPr>
      <w:r w:rsidRPr="009F6174">
        <w:rPr>
          <w:b/>
          <w:bCs/>
          <w:sz w:val="16"/>
          <w:szCs w:val="16"/>
        </w:rPr>
        <w:t>2005: FIRE &amp; EMS LAW FOR OFFICERS: Fire Protection Publications, Okla. State: Employment Best Practices (2005); Safety (2004).</w:t>
      </w:r>
    </w:p>
    <w:p w14:paraId="6D2A07B5" w14:textId="77777777" w:rsidR="009F6174" w:rsidRPr="009F6174" w:rsidRDefault="009F6174" w:rsidP="009F6174">
      <w:pPr>
        <w:pStyle w:val="NoSpacing"/>
        <w:rPr>
          <w:b/>
          <w:bCs/>
          <w:sz w:val="16"/>
          <w:szCs w:val="16"/>
          <w:u w:val="single"/>
        </w:rPr>
      </w:pPr>
    </w:p>
    <w:p w14:paraId="75EF7650" w14:textId="77777777" w:rsidR="006D2D4A" w:rsidRDefault="006D2D4A" w:rsidP="006D2D4A">
      <w:pPr>
        <w:pStyle w:val="NoSpacing"/>
        <w:rPr>
          <w:b/>
          <w:bCs/>
          <w:sz w:val="16"/>
          <w:szCs w:val="16"/>
        </w:rPr>
      </w:pPr>
    </w:p>
    <w:p w14:paraId="12AD15FA" w14:textId="77777777" w:rsidR="006D2D4A" w:rsidRPr="00F5681B" w:rsidRDefault="006D2D4A" w:rsidP="006D2D4A">
      <w:pPr>
        <w:pStyle w:val="NoSpacing"/>
        <w:ind w:left="720"/>
        <w:rPr>
          <w:rFonts w:ascii="Times New Roman" w:hAnsi="Times New Roman"/>
          <w:b/>
          <w:bCs/>
          <w:sz w:val="20"/>
          <w:szCs w:val="20"/>
        </w:rPr>
      </w:pPr>
    </w:p>
    <w:p w14:paraId="544D5725" w14:textId="77777777" w:rsidR="006C4753" w:rsidRPr="00F5681B" w:rsidRDefault="006C4753" w:rsidP="00F326E5">
      <w:pPr>
        <w:pStyle w:val="NoSpacing"/>
        <w:rPr>
          <w:rFonts w:ascii="Times New Roman" w:hAnsi="Times New Roman"/>
          <w:sz w:val="20"/>
          <w:szCs w:val="20"/>
        </w:rPr>
      </w:pPr>
    </w:p>
    <w:p w14:paraId="3216C5A5" w14:textId="24866E97" w:rsidR="00F326E5" w:rsidRDefault="00F326E5" w:rsidP="00F326E5">
      <w:pPr>
        <w:pStyle w:val="NoSpacing"/>
        <w:rPr>
          <w:rFonts w:ascii="Arial Black" w:hAnsi="Arial Black"/>
          <w:sz w:val="40"/>
          <w:szCs w:val="40"/>
        </w:rPr>
      </w:pPr>
      <w:r w:rsidRPr="007732FA">
        <w:rPr>
          <w:rFonts w:ascii="Arial Black" w:hAnsi="Arial Black"/>
          <w:sz w:val="40"/>
          <w:szCs w:val="40"/>
        </w:rPr>
        <w:t>Chap. 1</w:t>
      </w:r>
      <w:r w:rsidRPr="007732FA">
        <w:rPr>
          <w:rFonts w:ascii="Arial Black" w:hAnsi="Arial Black"/>
          <w:sz w:val="40"/>
          <w:szCs w:val="40"/>
        </w:rPr>
        <w:tab/>
        <w:t>American Legal System</w:t>
      </w:r>
      <w:r w:rsidR="003F660F">
        <w:rPr>
          <w:rFonts w:ascii="Arial Black" w:hAnsi="Arial Black"/>
          <w:sz w:val="40"/>
          <w:szCs w:val="40"/>
        </w:rPr>
        <w:t>, incl</w:t>
      </w:r>
      <w:r w:rsidR="00022BE4">
        <w:rPr>
          <w:rFonts w:ascii="Arial Black" w:hAnsi="Arial Black"/>
          <w:sz w:val="40"/>
          <w:szCs w:val="40"/>
        </w:rPr>
        <w:t xml:space="preserve">. </w:t>
      </w:r>
      <w:r w:rsidR="00636395">
        <w:rPr>
          <w:rFonts w:ascii="Arial Black" w:hAnsi="Arial Black"/>
          <w:sz w:val="40"/>
          <w:szCs w:val="40"/>
        </w:rPr>
        <w:t xml:space="preserve">Fire </w:t>
      </w:r>
      <w:r w:rsidRPr="007732FA">
        <w:rPr>
          <w:rFonts w:ascii="Arial Black" w:hAnsi="Arial Black"/>
          <w:sz w:val="40"/>
          <w:szCs w:val="40"/>
        </w:rPr>
        <w:t>Code</w:t>
      </w:r>
      <w:r w:rsidR="00636395">
        <w:rPr>
          <w:rFonts w:ascii="Arial Black" w:hAnsi="Arial Black"/>
          <w:sz w:val="40"/>
          <w:szCs w:val="40"/>
        </w:rPr>
        <w:t>s</w:t>
      </w:r>
      <w:r w:rsidR="003F660F">
        <w:rPr>
          <w:rFonts w:ascii="Arial Black" w:hAnsi="Arial Black"/>
          <w:sz w:val="40"/>
          <w:szCs w:val="40"/>
        </w:rPr>
        <w:t xml:space="preserve">, </w:t>
      </w:r>
      <w:r w:rsidR="00636395">
        <w:rPr>
          <w:rFonts w:ascii="Arial Black" w:hAnsi="Arial Black"/>
          <w:sz w:val="40"/>
          <w:szCs w:val="40"/>
        </w:rPr>
        <w:t xml:space="preserve">Arson </w:t>
      </w:r>
      <w:r w:rsidRPr="007732FA">
        <w:rPr>
          <w:rFonts w:ascii="Arial Black" w:hAnsi="Arial Black"/>
          <w:sz w:val="40"/>
          <w:szCs w:val="40"/>
        </w:rPr>
        <w:t xml:space="preserve"> </w:t>
      </w:r>
    </w:p>
    <w:p w14:paraId="23DD4856" w14:textId="77777777" w:rsidR="0050742B" w:rsidRDefault="0050742B" w:rsidP="0050742B">
      <w:pPr>
        <w:pStyle w:val="NoSpacing"/>
        <w:rPr>
          <w:rFonts w:ascii="Arial Black" w:hAnsi="Arial Black"/>
          <w:sz w:val="28"/>
          <w:szCs w:val="28"/>
        </w:rPr>
      </w:pPr>
    </w:p>
    <w:p w14:paraId="277E3F6E" w14:textId="7C02D2A6" w:rsidR="0050742B" w:rsidRDefault="0050742B" w:rsidP="0050742B">
      <w:pPr>
        <w:pStyle w:val="NoSpacing"/>
        <w:rPr>
          <w:rFonts w:ascii="Arial Black" w:hAnsi="Arial Black"/>
          <w:sz w:val="28"/>
          <w:szCs w:val="28"/>
        </w:rPr>
      </w:pPr>
      <w:r>
        <w:rPr>
          <w:rFonts w:ascii="Arial Black" w:hAnsi="Arial Black"/>
          <w:sz w:val="28"/>
          <w:szCs w:val="28"/>
        </w:rPr>
        <w:t>1-223</w:t>
      </w:r>
    </w:p>
    <w:p w14:paraId="3D8A8996" w14:textId="77777777" w:rsidR="007008DA" w:rsidRDefault="007008DA" w:rsidP="00E16BDA">
      <w:pPr>
        <w:pStyle w:val="NoSpacing"/>
        <w:rPr>
          <w:rFonts w:ascii="Arial Black" w:hAnsi="Arial Black"/>
          <w:sz w:val="28"/>
          <w:szCs w:val="28"/>
        </w:rPr>
      </w:pPr>
    </w:p>
    <w:p w14:paraId="7D8A20AE" w14:textId="77777777" w:rsidR="007008DA" w:rsidRPr="00CF4239" w:rsidRDefault="007008DA" w:rsidP="007008DA">
      <w:pPr>
        <w:pStyle w:val="NoSpacing"/>
        <w:rPr>
          <w:rFonts w:ascii="Arial Black" w:hAnsi="Arial Black"/>
        </w:rPr>
      </w:pPr>
      <w:r>
        <w:rPr>
          <w:rFonts w:ascii="Arial Black" w:hAnsi="Arial Black"/>
        </w:rPr>
        <w:t>KY: ARSON / WANTON ENDANGERMENT – TWO SEP CRIMES – 32 YRS</w:t>
      </w:r>
    </w:p>
    <w:p w14:paraId="3714AED8" w14:textId="77777777" w:rsidR="007008DA" w:rsidRDefault="007008DA" w:rsidP="007008DA">
      <w:pPr>
        <w:pStyle w:val="NoSpacing"/>
      </w:pPr>
    </w:p>
    <w:p w14:paraId="2F846338" w14:textId="77777777" w:rsidR="007008DA" w:rsidRDefault="007008DA" w:rsidP="007008DA">
      <w:pPr>
        <w:pStyle w:val="NoSpacing"/>
      </w:pPr>
      <w:r>
        <w:t xml:space="preserve">On August 20, 2026, in </w:t>
      </w:r>
      <w:r w:rsidRPr="00317611">
        <w:rPr>
          <w:u w:val="single"/>
        </w:rPr>
        <w:t>Joseph Gordon Young v. Commonwealth of Kentucky</w:t>
      </w:r>
      <w:r>
        <w:t xml:space="preserve">, the Kentucky Supreme Court held (6 to 0) that there was no double jeopardy violation; starting fire on front porch of a house where three people were inside is both arson in first degree and three-counts of wanton endangerment; he must now serve 32 years in prison (per jury recommendation, 22 years for arson, and 10 years for wanton endangerment).  </w:t>
      </w:r>
      <w:hyperlink r:id="rId22" w:history="1">
        <w:r w:rsidRPr="007E39F2">
          <w:rPr>
            <w:rStyle w:val="Hyperlink"/>
          </w:rPr>
          <w:t>http://opinions.kycourts.net/sc/2025-SC-0487-MR.pdf</w:t>
        </w:r>
      </w:hyperlink>
    </w:p>
    <w:p w14:paraId="04DF3184" w14:textId="77777777" w:rsidR="007008DA" w:rsidRDefault="007008DA" w:rsidP="007008DA">
      <w:pPr>
        <w:pStyle w:val="NoSpacing"/>
      </w:pPr>
    </w:p>
    <w:p w14:paraId="017B4416" w14:textId="77777777" w:rsidR="007008DA" w:rsidRDefault="007008DA" w:rsidP="007008DA">
      <w:pPr>
        <w:pStyle w:val="NoSpacing"/>
      </w:pPr>
      <w:r>
        <w:lastRenderedPageBreak/>
        <w:t xml:space="preserve">THE COURT WROTE: </w:t>
      </w:r>
    </w:p>
    <w:p w14:paraId="70EFBD22" w14:textId="77777777" w:rsidR="007008DA" w:rsidRDefault="007008DA" w:rsidP="007008DA">
      <w:pPr>
        <w:pStyle w:val="NoSpacing"/>
      </w:pPr>
    </w:p>
    <w:p w14:paraId="3837A396" w14:textId="77777777" w:rsidR="007008DA" w:rsidRDefault="007008DA" w:rsidP="007008DA">
      <w:pPr>
        <w:pStyle w:val="NoSpacing"/>
        <w:ind w:left="720"/>
      </w:pPr>
      <w:r>
        <w:t>“Even a cursory reading of these two statutes reveals the elements of the two crimes are quite different. Starting a fire or causing an explosion with the intent to damage or destroy a building is required to convict of arson in the first degree but is not necessary to convict of wanton endangerment in the first degree. Engaging in conduct manifesting an extreme indifference to the value of human life is mandatory for a conviction of wanton endangerment in the first degree, but such conduct is irrelevant to an offense of arson in the first degree, as the building does not actually have to be inhabited or occupied at</w:t>
      </w:r>
    </w:p>
    <w:p w14:paraId="498B759A" w14:textId="77777777" w:rsidR="007008DA" w:rsidRDefault="007008DA" w:rsidP="007008DA">
      <w:pPr>
        <w:pStyle w:val="NoSpacing"/>
        <w:ind w:left="720"/>
      </w:pPr>
      <w:proofErr w:type="gramStart"/>
      <w:r>
        <w:t>the</w:t>
      </w:r>
      <w:proofErr w:type="gramEnd"/>
      <w:r>
        <w:t xml:space="preserve"> time the fire is set, so long as the defendant had a reasonable </w:t>
      </w:r>
      <w:proofErr w:type="gramStart"/>
      <w:r>
        <w:t>belief</w:t>
      </w:r>
      <w:proofErr w:type="gramEnd"/>
      <w:r>
        <w:t xml:space="preserve"> a person was present. In addition, arson in the first degree is a crime against property while wanton endangerment in the first degree is </w:t>
      </w:r>
      <w:proofErr w:type="gramStart"/>
      <w:r>
        <w:t>in the nature of a</w:t>
      </w:r>
      <w:proofErr w:type="gramEnd"/>
      <w:r>
        <w:t xml:space="preserve"> crime against a person. Although there may be an overlap of proof covering the two offenses in this case, that does not, in and of itself, constitute a double jeopardy violation.”</w:t>
      </w:r>
    </w:p>
    <w:p w14:paraId="062B730F" w14:textId="77777777" w:rsidR="007008DA" w:rsidRDefault="007008DA" w:rsidP="007008DA">
      <w:pPr>
        <w:pStyle w:val="NoSpacing"/>
        <w:ind w:left="720"/>
      </w:pPr>
    </w:p>
    <w:p w14:paraId="4BE9BF52" w14:textId="77777777" w:rsidR="007008DA" w:rsidRPr="00795353" w:rsidRDefault="007008DA" w:rsidP="007008DA">
      <w:pPr>
        <w:rPr>
          <w:b/>
          <w:bCs/>
        </w:rPr>
      </w:pPr>
      <w:r>
        <w:rPr>
          <w:b/>
        </w:rPr>
        <w:t xml:space="preserve">Legal lesson learned: Not double jeopardy when defendant’s conduct violates two different criminal statutes. </w:t>
      </w:r>
    </w:p>
    <w:p w14:paraId="49A7398B" w14:textId="4AAB2986" w:rsidR="0050742B" w:rsidRDefault="0050742B" w:rsidP="0050742B">
      <w:pPr>
        <w:pStyle w:val="NoSpacing"/>
        <w:rPr>
          <w:rFonts w:ascii="Arial Black" w:hAnsi="Arial Black"/>
          <w:sz w:val="28"/>
          <w:szCs w:val="28"/>
        </w:rPr>
      </w:pPr>
      <w:r>
        <w:rPr>
          <w:rFonts w:ascii="Arial Black" w:hAnsi="Arial Black"/>
          <w:sz w:val="28"/>
          <w:szCs w:val="28"/>
        </w:rPr>
        <w:t>1-222</w:t>
      </w:r>
    </w:p>
    <w:p w14:paraId="615D8175" w14:textId="77777777" w:rsidR="007008DA" w:rsidRDefault="007008DA" w:rsidP="007008DA">
      <w:pPr>
        <w:pStyle w:val="NoSpacing"/>
      </w:pPr>
    </w:p>
    <w:p w14:paraId="5B3C4915" w14:textId="77777777" w:rsidR="007008DA" w:rsidRDefault="007008DA" w:rsidP="007008DA">
      <w:pPr>
        <w:pStyle w:val="NoSpacing"/>
      </w:pPr>
    </w:p>
    <w:p w14:paraId="4269B705" w14:textId="77777777" w:rsidR="00461AF1" w:rsidRPr="001C0825" w:rsidRDefault="00461AF1" w:rsidP="00461AF1">
      <w:pPr>
        <w:pStyle w:val="NoSpacing"/>
        <w:rPr>
          <w:rFonts w:ascii="Arial Black" w:hAnsi="Arial Black"/>
          <w:sz w:val="28"/>
          <w:szCs w:val="28"/>
        </w:rPr>
      </w:pPr>
      <w:r>
        <w:rPr>
          <w:rFonts w:ascii="Arial Black" w:hAnsi="Arial Black"/>
          <w:sz w:val="28"/>
          <w:szCs w:val="28"/>
        </w:rPr>
        <w:t>IA: ARSONIST CALLED 911 – PROVE “INTENT” BY ACTIONS</w:t>
      </w:r>
    </w:p>
    <w:p w14:paraId="6C9F1002" w14:textId="77777777" w:rsidR="00461AF1" w:rsidRDefault="00461AF1" w:rsidP="00461AF1">
      <w:pPr>
        <w:pStyle w:val="NoSpacing"/>
      </w:pPr>
    </w:p>
    <w:p w14:paraId="2D360AB9" w14:textId="77777777" w:rsidR="00461AF1" w:rsidRDefault="00461AF1" w:rsidP="00461AF1">
      <w:pPr>
        <w:rPr>
          <w:b/>
        </w:rPr>
      </w:pPr>
      <w:r>
        <w:t xml:space="preserve">On August 19, 2026, in </w:t>
      </w:r>
      <w:r w:rsidRPr="00F93E45">
        <w:rPr>
          <w:u w:val="single"/>
        </w:rPr>
        <w:t>State of Iowa v. Diamond Unique Campbell</w:t>
      </w:r>
      <w:r>
        <w:t xml:space="preserve">, the </w:t>
      </w:r>
      <w:r w:rsidRPr="00F93E45">
        <w:t>Court of Appeals of Iowa</w:t>
      </w:r>
      <w:r>
        <w:t xml:space="preserve"> held (3 to 0) that jury properly found defendant guilty of </w:t>
      </w:r>
      <w:r w:rsidRPr="00EF0AD3">
        <w:t>first-degree arson</w:t>
      </w:r>
      <w:r>
        <w:t xml:space="preserve">, having lit two fires in front of a duplex. She called 911 and falsely claimed reporting a fire at the duplex with people inside the home screaming.  She appeals claiming she was only “reckless” with no intent to destroy or damage the property; the jury was properly instructed that person intends the natural results of her act. </w:t>
      </w:r>
      <w:hyperlink r:id="rId23" w:history="1">
        <w:r w:rsidRPr="000D4724">
          <w:rPr>
            <w:rStyle w:val="Hyperlink"/>
            <w:b/>
          </w:rPr>
          <w:t>https://cases.justia.com/iowa/court-of-appeals/2026-25-0805.pdf?ts=1787163745</w:t>
        </w:r>
      </w:hyperlink>
      <w:r>
        <w:rPr>
          <w:b/>
        </w:rPr>
        <w:t xml:space="preserve"> </w:t>
      </w:r>
    </w:p>
    <w:p w14:paraId="0D462790" w14:textId="77777777" w:rsidR="00461AF1" w:rsidRDefault="00461AF1" w:rsidP="00461AF1">
      <w:pPr>
        <w:pStyle w:val="NoSpacing"/>
        <w:rPr>
          <w:bCs/>
        </w:rPr>
      </w:pPr>
      <w:r>
        <w:t xml:space="preserve">THE COURT WROTE: </w:t>
      </w:r>
    </w:p>
    <w:p w14:paraId="5768764F" w14:textId="77777777" w:rsidR="00461AF1" w:rsidRDefault="00461AF1" w:rsidP="00461AF1">
      <w:pPr>
        <w:pStyle w:val="NoSpacing"/>
        <w:rPr>
          <w:bCs/>
        </w:rPr>
      </w:pPr>
    </w:p>
    <w:p w14:paraId="5D8F9AFA" w14:textId="77777777" w:rsidR="00461AF1" w:rsidRDefault="00461AF1" w:rsidP="00461AF1">
      <w:pPr>
        <w:pStyle w:val="NoSpacing"/>
        <w:ind w:left="720"/>
      </w:pPr>
      <w:r>
        <w:t xml:space="preserve">“After setting and extinguishing the initial fire near Harris’s front stoop, Campbell got in her car, drove down the alley, and then returned to set the fire by Keller’s side of the duplex. She was aware how high the fire could get (and how quickly) from the first fire, but she still chose to set the second fire next to the gas meter with plenty of dried leaves surrounding it to serve as fuel. And security footage showed her putting some sort of accelerant on the already-burning fire, causing it to flare up. She then moved her car from the alley back to the street before calling emergency services. With her own words, Campbell’s 911 call suggests she believed the gas meter was on fire. Viewing the </w:t>
      </w:r>
      <w:proofErr w:type="gramStart"/>
      <w:r>
        <w:t>evidence as a whole, the</w:t>
      </w:r>
      <w:proofErr w:type="gramEnd"/>
      <w:r>
        <w:t xml:space="preserve"> jury reasonably concluded Campbell either intended to damage or destroy the property or knew damage or destruction would probably result.”</w:t>
      </w:r>
    </w:p>
    <w:p w14:paraId="69394056" w14:textId="77777777" w:rsidR="00461AF1" w:rsidRDefault="00461AF1" w:rsidP="00461AF1">
      <w:pPr>
        <w:pStyle w:val="NoSpacing"/>
        <w:ind w:left="720"/>
      </w:pPr>
    </w:p>
    <w:p w14:paraId="54660313" w14:textId="77777777" w:rsidR="00461AF1" w:rsidRPr="000158AD" w:rsidRDefault="00461AF1" w:rsidP="00461AF1">
      <w:pPr>
        <w:pStyle w:val="NoSpacing"/>
        <w:rPr>
          <w:b/>
          <w:bCs/>
        </w:rPr>
      </w:pPr>
      <w:r>
        <w:rPr>
          <w:b/>
        </w:rPr>
        <w:t xml:space="preserve">Legal lesson learned: The actual intent of the arsonist does not need to be proved; she intends the natural results of her conduct. </w:t>
      </w:r>
    </w:p>
    <w:p w14:paraId="4BC27187" w14:textId="77777777" w:rsidR="007008DA" w:rsidRDefault="007008DA" w:rsidP="00E16BDA">
      <w:pPr>
        <w:pStyle w:val="NoSpacing"/>
        <w:rPr>
          <w:rFonts w:ascii="Arial Black" w:hAnsi="Arial Black"/>
          <w:sz w:val="28"/>
          <w:szCs w:val="28"/>
        </w:rPr>
      </w:pPr>
    </w:p>
    <w:p w14:paraId="4B789336" w14:textId="366E03BD" w:rsidR="0050742B" w:rsidRDefault="0050742B" w:rsidP="00E16BDA">
      <w:pPr>
        <w:pStyle w:val="NoSpacing"/>
        <w:rPr>
          <w:rFonts w:ascii="Arial Black" w:hAnsi="Arial Black"/>
          <w:sz w:val="28"/>
          <w:szCs w:val="28"/>
        </w:rPr>
      </w:pPr>
      <w:r>
        <w:rPr>
          <w:rFonts w:ascii="Arial Black" w:hAnsi="Arial Black"/>
          <w:sz w:val="28"/>
          <w:szCs w:val="28"/>
        </w:rPr>
        <w:t>1-221</w:t>
      </w:r>
    </w:p>
    <w:p w14:paraId="0739CF03" w14:textId="77777777" w:rsidR="0050742B" w:rsidRDefault="0050742B" w:rsidP="00E16BDA">
      <w:pPr>
        <w:pStyle w:val="NoSpacing"/>
        <w:rPr>
          <w:rFonts w:ascii="Arial Black" w:hAnsi="Arial Black"/>
          <w:sz w:val="28"/>
          <w:szCs w:val="28"/>
        </w:rPr>
      </w:pPr>
    </w:p>
    <w:p w14:paraId="38E35445" w14:textId="77777777" w:rsidR="0050742B" w:rsidRPr="007550B2" w:rsidRDefault="0050742B" w:rsidP="0050742B">
      <w:pPr>
        <w:pStyle w:val="NoSpacing"/>
        <w:rPr>
          <w:rFonts w:ascii="Arial Black" w:hAnsi="Arial Black"/>
          <w:sz w:val="28"/>
          <w:szCs w:val="28"/>
        </w:rPr>
      </w:pPr>
      <w:r>
        <w:rPr>
          <w:rFonts w:ascii="Arial Black" w:hAnsi="Arial Black"/>
          <w:sz w:val="28"/>
          <w:szCs w:val="28"/>
        </w:rPr>
        <w:t>IN: ADT DIDN’T RE-SET ALARM – $7M CLUBHOUSE FIRE</w:t>
      </w:r>
    </w:p>
    <w:p w14:paraId="0424BF66" w14:textId="77777777" w:rsidR="0050742B" w:rsidRDefault="0050742B" w:rsidP="0050742B">
      <w:pPr>
        <w:pStyle w:val="NoSpacing"/>
      </w:pPr>
    </w:p>
    <w:p w14:paraId="10CF67DA" w14:textId="77777777" w:rsidR="0050742B" w:rsidRDefault="0050742B" w:rsidP="0050742B">
      <w:pPr>
        <w:pStyle w:val="NoSpacing"/>
      </w:pPr>
      <w:r>
        <w:t xml:space="preserve">On August 19, 2026, in </w:t>
      </w:r>
      <w:r w:rsidRPr="006450F2">
        <w:rPr>
          <w:u w:val="single"/>
        </w:rPr>
        <w:t>Frankenmuth Insurance Company and Lindy’s, Inc., which does business as Juday Creek Golf Course v. ADT LLC</w:t>
      </w:r>
      <w:r>
        <w:t xml:space="preserve">, U.S. District Court Judge </w:t>
      </w:r>
      <w:r w:rsidRPr="0049721C">
        <w:t>Damon R. Leichty</w:t>
      </w:r>
      <w:r>
        <w:t xml:space="preserve">, United States District Court for the Northern District of Indiana, South Bend Division, held that case will proceed on breach of contract and negligence, but grated ADT’s motion to dismiss actual fraud claims.  On April 16, 2024, construction at the clubhouse set off smoke detectors and alerted ADT, which agreed to turn off alarms for one week during construction.  ADT </w:t>
      </w:r>
      <w:r w:rsidRPr="00515358">
        <w:t>placed Juday</w:t>
      </w:r>
      <w:r>
        <w:t xml:space="preserve"> </w:t>
      </w:r>
      <w:r w:rsidRPr="00515358">
        <w:t>Creek’s system “on test,” which silenced all fire alarms and supervisory alert</w:t>
      </w:r>
      <w:r>
        <w:t xml:space="preserve">; but they never reactivated the system and on </w:t>
      </w:r>
      <w:r w:rsidRPr="00515358">
        <w:t xml:space="preserve">August 26, </w:t>
      </w:r>
      <w:proofErr w:type="gramStart"/>
      <w:r w:rsidRPr="00515358">
        <w:t>2024</w:t>
      </w:r>
      <w:proofErr w:type="gramEnd"/>
      <w:r>
        <w:t xml:space="preserve"> the </w:t>
      </w:r>
      <w:r>
        <w:lastRenderedPageBreak/>
        <w:t xml:space="preserve">clubhouse was destroyed by fire - $7 million loss. </w:t>
      </w:r>
      <w:hyperlink r:id="rId24" w:history="1">
        <w:r w:rsidRPr="0097314B">
          <w:rPr>
            <w:rStyle w:val="Hyperlink"/>
          </w:rPr>
          <w:t>https://cases.justia.com/federal/district-courts/indiana/inndce/3:2025cv00741/124078/29/0.pdf?ts=1787223415</w:t>
        </w:r>
      </w:hyperlink>
      <w:r>
        <w:t xml:space="preserve"> </w:t>
      </w:r>
    </w:p>
    <w:p w14:paraId="7FCFC7B8" w14:textId="77777777" w:rsidR="0050742B" w:rsidRDefault="0050742B" w:rsidP="0050742B">
      <w:pPr>
        <w:pStyle w:val="NoSpacing"/>
      </w:pPr>
    </w:p>
    <w:p w14:paraId="612DE084" w14:textId="77777777" w:rsidR="0050742B" w:rsidRDefault="0050742B" w:rsidP="0050742B">
      <w:pPr>
        <w:pStyle w:val="NoSpacing"/>
      </w:pPr>
      <w:r>
        <w:t>THE COURT WROTE:</w:t>
      </w:r>
    </w:p>
    <w:p w14:paraId="380B1FC4" w14:textId="77777777" w:rsidR="0050742B" w:rsidRDefault="0050742B" w:rsidP="0050742B">
      <w:pPr>
        <w:pStyle w:val="NoSpacing"/>
      </w:pPr>
    </w:p>
    <w:p w14:paraId="1DCE66B1" w14:textId="77777777" w:rsidR="0050742B" w:rsidRPr="00515358" w:rsidRDefault="0050742B" w:rsidP="0050742B">
      <w:pPr>
        <w:pStyle w:val="NoSpacing"/>
        <w:ind w:firstLine="720"/>
      </w:pPr>
      <w:r>
        <w:t>“</w:t>
      </w:r>
      <w:r w:rsidRPr="00515358">
        <w:t>A fire ignited at the clubhouse on August 26, 2024—first discovered at 5:30 a.m. by a</w:t>
      </w:r>
    </w:p>
    <w:p w14:paraId="12464887" w14:textId="77777777" w:rsidR="0050742B" w:rsidRPr="00515358" w:rsidRDefault="0050742B" w:rsidP="0050742B">
      <w:pPr>
        <w:pStyle w:val="NoSpacing"/>
        <w:ind w:firstLine="720"/>
      </w:pPr>
      <w:r w:rsidRPr="00515358">
        <w:t>passerby who saw smoke emanating from the eaves</w:t>
      </w:r>
      <w:r>
        <w:t xml:space="preserve">…. </w:t>
      </w:r>
      <w:r w:rsidRPr="00515358">
        <w:t>The local fire department was</w:t>
      </w:r>
    </w:p>
    <w:p w14:paraId="2D592DAC" w14:textId="77777777" w:rsidR="0050742B" w:rsidRDefault="0050742B" w:rsidP="0050742B">
      <w:pPr>
        <w:pStyle w:val="NoSpacing"/>
        <w:ind w:left="720"/>
      </w:pPr>
      <w:r w:rsidRPr="00515358">
        <w:t>dispatched and arrived within ten minutes</w:t>
      </w:r>
      <w:r>
        <w:t xml:space="preserve"> …. </w:t>
      </w:r>
      <w:r w:rsidRPr="00515358">
        <w:t>Firefighters attempted entry through the front</w:t>
      </w:r>
      <w:r>
        <w:t xml:space="preserve"> </w:t>
      </w:r>
      <w:r w:rsidRPr="00515358">
        <w:t>doors, but they determined that the floor was already compromised, so they took a defensive</w:t>
      </w:r>
      <w:r>
        <w:t xml:space="preserve"> </w:t>
      </w:r>
      <w:r w:rsidRPr="00515358">
        <w:t>position and never entered the building</w:t>
      </w:r>
      <w:r>
        <w:t>…. Juday Creek suffered more than $7,000,000 in property damage, business interruption losses, and extra expenses, and claims that these losses could have been avoided or limited had ADT done its job</w:t>
      </w:r>
      <w:proofErr w:type="gramStart"/>
      <w:r>
        <w:t>…..</w:t>
      </w:r>
      <w:proofErr w:type="gramEnd"/>
    </w:p>
    <w:p w14:paraId="5139F607" w14:textId="77777777" w:rsidR="0050742B" w:rsidRDefault="0050742B" w:rsidP="0050742B">
      <w:pPr>
        <w:pStyle w:val="NoSpacing"/>
      </w:pPr>
    </w:p>
    <w:p w14:paraId="37A03C84" w14:textId="77777777" w:rsidR="0050742B" w:rsidRDefault="0050742B" w:rsidP="0050742B">
      <w:pPr>
        <w:pStyle w:val="NoSpacing"/>
      </w:pPr>
      <w:r>
        <w:tab/>
        <w:t>***</w:t>
      </w:r>
    </w:p>
    <w:p w14:paraId="193E62DB" w14:textId="77777777" w:rsidR="0050742B" w:rsidRDefault="0050742B" w:rsidP="0050742B">
      <w:pPr>
        <w:pStyle w:val="NoSpacing"/>
      </w:pPr>
    </w:p>
    <w:p w14:paraId="0963294E" w14:textId="77777777" w:rsidR="0050742B" w:rsidRDefault="0050742B" w:rsidP="0050742B">
      <w:pPr>
        <w:pStyle w:val="NoSpacing"/>
        <w:ind w:left="720"/>
      </w:pPr>
      <w:r>
        <w:t>Nothing stops Juday Creek from proceeding in tort and in contract here, and the court cannot parse the injuries or damages today. The court cannot say they are coextensive now as a matter of law. The court denies the motion to dismiss the negligence claim.</w:t>
      </w:r>
    </w:p>
    <w:p w14:paraId="3C343C39" w14:textId="77777777" w:rsidR="0050742B" w:rsidRDefault="0050742B" w:rsidP="0050742B">
      <w:pPr>
        <w:pStyle w:val="NoSpacing"/>
        <w:ind w:left="720"/>
      </w:pPr>
    </w:p>
    <w:p w14:paraId="3AF73AF6" w14:textId="77777777" w:rsidR="0050742B" w:rsidRDefault="0050742B" w:rsidP="0050742B">
      <w:pPr>
        <w:pStyle w:val="NoSpacing"/>
        <w:ind w:left="720"/>
      </w:pPr>
      <w:r>
        <w:t>***</w:t>
      </w:r>
    </w:p>
    <w:p w14:paraId="399DCA8E" w14:textId="77777777" w:rsidR="0050742B" w:rsidRDefault="0050742B" w:rsidP="0050742B">
      <w:pPr>
        <w:pStyle w:val="NoSpacing"/>
        <w:ind w:left="720"/>
      </w:pPr>
      <w:r>
        <w:t>Juday Creek disclaims any fraud based on the ADT representative’s promise to silence the alarm system for only a week and focuses only on the representation presupposed by ongoing billing, and one cannot plausibly assume that billing was not part and parcel of this commercial contract. With no fraud or injury distinct from the alleged breach of contract, Juday Creek’s actual and constructive fraud claims must be dismissed.”</w:t>
      </w:r>
    </w:p>
    <w:p w14:paraId="75708598" w14:textId="77777777" w:rsidR="0050742B" w:rsidRDefault="0050742B" w:rsidP="0050742B">
      <w:pPr>
        <w:pStyle w:val="NoSpacing"/>
        <w:ind w:left="720"/>
      </w:pPr>
    </w:p>
    <w:p w14:paraId="78C21A84" w14:textId="77777777" w:rsidR="0050742B" w:rsidRPr="006F5CA2" w:rsidRDefault="0050742B" w:rsidP="0050742B">
      <w:pPr>
        <w:pStyle w:val="NoSpacing"/>
        <w:rPr>
          <w:b/>
          <w:bCs/>
        </w:rPr>
      </w:pPr>
      <w:r>
        <w:rPr>
          <w:b/>
        </w:rPr>
        <w:t xml:space="preserve">Legal lesson learned: The golf club and their insurance company have a very strong case that will likely settle the case before trial.  When alarm company shuts off the alarm for “one week” it is wise for building owner to later re-test to confirm system now back on. </w:t>
      </w:r>
    </w:p>
    <w:p w14:paraId="2E6D79B8" w14:textId="77777777" w:rsidR="0050742B" w:rsidRDefault="0050742B" w:rsidP="00E16BDA">
      <w:pPr>
        <w:pStyle w:val="NoSpacing"/>
        <w:rPr>
          <w:rFonts w:ascii="Arial Black" w:hAnsi="Arial Black"/>
          <w:sz w:val="28"/>
          <w:szCs w:val="28"/>
        </w:rPr>
      </w:pPr>
    </w:p>
    <w:p w14:paraId="066B56E1" w14:textId="77777777" w:rsidR="007008DA" w:rsidRDefault="007008DA" w:rsidP="00E16BDA">
      <w:pPr>
        <w:pStyle w:val="NoSpacing"/>
        <w:rPr>
          <w:rFonts w:ascii="Arial Black" w:hAnsi="Arial Black"/>
          <w:sz w:val="28"/>
          <w:szCs w:val="28"/>
        </w:rPr>
      </w:pPr>
    </w:p>
    <w:p w14:paraId="543ED621" w14:textId="77777777" w:rsidR="007008DA" w:rsidRDefault="007008DA" w:rsidP="00E16BDA">
      <w:pPr>
        <w:pStyle w:val="NoSpacing"/>
        <w:rPr>
          <w:rFonts w:ascii="Arial Black" w:hAnsi="Arial Black"/>
          <w:sz w:val="28"/>
          <w:szCs w:val="28"/>
        </w:rPr>
      </w:pPr>
    </w:p>
    <w:p w14:paraId="37F18B59" w14:textId="5EF0BAE5" w:rsidR="00E16BDA" w:rsidRDefault="00E16BDA" w:rsidP="00E16BDA">
      <w:pPr>
        <w:pStyle w:val="NoSpacing"/>
        <w:rPr>
          <w:rFonts w:ascii="Arial Black" w:hAnsi="Arial Black"/>
          <w:sz w:val="28"/>
          <w:szCs w:val="28"/>
        </w:rPr>
      </w:pPr>
      <w:r>
        <w:rPr>
          <w:rFonts w:ascii="Arial Black" w:hAnsi="Arial Black"/>
          <w:sz w:val="28"/>
          <w:szCs w:val="28"/>
        </w:rPr>
        <w:t>1-220</w:t>
      </w:r>
    </w:p>
    <w:p w14:paraId="4A9A6C90" w14:textId="77777777" w:rsidR="00E16BDA" w:rsidRDefault="00E16BDA" w:rsidP="00E16BDA">
      <w:pPr>
        <w:pStyle w:val="NoSpacing"/>
        <w:rPr>
          <w:rFonts w:ascii="Arial Black" w:hAnsi="Arial Black"/>
          <w:sz w:val="28"/>
          <w:szCs w:val="28"/>
        </w:rPr>
      </w:pPr>
    </w:p>
    <w:p w14:paraId="64CE70A5" w14:textId="487BA5F4" w:rsidR="00E16BDA" w:rsidRDefault="00E16BDA" w:rsidP="00E16BDA">
      <w:pPr>
        <w:pStyle w:val="NoSpacing"/>
        <w:rPr>
          <w:rFonts w:ascii="Arial Black" w:hAnsi="Arial Black"/>
          <w:bCs/>
          <w:sz w:val="28"/>
          <w:szCs w:val="28"/>
        </w:rPr>
      </w:pPr>
      <w:r>
        <w:rPr>
          <w:rFonts w:ascii="Arial Black" w:hAnsi="Arial Black"/>
          <w:sz w:val="28"/>
          <w:szCs w:val="28"/>
        </w:rPr>
        <w:t>KY: ARSON - ANONYMOUS 911 CALLER – NOT HEARSAY</w:t>
      </w:r>
    </w:p>
    <w:p w14:paraId="5EC45D8E" w14:textId="77777777" w:rsidR="00E16BDA" w:rsidRDefault="00E16BDA" w:rsidP="00E16BDA">
      <w:pPr>
        <w:pStyle w:val="NoSpacing"/>
        <w:rPr>
          <w:rFonts w:ascii="Arial Black" w:hAnsi="Arial Black"/>
          <w:bCs/>
          <w:sz w:val="28"/>
          <w:szCs w:val="28"/>
        </w:rPr>
      </w:pPr>
    </w:p>
    <w:p w14:paraId="2E45F4D7" w14:textId="77777777" w:rsidR="00E16BDA" w:rsidRDefault="00E16BDA" w:rsidP="00E16BDA">
      <w:pPr>
        <w:pStyle w:val="NoSpacing"/>
        <w:rPr>
          <w:bCs/>
        </w:rPr>
      </w:pPr>
      <w:r>
        <w:t xml:space="preserve">On July 24, 2026, in </w:t>
      </w:r>
      <w:r w:rsidRPr="007C4E79">
        <w:t>Nathan McClure v. Commonwealth of Kentuck</w:t>
      </w:r>
      <w:r w:rsidRPr="00DA630E">
        <w:rPr>
          <w:u w:val="single"/>
        </w:rPr>
        <w:t>y</w:t>
      </w:r>
      <w:r>
        <w:t xml:space="preserve">, the </w:t>
      </w:r>
      <w:r w:rsidRPr="00DA630E">
        <w:t>Court of Appeals of Kentucky</w:t>
      </w:r>
      <w:r>
        <w:t xml:space="preserve"> held (3 to 0) that trial court properly allowed jury to hear an anonymous 911 caller describing the arsonist’s conduct setting fire to his houseboat. </w:t>
      </w:r>
      <w:r w:rsidRPr="000A5AAA">
        <w:t>The jury found McClure guilty of both third-degree arson and first-degree criminal mischief. It recommended the minimum sentence of one year on each charge to be served concurrently and the trial court sentenced McClure</w:t>
      </w:r>
      <w:r>
        <w:t xml:space="preserve"> as recommended. </w:t>
      </w:r>
    </w:p>
    <w:p w14:paraId="4CCEB74B" w14:textId="77777777" w:rsidR="00E16BDA" w:rsidRDefault="00E16BDA" w:rsidP="00E16BDA">
      <w:pPr>
        <w:pStyle w:val="NoSpacing"/>
        <w:rPr>
          <w:b/>
        </w:rPr>
      </w:pPr>
      <w:hyperlink r:id="rId25" w:history="1">
        <w:r w:rsidRPr="00465492">
          <w:rPr>
            <w:rStyle w:val="Hyperlink"/>
            <w:b/>
          </w:rPr>
          <w:t>https://cases.justia.com/kentucky/court-of-appeals/2026-2025-ca-0111-mr.pdf?ts=1784901906</w:t>
        </w:r>
      </w:hyperlink>
      <w:r>
        <w:rPr>
          <w:b/>
        </w:rPr>
        <w:t xml:space="preserve"> </w:t>
      </w:r>
    </w:p>
    <w:p w14:paraId="315A9442" w14:textId="77777777" w:rsidR="00E16BDA" w:rsidRDefault="00E16BDA" w:rsidP="00E16BDA">
      <w:pPr>
        <w:pStyle w:val="NoSpacing"/>
        <w:rPr>
          <w:b/>
        </w:rPr>
      </w:pPr>
    </w:p>
    <w:p w14:paraId="7AF683E9" w14:textId="77777777" w:rsidR="00E16BDA" w:rsidRDefault="00E16BDA" w:rsidP="00E16BDA">
      <w:pPr>
        <w:pStyle w:val="NoSpacing"/>
        <w:rPr>
          <w:bCs/>
        </w:rPr>
      </w:pPr>
      <w:r>
        <w:t>THE COURT WROTE:</w:t>
      </w:r>
    </w:p>
    <w:p w14:paraId="5E2F7CFA" w14:textId="77777777" w:rsidR="00E16BDA" w:rsidRDefault="00E16BDA" w:rsidP="00E16BDA">
      <w:pPr>
        <w:pStyle w:val="NoSpacing"/>
        <w:rPr>
          <w:bCs/>
        </w:rPr>
      </w:pPr>
      <w:r>
        <w:t>‘</w:t>
      </w:r>
      <w:r w:rsidRPr="0079320F">
        <w:t>In the instant case, there is no dispute that McClure intentionally set a</w:t>
      </w:r>
      <w:r>
        <w:t xml:space="preserve"> </w:t>
      </w:r>
      <w:r w:rsidRPr="0079320F">
        <w:t>fire on the night in question. However, a key issue at McClure’s jury trial was</w:t>
      </w:r>
      <w:r>
        <w:t xml:space="preserve"> </w:t>
      </w:r>
      <w:r w:rsidRPr="0079320F">
        <w:t xml:space="preserve">whether McClure had </w:t>
      </w:r>
      <w:r w:rsidRPr="0079320F">
        <w:rPr>
          <w:b/>
        </w:rPr>
        <w:t xml:space="preserve">wantonly </w:t>
      </w:r>
      <w:r w:rsidRPr="0079320F">
        <w:t>caused the destruction of the Cooks’ building</w:t>
      </w:r>
      <w:r>
        <w:t xml:space="preserve">…. </w:t>
      </w:r>
      <w:r w:rsidRPr="00513FBF">
        <w:t>One person who called three times about the fire chose to remain</w:t>
      </w:r>
      <w:r>
        <w:t xml:space="preserve"> </w:t>
      </w:r>
      <w:r w:rsidRPr="00513FBF">
        <w:t>anonymous and asked if he was speaking with a particular dispatcher in one call.</w:t>
      </w:r>
      <w:r>
        <w:t xml:space="preserve"> </w:t>
      </w:r>
      <w:r w:rsidRPr="00513FBF">
        <w:t>This anonymous caller first called to report that a man was burning a houseboat</w:t>
      </w:r>
      <w:r>
        <w:t xml:space="preserve"> </w:t>
      </w:r>
      <w:r w:rsidRPr="00513FBF">
        <w:t>and to request that firefighters come to a specific location. The second call from</w:t>
      </w:r>
      <w:r>
        <w:t xml:space="preserve"> </w:t>
      </w:r>
      <w:r w:rsidRPr="00642400">
        <w:t>this same caller reported the fire was escalating, provided a location, and expressed</w:t>
      </w:r>
      <w:r>
        <w:t xml:space="preserve"> </w:t>
      </w:r>
      <w:r w:rsidRPr="00642400">
        <w:t>a fear of the fire spreading to his home.</w:t>
      </w:r>
      <w:r>
        <w:t xml:space="preserve"> </w:t>
      </w:r>
      <w:r w:rsidRPr="00642400">
        <w:t>In his third and last call, the anonymous caller said he was the guy</w:t>
      </w:r>
      <w:r>
        <w:t xml:space="preserve"> </w:t>
      </w:r>
      <w:r w:rsidRPr="00642400">
        <w:t>who had called before about a fire, but he declined to give his name. He stated:</w:t>
      </w:r>
    </w:p>
    <w:p w14:paraId="5EDA5C0F" w14:textId="77777777" w:rsidR="00E16BDA" w:rsidRDefault="00E16BDA" w:rsidP="00E16BDA">
      <w:pPr>
        <w:pStyle w:val="NoSpacing"/>
        <w:rPr>
          <w:bCs/>
        </w:rPr>
      </w:pPr>
    </w:p>
    <w:p w14:paraId="7A0A9219" w14:textId="77777777" w:rsidR="00E16BDA" w:rsidRPr="00642400" w:rsidRDefault="00E16BDA" w:rsidP="00E16BDA">
      <w:pPr>
        <w:pStyle w:val="NoSpacing"/>
        <w:ind w:left="720" w:firstLine="720"/>
        <w:rPr>
          <w:bCs/>
        </w:rPr>
      </w:pPr>
      <w:r w:rsidRPr="00642400">
        <w:lastRenderedPageBreak/>
        <w:t>The guy that’s burned this place, that’s f****</w:t>
      </w:r>
      <w:proofErr w:type="spellStart"/>
      <w:r w:rsidRPr="00642400">
        <w:t>ing</w:t>
      </w:r>
      <w:proofErr w:type="spellEnd"/>
    </w:p>
    <w:p w14:paraId="0293C372" w14:textId="77777777" w:rsidR="00E16BDA" w:rsidRPr="00642400" w:rsidRDefault="00E16BDA" w:rsidP="00E16BDA">
      <w:pPr>
        <w:pStyle w:val="NoSpacing"/>
        <w:ind w:left="720" w:firstLine="720"/>
        <w:rPr>
          <w:bCs/>
        </w:rPr>
      </w:pPr>
      <w:r w:rsidRPr="00642400">
        <w:t>responsible one for it, is wild as a buck. He just took off</w:t>
      </w:r>
    </w:p>
    <w:p w14:paraId="79BD915A" w14:textId="77777777" w:rsidR="00E16BDA" w:rsidRPr="00642400" w:rsidRDefault="00E16BDA" w:rsidP="00E16BDA">
      <w:pPr>
        <w:pStyle w:val="NoSpacing"/>
        <w:ind w:left="720" w:firstLine="720"/>
        <w:rPr>
          <w:bCs/>
        </w:rPr>
      </w:pPr>
      <w:r w:rsidRPr="00642400">
        <w:t xml:space="preserve">in </w:t>
      </w:r>
      <w:proofErr w:type="gramStart"/>
      <w:r w:rsidRPr="00642400">
        <w:t>a ton</w:t>
      </w:r>
      <w:proofErr w:type="gramEnd"/>
      <w:r w:rsidRPr="00642400">
        <w:t xml:space="preserve"> truck with a </w:t>
      </w:r>
      <w:proofErr w:type="gramStart"/>
      <w:r w:rsidRPr="00642400">
        <w:t>track</w:t>
      </w:r>
      <w:proofErr w:type="gramEnd"/>
      <w:r w:rsidRPr="00642400">
        <w:t xml:space="preserve"> on the back of it and piled it,</w:t>
      </w:r>
    </w:p>
    <w:p w14:paraId="787E1897" w14:textId="77777777" w:rsidR="00E16BDA" w:rsidRPr="00642400" w:rsidRDefault="00E16BDA" w:rsidP="00E16BDA">
      <w:pPr>
        <w:pStyle w:val="NoSpacing"/>
        <w:ind w:left="720" w:firstLine="720"/>
        <w:rPr>
          <w:bCs/>
        </w:rPr>
      </w:pPr>
      <w:r w:rsidRPr="00642400">
        <w:t>son of a b****, right over here across from Stephens Pipe</w:t>
      </w:r>
    </w:p>
    <w:p w14:paraId="1882432E" w14:textId="77777777" w:rsidR="00E16BDA" w:rsidRPr="00C714A4" w:rsidRDefault="00E16BDA" w:rsidP="00E16BDA">
      <w:pPr>
        <w:pStyle w:val="NoSpacing"/>
        <w:ind w:left="720" w:firstLine="720"/>
        <w:rPr>
          <w:bCs/>
        </w:rPr>
      </w:pPr>
      <w:r w:rsidRPr="00642400">
        <w:t>and Steel in their</w:t>
      </w:r>
      <w:r>
        <w:t xml:space="preserve"> </w:t>
      </w:r>
      <w:r w:rsidRPr="00C714A4">
        <w:t>parking lot. Just ditched it. I think he’s</w:t>
      </w:r>
    </w:p>
    <w:p w14:paraId="58580BF5" w14:textId="77777777" w:rsidR="00E16BDA" w:rsidRDefault="00E16BDA" w:rsidP="00E16BDA">
      <w:pPr>
        <w:pStyle w:val="NoSpacing"/>
        <w:ind w:left="720" w:firstLine="720"/>
        <w:rPr>
          <w:bCs/>
        </w:rPr>
      </w:pPr>
      <w:r w:rsidRPr="00C714A4">
        <w:t>trying to run off.</w:t>
      </w:r>
    </w:p>
    <w:p w14:paraId="44CFA473" w14:textId="77777777" w:rsidR="00E16BDA" w:rsidRDefault="00E16BDA" w:rsidP="00E16BDA">
      <w:pPr>
        <w:pStyle w:val="NoSpacing"/>
        <w:ind w:left="720" w:firstLine="720"/>
        <w:rPr>
          <w:bCs/>
        </w:rPr>
      </w:pPr>
    </w:p>
    <w:p w14:paraId="6CE49F93" w14:textId="77777777" w:rsidR="00E16BDA" w:rsidRDefault="00E16BDA" w:rsidP="00E16BDA">
      <w:pPr>
        <w:pStyle w:val="NoSpacing"/>
        <w:rPr>
          <w:bCs/>
        </w:rPr>
      </w:pPr>
      <w:r>
        <w:t>***</w:t>
      </w:r>
    </w:p>
    <w:p w14:paraId="19CAB567" w14:textId="77777777" w:rsidR="00E16BDA" w:rsidRPr="00AB1F06" w:rsidRDefault="00E16BDA" w:rsidP="00E16BDA">
      <w:pPr>
        <w:pStyle w:val="NoSpacing"/>
        <w:rPr>
          <w:bCs/>
        </w:rPr>
      </w:pPr>
      <w:r w:rsidRPr="00AB1F06">
        <w:t>Like the trial court, we agree with the Commonwealth that even the</w:t>
      </w:r>
      <w:r>
        <w:t xml:space="preserve"> </w:t>
      </w:r>
      <w:r w:rsidRPr="00AB1F06">
        <w:t>third anonymous call was aimed at obtaining emergency assistance and is therefore</w:t>
      </w:r>
      <w:r>
        <w:t xml:space="preserve"> </w:t>
      </w:r>
      <w:r w:rsidRPr="00AB1F06">
        <w:t>non-testimonial. Specifically, this last anonymous call recounted observing the</w:t>
      </w:r>
      <w:r>
        <w:t xml:space="preserve"> </w:t>
      </w:r>
      <w:r w:rsidRPr="00AB1F06">
        <w:t>person who had started the fire—whom the caller identified as McClure—</w:t>
      </w:r>
      <w:r>
        <w:t xml:space="preserve"> </w:t>
      </w:r>
      <w:r w:rsidRPr="00AB1F06">
        <w:t>engaging in actions including getting in a truck and unloading it and apparently</w:t>
      </w:r>
      <w:r>
        <w:t xml:space="preserve"> </w:t>
      </w:r>
      <w:r w:rsidRPr="00AB1F06">
        <w:t xml:space="preserve">trying to get away. The </w:t>
      </w:r>
      <w:proofErr w:type="gramStart"/>
      <w:r w:rsidRPr="00AB1F06">
        <w:t>caller’s</w:t>
      </w:r>
      <w:proofErr w:type="gramEnd"/>
      <w:r w:rsidRPr="00AB1F06">
        <w:t xml:space="preserve"> reports that the person responsible for the fire</w:t>
      </w:r>
    </w:p>
    <w:p w14:paraId="109DF295" w14:textId="77777777" w:rsidR="00E16BDA" w:rsidRDefault="00E16BDA" w:rsidP="00E16BDA">
      <w:pPr>
        <w:pStyle w:val="NoSpacing"/>
        <w:rPr>
          <w:bCs/>
        </w:rPr>
      </w:pPr>
      <w:r w:rsidRPr="00AB1F06">
        <w:t>appeared to be trying to get away could be reasonably construed as an implicit</w:t>
      </w:r>
      <w:r>
        <w:t xml:space="preserve"> </w:t>
      </w:r>
      <w:r w:rsidRPr="00AB1F06">
        <w:t>request for law enforcement to be immediately sent to the scene on an emergency</w:t>
      </w:r>
      <w:r>
        <w:t xml:space="preserve"> </w:t>
      </w:r>
      <w:proofErr w:type="gramStart"/>
      <w:r w:rsidRPr="00AB1F06">
        <w:t>basis.</w:t>
      </w:r>
      <w:r>
        <w:t>”</w:t>
      </w:r>
      <w:proofErr w:type="gramEnd"/>
    </w:p>
    <w:p w14:paraId="16700085" w14:textId="77777777" w:rsidR="00E16BDA" w:rsidRDefault="00E16BDA" w:rsidP="00E16BDA">
      <w:pPr>
        <w:pStyle w:val="NoSpacing"/>
        <w:rPr>
          <w:bCs/>
        </w:rPr>
      </w:pPr>
    </w:p>
    <w:p w14:paraId="61D09F3E" w14:textId="77777777" w:rsidR="00E16BDA" w:rsidRPr="009146F7" w:rsidRDefault="00E16BDA" w:rsidP="00E16BDA">
      <w:pPr>
        <w:pStyle w:val="NoSpacing"/>
        <w:rPr>
          <w:b/>
        </w:rPr>
      </w:pPr>
      <w:r>
        <w:rPr>
          <w:b/>
        </w:rPr>
        <w:t xml:space="preserve">Legal lesson learned: Emergency call to 911 admissible in arson trial. </w:t>
      </w:r>
    </w:p>
    <w:p w14:paraId="1B79FED1" w14:textId="77777777" w:rsidR="00E16BDA" w:rsidRDefault="00E16BDA" w:rsidP="00E16BDA">
      <w:pPr>
        <w:pStyle w:val="NoSpacing"/>
        <w:rPr>
          <w:b/>
          <w:sz w:val="20"/>
          <w:szCs w:val="20"/>
        </w:rPr>
      </w:pPr>
    </w:p>
    <w:p w14:paraId="323163FB" w14:textId="77777777" w:rsidR="00E16BDA" w:rsidRDefault="00E16BDA" w:rsidP="00E16BDA">
      <w:pPr>
        <w:pStyle w:val="NoSpacing"/>
        <w:rPr>
          <w:b/>
          <w:sz w:val="20"/>
          <w:szCs w:val="20"/>
        </w:rPr>
      </w:pPr>
    </w:p>
    <w:p w14:paraId="2BD555AC" w14:textId="77777777" w:rsidR="00E16BDA" w:rsidRDefault="00E16BDA" w:rsidP="00E16BDA">
      <w:pPr>
        <w:pStyle w:val="NoSpacing"/>
        <w:rPr>
          <w:b/>
          <w:sz w:val="20"/>
          <w:szCs w:val="20"/>
        </w:rPr>
      </w:pPr>
    </w:p>
    <w:p w14:paraId="324477E2" w14:textId="77777777" w:rsidR="00E16BDA" w:rsidRDefault="00E16BDA" w:rsidP="00E16BDA">
      <w:pPr>
        <w:pStyle w:val="NoSpacing"/>
        <w:rPr>
          <w:b/>
          <w:sz w:val="20"/>
          <w:szCs w:val="20"/>
        </w:rPr>
      </w:pPr>
    </w:p>
    <w:p w14:paraId="07B7EF1F" w14:textId="1DE9F3D2" w:rsidR="00E16BDA" w:rsidRPr="00E16BDA" w:rsidRDefault="00E16BDA" w:rsidP="00E16BDA">
      <w:pPr>
        <w:pStyle w:val="NoSpacing"/>
        <w:rPr>
          <w:rFonts w:ascii="Arial Black" w:hAnsi="Arial Black"/>
          <w:b/>
          <w:sz w:val="24"/>
          <w:szCs w:val="24"/>
        </w:rPr>
      </w:pPr>
      <w:r w:rsidRPr="00E16BDA">
        <w:rPr>
          <w:rFonts w:ascii="Arial Black" w:hAnsi="Arial Black"/>
          <w:b/>
          <w:sz w:val="24"/>
          <w:szCs w:val="24"/>
        </w:rPr>
        <w:t>1-219</w:t>
      </w:r>
    </w:p>
    <w:p w14:paraId="365D3FD2" w14:textId="77777777" w:rsidR="00E16BDA" w:rsidRDefault="00E16BDA" w:rsidP="00E16BDA">
      <w:pPr>
        <w:pStyle w:val="NoSpacing"/>
        <w:rPr>
          <w:rFonts w:ascii="Arial Black" w:hAnsi="Arial Black"/>
          <w:b/>
          <w:sz w:val="28"/>
          <w:szCs w:val="28"/>
        </w:rPr>
      </w:pPr>
    </w:p>
    <w:p w14:paraId="326620AC" w14:textId="77777777" w:rsidR="00E16BDA" w:rsidRDefault="00E16BDA" w:rsidP="00E16BDA">
      <w:pPr>
        <w:pStyle w:val="NoSpacing"/>
        <w:rPr>
          <w:b/>
        </w:rPr>
      </w:pPr>
      <w:r>
        <w:rPr>
          <w:rFonts w:ascii="Arial Black" w:hAnsi="Arial Black"/>
          <w:b/>
          <w:sz w:val="28"/>
          <w:szCs w:val="28"/>
        </w:rPr>
        <w:t>NY: LAPTOP – “THERMAL RUNAWAY” – REPLACED BATTERY</w:t>
      </w:r>
    </w:p>
    <w:p w14:paraId="130047F8" w14:textId="77777777" w:rsidR="00E16BDA" w:rsidRDefault="00E16BDA" w:rsidP="00E16BDA">
      <w:pPr>
        <w:pStyle w:val="NoSpacing"/>
        <w:rPr>
          <w:bCs/>
        </w:rPr>
      </w:pPr>
    </w:p>
    <w:p w14:paraId="0CD5B4A3" w14:textId="77777777" w:rsidR="00E16BDA" w:rsidRDefault="00E16BDA" w:rsidP="00E16BDA">
      <w:pPr>
        <w:pStyle w:val="NoSpacing"/>
        <w:rPr>
          <w:bCs/>
        </w:rPr>
      </w:pPr>
      <w:r>
        <w:t xml:space="preserve">On July 23, 2026, in </w:t>
      </w:r>
      <w:r w:rsidRPr="00296057">
        <w:rPr>
          <w:u w:val="single"/>
        </w:rPr>
        <w:t>Carol S. Marcellin, individually and Co-Administrator of the Estate of Charles E. Hollowell, deceased, et al. v. HP Inc. and Staples, Inc.</w:t>
      </w:r>
      <w:r>
        <w:t xml:space="preserve">, U.S. District Court Judge Geoffrey W. Crawford, United States District Court for the Western District of New York, held that the plaintiffs’ motion to exclude the expert reports of HP and Staples are denied.  Those reports point to the computer owner having replaced the batteries that led to the thermal runaway fire that killed wheelchair bound resident. Case to proceed to trial. </w:t>
      </w:r>
      <w:hyperlink r:id="rId26" w:history="1">
        <w:r w:rsidRPr="00CB1E6C">
          <w:rPr>
            <w:rStyle w:val="Hyperlink"/>
          </w:rPr>
          <w:t>https://public.fastcase.com/Jhe1Qn%2BmJndQYQU6z%2FeNm41Z%2FOdo7wEiV%2BXZOn6Ck9WelihsBDHZxfns7L5Vlobe8KCYik0lEXZYSVwiLsKn0UW5%2B2VWsVkokbGOgZx52u8%3D?utm_medium=email&amp;_hsenc=p2ANqtz-9EI0U8e9McRrVX-UJhUyqBaKFqyfeNAikLllF44Be7atxg43fyP-ODCP6rir31MZENUpzNCQwvOHRXOJumMmb9zT3Dpw&amp;_hsmi=226712652&amp;utm_content=226712652&amp;utm_source=hs_email</w:t>
        </w:r>
      </w:hyperlink>
      <w:r>
        <w:t xml:space="preserve"> </w:t>
      </w:r>
    </w:p>
    <w:p w14:paraId="7D7F85E3" w14:textId="77777777" w:rsidR="00E16BDA" w:rsidRDefault="00E16BDA" w:rsidP="00E16BDA">
      <w:pPr>
        <w:pStyle w:val="NoSpacing"/>
        <w:rPr>
          <w:bCs/>
        </w:rPr>
      </w:pPr>
    </w:p>
    <w:p w14:paraId="204049E8" w14:textId="77777777" w:rsidR="00E16BDA" w:rsidRDefault="00E16BDA" w:rsidP="00E16BDA">
      <w:pPr>
        <w:pStyle w:val="NoSpacing"/>
        <w:rPr>
          <w:bCs/>
        </w:rPr>
      </w:pPr>
      <w:r>
        <w:t>THE COURT WROTE:</w:t>
      </w:r>
    </w:p>
    <w:p w14:paraId="5D60073F" w14:textId="77777777" w:rsidR="00E16BDA" w:rsidRDefault="00E16BDA" w:rsidP="00E16BDA">
      <w:pPr>
        <w:pStyle w:val="NoSpacing"/>
        <w:rPr>
          <w:bCs/>
        </w:rPr>
      </w:pPr>
    </w:p>
    <w:p w14:paraId="4802DE0B" w14:textId="77777777" w:rsidR="00E16BDA" w:rsidRDefault="00E16BDA" w:rsidP="00E16BDA">
      <w:pPr>
        <w:pStyle w:val="NoSpacing"/>
      </w:pPr>
      <w:r>
        <w:t>“</w:t>
      </w:r>
      <w:r w:rsidRPr="009A188F">
        <w:t>This is a personal injury case in which Plaintiffs Carol Marcellin and Jessica Hollowell-McKay have filed suit against Defendants HP, Inc., (HP) and Staples, Inc. (Staples), the manufacturer and retailer, respectively, of an HP Pavilion DV6 Laptop computer purchased by Marcellin in 2011. Their claims concern a fire that broke out at Marcellin's Ceres, New York residence on January 24, 2020, injuring Marcellin and killing her partner Charles Hollowell</w:t>
      </w:r>
      <w:r>
        <w:t xml:space="preserve">…. </w:t>
      </w:r>
      <w:r w:rsidRPr="00704F4B">
        <w:t>On the night of January 19, 2020, Marcellin left the HP laptop powered on and charging on an armoire in the office of her home while it downloaded an anti-virus software update</w:t>
      </w:r>
      <w:r>
        <w:t xml:space="preserve">…. </w:t>
      </w:r>
      <w:r w:rsidRPr="00704F4B">
        <w:t>She testified that this was the first instance in which she had left the laptop charging overnight</w:t>
      </w:r>
      <w:r>
        <w:t>….</w:t>
      </w:r>
      <w:r w:rsidRPr="00704F4B">
        <w:t xml:space="preserve"> Shortly after 4:00 a.m. on the morning of January 24, she was awoken by a smoke alarm located in the hallway outside her bedroom</w:t>
      </w:r>
      <w:r>
        <w:t xml:space="preserve">…. </w:t>
      </w:r>
      <w:r w:rsidRPr="00505FF8">
        <w:t>She then returned the bedroom, where she discovered that Hollowell had fallen while trying to get out of the bed</w:t>
      </w:r>
      <w:r>
        <w:t xml:space="preserve">…. </w:t>
      </w:r>
      <w:r w:rsidRPr="00505FF8">
        <w:t>Marcellin tried and failed to lift Hollowell into his wheelchair</w:t>
      </w:r>
      <w:r>
        <w:t xml:space="preserve">…. </w:t>
      </w:r>
      <w:r w:rsidRPr="00505FF8">
        <w:t xml:space="preserve">She was unable to find her cell phone to call for emergency assistance. </w:t>
      </w:r>
    </w:p>
    <w:p w14:paraId="310D23E3" w14:textId="77777777" w:rsidR="00E16BDA" w:rsidRDefault="00E16BDA" w:rsidP="00E16BDA">
      <w:pPr>
        <w:pStyle w:val="NoSpacing"/>
      </w:pPr>
    </w:p>
    <w:p w14:paraId="602697C6" w14:textId="77777777" w:rsidR="00E16BDA" w:rsidRDefault="00E16BDA" w:rsidP="00E16BDA">
      <w:pPr>
        <w:pStyle w:val="NoSpacing"/>
      </w:pPr>
      <w:r>
        <w:t>***</w:t>
      </w:r>
    </w:p>
    <w:p w14:paraId="43997EBD" w14:textId="77777777" w:rsidR="00E16BDA" w:rsidRDefault="00E16BDA" w:rsidP="00E16BDA">
      <w:pPr>
        <w:pStyle w:val="NoSpacing"/>
      </w:pPr>
      <w:r w:rsidRPr="00CA4232">
        <w:t>Karasinski and HP's battery expert Donald Galler examined evidence collected from the scene inspection at a subsequent investigation conducted at the Fire Research &amp; Technology (FRT) laboratory in Sodus Point, New York on October 30, 2020</w:t>
      </w:r>
      <w:r>
        <w:t xml:space="preserve">…. </w:t>
      </w:r>
      <w:r w:rsidRPr="00CA4232">
        <w:t xml:space="preserve">Both Galler and Dr. Steve Martin, a battery expert retained by Plaintiffs who later reviewed the </w:t>
      </w:r>
      <w:r w:rsidRPr="00CA4232">
        <w:lastRenderedPageBreak/>
        <w:t>evidence from the laboratory investigation, concluded that the battery installed in the HP laptop at the time of the fire was not the original battery, nor a replacement authorized by H</w:t>
      </w:r>
      <w:r>
        <w:t xml:space="preserve">P…. </w:t>
      </w:r>
      <w:r w:rsidRPr="00715D40">
        <w:t xml:space="preserve">HP's BMS systems required that batteries installed in its laptops be manufactured with certain microprocessors called </w:t>
      </w:r>
      <w:r>
        <w:t>‘</w:t>
      </w:r>
      <w:r w:rsidRPr="00715D40">
        <w:t>fuel gauges.</w:t>
      </w:r>
      <w:r>
        <w:t xml:space="preserve">’ </w:t>
      </w:r>
      <w:r w:rsidRPr="00715D40">
        <w:t xml:space="preserve">Eight different types of fuel gauges were approved by HP for use in authorized Pavilion batteries. Six of these fuel gauges were manufactured by Texas </w:t>
      </w:r>
      <w:proofErr w:type="gramStart"/>
      <w:r w:rsidRPr="00715D40">
        <w:t>Instruments, and</w:t>
      </w:r>
      <w:proofErr w:type="gramEnd"/>
      <w:r w:rsidRPr="00715D40">
        <w:t xml:space="preserve"> were compatible with various authentication systems</w:t>
      </w:r>
      <w:r>
        <w:t xml:space="preserve">…. </w:t>
      </w:r>
      <w:r w:rsidRPr="00715D40">
        <w:t>These systems would allow the device in which the battery was installed to verify that the installed battery was authorized for use in the device. One such system, which was implemented in some portable electronic devices at the time of the HP laptop's manufacture, employed a Secure Hash Algorithm 1 (SHA-1). Under SHA-1 authentication, the host device can automatically query the installed battery to determine whether it is authorized for use in the device. The host device can be programmed to cease operating if the installed battery is incapable of SHA-1 authentication. In this way, SHA-1 authentication reduces the risks of using unauthorized batteries in the host device</w:t>
      </w:r>
      <w:r>
        <w:t xml:space="preserve">…. </w:t>
      </w:r>
      <w:r w:rsidRPr="00C673C4">
        <w:t>For reasons stated above, Plaintiffs' motion to exclude those reports under Rule 702 has been denied. The cause of the fire remains an issue of genuine dispute. Plaintiffs' cross-motion for summary judgment on this issue is DENIED.</w:t>
      </w:r>
      <w:r>
        <w:t>”</w:t>
      </w:r>
    </w:p>
    <w:p w14:paraId="72A00381" w14:textId="77777777" w:rsidR="00E16BDA" w:rsidRDefault="00E16BDA" w:rsidP="00E16BDA">
      <w:pPr>
        <w:pStyle w:val="NoSpacing"/>
      </w:pPr>
    </w:p>
    <w:p w14:paraId="7FB36CD0" w14:textId="77777777" w:rsidR="00E16BDA" w:rsidRPr="001B4B1E" w:rsidRDefault="00E16BDA" w:rsidP="00E16BDA">
      <w:pPr>
        <w:pStyle w:val="NoSpacing"/>
        <w:rPr>
          <w:b/>
          <w:bCs/>
        </w:rPr>
      </w:pPr>
      <w:r>
        <w:rPr>
          <w:b/>
        </w:rPr>
        <w:t xml:space="preserve">Legal lesson learned: Case will proceed to trial; computer replacement batteries can lead to “thermal runaway” fires. </w:t>
      </w:r>
    </w:p>
    <w:p w14:paraId="216258A2" w14:textId="77777777" w:rsidR="00E16BDA" w:rsidRDefault="00E16BDA" w:rsidP="00E16BDA">
      <w:pPr>
        <w:pStyle w:val="NoSpacing"/>
        <w:rPr>
          <w:bCs/>
        </w:rPr>
      </w:pPr>
    </w:p>
    <w:p w14:paraId="54EEF613" w14:textId="77777777" w:rsidR="00E16BDA" w:rsidRDefault="00E16BDA" w:rsidP="00E16BDA">
      <w:pPr>
        <w:pStyle w:val="NoSpacing"/>
        <w:rPr>
          <w:rFonts w:ascii="Arial Black" w:hAnsi="Arial Black"/>
          <w:b/>
          <w:sz w:val="28"/>
          <w:szCs w:val="28"/>
        </w:rPr>
      </w:pPr>
    </w:p>
    <w:p w14:paraId="6E630BB8" w14:textId="77777777" w:rsidR="00E16BDA" w:rsidRDefault="00E16BDA" w:rsidP="00E16BDA">
      <w:pPr>
        <w:pStyle w:val="NoSpacing"/>
        <w:rPr>
          <w:b/>
          <w:sz w:val="20"/>
          <w:szCs w:val="20"/>
        </w:rPr>
      </w:pPr>
    </w:p>
    <w:p w14:paraId="68C5835C" w14:textId="77777777" w:rsidR="00E16BDA" w:rsidRDefault="00E16BDA" w:rsidP="00E16BDA">
      <w:pPr>
        <w:pStyle w:val="NoSpacing"/>
        <w:rPr>
          <w:b/>
          <w:sz w:val="20"/>
          <w:szCs w:val="20"/>
        </w:rPr>
      </w:pPr>
    </w:p>
    <w:p w14:paraId="7C4D4173" w14:textId="77777777" w:rsidR="00E16BDA" w:rsidRPr="00E16BDA" w:rsidRDefault="00E16BDA" w:rsidP="00E16BDA">
      <w:pPr>
        <w:pStyle w:val="NoSpacing"/>
        <w:rPr>
          <w:rFonts w:ascii="Arial Black" w:hAnsi="Arial Black"/>
          <w:b/>
          <w:sz w:val="24"/>
          <w:szCs w:val="24"/>
        </w:rPr>
      </w:pPr>
    </w:p>
    <w:p w14:paraId="7F108A1D" w14:textId="7617A105" w:rsidR="00E16BDA" w:rsidRPr="00E16BDA" w:rsidRDefault="00E16BDA" w:rsidP="00E16BDA">
      <w:pPr>
        <w:pStyle w:val="NoSpacing"/>
        <w:rPr>
          <w:rFonts w:ascii="Arial Black" w:hAnsi="Arial Black"/>
          <w:sz w:val="24"/>
          <w:szCs w:val="24"/>
        </w:rPr>
      </w:pPr>
      <w:r w:rsidRPr="00E16BDA">
        <w:rPr>
          <w:rFonts w:ascii="Arial Black" w:hAnsi="Arial Black"/>
          <w:sz w:val="24"/>
          <w:szCs w:val="24"/>
        </w:rPr>
        <w:t>1-218</w:t>
      </w:r>
    </w:p>
    <w:p w14:paraId="4391F394" w14:textId="77777777" w:rsidR="00E16BDA" w:rsidRDefault="00E16BDA" w:rsidP="00E16BDA">
      <w:pPr>
        <w:pStyle w:val="NoSpacing"/>
      </w:pPr>
    </w:p>
    <w:p w14:paraId="388F6B9A" w14:textId="77777777" w:rsidR="00E16BDA" w:rsidRDefault="00E16BDA" w:rsidP="00E16BDA">
      <w:pPr>
        <w:pStyle w:val="NoSpacing"/>
        <w:rPr>
          <w:rFonts w:ascii="Arial Black" w:hAnsi="Arial Black"/>
          <w:sz w:val="28"/>
          <w:szCs w:val="28"/>
        </w:rPr>
      </w:pPr>
      <w:r>
        <w:rPr>
          <w:rFonts w:ascii="Arial Black" w:hAnsi="Arial Black"/>
          <w:sz w:val="28"/>
          <w:szCs w:val="28"/>
        </w:rPr>
        <w:t xml:space="preserve">U.S. SUP CT – WARRANT CELL PHONE LOCATION HISTORY </w:t>
      </w:r>
    </w:p>
    <w:p w14:paraId="711FD087" w14:textId="77777777" w:rsidR="00E16BDA" w:rsidRDefault="00E16BDA" w:rsidP="00E16BDA">
      <w:pPr>
        <w:pStyle w:val="NoSpacing"/>
        <w:rPr>
          <w:rFonts w:ascii="Arial Black" w:hAnsi="Arial Black"/>
          <w:sz w:val="28"/>
          <w:szCs w:val="28"/>
        </w:rPr>
      </w:pPr>
    </w:p>
    <w:p w14:paraId="6C8FC639" w14:textId="77777777" w:rsidR="00E16BDA" w:rsidRDefault="00E16BDA" w:rsidP="00E16BDA">
      <w:pPr>
        <w:pStyle w:val="NoSpacing"/>
      </w:pPr>
      <w:r>
        <w:t xml:space="preserve">On June 29, 2026, in </w:t>
      </w:r>
      <w:r w:rsidRPr="00E46076">
        <w:rPr>
          <w:u w:val="single"/>
        </w:rPr>
        <w:t xml:space="preserve">Okello </w:t>
      </w:r>
      <w:proofErr w:type="spellStart"/>
      <w:r w:rsidRPr="00E46076">
        <w:rPr>
          <w:u w:val="single"/>
        </w:rPr>
        <w:t>Chatrie</w:t>
      </w:r>
      <w:proofErr w:type="spellEnd"/>
      <w:r w:rsidRPr="00E46076">
        <w:rPr>
          <w:u w:val="single"/>
        </w:rPr>
        <w:t xml:space="preserve"> v. United States</w:t>
      </w:r>
      <w:r>
        <w:t xml:space="preserve">, the United States Supreme Court held (6 to 3) that that Virginia police officers conducted an illegal “search” when they obtained a search warrant from a Virginia magistrate for “geofence” cell phone data from Google – identifying who was near credit union when it was robbed at gun point on May 20, 2019, at about 4:50 p.m.  MAJORITY – JUSTICE ELENA KAGAN: “We hold that police officers invade a cell-phone user’s reasonable expectation of privacy when they access his Location History. It does not matter if the </w:t>
      </w:r>
      <w:proofErr w:type="gramStart"/>
      <w:r>
        <w:t>time period</w:t>
      </w:r>
      <w:proofErr w:type="gramEnd"/>
      <w:r>
        <w:t xml:space="preserve"> scrutinized was only two hours. Nor does it matter that the materials obtained were handed over by a third-party tech company.”</w:t>
      </w:r>
    </w:p>
    <w:p w14:paraId="62B46A39" w14:textId="77777777" w:rsidR="00E16BDA" w:rsidRDefault="00E16BDA" w:rsidP="00E16BDA">
      <w:pPr>
        <w:pStyle w:val="NoSpacing"/>
      </w:pPr>
      <w:r>
        <w:t>DISSENT – JUSTICE SAMUEL ALITO: “The majority reaches the opposite outcome, and in doing so, it announces a new rule of Fourth Amendment law: The police must obtain a warrant every time they access any cell-phone location information from a third party, however brief the duration, however innocuous the request, and however voluntarily that information was disclosed by the user.”</w:t>
      </w:r>
    </w:p>
    <w:p w14:paraId="3E5BEDBD" w14:textId="77777777" w:rsidR="00E16BDA" w:rsidRDefault="00E16BDA" w:rsidP="00E16BDA">
      <w:pPr>
        <w:pStyle w:val="NoSpacing"/>
      </w:pPr>
    </w:p>
    <w:p w14:paraId="67BC4E1D" w14:textId="77777777" w:rsidR="00E16BDA" w:rsidRDefault="00E16BDA" w:rsidP="00E16BDA">
      <w:pPr>
        <w:pStyle w:val="NoSpacing"/>
      </w:pPr>
      <w:r>
        <w:t>Case remanded to 4</w:t>
      </w:r>
      <w:r w:rsidRPr="00556807">
        <w:rPr>
          <w:vertAlign w:val="superscript"/>
        </w:rPr>
        <w:t>th</w:t>
      </w:r>
      <w:r>
        <w:t xml:space="preserve"> Circuit to decide if the police conduct was “reasonable” as the law stood in 2018 when they got the search warrant (“good faith exception” to the exclusionary rule).  If so, then the defendant’s conviction remains; he </w:t>
      </w:r>
      <w:r w:rsidRPr="006F7106">
        <w:t xml:space="preserve">entered a conditional guilty plea </w:t>
      </w:r>
      <w:r>
        <w:t xml:space="preserve">pled guilty in federal court to </w:t>
      </w:r>
      <w:proofErr w:type="gramStart"/>
      <w:r>
        <w:t>robbing</w:t>
      </w:r>
      <w:proofErr w:type="gramEnd"/>
      <w:r>
        <w:t xml:space="preserve"> a credit union in Virginia, and was sentenced to 12 years in prison, and 3 years supervised release. </w:t>
      </w:r>
      <w:hyperlink r:id="rId27" w:history="1">
        <w:r w:rsidRPr="00305A77">
          <w:rPr>
            <w:rStyle w:val="Hyperlink"/>
          </w:rPr>
          <w:t>https://www.supremecourt.gov/opinions/25pdf/25-112_0am4.pdf</w:t>
        </w:r>
      </w:hyperlink>
      <w:r>
        <w:t xml:space="preserve"> </w:t>
      </w:r>
    </w:p>
    <w:p w14:paraId="3E0DA24D" w14:textId="77777777" w:rsidR="00E16BDA" w:rsidRDefault="00E16BDA" w:rsidP="00E16BDA">
      <w:pPr>
        <w:pStyle w:val="NoSpacing"/>
      </w:pPr>
    </w:p>
    <w:p w14:paraId="2C182FCD" w14:textId="77777777" w:rsidR="00E16BDA" w:rsidRDefault="00E16BDA" w:rsidP="00E16BDA">
      <w:pPr>
        <w:pStyle w:val="NoSpacing"/>
      </w:pPr>
      <w:r>
        <w:t>THE COURT WROTE (Majority opinion by Justice Elena Kagan):</w:t>
      </w:r>
    </w:p>
    <w:p w14:paraId="36EE9E6B" w14:textId="77777777" w:rsidR="00E16BDA" w:rsidRDefault="00E16BDA" w:rsidP="00E16BDA">
      <w:pPr>
        <w:pStyle w:val="NoSpacing"/>
      </w:pPr>
    </w:p>
    <w:p w14:paraId="7B404BA1" w14:textId="77777777" w:rsidR="00E16BDA" w:rsidRDefault="00E16BDA" w:rsidP="00E16BDA">
      <w:pPr>
        <w:pStyle w:val="NoSpacing"/>
      </w:pPr>
      <w:r>
        <w:t>“On May 20, 2019, at about 4:50 p.m., a man robbed a credit union in Midlothian, Virginia. The robber presented a teller with a handwritten note demanding $100,000, threatening to hurt her and her family if she did not comply, and warning her that he had “boys on the lookout out</w:t>
      </w:r>
    </w:p>
    <w:p w14:paraId="6CA25ABE" w14:textId="77777777" w:rsidR="00E16BDA" w:rsidRDefault="00E16BDA" w:rsidP="00E16BDA">
      <w:pPr>
        <w:pStyle w:val="NoSpacing"/>
      </w:pPr>
      <w:r>
        <w:t xml:space="preserve">side.” 590 F. Supp. 3d, at 905–906. When the teller replied that she did not have access to that amount of money, the robber brandished a firearm. He ordered everyone in the bank to the </w:t>
      </w:r>
      <w:proofErr w:type="gramStart"/>
      <w:r>
        <w:t>ground, and</w:t>
      </w:r>
      <w:proofErr w:type="gramEnd"/>
      <w:r>
        <w:t xml:space="preserve"> forced the bank’s manager to open a safe and put $195,000 into a bag. The robber then left on foot with the money…. On June 14, the police officers thus applied to a Virginia</w:t>
      </w:r>
    </w:p>
    <w:p w14:paraId="2B802396" w14:textId="77777777" w:rsidR="00E16BDA" w:rsidRDefault="00E16BDA" w:rsidP="00E16BDA">
      <w:pPr>
        <w:pStyle w:val="NoSpacing"/>
      </w:pPr>
      <w:r>
        <w:lastRenderedPageBreak/>
        <w:t xml:space="preserve">magistrate for a geofence warrant directed to Google…. The District Court mainly agreed with </w:t>
      </w:r>
      <w:proofErr w:type="spellStart"/>
      <w:r>
        <w:t>Chatrie’s</w:t>
      </w:r>
      <w:proofErr w:type="spellEnd"/>
      <w:r>
        <w:t xml:space="preserve"> Fourth Amendment </w:t>
      </w:r>
      <w:proofErr w:type="gramStart"/>
      <w:r>
        <w:t>analysis, but</w:t>
      </w:r>
      <w:proofErr w:type="gramEnd"/>
      <w:r>
        <w:t xml:space="preserve"> still denied the motion to exclude the Location History evidence. Even though ‘this particular geofence warrant plainly violates the rights enshrined in [the Fourth] Amendment,’ the court stated, the officers’ reliance on it was not ‘objectively unreasonable.’ 590 F. Supp. 3d, at 905, 938. And because that was so, the court concluded, the good-faith exception to the exclusionary rule permitted admission of the location data. See id., at 937–938; United States v. Leon, 468 U. S. 897, 922–923 (1984) (establishing good-faith exception).</w:t>
      </w:r>
    </w:p>
    <w:p w14:paraId="6DE1EF01" w14:textId="77777777" w:rsidR="00E16BDA" w:rsidRDefault="00E16BDA" w:rsidP="00E16BDA">
      <w:pPr>
        <w:pStyle w:val="NoSpacing"/>
      </w:pPr>
    </w:p>
    <w:p w14:paraId="0F9AFE70" w14:textId="77777777" w:rsidR="00E16BDA" w:rsidRDefault="00E16BDA" w:rsidP="00E16BDA">
      <w:pPr>
        <w:pStyle w:val="NoSpacing"/>
      </w:pPr>
      <w:r>
        <w:t xml:space="preserve">Footnote 2: Except that in July 2025, years after the geofence warrant </w:t>
      </w:r>
      <w:proofErr w:type="gramStart"/>
      <w:r>
        <w:t>used</w:t>
      </w:r>
      <w:proofErr w:type="gramEnd"/>
      <w:r>
        <w:t xml:space="preserve"> in this case, Google made a change: It now stores Location History data on individual users’ devices rather than on its own servers. See Brief for Google LLC as Amicus Curiae 2. Google represents that, as a result, it</w:t>
      </w:r>
    </w:p>
    <w:p w14:paraId="481FD8F1" w14:textId="77777777" w:rsidR="00E16BDA" w:rsidRDefault="00E16BDA" w:rsidP="00E16BDA">
      <w:pPr>
        <w:pStyle w:val="NoSpacing"/>
      </w:pPr>
      <w:r>
        <w:t xml:space="preserve">is no longer capable of responding to geofence warrants that seek Location History data. </w:t>
      </w:r>
    </w:p>
    <w:p w14:paraId="08D26F9E" w14:textId="77777777" w:rsidR="00E16BDA" w:rsidRDefault="00E16BDA" w:rsidP="00E16BDA">
      <w:pPr>
        <w:pStyle w:val="NoSpacing"/>
      </w:pPr>
    </w:p>
    <w:p w14:paraId="0C10C09E" w14:textId="77777777" w:rsidR="00E16BDA" w:rsidRDefault="00E16BDA" w:rsidP="00E16BDA">
      <w:pPr>
        <w:pStyle w:val="NoSpacing"/>
      </w:pPr>
      <w:r>
        <w:t>***</w:t>
      </w:r>
    </w:p>
    <w:p w14:paraId="79BA140F" w14:textId="77777777" w:rsidR="00E16BDA" w:rsidRDefault="00E16BDA" w:rsidP="00E16BDA">
      <w:pPr>
        <w:pStyle w:val="NoSpacing"/>
      </w:pPr>
      <w:r>
        <w:t xml:space="preserve">We granted certiorari solely on the question whether the police violated the Fourth Amendment in obtaining </w:t>
      </w:r>
      <w:proofErr w:type="spellStart"/>
      <w:r>
        <w:t>Chatrie’s</w:t>
      </w:r>
      <w:proofErr w:type="spellEnd"/>
      <w:r>
        <w:t xml:space="preserve"> location data, thus declining to consider the exclusionary rule issue…. The disputed Fourth Amendment question divides into two parts. First, did law enforcement officials conduct a search under the Fourth Amendment when they acquired </w:t>
      </w:r>
      <w:proofErr w:type="spellStart"/>
      <w:r>
        <w:t>Chatrie’s</w:t>
      </w:r>
      <w:proofErr w:type="spellEnd"/>
      <w:r>
        <w:t xml:space="preserve"> location data from Google? We </w:t>
      </w:r>
      <w:proofErr w:type="gramStart"/>
      <w:r>
        <w:t>hold</w:t>
      </w:r>
      <w:proofErr w:type="gramEnd"/>
      <w:r>
        <w:t xml:space="preserve"> that they did because an individual has a legitimate expectation of privacy in his cell-phone location data. Second, did the multi-step geofence warrant issued here make that search reasonable? We leave that question—which requires deciding whether the warrant satisfied the Fourth Amendment’s probable cause and particularity requirements at each stage of the search process—to the Court of Appeals to address in the first instance…. For all those reasons, we hold that police officers invade a cell-phone user’s reasonable expectation of privacy when they access his Location History. It does not matter if the </w:t>
      </w:r>
      <w:proofErr w:type="gramStart"/>
      <w:r>
        <w:t>time period</w:t>
      </w:r>
      <w:proofErr w:type="gramEnd"/>
      <w:r>
        <w:t xml:space="preserve"> scrutinized was only two hours. Nor does it matter that the materials obtained were handed over by a third-party tech company.</w:t>
      </w:r>
    </w:p>
    <w:p w14:paraId="72A07929" w14:textId="77777777" w:rsidR="00E16BDA" w:rsidRDefault="00E16BDA" w:rsidP="00E16BDA">
      <w:pPr>
        <w:pStyle w:val="NoSpacing"/>
      </w:pPr>
    </w:p>
    <w:p w14:paraId="11550186" w14:textId="77777777" w:rsidR="00E16BDA" w:rsidRDefault="00E16BDA" w:rsidP="00E16BDA">
      <w:pPr>
        <w:pStyle w:val="NoSpacing"/>
      </w:pPr>
      <w:r>
        <w:t>Footnote 4: In line with our grant of certiorari, we do not address whether the good-faith exception to the exclusionary rule still allows the admission of the Location History data in this case. That question remains for the Fourth Circuit to consider anew, gleaning anything it thinks relevant from our decision on the substantive Fourth Amendment issues.</w:t>
      </w:r>
    </w:p>
    <w:p w14:paraId="05282D40" w14:textId="77777777" w:rsidR="00E16BDA" w:rsidRDefault="00E16BDA" w:rsidP="00E16BDA">
      <w:pPr>
        <w:pStyle w:val="NoSpacing"/>
      </w:pPr>
    </w:p>
    <w:p w14:paraId="715CB33C" w14:textId="77777777" w:rsidR="00E16BDA" w:rsidRDefault="00E16BDA" w:rsidP="00E16BDA">
      <w:pPr>
        <w:pStyle w:val="NoSpacing"/>
        <w:rPr>
          <w:b/>
          <w:bCs/>
        </w:rPr>
      </w:pPr>
      <w:r>
        <w:rPr>
          <w:b/>
        </w:rPr>
        <w:t xml:space="preserve">Legal lesson learned: Search warrants will be required in criminal investigations for cell phone location history.  This does not prohibit Fire, EMS and Law Enforcement in emergency situations – such as search of missing hiker walk away from nursing home – to have 911 Dispatch Centers obtain location information. </w:t>
      </w:r>
    </w:p>
    <w:p w14:paraId="0C54ED7A" w14:textId="77777777" w:rsidR="00E16BDA" w:rsidRDefault="00E16BDA" w:rsidP="00E16BDA">
      <w:pPr>
        <w:pStyle w:val="NoSpacing"/>
        <w:rPr>
          <w:b/>
          <w:bCs/>
        </w:rPr>
      </w:pPr>
    </w:p>
    <w:p w14:paraId="31270B5B" w14:textId="77777777" w:rsidR="00E16BDA" w:rsidRPr="00036CCC" w:rsidRDefault="00E16BDA" w:rsidP="00E16BDA">
      <w:pPr>
        <w:pStyle w:val="NoSpacing"/>
        <w:ind w:left="720"/>
      </w:pPr>
      <w:r w:rsidRPr="00036CCC">
        <w:t xml:space="preserve">Note: </w:t>
      </w:r>
    </w:p>
    <w:p w14:paraId="41EB7814" w14:textId="77777777" w:rsidR="00E16BDA" w:rsidRDefault="00E16BDA" w:rsidP="00E16BDA">
      <w:pPr>
        <w:pStyle w:val="NoSpacing"/>
        <w:ind w:left="720"/>
        <w:rPr>
          <w:b/>
          <w:bCs/>
        </w:rPr>
      </w:pPr>
    </w:p>
    <w:p w14:paraId="016A5ED4" w14:textId="77777777" w:rsidR="00E16BDA" w:rsidRDefault="00E16BDA" w:rsidP="00E16BDA">
      <w:pPr>
        <w:pStyle w:val="NoSpacing"/>
        <w:ind w:left="1080"/>
      </w:pPr>
      <w:r w:rsidRPr="00095B33">
        <w:t>Perhaps other cell phone companies will follow Google change: Majority opinion - footnote 2: “It now stores Location History data on individual users’ devices rather than on its own servers…. Google represents that, as a result, it is no longer capable of responding to geofence warrants that seek Location History data.”</w:t>
      </w:r>
    </w:p>
    <w:p w14:paraId="68C48A09" w14:textId="77777777" w:rsidR="00E16BDA" w:rsidRDefault="00E16BDA" w:rsidP="00E16BDA">
      <w:pPr>
        <w:pStyle w:val="NoSpacing"/>
        <w:ind w:left="1080"/>
      </w:pPr>
    </w:p>
    <w:p w14:paraId="56F05CC0" w14:textId="77777777" w:rsidR="00E16BDA" w:rsidRPr="00095B33" w:rsidRDefault="00E16BDA" w:rsidP="00E16BDA">
      <w:pPr>
        <w:pStyle w:val="NoSpacing"/>
        <w:ind w:left="1080"/>
      </w:pPr>
      <w:r>
        <w:t>***</w:t>
      </w:r>
    </w:p>
    <w:p w14:paraId="5E23231D" w14:textId="77777777" w:rsidR="00E16BDA" w:rsidRDefault="00E16BDA" w:rsidP="00E16BDA">
      <w:pPr>
        <w:pStyle w:val="NoSpacing"/>
        <w:ind w:left="720"/>
      </w:pPr>
    </w:p>
    <w:p w14:paraId="050708EC" w14:textId="77777777" w:rsidR="00E16BDA" w:rsidRDefault="00E16BDA" w:rsidP="00E16BDA">
      <w:pPr>
        <w:pStyle w:val="NoSpacing"/>
        <w:ind w:left="1080"/>
      </w:pPr>
      <w:r>
        <w:t>The “good-faith exception” will likely be found by the 4</w:t>
      </w:r>
      <w:r w:rsidRPr="00FA08DF">
        <w:rPr>
          <w:vertAlign w:val="superscript"/>
        </w:rPr>
        <w:t>th</w:t>
      </w:r>
      <w:r>
        <w:t xml:space="preserve"> Circuit. The Fourt Circuit, on July 9, 2024, held (2 to 1) that the government did not conduct a search and therefore did not need a warrant. </w:t>
      </w:r>
      <w:proofErr w:type="spellStart"/>
      <w:r>
        <w:t>Chatrie</w:t>
      </w:r>
      <w:proofErr w:type="spellEnd"/>
      <w:r>
        <w:t xml:space="preserve"> “did not have a reasonable expectation of privacy in two hours’ worth of Location History data voluntarily exposed to Google.” 107 F. 4th 319, 325 (2024). </w:t>
      </w:r>
      <w:hyperlink r:id="rId28" w:history="1">
        <w:r w:rsidRPr="00305A77">
          <w:rPr>
            <w:rStyle w:val="Hyperlink"/>
          </w:rPr>
          <w:t>https://cases.justia.com/federal/appellate-courts/ca4/22-4489/22-4489-2024-07-09.pdf?ts=1720549856</w:t>
        </w:r>
      </w:hyperlink>
      <w:r>
        <w:t xml:space="preserve"> .After granting rehearing </w:t>
      </w:r>
      <w:proofErr w:type="spellStart"/>
      <w:r>
        <w:t>en</w:t>
      </w:r>
      <w:proofErr w:type="spellEnd"/>
      <w:r>
        <w:t xml:space="preserve"> banc, the Fourth Circuit affirmed in a one-sentence per curiam. See 136 F. 4th 100, 101 (2025) The court divided evenly (7 to 7) on whether a Fourth Amendment search had occurred. [U.S. Supreme Court Justice Elena Kagan wrote: “Of the seven judges who thought it </w:t>
      </w:r>
      <w:proofErr w:type="gramStart"/>
      <w:r>
        <w:t>had,</w:t>
      </w:r>
      <w:proofErr w:type="gramEnd"/>
      <w:r>
        <w:t xml:space="preserve"> most believed the geofence warrant defective. But most also thought the exclusionary rule’s good-faith exception applied, so ruled against </w:t>
      </w:r>
      <w:proofErr w:type="spellStart"/>
      <w:r>
        <w:t>Chatrie</w:t>
      </w:r>
      <w:proofErr w:type="spellEnd"/>
      <w:r>
        <w:t xml:space="preserve"> anyway.”]</w:t>
      </w:r>
    </w:p>
    <w:p w14:paraId="79EE0319" w14:textId="77777777" w:rsidR="00E16BDA" w:rsidRDefault="00E16BDA" w:rsidP="00E16BDA">
      <w:pPr>
        <w:pStyle w:val="NoSpacing"/>
        <w:ind w:left="720"/>
      </w:pPr>
    </w:p>
    <w:p w14:paraId="3AF9CD38" w14:textId="77777777" w:rsidR="00E16BDA" w:rsidRDefault="00E16BDA" w:rsidP="00E16BDA">
      <w:pPr>
        <w:pStyle w:val="NoSpacing"/>
        <w:ind w:left="1080"/>
      </w:pPr>
      <w:r>
        <w:t>Dissenting Justice Samuel Alito: “So, unless he can show that this evidence should be suppressed, he cannot obtain any relief. And his chances of making the showing needed to justify suppression are virtually zero.”</w:t>
      </w:r>
    </w:p>
    <w:p w14:paraId="1C42AFFE" w14:textId="77777777" w:rsidR="00E16BDA" w:rsidRDefault="00E16BDA" w:rsidP="00E16BDA">
      <w:pPr>
        <w:pStyle w:val="NoSpacing"/>
        <w:ind w:left="720"/>
      </w:pPr>
    </w:p>
    <w:p w14:paraId="45666429" w14:textId="77777777" w:rsidR="00E16BDA" w:rsidRDefault="00E16BDA" w:rsidP="00E16BDA">
      <w:pPr>
        <w:pStyle w:val="NoSpacing"/>
        <w:ind w:left="720"/>
      </w:pPr>
    </w:p>
    <w:p w14:paraId="041D5E47" w14:textId="77777777" w:rsidR="00E16BDA" w:rsidRDefault="00E16BDA" w:rsidP="00E16BDA">
      <w:pPr>
        <w:pStyle w:val="NoSpacing"/>
        <w:rPr>
          <w:rFonts w:ascii="Arial Black" w:hAnsi="Arial Black"/>
          <w:sz w:val="28"/>
          <w:szCs w:val="28"/>
        </w:rPr>
      </w:pPr>
    </w:p>
    <w:p w14:paraId="75B6740D" w14:textId="77777777" w:rsidR="00E16BDA" w:rsidRDefault="00E16BDA" w:rsidP="00E16BDA">
      <w:pPr>
        <w:pStyle w:val="NoSpacing"/>
        <w:rPr>
          <w:rFonts w:ascii="Arial Black" w:hAnsi="Arial Black"/>
          <w:sz w:val="28"/>
          <w:szCs w:val="28"/>
        </w:rPr>
      </w:pPr>
    </w:p>
    <w:p w14:paraId="1AD2ECF5" w14:textId="080E1CF1" w:rsidR="00E16BDA" w:rsidRDefault="00E16BDA" w:rsidP="00E16BDA">
      <w:pPr>
        <w:pStyle w:val="NoSpacing"/>
        <w:rPr>
          <w:rFonts w:ascii="Arial Black" w:hAnsi="Arial Black"/>
          <w:sz w:val="28"/>
          <w:szCs w:val="28"/>
        </w:rPr>
      </w:pPr>
      <w:r>
        <w:rPr>
          <w:rFonts w:ascii="Arial Black" w:hAnsi="Arial Black"/>
          <w:sz w:val="28"/>
          <w:szCs w:val="28"/>
        </w:rPr>
        <w:t>1-217</w:t>
      </w:r>
    </w:p>
    <w:p w14:paraId="5B287761" w14:textId="77777777" w:rsidR="00E16BDA" w:rsidRDefault="00E16BDA" w:rsidP="00E16BDA">
      <w:pPr>
        <w:pStyle w:val="NoSpacing"/>
        <w:rPr>
          <w:rFonts w:ascii="Arial Black" w:hAnsi="Arial Black"/>
          <w:sz w:val="28"/>
          <w:szCs w:val="28"/>
        </w:rPr>
      </w:pPr>
    </w:p>
    <w:p w14:paraId="28D92668" w14:textId="77777777" w:rsidR="00E16BDA" w:rsidRDefault="00E16BDA" w:rsidP="00E16BDA">
      <w:pPr>
        <w:pStyle w:val="NoSpacing"/>
        <w:rPr>
          <w:rFonts w:ascii="Arial Black" w:hAnsi="Arial Black"/>
          <w:sz w:val="28"/>
          <w:szCs w:val="28"/>
        </w:rPr>
      </w:pPr>
      <w:r>
        <w:rPr>
          <w:rFonts w:ascii="Arial Black" w:hAnsi="Arial Black"/>
          <w:sz w:val="28"/>
          <w:szCs w:val="28"/>
        </w:rPr>
        <w:t>CA: HABEAS – MURDER – VICTIM SHOT TWICE OR ONCE?</w:t>
      </w:r>
    </w:p>
    <w:p w14:paraId="2DA32E7C" w14:textId="77777777" w:rsidR="00E16BDA" w:rsidRDefault="00E16BDA" w:rsidP="00E16BDA">
      <w:pPr>
        <w:pStyle w:val="NoSpacing"/>
        <w:rPr>
          <w:rFonts w:ascii="Arial Black" w:hAnsi="Arial Black"/>
          <w:sz w:val="28"/>
          <w:szCs w:val="28"/>
        </w:rPr>
      </w:pPr>
    </w:p>
    <w:p w14:paraId="683B288E" w14:textId="77777777" w:rsidR="00E16BDA" w:rsidRDefault="00E16BDA" w:rsidP="00E16BDA">
      <w:pPr>
        <w:pStyle w:val="NoSpacing"/>
        <w:rPr>
          <w:bCs/>
        </w:rPr>
      </w:pPr>
      <w:r>
        <w:t xml:space="preserve">On July 22, 2026, </w:t>
      </w:r>
      <w:r w:rsidRPr="001F50F2">
        <w:rPr>
          <w:u w:val="single"/>
        </w:rPr>
        <w:t>In re Marcil McCowen on Habeas Corpus</w:t>
      </w:r>
      <w:r>
        <w:t xml:space="preserve">, the </w:t>
      </w:r>
      <w:r w:rsidRPr="001F50F2">
        <w:t>California Court of Appeals, Fourth District, Second Division</w:t>
      </w:r>
      <w:r>
        <w:t xml:space="preserve"> published their June 25, 2026 unpublished decision, granting the prisoner’s petition for a writ of habeas corpus, where trial court judge in this first degree murder case (</w:t>
      </w:r>
      <w:r w:rsidRPr="00164EE0">
        <w:t>October 8, 1998</w:t>
      </w:r>
      <w:r>
        <w:t xml:space="preserve"> shooting; 2001 conviction; now serving 50 years to life) can hear testimony about discrepancy in evidence, and potentially could order new trial.    </w:t>
      </w:r>
      <w:hyperlink r:id="rId29" w:history="1">
        <w:r w:rsidRPr="004D58FA">
          <w:rPr>
            <w:rStyle w:val="Hyperlink"/>
          </w:rPr>
          <w:t>https://www4.courts.ca.gov/opinions/documents/E087834.PDF</w:t>
        </w:r>
      </w:hyperlink>
      <w:r>
        <w:t xml:space="preserve"> </w:t>
      </w:r>
    </w:p>
    <w:p w14:paraId="408FC3CD" w14:textId="77777777" w:rsidR="00E16BDA" w:rsidRDefault="00E16BDA" w:rsidP="00E16BDA">
      <w:pPr>
        <w:pStyle w:val="NoSpacing"/>
        <w:rPr>
          <w:bCs/>
        </w:rPr>
      </w:pPr>
    </w:p>
    <w:p w14:paraId="66575EBF" w14:textId="77777777" w:rsidR="00E16BDA" w:rsidRPr="001F50F2" w:rsidRDefault="00E16BDA" w:rsidP="00E16BDA">
      <w:pPr>
        <w:pStyle w:val="NoSpacing"/>
        <w:rPr>
          <w:bCs/>
        </w:rPr>
      </w:pPr>
      <w:r>
        <w:t xml:space="preserve">THE COURT WROTE: </w:t>
      </w:r>
    </w:p>
    <w:p w14:paraId="40DAA5F8" w14:textId="77777777" w:rsidR="00E16BDA" w:rsidRPr="001F50F2" w:rsidRDefault="00E16BDA" w:rsidP="00E16BDA">
      <w:pPr>
        <w:pStyle w:val="NoSpacing"/>
        <w:rPr>
          <w:bCs/>
        </w:rPr>
      </w:pPr>
    </w:p>
    <w:p w14:paraId="1F1DFA1B" w14:textId="77777777" w:rsidR="00E16BDA" w:rsidRPr="00A9501D" w:rsidRDefault="00E16BDA" w:rsidP="00E16BDA">
      <w:pPr>
        <w:pStyle w:val="NoSpacing"/>
      </w:pPr>
      <w:r>
        <w:t>“</w:t>
      </w:r>
      <w:r w:rsidRPr="00A9501D">
        <w:t xml:space="preserve">Petitioner Marcil McCowen was convicted of </w:t>
      </w:r>
      <w:proofErr w:type="gramStart"/>
      <w:r w:rsidRPr="00A9501D">
        <w:t>first degree</w:t>
      </w:r>
      <w:proofErr w:type="gramEnd"/>
      <w:r w:rsidRPr="00A9501D">
        <w:t xml:space="preserve"> murder (Pen. Code,1</w:t>
      </w:r>
    </w:p>
    <w:p w14:paraId="5C109D92" w14:textId="77777777" w:rsidR="00E16BDA" w:rsidRDefault="00E16BDA" w:rsidP="00E16BDA">
      <w:pPr>
        <w:pStyle w:val="NoSpacing"/>
      </w:pPr>
      <w:r w:rsidRPr="00A9501D">
        <w:t>§ 187, subd.(a)) in 2001 and was sentenced to a term of 50 years to life in prison</w:t>
      </w:r>
      <w:r>
        <w:t xml:space="preserve">…. </w:t>
      </w:r>
      <w:r w:rsidRPr="00A9501D">
        <w:t>The false evidence claim pertains to the testimony of a paramedic who testified at</w:t>
      </w:r>
      <w:r>
        <w:t xml:space="preserve"> </w:t>
      </w:r>
      <w:r w:rsidRPr="00A9501D">
        <w:t>trial that the victim of the murder had sustained two gunshot wounds, one to the chest and</w:t>
      </w:r>
      <w:r>
        <w:t xml:space="preserve"> </w:t>
      </w:r>
      <w:r w:rsidRPr="00A9501D">
        <w:t>one to the head, from which brain matter seeped. The People’s theory of premeditated</w:t>
      </w:r>
      <w:r>
        <w:t xml:space="preserve"> </w:t>
      </w:r>
      <w:r w:rsidRPr="00A9501D">
        <w:t xml:space="preserve">murder related to </w:t>
      </w:r>
      <w:proofErr w:type="gramStart"/>
      <w:r w:rsidRPr="00A9501D">
        <w:t>the multiple</w:t>
      </w:r>
      <w:proofErr w:type="gramEnd"/>
      <w:r w:rsidRPr="00A9501D">
        <w:t xml:space="preserve"> wounds, despite a pathologist’s report indicating there was</w:t>
      </w:r>
      <w:r>
        <w:t xml:space="preserve"> </w:t>
      </w:r>
      <w:r w:rsidRPr="00A9501D">
        <w:t>but one gunshot wound, which entered through the upper chest or neck, and exited from</w:t>
      </w:r>
      <w:r>
        <w:t xml:space="preserve"> </w:t>
      </w:r>
      <w:r w:rsidRPr="00A9501D">
        <w:t>the upper back. The pathologist did not testify at trial, and the pathologist’s report was</w:t>
      </w:r>
      <w:r>
        <w:t xml:space="preserve"> </w:t>
      </w:r>
      <w:r w:rsidRPr="00A9501D">
        <w:t>not introduced into evidence at trial.</w:t>
      </w:r>
    </w:p>
    <w:p w14:paraId="0479D9FC" w14:textId="77777777" w:rsidR="00E16BDA" w:rsidRDefault="00E16BDA" w:rsidP="00E16BDA">
      <w:pPr>
        <w:pStyle w:val="NoSpacing"/>
      </w:pPr>
    </w:p>
    <w:p w14:paraId="51AC5A42" w14:textId="77777777" w:rsidR="00E16BDA" w:rsidRDefault="00E16BDA" w:rsidP="00E16BDA">
      <w:pPr>
        <w:pStyle w:val="NoSpacing"/>
      </w:pPr>
      <w:r>
        <w:t>***</w:t>
      </w:r>
    </w:p>
    <w:p w14:paraId="5C0F7B47" w14:textId="77777777" w:rsidR="00E16BDA" w:rsidRDefault="00E16BDA" w:rsidP="00E16BDA">
      <w:pPr>
        <w:pStyle w:val="NoSpacing"/>
      </w:pPr>
      <w:r>
        <w:t>Petitioner alleges that the prosecution’s reliance on the paramedic’s testimony, which was contradicted by the actual coroner’s report of the autopsy, resulted in a conviction based on false evidence in violation of his due process rights…. In the return, the People do not dispute that the paramedic witness testified that the victim had suffered two gunshot wounds, one to the head, causing brain matter to seep from the victim’s head, which was contradicted by the coroner’s report (which was not admitted into evidence), demonstrating there was but one bullet wound to</w:t>
      </w:r>
    </w:p>
    <w:p w14:paraId="58F942CF" w14:textId="77777777" w:rsidR="00E16BDA" w:rsidRDefault="00E16BDA" w:rsidP="00E16BDA">
      <w:pPr>
        <w:pStyle w:val="NoSpacing"/>
      </w:pPr>
      <w:r>
        <w:t>the upper chest and no bullet wound to the head, which the coroner found to be intact.</w:t>
      </w:r>
    </w:p>
    <w:p w14:paraId="6D84EE3E" w14:textId="77777777" w:rsidR="00E16BDA" w:rsidRDefault="00E16BDA" w:rsidP="00E16BDA">
      <w:pPr>
        <w:pStyle w:val="NoSpacing"/>
      </w:pPr>
      <w:r>
        <w:t xml:space="preserve">However, the People assert there is no </w:t>
      </w:r>
      <w:proofErr w:type="gramStart"/>
      <w:r>
        <w:t>evidence</w:t>
      </w:r>
      <w:proofErr w:type="gramEnd"/>
      <w:r>
        <w:t xml:space="preserve"> the paramedic purposely lied or that the</w:t>
      </w:r>
    </w:p>
    <w:p w14:paraId="1FB4A1B5" w14:textId="77777777" w:rsidR="00E16BDA" w:rsidRDefault="00E16BDA" w:rsidP="00E16BDA">
      <w:pPr>
        <w:pStyle w:val="NoSpacing"/>
      </w:pPr>
      <w:r>
        <w:t>prosecutor knowingly presented false testimony, and that the discrepancy was not</w:t>
      </w:r>
    </w:p>
    <w:p w14:paraId="6FAC66DB" w14:textId="77777777" w:rsidR="00E16BDA" w:rsidRDefault="00E16BDA" w:rsidP="00E16BDA">
      <w:pPr>
        <w:pStyle w:val="NoSpacing"/>
      </w:pPr>
      <w:r>
        <w:t>material…. The bottom line here is that there is no factual dispute that there is a significant</w:t>
      </w:r>
    </w:p>
    <w:p w14:paraId="43F2D20D" w14:textId="77777777" w:rsidR="00E16BDA" w:rsidRDefault="00E16BDA" w:rsidP="00E16BDA">
      <w:pPr>
        <w:pStyle w:val="NoSpacing"/>
      </w:pPr>
      <w:r>
        <w:t>discrepancy between the paramedic’s testimony and the coroner’s report, and that the</w:t>
      </w:r>
    </w:p>
    <w:p w14:paraId="5571052D" w14:textId="77777777" w:rsidR="00E16BDA" w:rsidRDefault="00E16BDA" w:rsidP="00E16BDA">
      <w:pPr>
        <w:pStyle w:val="NoSpacing"/>
      </w:pPr>
      <w:r>
        <w:t>People relied on the paramedic’s false or erroneous, yet uncorrected, testimony to argue</w:t>
      </w:r>
    </w:p>
    <w:p w14:paraId="6BE081FC" w14:textId="77777777" w:rsidR="00E16BDA" w:rsidRDefault="00E16BDA" w:rsidP="00E16BDA">
      <w:pPr>
        <w:pStyle w:val="NoSpacing"/>
      </w:pPr>
      <w:r>
        <w:t>that having shot at the victim twice, the murder was willful, deliberate, and premeditated</w:t>
      </w:r>
    </w:p>
    <w:p w14:paraId="1EE79D4E" w14:textId="77777777" w:rsidR="00E16BDA" w:rsidRDefault="00E16BDA" w:rsidP="00E16BDA">
      <w:pPr>
        <w:pStyle w:val="NoSpacing"/>
      </w:pPr>
      <w:r>
        <w:t>first degree murder. Given the prosecutor’s arguments at trial that repeatedly emphasized the two</w:t>
      </w:r>
    </w:p>
    <w:p w14:paraId="368A7D72" w14:textId="77777777" w:rsidR="00E16BDA" w:rsidRDefault="00E16BDA" w:rsidP="00E16BDA">
      <w:pPr>
        <w:pStyle w:val="NoSpacing"/>
      </w:pPr>
      <w:r>
        <w:t>gunshot wounds to the victim as negating any claim of accident or self-defense, we must</w:t>
      </w:r>
    </w:p>
    <w:p w14:paraId="79FB5C85" w14:textId="77777777" w:rsidR="00E16BDA" w:rsidRDefault="00E16BDA" w:rsidP="00E16BDA">
      <w:pPr>
        <w:pStyle w:val="NoSpacing"/>
      </w:pPr>
      <w:r>
        <w:t>conclude that the paramedic’s testimony was material.”</w:t>
      </w:r>
    </w:p>
    <w:p w14:paraId="3B195FEA" w14:textId="77777777" w:rsidR="00E16BDA" w:rsidRDefault="00E16BDA" w:rsidP="00E16BDA">
      <w:pPr>
        <w:pStyle w:val="NoSpacing"/>
      </w:pPr>
    </w:p>
    <w:p w14:paraId="578168C0" w14:textId="77777777" w:rsidR="00E16BDA" w:rsidRDefault="00E16BDA" w:rsidP="00E16BDA">
      <w:pPr>
        <w:pStyle w:val="NoSpacing"/>
      </w:pPr>
      <w:r>
        <w:rPr>
          <w:b/>
        </w:rPr>
        <w:t xml:space="preserve">Legal lesson learned: To avoid a possible retrial many years after the shooting, the prosecutor and the paramedic at the original trial should have addressed the discrepancy by also calling the coroner to testify (perhaps his autopsy report was inaccurate). </w:t>
      </w:r>
    </w:p>
    <w:p w14:paraId="1A9C784D" w14:textId="77777777" w:rsidR="00E16BDA" w:rsidRDefault="00E16BDA" w:rsidP="00E16BDA">
      <w:pPr>
        <w:pStyle w:val="NoSpacing"/>
        <w:rPr>
          <w:b/>
        </w:rPr>
      </w:pPr>
    </w:p>
    <w:p w14:paraId="7FBFE0AF" w14:textId="77777777" w:rsidR="00E16BDA" w:rsidRDefault="00E16BDA" w:rsidP="00E16BDA">
      <w:pPr>
        <w:pStyle w:val="NoSpacing"/>
        <w:rPr>
          <w:b/>
          <w:sz w:val="20"/>
          <w:szCs w:val="20"/>
        </w:rPr>
      </w:pPr>
    </w:p>
    <w:p w14:paraId="7F1B9B0C" w14:textId="77777777" w:rsidR="00E16BDA" w:rsidRDefault="00E16BDA" w:rsidP="00E16BDA">
      <w:pPr>
        <w:pStyle w:val="NoSpacing"/>
        <w:rPr>
          <w:b/>
          <w:sz w:val="20"/>
          <w:szCs w:val="20"/>
        </w:rPr>
      </w:pPr>
    </w:p>
    <w:p w14:paraId="611816C4" w14:textId="77777777" w:rsidR="00E16BDA" w:rsidRDefault="00E16BDA" w:rsidP="00E16BDA">
      <w:pPr>
        <w:pStyle w:val="NoSpacing"/>
        <w:rPr>
          <w:b/>
          <w:sz w:val="20"/>
          <w:szCs w:val="20"/>
        </w:rPr>
      </w:pPr>
    </w:p>
    <w:p w14:paraId="742E3D55" w14:textId="77777777" w:rsidR="00E16BDA" w:rsidRDefault="00E16BDA" w:rsidP="00E16BDA">
      <w:pPr>
        <w:pStyle w:val="NoSpacing"/>
        <w:rPr>
          <w:b/>
          <w:sz w:val="20"/>
          <w:szCs w:val="20"/>
        </w:rPr>
      </w:pPr>
    </w:p>
    <w:p w14:paraId="2CF3E7CE" w14:textId="6A0CBC9B" w:rsidR="00E16BDA" w:rsidRDefault="00E16BDA" w:rsidP="00E16BDA">
      <w:pPr>
        <w:pStyle w:val="NoSpacing"/>
        <w:rPr>
          <w:rFonts w:ascii="Arial Black" w:hAnsi="Arial Black"/>
          <w:b/>
          <w:sz w:val="28"/>
          <w:szCs w:val="28"/>
        </w:rPr>
      </w:pPr>
      <w:r>
        <w:rPr>
          <w:rFonts w:ascii="Arial Black" w:hAnsi="Arial Black"/>
          <w:b/>
          <w:sz w:val="28"/>
          <w:szCs w:val="28"/>
        </w:rPr>
        <w:t>1-216</w:t>
      </w:r>
    </w:p>
    <w:p w14:paraId="2410A27A" w14:textId="77777777" w:rsidR="00E16BDA" w:rsidRDefault="00E16BDA" w:rsidP="00E16BDA">
      <w:pPr>
        <w:pStyle w:val="NoSpacing"/>
        <w:rPr>
          <w:rFonts w:ascii="Arial Black" w:hAnsi="Arial Black"/>
          <w:b/>
          <w:sz w:val="28"/>
          <w:szCs w:val="28"/>
        </w:rPr>
      </w:pPr>
    </w:p>
    <w:p w14:paraId="2D35F797" w14:textId="77777777" w:rsidR="00E16BDA" w:rsidRPr="00D37405" w:rsidRDefault="00E16BDA" w:rsidP="00E16BDA">
      <w:pPr>
        <w:pStyle w:val="NoSpacing"/>
        <w:rPr>
          <w:rFonts w:ascii="Arial Black" w:hAnsi="Arial Black"/>
          <w:b/>
          <w:sz w:val="28"/>
          <w:szCs w:val="28"/>
        </w:rPr>
      </w:pPr>
      <w:r>
        <w:rPr>
          <w:rFonts w:ascii="Arial Black" w:hAnsi="Arial Black"/>
          <w:b/>
          <w:sz w:val="28"/>
          <w:szCs w:val="28"/>
        </w:rPr>
        <w:lastRenderedPageBreak/>
        <w:t xml:space="preserve">MI: FIRE CODE - SELF EVAC - UPPER FL CARE FACILITY </w:t>
      </w:r>
    </w:p>
    <w:p w14:paraId="0A682A75" w14:textId="77777777" w:rsidR="00E16BDA" w:rsidRDefault="00E16BDA" w:rsidP="00E16BDA">
      <w:pPr>
        <w:pStyle w:val="NoSpacing"/>
        <w:rPr>
          <w:b/>
        </w:rPr>
      </w:pPr>
    </w:p>
    <w:p w14:paraId="593192BC" w14:textId="77777777" w:rsidR="00E16BDA" w:rsidRDefault="00E16BDA" w:rsidP="00E16BDA">
      <w:pPr>
        <w:pStyle w:val="NoSpacing"/>
        <w:rPr>
          <w:bCs/>
        </w:rPr>
      </w:pPr>
      <w:r>
        <w:t xml:space="preserve">On July 15, 2026, in </w:t>
      </w:r>
      <w:r w:rsidRPr="00471CCB">
        <w:rPr>
          <w:u w:val="single"/>
        </w:rPr>
        <w:t>RMH Solutions LLC v. Charter Township of Clinton, et al</w:t>
      </w:r>
      <w:r>
        <w:t xml:space="preserve">., the </w:t>
      </w:r>
      <w:r w:rsidRPr="00471CCB">
        <w:t>Court of Appeals of Michigan</w:t>
      </w:r>
      <w:r>
        <w:t xml:space="preserve"> held (3 to 0; unpublished decision) that t</w:t>
      </w:r>
      <w:r w:rsidRPr="00D356F5">
        <w:t xml:space="preserve">rial court erred by approving </w:t>
      </w:r>
      <w:r>
        <w:t>the care facility’s evacuation plan that was not approved by Fire Marshall; case remanded for further hearing.  I</w:t>
      </w:r>
      <w:r w:rsidRPr="00110643">
        <w:t>n November 2023,</w:t>
      </w:r>
      <w:r>
        <w:t xml:space="preserve"> </w:t>
      </w:r>
      <w:r w:rsidRPr="00A62C76">
        <w:t xml:space="preserve">Chuck Champagne, the Fire Marshal of the </w:t>
      </w:r>
      <w:r w:rsidRPr="00594415">
        <w:t>Clinton Township</w:t>
      </w:r>
      <w:r>
        <w:t xml:space="preserve"> </w:t>
      </w:r>
      <w:r w:rsidRPr="00594415">
        <w:t>Fire-Rescue-EMS</w:t>
      </w:r>
      <w:r>
        <w:t xml:space="preserve">, </w:t>
      </w:r>
      <w:r w:rsidRPr="00110643">
        <w:t>determined operating an assisted living facility on the upper three floors violated the</w:t>
      </w:r>
      <w:r>
        <w:t xml:space="preserve"> </w:t>
      </w:r>
      <w:r w:rsidRPr="00110643">
        <w:t>2015 IFC. The letter was written after an EMS run at the facility. Plaintiff’s staff called for</w:t>
      </w:r>
      <w:r>
        <w:t xml:space="preserve"> </w:t>
      </w:r>
      <w:r w:rsidRPr="00110643">
        <w:t>assistance because of the inability to lift an obese resident. Champagne also observed several</w:t>
      </w:r>
      <w:r>
        <w:t xml:space="preserve"> </w:t>
      </w:r>
      <w:r w:rsidRPr="00110643">
        <w:t>wheelchairs and scooters on the same upper floor.</w:t>
      </w:r>
      <w:r>
        <w:t xml:space="preserve">  </w:t>
      </w:r>
    </w:p>
    <w:p w14:paraId="5DD71408" w14:textId="77777777" w:rsidR="00E16BDA" w:rsidRDefault="00E16BDA" w:rsidP="00E16BDA">
      <w:pPr>
        <w:pStyle w:val="NoSpacing"/>
        <w:rPr>
          <w:bCs/>
        </w:rPr>
      </w:pPr>
      <w:hyperlink r:id="rId30" w:history="1">
        <w:r w:rsidRPr="00BD5255">
          <w:rPr>
            <w:rStyle w:val="Hyperlink"/>
          </w:rPr>
          <w:t>https://cases.justia.com/michigan/court-of-appeals-unpublished/2026-374887.pdf?ts=1784206805</w:t>
        </w:r>
      </w:hyperlink>
      <w:r>
        <w:t xml:space="preserve"> </w:t>
      </w:r>
    </w:p>
    <w:p w14:paraId="1F2859AA" w14:textId="77777777" w:rsidR="00E16BDA" w:rsidRDefault="00E16BDA" w:rsidP="00E16BDA">
      <w:pPr>
        <w:pStyle w:val="NoSpacing"/>
        <w:rPr>
          <w:bCs/>
        </w:rPr>
      </w:pPr>
    </w:p>
    <w:p w14:paraId="6A0491AB" w14:textId="77777777" w:rsidR="00E16BDA" w:rsidRDefault="00E16BDA" w:rsidP="00E16BDA">
      <w:pPr>
        <w:pStyle w:val="NoSpacing"/>
        <w:rPr>
          <w:bCs/>
        </w:rPr>
      </w:pPr>
      <w:r>
        <w:t xml:space="preserve">THE COURT WROTE: </w:t>
      </w:r>
    </w:p>
    <w:p w14:paraId="4C552ED4" w14:textId="77777777" w:rsidR="00E16BDA" w:rsidRDefault="00E16BDA" w:rsidP="00E16BDA">
      <w:pPr>
        <w:pStyle w:val="NoSpacing"/>
        <w:rPr>
          <w:bCs/>
        </w:rPr>
      </w:pPr>
    </w:p>
    <w:p w14:paraId="7AF24F75" w14:textId="77777777" w:rsidR="00E16BDA" w:rsidRPr="007C6E3C" w:rsidRDefault="00E16BDA" w:rsidP="00E16BDA">
      <w:pPr>
        <w:pStyle w:val="NoSpacing"/>
        <w:rPr>
          <w:bCs/>
        </w:rPr>
      </w:pPr>
      <w:r>
        <w:t>“</w:t>
      </w:r>
      <w:r w:rsidRPr="00C57739">
        <w:t>Notably, the Township oversaw a fire drill at the facility on May 7, 2024. Of 58 residents</w:t>
      </w:r>
      <w:r>
        <w:t xml:space="preserve"> </w:t>
      </w:r>
      <w:r w:rsidRPr="00C57739">
        <w:t xml:space="preserve">living on the third and fourth floors, 37 residents were </w:t>
      </w:r>
      <w:r>
        <w:t>‘</w:t>
      </w:r>
      <w:r w:rsidRPr="00C57739">
        <w:t>[n]</w:t>
      </w:r>
      <w:proofErr w:type="spellStart"/>
      <w:r w:rsidRPr="00C57739">
        <w:t>ot</w:t>
      </w:r>
      <w:proofErr w:type="spellEnd"/>
      <w:r w:rsidRPr="00C57739">
        <w:t xml:space="preserve"> capable” of self-evacuating during</w:t>
      </w:r>
      <w:r>
        <w:t xml:space="preserve"> </w:t>
      </w:r>
      <w:r w:rsidRPr="00C57739">
        <w:t xml:space="preserve">an emergency. </w:t>
      </w:r>
      <w:r>
        <w:t xml:space="preserve">…. </w:t>
      </w:r>
      <w:r w:rsidRPr="00466A96">
        <w:t>In attempting to achieve compliance with I-1 condition 2 occupancy, plaintiff installed</w:t>
      </w:r>
      <w:r>
        <w:t xml:space="preserve"> </w:t>
      </w:r>
      <w:r w:rsidRPr="00466A96">
        <w:t xml:space="preserve">evacuation chairs allowing </w:t>
      </w:r>
      <w:r>
        <w:t>‘</w:t>
      </w:r>
      <w:r w:rsidRPr="00466A96">
        <w:t>for easy evacuation over the staircase,</w:t>
      </w:r>
      <w:r>
        <w:t>’</w:t>
      </w:r>
      <w:r w:rsidRPr="00466A96">
        <w:t xml:space="preserve"> and an evacuation board</w:t>
      </w:r>
      <w:r>
        <w:t xml:space="preserve"> </w:t>
      </w:r>
      <w:r w:rsidRPr="00466A96">
        <w:t xml:space="preserve">allowing </w:t>
      </w:r>
      <w:r>
        <w:t>‘</w:t>
      </w:r>
      <w:r w:rsidRPr="00466A96">
        <w:t>for sliding over the staircase until the person is evacuated from the building[.]</w:t>
      </w:r>
      <w:r>
        <w:t>’</w:t>
      </w:r>
      <w:r w:rsidRPr="00466A96">
        <w:t xml:space="preserve"> Those</w:t>
      </w:r>
      <w:r>
        <w:t xml:space="preserve"> </w:t>
      </w:r>
      <w:r w:rsidRPr="00466A96">
        <w:t xml:space="preserve">measures were in addition to the installation of </w:t>
      </w:r>
      <w:r>
        <w:t>‘</w:t>
      </w:r>
      <w:r w:rsidRPr="00466A96">
        <w:t>an additional set of automatic doors,</w:t>
      </w:r>
      <w:r>
        <w:t>’</w:t>
      </w:r>
      <w:r w:rsidRPr="00466A96">
        <w:t xml:space="preserve"> which would</w:t>
      </w:r>
      <w:r>
        <w:t xml:space="preserve"> </w:t>
      </w:r>
      <w:r w:rsidRPr="00466A96">
        <w:t xml:space="preserve">split </w:t>
      </w:r>
      <w:r>
        <w:t>‘</w:t>
      </w:r>
      <w:r w:rsidRPr="00466A96">
        <w:t>a larger hallway into two.</w:t>
      </w:r>
      <w:r>
        <w:t xml:space="preserve">’ … </w:t>
      </w:r>
      <w:r w:rsidRPr="007C6E3C">
        <w:t>Defendants maintained there were</w:t>
      </w:r>
      <w:r>
        <w:t xml:space="preserve"> </w:t>
      </w:r>
      <w:r w:rsidRPr="007C6E3C">
        <w:t xml:space="preserve">37 residents </w:t>
      </w:r>
      <w:r>
        <w:t>‘</w:t>
      </w:r>
      <w:r w:rsidRPr="007C6E3C">
        <w:t>incapable of evacuating,</w:t>
      </w:r>
      <w:r>
        <w:t>’</w:t>
      </w:r>
      <w:r w:rsidRPr="007C6E3C">
        <w:t xml:space="preserve"> and not enough staff available to assist with the</w:t>
      </w:r>
    </w:p>
    <w:p w14:paraId="3CDF308B" w14:textId="77777777" w:rsidR="00E16BDA" w:rsidRPr="007C6E3C" w:rsidRDefault="00E16BDA" w:rsidP="00E16BDA">
      <w:pPr>
        <w:pStyle w:val="NoSpacing"/>
        <w:rPr>
          <w:bCs/>
        </w:rPr>
      </w:pPr>
      <w:r w:rsidRPr="007C6E3C">
        <w:t>evacuations. Moreover, the time frame involved for each resident’s removal was not addressed in</w:t>
      </w:r>
    </w:p>
    <w:p w14:paraId="595613D8" w14:textId="77777777" w:rsidR="00E16BDA" w:rsidRPr="007C6E3C" w:rsidRDefault="00E16BDA" w:rsidP="00E16BDA">
      <w:pPr>
        <w:pStyle w:val="NoSpacing"/>
        <w:rPr>
          <w:bCs/>
        </w:rPr>
      </w:pPr>
      <w:r w:rsidRPr="007C6E3C">
        <w:t>the record</w:t>
      </w:r>
      <w:r>
        <w:t xml:space="preserve">.  </w:t>
      </w:r>
      <w:r w:rsidRPr="007C6E3C">
        <w:t xml:space="preserve">Defendants argued </w:t>
      </w:r>
      <w:proofErr w:type="spellStart"/>
      <w:r w:rsidRPr="007C6E3C">
        <w:t>Donoian’s</w:t>
      </w:r>
      <w:proofErr w:type="spellEnd"/>
      <w:r w:rsidRPr="007C6E3C">
        <w:t xml:space="preserve"> plan constituted an admission that plaintiff was</w:t>
      </w:r>
    </w:p>
    <w:p w14:paraId="56442D05" w14:textId="77777777" w:rsidR="00E16BDA" w:rsidRDefault="00E16BDA" w:rsidP="00E16BDA">
      <w:pPr>
        <w:pStyle w:val="NoSpacing"/>
        <w:rPr>
          <w:bCs/>
        </w:rPr>
      </w:pPr>
      <w:r>
        <w:t>‘</w:t>
      </w:r>
      <w:proofErr w:type="gramStart"/>
      <w:r w:rsidRPr="007C6E3C">
        <w:t>housing</w:t>
      </w:r>
      <w:proofErr w:type="gramEnd"/>
      <w:r w:rsidRPr="007C6E3C">
        <w:t xml:space="preserve"> people inappropriate [sic] for this facility.</w:t>
      </w:r>
      <w:r>
        <w:t xml:space="preserve">’… </w:t>
      </w:r>
      <w:r w:rsidRPr="005B3B6C">
        <w:t>Frank Bayer, a certified building official in Sterling Heights, averred the facility was</w:t>
      </w:r>
      <w:r>
        <w:t xml:space="preserve"> </w:t>
      </w:r>
      <w:r w:rsidRPr="005B3B6C">
        <w:t>noncompliant with the I-1 condition 2 occupancy and the “proposed use of [six] chairs and [eight]</w:t>
      </w:r>
      <w:r>
        <w:t xml:space="preserve"> </w:t>
      </w:r>
      <w:r w:rsidRPr="005B3B6C">
        <w:t>employees for possible evacuation of 75 patients in less than [one] hour is not only impractical but</w:t>
      </w:r>
      <w:r>
        <w:t xml:space="preserve"> </w:t>
      </w:r>
      <w:r w:rsidRPr="005B3B6C">
        <w:t xml:space="preserve">extremely unsafe.” He also </w:t>
      </w:r>
      <w:proofErr w:type="gramStart"/>
      <w:r w:rsidRPr="005B3B6C">
        <w:t>averred</w:t>
      </w:r>
      <w:proofErr w:type="gramEnd"/>
      <w:r w:rsidRPr="005B3B6C">
        <w:t xml:space="preserve"> two employees would have to move each resident to an</w:t>
      </w:r>
      <w:r>
        <w:t xml:space="preserve"> </w:t>
      </w:r>
      <w:r w:rsidRPr="005B3B6C">
        <w:t>evacuation chai</w:t>
      </w:r>
      <w:r>
        <w:t>r.</w:t>
      </w:r>
    </w:p>
    <w:p w14:paraId="107FF3B5" w14:textId="77777777" w:rsidR="00E16BDA" w:rsidRDefault="00E16BDA" w:rsidP="00E16BDA">
      <w:pPr>
        <w:pStyle w:val="NoSpacing"/>
        <w:rPr>
          <w:bCs/>
        </w:rPr>
      </w:pPr>
    </w:p>
    <w:p w14:paraId="17B526E5" w14:textId="77777777" w:rsidR="00E16BDA" w:rsidRDefault="00E16BDA" w:rsidP="00E16BDA">
      <w:pPr>
        <w:pStyle w:val="NoSpacing"/>
        <w:rPr>
          <w:bCs/>
        </w:rPr>
      </w:pPr>
      <w:r>
        <w:t>***</w:t>
      </w:r>
    </w:p>
    <w:p w14:paraId="1BA1E540" w14:textId="77777777" w:rsidR="00E16BDA" w:rsidRDefault="00E16BDA" w:rsidP="00E16BDA">
      <w:pPr>
        <w:pStyle w:val="NoSpacing"/>
        <w:rPr>
          <w:bCs/>
        </w:rPr>
      </w:pPr>
    </w:p>
    <w:p w14:paraId="2CE49BB9" w14:textId="77777777" w:rsidR="00E16BDA" w:rsidRPr="003B3A25" w:rsidRDefault="00E16BDA" w:rsidP="00E16BDA">
      <w:pPr>
        <w:pStyle w:val="NoSpacing"/>
        <w:rPr>
          <w:bCs/>
        </w:rPr>
      </w:pPr>
      <w:r w:rsidRPr="003B3A25">
        <w:t>Because of the lack of information regarding the number of employees to attend to the</w:t>
      </w:r>
      <w:r>
        <w:t xml:space="preserve"> </w:t>
      </w:r>
      <w:r w:rsidRPr="003B3A25">
        <w:t>respective residents and the time frame involved, it was unclear whether residents would be taking</w:t>
      </w:r>
      <w:r>
        <w:t xml:space="preserve"> </w:t>
      </w:r>
      <w:r w:rsidRPr="003B3A25">
        <w:t>refuge in the stairwells. Moreover, the trial court did not address whether the applicable building</w:t>
      </w:r>
      <w:r>
        <w:t xml:space="preserve"> </w:t>
      </w:r>
      <w:r w:rsidRPr="003B3A25">
        <w:t>code required the facility employees to perform the complete evacuation or whether refuge in the</w:t>
      </w:r>
      <w:r>
        <w:t xml:space="preserve"> </w:t>
      </w:r>
      <w:r w:rsidRPr="003B3A25">
        <w:t>stairwell was permissible while waiting for first responders. Thus, further factual development is</w:t>
      </w:r>
      <w:r>
        <w:t xml:space="preserve"> </w:t>
      </w:r>
      <w:r w:rsidRPr="003B3A25">
        <w:t>required regarding the number of residents requiring assistance to evacuate during an emergency,</w:t>
      </w:r>
    </w:p>
    <w:p w14:paraId="5936C905" w14:textId="77777777" w:rsidR="00E16BDA" w:rsidRPr="003B3A25" w:rsidRDefault="00E16BDA" w:rsidP="00E16BDA">
      <w:pPr>
        <w:pStyle w:val="NoSpacing"/>
        <w:rPr>
          <w:bCs/>
        </w:rPr>
      </w:pPr>
      <w:r w:rsidRPr="003B3A25">
        <w:t>and the precise methods the eight staff members are to use to assist those residents in exiting the</w:t>
      </w:r>
    </w:p>
    <w:p w14:paraId="25CAA33A" w14:textId="77777777" w:rsidR="00E16BDA" w:rsidRPr="003B3A25" w:rsidRDefault="00E16BDA" w:rsidP="00E16BDA">
      <w:pPr>
        <w:pStyle w:val="NoSpacing"/>
        <w:rPr>
          <w:bCs/>
        </w:rPr>
      </w:pPr>
      <w:r w:rsidRPr="003B3A25">
        <w:t>facility. That will allow a proper resolution of whether plaintiff’s plan complies with the codes</w:t>
      </w:r>
    </w:p>
    <w:p w14:paraId="69E4BCD0" w14:textId="77777777" w:rsidR="00E16BDA" w:rsidRDefault="00E16BDA" w:rsidP="00E16BDA">
      <w:pPr>
        <w:pStyle w:val="NoSpacing"/>
        <w:rPr>
          <w:bCs/>
        </w:rPr>
      </w:pPr>
      <w:r w:rsidRPr="003B3A25">
        <w:t>for status as a I-1 condition 2 occupancy.</w:t>
      </w:r>
      <w:r>
        <w:t>”</w:t>
      </w:r>
    </w:p>
    <w:p w14:paraId="072C621D" w14:textId="77777777" w:rsidR="00E16BDA" w:rsidRDefault="00E16BDA" w:rsidP="00E16BDA">
      <w:pPr>
        <w:pStyle w:val="NoSpacing"/>
        <w:rPr>
          <w:b/>
        </w:rPr>
      </w:pPr>
    </w:p>
    <w:p w14:paraId="4CBCB140" w14:textId="77777777" w:rsidR="00E16BDA" w:rsidRDefault="00E16BDA" w:rsidP="00E16BDA">
      <w:pPr>
        <w:pStyle w:val="NoSpacing"/>
        <w:rPr>
          <w:b/>
        </w:rPr>
      </w:pPr>
      <w:r>
        <w:rPr>
          <w:b/>
        </w:rPr>
        <w:t xml:space="preserve">Legal lesson learned: Fire code decisions involve life safety issues; case is </w:t>
      </w:r>
      <w:proofErr w:type="gramStart"/>
      <w:r>
        <w:rPr>
          <w:b/>
        </w:rPr>
        <w:t>remanded for</w:t>
      </w:r>
      <w:proofErr w:type="gramEnd"/>
      <w:r>
        <w:rPr>
          <w:b/>
        </w:rPr>
        <w:t xml:space="preserve"> further evidence. </w:t>
      </w:r>
    </w:p>
    <w:p w14:paraId="572F4743" w14:textId="77777777" w:rsidR="002E1260" w:rsidRDefault="002E1260" w:rsidP="00822052">
      <w:pPr>
        <w:pStyle w:val="NoSpacing"/>
        <w:rPr>
          <w:rFonts w:ascii="Arial Black" w:hAnsi="Arial Black"/>
          <w:sz w:val="24"/>
          <w:szCs w:val="24"/>
        </w:rPr>
      </w:pPr>
    </w:p>
    <w:p w14:paraId="3E620698" w14:textId="77777777" w:rsidR="00E16BDA" w:rsidRDefault="00E16BDA" w:rsidP="002E1260">
      <w:pPr>
        <w:pStyle w:val="NoSpacing"/>
        <w:rPr>
          <w:rFonts w:ascii="Arial Black" w:hAnsi="Arial Black"/>
          <w:sz w:val="24"/>
          <w:szCs w:val="24"/>
        </w:rPr>
      </w:pPr>
    </w:p>
    <w:p w14:paraId="120F3DDC" w14:textId="77777777" w:rsidR="00E16BDA" w:rsidRDefault="00E16BDA" w:rsidP="002E1260">
      <w:pPr>
        <w:pStyle w:val="NoSpacing"/>
        <w:rPr>
          <w:rFonts w:ascii="Arial Black" w:hAnsi="Arial Black"/>
          <w:sz w:val="24"/>
          <w:szCs w:val="24"/>
        </w:rPr>
      </w:pPr>
    </w:p>
    <w:p w14:paraId="352EA68B" w14:textId="77777777" w:rsidR="00E16BDA" w:rsidRDefault="00E16BDA" w:rsidP="002E1260">
      <w:pPr>
        <w:pStyle w:val="NoSpacing"/>
        <w:rPr>
          <w:rFonts w:ascii="Arial Black" w:hAnsi="Arial Black"/>
          <w:sz w:val="24"/>
          <w:szCs w:val="24"/>
        </w:rPr>
      </w:pPr>
    </w:p>
    <w:p w14:paraId="01C88762" w14:textId="77777777" w:rsidR="00E16BDA" w:rsidRDefault="00E16BDA" w:rsidP="002E1260">
      <w:pPr>
        <w:pStyle w:val="NoSpacing"/>
        <w:rPr>
          <w:rFonts w:ascii="Arial Black" w:hAnsi="Arial Black"/>
          <w:sz w:val="24"/>
          <w:szCs w:val="24"/>
        </w:rPr>
      </w:pPr>
    </w:p>
    <w:p w14:paraId="0EBB3492" w14:textId="59B7F896" w:rsidR="002E1260" w:rsidRDefault="002E1260" w:rsidP="002E1260">
      <w:pPr>
        <w:pStyle w:val="NoSpacing"/>
        <w:rPr>
          <w:rFonts w:ascii="Arial Black" w:hAnsi="Arial Black"/>
          <w:sz w:val="24"/>
          <w:szCs w:val="24"/>
        </w:rPr>
      </w:pPr>
      <w:r>
        <w:rPr>
          <w:rFonts w:ascii="Arial Black" w:hAnsi="Arial Black"/>
          <w:sz w:val="24"/>
          <w:szCs w:val="24"/>
        </w:rPr>
        <w:t>1-215</w:t>
      </w:r>
    </w:p>
    <w:p w14:paraId="65A21BF6" w14:textId="77777777" w:rsidR="002E1260" w:rsidRDefault="002E1260" w:rsidP="002E1260">
      <w:pPr>
        <w:rPr>
          <w:rFonts w:ascii="Arial Black" w:hAnsi="Arial Black"/>
          <w:b/>
          <w:sz w:val="28"/>
          <w:szCs w:val="28"/>
        </w:rPr>
      </w:pPr>
    </w:p>
    <w:p w14:paraId="42DC3D0A" w14:textId="0C098E3B" w:rsidR="002E1260" w:rsidRPr="00605DA5" w:rsidRDefault="002E1260" w:rsidP="002E1260">
      <w:pPr>
        <w:rPr>
          <w:rFonts w:ascii="Arial Black" w:hAnsi="Arial Black"/>
          <w:b/>
          <w:sz w:val="28"/>
          <w:szCs w:val="28"/>
        </w:rPr>
      </w:pPr>
      <w:r>
        <w:rPr>
          <w:rFonts w:ascii="Arial Black" w:hAnsi="Arial Black"/>
          <w:b/>
          <w:sz w:val="28"/>
          <w:szCs w:val="28"/>
        </w:rPr>
        <w:t>VA: ARSON – SUSPECT NOT “IN CUSTODY” – NO MIRANDA</w:t>
      </w:r>
    </w:p>
    <w:p w14:paraId="161E8BC4" w14:textId="77777777" w:rsidR="002E1260" w:rsidRPr="00505873" w:rsidRDefault="002E1260" w:rsidP="002E1260">
      <w:pPr>
        <w:rPr>
          <w:bCs/>
        </w:rPr>
      </w:pPr>
      <w:r>
        <w:t xml:space="preserve">On June 23, 2026, in </w:t>
      </w:r>
      <w:r w:rsidRPr="00376966">
        <w:rPr>
          <w:u w:val="single"/>
        </w:rPr>
        <w:t>Darius Marquise Mills-Brown v. Commonwealth of Virginia</w:t>
      </w:r>
      <w:r>
        <w:t xml:space="preserve">, the </w:t>
      </w:r>
      <w:r w:rsidRPr="00376966">
        <w:t>Court of Appeals of Virginia</w:t>
      </w:r>
      <w:r>
        <w:t xml:space="preserve"> held (3 to 0; unpublished opinion) that trial court properly denied defendant’s motion to suppress since he was not in custody </w:t>
      </w:r>
      <w:r>
        <w:lastRenderedPageBreak/>
        <w:t xml:space="preserve">and was free to leave the Subway Restaurant when questioned by the arson investigator, and confessed, prior to being given </w:t>
      </w:r>
      <w:r w:rsidRPr="00505873">
        <w:rPr>
          <w:i/>
          <w:iCs/>
        </w:rPr>
        <w:t xml:space="preserve">Miranda </w:t>
      </w:r>
      <w:r>
        <w:t>warnings. I</w:t>
      </w:r>
      <w:r w:rsidRPr="00466B9C">
        <w:t xml:space="preserve">n 2024, a jury convicted Darius Marquise Mills-Brown of arson </w:t>
      </w:r>
      <w:proofErr w:type="gramStart"/>
      <w:r w:rsidRPr="00466B9C">
        <w:t>of</w:t>
      </w:r>
      <w:proofErr w:type="gramEnd"/>
      <w:r w:rsidRPr="00466B9C">
        <w:t xml:space="preserve"> an occupied building.</w:t>
      </w:r>
      <w:r>
        <w:t xml:space="preserve"> </w:t>
      </w:r>
      <w:r w:rsidRPr="00466B9C">
        <w:t>The trial court sentenced him to 20 years’ incarceration, with 10 years suspended.</w:t>
      </w:r>
      <w:r>
        <w:t xml:space="preserve"> The Court wrote: “At no point during the conversation did Persons exert force or restrain Mills-Brown. Indeed, Persons clarified that Mills-Brown was free to leave at any time.”</w:t>
      </w:r>
      <w:r w:rsidRPr="00466B9C">
        <w:t xml:space="preserve"> </w:t>
      </w:r>
      <w:hyperlink r:id="rId31" w:history="1">
        <w:r w:rsidRPr="00043B81">
          <w:rPr>
            <w:rStyle w:val="Hyperlink"/>
          </w:rPr>
          <w:t>https://cases.justia.com/virginia/court-of-appeals-unpublished/2026-2083-24-1.pdf?ts=1782229177</w:t>
        </w:r>
      </w:hyperlink>
      <w:r>
        <w:t xml:space="preserve"> </w:t>
      </w:r>
    </w:p>
    <w:p w14:paraId="2CE49D98" w14:textId="77777777" w:rsidR="002E1260" w:rsidRDefault="002E1260" w:rsidP="002E1260">
      <w:pPr>
        <w:rPr>
          <w:b/>
        </w:rPr>
      </w:pPr>
      <w:r>
        <w:rPr>
          <w:b/>
        </w:rPr>
        <w:t>FACTS:</w:t>
      </w:r>
    </w:p>
    <w:p w14:paraId="597E9D52" w14:textId="77777777" w:rsidR="002E1260" w:rsidRDefault="002E1260" w:rsidP="002E1260">
      <w:pPr>
        <w:pStyle w:val="NoSpacing"/>
      </w:pPr>
      <w:r>
        <w:t>“In December 2021, Darius Marquise Mills-Brown was housesitting for Nicole Thomas</w:t>
      </w:r>
    </w:p>
    <w:p w14:paraId="6966291B" w14:textId="77777777" w:rsidR="002E1260" w:rsidRDefault="002E1260" w:rsidP="002E1260">
      <w:pPr>
        <w:pStyle w:val="NoSpacing"/>
      </w:pPr>
      <w:r>
        <w:t>while she was deployed with the military. Tiffany Marchman and her son lived in a townhouse</w:t>
      </w:r>
    </w:p>
    <w:p w14:paraId="0F43D43E" w14:textId="77777777" w:rsidR="002E1260" w:rsidRDefault="002E1260" w:rsidP="002E1260">
      <w:pPr>
        <w:pStyle w:val="NoSpacing"/>
      </w:pPr>
      <w:r>
        <w:t>next door.</w:t>
      </w:r>
    </w:p>
    <w:p w14:paraId="3832036C" w14:textId="77777777" w:rsidR="002E1260" w:rsidRDefault="002E1260" w:rsidP="002E1260">
      <w:pPr>
        <w:pStyle w:val="NoSpacing"/>
      </w:pPr>
    </w:p>
    <w:p w14:paraId="71BA2936" w14:textId="77777777" w:rsidR="002E1260" w:rsidRDefault="002E1260" w:rsidP="002E1260">
      <w:pPr>
        <w:pStyle w:val="NoSpacing"/>
      </w:pPr>
      <w:r>
        <w:t>***</w:t>
      </w:r>
    </w:p>
    <w:p w14:paraId="0DCBFACD" w14:textId="77777777" w:rsidR="002E1260" w:rsidRDefault="002E1260" w:rsidP="002E1260">
      <w:pPr>
        <w:pStyle w:val="NoSpacing"/>
      </w:pPr>
    </w:p>
    <w:p w14:paraId="65613973" w14:textId="77777777" w:rsidR="002E1260" w:rsidRDefault="002E1260" w:rsidP="002E1260">
      <w:pPr>
        <w:pStyle w:val="NoSpacing"/>
      </w:pPr>
      <w:r>
        <w:t xml:space="preserve">Chris Persons, an investigator at the Fire Marshal’s Office, </w:t>
      </w:r>
      <w:proofErr w:type="gramStart"/>
      <w:r>
        <w:t>had not arrived</w:t>
      </w:r>
      <w:proofErr w:type="gramEnd"/>
      <w:r>
        <w:t xml:space="preserve"> </w:t>
      </w:r>
      <w:proofErr w:type="gramStart"/>
      <w:r>
        <w:t>on</w:t>
      </w:r>
      <w:proofErr w:type="gramEnd"/>
      <w:r>
        <w:t xml:space="preserve"> the scene</w:t>
      </w:r>
    </w:p>
    <w:p w14:paraId="5DE5ECB5" w14:textId="77777777" w:rsidR="002E1260" w:rsidRDefault="002E1260" w:rsidP="002E1260">
      <w:pPr>
        <w:pStyle w:val="NoSpacing"/>
      </w:pPr>
      <w:r>
        <w:t>when a dispatch officer informed him that they had received a call from a person with</w:t>
      </w:r>
    </w:p>
    <w:p w14:paraId="58B6C63A" w14:textId="77777777" w:rsidR="002E1260" w:rsidRDefault="002E1260" w:rsidP="002E1260">
      <w:pPr>
        <w:pStyle w:val="NoSpacing"/>
      </w:pPr>
      <w:r>
        <w:t xml:space="preserve">information about the fire. </w:t>
      </w:r>
      <w:proofErr w:type="gramStart"/>
      <w:r>
        <w:t>Persons</w:t>
      </w:r>
      <w:proofErr w:type="gramEnd"/>
      <w:r>
        <w:t xml:space="preserve"> called the number associated with the tip and learned that the</w:t>
      </w:r>
    </w:p>
    <w:p w14:paraId="76DF7D2D" w14:textId="77777777" w:rsidR="002E1260" w:rsidRDefault="002E1260" w:rsidP="002E1260">
      <w:pPr>
        <w:pStyle w:val="NoSpacing"/>
      </w:pPr>
      <w:r>
        <w:t>caller was Mills-Brown. Mills-Brown stated that he was at a nearby Subway restaurant. When</w:t>
      </w:r>
    </w:p>
    <w:p w14:paraId="76D22CF1" w14:textId="77777777" w:rsidR="002E1260" w:rsidRDefault="002E1260" w:rsidP="002E1260">
      <w:pPr>
        <w:pStyle w:val="NoSpacing"/>
      </w:pPr>
      <w:r>
        <w:t xml:space="preserve">Persons arrived at the Subway, he </w:t>
      </w:r>
      <w:proofErr w:type="gramStart"/>
      <w:r>
        <w:t>saw Mills</w:t>
      </w:r>
      <w:proofErr w:type="gramEnd"/>
      <w:r>
        <w:t xml:space="preserve">-Brown sitting at a corner table alone. Persons approached Mills-Brown, identified himself, and asked if he was ‘ok.’ </w:t>
      </w:r>
      <w:proofErr w:type="gramStart"/>
      <w:r>
        <w:t>Persons</w:t>
      </w:r>
      <w:proofErr w:type="gramEnd"/>
      <w:r>
        <w:t xml:space="preserve"> did not place</w:t>
      </w:r>
    </w:p>
    <w:p w14:paraId="781314A8" w14:textId="77777777" w:rsidR="002E1260" w:rsidRDefault="002E1260" w:rsidP="002E1260">
      <w:pPr>
        <w:pStyle w:val="NoSpacing"/>
      </w:pPr>
      <w:r>
        <w:t>Mills-Brown in handcuffs and clarified that he was free to leave at any time. When Persons</w:t>
      </w:r>
    </w:p>
    <w:p w14:paraId="0F0C5BA8" w14:textId="77777777" w:rsidR="002E1260" w:rsidRDefault="002E1260" w:rsidP="002E1260">
      <w:pPr>
        <w:pStyle w:val="NoSpacing"/>
      </w:pPr>
      <w:r>
        <w:t>asked what had happened, Mills-Brown ‘tear[ed] up, appeared emotional and distraught’ and</w:t>
      </w:r>
    </w:p>
    <w:p w14:paraId="682501CA" w14:textId="77777777" w:rsidR="002E1260" w:rsidRDefault="002E1260" w:rsidP="002E1260">
      <w:pPr>
        <w:pStyle w:val="NoSpacing"/>
      </w:pPr>
      <w:r>
        <w:t xml:space="preserve">told him that he set fire to the </w:t>
      </w:r>
      <w:proofErr w:type="gramStart"/>
      <w:r>
        <w:t>townhome</w:t>
      </w:r>
      <w:proofErr w:type="gramEnd"/>
      <w:r>
        <w:t xml:space="preserve"> after Thomas kicked him out. Mills-Brown told</w:t>
      </w:r>
    </w:p>
    <w:p w14:paraId="6EC28057" w14:textId="77777777" w:rsidR="002E1260" w:rsidRDefault="002E1260" w:rsidP="002E1260">
      <w:pPr>
        <w:pStyle w:val="NoSpacing"/>
      </w:pPr>
      <w:proofErr w:type="gramStart"/>
      <w:r>
        <w:t>Persons</w:t>
      </w:r>
      <w:proofErr w:type="gramEnd"/>
      <w:r>
        <w:t xml:space="preserve"> that he lit a blanket on fire on a wicker chair in the backyard. Mills-Brown then wrote a</w:t>
      </w:r>
    </w:p>
    <w:p w14:paraId="36C28144" w14:textId="77777777" w:rsidR="002E1260" w:rsidRDefault="002E1260" w:rsidP="002E1260">
      <w:pPr>
        <w:pStyle w:val="NoSpacing"/>
      </w:pPr>
      <w:r>
        <w:t>statement memorializing his oral account. Following the written and oral statements, Persons</w:t>
      </w:r>
    </w:p>
    <w:p w14:paraId="5EE5EAB0" w14:textId="77777777" w:rsidR="002E1260" w:rsidRDefault="002E1260" w:rsidP="002E1260">
      <w:pPr>
        <w:pStyle w:val="NoSpacing"/>
      </w:pPr>
      <w:proofErr w:type="gramStart"/>
      <w:r>
        <w:t>arrested Mills-Brown</w:t>
      </w:r>
      <w:proofErr w:type="gramEnd"/>
      <w:r>
        <w:t xml:space="preserve"> for arson of Thomas’s dwelling.</w:t>
      </w:r>
    </w:p>
    <w:p w14:paraId="35694BBD" w14:textId="77777777" w:rsidR="002E1260" w:rsidRDefault="002E1260" w:rsidP="002E1260">
      <w:pPr>
        <w:pStyle w:val="NoSpacing"/>
      </w:pPr>
    </w:p>
    <w:p w14:paraId="238B576C" w14:textId="77777777" w:rsidR="002E1260" w:rsidRDefault="002E1260" w:rsidP="002E1260">
      <w:pPr>
        <w:pStyle w:val="NoSpacing"/>
      </w:pPr>
      <w:r>
        <w:t>***</w:t>
      </w:r>
    </w:p>
    <w:p w14:paraId="33A581D5" w14:textId="77777777" w:rsidR="002E1260" w:rsidRDefault="002E1260" w:rsidP="002E1260">
      <w:pPr>
        <w:pStyle w:val="NoSpacing"/>
      </w:pPr>
      <w:r w:rsidRPr="002B59C1">
        <w:t>At the suppression hearing, he argued that</w:t>
      </w:r>
      <w:r>
        <w:t xml:space="preserve"> </w:t>
      </w:r>
      <w:r w:rsidRPr="002B59C1">
        <w:t xml:space="preserve">his inculpatory statements from Subway were inadmissible because Persons </w:t>
      </w:r>
      <w:r>
        <w:t>‘</w:t>
      </w:r>
      <w:r w:rsidRPr="002B59C1">
        <w:t>should have read</w:t>
      </w:r>
      <w:r>
        <w:t xml:space="preserve"> </w:t>
      </w:r>
      <w:r w:rsidRPr="002B59C1">
        <w:t>[him his] rights before that.</w:t>
      </w:r>
      <w:r>
        <w:t>’</w:t>
      </w:r>
      <w:r w:rsidRPr="002B59C1">
        <w:t xml:space="preserve"> Mills-Brown acknowledged that he admitted to starting the fire</w:t>
      </w:r>
      <w:r>
        <w:t xml:space="preserve"> </w:t>
      </w:r>
      <w:r w:rsidRPr="002B59C1">
        <w:t>because he was mad that Thomas had thrown him out of the townhouse. He also agreed that</w:t>
      </w:r>
      <w:r>
        <w:t xml:space="preserve"> </w:t>
      </w:r>
      <w:r w:rsidRPr="002B59C1">
        <w:t>Persons was sitting beside him at the Subway, did not handcuff him, and never told him that he</w:t>
      </w:r>
      <w:r>
        <w:t xml:space="preserve"> </w:t>
      </w:r>
      <w:r w:rsidRPr="002B59C1">
        <w:t>had to stay. Mills-Brown confirmed that Persons did not arrest him until after he made oral and</w:t>
      </w:r>
      <w:r>
        <w:t xml:space="preserve"> </w:t>
      </w:r>
      <w:r w:rsidRPr="002B59C1">
        <w:t>written statements. The trial court found that Mills-Brown was not in custody when he made his</w:t>
      </w:r>
      <w:r>
        <w:t xml:space="preserve"> </w:t>
      </w:r>
      <w:r w:rsidRPr="002B59C1">
        <w:t>voluntary statements and denied the motion to suppress.</w:t>
      </w:r>
      <w:r>
        <w:t>”</w:t>
      </w:r>
    </w:p>
    <w:p w14:paraId="6F7299AC" w14:textId="77777777" w:rsidR="002E1260" w:rsidRDefault="002E1260" w:rsidP="002E1260">
      <w:pPr>
        <w:pStyle w:val="NoSpacing"/>
      </w:pPr>
    </w:p>
    <w:p w14:paraId="1A7E5EC3" w14:textId="77777777" w:rsidR="002E1260" w:rsidRDefault="002E1260" w:rsidP="002E1260">
      <w:pPr>
        <w:rPr>
          <w:b/>
        </w:rPr>
      </w:pPr>
      <w:r>
        <w:rPr>
          <w:b/>
        </w:rPr>
        <w:t>COURT HELD:</w:t>
      </w:r>
    </w:p>
    <w:p w14:paraId="7D061B4E" w14:textId="77777777" w:rsidR="002E1260" w:rsidRPr="009E418E" w:rsidRDefault="002E1260" w:rsidP="002E1260">
      <w:pPr>
        <w:pStyle w:val="NoSpacing"/>
      </w:pPr>
      <w:r w:rsidRPr="009E418E">
        <w:t>Mills-Brown contends that his oral and written confessions should have been suppressed</w:t>
      </w:r>
    </w:p>
    <w:p w14:paraId="6E526F93" w14:textId="77777777" w:rsidR="002E1260" w:rsidRPr="009E418E" w:rsidRDefault="002E1260" w:rsidP="002E1260">
      <w:pPr>
        <w:pStyle w:val="NoSpacing"/>
      </w:pPr>
      <w:r w:rsidRPr="009E418E">
        <w:t>because Investigator Persons did not read him his Miranda8 rights during their conversation at</w:t>
      </w:r>
    </w:p>
    <w:p w14:paraId="6B8F5E80" w14:textId="77777777" w:rsidR="002E1260" w:rsidRDefault="002E1260" w:rsidP="002E1260">
      <w:pPr>
        <w:pStyle w:val="NoSpacing"/>
      </w:pPr>
      <w:r w:rsidRPr="009E418E">
        <w:t>Subway. As Mills-Brown was not in custody at the time of his confession, we disagree.</w:t>
      </w:r>
    </w:p>
    <w:p w14:paraId="76293754" w14:textId="77777777" w:rsidR="002E1260" w:rsidRDefault="002E1260" w:rsidP="002E1260">
      <w:pPr>
        <w:pStyle w:val="NoSpacing"/>
      </w:pPr>
    </w:p>
    <w:p w14:paraId="263C81D6" w14:textId="77777777" w:rsidR="002E1260" w:rsidRDefault="002E1260" w:rsidP="002E1260">
      <w:pPr>
        <w:pStyle w:val="NoSpacing"/>
      </w:pPr>
      <w:r>
        <w:t>The ‘protection afforded by Miranda applies only when a suspect is subjected to</w:t>
      </w:r>
    </w:p>
    <w:p w14:paraId="7A4DAD01" w14:textId="77777777" w:rsidR="002E1260" w:rsidRDefault="002E1260" w:rsidP="002E1260">
      <w:pPr>
        <w:pStyle w:val="NoSpacing"/>
      </w:pPr>
      <w:r>
        <w:t>custodial interrogation.’ Webber v. Commonwealth, 26 Va. App. 549, 557 (1998). See, e.g.,</w:t>
      </w:r>
    </w:p>
    <w:p w14:paraId="10F2FD65" w14:textId="77777777" w:rsidR="002E1260" w:rsidRDefault="002E1260" w:rsidP="002E1260">
      <w:pPr>
        <w:pStyle w:val="NoSpacing"/>
      </w:pPr>
      <w:r>
        <w:t>Pruett v. Commonwealth, 232 Va. 266, 272 (1986) (explaining that Miranda does not apply to a</w:t>
      </w:r>
    </w:p>
    <w:p w14:paraId="54EFD33F" w14:textId="77777777" w:rsidR="002E1260" w:rsidRDefault="002E1260" w:rsidP="002E1260">
      <w:pPr>
        <w:pStyle w:val="NoSpacing"/>
      </w:pPr>
      <w:r>
        <w:t>police officer’s ‘general questioning’ of citizens during a fact-finding mission). ‘Custodial</w:t>
      </w:r>
    </w:p>
    <w:p w14:paraId="0F8803A3" w14:textId="77777777" w:rsidR="002E1260" w:rsidRDefault="002E1260" w:rsidP="002E1260">
      <w:pPr>
        <w:pStyle w:val="NoSpacing"/>
      </w:pPr>
      <w:r>
        <w:t xml:space="preserve">interrogation </w:t>
      </w:r>
      <w:proofErr w:type="gramStart"/>
      <w:r>
        <w:t>is ‘questioning</w:t>
      </w:r>
      <w:proofErr w:type="gramEnd"/>
      <w:r>
        <w:t xml:space="preserve"> initiated by law enforcement officers after a person has been taken</w:t>
      </w:r>
    </w:p>
    <w:p w14:paraId="70003F55" w14:textId="77777777" w:rsidR="002E1260" w:rsidRDefault="002E1260" w:rsidP="002E1260">
      <w:pPr>
        <w:pStyle w:val="NoSpacing"/>
      </w:pPr>
      <w:r>
        <w:t>into custody or otherwise deprived of his freedom of action in any significant way.’ Keepers v.</w:t>
      </w:r>
    </w:p>
    <w:p w14:paraId="548A85C8" w14:textId="77777777" w:rsidR="002E1260" w:rsidRDefault="002E1260" w:rsidP="002E1260">
      <w:pPr>
        <w:pStyle w:val="NoSpacing"/>
      </w:pPr>
      <w:r>
        <w:t>Commonwealth, 72 Va. App. 17, 34 (2020) (quoting Miranda v. Arizona, 384 U.S. 436, 444</w:t>
      </w:r>
    </w:p>
    <w:p w14:paraId="613B24B1" w14:textId="77777777" w:rsidR="002E1260" w:rsidRDefault="002E1260" w:rsidP="002E1260">
      <w:pPr>
        <w:pStyle w:val="NoSpacing"/>
      </w:pPr>
      <w:r>
        <w:t>(</w:t>
      </w:r>
      <w:proofErr w:type="gramStart"/>
      <w:r>
        <w:t>1966))</w:t>
      </w:r>
      <w:proofErr w:type="gramEnd"/>
      <w:r>
        <w:t>. ‘The ultimate inquiry into whether an individual is subject to custodial interrogation is simply whether there is a formal arrest or restraint on freedom of movement of the degree</w:t>
      </w:r>
    </w:p>
    <w:p w14:paraId="34FB8EBE" w14:textId="77777777" w:rsidR="002E1260" w:rsidRDefault="002E1260" w:rsidP="002E1260">
      <w:pPr>
        <w:pStyle w:val="NoSpacing"/>
      </w:pPr>
      <w:r>
        <w:t>associated with formal arrest.’ Id. (quoting Spinner v. Commonwealth, 297 Va. 384, 392</w:t>
      </w:r>
    </w:p>
    <w:p w14:paraId="319FCCD7" w14:textId="77777777" w:rsidR="002E1260" w:rsidRDefault="002E1260" w:rsidP="002E1260">
      <w:pPr>
        <w:pStyle w:val="NoSpacing"/>
      </w:pPr>
      <w:r>
        <w:t>(2019)).</w:t>
      </w:r>
    </w:p>
    <w:p w14:paraId="5A822853" w14:textId="77777777" w:rsidR="002E1260" w:rsidRDefault="002E1260" w:rsidP="002E1260">
      <w:pPr>
        <w:pStyle w:val="NoSpacing"/>
      </w:pPr>
    </w:p>
    <w:p w14:paraId="4E51D849" w14:textId="77777777" w:rsidR="002E1260" w:rsidRDefault="002E1260" w:rsidP="002E1260">
      <w:pPr>
        <w:pStyle w:val="NoSpacing"/>
      </w:pPr>
      <w:r>
        <w:lastRenderedPageBreak/>
        <w:t>***</w:t>
      </w:r>
    </w:p>
    <w:p w14:paraId="34E34415" w14:textId="77777777" w:rsidR="002E1260" w:rsidRDefault="002E1260" w:rsidP="002E1260">
      <w:pPr>
        <w:pStyle w:val="NoSpacing"/>
      </w:pPr>
      <w:r>
        <w:t xml:space="preserve">When Persons arrived, he found Mills-Brown seated at a corner table ten feet from the exit. </w:t>
      </w:r>
      <w:proofErr w:type="gramStart"/>
      <w:r>
        <w:t>Persons</w:t>
      </w:r>
      <w:proofErr w:type="gramEnd"/>
      <w:r>
        <w:t xml:space="preserve"> identified </w:t>
      </w:r>
      <w:proofErr w:type="gramStart"/>
      <w:r>
        <w:t>himself</w:t>
      </w:r>
      <w:proofErr w:type="gramEnd"/>
      <w:r>
        <w:t xml:space="preserve"> and started the conversation checking on Mills- Brown’s well-being. At no point during the conversation did Persons exert force or restrain Mills-Brown. Indeed, Persons clarified that Mills-Brown was free to leave at any time. When Persons asked what happened, Mills-Brown teared up and appeared emotionally distraught before disclosing that he started the fire after Thomas kicked him out of the townhouse. He stated that he had gotten mad and just “snapped.” And Persons only placed Mills-Brown under arrest after he made his oral and written confession. Therefore, we find that the court did not err in determining that a reasonable person would have felt free to leave under the </w:t>
      </w:r>
      <w:proofErr w:type="gramStart"/>
      <w:r>
        <w:t>circumstances.”</w:t>
      </w:r>
      <w:proofErr w:type="gramEnd"/>
    </w:p>
    <w:p w14:paraId="0DB7B21F" w14:textId="77777777" w:rsidR="002E1260" w:rsidRDefault="002E1260" w:rsidP="002E1260">
      <w:pPr>
        <w:pStyle w:val="NoSpacing"/>
      </w:pPr>
    </w:p>
    <w:p w14:paraId="5B391698" w14:textId="77777777" w:rsidR="002E1260" w:rsidRPr="005B7A19" w:rsidRDefault="002E1260" w:rsidP="002E1260">
      <w:pPr>
        <w:pStyle w:val="NoSpacing"/>
        <w:rPr>
          <w:b/>
          <w:bCs/>
        </w:rPr>
      </w:pPr>
      <w:r>
        <w:rPr>
          <w:b/>
        </w:rPr>
        <w:t xml:space="preserve">Legal lesson learned: </w:t>
      </w:r>
      <w:r w:rsidRPr="005B7A19">
        <w:rPr>
          <w:b/>
          <w:i/>
          <w:iCs/>
        </w:rPr>
        <w:t>Miranda</w:t>
      </w:r>
      <w:r>
        <w:rPr>
          <w:b/>
        </w:rPr>
        <w:t xml:space="preserve"> warnings are only required when the suspect is “in custody.”</w:t>
      </w:r>
    </w:p>
    <w:p w14:paraId="38249C10" w14:textId="77777777" w:rsidR="002E1260" w:rsidRDefault="002E1260" w:rsidP="002E1260">
      <w:pPr>
        <w:rPr>
          <w:b/>
        </w:rPr>
      </w:pPr>
    </w:p>
    <w:p w14:paraId="0C274633" w14:textId="77777777" w:rsidR="002E1260" w:rsidRDefault="002E1260" w:rsidP="002E1260">
      <w:pPr>
        <w:rPr>
          <w:rFonts w:ascii="Arial Black" w:hAnsi="Arial Black"/>
          <w:b/>
          <w:sz w:val="28"/>
          <w:szCs w:val="28"/>
        </w:rPr>
      </w:pPr>
    </w:p>
    <w:p w14:paraId="59BCD61D" w14:textId="15783D38" w:rsidR="002E1260" w:rsidRDefault="002E1260" w:rsidP="002E1260">
      <w:pPr>
        <w:pStyle w:val="NoSpacing"/>
        <w:rPr>
          <w:rFonts w:ascii="Arial Black" w:hAnsi="Arial Black"/>
          <w:sz w:val="24"/>
          <w:szCs w:val="24"/>
        </w:rPr>
      </w:pPr>
      <w:r>
        <w:rPr>
          <w:rFonts w:ascii="Arial Black" w:hAnsi="Arial Black"/>
          <w:sz w:val="24"/>
          <w:szCs w:val="24"/>
        </w:rPr>
        <w:t>1-214</w:t>
      </w:r>
    </w:p>
    <w:p w14:paraId="361830D1" w14:textId="77777777" w:rsidR="002E1260" w:rsidRDefault="002E1260" w:rsidP="002E1260">
      <w:pPr>
        <w:pStyle w:val="NoSpacing"/>
        <w:rPr>
          <w:rFonts w:ascii="Arial Black" w:hAnsi="Arial Black"/>
          <w:sz w:val="24"/>
          <w:szCs w:val="24"/>
        </w:rPr>
      </w:pPr>
    </w:p>
    <w:p w14:paraId="7A7A6C0D" w14:textId="4BE4308C" w:rsidR="002E1260" w:rsidRPr="00756ABA" w:rsidRDefault="002E1260" w:rsidP="002E1260">
      <w:pPr>
        <w:rPr>
          <w:rFonts w:ascii="Arial Black" w:hAnsi="Arial Black"/>
          <w:b/>
          <w:sz w:val="28"/>
          <w:szCs w:val="28"/>
        </w:rPr>
      </w:pPr>
      <w:r>
        <w:rPr>
          <w:rFonts w:ascii="Arial Black" w:hAnsi="Arial Black"/>
          <w:b/>
          <w:sz w:val="28"/>
          <w:szCs w:val="28"/>
        </w:rPr>
        <w:t xml:space="preserve">CA: BRUSH FIRE - 30 BUILDINGS – MENTAL NO DEFENSE </w:t>
      </w:r>
    </w:p>
    <w:p w14:paraId="45902F86" w14:textId="77777777" w:rsidR="002E1260" w:rsidRDefault="002E1260" w:rsidP="002E1260">
      <w:pPr>
        <w:pStyle w:val="NoSpacing"/>
        <w:rPr>
          <w:bCs/>
        </w:rPr>
      </w:pPr>
      <w:r>
        <w:t xml:space="preserve">On June 13, 2026, in </w:t>
      </w:r>
      <w:r w:rsidRPr="002E0C32">
        <w:rPr>
          <w:u w:val="single"/>
        </w:rPr>
        <w:t>The People v. Devin Lamar Johnson</w:t>
      </w:r>
      <w:r>
        <w:t xml:space="preserve">, the </w:t>
      </w:r>
      <w:r w:rsidRPr="00862ADC">
        <w:t>California Court of Appeals, First District, Fourth Division</w:t>
      </w:r>
      <w:r>
        <w:t xml:space="preserve"> held (3 to 0; unpublished opinion) held that arson is a crime of general intent. </w:t>
      </w:r>
      <w:r w:rsidRPr="00F53B34">
        <w:t>Devin Lamar Johnson started a brush fire that ultimately burned</w:t>
      </w:r>
      <w:r>
        <w:t xml:space="preserve"> </w:t>
      </w:r>
      <w:r w:rsidRPr="00F53B34">
        <w:t>257 acres and 30 dwellings. About a month later, a psychologist diagnosed</w:t>
      </w:r>
      <w:r>
        <w:t xml:space="preserve"> </w:t>
      </w:r>
      <w:r w:rsidRPr="00F53B34">
        <w:t xml:space="preserve">him with </w:t>
      </w:r>
      <w:proofErr w:type="gramStart"/>
      <w:r w:rsidRPr="00F53B34">
        <w:t>early stage</w:t>
      </w:r>
      <w:proofErr w:type="gramEnd"/>
      <w:r w:rsidRPr="00F53B34">
        <w:t xml:space="preserve"> schizophrenia</w:t>
      </w:r>
      <w:r>
        <w:t>.</w:t>
      </w:r>
    </w:p>
    <w:p w14:paraId="477C0ACF" w14:textId="77777777" w:rsidR="002E1260" w:rsidRDefault="002E1260" w:rsidP="002E1260">
      <w:pPr>
        <w:pStyle w:val="NoSpacing"/>
      </w:pPr>
      <w:r>
        <w:t>The Court wrote: “</w:t>
      </w:r>
      <w:r w:rsidRPr="00E62C38">
        <w:t>He argues that the trial court erred by instructing the jury to</w:t>
      </w:r>
      <w:r>
        <w:t xml:space="preserve"> </w:t>
      </w:r>
      <w:r w:rsidRPr="00E62C38">
        <w:t>disregard evidence of his mental illness when deciding whether he acted with</w:t>
      </w:r>
      <w:r>
        <w:t xml:space="preserve"> </w:t>
      </w:r>
      <w:r w:rsidRPr="00E62C38">
        <w:t>the required intent. He also argues that insufficient evidence supports the</w:t>
      </w:r>
      <w:r>
        <w:t xml:space="preserve"> </w:t>
      </w:r>
      <w:r w:rsidRPr="00E62C38">
        <w:t>jury’s finding that he acted with the required intent. Underpinning these</w:t>
      </w:r>
      <w:r>
        <w:t xml:space="preserve"> </w:t>
      </w:r>
      <w:r w:rsidRPr="00E62C38">
        <w:t>arguments is Johnson’s contention that we should classify arson as a specific</w:t>
      </w:r>
      <w:r w:rsidRPr="00E62C38">
        <w:br/>
        <w:t>intent crime in the context of a mental illness defense, which he</w:t>
      </w:r>
      <w:r>
        <w:t xml:space="preserve"> </w:t>
      </w:r>
      <w:r w:rsidRPr="00E62C38">
        <w:t>acknowledges would require us to conclude that we are not bound on that</w:t>
      </w:r>
      <w:r>
        <w:t xml:space="preserve"> </w:t>
      </w:r>
      <w:r w:rsidRPr="00E62C38">
        <w:t>point by Supreme Court cases holding that arson is a general intent crime.</w:t>
      </w:r>
      <w:r>
        <w:t xml:space="preserve"> </w:t>
      </w:r>
      <w:r w:rsidRPr="00E62C38">
        <w:t xml:space="preserve">We cannot so </w:t>
      </w:r>
      <w:proofErr w:type="gramStart"/>
      <w:r w:rsidRPr="00E62C38">
        <w:t>conclude, and</w:t>
      </w:r>
      <w:proofErr w:type="gramEnd"/>
      <w:r w:rsidRPr="00E62C38">
        <w:t xml:space="preserve"> therefore affirm.</w:t>
      </w:r>
      <w:r>
        <w:t>”</w:t>
      </w:r>
    </w:p>
    <w:p w14:paraId="7CB78CF3" w14:textId="77777777" w:rsidR="002E1260" w:rsidRPr="005638FC" w:rsidRDefault="002E1260" w:rsidP="002E1260">
      <w:pPr>
        <w:pStyle w:val="NoSpacing"/>
        <w:rPr>
          <w:b/>
        </w:rPr>
      </w:pPr>
      <w:hyperlink r:id="rId32" w:history="1">
        <w:r w:rsidRPr="00014504">
          <w:rPr>
            <w:rStyle w:val="Hyperlink"/>
            <w:b/>
          </w:rPr>
          <w:t>https://www.casemine.com/judgement/us/6a2b9a31eaa021ae7251d64e</w:t>
        </w:r>
      </w:hyperlink>
      <w:r>
        <w:rPr>
          <w:b/>
        </w:rPr>
        <w:t xml:space="preserve"> </w:t>
      </w:r>
    </w:p>
    <w:p w14:paraId="28A739BE" w14:textId="77777777" w:rsidR="002E1260" w:rsidRDefault="002E1260" w:rsidP="002E1260">
      <w:pPr>
        <w:rPr>
          <w:b/>
        </w:rPr>
      </w:pPr>
    </w:p>
    <w:p w14:paraId="325F046B" w14:textId="77777777" w:rsidR="002E1260" w:rsidRDefault="002E1260" w:rsidP="002E1260">
      <w:pPr>
        <w:rPr>
          <w:b/>
        </w:rPr>
      </w:pPr>
      <w:r>
        <w:rPr>
          <w:b/>
        </w:rPr>
        <w:t>FACTS:</w:t>
      </w:r>
    </w:p>
    <w:p w14:paraId="023940E9" w14:textId="77777777" w:rsidR="002E1260" w:rsidRPr="00756ABA" w:rsidRDefault="002E1260" w:rsidP="002E1260">
      <w:pPr>
        <w:pStyle w:val="NoSpacing"/>
      </w:pPr>
      <w:r>
        <w:t>“</w:t>
      </w:r>
      <w:r w:rsidRPr="00756ABA">
        <w:t xml:space="preserve">Devin Lamar Johnson started a brush fire that ultimately burned 257 acres and 30 dwellings. About a month later, a psychologist diagnosed him with </w:t>
      </w:r>
      <w:proofErr w:type="gramStart"/>
      <w:r w:rsidRPr="00756ABA">
        <w:t>early</w:t>
      </w:r>
      <w:r>
        <w:t xml:space="preserve"> </w:t>
      </w:r>
      <w:r w:rsidRPr="00756ABA">
        <w:t>stage</w:t>
      </w:r>
      <w:proofErr w:type="gramEnd"/>
      <w:r w:rsidRPr="00756ABA">
        <w:t xml:space="preserve"> schizophrenia. </w:t>
      </w:r>
    </w:p>
    <w:p w14:paraId="697BDB6C" w14:textId="77777777" w:rsidR="002E1260" w:rsidRDefault="002E1260" w:rsidP="002E1260">
      <w:pPr>
        <w:pStyle w:val="NoSpacing"/>
      </w:pPr>
      <w:r w:rsidRPr="00756ABA">
        <w:t>   </w:t>
      </w:r>
    </w:p>
    <w:p w14:paraId="4F9DA197" w14:textId="77777777" w:rsidR="002E1260" w:rsidRPr="00756ABA" w:rsidRDefault="002E1260" w:rsidP="002E1260">
      <w:pPr>
        <w:pStyle w:val="NoSpacing"/>
      </w:pPr>
      <w:r w:rsidRPr="00756ABA">
        <w:t>A jury acquitted Johnson of aggravated arson (Penal Code, § 451.5, subd. (a)(3)</w:t>
      </w:r>
      <w:r>
        <w:t xml:space="preserve"> </w:t>
      </w:r>
      <w:r w:rsidRPr="00756ABA">
        <w:t>-a count for which the trial court allowed mental-illness evidence to negate the required state of mind. The jury convicted him of arson of a dwelling (Penal Code, § 451, subd. (</w:t>
      </w:r>
      <w:proofErr w:type="gramStart"/>
      <w:r w:rsidRPr="00756ABA">
        <w:t>b))</w:t>
      </w:r>
      <w:proofErr w:type="gramEnd"/>
      <w:r w:rsidRPr="00756ABA">
        <w:t xml:space="preserve">-a count for which the trial court did not allow such evidence. The jury found true that Johnson had caused multiple structures to burn within the meaning of section 451.1, subdivision (a)(4). The trial court found true prior strike and aggravation allegations. </w:t>
      </w:r>
    </w:p>
    <w:p w14:paraId="6D4D0926" w14:textId="77777777" w:rsidR="002E1260" w:rsidRDefault="002E1260" w:rsidP="002E1260">
      <w:pPr>
        <w:pStyle w:val="NoSpacing"/>
      </w:pPr>
    </w:p>
    <w:p w14:paraId="3F64FB34" w14:textId="77777777" w:rsidR="002E1260" w:rsidRDefault="002E1260" w:rsidP="002E1260">
      <w:pPr>
        <w:pStyle w:val="NoSpacing"/>
      </w:pPr>
      <w:r w:rsidRPr="00756ABA">
        <w:t xml:space="preserve">The trial court sentenced Johnson to the midterm of 5 years, doubled under the </w:t>
      </w:r>
      <w:r>
        <w:t>‘</w:t>
      </w:r>
      <w:r w:rsidRPr="00756ABA">
        <w:t>Three Strikes</w:t>
      </w:r>
      <w:r>
        <w:t>’</w:t>
      </w:r>
      <w:r w:rsidRPr="00756ABA">
        <w:t xml:space="preserve"> law (section 1170.12), plus a consecutive 5 years for the multiple-structures enhancement, for a total of 15 years. </w:t>
      </w:r>
    </w:p>
    <w:p w14:paraId="2005D23C" w14:textId="77777777" w:rsidR="002E1260" w:rsidRDefault="002E1260" w:rsidP="002E1260">
      <w:pPr>
        <w:pStyle w:val="NoSpacing"/>
      </w:pPr>
    </w:p>
    <w:p w14:paraId="1A5F0132" w14:textId="77777777" w:rsidR="002E1260" w:rsidRPr="00756ABA" w:rsidRDefault="002E1260" w:rsidP="002E1260">
      <w:pPr>
        <w:pStyle w:val="NoSpacing"/>
      </w:pPr>
      <w:r>
        <w:t>***</w:t>
      </w:r>
    </w:p>
    <w:p w14:paraId="49BD93E2" w14:textId="77777777" w:rsidR="002E1260" w:rsidRDefault="002E1260" w:rsidP="002E1260">
      <w:pPr>
        <w:pStyle w:val="NoSpacing"/>
      </w:pPr>
      <w:r>
        <w:t>A</w:t>
      </w:r>
      <w:r w:rsidRPr="00094247">
        <w:t xml:space="preserve">t trial, Johnson testified that he had started the fire accidentally by dropping a lit cigarette that he had been smoking into dry grass. He said that he went to look for it but that it was buried in the grass. He said it started </w:t>
      </w:r>
      <w:proofErr w:type="gramStart"/>
      <w:r w:rsidRPr="00094247">
        <w:t>singeing</w:t>
      </w:r>
      <w:proofErr w:type="gramEnd"/>
      <w:r w:rsidRPr="00094247">
        <w:t xml:space="preserve"> the dead grass, and that when he tried to stomp it out it began to flame. Video showed, and Johnson conceded, that he was at the origin site for five minutes. During part of that time, he </w:t>
      </w:r>
      <w:proofErr w:type="gramStart"/>
      <w:r w:rsidRPr="00094247">
        <w:t>testified,</w:t>
      </w:r>
      <w:proofErr w:type="gramEnd"/>
      <w:r w:rsidRPr="00094247">
        <w:t xml:space="preserve"> he was </w:t>
      </w:r>
      <w:proofErr w:type="gramStart"/>
      <w:r w:rsidRPr="00094247">
        <w:t>smoking the cigarette</w:t>
      </w:r>
      <w:proofErr w:type="gramEnd"/>
      <w:r w:rsidRPr="00094247">
        <w:t>.</w:t>
      </w:r>
    </w:p>
    <w:p w14:paraId="08DF3233" w14:textId="77777777" w:rsidR="002E1260" w:rsidRDefault="002E1260" w:rsidP="002E1260">
      <w:pPr>
        <w:pStyle w:val="NoSpacing"/>
      </w:pPr>
    </w:p>
    <w:p w14:paraId="759593FC" w14:textId="77777777" w:rsidR="002E1260" w:rsidRDefault="002E1260" w:rsidP="002E1260">
      <w:pPr>
        <w:pStyle w:val="NoSpacing"/>
      </w:pPr>
      <w:r w:rsidRPr="00B84407">
        <w:lastRenderedPageBreak/>
        <w:t xml:space="preserve">The jury heard testimony that contradicted Johnson's story. A fire chief and investigator who investigated the fire testified as follows. A cigarette needs a minimum of 8 minutes to smolder before it will go to flame. The average time is 12 minutes. To remain lit, a cigarette would need to land with the tip down, facing the </w:t>
      </w:r>
      <w:proofErr w:type="gramStart"/>
      <w:r w:rsidRPr="00B84407">
        <w:t xml:space="preserve">wind, </w:t>
      </w:r>
      <w:r>
        <w:t>‘</w:t>
      </w:r>
      <w:proofErr w:type="gramEnd"/>
      <w:r w:rsidRPr="00B84407">
        <w:t>so that the wind keeps it going because no one is puffing on it . . . .</w:t>
      </w:r>
      <w:r>
        <w:t>’</w:t>
      </w:r>
      <w:r w:rsidRPr="00B84407">
        <w:t xml:space="preserve"> The investigation team did not find any cigarette butts at the site. Based on this and other evidence, the investigation team concluded that </w:t>
      </w:r>
      <w:r>
        <w:t>‘</w:t>
      </w:r>
      <w:r w:rsidRPr="00B84407">
        <w:t>it just didn't add up that [accidental ignition by a dropped cigarette] could even be a possibility . . . .</w:t>
      </w:r>
      <w:r>
        <w:t>’</w:t>
      </w:r>
      <w:r w:rsidRPr="00B84407">
        <w:t xml:space="preserve"> </w:t>
      </w:r>
    </w:p>
    <w:p w14:paraId="065B1300" w14:textId="77777777" w:rsidR="002E1260" w:rsidRDefault="002E1260" w:rsidP="002E1260">
      <w:pPr>
        <w:pStyle w:val="NoSpacing"/>
      </w:pPr>
    </w:p>
    <w:p w14:paraId="6EF4A291" w14:textId="77777777" w:rsidR="002E1260" w:rsidRDefault="002E1260" w:rsidP="002E1260">
      <w:pPr>
        <w:pStyle w:val="NoSpacing"/>
      </w:pPr>
      <w:r w:rsidRPr="00555E7B">
        <w:t xml:space="preserve">Evidence supported a different theory-that Johnson had deliberately started the fire with a cigarette lighter that was later found in his apartment. The investigation team concluded that an open flame had started the fire. In a way relevant to intent, the investigator testified that it takes a concerted effort to make a lighter </w:t>
      </w:r>
      <w:proofErr w:type="gramStart"/>
      <w:r w:rsidRPr="00555E7B">
        <w:t xml:space="preserve">work: </w:t>
      </w:r>
      <w:r>
        <w:t>‘</w:t>
      </w:r>
      <w:proofErr w:type="gramEnd"/>
      <w:r w:rsidRPr="00555E7B">
        <w:t>[y]</w:t>
      </w:r>
      <w:proofErr w:type="spellStart"/>
      <w:r w:rsidRPr="00555E7B">
        <w:t>ou</w:t>
      </w:r>
      <w:proofErr w:type="spellEnd"/>
      <w:r w:rsidRPr="00555E7B">
        <w:t xml:space="preserve"> </w:t>
      </w:r>
      <w:proofErr w:type="gramStart"/>
      <w:r w:rsidRPr="00555E7B">
        <w:t>have</w:t>
      </w:r>
      <w:proofErr w:type="gramEnd"/>
      <w:r w:rsidRPr="00555E7B">
        <w:t xml:space="preserve"> to take it out of your pocket or whatever it is in. You </w:t>
      </w:r>
      <w:proofErr w:type="gramStart"/>
      <w:r w:rsidRPr="00555E7B">
        <w:t>have to</w:t>
      </w:r>
      <w:proofErr w:type="gramEnd"/>
      <w:r w:rsidRPr="00555E7B">
        <w:t xml:space="preserve"> manipulate your lighter with your thumb to get it to work. And you </w:t>
      </w:r>
      <w:proofErr w:type="gramStart"/>
      <w:r w:rsidRPr="00555E7B">
        <w:t>have to</w:t>
      </w:r>
      <w:proofErr w:type="gramEnd"/>
      <w:r w:rsidRPr="00555E7B">
        <w:t xml:space="preserve"> hold that against something that would be combustible.</w:t>
      </w:r>
      <w:r>
        <w:t>’</w:t>
      </w:r>
      <w:r w:rsidRPr="00555E7B">
        <w:t xml:space="preserve"> It takes some time, he further testified, for the enough heat to transfer from a lighter flame to other material before it will catch on fire.</w:t>
      </w:r>
      <w:r>
        <w:t>”</w:t>
      </w:r>
    </w:p>
    <w:p w14:paraId="3A0D7E07" w14:textId="77777777" w:rsidR="002E1260" w:rsidRDefault="002E1260" w:rsidP="002E1260">
      <w:pPr>
        <w:pStyle w:val="NoSpacing"/>
      </w:pPr>
    </w:p>
    <w:p w14:paraId="32A89501" w14:textId="77777777" w:rsidR="002E1260" w:rsidRDefault="002E1260" w:rsidP="002E1260">
      <w:pPr>
        <w:pStyle w:val="NoSpacing"/>
      </w:pPr>
      <w:r w:rsidRPr="00960EA4">
        <w:rPr>
          <w:b/>
        </w:rPr>
        <w:t>COURT HELD</w:t>
      </w:r>
      <w:r>
        <w:t>:</w:t>
      </w:r>
    </w:p>
    <w:p w14:paraId="086925A0" w14:textId="77777777" w:rsidR="002E1260" w:rsidRDefault="002E1260" w:rsidP="002E1260">
      <w:pPr>
        <w:pStyle w:val="NoSpacing"/>
      </w:pPr>
    </w:p>
    <w:p w14:paraId="44D531EF" w14:textId="77777777" w:rsidR="002E1260" w:rsidRPr="00352647" w:rsidRDefault="002E1260" w:rsidP="002E1260">
      <w:pPr>
        <w:pStyle w:val="NoSpacing"/>
      </w:pPr>
      <w:r>
        <w:t>“</w:t>
      </w:r>
      <w:r w:rsidRPr="00352647">
        <w:t xml:space="preserve">Courts categorize some crimes as requiring proof of general intent and others as requiring proof of specific intent. (See, e.g., </w:t>
      </w:r>
      <w:r w:rsidRPr="00352647">
        <w:rPr>
          <w:i/>
          <w:iCs/>
        </w:rPr>
        <w:t>People v. Atkins</w:t>
      </w:r>
      <w:r w:rsidRPr="00352647">
        <w:t xml:space="preserve"> (2001) 25 Cal.4th 76, 81-83.) These terms have been explained as follows. </w:t>
      </w:r>
      <w:r>
        <w:t>‘</w:t>
      </w:r>
      <w:r w:rsidRPr="00352647">
        <w:t>When the definition of a crime consists of only the description of a particular act, without reference to intent to do a further act or achieve a future consequence, we ask whether the defendant intended to do the proscribed act. This intention is deemed to be a general criminal intent.</w:t>
      </w:r>
      <w:r>
        <w:t>’</w:t>
      </w:r>
      <w:r w:rsidRPr="00352647">
        <w:t xml:space="preserve"> (</w:t>
      </w:r>
      <w:r w:rsidRPr="00352647">
        <w:rPr>
          <w:i/>
          <w:iCs/>
        </w:rPr>
        <w:t>People v. Hood</w:t>
      </w:r>
      <w:r w:rsidRPr="00352647">
        <w:t xml:space="preserve"> (1969) 1 Cal.3d 444, 456-457.) On the other </w:t>
      </w:r>
      <w:proofErr w:type="gramStart"/>
      <w:r w:rsidRPr="00352647">
        <w:t xml:space="preserve">hand, </w:t>
      </w:r>
      <w:r>
        <w:t>‘</w:t>
      </w:r>
      <w:proofErr w:type="gramEnd"/>
      <w:r w:rsidRPr="00352647">
        <w:t>[</w:t>
      </w:r>
      <w:proofErr w:type="gramStart"/>
      <w:r w:rsidRPr="00352647">
        <w:t>w]hen</w:t>
      </w:r>
      <w:proofErr w:type="gramEnd"/>
      <w:r w:rsidRPr="00352647">
        <w:t xml:space="preserve"> the definition refers to [a] defendant's intent to do some further act or achieve some </w:t>
      </w:r>
    </w:p>
    <w:p w14:paraId="41E96A40" w14:textId="77777777" w:rsidR="002E1260" w:rsidRPr="00352647" w:rsidRDefault="002E1260" w:rsidP="002E1260">
      <w:pPr>
        <w:pStyle w:val="NoSpacing"/>
      </w:pPr>
      <w:proofErr w:type="gramStart"/>
      <w:r w:rsidRPr="00352647">
        <w:t>additional consequence</w:t>
      </w:r>
      <w:proofErr w:type="gramEnd"/>
      <w:r w:rsidRPr="00352647">
        <w:t>, the crime is deemed to be one of specific intent.</w:t>
      </w:r>
      <w:r>
        <w:t xml:space="preserve">’ </w:t>
      </w:r>
      <w:r w:rsidRPr="00352647">
        <w:t xml:space="preserve"> </w:t>
      </w:r>
    </w:p>
    <w:p w14:paraId="329DFD95" w14:textId="77777777" w:rsidR="002E1260" w:rsidRDefault="002E1260" w:rsidP="002E1260">
      <w:pPr>
        <w:pStyle w:val="NoSpacing"/>
      </w:pPr>
    </w:p>
    <w:p w14:paraId="7215F8EB" w14:textId="77777777" w:rsidR="002E1260" w:rsidRDefault="002E1260" w:rsidP="002E1260">
      <w:pPr>
        <w:pStyle w:val="NoSpacing"/>
      </w:pPr>
      <w:r>
        <w:t>***</w:t>
      </w:r>
    </w:p>
    <w:p w14:paraId="4FFB4DA0" w14:textId="77777777" w:rsidR="002E1260" w:rsidRDefault="002E1260" w:rsidP="002E1260">
      <w:pPr>
        <w:pStyle w:val="NoSpacing"/>
      </w:pPr>
      <w:r w:rsidRPr="0086202A">
        <w:t xml:space="preserve">Sufficient evidence also supports a finding that Johnson was aware of facts that would lead a reasonable person to understand that the highly probable consequence of setting the fire was that it would spread to inhabited buildings. The origin site was about an eighth of a mile from Johnson's home in the town where the buildings burned. At the origin site, Johnson noticed that the nearby creek was dry. He testified that the grass was dry and that there was a layer of dead grass around the area. Another witness testified about typical September conditions in the area. He said that it was a hot, dry time of the year. </w:t>
      </w:r>
      <w:proofErr w:type="gramStart"/>
      <w:r w:rsidRPr="0086202A">
        <w:t>A wind</w:t>
      </w:r>
      <w:proofErr w:type="gramEnd"/>
      <w:r w:rsidRPr="0086202A">
        <w:t xml:space="preserve"> usually picked up at about 2 p.m., as it did on the day of the fire. In addition, the area had been in drought for </w:t>
      </w:r>
      <w:proofErr w:type="gramStart"/>
      <w:r w:rsidRPr="0086202A">
        <w:t>a number of</w:t>
      </w:r>
      <w:proofErr w:type="gramEnd"/>
      <w:r w:rsidRPr="0086202A">
        <w:t xml:space="preserve"> years. Johnson testified that he had lived in the area a while before the fire and that it was his hometown. The jury reasonably could infer that he was aware of these conditions and the proximity of the site to buildings in the town.</w:t>
      </w:r>
      <w:r>
        <w:t>”</w:t>
      </w:r>
    </w:p>
    <w:p w14:paraId="76DDCF82" w14:textId="77777777" w:rsidR="002E1260" w:rsidRDefault="002E1260" w:rsidP="002E1260">
      <w:pPr>
        <w:pStyle w:val="NoSpacing"/>
      </w:pPr>
    </w:p>
    <w:p w14:paraId="366EAD02" w14:textId="77777777" w:rsidR="002E1260" w:rsidRPr="00F961CC" w:rsidRDefault="002E1260" w:rsidP="002E1260">
      <w:pPr>
        <w:pStyle w:val="NoSpacing"/>
        <w:rPr>
          <w:b/>
          <w:bCs/>
        </w:rPr>
      </w:pPr>
      <w:r w:rsidRPr="00F961CC">
        <w:rPr>
          <w:b/>
        </w:rPr>
        <w:t xml:space="preserve">Legal lesson learned: </w:t>
      </w:r>
      <w:r>
        <w:rPr>
          <w:b/>
        </w:rPr>
        <w:t xml:space="preserve">Arson is a “general intent” crime and the defendant’s specific intent to burn buildings was not relevant. </w:t>
      </w:r>
    </w:p>
    <w:p w14:paraId="4EEFE617" w14:textId="77777777" w:rsidR="002E1260" w:rsidRPr="00F961CC" w:rsidRDefault="002E1260" w:rsidP="002E1260">
      <w:pPr>
        <w:pStyle w:val="NoSpacing"/>
        <w:rPr>
          <w:b/>
          <w:bCs/>
        </w:rPr>
      </w:pPr>
    </w:p>
    <w:p w14:paraId="645ADB51" w14:textId="77777777" w:rsidR="002E1260" w:rsidRDefault="002E1260" w:rsidP="002E1260">
      <w:pPr>
        <w:pStyle w:val="NoSpacing"/>
        <w:rPr>
          <w:sz w:val="20"/>
          <w:szCs w:val="20"/>
        </w:rPr>
      </w:pPr>
    </w:p>
    <w:p w14:paraId="2CC92941" w14:textId="77777777" w:rsidR="002E1260" w:rsidRDefault="002E1260" w:rsidP="00822052">
      <w:pPr>
        <w:pStyle w:val="NoSpacing"/>
        <w:rPr>
          <w:rFonts w:ascii="Arial Black" w:hAnsi="Arial Black"/>
          <w:sz w:val="24"/>
          <w:szCs w:val="24"/>
        </w:rPr>
      </w:pPr>
    </w:p>
    <w:p w14:paraId="1043E7B4" w14:textId="77777777" w:rsidR="002E1260" w:rsidRDefault="002E1260" w:rsidP="00822052">
      <w:pPr>
        <w:pStyle w:val="NoSpacing"/>
        <w:rPr>
          <w:rFonts w:ascii="Arial Black" w:hAnsi="Arial Black"/>
          <w:sz w:val="24"/>
          <w:szCs w:val="24"/>
        </w:rPr>
      </w:pPr>
    </w:p>
    <w:p w14:paraId="1F172D80" w14:textId="77777777" w:rsidR="002E1260" w:rsidRDefault="002E1260" w:rsidP="00822052">
      <w:pPr>
        <w:pStyle w:val="NoSpacing"/>
        <w:rPr>
          <w:rFonts w:ascii="Arial Black" w:hAnsi="Arial Black"/>
          <w:sz w:val="24"/>
          <w:szCs w:val="24"/>
        </w:rPr>
      </w:pPr>
    </w:p>
    <w:p w14:paraId="4AEE6B1A" w14:textId="77777777" w:rsidR="002E1260" w:rsidRDefault="002E1260" w:rsidP="00822052">
      <w:pPr>
        <w:pStyle w:val="NoSpacing"/>
        <w:rPr>
          <w:rFonts w:ascii="Arial Black" w:hAnsi="Arial Black"/>
          <w:sz w:val="24"/>
          <w:szCs w:val="24"/>
        </w:rPr>
      </w:pPr>
    </w:p>
    <w:p w14:paraId="1CE5FA9D" w14:textId="77777777" w:rsidR="002E1260" w:rsidRDefault="002E1260" w:rsidP="00822052">
      <w:pPr>
        <w:pStyle w:val="NoSpacing"/>
        <w:rPr>
          <w:rFonts w:ascii="Arial Black" w:hAnsi="Arial Black"/>
          <w:sz w:val="24"/>
          <w:szCs w:val="24"/>
        </w:rPr>
      </w:pPr>
    </w:p>
    <w:p w14:paraId="301EA977" w14:textId="378FA627" w:rsidR="001A609B" w:rsidRDefault="001A609B" w:rsidP="00822052">
      <w:pPr>
        <w:pStyle w:val="NoSpacing"/>
        <w:rPr>
          <w:rFonts w:ascii="Arial Black" w:hAnsi="Arial Black"/>
          <w:sz w:val="24"/>
          <w:szCs w:val="24"/>
        </w:rPr>
      </w:pPr>
      <w:r>
        <w:rPr>
          <w:rFonts w:ascii="Arial Black" w:hAnsi="Arial Black"/>
          <w:sz w:val="24"/>
          <w:szCs w:val="24"/>
        </w:rPr>
        <w:t>1-213</w:t>
      </w:r>
    </w:p>
    <w:p w14:paraId="5D6DE394" w14:textId="77777777" w:rsidR="001A609B" w:rsidRDefault="001A609B" w:rsidP="00822052">
      <w:pPr>
        <w:pStyle w:val="NoSpacing"/>
        <w:rPr>
          <w:rFonts w:ascii="Arial Black" w:hAnsi="Arial Black"/>
          <w:sz w:val="24"/>
          <w:szCs w:val="24"/>
        </w:rPr>
      </w:pPr>
    </w:p>
    <w:p w14:paraId="09B876B5" w14:textId="77777777" w:rsidR="001A609B" w:rsidRPr="00794D71" w:rsidRDefault="001A609B" w:rsidP="001A609B">
      <w:pPr>
        <w:pStyle w:val="NoSpacing"/>
        <w:rPr>
          <w:rFonts w:ascii="Arial Black" w:hAnsi="Arial Black"/>
          <w:sz w:val="28"/>
          <w:szCs w:val="28"/>
        </w:rPr>
      </w:pPr>
      <w:r>
        <w:rPr>
          <w:rFonts w:ascii="Arial Black" w:hAnsi="Arial Black"/>
          <w:sz w:val="28"/>
          <w:szCs w:val="28"/>
        </w:rPr>
        <w:t>OH: SOLAR PROJECT - 6,000 ACRES - NFPA  / FD EQUIP</w:t>
      </w:r>
    </w:p>
    <w:p w14:paraId="04AEBD4C" w14:textId="77777777" w:rsidR="001A609B" w:rsidRDefault="001A609B" w:rsidP="001A609B">
      <w:pPr>
        <w:pStyle w:val="NoSpacing"/>
      </w:pPr>
    </w:p>
    <w:p w14:paraId="3EA0C149" w14:textId="77777777" w:rsidR="001A609B" w:rsidRDefault="001A609B" w:rsidP="001A609B">
      <w:pPr>
        <w:pStyle w:val="NoSpacing"/>
      </w:pPr>
      <w:r>
        <w:t xml:space="preserve">On May 26, 2026, </w:t>
      </w:r>
      <w:proofErr w:type="gramStart"/>
      <w:r w:rsidRPr="002518AB">
        <w:rPr>
          <w:u w:val="single"/>
        </w:rPr>
        <w:t>In</w:t>
      </w:r>
      <w:proofErr w:type="gramEnd"/>
      <w:r w:rsidRPr="002518AB">
        <w:rPr>
          <w:u w:val="single"/>
        </w:rPr>
        <w:t xml:space="preserve"> re Application of Oak Run Solar Project, L.L.C.</w:t>
      </w:r>
      <w:r>
        <w:t xml:space="preserve">, the Ohio Supreme Court held (4 to 3) that the project may proceed, over the objections of 3 Townships and County, after the developers submit to the State Board photographic simulations or an artist’s pictorial sketches of the proposed facility substations. The Court, however, held </w:t>
      </w:r>
      <w:r>
        <w:lastRenderedPageBreak/>
        <w:t xml:space="preserve">that </w:t>
      </w:r>
      <w:r w:rsidRPr="00BB3C2C">
        <w:t xml:space="preserve">the safety-related details </w:t>
      </w:r>
      <w:r>
        <w:t xml:space="preserve">can be properly worked out </w:t>
      </w:r>
      <w:r w:rsidRPr="00BB3C2C">
        <w:t>in</w:t>
      </w:r>
      <w:r>
        <w:t xml:space="preserve"> the future prior to start of construction. THE COURT WROTE: “And there appears to be no dispute that there is no effective way to extinguish a lithium-ion-battery fire and that after a fire starts, the only recourse is to try to prevent the fire from spreading. In view of these risks, the local governments assert that the board should not have approved the project without requiring Oak Run to provide for measures to prevent the spread of fire and the release of fumes into the community and that the board should have been more thorough in evaluating the availability of water supplies to contain a fire once it starts…. </w:t>
      </w:r>
    </w:p>
    <w:p w14:paraId="3823DB98" w14:textId="77777777" w:rsidR="001A609B" w:rsidRPr="002518AB" w:rsidRDefault="001A609B" w:rsidP="001A609B">
      <w:pPr>
        <w:pStyle w:val="NoSpacing"/>
      </w:pPr>
      <w:r>
        <w:t xml:space="preserve">Oak Run will develop an emergency-services-and-response plan in consultation with local authorities, provide fire and emergency responders with training and proper firefighting equipment to enable them to respond to emergency situations…. We think the BESS’s [Battery Energy Storage System] ultimate compliance with the National Fire Protection Association’s Standard for the Installation of Stationary Energy Storage Systems is a better safeguard than this court’s collective armchair firefighting expertise.” </w:t>
      </w:r>
      <w:hyperlink r:id="rId33" w:history="1">
        <w:r w:rsidRPr="00910A6A">
          <w:rPr>
            <w:rStyle w:val="Hyperlink"/>
          </w:rPr>
          <w:t>https://www.supremecourt.ohio.gov/rod/docs/pdf/0/2026/2026-Ohio-1849.pdf</w:t>
        </w:r>
      </w:hyperlink>
      <w:r>
        <w:t xml:space="preserve"> </w:t>
      </w:r>
    </w:p>
    <w:p w14:paraId="52AC3A66" w14:textId="77777777" w:rsidR="001A609B" w:rsidRDefault="001A609B" w:rsidP="001A609B">
      <w:pPr>
        <w:pStyle w:val="NoSpacing"/>
      </w:pPr>
    </w:p>
    <w:p w14:paraId="34492F46" w14:textId="77777777" w:rsidR="001A609B" w:rsidRDefault="001A609B" w:rsidP="001A609B">
      <w:pPr>
        <w:pStyle w:val="NoSpacing"/>
      </w:pPr>
      <w:r>
        <w:t xml:space="preserve">THE COURT HELD:  </w:t>
      </w:r>
    </w:p>
    <w:p w14:paraId="76A7708F" w14:textId="77777777" w:rsidR="001A609B" w:rsidRDefault="001A609B" w:rsidP="001A609B">
      <w:pPr>
        <w:pStyle w:val="NoSpacing"/>
      </w:pPr>
    </w:p>
    <w:p w14:paraId="10961FE1" w14:textId="77777777" w:rsidR="001A609B" w:rsidRDefault="001A609B" w:rsidP="001A609B">
      <w:pPr>
        <w:pStyle w:val="NoSpacing"/>
        <w:ind w:left="720"/>
      </w:pPr>
      <w:r>
        <w:t xml:space="preserve">“The facility will sit on about 4,400 acres of privately owned land within an approximate 6,050-acre project area…. The facility will include an 800 megawatt (‘MW’) solar-powered electric-generating facility, a 300 MW alternating-current battery-energy storage system (‘BESS’) comprised of two 150 MW facilities, and two 3.45-mile-long transmission lines…. </w:t>
      </w:r>
      <w:r w:rsidRPr="00051AF3">
        <w:t>approximately 328 battery containers, along with 82 inverters and 82 transformers.</w:t>
      </w:r>
    </w:p>
    <w:p w14:paraId="6A51AD03" w14:textId="77777777" w:rsidR="001A609B" w:rsidRDefault="001A609B" w:rsidP="001A609B">
      <w:pPr>
        <w:pStyle w:val="NoSpacing"/>
        <w:ind w:left="720"/>
      </w:pPr>
    </w:p>
    <w:p w14:paraId="5A6747B8" w14:textId="77777777" w:rsidR="001A609B" w:rsidRDefault="001A609B" w:rsidP="001A609B">
      <w:pPr>
        <w:pStyle w:val="NoSpacing"/>
        <w:ind w:left="720"/>
      </w:pPr>
      <w:r>
        <w:t>***</w:t>
      </w:r>
    </w:p>
    <w:p w14:paraId="473752CF" w14:textId="77777777" w:rsidR="001A609B" w:rsidRDefault="001A609B" w:rsidP="001A609B">
      <w:pPr>
        <w:pStyle w:val="NoSpacing"/>
        <w:ind w:left="720"/>
      </w:pPr>
    </w:p>
    <w:p w14:paraId="3070976E" w14:textId="77777777" w:rsidR="001A609B" w:rsidRDefault="001A609B" w:rsidP="001A609B">
      <w:pPr>
        <w:pStyle w:val="NoSpacing"/>
        <w:ind w:left="720"/>
      </w:pPr>
      <w:r>
        <w:t>The BESS will conform to the National Fire Protection Association’s Standard for the Installation of Stationary Energy Storage Systems, and a fire-protection engineer will review the fire-protection design of the facility. Oak Run will develop an emergency-services-and-response plan in consultation with local authorities, provide fire and emergency responders with training and proper firefighting equipment to enable them to respond to emergency situations at the BESS, and collaborate with local authorities to ensure that sufficient water resources and a long-term water supply are available for any firefighting needs, in accordance with the applicable fire code.”</w:t>
      </w:r>
    </w:p>
    <w:p w14:paraId="6A6E34B2" w14:textId="77777777" w:rsidR="001A609B" w:rsidRDefault="001A609B" w:rsidP="001A609B">
      <w:pPr>
        <w:pStyle w:val="NoSpacing"/>
        <w:ind w:left="720"/>
      </w:pPr>
    </w:p>
    <w:p w14:paraId="20E8736C" w14:textId="77777777" w:rsidR="001A609B" w:rsidRPr="004256AB" w:rsidRDefault="001A609B" w:rsidP="001A609B">
      <w:pPr>
        <w:pStyle w:val="NoSpacing"/>
        <w:rPr>
          <w:b/>
          <w:bCs/>
        </w:rPr>
      </w:pPr>
      <w:r>
        <w:rPr>
          <w:b/>
        </w:rPr>
        <w:t xml:space="preserve">Legal lesson learned:  </w:t>
      </w:r>
      <w:r w:rsidRPr="004256AB">
        <w:rPr>
          <w:b/>
        </w:rPr>
        <w:t>No construction permit will be issued until “Oak Run develops an emergency-services-and-response plan in consultation with local authorities, provide fire and emergency responders with training and proper firefighting equipment to enable them to respond to emergency situations.”</w:t>
      </w:r>
    </w:p>
    <w:p w14:paraId="10A0B926" w14:textId="77777777" w:rsidR="001A609B" w:rsidRPr="004256AB" w:rsidRDefault="001A609B" w:rsidP="001A609B">
      <w:pPr>
        <w:pStyle w:val="NoSpacing"/>
        <w:rPr>
          <w:b/>
          <w:bCs/>
        </w:rPr>
      </w:pPr>
    </w:p>
    <w:p w14:paraId="00EBA227" w14:textId="77777777" w:rsidR="001A609B" w:rsidRDefault="001A609B" w:rsidP="001A609B">
      <w:pPr>
        <w:rPr>
          <w:b/>
        </w:rPr>
      </w:pPr>
    </w:p>
    <w:p w14:paraId="5497CD61" w14:textId="6DBC754D" w:rsidR="001A609B" w:rsidRDefault="001A609B" w:rsidP="001A609B">
      <w:pPr>
        <w:pStyle w:val="NoSpacing"/>
        <w:rPr>
          <w:rFonts w:ascii="Arial Black" w:hAnsi="Arial Black"/>
          <w:sz w:val="24"/>
          <w:szCs w:val="24"/>
        </w:rPr>
      </w:pPr>
      <w:r>
        <w:rPr>
          <w:rFonts w:ascii="Arial Black" w:hAnsi="Arial Black"/>
          <w:sz w:val="24"/>
          <w:szCs w:val="24"/>
        </w:rPr>
        <w:t>1-212</w:t>
      </w:r>
    </w:p>
    <w:p w14:paraId="2BF56490" w14:textId="77777777" w:rsidR="001A609B" w:rsidRDefault="001A609B" w:rsidP="001A609B">
      <w:pPr>
        <w:pStyle w:val="NoSpacing"/>
        <w:rPr>
          <w:rFonts w:ascii="Arial Black" w:hAnsi="Arial Black"/>
          <w:sz w:val="24"/>
          <w:szCs w:val="24"/>
        </w:rPr>
      </w:pPr>
    </w:p>
    <w:p w14:paraId="3E5145ED" w14:textId="77777777" w:rsidR="001A609B" w:rsidRPr="00B23131" w:rsidRDefault="001A609B" w:rsidP="001A609B">
      <w:pPr>
        <w:rPr>
          <w:rFonts w:ascii="Arial Black" w:hAnsi="Arial Black"/>
          <w:b/>
          <w:sz w:val="28"/>
          <w:szCs w:val="28"/>
        </w:rPr>
      </w:pPr>
      <w:r>
        <w:rPr>
          <w:rFonts w:ascii="Arial Black" w:hAnsi="Arial Black"/>
          <w:b/>
          <w:sz w:val="28"/>
          <w:szCs w:val="28"/>
        </w:rPr>
        <w:t>NC: OUTER BANKS - LODGING TAXES / PAID FIRE DEPT</w:t>
      </w:r>
    </w:p>
    <w:p w14:paraId="4EF46FC3" w14:textId="77777777" w:rsidR="001A609B" w:rsidRPr="001E0FF3" w:rsidRDefault="001A609B" w:rsidP="001A609B">
      <w:pPr>
        <w:rPr>
          <w:bCs/>
        </w:rPr>
      </w:pPr>
      <w:r>
        <w:t xml:space="preserve">On May 22, 2026, in </w:t>
      </w:r>
      <w:r w:rsidRPr="00D40D8E">
        <w:rPr>
          <w:u w:val="single"/>
        </w:rPr>
        <w:t>Gerald Constanzo, et al. v. Currituck County North Carolina, et al</w:t>
      </w:r>
      <w:r>
        <w:t xml:space="preserve">, the Supreme Court of North Carolina held (7 to 0) that hotel room occupancy tax revenues, which North Carolina legislature restricts spending only on </w:t>
      </w:r>
      <w:r w:rsidRPr="00E07697">
        <w:t>“</w:t>
      </w:r>
      <w:proofErr w:type="spellStart"/>
      <w:r w:rsidRPr="00E07697">
        <w:t>promot</w:t>
      </w:r>
      <w:proofErr w:type="spellEnd"/>
      <w:r w:rsidRPr="00E07697">
        <w:t>[</w:t>
      </w:r>
      <w:proofErr w:type="spellStart"/>
      <w:r w:rsidRPr="00E07697">
        <w:t>ing</w:t>
      </w:r>
      <w:proofErr w:type="spellEnd"/>
      <w:r w:rsidRPr="00E07697">
        <w:t>] travel and</w:t>
      </w:r>
      <w:r>
        <w:t xml:space="preserve"> </w:t>
      </w:r>
      <w:r w:rsidRPr="00E07697">
        <w:t>tourism” as well as “tourism-related expenditures</w:t>
      </w:r>
      <w:r>
        <w:t xml:space="preserve">,” can be spent on improving public safety services for heavily: “For several annual budget cycles, the County, through the Board of Commissioners, has expended occupancy tax revenues on various public safety services. These costs included law enforcement personnel and equipment, emergency medical services personnel, a paid fire district (instead of an all-volunteer fire response service), beach lifeguards, and repairing and maintaining coastal roads…. The County could––and here, did–– reasonably conclude that the challenged public safety spending is tourism-related because tourists are not likely to visit Currituck if they believe it is unsafe and because substantial tourism-related population changes greatly increase the demand for </w:t>
      </w:r>
      <w:r>
        <w:lastRenderedPageBreak/>
        <w:t xml:space="preserve">public safety services in the area and at a year-round cost.” </w:t>
      </w:r>
      <w:hyperlink r:id="rId34" w:history="1">
        <w:r w:rsidRPr="001E0FF3">
          <w:rPr>
            <w:rStyle w:val="Hyperlink"/>
          </w:rPr>
          <w:t>https://cases.justia.com/north-carolina/supreme-court/2026-101pa24.pdf?ts=1779464497</w:t>
        </w:r>
      </w:hyperlink>
      <w:r w:rsidRPr="001E0FF3">
        <w:t xml:space="preserve"> </w:t>
      </w:r>
    </w:p>
    <w:p w14:paraId="12705D71" w14:textId="77777777" w:rsidR="001A609B" w:rsidRDefault="001A609B" w:rsidP="001A609B">
      <w:pPr>
        <w:pStyle w:val="NoSpacing"/>
      </w:pPr>
    </w:p>
    <w:p w14:paraId="7BBD641B" w14:textId="77777777" w:rsidR="001A609B" w:rsidRDefault="001A609B" w:rsidP="001A609B">
      <w:pPr>
        <w:pStyle w:val="NoSpacing"/>
      </w:pPr>
      <w:r>
        <w:t>THE COURT HELD:</w:t>
      </w:r>
    </w:p>
    <w:p w14:paraId="2BB65885" w14:textId="77777777" w:rsidR="001A609B" w:rsidRDefault="001A609B" w:rsidP="001A609B">
      <w:pPr>
        <w:pStyle w:val="NoSpacing"/>
      </w:pPr>
    </w:p>
    <w:p w14:paraId="0D6EB1C6" w14:textId="77777777" w:rsidR="001A609B" w:rsidRDefault="001A609B" w:rsidP="001A609B">
      <w:pPr>
        <w:pStyle w:val="NoSpacing"/>
        <w:ind w:left="720"/>
      </w:pPr>
      <w:r>
        <w:t>“Defendant Currituck County, through its Board of Commissioners, decided to spend occupancy tax revenues on certain public safety services—including law enforcement, emergency medical services, and fire response, predominately tied to the heavily touristed beach destination of Corolla along the northern Outer Banks. In the Commission’s view, these expenditures are tourism-related because Currituck County’s population doubles during peak season and the County incurs substantial year-round costs to provide adequate public safety services during that period. The Commissioners believe that tourists and business travelers visit the County because it has a reputation for being safe and family-friendly and that tourists would be deterred from visiting the County if it were unable to provide sufficient police, fire, and emergency response services to protect them during their visit.</w:t>
      </w:r>
    </w:p>
    <w:p w14:paraId="6AA6A908" w14:textId="77777777" w:rsidR="001A609B" w:rsidRDefault="001A609B" w:rsidP="001A609B">
      <w:pPr>
        <w:pStyle w:val="NoSpacing"/>
      </w:pPr>
    </w:p>
    <w:p w14:paraId="16AF8947" w14:textId="77777777" w:rsidR="001A609B" w:rsidRDefault="001A609B" w:rsidP="001A609B">
      <w:pPr>
        <w:pStyle w:val="NoSpacing"/>
        <w:ind w:left="720"/>
      </w:pPr>
      <w:r>
        <w:t>***</w:t>
      </w:r>
    </w:p>
    <w:p w14:paraId="67321573" w14:textId="77777777" w:rsidR="001A609B" w:rsidRDefault="001A609B" w:rsidP="001A609B">
      <w:pPr>
        <w:pStyle w:val="NoSpacing"/>
        <w:ind w:left="720"/>
      </w:pPr>
    </w:p>
    <w:p w14:paraId="076DC083" w14:textId="77777777" w:rsidR="001A609B" w:rsidRDefault="001A609B" w:rsidP="001A609B">
      <w:pPr>
        <w:pStyle w:val="NoSpacing"/>
        <w:ind w:left="720"/>
      </w:pPr>
      <w:r>
        <w:t xml:space="preserve">Plaintiffs are [hotel and other ] property owners who collect and remit occupancy tax proceeds to Currituck County and a civic association whose members include other such property owners (collectively, the property owners)…. They sought a declaratory judgment to that effect and an injunction prohibiting the County from making such expenditures…. They argue that the definition of ‘tourism-related </w:t>
      </w:r>
      <w:proofErr w:type="gramStart"/>
      <w:r>
        <w:t>expenditures’</w:t>
      </w:r>
      <w:proofErr w:type="gramEnd"/>
      <w:r>
        <w:t xml:space="preserve"> encompasses only literal tourist attractions, such as Beaufort’s pirate invasion weekend, Morehead City’s Big Rock fishing tournament, Kitty Hawk’s aviation history museum, and Carolina Beach’s beach music festival.</w:t>
      </w:r>
    </w:p>
    <w:p w14:paraId="187F0C01" w14:textId="77777777" w:rsidR="001A609B" w:rsidRDefault="001A609B" w:rsidP="001A609B">
      <w:pPr>
        <w:pStyle w:val="NoSpacing"/>
        <w:ind w:left="720"/>
      </w:pPr>
    </w:p>
    <w:p w14:paraId="5CFC2E7F" w14:textId="77777777" w:rsidR="001A609B" w:rsidRDefault="001A609B" w:rsidP="001A609B">
      <w:pPr>
        <w:pStyle w:val="NoSpacing"/>
        <w:ind w:left="720"/>
      </w:pPr>
      <w:r>
        <w:t>***</w:t>
      </w:r>
    </w:p>
    <w:p w14:paraId="51909773" w14:textId="77777777" w:rsidR="001A609B" w:rsidRDefault="001A609B" w:rsidP="001A609B">
      <w:pPr>
        <w:pStyle w:val="NoSpacing"/>
        <w:ind w:left="720"/>
      </w:pPr>
      <w:r>
        <w:t>Protecting public safety is among the most important responsibilities North</w:t>
      </w:r>
    </w:p>
    <w:p w14:paraId="330F0466" w14:textId="77777777" w:rsidR="001A609B" w:rsidRDefault="001A609B" w:rsidP="001A609B">
      <w:pPr>
        <w:pStyle w:val="NoSpacing"/>
        <w:ind w:left="720"/>
      </w:pPr>
      <w:r>
        <w:t xml:space="preserve">Carolinians </w:t>
      </w:r>
      <w:proofErr w:type="gramStart"/>
      <w:r>
        <w:t>entrust</w:t>
      </w:r>
      <w:proofErr w:type="gramEnd"/>
      <w:r>
        <w:t xml:space="preserve"> to their democratically elected officials. Doing so while promoting</w:t>
      </w:r>
    </w:p>
    <w:p w14:paraId="62288CED" w14:textId="77777777" w:rsidR="001A609B" w:rsidRDefault="001A609B" w:rsidP="001A609B">
      <w:pPr>
        <w:pStyle w:val="NoSpacing"/>
        <w:ind w:left="720"/>
      </w:pPr>
      <w:r>
        <w:t>economic growth and fairly allocating the tax burden across the community is an</w:t>
      </w:r>
    </w:p>
    <w:p w14:paraId="48B35210" w14:textId="77777777" w:rsidR="001A609B" w:rsidRDefault="001A609B" w:rsidP="001A609B">
      <w:pPr>
        <w:pStyle w:val="NoSpacing"/>
        <w:ind w:left="720"/>
      </w:pPr>
      <w:r>
        <w:t>ongoing challenge for many elected officials.</w:t>
      </w:r>
    </w:p>
    <w:p w14:paraId="22601438" w14:textId="77777777" w:rsidR="001A609B" w:rsidRDefault="001A609B" w:rsidP="001A609B">
      <w:pPr>
        <w:pStyle w:val="NoSpacing"/>
        <w:ind w:left="720"/>
      </w:pPr>
    </w:p>
    <w:p w14:paraId="5AF46B1B" w14:textId="77777777" w:rsidR="001A609B" w:rsidRDefault="001A609B" w:rsidP="001A609B">
      <w:pPr>
        <w:pStyle w:val="NoSpacing"/>
        <w:ind w:left="720"/>
      </w:pPr>
      <w:r>
        <w:t>***</w:t>
      </w:r>
    </w:p>
    <w:p w14:paraId="6DBDBE93" w14:textId="77777777" w:rsidR="001A609B" w:rsidRDefault="001A609B" w:rsidP="001A609B">
      <w:pPr>
        <w:pStyle w:val="NoSpacing"/>
        <w:ind w:left="720"/>
      </w:pPr>
      <w:r>
        <w:t>Existing services were also, in the Commissioners’ view, insufficient to support</w:t>
      </w:r>
    </w:p>
    <w:p w14:paraId="23451074" w14:textId="77777777" w:rsidR="001A609B" w:rsidRDefault="001A609B" w:rsidP="001A609B">
      <w:pPr>
        <w:pStyle w:val="NoSpacing"/>
        <w:ind w:left="720"/>
      </w:pPr>
      <w:r>
        <w:t>the tourist population. Again, the County’s 28,000 year-round population doubles to</w:t>
      </w:r>
    </w:p>
    <w:p w14:paraId="2B950024" w14:textId="77777777" w:rsidR="001A609B" w:rsidRDefault="001A609B" w:rsidP="001A609B">
      <w:pPr>
        <w:pStyle w:val="NoSpacing"/>
        <w:ind w:left="720"/>
      </w:pPr>
      <w:r>
        <w:t xml:space="preserve">about 60,000 during tourist season when most tourists flock to Corolla. Commissioners testified that protecting the tourist population requires significantly more public safety personnel than the County would have otherwise. More people means a greater risk of accidents, drownings, </w:t>
      </w:r>
      <w:proofErr w:type="spellStart"/>
      <w:r>
        <w:t>heatstrokes</w:t>
      </w:r>
      <w:proofErr w:type="spellEnd"/>
      <w:r>
        <w:t xml:space="preserve">, physical altercations, and other safety risks. As one commissioner put it, ‘[W]e </w:t>
      </w:r>
      <w:proofErr w:type="gramStart"/>
      <w:r>
        <w:t>have</w:t>
      </w:r>
      <w:proofErr w:type="gramEnd"/>
      <w:r>
        <w:t xml:space="preserve"> to have more [s]</w:t>
      </w:r>
      <w:proofErr w:type="spellStart"/>
      <w:r>
        <w:t>heriffs</w:t>
      </w:r>
      <w:proofErr w:type="spellEnd"/>
      <w:r>
        <w:t xml:space="preserve"> or EMS because of the influx of the tourists on our county.’”</w:t>
      </w:r>
    </w:p>
    <w:p w14:paraId="0E33424B" w14:textId="77777777" w:rsidR="001A609B" w:rsidRDefault="001A609B" w:rsidP="001A609B">
      <w:pPr>
        <w:pStyle w:val="NoSpacing"/>
        <w:ind w:left="720"/>
      </w:pPr>
    </w:p>
    <w:p w14:paraId="5F82E939" w14:textId="77777777" w:rsidR="001A609B" w:rsidRPr="007F1EB4" w:rsidRDefault="001A609B" w:rsidP="001A609B">
      <w:pPr>
        <w:pStyle w:val="NoSpacing"/>
        <w:rPr>
          <w:b/>
          <w:bCs/>
        </w:rPr>
      </w:pPr>
      <w:r>
        <w:rPr>
          <w:b/>
        </w:rPr>
        <w:t>Legal lesson learned: Tax dollars to support paid FD; public safety is “among the most important responsibilities.”</w:t>
      </w:r>
    </w:p>
    <w:p w14:paraId="3C3A0F77" w14:textId="77777777" w:rsidR="001A609B" w:rsidRDefault="001A609B" w:rsidP="001A609B">
      <w:pPr>
        <w:pStyle w:val="NoSpacing"/>
        <w:ind w:left="720"/>
      </w:pPr>
    </w:p>
    <w:p w14:paraId="1A702751" w14:textId="77777777" w:rsidR="001A609B" w:rsidRDefault="001A609B" w:rsidP="001A609B">
      <w:pPr>
        <w:pStyle w:val="NoSpacing"/>
      </w:pPr>
    </w:p>
    <w:p w14:paraId="5BA11528" w14:textId="77777777" w:rsidR="001A609B" w:rsidRPr="0034646D" w:rsidRDefault="001A609B" w:rsidP="001A609B">
      <w:pPr>
        <w:pStyle w:val="NoSpacing"/>
        <w:rPr>
          <w:sz w:val="20"/>
          <w:szCs w:val="20"/>
        </w:rPr>
      </w:pPr>
    </w:p>
    <w:p w14:paraId="51BB3C12" w14:textId="00BFE299" w:rsidR="001A609B" w:rsidRDefault="001A609B" w:rsidP="001A609B">
      <w:pPr>
        <w:pStyle w:val="NoSpacing"/>
        <w:rPr>
          <w:rFonts w:ascii="Arial Black" w:hAnsi="Arial Black"/>
          <w:sz w:val="24"/>
          <w:szCs w:val="24"/>
        </w:rPr>
      </w:pPr>
      <w:r>
        <w:rPr>
          <w:rFonts w:ascii="Arial Black" w:hAnsi="Arial Black"/>
          <w:sz w:val="24"/>
          <w:szCs w:val="24"/>
        </w:rPr>
        <w:t>1-211</w:t>
      </w:r>
    </w:p>
    <w:p w14:paraId="1D77B67F" w14:textId="77777777" w:rsidR="001A609B" w:rsidRDefault="001A609B" w:rsidP="001A609B">
      <w:pPr>
        <w:pStyle w:val="NoSpacing"/>
        <w:rPr>
          <w:rFonts w:ascii="Arial Black" w:hAnsi="Arial Black"/>
          <w:sz w:val="24"/>
          <w:szCs w:val="24"/>
        </w:rPr>
      </w:pPr>
    </w:p>
    <w:p w14:paraId="48AFE425" w14:textId="77777777" w:rsidR="001A609B" w:rsidRPr="00C45381" w:rsidRDefault="001A609B" w:rsidP="001A609B">
      <w:pPr>
        <w:pStyle w:val="NoSpacing"/>
        <w:rPr>
          <w:rFonts w:ascii="Arial Black" w:hAnsi="Arial Black"/>
          <w:sz w:val="28"/>
          <w:szCs w:val="28"/>
        </w:rPr>
      </w:pPr>
      <w:r>
        <w:rPr>
          <w:rFonts w:ascii="Arial Black" w:hAnsi="Arial Black"/>
          <w:sz w:val="28"/>
          <w:szCs w:val="28"/>
        </w:rPr>
        <w:t xml:space="preserve">OH: FIRE / PUSHED FF, THEN CALLED 911 – PROB CAUSE </w:t>
      </w:r>
    </w:p>
    <w:p w14:paraId="1ED0413A" w14:textId="77777777" w:rsidR="001A609B" w:rsidRDefault="001A609B" w:rsidP="001A609B">
      <w:pPr>
        <w:pStyle w:val="NoSpacing"/>
      </w:pPr>
    </w:p>
    <w:p w14:paraId="3663031F" w14:textId="77777777" w:rsidR="001A609B" w:rsidRPr="00887917" w:rsidRDefault="001A609B" w:rsidP="001A609B">
      <w:pPr>
        <w:pStyle w:val="NoSpacing"/>
      </w:pPr>
      <w:r>
        <w:t xml:space="preserve">On May 20, 2026, in </w:t>
      </w:r>
      <w:r w:rsidRPr="00EE3149">
        <w:rPr>
          <w:u w:val="single"/>
        </w:rPr>
        <w:t>Paula Willey v. Springfield Township, et al</w:t>
      </w:r>
      <w:r>
        <w:t xml:space="preserve">., the </w:t>
      </w:r>
      <w:r w:rsidRPr="00EE3149">
        <w:t>Court of Appeals of Ohio, Ninth District, Summit</w:t>
      </w:r>
      <w:r>
        <w:t xml:space="preserve"> County, held (3 to 0) that trial court properly granted summary judgment to police and firefighters; there was probable cause to arrest </w:t>
      </w:r>
      <w:r w:rsidRPr="00FF3169">
        <w:t>Willey</w:t>
      </w:r>
      <w:r>
        <w:t xml:space="preserve"> w</w:t>
      </w:r>
      <w:r w:rsidRPr="00FF3169">
        <w:t>ith misconduct at an emergency in violation of R.C. 2917.13, making</w:t>
      </w:r>
      <w:r>
        <w:t xml:space="preserve"> </w:t>
      </w:r>
      <w:r w:rsidRPr="00FF3169">
        <w:t>false alarms in violation of R.C. 2917.32, and disorderly conduct in violation of R.C. 2917.11</w:t>
      </w:r>
      <w:r>
        <w:t>, even though the c</w:t>
      </w:r>
      <w:r w:rsidRPr="00FF3169">
        <w:t xml:space="preserve">harges were dismissed several </w:t>
      </w:r>
      <w:r w:rsidRPr="00FF3169">
        <w:lastRenderedPageBreak/>
        <w:t>months later.</w:t>
      </w:r>
      <w:r>
        <w:t xml:space="preserve">  THE COURT WROTE: “</w:t>
      </w:r>
      <w:r w:rsidRPr="00887917">
        <w:t xml:space="preserve">Willey failed to point to any evidence suggesting the police officers did not have probable cause to arrest her for misconduct at an emergency, making false alarms, and disorderly conduct. Willey did not dispute that several witnesses informed officers that Willey was yelling and screaming at firefighters, had </w:t>
      </w:r>
      <w:r>
        <w:t>‘</w:t>
      </w:r>
      <w:r w:rsidRPr="00887917">
        <w:t>put hands on the firefighter,</w:t>
      </w:r>
      <w:r>
        <w:t>’</w:t>
      </w:r>
      <w:r w:rsidRPr="00887917">
        <w:t xml:space="preserve"> and had pushed him twice while he was on duty at the scene of a fire. Sergeant London testified that Chief </w:t>
      </w:r>
      <w:proofErr w:type="spellStart"/>
      <w:r w:rsidRPr="00887917">
        <w:t>Wincik</w:t>
      </w:r>
      <w:proofErr w:type="spellEnd"/>
      <w:r w:rsidRPr="00887917">
        <w:t xml:space="preserve"> had informed him the fire department was leaving the scene due to an altercation which involved Willey. Both Sergeant London and Officer Chapman testified Willey consistently yelled at them despite being asked to lower her voice and remain calm. Willey did not point to any evidence to dispute this testimony. Finally, Willey did not testify that she called 9-1-1 to report an emergency. Rather, she testified she called 9-1-1 for the purpose of speaking to the officer's supervisor despite having been informed that a supervisor was not </w:t>
      </w:r>
      <w:proofErr w:type="gramStart"/>
      <w:r w:rsidRPr="00887917">
        <w:t>available.</w:t>
      </w:r>
      <w:r>
        <w:t>”</w:t>
      </w:r>
      <w:proofErr w:type="gramEnd"/>
      <w:r>
        <w:t xml:space="preserve">  </w:t>
      </w:r>
      <w:hyperlink r:id="rId35" w:history="1">
        <w:r w:rsidRPr="006E380B">
          <w:rPr>
            <w:rStyle w:val="Hyperlink"/>
          </w:rPr>
          <w:t>https://www.supremecourt.ohio.gov/rod/docs/pdf/9/2026/2026-Ohio-1842.pdf</w:t>
        </w:r>
      </w:hyperlink>
      <w:r>
        <w:t xml:space="preserve"> </w:t>
      </w:r>
    </w:p>
    <w:p w14:paraId="0F7B86D2" w14:textId="77777777" w:rsidR="001A609B" w:rsidRPr="00EE3149" w:rsidRDefault="001A609B" w:rsidP="001A609B">
      <w:pPr>
        <w:rPr>
          <w:bCs/>
        </w:rPr>
      </w:pPr>
    </w:p>
    <w:p w14:paraId="10EFCF81" w14:textId="77777777" w:rsidR="001A609B" w:rsidRDefault="001A609B" w:rsidP="001A609B">
      <w:pPr>
        <w:pStyle w:val="NoSpacing"/>
      </w:pPr>
      <w:r>
        <w:t>THE COURT HELD:</w:t>
      </w:r>
    </w:p>
    <w:p w14:paraId="5AF83797" w14:textId="77777777" w:rsidR="001A609B" w:rsidRDefault="001A609B" w:rsidP="001A609B">
      <w:pPr>
        <w:pStyle w:val="NoSpacing"/>
      </w:pPr>
    </w:p>
    <w:p w14:paraId="7F7990BD" w14:textId="77777777" w:rsidR="001A609B" w:rsidRDefault="001A609B" w:rsidP="001A609B">
      <w:pPr>
        <w:pStyle w:val="NoSpacing"/>
        <w:ind w:firstLine="720"/>
      </w:pPr>
      <w:r>
        <w:t>“In the early evening hours of June 22, 2022, a fire started at the primary residence.</w:t>
      </w:r>
    </w:p>
    <w:p w14:paraId="75B2B0A5" w14:textId="77777777" w:rsidR="001A609B" w:rsidRDefault="001A609B" w:rsidP="001A609B">
      <w:pPr>
        <w:pStyle w:val="NoSpacing"/>
        <w:ind w:left="720"/>
      </w:pPr>
      <w:r>
        <w:t>[</w:t>
      </w:r>
      <w:r w:rsidRPr="0074665F">
        <w:t>Leann</w:t>
      </w:r>
      <w:r>
        <w:t>] Burks was at home with her three children, five dogs, and three cats. The Springfield Township Fire Department responded. The home was a total loss…. Willey, Burks’ mother, resided in a separate structure on the property, identified by the parties as</w:t>
      </w:r>
    </w:p>
    <w:p w14:paraId="632FB23C" w14:textId="77777777" w:rsidR="001A609B" w:rsidRDefault="001A609B" w:rsidP="001A609B">
      <w:pPr>
        <w:pStyle w:val="NoSpacing"/>
        <w:ind w:left="720"/>
      </w:pPr>
      <w:r>
        <w:t xml:space="preserve">a mother-in-law suite…. </w:t>
      </w:r>
    </w:p>
    <w:p w14:paraId="37D59139" w14:textId="77777777" w:rsidR="001A609B" w:rsidRDefault="001A609B" w:rsidP="001A609B">
      <w:pPr>
        <w:pStyle w:val="NoSpacing"/>
        <w:ind w:left="720"/>
      </w:pPr>
    </w:p>
    <w:p w14:paraId="173100FD" w14:textId="77777777" w:rsidR="001A609B" w:rsidRDefault="001A609B" w:rsidP="001A609B">
      <w:pPr>
        <w:pStyle w:val="NoSpacing"/>
        <w:ind w:left="720"/>
      </w:pPr>
      <w:r>
        <w:t>***</w:t>
      </w:r>
    </w:p>
    <w:p w14:paraId="4DFFB61D" w14:textId="77777777" w:rsidR="001A609B" w:rsidRDefault="001A609B" w:rsidP="001A609B">
      <w:pPr>
        <w:pStyle w:val="NoSpacing"/>
        <w:ind w:left="720"/>
      </w:pPr>
    </w:p>
    <w:p w14:paraId="65FA45F5" w14:textId="77777777" w:rsidR="001A609B" w:rsidRDefault="001A609B" w:rsidP="001A609B">
      <w:pPr>
        <w:pStyle w:val="NoSpacing"/>
        <w:ind w:left="720"/>
      </w:pPr>
      <w:r>
        <w:t>Although Willey was advised of the fire, she did not arrive at the property until</w:t>
      </w:r>
    </w:p>
    <w:p w14:paraId="4D5AB686" w14:textId="77777777" w:rsidR="001A609B" w:rsidRDefault="001A609B" w:rsidP="001A609B">
      <w:pPr>
        <w:pStyle w:val="NoSpacing"/>
        <w:ind w:left="720"/>
      </w:pPr>
      <w:r>
        <w:t>around 12:30 a.m. Nonetheless, firefighters were still on scene addressing the fire. After Willey arrived, an altercation occurred between Willey and Burks, [</w:t>
      </w:r>
      <w:r w:rsidRPr="00B41493">
        <w:t>Chase</w:t>
      </w:r>
      <w:r>
        <w:t xml:space="preserve">]Whipp, </w:t>
      </w:r>
      <w:proofErr w:type="gramStart"/>
      <w:r>
        <w:t>a number of</w:t>
      </w:r>
      <w:proofErr w:type="gramEnd"/>
      <w:r>
        <w:t xml:space="preserve"> Burks’ friends (Burrell, Abigail Christian, and David Christian), and a firefighter.</w:t>
      </w:r>
    </w:p>
    <w:p w14:paraId="2C190973" w14:textId="77777777" w:rsidR="001A609B" w:rsidRDefault="001A609B" w:rsidP="001A609B">
      <w:pPr>
        <w:pStyle w:val="NoSpacing"/>
        <w:ind w:left="720"/>
      </w:pPr>
    </w:p>
    <w:p w14:paraId="578C414A" w14:textId="77777777" w:rsidR="001A609B" w:rsidRDefault="001A609B" w:rsidP="001A609B">
      <w:pPr>
        <w:pStyle w:val="NoSpacing"/>
        <w:ind w:left="720"/>
      </w:pPr>
      <w:r>
        <w:t>***</w:t>
      </w:r>
    </w:p>
    <w:p w14:paraId="3AB19CC8" w14:textId="77777777" w:rsidR="001A609B" w:rsidRDefault="001A609B" w:rsidP="001A609B">
      <w:pPr>
        <w:pStyle w:val="NoSpacing"/>
        <w:ind w:left="720"/>
      </w:pPr>
    </w:p>
    <w:p w14:paraId="4AD889E2" w14:textId="77777777" w:rsidR="001A609B" w:rsidRDefault="001A609B" w:rsidP="001A609B">
      <w:pPr>
        <w:pStyle w:val="NoSpacing"/>
        <w:ind w:left="720"/>
      </w:pPr>
      <w:r w:rsidRPr="009F4D15">
        <w:t xml:space="preserve">Sergeant London </w:t>
      </w:r>
      <w:proofErr w:type="gramStart"/>
      <w:r w:rsidRPr="009F4D15">
        <w:t>testified</w:t>
      </w:r>
      <w:proofErr w:type="gramEnd"/>
      <w:r w:rsidRPr="009F4D15">
        <w:t xml:space="preserve"> Willey appeared </w:t>
      </w:r>
      <w:r>
        <w:t>‘</w:t>
      </w:r>
      <w:r w:rsidRPr="009F4D15">
        <w:t>pretty intoxicated[.]</w:t>
      </w:r>
      <w:r>
        <w:t>’</w:t>
      </w:r>
      <w:r w:rsidRPr="009F4D15">
        <w:t xml:space="preserve"> He stated he smelled the odor of alcoholic beverage come from Willey's person and that she displayed irrational behavior, was argumentative, and had a hard time following directions. Officer Chapman also testified that he smelled an odor of alcohol. </w:t>
      </w:r>
    </w:p>
    <w:p w14:paraId="702E8C26" w14:textId="77777777" w:rsidR="001A609B" w:rsidRDefault="001A609B" w:rsidP="001A609B">
      <w:pPr>
        <w:pStyle w:val="NoSpacing"/>
        <w:ind w:left="720"/>
      </w:pPr>
    </w:p>
    <w:p w14:paraId="44C380F8" w14:textId="77777777" w:rsidR="001A609B" w:rsidRDefault="001A609B" w:rsidP="001A609B">
      <w:pPr>
        <w:pStyle w:val="NoSpacing"/>
        <w:ind w:left="720"/>
      </w:pPr>
      <w:r>
        <w:t>***</w:t>
      </w:r>
    </w:p>
    <w:p w14:paraId="1B378AFB" w14:textId="77777777" w:rsidR="001A609B" w:rsidRDefault="001A609B" w:rsidP="001A609B">
      <w:pPr>
        <w:pStyle w:val="NoSpacing"/>
        <w:ind w:left="720"/>
      </w:pPr>
      <w:r w:rsidRPr="00F5741C">
        <w:t xml:space="preserve">Both Sergeant London and Officer Chapman testified that Willey called 9-1-1 and requested other officers to come to the scene while they were talking to her. A review of the officers' body camera footage shows officers had been on the scene for more than forty-five minutes and had already taken Willey's witness statement before Willey made the call. Sergeant London testified he told Willey to hang up the phone and then placed her in handcuffs and arrested her for misuse of 9-1-1 for reporting an emergency. Officer Chapman also testified that Willey was charged with misuse of 9-1-1 due to calling the emergency line while the officers were already on scene. Sergeant London </w:t>
      </w:r>
      <w:proofErr w:type="gramStart"/>
      <w:r w:rsidRPr="00F5741C">
        <w:t>testified</w:t>
      </w:r>
      <w:proofErr w:type="gramEnd"/>
      <w:r w:rsidRPr="00F5741C">
        <w:t xml:space="preserve"> Willey was arrested for disorderly conduct for </w:t>
      </w:r>
      <w:r>
        <w:t>‘</w:t>
      </w:r>
      <w:r w:rsidRPr="00F5741C">
        <w:t>raising her voice causing an annoyance alarm at the emergency scene.</w:t>
      </w:r>
      <w:r>
        <w:t>’</w:t>
      </w:r>
      <w:r w:rsidRPr="00F5741C">
        <w:t xml:space="preserve"> He stated she was arrested for misconduct at emergency because </w:t>
      </w:r>
      <w:r>
        <w:t>‘</w:t>
      </w:r>
      <w:r w:rsidRPr="00F5741C">
        <w:t xml:space="preserve">Firefighters were doing their </w:t>
      </w:r>
      <w:proofErr w:type="gramStart"/>
      <w:r w:rsidRPr="00F5741C">
        <w:t>job</w:t>
      </w:r>
      <w:proofErr w:type="gramEnd"/>
      <w:r w:rsidRPr="00F5741C">
        <w:t xml:space="preserve"> and they were leaving because of her conduct.</w:t>
      </w:r>
      <w:r>
        <w:t>’</w:t>
      </w:r>
      <w:r w:rsidRPr="00F5741C">
        <w:t xml:space="preserve"> Sergeant London testified he did not know when or why the charges were dismissed. Officer Chapman testified he did not know why the charges were dismissed.</w:t>
      </w:r>
      <w:r>
        <w:t>”</w:t>
      </w:r>
    </w:p>
    <w:p w14:paraId="3CDB6D57" w14:textId="77777777" w:rsidR="001A609B" w:rsidRDefault="001A609B" w:rsidP="001A609B">
      <w:pPr>
        <w:pStyle w:val="NoSpacing"/>
        <w:ind w:left="720"/>
      </w:pPr>
    </w:p>
    <w:p w14:paraId="48FE7840" w14:textId="77777777" w:rsidR="001A609B" w:rsidRDefault="001A609B" w:rsidP="001A609B">
      <w:pPr>
        <w:pStyle w:val="NoSpacing"/>
        <w:rPr>
          <w:b/>
          <w:bCs/>
        </w:rPr>
      </w:pPr>
      <w:r>
        <w:rPr>
          <w:b/>
        </w:rPr>
        <w:t xml:space="preserve">Legal lesson learned: </w:t>
      </w:r>
      <w:r w:rsidRPr="00D51D58">
        <w:rPr>
          <w:b/>
        </w:rPr>
        <w:t>There was probable cause to arrest Willey with misconduct at an emergency, making false alarms, and disorderly conduct</w:t>
      </w:r>
      <w:r>
        <w:rPr>
          <w:b/>
        </w:rPr>
        <w:t xml:space="preserve">; </w:t>
      </w:r>
      <w:r w:rsidRPr="00D51D58">
        <w:rPr>
          <w:b/>
        </w:rPr>
        <w:t>even if charges later dropped by prosecutor.</w:t>
      </w:r>
      <w:r>
        <w:t xml:space="preserve"> </w:t>
      </w:r>
    </w:p>
    <w:p w14:paraId="6557FA54" w14:textId="77777777" w:rsidR="001A609B" w:rsidRDefault="001A609B" w:rsidP="001A609B"/>
    <w:p w14:paraId="6048E2E2" w14:textId="3DDA3293" w:rsidR="001A609B" w:rsidRDefault="001A609B" w:rsidP="001A609B">
      <w:pPr>
        <w:pStyle w:val="NoSpacing"/>
        <w:rPr>
          <w:rFonts w:ascii="Arial Black" w:hAnsi="Arial Black"/>
          <w:sz w:val="24"/>
          <w:szCs w:val="24"/>
        </w:rPr>
      </w:pPr>
      <w:r>
        <w:rPr>
          <w:rFonts w:ascii="Arial Black" w:hAnsi="Arial Black"/>
          <w:sz w:val="24"/>
          <w:szCs w:val="24"/>
        </w:rPr>
        <w:t>1-210</w:t>
      </w:r>
    </w:p>
    <w:p w14:paraId="26642001" w14:textId="77777777" w:rsidR="001A609B" w:rsidRDefault="001A609B" w:rsidP="001A609B">
      <w:pPr>
        <w:pStyle w:val="NoSpacing"/>
        <w:rPr>
          <w:rFonts w:ascii="Arial Black" w:hAnsi="Arial Black"/>
          <w:sz w:val="28"/>
          <w:szCs w:val="28"/>
        </w:rPr>
      </w:pPr>
    </w:p>
    <w:p w14:paraId="45A32E79" w14:textId="6057E11E" w:rsidR="001A609B" w:rsidRDefault="001A609B" w:rsidP="001A609B">
      <w:pPr>
        <w:pStyle w:val="NoSpacing"/>
        <w:rPr>
          <w:rFonts w:ascii="Arial Black" w:hAnsi="Arial Black"/>
          <w:sz w:val="28"/>
          <w:szCs w:val="28"/>
        </w:rPr>
      </w:pPr>
      <w:r>
        <w:rPr>
          <w:rFonts w:ascii="Arial Black" w:hAnsi="Arial Black"/>
          <w:sz w:val="28"/>
          <w:szCs w:val="28"/>
        </w:rPr>
        <w:lastRenderedPageBreak/>
        <w:t>MI: ARSON – DROP ATTY / “STANDBY” ATTY – 7 YRS PRISON</w:t>
      </w:r>
    </w:p>
    <w:p w14:paraId="203AA91B" w14:textId="77777777" w:rsidR="001A609B" w:rsidRDefault="001A609B" w:rsidP="001A609B">
      <w:pPr>
        <w:pStyle w:val="NoSpacing"/>
      </w:pPr>
    </w:p>
    <w:p w14:paraId="05763FC9" w14:textId="77777777" w:rsidR="001A609B" w:rsidRDefault="001A609B" w:rsidP="001A609B">
      <w:pPr>
        <w:rPr>
          <w:b/>
        </w:rPr>
      </w:pPr>
      <w:r>
        <w:t xml:space="preserve">On May 20, 2026, in </w:t>
      </w:r>
      <w:r w:rsidRPr="00F03998">
        <w:rPr>
          <w:u w:val="single"/>
        </w:rPr>
        <w:t>Steve Ellis Karacson v. David Shaver, Warden</w:t>
      </w:r>
      <w:r>
        <w:t xml:space="preserve">, the United States Court of Appeals for the Sixth Circuit (Cincinnati) held that the prisoner serving seven years in Michigan state prison was properly denied habeas corpus by federal district court judge.  His conviction by a jury was affirmed on appeal by the Michigan Court of Appeals, which held that the Michigan state court judge properly warned the defendant of danger of dropping his second appointed attorney on the morning of trial. The Michigan judge also wisely had the second attorney serve as “standby counsel” throughout the trial; the defendant questioned jurors and made his own closing argument.  THE COURT WROTE: “Indeed, the attorney had ably represented </w:t>
      </w:r>
      <w:proofErr w:type="spellStart"/>
      <w:r>
        <w:t>Karacson</w:t>
      </w:r>
      <w:proofErr w:type="spellEnd"/>
      <w:r>
        <w:t xml:space="preserve"> before trial by negotiating a bond reduction and rejecting the state’s plea offers…. The attorney was still </w:t>
      </w:r>
      <w:proofErr w:type="spellStart"/>
      <w:r>
        <w:t>Karacson’s</w:t>
      </w:r>
      <w:proofErr w:type="spellEnd"/>
      <w:r>
        <w:t xml:space="preserve"> standby counsel, and he continued to aid </w:t>
      </w:r>
      <w:proofErr w:type="spellStart"/>
      <w:r>
        <w:t>Karacson</w:t>
      </w:r>
      <w:proofErr w:type="spellEnd"/>
      <w:r>
        <w:t xml:space="preserve"> throughout trial even though </w:t>
      </w:r>
      <w:proofErr w:type="spellStart"/>
      <w:r>
        <w:t>Karacson</w:t>
      </w:r>
      <w:proofErr w:type="spellEnd"/>
      <w:r>
        <w:t xml:space="preserve"> was representing himself. He even introduced himself to the jury pool as someone who would be “assisting” </w:t>
      </w:r>
      <w:proofErr w:type="spellStart"/>
      <w:r>
        <w:t>Karacson</w:t>
      </w:r>
      <w:proofErr w:type="spellEnd"/>
      <w:r>
        <w:t xml:space="preserve">, and the trial court called the attorney a ‘kind of legal advisor.’ </w:t>
      </w:r>
      <w:hyperlink r:id="rId36" w:history="1">
        <w:r w:rsidRPr="007D75EB">
          <w:rPr>
            <w:rStyle w:val="Hyperlink"/>
            <w:b/>
          </w:rPr>
          <w:t>https://cases.justia.com/federal/appellate-courts/ca6/25-1089/25-1089-2026-05-20.pdf?ts=1779309039</w:t>
        </w:r>
      </w:hyperlink>
      <w:r>
        <w:rPr>
          <w:b/>
        </w:rPr>
        <w:t xml:space="preserve"> </w:t>
      </w:r>
    </w:p>
    <w:p w14:paraId="2479C6BB" w14:textId="77777777" w:rsidR="001A609B" w:rsidRDefault="001A609B" w:rsidP="001A609B">
      <w:pPr>
        <w:pStyle w:val="NoSpacing"/>
      </w:pPr>
      <w:r>
        <w:t xml:space="preserve"> THE COURT HELD:</w:t>
      </w:r>
    </w:p>
    <w:p w14:paraId="6EC9BD10" w14:textId="77777777" w:rsidR="001A609B" w:rsidRDefault="001A609B" w:rsidP="001A609B">
      <w:pPr>
        <w:pStyle w:val="NoSpacing"/>
      </w:pPr>
    </w:p>
    <w:p w14:paraId="4C66F371" w14:textId="77777777" w:rsidR="001A609B" w:rsidRPr="00895548" w:rsidRDefault="001A609B" w:rsidP="001A609B">
      <w:pPr>
        <w:pStyle w:val="NoSpacing"/>
        <w:ind w:firstLine="720"/>
      </w:pPr>
      <w:r>
        <w:t>“</w:t>
      </w:r>
      <w:r w:rsidRPr="00895548">
        <w:t>In 2017, a fire devastated Steve Karacson’s house. It took firefighters two or three hours</w:t>
      </w:r>
    </w:p>
    <w:p w14:paraId="24960DCB" w14:textId="77777777" w:rsidR="001A609B" w:rsidRPr="00895548" w:rsidRDefault="001A609B" w:rsidP="001A609B">
      <w:pPr>
        <w:pStyle w:val="NoSpacing"/>
        <w:ind w:firstLine="720"/>
      </w:pPr>
      <w:r w:rsidRPr="00895548">
        <w:t>to put out the flames. The next day, investigators entered the house with an arson dog and</w:t>
      </w:r>
    </w:p>
    <w:p w14:paraId="2B9BF31F" w14:textId="77777777" w:rsidR="001A609B" w:rsidRDefault="001A609B" w:rsidP="001A609B">
      <w:pPr>
        <w:pStyle w:val="NoSpacing"/>
        <w:ind w:left="720"/>
      </w:pPr>
      <w:r w:rsidRPr="00895548">
        <w:t>detected the smell of gasoline. They also determined that the fire had multiple origin points</w:t>
      </w:r>
      <w:r>
        <w:t xml:space="preserve"> </w:t>
      </w:r>
      <w:r w:rsidRPr="00895548">
        <w:t>inside the house. After reviewing this evidence and eliminating other possible causes, they</w:t>
      </w:r>
      <w:r>
        <w:t xml:space="preserve"> </w:t>
      </w:r>
      <w:r w:rsidRPr="00895548">
        <w:t xml:space="preserve">concluded the fire was an act of arson. </w:t>
      </w:r>
      <w:proofErr w:type="spellStart"/>
      <w:r w:rsidRPr="00895548">
        <w:t>Karacson</w:t>
      </w:r>
      <w:proofErr w:type="spellEnd"/>
      <w:r w:rsidRPr="00895548">
        <w:t xml:space="preserve"> had fire insurance, so the investigation focused</w:t>
      </w:r>
      <w:r>
        <w:t xml:space="preserve"> </w:t>
      </w:r>
      <w:r w:rsidRPr="00895548">
        <w:t>on him.</w:t>
      </w:r>
    </w:p>
    <w:p w14:paraId="18CAC5F4" w14:textId="77777777" w:rsidR="001A609B" w:rsidRDefault="001A609B" w:rsidP="001A609B">
      <w:pPr>
        <w:pStyle w:val="NoSpacing"/>
      </w:pPr>
    </w:p>
    <w:p w14:paraId="3618E560" w14:textId="77777777" w:rsidR="001A609B" w:rsidRPr="00742EA0" w:rsidRDefault="001A609B" w:rsidP="001A609B">
      <w:pPr>
        <w:pStyle w:val="NoSpacing"/>
        <w:ind w:firstLine="720"/>
      </w:pPr>
      <w:proofErr w:type="spellStart"/>
      <w:r w:rsidRPr="00742EA0">
        <w:t>Karacson</w:t>
      </w:r>
      <w:proofErr w:type="spellEnd"/>
      <w:r w:rsidRPr="00742EA0">
        <w:t xml:space="preserve"> told investigators he wasn’t home on the night of the fire. He claimed instead</w:t>
      </w:r>
    </w:p>
    <w:p w14:paraId="74247581" w14:textId="77777777" w:rsidR="001A609B" w:rsidRDefault="001A609B" w:rsidP="001A609B">
      <w:pPr>
        <w:pStyle w:val="NoSpacing"/>
        <w:ind w:left="720"/>
      </w:pPr>
      <w:r w:rsidRPr="00742EA0">
        <w:t>that he’d traveled to Kentucky two days before the fire and returned the morning after the fire.</w:t>
      </w:r>
      <w:r>
        <w:t xml:space="preserve"> </w:t>
      </w:r>
      <w:r w:rsidRPr="00742EA0">
        <w:t xml:space="preserve">But location data from his cell phone said otherwise. The morning before the fire, </w:t>
      </w:r>
      <w:proofErr w:type="spellStart"/>
      <w:r w:rsidRPr="00742EA0">
        <w:t>Karacson’s</w:t>
      </w:r>
      <w:proofErr w:type="spellEnd"/>
      <w:r>
        <w:t xml:space="preserve"> </w:t>
      </w:r>
      <w:r w:rsidRPr="00742EA0">
        <w:t>phone connected to towers along a route heading north from Kentucky back to Michigan. And</w:t>
      </w:r>
      <w:r>
        <w:t xml:space="preserve"> </w:t>
      </w:r>
      <w:r w:rsidRPr="00742EA0">
        <w:t>less than an hour before the fire, his phone pinged a tower near his house. Police officers also</w:t>
      </w:r>
      <w:r>
        <w:t xml:space="preserve"> </w:t>
      </w:r>
      <w:r w:rsidRPr="00742EA0">
        <w:t xml:space="preserve">found a receipt in </w:t>
      </w:r>
      <w:proofErr w:type="spellStart"/>
      <w:r w:rsidRPr="00742EA0">
        <w:t>Karacson’s</w:t>
      </w:r>
      <w:proofErr w:type="spellEnd"/>
      <w:r w:rsidRPr="00742EA0">
        <w:t xml:space="preserve"> wallet showing that, just hours before the fire, he had bought a</w:t>
      </w:r>
      <w:r>
        <w:t xml:space="preserve"> </w:t>
      </w:r>
      <w:r w:rsidRPr="00742EA0">
        <w:t xml:space="preserve">five-gallon gas can and a pair of utility gloves from a Michigan hardware store. </w:t>
      </w:r>
      <w:proofErr w:type="gramStart"/>
      <w:r w:rsidRPr="00742EA0">
        <w:t>So</w:t>
      </w:r>
      <w:proofErr w:type="gramEnd"/>
      <w:r w:rsidRPr="00742EA0">
        <w:t xml:space="preserve"> Michigan</w:t>
      </w:r>
      <w:r>
        <w:t xml:space="preserve"> </w:t>
      </w:r>
      <w:r w:rsidRPr="00742EA0">
        <w:t xml:space="preserve">charged </w:t>
      </w:r>
      <w:proofErr w:type="spellStart"/>
      <w:r w:rsidRPr="00742EA0">
        <w:t>Karacson</w:t>
      </w:r>
      <w:proofErr w:type="spellEnd"/>
      <w:r w:rsidRPr="00742EA0">
        <w:t xml:space="preserve"> with arson and insurance fraud.</w:t>
      </w:r>
    </w:p>
    <w:p w14:paraId="35BCC9B4" w14:textId="77777777" w:rsidR="001A609B" w:rsidRDefault="001A609B" w:rsidP="001A609B">
      <w:pPr>
        <w:pStyle w:val="NoSpacing"/>
        <w:ind w:left="720"/>
      </w:pPr>
    </w:p>
    <w:p w14:paraId="2692D157" w14:textId="77777777" w:rsidR="001A609B" w:rsidRDefault="001A609B" w:rsidP="001A609B">
      <w:pPr>
        <w:pStyle w:val="NoSpacing"/>
        <w:ind w:left="720"/>
      </w:pPr>
      <w:r>
        <w:t>***</w:t>
      </w:r>
    </w:p>
    <w:p w14:paraId="6975AD00" w14:textId="77777777" w:rsidR="001A609B" w:rsidRDefault="001A609B" w:rsidP="001A609B">
      <w:pPr>
        <w:pStyle w:val="NoSpacing"/>
        <w:ind w:left="720"/>
      </w:pPr>
      <w:proofErr w:type="spellStart"/>
      <w:r w:rsidRPr="00307040">
        <w:t>Karacson</w:t>
      </w:r>
      <w:proofErr w:type="spellEnd"/>
      <w:r w:rsidRPr="00307040">
        <w:t xml:space="preserve"> later changed his story to say that he was at a friend’s house in Michigan the night of</w:t>
      </w:r>
      <w:r>
        <w:t xml:space="preserve"> </w:t>
      </w:r>
      <w:r w:rsidRPr="00307040">
        <w:t>the fire. But he didn’t want the police to ask that friend any questions, so it’s unclear how</w:t>
      </w:r>
      <w:r>
        <w:t xml:space="preserve"> </w:t>
      </w:r>
      <w:r w:rsidRPr="001E2F51">
        <w:t>anyone could have confirmed his story.</w:t>
      </w:r>
    </w:p>
    <w:p w14:paraId="627AD441" w14:textId="77777777" w:rsidR="001A609B" w:rsidRDefault="001A609B" w:rsidP="001A609B">
      <w:pPr>
        <w:pStyle w:val="NoSpacing"/>
        <w:ind w:left="720"/>
      </w:pPr>
    </w:p>
    <w:p w14:paraId="1D2DBA1A" w14:textId="77777777" w:rsidR="001A609B" w:rsidRDefault="001A609B" w:rsidP="001A609B">
      <w:pPr>
        <w:pStyle w:val="NoSpacing"/>
        <w:ind w:left="720"/>
      </w:pPr>
      <w:r>
        <w:t>***</w:t>
      </w:r>
    </w:p>
    <w:p w14:paraId="7E492DEA" w14:textId="77777777" w:rsidR="001A609B" w:rsidRDefault="001A609B" w:rsidP="001A609B">
      <w:pPr>
        <w:pStyle w:val="NoSpacing"/>
        <w:ind w:left="720"/>
      </w:pPr>
      <w:r>
        <w:t xml:space="preserve">The jury convicted </w:t>
      </w:r>
      <w:proofErr w:type="spellStart"/>
      <w:r>
        <w:t>Karacson</w:t>
      </w:r>
      <w:proofErr w:type="spellEnd"/>
      <w:r>
        <w:t xml:space="preserve"> on all counts. Although his conviction carried a possible</w:t>
      </w:r>
    </w:p>
    <w:p w14:paraId="58736C3B" w14:textId="77777777" w:rsidR="001A609B" w:rsidRDefault="001A609B" w:rsidP="001A609B">
      <w:pPr>
        <w:pStyle w:val="NoSpacing"/>
        <w:ind w:left="720"/>
      </w:pPr>
      <w:r>
        <w:t xml:space="preserve">life sentence, the trial court opted for a more lenient punishment. It reasoned that </w:t>
      </w:r>
      <w:proofErr w:type="spellStart"/>
      <w:r>
        <w:t>Karacson</w:t>
      </w:r>
      <w:proofErr w:type="spellEnd"/>
      <w:r>
        <w:t xml:space="preserve"> hadn’t hurt anyone, harmed anyone else’s property, or received any insurance money. The court therefore sentenced him to only seven years in prison.”</w:t>
      </w:r>
    </w:p>
    <w:p w14:paraId="5F0C07F2" w14:textId="77777777" w:rsidR="001A609B" w:rsidRDefault="001A609B" w:rsidP="001A609B">
      <w:pPr>
        <w:pStyle w:val="NoSpacing"/>
        <w:ind w:left="720"/>
      </w:pPr>
    </w:p>
    <w:p w14:paraId="6B99BA0F" w14:textId="77777777" w:rsidR="001A609B" w:rsidRPr="00283AB4" w:rsidRDefault="001A609B" w:rsidP="001A609B">
      <w:pPr>
        <w:pStyle w:val="NoSpacing"/>
        <w:rPr>
          <w:b/>
          <w:bCs/>
        </w:rPr>
      </w:pPr>
      <w:r>
        <w:rPr>
          <w:b/>
        </w:rPr>
        <w:t xml:space="preserve">Legal lesson learned: </w:t>
      </w:r>
      <w:r w:rsidRPr="00283AB4">
        <w:rPr>
          <w:b/>
        </w:rPr>
        <w:t>State prison</w:t>
      </w:r>
      <w:r>
        <w:rPr>
          <w:b/>
        </w:rPr>
        <w:t>er</w:t>
      </w:r>
      <w:r w:rsidRPr="00283AB4">
        <w:rPr>
          <w:b/>
        </w:rPr>
        <w:t xml:space="preserve"> was properly denied habeas corpus by federal district court judge.  Trial judge wisely appointed “standby counsel” even if the defendant </w:t>
      </w:r>
      <w:r>
        <w:rPr>
          <w:b/>
        </w:rPr>
        <w:t>represented himself and did closing argument.</w:t>
      </w:r>
    </w:p>
    <w:p w14:paraId="0383C7EA" w14:textId="77777777" w:rsidR="001A609B" w:rsidRDefault="001A609B" w:rsidP="001A609B">
      <w:pPr>
        <w:pStyle w:val="NoSpacing"/>
        <w:rPr>
          <w:b/>
          <w:bCs/>
        </w:rPr>
      </w:pPr>
    </w:p>
    <w:p w14:paraId="71991639" w14:textId="77777777" w:rsidR="001A609B" w:rsidRPr="0089017A" w:rsidRDefault="001A609B" w:rsidP="001A609B">
      <w:pPr>
        <w:pStyle w:val="NoSpacing"/>
        <w:ind w:left="720"/>
      </w:pPr>
      <w:r w:rsidRPr="0089017A">
        <w:t xml:space="preserve">Note:  Congress enacted the Antiterrorism and Effective Death Penalty Act (AEDPA) </w:t>
      </w:r>
      <w:r>
        <w:t xml:space="preserve">on April 24, 1966, in response to the Oklahoma City bombing; it limits </w:t>
      </w:r>
      <w:r w:rsidRPr="0089017A">
        <w:t xml:space="preserve">federal judges </w:t>
      </w:r>
      <w:r>
        <w:t xml:space="preserve">granting </w:t>
      </w:r>
      <w:r w:rsidRPr="0089017A">
        <w:t>state prisoners</w:t>
      </w:r>
      <w:r>
        <w:t xml:space="preserve"> petitions for </w:t>
      </w:r>
      <w:r w:rsidRPr="0089017A">
        <w:t xml:space="preserve">federal habeas </w:t>
      </w:r>
      <w:r>
        <w:t xml:space="preserve">release. </w:t>
      </w:r>
      <w:r w:rsidRPr="0089017A">
        <w:t xml:space="preserve">“So to obtain relief under AEDPA, </w:t>
      </w:r>
      <w:proofErr w:type="spellStart"/>
      <w:r w:rsidRPr="0089017A">
        <w:t>Karacson</w:t>
      </w:r>
      <w:proofErr w:type="spellEnd"/>
      <w:r w:rsidRPr="0089017A">
        <w:t xml:space="preserve"> must show that the</w:t>
      </w:r>
      <w:r>
        <w:t xml:space="preserve"> </w:t>
      </w:r>
      <w:r w:rsidRPr="0089017A">
        <w:t>Michigan court’s decision was (1) “contrary to, or involved an unreasonable application of,</w:t>
      </w:r>
      <w:r>
        <w:t xml:space="preserve"> </w:t>
      </w:r>
      <w:r w:rsidRPr="0089017A">
        <w:t>clearly established Federal law, as determined by the Supreme Court of the United States” or (2) “based on an unreasonable determination of the facts in light of the evidence” before the state court. 28 U.S.C. § 2254(d)(1)–(2).</w:t>
      </w:r>
    </w:p>
    <w:p w14:paraId="18F68E15" w14:textId="77777777" w:rsidR="001A609B" w:rsidRPr="0089017A" w:rsidRDefault="001A609B" w:rsidP="001A609B"/>
    <w:p w14:paraId="6CCEA4D1" w14:textId="48B39326" w:rsidR="00822052" w:rsidRDefault="00822052" w:rsidP="00822052">
      <w:pPr>
        <w:pStyle w:val="NoSpacing"/>
        <w:rPr>
          <w:rFonts w:ascii="Arial Black" w:hAnsi="Arial Black"/>
          <w:sz w:val="24"/>
          <w:szCs w:val="24"/>
        </w:rPr>
      </w:pPr>
      <w:r>
        <w:rPr>
          <w:rFonts w:ascii="Arial Black" w:hAnsi="Arial Black"/>
          <w:sz w:val="24"/>
          <w:szCs w:val="24"/>
        </w:rPr>
        <w:lastRenderedPageBreak/>
        <w:t>1-209</w:t>
      </w:r>
    </w:p>
    <w:p w14:paraId="358353C4" w14:textId="77777777" w:rsidR="00822052" w:rsidRDefault="00822052" w:rsidP="00387E6C">
      <w:pPr>
        <w:pStyle w:val="NoSpacing"/>
        <w:rPr>
          <w:rFonts w:ascii="Arial Black" w:hAnsi="Arial Black"/>
          <w:sz w:val="28"/>
          <w:szCs w:val="28"/>
        </w:rPr>
      </w:pPr>
    </w:p>
    <w:p w14:paraId="14A052D7" w14:textId="0A315A5A" w:rsidR="00387E6C" w:rsidRDefault="00387E6C" w:rsidP="00387E6C">
      <w:pPr>
        <w:pStyle w:val="NoSpacing"/>
        <w:rPr>
          <w:rFonts w:ascii="Arial Black" w:hAnsi="Arial Black"/>
          <w:sz w:val="28"/>
          <w:szCs w:val="28"/>
        </w:rPr>
      </w:pPr>
      <w:r>
        <w:rPr>
          <w:rFonts w:ascii="Arial Black" w:hAnsi="Arial Black"/>
          <w:sz w:val="28"/>
          <w:szCs w:val="28"/>
        </w:rPr>
        <w:t>MN: CHINA PHONE BATTERY - $3.8M FIRE – AMAZON SUED</w:t>
      </w:r>
    </w:p>
    <w:p w14:paraId="6596CDB5" w14:textId="77777777" w:rsidR="00387E6C" w:rsidRDefault="00387E6C" w:rsidP="00387E6C">
      <w:pPr>
        <w:pStyle w:val="NoSpacing"/>
      </w:pPr>
    </w:p>
    <w:p w14:paraId="655E7D28" w14:textId="77777777" w:rsidR="00387E6C" w:rsidRDefault="00387E6C" w:rsidP="00387E6C">
      <w:pPr>
        <w:pStyle w:val="NoSpacing"/>
      </w:pPr>
      <w:r>
        <w:t xml:space="preserve">On April 27, 2028, in </w:t>
      </w:r>
      <w:r w:rsidRPr="0025753E">
        <w:rPr>
          <w:u w:val="single"/>
        </w:rPr>
        <w:t>Berkly Regional Insurance Company, et al. v. John Doe Battery Manufacturer</w:t>
      </w:r>
      <w:r>
        <w:rPr>
          <w:u w:val="single"/>
        </w:rPr>
        <w:t xml:space="preserve">; </w:t>
      </w:r>
      <w:proofErr w:type="spellStart"/>
      <w:r>
        <w:rPr>
          <w:u w:val="single"/>
        </w:rPr>
        <w:t>Yishda</w:t>
      </w:r>
      <w:proofErr w:type="spellEnd"/>
      <w:r>
        <w:rPr>
          <w:u w:val="single"/>
        </w:rPr>
        <w:t xml:space="preserve">; </w:t>
      </w:r>
      <w:r w:rsidRPr="0025753E">
        <w:rPr>
          <w:u w:val="single"/>
        </w:rPr>
        <w:t>et al</w:t>
      </w:r>
      <w:r>
        <w:t>., the United States Court of Appeals for the Eight Circuit (St. Louis) held (3 to 0) that the lawsuit against Amazon cannot proceed in federal court until state law is clarified.  When Rochelle Zappa’s cellphone would not hold a charge, she searched</w:t>
      </w:r>
    </w:p>
    <w:p w14:paraId="74F450A7" w14:textId="77777777" w:rsidR="00387E6C" w:rsidRDefault="00387E6C" w:rsidP="00387E6C">
      <w:pPr>
        <w:pStyle w:val="NoSpacing"/>
      </w:pPr>
      <w:r>
        <w:t xml:space="preserve">Amazon for a replacement battery. She picked one sold by a Chinese company named </w:t>
      </w:r>
      <w:proofErr w:type="spellStart"/>
      <w:r>
        <w:t>Yishda</w:t>
      </w:r>
      <w:proofErr w:type="spellEnd"/>
      <w:r>
        <w:t xml:space="preserve"> that the website advertised as “Amazon’s Choice.”  When she plugged her phone in at work to charge the battery, it fizzled, sparked, and then burst into flames. Smoke soon enveloped the office. By the time firefighters put out the fire, it had caused $3,881,280 in damage.  The employer’s insurance company sued Amazon in state court; Amazon removed it </w:t>
      </w:r>
      <w:proofErr w:type="gramStart"/>
      <w:r>
        <w:t>to federal</w:t>
      </w:r>
      <w:proofErr w:type="gramEnd"/>
      <w:r>
        <w:t xml:space="preserve"> court. The 8</w:t>
      </w:r>
      <w:r w:rsidRPr="00463C71">
        <w:rPr>
          <w:vertAlign w:val="superscript"/>
        </w:rPr>
        <w:t>th</w:t>
      </w:r>
      <w:r>
        <w:t xml:space="preserve"> Circuit is sending following </w:t>
      </w:r>
      <w:proofErr w:type="gramStart"/>
      <w:r>
        <w:t>question</w:t>
      </w:r>
      <w:proofErr w:type="gramEnd"/>
      <w:r>
        <w:t xml:space="preserve"> to the Minnesota Supreme Court to answer following </w:t>
      </w:r>
      <w:proofErr w:type="gramStart"/>
      <w:r>
        <w:t>question</w:t>
      </w:r>
      <w:proofErr w:type="gramEnd"/>
      <w:r>
        <w:t xml:space="preserve">:  </w:t>
      </w:r>
    </w:p>
    <w:p w14:paraId="5BC710CD" w14:textId="77777777" w:rsidR="00387E6C" w:rsidRDefault="00387E6C" w:rsidP="00387E6C">
      <w:pPr>
        <w:pStyle w:val="NoSpacing"/>
      </w:pPr>
    </w:p>
    <w:p w14:paraId="7EDC654E" w14:textId="77777777" w:rsidR="00387E6C" w:rsidRDefault="00387E6C" w:rsidP="00387E6C">
      <w:pPr>
        <w:pStyle w:val="NoSpacing"/>
        <w:ind w:firstLine="720"/>
      </w:pPr>
      <w:r>
        <w:t>“Under Minnesota law, if an e-commerce company allows an unrelated</w:t>
      </w:r>
    </w:p>
    <w:p w14:paraId="6827638F" w14:textId="77777777" w:rsidR="00387E6C" w:rsidRDefault="00387E6C" w:rsidP="00387E6C">
      <w:pPr>
        <w:pStyle w:val="NoSpacing"/>
        <w:ind w:firstLine="720"/>
      </w:pPr>
      <w:r>
        <w:t>party to sell a defective product through its website and provides order-</w:t>
      </w:r>
    </w:p>
    <w:p w14:paraId="4A235976" w14:textId="77777777" w:rsidR="00387E6C" w:rsidRDefault="00387E6C" w:rsidP="00387E6C">
      <w:pPr>
        <w:pStyle w:val="NoSpacing"/>
        <w:ind w:firstLine="720"/>
      </w:pPr>
      <w:r>
        <w:t>fulfillment services for the sale, is it strictly liable for any harm caused</w:t>
      </w:r>
    </w:p>
    <w:p w14:paraId="492BEF04" w14:textId="77777777" w:rsidR="00387E6C" w:rsidRDefault="00387E6C" w:rsidP="00387E6C">
      <w:pPr>
        <w:pStyle w:val="NoSpacing"/>
        <w:ind w:firstLine="720"/>
      </w:pPr>
      <w:r>
        <w:t xml:space="preserve">by the defect?” </w:t>
      </w:r>
    </w:p>
    <w:p w14:paraId="357D3C8D" w14:textId="77777777" w:rsidR="00387E6C" w:rsidRDefault="00387E6C" w:rsidP="00387E6C">
      <w:pPr>
        <w:pStyle w:val="NoSpacing"/>
        <w:ind w:firstLine="720"/>
      </w:pPr>
    </w:p>
    <w:p w14:paraId="2088CDBC" w14:textId="77777777" w:rsidR="00387E6C" w:rsidRDefault="00387E6C" w:rsidP="00387E6C">
      <w:pPr>
        <w:pStyle w:val="NoSpacing"/>
      </w:pPr>
      <w:hyperlink r:id="rId37" w:history="1">
        <w:r w:rsidRPr="00CF721F">
          <w:rPr>
            <w:rStyle w:val="Hyperlink"/>
          </w:rPr>
          <w:t>https://ecf.ca8.uscourts.gov/opndir/26/04/242159P.pdf</w:t>
        </w:r>
      </w:hyperlink>
      <w:r>
        <w:t xml:space="preserve"> </w:t>
      </w:r>
    </w:p>
    <w:p w14:paraId="3B4956FA" w14:textId="77777777" w:rsidR="00387E6C" w:rsidRDefault="00387E6C" w:rsidP="00387E6C">
      <w:pPr>
        <w:pStyle w:val="NoSpacing"/>
        <w:ind w:firstLine="720"/>
      </w:pPr>
    </w:p>
    <w:p w14:paraId="079A78B6" w14:textId="77777777" w:rsidR="00387E6C" w:rsidRDefault="00387E6C" w:rsidP="00387E6C">
      <w:r>
        <w:t>THE COURT HELD:</w:t>
      </w:r>
    </w:p>
    <w:p w14:paraId="4C1580F5" w14:textId="77777777" w:rsidR="00387E6C" w:rsidRDefault="00387E6C" w:rsidP="00387E6C">
      <w:pPr>
        <w:pStyle w:val="NoSpacing"/>
        <w:ind w:left="720"/>
      </w:pPr>
      <w:r>
        <w:t>“When Rochelle Zappa’s cellphone would not hold a charge, she searched</w:t>
      </w:r>
    </w:p>
    <w:p w14:paraId="70012299" w14:textId="77777777" w:rsidR="00387E6C" w:rsidRDefault="00387E6C" w:rsidP="00387E6C">
      <w:pPr>
        <w:pStyle w:val="NoSpacing"/>
        <w:ind w:firstLine="720"/>
      </w:pPr>
      <w:r>
        <w:t>Amazon for a replacement battery. She picked one sold by a Chinese company</w:t>
      </w:r>
    </w:p>
    <w:p w14:paraId="7699417D" w14:textId="77777777" w:rsidR="00387E6C" w:rsidRDefault="00387E6C" w:rsidP="00387E6C">
      <w:pPr>
        <w:pStyle w:val="NoSpacing"/>
        <w:ind w:firstLine="720"/>
      </w:pPr>
      <w:r>
        <w:t xml:space="preserve">named </w:t>
      </w:r>
      <w:proofErr w:type="spellStart"/>
      <w:r>
        <w:t>Yishda</w:t>
      </w:r>
      <w:proofErr w:type="spellEnd"/>
      <w:r>
        <w:t xml:space="preserve"> that the website advertised as ‘Amazon’s Choice.’</w:t>
      </w:r>
    </w:p>
    <w:p w14:paraId="707246A1" w14:textId="77777777" w:rsidR="00387E6C" w:rsidRDefault="00387E6C" w:rsidP="00387E6C">
      <w:pPr>
        <w:pStyle w:val="NoSpacing"/>
        <w:ind w:firstLine="720"/>
      </w:pPr>
    </w:p>
    <w:p w14:paraId="6B0C6FD1" w14:textId="77777777" w:rsidR="00387E6C" w:rsidRDefault="00387E6C" w:rsidP="00387E6C">
      <w:pPr>
        <w:pStyle w:val="NoSpacing"/>
        <w:ind w:firstLine="720"/>
      </w:pPr>
      <w:r>
        <w:t>The company took part in the “Fulfillment by Amazon” program, a service</w:t>
      </w:r>
    </w:p>
    <w:p w14:paraId="572AA354" w14:textId="77777777" w:rsidR="00387E6C" w:rsidRDefault="00387E6C" w:rsidP="00387E6C">
      <w:pPr>
        <w:pStyle w:val="NoSpacing"/>
        <w:ind w:firstLine="720"/>
      </w:pPr>
      <w:r>
        <w:t>that allows sellers to use Amazon’s infrastructure, including its website, its</w:t>
      </w:r>
    </w:p>
    <w:p w14:paraId="19C8B7D7" w14:textId="77777777" w:rsidR="00387E6C" w:rsidRDefault="00387E6C" w:rsidP="00387E6C">
      <w:pPr>
        <w:pStyle w:val="NoSpacing"/>
        <w:ind w:firstLine="720"/>
      </w:pPr>
      <w:r>
        <w:t>warehouses, and its delivery drivers. For a fee, Amazon handled storage, order</w:t>
      </w:r>
    </w:p>
    <w:p w14:paraId="44418347" w14:textId="77777777" w:rsidR="00387E6C" w:rsidRDefault="00387E6C" w:rsidP="00387E6C">
      <w:pPr>
        <w:pStyle w:val="NoSpacing"/>
        <w:ind w:firstLine="720"/>
      </w:pPr>
      <w:r>
        <w:t>fulfillment, returns, and customer service. See Pickard v. Amazon.com, Inc., 387</w:t>
      </w:r>
    </w:p>
    <w:p w14:paraId="20562245" w14:textId="77777777" w:rsidR="00387E6C" w:rsidRDefault="00387E6C" w:rsidP="00387E6C">
      <w:pPr>
        <w:pStyle w:val="NoSpacing"/>
        <w:ind w:firstLine="720"/>
      </w:pPr>
      <w:r>
        <w:t>So.3d 515, 518 (La. 2024) (describing Amazon’s order-fulfillment service). Here,</w:t>
      </w:r>
    </w:p>
    <w:p w14:paraId="236D84FD" w14:textId="77777777" w:rsidR="00387E6C" w:rsidRDefault="00387E6C" w:rsidP="00387E6C">
      <w:pPr>
        <w:pStyle w:val="NoSpacing"/>
        <w:ind w:firstLine="720"/>
      </w:pPr>
      <w:proofErr w:type="gramStart"/>
      <w:r>
        <w:t>it</w:t>
      </w:r>
      <w:proofErr w:type="gramEnd"/>
      <w:r>
        <w:t xml:space="preserve"> resulted in an Amazon driver delivering a </w:t>
      </w:r>
      <w:proofErr w:type="spellStart"/>
      <w:r>
        <w:t>Yishda</w:t>
      </w:r>
      <w:proofErr w:type="spellEnd"/>
      <w:r>
        <w:t xml:space="preserve"> battery inside an Amazon bag to</w:t>
      </w:r>
    </w:p>
    <w:p w14:paraId="3B93A22C" w14:textId="77777777" w:rsidR="00387E6C" w:rsidRDefault="00387E6C" w:rsidP="00387E6C">
      <w:pPr>
        <w:pStyle w:val="NoSpacing"/>
        <w:ind w:firstLine="720"/>
      </w:pPr>
      <w:r>
        <w:t>her doorstep.</w:t>
      </w:r>
    </w:p>
    <w:p w14:paraId="29C137AB" w14:textId="77777777" w:rsidR="00387E6C" w:rsidRDefault="00387E6C" w:rsidP="00387E6C">
      <w:pPr>
        <w:ind w:firstLine="720"/>
        <w:rPr>
          <w:b/>
          <w:bCs/>
        </w:rPr>
      </w:pPr>
    </w:p>
    <w:p w14:paraId="7481721C" w14:textId="77777777" w:rsidR="00387E6C" w:rsidRDefault="00387E6C" w:rsidP="00387E6C">
      <w:pPr>
        <w:pStyle w:val="NoSpacing"/>
        <w:ind w:firstLine="720"/>
      </w:pPr>
      <w:r>
        <w:t>***</w:t>
      </w:r>
    </w:p>
    <w:p w14:paraId="250397F5" w14:textId="77777777" w:rsidR="00387E6C" w:rsidRDefault="00387E6C" w:rsidP="00387E6C">
      <w:pPr>
        <w:ind w:left="720"/>
        <w:rPr>
          <w:b/>
          <w:bCs/>
        </w:rPr>
      </w:pPr>
      <w:r>
        <w:t xml:space="preserve">We need to know whether, under Minnesota law, Amazon is strictly liable for a defective product it offered, stored, and shipped, even though someone else was the seller. The Minnesota Supreme Court ought to be the one to decide this novel legal issue, so we give it the right of first refusal… Finally, the legal question we have is about </w:t>
      </w:r>
      <w:proofErr w:type="gramStart"/>
      <w:r>
        <w:t>as</w:t>
      </w:r>
      <w:proofErr w:type="gramEnd"/>
      <w:r>
        <w:t xml:space="preserve"> clean as it gets. Whether Amazon is strictly liable for </w:t>
      </w:r>
      <w:proofErr w:type="spellStart"/>
      <w:r>
        <w:t>Yishda’s</w:t>
      </w:r>
      <w:proofErr w:type="spellEnd"/>
      <w:r>
        <w:t xml:space="preserve"> batteries depends on undisputed facts. The record is clear that, as the seller, </w:t>
      </w:r>
      <w:proofErr w:type="spellStart"/>
      <w:r>
        <w:t>Yishda</w:t>
      </w:r>
      <w:proofErr w:type="spellEnd"/>
      <w:r>
        <w:t xml:space="preserve"> listed the batteries online, sent them to warehouses around the country, and left the rest to Amazon.”</w:t>
      </w:r>
    </w:p>
    <w:p w14:paraId="15E9482E" w14:textId="77777777" w:rsidR="00387E6C" w:rsidRPr="001C2DCD" w:rsidRDefault="00387E6C" w:rsidP="00387E6C">
      <w:pPr>
        <w:rPr>
          <w:b/>
          <w:bCs/>
        </w:rPr>
      </w:pPr>
      <w:r>
        <w:rPr>
          <w:b/>
        </w:rPr>
        <w:t xml:space="preserve">Legal lesson learned: Battery fires are becoming all too common; the question here is whether the insurance company for the $3.8 million loss can recover from Amazon and was  Amazon aware of prior fires with this product. </w:t>
      </w:r>
    </w:p>
    <w:p w14:paraId="3182CCB3" w14:textId="77777777" w:rsidR="00387E6C" w:rsidRDefault="00387E6C" w:rsidP="00387E6C">
      <w:pPr>
        <w:pStyle w:val="NoSpacing"/>
        <w:rPr>
          <w:bCs/>
        </w:rPr>
      </w:pPr>
    </w:p>
    <w:p w14:paraId="3DA51BA2" w14:textId="4ED6D940" w:rsidR="00822052" w:rsidRDefault="00822052" w:rsidP="00822052">
      <w:pPr>
        <w:pStyle w:val="NoSpacing"/>
        <w:rPr>
          <w:rFonts w:ascii="Arial Black" w:hAnsi="Arial Black"/>
          <w:sz w:val="24"/>
          <w:szCs w:val="24"/>
        </w:rPr>
      </w:pPr>
      <w:r>
        <w:rPr>
          <w:rFonts w:ascii="Arial Black" w:hAnsi="Arial Black"/>
          <w:sz w:val="24"/>
          <w:szCs w:val="24"/>
        </w:rPr>
        <w:t>1-208</w:t>
      </w:r>
    </w:p>
    <w:p w14:paraId="01F3CD84" w14:textId="77777777" w:rsidR="00387E6C" w:rsidRDefault="00387E6C" w:rsidP="00387E6C">
      <w:pPr>
        <w:pStyle w:val="NoSpacing"/>
        <w:rPr>
          <w:bCs/>
        </w:rPr>
      </w:pPr>
    </w:p>
    <w:p w14:paraId="011FF64E" w14:textId="77777777" w:rsidR="00387E6C" w:rsidRDefault="00387E6C" w:rsidP="00387E6C">
      <w:pPr>
        <w:pStyle w:val="NoSpacing"/>
        <w:rPr>
          <w:b/>
        </w:rPr>
      </w:pPr>
    </w:p>
    <w:p w14:paraId="2F5E6217" w14:textId="77777777" w:rsidR="008326CD" w:rsidRPr="00891643" w:rsidRDefault="008326CD" w:rsidP="008326CD">
      <w:pPr>
        <w:pStyle w:val="NoSpacing"/>
        <w:rPr>
          <w:rFonts w:ascii="Arial Black" w:hAnsi="Arial Black"/>
          <w:sz w:val="28"/>
          <w:szCs w:val="28"/>
        </w:rPr>
      </w:pPr>
      <w:r>
        <w:rPr>
          <w:rFonts w:ascii="Arial Black" w:hAnsi="Arial Black"/>
          <w:sz w:val="28"/>
          <w:szCs w:val="28"/>
        </w:rPr>
        <w:lastRenderedPageBreak/>
        <w:t xml:space="preserve">WV: ARSON - SIGNED CONFESSION / NO NEED PD TO VIDEO </w:t>
      </w:r>
    </w:p>
    <w:p w14:paraId="52E5C633" w14:textId="77777777" w:rsidR="008326CD" w:rsidRDefault="008326CD" w:rsidP="008326CD">
      <w:pPr>
        <w:pStyle w:val="NoSpacing"/>
      </w:pPr>
    </w:p>
    <w:p w14:paraId="53F1750F" w14:textId="77777777" w:rsidR="008326CD" w:rsidRDefault="008326CD" w:rsidP="008326CD">
      <w:pPr>
        <w:pStyle w:val="NoSpacing"/>
        <w:rPr>
          <w:bCs/>
        </w:rPr>
      </w:pPr>
      <w:r>
        <w:t xml:space="preserve">On April 21, 2026, in  </w:t>
      </w:r>
      <w:r w:rsidRPr="00E63016">
        <w:rPr>
          <w:u w:val="single"/>
        </w:rPr>
        <w:t>State of West Virginia v. Harry Lee Steele</w:t>
      </w:r>
      <w:r>
        <w:t xml:space="preserve">, the </w:t>
      </w:r>
      <w:r w:rsidRPr="00E63016">
        <w:t>Supreme Court of Appeals of West Virginia</w:t>
      </w:r>
      <w:r>
        <w:t xml:space="preserve">, held (5 to 0) that trial court properly denied motion to suppress written confession, which was given voluntarily; jury convicted him of first-degree arson for light couch on fire on front of house, and sentenced him to 20 years.  He confessed to lighting a couch on the front porch, which led to structure fire; he turned himself in the next day and admitted he started the fire out of personal animosity with the owner of the house. </w:t>
      </w:r>
      <w:r w:rsidRPr="004C6462">
        <w:t>Deputy Martin stated that he recorded only part of the interview because his bodycam</w:t>
      </w:r>
      <w:r>
        <w:t xml:space="preserve"> </w:t>
      </w:r>
      <w:r w:rsidRPr="004C6462">
        <w:t xml:space="preserve">needed to charge. </w:t>
      </w:r>
    </w:p>
    <w:p w14:paraId="712494D1" w14:textId="77777777" w:rsidR="008326CD" w:rsidRPr="00883C4E" w:rsidRDefault="008326CD" w:rsidP="008326CD">
      <w:pPr>
        <w:pStyle w:val="NoSpacing"/>
        <w:rPr>
          <w:bCs/>
        </w:rPr>
      </w:pPr>
      <w:hyperlink r:id="rId38" w:history="1">
        <w:r w:rsidRPr="00072B77">
          <w:rPr>
            <w:rStyle w:val="Hyperlink"/>
          </w:rPr>
          <w:t>https://www.courtswv.gov/sites/default/pubfilesmnt/2026-04/24-79%20Memorandum%20Decision.pdf</w:t>
        </w:r>
      </w:hyperlink>
      <w:r w:rsidRPr="00883C4E">
        <w:t xml:space="preserve"> </w:t>
      </w:r>
    </w:p>
    <w:p w14:paraId="236E03FF" w14:textId="77777777" w:rsidR="008326CD" w:rsidRPr="00883C4E" w:rsidRDefault="008326CD" w:rsidP="008326CD">
      <w:pPr>
        <w:pStyle w:val="NoSpacing"/>
        <w:rPr>
          <w:bCs/>
        </w:rPr>
      </w:pPr>
    </w:p>
    <w:p w14:paraId="4E9C2108" w14:textId="77777777" w:rsidR="008326CD" w:rsidRDefault="008326CD" w:rsidP="008326CD">
      <w:pPr>
        <w:pStyle w:val="NoSpacing"/>
        <w:rPr>
          <w:bCs/>
        </w:rPr>
      </w:pPr>
    </w:p>
    <w:p w14:paraId="56AC101D" w14:textId="77777777" w:rsidR="008326CD" w:rsidRPr="00E63016" w:rsidRDefault="008326CD" w:rsidP="008326CD">
      <w:pPr>
        <w:pStyle w:val="NoSpacing"/>
        <w:rPr>
          <w:bCs/>
        </w:rPr>
      </w:pPr>
      <w:r>
        <w:t>THE COURT HELD:</w:t>
      </w:r>
    </w:p>
    <w:p w14:paraId="21F30B11" w14:textId="77777777" w:rsidR="008326CD" w:rsidRDefault="008326CD" w:rsidP="008326CD">
      <w:pPr>
        <w:pStyle w:val="NoSpacing"/>
      </w:pPr>
    </w:p>
    <w:p w14:paraId="03FC5F8D" w14:textId="77777777" w:rsidR="008326CD" w:rsidRPr="00891643" w:rsidRDefault="008326CD" w:rsidP="008326CD">
      <w:pPr>
        <w:pStyle w:val="NoSpacing"/>
        <w:ind w:firstLine="720"/>
      </w:pPr>
      <w:r>
        <w:t>“</w:t>
      </w:r>
      <w:r w:rsidRPr="00891643">
        <w:t>Here, the circuit court considered the evidence presented at the suppression hearing and</w:t>
      </w:r>
    </w:p>
    <w:p w14:paraId="03EA4592" w14:textId="77777777" w:rsidR="008326CD" w:rsidRDefault="008326CD" w:rsidP="008326CD">
      <w:pPr>
        <w:pStyle w:val="NoSpacing"/>
        <w:ind w:left="720"/>
      </w:pPr>
      <w:r w:rsidRPr="00891643">
        <w:t xml:space="preserve">found that the petitioner did not appear intoxicated; that his signatures on both the </w:t>
      </w:r>
      <w:r w:rsidRPr="00883C4E">
        <w:rPr>
          <w:i/>
          <w:iCs/>
        </w:rPr>
        <w:t>Miranda</w:t>
      </w:r>
      <w:r w:rsidRPr="00891643">
        <w:t xml:space="preserve"> waiver</w:t>
      </w:r>
      <w:r>
        <w:t xml:space="preserve"> </w:t>
      </w:r>
      <w:r w:rsidRPr="00891643">
        <w:t>form and the written statement matched; and that the petitioner affirmed the accuracy of the</w:t>
      </w:r>
      <w:r>
        <w:t xml:space="preserve"> </w:t>
      </w:r>
      <w:r w:rsidRPr="00891643">
        <w:t>statement as observed in the recorded portion of the interview—all of which led the court to</w:t>
      </w:r>
      <w:r>
        <w:t xml:space="preserve"> </w:t>
      </w:r>
      <w:r w:rsidRPr="00891643">
        <w:t xml:space="preserve">conclude that the petitioner’s confession was voluntary and not made under duress. </w:t>
      </w:r>
    </w:p>
    <w:p w14:paraId="4D7B9EFF" w14:textId="77777777" w:rsidR="008326CD" w:rsidRDefault="008326CD" w:rsidP="008326CD">
      <w:pPr>
        <w:pStyle w:val="NoSpacing"/>
        <w:ind w:left="720"/>
      </w:pPr>
    </w:p>
    <w:p w14:paraId="1A8F75E1" w14:textId="77777777" w:rsidR="008326CD" w:rsidRDefault="008326CD" w:rsidP="008326CD">
      <w:pPr>
        <w:pStyle w:val="NoSpacing"/>
        <w:ind w:left="720"/>
      </w:pPr>
      <w:r w:rsidRPr="00891643">
        <w:t>While the</w:t>
      </w:r>
      <w:r>
        <w:t xml:space="preserve"> </w:t>
      </w:r>
      <w:r w:rsidRPr="00891643">
        <w:t>petitioner argues that the voluntariness of his confession cannot be proven because his initial</w:t>
      </w:r>
      <w:r>
        <w:t xml:space="preserve"> </w:t>
      </w:r>
      <w:r w:rsidRPr="00891643">
        <w:t xml:space="preserve">statement to Deputy Martin was not recorded, we have previously declined to </w:t>
      </w:r>
      <w:r>
        <w:t>‘</w:t>
      </w:r>
      <w:r w:rsidRPr="00891643">
        <w:t>establish an</w:t>
      </w:r>
      <w:r>
        <w:t xml:space="preserve"> </w:t>
      </w:r>
      <w:r w:rsidRPr="00891643">
        <w:t>absolute rule requiring such recording,</w:t>
      </w:r>
      <w:r>
        <w:t>’</w:t>
      </w:r>
      <w:r w:rsidRPr="00891643">
        <w:t xml:space="preserve"> noting that</w:t>
      </w:r>
      <w:r>
        <w:t xml:space="preserve"> ‘</w:t>
      </w:r>
      <w:r w:rsidRPr="00891643">
        <w:t xml:space="preserve">requiring police agencies to record </w:t>
      </w:r>
      <w:r>
        <w:t>i</w:t>
      </w:r>
      <w:r w:rsidRPr="00891643">
        <w:t>nterrogations is impractical and does not offer any greater safeguards for protecting the accused’s</w:t>
      </w:r>
      <w:r>
        <w:t xml:space="preserve"> </w:t>
      </w:r>
      <w:r w:rsidRPr="00891643">
        <w:t>rights than would be afforded by writing the statements affords.</w:t>
      </w:r>
      <w:r>
        <w:t>’</w:t>
      </w:r>
      <w:r w:rsidRPr="00891643">
        <w:t xml:space="preserve"> State v. Kilmer, 190 W. Va. 617,</w:t>
      </w:r>
      <w:r>
        <w:t xml:space="preserve"> </w:t>
      </w:r>
      <w:r w:rsidRPr="00891643">
        <w:t xml:space="preserve">628-29, 439 S.E.2d 881, 892-93 (1993). </w:t>
      </w:r>
    </w:p>
    <w:p w14:paraId="0CA9F908" w14:textId="77777777" w:rsidR="008326CD" w:rsidRDefault="008326CD" w:rsidP="008326CD">
      <w:pPr>
        <w:pStyle w:val="NoSpacing"/>
        <w:ind w:left="720"/>
      </w:pPr>
      <w:r w:rsidRPr="00891643">
        <w:t>Further, to the extent that petitioner claims the</w:t>
      </w:r>
      <w:r>
        <w:t xml:space="preserve"> </w:t>
      </w:r>
      <w:r w:rsidRPr="00891643">
        <w:t>voluntariness of his statement cannot be proven because Deputy Martin drafted it on his behalf,</w:t>
      </w:r>
      <w:r>
        <w:t xml:space="preserve"> </w:t>
      </w:r>
      <w:r w:rsidRPr="00891643">
        <w:t>we have previously held that</w:t>
      </w:r>
      <w:r>
        <w:t xml:space="preserve"> </w:t>
      </w:r>
      <w:r w:rsidRPr="00891643">
        <w:t>[a] confession or statement made by a suspect is admissible if it is freely</w:t>
      </w:r>
      <w:r>
        <w:t xml:space="preserve"> </w:t>
      </w:r>
      <w:r w:rsidRPr="00891643">
        <w:t>and voluntarily made despite the fact that it is written by an arresting officer if the</w:t>
      </w:r>
      <w:r>
        <w:t xml:space="preserve"> </w:t>
      </w:r>
      <w:r w:rsidRPr="00891643">
        <w:t>confession or statement is read, translated (if necessary), signed by the accused and</w:t>
      </w:r>
      <w:r>
        <w:t xml:space="preserve"> </w:t>
      </w:r>
      <w:r w:rsidRPr="00891643">
        <w:t>admitted by him to be correct.</w:t>
      </w:r>
      <w:r>
        <w:t xml:space="preserve">”  </w:t>
      </w:r>
    </w:p>
    <w:p w14:paraId="6FC35589" w14:textId="77777777" w:rsidR="008326CD" w:rsidRDefault="008326CD" w:rsidP="008326CD">
      <w:pPr>
        <w:pStyle w:val="NoSpacing"/>
        <w:ind w:left="720"/>
      </w:pPr>
    </w:p>
    <w:p w14:paraId="33B55A5D" w14:textId="77777777" w:rsidR="008326CD" w:rsidRPr="003D0F2A" w:rsidRDefault="008326CD" w:rsidP="008326CD">
      <w:pPr>
        <w:pStyle w:val="NoSpacing"/>
        <w:rPr>
          <w:b/>
          <w:bCs/>
        </w:rPr>
      </w:pPr>
      <w:r>
        <w:rPr>
          <w:b/>
        </w:rPr>
        <w:t xml:space="preserve">Legal lesson learned: If PD drafts the confession document, it would be helpful to video the draft being read to the defendant prior to his signature. </w:t>
      </w:r>
    </w:p>
    <w:p w14:paraId="54286982" w14:textId="77777777" w:rsidR="00387E6C" w:rsidRDefault="00387E6C" w:rsidP="00037CB8">
      <w:pPr>
        <w:pStyle w:val="NoSpacing"/>
        <w:rPr>
          <w:rFonts w:ascii="Arial Black" w:hAnsi="Arial Black"/>
          <w:sz w:val="24"/>
          <w:szCs w:val="24"/>
        </w:rPr>
      </w:pPr>
    </w:p>
    <w:p w14:paraId="1527E0F3" w14:textId="77777777" w:rsidR="00822052" w:rsidRDefault="00822052" w:rsidP="00037CB8">
      <w:pPr>
        <w:pStyle w:val="NoSpacing"/>
        <w:rPr>
          <w:rFonts w:ascii="Arial Black" w:hAnsi="Arial Black"/>
          <w:sz w:val="24"/>
          <w:szCs w:val="24"/>
        </w:rPr>
      </w:pPr>
    </w:p>
    <w:p w14:paraId="606A6F7B" w14:textId="59B2DBBF" w:rsidR="00822052" w:rsidRDefault="00822052" w:rsidP="00822052">
      <w:pPr>
        <w:pStyle w:val="NoSpacing"/>
        <w:rPr>
          <w:rFonts w:ascii="Arial Black" w:hAnsi="Arial Black"/>
          <w:sz w:val="24"/>
          <w:szCs w:val="24"/>
        </w:rPr>
      </w:pPr>
      <w:r>
        <w:rPr>
          <w:rFonts w:ascii="Arial Black" w:hAnsi="Arial Black"/>
          <w:sz w:val="24"/>
          <w:szCs w:val="24"/>
        </w:rPr>
        <w:t>1-207</w:t>
      </w:r>
    </w:p>
    <w:p w14:paraId="64F48355" w14:textId="77777777" w:rsidR="00822052" w:rsidRDefault="00822052" w:rsidP="00037CB8">
      <w:pPr>
        <w:pStyle w:val="NoSpacing"/>
        <w:rPr>
          <w:rFonts w:ascii="Arial Black" w:hAnsi="Arial Black"/>
          <w:sz w:val="24"/>
          <w:szCs w:val="24"/>
        </w:rPr>
      </w:pPr>
    </w:p>
    <w:p w14:paraId="49D08AD2" w14:textId="77777777" w:rsidR="00822052" w:rsidRDefault="00822052" w:rsidP="00037CB8">
      <w:pPr>
        <w:pStyle w:val="NoSpacing"/>
        <w:rPr>
          <w:rFonts w:ascii="Arial Black" w:hAnsi="Arial Black"/>
          <w:sz w:val="24"/>
          <w:szCs w:val="24"/>
        </w:rPr>
      </w:pPr>
    </w:p>
    <w:p w14:paraId="3E197E33" w14:textId="77777777" w:rsidR="00822052" w:rsidRDefault="00822052" w:rsidP="00822052">
      <w:pPr>
        <w:pStyle w:val="NoSpacing"/>
        <w:rPr>
          <w:rFonts w:ascii="Arial Black" w:hAnsi="Arial Black"/>
          <w:b/>
          <w:sz w:val="28"/>
          <w:szCs w:val="28"/>
        </w:rPr>
      </w:pPr>
      <w:r>
        <w:rPr>
          <w:rFonts w:ascii="Arial Black" w:hAnsi="Arial Black"/>
          <w:b/>
          <w:sz w:val="28"/>
          <w:szCs w:val="28"/>
        </w:rPr>
        <w:t>TX: BATTERY STORAGE PLANT– INJUNCTION – RISK PLAN</w:t>
      </w:r>
    </w:p>
    <w:p w14:paraId="730B4CC1" w14:textId="77777777" w:rsidR="00822052" w:rsidRDefault="00822052" w:rsidP="00822052">
      <w:pPr>
        <w:pStyle w:val="NoSpacing"/>
        <w:rPr>
          <w:rFonts w:ascii="Arial Black" w:hAnsi="Arial Black"/>
          <w:b/>
          <w:sz w:val="28"/>
          <w:szCs w:val="28"/>
        </w:rPr>
      </w:pPr>
    </w:p>
    <w:p w14:paraId="138C8D57" w14:textId="77777777" w:rsidR="00822052" w:rsidRDefault="00822052" w:rsidP="00822052">
      <w:pPr>
        <w:pStyle w:val="NoSpacing"/>
        <w:rPr>
          <w:b/>
        </w:rPr>
      </w:pPr>
      <w:r>
        <w:t xml:space="preserve">On April 9, 2026, in </w:t>
      </w:r>
      <w:r w:rsidRPr="00D9240F">
        <w:t xml:space="preserve">Jim Clements, et al. v. Jason McBroom, et al., </w:t>
      </w:r>
      <w:r>
        <w:t xml:space="preserve">the </w:t>
      </w:r>
      <w:r w:rsidRPr="00D9240F">
        <w:t>Court of Appeals of Texas, Third District, Austin</w:t>
      </w:r>
      <w:r>
        <w:t xml:space="preserve"> held (3 to 0) reversed trial court and held that landowners are entitled to an injunction to </w:t>
      </w:r>
      <w:r w:rsidRPr="00792680">
        <w:t xml:space="preserve">temporarily halt the construction of a planned 200-megawatt Battery Energy Storage System (BESS) on the </w:t>
      </w:r>
      <w:proofErr w:type="spellStart"/>
      <w:r w:rsidRPr="00792680">
        <w:t>McBrooms</w:t>
      </w:r>
      <w:proofErr w:type="spellEnd"/>
      <w:r w:rsidRPr="00792680">
        <w:t xml:space="preserve">' property until the </w:t>
      </w:r>
      <w:proofErr w:type="spellStart"/>
      <w:r w:rsidRPr="00792680">
        <w:t>McBrooms</w:t>
      </w:r>
      <w:proofErr w:type="spellEnd"/>
      <w:r w:rsidRPr="00792680">
        <w:t xml:space="preserve"> ensure the implementation of a “Court-approved hazard mitigation plan, including specific measures for fire containment, contamination prevention, and emergency response.”</w:t>
      </w:r>
      <w:r>
        <w:t xml:space="preserve">  </w:t>
      </w:r>
    </w:p>
    <w:p w14:paraId="1216F496" w14:textId="77777777" w:rsidR="00822052" w:rsidRPr="00656164" w:rsidRDefault="00822052" w:rsidP="00822052">
      <w:pPr>
        <w:pStyle w:val="NoSpacing"/>
        <w:rPr>
          <w:bCs/>
        </w:rPr>
      </w:pPr>
      <w:hyperlink r:id="rId39" w:history="1">
        <w:r w:rsidRPr="00656164">
          <w:rPr>
            <w:rStyle w:val="Hyperlink"/>
          </w:rPr>
          <w:t>https://caselaw.findlaw.com/court/tx-court-of-appeals/118277713.html</w:t>
        </w:r>
      </w:hyperlink>
    </w:p>
    <w:p w14:paraId="15B1D7E4" w14:textId="77777777" w:rsidR="00822052" w:rsidRPr="00656164" w:rsidRDefault="00822052" w:rsidP="00822052">
      <w:pPr>
        <w:pStyle w:val="NoSpacing"/>
        <w:rPr>
          <w:bCs/>
        </w:rPr>
      </w:pPr>
    </w:p>
    <w:p w14:paraId="62B3FE8C" w14:textId="77777777" w:rsidR="00822052" w:rsidRPr="00656164" w:rsidRDefault="00822052" w:rsidP="00822052">
      <w:pPr>
        <w:pStyle w:val="NoSpacing"/>
        <w:rPr>
          <w:bCs/>
        </w:rPr>
      </w:pPr>
      <w:r w:rsidRPr="00656164">
        <w:t xml:space="preserve">THE COURT HELD: </w:t>
      </w:r>
    </w:p>
    <w:p w14:paraId="2E392DF5" w14:textId="77777777" w:rsidR="00822052" w:rsidRDefault="00822052" w:rsidP="00822052">
      <w:pPr>
        <w:pStyle w:val="NoSpacing"/>
        <w:rPr>
          <w:bCs/>
        </w:rPr>
      </w:pPr>
    </w:p>
    <w:p w14:paraId="62A4D576" w14:textId="77777777" w:rsidR="00822052" w:rsidRPr="002E6437" w:rsidRDefault="00822052" w:rsidP="00822052">
      <w:pPr>
        <w:pStyle w:val="NoSpacing"/>
        <w:ind w:left="720"/>
        <w:rPr>
          <w:bCs/>
        </w:rPr>
      </w:pPr>
      <w:r>
        <w:lastRenderedPageBreak/>
        <w:t>“</w:t>
      </w:r>
      <w:r w:rsidRPr="002E6437">
        <w:t xml:space="preserve">In their live petition, filed November 26, 2024, Landowners asserted a claim against the </w:t>
      </w:r>
      <w:proofErr w:type="spellStart"/>
      <w:r w:rsidRPr="002E6437">
        <w:t>McBrooms</w:t>
      </w:r>
      <w:proofErr w:type="spellEnd"/>
      <w:r w:rsidRPr="002E6437">
        <w:t xml:space="preserve"> for private nuisance based on negligence to support their request for injunctive relief and damages. Landowners' factual allegations include the following:</w:t>
      </w:r>
    </w:p>
    <w:p w14:paraId="689DF851" w14:textId="77777777" w:rsidR="00822052" w:rsidRDefault="00822052" w:rsidP="00822052">
      <w:pPr>
        <w:pStyle w:val="NoSpacing"/>
        <w:rPr>
          <w:bCs/>
        </w:rPr>
      </w:pPr>
    </w:p>
    <w:p w14:paraId="0F4C1D36" w14:textId="77777777" w:rsidR="00822052" w:rsidRPr="002E6437" w:rsidRDefault="00822052" w:rsidP="00822052">
      <w:pPr>
        <w:pStyle w:val="NoSpacing"/>
        <w:ind w:left="1440"/>
        <w:rPr>
          <w:bCs/>
        </w:rPr>
      </w:pPr>
      <w:r w:rsidRPr="002E6437">
        <w:t>• Construction on the planned BESS facility could begin as early as “the fourth quarter of 2025,” with operations beginning in 2026;</w:t>
      </w:r>
    </w:p>
    <w:p w14:paraId="760955AA" w14:textId="77777777" w:rsidR="00822052" w:rsidRDefault="00822052" w:rsidP="00822052">
      <w:pPr>
        <w:pStyle w:val="NoSpacing"/>
        <w:ind w:left="1440"/>
        <w:rPr>
          <w:bCs/>
        </w:rPr>
      </w:pPr>
      <w:r w:rsidRPr="002E6437">
        <w:t xml:space="preserve">• The planned BESS relies on lithium-ion battery technology, which is prone to </w:t>
      </w:r>
      <w:r>
        <w:t>‘</w:t>
      </w:r>
      <w:r w:rsidRPr="002E6437">
        <w:t>thermal runaway,</w:t>
      </w:r>
      <w:r>
        <w:t>’</w:t>
      </w:r>
      <w:r w:rsidRPr="002E6437">
        <w:t xml:space="preserve"> a self-sustaining process triggered by overheating that can lead to the rapid release of flammable gases, high-temperature fires, and even explosions</w:t>
      </w:r>
      <w:r>
        <w:t>; …</w:t>
      </w:r>
    </w:p>
    <w:p w14:paraId="5F284BAC" w14:textId="77777777" w:rsidR="00822052" w:rsidRPr="005B0BC8" w:rsidRDefault="00822052" w:rsidP="00822052">
      <w:pPr>
        <w:pStyle w:val="NoSpacing"/>
        <w:ind w:left="1440"/>
        <w:rPr>
          <w:bCs/>
        </w:rPr>
      </w:pPr>
      <w:r w:rsidRPr="005B0BC8">
        <w:t>The phenomenon of thermal runaway is well-documented in federal research and has been observed in multiple large-scale BESS incidents, underscoring the immediate risks posed to nearby residents;</w:t>
      </w:r>
    </w:p>
    <w:p w14:paraId="27EBFB80" w14:textId="77777777" w:rsidR="00822052" w:rsidRPr="005B0BC8" w:rsidRDefault="00822052" w:rsidP="00822052">
      <w:pPr>
        <w:pStyle w:val="NoSpacing"/>
        <w:ind w:left="1440"/>
        <w:rPr>
          <w:bCs/>
        </w:rPr>
      </w:pPr>
      <w:r w:rsidRPr="005B0BC8">
        <w:t xml:space="preserve">• Despite these substantial hazards, Texas currently lacks adequate regulations for BESS facilities, leaving the burden of risk entirely on </w:t>
      </w:r>
      <w:proofErr w:type="gramStart"/>
      <w:r w:rsidRPr="005B0BC8">
        <w:t>local residents</w:t>
      </w:r>
      <w:proofErr w:type="gramEnd"/>
      <w:r w:rsidRPr="005B0BC8">
        <w:t>;</w:t>
      </w:r>
    </w:p>
    <w:p w14:paraId="231C1433" w14:textId="77777777" w:rsidR="00822052" w:rsidRPr="005B0BC8" w:rsidRDefault="00822052" w:rsidP="00822052">
      <w:pPr>
        <w:pStyle w:val="NoSpacing"/>
        <w:ind w:left="1440"/>
        <w:rPr>
          <w:bCs/>
        </w:rPr>
      </w:pPr>
      <w:r w:rsidRPr="005B0BC8">
        <w:t>• Fayette County is ill-equipped to address the unique and severe dangers associated with BESS fires. The County relies on a volunteer firefighting force that lacks the specialized training, personnel, and resources—such as water supplies and hazardous-material-response capabilities—necessary to manage such incidents;</w:t>
      </w:r>
    </w:p>
    <w:p w14:paraId="073FB2EF" w14:textId="77777777" w:rsidR="00822052" w:rsidRPr="005B0BC8" w:rsidRDefault="00822052" w:rsidP="00822052">
      <w:pPr>
        <w:pStyle w:val="NoSpacing"/>
        <w:ind w:left="1440"/>
        <w:rPr>
          <w:bCs/>
        </w:rPr>
      </w:pPr>
      <w:r w:rsidRPr="005B0BC8">
        <w:t>• Fire Chief Eddie Schneider confirmed at a local town hall that the County's emergency response infrastructure is insufficient for handling BESS fires, noting that the County lacks both the resources and an emergency plan tailored to the hazards posed by lithium-ion battery fires;</w:t>
      </w:r>
    </w:p>
    <w:p w14:paraId="31C03C76" w14:textId="77777777" w:rsidR="00822052" w:rsidRPr="005B0BC8" w:rsidRDefault="00822052" w:rsidP="00822052">
      <w:pPr>
        <w:pStyle w:val="NoSpacing"/>
        <w:ind w:left="1440"/>
        <w:rPr>
          <w:bCs/>
        </w:rPr>
      </w:pPr>
      <w:r w:rsidRPr="005B0BC8">
        <w:t>• The County's unpreparedness directly endangers Landowners, as the County cannot effectively contain a BESS fire or prevent its resulting contamination from spreading through the environment</w:t>
      </w:r>
      <w:r>
        <w:t xml:space="preserve">…. </w:t>
      </w:r>
    </w:p>
    <w:p w14:paraId="36DC5934" w14:textId="77777777" w:rsidR="00822052" w:rsidRPr="002E6437" w:rsidRDefault="00822052" w:rsidP="00822052">
      <w:pPr>
        <w:pStyle w:val="NoSpacing"/>
        <w:ind w:left="1440"/>
        <w:rPr>
          <w:bCs/>
        </w:rPr>
      </w:pPr>
    </w:p>
    <w:p w14:paraId="3E56EDAB" w14:textId="77777777" w:rsidR="00822052" w:rsidRPr="00656164" w:rsidRDefault="00822052" w:rsidP="00822052">
      <w:pPr>
        <w:pStyle w:val="NoSpacing"/>
        <w:rPr>
          <w:bCs/>
        </w:rPr>
      </w:pPr>
      <w:r>
        <w:tab/>
        <w:t>***</w:t>
      </w:r>
    </w:p>
    <w:p w14:paraId="27E8816E" w14:textId="77777777" w:rsidR="00822052" w:rsidRPr="00656164" w:rsidRDefault="00822052" w:rsidP="00822052">
      <w:pPr>
        <w:pStyle w:val="NoSpacing"/>
        <w:rPr>
          <w:bCs/>
        </w:rPr>
      </w:pPr>
    </w:p>
    <w:p w14:paraId="1DBA174E" w14:textId="77777777" w:rsidR="00822052" w:rsidRDefault="00822052" w:rsidP="00822052">
      <w:pPr>
        <w:pStyle w:val="NoSpacing"/>
        <w:ind w:left="720"/>
      </w:pPr>
      <w:proofErr w:type="gramStart"/>
      <w:r w:rsidRPr="00DE129C">
        <w:t>Similarly</w:t>
      </w:r>
      <w:proofErr w:type="gramEnd"/>
      <w:r w:rsidRPr="00DE129C">
        <w:t xml:space="preserve"> here, we conclude that Landowners have sufficiently alleged facts that, if proven, would support their request for injunctive relief to redress a prospective nuisance that plausibly will be caused by the </w:t>
      </w:r>
      <w:proofErr w:type="spellStart"/>
      <w:r w:rsidRPr="00DE129C">
        <w:t>McBrooms</w:t>
      </w:r>
      <w:proofErr w:type="spellEnd"/>
      <w:r w:rsidRPr="00DE129C">
        <w:t xml:space="preserve">' and Staccato's imminent actions that will likely cause irreparable harm for which they would have no adequate remedy at law. Viewing the allegations liberally and making all reasonable inferences in Landowners' favor, as we must, we conclude that they have sufficiently pleaded that the </w:t>
      </w:r>
      <w:proofErr w:type="spellStart"/>
      <w:r w:rsidRPr="00DE129C">
        <w:t>McBrooms</w:t>
      </w:r>
      <w:proofErr w:type="spellEnd"/>
      <w:r w:rsidRPr="00DE129C">
        <w:t xml:space="preserve"> will indeed engage in the activity sought to be enjoined—allowing Staccato to construct and operate a BESS on their property without sufficient hazard-mitigation plans and measures in place, highlighted by Staccato's alleged demonstrable intent to construct and operate the BESS in such manner—to entitle Landowners to the relief sought and pass the hurdle of a Rule 91a motion. See Tex. R. Civ. P. 91a. Landowners' allegations are sufficient to state a cognizable claim for the court to exercise its equitable power to enjoin a prospective nuisance, if proven, see Huynh, 694 S.W.3d at 679, and the trial court erred in determining otherwise.</w:t>
      </w:r>
      <w:r>
        <w:t>”</w:t>
      </w:r>
    </w:p>
    <w:p w14:paraId="071CC39C" w14:textId="77777777" w:rsidR="00822052" w:rsidRDefault="00822052" w:rsidP="00822052">
      <w:pPr>
        <w:pStyle w:val="NoSpacing"/>
        <w:ind w:left="720"/>
      </w:pPr>
    </w:p>
    <w:p w14:paraId="7588FAF4" w14:textId="77777777" w:rsidR="00822052" w:rsidRPr="00CA65F9" w:rsidRDefault="00822052" w:rsidP="00822052">
      <w:pPr>
        <w:pStyle w:val="NoSpacing"/>
        <w:rPr>
          <w:b/>
          <w:bCs/>
        </w:rPr>
      </w:pPr>
      <w:r w:rsidRPr="00CA65F9">
        <w:rPr>
          <w:b/>
        </w:rPr>
        <w:t xml:space="preserve">Legal lesson learned: Texas currently lacks adequate regulations for BESS facilities; hazard-mitigation plan needed to address thermal runaway and other safety hazards. </w:t>
      </w:r>
    </w:p>
    <w:p w14:paraId="23106731" w14:textId="77777777" w:rsidR="00822052" w:rsidRDefault="00822052" w:rsidP="00822052">
      <w:pPr>
        <w:pStyle w:val="NoSpacing"/>
        <w:rPr>
          <w:bCs/>
        </w:rPr>
      </w:pPr>
    </w:p>
    <w:p w14:paraId="475382B7" w14:textId="77777777" w:rsidR="00822052" w:rsidRDefault="00822052" w:rsidP="00822052">
      <w:pPr>
        <w:pStyle w:val="NoSpacing"/>
        <w:rPr>
          <w:bCs/>
        </w:rPr>
      </w:pPr>
    </w:p>
    <w:p w14:paraId="69CA7DFF" w14:textId="77777777" w:rsidR="00822052" w:rsidRDefault="00822052" w:rsidP="00822052">
      <w:pPr>
        <w:pStyle w:val="NoSpacing"/>
        <w:rPr>
          <w:bCs/>
        </w:rPr>
      </w:pPr>
    </w:p>
    <w:p w14:paraId="75E3C56B" w14:textId="77777777" w:rsidR="00822052" w:rsidRDefault="00822052" w:rsidP="00037CB8">
      <w:pPr>
        <w:pStyle w:val="NoSpacing"/>
        <w:rPr>
          <w:rFonts w:ascii="Arial Black" w:hAnsi="Arial Black"/>
          <w:sz w:val="24"/>
          <w:szCs w:val="24"/>
        </w:rPr>
      </w:pPr>
    </w:p>
    <w:p w14:paraId="0543B1FA" w14:textId="77777777" w:rsidR="00387E6C" w:rsidRDefault="00387E6C" w:rsidP="00037CB8">
      <w:pPr>
        <w:pStyle w:val="NoSpacing"/>
        <w:rPr>
          <w:rFonts w:ascii="Arial Black" w:hAnsi="Arial Black"/>
          <w:sz w:val="24"/>
          <w:szCs w:val="24"/>
        </w:rPr>
      </w:pPr>
    </w:p>
    <w:p w14:paraId="1A6044C6" w14:textId="77777777" w:rsidR="00387E6C" w:rsidRDefault="00387E6C" w:rsidP="00037CB8">
      <w:pPr>
        <w:pStyle w:val="NoSpacing"/>
        <w:rPr>
          <w:rFonts w:ascii="Arial Black" w:hAnsi="Arial Black"/>
          <w:sz w:val="24"/>
          <w:szCs w:val="24"/>
        </w:rPr>
      </w:pPr>
    </w:p>
    <w:p w14:paraId="76950E13" w14:textId="77777777" w:rsidR="00387E6C" w:rsidRDefault="00387E6C" w:rsidP="00037CB8">
      <w:pPr>
        <w:pStyle w:val="NoSpacing"/>
        <w:rPr>
          <w:rFonts w:ascii="Arial Black" w:hAnsi="Arial Black"/>
          <w:sz w:val="24"/>
          <w:szCs w:val="24"/>
        </w:rPr>
      </w:pPr>
    </w:p>
    <w:p w14:paraId="62529162" w14:textId="77777777" w:rsidR="00387E6C" w:rsidRDefault="00387E6C" w:rsidP="00037CB8">
      <w:pPr>
        <w:pStyle w:val="NoSpacing"/>
        <w:rPr>
          <w:rFonts w:ascii="Arial Black" w:hAnsi="Arial Black"/>
          <w:sz w:val="24"/>
          <w:szCs w:val="24"/>
        </w:rPr>
      </w:pPr>
    </w:p>
    <w:p w14:paraId="5DD865EA" w14:textId="4F49EE94" w:rsidR="006C4753" w:rsidRDefault="006C4753" w:rsidP="00037CB8">
      <w:pPr>
        <w:pStyle w:val="NoSpacing"/>
        <w:rPr>
          <w:rFonts w:ascii="Arial Black" w:hAnsi="Arial Black"/>
          <w:sz w:val="24"/>
          <w:szCs w:val="24"/>
        </w:rPr>
      </w:pPr>
      <w:r>
        <w:rPr>
          <w:rFonts w:ascii="Arial Black" w:hAnsi="Arial Black"/>
          <w:sz w:val="24"/>
          <w:szCs w:val="24"/>
        </w:rPr>
        <w:t>1-206</w:t>
      </w:r>
    </w:p>
    <w:p w14:paraId="2C398EFF" w14:textId="77777777" w:rsidR="006C4753" w:rsidRDefault="006C4753" w:rsidP="00037CB8">
      <w:pPr>
        <w:pStyle w:val="NoSpacing"/>
        <w:rPr>
          <w:rFonts w:ascii="Arial Black" w:hAnsi="Arial Black"/>
          <w:sz w:val="24"/>
          <w:szCs w:val="24"/>
        </w:rPr>
      </w:pPr>
    </w:p>
    <w:p w14:paraId="1F787486" w14:textId="77777777" w:rsidR="00961DF4" w:rsidRPr="007F62AA" w:rsidRDefault="00961DF4" w:rsidP="00961DF4">
      <w:pPr>
        <w:pStyle w:val="NoSpacing"/>
        <w:rPr>
          <w:rFonts w:ascii="Arial Black" w:hAnsi="Arial Black"/>
          <w:b/>
          <w:sz w:val="28"/>
          <w:szCs w:val="28"/>
        </w:rPr>
      </w:pPr>
      <w:r>
        <w:rPr>
          <w:rFonts w:ascii="Arial Black" w:hAnsi="Arial Black"/>
          <w:b/>
          <w:sz w:val="28"/>
          <w:szCs w:val="28"/>
        </w:rPr>
        <w:t>TX: PUBLIC RECORDS - 19 CHILDREN / 2 TEACHERS KILLED</w:t>
      </w:r>
    </w:p>
    <w:p w14:paraId="6B1AFA8A" w14:textId="77777777" w:rsidR="00961DF4" w:rsidRDefault="00961DF4" w:rsidP="00961DF4">
      <w:pPr>
        <w:pStyle w:val="NoSpacing"/>
        <w:rPr>
          <w:b/>
        </w:rPr>
      </w:pPr>
    </w:p>
    <w:p w14:paraId="050A7360" w14:textId="77777777" w:rsidR="00961DF4" w:rsidRDefault="00961DF4" w:rsidP="00961DF4">
      <w:pPr>
        <w:pStyle w:val="NoSpacing"/>
        <w:rPr>
          <w:bCs/>
        </w:rPr>
      </w:pPr>
      <w:r w:rsidRPr="00BC7AD6">
        <w:lastRenderedPageBreak/>
        <w:t xml:space="preserve">On March 6, 2026, in </w:t>
      </w:r>
      <w:r w:rsidRPr="00BC7AD6">
        <w:rPr>
          <w:u w:val="single"/>
        </w:rPr>
        <w:t>Texas Department of Public Safety, et al. v. Texas Tribune, CBS News; Cable News Network, Inc., et al</w:t>
      </w:r>
      <w:r w:rsidRPr="00BC7AD6">
        <w:t>.</w:t>
      </w:r>
      <w:r>
        <w:t xml:space="preserve">, the Texas </w:t>
      </w:r>
      <w:r w:rsidRPr="008C739B">
        <w:t>Fifteenth Court of Appeals</w:t>
      </w:r>
      <w:r>
        <w:t xml:space="preserve"> held (3 to 0) that the trial court improperly granted summary judgment to news media for access to law enforcement records while District Attorney was actively interviewing witnesses. The prosecutor had filed an affidavit confirming </w:t>
      </w:r>
      <w:r w:rsidRPr="00932725">
        <w:t>that her office will be questioning many witnesses and needs</w:t>
      </w:r>
      <w:r>
        <w:t xml:space="preserve"> </w:t>
      </w:r>
      <w:r w:rsidRPr="00932725">
        <w:t xml:space="preserve">such </w:t>
      </w:r>
      <w:r>
        <w:t>“</w:t>
      </w:r>
      <w:r w:rsidRPr="00932725">
        <w:t>testimony to be uninfluenced by media accounts.</w:t>
      </w:r>
      <w:r>
        <w:t xml:space="preserve">” </w:t>
      </w:r>
    </w:p>
    <w:p w14:paraId="7CF8EB6F" w14:textId="77777777" w:rsidR="00961DF4" w:rsidRDefault="00961DF4" w:rsidP="00961DF4">
      <w:pPr>
        <w:pStyle w:val="NoSpacing"/>
        <w:rPr>
          <w:bCs/>
        </w:rPr>
      </w:pPr>
      <w:hyperlink r:id="rId40" w:history="1">
        <w:r w:rsidRPr="004D13CD">
          <w:rPr>
            <w:rStyle w:val="Hyperlink"/>
          </w:rPr>
          <w:t>https://cases.justia.com/texas/fifteenth-court-of-appeals/2026-15-24-00010-cv.pdf?ts=1772815197</w:t>
        </w:r>
      </w:hyperlink>
      <w:r>
        <w:t xml:space="preserve"> </w:t>
      </w:r>
    </w:p>
    <w:p w14:paraId="746CFF0D" w14:textId="77777777" w:rsidR="00961DF4" w:rsidRDefault="00961DF4" w:rsidP="00961DF4">
      <w:pPr>
        <w:pStyle w:val="NoSpacing"/>
        <w:rPr>
          <w:bCs/>
        </w:rPr>
      </w:pPr>
    </w:p>
    <w:p w14:paraId="14818E23" w14:textId="77777777" w:rsidR="00961DF4" w:rsidRDefault="00961DF4" w:rsidP="00961DF4">
      <w:pPr>
        <w:pStyle w:val="NoSpacing"/>
        <w:rPr>
          <w:bCs/>
        </w:rPr>
      </w:pPr>
      <w:r>
        <w:t>THE COURT HELD:  “</w:t>
      </w:r>
      <w:r w:rsidRPr="009A68DF">
        <w:t>On May 24, 2022, an 18-year-old former student of Robb Elementary in</w:t>
      </w:r>
      <w:r>
        <w:t xml:space="preserve"> </w:t>
      </w:r>
      <w:r w:rsidRPr="009A68DF">
        <w:t>Uvalde shot his grandmother, crashed her truck in a ditch near the school, made his</w:t>
      </w:r>
      <w:r>
        <w:t xml:space="preserve"> </w:t>
      </w:r>
      <w:r w:rsidRPr="009A68DF">
        <w:t>way to the school, and killed twenty-one people and injured seventeen others. Three</w:t>
      </w:r>
      <w:r>
        <w:t xml:space="preserve"> </w:t>
      </w:r>
      <w:r w:rsidRPr="009A68DF">
        <w:t>hundred and seventy-six officers from almost two dozen state, federal, and local law</w:t>
      </w:r>
      <w:r>
        <w:t xml:space="preserve"> </w:t>
      </w:r>
      <w:r w:rsidRPr="009A68DF">
        <w:t>enforcement agencies responded to the shooting, including ninety-one from DPS.</w:t>
      </w:r>
      <w:r>
        <w:t xml:space="preserve"> </w:t>
      </w:r>
      <w:r w:rsidRPr="009A68DF">
        <w:t>Although some arrived within minutes of the gunman, approximately seventy-four</w:t>
      </w:r>
      <w:r>
        <w:t xml:space="preserve"> </w:t>
      </w:r>
      <w:r w:rsidRPr="009A68DF">
        <w:t>minutes elapsed between the time the gunman entered the school and when officers</w:t>
      </w:r>
      <w:r>
        <w:t xml:space="preserve"> </w:t>
      </w:r>
      <w:r w:rsidRPr="009A68DF">
        <w:t>breached the room where he was located and killed him. The loss of life and time it</w:t>
      </w:r>
      <w:r>
        <w:t xml:space="preserve"> </w:t>
      </w:r>
      <w:r w:rsidRPr="009A68DF">
        <w:t>took to neutralize the gunman immediately prompted questions about law</w:t>
      </w:r>
      <w:r>
        <w:t xml:space="preserve"> </w:t>
      </w:r>
      <w:r w:rsidRPr="009A68DF">
        <w:t>enforcement’s response.</w:t>
      </w:r>
    </w:p>
    <w:p w14:paraId="4936844B" w14:textId="77777777" w:rsidR="00961DF4" w:rsidRDefault="00961DF4" w:rsidP="00961DF4">
      <w:pPr>
        <w:pStyle w:val="NoSpacing"/>
        <w:rPr>
          <w:bCs/>
        </w:rPr>
      </w:pPr>
    </w:p>
    <w:p w14:paraId="4B7E1832" w14:textId="77777777" w:rsidR="00961DF4" w:rsidRDefault="00961DF4" w:rsidP="00961DF4">
      <w:pPr>
        <w:pStyle w:val="NoSpacing"/>
        <w:rPr>
          <w:bCs/>
        </w:rPr>
      </w:pPr>
      <w:r>
        <w:t>***</w:t>
      </w:r>
    </w:p>
    <w:p w14:paraId="3F732608" w14:textId="77777777" w:rsidR="00961DF4" w:rsidRDefault="00961DF4" w:rsidP="00961DF4">
      <w:pPr>
        <w:pStyle w:val="NoSpacing"/>
        <w:rPr>
          <w:bCs/>
        </w:rPr>
      </w:pPr>
    </w:p>
    <w:p w14:paraId="3F86E203" w14:textId="77777777" w:rsidR="00961DF4" w:rsidRDefault="00961DF4" w:rsidP="00961DF4">
      <w:pPr>
        <w:pStyle w:val="NoSpacing"/>
        <w:rPr>
          <w:bCs/>
        </w:rPr>
      </w:pPr>
      <w:r>
        <w:t xml:space="preserve">[District Attorney] </w:t>
      </w:r>
      <w:r w:rsidRPr="00932725">
        <w:t>Mitchell opined that her office will be questioning many witnesses and needs</w:t>
      </w:r>
      <w:r>
        <w:t xml:space="preserve"> </w:t>
      </w:r>
      <w:r w:rsidRPr="00932725">
        <w:t xml:space="preserve">such </w:t>
      </w:r>
      <w:r>
        <w:t>‘</w:t>
      </w:r>
      <w:r w:rsidRPr="00932725">
        <w:t>testimony to be uninfluenced by media accounts.</w:t>
      </w:r>
      <w:r>
        <w:t xml:space="preserve">’ </w:t>
      </w:r>
      <w:r w:rsidRPr="00932725">
        <w:t xml:space="preserve"> She alleged that this has</w:t>
      </w:r>
      <w:r>
        <w:t xml:space="preserve"> </w:t>
      </w:r>
      <w:r w:rsidRPr="00932725">
        <w:t xml:space="preserve">already become an issue as one interviewed witness said </w:t>
      </w:r>
      <w:r>
        <w:t>‘</w:t>
      </w:r>
      <w:r w:rsidRPr="00932725">
        <w:t>that they cannot remember</w:t>
      </w:r>
      <w:r>
        <w:t xml:space="preserve"> </w:t>
      </w:r>
      <w:r w:rsidRPr="00932725">
        <w:t xml:space="preserve">if what they are </w:t>
      </w:r>
      <w:proofErr w:type="spellStart"/>
      <w:r w:rsidRPr="00932725">
        <w:t>stating</w:t>
      </w:r>
      <w:proofErr w:type="spellEnd"/>
      <w:r w:rsidRPr="00932725">
        <w:t xml:space="preserve"> to investigators is their individual and personal recollection</w:t>
      </w:r>
      <w:r>
        <w:t xml:space="preserve"> </w:t>
      </w:r>
      <w:r w:rsidRPr="00932725">
        <w:t>from the event or from events reported by and in the media.</w:t>
      </w:r>
      <w:r>
        <w:t>’</w:t>
      </w:r>
      <w:r w:rsidRPr="00932725">
        <w:t xml:space="preserve"> At bottom, Mitchell</w:t>
      </w:r>
      <w:r>
        <w:t xml:space="preserve"> </w:t>
      </w:r>
      <w:r w:rsidRPr="00932725">
        <w:t xml:space="preserve">opined that disclosing the information </w:t>
      </w:r>
      <w:r>
        <w:t>‘</w:t>
      </w:r>
      <w:r w:rsidRPr="00932725">
        <w:t>would ultimately leave [her] office, the</w:t>
      </w:r>
      <w:r>
        <w:t xml:space="preserve"> </w:t>
      </w:r>
      <w:r w:rsidRPr="00932725">
        <w:t>families of the deceased and injured children, the other victims, and the overall</w:t>
      </w:r>
      <w:r>
        <w:t xml:space="preserve"> </w:t>
      </w:r>
      <w:r w:rsidRPr="00932725">
        <w:t>Uvalde community with an investigation for which a valid prosecution could not be</w:t>
      </w:r>
      <w:r>
        <w:t xml:space="preserve"> </w:t>
      </w:r>
      <w:proofErr w:type="gramStart"/>
      <w:r w:rsidRPr="00932725">
        <w:t>dependent.</w:t>
      </w:r>
      <w:r>
        <w:t>’</w:t>
      </w:r>
      <w:proofErr w:type="gramEnd"/>
    </w:p>
    <w:p w14:paraId="34997684" w14:textId="77777777" w:rsidR="00961DF4" w:rsidRDefault="00961DF4" w:rsidP="00961DF4">
      <w:pPr>
        <w:pStyle w:val="NoSpacing"/>
        <w:rPr>
          <w:bCs/>
        </w:rPr>
      </w:pPr>
    </w:p>
    <w:p w14:paraId="7E646F3B" w14:textId="77777777" w:rsidR="00961DF4" w:rsidRDefault="00961DF4" w:rsidP="00961DF4">
      <w:pPr>
        <w:pStyle w:val="NoSpacing"/>
        <w:rPr>
          <w:bCs/>
        </w:rPr>
      </w:pPr>
      <w:r>
        <w:t>***</w:t>
      </w:r>
    </w:p>
    <w:p w14:paraId="6E0C1CFF" w14:textId="77777777" w:rsidR="00961DF4" w:rsidRDefault="00961DF4" w:rsidP="00961DF4">
      <w:pPr>
        <w:pStyle w:val="NoSpacing"/>
        <w:rPr>
          <w:bCs/>
        </w:rPr>
      </w:pPr>
    </w:p>
    <w:p w14:paraId="61C1587F" w14:textId="77777777" w:rsidR="00961DF4" w:rsidRDefault="00961DF4" w:rsidP="00961DF4">
      <w:pPr>
        <w:pStyle w:val="NoSpacing"/>
        <w:rPr>
          <w:bCs/>
        </w:rPr>
      </w:pPr>
    </w:p>
    <w:p w14:paraId="516CF5B3" w14:textId="77777777" w:rsidR="00961DF4" w:rsidRDefault="00961DF4" w:rsidP="00961DF4">
      <w:pPr>
        <w:pStyle w:val="NoSpacing"/>
        <w:rPr>
          <w:bCs/>
        </w:rPr>
      </w:pPr>
      <w:r>
        <w:t>[W]</w:t>
      </w:r>
      <w:proofErr w:type="gramStart"/>
      <w:r w:rsidRPr="00D15E6B">
        <w:t>e</w:t>
      </w:r>
      <w:r>
        <w:t xml:space="preserve"> </w:t>
      </w:r>
      <w:r w:rsidRPr="00D15E6B">
        <w:t>hold</w:t>
      </w:r>
      <w:proofErr w:type="gramEnd"/>
      <w:r w:rsidRPr="00D15E6B">
        <w:t xml:space="preserve"> that DPS carried its burden of supplying more than a mere </w:t>
      </w:r>
      <w:proofErr w:type="gramStart"/>
      <w:r w:rsidRPr="00D15E6B">
        <w:t>scintilla</w:t>
      </w:r>
      <w:proofErr w:type="gramEnd"/>
      <w:r w:rsidRPr="00D15E6B">
        <w:t xml:space="preserve"> of evidence</w:t>
      </w:r>
      <w:r>
        <w:t xml:space="preserve"> </w:t>
      </w:r>
      <w:r w:rsidRPr="00D15E6B">
        <w:t>to support the law enforcement’s exception’s application. Significantly, we do not</w:t>
      </w:r>
      <w:r>
        <w:t xml:space="preserve"> </w:t>
      </w:r>
      <w:r w:rsidRPr="00D15E6B">
        <w:t>hold that each file and video clip contained in the massive volume of responsive</w:t>
      </w:r>
      <w:r>
        <w:t xml:space="preserve"> </w:t>
      </w:r>
      <w:r w:rsidRPr="00D15E6B">
        <w:t>information is forever shielded from public view. Rather, we conclude that DPS</w:t>
      </w:r>
      <w:r>
        <w:t xml:space="preserve"> </w:t>
      </w:r>
      <w:r w:rsidRPr="00D15E6B">
        <w:t>cleared the bar of defeating a summary judgment with respect to the responsive</w:t>
      </w:r>
      <w:r>
        <w:t xml:space="preserve"> </w:t>
      </w:r>
      <w:r w:rsidRPr="00D15E6B">
        <w:t>information and is entitled to proceed to a trial. At trial, DPS will bear the burden of</w:t>
      </w:r>
      <w:r>
        <w:t xml:space="preserve"> </w:t>
      </w:r>
      <w:r w:rsidRPr="00D15E6B">
        <w:t>proving that the information sought qualifies for the law enforcement exception to</w:t>
      </w:r>
      <w:r>
        <w:t xml:space="preserve"> </w:t>
      </w:r>
      <w:r w:rsidRPr="00D15E6B">
        <w:t>disclosure. But that was not DPS’s burden at this early juncture.</w:t>
      </w:r>
      <w:r>
        <w:t>:</w:t>
      </w:r>
    </w:p>
    <w:p w14:paraId="5C1AADA4" w14:textId="77777777" w:rsidR="00961DF4" w:rsidRDefault="00961DF4" w:rsidP="00961DF4">
      <w:pPr>
        <w:pStyle w:val="NoSpacing"/>
        <w:rPr>
          <w:bCs/>
        </w:rPr>
      </w:pPr>
    </w:p>
    <w:p w14:paraId="06844FB6" w14:textId="77777777" w:rsidR="00961DF4" w:rsidRPr="002C6D76" w:rsidRDefault="00961DF4" w:rsidP="00961DF4">
      <w:pPr>
        <w:pStyle w:val="NoSpacing"/>
        <w:rPr>
          <w:b/>
        </w:rPr>
      </w:pPr>
      <w:r>
        <w:rPr>
          <w:b/>
        </w:rPr>
        <w:t xml:space="preserve">Legal lesson learned: Public records requests must be balanced against the need for investigators to interview witnesses without being influenced by the media. </w:t>
      </w:r>
    </w:p>
    <w:p w14:paraId="54C18782" w14:textId="77777777" w:rsidR="00961DF4" w:rsidRDefault="00961DF4" w:rsidP="00037CB8">
      <w:pPr>
        <w:pStyle w:val="NoSpacing"/>
        <w:rPr>
          <w:rFonts w:ascii="Arial Black" w:hAnsi="Arial Black"/>
          <w:sz w:val="24"/>
          <w:szCs w:val="24"/>
        </w:rPr>
      </w:pPr>
    </w:p>
    <w:p w14:paraId="66E60D30" w14:textId="77777777" w:rsidR="006C4753" w:rsidRDefault="006C4753" w:rsidP="00037CB8">
      <w:pPr>
        <w:pStyle w:val="NoSpacing"/>
        <w:rPr>
          <w:rFonts w:ascii="Arial Black" w:hAnsi="Arial Black"/>
          <w:sz w:val="24"/>
          <w:szCs w:val="24"/>
        </w:rPr>
      </w:pPr>
    </w:p>
    <w:p w14:paraId="44C9B4F5" w14:textId="77777777" w:rsidR="006C4753" w:rsidRDefault="006C4753" w:rsidP="00037CB8">
      <w:pPr>
        <w:pStyle w:val="NoSpacing"/>
        <w:rPr>
          <w:rFonts w:ascii="Arial Black" w:hAnsi="Arial Black"/>
          <w:sz w:val="24"/>
          <w:szCs w:val="24"/>
        </w:rPr>
      </w:pPr>
    </w:p>
    <w:p w14:paraId="76BADCF2" w14:textId="2294E2B3" w:rsidR="007A0B60" w:rsidRDefault="007A0B60" w:rsidP="00037CB8">
      <w:pPr>
        <w:pStyle w:val="NoSpacing"/>
        <w:rPr>
          <w:rFonts w:ascii="Arial Black" w:hAnsi="Arial Black"/>
          <w:sz w:val="24"/>
          <w:szCs w:val="24"/>
        </w:rPr>
      </w:pPr>
      <w:r>
        <w:rPr>
          <w:rFonts w:ascii="Arial Black" w:hAnsi="Arial Black"/>
          <w:sz w:val="24"/>
          <w:szCs w:val="24"/>
        </w:rPr>
        <w:t>1-205</w:t>
      </w:r>
    </w:p>
    <w:p w14:paraId="34826ACD" w14:textId="77777777" w:rsidR="007A0B60" w:rsidRDefault="007A0B60" w:rsidP="00037CB8">
      <w:pPr>
        <w:pStyle w:val="NoSpacing"/>
        <w:rPr>
          <w:rFonts w:ascii="Arial Black" w:hAnsi="Arial Black"/>
          <w:sz w:val="24"/>
          <w:szCs w:val="24"/>
        </w:rPr>
      </w:pPr>
    </w:p>
    <w:p w14:paraId="11A11520" w14:textId="77777777" w:rsidR="007A0B60" w:rsidRPr="007076A7" w:rsidRDefault="007A0B60" w:rsidP="007A0B60">
      <w:pPr>
        <w:pStyle w:val="NoSpacing"/>
        <w:rPr>
          <w:rFonts w:ascii="Arial Black" w:hAnsi="Arial Black"/>
          <w:b/>
          <w:sz w:val="28"/>
          <w:szCs w:val="28"/>
        </w:rPr>
      </w:pPr>
      <w:r>
        <w:rPr>
          <w:rFonts w:ascii="Arial Black" w:hAnsi="Arial Black"/>
          <w:b/>
          <w:sz w:val="28"/>
          <w:szCs w:val="28"/>
        </w:rPr>
        <w:t>CA: ARSON / MJ GROW IN BLDG / CITY KNEW - IMMUNITY</w:t>
      </w:r>
    </w:p>
    <w:p w14:paraId="6BB4154F" w14:textId="77777777" w:rsidR="007A0B60" w:rsidRDefault="007A0B60" w:rsidP="007A0B60">
      <w:pPr>
        <w:pStyle w:val="NoSpacing"/>
        <w:rPr>
          <w:bCs/>
        </w:rPr>
      </w:pPr>
    </w:p>
    <w:p w14:paraId="76A269BD" w14:textId="77777777" w:rsidR="007A0B60" w:rsidRPr="00867718" w:rsidRDefault="007A0B60" w:rsidP="007A0B60">
      <w:pPr>
        <w:pStyle w:val="NoSpacing"/>
      </w:pPr>
      <w:r>
        <w:t xml:space="preserve">On February 24, 2026, in </w:t>
      </w:r>
      <w:r w:rsidRPr="004C7E3E">
        <w:rPr>
          <w:u w:val="single"/>
        </w:rPr>
        <w:t xml:space="preserve">Pink </w:t>
      </w:r>
      <w:proofErr w:type="spellStart"/>
      <w:r w:rsidRPr="004C7E3E">
        <w:rPr>
          <w:u w:val="single"/>
        </w:rPr>
        <w:t>Selkin</w:t>
      </w:r>
      <w:proofErr w:type="spellEnd"/>
      <w:r w:rsidRPr="004C7E3E">
        <w:rPr>
          <w:u w:val="single"/>
        </w:rPr>
        <w:t>, et al. v. City of Los Angeles</w:t>
      </w:r>
      <w:r>
        <w:t xml:space="preserve">, the </w:t>
      </w:r>
      <w:r w:rsidRPr="004C7E3E">
        <w:t>California Court of Appeals, Second District, Fifth Division</w:t>
      </w:r>
      <w:r>
        <w:t xml:space="preserve"> held (3 to 0) that trial court properly dismissed the lawsuit be individuals living in the commercial building who were injured in the arson fire.  While police on prior occasions observed safety issues in the building, and </w:t>
      </w:r>
      <w:r w:rsidRPr="00E864A2">
        <w:t xml:space="preserve">the fire department received two customer service requests regarding an alleged marijuana grow operation at the property, </w:t>
      </w:r>
      <w:r>
        <w:t>which were forwarded t</w:t>
      </w:r>
      <w:r w:rsidRPr="00E864A2">
        <w:t>o the Los Angeles Department of Building and Safety (DBS)</w:t>
      </w:r>
      <w:r>
        <w:t xml:space="preserve">, there is governmental immunity for the </w:t>
      </w:r>
      <w:r w:rsidRPr="00F126CC">
        <w:t>City of Los Angeles under the Government Claims Act under section 815.6, based on its failure to carry out a mandatory duty to abate obvious building and safety code violations.</w:t>
      </w:r>
      <w:r>
        <w:t xml:space="preserve">  </w:t>
      </w:r>
      <w:hyperlink r:id="rId41" w:history="1">
        <w:r w:rsidRPr="00867718">
          <w:rPr>
            <w:rStyle w:val="Hyperlink"/>
          </w:rPr>
          <w:t>https://public.fastcase.com/Jhe1Qn%2BmJndQYQU6z%2FeNm57E189vmSMp%2BOS67ay8wFWitKPcCGY4GMdxJS93bY4</w:t>
        </w:r>
        <w:r w:rsidRPr="00867718">
          <w:rPr>
            <w:rStyle w:val="Hyperlink"/>
          </w:rPr>
          <w:lastRenderedPageBreak/>
          <w:t>IOZ1rR%2BpqLAwnmO1MhhKsFw8mOzyCAgo2oZ0ZZPsNViU%3D?utm_medium=email&amp;_hsenc=p2ANqtz-_RDDEsF8WYWrAIUyd_V4g0U3Z9WIVpc4wUXBmJG03XH_ukvjIDW01jf2KlbNNNJy_jYwJIbAOIzBm1vMJk5QjVjhiSog&amp;_hsmi=226712652&amp;utm_content=226712652&amp;utm_source=hs_email</w:t>
        </w:r>
      </w:hyperlink>
      <w:r w:rsidRPr="00867718">
        <w:t xml:space="preserve"> </w:t>
      </w:r>
    </w:p>
    <w:p w14:paraId="4FBF632E" w14:textId="77777777" w:rsidR="007A0B60" w:rsidRDefault="007A0B60" w:rsidP="007A0B60">
      <w:pPr>
        <w:pStyle w:val="NoSpacing"/>
      </w:pPr>
    </w:p>
    <w:p w14:paraId="7C4CCEB9" w14:textId="77777777" w:rsidR="007A0B60" w:rsidRPr="00E864A2" w:rsidRDefault="007A0B60" w:rsidP="007A0B60">
      <w:pPr>
        <w:pStyle w:val="NoSpacing"/>
      </w:pPr>
      <w:r>
        <w:t>THE COURT HELD: “</w:t>
      </w:r>
      <w:r w:rsidRPr="009913E2">
        <w:t xml:space="preserve">This case arises from an arson fire at a commercial building in Los Angeles which killed two individuals. The survivors of the deceased filed several suits against the </w:t>
      </w:r>
      <w:proofErr w:type="gramStart"/>
      <w:r w:rsidRPr="009913E2">
        <w:t>City</w:t>
      </w:r>
      <w:proofErr w:type="gramEnd"/>
      <w:r w:rsidRPr="009913E2">
        <w:t xml:space="preserve">. Pink </w:t>
      </w:r>
      <w:proofErr w:type="spellStart"/>
      <w:r w:rsidRPr="009913E2">
        <w:t>Selkin</w:t>
      </w:r>
      <w:proofErr w:type="spellEnd"/>
      <w:r w:rsidRPr="009913E2">
        <w:t xml:space="preserve">, who was also trapped in the fire and survived, filed a separate suit, seeking damages for her permanent injuries, including severe burns over more than three-quarters of her body. </w:t>
      </w:r>
      <w:r>
        <w:t xml:space="preserve"> </w:t>
      </w:r>
      <w:r w:rsidRPr="009913E2">
        <w:t>Plaintiffs' theory of liability is that because City employees had actual knowledge of obvious fire safety hazards, the City had a mandatory duty to ensure that the substandard conditions were addressed, and because the City's knowledge was not in any way related to a building inspection, the inspection immunity statute does not protect the City from liability for its failure to fulfill its mandatory duties</w:t>
      </w:r>
      <w:r>
        <w:t xml:space="preserve">…. </w:t>
      </w:r>
      <w:r w:rsidRPr="00E864A2">
        <w:t>A</w:t>
      </w:r>
      <w:r>
        <w:t xml:space="preserve"> </w:t>
      </w:r>
      <w:r w:rsidRPr="00E864A2">
        <w:t xml:space="preserve"> DBS </w:t>
      </w:r>
      <w:r>
        <w:t>[</w:t>
      </w:r>
      <w:r w:rsidRPr="00E864A2">
        <w:t>Department of Building and Safety</w:t>
      </w:r>
      <w:r>
        <w:t>]</w:t>
      </w:r>
      <w:r w:rsidRPr="00E864A2">
        <w:t xml:space="preserve"> staff member testified that DBS is not trained in matters concerning unlawful growing of marijuana, however, and therefore DBS forwarded the requests to the police department.</w:t>
      </w:r>
      <w:r w:rsidRPr="00E864A2">
        <w:rPr>
          <w:vertAlign w:val="superscript"/>
        </w:rPr>
        <w:t>[</w:t>
      </w:r>
      <w:hyperlink r:id="rId42" w:anchor="ftn.FN3" w:history="1">
        <w:r w:rsidRPr="00E864A2">
          <w:rPr>
            <w:rStyle w:val="Hyperlink"/>
            <w:vertAlign w:val="superscript"/>
          </w:rPr>
          <w:t>3</w:t>
        </w:r>
      </w:hyperlink>
      <w:r w:rsidRPr="00E864A2">
        <w:rPr>
          <w:vertAlign w:val="superscript"/>
        </w:rPr>
        <w:t>]</w:t>
      </w:r>
    </w:p>
    <w:p w14:paraId="29A38871" w14:textId="77777777" w:rsidR="007A0B60" w:rsidRDefault="007A0B60" w:rsidP="007A0B60">
      <w:pPr>
        <w:pStyle w:val="NoSpacing"/>
      </w:pPr>
    </w:p>
    <w:p w14:paraId="01B62CFF" w14:textId="77777777" w:rsidR="007A0B60" w:rsidRDefault="007A0B60" w:rsidP="007A0B60">
      <w:pPr>
        <w:pStyle w:val="NoSpacing"/>
        <w:ind w:left="720"/>
        <w:rPr>
          <w:bCs/>
        </w:rPr>
      </w:pPr>
      <w:r>
        <w:t xml:space="preserve">Footnote 3: </w:t>
      </w:r>
      <w:r w:rsidRPr="00545AD8">
        <w:t>Based upon the appellate briefing and the trial court's minute order, we understand that no party presented evidence that any DBS personnel inspected the property or personally observed any substandard conditions of the property.</w:t>
      </w:r>
    </w:p>
    <w:p w14:paraId="44E8F33A" w14:textId="77777777" w:rsidR="007A0B60" w:rsidRDefault="007A0B60" w:rsidP="007A0B60">
      <w:pPr>
        <w:pStyle w:val="NoSpacing"/>
      </w:pPr>
    </w:p>
    <w:p w14:paraId="37C7C194" w14:textId="77777777" w:rsidR="007A0B60" w:rsidRDefault="007A0B60" w:rsidP="007A0B60">
      <w:pPr>
        <w:pStyle w:val="NoSpacing"/>
      </w:pPr>
      <w:r w:rsidRPr="00BB5BC7">
        <w:t xml:space="preserve">However, </w:t>
      </w:r>
      <w:r>
        <w:t xml:space="preserve">[Government Code] </w:t>
      </w:r>
      <w:r w:rsidRPr="00BB5BC7">
        <w:t xml:space="preserve">section 818.6 provides a specific statutory immunity for inspections: </w:t>
      </w:r>
      <w:r>
        <w:t>‘</w:t>
      </w:r>
      <w:r w:rsidRPr="00BB5BC7">
        <w:t>A public entity is not liable for injury caused by its failure to make an inspection, or by reason of making an inadequate or negligent inspection . . . for the purpose of determining whether the property complies with or violates any enactment or contains or constitutes a hazard to health or safety.</w:t>
      </w:r>
      <w:r>
        <w:t>’”</w:t>
      </w:r>
    </w:p>
    <w:p w14:paraId="055A1C84" w14:textId="77777777" w:rsidR="007A0B60" w:rsidRDefault="007A0B60" w:rsidP="007A0B60">
      <w:pPr>
        <w:pStyle w:val="NoSpacing"/>
      </w:pPr>
    </w:p>
    <w:p w14:paraId="6D04ADF2" w14:textId="77777777" w:rsidR="007A0B60" w:rsidRPr="00CC7E78" w:rsidRDefault="007A0B60" w:rsidP="007A0B60">
      <w:pPr>
        <w:pStyle w:val="NoSpacing"/>
        <w:rPr>
          <w:b/>
          <w:bCs/>
        </w:rPr>
      </w:pPr>
      <w:r>
        <w:rPr>
          <w:b/>
        </w:rPr>
        <w:t xml:space="preserve">Legal lesson learned: There is broad statutory immunity for failure to inspect, or apparently also for failure to follow up.  </w:t>
      </w:r>
      <w:r w:rsidRPr="00CC7E78">
        <w:rPr>
          <w:b/>
        </w:rPr>
        <w:t xml:space="preserve">LA’s </w:t>
      </w:r>
      <w:r w:rsidRPr="00E864A2">
        <w:rPr>
          <w:b/>
        </w:rPr>
        <w:t>Department of Building and Safety</w:t>
      </w:r>
      <w:r>
        <w:rPr>
          <w:b/>
        </w:rPr>
        <w:t xml:space="preserve"> needs a protocol on handling calls for marijuana growth operations in buildings. </w:t>
      </w:r>
    </w:p>
    <w:p w14:paraId="67920D61" w14:textId="77777777" w:rsidR="007A0B60" w:rsidRDefault="007A0B60" w:rsidP="007A0B60">
      <w:pPr>
        <w:pStyle w:val="NoSpacing"/>
      </w:pPr>
    </w:p>
    <w:p w14:paraId="07D8EE6A" w14:textId="77777777" w:rsidR="007A0B60" w:rsidRDefault="007A0B60" w:rsidP="00037CB8">
      <w:pPr>
        <w:pStyle w:val="NoSpacing"/>
        <w:rPr>
          <w:rFonts w:ascii="Arial Black" w:hAnsi="Arial Black"/>
          <w:sz w:val="24"/>
          <w:szCs w:val="24"/>
        </w:rPr>
      </w:pPr>
    </w:p>
    <w:p w14:paraId="3A992096" w14:textId="77777777" w:rsidR="00E5401A" w:rsidRDefault="00E5401A" w:rsidP="00037CB8">
      <w:pPr>
        <w:pStyle w:val="NoSpacing"/>
        <w:rPr>
          <w:rFonts w:ascii="Arial Black" w:hAnsi="Arial Black"/>
          <w:sz w:val="24"/>
          <w:szCs w:val="24"/>
        </w:rPr>
      </w:pPr>
    </w:p>
    <w:p w14:paraId="22D9E2B8" w14:textId="664D3078" w:rsidR="00E5401A" w:rsidRDefault="00E5401A" w:rsidP="00037CB8">
      <w:pPr>
        <w:pStyle w:val="NoSpacing"/>
        <w:rPr>
          <w:rFonts w:ascii="Arial Black" w:hAnsi="Arial Black"/>
          <w:sz w:val="24"/>
          <w:szCs w:val="24"/>
        </w:rPr>
      </w:pPr>
      <w:r>
        <w:rPr>
          <w:rFonts w:ascii="Arial Black" w:hAnsi="Arial Black"/>
          <w:sz w:val="24"/>
          <w:szCs w:val="24"/>
        </w:rPr>
        <w:t>1-20</w:t>
      </w:r>
      <w:r w:rsidR="00345B75">
        <w:rPr>
          <w:rFonts w:ascii="Arial Black" w:hAnsi="Arial Black"/>
          <w:sz w:val="24"/>
          <w:szCs w:val="24"/>
        </w:rPr>
        <w:t>4</w:t>
      </w:r>
    </w:p>
    <w:p w14:paraId="2CF5CB94" w14:textId="77777777" w:rsidR="00345B75" w:rsidRDefault="00345B75" w:rsidP="00037CB8">
      <w:pPr>
        <w:pStyle w:val="NoSpacing"/>
        <w:rPr>
          <w:rFonts w:ascii="Arial Black" w:hAnsi="Arial Black"/>
          <w:sz w:val="24"/>
          <w:szCs w:val="24"/>
        </w:rPr>
      </w:pPr>
    </w:p>
    <w:p w14:paraId="7D6B2F26" w14:textId="77777777" w:rsidR="00345B75" w:rsidRDefault="00345B75" w:rsidP="00345B75">
      <w:pPr>
        <w:pStyle w:val="NoSpacing"/>
        <w:rPr>
          <w:rFonts w:ascii="Arial Black" w:hAnsi="Arial Black"/>
          <w:bCs/>
          <w:sz w:val="28"/>
          <w:szCs w:val="28"/>
        </w:rPr>
      </w:pPr>
      <w:r>
        <w:rPr>
          <w:rFonts w:ascii="Arial Black" w:hAnsi="Arial Black"/>
          <w:sz w:val="28"/>
          <w:szCs w:val="28"/>
        </w:rPr>
        <w:t>CA: ARSON FOREST - DROUGHT / “BEETLE” – RE-SENTENCE</w:t>
      </w:r>
    </w:p>
    <w:p w14:paraId="13FCCB3B" w14:textId="77777777" w:rsidR="00345B75" w:rsidRDefault="00345B75" w:rsidP="00345B75">
      <w:pPr>
        <w:pStyle w:val="NoSpacing"/>
        <w:rPr>
          <w:rFonts w:ascii="Arial Black" w:hAnsi="Arial Black"/>
          <w:bCs/>
          <w:sz w:val="28"/>
          <w:szCs w:val="28"/>
        </w:rPr>
      </w:pPr>
    </w:p>
    <w:p w14:paraId="640D44D0" w14:textId="77777777" w:rsidR="00345B75" w:rsidRDefault="00345B75" w:rsidP="00345B75">
      <w:pPr>
        <w:pStyle w:val="NoSpacing"/>
      </w:pPr>
      <w:r>
        <w:t xml:space="preserve">On February 17, 2026, in </w:t>
      </w:r>
      <w:r w:rsidRPr="00731068">
        <w:rPr>
          <w:u w:val="single"/>
        </w:rPr>
        <w:t>The People v. Derek J. Gutierrez</w:t>
      </w:r>
      <w:r>
        <w:t xml:space="preserve">, the California </w:t>
      </w:r>
      <w:r w:rsidRPr="00731068">
        <w:t>Court of Appeal, Fourth District, Division 1</w:t>
      </w:r>
      <w:r>
        <w:t xml:space="preserve"> held (3 to 0) that the trial court must resentence him; he received an enhanced prison term for setting fire to a forest during a declared state of emergency (drought caused beetle infestation filling millions of trees). </w:t>
      </w:r>
      <w:r w:rsidRPr="00CE6B93">
        <w:t xml:space="preserve">A jury convicted him of felony arson of forest land and found </w:t>
      </w:r>
      <w:proofErr w:type="gramStart"/>
      <w:r w:rsidRPr="00CE6B93">
        <w:t>true a</w:t>
      </w:r>
      <w:proofErr w:type="gramEnd"/>
      <w:r w:rsidRPr="00CE6B93">
        <w:t xml:space="preserve"> sentencing enhancement allegation that he set the fire "during and within an area" proclaimed by the Governor to be in a state of emergency. (Pen. Code, § 454, subd. (a)(2).) The enhancement elevates the sentencing triad for this type of arson by five, seven, or nine years.</w:t>
      </w:r>
      <w:r>
        <w:t xml:space="preserve"> However, the prosecutor failed to prove to the jury that the 2015 </w:t>
      </w:r>
      <w:r w:rsidRPr="00290677">
        <w:t xml:space="preserve">state of emergency </w:t>
      </w:r>
      <w:r>
        <w:t xml:space="preserve">applied to Riverside County when in December 2023 </w:t>
      </w:r>
      <w:r w:rsidRPr="003E03D1">
        <w:t>Derek J. Gutierrez was arrested for setting a fire</w:t>
      </w:r>
      <w:r>
        <w:t xml:space="preserve">.  </w:t>
      </w:r>
      <w:hyperlink r:id="rId43" w:history="1">
        <w:r w:rsidRPr="00125CD1">
          <w:rPr>
            <w:rStyle w:val="Hyperlink"/>
          </w:rPr>
          <w:t>https://www.casemine.com/judgement/us/6995c147d22bd43f3d89db5b</w:t>
        </w:r>
      </w:hyperlink>
      <w:r>
        <w:t xml:space="preserve"> </w:t>
      </w:r>
    </w:p>
    <w:p w14:paraId="6C15CA1C" w14:textId="77777777" w:rsidR="00345B75" w:rsidRDefault="00345B75" w:rsidP="00345B75">
      <w:pPr>
        <w:pStyle w:val="NoSpacing"/>
      </w:pPr>
    </w:p>
    <w:p w14:paraId="1AF77941" w14:textId="77777777" w:rsidR="00345B75" w:rsidRDefault="00345B75" w:rsidP="00345B75">
      <w:pPr>
        <w:pStyle w:val="NoSpacing"/>
      </w:pPr>
      <w:r>
        <w:t>THE COURT HELD:  “</w:t>
      </w:r>
      <w:r w:rsidRPr="003F7FB0">
        <w:t xml:space="preserve">On December 9, 2023, around 6:30 a.m., </w:t>
      </w:r>
      <w:r>
        <w:t xml:space="preserve">[property owner] </w:t>
      </w:r>
      <w:r w:rsidRPr="003F7FB0">
        <w:t xml:space="preserve">Jorge heard </w:t>
      </w:r>
      <w:r>
        <w:t>‘</w:t>
      </w:r>
      <w:r w:rsidRPr="003F7FB0">
        <w:t>yelling and screaming</w:t>
      </w:r>
      <w:r>
        <w:t>’</w:t>
      </w:r>
      <w:r w:rsidRPr="003F7FB0">
        <w:t xml:space="preserve"> outside. He drove up the hill to investigate. He stopped the truck near some bushes about halfway between his house and the mountains.</w:t>
      </w:r>
      <w:r>
        <w:t xml:space="preserve"> </w:t>
      </w:r>
      <w:r w:rsidRPr="007E21E1">
        <w:t>Gutierrez came out of the bushes wearing a backpack. He was about 100 or 200 feet from Jorge. Jorge recognized him because, about a year earlier, he had seen the owner of the property tell Gutierrez to leave the property and never come back.</w:t>
      </w:r>
      <w:r>
        <w:t xml:space="preserve"> </w:t>
      </w:r>
      <w:r w:rsidRPr="007E21E1">
        <w:t xml:space="preserve">Jorge asked Gutierrez what he was doing, and Gutierrez asked him for a beer. Jorge took a photograph of Gutierrez and told him he had no beer. Gutierrez went back into the bushes, and Jorge could no longer see him. A few minutes later, Jorge saw smoke coming from the bushes. He called the property owner, then 911. While Jorge was on the phone reporting the smoke to the 911 dispatcher, Gutierrez began walking down the hill while </w:t>
      </w:r>
      <w:r>
        <w:t>‘</w:t>
      </w:r>
      <w:proofErr w:type="gramStart"/>
      <w:r w:rsidRPr="007E21E1">
        <w:t>yelling, and</w:t>
      </w:r>
      <w:proofErr w:type="gramEnd"/>
      <w:r w:rsidRPr="007E21E1">
        <w:t xml:space="preserve"> saying something.</w:t>
      </w:r>
      <w:r>
        <w:t xml:space="preserve">’ </w:t>
      </w:r>
      <w:r w:rsidRPr="00C17AFF">
        <w:t xml:space="preserve">Firefighters from the Riverside County Fire Department arrived within 15 to 20 minutes. A fire </w:t>
      </w:r>
      <w:r w:rsidRPr="00C17AFF">
        <w:lastRenderedPageBreak/>
        <w:t>captain noticed smoke as he approached. He saw a person standing near the location of the smoke. The person started walking down the hill through the forest toward Lakeland Village. The captain later identified the person as Gutierrez</w:t>
      </w:r>
      <w:r>
        <w:t xml:space="preserve">…. </w:t>
      </w:r>
      <w:r w:rsidRPr="003463CD">
        <w:t>The fire investigator headed back to where he had seen Gutierrez and found him walking on Grand Avenue about a mile from the location of the fire. He arrested him and patted him down for weapons. According to the investigator, Gutierrez physically resisted when he tried to handcuff him. The investigator called for backup and eventually managed to place Gutierrez in the back of his CAL FIRE truck.</w:t>
      </w:r>
      <w:r>
        <w:t xml:space="preserve"> </w:t>
      </w:r>
      <w:r w:rsidRPr="0024559A">
        <w:t xml:space="preserve">The fire investigator found two lighters in Gutierrez's pocket and three lighters in his backpack and grocery bag. One of the lighters was a "small butane lighter" that was out of fuel. </w:t>
      </w:r>
      <w:r>
        <w:t xml:space="preserve">*** </w:t>
      </w:r>
      <w:r w:rsidRPr="000F17F2">
        <w:t>We agree with Gutierrez that this language in the proclamation does not declare a statewide state of emergency, but rather expressly limits the state of emergency to areas and zones of the state that were yet to be identified. Because the proclamation did not extend statewide, the People failed to prove Gutierrez committed arson during and within an area in a state of emergency.</w:t>
      </w:r>
      <w:r>
        <w:t>”</w:t>
      </w:r>
    </w:p>
    <w:p w14:paraId="22F36771" w14:textId="77777777" w:rsidR="00345B75" w:rsidRDefault="00345B75" w:rsidP="00345B75">
      <w:pPr>
        <w:pStyle w:val="NoSpacing"/>
      </w:pPr>
    </w:p>
    <w:p w14:paraId="5EB268CB" w14:textId="6ED40FB2" w:rsidR="00345B75" w:rsidRDefault="00345B75" w:rsidP="00345B75">
      <w:pPr>
        <w:pStyle w:val="NoSpacing"/>
        <w:rPr>
          <w:rFonts w:ascii="Arial Black" w:hAnsi="Arial Black"/>
          <w:sz w:val="24"/>
          <w:szCs w:val="24"/>
        </w:rPr>
      </w:pPr>
      <w:r w:rsidRPr="001C250F">
        <w:rPr>
          <w:b/>
        </w:rPr>
        <w:t xml:space="preserve">Legal lesson learned: </w:t>
      </w:r>
      <w:r>
        <w:rPr>
          <w:b/>
        </w:rPr>
        <w:t>The defendant remains convicted of arson but must be re-sentenced</w:t>
      </w:r>
    </w:p>
    <w:p w14:paraId="28F3464D" w14:textId="77777777" w:rsidR="007A0B60" w:rsidRDefault="007A0B60" w:rsidP="00037CB8">
      <w:pPr>
        <w:pStyle w:val="NoSpacing"/>
        <w:rPr>
          <w:rFonts w:ascii="Arial Black" w:hAnsi="Arial Black"/>
          <w:sz w:val="24"/>
          <w:szCs w:val="24"/>
        </w:rPr>
      </w:pPr>
    </w:p>
    <w:p w14:paraId="0D27CD36" w14:textId="77777777" w:rsidR="007A0B60" w:rsidRDefault="007A0B60" w:rsidP="00037CB8">
      <w:pPr>
        <w:pStyle w:val="NoSpacing"/>
        <w:rPr>
          <w:rFonts w:ascii="Arial Black" w:hAnsi="Arial Black"/>
          <w:sz w:val="24"/>
          <w:szCs w:val="24"/>
        </w:rPr>
      </w:pPr>
    </w:p>
    <w:p w14:paraId="33FCA000" w14:textId="77777777" w:rsidR="007A0B60" w:rsidRDefault="007A0B60" w:rsidP="00037CB8">
      <w:pPr>
        <w:pStyle w:val="NoSpacing"/>
        <w:rPr>
          <w:rFonts w:ascii="Arial Black" w:hAnsi="Arial Black"/>
          <w:sz w:val="24"/>
          <w:szCs w:val="24"/>
        </w:rPr>
      </w:pPr>
    </w:p>
    <w:p w14:paraId="090EEFB9" w14:textId="77777777" w:rsidR="007A0B60" w:rsidRDefault="007A0B60" w:rsidP="00037CB8">
      <w:pPr>
        <w:pStyle w:val="NoSpacing"/>
        <w:rPr>
          <w:rFonts w:ascii="Arial Black" w:hAnsi="Arial Black"/>
          <w:sz w:val="24"/>
          <w:szCs w:val="24"/>
        </w:rPr>
      </w:pPr>
    </w:p>
    <w:p w14:paraId="6D66EA1B" w14:textId="77777777" w:rsidR="007A0B60" w:rsidRDefault="007A0B60" w:rsidP="00037CB8">
      <w:pPr>
        <w:pStyle w:val="NoSpacing"/>
        <w:rPr>
          <w:rFonts w:ascii="Arial Black" w:hAnsi="Arial Black"/>
          <w:sz w:val="24"/>
          <w:szCs w:val="24"/>
        </w:rPr>
      </w:pPr>
    </w:p>
    <w:p w14:paraId="7122DA9F" w14:textId="1D0F4215" w:rsidR="00D035D9" w:rsidRDefault="00C137EF" w:rsidP="00037CB8">
      <w:pPr>
        <w:pStyle w:val="NoSpacing"/>
        <w:rPr>
          <w:rFonts w:ascii="Arial Black" w:hAnsi="Arial Black"/>
          <w:sz w:val="24"/>
          <w:szCs w:val="24"/>
        </w:rPr>
      </w:pPr>
      <w:r>
        <w:rPr>
          <w:rFonts w:ascii="Arial Black" w:hAnsi="Arial Black"/>
          <w:sz w:val="24"/>
          <w:szCs w:val="24"/>
        </w:rPr>
        <w:t>1-20</w:t>
      </w:r>
      <w:r w:rsidR="0015512D">
        <w:rPr>
          <w:rFonts w:ascii="Arial Black" w:hAnsi="Arial Black"/>
          <w:sz w:val="24"/>
          <w:szCs w:val="24"/>
        </w:rPr>
        <w:t>3</w:t>
      </w:r>
    </w:p>
    <w:p w14:paraId="65FBB331" w14:textId="77777777" w:rsidR="00C137EF" w:rsidRDefault="00C137EF" w:rsidP="00037CB8">
      <w:pPr>
        <w:pStyle w:val="NoSpacing"/>
        <w:rPr>
          <w:rFonts w:ascii="Arial Black" w:hAnsi="Arial Black"/>
          <w:sz w:val="24"/>
          <w:szCs w:val="24"/>
        </w:rPr>
      </w:pPr>
    </w:p>
    <w:p w14:paraId="12E90B59" w14:textId="77777777" w:rsidR="00C137EF" w:rsidRPr="005E65E1" w:rsidRDefault="00C137EF" w:rsidP="00C137EF">
      <w:pPr>
        <w:pStyle w:val="NoSpacing"/>
        <w:rPr>
          <w:rFonts w:ascii="Arial Black" w:hAnsi="Arial Black"/>
          <w:sz w:val="28"/>
          <w:szCs w:val="28"/>
        </w:rPr>
      </w:pPr>
      <w:r>
        <w:rPr>
          <w:rFonts w:ascii="Arial Black" w:hAnsi="Arial Black"/>
          <w:sz w:val="28"/>
          <w:szCs w:val="28"/>
        </w:rPr>
        <w:t>U.S. SUP CT: MED. EMERG - PD ENTER HOME W/O WARRANT</w:t>
      </w:r>
    </w:p>
    <w:p w14:paraId="116517CC" w14:textId="77777777" w:rsidR="00C137EF" w:rsidRDefault="00C137EF" w:rsidP="00C137EF">
      <w:pPr>
        <w:pStyle w:val="NoSpacing"/>
      </w:pPr>
    </w:p>
    <w:p w14:paraId="6E4EA501" w14:textId="77777777" w:rsidR="00C137EF" w:rsidRDefault="00C137EF" w:rsidP="00C137EF">
      <w:pPr>
        <w:pStyle w:val="NoSpacing"/>
      </w:pPr>
      <w:r>
        <w:t xml:space="preserve">On Jan. 14, 2026, in </w:t>
      </w:r>
      <w:r w:rsidRPr="00860758">
        <w:rPr>
          <w:u w:val="single"/>
        </w:rPr>
        <w:t>William Trevor Case v. Montana</w:t>
      </w:r>
      <w:r>
        <w:t xml:space="preserve">, the Supreme Court of the United States held (9 to 0) that “In Brigham City v. Stuart, 547 U. S. 398, 400 (2006), this Court held that police officers may enter a home without a warrant if they have an “objectively reasonable basis for believing” that someone inside needs emergency assistance.  In 2006, the Court in  </w:t>
      </w:r>
      <w:r w:rsidRPr="001249E8">
        <w:t>Brigham City v. Stuart, 547 U. S. 398, 403 (2006)</w:t>
      </w:r>
      <w:r>
        <w:t xml:space="preserve">, held that police ca enter home to break up </w:t>
      </w:r>
      <w:proofErr w:type="gramStart"/>
      <w:r>
        <w:t>an ongoing</w:t>
      </w:r>
      <w:proofErr w:type="gramEnd"/>
    </w:p>
    <w:p w14:paraId="5A1D0488" w14:textId="77777777" w:rsidR="00C137EF" w:rsidRDefault="00C137EF" w:rsidP="00C137EF">
      <w:pPr>
        <w:pStyle w:val="NoSpacing"/>
      </w:pPr>
      <w:r>
        <w:t xml:space="preserve">fight to protect a person.  </w:t>
      </w:r>
      <w:r w:rsidRPr="00D74B75">
        <w:t>In September 2021, law enforcement officers in Anaconda, Montana, entered the home of William Trevor Case after his ex-girlfriend reported he had threatened suicide, was acting erratically and may have fired a gun.</w:t>
      </w:r>
      <w:r>
        <w:t xml:space="preserve"> Police found him hiding behind a closet curtain holding dark object (he recovered) and found his gun; the trial court judge denied his motion to suppress the gun (police didn’t need “probable cause” to enter house), and he was convicted by jury of assaulting a police officer. U.S. Supreme Court Justice </w:t>
      </w:r>
      <w:r w:rsidRPr="00C4737C">
        <w:t>Elena Kagan</w:t>
      </w:r>
      <w:r>
        <w:t xml:space="preserve"> wrote the opinion: “The question in this presented is whether that standard means that officers must have ‘probable cause’ for the intrusion, as they typically would when investigating a crime. We </w:t>
      </w:r>
      <w:proofErr w:type="gramStart"/>
      <w:r>
        <w:t>hold it does not.”</w:t>
      </w:r>
      <w:proofErr w:type="gramEnd"/>
      <w:r>
        <w:t xml:space="preserve"> </w:t>
      </w:r>
      <w:hyperlink r:id="rId44" w:history="1">
        <w:r w:rsidRPr="00815351">
          <w:rPr>
            <w:rStyle w:val="Hyperlink"/>
          </w:rPr>
          <w:t>https://www.supremecourt.gov/opinions/25pdf/24-624_b07d.pdf</w:t>
        </w:r>
      </w:hyperlink>
      <w:r>
        <w:t xml:space="preserve"> </w:t>
      </w:r>
    </w:p>
    <w:p w14:paraId="2643C846" w14:textId="77777777" w:rsidR="00C137EF" w:rsidRDefault="00C137EF" w:rsidP="00C137EF">
      <w:pPr>
        <w:pStyle w:val="NoSpacing"/>
      </w:pPr>
    </w:p>
    <w:p w14:paraId="1166EA5E" w14:textId="77777777" w:rsidR="00C137EF" w:rsidRDefault="00C137EF" w:rsidP="00C137EF">
      <w:pPr>
        <w:pStyle w:val="NoSpacing"/>
      </w:pPr>
      <w:r>
        <w:t>THE COURT HELD:</w:t>
      </w:r>
    </w:p>
    <w:p w14:paraId="3439CFD2" w14:textId="77777777" w:rsidR="00C137EF" w:rsidRDefault="00C137EF" w:rsidP="00C137EF">
      <w:pPr>
        <w:pStyle w:val="NoSpacing"/>
      </w:pPr>
    </w:p>
    <w:p w14:paraId="28E6838E" w14:textId="77777777" w:rsidR="00C137EF" w:rsidRDefault="00C137EF" w:rsidP="00C137EF">
      <w:pPr>
        <w:pStyle w:val="NoSpacing"/>
        <w:ind w:left="720"/>
      </w:pPr>
      <w:r>
        <w:t>“This case began with an alarming phone call—from petitioner William Case to his ex-girlfriend J. H., both residents of a small town in Montana. Case told J. H. on the call that</w:t>
      </w:r>
    </w:p>
    <w:p w14:paraId="2E51B761" w14:textId="77777777" w:rsidR="00C137EF" w:rsidRDefault="00C137EF" w:rsidP="00C137EF">
      <w:pPr>
        <w:pStyle w:val="NoSpacing"/>
        <w:ind w:left="720"/>
      </w:pPr>
      <w:r>
        <w:t>‘</w:t>
      </w:r>
      <w:proofErr w:type="gramStart"/>
      <w:r>
        <w:t>he</w:t>
      </w:r>
      <w:proofErr w:type="gramEnd"/>
      <w:r>
        <w:t xml:space="preserve"> was going to kill himself.”’ … Because Case sounded ‘erratic,’ J. H. assumed he had been drinking…. She tried to talk Case out of committing suicide, but ‘couldn’t reel him back’: With each passing moment, Case ‘became more methodical about what he was</w:t>
      </w:r>
    </w:p>
    <w:p w14:paraId="0FF4C115" w14:textId="77777777" w:rsidR="00C137EF" w:rsidRDefault="00C137EF" w:rsidP="00C137EF">
      <w:pPr>
        <w:pStyle w:val="NoSpacing"/>
        <w:ind w:left="720"/>
      </w:pPr>
      <w:r>
        <w:t>going to do.’ … Case said that he was ‘going to get a note’—presumably meaning a suicide note, for J. H. or others to find…. And then J. H. heard a ‘clicking’ sound, like the ‘cock[</w:t>
      </w:r>
      <w:proofErr w:type="spellStart"/>
      <w:r>
        <w:t>ing</w:t>
      </w:r>
      <w:proofErr w:type="spellEnd"/>
      <w:r>
        <w:t xml:space="preserve"> of] a gun.’ … J. H. told Case she was going to call the police, but that seemed only to antagonize him: Case </w:t>
      </w:r>
      <w:proofErr w:type="gramStart"/>
      <w:r>
        <w:t>replied</w:t>
      </w:r>
      <w:proofErr w:type="gramEnd"/>
      <w:r>
        <w:t xml:space="preserve"> ‘he would shoot them all too.”… Finally, J. H. heard ‘a pop’ followed by ‘nothing’—'just dead air.’ … She ‘yelled [Case’s] name a few</w:t>
      </w:r>
    </w:p>
    <w:p w14:paraId="3BA008FD" w14:textId="77777777" w:rsidR="00C137EF" w:rsidRDefault="00C137EF" w:rsidP="00C137EF">
      <w:pPr>
        <w:pStyle w:val="NoSpacing"/>
        <w:ind w:left="720"/>
      </w:pPr>
      <w:r>
        <w:t xml:space="preserve">times,’ but got no response, leading her to think he had ‘pulled the trigger.’ … </w:t>
      </w:r>
      <w:proofErr w:type="gramStart"/>
      <w:r>
        <w:t>So</w:t>
      </w:r>
      <w:proofErr w:type="gramEnd"/>
      <w:r>
        <w:t xml:space="preserve"> she called 9–1–1 to report the incident and drove as fast as she could to Case’s home.</w:t>
      </w:r>
    </w:p>
    <w:p w14:paraId="05859AE5" w14:textId="77777777" w:rsidR="00C137EF" w:rsidRDefault="00C137EF" w:rsidP="00C137EF">
      <w:pPr>
        <w:pStyle w:val="NoSpacing"/>
        <w:ind w:left="720"/>
      </w:pPr>
    </w:p>
    <w:p w14:paraId="7193F384" w14:textId="77777777" w:rsidR="00C137EF" w:rsidRDefault="00C137EF" w:rsidP="00C137EF">
      <w:pPr>
        <w:pStyle w:val="NoSpacing"/>
        <w:ind w:left="720"/>
      </w:pPr>
      <w:r>
        <w:t>***</w:t>
      </w:r>
    </w:p>
    <w:p w14:paraId="53F21539" w14:textId="77777777" w:rsidR="00C137EF" w:rsidRDefault="00C137EF" w:rsidP="00C137EF">
      <w:pPr>
        <w:pStyle w:val="NoSpacing"/>
        <w:ind w:left="720"/>
      </w:pPr>
      <w:r>
        <w:lastRenderedPageBreak/>
        <w:t xml:space="preserve">Once the [Police] chief came, the officers conferred and decided to enter the house ‘to render emergency aid.’ … In the best-case scenario, they hoped to ‘talk [Case] down’ and prevent any injury…. But given J. H.’s account, the officers considered </w:t>
      </w:r>
      <w:proofErr w:type="gramStart"/>
      <w:r>
        <w:t>as well another possibility</w:t>
      </w:r>
      <w:proofErr w:type="gramEnd"/>
      <w:r>
        <w:t xml:space="preserve">—that Case had already shot himself and might be ‘in </w:t>
      </w:r>
      <w:proofErr w:type="gramStart"/>
      <w:r>
        <w:t>there</w:t>
      </w:r>
      <w:proofErr w:type="gramEnd"/>
      <w:r>
        <w:t xml:space="preserve"> bleeding.’ … At the same time, they worried that if Case remained unharmed, their entry could spark a confrontation…. </w:t>
      </w:r>
      <w:proofErr w:type="gramStart"/>
      <w:r>
        <w:t>So</w:t>
      </w:r>
      <w:proofErr w:type="gramEnd"/>
      <w:r>
        <w:t xml:space="preserve"> they equipped themselves with long-barrel guns and a ballistic shield before going in. The officers entered the house through the front door, about 40 minutes after they first arrived. They announced themselves </w:t>
      </w:r>
      <w:proofErr w:type="gramStart"/>
      <w:r>
        <w:t>loudly, and</w:t>
      </w:r>
      <w:proofErr w:type="gramEnd"/>
      <w:r>
        <w:t xml:space="preserve"> continued to call out as they walked through the home. Case did not answer; he was hiding in the closet of a bedroom upstairs. When one of the officers entered that room, Case threw open the closet curtain and appeared from behind it, holding ‘a black object’ which looked like a gun…. Fearing that he was about to be shot, the officer fired his own rifle. The bullet hit Case</w:t>
      </w:r>
    </w:p>
    <w:p w14:paraId="092518BB" w14:textId="77777777" w:rsidR="00C137EF" w:rsidRDefault="00C137EF" w:rsidP="00C137EF">
      <w:pPr>
        <w:pStyle w:val="NoSpacing"/>
        <w:ind w:left="720"/>
      </w:pPr>
      <w:r>
        <w:t>in the abdomen, and another officer rushed to administer first aid. An ambulance was called to take Case to the nearest hospital (where he recovered). Meanwhile, one of the</w:t>
      </w:r>
    </w:p>
    <w:p w14:paraId="6F327C6C" w14:textId="77777777" w:rsidR="00C137EF" w:rsidRDefault="00C137EF" w:rsidP="00C137EF">
      <w:pPr>
        <w:pStyle w:val="NoSpacing"/>
        <w:ind w:left="720"/>
      </w:pPr>
      <w:r>
        <w:t>officers found a handgun in a laundry basket next to the place where Case had stood.</w:t>
      </w:r>
    </w:p>
    <w:p w14:paraId="7EDC27CD" w14:textId="77777777" w:rsidR="00C137EF" w:rsidRDefault="00C137EF" w:rsidP="00C137EF">
      <w:pPr>
        <w:pStyle w:val="NoSpacing"/>
        <w:ind w:left="720"/>
      </w:pPr>
    </w:p>
    <w:p w14:paraId="5EEFEB51" w14:textId="77777777" w:rsidR="00C137EF" w:rsidRDefault="00C137EF" w:rsidP="00C137EF">
      <w:pPr>
        <w:pStyle w:val="NoSpacing"/>
        <w:ind w:left="720"/>
      </w:pPr>
      <w:r>
        <w:t>The county attorney charged Case with assaulting a police officer…. A Montana</w:t>
      </w:r>
    </w:p>
    <w:p w14:paraId="35236867" w14:textId="77777777" w:rsidR="00C137EF" w:rsidRDefault="00C137EF" w:rsidP="00C137EF">
      <w:pPr>
        <w:pStyle w:val="NoSpacing"/>
        <w:ind w:left="720"/>
      </w:pPr>
      <w:r>
        <w:t xml:space="preserve">jury then found Case guilty of the crime charged. Case moved to suppress all evidence obtained </w:t>
      </w:r>
      <w:proofErr w:type="gramStart"/>
      <w:r>
        <w:t>as a result of</w:t>
      </w:r>
      <w:proofErr w:type="gramEnd"/>
      <w:r>
        <w:t xml:space="preserve"> the home entry, arguing that the police had violated the Fourth Amendment by coming into his house without a warrant. The trial court denied the motion on the ground that the police officers were responding legitimately </w:t>
      </w:r>
    </w:p>
    <w:p w14:paraId="2A69196D" w14:textId="77777777" w:rsidR="00C137EF" w:rsidRDefault="00C137EF" w:rsidP="00C137EF">
      <w:pPr>
        <w:pStyle w:val="NoSpacing"/>
        <w:ind w:left="720"/>
      </w:pPr>
      <w:r>
        <w:t>to an “emergency.”</w:t>
      </w:r>
    </w:p>
    <w:p w14:paraId="1D01348E" w14:textId="77777777" w:rsidR="00C137EF" w:rsidRDefault="00C137EF" w:rsidP="00C137EF">
      <w:pPr>
        <w:pStyle w:val="NoSpacing"/>
        <w:ind w:left="720"/>
      </w:pPr>
    </w:p>
    <w:p w14:paraId="5249E9C7" w14:textId="77777777" w:rsidR="00C137EF" w:rsidRDefault="00C137EF" w:rsidP="00C137EF">
      <w:pPr>
        <w:pStyle w:val="NoSpacing"/>
        <w:ind w:left="720"/>
      </w:pPr>
      <w:r>
        <w:t>***</w:t>
      </w:r>
    </w:p>
    <w:p w14:paraId="789A47FD" w14:textId="77777777" w:rsidR="00C137EF" w:rsidRDefault="00C137EF" w:rsidP="00C137EF">
      <w:pPr>
        <w:pStyle w:val="NoSpacing"/>
        <w:ind w:left="720"/>
      </w:pPr>
      <w:r>
        <w:t xml:space="preserve">We…hold just what we have held before: that the officers may enter if, but only if, they have an “objectively reasonable basis for believing” that an occupant faces </w:t>
      </w:r>
      <w:proofErr w:type="gramStart"/>
      <w:r>
        <w:t>serious danger</w:t>
      </w:r>
      <w:proofErr w:type="gramEnd"/>
      <w:r>
        <w:t>. Brigham City, 547 U. S., at 400.”</w:t>
      </w:r>
    </w:p>
    <w:p w14:paraId="51C8A6CD" w14:textId="77777777" w:rsidR="00C137EF" w:rsidRDefault="00C137EF" w:rsidP="00C137EF">
      <w:pPr>
        <w:pStyle w:val="NoSpacing"/>
        <w:ind w:left="720"/>
      </w:pPr>
    </w:p>
    <w:p w14:paraId="19B3E3E9" w14:textId="77777777" w:rsidR="00C137EF" w:rsidRPr="000E4D83" w:rsidRDefault="00C137EF" w:rsidP="00C137EF">
      <w:pPr>
        <w:pStyle w:val="NoSpacing"/>
        <w:rPr>
          <w:b/>
          <w:bCs/>
        </w:rPr>
      </w:pPr>
      <w:r>
        <w:rPr>
          <w:b/>
        </w:rPr>
        <w:t xml:space="preserve">Legal lesson learned: Decision will also apply to fire and EMS forcing entry for a medical emergency. </w:t>
      </w:r>
    </w:p>
    <w:p w14:paraId="253B2887" w14:textId="77777777" w:rsidR="00C137EF" w:rsidRDefault="00C137EF" w:rsidP="00C137EF">
      <w:pPr>
        <w:pStyle w:val="NoSpacing"/>
      </w:pPr>
    </w:p>
    <w:p w14:paraId="6450F432" w14:textId="698E9670" w:rsidR="00C137EF" w:rsidRDefault="00C137EF" w:rsidP="00C137EF">
      <w:pPr>
        <w:pStyle w:val="NoSpacing"/>
        <w:rPr>
          <w:rFonts w:ascii="Arial Black" w:hAnsi="Arial Black"/>
          <w:sz w:val="24"/>
          <w:szCs w:val="24"/>
        </w:rPr>
      </w:pPr>
      <w:r>
        <w:t xml:space="preserve">Note: Can listen to Oral Argument in this case: </w:t>
      </w:r>
      <w:hyperlink r:id="rId45" w:history="1">
        <w:r w:rsidRPr="00815351">
          <w:rPr>
            <w:rStyle w:val="Hyperlink"/>
          </w:rPr>
          <w:t>https://www.youtube.com/watch?v=lqmk210Y9sk</w:t>
        </w:r>
      </w:hyperlink>
    </w:p>
    <w:p w14:paraId="7C4A6982" w14:textId="77777777" w:rsidR="00C137EF" w:rsidRDefault="00C137EF" w:rsidP="00037CB8">
      <w:pPr>
        <w:pStyle w:val="NoSpacing"/>
        <w:rPr>
          <w:rFonts w:ascii="Arial Black" w:hAnsi="Arial Black"/>
          <w:sz w:val="24"/>
          <w:szCs w:val="24"/>
        </w:rPr>
      </w:pPr>
    </w:p>
    <w:p w14:paraId="26879D6A" w14:textId="69E11388" w:rsidR="00C137EF" w:rsidRDefault="00C137EF" w:rsidP="00037CB8">
      <w:pPr>
        <w:pStyle w:val="NoSpacing"/>
        <w:rPr>
          <w:rFonts w:ascii="Arial Black" w:hAnsi="Arial Black"/>
          <w:sz w:val="24"/>
          <w:szCs w:val="24"/>
        </w:rPr>
      </w:pPr>
      <w:r>
        <w:rPr>
          <w:rFonts w:ascii="Arial Black" w:hAnsi="Arial Black"/>
          <w:sz w:val="24"/>
          <w:szCs w:val="24"/>
        </w:rPr>
        <w:t>1-20</w:t>
      </w:r>
      <w:r w:rsidR="0015512D">
        <w:rPr>
          <w:rFonts w:ascii="Arial Black" w:hAnsi="Arial Black"/>
          <w:sz w:val="24"/>
          <w:szCs w:val="24"/>
        </w:rPr>
        <w:t>2</w:t>
      </w:r>
    </w:p>
    <w:p w14:paraId="6207F5C2" w14:textId="77777777" w:rsidR="0015512D" w:rsidRDefault="0015512D" w:rsidP="00037CB8">
      <w:pPr>
        <w:pStyle w:val="NoSpacing"/>
        <w:rPr>
          <w:rFonts w:ascii="Arial Black" w:hAnsi="Arial Black"/>
          <w:sz w:val="24"/>
          <w:szCs w:val="24"/>
        </w:rPr>
      </w:pPr>
    </w:p>
    <w:p w14:paraId="6F07D39C" w14:textId="77777777" w:rsidR="0015512D" w:rsidRDefault="0015512D" w:rsidP="0015512D">
      <w:pPr>
        <w:pStyle w:val="NoSpacing"/>
      </w:pPr>
      <w:r>
        <w:rPr>
          <w:rFonts w:ascii="Arial Black" w:hAnsi="Arial Black"/>
          <w:sz w:val="28"/>
          <w:szCs w:val="28"/>
        </w:rPr>
        <w:t xml:space="preserve">TX: PAINTER AT FD – KNOCKED OFF LIFT - NO FD NEG </w:t>
      </w:r>
    </w:p>
    <w:p w14:paraId="1A4DF5AB" w14:textId="77777777" w:rsidR="0015512D" w:rsidRDefault="0015512D" w:rsidP="0015512D">
      <w:pPr>
        <w:pStyle w:val="NoSpacing"/>
      </w:pPr>
    </w:p>
    <w:p w14:paraId="3BD66D79" w14:textId="77777777" w:rsidR="0015512D" w:rsidRDefault="0015512D" w:rsidP="0015512D">
      <w:pPr>
        <w:rPr>
          <w:bCs/>
        </w:rPr>
      </w:pPr>
      <w:r>
        <w:t xml:space="preserve">On December 31, 2025, in </w:t>
      </w:r>
      <w:r w:rsidRPr="000F5A08">
        <w:rPr>
          <w:u w:val="single"/>
        </w:rPr>
        <w:t>City of Houston v. Jose Torres</w:t>
      </w:r>
      <w:r>
        <w:t xml:space="preserve">, </w:t>
      </w:r>
      <w:r w:rsidRPr="00DE41E5">
        <w:t>the Court of Appeals of Texas, First District, Houston</w:t>
      </w:r>
      <w:r>
        <w:t xml:space="preserve"> held (3 to 0) that trial court, after a bench trial, improperly found that the city was liable because the station District Chief didn’t deactivate the bay door.  The painter never asked that this be done, never told anyone he was going to be operating scissor lift inside the station, and never blocked the front of the bay door. </w:t>
      </w:r>
      <w:hyperlink r:id="rId46" w:history="1">
        <w:r w:rsidRPr="00091B3B">
          <w:rPr>
            <w:rStyle w:val="Hyperlink"/>
          </w:rPr>
          <w:t>https://cases.justia.com/texas/first-court-of-appeals/2025-01-23-00905-cv.pdf?ts=1767189326</w:t>
        </w:r>
      </w:hyperlink>
      <w:r>
        <w:t xml:space="preserve"> </w:t>
      </w:r>
    </w:p>
    <w:p w14:paraId="2C329852" w14:textId="77777777" w:rsidR="0015512D" w:rsidRDefault="0015512D" w:rsidP="0015512D">
      <w:pPr>
        <w:rPr>
          <w:bCs/>
        </w:rPr>
      </w:pPr>
      <w:r>
        <w:t>THE COURT HELD:</w:t>
      </w:r>
    </w:p>
    <w:p w14:paraId="2C0A41B4" w14:textId="77777777" w:rsidR="0015512D" w:rsidRPr="00830678" w:rsidRDefault="0015512D" w:rsidP="0015512D">
      <w:pPr>
        <w:pStyle w:val="NoSpacing"/>
        <w:ind w:left="720"/>
      </w:pPr>
      <w:r>
        <w:t>“</w:t>
      </w:r>
      <w:r w:rsidRPr="00830678">
        <w:t>Jose Torres, a painter employed by Arredondo’s Real Drywall, Inc., was</w:t>
      </w:r>
      <w:r>
        <w:t xml:space="preserve"> </w:t>
      </w:r>
      <w:r w:rsidRPr="00830678">
        <w:t>working at Houston Fire Department (HFD) Station #34. When he arrived on the</w:t>
      </w:r>
      <w:r>
        <w:t xml:space="preserve"> </w:t>
      </w:r>
      <w:r w:rsidRPr="00830678">
        <w:t>morning of this incident, around 8:30 a.m., there were no emergency vehicles inside</w:t>
      </w:r>
      <w:r>
        <w:t xml:space="preserve"> </w:t>
      </w:r>
      <w:r w:rsidRPr="00830678">
        <w:t>the fire station, although some were parked outside.</w:t>
      </w:r>
    </w:p>
    <w:p w14:paraId="20876DE9" w14:textId="77777777" w:rsidR="0015512D" w:rsidRDefault="0015512D" w:rsidP="0015512D">
      <w:pPr>
        <w:pStyle w:val="NoSpacing"/>
      </w:pPr>
    </w:p>
    <w:p w14:paraId="06903D1E" w14:textId="77777777" w:rsidR="0015512D" w:rsidRDefault="0015512D" w:rsidP="0015512D">
      <w:pPr>
        <w:pStyle w:val="NoSpacing"/>
        <w:ind w:left="720"/>
      </w:pPr>
      <w:r w:rsidRPr="00830678">
        <w:t>Torres began setting up his equipment, including a scissor lift, in one of the</w:t>
      </w:r>
      <w:r>
        <w:t xml:space="preserve"> </w:t>
      </w:r>
      <w:r w:rsidRPr="00830678">
        <w:t>bays of the fire station so he could paint the station’s ceiling. Because the station’s</w:t>
      </w:r>
      <w:r>
        <w:t xml:space="preserve"> </w:t>
      </w:r>
      <w:r w:rsidRPr="00830678">
        <w:t>large bay doors were open, and he needed them closed to paint the ceiling, Torres</w:t>
      </w:r>
      <w:r>
        <w:t xml:space="preserve"> </w:t>
      </w:r>
      <w:r w:rsidRPr="00830678">
        <w:t>asked one of the firefighters on duty how to close the doors. Torres closed the bay</w:t>
      </w:r>
      <w:r>
        <w:t xml:space="preserve"> </w:t>
      </w:r>
      <w:r w:rsidRPr="00830678">
        <w:t>doors by pushing a red button located inside the station. He then positioned the</w:t>
      </w:r>
      <w:r>
        <w:t xml:space="preserve"> </w:t>
      </w:r>
      <w:r w:rsidRPr="00830678">
        <w:t>scissor lift directly behind one of the closed bay doors, elevated himself on it, and</w:t>
      </w:r>
      <w:r>
        <w:t xml:space="preserve"> </w:t>
      </w:r>
      <w:r w:rsidRPr="00830678">
        <w:t>began painting the ceiling of the station.</w:t>
      </w:r>
    </w:p>
    <w:p w14:paraId="66856796" w14:textId="77777777" w:rsidR="0015512D" w:rsidRDefault="0015512D" w:rsidP="0015512D">
      <w:pPr>
        <w:pStyle w:val="NoSpacing"/>
      </w:pPr>
    </w:p>
    <w:p w14:paraId="26E3CE78" w14:textId="77777777" w:rsidR="0015512D" w:rsidRDefault="0015512D" w:rsidP="0015512D">
      <w:pPr>
        <w:pStyle w:val="NoSpacing"/>
        <w:ind w:left="720"/>
      </w:pPr>
      <w:r>
        <w:lastRenderedPageBreak/>
        <w:t>Adam Ricci, a firefighter employed by HFD at Fire Station #34, arrived at the fire station that morning at 6:30 a.m.—two hours before Torres—to begin his 24-hour shift. Around 8:00 a.</w:t>
      </w:r>
      <w:proofErr w:type="gramStart"/>
      <w:r>
        <w:t>m.—</w:t>
      </w:r>
      <w:proofErr w:type="gramEnd"/>
      <w:r>
        <w:t>about 30 minutes before Torres arrived—Ricci left the station in one of the emergency vehicles to respond to a call. Before he left, Ricci did not see anyone painting inside the fire station. And before returning to the station, Ricci had not seen or spoken to Torres and did not know that he (or anyone) was inside the station painting.</w:t>
      </w:r>
    </w:p>
    <w:p w14:paraId="0C74976E" w14:textId="77777777" w:rsidR="0015512D" w:rsidRDefault="0015512D" w:rsidP="0015512D">
      <w:pPr>
        <w:pStyle w:val="NoSpacing"/>
      </w:pPr>
    </w:p>
    <w:p w14:paraId="6FE21586" w14:textId="77777777" w:rsidR="0015512D" w:rsidRDefault="0015512D" w:rsidP="0015512D">
      <w:pPr>
        <w:pStyle w:val="NoSpacing"/>
        <w:ind w:left="720"/>
      </w:pPr>
      <w:r>
        <w:t>When Ricci returned to the fire station, he pushed a remote control inside his vehicle to open one of the bay doors. Unbeknownst to Ricci, Torres was standing on top of the scissor lift directly behind that door. When the door opened, it knocked over the scissor lift, injuring Torres.</w:t>
      </w:r>
    </w:p>
    <w:p w14:paraId="4F60A938" w14:textId="77777777" w:rsidR="0015512D" w:rsidRDefault="0015512D" w:rsidP="0015512D">
      <w:pPr>
        <w:pStyle w:val="NoSpacing"/>
      </w:pPr>
    </w:p>
    <w:p w14:paraId="4A48A6C7" w14:textId="77777777" w:rsidR="0015512D" w:rsidRDefault="0015512D" w:rsidP="0015512D">
      <w:pPr>
        <w:pStyle w:val="NoSpacing"/>
        <w:ind w:left="720"/>
      </w:pPr>
      <w:r>
        <w:t xml:space="preserve">The record shows that the bay door could have been deactivated. And, according to the City, District Chief Troy Koteras was the highest-ranking person on site that day—and he had the authority to do that. Following a bench trial, the trial court found that the </w:t>
      </w:r>
      <w:proofErr w:type="gramStart"/>
      <w:r>
        <w:t>City</w:t>
      </w:r>
      <w:proofErr w:type="gramEnd"/>
      <w:r>
        <w:t xml:space="preserve"> “did not act reasonably and its actions proximately causes [Torres’s] injuries.” It concluded that the </w:t>
      </w:r>
      <w:proofErr w:type="gramStart"/>
      <w:r>
        <w:t>City</w:t>
      </w:r>
      <w:proofErr w:type="gramEnd"/>
      <w:r>
        <w:t xml:space="preserve"> was negligent3 and awarded Torres damages.</w:t>
      </w:r>
    </w:p>
    <w:p w14:paraId="60330D89" w14:textId="77777777" w:rsidR="0015512D" w:rsidRDefault="0015512D" w:rsidP="0015512D">
      <w:pPr>
        <w:pStyle w:val="NoSpacing"/>
        <w:ind w:left="720"/>
      </w:pPr>
    </w:p>
    <w:p w14:paraId="219B3A88" w14:textId="77777777" w:rsidR="0015512D" w:rsidRDefault="0015512D" w:rsidP="0015512D">
      <w:pPr>
        <w:pStyle w:val="NoSpacing"/>
        <w:ind w:left="720"/>
      </w:pPr>
      <w:r>
        <w:t>***</w:t>
      </w:r>
    </w:p>
    <w:p w14:paraId="5B212D40" w14:textId="77777777" w:rsidR="0015512D" w:rsidRDefault="0015512D" w:rsidP="0015512D">
      <w:pPr>
        <w:pStyle w:val="NoSpacing"/>
        <w:ind w:firstLine="720"/>
      </w:pPr>
    </w:p>
    <w:p w14:paraId="22D1D2C8" w14:textId="77777777" w:rsidR="0015512D" w:rsidRDefault="0015512D" w:rsidP="0015512D">
      <w:pPr>
        <w:pStyle w:val="NoSpacing"/>
        <w:ind w:firstLine="720"/>
      </w:pPr>
      <w:r>
        <w:t xml:space="preserve">Accordingly, for </w:t>
      </w:r>
      <w:proofErr w:type="gramStart"/>
      <w:r>
        <w:t>all of</w:t>
      </w:r>
      <w:proofErr w:type="gramEnd"/>
      <w:r>
        <w:t xml:space="preserve"> the foregoing reasons, we hold that the evidence</w:t>
      </w:r>
    </w:p>
    <w:p w14:paraId="66901706" w14:textId="77777777" w:rsidR="0015512D" w:rsidRDefault="0015512D" w:rsidP="0015512D">
      <w:pPr>
        <w:pStyle w:val="NoSpacing"/>
        <w:ind w:firstLine="720"/>
      </w:pPr>
      <w:r>
        <w:t>establishes that the City owed no duty to Torres, a required element of negligence.</w:t>
      </w:r>
    </w:p>
    <w:p w14:paraId="40D02F40" w14:textId="77777777" w:rsidR="0015512D" w:rsidRDefault="0015512D" w:rsidP="0015512D">
      <w:pPr>
        <w:pStyle w:val="NoSpacing"/>
        <w:ind w:firstLine="720"/>
      </w:pPr>
      <w:r>
        <w:t xml:space="preserve">Absent proof of the common-law elements of negligence, the </w:t>
      </w:r>
      <w:proofErr w:type="gramStart"/>
      <w:r>
        <w:t>City</w:t>
      </w:r>
      <w:proofErr w:type="gramEnd"/>
      <w:r>
        <w:t xml:space="preserve"> was entitled to</w:t>
      </w:r>
    </w:p>
    <w:p w14:paraId="0DB17D93" w14:textId="77777777" w:rsidR="0015512D" w:rsidRDefault="0015512D" w:rsidP="0015512D">
      <w:pPr>
        <w:pStyle w:val="NoSpacing"/>
        <w:ind w:firstLine="720"/>
      </w:pPr>
      <w:r>
        <w:t>governmental immunity under the TTCA. We therefore reverse the trial court’s</w:t>
      </w:r>
    </w:p>
    <w:p w14:paraId="6D2B2347" w14:textId="77777777" w:rsidR="0015512D" w:rsidRDefault="0015512D" w:rsidP="0015512D">
      <w:pPr>
        <w:pStyle w:val="NoSpacing"/>
        <w:ind w:firstLine="720"/>
      </w:pPr>
      <w:r>
        <w:t xml:space="preserve">judgment and render judgment dismissing Torres’s claims against the </w:t>
      </w:r>
      <w:proofErr w:type="gramStart"/>
      <w:r>
        <w:t>City</w:t>
      </w:r>
      <w:proofErr w:type="gramEnd"/>
      <w:r>
        <w:t xml:space="preserve"> for lack</w:t>
      </w:r>
    </w:p>
    <w:p w14:paraId="2AF54172" w14:textId="77777777" w:rsidR="0015512D" w:rsidRDefault="0015512D" w:rsidP="0015512D">
      <w:pPr>
        <w:pStyle w:val="NoSpacing"/>
        <w:ind w:firstLine="720"/>
      </w:pPr>
      <w:r>
        <w:t>of subject-matter jurisdiction.”</w:t>
      </w:r>
    </w:p>
    <w:p w14:paraId="1DDC8690" w14:textId="77777777" w:rsidR="0015512D" w:rsidRDefault="0015512D" w:rsidP="0015512D">
      <w:pPr>
        <w:pStyle w:val="NoSpacing"/>
        <w:ind w:firstLine="720"/>
      </w:pPr>
    </w:p>
    <w:p w14:paraId="3022F51D" w14:textId="77777777" w:rsidR="0015512D" w:rsidRPr="0059074F" w:rsidRDefault="0015512D" w:rsidP="0015512D">
      <w:pPr>
        <w:pStyle w:val="NoSpacing"/>
        <w:rPr>
          <w:b/>
          <w:bCs/>
        </w:rPr>
      </w:pPr>
      <w:r>
        <w:rPr>
          <w:b/>
        </w:rPr>
        <w:t xml:space="preserve">Legal lesson learned: The injured painter was negligent and not requiring the bay door be deactivated; he is covered by worker’s comp. but can’t sue the city for damages. </w:t>
      </w:r>
    </w:p>
    <w:p w14:paraId="48223938" w14:textId="77777777" w:rsidR="0015512D" w:rsidRDefault="0015512D" w:rsidP="0015512D">
      <w:pPr>
        <w:pStyle w:val="NoSpacing"/>
        <w:ind w:firstLine="720"/>
      </w:pPr>
    </w:p>
    <w:p w14:paraId="59E2DB67" w14:textId="0CA4B440" w:rsidR="0015512D" w:rsidRDefault="0015512D" w:rsidP="00037CB8">
      <w:pPr>
        <w:pStyle w:val="NoSpacing"/>
        <w:rPr>
          <w:rFonts w:ascii="Arial Black" w:hAnsi="Arial Black"/>
          <w:sz w:val="24"/>
          <w:szCs w:val="24"/>
        </w:rPr>
      </w:pPr>
      <w:r>
        <w:rPr>
          <w:rFonts w:ascii="Arial Black" w:hAnsi="Arial Black"/>
          <w:sz w:val="24"/>
          <w:szCs w:val="24"/>
        </w:rPr>
        <w:t>1-201</w:t>
      </w:r>
    </w:p>
    <w:p w14:paraId="161948B9" w14:textId="77777777" w:rsidR="0015512D" w:rsidRDefault="0015512D" w:rsidP="00037CB8">
      <w:pPr>
        <w:pStyle w:val="NoSpacing"/>
        <w:rPr>
          <w:rFonts w:ascii="Arial Black" w:hAnsi="Arial Black"/>
          <w:sz w:val="24"/>
          <w:szCs w:val="24"/>
        </w:rPr>
      </w:pPr>
    </w:p>
    <w:p w14:paraId="3C2D52E9" w14:textId="77777777" w:rsidR="00ED1FF6" w:rsidRPr="00DD5FA8" w:rsidRDefault="00ED1FF6" w:rsidP="00ED1FF6">
      <w:pPr>
        <w:rPr>
          <w:rFonts w:ascii="Arial Black" w:hAnsi="Arial Black"/>
          <w:b/>
          <w:sz w:val="28"/>
          <w:szCs w:val="28"/>
        </w:rPr>
      </w:pPr>
      <w:r>
        <w:rPr>
          <w:rFonts w:ascii="Arial Black" w:hAnsi="Arial Black"/>
          <w:b/>
          <w:sz w:val="28"/>
          <w:szCs w:val="28"/>
        </w:rPr>
        <w:t>NJ: ARSON – PD SEIZED DVR CAMERA IN GARAGE - LAWFUL</w:t>
      </w:r>
    </w:p>
    <w:p w14:paraId="31D29707" w14:textId="77777777" w:rsidR="00ED1FF6" w:rsidRDefault="00ED1FF6" w:rsidP="00ED1FF6">
      <w:r>
        <w:t xml:space="preserve">On December 4, 2025, in </w:t>
      </w:r>
      <w:r w:rsidRPr="00EA75F6">
        <w:rPr>
          <w:u w:val="single"/>
        </w:rPr>
        <w:t xml:space="preserve">State of New Jersey v. Paul J. </w:t>
      </w:r>
      <w:proofErr w:type="spellStart"/>
      <w:r w:rsidRPr="00EA75F6">
        <w:rPr>
          <w:u w:val="single"/>
        </w:rPr>
        <w:t>Caneiro</w:t>
      </w:r>
      <w:proofErr w:type="spellEnd"/>
      <w:r>
        <w:t xml:space="preserve">, the </w:t>
      </w:r>
      <w:r w:rsidRPr="00EA75F6">
        <w:t>Supreme Court of New Jersey</w:t>
      </w:r>
      <w:r>
        <w:t xml:space="preserve"> held (7 to 0) that trial court improperly granted defense motion to suppress, and the Court of Appeals improperly confirmed the trial court decision.  Under the “exigent circumstances” police properly seized the security camera digital video recorder, which showed defendant disconnecting the camera before starting fire in his home. </w:t>
      </w:r>
      <w:hyperlink r:id="rId47" w:history="1">
        <w:r w:rsidRPr="00091B3B">
          <w:rPr>
            <w:rStyle w:val="Hyperlink"/>
          </w:rPr>
          <w:t>https://www.njcourts.gov/system/files/court-opinions/2025/a_1_25.pdf</w:t>
        </w:r>
      </w:hyperlink>
      <w:r>
        <w:t xml:space="preserve"> </w:t>
      </w:r>
    </w:p>
    <w:p w14:paraId="76F8ADF9" w14:textId="77777777" w:rsidR="00ED1FF6" w:rsidRPr="00EA75F6" w:rsidRDefault="00ED1FF6" w:rsidP="00ED1FF6">
      <w:pPr>
        <w:rPr>
          <w:bCs/>
        </w:rPr>
      </w:pPr>
      <w:r>
        <w:t>THE COURT HELD:</w:t>
      </w:r>
    </w:p>
    <w:p w14:paraId="3D371FC5" w14:textId="77777777" w:rsidR="00ED1FF6" w:rsidRDefault="00ED1FF6" w:rsidP="00ED1FF6">
      <w:pPr>
        <w:pStyle w:val="NoSpacing"/>
        <w:ind w:left="720"/>
      </w:pPr>
      <w:r>
        <w:t xml:space="preserve">“A fire was reported at defendant Paul J. </w:t>
      </w:r>
      <w:proofErr w:type="spellStart"/>
      <w:r>
        <w:t>Caneiro’s</w:t>
      </w:r>
      <w:proofErr w:type="spellEnd"/>
      <w:r>
        <w:t xml:space="preserve"> home at around 5:02 a.m. in November 2018. About forty minutes after arriving at defendant’s home, and while the house fire remained active, police seized, without a warrant, a security camera digital video recorder (DVR) located in the home’s attached garage…. Defendant later provided consent to </w:t>
      </w:r>
      <w:proofErr w:type="gramStart"/>
      <w:r>
        <w:t>search</w:t>
      </w:r>
      <w:proofErr w:type="gramEnd"/>
      <w:r>
        <w:t xml:space="preserve"> the DVR’s contents. </w:t>
      </w:r>
    </w:p>
    <w:p w14:paraId="06CA9B37" w14:textId="77777777" w:rsidR="00ED1FF6" w:rsidRDefault="00ED1FF6" w:rsidP="00ED1FF6">
      <w:pPr>
        <w:pStyle w:val="NoSpacing"/>
        <w:ind w:left="720"/>
      </w:pPr>
    </w:p>
    <w:p w14:paraId="25B14DDF" w14:textId="77777777" w:rsidR="00ED1FF6" w:rsidRDefault="00ED1FF6" w:rsidP="00ED1FF6">
      <w:pPr>
        <w:pStyle w:val="NoSpacing"/>
        <w:ind w:left="720"/>
      </w:pPr>
      <w:r>
        <w:t>***</w:t>
      </w:r>
    </w:p>
    <w:p w14:paraId="1E052307" w14:textId="77777777" w:rsidR="00ED1FF6" w:rsidRDefault="00ED1FF6" w:rsidP="00ED1FF6">
      <w:pPr>
        <w:pStyle w:val="NoSpacing"/>
        <w:ind w:left="720"/>
      </w:pPr>
      <w:r>
        <w:t>The State alleges that defendant murdered his brother, his brother’s wife, and</w:t>
      </w:r>
    </w:p>
    <w:p w14:paraId="461D942A" w14:textId="77777777" w:rsidR="00ED1FF6" w:rsidRDefault="00ED1FF6" w:rsidP="00ED1FF6">
      <w:pPr>
        <w:pStyle w:val="NoSpacing"/>
        <w:ind w:left="720"/>
      </w:pPr>
      <w:r>
        <w:t>their two children, and then set their house ablaze to cover up his involvement in</w:t>
      </w:r>
    </w:p>
    <w:p w14:paraId="77C9FA2D" w14:textId="77777777" w:rsidR="00ED1FF6" w:rsidRDefault="00ED1FF6" w:rsidP="00ED1FF6">
      <w:pPr>
        <w:pStyle w:val="NoSpacing"/>
        <w:ind w:left="720"/>
      </w:pPr>
      <w:r>
        <w:t>those crimes. The State further contends that defendant then set his own house on</w:t>
      </w:r>
    </w:p>
    <w:p w14:paraId="1A8F9845" w14:textId="77777777" w:rsidR="00ED1FF6" w:rsidRDefault="00ED1FF6" w:rsidP="00ED1FF6">
      <w:pPr>
        <w:pStyle w:val="NoSpacing"/>
        <w:ind w:left="720"/>
      </w:pPr>
      <w:r>
        <w:t>fire with his wife and children asleep inside as a ruse to suggest that criminals</w:t>
      </w:r>
    </w:p>
    <w:p w14:paraId="11D155BA" w14:textId="77777777" w:rsidR="00ED1FF6" w:rsidRDefault="00ED1FF6" w:rsidP="00ED1FF6">
      <w:pPr>
        <w:pStyle w:val="NoSpacing"/>
        <w:ind w:left="720"/>
      </w:pPr>
      <w:r>
        <w:t>targeted both families. The State asserts that the DVR showed defendant</w:t>
      </w:r>
    </w:p>
    <w:p w14:paraId="26D27F10" w14:textId="77777777" w:rsidR="00ED1FF6" w:rsidRDefault="00ED1FF6" w:rsidP="00ED1FF6">
      <w:pPr>
        <w:pStyle w:val="NoSpacing"/>
        <w:ind w:left="720"/>
      </w:pPr>
      <w:r>
        <w:t>disconnecting the security camera system prior to starting the fire in his house.</w:t>
      </w:r>
    </w:p>
    <w:p w14:paraId="74614F04" w14:textId="77777777" w:rsidR="00ED1FF6" w:rsidRDefault="00ED1FF6" w:rsidP="00ED1FF6">
      <w:pPr>
        <w:pStyle w:val="NoSpacing"/>
        <w:ind w:left="720"/>
      </w:pPr>
    </w:p>
    <w:p w14:paraId="54215439" w14:textId="77777777" w:rsidR="00ED1FF6" w:rsidRDefault="00ED1FF6" w:rsidP="00ED1FF6">
      <w:pPr>
        <w:pStyle w:val="NoSpacing"/>
        <w:ind w:left="720"/>
      </w:pPr>
      <w:r>
        <w:lastRenderedPageBreak/>
        <w:t>***</w:t>
      </w:r>
    </w:p>
    <w:p w14:paraId="1DA8EDA5" w14:textId="77777777" w:rsidR="00ED1FF6" w:rsidRDefault="00ED1FF6" w:rsidP="00ED1FF6">
      <w:pPr>
        <w:pStyle w:val="NoSpacing"/>
        <w:ind w:left="720"/>
      </w:pPr>
    </w:p>
    <w:p w14:paraId="74B18BBC" w14:textId="77777777" w:rsidR="00ED1FF6" w:rsidRDefault="00ED1FF6" w:rsidP="00ED1FF6">
      <w:pPr>
        <w:pStyle w:val="NoSpacing"/>
        <w:ind w:left="720"/>
      </w:pPr>
      <w:r>
        <w:t xml:space="preserve">The parties do not dispute that </w:t>
      </w:r>
      <w:proofErr w:type="gramStart"/>
      <w:r>
        <w:t>defendant’s</w:t>
      </w:r>
      <w:proofErr w:type="gramEnd"/>
      <w:r>
        <w:t xml:space="preserve"> consent to </w:t>
      </w:r>
      <w:proofErr w:type="gramStart"/>
      <w:r>
        <w:t>search</w:t>
      </w:r>
      <w:proofErr w:type="gramEnd"/>
      <w:r>
        <w:t xml:space="preserve"> the DVR was valid. They dispute only whether the warrantless seizure of the DVR was justified by the exigency exception to the warrant requirement. The trial judge, focusing on the fact that the garage itself was not on fire, granted defendant’s motion to suppress the DVR. The Appellate Division affirmed. We granted the State’s motion for leave to appeal and have proceeded on an accelerated basis.</w:t>
      </w:r>
    </w:p>
    <w:p w14:paraId="5A4A9F5C" w14:textId="77777777" w:rsidR="00ED1FF6" w:rsidRDefault="00ED1FF6" w:rsidP="00ED1FF6">
      <w:pPr>
        <w:pStyle w:val="NoSpacing"/>
        <w:ind w:left="720"/>
      </w:pPr>
    </w:p>
    <w:p w14:paraId="7BD07432" w14:textId="77777777" w:rsidR="00ED1FF6" w:rsidRDefault="00ED1FF6" w:rsidP="00ED1FF6">
      <w:pPr>
        <w:pStyle w:val="NoSpacing"/>
        <w:ind w:left="720"/>
      </w:pPr>
      <w:r>
        <w:t>***</w:t>
      </w:r>
    </w:p>
    <w:p w14:paraId="070691F6" w14:textId="77777777" w:rsidR="00ED1FF6" w:rsidRDefault="00ED1FF6" w:rsidP="00ED1FF6">
      <w:pPr>
        <w:pStyle w:val="NoSpacing"/>
        <w:ind w:left="720"/>
      </w:pPr>
      <w:r w:rsidRPr="00305E47">
        <w:t>Under the totality of the circumstances in this case, the police acted in an</w:t>
      </w:r>
      <w:r>
        <w:t xml:space="preserve"> </w:t>
      </w:r>
      <w:r w:rsidRPr="00305E47">
        <w:t>objectively reasonable manner to meet an exigency that did not permit time to secure</w:t>
      </w:r>
      <w:r>
        <w:t xml:space="preserve"> </w:t>
      </w:r>
      <w:r w:rsidRPr="00305E47">
        <w:t xml:space="preserve">a warrant. No bright-line rule governs the question of </w:t>
      </w:r>
      <w:proofErr w:type="gramStart"/>
      <w:r w:rsidRPr="00305E47">
        <w:t>exigency, and</w:t>
      </w:r>
      <w:proofErr w:type="gramEnd"/>
      <w:r w:rsidRPr="00305E47">
        <w:t xml:space="preserve"> determining</w:t>
      </w:r>
      <w:r>
        <w:t xml:space="preserve"> </w:t>
      </w:r>
      <w:r w:rsidRPr="00305E47">
        <w:t xml:space="preserve">whether the exigency exception to the </w:t>
      </w:r>
      <w:proofErr w:type="gramStart"/>
      <w:r w:rsidRPr="00305E47">
        <w:t>warrant requirement applies</w:t>
      </w:r>
      <w:proofErr w:type="gramEnd"/>
      <w:r w:rsidRPr="00305E47">
        <w:t xml:space="preserve"> requires courts to</w:t>
      </w:r>
      <w:r>
        <w:t xml:space="preserve"> </w:t>
      </w:r>
      <w:r w:rsidRPr="00F565F4">
        <w:t>conduct an objective, fact-sensitive analysis. Drawing de novo legal conclusions</w:t>
      </w:r>
      <w:r>
        <w:t xml:space="preserve"> </w:t>
      </w:r>
      <w:r w:rsidRPr="00F565F4">
        <w:t>from the facts found by the trial judge, the Court finds that here, time was of the</w:t>
      </w:r>
      <w:r>
        <w:t xml:space="preserve"> </w:t>
      </w:r>
      <w:r w:rsidRPr="00F565F4">
        <w:t>essence, delay was not reasonable, and seizure of the DVR by the police without a</w:t>
      </w:r>
      <w:r>
        <w:t xml:space="preserve"> </w:t>
      </w:r>
      <w:r w:rsidRPr="00F565F4">
        <w:t xml:space="preserve">warrant was justified by exigent </w:t>
      </w:r>
      <w:r>
        <w:t>c</w:t>
      </w:r>
      <w:r w:rsidRPr="00F565F4">
        <w:t>ircumstances.</w:t>
      </w:r>
      <w:r>
        <w:t>”</w:t>
      </w:r>
    </w:p>
    <w:p w14:paraId="221A3E25" w14:textId="77777777" w:rsidR="00ED1FF6" w:rsidRDefault="00ED1FF6" w:rsidP="00ED1FF6">
      <w:pPr>
        <w:pStyle w:val="NoSpacing"/>
        <w:ind w:left="720"/>
      </w:pPr>
    </w:p>
    <w:p w14:paraId="63CED89F" w14:textId="77777777" w:rsidR="00ED1FF6" w:rsidRDefault="00ED1FF6" w:rsidP="00ED1FF6">
      <w:pPr>
        <w:pStyle w:val="NoSpacing"/>
        <w:rPr>
          <w:b/>
          <w:bCs/>
        </w:rPr>
      </w:pPr>
      <w:r>
        <w:rPr>
          <w:b/>
        </w:rPr>
        <w:t>Legal lesson learned: Exigent circumstances justified seizing the security camera without a search warrant.</w:t>
      </w:r>
    </w:p>
    <w:p w14:paraId="11593B09" w14:textId="77777777" w:rsidR="00ED1FF6" w:rsidRDefault="00ED1FF6" w:rsidP="00ED1FF6">
      <w:pPr>
        <w:pStyle w:val="NoSpacing"/>
        <w:rPr>
          <w:b/>
          <w:bCs/>
        </w:rPr>
      </w:pPr>
    </w:p>
    <w:p w14:paraId="79C95776" w14:textId="77777777" w:rsidR="00ED1FF6" w:rsidRDefault="00ED1FF6" w:rsidP="00037CB8">
      <w:pPr>
        <w:pStyle w:val="NoSpacing"/>
        <w:rPr>
          <w:rFonts w:ascii="Arial Black" w:hAnsi="Arial Black"/>
          <w:sz w:val="24"/>
          <w:szCs w:val="24"/>
        </w:rPr>
      </w:pPr>
    </w:p>
    <w:p w14:paraId="7C5061BC" w14:textId="77777777" w:rsidR="00C137EF" w:rsidRDefault="00C137EF" w:rsidP="00037CB8">
      <w:pPr>
        <w:pStyle w:val="NoSpacing"/>
        <w:rPr>
          <w:rFonts w:ascii="Arial Black" w:hAnsi="Arial Black"/>
          <w:sz w:val="24"/>
          <w:szCs w:val="24"/>
        </w:rPr>
      </w:pPr>
    </w:p>
    <w:p w14:paraId="38BC3130" w14:textId="77777777" w:rsidR="00C137EF" w:rsidRDefault="00C137EF" w:rsidP="00037CB8">
      <w:pPr>
        <w:pStyle w:val="NoSpacing"/>
        <w:rPr>
          <w:rFonts w:ascii="Arial Black" w:hAnsi="Arial Black"/>
          <w:sz w:val="24"/>
          <w:szCs w:val="24"/>
        </w:rPr>
      </w:pPr>
    </w:p>
    <w:p w14:paraId="7661086B" w14:textId="77777777" w:rsidR="00C137EF" w:rsidRDefault="00C137EF" w:rsidP="00037CB8">
      <w:pPr>
        <w:pStyle w:val="NoSpacing"/>
        <w:rPr>
          <w:rFonts w:ascii="Arial Black" w:hAnsi="Arial Black"/>
          <w:sz w:val="24"/>
          <w:szCs w:val="24"/>
        </w:rPr>
      </w:pPr>
    </w:p>
    <w:p w14:paraId="243C462B" w14:textId="26B7DB33" w:rsidR="00D035D9" w:rsidRDefault="00D035D9" w:rsidP="00037CB8">
      <w:pPr>
        <w:pStyle w:val="NoSpacing"/>
        <w:rPr>
          <w:rFonts w:ascii="Arial Black" w:hAnsi="Arial Black"/>
          <w:sz w:val="24"/>
          <w:szCs w:val="24"/>
        </w:rPr>
      </w:pPr>
      <w:r>
        <w:rPr>
          <w:rFonts w:ascii="Arial Black" w:hAnsi="Arial Black"/>
          <w:sz w:val="24"/>
          <w:szCs w:val="24"/>
        </w:rPr>
        <w:t>1-</w:t>
      </w:r>
      <w:r w:rsidR="0028642A">
        <w:rPr>
          <w:rFonts w:ascii="Arial Black" w:hAnsi="Arial Black"/>
          <w:sz w:val="24"/>
          <w:szCs w:val="24"/>
        </w:rPr>
        <w:t>20</w:t>
      </w:r>
      <w:r w:rsidR="00A44AF2">
        <w:rPr>
          <w:rFonts w:ascii="Arial Black" w:hAnsi="Arial Black"/>
          <w:sz w:val="24"/>
          <w:szCs w:val="24"/>
        </w:rPr>
        <w:t>0</w:t>
      </w:r>
    </w:p>
    <w:p w14:paraId="4686B41B" w14:textId="77777777" w:rsidR="00D035D9" w:rsidRDefault="00D035D9" w:rsidP="00037CB8">
      <w:pPr>
        <w:pStyle w:val="NoSpacing"/>
        <w:rPr>
          <w:rFonts w:ascii="Arial Black" w:hAnsi="Arial Black"/>
          <w:sz w:val="24"/>
          <w:szCs w:val="24"/>
        </w:rPr>
      </w:pPr>
    </w:p>
    <w:p w14:paraId="66EA8208" w14:textId="2E3C5C85" w:rsidR="00D035D9" w:rsidRPr="00DD3D69" w:rsidRDefault="00D035D9" w:rsidP="00D035D9">
      <w:pPr>
        <w:rPr>
          <w:rFonts w:ascii="Arial Black" w:hAnsi="Arial Black"/>
          <w:b/>
          <w:sz w:val="28"/>
          <w:szCs w:val="28"/>
        </w:rPr>
      </w:pPr>
      <w:r>
        <w:rPr>
          <w:rFonts w:ascii="Arial Black" w:hAnsi="Arial Black"/>
          <w:b/>
          <w:sz w:val="28"/>
          <w:szCs w:val="28"/>
        </w:rPr>
        <w:t>UT: TOWN COUNCIL – DID</w:t>
      </w:r>
      <w:r w:rsidR="00932FB7">
        <w:rPr>
          <w:rFonts w:ascii="Arial Black" w:hAnsi="Arial Black"/>
          <w:b/>
          <w:sz w:val="28"/>
          <w:szCs w:val="28"/>
        </w:rPr>
        <w:t xml:space="preserve">N’T </w:t>
      </w:r>
      <w:r>
        <w:rPr>
          <w:rFonts w:ascii="Arial Black" w:hAnsi="Arial Black"/>
          <w:b/>
          <w:sz w:val="28"/>
          <w:szCs w:val="28"/>
        </w:rPr>
        <w:t xml:space="preserve"> APPROVE NEW CHIEF</w:t>
      </w:r>
      <w:r w:rsidR="00932FB7">
        <w:rPr>
          <w:rFonts w:ascii="Arial Black" w:hAnsi="Arial Black"/>
          <w:b/>
          <w:sz w:val="28"/>
          <w:szCs w:val="28"/>
        </w:rPr>
        <w:t xml:space="preserve"> – NO SEVERANCE</w:t>
      </w:r>
    </w:p>
    <w:p w14:paraId="4D8B4ACA" w14:textId="77777777" w:rsidR="00D035D9" w:rsidRPr="009C12DF" w:rsidRDefault="00D035D9" w:rsidP="00D035D9">
      <w:pPr>
        <w:pStyle w:val="NoSpacing"/>
        <w:rPr>
          <w:bCs/>
        </w:rPr>
      </w:pPr>
      <w:r w:rsidRPr="00DF4246">
        <w:t xml:space="preserve">On December 26, 2025, in </w:t>
      </w:r>
      <w:r w:rsidRPr="00DF4246">
        <w:rPr>
          <w:u w:val="single"/>
        </w:rPr>
        <w:t>Daniel N. Musser v. Town of Apple Valley, et al</w:t>
      </w:r>
      <w:r w:rsidRPr="00DF4246">
        <w:t>.</w:t>
      </w:r>
      <w:r>
        <w:rPr>
          <w:b/>
        </w:rPr>
        <w:t xml:space="preserve">, </w:t>
      </w:r>
      <w:r w:rsidRPr="00DF4246">
        <w:t>the Court of Appeals of Utah</w:t>
      </w:r>
      <w:r>
        <w:t xml:space="preserve"> held (3 to 0) that the trial court properly dismissed the lawsuit by the plaintiff seeking a severance payment of one year’s salary.  On November 4, </w:t>
      </w:r>
      <w:proofErr w:type="gramStart"/>
      <w:r>
        <w:t>2021</w:t>
      </w:r>
      <w:proofErr w:type="gramEnd"/>
      <w:r>
        <w:t xml:space="preserve"> he signed a contract to be Fire Chief and Police Chief, two days after the election of the new Mayor, </w:t>
      </w:r>
      <w:r w:rsidRPr="00FC03C2">
        <w:t>Dina Mason Walters</w:t>
      </w:r>
      <w:r>
        <w:t>, who took office one month later.  According to his lawsuit: “</w:t>
      </w:r>
      <w:r w:rsidRPr="008527CE">
        <w:t>In August 2021, Apple Valley’s mayor, Dale Beddo (</w:t>
      </w:r>
      <w:r>
        <w:t>‘</w:t>
      </w:r>
      <w:r w:rsidRPr="008527CE">
        <w:t>Mayor Beddo</w:t>
      </w:r>
      <w:r>
        <w:t>’</w:t>
      </w:r>
      <w:r w:rsidRPr="008527CE">
        <w:t xml:space="preserve">), contacted Plaintiff </w:t>
      </w:r>
      <w:r>
        <w:t xml:space="preserve"> </w:t>
      </w:r>
      <w:r w:rsidRPr="008527CE">
        <w:t>and inquired whether Plaintiff would be interested in a position with Apple Valley as the police chief and fire chief</w:t>
      </w:r>
      <w:r>
        <w:t xml:space="preserve">…. </w:t>
      </w:r>
      <w:r w:rsidRPr="008561FF">
        <w:t xml:space="preserve">Plaintiff informed Mayor Beddo that although Plaintiff had worked for the Colorado City Marshals Office for over six years, trained, and worked with the Colorado City Fire </w:t>
      </w:r>
      <w:r>
        <w:t xml:space="preserve"> </w:t>
      </w:r>
      <w:r w:rsidRPr="008561FF">
        <w:t>Department, Plaintiff did not have any Fire Certifications.</w:t>
      </w:r>
      <w:r>
        <w:t xml:space="preserve">”  He then obtained the required certifications to be a Utah firefighter and police officer.  He apparently did not know that </w:t>
      </w:r>
      <w:r w:rsidRPr="009C12DF">
        <w:t>under a council-mayor form of government, Utah law required the advice and consent of the Council</w:t>
      </w:r>
      <w:r>
        <w:t xml:space="preserve"> </w:t>
      </w:r>
      <w:r w:rsidRPr="009C12DF">
        <w:t>when appointing a department head. See Utah Code § 10-3b-202(1)(d)(ii).</w:t>
      </w:r>
      <w:r>
        <w:t xml:space="preserve">  The new Mayor, Ms. Walters, </w:t>
      </w:r>
      <w:r w:rsidRPr="00C21543">
        <w:t xml:space="preserve">took office on January 3, 2022. A week later, she and a majority of the </w:t>
      </w:r>
      <w:r>
        <w:t xml:space="preserve">[5-member] </w:t>
      </w:r>
      <w:r w:rsidRPr="00C21543">
        <w:t>Council sent Musser a letter terminating his</w:t>
      </w:r>
      <w:r>
        <w:t xml:space="preserve"> </w:t>
      </w:r>
      <w:r w:rsidRPr="00C21543">
        <w:t>employment</w:t>
      </w:r>
      <w:r>
        <w:t xml:space="preserve">. </w:t>
      </w:r>
      <w:hyperlink r:id="rId48" w:history="1">
        <w:r w:rsidRPr="007B3445">
          <w:rPr>
            <w:rStyle w:val="Hyperlink"/>
          </w:rPr>
          <w:t>https://cases.justia.com/utah/court-of-appeals-published/2025-20241334-ca.pdf?ts=1766864394</w:t>
        </w:r>
      </w:hyperlink>
      <w:r>
        <w:t xml:space="preserve"> </w:t>
      </w:r>
    </w:p>
    <w:p w14:paraId="73C11812" w14:textId="77777777" w:rsidR="00D035D9" w:rsidRDefault="00D035D9" w:rsidP="00D035D9">
      <w:pPr>
        <w:rPr>
          <w:bCs/>
        </w:rPr>
      </w:pPr>
    </w:p>
    <w:p w14:paraId="51C571EF" w14:textId="77777777" w:rsidR="00D035D9" w:rsidRDefault="00D035D9" w:rsidP="00D035D9">
      <w:pPr>
        <w:rPr>
          <w:bCs/>
        </w:rPr>
      </w:pPr>
      <w:r>
        <w:t xml:space="preserve">THE COURT HELD:  </w:t>
      </w:r>
    </w:p>
    <w:p w14:paraId="1EB0C05B" w14:textId="77777777" w:rsidR="00D035D9" w:rsidRDefault="00D035D9" w:rsidP="00D035D9">
      <w:pPr>
        <w:pStyle w:val="NoSpacing"/>
        <w:ind w:left="720"/>
        <w:rPr>
          <w:bCs/>
        </w:rPr>
      </w:pPr>
      <w:r>
        <w:t>“</w:t>
      </w:r>
      <w:r w:rsidRPr="00F2593C">
        <w:t xml:space="preserve">On November 2, 2021, </w:t>
      </w:r>
      <w:r>
        <w:t>[D</w:t>
      </w:r>
      <w:r w:rsidRPr="004B6AE3">
        <w:t xml:space="preserve">ina Mason </w:t>
      </w:r>
      <w:r>
        <w:t xml:space="preserve">] </w:t>
      </w:r>
      <w:r w:rsidRPr="00F2593C">
        <w:t>Walters was elected mayor of Apple Valley, with her term beginning in January 2022. Two days later,</w:t>
      </w:r>
      <w:r>
        <w:t xml:space="preserve"> </w:t>
      </w:r>
      <w:r w:rsidRPr="00F2593C">
        <w:t>on November 4, 2021, Musser entered into the Contract with Apple Valley to employ him as the chief of its fire and police</w:t>
      </w:r>
      <w:r>
        <w:t xml:space="preserve"> </w:t>
      </w:r>
      <w:r w:rsidRPr="00F2593C">
        <w:t>departments.</w:t>
      </w:r>
      <w:r>
        <w:t xml:space="preserve">  </w:t>
      </w:r>
      <w:r w:rsidRPr="00F2593C">
        <w:t xml:space="preserve">The mayor pro </w:t>
      </w:r>
      <w:proofErr w:type="spellStart"/>
      <w:proofErr w:type="gramStart"/>
      <w:r w:rsidRPr="00F2593C">
        <w:t>tem</w:t>
      </w:r>
      <w:proofErr w:type="spellEnd"/>
      <w:proofErr w:type="gramEnd"/>
      <w:r w:rsidRPr="00F2593C">
        <w:t xml:space="preserve"> </w:t>
      </w:r>
      <w:r>
        <w:t xml:space="preserve">[temporary acting Mayor] </w:t>
      </w:r>
      <w:r w:rsidRPr="00F2593C">
        <w:t>signed on behalf of Apple Valley. Musser began his employment on November 11, 2021.</w:t>
      </w:r>
    </w:p>
    <w:p w14:paraId="7DD0376D" w14:textId="77777777" w:rsidR="00D035D9" w:rsidRDefault="00D035D9" w:rsidP="00D035D9">
      <w:pPr>
        <w:pStyle w:val="NoSpacing"/>
        <w:ind w:left="720"/>
        <w:rPr>
          <w:bCs/>
        </w:rPr>
      </w:pPr>
    </w:p>
    <w:p w14:paraId="37EB3EAB" w14:textId="77777777" w:rsidR="00D035D9" w:rsidRDefault="00D035D9" w:rsidP="00D035D9">
      <w:pPr>
        <w:pStyle w:val="NoSpacing"/>
        <w:ind w:left="720"/>
        <w:rPr>
          <w:bCs/>
        </w:rPr>
      </w:pPr>
      <w:r w:rsidRPr="006D2942">
        <w:t xml:space="preserve">In response to concerns about the validity of the Contract and Musser's employment, the mayor pro </w:t>
      </w:r>
      <w:proofErr w:type="spellStart"/>
      <w:r w:rsidRPr="006D2942">
        <w:t>tem</w:t>
      </w:r>
      <w:proofErr w:type="spellEnd"/>
      <w:r w:rsidRPr="006D2942">
        <w:t xml:space="preserve"> presented the Council</w:t>
      </w:r>
      <w:r>
        <w:t xml:space="preserve"> </w:t>
      </w:r>
      <w:r w:rsidRPr="006D2942">
        <w:t xml:space="preserve">with a resolution (the Appointment Resolution) on December 2, 2021, to confirm </w:t>
      </w:r>
      <w:r w:rsidRPr="006D2942">
        <w:lastRenderedPageBreak/>
        <w:t>Musser's appointment as the police and fire</w:t>
      </w:r>
      <w:r>
        <w:t xml:space="preserve"> </w:t>
      </w:r>
      <w:r w:rsidRPr="004E3A4E">
        <w:t>chief. Of the five Council members, only three voted on the Appointment Resolution, with two in favor and one against. The</w:t>
      </w:r>
      <w:r>
        <w:t xml:space="preserve"> </w:t>
      </w:r>
      <w:r w:rsidRPr="004E3A4E">
        <w:t>other two Council members were absent from the vote.</w:t>
      </w:r>
    </w:p>
    <w:p w14:paraId="56CFF984" w14:textId="77777777" w:rsidR="00D035D9" w:rsidRDefault="00D035D9" w:rsidP="00D035D9">
      <w:pPr>
        <w:pStyle w:val="NoSpacing"/>
        <w:ind w:left="720"/>
        <w:rPr>
          <w:bCs/>
        </w:rPr>
      </w:pPr>
    </w:p>
    <w:p w14:paraId="03A41D2A" w14:textId="77777777" w:rsidR="00D035D9" w:rsidRDefault="00D035D9" w:rsidP="00D035D9">
      <w:pPr>
        <w:pStyle w:val="NoSpacing"/>
        <w:ind w:left="720"/>
        <w:rPr>
          <w:bCs/>
        </w:rPr>
      </w:pPr>
      <w:r w:rsidRPr="00C21543">
        <w:t xml:space="preserve">Walters took office on January 3, 2022. A week later, she and </w:t>
      </w:r>
      <w:proofErr w:type="gramStart"/>
      <w:r w:rsidRPr="00C21543">
        <w:t>a majority of</w:t>
      </w:r>
      <w:proofErr w:type="gramEnd"/>
      <w:r w:rsidRPr="00C21543">
        <w:t xml:space="preserve"> the Council sent Musser a letter terminating his</w:t>
      </w:r>
      <w:r>
        <w:t xml:space="preserve"> </w:t>
      </w:r>
      <w:r w:rsidRPr="00C21543">
        <w:t>employment, which gave several reasons for Musser's termination. As relevant to this appeal, the letter explained that Musser's</w:t>
      </w:r>
      <w:r>
        <w:t xml:space="preserve"> </w:t>
      </w:r>
      <w:r w:rsidRPr="00C21543">
        <w:t xml:space="preserve">termination was necessary because the Council </w:t>
      </w:r>
      <w:r>
        <w:t>‘</w:t>
      </w:r>
      <w:r w:rsidRPr="00C21543">
        <w:t>never approved or ratified</w:t>
      </w:r>
      <w:r>
        <w:t>’</w:t>
      </w:r>
      <w:r w:rsidRPr="00C21543">
        <w:t xml:space="preserve"> the Contract.</w:t>
      </w:r>
    </w:p>
    <w:p w14:paraId="49FF906D" w14:textId="77777777" w:rsidR="00D035D9" w:rsidRDefault="00D035D9" w:rsidP="00D035D9">
      <w:pPr>
        <w:pStyle w:val="NoSpacing"/>
        <w:ind w:left="720"/>
        <w:rPr>
          <w:bCs/>
        </w:rPr>
      </w:pPr>
    </w:p>
    <w:p w14:paraId="6C5479F7" w14:textId="77777777" w:rsidR="00D035D9" w:rsidRDefault="00D035D9" w:rsidP="00D035D9">
      <w:pPr>
        <w:pStyle w:val="NoSpacing"/>
        <w:ind w:left="720"/>
        <w:rPr>
          <w:bCs/>
        </w:rPr>
      </w:pPr>
      <w:r>
        <w:t>***</w:t>
      </w:r>
    </w:p>
    <w:p w14:paraId="7FD7E6CC" w14:textId="77777777" w:rsidR="00D035D9" w:rsidRDefault="00D035D9" w:rsidP="00D035D9">
      <w:pPr>
        <w:pStyle w:val="NoSpacing"/>
        <w:ind w:left="720"/>
        <w:rPr>
          <w:bCs/>
        </w:rPr>
      </w:pPr>
      <w:r w:rsidRPr="00711A48">
        <w:t>In response to his termination, Musser filed a complaint against the Town alleging breach of the Contract because he</w:t>
      </w:r>
      <w:r>
        <w:t xml:space="preserve"> </w:t>
      </w:r>
      <w:r w:rsidRPr="00711A48">
        <w:t xml:space="preserve">was terminated </w:t>
      </w:r>
      <w:r>
        <w:t>‘</w:t>
      </w:r>
      <w:r w:rsidRPr="00711A48">
        <w:t>without notice</w:t>
      </w:r>
      <w:r>
        <w:t>’</w:t>
      </w:r>
      <w:r w:rsidRPr="00711A48">
        <w:t xml:space="preserve"> and was not given the severance he was entitled to under the Contract. The Contract described</w:t>
      </w:r>
      <w:r>
        <w:t xml:space="preserve"> </w:t>
      </w:r>
      <w:r w:rsidRPr="00711A48">
        <w:t xml:space="preserve">reasonable and sufficient notice as </w:t>
      </w:r>
      <w:r>
        <w:t>‘</w:t>
      </w:r>
      <w:r w:rsidRPr="00711A48">
        <w:t>the greater of four (4) weeks or any minimum notice required by law</w:t>
      </w:r>
      <w:r>
        <w:t xml:space="preserve">’ </w:t>
      </w:r>
      <w:r w:rsidRPr="00711A48">
        <w:t xml:space="preserve"> and provided, </w:t>
      </w:r>
      <w:r>
        <w:t>‘</w:t>
      </w:r>
      <w:r w:rsidRPr="00711A48">
        <w:t>Upon</w:t>
      </w:r>
      <w:r>
        <w:t xml:space="preserve"> </w:t>
      </w:r>
      <w:r w:rsidRPr="00711A48">
        <w:t>any termination, by [Apple Valley], the employee will be entitled to one full year of compensation paid within 14 days of</w:t>
      </w:r>
      <w:r>
        <w:t xml:space="preserve"> </w:t>
      </w:r>
      <w:r w:rsidRPr="00711A48">
        <w:t>termination.</w:t>
      </w:r>
      <w:r>
        <w:t>’</w:t>
      </w:r>
    </w:p>
    <w:p w14:paraId="18BE19DF" w14:textId="77777777" w:rsidR="00D035D9" w:rsidRDefault="00D035D9" w:rsidP="00D035D9">
      <w:pPr>
        <w:pStyle w:val="NoSpacing"/>
        <w:ind w:left="720"/>
        <w:rPr>
          <w:bCs/>
        </w:rPr>
      </w:pPr>
    </w:p>
    <w:p w14:paraId="4FF339EE" w14:textId="77777777" w:rsidR="00D035D9" w:rsidRDefault="00D035D9" w:rsidP="00D035D9">
      <w:pPr>
        <w:pStyle w:val="NoSpacing"/>
        <w:ind w:left="720"/>
        <w:rPr>
          <w:bCs/>
        </w:rPr>
      </w:pPr>
      <w:r>
        <w:t>***</w:t>
      </w:r>
    </w:p>
    <w:p w14:paraId="410248F6" w14:textId="77777777" w:rsidR="00D035D9" w:rsidRDefault="00D035D9" w:rsidP="00D035D9">
      <w:pPr>
        <w:pStyle w:val="NoSpacing"/>
        <w:ind w:left="720"/>
        <w:rPr>
          <w:bCs/>
        </w:rPr>
      </w:pPr>
    </w:p>
    <w:p w14:paraId="0FB5D59E" w14:textId="77777777" w:rsidR="00D035D9" w:rsidRDefault="00D035D9" w:rsidP="00D035D9">
      <w:pPr>
        <w:pStyle w:val="NoSpacing"/>
        <w:ind w:left="720"/>
        <w:rPr>
          <w:bCs/>
        </w:rPr>
      </w:pPr>
      <w:r w:rsidRPr="0049467E">
        <w:t>The district court concluded that the Contract was null and void as an ultra vires act because Musser was hired without</w:t>
      </w:r>
      <w:r>
        <w:t xml:space="preserve"> </w:t>
      </w:r>
      <w:r w:rsidRPr="0049467E">
        <w:t>the advice and consent of the Council. Specifically, the district court concluded that the council-mayor form of government</w:t>
      </w:r>
      <w:r>
        <w:t xml:space="preserve"> ‘</w:t>
      </w:r>
      <w:r w:rsidRPr="0049467E">
        <w:t>allowed [Musser] to be hired as the head of [Apple Valley's] police and fire departments only with the advice and consent</w:t>
      </w:r>
      <w:r>
        <w:t xml:space="preserve"> </w:t>
      </w:r>
      <w:r w:rsidRPr="0049467E">
        <w:t>of the ... Council</w:t>
      </w:r>
      <w:r>
        <w:t xml:space="preserve">’ </w:t>
      </w:r>
      <w:r w:rsidRPr="0049467E">
        <w:t xml:space="preserve">pursuant to Utah law. Because the Contract was </w:t>
      </w:r>
      <w:r>
        <w:t>‘</w:t>
      </w:r>
      <w:r w:rsidRPr="0049467E">
        <w:t>executed in violation of ... statute,</w:t>
      </w:r>
      <w:r>
        <w:t>’</w:t>
      </w:r>
      <w:r w:rsidRPr="0049467E">
        <w:t xml:space="preserve"> it was </w:t>
      </w:r>
      <w:r>
        <w:t>‘</w:t>
      </w:r>
      <w:r w:rsidRPr="0049467E">
        <w:t>null and void</w:t>
      </w:r>
      <w:r>
        <w:t xml:space="preserve"> </w:t>
      </w:r>
      <w:r w:rsidRPr="0049467E">
        <w:t>as an ultra vires act.</w:t>
      </w:r>
      <w:r>
        <w:t>’</w:t>
      </w:r>
    </w:p>
    <w:p w14:paraId="4DD0D67B" w14:textId="77777777" w:rsidR="00D035D9" w:rsidRDefault="00D035D9" w:rsidP="00D035D9">
      <w:pPr>
        <w:pStyle w:val="NoSpacing"/>
        <w:ind w:left="720"/>
        <w:rPr>
          <w:bCs/>
        </w:rPr>
      </w:pPr>
    </w:p>
    <w:p w14:paraId="5FC0FC7B" w14:textId="77777777" w:rsidR="00D035D9" w:rsidRDefault="00D035D9" w:rsidP="00D035D9">
      <w:pPr>
        <w:pStyle w:val="NoSpacing"/>
        <w:ind w:left="720"/>
        <w:rPr>
          <w:bCs/>
        </w:rPr>
      </w:pPr>
      <w:r w:rsidRPr="0099019A">
        <w:t xml:space="preserve">Musser does not challenge this conclusion by the district court. Rather, he asserts </w:t>
      </w:r>
      <w:proofErr w:type="gramStart"/>
      <w:r w:rsidRPr="0099019A">
        <w:t>a number of</w:t>
      </w:r>
      <w:proofErr w:type="gramEnd"/>
      <w:r w:rsidRPr="0099019A">
        <w:t xml:space="preserve"> arguments as to why the</w:t>
      </w:r>
      <w:r>
        <w:t xml:space="preserve"> </w:t>
      </w:r>
      <w:r w:rsidRPr="0099019A">
        <w:t>Contract is nonetheless enforceable, including that he had no knowledge of the relevant statutes and ordinances and that Apple</w:t>
      </w:r>
      <w:r>
        <w:t xml:space="preserve"> </w:t>
      </w:r>
      <w:r w:rsidRPr="0099019A">
        <w:t>Valley ratified the Contract by acquiescence. We find neither argument persuasive</w:t>
      </w:r>
      <w:r>
        <w:t xml:space="preserve">…. </w:t>
      </w:r>
      <w:r w:rsidRPr="00B50A0A">
        <w:t xml:space="preserve">Thus, the mayor pro </w:t>
      </w:r>
      <w:proofErr w:type="spellStart"/>
      <w:r w:rsidRPr="00B50A0A">
        <w:t>tem's</w:t>
      </w:r>
      <w:proofErr w:type="spellEnd"/>
      <w:r w:rsidRPr="00B50A0A">
        <w:t xml:space="preserve"> apparent authority and Musser's lack of knowledge are irrelevant and cannot overcome</w:t>
      </w:r>
      <w:r>
        <w:t xml:space="preserve"> </w:t>
      </w:r>
      <w:r w:rsidRPr="00B50A0A">
        <w:t>the fact that the Contract was never approved by Apple Valley</w:t>
      </w:r>
      <w:r>
        <w:t xml:space="preserve">…. </w:t>
      </w:r>
      <w:r w:rsidRPr="00100751">
        <w:t>The district court did not err in concluding that the Contract was invalid, because the Council never gave its advice and</w:t>
      </w:r>
      <w:r>
        <w:t xml:space="preserve"> </w:t>
      </w:r>
      <w:r w:rsidRPr="00100751">
        <w:t>consent as required by statute. Musser's arguments to the contrary are unavailing. Accordingly, we affirm the district court's</w:t>
      </w:r>
      <w:r>
        <w:t xml:space="preserve"> </w:t>
      </w:r>
      <w:r w:rsidRPr="00100751">
        <w:t>grant of summary judgment in favor of the Town</w:t>
      </w:r>
      <w:r>
        <w:t>.”</w:t>
      </w:r>
    </w:p>
    <w:p w14:paraId="09A2E5AF" w14:textId="77777777" w:rsidR="00D035D9" w:rsidRDefault="00D035D9" w:rsidP="00D035D9">
      <w:pPr>
        <w:pStyle w:val="NoSpacing"/>
        <w:ind w:left="720"/>
        <w:rPr>
          <w:bCs/>
        </w:rPr>
      </w:pPr>
    </w:p>
    <w:p w14:paraId="49522CBC" w14:textId="77777777" w:rsidR="00D035D9" w:rsidRDefault="00D035D9" w:rsidP="00D035D9">
      <w:pPr>
        <w:pStyle w:val="NoSpacing"/>
        <w:rPr>
          <w:b/>
        </w:rPr>
      </w:pPr>
      <w:r>
        <w:rPr>
          <w:b/>
        </w:rPr>
        <w:t>Legal lesson learned: Before accepting new position as Fire Chief, you need to first meet with the incoming Mayor and Council members before signing the contract.</w:t>
      </w:r>
    </w:p>
    <w:p w14:paraId="708B110B" w14:textId="77777777" w:rsidR="00D035D9" w:rsidRDefault="00D035D9" w:rsidP="00D035D9">
      <w:pPr>
        <w:pStyle w:val="NoSpacing"/>
        <w:rPr>
          <w:b/>
        </w:rPr>
      </w:pPr>
    </w:p>
    <w:p w14:paraId="2219D0A7" w14:textId="77777777" w:rsidR="00D035D9" w:rsidRDefault="00D035D9" w:rsidP="00D035D9">
      <w:pPr>
        <w:pStyle w:val="NoSpacing"/>
      </w:pPr>
      <w:r w:rsidRPr="0056174D">
        <w:t xml:space="preserve">Note:  </w:t>
      </w:r>
      <w:r>
        <w:t xml:space="preserve">Read the plaintiff’s lawsuit; he apparently had been in discussions with Mayor Dale Beddo since August 2021 and took the necessary courses to be certified as a firefighter and police officer.  </w:t>
      </w:r>
      <w:hyperlink r:id="rId49" w:history="1">
        <w:r w:rsidRPr="00811005">
          <w:rPr>
            <w:rStyle w:val="Hyperlink"/>
          </w:rPr>
          <w:t>https://www.facebook.com/groups/336997465025309/posts/424479052943816/</w:t>
        </w:r>
      </w:hyperlink>
    </w:p>
    <w:p w14:paraId="536661AC" w14:textId="77777777" w:rsidR="00D035D9" w:rsidRDefault="00D035D9" w:rsidP="00D035D9">
      <w:pPr>
        <w:pStyle w:val="NoSpacing"/>
      </w:pPr>
    </w:p>
    <w:p w14:paraId="131854FD" w14:textId="77777777" w:rsidR="00473C4B" w:rsidRDefault="00D035D9" w:rsidP="00037CB8">
      <w:pPr>
        <w:pStyle w:val="NoSpacing"/>
        <w:rPr>
          <w:rFonts w:ascii="Arial Black" w:hAnsi="Arial Black"/>
          <w:sz w:val="24"/>
          <w:szCs w:val="24"/>
        </w:rPr>
      </w:pPr>
      <w:r>
        <w:rPr>
          <w:rFonts w:ascii="Arial Black" w:hAnsi="Arial Black"/>
          <w:sz w:val="24"/>
          <w:szCs w:val="24"/>
        </w:rPr>
        <w:t xml:space="preserve"> </w:t>
      </w:r>
    </w:p>
    <w:p w14:paraId="22ADC4D3" w14:textId="4DC2845E" w:rsidR="00473C4B" w:rsidRDefault="00473C4B" w:rsidP="00037CB8">
      <w:pPr>
        <w:pStyle w:val="NoSpacing"/>
        <w:rPr>
          <w:rFonts w:ascii="Arial Black" w:hAnsi="Arial Black"/>
          <w:sz w:val="24"/>
          <w:szCs w:val="24"/>
        </w:rPr>
      </w:pPr>
      <w:r>
        <w:rPr>
          <w:rFonts w:ascii="Arial Black" w:hAnsi="Arial Black"/>
          <w:sz w:val="24"/>
          <w:szCs w:val="24"/>
        </w:rPr>
        <w:t>1-</w:t>
      </w:r>
      <w:r w:rsidR="00A44AF2">
        <w:rPr>
          <w:rFonts w:ascii="Arial Black" w:hAnsi="Arial Black"/>
          <w:sz w:val="24"/>
          <w:szCs w:val="24"/>
        </w:rPr>
        <w:t>199</w:t>
      </w:r>
    </w:p>
    <w:p w14:paraId="5A848819" w14:textId="77777777" w:rsidR="00473C4B" w:rsidRDefault="00473C4B" w:rsidP="00473C4B">
      <w:pPr>
        <w:pStyle w:val="NoSpacing"/>
        <w:rPr>
          <w:rFonts w:ascii="Arial Black" w:hAnsi="Arial Black"/>
          <w:sz w:val="28"/>
          <w:szCs w:val="28"/>
        </w:rPr>
      </w:pPr>
      <w:r>
        <w:rPr>
          <w:rFonts w:ascii="Arial Black" w:hAnsi="Arial Black"/>
          <w:sz w:val="28"/>
          <w:szCs w:val="28"/>
        </w:rPr>
        <w:t>KY: FF RESIDENCY – FDs CAN REQUIRE – NEED NEW LAW</w:t>
      </w:r>
    </w:p>
    <w:p w14:paraId="2965FF20" w14:textId="77777777" w:rsidR="00473C4B" w:rsidRDefault="00473C4B" w:rsidP="00473C4B">
      <w:pPr>
        <w:pStyle w:val="NoSpacing"/>
        <w:rPr>
          <w:bCs/>
        </w:rPr>
      </w:pPr>
    </w:p>
    <w:p w14:paraId="48F93283" w14:textId="34E20D58" w:rsidR="00473C4B" w:rsidRDefault="00473C4B" w:rsidP="00473C4B">
      <w:pPr>
        <w:pStyle w:val="NoSpacing"/>
        <w:rPr>
          <w:bCs/>
        </w:rPr>
      </w:pPr>
      <w:r>
        <w:t xml:space="preserve">On December 18, 2025, in </w:t>
      </w:r>
      <w:r w:rsidRPr="001A4912">
        <w:rPr>
          <w:u w:val="single"/>
        </w:rPr>
        <w:t>Nathan Torain, et al. v. City of Paducah</w:t>
      </w:r>
      <w:r>
        <w:t xml:space="preserve">, the Kentuck Supreme Court held (6 to 1) that the City of Paducah, which has no ambulances and relies on private ambulance service to transport patients, may impose a residency requirement that firefighters to live within McCracken County (their ordinance has exception – can reside outside County if live within 45 minute response time of Station 4).  The state legislature was concerned about recruitment, particularly in rural areas has enacted a statute with following prohibition on residency. </w:t>
      </w:r>
      <w:r w:rsidRPr="00FF28DE">
        <w:t>KRS 311A.027(1) states “No public agency, tax district, or other publicly</w:t>
      </w:r>
      <w:r>
        <w:t xml:space="preserve"> </w:t>
      </w:r>
      <w:r w:rsidRPr="00FF28DE">
        <w:t>funded emergency medical service first response provider or licensed</w:t>
      </w:r>
      <w:r>
        <w:t xml:space="preserve"> </w:t>
      </w:r>
      <w:r w:rsidRPr="00FF28DE">
        <w:t>ambulance service shall have a residence requirement for an employee of or</w:t>
      </w:r>
      <w:r>
        <w:t xml:space="preserve"> </w:t>
      </w:r>
      <w:r w:rsidRPr="00FF28DE">
        <w:t>volunteer for the organization.”</w:t>
      </w:r>
      <w:r>
        <w:t xml:space="preserve">  The Kentucky Supreme Court majority decision recognizes that many fire departments do have ambulances and suggests </w:t>
      </w:r>
      <w:r>
        <w:lastRenderedPageBreak/>
        <w:t xml:space="preserve">that Kentucky legislature clarify whether “fire &amp; EMS” departments can impose a residency requirement.  The one Dissenting Justice would extend the residency statute to Paducah, which has </w:t>
      </w:r>
      <w:r w:rsidRPr="00A3098D">
        <w:t>five (5) fire stations</w:t>
      </w:r>
      <w:r>
        <w:t xml:space="preserve">, and </w:t>
      </w:r>
      <w:r w:rsidRPr="00A3098D">
        <w:t>one (1) private ambulance</w:t>
      </w:r>
      <w:r>
        <w:t xml:space="preserve"> </w:t>
      </w:r>
      <w:r w:rsidRPr="00A3098D">
        <w:t>station</w:t>
      </w:r>
      <w:r>
        <w:t xml:space="preserve">, and all firefighters must be EMTs. </w:t>
      </w:r>
      <w:r w:rsidR="00F84DC5">
        <w:t xml:space="preserve"> </w:t>
      </w:r>
      <w:hyperlink r:id="rId50" w:history="1">
        <w:r w:rsidR="00F84DC5" w:rsidRPr="00D0038D">
          <w:rPr>
            <w:rStyle w:val="Hyperlink"/>
          </w:rPr>
          <w:t>https://law.justia.com/cases/kentucky/supreme-court/2025/2023-sc-0395-dg.html</w:t>
        </w:r>
      </w:hyperlink>
      <w:r w:rsidR="00F84DC5">
        <w:t xml:space="preserve"> </w:t>
      </w:r>
    </w:p>
    <w:p w14:paraId="1B1394CC" w14:textId="77777777" w:rsidR="00473C4B" w:rsidRDefault="00473C4B" w:rsidP="00473C4B">
      <w:pPr>
        <w:pStyle w:val="NoSpacing"/>
        <w:rPr>
          <w:bCs/>
        </w:rPr>
      </w:pPr>
    </w:p>
    <w:p w14:paraId="59401B58" w14:textId="77777777" w:rsidR="00473C4B" w:rsidRDefault="00473C4B" w:rsidP="00473C4B">
      <w:pPr>
        <w:pStyle w:val="NoSpacing"/>
      </w:pPr>
      <w:r>
        <w:t>THE COURT HELD:</w:t>
      </w:r>
    </w:p>
    <w:p w14:paraId="0B65D284" w14:textId="77777777" w:rsidR="00473C4B" w:rsidRDefault="00473C4B" w:rsidP="00473C4B">
      <w:pPr>
        <w:pStyle w:val="NoSpacing"/>
      </w:pPr>
    </w:p>
    <w:p w14:paraId="5C49D9BC" w14:textId="77777777" w:rsidR="00473C4B" w:rsidRDefault="00473C4B" w:rsidP="00473C4B">
      <w:pPr>
        <w:pStyle w:val="NoSpacing"/>
        <w:ind w:left="720"/>
      </w:pPr>
      <w:r>
        <w:t xml:space="preserve">“Paducah’s Ordinance § 2-304 states, ‘All members of the fire department hired after October 1, 1998, shall reside within McCracken County or within forty-five minutes of Station 4 as measured by a recognized mapping program . . . as a condition of their continued employment with the fire department of the city.’ </w:t>
      </w:r>
    </w:p>
    <w:p w14:paraId="1832DB97" w14:textId="77777777" w:rsidR="00473C4B" w:rsidRDefault="00473C4B" w:rsidP="00473C4B">
      <w:pPr>
        <w:pStyle w:val="NoSpacing"/>
      </w:pPr>
    </w:p>
    <w:p w14:paraId="721EDE9C" w14:textId="77777777" w:rsidR="00473C4B" w:rsidRDefault="00473C4B" w:rsidP="00473C4B">
      <w:pPr>
        <w:pStyle w:val="NoSpacing"/>
        <w:ind w:firstLine="720"/>
      </w:pPr>
      <w:r>
        <w:t>***</w:t>
      </w:r>
    </w:p>
    <w:p w14:paraId="254EEDB3" w14:textId="77777777" w:rsidR="00473C4B" w:rsidRDefault="00473C4B" w:rsidP="00473C4B">
      <w:pPr>
        <w:pStyle w:val="NoSpacing"/>
      </w:pPr>
    </w:p>
    <w:p w14:paraId="6001BC93" w14:textId="77777777" w:rsidR="00473C4B" w:rsidRDefault="00473C4B" w:rsidP="00473C4B">
      <w:pPr>
        <w:pStyle w:val="NoSpacing"/>
        <w:ind w:firstLine="720"/>
      </w:pPr>
      <w:r>
        <w:t>The trial court found,</w:t>
      </w:r>
    </w:p>
    <w:p w14:paraId="3DAC375B" w14:textId="77777777" w:rsidR="00473C4B" w:rsidRDefault="00473C4B" w:rsidP="00473C4B">
      <w:pPr>
        <w:pStyle w:val="NoSpacing"/>
      </w:pPr>
    </w:p>
    <w:p w14:paraId="12D483BD" w14:textId="77777777" w:rsidR="00473C4B" w:rsidRDefault="00473C4B" w:rsidP="00473C4B">
      <w:pPr>
        <w:pStyle w:val="NoSpacing"/>
        <w:ind w:left="1440"/>
      </w:pPr>
      <w:r>
        <w:t xml:space="preserve">‘If Paducah firefighters were emergency medical service first responders only, or even if their primary duty were medical service first response providers, Torian’s argument may have merit. However, firefighters are firefighters first and emergency medical responders second. KRS 311A.027 was not intended to apply to firefighters. Firefighters’ duties are governed by KRS Chapter 95 </w:t>
      </w:r>
      <w:proofErr w:type="gramStart"/>
      <w:r>
        <w:t>which was</w:t>
      </w:r>
      <w:proofErr w:type="gramEnd"/>
      <w:r>
        <w:t xml:space="preserve"> does not preclude ordinances establishing residence requirements for firefighters. If the legislature had intended for this section to apply to </w:t>
      </w:r>
      <w:proofErr w:type="gramStart"/>
      <w:r>
        <w:t>firefighters</w:t>
      </w:r>
      <w:proofErr w:type="gramEnd"/>
      <w:r>
        <w:t xml:space="preserve"> it would have used the term ‘firefighter’ in the body of the subsection and would not have</w:t>
      </w:r>
    </w:p>
    <w:p w14:paraId="7DCEAFCA" w14:textId="77777777" w:rsidR="00473C4B" w:rsidRDefault="00473C4B" w:rsidP="00473C4B">
      <w:pPr>
        <w:pStyle w:val="NoSpacing"/>
        <w:ind w:left="1440"/>
      </w:pPr>
      <w:r>
        <w:t>placed the statute in a chapter dealing exclusively with emergency medical services.’</w:t>
      </w:r>
    </w:p>
    <w:p w14:paraId="7D3AD92E" w14:textId="77777777" w:rsidR="00473C4B" w:rsidRDefault="00473C4B" w:rsidP="00473C4B">
      <w:pPr>
        <w:ind w:firstLine="720"/>
        <w:rPr>
          <w:bCs/>
        </w:rPr>
      </w:pPr>
      <w:r>
        <w:t>***</w:t>
      </w:r>
    </w:p>
    <w:p w14:paraId="55AAC334" w14:textId="77777777" w:rsidR="00473C4B" w:rsidRPr="00610A05" w:rsidRDefault="00473C4B" w:rsidP="00473C4B">
      <w:pPr>
        <w:pStyle w:val="NoSpacing"/>
        <w:ind w:left="720"/>
        <w:rPr>
          <w:bCs/>
        </w:rPr>
      </w:pPr>
      <w:r w:rsidRPr="00610A05">
        <w:t>At first blush, this term would seem to</w:t>
      </w:r>
      <w:r>
        <w:t xml:space="preserve"> </w:t>
      </w:r>
      <w:r w:rsidRPr="00610A05">
        <w:t>encompass fire departments since they respond to emergencies; are first</w:t>
      </w:r>
      <w:r>
        <w:t xml:space="preserve"> </w:t>
      </w:r>
      <w:r w:rsidRPr="00610A05">
        <w:t>responders; and firefighters do, or at least are trained to, provide medical</w:t>
      </w:r>
      <w:r>
        <w:t xml:space="preserve"> </w:t>
      </w:r>
      <w:r w:rsidRPr="00610A05">
        <w:t>service when called. Reference to the regulations, however, demonstrates that</w:t>
      </w:r>
    </w:p>
    <w:p w14:paraId="130F87B9" w14:textId="77777777" w:rsidR="00473C4B" w:rsidRDefault="00473C4B" w:rsidP="00473C4B">
      <w:pPr>
        <w:pStyle w:val="NoSpacing"/>
        <w:ind w:left="720"/>
        <w:rPr>
          <w:bCs/>
        </w:rPr>
      </w:pPr>
      <w:proofErr w:type="gramStart"/>
      <w:r w:rsidRPr="00610A05">
        <w:t>emergency</w:t>
      </w:r>
      <w:proofErr w:type="gramEnd"/>
      <w:r w:rsidRPr="00610A05">
        <w:t xml:space="preserve"> medical first response services are exclusively understood in the</w:t>
      </w:r>
      <w:r>
        <w:t xml:space="preserve"> </w:t>
      </w:r>
      <w:r w:rsidRPr="00610A05">
        <w:t>context of ambulance services. Since Paducah Fire Department does not</w:t>
      </w:r>
      <w:r>
        <w:t xml:space="preserve"> </w:t>
      </w:r>
      <w:r w:rsidRPr="00610A05">
        <w:t>provide ambulance services it is not covered by KRS 311A.027(1)</w:t>
      </w:r>
      <w:r>
        <w:t>.</w:t>
      </w:r>
    </w:p>
    <w:p w14:paraId="55D671EA" w14:textId="77777777" w:rsidR="00473C4B" w:rsidRDefault="00473C4B" w:rsidP="00473C4B">
      <w:pPr>
        <w:pStyle w:val="NoSpacing"/>
        <w:ind w:left="720"/>
        <w:rPr>
          <w:bCs/>
        </w:rPr>
      </w:pPr>
    </w:p>
    <w:p w14:paraId="1EDCF035" w14:textId="77777777" w:rsidR="00473C4B" w:rsidRDefault="00473C4B" w:rsidP="00473C4B">
      <w:pPr>
        <w:pStyle w:val="NoSpacing"/>
        <w:ind w:left="720"/>
        <w:rPr>
          <w:bCs/>
        </w:rPr>
      </w:pPr>
      <w:r>
        <w:t>***</w:t>
      </w:r>
    </w:p>
    <w:p w14:paraId="1CF7DEB3" w14:textId="77777777" w:rsidR="00473C4B" w:rsidRDefault="00473C4B" w:rsidP="00473C4B">
      <w:pPr>
        <w:pStyle w:val="NoSpacing"/>
        <w:ind w:left="720"/>
        <w:rPr>
          <w:bCs/>
        </w:rPr>
      </w:pPr>
      <w:r w:rsidRPr="003F0DC2">
        <w:t xml:space="preserve">The Paducah Fire Department does not maintain an </w:t>
      </w:r>
      <w:proofErr w:type="gramStart"/>
      <w:r w:rsidRPr="003F0DC2">
        <w:t>ambulance</w:t>
      </w:r>
      <w:proofErr w:type="gramEnd"/>
      <w:r w:rsidRPr="003F0DC2">
        <w:t xml:space="preserve"> and it does not</w:t>
      </w:r>
      <w:r>
        <w:t xml:space="preserve">  </w:t>
      </w:r>
      <w:r w:rsidRPr="007F3D51">
        <w:t>provide ambulance services</w:t>
      </w:r>
      <w:r>
        <w:t xml:space="preserve">. </w:t>
      </w:r>
      <w:r w:rsidRPr="007F3D51">
        <w:t xml:space="preserve"> </w:t>
      </w:r>
      <w:r>
        <w:t xml:space="preserve">[Footnote 8.] </w:t>
      </w:r>
      <w:r w:rsidRPr="007F3D51">
        <w:t xml:space="preserve">It is not a </w:t>
      </w:r>
      <w:r>
        <w:t>‘</w:t>
      </w:r>
      <w:r w:rsidRPr="007F3D51">
        <w:t>medical first response agency</w:t>
      </w:r>
      <w:r>
        <w:t xml:space="preserve">’ </w:t>
      </w:r>
      <w:r w:rsidRPr="007F3D51">
        <w:t>under</w:t>
      </w:r>
      <w:r>
        <w:t xml:space="preserve"> </w:t>
      </w:r>
      <w:r w:rsidRPr="007F3D51">
        <w:t xml:space="preserve">the regulations, therefore, we conclude it is not an </w:t>
      </w:r>
      <w:r>
        <w:t>‘</w:t>
      </w:r>
      <w:r w:rsidRPr="007F3D51">
        <w:t>emergency medical first</w:t>
      </w:r>
      <w:r>
        <w:t xml:space="preserve"> </w:t>
      </w:r>
      <w:r w:rsidRPr="007F3D51">
        <w:t>response provider</w:t>
      </w:r>
      <w:r>
        <w:t>’</w:t>
      </w:r>
      <w:r w:rsidRPr="007F3D51">
        <w:t xml:space="preserve"> under KRS 311A.027(1) since the two phrases are</w:t>
      </w:r>
      <w:r>
        <w:t xml:space="preserve"> </w:t>
      </w:r>
      <w:r w:rsidRPr="007F3D51">
        <w:t>functionally equivalent.</w:t>
      </w:r>
    </w:p>
    <w:p w14:paraId="6C272A67" w14:textId="77777777" w:rsidR="00473C4B" w:rsidRDefault="00473C4B" w:rsidP="00473C4B">
      <w:pPr>
        <w:pStyle w:val="NoSpacing"/>
        <w:ind w:left="720"/>
        <w:rPr>
          <w:bCs/>
        </w:rPr>
      </w:pPr>
    </w:p>
    <w:p w14:paraId="3592A628" w14:textId="77777777" w:rsidR="00473C4B" w:rsidRDefault="00473C4B" w:rsidP="00473C4B">
      <w:pPr>
        <w:pStyle w:val="NoSpacing"/>
        <w:ind w:left="1440"/>
        <w:rPr>
          <w:bCs/>
        </w:rPr>
      </w:pPr>
      <w:r>
        <w:t xml:space="preserve">Footnote 8: </w:t>
      </w:r>
      <w:r w:rsidRPr="001E1034">
        <w:t xml:space="preserve">Paducah represented both in briefing </w:t>
      </w:r>
      <w:proofErr w:type="gramStart"/>
      <w:r w:rsidRPr="001E1034">
        <w:t>and at</w:t>
      </w:r>
      <w:proofErr w:type="gramEnd"/>
      <w:r w:rsidRPr="001E1034">
        <w:t xml:space="preserve"> oral argument that Paducah Fire</w:t>
      </w:r>
      <w:r>
        <w:t xml:space="preserve"> </w:t>
      </w:r>
      <w:r w:rsidRPr="001E1034">
        <w:t>Department does not operate an ambulance service. The only ambulance service in</w:t>
      </w:r>
      <w:r>
        <w:t xml:space="preserve"> </w:t>
      </w:r>
      <w:r w:rsidRPr="001E1034">
        <w:t>Paducah is a private company operated by the local hospitals. Torian has not denied</w:t>
      </w:r>
      <w:r>
        <w:t xml:space="preserve"> </w:t>
      </w:r>
      <w:r w:rsidRPr="001E1034">
        <w:t>this assertion nor produced evidence to the contrary.</w:t>
      </w:r>
    </w:p>
    <w:p w14:paraId="55FD265F" w14:textId="77777777" w:rsidR="00473C4B" w:rsidRDefault="00473C4B" w:rsidP="00473C4B">
      <w:pPr>
        <w:pStyle w:val="NoSpacing"/>
        <w:ind w:left="1440"/>
        <w:rPr>
          <w:bCs/>
        </w:rPr>
      </w:pPr>
    </w:p>
    <w:p w14:paraId="6BB5DC2E" w14:textId="77777777" w:rsidR="00473C4B" w:rsidRDefault="00473C4B" w:rsidP="00473C4B">
      <w:pPr>
        <w:pStyle w:val="NoSpacing"/>
        <w:rPr>
          <w:bCs/>
        </w:rPr>
      </w:pPr>
      <w:r>
        <w:tab/>
        <w:t>***</w:t>
      </w:r>
    </w:p>
    <w:p w14:paraId="3ACCD077" w14:textId="77777777" w:rsidR="00473C4B" w:rsidRDefault="00473C4B" w:rsidP="00473C4B">
      <w:pPr>
        <w:pStyle w:val="NoSpacing"/>
        <w:rPr>
          <w:bCs/>
        </w:rPr>
      </w:pPr>
    </w:p>
    <w:p w14:paraId="5E663387" w14:textId="77777777" w:rsidR="00473C4B" w:rsidRDefault="00473C4B" w:rsidP="00473C4B">
      <w:pPr>
        <w:pStyle w:val="NoSpacing"/>
        <w:ind w:left="720"/>
        <w:rPr>
          <w:bCs/>
        </w:rPr>
      </w:pPr>
      <w:r w:rsidRPr="005C67B6">
        <w:t>The amicus brief filed by Kentucky</w:t>
      </w:r>
      <w:r>
        <w:t xml:space="preserve"> </w:t>
      </w:r>
      <w:r w:rsidRPr="005C67B6">
        <w:t>Professional Firefighters Association has also pointed out that several cities</w:t>
      </w:r>
      <w:r>
        <w:t xml:space="preserve"> </w:t>
      </w:r>
      <w:r w:rsidRPr="005C67B6">
        <w:t>and counties maintain departments which combine both fire response and</w:t>
      </w:r>
      <w:r>
        <w:t xml:space="preserve"> </w:t>
      </w:r>
      <w:r w:rsidRPr="005C67B6">
        <w:t>emergency medical services, such Winchester Fire and EMS, and Frankfort Fire</w:t>
      </w:r>
      <w:r>
        <w:t xml:space="preserve"> </w:t>
      </w:r>
      <w:r w:rsidRPr="005C67B6">
        <w:t>and EMS.</w:t>
      </w:r>
      <w:r>
        <w:t xml:space="preserve">  </w:t>
      </w:r>
      <w:r w:rsidRPr="005C67B6">
        <w:t>Presumably it is these kinds of combined service departments that</w:t>
      </w:r>
      <w:r>
        <w:t xml:space="preserve"> </w:t>
      </w:r>
      <w:r w:rsidRPr="005C67B6">
        <w:t xml:space="preserve">the parties were referring to by the term </w:t>
      </w:r>
      <w:r>
        <w:t>‘</w:t>
      </w:r>
      <w:r w:rsidRPr="005C67B6">
        <w:t>fire-based EMS.</w:t>
      </w:r>
      <w:r>
        <w:t>’</w:t>
      </w:r>
      <w:r w:rsidRPr="005C67B6">
        <w:t xml:space="preserve"> Because any</w:t>
      </w:r>
      <w:r>
        <w:t xml:space="preserve"> </w:t>
      </w:r>
      <w:r w:rsidRPr="005C67B6">
        <w:t>department which maintains an ambulance and provides ambulance services</w:t>
      </w:r>
      <w:r>
        <w:t xml:space="preserve"> </w:t>
      </w:r>
      <w:r w:rsidRPr="005C67B6">
        <w:t>is subject to the applicable regulations, they are distinct from those fire</w:t>
      </w:r>
      <w:r>
        <w:t xml:space="preserve"> </w:t>
      </w:r>
      <w:r w:rsidRPr="005C67B6">
        <w:t>departments which do not. We, therefore, do not think affirming the Court of</w:t>
      </w:r>
      <w:r>
        <w:t xml:space="preserve"> </w:t>
      </w:r>
      <w:r w:rsidRPr="00451943">
        <w:t xml:space="preserve">Appeals is quite as broad as </w:t>
      </w:r>
      <w:proofErr w:type="gramStart"/>
      <w:r w:rsidRPr="00451943">
        <w:t>amici</w:t>
      </w:r>
      <w:proofErr w:type="gramEnd"/>
      <w:r w:rsidRPr="00451943">
        <w:t xml:space="preserve"> believes. </w:t>
      </w:r>
    </w:p>
    <w:p w14:paraId="11D3BB21" w14:textId="77777777" w:rsidR="00473C4B" w:rsidRDefault="00473C4B" w:rsidP="00473C4B">
      <w:pPr>
        <w:pStyle w:val="NoSpacing"/>
        <w:ind w:left="720"/>
        <w:rPr>
          <w:bCs/>
        </w:rPr>
      </w:pPr>
    </w:p>
    <w:p w14:paraId="02BEA8D9" w14:textId="77777777" w:rsidR="00473C4B" w:rsidRPr="00451943" w:rsidRDefault="00473C4B" w:rsidP="00473C4B">
      <w:pPr>
        <w:pStyle w:val="NoSpacing"/>
        <w:ind w:left="720"/>
        <w:rPr>
          <w:bCs/>
        </w:rPr>
      </w:pPr>
      <w:r w:rsidRPr="00451943">
        <w:lastRenderedPageBreak/>
        <w:t>In plain terms, this decision does</w:t>
      </w:r>
      <w:r>
        <w:t xml:space="preserve"> </w:t>
      </w:r>
      <w:r w:rsidRPr="00451943">
        <w:t>not answer the question of whether combined service departments that</w:t>
      </w:r>
      <w:r>
        <w:t xml:space="preserve"> </w:t>
      </w:r>
      <w:r w:rsidRPr="00451943">
        <w:t>function as both fire departments and EMS providers are subject to KRS</w:t>
      </w:r>
    </w:p>
    <w:p w14:paraId="676047B9" w14:textId="77777777" w:rsidR="00473C4B" w:rsidRPr="00451943" w:rsidRDefault="00473C4B" w:rsidP="00473C4B">
      <w:pPr>
        <w:pStyle w:val="NoSpacing"/>
        <w:ind w:left="720"/>
        <w:rPr>
          <w:bCs/>
        </w:rPr>
      </w:pPr>
      <w:r w:rsidRPr="00451943">
        <w:t>311A.027(1).</w:t>
      </w:r>
      <w:r>
        <w:t xml:space="preserve"> </w:t>
      </w:r>
      <w:r w:rsidRPr="00451943">
        <w:t>We will not engage in dicta to provide a clue as to how that question</w:t>
      </w:r>
    </w:p>
    <w:p w14:paraId="73AC7B91" w14:textId="77777777" w:rsidR="00473C4B" w:rsidRDefault="00473C4B" w:rsidP="00473C4B">
      <w:pPr>
        <w:pStyle w:val="NoSpacing"/>
        <w:ind w:left="720"/>
        <w:rPr>
          <w:bCs/>
        </w:rPr>
      </w:pPr>
      <w:r w:rsidRPr="00451943">
        <w:t>should be resolved. It exceeds the authority of this Court to fill gaps in the</w:t>
      </w:r>
      <w:r>
        <w:t xml:space="preserve"> </w:t>
      </w:r>
      <w:r w:rsidRPr="00451943">
        <w:t>applicable legislation or regulations.</w:t>
      </w:r>
    </w:p>
    <w:p w14:paraId="3B0D6815" w14:textId="77777777" w:rsidR="00473C4B" w:rsidRDefault="00473C4B" w:rsidP="00473C4B">
      <w:pPr>
        <w:pStyle w:val="NoSpacing"/>
        <w:ind w:left="720"/>
        <w:rPr>
          <w:bCs/>
        </w:rPr>
      </w:pPr>
    </w:p>
    <w:p w14:paraId="0C5EB198" w14:textId="77777777" w:rsidR="00473C4B" w:rsidRDefault="00473C4B" w:rsidP="00473C4B">
      <w:pPr>
        <w:pStyle w:val="NoSpacing"/>
        <w:ind w:left="720"/>
        <w:rPr>
          <w:bCs/>
        </w:rPr>
      </w:pPr>
      <w:r>
        <w:t>***</w:t>
      </w:r>
    </w:p>
    <w:p w14:paraId="27CFBE08" w14:textId="77777777" w:rsidR="00473C4B" w:rsidRPr="00A24BAF" w:rsidRDefault="00473C4B" w:rsidP="00473C4B">
      <w:pPr>
        <w:pStyle w:val="NoSpacing"/>
        <w:ind w:left="720"/>
        <w:rPr>
          <w:bCs/>
        </w:rPr>
      </w:pPr>
      <w:r w:rsidRPr="00A24BAF">
        <w:t xml:space="preserve">Nonetheless, the fact that there exists in </w:t>
      </w:r>
      <w:proofErr w:type="gramStart"/>
      <w:r w:rsidRPr="00A24BAF">
        <w:t>this</w:t>
      </w:r>
      <w:proofErr w:type="gramEnd"/>
      <w:r w:rsidRPr="00A24BAF">
        <w:t xml:space="preserve"> Commonwealth</w:t>
      </w:r>
      <w:r>
        <w:t xml:space="preserve"> </w:t>
      </w:r>
      <w:r w:rsidRPr="00A24BAF">
        <w:t>departments that combine both firefighting and emergency medical services,</w:t>
      </w:r>
      <w:r>
        <w:t xml:space="preserve"> </w:t>
      </w:r>
      <w:r w:rsidRPr="00A24BAF">
        <w:t>yet such combined departments are undefined in statutory or regulatory law,</w:t>
      </w:r>
      <w:r>
        <w:t xml:space="preserve"> </w:t>
      </w:r>
      <w:r w:rsidRPr="00A24BAF">
        <w:t>leaves them in a precarious state. We call upon the General Assembly to bring</w:t>
      </w:r>
      <w:r>
        <w:t xml:space="preserve"> </w:t>
      </w:r>
      <w:r w:rsidRPr="00A24BAF">
        <w:t xml:space="preserve">clarity to this situation; if not for the sake of </w:t>
      </w:r>
      <w:proofErr w:type="gramStart"/>
      <w:r w:rsidRPr="00A24BAF">
        <w:t>the judiciary</w:t>
      </w:r>
      <w:proofErr w:type="gramEnd"/>
      <w:r w:rsidRPr="00A24BAF">
        <w:t>, then at least for the</w:t>
      </w:r>
      <w:r>
        <w:t xml:space="preserve"> </w:t>
      </w:r>
      <w:r w:rsidRPr="00A24BAF">
        <w:t>sake of the thousands of fire fighters in the Commonwealth who serve our</w:t>
      </w:r>
      <w:r>
        <w:t xml:space="preserve"> </w:t>
      </w:r>
      <w:r w:rsidRPr="00A24BAF">
        <w:t>communities. These men and women richly deserve, at the very least, to know</w:t>
      </w:r>
    </w:p>
    <w:p w14:paraId="67B9FA04" w14:textId="77777777" w:rsidR="00473C4B" w:rsidRDefault="00473C4B" w:rsidP="00473C4B">
      <w:pPr>
        <w:pStyle w:val="NoSpacing"/>
        <w:ind w:left="720"/>
        <w:rPr>
          <w:bCs/>
        </w:rPr>
      </w:pPr>
      <w:r w:rsidRPr="00A24BAF">
        <w:t>with certainty which statutes govern them. The General Assembly is quite</w:t>
      </w:r>
      <w:r>
        <w:t xml:space="preserve"> </w:t>
      </w:r>
      <w:r w:rsidRPr="00A24BAF">
        <w:t>capable of providing that certainty.</w:t>
      </w:r>
      <w:r>
        <w:t>”</w:t>
      </w:r>
    </w:p>
    <w:p w14:paraId="64B965BC" w14:textId="77777777" w:rsidR="00473C4B" w:rsidRDefault="00473C4B" w:rsidP="00473C4B">
      <w:pPr>
        <w:pStyle w:val="NoSpacing"/>
        <w:ind w:left="720"/>
        <w:rPr>
          <w:bCs/>
        </w:rPr>
      </w:pPr>
    </w:p>
    <w:p w14:paraId="3780C7EC" w14:textId="77777777" w:rsidR="00473C4B" w:rsidRDefault="00473C4B" w:rsidP="00473C4B">
      <w:pPr>
        <w:pStyle w:val="NoSpacing"/>
        <w:rPr>
          <w:bCs/>
        </w:rPr>
      </w:pPr>
      <w:r>
        <w:t xml:space="preserve">DISSENT – Justice </w:t>
      </w:r>
      <w:r w:rsidRPr="00DD15C7">
        <w:t>Michelle M. Keller</w:t>
      </w:r>
      <w:r>
        <w:t xml:space="preserve"> </w:t>
      </w:r>
    </w:p>
    <w:p w14:paraId="62826E6A" w14:textId="77777777" w:rsidR="00473C4B" w:rsidRDefault="00473C4B" w:rsidP="00473C4B">
      <w:pPr>
        <w:pStyle w:val="NoSpacing"/>
        <w:rPr>
          <w:bCs/>
        </w:rPr>
      </w:pPr>
    </w:p>
    <w:p w14:paraId="40D2D5DD" w14:textId="77777777" w:rsidR="00473C4B" w:rsidRDefault="00473C4B" w:rsidP="00473C4B">
      <w:pPr>
        <w:pStyle w:val="NoSpacing"/>
        <w:ind w:left="720"/>
        <w:rPr>
          <w:bCs/>
        </w:rPr>
      </w:pPr>
      <w:r>
        <w:t>“</w:t>
      </w:r>
      <w:r w:rsidRPr="00A3098D">
        <w:t>There are five (5) fire stations versus one (1) private ambulance</w:t>
      </w:r>
      <w:r>
        <w:t xml:space="preserve"> </w:t>
      </w:r>
      <w:r w:rsidRPr="00A3098D">
        <w:t>station in Paducah. When a citizen of Paducah calls 911 for a non-fire related</w:t>
      </w:r>
      <w:r>
        <w:t xml:space="preserve"> </w:t>
      </w:r>
      <w:r w:rsidRPr="00A3098D">
        <w:t>medical emergency, a firefighter responds and arrives, often before the private</w:t>
      </w:r>
      <w:r>
        <w:t xml:space="preserve"> </w:t>
      </w:r>
      <w:r w:rsidRPr="00A3098D">
        <w:t>ambulance service. The firefighters administer medical aid, as they are trained</w:t>
      </w:r>
      <w:r>
        <w:t xml:space="preserve"> </w:t>
      </w:r>
      <w:r w:rsidRPr="00A3098D">
        <w:t>to do. In essence, this makes them emergency medical service first response</w:t>
      </w:r>
      <w:r>
        <w:t xml:space="preserve"> </w:t>
      </w:r>
      <w:r w:rsidRPr="00A3098D">
        <w:t>providers</w:t>
      </w:r>
      <w:r>
        <w:t xml:space="preserve">…. </w:t>
      </w:r>
      <w:r w:rsidRPr="007A3DA1">
        <w:t>By both ordinance and</w:t>
      </w:r>
      <w:r>
        <w:t xml:space="preserve"> </w:t>
      </w:r>
      <w:r w:rsidRPr="007A3DA1">
        <w:t>function, Paducah’s fire department is a publicly funded emergency medical</w:t>
      </w:r>
      <w:r>
        <w:t xml:space="preserve"> </w:t>
      </w:r>
      <w:r w:rsidRPr="007A3DA1">
        <w:t>service first-response provider, its members trained, certified, and dispatched</w:t>
      </w:r>
      <w:r>
        <w:t xml:space="preserve"> </w:t>
      </w:r>
      <w:r w:rsidRPr="007A3DA1">
        <w:t>as initial medical responders.</w:t>
      </w:r>
    </w:p>
    <w:p w14:paraId="736354B3" w14:textId="77777777" w:rsidR="00473C4B" w:rsidRDefault="00473C4B" w:rsidP="00473C4B">
      <w:pPr>
        <w:pStyle w:val="NoSpacing"/>
        <w:ind w:left="720"/>
        <w:rPr>
          <w:bCs/>
        </w:rPr>
      </w:pPr>
    </w:p>
    <w:p w14:paraId="44B559ED" w14:textId="77777777" w:rsidR="00473C4B" w:rsidRDefault="00473C4B" w:rsidP="00473C4B">
      <w:pPr>
        <w:pStyle w:val="NoSpacing"/>
        <w:ind w:left="720"/>
        <w:rPr>
          <w:bCs/>
        </w:rPr>
      </w:pPr>
      <w:r>
        <w:t>***</w:t>
      </w:r>
    </w:p>
    <w:p w14:paraId="7C47BF85" w14:textId="77777777" w:rsidR="00473C4B" w:rsidRDefault="00473C4B" w:rsidP="00473C4B">
      <w:pPr>
        <w:pStyle w:val="NoSpacing"/>
        <w:ind w:left="720"/>
        <w:rPr>
          <w:bCs/>
        </w:rPr>
      </w:pPr>
      <w:r w:rsidRPr="00E04227">
        <w:t>Paducah cannot have it both ways. Paducah mandates that its</w:t>
      </w:r>
      <w:r>
        <w:t xml:space="preserve"> </w:t>
      </w:r>
      <w:r w:rsidRPr="00E04227">
        <w:t>firefighters maintain KBEMS medical responder certification precisely because</w:t>
      </w:r>
      <w:r>
        <w:t xml:space="preserve"> </w:t>
      </w:r>
      <w:r w:rsidRPr="00E04227">
        <w:t>they are the first to arrive at medical 911 scenes. This operational reality</w:t>
      </w:r>
      <w:r>
        <w:t xml:space="preserve"> </w:t>
      </w:r>
      <w:r w:rsidRPr="00E04227">
        <w:t>places the department squarely within the statute’s definition. It calls them</w:t>
      </w:r>
      <w:r>
        <w:t xml:space="preserve"> ‘</w:t>
      </w:r>
      <w:r w:rsidRPr="00E04227">
        <w:t>first responders</w:t>
      </w:r>
      <w:r>
        <w:t>’</w:t>
      </w:r>
      <w:r w:rsidRPr="00E04227">
        <w:t xml:space="preserve"> for training, insurance, and dispatch purposes, yet denies</w:t>
      </w:r>
      <w:r>
        <w:t xml:space="preserve"> </w:t>
      </w:r>
      <w:r w:rsidRPr="00E04227">
        <w:t>them that same status when the legislature extends statutory protection.</w:t>
      </w:r>
      <w:r>
        <w:t>”</w:t>
      </w:r>
    </w:p>
    <w:p w14:paraId="678B5D21" w14:textId="77777777" w:rsidR="00473C4B" w:rsidRDefault="00473C4B" w:rsidP="00473C4B">
      <w:pPr>
        <w:pStyle w:val="NoSpacing"/>
        <w:ind w:left="720"/>
        <w:rPr>
          <w:bCs/>
        </w:rPr>
      </w:pPr>
    </w:p>
    <w:p w14:paraId="6880B917" w14:textId="77777777" w:rsidR="00473C4B" w:rsidRPr="008E1096" w:rsidRDefault="00473C4B" w:rsidP="00473C4B">
      <w:pPr>
        <w:pStyle w:val="NoSpacing"/>
        <w:rPr>
          <w:b/>
        </w:rPr>
      </w:pPr>
      <w:r>
        <w:rPr>
          <w:b/>
        </w:rPr>
        <w:t xml:space="preserve">Legal lesson learned:  This decision will likely lead to further legislation to clarify residency requirements for “fire &amp; EMS” departments.  </w:t>
      </w:r>
    </w:p>
    <w:p w14:paraId="2D499C18" w14:textId="77777777" w:rsidR="00473C4B" w:rsidRDefault="00473C4B" w:rsidP="00473C4B">
      <w:pPr>
        <w:pStyle w:val="NoSpacing"/>
        <w:ind w:left="720"/>
        <w:rPr>
          <w:bCs/>
        </w:rPr>
      </w:pPr>
    </w:p>
    <w:p w14:paraId="7BF61E68" w14:textId="77777777" w:rsidR="00473C4B" w:rsidRPr="00AC06CD" w:rsidRDefault="00473C4B" w:rsidP="00473C4B">
      <w:pPr>
        <w:pStyle w:val="NoSpacing"/>
        <w:ind w:left="720"/>
        <w:rPr>
          <w:bCs/>
        </w:rPr>
      </w:pPr>
      <w:r>
        <w:t>Note: Ohio Revised Code:</w:t>
      </w:r>
      <w:r w:rsidRPr="00AC06CD">
        <w:rPr>
          <w:rFonts w:eastAsia="Times New Roman"/>
          <w:b/>
          <w:kern w:val="36"/>
          <w:sz w:val="48"/>
          <w:szCs w:val="48"/>
        </w:rPr>
        <w:t xml:space="preserve"> </w:t>
      </w:r>
      <w:r w:rsidRPr="00AC06CD">
        <w:t>Section 9.481 | Residency requirements prohibited for certain employees.</w:t>
      </w:r>
      <w:r w:rsidRPr="000E0CFF">
        <w:t xml:space="preserve"> </w:t>
      </w:r>
      <w:hyperlink r:id="rId51" w:history="1">
        <w:r w:rsidRPr="00C950F1">
          <w:rPr>
            <w:rStyle w:val="Hyperlink"/>
          </w:rPr>
          <w:t>https://codes.ohio.gov/ohio-revised-code/section-9.481</w:t>
        </w:r>
      </w:hyperlink>
      <w:r>
        <w:t xml:space="preserve"> </w:t>
      </w:r>
    </w:p>
    <w:p w14:paraId="2BF965E2" w14:textId="77777777" w:rsidR="00473C4B" w:rsidRDefault="00473C4B" w:rsidP="00473C4B">
      <w:pPr>
        <w:pStyle w:val="NoSpacing"/>
        <w:rPr>
          <w:bCs/>
        </w:rPr>
      </w:pPr>
    </w:p>
    <w:p w14:paraId="19C64A5F" w14:textId="77777777" w:rsidR="00473C4B" w:rsidRDefault="00473C4B" w:rsidP="00473C4B">
      <w:pPr>
        <w:pStyle w:val="NoSpacing"/>
        <w:rPr>
          <w:bCs/>
        </w:rPr>
      </w:pPr>
    </w:p>
    <w:p w14:paraId="671FEBFC" w14:textId="77777777" w:rsidR="00473C4B" w:rsidRDefault="00473C4B" w:rsidP="00473C4B">
      <w:pPr>
        <w:pStyle w:val="NoSpacing"/>
        <w:ind w:left="720"/>
      </w:pPr>
      <w:r>
        <w:t>“(2)(</w:t>
      </w:r>
      <w:r w:rsidRPr="009729F6">
        <w:t>b) To ensure adequate response times by certain employees of political subdivisions to emergencies or disasters while ensuring that those employees generally are free to reside throughout the state, the electors of any political subdivision may file an initiative petition to submit a local law to the electorate, or the legislative authority of the political subdivision may adopt an ordinance or resolution, that requires any individual employed by that political subdivision, as a condition of employment, to reside either in the county where the political subdivision is located or in any adjacent county in this state.</w:t>
      </w:r>
      <w:r>
        <w:t>”</w:t>
      </w:r>
    </w:p>
    <w:p w14:paraId="4EAD1BB5" w14:textId="77777777" w:rsidR="00473C4B" w:rsidRDefault="00473C4B" w:rsidP="00473C4B">
      <w:pPr>
        <w:pStyle w:val="NoSpacing"/>
        <w:ind w:left="720"/>
      </w:pPr>
    </w:p>
    <w:p w14:paraId="620CBD94" w14:textId="77777777" w:rsidR="00473C4B" w:rsidRDefault="00473C4B" w:rsidP="00473C4B">
      <w:pPr>
        <w:pStyle w:val="NoSpacing"/>
        <w:ind w:left="720"/>
      </w:pPr>
      <w:r>
        <w:t>***</w:t>
      </w:r>
    </w:p>
    <w:p w14:paraId="1DD1B3E7" w14:textId="77777777" w:rsidR="00473C4B" w:rsidRDefault="00473C4B" w:rsidP="00473C4B">
      <w:pPr>
        <w:pStyle w:val="NoSpacing"/>
        <w:ind w:left="720"/>
      </w:pPr>
    </w:p>
    <w:p w14:paraId="10EF764B" w14:textId="77777777" w:rsidR="00473C4B" w:rsidRDefault="00473C4B" w:rsidP="00473C4B">
      <w:pPr>
        <w:pStyle w:val="NoSpacing"/>
        <w:ind w:left="720"/>
        <w:rPr>
          <w:bCs/>
        </w:rPr>
      </w:pPr>
      <w:r>
        <w:t>Cincinnati Fire Department has following residency requirements. “</w:t>
      </w:r>
      <w:r w:rsidRPr="00D1365F">
        <w:t>All members shall reside within Hamilton County, Ohio, or within any county that is adjacent to Hamilton County, Ohio, or within a 35-mile radius of CFD Headquarters, located at 430 Central Ave., Cincinnati, OH 45202.</w:t>
      </w:r>
      <w:r>
        <w:t xml:space="preserve">”  </w:t>
      </w:r>
      <w:hyperlink r:id="rId52" w:history="1">
        <w:r w:rsidRPr="00C950F1">
          <w:rPr>
            <w:rStyle w:val="Hyperlink"/>
          </w:rPr>
          <w:t>https://www.cincinnati-oh.gov/fire/recruiting/requirements-to-apply/</w:t>
        </w:r>
      </w:hyperlink>
      <w:r>
        <w:t xml:space="preserve"> </w:t>
      </w:r>
    </w:p>
    <w:p w14:paraId="49E7BE83" w14:textId="77777777" w:rsidR="00473C4B" w:rsidRDefault="00473C4B" w:rsidP="00037CB8">
      <w:pPr>
        <w:pStyle w:val="NoSpacing"/>
        <w:rPr>
          <w:rFonts w:ascii="Arial Black" w:hAnsi="Arial Black"/>
          <w:sz w:val="24"/>
          <w:szCs w:val="24"/>
        </w:rPr>
      </w:pPr>
    </w:p>
    <w:p w14:paraId="51B64C6A" w14:textId="77777777" w:rsidR="00473C4B" w:rsidRDefault="00473C4B" w:rsidP="00037CB8">
      <w:pPr>
        <w:pStyle w:val="NoSpacing"/>
        <w:rPr>
          <w:rFonts w:ascii="Arial Black" w:hAnsi="Arial Black"/>
          <w:sz w:val="24"/>
          <w:szCs w:val="24"/>
        </w:rPr>
      </w:pPr>
    </w:p>
    <w:p w14:paraId="2B009C62" w14:textId="77777777" w:rsidR="00473C4B" w:rsidRDefault="00473C4B" w:rsidP="00037CB8">
      <w:pPr>
        <w:pStyle w:val="NoSpacing"/>
        <w:rPr>
          <w:rFonts w:ascii="Arial Black" w:hAnsi="Arial Black"/>
          <w:sz w:val="24"/>
          <w:szCs w:val="24"/>
        </w:rPr>
      </w:pPr>
    </w:p>
    <w:p w14:paraId="4043C759" w14:textId="77777777" w:rsidR="0028642A" w:rsidRDefault="0028642A" w:rsidP="0028642A">
      <w:pPr>
        <w:pStyle w:val="NoSpacing"/>
      </w:pPr>
    </w:p>
    <w:p w14:paraId="433F0386" w14:textId="35D5F065" w:rsidR="00374747" w:rsidRDefault="00374747" w:rsidP="00374747">
      <w:pPr>
        <w:pStyle w:val="NoSpacing"/>
        <w:rPr>
          <w:rFonts w:ascii="Arial Black" w:hAnsi="Arial Black"/>
          <w:sz w:val="24"/>
          <w:szCs w:val="24"/>
        </w:rPr>
      </w:pPr>
      <w:r>
        <w:rPr>
          <w:rFonts w:ascii="Arial Black" w:hAnsi="Arial Black"/>
          <w:sz w:val="24"/>
          <w:szCs w:val="24"/>
        </w:rPr>
        <w:lastRenderedPageBreak/>
        <w:t>1-198</w:t>
      </w:r>
    </w:p>
    <w:p w14:paraId="3F0523E6" w14:textId="77777777" w:rsidR="00374747" w:rsidRDefault="00374747" w:rsidP="0028642A">
      <w:pPr>
        <w:pStyle w:val="NoSpacing"/>
      </w:pPr>
    </w:p>
    <w:p w14:paraId="2C413E24" w14:textId="77777777" w:rsidR="00374747" w:rsidRPr="00C62797" w:rsidRDefault="00374747" w:rsidP="00374747">
      <w:pPr>
        <w:rPr>
          <w:rFonts w:ascii="Arial Black" w:hAnsi="Arial Black"/>
          <w:b/>
          <w:sz w:val="28"/>
          <w:szCs w:val="28"/>
        </w:rPr>
      </w:pPr>
      <w:r>
        <w:rPr>
          <w:rFonts w:ascii="Arial Black" w:hAnsi="Arial Black"/>
          <w:b/>
          <w:sz w:val="28"/>
          <w:szCs w:val="28"/>
        </w:rPr>
        <w:t xml:space="preserve">NJ: OLD TIRES – FIRE HAZARD - COMPANY SHUT DOWN </w:t>
      </w:r>
    </w:p>
    <w:p w14:paraId="5DF9AB24" w14:textId="77777777" w:rsidR="00374747" w:rsidRDefault="00374747" w:rsidP="00374747">
      <w:pPr>
        <w:pStyle w:val="NoSpacing"/>
      </w:pPr>
      <w:r>
        <w:t xml:space="preserve">On December 2, 2025, in </w:t>
      </w:r>
      <w:r w:rsidRPr="003D5FD0">
        <w:rPr>
          <w:u w:val="single"/>
        </w:rPr>
        <w:t>Township of Gloucester v. Harry’s Tires, et al</w:t>
      </w:r>
      <w:r>
        <w:t xml:space="preserve">., the </w:t>
      </w:r>
      <w:r w:rsidRPr="003D5FD0">
        <w:t>Superior Court of New Jersey, Appellate Division</w:t>
      </w:r>
      <w:r>
        <w:t xml:space="preserve"> held (2 to 0) that the trial court properly denied the motion by Harry Lamplugh, owner of Harry’s Tires, to vacate the final judgment rendered 16 months prior and re-start the business.  Since 2017 the Township zoning officer has ordered the tires stored outside his two locations be removed. The Township's acting fire marshal certified that Harry's Tires received numerous notices of violation through June 28, </w:t>
      </w:r>
      <w:proofErr w:type="gramStart"/>
      <w:r>
        <w:t>2021</w:t>
      </w:r>
      <w:proofErr w:type="gramEnd"/>
      <w:r>
        <w:t xml:space="preserve"> and failed to pay a total of $16,558 in unpaid fines. On August 18, </w:t>
      </w:r>
      <w:proofErr w:type="gramStart"/>
      <w:r>
        <w:t>2021</w:t>
      </w:r>
      <w:proofErr w:type="gramEnd"/>
      <w:r>
        <w:t xml:space="preserve"> the Township had the tires removed from his principal place of business - removal costs of $34,043, including waste disposal fees of $17,015 from Magnus Environmental and manpower costs for the Township's employees of $17,028. The township filed a lawsuit on January18, 2022 and the Court on February 28, </w:t>
      </w:r>
      <w:proofErr w:type="gramStart"/>
      <w:r>
        <w:t>2022</w:t>
      </w:r>
      <w:proofErr w:type="gramEnd"/>
      <w:r>
        <w:t xml:space="preserve"> granted the Township a permanent injunction, preventing defendants from operating their tire businesses "at the two locations" and requiring defendants to pay damages of $50,601.  The Township</w:t>
      </w:r>
    </w:p>
    <w:p w14:paraId="4E276988" w14:textId="77777777" w:rsidR="00374747" w:rsidRDefault="00374747" w:rsidP="00374747">
      <w:pPr>
        <w:pStyle w:val="NoSpacing"/>
      </w:pPr>
      <w:r>
        <w:t xml:space="preserve">thereafter remediated defendants' properties for a second time. </w:t>
      </w:r>
      <w:hyperlink r:id="rId53" w:history="1">
        <w:r w:rsidRPr="00E7352C">
          <w:rPr>
            <w:rStyle w:val="Hyperlink"/>
          </w:rPr>
          <w:t>https://cases.justia.com/new-jersey/appellate-division-unpublished/2025-a-1179-23.pdf?ts=1765469961</w:t>
        </w:r>
      </w:hyperlink>
      <w:r>
        <w:t xml:space="preserve"> </w:t>
      </w:r>
    </w:p>
    <w:p w14:paraId="59085DFF" w14:textId="77777777" w:rsidR="00374747" w:rsidRDefault="00374747" w:rsidP="00374747">
      <w:pPr>
        <w:pStyle w:val="NoSpacing"/>
      </w:pPr>
    </w:p>
    <w:p w14:paraId="310AE671" w14:textId="77777777" w:rsidR="00374747" w:rsidRDefault="00374747" w:rsidP="00374747">
      <w:pPr>
        <w:pStyle w:val="NoSpacing"/>
      </w:pPr>
      <w:r>
        <w:t>THE COURT HELD:</w:t>
      </w:r>
    </w:p>
    <w:p w14:paraId="0A37389F" w14:textId="77777777" w:rsidR="00374747" w:rsidRDefault="00374747" w:rsidP="00374747">
      <w:pPr>
        <w:pStyle w:val="NoSpacing"/>
      </w:pPr>
    </w:p>
    <w:p w14:paraId="0383EEC0" w14:textId="77777777" w:rsidR="00374747" w:rsidRDefault="00374747" w:rsidP="00374747">
      <w:pPr>
        <w:pStyle w:val="NoSpacing"/>
        <w:ind w:left="720"/>
      </w:pPr>
      <w:r>
        <w:t xml:space="preserve">“ [Township’s acting fire marshal] certified that in November 2021, ‘the Township Fire Department responded to a fire at defendants' North Black Horse Pike location because a single tire had caught fire and ‘spread to some scrap lumber and a tree branch before it was extinguished.’ The officer attached a police report stating that </w:t>
      </w:r>
      <w:proofErr w:type="gramStart"/>
      <w:r>
        <w:t>‘stacks of several</w:t>
      </w:r>
      <w:proofErr w:type="gramEnd"/>
      <w:r>
        <w:t xml:space="preserve"> hundred new and old </w:t>
      </w:r>
      <w:proofErr w:type="gramStart"/>
      <w:r>
        <w:t>tires’</w:t>
      </w:r>
      <w:proofErr w:type="gramEnd"/>
      <w:r>
        <w:t xml:space="preserve"> enclosed the fire </w:t>
      </w:r>
      <w:proofErr w:type="gramStart"/>
      <w:r>
        <w:t>area, ‘</w:t>
      </w:r>
      <w:proofErr w:type="gramEnd"/>
      <w:r>
        <w:t>making it a difficult area to access.’</w:t>
      </w:r>
    </w:p>
    <w:p w14:paraId="776AFE0F" w14:textId="77777777" w:rsidR="00374747" w:rsidRDefault="00374747" w:rsidP="00374747">
      <w:pPr>
        <w:pStyle w:val="NoSpacing"/>
        <w:ind w:left="720"/>
      </w:pPr>
    </w:p>
    <w:p w14:paraId="5EA17C22" w14:textId="77777777" w:rsidR="00374747" w:rsidRDefault="00374747" w:rsidP="00374747">
      <w:pPr>
        <w:pStyle w:val="NoSpacing"/>
        <w:ind w:left="720"/>
      </w:pPr>
      <w:r>
        <w:t>***</w:t>
      </w:r>
    </w:p>
    <w:p w14:paraId="742419C3" w14:textId="77777777" w:rsidR="00374747" w:rsidRDefault="00374747" w:rsidP="00374747">
      <w:pPr>
        <w:pStyle w:val="NoSpacing"/>
        <w:ind w:firstLine="720"/>
      </w:pPr>
    </w:p>
    <w:p w14:paraId="27FD3FE2" w14:textId="77777777" w:rsidR="00374747" w:rsidRDefault="00374747" w:rsidP="00374747">
      <w:pPr>
        <w:pStyle w:val="NoSpacing"/>
        <w:ind w:firstLine="720"/>
      </w:pPr>
      <w:r>
        <w:t xml:space="preserve">The Township's emergency management coordinator certified </w:t>
      </w:r>
      <w:proofErr w:type="gramStart"/>
      <w:r>
        <w:t>that ‘[</w:t>
      </w:r>
      <w:proofErr w:type="gramEnd"/>
      <w:r>
        <w:t>a]</w:t>
      </w:r>
    </w:p>
    <w:p w14:paraId="39888643" w14:textId="77777777" w:rsidR="00374747" w:rsidRDefault="00374747" w:rsidP="00374747">
      <w:pPr>
        <w:pStyle w:val="NoSpacing"/>
        <w:ind w:firstLine="720"/>
      </w:pPr>
      <w:r>
        <w:t>fire from any of the Harry's Tires sites would pose a major environmental and</w:t>
      </w:r>
    </w:p>
    <w:p w14:paraId="459384EB" w14:textId="77777777" w:rsidR="00374747" w:rsidRDefault="00374747" w:rsidP="00374747">
      <w:pPr>
        <w:pStyle w:val="NoSpacing"/>
        <w:ind w:firstLine="720"/>
      </w:pPr>
      <w:r>
        <w:t>logistical nightmare for emergency responders.’</w:t>
      </w:r>
    </w:p>
    <w:p w14:paraId="475EF746" w14:textId="77777777" w:rsidR="00374747" w:rsidRDefault="00374747" w:rsidP="00374747">
      <w:pPr>
        <w:pStyle w:val="NoSpacing"/>
        <w:ind w:firstLine="720"/>
      </w:pPr>
    </w:p>
    <w:p w14:paraId="21411259" w14:textId="77777777" w:rsidR="00374747" w:rsidRDefault="00374747" w:rsidP="00374747">
      <w:pPr>
        <w:pStyle w:val="NoSpacing"/>
        <w:ind w:firstLine="720"/>
      </w:pPr>
      <w:r>
        <w:t>***</w:t>
      </w:r>
    </w:p>
    <w:p w14:paraId="5869929C" w14:textId="77777777" w:rsidR="00374747" w:rsidRDefault="00374747" w:rsidP="00374747">
      <w:pPr>
        <w:pStyle w:val="NoSpacing"/>
        <w:ind w:left="720"/>
      </w:pPr>
      <w:r>
        <w:t>During argument, the … court noted the final judgment did not preclude defendants from leasing the properties or seeking approval for another use before the appropriate Township board. The second court also found that defendants offered no meritorious</w:t>
      </w:r>
    </w:p>
    <w:p w14:paraId="652A3FF0" w14:textId="77777777" w:rsidR="00374747" w:rsidRDefault="00374747" w:rsidP="00374747">
      <w:pPr>
        <w:pStyle w:val="NoSpacing"/>
        <w:ind w:firstLine="720"/>
      </w:pPr>
      <w:r>
        <w:t>defense to the Township's claims. Defendants never asserted they were ‘in</w:t>
      </w:r>
    </w:p>
    <w:p w14:paraId="20E3CF27" w14:textId="77777777" w:rsidR="00374747" w:rsidRDefault="00374747" w:rsidP="00374747">
      <w:pPr>
        <w:pStyle w:val="NoSpacing"/>
        <w:ind w:firstLine="720"/>
      </w:pPr>
      <w:r>
        <w:t>compliance’ with the Township's ordinances and had the required ‘licenses that</w:t>
      </w:r>
    </w:p>
    <w:p w14:paraId="5E8ED366" w14:textId="77777777" w:rsidR="00374747" w:rsidRDefault="00374747" w:rsidP="00374747">
      <w:pPr>
        <w:pStyle w:val="NoSpacing"/>
        <w:ind w:firstLine="720"/>
      </w:pPr>
      <w:r>
        <w:t>[they were] supposed to have.’"</w:t>
      </w:r>
    </w:p>
    <w:p w14:paraId="2850CDCB" w14:textId="77777777" w:rsidR="00374747" w:rsidRDefault="00374747" w:rsidP="00374747">
      <w:pPr>
        <w:pStyle w:val="NoSpacing"/>
        <w:ind w:firstLine="720"/>
      </w:pPr>
    </w:p>
    <w:p w14:paraId="3EF3A124" w14:textId="77777777" w:rsidR="00374747" w:rsidRPr="002B36A6" w:rsidRDefault="00374747" w:rsidP="00374747">
      <w:pPr>
        <w:pStyle w:val="NoSpacing"/>
        <w:rPr>
          <w:b/>
          <w:bCs/>
        </w:rPr>
      </w:pPr>
      <w:r>
        <w:rPr>
          <w:b/>
        </w:rPr>
        <w:t xml:space="preserve">Legal lesson learned: Storage of large </w:t>
      </w:r>
      <w:proofErr w:type="gramStart"/>
      <w:r>
        <w:rPr>
          <w:b/>
        </w:rPr>
        <w:t>amount</w:t>
      </w:r>
      <w:proofErr w:type="gramEnd"/>
      <w:r>
        <w:rPr>
          <w:b/>
        </w:rPr>
        <w:t xml:space="preserve"> of abandoned tires is a clear fire hazard. </w:t>
      </w:r>
    </w:p>
    <w:p w14:paraId="4E7D2842" w14:textId="77777777" w:rsidR="0028642A" w:rsidRDefault="0028642A" w:rsidP="0028642A">
      <w:pPr>
        <w:pStyle w:val="NoSpacing"/>
      </w:pPr>
    </w:p>
    <w:p w14:paraId="6B756B2F" w14:textId="77777777" w:rsidR="0028642A" w:rsidRDefault="0028642A" w:rsidP="00037CB8">
      <w:pPr>
        <w:pStyle w:val="NoSpacing"/>
        <w:rPr>
          <w:rFonts w:ascii="Arial Black" w:hAnsi="Arial Black"/>
          <w:sz w:val="24"/>
          <w:szCs w:val="24"/>
        </w:rPr>
      </w:pPr>
    </w:p>
    <w:p w14:paraId="75AF15D0" w14:textId="77777777" w:rsidR="00D035D9" w:rsidRDefault="00D035D9" w:rsidP="00037CB8">
      <w:pPr>
        <w:pStyle w:val="NoSpacing"/>
        <w:rPr>
          <w:rFonts w:ascii="Arial Black" w:hAnsi="Arial Black"/>
          <w:sz w:val="24"/>
          <w:szCs w:val="24"/>
        </w:rPr>
      </w:pPr>
    </w:p>
    <w:p w14:paraId="58FB5621" w14:textId="77777777" w:rsidR="00D035D9" w:rsidRDefault="00D035D9" w:rsidP="00037CB8">
      <w:pPr>
        <w:pStyle w:val="NoSpacing"/>
        <w:rPr>
          <w:rFonts w:ascii="Arial Black" w:hAnsi="Arial Black"/>
          <w:sz w:val="24"/>
          <w:szCs w:val="24"/>
        </w:rPr>
      </w:pPr>
    </w:p>
    <w:p w14:paraId="2C126ABF" w14:textId="77777777" w:rsidR="00D035D9" w:rsidRDefault="00D035D9" w:rsidP="00037CB8">
      <w:pPr>
        <w:pStyle w:val="NoSpacing"/>
        <w:rPr>
          <w:rFonts w:ascii="Arial Black" w:hAnsi="Arial Black"/>
          <w:sz w:val="24"/>
          <w:szCs w:val="24"/>
        </w:rPr>
      </w:pPr>
    </w:p>
    <w:p w14:paraId="3F8F39EF" w14:textId="3D2413A5" w:rsidR="006E51B1" w:rsidRDefault="009135A7" w:rsidP="00037CB8">
      <w:pPr>
        <w:pStyle w:val="NoSpacing"/>
        <w:rPr>
          <w:rFonts w:ascii="Arial Black" w:hAnsi="Arial Black"/>
          <w:sz w:val="24"/>
          <w:szCs w:val="24"/>
        </w:rPr>
      </w:pPr>
      <w:r>
        <w:rPr>
          <w:rFonts w:ascii="Arial Black" w:hAnsi="Arial Black"/>
          <w:sz w:val="24"/>
          <w:szCs w:val="24"/>
        </w:rPr>
        <w:t>1-197</w:t>
      </w:r>
    </w:p>
    <w:p w14:paraId="4F552192" w14:textId="77777777" w:rsidR="009135A7" w:rsidRDefault="009135A7" w:rsidP="00037CB8">
      <w:pPr>
        <w:pStyle w:val="NoSpacing"/>
        <w:rPr>
          <w:rFonts w:ascii="Arial Black" w:hAnsi="Arial Black"/>
          <w:sz w:val="24"/>
          <w:szCs w:val="24"/>
        </w:rPr>
      </w:pPr>
    </w:p>
    <w:p w14:paraId="5E376A1A" w14:textId="77777777" w:rsidR="007A5DCD" w:rsidRDefault="007A5DCD" w:rsidP="007A5DCD">
      <w:pPr>
        <w:pStyle w:val="NoSpacing"/>
        <w:rPr>
          <w:bCs/>
        </w:rPr>
      </w:pPr>
      <w:r>
        <w:rPr>
          <w:rFonts w:ascii="Arial Black" w:hAnsi="Arial Black"/>
          <w:sz w:val="28"/>
          <w:szCs w:val="28"/>
        </w:rPr>
        <w:t xml:space="preserve">PA: ARSON – LIQUID ON FLOOR - 4 PD FLED – ONE FELONY </w:t>
      </w:r>
    </w:p>
    <w:p w14:paraId="0EEE433C" w14:textId="77777777" w:rsidR="007A5DCD" w:rsidRDefault="007A5DCD" w:rsidP="007A5DCD">
      <w:pPr>
        <w:pStyle w:val="NoSpacing"/>
        <w:rPr>
          <w:bCs/>
        </w:rPr>
      </w:pPr>
    </w:p>
    <w:p w14:paraId="65961BD4" w14:textId="77777777" w:rsidR="007A5DCD" w:rsidRDefault="007A5DCD" w:rsidP="007A5DCD">
      <w:pPr>
        <w:pStyle w:val="NoSpacing"/>
      </w:pPr>
      <w:r>
        <w:t xml:space="preserve">On Nov. 19, 2025, in </w:t>
      </w:r>
      <w:r w:rsidRPr="00395990">
        <w:rPr>
          <w:u w:val="single"/>
        </w:rPr>
        <w:t>Commonwealth of Pennsylvania v. Vincent Smith</w:t>
      </w:r>
      <w:r>
        <w:t xml:space="preserve">, the </w:t>
      </w:r>
      <w:r w:rsidRPr="0048298D">
        <w:t>Supreme Court of Pennsylvania</w:t>
      </w:r>
      <w:r>
        <w:t xml:space="preserve"> held (4 to 2) that the defendant, who pled guilty, can be sentenced for one count of </w:t>
      </w:r>
      <w:r w:rsidRPr="003560CE">
        <w:t>Arson Endangering Persons (“AEP”)</w:t>
      </w:r>
      <w:r>
        <w:t xml:space="preserve">, not four </w:t>
      </w:r>
      <w:r>
        <w:lastRenderedPageBreak/>
        <w:t>counts even though he endangered four police officers.  The trial court rejected defense argument that he only committed one arson offense; the court sentenced to 4 to 8 years imprisonment for each AEP offense. He also pled guilty to involuntary manslaughter of two roommates, for aggregate sentence of 26 to 52 years imprisonment.  THE COURT WROTE: “Thus, the Crimes Code</w:t>
      </w:r>
      <w:proofErr w:type="gramStart"/>
      <w:r>
        <w:t>, as a whole, was</w:t>
      </w:r>
      <w:proofErr w:type="gramEnd"/>
      <w:r>
        <w:t xml:space="preserve"> enacted to classify all crimes into grades and degrees. Moreover, Section 3301</w:t>
      </w:r>
      <w:proofErr w:type="gramStart"/>
      <w:r>
        <w:t>, in particular, differentiates</w:t>
      </w:r>
      <w:proofErr w:type="gramEnd"/>
      <w:r>
        <w:t xml:space="preserve"> between arson endangering persons and property − Section 3301(a) − and arson endangering only property – Section 3301(c) – and allows for a harsher sentence for the former by designating the offense of AEP as a felony of the first degree. There is nothing, however, to suggest that the underlying intent of Section 3301(a) was to allow for separate convictions and sentences for each endangered </w:t>
      </w:r>
      <w:proofErr w:type="gramStart"/>
      <w:r>
        <w:t>individual.”</w:t>
      </w:r>
      <w:proofErr w:type="gramEnd"/>
      <w:r>
        <w:t xml:space="preserve"> </w:t>
      </w:r>
      <w:hyperlink r:id="rId54" w:history="1">
        <w:r w:rsidRPr="00422760">
          <w:rPr>
            <w:rStyle w:val="Hyperlink"/>
          </w:rPr>
          <w:t>https://cases.justia.com/pennsylvania/supreme-court/2025-15-wap-2024.pdf?ts=1763559881</w:t>
        </w:r>
      </w:hyperlink>
      <w:r>
        <w:t xml:space="preserve"> </w:t>
      </w:r>
    </w:p>
    <w:p w14:paraId="4AB67559" w14:textId="77777777" w:rsidR="007A5DCD" w:rsidRDefault="007A5DCD" w:rsidP="007A5DCD">
      <w:pPr>
        <w:pStyle w:val="NoSpacing"/>
      </w:pPr>
    </w:p>
    <w:p w14:paraId="54C0AF4C" w14:textId="77777777" w:rsidR="007A5DCD" w:rsidRDefault="007A5DCD" w:rsidP="007A5DCD">
      <w:pPr>
        <w:pStyle w:val="NoSpacing"/>
      </w:pPr>
      <w:r>
        <w:t>THE COURT HELD:</w:t>
      </w:r>
    </w:p>
    <w:p w14:paraId="7F11D9E3" w14:textId="77777777" w:rsidR="007A5DCD" w:rsidRDefault="007A5DCD" w:rsidP="007A5DCD">
      <w:pPr>
        <w:pStyle w:val="NoSpacing"/>
      </w:pPr>
    </w:p>
    <w:p w14:paraId="6AE0CD27" w14:textId="77777777" w:rsidR="007A5DCD" w:rsidRDefault="007A5DCD" w:rsidP="007A5DCD">
      <w:pPr>
        <w:pStyle w:val="NoSpacing"/>
        <w:ind w:left="720"/>
      </w:pPr>
      <w:r>
        <w:t>“</w:t>
      </w:r>
      <w:r w:rsidRPr="00932361">
        <w:t xml:space="preserve">In February 2018, four police officers arrived at a rowhouse in Pittsburgh </w:t>
      </w:r>
      <w:proofErr w:type="gramStart"/>
      <w:r w:rsidRPr="00932361">
        <w:t>in an</w:t>
      </w:r>
      <w:r>
        <w:t xml:space="preserve"> </w:t>
      </w:r>
      <w:r w:rsidRPr="00932361">
        <w:t>effort to</w:t>
      </w:r>
      <w:proofErr w:type="gramEnd"/>
      <w:r w:rsidRPr="00932361">
        <w:t xml:space="preserve"> locate a missing person, John Van Dyke. The officers forcibly entered the home</w:t>
      </w:r>
      <w:r>
        <w:t xml:space="preserve"> </w:t>
      </w:r>
      <w:r w:rsidRPr="00932361">
        <w:t>and repeatedly announced their presence. Once inside, the officers heard Appellant,</w:t>
      </w:r>
      <w:r>
        <w:t xml:space="preserve"> </w:t>
      </w:r>
      <w:r w:rsidRPr="00932361">
        <w:t xml:space="preserve">Vincent Smith, who was on the second floor of the residence, declare </w:t>
      </w:r>
      <w:r>
        <w:t>‘</w:t>
      </w:r>
      <w:r w:rsidRPr="00932361">
        <w:t>Steve’s not here.</w:t>
      </w:r>
      <w:r>
        <w:t xml:space="preserve">’ …  </w:t>
      </w:r>
      <w:r w:rsidRPr="00932361">
        <w:t>After re-announcing</w:t>
      </w:r>
      <w:r>
        <w:t xml:space="preserve"> </w:t>
      </w:r>
      <w:r w:rsidRPr="00932361">
        <w:t>their presence and stating their purpose, the officers observed Appellant striking matches</w:t>
      </w:r>
      <w:r>
        <w:t xml:space="preserve"> </w:t>
      </w:r>
      <w:r w:rsidRPr="00932361">
        <w:t>and throwing them on the floor, instantly setting a fire that traveled down the stairs toward</w:t>
      </w:r>
      <w:r>
        <w:t xml:space="preserve"> </w:t>
      </w:r>
      <w:r w:rsidRPr="00932361">
        <w:t>the officers. The officers immediately exited the residence, and Appellant was rescued</w:t>
      </w:r>
      <w:r>
        <w:t xml:space="preserve"> </w:t>
      </w:r>
      <w:r w:rsidRPr="00932361">
        <w:t>by firemen and treated for smoke inhalation.</w:t>
      </w:r>
    </w:p>
    <w:p w14:paraId="4D2B3C64" w14:textId="77777777" w:rsidR="007A5DCD" w:rsidRDefault="007A5DCD" w:rsidP="007A5DCD">
      <w:pPr>
        <w:pStyle w:val="NoSpacing"/>
      </w:pPr>
    </w:p>
    <w:p w14:paraId="0EB89F79" w14:textId="77777777" w:rsidR="007A5DCD" w:rsidRDefault="007A5DCD" w:rsidP="007A5DCD">
      <w:pPr>
        <w:pStyle w:val="NoSpacing"/>
        <w:ind w:left="720"/>
      </w:pPr>
      <w:r w:rsidRPr="007C4267">
        <w:t>Subsequently, the bodies of Van Dyke and another man, Steven Pariser, were</w:t>
      </w:r>
      <w:r>
        <w:t xml:space="preserve"> </w:t>
      </w:r>
      <w:r w:rsidRPr="007C4267">
        <w:t>recovered from the residence. Both men had trauma to the back of their heads, and it</w:t>
      </w:r>
      <w:r>
        <w:t xml:space="preserve"> </w:t>
      </w:r>
      <w:r w:rsidRPr="007C4267">
        <w:t>was determined that Appellant had killed the men approximately five days earlier; thus,</w:t>
      </w:r>
      <w:r>
        <w:t xml:space="preserve"> </w:t>
      </w:r>
      <w:r w:rsidRPr="007C4267">
        <w:t>their deaths were ruled as homicides. Appellant told detectives that the two victims had</w:t>
      </w:r>
      <w:r>
        <w:t xml:space="preserve"> </w:t>
      </w:r>
      <w:r w:rsidRPr="007C4267">
        <w:t>attacked him, and he fought back by throwing them down a flight of stairs, after which he</w:t>
      </w:r>
      <w:r>
        <w:t xml:space="preserve"> </w:t>
      </w:r>
      <w:r w:rsidRPr="007C4267">
        <w:t>covered them with blankets and bags. Appellant also stated that he wanted to kill himself,</w:t>
      </w:r>
      <w:r>
        <w:t xml:space="preserve"> </w:t>
      </w:r>
      <w:r w:rsidRPr="007C4267">
        <w:t>and that he had attempted to do so by taking some pills and spreading lighter fluid around</w:t>
      </w:r>
      <w:r>
        <w:t xml:space="preserve"> </w:t>
      </w:r>
      <w:r w:rsidRPr="007C4267">
        <w:t>the residence.</w:t>
      </w:r>
      <w:r>
        <w:t>”</w:t>
      </w:r>
    </w:p>
    <w:p w14:paraId="5BCAA1F3" w14:textId="77777777" w:rsidR="007A5DCD" w:rsidRDefault="007A5DCD" w:rsidP="007A5DCD">
      <w:pPr>
        <w:pStyle w:val="NoSpacing"/>
        <w:ind w:left="720"/>
      </w:pPr>
    </w:p>
    <w:p w14:paraId="07B3BB93" w14:textId="77777777" w:rsidR="007A5DCD" w:rsidRDefault="007A5DCD" w:rsidP="007A5DCD">
      <w:pPr>
        <w:pStyle w:val="NoSpacing"/>
      </w:pPr>
      <w:r>
        <w:t>DISSENT (Opinion by Justice Sallie Updyke Mundy; joined by Justice Kevin Brobson)</w:t>
      </w:r>
    </w:p>
    <w:p w14:paraId="152FB725" w14:textId="77777777" w:rsidR="007A5DCD" w:rsidRDefault="007A5DCD" w:rsidP="007A5DCD">
      <w:pPr>
        <w:pStyle w:val="NoSpacing"/>
      </w:pPr>
    </w:p>
    <w:p w14:paraId="6291B785" w14:textId="77777777" w:rsidR="007A5DCD" w:rsidRDefault="007A5DCD" w:rsidP="007A5DCD">
      <w:pPr>
        <w:pStyle w:val="NoSpacing"/>
        <w:ind w:left="720"/>
      </w:pPr>
      <w:r>
        <w:t xml:space="preserve">“As the majority itself concedes, the offense of AEP cannot be completed without </w:t>
      </w:r>
      <w:proofErr w:type="gramStart"/>
      <w:r>
        <w:t>both of these</w:t>
      </w:r>
      <w:proofErr w:type="gramEnd"/>
      <w:r>
        <w:t xml:space="preserve"> actions. Majority Op. at 15 (‘[P]lacing another person in danger of death or bodily injury is not merely a description of the result of the prohibited act of starting a fire or causing an explosion, but, rather, an essential component of the minimum conduct that must be proven to support a conviction – the actus reus − under Section 3301(a)(1)(</w:t>
      </w:r>
      <w:proofErr w:type="spellStart"/>
      <w:r>
        <w:t>i</w:t>
      </w:r>
      <w:proofErr w:type="spellEnd"/>
      <w:r>
        <w:t xml:space="preserve">).’). The General Assembly therefore intended a count of AEP to apply to each victim endangered by the intentional act of starting a fire.” </w:t>
      </w:r>
    </w:p>
    <w:p w14:paraId="0B3A422F" w14:textId="77777777" w:rsidR="007A5DCD" w:rsidRDefault="007A5DCD" w:rsidP="007A5DCD">
      <w:pPr>
        <w:pStyle w:val="NoSpacing"/>
        <w:ind w:left="720"/>
      </w:pPr>
      <w:hyperlink r:id="rId55" w:history="1">
        <w:r w:rsidRPr="00422760">
          <w:rPr>
            <w:rStyle w:val="Hyperlink"/>
          </w:rPr>
          <w:t>https://cases.justia.com/pennsylvania/supreme-court/2025-15-wap-2024-0.pdf?ts=1763559882</w:t>
        </w:r>
      </w:hyperlink>
      <w:r>
        <w:t xml:space="preserve"> </w:t>
      </w:r>
    </w:p>
    <w:p w14:paraId="5509C8E2" w14:textId="77777777" w:rsidR="007A5DCD" w:rsidRDefault="007A5DCD" w:rsidP="007A5DCD">
      <w:pPr>
        <w:pStyle w:val="NoSpacing"/>
        <w:ind w:left="720"/>
      </w:pPr>
    </w:p>
    <w:p w14:paraId="736C6EB3" w14:textId="754F208D" w:rsidR="007A5DCD" w:rsidRPr="00C63759" w:rsidRDefault="007A5DCD" w:rsidP="007A5DCD">
      <w:pPr>
        <w:pStyle w:val="NoSpacing"/>
        <w:rPr>
          <w:b/>
          <w:bCs/>
        </w:rPr>
      </w:pPr>
      <w:r>
        <w:rPr>
          <w:b/>
        </w:rPr>
        <w:t xml:space="preserve">Legal lesson learned:  </w:t>
      </w:r>
      <w:r w:rsidRPr="00C63759">
        <w:rPr>
          <w:b/>
        </w:rPr>
        <w:t>“Arson Endangering Persons”</w:t>
      </w:r>
      <w:r>
        <w:rPr>
          <w:b/>
        </w:rPr>
        <w:t xml:space="preserve"> – the two Dissenting Justices agreed with the trial court judge – the defe</w:t>
      </w:r>
      <w:r w:rsidR="00CD4F1A">
        <w:rPr>
          <w:b/>
        </w:rPr>
        <w:t xml:space="preserve">ndant </w:t>
      </w:r>
      <w:r>
        <w:rPr>
          <w:b/>
        </w:rPr>
        <w:t xml:space="preserve">endangered four police </w:t>
      </w:r>
      <w:proofErr w:type="gramStart"/>
      <w:r>
        <w:rPr>
          <w:b/>
        </w:rPr>
        <w:t>officers, and</w:t>
      </w:r>
      <w:proofErr w:type="gramEnd"/>
      <w:r>
        <w:rPr>
          <w:b/>
        </w:rPr>
        <w:t xml:space="preserve"> should be sentenced for four counts.  </w:t>
      </w:r>
    </w:p>
    <w:p w14:paraId="21DFB8BF" w14:textId="77777777" w:rsidR="007A5DCD" w:rsidRDefault="007A5DCD" w:rsidP="007A5DCD">
      <w:pPr>
        <w:rPr>
          <w:bCs/>
        </w:rPr>
      </w:pPr>
    </w:p>
    <w:p w14:paraId="60CFC215" w14:textId="77777777" w:rsidR="009135A7" w:rsidRDefault="009135A7" w:rsidP="00037CB8">
      <w:pPr>
        <w:pStyle w:val="NoSpacing"/>
        <w:rPr>
          <w:rFonts w:ascii="Arial Black" w:hAnsi="Arial Black"/>
          <w:sz w:val="24"/>
          <w:szCs w:val="24"/>
        </w:rPr>
      </w:pPr>
    </w:p>
    <w:p w14:paraId="73723EA4" w14:textId="77777777" w:rsidR="009135A7" w:rsidRDefault="009135A7" w:rsidP="00037CB8">
      <w:pPr>
        <w:pStyle w:val="NoSpacing"/>
        <w:rPr>
          <w:rFonts w:ascii="Arial Black" w:hAnsi="Arial Black"/>
          <w:sz w:val="24"/>
          <w:szCs w:val="24"/>
        </w:rPr>
      </w:pPr>
    </w:p>
    <w:p w14:paraId="49FF20B2" w14:textId="77777777" w:rsidR="009135A7" w:rsidRDefault="009135A7" w:rsidP="00037CB8">
      <w:pPr>
        <w:pStyle w:val="NoSpacing"/>
        <w:rPr>
          <w:rFonts w:ascii="Arial Black" w:hAnsi="Arial Black"/>
          <w:sz w:val="24"/>
          <w:szCs w:val="24"/>
        </w:rPr>
      </w:pPr>
    </w:p>
    <w:p w14:paraId="5DBBCF68" w14:textId="7AD7BA31" w:rsidR="006E51B1" w:rsidRDefault="006E51B1" w:rsidP="00037CB8">
      <w:pPr>
        <w:pStyle w:val="NoSpacing"/>
        <w:rPr>
          <w:rFonts w:ascii="Arial Black" w:hAnsi="Arial Black"/>
          <w:sz w:val="24"/>
          <w:szCs w:val="24"/>
        </w:rPr>
      </w:pPr>
      <w:r>
        <w:rPr>
          <w:rFonts w:ascii="Arial Black" w:hAnsi="Arial Black"/>
          <w:sz w:val="24"/>
          <w:szCs w:val="24"/>
        </w:rPr>
        <w:t>1-196</w:t>
      </w:r>
    </w:p>
    <w:p w14:paraId="71E9947D" w14:textId="77777777" w:rsidR="006E51B1" w:rsidRDefault="006E51B1" w:rsidP="00037CB8">
      <w:pPr>
        <w:pStyle w:val="NoSpacing"/>
        <w:rPr>
          <w:rFonts w:ascii="Arial Black" w:hAnsi="Arial Black"/>
          <w:sz w:val="24"/>
          <w:szCs w:val="24"/>
        </w:rPr>
      </w:pPr>
    </w:p>
    <w:p w14:paraId="516E312F" w14:textId="77777777" w:rsidR="006E51B1" w:rsidRPr="008E4E50" w:rsidRDefault="006E51B1" w:rsidP="006E51B1">
      <w:pPr>
        <w:pStyle w:val="NoSpacing"/>
        <w:rPr>
          <w:rFonts w:ascii="Arial Black" w:hAnsi="Arial Black"/>
          <w:bCs/>
          <w:sz w:val="28"/>
          <w:szCs w:val="28"/>
        </w:rPr>
      </w:pPr>
      <w:r>
        <w:rPr>
          <w:rFonts w:ascii="Arial Black" w:hAnsi="Arial Black"/>
          <w:sz w:val="28"/>
          <w:szCs w:val="28"/>
        </w:rPr>
        <w:t xml:space="preserve">WI: ARSON – NO </w:t>
      </w:r>
      <w:r w:rsidRPr="007F0262">
        <w:rPr>
          <w:rFonts w:ascii="Arial Black" w:hAnsi="Arial Black"/>
          <w:i/>
          <w:iCs/>
          <w:sz w:val="28"/>
          <w:szCs w:val="28"/>
        </w:rPr>
        <w:t>MIRANDA</w:t>
      </w:r>
      <w:r>
        <w:rPr>
          <w:rFonts w:ascii="Arial Black" w:hAnsi="Arial Black"/>
          <w:sz w:val="28"/>
          <w:szCs w:val="28"/>
        </w:rPr>
        <w:t xml:space="preserve"> – NOT IN CUSTODY BY ATF</w:t>
      </w:r>
    </w:p>
    <w:p w14:paraId="0B61AE52" w14:textId="77777777" w:rsidR="006E51B1" w:rsidRDefault="006E51B1" w:rsidP="006E51B1">
      <w:pPr>
        <w:pStyle w:val="NoSpacing"/>
        <w:rPr>
          <w:b/>
        </w:rPr>
      </w:pPr>
    </w:p>
    <w:p w14:paraId="3D6935E3" w14:textId="77777777" w:rsidR="006E51B1" w:rsidRDefault="006E51B1" w:rsidP="006E51B1">
      <w:pPr>
        <w:pStyle w:val="NoSpacing"/>
        <w:rPr>
          <w:bCs/>
        </w:rPr>
      </w:pPr>
      <w:r>
        <w:t xml:space="preserve">On October 28, 2025, in </w:t>
      </w:r>
      <w:r w:rsidRPr="001E3816">
        <w:rPr>
          <w:u w:val="single"/>
        </w:rPr>
        <w:t>United States of America v. Arletta Allen</w:t>
      </w:r>
      <w:r>
        <w:t xml:space="preserve">, U.S. District Court Chief Judge Pamela A. Pepper, United States District Court for the Eastern District of Wisconsin adopted the U.S. Magistrate Judge William E. Duffin’s recommendation to deny defense </w:t>
      </w:r>
      <w:r w:rsidRPr="006D53D8">
        <w:t xml:space="preserve">motion to suppress statements she made to </w:t>
      </w:r>
      <w:r>
        <w:t xml:space="preserve">ATF Special Agents </w:t>
      </w:r>
      <w:r w:rsidRPr="006D53D8">
        <w:t>on November 2, 2021</w:t>
      </w:r>
      <w:r>
        <w:t xml:space="preserve"> </w:t>
      </w:r>
      <w:r>
        <w:lastRenderedPageBreak/>
        <w:t xml:space="preserve">sitting in their vehicle as agents searched her home.  </w:t>
      </w:r>
      <w:r w:rsidRPr="001E3816">
        <w:t>According to the indictment, on or about October 10, 2021, Allen maliciously damaged by fire a restaurant known as “A Family Affair Soulfood Kitchen” located at 417 S. Main Street in Fond du Lac, Wisconsin.</w:t>
      </w:r>
      <w:r>
        <w:t xml:space="preserve">  </w:t>
      </w:r>
      <w:r w:rsidRPr="008231EE">
        <w:t xml:space="preserve">Judge Duffin determined that </w:t>
      </w:r>
      <w:proofErr w:type="gramStart"/>
      <w:r w:rsidRPr="008231EE">
        <w:t>in light of</w:t>
      </w:r>
      <w:proofErr w:type="gramEnd"/>
      <w:r w:rsidRPr="008231EE">
        <w:t xml:space="preserve"> all the facts, the defendant had failed to establish that her movement was restricted to the degree of an arrest</w:t>
      </w:r>
      <w:r>
        <w:t xml:space="preserve">.  </w:t>
      </w:r>
      <w:r w:rsidRPr="008231EE">
        <w:t>Judge Duffin recounted that SA Heimerl had told the defendant that she was not under arrest and had explained that the search team was present to execute the warran</w:t>
      </w:r>
      <w:r>
        <w:t xml:space="preserve">t. </w:t>
      </w:r>
      <w:hyperlink r:id="rId56" w:history="1">
        <w:r w:rsidRPr="00467EB3">
          <w:rPr>
            <w:rStyle w:val="Hyperlink"/>
          </w:rPr>
          <w:t>https://public.fastcase.com/jaEE2PXzRXmZ99jOLMt1Io7YtJZzhGRSpWTaEU5VEs33%2BTg9rUAoQurxZOT9gqkAJFaugLm9Mxx2CSeMl9vD0%2FrzAe6H5F%2F5zH2a3krjQxc%3D?utm_medium=email&amp;_hsenc=p2ANqtz--xi3xhqQTQTPjw8tThXPxla5fboNp_lyjnL-u37viXN8Zx1O-9U8osPNb7oBpn1RZ6w4oAGvXBZvBP5z9zhZ_Qvufy4w&amp;_hsmi=226712652&amp;utm_content=226712652&amp;utm_source=hs_email</w:t>
        </w:r>
      </w:hyperlink>
      <w:r>
        <w:t xml:space="preserve"> </w:t>
      </w:r>
    </w:p>
    <w:p w14:paraId="084524DA" w14:textId="77777777" w:rsidR="006E51B1" w:rsidRDefault="006E51B1" w:rsidP="006E51B1">
      <w:pPr>
        <w:pStyle w:val="NoSpacing"/>
        <w:rPr>
          <w:bCs/>
        </w:rPr>
      </w:pPr>
    </w:p>
    <w:p w14:paraId="5FA37B70" w14:textId="77777777" w:rsidR="006E51B1" w:rsidRDefault="006E51B1" w:rsidP="006E51B1">
      <w:pPr>
        <w:pStyle w:val="NoSpacing"/>
        <w:rPr>
          <w:bCs/>
        </w:rPr>
      </w:pPr>
    </w:p>
    <w:p w14:paraId="1DC35307" w14:textId="77777777" w:rsidR="006E51B1" w:rsidRDefault="006E51B1" w:rsidP="006E51B1">
      <w:pPr>
        <w:pStyle w:val="NoSpacing"/>
      </w:pPr>
      <w:r>
        <w:t>THE COURT HELD:</w:t>
      </w:r>
    </w:p>
    <w:p w14:paraId="6954F720" w14:textId="77777777" w:rsidR="006E51B1" w:rsidRDefault="006E51B1" w:rsidP="006E51B1">
      <w:pPr>
        <w:pStyle w:val="NoSpacing"/>
      </w:pPr>
    </w:p>
    <w:p w14:paraId="7B9980AE" w14:textId="77777777" w:rsidR="006E51B1" w:rsidRDefault="006E51B1" w:rsidP="006E51B1">
      <w:pPr>
        <w:pStyle w:val="NoSpacing"/>
        <w:ind w:left="720"/>
      </w:pPr>
      <w:r>
        <w:t>“</w:t>
      </w:r>
      <w:r w:rsidRPr="007C1D31">
        <w:t>On November 1, 2021, Magistrate Judge Stephen C. Dries issued search warrants for the restaurant, the defendant's house and the defendant's Dodge Durango</w:t>
      </w:r>
      <w:r>
        <w:t xml:space="preserve">…. </w:t>
      </w:r>
      <w:r w:rsidRPr="007C1D31">
        <w:t>Judge Dries also issued a search warrant for the defendant's Facebook account</w:t>
      </w:r>
      <w:r>
        <w:t xml:space="preserve">…. </w:t>
      </w:r>
    </w:p>
    <w:p w14:paraId="4AEA8F4B" w14:textId="77777777" w:rsidR="006E51B1" w:rsidRDefault="006E51B1" w:rsidP="006E51B1">
      <w:pPr>
        <w:pStyle w:val="NoSpacing"/>
        <w:ind w:left="720"/>
      </w:pPr>
    </w:p>
    <w:p w14:paraId="2388024B" w14:textId="77777777" w:rsidR="006E51B1" w:rsidRDefault="006E51B1" w:rsidP="006E51B1">
      <w:pPr>
        <w:pStyle w:val="NoSpacing"/>
        <w:ind w:left="720"/>
      </w:pPr>
      <w:r w:rsidRPr="00773286">
        <w:t xml:space="preserve">On the morning of November 2, 2021, Special Agent Kevin Heimerl called the defendant and asked to meet with her to </w:t>
      </w:r>
      <w:r>
        <w:t>‘</w:t>
      </w:r>
      <w:r w:rsidRPr="00773286">
        <w:t>share a little bit of information.</w:t>
      </w:r>
      <w:r>
        <w:t>’ ....</w:t>
      </w:r>
      <w:r w:rsidRPr="00773286">
        <w:t xml:space="preserve"> </w:t>
      </w:r>
      <w:r>
        <w:t xml:space="preserve"> </w:t>
      </w:r>
      <w:r w:rsidRPr="00773286">
        <w:t>SA Heimerl and SA Matthew Anderson were parked about one block away from the defendant's house at the time of the call</w:t>
      </w:r>
      <w:r>
        <w:t xml:space="preserve">…. </w:t>
      </w:r>
      <w:r w:rsidRPr="00773286">
        <w:t>Heimerl recorded a portion of this phone call and his later in-person conversation with the defendant that morning</w:t>
      </w:r>
      <w:r>
        <w:t xml:space="preserve">…. </w:t>
      </w:r>
      <w:r w:rsidRPr="00773286">
        <w:t>About two minutes after speaking with the defendant on the phone, the agents arrived at her home and parked in her driveway at the rear of the home</w:t>
      </w:r>
      <w:r>
        <w:t xml:space="preserve">…. </w:t>
      </w:r>
    </w:p>
    <w:p w14:paraId="33CCCD1D" w14:textId="77777777" w:rsidR="006E51B1" w:rsidRDefault="006E51B1" w:rsidP="006E51B1">
      <w:pPr>
        <w:pStyle w:val="NoSpacing"/>
        <w:ind w:left="720"/>
      </w:pPr>
    </w:p>
    <w:p w14:paraId="52E5B184" w14:textId="77777777" w:rsidR="006E51B1" w:rsidRDefault="006E51B1" w:rsidP="006E51B1">
      <w:pPr>
        <w:pStyle w:val="NoSpacing"/>
        <w:ind w:left="720"/>
      </w:pPr>
      <w:r>
        <w:t>***</w:t>
      </w:r>
    </w:p>
    <w:p w14:paraId="50D808F1" w14:textId="77777777" w:rsidR="006E51B1" w:rsidRPr="00773286" w:rsidRDefault="006E51B1" w:rsidP="006E51B1">
      <w:pPr>
        <w:pStyle w:val="NoSpacing"/>
        <w:ind w:left="720"/>
      </w:pPr>
      <w:r w:rsidRPr="00773286">
        <w:t xml:space="preserve"> </w:t>
      </w:r>
    </w:p>
    <w:p w14:paraId="0ADBE649" w14:textId="77777777" w:rsidR="006E51B1" w:rsidRDefault="006E51B1" w:rsidP="006E51B1">
      <w:pPr>
        <w:pStyle w:val="NoSpacing"/>
        <w:ind w:left="720"/>
      </w:pPr>
      <w:r w:rsidRPr="009D7443">
        <w:t xml:space="preserve">Heimerl told the defendant, </w:t>
      </w:r>
      <w:r>
        <w:t>‘</w:t>
      </w:r>
      <w:r w:rsidRPr="009D7443">
        <w:t xml:space="preserve">Just get what you need to get and we're </w:t>
      </w:r>
      <w:proofErr w:type="spellStart"/>
      <w:r w:rsidRPr="009D7443">
        <w:t>gonna</w:t>
      </w:r>
      <w:proofErr w:type="spellEnd"/>
      <w:r w:rsidRPr="009D7443">
        <w:t xml:space="preserve"> go outside and sit in my truck</w:t>
      </w:r>
      <w:proofErr w:type="gramStart"/>
      <w:r w:rsidRPr="009D7443">
        <w:t>.</w:t>
      </w:r>
      <w:proofErr w:type="gramEnd"/>
      <w:r w:rsidRPr="009D7443">
        <w:t xml:space="preserve"> Okay?</w:t>
      </w:r>
      <w:r>
        <w:t xml:space="preserve">’ … </w:t>
      </w:r>
      <w:r w:rsidRPr="009D7443">
        <w:t>The agents then escorted the defendant downstairs and toward the parked truck</w:t>
      </w:r>
      <w:r>
        <w:t xml:space="preserve">…. </w:t>
      </w:r>
      <w:r w:rsidRPr="009D7443">
        <w:t xml:space="preserve"> The agents did not pat the defendant down or place her in handcuffs</w:t>
      </w:r>
      <w:r>
        <w:t xml:space="preserve">…. </w:t>
      </w:r>
      <w:r w:rsidRPr="009D7443">
        <w:t xml:space="preserve"> The defendant asserts that Heimerl placed his hand on her arm and physically guided her out the door of her home, while Heimerl states that he did not have any physical contact with the defendant after taking her phone</w:t>
      </w:r>
      <w:r>
        <w:t xml:space="preserve">…. </w:t>
      </w:r>
      <w:r w:rsidRPr="009D7443">
        <w:t>Once at the truck, the defendant was escorted into the front passenger seat</w:t>
      </w:r>
      <w:r>
        <w:t xml:space="preserve">…. </w:t>
      </w:r>
      <w:r w:rsidRPr="009D7443">
        <w:t>Heimerl sat in the driver's seat and turned on the vehicle and its heating system, while Anderson sat in the rear passenger seat behind the defendant.</w:t>
      </w:r>
    </w:p>
    <w:p w14:paraId="311E451A" w14:textId="77777777" w:rsidR="006E51B1" w:rsidRDefault="006E51B1" w:rsidP="006E51B1">
      <w:pPr>
        <w:pStyle w:val="NoSpacing"/>
        <w:ind w:left="720"/>
      </w:pPr>
    </w:p>
    <w:p w14:paraId="714DD454" w14:textId="77777777" w:rsidR="006E51B1" w:rsidRDefault="006E51B1" w:rsidP="006E51B1">
      <w:pPr>
        <w:pStyle w:val="NoSpacing"/>
        <w:ind w:left="720"/>
      </w:pPr>
      <w:r w:rsidRPr="007B5FA6">
        <w:t>The defendant then saw approximately ten officers approaching her home with weapons drawn</w:t>
      </w:r>
      <w:r>
        <w:t xml:space="preserve">…. </w:t>
      </w:r>
      <w:r w:rsidRPr="007B5FA6">
        <w:t>The defendant believed that the officers looked like a SWAT team and was visibly shaken, anxious and upset</w:t>
      </w:r>
      <w:r>
        <w:t xml:space="preserve">….  </w:t>
      </w:r>
      <w:r w:rsidRPr="007B5FA6">
        <w:t>Heimerl questioned the defendant about the fire, including showing her images from the surveillance footage, while law enforcement executed the search warrant</w:t>
      </w:r>
      <w:r>
        <w:t xml:space="preserve">… </w:t>
      </w:r>
      <w:r w:rsidRPr="007B5FA6">
        <w:t>The defendant was in the truck for approximately two hours</w:t>
      </w:r>
      <w:r>
        <w:t xml:space="preserve">…. </w:t>
      </w:r>
      <w:r w:rsidRPr="007B5FA6">
        <w:t xml:space="preserve">Neither agent informed the defendant of her </w:t>
      </w:r>
      <w:r w:rsidRPr="007B5FA6">
        <w:rPr>
          <w:i/>
          <w:iCs/>
        </w:rPr>
        <w:t>Miranda</w:t>
      </w:r>
      <w:r w:rsidRPr="007B5FA6">
        <w:t xml:space="preserve"> rights</w:t>
      </w:r>
      <w:r>
        <w:t xml:space="preserve">…. </w:t>
      </w:r>
      <w:r w:rsidRPr="007B5FA6">
        <w:t>The defendant previously had met or spoken with Heimerl six times before this but never had been shown the surveillance images from the night of the fire</w:t>
      </w:r>
      <w:r>
        <w:t xml:space="preserve">…. </w:t>
      </w:r>
      <w:r w:rsidRPr="007B5FA6">
        <w:t xml:space="preserve">Both agents were in plainclothes and armed during the </w:t>
      </w:r>
      <w:proofErr w:type="gramStart"/>
      <w:r w:rsidRPr="007B5FA6">
        <w:t>interview, but</w:t>
      </w:r>
      <w:proofErr w:type="gramEnd"/>
      <w:r w:rsidRPr="007B5FA6">
        <w:t xml:space="preserve"> did not display their weapons to the defendant</w:t>
      </w:r>
      <w:r>
        <w:t xml:space="preserve">…. </w:t>
      </w:r>
      <w:r w:rsidRPr="007B5FA6">
        <w:t xml:space="preserve">During the interview, the defendant was </w:t>
      </w:r>
      <w:r>
        <w:t>‘</w:t>
      </w:r>
      <w:r w:rsidRPr="007B5FA6">
        <w:t>visibly shaken, upset, and scared</w:t>
      </w:r>
      <w:r>
        <w:t>’</w:t>
      </w:r>
      <w:r w:rsidRPr="007B5FA6">
        <w:t xml:space="preserve"> with </w:t>
      </w:r>
      <w:r>
        <w:t>‘</w:t>
      </w:r>
      <w:r w:rsidRPr="007B5FA6">
        <w:t>tears in her eyes at times.</w:t>
      </w:r>
      <w:r>
        <w:t xml:space="preserve">’ … </w:t>
      </w:r>
      <w:r w:rsidRPr="007B5FA6">
        <w:t xml:space="preserve">The parties agree that </w:t>
      </w:r>
      <w:r>
        <w:t>‘</w:t>
      </w:r>
      <w:r w:rsidRPr="007B5FA6">
        <w:t>portions</w:t>
      </w:r>
      <w:r>
        <w:t>’</w:t>
      </w:r>
      <w:r w:rsidRPr="007B5FA6">
        <w:t xml:space="preserve"> of Heimerl's questioning constituted an interrogation, but dispute whether the interrogation was conducted in a custodial setting. </w:t>
      </w:r>
    </w:p>
    <w:p w14:paraId="51D78B35" w14:textId="77777777" w:rsidR="006E51B1" w:rsidRDefault="006E51B1" w:rsidP="006E51B1">
      <w:pPr>
        <w:pStyle w:val="NoSpacing"/>
        <w:ind w:left="720"/>
      </w:pPr>
    </w:p>
    <w:p w14:paraId="55045149" w14:textId="77777777" w:rsidR="006E51B1" w:rsidRDefault="006E51B1" w:rsidP="006E51B1">
      <w:pPr>
        <w:pStyle w:val="NoSpacing"/>
        <w:ind w:left="720"/>
      </w:pPr>
      <w:r>
        <w:t>***</w:t>
      </w:r>
    </w:p>
    <w:p w14:paraId="21AF3FFA" w14:textId="77777777" w:rsidR="006E51B1" w:rsidRDefault="006E51B1" w:rsidP="006E51B1">
      <w:pPr>
        <w:pStyle w:val="NoSpacing"/>
        <w:ind w:left="720"/>
      </w:pPr>
      <w:r w:rsidRPr="00804126">
        <w:t xml:space="preserve">Based on the totality of the circumstances, the court agrees with Judge Duffin that the defendant was not in custody. The defendant's initial contact with the agents was at her house. Although the agents went with her, she was allowed to get warmer clothing. She left her house and went with the agents to their truck, which was on her property. She remained in the truck for about an hour for the </w:t>
      </w:r>
      <w:proofErr w:type="gramStart"/>
      <w:r w:rsidRPr="00804126">
        <w:t>purposes</w:t>
      </w:r>
      <w:proofErr w:type="gramEnd"/>
      <w:r w:rsidRPr="00804126">
        <w:t xml:space="preserve"> of questioning (the questioning did not continue into the second hour), she was not physically </w:t>
      </w:r>
      <w:proofErr w:type="gramStart"/>
      <w:r w:rsidRPr="00804126">
        <w:t>restrained</w:t>
      </w:r>
      <w:proofErr w:type="gramEnd"/>
      <w:r w:rsidRPr="00804126">
        <w:t xml:space="preserve"> and she was released at the end of the conversation. The agents did not point their weapons at the defendant or threaten her. She was not detained at a police station or government building. Heimerl told the defendant that she did not have to answer the agents' </w:t>
      </w:r>
      <w:r w:rsidRPr="00804126">
        <w:lastRenderedPageBreak/>
        <w:t>questions, and the defendant demonstrated that she understood by declining to answer when asked to explain why she may have been at her restaurant on the night of the fire. Although there were several officers present to execute the search warrant, the defendant directly interacted only with Heimerl and Anderson, both of whom were known to her from previous interactions. The defendant has not alleged that the agents yelled at her or that they physically or verbally abused her. Although the defendant may have felt scared or upset during the interview, her subjective perception of the circumstances is not the issue. The question is whether a reasonable person in her position would have felt free to leave. Judge Duffin did not err in concluding that a reasonable person in that position would have felt free to leave.</w:t>
      </w:r>
      <w:r>
        <w:t>”</w:t>
      </w:r>
    </w:p>
    <w:p w14:paraId="5B362738" w14:textId="77777777" w:rsidR="006E51B1" w:rsidRDefault="006E51B1" w:rsidP="006E51B1">
      <w:pPr>
        <w:pStyle w:val="NoSpacing"/>
        <w:ind w:left="720"/>
      </w:pPr>
    </w:p>
    <w:p w14:paraId="478B8189" w14:textId="41238CE4" w:rsidR="006E51B1" w:rsidRPr="00804126" w:rsidRDefault="006E51B1" w:rsidP="006E51B1">
      <w:pPr>
        <w:pStyle w:val="NoSpacing"/>
        <w:rPr>
          <w:b/>
          <w:bCs/>
        </w:rPr>
      </w:pPr>
      <w:r>
        <w:rPr>
          <w:b/>
        </w:rPr>
        <w:t xml:space="preserve">Lesson learned:  The case will now proceed to trial; arson investigators should consult with prosecutors about their plan to have </w:t>
      </w:r>
      <w:proofErr w:type="gramStart"/>
      <w:r>
        <w:rPr>
          <w:b/>
        </w:rPr>
        <w:t>defendant</w:t>
      </w:r>
      <w:proofErr w:type="gramEnd"/>
      <w:r>
        <w:rPr>
          <w:b/>
        </w:rPr>
        <w:t xml:space="preserve"> wait in their vehicle as her home is searched, and when </w:t>
      </w:r>
      <w:r w:rsidRPr="00A058B6">
        <w:rPr>
          <w:b/>
          <w:i/>
          <w:iCs/>
        </w:rPr>
        <w:t xml:space="preserve">Miranda </w:t>
      </w:r>
      <w:r>
        <w:rPr>
          <w:b/>
        </w:rPr>
        <w:t xml:space="preserve">warnings should be given.  </w:t>
      </w:r>
    </w:p>
    <w:p w14:paraId="4DF537B7" w14:textId="77777777" w:rsidR="006E51B1" w:rsidRPr="007B5FA6" w:rsidRDefault="006E51B1" w:rsidP="006E51B1">
      <w:pPr>
        <w:pStyle w:val="NoSpacing"/>
        <w:ind w:left="720"/>
      </w:pPr>
    </w:p>
    <w:p w14:paraId="5367443E" w14:textId="77777777" w:rsidR="006E51B1" w:rsidRPr="000A4CD4" w:rsidRDefault="006E51B1" w:rsidP="006E51B1">
      <w:pPr>
        <w:pStyle w:val="NoSpacing"/>
        <w:ind w:left="720"/>
        <w:rPr>
          <w:b/>
        </w:rPr>
      </w:pPr>
      <w:r>
        <w:t xml:space="preserve">Note: See the Dec. 17, </w:t>
      </w:r>
      <w:proofErr w:type="gramStart"/>
      <w:r>
        <w:t>2024</w:t>
      </w:r>
      <w:proofErr w:type="gramEnd"/>
      <w:r>
        <w:t xml:space="preserve"> Press Release by U.S. Attorney’s Office when she was indicted. “</w:t>
      </w:r>
      <w:r w:rsidRPr="007F0061">
        <w:t>Former Restaurant Owner Indicted for Arson and Related Charges</w:t>
      </w:r>
      <w:r>
        <w:t>”</w:t>
      </w:r>
    </w:p>
    <w:p w14:paraId="3BB1D36B" w14:textId="77777777" w:rsidR="006E51B1" w:rsidRDefault="006E51B1" w:rsidP="006E51B1">
      <w:pPr>
        <w:pStyle w:val="NoSpacing"/>
        <w:ind w:left="720"/>
      </w:pPr>
      <w:hyperlink r:id="rId57" w:history="1">
        <w:r w:rsidRPr="00465B64">
          <w:rPr>
            <w:rStyle w:val="Hyperlink"/>
          </w:rPr>
          <w:t>https://www.justice.gov/usao-edwi/pr/former-restaurant-owner-indicted-arson-and-related-charges</w:t>
        </w:r>
      </w:hyperlink>
      <w:r>
        <w:t xml:space="preserve"> </w:t>
      </w:r>
    </w:p>
    <w:p w14:paraId="7A92164B" w14:textId="77777777" w:rsidR="006E51B1" w:rsidRDefault="006E51B1" w:rsidP="00037CB8">
      <w:pPr>
        <w:pStyle w:val="NoSpacing"/>
        <w:rPr>
          <w:rFonts w:ascii="Arial Black" w:hAnsi="Arial Black"/>
          <w:sz w:val="24"/>
          <w:szCs w:val="24"/>
        </w:rPr>
      </w:pPr>
    </w:p>
    <w:p w14:paraId="15E46EAC" w14:textId="77777777" w:rsidR="003306E6" w:rsidRDefault="003306E6" w:rsidP="00037CB8">
      <w:pPr>
        <w:pStyle w:val="NoSpacing"/>
        <w:rPr>
          <w:rFonts w:ascii="Arial Black" w:hAnsi="Arial Black"/>
          <w:sz w:val="24"/>
          <w:szCs w:val="24"/>
        </w:rPr>
      </w:pPr>
    </w:p>
    <w:p w14:paraId="17B76AC3" w14:textId="388F7597" w:rsidR="003306E6" w:rsidRDefault="003306E6" w:rsidP="00037CB8">
      <w:pPr>
        <w:pStyle w:val="NoSpacing"/>
        <w:rPr>
          <w:rFonts w:ascii="Arial Black" w:hAnsi="Arial Black"/>
          <w:sz w:val="24"/>
          <w:szCs w:val="24"/>
        </w:rPr>
      </w:pPr>
      <w:r>
        <w:rPr>
          <w:rFonts w:ascii="Arial Black" w:hAnsi="Arial Black"/>
          <w:sz w:val="24"/>
          <w:szCs w:val="24"/>
        </w:rPr>
        <w:t>1-195</w:t>
      </w:r>
    </w:p>
    <w:p w14:paraId="466A705C" w14:textId="77777777" w:rsidR="003306E6" w:rsidRDefault="003306E6" w:rsidP="003306E6">
      <w:pPr>
        <w:spacing w:after="0"/>
        <w:rPr>
          <w:rFonts w:ascii="Arial Black" w:hAnsi="Arial Black"/>
          <w:sz w:val="28"/>
          <w:szCs w:val="28"/>
        </w:rPr>
      </w:pPr>
    </w:p>
    <w:p w14:paraId="2F3D1EEB" w14:textId="5862191E" w:rsidR="003306E6" w:rsidRPr="00FD1C42" w:rsidRDefault="003306E6" w:rsidP="003306E6">
      <w:pPr>
        <w:spacing w:after="0"/>
        <w:rPr>
          <w:rFonts w:ascii="Arial Black" w:hAnsi="Arial Black"/>
          <w:sz w:val="28"/>
          <w:szCs w:val="28"/>
        </w:rPr>
      </w:pPr>
      <w:r>
        <w:rPr>
          <w:rFonts w:ascii="Arial Black" w:hAnsi="Arial Black"/>
          <w:sz w:val="28"/>
          <w:szCs w:val="28"/>
        </w:rPr>
        <w:t>NY: HOSP FIRE – PT’s FRAYED CELL CHARGING CABLE</w:t>
      </w:r>
    </w:p>
    <w:p w14:paraId="56D7E9F2" w14:textId="77777777" w:rsidR="003306E6" w:rsidRDefault="003306E6" w:rsidP="003306E6">
      <w:pPr>
        <w:spacing w:after="0"/>
      </w:pPr>
    </w:p>
    <w:p w14:paraId="3436DB2E" w14:textId="77777777" w:rsidR="003306E6" w:rsidRPr="00D86092" w:rsidRDefault="003306E6" w:rsidP="003306E6">
      <w:pPr>
        <w:pStyle w:val="NoSpacing"/>
      </w:pPr>
      <w:r>
        <w:t xml:space="preserve">On Oct. 9, 2025, in </w:t>
      </w:r>
      <w:r w:rsidRPr="00690F8A">
        <w:rPr>
          <w:u w:val="single"/>
        </w:rPr>
        <w:t xml:space="preserve">Krystel-Marie </w:t>
      </w:r>
      <w:proofErr w:type="spellStart"/>
      <w:r w:rsidRPr="00690F8A">
        <w:rPr>
          <w:u w:val="single"/>
        </w:rPr>
        <w:t>Desmornes</w:t>
      </w:r>
      <w:proofErr w:type="spellEnd"/>
      <w:r w:rsidRPr="00690F8A">
        <w:rPr>
          <w:u w:val="single"/>
        </w:rPr>
        <w:t xml:space="preserve"> as Administrator of Jean-Daniel Desmornes v. The Brooklyn Hospital Center</w:t>
      </w:r>
      <w:r>
        <w:t xml:space="preserve">, Judge Ruper P. Barry, </w:t>
      </w:r>
      <w:r w:rsidRPr="00D86092">
        <w:t>Supreme Court, Kings County</w:t>
      </w:r>
      <w:r>
        <w:t xml:space="preserve">, granted defense motion for summary judgment.  The COVID patient started a fire caused by his </w:t>
      </w:r>
      <w:r w:rsidRPr="00CA17D7">
        <w:t>use of his frayed,</w:t>
      </w:r>
      <w:r>
        <w:t xml:space="preserve"> </w:t>
      </w:r>
      <w:r w:rsidRPr="00CA17D7">
        <w:t>after-market cellphone charging cable.</w:t>
      </w:r>
      <w:r>
        <w:t xml:space="preserve"> </w:t>
      </w:r>
      <w:hyperlink r:id="rId58" w:history="1">
        <w:r w:rsidRPr="00307531">
          <w:rPr>
            <w:rStyle w:val="Hyperlink"/>
          </w:rPr>
          <w:t>https://cases.justia.com/new-york/other-courts/2025-2025-ny-slip-op-33961-u.pdf?ts=1761686709</w:t>
        </w:r>
      </w:hyperlink>
      <w:r>
        <w:t xml:space="preserve"> </w:t>
      </w:r>
    </w:p>
    <w:p w14:paraId="37834DA0" w14:textId="77777777" w:rsidR="003306E6" w:rsidRDefault="003306E6" w:rsidP="003306E6">
      <w:pPr>
        <w:spacing w:after="0"/>
        <w:rPr>
          <w:rFonts w:ascii="Arial Black" w:hAnsi="Arial Black"/>
          <w:sz w:val="28"/>
          <w:szCs w:val="28"/>
        </w:rPr>
      </w:pPr>
    </w:p>
    <w:p w14:paraId="4345CBC4" w14:textId="77777777" w:rsidR="003306E6" w:rsidRDefault="003306E6" w:rsidP="003306E6">
      <w:pPr>
        <w:pStyle w:val="NoSpacing"/>
      </w:pPr>
      <w:r>
        <w:t xml:space="preserve"> THE COURT HELD:</w:t>
      </w:r>
    </w:p>
    <w:p w14:paraId="67A6F378" w14:textId="77777777" w:rsidR="003306E6" w:rsidRDefault="003306E6" w:rsidP="003306E6">
      <w:pPr>
        <w:pStyle w:val="NoSpacing"/>
      </w:pPr>
    </w:p>
    <w:p w14:paraId="0AD7378F" w14:textId="77777777" w:rsidR="003306E6" w:rsidRDefault="003306E6" w:rsidP="003306E6">
      <w:pPr>
        <w:pStyle w:val="NoSpacing"/>
        <w:ind w:left="720"/>
      </w:pPr>
      <w:r>
        <w:t>“This action concerns a fire in the Brooklyn Hospital Center (hereafter ‘BHC’) Emergency Department on March 26, 2020, involving Jean-Daniel Desmornes, who had been admitted to BHC with covid on March 25, 2020. Immediately after the fire, the FDNY examined the scene and FDNY Marshall John Urrico concluded that the fire was solely caused by Mr. Jean-Daniel Desmornes’ use of his frayed, after-market cellphone charging cable.</w:t>
      </w:r>
    </w:p>
    <w:p w14:paraId="7D7B312D" w14:textId="77777777" w:rsidR="003306E6" w:rsidRDefault="003306E6" w:rsidP="003306E6">
      <w:pPr>
        <w:pStyle w:val="NoSpacing"/>
        <w:ind w:left="720"/>
      </w:pPr>
    </w:p>
    <w:p w14:paraId="7A1A8F71" w14:textId="77777777" w:rsidR="003306E6" w:rsidRDefault="003306E6" w:rsidP="003306E6">
      <w:pPr>
        <w:pStyle w:val="NoSpacing"/>
        <w:ind w:left="720"/>
      </w:pPr>
      <w:r>
        <w:t>***</w:t>
      </w:r>
    </w:p>
    <w:p w14:paraId="67FDEB3E" w14:textId="77777777" w:rsidR="003306E6" w:rsidRDefault="003306E6" w:rsidP="003306E6">
      <w:pPr>
        <w:pStyle w:val="NoSpacing"/>
        <w:ind w:left="720"/>
      </w:pPr>
      <w:r>
        <w:t xml:space="preserve">In support of its motion, BHC submits the medical records, the FDNY records, the deposition of its then BHC Chief Operating Officer, Robert Aucilino, the expert affirmation of Eugene West (hereafter ‘Mr. West’), and the expert affirmation of Mark Silberman, M.D. </w:t>
      </w:r>
      <w:proofErr w:type="gramStart"/>
      <w:r>
        <w:t>hereafter (‘</w:t>
      </w:r>
      <w:proofErr w:type="gramEnd"/>
      <w:r>
        <w:t>Dr. Silberman’). Mr. West is an expert in fire origin and cause, fire/arson related human factors and behavioral profiling, the management of major case fire incidents, fire department operations, fire incident sequencing, fire scene</w:t>
      </w:r>
    </w:p>
    <w:p w14:paraId="133699D8" w14:textId="77777777" w:rsidR="003306E6" w:rsidRDefault="003306E6" w:rsidP="003306E6">
      <w:pPr>
        <w:pStyle w:val="NoSpacing"/>
        <w:ind w:left="720"/>
      </w:pPr>
      <w:r>
        <w:t>reconstruction, building codes and fire codes.”</w:t>
      </w:r>
    </w:p>
    <w:p w14:paraId="30B8B1A9" w14:textId="77777777" w:rsidR="003306E6" w:rsidRDefault="003306E6" w:rsidP="003306E6">
      <w:pPr>
        <w:pStyle w:val="NoSpacing"/>
        <w:ind w:left="720"/>
      </w:pPr>
    </w:p>
    <w:p w14:paraId="38847118" w14:textId="77777777" w:rsidR="003306E6" w:rsidRPr="00AD46FA" w:rsidRDefault="003306E6" w:rsidP="003306E6">
      <w:pPr>
        <w:pStyle w:val="NoSpacing"/>
        <w:rPr>
          <w:b/>
          <w:bCs/>
        </w:rPr>
      </w:pPr>
      <w:r>
        <w:rPr>
          <w:b/>
        </w:rPr>
        <w:t>Legal lesson learned:  Frayed  cell phone charging cable can cause a fire.</w:t>
      </w:r>
    </w:p>
    <w:p w14:paraId="4BF3713F" w14:textId="77777777" w:rsidR="003306E6" w:rsidRDefault="003306E6" w:rsidP="003306E6">
      <w:pPr>
        <w:pStyle w:val="NoSpacing"/>
      </w:pPr>
    </w:p>
    <w:p w14:paraId="554C5B52" w14:textId="77777777" w:rsidR="003306E6" w:rsidRDefault="003306E6" w:rsidP="003306E6">
      <w:pPr>
        <w:pStyle w:val="NoSpacing"/>
        <w:ind w:left="720"/>
      </w:pPr>
    </w:p>
    <w:p w14:paraId="6D584608" w14:textId="77777777" w:rsidR="003306E6" w:rsidRPr="00BB26AD" w:rsidRDefault="003306E6" w:rsidP="003306E6">
      <w:pPr>
        <w:pStyle w:val="NoSpacing"/>
        <w:ind w:left="720"/>
        <w:rPr>
          <w:bCs/>
        </w:rPr>
      </w:pPr>
      <w:r>
        <w:t xml:space="preserve">Read this Feb. 3, </w:t>
      </w:r>
      <w:proofErr w:type="gramStart"/>
      <w:r>
        <w:t>2025</w:t>
      </w:r>
      <w:proofErr w:type="gramEnd"/>
      <w:r>
        <w:t xml:space="preserve"> article: </w:t>
      </w:r>
      <w:r w:rsidRPr="00BB26AD">
        <w:t xml:space="preserve">What Causes Phone Chargers to Explode? (And How to Avoid It). </w:t>
      </w:r>
      <w:hyperlink r:id="rId59" w:history="1">
        <w:r w:rsidRPr="00BB26AD">
          <w:rPr>
            <w:rStyle w:val="Hyperlink"/>
          </w:rPr>
          <w:t>https://www.voltacharger.com/blogs/news/what-causes-phone-chargers-to-explode-and-how-to-avoid-it?srsltid=AfmBOor-D0Mt5iX7UDwb-r4sqdnXak-6s4LPkG62kZWVkLQCSPJSBjBB</w:t>
        </w:r>
      </w:hyperlink>
      <w:r w:rsidRPr="00BB26AD">
        <w:t xml:space="preserve"> </w:t>
      </w:r>
    </w:p>
    <w:p w14:paraId="6E839AAA" w14:textId="77777777" w:rsidR="003306E6" w:rsidRDefault="003306E6" w:rsidP="003306E6">
      <w:pPr>
        <w:pStyle w:val="NoSpacing"/>
      </w:pPr>
    </w:p>
    <w:p w14:paraId="49D14C0A" w14:textId="77777777" w:rsidR="003306E6" w:rsidRDefault="003306E6" w:rsidP="003306E6">
      <w:pPr>
        <w:pStyle w:val="NoSpacing"/>
      </w:pPr>
    </w:p>
    <w:p w14:paraId="594460A9" w14:textId="77777777" w:rsidR="003306E6" w:rsidRDefault="003306E6" w:rsidP="00037CB8">
      <w:pPr>
        <w:pStyle w:val="NoSpacing"/>
        <w:rPr>
          <w:rFonts w:ascii="Arial Black" w:hAnsi="Arial Black"/>
          <w:sz w:val="24"/>
          <w:szCs w:val="24"/>
        </w:rPr>
      </w:pPr>
    </w:p>
    <w:p w14:paraId="606EE616" w14:textId="77777777" w:rsidR="006E51B1" w:rsidRDefault="006E51B1" w:rsidP="00037CB8">
      <w:pPr>
        <w:pStyle w:val="NoSpacing"/>
        <w:rPr>
          <w:rFonts w:ascii="Arial Black" w:hAnsi="Arial Black"/>
          <w:sz w:val="24"/>
          <w:szCs w:val="24"/>
        </w:rPr>
      </w:pPr>
    </w:p>
    <w:p w14:paraId="06070874" w14:textId="77777777" w:rsidR="006E51B1" w:rsidRDefault="006E51B1" w:rsidP="00037CB8">
      <w:pPr>
        <w:pStyle w:val="NoSpacing"/>
        <w:rPr>
          <w:rFonts w:ascii="Arial Black" w:hAnsi="Arial Black"/>
          <w:sz w:val="24"/>
          <w:szCs w:val="24"/>
        </w:rPr>
      </w:pPr>
    </w:p>
    <w:p w14:paraId="4E8C7FDE" w14:textId="77777777" w:rsidR="006E51B1" w:rsidRDefault="006E51B1" w:rsidP="00037CB8">
      <w:pPr>
        <w:pStyle w:val="NoSpacing"/>
        <w:rPr>
          <w:rFonts w:ascii="Arial Black" w:hAnsi="Arial Black"/>
          <w:sz w:val="24"/>
          <w:szCs w:val="24"/>
        </w:rPr>
      </w:pPr>
    </w:p>
    <w:p w14:paraId="78FCFA60" w14:textId="77777777" w:rsidR="006E51B1" w:rsidRDefault="006E51B1" w:rsidP="00037CB8">
      <w:pPr>
        <w:pStyle w:val="NoSpacing"/>
        <w:rPr>
          <w:rFonts w:ascii="Arial Black" w:hAnsi="Arial Black"/>
          <w:sz w:val="24"/>
          <w:szCs w:val="24"/>
        </w:rPr>
      </w:pPr>
    </w:p>
    <w:p w14:paraId="26C59824" w14:textId="7F12380B" w:rsidR="00037CB8" w:rsidRPr="00E24913" w:rsidRDefault="00037CB8" w:rsidP="00037CB8">
      <w:pPr>
        <w:pStyle w:val="NoSpacing"/>
        <w:rPr>
          <w:rFonts w:ascii="Arial Black" w:hAnsi="Arial Black"/>
          <w:sz w:val="24"/>
          <w:szCs w:val="24"/>
        </w:rPr>
      </w:pPr>
      <w:r w:rsidRPr="00E24913">
        <w:rPr>
          <w:rFonts w:ascii="Arial Black" w:hAnsi="Arial Black"/>
          <w:sz w:val="24"/>
          <w:szCs w:val="24"/>
        </w:rPr>
        <w:t>1-1</w:t>
      </w:r>
      <w:r>
        <w:rPr>
          <w:rFonts w:ascii="Arial Black" w:hAnsi="Arial Black"/>
          <w:sz w:val="24"/>
          <w:szCs w:val="24"/>
        </w:rPr>
        <w:t>94</w:t>
      </w:r>
    </w:p>
    <w:p w14:paraId="7414BED1" w14:textId="77777777" w:rsidR="00B232CB" w:rsidRDefault="00B232CB" w:rsidP="00F326E5">
      <w:pPr>
        <w:pStyle w:val="NoSpacing"/>
        <w:rPr>
          <w:rFonts w:ascii="Arial Black" w:hAnsi="Arial Black"/>
          <w:sz w:val="24"/>
          <w:szCs w:val="24"/>
        </w:rPr>
      </w:pPr>
    </w:p>
    <w:p w14:paraId="5765F509" w14:textId="03366397" w:rsidR="00B232CB" w:rsidRDefault="00B232CB" w:rsidP="00B232CB">
      <w:pPr>
        <w:spacing w:after="0" w:line="240" w:lineRule="auto"/>
        <w:rPr>
          <w:bCs/>
        </w:rPr>
      </w:pPr>
      <w:r>
        <w:rPr>
          <w:rFonts w:ascii="Arial Black" w:hAnsi="Arial Black"/>
          <w:sz w:val="28"/>
          <w:szCs w:val="28"/>
        </w:rPr>
        <w:t xml:space="preserve">ARTICLE – </w:t>
      </w:r>
      <w:r w:rsidRPr="00891811">
        <w:rPr>
          <w:rFonts w:ascii="Arial Black" w:hAnsi="Arial Black"/>
          <w:b/>
          <w:sz w:val="28"/>
          <w:szCs w:val="28"/>
        </w:rPr>
        <w:t>“EYES IN THE SKY: Do Cities Need Warrants for Drones?</w:t>
      </w:r>
      <w:r w:rsidRPr="00891811">
        <w:rPr>
          <w:rFonts w:ascii="Arial Black" w:hAnsi="Arial Black"/>
          <w:sz w:val="28"/>
          <w:szCs w:val="28"/>
        </w:rPr>
        <w:t>”</w:t>
      </w:r>
      <w:r>
        <w:t xml:space="preserve"> September 24, 2013, Homeland Security Today</w:t>
      </w:r>
      <w:r w:rsidR="00891811">
        <w:t xml:space="preserve">, by </w:t>
      </w:r>
      <w:r w:rsidR="0080370D">
        <w:t>Lawrence T. Bennett.</w:t>
      </w:r>
    </w:p>
    <w:p w14:paraId="7D763049" w14:textId="77777777" w:rsidR="00B232CB" w:rsidRDefault="00B232CB" w:rsidP="00B232CB">
      <w:pPr>
        <w:spacing w:after="0" w:line="240" w:lineRule="auto"/>
      </w:pPr>
      <w:hyperlink r:id="rId60" w:history="1">
        <w:r w:rsidRPr="00483260">
          <w:rPr>
            <w:rStyle w:val="Hyperlink"/>
          </w:rPr>
          <w:t>https://www.hstoday.us/subject-matter-areas/unmanned-vehicles/eyes-in-the-sky-do-cities-need-warrants-for-drones/</w:t>
        </w:r>
      </w:hyperlink>
      <w:r>
        <w:t xml:space="preserve">  [Personal thank you to Megan Norris for her very thorough and helpful editing of my first article for Homeland Security Today: </w:t>
      </w:r>
      <w:hyperlink r:id="rId61" w:history="1">
        <w:r w:rsidRPr="00483260">
          <w:rPr>
            <w:rStyle w:val="Hyperlink"/>
          </w:rPr>
          <w:t>https://www.norriseditorial.com</w:t>
        </w:r>
      </w:hyperlink>
      <w:r>
        <w:t xml:space="preserve">.]  </w:t>
      </w:r>
    </w:p>
    <w:p w14:paraId="3A274E71" w14:textId="77777777" w:rsidR="00B232CB" w:rsidRPr="00E91251" w:rsidRDefault="00B232CB" w:rsidP="00B232CB">
      <w:pPr>
        <w:spacing w:after="0" w:line="240" w:lineRule="auto"/>
      </w:pPr>
    </w:p>
    <w:p w14:paraId="19A052CF" w14:textId="450F5758" w:rsidR="00037CB8" w:rsidRPr="00E24913" w:rsidRDefault="00037CB8" w:rsidP="00037CB8">
      <w:pPr>
        <w:pStyle w:val="NoSpacing"/>
        <w:rPr>
          <w:rFonts w:ascii="Arial Black" w:hAnsi="Arial Black"/>
          <w:sz w:val="24"/>
          <w:szCs w:val="24"/>
        </w:rPr>
      </w:pPr>
      <w:r w:rsidRPr="00E24913">
        <w:rPr>
          <w:rFonts w:ascii="Arial Black" w:hAnsi="Arial Black"/>
          <w:sz w:val="24"/>
          <w:szCs w:val="24"/>
        </w:rPr>
        <w:t>1-1</w:t>
      </w:r>
      <w:r>
        <w:rPr>
          <w:rFonts w:ascii="Arial Black" w:hAnsi="Arial Black"/>
          <w:sz w:val="24"/>
          <w:szCs w:val="24"/>
        </w:rPr>
        <w:t>93</w:t>
      </w:r>
    </w:p>
    <w:p w14:paraId="0CF1218A" w14:textId="77777777" w:rsidR="00037CB8" w:rsidRDefault="00037CB8" w:rsidP="00F326E5">
      <w:pPr>
        <w:pStyle w:val="NoSpacing"/>
        <w:rPr>
          <w:rFonts w:ascii="Arial Black" w:hAnsi="Arial Black"/>
          <w:sz w:val="24"/>
          <w:szCs w:val="24"/>
        </w:rPr>
      </w:pPr>
    </w:p>
    <w:p w14:paraId="442D5959" w14:textId="77777777" w:rsidR="008F5629" w:rsidRDefault="008F5629" w:rsidP="008F5629">
      <w:pPr>
        <w:pStyle w:val="NoSpacing"/>
        <w:rPr>
          <w:rFonts w:ascii="Arial Black" w:hAnsi="Arial Black"/>
          <w:sz w:val="28"/>
          <w:szCs w:val="28"/>
        </w:rPr>
      </w:pPr>
      <w:r>
        <w:rPr>
          <w:rFonts w:ascii="Arial Black" w:hAnsi="Arial Black"/>
          <w:sz w:val="28"/>
          <w:szCs w:val="28"/>
        </w:rPr>
        <w:t xml:space="preserve">MI: INTER. FIRE CODE - FIRE CHIEF NO LONGER “AT WILL” </w:t>
      </w:r>
    </w:p>
    <w:p w14:paraId="1AC98985" w14:textId="77777777" w:rsidR="008F5629" w:rsidRDefault="008F5629" w:rsidP="008F5629">
      <w:pPr>
        <w:pStyle w:val="NoSpacing"/>
      </w:pPr>
    </w:p>
    <w:p w14:paraId="40AD7328" w14:textId="77777777" w:rsidR="008F5629" w:rsidRDefault="008F5629" w:rsidP="008F5629">
      <w:pPr>
        <w:pStyle w:val="NoSpacing"/>
      </w:pPr>
      <w:r>
        <w:t xml:space="preserve">On September 19, 2025, in </w:t>
      </w:r>
      <w:r w:rsidRPr="00A5472D">
        <w:rPr>
          <w:u w:val="single"/>
        </w:rPr>
        <w:t>Ronald Lammers v. City of Riverview</w:t>
      </w:r>
      <w:r>
        <w:t xml:space="preserve">, U.S. Federal District Court Judge </w:t>
      </w:r>
      <w:r w:rsidRPr="00C3664A">
        <w:t>Shalina D. Kumar</w:t>
      </w:r>
      <w:r>
        <w:t xml:space="preserve">, United States District Court, Eastern District of Michigan (Southern Division) denied the City’s motion to dismiss the former Fire Chief’s lawsuit, based on a provision in International Fire Code which city had adopted in 2022.  </w:t>
      </w:r>
    </w:p>
    <w:p w14:paraId="59279614" w14:textId="77777777" w:rsidR="008F5629" w:rsidRDefault="008F5629" w:rsidP="008F5629">
      <w:pPr>
        <w:pStyle w:val="NoSpacing"/>
      </w:pPr>
    </w:p>
    <w:p w14:paraId="5EB56138" w14:textId="77777777" w:rsidR="008F5629" w:rsidRDefault="008F5629" w:rsidP="008F5629">
      <w:pPr>
        <w:pStyle w:val="NoSpacing"/>
      </w:pPr>
      <w:r w:rsidRPr="00913B5B">
        <w:rPr>
          <w:b/>
        </w:rPr>
        <w:t>THE COURT HELD</w:t>
      </w:r>
      <w:r>
        <w:t>:  “</w:t>
      </w:r>
      <w:r w:rsidRPr="00C715F2">
        <w:t xml:space="preserve">And since Lammers became the City's fire chief in 2018 and held that position when it adopted the IFC in 2022, it can be reasonably inferred that he was familiar with the IFC and its just-cause provision because his position required him to </w:t>
      </w:r>
      <w:r>
        <w:t>‘</w:t>
      </w:r>
      <w:r w:rsidRPr="00C715F2">
        <w:t>adhere to the provisions of the 2015 International Fire Code (IFC) as identified in the city ordinances.</w:t>
      </w:r>
      <w:r>
        <w:t xml:space="preserve">’ …  </w:t>
      </w:r>
      <w:r w:rsidRPr="00D54466">
        <w:t xml:space="preserve">The fact that this section of the IFC includes the mandatory provision </w:t>
      </w:r>
      <w:r>
        <w:t>‘</w:t>
      </w:r>
      <w:r w:rsidRPr="00D54466">
        <w:t>shall not</w:t>
      </w:r>
      <w:r>
        <w:t xml:space="preserve">’ </w:t>
      </w:r>
      <w:r w:rsidRPr="00D54466">
        <w:t>indicates that the City promised not to terminate Lammers absent just cause. As such, Lammers contends that it was reasonable for him to have a legitimate expectation of just-cause employment with the City, and to have an opportunity to be heard by the city council prior to his termination</w:t>
      </w:r>
      <w:r>
        <w:t xml:space="preserve">.” </w:t>
      </w:r>
      <w:hyperlink r:id="rId62" w:history="1">
        <w:r w:rsidRPr="00EE407B">
          <w:rPr>
            <w:rStyle w:val="Hyperlink"/>
          </w:rPr>
          <w:t>https://public.fastcase.com/jaEE2PXzRXmZ99jOLMt1Ips4C6WkUGp0KzACPcngYbWmPTLfIWMstLJyRryzc8Dq?utm_medium=email&amp;_hsenc=p2ANqtz-94X9-jvo7aphxCTddVbMuFo0h95bmcaFpGEwlnAd6pPwVsx4xOyg-iR7W5WKYYvAnlQWrH3LVFVTBhWCeJd3O3dSBjuA&amp;_hsmi=226712652&amp;utm_content=226712652&amp;utm_source=hs_email</w:t>
        </w:r>
      </w:hyperlink>
    </w:p>
    <w:p w14:paraId="6F5F8705" w14:textId="77777777" w:rsidR="008F5629" w:rsidRDefault="008F5629" w:rsidP="008F5629">
      <w:pPr>
        <w:pStyle w:val="NoSpacing"/>
      </w:pPr>
    </w:p>
    <w:p w14:paraId="3ECBB750" w14:textId="77777777" w:rsidR="008F5629" w:rsidRDefault="008F5629" w:rsidP="008F5629">
      <w:pPr>
        <w:pStyle w:val="NoSpacing"/>
      </w:pPr>
    </w:p>
    <w:p w14:paraId="28445281" w14:textId="77777777" w:rsidR="008F5629" w:rsidRPr="00913B5B" w:rsidRDefault="008F5629" w:rsidP="008F5629">
      <w:pPr>
        <w:pStyle w:val="NoSpacing"/>
        <w:rPr>
          <w:b/>
          <w:bCs/>
        </w:rPr>
      </w:pPr>
      <w:r w:rsidRPr="00913B5B">
        <w:rPr>
          <w:b/>
        </w:rPr>
        <w:t xml:space="preserve">KEY FACTS: </w:t>
      </w:r>
    </w:p>
    <w:p w14:paraId="601DDB8E" w14:textId="77777777" w:rsidR="008F5629" w:rsidRDefault="008F5629" w:rsidP="008F5629">
      <w:pPr>
        <w:pStyle w:val="NoSpacing"/>
      </w:pPr>
    </w:p>
    <w:p w14:paraId="747CB55E" w14:textId="77777777" w:rsidR="008F5629" w:rsidRDefault="008F5629" w:rsidP="008F5629">
      <w:pPr>
        <w:pStyle w:val="NoSpacing"/>
        <w:ind w:left="720"/>
      </w:pPr>
      <w:r>
        <w:t>“</w:t>
      </w:r>
      <w:r w:rsidRPr="00306699">
        <w:t xml:space="preserve">Lammers began working for the </w:t>
      </w:r>
      <w:proofErr w:type="gramStart"/>
      <w:r w:rsidRPr="00306699">
        <w:t>City</w:t>
      </w:r>
      <w:proofErr w:type="gramEnd"/>
      <w:r w:rsidRPr="00306699">
        <w:t xml:space="preserve"> in 2007</w:t>
      </w:r>
      <w:r>
        <w:t>….</w:t>
      </w:r>
      <w:r w:rsidRPr="00306699">
        <w:t>In 2018, he was appointed the City's fire chief by the mayor and city council</w:t>
      </w:r>
      <w:r>
        <w:t xml:space="preserve">…. </w:t>
      </w:r>
      <w:r w:rsidRPr="00306699">
        <w:t>Dobek was appointed the city manager in 2022</w:t>
      </w:r>
      <w:r>
        <w:t xml:space="preserve">…. </w:t>
      </w:r>
      <w:r w:rsidRPr="00306699">
        <w:t>In January 2024, the fire department's supervisor group organized a union of which the deputy fire chief was a member</w:t>
      </w:r>
      <w:r>
        <w:t xml:space="preserve">…. </w:t>
      </w:r>
      <w:r w:rsidRPr="00306699">
        <w:t>Two months later, Dobek informed Lammers that he intended to eliminate the deputy fire chief position due to budgetary constraints</w:t>
      </w:r>
      <w:r>
        <w:t xml:space="preserve">…. </w:t>
      </w:r>
      <w:r w:rsidRPr="00306699">
        <w:t>Lammers disagreed with this decision and told Dobek, human resources, and city council members that this decision was not cost-effective and contrary to public safety</w:t>
      </w:r>
      <w:r>
        <w:t xml:space="preserve">…. </w:t>
      </w:r>
      <w:r w:rsidRPr="00306699">
        <w:t xml:space="preserve"> Thereafter, Dobek advised Lammers in writing to bring any concerns directly to him and to cease voicing his disagreement regarding the decision to terminate the deputy fire chief position to others</w:t>
      </w:r>
      <w:r>
        <w:t xml:space="preserve">…. </w:t>
      </w:r>
      <w:r w:rsidRPr="00306699">
        <w:t>Dobek verbally eliminated Lammers' employment with the City in July 2024, without providing him notice or a hearing beforehand.</w:t>
      </w:r>
    </w:p>
    <w:p w14:paraId="6F46CEBB" w14:textId="77777777" w:rsidR="008F5629" w:rsidRDefault="008F5629" w:rsidP="008F5629">
      <w:pPr>
        <w:pStyle w:val="NoSpacing"/>
        <w:ind w:left="720"/>
      </w:pPr>
    </w:p>
    <w:p w14:paraId="0A75D83E" w14:textId="77777777" w:rsidR="008F5629" w:rsidRDefault="008F5629" w:rsidP="008F5629">
      <w:pPr>
        <w:pStyle w:val="NoSpacing"/>
        <w:ind w:left="720"/>
      </w:pPr>
      <w:r>
        <w:t>***</w:t>
      </w:r>
    </w:p>
    <w:p w14:paraId="65F5832F" w14:textId="77777777" w:rsidR="008F5629" w:rsidRPr="005826E0" w:rsidRDefault="008F5629" w:rsidP="008F5629">
      <w:pPr>
        <w:pStyle w:val="NoSpacing"/>
        <w:ind w:left="720"/>
      </w:pPr>
      <w:r w:rsidRPr="00DA1947">
        <w:t xml:space="preserve">Here, Lammers does not allege that he had a written employment contract with the City. Rather, he claims that the City's adoption of the IFC </w:t>
      </w:r>
      <w:r>
        <w:t xml:space="preserve">[International Fire Code, adopted by city in 2022] </w:t>
      </w:r>
      <w:r w:rsidRPr="00DA1947">
        <w:t>created a legitimate expectation of just-cause employment</w:t>
      </w:r>
      <w:r>
        <w:t xml:space="preserve">…. </w:t>
      </w:r>
      <w:r w:rsidRPr="005826E0">
        <w:t xml:space="preserve">Lammers claims that Section 103.2 of the IFC designated him as a just-cause employee. That Section reads: </w:t>
      </w:r>
    </w:p>
    <w:p w14:paraId="16B698EA" w14:textId="77777777" w:rsidR="008F5629" w:rsidRDefault="008F5629" w:rsidP="008F5629">
      <w:pPr>
        <w:pStyle w:val="NoSpacing"/>
        <w:ind w:left="1440"/>
      </w:pPr>
    </w:p>
    <w:p w14:paraId="7614FFA1" w14:textId="77777777" w:rsidR="008F5629" w:rsidRDefault="008F5629" w:rsidP="008F5629">
      <w:pPr>
        <w:pStyle w:val="NoSpacing"/>
        <w:ind w:left="1440"/>
      </w:pPr>
      <w:r w:rsidRPr="005826E0">
        <w:t xml:space="preserve">The </w:t>
      </w:r>
      <w:r w:rsidRPr="005826E0">
        <w:rPr>
          <w:i/>
          <w:iCs/>
        </w:rPr>
        <w:t>fire code official</w:t>
      </w:r>
      <w:r w:rsidRPr="005826E0">
        <w:t xml:space="preserve"> shall be appointed by the chief appointing authority of the jurisdiction; and the </w:t>
      </w:r>
      <w:r w:rsidRPr="005826E0">
        <w:rPr>
          <w:i/>
          <w:iCs/>
        </w:rPr>
        <w:t>fire code official</w:t>
      </w:r>
      <w:r w:rsidRPr="005826E0">
        <w:t xml:space="preserve"> shall not be removed from office except for cause and after full opportunity to be heard on specific and relevant charges by and before the appointing authority.</w:t>
      </w:r>
      <w:r>
        <w:t>”</w:t>
      </w:r>
    </w:p>
    <w:p w14:paraId="1E9FAD4A" w14:textId="77777777" w:rsidR="008F5629" w:rsidRDefault="008F5629" w:rsidP="008F5629">
      <w:pPr>
        <w:pStyle w:val="NoSpacing"/>
        <w:ind w:left="1440"/>
      </w:pPr>
    </w:p>
    <w:p w14:paraId="6EC7B5A3" w14:textId="5D0E4E3F" w:rsidR="008F5629" w:rsidRPr="00817EEB" w:rsidRDefault="008F5629" w:rsidP="008F5629">
      <w:pPr>
        <w:pStyle w:val="NoSpacing"/>
        <w:rPr>
          <w:b/>
          <w:bCs/>
        </w:rPr>
      </w:pPr>
      <w:r w:rsidRPr="00817EEB">
        <w:rPr>
          <w:b/>
        </w:rPr>
        <w:t xml:space="preserve">Lesson learned: </w:t>
      </w:r>
      <w:r>
        <w:rPr>
          <w:b/>
        </w:rPr>
        <w:t>City’s adoption of International Fire Code “</w:t>
      </w:r>
      <w:r w:rsidRPr="002104E5">
        <w:rPr>
          <w:b/>
        </w:rPr>
        <w:t>created a legitimate expectation of just-cause employment.</w:t>
      </w:r>
      <w:r>
        <w:rPr>
          <w:b/>
        </w:rPr>
        <w:t>”</w:t>
      </w:r>
    </w:p>
    <w:p w14:paraId="7E903289" w14:textId="77777777" w:rsidR="008F5629" w:rsidRDefault="008F5629" w:rsidP="008F5629">
      <w:pPr>
        <w:rPr>
          <w:rFonts w:ascii="Arial Black" w:hAnsi="Arial Black"/>
          <w:sz w:val="28"/>
          <w:szCs w:val="28"/>
        </w:rPr>
      </w:pPr>
    </w:p>
    <w:p w14:paraId="11CB6D50" w14:textId="77777777" w:rsidR="008F5629" w:rsidRDefault="008F5629" w:rsidP="00F326E5">
      <w:pPr>
        <w:pStyle w:val="NoSpacing"/>
        <w:rPr>
          <w:rFonts w:ascii="Arial Black" w:hAnsi="Arial Black"/>
          <w:sz w:val="24"/>
          <w:szCs w:val="24"/>
        </w:rPr>
      </w:pPr>
    </w:p>
    <w:p w14:paraId="1D561103" w14:textId="4FFC3FFB" w:rsidR="00037CB8" w:rsidRPr="00E24913" w:rsidRDefault="00037CB8" w:rsidP="00037CB8">
      <w:pPr>
        <w:pStyle w:val="NoSpacing"/>
        <w:rPr>
          <w:rFonts w:ascii="Arial Black" w:hAnsi="Arial Black"/>
          <w:sz w:val="24"/>
          <w:szCs w:val="24"/>
        </w:rPr>
      </w:pPr>
      <w:r w:rsidRPr="00E24913">
        <w:rPr>
          <w:rFonts w:ascii="Arial Black" w:hAnsi="Arial Black"/>
          <w:sz w:val="24"/>
          <w:szCs w:val="24"/>
        </w:rPr>
        <w:t>1-1</w:t>
      </w:r>
      <w:r>
        <w:rPr>
          <w:rFonts w:ascii="Arial Black" w:hAnsi="Arial Black"/>
          <w:sz w:val="24"/>
          <w:szCs w:val="24"/>
        </w:rPr>
        <w:t>92</w:t>
      </w:r>
    </w:p>
    <w:p w14:paraId="77AF718F" w14:textId="77777777" w:rsidR="00037CB8" w:rsidRDefault="00037CB8" w:rsidP="005142F0">
      <w:pPr>
        <w:pStyle w:val="NoSpacing"/>
        <w:rPr>
          <w:rFonts w:ascii="Arial Black" w:hAnsi="Arial Black"/>
          <w:sz w:val="28"/>
          <w:szCs w:val="28"/>
        </w:rPr>
      </w:pPr>
    </w:p>
    <w:p w14:paraId="0580C586" w14:textId="29D4118D" w:rsidR="005142F0" w:rsidRDefault="005142F0" w:rsidP="005142F0">
      <w:pPr>
        <w:pStyle w:val="NoSpacing"/>
        <w:rPr>
          <w:rFonts w:ascii="Arial Black" w:hAnsi="Arial Black"/>
          <w:sz w:val="28"/>
          <w:szCs w:val="28"/>
        </w:rPr>
      </w:pPr>
      <w:r>
        <w:rPr>
          <w:rFonts w:ascii="Arial Black" w:hAnsi="Arial Black"/>
          <w:sz w:val="28"/>
          <w:szCs w:val="28"/>
        </w:rPr>
        <w:t xml:space="preserve">GA: DRONE / CODE OFFICER </w:t>
      </w:r>
      <w:r w:rsidR="001D4188">
        <w:rPr>
          <w:rFonts w:ascii="Arial Black" w:hAnsi="Arial Black"/>
          <w:sz w:val="28"/>
          <w:szCs w:val="28"/>
        </w:rPr>
        <w:t>–</w:t>
      </w:r>
      <w:r w:rsidR="00EB07EC">
        <w:rPr>
          <w:rFonts w:ascii="Arial Black" w:hAnsi="Arial Black"/>
          <w:sz w:val="28"/>
          <w:szCs w:val="28"/>
        </w:rPr>
        <w:t xml:space="preserve"> </w:t>
      </w:r>
      <w:r>
        <w:rPr>
          <w:rFonts w:ascii="Arial Black" w:hAnsi="Arial Black"/>
          <w:sz w:val="28"/>
          <w:szCs w:val="28"/>
        </w:rPr>
        <w:t>WARRANT AFTER HIS VISIT</w:t>
      </w:r>
    </w:p>
    <w:p w14:paraId="382654F6" w14:textId="77777777" w:rsidR="005142F0" w:rsidRDefault="005142F0" w:rsidP="005142F0">
      <w:pPr>
        <w:pStyle w:val="NoSpacing"/>
      </w:pPr>
    </w:p>
    <w:p w14:paraId="31962C72" w14:textId="77777777" w:rsidR="005142F0" w:rsidRDefault="005142F0" w:rsidP="005142F0">
      <w:pPr>
        <w:pStyle w:val="NoSpacing"/>
        <w:rPr>
          <w:bCs/>
        </w:rPr>
      </w:pPr>
      <w:r>
        <w:t xml:space="preserve">On September 18, 2025, in </w:t>
      </w:r>
      <w:r w:rsidRPr="00735CF2">
        <w:rPr>
          <w:u w:val="single"/>
        </w:rPr>
        <w:t>Dunn Terrious Bradford v. State of Georgia</w:t>
      </w:r>
      <w:r>
        <w:t xml:space="preserve">, the </w:t>
      </w:r>
      <w:r w:rsidRPr="00F17116">
        <w:t>Court of Appeals of Georgia, Third Division</w:t>
      </w:r>
      <w:r>
        <w:t xml:space="preserve"> held (3 to 0) held that trial court properly denied the property owner’s </w:t>
      </w:r>
      <w:r w:rsidRPr="00BF3969">
        <w:t xml:space="preserve"> motion to suppress evidence obtained in a civil forfeiture proceeding </w:t>
      </w:r>
      <w:r>
        <w:t xml:space="preserve">for operating a dog fighting operation (forfeiture of both his </w:t>
      </w:r>
      <w:r w:rsidRPr="00531C02">
        <w:t>real</w:t>
      </w:r>
      <w:r>
        <w:t xml:space="preserve"> estate </w:t>
      </w:r>
      <w:r w:rsidRPr="00531C02">
        <w:t xml:space="preserve">property, </w:t>
      </w:r>
      <w:r>
        <w:t xml:space="preserve">and </w:t>
      </w:r>
      <w:r w:rsidRPr="00531C02">
        <w:t>two rifles, a shotgun, a handgun,</w:t>
      </w:r>
      <w:r>
        <w:t xml:space="preserve"> </w:t>
      </w:r>
      <w:r w:rsidRPr="00531C02">
        <w:t>ammunition, and cash</w:t>
      </w:r>
      <w:r>
        <w:t xml:space="preserve">).  </w:t>
      </w:r>
      <w:r w:rsidRPr="00BF3969">
        <w:t xml:space="preserve"> </w:t>
      </w:r>
    </w:p>
    <w:p w14:paraId="6933EB67" w14:textId="77777777" w:rsidR="005142F0" w:rsidRDefault="005142F0" w:rsidP="005142F0">
      <w:pPr>
        <w:pStyle w:val="NoSpacing"/>
        <w:rPr>
          <w:bCs/>
        </w:rPr>
      </w:pPr>
    </w:p>
    <w:p w14:paraId="07DAAE08" w14:textId="77777777" w:rsidR="005142F0" w:rsidRPr="00F17116" w:rsidRDefault="005142F0" w:rsidP="005142F0">
      <w:pPr>
        <w:pStyle w:val="NoSpacing"/>
        <w:rPr>
          <w:bCs/>
        </w:rPr>
      </w:pPr>
      <w:r w:rsidRPr="00913B5B">
        <w:rPr>
          <w:b/>
        </w:rPr>
        <w:t>THE COURT HELD</w:t>
      </w:r>
      <w:r>
        <w:t>:  “A</w:t>
      </w:r>
      <w:r w:rsidRPr="005076D5">
        <w:t>s a threshold matter, we assume without deciding that the drone flight that</w:t>
      </w:r>
      <w:r>
        <w:t xml:space="preserve"> </w:t>
      </w:r>
      <w:r w:rsidRPr="005076D5">
        <w:t>observed Bradford’s property was an unauthorized search without a warrant.</w:t>
      </w:r>
      <w:r>
        <w:t xml:space="preserve"> </w:t>
      </w:r>
      <w:proofErr w:type="gramStart"/>
      <w:r w:rsidRPr="005076D5">
        <w:t>So</w:t>
      </w:r>
      <w:proofErr w:type="gramEnd"/>
      <w:r w:rsidRPr="005076D5">
        <w:t xml:space="preserve"> the</w:t>
      </w:r>
      <w:r>
        <w:t xml:space="preserve"> </w:t>
      </w:r>
      <w:r w:rsidRPr="005076D5">
        <w:t xml:space="preserve">question before us is whether the warrant that authorized the search </w:t>
      </w:r>
      <w:proofErr w:type="gramStart"/>
      <w:r w:rsidRPr="005076D5">
        <w:t>of</w:t>
      </w:r>
      <w:proofErr w:type="gramEnd"/>
      <w:r w:rsidRPr="005076D5">
        <w:t xml:space="preserve"> Bradford’s</w:t>
      </w:r>
      <w:r>
        <w:t xml:space="preserve"> </w:t>
      </w:r>
      <w:r w:rsidRPr="005076D5">
        <w:t>home was based on an independent source of probable cause, such that the warrant</w:t>
      </w:r>
      <w:r>
        <w:t xml:space="preserve"> </w:t>
      </w:r>
      <w:r w:rsidRPr="005076D5">
        <w:t>was not derived from the drone flight.</w:t>
      </w:r>
      <w:r>
        <w:t xml:space="preserve"> *** T</w:t>
      </w:r>
      <w:r w:rsidRPr="00EC56C1">
        <w:t>hus, the warrant affidavit did not mention the drone flight or any information</w:t>
      </w:r>
      <w:r>
        <w:t xml:space="preserve"> </w:t>
      </w:r>
      <w:r w:rsidRPr="00EC56C1">
        <w:t>gleaned from the drone flight. The warrant affidavit merely described the scene</w:t>
      </w:r>
      <w:r>
        <w:t xml:space="preserve"> </w:t>
      </w:r>
      <w:r w:rsidRPr="00EC56C1">
        <w:t>encountered by the investigator and code enforcement officer during their in-person</w:t>
      </w:r>
      <w:r>
        <w:t xml:space="preserve"> </w:t>
      </w:r>
      <w:r w:rsidRPr="00EC56C1">
        <w:t>visit to Bradford’s residence a week later. That information, which was not</w:t>
      </w:r>
      <w:r>
        <w:t xml:space="preserve"> </w:t>
      </w:r>
      <w:r w:rsidRPr="00EC56C1">
        <w:t>discernable from the drone flight, presented evidence of animal cruelty</w:t>
      </w:r>
      <w:r>
        <w:t xml:space="preserve"> </w:t>
      </w:r>
      <w:r w:rsidRPr="00EC56C1">
        <w:t>and illegal</w:t>
      </w:r>
      <w:r>
        <w:t xml:space="preserve"> </w:t>
      </w:r>
      <w:r w:rsidRPr="00ED078F">
        <w:t>dogfighting, which provided probable cause to issue a warrant to investigate those</w:t>
      </w:r>
      <w:r>
        <w:t xml:space="preserve"> </w:t>
      </w:r>
      <w:r w:rsidRPr="00ED078F">
        <w:t>activities</w:t>
      </w:r>
      <w:r>
        <w:t xml:space="preserve">.” </w:t>
      </w:r>
      <w:hyperlink r:id="rId63" w:history="1">
        <w:r w:rsidRPr="006F63BB">
          <w:rPr>
            <w:rStyle w:val="Hyperlink"/>
          </w:rPr>
          <w:t>https://cases.justia.com/georgia/court-of-appeals/2025-a25a0954.pdf?ts=1758208974</w:t>
        </w:r>
      </w:hyperlink>
      <w:r>
        <w:t xml:space="preserve"> </w:t>
      </w:r>
    </w:p>
    <w:p w14:paraId="6B5313B0" w14:textId="77777777" w:rsidR="005142F0" w:rsidRDefault="005142F0" w:rsidP="005142F0">
      <w:pPr>
        <w:pStyle w:val="NoSpacing"/>
        <w:rPr>
          <w:bCs/>
        </w:rPr>
      </w:pPr>
    </w:p>
    <w:p w14:paraId="6D273C46" w14:textId="77777777" w:rsidR="005142F0" w:rsidRPr="00913B5B" w:rsidRDefault="005142F0" w:rsidP="005142F0">
      <w:pPr>
        <w:pStyle w:val="NoSpacing"/>
        <w:rPr>
          <w:b/>
        </w:rPr>
      </w:pPr>
      <w:r w:rsidRPr="00913B5B">
        <w:rPr>
          <w:b/>
        </w:rPr>
        <w:t xml:space="preserve">KEY FACTS: </w:t>
      </w:r>
    </w:p>
    <w:p w14:paraId="154034A8" w14:textId="77777777" w:rsidR="005142F0" w:rsidRDefault="005142F0" w:rsidP="005142F0">
      <w:pPr>
        <w:pStyle w:val="NoSpacing"/>
        <w:rPr>
          <w:bCs/>
        </w:rPr>
      </w:pPr>
    </w:p>
    <w:p w14:paraId="5B30C1CF" w14:textId="77777777" w:rsidR="005142F0" w:rsidRDefault="005142F0" w:rsidP="005142F0">
      <w:pPr>
        <w:pStyle w:val="NoSpacing"/>
        <w:ind w:left="720"/>
        <w:rPr>
          <w:bCs/>
        </w:rPr>
      </w:pPr>
      <w:r>
        <w:t>“[T]</w:t>
      </w:r>
      <w:r w:rsidRPr="00FA0DEF">
        <w:t>he record shows that on February 15, 2024, a Mitchell County</w:t>
      </w:r>
      <w:r>
        <w:t xml:space="preserve"> </w:t>
      </w:r>
      <w:r w:rsidRPr="00FA0DEF">
        <w:t>Sheriff’s Department investigator received a call from the sheriff, who had received</w:t>
      </w:r>
      <w:r>
        <w:t xml:space="preserve"> </w:t>
      </w:r>
      <w:r w:rsidRPr="00FA0DEF">
        <w:t xml:space="preserve">a call from a </w:t>
      </w:r>
      <w:r>
        <w:t>‘</w:t>
      </w:r>
      <w:r w:rsidRPr="00FA0DEF">
        <w:t>concerned citizen.</w:t>
      </w:r>
      <w:r>
        <w:t>’</w:t>
      </w:r>
      <w:r w:rsidRPr="00FA0DEF">
        <w:t xml:space="preserve"> The caller reported a noise complaint due to a large</w:t>
      </w:r>
      <w:r>
        <w:t xml:space="preserve"> </w:t>
      </w:r>
      <w:r w:rsidRPr="00FA0DEF">
        <w:t>group of dogs constantly barking at a property on Pinewood Lane. Approximately</w:t>
      </w:r>
      <w:r>
        <w:t xml:space="preserve"> </w:t>
      </w:r>
      <w:r w:rsidRPr="00FA0DEF">
        <w:t>seven residences are located along the road, and based on the call, the investigator</w:t>
      </w:r>
      <w:r>
        <w:t xml:space="preserve"> ‘</w:t>
      </w:r>
      <w:r w:rsidRPr="00FA0DEF">
        <w:t>went and met with a guy that lives right down the road and got permission to get on</w:t>
      </w:r>
      <w:r>
        <w:t xml:space="preserve"> </w:t>
      </w:r>
      <w:r w:rsidRPr="00FA0DEF">
        <w:t>his property. [The investigator] flew [a] drone over the tree line of the property and</w:t>
      </w:r>
      <w:r>
        <w:t xml:space="preserve"> </w:t>
      </w:r>
      <w:r w:rsidRPr="00FA0DEF">
        <w:t xml:space="preserve">observed a large </w:t>
      </w:r>
      <w:proofErr w:type="gramStart"/>
      <w:r w:rsidRPr="00FA0DEF">
        <w:t>amount</w:t>
      </w:r>
      <w:proofErr w:type="gramEnd"/>
      <w:r w:rsidRPr="00FA0DEF">
        <w:t xml:space="preserve"> of dogs in a wooded area in the back of the residence” at 600</w:t>
      </w:r>
      <w:r>
        <w:t xml:space="preserve"> </w:t>
      </w:r>
      <w:r w:rsidRPr="00FA0DEF">
        <w:t>Pinewood Lane, where Bradford lives. Using the drone’s camera, the investigator saw</w:t>
      </w:r>
      <w:r>
        <w:t xml:space="preserve"> ‘</w:t>
      </w:r>
      <w:r w:rsidRPr="00FA0DEF">
        <w:t>approximately 40 to 50</w:t>
      </w:r>
      <w:r>
        <w:t>’</w:t>
      </w:r>
      <w:r w:rsidRPr="00FA0DEF">
        <w:t xml:space="preserve"> dogs on the property. He </w:t>
      </w:r>
      <w:proofErr w:type="gramStart"/>
      <w:r w:rsidRPr="00FA0DEF">
        <w:t>was not able to</w:t>
      </w:r>
      <w:proofErr w:type="gramEnd"/>
      <w:r w:rsidRPr="00FA0DEF">
        <w:t xml:space="preserve"> discern their</w:t>
      </w:r>
      <w:r>
        <w:t xml:space="preserve"> </w:t>
      </w:r>
      <w:r w:rsidRPr="00FA0DEF">
        <w:t>condition, and he pursued no further investigation or criminal action at that time.</w:t>
      </w:r>
    </w:p>
    <w:p w14:paraId="7888058D" w14:textId="77777777" w:rsidR="005142F0" w:rsidRDefault="005142F0" w:rsidP="005142F0">
      <w:pPr>
        <w:pStyle w:val="NoSpacing"/>
        <w:ind w:left="720"/>
        <w:rPr>
          <w:bCs/>
        </w:rPr>
      </w:pPr>
    </w:p>
    <w:p w14:paraId="1549ECE2" w14:textId="77777777" w:rsidR="005142F0" w:rsidRDefault="005142F0" w:rsidP="005142F0">
      <w:pPr>
        <w:pStyle w:val="NoSpacing"/>
        <w:ind w:left="720"/>
        <w:rPr>
          <w:bCs/>
        </w:rPr>
      </w:pPr>
      <w:r w:rsidRPr="00DA2CA3">
        <w:t>A week later, on February 22, 2024, the sheriff received a second call from a</w:t>
      </w:r>
      <w:r>
        <w:t xml:space="preserve"> </w:t>
      </w:r>
      <w:r w:rsidRPr="00DA2CA3">
        <w:t xml:space="preserve">neighbor on the same street stating that </w:t>
      </w:r>
      <w:r>
        <w:t>‘</w:t>
      </w:r>
      <w:r w:rsidRPr="00DA2CA3">
        <w:t>one of the dogs had gotten loose and come</w:t>
      </w:r>
      <w:r>
        <w:t xml:space="preserve"> </w:t>
      </w:r>
      <w:r w:rsidRPr="00DA2CA3">
        <w:t>up to their property and he looked malnourished.</w:t>
      </w:r>
      <w:r>
        <w:t xml:space="preserve">’ </w:t>
      </w:r>
      <w:r w:rsidRPr="00DA2CA3">
        <w:t xml:space="preserve"> Based on this, the investigator</w:t>
      </w:r>
      <w:r>
        <w:t xml:space="preserve"> </w:t>
      </w:r>
      <w:r w:rsidRPr="00DA2CA3">
        <w:t>contacted the county code enforcement officer to conduct a welfare check regarding</w:t>
      </w:r>
      <w:r>
        <w:t xml:space="preserve"> </w:t>
      </w:r>
      <w:r w:rsidRPr="00DA2CA3">
        <w:t xml:space="preserve">the loose dog. The investigator testified </w:t>
      </w:r>
      <w:proofErr w:type="gramStart"/>
      <w:r w:rsidRPr="00DA2CA3">
        <w:t xml:space="preserve">that, </w:t>
      </w:r>
      <w:r>
        <w:t>‘</w:t>
      </w:r>
      <w:proofErr w:type="gramEnd"/>
      <w:r w:rsidRPr="00DA2CA3">
        <w:t>when we rode down [Pinewood Lane],</w:t>
      </w:r>
      <w:r>
        <w:t xml:space="preserve"> </w:t>
      </w:r>
      <w:r w:rsidRPr="00DA2CA3">
        <w:t>we didn’t observe any dogs at any of the other residences until we got to the end and</w:t>
      </w:r>
      <w:r>
        <w:t xml:space="preserve"> </w:t>
      </w:r>
      <w:r w:rsidRPr="00632369">
        <w:t>observed</w:t>
      </w:r>
      <w:r>
        <w:t>’</w:t>
      </w:r>
      <w:r w:rsidRPr="00632369">
        <w:t xml:space="preserve"> two dogs in the front yard of Bradford’s property. The two dogs were</w:t>
      </w:r>
      <w:r>
        <w:t xml:space="preserve"> </w:t>
      </w:r>
      <w:r w:rsidRPr="00632369">
        <w:t xml:space="preserve">visible from the road, and one dog was confined in a small cage </w:t>
      </w:r>
      <w:proofErr w:type="gramStart"/>
      <w:r w:rsidRPr="00632369">
        <w:t>similar to</w:t>
      </w:r>
      <w:proofErr w:type="gramEnd"/>
      <w:r w:rsidRPr="00632369">
        <w:t xml:space="preserve"> a rabbit cage,</w:t>
      </w:r>
      <w:r>
        <w:t xml:space="preserve"> </w:t>
      </w:r>
      <w:r w:rsidRPr="00632369">
        <w:t xml:space="preserve">and the other dog was attached to a heavy logging chain. The caged dog was </w:t>
      </w:r>
      <w:r>
        <w:t>‘</w:t>
      </w:r>
      <w:r w:rsidRPr="00632369">
        <w:t>almost</w:t>
      </w:r>
      <w:r>
        <w:t xml:space="preserve"> </w:t>
      </w:r>
      <w:r w:rsidRPr="00632369">
        <w:t>bigger than the cage it was in,</w:t>
      </w:r>
      <w:r>
        <w:t>’</w:t>
      </w:r>
      <w:r w:rsidRPr="00632369">
        <w:t xml:space="preserve"> such that its confinement appeared inhumane. Also</w:t>
      </w:r>
      <w:r>
        <w:t xml:space="preserve"> </w:t>
      </w:r>
      <w:r w:rsidRPr="00632369">
        <w:t xml:space="preserve">audible from the road was the sound of </w:t>
      </w:r>
      <w:proofErr w:type="gramStart"/>
      <w:r w:rsidRPr="00632369">
        <w:t>a large number of</w:t>
      </w:r>
      <w:proofErr w:type="gramEnd"/>
      <w:r w:rsidRPr="00632369">
        <w:t xml:space="preserve"> dogs barking from the back</w:t>
      </w:r>
      <w:r>
        <w:t xml:space="preserve"> </w:t>
      </w:r>
      <w:r w:rsidRPr="00632369">
        <w:t>of Bradford’s property.</w:t>
      </w:r>
    </w:p>
    <w:p w14:paraId="50115AEA" w14:textId="77777777" w:rsidR="005142F0" w:rsidRDefault="005142F0" w:rsidP="005142F0">
      <w:pPr>
        <w:pStyle w:val="NoSpacing"/>
        <w:ind w:left="720"/>
        <w:rPr>
          <w:bCs/>
        </w:rPr>
      </w:pPr>
    </w:p>
    <w:p w14:paraId="44D9A16B" w14:textId="77777777" w:rsidR="005142F0" w:rsidRDefault="005142F0" w:rsidP="005142F0">
      <w:pPr>
        <w:pStyle w:val="NoSpacing"/>
        <w:ind w:left="720"/>
        <w:rPr>
          <w:bCs/>
        </w:rPr>
      </w:pPr>
      <w:r>
        <w:lastRenderedPageBreak/>
        <w:t>***</w:t>
      </w:r>
    </w:p>
    <w:p w14:paraId="6C125A9D" w14:textId="77777777" w:rsidR="005142F0" w:rsidRDefault="005142F0" w:rsidP="005142F0">
      <w:pPr>
        <w:pStyle w:val="NoSpacing"/>
        <w:ind w:left="720"/>
        <w:rPr>
          <w:bCs/>
        </w:rPr>
      </w:pPr>
      <w:proofErr w:type="gramStart"/>
      <w:r w:rsidRPr="0079581D">
        <w:t>In light of</w:t>
      </w:r>
      <w:proofErr w:type="gramEnd"/>
      <w:r w:rsidRPr="0079581D">
        <w:t xml:space="preserve"> the grim scene, the investigator determined that he would seek a</w:t>
      </w:r>
      <w:r>
        <w:t xml:space="preserve"> </w:t>
      </w:r>
      <w:r w:rsidRPr="0079581D">
        <w:t>warrant to search for evidence of crimes pertaining to animal cruelty. After obtaining</w:t>
      </w:r>
      <w:r>
        <w:t xml:space="preserve"> </w:t>
      </w:r>
      <w:r w:rsidRPr="0079581D">
        <w:t>the search warrant, police discovered contraband leading to Bradford’s indictment for</w:t>
      </w:r>
      <w:r>
        <w:t xml:space="preserve"> </w:t>
      </w:r>
      <w:r w:rsidRPr="0079581D">
        <w:t>drug crimes, dog fighting, cruelty to animals, firearm violations, and commercial</w:t>
      </w:r>
      <w:r>
        <w:t xml:space="preserve"> </w:t>
      </w:r>
      <w:r w:rsidRPr="0079581D">
        <w:t>gambling, as well as the forfeiture of property involved in this appeal.</w:t>
      </w:r>
      <w:r>
        <w:t>”</w:t>
      </w:r>
    </w:p>
    <w:p w14:paraId="172B2396" w14:textId="77777777" w:rsidR="005142F0" w:rsidRPr="000506B0" w:rsidRDefault="005142F0" w:rsidP="005142F0">
      <w:pPr>
        <w:pStyle w:val="NoSpacing"/>
      </w:pPr>
    </w:p>
    <w:p w14:paraId="6D00F05B" w14:textId="77777777" w:rsidR="005142F0" w:rsidRDefault="005142F0" w:rsidP="005142F0">
      <w:pPr>
        <w:pStyle w:val="NoSpacing"/>
        <w:rPr>
          <w:b/>
          <w:bCs/>
        </w:rPr>
      </w:pPr>
      <w:r>
        <w:rPr>
          <w:b/>
        </w:rPr>
        <w:t>Legal lesson learned:  When using a drone for code enforcement, avoid flying over target property until search warrant is obtained.</w:t>
      </w:r>
    </w:p>
    <w:p w14:paraId="5811BC1B" w14:textId="77777777" w:rsidR="005142F0" w:rsidRDefault="005142F0" w:rsidP="005142F0">
      <w:pPr>
        <w:pStyle w:val="NoSpacing"/>
        <w:rPr>
          <w:b/>
          <w:bCs/>
        </w:rPr>
      </w:pPr>
      <w:r>
        <w:rPr>
          <w:b/>
        </w:rPr>
        <w:tab/>
      </w:r>
    </w:p>
    <w:p w14:paraId="3B6A4B20" w14:textId="77777777" w:rsidR="005142F0" w:rsidRDefault="005142F0" w:rsidP="005142F0">
      <w:pPr>
        <w:pStyle w:val="NoSpacing"/>
        <w:ind w:left="720"/>
      </w:pPr>
      <w:r w:rsidRPr="00826E91">
        <w:t xml:space="preserve">Note: </w:t>
      </w:r>
      <w:r w:rsidRPr="008D2B93">
        <w:t>See also see this</w:t>
      </w:r>
      <w:r>
        <w:t xml:space="preserve"> April 17, </w:t>
      </w:r>
      <w:proofErr w:type="gramStart"/>
      <w:r>
        <w:t>2025</w:t>
      </w:r>
      <w:proofErr w:type="gramEnd"/>
      <w:r>
        <w:t xml:space="preserve"> Illinois decision </w:t>
      </w:r>
      <w:r w:rsidRPr="008D2B93">
        <w:t xml:space="preserve">where Sheriff </w:t>
      </w:r>
      <w:r>
        <w:t xml:space="preserve">wisely </w:t>
      </w:r>
      <w:r w:rsidRPr="008D2B93">
        <w:t xml:space="preserve">obtained search warrant </w:t>
      </w:r>
      <w:r>
        <w:t xml:space="preserve">to use a </w:t>
      </w:r>
      <w:r w:rsidRPr="008D2B93">
        <w:t xml:space="preserve">drone to </w:t>
      </w:r>
      <w:r>
        <w:t xml:space="preserve">film run down </w:t>
      </w:r>
      <w:r w:rsidRPr="008D2B93">
        <w:t>hotel</w:t>
      </w:r>
      <w:r>
        <w:t xml:space="preserve"> to support condemnation. </w:t>
      </w:r>
    </w:p>
    <w:p w14:paraId="77D0D301" w14:textId="77777777" w:rsidR="005142F0" w:rsidRPr="008D2B93" w:rsidRDefault="005142F0" w:rsidP="005142F0">
      <w:pPr>
        <w:ind w:left="720"/>
      </w:pPr>
      <w:r>
        <w:t xml:space="preserve">“On July 24, 2023, with judicial approval, the Winnebago County Sheriff’s Office used a drone to make a video of the Hotel. At trial, as the video was played, Henthorn pointed out to the circuit court the vandalized entryway, water damage and mildew on the walls and ceiling, the nonfunctioning plumbing, the lack of electrical service, and the unsecured and vacant condition of the Hotel.”  </w:t>
      </w:r>
      <w:r w:rsidRPr="001116F2">
        <w:rPr>
          <w:u w:val="single"/>
        </w:rPr>
        <w:t>The City of South Beloit, Illinois v. The New Chapter Group, et al</w:t>
      </w:r>
      <w:r>
        <w:t xml:space="preserve">., Appellate Court of Illinois. April 17, 2025. </w:t>
      </w:r>
      <w:hyperlink r:id="rId64" w:history="1">
        <w:r w:rsidRPr="005A0008">
          <w:rPr>
            <w:rStyle w:val="Hyperlink"/>
          </w:rPr>
          <w:t>https://legal.iml.org/file.cfm?key=29946</w:t>
        </w:r>
      </w:hyperlink>
      <w:r>
        <w:t xml:space="preserve"> </w:t>
      </w:r>
    </w:p>
    <w:p w14:paraId="0EDC12B0" w14:textId="60821484" w:rsidR="00037CB8" w:rsidRPr="00E24913" w:rsidRDefault="00037CB8" w:rsidP="00037CB8">
      <w:pPr>
        <w:pStyle w:val="NoSpacing"/>
        <w:rPr>
          <w:rFonts w:ascii="Arial Black" w:hAnsi="Arial Black"/>
          <w:sz w:val="24"/>
          <w:szCs w:val="24"/>
        </w:rPr>
      </w:pPr>
      <w:r w:rsidRPr="00E24913">
        <w:rPr>
          <w:rFonts w:ascii="Arial Black" w:hAnsi="Arial Black"/>
          <w:sz w:val="24"/>
          <w:szCs w:val="24"/>
        </w:rPr>
        <w:t>1-1</w:t>
      </w:r>
      <w:r>
        <w:rPr>
          <w:rFonts w:ascii="Arial Black" w:hAnsi="Arial Black"/>
          <w:sz w:val="24"/>
          <w:szCs w:val="24"/>
        </w:rPr>
        <w:t>91</w:t>
      </w:r>
    </w:p>
    <w:p w14:paraId="213BB90A" w14:textId="77777777" w:rsidR="005142F0" w:rsidRPr="00306696" w:rsidRDefault="005142F0" w:rsidP="00037CB8">
      <w:pPr>
        <w:pStyle w:val="NoSpacing"/>
      </w:pPr>
    </w:p>
    <w:p w14:paraId="104D090D" w14:textId="77777777" w:rsidR="001F3C9E" w:rsidRDefault="001F3C9E" w:rsidP="001F3C9E">
      <w:pPr>
        <w:rPr>
          <w:rFonts w:ascii="Arial Black" w:hAnsi="Arial Black"/>
          <w:b/>
          <w:sz w:val="28"/>
          <w:szCs w:val="28"/>
        </w:rPr>
      </w:pPr>
      <w:r>
        <w:rPr>
          <w:rFonts w:ascii="Arial Black" w:hAnsi="Arial Black"/>
          <w:b/>
          <w:sz w:val="28"/>
          <w:szCs w:val="28"/>
        </w:rPr>
        <w:t>OH: LIQUOR LICENSE NOT RENEWED – FD / PD TESTIMONY</w:t>
      </w:r>
    </w:p>
    <w:p w14:paraId="7660F6F6" w14:textId="77777777" w:rsidR="001F3C9E" w:rsidRDefault="001F3C9E" w:rsidP="001F3C9E">
      <w:pPr>
        <w:pStyle w:val="NoSpacing"/>
        <w:rPr>
          <w:bCs/>
        </w:rPr>
      </w:pPr>
      <w:r w:rsidRPr="001C15AB">
        <w:t xml:space="preserve">On September 12, </w:t>
      </w:r>
      <w:proofErr w:type="gramStart"/>
      <w:r w:rsidRPr="001C15AB">
        <w:t>2025</w:t>
      </w:r>
      <w:proofErr w:type="gramEnd"/>
      <w:r w:rsidRPr="001C15AB">
        <w:t xml:space="preserve"> in </w:t>
      </w:r>
      <w:r w:rsidRPr="001C15AB">
        <w:rPr>
          <w:u w:val="single"/>
        </w:rPr>
        <w:t>City of Sharonville v. Ohio Liquor Control Commission, et al</w:t>
      </w:r>
      <w:r w:rsidRPr="001C15AB">
        <w:t xml:space="preserve">., </w:t>
      </w:r>
      <w:r>
        <w:t xml:space="preserve">the </w:t>
      </w:r>
      <w:r w:rsidRPr="00862D06">
        <w:t>Court of Appeals of Ohio, Tenth District</w:t>
      </w:r>
      <w:r>
        <w:t xml:space="preserve"> held (2 to 1) that trial court judge, after testimony from Acting Fire Chief and Police Chief, properly reversed the Commission and liquor license of the “Cove 51” bar was not renewed.  </w:t>
      </w:r>
    </w:p>
    <w:p w14:paraId="00EF20E6" w14:textId="77777777" w:rsidR="001F3C9E" w:rsidRDefault="001F3C9E" w:rsidP="001F3C9E">
      <w:pPr>
        <w:pStyle w:val="NoSpacing"/>
        <w:rPr>
          <w:bCs/>
        </w:rPr>
      </w:pPr>
    </w:p>
    <w:p w14:paraId="70CDCFD3" w14:textId="77777777" w:rsidR="001F3C9E" w:rsidRDefault="001F3C9E" w:rsidP="001F3C9E">
      <w:pPr>
        <w:pStyle w:val="NoSpacing"/>
        <w:rPr>
          <w:bCs/>
        </w:rPr>
      </w:pPr>
      <w:r w:rsidRPr="005A464F">
        <w:rPr>
          <w:b/>
        </w:rPr>
        <w:t>THE COURT HELD:</w:t>
      </w:r>
      <w:r>
        <w:t xml:space="preserve"> “</w:t>
      </w:r>
      <w:r w:rsidRPr="001D46D4">
        <w:t xml:space="preserve">The Sharonville Fire Department’s Acting Chief </w:t>
      </w:r>
      <w:r>
        <w:t xml:space="preserve">[John Mackey] </w:t>
      </w:r>
      <w:r w:rsidRPr="001D46D4">
        <w:t>testified that the operation of</w:t>
      </w:r>
      <w:r>
        <w:t xml:space="preserve"> </w:t>
      </w:r>
      <w:r w:rsidRPr="001D46D4">
        <w:t>Cove 51 had substantially affected the delivery of emergency services to the business. The</w:t>
      </w:r>
      <w:r>
        <w:t xml:space="preserve"> </w:t>
      </w:r>
      <w:r w:rsidRPr="001D46D4">
        <w:t xml:space="preserve">parking lot was frequently overcrowded and difficult to navigate, and patrons </w:t>
      </w:r>
      <w:proofErr w:type="gramStart"/>
      <w:r w:rsidRPr="001D46D4">
        <w:t>have</w:t>
      </w:r>
      <w:r>
        <w:t xml:space="preserve"> </w:t>
      </w:r>
      <w:r w:rsidRPr="001D46D4">
        <w:t>confronted</w:t>
      </w:r>
      <w:proofErr w:type="gramEnd"/>
      <w:r w:rsidRPr="001D46D4">
        <w:t xml:space="preserve"> EMS teams with weapons while they were treating patients. As a result, EMS</w:t>
      </w:r>
      <w:r>
        <w:t xml:space="preserve"> </w:t>
      </w:r>
      <w:r w:rsidRPr="001D46D4">
        <w:t>personnel have been required to wear ballistic vests when responding to the area, and have</w:t>
      </w:r>
      <w:r>
        <w:t xml:space="preserve"> </w:t>
      </w:r>
      <w:r w:rsidRPr="001D46D4">
        <w:t>been instructed to transport patients away from the area for any treatment</w:t>
      </w:r>
      <w:r>
        <w:t>….</w:t>
      </w:r>
      <w:r w:rsidRPr="001D46D4">
        <w:t>Further,</w:t>
      </w:r>
      <w:r>
        <w:t xml:space="preserve"> </w:t>
      </w:r>
      <w:r w:rsidRPr="001D46D4">
        <w:t>the operations commander of the Sharonville Police Department testified about numerous</w:t>
      </w:r>
      <w:r>
        <w:t xml:space="preserve"> </w:t>
      </w:r>
      <w:r w:rsidRPr="001D46D4">
        <w:t>incidents requiring police intervention traceable to Cove 51, including 118 documented calls</w:t>
      </w:r>
      <w:r>
        <w:t xml:space="preserve"> </w:t>
      </w:r>
      <w:r w:rsidRPr="001D46D4">
        <w:t>and 43 calls over the course of a single year, including assaults, shots fired incidents, thefts,</w:t>
      </w:r>
      <w:r>
        <w:t xml:space="preserve"> </w:t>
      </w:r>
      <w:r w:rsidRPr="001D46D4">
        <w:t>trouble runs, criminal damaging, and disruption of other area businesses.</w:t>
      </w:r>
      <w:r>
        <w:t xml:space="preserve"> *** Chief Mackey’s testimony as stated above also shows that Cove’s patrons’ conduct has also had a significant impact on the City’s fire department not only for runs to Cove, but to all calls on Chester Road. *** The [trial] court’s review of the facts is very thorough and completely reasonable, and its partial reversal of the OLCC’s decision is appropriate on these facts. And given our own limited standard of review, we cannot conclude that review of the facts and partial reversal constitutes an abuse of the common pleas court’s discretion.” </w:t>
      </w:r>
      <w:hyperlink r:id="rId65" w:history="1">
        <w:r w:rsidRPr="00854CEF">
          <w:rPr>
            <w:rStyle w:val="Hyperlink"/>
            <w:b/>
          </w:rPr>
          <w:t>https://cases.justia.com/ohio/tenth-district-court-of-appeals/2025-24ap-255.pdf?ts=1757620491</w:t>
        </w:r>
      </w:hyperlink>
    </w:p>
    <w:p w14:paraId="22AABB4E" w14:textId="77777777" w:rsidR="001F3C9E" w:rsidRDefault="001F3C9E" w:rsidP="001F3C9E">
      <w:pPr>
        <w:pStyle w:val="NoSpacing"/>
        <w:rPr>
          <w:bCs/>
        </w:rPr>
      </w:pPr>
    </w:p>
    <w:p w14:paraId="0AE062B3" w14:textId="77777777" w:rsidR="001F3C9E" w:rsidRPr="005A464F" w:rsidRDefault="001F3C9E" w:rsidP="001F3C9E">
      <w:pPr>
        <w:pStyle w:val="NoSpacing"/>
        <w:rPr>
          <w:b/>
        </w:rPr>
      </w:pPr>
      <w:r w:rsidRPr="005A464F">
        <w:rPr>
          <w:b/>
        </w:rPr>
        <w:t>KEY FACTS:</w:t>
      </w:r>
    </w:p>
    <w:p w14:paraId="5D372BD1" w14:textId="77777777" w:rsidR="001F3C9E" w:rsidRDefault="001F3C9E" w:rsidP="001F3C9E">
      <w:pPr>
        <w:pStyle w:val="NoSpacing"/>
        <w:rPr>
          <w:bCs/>
        </w:rPr>
      </w:pPr>
    </w:p>
    <w:p w14:paraId="2898D302" w14:textId="77777777" w:rsidR="001F3C9E" w:rsidRPr="00DC61C4" w:rsidRDefault="001F3C9E" w:rsidP="001F3C9E">
      <w:pPr>
        <w:pStyle w:val="NoSpacing"/>
        <w:ind w:left="720"/>
        <w:rPr>
          <w:bCs/>
        </w:rPr>
      </w:pPr>
      <w:r>
        <w:t>“</w:t>
      </w:r>
      <w:r w:rsidRPr="00DC61C4">
        <w:t>On May 25, 2021, Sharonville’s City Council adopted an emergency</w:t>
      </w:r>
      <w:r>
        <w:t xml:space="preserve"> </w:t>
      </w:r>
      <w:r w:rsidRPr="00DC61C4">
        <w:t xml:space="preserve">resolution stating its position that </w:t>
      </w:r>
      <w:r>
        <w:t>‘</w:t>
      </w:r>
      <w:r w:rsidRPr="00DC61C4">
        <w:t xml:space="preserve">the liquor permit issued to Elizabeth </w:t>
      </w:r>
      <w:proofErr w:type="spellStart"/>
      <w:r w:rsidRPr="00DC61C4">
        <w:t>Iloegbunam</w:t>
      </w:r>
      <w:proofErr w:type="spellEnd"/>
      <w:r w:rsidRPr="00DC61C4">
        <w:t xml:space="preserve"> for</w:t>
      </w:r>
      <w:r>
        <w:t xml:space="preserve"> </w:t>
      </w:r>
      <w:r w:rsidRPr="00DC61C4">
        <w:t>Klass Entertainment, dba Cove 51, should not be renewed,</w:t>
      </w:r>
      <w:r>
        <w:t xml:space="preserve">’ </w:t>
      </w:r>
      <w:r w:rsidRPr="00DC61C4">
        <w:t xml:space="preserve">and requested a hearing </w:t>
      </w:r>
      <w:r>
        <w:t>‘</w:t>
      </w:r>
      <w:r w:rsidRPr="00DC61C4">
        <w:t>before</w:t>
      </w:r>
    </w:p>
    <w:p w14:paraId="09E3C4A7" w14:textId="77777777" w:rsidR="001F3C9E" w:rsidRDefault="001F3C9E" w:rsidP="001F3C9E">
      <w:pPr>
        <w:pStyle w:val="NoSpacing"/>
        <w:ind w:left="720"/>
        <w:rPr>
          <w:bCs/>
        </w:rPr>
      </w:pPr>
      <w:r w:rsidRPr="00DC61C4">
        <w:t>the Ohio Department of Liquor Control [sic] to prove the authenticity of these findings and</w:t>
      </w:r>
      <w:r>
        <w:t xml:space="preserve"> </w:t>
      </w:r>
      <w:r w:rsidRPr="00DC61C4">
        <w:t>to document the fact that the liquor permit should be cancelled.</w:t>
      </w:r>
      <w:r>
        <w:t>’</w:t>
      </w:r>
    </w:p>
    <w:p w14:paraId="01FBF4BE" w14:textId="77777777" w:rsidR="001F3C9E" w:rsidRDefault="001F3C9E" w:rsidP="001F3C9E">
      <w:pPr>
        <w:pStyle w:val="NoSpacing"/>
        <w:ind w:left="720"/>
        <w:rPr>
          <w:bCs/>
        </w:rPr>
      </w:pPr>
    </w:p>
    <w:p w14:paraId="39E8C7BC" w14:textId="77777777" w:rsidR="001F3C9E" w:rsidRDefault="001F3C9E" w:rsidP="001F3C9E">
      <w:pPr>
        <w:pStyle w:val="NoSpacing"/>
        <w:ind w:left="720"/>
        <w:rPr>
          <w:bCs/>
        </w:rPr>
      </w:pPr>
      <w:r>
        <w:t>***</w:t>
      </w:r>
    </w:p>
    <w:p w14:paraId="32433F4E" w14:textId="77777777" w:rsidR="001F3C9E" w:rsidRPr="00C17172" w:rsidRDefault="001F3C9E" w:rsidP="001F3C9E">
      <w:pPr>
        <w:pStyle w:val="NoSpacing"/>
        <w:ind w:left="720"/>
        <w:rPr>
          <w:bCs/>
        </w:rPr>
      </w:pPr>
      <w:r w:rsidRPr="00C17172">
        <w:t>The denial was supported by extensive evidence, both regarding the nature</w:t>
      </w:r>
      <w:r>
        <w:t xml:space="preserve"> </w:t>
      </w:r>
      <w:r w:rsidRPr="00C17172">
        <w:t>of the neighborhood where Cove 51 is located and of the incidents with public safety and</w:t>
      </w:r>
    </w:p>
    <w:p w14:paraId="58E0732B" w14:textId="77777777" w:rsidR="001F3C9E" w:rsidRDefault="001F3C9E" w:rsidP="001F3C9E">
      <w:pPr>
        <w:pStyle w:val="NoSpacing"/>
        <w:ind w:left="720"/>
        <w:rPr>
          <w:bCs/>
        </w:rPr>
      </w:pPr>
      <w:r w:rsidRPr="00C17172">
        <w:lastRenderedPageBreak/>
        <w:t xml:space="preserve">law enforcement that prompted Sharonville’s objection to renewal of </w:t>
      </w:r>
      <w:proofErr w:type="spellStart"/>
      <w:r w:rsidRPr="00C17172">
        <w:t>Iloegbunam’s</w:t>
      </w:r>
      <w:proofErr w:type="spellEnd"/>
      <w:r w:rsidRPr="00C17172">
        <w:t xml:space="preserve"> permit.</w:t>
      </w:r>
      <w:r>
        <w:t xml:space="preserve"> </w:t>
      </w:r>
      <w:r w:rsidRPr="00C17172">
        <w:t>Representatives of three nearby hotels described regular disruptions by Cove 51’s patrons</w:t>
      </w:r>
      <w:r>
        <w:t xml:space="preserve"> </w:t>
      </w:r>
      <w:r w:rsidRPr="00C17172">
        <w:t>on their properties, which included excessive late-night noise, unauthorized use of private</w:t>
      </w:r>
      <w:r>
        <w:t xml:space="preserve"> </w:t>
      </w:r>
      <w:r w:rsidRPr="00C17172">
        <w:t>parking lots, fights, discarded and broken alcohol containers, abandoned litter, and used</w:t>
      </w:r>
      <w:r>
        <w:t xml:space="preserve"> </w:t>
      </w:r>
      <w:r w:rsidRPr="00C17172">
        <w:t>condoms. One of the managers testified that a Cove 51 patron had run through their hotel</w:t>
      </w:r>
      <w:r>
        <w:t xml:space="preserve"> </w:t>
      </w:r>
      <w:r w:rsidRPr="00C17172">
        <w:t>lobby brandishing a gun, and the director of guest services for another hotel testified that</w:t>
      </w:r>
      <w:r>
        <w:t xml:space="preserve"> </w:t>
      </w:r>
      <w:r w:rsidRPr="00C17172">
        <w:t xml:space="preserve">the hotel had lost the business of traveling sports teams because of </w:t>
      </w:r>
      <w:r>
        <w:t>‘</w:t>
      </w:r>
      <w:r w:rsidRPr="00C17172">
        <w:t>shots fired</w:t>
      </w:r>
      <w:r>
        <w:t>’</w:t>
      </w:r>
      <w:r w:rsidRPr="00C17172">
        <w:t xml:space="preserve"> incidents</w:t>
      </w:r>
      <w:r>
        <w:t xml:space="preserve"> </w:t>
      </w:r>
      <w:r w:rsidRPr="00C17172">
        <w:t>at Cove 51 and the required police response to those incidents. Id. Sharonville’s City</w:t>
      </w:r>
      <w:r>
        <w:t xml:space="preserve"> </w:t>
      </w:r>
      <w:r w:rsidRPr="00C17172">
        <w:t>Director testified that the area surrounding those hotels had been a subject of revitalization</w:t>
      </w:r>
      <w:r>
        <w:t xml:space="preserve"> </w:t>
      </w:r>
      <w:r w:rsidRPr="00C17172">
        <w:t>and investment efforts over the past few years, and also that Sharonville had planned to</w:t>
      </w:r>
      <w:r>
        <w:t xml:space="preserve"> </w:t>
      </w:r>
      <w:r w:rsidRPr="00C17172">
        <w:t>borrow nearly $20 million over the next quarter to expand the Sharonville Convention</w:t>
      </w:r>
      <w:r>
        <w:t xml:space="preserve"> </w:t>
      </w:r>
      <w:r w:rsidRPr="00616855">
        <w:t>Center, which is in that same area on the same side of the street and just south of Cove 51.</w:t>
      </w:r>
      <w:r>
        <w:t>”</w:t>
      </w:r>
    </w:p>
    <w:p w14:paraId="35AF1EAD" w14:textId="77777777" w:rsidR="001F3C9E" w:rsidRDefault="001F3C9E" w:rsidP="001F3C9E">
      <w:pPr>
        <w:pStyle w:val="NoSpacing"/>
        <w:rPr>
          <w:bCs/>
        </w:rPr>
      </w:pPr>
    </w:p>
    <w:p w14:paraId="1A389576" w14:textId="7485D4E8" w:rsidR="001F3C9E" w:rsidRPr="004E4F8A" w:rsidRDefault="001F3C9E" w:rsidP="001F3C9E">
      <w:pPr>
        <w:pStyle w:val="NoSpacing"/>
        <w:rPr>
          <w:b/>
          <w:bCs/>
        </w:rPr>
      </w:pPr>
      <w:r>
        <w:rPr>
          <w:b/>
        </w:rPr>
        <w:t xml:space="preserve">Lesson learned: Excellent example of fire and police testimony leading to revocation of liquor license. </w:t>
      </w:r>
    </w:p>
    <w:p w14:paraId="07CA95B4" w14:textId="77777777" w:rsidR="001F3C9E" w:rsidRDefault="001F3C9E" w:rsidP="001F3C9E">
      <w:pPr>
        <w:pStyle w:val="NoSpacing"/>
      </w:pPr>
    </w:p>
    <w:p w14:paraId="55574709" w14:textId="77777777" w:rsidR="001F3C9E" w:rsidRDefault="001F3C9E" w:rsidP="00F326E5">
      <w:pPr>
        <w:pStyle w:val="NoSpacing"/>
        <w:rPr>
          <w:rFonts w:ascii="Arial Black" w:hAnsi="Arial Black"/>
          <w:sz w:val="24"/>
          <w:szCs w:val="24"/>
        </w:rPr>
      </w:pPr>
    </w:p>
    <w:p w14:paraId="5BBF69C0" w14:textId="730CED6F" w:rsidR="00037CB8" w:rsidRPr="00E24913" w:rsidRDefault="00037CB8" w:rsidP="00037CB8">
      <w:pPr>
        <w:pStyle w:val="NoSpacing"/>
        <w:rPr>
          <w:rFonts w:ascii="Arial Black" w:hAnsi="Arial Black"/>
          <w:sz w:val="24"/>
          <w:szCs w:val="24"/>
        </w:rPr>
      </w:pPr>
      <w:r w:rsidRPr="00E24913">
        <w:rPr>
          <w:rFonts w:ascii="Arial Black" w:hAnsi="Arial Black"/>
          <w:sz w:val="24"/>
          <w:szCs w:val="24"/>
        </w:rPr>
        <w:t>1-1</w:t>
      </w:r>
      <w:r>
        <w:rPr>
          <w:rFonts w:ascii="Arial Black" w:hAnsi="Arial Black"/>
          <w:sz w:val="24"/>
          <w:szCs w:val="24"/>
        </w:rPr>
        <w:t>90</w:t>
      </w:r>
    </w:p>
    <w:p w14:paraId="336B7366" w14:textId="77777777" w:rsidR="00141CEC" w:rsidRDefault="00141CEC" w:rsidP="0044195B">
      <w:pPr>
        <w:rPr>
          <w:rFonts w:ascii="Arial Black" w:hAnsi="Arial Black"/>
          <w:b/>
          <w:sz w:val="28"/>
          <w:szCs w:val="28"/>
        </w:rPr>
      </w:pPr>
    </w:p>
    <w:p w14:paraId="353322A6" w14:textId="11B04C4A" w:rsidR="0044195B" w:rsidRPr="00B80244" w:rsidRDefault="0044195B" w:rsidP="0044195B">
      <w:pPr>
        <w:rPr>
          <w:rFonts w:ascii="Arial Black" w:hAnsi="Arial Black"/>
          <w:b/>
          <w:sz w:val="28"/>
          <w:szCs w:val="28"/>
        </w:rPr>
      </w:pPr>
      <w:r>
        <w:rPr>
          <w:rFonts w:ascii="Arial Black" w:hAnsi="Arial Black"/>
          <w:b/>
          <w:sz w:val="28"/>
          <w:szCs w:val="28"/>
        </w:rPr>
        <w:t>WY: ARSON TRAILER – CIR. EVID. / BLEACH ON SHIRT</w:t>
      </w:r>
    </w:p>
    <w:p w14:paraId="05C50ADB" w14:textId="77777777" w:rsidR="0044195B" w:rsidRDefault="0044195B" w:rsidP="0044195B">
      <w:pPr>
        <w:rPr>
          <w:bCs/>
        </w:rPr>
      </w:pPr>
      <w:r w:rsidRPr="00A2196C">
        <w:t xml:space="preserve">On September 12, 2025, in </w:t>
      </w:r>
      <w:r w:rsidRPr="00240688">
        <w:rPr>
          <w:u w:val="single"/>
        </w:rPr>
        <w:t>Andrew Lee Boyer v. The State of Wyoming</w:t>
      </w:r>
      <w:r>
        <w:t xml:space="preserve">, the Supreme Court of Wyoming held (5 to 0) there was sufficient circumstantial evidence when jury found him guilty of first-degree arson (sentenced to 8-14 years).  </w:t>
      </w:r>
    </w:p>
    <w:p w14:paraId="733E3126" w14:textId="77777777" w:rsidR="0044195B" w:rsidRDefault="0044195B" w:rsidP="0044195B">
      <w:r w:rsidRPr="00B511E1">
        <w:rPr>
          <w:b/>
        </w:rPr>
        <w:t>THE COURT HELD</w:t>
      </w:r>
      <w:r>
        <w:t>: “</w:t>
      </w:r>
      <w:r w:rsidRPr="00B80244">
        <w:t>We find there was substantial evidence to support Mr. Boyer’s conviction. While</w:t>
      </w:r>
      <w:r>
        <w:t xml:space="preserve"> </w:t>
      </w:r>
      <w:r w:rsidRPr="00B80244">
        <w:t>there was no direct evidence linking Mr. Boyer to the fire, there was plenty of</w:t>
      </w:r>
      <w:r>
        <w:t xml:space="preserve"> </w:t>
      </w:r>
      <w:r w:rsidRPr="00B80244">
        <w:t>circumstantial evidence to support the jury’s verdict. Mr. Boyer was the last person to be</w:t>
      </w:r>
      <w:r>
        <w:t xml:space="preserve"> </w:t>
      </w:r>
      <w:r w:rsidRPr="00B80244">
        <w:t>seen in the trailer. The doors to the trailer were locked, the windows were shut, and there</w:t>
      </w:r>
      <w:r>
        <w:t xml:space="preserve"> </w:t>
      </w:r>
      <w:r w:rsidRPr="00B80244">
        <w:t xml:space="preserve">was no sign of a break-in. Ms. Haglund </w:t>
      </w:r>
      <w:r>
        <w:t xml:space="preserve">[neighbor] </w:t>
      </w:r>
      <w:r w:rsidRPr="00B80244">
        <w:t>smelled and observed smoke just thirty minutes</w:t>
      </w:r>
      <w:r>
        <w:t xml:space="preserve"> </w:t>
      </w:r>
      <w:r w:rsidRPr="00B80244">
        <w:t>after Mr. Boyer left her home. Ms. Haglund saw him walk toward the main road after</w:t>
      </w:r>
      <w:r>
        <w:t xml:space="preserve"> </w:t>
      </w:r>
      <w:r w:rsidRPr="00B80244">
        <w:t>borrowing her lighter. The fire started in two or three spots and was lit on purpose.</w:t>
      </w:r>
      <w:r>
        <w:t xml:space="preserve"> </w:t>
      </w:r>
      <w:r w:rsidRPr="00B80244">
        <w:t>Mr. Boyer was covered with bleach, which can be used to manipulate evidence.</w:t>
      </w:r>
      <w:r>
        <w:t xml:space="preserve"> </w:t>
      </w:r>
      <w:r w:rsidRPr="00B80244">
        <w:t>Mr. Boyer discarded his bleach covered shirt before returning to his trailer. Contrary to</w:t>
      </w:r>
      <w:r>
        <w:t xml:space="preserve"> </w:t>
      </w:r>
      <w:r w:rsidRPr="00B80244">
        <w:t>Mr. Boyer’s story that his dogs ran away, officers found Mr. Boyer’s dogs nearby, and</w:t>
      </w:r>
      <w:r>
        <w:t xml:space="preserve"> </w:t>
      </w:r>
      <w:r w:rsidRPr="00B80244">
        <w:t>Mr. Boyer said they often got out and would come back. A jury could reasonably</w:t>
      </w:r>
      <w:r>
        <w:t xml:space="preserve"> </w:t>
      </w:r>
      <w:r w:rsidRPr="00B80244">
        <w:t>conclude that Mr. Boyer started the fire, let his dogs out, and used the fact they got out as</w:t>
      </w:r>
      <w:r>
        <w:t xml:space="preserve"> </w:t>
      </w:r>
      <w:r w:rsidRPr="00B80244">
        <w:t xml:space="preserve">a pretense to give the fire time to burn and give him time to leave the </w:t>
      </w:r>
      <w:proofErr w:type="gramStart"/>
      <w:r w:rsidRPr="00B80244">
        <w:t>scene</w:t>
      </w:r>
      <w:r>
        <w:t>.”</w:t>
      </w:r>
      <w:proofErr w:type="gramEnd"/>
      <w:r>
        <w:t xml:space="preserve">  </w:t>
      </w:r>
      <w:hyperlink r:id="rId66" w:history="1">
        <w:r w:rsidRPr="00E220D9">
          <w:rPr>
            <w:rStyle w:val="Hyperlink"/>
          </w:rPr>
          <w:t>https://cases.justia.com/wyoming/supreme-court/2025-s-24-0295.pdf?ts=1757689246</w:t>
        </w:r>
      </w:hyperlink>
      <w:r>
        <w:t xml:space="preserve"> </w:t>
      </w:r>
    </w:p>
    <w:p w14:paraId="33F0647C" w14:textId="77777777" w:rsidR="0044195B" w:rsidRDefault="0044195B" w:rsidP="0044195B">
      <w:r w:rsidRPr="00B511E1">
        <w:rPr>
          <w:b/>
        </w:rPr>
        <w:t>KEY FACTS</w:t>
      </w:r>
      <w:r>
        <w:t>:</w:t>
      </w:r>
    </w:p>
    <w:p w14:paraId="284BAF42" w14:textId="77777777" w:rsidR="0044195B" w:rsidRDefault="0044195B" w:rsidP="0044195B">
      <w:pPr>
        <w:pStyle w:val="NoSpacing"/>
        <w:ind w:firstLine="720"/>
      </w:pPr>
      <w:r>
        <w:t xml:space="preserve">“Mr. Boyer owned a trailer home located at 1605 </w:t>
      </w:r>
      <w:proofErr w:type="spellStart"/>
      <w:r>
        <w:t>Echeta</w:t>
      </w:r>
      <w:proofErr w:type="spellEnd"/>
      <w:r>
        <w:t xml:space="preserve"> Road, Lot 21 in Gillette.</w:t>
      </w:r>
    </w:p>
    <w:p w14:paraId="7A8F3204" w14:textId="77777777" w:rsidR="0044195B" w:rsidRDefault="0044195B" w:rsidP="0044195B">
      <w:pPr>
        <w:pStyle w:val="NoSpacing"/>
        <w:ind w:firstLine="720"/>
      </w:pPr>
      <w:r>
        <w:t>On the morning of August 2, 2022, Charlene Haglund was smoking a cigarette outside of</w:t>
      </w:r>
    </w:p>
    <w:p w14:paraId="627EC8C0" w14:textId="77777777" w:rsidR="0044195B" w:rsidRDefault="0044195B" w:rsidP="0044195B">
      <w:pPr>
        <w:pStyle w:val="NoSpacing"/>
        <w:ind w:firstLine="720"/>
      </w:pPr>
      <w:r>
        <w:t>her trailer home, directly across from Mr. Boyer’s trailer home. Mr. Boyer approached</w:t>
      </w:r>
    </w:p>
    <w:p w14:paraId="34E84CFC" w14:textId="77777777" w:rsidR="0044195B" w:rsidRDefault="0044195B" w:rsidP="0044195B">
      <w:pPr>
        <w:pStyle w:val="NoSpacing"/>
        <w:ind w:firstLine="720"/>
      </w:pPr>
      <w:r>
        <w:t xml:space="preserve">Ms. </w:t>
      </w:r>
      <w:proofErr w:type="gramStart"/>
      <w:r>
        <w:t>Haglund and</w:t>
      </w:r>
      <w:proofErr w:type="gramEnd"/>
      <w:r>
        <w:t xml:space="preserve"> asked if he could borrow her lighter. He lit his cigarette, made some</w:t>
      </w:r>
    </w:p>
    <w:p w14:paraId="4EDE3437" w14:textId="77777777" w:rsidR="0044195B" w:rsidRDefault="0044195B" w:rsidP="0044195B">
      <w:pPr>
        <w:pStyle w:val="NoSpacing"/>
        <w:ind w:firstLine="720"/>
      </w:pPr>
      <w:r>
        <w:t xml:space="preserve">small </w:t>
      </w:r>
      <w:proofErr w:type="gramStart"/>
      <w:r>
        <w:t>talk, and</w:t>
      </w:r>
      <w:proofErr w:type="gramEnd"/>
      <w:r>
        <w:t xml:space="preserve"> walked toward the main road. Ms. Haglund said Mr. Boyer was wearing a</w:t>
      </w:r>
    </w:p>
    <w:p w14:paraId="3D860590" w14:textId="77777777" w:rsidR="0044195B" w:rsidRDefault="0044195B" w:rsidP="0044195B">
      <w:pPr>
        <w:pStyle w:val="NoSpacing"/>
        <w:ind w:firstLine="720"/>
      </w:pPr>
      <w:r>
        <w:t>dark-colored polo shirt. About thirty minutes later, Ms. Haglund smelled and saw smoke</w:t>
      </w:r>
    </w:p>
    <w:p w14:paraId="59902826" w14:textId="77777777" w:rsidR="0044195B" w:rsidRDefault="0044195B" w:rsidP="0044195B">
      <w:pPr>
        <w:pStyle w:val="NoSpacing"/>
        <w:ind w:firstLine="720"/>
      </w:pPr>
      <w:r>
        <w:t>coming from Mr. Boyer’s trailer home. She had her boyfriend call 911 to report the</w:t>
      </w:r>
    </w:p>
    <w:p w14:paraId="0A61148C" w14:textId="77777777" w:rsidR="0044195B" w:rsidRDefault="0044195B" w:rsidP="0044195B">
      <w:pPr>
        <w:pStyle w:val="NoSpacing"/>
        <w:ind w:firstLine="720"/>
      </w:pPr>
      <w:r>
        <w:t>possible fire. Ms. Haglund did not see anyone else exit Mr. Boyer’s trailer that morning.</w:t>
      </w:r>
    </w:p>
    <w:p w14:paraId="495DF110" w14:textId="77777777" w:rsidR="0044195B" w:rsidRDefault="0044195B" w:rsidP="0044195B">
      <w:pPr>
        <w:pStyle w:val="NoSpacing"/>
        <w:ind w:firstLine="720"/>
      </w:pPr>
    </w:p>
    <w:p w14:paraId="33F5C11D" w14:textId="77777777" w:rsidR="0044195B" w:rsidRDefault="0044195B" w:rsidP="0044195B">
      <w:pPr>
        <w:pStyle w:val="NoSpacing"/>
        <w:ind w:left="720"/>
      </w:pPr>
      <w:r>
        <w:t xml:space="preserve">After leaving Ms. Haglund’s home, Mr. Boyer stopped at JB Auto Glass. Mr. Boyer was wearing shorts, flip-flops, and a black T-shirt. He had a dog with him. He asked Joseph Billington, owner of JB Auto Glass, if he could use the restroom. Mr. Billington gave him permission. Mr. Billington noticed a strong bleach odor coming from the restroom after Mr. Boyer finished using it. Mr. Boyer was covered in bleach when he came out of the restroom, and his shirt had bleach spot stains all over it. There was also bleach on his flip-flops. Mr. Billington asked Mr. </w:t>
      </w:r>
      <w:r>
        <w:lastRenderedPageBreak/>
        <w:t xml:space="preserve">Boyer what happened and if he was alright. Mr. Boyer told him not to worry about it. Mr. Boyer grabbed his dog and left on </w:t>
      </w:r>
      <w:proofErr w:type="gramStart"/>
      <w:r>
        <w:t>foot,</w:t>
      </w:r>
      <w:proofErr w:type="gramEnd"/>
      <w:r>
        <w:t xml:space="preserve"> in the opposite direction he came from. The bleach had been in a spray bottle. There was bleach on the floor when Mr. Billington went into the restroom afterwards.</w:t>
      </w:r>
    </w:p>
    <w:p w14:paraId="75FE4841" w14:textId="77777777" w:rsidR="0044195B" w:rsidRDefault="0044195B" w:rsidP="0044195B">
      <w:pPr>
        <w:pStyle w:val="NoSpacing"/>
        <w:ind w:left="720"/>
      </w:pPr>
    </w:p>
    <w:p w14:paraId="3726D3D5" w14:textId="77777777" w:rsidR="0044195B" w:rsidRDefault="0044195B" w:rsidP="0044195B">
      <w:pPr>
        <w:pStyle w:val="NoSpacing"/>
        <w:ind w:left="720"/>
      </w:pPr>
      <w:r>
        <w:t>***</w:t>
      </w:r>
    </w:p>
    <w:p w14:paraId="679973B5" w14:textId="77777777" w:rsidR="0044195B" w:rsidRDefault="0044195B" w:rsidP="0044195B">
      <w:pPr>
        <w:pStyle w:val="NoSpacing"/>
        <w:ind w:left="720"/>
      </w:pPr>
      <w:r>
        <w:t>Regarding the bleach, Mr. Boyer said the restroom at JB Auto Glass did not have</w:t>
      </w:r>
    </w:p>
    <w:p w14:paraId="04F8E516" w14:textId="77777777" w:rsidR="0044195B" w:rsidRDefault="0044195B" w:rsidP="0044195B">
      <w:pPr>
        <w:pStyle w:val="NoSpacing"/>
        <w:ind w:left="720"/>
      </w:pPr>
      <w:r>
        <w:t>soap or paper towels, but there was a bottle of 409 cleaning spray on the shelf. He</w:t>
      </w:r>
    </w:p>
    <w:p w14:paraId="5B7939E8" w14:textId="77777777" w:rsidR="0044195B" w:rsidRDefault="0044195B" w:rsidP="0044195B">
      <w:pPr>
        <w:pStyle w:val="NoSpacing"/>
        <w:ind w:left="720"/>
      </w:pPr>
      <w:r>
        <w:t>figured it was safe to use on hands and proceeded to wash his hands with it. He then</w:t>
      </w:r>
    </w:p>
    <w:p w14:paraId="54AF6CF8" w14:textId="77777777" w:rsidR="0044195B" w:rsidRDefault="0044195B" w:rsidP="0044195B">
      <w:pPr>
        <w:pStyle w:val="NoSpacing"/>
        <w:ind w:left="720"/>
      </w:pPr>
      <w:r>
        <w:t>dried his hands on his shirt. After he left the restroom, Mr. Boyer noticed he had bleach</w:t>
      </w:r>
    </w:p>
    <w:p w14:paraId="68F45150" w14:textId="77777777" w:rsidR="0044195B" w:rsidRDefault="0044195B" w:rsidP="0044195B">
      <w:pPr>
        <w:pStyle w:val="NoSpacing"/>
        <w:ind w:left="720"/>
      </w:pPr>
      <w:r>
        <w:t>stains all over his shirt and told Mr. Billington it “wasn’t a big deal.” While continuing</w:t>
      </w:r>
    </w:p>
    <w:p w14:paraId="7FE0677D" w14:textId="77777777" w:rsidR="0044195B" w:rsidRDefault="0044195B" w:rsidP="0044195B">
      <w:pPr>
        <w:pStyle w:val="NoSpacing"/>
        <w:ind w:left="720"/>
      </w:pPr>
      <w:r>
        <w:t>walking to Ms. Exley’s house, Mr. Boyer decided to throw away his shirt because it was</w:t>
      </w:r>
    </w:p>
    <w:p w14:paraId="5EEF2929" w14:textId="77777777" w:rsidR="0044195B" w:rsidRDefault="0044195B" w:rsidP="0044195B">
      <w:pPr>
        <w:pStyle w:val="NoSpacing"/>
        <w:ind w:left="720"/>
      </w:pPr>
      <w:r>
        <w:t>hot outside and it was a throwaway shirt he wore for work. According to Mr. Boyer, his</w:t>
      </w:r>
    </w:p>
    <w:p w14:paraId="180AE263" w14:textId="77777777" w:rsidR="0044195B" w:rsidRDefault="0044195B" w:rsidP="0044195B">
      <w:pPr>
        <w:pStyle w:val="NoSpacing"/>
        <w:ind w:left="720"/>
      </w:pPr>
      <w:r>
        <w:t>son gave him a gray tank top to wear.”</w:t>
      </w:r>
    </w:p>
    <w:p w14:paraId="749BB74B" w14:textId="77777777" w:rsidR="0044195B" w:rsidRDefault="0044195B" w:rsidP="0044195B">
      <w:pPr>
        <w:pStyle w:val="NoSpacing"/>
        <w:ind w:firstLine="720"/>
      </w:pPr>
    </w:p>
    <w:p w14:paraId="14D3B574" w14:textId="39E75D7D" w:rsidR="0044195B" w:rsidRPr="00815797" w:rsidRDefault="0044195B" w:rsidP="0044195B">
      <w:pPr>
        <w:pStyle w:val="NoSpacing"/>
        <w:rPr>
          <w:b/>
          <w:bCs/>
        </w:rPr>
      </w:pPr>
      <w:r>
        <w:rPr>
          <w:b/>
        </w:rPr>
        <w:t xml:space="preserve">Lesson learned:  Circumstantial evidence can lead to arson conviction. </w:t>
      </w:r>
    </w:p>
    <w:p w14:paraId="3D7CE79D" w14:textId="77777777" w:rsidR="0044195B" w:rsidRDefault="0044195B" w:rsidP="00F326E5">
      <w:pPr>
        <w:pStyle w:val="NoSpacing"/>
        <w:rPr>
          <w:rFonts w:ascii="Arial Black" w:hAnsi="Arial Black"/>
          <w:sz w:val="24"/>
          <w:szCs w:val="24"/>
        </w:rPr>
      </w:pPr>
    </w:p>
    <w:p w14:paraId="14BCFF23" w14:textId="556DE7C6" w:rsidR="00037CB8" w:rsidRPr="00E24913" w:rsidRDefault="00037CB8" w:rsidP="00037CB8">
      <w:pPr>
        <w:pStyle w:val="NoSpacing"/>
        <w:rPr>
          <w:rFonts w:ascii="Arial Black" w:hAnsi="Arial Black"/>
          <w:sz w:val="24"/>
          <w:szCs w:val="24"/>
        </w:rPr>
      </w:pPr>
      <w:r w:rsidRPr="00E24913">
        <w:rPr>
          <w:rFonts w:ascii="Arial Black" w:hAnsi="Arial Black"/>
          <w:sz w:val="24"/>
          <w:szCs w:val="24"/>
        </w:rPr>
        <w:t>1-18</w:t>
      </w:r>
      <w:r>
        <w:rPr>
          <w:rFonts w:ascii="Arial Black" w:hAnsi="Arial Black"/>
          <w:sz w:val="24"/>
          <w:szCs w:val="24"/>
        </w:rPr>
        <w:t>9</w:t>
      </w:r>
    </w:p>
    <w:p w14:paraId="7406034E" w14:textId="77777777" w:rsidR="00037CB8" w:rsidRDefault="00037CB8" w:rsidP="00F326E5">
      <w:pPr>
        <w:pStyle w:val="NoSpacing"/>
        <w:rPr>
          <w:rFonts w:ascii="Arial Black" w:hAnsi="Arial Black"/>
          <w:sz w:val="24"/>
          <w:szCs w:val="24"/>
        </w:rPr>
      </w:pPr>
    </w:p>
    <w:p w14:paraId="1DDDF586" w14:textId="77777777" w:rsidR="00037CB8" w:rsidRDefault="00037CB8" w:rsidP="00037CB8">
      <w:pPr>
        <w:rPr>
          <w:rFonts w:ascii="Arial Black" w:hAnsi="Arial Black"/>
          <w:sz w:val="28"/>
          <w:szCs w:val="28"/>
        </w:rPr>
      </w:pPr>
      <w:r>
        <w:rPr>
          <w:rFonts w:ascii="Arial Black" w:hAnsi="Arial Black"/>
          <w:sz w:val="28"/>
          <w:szCs w:val="28"/>
        </w:rPr>
        <w:t xml:space="preserve">SC: RESTAURANT $3.9M – GREASE FIRE – BATTLE EXPERTS </w:t>
      </w:r>
    </w:p>
    <w:p w14:paraId="6720D97D" w14:textId="77777777" w:rsidR="00037CB8" w:rsidRDefault="00037CB8" w:rsidP="00037CB8">
      <w:pPr>
        <w:pStyle w:val="NoSpacing"/>
      </w:pPr>
      <w:r>
        <w:t xml:space="preserve">On September 2, 2025, in </w:t>
      </w:r>
      <w:r w:rsidRPr="00AF68AC">
        <w:rPr>
          <w:u w:val="single"/>
        </w:rPr>
        <w:t>Axis Surplus Insurance Company v. Pye-Barker Fire and Safety, LLC</w:t>
      </w:r>
      <w:r>
        <w:t xml:space="preserve">, U.S. District Court Judge </w:t>
      </w:r>
      <w:r w:rsidRPr="00814051">
        <w:t>Richard Mark Gergel</w:t>
      </w:r>
      <w:r>
        <w:t xml:space="preserve">, United States District Court for the District of South Carolina (Charleston Division) held that most of the experts for both sides in this litigation may testify as experts under </w:t>
      </w:r>
      <w:r w:rsidRPr="009828B6">
        <w:rPr>
          <w:i/>
          <w:iCs/>
        </w:rPr>
        <w:t>Daubert v. Merrell Dow Pharm. Inc.</w:t>
      </w:r>
      <w:r w:rsidRPr="009828B6">
        <w:t>, 509 U.S. 579, 589 (1993)</w:t>
      </w:r>
      <w:r>
        <w:t xml:space="preserve">.  Case will </w:t>
      </w:r>
      <w:proofErr w:type="gramStart"/>
      <w:r>
        <w:t>no</w:t>
      </w:r>
      <w:proofErr w:type="gramEnd"/>
      <w:r>
        <w:t xml:space="preserve"> proceed to jury trial.  The plaintiff, Axis Surplus Insurance Company, provided</w:t>
      </w:r>
    </w:p>
    <w:p w14:paraId="72447902" w14:textId="77777777" w:rsidR="00037CB8" w:rsidRDefault="00037CB8" w:rsidP="00037CB8">
      <w:pPr>
        <w:pStyle w:val="NoSpacing"/>
      </w:pPr>
      <w:r>
        <w:t xml:space="preserve">insurance coverage for its insured, Hospitality Management Group, Inc., for </w:t>
      </w:r>
      <w:proofErr w:type="gramStart"/>
      <w:r>
        <w:t>damages</w:t>
      </w:r>
      <w:proofErr w:type="gramEnd"/>
      <w:r>
        <w:t xml:space="preserve"> suffered from a fire at one of Hospitality’s properties, Magnolias Restaurant, located in Charleston, South Carolina. Plaintiff reimbursed its insured </w:t>
      </w:r>
      <w:proofErr w:type="gramStart"/>
      <w:r>
        <w:t>in excess of</w:t>
      </w:r>
      <w:proofErr w:type="gramEnd"/>
      <w:r>
        <w:t xml:space="preserve"> $3.9 million for damages from the fire and was subrogated to its insured’s right of recovery against any at fault third party.</w:t>
      </w:r>
    </w:p>
    <w:p w14:paraId="47E33172" w14:textId="77777777" w:rsidR="00037CB8" w:rsidRDefault="00037CB8" w:rsidP="00037CB8">
      <w:pPr>
        <w:pStyle w:val="NoSpacing"/>
      </w:pPr>
    </w:p>
    <w:p w14:paraId="71ECB5A8" w14:textId="77777777" w:rsidR="00037CB8" w:rsidRDefault="00037CB8" w:rsidP="00037CB8">
      <w:pPr>
        <w:pStyle w:val="NoSpacing"/>
      </w:pPr>
      <w:r w:rsidRPr="00B71171">
        <w:rPr>
          <w:b/>
        </w:rPr>
        <w:t>THE COURT HELD:</w:t>
      </w:r>
      <w:r>
        <w:t xml:space="preserve"> “</w:t>
      </w:r>
      <w:r w:rsidRPr="00217646">
        <w:t xml:space="preserve">The bottom line is that both Plaintiff's and Defendant's experts have offered plausible explanations for the causes of the fire damage. The course of the Magnolias Restaurant fire and its impact on the fire suppression system are hotly contested by the parties, and there is circumstantial evidence sufficient to support both the Plaintiff's and Defendant's scenarios. Like many unwitnessed fire cases, the experts, often able and experienced, offer distinctly different opinions on critical issues </w:t>
      </w:r>
      <w:proofErr w:type="gramStart"/>
      <w:r w:rsidRPr="00217646">
        <w:t>of in</w:t>
      </w:r>
      <w:proofErr w:type="gramEnd"/>
      <w:r w:rsidRPr="00217646">
        <w:t xml:space="preserve"> the case. Under the present circumstances, a jury needs to hear the full case and determine which scenario more likely than not caused the extensive fire damage on August 7, 2021.</w:t>
      </w:r>
      <w:r>
        <w:t>”</w:t>
      </w:r>
    </w:p>
    <w:p w14:paraId="2101E6AB" w14:textId="77777777" w:rsidR="00037CB8" w:rsidRDefault="00037CB8" w:rsidP="00037CB8">
      <w:pPr>
        <w:pStyle w:val="NoSpacing"/>
      </w:pPr>
      <w:hyperlink r:id="rId67" w:history="1">
        <w:r w:rsidRPr="00494FBC">
          <w:rPr>
            <w:rStyle w:val="Hyperlink"/>
          </w:rPr>
          <w:t>https://cases.justia.com/federal/district-courts/south-carolina/scdce/2:2024cv02173/290787/65/0.pdf?ts=1756990440</w:t>
        </w:r>
      </w:hyperlink>
    </w:p>
    <w:p w14:paraId="60FAF2AE" w14:textId="77777777" w:rsidR="00037CB8" w:rsidRDefault="00037CB8" w:rsidP="00037CB8">
      <w:pPr>
        <w:pStyle w:val="NoSpacing"/>
      </w:pPr>
    </w:p>
    <w:p w14:paraId="163CDEC5" w14:textId="77777777" w:rsidR="00037CB8" w:rsidRPr="00B71171" w:rsidRDefault="00037CB8" w:rsidP="00037CB8">
      <w:pPr>
        <w:pStyle w:val="NoSpacing"/>
        <w:rPr>
          <w:b/>
          <w:bCs/>
        </w:rPr>
      </w:pPr>
      <w:r w:rsidRPr="00B71171">
        <w:rPr>
          <w:b/>
        </w:rPr>
        <w:t xml:space="preserve">KEY FACTS: </w:t>
      </w:r>
    </w:p>
    <w:p w14:paraId="383AF213" w14:textId="77777777" w:rsidR="00037CB8" w:rsidRDefault="00037CB8" w:rsidP="00037CB8">
      <w:pPr>
        <w:pStyle w:val="NoSpacing"/>
      </w:pPr>
    </w:p>
    <w:p w14:paraId="486599D2" w14:textId="77777777" w:rsidR="00037CB8" w:rsidRDefault="00037CB8" w:rsidP="00037CB8">
      <w:pPr>
        <w:pStyle w:val="NoSpacing"/>
        <w:ind w:firstLine="720"/>
      </w:pPr>
      <w:r>
        <w:t>“This action was brought by Plaintiff Axis Surplus Insurance Company, which provided</w:t>
      </w:r>
    </w:p>
    <w:p w14:paraId="7CCADBBC" w14:textId="77777777" w:rsidR="00037CB8" w:rsidRDefault="00037CB8" w:rsidP="00037CB8">
      <w:pPr>
        <w:pStyle w:val="NoSpacing"/>
        <w:ind w:left="720"/>
      </w:pPr>
      <w:r>
        <w:t xml:space="preserve">insurance coverage for its insured, Hospitality Management Group, Inc., for </w:t>
      </w:r>
      <w:proofErr w:type="gramStart"/>
      <w:r>
        <w:t>damages</w:t>
      </w:r>
      <w:proofErr w:type="gramEnd"/>
      <w:r>
        <w:t xml:space="preserve"> suffered from a fire at one of Hospitality’s properties, Magnolias Restaurant, located in Charleston, South Carolina. Plaintiff reimbursed its insured </w:t>
      </w:r>
      <w:proofErr w:type="gramStart"/>
      <w:r>
        <w:t>in excess of</w:t>
      </w:r>
      <w:proofErr w:type="gramEnd"/>
      <w:r>
        <w:t xml:space="preserve"> $3.9 million for damages from the fire and was subrogated to its insured’s right of recovery against any at fault third party. Plaintiff sued Defendant for negligence and breach of contract related to the performance of its duties to inspect, test, and maintain a fire suppression system, which Plaintiff alleges failed to properly operate to suppress the fire.</w:t>
      </w:r>
    </w:p>
    <w:p w14:paraId="0D5CC252" w14:textId="77777777" w:rsidR="00037CB8" w:rsidRDefault="00037CB8" w:rsidP="00037CB8">
      <w:pPr>
        <w:pStyle w:val="NoSpacing"/>
      </w:pPr>
    </w:p>
    <w:p w14:paraId="3A97838E" w14:textId="77777777" w:rsidR="00037CB8" w:rsidRDefault="00037CB8" w:rsidP="00037CB8">
      <w:pPr>
        <w:pStyle w:val="NoSpacing"/>
        <w:ind w:firstLine="720"/>
      </w:pPr>
      <w:r>
        <w:t>The Magnolia’s Restaurant fire occurred in the early morning hours on August 7, 2021.</w:t>
      </w:r>
    </w:p>
    <w:p w14:paraId="619EA82A" w14:textId="77777777" w:rsidR="00037CB8" w:rsidRDefault="00037CB8" w:rsidP="00037CB8">
      <w:pPr>
        <w:pStyle w:val="NoSpacing"/>
        <w:ind w:left="720"/>
      </w:pPr>
      <w:r>
        <w:t xml:space="preserve">There were no eyewitnesses to the outbreak of the fire. The parties agree that the fire began when a restaurant employee left a plastic dish rack on a </w:t>
      </w:r>
      <w:proofErr w:type="gramStart"/>
      <w:r>
        <w:t>two burner</w:t>
      </w:r>
      <w:proofErr w:type="gramEnd"/>
      <w:r>
        <w:t xml:space="preserve"> range in the prep kitchen, which subsequently melted from the heat of the burner range’s pilot light. Beyond that fact, the parties and their experts disagree about whether the fire suppression system failed due to improper maintenance by the Defendant (Plaintiff’s view) or whether </w:t>
      </w:r>
      <w:r>
        <w:lastRenderedPageBreak/>
        <w:t>excess grease near the burner range ignited and produced a massive fire outside the area of the fire suppression system (Defendant’s view).</w:t>
      </w:r>
    </w:p>
    <w:p w14:paraId="1EA63B56" w14:textId="77777777" w:rsidR="00037CB8" w:rsidRDefault="00037CB8" w:rsidP="00037CB8">
      <w:pPr>
        <w:pStyle w:val="NoSpacing"/>
        <w:ind w:left="720"/>
      </w:pPr>
    </w:p>
    <w:p w14:paraId="6A3F112E" w14:textId="77777777" w:rsidR="00037CB8" w:rsidRDefault="00037CB8" w:rsidP="00037CB8">
      <w:pPr>
        <w:pStyle w:val="NoSpacing"/>
        <w:ind w:left="720"/>
      </w:pPr>
      <w:r>
        <w:t>***</w:t>
      </w:r>
    </w:p>
    <w:p w14:paraId="108301BB" w14:textId="77777777" w:rsidR="00037CB8" w:rsidRDefault="00037CB8" w:rsidP="00037CB8">
      <w:pPr>
        <w:pStyle w:val="NoSpacing"/>
        <w:ind w:left="720"/>
      </w:pPr>
      <w:r>
        <w:t>Plaintiff’s expert, Daniel Arnold, is a professional engineer who has four decades of</w:t>
      </w:r>
    </w:p>
    <w:p w14:paraId="0CE62B9E" w14:textId="77777777" w:rsidR="00037CB8" w:rsidRDefault="00037CB8" w:rsidP="00037CB8">
      <w:pPr>
        <w:pStyle w:val="NoSpacing"/>
        <w:ind w:left="720"/>
      </w:pPr>
      <w:r>
        <w:t>experience in fire protection engineering and design of fire suppression systems. (</w:t>
      </w:r>
      <w:proofErr w:type="spellStart"/>
      <w:r>
        <w:t>Dkt</w:t>
      </w:r>
      <w:proofErr w:type="spellEnd"/>
      <w:r>
        <w:t xml:space="preserve">. No. 43-1 at 19-20). Arnold opines that the restaurant’s fire suppression system, which was designed to disperse a chemical retardant to suppress a fire, failed because Defendant improperly placed a critical piece of the system known as the fusible link. Arnold further opines that had the suppression system performed properly, the August 21, </w:t>
      </w:r>
      <w:proofErr w:type="gramStart"/>
      <w:r>
        <w:t>2025</w:t>
      </w:r>
      <w:proofErr w:type="gramEnd"/>
      <w:r>
        <w:t xml:space="preserve"> fire would </w:t>
      </w:r>
      <w:proofErr w:type="gramStart"/>
      <w:r>
        <w:t>have been</w:t>
      </w:r>
      <w:proofErr w:type="gramEnd"/>
      <w:r>
        <w:t xml:space="preserve"> caused only limited damage in the immediate area of the </w:t>
      </w:r>
      <w:proofErr w:type="gramStart"/>
      <w:r>
        <w:t>two burner</w:t>
      </w:r>
      <w:proofErr w:type="gramEnd"/>
      <w:r>
        <w:t xml:space="preserve"> range. (Id. at 15).</w:t>
      </w:r>
    </w:p>
    <w:p w14:paraId="75240737" w14:textId="77777777" w:rsidR="00037CB8" w:rsidRDefault="00037CB8" w:rsidP="00037CB8">
      <w:pPr>
        <w:pStyle w:val="NoSpacing"/>
        <w:ind w:left="720"/>
      </w:pPr>
      <w:r>
        <w:t>***</w:t>
      </w:r>
    </w:p>
    <w:p w14:paraId="0235B961" w14:textId="77777777" w:rsidR="00037CB8" w:rsidRDefault="00037CB8" w:rsidP="00037CB8">
      <w:pPr>
        <w:pStyle w:val="NoSpacing"/>
        <w:ind w:left="720"/>
      </w:pPr>
      <w:r w:rsidRPr="009F5ECF">
        <w:t>Defendant’s expert Jeffrey Berino is a fire origin and cause investigator with forty years of</w:t>
      </w:r>
      <w:r>
        <w:t xml:space="preserve"> </w:t>
      </w:r>
      <w:r w:rsidRPr="009F5ECF">
        <w:t>experience as a firefighter and significant experience investigating fires. (</w:t>
      </w:r>
      <w:proofErr w:type="spellStart"/>
      <w:r w:rsidRPr="009F5ECF">
        <w:t>Dkt</w:t>
      </w:r>
      <w:proofErr w:type="spellEnd"/>
      <w:r w:rsidRPr="009F5ECF">
        <w:t>. No. 46-2 at 2-6).</w:t>
      </w:r>
      <w:r>
        <w:t xml:space="preserve"> </w:t>
      </w:r>
      <w:r w:rsidRPr="009F5ECF">
        <w:t>Berino opines that the fire was initially caused by a restaurant employee leaving a plastic object</w:t>
      </w:r>
      <w:r>
        <w:t xml:space="preserve"> </w:t>
      </w:r>
      <w:r w:rsidRPr="009F5ECF">
        <w:t xml:space="preserve">on a </w:t>
      </w:r>
      <w:proofErr w:type="gramStart"/>
      <w:r w:rsidRPr="009F5ECF">
        <w:t>two burner</w:t>
      </w:r>
      <w:proofErr w:type="gramEnd"/>
      <w:r w:rsidRPr="009F5ECF">
        <w:t xml:space="preserve"> range and the melted plastic ignited extensive grease residue and deposits on the</w:t>
      </w:r>
      <w:r>
        <w:t xml:space="preserve"> </w:t>
      </w:r>
      <w:r w:rsidRPr="009F5ECF">
        <w:t>floor and in the nearby area. Berino further opines that the fire from the ignited grease migrated</w:t>
      </w:r>
      <w:r>
        <w:t xml:space="preserve"> </w:t>
      </w:r>
      <w:r w:rsidRPr="009F5ECF">
        <w:t>to the area of fire suppression system’s control box, which caused the system to fail. (Id. at 18-19).</w:t>
      </w:r>
    </w:p>
    <w:p w14:paraId="62155D08" w14:textId="77777777" w:rsidR="00037CB8" w:rsidRDefault="00037CB8" w:rsidP="00037CB8">
      <w:pPr>
        <w:pStyle w:val="NoSpacing"/>
        <w:ind w:left="720"/>
      </w:pPr>
    </w:p>
    <w:p w14:paraId="689EEED9" w14:textId="77777777" w:rsidR="00037CB8" w:rsidRDefault="00037CB8" w:rsidP="00037CB8">
      <w:pPr>
        <w:pStyle w:val="NoSpacing"/>
        <w:ind w:left="720"/>
      </w:pPr>
      <w:r>
        <w:t>***</w:t>
      </w:r>
    </w:p>
    <w:p w14:paraId="343DDDBD" w14:textId="77777777" w:rsidR="00037CB8" w:rsidRDefault="00037CB8" w:rsidP="00037CB8">
      <w:pPr>
        <w:pStyle w:val="NoSpacing"/>
        <w:ind w:left="720"/>
      </w:pPr>
      <w:r>
        <w:t xml:space="preserve">The Court finds that the testimony of the parties’ respective expert witnesses </w:t>
      </w:r>
      <w:proofErr w:type="gramStart"/>
      <w:r>
        <w:t>meet</w:t>
      </w:r>
      <w:proofErr w:type="gramEnd"/>
      <w:r>
        <w:t xml:space="preserve"> Rule</w:t>
      </w:r>
    </w:p>
    <w:p w14:paraId="44706C82" w14:textId="77777777" w:rsidR="00037CB8" w:rsidRPr="009F5ECF" w:rsidRDefault="00037CB8" w:rsidP="00037CB8">
      <w:pPr>
        <w:pStyle w:val="NoSpacing"/>
        <w:ind w:left="720"/>
      </w:pPr>
      <w:r>
        <w:t>702 standards and should not be excluded under Rule 403.”</w:t>
      </w:r>
    </w:p>
    <w:p w14:paraId="27FF90B1" w14:textId="77777777" w:rsidR="00037CB8" w:rsidRDefault="00037CB8" w:rsidP="00037CB8">
      <w:pPr>
        <w:pStyle w:val="NoSpacing"/>
        <w:ind w:left="720"/>
      </w:pPr>
    </w:p>
    <w:p w14:paraId="125EAB7F" w14:textId="5B00D54C" w:rsidR="00037CB8" w:rsidRDefault="00037CB8" w:rsidP="00037CB8">
      <w:pPr>
        <w:pStyle w:val="NoSpacing"/>
        <w:rPr>
          <w:b/>
          <w:bCs/>
        </w:rPr>
      </w:pPr>
      <w:r>
        <w:rPr>
          <w:b/>
        </w:rPr>
        <w:t xml:space="preserve">Lesson learned:  The case may now go to a jury, where the experts can testify.  </w:t>
      </w:r>
    </w:p>
    <w:p w14:paraId="54E5EEC4" w14:textId="77777777" w:rsidR="00037CB8" w:rsidRDefault="00037CB8" w:rsidP="00037CB8">
      <w:pPr>
        <w:pStyle w:val="NoSpacing"/>
        <w:rPr>
          <w:b/>
          <w:bCs/>
        </w:rPr>
      </w:pPr>
    </w:p>
    <w:p w14:paraId="1405C7EC" w14:textId="77777777" w:rsidR="00037CB8" w:rsidRPr="00AE45BD" w:rsidRDefault="00037CB8" w:rsidP="00037CB8">
      <w:pPr>
        <w:pStyle w:val="NoSpacing"/>
        <w:ind w:left="720"/>
      </w:pPr>
      <w:r w:rsidRPr="00AE45BD">
        <w:t xml:space="preserve">Note: Under Federal Rule of Evidence 702, the Court acts as a gatekeeper “to verify that expert testimony is based on sufficient facts or data” The expert testimony must be shown to be “not only relevant, but reliable.’ </w:t>
      </w:r>
      <w:r w:rsidRPr="00AE45BD">
        <w:rPr>
          <w:i/>
          <w:iCs/>
        </w:rPr>
        <w:t>Daubert v. Merrell Dow Pharm. Inc.</w:t>
      </w:r>
      <w:r w:rsidRPr="00AE45BD">
        <w:t xml:space="preserve">, 509 U.S. 579, 589 (1993). </w:t>
      </w:r>
    </w:p>
    <w:p w14:paraId="4518E214" w14:textId="77777777" w:rsidR="00B232CB" w:rsidRDefault="00B232CB" w:rsidP="00F326E5">
      <w:pPr>
        <w:pStyle w:val="NoSpacing"/>
        <w:rPr>
          <w:rFonts w:ascii="Arial Black" w:hAnsi="Arial Black"/>
          <w:sz w:val="24"/>
          <w:szCs w:val="24"/>
        </w:rPr>
      </w:pPr>
    </w:p>
    <w:p w14:paraId="0A2C64CD" w14:textId="77777777" w:rsidR="00B232CB" w:rsidRDefault="00B232CB" w:rsidP="00F326E5">
      <w:pPr>
        <w:pStyle w:val="NoSpacing"/>
        <w:rPr>
          <w:rFonts w:ascii="Arial Black" w:hAnsi="Arial Black"/>
          <w:sz w:val="24"/>
          <w:szCs w:val="24"/>
        </w:rPr>
      </w:pPr>
    </w:p>
    <w:p w14:paraId="3212F1C8" w14:textId="77777777" w:rsidR="00B232CB" w:rsidRDefault="00B232CB" w:rsidP="00F326E5">
      <w:pPr>
        <w:pStyle w:val="NoSpacing"/>
        <w:rPr>
          <w:rFonts w:ascii="Arial Black" w:hAnsi="Arial Black"/>
          <w:sz w:val="24"/>
          <w:szCs w:val="24"/>
        </w:rPr>
      </w:pPr>
    </w:p>
    <w:p w14:paraId="6B856FB4" w14:textId="23709BBA" w:rsidR="00E24913" w:rsidRPr="00E24913" w:rsidRDefault="00E24913" w:rsidP="00F326E5">
      <w:pPr>
        <w:pStyle w:val="NoSpacing"/>
        <w:rPr>
          <w:rFonts w:ascii="Arial Black" w:hAnsi="Arial Black"/>
          <w:sz w:val="24"/>
          <w:szCs w:val="24"/>
        </w:rPr>
      </w:pPr>
      <w:r w:rsidRPr="00E24913">
        <w:rPr>
          <w:rFonts w:ascii="Arial Black" w:hAnsi="Arial Black"/>
          <w:sz w:val="24"/>
          <w:szCs w:val="24"/>
        </w:rPr>
        <w:t>1-188</w:t>
      </w:r>
    </w:p>
    <w:p w14:paraId="0CABC036" w14:textId="77777777" w:rsidR="00AC44B8" w:rsidRDefault="00AC44B8" w:rsidP="00B86628">
      <w:pPr>
        <w:pStyle w:val="NoSpacing"/>
        <w:rPr>
          <w:rFonts w:ascii="Arial Black" w:hAnsi="Arial Black"/>
          <w:sz w:val="24"/>
          <w:szCs w:val="24"/>
        </w:rPr>
      </w:pPr>
    </w:p>
    <w:p w14:paraId="0ADF7975" w14:textId="77777777" w:rsidR="00421D18" w:rsidRDefault="00421D18" w:rsidP="00421D18">
      <w:pPr>
        <w:rPr>
          <w:rFonts w:ascii="Arial Black" w:hAnsi="Arial Black"/>
          <w:b/>
          <w:sz w:val="28"/>
          <w:szCs w:val="28"/>
        </w:rPr>
      </w:pPr>
      <w:r>
        <w:rPr>
          <w:rFonts w:ascii="Arial Black" w:hAnsi="Arial Black"/>
          <w:b/>
          <w:sz w:val="28"/>
          <w:szCs w:val="28"/>
        </w:rPr>
        <w:t xml:space="preserve">FL: EXPERT QUAL - BUTANE “MOSQUITOE SHIELD” FIRE </w:t>
      </w:r>
    </w:p>
    <w:p w14:paraId="3A4341D7" w14:textId="36A3B283" w:rsidR="00421D18" w:rsidRPr="0092209D" w:rsidRDefault="00421D18" w:rsidP="00421D18">
      <w:pPr>
        <w:rPr>
          <w:rFonts w:ascii="Times New Roman" w:hAnsi="Times New Roman"/>
          <w:sz w:val="24"/>
          <w:szCs w:val="24"/>
        </w:rPr>
      </w:pPr>
      <w:r w:rsidRPr="0092209D">
        <w:rPr>
          <w:rFonts w:ascii="Times New Roman" w:hAnsi="Times New Roman"/>
          <w:sz w:val="24"/>
          <w:szCs w:val="24"/>
        </w:rPr>
        <w:t xml:space="preserve">On July 28, 2025, in </w:t>
      </w:r>
      <w:r w:rsidRPr="0092209D">
        <w:rPr>
          <w:rFonts w:ascii="Times New Roman" w:hAnsi="Times New Roman"/>
          <w:sz w:val="24"/>
          <w:szCs w:val="24"/>
          <w:u w:val="single"/>
        </w:rPr>
        <w:t>Jacqueline Flynn v. Thermal Repellents, Inc. and Lowe’s Home Centers, LLC</w:t>
      </w:r>
      <w:r w:rsidRPr="0092209D">
        <w:rPr>
          <w:rFonts w:ascii="Times New Roman" w:hAnsi="Times New Roman"/>
          <w:sz w:val="24"/>
          <w:szCs w:val="24"/>
        </w:rPr>
        <w:t>, U.S. District Court Judge Paul G. Byron, United States District Court for Middle District of Florida (Orlando Division) denied the defense motion to exclude the testimony of Plaintiff’s cause and origin expert, Mr. Patrick B. Dugan, CFI concerning porch fire in 2021.  The expert followed 921, Guide for Fire and Explosion Investigations.  The lawsuit  involves a “</w:t>
      </w:r>
      <w:proofErr w:type="spellStart"/>
      <w:r w:rsidRPr="0092209D">
        <w:rPr>
          <w:rFonts w:ascii="Times New Roman" w:hAnsi="Times New Roman"/>
          <w:sz w:val="24"/>
          <w:szCs w:val="24"/>
        </w:rPr>
        <w:t>Thermacell</w:t>
      </w:r>
      <w:proofErr w:type="spellEnd"/>
      <w:r w:rsidRPr="0092209D">
        <w:rPr>
          <w:rFonts w:ascii="Times New Roman" w:hAnsi="Times New Roman"/>
          <w:sz w:val="24"/>
          <w:szCs w:val="24"/>
        </w:rPr>
        <w:t xml:space="preserve"> Patio Shield” – per Lowe’s advertisement, it “provides a 15 - foot zone of protection against mosquitoes” and is “powered by a butane cartridge, so you never need to plug in to charge or use batteries to repel mosquitoes.”</w:t>
      </w:r>
      <w:r w:rsidRPr="0092209D">
        <w:rPr>
          <w:rFonts w:ascii="Times New Roman" w:hAnsi="Times New Roman"/>
          <w:b/>
          <w:sz w:val="24"/>
          <w:szCs w:val="24"/>
        </w:rPr>
        <w:t xml:space="preserve"> </w:t>
      </w:r>
      <w:r w:rsidRPr="0092209D">
        <w:rPr>
          <w:rFonts w:ascii="Times New Roman" w:hAnsi="Times New Roman"/>
          <w:sz w:val="24"/>
          <w:szCs w:val="24"/>
        </w:rPr>
        <w:t xml:space="preserve">Plaintiff purchased the </w:t>
      </w:r>
      <w:proofErr w:type="spellStart"/>
      <w:r w:rsidRPr="0092209D">
        <w:rPr>
          <w:rFonts w:ascii="Times New Roman" w:hAnsi="Times New Roman"/>
          <w:sz w:val="24"/>
          <w:szCs w:val="24"/>
        </w:rPr>
        <w:t>Thermacell</w:t>
      </w:r>
      <w:proofErr w:type="spellEnd"/>
      <w:r w:rsidRPr="0092209D">
        <w:rPr>
          <w:rFonts w:ascii="Times New Roman" w:hAnsi="Times New Roman"/>
          <w:sz w:val="24"/>
          <w:szCs w:val="24"/>
        </w:rPr>
        <w:t xml:space="preserve"> Patio Shield from Lowe’s, arriving home around 5:30 </w:t>
      </w:r>
      <w:proofErr w:type="spellStart"/>
      <w:r w:rsidRPr="0092209D">
        <w:rPr>
          <w:rFonts w:ascii="Times New Roman" w:hAnsi="Times New Roman"/>
          <w:sz w:val="24"/>
          <w:szCs w:val="24"/>
        </w:rPr>
        <w:t>p.m</w:t>
      </w:r>
      <w:proofErr w:type="spellEnd"/>
      <w:r w:rsidRPr="0092209D">
        <w:rPr>
          <w:rFonts w:ascii="Times New Roman" w:hAnsi="Times New Roman"/>
          <w:sz w:val="24"/>
          <w:szCs w:val="24"/>
        </w:rPr>
        <w:t xml:space="preserve">, and around 7:15 p.m., after her son set up the device, Ms. Flynn placed it on a glass-topped wicker table on the second-floor balcony and turned it on.  She went downstairs to prepare dinner for her family, and </w:t>
      </w:r>
      <w:proofErr w:type="spellStart"/>
      <w:r w:rsidRPr="0092209D">
        <w:rPr>
          <w:rFonts w:ascii="Times New Roman" w:hAnsi="Times New Roman"/>
          <w:sz w:val="24"/>
          <w:szCs w:val="24"/>
        </w:rPr>
        <w:t>aound</w:t>
      </w:r>
      <w:proofErr w:type="spellEnd"/>
      <w:r w:rsidRPr="0092209D">
        <w:rPr>
          <w:rFonts w:ascii="Times New Roman" w:hAnsi="Times New Roman"/>
          <w:sz w:val="24"/>
          <w:szCs w:val="24"/>
        </w:rPr>
        <w:t xml:space="preserve"> 8:00 p.m., someone saw flames or an orange glow outside. When she went to investigate, Ms. Flynn saw flames coming from the second-floor balcony. THE COURT HELD: “Mr. Dugan’s investigation and analysis easily satisfy </w:t>
      </w:r>
      <w:r w:rsidRPr="0092209D">
        <w:rPr>
          <w:rFonts w:ascii="Times New Roman" w:hAnsi="Times New Roman"/>
          <w:i/>
          <w:iCs/>
          <w:sz w:val="24"/>
          <w:szCs w:val="24"/>
        </w:rPr>
        <w:t>Daubert’s</w:t>
      </w:r>
      <w:r w:rsidRPr="0092209D">
        <w:rPr>
          <w:rFonts w:ascii="Times New Roman" w:hAnsi="Times New Roman"/>
          <w:sz w:val="24"/>
          <w:szCs w:val="24"/>
        </w:rPr>
        <w:t xml:space="preserve"> mandate that an expert employ a ‘sufficiently reliable’ methodology. His opinions are based on sufficient facts and data; he does not unjustifiably extrapolate his research to reach an unfounded conclusion; he considered—and ruled out—contradictory data (other known ignition sources); his analysis is based on objective data including burn patterns, weather, timing, and available </w:t>
      </w:r>
      <w:r w:rsidRPr="0092209D">
        <w:rPr>
          <w:rFonts w:ascii="Times New Roman" w:hAnsi="Times New Roman"/>
          <w:sz w:val="24"/>
          <w:szCs w:val="24"/>
        </w:rPr>
        <w:lastRenderedPageBreak/>
        <w:t>ignition sources, and Mr. Dugan is as careful as an expert would be in conducting professional work outside the context of paid litigation.”</w:t>
      </w:r>
      <w:r w:rsidR="00802D6B" w:rsidRPr="0092209D">
        <w:rPr>
          <w:rFonts w:ascii="Times New Roman" w:hAnsi="Times New Roman"/>
          <w:sz w:val="24"/>
          <w:szCs w:val="24"/>
        </w:rPr>
        <w:t xml:space="preserve"> </w:t>
      </w:r>
      <w:hyperlink r:id="rId68" w:history="1">
        <w:r w:rsidR="0092209D" w:rsidRPr="0092209D">
          <w:rPr>
            <w:rStyle w:val="Hyperlink"/>
            <w:rFonts w:ascii="Times New Roman" w:hAnsi="Times New Roman"/>
            <w:sz w:val="24"/>
            <w:szCs w:val="24"/>
          </w:rPr>
          <w:t>https://ecf.flmd.uscourts.gov/cgi-bin/show_public_doc?2023-01890-113-6-cv</w:t>
        </w:r>
      </w:hyperlink>
    </w:p>
    <w:p w14:paraId="223F1C1E" w14:textId="655FA1E5" w:rsidR="0092209D" w:rsidRPr="0092209D" w:rsidRDefault="0092209D" w:rsidP="0092209D">
      <w:pPr>
        <w:pStyle w:val="NoSpacing"/>
        <w:rPr>
          <w:rFonts w:ascii="Times New Roman" w:hAnsi="Times New Roman"/>
          <w:b/>
          <w:sz w:val="24"/>
          <w:szCs w:val="24"/>
        </w:rPr>
      </w:pPr>
      <w:r w:rsidRPr="0092209D">
        <w:rPr>
          <w:rFonts w:ascii="Times New Roman" w:hAnsi="Times New Roman"/>
          <w:b/>
          <w:sz w:val="24"/>
          <w:szCs w:val="24"/>
        </w:rPr>
        <w:t xml:space="preserve">Lesson learned:  The expert followed NFPA 921, Guide for Fire and Explosions Investigations. </w:t>
      </w:r>
    </w:p>
    <w:p w14:paraId="6A267A05" w14:textId="77777777" w:rsidR="0092209D" w:rsidRPr="0092209D" w:rsidRDefault="0092209D" w:rsidP="0092209D">
      <w:pPr>
        <w:pStyle w:val="NoSpacing"/>
        <w:rPr>
          <w:rFonts w:ascii="Times New Roman" w:hAnsi="Times New Roman"/>
          <w:b/>
          <w:sz w:val="24"/>
          <w:szCs w:val="24"/>
        </w:rPr>
      </w:pPr>
    </w:p>
    <w:p w14:paraId="61240AD3" w14:textId="77777777" w:rsidR="0092209D" w:rsidRPr="0092209D" w:rsidRDefault="0092209D" w:rsidP="0092209D">
      <w:pPr>
        <w:pStyle w:val="NoSpacing"/>
        <w:ind w:left="720"/>
        <w:rPr>
          <w:rFonts w:ascii="Times New Roman" w:hAnsi="Times New Roman"/>
          <w:bCs/>
          <w:sz w:val="24"/>
          <w:szCs w:val="24"/>
        </w:rPr>
      </w:pPr>
      <w:r w:rsidRPr="0092209D">
        <w:rPr>
          <w:rFonts w:ascii="Times New Roman" w:hAnsi="Times New Roman"/>
          <w:sz w:val="24"/>
          <w:szCs w:val="24"/>
        </w:rPr>
        <w:t xml:space="preserve">Note: See the U.S. Supreme Court decision in </w:t>
      </w:r>
      <w:r w:rsidRPr="0092209D">
        <w:rPr>
          <w:rFonts w:ascii="Times New Roman" w:hAnsi="Times New Roman"/>
          <w:sz w:val="24"/>
          <w:szCs w:val="24"/>
          <w:u w:val="single"/>
        </w:rPr>
        <w:t>Daubert v. Merrell Dow Pharmaceuticals, Inc.,</w:t>
      </w:r>
      <w:r w:rsidRPr="0092209D">
        <w:rPr>
          <w:rFonts w:ascii="Times New Roman" w:hAnsi="Times New Roman"/>
          <w:sz w:val="24"/>
          <w:szCs w:val="24"/>
        </w:rPr>
        <w:t xml:space="preserve"> 509 U.S. 579 (1993); </w:t>
      </w:r>
      <w:hyperlink r:id="rId69" w:history="1">
        <w:r w:rsidRPr="0092209D">
          <w:rPr>
            <w:rStyle w:val="Hyperlink"/>
            <w:rFonts w:ascii="Times New Roman" w:hAnsi="Times New Roman"/>
            <w:sz w:val="24"/>
            <w:szCs w:val="24"/>
          </w:rPr>
          <w:t>https://supreme.justia.com/cases/federal/us/509/579/</w:t>
        </w:r>
      </w:hyperlink>
      <w:r w:rsidRPr="0092209D">
        <w:rPr>
          <w:rFonts w:ascii="Times New Roman" w:hAnsi="Times New Roman"/>
          <w:sz w:val="24"/>
          <w:szCs w:val="24"/>
        </w:rPr>
        <w:t xml:space="preserve"> </w:t>
      </w:r>
    </w:p>
    <w:p w14:paraId="3EC027E7" w14:textId="77777777" w:rsidR="0092209D" w:rsidRPr="0092209D" w:rsidRDefault="0092209D" w:rsidP="0092209D">
      <w:pPr>
        <w:pStyle w:val="NoSpacing"/>
        <w:ind w:left="720"/>
        <w:rPr>
          <w:rFonts w:ascii="Times New Roman" w:hAnsi="Times New Roman"/>
          <w:sz w:val="24"/>
          <w:szCs w:val="24"/>
        </w:rPr>
      </w:pPr>
      <w:r w:rsidRPr="0092209D">
        <w:rPr>
          <w:rFonts w:ascii="Times New Roman" w:hAnsi="Times New Roman"/>
          <w:sz w:val="24"/>
          <w:szCs w:val="24"/>
        </w:rPr>
        <w:t>“An expert may testify about scientific knowledge that assists the jury in understanding the evidence or determining a fact in issue in the case. Factors that a judge should consider include whether the theory or technique in question can be and has been tested, whether it has been subjected to peer review and publication, its known or potential error rate, the existence and maintenance of standards controlling its operation, and whether it is widely accepted in the relevant scientific community.</w:t>
      </w:r>
    </w:p>
    <w:p w14:paraId="6CC7AE4B" w14:textId="77777777" w:rsidR="0092209D" w:rsidRDefault="0092209D" w:rsidP="0092209D">
      <w:pPr>
        <w:rPr>
          <w:b/>
        </w:rPr>
      </w:pPr>
    </w:p>
    <w:p w14:paraId="478F877B" w14:textId="7D91A566" w:rsidR="0092209D" w:rsidRPr="00E24913" w:rsidRDefault="00E24913" w:rsidP="00421D18">
      <w:pPr>
        <w:rPr>
          <w:rFonts w:ascii="Arial Black" w:hAnsi="Arial Black"/>
          <w:bCs/>
          <w:sz w:val="24"/>
          <w:szCs w:val="24"/>
        </w:rPr>
      </w:pPr>
      <w:r w:rsidRPr="00E24913">
        <w:rPr>
          <w:rFonts w:ascii="Arial Black" w:hAnsi="Arial Black"/>
          <w:bCs/>
          <w:sz w:val="24"/>
          <w:szCs w:val="24"/>
        </w:rPr>
        <w:t>1-187</w:t>
      </w:r>
    </w:p>
    <w:p w14:paraId="1D12AF6F" w14:textId="77777777" w:rsidR="009A7014" w:rsidRDefault="009A7014" w:rsidP="009A7014">
      <w:pPr>
        <w:pStyle w:val="NoSpacing"/>
        <w:rPr>
          <w:rFonts w:ascii="Arial Black" w:hAnsi="Arial Black"/>
          <w:sz w:val="28"/>
          <w:szCs w:val="28"/>
        </w:rPr>
      </w:pPr>
      <w:r>
        <w:rPr>
          <w:rFonts w:ascii="Arial Black" w:hAnsi="Arial Black"/>
          <w:sz w:val="28"/>
          <w:szCs w:val="28"/>
        </w:rPr>
        <w:t>IL: COMMERCIAL / MULTI-FAMILY ALARMS - DIRECT TO 911</w:t>
      </w:r>
    </w:p>
    <w:p w14:paraId="70E0EA98" w14:textId="77777777" w:rsidR="009A7014" w:rsidRDefault="009A7014" w:rsidP="009A7014">
      <w:pPr>
        <w:pStyle w:val="NoSpacing"/>
        <w:rPr>
          <w:rFonts w:ascii="Arial Black" w:hAnsi="Arial Black"/>
          <w:sz w:val="28"/>
          <w:szCs w:val="28"/>
        </w:rPr>
      </w:pPr>
    </w:p>
    <w:p w14:paraId="7F94CF0A" w14:textId="77777777" w:rsidR="009A7014" w:rsidRPr="008712E6" w:rsidRDefault="009A7014" w:rsidP="009A7014">
      <w:pPr>
        <w:pStyle w:val="NoSpacing"/>
        <w:rPr>
          <w:rFonts w:ascii="Times New Roman" w:hAnsi="Times New Roman"/>
          <w:sz w:val="24"/>
          <w:szCs w:val="24"/>
        </w:rPr>
      </w:pPr>
      <w:r w:rsidRPr="008712E6">
        <w:rPr>
          <w:rFonts w:ascii="Times New Roman" w:hAnsi="Times New Roman"/>
          <w:sz w:val="24"/>
          <w:szCs w:val="24"/>
        </w:rPr>
        <w:t xml:space="preserve">On July 22, 2025, in </w:t>
      </w:r>
      <w:r w:rsidRPr="008712E6">
        <w:rPr>
          <w:rFonts w:ascii="Times New Roman" w:hAnsi="Times New Roman"/>
          <w:sz w:val="24"/>
          <w:szCs w:val="24"/>
          <w:u w:val="single"/>
        </w:rPr>
        <w:t>Alarm Detection Systems, Inc, et al. v. Village of Schaumburg</w:t>
      </w:r>
      <w:r w:rsidRPr="008712E6">
        <w:rPr>
          <w:rFonts w:ascii="Times New Roman" w:hAnsi="Times New Roman"/>
          <w:sz w:val="24"/>
          <w:szCs w:val="24"/>
        </w:rPr>
        <w:t>, the United States Court of Appeals for 7</w:t>
      </w:r>
      <w:r w:rsidRPr="008712E6">
        <w:rPr>
          <w:rFonts w:ascii="Times New Roman" w:hAnsi="Times New Roman"/>
          <w:sz w:val="24"/>
          <w:szCs w:val="24"/>
          <w:vertAlign w:val="superscript"/>
        </w:rPr>
        <w:t>th</w:t>
      </w:r>
      <w:r w:rsidRPr="008712E6">
        <w:rPr>
          <w:rFonts w:ascii="Times New Roman" w:hAnsi="Times New Roman"/>
          <w:sz w:val="24"/>
          <w:szCs w:val="24"/>
        </w:rPr>
        <w:t xml:space="preserve"> Circuit (Chicago) held (3 to 0) that the Village had right to change alarm code ordinance in 2016, requiring by August 31, 2019 that all multi-family dwellings and commercial establishments to install system reporting directly to 911 dispatch, instead of to an alarm company center. Four alarm companies sued, claiming loss of 250 customers, since the only direct reporting system was owned by Tyco/Johnson Controls which had a contract with the Northwest Central Dispatch System.   Trial court dismissed the lawsuit since no proof customers breached their </w:t>
      </w:r>
      <w:proofErr w:type="gramStart"/>
      <w:r w:rsidRPr="008712E6">
        <w:rPr>
          <w:rFonts w:ascii="Times New Roman" w:hAnsi="Times New Roman"/>
          <w:sz w:val="24"/>
          <w:szCs w:val="24"/>
        </w:rPr>
        <w:t>contracts,</w:t>
      </w:r>
      <w:proofErr w:type="gramEnd"/>
      <w:r w:rsidRPr="008712E6">
        <w:rPr>
          <w:rFonts w:ascii="Times New Roman" w:hAnsi="Times New Roman"/>
          <w:sz w:val="24"/>
          <w:szCs w:val="24"/>
        </w:rPr>
        <w:t xml:space="preserve"> they merely didn’t renew with the four companies. THE COURT HELD:  “The Alarm Companies appealed, and we reversed in part, holding that they had stated a Contracts Clause claim. Alarm Detection Sys., Inc. v. Vill. of Schaumburg (“Alarm </w:t>
      </w:r>
      <w:proofErr w:type="spellStart"/>
      <w:r w:rsidRPr="008712E6">
        <w:rPr>
          <w:rFonts w:ascii="Times New Roman" w:hAnsi="Times New Roman"/>
          <w:sz w:val="24"/>
          <w:szCs w:val="24"/>
        </w:rPr>
        <w:t>Detec</w:t>
      </w:r>
      <w:proofErr w:type="spellEnd"/>
      <w:r w:rsidRPr="008712E6">
        <w:rPr>
          <w:rFonts w:ascii="Times New Roman" w:hAnsi="Times New Roman"/>
          <w:sz w:val="24"/>
          <w:szCs w:val="24"/>
        </w:rPr>
        <w:t>-</w:t>
      </w:r>
    </w:p>
    <w:p w14:paraId="0AD79C5C" w14:textId="77777777" w:rsidR="009A7014" w:rsidRPr="008712E6" w:rsidRDefault="009A7014" w:rsidP="009A7014">
      <w:pPr>
        <w:pStyle w:val="NoSpacing"/>
        <w:rPr>
          <w:rFonts w:ascii="Times New Roman" w:hAnsi="Times New Roman"/>
          <w:sz w:val="24"/>
          <w:szCs w:val="24"/>
        </w:rPr>
      </w:pPr>
      <w:proofErr w:type="spellStart"/>
      <w:r w:rsidRPr="008712E6">
        <w:rPr>
          <w:rFonts w:ascii="Times New Roman" w:hAnsi="Times New Roman"/>
          <w:sz w:val="24"/>
          <w:szCs w:val="24"/>
        </w:rPr>
        <w:t>tion</w:t>
      </w:r>
      <w:proofErr w:type="spellEnd"/>
      <w:r w:rsidRPr="008712E6">
        <w:rPr>
          <w:rFonts w:ascii="Times New Roman" w:hAnsi="Times New Roman"/>
          <w:sz w:val="24"/>
          <w:szCs w:val="24"/>
        </w:rPr>
        <w:t xml:space="preserve"> I”), 930 F.3d 812, 823–24 (7th Cir. 2019). We cautioned, however, that to ultimately prevail, the Alarm Companies would need to show the Ordinance caused their customers to prematurely cancel existing contracts, not just decline to renew them. See id. The district court granted the Village’s motion in a thorough written opinion. It </w:t>
      </w:r>
      <w:proofErr w:type="gramStart"/>
      <w:r w:rsidRPr="008712E6">
        <w:rPr>
          <w:rFonts w:ascii="Times New Roman" w:hAnsi="Times New Roman"/>
          <w:sz w:val="24"/>
          <w:szCs w:val="24"/>
        </w:rPr>
        <w:t>reasoned</w:t>
      </w:r>
      <w:proofErr w:type="gramEnd"/>
      <w:r w:rsidRPr="008712E6">
        <w:rPr>
          <w:rFonts w:ascii="Times New Roman" w:hAnsi="Times New Roman"/>
          <w:sz w:val="24"/>
          <w:szCs w:val="24"/>
        </w:rPr>
        <w:t xml:space="preserve"> that the Alarm Companies had offered no admissible evidence substantiating their claim that the Ordinance caused customers to breach contracts with them. *** They do not reveal which customers breached, when they breached, how the companies were notified of the breaches, or the reasons given for the breaches—all information a reasonable jury would need to understand how the Alarm Companies reached their conclusion that breaches occurred. Without any of this basic information, the Alarm Companies’ bare allegations are too conclusory to carry their burden at summary judgment.”  </w:t>
      </w:r>
      <w:hyperlink r:id="rId70" w:history="1">
        <w:r w:rsidRPr="008712E6">
          <w:rPr>
            <w:rStyle w:val="Hyperlink"/>
            <w:rFonts w:ascii="Times New Roman" w:hAnsi="Times New Roman"/>
            <w:sz w:val="24"/>
            <w:szCs w:val="24"/>
          </w:rPr>
          <w:t>https://cases.justia.com/federal/appellate-courts/ca7/24-3163/24-3163-2025-07-22.pdf?ts=1753214416</w:t>
        </w:r>
      </w:hyperlink>
      <w:r w:rsidRPr="008712E6">
        <w:rPr>
          <w:rFonts w:ascii="Times New Roman" w:hAnsi="Times New Roman"/>
          <w:sz w:val="24"/>
          <w:szCs w:val="24"/>
        </w:rPr>
        <w:t xml:space="preserve"> </w:t>
      </w:r>
    </w:p>
    <w:p w14:paraId="7DC559A3" w14:textId="77777777" w:rsidR="008712E6" w:rsidRPr="008712E6" w:rsidRDefault="008712E6" w:rsidP="008712E6">
      <w:pPr>
        <w:pStyle w:val="NoSpacing"/>
        <w:rPr>
          <w:rFonts w:ascii="Times New Roman" w:hAnsi="Times New Roman"/>
          <w:b/>
          <w:sz w:val="24"/>
          <w:szCs w:val="24"/>
        </w:rPr>
      </w:pPr>
    </w:p>
    <w:p w14:paraId="27CE7D9F" w14:textId="389F37D3" w:rsidR="008712E6" w:rsidRPr="008712E6" w:rsidRDefault="008712E6" w:rsidP="008712E6">
      <w:pPr>
        <w:pStyle w:val="NoSpacing"/>
        <w:rPr>
          <w:rFonts w:ascii="Times New Roman" w:hAnsi="Times New Roman"/>
          <w:b/>
          <w:bCs/>
          <w:sz w:val="24"/>
          <w:szCs w:val="24"/>
        </w:rPr>
      </w:pPr>
      <w:r w:rsidRPr="008712E6">
        <w:rPr>
          <w:rFonts w:ascii="Times New Roman" w:hAnsi="Times New Roman"/>
          <w:b/>
          <w:sz w:val="24"/>
          <w:szCs w:val="24"/>
        </w:rPr>
        <w:t xml:space="preserve">Lesson learned: Public safety prevails over alarm company’s loss of profits. </w:t>
      </w:r>
    </w:p>
    <w:p w14:paraId="37B5F662" w14:textId="77777777" w:rsidR="008712E6" w:rsidRDefault="008712E6" w:rsidP="008712E6">
      <w:pPr>
        <w:pStyle w:val="NoSpacing"/>
        <w:rPr>
          <w:bCs/>
        </w:rPr>
      </w:pPr>
    </w:p>
    <w:p w14:paraId="6C79F0AB" w14:textId="77777777" w:rsidR="009A7014" w:rsidRPr="00421D18" w:rsidRDefault="009A7014" w:rsidP="00421D18">
      <w:pPr>
        <w:rPr>
          <w:bCs/>
          <w:sz w:val="24"/>
          <w:szCs w:val="24"/>
        </w:rPr>
      </w:pPr>
    </w:p>
    <w:p w14:paraId="05797B85" w14:textId="69B543CB" w:rsidR="00421D18" w:rsidRDefault="00E24913" w:rsidP="007B08FB">
      <w:pPr>
        <w:pStyle w:val="NoSpacing"/>
        <w:rPr>
          <w:rFonts w:ascii="Arial Black" w:hAnsi="Arial Black"/>
          <w:sz w:val="24"/>
          <w:szCs w:val="24"/>
        </w:rPr>
      </w:pPr>
      <w:r>
        <w:rPr>
          <w:rFonts w:ascii="Arial Black" w:hAnsi="Arial Black"/>
          <w:sz w:val="24"/>
          <w:szCs w:val="24"/>
        </w:rPr>
        <w:t>1-186</w:t>
      </w:r>
    </w:p>
    <w:p w14:paraId="388DEDE0" w14:textId="77777777" w:rsidR="00E24913" w:rsidRDefault="00E24913" w:rsidP="007B08FB">
      <w:pPr>
        <w:pStyle w:val="NoSpacing"/>
        <w:rPr>
          <w:rFonts w:ascii="Arial Black" w:hAnsi="Arial Black"/>
          <w:sz w:val="24"/>
          <w:szCs w:val="24"/>
        </w:rPr>
      </w:pPr>
    </w:p>
    <w:p w14:paraId="514C6E56" w14:textId="77777777" w:rsidR="000A7B66" w:rsidRPr="0013391C" w:rsidRDefault="000A7B66" w:rsidP="000A7B66">
      <w:pPr>
        <w:pStyle w:val="NoSpacing"/>
        <w:rPr>
          <w:rFonts w:ascii="Arial Black" w:hAnsi="Arial Black"/>
          <w:sz w:val="28"/>
          <w:szCs w:val="28"/>
        </w:rPr>
      </w:pPr>
      <w:r>
        <w:rPr>
          <w:rFonts w:ascii="Arial Black" w:hAnsi="Arial Black"/>
          <w:sz w:val="28"/>
          <w:szCs w:val="28"/>
        </w:rPr>
        <w:t>TX: CITY DEMOLISHED HOUSE W/O NOTICE – 1-YR FIRE</w:t>
      </w:r>
    </w:p>
    <w:p w14:paraId="7C31CC41" w14:textId="77777777" w:rsidR="000A7B66" w:rsidRDefault="000A7B66" w:rsidP="000A7B66">
      <w:pPr>
        <w:pStyle w:val="NoSpacing"/>
      </w:pPr>
    </w:p>
    <w:p w14:paraId="0FC8C5A9" w14:textId="1D75D2DA" w:rsidR="00421D18" w:rsidRPr="00CC7E4B" w:rsidRDefault="000A7B66" w:rsidP="000A7B66">
      <w:pPr>
        <w:pStyle w:val="NoSpacing"/>
        <w:rPr>
          <w:rFonts w:ascii="Times New Roman" w:hAnsi="Times New Roman"/>
          <w:sz w:val="24"/>
          <w:szCs w:val="24"/>
        </w:rPr>
      </w:pPr>
      <w:r w:rsidRPr="00CC7E4B">
        <w:rPr>
          <w:rFonts w:ascii="Times New Roman" w:hAnsi="Times New Roman"/>
          <w:sz w:val="24"/>
          <w:szCs w:val="24"/>
        </w:rPr>
        <w:t xml:space="preserve">On July 18, 2025, in Michael Ramirez v. City of Texas City, U.S. District Court Judge Jeffrey Vincent Brown, United States District Court for Southern District of Texas (Galveston), after a one-day bench trial, held that while City violated property owner’s due process rights on failing to notify him that the house will be demolished, the owner is only entitled to $1 in nominal damages, and nothing for rehab materials in the house, </w:t>
      </w:r>
      <w:r w:rsidRPr="00CC7E4B">
        <w:rPr>
          <w:rFonts w:ascii="Times New Roman" w:hAnsi="Times New Roman"/>
          <w:sz w:val="24"/>
          <w:szCs w:val="24"/>
        </w:rPr>
        <w:lastRenderedPageBreak/>
        <w:t xml:space="preserve">and no attorney fees, since the house was not rehabbed for over a year.  The electrical fire was on April 10, 2022, with substantial damage; on April 13th, 2022, the city sent him  a Notice of Substandard Structure and of Abatement; Ramirez retained Michael Gaertner, a licensed architect, to help him obtain a permit to begin property </w:t>
      </w:r>
      <w:proofErr w:type="gramStart"/>
      <w:r w:rsidRPr="00CC7E4B">
        <w:rPr>
          <w:rFonts w:ascii="Times New Roman" w:hAnsi="Times New Roman"/>
          <w:sz w:val="24"/>
          <w:szCs w:val="24"/>
        </w:rPr>
        <w:t>renovations, but</w:t>
      </w:r>
      <w:proofErr w:type="gramEnd"/>
      <w:r w:rsidRPr="00CC7E4B">
        <w:rPr>
          <w:rFonts w:ascii="Times New Roman" w:hAnsi="Times New Roman"/>
          <w:sz w:val="24"/>
          <w:szCs w:val="24"/>
        </w:rPr>
        <w:t xml:space="preserve"> failed to provide a report from a structural engineer. Couple of break-ins; The damaged property languished without repair for about a year until its demolition on or around May 9th, 2023. THE COURT HELD: “Based on the fact findings and legal conclusions set forth above, the court concludes that although Ramirez’s fire-damaged home was ‘substandard’ and a public nuisance, it was not a clear and imminent danger that justified Texas City’s emergency demolition actions. Because Ramirez was not afforded an opportunity to be heard, the city deprived him of due process. Ramirez is therefore awarded $1 in nominal damages. Each party shall bear his or its own attorney’s fees and costs.”  </w:t>
      </w:r>
      <w:hyperlink r:id="rId71" w:history="1">
        <w:r w:rsidRPr="00CC7E4B">
          <w:rPr>
            <w:rStyle w:val="Hyperlink"/>
            <w:rFonts w:ascii="Times New Roman" w:hAnsi="Times New Roman"/>
            <w:sz w:val="24"/>
            <w:szCs w:val="24"/>
          </w:rPr>
          <w:t>https://cases.justia.com/federal/district-courts/texas/txsdce/3:2023cv00356/1939756/67/0.pdf?ts=1752929790</w:t>
        </w:r>
      </w:hyperlink>
    </w:p>
    <w:p w14:paraId="391533BB" w14:textId="77777777" w:rsidR="00421D18" w:rsidRPr="00CC7E4B" w:rsidRDefault="00421D18" w:rsidP="007B08FB">
      <w:pPr>
        <w:pStyle w:val="NoSpacing"/>
        <w:rPr>
          <w:rFonts w:ascii="Times New Roman" w:hAnsi="Times New Roman"/>
          <w:sz w:val="24"/>
          <w:szCs w:val="24"/>
        </w:rPr>
      </w:pPr>
    </w:p>
    <w:p w14:paraId="253B9104" w14:textId="77777777" w:rsidR="00CC7E4B" w:rsidRPr="00CC7E4B" w:rsidRDefault="00CC7E4B" w:rsidP="00CC7E4B">
      <w:pPr>
        <w:pStyle w:val="NoSpacing"/>
        <w:rPr>
          <w:rFonts w:ascii="Times New Roman" w:hAnsi="Times New Roman"/>
          <w:b/>
          <w:bCs/>
          <w:sz w:val="24"/>
          <w:szCs w:val="24"/>
        </w:rPr>
      </w:pPr>
      <w:r w:rsidRPr="00CC7E4B">
        <w:rPr>
          <w:rFonts w:ascii="Times New Roman" w:hAnsi="Times New Roman"/>
          <w:b/>
          <w:sz w:val="24"/>
          <w:szCs w:val="24"/>
        </w:rPr>
        <w:t xml:space="preserve">Legal lesson learned:  Give property owner written notice of plan to demolish.  While the City only </w:t>
      </w:r>
      <w:proofErr w:type="gramStart"/>
      <w:r w:rsidRPr="00CC7E4B">
        <w:rPr>
          <w:rFonts w:ascii="Times New Roman" w:hAnsi="Times New Roman"/>
          <w:b/>
          <w:sz w:val="24"/>
          <w:szCs w:val="24"/>
        </w:rPr>
        <w:t>has to</w:t>
      </w:r>
      <w:proofErr w:type="gramEnd"/>
      <w:r w:rsidRPr="00CC7E4B">
        <w:rPr>
          <w:rFonts w:ascii="Times New Roman" w:hAnsi="Times New Roman"/>
          <w:b/>
          <w:sz w:val="24"/>
          <w:szCs w:val="24"/>
        </w:rPr>
        <w:t xml:space="preserve"> pay property owner $1, the City has had to incur legal expenses simply because it failed to give notice of planned demolition. </w:t>
      </w:r>
    </w:p>
    <w:p w14:paraId="793718DF" w14:textId="77777777" w:rsidR="00CC7E4B" w:rsidRDefault="00CC7E4B" w:rsidP="00CC7E4B">
      <w:pPr>
        <w:pStyle w:val="NoSpacing"/>
      </w:pPr>
    </w:p>
    <w:p w14:paraId="52B6299A" w14:textId="77777777" w:rsidR="00E24913" w:rsidRDefault="00E24913" w:rsidP="007B08FB">
      <w:pPr>
        <w:pStyle w:val="NoSpacing"/>
        <w:rPr>
          <w:rFonts w:ascii="Arial Black" w:hAnsi="Arial Black"/>
          <w:sz w:val="24"/>
          <w:szCs w:val="24"/>
        </w:rPr>
      </w:pPr>
    </w:p>
    <w:p w14:paraId="10218354" w14:textId="74CF6081" w:rsidR="00421D18" w:rsidRDefault="00E24913" w:rsidP="007B08FB">
      <w:pPr>
        <w:pStyle w:val="NoSpacing"/>
        <w:rPr>
          <w:rFonts w:ascii="Arial Black" w:hAnsi="Arial Black"/>
          <w:sz w:val="24"/>
          <w:szCs w:val="24"/>
        </w:rPr>
      </w:pPr>
      <w:r>
        <w:rPr>
          <w:rFonts w:ascii="Arial Black" w:hAnsi="Arial Black"/>
          <w:sz w:val="24"/>
          <w:szCs w:val="24"/>
        </w:rPr>
        <w:t>1-185</w:t>
      </w:r>
    </w:p>
    <w:p w14:paraId="2FB81A72" w14:textId="77777777" w:rsidR="00DC77F7" w:rsidRDefault="00DC77F7" w:rsidP="007B08FB">
      <w:pPr>
        <w:pStyle w:val="NoSpacing"/>
        <w:rPr>
          <w:rFonts w:ascii="Arial Black" w:hAnsi="Arial Black"/>
          <w:sz w:val="24"/>
          <w:szCs w:val="24"/>
        </w:rPr>
      </w:pPr>
    </w:p>
    <w:p w14:paraId="1F95A636" w14:textId="77777777" w:rsidR="0094602E" w:rsidRDefault="0094602E" w:rsidP="0094602E">
      <w:pPr>
        <w:rPr>
          <w:rFonts w:ascii="Arial Black" w:hAnsi="Arial Black"/>
          <w:bCs/>
          <w:sz w:val="28"/>
          <w:szCs w:val="28"/>
        </w:rPr>
      </w:pPr>
      <w:r>
        <w:rPr>
          <w:rFonts w:ascii="Arial Black" w:hAnsi="Arial Black"/>
          <w:sz w:val="28"/>
          <w:szCs w:val="28"/>
        </w:rPr>
        <w:t xml:space="preserve">LA: WIRE FRAUD – LIED TO INSUR. CO. – FIRE “ELECTRICAL” </w:t>
      </w:r>
    </w:p>
    <w:p w14:paraId="4B162E4C" w14:textId="77777777" w:rsidR="0094602E" w:rsidRPr="00C27853" w:rsidRDefault="0094602E" w:rsidP="0094602E">
      <w:pPr>
        <w:pStyle w:val="NoSpacing"/>
        <w:rPr>
          <w:rFonts w:ascii="Times New Roman" w:hAnsi="Times New Roman"/>
          <w:bCs/>
          <w:sz w:val="24"/>
          <w:szCs w:val="24"/>
        </w:rPr>
      </w:pPr>
      <w:r w:rsidRPr="00C27853">
        <w:rPr>
          <w:rFonts w:ascii="Times New Roman" w:hAnsi="Times New Roman"/>
          <w:sz w:val="24"/>
          <w:szCs w:val="24"/>
        </w:rPr>
        <w:t xml:space="preserve">On July 15, 2025, in </w:t>
      </w:r>
      <w:r w:rsidRPr="00C27853">
        <w:rPr>
          <w:rFonts w:ascii="Times New Roman" w:hAnsi="Times New Roman"/>
          <w:sz w:val="24"/>
          <w:szCs w:val="24"/>
          <w:u w:val="single"/>
        </w:rPr>
        <w:t>United States of America v. Saleem Yousef Dabit</w:t>
      </w:r>
      <w:r w:rsidRPr="00C27853">
        <w:rPr>
          <w:rFonts w:ascii="Times New Roman" w:hAnsi="Times New Roman"/>
          <w:sz w:val="24"/>
          <w:szCs w:val="24"/>
        </w:rPr>
        <w:t>, the 5</w:t>
      </w:r>
      <w:r w:rsidRPr="00C27853">
        <w:rPr>
          <w:rFonts w:ascii="Times New Roman" w:hAnsi="Times New Roman"/>
          <w:sz w:val="24"/>
          <w:szCs w:val="24"/>
          <w:vertAlign w:val="superscript"/>
        </w:rPr>
        <w:t>th</w:t>
      </w:r>
      <w:r w:rsidRPr="00C27853">
        <w:rPr>
          <w:rFonts w:ascii="Times New Roman" w:hAnsi="Times New Roman"/>
          <w:sz w:val="24"/>
          <w:szCs w:val="24"/>
        </w:rPr>
        <w:t xml:space="preserve"> Circuit United States Court of Appeals (New Orleans) held (3 to 0) that a jury properly convicted the owner of wire fraud involving insurance claim for Jan. 1, </w:t>
      </w:r>
      <w:proofErr w:type="gramStart"/>
      <w:r w:rsidRPr="00C27853">
        <w:rPr>
          <w:rFonts w:ascii="Times New Roman" w:hAnsi="Times New Roman"/>
          <w:sz w:val="24"/>
          <w:szCs w:val="24"/>
        </w:rPr>
        <w:t>2019</w:t>
      </w:r>
      <w:proofErr w:type="gramEnd"/>
      <w:r w:rsidRPr="00C27853">
        <w:rPr>
          <w:rFonts w:ascii="Times New Roman" w:hAnsi="Times New Roman"/>
          <w:sz w:val="24"/>
          <w:szCs w:val="24"/>
        </w:rPr>
        <w:t xml:space="preserve"> fire at a warehouse - Sam's Men's Fashions.  Dabit was indicted on (1) one count of use of fire to commit a felony (gasoline from at least 15 containers, which resulted in a massive fuel-air explosion), (2) one count of use of fire to maliciously damage property, and (3) one count of wire fraud on Hanover Insurance Company (falsely told insurance company that fire investigators said it was electrical).   The jury found him not guilty of first two </w:t>
      </w:r>
      <w:proofErr w:type="gramStart"/>
      <w:r w:rsidRPr="00C27853">
        <w:rPr>
          <w:rFonts w:ascii="Times New Roman" w:hAnsi="Times New Roman"/>
          <w:sz w:val="24"/>
          <w:szCs w:val="24"/>
        </w:rPr>
        <w:t>counts</w:t>
      </w:r>
      <w:proofErr w:type="gramEnd"/>
      <w:r w:rsidRPr="00C27853">
        <w:rPr>
          <w:rFonts w:ascii="Times New Roman" w:hAnsi="Times New Roman"/>
          <w:sz w:val="24"/>
          <w:szCs w:val="24"/>
        </w:rPr>
        <w:t xml:space="preserve">.  On July 25, </w:t>
      </w:r>
      <w:proofErr w:type="gramStart"/>
      <w:r w:rsidRPr="00C27853">
        <w:rPr>
          <w:rFonts w:ascii="Times New Roman" w:hAnsi="Times New Roman"/>
          <w:sz w:val="24"/>
          <w:szCs w:val="24"/>
        </w:rPr>
        <w:t>2024</w:t>
      </w:r>
      <w:proofErr w:type="gramEnd"/>
      <w:r w:rsidRPr="00C27853">
        <w:rPr>
          <w:rFonts w:ascii="Times New Roman" w:hAnsi="Times New Roman"/>
          <w:sz w:val="24"/>
          <w:szCs w:val="24"/>
        </w:rPr>
        <w:t xml:space="preserve"> he was sentenced to 12 months and one day in jail; and on Aug. 26, </w:t>
      </w:r>
      <w:proofErr w:type="gramStart"/>
      <w:r w:rsidRPr="00C27853">
        <w:rPr>
          <w:rFonts w:ascii="Times New Roman" w:hAnsi="Times New Roman"/>
          <w:sz w:val="24"/>
          <w:szCs w:val="24"/>
        </w:rPr>
        <w:t>2024</w:t>
      </w:r>
      <w:proofErr w:type="gramEnd"/>
      <w:r w:rsidRPr="00C27853">
        <w:rPr>
          <w:rFonts w:ascii="Times New Roman" w:hAnsi="Times New Roman"/>
          <w:sz w:val="24"/>
          <w:szCs w:val="24"/>
        </w:rPr>
        <w:t xml:space="preserve"> the trial court judge denied his motion for release pending appeal. </w:t>
      </w:r>
      <w:hyperlink r:id="rId72" w:history="1">
        <w:r w:rsidRPr="00C27853">
          <w:rPr>
            <w:rStyle w:val="Hyperlink"/>
            <w:rFonts w:ascii="Times New Roman" w:hAnsi="Times New Roman"/>
            <w:sz w:val="24"/>
            <w:szCs w:val="24"/>
          </w:rPr>
          <w:t>https://www.casemine.com/judgement/us/66cea7f23f1f7c7a89e60871</w:t>
        </w:r>
      </w:hyperlink>
      <w:r w:rsidRPr="00C27853">
        <w:rPr>
          <w:rFonts w:ascii="Times New Roman" w:hAnsi="Times New Roman"/>
          <w:sz w:val="24"/>
          <w:szCs w:val="24"/>
        </w:rPr>
        <w:t xml:space="preserve"> . THE 5</w:t>
      </w:r>
      <w:r w:rsidRPr="00C27853">
        <w:rPr>
          <w:rFonts w:ascii="Times New Roman" w:hAnsi="Times New Roman"/>
          <w:sz w:val="24"/>
          <w:szCs w:val="24"/>
          <w:vertAlign w:val="superscript"/>
        </w:rPr>
        <w:t>th</w:t>
      </w:r>
      <w:r w:rsidRPr="00C27853">
        <w:rPr>
          <w:rFonts w:ascii="Times New Roman" w:hAnsi="Times New Roman"/>
          <w:sz w:val="24"/>
          <w:szCs w:val="24"/>
        </w:rPr>
        <w:t xml:space="preserve"> CIRCUIT HELD:  “Here, a rational jury could have found beyond a reasonable doubt that Dabit, with specific intent to defraud, engaged in a scheme to defraud the Hanover Insurance Company using wire communications…. Even if there was insufficient evidence that Dabit set fire to the warehouse, there was sufficient evidence that Dabit lied to Hanover when he said that firefighters told him the fire was probably electrical. Multiple firefighters and certified fire investigators testified that no firefighter or investigator told Dabit that. And we are not entitled to second-guess any credibility determinations the jury might have made in this </w:t>
      </w:r>
      <w:proofErr w:type="gramStart"/>
      <w:r w:rsidRPr="00C27853">
        <w:rPr>
          <w:rFonts w:ascii="Times New Roman" w:hAnsi="Times New Roman"/>
          <w:sz w:val="24"/>
          <w:szCs w:val="24"/>
        </w:rPr>
        <w:t>respect.”</w:t>
      </w:r>
      <w:proofErr w:type="gramEnd"/>
      <w:r w:rsidRPr="00C27853">
        <w:rPr>
          <w:rFonts w:ascii="Times New Roman" w:hAnsi="Times New Roman"/>
          <w:sz w:val="24"/>
          <w:szCs w:val="24"/>
        </w:rPr>
        <w:t xml:space="preserve"> </w:t>
      </w:r>
      <w:hyperlink r:id="rId73" w:history="1">
        <w:r w:rsidRPr="00C27853">
          <w:rPr>
            <w:rStyle w:val="Hyperlink"/>
            <w:rFonts w:ascii="Times New Roman" w:hAnsi="Times New Roman"/>
            <w:sz w:val="24"/>
            <w:szCs w:val="24"/>
          </w:rPr>
          <w:t>https://www.ca5.uscourts.gov/opinions/unpub/24/24-30496.0.pdf</w:t>
        </w:r>
      </w:hyperlink>
      <w:r w:rsidRPr="00C27853">
        <w:rPr>
          <w:rFonts w:ascii="Times New Roman" w:hAnsi="Times New Roman"/>
          <w:sz w:val="24"/>
          <w:szCs w:val="24"/>
        </w:rPr>
        <w:t xml:space="preserve"> </w:t>
      </w:r>
    </w:p>
    <w:p w14:paraId="2CFAFACB" w14:textId="77777777" w:rsidR="0094602E" w:rsidRPr="00C27853" w:rsidRDefault="0094602E" w:rsidP="0094602E">
      <w:pPr>
        <w:pStyle w:val="NoSpacing"/>
        <w:rPr>
          <w:rFonts w:ascii="Times New Roman" w:hAnsi="Times New Roman"/>
          <w:bCs/>
          <w:sz w:val="24"/>
          <w:szCs w:val="24"/>
        </w:rPr>
      </w:pPr>
    </w:p>
    <w:p w14:paraId="4C0026CA" w14:textId="77777777" w:rsidR="00C27853" w:rsidRPr="00C27853" w:rsidRDefault="00C27853" w:rsidP="00C27853">
      <w:pPr>
        <w:pStyle w:val="NoSpacing"/>
        <w:rPr>
          <w:rFonts w:ascii="Times New Roman" w:hAnsi="Times New Roman"/>
          <w:b/>
          <w:bCs/>
          <w:sz w:val="24"/>
          <w:szCs w:val="24"/>
        </w:rPr>
      </w:pPr>
      <w:r w:rsidRPr="00C27853">
        <w:rPr>
          <w:rFonts w:ascii="Times New Roman" w:hAnsi="Times New Roman"/>
          <w:b/>
          <w:sz w:val="24"/>
          <w:szCs w:val="24"/>
        </w:rPr>
        <w:t xml:space="preserve">Legal lesson learned:  Jury found him guilty of scheme to defraud insurance company, even if it did not find him guilty of arson. </w:t>
      </w:r>
    </w:p>
    <w:p w14:paraId="3CDCEE6C" w14:textId="77777777" w:rsidR="00C27853" w:rsidRPr="00C27853" w:rsidRDefault="00C27853" w:rsidP="00C27853">
      <w:pPr>
        <w:pStyle w:val="NoSpacing"/>
        <w:rPr>
          <w:rFonts w:ascii="Times New Roman" w:hAnsi="Times New Roman"/>
          <w:b/>
          <w:bCs/>
          <w:sz w:val="24"/>
          <w:szCs w:val="24"/>
        </w:rPr>
      </w:pPr>
    </w:p>
    <w:p w14:paraId="2CF885C4" w14:textId="02B37350" w:rsidR="00DC77F7" w:rsidRPr="00C27853" w:rsidRDefault="00C27853" w:rsidP="00C27853">
      <w:pPr>
        <w:pStyle w:val="NoSpacing"/>
        <w:ind w:left="720"/>
        <w:rPr>
          <w:rFonts w:ascii="Times New Roman" w:hAnsi="Times New Roman"/>
          <w:sz w:val="24"/>
          <w:szCs w:val="24"/>
        </w:rPr>
      </w:pPr>
      <w:r w:rsidRPr="00C27853">
        <w:rPr>
          <w:rFonts w:ascii="Times New Roman" w:hAnsi="Times New Roman"/>
          <w:sz w:val="24"/>
          <w:szCs w:val="24"/>
        </w:rPr>
        <w:t xml:space="preserve">Note: See Nov. 14, </w:t>
      </w:r>
      <w:proofErr w:type="gramStart"/>
      <w:r w:rsidRPr="00C27853">
        <w:rPr>
          <w:rFonts w:ascii="Times New Roman" w:hAnsi="Times New Roman"/>
          <w:sz w:val="24"/>
          <w:szCs w:val="24"/>
        </w:rPr>
        <w:t>2009</w:t>
      </w:r>
      <w:proofErr w:type="gramEnd"/>
      <w:r w:rsidRPr="00C27853">
        <w:rPr>
          <w:rFonts w:ascii="Times New Roman" w:hAnsi="Times New Roman"/>
          <w:sz w:val="24"/>
          <w:szCs w:val="24"/>
        </w:rPr>
        <w:t xml:space="preserve"> U.S Department of Justice Press Release, “Baton Rouge Man Indicted for Use of Fire to Commit a Felony, Use of Fire to Maliciously Damage Property, and Wire Fraud.” </w:t>
      </w:r>
      <w:hyperlink r:id="rId74" w:history="1">
        <w:r w:rsidRPr="00C27853">
          <w:rPr>
            <w:rStyle w:val="Hyperlink"/>
            <w:rFonts w:ascii="Times New Roman" w:hAnsi="Times New Roman"/>
            <w:sz w:val="24"/>
            <w:szCs w:val="24"/>
          </w:rPr>
          <w:t>https://www.justice.gov/usao-mdla/pr/baton-rouge-man-indicted-use-fire-commit-felony-use-fire-maliciously-damage-property</w:t>
        </w:r>
      </w:hyperlink>
    </w:p>
    <w:p w14:paraId="3D4A31ED" w14:textId="77777777" w:rsidR="00DC77F7" w:rsidRDefault="00DC77F7" w:rsidP="007B08FB">
      <w:pPr>
        <w:pStyle w:val="NoSpacing"/>
        <w:rPr>
          <w:rFonts w:ascii="Arial Black" w:hAnsi="Arial Black"/>
          <w:sz w:val="24"/>
          <w:szCs w:val="24"/>
        </w:rPr>
      </w:pPr>
    </w:p>
    <w:p w14:paraId="1C5D3D9D" w14:textId="77777777" w:rsidR="00DC77F7" w:rsidRDefault="00DC77F7" w:rsidP="007B08FB">
      <w:pPr>
        <w:pStyle w:val="NoSpacing"/>
        <w:rPr>
          <w:rFonts w:ascii="Arial Black" w:hAnsi="Arial Black"/>
          <w:sz w:val="24"/>
          <w:szCs w:val="24"/>
        </w:rPr>
      </w:pPr>
    </w:p>
    <w:p w14:paraId="0A696785" w14:textId="626A2012" w:rsidR="007B08FB" w:rsidRDefault="007B08FB" w:rsidP="007B08FB">
      <w:pPr>
        <w:pStyle w:val="NoSpacing"/>
        <w:rPr>
          <w:rFonts w:ascii="Arial Black" w:hAnsi="Arial Black"/>
          <w:sz w:val="24"/>
          <w:szCs w:val="24"/>
        </w:rPr>
      </w:pPr>
      <w:r>
        <w:rPr>
          <w:rFonts w:ascii="Arial Black" w:hAnsi="Arial Black"/>
          <w:sz w:val="24"/>
          <w:szCs w:val="24"/>
        </w:rPr>
        <w:t>1-184</w:t>
      </w:r>
    </w:p>
    <w:p w14:paraId="7F89048C" w14:textId="77777777" w:rsidR="00324C50" w:rsidRDefault="00324C50" w:rsidP="00B86628">
      <w:pPr>
        <w:pStyle w:val="NoSpacing"/>
        <w:rPr>
          <w:rFonts w:ascii="Arial Black" w:hAnsi="Arial Black"/>
          <w:sz w:val="24"/>
          <w:szCs w:val="24"/>
        </w:rPr>
      </w:pPr>
    </w:p>
    <w:p w14:paraId="6F3F1666" w14:textId="77777777" w:rsidR="00324C50" w:rsidRPr="00B50751" w:rsidRDefault="00324C50" w:rsidP="00324C50">
      <w:pPr>
        <w:rPr>
          <w:rFonts w:ascii="Arial Black" w:hAnsi="Arial Black"/>
          <w:b/>
          <w:sz w:val="28"/>
          <w:szCs w:val="28"/>
        </w:rPr>
      </w:pPr>
      <w:r>
        <w:rPr>
          <w:rFonts w:ascii="Arial Black" w:hAnsi="Arial Black"/>
          <w:b/>
          <w:sz w:val="28"/>
          <w:szCs w:val="28"/>
        </w:rPr>
        <w:lastRenderedPageBreak/>
        <w:t>GA:  FIRE MARSHAL – ARRESTED 2 / FIRE EXTIGUISHER CO.</w:t>
      </w:r>
    </w:p>
    <w:p w14:paraId="49709C47" w14:textId="624B27C9" w:rsidR="00324C50" w:rsidRDefault="00324C50" w:rsidP="00324C50">
      <w:pPr>
        <w:pStyle w:val="NoSpacing"/>
        <w:rPr>
          <w:rFonts w:ascii="Times New Roman" w:hAnsi="Times New Roman"/>
          <w:sz w:val="24"/>
          <w:szCs w:val="24"/>
        </w:rPr>
      </w:pPr>
      <w:r w:rsidRPr="00324C50">
        <w:rPr>
          <w:rFonts w:ascii="Times New Roman" w:hAnsi="Times New Roman"/>
          <w:sz w:val="24"/>
          <w:szCs w:val="24"/>
        </w:rPr>
        <w:t xml:space="preserve">On June 26, 2025, in </w:t>
      </w:r>
      <w:r w:rsidRPr="00324C50">
        <w:rPr>
          <w:rFonts w:ascii="Times New Roman" w:hAnsi="Times New Roman"/>
          <w:sz w:val="24"/>
          <w:szCs w:val="24"/>
          <w:u w:val="single"/>
        </w:rPr>
        <w:t>Karen Diane Wynn Lyle and Lyle Mobile Fire Protection, LLC v. Jerry D. Heath, Jr., individually and in his capacity as Fire Marshal of the City of Hinesville, and the City of Hinesville</w:t>
      </w:r>
      <w:r w:rsidRPr="00324C50">
        <w:rPr>
          <w:rFonts w:ascii="Times New Roman" w:hAnsi="Times New Roman"/>
          <w:sz w:val="24"/>
          <w:szCs w:val="24"/>
        </w:rPr>
        <w:t xml:space="preserve">, the Court of Appeals of Georgia, Third Division, reversed the dismissal of this lawsuit on the basis of governmental immunity, and ordered that pre-trial discovery proceed in this civil lawsuit for malicious prosecution, false arrest, defamation, slander per se, and tortious interference with a business relationship.  Karen Lyle is an elementary school </w:t>
      </w:r>
      <w:proofErr w:type="gramStart"/>
      <w:r w:rsidRPr="00324C50">
        <w:rPr>
          <w:rFonts w:ascii="Times New Roman" w:hAnsi="Times New Roman"/>
          <w:sz w:val="24"/>
          <w:szCs w:val="24"/>
        </w:rPr>
        <w:t>teacher, and</w:t>
      </w:r>
      <w:proofErr w:type="gramEnd"/>
      <w:r w:rsidRPr="00324C50">
        <w:rPr>
          <w:rFonts w:ascii="Times New Roman" w:hAnsi="Times New Roman"/>
          <w:sz w:val="24"/>
          <w:szCs w:val="24"/>
        </w:rPr>
        <w:t xml:space="preserve"> also worked as a bookkeeper for her late husband (died in 2019), who founded the fire extinguisher company.  Starting in </w:t>
      </w:r>
      <w:proofErr w:type="gramStart"/>
      <w:r w:rsidRPr="00324C50">
        <w:rPr>
          <w:rFonts w:ascii="Times New Roman" w:hAnsi="Times New Roman"/>
          <w:sz w:val="24"/>
          <w:szCs w:val="24"/>
        </w:rPr>
        <w:t>September,</w:t>
      </w:r>
      <w:proofErr w:type="gramEnd"/>
      <w:r w:rsidRPr="00324C50">
        <w:rPr>
          <w:rFonts w:ascii="Times New Roman" w:hAnsi="Times New Roman"/>
          <w:sz w:val="24"/>
          <w:szCs w:val="24"/>
        </w:rPr>
        <w:t xml:space="preserve"> 2020, Fire Marshal Heath contacted Shane Taylor with the Enforcement Division of the Insurance and Fire Safety Commissioner's Office regarding LMFP and certain improperly tagged fire extinguishers; Mr. Taylor then spoke with both Karen Lyle and employee John Mann about state regulations.  [TWO ARRESTS.]  On May 4, 2012, the Fire Marshall arrested Ms. Lyle while teaching at her elementary school; and on May 7, 202 he arrested John Mann for “impersonating a fireman” and “failing to abide by fire extinguisher and suppression systems regulations.” On Jan. 26, 2023, all charges were dropped.  THE COURT HELD:  “We therefore vacate the order and remand to more fully develop the factual record, not only as to Heath's status as a municipal or state actor, but also as to the full investigation, which will bear on the remaining questions as to whether the City or Heath are protected by sovereign or official immunity (or whether the Georgia Tort Claims Act applied), and whether Heath acted with malice and its effect on the application of immunity in this case. Thus, we decline the City's request to apply the sovereign immunity analysis </w:t>
      </w:r>
      <w:proofErr w:type="gramStart"/>
      <w:r w:rsidRPr="00324C50">
        <w:rPr>
          <w:rFonts w:ascii="Times New Roman" w:hAnsi="Times New Roman"/>
          <w:sz w:val="24"/>
          <w:szCs w:val="24"/>
        </w:rPr>
        <w:t>at this time</w:t>
      </w:r>
      <w:proofErr w:type="gramEnd"/>
      <w:r w:rsidRPr="00324C50">
        <w:rPr>
          <w:rFonts w:ascii="Times New Roman" w:hAnsi="Times New Roman"/>
          <w:sz w:val="24"/>
          <w:szCs w:val="24"/>
        </w:rPr>
        <w:t xml:space="preserve">.” </w:t>
      </w:r>
      <w:hyperlink r:id="rId75" w:history="1">
        <w:r w:rsidRPr="00324C50">
          <w:rPr>
            <w:rStyle w:val="Hyperlink"/>
            <w:rFonts w:ascii="Times New Roman" w:hAnsi="Times New Roman"/>
            <w:sz w:val="24"/>
            <w:szCs w:val="24"/>
          </w:rPr>
          <w:t>https://caselaw.findlaw.com/court/ga-court-of-appeals/117421566.html</w:t>
        </w:r>
      </w:hyperlink>
    </w:p>
    <w:p w14:paraId="0B17BA8D" w14:textId="77777777" w:rsidR="00E02F60" w:rsidRDefault="00E02F60" w:rsidP="00324C50">
      <w:pPr>
        <w:pStyle w:val="NoSpacing"/>
        <w:rPr>
          <w:rFonts w:ascii="Times New Roman" w:hAnsi="Times New Roman"/>
          <w:sz w:val="24"/>
          <w:szCs w:val="24"/>
        </w:rPr>
      </w:pPr>
    </w:p>
    <w:p w14:paraId="31B199F2" w14:textId="77777777" w:rsidR="00E02F60" w:rsidRPr="00E02F60" w:rsidRDefault="00E02F60" w:rsidP="00E02F60">
      <w:pPr>
        <w:rPr>
          <w:rFonts w:ascii="Times New Roman" w:hAnsi="Times New Roman"/>
          <w:b/>
          <w:bCs/>
          <w:sz w:val="24"/>
          <w:szCs w:val="24"/>
        </w:rPr>
      </w:pPr>
      <w:r w:rsidRPr="00E02F60">
        <w:rPr>
          <w:rFonts w:ascii="Times New Roman" w:hAnsi="Times New Roman"/>
          <w:b/>
          <w:sz w:val="24"/>
          <w:szCs w:val="24"/>
        </w:rPr>
        <w:t xml:space="preserve">Legal lesson learned: Very strange set of facts; there must be “more to this story.”  Pre-trial discovery will now proceed. </w:t>
      </w:r>
    </w:p>
    <w:p w14:paraId="1AAE8545" w14:textId="77777777" w:rsidR="00465650" w:rsidRDefault="00465650" w:rsidP="006F7F26">
      <w:pPr>
        <w:rPr>
          <w:rFonts w:ascii="Arial Black" w:hAnsi="Arial Black"/>
          <w:b/>
          <w:sz w:val="28"/>
          <w:szCs w:val="28"/>
        </w:rPr>
      </w:pPr>
    </w:p>
    <w:p w14:paraId="2ADC53AD" w14:textId="5EBA81C3" w:rsidR="00465650" w:rsidRDefault="00465650" w:rsidP="00465650">
      <w:pPr>
        <w:pStyle w:val="NoSpacing"/>
        <w:rPr>
          <w:rFonts w:ascii="Arial Black" w:hAnsi="Arial Black"/>
          <w:sz w:val="24"/>
          <w:szCs w:val="24"/>
        </w:rPr>
      </w:pPr>
      <w:r>
        <w:rPr>
          <w:rFonts w:ascii="Arial Black" w:hAnsi="Arial Black"/>
          <w:sz w:val="24"/>
          <w:szCs w:val="24"/>
        </w:rPr>
        <w:t>1-183</w:t>
      </w:r>
    </w:p>
    <w:p w14:paraId="09472BD6" w14:textId="77777777" w:rsidR="007B08FB" w:rsidRDefault="007B08FB" w:rsidP="00465650">
      <w:pPr>
        <w:pStyle w:val="NoSpacing"/>
        <w:rPr>
          <w:rFonts w:ascii="Arial Black" w:hAnsi="Arial Black"/>
          <w:b/>
          <w:sz w:val="28"/>
          <w:szCs w:val="28"/>
        </w:rPr>
      </w:pPr>
    </w:p>
    <w:p w14:paraId="1A9635FD" w14:textId="282B9413" w:rsidR="006F7F26" w:rsidRPr="004310F3" w:rsidRDefault="006F7F26" w:rsidP="006F7F26">
      <w:pPr>
        <w:rPr>
          <w:rFonts w:ascii="Arial Black" w:hAnsi="Arial Black"/>
          <w:b/>
          <w:sz w:val="28"/>
          <w:szCs w:val="28"/>
        </w:rPr>
      </w:pPr>
      <w:r>
        <w:rPr>
          <w:rFonts w:ascii="Arial Black" w:hAnsi="Arial Black"/>
          <w:b/>
          <w:sz w:val="28"/>
          <w:szCs w:val="28"/>
        </w:rPr>
        <w:t>FL: APT FIRE / DEATH – PUNITIVE DAMAGES FOR CODE VIOL</w:t>
      </w:r>
    </w:p>
    <w:p w14:paraId="0FA1F611" w14:textId="77777777" w:rsidR="006F7F26" w:rsidRPr="00C30ADD" w:rsidRDefault="006F7F26" w:rsidP="006F7F26">
      <w:pPr>
        <w:pStyle w:val="NoSpacing"/>
        <w:rPr>
          <w:rFonts w:ascii="Times New Roman" w:hAnsi="Times New Roman"/>
          <w:sz w:val="24"/>
          <w:szCs w:val="24"/>
        </w:rPr>
      </w:pPr>
      <w:r w:rsidRPr="00C30ADD">
        <w:rPr>
          <w:rFonts w:ascii="Times New Roman" w:hAnsi="Times New Roman"/>
          <w:sz w:val="24"/>
          <w:szCs w:val="24"/>
        </w:rPr>
        <w:t xml:space="preserve">On June 18, 2025, in  </w:t>
      </w:r>
      <w:proofErr w:type="spellStart"/>
      <w:r w:rsidRPr="00C30ADD">
        <w:rPr>
          <w:rFonts w:ascii="Times New Roman" w:hAnsi="Times New Roman"/>
          <w:sz w:val="24"/>
          <w:szCs w:val="24"/>
          <w:u w:val="single"/>
        </w:rPr>
        <w:t>Menada</w:t>
      </w:r>
      <w:proofErr w:type="spellEnd"/>
      <w:r w:rsidRPr="00C30ADD">
        <w:rPr>
          <w:rFonts w:ascii="Times New Roman" w:hAnsi="Times New Roman"/>
          <w:sz w:val="24"/>
          <w:szCs w:val="24"/>
          <w:u w:val="single"/>
        </w:rPr>
        <w:t>, Inc., et al. v. Gabriela Arevalo</w:t>
      </w:r>
      <w:r w:rsidRPr="00C30ADD">
        <w:rPr>
          <w:rFonts w:ascii="Times New Roman" w:hAnsi="Times New Roman"/>
          <w:sz w:val="24"/>
          <w:szCs w:val="24"/>
        </w:rPr>
        <w:t>. The Florida Court of Appeals, Third District, held (3 to 0) that family of the adult, blind son who did on the 15</w:t>
      </w:r>
      <w:r w:rsidRPr="00C30ADD">
        <w:rPr>
          <w:rFonts w:ascii="Times New Roman" w:hAnsi="Times New Roman"/>
          <w:sz w:val="24"/>
          <w:szCs w:val="24"/>
          <w:vertAlign w:val="superscript"/>
        </w:rPr>
        <w:t>th</w:t>
      </w:r>
      <w:r w:rsidRPr="00C30ADD">
        <w:rPr>
          <w:rFonts w:ascii="Times New Roman" w:hAnsi="Times New Roman"/>
          <w:sz w:val="24"/>
          <w:szCs w:val="24"/>
        </w:rPr>
        <w:t xml:space="preserve"> floor of the building with numerous prior code violations by City of Miami Beach, may file a lawsuit seeking punitive damages.  City of Miami Beach “Special Master” had previously determined the 15</w:t>
      </w:r>
      <w:r w:rsidRPr="00C30ADD">
        <w:rPr>
          <w:rFonts w:ascii="Times New Roman" w:hAnsi="Times New Roman"/>
          <w:sz w:val="24"/>
          <w:szCs w:val="24"/>
          <w:vertAlign w:val="superscript"/>
        </w:rPr>
        <w:t>th</w:t>
      </w:r>
      <w:r w:rsidRPr="00C30ADD">
        <w:rPr>
          <w:rFonts w:ascii="Times New Roman" w:hAnsi="Times New Roman"/>
          <w:sz w:val="24"/>
          <w:szCs w:val="24"/>
        </w:rPr>
        <w:t xml:space="preserve"> floor to be unsafe and prohibited any tenants on that floor. The hotel / apartment building had been fined $6.5 million for fire related violations, including the imposition of a daily fine of $1,000.00 for each day of noncompliance starting from April 1, 2018.  THE COURT HELD: “The trial court concluded that Arevalo satisfied the punitive damages pleading standard set forth in section 768.72(1), Florida Statutes (2024), which requires ‘a reasonable showing by evidence in the record or proffered by the claimant which would provide a reasonable basis for recovery of such damages.’ We agree and therefore affirm.” </w:t>
      </w:r>
      <w:hyperlink r:id="rId76" w:history="1">
        <w:r w:rsidRPr="00C30ADD">
          <w:rPr>
            <w:rStyle w:val="Hyperlink"/>
            <w:rFonts w:ascii="Times New Roman" w:hAnsi="Times New Roman"/>
            <w:sz w:val="24"/>
            <w:szCs w:val="24"/>
          </w:rPr>
          <w:t>https://cases.justia.com/florida/third-district-court-of-appeal/2025-3d23-1625.pdf?ts=1750259354</w:t>
        </w:r>
      </w:hyperlink>
      <w:r w:rsidRPr="00C30ADD">
        <w:rPr>
          <w:rFonts w:ascii="Times New Roman" w:hAnsi="Times New Roman"/>
          <w:sz w:val="24"/>
          <w:szCs w:val="24"/>
        </w:rPr>
        <w:t xml:space="preserve"> </w:t>
      </w:r>
    </w:p>
    <w:p w14:paraId="5369A4C5" w14:textId="77777777" w:rsidR="006F7F26" w:rsidRPr="00C30ADD" w:rsidRDefault="006F7F26" w:rsidP="006F7F26">
      <w:pPr>
        <w:pStyle w:val="NoSpacing"/>
        <w:ind w:left="720"/>
        <w:rPr>
          <w:rFonts w:ascii="Times New Roman" w:hAnsi="Times New Roman"/>
          <w:sz w:val="24"/>
          <w:szCs w:val="24"/>
        </w:rPr>
      </w:pPr>
    </w:p>
    <w:p w14:paraId="614F065A" w14:textId="77777777" w:rsidR="00C30ADD" w:rsidRPr="00C30ADD" w:rsidRDefault="00C30ADD" w:rsidP="00C30ADD">
      <w:pPr>
        <w:pStyle w:val="NoSpacing"/>
        <w:rPr>
          <w:rFonts w:ascii="Times New Roman" w:hAnsi="Times New Roman"/>
          <w:b/>
          <w:bCs/>
          <w:sz w:val="24"/>
          <w:szCs w:val="24"/>
        </w:rPr>
      </w:pPr>
      <w:r w:rsidRPr="00C30ADD">
        <w:rPr>
          <w:rFonts w:ascii="Times New Roman" w:hAnsi="Times New Roman"/>
          <w:b/>
          <w:sz w:val="24"/>
          <w:szCs w:val="24"/>
        </w:rPr>
        <w:t xml:space="preserve">Legal lesson learned: Tenant’s death, with fire code violations, will now proceed to a jury trial that could impose punitive damages.  Insurance does not cover punitive </w:t>
      </w:r>
      <w:proofErr w:type="gramStart"/>
      <w:r w:rsidRPr="00C30ADD">
        <w:rPr>
          <w:rFonts w:ascii="Times New Roman" w:hAnsi="Times New Roman"/>
          <w:b/>
          <w:sz w:val="24"/>
          <w:szCs w:val="24"/>
        </w:rPr>
        <w:t>damages</w:t>
      </w:r>
      <w:proofErr w:type="gramEnd"/>
      <w:r w:rsidRPr="00C30ADD">
        <w:rPr>
          <w:rFonts w:ascii="Times New Roman" w:hAnsi="Times New Roman"/>
          <w:b/>
          <w:sz w:val="24"/>
          <w:szCs w:val="24"/>
        </w:rPr>
        <w:t xml:space="preserve"> in Florida, which is </w:t>
      </w:r>
      <w:proofErr w:type="gramStart"/>
      <w:r w:rsidRPr="00C30ADD">
        <w:rPr>
          <w:rFonts w:ascii="Times New Roman" w:hAnsi="Times New Roman"/>
          <w:b/>
          <w:sz w:val="24"/>
          <w:szCs w:val="24"/>
        </w:rPr>
        <w:t>similar to</w:t>
      </w:r>
      <w:proofErr w:type="gramEnd"/>
      <w:r w:rsidRPr="00C30ADD">
        <w:rPr>
          <w:rFonts w:ascii="Times New Roman" w:hAnsi="Times New Roman"/>
          <w:b/>
          <w:sz w:val="24"/>
          <w:szCs w:val="24"/>
        </w:rPr>
        <w:t xml:space="preserve"> many states.  </w:t>
      </w:r>
    </w:p>
    <w:p w14:paraId="2FB385F6" w14:textId="77777777" w:rsidR="00C30ADD" w:rsidRPr="00C30ADD" w:rsidRDefault="00C30ADD" w:rsidP="00C30ADD">
      <w:pPr>
        <w:pStyle w:val="NoSpacing"/>
        <w:rPr>
          <w:rFonts w:ascii="Times New Roman" w:hAnsi="Times New Roman"/>
          <w:sz w:val="24"/>
          <w:szCs w:val="24"/>
        </w:rPr>
      </w:pPr>
    </w:p>
    <w:p w14:paraId="1526EAFD" w14:textId="34F33A36"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t xml:space="preserve">Note: See the Concurring Opinion by Judge Monic Gordo – </w:t>
      </w:r>
      <w:r>
        <w:rPr>
          <w:rFonts w:ascii="Times New Roman" w:hAnsi="Times New Roman"/>
          <w:sz w:val="24"/>
          <w:szCs w:val="24"/>
        </w:rPr>
        <w:t xml:space="preserve">Code violations </w:t>
      </w:r>
      <w:r w:rsidRPr="00C30ADD">
        <w:rPr>
          <w:rFonts w:ascii="Times New Roman" w:hAnsi="Times New Roman"/>
          <w:sz w:val="24"/>
          <w:szCs w:val="24"/>
        </w:rPr>
        <w:t xml:space="preserve">“SHOCK THE CONCIOUS.”  </w:t>
      </w:r>
    </w:p>
    <w:p w14:paraId="11119D5E" w14:textId="77777777" w:rsidR="00C30ADD" w:rsidRPr="00C30ADD" w:rsidRDefault="00C30ADD" w:rsidP="00C30ADD">
      <w:pPr>
        <w:pStyle w:val="NoSpacing"/>
        <w:ind w:firstLine="720"/>
        <w:rPr>
          <w:rFonts w:ascii="Times New Roman" w:hAnsi="Times New Roman"/>
          <w:sz w:val="24"/>
          <w:szCs w:val="24"/>
        </w:rPr>
      </w:pPr>
    </w:p>
    <w:p w14:paraId="6BCECE20" w14:textId="77777777"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t>“In my view, this case presents a perfect example of the kind of allegations that, if proven to be true, not only shock the conscience but are likely to merit punitive damages.</w:t>
      </w:r>
    </w:p>
    <w:p w14:paraId="77C69D8E" w14:textId="77777777" w:rsidR="00C30ADD" w:rsidRPr="00C30ADD" w:rsidRDefault="00C30ADD" w:rsidP="00C30ADD">
      <w:pPr>
        <w:pStyle w:val="NoSpacing"/>
        <w:ind w:firstLine="720"/>
        <w:rPr>
          <w:rFonts w:ascii="Times New Roman" w:hAnsi="Times New Roman"/>
          <w:sz w:val="24"/>
          <w:szCs w:val="24"/>
        </w:rPr>
      </w:pPr>
      <w:r w:rsidRPr="00C30ADD">
        <w:rPr>
          <w:rFonts w:ascii="Times New Roman" w:hAnsi="Times New Roman"/>
          <w:sz w:val="24"/>
          <w:szCs w:val="24"/>
        </w:rPr>
        <w:lastRenderedPageBreak/>
        <w:t>The proffer by the plaintiff in this case included evidence that the appellants:</w:t>
      </w:r>
    </w:p>
    <w:p w14:paraId="19973B36" w14:textId="77777777" w:rsidR="00C30ADD" w:rsidRPr="00C30ADD" w:rsidRDefault="00C30ADD" w:rsidP="00C30ADD">
      <w:pPr>
        <w:pStyle w:val="NoSpacing"/>
        <w:ind w:firstLine="720"/>
        <w:rPr>
          <w:rFonts w:ascii="Times New Roman" w:hAnsi="Times New Roman"/>
          <w:sz w:val="24"/>
          <w:szCs w:val="24"/>
        </w:rPr>
      </w:pPr>
    </w:p>
    <w:p w14:paraId="59C74C60" w14:textId="77777777"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t>• Engaged in fire safety violations that date back decades and which continued through the date of the subject fire resulting in repeated fines and reprimands from authorities;</w:t>
      </w:r>
    </w:p>
    <w:p w14:paraId="4DC9DCD6" w14:textId="77777777"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br/>
        <w:t xml:space="preserve">• Have been fined at least $6.5 million for fire related violations, including the imposition of a daily fine of $1,000.00 for each day of noncompliance starting from April 1, </w:t>
      </w:r>
      <w:proofErr w:type="gramStart"/>
      <w:r w:rsidRPr="00C30ADD">
        <w:rPr>
          <w:rFonts w:ascii="Times New Roman" w:hAnsi="Times New Roman"/>
          <w:sz w:val="24"/>
          <w:szCs w:val="24"/>
        </w:rPr>
        <w:t>2018</w:t>
      </w:r>
      <w:proofErr w:type="gramEnd"/>
      <w:r w:rsidRPr="00C30ADD">
        <w:rPr>
          <w:rFonts w:ascii="Times New Roman" w:hAnsi="Times New Roman"/>
          <w:sz w:val="24"/>
          <w:szCs w:val="24"/>
        </w:rPr>
        <w:t xml:space="preserve"> through the date of the subject fire;</w:t>
      </w:r>
    </w:p>
    <w:p w14:paraId="5429CF0A" w14:textId="77777777"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br/>
        <w:t>• Failed to meet their own submitted compliance deadlines and the City of Miami Beach’s compliance deadlines to install legally required sprinklers in all units on multiple floors, including the unit where the appellants moved the plaintiff and the decedent;</w:t>
      </w:r>
    </w:p>
    <w:p w14:paraId="62F88F8B" w14:textId="77777777"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br/>
        <w:t>• Implemented a life-threatening policy whereby security guards and employees were instructed and required to acknowledge and then silence fire alarms immediately upon them sounding;</w:t>
      </w:r>
    </w:p>
    <w:p w14:paraId="74A7AA53" w14:textId="77777777"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br/>
        <w:t xml:space="preserve">• </w:t>
      </w:r>
      <w:proofErr w:type="gramStart"/>
      <w:r w:rsidRPr="00C30ADD">
        <w:rPr>
          <w:rFonts w:ascii="Times New Roman" w:hAnsi="Times New Roman"/>
          <w:sz w:val="24"/>
          <w:szCs w:val="24"/>
        </w:rPr>
        <w:t>Specifically</w:t>
      </w:r>
      <w:proofErr w:type="gramEnd"/>
      <w:r w:rsidRPr="00C30ADD">
        <w:rPr>
          <w:rFonts w:ascii="Times New Roman" w:hAnsi="Times New Roman"/>
          <w:sz w:val="24"/>
          <w:szCs w:val="24"/>
        </w:rPr>
        <w:t xml:space="preserve"> and consciously placed the decedent, who was legally blind, in a unit on the fifteenth floor—a floor the City of Miami Beach Special Master had previously determined to be unsafe and on which the appellants were prohibited from placing tenants;</w:t>
      </w:r>
    </w:p>
    <w:p w14:paraId="5F3E2265" w14:textId="77777777"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br/>
        <w:t xml:space="preserve">• Specifically and consciously placed the decedent in a unit on the fifteenth floor which lacked, among other things: (1) fire sprinklers, (2) the minimum number of code-compliant smoke alarms and/or detectors, (3) code-compliant smoke alarms and/or detectors (the subject smoke detection device expired in 2005) and (4) adequately maintained standpipes which provide a water supply; and </w:t>
      </w:r>
    </w:p>
    <w:p w14:paraId="6DBA5A6D" w14:textId="77777777" w:rsidR="00C30ADD" w:rsidRPr="00C30ADD" w:rsidRDefault="00C30ADD" w:rsidP="00C30ADD">
      <w:pPr>
        <w:pStyle w:val="NoSpacing"/>
        <w:rPr>
          <w:rFonts w:ascii="Times New Roman" w:hAnsi="Times New Roman"/>
          <w:sz w:val="24"/>
          <w:szCs w:val="24"/>
        </w:rPr>
      </w:pPr>
    </w:p>
    <w:p w14:paraId="212BEA5B" w14:textId="77777777" w:rsidR="00C30ADD" w:rsidRPr="00C30ADD" w:rsidRDefault="00C30ADD" w:rsidP="00C30ADD">
      <w:pPr>
        <w:pStyle w:val="NoSpacing"/>
        <w:ind w:left="720"/>
        <w:rPr>
          <w:rFonts w:ascii="Times New Roman" w:hAnsi="Times New Roman"/>
          <w:sz w:val="24"/>
          <w:szCs w:val="24"/>
        </w:rPr>
      </w:pPr>
      <w:r w:rsidRPr="00C30ADD">
        <w:rPr>
          <w:rFonts w:ascii="Times New Roman" w:hAnsi="Times New Roman"/>
          <w:sz w:val="24"/>
          <w:szCs w:val="24"/>
        </w:rPr>
        <w:t xml:space="preserve">• Continued to conduct hotel operations in violation of applicable codes, laws and administrative orders.” </w:t>
      </w:r>
    </w:p>
    <w:p w14:paraId="2CCA681F" w14:textId="77777777" w:rsidR="00C30ADD" w:rsidRDefault="00C30ADD" w:rsidP="00C30ADD">
      <w:pPr>
        <w:pStyle w:val="NoSpacing"/>
      </w:pPr>
    </w:p>
    <w:p w14:paraId="6C09368A" w14:textId="77777777" w:rsidR="00C30ADD" w:rsidRDefault="00C30ADD" w:rsidP="00C30ADD">
      <w:pPr>
        <w:pStyle w:val="NoSpacing"/>
      </w:pPr>
    </w:p>
    <w:p w14:paraId="7A44850F" w14:textId="77777777" w:rsidR="00E02F60" w:rsidRPr="00324C50" w:rsidRDefault="00E02F60" w:rsidP="00324C50">
      <w:pPr>
        <w:pStyle w:val="NoSpacing"/>
        <w:rPr>
          <w:rFonts w:ascii="Times New Roman" w:hAnsi="Times New Roman"/>
          <w:sz w:val="24"/>
          <w:szCs w:val="24"/>
        </w:rPr>
      </w:pPr>
    </w:p>
    <w:p w14:paraId="22478134" w14:textId="77777777" w:rsidR="00324C50" w:rsidRDefault="00324C50" w:rsidP="00B86628">
      <w:pPr>
        <w:pStyle w:val="NoSpacing"/>
        <w:rPr>
          <w:rFonts w:ascii="Arial Black" w:hAnsi="Arial Black"/>
          <w:sz w:val="24"/>
          <w:szCs w:val="24"/>
        </w:rPr>
      </w:pPr>
    </w:p>
    <w:p w14:paraId="724B468E" w14:textId="77777777" w:rsidR="00324C50" w:rsidRDefault="00324C50" w:rsidP="00B86628">
      <w:pPr>
        <w:pStyle w:val="NoSpacing"/>
        <w:rPr>
          <w:rFonts w:ascii="Arial Black" w:hAnsi="Arial Black"/>
          <w:sz w:val="24"/>
          <w:szCs w:val="24"/>
        </w:rPr>
      </w:pPr>
    </w:p>
    <w:p w14:paraId="13841FA7" w14:textId="77777777" w:rsidR="00324C50" w:rsidRDefault="00324C50" w:rsidP="00B86628">
      <w:pPr>
        <w:pStyle w:val="NoSpacing"/>
        <w:rPr>
          <w:rFonts w:ascii="Arial Black" w:hAnsi="Arial Black"/>
          <w:sz w:val="24"/>
          <w:szCs w:val="24"/>
        </w:rPr>
      </w:pPr>
    </w:p>
    <w:p w14:paraId="10ABDE7C" w14:textId="77777777" w:rsidR="00324C50" w:rsidRDefault="00324C50" w:rsidP="00B86628">
      <w:pPr>
        <w:pStyle w:val="NoSpacing"/>
        <w:rPr>
          <w:rFonts w:ascii="Arial Black" w:hAnsi="Arial Black"/>
          <w:sz w:val="24"/>
          <w:szCs w:val="24"/>
        </w:rPr>
      </w:pPr>
    </w:p>
    <w:p w14:paraId="079366CF" w14:textId="4EBF0190" w:rsidR="00AC44B8" w:rsidRDefault="007A4EAE" w:rsidP="00B86628">
      <w:pPr>
        <w:pStyle w:val="NoSpacing"/>
        <w:rPr>
          <w:rFonts w:ascii="Arial Black" w:hAnsi="Arial Black"/>
          <w:sz w:val="24"/>
          <w:szCs w:val="24"/>
        </w:rPr>
      </w:pPr>
      <w:r>
        <w:rPr>
          <w:rFonts w:ascii="Arial Black" w:hAnsi="Arial Black"/>
          <w:sz w:val="24"/>
          <w:szCs w:val="24"/>
        </w:rPr>
        <w:t>1-182</w:t>
      </w:r>
    </w:p>
    <w:p w14:paraId="08D66F7C" w14:textId="77777777" w:rsidR="00261BA4" w:rsidRDefault="00261BA4" w:rsidP="00B86628">
      <w:pPr>
        <w:pStyle w:val="NoSpacing"/>
        <w:rPr>
          <w:rFonts w:ascii="Arial Black" w:hAnsi="Arial Black"/>
          <w:sz w:val="24"/>
          <w:szCs w:val="24"/>
        </w:rPr>
      </w:pPr>
    </w:p>
    <w:p w14:paraId="4B605433" w14:textId="77777777" w:rsidR="00261BA4" w:rsidRDefault="00261BA4" w:rsidP="00261BA4">
      <w:pPr>
        <w:pStyle w:val="NoSpacing"/>
        <w:rPr>
          <w:rFonts w:ascii="Arial Black" w:hAnsi="Arial Black"/>
          <w:bCs/>
          <w:sz w:val="28"/>
          <w:szCs w:val="28"/>
        </w:rPr>
      </w:pPr>
      <w:r>
        <w:rPr>
          <w:rFonts w:ascii="Arial Black" w:hAnsi="Arial Black"/>
          <w:sz w:val="28"/>
          <w:szCs w:val="28"/>
        </w:rPr>
        <w:t>OH: HOUSE DEMOL – NOTIFY OWNER UNLESS FD “EMERG”</w:t>
      </w:r>
    </w:p>
    <w:p w14:paraId="498AFA76" w14:textId="77777777" w:rsidR="00261BA4" w:rsidRDefault="00261BA4" w:rsidP="00261BA4">
      <w:pPr>
        <w:pStyle w:val="NoSpacing"/>
      </w:pPr>
    </w:p>
    <w:p w14:paraId="73B75F6D" w14:textId="77777777" w:rsidR="00261BA4" w:rsidRPr="00261BA4" w:rsidRDefault="00261BA4" w:rsidP="00261BA4">
      <w:pPr>
        <w:pStyle w:val="NoSpacing"/>
        <w:rPr>
          <w:rFonts w:ascii="Times New Roman" w:hAnsi="Times New Roman"/>
          <w:sz w:val="24"/>
          <w:szCs w:val="24"/>
        </w:rPr>
      </w:pPr>
      <w:r w:rsidRPr="00261BA4">
        <w:rPr>
          <w:rFonts w:ascii="Times New Roman" w:hAnsi="Times New Roman"/>
          <w:sz w:val="24"/>
          <w:szCs w:val="24"/>
        </w:rPr>
        <w:t xml:space="preserve">On May 23, 2025, in </w:t>
      </w:r>
      <w:r w:rsidRPr="00261BA4">
        <w:rPr>
          <w:rFonts w:ascii="Times New Roman" w:hAnsi="Times New Roman"/>
          <w:sz w:val="24"/>
          <w:szCs w:val="24"/>
          <w:u w:val="single"/>
        </w:rPr>
        <w:t>Matthew J. Nicholson v. City of Youngstown, Ohio et al</w:t>
      </w:r>
      <w:r w:rsidRPr="00261BA4">
        <w:rPr>
          <w:rFonts w:ascii="Times New Roman" w:hAnsi="Times New Roman"/>
          <w:sz w:val="24"/>
          <w:szCs w:val="24"/>
        </w:rPr>
        <w:t xml:space="preserve">, the Ohio Court of Appeals for Seventh District (Mahoning) held (3 to 0) that trial court improperly granted summary judgment to the City, since owner was never notified prior to the demolition.  Case returned to trial court; the </w:t>
      </w:r>
      <w:proofErr w:type="gramStart"/>
      <w:r w:rsidRPr="00261BA4">
        <w:rPr>
          <w:rFonts w:ascii="Times New Roman" w:hAnsi="Times New Roman"/>
          <w:sz w:val="24"/>
          <w:szCs w:val="24"/>
        </w:rPr>
        <w:t>City</w:t>
      </w:r>
      <w:proofErr w:type="gramEnd"/>
      <w:r w:rsidRPr="00261BA4">
        <w:rPr>
          <w:rFonts w:ascii="Times New Roman" w:hAnsi="Times New Roman"/>
          <w:sz w:val="24"/>
          <w:szCs w:val="24"/>
        </w:rPr>
        <w:t xml:space="preserve"> must file affidavit or other proof than “emergency” existed </w:t>
      </w:r>
      <w:proofErr w:type="gramStart"/>
      <w:r w:rsidRPr="00261BA4">
        <w:rPr>
          <w:rFonts w:ascii="Times New Roman" w:hAnsi="Times New Roman"/>
          <w:sz w:val="24"/>
          <w:szCs w:val="24"/>
        </w:rPr>
        <w:t>in order to</w:t>
      </w:r>
      <w:proofErr w:type="gramEnd"/>
      <w:r w:rsidRPr="00261BA4">
        <w:rPr>
          <w:rFonts w:ascii="Times New Roman" w:hAnsi="Times New Roman"/>
          <w:sz w:val="24"/>
          <w:szCs w:val="24"/>
        </w:rPr>
        <w:t xml:space="preserve"> collect $7,038.05 demolition charge.</w:t>
      </w:r>
    </w:p>
    <w:p w14:paraId="5CD4BB47" w14:textId="77777777" w:rsidR="00261BA4" w:rsidRPr="00261BA4" w:rsidRDefault="00261BA4" w:rsidP="00261BA4">
      <w:pPr>
        <w:pStyle w:val="NoSpacing"/>
        <w:rPr>
          <w:rFonts w:ascii="Times New Roman" w:hAnsi="Times New Roman"/>
          <w:sz w:val="24"/>
          <w:szCs w:val="24"/>
        </w:rPr>
      </w:pPr>
    </w:p>
    <w:p w14:paraId="6821752C" w14:textId="77777777" w:rsidR="00261BA4" w:rsidRPr="00261BA4" w:rsidRDefault="00261BA4" w:rsidP="00261BA4">
      <w:pPr>
        <w:pStyle w:val="NoSpacing"/>
        <w:rPr>
          <w:rFonts w:ascii="Times New Roman" w:hAnsi="Times New Roman"/>
          <w:sz w:val="24"/>
          <w:szCs w:val="24"/>
        </w:rPr>
      </w:pPr>
      <w:r w:rsidRPr="00261BA4">
        <w:rPr>
          <w:rFonts w:ascii="Times New Roman" w:hAnsi="Times New Roman"/>
          <w:sz w:val="24"/>
          <w:szCs w:val="24"/>
        </w:rPr>
        <w:t>The Court wrote:</w:t>
      </w:r>
    </w:p>
    <w:p w14:paraId="669905C7" w14:textId="77777777" w:rsidR="00261BA4" w:rsidRPr="00261BA4" w:rsidRDefault="00261BA4" w:rsidP="00261BA4">
      <w:pPr>
        <w:pStyle w:val="NoSpacing"/>
        <w:ind w:left="720"/>
        <w:rPr>
          <w:rFonts w:ascii="Times New Roman" w:hAnsi="Times New Roman"/>
          <w:sz w:val="24"/>
          <w:szCs w:val="24"/>
        </w:rPr>
      </w:pPr>
    </w:p>
    <w:p w14:paraId="2A745151" w14:textId="177F999C" w:rsidR="00261BA4" w:rsidRPr="00261BA4" w:rsidRDefault="00261BA4" w:rsidP="00261BA4">
      <w:pPr>
        <w:pStyle w:val="NoSpacing"/>
        <w:rPr>
          <w:rFonts w:ascii="Times New Roman" w:hAnsi="Times New Roman"/>
          <w:sz w:val="24"/>
          <w:szCs w:val="24"/>
        </w:rPr>
      </w:pPr>
      <w:r w:rsidRPr="00261BA4">
        <w:rPr>
          <w:rFonts w:ascii="Times New Roman" w:hAnsi="Times New Roman"/>
          <w:sz w:val="24"/>
          <w:szCs w:val="24"/>
        </w:rPr>
        <w:t xml:space="preserve">Appellees [City] admitted they knew or should have known that Appellant was the owner of the property. In their trial court documents they argued that prior notice was unnecessary because the Fire Chief declared that the house was a public health hazard, that it created an immediate threat to public health and safety, and as such, its condition constituted an emergency. They cited Youngstown Codified Ordinance 1525.01(c) that allows the Fire Chief to order the demolition of any unsafe structure in case of an emergency. They also cited Youngstown </w:t>
      </w:r>
      <w:r w:rsidRPr="00261BA4">
        <w:rPr>
          <w:rFonts w:ascii="Times New Roman" w:hAnsi="Times New Roman"/>
          <w:sz w:val="24"/>
          <w:szCs w:val="24"/>
        </w:rPr>
        <w:lastRenderedPageBreak/>
        <w:t xml:space="preserve">Codified Ordinance 1309.04, stating that emergency demolitions require no prior notice to the property owner. They submitted no evidence in support of the alleged emergency.” </w:t>
      </w:r>
      <w:hyperlink r:id="rId77" w:history="1">
        <w:r w:rsidRPr="00261BA4">
          <w:rPr>
            <w:rStyle w:val="Hyperlink"/>
            <w:rFonts w:ascii="Times New Roman" w:hAnsi="Times New Roman"/>
            <w:sz w:val="24"/>
            <w:szCs w:val="24"/>
          </w:rPr>
          <w:t>https://www.supremecourt.ohio.gov/rod/docs/pdf/7/2025/2025-Ohio-1915.pdf</w:t>
        </w:r>
      </w:hyperlink>
    </w:p>
    <w:p w14:paraId="5575F720" w14:textId="77777777" w:rsidR="00AC44B8" w:rsidRDefault="00AC44B8" w:rsidP="00B86628">
      <w:pPr>
        <w:pStyle w:val="NoSpacing"/>
        <w:rPr>
          <w:rFonts w:ascii="Times New Roman" w:hAnsi="Times New Roman"/>
          <w:sz w:val="24"/>
          <w:szCs w:val="24"/>
        </w:rPr>
      </w:pPr>
    </w:p>
    <w:p w14:paraId="0CD4C78B" w14:textId="121426E2" w:rsidR="007959FD" w:rsidRDefault="007959FD" w:rsidP="007959FD">
      <w:pPr>
        <w:pStyle w:val="NoSpacing"/>
        <w:rPr>
          <w:rFonts w:ascii="Times New Roman" w:hAnsi="Times New Roman"/>
          <w:b/>
          <w:sz w:val="24"/>
          <w:szCs w:val="24"/>
        </w:rPr>
      </w:pPr>
      <w:r w:rsidRPr="007959FD">
        <w:rPr>
          <w:rFonts w:ascii="Times New Roman" w:hAnsi="Times New Roman"/>
          <w:b/>
          <w:sz w:val="24"/>
          <w:szCs w:val="24"/>
        </w:rPr>
        <w:t xml:space="preserve">Legal Lesson Learned: Unless a true emergency exists, </w:t>
      </w:r>
      <w:r w:rsidRPr="007959FD">
        <w:rPr>
          <w:rFonts w:ascii="Times New Roman" w:hAnsi="Times New Roman"/>
          <w:b/>
          <w:bCs/>
          <w:sz w:val="24"/>
          <w:szCs w:val="24"/>
        </w:rPr>
        <w:t>City cannot</w:t>
      </w:r>
      <w:r w:rsidRPr="007959FD">
        <w:rPr>
          <w:rFonts w:ascii="Times New Roman" w:hAnsi="Times New Roman"/>
          <w:b/>
          <w:sz w:val="24"/>
          <w:szCs w:val="24"/>
        </w:rPr>
        <w:t xml:space="preserve"> demolish a home without notice to owner and opportunity to challenge the demolition order.</w:t>
      </w:r>
    </w:p>
    <w:p w14:paraId="1B7D361E" w14:textId="77777777" w:rsidR="000C756B" w:rsidRDefault="000C756B" w:rsidP="007959FD">
      <w:pPr>
        <w:pStyle w:val="NoSpacing"/>
        <w:rPr>
          <w:rFonts w:ascii="Times New Roman" w:hAnsi="Times New Roman"/>
          <w:b/>
          <w:sz w:val="24"/>
          <w:szCs w:val="24"/>
        </w:rPr>
      </w:pPr>
    </w:p>
    <w:p w14:paraId="503E2A2A" w14:textId="77777777" w:rsidR="000C756B" w:rsidRDefault="000C756B" w:rsidP="007959FD">
      <w:pPr>
        <w:pStyle w:val="NoSpacing"/>
        <w:rPr>
          <w:rFonts w:ascii="Times New Roman" w:hAnsi="Times New Roman"/>
          <w:b/>
          <w:sz w:val="24"/>
          <w:szCs w:val="24"/>
        </w:rPr>
      </w:pPr>
    </w:p>
    <w:p w14:paraId="04C136D8" w14:textId="77777777" w:rsidR="000C756B" w:rsidRDefault="000C756B" w:rsidP="007959FD">
      <w:pPr>
        <w:pStyle w:val="NoSpacing"/>
        <w:rPr>
          <w:rFonts w:ascii="Times New Roman" w:hAnsi="Times New Roman"/>
          <w:b/>
          <w:sz w:val="24"/>
          <w:szCs w:val="24"/>
        </w:rPr>
      </w:pPr>
    </w:p>
    <w:p w14:paraId="3AE2205B" w14:textId="265FE5DD" w:rsidR="002249FF" w:rsidRDefault="007A4EAE" w:rsidP="000C756B">
      <w:pPr>
        <w:pStyle w:val="NoSpacing"/>
        <w:rPr>
          <w:rFonts w:ascii="Arial Black" w:hAnsi="Arial Black"/>
          <w:sz w:val="28"/>
          <w:szCs w:val="28"/>
        </w:rPr>
      </w:pPr>
      <w:r>
        <w:rPr>
          <w:rFonts w:ascii="Arial Black" w:hAnsi="Arial Black"/>
          <w:sz w:val="28"/>
          <w:szCs w:val="28"/>
        </w:rPr>
        <w:t>1-181</w:t>
      </w:r>
    </w:p>
    <w:p w14:paraId="6C45390C" w14:textId="77777777" w:rsidR="002249FF" w:rsidRDefault="002249FF" w:rsidP="000C756B">
      <w:pPr>
        <w:pStyle w:val="NoSpacing"/>
        <w:rPr>
          <w:rFonts w:ascii="Arial Black" w:hAnsi="Arial Black"/>
          <w:sz w:val="28"/>
          <w:szCs w:val="28"/>
        </w:rPr>
      </w:pPr>
    </w:p>
    <w:p w14:paraId="6EC78121" w14:textId="10000825" w:rsidR="000C756B" w:rsidRPr="006F2B87" w:rsidRDefault="000C756B" w:rsidP="000C756B">
      <w:pPr>
        <w:pStyle w:val="NoSpacing"/>
        <w:rPr>
          <w:rFonts w:ascii="Arial Black" w:hAnsi="Arial Black"/>
          <w:sz w:val="28"/>
          <w:szCs w:val="28"/>
        </w:rPr>
      </w:pPr>
      <w:r w:rsidRPr="006F2B87">
        <w:rPr>
          <w:rFonts w:ascii="Arial Black" w:hAnsi="Arial Black"/>
          <w:sz w:val="28"/>
          <w:szCs w:val="28"/>
        </w:rPr>
        <w:t>MA: CLASS ACTION - IONIZATION SMOKE ALARMS – EXPERT</w:t>
      </w:r>
    </w:p>
    <w:p w14:paraId="76B1B197" w14:textId="77777777" w:rsidR="000C756B" w:rsidRPr="006F2B87" w:rsidRDefault="000C756B" w:rsidP="000C756B">
      <w:pPr>
        <w:pStyle w:val="NoSpacing"/>
      </w:pPr>
    </w:p>
    <w:p w14:paraId="19F6EF8F" w14:textId="77777777" w:rsidR="000C756B" w:rsidRPr="000C756B" w:rsidRDefault="000C756B" w:rsidP="000C756B">
      <w:pPr>
        <w:pStyle w:val="NoSpacing"/>
        <w:rPr>
          <w:rFonts w:ascii="Times New Roman" w:hAnsi="Times New Roman"/>
          <w:sz w:val="24"/>
          <w:szCs w:val="24"/>
        </w:rPr>
      </w:pPr>
      <w:r w:rsidRPr="000C756B">
        <w:rPr>
          <w:rFonts w:ascii="Times New Roman" w:hAnsi="Times New Roman"/>
          <w:sz w:val="24"/>
          <w:szCs w:val="24"/>
        </w:rPr>
        <w:t xml:space="preserve">On May 16, 2025, in </w:t>
      </w:r>
      <w:r w:rsidRPr="000C756B">
        <w:rPr>
          <w:rFonts w:ascii="Times New Roman" w:hAnsi="Times New Roman"/>
          <w:sz w:val="24"/>
          <w:szCs w:val="24"/>
          <w:u w:val="single"/>
        </w:rPr>
        <w:t>Stephen Pons, Caroline Coleman, Charles Bellavia, and Terri Letzman, on behalf of themselves and all others similarly situated v. Walter Kidde Portable Equipment, d/b/a Kidde Safety Equipment and BRK Brands, Inc</w:t>
      </w:r>
      <w:r w:rsidRPr="000C756B">
        <w:rPr>
          <w:rFonts w:ascii="Times New Roman" w:hAnsi="Times New Roman"/>
          <w:sz w:val="24"/>
          <w:szCs w:val="24"/>
        </w:rPr>
        <w:t xml:space="preserve">., U.S. District Court Judge Julia E. </w:t>
      </w:r>
      <w:proofErr w:type="spellStart"/>
      <w:r w:rsidRPr="000C756B">
        <w:rPr>
          <w:rFonts w:ascii="Times New Roman" w:hAnsi="Times New Roman"/>
          <w:sz w:val="24"/>
          <w:szCs w:val="24"/>
        </w:rPr>
        <w:t>Kobick</w:t>
      </w:r>
      <w:proofErr w:type="spellEnd"/>
      <w:r w:rsidRPr="000C756B">
        <w:rPr>
          <w:rFonts w:ascii="Times New Roman" w:hAnsi="Times New Roman"/>
          <w:sz w:val="24"/>
          <w:szCs w:val="24"/>
        </w:rPr>
        <w:t xml:space="preserve">, United States District Court for the District of Massachusetts, held that the defense is entitled to e-mails and other documents exchanged between Joseph Flemming, former Deputy Fire Chief of the Boston Fire Department, and plaintiffs’ legal counsel, even if he was not retained as expert witness for plaintiffs in this class action filed in California.  Chief Flemming’s deposition was taken in Boston on Feb. 27, </w:t>
      </w:r>
      <w:proofErr w:type="gramStart"/>
      <w:r w:rsidRPr="000C756B">
        <w:rPr>
          <w:rFonts w:ascii="Times New Roman" w:hAnsi="Times New Roman"/>
          <w:sz w:val="24"/>
          <w:szCs w:val="24"/>
        </w:rPr>
        <w:t>2025</w:t>
      </w:r>
      <w:proofErr w:type="gramEnd"/>
      <w:r w:rsidRPr="000C756B">
        <w:rPr>
          <w:rFonts w:ascii="Times New Roman" w:hAnsi="Times New Roman"/>
          <w:sz w:val="24"/>
          <w:szCs w:val="24"/>
        </w:rPr>
        <w:t xml:space="preserve"> by both sides.  </w:t>
      </w:r>
    </w:p>
    <w:p w14:paraId="3151049C" w14:textId="77777777" w:rsidR="000C756B" w:rsidRPr="000C756B" w:rsidRDefault="000C756B" w:rsidP="000C756B">
      <w:pPr>
        <w:pStyle w:val="NoSpacing"/>
        <w:rPr>
          <w:rFonts w:ascii="Times New Roman" w:hAnsi="Times New Roman"/>
          <w:sz w:val="24"/>
          <w:szCs w:val="24"/>
        </w:rPr>
      </w:pPr>
    </w:p>
    <w:p w14:paraId="0C2AAF57" w14:textId="77777777" w:rsidR="000C756B" w:rsidRPr="000C756B" w:rsidRDefault="000C756B" w:rsidP="000C756B">
      <w:pPr>
        <w:pStyle w:val="NoSpacing"/>
        <w:rPr>
          <w:rFonts w:ascii="Times New Roman" w:hAnsi="Times New Roman"/>
          <w:sz w:val="24"/>
          <w:szCs w:val="24"/>
        </w:rPr>
      </w:pPr>
      <w:r w:rsidRPr="000C756B">
        <w:rPr>
          <w:rFonts w:ascii="Times New Roman" w:hAnsi="Times New Roman"/>
          <w:sz w:val="24"/>
          <w:szCs w:val="24"/>
        </w:rPr>
        <w:t xml:space="preserve">The Court wrote: “Joseph Fleming is a former Deputy Fire Chief of the Boston Fire Department…. He is a ‘longtime, vocal advocate of restricting the use of ionization-only devices’ and ‘has testified as an expert in numerous cases over the past couple of decades involving deaths or grave injuries in which an ionization device did not timely sound during a home fire.’… Between April and July 2024, he exchanged about twenty emails with plaintiffs’ counsel regarding his potential engagement as an expert witness…. Ultimately, Fleming was not retained, but the plaintiffs subpoenaed Fleming as a fact witness for a February 27, </w:t>
      </w:r>
      <w:proofErr w:type="gramStart"/>
      <w:r w:rsidRPr="000C756B">
        <w:rPr>
          <w:rFonts w:ascii="Times New Roman" w:hAnsi="Times New Roman"/>
          <w:sz w:val="24"/>
          <w:szCs w:val="24"/>
        </w:rPr>
        <w:t>2025</w:t>
      </w:r>
      <w:proofErr w:type="gramEnd"/>
      <w:r w:rsidRPr="000C756B">
        <w:rPr>
          <w:rFonts w:ascii="Times New Roman" w:hAnsi="Times New Roman"/>
          <w:sz w:val="24"/>
          <w:szCs w:val="24"/>
        </w:rPr>
        <w:t xml:space="preserve"> deposition to testify about his participation on a committee of Underwriters Laboratories, Inc., which ‘sets the standards and protocols for laboratory testing of home smoke alarm products.’ …  As part of his work on that committee, Fleming supported the development of new fire testing requirements, which resulted in design changes to smoke detectors made by Kidde and co-defendant BRK Brands Inc. *** [Plaintiffs] on behalf of themselves and all others similarly situated, have moved for a protective order against a subpoena for documents issued by defendant Walter Kidde Portable Equipment, Inc. to third-party fact witness Joseph Fleming. </w:t>
      </w:r>
      <w:proofErr w:type="gramStart"/>
      <w:r w:rsidRPr="000C756B">
        <w:rPr>
          <w:rFonts w:ascii="Times New Roman" w:hAnsi="Times New Roman"/>
          <w:sz w:val="24"/>
          <w:szCs w:val="24"/>
        </w:rPr>
        <w:t>For the reasons that</w:t>
      </w:r>
      <w:proofErr w:type="gramEnd"/>
      <w:r w:rsidRPr="000C756B">
        <w:rPr>
          <w:rFonts w:ascii="Times New Roman" w:hAnsi="Times New Roman"/>
          <w:sz w:val="24"/>
          <w:szCs w:val="24"/>
        </w:rPr>
        <w:t xml:space="preserve"> follow, that motion, which will be construed as a motion to quash, will be denied…. In short, the plaintiffs have waived their privilege against disclosure of work product contained in their counsels’ emails with Fleming, and they are not entitled to an order quashing Kidde’s document subpoena.” </w:t>
      </w:r>
      <w:hyperlink r:id="rId78" w:history="1">
        <w:r w:rsidRPr="000C756B">
          <w:rPr>
            <w:rStyle w:val="Hyperlink"/>
            <w:rFonts w:ascii="Times New Roman" w:hAnsi="Times New Roman"/>
            <w:sz w:val="24"/>
            <w:szCs w:val="24"/>
          </w:rPr>
          <w:t>https://cases.justia.com/federal/district-courts/massachusetts/madce/1:2025mc91106/281992/17/0.pdf?ts=1747471889</w:t>
        </w:r>
      </w:hyperlink>
      <w:r w:rsidRPr="000C756B">
        <w:rPr>
          <w:rFonts w:ascii="Times New Roman" w:hAnsi="Times New Roman"/>
          <w:sz w:val="24"/>
          <w:szCs w:val="24"/>
        </w:rPr>
        <w:t xml:space="preserve"> </w:t>
      </w:r>
    </w:p>
    <w:p w14:paraId="551DAECB" w14:textId="77777777" w:rsidR="000C756B" w:rsidRDefault="000C756B" w:rsidP="007959FD">
      <w:pPr>
        <w:pStyle w:val="NoSpacing"/>
        <w:rPr>
          <w:rFonts w:ascii="Times New Roman" w:hAnsi="Times New Roman"/>
          <w:b/>
          <w:bCs/>
          <w:sz w:val="24"/>
          <w:szCs w:val="24"/>
        </w:rPr>
      </w:pPr>
    </w:p>
    <w:p w14:paraId="406391F8" w14:textId="49AA1092" w:rsidR="002B2465" w:rsidRPr="002B2465" w:rsidRDefault="002B2465" w:rsidP="002B2465">
      <w:pPr>
        <w:pStyle w:val="NoSpacing"/>
        <w:rPr>
          <w:rFonts w:ascii="Times New Roman" w:hAnsi="Times New Roman"/>
          <w:b/>
          <w:bCs/>
          <w:sz w:val="24"/>
          <w:szCs w:val="24"/>
        </w:rPr>
      </w:pPr>
      <w:r w:rsidRPr="002B2465">
        <w:rPr>
          <w:rFonts w:ascii="Times New Roman" w:hAnsi="Times New Roman"/>
          <w:b/>
          <w:sz w:val="24"/>
          <w:szCs w:val="24"/>
        </w:rPr>
        <w:t>Legal Lesson Learned: Expert witnesses can be deposed, and their communications with plaintiff’s counsel can be subject</w:t>
      </w:r>
      <w:r w:rsidRPr="002B2465">
        <w:rPr>
          <w:rFonts w:ascii="Times New Roman" w:hAnsi="Times New Roman"/>
          <w:b/>
          <w:bCs/>
          <w:sz w:val="24"/>
          <w:szCs w:val="24"/>
        </w:rPr>
        <w:t xml:space="preserve"> of pre-trial discovery</w:t>
      </w:r>
      <w:r w:rsidR="00691181">
        <w:rPr>
          <w:rFonts w:ascii="Times New Roman" w:hAnsi="Times New Roman"/>
          <w:b/>
          <w:sz w:val="24"/>
          <w:szCs w:val="24"/>
        </w:rPr>
        <w:t xml:space="preserve"> issues.</w:t>
      </w:r>
    </w:p>
    <w:p w14:paraId="46E3B14F" w14:textId="77777777" w:rsidR="002B2465" w:rsidRPr="002B2465" w:rsidRDefault="002B2465" w:rsidP="002B2465">
      <w:pPr>
        <w:pStyle w:val="NoSpacing"/>
        <w:rPr>
          <w:rFonts w:ascii="Times New Roman" w:hAnsi="Times New Roman"/>
          <w:b/>
          <w:bCs/>
          <w:sz w:val="24"/>
          <w:szCs w:val="24"/>
        </w:rPr>
      </w:pPr>
    </w:p>
    <w:p w14:paraId="2815F1DA" w14:textId="77777777" w:rsidR="002B2465" w:rsidRPr="002B2465" w:rsidRDefault="002B2465" w:rsidP="002B2465">
      <w:pPr>
        <w:pStyle w:val="NoSpacing"/>
        <w:ind w:left="720"/>
        <w:rPr>
          <w:rFonts w:ascii="Times New Roman" w:hAnsi="Times New Roman"/>
          <w:sz w:val="24"/>
          <w:szCs w:val="24"/>
        </w:rPr>
      </w:pPr>
      <w:r w:rsidRPr="002B2465">
        <w:rPr>
          <w:rFonts w:ascii="Times New Roman" w:hAnsi="Times New Roman"/>
          <w:sz w:val="24"/>
          <w:szCs w:val="24"/>
        </w:rPr>
        <w:t xml:space="preserve">Note: See April 2, </w:t>
      </w:r>
      <w:proofErr w:type="gramStart"/>
      <w:r w:rsidRPr="002B2465">
        <w:rPr>
          <w:rFonts w:ascii="Times New Roman" w:hAnsi="Times New Roman"/>
          <w:sz w:val="24"/>
          <w:szCs w:val="24"/>
        </w:rPr>
        <w:t>2025</w:t>
      </w:r>
      <w:proofErr w:type="gramEnd"/>
      <w:r w:rsidRPr="002B2465">
        <w:rPr>
          <w:rFonts w:ascii="Times New Roman" w:hAnsi="Times New Roman"/>
          <w:sz w:val="24"/>
          <w:szCs w:val="24"/>
        </w:rPr>
        <w:t xml:space="preserve"> video on Ionization v. Photoelectric alarms: </w:t>
      </w:r>
      <w:hyperlink r:id="rId79" w:history="1">
        <w:r w:rsidRPr="002B2465">
          <w:rPr>
            <w:rStyle w:val="Hyperlink"/>
            <w:rFonts w:ascii="Times New Roman" w:hAnsi="Times New Roman"/>
            <w:sz w:val="24"/>
            <w:szCs w:val="24"/>
          </w:rPr>
          <w:t>https://www.youtube.com/watch?v=pYAlJLy1R8U</w:t>
        </w:r>
      </w:hyperlink>
      <w:r w:rsidRPr="002B2465">
        <w:rPr>
          <w:rFonts w:ascii="Times New Roman" w:hAnsi="Times New Roman"/>
          <w:sz w:val="24"/>
          <w:szCs w:val="24"/>
        </w:rPr>
        <w:t xml:space="preserve"> </w:t>
      </w:r>
    </w:p>
    <w:p w14:paraId="6CEBFCFA" w14:textId="77777777" w:rsidR="002B2465" w:rsidRPr="002B2465" w:rsidRDefault="002B2465" w:rsidP="002B2465">
      <w:pPr>
        <w:pStyle w:val="NoSpacing"/>
        <w:ind w:left="720"/>
        <w:rPr>
          <w:rFonts w:ascii="Times New Roman" w:hAnsi="Times New Roman"/>
          <w:sz w:val="24"/>
          <w:szCs w:val="24"/>
        </w:rPr>
      </w:pPr>
    </w:p>
    <w:p w14:paraId="3454F948" w14:textId="77777777" w:rsidR="002B2465" w:rsidRPr="002B2465" w:rsidRDefault="002B2465" w:rsidP="002B2465">
      <w:pPr>
        <w:pStyle w:val="NoSpacing"/>
        <w:ind w:left="720"/>
        <w:rPr>
          <w:rFonts w:ascii="Times New Roman" w:hAnsi="Times New Roman"/>
          <w:sz w:val="24"/>
          <w:szCs w:val="24"/>
        </w:rPr>
      </w:pPr>
      <w:r w:rsidRPr="002B2465">
        <w:rPr>
          <w:rFonts w:ascii="Times New Roman" w:hAnsi="Times New Roman"/>
          <w:sz w:val="24"/>
          <w:szCs w:val="24"/>
        </w:rPr>
        <w:t xml:space="preserve">See also: U.S. Fire Administration publication. </w:t>
      </w:r>
      <w:hyperlink r:id="rId80" w:history="1">
        <w:r w:rsidRPr="002B2465">
          <w:rPr>
            <w:rStyle w:val="Hyperlink"/>
            <w:rFonts w:ascii="Times New Roman" w:hAnsi="Times New Roman"/>
            <w:sz w:val="24"/>
            <w:szCs w:val="24"/>
          </w:rPr>
          <w:t>https://www.usfa.fema.gov/prevention/home-fires/prepare-for-fire/smoke-alarms/</w:t>
        </w:r>
      </w:hyperlink>
      <w:r w:rsidRPr="002B2465">
        <w:rPr>
          <w:rFonts w:ascii="Times New Roman" w:hAnsi="Times New Roman"/>
          <w:sz w:val="24"/>
          <w:szCs w:val="24"/>
        </w:rPr>
        <w:t xml:space="preserve"> </w:t>
      </w:r>
    </w:p>
    <w:p w14:paraId="3AEC1FBD" w14:textId="77777777" w:rsidR="002B2465" w:rsidRPr="002B2465" w:rsidRDefault="002B2465" w:rsidP="002B2465">
      <w:pPr>
        <w:pStyle w:val="NoSpacing"/>
        <w:ind w:left="720"/>
        <w:rPr>
          <w:rFonts w:ascii="Times New Roman" w:hAnsi="Times New Roman"/>
          <w:sz w:val="24"/>
          <w:szCs w:val="24"/>
        </w:rPr>
      </w:pPr>
      <w:r w:rsidRPr="002B2465">
        <w:rPr>
          <w:rFonts w:ascii="Times New Roman" w:hAnsi="Times New Roman"/>
          <w:sz w:val="24"/>
          <w:szCs w:val="24"/>
        </w:rPr>
        <w:t xml:space="preserve">“There are many brands of smoke alarms on the market, but they fall under 2 basic types: ionization and photoelectric. Ionization and photoelectric smoke alarms detect different types of fires. Since no one can </w:t>
      </w:r>
      <w:r w:rsidRPr="002B2465">
        <w:rPr>
          <w:rFonts w:ascii="Times New Roman" w:hAnsi="Times New Roman"/>
          <w:sz w:val="24"/>
          <w:szCs w:val="24"/>
        </w:rPr>
        <w:lastRenderedPageBreak/>
        <w:t>predict what type of fire might start in their home, the U.S. Fire Administration recommends that every home and place where people sleep have:</w:t>
      </w:r>
    </w:p>
    <w:p w14:paraId="0F8A74AC" w14:textId="77777777" w:rsidR="002B2465" w:rsidRPr="002B2465" w:rsidRDefault="002B2465" w:rsidP="002B2465">
      <w:pPr>
        <w:pStyle w:val="NoSpacing"/>
        <w:numPr>
          <w:ilvl w:val="0"/>
          <w:numId w:val="27"/>
        </w:numPr>
        <w:rPr>
          <w:rFonts w:ascii="Times New Roman" w:hAnsi="Times New Roman"/>
          <w:sz w:val="24"/>
          <w:szCs w:val="24"/>
        </w:rPr>
      </w:pPr>
      <w:r w:rsidRPr="002B2465">
        <w:rPr>
          <w:rFonts w:ascii="Times New Roman" w:hAnsi="Times New Roman"/>
          <w:sz w:val="24"/>
          <w:szCs w:val="24"/>
        </w:rPr>
        <w:t>Both ionization AND photoelectric smoke alarms, OR</w:t>
      </w:r>
    </w:p>
    <w:p w14:paraId="4DAAAA3F" w14:textId="77777777" w:rsidR="002B2465" w:rsidRPr="002B2465" w:rsidRDefault="002B2465" w:rsidP="002B2465">
      <w:pPr>
        <w:pStyle w:val="NoSpacing"/>
        <w:numPr>
          <w:ilvl w:val="0"/>
          <w:numId w:val="27"/>
        </w:numPr>
        <w:rPr>
          <w:rFonts w:ascii="Times New Roman" w:hAnsi="Times New Roman"/>
          <w:sz w:val="24"/>
          <w:szCs w:val="24"/>
        </w:rPr>
      </w:pPr>
      <w:r w:rsidRPr="002B2465">
        <w:rPr>
          <w:rFonts w:ascii="Times New Roman" w:hAnsi="Times New Roman"/>
          <w:sz w:val="24"/>
          <w:szCs w:val="24"/>
        </w:rPr>
        <w:t>Dual-sensor smoke alarms, which contain both ionization and photoelectric smoke sensors.</w:t>
      </w:r>
    </w:p>
    <w:p w14:paraId="275222D5" w14:textId="77777777" w:rsidR="002B2465" w:rsidRPr="002B2465" w:rsidRDefault="002B2465" w:rsidP="002B2465">
      <w:pPr>
        <w:pStyle w:val="NoSpacing"/>
        <w:ind w:firstLine="720"/>
        <w:rPr>
          <w:rFonts w:ascii="Times New Roman" w:hAnsi="Times New Roman"/>
          <w:sz w:val="24"/>
          <w:szCs w:val="24"/>
        </w:rPr>
      </w:pPr>
      <w:r w:rsidRPr="002B2465">
        <w:rPr>
          <w:rFonts w:ascii="Times New Roman" w:hAnsi="Times New Roman"/>
          <w:sz w:val="24"/>
          <w:szCs w:val="24"/>
        </w:rPr>
        <w:t>Choose interconnected smoke alarms so that when one sounds, they all sound.</w:t>
      </w:r>
    </w:p>
    <w:p w14:paraId="150F0718" w14:textId="77777777" w:rsidR="002B2465" w:rsidRDefault="002B2465" w:rsidP="002B2465">
      <w:pPr>
        <w:pStyle w:val="NoSpacing"/>
        <w:ind w:left="720"/>
        <w:rPr>
          <w:rFonts w:ascii="Times New Roman" w:hAnsi="Times New Roman"/>
          <w:sz w:val="24"/>
          <w:szCs w:val="24"/>
        </w:rPr>
      </w:pPr>
      <w:r w:rsidRPr="002B2465">
        <w:rPr>
          <w:rFonts w:ascii="Times New Roman" w:hAnsi="Times New Roman"/>
          <w:sz w:val="24"/>
          <w:szCs w:val="24"/>
        </w:rPr>
        <w:t>There are also alarms for people with hearing loss. These alarms may have strobe lights that flash and/or vibrate to alert those who are unable to hear standard smoke alarms when they sound.”</w:t>
      </w:r>
    </w:p>
    <w:p w14:paraId="5788AC45" w14:textId="77777777" w:rsidR="00A35301" w:rsidRDefault="00A35301" w:rsidP="002B2465">
      <w:pPr>
        <w:pStyle w:val="NoSpacing"/>
        <w:ind w:left="720"/>
        <w:rPr>
          <w:rFonts w:ascii="Times New Roman" w:hAnsi="Times New Roman"/>
          <w:sz w:val="24"/>
          <w:szCs w:val="24"/>
        </w:rPr>
      </w:pPr>
    </w:p>
    <w:p w14:paraId="5B2C1940" w14:textId="77777777" w:rsidR="00A35301" w:rsidRDefault="00A35301" w:rsidP="002B2465">
      <w:pPr>
        <w:pStyle w:val="NoSpacing"/>
        <w:ind w:left="720"/>
        <w:rPr>
          <w:rFonts w:ascii="Times New Roman" w:hAnsi="Times New Roman"/>
          <w:sz w:val="24"/>
          <w:szCs w:val="24"/>
        </w:rPr>
      </w:pPr>
    </w:p>
    <w:p w14:paraId="14C6B2DD" w14:textId="61868A1E" w:rsidR="00A35301" w:rsidRPr="002249FF" w:rsidRDefault="007A4EAE" w:rsidP="002249FF">
      <w:pPr>
        <w:pStyle w:val="NoSpacing"/>
        <w:rPr>
          <w:rFonts w:ascii="Arial Black" w:hAnsi="Arial Black"/>
          <w:sz w:val="24"/>
          <w:szCs w:val="24"/>
        </w:rPr>
      </w:pPr>
      <w:r>
        <w:rPr>
          <w:rFonts w:ascii="Arial Black" w:hAnsi="Arial Black"/>
          <w:sz w:val="24"/>
          <w:szCs w:val="24"/>
        </w:rPr>
        <w:t>1-180</w:t>
      </w:r>
    </w:p>
    <w:p w14:paraId="17D352EB" w14:textId="77777777" w:rsidR="00A35301" w:rsidRDefault="00A35301" w:rsidP="002B2465">
      <w:pPr>
        <w:pStyle w:val="NoSpacing"/>
        <w:ind w:left="720"/>
        <w:rPr>
          <w:rFonts w:ascii="Times New Roman" w:hAnsi="Times New Roman"/>
          <w:sz w:val="24"/>
          <w:szCs w:val="24"/>
        </w:rPr>
      </w:pPr>
    </w:p>
    <w:p w14:paraId="16B7B5B8" w14:textId="790187C4" w:rsidR="00A35301" w:rsidRPr="006F2B87" w:rsidRDefault="00A35301" w:rsidP="00A35301">
      <w:pPr>
        <w:pStyle w:val="NoSpacing"/>
        <w:rPr>
          <w:rFonts w:ascii="Arial Black" w:hAnsi="Arial Black"/>
          <w:sz w:val="28"/>
          <w:szCs w:val="28"/>
        </w:rPr>
      </w:pPr>
      <w:r w:rsidRPr="006F2B87">
        <w:rPr>
          <w:rFonts w:ascii="Arial Black" w:hAnsi="Arial Black"/>
          <w:sz w:val="28"/>
          <w:szCs w:val="28"/>
        </w:rPr>
        <w:t>A</w:t>
      </w:r>
      <w:r w:rsidR="00376E23">
        <w:rPr>
          <w:rFonts w:ascii="Arial Black" w:hAnsi="Arial Black"/>
          <w:sz w:val="28"/>
          <w:szCs w:val="28"/>
        </w:rPr>
        <w:t>Z</w:t>
      </w:r>
      <w:r w:rsidRPr="006F2B87">
        <w:rPr>
          <w:rFonts w:ascii="Arial Black" w:hAnsi="Arial Black"/>
          <w:sz w:val="28"/>
          <w:szCs w:val="28"/>
        </w:rPr>
        <w:t xml:space="preserve">: ARSON – VEHICLE FIRE </w:t>
      </w:r>
      <w:r>
        <w:rPr>
          <w:rFonts w:ascii="Arial Black" w:hAnsi="Arial Black"/>
          <w:sz w:val="28"/>
          <w:szCs w:val="28"/>
        </w:rPr>
        <w:t xml:space="preserve">- </w:t>
      </w:r>
      <w:r w:rsidRPr="006F2B87">
        <w:rPr>
          <w:rFonts w:ascii="Arial Black" w:hAnsi="Arial Black"/>
          <w:sz w:val="28"/>
          <w:szCs w:val="28"/>
        </w:rPr>
        <w:t xml:space="preserve">“OCCUPIED STRUCTURE” </w:t>
      </w:r>
    </w:p>
    <w:p w14:paraId="20C310C4" w14:textId="77777777" w:rsidR="00A35301" w:rsidRPr="006F2B87" w:rsidRDefault="00A35301" w:rsidP="00A35301">
      <w:pPr>
        <w:pStyle w:val="NoSpacing"/>
      </w:pPr>
    </w:p>
    <w:p w14:paraId="7666ED2A" w14:textId="77777777" w:rsidR="00A35301" w:rsidRPr="00A35301" w:rsidRDefault="00A35301" w:rsidP="00A35301">
      <w:pPr>
        <w:pStyle w:val="NoSpacing"/>
        <w:rPr>
          <w:rFonts w:ascii="Times New Roman" w:hAnsi="Times New Roman"/>
          <w:sz w:val="24"/>
          <w:szCs w:val="24"/>
        </w:rPr>
      </w:pPr>
      <w:r w:rsidRPr="00A35301">
        <w:rPr>
          <w:rFonts w:ascii="Times New Roman" w:hAnsi="Times New Roman"/>
          <w:sz w:val="24"/>
          <w:szCs w:val="24"/>
        </w:rPr>
        <w:t xml:space="preserve">On May 4, 2025, in </w:t>
      </w:r>
      <w:r w:rsidRPr="00A35301">
        <w:rPr>
          <w:rFonts w:ascii="Times New Roman" w:hAnsi="Times New Roman"/>
          <w:sz w:val="24"/>
          <w:szCs w:val="24"/>
          <w:u w:val="single"/>
        </w:rPr>
        <w:t>State of Arizona v. Edward Serrato, III</w:t>
      </w:r>
      <w:r w:rsidRPr="00A35301">
        <w:rPr>
          <w:rFonts w:ascii="Times New Roman" w:hAnsi="Times New Roman"/>
          <w:sz w:val="24"/>
          <w:szCs w:val="24"/>
        </w:rPr>
        <w:t xml:space="preserve">, the Supreme Court of State of Arizona, held (7 to 0) that the State’s most severe arson (Class 2 felony) of arson of “an occupied structure” does not apply where the only person present is the arsonist.  </w:t>
      </w:r>
    </w:p>
    <w:p w14:paraId="65A56CC6" w14:textId="77777777" w:rsidR="00A35301" w:rsidRPr="00A35301" w:rsidRDefault="00A35301" w:rsidP="00A35301">
      <w:pPr>
        <w:pStyle w:val="NoSpacing"/>
        <w:rPr>
          <w:rFonts w:ascii="Times New Roman" w:hAnsi="Times New Roman"/>
          <w:sz w:val="24"/>
          <w:szCs w:val="24"/>
        </w:rPr>
      </w:pPr>
    </w:p>
    <w:p w14:paraId="164AE656" w14:textId="77777777" w:rsidR="00A35301" w:rsidRPr="00A35301" w:rsidRDefault="00A35301" w:rsidP="00A35301">
      <w:pPr>
        <w:pStyle w:val="NoSpacing"/>
        <w:rPr>
          <w:rFonts w:ascii="Times New Roman" w:hAnsi="Times New Roman"/>
          <w:sz w:val="24"/>
          <w:szCs w:val="24"/>
        </w:rPr>
      </w:pPr>
      <w:r w:rsidRPr="00A35301">
        <w:rPr>
          <w:rFonts w:ascii="Times New Roman" w:hAnsi="Times New Roman"/>
          <w:sz w:val="24"/>
          <w:szCs w:val="24"/>
        </w:rPr>
        <w:t xml:space="preserve">The Court wrote: “On Christmas night in 2007, firefighters in Kingman, Arizona extinguished a fire engulfing a pickup truck. Investigators smelled gasoline fumes and discovered a residue of unusual flammable liquids and remnants of a gas can on the driver’s seat. Based on the evidence, investigators confirmed that someone had intentionally set the fire inside the truck. Officers traced the truck’s registration to Anna Hammond, who lived about a mile from the fire. When police entered her home, they found her and her dog lying on the floor in a pool of blood. The dog was dead, and Hammond later died from her injuries. The kitchen stove was on, gas fumes filled the home, and someone had tried to start a fire on the kitchen table. Hammond’s jewelry, </w:t>
      </w:r>
      <w:proofErr w:type="gramStart"/>
      <w:r w:rsidRPr="00A35301">
        <w:rPr>
          <w:rFonts w:ascii="Times New Roman" w:hAnsi="Times New Roman"/>
          <w:sz w:val="24"/>
          <w:szCs w:val="24"/>
        </w:rPr>
        <w:t>gun</w:t>
      </w:r>
      <w:proofErr w:type="gramEnd"/>
      <w:r w:rsidRPr="00A35301">
        <w:rPr>
          <w:rFonts w:ascii="Times New Roman" w:hAnsi="Times New Roman"/>
          <w:sz w:val="24"/>
          <w:szCs w:val="24"/>
        </w:rPr>
        <w:t xml:space="preserve">, coins, and cash were also missing. *** After a seven-day trial in 2023, a jury convicted him of </w:t>
      </w:r>
      <w:proofErr w:type="gramStart"/>
      <w:r w:rsidRPr="00A35301">
        <w:rPr>
          <w:rFonts w:ascii="Times New Roman" w:hAnsi="Times New Roman"/>
          <w:sz w:val="24"/>
          <w:szCs w:val="24"/>
        </w:rPr>
        <w:t>second degree</w:t>
      </w:r>
      <w:proofErr w:type="gramEnd"/>
      <w:r w:rsidRPr="00A35301">
        <w:rPr>
          <w:rFonts w:ascii="Times New Roman" w:hAnsi="Times New Roman"/>
          <w:sz w:val="24"/>
          <w:szCs w:val="24"/>
        </w:rPr>
        <w:t xml:space="preserve"> murder, first degree burglary, arson of an occupied structure (the vehicle), theft of means of transportation, and attempted arson of an occupied structure (the house). The court imposed consecutive sentences for each of these charges, totaling 135 years—35 of which stemmed from the vehicle arson conviction. *** We interpret “occupied structure” in §§ 13-1701(2) and -1704 to mean a structure in which one or more human beings—other than the arsonist—are present, likely to be present, or so near as to be in equivalent danger at the time of the fire or explosion.”  </w:t>
      </w:r>
      <w:hyperlink r:id="rId81" w:history="1">
        <w:r w:rsidRPr="00A35301">
          <w:rPr>
            <w:rStyle w:val="Hyperlink"/>
            <w:rFonts w:ascii="Times New Roman" w:hAnsi="Times New Roman"/>
            <w:sz w:val="24"/>
            <w:szCs w:val="24"/>
          </w:rPr>
          <w:t>https://cases.justia.com/arizona/supreme-court/2025-cr-24-0264-pr.pdf?ts=1747242027</w:t>
        </w:r>
      </w:hyperlink>
      <w:r w:rsidRPr="00A35301">
        <w:rPr>
          <w:rFonts w:ascii="Times New Roman" w:hAnsi="Times New Roman"/>
          <w:sz w:val="24"/>
          <w:szCs w:val="24"/>
        </w:rPr>
        <w:t xml:space="preserve"> </w:t>
      </w:r>
    </w:p>
    <w:p w14:paraId="52733520" w14:textId="77777777" w:rsidR="00A35301" w:rsidRPr="006F2B87" w:rsidRDefault="00A35301" w:rsidP="00A35301">
      <w:pPr>
        <w:pStyle w:val="NoSpacing"/>
      </w:pPr>
    </w:p>
    <w:p w14:paraId="1C492F3B" w14:textId="77777777" w:rsidR="001A2F0B" w:rsidRDefault="001A2F0B" w:rsidP="001A2F0B">
      <w:pPr>
        <w:pStyle w:val="NoSpacing"/>
        <w:rPr>
          <w:rFonts w:ascii="Times New Roman" w:hAnsi="Times New Roman"/>
          <w:b/>
          <w:sz w:val="24"/>
          <w:szCs w:val="24"/>
        </w:rPr>
      </w:pPr>
      <w:r w:rsidRPr="001A2F0B">
        <w:rPr>
          <w:rFonts w:ascii="Times New Roman" w:hAnsi="Times New Roman"/>
          <w:b/>
          <w:sz w:val="24"/>
          <w:szCs w:val="24"/>
        </w:rPr>
        <w:t>Legal Lesson Learned: The Court reviewed the legislature’s “tiered arson punishment scheme” to reach its conclusion; defendant will be resentenced to 100 years, instead of 135 years in prison.</w:t>
      </w:r>
    </w:p>
    <w:p w14:paraId="45B6F43E" w14:textId="77777777" w:rsidR="007A4EAE" w:rsidRDefault="007A4EAE" w:rsidP="001A2F0B">
      <w:pPr>
        <w:pStyle w:val="NoSpacing"/>
        <w:rPr>
          <w:rFonts w:ascii="Times New Roman" w:hAnsi="Times New Roman"/>
          <w:b/>
          <w:sz w:val="24"/>
          <w:szCs w:val="24"/>
        </w:rPr>
      </w:pPr>
    </w:p>
    <w:p w14:paraId="137E8988" w14:textId="77777777" w:rsidR="007A4EAE" w:rsidRPr="001A2F0B" w:rsidRDefault="007A4EAE" w:rsidP="001A2F0B">
      <w:pPr>
        <w:pStyle w:val="NoSpacing"/>
        <w:rPr>
          <w:rFonts w:ascii="Times New Roman" w:hAnsi="Times New Roman"/>
          <w:b/>
          <w:bCs/>
          <w:sz w:val="24"/>
          <w:szCs w:val="24"/>
        </w:rPr>
      </w:pPr>
    </w:p>
    <w:p w14:paraId="01B4F8C1" w14:textId="405FBD86" w:rsidR="00A35301" w:rsidRPr="007A4EAE" w:rsidRDefault="007A4EAE" w:rsidP="007A4EAE">
      <w:pPr>
        <w:pStyle w:val="NoSpacing"/>
        <w:rPr>
          <w:rFonts w:ascii="Arial Black" w:hAnsi="Arial Black"/>
          <w:sz w:val="24"/>
          <w:szCs w:val="24"/>
        </w:rPr>
      </w:pPr>
      <w:r w:rsidRPr="007A4EAE">
        <w:rPr>
          <w:rFonts w:ascii="Arial Black" w:hAnsi="Arial Black"/>
          <w:sz w:val="24"/>
          <w:szCs w:val="24"/>
        </w:rPr>
        <w:t>1-179</w:t>
      </w:r>
    </w:p>
    <w:p w14:paraId="7C8FE2A8" w14:textId="77777777" w:rsidR="002B2465" w:rsidRPr="006F2B87" w:rsidRDefault="002B2465" w:rsidP="002B2465">
      <w:pPr>
        <w:pStyle w:val="NoSpacing"/>
      </w:pPr>
    </w:p>
    <w:p w14:paraId="039184C9" w14:textId="77777777" w:rsidR="007448D6" w:rsidRPr="006F2B87" w:rsidRDefault="007448D6" w:rsidP="007448D6">
      <w:pPr>
        <w:pStyle w:val="NoSpacing"/>
        <w:rPr>
          <w:rFonts w:ascii="Arial Black" w:hAnsi="Arial Black"/>
          <w:sz w:val="28"/>
          <w:szCs w:val="28"/>
        </w:rPr>
      </w:pPr>
      <w:r w:rsidRPr="006F2B87">
        <w:rPr>
          <w:rFonts w:ascii="Arial Black" w:hAnsi="Arial Black"/>
          <w:sz w:val="28"/>
          <w:szCs w:val="28"/>
        </w:rPr>
        <w:t>CA: WILDLAND ARSONIST – 5 FF KILLED – DEATH PENALTY</w:t>
      </w:r>
    </w:p>
    <w:p w14:paraId="009FBDCF" w14:textId="77777777" w:rsidR="007448D6" w:rsidRDefault="007448D6" w:rsidP="007448D6">
      <w:pPr>
        <w:pStyle w:val="NoSpacing"/>
      </w:pPr>
    </w:p>
    <w:p w14:paraId="0B4156D0" w14:textId="77777777" w:rsidR="007448D6" w:rsidRPr="007448D6" w:rsidRDefault="007448D6" w:rsidP="007448D6">
      <w:pPr>
        <w:pStyle w:val="NoSpacing"/>
        <w:rPr>
          <w:rFonts w:ascii="Times New Roman" w:hAnsi="Times New Roman"/>
          <w:sz w:val="24"/>
          <w:szCs w:val="24"/>
        </w:rPr>
      </w:pPr>
      <w:r w:rsidRPr="007448D6">
        <w:rPr>
          <w:rFonts w:ascii="Times New Roman" w:hAnsi="Times New Roman"/>
          <w:sz w:val="24"/>
          <w:szCs w:val="24"/>
        </w:rPr>
        <w:t xml:space="preserve">On May 5, 2025, in </w:t>
      </w:r>
      <w:r w:rsidRPr="007448D6">
        <w:rPr>
          <w:rFonts w:ascii="Times New Roman" w:hAnsi="Times New Roman"/>
          <w:sz w:val="24"/>
          <w:szCs w:val="24"/>
          <w:u w:val="single"/>
        </w:rPr>
        <w:t>The People v. Raymond Lee Oliver</w:t>
      </w:r>
      <w:r w:rsidRPr="007448D6">
        <w:rPr>
          <w:rFonts w:ascii="Times New Roman" w:hAnsi="Times New Roman"/>
          <w:sz w:val="24"/>
          <w:szCs w:val="24"/>
        </w:rPr>
        <w:t xml:space="preserve">, the Supreme Court of California held (5 to 0) that jury properly convicted the defendant five counts of first degree murder, 20 counts of arson, 17 counts of possession of an incendiary device, and in the penalty phase returned a verdict of death. </w:t>
      </w:r>
    </w:p>
    <w:p w14:paraId="64AC2E45" w14:textId="77777777" w:rsidR="007448D6" w:rsidRPr="007448D6" w:rsidRDefault="007448D6" w:rsidP="007448D6">
      <w:pPr>
        <w:pStyle w:val="NoSpacing"/>
        <w:rPr>
          <w:rFonts w:ascii="Times New Roman" w:hAnsi="Times New Roman"/>
          <w:sz w:val="24"/>
          <w:szCs w:val="24"/>
        </w:rPr>
      </w:pPr>
    </w:p>
    <w:p w14:paraId="3C780810" w14:textId="77777777" w:rsidR="007448D6" w:rsidRPr="007448D6" w:rsidRDefault="007448D6" w:rsidP="007448D6">
      <w:pPr>
        <w:pStyle w:val="NoSpacing"/>
        <w:rPr>
          <w:rFonts w:ascii="Times New Roman" w:hAnsi="Times New Roman"/>
          <w:b/>
          <w:bCs/>
          <w:sz w:val="24"/>
          <w:szCs w:val="24"/>
        </w:rPr>
      </w:pPr>
      <w:r w:rsidRPr="007448D6">
        <w:rPr>
          <w:rFonts w:ascii="Times New Roman" w:hAnsi="Times New Roman"/>
          <w:sz w:val="24"/>
          <w:szCs w:val="24"/>
        </w:rPr>
        <w:t xml:space="preserve">The Court wrote: “Between May 16 and October 26, 2006, 3 more than two dozen wildland fires were reported in the Banning Pass area of Southern California. The series culminated with a fire known as the Esperanza Fire, which killed five firefighters assigned to Engine 57 of the United States Department of Agriculture Forest Service (Forest Service). *** </w:t>
      </w:r>
    </w:p>
    <w:p w14:paraId="63DA1AB0" w14:textId="77777777" w:rsidR="007448D6" w:rsidRDefault="007448D6" w:rsidP="007448D6">
      <w:pPr>
        <w:pStyle w:val="NoSpacing"/>
        <w:rPr>
          <w:rFonts w:ascii="Times New Roman" w:hAnsi="Times New Roman"/>
          <w:sz w:val="24"/>
          <w:szCs w:val="24"/>
        </w:rPr>
      </w:pPr>
      <w:r w:rsidRPr="007448D6">
        <w:rPr>
          <w:rFonts w:ascii="Times New Roman" w:hAnsi="Times New Roman"/>
          <w:sz w:val="24"/>
          <w:szCs w:val="24"/>
        </w:rPr>
        <w:t xml:space="preserve">An arson investigator who investigated all three fires determined they were caused by arson. At the point of origin of each fire, the investigator found a time-delayed incendiary device consisting of a Marlboro Light </w:t>
      </w:r>
      <w:r w:rsidRPr="007448D6">
        <w:rPr>
          <w:rFonts w:ascii="Times New Roman" w:hAnsi="Times New Roman"/>
          <w:sz w:val="24"/>
          <w:szCs w:val="24"/>
        </w:rPr>
        <w:lastRenderedPageBreak/>
        <w:t xml:space="preserve">cigarette with wooden matchsticks attached lengthwise by a rubber band. The devices at the Sunset/Wilson and Sunset/Mesa fires had 31 matches attached and the device at the Gilman/Pump House fire had 30 matches attached. The matches pointed in both directions, such that some heads were at opposite ends of the cigarette. *** Around 1:10 a.m. on October 26, firefighters were dispatched to a wildland fire at Esperanza Road and Almond Street in Cabazon (about one mile from the origin of the June 14 </w:t>
      </w:r>
      <w:proofErr w:type="gramStart"/>
      <w:r w:rsidRPr="007448D6">
        <w:rPr>
          <w:rFonts w:ascii="Times New Roman" w:hAnsi="Times New Roman"/>
          <w:sz w:val="24"/>
          <w:szCs w:val="24"/>
        </w:rPr>
        <w:t>layover device</w:t>
      </w:r>
      <w:proofErr w:type="gramEnd"/>
      <w:r w:rsidRPr="007448D6">
        <w:rPr>
          <w:rFonts w:ascii="Times New Roman" w:hAnsi="Times New Roman"/>
          <w:sz w:val="24"/>
          <w:szCs w:val="24"/>
        </w:rPr>
        <w:t xml:space="preserve"> fire at Esperanza Road and Broadway). This fire would become known as the Esperanza Fire…. Around 7:00 a.m., the fire rapidly advanced on Engine 57, burned through the crew’s location, and </w:t>
      </w:r>
      <w:proofErr w:type="gramStart"/>
      <w:r w:rsidRPr="007448D6">
        <w:rPr>
          <w:rFonts w:ascii="Times New Roman" w:hAnsi="Times New Roman"/>
          <w:sz w:val="24"/>
          <w:szCs w:val="24"/>
        </w:rPr>
        <w:t>continued on</w:t>
      </w:r>
      <w:proofErr w:type="gramEnd"/>
      <w:r w:rsidRPr="007448D6">
        <w:rPr>
          <w:rFonts w:ascii="Times New Roman" w:hAnsi="Times New Roman"/>
          <w:sz w:val="24"/>
          <w:szCs w:val="24"/>
        </w:rPr>
        <w:t xml:space="preserve">. The crew members did not have time to deploy their emergency protective gear. Three of the firefighters — Daniel Hoover-Najera, Jess McLean, and Jason McKay — died at the scene. The other two crew members — Captain Mark Loutzenhiser and Pablo Cerda — were badly burned and were evacuated by helicopter. Loutzenhiser died at the hospital about three hours later; Cerda died at the hospital five days later.” </w:t>
      </w:r>
      <w:hyperlink r:id="rId82" w:history="1">
        <w:r w:rsidRPr="007448D6">
          <w:rPr>
            <w:rStyle w:val="Hyperlink"/>
            <w:rFonts w:ascii="Times New Roman" w:hAnsi="Times New Roman"/>
            <w:sz w:val="24"/>
            <w:szCs w:val="24"/>
          </w:rPr>
          <w:t>https://cases.justia.com/california/supreme-court/2025-s173784.pdf?ts=1746464481</w:t>
        </w:r>
      </w:hyperlink>
      <w:r w:rsidRPr="007448D6">
        <w:rPr>
          <w:rFonts w:ascii="Times New Roman" w:hAnsi="Times New Roman"/>
          <w:sz w:val="24"/>
          <w:szCs w:val="24"/>
        </w:rPr>
        <w:t xml:space="preserve"> </w:t>
      </w:r>
    </w:p>
    <w:p w14:paraId="428C38C1" w14:textId="77777777" w:rsidR="002249FF" w:rsidRDefault="002249FF" w:rsidP="007448D6">
      <w:pPr>
        <w:pStyle w:val="NoSpacing"/>
        <w:rPr>
          <w:rFonts w:ascii="Times New Roman" w:hAnsi="Times New Roman"/>
          <w:sz w:val="24"/>
          <w:szCs w:val="24"/>
        </w:rPr>
      </w:pPr>
    </w:p>
    <w:p w14:paraId="56C8EE78" w14:textId="77777777" w:rsidR="002249FF" w:rsidRPr="002249FF" w:rsidRDefault="002249FF" w:rsidP="002249FF">
      <w:pPr>
        <w:pStyle w:val="NoSpacing"/>
        <w:rPr>
          <w:rFonts w:ascii="Times New Roman" w:hAnsi="Times New Roman"/>
          <w:b/>
          <w:bCs/>
          <w:sz w:val="24"/>
          <w:szCs w:val="24"/>
        </w:rPr>
      </w:pPr>
      <w:r w:rsidRPr="002249FF">
        <w:rPr>
          <w:rFonts w:ascii="Times New Roman" w:hAnsi="Times New Roman"/>
          <w:b/>
          <w:sz w:val="24"/>
          <w:szCs w:val="24"/>
        </w:rPr>
        <w:t xml:space="preserve">Legal Lesson Learned: Death penalty </w:t>
      </w:r>
      <w:r w:rsidRPr="002249FF">
        <w:rPr>
          <w:rFonts w:ascii="Times New Roman" w:hAnsi="Times New Roman"/>
          <w:b/>
          <w:bCs/>
          <w:sz w:val="24"/>
          <w:szCs w:val="24"/>
        </w:rPr>
        <w:t xml:space="preserve">is the </w:t>
      </w:r>
      <w:r w:rsidRPr="002249FF">
        <w:rPr>
          <w:rFonts w:ascii="Times New Roman" w:hAnsi="Times New Roman"/>
          <w:b/>
          <w:sz w:val="24"/>
          <w:szCs w:val="24"/>
        </w:rPr>
        <w:t xml:space="preserve">appropriate penalty.  </w:t>
      </w:r>
    </w:p>
    <w:p w14:paraId="75714330" w14:textId="77777777" w:rsidR="002249FF" w:rsidRPr="002249FF" w:rsidRDefault="002249FF" w:rsidP="002249FF">
      <w:pPr>
        <w:pStyle w:val="NoSpacing"/>
        <w:rPr>
          <w:rFonts w:ascii="Times New Roman" w:hAnsi="Times New Roman"/>
          <w:b/>
          <w:bCs/>
          <w:sz w:val="24"/>
          <w:szCs w:val="24"/>
        </w:rPr>
      </w:pPr>
    </w:p>
    <w:p w14:paraId="152B813A" w14:textId="77777777" w:rsidR="002249FF" w:rsidRPr="002249FF" w:rsidRDefault="002249FF" w:rsidP="002249FF">
      <w:pPr>
        <w:pStyle w:val="NoSpacing"/>
        <w:ind w:left="720"/>
        <w:rPr>
          <w:rFonts w:ascii="Times New Roman" w:hAnsi="Times New Roman"/>
          <w:sz w:val="24"/>
          <w:szCs w:val="24"/>
        </w:rPr>
      </w:pPr>
      <w:r w:rsidRPr="002249FF">
        <w:rPr>
          <w:rFonts w:ascii="Times New Roman" w:hAnsi="Times New Roman"/>
          <w:sz w:val="24"/>
          <w:szCs w:val="24"/>
        </w:rPr>
        <w:t xml:space="preserve">Note: California Governor Gavin Newsome in 2019 issued a moratorium on imposing death penalty. </w:t>
      </w:r>
      <w:hyperlink r:id="rId83" w:history="1">
        <w:r w:rsidRPr="002249FF">
          <w:rPr>
            <w:rStyle w:val="Hyperlink"/>
            <w:rFonts w:ascii="Times New Roman" w:hAnsi="Times New Roman"/>
            <w:sz w:val="24"/>
            <w:szCs w:val="24"/>
          </w:rPr>
          <w:t>https://www.cdcr.ca.gov/capital-punishment/</w:t>
        </w:r>
      </w:hyperlink>
      <w:r w:rsidRPr="002249FF">
        <w:rPr>
          <w:rFonts w:ascii="Times New Roman" w:hAnsi="Times New Roman"/>
          <w:sz w:val="24"/>
          <w:szCs w:val="24"/>
        </w:rPr>
        <w:t xml:space="preserve"> </w:t>
      </w:r>
    </w:p>
    <w:p w14:paraId="41093A0E" w14:textId="77777777" w:rsidR="002249FF" w:rsidRPr="002249FF" w:rsidRDefault="002249FF" w:rsidP="002249FF">
      <w:pPr>
        <w:pStyle w:val="NoSpacing"/>
        <w:rPr>
          <w:rFonts w:ascii="Times New Roman" w:hAnsi="Times New Roman"/>
          <w:bCs/>
          <w:sz w:val="24"/>
          <w:szCs w:val="24"/>
        </w:rPr>
      </w:pPr>
    </w:p>
    <w:p w14:paraId="07D4945B" w14:textId="77777777" w:rsidR="00AC44B8" w:rsidRDefault="00AC44B8" w:rsidP="00B86628">
      <w:pPr>
        <w:pStyle w:val="NoSpacing"/>
        <w:rPr>
          <w:rFonts w:ascii="Arial Black" w:hAnsi="Arial Black"/>
          <w:sz w:val="24"/>
          <w:szCs w:val="24"/>
        </w:rPr>
      </w:pPr>
    </w:p>
    <w:p w14:paraId="71FA52D2" w14:textId="446670E7" w:rsidR="008D499E" w:rsidRDefault="00453E02" w:rsidP="00B86628">
      <w:pPr>
        <w:pStyle w:val="NoSpacing"/>
        <w:rPr>
          <w:rFonts w:ascii="Arial Black" w:hAnsi="Arial Black"/>
          <w:sz w:val="24"/>
          <w:szCs w:val="24"/>
        </w:rPr>
      </w:pPr>
      <w:r>
        <w:rPr>
          <w:rFonts w:ascii="Arial Black" w:hAnsi="Arial Black"/>
          <w:sz w:val="24"/>
          <w:szCs w:val="24"/>
        </w:rPr>
        <w:t>1-</w:t>
      </w:r>
      <w:r w:rsidR="002202B5">
        <w:rPr>
          <w:rFonts w:ascii="Arial Black" w:hAnsi="Arial Black"/>
          <w:sz w:val="24"/>
          <w:szCs w:val="24"/>
        </w:rPr>
        <w:t>178</w:t>
      </w:r>
    </w:p>
    <w:p w14:paraId="366F6FED" w14:textId="77777777" w:rsidR="003122E5" w:rsidRDefault="003122E5" w:rsidP="00B86628">
      <w:pPr>
        <w:pStyle w:val="NoSpacing"/>
        <w:rPr>
          <w:rFonts w:ascii="Arial Black" w:hAnsi="Arial Black"/>
          <w:sz w:val="24"/>
          <w:szCs w:val="24"/>
        </w:rPr>
      </w:pPr>
    </w:p>
    <w:p w14:paraId="5A1B7AF4" w14:textId="77777777" w:rsidR="003122E5" w:rsidRPr="00E510AC" w:rsidRDefault="003122E5" w:rsidP="003122E5">
      <w:pPr>
        <w:rPr>
          <w:rFonts w:ascii="Arial Black" w:hAnsi="Arial Black"/>
          <w:b/>
          <w:sz w:val="28"/>
          <w:szCs w:val="28"/>
        </w:rPr>
      </w:pPr>
      <w:r>
        <w:rPr>
          <w:rFonts w:ascii="Arial Black" w:hAnsi="Arial Black"/>
          <w:b/>
          <w:sz w:val="28"/>
          <w:szCs w:val="28"/>
        </w:rPr>
        <w:t>OR: HOMELESS - REMOVE NATIONAL FOREST - FIRES</w:t>
      </w:r>
    </w:p>
    <w:p w14:paraId="6B48CFA9" w14:textId="77777777" w:rsidR="003122E5" w:rsidRPr="003122E5" w:rsidRDefault="003122E5" w:rsidP="003122E5">
      <w:pPr>
        <w:rPr>
          <w:rFonts w:ascii="Times New Roman" w:hAnsi="Times New Roman"/>
          <w:bCs/>
          <w:sz w:val="24"/>
          <w:szCs w:val="24"/>
        </w:rPr>
      </w:pPr>
      <w:r w:rsidRPr="003122E5">
        <w:rPr>
          <w:rFonts w:ascii="Times New Roman" w:hAnsi="Times New Roman"/>
          <w:sz w:val="24"/>
          <w:szCs w:val="24"/>
        </w:rPr>
        <w:t xml:space="preserve">On May 1, 2025, in </w:t>
      </w:r>
      <w:r w:rsidRPr="003122E5">
        <w:rPr>
          <w:rFonts w:ascii="Times New Roman" w:hAnsi="Times New Roman"/>
          <w:sz w:val="24"/>
          <w:szCs w:val="24"/>
          <w:u w:val="single"/>
        </w:rPr>
        <w:t>Theresa Bradshaw, et al. v. Holly Jewkes, Bend-Fort Rock Ranger District, Deschutes National Forest, et al</w:t>
      </w:r>
      <w:r w:rsidRPr="003122E5">
        <w:rPr>
          <w:rFonts w:ascii="Times New Roman" w:hAnsi="Times New Roman"/>
          <w:sz w:val="24"/>
          <w:szCs w:val="24"/>
        </w:rPr>
        <w:t xml:space="preserve">.,  U.S. District Court Judge Michael J. McShane, United States District Court for the District of Oregon, Eugene Division, rejected the request of an organization on behalf of 150 homeless to stop U.S. Forest Service from closing a portion of the National Forest called China Hat.  There has been a significant increase in forest fires because of the homeless.  </w:t>
      </w:r>
      <w:hyperlink r:id="rId84" w:history="1">
        <w:r w:rsidRPr="003122E5">
          <w:rPr>
            <w:rStyle w:val="Hyperlink"/>
            <w:rFonts w:ascii="Times New Roman" w:hAnsi="Times New Roman"/>
            <w:sz w:val="24"/>
            <w:szCs w:val="24"/>
          </w:rPr>
          <w:t>https://ktvz.b-cdn.net/2025/05/TRO-ruling.pdf</w:t>
        </w:r>
      </w:hyperlink>
      <w:r w:rsidRPr="003122E5">
        <w:rPr>
          <w:rFonts w:ascii="Times New Roman" w:hAnsi="Times New Roman"/>
          <w:sz w:val="24"/>
          <w:szCs w:val="24"/>
        </w:rPr>
        <w:t xml:space="preserve"> </w:t>
      </w:r>
    </w:p>
    <w:p w14:paraId="7502E76C" w14:textId="77777777" w:rsidR="002714EB" w:rsidRPr="002714EB" w:rsidRDefault="002714EB" w:rsidP="002714EB">
      <w:pPr>
        <w:rPr>
          <w:rFonts w:ascii="Times New Roman" w:hAnsi="Times New Roman"/>
          <w:b/>
          <w:sz w:val="24"/>
          <w:szCs w:val="24"/>
        </w:rPr>
      </w:pPr>
      <w:r w:rsidRPr="002714EB">
        <w:rPr>
          <w:rFonts w:ascii="Times New Roman" w:hAnsi="Times New Roman"/>
          <w:b/>
          <w:sz w:val="24"/>
          <w:szCs w:val="24"/>
        </w:rPr>
        <w:t xml:space="preserve">Legal Lesson Learned: Public interest in prevention of forest fires outweighs the interest of homeless. </w:t>
      </w:r>
    </w:p>
    <w:p w14:paraId="7B35CD8C" w14:textId="0B751BB7" w:rsidR="003122E5" w:rsidRPr="002714EB" w:rsidRDefault="002714EB" w:rsidP="002714EB">
      <w:pPr>
        <w:pStyle w:val="NoSpacing"/>
        <w:ind w:left="720"/>
        <w:rPr>
          <w:rFonts w:ascii="Times New Roman" w:hAnsi="Times New Roman"/>
          <w:sz w:val="24"/>
          <w:szCs w:val="24"/>
        </w:rPr>
      </w:pPr>
      <w:r w:rsidRPr="002714EB">
        <w:rPr>
          <w:rFonts w:ascii="Times New Roman" w:hAnsi="Times New Roman"/>
          <w:sz w:val="24"/>
          <w:szCs w:val="24"/>
        </w:rPr>
        <w:t xml:space="preserve">Note: See this May 2, </w:t>
      </w:r>
      <w:proofErr w:type="gramStart"/>
      <w:r w:rsidRPr="002714EB">
        <w:rPr>
          <w:rFonts w:ascii="Times New Roman" w:hAnsi="Times New Roman"/>
          <w:sz w:val="24"/>
          <w:szCs w:val="24"/>
        </w:rPr>
        <w:t>2025</w:t>
      </w:r>
      <w:proofErr w:type="gramEnd"/>
      <w:r w:rsidRPr="002714EB">
        <w:rPr>
          <w:rFonts w:ascii="Times New Roman" w:hAnsi="Times New Roman"/>
          <w:sz w:val="24"/>
          <w:szCs w:val="24"/>
        </w:rPr>
        <w:t xml:space="preserve"> article, “US Forest Service starts clearing homeless camp in Oregon national forest, where some have lived for years.” </w:t>
      </w:r>
      <w:hyperlink r:id="rId85" w:history="1">
        <w:r w:rsidRPr="002714EB">
          <w:rPr>
            <w:rStyle w:val="Hyperlink"/>
            <w:rFonts w:ascii="Times New Roman" w:hAnsi="Times New Roman"/>
            <w:sz w:val="24"/>
            <w:szCs w:val="24"/>
          </w:rPr>
          <w:t>https://www.cnn.com/2025/05/02/us/oregon-deschutes-national-forest-eviction-hnk</w:t>
        </w:r>
      </w:hyperlink>
    </w:p>
    <w:p w14:paraId="5A781FC7" w14:textId="77777777" w:rsidR="002202B5" w:rsidRDefault="002202B5" w:rsidP="00B86628">
      <w:pPr>
        <w:pStyle w:val="NoSpacing"/>
        <w:rPr>
          <w:rFonts w:ascii="Arial Black" w:hAnsi="Arial Black"/>
          <w:sz w:val="24"/>
          <w:szCs w:val="24"/>
        </w:rPr>
      </w:pPr>
    </w:p>
    <w:p w14:paraId="29F13EA2" w14:textId="77777777" w:rsidR="002202B5" w:rsidRDefault="002202B5" w:rsidP="00B86628">
      <w:pPr>
        <w:pStyle w:val="NoSpacing"/>
        <w:rPr>
          <w:rFonts w:ascii="Arial Black" w:hAnsi="Arial Black"/>
          <w:sz w:val="24"/>
          <w:szCs w:val="24"/>
        </w:rPr>
      </w:pPr>
    </w:p>
    <w:p w14:paraId="767E7C37" w14:textId="1D533C35" w:rsidR="003C62F5" w:rsidRPr="002202B5" w:rsidRDefault="00453E02" w:rsidP="00B86628">
      <w:pPr>
        <w:pStyle w:val="NoSpacing"/>
        <w:rPr>
          <w:rFonts w:ascii="Arial Black" w:hAnsi="Arial Black"/>
          <w:sz w:val="24"/>
          <w:szCs w:val="24"/>
        </w:rPr>
      </w:pPr>
      <w:r>
        <w:rPr>
          <w:rFonts w:ascii="Arial Black" w:hAnsi="Arial Black"/>
          <w:sz w:val="24"/>
          <w:szCs w:val="24"/>
        </w:rPr>
        <w:t>1-</w:t>
      </w:r>
      <w:r w:rsidR="003C62F5" w:rsidRPr="002202B5">
        <w:rPr>
          <w:rFonts w:ascii="Arial Black" w:hAnsi="Arial Black"/>
          <w:sz w:val="24"/>
          <w:szCs w:val="24"/>
        </w:rPr>
        <w:t>177</w:t>
      </w:r>
    </w:p>
    <w:p w14:paraId="7DB2F45F" w14:textId="77777777" w:rsidR="002202B5" w:rsidRDefault="002202B5" w:rsidP="003C62F5">
      <w:pPr>
        <w:rPr>
          <w:rFonts w:ascii="Arial Black" w:hAnsi="Arial Black"/>
          <w:sz w:val="28"/>
          <w:szCs w:val="28"/>
        </w:rPr>
      </w:pPr>
    </w:p>
    <w:p w14:paraId="49A20867" w14:textId="3ECA9B41" w:rsidR="003C62F5" w:rsidRPr="00AE4361" w:rsidRDefault="003C62F5" w:rsidP="003C62F5">
      <w:pPr>
        <w:rPr>
          <w:rFonts w:ascii="Arial Black" w:hAnsi="Arial Black"/>
          <w:bCs/>
          <w:sz w:val="28"/>
          <w:szCs w:val="28"/>
        </w:rPr>
      </w:pPr>
      <w:r>
        <w:rPr>
          <w:rFonts w:ascii="Arial Black" w:hAnsi="Arial Black"/>
          <w:sz w:val="28"/>
          <w:szCs w:val="28"/>
        </w:rPr>
        <w:t>IN: WIFE HAD FF MURDERED – CONV. UPHELD / 90 YRS</w:t>
      </w:r>
    </w:p>
    <w:p w14:paraId="68293081" w14:textId="77777777" w:rsidR="003C62F5" w:rsidRPr="003C62F5" w:rsidRDefault="003C62F5" w:rsidP="003C62F5">
      <w:pPr>
        <w:pStyle w:val="NoSpacing"/>
        <w:rPr>
          <w:rFonts w:ascii="Times New Roman" w:hAnsi="Times New Roman"/>
          <w:bCs/>
          <w:sz w:val="24"/>
          <w:szCs w:val="24"/>
        </w:rPr>
      </w:pPr>
      <w:r w:rsidRPr="003C62F5">
        <w:rPr>
          <w:rFonts w:ascii="Times New Roman" w:hAnsi="Times New Roman"/>
          <w:sz w:val="24"/>
          <w:szCs w:val="24"/>
        </w:rPr>
        <w:t xml:space="preserve">On May 1, 2025, in </w:t>
      </w:r>
      <w:r w:rsidRPr="003C62F5">
        <w:rPr>
          <w:rFonts w:ascii="Times New Roman" w:hAnsi="Times New Roman"/>
          <w:sz w:val="24"/>
          <w:szCs w:val="24"/>
          <w:u w:val="single"/>
        </w:rPr>
        <w:t>Elizabeth Joanne Fox-Doerr v. State of Indiana</w:t>
      </w:r>
      <w:r w:rsidRPr="003C62F5">
        <w:rPr>
          <w:rFonts w:ascii="Times New Roman" w:hAnsi="Times New Roman"/>
          <w:sz w:val="24"/>
          <w:szCs w:val="24"/>
        </w:rPr>
        <w:t>,</w:t>
      </w:r>
      <w:r w:rsidRPr="003C62F5">
        <w:rPr>
          <w:rFonts w:ascii="Times New Roman" w:hAnsi="Times New Roman"/>
          <w:b/>
          <w:sz w:val="24"/>
          <w:szCs w:val="24"/>
        </w:rPr>
        <w:t xml:space="preserve"> </w:t>
      </w:r>
      <w:r w:rsidRPr="003C62F5">
        <w:rPr>
          <w:rFonts w:ascii="Times New Roman" w:hAnsi="Times New Roman"/>
          <w:sz w:val="24"/>
          <w:szCs w:val="24"/>
        </w:rPr>
        <w:t xml:space="preserve">the Court of Appeals of Indiana held (3 to 0; unpublished opinion) that there was sufficient evidence for jury to find that she arranged for the murder of Evanston firefighter Robert Doer on February 26, 2019, and the trial court properly sentenced her to 90 years in prison.  Larry Ali Richmond, Sr. was indicted for shooting Robert Doer.  </w:t>
      </w:r>
      <w:hyperlink r:id="rId86" w:history="1">
        <w:r w:rsidRPr="003C62F5">
          <w:rPr>
            <w:rStyle w:val="Hyperlink"/>
            <w:rFonts w:ascii="Times New Roman" w:hAnsi="Times New Roman"/>
            <w:sz w:val="24"/>
            <w:szCs w:val="24"/>
          </w:rPr>
          <w:t>https://www.aol.com/trial-delayed-man-accused-fatally-135028116.html</w:t>
        </w:r>
      </w:hyperlink>
      <w:r w:rsidRPr="003C62F5">
        <w:rPr>
          <w:rFonts w:ascii="Times New Roman" w:hAnsi="Times New Roman"/>
          <w:sz w:val="24"/>
          <w:szCs w:val="24"/>
        </w:rPr>
        <w:t xml:space="preserve"> . Elizabeth Fox-Doerr was tried first and convicted by a jury of aiding, inducing, or causing murder of her husband; they were only married for about six months (this was her third or fourth marriage).  At some point prior to February of 2019, Larry Ali Richmond’s son had observed Richmond and Fox-Doerr kissing.  On Feb. 26, 2019, firefighter Robert Doer worked a partial shift, returned home at 7:04 </w:t>
      </w:r>
      <w:r w:rsidRPr="003C62F5">
        <w:rPr>
          <w:rFonts w:ascii="Times New Roman" w:hAnsi="Times New Roman"/>
          <w:sz w:val="24"/>
          <w:szCs w:val="24"/>
        </w:rPr>
        <w:lastRenderedPageBreak/>
        <w:t xml:space="preserve">pm and was shot three times.  </w:t>
      </w:r>
      <w:hyperlink r:id="rId87" w:history="1">
        <w:r w:rsidRPr="003C62F5">
          <w:rPr>
            <w:rStyle w:val="Hyperlink"/>
            <w:rFonts w:ascii="Times New Roman" w:hAnsi="Times New Roman"/>
            <w:sz w:val="24"/>
            <w:szCs w:val="24"/>
          </w:rPr>
          <w:t>https://cases.justia.com/indiana/court-of-appeals/2025-24a-cr-01673.pdf?ts=1746121391</w:t>
        </w:r>
      </w:hyperlink>
    </w:p>
    <w:p w14:paraId="0F36C3F2" w14:textId="77777777" w:rsidR="003C62F5" w:rsidRPr="003C62F5" w:rsidRDefault="003C62F5" w:rsidP="003C62F5">
      <w:pPr>
        <w:pStyle w:val="NoSpacing"/>
        <w:rPr>
          <w:rFonts w:ascii="Times New Roman" w:hAnsi="Times New Roman"/>
          <w:bCs/>
          <w:sz w:val="24"/>
          <w:szCs w:val="24"/>
        </w:rPr>
      </w:pPr>
    </w:p>
    <w:p w14:paraId="2C9238CE" w14:textId="77777777" w:rsidR="00267F30" w:rsidRPr="00267F30" w:rsidRDefault="00267F30" w:rsidP="00267F30">
      <w:pPr>
        <w:rPr>
          <w:b/>
          <w:sz w:val="24"/>
          <w:szCs w:val="24"/>
        </w:rPr>
      </w:pPr>
      <w:r w:rsidRPr="00267F30">
        <w:rPr>
          <w:b/>
          <w:sz w:val="24"/>
          <w:szCs w:val="24"/>
        </w:rPr>
        <w:t xml:space="preserve">Legal Lesson Learned: The Court will not “reweigh the evidence” of conspiracy presented at trial. </w:t>
      </w:r>
    </w:p>
    <w:p w14:paraId="0099F781" w14:textId="77777777" w:rsidR="00267F30" w:rsidRPr="00267F30" w:rsidRDefault="00267F30" w:rsidP="00267F30">
      <w:pPr>
        <w:ind w:left="720"/>
        <w:rPr>
          <w:bCs/>
          <w:sz w:val="24"/>
          <w:szCs w:val="24"/>
        </w:rPr>
      </w:pPr>
      <w:r w:rsidRPr="00267F30">
        <w:rPr>
          <w:sz w:val="24"/>
          <w:szCs w:val="24"/>
        </w:rPr>
        <w:t xml:space="preserve">Note: Watch her sentencing on June 17, 2024.  “Convicted killer and wife of Evansville firefighter sentenced [TV VIDEO]. </w:t>
      </w:r>
      <w:hyperlink r:id="rId88" w:history="1">
        <w:r w:rsidRPr="00267F30">
          <w:rPr>
            <w:rStyle w:val="Hyperlink"/>
            <w:sz w:val="24"/>
            <w:szCs w:val="24"/>
          </w:rPr>
          <w:t>https://www.14news.com/2024/06/17/convicted-killer-evansville-firefighter-set-be-sentenced-this-afternoon/</w:t>
        </w:r>
      </w:hyperlink>
      <w:r w:rsidRPr="00267F30">
        <w:rPr>
          <w:sz w:val="24"/>
          <w:szCs w:val="24"/>
        </w:rPr>
        <w:t xml:space="preserve"> </w:t>
      </w:r>
    </w:p>
    <w:p w14:paraId="2DB8B9F9" w14:textId="77777777" w:rsidR="00267F30" w:rsidRPr="00F562BC" w:rsidRDefault="00267F30" w:rsidP="00267F30">
      <w:pPr>
        <w:ind w:left="720"/>
        <w:rPr>
          <w:b/>
        </w:rPr>
      </w:pPr>
      <w:r w:rsidRPr="00267F30">
        <w:rPr>
          <w:sz w:val="24"/>
          <w:szCs w:val="24"/>
        </w:rPr>
        <w:t xml:space="preserve">Aug. 18, 2022: “Wife and convicted murderer both charged in death of Evansville firefighter.” </w:t>
      </w:r>
      <w:hyperlink r:id="rId89" w:history="1">
        <w:r w:rsidRPr="00267F30">
          <w:rPr>
            <w:rStyle w:val="Hyperlink"/>
            <w:sz w:val="24"/>
            <w:szCs w:val="24"/>
          </w:rPr>
          <w:t>https://www.14news.com/2022/08/18/wife-convicted-murderer-both-charged-death-evansville-firefighter/</w:t>
        </w:r>
      </w:hyperlink>
      <w:r>
        <w:rPr>
          <w:b/>
        </w:rPr>
        <w:t xml:space="preserve"> </w:t>
      </w:r>
    </w:p>
    <w:p w14:paraId="693BE75B" w14:textId="77777777" w:rsidR="003C62F5" w:rsidRDefault="003C62F5" w:rsidP="00B86628">
      <w:pPr>
        <w:pStyle w:val="NoSpacing"/>
        <w:rPr>
          <w:rFonts w:ascii="Arial Black" w:hAnsi="Arial Black"/>
          <w:sz w:val="24"/>
          <w:szCs w:val="24"/>
        </w:rPr>
      </w:pPr>
    </w:p>
    <w:p w14:paraId="181C8DF3" w14:textId="77777777" w:rsidR="003C62F5" w:rsidRDefault="003C62F5" w:rsidP="00B86628">
      <w:pPr>
        <w:pStyle w:val="NoSpacing"/>
        <w:rPr>
          <w:rFonts w:ascii="Arial Black" w:hAnsi="Arial Black"/>
          <w:sz w:val="24"/>
          <w:szCs w:val="24"/>
        </w:rPr>
      </w:pPr>
    </w:p>
    <w:p w14:paraId="7A5FF2DE" w14:textId="3FCFB3A8" w:rsidR="00B9138D" w:rsidRDefault="00453E02" w:rsidP="00B86628">
      <w:pPr>
        <w:pStyle w:val="NoSpacing"/>
        <w:rPr>
          <w:rFonts w:ascii="Arial Black" w:hAnsi="Arial Black"/>
          <w:sz w:val="24"/>
          <w:szCs w:val="24"/>
        </w:rPr>
      </w:pPr>
      <w:r>
        <w:rPr>
          <w:rFonts w:ascii="Arial Black" w:hAnsi="Arial Black"/>
          <w:sz w:val="24"/>
          <w:szCs w:val="24"/>
        </w:rPr>
        <w:t>1-</w:t>
      </w:r>
      <w:r w:rsidR="00B9138D">
        <w:rPr>
          <w:rFonts w:ascii="Arial Black" w:hAnsi="Arial Black"/>
          <w:sz w:val="24"/>
          <w:szCs w:val="24"/>
        </w:rPr>
        <w:t>176</w:t>
      </w:r>
    </w:p>
    <w:p w14:paraId="2F89B39F" w14:textId="77777777" w:rsidR="00B9138D" w:rsidRDefault="00B9138D" w:rsidP="00B86628">
      <w:pPr>
        <w:pStyle w:val="NoSpacing"/>
        <w:rPr>
          <w:rFonts w:ascii="Arial Black" w:hAnsi="Arial Black"/>
          <w:sz w:val="24"/>
          <w:szCs w:val="24"/>
        </w:rPr>
      </w:pPr>
    </w:p>
    <w:p w14:paraId="48AA7DE0" w14:textId="77777777" w:rsidR="00B9138D" w:rsidRPr="00B71F72" w:rsidRDefault="00B9138D" w:rsidP="00B9138D">
      <w:pPr>
        <w:rPr>
          <w:rFonts w:ascii="Arial Black" w:hAnsi="Arial Black"/>
          <w:bCs/>
          <w:sz w:val="28"/>
          <w:szCs w:val="28"/>
        </w:rPr>
      </w:pPr>
      <w:r>
        <w:rPr>
          <w:rFonts w:ascii="Arial Black" w:hAnsi="Arial Black"/>
          <w:sz w:val="28"/>
          <w:szCs w:val="28"/>
        </w:rPr>
        <w:t>PA: FF EX-WIFE CONV. – GARAGE FIRE – HER FACEBOOK</w:t>
      </w:r>
    </w:p>
    <w:p w14:paraId="7024A3BD" w14:textId="4FABC9B9" w:rsidR="00B9138D" w:rsidRPr="00B9138D" w:rsidRDefault="00B9138D" w:rsidP="00B9138D">
      <w:pPr>
        <w:pStyle w:val="NoSpacing"/>
        <w:rPr>
          <w:rFonts w:ascii="Times New Roman" w:hAnsi="Times New Roman"/>
          <w:sz w:val="24"/>
          <w:szCs w:val="24"/>
        </w:rPr>
      </w:pPr>
      <w:r w:rsidRPr="00B9138D">
        <w:rPr>
          <w:rFonts w:ascii="Times New Roman" w:hAnsi="Times New Roman"/>
          <w:sz w:val="24"/>
          <w:szCs w:val="24"/>
        </w:rPr>
        <w:t xml:space="preserve">On April 29, </w:t>
      </w:r>
      <w:proofErr w:type="gramStart"/>
      <w:r w:rsidRPr="00B9138D">
        <w:rPr>
          <w:rFonts w:ascii="Times New Roman" w:hAnsi="Times New Roman"/>
          <w:sz w:val="24"/>
          <w:szCs w:val="24"/>
        </w:rPr>
        <w:t>2025</w:t>
      </w:r>
      <w:proofErr w:type="gramEnd"/>
      <w:r w:rsidRPr="00B9138D">
        <w:rPr>
          <w:rFonts w:ascii="Times New Roman" w:hAnsi="Times New Roman"/>
          <w:sz w:val="24"/>
          <w:szCs w:val="24"/>
        </w:rPr>
        <w:t xml:space="preserve"> in </w:t>
      </w:r>
      <w:r w:rsidRPr="00B9138D">
        <w:rPr>
          <w:rFonts w:ascii="Times New Roman" w:hAnsi="Times New Roman"/>
          <w:sz w:val="24"/>
          <w:szCs w:val="24"/>
          <w:u w:val="single"/>
        </w:rPr>
        <w:t>Commonwealth of Pennsylvania v. Nia C. Stallworth</w:t>
      </w:r>
      <w:r w:rsidRPr="00B9138D">
        <w:rPr>
          <w:rFonts w:ascii="Times New Roman" w:hAnsi="Times New Roman"/>
          <w:sz w:val="24"/>
          <w:szCs w:val="24"/>
        </w:rPr>
        <w:t xml:space="preserve">, the Superior Court of Pennsylvania held (3 to 0; non-precedential decision) that trial court judge in bench trial properly allowed into evidence a Facebook posting by the ex-wife of a Philadelphia firefighter, Timothy Rawls.  It was a screenshot of a Facebook post … with two photographs of Rawls’ damaged garage and captioned “These mutha </w:t>
      </w:r>
      <w:proofErr w:type="spellStart"/>
      <w:r w:rsidRPr="00B9138D">
        <w:rPr>
          <w:rFonts w:ascii="Times New Roman" w:hAnsi="Times New Roman"/>
          <w:sz w:val="24"/>
          <w:szCs w:val="24"/>
        </w:rPr>
        <w:t>Fuckas</w:t>
      </w:r>
      <w:proofErr w:type="spellEnd"/>
      <w:r w:rsidRPr="00B9138D">
        <w:rPr>
          <w:rFonts w:ascii="Times New Roman" w:hAnsi="Times New Roman"/>
          <w:sz w:val="24"/>
          <w:szCs w:val="24"/>
        </w:rPr>
        <w:t xml:space="preserve"> know I’m fucking crazy!! </w:t>
      </w:r>
      <w:proofErr w:type="gramStart"/>
      <w:r w:rsidRPr="00B9138D">
        <w:rPr>
          <w:rFonts w:ascii="Times New Roman" w:hAnsi="Times New Roman"/>
          <w:sz w:val="24"/>
          <w:szCs w:val="24"/>
        </w:rPr>
        <w:t>Yeah</w:t>
      </w:r>
      <w:proofErr w:type="gramEnd"/>
      <w:r w:rsidRPr="00B9138D">
        <w:rPr>
          <w:rFonts w:ascii="Times New Roman" w:hAnsi="Times New Roman"/>
          <w:sz w:val="24"/>
          <w:szCs w:val="24"/>
        </w:rPr>
        <w:t xml:space="preserve"> I set your shit on [fire emoji] bitch.”  The trial court judge found her guilty of criminal mischief, graded as a felony of the third degree, based upon her causing a pecuniary loss </w:t>
      </w:r>
      <w:proofErr w:type="gramStart"/>
      <w:r w:rsidRPr="00B9138D">
        <w:rPr>
          <w:rFonts w:ascii="Times New Roman" w:hAnsi="Times New Roman"/>
          <w:sz w:val="24"/>
          <w:szCs w:val="24"/>
        </w:rPr>
        <w:t>in excess of</w:t>
      </w:r>
      <w:proofErr w:type="gramEnd"/>
      <w:r w:rsidRPr="00B9138D">
        <w:rPr>
          <w:rFonts w:ascii="Times New Roman" w:hAnsi="Times New Roman"/>
          <w:sz w:val="24"/>
          <w:szCs w:val="24"/>
        </w:rPr>
        <w:t xml:space="preserve"> $5,000; but not guilty of arson, and sentenced her to two years’ probation. </w:t>
      </w:r>
      <w:hyperlink r:id="rId90" w:history="1">
        <w:r w:rsidRPr="00B9138D">
          <w:rPr>
            <w:rStyle w:val="Hyperlink"/>
            <w:rFonts w:ascii="Times New Roman" w:hAnsi="Times New Roman"/>
            <w:sz w:val="24"/>
            <w:szCs w:val="24"/>
          </w:rPr>
          <w:t>https://cases.justia.com/pennsylvania/superior-court/2025-76-eda-2024.pdf?ts=1745952844</w:t>
        </w:r>
      </w:hyperlink>
    </w:p>
    <w:p w14:paraId="507DE540" w14:textId="77777777" w:rsidR="00B9138D" w:rsidRDefault="00B9138D" w:rsidP="00B86628">
      <w:pPr>
        <w:pStyle w:val="NoSpacing"/>
        <w:rPr>
          <w:rFonts w:ascii="Arial Black" w:hAnsi="Arial Black"/>
          <w:sz w:val="24"/>
          <w:szCs w:val="24"/>
        </w:rPr>
      </w:pPr>
    </w:p>
    <w:p w14:paraId="45CA57EF" w14:textId="4A164792" w:rsidR="00D72EC2" w:rsidRPr="00D72EC2" w:rsidRDefault="00D72EC2" w:rsidP="00D72EC2">
      <w:pPr>
        <w:rPr>
          <w:b/>
          <w:sz w:val="24"/>
          <w:szCs w:val="24"/>
        </w:rPr>
      </w:pPr>
      <w:r w:rsidRPr="00D72EC2">
        <w:rPr>
          <w:rFonts w:ascii="Times New Roman" w:hAnsi="Times New Roman"/>
          <w:b/>
          <w:sz w:val="24"/>
          <w:szCs w:val="24"/>
        </w:rPr>
        <w:t xml:space="preserve">Legal Lesson Learned:  The Facebook post by </w:t>
      </w:r>
      <w:r>
        <w:rPr>
          <w:rFonts w:ascii="Times New Roman" w:hAnsi="Times New Roman"/>
          <w:b/>
          <w:sz w:val="24"/>
          <w:szCs w:val="24"/>
        </w:rPr>
        <w:t>ex-</w:t>
      </w:r>
      <w:r w:rsidRPr="00D72EC2">
        <w:rPr>
          <w:rFonts w:ascii="Times New Roman" w:hAnsi="Times New Roman"/>
          <w:b/>
          <w:sz w:val="24"/>
          <w:szCs w:val="24"/>
        </w:rPr>
        <w:t>wife was authenticated</w:t>
      </w:r>
      <w:r w:rsidRPr="00D72EC2">
        <w:rPr>
          <w:b/>
          <w:sz w:val="24"/>
          <w:szCs w:val="24"/>
        </w:rPr>
        <w:t xml:space="preserve">. </w:t>
      </w:r>
    </w:p>
    <w:p w14:paraId="536ADDC3" w14:textId="77777777" w:rsidR="00D72EC2" w:rsidRDefault="00D72EC2" w:rsidP="00B86628">
      <w:pPr>
        <w:pStyle w:val="NoSpacing"/>
        <w:rPr>
          <w:rFonts w:ascii="Arial Black" w:hAnsi="Arial Black"/>
          <w:sz w:val="24"/>
          <w:szCs w:val="24"/>
        </w:rPr>
      </w:pPr>
    </w:p>
    <w:p w14:paraId="49C41D0D" w14:textId="77777777" w:rsidR="00B9138D" w:rsidRDefault="00B9138D" w:rsidP="00B86628">
      <w:pPr>
        <w:pStyle w:val="NoSpacing"/>
        <w:rPr>
          <w:rFonts w:ascii="Arial Black" w:hAnsi="Arial Black"/>
          <w:sz w:val="24"/>
          <w:szCs w:val="24"/>
        </w:rPr>
      </w:pPr>
    </w:p>
    <w:p w14:paraId="0EBE4701" w14:textId="10A8371C" w:rsidR="008D499E" w:rsidRDefault="00453E02" w:rsidP="00B86628">
      <w:pPr>
        <w:pStyle w:val="NoSpacing"/>
        <w:rPr>
          <w:rFonts w:ascii="Arial Black" w:hAnsi="Arial Black"/>
          <w:sz w:val="24"/>
          <w:szCs w:val="24"/>
        </w:rPr>
      </w:pPr>
      <w:r>
        <w:rPr>
          <w:rFonts w:ascii="Arial Black" w:hAnsi="Arial Black"/>
          <w:sz w:val="24"/>
          <w:szCs w:val="24"/>
        </w:rPr>
        <w:t>1-</w:t>
      </w:r>
      <w:r w:rsidR="008D499E">
        <w:rPr>
          <w:rFonts w:ascii="Arial Black" w:hAnsi="Arial Black"/>
          <w:sz w:val="24"/>
          <w:szCs w:val="24"/>
        </w:rPr>
        <w:t>175</w:t>
      </w:r>
    </w:p>
    <w:p w14:paraId="6F060733" w14:textId="77777777" w:rsidR="008D499E" w:rsidRDefault="008D499E" w:rsidP="00B86628">
      <w:pPr>
        <w:pStyle w:val="NoSpacing"/>
        <w:rPr>
          <w:rFonts w:ascii="Arial Black" w:hAnsi="Arial Black"/>
          <w:sz w:val="24"/>
          <w:szCs w:val="24"/>
        </w:rPr>
      </w:pPr>
    </w:p>
    <w:p w14:paraId="57DD6EA0" w14:textId="77777777" w:rsidR="008D499E" w:rsidRDefault="008D499E" w:rsidP="008D499E">
      <w:pPr>
        <w:spacing w:after="0"/>
        <w:rPr>
          <w:rFonts w:ascii="Arial Black" w:hAnsi="Arial Black"/>
          <w:b/>
          <w:bCs/>
          <w:sz w:val="28"/>
          <w:szCs w:val="28"/>
        </w:rPr>
      </w:pPr>
      <w:r>
        <w:rPr>
          <w:rFonts w:ascii="Arial Black" w:hAnsi="Arial Black"/>
          <w:b/>
          <w:sz w:val="28"/>
          <w:szCs w:val="28"/>
        </w:rPr>
        <w:t>MO: ARSON - HOUSE FIRE - INSURED $350K / WORTH $60K</w:t>
      </w:r>
    </w:p>
    <w:p w14:paraId="64E9CC82" w14:textId="77777777" w:rsidR="008D499E" w:rsidRPr="00E57AE8" w:rsidRDefault="008D499E" w:rsidP="008D499E">
      <w:pPr>
        <w:spacing w:after="0"/>
        <w:rPr>
          <w:rFonts w:ascii="Times New Roman" w:hAnsi="Times New Roman"/>
          <w:sz w:val="24"/>
          <w:szCs w:val="24"/>
        </w:rPr>
      </w:pPr>
    </w:p>
    <w:p w14:paraId="78579601" w14:textId="77777777" w:rsidR="008D499E" w:rsidRPr="00C60EC1" w:rsidRDefault="008D499E" w:rsidP="008D499E">
      <w:pPr>
        <w:spacing w:after="0"/>
        <w:rPr>
          <w:rFonts w:ascii="Times New Roman" w:hAnsi="Times New Roman"/>
          <w:sz w:val="24"/>
          <w:szCs w:val="24"/>
        </w:rPr>
      </w:pPr>
      <w:r w:rsidRPr="00C60EC1">
        <w:rPr>
          <w:rFonts w:ascii="Times New Roman" w:hAnsi="Times New Roman"/>
          <w:sz w:val="24"/>
          <w:szCs w:val="24"/>
        </w:rPr>
        <w:t xml:space="preserve">On March 24, 2025, in </w:t>
      </w:r>
      <w:proofErr w:type="spellStart"/>
      <w:r w:rsidRPr="00C60EC1">
        <w:rPr>
          <w:rFonts w:ascii="Times New Roman" w:hAnsi="Times New Roman"/>
          <w:sz w:val="24"/>
          <w:szCs w:val="24"/>
          <w:u w:val="single"/>
        </w:rPr>
        <w:t>Amguard</w:t>
      </w:r>
      <w:proofErr w:type="spellEnd"/>
      <w:r w:rsidRPr="00C60EC1">
        <w:rPr>
          <w:rFonts w:ascii="Times New Roman" w:hAnsi="Times New Roman"/>
          <w:sz w:val="24"/>
          <w:szCs w:val="24"/>
          <w:u w:val="single"/>
        </w:rPr>
        <w:t xml:space="preserve"> Insurance Company v. James Cantrell, III</w:t>
      </w:r>
      <w:r w:rsidRPr="00C60EC1">
        <w:rPr>
          <w:rFonts w:ascii="Times New Roman" w:hAnsi="Times New Roman"/>
          <w:sz w:val="24"/>
          <w:szCs w:val="24"/>
        </w:rPr>
        <w:t xml:space="preserve">, U.S. District Court Judge Douglas Harpool, U.S. District Court for the Western District of Missouri, Southern Division, denied the homeowner’s motion for partial summary judgment in a lawsuit by the insurance company.  The insurance company refused to pay claim for March 8, </w:t>
      </w:r>
      <w:proofErr w:type="gramStart"/>
      <w:r w:rsidRPr="00C60EC1">
        <w:rPr>
          <w:rFonts w:ascii="Times New Roman" w:hAnsi="Times New Roman"/>
          <w:sz w:val="24"/>
          <w:szCs w:val="24"/>
        </w:rPr>
        <w:t>2023</w:t>
      </w:r>
      <w:proofErr w:type="gramEnd"/>
      <w:r w:rsidRPr="00C60EC1">
        <w:rPr>
          <w:rFonts w:ascii="Times New Roman" w:hAnsi="Times New Roman"/>
          <w:sz w:val="24"/>
          <w:szCs w:val="24"/>
        </w:rPr>
        <w:t xml:space="preserve"> house fire of $525,000 ($350,000 for house; $175,000 personal property).  There was little property in the home at the time of the fire; he was observed at </w:t>
      </w:r>
      <w:proofErr w:type="gramStart"/>
      <w:r w:rsidRPr="00C60EC1">
        <w:rPr>
          <w:rFonts w:ascii="Times New Roman" w:hAnsi="Times New Roman"/>
          <w:sz w:val="24"/>
          <w:szCs w:val="24"/>
        </w:rPr>
        <w:t>the home</w:t>
      </w:r>
      <w:proofErr w:type="gramEnd"/>
      <w:r w:rsidRPr="00C60EC1">
        <w:rPr>
          <w:rFonts w:ascii="Times New Roman" w:hAnsi="Times New Roman"/>
          <w:sz w:val="24"/>
          <w:szCs w:val="24"/>
        </w:rPr>
        <w:t xml:space="preserve"> at 8:08 pm, and fire </w:t>
      </w:r>
      <w:proofErr w:type="gramStart"/>
      <w:r w:rsidRPr="00C60EC1">
        <w:rPr>
          <w:rFonts w:ascii="Times New Roman" w:hAnsi="Times New Roman"/>
          <w:sz w:val="24"/>
          <w:szCs w:val="24"/>
        </w:rPr>
        <w:t>run came</w:t>
      </w:r>
      <w:proofErr w:type="gramEnd"/>
      <w:r w:rsidRPr="00C60EC1">
        <w:rPr>
          <w:rFonts w:ascii="Times New Roman" w:hAnsi="Times New Roman"/>
          <w:sz w:val="24"/>
          <w:szCs w:val="24"/>
        </w:rPr>
        <w:t xml:space="preserve"> in at 8:32 pm; and the hydrant had been manually turned off. The homeowner’s wife, Kara Cantrell, testified in her deposition that his husband “had filed previous fire insurance claims in January 2020 when her vehicle and their log cabin in Fair Play, Missouri burned within twenty-four hours of each other…. Ms. Cantrell also testified that on February 27, 2023, Defendant had looked up on her phone how to total a house.” </w:t>
      </w:r>
      <w:hyperlink r:id="rId91" w:history="1">
        <w:r w:rsidRPr="00C60EC1">
          <w:rPr>
            <w:rStyle w:val="Hyperlink"/>
            <w:rFonts w:ascii="Times New Roman" w:hAnsi="Times New Roman"/>
            <w:sz w:val="24"/>
            <w:szCs w:val="24"/>
          </w:rPr>
          <w:t>https://public.fastcase.com/jaEE2PXzRXmZ99jOLMt1IvQQ%2FwWODLAEJBukBPNCALgft0sHziy1G1EiN</w:t>
        </w:r>
        <w:r w:rsidRPr="00C60EC1">
          <w:rPr>
            <w:rStyle w:val="Hyperlink"/>
            <w:rFonts w:ascii="Times New Roman" w:hAnsi="Times New Roman"/>
            <w:sz w:val="24"/>
            <w:szCs w:val="24"/>
          </w:rPr>
          <w:lastRenderedPageBreak/>
          <w:t>PA2la2I%2Bz7mV9PFJnpwehw24IHtnmGvfRX%2FCWFczT3vlKR%2B0P0%3D?utm_medium=email&amp;_hsenc=p2ANqtz--SWSAGzwwNdnG_VMPYwGihlDivIcGecVdTRk_nr30XIo07pFHIeVloVzlVGarTG9brlCuLB39_kFjuWt_H_cWvO7FD4A&amp;_hsmi=226712652&amp;utm_content=226712652&amp;utm_source=hs_email</w:t>
        </w:r>
      </w:hyperlink>
      <w:r w:rsidRPr="00C60EC1">
        <w:rPr>
          <w:rFonts w:ascii="Times New Roman" w:hAnsi="Times New Roman"/>
          <w:sz w:val="24"/>
          <w:szCs w:val="24"/>
        </w:rPr>
        <w:t xml:space="preserve"> </w:t>
      </w:r>
    </w:p>
    <w:p w14:paraId="58267EDB" w14:textId="77777777" w:rsidR="008D499E" w:rsidRPr="00C60EC1" w:rsidRDefault="008D499E" w:rsidP="00B86628">
      <w:pPr>
        <w:pStyle w:val="NoSpacing"/>
        <w:rPr>
          <w:rFonts w:ascii="Times New Roman" w:hAnsi="Times New Roman"/>
          <w:sz w:val="24"/>
          <w:szCs w:val="24"/>
        </w:rPr>
      </w:pPr>
    </w:p>
    <w:p w14:paraId="4D0A0C91" w14:textId="77777777" w:rsidR="00C60EC1" w:rsidRPr="00C60EC1" w:rsidRDefault="00C60EC1" w:rsidP="00C60EC1">
      <w:pPr>
        <w:spacing w:after="0"/>
        <w:rPr>
          <w:b/>
          <w:bCs/>
          <w:sz w:val="24"/>
          <w:szCs w:val="24"/>
        </w:rPr>
      </w:pPr>
      <w:r w:rsidRPr="00C60EC1">
        <w:rPr>
          <w:b/>
          <w:sz w:val="24"/>
          <w:szCs w:val="24"/>
        </w:rPr>
        <w:t xml:space="preserve">Legal Lesson Learned:  Insurance companies, when suspecting arson, can file lawsuits seeking court approval to not pay a suspicious claim. </w:t>
      </w:r>
    </w:p>
    <w:p w14:paraId="06CC6608" w14:textId="77777777" w:rsidR="00E57AE8" w:rsidRDefault="00E57AE8" w:rsidP="00B86628">
      <w:pPr>
        <w:pStyle w:val="NoSpacing"/>
        <w:rPr>
          <w:rFonts w:ascii="Arial Black" w:hAnsi="Arial Black"/>
          <w:sz w:val="24"/>
          <w:szCs w:val="24"/>
        </w:rPr>
      </w:pPr>
    </w:p>
    <w:p w14:paraId="5D23C62F" w14:textId="77777777" w:rsidR="008D499E" w:rsidRDefault="008D499E" w:rsidP="00B86628">
      <w:pPr>
        <w:pStyle w:val="NoSpacing"/>
        <w:rPr>
          <w:rFonts w:ascii="Arial Black" w:hAnsi="Arial Black"/>
          <w:sz w:val="24"/>
          <w:szCs w:val="24"/>
        </w:rPr>
      </w:pPr>
    </w:p>
    <w:p w14:paraId="5E5B7F81" w14:textId="1D305179" w:rsidR="00DA55B0" w:rsidRDefault="00453E02" w:rsidP="00B86628">
      <w:pPr>
        <w:pStyle w:val="NoSpacing"/>
        <w:rPr>
          <w:rFonts w:ascii="Arial Black" w:hAnsi="Arial Black"/>
          <w:sz w:val="24"/>
          <w:szCs w:val="24"/>
        </w:rPr>
      </w:pPr>
      <w:r>
        <w:rPr>
          <w:rFonts w:ascii="Arial Black" w:hAnsi="Arial Black"/>
          <w:sz w:val="24"/>
          <w:szCs w:val="24"/>
        </w:rPr>
        <w:t>1-</w:t>
      </w:r>
      <w:r w:rsidR="00DA55B0">
        <w:rPr>
          <w:rFonts w:ascii="Arial Black" w:hAnsi="Arial Black"/>
          <w:sz w:val="24"/>
          <w:szCs w:val="24"/>
        </w:rPr>
        <w:t>174</w:t>
      </w:r>
    </w:p>
    <w:p w14:paraId="7740C0D6" w14:textId="77777777" w:rsidR="00DA55B0" w:rsidRDefault="00DA55B0" w:rsidP="00B86628">
      <w:pPr>
        <w:pStyle w:val="NoSpacing"/>
        <w:rPr>
          <w:rFonts w:ascii="Arial Black" w:hAnsi="Arial Black"/>
          <w:sz w:val="24"/>
          <w:szCs w:val="24"/>
        </w:rPr>
      </w:pPr>
    </w:p>
    <w:p w14:paraId="7F37DB99" w14:textId="320890B7" w:rsidR="005C5C79" w:rsidRDefault="005C5C79" w:rsidP="005C5C79">
      <w:pPr>
        <w:rPr>
          <w:rFonts w:ascii="Arial Black" w:hAnsi="Arial Black"/>
          <w:sz w:val="28"/>
          <w:szCs w:val="28"/>
        </w:rPr>
      </w:pPr>
      <w:r w:rsidRPr="000B7F2C">
        <w:rPr>
          <w:rFonts w:ascii="Arial Black" w:hAnsi="Arial Black"/>
          <w:sz w:val="28"/>
          <w:szCs w:val="28"/>
        </w:rPr>
        <w:t xml:space="preserve">U.S. SUP. CT. – PROS. MUST CORRECT FALSE TESTIMONY </w:t>
      </w:r>
      <w:r w:rsidR="00D97A78">
        <w:rPr>
          <w:rFonts w:ascii="Arial Black" w:hAnsi="Arial Black"/>
          <w:sz w:val="28"/>
          <w:szCs w:val="28"/>
        </w:rPr>
        <w:t>– DEATH ROW INMATE NEW TRIAL</w:t>
      </w:r>
    </w:p>
    <w:p w14:paraId="1CF07A64" w14:textId="77777777" w:rsidR="005C5C79" w:rsidRPr="005C5C79" w:rsidRDefault="005C5C79" w:rsidP="005C5C79">
      <w:pPr>
        <w:pStyle w:val="NoSpacing"/>
        <w:rPr>
          <w:rFonts w:ascii="Times New Roman" w:hAnsi="Times New Roman"/>
          <w:bCs/>
          <w:sz w:val="24"/>
          <w:szCs w:val="24"/>
        </w:rPr>
      </w:pPr>
      <w:r w:rsidRPr="005C5C79">
        <w:rPr>
          <w:rFonts w:ascii="Times New Roman" w:hAnsi="Times New Roman"/>
          <w:sz w:val="24"/>
          <w:szCs w:val="24"/>
        </w:rPr>
        <w:t xml:space="preserve">On Feb. 25, 2025, in </w:t>
      </w:r>
      <w:r w:rsidRPr="005C5C79">
        <w:rPr>
          <w:rFonts w:ascii="Times New Roman" w:hAnsi="Times New Roman"/>
          <w:sz w:val="24"/>
          <w:szCs w:val="24"/>
          <w:u w:val="single"/>
        </w:rPr>
        <w:t>Richard Glossip v. Oklahoma</w:t>
      </w:r>
      <w:r w:rsidRPr="005C5C79">
        <w:rPr>
          <w:rFonts w:ascii="Times New Roman" w:hAnsi="Times New Roman"/>
          <w:sz w:val="24"/>
          <w:szCs w:val="24"/>
        </w:rPr>
        <w:t xml:space="preserve">, the U.S. Supreme Court held (5 to 3) that death row inmate Richard Glossip is entitled to a new trial, since the Oklahoma Attorney General admitted that prosecutors failed to disclose their key witness (Justin Sneed, who committed the murder with a baseball bat) falsely testified he did not suffer from bipolar disorder and was not administered lithium by jail psychiatrist to treat that condition   Richard Glossip was manager of the Best Budget Inn in Tulsa.  Sneed, a part-time employee, said he was paid by Glossip to kill the owner of the hotel (Barry Van Treese) to cover up Glossip’s embezzlement of hotel money.  Sneed testified against Glossip in exchange for avoiding the death penalty, and when first conviction was reversed for ineffective counsel, he testified in a second trial.  Sneed was the “only direct evidence connecting Glossip to the murder.” </w:t>
      </w:r>
      <w:hyperlink r:id="rId92" w:history="1">
        <w:r w:rsidRPr="005C5C79">
          <w:rPr>
            <w:rStyle w:val="Hyperlink"/>
            <w:rFonts w:ascii="Times New Roman" w:hAnsi="Times New Roman"/>
            <w:sz w:val="24"/>
            <w:szCs w:val="24"/>
          </w:rPr>
          <w:t>https://www.supremecourt.gov/opinions/24pdf/22-7466new_6479.pdf</w:t>
        </w:r>
      </w:hyperlink>
      <w:r w:rsidRPr="005C5C79">
        <w:rPr>
          <w:rFonts w:ascii="Times New Roman" w:hAnsi="Times New Roman"/>
          <w:sz w:val="24"/>
          <w:szCs w:val="24"/>
        </w:rPr>
        <w:t xml:space="preserve"> </w:t>
      </w:r>
    </w:p>
    <w:p w14:paraId="1E4C834B" w14:textId="77777777" w:rsidR="005C5C79" w:rsidRDefault="005C5C79" w:rsidP="005C5C79">
      <w:pPr>
        <w:pStyle w:val="NoSpacing"/>
        <w:rPr>
          <w:rFonts w:ascii="Times New Roman" w:hAnsi="Times New Roman"/>
          <w:sz w:val="24"/>
          <w:szCs w:val="24"/>
        </w:rPr>
      </w:pPr>
    </w:p>
    <w:p w14:paraId="509400E7" w14:textId="1B2CBC9D" w:rsidR="005C5C79" w:rsidRPr="005C5C79" w:rsidRDefault="005C5C79" w:rsidP="005C5C79">
      <w:pPr>
        <w:pStyle w:val="NoSpacing"/>
        <w:rPr>
          <w:rFonts w:ascii="Times New Roman" w:hAnsi="Times New Roman"/>
          <w:bCs/>
          <w:sz w:val="24"/>
          <w:szCs w:val="24"/>
        </w:rPr>
      </w:pPr>
      <w:r w:rsidRPr="005C5C79">
        <w:rPr>
          <w:rFonts w:ascii="Times New Roman" w:hAnsi="Times New Roman"/>
          <w:sz w:val="24"/>
          <w:szCs w:val="24"/>
        </w:rPr>
        <w:t>The Majority decision (by Justice Sonia Maria Sotomayor):</w:t>
      </w:r>
    </w:p>
    <w:p w14:paraId="58F38F0F" w14:textId="77777777" w:rsidR="005C5C79" w:rsidRPr="005C5C79" w:rsidRDefault="005C5C79" w:rsidP="005C5C79">
      <w:pPr>
        <w:pStyle w:val="NoSpacing"/>
        <w:rPr>
          <w:rFonts w:ascii="Times New Roman" w:hAnsi="Times New Roman"/>
          <w:bCs/>
          <w:sz w:val="24"/>
          <w:szCs w:val="24"/>
        </w:rPr>
      </w:pPr>
    </w:p>
    <w:p w14:paraId="17199174" w14:textId="6EC1F4CD" w:rsidR="005C5C79" w:rsidRPr="005C5C79" w:rsidRDefault="005C5C79" w:rsidP="005C5C79">
      <w:pPr>
        <w:pStyle w:val="NoSpacing"/>
        <w:ind w:left="720"/>
        <w:rPr>
          <w:rFonts w:ascii="Times New Roman" w:hAnsi="Times New Roman"/>
          <w:bCs/>
          <w:sz w:val="24"/>
          <w:szCs w:val="24"/>
        </w:rPr>
      </w:pPr>
      <w:r w:rsidRPr="005C5C79">
        <w:rPr>
          <w:rFonts w:ascii="Times New Roman" w:hAnsi="Times New Roman"/>
          <w:sz w:val="24"/>
          <w:szCs w:val="24"/>
        </w:rPr>
        <w:t>“Nearly two decades later, the State disclosed eight boxes of previously withheld documents from Glossip’s trial. These documents show that Sneed suffered from bipolar</w:t>
      </w:r>
      <w:r>
        <w:rPr>
          <w:rFonts w:ascii="Times New Roman" w:hAnsi="Times New Roman"/>
          <w:sz w:val="24"/>
          <w:szCs w:val="24"/>
        </w:rPr>
        <w:t xml:space="preserve"> </w:t>
      </w:r>
      <w:r w:rsidRPr="005C5C79">
        <w:rPr>
          <w:rFonts w:ascii="Times New Roman" w:hAnsi="Times New Roman"/>
          <w:sz w:val="24"/>
          <w:szCs w:val="24"/>
        </w:rPr>
        <w:t>disorder, which, combined with his known drug use, could have caused impulsive outbursts of violence. They also established, the State agrees, that a jail psychiatrist prescribed Sneed lithium to treat that condition, and that the prosecution allowed Sneed falsely to testify at trial that he had never seen a psychiatrist. Faced with that evidence,</w:t>
      </w:r>
    </w:p>
    <w:p w14:paraId="4AEDC5D7" w14:textId="77777777" w:rsidR="005C5C79" w:rsidRPr="005C5C79" w:rsidRDefault="005C5C79" w:rsidP="005C5C79">
      <w:pPr>
        <w:pStyle w:val="NoSpacing"/>
        <w:ind w:firstLine="720"/>
        <w:rPr>
          <w:rFonts w:ascii="Times New Roman" w:hAnsi="Times New Roman"/>
          <w:bCs/>
          <w:sz w:val="24"/>
          <w:szCs w:val="24"/>
        </w:rPr>
      </w:pPr>
      <w:r w:rsidRPr="005C5C79">
        <w:rPr>
          <w:rFonts w:ascii="Times New Roman" w:hAnsi="Times New Roman"/>
          <w:sz w:val="24"/>
          <w:szCs w:val="24"/>
        </w:rPr>
        <w:t>Oklahoma’s attorney general confessed error.</w:t>
      </w:r>
    </w:p>
    <w:p w14:paraId="1ECB9383" w14:textId="77777777" w:rsidR="005C5C79" w:rsidRPr="005C5C79" w:rsidRDefault="005C5C79" w:rsidP="005C5C79">
      <w:pPr>
        <w:pStyle w:val="NoSpacing"/>
        <w:rPr>
          <w:rFonts w:ascii="Times New Roman" w:hAnsi="Times New Roman"/>
          <w:bCs/>
          <w:sz w:val="24"/>
          <w:szCs w:val="24"/>
        </w:rPr>
      </w:pPr>
    </w:p>
    <w:p w14:paraId="02E6CA3B" w14:textId="77777777" w:rsidR="005C5C79" w:rsidRPr="005C5C79" w:rsidRDefault="005C5C79" w:rsidP="005C5C79">
      <w:pPr>
        <w:pStyle w:val="NoSpacing"/>
        <w:ind w:firstLine="720"/>
        <w:rPr>
          <w:rFonts w:ascii="Times New Roman" w:hAnsi="Times New Roman"/>
          <w:bCs/>
          <w:sz w:val="24"/>
          <w:szCs w:val="24"/>
        </w:rPr>
      </w:pPr>
      <w:r w:rsidRPr="005C5C79">
        <w:rPr>
          <w:rFonts w:ascii="Times New Roman" w:hAnsi="Times New Roman"/>
          <w:sz w:val="24"/>
          <w:szCs w:val="24"/>
        </w:rPr>
        <w:t>***</w:t>
      </w:r>
    </w:p>
    <w:p w14:paraId="6AE8F167" w14:textId="77777777" w:rsidR="005C5C79" w:rsidRPr="005C5C79" w:rsidRDefault="005C5C79" w:rsidP="005C5C79">
      <w:pPr>
        <w:pStyle w:val="NoSpacing"/>
        <w:ind w:left="720"/>
        <w:rPr>
          <w:rFonts w:ascii="Times New Roman" w:hAnsi="Times New Roman"/>
          <w:bCs/>
          <w:sz w:val="24"/>
          <w:szCs w:val="24"/>
        </w:rPr>
      </w:pPr>
      <w:r w:rsidRPr="005C5C79">
        <w:rPr>
          <w:rFonts w:ascii="Times New Roman" w:hAnsi="Times New Roman"/>
          <w:sz w:val="24"/>
          <w:szCs w:val="24"/>
        </w:rPr>
        <w:t xml:space="preserve">Turning to the merits, we conclude that the prosecution violated its constitutional obligation to correct false testimony. In </w:t>
      </w:r>
      <w:r w:rsidRPr="005C5C79">
        <w:rPr>
          <w:rFonts w:ascii="Times New Roman" w:hAnsi="Times New Roman"/>
          <w:sz w:val="24"/>
          <w:szCs w:val="24"/>
          <w:u w:val="single"/>
        </w:rPr>
        <w:t>Napue v. Illinois</w:t>
      </w:r>
      <w:r w:rsidRPr="005C5C79">
        <w:rPr>
          <w:rFonts w:ascii="Times New Roman" w:hAnsi="Times New Roman"/>
          <w:sz w:val="24"/>
          <w:szCs w:val="24"/>
        </w:rPr>
        <w:t xml:space="preserve">, [June 15, 1959; </w:t>
      </w:r>
      <w:hyperlink r:id="rId93" w:history="1">
        <w:r w:rsidRPr="005C5C79">
          <w:rPr>
            <w:rStyle w:val="Hyperlink"/>
            <w:rFonts w:ascii="Times New Roman" w:hAnsi="Times New Roman"/>
            <w:sz w:val="24"/>
            <w:szCs w:val="24"/>
          </w:rPr>
          <w:t>https://supreme.justia.com/cases/federal/us/360/264/</w:t>
        </w:r>
      </w:hyperlink>
      <w:r w:rsidRPr="005C5C79">
        <w:rPr>
          <w:rFonts w:ascii="Times New Roman" w:hAnsi="Times New Roman"/>
          <w:sz w:val="24"/>
          <w:szCs w:val="24"/>
        </w:rPr>
        <w:t xml:space="preserve"> ] this Court held that a conviction</w:t>
      </w:r>
    </w:p>
    <w:p w14:paraId="0581F090" w14:textId="77777777" w:rsidR="005C5C79" w:rsidRPr="005C5C79" w:rsidRDefault="005C5C79" w:rsidP="005C5C79">
      <w:pPr>
        <w:pStyle w:val="NoSpacing"/>
        <w:ind w:left="720"/>
        <w:rPr>
          <w:rFonts w:ascii="Times New Roman" w:hAnsi="Times New Roman"/>
          <w:bCs/>
          <w:sz w:val="24"/>
          <w:szCs w:val="24"/>
        </w:rPr>
      </w:pPr>
      <w:r w:rsidRPr="005C5C79">
        <w:rPr>
          <w:rFonts w:ascii="Times New Roman" w:hAnsi="Times New Roman"/>
          <w:sz w:val="24"/>
          <w:szCs w:val="24"/>
        </w:rPr>
        <w:t xml:space="preserve">knowingly ‘obtained through use of false evidence’ violates the Fourteenth Amendment’s Due Process Clause. 360 U. S., at 269. To establish a Napue violation, a defendant must show that the prosecution knowingly solicited false testimony or knowingly allowed it ‘to go uncorrected when it </w:t>
      </w:r>
      <w:proofErr w:type="gramStart"/>
      <w:r w:rsidRPr="005C5C79">
        <w:rPr>
          <w:rFonts w:ascii="Times New Roman" w:hAnsi="Times New Roman"/>
          <w:sz w:val="24"/>
          <w:szCs w:val="24"/>
        </w:rPr>
        <w:t>appear</w:t>
      </w:r>
      <w:proofErr w:type="gramEnd"/>
      <w:r w:rsidRPr="005C5C79">
        <w:rPr>
          <w:rFonts w:ascii="Times New Roman" w:hAnsi="Times New Roman"/>
          <w:sz w:val="24"/>
          <w:szCs w:val="24"/>
        </w:rPr>
        <w:t>[ed].’ Ibid. If the defendant makes that showing, a new trial is warranted so long as the false testimony ‘may have had an effect on the outcome of the trial,” id., at 272—that is, if it ‘in any reasonable likelihood [could] have affected the judgment of the jury.’</w:t>
      </w:r>
    </w:p>
    <w:p w14:paraId="64F67D55" w14:textId="77777777" w:rsidR="005C5C79" w:rsidRPr="005C5C79" w:rsidRDefault="005C5C79" w:rsidP="005C5C79">
      <w:pPr>
        <w:pStyle w:val="NoSpacing"/>
        <w:rPr>
          <w:rFonts w:ascii="Times New Roman" w:hAnsi="Times New Roman"/>
          <w:bCs/>
          <w:sz w:val="24"/>
          <w:szCs w:val="24"/>
        </w:rPr>
      </w:pPr>
    </w:p>
    <w:p w14:paraId="5F33087C" w14:textId="77777777" w:rsidR="005C5C79" w:rsidRPr="005C5C79" w:rsidRDefault="005C5C79" w:rsidP="005C5C79">
      <w:pPr>
        <w:pStyle w:val="NoSpacing"/>
        <w:ind w:firstLine="720"/>
        <w:rPr>
          <w:rFonts w:ascii="Times New Roman" w:hAnsi="Times New Roman"/>
          <w:bCs/>
          <w:sz w:val="24"/>
          <w:szCs w:val="24"/>
        </w:rPr>
      </w:pPr>
      <w:r w:rsidRPr="005C5C79">
        <w:rPr>
          <w:rFonts w:ascii="Times New Roman" w:hAnsi="Times New Roman"/>
          <w:sz w:val="24"/>
          <w:szCs w:val="24"/>
        </w:rPr>
        <w:t>***</w:t>
      </w:r>
    </w:p>
    <w:p w14:paraId="43D95862" w14:textId="77777777" w:rsidR="005C5C79" w:rsidRPr="005C5C79" w:rsidRDefault="005C5C79" w:rsidP="005C5C79">
      <w:pPr>
        <w:pStyle w:val="NoSpacing"/>
        <w:rPr>
          <w:rFonts w:ascii="Times New Roman" w:hAnsi="Times New Roman"/>
          <w:bCs/>
          <w:sz w:val="24"/>
          <w:szCs w:val="24"/>
        </w:rPr>
      </w:pPr>
    </w:p>
    <w:p w14:paraId="0420918E" w14:textId="77777777" w:rsidR="005C5C79" w:rsidRPr="005C5C79" w:rsidRDefault="005C5C79" w:rsidP="005C5C79">
      <w:pPr>
        <w:pStyle w:val="NoSpacing"/>
        <w:ind w:left="720"/>
        <w:rPr>
          <w:rFonts w:ascii="Times New Roman" w:hAnsi="Times New Roman"/>
          <w:bCs/>
          <w:sz w:val="24"/>
          <w:szCs w:val="24"/>
        </w:rPr>
      </w:pPr>
      <w:r w:rsidRPr="005C5C79">
        <w:rPr>
          <w:rFonts w:ascii="Times New Roman" w:hAnsi="Times New Roman"/>
          <w:sz w:val="24"/>
          <w:szCs w:val="24"/>
        </w:rPr>
        <w:t xml:space="preserve">The evidence likewise establishes that the prosecution knew Sneed’s statements were false as he testified to them.  The prosecution almost certainly had access to Sneed’s medical file, which would have listed both the lithium prescription and the bipolar diagnosis. Among other things, those records </w:t>
      </w:r>
      <w:r w:rsidRPr="005C5C79">
        <w:rPr>
          <w:rFonts w:ascii="Times New Roman" w:hAnsi="Times New Roman"/>
          <w:sz w:val="24"/>
          <w:szCs w:val="24"/>
        </w:rPr>
        <w:lastRenderedPageBreak/>
        <w:t>would have been provided to the State as part of Sneed’s competency evaluation …and the State opposed Glossip’s discovery request of Sneed’s medical files on its merits….</w:t>
      </w:r>
    </w:p>
    <w:p w14:paraId="707CA1EA" w14:textId="77777777" w:rsidR="005C5C79" w:rsidRPr="005C5C79" w:rsidRDefault="005C5C79" w:rsidP="005C5C79">
      <w:pPr>
        <w:pStyle w:val="NoSpacing"/>
        <w:rPr>
          <w:rFonts w:ascii="Times New Roman" w:hAnsi="Times New Roman"/>
          <w:bCs/>
          <w:sz w:val="24"/>
          <w:szCs w:val="24"/>
        </w:rPr>
      </w:pPr>
    </w:p>
    <w:p w14:paraId="785C8A16" w14:textId="77777777" w:rsidR="005C5C79" w:rsidRPr="005C5C79" w:rsidRDefault="005C5C79" w:rsidP="005C5C79">
      <w:pPr>
        <w:pStyle w:val="NoSpacing"/>
        <w:ind w:firstLine="720"/>
        <w:rPr>
          <w:rFonts w:ascii="Times New Roman" w:hAnsi="Times New Roman"/>
          <w:bCs/>
          <w:sz w:val="24"/>
          <w:szCs w:val="24"/>
        </w:rPr>
      </w:pPr>
      <w:r w:rsidRPr="005C5C79">
        <w:rPr>
          <w:rFonts w:ascii="Times New Roman" w:hAnsi="Times New Roman"/>
          <w:sz w:val="24"/>
          <w:szCs w:val="24"/>
        </w:rPr>
        <w:t>***</w:t>
      </w:r>
    </w:p>
    <w:p w14:paraId="112A6668" w14:textId="77777777" w:rsidR="005C5C79" w:rsidRPr="005C5C79" w:rsidRDefault="005C5C79" w:rsidP="005C5C79">
      <w:pPr>
        <w:pStyle w:val="NoSpacing"/>
        <w:ind w:left="720"/>
        <w:rPr>
          <w:rFonts w:ascii="Times New Roman" w:hAnsi="Times New Roman"/>
          <w:bCs/>
          <w:sz w:val="24"/>
          <w:szCs w:val="24"/>
        </w:rPr>
      </w:pPr>
      <w:r w:rsidRPr="005C5C79">
        <w:rPr>
          <w:rFonts w:ascii="Times New Roman" w:hAnsi="Times New Roman"/>
          <w:sz w:val="24"/>
          <w:szCs w:val="24"/>
        </w:rPr>
        <w:t>For these reasons, we conclude that the prosecution’s failure to correct Sneed’s trial testimony violated the Due Process Clause. Glossip is entitled to a new trial.”</w:t>
      </w:r>
    </w:p>
    <w:p w14:paraId="22A7535D" w14:textId="77777777" w:rsidR="005C5C79" w:rsidRPr="005C5C79" w:rsidRDefault="005C5C79" w:rsidP="005C5C79">
      <w:pPr>
        <w:pStyle w:val="NoSpacing"/>
        <w:rPr>
          <w:rFonts w:ascii="Times New Roman" w:hAnsi="Times New Roman"/>
          <w:bCs/>
          <w:sz w:val="24"/>
          <w:szCs w:val="24"/>
        </w:rPr>
      </w:pPr>
    </w:p>
    <w:p w14:paraId="0835D761" w14:textId="77777777" w:rsidR="005C5C79" w:rsidRPr="005C5C79" w:rsidRDefault="005C5C79" w:rsidP="00687306">
      <w:pPr>
        <w:pStyle w:val="NoSpacing"/>
        <w:ind w:left="720"/>
        <w:rPr>
          <w:rFonts w:ascii="Times New Roman" w:hAnsi="Times New Roman"/>
          <w:b/>
          <w:sz w:val="24"/>
          <w:szCs w:val="24"/>
        </w:rPr>
      </w:pPr>
      <w:r w:rsidRPr="005C5C79">
        <w:rPr>
          <w:rFonts w:ascii="Times New Roman" w:hAnsi="Times New Roman"/>
          <w:b/>
          <w:sz w:val="24"/>
          <w:szCs w:val="24"/>
        </w:rPr>
        <w:t xml:space="preserve">Legal Lesson Learned: Prosecutors must correct false testimony.  In arson and other criminal cases, if fire or EMS learn of incorrect testimony by prosecution  witness, immediately inform the prosecutor so it can be disclosed to the defense and the Court.  </w:t>
      </w:r>
    </w:p>
    <w:p w14:paraId="14944762" w14:textId="77777777" w:rsidR="005C5C79" w:rsidRPr="005C5C79" w:rsidRDefault="005C5C79" w:rsidP="005C5C79">
      <w:pPr>
        <w:pStyle w:val="NoSpacing"/>
        <w:rPr>
          <w:rFonts w:ascii="Times New Roman" w:hAnsi="Times New Roman"/>
          <w:bCs/>
          <w:sz w:val="24"/>
          <w:szCs w:val="24"/>
        </w:rPr>
      </w:pPr>
    </w:p>
    <w:p w14:paraId="56E16E5F" w14:textId="77777777" w:rsidR="00DA55B0" w:rsidRDefault="00DA55B0" w:rsidP="00B86628">
      <w:pPr>
        <w:pStyle w:val="NoSpacing"/>
        <w:rPr>
          <w:rFonts w:ascii="Arial Black" w:hAnsi="Arial Black"/>
          <w:sz w:val="24"/>
          <w:szCs w:val="24"/>
        </w:rPr>
      </w:pPr>
    </w:p>
    <w:p w14:paraId="633EF65D" w14:textId="77777777" w:rsidR="00DA55B0" w:rsidRDefault="00DA55B0" w:rsidP="00B86628">
      <w:pPr>
        <w:pStyle w:val="NoSpacing"/>
        <w:rPr>
          <w:rFonts w:ascii="Arial Black" w:hAnsi="Arial Black"/>
          <w:sz w:val="24"/>
          <w:szCs w:val="24"/>
        </w:rPr>
      </w:pPr>
    </w:p>
    <w:p w14:paraId="1553FDAE" w14:textId="1427812F" w:rsidR="00C11ACF" w:rsidRDefault="00453E02" w:rsidP="00B86628">
      <w:pPr>
        <w:pStyle w:val="NoSpacing"/>
        <w:rPr>
          <w:rFonts w:ascii="Arial Black" w:hAnsi="Arial Black"/>
          <w:sz w:val="24"/>
          <w:szCs w:val="24"/>
        </w:rPr>
      </w:pPr>
      <w:r>
        <w:rPr>
          <w:rFonts w:ascii="Arial Black" w:hAnsi="Arial Black"/>
          <w:sz w:val="24"/>
          <w:szCs w:val="24"/>
        </w:rPr>
        <w:t>1-</w:t>
      </w:r>
      <w:r w:rsidR="00C11ACF">
        <w:rPr>
          <w:rFonts w:ascii="Arial Black" w:hAnsi="Arial Black"/>
          <w:sz w:val="24"/>
          <w:szCs w:val="24"/>
        </w:rPr>
        <w:t>173</w:t>
      </w:r>
    </w:p>
    <w:p w14:paraId="21E9F0B3" w14:textId="77777777" w:rsidR="00C11ACF" w:rsidRDefault="00C11ACF" w:rsidP="00B86628">
      <w:pPr>
        <w:pStyle w:val="NoSpacing"/>
        <w:rPr>
          <w:rFonts w:ascii="Arial Black" w:hAnsi="Arial Black"/>
          <w:sz w:val="24"/>
          <w:szCs w:val="24"/>
        </w:rPr>
      </w:pPr>
    </w:p>
    <w:p w14:paraId="2E8AC6FB" w14:textId="1602A3F4" w:rsidR="008E1AE0" w:rsidRPr="00DA55B0" w:rsidRDefault="008E1AE0" w:rsidP="008E1AE0">
      <w:pPr>
        <w:rPr>
          <w:rFonts w:ascii="Arial Black" w:hAnsi="Arial Black"/>
          <w:sz w:val="28"/>
          <w:szCs w:val="28"/>
        </w:rPr>
      </w:pPr>
      <w:r w:rsidRPr="000B7F2C">
        <w:rPr>
          <w:rFonts w:ascii="Arial Black" w:hAnsi="Arial Black"/>
          <w:sz w:val="28"/>
          <w:szCs w:val="28"/>
        </w:rPr>
        <w:t>AR: LOST FOREST – 3 SIGNAL FIRES – NO “NECESSITY DEF.”</w:t>
      </w:r>
    </w:p>
    <w:p w14:paraId="1B743FBD" w14:textId="3AD8E9B6" w:rsidR="008E1AE0" w:rsidRPr="00DA55B0" w:rsidRDefault="008E1AE0" w:rsidP="008E1AE0">
      <w:pPr>
        <w:rPr>
          <w:rFonts w:ascii="Times New Roman" w:hAnsi="Times New Roman"/>
          <w:sz w:val="24"/>
          <w:szCs w:val="24"/>
        </w:rPr>
      </w:pPr>
      <w:r w:rsidRPr="00DA55B0">
        <w:rPr>
          <w:rFonts w:ascii="Times New Roman" w:hAnsi="Times New Roman"/>
          <w:sz w:val="24"/>
          <w:szCs w:val="24"/>
        </w:rPr>
        <w:t xml:space="preserve">On Feb. 24, 2025, in </w:t>
      </w:r>
      <w:r w:rsidRPr="00DA55B0">
        <w:rPr>
          <w:rFonts w:ascii="Times New Roman" w:hAnsi="Times New Roman"/>
          <w:sz w:val="24"/>
          <w:szCs w:val="24"/>
          <w:u w:val="single"/>
        </w:rPr>
        <w:t>United States of America v. Philip Alejandro Powers, III</w:t>
      </w:r>
      <w:r w:rsidRPr="00DA55B0">
        <w:rPr>
          <w:rFonts w:ascii="Times New Roman" w:hAnsi="Times New Roman"/>
          <w:sz w:val="24"/>
          <w:szCs w:val="24"/>
        </w:rPr>
        <w:t>, the U.S. Court of Appeals for the 9</w:t>
      </w:r>
      <w:r w:rsidRPr="00DA55B0">
        <w:rPr>
          <w:rFonts w:ascii="Times New Roman" w:hAnsi="Times New Roman"/>
          <w:sz w:val="24"/>
          <w:szCs w:val="24"/>
          <w:vertAlign w:val="superscript"/>
        </w:rPr>
        <w:t>th</w:t>
      </w:r>
      <w:r w:rsidRPr="00DA55B0">
        <w:rPr>
          <w:rFonts w:ascii="Times New Roman" w:hAnsi="Times New Roman"/>
          <w:sz w:val="24"/>
          <w:szCs w:val="24"/>
        </w:rPr>
        <w:t xml:space="preserve"> Circuit (San Francisco) held (3 to 0) that the U.S. Magistrate Judge who presided at two-day bench trial [no jury] properly rejected the “necessity defense” and found the defendant guilty of seven misdemeanor counts of leaving fires unattended, sentenced him to supervised probation, and ordered him to pay restitution to the U.S. Forest Service of $293,413.71 in recoverable fire suppression costs. </w:t>
      </w:r>
      <w:hyperlink r:id="rId94" w:history="1">
        <w:r w:rsidRPr="00DA55B0">
          <w:rPr>
            <w:rStyle w:val="Hyperlink"/>
            <w:rFonts w:ascii="Times New Roman" w:hAnsi="Times New Roman"/>
            <w:sz w:val="24"/>
            <w:szCs w:val="24"/>
          </w:rPr>
          <w:t>https://cdn.ca9.uscourts.gov/datastore/opinions/2025/02/24/23-2218.pdf</w:t>
        </w:r>
      </w:hyperlink>
      <w:r w:rsidRPr="00DA55B0">
        <w:rPr>
          <w:rFonts w:ascii="Times New Roman" w:hAnsi="Times New Roman"/>
          <w:sz w:val="24"/>
          <w:szCs w:val="24"/>
        </w:rPr>
        <w:t xml:space="preserve"> </w:t>
      </w:r>
    </w:p>
    <w:p w14:paraId="55BDF0A1" w14:textId="77777777" w:rsidR="008E1AE0" w:rsidRPr="00DA55B0" w:rsidRDefault="008E1AE0" w:rsidP="008E1AE0">
      <w:pPr>
        <w:rPr>
          <w:rFonts w:ascii="Times New Roman" w:hAnsi="Times New Roman"/>
          <w:sz w:val="24"/>
          <w:szCs w:val="24"/>
        </w:rPr>
      </w:pPr>
      <w:r w:rsidRPr="00DA55B0">
        <w:rPr>
          <w:rFonts w:ascii="Times New Roman" w:hAnsi="Times New Roman"/>
          <w:sz w:val="24"/>
          <w:szCs w:val="24"/>
        </w:rPr>
        <w:t>The Court wrote:</w:t>
      </w:r>
    </w:p>
    <w:p w14:paraId="72C52874" w14:textId="77777777" w:rsidR="008E1AE0" w:rsidRPr="00DA55B0" w:rsidRDefault="008E1AE0" w:rsidP="008E1AE0">
      <w:pPr>
        <w:ind w:left="720"/>
        <w:rPr>
          <w:rFonts w:ascii="Times New Roman" w:hAnsi="Times New Roman"/>
          <w:sz w:val="24"/>
          <w:szCs w:val="24"/>
        </w:rPr>
      </w:pPr>
      <w:r w:rsidRPr="00DA55B0">
        <w:rPr>
          <w:rFonts w:ascii="Times New Roman" w:hAnsi="Times New Roman"/>
          <w:sz w:val="24"/>
          <w:szCs w:val="24"/>
        </w:rPr>
        <w:t>“Because Powers’s actions in setting the fires were objectively unreasonable, and because he was not facing imminent harm when he set the Taylor Fire, he failed to meet the requirements of the necessity defense. Accordingly, we affirm.</w:t>
      </w:r>
    </w:p>
    <w:p w14:paraId="10ADCD6D" w14:textId="77777777" w:rsidR="008E1AE0" w:rsidRPr="00DA55B0" w:rsidRDefault="008E1AE0" w:rsidP="008E1AE0">
      <w:pPr>
        <w:rPr>
          <w:rFonts w:ascii="Times New Roman" w:hAnsi="Times New Roman"/>
          <w:sz w:val="24"/>
          <w:szCs w:val="24"/>
        </w:rPr>
      </w:pPr>
    </w:p>
    <w:p w14:paraId="76AE75A2" w14:textId="77777777" w:rsidR="008E1AE0" w:rsidRPr="00DA55B0" w:rsidRDefault="008E1AE0" w:rsidP="008E1AE0">
      <w:pPr>
        <w:ind w:firstLine="720"/>
        <w:rPr>
          <w:rFonts w:ascii="Times New Roman" w:hAnsi="Times New Roman"/>
          <w:sz w:val="24"/>
          <w:szCs w:val="24"/>
        </w:rPr>
      </w:pPr>
      <w:r w:rsidRPr="00DA55B0">
        <w:rPr>
          <w:rFonts w:ascii="Times New Roman" w:hAnsi="Times New Roman"/>
          <w:sz w:val="24"/>
          <w:szCs w:val="24"/>
        </w:rPr>
        <w:t>***</w:t>
      </w:r>
    </w:p>
    <w:p w14:paraId="1DE3BA0B" w14:textId="77777777" w:rsidR="008E1AE0" w:rsidRPr="00DA55B0" w:rsidRDefault="008E1AE0" w:rsidP="008E1AE0">
      <w:pPr>
        <w:ind w:left="720"/>
        <w:rPr>
          <w:rFonts w:ascii="Times New Roman" w:hAnsi="Times New Roman"/>
          <w:sz w:val="24"/>
          <w:szCs w:val="24"/>
        </w:rPr>
      </w:pPr>
      <w:r w:rsidRPr="00DA55B0">
        <w:rPr>
          <w:rFonts w:ascii="Times New Roman" w:hAnsi="Times New Roman"/>
          <w:sz w:val="24"/>
          <w:szCs w:val="24"/>
        </w:rPr>
        <w:t xml:space="preserve">In May 2018, Powers began an approximately nineteen-mile hike on the Taylor Cabin Loop trail near Sedona, Arizona…. After losing the trail while hiking in northern Arizona, [the defendant] deliberately set three fires in the Prescott and Coconino National Forests…. He tried to use his phone to call for  help, but he had no signal. He decided to stay at the [Taylor] cabin overnight. </w:t>
      </w:r>
    </w:p>
    <w:p w14:paraId="44650AF1" w14:textId="77777777" w:rsidR="008E1AE0" w:rsidRPr="00DA55B0" w:rsidRDefault="008E1AE0" w:rsidP="008E1AE0">
      <w:pPr>
        <w:ind w:firstLine="720"/>
        <w:rPr>
          <w:rFonts w:ascii="Times New Roman" w:hAnsi="Times New Roman"/>
          <w:sz w:val="24"/>
          <w:szCs w:val="24"/>
        </w:rPr>
      </w:pPr>
      <w:r w:rsidRPr="00DA55B0">
        <w:rPr>
          <w:rFonts w:ascii="Times New Roman" w:hAnsi="Times New Roman"/>
          <w:sz w:val="24"/>
          <w:szCs w:val="24"/>
        </w:rPr>
        <w:t>***</w:t>
      </w:r>
    </w:p>
    <w:p w14:paraId="73619C4F" w14:textId="77777777" w:rsidR="008E1AE0" w:rsidRPr="00DA55B0" w:rsidRDefault="008E1AE0" w:rsidP="008E1AE0">
      <w:pPr>
        <w:ind w:left="720"/>
        <w:rPr>
          <w:rFonts w:ascii="Times New Roman" w:hAnsi="Times New Roman"/>
          <w:sz w:val="24"/>
          <w:szCs w:val="24"/>
        </w:rPr>
      </w:pPr>
      <w:r w:rsidRPr="00DA55B0">
        <w:rPr>
          <w:rFonts w:ascii="Times New Roman" w:hAnsi="Times New Roman"/>
          <w:sz w:val="24"/>
          <w:szCs w:val="24"/>
        </w:rPr>
        <w:t>[TAYLOR FIRE] Around 9:00 p.m., Powers decided to set a signal fire. There was a fire pit next to Taylor Cabin, but Powers believed that a fire in the pit would not create enough smoke to be noticed by passing planes. Thus, he ignited a nearby patch of ‘dead grass mixed in with vegetation’ that was ‘right next to [the] fire pit.’ This first fire, the Taylor Fire, spread over about a tenth of an acre, burning grass, brush, and small trees, but did not attract any rescuers.</w:t>
      </w:r>
    </w:p>
    <w:p w14:paraId="02B67DF6" w14:textId="77777777" w:rsidR="008E1AE0" w:rsidRPr="00DA55B0" w:rsidRDefault="008E1AE0" w:rsidP="008E1AE0">
      <w:pPr>
        <w:ind w:firstLine="720"/>
        <w:rPr>
          <w:rFonts w:ascii="Times New Roman" w:hAnsi="Times New Roman"/>
          <w:sz w:val="24"/>
          <w:szCs w:val="24"/>
        </w:rPr>
      </w:pPr>
      <w:r w:rsidRPr="00DA55B0">
        <w:rPr>
          <w:rFonts w:ascii="Times New Roman" w:hAnsi="Times New Roman"/>
          <w:sz w:val="24"/>
          <w:szCs w:val="24"/>
        </w:rPr>
        <w:t>***</w:t>
      </w:r>
    </w:p>
    <w:p w14:paraId="2E0AF234" w14:textId="77777777" w:rsidR="008E1AE0" w:rsidRPr="00DA55B0" w:rsidRDefault="008E1AE0" w:rsidP="008E1AE0">
      <w:pPr>
        <w:ind w:left="720"/>
        <w:rPr>
          <w:rFonts w:ascii="Times New Roman" w:hAnsi="Times New Roman"/>
          <w:sz w:val="24"/>
          <w:szCs w:val="24"/>
        </w:rPr>
      </w:pPr>
      <w:r w:rsidRPr="00DA55B0">
        <w:rPr>
          <w:rFonts w:ascii="Times New Roman" w:hAnsi="Times New Roman"/>
          <w:sz w:val="24"/>
          <w:szCs w:val="24"/>
        </w:rPr>
        <w:lastRenderedPageBreak/>
        <w:t xml:space="preserve">[SYCAMORE FIRE] After hiking about three miles away from Taylor Cabin [100 degrees], Powers decided to set another fire. He ‘tried to get to a spot where [he] would be easily visible,’ thinking that a higher ‘vantage point’ would allow the smoke to be ‘easily seen from the canyon.’ After searching for ‘dead brush that would easily ignite,’ ‘stay lit’ and </w:t>
      </w:r>
      <w:proofErr w:type="spellStart"/>
      <w:r w:rsidRPr="00DA55B0">
        <w:rPr>
          <w:rFonts w:ascii="Times New Roman" w:hAnsi="Times New Roman"/>
          <w:sz w:val="24"/>
          <w:szCs w:val="24"/>
        </w:rPr>
        <w:t>‘cause</w:t>
      </w:r>
      <w:proofErr w:type="spellEnd"/>
      <w:r w:rsidRPr="00DA55B0">
        <w:rPr>
          <w:rFonts w:ascii="Times New Roman" w:hAnsi="Times New Roman"/>
          <w:sz w:val="24"/>
          <w:szCs w:val="24"/>
        </w:rPr>
        <w:t xml:space="preserve"> smoke,’ Powers ignited a dead tree. He did not build a fire ring, dig a fire pit or remove any flammable materials from the area before starting the fire.</w:t>
      </w:r>
    </w:p>
    <w:p w14:paraId="74FA7255" w14:textId="77777777" w:rsidR="008E1AE0" w:rsidRPr="00DA55B0" w:rsidRDefault="008E1AE0" w:rsidP="008E1AE0">
      <w:pPr>
        <w:ind w:left="720"/>
        <w:rPr>
          <w:rFonts w:ascii="Times New Roman" w:hAnsi="Times New Roman"/>
          <w:sz w:val="24"/>
          <w:szCs w:val="24"/>
        </w:rPr>
      </w:pPr>
      <w:r w:rsidRPr="00DA55B0">
        <w:rPr>
          <w:rFonts w:ascii="Times New Roman" w:hAnsi="Times New Roman"/>
          <w:sz w:val="24"/>
          <w:szCs w:val="24"/>
        </w:rPr>
        <w:t xml:space="preserve">The Sycamore Fire spread uncontrolled over 230 acres of forest, burning timber, shrubs, and </w:t>
      </w:r>
      <w:proofErr w:type="gramStart"/>
      <w:r w:rsidRPr="00DA55B0">
        <w:rPr>
          <w:rFonts w:ascii="Times New Roman" w:hAnsi="Times New Roman"/>
          <w:sz w:val="24"/>
          <w:szCs w:val="24"/>
        </w:rPr>
        <w:t>grasses</w:t>
      </w:r>
      <w:proofErr w:type="gramEnd"/>
      <w:r w:rsidRPr="00DA55B0">
        <w:rPr>
          <w:rFonts w:ascii="Times New Roman" w:hAnsi="Times New Roman"/>
          <w:sz w:val="24"/>
          <w:szCs w:val="24"/>
        </w:rPr>
        <w:t xml:space="preserve">, and threatening Flagstaff, Arizona and the nearby watershed. Firefighters contained the fire after approximately nine </w:t>
      </w:r>
      <w:proofErr w:type="gramStart"/>
      <w:r w:rsidRPr="00DA55B0">
        <w:rPr>
          <w:rFonts w:ascii="Times New Roman" w:hAnsi="Times New Roman"/>
          <w:sz w:val="24"/>
          <w:szCs w:val="24"/>
        </w:rPr>
        <w:t>day</w:t>
      </w:r>
      <w:proofErr w:type="gramEnd"/>
      <w:r w:rsidRPr="00DA55B0">
        <w:rPr>
          <w:rFonts w:ascii="Times New Roman" w:hAnsi="Times New Roman"/>
          <w:sz w:val="24"/>
          <w:szCs w:val="24"/>
        </w:rPr>
        <w:t xml:space="preserve"> and the USFS incurred $293,413.71 in recoverable fire suppression costs.</w:t>
      </w:r>
    </w:p>
    <w:p w14:paraId="4701159F" w14:textId="77777777" w:rsidR="008E1AE0" w:rsidRPr="00DA55B0" w:rsidRDefault="008E1AE0" w:rsidP="008E1AE0">
      <w:pPr>
        <w:ind w:left="720"/>
        <w:rPr>
          <w:rFonts w:ascii="Times New Roman" w:hAnsi="Times New Roman"/>
          <w:b/>
          <w:bCs/>
          <w:sz w:val="24"/>
          <w:szCs w:val="24"/>
        </w:rPr>
      </w:pPr>
      <w:r w:rsidRPr="00DA55B0">
        <w:rPr>
          <w:rFonts w:ascii="Times New Roman" w:hAnsi="Times New Roman"/>
          <w:sz w:val="24"/>
          <w:szCs w:val="24"/>
        </w:rPr>
        <w:t xml:space="preserve">By choosing not to take any precautions and to set the Sycamore Fire in an unnecessarily careless manner (and then abandon it, unextinguished), Powers acted unreasonably…. Because Powers has not shown that he was facing imminent harm when he set the Taylor Fire, and because the </w:t>
      </w:r>
      <w:proofErr w:type="gramStart"/>
      <w:r w:rsidRPr="00DA55B0">
        <w:rPr>
          <w:rFonts w:ascii="Times New Roman" w:hAnsi="Times New Roman"/>
          <w:sz w:val="24"/>
          <w:szCs w:val="24"/>
        </w:rPr>
        <w:t>manner in which</w:t>
      </w:r>
      <w:proofErr w:type="gramEnd"/>
      <w:r w:rsidRPr="00DA55B0">
        <w:rPr>
          <w:rFonts w:ascii="Times New Roman" w:hAnsi="Times New Roman"/>
          <w:sz w:val="24"/>
          <w:szCs w:val="24"/>
        </w:rPr>
        <w:t xml:space="preserve"> he set the fire was objectively unreasonable, his necessity defense as to Counts 2 and 5 fails.</w:t>
      </w:r>
    </w:p>
    <w:p w14:paraId="0FA76096" w14:textId="77777777" w:rsidR="008E1AE0" w:rsidRPr="00DA55B0" w:rsidRDefault="008E1AE0" w:rsidP="008E1AE0">
      <w:pPr>
        <w:rPr>
          <w:rFonts w:ascii="Times New Roman" w:hAnsi="Times New Roman"/>
          <w:sz w:val="24"/>
          <w:szCs w:val="24"/>
        </w:rPr>
      </w:pPr>
    </w:p>
    <w:p w14:paraId="23311C95" w14:textId="77777777" w:rsidR="008E1AE0" w:rsidRPr="00DA55B0" w:rsidRDefault="008E1AE0" w:rsidP="008E1AE0">
      <w:pPr>
        <w:ind w:firstLine="720"/>
        <w:rPr>
          <w:rFonts w:ascii="Times New Roman" w:hAnsi="Times New Roman"/>
          <w:sz w:val="24"/>
          <w:szCs w:val="24"/>
        </w:rPr>
      </w:pPr>
      <w:r w:rsidRPr="00DA55B0">
        <w:rPr>
          <w:rFonts w:ascii="Times New Roman" w:hAnsi="Times New Roman"/>
          <w:sz w:val="24"/>
          <w:szCs w:val="24"/>
        </w:rPr>
        <w:t>***</w:t>
      </w:r>
    </w:p>
    <w:p w14:paraId="2E223B8C" w14:textId="77777777" w:rsidR="008E1AE0" w:rsidRPr="00DA55B0" w:rsidRDefault="008E1AE0" w:rsidP="008E1AE0">
      <w:pPr>
        <w:ind w:left="720"/>
        <w:rPr>
          <w:rFonts w:ascii="Times New Roman" w:hAnsi="Times New Roman"/>
          <w:sz w:val="24"/>
          <w:szCs w:val="24"/>
        </w:rPr>
      </w:pPr>
      <w:r w:rsidRPr="00DA55B0">
        <w:rPr>
          <w:rFonts w:ascii="Times New Roman" w:hAnsi="Times New Roman"/>
          <w:sz w:val="24"/>
          <w:szCs w:val="24"/>
        </w:rPr>
        <w:t xml:space="preserve">[SYCAMORE 2 FIRE] About thirty minutes after leaving the Sycamore Fire, Powers saw ‘a low-flying helicopter,’ which ‘looped around’ and left. The helicopter returned approximately thirty minutes later, and Powers began doing ‘everything [he] </w:t>
      </w:r>
      <w:proofErr w:type="gramStart"/>
      <w:r w:rsidRPr="00DA55B0">
        <w:rPr>
          <w:rFonts w:ascii="Times New Roman" w:hAnsi="Times New Roman"/>
          <w:sz w:val="24"/>
          <w:szCs w:val="24"/>
        </w:rPr>
        <w:t>could to</w:t>
      </w:r>
      <w:proofErr w:type="gramEnd"/>
      <w:r w:rsidRPr="00DA55B0">
        <w:rPr>
          <w:rFonts w:ascii="Times New Roman" w:hAnsi="Times New Roman"/>
          <w:sz w:val="24"/>
          <w:szCs w:val="24"/>
        </w:rPr>
        <w:t xml:space="preserve"> get its attention.’… He also ignited a third signal fire, the Sycamore 2 Fire, which spread to a three-foot circle before dying out. As with the other two fires, Powers did not start the Sycamore 2 Fire in a fire ring or pit, nor did he clear flammable materials from the area…. In sum, the undisputed facts do not show that Powers acted reasonably to preserve his life when he started the Sycamore 2 Fire.  </w:t>
      </w:r>
    </w:p>
    <w:p w14:paraId="72534545" w14:textId="77777777" w:rsidR="008E1AE0" w:rsidRPr="00DA55B0" w:rsidRDefault="008E1AE0" w:rsidP="008E1AE0">
      <w:pPr>
        <w:ind w:firstLine="720"/>
        <w:rPr>
          <w:rFonts w:ascii="Times New Roman" w:hAnsi="Times New Roman"/>
          <w:sz w:val="24"/>
          <w:szCs w:val="24"/>
        </w:rPr>
      </w:pPr>
      <w:r w:rsidRPr="00DA55B0">
        <w:rPr>
          <w:rFonts w:ascii="Times New Roman" w:hAnsi="Times New Roman"/>
          <w:sz w:val="24"/>
          <w:szCs w:val="24"/>
        </w:rPr>
        <w:t>***</w:t>
      </w:r>
    </w:p>
    <w:p w14:paraId="7F9558FB" w14:textId="77777777" w:rsidR="008E1AE0" w:rsidRPr="00DA55B0" w:rsidRDefault="008E1AE0" w:rsidP="008E1AE0">
      <w:pPr>
        <w:ind w:left="720"/>
        <w:rPr>
          <w:rFonts w:ascii="Times New Roman" w:hAnsi="Times New Roman"/>
          <w:sz w:val="24"/>
          <w:szCs w:val="24"/>
        </w:rPr>
      </w:pPr>
      <w:r w:rsidRPr="00DA55B0">
        <w:rPr>
          <w:rFonts w:ascii="Times New Roman" w:hAnsi="Times New Roman"/>
          <w:sz w:val="24"/>
          <w:szCs w:val="24"/>
        </w:rPr>
        <w:t xml:space="preserve">The helicopter belonged to USFS, which had received reports of </w:t>
      </w:r>
      <w:proofErr w:type="gramStart"/>
      <w:r w:rsidRPr="00DA55B0">
        <w:rPr>
          <w:rFonts w:ascii="Times New Roman" w:hAnsi="Times New Roman"/>
          <w:sz w:val="24"/>
          <w:szCs w:val="24"/>
        </w:rPr>
        <w:t>a wildfire</w:t>
      </w:r>
      <w:proofErr w:type="gramEnd"/>
      <w:r w:rsidRPr="00DA55B0">
        <w:rPr>
          <w:rFonts w:ascii="Times New Roman" w:hAnsi="Times New Roman"/>
          <w:sz w:val="24"/>
          <w:szCs w:val="24"/>
        </w:rPr>
        <w:t>. Unbeknownst to Powers, the Sycamore Fire had not died out—flying in, firefighters saw a smoke column and twenty to thirty acres of burning landscape. After landing, firefighters spotted Powers lying under a tree. He was able to walk to the helicopter with the assistance of two firefighters. The helicopter crew gave him water and flew him to Sedona where he was put in an ambulance and given intravenous (IV) fluids. While in the ambulance, Powers admitted to setting the fires.”</w:t>
      </w:r>
    </w:p>
    <w:p w14:paraId="1F838B33" w14:textId="77777777" w:rsidR="008E1AE0" w:rsidRPr="00DA55B0" w:rsidRDefault="008E1AE0" w:rsidP="008E1AE0">
      <w:pPr>
        <w:rPr>
          <w:rFonts w:ascii="Times New Roman" w:hAnsi="Times New Roman"/>
          <w:b/>
          <w:bCs/>
          <w:sz w:val="24"/>
          <w:szCs w:val="24"/>
        </w:rPr>
      </w:pPr>
      <w:r w:rsidRPr="00DA55B0">
        <w:rPr>
          <w:rFonts w:ascii="Times New Roman" w:hAnsi="Times New Roman"/>
          <w:b/>
          <w:sz w:val="24"/>
          <w:szCs w:val="24"/>
        </w:rPr>
        <w:t xml:space="preserve">Legal Lesson Learned: If you start a “signal fire” need to build fire ring or other method to contain it and stay with it.  </w:t>
      </w:r>
    </w:p>
    <w:p w14:paraId="147FDA4E" w14:textId="77777777" w:rsidR="008E1AE0" w:rsidRPr="00DA55B0" w:rsidRDefault="008E1AE0" w:rsidP="008E1AE0">
      <w:pPr>
        <w:ind w:firstLine="720"/>
        <w:rPr>
          <w:rFonts w:ascii="Times New Roman" w:hAnsi="Times New Roman"/>
          <w:b/>
          <w:bCs/>
          <w:sz w:val="24"/>
          <w:szCs w:val="24"/>
        </w:rPr>
      </w:pPr>
      <w:r w:rsidRPr="00DA55B0">
        <w:rPr>
          <w:rFonts w:ascii="Times New Roman" w:hAnsi="Times New Roman"/>
          <w:sz w:val="24"/>
          <w:szCs w:val="24"/>
        </w:rPr>
        <w:t>Note: The defendant is lucky to be alive; next time purchase a GPS handheld phone</w:t>
      </w:r>
      <w:r w:rsidRPr="00DA55B0">
        <w:rPr>
          <w:rFonts w:ascii="Times New Roman" w:hAnsi="Times New Roman"/>
          <w:b/>
          <w:sz w:val="24"/>
          <w:szCs w:val="24"/>
        </w:rPr>
        <w:t xml:space="preserve">.  </w:t>
      </w:r>
    </w:p>
    <w:p w14:paraId="42422ABA" w14:textId="07E68D59" w:rsidR="00C11ACF" w:rsidRPr="00DA55B0" w:rsidRDefault="008E1AE0" w:rsidP="00DA55B0">
      <w:pPr>
        <w:pStyle w:val="NoSpacing"/>
        <w:ind w:left="720"/>
        <w:rPr>
          <w:rFonts w:ascii="Times New Roman" w:hAnsi="Times New Roman"/>
          <w:sz w:val="24"/>
          <w:szCs w:val="24"/>
        </w:rPr>
      </w:pPr>
      <w:r w:rsidRPr="00DA55B0">
        <w:rPr>
          <w:rFonts w:ascii="Times New Roman" w:hAnsi="Times New Roman"/>
          <w:sz w:val="24"/>
          <w:szCs w:val="24"/>
        </w:rPr>
        <w:t>“Durable devices that go wherever you go and track your precise location along the way. Go farther than ever before when hiking and finding adventure.”</w:t>
      </w:r>
      <w:r w:rsidRPr="00DA55B0">
        <w:rPr>
          <w:rFonts w:ascii="Times New Roman" w:hAnsi="Times New Roman"/>
          <w:b/>
          <w:sz w:val="24"/>
          <w:szCs w:val="24"/>
        </w:rPr>
        <w:t xml:space="preserve"> </w:t>
      </w:r>
      <w:hyperlink r:id="rId95" w:history="1">
        <w:r w:rsidRPr="00DA55B0">
          <w:rPr>
            <w:rStyle w:val="Hyperlink"/>
            <w:rFonts w:ascii="Times New Roman" w:hAnsi="Times New Roman"/>
            <w:b/>
            <w:sz w:val="24"/>
            <w:szCs w:val="24"/>
          </w:rPr>
          <w:t>https://www.garmin.com/en-US/c/outdoor-recreation/handheld-hiking-gps/?gad_source=1&amp;gclid=Cj0KCQiA_Yq-BhC9ARIsAA6fbAg8Hzg7tt3LxTDrvBKQ6Iq20PiW7TlBW7J0osrwHwlbOwcCFzY0rTcaAu65EALw_wcB</w:t>
        </w:r>
      </w:hyperlink>
    </w:p>
    <w:p w14:paraId="3CAF4C5F" w14:textId="77777777" w:rsidR="00C11ACF" w:rsidRPr="00DA55B0" w:rsidRDefault="00C11ACF" w:rsidP="00B86628">
      <w:pPr>
        <w:pStyle w:val="NoSpacing"/>
        <w:rPr>
          <w:rFonts w:ascii="Times New Roman" w:hAnsi="Times New Roman"/>
          <w:sz w:val="24"/>
          <w:szCs w:val="24"/>
        </w:rPr>
      </w:pPr>
    </w:p>
    <w:p w14:paraId="01972C8F" w14:textId="77777777" w:rsidR="00C11ACF" w:rsidRDefault="00C11ACF" w:rsidP="00B86628">
      <w:pPr>
        <w:pStyle w:val="NoSpacing"/>
        <w:rPr>
          <w:rFonts w:ascii="Arial Black" w:hAnsi="Arial Black"/>
          <w:sz w:val="24"/>
          <w:szCs w:val="24"/>
        </w:rPr>
      </w:pPr>
    </w:p>
    <w:p w14:paraId="513F561E" w14:textId="67C8133E" w:rsidR="00AE3DBB" w:rsidRDefault="00C11ACF" w:rsidP="00B86628">
      <w:pPr>
        <w:pStyle w:val="NoSpacing"/>
        <w:rPr>
          <w:rFonts w:ascii="Arial Black" w:hAnsi="Arial Black"/>
          <w:sz w:val="24"/>
          <w:szCs w:val="24"/>
        </w:rPr>
      </w:pPr>
      <w:r>
        <w:rPr>
          <w:rFonts w:ascii="Arial Black" w:hAnsi="Arial Black"/>
          <w:sz w:val="24"/>
          <w:szCs w:val="24"/>
        </w:rPr>
        <w:t>1-172</w:t>
      </w:r>
    </w:p>
    <w:p w14:paraId="1424637B" w14:textId="77777777" w:rsidR="005C5C79" w:rsidRDefault="005C5C79" w:rsidP="00C11ACF">
      <w:pPr>
        <w:rPr>
          <w:rFonts w:ascii="Arial Black" w:hAnsi="Arial Black"/>
          <w:sz w:val="28"/>
          <w:szCs w:val="28"/>
        </w:rPr>
      </w:pPr>
    </w:p>
    <w:p w14:paraId="5F6FACA1" w14:textId="7001E7BE" w:rsidR="00C11ACF" w:rsidRPr="000B7F2C" w:rsidRDefault="00C11ACF" w:rsidP="00C11ACF">
      <w:pPr>
        <w:rPr>
          <w:rFonts w:ascii="Arial Black" w:hAnsi="Arial Black"/>
          <w:sz w:val="28"/>
          <w:szCs w:val="28"/>
        </w:rPr>
      </w:pPr>
      <w:r w:rsidRPr="000B7F2C">
        <w:rPr>
          <w:rFonts w:ascii="Arial Black" w:hAnsi="Arial Black"/>
          <w:sz w:val="28"/>
          <w:szCs w:val="28"/>
        </w:rPr>
        <w:t xml:space="preserve">OR: </w:t>
      </w:r>
      <w:r>
        <w:rPr>
          <w:rFonts w:ascii="Arial Black" w:hAnsi="Arial Black"/>
          <w:sz w:val="28"/>
          <w:szCs w:val="28"/>
        </w:rPr>
        <w:t xml:space="preserve">FF SUED BY COUNCILMEN - </w:t>
      </w:r>
      <w:r w:rsidRPr="000B7F2C">
        <w:rPr>
          <w:rFonts w:ascii="Arial Black" w:hAnsi="Arial Black"/>
          <w:sz w:val="28"/>
          <w:szCs w:val="28"/>
        </w:rPr>
        <w:t xml:space="preserve">RECALL – </w:t>
      </w:r>
      <w:r w:rsidRPr="004F16B9">
        <w:rPr>
          <w:rFonts w:ascii="Arial Black" w:hAnsi="Arial Black"/>
          <w:sz w:val="28"/>
          <w:szCs w:val="28"/>
        </w:rPr>
        <w:t>ANTI-SLAPP</w:t>
      </w:r>
      <w:r>
        <w:rPr>
          <w:rFonts w:ascii="Arial Black" w:hAnsi="Arial Black"/>
          <w:sz w:val="28"/>
          <w:szCs w:val="28"/>
        </w:rPr>
        <w:t xml:space="preserve"> LAW</w:t>
      </w:r>
    </w:p>
    <w:p w14:paraId="5A3E78A6" w14:textId="77777777" w:rsidR="00C11ACF" w:rsidRPr="00C11ACF" w:rsidRDefault="00C11ACF" w:rsidP="00C11ACF">
      <w:pPr>
        <w:rPr>
          <w:rFonts w:ascii="Times New Roman" w:hAnsi="Times New Roman"/>
          <w:sz w:val="24"/>
          <w:szCs w:val="24"/>
        </w:rPr>
      </w:pPr>
      <w:r w:rsidRPr="00C11ACF">
        <w:rPr>
          <w:rFonts w:ascii="Times New Roman" w:hAnsi="Times New Roman"/>
          <w:sz w:val="24"/>
          <w:szCs w:val="24"/>
        </w:rPr>
        <w:t xml:space="preserve">On Jan. 29, 2025, in </w:t>
      </w:r>
      <w:r w:rsidRPr="00C11ACF">
        <w:rPr>
          <w:rFonts w:ascii="Times New Roman" w:hAnsi="Times New Roman"/>
          <w:sz w:val="24"/>
          <w:szCs w:val="24"/>
          <w:u w:val="single"/>
        </w:rPr>
        <w:t>Johnny Waggoner, Sr., Joanne Dixon; Kerry McQuisten v. Casey L. Husk, et al</w:t>
      </w:r>
      <w:r w:rsidRPr="00C11ACF">
        <w:rPr>
          <w:rFonts w:ascii="Times New Roman" w:hAnsi="Times New Roman"/>
          <w:sz w:val="24"/>
          <w:szCs w:val="24"/>
        </w:rPr>
        <w:t xml:space="preserve">., the Court of Appeals of Oregon held (3 to 0) that the three former members of City Council may proceed with their lawsuit under the Oregon Corrupt Practices Act against Casey Husk, a former Lieutenant with the fire department.  He filed recall petitions against 6 of the 7 </w:t>
      </w:r>
      <w:proofErr w:type="gramStart"/>
      <w:r w:rsidRPr="00C11ACF">
        <w:rPr>
          <w:rFonts w:ascii="Times New Roman" w:hAnsi="Times New Roman"/>
          <w:sz w:val="24"/>
          <w:szCs w:val="24"/>
        </w:rPr>
        <w:t>member</w:t>
      </w:r>
      <w:proofErr w:type="gramEnd"/>
      <w:r w:rsidRPr="00C11ACF">
        <w:rPr>
          <w:rFonts w:ascii="Times New Roman" w:hAnsi="Times New Roman"/>
          <w:sz w:val="24"/>
          <w:szCs w:val="24"/>
        </w:rPr>
        <w:t xml:space="preserve"> of City Council, including the 3 plaintiffs, claiming they voted to “dissolve” the fire department. The city council in April 2022 voted to have County EMS take over all EMS runs in the city; the department was not dissolved (staffing went from 15 career firefighters to 9).  Oregon, like many states, has an “Anti-SLAPP law” [strategic lawsuits against public participation] that protects press and citizens from lawsuits by public officials for alleged misconduct, but that protection does not protect against a knowingly false statement.  The lawsuit by the former Council members may now proceed </w:t>
      </w:r>
      <w:proofErr w:type="gramStart"/>
      <w:r w:rsidRPr="00C11ACF">
        <w:rPr>
          <w:rFonts w:ascii="Times New Roman" w:hAnsi="Times New Roman"/>
          <w:sz w:val="24"/>
          <w:szCs w:val="24"/>
        </w:rPr>
        <w:t>to</w:t>
      </w:r>
      <w:proofErr w:type="gramEnd"/>
      <w:r w:rsidRPr="00C11ACF">
        <w:rPr>
          <w:rFonts w:ascii="Times New Roman" w:hAnsi="Times New Roman"/>
          <w:sz w:val="24"/>
          <w:szCs w:val="24"/>
        </w:rPr>
        <w:t xml:space="preserve"> pre-trial discovery. </w:t>
      </w:r>
      <w:hyperlink r:id="rId96" w:history="1">
        <w:r w:rsidRPr="00C11ACF">
          <w:rPr>
            <w:rStyle w:val="Hyperlink"/>
            <w:rFonts w:ascii="Times New Roman" w:hAnsi="Times New Roman"/>
            <w:sz w:val="24"/>
            <w:szCs w:val="24"/>
          </w:rPr>
          <w:t>https://cases.justia.com/oregon/court-of-appeals/2025-a181038.pdf?ts=1738179139</w:t>
        </w:r>
      </w:hyperlink>
      <w:r w:rsidRPr="00C11ACF">
        <w:rPr>
          <w:rFonts w:ascii="Times New Roman" w:hAnsi="Times New Roman"/>
          <w:sz w:val="24"/>
          <w:szCs w:val="24"/>
        </w:rPr>
        <w:t xml:space="preserve"> </w:t>
      </w:r>
    </w:p>
    <w:p w14:paraId="29A7622E" w14:textId="77777777" w:rsidR="00C11ACF" w:rsidRPr="00C11ACF" w:rsidRDefault="00C11ACF" w:rsidP="00C11ACF">
      <w:pPr>
        <w:pStyle w:val="NoSpacing"/>
        <w:rPr>
          <w:rFonts w:ascii="Times New Roman" w:hAnsi="Times New Roman"/>
          <w:sz w:val="24"/>
          <w:szCs w:val="24"/>
        </w:rPr>
      </w:pPr>
      <w:r w:rsidRPr="00C11ACF">
        <w:rPr>
          <w:rFonts w:ascii="Times New Roman" w:hAnsi="Times New Roman"/>
          <w:sz w:val="24"/>
          <w:szCs w:val="24"/>
        </w:rPr>
        <w:t>The Court wrote:</w:t>
      </w:r>
    </w:p>
    <w:p w14:paraId="156E4B71" w14:textId="77777777" w:rsidR="00C11ACF" w:rsidRPr="00C11ACF" w:rsidRDefault="00C11ACF" w:rsidP="00C11ACF">
      <w:pPr>
        <w:pStyle w:val="NoSpacing"/>
        <w:rPr>
          <w:rFonts w:ascii="Times New Roman" w:hAnsi="Times New Roman"/>
          <w:sz w:val="24"/>
          <w:szCs w:val="24"/>
        </w:rPr>
      </w:pPr>
    </w:p>
    <w:p w14:paraId="4350E187" w14:textId="77777777" w:rsidR="00C11ACF" w:rsidRPr="00C11ACF" w:rsidRDefault="00C11ACF" w:rsidP="00C11ACF">
      <w:pPr>
        <w:pStyle w:val="NoSpacing"/>
        <w:ind w:left="720"/>
        <w:rPr>
          <w:rFonts w:ascii="Times New Roman" w:hAnsi="Times New Roman"/>
          <w:sz w:val="24"/>
          <w:szCs w:val="24"/>
        </w:rPr>
      </w:pPr>
      <w:r w:rsidRPr="00C11ACF">
        <w:rPr>
          <w:rFonts w:ascii="Times New Roman" w:hAnsi="Times New Roman"/>
          <w:sz w:val="24"/>
          <w:szCs w:val="24"/>
        </w:rPr>
        <w:t xml:space="preserve">“There is evidence that defendant worked as a firefighter for the Baker City Fire Department from 2020 to July 2022, was involved in union negotiations with the city regarding the fire </w:t>
      </w:r>
      <w:proofErr w:type="gramStart"/>
      <w:r w:rsidRPr="00C11ACF">
        <w:rPr>
          <w:rFonts w:ascii="Times New Roman" w:hAnsi="Times New Roman"/>
          <w:sz w:val="24"/>
          <w:szCs w:val="24"/>
        </w:rPr>
        <w:t>department, and</w:t>
      </w:r>
      <w:proofErr w:type="gramEnd"/>
      <w:r w:rsidRPr="00C11ACF">
        <w:rPr>
          <w:rFonts w:ascii="Times New Roman" w:hAnsi="Times New Roman"/>
          <w:sz w:val="24"/>
          <w:szCs w:val="24"/>
        </w:rPr>
        <w:t xml:space="preserve"> attended multiple city council meetings relating to the April 2022 vote. The record supports a reasonable inference that he knew that the city council did not vote to dissolve the fire department. See id. at 360 (concluding, with respect to an allegedly false statement regarding the fire department, that the plaintiff made out a prima facie case on the mental state element where, among other things, the defendant knew or should have known the true facts as a former fire department lieutenant and former city mayor). Accordingly, we conclude that the trial court did not err in denying defendant’s special motion to strike plaintiff’s complaint for a violation of ORS 260.532.”</w:t>
      </w:r>
    </w:p>
    <w:p w14:paraId="10E8C9B8" w14:textId="77777777" w:rsidR="00C11ACF" w:rsidRPr="00C11ACF" w:rsidRDefault="00C11ACF" w:rsidP="00C11ACF">
      <w:pPr>
        <w:pStyle w:val="NoSpacing"/>
        <w:rPr>
          <w:rFonts w:ascii="Times New Roman" w:hAnsi="Times New Roman"/>
          <w:b/>
          <w:bCs/>
          <w:sz w:val="24"/>
          <w:szCs w:val="24"/>
        </w:rPr>
      </w:pPr>
    </w:p>
    <w:p w14:paraId="4D8F4ADF" w14:textId="77777777" w:rsidR="00C11ACF" w:rsidRPr="00C11ACF" w:rsidRDefault="00C11ACF" w:rsidP="00C11ACF">
      <w:pPr>
        <w:pStyle w:val="NoSpacing"/>
        <w:rPr>
          <w:rFonts w:ascii="Times New Roman" w:hAnsi="Times New Roman"/>
          <w:b/>
          <w:bCs/>
          <w:sz w:val="24"/>
          <w:szCs w:val="24"/>
        </w:rPr>
      </w:pPr>
      <w:r w:rsidRPr="00C11ACF">
        <w:rPr>
          <w:rFonts w:ascii="Times New Roman" w:hAnsi="Times New Roman"/>
          <w:b/>
          <w:sz w:val="24"/>
          <w:szCs w:val="24"/>
        </w:rPr>
        <w:t xml:space="preserve">Legal Lesson Learned: When filing recall petition or other complaints against public official, carefully review allegations – opinions are protected under First Amendment and anti-SLAPP statutes, but not intentional false statements. </w:t>
      </w:r>
    </w:p>
    <w:p w14:paraId="0D381B3E" w14:textId="77777777" w:rsidR="00C11ACF" w:rsidRPr="00C11ACF" w:rsidRDefault="00C11ACF" w:rsidP="00C11ACF">
      <w:pPr>
        <w:pStyle w:val="NoSpacing"/>
        <w:rPr>
          <w:rFonts w:ascii="Times New Roman" w:hAnsi="Times New Roman"/>
          <w:b/>
          <w:bCs/>
          <w:sz w:val="24"/>
          <w:szCs w:val="24"/>
        </w:rPr>
      </w:pPr>
    </w:p>
    <w:p w14:paraId="3C79BEEA" w14:textId="77777777" w:rsidR="00C11ACF" w:rsidRPr="00C11ACF" w:rsidRDefault="00C11ACF" w:rsidP="00C11ACF">
      <w:pPr>
        <w:pStyle w:val="NoSpacing"/>
        <w:ind w:left="720"/>
        <w:rPr>
          <w:rFonts w:ascii="Times New Roman" w:hAnsi="Times New Roman"/>
          <w:sz w:val="24"/>
          <w:szCs w:val="24"/>
        </w:rPr>
      </w:pPr>
      <w:r w:rsidRPr="00C11ACF">
        <w:rPr>
          <w:rFonts w:ascii="Times New Roman" w:hAnsi="Times New Roman"/>
          <w:sz w:val="24"/>
          <w:szCs w:val="24"/>
        </w:rPr>
        <w:t xml:space="preserve">Note:  “Anti-SLAPP laws are intended to prevent people from using courts, and potential threats of a lawsuit, to intimidate people who are exercising their First Amendment rights. In terms of reporting, news organizations and individual journalists can use anti-SLAPP statutes to protect themselves from the financial threat of a groundless defamation case brought by a subject of an enterprise or investigative story. Under most anti-SLAPP statutes, the person sued makes a motion to strike the case because it involves speech on a matter of public concern. The plaintiff then has the burden of showing a probability that they will prevail in the suit — meaning they must show that they have evidence that could result in a favorable verdict. If the plaintiff cannot meet this burden and the suit is dismissed through anti-SLAPP proceedings, many statutes allow defendants to collect attorney’s fees from the plaintiff.”  </w:t>
      </w:r>
      <w:hyperlink r:id="rId97" w:history="1">
        <w:r w:rsidRPr="00C11ACF">
          <w:rPr>
            <w:rStyle w:val="Hyperlink"/>
            <w:rFonts w:ascii="Times New Roman" w:hAnsi="Times New Roman"/>
            <w:sz w:val="24"/>
            <w:szCs w:val="24"/>
          </w:rPr>
          <w:t>https://www.rcfp.org/resources/anti-slapp-laws/</w:t>
        </w:r>
      </w:hyperlink>
      <w:r w:rsidRPr="00C11ACF">
        <w:rPr>
          <w:rFonts w:ascii="Times New Roman" w:hAnsi="Times New Roman"/>
          <w:sz w:val="24"/>
          <w:szCs w:val="24"/>
        </w:rPr>
        <w:t xml:space="preserve"> </w:t>
      </w:r>
    </w:p>
    <w:p w14:paraId="259DE2FD" w14:textId="77777777" w:rsidR="00C11ACF" w:rsidRPr="00C11ACF" w:rsidRDefault="00C11ACF" w:rsidP="00C11ACF">
      <w:pPr>
        <w:rPr>
          <w:rFonts w:ascii="Times New Roman" w:hAnsi="Times New Roman"/>
          <w:sz w:val="24"/>
          <w:szCs w:val="24"/>
        </w:rPr>
      </w:pPr>
    </w:p>
    <w:p w14:paraId="3F05E003" w14:textId="77777777" w:rsidR="00C11ACF" w:rsidRDefault="00C11ACF" w:rsidP="00B86628">
      <w:pPr>
        <w:pStyle w:val="NoSpacing"/>
        <w:rPr>
          <w:rFonts w:ascii="Arial Black" w:hAnsi="Arial Black"/>
          <w:sz w:val="24"/>
          <w:szCs w:val="24"/>
        </w:rPr>
      </w:pPr>
    </w:p>
    <w:p w14:paraId="7C087412" w14:textId="77777777" w:rsidR="00C11ACF" w:rsidRDefault="00C11ACF" w:rsidP="00B86628">
      <w:pPr>
        <w:pStyle w:val="NoSpacing"/>
        <w:rPr>
          <w:rFonts w:ascii="Arial Black" w:hAnsi="Arial Black"/>
          <w:sz w:val="24"/>
          <w:szCs w:val="24"/>
        </w:rPr>
      </w:pPr>
    </w:p>
    <w:p w14:paraId="70A707BC" w14:textId="77777777" w:rsidR="00C11ACF" w:rsidRDefault="00C11ACF" w:rsidP="00B86628">
      <w:pPr>
        <w:pStyle w:val="NoSpacing"/>
        <w:rPr>
          <w:rFonts w:ascii="Arial Black" w:hAnsi="Arial Black"/>
          <w:sz w:val="24"/>
          <w:szCs w:val="24"/>
        </w:rPr>
      </w:pPr>
    </w:p>
    <w:p w14:paraId="0DF8A8C6" w14:textId="77777777" w:rsidR="00C11ACF" w:rsidRDefault="00C11ACF" w:rsidP="00B86628">
      <w:pPr>
        <w:pStyle w:val="NoSpacing"/>
        <w:rPr>
          <w:rFonts w:ascii="Arial Black" w:hAnsi="Arial Black"/>
          <w:sz w:val="24"/>
          <w:szCs w:val="24"/>
        </w:rPr>
      </w:pPr>
    </w:p>
    <w:p w14:paraId="370D70B6" w14:textId="52E09D20" w:rsidR="00EF4D70" w:rsidRDefault="00763EF6" w:rsidP="00B86628">
      <w:pPr>
        <w:pStyle w:val="NoSpacing"/>
        <w:rPr>
          <w:rFonts w:ascii="Arial Black" w:hAnsi="Arial Black"/>
          <w:sz w:val="24"/>
          <w:szCs w:val="24"/>
        </w:rPr>
      </w:pPr>
      <w:r>
        <w:rPr>
          <w:rFonts w:ascii="Arial Black" w:hAnsi="Arial Black"/>
          <w:sz w:val="24"/>
          <w:szCs w:val="24"/>
        </w:rPr>
        <w:t>1-171</w:t>
      </w:r>
    </w:p>
    <w:p w14:paraId="7C4CE94B" w14:textId="77777777" w:rsidR="00763EF6" w:rsidRDefault="00763EF6" w:rsidP="00B86628">
      <w:pPr>
        <w:pStyle w:val="NoSpacing"/>
        <w:rPr>
          <w:rFonts w:ascii="Arial Black" w:hAnsi="Arial Black"/>
          <w:sz w:val="24"/>
          <w:szCs w:val="24"/>
        </w:rPr>
      </w:pPr>
    </w:p>
    <w:p w14:paraId="159E2F97" w14:textId="77777777" w:rsidR="00763EF6" w:rsidRDefault="00763EF6" w:rsidP="00763EF6">
      <w:pPr>
        <w:pStyle w:val="NoSpacing"/>
        <w:rPr>
          <w:rFonts w:ascii="Arial Black" w:hAnsi="Arial Black"/>
          <w:sz w:val="28"/>
          <w:szCs w:val="28"/>
        </w:rPr>
      </w:pPr>
      <w:r>
        <w:rPr>
          <w:rFonts w:ascii="Arial Black" w:hAnsi="Arial Black"/>
          <w:sz w:val="28"/>
          <w:szCs w:val="28"/>
        </w:rPr>
        <w:t>U.S. SUP. CT. - CONGRESS CAN BAN TIKTOK – TRUMP DELAY</w:t>
      </w:r>
    </w:p>
    <w:p w14:paraId="70945E30" w14:textId="77777777" w:rsidR="00763EF6" w:rsidRDefault="00763EF6" w:rsidP="00763EF6">
      <w:pPr>
        <w:pStyle w:val="NoSpacing"/>
      </w:pPr>
    </w:p>
    <w:p w14:paraId="06EE4955" w14:textId="77777777" w:rsidR="00763EF6" w:rsidRPr="00763EF6" w:rsidRDefault="00763EF6" w:rsidP="00763EF6">
      <w:pPr>
        <w:pStyle w:val="NoSpacing"/>
        <w:rPr>
          <w:rFonts w:ascii="Times New Roman" w:hAnsi="Times New Roman"/>
          <w:sz w:val="24"/>
          <w:szCs w:val="24"/>
        </w:rPr>
      </w:pPr>
      <w:r w:rsidRPr="00763EF6">
        <w:rPr>
          <w:rFonts w:ascii="Times New Roman" w:hAnsi="Times New Roman"/>
          <w:sz w:val="24"/>
          <w:szCs w:val="24"/>
        </w:rPr>
        <w:t xml:space="preserve">On January 17, 2025, in </w:t>
      </w:r>
      <w:r w:rsidRPr="00763EF6">
        <w:rPr>
          <w:rFonts w:ascii="Times New Roman" w:hAnsi="Times New Roman"/>
          <w:sz w:val="24"/>
          <w:szCs w:val="24"/>
          <w:u w:val="single"/>
        </w:rPr>
        <w:t>TikTok Inc, et al. v, Merrick B. Garland, Attorney General</w:t>
      </w:r>
      <w:r w:rsidRPr="00763EF6">
        <w:rPr>
          <w:rFonts w:ascii="Times New Roman" w:hAnsi="Times New Roman"/>
          <w:sz w:val="24"/>
          <w:szCs w:val="24"/>
        </w:rPr>
        <w:t xml:space="preserve">, the United States Supreme Court held (9 to 0; per curiam decision – not authored by any individual Justice), that Congress did not violate the First Amendment when it passed the Protecting Americans from Foreign Adversary Controlled Applications Act will make it unlawful  (effective Jan. 19, 2025) for companies in the United States to provide services to distribute, maintain, or update the social media platform TikTok, unless U. S. operation of the platform is severed from Chinese control.  [The ban now delayed by President Trump.] </w:t>
      </w:r>
      <w:hyperlink r:id="rId98" w:history="1">
        <w:r w:rsidRPr="00763EF6">
          <w:rPr>
            <w:rStyle w:val="Hyperlink"/>
            <w:rFonts w:ascii="Times New Roman" w:hAnsi="Times New Roman"/>
            <w:sz w:val="24"/>
            <w:szCs w:val="24"/>
          </w:rPr>
          <w:t>https://www.supremecourt.gov/opinions/24pdf/24-656_ca7d.pdf</w:t>
        </w:r>
      </w:hyperlink>
      <w:r w:rsidRPr="00763EF6">
        <w:rPr>
          <w:rFonts w:ascii="Times New Roman" w:hAnsi="Times New Roman"/>
          <w:sz w:val="24"/>
          <w:szCs w:val="24"/>
        </w:rPr>
        <w:t xml:space="preserve">   </w:t>
      </w:r>
    </w:p>
    <w:p w14:paraId="7E7FF8F3" w14:textId="77777777" w:rsidR="00763EF6" w:rsidRPr="00763EF6" w:rsidRDefault="00763EF6" w:rsidP="00763EF6">
      <w:pPr>
        <w:pStyle w:val="NoSpacing"/>
        <w:rPr>
          <w:rFonts w:ascii="Times New Roman" w:hAnsi="Times New Roman"/>
          <w:sz w:val="24"/>
          <w:szCs w:val="24"/>
        </w:rPr>
      </w:pPr>
    </w:p>
    <w:p w14:paraId="0E7E6F87" w14:textId="77777777" w:rsidR="00763EF6" w:rsidRPr="00763EF6" w:rsidRDefault="00763EF6" w:rsidP="00763EF6">
      <w:pPr>
        <w:pStyle w:val="NoSpacing"/>
        <w:rPr>
          <w:rFonts w:ascii="Times New Roman" w:hAnsi="Times New Roman"/>
          <w:sz w:val="24"/>
          <w:szCs w:val="24"/>
        </w:rPr>
      </w:pPr>
      <w:r w:rsidRPr="00763EF6">
        <w:rPr>
          <w:rFonts w:ascii="Times New Roman" w:hAnsi="Times New Roman"/>
          <w:sz w:val="24"/>
          <w:szCs w:val="24"/>
        </w:rPr>
        <w:t>The Court wrote:</w:t>
      </w:r>
    </w:p>
    <w:p w14:paraId="23893B3A" w14:textId="77777777" w:rsidR="00763EF6" w:rsidRPr="00763EF6" w:rsidRDefault="00763EF6" w:rsidP="00763EF6">
      <w:pPr>
        <w:pStyle w:val="NoSpacing"/>
        <w:rPr>
          <w:rFonts w:ascii="Times New Roman" w:hAnsi="Times New Roman"/>
          <w:sz w:val="24"/>
          <w:szCs w:val="24"/>
        </w:rPr>
      </w:pPr>
    </w:p>
    <w:p w14:paraId="62B1E7DA"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“TikTok is a social media platform that allows users to create, publish, view, share, and interact with short videos overlaid with audio and text. Since its launch in 2017, the</w:t>
      </w:r>
    </w:p>
    <w:p w14:paraId="5E18707B"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platform has accumulated over 170 million users in the United States and more than one billion worldwide. Those users are prolific content creators and viewers. In 2023,</w:t>
      </w:r>
    </w:p>
    <w:p w14:paraId="6AA01A2A"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 xml:space="preserve">U. S. TikTok users uploaded more than 5.5 billion videos, which were in turn viewed more than 13 trillion times around the world. </w:t>
      </w:r>
    </w:p>
    <w:p w14:paraId="1B18A449" w14:textId="77777777" w:rsidR="00763EF6" w:rsidRPr="00763EF6" w:rsidRDefault="00763EF6" w:rsidP="00763EF6">
      <w:pPr>
        <w:pStyle w:val="NoSpacing"/>
        <w:rPr>
          <w:rFonts w:ascii="Times New Roman" w:hAnsi="Times New Roman"/>
          <w:sz w:val="24"/>
          <w:szCs w:val="24"/>
        </w:rPr>
      </w:pPr>
    </w:p>
    <w:p w14:paraId="1B6354FF"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Opening the TikTok application brings a user to the ‘For You’ page —a personalized content feed tailored to the user’s interests. TikTok generates the feed using a proprietary algorithm that recommends videos to a user based on the user’s interactions with the platform. Each interaction a user has on TikTok—watching a video, following an ac-</w:t>
      </w:r>
    </w:p>
    <w:p w14:paraId="4CC07142"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count, leaving a comment—enables the recommendation system to further tailor a personalized content feed.</w:t>
      </w:r>
    </w:p>
    <w:p w14:paraId="0DC5DAC7" w14:textId="77777777" w:rsidR="00763EF6" w:rsidRPr="00763EF6" w:rsidRDefault="00763EF6" w:rsidP="00763EF6">
      <w:pPr>
        <w:pStyle w:val="NoSpacing"/>
        <w:ind w:left="720"/>
        <w:rPr>
          <w:rFonts w:ascii="Times New Roman" w:hAnsi="Times New Roman"/>
          <w:sz w:val="24"/>
          <w:szCs w:val="24"/>
        </w:rPr>
      </w:pPr>
    </w:p>
    <w:p w14:paraId="7A66CA0C"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w:t>
      </w:r>
    </w:p>
    <w:p w14:paraId="546232AF"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TikTok Inc.’s ultimate parent company is ByteDance Ltd., a privately held company that has operations in China. ByteDance Ltd. owns TikTok’s proprietary algorithm, which is developed and maintained in China. The company is also responsible for developing portions of the source code that runs the TikTok platform. ByteDance Ltd. is subject to Chinese laws that require it to ‘assist or cooperate’ with the Chinese Government’s ‘intelligence work’ and to ensure that the Chinese Government has ‘the power to access and control private data’ the company holds. H. R. Rep. No. 118–417, p. 4 (2024) (H. R. Rep.); see 2 App. 673–676.</w:t>
      </w:r>
    </w:p>
    <w:p w14:paraId="563F3505" w14:textId="77777777" w:rsidR="00763EF6" w:rsidRPr="00763EF6" w:rsidRDefault="00763EF6" w:rsidP="00763EF6">
      <w:pPr>
        <w:pStyle w:val="NoSpacing"/>
        <w:ind w:left="720"/>
        <w:rPr>
          <w:rFonts w:ascii="Times New Roman" w:hAnsi="Times New Roman"/>
          <w:sz w:val="24"/>
          <w:szCs w:val="24"/>
        </w:rPr>
      </w:pPr>
    </w:p>
    <w:p w14:paraId="51E1EBAA"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w:t>
      </w:r>
    </w:p>
    <w:p w14:paraId="631AB358" w14:textId="7777777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There is no doubt that, for more than 170 million Americans, TikTok offers a distinctive and expansive outlet for expression, means of engagement, and source of community. But Congress has determined that divestiture is necessary to address its well-supported national security concerns regarding TikTok’s data collection practices and relationship with a foreign adversary. For the foregoing reasons, we conclude that the challenged provisions do not violate petitioners’ First Amendment rights.”</w:t>
      </w:r>
    </w:p>
    <w:p w14:paraId="125F27F7" w14:textId="77777777" w:rsidR="00763EF6" w:rsidRPr="00763EF6" w:rsidRDefault="00763EF6" w:rsidP="00763EF6">
      <w:pPr>
        <w:pStyle w:val="NoSpacing"/>
        <w:ind w:left="720"/>
        <w:rPr>
          <w:rFonts w:ascii="Times New Roman" w:hAnsi="Times New Roman"/>
          <w:sz w:val="24"/>
          <w:szCs w:val="24"/>
        </w:rPr>
      </w:pPr>
    </w:p>
    <w:p w14:paraId="678CDEE8" w14:textId="77777777" w:rsidR="00763EF6" w:rsidRPr="00763EF6" w:rsidRDefault="00763EF6" w:rsidP="00763EF6">
      <w:pPr>
        <w:pStyle w:val="NoSpacing"/>
        <w:rPr>
          <w:rFonts w:ascii="Times New Roman" w:hAnsi="Times New Roman"/>
          <w:b/>
          <w:bCs/>
          <w:sz w:val="24"/>
          <w:szCs w:val="24"/>
        </w:rPr>
      </w:pPr>
      <w:r w:rsidRPr="00763EF6">
        <w:rPr>
          <w:rFonts w:ascii="Times New Roman" w:hAnsi="Times New Roman"/>
          <w:b/>
          <w:sz w:val="24"/>
          <w:szCs w:val="24"/>
        </w:rPr>
        <w:t>Legal Lesson Learned: Fire &amp; EMS departments should review their computer systems that contain protected information, including patient health information, to help prevent “hacking” and unauthorized copying.</w:t>
      </w:r>
    </w:p>
    <w:p w14:paraId="2250629E" w14:textId="77777777" w:rsidR="00763EF6" w:rsidRPr="00763EF6" w:rsidRDefault="00763EF6" w:rsidP="00763EF6">
      <w:pPr>
        <w:rPr>
          <w:rFonts w:ascii="Times New Roman" w:hAnsi="Times New Roman"/>
          <w:b/>
          <w:sz w:val="24"/>
          <w:szCs w:val="24"/>
        </w:rPr>
      </w:pPr>
    </w:p>
    <w:p w14:paraId="00E4164D" w14:textId="77777777" w:rsidR="00763EF6" w:rsidRPr="00763EF6" w:rsidRDefault="00763EF6" w:rsidP="00763EF6">
      <w:pPr>
        <w:pStyle w:val="NoSpacing"/>
        <w:ind w:left="720"/>
        <w:rPr>
          <w:rFonts w:ascii="Times New Roman" w:hAnsi="Times New Roman"/>
          <w:bCs/>
          <w:sz w:val="24"/>
          <w:szCs w:val="24"/>
        </w:rPr>
      </w:pPr>
      <w:r w:rsidRPr="00763EF6">
        <w:rPr>
          <w:rFonts w:ascii="Times New Roman" w:hAnsi="Times New Roman"/>
          <w:sz w:val="24"/>
          <w:szCs w:val="24"/>
        </w:rPr>
        <w:t>Note:</w:t>
      </w:r>
      <w:r w:rsidRPr="00763EF6">
        <w:rPr>
          <w:rFonts w:ascii="Times New Roman" w:hAnsi="Times New Roman"/>
          <w:b/>
          <w:sz w:val="24"/>
          <w:szCs w:val="24"/>
        </w:rPr>
        <w:t xml:space="preserve"> </w:t>
      </w:r>
      <w:r w:rsidRPr="00763EF6">
        <w:rPr>
          <w:rFonts w:ascii="Times New Roman" w:hAnsi="Times New Roman"/>
          <w:sz w:val="24"/>
          <w:szCs w:val="24"/>
        </w:rPr>
        <w:t>See  Jan. 17, 2025: “Justice Department Statements on Supreme Court’s Decision in TikTok, et al. v. Garland.”</w:t>
      </w:r>
    </w:p>
    <w:p w14:paraId="493845B7" w14:textId="77777777" w:rsidR="00763EF6" w:rsidRPr="00763EF6" w:rsidRDefault="00763EF6" w:rsidP="00763EF6">
      <w:pPr>
        <w:pStyle w:val="NoSpacing"/>
        <w:ind w:left="720"/>
        <w:rPr>
          <w:rFonts w:ascii="Times New Roman" w:hAnsi="Times New Roman"/>
          <w:bCs/>
          <w:sz w:val="24"/>
          <w:szCs w:val="24"/>
        </w:rPr>
      </w:pPr>
      <w:hyperlink r:id="rId99" w:history="1">
        <w:r w:rsidRPr="00763EF6">
          <w:rPr>
            <w:rStyle w:val="Hyperlink"/>
            <w:rFonts w:ascii="Times New Roman" w:hAnsi="Times New Roman"/>
            <w:sz w:val="24"/>
            <w:szCs w:val="24"/>
          </w:rPr>
          <w:t>https://www.justice.gov/opa/pr/justice-department-statements-supreme-courts-decision-tiktok-et-al-v-garland</w:t>
        </w:r>
      </w:hyperlink>
      <w:r w:rsidRPr="00763EF6">
        <w:rPr>
          <w:rFonts w:ascii="Times New Roman" w:hAnsi="Times New Roman"/>
          <w:sz w:val="24"/>
          <w:szCs w:val="24"/>
        </w:rPr>
        <w:t xml:space="preserve"> </w:t>
      </w:r>
    </w:p>
    <w:p w14:paraId="0ED74ABC" w14:textId="77777777" w:rsidR="00763EF6" w:rsidRPr="00763EF6" w:rsidRDefault="00763EF6" w:rsidP="00763EF6">
      <w:pPr>
        <w:pStyle w:val="NoSpacing"/>
        <w:ind w:left="720"/>
        <w:rPr>
          <w:rFonts w:ascii="Times New Roman" w:hAnsi="Times New Roman"/>
          <w:bCs/>
          <w:sz w:val="24"/>
          <w:szCs w:val="24"/>
        </w:rPr>
      </w:pPr>
    </w:p>
    <w:p w14:paraId="44DAB6A8" w14:textId="33A88B17" w:rsidR="00763EF6" w:rsidRPr="00763EF6" w:rsidRDefault="00763EF6" w:rsidP="00763EF6">
      <w:pPr>
        <w:pStyle w:val="NoSpacing"/>
        <w:ind w:left="720"/>
        <w:rPr>
          <w:rFonts w:ascii="Times New Roman" w:hAnsi="Times New Roman"/>
          <w:sz w:val="24"/>
          <w:szCs w:val="24"/>
        </w:rPr>
      </w:pPr>
      <w:r w:rsidRPr="00763EF6">
        <w:rPr>
          <w:rFonts w:ascii="Times New Roman" w:hAnsi="Times New Roman"/>
          <w:sz w:val="24"/>
          <w:szCs w:val="24"/>
        </w:rPr>
        <w:t xml:space="preserve">Jan. 22, 2025: “TikTok still not available on app stores after Trump's executive order: What we know.” </w:t>
      </w:r>
      <w:hyperlink r:id="rId100" w:history="1">
        <w:r w:rsidR="00CD461F" w:rsidRPr="009B5658">
          <w:rPr>
            <w:rStyle w:val="Hyperlink"/>
            <w:rFonts w:ascii="Times New Roman" w:hAnsi="Times New Roman"/>
            <w:sz w:val="24"/>
            <w:szCs w:val="24"/>
          </w:rPr>
          <w:t>https://www.usatoday.com/story/tech/2025/01/22/tiktok-ban-download-app-stores-update/77872210007/</w:t>
        </w:r>
      </w:hyperlink>
    </w:p>
    <w:p w14:paraId="2182085A" w14:textId="77777777" w:rsidR="00EF4D70" w:rsidRDefault="00EF4D70" w:rsidP="00B86628">
      <w:pPr>
        <w:pStyle w:val="NoSpacing"/>
        <w:rPr>
          <w:rFonts w:ascii="Arial Black" w:hAnsi="Arial Black"/>
          <w:sz w:val="24"/>
          <w:szCs w:val="24"/>
        </w:rPr>
      </w:pPr>
    </w:p>
    <w:p w14:paraId="20ADFF84" w14:textId="77777777" w:rsidR="00EF4D70" w:rsidRDefault="00EF4D70" w:rsidP="00B86628">
      <w:pPr>
        <w:pStyle w:val="NoSpacing"/>
        <w:rPr>
          <w:rFonts w:ascii="Arial Black" w:hAnsi="Arial Black"/>
          <w:sz w:val="24"/>
          <w:szCs w:val="24"/>
        </w:rPr>
      </w:pPr>
    </w:p>
    <w:p w14:paraId="0D1FBE9A" w14:textId="14872BF5" w:rsidR="002F5070" w:rsidRDefault="002F5070" w:rsidP="00B86628">
      <w:pPr>
        <w:pStyle w:val="NoSpacing"/>
        <w:rPr>
          <w:rFonts w:ascii="Arial Black" w:hAnsi="Arial Black"/>
          <w:sz w:val="24"/>
          <w:szCs w:val="24"/>
        </w:rPr>
      </w:pPr>
      <w:r>
        <w:rPr>
          <w:rFonts w:ascii="Arial Black" w:hAnsi="Arial Black"/>
          <w:sz w:val="24"/>
          <w:szCs w:val="24"/>
        </w:rPr>
        <w:t>1-1</w:t>
      </w:r>
      <w:r w:rsidR="00F755DB">
        <w:rPr>
          <w:rFonts w:ascii="Arial Black" w:hAnsi="Arial Black"/>
          <w:sz w:val="24"/>
          <w:szCs w:val="24"/>
        </w:rPr>
        <w:t>70</w:t>
      </w:r>
    </w:p>
    <w:p w14:paraId="13C4FBE0" w14:textId="77777777" w:rsidR="009312DC" w:rsidRDefault="009312DC" w:rsidP="00B86628">
      <w:pPr>
        <w:pStyle w:val="NoSpacing"/>
        <w:rPr>
          <w:rFonts w:ascii="Arial Black" w:hAnsi="Arial Black"/>
          <w:sz w:val="24"/>
          <w:szCs w:val="24"/>
        </w:rPr>
      </w:pPr>
    </w:p>
    <w:p w14:paraId="2A1CEA88" w14:textId="77777777" w:rsidR="009312DC" w:rsidRPr="00D57EC3" w:rsidRDefault="009312DC" w:rsidP="009312DC">
      <w:pPr>
        <w:pStyle w:val="NoSpacing"/>
        <w:rPr>
          <w:rFonts w:ascii="Arial Black" w:hAnsi="Arial Black"/>
          <w:bCs/>
          <w:sz w:val="28"/>
          <w:szCs w:val="28"/>
        </w:rPr>
      </w:pPr>
      <w:r w:rsidRPr="00D57EC3">
        <w:rPr>
          <w:rFonts w:ascii="Arial Black" w:hAnsi="Arial Black"/>
          <w:b/>
          <w:sz w:val="28"/>
          <w:szCs w:val="28"/>
        </w:rPr>
        <w:t>PA: ADMIN</w:t>
      </w:r>
      <w:r>
        <w:rPr>
          <w:rFonts w:ascii="Arial Black" w:hAnsi="Arial Black"/>
          <w:b/>
          <w:sz w:val="28"/>
          <w:szCs w:val="28"/>
        </w:rPr>
        <w:t xml:space="preserve">. </w:t>
      </w:r>
      <w:r w:rsidRPr="00D57EC3">
        <w:rPr>
          <w:rFonts w:ascii="Arial Black" w:hAnsi="Arial Black"/>
          <w:b/>
          <w:sz w:val="28"/>
          <w:szCs w:val="28"/>
        </w:rPr>
        <w:t xml:space="preserve">SEARCH WARRANT – SEWER </w:t>
      </w:r>
      <w:r>
        <w:rPr>
          <w:rFonts w:ascii="Arial Black" w:hAnsi="Arial Black"/>
          <w:b/>
          <w:sz w:val="28"/>
          <w:szCs w:val="28"/>
        </w:rPr>
        <w:t xml:space="preserve">GAS </w:t>
      </w:r>
      <w:r w:rsidRPr="00D57EC3">
        <w:rPr>
          <w:rFonts w:ascii="Arial Black" w:hAnsi="Arial Black"/>
          <w:b/>
          <w:sz w:val="28"/>
          <w:szCs w:val="28"/>
        </w:rPr>
        <w:t>HOME</w:t>
      </w:r>
    </w:p>
    <w:p w14:paraId="325E1D7A" w14:textId="77777777" w:rsidR="009312DC" w:rsidRDefault="009312DC" w:rsidP="009312DC">
      <w:pPr>
        <w:pStyle w:val="NoSpacing"/>
        <w:rPr>
          <w:b/>
        </w:rPr>
      </w:pPr>
    </w:p>
    <w:p w14:paraId="7B918FE1" w14:textId="1E86E811" w:rsidR="003C08FD" w:rsidRPr="003C08FD" w:rsidRDefault="003C08FD" w:rsidP="009312DC">
      <w:pPr>
        <w:pStyle w:val="NoSpacing"/>
        <w:rPr>
          <w:rFonts w:ascii="Times New Roman" w:hAnsi="Times New Roman"/>
          <w:sz w:val="24"/>
          <w:szCs w:val="24"/>
        </w:rPr>
      </w:pPr>
      <w:r w:rsidRPr="003C08FD">
        <w:rPr>
          <w:rFonts w:ascii="Times New Roman" w:hAnsi="Times New Roman"/>
          <w:sz w:val="24"/>
          <w:szCs w:val="24"/>
        </w:rPr>
        <w:t xml:space="preserve">On Dec. 17. 2024, in </w:t>
      </w:r>
      <w:r w:rsidRPr="003C08FD">
        <w:rPr>
          <w:rFonts w:ascii="Times New Roman" w:hAnsi="Times New Roman"/>
          <w:sz w:val="24"/>
          <w:szCs w:val="24"/>
          <w:u w:val="single"/>
        </w:rPr>
        <w:t>Karimu Hamilton v. Christopher B. Flannigan; Bryan Mawr Fire Company, et al</w:t>
      </w:r>
      <w:r w:rsidRPr="003C08FD">
        <w:rPr>
          <w:rFonts w:ascii="Times New Roman" w:hAnsi="Times New Roman"/>
          <w:sz w:val="24"/>
          <w:szCs w:val="24"/>
        </w:rPr>
        <w:t>., the United States Court of Appeals for the 3</w:t>
      </w:r>
      <w:r w:rsidRPr="003C08FD">
        <w:rPr>
          <w:rFonts w:ascii="Times New Roman" w:hAnsi="Times New Roman"/>
          <w:sz w:val="24"/>
          <w:szCs w:val="24"/>
          <w:vertAlign w:val="superscript"/>
        </w:rPr>
        <w:t>rd</w:t>
      </w:r>
      <w:r w:rsidRPr="003C08FD">
        <w:rPr>
          <w:rFonts w:ascii="Times New Roman" w:hAnsi="Times New Roman"/>
          <w:sz w:val="24"/>
          <w:szCs w:val="24"/>
        </w:rPr>
        <w:t xml:space="preserve"> Circuit (Philadelphia) held 3 to 0 (not precedential decision) that U.S. District Court judge for Eastern District of Pennsylvania properly dismissed the lawsuit against the firefighters and police officers who entered her home with her consent. </w:t>
      </w:r>
      <w:hyperlink r:id="rId101" w:history="1">
        <w:r w:rsidRPr="003C08FD">
          <w:rPr>
            <w:rStyle w:val="Hyperlink"/>
            <w:rFonts w:ascii="Times New Roman" w:hAnsi="Times New Roman"/>
            <w:sz w:val="24"/>
            <w:szCs w:val="24"/>
          </w:rPr>
          <w:t>https://cases.justia.com/federal/appellate-courts/ca3/24-1567/24-1567-2024-12-17.pdf?ts=1734458412</w:t>
        </w:r>
      </w:hyperlink>
    </w:p>
    <w:p w14:paraId="141C14BC" w14:textId="77777777" w:rsidR="003C08FD" w:rsidRDefault="003C08FD" w:rsidP="009312DC">
      <w:pPr>
        <w:pStyle w:val="NoSpacing"/>
        <w:rPr>
          <w:rFonts w:ascii="Times New Roman" w:hAnsi="Times New Roman"/>
          <w:sz w:val="24"/>
          <w:szCs w:val="24"/>
        </w:rPr>
      </w:pPr>
    </w:p>
    <w:p w14:paraId="5F9DA264" w14:textId="1A49966A" w:rsidR="009312DC" w:rsidRPr="009312DC" w:rsidRDefault="009312DC" w:rsidP="009312DC">
      <w:pPr>
        <w:pStyle w:val="NoSpacing"/>
        <w:rPr>
          <w:rFonts w:ascii="Times New Roman" w:hAnsi="Times New Roman"/>
          <w:bCs/>
          <w:sz w:val="24"/>
          <w:szCs w:val="24"/>
        </w:rPr>
      </w:pPr>
      <w:r w:rsidRPr="009312DC">
        <w:rPr>
          <w:rFonts w:ascii="Times New Roman" w:hAnsi="Times New Roman"/>
          <w:sz w:val="24"/>
          <w:szCs w:val="24"/>
        </w:rPr>
        <w:t>The 3</w:t>
      </w:r>
      <w:r w:rsidRPr="009312DC">
        <w:rPr>
          <w:rFonts w:ascii="Times New Roman" w:hAnsi="Times New Roman"/>
          <w:sz w:val="24"/>
          <w:szCs w:val="24"/>
          <w:vertAlign w:val="superscript"/>
        </w:rPr>
        <w:t>rd</w:t>
      </w:r>
      <w:r w:rsidRPr="009312DC">
        <w:rPr>
          <w:rFonts w:ascii="Times New Roman" w:hAnsi="Times New Roman"/>
          <w:sz w:val="24"/>
          <w:szCs w:val="24"/>
        </w:rPr>
        <w:t xml:space="preserve"> Circuit wrote:</w:t>
      </w:r>
    </w:p>
    <w:p w14:paraId="3D6BC4B3" w14:textId="77777777" w:rsidR="009312DC" w:rsidRPr="009312DC" w:rsidRDefault="009312DC" w:rsidP="009312DC">
      <w:pPr>
        <w:pStyle w:val="NoSpacing"/>
        <w:rPr>
          <w:rFonts w:ascii="Times New Roman" w:hAnsi="Times New Roman"/>
          <w:bCs/>
          <w:sz w:val="24"/>
          <w:szCs w:val="24"/>
        </w:rPr>
      </w:pPr>
    </w:p>
    <w:p w14:paraId="6A65CFDB" w14:textId="77777777" w:rsidR="009312DC" w:rsidRPr="009312DC" w:rsidRDefault="009312DC" w:rsidP="009312DC">
      <w:pPr>
        <w:pStyle w:val="NoSpacing"/>
        <w:ind w:firstLine="720"/>
        <w:rPr>
          <w:rFonts w:ascii="Times New Roman" w:hAnsi="Times New Roman"/>
          <w:bCs/>
          <w:sz w:val="24"/>
          <w:szCs w:val="24"/>
        </w:rPr>
      </w:pPr>
      <w:r w:rsidRPr="009312DC">
        <w:rPr>
          <w:rFonts w:ascii="Times New Roman" w:hAnsi="Times New Roman"/>
          <w:sz w:val="24"/>
          <w:szCs w:val="24"/>
        </w:rPr>
        <w:t>“She also has no Fourth Amendment claim against the firefighters or police officers. The</w:t>
      </w:r>
    </w:p>
    <w:p w14:paraId="5EE3F3AD" w14:textId="77777777" w:rsidR="009312DC" w:rsidRPr="009312DC" w:rsidRDefault="009312DC" w:rsidP="009312DC">
      <w:pPr>
        <w:pStyle w:val="NoSpacing"/>
        <w:ind w:firstLine="720"/>
        <w:rPr>
          <w:rFonts w:ascii="Times New Roman" w:hAnsi="Times New Roman"/>
          <w:bCs/>
          <w:sz w:val="24"/>
          <w:szCs w:val="24"/>
        </w:rPr>
      </w:pPr>
      <w:proofErr w:type="gramStart"/>
      <w:r w:rsidRPr="009312DC">
        <w:rPr>
          <w:rFonts w:ascii="Times New Roman" w:hAnsi="Times New Roman"/>
          <w:sz w:val="24"/>
          <w:szCs w:val="24"/>
        </w:rPr>
        <w:t>firefighters</w:t>
      </w:r>
      <w:proofErr w:type="gramEnd"/>
      <w:r w:rsidRPr="009312DC">
        <w:rPr>
          <w:rFonts w:ascii="Times New Roman" w:hAnsi="Times New Roman"/>
          <w:sz w:val="24"/>
          <w:szCs w:val="24"/>
        </w:rPr>
        <w:t xml:space="preserve"> entered Hamilton’s home only once, when she consented to their search. See</w:t>
      </w:r>
    </w:p>
    <w:p w14:paraId="6A081BFF" w14:textId="77777777" w:rsidR="009312DC" w:rsidRPr="009312DC" w:rsidRDefault="009312DC" w:rsidP="009312DC">
      <w:pPr>
        <w:pStyle w:val="NoSpacing"/>
        <w:ind w:firstLine="720"/>
        <w:rPr>
          <w:rFonts w:ascii="Times New Roman" w:hAnsi="Times New Roman"/>
          <w:bCs/>
          <w:sz w:val="24"/>
          <w:szCs w:val="24"/>
        </w:rPr>
      </w:pPr>
      <w:r w:rsidRPr="009312DC">
        <w:rPr>
          <w:rFonts w:ascii="Times New Roman" w:hAnsi="Times New Roman"/>
          <w:sz w:val="24"/>
          <w:szCs w:val="24"/>
        </w:rPr>
        <w:t>Schneckloth v. Bustamonte, 412 U.S. 218, 219 (1973). When they asked to enter again</w:t>
      </w:r>
    </w:p>
    <w:p w14:paraId="2E2E2465" w14:textId="268AFFB7" w:rsidR="004B0DC2" w:rsidRDefault="009312DC" w:rsidP="009312DC">
      <w:pPr>
        <w:pStyle w:val="NoSpacing"/>
        <w:ind w:left="720"/>
        <w:rPr>
          <w:rFonts w:ascii="Times New Roman" w:hAnsi="Times New Roman"/>
          <w:sz w:val="24"/>
          <w:szCs w:val="24"/>
        </w:rPr>
      </w:pPr>
      <w:proofErr w:type="gramStart"/>
      <w:r w:rsidRPr="009312DC">
        <w:rPr>
          <w:rFonts w:ascii="Times New Roman" w:hAnsi="Times New Roman"/>
          <w:sz w:val="24"/>
          <w:szCs w:val="24"/>
        </w:rPr>
        <w:t>another</w:t>
      </w:r>
      <w:proofErr w:type="gramEnd"/>
      <w:r w:rsidRPr="009312DC">
        <w:rPr>
          <w:rFonts w:ascii="Times New Roman" w:hAnsi="Times New Roman"/>
          <w:sz w:val="24"/>
          <w:szCs w:val="24"/>
        </w:rPr>
        <w:t xml:space="preserve"> time, she refused entry, so they never searched her house. Officer Patterson entered Hamilton’s house in response to the reported smell of gas. The District Court correctly held that qualified immunity shields Patterson because existing precedent does not “squarely govern[ ].” </w:t>
      </w:r>
    </w:p>
    <w:p w14:paraId="63A8977D" w14:textId="77777777" w:rsidR="00AC2AA9" w:rsidRDefault="00AC2AA9" w:rsidP="009312DC">
      <w:pPr>
        <w:pStyle w:val="NoSpacing"/>
        <w:ind w:left="720"/>
        <w:rPr>
          <w:rStyle w:val="Hyperlink"/>
          <w:rFonts w:ascii="Times New Roman" w:hAnsi="Times New Roman"/>
          <w:sz w:val="24"/>
          <w:szCs w:val="24"/>
        </w:rPr>
      </w:pPr>
    </w:p>
    <w:p w14:paraId="5F86E665" w14:textId="77777777" w:rsidR="004B0DC2" w:rsidRPr="004B0DC2" w:rsidRDefault="004B0DC2" w:rsidP="004B0DC2">
      <w:pPr>
        <w:pStyle w:val="NoSpacing"/>
        <w:rPr>
          <w:rFonts w:ascii="Times New Roman" w:hAnsi="Times New Roman"/>
          <w:bCs/>
          <w:sz w:val="24"/>
          <w:szCs w:val="24"/>
        </w:rPr>
      </w:pPr>
      <w:r w:rsidRPr="004B0DC2">
        <w:rPr>
          <w:rFonts w:ascii="Times New Roman" w:hAnsi="Times New Roman"/>
          <w:sz w:val="24"/>
          <w:szCs w:val="24"/>
        </w:rPr>
        <w:t>HOLDING:</w:t>
      </w:r>
    </w:p>
    <w:p w14:paraId="5541A414" w14:textId="77777777" w:rsidR="004B0DC2" w:rsidRPr="004B0DC2" w:rsidRDefault="004B0DC2" w:rsidP="004B0DC2">
      <w:pPr>
        <w:pStyle w:val="NoSpacing"/>
        <w:rPr>
          <w:rFonts w:ascii="Times New Roman" w:hAnsi="Times New Roman"/>
          <w:bCs/>
          <w:sz w:val="24"/>
          <w:szCs w:val="24"/>
        </w:rPr>
      </w:pPr>
    </w:p>
    <w:p w14:paraId="524088FA" w14:textId="77777777" w:rsidR="004B0DC2" w:rsidRPr="004B0DC2" w:rsidRDefault="004B0DC2" w:rsidP="004B0DC2">
      <w:pPr>
        <w:pStyle w:val="NoSpacing"/>
        <w:ind w:firstLine="720"/>
        <w:rPr>
          <w:rFonts w:ascii="Times New Roman" w:hAnsi="Times New Roman"/>
          <w:bCs/>
          <w:sz w:val="24"/>
          <w:szCs w:val="24"/>
        </w:rPr>
      </w:pPr>
      <w:r w:rsidRPr="004B0DC2">
        <w:rPr>
          <w:rFonts w:ascii="Times New Roman" w:hAnsi="Times New Roman"/>
          <w:sz w:val="24"/>
          <w:szCs w:val="24"/>
        </w:rPr>
        <w:t xml:space="preserve">“Hamilton also got due process. The town warned her of the plumbing problems </w:t>
      </w:r>
      <w:proofErr w:type="gramStart"/>
      <w:r w:rsidRPr="004B0DC2">
        <w:rPr>
          <w:rFonts w:ascii="Times New Roman" w:hAnsi="Times New Roman"/>
          <w:sz w:val="24"/>
          <w:szCs w:val="24"/>
        </w:rPr>
        <w:t>three</w:t>
      </w:r>
      <w:proofErr w:type="gramEnd"/>
    </w:p>
    <w:p w14:paraId="10D3C660" w14:textId="77777777" w:rsidR="004B0DC2" w:rsidRPr="004B0DC2" w:rsidRDefault="004B0DC2" w:rsidP="004B0DC2">
      <w:pPr>
        <w:pStyle w:val="NoSpacing"/>
        <w:ind w:firstLine="720"/>
        <w:rPr>
          <w:rFonts w:ascii="Times New Roman" w:hAnsi="Times New Roman"/>
          <w:bCs/>
          <w:sz w:val="24"/>
          <w:szCs w:val="24"/>
        </w:rPr>
      </w:pPr>
      <w:r w:rsidRPr="004B0DC2">
        <w:rPr>
          <w:rFonts w:ascii="Times New Roman" w:hAnsi="Times New Roman"/>
          <w:sz w:val="24"/>
          <w:szCs w:val="24"/>
        </w:rPr>
        <w:t>times starting in December 2018, almost seven months before she was evicted. She</w:t>
      </w:r>
    </w:p>
    <w:p w14:paraId="276E0567" w14:textId="77777777" w:rsidR="004B0DC2" w:rsidRPr="004B0DC2" w:rsidRDefault="004B0DC2" w:rsidP="004B0DC2">
      <w:pPr>
        <w:pStyle w:val="NoSpacing"/>
        <w:ind w:firstLine="720"/>
        <w:rPr>
          <w:rFonts w:ascii="Times New Roman" w:hAnsi="Times New Roman"/>
          <w:bCs/>
          <w:sz w:val="24"/>
          <w:szCs w:val="24"/>
        </w:rPr>
      </w:pPr>
      <w:r w:rsidRPr="004B0DC2">
        <w:rPr>
          <w:rFonts w:ascii="Times New Roman" w:hAnsi="Times New Roman"/>
          <w:sz w:val="24"/>
          <w:szCs w:val="24"/>
        </w:rPr>
        <w:t>challenges the June administrative search warrant, arguing that there was no cyanide gas</w:t>
      </w:r>
    </w:p>
    <w:p w14:paraId="42D2008F" w14:textId="77777777" w:rsidR="004B0DC2" w:rsidRPr="004B0DC2" w:rsidRDefault="004B0DC2" w:rsidP="004B0DC2">
      <w:pPr>
        <w:pStyle w:val="NoSpacing"/>
        <w:ind w:firstLine="720"/>
        <w:rPr>
          <w:rFonts w:ascii="Times New Roman" w:hAnsi="Times New Roman"/>
          <w:bCs/>
          <w:sz w:val="24"/>
          <w:szCs w:val="24"/>
        </w:rPr>
      </w:pPr>
      <w:r w:rsidRPr="004B0DC2">
        <w:rPr>
          <w:rFonts w:ascii="Times New Roman" w:hAnsi="Times New Roman"/>
          <w:sz w:val="24"/>
          <w:szCs w:val="24"/>
        </w:rPr>
        <w:t>or sewage and that her house was habitable. But she offers no evidence that the affidavit</w:t>
      </w:r>
    </w:p>
    <w:p w14:paraId="0D6C3403" w14:textId="77777777" w:rsidR="004B0DC2" w:rsidRPr="004B0DC2" w:rsidRDefault="004B0DC2" w:rsidP="004B0DC2">
      <w:pPr>
        <w:pStyle w:val="NoSpacing"/>
        <w:ind w:firstLine="720"/>
        <w:rPr>
          <w:rFonts w:ascii="Times New Roman" w:hAnsi="Times New Roman"/>
          <w:bCs/>
          <w:sz w:val="24"/>
          <w:szCs w:val="24"/>
        </w:rPr>
      </w:pPr>
      <w:proofErr w:type="gramStart"/>
      <w:r w:rsidRPr="004B0DC2">
        <w:rPr>
          <w:rFonts w:ascii="Times New Roman" w:hAnsi="Times New Roman"/>
          <w:sz w:val="24"/>
          <w:szCs w:val="24"/>
        </w:rPr>
        <w:t>supporting</w:t>
      </w:r>
      <w:proofErr w:type="gramEnd"/>
      <w:r w:rsidRPr="004B0DC2">
        <w:rPr>
          <w:rFonts w:ascii="Times New Roman" w:hAnsi="Times New Roman"/>
          <w:sz w:val="24"/>
          <w:szCs w:val="24"/>
        </w:rPr>
        <w:t xml:space="preserve"> the warrant was untruthful or that officers had reason to doubt it. And she cites</w:t>
      </w:r>
    </w:p>
    <w:p w14:paraId="0B140433" w14:textId="77777777" w:rsidR="004B0DC2" w:rsidRPr="004B0DC2" w:rsidRDefault="004B0DC2" w:rsidP="004B0DC2">
      <w:pPr>
        <w:pStyle w:val="NoSpacing"/>
        <w:ind w:left="720"/>
        <w:rPr>
          <w:rFonts w:ascii="Times New Roman" w:hAnsi="Times New Roman"/>
          <w:bCs/>
          <w:sz w:val="24"/>
          <w:szCs w:val="24"/>
        </w:rPr>
      </w:pPr>
      <w:r w:rsidRPr="004B0DC2">
        <w:rPr>
          <w:rFonts w:ascii="Times New Roman" w:hAnsi="Times New Roman"/>
          <w:sz w:val="24"/>
          <w:szCs w:val="24"/>
        </w:rPr>
        <w:t>no authority requiring police to have personal knowledge of or verify the underlying facts.”</w:t>
      </w:r>
    </w:p>
    <w:p w14:paraId="19F1D958" w14:textId="77777777" w:rsidR="004B0DC2" w:rsidRPr="004B0DC2" w:rsidRDefault="004B0DC2" w:rsidP="004B0DC2">
      <w:pPr>
        <w:pStyle w:val="NoSpacing"/>
        <w:rPr>
          <w:rFonts w:ascii="Times New Roman" w:hAnsi="Times New Roman"/>
          <w:bCs/>
          <w:sz w:val="24"/>
          <w:szCs w:val="24"/>
        </w:rPr>
      </w:pPr>
    </w:p>
    <w:p w14:paraId="6E2BBD03" w14:textId="77777777" w:rsidR="004B0DC2" w:rsidRPr="004B0DC2" w:rsidRDefault="004B0DC2" w:rsidP="004B0DC2">
      <w:pPr>
        <w:pStyle w:val="NoSpacing"/>
        <w:rPr>
          <w:rFonts w:ascii="Times New Roman" w:hAnsi="Times New Roman"/>
          <w:b/>
          <w:sz w:val="24"/>
          <w:szCs w:val="24"/>
        </w:rPr>
      </w:pPr>
      <w:r w:rsidRPr="004B0DC2">
        <w:rPr>
          <w:rFonts w:ascii="Times New Roman" w:hAnsi="Times New Roman"/>
          <w:b/>
          <w:sz w:val="24"/>
          <w:szCs w:val="24"/>
        </w:rPr>
        <w:t>Legal Lesson Learned:  The 3</w:t>
      </w:r>
      <w:r w:rsidRPr="004B0DC2">
        <w:rPr>
          <w:rFonts w:ascii="Times New Roman" w:hAnsi="Times New Roman"/>
          <w:b/>
          <w:sz w:val="24"/>
          <w:szCs w:val="24"/>
          <w:vertAlign w:val="superscript"/>
        </w:rPr>
        <w:t>rd</w:t>
      </w:r>
      <w:r w:rsidRPr="004B0DC2">
        <w:rPr>
          <w:rFonts w:ascii="Times New Roman" w:hAnsi="Times New Roman"/>
          <w:b/>
          <w:sz w:val="24"/>
          <w:szCs w:val="24"/>
        </w:rPr>
        <w:t xml:space="preserve"> Circuit decision started with following: “Like good fences, good sewage systems make good neighbors.”  </w:t>
      </w:r>
    </w:p>
    <w:p w14:paraId="1EFF1733" w14:textId="77777777" w:rsidR="004B0DC2" w:rsidRDefault="004B0DC2" w:rsidP="004B0DC2">
      <w:pPr>
        <w:pStyle w:val="NoSpacing"/>
        <w:rPr>
          <w:b/>
        </w:rPr>
      </w:pPr>
    </w:p>
    <w:p w14:paraId="482C1DFA" w14:textId="77777777" w:rsidR="004B0DC2" w:rsidRPr="009312DC" w:rsidRDefault="004B0DC2" w:rsidP="009312DC">
      <w:pPr>
        <w:pStyle w:val="NoSpacing"/>
        <w:ind w:left="720"/>
        <w:rPr>
          <w:rFonts w:ascii="Times New Roman" w:hAnsi="Times New Roman"/>
          <w:sz w:val="24"/>
          <w:szCs w:val="24"/>
        </w:rPr>
      </w:pPr>
    </w:p>
    <w:p w14:paraId="4765280F" w14:textId="77777777" w:rsidR="002F5070" w:rsidRPr="009312DC" w:rsidRDefault="002F5070" w:rsidP="00B86628">
      <w:pPr>
        <w:pStyle w:val="NoSpacing"/>
        <w:rPr>
          <w:rFonts w:ascii="Times New Roman" w:hAnsi="Times New Roman"/>
          <w:sz w:val="24"/>
          <w:szCs w:val="24"/>
        </w:rPr>
      </w:pPr>
    </w:p>
    <w:p w14:paraId="432FDAB1" w14:textId="044986F3" w:rsidR="002F5070" w:rsidRPr="00956699" w:rsidRDefault="004B0DC2" w:rsidP="00B86628">
      <w:pPr>
        <w:pStyle w:val="NoSpacing"/>
        <w:rPr>
          <w:rFonts w:ascii="Arial Black" w:hAnsi="Arial Black"/>
          <w:sz w:val="28"/>
          <w:szCs w:val="28"/>
        </w:rPr>
      </w:pPr>
      <w:r w:rsidRPr="00956699">
        <w:rPr>
          <w:rFonts w:ascii="Arial Black" w:hAnsi="Arial Black"/>
          <w:sz w:val="28"/>
          <w:szCs w:val="28"/>
        </w:rPr>
        <w:t>1-16</w:t>
      </w:r>
      <w:r w:rsidR="00F755DB" w:rsidRPr="00956699">
        <w:rPr>
          <w:rFonts w:ascii="Arial Black" w:hAnsi="Arial Black"/>
          <w:sz w:val="28"/>
          <w:szCs w:val="28"/>
        </w:rPr>
        <w:t>9</w:t>
      </w:r>
    </w:p>
    <w:p w14:paraId="34CB414A" w14:textId="77777777" w:rsidR="004B0DC2" w:rsidRDefault="004B0DC2" w:rsidP="00B86628">
      <w:pPr>
        <w:pStyle w:val="NoSpacing"/>
        <w:rPr>
          <w:rFonts w:ascii="Arial Black" w:hAnsi="Arial Black"/>
          <w:sz w:val="24"/>
          <w:szCs w:val="24"/>
        </w:rPr>
      </w:pPr>
    </w:p>
    <w:p w14:paraId="54DA3E1E" w14:textId="77777777" w:rsidR="0060296F" w:rsidRPr="007C467A" w:rsidRDefault="0060296F" w:rsidP="0060296F">
      <w:pPr>
        <w:pStyle w:val="NoSpacing"/>
        <w:rPr>
          <w:rFonts w:ascii="Arial Black" w:hAnsi="Arial Black"/>
          <w:b/>
          <w:sz w:val="28"/>
          <w:szCs w:val="28"/>
        </w:rPr>
      </w:pPr>
      <w:r>
        <w:rPr>
          <w:rFonts w:ascii="Arial Black" w:hAnsi="Arial Black"/>
          <w:b/>
          <w:sz w:val="28"/>
          <w:szCs w:val="28"/>
        </w:rPr>
        <w:t>WA: REMOVAL HOMELESS – PERSONAL PROPERTY</w:t>
      </w:r>
    </w:p>
    <w:p w14:paraId="538DE1F5" w14:textId="77777777" w:rsidR="0060296F" w:rsidRDefault="0060296F" w:rsidP="0060296F">
      <w:pPr>
        <w:pStyle w:val="NoSpacing"/>
        <w:rPr>
          <w:bCs/>
        </w:rPr>
      </w:pPr>
    </w:p>
    <w:p w14:paraId="4D9A54CA" w14:textId="360124E3" w:rsidR="00FE3665" w:rsidRPr="00FE3665" w:rsidRDefault="00FE3665" w:rsidP="0060296F">
      <w:pPr>
        <w:pStyle w:val="NoSpacing"/>
        <w:rPr>
          <w:rFonts w:ascii="Times New Roman" w:hAnsi="Times New Roman"/>
          <w:sz w:val="24"/>
          <w:szCs w:val="24"/>
        </w:rPr>
      </w:pPr>
      <w:r w:rsidRPr="00FE3665">
        <w:rPr>
          <w:sz w:val="24"/>
          <w:szCs w:val="24"/>
        </w:rPr>
        <w:t xml:space="preserve">On Dec. 9, 2024, in </w:t>
      </w:r>
      <w:r w:rsidRPr="00FE3665">
        <w:rPr>
          <w:sz w:val="24"/>
          <w:szCs w:val="24"/>
          <w:u w:val="single"/>
        </w:rPr>
        <w:t>Bobby Kitcheon, Candance Ream, et al.  v. City of Seattle</w:t>
      </w:r>
      <w:r w:rsidRPr="00FE3665">
        <w:rPr>
          <w:sz w:val="24"/>
          <w:szCs w:val="24"/>
        </w:rPr>
        <w:t>, the</w:t>
      </w:r>
      <w:r w:rsidRPr="00FE3665">
        <w:rPr>
          <w:sz w:val="24"/>
          <w:szCs w:val="24"/>
          <w:u w:val="single"/>
        </w:rPr>
        <w:t xml:space="preserve"> </w:t>
      </w:r>
      <w:r w:rsidRPr="00FE3665">
        <w:rPr>
          <w:sz w:val="24"/>
          <w:szCs w:val="24"/>
        </w:rPr>
        <w:t xml:space="preserve">Court of Appeals, Division 1, State of Washington, held (3 to 0) that the city ordinance allowing destruction of property of homeless on city property, without prior notice, must be revised. </w:t>
      </w:r>
      <w:hyperlink r:id="rId102" w:history="1">
        <w:r w:rsidRPr="00FE3665">
          <w:rPr>
            <w:rStyle w:val="Hyperlink"/>
            <w:sz w:val="24"/>
            <w:szCs w:val="24"/>
          </w:rPr>
          <w:t>https://www.courts.wa.gov/opinions/pdf/855832.pdf</w:t>
        </w:r>
      </w:hyperlink>
    </w:p>
    <w:p w14:paraId="3EC3E066" w14:textId="77777777" w:rsidR="00FE3665" w:rsidRDefault="00FE3665" w:rsidP="0060296F">
      <w:pPr>
        <w:pStyle w:val="NoSpacing"/>
        <w:rPr>
          <w:rFonts w:ascii="Times New Roman" w:hAnsi="Times New Roman"/>
          <w:sz w:val="24"/>
          <w:szCs w:val="24"/>
        </w:rPr>
      </w:pPr>
    </w:p>
    <w:p w14:paraId="1380C192" w14:textId="7F6AC992" w:rsidR="0060296F" w:rsidRPr="0060296F" w:rsidRDefault="0060296F" w:rsidP="0060296F">
      <w:pPr>
        <w:pStyle w:val="NoSpacing"/>
        <w:rPr>
          <w:rFonts w:ascii="Times New Roman" w:hAnsi="Times New Roman"/>
          <w:bCs/>
          <w:sz w:val="24"/>
          <w:szCs w:val="24"/>
        </w:rPr>
      </w:pPr>
      <w:r w:rsidRPr="0060296F">
        <w:rPr>
          <w:rFonts w:ascii="Times New Roman" w:hAnsi="Times New Roman"/>
          <w:sz w:val="24"/>
          <w:szCs w:val="24"/>
        </w:rPr>
        <w:t>The Court wrote:</w:t>
      </w:r>
    </w:p>
    <w:p w14:paraId="4D8EB603" w14:textId="77777777" w:rsidR="0060296F" w:rsidRPr="0060296F" w:rsidRDefault="0060296F" w:rsidP="0060296F">
      <w:pPr>
        <w:pStyle w:val="NoSpacing"/>
        <w:rPr>
          <w:rFonts w:ascii="Times New Roman" w:hAnsi="Times New Roman"/>
          <w:bCs/>
          <w:sz w:val="24"/>
          <w:szCs w:val="24"/>
        </w:rPr>
      </w:pPr>
    </w:p>
    <w:p w14:paraId="76E95EDD" w14:textId="77777777" w:rsidR="0060296F" w:rsidRPr="0060296F" w:rsidRDefault="0060296F" w:rsidP="0060296F">
      <w:pPr>
        <w:pStyle w:val="NoSpacing"/>
        <w:ind w:left="720"/>
        <w:rPr>
          <w:rFonts w:ascii="Times New Roman" w:hAnsi="Times New Roman"/>
          <w:bCs/>
          <w:sz w:val="24"/>
          <w:szCs w:val="24"/>
        </w:rPr>
      </w:pPr>
      <w:r w:rsidRPr="0060296F">
        <w:rPr>
          <w:rFonts w:ascii="Times New Roman" w:hAnsi="Times New Roman"/>
          <w:sz w:val="24"/>
          <w:szCs w:val="24"/>
        </w:rPr>
        <w:t>“Applying a rational basis review, we hold that the City’s in-a-park category within FAS 17-01, section 3.4 allows the indiscriminate and standardless removal of such obstructions and is not carefully tailored to meet a legitimate governmental goal. Accordingly, section 3.4 is facially unconstitutional under article I, section 7 of the Washington State Constitution.</w:t>
      </w:r>
    </w:p>
    <w:p w14:paraId="71E932F4" w14:textId="77777777" w:rsidR="0060296F" w:rsidRPr="0060296F" w:rsidRDefault="0060296F" w:rsidP="0060296F">
      <w:pPr>
        <w:pStyle w:val="NoSpacing"/>
        <w:ind w:left="720"/>
        <w:rPr>
          <w:rFonts w:ascii="Times New Roman" w:hAnsi="Times New Roman"/>
          <w:bCs/>
          <w:sz w:val="24"/>
          <w:szCs w:val="24"/>
        </w:rPr>
      </w:pPr>
    </w:p>
    <w:p w14:paraId="1A549F6C" w14:textId="77777777" w:rsidR="0060296F" w:rsidRPr="0060296F" w:rsidRDefault="0060296F" w:rsidP="0060296F">
      <w:pPr>
        <w:pStyle w:val="NoSpacing"/>
        <w:ind w:left="720"/>
        <w:rPr>
          <w:rFonts w:ascii="Times New Roman" w:hAnsi="Times New Roman"/>
          <w:bCs/>
          <w:sz w:val="24"/>
          <w:szCs w:val="24"/>
        </w:rPr>
      </w:pPr>
      <w:r w:rsidRPr="0060296F">
        <w:rPr>
          <w:rFonts w:ascii="Times New Roman" w:hAnsi="Times New Roman"/>
          <w:sz w:val="24"/>
          <w:szCs w:val="24"/>
        </w:rPr>
        <w:t>***</w:t>
      </w:r>
    </w:p>
    <w:p w14:paraId="3B74B18D" w14:textId="77777777" w:rsidR="0060296F" w:rsidRPr="0060296F" w:rsidRDefault="0060296F" w:rsidP="0060296F">
      <w:pPr>
        <w:pStyle w:val="NoSpacing"/>
        <w:rPr>
          <w:rFonts w:ascii="Times New Roman" w:hAnsi="Times New Roman"/>
          <w:bCs/>
          <w:sz w:val="24"/>
          <w:szCs w:val="24"/>
        </w:rPr>
      </w:pPr>
    </w:p>
    <w:p w14:paraId="06CC345C" w14:textId="7BB4EABC" w:rsidR="0060296F" w:rsidRPr="0060296F" w:rsidRDefault="0060296F" w:rsidP="0060296F">
      <w:pPr>
        <w:pStyle w:val="NoSpacing"/>
        <w:ind w:left="720"/>
        <w:rPr>
          <w:rFonts w:ascii="Times New Roman" w:hAnsi="Times New Roman"/>
          <w:bCs/>
          <w:sz w:val="24"/>
          <w:szCs w:val="24"/>
        </w:rPr>
      </w:pPr>
      <w:r w:rsidRPr="0060296F">
        <w:rPr>
          <w:rFonts w:ascii="Times New Roman" w:hAnsi="Times New Roman"/>
          <w:sz w:val="24"/>
          <w:szCs w:val="24"/>
        </w:rPr>
        <w:t xml:space="preserve">On its face, the rules do not bind the in-a-park category with minimum requirements or standards that connect those obstructions to health and safety concerns. To restate the challenged provision, the in-a-park category allows the City to immediately remove ‘people, tents, personal property, garbage, debris or other objects related to an encampment’ merely because the encampment exists ‘in a </w:t>
      </w:r>
      <w:proofErr w:type="gramStart"/>
      <w:r w:rsidRPr="0060296F">
        <w:rPr>
          <w:rFonts w:ascii="Times New Roman" w:hAnsi="Times New Roman"/>
          <w:sz w:val="24"/>
          <w:szCs w:val="24"/>
        </w:rPr>
        <w:t>City</w:t>
      </w:r>
      <w:proofErr w:type="gramEnd"/>
      <w:r w:rsidRPr="0060296F">
        <w:rPr>
          <w:rFonts w:ascii="Times New Roman" w:hAnsi="Times New Roman"/>
          <w:sz w:val="24"/>
          <w:szCs w:val="24"/>
        </w:rPr>
        <w:t xml:space="preserve"> park or on a public sidewalk.” </w:t>
      </w:r>
    </w:p>
    <w:p w14:paraId="55A1E76F" w14:textId="77777777" w:rsidR="00AC2AA9" w:rsidRDefault="00AC2AA9" w:rsidP="0039158C">
      <w:pPr>
        <w:pStyle w:val="NoSpacing"/>
        <w:rPr>
          <w:rFonts w:ascii="Times New Roman" w:hAnsi="Times New Roman"/>
          <w:sz w:val="24"/>
          <w:szCs w:val="24"/>
        </w:rPr>
      </w:pPr>
    </w:p>
    <w:p w14:paraId="53C7D542" w14:textId="65890C18" w:rsidR="0039158C" w:rsidRPr="0039158C" w:rsidRDefault="0039158C" w:rsidP="0039158C">
      <w:pPr>
        <w:pStyle w:val="NoSpacing"/>
        <w:rPr>
          <w:rFonts w:ascii="Times New Roman" w:hAnsi="Times New Roman"/>
          <w:bCs/>
          <w:sz w:val="24"/>
          <w:szCs w:val="24"/>
        </w:rPr>
      </w:pPr>
      <w:r w:rsidRPr="0039158C">
        <w:rPr>
          <w:rFonts w:ascii="Times New Roman" w:hAnsi="Times New Roman"/>
          <w:sz w:val="24"/>
          <w:szCs w:val="24"/>
        </w:rPr>
        <w:t>HOLDING:</w:t>
      </w:r>
    </w:p>
    <w:p w14:paraId="344D367E" w14:textId="77777777" w:rsidR="0039158C" w:rsidRPr="0039158C" w:rsidRDefault="0039158C" w:rsidP="0039158C">
      <w:pPr>
        <w:pStyle w:val="NoSpacing"/>
        <w:rPr>
          <w:rFonts w:ascii="Times New Roman" w:hAnsi="Times New Roman"/>
          <w:b/>
          <w:sz w:val="24"/>
          <w:szCs w:val="24"/>
        </w:rPr>
      </w:pPr>
    </w:p>
    <w:p w14:paraId="113060BC" w14:textId="77777777" w:rsidR="0039158C" w:rsidRPr="0039158C" w:rsidRDefault="0039158C" w:rsidP="0039158C">
      <w:pPr>
        <w:pStyle w:val="NoSpacing"/>
        <w:ind w:left="720"/>
        <w:rPr>
          <w:rFonts w:ascii="Times New Roman" w:hAnsi="Times New Roman"/>
          <w:bCs/>
          <w:sz w:val="24"/>
          <w:szCs w:val="24"/>
        </w:rPr>
      </w:pPr>
      <w:r w:rsidRPr="0039158C">
        <w:rPr>
          <w:rFonts w:ascii="Times New Roman" w:hAnsi="Times New Roman"/>
          <w:sz w:val="24"/>
          <w:szCs w:val="24"/>
        </w:rPr>
        <w:t xml:space="preserve">“We recognize that having one’s belongings and temporary home removed without notice may feel punishing, but that does not equate to criminal punishment as contemplated under article I, section 14. Accordingly, we reverse the trial court’s order concluding that the </w:t>
      </w:r>
      <w:proofErr w:type="gramStart"/>
      <w:r w:rsidRPr="0039158C">
        <w:rPr>
          <w:rFonts w:ascii="Times New Roman" w:hAnsi="Times New Roman"/>
          <w:sz w:val="24"/>
          <w:szCs w:val="24"/>
        </w:rPr>
        <w:t>in-a-park</w:t>
      </w:r>
      <w:proofErr w:type="gramEnd"/>
      <w:r w:rsidRPr="0039158C">
        <w:rPr>
          <w:rFonts w:ascii="Times New Roman" w:hAnsi="Times New Roman"/>
          <w:sz w:val="24"/>
          <w:szCs w:val="24"/>
        </w:rPr>
        <w:t xml:space="preserve"> category is facially unconstitutional under article I, section 14.</w:t>
      </w:r>
    </w:p>
    <w:p w14:paraId="07FBC16D" w14:textId="77777777" w:rsidR="0039158C" w:rsidRPr="0039158C" w:rsidRDefault="0039158C" w:rsidP="0039158C">
      <w:pPr>
        <w:pStyle w:val="NoSpacing"/>
        <w:ind w:left="720"/>
        <w:rPr>
          <w:rFonts w:ascii="Times New Roman" w:hAnsi="Times New Roman"/>
          <w:bCs/>
          <w:sz w:val="24"/>
          <w:szCs w:val="24"/>
        </w:rPr>
      </w:pPr>
    </w:p>
    <w:p w14:paraId="60381DC1" w14:textId="77777777" w:rsidR="0039158C" w:rsidRPr="0039158C" w:rsidRDefault="0039158C" w:rsidP="0039158C">
      <w:pPr>
        <w:pStyle w:val="NoSpacing"/>
        <w:ind w:left="720"/>
        <w:rPr>
          <w:rFonts w:ascii="Times New Roman" w:hAnsi="Times New Roman"/>
          <w:bCs/>
          <w:sz w:val="24"/>
          <w:szCs w:val="24"/>
        </w:rPr>
      </w:pPr>
      <w:r w:rsidRPr="0039158C">
        <w:rPr>
          <w:rFonts w:ascii="Times New Roman" w:hAnsi="Times New Roman"/>
          <w:sz w:val="24"/>
          <w:szCs w:val="24"/>
        </w:rPr>
        <w:t>***</w:t>
      </w:r>
    </w:p>
    <w:p w14:paraId="63DA66ED" w14:textId="77777777" w:rsidR="0039158C" w:rsidRPr="0039158C" w:rsidRDefault="0039158C" w:rsidP="0039158C">
      <w:pPr>
        <w:pStyle w:val="NoSpacing"/>
        <w:ind w:firstLine="720"/>
        <w:rPr>
          <w:rFonts w:ascii="Times New Roman" w:hAnsi="Times New Roman"/>
          <w:bCs/>
          <w:sz w:val="24"/>
          <w:szCs w:val="24"/>
        </w:rPr>
      </w:pPr>
    </w:p>
    <w:p w14:paraId="4CAB8EEE" w14:textId="77777777" w:rsidR="0039158C" w:rsidRPr="0039158C" w:rsidRDefault="0039158C" w:rsidP="0039158C">
      <w:pPr>
        <w:pStyle w:val="NoSpacing"/>
        <w:ind w:firstLine="720"/>
        <w:rPr>
          <w:rFonts w:ascii="Times New Roman" w:hAnsi="Times New Roman"/>
          <w:bCs/>
          <w:sz w:val="24"/>
          <w:szCs w:val="24"/>
        </w:rPr>
      </w:pPr>
      <w:r w:rsidRPr="0039158C">
        <w:rPr>
          <w:rFonts w:ascii="Times New Roman" w:hAnsi="Times New Roman"/>
          <w:sz w:val="24"/>
          <w:szCs w:val="24"/>
        </w:rPr>
        <w:t xml:space="preserve">We affirm in part, reverse in part, and remand for further proceedings.” </w:t>
      </w:r>
    </w:p>
    <w:p w14:paraId="6C970B76" w14:textId="77777777" w:rsidR="0039158C" w:rsidRPr="0039158C" w:rsidRDefault="0039158C" w:rsidP="0039158C">
      <w:pPr>
        <w:pStyle w:val="NoSpacing"/>
        <w:ind w:firstLine="720"/>
        <w:rPr>
          <w:rFonts w:ascii="Times New Roman" w:hAnsi="Times New Roman"/>
          <w:bCs/>
          <w:sz w:val="24"/>
          <w:szCs w:val="24"/>
        </w:rPr>
      </w:pPr>
    </w:p>
    <w:p w14:paraId="799FA73F" w14:textId="77777777" w:rsidR="0039158C" w:rsidRPr="0039158C" w:rsidRDefault="0039158C" w:rsidP="0039158C">
      <w:pPr>
        <w:pStyle w:val="NoSpacing"/>
        <w:rPr>
          <w:rFonts w:ascii="Times New Roman" w:hAnsi="Times New Roman"/>
          <w:b/>
          <w:sz w:val="24"/>
          <w:szCs w:val="24"/>
        </w:rPr>
      </w:pPr>
      <w:r w:rsidRPr="0039158C">
        <w:rPr>
          <w:rFonts w:ascii="Times New Roman" w:hAnsi="Times New Roman"/>
          <w:b/>
          <w:sz w:val="24"/>
          <w:szCs w:val="24"/>
        </w:rPr>
        <w:t>Legal Lesson Learned: When drafting homeless removal ordinance, consider including a pro vision requiring notice be provided at least one day prior to removal of personal property.</w:t>
      </w:r>
    </w:p>
    <w:p w14:paraId="7CE025FA" w14:textId="77777777" w:rsidR="0039158C" w:rsidRPr="0039158C" w:rsidRDefault="0039158C" w:rsidP="0039158C">
      <w:pPr>
        <w:pStyle w:val="NoSpacing"/>
        <w:ind w:firstLine="720"/>
        <w:rPr>
          <w:rFonts w:ascii="Times New Roman" w:hAnsi="Times New Roman"/>
          <w:bCs/>
          <w:sz w:val="24"/>
          <w:szCs w:val="24"/>
        </w:rPr>
      </w:pPr>
    </w:p>
    <w:p w14:paraId="02BFFBDD" w14:textId="77777777" w:rsidR="004B0DC2" w:rsidRDefault="004B0DC2" w:rsidP="00B86628">
      <w:pPr>
        <w:pStyle w:val="NoSpacing"/>
        <w:rPr>
          <w:rFonts w:ascii="Arial Black" w:hAnsi="Arial Black"/>
          <w:sz w:val="24"/>
          <w:szCs w:val="24"/>
        </w:rPr>
      </w:pPr>
    </w:p>
    <w:p w14:paraId="3BA7CACC" w14:textId="695E060F" w:rsidR="004B0DC2" w:rsidRDefault="0039158C" w:rsidP="00B86628">
      <w:pPr>
        <w:pStyle w:val="NoSpacing"/>
        <w:rPr>
          <w:rFonts w:ascii="Arial Black" w:hAnsi="Arial Black"/>
          <w:sz w:val="24"/>
          <w:szCs w:val="24"/>
        </w:rPr>
      </w:pPr>
      <w:r>
        <w:rPr>
          <w:rFonts w:ascii="Arial Black" w:hAnsi="Arial Black"/>
          <w:sz w:val="24"/>
          <w:szCs w:val="24"/>
        </w:rPr>
        <w:t>1-168</w:t>
      </w:r>
    </w:p>
    <w:p w14:paraId="4EA15B80" w14:textId="77777777" w:rsidR="0039158C" w:rsidRDefault="0039158C" w:rsidP="00B86628">
      <w:pPr>
        <w:pStyle w:val="NoSpacing"/>
        <w:rPr>
          <w:rFonts w:ascii="Arial Black" w:hAnsi="Arial Black"/>
          <w:sz w:val="24"/>
          <w:szCs w:val="24"/>
        </w:rPr>
      </w:pPr>
    </w:p>
    <w:p w14:paraId="4C3BDD20" w14:textId="77777777" w:rsidR="006E7CA0" w:rsidRDefault="006E7CA0" w:rsidP="006E7CA0">
      <w:pPr>
        <w:pStyle w:val="NoSpacing"/>
        <w:rPr>
          <w:rFonts w:ascii="Arial Black" w:hAnsi="Arial Black"/>
          <w:b/>
          <w:sz w:val="28"/>
          <w:szCs w:val="28"/>
        </w:rPr>
      </w:pPr>
      <w:r>
        <w:rPr>
          <w:rFonts w:ascii="Arial Black" w:hAnsi="Arial Black"/>
          <w:b/>
          <w:sz w:val="28"/>
          <w:szCs w:val="28"/>
        </w:rPr>
        <w:t>KY: VOL. FFs ARSON – CHURCH – NOT FEDERAL CASE</w:t>
      </w:r>
    </w:p>
    <w:p w14:paraId="487505EE" w14:textId="77777777" w:rsidR="001A3D7F" w:rsidRDefault="001A3D7F" w:rsidP="00905074">
      <w:pPr>
        <w:rPr>
          <w:rFonts w:ascii="Times New Roman" w:hAnsi="Times New Roman"/>
          <w:sz w:val="24"/>
          <w:szCs w:val="24"/>
        </w:rPr>
      </w:pPr>
    </w:p>
    <w:p w14:paraId="434835AC" w14:textId="47CAC1AE" w:rsidR="00905074" w:rsidRPr="00905074" w:rsidRDefault="00905074" w:rsidP="00905074">
      <w:pPr>
        <w:rPr>
          <w:rStyle w:val="Hyperlink"/>
          <w:rFonts w:ascii="Times New Roman" w:hAnsi="Times New Roman"/>
          <w:bCs/>
          <w:sz w:val="24"/>
          <w:szCs w:val="24"/>
        </w:rPr>
      </w:pPr>
      <w:r w:rsidRPr="00905074">
        <w:rPr>
          <w:rFonts w:ascii="Times New Roman" w:hAnsi="Times New Roman"/>
          <w:sz w:val="24"/>
          <w:szCs w:val="24"/>
        </w:rPr>
        <w:t xml:space="preserve">On Dec. 3, 2024, in </w:t>
      </w:r>
      <w:r w:rsidRPr="00905074">
        <w:rPr>
          <w:rFonts w:ascii="Times New Roman" w:hAnsi="Times New Roman"/>
          <w:sz w:val="24"/>
          <w:szCs w:val="24"/>
          <w:u w:val="single"/>
        </w:rPr>
        <w:t>United States of America v. Brendan J. Gibson and Robert J. Hughes</w:t>
      </w:r>
      <w:r w:rsidRPr="00905074">
        <w:rPr>
          <w:rFonts w:ascii="Times New Roman" w:hAnsi="Times New Roman"/>
          <w:sz w:val="24"/>
          <w:szCs w:val="24"/>
        </w:rPr>
        <w:t xml:space="preserve">, United States District Court Judge David L. Bunning, U.S. District Court for the Eastern District of Kentucky, granted the defendant’s motion to dismiss the federal indictment because the church building located at 10950 Dixie Highway, Corinth, KY is not used in interstate commerce,  nor used in any activity affecting interstate commerce. </w:t>
      </w:r>
      <w:hyperlink r:id="rId103" w:history="1">
        <w:r w:rsidRPr="00905074">
          <w:rPr>
            <w:rStyle w:val="Hyperlink"/>
            <w:rFonts w:ascii="Times New Roman" w:hAnsi="Times New Roman"/>
            <w:sz w:val="24"/>
            <w:szCs w:val="24"/>
          </w:rPr>
          <w:t>https://casetext.com/case/united-states-v-gibson-453</w:t>
        </w:r>
      </w:hyperlink>
      <w:r w:rsidRPr="00905074">
        <w:rPr>
          <w:rStyle w:val="Hyperlink"/>
          <w:rFonts w:ascii="Times New Roman" w:hAnsi="Times New Roman"/>
          <w:sz w:val="24"/>
          <w:szCs w:val="24"/>
        </w:rPr>
        <w:t xml:space="preserve"> </w:t>
      </w:r>
    </w:p>
    <w:p w14:paraId="004E8FF9" w14:textId="2C45CA47" w:rsidR="006E7CA0" w:rsidRPr="006E7CA0" w:rsidRDefault="006E7CA0" w:rsidP="006E7CA0">
      <w:pPr>
        <w:pStyle w:val="NoSpacing"/>
        <w:rPr>
          <w:rFonts w:ascii="Times New Roman" w:hAnsi="Times New Roman"/>
          <w:bCs/>
          <w:sz w:val="24"/>
          <w:szCs w:val="24"/>
        </w:rPr>
      </w:pPr>
      <w:r w:rsidRPr="006E7CA0">
        <w:rPr>
          <w:rFonts w:ascii="Times New Roman" w:hAnsi="Times New Roman"/>
          <w:sz w:val="24"/>
          <w:szCs w:val="24"/>
        </w:rPr>
        <w:t>The Court wrote:</w:t>
      </w:r>
    </w:p>
    <w:p w14:paraId="60F6005F" w14:textId="77777777" w:rsidR="006E7CA0" w:rsidRPr="006E7CA0" w:rsidRDefault="006E7CA0" w:rsidP="006E7CA0">
      <w:pPr>
        <w:pStyle w:val="NoSpacing"/>
        <w:rPr>
          <w:rFonts w:ascii="Times New Roman" w:hAnsi="Times New Roman"/>
          <w:bCs/>
          <w:sz w:val="24"/>
          <w:szCs w:val="24"/>
        </w:rPr>
      </w:pPr>
    </w:p>
    <w:p w14:paraId="58793034" w14:textId="519F40E2" w:rsidR="006E7CA0" w:rsidRPr="006E7CA0" w:rsidRDefault="006E7CA0" w:rsidP="006E7CA0">
      <w:pPr>
        <w:pStyle w:val="NoSpacing"/>
        <w:ind w:left="720"/>
        <w:rPr>
          <w:rFonts w:ascii="Times New Roman" w:hAnsi="Times New Roman"/>
          <w:bCs/>
          <w:sz w:val="24"/>
          <w:szCs w:val="24"/>
        </w:rPr>
      </w:pPr>
      <w:r w:rsidRPr="006E7CA0">
        <w:rPr>
          <w:rFonts w:ascii="Times New Roman" w:hAnsi="Times New Roman"/>
          <w:sz w:val="24"/>
          <w:szCs w:val="24"/>
        </w:rPr>
        <w:t xml:space="preserve">“Based on the Government's proffer of the evidence, the arguments presented, and the authorities cited, the Court concludes that the United States cannot, as a matter of law, prove the required interstate commerce element of the offense charged.” </w:t>
      </w:r>
    </w:p>
    <w:p w14:paraId="78D7B5C2" w14:textId="77777777" w:rsidR="0039158C" w:rsidRDefault="0039158C" w:rsidP="00B86628">
      <w:pPr>
        <w:pStyle w:val="NoSpacing"/>
        <w:rPr>
          <w:rFonts w:ascii="Arial Black" w:hAnsi="Arial Black"/>
          <w:sz w:val="24"/>
          <w:szCs w:val="24"/>
        </w:rPr>
      </w:pPr>
    </w:p>
    <w:p w14:paraId="495BF7F9" w14:textId="77777777" w:rsidR="00F755DB" w:rsidRPr="00F755DB" w:rsidRDefault="00F755DB" w:rsidP="00F755DB">
      <w:pPr>
        <w:pStyle w:val="NoSpacing"/>
        <w:rPr>
          <w:rFonts w:ascii="Times New Roman" w:hAnsi="Times New Roman"/>
          <w:sz w:val="24"/>
          <w:szCs w:val="24"/>
        </w:rPr>
      </w:pPr>
      <w:r w:rsidRPr="00F755DB">
        <w:rPr>
          <w:rFonts w:ascii="Times New Roman" w:hAnsi="Times New Roman"/>
          <w:sz w:val="24"/>
          <w:szCs w:val="24"/>
        </w:rPr>
        <w:t>HOLDING:</w:t>
      </w:r>
    </w:p>
    <w:p w14:paraId="6844D4CF" w14:textId="77777777" w:rsidR="00F755DB" w:rsidRPr="00F755DB" w:rsidRDefault="00F755DB" w:rsidP="00F755DB">
      <w:pPr>
        <w:pStyle w:val="NoSpacing"/>
        <w:rPr>
          <w:rFonts w:ascii="Times New Roman" w:hAnsi="Times New Roman"/>
          <w:sz w:val="24"/>
          <w:szCs w:val="24"/>
        </w:rPr>
      </w:pPr>
    </w:p>
    <w:p w14:paraId="33A502BC" w14:textId="77777777" w:rsidR="00F755DB" w:rsidRPr="00F755DB" w:rsidRDefault="00F755DB" w:rsidP="00F755DB">
      <w:pPr>
        <w:pStyle w:val="NoSpacing"/>
        <w:ind w:left="720"/>
        <w:rPr>
          <w:rFonts w:ascii="Times New Roman" w:hAnsi="Times New Roman"/>
          <w:sz w:val="24"/>
          <w:szCs w:val="24"/>
        </w:rPr>
      </w:pPr>
      <w:r w:rsidRPr="00F755DB">
        <w:rPr>
          <w:rFonts w:ascii="Times New Roman" w:hAnsi="Times New Roman"/>
          <w:sz w:val="24"/>
          <w:szCs w:val="24"/>
        </w:rPr>
        <w:t xml:space="preserve">“At that hearing, the United States confirmed that the building in question was a church. Additionally, when prompted by the Court, the United States proffered the following evidence relating to the Church's </w:t>
      </w:r>
      <w:r w:rsidRPr="00F755DB">
        <w:rPr>
          <w:rFonts w:ascii="Times New Roman" w:hAnsi="Times New Roman"/>
          <w:sz w:val="24"/>
          <w:szCs w:val="24"/>
        </w:rPr>
        <w:lastRenderedPageBreak/>
        <w:t>interstate activity: (1) the week before the arson occurred, the Church participated in the U.S. 25 yard sale as a fundraiser for an international mission trip, which raised $700; (2) the Church participated in multiple fundraising events for international mission trips; (3) the Church was used as a youth event location; (4) the Church engaged in cookouts; (5) the Church held movie nights; (6) the Church provided food to the community; (7) the Church was a youth facility for a local recovery team; (8) communion was purchased out of state; (9) four or five out of state pastors had visited the Church; and (10) the building was an annex. Defendants did not contest any of the above proffered facts.</w:t>
      </w:r>
    </w:p>
    <w:p w14:paraId="5C66B199" w14:textId="77777777" w:rsidR="00F755DB" w:rsidRPr="00F755DB" w:rsidRDefault="00F755DB" w:rsidP="00F755DB">
      <w:pPr>
        <w:pStyle w:val="NoSpacing"/>
        <w:ind w:left="720"/>
        <w:rPr>
          <w:rFonts w:ascii="Times New Roman" w:hAnsi="Times New Roman"/>
          <w:sz w:val="24"/>
          <w:szCs w:val="24"/>
        </w:rPr>
      </w:pPr>
    </w:p>
    <w:p w14:paraId="6AB82979" w14:textId="77777777" w:rsidR="00F755DB" w:rsidRPr="00F755DB" w:rsidRDefault="00F755DB" w:rsidP="00F755DB">
      <w:pPr>
        <w:pStyle w:val="NoSpacing"/>
        <w:ind w:left="720"/>
        <w:rPr>
          <w:rFonts w:ascii="Times New Roman" w:hAnsi="Times New Roman"/>
          <w:sz w:val="24"/>
          <w:szCs w:val="24"/>
        </w:rPr>
      </w:pPr>
      <w:r w:rsidRPr="00F755DB">
        <w:rPr>
          <w:rFonts w:ascii="Times New Roman" w:hAnsi="Times New Roman"/>
          <w:sz w:val="24"/>
          <w:szCs w:val="24"/>
        </w:rPr>
        <w:t>***</w:t>
      </w:r>
    </w:p>
    <w:p w14:paraId="361C0091" w14:textId="77777777" w:rsidR="00F755DB" w:rsidRPr="00F755DB" w:rsidRDefault="00F755DB" w:rsidP="00F755DB">
      <w:pPr>
        <w:pStyle w:val="NoSpacing"/>
        <w:ind w:left="720"/>
        <w:rPr>
          <w:rFonts w:ascii="Times New Roman" w:hAnsi="Times New Roman"/>
          <w:sz w:val="24"/>
          <w:szCs w:val="24"/>
        </w:rPr>
      </w:pPr>
      <w:r w:rsidRPr="00F755DB">
        <w:rPr>
          <w:rFonts w:ascii="Times New Roman" w:hAnsi="Times New Roman"/>
          <w:sz w:val="24"/>
          <w:szCs w:val="24"/>
        </w:rPr>
        <w:t xml:space="preserve">At the November 21, </w:t>
      </w:r>
      <w:proofErr w:type="gramStart"/>
      <w:r w:rsidRPr="00F755DB">
        <w:rPr>
          <w:rFonts w:ascii="Times New Roman" w:hAnsi="Times New Roman"/>
          <w:sz w:val="24"/>
          <w:szCs w:val="24"/>
        </w:rPr>
        <w:t>2024</w:t>
      </w:r>
      <w:proofErr w:type="gramEnd"/>
      <w:r w:rsidRPr="00F755DB">
        <w:rPr>
          <w:rFonts w:ascii="Times New Roman" w:hAnsi="Times New Roman"/>
          <w:sz w:val="24"/>
          <w:szCs w:val="24"/>
        </w:rPr>
        <w:t xml:space="preserve"> pretrial hearing addressing Defendants' Motions, the United States affirmatively indicated that there is no dispute that the building in question is classified as a church or place of worship. Moreover, the detailed facts proffered by the United States, which this Court would describe as a full proffer of the evidence, were undisputed at the hearing. Thus, collectively, the full proffer of facts presented by the United States (both the classification of the building and the potential interstate activities) are entirely undisputed. What remains then, is solely a question of law-whether the undisputed evidence proffered by the United States is sufficient to satisfy the interstate commerce element of </w:t>
      </w:r>
      <w:hyperlink r:id="rId104" w:history="1">
        <w:r w:rsidRPr="00F755DB">
          <w:rPr>
            <w:rStyle w:val="Hyperlink"/>
            <w:rFonts w:ascii="Times New Roman" w:hAnsi="Times New Roman"/>
            <w:sz w:val="24"/>
            <w:szCs w:val="24"/>
          </w:rPr>
          <w:t>18 U.S.C. § 844(</w:t>
        </w:r>
        <w:proofErr w:type="spellStart"/>
        <w:r w:rsidRPr="00F755DB">
          <w:rPr>
            <w:rStyle w:val="Hyperlink"/>
            <w:rFonts w:ascii="Times New Roman" w:hAnsi="Times New Roman"/>
            <w:sz w:val="24"/>
            <w:szCs w:val="24"/>
          </w:rPr>
          <w:t>i</w:t>
        </w:r>
        <w:proofErr w:type="spellEnd"/>
        <w:r w:rsidRPr="00F755DB">
          <w:rPr>
            <w:rStyle w:val="Hyperlink"/>
            <w:rFonts w:ascii="Times New Roman" w:hAnsi="Times New Roman"/>
            <w:sz w:val="24"/>
            <w:szCs w:val="24"/>
          </w:rPr>
          <w:t>)</w:t>
        </w:r>
      </w:hyperlink>
      <w:r w:rsidRPr="00F755DB">
        <w:rPr>
          <w:rFonts w:ascii="Times New Roman" w:hAnsi="Times New Roman"/>
          <w:sz w:val="24"/>
          <w:szCs w:val="24"/>
        </w:rPr>
        <w:t>.</w:t>
      </w:r>
    </w:p>
    <w:p w14:paraId="6B4E8CF2" w14:textId="77777777" w:rsidR="00F755DB" w:rsidRPr="00F755DB" w:rsidRDefault="00F755DB" w:rsidP="00F755DB">
      <w:pPr>
        <w:pStyle w:val="NoSpacing"/>
        <w:ind w:left="720"/>
        <w:rPr>
          <w:rFonts w:ascii="Times New Roman" w:hAnsi="Times New Roman"/>
          <w:sz w:val="24"/>
          <w:szCs w:val="24"/>
        </w:rPr>
      </w:pPr>
    </w:p>
    <w:p w14:paraId="3F820AB0" w14:textId="77777777" w:rsidR="00F755DB" w:rsidRPr="00F755DB" w:rsidRDefault="00F755DB" w:rsidP="00F755DB">
      <w:pPr>
        <w:pStyle w:val="NoSpacing"/>
        <w:ind w:left="720"/>
        <w:rPr>
          <w:rFonts w:ascii="Times New Roman" w:hAnsi="Times New Roman"/>
          <w:sz w:val="24"/>
          <w:szCs w:val="24"/>
        </w:rPr>
      </w:pPr>
      <w:r w:rsidRPr="00F755DB">
        <w:rPr>
          <w:rFonts w:ascii="Times New Roman" w:hAnsi="Times New Roman"/>
          <w:sz w:val="24"/>
          <w:szCs w:val="24"/>
        </w:rPr>
        <w:t>***</w:t>
      </w:r>
    </w:p>
    <w:p w14:paraId="7AE0D5A1" w14:textId="77777777" w:rsidR="00F755DB" w:rsidRPr="00F755DB" w:rsidRDefault="00F755DB" w:rsidP="00F755DB">
      <w:pPr>
        <w:pStyle w:val="NoSpacing"/>
        <w:ind w:left="720"/>
        <w:rPr>
          <w:rFonts w:ascii="Times New Roman" w:hAnsi="Times New Roman"/>
          <w:bCs/>
          <w:sz w:val="24"/>
          <w:szCs w:val="24"/>
        </w:rPr>
      </w:pPr>
    </w:p>
    <w:p w14:paraId="1E707D92" w14:textId="77777777" w:rsidR="00F755DB" w:rsidRPr="00F755DB" w:rsidRDefault="00F755DB" w:rsidP="00F755DB">
      <w:pPr>
        <w:pStyle w:val="NoSpacing"/>
        <w:ind w:left="720"/>
        <w:rPr>
          <w:rFonts w:ascii="Times New Roman" w:hAnsi="Times New Roman"/>
          <w:sz w:val="24"/>
          <w:szCs w:val="24"/>
        </w:rPr>
      </w:pPr>
      <w:r w:rsidRPr="00F755DB">
        <w:rPr>
          <w:rFonts w:ascii="Times New Roman" w:hAnsi="Times New Roman"/>
          <w:sz w:val="24"/>
          <w:szCs w:val="24"/>
        </w:rPr>
        <w:t>However, as part of its commerce clause power, Congress federalized certain arson crimes in 1982. In relevant part, the underlying arson statute provides that: ‘[w]</w:t>
      </w:r>
      <w:proofErr w:type="spellStart"/>
      <w:r w:rsidRPr="00F755DB">
        <w:rPr>
          <w:rFonts w:ascii="Times New Roman" w:hAnsi="Times New Roman"/>
          <w:sz w:val="24"/>
          <w:szCs w:val="24"/>
        </w:rPr>
        <w:t>hoever</w:t>
      </w:r>
      <w:proofErr w:type="spellEnd"/>
      <w:r w:rsidRPr="00F755DB">
        <w:rPr>
          <w:rFonts w:ascii="Times New Roman" w:hAnsi="Times New Roman"/>
          <w:sz w:val="24"/>
          <w:szCs w:val="24"/>
        </w:rPr>
        <w:t xml:space="preserve"> maliciously damages or destroys, or attempts to damage or destroy, by means of fire or an explosive, any building, vehicle, or other real or personal property </w:t>
      </w:r>
      <w:r w:rsidRPr="00F755DB">
        <w:rPr>
          <w:rFonts w:ascii="Times New Roman" w:hAnsi="Times New Roman"/>
          <w:i/>
          <w:iCs/>
          <w:sz w:val="24"/>
          <w:szCs w:val="24"/>
        </w:rPr>
        <w:t>used in interstate or foreign commerce or in any activity affecting interstate or foreign commerce shall be imprisoned</w:t>
      </w:r>
      <w:r w:rsidRPr="00F755DB">
        <w:rPr>
          <w:rFonts w:ascii="Times New Roman" w:hAnsi="Times New Roman"/>
          <w:sz w:val="24"/>
          <w:szCs w:val="24"/>
        </w:rPr>
        <w:t xml:space="preserve">.’ </w:t>
      </w:r>
      <w:hyperlink r:id="rId105" w:history="1">
        <w:r w:rsidRPr="00F755DB">
          <w:rPr>
            <w:rStyle w:val="Hyperlink"/>
            <w:rFonts w:ascii="Times New Roman" w:hAnsi="Times New Roman"/>
            <w:sz w:val="24"/>
            <w:szCs w:val="24"/>
          </w:rPr>
          <w:t>18 U.S.C. § 844(</w:t>
        </w:r>
        <w:proofErr w:type="spellStart"/>
        <w:r w:rsidRPr="00F755DB">
          <w:rPr>
            <w:rStyle w:val="Hyperlink"/>
            <w:rFonts w:ascii="Times New Roman" w:hAnsi="Times New Roman"/>
            <w:sz w:val="24"/>
            <w:szCs w:val="24"/>
          </w:rPr>
          <w:t>i</w:t>
        </w:r>
        <w:proofErr w:type="spellEnd"/>
        <w:r w:rsidRPr="00F755DB">
          <w:rPr>
            <w:rStyle w:val="Hyperlink"/>
            <w:rFonts w:ascii="Times New Roman" w:hAnsi="Times New Roman"/>
            <w:sz w:val="24"/>
            <w:szCs w:val="24"/>
          </w:rPr>
          <w:t>)</w:t>
        </w:r>
      </w:hyperlink>
      <w:r w:rsidRPr="00F755DB">
        <w:rPr>
          <w:rFonts w:ascii="Times New Roman" w:hAnsi="Times New Roman"/>
          <w:sz w:val="24"/>
          <w:szCs w:val="24"/>
        </w:rPr>
        <w:t xml:space="preserve"> (emphasis added). While broad in one aspect (prosecuting the arson of ‘any’ building), it is simultaneously limited by permitting prosecution only when such building is used in or affects interstate or foreign commerce. The effect of such limiting language ensures that there remain buildings which do not fall within the federal statute's domain. </w:t>
      </w:r>
      <w:r w:rsidRPr="00F755DB">
        <w:rPr>
          <w:rFonts w:ascii="Times New Roman" w:hAnsi="Times New Roman"/>
          <w:i/>
          <w:iCs/>
          <w:sz w:val="24"/>
          <w:szCs w:val="24"/>
        </w:rPr>
        <w:t>See</w:t>
      </w:r>
      <w:r w:rsidRPr="00F755DB">
        <w:rPr>
          <w:rFonts w:ascii="Times New Roman" w:hAnsi="Times New Roman"/>
          <w:sz w:val="24"/>
          <w:szCs w:val="24"/>
        </w:rPr>
        <w:t xml:space="preserve"> </w:t>
      </w:r>
      <w:r w:rsidRPr="00F755DB">
        <w:rPr>
          <w:rFonts w:ascii="Times New Roman" w:hAnsi="Times New Roman"/>
          <w:i/>
          <w:iCs/>
          <w:sz w:val="24"/>
          <w:szCs w:val="24"/>
        </w:rPr>
        <w:t>Jones</w:t>
      </w:r>
      <w:r w:rsidRPr="00F755DB">
        <w:rPr>
          <w:rFonts w:ascii="Times New Roman" w:hAnsi="Times New Roman"/>
          <w:sz w:val="24"/>
          <w:szCs w:val="24"/>
        </w:rPr>
        <w:t xml:space="preserve">, </w:t>
      </w:r>
      <w:hyperlink r:id="rId106" w:anchor="p859" w:history="1">
        <w:r w:rsidRPr="00F755DB">
          <w:rPr>
            <w:rStyle w:val="Hyperlink"/>
            <w:rFonts w:ascii="Times New Roman" w:hAnsi="Times New Roman"/>
            <w:sz w:val="24"/>
            <w:szCs w:val="24"/>
          </w:rPr>
          <w:t>529 U.S. at 859</w:t>
        </w:r>
      </w:hyperlink>
      <w:r w:rsidRPr="00F755DB">
        <w:rPr>
          <w:rFonts w:ascii="Times New Roman" w:hAnsi="Times New Roman"/>
          <w:sz w:val="24"/>
          <w:szCs w:val="24"/>
        </w:rPr>
        <w:t xml:space="preserve"> (but for the interstate commerce element, </w:t>
      </w:r>
      <w:hyperlink r:id="rId107" w:history="1">
        <w:r w:rsidRPr="00F755DB">
          <w:rPr>
            <w:rStyle w:val="Hyperlink"/>
            <w:rFonts w:ascii="Times New Roman" w:hAnsi="Times New Roman"/>
            <w:sz w:val="24"/>
            <w:szCs w:val="24"/>
          </w:rPr>
          <w:t>§ 844(</w:t>
        </w:r>
        <w:proofErr w:type="spellStart"/>
        <w:r w:rsidRPr="00F755DB">
          <w:rPr>
            <w:rStyle w:val="Hyperlink"/>
            <w:rFonts w:ascii="Times New Roman" w:hAnsi="Times New Roman"/>
            <w:sz w:val="24"/>
            <w:szCs w:val="24"/>
          </w:rPr>
          <w:t>i</w:t>
        </w:r>
        <w:proofErr w:type="spellEnd"/>
        <w:r w:rsidRPr="00F755DB">
          <w:rPr>
            <w:rStyle w:val="Hyperlink"/>
            <w:rFonts w:ascii="Times New Roman" w:hAnsi="Times New Roman"/>
            <w:sz w:val="24"/>
            <w:szCs w:val="24"/>
          </w:rPr>
          <w:t>)</w:t>
        </w:r>
      </w:hyperlink>
      <w:r w:rsidRPr="00F755DB">
        <w:rPr>
          <w:rFonts w:ascii="Times New Roman" w:hAnsi="Times New Roman"/>
          <w:sz w:val="24"/>
          <w:szCs w:val="24"/>
        </w:rPr>
        <w:t xml:space="preserve"> would transform ‘virtually every arson in the country [into] a federal offense.’).”</w:t>
      </w:r>
    </w:p>
    <w:p w14:paraId="5C8E1C16" w14:textId="77777777" w:rsidR="00F755DB" w:rsidRPr="00F755DB" w:rsidRDefault="00F755DB" w:rsidP="00F755DB">
      <w:pPr>
        <w:pStyle w:val="NoSpacing"/>
        <w:ind w:left="720"/>
        <w:rPr>
          <w:rFonts w:ascii="Times New Roman" w:hAnsi="Times New Roman"/>
          <w:sz w:val="24"/>
          <w:szCs w:val="24"/>
        </w:rPr>
      </w:pPr>
    </w:p>
    <w:p w14:paraId="52D84DDC" w14:textId="77777777" w:rsidR="00F755DB" w:rsidRPr="00F755DB" w:rsidRDefault="00F755DB" w:rsidP="00F755DB">
      <w:pPr>
        <w:pStyle w:val="NoSpacing"/>
        <w:rPr>
          <w:rFonts w:ascii="Times New Roman" w:hAnsi="Times New Roman"/>
          <w:b/>
          <w:bCs/>
          <w:sz w:val="24"/>
          <w:szCs w:val="24"/>
        </w:rPr>
      </w:pPr>
      <w:r w:rsidRPr="00F755DB">
        <w:rPr>
          <w:rFonts w:ascii="Times New Roman" w:hAnsi="Times New Roman"/>
          <w:b/>
          <w:sz w:val="24"/>
          <w:szCs w:val="24"/>
        </w:rPr>
        <w:t>Legal Lesson Learned: The firefighters can now be tried in state court.</w:t>
      </w:r>
    </w:p>
    <w:p w14:paraId="4F2FD0E8" w14:textId="77777777" w:rsidR="00F755DB" w:rsidRPr="004447C7" w:rsidRDefault="00F755DB" w:rsidP="00F755DB">
      <w:pPr>
        <w:pStyle w:val="NoSpacing"/>
        <w:rPr>
          <w:b/>
          <w:bCs/>
        </w:rPr>
      </w:pPr>
    </w:p>
    <w:p w14:paraId="58541979" w14:textId="77777777" w:rsidR="004B0DC2" w:rsidRDefault="004B0DC2" w:rsidP="00B86628">
      <w:pPr>
        <w:pStyle w:val="NoSpacing"/>
        <w:rPr>
          <w:rFonts w:ascii="Arial Black" w:hAnsi="Arial Black"/>
          <w:sz w:val="24"/>
          <w:szCs w:val="24"/>
        </w:rPr>
      </w:pPr>
    </w:p>
    <w:p w14:paraId="2A782240" w14:textId="77777777" w:rsidR="004B0DC2" w:rsidRDefault="004B0DC2" w:rsidP="00B86628">
      <w:pPr>
        <w:pStyle w:val="NoSpacing"/>
        <w:rPr>
          <w:rFonts w:ascii="Arial Black" w:hAnsi="Arial Black"/>
          <w:sz w:val="24"/>
          <w:szCs w:val="24"/>
        </w:rPr>
      </w:pPr>
    </w:p>
    <w:p w14:paraId="3BC156B1" w14:textId="2D622D7F" w:rsidR="00AE3DBB" w:rsidRDefault="00AE3DBB" w:rsidP="00B86628">
      <w:pPr>
        <w:pStyle w:val="NoSpacing"/>
        <w:rPr>
          <w:rFonts w:ascii="Arial Black" w:hAnsi="Arial Black"/>
          <w:sz w:val="24"/>
          <w:szCs w:val="24"/>
        </w:rPr>
      </w:pPr>
      <w:r>
        <w:rPr>
          <w:rFonts w:ascii="Arial Black" w:hAnsi="Arial Black"/>
          <w:sz w:val="24"/>
          <w:szCs w:val="24"/>
        </w:rPr>
        <w:t>1-167</w:t>
      </w:r>
    </w:p>
    <w:p w14:paraId="22A5AC98" w14:textId="77777777" w:rsidR="00AE3DBB" w:rsidRDefault="00AE3DBB" w:rsidP="00B86628">
      <w:pPr>
        <w:pStyle w:val="NoSpacing"/>
        <w:rPr>
          <w:rFonts w:ascii="Arial Black" w:hAnsi="Arial Black"/>
          <w:sz w:val="24"/>
          <w:szCs w:val="24"/>
        </w:rPr>
      </w:pPr>
    </w:p>
    <w:p w14:paraId="1AFFE091" w14:textId="77777777" w:rsidR="00FA5992" w:rsidRPr="0053642C" w:rsidRDefault="00FA5992" w:rsidP="00FA5992">
      <w:pPr>
        <w:pStyle w:val="NoSpacing"/>
        <w:rPr>
          <w:rFonts w:ascii="Arial Black" w:hAnsi="Arial Black"/>
          <w:bCs/>
          <w:sz w:val="28"/>
          <w:szCs w:val="28"/>
        </w:rPr>
      </w:pPr>
      <w:r>
        <w:rPr>
          <w:rFonts w:ascii="Arial Black" w:hAnsi="Arial Black"/>
          <w:sz w:val="28"/>
          <w:szCs w:val="28"/>
        </w:rPr>
        <w:t xml:space="preserve">OH: ARSON - </w:t>
      </w:r>
      <w:r w:rsidRPr="00F01098">
        <w:rPr>
          <w:rFonts w:ascii="Arial Black" w:hAnsi="Arial Black"/>
          <w:sz w:val="28"/>
          <w:szCs w:val="28"/>
        </w:rPr>
        <w:t>2018 H</w:t>
      </w:r>
      <w:r>
        <w:rPr>
          <w:rFonts w:ascii="Arial Black" w:hAnsi="Arial Black"/>
          <w:sz w:val="28"/>
          <w:szCs w:val="28"/>
        </w:rPr>
        <w:t>ONDA ACCORD – “REAL TIME CRIME” STREET CAMERA / ARSONIST</w:t>
      </w:r>
      <w:r>
        <w:rPr>
          <w:rFonts w:ascii="Arial Black" w:hAnsi="Arial Black"/>
          <w:bCs/>
          <w:sz w:val="28"/>
          <w:szCs w:val="28"/>
        </w:rPr>
        <w:t xml:space="preserve"> AT</w:t>
      </w:r>
      <w:r>
        <w:rPr>
          <w:rFonts w:ascii="Arial Black" w:hAnsi="Arial Black"/>
          <w:sz w:val="28"/>
          <w:szCs w:val="28"/>
        </w:rPr>
        <w:t xml:space="preserve"> GAS STATION – 4</w:t>
      </w:r>
      <w:r>
        <w:rPr>
          <w:rFonts w:ascii="Arial Black" w:hAnsi="Arial Black"/>
          <w:bCs/>
          <w:sz w:val="28"/>
          <w:szCs w:val="28"/>
        </w:rPr>
        <w:t xml:space="preserve"> TO </w:t>
      </w:r>
      <w:r>
        <w:rPr>
          <w:rFonts w:ascii="Arial Black" w:hAnsi="Arial Black"/>
          <w:sz w:val="28"/>
          <w:szCs w:val="28"/>
        </w:rPr>
        <w:t>6 Y</w:t>
      </w:r>
      <w:r>
        <w:rPr>
          <w:rFonts w:ascii="Arial Black" w:hAnsi="Arial Black"/>
          <w:bCs/>
          <w:sz w:val="28"/>
          <w:szCs w:val="28"/>
        </w:rPr>
        <w:t xml:space="preserve">RS </w:t>
      </w:r>
    </w:p>
    <w:p w14:paraId="6556CFCC" w14:textId="77777777" w:rsidR="00FA5992" w:rsidRDefault="00FA5992" w:rsidP="00FA5992">
      <w:pPr>
        <w:pStyle w:val="NoSpacing"/>
        <w:rPr>
          <w:bCs/>
        </w:rPr>
      </w:pPr>
    </w:p>
    <w:p w14:paraId="4E6EBCFE" w14:textId="77777777" w:rsidR="00FA5992" w:rsidRPr="009800D6" w:rsidRDefault="00FA5992" w:rsidP="00FA5992">
      <w:pPr>
        <w:pStyle w:val="NoSpacing"/>
        <w:rPr>
          <w:rFonts w:ascii="Times New Roman" w:hAnsi="Times New Roman"/>
          <w:bCs/>
          <w:sz w:val="24"/>
          <w:szCs w:val="24"/>
        </w:rPr>
      </w:pPr>
      <w:r w:rsidRPr="009800D6">
        <w:rPr>
          <w:rFonts w:ascii="Times New Roman" w:hAnsi="Times New Roman"/>
          <w:sz w:val="24"/>
          <w:szCs w:val="24"/>
        </w:rPr>
        <w:t xml:space="preserve">On Nov. 27, 2024, in </w:t>
      </w:r>
      <w:r w:rsidRPr="009800D6">
        <w:rPr>
          <w:rFonts w:ascii="Times New Roman" w:hAnsi="Times New Roman"/>
          <w:sz w:val="24"/>
          <w:szCs w:val="24"/>
          <w:u w:val="single"/>
        </w:rPr>
        <w:t>State of Ohio v. Devontae Sullivan</w:t>
      </w:r>
      <w:r w:rsidRPr="009800D6">
        <w:rPr>
          <w:rFonts w:ascii="Times New Roman" w:hAnsi="Times New Roman"/>
          <w:sz w:val="24"/>
          <w:szCs w:val="24"/>
        </w:rPr>
        <w:t xml:space="preserve">, the Ohio Court of Appeals, Eight Appellate District, Cuyahoga County, held (3 to 0) that there was sufficient evidence presented to the jury that the defendant poured gasoline on the car. The Court wrote: “In his first assignment of error, Sullivan contends that the State failed to present sufficient evidence of identity. We disagree…. Detective David Baker [Cleveland Division of Fire] identified Sullivan as the perpetrator. He viewed surveillance video from a business two doors from the subject house. The video showed a maroon Buick with tinted windows in the area. Using the City of Cleveland’s ‘Real Time Crime’ street cameras, Detective Baker traced the Buick to a gas station located five minutes from the crime scene. The detective was able to obtain a license plate number for the Buick that was registered to a red 1999 Chevrolet Cavalier. *** Detective Baker positively identified Sullivan in court as the person in the driver license photo, as well as the person on the surveillance footage. The license photo and </w:t>
      </w:r>
      <w:r w:rsidRPr="009800D6">
        <w:rPr>
          <w:rFonts w:ascii="Times New Roman" w:hAnsi="Times New Roman"/>
          <w:sz w:val="24"/>
          <w:szCs w:val="24"/>
        </w:rPr>
        <w:lastRenderedPageBreak/>
        <w:t xml:space="preserve">surveillance videos were shown to the jury and admitted into evidence; thus, the State presented sufficient evidence for the jury to determine whether Sullivan was the perpetrator.” </w:t>
      </w:r>
      <w:hyperlink r:id="rId108" w:history="1">
        <w:r w:rsidRPr="009800D6">
          <w:rPr>
            <w:rStyle w:val="Hyperlink"/>
            <w:rFonts w:ascii="Times New Roman" w:hAnsi="Times New Roman"/>
            <w:sz w:val="24"/>
            <w:szCs w:val="24"/>
          </w:rPr>
          <w:t>https://www.supremecourt.ohio.gov/rod/docs/pdf/8/2024/2024-Ohio-5601.pdf</w:t>
        </w:r>
      </w:hyperlink>
      <w:r w:rsidRPr="009800D6">
        <w:rPr>
          <w:rFonts w:ascii="Times New Roman" w:hAnsi="Times New Roman"/>
          <w:sz w:val="24"/>
          <w:szCs w:val="24"/>
        </w:rPr>
        <w:t xml:space="preserve"> </w:t>
      </w:r>
    </w:p>
    <w:p w14:paraId="75A98099" w14:textId="77777777" w:rsidR="009800D6" w:rsidRPr="009800D6" w:rsidRDefault="009800D6" w:rsidP="009800D6">
      <w:pPr>
        <w:pStyle w:val="NoSpacing"/>
        <w:rPr>
          <w:rFonts w:ascii="Times New Roman" w:hAnsi="Times New Roman"/>
          <w:sz w:val="24"/>
          <w:szCs w:val="24"/>
        </w:rPr>
      </w:pPr>
    </w:p>
    <w:p w14:paraId="33CACECE" w14:textId="4129A4F1" w:rsidR="009800D6" w:rsidRPr="009800D6" w:rsidRDefault="009800D6" w:rsidP="009800D6">
      <w:pPr>
        <w:pStyle w:val="NoSpacing"/>
        <w:rPr>
          <w:rFonts w:ascii="Times New Roman" w:hAnsi="Times New Roman"/>
          <w:b/>
          <w:sz w:val="24"/>
          <w:szCs w:val="24"/>
        </w:rPr>
      </w:pPr>
      <w:r w:rsidRPr="009800D6">
        <w:rPr>
          <w:rFonts w:ascii="Times New Roman" w:hAnsi="Times New Roman"/>
          <w:b/>
          <w:sz w:val="24"/>
          <w:szCs w:val="24"/>
        </w:rPr>
        <w:t xml:space="preserve">Legal Lesson Learned: Surveillance videos are powerful evidence. </w:t>
      </w:r>
    </w:p>
    <w:p w14:paraId="15DD3DD1" w14:textId="066C8F5A" w:rsidR="00AE3DBB" w:rsidRDefault="00AE3DBB" w:rsidP="00B86628">
      <w:pPr>
        <w:pStyle w:val="NoSpacing"/>
        <w:rPr>
          <w:rFonts w:ascii="Arial Black" w:hAnsi="Arial Black"/>
          <w:sz w:val="24"/>
          <w:szCs w:val="24"/>
        </w:rPr>
      </w:pPr>
    </w:p>
    <w:p w14:paraId="23C2078B" w14:textId="77777777" w:rsidR="00AE3DBB" w:rsidRDefault="00AE3DBB" w:rsidP="00B86628">
      <w:pPr>
        <w:pStyle w:val="NoSpacing"/>
        <w:rPr>
          <w:rFonts w:ascii="Arial Black" w:hAnsi="Arial Black"/>
          <w:sz w:val="24"/>
          <w:szCs w:val="24"/>
        </w:rPr>
      </w:pPr>
    </w:p>
    <w:p w14:paraId="572FD83E" w14:textId="0327AA6F" w:rsidR="00C437E2" w:rsidRDefault="000F060C" w:rsidP="00B86628">
      <w:pPr>
        <w:pStyle w:val="NoSpacing"/>
        <w:rPr>
          <w:rFonts w:ascii="Arial Black" w:hAnsi="Arial Black"/>
          <w:sz w:val="24"/>
          <w:szCs w:val="24"/>
        </w:rPr>
      </w:pPr>
      <w:r>
        <w:rPr>
          <w:rFonts w:ascii="Arial Black" w:hAnsi="Arial Black"/>
          <w:sz w:val="24"/>
          <w:szCs w:val="24"/>
        </w:rPr>
        <w:t>1-166</w:t>
      </w:r>
    </w:p>
    <w:p w14:paraId="1DC6A6B6" w14:textId="77777777" w:rsidR="000F060C" w:rsidRDefault="000F060C" w:rsidP="00B86628">
      <w:pPr>
        <w:pStyle w:val="NoSpacing"/>
        <w:rPr>
          <w:rFonts w:ascii="Arial Black" w:hAnsi="Arial Black"/>
          <w:sz w:val="24"/>
          <w:szCs w:val="24"/>
        </w:rPr>
      </w:pPr>
    </w:p>
    <w:p w14:paraId="308FE1A5" w14:textId="77777777" w:rsidR="00D60A72" w:rsidRDefault="00D60A72" w:rsidP="00D60A72">
      <w:pPr>
        <w:pStyle w:val="NoSpacing"/>
        <w:rPr>
          <w:rFonts w:ascii="Arial Black" w:hAnsi="Arial Black"/>
          <w:b/>
          <w:sz w:val="28"/>
          <w:szCs w:val="28"/>
        </w:rPr>
      </w:pPr>
      <w:r>
        <w:rPr>
          <w:rFonts w:ascii="Arial Black" w:hAnsi="Arial Black"/>
          <w:b/>
          <w:sz w:val="28"/>
          <w:szCs w:val="28"/>
        </w:rPr>
        <w:t>TN: ARSON – HUSBAND DIED HOUSE FIRE – WIFE “ALFORD PLEA” AFTER 3 DAYS JURY TRIAL – MAX SENTENCE 4-YRS</w:t>
      </w:r>
    </w:p>
    <w:p w14:paraId="1AD04279" w14:textId="77777777" w:rsidR="00D60A72" w:rsidRDefault="00D60A72" w:rsidP="00D60A72">
      <w:pPr>
        <w:pStyle w:val="NoSpacing"/>
        <w:rPr>
          <w:rFonts w:ascii="Arial Black" w:hAnsi="Arial Black"/>
          <w:b/>
          <w:sz w:val="28"/>
          <w:szCs w:val="28"/>
        </w:rPr>
      </w:pPr>
      <w:r>
        <w:rPr>
          <w:rFonts w:ascii="Arial Black" w:hAnsi="Arial Black"/>
          <w:b/>
          <w:sz w:val="28"/>
          <w:szCs w:val="28"/>
        </w:rPr>
        <w:t xml:space="preserve"> </w:t>
      </w:r>
    </w:p>
    <w:p w14:paraId="6990A00A" w14:textId="4292D308" w:rsidR="000F060C" w:rsidRPr="00AE3DBB" w:rsidRDefault="00D60A72" w:rsidP="00D60A72">
      <w:pPr>
        <w:pStyle w:val="NoSpacing"/>
        <w:rPr>
          <w:rStyle w:val="Hyperlink"/>
          <w:rFonts w:ascii="Times New Roman" w:hAnsi="Times New Roman"/>
          <w:sz w:val="24"/>
          <w:szCs w:val="24"/>
        </w:rPr>
      </w:pPr>
      <w:r w:rsidRPr="00AE3DBB">
        <w:rPr>
          <w:rFonts w:ascii="Times New Roman" w:hAnsi="Times New Roman"/>
          <w:sz w:val="24"/>
          <w:szCs w:val="24"/>
        </w:rPr>
        <w:t xml:space="preserve">On Nov. 26, 2024, in </w:t>
      </w:r>
      <w:r w:rsidRPr="00AE3DBB">
        <w:rPr>
          <w:rFonts w:ascii="Times New Roman" w:hAnsi="Times New Roman"/>
          <w:sz w:val="24"/>
          <w:szCs w:val="24"/>
          <w:u w:val="single"/>
        </w:rPr>
        <w:t>State of Tennessee v. Mendy Powell Neal</w:t>
      </w:r>
      <w:r w:rsidRPr="00AE3DBB">
        <w:rPr>
          <w:rFonts w:ascii="Times New Roman" w:hAnsi="Times New Roman"/>
          <w:sz w:val="24"/>
          <w:szCs w:val="24"/>
        </w:rPr>
        <w:t xml:space="preserve">, the Court of Criminal Appeals of Tennessee, at Nashville held (3 to 0) that the trial court judge properly sentenced her to maximum allowed for voluntary manslaughter; she had been charged with felony murder and aggravated arson (“Alford Plea” – defendant does not admit to the criminal act but pleads guilty).  The Court wrote: “In declining to reduce or modify the sentence, the trial court entered a thorough and extensive order in which it reviewed the evidence, including the horrific manner of the victim’s death, before affirming its original sentencing determinations. The Defendant has not shown any circumstances, warranting the alteration of her sentence in the interest of justice.” </w:t>
      </w:r>
      <w:hyperlink r:id="rId109" w:history="1">
        <w:r w:rsidRPr="00AE3DBB">
          <w:rPr>
            <w:rStyle w:val="Hyperlink"/>
            <w:rFonts w:ascii="Times New Roman" w:hAnsi="Times New Roman"/>
            <w:sz w:val="24"/>
            <w:szCs w:val="24"/>
          </w:rPr>
          <w:t>https://www.tncourts.gov/sites/default/files/OpinionsPDFVersion/Majority%20Opinion%20-%20M2023-01176-CCA-R3-CD.pdf</w:t>
        </w:r>
      </w:hyperlink>
    </w:p>
    <w:p w14:paraId="5F8AD572" w14:textId="77777777" w:rsidR="00AE3DBB" w:rsidRPr="00AE3DBB" w:rsidRDefault="00AE3DBB" w:rsidP="00D60A72">
      <w:pPr>
        <w:pStyle w:val="NoSpacing"/>
        <w:rPr>
          <w:rStyle w:val="Hyperlink"/>
          <w:rFonts w:ascii="Times New Roman" w:hAnsi="Times New Roman"/>
          <w:sz w:val="24"/>
          <w:szCs w:val="24"/>
        </w:rPr>
      </w:pPr>
    </w:p>
    <w:p w14:paraId="440F4600" w14:textId="77777777" w:rsidR="00AE3DBB" w:rsidRPr="00AE3DBB" w:rsidRDefault="00AE3DBB" w:rsidP="00AE3DBB">
      <w:pPr>
        <w:pStyle w:val="NoSpacing"/>
        <w:rPr>
          <w:rFonts w:ascii="Times New Roman" w:hAnsi="Times New Roman"/>
          <w:b/>
          <w:bCs/>
          <w:sz w:val="24"/>
          <w:szCs w:val="24"/>
        </w:rPr>
      </w:pPr>
      <w:r w:rsidRPr="00AE3DBB">
        <w:rPr>
          <w:rFonts w:ascii="Times New Roman" w:hAnsi="Times New Roman"/>
          <w:b/>
          <w:sz w:val="24"/>
          <w:szCs w:val="24"/>
        </w:rPr>
        <w:t xml:space="preserve">Legal Lesson Learned: Not </w:t>
      </w:r>
      <w:r w:rsidRPr="00AE3DBB">
        <w:rPr>
          <w:rFonts w:ascii="Times New Roman" w:hAnsi="Times New Roman"/>
          <w:b/>
          <w:bCs/>
          <w:sz w:val="24"/>
          <w:szCs w:val="24"/>
        </w:rPr>
        <w:t>clear</w:t>
      </w:r>
      <w:r w:rsidRPr="00AE3DBB">
        <w:rPr>
          <w:rFonts w:ascii="Times New Roman" w:hAnsi="Times New Roman"/>
          <w:b/>
          <w:sz w:val="24"/>
          <w:szCs w:val="24"/>
        </w:rPr>
        <w:t xml:space="preserve"> why the Prosecution took a plea deal after three days of jury trial, but the maximum sentence for voluntary manslaughter was certainly appropriate</w:t>
      </w:r>
      <w:r w:rsidRPr="00AE3DBB">
        <w:rPr>
          <w:rFonts w:ascii="Times New Roman" w:hAnsi="Times New Roman"/>
          <w:b/>
          <w:bCs/>
          <w:sz w:val="24"/>
          <w:szCs w:val="24"/>
        </w:rPr>
        <w:t xml:space="preserve">. </w:t>
      </w:r>
    </w:p>
    <w:p w14:paraId="54CC7E1F" w14:textId="77777777" w:rsidR="00AE3DBB" w:rsidRDefault="00AE3DBB" w:rsidP="00D60A72">
      <w:pPr>
        <w:pStyle w:val="NoSpacing"/>
        <w:rPr>
          <w:rFonts w:ascii="Arial Black" w:hAnsi="Arial Black"/>
          <w:sz w:val="24"/>
          <w:szCs w:val="24"/>
        </w:rPr>
      </w:pPr>
    </w:p>
    <w:p w14:paraId="2F8AD47B" w14:textId="77777777" w:rsidR="00D757ED" w:rsidRDefault="00D757ED" w:rsidP="006F4352">
      <w:pPr>
        <w:pStyle w:val="NoSpacing"/>
        <w:rPr>
          <w:rFonts w:ascii="Arial Black" w:hAnsi="Arial Black"/>
          <w:sz w:val="24"/>
          <w:szCs w:val="24"/>
        </w:rPr>
      </w:pPr>
    </w:p>
    <w:p w14:paraId="18BAC5FE" w14:textId="701F5F0E" w:rsidR="00D757ED" w:rsidRDefault="00D757ED" w:rsidP="006F4352">
      <w:pPr>
        <w:pStyle w:val="NoSpacing"/>
        <w:rPr>
          <w:rFonts w:ascii="Arial Black" w:hAnsi="Arial Black"/>
          <w:sz w:val="24"/>
          <w:szCs w:val="24"/>
        </w:rPr>
      </w:pPr>
      <w:r>
        <w:rPr>
          <w:rFonts w:ascii="Arial Black" w:hAnsi="Arial Black"/>
          <w:sz w:val="24"/>
          <w:szCs w:val="24"/>
        </w:rPr>
        <w:t>1-165</w:t>
      </w:r>
    </w:p>
    <w:p w14:paraId="40C96C26" w14:textId="77777777" w:rsidR="00D757ED" w:rsidRDefault="00D757ED" w:rsidP="006F4352">
      <w:pPr>
        <w:pStyle w:val="NoSpacing"/>
        <w:rPr>
          <w:rFonts w:ascii="Arial Black" w:hAnsi="Arial Black"/>
          <w:sz w:val="24"/>
          <w:szCs w:val="24"/>
        </w:rPr>
      </w:pPr>
    </w:p>
    <w:p w14:paraId="0F00C5FE" w14:textId="77777777" w:rsidR="00D757ED" w:rsidRDefault="00D757ED" w:rsidP="00D757ED">
      <w:pPr>
        <w:pStyle w:val="NoSpacing"/>
        <w:rPr>
          <w:rFonts w:ascii="Arial Black" w:hAnsi="Arial Black"/>
          <w:b/>
          <w:sz w:val="28"/>
          <w:szCs w:val="28"/>
        </w:rPr>
      </w:pPr>
      <w:r>
        <w:rPr>
          <w:rFonts w:ascii="Arial Black" w:hAnsi="Arial Black"/>
          <w:b/>
          <w:sz w:val="28"/>
          <w:szCs w:val="28"/>
        </w:rPr>
        <w:t xml:space="preserve">CA: HOMELESS - RVs CAN NOT BE PARKED ON CITY STREET – CITY ORDINANCE / $60 FINE UPHELD </w:t>
      </w:r>
    </w:p>
    <w:p w14:paraId="2BB84AA3" w14:textId="77777777" w:rsidR="00D757ED" w:rsidRDefault="00D757ED" w:rsidP="00D757ED">
      <w:pPr>
        <w:pStyle w:val="NoSpacing"/>
        <w:rPr>
          <w:rFonts w:ascii="Arial Black" w:hAnsi="Arial Black"/>
          <w:b/>
          <w:sz w:val="28"/>
          <w:szCs w:val="28"/>
        </w:rPr>
      </w:pPr>
    </w:p>
    <w:p w14:paraId="58140CE1" w14:textId="77777777" w:rsidR="00D757ED" w:rsidRPr="00D757ED" w:rsidRDefault="00D757ED" w:rsidP="00D757ED">
      <w:pPr>
        <w:pStyle w:val="NoSpacing"/>
        <w:rPr>
          <w:rFonts w:ascii="Times New Roman" w:hAnsi="Times New Roman"/>
          <w:bCs/>
          <w:sz w:val="24"/>
          <w:szCs w:val="24"/>
        </w:rPr>
      </w:pPr>
      <w:r w:rsidRPr="00D757ED">
        <w:rPr>
          <w:rFonts w:ascii="Times New Roman" w:hAnsi="Times New Roman"/>
          <w:sz w:val="24"/>
          <w:szCs w:val="24"/>
        </w:rPr>
        <w:t xml:space="preserve">On November 22, 2024, in </w:t>
      </w:r>
      <w:r w:rsidRPr="00D757ED">
        <w:rPr>
          <w:rFonts w:ascii="Times New Roman" w:hAnsi="Times New Roman"/>
          <w:sz w:val="24"/>
          <w:szCs w:val="24"/>
          <w:u w:val="single"/>
        </w:rPr>
        <w:t xml:space="preserve">David Allen </w:t>
      </w:r>
      <w:proofErr w:type="spellStart"/>
      <w:r w:rsidRPr="00D757ED">
        <w:rPr>
          <w:rFonts w:ascii="Times New Roman" w:hAnsi="Times New Roman"/>
          <w:sz w:val="24"/>
          <w:szCs w:val="24"/>
          <w:u w:val="single"/>
        </w:rPr>
        <w:t>Yesue</w:t>
      </w:r>
      <w:proofErr w:type="spellEnd"/>
      <w:r w:rsidRPr="00D757ED">
        <w:rPr>
          <w:rFonts w:ascii="Times New Roman" w:hAnsi="Times New Roman"/>
          <w:sz w:val="24"/>
          <w:szCs w:val="24"/>
          <w:u w:val="single"/>
        </w:rPr>
        <w:t xml:space="preserve"> v. City of Sebastopol</w:t>
      </w:r>
      <w:r w:rsidRPr="00D757ED">
        <w:rPr>
          <w:rFonts w:ascii="Times New Roman" w:hAnsi="Times New Roman"/>
          <w:sz w:val="24"/>
          <w:szCs w:val="24"/>
        </w:rPr>
        <w:t xml:space="preserve">, United States Magistrate Judge Kandis A. Westmore, U.S. District Court for the Northern District of California, upheld the </w:t>
      </w:r>
      <w:proofErr w:type="gramStart"/>
      <w:r w:rsidRPr="00D757ED">
        <w:rPr>
          <w:rFonts w:ascii="Times New Roman" w:hAnsi="Times New Roman"/>
          <w:sz w:val="24"/>
          <w:szCs w:val="24"/>
        </w:rPr>
        <w:t>City</w:t>
      </w:r>
      <w:proofErr w:type="gramEnd"/>
      <w:r w:rsidRPr="00D757ED">
        <w:rPr>
          <w:rFonts w:ascii="Times New Roman" w:hAnsi="Times New Roman"/>
          <w:sz w:val="24"/>
          <w:szCs w:val="24"/>
        </w:rPr>
        <w:t xml:space="preserve"> ordinance in a lawsuit filed by the ACLU.  The Court wrote: “Plaintiffs are effectively requesting that they be allowed to park their RVs in the city because they need to be able to live in their RVs, not because they are unable to access parking otherwise. The Court knows of no authority that would support such a demand…. Footnote 4: Plaintiffs also assert there is no direct evidence of, for example, an RV catching on fire. The Court notes, however, that Plaintiff Wetch herself stated in her declaration that her trailer burned down while she was on Morris Street.”  </w:t>
      </w:r>
      <w:hyperlink r:id="rId110" w:history="1">
        <w:r w:rsidRPr="00D757ED">
          <w:rPr>
            <w:rStyle w:val="Hyperlink"/>
            <w:rFonts w:ascii="Times New Roman" w:hAnsi="Times New Roman"/>
            <w:sz w:val="24"/>
            <w:szCs w:val="24"/>
          </w:rPr>
          <w:t>https://public.fastcase.com/H1P9uiW3J20SFp%2BGCG%2BxLdyLNTd%2BNZHrq5Wsvr6dKQeFEDZwgsQrm3TmKDWH2%2B1z?utm_medium=email&amp;_hsenc=p2ANqtz--qDncIsqCSeahqkjvoaWhQNyG1yg2f5tRQPi1w8DS9NFdMbI3pDOffIzG2fuU_g9WmDOo8NJeLM9bCUVMHJsMZyGOdjg&amp;_hsmi=226712652&amp;utm_content=226712652&amp;utm_source=hs_email</w:t>
        </w:r>
      </w:hyperlink>
      <w:r w:rsidRPr="00D757ED">
        <w:rPr>
          <w:rFonts w:ascii="Times New Roman" w:hAnsi="Times New Roman"/>
          <w:sz w:val="24"/>
          <w:szCs w:val="24"/>
        </w:rPr>
        <w:t xml:space="preserve"> </w:t>
      </w:r>
    </w:p>
    <w:p w14:paraId="58715618" w14:textId="77777777" w:rsidR="00D757ED" w:rsidRDefault="00D757ED" w:rsidP="006F4352">
      <w:pPr>
        <w:pStyle w:val="NoSpacing"/>
        <w:rPr>
          <w:rFonts w:ascii="Arial Black" w:hAnsi="Arial Black"/>
          <w:sz w:val="24"/>
          <w:szCs w:val="24"/>
        </w:rPr>
      </w:pPr>
    </w:p>
    <w:p w14:paraId="5DDF5007" w14:textId="77777777" w:rsidR="000F060C" w:rsidRPr="000F060C" w:rsidRDefault="000F060C" w:rsidP="000F060C">
      <w:pPr>
        <w:pStyle w:val="NoSpacing"/>
        <w:ind w:left="720"/>
        <w:rPr>
          <w:rFonts w:ascii="Times New Roman" w:hAnsi="Times New Roman"/>
          <w:sz w:val="24"/>
          <w:szCs w:val="24"/>
        </w:rPr>
      </w:pPr>
      <w:r w:rsidRPr="000F060C">
        <w:rPr>
          <w:rFonts w:ascii="Times New Roman" w:hAnsi="Times New Roman"/>
          <w:sz w:val="24"/>
          <w:szCs w:val="24"/>
        </w:rPr>
        <w:t>Note: See the City’s press release  about this case. “City of Sebastopol Prevails in Challenge to RV Ordinance,” November 23, 2024, City News</w:t>
      </w:r>
    </w:p>
    <w:p w14:paraId="5B0E067E" w14:textId="77777777" w:rsidR="000F060C" w:rsidRPr="000F060C" w:rsidRDefault="000F060C" w:rsidP="000F060C">
      <w:pPr>
        <w:pStyle w:val="NoSpacing"/>
        <w:ind w:left="720"/>
        <w:rPr>
          <w:rFonts w:ascii="Times New Roman" w:hAnsi="Times New Roman"/>
          <w:b/>
          <w:sz w:val="24"/>
          <w:szCs w:val="24"/>
        </w:rPr>
      </w:pPr>
      <w:hyperlink r:id="rId111" w:history="1">
        <w:r w:rsidRPr="000F060C">
          <w:rPr>
            <w:rStyle w:val="Hyperlink"/>
            <w:rFonts w:ascii="Times New Roman" w:hAnsi="Times New Roman"/>
            <w:b/>
            <w:sz w:val="24"/>
            <w:szCs w:val="24"/>
          </w:rPr>
          <w:t>https://www.cityofsebastopol.gov/city-of-sebastopol-prevails-in-challenge-to-rv-ordinance/</w:t>
        </w:r>
      </w:hyperlink>
      <w:r w:rsidRPr="000F060C">
        <w:rPr>
          <w:rFonts w:ascii="Times New Roman" w:hAnsi="Times New Roman"/>
          <w:b/>
          <w:sz w:val="24"/>
          <w:szCs w:val="24"/>
        </w:rPr>
        <w:t xml:space="preserve"> </w:t>
      </w:r>
    </w:p>
    <w:p w14:paraId="441BE378" w14:textId="77777777" w:rsidR="000F060C" w:rsidRPr="000F060C" w:rsidRDefault="000F060C" w:rsidP="000F060C">
      <w:pPr>
        <w:pStyle w:val="NoSpacing"/>
        <w:ind w:left="720"/>
        <w:rPr>
          <w:rFonts w:ascii="Times New Roman" w:hAnsi="Times New Roman"/>
          <w:bCs/>
          <w:sz w:val="24"/>
          <w:szCs w:val="24"/>
        </w:rPr>
      </w:pPr>
      <w:r w:rsidRPr="000F060C">
        <w:rPr>
          <w:rFonts w:ascii="Times New Roman" w:hAnsi="Times New Roman"/>
          <w:sz w:val="24"/>
          <w:szCs w:val="24"/>
        </w:rPr>
        <w:lastRenderedPageBreak/>
        <w:t xml:space="preserve">“Friday afternoon, November 22, a decision was issued in the case of </w:t>
      </w:r>
      <w:proofErr w:type="spellStart"/>
      <w:r w:rsidRPr="000F060C">
        <w:rPr>
          <w:rFonts w:ascii="Times New Roman" w:hAnsi="Times New Roman"/>
          <w:sz w:val="24"/>
          <w:szCs w:val="24"/>
        </w:rPr>
        <w:t>Yesue</w:t>
      </w:r>
      <w:proofErr w:type="spellEnd"/>
      <w:r w:rsidRPr="000F060C">
        <w:rPr>
          <w:rFonts w:ascii="Times New Roman" w:hAnsi="Times New Roman"/>
          <w:sz w:val="24"/>
          <w:szCs w:val="24"/>
        </w:rPr>
        <w:t xml:space="preserve"> et al. v. City of Sebastopol, commonly known as the ACLU litigation. In 2022, the Sebastopol City Council adopted an ordinance regulating where and when RVs could park on public streets. Soon after the ordinance was adopted, the ACLU filed a lawsuit challenging the ordinance on behalf of several plaintiffs. The lawsuit raised 14 different causes of action. The US District </w:t>
      </w:r>
      <w:proofErr w:type="gramStart"/>
      <w:r w:rsidRPr="000F060C">
        <w:rPr>
          <w:rFonts w:ascii="Times New Roman" w:hAnsi="Times New Roman"/>
          <w:sz w:val="24"/>
          <w:szCs w:val="24"/>
        </w:rPr>
        <w:t>Court,</w:t>
      </w:r>
      <w:proofErr w:type="gramEnd"/>
      <w:r w:rsidRPr="000F060C">
        <w:rPr>
          <w:rFonts w:ascii="Times New Roman" w:hAnsi="Times New Roman"/>
          <w:sz w:val="24"/>
          <w:szCs w:val="24"/>
        </w:rPr>
        <w:t xml:space="preserve"> Northern District of California rejected all claims raised by the Plaintiffs and granted the City’s motion for summary judgment in its entirety. In short, the City of Sebastopol prevailed. The purpose of the RV Ordinance was to address the serious public health and safety issues that arise from RV encampments, and to ensure adequate street parking for the </w:t>
      </w:r>
      <w:proofErr w:type="gramStart"/>
      <w:r w:rsidRPr="000F060C">
        <w:rPr>
          <w:rFonts w:ascii="Times New Roman" w:hAnsi="Times New Roman"/>
          <w:sz w:val="24"/>
          <w:szCs w:val="24"/>
        </w:rPr>
        <w:t>general public</w:t>
      </w:r>
      <w:proofErr w:type="gramEnd"/>
      <w:r w:rsidRPr="000F060C">
        <w:rPr>
          <w:rFonts w:ascii="Times New Roman" w:hAnsi="Times New Roman"/>
          <w:sz w:val="24"/>
          <w:szCs w:val="24"/>
        </w:rPr>
        <w:t xml:space="preserve">. Homelessness is a complex regional and statewide issue, that no one city can solve alone. Sebastopol has consistently done its part, and more, to tackle the crisis in a compassionate manner. ‘The parking ordinance was our small town’s effort to balance the many interests we serve, to find a solution and not turn away from what was a very challenging situation,” said Sebastopol Mayor Diana Rich. ‘It’s a good-faith heartfelt solution that gives consideration and respect to all in our community, including the unhoused. I’m pleased to see that the Court’s decision validates Sebastopol’s efforts to do what is right, fair, and equitable.’ The </w:t>
      </w:r>
      <w:proofErr w:type="gramStart"/>
      <w:r w:rsidRPr="000F060C">
        <w:rPr>
          <w:rFonts w:ascii="Times New Roman" w:hAnsi="Times New Roman"/>
          <w:sz w:val="24"/>
          <w:szCs w:val="24"/>
        </w:rPr>
        <w:t>City</w:t>
      </w:r>
      <w:proofErr w:type="gramEnd"/>
      <w:r w:rsidRPr="000F060C">
        <w:rPr>
          <w:rFonts w:ascii="Times New Roman" w:hAnsi="Times New Roman"/>
          <w:sz w:val="24"/>
          <w:szCs w:val="24"/>
        </w:rPr>
        <w:t xml:space="preserve"> is continuing to review the Court’s decision, and the City Council will discuss how to implement the Court’s decision and the RV Ordinance in the coming weeks.”</w:t>
      </w:r>
    </w:p>
    <w:p w14:paraId="7CF2484F" w14:textId="77777777" w:rsidR="000F060C" w:rsidRDefault="000F060C" w:rsidP="000F060C">
      <w:pPr>
        <w:rPr>
          <w:bCs/>
          <w:sz w:val="20"/>
          <w:szCs w:val="20"/>
        </w:rPr>
      </w:pPr>
    </w:p>
    <w:p w14:paraId="4FCD0DF9" w14:textId="77777777" w:rsidR="00D757ED" w:rsidRDefault="00D757ED" w:rsidP="006F4352">
      <w:pPr>
        <w:pStyle w:val="NoSpacing"/>
        <w:rPr>
          <w:rFonts w:ascii="Arial Black" w:hAnsi="Arial Black"/>
          <w:sz w:val="24"/>
          <w:szCs w:val="24"/>
        </w:rPr>
      </w:pPr>
    </w:p>
    <w:p w14:paraId="5394BF7E" w14:textId="504A5C8B" w:rsidR="006F4352" w:rsidRDefault="006F4352" w:rsidP="006F4352">
      <w:pPr>
        <w:pStyle w:val="NoSpacing"/>
        <w:rPr>
          <w:rFonts w:ascii="Arial Black" w:hAnsi="Arial Black"/>
          <w:sz w:val="24"/>
          <w:szCs w:val="24"/>
        </w:rPr>
      </w:pPr>
      <w:r>
        <w:rPr>
          <w:rFonts w:ascii="Arial Black" w:hAnsi="Arial Black"/>
          <w:sz w:val="24"/>
          <w:szCs w:val="24"/>
        </w:rPr>
        <w:t>1-164</w:t>
      </w:r>
    </w:p>
    <w:p w14:paraId="7EE03FC4" w14:textId="77777777" w:rsidR="009E27B4" w:rsidRDefault="009E27B4" w:rsidP="00B86628">
      <w:pPr>
        <w:pStyle w:val="NoSpacing"/>
        <w:rPr>
          <w:rFonts w:ascii="Arial Black" w:hAnsi="Arial Black"/>
          <w:sz w:val="24"/>
          <w:szCs w:val="24"/>
        </w:rPr>
      </w:pPr>
    </w:p>
    <w:p w14:paraId="02CD07BF" w14:textId="77777777" w:rsidR="009E27B4" w:rsidRPr="00CE10E8" w:rsidRDefault="009E27B4" w:rsidP="009E27B4">
      <w:pPr>
        <w:pStyle w:val="NoSpacing"/>
        <w:rPr>
          <w:rFonts w:ascii="Arial Black" w:hAnsi="Arial Black"/>
          <w:b/>
          <w:bCs/>
          <w:sz w:val="28"/>
          <w:szCs w:val="28"/>
        </w:rPr>
      </w:pPr>
      <w:r w:rsidRPr="00CE10E8">
        <w:rPr>
          <w:rFonts w:ascii="Arial Black" w:hAnsi="Arial Black"/>
          <w:b/>
          <w:bCs/>
          <w:sz w:val="28"/>
          <w:szCs w:val="28"/>
        </w:rPr>
        <w:t>IA: ARSON – FORMER GIRLFRIEND DATING ANOTHER – 5 HOME – CONV. 5 COUNTS ATT. MURDER – 50 YRS PRISON</w:t>
      </w:r>
    </w:p>
    <w:p w14:paraId="0EAEEE0D" w14:textId="77777777" w:rsidR="009E27B4" w:rsidRPr="00CE10E8" w:rsidRDefault="009E27B4" w:rsidP="009E27B4">
      <w:pPr>
        <w:pStyle w:val="NoSpacing"/>
        <w:rPr>
          <w:rFonts w:ascii="Arial Black" w:hAnsi="Arial Black"/>
          <w:sz w:val="28"/>
          <w:szCs w:val="28"/>
        </w:rPr>
      </w:pPr>
    </w:p>
    <w:p w14:paraId="41E95D03" w14:textId="7A778DD4" w:rsidR="009E27B4" w:rsidRPr="009E27B4" w:rsidRDefault="009E27B4" w:rsidP="009E27B4">
      <w:pPr>
        <w:pStyle w:val="NoSpacing"/>
        <w:rPr>
          <w:rFonts w:ascii="Times New Roman" w:hAnsi="Times New Roman"/>
          <w:bCs/>
          <w:sz w:val="24"/>
          <w:szCs w:val="24"/>
        </w:rPr>
      </w:pPr>
      <w:r w:rsidRPr="009E27B4">
        <w:rPr>
          <w:rFonts w:ascii="Times New Roman" w:hAnsi="Times New Roman"/>
          <w:sz w:val="24"/>
          <w:szCs w:val="24"/>
        </w:rPr>
        <w:t xml:space="preserve">On Oct. 30, 2024, in </w:t>
      </w:r>
      <w:r w:rsidRPr="009E27B4">
        <w:rPr>
          <w:rFonts w:ascii="Times New Roman" w:hAnsi="Times New Roman"/>
          <w:sz w:val="24"/>
          <w:szCs w:val="24"/>
          <w:u w:val="single"/>
        </w:rPr>
        <w:t>State of Iowa v. Ishmael Shabazz Carter</w:t>
      </w:r>
      <w:r w:rsidRPr="009E27B4">
        <w:rPr>
          <w:rFonts w:ascii="Times New Roman" w:hAnsi="Times New Roman"/>
          <w:sz w:val="24"/>
          <w:szCs w:val="24"/>
        </w:rPr>
        <w:t>, the Court of Appeals of Iowa held (3 to 0):  “A defendant challenges the sufficiency of the evidence supporting his</w:t>
      </w:r>
      <w:r>
        <w:rPr>
          <w:rFonts w:ascii="Times New Roman" w:hAnsi="Times New Roman"/>
          <w:sz w:val="24"/>
          <w:szCs w:val="24"/>
        </w:rPr>
        <w:t xml:space="preserve"> </w:t>
      </w:r>
      <w:r w:rsidRPr="009E27B4">
        <w:rPr>
          <w:rFonts w:ascii="Times New Roman" w:hAnsi="Times New Roman"/>
          <w:sz w:val="24"/>
          <w:szCs w:val="24"/>
        </w:rPr>
        <w:t>convictions for arson in the first degree and five counts of attempted murder.</w:t>
      </w:r>
      <w:r>
        <w:rPr>
          <w:rFonts w:ascii="Times New Roman" w:hAnsi="Times New Roman"/>
          <w:sz w:val="24"/>
          <w:szCs w:val="24"/>
        </w:rPr>
        <w:t xml:space="preserve"> </w:t>
      </w:r>
      <w:r w:rsidRPr="009E27B4">
        <w:rPr>
          <w:rFonts w:ascii="Times New Roman" w:hAnsi="Times New Roman"/>
          <w:sz w:val="24"/>
          <w:szCs w:val="24"/>
        </w:rPr>
        <w:t xml:space="preserve">AFFIRMED.” </w:t>
      </w:r>
      <w:hyperlink r:id="rId112" w:history="1">
        <w:r w:rsidRPr="009E27B4">
          <w:rPr>
            <w:rStyle w:val="Hyperlink"/>
            <w:rFonts w:ascii="Times New Roman" w:hAnsi="Times New Roman"/>
            <w:sz w:val="24"/>
            <w:szCs w:val="24"/>
          </w:rPr>
          <w:t>https://cases.justia.com/iowa/court-of-appeals/2024-23-0625.pdf?ts=1730301434</w:t>
        </w:r>
      </w:hyperlink>
      <w:r w:rsidRPr="009E27B4">
        <w:rPr>
          <w:rFonts w:ascii="Times New Roman" w:hAnsi="Times New Roman"/>
          <w:sz w:val="24"/>
          <w:szCs w:val="24"/>
        </w:rPr>
        <w:t xml:space="preserve"> </w:t>
      </w:r>
    </w:p>
    <w:p w14:paraId="30A20F43" w14:textId="77777777" w:rsidR="009E27B4" w:rsidRDefault="009E27B4" w:rsidP="009E27B4">
      <w:pPr>
        <w:pStyle w:val="NoSpacing"/>
      </w:pPr>
    </w:p>
    <w:p w14:paraId="42C7DC4B" w14:textId="77777777" w:rsidR="00113436" w:rsidRPr="00113436" w:rsidRDefault="00113436" w:rsidP="00113436">
      <w:pPr>
        <w:pStyle w:val="NoSpacing"/>
        <w:rPr>
          <w:rFonts w:ascii="Times New Roman" w:hAnsi="Times New Roman"/>
          <w:b/>
          <w:bCs/>
          <w:sz w:val="24"/>
          <w:szCs w:val="24"/>
        </w:rPr>
      </w:pPr>
      <w:r w:rsidRPr="00113436">
        <w:rPr>
          <w:rFonts w:ascii="Times New Roman" w:hAnsi="Times New Roman"/>
          <w:b/>
          <w:sz w:val="24"/>
          <w:szCs w:val="24"/>
        </w:rPr>
        <w:t xml:space="preserve">Legal Lesson Learned: Circumstantial evidence can support </w:t>
      </w:r>
      <w:proofErr w:type="gramStart"/>
      <w:r w:rsidRPr="00113436">
        <w:rPr>
          <w:rFonts w:ascii="Times New Roman" w:hAnsi="Times New Roman"/>
          <w:b/>
          <w:sz w:val="24"/>
          <w:szCs w:val="24"/>
        </w:rPr>
        <w:t>an arson</w:t>
      </w:r>
      <w:proofErr w:type="gramEnd"/>
      <w:r w:rsidRPr="00113436">
        <w:rPr>
          <w:rFonts w:ascii="Times New Roman" w:hAnsi="Times New Roman"/>
          <w:b/>
          <w:sz w:val="24"/>
          <w:szCs w:val="24"/>
        </w:rPr>
        <w:t xml:space="preserve"> conviction.</w:t>
      </w:r>
    </w:p>
    <w:p w14:paraId="70A84787" w14:textId="77777777" w:rsidR="009E27B4" w:rsidRDefault="009E27B4" w:rsidP="00B86628">
      <w:pPr>
        <w:pStyle w:val="NoSpacing"/>
        <w:rPr>
          <w:rFonts w:ascii="Arial Black" w:hAnsi="Arial Black"/>
          <w:sz w:val="24"/>
          <w:szCs w:val="24"/>
        </w:rPr>
      </w:pPr>
    </w:p>
    <w:p w14:paraId="6917EB72" w14:textId="77777777" w:rsidR="00C437E2" w:rsidRDefault="00C437E2" w:rsidP="00B86628">
      <w:pPr>
        <w:pStyle w:val="NoSpacing"/>
        <w:rPr>
          <w:rFonts w:ascii="Arial Black" w:hAnsi="Arial Black"/>
          <w:sz w:val="24"/>
          <w:szCs w:val="24"/>
        </w:rPr>
      </w:pPr>
    </w:p>
    <w:p w14:paraId="78094416" w14:textId="77777777" w:rsidR="00CE10E8" w:rsidRDefault="00CE10E8" w:rsidP="00B86628">
      <w:pPr>
        <w:pStyle w:val="NoSpacing"/>
        <w:rPr>
          <w:rFonts w:ascii="Arial Black" w:hAnsi="Arial Black"/>
          <w:sz w:val="24"/>
          <w:szCs w:val="24"/>
        </w:rPr>
      </w:pPr>
    </w:p>
    <w:p w14:paraId="2E354ABD" w14:textId="77777777" w:rsidR="00CE10E8" w:rsidRDefault="00CE10E8" w:rsidP="00B86628">
      <w:pPr>
        <w:pStyle w:val="NoSpacing"/>
        <w:rPr>
          <w:rFonts w:ascii="Arial Black" w:hAnsi="Arial Black"/>
          <w:sz w:val="24"/>
          <w:szCs w:val="24"/>
        </w:rPr>
      </w:pPr>
    </w:p>
    <w:p w14:paraId="400A1E27" w14:textId="16860332" w:rsidR="005C09B0" w:rsidRDefault="00C437E2" w:rsidP="00B86628">
      <w:pPr>
        <w:pStyle w:val="NoSpacing"/>
        <w:rPr>
          <w:rFonts w:ascii="Arial Black" w:hAnsi="Arial Black"/>
          <w:sz w:val="24"/>
          <w:szCs w:val="24"/>
        </w:rPr>
      </w:pPr>
      <w:r>
        <w:rPr>
          <w:rFonts w:ascii="Arial Black" w:hAnsi="Arial Black"/>
          <w:sz w:val="24"/>
          <w:szCs w:val="24"/>
        </w:rPr>
        <w:t>1-16</w:t>
      </w:r>
      <w:r w:rsidR="006F4352">
        <w:rPr>
          <w:rFonts w:ascii="Arial Black" w:hAnsi="Arial Black"/>
          <w:sz w:val="24"/>
          <w:szCs w:val="24"/>
        </w:rPr>
        <w:t>3</w:t>
      </w:r>
    </w:p>
    <w:p w14:paraId="3FE99A9C" w14:textId="77777777" w:rsidR="00C437E2" w:rsidRDefault="00C437E2" w:rsidP="00B86628">
      <w:pPr>
        <w:pStyle w:val="NoSpacing"/>
        <w:rPr>
          <w:rFonts w:ascii="Arial Black" w:hAnsi="Arial Black"/>
          <w:sz w:val="24"/>
          <w:szCs w:val="24"/>
        </w:rPr>
      </w:pPr>
    </w:p>
    <w:p w14:paraId="747B8A41" w14:textId="77777777" w:rsidR="005D2B81" w:rsidRPr="00CE10E8" w:rsidRDefault="005D2B81" w:rsidP="005D2B81">
      <w:pPr>
        <w:rPr>
          <w:rFonts w:ascii="Arial Black" w:hAnsi="Arial Black"/>
          <w:b/>
          <w:sz w:val="28"/>
          <w:szCs w:val="28"/>
        </w:rPr>
      </w:pPr>
      <w:r w:rsidRPr="00CE10E8">
        <w:rPr>
          <w:rFonts w:ascii="Arial Black" w:hAnsi="Arial Black"/>
          <w:b/>
          <w:sz w:val="28"/>
          <w:szCs w:val="28"/>
        </w:rPr>
        <w:t>OH:  OBSTRUCTION OF OFFICIAL BUSINESS - FIRE OUT OF CONTROL IN FRONT HER HOME – THREATENED FIRE CHIEF</w:t>
      </w:r>
    </w:p>
    <w:p w14:paraId="4273DEB1" w14:textId="77777777" w:rsidR="005D2B81" w:rsidRPr="005D2B81" w:rsidRDefault="005D2B81" w:rsidP="005D2B81">
      <w:pPr>
        <w:rPr>
          <w:rFonts w:ascii="Times New Roman" w:hAnsi="Times New Roman"/>
        </w:rPr>
      </w:pPr>
      <w:r w:rsidRPr="005D2B81">
        <w:rPr>
          <w:rFonts w:ascii="Times New Roman" w:hAnsi="Times New Roman"/>
          <w:sz w:val="24"/>
          <w:szCs w:val="24"/>
        </w:rPr>
        <w:t xml:space="preserve">On Oct. 25, </w:t>
      </w:r>
      <w:proofErr w:type="gramStart"/>
      <w:r w:rsidRPr="005D2B81">
        <w:rPr>
          <w:rFonts w:ascii="Times New Roman" w:hAnsi="Times New Roman"/>
          <w:sz w:val="24"/>
          <w:szCs w:val="24"/>
        </w:rPr>
        <w:t>2024</w:t>
      </w:r>
      <w:proofErr w:type="gramEnd"/>
      <w:r w:rsidRPr="005D2B81">
        <w:rPr>
          <w:rFonts w:ascii="Times New Roman" w:hAnsi="Times New Roman"/>
          <w:sz w:val="24"/>
          <w:szCs w:val="24"/>
        </w:rPr>
        <w:t xml:space="preserve"> in </w:t>
      </w:r>
      <w:r w:rsidRPr="005D2B81">
        <w:rPr>
          <w:rFonts w:ascii="Times New Roman" w:hAnsi="Times New Roman"/>
          <w:sz w:val="24"/>
          <w:szCs w:val="24"/>
          <w:u w:val="single"/>
        </w:rPr>
        <w:t>State of Ohio v. Jasmine A. Anderson</w:t>
      </w:r>
      <w:r w:rsidRPr="005D2B81">
        <w:rPr>
          <w:rFonts w:ascii="Times New Roman" w:hAnsi="Times New Roman"/>
          <w:sz w:val="24"/>
          <w:szCs w:val="24"/>
        </w:rPr>
        <w:t xml:space="preserve">, the Ohio Court of Appeals, Seventh Appellate District, Belmont County, held (3 to 0) “Appellant Jasmine A. Anderson argues that her conviction for obstruction of official business was against the sufficiency and manifest weight of the evidence. *** Appellant’s assignment of error is without merit, and her conviction and sentence are affirmed. *** The court sentenced Appellant to 90 days in jail and court costs, with credit for 10 days.” </w:t>
      </w:r>
      <w:hyperlink r:id="rId113" w:history="1">
        <w:r w:rsidRPr="005D2B81">
          <w:rPr>
            <w:rStyle w:val="Hyperlink"/>
            <w:rFonts w:ascii="Times New Roman" w:hAnsi="Times New Roman"/>
            <w:sz w:val="24"/>
            <w:szCs w:val="24"/>
          </w:rPr>
          <w:t>https://cases.justia.com/ohio/seventh-district-court-of-appeals/2024-24-be-0004.pdf?ts=1730297340</w:t>
        </w:r>
      </w:hyperlink>
      <w:r w:rsidRPr="005D2B81">
        <w:rPr>
          <w:rFonts w:ascii="Times New Roman" w:hAnsi="Times New Roman"/>
        </w:rPr>
        <w:t xml:space="preserve"> </w:t>
      </w:r>
    </w:p>
    <w:p w14:paraId="38E9E2B1" w14:textId="77777777" w:rsidR="00E81DD1" w:rsidRPr="00BD3A19" w:rsidRDefault="00E81DD1" w:rsidP="00E81DD1">
      <w:pPr>
        <w:rPr>
          <w:b/>
          <w:bCs/>
        </w:rPr>
      </w:pPr>
      <w:r w:rsidRPr="00E81DD1">
        <w:rPr>
          <w:b/>
          <w:sz w:val="24"/>
          <w:szCs w:val="24"/>
        </w:rPr>
        <w:t>Legal Lesson Learned: Threatening words may constitute obstruction of official business</w:t>
      </w:r>
      <w:r w:rsidRPr="00517201">
        <w:rPr>
          <w:b/>
        </w:rPr>
        <w:t>.</w:t>
      </w:r>
    </w:p>
    <w:p w14:paraId="4DACAD27" w14:textId="77777777" w:rsidR="005D2B81" w:rsidRPr="005D2B81" w:rsidRDefault="005D2B81" w:rsidP="00B86628">
      <w:pPr>
        <w:pStyle w:val="NoSpacing"/>
        <w:rPr>
          <w:rFonts w:ascii="Times New Roman" w:hAnsi="Times New Roman"/>
          <w:sz w:val="24"/>
          <w:szCs w:val="24"/>
        </w:rPr>
      </w:pPr>
    </w:p>
    <w:p w14:paraId="6357AB61" w14:textId="77777777" w:rsidR="00C437E2" w:rsidRDefault="00C437E2" w:rsidP="00B86628">
      <w:pPr>
        <w:pStyle w:val="NoSpacing"/>
        <w:rPr>
          <w:rFonts w:ascii="Arial Black" w:hAnsi="Arial Black"/>
          <w:sz w:val="24"/>
          <w:szCs w:val="24"/>
        </w:rPr>
      </w:pPr>
    </w:p>
    <w:p w14:paraId="590ADA05" w14:textId="1FF9BD86" w:rsidR="005C09B0" w:rsidRDefault="00C437E2" w:rsidP="00B86628">
      <w:pPr>
        <w:pStyle w:val="NoSpacing"/>
        <w:rPr>
          <w:rFonts w:ascii="Arial Black" w:hAnsi="Arial Black"/>
          <w:sz w:val="24"/>
          <w:szCs w:val="24"/>
        </w:rPr>
      </w:pPr>
      <w:r>
        <w:rPr>
          <w:rFonts w:ascii="Arial Black" w:hAnsi="Arial Black"/>
          <w:sz w:val="24"/>
          <w:szCs w:val="24"/>
        </w:rPr>
        <w:t>1-1</w:t>
      </w:r>
      <w:r w:rsidR="006F4352">
        <w:rPr>
          <w:rFonts w:ascii="Arial Black" w:hAnsi="Arial Black"/>
          <w:sz w:val="24"/>
          <w:szCs w:val="24"/>
        </w:rPr>
        <w:t>62</w:t>
      </w:r>
    </w:p>
    <w:p w14:paraId="4096FC4A" w14:textId="77777777" w:rsidR="00E81DD1" w:rsidRDefault="00E81DD1" w:rsidP="00B86628">
      <w:pPr>
        <w:pStyle w:val="NoSpacing"/>
        <w:rPr>
          <w:rFonts w:ascii="Arial Black" w:hAnsi="Arial Black"/>
          <w:sz w:val="24"/>
          <w:szCs w:val="24"/>
        </w:rPr>
      </w:pPr>
    </w:p>
    <w:p w14:paraId="4DAAFBE9" w14:textId="77777777" w:rsidR="004A436F" w:rsidRPr="00CE10E8" w:rsidRDefault="004A436F" w:rsidP="004A436F">
      <w:pPr>
        <w:rPr>
          <w:rFonts w:ascii="Arial Black" w:hAnsi="Arial Black"/>
          <w:b/>
          <w:bCs/>
          <w:sz w:val="28"/>
          <w:szCs w:val="28"/>
        </w:rPr>
      </w:pPr>
      <w:r w:rsidRPr="00CE10E8">
        <w:rPr>
          <w:rFonts w:ascii="Arial Black" w:hAnsi="Arial Black"/>
          <w:b/>
          <w:bCs/>
          <w:sz w:val="28"/>
          <w:szCs w:val="28"/>
        </w:rPr>
        <w:t>PA: ARSON – HIS CELL PHONE RECORDS SHOW AT HOME TIME FIRE – GETTING DIVORCE – 7.5-15 MONTHS / $369K</w:t>
      </w:r>
    </w:p>
    <w:p w14:paraId="338EF79B" w14:textId="77777777" w:rsidR="004A436F" w:rsidRPr="004A436F" w:rsidRDefault="004A436F" w:rsidP="004A436F">
      <w:pPr>
        <w:pStyle w:val="NoSpacing"/>
        <w:rPr>
          <w:rFonts w:ascii="Times New Roman" w:hAnsi="Times New Roman"/>
          <w:sz w:val="24"/>
          <w:szCs w:val="24"/>
        </w:rPr>
      </w:pPr>
      <w:r w:rsidRPr="004A436F">
        <w:rPr>
          <w:rFonts w:ascii="Times New Roman" w:hAnsi="Times New Roman"/>
          <w:sz w:val="24"/>
          <w:szCs w:val="24"/>
        </w:rPr>
        <w:t xml:space="preserve">Oct. 21, </w:t>
      </w:r>
      <w:proofErr w:type="gramStart"/>
      <w:r w:rsidRPr="004A436F">
        <w:rPr>
          <w:rFonts w:ascii="Times New Roman" w:hAnsi="Times New Roman"/>
          <w:sz w:val="24"/>
          <w:szCs w:val="24"/>
        </w:rPr>
        <w:t>2024</w:t>
      </w:r>
      <w:proofErr w:type="gramEnd"/>
      <w:r w:rsidRPr="004A436F">
        <w:rPr>
          <w:rFonts w:ascii="Times New Roman" w:hAnsi="Times New Roman"/>
          <w:sz w:val="24"/>
          <w:szCs w:val="24"/>
        </w:rPr>
        <w:t xml:space="preserve"> in </w:t>
      </w:r>
      <w:r w:rsidRPr="004A436F">
        <w:rPr>
          <w:rFonts w:ascii="Times New Roman" w:hAnsi="Times New Roman"/>
          <w:sz w:val="24"/>
          <w:szCs w:val="24"/>
          <w:u w:val="single"/>
        </w:rPr>
        <w:t>Commonwealth of Pennsylvania v. Sherman E. Lowry</w:t>
      </w:r>
      <w:r w:rsidRPr="004A436F">
        <w:rPr>
          <w:rFonts w:ascii="Times New Roman" w:hAnsi="Times New Roman"/>
          <w:sz w:val="24"/>
          <w:szCs w:val="24"/>
        </w:rPr>
        <w:t xml:space="preserve">, the Superior Court of Pennsylvania held (3 to 0; non-precedential decision): “The evidence was sufficient for the jury to conclude that the fire was set by Appellant and that he did it intentionally, causing the damage that resulted.” </w:t>
      </w:r>
      <w:hyperlink r:id="rId114" w:history="1">
        <w:r w:rsidRPr="004A436F">
          <w:rPr>
            <w:rStyle w:val="Hyperlink"/>
            <w:rFonts w:ascii="Times New Roman" w:hAnsi="Times New Roman"/>
            <w:sz w:val="24"/>
            <w:szCs w:val="24"/>
          </w:rPr>
          <w:t>https://cases.justia.com/pennsylvania/superior-court/2024-1034-mda-2023.pdf?ts=1729535164</w:t>
        </w:r>
      </w:hyperlink>
      <w:r w:rsidRPr="004A436F">
        <w:rPr>
          <w:rFonts w:ascii="Times New Roman" w:hAnsi="Times New Roman"/>
          <w:sz w:val="24"/>
          <w:szCs w:val="24"/>
        </w:rPr>
        <w:t xml:space="preserve"> </w:t>
      </w:r>
    </w:p>
    <w:p w14:paraId="32BC5AC3" w14:textId="77777777" w:rsidR="00E81DD1" w:rsidRDefault="00E81DD1" w:rsidP="00B86628">
      <w:pPr>
        <w:pStyle w:val="NoSpacing"/>
        <w:rPr>
          <w:rFonts w:ascii="Arial Black" w:hAnsi="Arial Black"/>
          <w:sz w:val="24"/>
          <w:szCs w:val="24"/>
        </w:rPr>
      </w:pPr>
    </w:p>
    <w:p w14:paraId="5615005E" w14:textId="77777777" w:rsidR="001D6E51" w:rsidRPr="001D6E51" w:rsidRDefault="001D6E51" w:rsidP="001D6E51">
      <w:pPr>
        <w:pStyle w:val="NoSpacing"/>
        <w:rPr>
          <w:rFonts w:ascii="Times New Roman" w:hAnsi="Times New Roman"/>
          <w:b/>
          <w:bCs/>
          <w:sz w:val="24"/>
          <w:szCs w:val="24"/>
        </w:rPr>
      </w:pPr>
      <w:r w:rsidRPr="001D6E51">
        <w:rPr>
          <w:rFonts w:ascii="Times New Roman" w:hAnsi="Times New Roman"/>
          <w:b/>
          <w:sz w:val="24"/>
          <w:szCs w:val="24"/>
        </w:rPr>
        <w:t xml:space="preserve">Legal Lesson Learned: Cell phone data placed defendant at the scene of the fire.  A search warrant for cell phone records is a powerful investigative tool. </w:t>
      </w:r>
    </w:p>
    <w:p w14:paraId="3DE6CD22" w14:textId="77777777" w:rsidR="00E81DD1" w:rsidRDefault="00E81DD1" w:rsidP="00B86628">
      <w:pPr>
        <w:pStyle w:val="NoSpacing"/>
        <w:rPr>
          <w:rFonts w:ascii="Arial Black" w:hAnsi="Arial Black"/>
          <w:sz w:val="24"/>
          <w:szCs w:val="24"/>
        </w:rPr>
      </w:pPr>
    </w:p>
    <w:p w14:paraId="202309DE" w14:textId="77777777" w:rsidR="00CE10E8" w:rsidRDefault="00CE10E8" w:rsidP="00B86628">
      <w:pPr>
        <w:pStyle w:val="NoSpacing"/>
        <w:rPr>
          <w:rFonts w:ascii="Arial Black" w:hAnsi="Arial Black"/>
          <w:sz w:val="24"/>
          <w:szCs w:val="24"/>
        </w:rPr>
      </w:pPr>
    </w:p>
    <w:p w14:paraId="063DFDF7" w14:textId="0CB1E822" w:rsidR="005C09B0" w:rsidRDefault="005C09B0" w:rsidP="00B86628">
      <w:pPr>
        <w:pStyle w:val="NoSpacing"/>
        <w:rPr>
          <w:rFonts w:ascii="Arial Black" w:hAnsi="Arial Black"/>
          <w:sz w:val="24"/>
          <w:szCs w:val="24"/>
        </w:rPr>
      </w:pPr>
      <w:r>
        <w:rPr>
          <w:rFonts w:ascii="Arial Black" w:hAnsi="Arial Black"/>
          <w:sz w:val="24"/>
          <w:szCs w:val="24"/>
        </w:rPr>
        <w:t>1-16</w:t>
      </w:r>
      <w:r w:rsidR="006F4352">
        <w:rPr>
          <w:rFonts w:ascii="Arial Black" w:hAnsi="Arial Black"/>
          <w:sz w:val="24"/>
          <w:szCs w:val="24"/>
        </w:rPr>
        <w:t>1</w:t>
      </w:r>
    </w:p>
    <w:p w14:paraId="4BEDD57A" w14:textId="77777777" w:rsidR="005C09B0" w:rsidRDefault="005C09B0" w:rsidP="00B86628">
      <w:pPr>
        <w:pStyle w:val="NoSpacing"/>
        <w:rPr>
          <w:rFonts w:ascii="Arial Black" w:hAnsi="Arial Black"/>
          <w:sz w:val="24"/>
          <w:szCs w:val="24"/>
        </w:rPr>
      </w:pPr>
    </w:p>
    <w:p w14:paraId="4E8BB654" w14:textId="77777777" w:rsidR="009F234F" w:rsidRPr="00CE10E8" w:rsidRDefault="009F234F" w:rsidP="009F234F">
      <w:pPr>
        <w:pStyle w:val="NoSpacing"/>
        <w:rPr>
          <w:rFonts w:ascii="Arial Black" w:hAnsi="Arial Black"/>
          <w:b/>
          <w:bCs/>
          <w:sz w:val="28"/>
          <w:szCs w:val="28"/>
        </w:rPr>
      </w:pPr>
      <w:r w:rsidRPr="00CE10E8">
        <w:rPr>
          <w:rFonts w:ascii="Arial Black" w:hAnsi="Arial Black"/>
          <w:b/>
          <w:bCs/>
          <w:sz w:val="28"/>
          <w:szCs w:val="28"/>
        </w:rPr>
        <w:t>AR: ARSON – TRUCK FIRE – DEF. CONV. ARSON OF “OCCUPIED STRUCTURE” – INCLUDES A VEHICLE – 35 YRS</w:t>
      </w:r>
    </w:p>
    <w:p w14:paraId="60DE8104" w14:textId="77777777" w:rsidR="009F234F" w:rsidRPr="006F4352" w:rsidRDefault="009F234F" w:rsidP="009F234F">
      <w:pPr>
        <w:pStyle w:val="NoSpacing"/>
        <w:rPr>
          <w:rFonts w:ascii="Times New Roman" w:hAnsi="Times New Roman"/>
          <w:sz w:val="24"/>
          <w:szCs w:val="24"/>
        </w:rPr>
      </w:pPr>
    </w:p>
    <w:p w14:paraId="530861C0" w14:textId="77777777" w:rsidR="009F234F" w:rsidRPr="006F4352" w:rsidRDefault="009F234F" w:rsidP="009F234F">
      <w:pPr>
        <w:pStyle w:val="NoSpacing"/>
        <w:rPr>
          <w:rFonts w:ascii="Times New Roman" w:hAnsi="Times New Roman"/>
          <w:sz w:val="24"/>
          <w:szCs w:val="24"/>
        </w:rPr>
      </w:pPr>
      <w:r w:rsidRPr="006F4352">
        <w:rPr>
          <w:rFonts w:ascii="Times New Roman" w:hAnsi="Times New Roman"/>
          <w:sz w:val="24"/>
          <w:szCs w:val="24"/>
        </w:rPr>
        <w:t xml:space="preserve">On Sept. 17, 2024 in </w:t>
      </w:r>
      <w:r w:rsidRPr="006F4352">
        <w:rPr>
          <w:rFonts w:ascii="Times New Roman" w:hAnsi="Times New Roman"/>
          <w:sz w:val="24"/>
          <w:szCs w:val="24"/>
          <w:u w:val="single"/>
        </w:rPr>
        <w:t>State of Arizona v. Edwardo Serrato, III</w:t>
      </w:r>
      <w:r w:rsidRPr="006F4352">
        <w:rPr>
          <w:rFonts w:ascii="Times New Roman" w:hAnsi="Times New Roman"/>
          <w:sz w:val="24"/>
          <w:szCs w:val="24"/>
        </w:rPr>
        <w:t>, the Court of Appeals of Arizona, Division 1, held (3 to 0): “Edwardo Serrato, III appeals his conviction and sentence for arson of an occupied structure.</w:t>
      </w:r>
      <w:hyperlink r:id="rId115" w:anchor="footnote_1" w:history="1">
        <w:r w:rsidRPr="006F4352">
          <w:rPr>
            <w:rStyle w:val="Hyperlink"/>
            <w:rFonts w:ascii="Times New Roman" w:hAnsi="Times New Roman"/>
            <w:sz w:val="24"/>
            <w:szCs w:val="24"/>
            <w:vertAlign w:val="superscript"/>
          </w:rPr>
          <w:t>1</w:t>
        </w:r>
      </w:hyperlink>
      <w:r w:rsidRPr="006F4352">
        <w:rPr>
          <w:rFonts w:ascii="Times New Roman" w:hAnsi="Times New Roman"/>
          <w:sz w:val="24"/>
          <w:szCs w:val="24"/>
        </w:rPr>
        <w:t xml:space="preserve"> He argues that the vehicle subject to the arson was not occupied because there was no proof that anyone else was inside or in the vicinity of the vehicle that burned. We address whether a defendant's presence alone is sufficient to find a structure is occupied. We hold that it is. Accordingly, we affirm.”  </w:t>
      </w:r>
      <w:hyperlink r:id="rId116" w:history="1">
        <w:r w:rsidRPr="006F4352">
          <w:rPr>
            <w:rStyle w:val="Hyperlink"/>
            <w:rFonts w:ascii="Times New Roman" w:hAnsi="Times New Roman"/>
            <w:sz w:val="24"/>
            <w:szCs w:val="24"/>
          </w:rPr>
          <w:t>https://caselaw.findlaw.com/court/az-court-of-appeals/116575227.html</w:t>
        </w:r>
      </w:hyperlink>
      <w:r w:rsidRPr="006F4352">
        <w:rPr>
          <w:rFonts w:ascii="Times New Roman" w:hAnsi="Times New Roman"/>
          <w:sz w:val="24"/>
          <w:szCs w:val="24"/>
        </w:rPr>
        <w:t xml:space="preserve"> </w:t>
      </w:r>
    </w:p>
    <w:p w14:paraId="6146A567" w14:textId="77777777" w:rsidR="006F4352" w:rsidRPr="006F4352" w:rsidRDefault="006F4352" w:rsidP="006F4352">
      <w:pPr>
        <w:pStyle w:val="NoSpacing"/>
        <w:rPr>
          <w:rFonts w:ascii="Times New Roman" w:hAnsi="Times New Roman"/>
          <w:b/>
          <w:sz w:val="24"/>
          <w:szCs w:val="24"/>
        </w:rPr>
      </w:pPr>
    </w:p>
    <w:p w14:paraId="746D8E24" w14:textId="4186891B" w:rsidR="006F4352" w:rsidRPr="006F4352" w:rsidRDefault="006F4352" w:rsidP="006F4352">
      <w:pPr>
        <w:pStyle w:val="NoSpacing"/>
        <w:rPr>
          <w:rStyle w:val="Hyperlink"/>
          <w:rFonts w:ascii="Times New Roman" w:hAnsi="Times New Roman"/>
          <w:sz w:val="24"/>
          <w:szCs w:val="24"/>
        </w:rPr>
      </w:pPr>
      <w:r w:rsidRPr="006F4352">
        <w:rPr>
          <w:rFonts w:ascii="Times New Roman" w:hAnsi="Times New Roman"/>
          <w:b/>
          <w:sz w:val="24"/>
          <w:szCs w:val="24"/>
        </w:rPr>
        <w:t xml:space="preserve">Legal Lesson Learned: </w:t>
      </w:r>
      <w:r w:rsidRPr="006F4352">
        <w:rPr>
          <w:rFonts w:ascii="Times New Roman" w:hAnsi="Times New Roman"/>
          <w:b/>
          <w:bCs/>
          <w:sz w:val="24"/>
          <w:szCs w:val="24"/>
        </w:rPr>
        <w:t xml:space="preserve">Arizona has broadly defined </w:t>
      </w:r>
      <w:r w:rsidRPr="006F4352">
        <w:rPr>
          <w:rFonts w:ascii="Times New Roman" w:hAnsi="Times New Roman"/>
          <w:b/>
          <w:sz w:val="24"/>
          <w:szCs w:val="24"/>
        </w:rPr>
        <w:t xml:space="preserve">“occupied structure” </w:t>
      </w:r>
      <w:r w:rsidRPr="006F4352">
        <w:rPr>
          <w:rFonts w:ascii="Times New Roman" w:hAnsi="Times New Roman"/>
          <w:b/>
          <w:bCs/>
          <w:sz w:val="24"/>
          <w:szCs w:val="24"/>
        </w:rPr>
        <w:t xml:space="preserve">in its arson statute. </w:t>
      </w:r>
    </w:p>
    <w:p w14:paraId="20799732" w14:textId="77777777" w:rsidR="001D6E51" w:rsidRPr="006F4352" w:rsidRDefault="001D6E51" w:rsidP="00B86628">
      <w:pPr>
        <w:pStyle w:val="NoSpacing"/>
        <w:rPr>
          <w:rFonts w:ascii="Times New Roman" w:hAnsi="Times New Roman"/>
          <w:sz w:val="24"/>
          <w:szCs w:val="24"/>
        </w:rPr>
      </w:pPr>
    </w:p>
    <w:p w14:paraId="5DC7E058" w14:textId="77777777" w:rsidR="001D6E51" w:rsidRDefault="001D6E51" w:rsidP="00B86628">
      <w:pPr>
        <w:pStyle w:val="NoSpacing"/>
        <w:rPr>
          <w:rFonts w:ascii="Arial Black" w:hAnsi="Arial Black"/>
          <w:sz w:val="24"/>
          <w:szCs w:val="24"/>
        </w:rPr>
      </w:pPr>
    </w:p>
    <w:p w14:paraId="7C264D84" w14:textId="77777777" w:rsidR="00CE10E8" w:rsidRDefault="00CE10E8" w:rsidP="00B86628">
      <w:pPr>
        <w:pStyle w:val="NoSpacing"/>
        <w:rPr>
          <w:rFonts w:ascii="Arial Black" w:hAnsi="Arial Black"/>
          <w:sz w:val="24"/>
          <w:szCs w:val="24"/>
        </w:rPr>
      </w:pPr>
    </w:p>
    <w:p w14:paraId="24A4AC18" w14:textId="69B5BD26" w:rsidR="001D6E51" w:rsidRDefault="00F567E0" w:rsidP="00B86628">
      <w:pPr>
        <w:pStyle w:val="NoSpacing"/>
        <w:rPr>
          <w:rFonts w:ascii="Arial Black" w:hAnsi="Arial Black"/>
          <w:sz w:val="24"/>
          <w:szCs w:val="24"/>
        </w:rPr>
      </w:pPr>
      <w:r>
        <w:rPr>
          <w:rFonts w:ascii="Arial Black" w:hAnsi="Arial Black"/>
          <w:sz w:val="24"/>
          <w:szCs w:val="24"/>
        </w:rPr>
        <w:t>1-160</w:t>
      </w:r>
    </w:p>
    <w:p w14:paraId="0BEB36D5" w14:textId="77777777" w:rsidR="00F567E0" w:rsidRDefault="00F567E0" w:rsidP="00B86628">
      <w:pPr>
        <w:pStyle w:val="NoSpacing"/>
        <w:rPr>
          <w:rFonts w:ascii="Arial Black" w:hAnsi="Arial Black"/>
          <w:sz w:val="24"/>
          <w:szCs w:val="24"/>
        </w:rPr>
      </w:pPr>
    </w:p>
    <w:p w14:paraId="25FF336D" w14:textId="77777777" w:rsidR="004A1004" w:rsidRPr="00CE10E8" w:rsidRDefault="004A1004" w:rsidP="004A1004">
      <w:pPr>
        <w:pStyle w:val="NoSpacing"/>
        <w:rPr>
          <w:rFonts w:ascii="Arial Black" w:hAnsi="Arial Black"/>
          <w:b/>
          <w:bCs/>
          <w:sz w:val="28"/>
          <w:szCs w:val="28"/>
        </w:rPr>
      </w:pPr>
      <w:r w:rsidRPr="00CE10E8">
        <w:rPr>
          <w:rFonts w:ascii="Arial Black" w:hAnsi="Arial Black"/>
          <w:b/>
          <w:bCs/>
          <w:sz w:val="28"/>
          <w:szCs w:val="28"/>
        </w:rPr>
        <w:t>MN: ARSON – SET FIRE IN HIS KITCHEN &amp; LIVING ROOM – TO “SECURE TRIP TO JAIL” – NO PROBATION - 48 MONTHS</w:t>
      </w:r>
    </w:p>
    <w:p w14:paraId="4A64B516" w14:textId="77777777" w:rsidR="004A1004" w:rsidRPr="00290B7D" w:rsidRDefault="004A1004" w:rsidP="004A1004">
      <w:pPr>
        <w:pStyle w:val="NoSpacing"/>
        <w:rPr>
          <w:rFonts w:ascii="Times New Roman" w:hAnsi="Times New Roman"/>
          <w:sz w:val="24"/>
          <w:szCs w:val="24"/>
        </w:rPr>
      </w:pPr>
    </w:p>
    <w:p w14:paraId="1483FAB1" w14:textId="77777777" w:rsidR="004A1004" w:rsidRPr="00290B7D" w:rsidRDefault="004A1004" w:rsidP="004A1004">
      <w:pPr>
        <w:pStyle w:val="NoSpacing"/>
        <w:rPr>
          <w:rFonts w:ascii="Times New Roman" w:hAnsi="Times New Roman"/>
          <w:sz w:val="24"/>
          <w:szCs w:val="24"/>
        </w:rPr>
      </w:pPr>
      <w:r w:rsidRPr="00290B7D">
        <w:rPr>
          <w:rFonts w:ascii="Times New Roman" w:hAnsi="Times New Roman"/>
          <w:sz w:val="24"/>
          <w:szCs w:val="24"/>
        </w:rPr>
        <w:t xml:space="preserve">On Sept. 16, 2024, in </w:t>
      </w:r>
      <w:r w:rsidRPr="00290B7D">
        <w:rPr>
          <w:rFonts w:ascii="Times New Roman" w:hAnsi="Times New Roman"/>
          <w:sz w:val="24"/>
          <w:szCs w:val="24"/>
          <w:u w:val="single"/>
        </w:rPr>
        <w:t>State of Minnesota v. Hunter Steven Hipp</w:t>
      </w:r>
      <w:r w:rsidRPr="00290B7D">
        <w:rPr>
          <w:rFonts w:ascii="Times New Roman" w:hAnsi="Times New Roman"/>
          <w:sz w:val="24"/>
          <w:szCs w:val="24"/>
        </w:rPr>
        <w:t>, the Minnesota Court of Appeals held (3 to 0) “Hunter Hipp pleaded guilty to first-degree arson after intentionally setting fires in</w:t>
      </w:r>
    </w:p>
    <w:p w14:paraId="263508C8" w14:textId="77777777" w:rsidR="004A1004" w:rsidRPr="00290B7D" w:rsidRDefault="004A1004" w:rsidP="004A1004">
      <w:pPr>
        <w:pStyle w:val="NoSpacing"/>
        <w:rPr>
          <w:rFonts w:ascii="Times New Roman" w:hAnsi="Times New Roman"/>
          <w:sz w:val="24"/>
          <w:szCs w:val="24"/>
        </w:rPr>
      </w:pPr>
      <w:r w:rsidRPr="00290B7D">
        <w:rPr>
          <w:rFonts w:ascii="Times New Roman" w:hAnsi="Times New Roman"/>
          <w:sz w:val="24"/>
          <w:szCs w:val="24"/>
        </w:rPr>
        <w:t>the kitchen and living room of his apartment. He notified the district court in writing of his</w:t>
      </w:r>
    </w:p>
    <w:p w14:paraId="5B9EA823" w14:textId="77777777" w:rsidR="004A1004" w:rsidRPr="00290B7D" w:rsidRDefault="004A1004" w:rsidP="004A1004">
      <w:pPr>
        <w:pStyle w:val="NoSpacing"/>
        <w:rPr>
          <w:rFonts w:ascii="Times New Roman" w:hAnsi="Times New Roman"/>
          <w:sz w:val="24"/>
          <w:szCs w:val="24"/>
        </w:rPr>
      </w:pPr>
      <w:r w:rsidRPr="00290B7D">
        <w:rPr>
          <w:rFonts w:ascii="Times New Roman" w:hAnsi="Times New Roman"/>
          <w:sz w:val="24"/>
          <w:szCs w:val="24"/>
        </w:rPr>
        <w:t>intent to move ‘for a dispositional and/or durational departure from the presumptive</w:t>
      </w:r>
    </w:p>
    <w:p w14:paraId="70A52B7E" w14:textId="77777777" w:rsidR="004A1004" w:rsidRPr="00290B7D" w:rsidRDefault="004A1004" w:rsidP="004A1004">
      <w:pPr>
        <w:pStyle w:val="NoSpacing"/>
        <w:rPr>
          <w:rFonts w:ascii="Times New Roman" w:hAnsi="Times New Roman"/>
          <w:sz w:val="24"/>
          <w:szCs w:val="24"/>
        </w:rPr>
      </w:pPr>
      <w:r w:rsidRPr="00290B7D">
        <w:rPr>
          <w:rFonts w:ascii="Times New Roman" w:hAnsi="Times New Roman"/>
          <w:sz w:val="24"/>
          <w:szCs w:val="24"/>
        </w:rPr>
        <w:t xml:space="preserve">sentence,’ and at sentencing he argued exclusively that he was particularly amenable to </w:t>
      </w:r>
    </w:p>
    <w:p w14:paraId="0B826661" w14:textId="77777777" w:rsidR="004A1004" w:rsidRPr="00290B7D" w:rsidRDefault="004A1004" w:rsidP="004A1004">
      <w:pPr>
        <w:pStyle w:val="NoSpacing"/>
        <w:rPr>
          <w:rFonts w:ascii="Times New Roman" w:hAnsi="Times New Roman"/>
          <w:sz w:val="24"/>
          <w:szCs w:val="24"/>
        </w:rPr>
      </w:pPr>
      <w:r w:rsidRPr="00290B7D">
        <w:rPr>
          <w:rFonts w:ascii="Times New Roman" w:hAnsi="Times New Roman"/>
          <w:sz w:val="24"/>
          <w:szCs w:val="24"/>
        </w:rPr>
        <w:t xml:space="preserve">probation. The district court denied his departure motion. *** We affirm.”  </w:t>
      </w:r>
    </w:p>
    <w:p w14:paraId="249E5668" w14:textId="77777777" w:rsidR="004A1004" w:rsidRPr="00290B7D" w:rsidRDefault="004A1004" w:rsidP="004A1004">
      <w:pPr>
        <w:pStyle w:val="NoSpacing"/>
        <w:rPr>
          <w:rFonts w:ascii="Times New Roman" w:hAnsi="Times New Roman"/>
          <w:sz w:val="24"/>
          <w:szCs w:val="24"/>
        </w:rPr>
      </w:pPr>
      <w:hyperlink r:id="rId117" w:history="1">
        <w:r w:rsidRPr="00290B7D">
          <w:rPr>
            <w:rStyle w:val="Hyperlink"/>
            <w:rFonts w:ascii="Times New Roman" w:hAnsi="Times New Roman"/>
            <w:sz w:val="24"/>
            <w:szCs w:val="24"/>
          </w:rPr>
          <w:t>https://cases.justia.com/minnesota/court-of-appeals/2024-a23-1836.pdf?ts=1726855674</w:t>
        </w:r>
      </w:hyperlink>
      <w:r w:rsidRPr="00290B7D">
        <w:rPr>
          <w:rFonts w:ascii="Times New Roman" w:hAnsi="Times New Roman"/>
          <w:sz w:val="24"/>
          <w:szCs w:val="24"/>
        </w:rPr>
        <w:t xml:space="preserve"> </w:t>
      </w:r>
    </w:p>
    <w:p w14:paraId="692B4F28" w14:textId="77777777" w:rsidR="00F567E0" w:rsidRPr="00290B7D" w:rsidRDefault="00F567E0" w:rsidP="00B86628">
      <w:pPr>
        <w:pStyle w:val="NoSpacing"/>
        <w:rPr>
          <w:rFonts w:ascii="Times New Roman" w:hAnsi="Times New Roman"/>
          <w:sz w:val="24"/>
          <w:szCs w:val="24"/>
        </w:rPr>
      </w:pPr>
    </w:p>
    <w:p w14:paraId="5E9F9035" w14:textId="77777777" w:rsidR="00290B7D" w:rsidRPr="00290B7D" w:rsidRDefault="00290B7D" w:rsidP="00290B7D">
      <w:pPr>
        <w:pStyle w:val="NoSpacing"/>
        <w:rPr>
          <w:rFonts w:ascii="Times New Roman" w:hAnsi="Times New Roman"/>
          <w:b/>
          <w:bCs/>
          <w:sz w:val="24"/>
          <w:szCs w:val="24"/>
        </w:rPr>
      </w:pPr>
      <w:r w:rsidRPr="00290B7D">
        <w:rPr>
          <w:rFonts w:ascii="Times New Roman" w:hAnsi="Times New Roman"/>
          <w:b/>
          <w:sz w:val="24"/>
          <w:szCs w:val="24"/>
        </w:rPr>
        <w:t xml:space="preserve">Legal Lesson Learned: Trial court has discretion in </w:t>
      </w:r>
      <w:r w:rsidRPr="00290B7D">
        <w:rPr>
          <w:rFonts w:ascii="Times New Roman" w:hAnsi="Times New Roman"/>
          <w:b/>
          <w:bCs/>
          <w:sz w:val="24"/>
          <w:szCs w:val="24"/>
        </w:rPr>
        <w:t>sentencing - j</w:t>
      </w:r>
      <w:r w:rsidRPr="00290B7D">
        <w:rPr>
          <w:rFonts w:ascii="Times New Roman" w:hAnsi="Times New Roman"/>
          <w:b/>
          <w:sz w:val="24"/>
          <w:szCs w:val="24"/>
        </w:rPr>
        <w:t xml:space="preserve">ail time or probation. </w:t>
      </w:r>
    </w:p>
    <w:p w14:paraId="317B34A6" w14:textId="77777777" w:rsidR="00290B7D" w:rsidRDefault="00290B7D" w:rsidP="00B86628">
      <w:pPr>
        <w:pStyle w:val="NoSpacing"/>
        <w:rPr>
          <w:rFonts w:ascii="Arial Black" w:hAnsi="Arial Black"/>
          <w:sz w:val="24"/>
          <w:szCs w:val="24"/>
        </w:rPr>
      </w:pPr>
    </w:p>
    <w:p w14:paraId="0CA23D62" w14:textId="77777777" w:rsidR="001D6E51" w:rsidRDefault="001D6E51" w:rsidP="00B86628">
      <w:pPr>
        <w:pStyle w:val="NoSpacing"/>
        <w:rPr>
          <w:rFonts w:ascii="Arial Black" w:hAnsi="Arial Black"/>
          <w:sz w:val="24"/>
          <w:szCs w:val="24"/>
        </w:rPr>
      </w:pPr>
    </w:p>
    <w:p w14:paraId="312FE519" w14:textId="5C6AEA10" w:rsidR="00455B5B" w:rsidRDefault="00455B5B" w:rsidP="00B86628">
      <w:pPr>
        <w:pStyle w:val="NoSpacing"/>
        <w:rPr>
          <w:rFonts w:ascii="Arial Black" w:hAnsi="Arial Black"/>
          <w:sz w:val="24"/>
          <w:szCs w:val="24"/>
        </w:rPr>
      </w:pPr>
      <w:r>
        <w:rPr>
          <w:rFonts w:ascii="Arial Black" w:hAnsi="Arial Black"/>
          <w:sz w:val="24"/>
          <w:szCs w:val="24"/>
        </w:rPr>
        <w:t>1-159</w:t>
      </w:r>
    </w:p>
    <w:p w14:paraId="3845B24E" w14:textId="77777777" w:rsidR="00455B5B" w:rsidRDefault="00455B5B" w:rsidP="00B86628">
      <w:pPr>
        <w:pStyle w:val="NoSpacing"/>
        <w:rPr>
          <w:rFonts w:ascii="Arial Black" w:hAnsi="Arial Black"/>
          <w:sz w:val="24"/>
          <w:szCs w:val="24"/>
        </w:rPr>
      </w:pPr>
    </w:p>
    <w:p w14:paraId="18AE0689" w14:textId="20E4B7B0" w:rsidR="00455B5B" w:rsidRPr="00641056" w:rsidRDefault="00455B5B" w:rsidP="00455B5B">
      <w:pPr>
        <w:rPr>
          <w:rFonts w:ascii="Arial Black" w:hAnsi="Arial Black"/>
          <w:b/>
          <w:bCs/>
          <w:sz w:val="28"/>
        </w:rPr>
      </w:pPr>
      <w:r>
        <w:rPr>
          <w:rFonts w:ascii="Arial Black" w:hAnsi="Arial Black"/>
          <w:b/>
          <w:bCs/>
          <w:sz w:val="28"/>
        </w:rPr>
        <w:t>IL: ARSON CONVICTION REVERSED – FD INVESTIG</w:t>
      </w:r>
      <w:r w:rsidR="00142FA2">
        <w:rPr>
          <w:rFonts w:ascii="Arial Black" w:hAnsi="Arial Black"/>
          <w:b/>
          <w:bCs/>
          <w:sz w:val="28"/>
        </w:rPr>
        <w:t>A</w:t>
      </w:r>
      <w:r>
        <w:rPr>
          <w:rFonts w:ascii="Arial Black" w:hAnsi="Arial Black"/>
          <w:b/>
          <w:bCs/>
          <w:sz w:val="28"/>
        </w:rPr>
        <w:t>TOR / PD NO “MIRANDA” WARNING – CUSTODIAL INTERROGATION</w:t>
      </w:r>
    </w:p>
    <w:p w14:paraId="673D6AE4" w14:textId="77777777" w:rsidR="00455B5B" w:rsidRPr="00455B5B" w:rsidRDefault="00455B5B" w:rsidP="00455B5B">
      <w:pPr>
        <w:rPr>
          <w:rFonts w:ascii="Times New Roman" w:hAnsi="Times New Roman"/>
          <w:sz w:val="24"/>
          <w:szCs w:val="24"/>
        </w:rPr>
      </w:pPr>
      <w:r w:rsidRPr="00455B5B">
        <w:rPr>
          <w:rFonts w:ascii="Times New Roman" w:hAnsi="Times New Roman"/>
          <w:sz w:val="24"/>
          <w:szCs w:val="24"/>
        </w:rPr>
        <w:t xml:space="preserve">On Oct. 1, 2024, in </w:t>
      </w:r>
      <w:r w:rsidRPr="00455B5B">
        <w:rPr>
          <w:rFonts w:ascii="Times New Roman" w:hAnsi="Times New Roman"/>
          <w:sz w:val="24"/>
          <w:szCs w:val="24"/>
          <w:u w:val="single"/>
        </w:rPr>
        <w:t>The People of the State of Illinois v. Adriane L. Parke</w:t>
      </w:r>
      <w:r w:rsidRPr="00455B5B">
        <w:rPr>
          <w:rFonts w:ascii="Times New Roman" w:hAnsi="Times New Roman"/>
          <w:sz w:val="24"/>
          <w:szCs w:val="24"/>
        </w:rPr>
        <w:t xml:space="preserve">, the Court of Appeals of Illinois, Fifth District, held (3 to 0) that the confession by the housekeeper (also volunteer firefighter) started the fire in a room at the Drury Inn must be suppressed; jury conviction set aside but State can re-try her.   The Court wrote: “Defendant argues no reasonable, innocent person in her shoes would have felt free to stop answering [Fire Investigator Shane] Emrich’s and [Mount Vernon Police Officer Nathan] Franklin’s questions during the interrogation. The question before this court is whether a custodial interrogation, requiring </w:t>
      </w:r>
      <w:r w:rsidRPr="00455B5B">
        <w:rPr>
          <w:rFonts w:ascii="Times New Roman" w:hAnsi="Times New Roman"/>
          <w:i/>
          <w:iCs/>
          <w:sz w:val="24"/>
          <w:szCs w:val="24"/>
        </w:rPr>
        <w:t>Miranda</w:t>
      </w:r>
      <w:r w:rsidRPr="00455B5B">
        <w:rPr>
          <w:rFonts w:ascii="Times New Roman" w:hAnsi="Times New Roman"/>
          <w:sz w:val="24"/>
          <w:szCs w:val="24"/>
        </w:rPr>
        <w:t xml:space="preserve">, took place. We believe one did. *** After considering the relevant factors and the circumstances of this case, we find that defendant was subjected to a custodial interrogation, requiring Miranda, when defendant confessed to starting the fire at the Drury Inn on December 2, 2015.” </w:t>
      </w:r>
      <w:hyperlink r:id="rId118" w:history="1">
        <w:r w:rsidRPr="00455B5B">
          <w:rPr>
            <w:rStyle w:val="Hyperlink"/>
            <w:rFonts w:ascii="Times New Roman" w:hAnsi="Times New Roman"/>
            <w:sz w:val="24"/>
            <w:szCs w:val="24"/>
          </w:rPr>
          <w:t>https://ilcourtsaudio.blob.core.windows.net/antilles-resources/resources/b35fd65d-f662-4e1a-abeb-4f9e1aa279eb/People%20v.%20Parke,%202024%20IL%20App%20(5th)%20220703-U.pdf</w:t>
        </w:r>
      </w:hyperlink>
      <w:r w:rsidRPr="00455B5B">
        <w:rPr>
          <w:rFonts w:ascii="Times New Roman" w:hAnsi="Times New Roman"/>
          <w:sz w:val="24"/>
          <w:szCs w:val="24"/>
        </w:rPr>
        <w:t xml:space="preserve"> </w:t>
      </w:r>
    </w:p>
    <w:p w14:paraId="3A3AA4B7" w14:textId="77777777" w:rsidR="00455B5B" w:rsidRPr="00455B5B" w:rsidRDefault="00455B5B" w:rsidP="00455B5B">
      <w:pPr>
        <w:rPr>
          <w:rFonts w:ascii="Times New Roman" w:hAnsi="Times New Roman"/>
          <w:sz w:val="24"/>
          <w:szCs w:val="24"/>
        </w:rPr>
      </w:pPr>
      <w:r w:rsidRPr="00455B5B">
        <w:rPr>
          <w:rFonts w:ascii="Times New Roman" w:hAnsi="Times New Roman"/>
          <w:sz w:val="24"/>
          <w:szCs w:val="24"/>
        </w:rPr>
        <w:t>THE COURT HELD:</w:t>
      </w:r>
    </w:p>
    <w:p w14:paraId="76CDCBEE" w14:textId="77777777" w:rsidR="00455B5B" w:rsidRPr="00455B5B" w:rsidRDefault="00455B5B" w:rsidP="00455B5B">
      <w:pPr>
        <w:pStyle w:val="NoSpacing"/>
        <w:ind w:left="720"/>
        <w:rPr>
          <w:rFonts w:ascii="Times New Roman" w:hAnsi="Times New Roman"/>
          <w:sz w:val="24"/>
          <w:szCs w:val="24"/>
        </w:rPr>
      </w:pPr>
      <w:r w:rsidRPr="00455B5B">
        <w:rPr>
          <w:rFonts w:ascii="Times New Roman" w:hAnsi="Times New Roman"/>
          <w:sz w:val="24"/>
          <w:szCs w:val="24"/>
        </w:rPr>
        <w:t>“The [interrogation room] video shows that Emrich stated at least 10 times that he did not believe defendant’s version of events and accused her of lying and withholding the truth. Similarly, Franklin interjected halfway through the interview, informing defendant that he was trained to listen to people talk. Franklin then proceeded to state to defendant at least two times that she was not telling the truth. Franklin also claimed that he and Emrich knew that defendant “intentionally” started the fire in room 603. The trial court made no mention of these facts when it denied defendant’s motion to suppress.</w:t>
      </w:r>
    </w:p>
    <w:p w14:paraId="5015664A" w14:textId="77777777" w:rsidR="00455B5B" w:rsidRPr="00455B5B" w:rsidRDefault="00455B5B" w:rsidP="00455B5B">
      <w:pPr>
        <w:pStyle w:val="NoSpacing"/>
        <w:ind w:left="720"/>
        <w:rPr>
          <w:rFonts w:ascii="Times New Roman" w:hAnsi="Times New Roman"/>
          <w:sz w:val="24"/>
          <w:szCs w:val="24"/>
        </w:rPr>
      </w:pPr>
    </w:p>
    <w:p w14:paraId="60021666" w14:textId="77777777" w:rsidR="00455B5B" w:rsidRPr="00455B5B" w:rsidRDefault="00455B5B" w:rsidP="00455B5B">
      <w:pPr>
        <w:pStyle w:val="NoSpacing"/>
        <w:ind w:left="720"/>
        <w:rPr>
          <w:rFonts w:ascii="Times New Roman" w:hAnsi="Times New Roman"/>
          <w:sz w:val="24"/>
          <w:szCs w:val="24"/>
        </w:rPr>
      </w:pPr>
      <w:r w:rsidRPr="00455B5B">
        <w:rPr>
          <w:rFonts w:ascii="Times New Roman" w:hAnsi="Times New Roman"/>
          <w:sz w:val="24"/>
          <w:szCs w:val="24"/>
        </w:rPr>
        <w:t>***</w:t>
      </w:r>
    </w:p>
    <w:p w14:paraId="4B222803" w14:textId="77777777" w:rsidR="00455B5B" w:rsidRPr="00455B5B" w:rsidRDefault="00455B5B" w:rsidP="00455B5B">
      <w:pPr>
        <w:pStyle w:val="NoSpacing"/>
        <w:ind w:left="720"/>
        <w:rPr>
          <w:rFonts w:ascii="Times New Roman" w:hAnsi="Times New Roman"/>
          <w:sz w:val="24"/>
          <w:szCs w:val="24"/>
        </w:rPr>
      </w:pPr>
      <w:r w:rsidRPr="00455B5B">
        <w:rPr>
          <w:rFonts w:ascii="Times New Roman" w:hAnsi="Times New Roman"/>
          <w:sz w:val="24"/>
          <w:szCs w:val="24"/>
        </w:rPr>
        <w:t xml:space="preserve">Defendant, however, testified that she encountered Franklin, a police officer wearing a badge with his gun holstered, when she first walked into the room. According to defendant, she saw Franklin for the first time ‘sitting out behind his desk with his legs propped up on the desk.’ Regardless, neither Emrich nor defendant testified that defendant knew Franklin would be present when she agreed to speak with Emrich at the fire department. </w:t>
      </w:r>
    </w:p>
    <w:p w14:paraId="7865D693" w14:textId="77777777" w:rsidR="00455B5B" w:rsidRPr="00455B5B" w:rsidRDefault="00455B5B" w:rsidP="00455B5B">
      <w:pPr>
        <w:pStyle w:val="NoSpacing"/>
        <w:ind w:left="720"/>
        <w:rPr>
          <w:rFonts w:ascii="Times New Roman" w:hAnsi="Times New Roman"/>
          <w:sz w:val="24"/>
          <w:szCs w:val="24"/>
        </w:rPr>
      </w:pPr>
    </w:p>
    <w:p w14:paraId="75E5BD49" w14:textId="77777777" w:rsidR="00455B5B" w:rsidRPr="00455B5B" w:rsidRDefault="00455B5B" w:rsidP="00455B5B">
      <w:pPr>
        <w:pStyle w:val="NoSpacing"/>
        <w:ind w:left="720"/>
        <w:rPr>
          <w:rFonts w:ascii="Times New Roman" w:hAnsi="Times New Roman"/>
          <w:sz w:val="24"/>
          <w:szCs w:val="24"/>
        </w:rPr>
      </w:pPr>
      <w:r w:rsidRPr="00455B5B">
        <w:rPr>
          <w:rFonts w:ascii="Times New Roman" w:hAnsi="Times New Roman"/>
          <w:sz w:val="24"/>
          <w:szCs w:val="24"/>
        </w:rPr>
        <w:t>Defendant, instead, agreed to speak with Emrich in the presence of her husband. Importantly, defendant testified at the suppression hearing that she specifically asked Emrich on the phone—at the time she agreed to meet with Emrich—to have her husband present during the interview, stating: ‘I can’t talk—I don’t understand a lot of things and he helps me.’ Despite this, Emrich offered Jeremy a seat downstairs, indicating that Jeremy was not welcome in the interview. As such, the absence of defendant’s husband and the presence of Franklin during the interview weigh in favor of a determination that a custodial interrogation took place.</w:t>
      </w:r>
    </w:p>
    <w:p w14:paraId="099B8B57" w14:textId="77777777" w:rsidR="00455B5B" w:rsidRPr="00455B5B" w:rsidRDefault="00455B5B" w:rsidP="00455B5B">
      <w:pPr>
        <w:pStyle w:val="NoSpacing"/>
        <w:ind w:left="720"/>
        <w:rPr>
          <w:rFonts w:ascii="Times New Roman" w:hAnsi="Times New Roman"/>
          <w:sz w:val="24"/>
          <w:szCs w:val="24"/>
        </w:rPr>
      </w:pPr>
    </w:p>
    <w:p w14:paraId="2F3D38C9" w14:textId="77777777" w:rsidR="00455B5B" w:rsidRPr="00455B5B" w:rsidRDefault="00455B5B" w:rsidP="00455B5B">
      <w:pPr>
        <w:pStyle w:val="NoSpacing"/>
        <w:ind w:left="720"/>
        <w:rPr>
          <w:rFonts w:ascii="Times New Roman" w:hAnsi="Times New Roman"/>
          <w:sz w:val="24"/>
          <w:szCs w:val="24"/>
        </w:rPr>
      </w:pPr>
      <w:r w:rsidRPr="00455B5B">
        <w:rPr>
          <w:rFonts w:ascii="Times New Roman" w:hAnsi="Times New Roman"/>
          <w:sz w:val="24"/>
          <w:szCs w:val="24"/>
        </w:rPr>
        <w:t>***</w:t>
      </w:r>
    </w:p>
    <w:p w14:paraId="5AB848FD" w14:textId="77777777" w:rsidR="00455B5B" w:rsidRPr="00455B5B" w:rsidRDefault="00455B5B" w:rsidP="00455B5B">
      <w:pPr>
        <w:pStyle w:val="NoSpacing"/>
        <w:rPr>
          <w:rFonts w:ascii="Times New Roman" w:hAnsi="Times New Roman"/>
          <w:sz w:val="24"/>
          <w:szCs w:val="24"/>
        </w:rPr>
      </w:pPr>
    </w:p>
    <w:p w14:paraId="6AD5072C" w14:textId="77777777" w:rsidR="00455B5B" w:rsidRPr="00455B5B" w:rsidRDefault="00455B5B" w:rsidP="00455B5B">
      <w:pPr>
        <w:pStyle w:val="NoSpacing"/>
        <w:ind w:left="720"/>
        <w:rPr>
          <w:rFonts w:ascii="Times New Roman" w:hAnsi="Times New Roman"/>
          <w:sz w:val="24"/>
          <w:szCs w:val="24"/>
        </w:rPr>
      </w:pPr>
      <w:r w:rsidRPr="00455B5B">
        <w:rPr>
          <w:rFonts w:ascii="Times New Roman" w:hAnsi="Times New Roman"/>
          <w:sz w:val="24"/>
          <w:szCs w:val="24"/>
        </w:rPr>
        <w:t xml:space="preserve">Defendant underwent a fitness evaluation prior to trial, and Dr. Stanislaus concluded that defendant had borderline intellectual functioning. In her report, Dr. Stanislaus’s indicated that defendant’s ‘younger sister helps her with things if she cannot understand something.’ *** Based on the above reasoning, in </w:t>
      </w:r>
      <w:r w:rsidRPr="00455B5B">
        <w:rPr>
          <w:rFonts w:ascii="Times New Roman" w:hAnsi="Times New Roman"/>
          <w:sz w:val="24"/>
          <w:szCs w:val="24"/>
        </w:rPr>
        <w:lastRenderedPageBreak/>
        <w:t>our view, defendant’s intelligence and mental makeup weigh in favor of a finding of custodial interrogation.”</w:t>
      </w:r>
    </w:p>
    <w:p w14:paraId="0F287CD6" w14:textId="77777777" w:rsidR="00455B5B" w:rsidRPr="00455B5B" w:rsidRDefault="00455B5B" w:rsidP="00455B5B">
      <w:pPr>
        <w:pStyle w:val="NoSpacing"/>
        <w:rPr>
          <w:rFonts w:ascii="Times New Roman" w:hAnsi="Times New Roman"/>
          <w:b/>
          <w:bCs/>
          <w:sz w:val="24"/>
          <w:szCs w:val="24"/>
        </w:rPr>
      </w:pPr>
    </w:p>
    <w:p w14:paraId="1F49E839" w14:textId="7DA6E08B" w:rsidR="00455B5B" w:rsidRPr="00FE372C" w:rsidRDefault="00455B5B" w:rsidP="00455B5B">
      <w:pPr>
        <w:pStyle w:val="NoSpacing"/>
        <w:rPr>
          <w:rFonts w:ascii="Times New Roman" w:hAnsi="Times New Roman"/>
          <w:b/>
          <w:bCs/>
          <w:sz w:val="24"/>
          <w:szCs w:val="24"/>
        </w:rPr>
      </w:pPr>
      <w:r w:rsidRPr="00FE372C">
        <w:rPr>
          <w:rFonts w:ascii="Times New Roman" w:hAnsi="Times New Roman"/>
          <w:b/>
          <w:bCs/>
          <w:sz w:val="24"/>
          <w:szCs w:val="24"/>
        </w:rPr>
        <w:t xml:space="preserve">Legal Lesson Learned:  Fire Investigators and police, when conducting interview of a prime suspect, should carefully consider </w:t>
      </w:r>
      <w:r w:rsidR="00D3078F">
        <w:rPr>
          <w:rFonts w:ascii="Times New Roman" w:hAnsi="Times New Roman"/>
          <w:b/>
          <w:bCs/>
          <w:sz w:val="24"/>
          <w:szCs w:val="24"/>
        </w:rPr>
        <w:t xml:space="preserve">when to give </w:t>
      </w:r>
      <w:r w:rsidRPr="00FE372C">
        <w:rPr>
          <w:rFonts w:ascii="Times New Roman" w:hAnsi="Times New Roman"/>
          <w:b/>
          <w:bCs/>
          <w:sz w:val="24"/>
          <w:szCs w:val="24"/>
        </w:rPr>
        <w:t xml:space="preserve">a </w:t>
      </w:r>
      <w:r w:rsidRPr="00FE372C">
        <w:rPr>
          <w:rFonts w:ascii="Times New Roman" w:hAnsi="Times New Roman"/>
          <w:b/>
          <w:bCs/>
          <w:i/>
          <w:iCs/>
          <w:sz w:val="24"/>
          <w:szCs w:val="24"/>
        </w:rPr>
        <w:t xml:space="preserve">Miranda </w:t>
      </w:r>
      <w:r w:rsidRPr="00FE372C">
        <w:rPr>
          <w:rFonts w:ascii="Times New Roman" w:hAnsi="Times New Roman"/>
          <w:b/>
          <w:bCs/>
          <w:sz w:val="24"/>
          <w:szCs w:val="24"/>
        </w:rPr>
        <w:t xml:space="preserve">warning.  </w:t>
      </w:r>
    </w:p>
    <w:p w14:paraId="715E9B4F" w14:textId="77777777" w:rsidR="00455B5B" w:rsidRDefault="00455B5B" w:rsidP="00455B5B">
      <w:pPr>
        <w:pStyle w:val="NoSpacing"/>
        <w:rPr>
          <w:b/>
          <w:bCs/>
        </w:rPr>
      </w:pPr>
    </w:p>
    <w:p w14:paraId="55792646" w14:textId="77777777" w:rsidR="00455B5B" w:rsidRDefault="00455B5B" w:rsidP="00455B5B">
      <w:pPr>
        <w:pStyle w:val="NoSpacing"/>
        <w:rPr>
          <w:b/>
          <w:bCs/>
        </w:rPr>
      </w:pPr>
    </w:p>
    <w:p w14:paraId="0ED9D518" w14:textId="77777777" w:rsidR="001B6C81" w:rsidRDefault="00400F67" w:rsidP="00400F67">
      <w:pPr>
        <w:ind w:left="720"/>
        <w:rPr>
          <w:sz w:val="24"/>
          <w:szCs w:val="24"/>
        </w:rPr>
      </w:pPr>
      <w:r w:rsidRPr="00400F67">
        <w:rPr>
          <w:sz w:val="24"/>
          <w:szCs w:val="24"/>
        </w:rPr>
        <w:t>Note: See article</w:t>
      </w:r>
      <w:r w:rsidR="001B6C81">
        <w:rPr>
          <w:sz w:val="24"/>
          <w:szCs w:val="24"/>
        </w:rPr>
        <w:t>s on this case.</w:t>
      </w:r>
    </w:p>
    <w:p w14:paraId="47B62726" w14:textId="448806B2" w:rsidR="00400F67" w:rsidRPr="00400F67" w:rsidRDefault="00400F67" w:rsidP="00400F67">
      <w:pPr>
        <w:ind w:left="720"/>
        <w:rPr>
          <w:sz w:val="24"/>
          <w:szCs w:val="24"/>
        </w:rPr>
      </w:pPr>
      <w:r w:rsidRPr="00400F67">
        <w:rPr>
          <w:sz w:val="24"/>
          <w:szCs w:val="24"/>
        </w:rPr>
        <w:t xml:space="preserve">Oct. 11, 2018: </w:t>
      </w:r>
      <w:r w:rsidRPr="00400F67">
        <w:rPr>
          <w:rFonts w:ascii="Times New Roman" w:eastAsiaTheme="minorHAnsi" w:hAnsi="Times New Roman"/>
          <w:sz w:val="24"/>
          <w:szCs w:val="24"/>
        </w:rPr>
        <w:t xml:space="preserve">Christopher Woman Found Guilty of Setting Fire at Mt. Vernon Hotel </w:t>
      </w:r>
      <w:hyperlink r:id="rId119" w:history="1">
        <w:r w:rsidRPr="00400F67">
          <w:rPr>
            <w:rStyle w:val="Hyperlink"/>
            <w:sz w:val="24"/>
            <w:szCs w:val="24"/>
          </w:rPr>
          <w:t>https://www.wmix94.com/2018/10/11/christopher-woman-found-guilty-of-setting-fire-at-mt-vernon-hotel/</w:t>
        </w:r>
      </w:hyperlink>
      <w:r w:rsidRPr="00400F67">
        <w:rPr>
          <w:sz w:val="24"/>
          <w:szCs w:val="24"/>
        </w:rPr>
        <w:t xml:space="preserve"> </w:t>
      </w:r>
    </w:p>
    <w:p w14:paraId="3208B898" w14:textId="77777777" w:rsidR="00400F67" w:rsidRPr="008D4EE9" w:rsidRDefault="00400F67" w:rsidP="00400F67">
      <w:pPr>
        <w:spacing w:after="160"/>
        <w:ind w:left="720"/>
        <w:rPr>
          <w:rFonts w:ascii="Times New Roman" w:eastAsiaTheme="minorHAnsi" w:hAnsi="Times New Roman"/>
          <w:sz w:val="24"/>
          <w:szCs w:val="24"/>
        </w:rPr>
      </w:pPr>
      <w:r w:rsidRPr="00400F67">
        <w:rPr>
          <w:sz w:val="24"/>
          <w:szCs w:val="24"/>
        </w:rPr>
        <w:t xml:space="preserve">Jan. 12, 2016. </w:t>
      </w:r>
      <w:r w:rsidRPr="00400F67">
        <w:rPr>
          <w:rFonts w:ascii="Times New Roman" w:eastAsiaTheme="minorHAnsi" w:hAnsi="Times New Roman"/>
          <w:sz w:val="24"/>
          <w:szCs w:val="24"/>
        </w:rPr>
        <w:t>Christopher, IL woman arrested on arson charges</w:t>
      </w:r>
      <w:r w:rsidRPr="00400F67">
        <w:rPr>
          <w:sz w:val="24"/>
          <w:szCs w:val="24"/>
        </w:rPr>
        <w:t xml:space="preserve">. </w:t>
      </w:r>
      <w:hyperlink r:id="rId120" w:history="1">
        <w:r w:rsidRPr="00400F67">
          <w:rPr>
            <w:rStyle w:val="Hyperlink"/>
            <w:sz w:val="24"/>
            <w:szCs w:val="24"/>
          </w:rPr>
          <w:t>https://www.kfvs12.com/story/30947819/christopher-il-woman-arrested-on-arson-charges/</w:t>
        </w:r>
      </w:hyperlink>
      <w:r w:rsidRPr="008D4EE9">
        <w:rPr>
          <w:szCs w:val="24"/>
        </w:rPr>
        <w:t xml:space="preserve"> </w:t>
      </w:r>
    </w:p>
    <w:p w14:paraId="3C3F76BC" w14:textId="77777777" w:rsidR="00455B5B" w:rsidRDefault="00455B5B" w:rsidP="00B86628">
      <w:pPr>
        <w:pStyle w:val="NoSpacing"/>
        <w:rPr>
          <w:rFonts w:ascii="Arial Black" w:hAnsi="Arial Black"/>
          <w:sz w:val="24"/>
          <w:szCs w:val="24"/>
        </w:rPr>
      </w:pPr>
    </w:p>
    <w:p w14:paraId="415BE98F" w14:textId="77777777" w:rsidR="00455B5B" w:rsidRDefault="00455B5B" w:rsidP="00B86628">
      <w:pPr>
        <w:pStyle w:val="NoSpacing"/>
        <w:rPr>
          <w:rFonts w:ascii="Arial Black" w:hAnsi="Arial Black"/>
          <w:sz w:val="24"/>
          <w:szCs w:val="24"/>
        </w:rPr>
      </w:pPr>
    </w:p>
    <w:p w14:paraId="01F48A2F" w14:textId="69BAE123" w:rsidR="0011091B" w:rsidRDefault="00B33F53" w:rsidP="00B86628">
      <w:pPr>
        <w:pStyle w:val="NoSpacing"/>
        <w:rPr>
          <w:rFonts w:ascii="Arial Black" w:hAnsi="Arial Black"/>
          <w:sz w:val="24"/>
          <w:szCs w:val="24"/>
        </w:rPr>
      </w:pPr>
      <w:r>
        <w:rPr>
          <w:rFonts w:ascii="Arial Black" w:hAnsi="Arial Black"/>
          <w:sz w:val="24"/>
          <w:szCs w:val="24"/>
        </w:rPr>
        <w:t>1-158</w:t>
      </w:r>
    </w:p>
    <w:p w14:paraId="20D59B9F" w14:textId="77777777" w:rsidR="00B33F53" w:rsidRDefault="00B33F53" w:rsidP="00B86628">
      <w:pPr>
        <w:pStyle w:val="NoSpacing"/>
        <w:rPr>
          <w:rFonts w:ascii="Arial Black" w:hAnsi="Arial Black"/>
          <w:sz w:val="24"/>
          <w:szCs w:val="24"/>
        </w:rPr>
      </w:pPr>
    </w:p>
    <w:p w14:paraId="4DE34087" w14:textId="77777777" w:rsidR="00CE14C4" w:rsidRPr="00A71365" w:rsidRDefault="00CE14C4" w:rsidP="00CE14C4">
      <w:pPr>
        <w:pStyle w:val="NoSpacing"/>
        <w:rPr>
          <w:rFonts w:ascii="Arial Black" w:hAnsi="Arial Black"/>
          <w:sz w:val="28"/>
        </w:rPr>
      </w:pPr>
      <w:r w:rsidRPr="00A71365">
        <w:rPr>
          <w:rFonts w:ascii="Arial Black" w:hAnsi="Arial Black"/>
          <w:sz w:val="28"/>
        </w:rPr>
        <w:t>CA: FED</w:t>
      </w:r>
      <w:r>
        <w:rPr>
          <w:rFonts w:ascii="Arial Black" w:hAnsi="Arial Black"/>
          <w:sz w:val="28"/>
        </w:rPr>
        <w:t xml:space="preserve">ERAL GOV’T SUES </w:t>
      </w:r>
      <w:r w:rsidRPr="00A71365">
        <w:rPr>
          <w:rFonts w:ascii="Arial Black" w:hAnsi="Arial Black"/>
          <w:sz w:val="28"/>
        </w:rPr>
        <w:t>MANUF</w:t>
      </w:r>
      <w:r>
        <w:rPr>
          <w:rFonts w:ascii="Arial Black" w:hAnsi="Arial Black"/>
          <w:sz w:val="28"/>
        </w:rPr>
        <w:t xml:space="preserve">. OF </w:t>
      </w:r>
      <w:r w:rsidRPr="00A71365">
        <w:rPr>
          <w:rFonts w:ascii="Arial Black" w:hAnsi="Arial Black"/>
          <w:sz w:val="28"/>
        </w:rPr>
        <w:t>SMOKE BOMBS</w:t>
      </w:r>
      <w:r>
        <w:rPr>
          <w:rFonts w:ascii="Arial Black" w:hAnsi="Arial Black"/>
          <w:sz w:val="28"/>
        </w:rPr>
        <w:t xml:space="preserve"> – EXCESSIVE SPARKS</w:t>
      </w:r>
      <w:r w:rsidRPr="00A71365">
        <w:rPr>
          <w:rFonts w:ascii="Arial Black" w:hAnsi="Arial Black"/>
          <w:sz w:val="28"/>
        </w:rPr>
        <w:t xml:space="preserve"> –</w:t>
      </w:r>
      <w:r>
        <w:rPr>
          <w:rFonts w:ascii="Arial Black" w:hAnsi="Arial Black"/>
          <w:sz w:val="28"/>
        </w:rPr>
        <w:t xml:space="preserve"> </w:t>
      </w:r>
      <w:r w:rsidRPr="00A71365">
        <w:rPr>
          <w:rFonts w:ascii="Arial Black" w:hAnsi="Arial Black"/>
          <w:sz w:val="28"/>
        </w:rPr>
        <w:t>FOREST FIRE</w:t>
      </w:r>
      <w:r>
        <w:rPr>
          <w:rFonts w:ascii="Arial Black" w:hAnsi="Arial Black"/>
          <w:sz w:val="28"/>
        </w:rPr>
        <w:t xml:space="preserve"> / L</w:t>
      </w:r>
      <w:r w:rsidRPr="00A71365">
        <w:rPr>
          <w:rFonts w:ascii="Arial Black" w:hAnsi="Arial Black"/>
          <w:sz w:val="28"/>
        </w:rPr>
        <w:t>ODD</w:t>
      </w:r>
      <w:r>
        <w:rPr>
          <w:rFonts w:ascii="Arial Black" w:hAnsi="Arial Black"/>
          <w:sz w:val="28"/>
        </w:rPr>
        <w:t xml:space="preserve"> / </w:t>
      </w:r>
      <w:r w:rsidRPr="00A71365">
        <w:rPr>
          <w:rFonts w:ascii="Arial Black" w:hAnsi="Arial Black"/>
          <w:sz w:val="28"/>
        </w:rPr>
        <w:t xml:space="preserve">$41M </w:t>
      </w:r>
    </w:p>
    <w:p w14:paraId="222F6A9D" w14:textId="77777777" w:rsidR="00CE14C4" w:rsidRPr="00CE14C4" w:rsidRDefault="00CE14C4" w:rsidP="00CE14C4">
      <w:pPr>
        <w:pStyle w:val="NoSpacing"/>
        <w:rPr>
          <w:rFonts w:ascii="Times New Roman" w:hAnsi="Times New Roman"/>
          <w:sz w:val="24"/>
          <w:szCs w:val="24"/>
        </w:rPr>
      </w:pPr>
    </w:p>
    <w:p w14:paraId="1019CE46" w14:textId="77777777" w:rsidR="00CE14C4" w:rsidRPr="00CE14C4" w:rsidRDefault="00CE14C4" w:rsidP="00CE14C4">
      <w:pPr>
        <w:pStyle w:val="NoSpacing"/>
        <w:rPr>
          <w:rFonts w:ascii="Times New Roman" w:hAnsi="Times New Roman"/>
          <w:sz w:val="24"/>
          <w:szCs w:val="24"/>
        </w:rPr>
      </w:pPr>
      <w:r w:rsidRPr="00CE14C4">
        <w:rPr>
          <w:rFonts w:ascii="Times New Roman" w:hAnsi="Times New Roman"/>
          <w:sz w:val="24"/>
          <w:szCs w:val="24"/>
        </w:rPr>
        <w:t xml:space="preserve">On September 27, 2024, in </w:t>
      </w:r>
      <w:r w:rsidRPr="00CE14C4">
        <w:rPr>
          <w:rFonts w:ascii="Times New Roman" w:hAnsi="Times New Roman"/>
          <w:sz w:val="24"/>
          <w:szCs w:val="24"/>
          <w:u w:val="single"/>
        </w:rPr>
        <w:t>United States of America v. Wholesale Fireworks Corporation, et al</w:t>
      </w:r>
      <w:r w:rsidRPr="00CE14C4">
        <w:rPr>
          <w:rFonts w:ascii="Times New Roman" w:hAnsi="Times New Roman"/>
          <w:sz w:val="24"/>
          <w:szCs w:val="24"/>
        </w:rPr>
        <w:t xml:space="preserve">.,  United States District Court Judge Maame Ewusi-Mensah Frimpong,  U.S. District Court for Central District of California, denied Wholesale Firework Corporation’s (Hubard, Ohio) motion to dismiss; lawsuit to proceed against that corporation, as well as their distributor (American Fireworks Warehouse) and family that set off the two smoke bombs.  On Sept. 5, 2020, defendants Refugio and Angelina Jimenz set off two smoke bombs at a “gender reveal” party near the National Forest in San Bernadino; the fire destroyed 22,744 acres, damaged or destroyed 24 buildings, resulted in line-of-duty death of Charles Morton, and cost $41 million in fire suppression cost.  The Court wrote:  “[t] the United States alleges Wholesale Fireworks’ failure to properly design and manufacture the gender reveal smoke bombs resulted in the emission of excessive sparks, flames, and molten materials…. The FAC [First Amended Complaint] also alleges that Wholesale Fireworks failed to adequately provide labeling to warn of dangers or instruct on the safe use of the gender reveal smoke bombs….  Additionally, the gender reveal smoke bombs failed to bear the California State Fire Marshall Registration Seal, rendering them illegal in California….  Accordingly, the Court finds that the United States has plausibly alleged that Wholesale Fireworks breached the duty of care imposed by California and federal law.” </w:t>
      </w:r>
      <w:hyperlink r:id="rId121" w:history="1">
        <w:r w:rsidRPr="00CE14C4">
          <w:rPr>
            <w:rStyle w:val="Hyperlink"/>
            <w:rFonts w:ascii="Times New Roman" w:hAnsi="Times New Roman"/>
            <w:sz w:val="24"/>
            <w:szCs w:val="24"/>
          </w:rPr>
          <w:t>https://www.courthousenews.com/wp-content/uploads/2024/09/wholesale-fireworks-ruling.pdf</w:t>
        </w:r>
      </w:hyperlink>
      <w:r w:rsidRPr="00CE14C4">
        <w:rPr>
          <w:rFonts w:ascii="Times New Roman" w:hAnsi="Times New Roman"/>
          <w:sz w:val="24"/>
          <w:szCs w:val="24"/>
        </w:rPr>
        <w:t xml:space="preserve"> </w:t>
      </w:r>
    </w:p>
    <w:p w14:paraId="490B009C" w14:textId="77777777" w:rsidR="00CE14C4" w:rsidRPr="00CE14C4" w:rsidRDefault="00CE14C4" w:rsidP="00CE14C4">
      <w:pPr>
        <w:pStyle w:val="NoSpacing"/>
        <w:rPr>
          <w:rFonts w:ascii="Times New Roman" w:hAnsi="Times New Roman"/>
          <w:sz w:val="24"/>
          <w:szCs w:val="24"/>
        </w:rPr>
      </w:pPr>
    </w:p>
    <w:p w14:paraId="46234ED1" w14:textId="77777777" w:rsidR="00CE14C4" w:rsidRPr="00CE14C4" w:rsidRDefault="00CE14C4" w:rsidP="00CE14C4">
      <w:pPr>
        <w:pStyle w:val="NoSpacing"/>
        <w:rPr>
          <w:rFonts w:ascii="Times New Roman" w:hAnsi="Times New Roman"/>
          <w:sz w:val="24"/>
          <w:szCs w:val="24"/>
        </w:rPr>
      </w:pPr>
      <w:r w:rsidRPr="00CE14C4">
        <w:rPr>
          <w:rFonts w:ascii="Times New Roman" w:hAnsi="Times New Roman"/>
          <w:sz w:val="24"/>
          <w:szCs w:val="24"/>
        </w:rPr>
        <w:t>THE COURT HELD:</w:t>
      </w:r>
    </w:p>
    <w:p w14:paraId="53938237" w14:textId="77777777" w:rsidR="00CE14C4" w:rsidRPr="00CE14C4" w:rsidRDefault="00CE14C4" w:rsidP="00CE14C4">
      <w:pPr>
        <w:pStyle w:val="NoSpacing"/>
        <w:rPr>
          <w:rFonts w:ascii="Times New Roman" w:hAnsi="Times New Roman"/>
          <w:sz w:val="24"/>
          <w:szCs w:val="24"/>
        </w:rPr>
      </w:pPr>
    </w:p>
    <w:p w14:paraId="5CF74D19" w14:textId="77777777" w:rsidR="00CE14C4" w:rsidRDefault="00CE14C4" w:rsidP="00CE14C4">
      <w:pPr>
        <w:pStyle w:val="NoSpacing"/>
        <w:ind w:left="720"/>
        <w:rPr>
          <w:rFonts w:ascii="Times New Roman" w:hAnsi="Times New Roman"/>
          <w:sz w:val="24"/>
          <w:szCs w:val="24"/>
        </w:rPr>
      </w:pPr>
      <w:r w:rsidRPr="00CE14C4">
        <w:rPr>
          <w:rFonts w:ascii="Times New Roman" w:hAnsi="Times New Roman"/>
          <w:sz w:val="24"/>
          <w:szCs w:val="24"/>
        </w:rPr>
        <w:t xml:space="preserve">“T]he Court finds that it is plausible that Wholesale Fireworks allowed the fire to occur. If an entity knows or has reason to know of the risks that may result from the defective labeling or design of its product, yet fails to adequately provide such labeling, it follows that the entity consequently allowed for that danger to ensue. Wholesale Fireworks knew or had reason to know of the risks of fire that may result from the defective labeling or design of the gender </w:t>
      </w:r>
      <w:proofErr w:type="gramStart"/>
      <w:r w:rsidRPr="00CE14C4">
        <w:rPr>
          <w:rFonts w:ascii="Times New Roman" w:hAnsi="Times New Roman"/>
          <w:sz w:val="24"/>
          <w:szCs w:val="24"/>
        </w:rPr>
        <w:t>reveal</w:t>
      </w:r>
      <w:proofErr w:type="gramEnd"/>
      <w:r w:rsidRPr="00CE14C4">
        <w:rPr>
          <w:rFonts w:ascii="Times New Roman" w:hAnsi="Times New Roman"/>
          <w:sz w:val="24"/>
          <w:szCs w:val="24"/>
        </w:rPr>
        <w:t xml:space="preserve"> smoke bombs given </w:t>
      </w:r>
      <w:proofErr w:type="gramStart"/>
      <w:r w:rsidRPr="00CE14C4">
        <w:rPr>
          <w:rFonts w:ascii="Times New Roman" w:hAnsi="Times New Roman"/>
          <w:sz w:val="24"/>
          <w:szCs w:val="24"/>
        </w:rPr>
        <w:t>its</w:t>
      </w:r>
      <w:proofErr w:type="gramEnd"/>
      <w:r w:rsidRPr="00CE14C4">
        <w:rPr>
          <w:rFonts w:ascii="Times New Roman" w:hAnsi="Times New Roman"/>
          <w:sz w:val="24"/>
          <w:szCs w:val="24"/>
        </w:rPr>
        <w:t xml:space="preserve"> training in the industry. Wholesale Fireworks failed to adequately provide warnings </w:t>
      </w:r>
      <w:proofErr w:type="gramStart"/>
      <w:r w:rsidRPr="00CE14C4">
        <w:rPr>
          <w:rFonts w:ascii="Times New Roman" w:hAnsi="Times New Roman"/>
          <w:sz w:val="24"/>
          <w:szCs w:val="24"/>
        </w:rPr>
        <w:t>of</w:t>
      </w:r>
      <w:proofErr w:type="gramEnd"/>
      <w:r w:rsidRPr="00CE14C4">
        <w:rPr>
          <w:rFonts w:ascii="Times New Roman" w:hAnsi="Times New Roman"/>
          <w:sz w:val="24"/>
          <w:szCs w:val="24"/>
        </w:rPr>
        <w:t xml:space="preserve"> the risk of fire that may </w:t>
      </w:r>
      <w:proofErr w:type="gramStart"/>
      <w:r w:rsidRPr="00CE14C4">
        <w:rPr>
          <w:rFonts w:ascii="Times New Roman" w:hAnsi="Times New Roman"/>
          <w:sz w:val="24"/>
          <w:szCs w:val="24"/>
        </w:rPr>
        <w:t>ensue</w:t>
      </w:r>
      <w:proofErr w:type="gramEnd"/>
      <w:r w:rsidRPr="00CE14C4">
        <w:rPr>
          <w:rFonts w:ascii="Times New Roman" w:hAnsi="Times New Roman"/>
          <w:sz w:val="24"/>
          <w:szCs w:val="24"/>
        </w:rPr>
        <w:t xml:space="preserve"> from the misuse of its product, despite knowing or having reason to know of the risks of such danger. Further, this failure was in violation of the law. Therefore, Wholesale Fireworks, in essence, allowed the fire to occur.”</w:t>
      </w:r>
    </w:p>
    <w:p w14:paraId="41CAC3EA" w14:textId="77777777" w:rsidR="00BE0BB3" w:rsidRPr="00BE0BB3" w:rsidRDefault="00BE0BB3" w:rsidP="00BE0BB3">
      <w:pPr>
        <w:pStyle w:val="NoSpacing"/>
        <w:rPr>
          <w:rFonts w:ascii="Times New Roman" w:hAnsi="Times New Roman"/>
          <w:b/>
          <w:bCs/>
          <w:sz w:val="24"/>
          <w:szCs w:val="24"/>
        </w:rPr>
      </w:pPr>
      <w:r w:rsidRPr="00BE0BB3">
        <w:rPr>
          <w:rFonts w:ascii="Times New Roman" w:hAnsi="Times New Roman"/>
          <w:b/>
          <w:bCs/>
          <w:sz w:val="24"/>
          <w:szCs w:val="24"/>
        </w:rPr>
        <w:lastRenderedPageBreak/>
        <w:t>Legal Lesson Learned: The manufacturer of smoke bombs has a duty to warn users about the risks of excessive sparks, flames, and molten materials.</w:t>
      </w:r>
    </w:p>
    <w:p w14:paraId="6FF70DF1" w14:textId="77777777" w:rsidR="00BE0BB3" w:rsidRPr="00BE0BB3" w:rsidRDefault="00BE0BB3" w:rsidP="00BE0BB3">
      <w:pPr>
        <w:ind w:left="720"/>
        <w:rPr>
          <w:rFonts w:ascii="Times New Roman" w:hAnsi="Times New Roman"/>
          <w:sz w:val="24"/>
          <w:szCs w:val="24"/>
        </w:rPr>
      </w:pPr>
      <w:r w:rsidRPr="00BE0BB3">
        <w:rPr>
          <w:rFonts w:ascii="Times New Roman" w:hAnsi="Times New Roman"/>
          <w:sz w:val="24"/>
          <w:szCs w:val="24"/>
        </w:rPr>
        <w:t xml:space="preserve">Note: National Fallen Firefighter Foundation: “Charles Morton, squad boss on the Big Bear Interagency Hotshot Crew, died during interagency fire suppression activities on the El Dorado Fire in the San Bernardino National Forest in California on September 17, 2020. He had been a firefighter for 18 years, 14 of those with the U.S. Forest Service.” </w:t>
      </w:r>
      <w:hyperlink r:id="rId122" w:history="1">
        <w:r w:rsidRPr="00BE0BB3">
          <w:rPr>
            <w:rStyle w:val="Hyperlink"/>
            <w:rFonts w:ascii="Times New Roman" w:hAnsi="Times New Roman"/>
            <w:sz w:val="24"/>
            <w:szCs w:val="24"/>
          </w:rPr>
          <w:t>https://www.firehero.org/fallen-firefighter/charles-e-morton/</w:t>
        </w:r>
      </w:hyperlink>
      <w:r w:rsidRPr="00BE0BB3">
        <w:rPr>
          <w:rFonts w:ascii="Times New Roman" w:hAnsi="Times New Roman"/>
          <w:sz w:val="24"/>
          <w:szCs w:val="24"/>
        </w:rPr>
        <w:t xml:space="preserve"> </w:t>
      </w:r>
    </w:p>
    <w:p w14:paraId="4B6D7914" w14:textId="77777777" w:rsidR="00BE0BB3" w:rsidRPr="00CE14C4" w:rsidRDefault="00BE0BB3" w:rsidP="00CE14C4">
      <w:pPr>
        <w:pStyle w:val="NoSpacing"/>
        <w:ind w:left="720"/>
        <w:rPr>
          <w:rFonts w:ascii="Times New Roman" w:hAnsi="Times New Roman"/>
          <w:sz w:val="24"/>
          <w:szCs w:val="24"/>
        </w:rPr>
      </w:pPr>
    </w:p>
    <w:p w14:paraId="16559F1C" w14:textId="77777777" w:rsidR="00CE14C4" w:rsidRDefault="00CE14C4" w:rsidP="00CE14C4">
      <w:pPr>
        <w:pStyle w:val="NoSpacing"/>
        <w:ind w:left="720"/>
      </w:pPr>
    </w:p>
    <w:p w14:paraId="78626872" w14:textId="77777777" w:rsidR="00B33F53" w:rsidRDefault="00B33F53" w:rsidP="00B86628">
      <w:pPr>
        <w:pStyle w:val="NoSpacing"/>
        <w:rPr>
          <w:rFonts w:ascii="Arial Black" w:hAnsi="Arial Black"/>
          <w:sz w:val="24"/>
          <w:szCs w:val="24"/>
        </w:rPr>
      </w:pPr>
    </w:p>
    <w:p w14:paraId="67E8B875" w14:textId="0DCFCFC5" w:rsidR="0011091B" w:rsidRDefault="0011091B" w:rsidP="00B86628">
      <w:pPr>
        <w:pStyle w:val="NoSpacing"/>
        <w:rPr>
          <w:rFonts w:ascii="Arial Black" w:hAnsi="Arial Black"/>
          <w:sz w:val="24"/>
          <w:szCs w:val="24"/>
        </w:rPr>
      </w:pPr>
      <w:r>
        <w:rPr>
          <w:rFonts w:ascii="Arial Black" w:hAnsi="Arial Black"/>
          <w:sz w:val="24"/>
          <w:szCs w:val="24"/>
        </w:rPr>
        <w:t>1-157</w:t>
      </w:r>
    </w:p>
    <w:p w14:paraId="09C37B75" w14:textId="77777777" w:rsidR="0011091B" w:rsidRDefault="0011091B" w:rsidP="00B86628">
      <w:pPr>
        <w:pStyle w:val="NoSpacing"/>
        <w:rPr>
          <w:rFonts w:ascii="Arial Black" w:hAnsi="Arial Black"/>
          <w:sz w:val="24"/>
          <w:szCs w:val="24"/>
        </w:rPr>
      </w:pPr>
    </w:p>
    <w:p w14:paraId="6A397B91" w14:textId="77777777" w:rsidR="0011091B" w:rsidRPr="00287362" w:rsidRDefault="0011091B" w:rsidP="0011091B">
      <w:pPr>
        <w:pStyle w:val="NoSpacing"/>
        <w:rPr>
          <w:rFonts w:ascii="Arial Black" w:hAnsi="Arial Black"/>
          <w:sz w:val="28"/>
        </w:rPr>
      </w:pPr>
      <w:r>
        <w:rPr>
          <w:rFonts w:ascii="Arial Black" w:hAnsi="Arial Black"/>
          <w:sz w:val="28"/>
        </w:rPr>
        <w:t>NY: YONKRS FIRE INSPECTION FEES - LAWFUL - MULTI-FAMILY OWNERS MUST PAY UP TO $1,250 PER YEAR</w:t>
      </w:r>
    </w:p>
    <w:p w14:paraId="3A464BAF" w14:textId="77777777" w:rsidR="0011091B" w:rsidRDefault="0011091B" w:rsidP="0011091B">
      <w:pPr>
        <w:pStyle w:val="NoSpacing"/>
      </w:pPr>
    </w:p>
    <w:p w14:paraId="35D24288" w14:textId="77777777" w:rsidR="0011091B" w:rsidRPr="0011091B" w:rsidRDefault="0011091B" w:rsidP="0011091B">
      <w:pPr>
        <w:pStyle w:val="NoSpacing"/>
        <w:rPr>
          <w:rFonts w:ascii="Times New Roman" w:hAnsi="Times New Roman"/>
          <w:sz w:val="24"/>
          <w:szCs w:val="24"/>
        </w:rPr>
      </w:pPr>
      <w:r w:rsidRPr="0011091B">
        <w:rPr>
          <w:rFonts w:ascii="Times New Roman" w:hAnsi="Times New Roman"/>
          <w:sz w:val="24"/>
          <w:szCs w:val="24"/>
        </w:rPr>
        <w:t xml:space="preserve">On Sept. 18, 2024, in </w:t>
      </w:r>
      <w:r w:rsidRPr="0011091B">
        <w:rPr>
          <w:rFonts w:ascii="Times New Roman" w:hAnsi="Times New Roman"/>
          <w:sz w:val="24"/>
          <w:szCs w:val="24"/>
          <w:u w:val="single"/>
        </w:rPr>
        <w:t>WMC Realty Cop. and T.A.C. Realty Corp. v. City of Yonkers</w:t>
      </w:r>
      <w:r w:rsidRPr="0011091B">
        <w:rPr>
          <w:rFonts w:ascii="Times New Roman" w:hAnsi="Times New Roman"/>
          <w:sz w:val="24"/>
          <w:szCs w:val="24"/>
        </w:rPr>
        <w:t>, Judge William J. Giacomo, Justice of the West Chester County Supreme Court, granted the City’s motion for summary judgment. The Court wrote: “The record indicates that the total budget for the Yonkers Fire Department for Fiscal Year 2021 was $74,369,758</w:t>
      </w:r>
      <w:proofErr w:type="gramStart"/>
      <w:r w:rsidRPr="0011091B">
        <w:rPr>
          <w:rFonts w:ascii="Times New Roman" w:hAnsi="Times New Roman"/>
          <w:sz w:val="24"/>
          <w:szCs w:val="24"/>
        </w:rPr>
        <w:t>…..</w:t>
      </w:r>
      <w:proofErr w:type="gramEnd"/>
      <w:r w:rsidRPr="0011091B">
        <w:rPr>
          <w:rFonts w:ascii="Times New Roman" w:hAnsi="Times New Roman"/>
          <w:sz w:val="24"/>
          <w:szCs w:val="24"/>
        </w:rPr>
        <w:t xml:space="preserve"> the [Fire Inspection] Program cost approximately $5.8 million </w:t>
      </w:r>
      <w:proofErr w:type="gramStart"/>
      <w:r w:rsidRPr="0011091B">
        <w:rPr>
          <w:rFonts w:ascii="Times New Roman" w:hAnsi="Times New Roman"/>
          <w:sz w:val="24"/>
          <w:szCs w:val="24"/>
        </w:rPr>
        <w:t>and that</w:t>
      </w:r>
      <w:proofErr w:type="gramEnd"/>
      <w:r w:rsidRPr="0011091B">
        <w:rPr>
          <w:rFonts w:ascii="Times New Roman" w:hAnsi="Times New Roman"/>
          <w:sz w:val="24"/>
          <w:szCs w:val="24"/>
        </w:rPr>
        <w:t xml:space="preserve"> only $3.2 million in fees were collected. These mathematical figures were verified by an independent accountants' report. Thus, defendants have demonstrated that the Program fees collected far exceeded the cost of administering the Program. *** Accordingly, defendants established prima facie that the Program Fees imposed pursuant to Section 55-7 of the Yonkers Fire Code are a permissible fee rather than an unconstitutional tax and their motion for summary judgment is granted. In opposition, plaintiffs failed to raise a triable issue of fact </w:t>
      </w:r>
      <w:proofErr w:type="gramStart"/>
      <w:r w:rsidRPr="0011091B">
        <w:rPr>
          <w:rFonts w:ascii="Times New Roman" w:hAnsi="Times New Roman"/>
          <w:sz w:val="24"/>
          <w:szCs w:val="24"/>
        </w:rPr>
        <w:t>and also</w:t>
      </w:r>
      <w:proofErr w:type="gramEnd"/>
      <w:r w:rsidRPr="0011091B">
        <w:rPr>
          <w:rFonts w:ascii="Times New Roman" w:hAnsi="Times New Roman"/>
          <w:sz w:val="24"/>
          <w:szCs w:val="24"/>
        </w:rPr>
        <w:t xml:space="preserve"> fail to support their own motion for summary judgment.” </w:t>
      </w:r>
      <w:hyperlink r:id="rId123" w:history="1">
        <w:r w:rsidRPr="0011091B">
          <w:rPr>
            <w:rStyle w:val="Hyperlink"/>
            <w:rFonts w:ascii="Times New Roman" w:hAnsi="Times New Roman"/>
            <w:sz w:val="24"/>
            <w:szCs w:val="24"/>
          </w:rPr>
          <w:t>https://law.justia.com/cases/new-york/other-courts/2024/2024-ny-slip-op-51294-u.html</w:t>
        </w:r>
      </w:hyperlink>
      <w:r w:rsidRPr="0011091B">
        <w:rPr>
          <w:rFonts w:ascii="Times New Roman" w:hAnsi="Times New Roman"/>
          <w:sz w:val="24"/>
          <w:szCs w:val="24"/>
        </w:rPr>
        <w:t xml:space="preserve"> </w:t>
      </w:r>
    </w:p>
    <w:p w14:paraId="5E4F1998" w14:textId="77777777" w:rsidR="0011091B" w:rsidRPr="0011091B" w:rsidRDefault="0011091B" w:rsidP="0011091B">
      <w:pPr>
        <w:pStyle w:val="NoSpacing"/>
        <w:rPr>
          <w:rFonts w:ascii="Times New Roman" w:hAnsi="Times New Roman"/>
          <w:sz w:val="24"/>
          <w:szCs w:val="24"/>
        </w:rPr>
      </w:pPr>
    </w:p>
    <w:p w14:paraId="1B95D348" w14:textId="77777777" w:rsidR="0011091B" w:rsidRPr="0011091B" w:rsidRDefault="0011091B" w:rsidP="0011091B">
      <w:pPr>
        <w:pStyle w:val="NoSpacing"/>
        <w:rPr>
          <w:rFonts w:ascii="Times New Roman" w:hAnsi="Times New Roman"/>
          <w:sz w:val="24"/>
          <w:szCs w:val="24"/>
        </w:rPr>
      </w:pPr>
      <w:r w:rsidRPr="0011091B">
        <w:rPr>
          <w:rFonts w:ascii="Times New Roman" w:hAnsi="Times New Roman"/>
          <w:sz w:val="24"/>
          <w:szCs w:val="24"/>
        </w:rPr>
        <w:t>THE COURT HELD:</w:t>
      </w:r>
    </w:p>
    <w:p w14:paraId="5DD73CAF" w14:textId="77777777" w:rsidR="0011091B" w:rsidRPr="0011091B" w:rsidRDefault="0011091B" w:rsidP="0011091B">
      <w:pPr>
        <w:pStyle w:val="NoSpacing"/>
        <w:rPr>
          <w:rFonts w:ascii="Times New Roman" w:hAnsi="Times New Roman"/>
          <w:sz w:val="24"/>
          <w:szCs w:val="24"/>
        </w:rPr>
      </w:pPr>
    </w:p>
    <w:p w14:paraId="253FE303" w14:textId="77777777" w:rsidR="0011091B" w:rsidRPr="0011091B" w:rsidRDefault="0011091B" w:rsidP="0011091B">
      <w:pPr>
        <w:pStyle w:val="NoSpacing"/>
        <w:ind w:left="720"/>
        <w:rPr>
          <w:rFonts w:ascii="Times New Roman" w:hAnsi="Times New Roman"/>
          <w:sz w:val="24"/>
          <w:szCs w:val="24"/>
        </w:rPr>
      </w:pPr>
      <w:r w:rsidRPr="0011091B">
        <w:rPr>
          <w:rFonts w:ascii="Times New Roman" w:hAnsi="Times New Roman"/>
          <w:sz w:val="24"/>
          <w:szCs w:val="24"/>
        </w:rPr>
        <w:t xml:space="preserve">“On or about October 3, 2017, plaintiffs filed a class action complaint on their own behalf and on behalf of similarly situated plaintiffs, and a demand for declaratory judgment against defendants. The complaint alleges that the City of Yonkers created a ‘Yonkers Fire and Building Safety Inspection Program,’ </w:t>
      </w:r>
      <w:proofErr w:type="gramStart"/>
      <w:r w:rsidRPr="0011091B">
        <w:rPr>
          <w:rFonts w:ascii="Times New Roman" w:hAnsi="Times New Roman"/>
          <w:sz w:val="24"/>
          <w:szCs w:val="24"/>
        </w:rPr>
        <w:t>in order to</w:t>
      </w:r>
      <w:proofErr w:type="gramEnd"/>
      <w:r w:rsidRPr="0011091B">
        <w:rPr>
          <w:rFonts w:ascii="Times New Roman" w:hAnsi="Times New Roman"/>
          <w:sz w:val="24"/>
          <w:szCs w:val="24"/>
        </w:rPr>
        <w:t xml:space="preserve"> provide fire and safety inspections for all multi-family dwelling units within the </w:t>
      </w:r>
      <w:proofErr w:type="gramStart"/>
      <w:r w:rsidRPr="0011091B">
        <w:rPr>
          <w:rFonts w:ascii="Times New Roman" w:hAnsi="Times New Roman"/>
          <w:sz w:val="24"/>
          <w:szCs w:val="24"/>
        </w:rPr>
        <w:t>City</w:t>
      </w:r>
      <w:proofErr w:type="gramEnd"/>
      <w:r w:rsidRPr="0011091B">
        <w:rPr>
          <w:rFonts w:ascii="Times New Roman" w:hAnsi="Times New Roman"/>
          <w:sz w:val="24"/>
          <w:szCs w:val="24"/>
        </w:rPr>
        <w:t>. The Inspection Program was established pursuant to Article 18 of the Executive Law, entitled the New York State Uniform Fire Prevention and Building Code Act [*3](Uniform Act), as codified in Executive Law § 370 et seq. and the Yonkers Fire and Building Code (</w:t>
      </w:r>
      <w:r w:rsidRPr="0011091B">
        <w:rPr>
          <w:rFonts w:ascii="Times New Roman" w:hAnsi="Times New Roman"/>
          <w:i/>
          <w:iCs/>
          <w:sz w:val="24"/>
          <w:szCs w:val="24"/>
        </w:rPr>
        <w:t xml:space="preserve">see </w:t>
      </w:r>
      <w:r w:rsidRPr="0011091B">
        <w:rPr>
          <w:rFonts w:ascii="Times New Roman" w:hAnsi="Times New Roman"/>
          <w:sz w:val="24"/>
          <w:szCs w:val="24"/>
        </w:rPr>
        <w:t>Yonkers Fire and Building Code § 55-1 et seq.). Section 55-7 of the Yonkers Fire and Building Code, entitled Fees for Fire and Building Safety Inspection Program, sets forth the following:</w:t>
      </w:r>
    </w:p>
    <w:p w14:paraId="1EF4B0F9" w14:textId="77777777" w:rsidR="0011091B" w:rsidRPr="0011091B" w:rsidRDefault="0011091B" w:rsidP="0011091B">
      <w:pPr>
        <w:pStyle w:val="NoSpacing"/>
        <w:ind w:firstLine="720"/>
        <w:rPr>
          <w:rFonts w:ascii="Times New Roman" w:hAnsi="Times New Roman"/>
          <w:sz w:val="24"/>
          <w:szCs w:val="24"/>
        </w:rPr>
      </w:pPr>
    </w:p>
    <w:p w14:paraId="2C3613DB" w14:textId="77777777" w:rsidR="0011091B" w:rsidRPr="0011091B" w:rsidRDefault="0011091B" w:rsidP="0011091B">
      <w:pPr>
        <w:pStyle w:val="NoSpacing"/>
        <w:ind w:left="1440"/>
        <w:rPr>
          <w:rFonts w:ascii="Times New Roman" w:hAnsi="Times New Roman"/>
          <w:sz w:val="24"/>
          <w:szCs w:val="24"/>
        </w:rPr>
      </w:pPr>
      <w:r w:rsidRPr="0011091B">
        <w:rPr>
          <w:rFonts w:ascii="Times New Roman" w:hAnsi="Times New Roman"/>
          <w:sz w:val="24"/>
          <w:szCs w:val="24"/>
        </w:rPr>
        <w:t>‘A. In order to pay for the City of Yonkers Fire and Building Safety Inspection Program, pursuant to which authorized officers and employees of the City of Yonkers inspect residential and business and commercial properties to ensure compliance with applicable codes, including but not limited to the New York State Uniform Fire Prevention and Building Code, the Yonkers Fire and Building Code, the Yonkers Fire Prevention Code, the Multiple Residence Law and other applicable provisions of law, a schedule of fees for classes of occupancies inspected by such program is hereby established.’</w:t>
      </w:r>
    </w:p>
    <w:p w14:paraId="31A47268" w14:textId="77777777" w:rsidR="0011091B" w:rsidRPr="0011091B" w:rsidRDefault="0011091B" w:rsidP="0011091B">
      <w:pPr>
        <w:pStyle w:val="NoSpacing"/>
        <w:rPr>
          <w:rFonts w:ascii="Times New Roman" w:hAnsi="Times New Roman"/>
          <w:sz w:val="24"/>
          <w:szCs w:val="24"/>
        </w:rPr>
      </w:pPr>
      <w:r w:rsidRPr="0011091B">
        <w:rPr>
          <w:rFonts w:ascii="Times New Roman" w:hAnsi="Times New Roman"/>
          <w:sz w:val="24"/>
          <w:szCs w:val="24"/>
        </w:rPr>
        <w:tab/>
      </w:r>
    </w:p>
    <w:p w14:paraId="0CC5BBF4" w14:textId="77777777" w:rsidR="0011091B" w:rsidRPr="0011091B" w:rsidRDefault="0011091B" w:rsidP="0011091B">
      <w:pPr>
        <w:pStyle w:val="NoSpacing"/>
        <w:ind w:left="720" w:firstLine="720"/>
        <w:rPr>
          <w:rFonts w:ascii="Times New Roman" w:hAnsi="Times New Roman"/>
          <w:sz w:val="24"/>
          <w:szCs w:val="24"/>
        </w:rPr>
      </w:pPr>
      <w:r w:rsidRPr="0011091B">
        <w:rPr>
          <w:rFonts w:ascii="Times New Roman" w:hAnsi="Times New Roman"/>
          <w:sz w:val="24"/>
          <w:szCs w:val="24"/>
        </w:rPr>
        <w:t>***</w:t>
      </w:r>
    </w:p>
    <w:p w14:paraId="18C82DA6" w14:textId="77777777" w:rsidR="0011091B" w:rsidRPr="0011091B" w:rsidRDefault="0011091B" w:rsidP="0011091B">
      <w:pPr>
        <w:pStyle w:val="NoSpacing"/>
        <w:ind w:left="1440"/>
        <w:rPr>
          <w:rFonts w:ascii="Times New Roman" w:hAnsi="Times New Roman"/>
          <w:sz w:val="24"/>
          <w:szCs w:val="24"/>
        </w:rPr>
      </w:pPr>
      <w:r w:rsidRPr="0011091B">
        <w:rPr>
          <w:rFonts w:ascii="Times New Roman" w:hAnsi="Times New Roman"/>
          <w:sz w:val="24"/>
          <w:szCs w:val="24"/>
        </w:rPr>
        <w:lastRenderedPageBreak/>
        <w:t xml:space="preserve">Properties are required to be inspected at least once every 36 months and owners are expected to pay annual fees ranging from $250 to $1,250. The Program fees are paid by owners of real property other than </w:t>
      </w:r>
      <w:proofErr w:type="gramStart"/>
      <w:r w:rsidRPr="0011091B">
        <w:rPr>
          <w:rFonts w:ascii="Times New Roman" w:hAnsi="Times New Roman"/>
          <w:sz w:val="24"/>
          <w:szCs w:val="24"/>
        </w:rPr>
        <w:t>one and two family</w:t>
      </w:r>
      <w:proofErr w:type="gramEnd"/>
      <w:r w:rsidRPr="0011091B">
        <w:rPr>
          <w:rFonts w:ascii="Times New Roman" w:hAnsi="Times New Roman"/>
          <w:sz w:val="24"/>
          <w:szCs w:val="24"/>
        </w:rPr>
        <w:t xml:space="preserve"> dwellings and not-for-profit buildings. </w:t>
      </w:r>
    </w:p>
    <w:p w14:paraId="528C0103" w14:textId="77777777" w:rsidR="0011091B" w:rsidRPr="0011091B" w:rsidRDefault="0011091B" w:rsidP="0011091B">
      <w:pPr>
        <w:pStyle w:val="NoSpacing"/>
        <w:ind w:left="720"/>
        <w:rPr>
          <w:rFonts w:ascii="Times New Roman" w:hAnsi="Times New Roman"/>
          <w:sz w:val="24"/>
          <w:szCs w:val="24"/>
        </w:rPr>
      </w:pPr>
    </w:p>
    <w:p w14:paraId="600FA369" w14:textId="77777777" w:rsidR="0011091B" w:rsidRPr="0011091B" w:rsidRDefault="0011091B" w:rsidP="0011091B">
      <w:pPr>
        <w:pStyle w:val="NoSpacing"/>
        <w:ind w:left="720" w:firstLine="720"/>
        <w:rPr>
          <w:rFonts w:ascii="Times New Roman" w:hAnsi="Times New Roman"/>
          <w:sz w:val="24"/>
          <w:szCs w:val="24"/>
        </w:rPr>
      </w:pPr>
      <w:r w:rsidRPr="0011091B">
        <w:rPr>
          <w:rFonts w:ascii="Times New Roman" w:hAnsi="Times New Roman"/>
          <w:sz w:val="24"/>
          <w:szCs w:val="24"/>
        </w:rPr>
        <w:t>***</w:t>
      </w:r>
    </w:p>
    <w:p w14:paraId="52FCCC62" w14:textId="77777777" w:rsidR="0011091B" w:rsidRPr="0011091B" w:rsidRDefault="0011091B" w:rsidP="0011091B">
      <w:pPr>
        <w:pStyle w:val="NoSpacing"/>
        <w:ind w:left="1440"/>
        <w:rPr>
          <w:rFonts w:ascii="Times New Roman" w:hAnsi="Times New Roman"/>
          <w:sz w:val="24"/>
          <w:szCs w:val="24"/>
        </w:rPr>
      </w:pPr>
      <w:r w:rsidRPr="0011091B">
        <w:rPr>
          <w:rFonts w:ascii="Times New Roman" w:hAnsi="Times New Roman"/>
          <w:sz w:val="24"/>
          <w:szCs w:val="24"/>
        </w:rPr>
        <w:t>Finally, it is well established that "[l]</w:t>
      </w:r>
      <w:proofErr w:type="spellStart"/>
      <w:r w:rsidRPr="0011091B">
        <w:rPr>
          <w:rFonts w:ascii="Times New Roman" w:hAnsi="Times New Roman"/>
          <w:sz w:val="24"/>
          <w:szCs w:val="24"/>
        </w:rPr>
        <w:t>egislative</w:t>
      </w:r>
      <w:proofErr w:type="spellEnd"/>
      <w:r w:rsidRPr="0011091B">
        <w:rPr>
          <w:rFonts w:ascii="Times New Roman" w:hAnsi="Times New Roman"/>
          <w:sz w:val="24"/>
          <w:szCs w:val="24"/>
        </w:rPr>
        <w:t xml:space="preserve"> enactments enjoy a strong presumption of constitutionality. While the presumption is not irrefutable, parties challenging a duly </w:t>
      </w:r>
      <w:proofErr w:type="gramStart"/>
      <w:r w:rsidRPr="0011091B">
        <w:rPr>
          <w:rFonts w:ascii="Times New Roman" w:hAnsi="Times New Roman"/>
          <w:sz w:val="24"/>
          <w:szCs w:val="24"/>
        </w:rPr>
        <w:t>enacted [*8]</w:t>
      </w:r>
      <w:proofErr w:type="gramEnd"/>
      <w:r w:rsidRPr="0011091B">
        <w:rPr>
          <w:rFonts w:ascii="Times New Roman" w:hAnsi="Times New Roman"/>
          <w:sz w:val="24"/>
          <w:szCs w:val="24"/>
        </w:rPr>
        <w:t xml:space="preserve">statute face the initial burden of demonstrating the statute's invalidity "beyond a reasonable doubt'. </w:t>
      </w:r>
      <w:r w:rsidRPr="0011091B">
        <w:rPr>
          <w:rFonts w:ascii="Times New Roman" w:hAnsi="Times New Roman"/>
          <w:i/>
          <w:iCs/>
          <w:sz w:val="24"/>
          <w:szCs w:val="24"/>
        </w:rPr>
        <w:t>Lavalle v Hayden</w:t>
      </w:r>
      <w:r w:rsidRPr="0011091B">
        <w:rPr>
          <w:rFonts w:ascii="Times New Roman" w:hAnsi="Times New Roman"/>
          <w:sz w:val="24"/>
          <w:szCs w:val="24"/>
        </w:rPr>
        <w:t xml:space="preserve">, 98 NY2d 155, 161 (2002) (internal quotation marks and citations omitted).Plaintiffs also claim the statute is "invalid" because they allegedly never received an inspection. To the extent that plaintiffs could even maintain this argument separate from claiming a private cause of action, plaintiffs have not met their burden to demonstrate the statute's invalidity beyond a reasonable doubt. First, thousands of properties are subject to </w:t>
      </w:r>
      <w:proofErr w:type="gramStart"/>
      <w:r w:rsidRPr="0011091B">
        <w:rPr>
          <w:rFonts w:ascii="Times New Roman" w:hAnsi="Times New Roman"/>
          <w:sz w:val="24"/>
          <w:szCs w:val="24"/>
        </w:rPr>
        <w:t>inspection</w:t>
      </w:r>
      <w:proofErr w:type="gramEnd"/>
      <w:r w:rsidRPr="0011091B">
        <w:rPr>
          <w:rFonts w:ascii="Times New Roman" w:hAnsi="Times New Roman"/>
          <w:sz w:val="24"/>
          <w:szCs w:val="24"/>
        </w:rPr>
        <w:t xml:space="preserve"> and it is undisputed that there are some written records for inspections. As a result, the alleged failure to inspect one property would not render a statute unconstitutional. Next, the record indicates that plaintiffs' properties were visited and inspected. The owner of the properties, an absentee landlord, testified that he was unaware of any visits by the Fire Department and testified that his tenants do not usually tell him if the Fire Department has visited. Therefore, plaintiffs have failed to prove beyond a reasonable doubt that there were missed inspections. Although there does not appear to be a uniform way the different City Fire Departments document violations and inspections, a motion for summary judgment is not the proper way to challenge a lack of systemic protocols.”</w:t>
      </w:r>
    </w:p>
    <w:p w14:paraId="4739B241" w14:textId="77777777" w:rsidR="0011091B" w:rsidRDefault="0011091B" w:rsidP="0011091B">
      <w:pPr>
        <w:pStyle w:val="NoSpacing"/>
        <w:ind w:left="720"/>
      </w:pPr>
    </w:p>
    <w:p w14:paraId="389A94B7" w14:textId="77777777" w:rsidR="00B33F53" w:rsidRPr="00B33F53" w:rsidRDefault="00B33F53" w:rsidP="00B33F53">
      <w:pPr>
        <w:pStyle w:val="NoSpacing"/>
        <w:rPr>
          <w:rFonts w:ascii="Times New Roman" w:hAnsi="Times New Roman"/>
          <w:b/>
          <w:bCs/>
          <w:sz w:val="24"/>
          <w:szCs w:val="24"/>
        </w:rPr>
      </w:pPr>
      <w:r w:rsidRPr="00B33F53">
        <w:rPr>
          <w:rFonts w:ascii="Times New Roman" w:hAnsi="Times New Roman"/>
          <w:b/>
          <w:bCs/>
          <w:sz w:val="24"/>
          <w:szCs w:val="24"/>
        </w:rPr>
        <w:t xml:space="preserve">Legal Lesson Learned:  State law requiring payment of annual fire inspection fee is lawful. </w:t>
      </w:r>
    </w:p>
    <w:p w14:paraId="31858484" w14:textId="77777777" w:rsidR="0011091B" w:rsidRDefault="0011091B" w:rsidP="00B86628">
      <w:pPr>
        <w:pStyle w:val="NoSpacing"/>
        <w:rPr>
          <w:rFonts w:ascii="Arial Black" w:hAnsi="Arial Black"/>
          <w:sz w:val="24"/>
          <w:szCs w:val="24"/>
        </w:rPr>
      </w:pPr>
    </w:p>
    <w:p w14:paraId="2670C5EF" w14:textId="77777777" w:rsidR="0011091B" w:rsidRDefault="0011091B" w:rsidP="00B86628">
      <w:pPr>
        <w:pStyle w:val="NoSpacing"/>
        <w:rPr>
          <w:rFonts w:ascii="Arial Black" w:hAnsi="Arial Black"/>
          <w:sz w:val="24"/>
          <w:szCs w:val="24"/>
        </w:rPr>
      </w:pPr>
    </w:p>
    <w:p w14:paraId="1DC154D1" w14:textId="77777777" w:rsidR="0011091B" w:rsidRDefault="0011091B" w:rsidP="00B86628">
      <w:pPr>
        <w:pStyle w:val="NoSpacing"/>
        <w:rPr>
          <w:rFonts w:ascii="Arial Black" w:hAnsi="Arial Black"/>
          <w:sz w:val="24"/>
          <w:szCs w:val="24"/>
        </w:rPr>
      </w:pPr>
    </w:p>
    <w:p w14:paraId="76180A73" w14:textId="4F662C61" w:rsidR="00C443C1" w:rsidRDefault="00C443C1" w:rsidP="00B86628">
      <w:pPr>
        <w:pStyle w:val="NoSpacing"/>
        <w:rPr>
          <w:rFonts w:ascii="Arial Black" w:hAnsi="Arial Black"/>
          <w:sz w:val="24"/>
          <w:szCs w:val="24"/>
        </w:rPr>
      </w:pPr>
      <w:r>
        <w:rPr>
          <w:rFonts w:ascii="Arial Black" w:hAnsi="Arial Black"/>
          <w:sz w:val="24"/>
          <w:szCs w:val="24"/>
        </w:rPr>
        <w:t>1-156</w:t>
      </w:r>
    </w:p>
    <w:p w14:paraId="2995E35A" w14:textId="77777777" w:rsidR="00C443C1" w:rsidRDefault="00C443C1" w:rsidP="00B86628">
      <w:pPr>
        <w:pStyle w:val="NoSpacing"/>
        <w:rPr>
          <w:rFonts w:ascii="Arial Black" w:hAnsi="Arial Black"/>
          <w:sz w:val="24"/>
          <w:szCs w:val="24"/>
        </w:rPr>
      </w:pPr>
    </w:p>
    <w:p w14:paraId="2F229D67" w14:textId="0006342D" w:rsidR="005C3A2A" w:rsidRPr="00752E25" w:rsidRDefault="005C3A2A" w:rsidP="005C3A2A">
      <w:pPr>
        <w:pStyle w:val="NoSpacing"/>
        <w:rPr>
          <w:rFonts w:ascii="Arial Black" w:hAnsi="Arial Black"/>
          <w:sz w:val="28"/>
        </w:rPr>
      </w:pPr>
      <w:r w:rsidRPr="00752E25">
        <w:rPr>
          <w:rFonts w:ascii="Arial Black" w:hAnsi="Arial Black"/>
          <w:sz w:val="28"/>
        </w:rPr>
        <w:t xml:space="preserve">OH: MATTRESS FIRE – WOMAN SERVED 6 YRS OHIO PRISON - FD INVESTIGATOR: TWO FIRES – DEFENSE EXPERT: FALSE, </w:t>
      </w:r>
      <w:r w:rsidR="007D62C3" w:rsidRPr="00752E25">
        <w:rPr>
          <w:rFonts w:ascii="Arial Black" w:hAnsi="Arial Black"/>
          <w:sz w:val="28"/>
        </w:rPr>
        <w:t xml:space="preserve">ONLY </w:t>
      </w:r>
      <w:r w:rsidRPr="00752E25">
        <w:rPr>
          <w:rFonts w:ascii="Arial Black" w:hAnsi="Arial Black"/>
          <w:sz w:val="28"/>
        </w:rPr>
        <w:t>ONE FIRE</w:t>
      </w:r>
    </w:p>
    <w:p w14:paraId="5DFD41EC" w14:textId="77777777" w:rsidR="005C3A2A" w:rsidRDefault="005C3A2A" w:rsidP="005C3A2A">
      <w:pPr>
        <w:pStyle w:val="NoSpacing"/>
        <w:rPr>
          <w:szCs w:val="24"/>
        </w:rPr>
      </w:pPr>
    </w:p>
    <w:p w14:paraId="57D6DBD7" w14:textId="77777777" w:rsidR="005C3A2A" w:rsidRPr="005C3A2A" w:rsidRDefault="005C3A2A" w:rsidP="005C3A2A">
      <w:pPr>
        <w:pStyle w:val="NoSpacing"/>
        <w:rPr>
          <w:rFonts w:ascii="Times New Roman" w:hAnsi="Times New Roman"/>
          <w:sz w:val="24"/>
          <w:szCs w:val="24"/>
        </w:rPr>
      </w:pPr>
      <w:r w:rsidRPr="005C3A2A">
        <w:rPr>
          <w:rFonts w:ascii="Times New Roman" w:hAnsi="Times New Roman"/>
          <w:sz w:val="24"/>
          <w:szCs w:val="24"/>
        </w:rPr>
        <w:t xml:space="preserve">On August 26, 2024, in </w:t>
      </w:r>
      <w:r w:rsidRPr="005C3A2A">
        <w:rPr>
          <w:rFonts w:ascii="Times New Roman" w:hAnsi="Times New Roman"/>
          <w:sz w:val="24"/>
          <w:szCs w:val="24"/>
          <w:u w:val="single"/>
        </w:rPr>
        <w:t xml:space="preserve">Kayla Jean Ayers v. Ohio Department of Rehabilitation </w:t>
      </w:r>
      <w:proofErr w:type="gramStart"/>
      <w:r w:rsidRPr="005C3A2A">
        <w:rPr>
          <w:rFonts w:ascii="Times New Roman" w:hAnsi="Times New Roman"/>
          <w:sz w:val="24"/>
          <w:szCs w:val="24"/>
          <w:u w:val="single"/>
        </w:rPr>
        <w:t>And</w:t>
      </w:r>
      <w:proofErr w:type="gramEnd"/>
      <w:r w:rsidRPr="005C3A2A">
        <w:rPr>
          <w:rFonts w:ascii="Times New Roman" w:hAnsi="Times New Roman"/>
          <w:sz w:val="24"/>
          <w:szCs w:val="24"/>
          <w:u w:val="single"/>
        </w:rPr>
        <w:t xml:space="preserve"> Corrections</w:t>
      </w:r>
      <w:r w:rsidRPr="005C3A2A">
        <w:rPr>
          <w:rFonts w:ascii="Times New Roman" w:hAnsi="Times New Roman"/>
          <w:sz w:val="24"/>
          <w:szCs w:val="24"/>
        </w:rPr>
        <w:t xml:space="preserve">, the U.S. Court of Appeals for the Sixth Circuit (Cincinnati), held (3 to 0) that the former prisoner is entitled habeas corpus relief, so she no longer has to register annually as an arson offender; can possess a firearm.  Her court-appointed trial attorney was ineffective in not retaining an expert witness concerning the mattress fire in basement on Oct. 3, </w:t>
      </w:r>
      <w:proofErr w:type="gramStart"/>
      <w:r w:rsidRPr="005C3A2A">
        <w:rPr>
          <w:rFonts w:ascii="Times New Roman" w:hAnsi="Times New Roman"/>
          <w:sz w:val="24"/>
          <w:szCs w:val="24"/>
        </w:rPr>
        <w:t>2012</w:t>
      </w:r>
      <w:proofErr w:type="gramEnd"/>
      <w:r w:rsidRPr="005C3A2A">
        <w:rPr>
          <w:rFonts w:ascii="Times New Roman" w:hAnsi="Times New Roman"/>
          <w:sz w:val="24"/>
          <w:szCs w:val="24"/>
        </w:rPr>
        <w:t xml:space="preserve"> which Massillon FD extinguished.  While Ayers was still in prison, the Ohio Innocence Project reviewed the case and consulted with “renowned fire-inspection expert John Lentini (Lentini is one of the principal authors of NFPA 921).” He concluded in his July 29, </w:t>
      </w:r>
      <w:proofErr w:type="gramStart"/>
      <w:r w:rsidRPr="005C3A2A">
        <w:rPr>
          <w:rFonts w:ascii="Times New Roman" w:hAnsi="Times New Roman"/>
          <w:sz w:val="24"/>
          <w:szCs w:val="24"/>
        </w:rPr>
        <w:t>2019</w:t>
      </w:r>
      <w:proofErr w:type="gramEnd"/>
      <w:r w:rsidRPr="005C3A2A">
        <w:rPr>
          <w:rFonts w:ascii="Times New Roman" w:hAnsi="Times New Roman"/>
          <w:sz w:val="24"/>
          <w:szCs w:val="24"/>
        </w:rPr>
        <w:t xml:space="preserve"> report that there were not two separate fires on the mattress.  The Court wrote: “Lentini is one of the principal authors of NFPA 921, the manual that [Fire Inspector Reginald] Winters relied on in formulating his opinions. In his report, Lentini opined that ‘[t]here [was] no evidence that [two fires] were ‘simultaneously burning’ and that ‘[t]he damage [was] indistinguishable from damage caused by normal fire spread from a single point of origin,’ undermining the State’s theory that the fire had been started intentionally Lentini also questioned Winters’s qualifications to testify about the fire’s cause, stating that Winters’s methods were ‘unreliable, unscientific, and at odds with generally accepted fire investigation methodology.’ *** The district court clearly erred in finding that Lentini’s report did not establish the factual predicate for Ayers’s ineffective-assistance claim.” </w:t>
      </w:r>
      <w:hyperlink r:id="rId124" w:history="1">
        <w:r w:rsidRPr="005C3A2A">
          <w:rPr>
            <w:rStyle w:val="Hyperlink"/>
            <w:rFonts w:ascii="Times New Roman" w:hAnsi="Times New Roman"/>
            <w:sz w:val="24"/>
            <w:szCs w:val="24"/>
          </w:rPr>
          <w:t>https://www.opn.ca6.uscourts.gov/opinions.pdf/24a0196p-06.pdf</w:t>
        </w:r>
      </w:hyperlink>
      <w:r w:rsidRPr="005C3A2A">
        <w:rPr>
          <w:rFonts w:ascii="Times New Roman" w:hAnsi="Times New Roman"/>
          <w:sz w:val="24"/>
          <w:szCs w:val="24"/>
        </w:rPr>
        <w:t xml:space="preserve"> </w:t>
      </w:r>
    </w:p>
    <w:p w14:paraId="68BCB087" w14:textId="77777777" w:rsidR="005C3A2A" w:rsidRPr="005C3A2A" w:rsidRDefault="005C3A2A" w:rsidP="005C3A2A">
      <w:pPr>
        <w:pStyle w:val="NoSpacing"/>
        <w:rPr>
          <w:rFonts w:ascii="Times New Roman" w:hAnsi="Times New Roman"/>
          <w:sz w:val="24"/>
          <w:szCs w:val="24"/>
        </w:rPr>
      </w:pPr>
    </w:p>
    <w:p w14:paraId="29CD1AB0" w14:textId="77777777" w:rsidR="005C3A2A" w:rsidRPr="005C3A2A" w:rsidRDefault="005C3A2A" w:rsidP="005C3A2A">
      <w:pPr>
        <w:pStyle w:val="NoSpacing"/>
        <w:rPr>
          <w:rFonts w:ascii="Times New Roman" w:hAnsi="Times New Roman"/>
          <w:sz w:val="24"/>
          <w:szCs w:val="24"/>
        </w:rPr>
      </w:pPr>
      <w:r w:rsidRPr="005C3A2A">
        <w:rPr>
          <w:rFonts w:ascii="Times New Roman" w:hAnsi="Times New Roman"/>
          <w:sz w:val="24"/>
          <w:szCs w:val="24"/>
        </w:rPr>
        <w:t>THE COURT HELD:</w:t>
      </w:r>
    </w:p>
    <w:p w14:paraId="3C859E24" w14:textId="77777777" w:rsidR="005C3A2A" w:rsidRPr="005C3A2A" w:rsidRDefault="005C3A2A" w:rsidP="005C3A2A">
      <w:pPr>
        <w:pStyle w:val="NoSpacing"/>
        <w:rPr>
          <w:rFonts w:ascii="Times New Roman" w:hAnsi="Times New Roman"/>
          <w:sz w:val="24"/>
          <w:szCs w:val="24"/>
        </w:rPr>
      </w:pPr>
    </w:p>
    <w:p w14:paraId="6D109A80" w14:textId="77777777" w:rsidR="005C3A2A" w:rsidRPr="005C3A2A" w:rsidRDefault="005C3A2A" w:rsidP="005C3A2A">
      <w:pPr>
        <w:pStyle w:val="NoSpacing"/>
        <w:ind w:left="720"/>
        <w:rPr>
          <w:rFonts w:ascii="Times New Roman" w:hAnsi="Times New Roman"/>
          <w:sz w:val="24"/>
          <w:szCs w:val="24"/>
        </w:rPr>
      </w:pPr>
      <w:r w:rsidRPr="005C3A2A">
        <w:rPr>
          <w:rFonts w:ascii="Times New Roman" w:hAnsi="Times New Roman"/>
          <w:sz w:val="24"/>
          <w:szCs w:val="24"/>
        </w:rPr>
        <w:t>“Although Ayers was released from prison in 2019 and completed post-release control in 2022, she continues to suffer collateral consequences for her felony arson conviction. See, e.g., Ohio Rev. Code Ann. § 2909.15(D)(2) (requiring arson offenders to register annually with the state ‘until the offender’s death’); 18 U.S.C. § 922(g)(1) (prohibiting convicted felons from possessing firearms).</w:t>
      </w:r>
    </w:p>
    <w:p w14:paraId="31040F05" w14:textId="77777777" w:rsidR="005C3A2A" w:rsidRPr="005C3A2A" w:rsidRDefault="005C3A2A" w:rsidP="005C3A2A">
      <w:pPr>
        <w:pStyle w:val="NoSpacing"/>
        <w:ind w:left="720"/>
        <w:rPr>
          <w:rFonts w:ascii="Times New Roman" w:hAnsi="Times New Roman"/>
          <w:sz w:val="24"/>
          <w:szCs w:val="24"/>
        </w:rPr>
      </w:pPr>
    </w:p>
    <w:p w14:paraId="03C109AA" w14:textId="77777777" w:rsidR="005C3A2A" w:rsidRPr="005C3A2A" w:rsidRDefault="005C3A2A" w:rsidP="005C3A2A">
      <w:pPr>
        <w:pStyle w:val="NoSpacing"/>
        <w:ind w:left="720"/>
        <w:rPr>
          <w:rFonts w:ascii="Times New Roman" w:hAnsi="Times New Roman"/>
          <w:sz w:val="24"/>
          <w:szCs w:val="24"/>
        </w:rPr>
      </w:pPr>
      <w:r w:rsidRPr="005C3A2A">
        <w:rPr>
          <w:rFonts w:ascii="Times New Roman" w:hAnsi="Times New Roman"/>
          <w:sz w:val="24"/>
          <w:szCs w:val="24"/>
        </w:rPr>
        <w:t>***</w:t>
      </w:r>
    </w:p>
    <w:p w14:paraId="1F9C5FE1" w14:textId="77777777" w:rsidR="005C3A2A" w:rsidRPr="005C3A2A" w:rsidRDefault="005C3A2A" w:rsidP="005C3A2A">
      <w:pPr>
        <w:pStyle w:val="NoSpacing"/>
        <w:rPr>
          <w:rFonts w:ascii="Times New Roman" w:hAnsi="Times New Roman"/>
          <w:sz w:val="24"/>
          <w:szCs w:val="24"/>
        </w:rPr>
      </w:pPr>
    </w:p>
    <w:p w14:paraId="4D16F927" w14:textId="77777777" w:rsidR="005C3A2A" w:rsidRPr="005C3A2A" w:rsidRDefault="005C3A2A" w:rsidP="005C3A2A">
      <w:pPr>
        <w:pStyle w:val="NoSpacing"/>
        <w:ind w:left="720"/>
        <w:rPr>
          <w:rFonts w:ascii="Times New Roman" w:hAnsi="Times New Roman"/>
          <w:sz w:val="24"/>
          <w:szCs w:val="24"/>
        </w:rPr>
      </w:pPr>
      <w:r w:rsidRPr="005C3A2A">
        <w:rPr>
          <w:rFonts w:ascii="Times New Roman" w:hAnsi="Times New Roman"/>
          <w:sz w:val="24"/>
          <w:szCs w:val="24"/>
        </w:rPr>
        <w:t>And Lentini’s report posits that Winters was not qualified to testify about the fire’s cause and that his conclusion that the fire had two ignition points was not based on sound scientific methodology. Indeed, such evidence could have resulted in Ayers’s acquittal.”</w:t>
      </w:r>
    </w:p>
    <w:p w14:paraId="0F8C34C3" w14:textId="77777777" w:rsidR="005C3A2A" w:rsidRPr="005C3A2A" w:rsidRDefault="005C3A2A" w:rsidP="005C3A2A">
      <w:pPr>
        <w:pStyle w:val="NoSpacing"/>
        <w:ind w:left="720"/>
        <w:rPr>
          <w:rFonts w:ascii="Times New Roman" w:hAnsi="Times New Roman"/>
          <w:sz w:val="24"/>
          <w:szCs w:val="24"/>
        </w:rPr>
      </w:pPr>
    </w:p>
    <w:p w14:paraId="10D0CFDF" w14:textId="77777777" w:rsidR="005C3A2A" w:rsidRPr="005C3A2A" w:rsidRDefault="005C3A2A" w:rsidP="005C3A2A">
      <w:pPr>
        <w:pStyle w:val="NoSpacing"/>
        <w:rPr>
          <w:rFonts w:ascii="Times New Roman" w:hAnsi="Times New Roman"/>
          <w:b/>
          <w:bCs/>
          <w:sz w:val="24"/>
          <w:szCs w:val="24"/>
        </w:rPr>
      </w:pPr>
      <w:r w:rsidRPr="005C3A2A">
        <w:rPr>
          <w:rFonts w:ascii="Times New Roman" w:hAnsi="Times New Roman"/>
          <w:b/>
          <w:bCs/>
          <w:sz w:val="24"/>
          <w:szCs w:val="24"/>
        </w:rPr>
        <w:t xml:space="preserve">Legal Lesson Learned: Arson investigators must be qualified and base their testimony on scientific evidence. </w:t>
      </w:r>
    </w:p>
    <w:p w14:paraId="35C345E0" w14:textId="77777777" w:rsidR="005C3A2A" w:rsidRPr="005C3A2A" w:rsidRDefault="005C3A2A" w:rsidP="005C3A2A">
      <w:pPr>
        <w:pStyle w:val="NoSpacing"/>
        <w:rPr>
          <w:rFonts w:ascii="Times New Roman" w:hAnsi="Times New Roman"/>
          <w:sz w:val="24"/>
          <w:szCs w:val="24"/>
        </w:rPr>
      </w:pPr>
    </w:p>
    <w:p w14:paraId="36B88CEB" w14:textId="77777777" w:rsidR="000338D1" w:rsidRPr="00557963" w:rsidRDefault="000338D1" w:rsidP="000338D1">
      <w:pPr>
        <w:pStyle w:val="NoSpacing"/>
        <w:ind w:left="720"/>
        <w:rPr>
          <w:rFonts w:ascii="Times New Roman" w:hAnsi="Times New Roman"/>
          <w:sz w:val="24"/>
          <w:szCs w:val="24"/>
        </w:rPr>
      </w:pPr>
      <w:r w:rsidRPr="00557963">
        <w:rPr>
          <w:rFonts w:ascii="Times New Roman" w:hAnsi="Times New Roman"/>
          <w:sz w:val="24"/>
          <w:szCs w:val="24"/>
        </w:rPr>
        <w:t>Note: See articles on this case.</w:t>
      </w:r>
    </w:p>
    <w:p w14:paraId="6102DBC0" w14:textId="77777777" w:rsidR="000338D1" w:rsidRPr="00557963" w:rsidRDefault="000338D1" w:rsidP="000338D1">
      <w:pPr>
        <w:pStyle w:val="NoSpacing"/>
        <w:ind w:left="720"/>
        <w:rPr>
          <w:rFonts w:ascii="Times New Roman" w:hAnsi="Times New Roman"/>
          <w:sz w:val="24"/>
          <w:szCs w:val="24"/>
        </w:rPr>
      </w:pPr>
    </w:p>
    <w:p w14:paraId="45B5406C" w14:textId="77777777" w:rsidR="000338D1" w:rsidRDefault="000338D1" w:rsidP="000338D1">
      <w:pPr>
        <w:pStyle w:val="NoSpacing"/>
        <w:ind w:left="720"/>
        <w:rPr>
          <w:rFonts w:ascii="Times New Roman" w:hAnsi="Times New Roman"/>
          <w:sz w:val="24"/>
          <w:szCs w:val="24"/>
        </w:rPr>
      </w:pPr>
      <w:r w:rsidRPr="00557963">
        <w:rPr>
          <w:rFonts w:ascii="Times New Roman" w:hAnsi="Times New Roman"/>
          <w:sz w:val="24"/>
          <w:szCs w:val="24"/>
        </w:rPr>
        <w:t xml:space="preserve">Sept. 4, 2024: Biden Judge Writes Unanimous Opinion Letting Indigent Woman Challenge Her Conviction </w:t>
      </w:r>
      <w:proofErr w:type="gramStart"/>
      <w:r w:rsidRPr="00557963">
        <w:rPr>
          <w:rFonts w:ascii="Times New Roman" w:hAnsi="Times New Roman"/>
          <w:sz w:val="24"/>
          <w:szCs w:val="24"/>
        </w:rPr>
        <w:t>As</w:t>
      </w:r>
      <w:proofErr w:type="gramEnd"/>
      <w:r w:rsidRPr="00557963">
        <w:rPr>
          <w:rFonts w:ascii="Times New Roman" w:hAnsi="Times New Roman"/>
          <w:sz w:val="24"/>
          <w:szCs w:val="24"/>
        </w:rPr>
        <w:t xml:space="preserve"> Unfairly Based on Testimony from an Unqualified Expert. </w:t>
      </w:r>
    </w:p>
    <w:p w14:paraId="557549BF" w14:textId="77777777" w:rsidR="000338D1" w:rsidRDefault="000338D1" w:rsidP="000338D1">
      <w:pPr>
        <w:pStyle w:val="NoSpacing"/>
        <w:ind w:left="720"/>
        <w:rPr>
          <w:rFonts w:ascii="Times New Roman" w:hAnsi="Times New Roman"/>
          <w:sz w:val="24"/>
          <w:szCs w:val="24"/>
        </w:rPr>
      </w:pPr>
      <w:r>
        <w:rPr>
          <w:rFonts w:ascii="Times New Roman" w:hAnsi="Times New Roman"/>
          <w:sz w:val="24"/>
          <w:szCs w:val="24"/>
        </w:rPr>
        <w:t>“</w:t>
      </w:r>
      <w:r w:rsidRPr="00AE5532">
        <w:rPr>
          <w:rFonts w:ascii="Times New Roman" w:hAnsi="Times New Roman"/>
          <w:sz w:val="24"/>
          <w:szCs w:val="24"/>
        </w:rPr>
        <w:t>Judge Andre Mathis, who was nominated by President Biden to the Sixth Circuit court of appeals, wrote a unanimous opinion that reversed a lower court and allowed an indigent woman to proceed with her post-conviction claim that her trial counsel was constitutionally ineffective because he failed to claim that the fire inspector who provided critical testimony that led to her arson conviction was unqualified.</w:t>
      </w:r>
      <w:r>
        <w:rPr>
          <w:rFonts w:ascii="Times New Roman" w:hAnsi="Times New Roman"/>
          <w:sz w:val="24"/>
          <w:szCs w:val="24"/>
        </w:rPr>
        <w:t xml:space="preserve">” </w:t>
      </w:r>
    </w:p>
    <w:p w14:paraId="0F9B0E6A" w14:textId="77777777" w:rsidR="000338D1" w:rsidRPr="00557963" w:rsidRDefault="000338D1" w:rsidP="000338D1">
      <w:pPr>
        <w:pStyle w:val="NoSpacing"/>
        <w:ind w:left="720"/>
        <w:rPr>
          <w:rFonts w:ascii="Times New Roman" w:hAnsi="Times New Roman"/>
          <w:sz w:val="24"/>
          <w:szCs w:val="24"/>
        </w:rPr>
      </w:pPr>
      <w:hyperlink r:id="rId125" w:history="1">
        <w:r w:rsidRPr="00C56BB9">
          <w:rPr>
            <w:rStyle w:val="Hyperlink"/>
            <w:rFonts w:ascii="Times New Roman" w:hAnsi="Times New Roman"/>
            <w:sz w:val="24"/>
            <w:szCs w:val="24"/>
          </w:rPr>
          <w:t>https://www.peoplefor.org/biden-judge-writes-unanimous-opinion-letting-indigent-woman-challenge-her-conviction-unfairly-based</w:t>
        </w:r>
      </w:hyperlink>
      <w:r w:rsidRPr="00557963">
        <w:rPr>
          <w:rFonts w:ascii="Times New Roman" w:hAnsi="Times New Roman"/>
          <w:sz w:val="24"/>
          <w:szCs w:val="24"/>
        </w:rPr>
        <w:t xml:space="preserve"> </w:t>
      </w:r>
    </w:p>
    <w:p w14:paraId="4A84ACCF" w14:textId="77777777" w:rsidR="000338D1" w:rsidRPr="00557963" w:rsidRDefault="000338D1" w:rsidP="000338D1">
      <w:pPr>
        <w:pStyle w:val="NoSpacing"/>
        <w:ind w:left="720"/>
        <w:rPr>
          <w:rFonts w:ascii="Times New Roman" w:hAnsi="Times New Roman"/>
          <w:sz w:val="24"/>
          <w:szCs w:val="24"/>
        </w:rPr>
      </w:pPr>
    </w:p>
    <w:p w14:paraId="5EE652CB" w14:textId="77777777" w:rsidR="000338D1" w:rsidRPr="00557963" w:rsidRDefault="000338D1" w:rsidP="000338D1">
      <w:pPr>
        <w:pStyle w:val="NoSpacing"/>
        <w:ind w:left="720"/>
        <w:rPr>
          <w:rFonts w:ascii="Times New Roman" w:hAnsi="Times New Roman"/>
          <w:sz w:val="24"/>
          <w:szCs w:val="24"/>
        </w:rPr>
      </w:pPr>
    </w:p>
    <w:p w14:paraId="45032E88" w14:textId="77777777" w:rsidR="000338D1" w:rsidRPr="00557963" w:rsidRDefault="000338D1" w:rsidP="000338D1">
      <w:pPr>
        <w:pStyle w:val="NoSpacing"/>
        <w:ind w:left="720"/>
        <w:rPr>
          <w:rFonts w:ascii="Times New Roman" w:hAnsi="Times New Roman"/>
          <w:sz w:val="24"/>
          <w:szCs w:val="24"/>
        </w:rPr>
      </w:pPr>
      <w:r w:rsidRPr="00557963">
        <w:rPr>
          <w:rFonts w:ascii="Times New Roman" w:hAnsi="Times New Roman"/>
          <w:sz w:val="24"/>
          <w:szCs w:val="24"/>
        </w:rPr>
        <w:t xml:space="preserve">Jan. 29, 2013: Massillon woman gets 7 years for setting fire to her house. </w:t>
      </w:r>
      <w:hyperlink r:id="rId126" w:history="1">
        <w:r w:rsidRPr="00557963">
          <w:rPr>
            <w:rStyle w:val="Hyperlink"/>
            <w:rFonts w:ascii="Times New Roman" w:hAnsi="Times New Roman"/>
            <w:sz w:val="24"/>
            <w:szCs w:val="24"/>
          </w:rPr>
          <w:t>https://www.indeonline.com/story/news/2013/01/30/massillon-woman-gets-7-years/65001393007/</w:t>
        </w:r>
      </w:hyperlink>
      <w:r w:rsidRPr="00557963">
        <w:rPr>
          <w:rFonts w:ascii="Times New Roman" w:hAnsi="Times New Roman"/>
          <w:sz w:val="24"/>
          <w:szCs w:val="24"/>
        </w:rPr>
        <w:t xml:space="preserve"> </w:t>
      </w:r>
    </w:p>
    <w:p w14:paraId="261CE9C1" w14:textId="77777777" w:rsidR="000338D1" w:rsidRDefault="000338D1" w:rsidP="000338D1">
      <w:pPr>
        <w:pStyle w:val="NoSpacing"/>
        <w:rPr>
          <w:rFonts w:ascii="Arial Black" w:hAnsi="Arial Black"/>
          <w:sz w:val="28"/>
        </w:rPr>
      </w:pPr>
    </w:p>
    <w:p w14:paraId="1B5BE310" w14:textId="77777777" w:rsidR="005C3A2A" w:rsidRPr="005C3A2A" w:rsidRDefault="005C3A2A" w:rsidP="00B86628">
      <w:pPr>
        <w:pStyle w:val="NoSpacing"/>
        <w:rPr>
          <w:rFonts w:ascii="Times New Roman" w:hAnsi="Times New Roman"/>
          <w:sz w:val="24"/>
          <w:szCs w:val="24"/>
        </w:rPr>
      </w:pPr>
    </w:p>
    <w:p w14:paraId="5EDE8730" w14:textId="77777777" w:rsidR="00C443C1" w:rsidRPr="005C3A2A" w:rsidRDefault="00C443C1" w:rsidP="00B86628">
      <w:pPr>
        <w:pStyle w:val="NoSpacing"/>
        <w:rPr>
          <w:rFonts w:ascii="Times New Roman" w:hAnsi="Times New Roman"/>
          <w:sz w:val="24"/>
          <w:szCs w:val="24"/>
        </w:rPr>
      </w:pPr>
    </w:p>
    <w:p w14:paraId="6F411B77" w14:textId="77777777" w:rsidR="00C443C1" w:rsidRPr="005C3A2A" w:rsidRDefault="00C443C1" w:rsidP="00B86628">
      <w:pPr>
        <w:pStyle w:val="NoSpacing"/>
        <w:rPr>
          <w:rFonts w:ascii="Times New Roman" w:hAnsi="Times New Roman"/>
          <w:sz w:val="24"/>
          <w:szCs w:val="24"/>
        </w:rPr>
      </w:pPr>
    </w:p>
    <w:p w14:paraId="4F5C7340" w14:textId="19F536B9" w:rsidR="00765ABF" w:rsidRDefault="00765ABF" w:rsidP="00B86628">
      <w:pPr>
        <w:pStyle w:val="NoSpacing"/>
        <w:rPr>
          <w:rFonts w:ascii="Arial Black" w:hAnsi="Arial Black"/>
          <w:sz w:val="24"/>
          <w:szCs w:val="24"/>
        </w:rPr>
      </w:pPr>
      <w:r>
        <w:rPr>
          <w:rFonts w:ascii="Arial Black" w:hAnsi="Arial Black"/>
          <w:sz w:val="24"/>
          <w:szCs w:val="24"/>
        </w:rPr>
        <w:t>1-155</w:t>
      </w:r>
    </w:p>
    <w:p w14:paraId="052843EE" w14:textId="77777777" w:rsidR="00765ABF" w:rsidRDefault="00765ABF" w:rsidP="00B86628">
      <w:pPr>
        <w:pStyle w:val="NoSpacing"/>
        <w:rPr>
          <w:rFonts w:ascii="Arial Black" w:hAnsi="Arial Black"/>
          <w:sz w:val="24"/>
          <w:szCs w:val="24"/>
        </w:rPr>
      </w:pPr>
    </w:p>
    <w:p w14:paraId="0E1589D1" w14:textId="77777777" w:rsidR="00C443C1" w:rsidRPr="00C42244" w:rsidRDefault="00C443C1" w:rsidP="00C443C1">
      <w:pPr>
        <w:pStyle w:val="NoSpacing"/>
        <w:rPr>
          <w:rFonts w:ascii="Arial Black" w:hAnsi="Arial Black"/>
          <w:sz w:val="28"/>
        </w:rPr>
      </w:pPr>
      <w:r>
        <w:rPr>
          <w:rFonts w:ascii="Arial Black" w:hAnsi="Arial Black"/>
          <w:sz w:val="28"/>
        </w:rPr>
        <w:t>KY: TRAILER FIRE – 4-YR OLD KILLED – COLD CASE REVIEW – 3 CONVICTED 20 YRS LATER, COMPLICITY</w:t>
      </w:r>
    </w:p>
    <w:p w14:paraId="6B54C634" w14:textId="77777777" w:rsidR="00C443C1" w:rsidRDefault="00C443C1" w:rsidP="00C443C1">
      <w:pPr>
        <w:pStyle w:val="NoSpacing"/>
        <w:rPr>
          <w:szCs w:val="24"/>
        </w:rPr>
      </w:pPr>
    </w:p>
    <w:p w14:paraId="2E44AA55" w14:textId="77777777" w:rsidR="00C443C1" w:rsidRPr="00C443C1" w:rsidRDefault="00C443C1" w:rsidP="00C443C1">
      <w:pPr>
        <w:pStyle w:val="NoSpacing"/>
        <w:rPr>
          <w:rFonts w:ascii="Times New Roman" w:hAnsi="Times New Roman"/>
          <w:sz w:val="24"/>
          <w:szCs w:val="24"/>
        </w:rPr>
      </w:pPr>
      <w:r w:rsidRPr="00C443C1">
        <w:rPr>
          <w:rFonts w:ascii="Times New Roman" w:hAnsi="Times New Roman"/>
          <w:sz w:val="24"/>
          <w:szCs w:val="24"/>
        </w:rPr>
        <w:t xml:space="preserve">On Aug. 22, 2024, in </w:t>
      </w:r>
      <w:r w:rsidRPr="00C443C1">
        <w:rPr>
          <w:rFonts w:ascii="Times New Roman" w:hAnsi="Times New Roman"/>
          <w:sz w:val="24"/>
          <w:szCs w:val="24"/>
          <w:u w:val="single"/>
        </w:rPr>
        <w:t>Tony Lear v. Commonwealth of Kentucky, and Virginia Whitfield v. Commonwealth of Kentucky</w:t>
      </w:r>
      <w:r w:rsidRPr="00C443C1">
        <w:rPr>
          <w:rFonts w:ascii="Times New Roman" w:hAnsi="Times New Roman"/>
          <w:sz w:val="24"/>
          <w:szCs w:val="24"/>
        </w:rPr>
        <w:t xml:space="preserve">, the Supreme Court of Kentucky held (7 to 0; unpublished opinion) that jury properly convicted two defendants in </w:t>
      </w:r>
      <w:proofErr w:type="gramStart"/>
      <w:r w:rsidRPr="00C443C1">
        <w:rPr>
          <w:rFonts w:ascii="Times New Roman" w:hAnsi="Times New Roman"/>
          <w:sz w:val="24"/>
          <w:szCs w:val="24"/>
        </w:rPr>
        <w:t>January,</w:t>
      </w:r>
      <w:proofErr w:type="gramEnd"/>
      <w:r w:rsidRPr="00C443C1">
        <w:rPr>
          <w:rFonts w:ascii="Times New Roman" w:hAnsi="Times New Roman"/>
          <w:sz w:val="24"/>
          <w:szCs w:val="24"/>
        </w:rPr>
        <w:t xml:space="preserve"> 2023 for the September 2, </w:t>
      </w:r>
      <w:proofErr w:type="gramStart"/>
      <w:r w:rsidRPr="00C443C1">
        <w:rPr>
          <w:rFonts w:ascii="Times New Roman" w:hAnsi="Times New Roman"/>
          <w:sz w:val="24"/>
          <w:szCs w:val="24"/>
        </w:rPr>
        <w:t>1999</w:t>
      </w:r>
      <w:proofErr w:type="gramEnd"/>
      <w:r w:rsidRPr="00C443C1">
        <w:rPr>
          <w:rFonts w:ascii="Times New Roman" w:hAnsi="Times New Roman"/>
          <w:sz w:val="24"/>
          <w:szCs w:val="24"/>
        </w:rPr>
        <w:t xml:space="preserve"> trailer fire that killed </w:t>
      </w:r>
      <w:proofErr w:type="gramStart"/>
      <w:r w:rsidRPr="00C443C1">
        <w:rPr>
          <w:rFonts w:ascii="Times New Roman" w:hAnsi="Times New Roman"/>
          <w:sz w:val="24"/>
          <w:szCs w:val="24"/>
        </w:rPr>
        <w:t>4-year old</w:t>
      </w:r>
      <w:proofErr w:type="gramEnd"/>
      <w:r w:rsidRPr="00C443C1">
        <w:rPr>
          <w:rFonts w:ascii="Times New Roman" w:hAnsi="Times New Roman"/>
          <w:sz w:val="24"/>
          <w:szCs w:val="24"/>
        </w:rPr>
        <w:t xml:space="preserve"> Autumn Raymond. Lear, Whitfield and Bobby F. Napier [who owed back rent on the trailer], were all initially charged with murder, arson and first-degree assault, after a 2012 review of open cases by the Kentucky State Police resulting in new information. Napier pleaded guilty in 2019 to amended charges of second-degree arson, in exchange for a 10-year sentence and testified at the trial, He was already serving time on a variety of convictions, including burglary, theft and being a persistent felony offender.  The State was not required to prove who </w:t>
      </w:r>
      <w:proofErr w:type="gramStart"/>
      <w:r w:rsidRPr="00C443C1">
        <w:rPr>
          <w:rFonts w:ascii="Times New Roman" w:hAnsi="Times New Roman"/>
          <w:sz w:val="24"/>
          <w:szCs w:val="24"/>
        </w:rPr>
        <w:t>actually ignited</w:t>
      </w:r>
      <w:proofErr w:type="gramEnd"/>
      <w:r w:rsidRPr="00C443C1">
        <w:rPr>
          <w:rFonts w:ascii="Times New Roman" w:hAnsi="Times New Roman"/>
          <w:sz w:val="24"/>
          <w:szCs w:val="24"/>
        </w:rPr>
        <w:t xml:space="preserve"> the sheets with petroleum fluid around the dryer, since all three were “accomplices” to the crime.  The Court </w:t>
      </w:r>
      <w:r w:rsidRPr="00C443C1">
        <w:rPr>
          <w:rFonts w:ascii="Times New Roman" w:hAnsi="Times New Roman"/>
          <w:sz w:val="24"/>
          <w:szCs w:val="24"/>
        </w:rPr>
        <w:lastRenderedPageBreak/>
        <w:t xml:space="preserve">wrote: “After six days of trial, the jury returned a guilty verdict on complicity to murder, complicity to arson, and two counts of complicity to first-degree assault against the Appellants. Following the jury's recommendation, the trial court sentenced Whitfield and Lear respectively to 20 years. *** Although no evidence can directly point to an individual who started the fire, enough evidence was presented by the Commonwealth to show the Appellants aided, solicited, counseled, commanded, or engaged in a conspiracy with each other to burn down that trailer. The accomplice instructions mirror such evidence. The instructions provide the jury the ability to decide whether the defendant engaged with the other individuals to burn down the trailer.” </w:t>
      </w:r>
      <w:hyperlink r:id="rId127" w:history="1">
        <w:r w:rsidRPr="00C443C1">
          <w:rPr>
            <w:rStyle w:val="Hyperlink"/>
            <w:rFonts w:ascii="Times New Roman" w:hAnsi="Times New Roman"/>
            <w:sz w:val="24"/>
            <w:szCs w:val="24"/>
          </w:rPr>
          <w:t>https://casetext.com/case/lear-v-commonwealth-95</w:t>
        </w:r>
      </w:hyperlink>
      <w:r w:rsidRPr="00C443C1">
        <w:rPr>
          <w:rFonts w:ascii="Times New Roman" w:hAnsi="Times New Roman"/>
          <w:sz w:val="24"/>
          <w:szCs w:val="24"/>
        </w:rPr>
        <w:t xml:space="preserve"> </w:t>
      </w:r>
    </w:p>
    <w:p w14:paraId="1B475905" w14:textId="77777777" w:rsidR="00C443C1" w:rsidRPr="00C443C1" w:rsidRDefault="00C443C1" w:rsidP="00C443C1">
      <w:pPr>
        <w:pStyle w:val="NoSpacing"/>
        <w:rPr>
          <w:rFonts w:ascii="Times New Roman" w:hAnsi="Times New Roman"/>
          <w:sz w:val="24"/>
          <w:szCs w:val="24"/>
        </w:rPr>
      </w:pPr>
    </w:p>
    <w:p w14:paraId="1B2EDC00" w14:textId="77777777" w:rsidR="00C443C1" w:rsidRPr="00C443C1" w:rsidRDefault="00C443C1" w:rsidP="00C443C1">
      <w:pPr>
        <w:pStyle w:val="NoSpacing"/>
        <w:rPr>
          <w:rFonts w:ascii="Times New Roman" w:hAnsi="Times New Roman"/>
          <w:sz w:val="24"/>
          <w:szCs w:val="24"/>
        </w:rPr>
      </w:pPr>
      <w:r w:rsidRPr="00C443C1">
        <w:rPr>
          <w:rFonts w:ascii="Times New Roman" w:hAnsi="Times New Roman"/>
          <w:sz w:val="24"/>
          <w:szCs w:val="24"/>
        </w:rPr>
        <w:t>THE COURT HELD:</w:t>
      </w:r>
    </w:p>
    <w:p w14:paraId="6FBAB4E7" w14:textId="77777777" w:rsidR="00C443C1" w:rsidRPr="00C443C1" w:rsidRDefault="00C443C1" w:rsidP="00C443C1">
      <w:pPr>
        <w:pStyle w:val="NoSpacing"/>
        <w:rPr>
          <w:rFonts w:ascii="Times New Roman" w:hAnsi="Times New Roman"/>
          <w:sz w:val="24"/>
          <w:szCs w:val="24"/>
        </w:rPr>
      </w:pPr>
    </w:p>
    <w:p w14:paraId="68BAF801" w14:textId="77777777" w:rsidR="00C443C1" w:rsidRPr="00C443C1" w:rsidRDefault="00C443C1" w:rsidP="00C443C1">
      <w:pPr>
        <w:pStyle w:val="NoSpacing"/>
        <w:ind w:left="720"/>
        <w:rPr>
          <w:rFonts w:ascii="Times New Roman" w:hAnsi="Times New Roman"/>
          <w:sz w:val="24"/>
          <w:szCs w:val="24"/>
        </w:rPr>
      </w:pPr>
      <w:r w:rsidRPr="00C443C1">
        <w:rPr>
          <w:rFonts w:ascii="Times New Roman" w:hAnsi="Times New Roman"/>
          <w:sz w:val="24"/>
          <w:szCs w:val="24"/>
        </w:rPr>
        <w:t>“Here, the Commonwealth’s theory throughout trial was that Walton, Lear, and Whitfield all played a part in burning down the trailer. Testimony from several witnesses placed Whitfield and Lear in the room when Walton discussed burning down the trailer for insurance money. Whitfield moved boxes of clothing out of the trailer a few days before the fire with the help of Lear. Neighbors placed Lear at the trailer on the day of the fire, inspecting the dryer vent with Walton. Expert testimony supported the theory of an intentionally caused fire from items stuffed in and around the dryer.”</w:t>
      </w:r>
    </w:p>
    <w:p w14:paraId="67C92264" w14:textId="77777777" w:rsidR="00C443C1" w:rsidRPr="00C443C1" w:rsidRDefault="00C443C1" w:rsidP="00C443C1">
      <w:pPr>
        <w:pStyle w:val="NoSpacing"/>
        <w:ind w:left="720"/>
        <w:rPr>
          <w:rFonts w:ascii="Times New Roman" w:hAnsi="Times New Roman"/>
          <w:sz w:val="24"/>
          <w:szCs w:val="24"/>
        </w:rPr>
      </w:pPr>
    </w:p>
    <w:p w14:paraId="3A3B1337" w14:textId="77777777" w:rsidR="00C443C1" w:rsidRPr="00C443C1" w:rsidRDefault="00C443C1" w:rsidP="00C443C1">
      <w:pPr>
        <w:pStyle w:val="NoSpacing"/>
        <w:rPr>
          <w:rFonts w:ascii="Times New Roman" w:hAnsi="Times New Roman"/>
          <w:b/>
          <w:bCs/>
          <w:sz w:val="24"/>
          <w:szCs w:val="24"/>
        </w:rPr>
      </w:pPr>
      <w:r w:rsidRPr="00C443C1">
        <w:rPr>
          <w:rFonts w:ascii="Times New Roman" w:hAnsi="Times New Roman"/>
          <w:b/>
          <w:bCs/>
          <w:sz w:val="24"/>
          <w:szCs w:val="24"/>
        </w:rPr>
        <w:t xml:space="preserve">Legal Lesson Learned: When three conspire to commit arson, all three can be charged with murder from the fire. </w:t>
      </w:r>
    </w:p>
    <w:p w14:paraId="075CF1A3" w14:textId="77777777" w:rsidR="00C443C1" w:rsidRPr="00C443C1" w:rsidRDefault="00C443C1" w:rsidP="00C443C1">
      <w:pPr>
        <w:pStyle w:val="NoSpacing"/>
        <w:rPr>
          <w:rFonts w:ascii="Times New Roman" w:hAnsi="Times New Roman"/>
          <w:sz w:val="24"/>
          <w:szCs w:val="24"/>
        </w:rPr>
      </w:pPr>
    </w:p>
    <w:p w14:paraId="13AEA6BA" w14:textId="77777777" w:rsidR="00C443C1" w:rsidRPr="00C443C1" w:rsidRDefault="00C443C1" w:rsidP="00C443C1">
      <w:pPr>
        <w:pStyle w:val="NoSpacing"/>
        <w:ind w:left="720"/>
        <w:rPr>
          <w:rFonts w:ascii="Times New Roman" w:hAnsi="Times New Roman"/>
          <w:sz w:val="24"/>
          <w:szCs w:val="24"/>
        </w:rPr>
      </w:pPr>
      <w:r w:rsidRPr="00C443C1">
        <w:rPr>
          <w:rFonts w:ascii="Times New Roman" w:hAnsi="Times New Roman"/>
          <w:sz w:val="24"/>
          <w:szCs w:val="24"/>
        </w:rPr>
        <w:t xml:space="preserve">Note:  See Jan. 4, </w:t>
      </w:r>
      <w:proofErr w:type="gramStart"/>
      <w:r w:rsidRPr="00C443C1">
        <w:rPr>
          <w:rFonts w:ascii="Times New Roman" w:hAnsi="Times New Roman"/>
          <w:sz w:val="24"/>
          <w:szCs w:val="24"/>
        </w:rPr>
        <w:t>2023</w:t>
      </w:r>
      <w:proofErr w:type="gramEnd"/>
      <w:r w:rsidRPr="00C443C1">
        <w:rPr>
          <w:rFonts w:ascii="Times New Roman" w:hAnsi="Times New Roman"/>
          <w:sz w:val="24"/>
          <w:szCs w:val="24"/>
        </w:rPr>
        <w:t xml:space="preserve"> article, “Ohio County cold case ends with convictions.” </w:t>
      </w:r>
      <w:hyperlink r:id="rId128" w:history="1">
        <w:r w:rsidRPr="00C443C1">
          <w:rPr>
            <w:rStyle w:val="Hyperlink"/>
            <w:rFonts w:ascii="Times New Roman" w:hAnsi="Times New Roman"/>
            <w:sz w:val="24"/>
            <w:szCs w:val="24"/>
          </w:rPr>
          <w:t>https://www.yahoo.com/news/ohio-county-cold-case-ends-102300006.html</w:t>
        </w:r>
      </w:hyperlink>
      <w:r w:rsidRPr="00C443C1">
        <w:rPr>
          <w:rFonts w:ascii="Times New Roman" w:hAnsi="Times New Roman"/>
          <w:sz w:val="24"/>
          <w:szCs w:val="24"/>
        </w:rPr>
        <w:t xml:space="preserve"> </w:t>
      </w:r>
    </w:p>
    <w:p w14:paraId="2E3EDD00" w14:textId="77777777" w:rsidR="00C443C1" w:rsidRPr="00C443C1" w:rsidRDefault="00C443C1" w:rsidP="00C443C1">
      <w:pPr>
        <w:pStyle w:val="NoSpacing"/>
        <w:ind w:left="720"/>
        <w:rPr>
          <w:rFonts w:ascii="Times New Roman" w:hAnsi="Times New Roman"/>
          <w:sz w:val="24"/>
          <w:szCs w:val="24"/>
        </w:rPr>
      </w:pPr>
    </w:p>
    <w:p w14:paraId="3CB12204" w14:textId="77777777" w:rsidR="00C443C1" w:rsidRPr="00C443C1" w:rsidRDefault="00C443C1" w:rsidP="00C443C1">
      <w:pPr>
        <w:pStyle w:val="NoSpacing"/>
        <w:ind w:left="720"/>
        <w:rPr>
          <w:rFonts w:ascii="Times New Roman" w:hAnsi="Times New Roman"/>
          <w:sz w:val="24"/>
          <w:szCs w:val="24"/>
        </w:rPr>
      </w:pPr>
      <w:r w:rsidRPr="00C443C1">
        <w:rPr>
          <w:rFonts w:ascii="Times New Roman" w:hAnsi="Times New Roman"/>
          <w:sz w:val="24"/>
          <w:szCs w:val="24"/>
        </w:rPr>
        <w:t xml:space="preserve">Here is the “active inmate” photo of Tony Lear. </w:t>
      </w:r>
      <w:hyperlink r:id="rId129" w:history="1">
        <w:r w:rsidRPr="00C443C1">
          <w:rPr>
            <w:rStyle w:val="Hyperlink"/>
            <w:rFonts w:ascii="Times New Roman" w:hAnsi="Times New Roman"/>
            <w:sz w:val="24"/>
            <w:szCs w:val="24"/>
          </w:rPr>
          <w:t>http://kool.corrections.ky.gov/KOOL/Details/54918</w:t>
        </w:r>
      </w:hyperlink>
    </w:p>
    <w:p w14:paraId="7272C532" w14:textId="77777777" w:rsidR="00C443C1" w:rsidRPr="00C443C1" w:rsidRDefault="00C443C1" w:rsidP="00C443C1">
      <w:pPr>
        <w:pStyle w:val="NoSpacing"/>
        <w:ind w:left="720"/>
        <w:rPr>
          <w:rFonts w:ascii="Times New Roman" w:hAnsi="Times New Roman"/>
          <w:sz w:val="24"/>
          <w:szCs w:val="24"/>
        </w:rPr>
      </w:pPr>
      <w:r w:rsidRPr="00C443C1">
        <w:rPr>
          <w:rFonts w:ascii="Times New Roman" w:hAnsi="Times New Roman"/>
          <w:sz w:val="24"/>
          <w:szCs w:val="24"/>
        </w:rPr>
        <w:t>Photo of Virginia Whitfield:</w:t>
      </w:r>
    </w:p>
    <w:p w14:paraId="380415E3" w14:textId="77777777" w:rsidR="00C443C1" w:rsidRPr="00C443C1" w:rsidRDefault="00C443C1" w:rsidP="00C443C1">
      <w:pPr>
        <w:pStyle w:val="NoSpacing"/>
        <w:ind w:left="720"/>
        <w:rPr>
          <w:rFonts w:ascii="Times New Roman" w:hAnsi="Times New Roman"/>
          <w:sz w:val="24"/>
          <w:szCs w:val="24"/>
        </w:rPr>
      </w:pPr>
      <w:hyperlink r:id="rId130" w:history="1">
        <w:r w:rsidRPr="00C443C1">
          <w:rPr>
            <w:rStyle w:val="Hyperlink"/>
            <w:rFonts w:ascii="Times New Roman" w:hAnsi="Times New Roman"/>
            <w:sz w:val="24"/>
            <w:szCs w:val="24"/>
          </w:rPr>
          <w:t>http://kool.corrections.ky.gov/KOOL/Details/61717</w:t>
        </w:r>
      </w:hyperlink>
      <w:r w:rsidRPr="00C443C1">
        <w:rPr>
          <w:rFonts w:ascii="Times New Roman" w:hAnsi="Times New Roman"/>
          <w:sz w:val="24"/>
          <w:szCs w:val="24"/>
        </w:rPr>
        <w:t xml:space="preserve"> </w:t>
      </w:r>
    </w:p>
    <w:p w14:paraId="6E283B66" w14:textId="77777777" w:rsidR="00765ABF" w:rsidRPr="00C443C1" w:rsidRDefault="00765ABF" w:rsidP="00B86628">
      <w:pPr>
        <w:pStyle w:val="NoSpacing"/>
        <w:rPr>
          <w:rFonts w:ascii="Times New Roman" w:hAnsi="Times New Roman"/>
          <w:sz w:val="24"/>
          <w:szCs w:val="24"/>
        </w:rPr>
      </w:pPr>
    </w:p>
    <w:p w14:paraId="27DEB4F9" w14:textId="77777777" w:rsidR="00765ABF" w:rsidRDefault="00765ABF" w:rsidP="00B86628">
      <w:pPr>
        <w:pStyle w:val="NoSpacing"/>
        <w:rPr>
          <w:rFonts w:ascii="Arial Black" w:hAnsi="Arial Black"/>
          <w:sz w:val="24"/>
          <w:szCs w:val="24"/>
        </w:rPr>
      </w:pPr>
    </w:p>
    <w:p w14:paraId="5A25836B" w14:textId="28BE4EB8" w:rsidR="004B4DF6" w:rsidRDefault="004B4DF6" w:rsidP="00B86628">
      <w:pPr>
        <w:pStyle w:val="NoSpacing"/>
        <w:rPr>
          <w:rFonts w:ascii="Arial Black" w:hAnsi="Arial Black"/>
          <w:sz w:val="24"/>
          <w:szCs w:val="24"/>
        </w:rPr>
      </w:pPr>
      <w:r>
        <w:rPr>
          <w:rFonts w:ascii="Arial Black" w:hAnsi="Arial Black"/>
          <w:sz w:val="24"/>
          <w:szCs w:val="24"/>
        </w:rPr>
        <w:t>1-154</w:t>
      </w:r>
    </w:p>
    <w:p w14:paraId="522E4032" w14:textId="77777777" w:rsidR="004B4DF6" w:rsidRDefault="004B4DF6" w:rsidP="00B86628">
      <w:pPr>
        <w:pStyle w:val="NoSpacing"/>
        <w:rPr>
          <w:rFonts w:ascii="Arial Black" w:hAnsi="Arial Black"/>
          <w:sz w:val="24"/>
          <w:szCs w:val="24"/>
        </w:rPr>
      </w:pPr>
    </w:p>
    <w:p w14:paraId="42D8535E" w14:textId="77777777" w:rsidR="00765ABF" w:rsidRPr="00B544ED" w:rsidRDefault="00765ABF" w:rsidP="00765ABF">
      <w:pPr>
        <w:rPr>
          <w:rFonts w:ascii="Arial Black" w:hAnsi="Arial Black"/>
          <w:b/>
          <w:bCs/>
          <w:sz w:val="28"/>
        </w:rPr>
      </w:pPr>
      <w:r>
        <w:rPr>
          <w:rFonts w:ascii="Arial Black" w:hAnsi="Arial Black"/>
          <w:b/>
          <w:bCs/>
          <w:sz w:val="28"/>
        </w:rPr>
        <w:t xml:space="preserve">TX: MAN EVICTED – STARTED FIRE – SAW OWNER, TOLD INVESTIGATOR WILL “TRY AGAIN” – ADMISSIBLE </w:t>
      </w:r>
    </w:p>
    <w:p w14:paraId="000307B5" w14:textId="77777777" w:rsidR="00765ABF" w:rsidRPr="00765ABF" w:rsidRDefault="00765ABF" w:rsidP="00765ABF">
      <w:pPr>
        <w:pStyle w:val="NoSpacing"/>
        <w:rPr>
          <w:rFonts w:ascii="Times New Roman" w:hAnsi="Times New Roman"/>
          <w:sz w:val="24"/>
          <w:szCs w:val="24"/>
        </w:rPr>
      </w:pPr>
      <w:r w:rsidRPr="00765ABF">
        <w:rPr>
          <w:rFonts w:ascii="Times New Roman" w:hAnsi="Times New Roman"/>
          <w:sz w:val="24"/>
          <w:szCs w:val="24"/>
        </w:rPr>
        <w:t xml:space="preserve">On Aug. 22. 2024, in </w:t>
      </w:r>
      <w:proofErr w:type="spellStart"/>
      <w:r w:rsidRPr="00765ABF">
        <w:rPr>
          <w:rFonts w:ascii="Times New Roman" w:hAnsi="Times New Roman"/>
          <w:sz w:val="24"/>
          <w:szCs w:val="24"/>
          <w:u w:val="single"/>
        </w:rPr>
        <w:t>Hueathen</w:t>
      </w:r>
      <w:proofErr w:type="spellEnd"/>
      <w:r w:rsidRPr="00765ABF">
        <w:rPr>
          <w:rFonts w:ascii="Times New Roman" w:hAnsi="Times New Roman"/>
          <w:sz w:val="24"/>
          <w:szCs w:val="24"/>
          <w:u w:val="single"/>
        </w:rPr>
        <w:t xml:space="preserve"> Kirk Gardner v. The State of Texas</w:t>
      </w:r>
      <w:r w:rsidRPr="00765ABF">
        <w:rPr>
          <w:rFonts w:ascii="Times New Roman" w:hAnsi="Times New Roman"/>
          <w:sz w:val="24"/>
          <w:szCs w:val="24"/>
        </w:rPr>
        <w:t xml:space="preserve">, the Court of Appeals of Texas, Fourteenth District, held (3 to 0; unpublished decision) that the trial court properly denied the defendant’s motion to suppress his comments; the jury convicted him of the first-degree felony offense of arson of a habitation.  He was interviewed at the scene for about 15 minutes by Houston Fire Department Senior Arson Investigator Robert Haynes without a </w:t>
      </w:r>
      <w:r w:rsidRPr="00765ABF">
        <w:rPr>
          <w:rFonts w:ascii="Times New Roman" w:hAnsi="Times New Roman"/>
          <w:i/>
          <w:iCs/>
          <w:sz w:val="24"/>
          <w:szCs w:val="24"/>
        </w:rPr>
        <w:t xml:space="preserve">Miranda </w:t>
      </w:r>
      <w:r w:rsidRPr="00765ABF">
        <w:rPr>
          <w:rFonts w:ascii="Times New Roman" w:hAnsi="Times New Roman"/>
          <w:sz w:val="24"/>
          <w:szCs w:val="24"/>
        </w:rPr>
        <w:t xml:space="preserve">warning.  When he was told he was going to be arrested, and he saw the homeowner, he made the comments.  The Court wrote: “Haynes testified that ‘shortly’ after informing appellant that he was going to be charged with arson, appellant saw [homeowner] Hoang and made the statement about "trying again" when he gets out of jail. As the trial court noted, appellant's statement ‘was in response to the complainant coming to the scene, not questions asked at the scene. </w:t>
      </w:r>
      <w:r w:rsidRPr="00765ABF">
        <w:rPr>
          <w:rFonts w:ascii="Times New Roman" w:hAnsi="Times New Roman"/>
          <w:i/>
          <w:iCs/>
          <w:sz w:val="24"/>
          <w:szCs w:val="24"/>
        </w:rPr>
        <w:t>It was happening at the-near the time.</w:t>
      </w:r>
      <w:r w:rsidRPr="00765ABF">
        <w:rPr>
          <w:rFonts w:ascii="Times New Roman" w:hAnsi="Times New Roman"/>
          <w:sz w:val="24"/>
          <w:szCs w:val="24"/>
        </w:rPr>
        <w:t xml:space="preserve"> . . . [H]e just blurted it out when he saw the complainant coming.’ *** This response was not the result of a custodial investigation or in response to any questioning by Haynes. We therefore conclude that </w:t>
      </w:r>
      <w:r w:rsidRPr="00765ABF">
        <w:rPr>
          <w:rFonts w:ascii="Times New Roman" w:hAnsi="Times New Roman"/>
          <w:i/>
          <w:iCs/>
          <w:sz w:val="24"/>
          <w:szCs w:val="24"/>
        </w:rPr>
        <w:t>Miranda</w:t>
      </w:r>
      <w:r w:rsidRPr="00765ABF">
        <w:rPr>
          <w:rFonts w:ascii="Times New Roman" w:hAnsi="Times New Roman"/>
          <w:sz w:val="24"/>
          <w:szCs w:val="24"/>
        </w:rPr>
        <w:t xml:space="preserve"> does not require its exclusion. *** [T]here must be an "exciting" or "stimulating" event. The express statutory terms consider the stimulating event to include the offense itself or the arrest. </w:t>
      </w:r>
      <w:r w:rsidRPr="00765ABF">
        <w:rPr>
          <w:rFonts w:ascii="Times New Roman" w:hAnsi="Times New Roman"/>
          <w:i/>
          <w:iCs/>
          <w:sz w:val="24"/>
          <w:szCs w:val="24"/>
        </w:rPr>
        <w:t>See</w:t>
      </w:r>
      <w:r w:rsidRPr="00765ABF">
        <w:rPr>
          <w:rFonts w:ascii="Times New Roman" w:hAnsi="Times New Roman"/>
          <w:sz w:val="24"/>
          <w:szCs w:val="24"/>
        </w:rPr>
        <w:t xml:space="preserve"> Tex. Code Crim. Proc. Ann. art. 38.22, § 5. Here, the stimulating events consisted of appellant committing arson and then being informed that he was being arrested and charged with arson. We conclude that the first element is met.” </w:t>
      </w:r>
      <w:hyperlink r:id="rId131" w:history="1">
        <w:r w:rsidRPr="00765ABF">
          <w:rPr>
            <w:rStyle w:val="Hyperlink"/>
            <w:rFonts w:ascii="Times New Roman" w:hAnsi="Times New Roman"/>
            <w:sz w:val="24"/>
            <w:szCs w:val="24"/>
          </w:rPr>
          <w:t>https://cases.justia.com/texas/fourteenth-court-of-appeals/2024-14-23-00355-cr.pdf?ts=1724329963</w:t>
        </w:r>
      </w:hyperlink>
      <w:r w:rsidRPr="00765ABF">
        <w:rPr>
          <w:rFonts w:ascii="Times New Roman" w:hAnsi="Times New Roman"/>
          <w:sz w:val="24"/>
          <w:szCs w:val="24"/>
        </w:rPr>
        <w:t xml:space="preserve"> </w:t>
      </w:r>
    </w:p>
    <w:p w14:paraId="0F4B53F8" w14:textId="77777777" w:rsidR="00765ABF" w:rsidRPr="00765ABF" w:rsidRDefault="00765ABF" w:rsidP="00765ABF">
      <w:pPr>
        <w:pStyle w:val="NoSpacing"/>
        <w:rPr>
          <w:rFonts w:ascii="Times New Roman" w:hAnsi="Times New Roman"/>
          <w:sz w:val="24"/>
          <w:szCs w:val="24"/>
        </w:rPr>
      </w:pPr>
    </w:p>
    <w:p w14:paraId="57E100D3" w14:textId="77777777" w:rsidR="00765ABF" w:rsidRPr="00765ABF" w:rsidRDefault="00765ABF" w:rsidP="00765ABF">
      <w:pPr>
        <w:pStyle w:val="NoSpacing"/>
        <w:rPr>
          <w:rFonts w:ascii="Times New Roman" w:hAnsi="Times New Roman"/>
          <w:sz w:val="24"/>
          <w:szCs w:val="24"/>
        </w:rPr>
      </w:pPr>
      <w:r w:rsidRPr="00765ABF">
        <w:rPr>
          <w:rFonts w:ascii="Times New Roman" w:hAnsi="Times New Roman"/>
          <w:sz w:val="24"/>
          <w:szCs w:val="24"/>
        </w:rPr>
        <w:t xml:space="preserve">THE COURT HELD: </w:t>
      </w:r>
    </w:p>
    <w:p w14:paraId="6DE97B00" w14:textId="77777777" w:rsidR="00765ABF" w:rsidRPr="00765ABF" w:rsidRDefault="00765ABF" w:rsidP="00765ABF">
      <w:pPr>
        <w:pStyle w:val="NoSpacing"/>
        <w:rPr>
          <w:rFonts w:ascii="Times New Roman" w:hAnsi="Times New Roman"/>
          <w:i/>
          <w:iCs/>
          <w:sz w:val="24"/>
          <w:szCs w:val="24"/>
        </w:rPr>
      </w:pPr>
    </w:p>
    <w:p w14:paraId="31209727" w14:textId="77777777" w:rsidR="00765ABF" w:rsidRPr="00765ABF" w:rsidRDefault="00765ABF" w:rsidP="00765ABF">
      <w:pPr>
        <w:pStyle w:val="NoSpacing"/>
        <w:ind w:left="720"/>
        <w:rPr>
          <w:rFonts w:ascii="Times New Roman" w:hAnsi="Times New Roman"/>
          <w:sz w:val="24"/>
          <w:szCs w:val="24"/>
        </w:rPr>
      </w:pPr>
      <w:r w:rsidRPr="00765ABF">
        <w:rPr>
          <w:rFonts w:ascii="Times New Roman" w:hAnsi="Times New Roman"/>
          <w:sz w:val="24"/>
          <w:szCs w:val="24"/>
        </w:rPr>
        <w:t xml:space="preserve">“For the second element, the statement must be made sufficiently close in time to the stimulating event. Haynes testified that ‘shortly’ after informing appellant that he was going to be charged with arson, appellant saw Hoang and made the statement about ‘trying again’ when he </w:t>
      </w:r>
      <w:proofErr w:type="gramStart"/>
      <w:r w:rsidRPr="00765ABF">
        <w:rPr>
          <w:rFonts w:ascii="Times New Roman" w:hAnsi="Times New Roman"/>
          <w:sz w:val="24"/>
          <w:szCs w:val="24"/>
        </w:rPr>
        <w:t>gets</w:t>
      </w:r>
      <w:proofErr w:type="gramEnd"/>
      <w:r w:rsidRPr="00765ABF">
        <w:rPr>
          <w:rFonts w:ascii="Times New Roman" w:hAnsi="Times New Roman"/>
          <w:sz w:val="24"/>
          <w:szCs w:val="24"/>
        </w:rPr>
        <w:t xml:space="preserve"> out of jail. As the trial court noted, appellant's statement ‘was in response to the complainant coming to the scene, not questions asked at the scene. </w:t>
      </w:r>
      <w:r w:rsidRPr="00765ABF">
        <w:rPr>
          <w:rFonts w:ascii="Times New Roman" w:hAnsi="Times New Roman"/>
          <w:i/>
          <w:iCs/>
          <w:sz w:val="24"/>
          <w:szCs w:val="24"/>
        </w:rPr>
        <w:t>It was happening at the-near the time.</w:t>
      </w:r>
      <w:r w:rsidRPr="00765ABF">
        <w:rPr>
          <w:rFonts w:ascii="Times New Roman" w:hAnsi="Times New Roman"/>
          <w:sz w:val="24"/>
          <w:szCs w:val="24"/>
        </w:rPr>
        <w:t xml:space="preserve"> . . . [H]e just blurted it out when he saw the complainant coming.’ (emphasis added). With the statement occurring so shortly after being informed he was going to be arrested for arson, we hold that the second element is satisfied. </w:t>
      </w:r>
    </w:p>
    <w:p w14:paraId="4A53793A" w14:textId="77777777" w:rsidR="00765ABF" w:rsidRPr="00765ABF" w:rsidRDefault="00765ABF" w:rsidP="00765ABF">
      <w:pPr>
        <w:pStyle w:val="NoSpacing"/>
        <w:rPr>
          <w:rFonts w:ascii="Times New Roman" w:hAnsi="Times New Roman"/>
          <w:sz w:val="24"/>
          <w:szCs w:val="24"/>
        </w:rPr>
      </w:pPr>
    </w:p>
    <w:p w14:paraId="7F5E7989" w14:textId="77777777" w:rsidR="00765ABF" w:rsidRPr="00765ABF" w:rsidRDefault="00765ABF" w:rsidP="00765ABF">
      <w:pPr>
        <w:pStyle w:val="NoSpacing"/>
        <w:ind w:left="720"/>
        <w:rPr>
          <w:rFonts w:ascii="Times New Roman" w:hAnsi="Times New Roman"/>
          <w:sz w:val="24"/>
          <w:szCs w:val="24"/>
        </w:rPr>
      </w:pPr>
      <w:r w:rsidRPr="00765ABF">
        <w:rPr>
          <w:rFonts w:ascii="Times New Roman" w:hAnsi="Times New Roman"/>
          <w:sz w:val="24"/>
          <w:szCs w:val="24"/>
        </w:rPr>
        <w:t xml:space="preserve">Concerning the third element, appellant's unsolicited comment clearly related to both </w:t>
      </w:r>
      <w:proofErr w:type="gramStart"/>
      <w:r w:rsidRPr="00765ABF">
        <w:rPr>
          <w:rFonts w:ascii="Times New Roman" w:hAnsi="Times New Roman"/>
          <w:sz w:val="24"/>
          <w:szCs w:val="24"/>
        </w:rPr>
        <w:t>the arson</w:t>
      </w:r>
      <w:proofErr w:type="gramEnd"/>
      <w:r w:rsidRPr="00765ABF">
        <w:rPr>
          <w:rFonts w:ascii="Times New Roman" w:hAnsi="Times New Roman"/>
          <w:sz w:val="24"/>
          <w:szCs w:val="24"/>
        </w:rPr>
        <w:t xml:space="preserve"> and </w:t>
      </w:r>
      <w:proofErr w:type="gramStart"/>
      <w:r w:rsidRPr="00765ABF">
        <w:rPr>
          <w:rFonts w:ascii="Times New Roman" w:hAnsi="Times New Roman"/>
          <w:sz w:val="24"/>
          <w:szCs w:val="24"/>
        </w:rPr>
        <w:t>the arrest</w:t>
      </w:r>
      <w:proofErr w:type="gramEnd"/>
      <w:r w:rsidRPr="00765ABF">
        <w:rPr>
          <w:rFonts w:ascii="Times New Roman" w:hAnsi="Times New Roman"/>
          <w:sz w:val="24"/>
          <w:szCs w:val="24"/>
        </w:rPr>
        <w:t>. Appellant conveyed his intent to burn the house again if Hoang still owned the home after appellant was released from jail. We hold that the third element is satisfied.”</w:t>
      </w:r>
    </w:p>
    <w:p w14:paraId="66698A4F" w14:textId="77777777" w:rsidR="00765ABF" w:rsidRPr="00765ABF" w:rsidRDefault="00765ABF" w:rsidP="00765ABF">
      <w:pPr>
        <w:pStyle w:val="NoSpacing"/>
        <w:ind w:left="720"/>
        <w:rPr>
          <w:rFonts w:ascii="Times New Roman" w:hAnsi="Times New Roman"/>
          <w:sz w:val="24"/>
          <w:szCs w:val="24"/>
        </w:rPr>
      </w:pPr>
    </w:p>
    <w:p w14:paraId="5D9531D1" w14:textId="77777777" w:rsidR="00765ABF" w:rsidRPr="00765ABF" w:rsidRDefault="00765ABF" w:rsidP="00765ABF">
      <w:pPr>
        <w:pStyle w:val="NoSpacing"/>
        <w:rPr>
          <w:rFonts w:ascii="Times New Roman" w:hAnsi="Times New Roman"/>
          <w:b/>
          <w:bCs/>
          <w:sz w:val="24"/>
          <w:szCs w:val="24"/>
        </w:rPr>
      </w:pPr>
      <w:r w:rsidRPr="00765ABF">
        <w:rPr>
          <w:rFonts w:ascii="Times New Roman" w:hAnsi="Times New Roman"/>
          <w:b/>
          <w:bCs/>
          <w:sz w:val="24"/>
          <w:szCs w:val="24"/>
        </w:rPr>
        <w:t>Legal Lesson Learned:  Exciting or spontaneous comments by defendant admissible in evidence; sometimes called “res gestae.”</w:t>
      </w:r>
    </w:p>
    <w:p w14:paraId="3FA510F8" w14:textId="77777777" w:rsidR="00765ABF" w:rsidRPr="00765ABF" w:rsidRDefault="00765ABF" w:rsidP="00765ABF">
      <w:pPr>
        <w:pStyle w:val="NoSpacing"/>
        <w:rPr>
          <w:rFonts w:ascii="Times New Roman" w:hAnsi="Times New Roman"/>
          <w:b/>
          <w:bCs/>
          <w:sz w:val="24"/>
          <w:szCs w:val="24"/>
        </w:rPr>
      </w:pPr>
    </w:p>
    <w:p w14:paraId="3A88BF1A" w14:textId="77777777" w:rsidR="00765ABF" w:rsidRPr="00765ABF" w:rsidRDefault="00765ABF" w:rsidP="00765ABF">
      <w:pPr>
        <w:pStyle w:val="NoSpacing"/>
        <w:rPr>
          <w:rFonts w:ascii="Times New Roman" w:hAnsi="Times New Roman"/>
          <w:sz w:val="24"/>
          <w:szCs w:val="24"/>
        </w:rPr>
      </w:pPr>
      <w:r w:rsidRPr="00765ABF">
        <w:rPr>
          <w:rFonts w:ascii="Times New Roman" w:hAnsi="Times New Roman"/>
          <w:b/>
          <w:bCs/>
          <w:sz w:val="24"/>
          <w:szCs w:val="24"/>
        </w:rPr>
        <w:tab/>
      </w:r>
      <w:r w:rsidRPr="00765ABF">
        <w:rPr>
          <w:rFonts w:ascii="Times New Roman" w:hAnsi="Times New Roman"/>
          <w:sz w:val="24"/>
          <w:szCs w:val="24"/>
        </w:rPr>
        <w:t xml:space="preserve">Note: See definition of “res gestae.” </w:t>
      </w:r>
      <w:hyperlink r:id="rId132" w:history="1">
        <w:r w:rsidRPr="00765ABF">
          <w:rPr>
            <w:rStyle w:val="Hyperlink"/>
            <w:rFonts w:ascii="Times New Roman" w:hAnsi="Times New Roman"/>
            <w:sz w:val="24"/>
            <w:szCs w:val="24"/>
          </w:rPr>
          <w:t>https://www.law.cornell.edu/wex/res_gestae</w:t>
        </w:r>
      </w:hyperlink>
      <w:r w:rsidRPr="00765ABF">
        <w:rPr>
          <w:rFonts w:ascii="Times New Roman" w:hAnsi="Times New Roman"/>
          <w:sz w:val="24"/>
          <w:szCs w:val="24"/>
        </w:rPr>
        <w:t xml:space="preserve"> </w:t>
      </w:r>
    </w:p>
    <w:p w14:paraId="2B182D73" w14:textId="77777777" w:rsidR="00765ABF" w:rsidRPr="00765ABF" w:rsidRDefault="00765ABF" w:rsidP="00765ABF">
      <w:pPr>
        <w:pStyle w:val="NoSpacing"/>
        <w:rPr>
          <w:rFonts w:ascii="Times New Roman" w:hAnsi="Times New Roman"/>
          <w:sz w:val="24"/>
          <w:szCs w:val="24"/>
        </w:rPr>
      </w:pPr>
    </w:p>
    <w:p w14:paraId="599468EC" w14:textId="77777777" w:rsidR="00765ABF" w:rsidRPr="00765ABF" w:rsidRDefault="00765ABF" w:rsidP="00765ABF">
      <w:pPr>
        <w:pStyle w:val="NoSpacing"/>
        <w:ind w:left="720"/>
        <w:rPr>
          <w:rFonts w:ascii="Times New Roman" w:hAnsi="Times New Roman"/>
          <w:sz w:val="24"/>
          <w:szCs w:val="24"/>
        </w:rPr>
      </w:pPr>
      <w:r w:rsidRPr="00765ABF">
        <w:rPr>
          <w:rFonts w:ascii="Times New Roman" w:hAnsi="Times New Roman"/>
          <w:sz w:val="24"/>
          <w:szCs w:val="24"/>
        </w:rPr>
        <w:t xml:space="preserve">“Res gestae is a Latin term meaning “things done” or “things transacted.” It refers to the events or circumstances at issue, as well as other events that are contemporaneous with or related to them. Courts previously employed this term </w:t>
      </w:r>
      <w:proofErr w:type="gramStart"/>
      <w:r w:rsidRPr="00765ABF">
        <w:rPr>
          <w:rFonts w:ascii="Times New Roman" w:hAnsi="Times New Roman"/>
          <w:sz w:val="24"/>
          <w:szCs w:val="24"/>
        </w:rPr>
        <w:t>in order to</w:t>
      </w:r>
      <w:proofErr w:type="gramEnd"/>
      <w:r w:rsidRPr="00765ABF">
        <w:rPr>
          <w:rFonts w:ascii="Times New Roman" w:hAnsi="Times New Roman"/>
          <w:sz w:val="24"/>
          <w:szCs w:val="24"/>
        </w:rPr>
        <w:t xml:space="preserve"> </w:t>
      </w:r>
      <w:hyperlink r:id="rId133" w:history="1">
        <w:r w:rsidRPr="00765ABF">
          <w:rPr>
            <w:rStyle w:val="Hyperlink"/>
            <w:rFonts w:ascii="Times New Roman" w:hAnsi="Times New Roman"/>
            <w:sz w:val="24"/>
            <w:szCs w:val="24"/>
          </w:rPr>
          <w:t>admit</w:t>
        </w:r>
      </w:hyperlink>
      <w:r w:rsidRPr="00765ABF">
        <w:rPr>
          <w:rFonts w:ascii="Times New Roman" w:hAnsi="Times New Roman"/>
          <w:sz w:val="24"/>
          <w:szCs w:val="24"/>
        </w:rPr>
        <w:t xml:space="preserve"> otherwise </w:t>
      </w:r>
      <w:hyperlink r:id="rId134" w:history="1">
        <w:r w:rsidRPr="00765ABF">
          <w:rPr>
            <w:rStyle w:val="Hyperlink"/>
            <w:rFonts w:ascii="Times New Roman" w:hAnsi="Times New Roman"/>
            <w:sz w:val="24"/>
            <w:szCs w:val="24"/>
          </w:rPr>
          <w:t>inadmissible</w:t>
        </w:r>
      </w:hyperlink>
      <w:r w:rsidRPr="00765ABF">
        <w:rPr>
          <w:rFonts w:ascii="Times New Roman" w:hAnsi="Times New Roman"/>
          <w:sz w:val="24"/>
          <w:szCs w:val="24"/>
        </w:rPr>
        <w:t xml:space="preserve"> </w:t>
      </w:r>
      <w:hyperlink r:id="rId135" w:history="1">
        <w:r w:rsidRPr="00765ABF">
          <w:rPr>
            <w:rStyle w:val="Hyperlink"/>
            <w:rFonts w:ascii="Times New Roman" w:hAnsi="Times New Roman"/>
            <w:sz w:val="24"/>
            <w:szCs w:val="24"/>
          </w:rPr>
          <w:t>hearsay</w:t>
        </w:r>
      </w:hyperlink>
      <w:r w:rsidRPr="00765ABF">
        <w:rPr>
          <w:rFonts w:ascii="Times New Roman" w:hAnsi="Times New Roman"/>
          <w:sz w:val="24"/>
          <w:szCs w:val="24"/>
        </w:rPr>
        <w:t xml:space="preserve">. The term is not used much now. In </w:t>
      </w:r>
      <w:hyperlink r:id="rId136" w:history="1">
        <w:r w:rsidRPr="00765ABF">
          <w:rPr>
            <w:rStyle w:val="Hyperlink"/>
            <w:rFonts w:ascii="Times New Roman" w:hAnsi="Times New Roman"/>
            <w:sz w:val="24"/>
            <w:szCs w:val="24"/>
          </w:rPr>
          <w:t>evidence</w:t>
        </w:r>
      </w:hyperlink>
      <w:r w:rsidRPr="00765ABF">
        <w:rPr>
          <w:rFonts w:ascii="Times New Roman" w:hAnsi="Times New Roman"/>
          <w:sz w:val="24"/>
          <w:szCs w:val="24"/>
        </w:rPr>
        <w:t xml:space="preserve"> law, for example, the </w:t>
      </w:r>
      <w:hyperlink r:id="rId137" w:history="1">
        <w:r w:rsidRPr="00765ABF">
          <w:rPr>
            <w:rStyle w:val="Hyperlink"/>
            <w:rFonts w:ascii="Times New Roman" w:hAnsi="Times New Roman"/>
            <w:sz w:val="24"/>
            <w:szCs w:val="24"/>
          </w:rPr>
          <w:t>Federal Rules of Evidence</w:t>
        </w:r>
      </w:hyperlink>
      <w:r w:rsidRPr="00765ABF">
        <w:rPr>
          <w:rFonts w:ascii="Times New Roman" w:hAnsi="Times New Roman"/>
          <w:sz w:val="24"/>
          <w:szCs w:val="24"/>
        </w:rPr>
        <w:t xml:space="preserve">, </w:t>
      </w:r>
      <w:hyperlink r:id="rId138" w:history="1">
        <w:r w:rsidRPr="00765ABF">
          <w:rPr>
            <w:rStyle w:val="Hyperlink"/>
            <w:rFonts w:ascii="Times New Roman" w:hAnsi="Times New Roman"/>
            <w:sz w:val="24"/>
            <w:szCs w:val="24"/>
          </w:rPr>
          <w:t>Rules 803(1)[“present sense impression”], 803(2)[“excited utterance”], 803(3)[“declaration of existing physical condition”], and 803(4)[“declaration of past physical condition"]</w:t>
        </w:r>
      </w:hyperlink>
      <w:r w:rsidRPr="00765ABF">
        <w:rPr>
          <w:rFonts w:ascii="Times New Roman" w:hAnsi="Times New Roman"/>
          <w:sz w:val="24"/>
          <w:szCs w:val="24"/>
        </w:rPr>
        <w:t>, now specifically encompass and limit what was previously used as res gestae.”</w:t>
      </w:r>
    </w:p>
    <w:p w14:paraId="7F678EA5" w14:textId="77777777" w:rsidR="00765ABF" w:rsidRPr="00765ABF" w:rsidRDefault="00765ABF" w:rsidP="00B86628">
      <w:pPr>
        <w:pStyle w:val="NoSpacing"/>
        <w:rPr>
          <w:rFonts w:ascii="Times New Roman" w:hAnsi="Times New Roman"/>
          <w:sz w:val="24"/>
          <w:szCs w:val="24"/>
        </w:rPr>
      </w:pPr>
    </w:p>
    <w:p w14:paraId="77B8861E" w14:textId="77777777" w:rsidR="004B4DF6" w:rsidRPr="00765ABF" w:rsidRDefault="004B4DF6" w:rsidP="00B86628">
      <w:pPr>
        <w:pStyle w:val="NoSpacing"/>
        <w:rPr>
          <w:rFonts w:ascii="Times New Roman" w:hAnsi="Times New Roman"/>
          <w:sz w:val="24"/>
          <w:szCs w:val="24"/>
        </w:rPr>
      </w:pPr>
    </w:p>
    <w:p w14:paraId="3D5758BA" w14:textId="77777777" w:rsidR="004B4DF6" w:rsidRDefault="004B4DF6" w:rsidP="00B86628">
      <w:pPr>
        <w:pStyle w:val="NoSpacing"/>
        <w:rPr>
          <w:rFonts w:ascii="Arial Black" w:hAnsi="Arial Black"/>
          <w:sz w:val="24"/>
          <w:szCs w:val="24"/>
        </w:rPr>
      </w:pPr>
    </w:p>
    <w:p w14:paraId="3B63CAA8" w14:textId="3609B6EE" w:rsidR="004E46C8" w:rsidRPr="004B4DF6" w:rsidRDefault="00127024" w:rsidP="00B86628">
      <w:pPr>
        <w:pStyle w:val="NoSpacing"/>
        <w:rPr>
          <w:rFonts w:ascii="Arial Black" w:hAnsi="Arial Black"/>
          <w:sz w:val="24"/>
          <w:szCs w:val="24"/>
        </w:rPr>
      </w:pPr>
      <w:r w:rsidRPr="004B4DF6">
        <w:rPr>
          <w:rFonts w:ascii="Arial Black" w:hAnsi="Arial Black"/>
          <w:sz w:val="24"/>
          <w:szCs w:val="24"/>
        </w:rPr>
        <w:t>1-15</w:t>
      </w:r>
      <w:r w:rsidR="00A91BAB">
        <w:rPr>
          <w:rFonts w:ascii="Arial Black" w:hAnsi="Arial Black"/>
          <w:sz w:val="24"/>
          <w:szCs w:val="24"/>
        </w:rPr>
        <w:t>4</w:t>
      </w:r>
    </w:p>
    <w:p w14:paraId="1CB6E0FD" w14:textId="77777777" w:rsidR="004B4DF6" w:rsidRDefault="004B4DF6" w:rsidP="00B86628">
      <w:pPr>
        <w:pStyle w:val="NoSpacing"/>
        <w:rPr>
          <w:rFonts w:ascii="Arial Black" w:hAnsi="Arial Black"/>
          <w:sz w:val="24"/>
          <w:szCs w:val="24"/>
        </w:rPr>
      </w:pPr>
    </w:p>
    <w:p w14:paraId="1C2A4E66" w14:textId="77777777" w:rsidR="004B4DF6" w:rsidRPr="000533DB" w:rsidRDefault="004B4DF6" w:rsidP="004B4DF6">
      <w:pPr>
        <w:rPr>
          <w:rFonts w:ascii="Arial Black" w:hAnsi="Arial Black"/>
          <w:b/>
          <w:bCs/>
          <w:sz w:val="28"/>
        </w:rPr>
      </w:pPr>
      <w:r>
        <w:rPr>
          <w:rFonts w:ascii="Arial Black" w:hAnsi="Arial Black"/>
          <w:b/>
          <w:bCs/>
          <w:sz w:val="28"/>
        </w:rPr>
        <w:t>NY: E-BIKE FIRE – TENANT CHARGED BIKE ON 5</w:t>
      </w:r>
      <w:r w:rsidRPr="00AF70EC">
        <w:rPr>
          <w:rFonts w:ascii="Arial Black" w:hAnsi="Arial Black"/>
          <w:b/>
          <w:bCs/>
          <w:sz w:val="28"/>
          <w:vertAlign w:val="superscript"/>
        </w:rPr>
        <w:t>th</w:t>
      </w:r>
      <w:r>
        <w:rPr>
          <w:rFonts w:ascii="Arial Black" w:hAnsi="Arial Black"/>
          <w:b/>
          <w:bCs/>
          <w:sz w:val="28"/>
        </w:rPr>
        <w:t xml:space="preserve"> FLOOR APT - NOT BASEMENT STORAGE – $5,000 </w:t>
      </w:r>
    </w:p>
    <w:p w14:paraId="1E0E5ADA" w14:textId="77777777" w:rsidR="004B4DF6" w:rsidRPr="004B4DF6" w:rsidRDefault="004B4DF6" w:rsidP="004B4DF6">
      <w:pPr>
        <w:rPr>
          <w:rFonts w:ascii="Times New Roman" w:hAnsi="Times New Roman"/>
          <w:sz w:val="24"/>
          <w:szCs w:val="24"/>
        </w:rPr>
      </w:pPr>
      <w:r w:rsidRPr="004B4DF6">
        <w:rPr>
          <w:rFonts w:ascii="Times New Roman" w:hAnsi="Times New Roman"/>
          <w:sz w:val="24"/>
          <w:szCs w:val="24"/>
        </w:rPr>
        <w:t xml:space="preserve">On Aug. 19. 2024, in </w:t>
      </w:r>
      <w:r w:rsidRPr="004B4DF6">
        <w:rPr>
          <w:rFonts w:ascii="Times New Roman" w:hAnsi="Times New Roman"/>
          <w:sz w:val="24"/>
          <w:szCs w:val="24"/>
          <w:u w:val="single"/>
        </w:rPr>
        <w:t>Forest House, LLC v. Jamaris Santos</w:t>
      </w:r>
      <w:r w:rsidRPr="004B4DF6">
        <w:rPr>
          <w:rFonts w:ascii="Times New Roman" w:hAnsi="Times New Roman"/>
          <w:sz w:val="24"/>
          <w:szCs w:val="24"/>
        </w:rPr>
        <w:t>, City of New York, Civil Court, Bronx County, Judge Verena C. Powell held, after a bench trial, that the tenant was negligent in charging e-bike in her 5</w:t>
      </w:r>
      <w:r w:rsidRPr="004B4DF6">
        <w:rPr>
          <w:rFonts w:ascii="Times New Roman" w:hAnsi="Times New Roman"/>
          <w:sz w:val="24"/>
          <w:szCs w:val="24"/>
          <w:vertAlign w:val="superscript"/>
        </w:rPr>
        <w:t>th</w:t>
      </w:r>
      <w:r w:rsidRPr="004B4DF6">
        <w:rPr>
          <w:rFonts w:ascii="Times New Roman" w:hAnsi="Times New Roman"/>
          <w:sz w:val="24"/>
          <w:szCs w:val="24"/>
        </w:rPr>
        <w:t xml:space="preserve"> floor apartment, instead of the basement storage area, and must reimburse the building owner for the $5,000 deductible on their building insurance policy, plus attorney fees.  February 7, 2021, at approximately 1:20 a.m., the New York City Fire Department (FDNY) responded to a 911 fire call on the fifth floor of 770 East 166th Street, Bronx, New York 10456. The Court wrote: “Ms. Santos' testimony established that she was aware of and had access to the building's bike room but decided not to use it, instead storing and charging the device inside her apartment. As the Plaintiff's tenant, the defendant assumed the duty of exercising ordinary care to store the e-bike in an area designated for such items. The defendant's negligence is established by her storing the e-bike in a location other than one designated for its storage, and that, once engulfed in flames, was placed in the public hallway, impeding egress from the building.” </w:t>
      </w:r>
      <w:hyperlink r:id="rId139" w:history="1">
        <w:r w:rsidRPr="004B4DF6">
          <w:rPr>
            <w:rStyle w:val="Hyperlink"/>
            <w:rFonts w:ascii="Times New Roman" w:hAnsi="Times New Roman"/>
            <w:sz w:val="24"/>
            <w:szCs w:val="24"/>
          </w:rPr>
          <w:t>https://law.justia.com/cases/new-york/other-courts/2024/2024-ny-slip-op-51092-u.html</w:t>
        </w:r>
      </w:hyperlink>
      <w:r w:rsidRPr="004B4DF6">
        <w:rPr>
          <w:rFonts w:ascii="Times New Roman" w:hAnsi="Times New Roman"/>
          <w:sz w:val="24"/>
          <w:szCs w:val="24"/>
        </w:rPr>
        <w:t xml:space="preserve"> </w:t>
      </w:r>
    </w:p>
    <w:p w14:paraId="27C00EBA" w14:textId="77777777" w:rsidR="004B4DF6" w:rsidRPr="004B4DF6" w:rsidRDefault="004B4DF6" w:rsidP="004B4DF6">
      <w:pPr>
        <w:rPr>
          <w:rFonts w:ascii="Times New Roman" w:hAnsi="Times New Roman"/>
          <w:sz w:val="24"/>
          <w:szCs w:val="24"/>
        </w:rPr>
      </w:pPr>
      <w:r w:rsidRPr="004B4DF6">
        <w:rPr>
          <w:rFonts w:ascii="Times New Roman" w:hAnsi="Times New Roman"/>
          <w:sz w:val="24"/>
          <w:szCs w:val="24"/>
        </w:rPr>
        <w:lastRenderedPageBreak/>
        <w:t xml:space="preserve">THE COURT HELD:  </w:t>
      </w:r>
    </w:p>
    <w:p w14:paraId="0E01AB86" w14:textId="77777777" w:rsidR="004B4DF6" w:rsidRPr="004B4DF6" w:rsidRDefault="004B4DF6" w:rsidP="004B4DF6">
      <w:pPr>
        <w:ind w:left="720"/>
        <w:rPr>
          <w:rFonts w:ascii="Times New Roman" w:hAnsi="Times New Roman"/>
          <w:sz w:val="24"/>
          <w:szCs w:val="24"/>
        </w:rPr>
      </w:pPr>
      <w:r w:rsidRPr="004B4DF6">
        <w:rPr>
          <w:rFonts w:ascii="Times New Roman" w:hAnsi="Times New Roman"/>
          <w:sz w:val="24"/>
          <w:szCs w:val="24"/>
        </w:rPr>
        <w:t xml:space="preserve">“Fire Marshal Coyle testified that the cause of the fire was the disintegration of the electric wiring coating within the battery compartment of the e-bike. He reached this conclusion by speaking with Battalion Chief </w:t>
      </w:r>
      <w:proofErr w:type="spellStart"/>
      <w:r w:rsidRPr="004B4DF6">
        <w:rPr>
          <w:rFonts w:ascii="Times New Roman" w:hAnsi="Times New Roman"/>
          <w:sz w:val="24"/>
          <w:szCs w:val="24"/>
        </w:rPr>
        <w:t>McGenn</w:t>
      </w:r>
      <w:proofErr w:type="spellEnd"/>
      <w:r w:rsidRPr="004B4DF6">
        <w:rPr>
          <w:rFonts w:ascii="Times New Roman" w:hAnsi="Times New Roman"/>
          <w:sz w:val="24"/>
          <w:szCs w:val="24"/>
        </w:rPr>
        <w:t xml:space="preserve"> and Lieutenant Owens about the e-bike's condition when they reached the fire, interviewing Ms. Santos regarding her observations of the fire, examining a photograph of the charred e-bike, and noting smoke stains on the apartment wall about 3 feet above the floor. The picture of the e-bike shows that the area under the rider's seat sustained the most significant amount of damage, thus indicating where the fire ignited.  This Court credits Fire Marshall Coyle's expert testimony and finds that deterioration of the wiring insulation caused the battery to short circuit, igniting the e-bike battery case covering and the e-bike's seat, thereby causing the February 7, 2021, fire in Ms. Santos' apartment.”</w:t>
      </w:r>
    </w:p>
    <w:p w14:paraId="2F84B898" w14:textId="318B1D1E" w:rsidR="004B4DF6" w:rsidRPr="004B4DF6" w:rsidRDefault="004B4DF6" w:rsidP="005441DE">
      <w:pPr>
        <w:rPr>
          <w:rFonts w:ascii="Times New Roman" w:hAnsi="Times New Roman"/>
          <w:b/>
          <w:bCs/>
          <w:sz w:val="24"/>
          <w:szCs w:val="24"/>
        </w:rPr>
      </w:pPr>
      <w:r w:rsidRPr="004B4DF6">
        <w:rPr>
          <w:rFonts w:ascii="Times New Roman" w:hAnsi="Times New Roman"/>
          <w:b/>
          <w:bCs/>
          <w:sz w:val="24"/>
          <w:szCs w:val="24"/>
        </w:rPr>
        <w:t>Legal Lesson Learned: Do not charge e-</w:t>
      </w:r>
      <w:proofErr w:type="gramStart"/>
      <w:r w:rsidRPr="004B4DF6">
        <w:rPr>
          <w:rFonts w:ascii="Times New Roman" w:hAnsi="Times New Roman"/>
          <w:b/>
          <w:bCs/>
          <w:sz w:val="24"/>
          <w:szCs w:val="24"/>
        </w:rPr>
        <w:t>bike</w:t>
      </w:r>
      <w:proofErr w:type="gramEnd"/>
      <w:r w:rsidRPr="004B4DF6">
        <w:rPr>
          <w:rFonts w:ascii="Times New Roman" w:hAnsi="Times New Roman"/>
          <w:b/>
          <w:bCs/>
          <w:sz w:val="24"/>
          <w:szCs w:val="24"/>
        </w:rPr>
        <w:t xml:space="preserve"> in your apartment or home; tenants will be liable for damages. </w:t>
      </w:r>
    </w:p>
    <w:p w14:paraId="11AA5A1E" w14:textId="77777777" w:rsidR="004B4DF6" w:rsidRPr="004B4DF6" w:rsidRDefault="004B4DF6" w:rsidP="004B4DF6">
      <w:pPr>
        <w:rPr>
          <w:rFonts w:ascii="Times New Roman" w:hAnsi="Times New Roman"/>
          <w:szCs w:val="24"/>
        </w:rPr>
      </w:pPr>
    </w:p>
    <w:p w14:paraId="191FB5EA" w14:textId="77777777" w:rsidR="007C22F6" w:rsidRDefault="007C22F6" w:rsidP="007C22F6">
      <w:pPr>
        <w:pStyle w:val="NoSpacing"/>
        <w:rPr>
          <w:rFonts w:ascii="Arial Black" w:hAnsi="Arial Black"/>
          <w:sz w:val="24"/>
          <w:szCs w:val="24"/>
        </w:rPr>
      </w:pPr>
    </w:p>
    <w:p w14:paraId="2E8417F2" w14:textId="3F304553" w:rsidR="007C22F6" w:rsidRDefault="007C22F6" w:rsidP="007C22F6">
      <w:pPr>
        <w:pStyle w:val="NoSpacing"/>
        <w:rPr>
          <w:rFonts w:ascii="Arial Black" w:hAnsi="Arial Black"/>
          <w:sz w:val="24"/>
          <w:szCs w:val="24"/>
        </w:rPr>
      </w:pPr>
      <w:r>
        <w:rPr>
          <w:rFonts w:ascii="Arial Black" w:hAnsi="Arial Black"/>
          <w:sz w:val="24"/>
          <w:szCs w:val="24"/>
        </w:rPr>
        <w:t>1-15</w:t>
      </w:r>
      <w:r w:rsidR="00A91BAB">
        <w:rPr>
          <w:rFonts w:ascii="Arial Black" w:hAnsi="Arial Black"/>
          <w:sz w:val="24"/>
          <w:szCs w:val="24"/>
        </w:rPr>
        <w:t>3</w:t>
      </w:r>
    </w:p>
    <w:p w14:paraId="74332D37" w14:textId="77777777" w:rsidR="007C22F6" w:rsidRDefault="007C22F6" w:rsidP="007C22F6">
      <w:pPr>
        <w:pStyle w:val="NoSpacing"/>
        <w:rPr>
          <w:rFonts w:ascii="Arial Black" w:hAnsi="Arial Black"/>
          <w:sz w:val="28"/>
        </w:rPr>
      </w:pPr>
    </w:p>
    <w:p w14:paraId="7BA1D00E" w14:textId="78C9E3C0" w:rsidR="007C22F6" w:rsidRPr="00270EFD" w:rsidRDefault="007C22F6" w:rsidP="007C22F6">
      <w:pPr>
        <w:pStyle w:val="NoSpacing"/>
        <w:rPr>
          <w:rFonts w:ascii="Arial Black" w:hAnsi="Arial Black"/>
          <w:sz w:val="28"/>
        </w:rPr>
      </w:pPr>
      <w:r>
        <w:rPr>
          <w:rFonts w:ascii="Arial Black" w:hAnsi="Arial Black"/>
          <w:sz w:val="28"/>
        </w:rPr>
        <w:t xml:space="preserve">IL: ALARM SYSTEM ORDINANCE – COMMERCIAL ALARMS MUST GO DIRECT TO 911 CENTER – LAWFUL </w:t>
      </w:r>
    </w:p>
    <w:p w14:paraId="09B79B21" w14:textId="77777777" w:rsidR="007C22F6" w:rsidRDefault="007C22F6" w:rsidP="007C22F6">
      <w:pPr>
        <w:pStyle w:val="NoSpacing"/>
        <w:rPr>
          <w:szCs w:val="24"/>
        </w:rPr>
      </w:pPr>
    </w:p>
    <w:p w14:paraId="63C70625" w14:textId="77777777" w:rsidR="007C22F6" w:rsidRPr="007C22F6" w:rsidRDefault="007C22F6" w:rsidP="007C22F6">
      <w:pPr>
        <w:pStyle w:val="NoSpacing"/>
        <w:rPr>
          <w:rFonts w:ascii="Times New Roman" w:hAnsi="Times New Roman"/>
          <w:sz w:val="24"/>
          <w:szCs w:val="24"/>
        </w:rPr>
      </w:pPr>
      <w:r w:rsidRPr="007C22F6">
        <w:rPr>
          <w:rFonts w:ascii="Times New Roman" w:hAnsi="Times New Roman"/>
          <w:sz w:val="24"/>
          <w:szCs w:val="24"/>
        </w:rPr>
        <w:t xml:space="preserve">On Aug. 14, 2024, in </w:t>
      </w:r>
      <w:r w:rsidRPr="007C22F6">
        <w:rPr>
          <w:rFonts w:ascii="Times New Roman" w:hAnsi="Times New Roman"/>
          <w:sz w:val="24"/>
          <w:szCs w:val="24"/>
          <w:u w:val="single"/>
        </w:rPr>
        <w:t>Alarm Detection Services, Inc, et al. v. Village of Schaumburg</w:t>
      </w:r>
      <w:r w:rsidRPr="007C22F6">
        <w:rPr>
          <w:rFonts w:ascii="Times New Roman" w:hAnsi="Times New Roman"/>
          <w:sz w:val="24"/>
          <w:szCs w:val="24"/>
        </w:rPr>
        <w:t xml:space="preserve">, United States District Court Judge Joan H. </w:t>
      </w:r>
      <w:proofErr w:type="spellStart"/>
      <w:r w:rsidRPr="007C22F6">
        <w:rPr>
          <w:rFonts w:ascii="Times New Roman" w:hAnsi="Times New Roman"/>
          <w:sz w:val="24"/>
          <w:szCs w:val="24"/>
        </w:rPr>
        <w:t>Lefkow</w:t>
      </w:r>
      <w:proofErr w:type="spellEnd"/>
      <w:r w:rsidRPr="007C22F6">
        <w:rPr>
          <w:rFonts w:ascii="Times New Roman" w:hAnsi="Times New Roman"/>
          <w:sz w:val="24"/>
          <w:szCs w:val="24"/>
        </w:rPr>
        <w:t xml:space="preserve">, U.S. District Court for the Northern District of Illinois, Eastern Division, granted summary judgment to the Village, in lawsuit by four alarm companies that claimed they have lost 250 commercial clients because of the 2016 Ordinance that requires alarms to go direct to 911 Center (system managed by Tyco Company), instead of first to the alarm companies centers.  The Court wrote: “The Village has proffered abundant evidence, as set out above, to demonstrate that it was not motivated to injure Alarm Companies; rather, its motivation was to improve fire safety in the Village…. Unfortunately, Alarm Companies do not counter with data the Village’s evidence </w:t>
      </w:r>
      <w:proofErr w:type="gramStart"/>
      <w:r w:rsidRPr="007C22F6">
        <w:rPr>
          <w:rFonts w:ascii="Times New Roman" w:hAnsi="Times New Roman"/>
          <w:sz w:val="24"/>
          <w:szCs w:val="24"/>
        </w:rPr>
        <w:t>that,</w:t>
      </w:r>
      <w:proofErr w:type="gramEnd"/>
      <w:r w:rsidRPr="007C22F6">
        <w:rPr>
          <w:rFonts w:ascii="Times New Roman" w:hAnsi="Times New Roman"/>
          <w:sz w:val="24"/>
          <w:szCs w:val="24"/>
        </w:rPr>
        <w:t xml:space="preserve"> post passage, response times improved and out-of-service systems decreased. But even if they had, it would not undermine the evidence of the Village’s motivation at the time the Ordinance was passed….In light of the evidence that the Village pursued legitimate public safety goals in enacting the Ordinance and the paucity of evidence that it intended to induce Commercial Properties to discontinue contracting with Alarm Companies, the court concludes that no reasonable jury would find that the Village’s purpose was to induce property owners to cease doing business with Alarm Companies.” </w:t>
      </w:r>
      <w:hyperlink r:id="rId140" w:history="1">
        <w:r w:rsidRPr="007C22F6">
          <w:rPr>
            <w:rStyle w:val="Hyperlink"/>
            <w:rFonts w:ascii="Times New Roman" w:hAnsi="Times New Roman"/>
            <w:sz w:val="24"/>
            <w:szCs w:val="24"/>
          </w:rPr>
          <w:t>https://cases.justia.com/federal/district-courts/illinois/ilndce/1:2017cv02153/337913/236/0.pdf?ts=1723715563</w:t>
        </w:r>
      </w:hyperlink>
      <w:r w:rsidRPr="007C22F6">
        <w:rPr>
          <w:rFonts w:ascii="Times New Roman" w:hAnsi="Times New Roman"/>
          <w:sz w:val="24"/>
          <w:szCs w:val="24"/>
        </w:rPr>
        <w:t xml:space="preserve"> </w:t>
      </w:r>
    </w:p>
    <w:p w14:paraId="6543AC61" w14:textId="77777777" w:rsidR="007C22F6" w:rsidRPr="007C22F6" w:rsidRDefault="007C22F6" w:rsidP="007C22F6">
      <w:pPr>
        <w:pStyle w:val="NoSpacing"/>
        <w:rPr>
          <w:rFonts w:ascii="Times New Roman" w:hAnsi="Times New Roman"/>
          <w:sz w:val="24"/>
          <w:szCs w:val="24"/>
        </w:rPr>
      </w:pPr>
    </w:p>
    <w:p w14:paraId="7038F780" w14:textId="77777777" w:rsidR="007C22F6" w:rsidRPr="007C22F6" w:rsidRDefault="007C22F6" w:rsidP="007C22F6">
      <w:pPr>
        <w:pStyle w:val="NoSpacing"/>
        <w:rPr>
          <w:rFonts w:ascii="Times New Roman" w:hAnsi="Times New Roman"/>
          <w:sz w:val="24"/>
          <w:szCs w:val="24"/>
        </w:rPr>
      </w:pPr>
      <w:r w:rsidRPr="007C22F6">
        <w:rPr>
          <w:rFonts w:ascii="Times New Roman" w:hAnsi="Times New Roman"/>
          <w:sz w:val="24"/>
          <w:szCs w:val="24"/>
        </w:rPr>
        <w:t>THE COURT HELD:</w:t>
      </w:r>
    </w:p>
    <w:p w14:paraId="547BE9C7" w14:textId="77777777" w:rsidR="007C22F6" w:rsidRPr="007C22F6" w:rsidRDefault="007C22F6" w:rsidP="007C22F6">
      <w:pPr>
        <w:pStyle w:val="NoSpacing"/>
        <w:rPr>
          <w:rFonts w:ascii="Times New Roman" w:hAnsi="Times New Roman"/>
          <w:sz w:val="24"/>
          <w:szCs w:val="24"/>
        </w:rPr>
      </w:pPr>
    </w:p>
    <w:p w14:paraId="30C44FEF" w14:textId="77777777" w:rsidR="007C22F6" w:rsidRPr="007C22F6" w:rsidRDefault="007C22F6" w:rsidP="007C22F6">
      <w:pPr>
        <w:pStyle w:val="NoSpacing"/>
        <w:ind w:left="720"/>
        <w:rPr>
          <w:rFonts w:ascii="Times New Roman" w:hAnsi="Times New Roman"/>
          <w:sz w:val="24"/>
          <w:szCs w:val="24"/>
        </w:rPr>
      </w:pPr>
      <w:r w:rsidRPr="007C22F6">
        <w:rPr>
          <w:rFonts w:ascii="Times New Roman" w:hAnsi="Times New Roman"/>
          <w:sz w:val="24"/>
          <w:szCs w:val="24"/>
        </w:rPr>
        <w:t xml:space="preserve">“Local fire codes, including those of the Village, require certain commercial and multi-family buildings to be protected by fire-alarm systems and typically require that those systems comply with national safety standards set forth in the National Fire Protection Association’s National Fire Alarm and Signaling Code (NFPA 72). Under NFPA 72, the installation and maintenance of fire-alarm systems are the responsibility of individual building owners. Owners of commercial and multi-family properties typically contract with private companies, such as Alarm Companies, to provide and maintain the required fire-alarm systems. Such systems generally have three components: (1) smoke and heat detectors that generate signals; (2) an alarm panel that receives signals from those detectors; and (3) a transmission device that sends signals to a monitoring facility. The signals transmitted by the detectors </w:t>
      </w:r>
      <w:r w:rsidRPr="007C22F6">
        <w:rPr>
          <w:rFonts w:ascii="Times New Roman" w:hAnsi="Times New Roman"/>
          <w:sz w:val="24"/>
          <w:szCs w:val="24"/>
        </w:rPr>
        <w:lastRenderedPageBreak/>
        <w:t>include alarm signals signifying smoke or fire, as well as ‘trouble’ or ‘supervisory’ signals which indicate whether the system is performing properly or is out of service.</w:t>
      </w:r>
    </w:p>
    <w:p w14:paraId="763B5917" w14:textId="77777777" w:rsidR="007C22F6" w:rsidRPr="007C22F6" w:rsidRDefault="007C22F6" w:rsidP="007C22F6">
      <w:pPr>
        <w:pStyle w:val="NoSpacing"/>
        <w:ind w:left="720"/>
        <w:rPr>
          <w:rFonts w:ascii="Times New Roman" w:hAnsi="Times New Roman"/>
          <w:sz w:val="24"/>
          <w:szCs w:val="24"/>
        </w:rPr>
      </w:pPr>
    </w:p>
    <w:p w14:paraId="5DD5BC51" w14:textId="77777777" w:rsidR="007C22F6" w:rsidRPr="007C22F6" w:rsidRDefault="007C22F6" w:rsidP="007C22F6">
      <w:pPr>
        <w:pStyle w:val="NoSpacing"/>
        <w:ind w:left="720"/>
        <w:rPr>
          <w:rFonts w:ascii="Times New Roman" w:hAnsi="Times New Roman"/>
          <w:sz w:val="24"/>
          <w:szCs w:val="24"/>
        </w:rPr>
      </w:pPr>
      <w:r w:rsidRPr="007C22F6">
        <w:rPr>
          <w:rFonts w:ascii="Times New Roman" w:hAnsi="Times New Roman"/>
          <w:sz w:val="24"/>
          <w:szCs w:val="24"/>
        </w:rPr>
        <w:t>***</w:t>
      </w:r>
    </w:p>
    <w:p w14:paraId="6BA65E18" w14:textId="77777777" w:rsidR="007C22F6" w:rsidRPr="007C22F6" w:rsidRDefault="007C22F6" w:rsidP="007C22F6">
      <w:pPr>
        <w:pStyle w:val="NoSpacing"/>
        <w:rPr>
          <w:rFonts w:ascii="Times New Roman" w:hAnsi="Times New Roman"/>
          <w:sz w:val="24"/>
          <w:szCs w:val="24"/>
        </w:rPr>
      </w:pPr>
    </w:p>
    <w:p w14:paraId="6874A36C" w14:textId="77777777" w:rsidR="007C22F6" w:rsidRPr="007C22F6" w:rsidRDefault="007C22F6" w:rsidP="007C22F6">
      <w:pPr>
        <w:pStyle w:val="NoSpacing"/>
        <w:ind w:left="720"/>
        <w:rPr>
          <w:rFonts w:ascii="Times New Roman" w:hAnsi="Times New Roman"/>
          <w:sz w:val="24"/>
          <w:szCs w:val="24"/>
        </w:rPr>
      </w:pPr>
      <w:r w:rsidRPr="007C22F6">
        <w:rPr>
          <w:rFonts w:ascii="Times New Roman" w:hAnsi="Times New Roman"/>
          <w:sz w:val="24"/>
          <w:szCs w:val="24"/>
        </w:rPr>
        <w:t xml:space="preserve">The court acknowledges that there is record evidence to support Alarm Companies’ contentions that the Ordinance had the effect of requiring Commercial Accounts to purchase or lease from Tyco at least some equipment necessary to connect to NWCDS. The Village itself seems to have suggested to businesses that Tyco transmitters may be required; after passage of the Ordinance, the Village sent a notice to property owners indicating that Tyco was ‘the authorized installer of </w:t>
      </w:r>
      <w:proofErr w:type="gramStart"/>
      <w:r w:rsidRPr="007C22F6">
        <w:rPr>
          <w:rFonts w:ascii="Times New Roman" w:hAnsi="Times New Roman"/>
          <w:sz w:val="24"/>
          <w:szCs w:val="24"/>
        </w:rPr>
        <w:t>the radio</w:t>
      </w:r>
      <w:proofErr w:type="gramEnd"/>
      <w:r w:rsidRPr="007C22F6">
        <w:rPr>
          <w:rFonts w:ascii="Times New Roman" w:hAnsi="Times New Roman"/>
          <w:sz w:val="24"/>
          <w:szCs w:val="24"/>
        </w:rPr>
        <w:t xml:space="preserve"> equipment</w:t>
      </w:r>
    </w:p>
    <w:p w14:paraId="5DAE44DE" w14:textId="77777777" w:rsidR="007C22F6" w:rsidRPr="007C22F6" w:rsidRDefault="007C22F6" w:rsidP="007C22F6">
      <w:pPr>
        <w:pStyle w:val="NoSpacing"/>
        <w:ind w:left="720"/>
        <w:rPr>
          <w:rFonts w:ascii="Times New Roman" w:hAnsi="Times New Roman"/>
          <w:sz w:val="24"/>
          <w:szCs w:val="24"/>
        </w:rPr>
      </w:pPr>
      <w:r w:rsidRPr="007C22F6">
        <w:rPr>
          <w:rFonts w:ascii="Times New Roman" w:hAnsi="Times New Roman"/>
          <w:sz w:val="24"/>
          <w:szCs w:val="24"/>
        </w:rPr>
        <w:t xml:space="preserve">required for fire alarm systems monitored by NWCDS.’ </w:t>
      </w:r>
    </w:p>
    <w:p w14:paraId="0194E24D" w14:textId="77777777" w:rsidR="007C22F6" w:rsidRPr="007C22F6" w:rsidRDefault="007C22F6" w:rsidP="007C22F6">
      <w:pPr>
        <w:pStyle w:val="NoSpacing"/>
        <w:ind w:left="720"/>
        <w:rPr>
          <w:rFonts w:ascii="Times New Roman" w:hAnsi="Times New Roman"/>
          <w:sz w:val="24"/>
          <w:szCs w:val="24"/>
        </w:rPr>
      </w:pPr>
      <w:r w:rsidRPr="007C22F6">
        <w:rPr>
          <w:rFonts w:ascii="Times New Roman" w:hAnsi="Times New Roman"/>
          <w:sz w:val="24"/>
          <w:szCs w:val="24"/>
        </w:rPr>
        <w:t>***</w:t>
      </w:r>
    </w:p>
    <w:p w14:paraId="47BA5BCB" w14:textId="77777777" w:rsidR="007C22F6" w:rsidRPr="007C22F6" w:rsidRDefault="007C22F6" w:rsidP="007C22F6">
      <w:pPr>
        <w:pStyle w:val="NoSpacing"/>
        <w:ind w:left="720"/>
        <w:rPr>
          <w:rFonts w:ascii="Times New Roman" w:hAnsi="Times New Roman"/>
          <w:sz w:val="24"/>
          <w:szCs w:val="24"/>
        </w:rPr>
      </w:pPr>
    </w:p>
    <w:p w14:paraId="536060F3" w14:textId="77777777" w:rsidR="007C22F6" w:rsidRPr="007C22F6" w:rsidRDefault="007C22F6" w:rsidP="007C22F6">
      <w:pPr>
        <w:pStyle w:val="NoSpacing"/>
        <w:ind w:left="720"/>
        <w:rPr>
          <w:rFonts w:ascii="Times New Roman" w:hAnsi="Times New Roman"/>
          <w:sz w:val="24"/>
          <w:szCs w:val="24"/>
        </w:rPr>
      </w:pPr>
      <w:r w:rsidRPr="007C22F6">
        <w:rPr>
          <w:rFonts w:ascii="Times New Roman" w:hAnsi="Times New Roman"/>
          <w:sz w:val="24"/>
          <w:szCs w:val="24"/>
        </w:rPr>
        <w:t xml:space="preserve">Alarm Companies argue that there is no genuine dispute of fact that the Ordinance caused many Commercial Accounts either to terminate or to refuse to renew their contracts, costing Alarm Companies hundreds of accounts in the Village. Alarm Companies’ argument, however, has no support in the evidentiary record. They fail to point to any evidence that any Commercial Account </w:t>
      </w:r>
      <w:proofErr w:type="gramStart"/>
      <w:r w:rsidRPr="007C22F6">
        <w:rPr>
          <w:rFonts w:ascii="Times New Roman" w:hAnsi="Times New Roman"/>
          <w:sz w:val="24"/>
          <w:szCs w:val="24"/>
        </w:rPr>
        <w:t>actually terminated</w:t>
      </w:r>
      <w:proofErr w:type="gramEnd"/>
      <w:r w:rsidRPr="007C22F6">
        <w:rPr>
          <w:rFonts w:ascii="Times New Roman" w:hAnsi="Times New Roman"/>
          <w:sz w:val="24"/>
          <w:szCs w:val="24"/>
        </w:rPr>
        <w:t xml:space="preserve"> early or otherwise breached a contract in response to the Ordinance.”</w:t>
      </w:r>
    </w:p>
    <w:p w14:paraId="3374264A" w14:textId="77777777" w:rsidR="007C22F6" w:rsidRPr="007C22F6" w:rsidRDefault="007C22F6" w:rsidP="007C22F6">
      <w:pPr>
        <w:pStyle w:val="NoSpacing"/>
        <w:rPr>
          <w:rFonts w:ascii="Times New Roman" w:hAnsi="Times New Roman"/>
          <w:sz w:val="24"/>
          <w:szCs w:val="24"/>
        </w:rPr>
      </w:pPr>
    </w:p>
    <w:p w14:paraId="63598C8E" w14:textId="77777777" w:rsidR="007C22F6" w:rsidRPr="007C22F6" w:rsidRDefault="007C22F6" w:rsidP="007C22F6">
      <w:pPr>
        <w:pStyle w:val="NoSpacing"/>
        <w:rPr>
          <w:rFonts w:ascii="Times New Roman" w:hAnsi="Times New Roman"/>
          <w:b/>
          <w:bCs/>
          <w:sz w:val="24"/>
          <w:szCs w:val="24"/>
        </w:rPr>
      </w:pPr>
      <w:r w:rsidRPr="007C22F6">
        <w:rPr>
          <w:rFonts w:ascii="Times New Roman" w:hAnsi="Times New Roman"/>
          <w:b/>
          <w:bCs/>
          <w:sz w:val="24"/>
          <w:szCs w:val="24"/>
        </w:rPr>
        <w:t>Legal Lesson Learned:  Village ordinance has proven effective in prompt notification to 911 Center of alarms, and notification to FD of problems with commercial property systems.</w:t>
      </w:r>
    </w:p>
    <w:p w14:paraId="5CAD26A1" w14:textId="77777777" w:rsidR="007C22F6" w:rsidRPr="007C22F6" w:rsidRDefault="007C22F6" w:rsidP="000B35FC">
      <w:pPr>
        <w:rPr>
          <w:rFonts w:ascii="Times New Roman" w:hAnsi="Times New Roman"/>
          <w:sz w:val="24"/>
          <w:szCs w:val="24"/>
        </w:rPr>
      </w:pPr>
    </w:p>
    <w:p w14:paraId="0A8E5FED" w14:textId="77777777" w:rsidR="00127024" w:rsidRDefault="00127024" w:rsidP="00B86628">
      <w:pPr>
        <w:pStyle w:val="NoSpacing"/>
        <w:rPr>
          <w:rFonts w:ascii="Arial Black" w:hAnsi="Arial Black"/>
          <w:sz w:val="24"/>
          <w:szCs w:val="24"/>
        </w:rPr>
      </w:pPr>
    </w:p>
    <w:p w14:paraId="0BBFC3B4" w14:textId="2012094C" w:rsidR="00316842" w:rsidRDefault="00316842" w:rsidP="00B86628">
      <w:pPr>
        <w:pStyle w:val="NoSpacing"/>
        <w:rPr>
          <w:rFonts w:ascii="Arial Black" w:hAnsi="Arial Black"/>
          <w:sz w:val="24"/>
          <w:szCs w:val="24"/>
        </w:rPr>
      </w:pPr>
      <w:r>
        <w:rPr>
          <w:rFonts w:ascii="Arial Black" w:hAnsi="Arial Black"/>
          <w:sz w:val="24"/>
          <w:szCs w:val="24"/>
        </w:rPr>
        <w:t>1-15</w:t>
      </w:r>
      <w:r w:rsidR="00A91BAB">
        <w:rPr>
          <w:rFonts w:ascii="Arial Black" w:hAnsi="Arial Black"/>
          <w:sz w:val="24"/>
          <w:szCs w:val="24"/>
        </w:rPr>
        <w:t>2</w:t>
      </w:r>
    </w:p>
    <w:p w14:paraId="730D1D82" w14:textId="77777777" w:rsidR="00FB79CF" w:rsidRDefault="00FB79CF" w:rsidP="00B86628">
      <w:pPr>
        <w:pStyle w:val="NoSpacing"/>
        <w:rPr>
          <w:rFonts w:ascii="Arial Black" w:hAnsi="Arial Black"/>
          <w:sz w:val="24"/>
          <w:szCs w:val="24"/>
        </w:rPr>
      </w:pPr>
    </w:p>
    <w:p w14:paraId="0E507D42" w14:textId="77777777" w:rsidR="00FB79CF" w:rsidRPr="00AB4CDC" w:rsidRDefault="00FB79CF" w:rsidP="00FB79CF">
      <w:pPr>
        <w:rPr>
          <w:rFonts w:ascii="Arial Black" w:hAnsi="Arial Black"/>
          <w:b/>
          <w:bCs/>
          <w:sz w:val="28"/>
          <w:szCs w:val="28"/>
        </w:rPr>
      </w:pPr>
      <w:r>
        <w:rPr>
          <w:rFonts w:ascii="Arial Black" w:hAnsi="Arial Black"/>
          <w:b/>
          <w:bCs/>
          <w:sz w:val="28"/>
          <w:szCs w:val="28"/>
        </w:rPr>
        <w:t>IN: ARSON INVEST. – MOTEL ROOM FIRE STARTED SHORTLY AFTER GIRLFRIEND LEFT - MJ ROACH DIDN’T START FIRE</w:t>
      </w:r>
    </w:p>
    <w:p w14:paraId="40E206BF" w14:textId="1A90DFE7" w:rsidR="00FB79CF" w:rsidRDefault="00FB79CF" w:rsidP="00FB79CF">
      <w:pPr>
        <w:rPr>
          <w:rFonts w:ascii="Times New Roman" w:hAnsi="Times New Roman"/>
          <w:sz w:val="24"/>
          <w:szCs w:val="24"/>
        </w:rPr>
      </w:pPr>
      <w:r w:rsidRPr="00CC749D">
        <w:rPr>
          <w:rFonts w:ascii="Times New Roman" w:hAnsi="Times New Roman"/>
          <w:sz w:val="24"/>
          <w:szCs w:val="24"/>
        </w:rPr>
        <w:t xml:space="preserve">On </w:t>
      </w:r>
      <w:r>
        <w:rPr>
          <w:rFonts w:ascii="Times New Roman" w:hAnsi="Times New Roman"/>
          <w:sz w:val="24"/>
          <w:szCs w:val="24"/>
        </w:rPr>
        <w:t xml:space="preserve">July 30, 2024, in </w:t>
      </w:r>
      <w:r w:rsidRPr="00152966">
        <w:rPr>
          <w:rFonts w:ascii="Times New Roman" w:hAnsi="Times New Roman"/>
          <w:sz w:val="24"/>
          <w:szCs w:val="24"/>
          <w:u w:val="single"/>
        </w:rPr>
        <w:t>Thomas F. Dunigan, II v. State of Indiana</w:t>
      </w:r>
      <w:r>
        <w:rPr>
          <w:rFonts w:ascii="Times New Roman" w:hAnsi="Times New Roman"/>
          <w:sz w:val="24"/>
          <w:szCs w:val="24"/>
        </w:rPr>
        <w:t>, the Indiana Court of Appeals held (5 to 0) that expert witness testimony was properly admitted, based on peer reviewed articles he read about taking at least 20 minutes for a lit cigarette left on bed to cause ignition.   Defendant was sentenced to 12 years after jury convicted him of arson; trial court did not abuse its discretion “</w:t>
      </w:r>
      <w:r w:rsidRPr="00371817">
        <w:rPr>
          <w:rFonts w:ascii="Times New Roman" w:hAnsi="Times New Roman"/>
          <w:sz w:val="24"/>
          <w:szCs w:val="24"/>
        </w:rPr>
        <w:t>when it permitted an expert witness to testify that the fire in his motel room was intentionally caused by a direct flame source and not accidentally caused by a smoldering marijuana cigarette.</w:t>
      </w:r>
      <w:r>
        <w:rPr>
          <w:rFonts w:ascii="Times New Roman" w:hAnsi="Times New Roman"/>
          <w:sz w:val="24"/>
          <w:szCs w:val="24"/>
        </w:rPr>
        <w:t xml:space="preserve">” </w:t>
      </w:r>
      <w:hyperlink r:id="rId141" w:history="1">
        <w:r w:rsidRPr="00D65D84">
          <w:rPr>
            <w:rStyle w:val="Hyperlink"/>
            <w:rFonts w:ascii="Times New Roman" w:hAnsi="Times New Roman"/>
            <w:sz w:val="24"/>
            <w:szCs w:val="24"/>
          </w:rPr>
          <w:t>https://caselaw.findlaw.com/court/in-court-of-appeals/116435959.html</w:t>
        </w:r>
      </w:hyperlink>
      <w:r>
        <w:rPr>
          <w:rFonts w:ascii="Times New Roman" w:hAnsi="Times New Roman"/>
          <w:sz w:val="24"/>
          <w:szCs w:val="24"/>
        </w:rPr>
        <w:t xml:space="preserve"> </w:t>
      </w:r>
    </w:p>
    <w:p w14:paraId="3A29A8F3" w14:textId="77777777" w:rsidR="00FB79CF" w:rsidRDefault="00FB79CF" w:rsidP="00FB79CF">
      <w:pPr>
        <w:rPr>
          <w:rFonts w:ascii="Times New Roman" w:hAnsi="Times New Roman"/>
          <w:sz w:val="24"/>
          <w:szCs w:val="24"/>
        </w:rPr>
      </w:pPr>
      <w:r>
        <w:rPr>
          <w:rFonts w:ascii="Times New Roman" w:hAnsi="Times New Roman"/>
          <w:sz w:val="24"/>
          <w:szCs w:val="24"/>
        </w:rPr>
        <w:t>THE COURT HELD:</w:t>
      </w:r>
    </w:p>
    <w:p w14:paraId="6B434AC4" w14:textId="77777777" w:rsidR="00FB79CF" w:rsidRDefault="00FB79CF" w:rsidP="00FB79CF">
      <w:pPr>
        <w:ind w:left="720"/>
        <w:rPr>
          <w:rFonts w:ascii="Times New Roman" w:hAnsi="Times New Roman"/>
          <w:sz w:val="24"/>
          <w:szCs w:val="24"/>
        </w:rPr>
      </w:pPr>
      <w:r w:rsidRPr="00744265">
        <w:rPr>
          <w:rFonts w:ascii="Times New Roman" w:hAnsi="Times New Roman"/>
          <w:sz w:val="24"/>
          <w:szCs w:val="24"/>
        </w:rPr>
        <w:t>“Under Evidence Rule 702(b), the trial court had discretion to conclude that Malon's reliance on those articles and studies was sufficient to show that his opinion was supported by reliable scientific principles.</w:t>
      </w:r>
    </w:p>
    <w:p w14:paraId="0F982EE7" w14:textId="77777777" w:rsidR="00FB79CF" w:rsidRDefault="00FB79CF" w:rsidP="00FB79CF">
      <w:pPr>
        <w:ind w:left="720"/>
        <w:rPr>
          <w:rFonts w:ascii="Times New Roman" w:hAnsi="Times New Roman"/>
          <w:sz w:val="24"/>
          <w:szCs w:val="24"/>
        </w:rPr>
      </w:pPr>
      <w:r>
        <w:rPr>
          <w:rFonts w:ascii="Times New Roman" w:hAnsi="Times New Roman"/>
          <w:sz w:val="24"/>
          <w:szCs w:val="24"/>
        </w:rPr>
        <w:t>***</w:t>
      </w:r>
    </w:p>
    <w:p w14:paraId="5C4C0465" w14:textId="77777777" w:rsidR="00FB79CF" w:rsidRDefault="00FB79CF" w:rsidP="00FB79CF">
      <w:pPr>
        <w:ind w:left="720"/>
        <w:rPr>
          <w:rFonts w:ascii="Times New Roman" w:hAnsi="Times New Roman"/>
          <w:sz w:val="24"/>
          <w:szCs w:val="24"/>
        </w:rPr>
      </w:pPr>
      <w:r w:rsidRPr="00FB7826">
        <w:rPr>
          <w:rFonts w:ascii="Times New Roman" w:hAnsi="Times New Roman"/>
          <w:sz w:val="24"/>
          <w:szCs w:val="24"/>
        </w:rPr>
        <w:t xml:space="preserve">Malon testified that, in concluding that the fire was intentionally set and not caused by a smoldering marijuana cigarette, he had relied on </w:t>
      </w:r>
      <w:r>
        <w:rPr>
          <w:rFonts w:ascii="Times New Roman" w:hAnsi="Times New Roman"/>
          <w:sz w:val="24"/>
          <w:szCs w:val="24"/>
        </w:rPr>
        <w:t>‘</w:t>
      </w:r>
      <w:r w:rsidRPr="00FB7826">
        <w:rPr>
          <w:rFonts w:ascii="Times New Roman" w:hAnsi="Times New Roman"/>
          <w:sz w:val="24"/>
          <w:szCs w:val="24"/>
        </w:rPr>
        <w:t>several peer[ ]reviewed articles and studies done through NIST[,] National ․ Association of Fire Investigators[, and] Underwriters Laboratory,</w:t>
      </w:r>
      <w:r>
        <w:rPr>
          <w:rFonts w:ascii="Times New Roman" w:hAnsi="Times New Roman"/>
          <w:sz w:val="24"/>
          <w:szCs w:val="24"/>
        </w:rPr>
        <w:t>’</w:t>
      </w:r>
      <w:r w:rsidRPr="00FB7826">
        <w:rPr>
          <w:rFonts w:ascii="Times New Roman" w:hAnsi="Times New Roman"/>
          <w:sz w:val="24"/>
          <w:szCs w:val="24"/>
        </w:rPr>
        <w:t xml:space="preserve"> including </w:t>
      </w:r>
      <w:r>
        <w:rPr>
          <w:rFonts w:ascii="Times New Roman" w:hAnsi="Times New Roman"/>
          <w:sz w:val="24"/>
          <w:szCs w:val="24"/>
        </w:rPr>
        <w:t>‘</w:t>
      </w:r>
      <w:r w:rsidRPr="00FB7826">
        <w:rPr>
          <w:rFonts w:ascii="Times New Roman" w:hAnsi="Times New Roman"/>
          <w:sz w:val="24"/>
          <w:szCs w:val="24"/>
        </w:rPr>
        <w:t>one study from 2014 done by the National Association of Fire Investigators</w:t>
      </w:r>
      <w:r>
        <w:rPr>
          <w:rFonts w:ascii="Times New Roman" w:hAnsi="Times New Roman"/>
          <w:sz w:val="24"/>
          <w:szCs w:val="24"/>
        </w:rPr>
        <w:t>’</w:t>
      </w:r>
      <w:r w:rsidRPr="00FB7826">
        <w:rPr>
          <w:rFonts w:ascii="Times New Roman" w:hAnsi="Times New Roman"/>
          <w:sz w:val="24"/>
          <w:szCs w:val="24"/>
        </w:rPr>
        <w:t xml:space="preserve"> specifically addressing </w:t>
      </w:r>
      <w:r>
        <w:rPr>
          <w:rFonts w:ascii="Times New Roman" w:hAnsi="Times New Roman"/>
          <w:sz w:val="24"/>
          <w:szCs w:val="24"/>
        </w:rPr>
        <w:t>‘</w:t>
      </w:r>
      <w:r w:rsidRPr="00FB7826">
        <w:rPr>
          <w:rFonts w:ascii="Times New Roman" w:hAnsi="Times New Roman"/>
          <w:sz w:val="24"/>
          <w:szCs w:val="24"/>
        </w:rPr>
        <w:t>the propensity for hand rolled marijuana cigarettes and tube rolled marijuana cigarettes to be self-extinguished.</w:t>
      </w:r>
      <w:r>
        <w:rPr>
          <w:rFonts w:ascii="Times New Roman" w:hAnsi="Times New Roman"/>
          <w:sz w:val="24"/>
          <w:szCs w:val="24"/>
        </w:rPr>
        <w:t xml:space="preserve">’… </w:t>
      </w:r>
      <w:r w:rsidRPr="00FB7826">
        <w:rPr>
          <w:rFonts w:ascii="Times New Roman" w:hAnsi="Times New Roman"/>
          <w:sz w:val="24"/>
          <w:szCs w:val="24"/>
        </w:rPr>
        <w:t xml:space="preserve"> Tr. </w:t>
      </w:r>
      <w:r w:rsidRPr="00FB7826">
        <w:rPr>
          <w:rFonts w:ascii="Times New Roman" w:hAnsi="Times New Roman"/>
          <w:sz w:val="24"/>
          <w:szCs w:val="24"/>
        </w:rPr>
        <w:lastRenderedPageBreak/>
        <w:t xml:space="preserve">Under Evidence Rule 702(b), the trial court had discretion to conclude that Malon's reliance on those articles and studies was sufficient to show that his opinion was supported by reliable scientific principles. </w:t>
      </w:r>
    </w:p>
    <w:p w14:paraId="6B518489" w14:textId="77777777" w:rsidR="00FB79CF" w:rsidRDefault="00FB79CF" w:rsidP="00FB79CF">
      <w:pPr>
        <w:ind w:left="720"/>
        <w:rPr>
          <w:rFonts w:ascii="Times New Roman" w:hAnsi="Times New Roman"/>
          <w:sz w:val="24"/>
          <w:szCs w:val="24"/>
        </w:rPr>
      </w:pPr>
      <w:r>
        <w:rPr>
          <w:rFonts w:ascii="Times New Roman" w:hAnsi="Times New Roman"/>
          <w:sz w:val="24"/>
          <w:szCs w:val="24"/>
        </w:rPr>
        <w:t>[He testified.]</w:t>
      </w:r>
    </w:p>
    <w:p w14:paraId="3156608D" w14:textId="77777777" w:rsidR="00FB79CF" w:rsidRPr="005260B5" w:rsidRDefault="00FB79CF" w:rsidP="00FB79CF">
      <w:pPr>
        <w:ind w:left="1440"/>
        <w:rPr>
          <w:rFonts w:ascii="Times New Roman" w:hAnsi="Times New Roman"/>
          <w:sz w:val="24"/>
          <w:szCs w:val="24"/>
        </w:rPr>
      </w:pPr>
      <w:r>
        <w:rPr>
          <w:rFonts w:ascii="Times New Roman" w:hAnsi="Times New Roman"/>
          <w:sz w:val="24"/>
          <w:szCs w:val="24"/>
        </w:rPr>
        <w:t>[S]</w:t>
      </w:r>
      <w:proofErr w:type="spellStart"/>
      <w:r w:rsidRPr="00265615">
        <w:rPr>
          <w:rFonts w:ascii="Times New Roman" w:hAnsi="Times New Roman"/>
          <w:sz w:val="24"/>
          <w:szCs w:val="24"/>
        </w:rPr>
        <w:t>tudies</w:t>
      </w:r>
      <w:proofErr w:type="spellEnd"/>
      <w:r w:rsidRPr="00265615">
        <w:rPr>
          <w:rFonts w:ascii="Times New Roman" w:hAnsi="Times New Roman"/>
          <w:sz w:val="24"/>
          <w:szCs w:val="24"/>
        </w:rPr>
        <w:t xml:space="preserve"> on smoldering fires indicate that the transition from a smoldering fire to an exothermic chemical reaction, which is where we see flaming fire, is twenty (20) minutes to several hours. Um, there was one </w:t>
      </w:r>
      <w:proofErr w:type="gramStart"/>
      <w:r w:rsidRPr="00265615">
        <w:rPr>
          <w:rFonts w:ascii="Times New Roman" w:hAnsi="Times New Roman"/>
          <w:sz w:val="24"/>
          <w:szCs w:val="24"/>
        </w:rPr>
        <w:t>particular peer</w:t>
      </w:r>
      <w:proofErr w:type="gramEnd"/>
      <w:r w:rsidRPr="00265615">
        <w:rPr>
          <w:rFonts w:ascii="Times New Roman" w:hAnsi="Times New Roman"/>
          <w:sz w:val="24"/>
          <w:szCs w:val="24"/>
        </w:rPr>
        <w:t xml:space="preserve"> reviewed article that stated twenty-two (22) minutes on average. But, um, according to other research, smoldering fire, making that transition is twenty (20) minutes to several hours.</w:t>
      </w:r>
      <w:r>
        <w:rPr>
          <w:rFonts w:ascii="Times New Roman" w:hAnsi="Times New Roman"/>
          <w:sz w:val="24"/>
          <w:szCs w:val="24"/>
        </w:rPr>
        <w:t>”</w:t>
      </w:r>
    </w:p>
    <w:p w14:paraId="72AC7CCC" w14:textId="27B58085" w:rsidR="00C32834" w:rsidRDefault="00C32834" w:rsidP="00C32834">
      <w:pPr>
        <w:rPr>
          <w:rFonts w:ascii="Times New Roman" w:hAnsi="Times New Roman"/>
          <w:b/>
          <w:bCs/>
          <w:sz w:val="24"/>
          <w:szCs w:val="24"/>
        </w:rPr>
      </w:pPr>
      <w:r w:rsidRPr="00FB7826">
        <w:rPr>
          <w:rFonts w:ascii="Times New Roman" w:hAnsi="Times New Roman"/>
          <w:b/>
          <w:bCs/>
          <w:sz w:val="24"/>
          <w:szCs w:val="24"/>
        </w:rPr>
        <w:t xml:space="preserve">Legal Lesson Learned: </w:t>
      </w:r>
      <w:r w:rsidR="00DA5BB7">
        <w:rPr>
          <w:rFonts w:ascii="Times New Roman" w:hAnsi="Times New Roman"/>
          <w:b/>
          <w:bCs/>
          <w:sz w:val="24"/>
          <w:szCs w:val="24"/>
        </w:rPr>
        <w:t>Expert</w:t>
      </w:r>
      <w:r w:rsidR="00C93B37">
        <w:rPr>
          <w:rFonts w:ascii="Times New Roman" w:hAnsi="Times New Roman"/>
          <w:b/>
          <w:bCs/>
          <w:sz w:val="24"/>
          <w:szCs w:val="24"/>
        </w:rPr>
        <w:t xml:space="preserve"> may offer opinion on cause of fire</w:t>
      </w:r>
      <w:r w:rsidR="003A0275">
        <w:rPr>
          <w:rFonts w:ascii="Times New Roman" w:hAnsi="Times New Roman"/>
          <w:b/>
          <w:bCs/>
          <w:sz w:val="24"/>
          <w:szCs w:val="24"/>
        </w:rPr>
        <w:t>.</w:t>
      </w:r>
      <w:r>
        <w:rPr>
          <w:rFonts w:ascii="Times New Roman" w:hAnsi="Times New Roman"/>
          <w:b/>
          <w:bCs/>
          <w:sz w:val="24"/>
          <w:szCs w:val="24"/>
        </w:rPr>
        <w:t xml:space="preserve"> </w:t>
      </w:r>
    </w:p>
    <w:p w14:paraId="5E3CA175" w14:textId="77777777" w:rsidR="00C32834" w:rsidRPr="002D4090" w:rsidRDefault="00C32834" w:rsidP="00C32834">
      <w:pPr>
        <w:rPr>
          <w:rFonts w:ascii="Times New Roman" w:hAnsi="Times New Roman"/>
          <w:sz w:val="24"/>
          <w:szCs w:val="24"/>
        </w:rPr>
      </w:pPr>
      <w:r w:rsidRPr="002D4090">
        <w:rPr>
          <w:rFonts w:ascii="Times New Roman" w:hAnsi="Times New Roman"/>
          <w:b/>
          <w:bCs/>
          <w:sz w:val="24"/>
          <w:szCs w:val="24"/>
        </w:rPr>
        <w:tab/>
      </w:r>
      <w:r w:rsidRPr="002D4090">
        <w:rPr>
          <w:rFonts w:ascii="Times New Roman" w:hAnsi="Times New Roman"/>
          <w:sz w:val="24"/>
          <w:szCs w:val="24"/>
        </w:rPr>
        <w:t>Note: Rule 702 provides:</w:t>
      </w:r>
    </w:p>
    <w:p w14:paraId="570AEF60" w14:textId="77777777" w:rsidR="00C32834" w:rsidRPr="002D4090" w:rsidRDefault="00C32834" w:rsidP="00C32834">
      <w:pPr>
        <w:ind w:left="720"/>
        <w:rPr>
          <w:rFonts w:ascii="Times New Roman" w:hAnsi="Times New Roman"/>
          <w:sz w:val="24"/>
          <w:szCs w:val="24"/>
        </w:rPr>
      </w:pPr>
      <w:r w:rsidRPr="002D4090">
        <w:rPr>
          <w:rFonts w:ascii="Times New Roman" w:hAnsi="Times New Roman"/>
          <w:sz w:val="24"/>
          <w:szCs w:val="24"/>
        </w:rPr>
        <w:t>A witness who is qualified as an expert by knowledge, skill, experience, training, or education may testify in the form of an opinion or otherwise if the proponent demonstrates to the court that it is more likely than not that:</w:t>
      </w:r>
    </w:p>
    <w:p w14:paraId="598E28F7" w14:textId="77777777" w:rsidR="00C32834" w:rsidRPr="002D4090" w:rsidRDefault="00C32834" w:rsidP="00C32834">
      <w:pPr>
        <w:ind w:left="720"/>
        <w:rPr>
          <w:rFonts w:ascii="Times New Roman" w:hAnsi="Times New Roman"/>
          <w:sz w:val="24"/>
          <w:szCs w:val="24"/>
        </w:rPr>
      </w:pPr>
      <w:r w:rsidRPr="002D4090">
        <w:rPr>
          <w:rFonts w:ascii="Times New Roman" w:hAnsi="Times New Roman"/>
          <w:b/>
          <w:bCs/>
          <w:sz w:val="24"/>
          <w:szCs w:val="24"/>
        </w:rPr>
        <w:t>(a)</w:t>
      </w:r>
      <w:r w:rsidRPr="002D4090">
        <w:rPr>
          <w:rFonts w:ascii="Times New Roman" w:hAnsi="Times New Roman"/>
          <w:sz w:val="24"/>
          <w:szCs w:val="24"/>
        </w:rPr>
        <w:t xml:space="preserve"> the expert’s scientific, technical, or other specialized knowledge will help the trier of fact to understand the evidence or to determine a fact in issue;</w:t>
      </w:r>
    </w:p>
    <w:p w14:paraId="3DC66592" w14:textId="77777777" w:rsidR="00C32834" w:rsidRPr="002D4090" w:rsidRDefault="00C32834" w:rsidP="00C32834">
      <w:pPr>
        <w:ind w:left="720"/>
        <w:rPr>
          <w:rFonts w:ascii="Times New Roman" w:hAnsi="Times New Roman"/>
          <w:sz w:val="24"/>
          <w:szCs w:val="24"/>
        </w:rPr>
      </w:pPr>
      <w:r w:rsidRPr="002D4090">
        <w:rPr>
          <w:rFonts w:ascii="Times New Roman" w:hAnsi="Times New Roman"/>
          <w:b/>
          <w:bCs/>
          <w:sz w:val="24"/>
          <w:szCs w:val="24"/>
        </w:rPr>
        <w:t>(b)</w:t>
      </w:r>
      <w:r w:rsidRPr="002D4090">
        <w:rPr>
          <w:rFonts w:ascii="Times New Roman" w:hAnsi="Times New Roman"/>
          <w:sz w:val="24"/>
          <w:szCs w:val="24"/>
        </w:rPr>
        <w:t xml:space="preserve"> the testimony is based on sufficient facts or data;</w:t>
      </w:r>
    </w:p>
    <w:p w14:paraId="7F3363B5" w14:textId="77777777" w:rsidR="00C32834" w:rsidRPr="002D4090" w:rsidRDefault="00C32834" w:rsidP="00C32834">
      <w:pPr>
        <w:ind w:firstLine="720"/>
        <w:rPr>
          <w:rFonts w:ascii="Times New Roman" w:hAnsi="Times New Roman"/>
          <w:sz w:val="24"/>
          <w:szCs w:val="24"/>
        </w:rPr>
      </w:pPr>
      <w:r w:rsidRPr="002D4090">
        <w:rPr>
          <w:rFonts w:ascii="Times New Roman" w:hAnsi="Times New Roman"/>
          <w:b/>
          <w:bCs/>
          <w:sz w:val="24"/>
          <w:szCs w:val="24"/>
        </w:rPr>
        <w:t>(c)</w:t>
      </w:r>
      <w:r w:rsidRPr="002D4090">
        <w:rPr>
          <w:rFonts w:ascii="Times New Roman" w:hAnsi="Times New Roman"/>
          <w:sz w:val="24"/>
          <w:szCs w:val="24"/>
        </w:rPr>
        <w:t xml:space="preserve"> the testimony is the product of reliable principles and methods; and</w:t>
      </w:r>
    </w:p>
    <w:p w14:paraId="71851681" w14:textId="77777777" w:rsidR="00C32834" w:rsidRPr="002D4090" w:rsidRDefault="00C32834" w:rsidP="00C32834">
      <w:pPr>
        <w:ind w:left="720"/>
        <w:rPr>
          <w:rFonts w:ascii="Times New Roman" w:hAnsi="Times New Roman"/>
          <w:sz w:val="24"/>
          <w:szCs w:val="24"/>
        </w:rPr>
      </w:pPr>
      <w:r w:rsidRPr="002D4090">
        <w:rPr>
          <w:rFonts w:ascii="Times New Roman" w:hAnsi="Times New Roman"/>
          <w:b/>
          <w:bCs/>
          <w:sz w:val="24"/>
          <w:szCs w:val="24"/>
        </w:rPr>
        <w:t>(d)</w:t>
      </w:r>
      <w:r w:rsidRPr="002D4090">
        <w:rPr>
          <w:rFonts w:ascii="Times New Roman" w:hAnsi="Times New Roman"/>
          <w:sz w:val="24"/>
          <w:szCs w:val="24"/>
        </w:rPr>
        <w:t xml:space="preserve"> the expert's opinion reflects a reliable application of the principles and methods to the facts of the case. </w:t>
      </w:r>
      <w:hyperlink r:id="rId142" w:history="1">
        <w:r w:rsidRPr="002D4090">
          <w:rPr>
            <w:rStyle w:val="Hyperlink"/>
            <w:rFonts w:ascii="Times New Roman" w:hAnsi="Times New Roman"/>
            <w:sz w:val="24"/>
            <w:szCs w:val="24"/>
          </w:rPr>
          <w:t>https://www.law.cornell.edu/rules/fre/rule_702</w:t>
        </w:r>
      </w:hyperlink>
      <w:r w:rsidRPr="002D4090">
        <w:rPr>
          <w:rFonts w:ascii="Times New Roman" w:hAnsi="Times New Roman"/>
          <w:sz w:val="24"/>
          <w:szCs w:val="24"/>
        </w:rPr>
        <w:t xml:space="preserve"> </w:t>
      </w:r>
    </w:p>
    <w:p w14:paraId="6E42A8BE" w14:textId="77777777" w:rsidR="00FB79CF" w:rsidRDefault="00FB79CF" w:rsidP="00B86628">
      <w:pPr>
        <w:pStyle w:val="NoSpacing"/>
        <w:rPr>
          <w:rFonts w:ascii="Arial Black" w:hAnsi="Arial Black"/>
          <w:sz w:val="24"/>
          <w:szCs w:val="24"/>
        </w:rPr>
      </w:pPr>
    </w:p>
    <w:p w14:paraId="28782CDC" w14:textId="62DF6EE9" w:rsidR="00316842" w:rsidRDefault="005178A4" w:rsidP="00B86628">
      <w:pPr>
        <w:pStyle w:val="NoSpacing"/>
        <w:rPr>
          <w:rFonts w:ascii="Arial Black" w:hAnsi="Arial Black"/>
          <w:sz w:val="24"/>
          <w:szCs w:val="24"/>
        </w:rPr>
      </w:pPr>
      <w:r>
        <w:rPr>
          <w:rFonts w:ascii="Arial Black" w:hAnsi="Arial Black"/>
          <w:sz w:val="24"/>
          <w:szCs w:val="24"/>
        </w:rPr>
        <w:t>1-151</w:t>
      </w:r>
    </w:p>
    <w:p w14:paraId="7D33C8D1" w14:textId="77777777" w:rsidR="005178A4" w:rsidRPr="00600BA8" w:rsidRDefault="005178A4" w:rsidP="005178A4">
      <w:pPr>
        <w:rPr>
          <w:rFonts w:ascii="Arial Black" w:hAnsi="Arial Black"/>
          <w:sz w:val="28"/>
        </w:rPr>
      </w:pPr>
      <w:r>
        <w:rPr>
          <w:rFonts w:ascii="Arial Black" w:hAnsi="Arial Black"/>
          <w:sz w:val="28"/>
        </w:rPr>
        <w:t xml:space="preserve">TN: FIREWORKS – CITY MGR / FIRE CHIEF - CANCELLED DUE TO P’s LAWSUIT – FRIVOLOUS CASES - Ps ATTY PAY $19,739 </w:t>
      </w:r>
    </w:p>
    <w:p w14:paraId="46AC0691" w14:textId="77777777" w:rsidR="005178A4" w:rsidRPr="005178A4" w:rsidRDefault="005178A4" w:rsidP="005178A4">
      <w:pPr>
        <w:pStyle w:val="NoSpacing"/>
        <w:rPr>
          <w:rFonts w:ascii="Times New Roman" w:hAnsi="Times New Roman"/>
          <w:sz w:val="24"/>
          <w:szCs w:val="24"/>
        </w:rPr>
      </w:pPr>
      <w:r w:rsidRPr="005178A4">
        <w:rPr>
          <w:rFonts w:ascii="Times New Roman" w:hAnsi="Times New Roman"/>
          <w:sz w:val="24"/>
          <w:szCs w:val="24"/>
        </w:rPr>
        <w:t xml:space="preserve">On July 25, 2024, in </w:t>
      </w:r>
      <w:r w:rsidRPr="005178A4">
        <w:rPr>
          <w:rFonts w:ascii="Times New Roman" w:hAnsi="Times New Roman"/>
          <w:sz w:val="24"/>
          <w:szCs w:val="24"/>
          <w:u w:val="single"/>
        </w:rPr>
        <w:t>Glenn Whiting v. City of Athens, Tennessee, et al.</w:t>
      </w:r>
      <w:r w:rsidRPr="005178A4">
        <w:rPr>
          <w:rFonts w:ascii="Times New Roman" w:hAnsi="Times New Roman"/>
          <w:sz w:val="24"/>
          <w:szCs w:val="24"/>
        </w:rPr>
        <w:t>, the U.S. Court of Appeals for the 6</w:t>
      </w:r>
      <w:r w:rsidRPr="005178A4">
        <w:rPr>
          <w:rFonts w:ascii="Times New Roman" w:hAnsi="Times New Roman"/>
          <w:sz w:val="24"/>
          <w:szCs w:val="24"/>
          <w:vertAlign w:val="superscript"/>
        </w:rPr>
        <w:t>th</w:t>
      </w:r>
      <w:r w:rsidRPr="005178A4">
        <w:rPr>
          <w:rFonts w:ascii="Times New Roman" w:hAnsi="Times New Roman"/>
          <w:sz w:val="24"/>
          <w:szCs w:val="24"/>
        </w:rPr>
        <w:t xml:space="preserve"> Circuit (Cincinnati) held (3 to 0; unpublished decision) that U.S. District Court properly granted the defense motion to dismiss the three lawsuits filed by resident.  The 6</w:t>
      </w:r>
      <w:r w:rsidRPr="005178A4">
        <w:rPr>
          <w:rFonts w:ascii="Times New Roman" w:hAnsi="Times New Roman"/>
          <w:sz w:val="24"/>
          <w:szCs w:val="24"/>
          <w:vertAlign w:val="superscript"/>
        </w:rPr>
        <w:t>th</w:t>
      </w:r>
      <w:r w:rsidRPr="005178A4">
        <w:rPr>
          <w:rFonts w:ascii="Times New Roman" w:hAnsi="Times New Roman"/>
          <w:sz w:val="24"/>
          <w:szCs w:val="24"/>
        </w:rPr>
        <w:t xml:space="preserve"> Circuit wrote: “The district court correctly determined that Keith’s conduct was not sufficiently severe to support Whiting’s retaliation claim. Whiting alleged that Keith informed local news organizations that Whiting’s lawsuit related to the fireworks show was the reason that the 2023 display was canceled. We have repeatedly held that statements made regarding publicly available information do not constitute adverse actions.”  </w:t>
      </w:r>
      <w:hyperlink r:id="rId143" w:history="1">
        <w:r w:rsidRPr="005178A4">
          <w:rPr>
            <w:rStyle w:val="Hyperlink"/>
            <w:rFonts w:ascii="Times New Roman" w:hAnsi="Times New Roman"/>
            <w:sz w:val="24"/>
            <w:szCs w:val="24"/>
          </w:rPr>
          <w:t>https://www.opn.ca6.uscourts.gov/opinions.pdf/24a0323n-06.pdf</w:t>
        </w:r>
      </w:hyperlink>
      <w:r w:rsidRPr="005178A4">
        <w:rPr>
          <w:rFonts w:ascii="Times New Roman" w:hAnsi="Times New Roman"/>
          <w:sz w:val="24"/>
          <w:szCs w:val="24"/>
        </w:rPr>
        <w:t xml:space="preserve"> </w:t>
      </w:r>
    </w:p>
    <w:p w14:paraId="5084C044" w14:textId="77777777" w:rsidR="005178A4" w:rsidRPr="005178A4" w:rsidRDefault="005178A4" w:rsidP="005178A4">
      <w:pPr>
        <w:pStyle w:val="NoSpacing"/>
        <w:rPr>
          <w:rFonts w:ascii="Times New Roman" w:hAnsi="Times New Roman"/>
          <w:sz w:val="24"/>
          <w:szCs w:val="24"/>
        </w:rPr>
      </w:pPr>
    </w:p>
    <w:p w14:paraId="0FD0D782" w14:textId="77777777" w:rsidR="005178A4" w:rsidRPr="005178A4" w:rsidRDefault="005178A4" w:rsidP="005178A4">
      <w:pPr>
        <w:pStyle w:val="NoSpacing"/>
        <w:ind w:left="720"/>
        <w:rPr>
          <w:rFonts w:ascii="Times New Roman" w:hAnsi="Times New Roman"/>
          <w:sz w:val="24"/>
          <w:szCs w:val="24"/>
        </w:rPr>
      </w:pPr>
      <w:r w:rsidRPr="005178A4">
        <w:rPr>
          <w:rFonts w:ascii="Times New Roman" w:hAnsi="Times New Roman"/>
          <w:sz w:val="24"/>
          <w:szCs w:val="24"/>
        </w:rPr>
        <w:t>On  September 24, 2024, the U.S. District Court judge in Knoxville then granted City’s motion for attorney fees and ordered resident’s attorney to personally pay $19,739.80 for filing frivolous lawsuits.  The Court wrote: “According to Plaintiff, ABC obtained this information on May 18, 2023, from Defendant Mike Keith, who served as interim City Manager at the time. (Id. at 1, 3–4.) Before speaking with ABC, Keith had met with Defendant Brandon Ainsworth, then the City Fire Chief, who allegedly ‘informed Keith that he did not want to . . . order [City] firefighters to provided [sic</w:t>
      </w:r>
      <w:proofErr w:type="gramStart"/>
      <w:r w:rsidRPr="005178A4">
        <w:rPr>
          <w:rFonts w:ascii="Times New Roman" w:hAnsi="Times New Roman"/>
          <w:sz w:val="24"/>
          <w:szCs w:val="24"/>
        </w:rPr>
        <w:t>] emergency</w:t>
      </w:r>
      <w:proofErr w:type="gramEnd"/>
      <w:r w:rsidRPr="005178A4">
        <w:rPr>
          <w:rFonts w:ascii="Times New Roman" w:hAnsi="Times New Roman"/>
          <w:sz w:val="24"/>
          <w:szCs w:val="24"/>
        </w:rPr>
        <w:t xml:space="preserve"> </w:t>
      </w:r>
      <w:r w:rsidRPr="005178A4">
        <w:rPr>
          <w:rFonts w:ascii="Times New Roman" w:hAnsi="Times New Roman"/>
          <w:sz w:val="24"/>
          <w:szCs w:val="24"/>
        </w:rPr>
        <w:lastRenderedPageBreak/>
        <w:t xml:space="preserve">protection at the 2023 Independence Day event. (Id. at 2, 4.) Plaintiff’s suit over the Event included City firefighters as defendants.” </w:t>
      </w:r>
      <w:hyperlink r:id="rId144" w:history="1">
        <w:r w:rsidRPr="005178A4">
          <w:rPr>
            <w:rStyle w:val="Hyperlink"/>
            <w:rFonts w:ascii="Times New Roman" w:hAnsi="Times New Roman"/>
            <w:sz w:val="24"/>
            <w:szCs w:val="24"/>
          </w:rPr>
          <w:t>https://cases.justia.com/federal/district-courts/tennessee/tnedce/3:2023cv00220/110152/57/0.pdf?ts=1727268755</w:t>
        </w:r>
      </w:hyperlink>
    </w:p>
    <w:p w14:paraId="59E851CB" w14:textId="77777777" w:rsidR="005178A4" w:rsidRPr="005178A4" w:rsidRDefault="005178A4" w:rsidP="005178A4">
      <w:pPr>
        <w:pStyle w:val="NoSpacing"/>
        <w:rPr>
          <w:rFonts w:ascii="Times New Roman" w:hAnsi="Times New Roman"/>
          <w:sz w:val="24"/>
          <w:szCs w:val="24"/>
        </w:rPr>
      </w:pPr>
    </w:p>
    <w:p w14:paraId="4096C218" w14:textId="77777777" w:rsidR="005178A4" w:rsidRPr="005178A4" w:rsidRDefault="005178A4" w:rsidP="005178A4">
      <w:pPr>
        <w:pStyle w:val="NoSpacing"/>
        <w:rPr>
          <w:rFonts w:ascii="Times New Roman" w:hAnsi="Times New Roman"/>
          <w:sz w:val="24"/>
          <w:szCs w:val="24"/>
        </w:rPr>
      </w:pPr>
    </w:p>
    <w:p w14:paraId="72A0FB64" w14:textId="77777777" w:rsidR="005178A4" w:rsidRPr="005178A4" w:rsidRDefault="005178A4" w:rsidP="005178A4">
      <w:pPr>
        <w:pStyle w:val="NoSpacing"/>
        <w:rPr>
          <w:rFonts w:ascii="Times New Roman" w:hAnsi="Times New Roman"/>
          <w:sz w:val="24"/>
          <w:szCs w:val="24"/>
        </w:rPr>
      </w:pPr>
      <w:r w:rsidRPr="005178A4">
        <w:rPr>
          <w:rFonts w:ascii="Times New Roman" w:hAnsi="Times New Roman"/>
          <w:sz w:val="24"/>
          <w:szCs w:val="24"/>
        </w:rPr>
        <w:t>THE 6</w:t>
      </w:r>
      <w:r w:rsidRPr="005178A4">
        <w:rPr>
          <w:rFonts w:ascii="Times New Roman" w:hAnsi="Times New Roman"/>
          <w:sz w:val="24"/>
          <w:szCs w:val="24"/>
          <w:vertAlign w:val="superscript"/>
        </w:rPr>
        <w:t>th</w:t>
      </w:r>
      <w:r w:rsidRPr="005178A4">
        <w:rPr>
          <w:rFonts w:ascii="Times New Roman" w:hAnsi="Times New Roman"/>
          <w:sz w:val="24"/>
          <w:szCs w:val="24"/>
        </w:rPr>
        <w:t xml:space="preserve"> CIRCUIT HELD:</w:t>
      </w:r>
    </w:p>
    <w:p w14:paraId="24D92204" w14:textId="77777777" w:rsidR="005178A4" w:rsidRPr="005178A4" w:rsidRDefault="005178A4" w:rsidP="005178A4">
      <w:pPr>
        <w:pStyle w:val="NoSpacing"/>
        <w:rPr>
          <w:rFonts w:ascii="Times New Roman" w:hAnsi="Times New Roman"/>
          <w:sz w:val="24"/>
          <w:szCs w:val="24"/>
        </w:rPr>
      </w:pPr>
    </w:p>
    <w:p w14:paraId="38FAC281" w14:textId="77777777" w:rsidR="005178A4" w:rsidRPr="005178A4" w:rsidRDefault="005178A4" w:rsidP="005178A4">
      <w:pPr>
        <w:pStyle w:val="NoSpacing"/>
        <w:ind w:firstLine="720"/>
        <w:rPr>
          <w:rFonts w:ascii="Times New Roman" w:hAnsi="Times New Roman"/>
          <w:sz w:val="24"/>
          <w:szCs w:val="24"/>
        </w:rPr>
      </w:pPr>
      <w:r w:rsidRPr="005178A4">
        <w:rPr>
          <w:rFonts w:ascii="Times New Roman" w:hAnsi="Times New Roman"/>
          <w:sz w:val="24"/>
          <w:szCs w:val="24"/>
        </w:rPr>
        <w:t>“The allegations in this case are based on events occurring several months after Whiting</w:t>
      </w:r>
    </w:p>
    <w:p w14:paraId="07049A8B" w14:textId="77777777" w:rsidR="005178A4" w:rsidRPr="005178A4" w:rsidRDefault="005178A4" w:rsidP="005178A4">
      <w:pPr>
        <w:pStyle w:val="NoSpacing"/>
        <w:ind w:left="720"/>
        <w:rPr>
          <w:rFonts w:ascii="Times New Roman" w:hAnsi="Times New Roman"/>
          <w:sz w:val="24"/>
          <w:szCs w:val="24"/>
        </w:rPr>
      </w:pPr>
      <w:r w:rsidRPr="005178A4">
        <w:rPr>
          <w:rFonts w:ascii="Times New Roman" w:hAnsi="Times New Roman"/>
          <w:sz w:val="24"/>
          <w:szCs w:val="24"/>
        </w:rPr>
        <w:t xml:space="preserve">filed his initial lawsuit. In May 2023, local news organizations reported that the </w:t>
      </w:r>
      <w:proofErr w:type="gramStart"/>
      <w:r w:rsidRPr="005178A4">
        <w:rPr>
          <w:rFonts w:ascii="Times New Roman" w:hAnsi="Times New Roman"/>
          <w:sz w:val="24"/>
          <w:szCs w:val="24"/>
        </w:rPr>
        <w:t>City</w:t>
      </w:r>
      <w:proofErr w:type="gramEnd"/>
      <w:r w:rsidRPr="005178A4">
        <w:rPr>
          <w:rFonts w:ascii="Times New Roman" w:hAnsi="Times New Roman"/>
          <w:sz w:val="24"/>
          <w:szCs w:val="24"/>
        </w:rPr>
        <w:t xml:space="preserve"> planned to cancel its fireworks show because of ‘[a] man’s pending lawsuit against several city officials over what happened at last year’s event.’ Id., </w:t>
      </w:r>
      <w:proofErr w:type="spellStart"/>
      <w:r w:rsidRPr="005178A4">
        <w:rPr>
          <w:rFonts w:ascii="Times New Roman" w:hAnsi="Times New Roman"/>
          <w:sz w:val="24"/>
          <w:szCs w:val="24"/>
        </w:rPr>
        <w:t>PageID</w:t>
      </w:r>
      <w:proofErr w:type="spellEnd"/>
      <w:r w:rsidRPr="005178A4">
        <w:rPr>
          <w:rFonts w:ascii="Times New Roman" w:hAnsi="Times New Roman"/>
          <w:sz w:val="24"/>
          <w:szCs w:val="24"/>
        </w:rPr>
        <w:t xml:space="preserve"> 4. One news organization, ABC Channel 9, included a link to Whiting’s Complaint in the original action in its report. Keith was cited as the source of the information. After news of the litigation was publicized, Whiting claimed that members of the Athens community began pressuring him to drop the lawsuit. He claimed that he was contacted directly by </w:t>
      </w:r>
      <w:proofErr w:type="gramStart"/>
      <w:r w:rsidRPr="005178A4">
        <w:rPr>
          <w:rFonts w:ascii="Times New Roman" w:hAnsi="Times New Roman"/>
          <w:sz w:val="24"/>
          <w:szCs w:val="24"/>
        </w:rPr>
        <w:t>Athens</w:t>
      </w:r>
      <w:proofErr w:type="gramEnd"/>
      <w:r w:rsidRPr="005178A4">
        <w:rPr>
          <w:rFonts w:ascii="Times New Roman" w:hAnsi="Times New Roman"/>
          <w:sz w:val="24"/>
          <w:szCs w:val="24"/>
        </w:rPr>
        <w:t xml:space="preserve"> citizens and business owners, and that other community members posted on social media ‘blaming [him] for the cancellation and urging him to dismiss his cases.’ Id., </w:t>
      </w:r>
      <w:proofErr w:type="spellStart"/>
      <w:r w:rsidRPr="005178A4">
        <w:rPr>
          <w:rFonts w:ascii="Times New Roman" w:hAnsi="Times New Roman"/>
          <w:sz w:val="24"/>
          <w:szCs w:val="24"/>
        </w:rPr>
        <w:t>PageID</w:t>
      </w:r>
      <w:proofErr w:type="spellEnd"/>
      <w:r w:rsidRPr="005178A4">
        <w:rPr>
          <w:rFonts w:ascii="Times New Roman" w:hAnsi="Times New Roman"/>
          <w:sz w:val="24"/>
          <w:szCs w:val="24"/>
        </w:rPr>
        <w:t xml:space="preserve"> 4–5. He alleged that the public’s response to news of his lawsuits ‘impaired [his] reputation and standing in the community’ and caused him ‘personal humiliation.’ Id., </w:t>
      </w:r>
      <w:proofErr w:type="spellStart"/>
      <w:r w:rsidRPr="005178A4">
        <w:rPr>
          <w:rFonts w:ascii="Times New Roman" w:hAnsi="Times New Roman"/>
          <w:sz w:val="24"/>
          <w:szCs w:val="24"/>
        </w:rPr>
        <w:t>PageID</w:t>
      </w:r>
      <w:proofErr w:type="spellEnd"/>
      <w:r w:rsidRPr="005178A4">
        <w:rPr>
          <w:rFonts w:ascii="Times New Roman" w:hAnsi="Times New Roman"/>
          <w:sz w:val="24"/>
          <w:szCs w:val="24"/>
        </w:rPr>
        <w:t xml:space="preserve"> 19.</w:t>
      </w:r>
    </w:p>
    <w:p w14:paraId="56A98B81" w14:textId="77777777" w:rsidR="005178A4" w:rsidRPr="005178A4" w:rsidRDefault="005178A4" w:rsidP="005178A4">
      <w:pPr>
        <w:pStyle w:val="NoSpacing"/>
        <w:ind w:left="720"/>
        <w:rPr>
          <w:rFonts w:ascii="Times New Roman" w:hAnsi="Times New Roman"/>
          <w:sz w:val="24"/>
          <w:szCs w:val="24"/>
        </w:rPr>
      </w:pPr>
    </w:p>
    <w:p w14:paraId="4159B8DE" w14:textId="77777777" w:rsidR="005178A4" w:rsidRPr="005178A4" w:rsidRDefault="005178A4" w:rsidP="005178A4">
      <w:pPr>
        <w:pStyle w:val="NoSpacing"/>
        <w:ind w:left="720"/>
        <w:rPr>
          <w:rFonts w:ascii="Times New Roman" w:hAnsi="Times New Roman"/>
          <w:sz w:val="24"/>
          <w:szCs w:val="24"/>
        </w:rPr>
      </w:pPr>
      <w:r w:rsidRPr="005178A4">
        <w:rPr>
          <w:rFonts w:ascii="Times New Roman" w:hAnsi="Times New Roman"/>
          <w:sz w:val="24"/>
          <w:szCs w:val="24"/>
        </w:rPr>
        <w:t>***</w:t>
      </w:r>
    </w:p>
    <w:p w14:paraId="2A15F0CB" w14:textId="77777777" w:rsidR="005178A4" w:rsidRPr="005178A4" w:rsidRDefault="005178A4" w:rsidP="005178A4">
      <w:pPr>
        <w:pStyle w:val="NoSpacing"/>
        <w:ind w:left="720"/>
        <w:rPr>
          <w:rFonts w:ascii="Times New Roman" w:hAnsi="Times New Roman"/>
          <w:sz w:val="24"/>
          <w:szCs w:val="24"/>
        </w:rPr>
      </w:pPr>
    </w:p>
    <w:p w14:paraId="26C374EA" w14:textId="77777777" w:rsidR="005178A4" w:rsidRPr="005178A4" w:rsidRDefault="005178A4" w:rsidP="005178A4">
      <w:pPr>
        <w:pStyle w:val="NoSpacing"/>
        <w:ind w:left="720"/>
        <w:rPr>
          <w:rFonts w:ascii="Times New Roman" w:hAnsi="Times New Roman"/>
          <w:sz w:val="24"/>
          <w:szCs w:val="24"/>
        </w:rPr>
      </w:pPr>
      <w:r w:rsidRPr="005178A4">
        <w:rPr>
          <w:rFonts w:ascii="Times New Roman" w:hAnsi="Times New Roman"/>
          <w:sz w:val="24"/>
          <w:szCs w:val="24"/>
        </w:rPr>
        <w:t>Whiting filed a third lawsuit several weeks later (No. 3:23-CV-221), claiming that the City Mayor lied about settlement negotiations between Whiting and the City. The district court granted the defendants’ motion to dismiss all claims in Case No. 3:23-CV-221 in November 2023.</w:t>
      </w:r>
    </w:p>
    <w:p w14:paraId="3368EE54" w14:textId="77777777" w:rsidR="005178A4" w:rsidRPr="005178A4" w:rsidRDefault="005178A4" w:rsidP="005178A4">
      <w:pPr>
        <w:pStyle w:val="NoSpacing"/>
        <w:ind w:left="720"/>
        <w:rPr>
          <w:rFonts w:ascii="Times New Roman" w:hAnsi="Times New Roman"/>
          <w:sz w:val="24"/>
          <w:szCs w:val="24"/>
        </w:rPr>
      </w:pPr>
    </w:p>
    <w:p w14:paraId="5B8BE4A1" w14:textId="77777777" w:rsidR="005178A4" w:rsidRPr="005178A4" w:rsidRDefault="005178A4" w:rsidP="005178A4">
      <w:pPr>
        <w:pStyle w:val="NoSpacing"/>
        <w:ind w:left="720"/>
        <w:rPr>
          <w:rFonts w:ascii="Times New Roman" w:hAnsi="Times New Roman"/>
          <w:sz w:val="24"/>
          <w:szCs w:val="24"/>
        </w:rPr>
      </w:pPr>
      <w:r w:rsidRPr="005178A4">
        <w:rPr>
          <w:rFonts w:ascii="Times New Roman" w:hAnsi="Times New Roman"/>
          <w:sz w:val="24"/>
          <w:szCs w:val="24"/>
        </w:rPr>
        <w:t>***</w:t>
      </w:r>
    </w:p>
    <w:p w14:paraId="20CEE5B5" w14:textId="77777777" w:rsidR="005178A4" w:rsidRPr="005178A4" w:rsidRDefault="005178A4" w:rsidP="005178A4">
      <w:pPr>
        <w:pStyle w:val="NoSpacing"/>
        <w:rPr>
          <w:rFonts w:ascii="Times New Roman" w:hAnsi="Times New Roman"/>
          <w:sz w:val="24"/>
          <w:szCs w:val="24"/>
        </w:rPr>
      </w:pPr>
    </w:p>
    <w:p w14:paraId="3C4F15D7" w14:textId="77777777" w:rsidR="005178A4" w:rsidRPr="005178A4" w:rsidRDefault="005178A4" w:rsidP="005178A4">
      <w:pPr>
        <w:pStyle w:val="NoSpacing"/>
        <w:ind w:left="720"/>
        <w:rPr>
          <w:rFonts w:ascii="Times New Roman" w:hAnsi="Times New Roman"/>
          <w:sz w:val="24"/>
          <w:szCs w:val="24"/>
        </w:rPr>
      </w:pPr>
      <w:r w:rsidRPr="005178A4">
        <w:rPr>
          <w:rFonts w:ascii="Times New Roman" w:hAnsi="Times New Roman"/>
          <w:sz w:val="24"/>
          <w:szCs w:val="24"/>
        </w:rPr>
        <w:t>The court dismissed Whiting’s retaliation claim because he did not show that Keith’s statements to the media constituted an adverse action that would deter an average person from continuing to exercise his First Amendment rights.</w:t>
      </w:r>
    </w:p>
    <w:p w14:paraId="41059EB7" w14:textId="77777777" w:rsidR="005178A4" w:rsidRPr="005178A4" w:rsidRDefault="005178A4" w:rsidP="005178A4">
      <w:pPr>
        <w:pStyle w:val="NoSpacing"/>
        <w:ind w:left="720"/>
        <w:rPr>
          <w:rFonts w:ascii="Times New Roman" w:hAnsi="Times New Roman"/>
          <w:sz w:val="24"/>
          <w:szCs w:val="24"/>
        </w:rPr>
      </w:pPr>
    </w:p>
    <w:p w14:paraId="0FA6A282" w14:textId="77777777" w:rsidR="005178A4" w:rsidRPr="005178A4" w:rsidRDefault="005178A4" w:rsidP="005178A4">
      <w:pPr>
        <w:pStyle w:val="NoSpacing"/>
        <w:ind w:left="720"/>
        <w:rPr>
          <w:rFonts w:ascii="Times New Roman" w:hAnsi="Times New Roman"/>
          <w:sz w:val="24"/>
          <w:szCs w:val="24"/>
        </w:rPr>
      </w:pPr>
      <w:r w:rsidRPr="005178A4">
        <w:rPr>
          <w:rFonts w:ascii="Times New Roman" w:hAnsi="Times New Roman"/>
          <w:sz w:val="24"/>
          <w:szCs w:val="24"/>
        </w:rPr>
        <w:t>***</w:t>
      </w:r>
    </w:p>
    <w:p w14:paraId="06B50868" w14:textId="77777777" w:rsidR="005178A4" w:rsidRPr="005178A4" w:rsidRDefault="005178A4" w:rsidP="005178A4">
      <w:pPr>
        <w:pStyle w:val="NoSpacing"/>
        <w:rPr>
          <w:rFonts w:ascii="Times New Roman" w:hAnsi="Times New Roman"/>
          <w:sz w:val="24"/>
          <w:szCs w:val="24"/>
        </w:rPr>
      </w:pPr>
    </w:p>
    <w:p w14:paraId="6A103394" w14:textId="77777777" w:rsidR="005178A4" w:rsidRPr="005178A4" w:rsidRDefault="005178A4" w:rsidP="005178A4">
      <w:pPr>
        <w:pStyle w:val="NoSpacing"/>
        <w:ind w:firstLine="720"/>
        <w:rPr>
          <w:rFonts w:ascii="Times New Roman" w:hAnsi="Times New Roman"/>
          <w:sz w:val="24"/>
          <w:szCs w:val="24"/>
        </w:rPr>
      </w:pPr>
      <w:r w:rsidRPr="005178A4">
        <w:rPr>
          <w:rFonts w:ascii="Times New Roman" w:hAnsi="Times New Roman"/>
          <w:sz w:val="24"/>
          <w:szCs w:val="24"/>
        </w:rPr>
        <w:t>The district court correctly determined that Keith’s conduct was not sufficiently severe to</w:t>
      </w:r>
    </w:p>
    <w:p w14:paraId="0A979EA5" w14:textId="77777777" w:rsidR="005178A4" w:rsidRPr="005178A4" w:rsidRDefault="005178A4" w:rsidP="005178A4">
      <w:pPr>
        <w:pStyle w:val="NoSpacing"/>
        <w:ind w:left="720"/>
        <w:rPr>
          <w:rFonts w:ascii="Times New Roman" w:hAnsi="Times New Roman"/>
          <w:sz w:val="24"/>
          <w:szCs w:val="24"/>
        </w:rPr>
      </w:pPr>
      <w:r w:rsidRPr="005178A4">
        <w:rPr>
          <w:rFonts w:ascii="Times New Roman" w:hAnsi="Times New Roman"/>
          <w:sz w:val="24"/>
          <w:szCs w:val="24"/>
        </w:rPr>
        <w:t xml:space="preserve">support Whiting’s retaliation claim. Whiting alleged that Keith informed local news organizations that Whiting’s lawsuit related to the fireworks show was the reason that the 2023 display was canceled. We have repeatedly held that statements made regarding publicly available information do not constitute adverse actions. See, e.g., McComas v. Bd. of Educ., Rock Hill Loc. Sch. Dist., 422 F. </w:t>
      </w:r>
      <w:proofErr w:type="spellStart"/>
      <w:r w:rsidRPr="005178A4">
        <w:rPr>
          <w:rFonts w:ascii="Times New Roman" w:hAnsi="Times New Roman"/>
          <w:sz w:val="24"/>
          <w:szCs w:val="24"/>
        </w:rPr>
        <w:t>App’x</w:t>
      </w:r>
      <w:proofErr w:type="spellEnd"/>
      <w:r w:rsidRPr="005178A4">
        <w:rPr>
          <w:rFonts w:ascii="Times New Roman" w:hAnsi="Times New Roman"/>
          <w:sz w:val="24"/>
          <w:szCs w:val="24"/>
        </w:rPr>
        <w:t xml:space="preserve"> 462, 469 (6th Cir. 2011) (superintendent’s statement at School Board meeting regarding the plaintiff’s role in a fight at school was not an adverse action); </w:t>
      </w:r>
      <w:proofErr w:type="spellStart"/>
      <w:r w:rsidRPr="005178A4">
        <w:rPr>
          <w:rFonts w:ascii="Times New Roman" w:hAnsi="Times New Roman"/>
          <w:sz w:val="24"/>
          <w:szCs w:val="24"/>
        </w:rPr>
        <w:t>Mezibov</w:t>
      </w:r>
      <w:proofErr w:type="spellEnd"/>
      <w:r w:rsidRPr="005178A4">
        <w:rPr>
          <w:rFonts w:ascii="Times New Roman" w:hAnsi="Times New Roman"/>
          <w:sz w:val="24"/>
          <w:szCs w:val="24"/>
        </w:rPr>
        <w:t xml:space="preserve"> v. Allen, 411 F.3d 712, 722–23 (6th Cir. 2005) (prosecutor’s statements to local news media that the plaintiff “is a bad attorney, that he is inexperienced, and that he was putting his own interests before those of his client” are insufficiently adverse); Mattox v. City of Forest Park, 183 F.3d 515, 522–23 (6</w:t>
      </w:r>
      <w:r w:rsidRPr="005178A4">
        <w:rPr>
          <w:rFonts w:ascii="Times New Roman" w:hAnsi="Times New Roman"/>
          <w:sz w:val="24"/>
          <w:szCs w:val="24"/>
          <w:vertAlign w:val="superscript"/>
        </w:rPr>
        <w:t>th</w:t>
      </w:r>
      <w:r w:rsidRPr="005178A4">
        <w:rPr>
          <w:rFonts w:ascii="Times New Roman" w:hAnsi="Times New Roman"/>
          <w:sz w:val="24"/>
          <w:szCs w:val="24"/>
        </w:rPr>
        <w:t xml:space="preserve"> Cir. 1999) (publishing a report detailing plaintiffs’ efforts at investigating the City’s Fire Department, which included “revealing personal statements,” was not an adverse action).”</w:t>
      </w:r>
    </w:p>
    <w:p w14:paraId="3D3A35EE" w14:textId="77777777" w:rsidR="005178A4" w:rsidRDefault="005178A4" w:rsidP="00B86628">
      <w:pPr>
        <w:pStyle w:val="NoSpacing"/>
        <w:rPr>
          <w:rFonts w:ascii="Arial Black" w:hAnsi="Arial Black"/>
          <w:sz w:val="24"/>
          <w:szCs w:val="24"/>
        </w:rPr>
      </w:pPr>
    </w:p>
    <w:p w14:paraId="7C7947EF" w14:textId="77777777" w:rsidR="00A91BAB" w:rsidRPr="00502261" w:rsidRDefault="00A91BAB" w:rsidP="00A91BAB">
      <w:pPr>
        <w:pStyle w:val="NoSpacing"/>
        <w:rPr>
          <w:rFonts w:ascii="Times New Roman" w:hAnsi="Times New Roman"/>
          <w:b/>
          <w:bCs/>
          <w:sz w:val="24"/>
          <w:szCs w:val="24"/>
        </w:rPr>
      </w:pPr>
      <w:r w:rsidRPr="00502261">
        <w:rPr>
          <w:rFonts w:ascii="Times New Roman" w:hAnsi="Times New Roman"/>
          <w:b/>
          <w:bCs/>
          <w:sz w:val="24"/>
          <w:szCs w:val="24"/>
        </w:rPr>
        <w:t xml:space="preserve">Legal Lesson Learned: The City Manager can lawfully inform the Press why the fireworks were cancelled.  </w:t>
      </w:r>
    </w:p>
    <w:p w14:paraId="64FA96D5" w14:textId="77777777" w:rsidR="00A91BAB" w:rsidRPr="00502261" w:rsidRDefault="00A91BAB" w:rsidP="00B86628">
      <w:pPr>
        <w:pStyle w:val="NoSpacing"/>
        <w:rPr>
          <w:rFonts w:ascii="Times New Roman" w:hAnsi="Times New Roman"/>
          <w:sz w:val="24"/>
          <w:szCs w:val="24"/>
        </w:rPr>
      </w:pPr>
    </w:p>
    <w:p w14:paraId="1AD0E1D5" w14:textId="77777777" w:rsidR="00316842" w:rsidRDefault="00316842" w:rsidP="00B86628">
      <w:pPr>
        <w:pStyle w:val="NoSpacing"/>
        <w:rPr>
          <w:rFonts w:ascii="Arial Black" w:hAnsi="Arial Black"/>
          <w:sz w:val="24"/>
          <w:szCs w:val="24"/>
        </w:rPr>
      </w:pPr>
    </w:p>
    <w:p w14:paraId="2B2D8B97" w14:textId="77777777" w:rsidR="005178A4" w:rsidRDefault="005178A4" w:rsidP="00B86628">
      <w:pPr>
        <w:pStyle w:val="NoSpacing"/>
        <w:rPr>
          <w:rFonts w:ascii="Arial Black" w:hAnsi="Arial Black"/>
          <w:sz w:val="24"/>
          <w:szCs w:val="24"/>
        </w:rPr>
      </w:pPr>
    </w:p>
    <w:p w14:paraId="71664E6F" w14:textId="77777777" w:rsidR="005178A4" w:rsidRDefault="005178A4" w:rsidP="00B86628">
      <w:pPr>
        <w:pStyle w:val="NoSpacing"/>
        <w:rPr>
          <w:rFonts w:ascii="Arial Black" w:hAnsi="Arial Black"/>
          <w:sz w:val="24"/>
          <w:szCs w:val="24"/>
        </w:rPr>
      </w:pPr>
    </w:p>
    <w:p w14:paraId="1E4FFF6A" w14:textId="77777777" w:rsidR="005178A4" w:rsidRDefault="005178A4" w:rsidP="00B86628">
      <w:pPr>
        <w:pStyle w:val="NoSpacing"/>
        <w:rPr>
          <w:rFonts w:ascii="Arial Black" w:hAnsi="Arial Black"/>
          <w:sz w:val="24"/>
          <w:szCs w:val="24"/>
        </w:rPr>
      </w:pPr>
    </w:p>
    <w:p w14:paraId="22384F59" w14:textId="7CDBFB98" w:rsidR="004E46C8" w:rsidRDefault="004E46C8" w:rsidP="00B86628">
      <w:pPr>
        <w:pStyle w:val="NoSpacing"/>
        <w:rPr>
          <w:rFonts w:ascii="Arial Black" w:hAnsi="Arial Black"/>
          <w:sz w:val="24"/>
          <w:szCs w:val="24"/>
        </w:rPr>
      </w:pPr>
      <w:r>
        <w:rPr>
          <w:rFonts w:ascii="Arial Black" w:hAnsi="Arial Black"/>
          <w:sz w:val="24"/>
          <w:szCs w:val="24"/>
        </w:rPr>
        <w:t>1-150</w:t>
      </w:r>
    </w:p>
    <w:p w14:paraId="14D7BD6C" w14:textId="714010B3" w:rsidR="004E46C8" w:rsidRPr="00704A1E" w:rsidRDefault="004E46C8" w:rsidP="004E46C8">
      <w:pPr>
        <w:pStyle w:val="NormalWeb"/>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VT: PROPERTY OWNER - 3 RVs – HOMELESS LIV</w:t>
      </w:r>
      <w:r w:rsidR="003016F0">
        <w:rPr>
          <w:rFonts w:ascii="Arial Black" w:hAnsi="Arial Black"/>
          <w:b/>
          <w:bCs/>
          <w:color w:val="454545"/>
          <w:sz w:val="28"/>
          <w:szCs w:val="28"/>
          <w:shd w:val="clear" w:color="auto" w:fill="FFFFFF"/>
        </w:rPr>
        <w:t>ING</w:t>
      </w:r>
      <w:r>
        <w:rPr>
          <w:rFonts w:ascii="Arial Black" w:hAnsi="Arial Black"/>
          <w:b/>
          <w:bCs/>
          <w:color w:val="454545"/>
          <w:sz w:val="28"/>
          <w:szCs w:val="28"/>
          <w:shd w:val="clear" w:color="auto" w:fill="FFFFFF"/>
        </w:rPr>
        <w:t xml:space="preserve"> THERE – VIOLATION OF HEALTH AND SAFETY CODE</w:t>
      </w:r>
    </w:p>
    <w:p w14:paraId="338A839E" w14:textId="51B19CF7" w:rsidR="004E46C8" w:rsidRPr="008F6524" w:rsidRDefault="004E46C8" w:rsidP="004E46C8">
      <w:pPr>
        <w:pStyle w:val="NormalWeb"/>
        <w:rPr>
          <w:color w:val="454545"/>
          <w:shd w:val="clear" w:color="auto" w:fill="FFFFFF"/>
        </w:rPr>
      </w:pPr>
      <w:r w:rsidRPr="008F6524">
        <w:rPr>
          <w:shd w:val="clear" w:color="auto" w:fill="FFFFFF"/>
        </w:rPr>
        <w:t xml:space="preserve">On July 12, 2024, </w:t>
      </w:r>
      <w:proofErr w:type="gramStart"/>
      <w:r w:rsidRPr="008F6524">
        <w:rPr>
          <w:color w:val="454545"/>
          <w:u w:val="single"/>
          <w:shd w:val="clear" w:color="auto" w:fill="FFFFFF"/>
        </w:rPr>
        <w:t>In</w:t>
      </w:r>
      <w:proofErr w:type="gramEnd"/>
      <w:r w:rsidRPr="008F6524">
        <w:rPr>
          <w:color w:val="454545"/>
          <w:u w:val="single"/>
          <w:shd w:val="clear" w:color="auto" w:fill="FFFFFF"/>
        </w:rPr>
        <w:t xml:space="preserve"> re Kurt </w:t>
      </w:r>
      <w:proofErr w:type="spellStart"/>
      <w:r w:rsidRPr="008F6524">
        <w:rPr>
          <w:color w:val="454545"/>
          <w:u w:val="single"/>
          <w:shd w:val="clear" w:color="auto" w:fill="FFFFFF"/>
        </w:rPr>
        <w:t>Daims</w:t>
      </w:r>
      <w:proofErr w:type="spellEnd"/>
      <w:r w:rsidRPr="008F6524">
        <w:rPr>
          <w:color w:val="454545"/>
          <w:u w:val="single"/>
          <w:shd w:val="clear" w:color="auto" w:fill="FFFFFF"/>
        </w:rPr>
        <w:t>/Brattleboro Common Sense</w:t>
      </w:r>
      <w:r w:rsidRPr="008F6524">
        <w:rPr>
          <w:b/>
          <w:bCs/>
          <w:color w:val="454545"/>
          <w:shd w:val="clear" w:color="auto" w:fill="FFFFFF"/>
        </w:rPr>
        <w:t xml:space="preserve">, </w:t>
      </w:r>
      <w:r w:rsidRPr="008F6524">
        <w:rPr>
          <w:color w:val="454545"/>
          <w:shd w:val="clear" w:color="auto" w:fill="FFFFFF"/>
        </w:rPr>
        <w:t xml:space="preserve">they Vermont Supreme Court held (3 to 0) that ordinance was lawful and applied to RVs, rejecting the property owner’s argument that RVs are not “regular residents.” The property owner was given </w:t>
      </w:r>
      <w:r w:rsidR="00CE10E8" w:rsidRPr="008F6524">
        <w:rPr>
          <w:color w:val="454545"/>
          <w:shd w:val="clear" w:color="auto" w:fill="FFFFFF"/>
        </w:rPr>
        <w:t>two-day</w:t>
      </w:r>
      <w:r w:rsidRPr="008F6524">
        <w:rPr>
          <w:color w:val="454545"/>
          <w:shd w:val="clear" w:color="auto" w:fill="FFFFFF"/>
        </w:rPr>
        <w:t xml:space="preserve"> hearing before the Vermont Board of Health, which upheld the eight code citations.  The Vermont Supreme Court agreed that code applied to RVs. “</w:t>
      </w:r>
      <w:r w:rsidRPr="008F6524">
        <w:rPr>
          <w:shd w:val="clear" w:color="auto" w:fill="FFFFFF"/>
        </w:rPr>
        <w:t xml:space="preserve">We agree with the Board that the RVs should be considered regular residences and that appellants must comply with the code here. The RVs were offered to community members as living units.” </w:t>
      </w:r>
      <w:hyperlink r:id="rId145" w:history="1">
        <w:r w:rsidRPr="008F6524">
          <w:rPr>
            <w:rStyle w:val="Hyperlink"/>
            <w:shd w:val="clear" w:color="auto" w:fill="FFFFFF"/>
          </w:rPr>
          <w:t>https://casetext.com/case/in-re-daims</w:t>
        </w:r>
      </w:hyperlink>
      <w:r w:rsidRPr="008F6524">
        <w:rPr>
          <w:shd w:val="clear" w:color="auto" w:fill="FFFFFF"/>
        </w:rPr>
        <w:t xml:space="preserve"> </w:t>
      </w:r>
    </w:p>
    <w:p w14:paraId="63E824C1" w14:textId="77777777" w:rsidR="004E46C8" w:rsidRDefault="004E46C8" w:rsidP="004E46C8">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THE COURT HELD:</w:t>
      </w:r>
    </w:p>
    <w:p w14:paraId="5BD6F094" w14:textId="77777777" w:rsidR="004E46C8" w:rsidRDefault="004E46C8" w:rsidP="004E46C8">
      <w:pPr>
        <w:pStyle w:val="NoSpacing"/>
        <w:rPr>
          <w:rFonts w:ascii="Times New Roman" w:hAnsi="Times New Roman"/>
          <w:sz w:val="24"/>
          <w:szCs w:val="24"/>
          <w:shd w:val="clear" w:color="auto" w:fill="FFFFFF"/>
        </w:rPr>
      </w:pPr>
    </w:p>
    <w:p w14:paraId="5FD85041" w14:textId="77777777" w:rsidR="004E46C8" w:rsidRPr="00CB28D7" w:rsidRDefault="004E46C8" w:rsidP="004E46C8">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 xml:space="preserve">Appellants argue that the RVs should not be subject to the code because they are not a </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regular residence.</w:t>
      </w:r>
      <w:r>
        <w:rPr>
          <w:rFonts w:ascii="Times New Roman" w:hAnsi="Times New Roman"/>
          <w:sz w:val="24"/>
          <w:szCs w:val="24"/>
          <w:shd w:val="clear" w:color="auto" w:fill="FFFFFF"/>
        </w:rPr>
        <w:t xml:space="preserve">’ </w:t>
      </w:r>
      <w:r w:rsidRPr="006F5AC1">
        <w:rPr>
          <w:rFonts w:ascii="Times New Roman" w:hAnsi="Times New Roman"/>
          <w:sz w:val="24"/>
          <w:szCs w:val="24"/>
          <w:shd w:val="clear" w:color="auto" w:fill="FFFFFF"/>
        </w:rPr>
        <w:t xml:space="preserve"> See RRHHS Code § 3.1 (</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This Rental Housing Health and Safety Code shall apply to all rented dwellings, dwelling units, rooming houses, rooming units, and mobile home lots used as a regular residence.</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w:t>
      </w:r>
      <w:r w:rsidRPr="006F5AC1">
        <w:rPr>
          <w:rFonts w:ascii="Times New Roman" w:hAnsi="Times New Roman"/>
          <w:sz w:val="24"/>
          <w:szCs w:val="24"/>
          <w:shd w:val="clear" w:color="auto" w:fill="FFFFFF"/>
        </w:rPr>
        <w:t xml:space="preserve">We agree with the Board that the RVs should be considered regular residences and that appellants must comply with the code here. The RVs were offered to community members as living units. They fit within the definition of </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rooming units.</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 xml:space="preserve"> See </w:t>
      </w:r>
      <w:r w:rsidRPr="006F5AC1">
        <w:rPr>
          <w:rFonts w:ascii="Times New Roman" w:hAnsi="Times New Roman"/>
          <w:i/>
          <w:iCs/>
          <w:sz w:val="24"/>
          <w:szCs w:val="24"/>
          <w:shd w:val="clear" w:color="auto" w:fill="FFFFFF"/>
        </w:rPr>
        <w:t>id</w:t>
      </w:r>
      <w:r w:rsidRPr="006F5AC1">
        <w:rPr>
          <w:rFonts w:ascii="Times New Roman" w:hAnsi="Times New Roman"/>
          <w:sz w:val="24"/>
          <w:szCs w:val="24"/>
          <w:shd w:val="clear" w:color="auto" w:fill="FFFFFF"/>
        </w:rPr>
        <w:t xml:space="preserve">. § 4.20 (defining </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rooming unit</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 xml:space="preserve"> as </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room or group of rooms let to an individual or household for use as living and sleeping, but not for cooking or eating purposes, whether or not, common cooking facilities are made available</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 xml:space="preserve">); </w:t>
      </w:r>
      <w:r w:rsidRPr="006F5AC1">
        <w:rPr>
          <w:rFonts w:ascii="Times New Roman" w:hAnsi="Times New Roman"/>
          <w:i/>
          <w:iCs/>
          <w:sz w:val="24"/>
          <w:szCs w:val="24"/>
          <w:shd w:val="clear" w:color="auto" w:fill="FFFFFF"/>
        </w:rPr>
        <w:t>id</w:t>
      </w:r>
      <w:r w:rsidRPr="006F5AC1">
        <w:rPr>
          <w:rFonts w:ascii="Times New Roman" w:hAnsi="Times New Roman"/>
          <w:sz w:val="24"/>
          <w:szCs w:val="24"/>
          <w:shd w:val="clear" w:color="auto" w:fill="FFFFFF"/>
        </w:rPr>
        <w:t xml:space="preserve">. § 4.19 (defining </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rooming house</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 xml:space="preserve"> as </w:t>
      </w:r>
      <w:r>
        <w:rPr>
          <w:rFonts w:ascii="Times New Roman" w:hAnsi="Times New Roman"/>
          <w:sz w:val="24"/>
          <w:szCs w:val="24"/>
          <w:shd w:val="clear" w:color="auto" w:fill="FFFFFF"/>
        </w:rPr>
        <w:t>‘</w:t>
      </w:r>
      <w:r w:rsidRPr="006F5AC1">
        <w:rPr>
          <w:rFonts w:ascii="Times New Roman" w:hAnsi="Times New Roman"/>
          <w:sz w:val="24"/>
          <w:szCs w:val="24"/>
          <w:shd w:val="clear" w:color="auto" w:fill="FFFFFF"/>
        </w:rPr>
        <w:t>any dwelling or part thereof containing one or more rooming units and/or one or more dormitory rooms in which space is let by the owner or operator to one or more persons who are not immediate family members of the owner).</w:t>
      </w:r>
      <w:r>
        <w:rPr>
          <w:rFonts w:ascii="Times New Roman" w:hAnsi="Times New Roman"/>
          <w:sz w:val="24"/>
          <w:szCs w:val="24"/>
          <w:shd w:val="clear" w:color="auto" w:fill="FFFFFF"/>
        </w:rPr>
        <w:t>”</w:t>
      </w:r>
    </w:p>
    <w:p w14:paraId="3B851741" w14:textId="77777777" w:rsidR="00316842" w:rsidRDefault="00316842" w:rsidP="00316842">
      <w:pPr>
        <w:pStyle w:val="NoSpacing"/>
        <w:rPr>
          <w:rFonts w:ascii="Times New Roman" w:hAnsi="Times New Roman"/>
          <w:b/>
          <w:bCs/>
          <w:sz w:val="24"/>
          <w:szCs w:val="24"/>
          <w:shd w:val="clear" w:color="auto" w:fill="FFFFFF"/>
        </w:rPr>
      </w:pPr>
    </w:p>
    <w:p w14:paraId="2E89FB93" w14:textId="0B8BC083" w:rsidR="00316842" w:rsidRDefault="00316842" w:rsidP="00316842">
      <w:pPr>
        <w:pStyle w:val="NoSpacing"/>
        <w:rPr>
          <w:rFonts w:ascii="Times New Roman" w:hAnsi="Times New Roman"/>
          <w:b/>
          <w:bCs/>
          <w:sz w:val="24"/>
          <w:szCs w:val="24"/>
          <w:shd w:val="clear" w:color="auto" w:fill="FFFFFF"/>
        </w:rPr>
      </w:pPr>
      <w:r>
        <w:rPr>
          <w:rFonts w:ascii="Times New Roman" w:hAnsi="Times New Roman"/>
          <w:b/>
          <w:bCs/>
          <w:sz w:val="24"/>
          <w:szCs w:val="24"/>
          <w:shd w:val="clear" w:color="auto" w:fill="FFFFFF"/>
        </w:rPr>
        <w:t xml:space="preserve">Legal Lesson Learned: The property owner must comply with Health &amp; Safety Code. </w:t>
      </w:r>
    </w:p>
    <w:p w14:paraId="4BBF2CA0" w14:textId="77777777" w:rsidR="008F287B" w:rsidRDefault="008F287B" w:rsidP="00316842">
      <w:pPr>
        <w:pStyle w:val="NoSpacing"/>
        <w:rPr>
          <w:rFonts w:ascii="Times New Roman" w:hAnsi="Times New Roman"/>
          <w:b/>
          <w:bCs/>
          <w:sz w:val="24"/>
          <w:szCs w:val="24"/>
          <w:shd w:val="clear" w:color="auto" w:fill="FFFFFF"/>
        </w:rPr>
      </w:pPr>
    </w:p>
    <w:p w14:paraId="308C7055" w14:textId="77777777" w:rsidR="008F287B" w:rsidRDefault="008F287B" w:rsidP="008F287B">
      <w:pPr>
        <w:pStyle w:val="NormalWeb"/>
        <w:shd w:val="clear" w:color="auto" w:fill="FFFFFF"/>
        <w:spacing w:before="0" w:beforeAutospacing="0"/>
        <w:ind w:firstLine="720"/>
      </w:pPr>
      <w:r>
        <w:t xml:space="preserve">Note: See this article on the case. </w:t>
      </w:r>
    </w:p>
    <w:p w14:paraId="16BE2D18" w14:textId="77777777" w:rsidR="008F287B" w:rsidRPr="00F32EC7" w:rsidRDefault="008F287B" w:rsidP="008F287B">
      <w:pPr>
        <w:pStyle w:val="NormalWeb"/>
        <w:shd w:val="clear" w:color="auto" w:fill="FFFFFF"/>
        <w:spacing w:before="0"/>
        <w:ind w:left="720"/>
      </w:pPr>
      <w:r w:rsidRPr="00F32EC7">
        <w:t xml:space="preserve">July 23, 20243: Vermont Supreme Court rejects RV housing appeal in Brattleboro </w:t>
      </w:r>
      <w:hyperlink r:id="rId146" w:history="1">
        <w:r w:rsidRPr="00F32EC7">
          <w:rPr>
            <w:rStyle w:val="Hyperlink"/>
          </w:rPr>
          <w:t>https://www.reformer.com/local-news/vermont-supreme-court-rejects-rv-housing-appeal-in-brattleboro/article_1aa8b844-48f7-11ef-b1d5-5784c0449d3d.html</w:t>
        </w:r>
      </w:hyperlink>
      <w:r w:rsidRPr="00F32EC7">
        <w:t xml:space="preserve"> </w:t>
      </w:r>
    </w:p>
    <w:p w14:paraId="5FBC256D" w14:textId="77777777" w:rsidR="008F287B" w:rsidRPr="009C51DC" w:rsidRDefault="008F287B" w:rsidP="00316842">
      <w:pPr>
        <w:pStyle w:val="NoSpacing"/>
        <w:rPr>
          <w:rFonts w:ascii="Times New Roman" w:hAnsi="Times New Roman"/>
          <w:b/>
          <w:bCs/>
          <w:sz w:val="24"/>
          <w:szCs w:val="24"/>
          <w:shd w:val="clear" w:color="auto" w:fill="FFFFFF"/>
        </w:rPr>
      </w:pPr>
    </w:p>
    <w:p w14:paraId="59E08193" w14:textId="77777777" w:rsidR="004E46C8" w:rsidRDefault="004E46C8" w:rsidP="00B86628">
      <w:pPr>
        <w:pStyle w:val="NoSpacing"/>
        <w:rPr>
          <w:rFonts w:ascii="Arial Black" w:hAnsi="Arial Black"/>
          <w:sz w:val="24"/>
          <w:szCs w:val="24"/>
        </w:rPr>
      </w:pPr>
    </w:p>
    <w:p w14:paraId="34071149" w14:textId="77777777" w:rsidR="004E46C8" w:rsidRDefault="004E46C8" w:rsidP="00B86628">
      <w:pPr>
        <w:pStyle w:val="NoSpacing"/>
        <w:rPr>
          <w:rFonts w:ascii="Arial Black" w:hAnsi="Arial Black"/>
          <w:sz w:val="24"/>
          <w:szCs w:val="24"/>
        </w:rPr>
      </w:pPr>
    </w:p>
    <w:p w14:paraId="73C7002F" w14:textId="6548C6FF" w:rsidR="006A0C24" w:rsidRDefault="006A0C24" w:rsidP="00B86628">
      <w:pPr>
        <w:pStyle w:val="NoSpacing"/>
        <w:rPr>
          <w:rFonts w:ascii="Arial Black" w:hAnsi="Arial Black"/>
          <w:sz w:val="24"/>
          <w:szCs w:val="24"/>
        </w:rPr>
      </w:pPr>
      <w:r>
        <w:rPr>
          <w:rFonts w:ascii="Arial Black" w:hAnsi="Arial Black"/>
          <w:sz w:val="24"/>
          <w:szCs w:val="24"/>
        </w:rPr>
        <w:t>1-149</w:t>
      </w:r>
    </w:p>
    <w:p w14:paraId="2B17F572" w14:textId="77777777" w:rsidR="006A0C24" w:rsidRDefault="006A0C24" w:rsidP="00B86628">
      <w:pPr>
        <w:pStyle w:val="NoSpacing"/>
        <w:rPr>
          <w:rFonts w:ascii="Arial Black" w:hAnsi="Arial Black"/>
          <w:sz w:val="24"/>
          <w:szCs w:val="24"/>
        </w:rPr>
      </w:pPr>
    </w:p>
    <w:p w14:paraId="30431926" w14:textId="77777777" w:rsidR="002C7131" w:rsidRPr="00134702" w:rsidRDefault="002C7131" w:rsidP="002C7131">
      <w:pPr>
        <w:rPr>
          <w:rFonts w:ascii="Arial Black" w:hAnsi="Arial Black"/>
          <w:sz w:val="28"/>
          <w:szCs w:val="28"/>
        </w:rPr>
      </w:pPr>
      <w:r>
        <w:rPr>
          <w:rFonts w:ascii="Arial Black" w:hAnsi="Arial Black"/>
          <w:sz w:val="28"/>
          <w:szCs w:val="28"/>
        </w:rPr>
        <w:t>U.S. SUP. CT:  ARIZONA PRISONER DEATH SENTENCE REINSTATED – FED. HABEAS CORPUS DENIED</w:t>
      </w:r>
    </w:p>
    <w:p w14:paraId="19288EF7" w14:textId="77777777" w:rsidR="002C7131" w:rsidRDefault="002C7131" w:rsidP="002C7131">
      <w:pPr>
        <w:pStyle w:val="NoSpacing"/>
        <w:rPr>
          <w:rFonts w:ascii="Times New Roman" w:hAnsi="Times New Roman"/>
          <w:sz w:val="24"/>
          <w:szCs w:val="24"/>
        </w:rPr>
      </w:pPr>
      <w:r>
        <w:rPr>
          <w:rFonts w:ascii="Times New Roman" w:hAnsi="Times New Roman"/>
          <w:sz w:val="24"/>
          <w:szCs w:val="24"/>
        </w:rPr>
        <w:t xml:space="preserve">On May 30, 2024, in </w:t>
      </w:r>
      <w:r w:rsidRPr="00CB67D4">
        <w:rPr>
          <w:rFonts w:ascii="Times New Roman" w:hAnsi="Times New Roman"/>
          <w:sz w:val="24"/>
          <w:szCs w:val="24"/>
          <w:u w:val="single"/>
        </w:rPr>
        <w:t>Ryan Thornell, Director, Arizona Department of Corrections v. Danny Lee</w:t>
      </w:r>
      <w:r>
        <w:rPr>
          <w:rFonts w:ascii="Times New Roman" w:hAnsi="Times New Roman"/>
          <w:sz w:val="24"/>
          <w:szCs w:val="24"/>
        </w:rPr>
        <w:t>, the United States Supreme Court held (6 to 3) that the 3-judge panel of the U.S. Court of Appeals for 9</w:t>
      </w:r>
      <w:r w:rsidRPr="00A00284">
        <w:rPr>
          <w:rFonts w:ascii="Times New Roman" w:hAnsi="Times New Roman"/>
          <w:sz w:val="24"/>
          <w:szCs w:val="24"/>
          <w:vertAlign w:val="superscript"/>
        </w:rPr>
        <w:t>th</w:t>
      </w:r>
      <w:r>
        <w:rPr>
          <w:rFonts w:ascii="Times New Roman" w:hAnsi="Times New Roman"/>
          <w:sz w:val="24"/>
          <w:szCs w:val="24"/>
        </w:rPr>
        <w:t xml:space="preserve"> Circuit (San Francisco) incorrectly granted habeas corpus relief. The defendant stole guns from a home of a person with whom he was drinking to fund a trip to </w:t>
      </w:r>
      <w:proofErr w:type="gramStart"/>
      <w:r>
        <w:rPr>
          <w:rFonts w:ascii="Times New Roman" w:hAnsi="Times New Roman"/>
          <w:sz w:val="24"/>
          <w:szCs w:val="24"/>
        </w:rPr>
        <w:t>Las Vegas, and</w:t>
      </w:r>
      <w:proofErr w:type="gramEnd"/>
      <w:r>
        <w:rPr>
          <w:rFonts w:ascii="Times New Roman" w:hAnsi="Times New Roman"/>
          <w:sz w:val="24"/>
          <w:szCs w:val="24"/>
        </w:rPr>
        <w:t xml:space="preserve"> killed was a baseball bat three in the home, including 7-</w:t>
      </w:r>
      <w:r>
        <w:rPr>
          <w:rFonts w:ascii="Times New Roman" w:hAnsi="Times New Roman"/>
          <w:sz w:val="24"/>
          <w:szCs w:val="24"/>
        </w:rPr>
        <w:lastRenderedPageBreak/>
        <w:t>year-old girl. He was convicted by a jury in Arizona state court, and at sentencing hearing his defense counsel called as an expert witness a C</w:t>
      </w:r>
      <w:r w:rsidRPr="000C25FE">
        <w:rPr>
          <w:rFonts w:ascii="Times New Roman" w:hAnsi="Times New Roman"/>
          <w:sz w:val="24"/>
          <w:szCs w:val="24"/>
        </w:rPr>
        <w:t>ourt-appointed forensic</w:t>
      </w:r>
      <w:r>
        <w:rPr>
          <w:rFonts w:ascii="Times New Roman" w:hAnsi="Times New Roman"/>
          <w:sz w:val="24"/>
          <w:szCs w:val="24"/>
        </w:rPr>
        <w:t xml:space="preserve"> </w:t>
      </w:r>
      <w:r w:rsidRPr="000C25FE">
        <w:rPr>
          <w:rFonts w:ascii="Times New Roman" w:hAnsi="Times New Roman"/>
          <w:sz w:val="24"/>
          <w:szCs w:val="24"/>
        </w:rPr>
        <w:t>psychiatrist</w:t>
      </w:r>
      <w:r>
        <w:rPr>
          <w:rFonts w:ascii="Times New Roman" w:hAnsi="Times New Roman"/>
          <w:sz w:val="24"/>
          <w:szCs w:val="24"/>
        </w:rPr>
        <w:t xml:space="preserve"> who testified about the defendant’s troubled childhood.  The State judge sentenced him to death, affirmed on appeal by Arizona Supreme Court.  He then sought habeas corpus relied in Federal Court, and a U.S. District Court judge had held a hearing about the defendant’s terrible </w:t>
      </w:r>
      <w:proofErr w:type="gramStart"/>
      <w:r>
        <w:rPr>
          <w:rFonts w:ascii="Times New Roman" w:hAnsi="Times New Roman"/>
          <w:sz w:val="24"/>
          <w:szCs w:val="24"/>
        </w:rPr>
        <w:t>childhood, and</w:t>
      </w:r>
      <w:proofErr w:type="gramEnd"/>
      <w:r>
        <w:rPr>
          <w:rFonts w:ascii="Times New Roman" w:hAnsi="Times New Roman"/>
          <w:sz w:val="24"/>
          <w:szCs w:val="24"/>
        </w:rPr>
        <w:t xml:space="preserve"> then refused habeas corpus. The U.S. Supreme Court majority (Justice Samuel Alito wrote opinion): </w:t>
      </w:r>
    </w:p>
    <w:p w14:paraId="44014A22" w14:textId="77777777" w:rsidR="002C7131" w:rsidRDefault="002C7131" w:rsidP="002C7131">
      <w:pPr>
        <w:pStyle w:val="NoSpacing"/>
        <w:rPr>
          <w:rFonts w:ascii="Times New Roman" w:hAnsi="Times New Roman"/>
          <w:sz w:val="24"/>
          <w:szCs w:val="24"/>
        </w:rPr>
      </w:pPr>
    </w:p>
    <w:p w14:paraId="0085E13B" w14:textId="77777777" w:rsidR="002C7131" w:rsidRPr="00CB6CEF" w:rsidRDefault="002C7131" w:rsidP="002C7131">
      <w:pPr>
        <w:pStyle w:val="NoSpacing"/>
        <w:ind w:left="720"/>
        <w:rPr>
          <w:rFonts w:ascii="Times New Roman" w:hAnsi="Times New Roman"/>
          <w:sz w:val="24"/>
          <w:szCs w:val="24"/>
        </w:rPr>
      </w:pPr>
      <w:r>
        <w:rPr>
          <w:rFonts w:ascii="Times New Roman" w:hAnsi="Times New Roman"/>
          <w:sz w:val="24"/>
          <w:szCs w:val="24"/>
        </w:rPr>
        <w:t>“</w:t>
      </w:r>
      <w:r w:rsidRPr="00CB6CEF">
        <w:rPr>
          <w:rFonts w:ascii="Times New Roman" w:hAnsi="Times New Roman"/>
          <w:sz w:val="24"/>
          <w:szCs w:val="24"/>
        </w:rPr>
        <w:t>Jones also alleges significant childhood abuse. Brief for</w:t>
      </w:r>
      <w:r>
        <w:rPr>
          <w:rFonts w:ascii="Times New Roman" w:hAnsi="Times New Roman"/>
          <w:sz w:val="24"/>
          <w:szCs w:val="24"/>
        </w:rPr>
        <w:t xml:space="preserve"> </w:t>
      </w:r>
      <w:r w:rsidRPr="00CB6CEF">
        <w:rPr>
          <w:rFonts w:ascii="Times New Roman" w:hAnsi="Times New Roman"/>
          <w:sz w:val="24"/>
          <w:szCs w:val="24"/>
        </w:rPr>
        <w:t>Respondent 44. Again, however, Arizona courts had heard</w:t>
      </w:r>
      <w:r>
        <w:rPr>
          <w:rFonts w:ascii="Times New Roman" w:hAnsi="Times New Roman"/>
          <w:sz w:val="24"/>
          <w:szCs w:val="24"/>
        </w:rPr>
        <w:t xml:space="preserve"> </w:t>
      </w:r>
      <w:r w:rsidRPr="00CB6CEF">
        <w:rPr>
          <w:rFonts w:ascii="Times New Roman" w:hAnsi="Times New Roman"/>
          <w:sz w:val="24"/>
          <w:szCs w:val="24"/>
        </w:rPr>
        <w:t>much on this topic. They knew that Jones’s father abused</w:t>
      </w:r>
      <w:r>
        <w:rPr>
          <w:rFonts w:ascii="Times New Roman" w:hAnsi="Times New Roman"/>
          <w:sz w:val="24"/>
          <w:szCs w:val="24"/>
        </w:rPr>
        <w:t xml:space="preserve"> </w:t>
      </w:r>
      <w:r w:rsidRPr="00CB6CEF">
        <w:rPr>
          <w:rFonts w:ascii="Times New Roman" w:hAnsi="Times New Roman"/>
          <w:sz w:val="24"/>
          <w:szCs w:val="24"/>
        </w:rPr>
        <w:t xml:space="preserve">his pregnant mother, that his first stepfather beat </w:t>
      </w:r>
      <w:proofErr w:type="gramStart"/>
      <w:r w:rsidRPr="00CB6CEF">
        <w:rPr>
          <w:rFonts w:ascii="Times New Roman" w:hAnsi="Times New Roman"/>
          <w:sz w:val="24"/>
          <w:szCs w:val="24"/>
        </w:rPr>
        <w:t>both of</w:t>
      </w:r>
      <w:r>
        <w:rPr>
          <w:rFonts w:ascii="Times New Roman" w:hAnsi="Times New Roman"/>
          <w:sz w:val="24"/>
          <w:szCs w:val="24"/>
        </w:rPr>
        <w:t xml:space="preserve"> </w:t>
      </w:r>
      <w:r w:rsidRPr="00CB6CEF">
        <w:rPr>
          <w:rFonts w:ascii="Times New Roman" w:hAnsi="Times New Roman"/>
          <w:sz w:val="24"/>
          <w:szCs w:val="24"/>
        </w:rPr>
        <w:t>them</w:t>
      </w:r>
      <w:proofErr w:type="gramEnd"/>
      <w:r w:rsidRPr="00CB6CEF">
        <w:rPr>
          <w:rFonts w:ascii="Times New Roman" w:hAnsi="Times New Roman"/>
          <w:sz w:val="24"/>
          <w:szCs w:val="24"/>
        </w:rPr>
        <w:t>, and that his grandfather introduced him to drugs at</w:t>
      </w:r>
      <w:r>
        <w:rPr>
          <w:rFonts w:ascii="Times New Roman" w:hAnsi="Times New Roman"/>
          <w:sz w:val="24"/>
          <w:szCs w:val="24"/>
        </w:rPr>
        <w:t xml:space="preserve"> </w:t>
      </w:r>
      <w:r w:rsidRPr="00CB6CEF">
        <w:rPr>
          <w:rFonts w:ascii="Times New Roman" w:hAnsi="Times New Roman"/>
          <w:sz w:val="24"/>
          <w:szCs w:val="24"/>
        </w:rPr>
        <w:t>young age. And they received testimony that any period</w:t>
      </w:r>
      <w:r>
        <w:rPr>
          <w:rFonts w:ascii="Times New Roman" w:hAnsi="Times New Roman"/>
          <w:sz w:val="24"/>
          <w:szCs w:val="24"/>
        </w:rPr>
        <w:t xml:space="preserve"> </w:t>
      </w:r>
      <w:r w:rsidRPr="00CB6CEF">
        <w:rPr>
          <w:rFonts w:ascii="Times New Roman" w:hAnsi="Times New Roman"/>
          <w:sz w:val="24"/>
          <w:szCs w:val="24"/>
        </w:rPr>
        <w:t xml:space="preserve">of normalcy during Jones’s childhood was </w:t>
      </w:r>
      <w:r>
        <w:rPr>
          <w:rFonts w:ascii="Times New Roman" w:hAnsi="Times New Roman"/>
          <w:sz w:val="24"/>
          <w:szCs w:val="24"/>
        </w:rPr>
        <w:t>‘</w:t>
      </w:r>
      <w:r w:rsidRPr="00CB6CEF">
        <w:rPr>
          <w:rFonts w:ascii="Times New Roman" w:hAnsi="Times New Roman"/>
          <w:sz w:val="24"/>
          <w:szCs w:val="24"/>
        </w:rPr>
        <w:t>too late</w:t>
      </w:r>
      <w:r>
        <w:rPr>
          <w:rFonts w:ascii="Times New Roman" w:hAnsi="Times New Roman"/>
          <w:sz w:val="24"/>
          <w:szCs w:val="24"/>
        </w:rPr>
        <w:t>’</w:t>
      </w:r>
      <w:r w:rsidRPr="00CB6CEF">
        <w:rPr>
          <w:rFonts w:ascii="Times New Roman" w:hAnsi="Times New Roman"/>
          <w:sz w:val="24"/>
          <w:szCs w:val="24"/>
        </w:rPr>
        <w:t xml:space="preserve"> and </w:t>
      </w:r>
      <w:r>
        <w:rPr>
          <w:rFonts w:ascii="Times New Roman" w:hAnsi="Times New Roman"/>
          <w:sz w:val="24"/>
          <w:szCs w:val="24"/>
        </w:rPr>
        <w:t>‘</w:t>
      </w:r>
      <w:r w:rsidRPr="00CB6CEF">
        <w:rPr>
          <w:rFonts w:ascii="Times New Roman" w:hAnsi="Times New Roman"/>
          <w:sz w:val="24"/>
          <w:szCs w:val="24"/>
        </w:rPr>
        <w:t>not</w:t>
      </w:r>
      <w:r>
        <w:rPr>
          <w:rFonts w:ascii="Times New Roman" w:hAnsi="Times New Roman"/>
          <w:sz w:val="24"/>
          <w:szCs w:val="24"/>
        </w:rPr>
        <w:t xml:space="preserve"> </w:t>
      </w:r>
      <w:r w:rsidRPr="00CB6CEF">
        <w:rPr>
          <w:rFonts w:ascii="Times New Roman" w:hAnsi="Times New Roman"/>
          <w:sz w:val="24"/>
          <w:szCs w:val="24"/>
        </w:rPr>
        <w:t>strong enough to counter the earlier abuse.</w:t>
      </w:r>
      <w:r>
        <w:rPr>
          <w:rFonts w:ascii="Times New Roman" w:hAnsi="Times New Roman"/>
          <w:sz w:val="24"/>
          <w:szCs w:val="24"/>
        </w:rPr>
        <w:t xml:space="preserve">’ </w:t>
      </w:r>
      <w:r w:rsidRPr="00CB6CEF">
        <w:rPr>
          <w:rFonts w:ascii="Times New Roman" w:hAnsi="Times New Roman"/>
          <w:sz w:val="24"/>
          <w:szCs w:val="24"/>
        </w:rPr>
        <w:t xml:space="preserve"> 4 Record</w:t>
      </w:r>
      <w:r>
        <w:rPr>
          <w:rFonts w:ascii="Times New Roman" w:hAnsi="Times New Roman"/>
          <w:sz w:val="24"/>
          <w:szCs w:val="24"/>
        </w:rPr>
        <w:t xml:space="preserve"> </w:t>
      </w:r>
      <w:r w:rsidRPr="00CB6CEF">
        <w:rPr>
          <w:rFonts w:ascii="Times New Roman" w:hAnsi="Times New Roman"/>
          <w:sz w:val="24"/>
          <w:szCs w:val="24"/>
        </w:rPr>
        <w:t>1069–1070. They nevertheless concluded that this abuse</w:t>
      </w:r>
      <w:r>
        <w:rPr>
          <w:rFonts w:ascii="Times New Roman" w:hAnsi="Times New Roman"/>
          <w:sz w:val="24"/>
          <w:szCs w:val="24"/>
        </w:rPr>
        <w:t xml:space="preserve"> </w:t>
      </w:r>
      <w:r w:rsidRPr="00CB6CEF">
        <w:rPr>
          <w:rFonts w:ascii="Times New Roman" w:hAnsi="Times New Roman"/>
          <w:sz w:val="24"/>
          <w:szCs w:val="24"/>
        </w:rPr>
        <w:t>did not warrant leniency, primarily because it appeared unconnected to the murders. Jones, 185 Ariz., at 490–491, 917</w:t>
      </w:r>
      <w:r>
        <w:rPr>
          <w:rFonts w:ascii="Times New Roman" w:hAnsi="Times New Roman"/>
          <w:sz w:val="24"/>
          <w:szCs w:val="24"/>
        </w:rPr>
        <w:t xml:space="preserve"> </w:t>
      </w:r>
      <w:r w:rsidRPr="00CB6CEF">
        <w:rPr>
          <w:rFonts w:ascii="Times New Roman" w:hAnsi="Times New Roman"/>
          <w:sz w:val="24"/>
          <w:szCs w:val="24"/>
        </w:rPr>
        <w:t>P. 2d, at 219–220; 9 Record 2465.</w:t>
      </w:r>
      <w:r>
        <w:rPr>
          <w:rFonts w:ascii="Times New Roman" w:hAnsi="Times New Roman"/>
          <w:sz w:val="24"/>
          <w:szCs w:val="24"/>
        </w:rPr>
        <w:t xml:space="preserve"> </w:t>
      </w:r>
      <w:r w:rsidRPr="00CB6CEF">
        <w:rPr>
          <w:rFonts w:ascii="Times New Roman" w:hAnsi="Times New Roman"/>
          <w:sz w:val="24"/>
          <w:szCs w:val="24"/>
        </w:rPr>
        <w:t>In federal court, Jones added two new allegations. First,</w:t>
      </w:r>
      <w:r>
        <w:rPr>
          <w:rFonts w:ascii="Times New Roman" w:hAnsi="Times New Roman"/>
          <w:sz w:val="24"/>
          <w:szCs w:val="24"/>
        </w:rPr>
        <w:t xml:space="preserve"> </w:t>
      </w:r>
      <w:r w:rsidRPr="00CB6CEF">
        <w:rPr>
          <w:rFonts w:ascii="Times New Roman" w:hAnsi="Times New Roman"/>
          <w:sz w:val="24"/>
          <w:szCs w:val="24"/>
        </w:rPr>
        <w:t>he asserted that the grandfather who introduced him to alcohol also sexually abused him. Second, he claimed that his</w:t>
      </w:r>
    </w:p>
    <w:p w14:paraId="2B1E56F9" w14:textId="77777777" w:rsidR="002C7131" w:rsidRDefault="002C7131" w:rsidP="002C7131">
      <w:pPr>
        <w:pStyle w:val="NoSpacing"/>
        <w:ind w:left="720"/>
        <w:rPr>
          <w:rFonts w:ascii="Times New Roman" w:hAnsi="Times New Roman"/>
          <w:sz w:val="24"/>
          <w:szCs w:val="24"/>
        </w:rPr>
      </w:pPr>
      <w:r w:rsidRPr="00CB6CEF">
        <w:rPr>
          <w:rFonts w:ascii="Times New Roman" w:hAnsi="Times New Roman"/>
          <w:sz w:val="24"/>
          <w:szCs w:val="24"/>
        </w:rPr>
        <w:t>second stepfather, Randy, physically abused him. It is not</w:t>
      </w:r>
      <w:r>
        <w:rPr>
          <w:rFonts w:ascii="Times New Roman" w:hAnsi="Times New Roman"/>
          <w:sz w:val="24"/>
          <w:szCs w:val="24"/>
        </w:rPr>
        <w:t xml:space="preserve"> </w:t>
      </w:r>
      <w:r w:rsidRPr="00CB6CEF">
        <w:rPr>
          <w:rFonts w:ascii="Times New Roman" w:hAnsi="Times New Roman"/>
          <w:sz w:val="24"/>
          <w:szCs w:val="24"/>
        </w:rPr>
        <w:t>likely that these allegations would have moved the state</w:t>
      </w:r>
      <w:r>
        <w:rPr>
          <w:rFonts w:ascii="Times New Roman" w:hAnsi="Times New Roman"/>
          <w:sz w:val="24"/>
          <w:szCs w:val="24"/>
        </w:rPr>
        <w:t xml:space="preserve"> </w:t>
      </w:r>
      <w:r w:rsidRPr="00CB6CEF">
        <w:rPr>
          <w:rFonts w:ascii="Times New Roman" w:hAnsi="Times New Roman"/>
          <w:sz w:val="24"/>
          <w:szCs w:val="24"/>
        </w:rPr>
        <w:t>court either.</w:t>
      </w:r>
    </w:p>
    <w:p w14:paraId="45FB4D53" w14:textId="77777777" w:rsidR="002C7131" w:rsidRDefault="002C7131" w:rsidP="002C7131">
      <w:pPr>
        <w:pStyle w:val="NoSpacing"/>
        <w:rPr>
          <w:rFonts w:ascii="Times New Roman" w:hAnsi="Times New Roman"/>
          <w:sz w:val="24"/>
          <w:szCs w:val="24"/>
        </w:rPr>
      </w:pPr>
    </w:p>
    <w:p w14:paraId="54D23757" w14:textId="77777777" w:rsidR="002C7131" w:rsidRDefault="002C7131" w:rsidP="002C7131">
      <w:pPr>
        <w:pStyle w:val="NoSpacing"/>
        <w:rPr>
          <w:rFonts w:ascii="Times New Roman" w:hAnsi="Times New Roman"/>
          <w:sz w:val="24"/>
          <w:szCs w:val="24"/>
        </w:rPr>
      </w:pPr>
      <w:r>
        <w:rPr>
          <w:rFonts w:ascii="Times New Roman" w:hAnsi="Times New Roman"/>
          <w:sz w:val="24"/>
          <w:szCs w:val="24"/>
        </w:rPr>
        <w:tab/>
        <w:t>***</w:t>
      </w:r>
    </w:p>
    <w:p w14:paraId="1FA1E005" w14:textId="77777777" w:rsidR="002C7131" w:rsidRDefault="002C7131" w:rsidP="002C7131">
      <w:pPr>
        <w:pStyle w:val="NoSpacing"/>
        <w:ind w:left="720"/>
        <w:rPr>
          <w:rFonts w:ascii="Times New Roman" w:hAnsi="Times New Roman"/>
          <w:sz w:val="24"/>
          <w:szCs w:val="24"/>
        </w:rPr>
      </w:pPr>
    </w:p>
    <w:p w14:paraId="201BEA5F" w14:textId="77777777" w:rsidR="002C7131" w:rsidRPr="00476CC5" w:rsidRDefault="002C7131" w:rsidP="002C7131">
      <w:pPr>
        <w:pStyle w:val="NoSpacing"/>
        <w:ind w:left="720"/>
      </w:pPr>
      <w:r w:rsidRPr="0081449F">
        <w:rPr>
          <w:rFonts w:ascii="Times New Roman" w:hAnsi="Times New Roman"/>
          <w:sz w:val="24"/>
          <w:szCs w:val="24"/>
        </w:rPr>
        <w:t>When a capital defendant claims that he was prejudiced</w:t>
      </w:r>
      <w:r>
        <w:rPr>
          <w:rFonts w:ascii="Times New Roman" w:hAnsi="Times New Roman"/>
          <w:sz w:val="24"/>
          <w:szCs w:val="24"/>
        </w:rPr>
        <w:t xml:space="preserve"> </w:t>
      </w:r>
      <w:r w:rsidRPr="0081449F">
        <w:rPr>
          <w:rFonts w:ascii="Times New Roman" w:hAnsi="Times New Roman"/>
          <w:sz w:val="24"/>
          <w:szCs w:val="24"/>
        </w:rPr>
        <w:t>at sentencing because counsel failed to present available</w:t>
      </w:r>
      <w:r>
        <w:rPr>
          <w:rFonts w:ascii="Times New Roman" w:hAnsi="Times New Roman"/>
          <w:sz w:val="24"/>
          <w:szCs w:val="24"/>
        </w:rPr>
        <w:t xml:space="preserve"> </w:t>
      </w:r>
      <w:r w:rsidRPr="0081449F">
        <w:rPr>
          <w:rFonts w:ascii="Times New Roman" w:hAnsi="Times New Roman"/>
          <w:sz w:val="24"/>
          <w:szCs w:val="24"/>
        </w:rPr>
        <w:t>mitigating evidence, a court must decide whether it is reasonably likely that the additional evidence would have</w:t>
      </w:r>
      <w:r>
        <w:rPr>
          <w:rFonts w:ascii="Times New Roman" w:hAnsi="Times New Roman"/>
          <w:sz w:val="24"/>
          <w:szCs w:val="24"/>
        </w:rPr>
        <w:t xml:space="preserve"> </w:t>
      </w:r>
      <w:r w:rsidRPr="0081449F">
        <w:rPr>
          <w:rFonts w:ascii="Times New Roman" w:hAnsi="Times New Roman"/>
          <w:sz w:val="24"/>
          <w:szCs w:val="24"/>
        </w:rPr>
        <w:t>avoided a death sentence. This analysis requires an evaluation of the strength of all the evidence and a comparison</w:t>
      </w:r>
      <w:r>
        <w:rPr>
          <w:rFonts w:ascii="Times New Roman" w:hAnsi="Times New Roman"/>
          <w:sz w:val="24"/>
          <w:szCs w:val="24"/>
        </w:rPr>
        <w:t xml:space="preserve"> </w:t>
      </w:r>
      <w:r w:rsidRPr="0081449F">
        <w:rPr>
          <w:rFonts w:ascii="Times New Roman" w:hAnsi="Times New Roman"/>
          <w:sz w:val="24"/>
          <w:szCs w:val="24"/>
        </w:rPr>
        <w:t>of the weight of aggravating and mitigating factors. The</w:t>
      </w:r>
      <w:r>
        <w:rPr>
          <w:rFonts w:ascii="Times New Roman" w:hAnsi="Times New Roman"/>
          <w:sz w:val="24"/>
          <w:szCs w:val="24"/>
        </w:rPr>
        <w:t xml:space="preserve"> </w:t>
      </w:r>
      <w:r w:rsidRPr="0081449F">
        <w:rPr>
          <w:rFonts w:ascii="Times New Roman" w:hAnsi="Times New Roman"/>
          <w:sz w:val="24"/>
          <w:szCs w:val="24"/>
        </w:rPr>
        <w:t>Ninth Circuit did not heed that instruction; rather, it downplayed the serious aggravating factors present here and</w:t>
      </w:r>
      <w:r>
        <w:rPr>
          <w:rFonts w:ascii="Times New Roman" w:hAnsi="Times New Roman"/>
          <w:sz w:val="24"/>
          <w:szCs w:val="24"/>
        </w:rPr>
        <w:t xml:space="preserve"> </w:t>
      </w:r>
      <w:r w:rsidRPr="0081449F">
        <w:rPr>
          <w:rFonts w:ascii="Times New Roman" w:hAnsi="Times New Roman"/>
          <w:sz w:val="24"/>
          <w:szCs w:val="24"/>
        </w:rPr>
        <w:t>overstated the strength of mitigating evidence that differed</w:t>
      </w:r>
      <w:r>
        <w:rPr>
          <w:rFonts w:ascii="Times New Roman" w:hAnsi="Times New Roman"/>
          <w:sz w:val="24"/>
          <w:szCs w:val="24"/>
        </w:rPr>
        <w:t xml:space="preserve"> </w:t>
      </w:r>
      <w:r w:rsidRPr="0081449F">
        <w:rPr>
          <w:rFonts w:ascii="Times New Roman" w:hAnsi="Times New Roman"/>
          <w:sz w:val="24"/>
          <w:szCs w:val="24"/>
        </w:rPr>
        <w:t>very little from the evidence presented at sentencing</w:t>
      </w:r>
      <w:r>
        <w:rPr>
          <w:rFonts w:ascii="Times New Roman" w:hAnsi="Times New Roman"/>
          <w:sz w:val="24"/>
          <w:szCs w:val="24"/>
        </w:rPr>
        <w:t xml:space="preserve">. </w:t>
      </w:r>
      <w:r w:rsidRPr="00273EA8">
        <w:rPr>
          <w:rFonts w:ascii="Times New Roman" w:hAnsi="Times New Roman"/>
          <w:sz w:val="24"/>
          <w:szCs w:val="24"/>
        </w:rPr>
        <w:t>Had</w:t>
      </w:r>
      <w:r>
        <w:rPr>
          <w:rFonts w:ascii="Times New Roman" w:hAnsi="Times New Roman"/>
          <w:sz w:val="24"/>
          <w:szCs w:val="24"/>
        </w:rPr>
        <w:t xml:space="preserve"> </w:t>
      </w:r>
      <w:r w:rsidRPr="00273EA8">
        <w:rPr>
          <w:rFonts w:ascii="Times New Roman" w:hAnsi="Times New Roman"/>
          <w:sz w:val="24"/>
          <w:szCs w:val="24"/>
        </w:rPr>
        <w:t>the Ninth Circuit engaged in the analysis required by</w:t>
      </w:r>
      <w:r>
        <w:rPr>
          <w:rFonts w:ascii="Times New Roman" w:hAnsi="Times New Roman"/>
          <w:sz w:val="24"/>
          <w:szCs w:val="24"/>
        </w:rPr>
        <w:t xml:space="preserve"> </w:t>
      </w:r>
      <w:proofErr w:type="gramStart"/>
      <w:r w:rsidRPr="00164960">
        <w:rPr>
          <w:rFonts w:ascii="Times New Roman" w:hAnsi="Times New Roman"/>
          <w:sz w:val="24"/>
          <w:szCs w:val="24"/>
        </w:rPr>
        <w:t>Strickland,</w:t>
      </w:r>
      <w:proofErr w:type="gramEnd"/>
      <w:r w:rsidRPr="00164960">
        <w:rPr>
          <w:rFonts w:ascii="Times New Roman" w:hAnsi="Times New Roman"/>
          <w:sz w:val="24"/>
          <w:szCs w:val="24"/>
        </w:rPr>
        <w:t xml:space="preserve"> it would have had no choice but to affirm the</w:t>
      </w:r>
      <w:r>
        <w:rPr>
          <w:rFonts w:ascii="Times New Roman" w:hAnsi="Times New Roman"/>
          <w:sz w:val="24"/>
          <w:szCs w:val="24"/>
        </w:rPr>
        <w:t xml:space="preserve"> </w:t>
      </w:r>
      <w:r w:rsidRPr="00164960">
        <w:rPr>
          <w:rFonts w:ascii="Times New Roman" w:hAnsi="Times New Roman"/>
          <w:sz w:val="24"/>
          <w:szCs w:val="24"/>
        </w:rPr>
        <w:t>decision of the District Court denying habeas relief. We</w:t>
      </w:r>
      <w:r>
        <w:rPr>
          <w:rFonts w:ascii="Times New Roman" w:hAnsi="Times New Roman"/>
          <w:sz w:val="24"/>
          <w:szCs w:val="24"/>
        </w:rPr>
        <w:t xml:space="preserve"> </w:t>
      </w:r>
      <w:r w:rsidRPr="00164960">
        <w:rPr>
          <w:rFonts w:ascii="Times New Roman" w:hAnsi="Times New Roman"/>
          <w:sz w:val="24"/>
          <w:szCs w:val="24"/>
        </w:rPr>
        <w:t>therefore reverse the judgment of the Court of Appeals and</w:t>
      </w:r>
      <w:r>
        <w:rPr>
          <w:rFonts w:ascii="Times New Roman" w:hAnsi="Times New Roman"/>
          <w:sz w:val="24"/>
          <w:szCs w:val="24"/>
        </w:rPr>
        <w:t xml:space="preserve"> </w:t>
      </w:r>
      <w:r w:rsidRPr="00164960">
        <w:rPr>
          <w:rFonts w:ascii="Times New Roman" w:hAnsi="Times New Roman"/>
          <w:sz w:val="24"/>
          <w:szCs w:val="24"/>
        </w:rPr>
        <w:t>remand the case for further proceedings consistent with</w:t>
      </w:r>
      <w:r>
        <w:rPr>
          <w:rFonts w:ascii="Times New Roman" w:hAnsi="Times New Roman"/>
          <w:sz w:val="24"/>
          <w:szCs w:val="24"/>
        </w:rPr>
        <w:t xml:space="preserve"> </w:t>
      </w:r>
      <w:r w:rsidRPr="00164960">
        <w:rPr>
          <w:rFonts w:ascii="Times New Roman" w:hAnsi="Times New Roman"/>
          <w:sz w:val="24"/>
          <w:szCs w:val="24"/>
        </w:rPr>
        <w:t>this opinion.</w:t>
      </w:r>
      <w:r>
        <w:rPr>
          <w:rFonts w:ascii="Times New Roman" w:hAnsi="Times New Roman"/>
          <w:sz w:val="24"/>
          <w:szCs w:val="24"/>
        </w:rPr>
        <w:t xml:space="preserve">” </w:t>
      </w:r>
      <w:hyperlink r:id="rId147" w:history="1">
        <w:r w:rsidRPr="00DF21B2">
          <w:rPr>
            <w:rStyle w:val="Hyperlink"/>
            <w:rFonts w:ascii="Times New Roman" w:hAnsi="Times New Roman"/>
            <w:sz w:val="24"/>
            <w:szCs w:val="24"/>
          </w:rPr>
          <w:t>https://www.supremecourt.gov/opinions/23pdf/22-982_bq7d.pdf</w:t>
        </w:r>
      </w:hyperlink>
      <w:r>
        <w:t xml:space="preserve"> </w:t>
      </w:r>
    </w:p>
    <w:p w14:paraId="69FB0E15" w14:textId="77777777" w:rsidR="002C7131" w:rsidRDefault="002C7131" w:rsidP="002C7131">
      <w:pPr>
        <w:pStyle w:val="NoSpacing"/>
        <w:rPr>
          <w:rFonts w:ascii="Times New Roman" w:hAnsi="Times New Roman"/>
          <w:sz w:val="24"/>
          <w:szCs w:val="24"/>
        </w:rPr>
      </w:pPr>
    </w:p>
    <w:p w14:paraId="4065FD90" w14:textId="77777777" w:rsidR="007276B8" w:rsidRPr="00666E81" w:rsidRDefault="007276B8" w:rsidP="007276B8">
      <w:pPr>
        <w:spacing w:after="0" w:line="240" w:lineRule="auto"/>
        <w:rPr>
          <w:rFonts w:ascii="Times New Roman" w:eastAsia="Times New Roman" w:hAnsi="Times New Roman"/>
          <w:sz w:val="24"/>
          <w:szCs w:val="24"/>
        </w:rPr>
      </w:pPr>
      <w:r w:rsidRPr="003C56CA">
        <w:rPr>
          <w:rFonts w:ascii="Times New Roman" w:eastAsia="Times New Roman" w:hAnsi="Times New Roman"/>
          <w:sz w:val="24"/>
          <w:szCs w:val="24"/>
        </w:rPr>
        <w:t>DISSENT</w:t>
      </w:r>
      <w:r w:rsidRPr="00666E81">
        <w:rPr>
          <w:rFonts w:ascii="Times New Roman" w:eastAsia="Times New Roman" w:hAnsi="Times New Roman"/>
          <w:sz w:val="24"/>
          <w:szCs w:val="24"/>
        </w:rPr>
        <w:t xml:space="preserve"> [Opinion by Justice </w:t>
      </w:r>
      <w:r w:rsidRPr="00666E81">
        <w:rPr>
          <w:rFonts w:ascii="Times New Roman" w:hAnsi="Times New Roman"/>
          <w:sz w:val="24"/>
          <w:szCs w:val="24"/>
        </w:rPr>
        <w:t>Ketanji Onyika Brown Jackson]</w:t>
      </w:r>
      <w:r>
        <w:rPr>
          <w:rFonts w:ascii="Times New Roman" w:hAnsi="Times New Roman"/>
          <w:sz w:val="24"/>
          <w:szCs w:val="24"/>
        </w:rPr>
        <w:t>:</w:t>
      </w:r>
    </w:p>
    <w:p w14:paraId="23BD46D2" w14:textId="77777777" w:rsidR="007276B8" w:rsidRDefault="007276B8" w:rsidP="007276B8">
      <w:pPr>
        <w:spacing w:after="0" w:line="240" w:lineRule="auto"/>
        <w:rPr>
          <w:rFonts w:ascii="Times New Roman" w:eastAsia="Times New Roman" w:hAnsi="Times New Roman"/>
          <w:sz w:val="24"/>
          <w:szCs w:val="24"/>
        </w:rPr>
      </w:pPr>
    </w:p>
    <w:p w14:paraId="2F52A109" w14:textId="77777777" w:rsidR="007276B8" w:rsidRPr="00153EC8" w:rsidRDefault="007276B8" w:rsidP="007276B8">
      <w:pPr>
        <w:spacing w:after="0"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311219">
        <w:rPr>
          <w:rFonts w:ascii="Times New Roman" w:eastAsia="Times New Roman" w:hAnsi="Times New Roman"/>
          <w:sz w:val="24"/>
          <w:szCs w:val="24"/>
        </w:rPr>
        <w:t>I agree with JUSTICE SOTOMAYOR that</w:t>
      </w:r>
      <w:r>
        <w:rPr>
          <w:rFonts w:ascii="Times New Roman" w:eastAsia="Times New Roman" w:hAnsi="Times New Roman"/>
          <w:sz w:val="24"/>
          <w:szCs w:val="24"/>
        </w:rPr>
        <w:t xml:space="preserve"> </w:t>
      </w:r>
      <w:r w:rsidRPr="00311219">
        <w:rPr>
          <w:rFonts w:ascii="Times New Roman" w:eastAsia="Times New Roman" w:hAnsi="Times New Roman"/>
          <w:sz w:val="24"/>
          <w:szCs w:val="24"/>
        </w:rPr>
        <w:t>we are not the right tribunal to parse the extensive factual</w:t>
      </w:r>
      <w:r>
        <w:rPr>
          <w:rFonts w:ascii="Times New Roman" w:eastAsia="Times New Roman" w:hAnsi="Times New Roman"/>
          <w:sz w:val="24"/>
          <w:szCs w:val="24"/>
        </w:rPr>
        <w:t xml:space="preserve"> </w:t>
      </w:r>
      <w:r w:rsidRPr="00311219">
        <w:rPr>
          <w:rFonts w:ascii="Times New Roman" w:eastAsia="Times New Roman" w:hAnsi="Times New Roman"/>
          <w:sz w:val="24"/>
          <w:szCs w:val="24"/>
        </w:rPr>
        <w:t>record in this case in the first instance. That is doubly true</w:t>
      </w:r>
      <w:r>
        <w:rPr>
          <w:rFonts w:ascii="Times New Roman" w:eastAsia="Times New Roman" w:hAnsi="Times New Roman"/>
          <w:sz w:val="24"/>
          <w:szCs w:val="24"/>
        </w:rPr>
        <w:t xml:space="preserve"> </w:t>
      </w:r>
      <w:r w:rsidRPr="00311219">
        <w:rPr>
          <w:rFonts w:ascii="Times New Roman" w:eastAsia="Times New Roman" w:hAnsi="Times New Roman"/>
          <w:sz w:val="24"/>
          <w:szCs w:val="24"/>
        </w:rPr>
        <w:t>where the Ninth Circuit committed no legal error in reviewing that record to begin with. I respectfully dissent</w:t>
      </w:r>
      <w:r>
        <w:rPr>
          <w:rFonts w:ascii="Times New Roman" w:eastAsia="Times New Roman" w:hAnsi="Times New Roman"/>
          <w:sz w:val="24"/>
          <w:szCs w:val="24"/>
        </w:rPr>
        <w:t>.”</w:t>
      </w:r>
    </w:p>
    <w:p w14:paraId="0FF89955" w14:textId="77777777" w:rsidR="007276B8" w:rsidRDefault="007276B8" w:rsidP="007276B8">
      <w:pPr>
        <w:pStyle w:val="NoSpacing"/>
        <w:rPr>
          <w:rFonts w:ascii="Times New Roman" w:hAnsi="Times New Roman"/>
          <w:sz w:val="24"/>
          <w:szCs w:val="24"/>
          <w:shd w:val="clear" w:color="auto" w:fill="FFFFFF"/>
        </w:rPr>
      </w:pPr>
    </w:p>
    <w:p w14:paraId="4F1F1B28" w14:textId="77777777" w:rsidR="007276B8" w:rsidRPr="005446DE" w:rsidRDefault="007276B8" w:rsidP="007276B8">
      <w:pPr>
        <w:pStyle w:val="NormalWeb"/>
        <w:spacing w:before="0" w:beforeAutospacing="0"/>
        <w:rPr>
          <w:b/>
          <w:bCs/>
          <w:color w:val="454545"/>
          <w:shd w:val="clear" w:color="auto" w:fill="FFFFFF"/>
        </w:rPr>
      </w:pPr>
      <w:r w:rsidRPr="005446DE">
        <w:rPr>
          <w:b/>
          <w:bCs/>
          <w:color w:val="454545"/>
          <w:shd w:val="clear" w:color="auto" w:fill="FFFFFF"/>
        </w:rPr>
        <w:t xml:space="preserve">Legal Lesson Learned: </w:t>
      </w:r>
      <w:r>
        <w:rPr>
          <w:b/>
          <w:bCs/>
          <w:color w:val="454545"/>
          <w:shd w:val="clear" w:color="auto" w:fill="FFFFFF"/>
        </w:rPr>
        <w:t xml:space="preserve">Hopefully this decision will lead to far fewer habeas corpus decisions by Federal courts of prisoners convicted in state court. </w:t>
      </w:r>
    </w:p>
    <w:p w14:paraId="3765BC2F" w14:textId="77777777" w:rsidR="006A0C24" w:rsidRDefault="006A0C24" w:rsidP="00B86628">
      <w:pPr>
        <w:pStyle w:val="NoSpacing"/>
        <w:rPr>
          <w:rFonts w:ascii="Arial Black" w:hAnsi="Arial Black"/>
          <w:sz w:val="24"/>
          <w:szCs w:val="24"/>
        </w:rPr>
      </w:pPr>
    </w:p>
    <w:p w14:paraId="3AF77ED2" w14:textId="77777777" w:rsidR="006A0C24" w:rsidRDefault="006A0C24" w:rsidP="00B86628">
      <w:pPr>
        <w:pStyle w:val="NoSpacing"/>
        <w:rPr>
          <w:rFonts w:ascii="Arial Black" w:hAnsi="Arial Black"/>
          <w:sz w:val="24"/>
          <w:szCs w:val="24"/>
        </w:rPr>
      </w:pPr>
    </w:p>
    <w:p w14:paraId="14565FAC" w14:textId="77777777" w:rsidR="006A0C24" w:rsidRDefault="006A0C24" w:rsidP="00B86628">
      <w:pPr>
        <w:pStyle w:val="NoSpacing"/>
        <w:rPr>
          <w:rFonts w:ascii="Arial Black" w:hAnsi="Arial Black"/>
          <w:sz w:val="24"/>
          <w:szCs w:val="24"/>
        </w:rPr>
      </w:pPr>
    </w:p>
    <w:p w14:paraId="3B6AB2D8" w14:textId="43C915CE" w:rsidR="00D91CD7" w:rsidRDefault="00D91CD7" w:rsidP="00B86628">
      <w:pPr>
        <w:pStyle w:val="NoSpacing"/>
        <w:rPr>
          <w:rFonts w:ascii="Arial Black" w:hAnsi="Arial Black"/>
          <w:sz w:val="24"/>
          <w:szCs w:val="24"/>
        </w:rPr>
      </w:pPr>
      <w:r>
        <w:rPr>
          <w:rFonts w:ascii="Arial Black" w:hAnsi="Arial Black"/>
          <w:sz w:val="24"/>
          <w:szCs w:val="24"/>
        </w:rPr>
        <w:t>1-148</w:t>
      </w:r>
    </w:p>
    <w:p w14:paraId="726F1FC2" w14:textId="77777777" w:rsidR="00D91CD7" w:rsidRDefault="00D91CD7" w:rsidP="00B86628">
      <w:pPr>
        <w:pStyle w:val="NoSpacing"/>
        <w:rPr>
          <w:rFonts w:ascii="Arial Black" w:hAnsi="Arial Black"/>
          <w:sz w:val="24"/>
          <w:szCs w:val="24"/>
        </w:rPr>
      </w:pPr>
    </w:p>
    <w:p w14:paraId="0DA13E11" w14:textId="79300BDB" w:rsidR="00D91CD7" w:rsidRPr="002D2487" w:rsidRDefault="00D91CD7" w:rsidP="00D91CD7">
      <w:pPr>
        <w:pStyle w:val="NormalWeb"/>
        <w:shd w:val="clear" w:color="auto" w:fill="FFFFFF"/>
        <w:spacing w:before="0" w:beforeAutospacing="0"/>
        <w:rPr>
          <w:rFonts w:ascii="Arial Black" w:hAnsi="Arial Black"/>
          <w:sz w:val="28"/>
          <w:szCs w:val="28"/>
        </w:rPr>
      </w:pPr>
      <w:r>
        <w:rPr>
          <w:rFonts w:ascii="Arial Black" w:hAnsi="Arial Black"/>
          <w:sz w:val="28"/>
          <w:szCs w:val="28"/>
        </w:rPr>
        <w:t>MI: CODE ENFORCEMENT – DRONE VIDEOTAPED SAVAGE YARD WITHOUT WARRANT – EXCLUS</w:t>
      </w:r>
      <w:r w:rsidR="00162E4F">
        <w:rPr>
          <w:rFonts w:ascii="Arial Black" w:hAnsi="Arial Black"/>
          <w:sz w:val="28"/>
          <w:szCs w:val="28"/>
        </w:rPr>
        <w:t xml:space="preserve">IONARY </w:t>
      </w:r>
      <w:r>
        <w:rPr>
          <w:rFonts w:ascii="Arial Black" w:hAnsi="Arial Black"/>
          <w:sz w:val="28"/>
          <w:szCs w:val="28"/>
        </w:rPr>
        <w:t>RULE NOT APPLY</w:t>
      </w:r>
    </w:p>
    <w:p w14:paraId="7DD6C3B3" w14:textId="77777777" w:rsidR="00D91CD7" w:rsidRDefault="00D91CD7" w:rsidP="00D91CD7">
      <w:pPr>
        <w:pStyle w:val="NormalWeb"/>
        <w:shd w:val="clear" w:color="auto" w:fill="FFFFFF"/>
        <w:spacing w:before="0" w:beforeAutospacing="0"/>
      </w:pPr>
      <w:r>
        <w:lastRenderedPageBreak/>
        <w:t xml:space="preserve">On May 3, 2024, in </w:t>
      </w:r>
      <w:r w:rsidRPr="001C2E85">
        <w:rPr>
          <w:u w:val="single"/>
        </w:rPr>
        <w:t>Long Lake Township v. Todd Maxon and Heather Maxon</w:t>
      </w:r>
      <w:r>
        <w:t xml:space="preserve">, the Supreme Court of Michigan held (7 to 0) that the video is admissible in zoning action.  The Court held: </w:t>
      </w:r>
    </w:p>
    <w:p w14:paraId="3AD446D7" w14:textId="74CE8E10" w:rsidR="00D91CD7" w:rsidRPr="00A97B04" w:rsidRDefault="00D91CD7" w:rsidP="00CD1833">
      <w:pPr>
        <w:pStyle w:val="NoSpacing"/>
        <w:ind w:left="720"/>
        <w:rPr>
          <w:rFonts w:ascii="Times New Roman" w:hAnsi="Times New Roman"/>
          <w:sz w:val="24"/>
          <w:szCs w:val="24"/>
        </w:rPr>
      </w:pPr>
      <w:r>
        <w:rPr>
          <w:rFonts w:ascii="Times New Roman" w:hAnsi="Times New Roman"/>
          <w:sz w:val="24"/>
          <w:szCs w:val="24"/>
        </w:rPr>
        <w:t>“</w:t>
      </w:r>
      <w:r w:rsidRPr="00A97B04">
        <w:rPr>
          <w:rFonts w:ascii="Times New Roman" w:hAnsi="Times New Roman"/>
          <w:sz w:val="24"/>
          <w:szCs w:val="24"/>
        </w:rPr>
        <w:t>We hold that the costs of applying the exclusionary rule in this case would outweigh</w:t>
      </w:r>
      <w:r w:rsidR="00CD1833">
        <w:rPr>
          <w:rFonts w:ascii="Times New Roman" w:hAnsi="Times New Roman"/>
          <w:sz w:val="24"/>
          <w:szCs w:val="24"/>
        </w:rPr>
        <w:t xml:space="preserve"> </w:t>
      </w:r>
      <w:r w:rsidRPr="00A97B04">
        <w:rPr>
          <w:rFonts w:ascii="Times New Roman" w:hAnsi="Times New Roman"/>
          <w:sz w:val="24"/>
          <w:szCs w:val="24"/>
        </w:rPr>
        <w:t>the benefits. Applying the exclusionary rule would prevent the Township from effectuating</w:t>
      </w:r>
      <w:r>
        <w:rPr>
          <w:rFonts w:ascii="Times New Roman" w:hAnsi="Times New Roman"/>
          <w:sz w:val="24"/>
          <w:szCs w:val="24"/>
        </w:rPr>
        <w:t xml:space="preserve"> </w:t>
      </w:r>
      <w:r w:rsidRPr="00A97B04">
        <w:rPr>
          <w:rFonts w:ascii="Times New Roman" w:hAnsi="Times New Roman"/>
          <w:sz w:val="24"/>
          <w:szCs w:val="24"/>
        </w:rPr>
        <w:t>its nuisance and zoning ordinances—a serious cost. It would do so for little benefit given</w:t>
      </w:r>
      <w:r>
        <w:rPr>
          <w:rFonts w:ascii="Times New Roman" w:hAnsi="Times New Roman"/>
          <w:sz w:val="24"/>
          <w:szCs w:val="24"/>
        </w:rPr>
        <w:t xml:space="preserve"> </w:t>
      </w:r>
      <w:r w:rsidRPr="00A97B04">
        <w:rPr>
          <w:rFonts w:ascii="Times New Roman" w:hAnsi="Times New Roman"/>
          <w:sz w:val="24"/>
          <w:szCs w:val="24"/>
        </w:rPr>
        <w:t>that exclusion of the photographs and video here would not deter future misconduct by law</w:t>
      </w:r>
      <w:r>
        <w:rPr>
          <w:rFonts w:ascii="Times New Roman" w:hAnsi="Times New Roman"/>
          <w:sz w:val="24"/>
          <w:szCs w:val="24"/>
        </w:rPr>
        <w:t xml:space="preserve"> </w:t>
      </w:r>
      <w:r w:rsidRPr="00A97B04">
        <w:rPr>
          <w:rFonts w:ascii="Times New Roman" w:hAnsi="Times New Roman"/>
          <w:sz w:val="24"/>
          <w:szCs w:val="24"/>
        </w:rPr>
        <w:t xml:space="preserve">enforcement officers or their adjuncts, proxies, or agents. We agree with the Court of Appeals’ conclusion </w:t>
      </w:r>
      <w:proofErr w:type="gramStart"/>
      <w:r w:rsidRPr="00A97B04">
        <w:rPr>
          <w:rFonts w:ascii="Times New Roman" w:hAnsi="Times New Roman"/>
          <w:sz w:val="24"/>
          <w:szCs w:val="24"/>
        </w:rPr>
        <w:t xml:space="preserve">that </w:t>
      </w:r>
      <w:r>
        <w:rPr>
          <w:rFonts w:ascii="Times New Roman" w:hAnsi="Times New Roman"/>
          <w:sz w:val="24"/>
          <w:szCs w:val="24"/>
        </w:rPr>
        <w:t>‘</w:t>
      </w:r>
      <w:r w:rsidRPr="00A97B04">
        <w:rPr>
          <w:rFonts w:ascii="Times New Roman" w:hAnsi="Times New Roman"/>
          <w:sz w:val="24"/>
          <w:szCs w:val="24"/>
        </w:rPr>
        <w:t>[t]he</w:t>
      </w:r>
      <w:proofErr w:type="gramEnd"/>
      <w:r w:rsidRPr="00A97B04">
        <w:rPr>
          <w:rFonts w:ascii="Times New Roman" w:hAnsi="Times New Roman"/>
          <w:sz w:val="24"/>
          <w:szCs w:val="24"/>
        </w:rPr>
        <w:t xml:space="preserve"> exclusionary rule was not intended to operate in this arena,</w:t>
      </w:r>
      <w:r>
        <w:rPr>
          <w:rFonts w:ascii="Times New Roman" w:hAnsi="Times New Roman"/>
          <w:sz w:val="24"/>
          <w:szCs w:val="24"/>
        </w:rPr>
        <w:t xml:space="preserve">’ </w:t>
      </w:r>
      <w:r w:rsidRPr="00A97B04">
        <w:rPr>
          <w:rFonts w:ascii="Times New Roman" w:hAnsi="Times New Roman"/>
          <w:sz w:val="24"/>
          <w:szCs w:val="24"/>
        </w:rPr>
        <w:t>and application of the rule in this case would serve no valuable function.</w:t>
      </w:r>
      <w:r>
        <w:rPr>
          <w:rFonts w:ascii="Times New Roman" w:hAnsi="Times New Roman"/>
          <w:sz w:val="24"/>
          <w:szCs w:val="24"/>
        </w:rPr>
        <w:t xml:space="preserve"> </w:t>
      </w:r>
      <w:r w:rsidRPr="00A97B04">
        <w:rPr>
          <w:rFonts w:ascii="Times New Roman" w:hAnsi="Times New Roman"/>
          <w:sz w:val="24"/>
          <w:szCs w:val="24"/>
        </w:rPr>
        <w:t>We therefore</w:t>
      </w:r>
      <w:r>
        <w:rPr>
          <w:rFonts w:ascii="Times New Roman" w:hAnsi="Times New Roman"/>
          <w:sz w:val="24"/>
          <w:szCs w:val="24"/>
        </w:rPr>
        <w:t xml:space="preserve"> </w:t>
      </w:r>
      <w:r w:rsidRPr="00A97B04">
        <w:rPr>
          <w:rFonts w:ascii="Times New Roman" w:hAnsi="Times New Roman"/>
          <w:sz w:val="24"/>
          <w:szCs w:val="24"/>
        </w:rPr>
        <w:t>affirm the judgment of the Court of Appeals and remand to the circuit court for further</w:t>
      </w:r>
      <w:r>
        <w:rPr>
          <w:rFonts w:ascii="Times New Roman" w:hAnsi="Times New Roman"/>
          <w:sz w:val="24"/>
          <w:szCs w:val="24"/>
        </w:rPr>
        <w:t xml:space="preserve"> </w:t>
      </w:r>
      <w:r w:rsidRPr="00A97B04">
        <w:rPr>
          <w:rFonts w:ascii="Times New Roman" w:hAnsi="Times New Roman"/>
          <w:sz w:val="24"/>
          <w:szCs w:val="24"/>
        </w:rPr>
        <w:t>proceedings.</w:t>
      </w:r>
      <w:r>
        <w:rPr>
          <w:rFonts w:ascii="Times New Roman" w:hAnsi="Times New Roman"/>
          <w:sz w:val="24"/>
          <w:szCs w:val="24"/>
        </w:rPr>
        <w:t xml:space="preserve">” </w:t>
      </w:r>
      <w:hyperlink r:id="rId148" w:history="1">
        <w:r w:rsidRPr="00A32FB7">
          <w:rPr>
            <w:rStyle w:val="Hyperlink"/>
            <w:rFonts w:ascii="Times New Roman" w:hAnsi="Times New Roman"/>
            <w:sz w:val="24"/>
            <w:szCs w:val="24"/>
          </w:rPr>
          <w:t>https://www.courts.michigan.gov/49940f/siteassets/case-documents/uploads/opinions/final/sct/164948_142_01.pdf</w:t>
        </w:r>
      </w:hyperlink>
      <w:r>
        <w:rPr>
          <w:rFonts w:ascii="Times New Roman" w:hAnsi="Times New Roman"/>
          <w:sz w:val="24"/>
          <w:szCs w:val="24"/>
        </w:rPr>
        <w:t xml:space="preserve"> </w:t>
      </w:r>
    </w:p>
    <w:p w14:paraId="5FBB60A6" w14:textId="77777777" w:rsidR="00BD2431" w:rsidRDefault="00BD2431" w:rsidP="006A0C24">
      <w:pPr>
        <w:pStyle w:val="NoSpacing"/>
        <w:rPr>
          <w:rFonts w:ascii="Times New Roman" w:hAnsi="Times New Roman"/>
          <w:b/>
          <w:bCs/>
          <w:sz w:val="24"/>
          <w:szCs w:val="24"/>
        </w:rPr>
      </w:pPr>
    </w:p>
    <w:p w14:paraId="7211ABA8" w14:textId="18A3D1FC" w:rsidR="006A0C24" w:rsidRPr="0026088F" w:rsidRDefault="006A0C24" w:rsidP="006A0C24">
      <w:pPr>
        <w:pStyle w:val="NoSpacing"/>
        <w:rPr>
          <w:rFonts w:ascii="Times New Roman" w:hAnsi="Times New Roman"/>
          <w:b/>
          <w:bCs/>
          <w:sz w:val="24"/>
          <w:szCs w:val="24"/>
        </w:rPr>
      </w:pPr>
      <w:r w:rsidRPr="0026088F">
        <w:rPr>
          <w:rFonts w:ascii="Times New Roman" w:hAnsi="Times New Roman"/>
          <w:b/>
          <w:bCs/>
          <w:sz w:val="24"/>
          <w:szCs w:val="24"/>
        </w:rPr>
        <w:t>Legal Lesson Learned:</w:t>
      </w:r>
      <w:r>
        <w:rPr>
          <w:rFonts w:ascii="Times New Roman" w:hAnsi="Times New Roman"/>
          <w:b/>
          <w:bCs/>
          <w:sz w:val="24"/>
          <w:szCs w:val="24"/>
        </w:rPr>
        <w:t xml:space="preserve"> To avoid motions to suppress, consider getting an administrative search warrant prior to using drone to videotape zoning violation. </w:t>
      </w:r>
      <w:r w:rsidR="002A2715">
        <w:rPr>
          <w:rFonts w:ascii="Times New Roman" w:hAnsi="Times New Roman"/>
          <w:b/>
          <w:bCs/>
          <w:sz w:val="24"/>
          <w:szCs w:val="24"/>
        </w:rPr>
        <w:t xml:space="preserve"> </w:t>
      </w:r>
    </w:p>
    <w:p w14:paraId="6D6C62A8" w14:textId="77777777" w:rsidR="006A0C24" w:rsidRDefault="006A0C24" w:rsidP="00B86628">
      <w:pPr>
        <w:pStyle w:val="NoSpacing"/>
        <w:rPr>
          <w:rFonts w:ascii="Arial Black" w:hAnsi="Arial Black"/>
          <w:sz w:val="24"/>
          <w:szCs w:val="24"/>
        </w:rPr>
      </w:pPr>
    </w:p>
    <w:p w14:paraId="1D579FC3" w14:textId="73C16C1B" w:rsidR="002422E0" w:rsidRDefault="002422E0" w:rsidP="002422E0">
      <w:pPr>
        <w:pStyle w:val="NoSpacing"/>
        <w:ind w:left="720"/>
        <w:rPr>
          <w:rFonts w:ascii="Times New Roman" w:hAnsi="Times New Roman"/>
          <w:sz w:val="24"/>
          <w:szCs w:val="24"/>
        </w:rPr>
      </w:pPr>
      <w:r>
        <w:rPr>
          <w:rFonts w:ascii="Times New Roman" w:hAnsi="Times New Roman"/>
          <w:sz w:val="24"/>
          <w:szCs w:val="24"/>
        </w:rPr>
        <w:t xml:space="preserve">Note:  See these articles on the case.  </w:t>
      </w:r>
    </w:p>
    <w:p w14:paraId="4598C6B1" w14:textId="77777777" w:rsidR="002422E0" w:rsidRDefault="002422E0" w:rsidP="002422E0">
      <w:pPr>
        <w:pStyle w:val="NoSpacing"/>
        <w:ind w:left="720"/>
        <w:rPr>
          <w:rFonts w:ascii="Times New Roman" w:hAnsi="Times New Roman"/>
          <w:sz w:val="24"/>
          <w:szCs w:val="24"/>
        </w:rPr>
      </w:pPr>
      <w:r w:rsidRPr="00F65379">
        <w:rPr>
          <w:rFonts w:ascii="Times New Roman" w:hAnsi="Times New Roman"/>
          <w:sz w:val="24"/>
          <w:szCs w:val="24"/>
        </w:rPr>
        <w:t xml:space="preserve">July 22, 2024: This Michigan Supreme Court Case Has the Potential to Guide Drone and Air Rights Law for the Nation. </w:t>
      </w:r>
      <w:hyperlink r:id="rId149" w:history="1">
        <w:r w:rsidRPr="00F65379">
          <w:rPr>
            <w:rStyle w:val="Hyperlink"/>
            <w:rFonts w:ascii="Times New Roman" w:hAnsi="Times New Roman"/>
            <w:sz w:val="24"/>
            <w:szCs w:val="24"/>
          </w:rPr>
          <w:t>https://natlawreview.com/article/michigan-supreme-court-case-has-potential-guide-drone-and-air-rights-law-nation</w:t>
        </w:r>
      </w:hyperlink>
      <w:r w:rsidRPr="00F65379">
        <w:rPr>
          <w:rFonts w:ascii="Times New Roman" w:hAnsi="Times New Roman"/>
          <w:sz w:val="24"/>
          <w:szCs w:val="24"/>
        </w:rPr>
        <w:t xml:space="preserve"> </w:t>
      </w:r>
    </w:p>
    <w:p w14:paraId="52B7E938" w14:textId="77777777" w:rsidR="00F841C3" w:rsidRDefault="00F841C3" w:rsidP="002422E0">
      <w:pPr>
        <w:pStyle w:val="NoSpacing"/>
        <w:ind w:left="720"/>
        <w:rPr>
          <w:rFonts w:ascii="Times New Roman" w:hAnsi="Times New Roman"/>
          <w:sz w:val="24"/>
          <w:szCs w:val="24"/>
        </w:rPr>
      </w:pPr>
    </w:p>
    <w:p w14:paraId="2099B73C" w14:textId="77777777" w:rsidR="00F841C3" w:rsidRPr="00DF31EA" w:rsidRDefault="00F841C3" w:rsidP="00F841C3">
      <w:pPr>
        <w:pStyle w:val="NoSpacing"/>
        <w:ind w:left="720"/>
        <w:rPr>
          <w:rFonts w:ascii="Times New Roman" w:hAnsi="Times New Roman"/>
          <w:sz w:val="24"/>
          <w:szCs w:val="24"/>
        </w:rPr>
      </w:pPr>
      <w:r w:rsidRPr="00DF31EA">
        <w:rPr>
          <w:rFonts w:ascii="Times New Roman" w:hAnsi="Times New Roman"/>
          <w:sz w:val="24"/>
          <w:szCs w:val="24"/>
        </w:rPr>
        <w:t xml:space="preserve">May 8. 2024: Michigan Supreme Court Allows Drone Surveillance Evidence in Civil Case </w:t>
      </w:r>
      <w:hyperlink r:id="rId150" w:history="1">
        <w:r w:rsidRPr="00DF31EA">
          <w:rPr>
            <w:rStyle w:val="Hyperlink"/>
            <w:rFonts w:ascii="Times New Roman" w:hAnsi="Times New Roman"/>
            <w:sz w:val="24"/>
            <w:szCs w:val="24"/>
          </w:rPr>
          <w:t>https://dronelife.com/2024/05/08/michigan-supreme-court-allows-drone-surveillance-evidence-in-civil-case/</w:t>
        </w:r>
      </w:hyperlink>
      <w:r w:rsidRPr="00DF31EA">
        <w:rPr>
          <w:rFonts w:ascii="Times New Roman" w:hAnsi="Times New Roman"/>
          <w:sz w:val="24"/>
          <w:szCs w:val="24"/>
        </w:rPr>
        <w:t xml:space="preserve"> </w:t>
      </w:r>
    </w:p>
    <w:p w14:paraId="27D7E5DA" w14:textId="77777777" w:rsidR="00F841C3" w:rsidRPr="00F65379" w:rsidRDefault="00F841C3" w:rsidP="002422E0">
      <w:pPr>
        <w:pStyle w:val="NoSpacing"/>
        <w:ind w:left="720"/>
        <w:rPr>
          <w:rFonts w:ascii="Times New Roman" w:hAnsi="Times New Roman"/>
          <w:sz w:val="24"/>
          <w:szCs w:val="24"/>
        </w:rPr>
      </w:pPr>
    </w:p>
    <w:p w14:paraId="110B5FC0" w14:textId="77777777" w:rsidR="002422E0" w:rsidRPr="00F65379" w:rsidRDefault="002422E0" w:rsidP="002422E0">
      <w:pPr>
        <w:pStyle w:val="NoSpacing"/>
        <w:ind w:left="720"/>
        <w:rPr>
          <w:rFonts w:ascii="Times New Roman" w:hAnsi="Times New Roman"/>
          <w:sz w:val="24"/>
          <w:szCs w:val="24"/>
        </w:rPr>
      </w:pPr>
    </w:p>
    <w:p w14:paraId="7C650E5B" w14:textId="77777777" w:rsidR="002422E0" w:rsidRPr="00F65379" w:rsidRDefault="002422E0" w:rsidP="002422E0">
      <w:pPr>
        <w:pStyle w:val="NoSpacing"/>
        <w:ind w:left="720"/>
        <w:rPr>
          <w:rFonts w:ascii="Times New Roman" w:hAnsi="Times New Roman"/>
          <w:sz w:val="24"/>
          <w:szCs w:val="24"/>
        </w:rPr>
      </w:pPr>
      <w:r w:rsidRPr="00F65379">
        <w:rPr>
          <w:rFonts w:ascii="Times New Roman" w:hAnsi="Times New Roman"/>
          <w:sz w:val="24"/>
          <w:szCs w:val="24"/>
        </w:rPr>
        <w:t xml:space="preserve">May 3, 2024: Michigan Supreme Court rules against </w:t>
      </w:r>
      <w:proofErr w:type="gramStart"/>
      <w:r w:rsidRPr="00F65379">
        <w:rPr>
          <w:rFonts w:ascii="Times New Roman" w:hAnsi="Times New Roman"/>
          <w:sz w:val="24"/>
          <w:szCs w:val="24"/>
        </w:rPr>
        <w:t>couple</w:t>
      </w:r>
      <w:proofErr w:type="gramEnd"/>
      <w:r w:rsidRPr="00F65379">
        <w:rPr>
          <w:rFonts w:ascii="Times New Roman" w:hAnsi="Times New Roman"/>
          <w:sz w:val="24"/>
          <w:szCs w:val="24"/>
        </w:rPr>
        <w:t xml:space="preserve"> in </w:t>
      </w:r>
      <w:proofErr w:type="gramStart"/>
      <w:r w:rsidRPr="00F65379">
        <w:rPr>
          <w:rFonts w:ascii="Times New Roman" w:hAnsi="Times New Roman"/>
          <w:sz w:val="24"/>
          <w:szCs w:val="24"/>
        </w:rPr>
        <w:t>dispute</w:t>
      </w:r>
      <w:proofErr w:type="gramEnd"/>
      <w:r w:rsidRPr="00F65379">
        <w:rPr>
          <w:rFonts w:ascii="Times New Roman" w:hAnsi="Times New Roman"/>
          <w:sz w:val="24"/>
          <w:szCs w:val="24"/>
        </w:rPr>
        <w:t xml:space="preserve"> over privacy and drone photos of land. </w:t>
      </w:r>
      <w:hyperlink r:id="rId151" w:history="1">
        <w:r w:rsidRPr="00F65379">
          <w:rPr>
            <w:rStyle w:val="Hyperlink"/>
            <w:rFonts w:ascii="Times New Roman" w:hAnsi="Times New Roman"/>
            <w:sz w:val="24"/>
            <w:szCs w:val="24"/>
          </w:rPr>
          <w:t>https://apnews.com/article/michigan-drone-photos-constitution-3c30154b6f1af1b234c1cc8f64945237</w:t>
        </w:r>
      </w:hyperlink>
      <w:r w:rsidRPr="00F65379">
        <w:rPr>
          <w:rFonts w:ascii="Times New Roman" w:hAnsi="Times New Roman"/>
          <w:sz w:val="24"/>
          <w:szCs w:val="24"/>
        </w:rPr>
        <w:t xml:space="preserve"> </w:t>
      </w:r>
    </w:p>
    <w:p w14:paraId="1F2B81F5" w14:textId="77777777" w:rsidR="002422E0" w:rsidRPr="00F65379" w:rsidRDefault="002422E0" w:rsidP="002422E0">
      <w:pPr>
        <w:pStyle w:val="NoSpacing"/>
        <w:ind w:left="720"/>
        <w:rPr>
          <w:rFonts w:ascii="Times New Roman" w:hAnsi="Times New Roman"/>
          <w:sz w:val="24"/>
          <w:szCs w:val="24"/>
        </w:rPr>
      </w:pPr>
    </w:p>
    <w:p w14:paraId="632549CD" w14:textId="77777777" w:rsidR="002422E0" w:rsidRPr="00F65379" w:rsidRDefault="002422E0" w:rsidP="002422E0">
      <w:pPr>
        <w:pStyle w:val="NoSpacing"/>
        <w:ind w:left="720"/>
        <w:rPr>
          <w:rFonts w:ascii="Times New Roman" w:hAnsi="Times New Roman"/>
          <w:sz w:val="24"/>
          <w:szCs w:val="24"/>
        </w:rPr>
      </w:pPr>
      <w:r w:rsidRPr="00F65379">
        <w:rPr>
          <w:rFonts w:ascii="Times New Roman" w:hAnsi="Times New Roman"/>
          <w:sz w:val="24"/>
          <w:szCs w:val="24"/>
        </w:rPr>
        <w:t xml:space="preserve">Nov. 15, 2023: Little-known Michigan court case could have massive constitutional effects across the nation. </w:t>
      </w:r>
      <w:hyperlink r:id="rId152" w:history="1">
        <w:r w:rsidRPr="00F65379">
          <w:rPr>
            <w:rStyle w:val="Hyperlink"/>
            <w:rFonts w:ascii="Times New Roman" w:hAnsi="Times New Roman"/>
            <w:sz w:val="24"/>
            <w:szCs w:val="24"/>
          </w:rPr>
          <w:t>https://www.washingtonexaminer.com/opinion/beltway-confidential/2771350/little-known-michigan-court-case-could-have-massive-constitutional-effects-across-the-nation/</w:t>
        </w:r>
      </w:hyperlink>
      <w:r w:rsidRPr="00F65379">
        <w:rPr>
          <w:rFonts w:ascii="Times New Roman" w:hAnsi="Times New Roman"/>
          <w:sz w:val="24"/>
          <w:szCs w:val="24"/>
        </w:rPr>
        <w:t xml:space="preserve"> </w:t>
      </w:r>
    </w:p>
    <w:p w14:paraId="288D2759" w14:textId="77777777" w:rsidR="002422E0" w:rsidRPr="00F65379" w:rsidRDefault="002422E0" w:rsidP="002422E0">
      <w:pPr>
        <w:pStyle w:val="NoSpacing"/>
        <w:ind w:left="720"/>
        <w:rPr>
          <w:rFonts w:ascii="Times New Roman" w:hAnsi="Times New Roman"/>
          <w:sz w:val="24"/>
          <w:szCs w:val="24"/>
        </w:rPr>
      </w:pPr>
    </w:p>
    <w:p w14:paraId="36EF81E9" w14:textId="77777777" w:rsidR="002422E0" w:rsidRDefault="002422E0" w:rsidP="00B86628">
      <w:pPr>
        <w:pStyle w:val="NoSpacing"/>
        <w:rPr>
          <w:rFonts w:ascii="Arial Black" w:hAnsi="Arial Black"/>
          <w:sz w:val="24"/>
          <w:szCs w:val="24"/>
        </w:rPr>
      </w:pPr>
    </w:p>
    <w:p w14:paraId="6814A441" w14:textId="77777777" w:rsidR="00D91CD7" w:rsidRDefault="00D91CD7" w:rsidP="00B86628">
      <w:pPr>
        <w:pStyle w:val="NoSpacing"/>
        <w:rPr>
          <w:rFonts w:ascii="Arial Black" w:hAnsi="Arial Black"/>
          <w:sz w:val="24"/>
          <w:szCs w:val="24"/>
        </w:rPr>
      </w:pPr>
    </w:p>
    <w:p w14:paraId="7B9B160C" w14:textId="075BCEAE" w:rsidR="00B86628" w:rsidRDefault="00B86628" w:rsidP="00B86628">
      <w:pPr>
        <w:pStyle w:val="NoSpacing"/>
        <w:rPr>
          <w:rFonts w:ascii="Arial Black" w:hAnsi="Arial Black"/>
          <w:sz w:val="24"/>
          <w:szCs w:val="24"/>
        </w:rPr>
      </w:pPr>
      <w:r>
        <w:rPr>
          <w:rFonts w:ascii="Arial Black" w:hAnsi="Arial Black"/>
          <w:sz w:val="24"/>
          <w:szCs w:val="24"/>
        </w:rPr>
        <w:t>1-147</w:t>
      </w:r>
    </w:p>
    <w:p w14:paraId="690FAA92" w14:textId="77777777" w:rsidR="00B86628" w:rsidRDefault="00B86628" w:rsidP="00F326E5">
      <w:pPr>
        <w:pStyle w:val="NoSpacing"/>
        <w:rPr>
          <w:rFonts w:ascii="Arial Black" w:hAnsi="Arial Black"/>
          <w:sz w:val="24"/>
          <w:szCs w:val="24"/>
        </w:rPr>
      </w:pPr>
    </w:p>
    <w:p w14:paraId="59174DED" w14:textId="77777777" w:rsidR="00B86628" w:rsidRPr="00227C43" w:rsidRDefault="00B86628" w:rsidP="00B86628">
      <w:pPr>
        <w:pStyle w:val="NormalWeb"/>
        <w:spacing w:before="0" w:beforeAutospacing="0"/>
        <w:rPr>
          <w:rFonts w:ascii="Arial Black" w:hAnsi="Arial Black"/>
          <w:sz w:val="28"/>
          <w:szCs w:val="28"/>
        </w:rPr>
      </w:pPr>
      <w:r>
        <w:rPr>
          <w:rFonts w:ascii="Arial Black" w:hAnsi="Arial Black"/>
          <w:sz w:val="28"/>
          <w:szCs w:val="28"/>
        </w:rPr>
        <w:t>OK: RV &amp; STRUCTURE FIRE – DUALING EXPERTS – ORIGIN IN RV’S REFRIGERATOR OR IN LOG PILE – BOTH QUALIFIED</w:t>
      </w:r>
    </w:p>
    <w:p w14:paraId="6E156625" w14:textId="77777777" w:rsidR="00B86628" w:rsidRDefault="00B86628" w:rsidP="00B86628">
      <w:pPr>
        <w:pStyle w:val="NormalWeb"/>
        <w:spacing w:before="0" w:beforeAutospacing="0"/>
      </w:pPr>
      <w:r>
        <w:t xml:space="preserve">On March 22, 2024, in </w:t>
      </w:r>
      <w:r w:rsidRPr="008B7C83">
        <w:rPr>
          <w:u w:val="single"/>
        </w:rPr>
        <w:t>Kevin W. Hoog and Rebecca Hoog v. Domestic Corporation</w:t>
      </w:r>
      <w:r>
        <w:t xml:space="preserve">, United States District Court Judge Jodi W. Dishan, U.S. District Court for Western District of Oklahoma, denied the plaintiffs’ motion to exclude the expert testimony of Walter Oliveaux, a certified fire and explosion expert, who will testify that the fire started in wood pile behind the structure, and not from the RV’s “gas absorption “ refrigerator. </w:t>
      </w:r>
    </w:p>
    <w:p w14:paraId="7D489C0E" w14:textId="77777777" w:rsidR="009A27F2" w:rsidRPr="004C0299" w:rsidRDefault="009A27F2" w:rsidP="009A27F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5FC8C9B" w14:textId="77777777" w:rsidR="00B86628" w:rsidRDefault="00B86628" w:rsidP="00B86628">
      <w:pPr>
        <w:pStyle w:val="NormalWeb"/>
        <w:ind w:left="720"/>
      </w:pPr>
      <w:r>
        <w:lastRenderedPageBreak/>
        <w:t xml:space="preserve">“The admissibility of expert testimony is governed by Federal Rule of Evidence 702 and the Supreme Court's opinions in </w:t>
      </w:r>
      <w:r>
        <w:rPr>
          <w:rStyle w:val="Emphasis"/>
          <w:rFonts w:eastAsiaTheme="majorEastAsia"/>
        </w:rPr>
        <w:t>Daubert v. Merrell Dow Pharmaceuticals, Inc.</w:t>
      </w:r>
      <w:r>
        <w:t xml:space="preserve">, 509 U.S. 579 (1993) and </w:t>
      </w:r>
      <w:r>
        <w:rPr>
          <w:rStyle w:val="Emphasis"/>
          <w:rFonts w:eastAsiaTheme="majorEastAsia"/>
        </w:rPr>
        <w:t>Kumho Tire. S</w:t>
      </w:r>
      <w:r>
        <w:t xml:space="preserve">ee </w:t>
      </w:r>
      <w:r>
        <w:rPr>
          <w:rStyle w:val="Emphasis"/>
          <w:rFonts w:eastAsiaTheme="majorEastAsia"/>
        </w:rPr>
        <w:t>James River Ins. Co. v. Rapid Funding, LLC</w:t>
      </w:r>
      <w:r>
        <w:t>, 658 F.3d 1207, 1215 n.1 (10th Cir. 2011</w:t>
      </w:r>
      <w:proofErr w:type="gramStart"/>
      <w:r>
        <w:t>) (‘</w:t>
      </w:r>
      <w:proofErr w:type="gramEnd"/>
      <w:r>
        <w:t xml:space="preserve">If expert testimony is not reliable under </w:t>
      </w:r>
      <w:r>
        <w:rPr>
          <w:rStyle w:val="Emphasis"/>
          <w:rFonts w:eastAsiaTheme="majorEastAsia"/>
        </w:rPr>
        <w:t>Daubert/Kumho</w:t>
      </w:r>
      <w:r>
        <w:t xml:space="preserve">, it is not admissible under Rule 702.’). </w:t>
      </w:r>
    </w:p>
    <w:p w14:paraId="04AAF732" w14:textId="77777777" w:rsidR="00B86628" w:rsidRDefault="00B86628" w:rsidP="00B86628">
      <w:pPr>
        <w:pStyle w:val="NormalWeb"/>
        <w:ind w:left="720"/>
      </w:pPr>
      <w:r>
        <w:t>***</w:t>
      </w:r>
    </w:p>
    <w:p w14:paraId="2DD9E752" w14:textId="77777777" w:rsidR="00B86628" w:rsidRDefault="00B86628" w:rsidP="00B86628">
      <w:pPr>
        <w:pStyle w:val="NormalWeb"/>
        <w:ind w:left="720"/>
      </w:pPr>
      <w:r>
        <w:t xml:space="preserve">Mr. Oliveaux has been the Chief Investigator for SOS Investigations, Inc. for 30 years. In that role, he has investigated more than 1,000 fires, including RV fires where gas absorption refrigerators were present. He has provided expert consulting services in fire cause and origin investigations and accident reconstruction for three decades. Additionally, Mr. Oliveaux has served in several different capacities </w:t>
      </w:r>
      <w:proofErr w:type="gramStart"/>
      <w:r>
        <w:t>on</w:t>
      </w:r>
      <w:proofErr w:type="gramEnd"/>
      <w:r>
        <w:t xml:space="preserve"> the West Feliciana Fire Protection District from 1988 to the present, including as a firefighter, instructor, investigator, chief, assistant chief, and interim fire chief. As lead investigator for the department's fire investigations division, he led numerous arson and fire related death investigations. As such, the Court finds that his testimony will be helpful to the trier of fact, and he is qualified to proffer the opinions at issue.” </w:t>
      </w:r>
      <w:hyperlink r:id="rId153" w:history="1">
        <w:r w:rsidRPr="00525B4E">
          <w:rPr>
            <w:rStyle w:val="Hyperlink"/>
          </w:rPr>
          <w:t>https://public.fastcase.com/H1P9uiW3J20SFp%2BGCG%2BxLV1UD86YIpCG84PV7X%2BpnT1bSBvGb5%2F4r%2Bji24INAH28OEKlXyJ%2BAop5b2VZ9ytUlZZgkAmHpAE%2FiqsvJv8QoS0%3D?utm_medium=email&amp;_hsmi=226712652&amp;_hsenc=p2ANqtz--ZkRdN2zXdoxrl3owB4KoaH3odsucPmvtI49_VzIkvckm0OogBea4uvwy0e_nUnYms3ZfEOMqgWPnXMJBVQxzHG3rvjg&amp;utm_content=226712652&amp;utm_source=hs_email</w:t>
        </w:r>
      </w:hyperlink>
      <w:r>
        <w:t xml:space="preserve">  </w:t>
      </w:r>
    </w:p>
    <w:p w14:paraId="2E1E8B00" w14:textId="77777777" w:rsidR="00B86628" w:rsidRPr="003F297A" w:rsidRDefault="00B86628" w:rsidP="00B86628">
      <w:pPr>
        <w:pStyle w:val="NormalWeb"/>
        <w:rPr>
          <w:b/>
          <w:bCs/>
        </w:rPr>
      </w:pPr>
      <w:r>
        <w:rPr>
          <w:b/>
          <w:bCs/>
        </w:rPr>
        <w:t xml:space="preserve">Legal Lesson Learned:  Expert testimony on origin and cause by both plaintiff and defense is not unusual.  </w:t>
      </w:r>
    </w:p>
    <w:p w14:paraId="64C756AB" w14:textId="77777777" w:rsidR="00B86628" w:rsidRPr="00B86628" w:rsidRDefault="00B86628" w:rsidP="00B86628">
      <w:pPr>
        <w:pStyle w:val="Heading1"/>
        <w:ind w:left="720"/>
        <w:rPr>
          <w:b w:val="0"/>
          <w:bCs w:val="0"/>
          <w:sz w:val="24"/>
          <w:szCs w:val="24"/>
        </w:rPr>
      </w:pPr>
      <w:r w:rsidRPr="00B86628">
        <w:rPr>
          <w:b w:val="0"/>
          <w:bCs w:val="0"/>
          <w:sz w:val="24"/>
          <w:szCs w:val="24"/>
        </w:rPr>
        <w:t xml:space="preserve">Note: See Footnote 3: “Additionally, the Court notes that Edmond Fire Department Assistant Chief Mike Fitzgerald completed his investigation after his department extinguished the fire in the early morning hours of March 31, 2018. Due to the extreme fire damage sustained by the structure, Mr. Fitzgerald advised he was unable to determine </w:t>
      </w:r>
      <w:proofErr w:type="gramStart"/>
      <w:r w:rsidRPr="00B86628">
        <w:rPr>
          <w:b w:val="0"/>
          <w:bCs w:val="0"/>
          <w:sz w:val="24"/>
          <w:szCs w:val="24"/>
        </w:rPr>
        <w:t>an</w:t>
      </w:r>
      <w:proofErr w:type="gramEnd"/>
      <w:r w:rsidRPr="00B86628">
        <w:rPr>
          <w:b w:val="0"/>
          <w:bCs w:val="0"/>
          <w:sz w:val="24"/>
          <w:szCs w:val="24"/>
        </w:rPr>
        <w:t xml:space="preserve"> origin or cause of the fire, and the official cause of the fire was listed as ‘undetermined.’ However, he did indicate based on physical evidence and witness statements that in his opinion the area of origin was near or in the motor home or along the north wall by the electrical panel.”</w:t>
      </w:r>
    </w:p>
    <w:p w14:paraId="4E54BC88" w14:textId="77777777" w:rsidR="00B86628" w:rsidRPr="006E7129" w:rsidRDefault="00B86628" w:rsidP="00B86628">
      <w:pPr>
        <w:pStyle w:val="Heading1"/>
        <w:ind w:left="720"/>
        <w:rPr>
          <w:sz w:val="24"/>
          <w:szCs w:val="24"/>
        </w:rPr>
      </w:pPr>
      <w:r w:rsidRPr="006E7129">
        <w:rPr>
          <w:sz w:val="24"/>
          <w:szCs w:val="24"/>
        </w:rPr>
        <w:t xml:space="preserve">See article, “RV HVAC | How Absorption Refrigeration Works.” </w:t>
      </w:r>
      <w:hyperlink r:id="rId154" w:history="1">
        <w:r w:rsidRPr="00525B4E">
          <w:rPr>
            <w:rStyle w:val="Hyperlink"/>
            <w:sz w:val="24"/>
            <w:szCs w:val="24"/>
          </w:rPr>
          <w:t>https://haderhvac.com/blog/rv-hvac-absorption-refrigeration/</w:t>
        </w:r>
      </w:hyperlink>
      <w:r>
        <w:rPr>
          <w:sz w:val="24"/>
          <w:szCs w:val="24"/>
        </w:rPr>
        <w:t xml:space="preserve"> </w:t>
      </w:r>
    </w:p>
    <w:p w14:paraId="23D18227" w14:textId="77777777" w:rsidR="00B86628" w:rsidRDefault="00B86628" w:rsidP="00B86628">
      <w:pPr>
        <w:pStyle w:val="NormalWeb"/>
        <w:ind w:left="720"/>
      </w:pPr>
      <w:r>
        <w:t>“Absorption refrigeration units use heat to make cold through a process that is somewhat difficult to understand. However, understanding how the unit works can give owners a greater appreciation for and more knowledge about maintaining the device.</w:t>
      </w:r>
    </w:p>
    <w:p w14:paraId="377AD65B" w14:textId="77777777" w:rsidR="00B86628" w:rsidRDefault="00B86628" w:rsidP="00B86628">
      <w:pPr>
        <w:pStyle w:val="NormalWeb"/>
        <w:ind w:left="720"/>
      </w:pPr>
      <w:r>
        <w:t xml:space="preserve">Absorption refrigeration units have four main parts – the boiler, condenser, evaporators, and absorber. Inside the boiler, water and liquid ammonia are boiled by heat from an electrical coil or gas flame; the water separates from the ammonia and returns to the boiler while the ammonia travels up through the pipes to the condenser, where it becomes liquid again. After condensing into a liquid, hydrogen vapor is added to the ammonia in the low temperature evaporator, which </w:t>
      </w:r>
      <w:proofErr w:type="gramStart"/>
      <w:r>
        <w:t>is located in</w:t>
      </w:r>
      <w:proofErr w:type="gramEnd"/>
      <w:r>
        <w:t xml:space="preserve"> the freezer section of the refrigerator. At this point, heat from the freezer is absorbed by the liquid ammonia and hydrogen gas mixture in the pipes, then passed on to the exterior of the fridge. From the low temperature evaporator in the freezer, the ammonia and hydrogen travel through more pipes to the high-temperature evaporator, which cools the fridge section of the refrigerator, but not as much as the freezer. Once the ammonia has passed through both evaporators, it enters the absorber. In the absorber coils, it is separated from the gaseous hydrogen – which rises back into the evaporators – and mixed with water before returning to the boiler.”</w:t>
      </w:r>
    </w:p>
    <w:p w14:paraId="66238B7D" w14:textId="77777777" w:rsidR="00A4617E" w:rsidRDefault="00A4617E" w:rsidP="00B86628">
      <w:pPr>
        <w:pStyle w:val="NoSpacing"/>
        <w:rPr>
          <w:rFonts w:ascii="Arial Black" w:hAnsi="Arial Black"/>
          <w:sz w:val="24"/>
          <w:szCs w:val="24"/>
        </w:rPr>
      </w:pPr>
    </w:p>
    <w:p w14:paraId="2F92AA12" w14:textId="6B3B89D4" w:rsidR="00B86628" w:rsidRDefault="00B86628" w:rsidP="00B86628">
      <w:pPr>
        <w:pStyle w:val="NoSpacing"/>
        <w:rPr>
          <w:rFonts w:ascii="Arial Black" w:hAnsi="Arial Black"/>
          <w:sz w:val="24"/>
          <w:szCs w:val="24"/>
        </w:rPr>
      </w:pPr>
      <w:r>
        <w:rPr>
          <w:rFonts w:ascii="Arial Black" w:hAnsi="Arial Black"/>
          <w:sz w:val="24"/>
          <w:szCs w:val="24"/>
        </w:rPr>
        <w:t>1-146</w:t>
      </w:r>
    </w:p>
    <w:p w14:paraId="7E7E1FC5" w14:textId="77777777" w:rsidR="00B86628" w:rsidRDefault="00B86628" w:rsidP="00B86628">
      <w:pPr>
        <w:pStyle w:val="NormalWeb"/>
        <w:spacing w:before="0" w:beforeAutospacing="0"/>
      </w:pPr>
    </w:p>
    <w:p w14:paraId="2F6462E5" w14:textId="114841CA" w:rsidR="00B86628" w:rsidRPr="00073A85" w:rsidRDefault="00B86628" w:rsidP="00B86628">
      <w:pPr>
        <w:pStyle w:val="NoSpacing"/>
        <w:rPr>
          <w:rFonts w:ascii="Arial Black" w:hAnsi="Arial Black"/>
          <w:sz w:val="28"/>
          <w:szCs w:val="28"/>
        </w:rPr>
      </w:pPr>
      <w:r>
        <w:rPr>
          <w:rFonts w:ascii="Arial Black" w:hAnsi="Arial Black"/>
          <w:sz w:val="28"/>
          <w:szCs w:val="28"/>
        </w:rPr>
        <w:t xml:space="preserve">U.S. SUPREME CT: CITY MGR. PERSONAL FACEBOOK PAGE – OK </w:t>
      </w:r>
      <w:r w:rsidR="00DC68EE">
        <w:rPr>
          <w:rFonts w:ascii="Arial Black" w:hAnsi="Arial Black"/>
          <w:sz w:val="28"/>
          <w:szCs w:val="28"/>
        </w:rPr>
        <w:t xml:space="preserve">FOR MGR. </w:t>
      </w:r>
      <w:r>
        <w:rPr>
          <w:rFonts w:ascii="Arial Black" w:hAnsi="Arial Black"/>
          <w:sz w:val="28"/>
          <w:szCs w:val="28"/>
        </w:rPr>
        <w:t xml:space="preserve">TO BLOCK CITIZEN’S NEG. POSTS </w:t>
      </w:r>
      <w:r w:rsidR="008653A5">
        <w:rPr>
          <w:rFonts w:ascii="Arial Black" w:hAnsi="Arial Black"/>
          <w:sz w:val="28"/>
          <w:szCs w:val="28"/>
        </w:rPr>
        <w:t>SINCE PERSONAL PAGE</w:t>
      </w:r>
    </w:p>
    <w:p w14:paraId="3932C7CE" w14:textId="77777777" w:rsidR="00B86628" w:rsidRDefault="00B86628" w:rsidP="00B86628">
      <w:pPr>
        <w:pStyle w:val="NoSpacing"/>
        <w:rPr>
          <w:rFonts w:ascii="Times New Roman" w:hAnsi="Times New Roman"/>
          <w:sz w:val="24"/>
          <w:szCs w:val="24"/>
          <w:shd w:val="clear" w:color="auto" w:fill="FFFFFF"/>
        </w:rPr>
      </w:pPr>
    </w:p>
    <w:p w14:paraId="6C27F0CA" w14:textId="32067B65" w:rsidR="00B86628" w:rsidRDefault="00B86628" w:rsidP="00B86628">
      <w:pPr>
        <w:pStyle w:val="NoSpacing"/>
        <w:rPr>
          <w:rFonts w:ascii="Times New Roman" w:hAnsi="Times New Roman"/>
          <w:sz w:val="24"/>
          <w:szCs w:val="24"/>
          <w:shd w:val="clear" w:color="auto" w:fill="FFFFFF"/>
        </w:rPr>
      </w:pPr>
      <w:r w:rsidRPr="004C0299">
        <w:rPr>
          <w:rFonts w:ascii="Times New Roman" w:hAnsi="Times New Roman"/>
          <w:sz w:val="24"/>
          <w:szCs w:val="24"/>
          <w:shd w:val="clear" w:color="auto" w:fill="FFFFFF"/>
        </w:rPr>
        <w:t xml:space="preserve">On March 15, 2024, in </w:t>
      </w:r>
      <w:r w:rsidRPr="004C0299">
        <w:rPr>
          <w:rFonts w:ascii="Times New Roman" w:hAnsi="Times New Roman"/>
          <w:sz w:val="24"/>
          <w:szCs w:val="24"/>
          <w:u w:val="single"/>
          <w:shd w:val="clear" w:color="auto" w:fill="FFFFFF"/>
        </w:rPr>
        <w:t>Kevin Lindke v. James Freed</w:t>
      </w:r>
      <w:r w:rsidRPr="004C0299">
        <w:rPr>
          <w:rFonts w:ascii="Times New Roman" w:hAnsi="Times New Roman"/>
          <w:sz w:val="24"/>
          <w:szCs w:val="24"/>
          <w:shd w:val="clear" w:color="auto" w:fill="FFFFFF"/>
        </w:rPr>
        <w:t>, the United States Supreme Court held (9 to 0</w:t>
      </w:r>
      <w:r>
        <w:rPr>
          <w:rFonts w:ascii="Times New Roman" w:hAnsi="Times New Roman"/>
          <w:sz w:val="24"/>
          <w:szCs w:val="24"/>
          <w:shd w:val="clear" w:color="auto" w:fill="FFFFFF"/>
        </w:rPr>
        <w:t xml:space="preserve">; opinion </w:t>
      </w:r>
      <w:r w:rsidRPr="006B544B">
        <w:rPr>
          <w:rFonts w:ascii="Times New Roman" w:hAnsi="Times New Roman"/>
          <w:sz w:val="24"/>
          <w:szCs w:val="24"/>
          <w:shd w:val="clear" w:color="auto" w:fill="FFFFFF"/>
        </w:rPr>
        <w:t xml:space="preserve">by Justice </w:t>
      </w:r>
      <w:r w:rsidRPr="006B544B">
        <w:rPr>
          <w:rFonts w:ascii="Times New Roman" w:hAnsi="Times New Roman"/>
          <w:sz w:val="24"/>
          <w:szCs w:val="24"/>
        </w:rPr>
        <w:t>Amy Barrett</w:t>
      </w:r>
      <w:r w:rsidRPr="006B544B">
        <w:rPr>
          <w:rFonts w:ascii="Times New Roman" w:hAnsi="Times New Roman"/>
          <w:sz w:val="24"/>
          <w:szCs w:val="24"/>
          <w:shd w:val="clear" w:color="auto" w:fill="FFFFFF"/>
        </w:rPr>
        <w:t>)</w:t>
      </w:r>
      <w:r w:rsidRPr="004C0299">
        <w:rPr>
          <w:rFonts w:ascii="Times New Roman" w:hAnsi="Times New Roman"/>
          <w:sz w:val="24"/>
          <w:szCs w:val="24"/>
          <w:shd w:val="clear" w:color="auto" w:fill="FFFFFF"/>
        </w:rPr>
        <w:t xml:space="preserve"> that James Freed, </w:t>
      </w:r>
      <w:r>
        <w:rPr>
          <w:rFonts w:ascii="Times New Roman" w:hAnsi="Times New Roman"/>
          <w:sz w:val="24"/>
          <w:szCs w:val="24"/>
          <w:shd w:val="clear" w:color="auto" w:fill="FFFFFF"/>
        </w:rPr>
        <w:t xml:space="preserve">who has a personal FACEBOOK page with family photos, and in 2014 became </w:t>
      </w:r>
      <w:r w:rsidRPr="004C0299">
        <w:rPr>
          <w:rFonts w:ascii="Times New Roman" w:hAnsi="Times New Roman"/>
          <w:sz w:val="24"/>
          <w:szCs w:val="24"/>
          <w:shd w:val="clear" w:color="auto" w:fill="FFFFFF"/>
        </w:rPr>
        <w:t>City Manager of Port Huron, Michigan</w:t>
      </w:r>
      <w:r>
        <w:rPr>
          <w:rFonts w:ascii="Times New Roman" w:hAnsi="Times New Roman"/>
          <w:sz w:val="24"/>
          <w:szCs w:val="24"/>
          <w:shd w:val="clear" w:color="auto" w:fill="FFFFFF"/>
        </w:rPr>
        <w:t>, cannot be sued for blocking negative comments by a resident. The First Amendment lawsuit was dismissed by a U.S. District Court judge in Michigan, and the dismissal upheld by the U.S. Court of Appeals for 6</w:t>
      </w:r>
      <w:r w:rsidRPr="00364CE0">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Circuit (Cincinnati). </w:t>
      </w:r>
      <w:hyperlink r:id="rId155" w:history="1">
        <w:r w:rsidR="00CA3B7B" w:rsidRPr="007616D4">
          <w:rPr>
            <w:rStyle w:val="Hyperlink"/>
          </w:rPr>
          <w:t>https://www.supremecourt.gov/opinions/23pdf/22-324_09m1.pdf</w:t>
        </w:r>
      </w:hyperlink>
      <w:r w:rsidR="00CA3B7B">
        <w:rPr>
          <w:rStyle w:val="Hyperlink"/>
        </w:rPr>
        <w:t xml:space="preserve"> </w:t>
      </w:r>
    </w:p>
    <w:p w14:paraId="128AEECE" w14:textId="77777777" w:rsidR="009A27F2" w:rsidRDefault="009A27F2" w:rsidP="009A27F2">
      <w:pPr>
        <w:pStyle w:val="NoSpacing"/>
        <w:rPr>
          <w:rFonts w:ascii="Times New Roman" w:hAnsi="Times New Roman"/>
          <w:sz w:val="24"/>
          <w:szCs w:val="24"/>
          <w:shd w:val="clear" w:color="auto" w:fill="FFFFFF"/>
        </w:rPr>
      </w:pPr>
    </w:p>
    <w:p w14:paraId="3FFD1178" w14:textId="64971198" w:rsidR="009A27F2" w:rsidRPr="004C0299" w:rsidRDefault="009A27F2" w:rsidP="009A27F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A3074C9" w14:textId="77777777" w:rsidR="009A27F2" w:rsidRPr="004C0299" w:rsidRDefault="009A27F2" w:rsidP="00B86628">
      <w:pPr>
        <w:pStyle w:val="NoSpacing"/>
        <w:rPr>
          <w:rFonts w:ascii="Times New Roman" w:hAnsi="Times New Roman"/>
          <w:sz w:val="24"/>
          <w:szCs w:val="24"/>
        </w:rPr>
      </w:pPr>
    </w:p>
    <w:p w14:paraId="5DB8EC68" w14:textId="77777777" w:rsidR="00B86628" w:rsidRPr="00E55007" w:rsidRDefault="00B86628" w:rsidP="00B86628">
      <w:pPr>
        <w:pStyle w:val="NoSpacing"/>
        <w:ind w:left="720"/>
        <w:rPr>
          <w:rFonts w:ascii="Times New Roman" w:hAnsi="Times New Roman"/>
          <w:sz w:val="24"/>
          <w:szCs w:val="24"/>
        </w:rPr>
      </w:pPr>
      <w:r>
        <w:t>“</w:t>
      </w:r>
      <w:r w:rsidRPr="00E55007">
        <w:rPr>
          <w:rFonts w:ascii="Times New Roman" w:hAnsi="Times New Roman"/>
          <w:sz w:val="24"/>
          <w:szCs w:val="24"/>
        </w:rPr>
        <w:t>Freed did not relinquish his First Amendment</w:t>
      </w:r>
      <w:r>
        <w:rPr>
          <w:rFonts w:ascii="Times New Roman" w:hAnsi="Times New Roman"/>
          <w:sz w:val="24"/>
          <w:szCs w:val="24"/>
        </w:rPr>
        <w:t xml:space="preserve"> </w:t>
      </w:r>
      <w:r w:rsidRPr="00E55007">
        <w:rPr>
          <w:rFonts w:ascii="Times New Roman" w:hAnsi="Times New Roman"/>
          <w:sz w:val="24"/>
          <w:szCs w:val="24"/>
        </w:rPr>
        <w:t xml:space="preserve">rights when he became city manager. On the contrary, </w:t>
      </w:r>
      <w:r>
        <w:rPr>
          <w:rFonts w:ascii="Times New Roman" w:hAnsi="Times New Roman"/>
          <w:sz w:val="24"/>
          <w:szCs w:val="24"/>
        </w:rPr>
        <w:t>‘</w:t>
      </w:r>
      <w:r w:rsidRPr="00E55007">
        <w:rPr>
          <w:rFonts w:ascii="Times New Roman" w:hAnsi="Times New Roman"/>
          <w:sz w:val="24"/>
          <w:szCs w:val="24"/>
        </w:rPr>
        <w:t>the</w:t>
      </w:r>
      <w:r>
        <w:rPr>
          <w:rFonts w:ascii="Times New Roman" w:hAnsi="Times New Roman"/>
          <w:sz w:val="24"/>
          <w:szCs w:val="24"/>
        </w:rPr>
        <w:t xml:space="preserve"> </w:t>
      </w:r>
      <w:r w:rsidRPr="00E55007">
        <w:rPr>
          <w:rFonts w:ascii="Times New Roman" w:hAnsi="Times New Roman"/>
          <w:sz w:val="24"/>
          <w:szCs w:val="24"/>
        </w:rPr>
        <w:t>First Amendment protects a public employee’s right, in certain circumstances, to speak as a citizen addressing matters of public concern.</w:t>
      </w:r>
      <w:r>
        <w:rPr>
          <w:rFonts w:ascii="Times New Roman" w:hAnsi="Times New Roman"/>
          <w:sz w:val="24"/>
          <w:szCs w:val="24"/>
        </w:rPr>
        <w:t>’</w:t>
      </w:r>
      <w:r w:rsidRPr="00E55007">
        <w:rPr>
          <w:rFonts w:ascii="Times New Roman" w:hAnsi="Times New Roman"/>
          <w:sz w:val="24"/>
          <w:szCs w:val="24"/>
        </w:rPr>
        <w:t xml:space="preserve"> Garcetti v. Ceballos, 547 U. S. 410,</w:t>
      </w:r>
      <w:r>
        <w:rPr>
          <w:rFonts w:ascii="Times New Roman" w:hAnsi="Times New Roman"/>
          <w:sz w:val="24"/>
          <w:szCs w:val="24"/>
        </w:rPr>
        <w:t xml:space="preserve"> </w:t>
      </w:r>
      <w:r w:rsidRPr="00E55007">
        <w:rPr>
          <w:rFonts w:ascii="Times New Roman" w:hAnsi="Times New Roman"/>
          <w:sz w:val="24"/>
          <w:szCs w:val="24"/>
        </w:rPr>
        <w:t>417 (2006). This right includes the ability to speak about</w:t>
      </w:r>
    </w:p>
    <w:p w14:paraId="1A5242A0" w14:textId="77777777" w:rsidR="00B86628" w:rsidRPr="00E55007" w:rsidRDefault="00B86628" w:rsidP="00B86628">
      <w:pPr>
        <w:pStyle w:val="NoSpacing"/>
        <w:ind w:left="720"/>
        <w:rPr>
          <w:rFonts w:ascii="Times New Roman" w:hAnsi="Times New Roman"/>
          <w:sz w:val="24"/>
          <w:szCs w:val="24"/>
        </w:rPr>
      </w:pPr>
      <w:r>
        <w:rPr>
          <w:rFonts w:ascii="Times New Roman" w:hAnsi="Times New Roman"/>
          <w:sz w:val="24"/>
          <w:szCs w:val="24"/>
        </w:rPr>
        <w:t>‘</w:t>
      </w:r>
      <w:proofErr w:type="gramStart"/>
      <w:r w:rsidRPr="00E55007">
        <w:rPr>
          <w:rFonts w:ascii="Times New Roman" w:hAnsi="Times New Roman"/>
          <w:sz w:val="24"/>
          <w:szCs w:val="24"/>
        </w:rPr>
        <w:t>information</w:t>
      </w:r>
      <w:proofErr w:type="gramEnd"/>
      <w:r w:rsidRPr="00E55007">
        <w:rPr>
          <w:rFonts w:ascii="Times New Roman" w:hAnsi="Times New Roman"/>
          <w:sz w:val="24"/>
          <w:szCs w:val="24"/>
        </w:rPr>
        <w:t xml:space="preserve"> related to or learned through public employment,</w:t>
      </w:r>
      <w:r>
        <w:rPr>
          <w:rFonts w:ascii="Times New Roman" w:hAnsi="Times New Roman"/>
          <w:sz w:val="24"/>
          <w:szCs w:val="24"/>
        </w:rPr>
        <w:t>’</w:t>
      </w:r>
      <w:r w:rsidRPr="00E55007">
        <w:rPr>
          <w:rFonts w:ascii="Times New Roman" w:hAnsi="Times New Roman"/>
          <w:sz w:val="24"/>
          <w:szCs w:val="24"/>
        </w:rPr>
        <w:t xml:space="preserve"> so long as the speech is not </w:t>
      </w:r>
      <w:r>
        <w:rPr>
          <w:rFonts w:ascii="Times New Roman" w:hAnsi="Times New Roman"/>
          <w:sz w:val="24"/>
          <w:szCs w:val="24"/>
        </w:rPr>
        <w:t>‘</w:t>
      </w:r>
      <w:r w:rsidRPr="00E55007">
        <w:rPr>
          <w:rFonts w:ascii="Times New Roman" w:hAnsi="Times New Roman"/>
          <w:sz w:val="24"/>
          <w:szCs w:val="24"/>
        </w:rPr>
        <w:t>itself ordinarily within</w:t>
      </w:r>
      <w:r>
        <w:rPr>
          <w:rFonts w:ascii="Times New Roman" w:hAnsi="Times New Roman"/>
          <w:sz w:val="24"/>
          <w:szCs w:val="24"/>
        </w:rPr>
        <w:t xml:space="preserve"> </w:t>
      </w:r>
      <w:r w:rsidRPr="00E55007">
        <w:rPr>
          <w:rFonts w:ascii="Times New Roman" w:hAnsi="Times New Roman"/>
          <w:sz w:val="24"/>
          <w:szCs w:val="24"/>
        </w:rPr>
        <w:t>the scope of [the] employee’s duties.</w:t>
      </w:r>
      <w:r>
        <w:rPr>
          <w:rFonts w:ascii="Times New Roman" w:hAnsi="Times New Roman"/>
          <w:sz w:val="24"/>
          <w:szCs w:val="24"/>
        </w:rPr>
        <w:t>’</w:t>
      </w:r>
      <w:r w:rsidRPr="00E55007">
        <w:rPr>
          <w:rFonts w:ascii="Times New Roman" w:hAnsi="Times New Roman"/>
          <w:sz w:val="24"/>
          <w:szCs w:val="24"/>
        </w:rPr>
        <w:t xml:space="preserve"> Lane v. Franks, 573</w:t>
      </w:r>
    </w:p>
    <w:p w14:paraId="60D2BCBB" w14:textId="77777777" w:rsidR="00B86628" w:rsidRDefault="00B86628" w:rsidP="00B86628">
      <w:pPr>
        <w:pStyle w:val="NoSpacing"/>
        <w:ind w:firstLine="720"/>
        <w:rPr>
          <w:rFonts w:ascii="Times New Roman" w:hAnsi="Times New Roman"/>
          <w:sz w:val="24"/>
          <w:szCs w:val="24"/>
        </w:rPr>
      </w:pPr>
      <w:r w:rsidRPr="00E55007">
        <w:rPr>
          <w:rFonts w:ascii="Times New Roman" w:hAnsi="Times New Roman"/>
          <w:sz w:val="24"/>
          <w:szCs w:val="24"/>
        </w:rPr>
        <w:t>U. S. 228, 236, 240 (2014)</w:t>
      </w:r>
      <w:r>
        <w:rPr>
          <w:rFonts w:ascii="Times New Roman" w:hAnsi="Times New Roman"/>
          <w:sz w:val="24"/>
          <w:szCs w:val="24"/>
        </w:rPr>
        <w:t>.”</w:t>
      </w:r>
    </w:p>
    <w:p w14:paraId="0F9F2C27" w14:textId="77777777" w:rsidR="00B86628" w:rsidRDefault="00B86628" w:rsidP="00B86628">
      <w:pPr>
        <w:pStyle w:val="NoSpacing"/>
        <w:ind w:firstLine="720"/>
        <w:rPr>
          <w:rFonts w:ascii="Times New Roman" w:hAnsi="Times New Roman"/>
          <w:sz w:val="24"/>
          <w:szCs w:val="24"/>
        </w:rPr>
      </w:pPr>
    </w:p>
    <w:p w14:paraId="36EBE845" w14:textId="77777777" w:rsidR="00B86628" w:rsidRPr="007F37FA" w:rsidRDefault="00B86628" w:rsidP="00B86628">
      <w:pPr>
        <w:pStyle w:val="NoSpacing"/>
        <w:rPr>
          <w:rFonts w:ascii="Times New Roman" w:hAnsi="Times New Roman"/>
          <w:b/>
          <w:bCs/>
          <w:sz w:val="24"/>
          <w:szCs w:val="24"/>
        </w:rPr>
      </w:pPr>
      <w:r w:rsidRPr="007F37FA">
        <w:rPr>
          <w:rFonts w:ascii="Times New Roman" w:hAnsi="Times New Roman"/>
          <w:b/>
          <w:bCs/>
          <w:sz w:val="24"/>
          <w:szCs w:val="24"/>
        </w:rPr>
        <w:t xml:space="preserve">Legal Lesson Learned: When fire or EMS are posting on </w:t>
      </w:r>
      <w:proofErr w:type="gramStart"/>
      <w:r w:rsidRPr="007F37FA">
        <w:rPr>
          <w:rFonts w:ascii="Times New Roman" w:hAnsi="Times New Roman"/>
          <w:b/>
          <w:bCs/>
          <w:sz w:val="24"/>
          <w:szCs w:val="24"/>
        </w:rPr>
        <w:t>Social Media</w:t>
      </w:r>
      <w:proofErr w:type="gramEnd"/>
      <w:r w:rsidRPr="007F37FA">
        <w:rPr>
          <w:rFonts w:ascii="Times New Roman" w:hAnsi="Times New Roman"/>
          <w:b/>
          <w:bCs/>
          <w:sz w:val="24"/>
          <w:szCs w:val="24"/>
        </w:rPr>
        <w:t>, they must exercise extreme care to not discuss internal department issues.</w:t>
      </w:r>
    </w:p>
    <w:p w14:paraId="133A602F" w14:textId="77777777" w:rsidR="00B86628" w:rsidRDefault="00B86628" w:rsidP="00B86628">
      <w:pPr>
        <w:pStyle w:val="NoSpacing"/>
        <w:rPr>
          <w:rFonts w:ascii="Times New Roman" w:hAnsi="Times New Roman"/>
          <w:sz w:val="24"/>
          <w:szCs w:val="24"/>
        </w:rPr>
      </w:pPr>
    </w:p>
    <w:p w14:paraId="418898A1" w14:textId="77777777" w:rsidR="00B86628" w:rsidRDefault="00B86628" w:rsidP="00B86628">
      <w:pPr>
        <w:pStyle w:val="NoSpacing"/>
        <w:ind w:firstLine="720"/>
        <w:rPr>
          <w:rFonts w:ascii="Times New Roman" w:hAnsi="Times New Roman"/>
          <w:sz w:val="24"/>
          <w:szCs w:val="24"/>
        </w:rPr>
      </w:pPr>
      <w:r>
        <w:rPr>
          <w:rFonts w:ascii="Times New Roman" w:hAnsi="Times New Roman"/>
          <w:sz w:val="24"/>
          <w:szCs w:val="24"/>
        </w:rPr>
        <w:t xml:space="preserve">Note: </w:t>
      </w:r>
      <w:r w:rsidRPr="00AC5C49">
        <w:rPr>
          <w:rFonts w:ascii="Times New Roman" w:hAnsi="Times New Roman"/>
          <w:sz w:val="24"/>
          <w:szCs w:val="24"/>
        </w:rPr>
        <w:t xml:space="preserve">Justice </w:t>
      </w:r>
      <w:r>
        <w:rPr>
          <w:rFonts w:ascii="Times New Roman" w:hAnsi="Times New Roman"/>
          <w:sz w:val="24"/>
          <w:szCs w:val="24"/>
        </w:rPr>
        <w:t xml:space="preserve">Barrett offered this helpful suggestion in her opinion. </w:t>
      </w:r>
    </w:p>
    <w:p w14:paraId="3054431D" w14:textId="77777777" w:rsidR="00B86628" w:rsidRPr="00AC5C49" w:rsidRDefault="00B86628" w:rsidP="00B86628">
      <w:pPr>
        <w:pStyle w:val="NoSpacing"/>
        <w:ind w:left="1440"/>
        <w:rPr>
          <w:rFonts w:ascii="Times New Roman" w:hAnsi="Times New Roman"/>
          <w:sz w:val="24"/>
          <w:szCs w:val="24"/>
        </w:rPr>
      </w:pPr>
      <w:r>
        <w:rPr>
          <w:rFonts w:ascii="Times New Roman" w:hAnsi="Times New Roman"/>
          <w:sz w:val="24"/>
          <w:szCs w:val="24"/>
        </w:rPr>
        <w:t>“</w:t>
      </w:r>
      <w:r w:rsidRPr="00AC5C49">
        <w:rPr>
          <w:rFonts w:ascii="Times New Roman" w:hAnsi="Times New Roman"/>
          <w:sz w:val="24"/>
          <w:szCs w:val="24"/>
        </w:rPr>
        <w:t>Had Freed’s account</w:t>
      </w:r>
      <w:r>
        <w:rPr>
          <w:rFonts w:ascii="Times New Roman" w:hAnsi="Times New Roman"/>
          <w:sz w:val="24"/>
          <w:szCs w:val="24"/>
        </w:rPr>
        <w:t xml:space="preserve"> </w:t>
      </w:r>
      <w:r w:rsidRPr="00AC5C49">
        <w:rPr>
          <w:rFonts w:ascii="Times New Roman" w:hAnsi="Times New Roman"/>
          <w:sz w:val="24"/>
          <w:szCs w:val="24"/>
        </w:rPr>
        <w:t xml:space="preserve">carried a label (e.g., </w:t>
      </w:r>
      <w:r>
        <w:rPr>
          <w:rFonts w:ascii="Times New Roman" w:hAnsi="Times New Roman"/>
          <w:sz w:val="24"/>
          <w:szCs w:val="24"/>
        </w:rPr>
        <w:t>‘</w:t>
      </w:r>
      <w:r w:rsidRPr="00AC5C49">
        <w:rPr>
          <w:rFonts w:ascii="Times New Roman" w:hAnsi="Times New Roman"/>
          <w:sz w:val="24"/>
          <w:szCs w:val="24"/>
        </w:rPr>
        <w:t>this is the personal page of James R.</w:t>
      </w:r>
      <w:r>
        <w:rPr>
          <w:rFonts w:ascii="Times New Roman" w:hAnsi="Times New Roman"/>
          <w:sz w:val="24"/>
          <w:szCs w:val="24"/>
        </w:rPr>
        <w:t xml:space="preserve"> </w:t>
      </w:r>
      <w:r w:rsidRPr="00AC5C49">
        <w:rPr>
          <w:rFonts w:ascii="Times New Roman" w:hAnsi="Times New Roman"/>
          <w:sz w:val="24"/>
          <w:szCs w:val="24"/>
        </w:rPr>
        <w:t>Freed</w:t>
      </w:r>
      <w:r>
        <w:rPr>
          <w:rFonts w:ascii="Times New Roman" w:hAnsi="Times New Roman"/>
          <w:sz w:val="24"/>
          <w:szCs w:val="24"/>
        </w:rPr>
        <w:t>’</w:t>
      </w:r>
      <w:r w:rsidRPr="00AC5C49">
        <w:rPr>
          <w:rFonts w:ascii="Times New Roman" w:hAnsi="Times New Roman"/>
          <w:sz w:val="24"/>
          <w:szCs w:val="24"/>
        </w:rPr>
        <w:t xml:space="preserve">) or a disclaimer (e.g., </w:t>
      </w:r>
      <w:r>
        <w:rPr>
          <w:rFonts w:ascii="Times New Roman" w:hAnsi="Times New Roman"/>
          <w:sz w:val="24"/>
          <w:szCs w:val="24"/>
        </w:rPr>
        <w:t>‘</w:t>
      </w:r>
      <w:r w:rsidRPr="00AC5C49">
        <w:rPr>
          <w:rFonts w:ascii="Times New Roman" w:hAnsi="Times New Roman"/>
          <w:sz w:val="24"/>
          <w:szCs w:val="24"/>
        </w:rPr>
        <w:t>the views expressed are</w:t>
      </w:r>
      <w:r>
        <w:rPr>
          <w:rFonts w:ascii="Times New Roman" w:hAnsi="Times New Roman"/>
          <w:sz w:val="24"/>
          <w:szCs w:val="24"/>
        </w:rPr>
        <w:t xml:space="preserve"> </w:t>
      </w:r>
      <w:r w:rsidRPr="00AC5C49">
        <w:rPr>
          <w:rFonts w:ascii="Times New Roman" w:hAnsi="Times New Roman"/>
          <w:sz w:val="24"/>
          <w:szCs w:val="24"/>
        </w:rPr>
        <w:t>strictly my own</w:t>
      </w:r>
      <w:r>
        <w:rPr>
          <w:rFonts w:ascii="Times New Roman" w:hAnsi="Times New Roman"/>
          <w:sz w:val="24"/>
          <w:szCs w:val="24"/>
        </w:rPr>
        <w:t>’</w:t>
      </w:r>
      <w:r w:rsidRPr="00AC5C49">
        <w:rPr>
          <w:rFonts w:ascii="Times New Roman" w:hAnsi="Times New Roman"/>
          <w:sz w:val="24"/>
          <w:szCs w:val="24"/>
        </w:rPr>
        <w:t>), he would be entitled to a heavy (though</w:t>
      </w:r>
      <w:r>
        <w:rPr>
          <w:rFonts w:ascii="Times New Roman" w:hAnsi="Times New Roman"/>
          <w:sz w:val="24"/>
          <w:szCs w:val="24"/>
        </w:rPr>
        <w:t xml:space="preserve"> </w:t>
      </w:r>
      <w:r w:rsidRPr="00AC5C49">
        <w:rPr>
          <w:rFonts w:ascii="Times New Roman" w:hAnsi="Times New Roman"/>
          <w:sz w:val="24"/>
          <w:szCs w:val="24"/>
        </w:rPr>
        <w:t>not irrebuttable) presumption that all of the posts on his</w:t>
      </w:r>
      <w:r>
        <w:rPr>
          <w:rFonts w:ascii="Times New Roman" w:hAnsi="Times New Roman"/>
          <w:sz w:val="24"/>
          <w:szCs w:val="24"/>
        </w:rPr>
        <w:t xml:space="preserve"> </w:t>
      </w:r>
      <w:r w:rsidRPr="00AC5C49">
        <w:rPr>
          <w:rFonts w:ascii="Times New Roman" w:hAnsi="Times New Roman"/>
          <w:sz w:val="24"/>
          <w:szCs w:val="24"/>
        </w:rPr>
        <w:t>page were personal.</w:t>
      </w:r>
      <w:r>
        <w:rPr>
          <w:rFonts w:ascii="Times New Roman" w:hAnsi="Times New Roman"/>
          <w:sz w:val="24"/>
          <w:szCs w:val="24"/>
        </w:rPr>
        <w:t>”</w:t>
      </w:r>
    </w:p>
    <w:p w14:paraId="2B9F7538" w14:textId="77777777" w:rsidR="00B86628" w:rsidRDefault="00B86628" w:rsidP="00B86628">
      <w:pPr>
        <w:pStyle w:val="NormalWeb"/>
        <w:ind w:left="720"/>
      </w:pPr>
      <w:r>
        <w:t>The U.S. Supreme Court also decided a second case involving two school board members who used their FACEBOOK and TWITTER pages for official purposes. They were sued by parents who were blocked.  That case sent back to U.S. District Court in California.</w:t>
      </w:r>
      <w:r w:rsidRPr="00247024">
        <w:t xml:space="preserve"> </w:t>
      </w:r>
      <w:r w:rsidRPr="006472DD">
        <w:rPr>
          <w:u w:val="single"/>
        </w:rPr>
        <w:t xml:space="preserve">Michelle O’Connor-Ratcliff, et al. v. Christopher Garner, et </w:t>
      </w:r>
      <w:proofErr w:type="gramStart"/>
      <w:r w:rsidRPr="006472DD">
        <w:rPr>
          <w:u w:val="single"/>
        </w:rPr>
        <w:t>al</w:t>
      </w:r>
      <w:r>
        <w:t>,,</w:t>
      </w:r>
      <w:proofErr w:type="gramEnd"/>
      <w:r>
        <w:t xml:space="preserve"> </w:t>
      </w:r>
      <w:hyperlink r:id="rId156" w:history="1">
        <w:r w:rsidRPr="007616D4">
          <w:rPr>
            <w:rStyle w:val="Hyperlink"/>
          </w:rPr>
          <w:t>https://www.supremecourt.gov/opinions/23pdf/22-324_09m1.pdf</w:t>
        </w:r>
      </w:hyperlink>
      <w:r>
        <w:t xml:space="preserve">  </w:t>
      </w:r>
    </w:p>
    <w:p w14:paraId="1F60BC56" w14:textId="77777777" w:rsidR="00B86628" w:rsidRDefault="00B86628" w:rsidP="00B86628">
      <w:pPr>
        <w:pStyle w:val="NormalWeb"/>
        <w:ind w:left="720"/>
      </w:pPr>
    </w:p>
    <w:p w14:paraId="0583AF64" w14:textId="77777777" w:rsidR="00B86628" w:rsidRDefault="00B86628" w:rsidP="00F326E5">
      <w:pPr>
        <w:pStyle w:val="NoSpacing"/>
        <w:rPr>
          <w:rFonts w:ascii="Arial Black" w:hAnsi="Arial Black"/>
          <w:sz w:val="24"/>
          <w:szCs w:val="24"/>
        </w:rPr>
      </w:pPr>
    </w:p>
    <w:p w14:paraId="6AABBA4F" w14:textId="77777777" w:rsidR="00B86628" w:rsidRDefault="00B86628" w:rsidP="00F326E5">
      <w:pPr>
        <w:pStyle w:val="NoSpacing"/>
        <w:rPr>
          <w:rFonts w:ascii="Arial Black" w:hAnsi="Arial Black"/>
          <w:sz w:val="24"/>
          <w:szCs w:val="24"/>
        </w:rPr>
      </w:pPr>
    </w:p>
    <w:p w14:paraId="71523ECF" w14:textId="660F0E7D" w:rsidR="00991260" w:rsidRDefault="00991260" w:rsidP="00F326E5">
      <w:pPr>
        <w:pStyle w:val="NoSpacing"/>
        <w:rPr>
          <w:rFonts w:ascii="Arial Black" w:hAnsi="Arial Black"/>
          <w:sz w:val="24"/>
          <w:szCs w:val="24"/>
        </w:rPr>
      </w:pPr>
      <w:r>
        <w:rPr>
          <w:rFonts w:ascii="Arial Black" w:hAnsi="Arial Black"/>
          <w:sz w:val="24"/>
          <w:szCs w:val="24"/>
        </w:rPr>
        <w:t>1-145</w:t>
      </w:r>
    </w:p>
    <w:p w14:paraId="1DAF82AC" w14:textId="77777777" w:rsidR="00493015" w:rsidRDefault="00493015" w:rsidP="00F326E5">
      <w:pPr>
        <w:pStyle w:val="NoSpacing"/>
        <w:rPr>
          <w:rFonts w:ascii="Arial Black" w:hAnsi="Arial Black"/>
          <w:sz w:val="24"/>
          <w:szCs w:val="24"/>
        </w:rPr>
      </w:pPr>
    </w:p>
    <w:p w14:paraId="31391EAF" w14:textId="77777777" w:rsidR="00493015" w:rsidRDefault="00493015" w:rsidP="00493015">
      <w:pPr>
        <w:pStyle w:val="NoSpacing"/>
        <w:rPr>
          <w:rFonts w:ascii="Arial Black" w:hAnsi="Arial Black"/>
          <w:sz w:val="28"/>
          <w:szCs w:val="28"/>
        </w:rPr>
      </w:pPr>
      <w:r>
        <w:rPr>
          <w:rFonts w:ascii="Arial Black" w:hAnsi="Arial Black"/>
          <w:sz w:val="28"/>
          <w:szCs w:val="28"/>
        </w:rPr>
        <w:t>MI: FIREWORKS – CITATION / $150 FINE SET ASIDE – CITY CAN’T REQ. STORE GIVE OUT FLYER ON STATE / FED. LAWS</w:t>
      </w:r>
    </w:p>
    <w:p w14:paraId="775ADC90" w14:textId="77777777" w:rsidR="00493015" w:rsidRDefault="00493015" w:rsidP="00493015">
      <w:pPr>
        <w:pStyle w:val="NoSpacing"/>
        <w:rPr>
          <w:rFonts w:ascii="Arial Black" w:hAnsi="Arial Black"/>
          <w:sz w:val="28"/>
          <w:szCs w:val="28"/>
        </w:rPr>
      </w:pPr>
    </w:p>
    <w:p w14:paraId="73CC7AF8" w14:textId="77777777" w:rsidR="00493015" w:rsidRDefault="00493015" w:rsidP="00493015">
      <w:pPr>
        <w:pStyle w:val="NoSpacing"/>
        <w:rPr>
          <w:rFonts w:ascii="Times New Roman" w:hAnsi="Times New Roman"/>
          <w:sz w:val="24"/>
          <w:szCs w:val="24"/>
        </w:rPr>
      </w:pPr>
      <w:r>
        <w:rPr>
          <w:rFonts w:ascii="Times New Roman" w:hAnsi="Times New Roman"/>
          <w:sz w:val="24"/>
          <w:szCs w:val="24"/>
        </w:rPr>
        <w:t xml:space="preserve">On Feb. 15, 2024, </w:t>
      </w:r>
      <w:r w:rsidRPr="0001598C">
        <w:rPr>
          <w:rFonts w:ascii="Times New Roman" w:hAnsi="Times New Roman"/>
          <w:sz w:val="24"/>
          <w:szCs w:val="24"/>
          <w:u w:val="single"/>
        </w:rPr>
        <w:t>in People of the City of Sterling Heights v. Robert Bahke</w:t>
      </w:r>
      <w:r>
        <w:rPr>
          <w:rFonts w:ascii="Times New Roman" w:hAnsi="Times New Roman"/>
          <w:sz w:val="24"/>
          <w:szCs w:val="24"/>
        </w:rPr>
        <w:t xml:space="preserve">, the Court of Appeals of Michigan held (3 to 0) that the fireworks Safety Act preempts city ordinance because the ordinance directly with the state </w:t>
      </w:r>
      <w:r>
        <w:rPr>
          <w:rFonts w:ascii="Times New Roman" w:hAnsi="Times New Roman"/>
          <w:sz w:val="24"/>
          <w:szCs w:val="24"/>
        </w:rPr>
        <w:lastRenderedPageBreak/>
        <w:t xml:space="preserve">law; the Manager of Pro Fireworks store won this appeal after </w:t>
      </w:r>
      <w:proofErr w:type="spellStart"/>
      <w:r>
        <w:rPr>
          <w:rFonts w:ascii="Times New Roman" w:hAnsi="Times New Roman"/>
          <w:sz w:val="24"/>
          <w:szCs w:val="24"/>
        </w:rPr>
        <w:t>loosing</w:t>
      </w:r>
      <w:proofErr w:type="spellEnd"/>
      <w:r>
        <w:rPr>
          <w:rFonts w:ascii="Times New Roman" w:hAnsi="Times New Roman"/>
          <w:sz w:val="24"/>
          <w:szCs w:val="24"/>
        </w:rPr>
        <w:t xml:space="preserve"> before a City Magistrate, a District Court judge and a Circuit Court. </w:t>
      </w:r>
    </w:p>
    <w:p w14:paraId="7EE9D711" w14:textId="77777777" w:rsidR="009A27F2" w:rsidRDefault="009A27F2" w:rsidP="009A27F2">
      <w:pPr>
        <w:pStyle w:val="NoSpacing"/>
        <w:rPr>
          <w:rFonts w:ascii="Times New Roman" w:hAnsi="Times New Roman"/>
          <w:sz w:val="24"/>
          <w:szCs w:val="24"/>
          <w:shd w:val="clear" w:color="auto" w:fill="FFFFFF"/>
        </w:rPr>
      </w:pPr>
    </w:p>
    <w:p w14:paraId="477EC6CA" w14:textId="4D097567" w:rsidR="009A27F2" w:rsidRPr="004C0299" w:rsidRDefault="009A27F2" w:rsidP="009A27F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7498F8EF" w14:textId="77777777" w:rsidR="00493015" w:rsidRDefault="00493015" w:rsidP="00493015">
      <w:pPr>
        <w:pStyle w:val="NoSpacing"/>
        <w:rPr>
          <w:rFonts w:ascii="Times New Roman" w:hAnsi="Times New Roman"/>
          <w:sz w:val="24"/>
          <w:szCs w:val="24"/>
        </w:rPr>
      </w:pPr>
    </w:p>
    <w:p w14:paraId="2B92CF41" w14:textId="77777777" w:rsidR="00493015" w:rsidRPr="00B71C19" w:rsidRDefault="00493015" w:rsidP="00493015">
      <w:pPr>
        <w:pStyle w:val="NoSpacing"/>
        <w:ind w:left="720"/>
        <w:rPr>
          <w:rFonts w:ascii="Times New Roman" w:hAnsi="Times New Roman"/>
          <w:sz w:val="24"/>
          <w:szCs w:val="24"/>
        </w:rPr>
      </w:pPr>
      <w:r>
        <w:rPr>
          <w:rFonts w:ascii="Times New Roman" w:hAnsi="Times New Roman"/>
          <w:sz w:val="24"/>
          <w:szCs w:val="24"/>
        </w:rPr>
        <w:t>“</w:t>
      </w:r>
      <w:r w:rsidRPr="00B71C19">
        <w:rPr>
          <w:rFonts w:ascii="Times New Roman" w:hAnsi="Times New Roman"/>
          <w:sz w:val="24"/>
          <w:szCs w:val="24"/>
        </w:rPr>
        <w:t xml:space="preserve">Defendant argues that the Michigan Fireworks Safety Act (MFSA), MCL 28.457, preempts </w:t>
      </w:r>
      <w:proofErr w:type="gramStart"/>
      <w:r w:rsidRPr="00B71C19">
        <w:rPr>
          <w:rFonts w:ascii="Times New Roman" w:hAnsi="Times New Roman"/>
          <w:sz w:val="24"/>
          <w:szCs w:val="24"/>
        </w:rPr>
        <w:t>plaintiffs</w:t>
      </w:r>
      <w:proofErr w:type="gramEnd"/>
      <w:r w:rsidRPr="00B71C19">
        <w:rPr>
          <w:rFonts w:ascii="Times New Roman" w:hAnsi="Times New Roman"/>
          <w:sz w:val="24"/>
          <w:szCs w:val="24"/>
        </w:rPr>
        <w:t xml:space="preserve"> ordinance because the ordinance directly conflicts with the statute and because the field of fireworks sales was exclusively occupied by the state. We agree that the ordinance directly conflicts with the statute and is therefore preempted by state </w:t>
      </w:r>
      <w:proofErr w:type="gramStart"/>
      <w:r w:rsidRPr="00B71C19">
        <w:rPr>
          <w:rFonts w:ascii="Times New Roman" w:hAnsi="Times New Roman"/>
          <w:sz w:val="24"/>
          <w:szCs w:val="24"/>
        </w:rPr>
        <w:t>law.</w:t>
      </w:r>
      <w:r>
        <w:rPr>
          <w:rFonts w:ascii="Times New Roman" w:hAnsi="Times New Roman"/>
          <w:sz w:val="24"/>
          <w:szCs w:val="24"/>
        </w:rPr>
        <w:t>”</w:t>
      </w:r>
      <w:proofErr w:type="gramEnd"/>
      <w:r>
        <w:rPr>
          <w:rFonts w:ascii="Times New Roman" w:hAnsi="Times New Roman"/>
          <w:sz w:val="24"/>
          <w:szCs w:val="24"/>
        </w:rPr>
        <w:t xml:space="preserve"> </w:t>
      </w:r>
      <w:hyperlink r:id="rId157" w:history="1">
        <w:r w:rsidRPr="00644350">
          <w:rPr>
            <w:rStyle w:val="Hyperlink"/>
            <w:rFonts w:ascii="Times New Roman" w:hAnsi="Times New Roman"/>
            <w:sz w:val="24"/>
            <w:szCs w:val="24"/>
          </w:rPr>
          <w:t>https://cases.justia.com/michigan/court-of-appeals-published/2024-364264.pdf?ts=1708092018</w:t>
        </w:r>
      </w:hyperlink>
      <w:r>
        <w:rPr>
          <w:rFonts w:ascii="Times New Roman" w:hAnsi="Times New Roman"/>
          <w:sz w:val="24"/>
          <w:szCs w:val="24"/>
        </w:rPr>
        <w:t xml:space="preserve"> </w:t>
      </w:r>
    </w:p>
    <w:p w14:paraId="22FB8BC0" w14:textId="77777777" w:rsidR="00493015" w:rsidRPr="003A172A" w:rsidRDefault="00493015" w:rsidP="00493015">
      <w:pPr>
        <w:spacing w:after="100" w:line="240" w:lineRule="auto"/>
        <w:ind w:left="4320"/>
        <w:rPr>
          <w:rFonts w:ascii="Times New Roman" w:eastAsia="Times New Roman" w:hAnsi="Times New Roman"/>
          <w:sz w:val="24"/>
          <w:szCs w:val="24"/>
        </w:rPr>
      </w:pPr>
    </w:p>
    <w:p w14:paraId="272CFFF2" w14:textId="77777777" w:rsidR="00493015" w:rsidRPr="00941B8F" w:rsidRDefault="00493015" w:rsidP="00493015">
      <w:pPr>
        <w:pStyle w:val="NoSpacing"/>
        <w:ind w:left="720"/>
        <w:rPr>
          <w:rFonts w:ascii="Times New Roman" w:hAnsi="Times New Roman"/>
          <w:b/>
          <w:bCs/>
          <w:sz w:val="24"/>
          <w:szCs w:val="24"/>
        </w:rPr>
      </w:pPr>
      <w:r>
        <w:rPr>
          <w:rFonts w:ascii="Times New Roman" w:hAnsi="Times New Roman"/>
          <w:b/>
          <w:bCs/>
          <w:sz w:val="24"/>
          <w:szCs w:val="24"/>
        </w:rPr>
        <w:t xml:space="preserve">Legal Lesson Learned:  Cities and other municipalities may still have ordinances on hours when fireworks may be set off in that community. </w:t>
      </w:r>
    </w:p>
    <w:p w14:paraId="0463AD6D" w14:textId="77777777" w:rsidR="00493015" w:rsidRDefault="00493015" w:rsidP="00493015">
      <w:pPr>
        <w:pStyle w:val="NormalWeb"/>
      </w:pPr>
    </w:p>
    <w:p w14:paraId="106C9913" w14:textId="77777777" w:rsidR="00493015" w:rsidRDefault="00493015" w:rsidP="00F326E5">
      <w:pPr>
        <w:pStyle w:val="NoSpacing"/>
        <w:rPr>
          <w:rFonts w:ascii="Arial Black" w:hAnsi="Arial Black"/>
          <w:sz w:val="24"/>
          <w:szCs w:val="24"/>
        </w:rPr>
      </w:pPr>
    </w:p>
    <w:p w14:paraId="75C38513" w14:textId="77777777" w:rsidR="00991260" w:rsidRDefault="00991260" w:rsidP="00F326E5">
      <w:pPr>
        <w:pStyle w:val="NoSpacing"/>
        <w:rPr>
          <w:rFonts w:ascii="Arial Black" w:hAnsi="Arial Black"/>
          <w:sz w:val="24"/>
          <w:szCs w:val="24"/>
        </w:rPr>
      </w:pPr>
    </w:p>
    <w:p w14:paraId="2078751E" w14:textId="7B40888D" w:rsidR="007F1354" w:rsidRDefault="007F1354" w:rsidP="00F326E5">
      <w:pPr>
        <w:pStyle w:val="NoSpacing"/>
        <w:rPr>
          <w:rFonts w:ascii="Arial Black" w:hAnsi="Arial Black"/>
          <w:sz w:val="24"/>
          <w:szCs w:val="24"/>
        </w:rPr>
      </w:pPr>
      <w:r>
        <w:rPr>
          <w:rFonts w:ascii="Arial Black" w:hAnsi="Arial Black"/>
          <w:sz w:val="24"/>
          <w:szCs w:val="24"/>
        </w:rPr>
        <w:t>1-144</w:t>
      </w:r>
    </w:p>
    <w:p w14:paraId="6017C4A2" w14:textId="77777777" w:rsidR="003A1658" w:rsidRDefault="003A1658" w:rsidP="00F326E5">
      <w:pPr>
        <w:pStyle w:val="NoSpacing"/>
        <w:rPr>
          <w:rFonts w:ascii="Arial Black" w:hAnsi="Arial Black"/>
          <w:sz w:val="24"/>
          <w:szCs w:val="24"/>
        </w:rPr>
      </w:pPr>
    </w:p>
    <w:p w14:paraId="16E478D6" w14:textId="77777777" w:rsidR="003A1658" w:rsidRDefault="003A1658" w:rsidP="003A1658">
      <w:pPr>
        <w:pStyle w:val="NormalWeb"/>
        <w:rPr>
          <w:rFonts w:ascii="Arial Black" w:hAnsi="Arial Black"/>
          <w:sz w:val="28"/>
          <w:szCs w:val="28"/>
        </w:rPr>
      </w:pPr>
      <w:r>
        <w:rPr>
          <w:rFonts w:ascii="Arial Black" w:hAnsi="Arial Black"/>
          <w:sz w:val="28"/>
          <w:szCs w:val="28"/>
        </w:rPr>
        <w:t>IL:  HOUSE FIRE – CITY “EMERGENCY DEMOLISH ORDER” - FAILURE NOTIFY HOMEOWNER – LAWSUIT TO PROCEED</w:t>
      </w:r>
    </w:p>
    <w:p w14:paraId="55FC6635" w14:textId="77777777" w:rsidR="003A1658" w:rsidRDefault="003A1658" w:rsidP="003A1658">
      <w:pPr>
        <w:pStyle w:val="NormalWeb"/>
      </w:pPr>
      <w:r>
        <w:t xml:space="preserve">On Jan. 25, 2024, in </w:t>
      </w:r>
      <w:r w:rsidRPr="00F208D4">
        <w:rPr>
          <w:u w:val="single"/>
        </w:rPr>
        <w:t xml:space="preserve">Rosie Houston, et al. v. City of Houston, et </w:t>
      </w:r>
      <w:r>
        <w:rPr>
          <w:u w:val="single"/>
        </w:rPr>
        <w:t>a</w:t>
      </w:r>
      <w:r w:rsidRPr="00F208D4">
        <w:rPr>
          <w:u w:val="single"/>
        </w:rPr>
        <w:t>l</w:t>
      </w:r>
      <w:r>
        <w:t>., U.S. District Court Judge Jeremy C. Daniel, U.S. District Court for Northern District of Illinois (Eastern Division) denied the City’s motion to dismiss the lawsuit.</w:t>
      </w:r>
    </w:p>
    <w:p w14:paraId="77243181" w14:textId="77777777" w:rsidR="009A27F2" w:rsidRPr="004C0299" w:rsidRDefault="009A27F2" w:rsidP="009A27F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EE9EF7F" w14:textId="77777777" w:rsidR="003A1658" w:rsidRDefault="003A1658" w:rsidP="003A1658">
      <w:pPr>
        <w:pStyle w:val="NormalWeb"/>
        <w:ind w:left="720"/>
      </w:pPr>
      <w:r>
        <w:t>“[P]</w:t>
      </w:r>
      <w:proofErr w:type="spellStart"/>
      <w:r>
        <w:t>laintiffs</w:t>
      </w:r>
      <w:proofErr w:type="spellEnd"/>
      <w:r>
        <w:t>' Fourth Amendment claim may therefore proceed against Defendants City of Chicago, Frydland, Herrera, and Ficco.</w:t>
      </w:r>
    </w:p>
    <w:p w14:paraId="7F95B8B8" w14:textId="77777777" w:rsidR="003A1658" w:rsidRDefault="003A1658" w:rsidP="003A1658">
      <w:pPr>
        <w:pStyle w:val="NoSpacing"/>
        <w:ind w:firstLine="720"/>
        <w:rPr>
          <w:rFonts w:ascii="Times New Roman" w:hAnsi="Times New Roman"/>
          <w:sz w:val="24"/>
          <w:szCs w:val="24"/>
        </w:rPr>
      </w:pPr>
      <w:r>
        <w:rPr>
          <w:rFonts w:ascii="Times New Roman" w:hAnsi="Times New Roman"/>
          <w:sz w:val="24"/>
          <w:szCs w:val="24"/>
        </w:rPr>
        <w:t>***</w:t>
      </w:r>
    </w:p>
    <w:p w14:paraId="2DDC6607" w14:textId="77777777" w:rsidR="003A1658" w:rsidRDefault="003A1658" w:rsidP="003A1658">
      <w:pPr>
        <w:pStyle w:val="NoSpacing"/>
        <w:ind w:firstLine="720"/>
        <w:rPr>
          <w:rFonts w:ascii="Times New Roman" w:hAnsi="Times New Roman"/>
          <w:sz w:val="24"/>
          <w:szCs w:val="24"/>
        </w:rPr>
      </w:pPr>
    </w:p>
    <w:p w14:paraId="7B42E5B1" w14:textId="77777777" w:rsidR="003A1658" w:rsidRPr="005B427D" w:rsidRDefault="003A1658" w:rsidP="003A1658">
      <w:pPr>
        <w:pStyle w:val="NoSpacing"/>
        <w:ind w:firstLine="720"/>
        <w:rPr>
          <w:rFonts w:ascii="Times New Roman" w:hAnsi="Times New Roman"/>
          <w:sz w:val="24"/>
          <w:szCs w:val="24"/>
        </w:rPr>
      </w:pPr>
      <w:r w:rsidRPr="005B427D">
        <w:rPr>
          <w:rFonts w:ascii="Times New Roman" w:hAnsi="Times New Roman"/>
          <w:sz w:val="24"/>
          <w:szCs w:val="24"/>
        </w:rPr>
        <w:t>The defendants’ argument is unavailing because it ignores allegations that the</w:t>
      </w:r>
    </w:p>
    <w:p w14:paraId="5072BE9F" w14:textId="77777777" w:rsidR="003A1658" w:rsidRPr="005B427D" w:rsidRDefault="003A1658" w:rsidP="003A1658">
      <w:pPr>
        <w:pStyle w:val="NoSpacing"/>
        <w:ind w:firstLine="720"/>
        <w:rPr>
          <w:rFonts w:ascii="Times New Roman" w:hAnsi="Times New Roman"/>
          <w:sz w:val="24"/>
          <w:szCs w:val="24"/>
        </w:rPr>
      </w:pPr>
      <w:r w:rsidRPr="005B427D">
        <w:rPr>
          <w:rFonts w:ascii="Times New Roman" w:hAnsi="Times New Roman"/>
          <w:sz w:val="24"/>
          <w:szCs w:val="24"/>
        </w:rPr>
        <w:t>demolition was not random or unpredictable at all, but an entirely predictable</w:t>
      </w:r>
    </w:p>
    <w:p w14:paraId="5D07B566" w14:textId="77777777" w:rsidR="003A1658" w:rsidRPr="005B427D" w:rsidRDefault="003A1658" w:rsidP="003A1658">
      <w:pPr>
        <w:pStyle w:val="NoSpacing"/>
        <w:ind w:firstLine="720"/>
        <w:rPr>
          <w:rFonts w:ascii="Times New Roman" w:hAnsi="Times New Roman"/>
          <w:sz w:val="24"/>
          <w:szCs w:val="24"/>
        </w:rPr>
      </w:pPr>
      <w:r w:rsidRPr="005B427D">
        <w:rPr>
          <w:rFonts w:ascii="Times New Roman" w:hAnsi="Times New Roman"/>
          <w:sz w:val="24"/>
          <w:szCs w:val="24"/>
        </w:rPr>
        <w:t>deprivation that occurred pursuant to state procedures. Specifically, the complaint</w:t>
      </w:r>
    </w:p>
    <w:p w14:paraId="0BC6E984" w14:textId="77777777" w:rsidR="003A1658" w:rsidRPr="005B427D" w:rsidRDefault="003A1658" w:rsidP="003A1658">
      <w:pPr>
        <w:pStyle w:val="NoSpacing"/>
        <w:ind w:left="720"/>
        <w:rPr>
          <w:rFonts w:ascii="Times New Roman" w:hAnsi="Times New Roman"/>
          <w:sz w:val="24"/>
          <w:szCs w:val="24"/>
        </w:rPr>
      </w:pPr>
      <w:r w:rsidRPr="005B427D">
        <w:rPr>
          <w:rFonts w:ascii="Times New Roman" w:hAnsi="Times New Roman"/>
          <w:sz w:val="24"/>
          <w:szCs w:val="24"/>
        </w:rPr>
        <w:t>states that Herrera, while acting under the color of law and within the scope of his</w:t>
      </w:r>
    </w:p>
    <w:p w14:paraId="68F93029" w14:textId="77777777" w:rsidR="003A1658" w:rsidRPr="005B427D" w:rsidRDefault="003A1658" w:rsidP="003A1658">
      <w:pPr>
        <w:pStyle w:val="NoSpacing"/>
        <w:ind w:firstLine="720"/>
        <w:rPr>
          <w:rFonts w:ascii="Times New Roman" w:hAnsi="Times New Roman"/>
          <w:sz w:val="24"/>
          <w:szCs w:val="24"/>
        </w:rPr>
      </w:pPr>
      <w:proofErr w:type="gramStart"/>
      <w:r w:rsidRPr="005B427D">
        <w:rPr>
          <w:rFonts w:ascii="Times New Roman" w:hAnsi="Times New Roman"/>
          <w:sz w:val="24"/>
          <w:szCs w:val="24"/>
        </w:rPr>
        <w:t xml:space="preserve">employment, </w:t>
      </w:r>
      <w:r>
        <w:rPr>
          <w:rFonts w:ascii="Times New Roman" w:hAnsi="Times New Roman"/>
          <w:sz w:val="24"/>
          <w:szCs w:val="24"/>
        </w:rPr>
        <w:t>‘</w:t>
      </w:r>
      <w:proofErr w:type="gramEnd"/>
      <w:r w:rsidRPr="005B427D">
        <w:rPr>
          <w:rFonts w:ascii="Times New Roman" w:hAnsi="Times New Roman"/>
          <w:sz w:val="24"/>
          <w:szCs w:val="24"/>
        </w:rPr>
        <w:t>caused a Permit for a Demolition Application to [be] issued to Delta</w:t>
      </w:r>
    </w:p>
    <w:p w14:paraId="3AB9927A" w14:textId="77777777" w:rsidR="003A1658" w:rsidRDefault="003A1658" w:rsidP="003A1658">
      <w:pPr>
        <w:pStyle w:val="NoSpacing"/>
        <w:ind w:left="720"/>
      </w:pPr>
      <w:r w:rsidRPr="005B427D">
        <w:rPr>
          <w:rFonts w:ascii="Times New Roman" w:hAnsi="Times New Roman"/>
          <w:sz w:val="24"/>
          <w:szCs w:val="24"/>
        </w:rPr>
        <w:t>Demolition.</w:t>
      </w:r>
      <w:r>
        <w:rPr>
          <w:rFonts w:ascii="Times New Roman" w:hAnsi="Times New Roman"/>
          <w:sz w:val="24"/>
          <w:szCs w:val="24"/>
        </w:rPr>
        <w:t xml:space="preserve">’ </w:t>
      </w:r>
      <w:r w:rsidRPr="005B427D">
        <w:rPr>
          <w:rFonts w:ascii="Times New Roman" w:hAnsi="Times New Roman"/>
          <w:sz w:val="24"/>
          <w:szCs w:val="24"/>
        </w:rPr>
        <w:t>The demolition permit was thereafter issued, and the</w:t>
      </w:r>
      <w:r>
        <w:rPr>
          <w:rFonts w:ascii="Times New Roman" w:hAnsi="Times New Roman"/>
          <w:sz w:val="24"/>
          <w:szCs w:val="24"/>
        </w:rPr>
        <w:t xml:space="preserve"> </w:t>
      </w:r>
      <w:r w:rsidRPr="005B427D">
        <w:rPr>
          <w:rFonts w:ascii="Times New Roman" w:hAnsi="Times New Roman"/>
          <w:sz w:val="24"/>
          <w:szCs w:val="24"/>
        </w:rPr>
        <w:t>defendants demolished the plaintiffs’ home. Further, the complaint</w:t>
      </w:r>
      <w:r>
        <w:rPr>
          <w:rFonts w:ascii="Times New Roman" w:hAnsi="Times New Roman"/>
          <w:sz w:val="24"/>
          <w:szCs w:val="24"/>
        </w:rPr>
        <w:t xml:space="preserve"> </w:t>
      </w:r>
      <w:r w:rsidRPr="005B427D">
        <w:rPr>
          <w:rFonts w:ascii="Times New Roman" w:hAnsi="Times New Roman"/>
          <w:sz w:val="24"/>
          <w:szCs w:val="24"/>
        </w:rPr>
        <w:t>explains that an emergency demolition permit may only properly occur after (1)</w:t>
      </w:r>
      <w:r>
        <w:rPr>
          <w:rFonts w:ascii="Times New Roman" w:hAnsi="Times New Roman"/>
          <w:sz w:val="24"/>
          <w:szCs w:val="24"/>
        </w:rPr>
        <w:t xml:space="preserve"> </w:t>
      </w:r>
      <w:r w:rsidRPr="005B427D">
        <w:rPr>
          <w:rFonts w:ascii="Times New Roman" w:hAnsi="Times New Roman"/>
          <w:sz w:val="24"/>
          <w:szCs w:val="24"/>
        </w:rPr>
        <w:t>seeking an affidavit from the owner authorizing the demolition; (2) alternatively,</w:t>
      </w:r>
      <w:r>
        <w:rPr>
          <w:rFonts w:ascii="Times New Roman" w:hAnsi="Times New Roman"/>
          <w:sz w:val="24"/>
          <w:szCs w:val="24"/>
        </w:rPr>
        <w:t xml:space="preserve"> </w:t>
      </w:r>
      <w:r w:rsidRPr="005B427D">
        <w:rPr>
          <w:rFonts w:ascii="Times New Roman" w:hAnsi="Times New Roman"/>
          <w:sz w:val="24"/>
          <w:szCs w:val="24"/>
        </w:rPr>
        <w:t>serving the owner with notice of the demolition via certified mail, and (3) posting a</w:t>
      </w:r>
      <w:r>
        <w:rPr>
          <w:rFonts w:ascii="Times New Roman" w:hAnsi="Times New Roman"/>
          <w:sz w:val="24"/>
          <w:szCs w:val="24"/>
        </w:rPr>
        <w:t xml:space="preserve"> </w:t>
      </w:r>
      <w:r w:rsidRPr="005B427D">
        <w:rPr>
          <w:rFonts w:ascii="Times New Roman" w:hAnsi="Times New Roman"/>
          <w:sz w:val="24"/>
          <w:szCs w:val="24"/>
        </w:rPr>
        <w:t>sign no smaller than two feet by three feet stating that the property will be</w:t>
      </w:r>
      <w:r>
        <w:rPr>
          <w:rFonts w:ascii="Times New Roman" w:hAnsi="Times New Roman"/>
          <w:sz w:val="24"/>
          <w:szCs w:val="24"/>
        </w:rPr>
        <w:t xml:space="preserve"> </w:t>
      </w:r>
      <w:r w:rsidRPr="005B427D">
        <w:rPr>
          <w:rFonts w:ascii="Times New Roman" w:hAnsi="Times New Roman"/>
          <w:sz w:val="24"/>
          <w:szCs w:val="24"/>
        </w:rPr>
        <w:t>demolished within three days, but alleges that it was the City’s routine practice not</w:t>
      </w:r>
      <w:r>
        <w:rPr>
          <w:rFonts w:ascii="Times New Roman" w:hAnsi="Times New Roman"/>
          <w:sz w:val="24"/>
          <w:szCs w:val="24"/>
        </w:rPr>
        <w:t xml:space="preserve"> </w:t>
      </w:r>
      <w:r w:rsidRPr="005B427D">
        <w:rPr>
          <w:rFonts w:ascii="Times New Roman" w:hAnsi="Times New Roman"/>
          <w:sz w:val="24"/>
          <w:szCs w:val="24"/>
        </w:rPr>
        <w:t>to follow these procedures.</w:t>
      </w:r>
      <w:r>
        <w:rPr>
          <w:rFonts w:ascii="Times New Roman" w:hAnsi="Times New Roman"/>
          <w:sz w:val="24"/>
          <w:szCs w:val="24"/>
        </w:rPr>
        <w:t xml:space="preserve">” </w:t>
      </w:r>
      <w:hyperlink r:id="rId158" w:history="1">
        <w:r w:rsidRPr="00D46FE0">
          <w:rPr>
            <w:rStyle w:val="Hyperlink"/>
          </w:rPr>
          <w:t>https://cases.justia.com/federal/district-courts/illinois/ilndce/1:2020cv06720/393181/97/0.pdf?ts=1706261425</w:t>
        </w:r>
      </w:hyperlink>
      <w:r>
        <w:t xml:space="preserve"> </w:t>
      </w:r>
    </w:p>
    <w:p w14:paraId="355EF4DC" w14:textId="77777777" w:rsidR="003A1658" w:rsidRDefault="003A1658" w:rsidP="00F326E5">
      <w:pPr>
        <w:pStyle w:val="NoSpacing"/>
        <w:rPr>
          <w:rFonts w:ascii="Arial Black" w:hAnsi="Arial Black"/>
          <w:sz w:val="24"/>
          <w:szCs w:val="24"/>
        </w:rPr>
      </w:pPr>
    </w:p>
    <w:p w14:paraId="4CFE3D62" w14:textId="77777777" w:rsidR="00A21A2D" w:rsidRPr="00AF656D" w:rsidRDefault="00A21A2D" w:rsidP="00A21A2D">
      <w:pPr>
        <w:pStyle w:val="NormalWeb"/>
        <w:rPr>
          <w:b/>
          <w:bCs/>
        </w:rPr>
      </w:pPr>
      <w:r w:rsidRPr="00AF656D">
        <w:rPr>
          <w:b/>
          <w:bCs/>
        </w:rPr>
        <w:lastRenderedPageBreak/>
        <w:t xml:space="preserve">Legal Lesson Learned: </w:t>
      </w:r>
      <w:r>
        <w:rPr>
          <w:b/>
          <w:bCs/>
        </w:rPr>
        <w:t xml:space="preserve"> In an emergency demolition, personally serve homeowner with demolition order whenever possible. </w:t>
      </w:r>
    </w:p>
    <w:p w14:paraId="078323BA" w14:textId="77777777" w:rsidR="00A21A2D" w:rsidRDefault="00A21A2D" w:rsidP="00F326E5">
      <w:pPr>
        <w:pStyle w:val="NoSpacing"/>
        <w:rPr>
          <w:rFonts w:ascii="Arial Black" w:hAnsi="Arial Black"/>
          <w:sz w:val="24"/>
          <w:szCs w:val="24"/>
        </w:rPr>
      </w:pPr>
    </w:p>
    <w:p w14:paraId="3631163F" w14:textId="77777777" w:rsidR="007F1354" w:rsidRDefault="007F1354" w:rsidP="00F326E5">
      <w:pPr>
        <w:pStyle w:val="NoSpacing"/>
        <w:rPr>
          <w:rFonts w:ascii="Arial Black" w:hAnsi="Arial Black"/>
          <w:sz w:val="24"/>
          <w:szCs w:val="24"/>
        </w:rPr>
      </w:pPr>
    </w:p>
    <w:p w14:paraId="72A194C9" w14:textId="77777777" w:rsidR="007F1354" w:rsidRDefault="007F1354" w:rsidP="00F326E5">
      <w:pPr>
        <w:pStyle w:val="NoSpacing"/>
        <w:rPr>
          <w:rFonts w:ascii="Arial Black" w:hAnsi="Arial Black"/>
          <w:sz w:val="24"/>
          <w:szCs w:val="24"/>
        </w:rPr>
      </w:pPr>
    </w:p>
    <w:p w14:paraId="6A05FDE0" w14:textId="142F38C5" w:rsidR="009B2B83" w:rsidRDefault="009B2B83" w:rsidP="00F326E5">
      <w:pPr>
        <w:pStyle w:val="NoSpacing"/>
        <w:rPr>
          <w:rFonts w:ascii="Arial Black" w:hAnsi="Arial Black"/>
          <w:sz w:val="24"/>
          <w:szCs w:val="24"/>
        </w:rPr>
      </w:pPr>
      <w:r>
        <w:rPr>
          <w:rFonts w:ascii="Arial Black" w:hAnsi="Arial Black"/>
          <w:sz w:val="24"/>
          <w:szCs w:val="24"/>
        </w:rPr>
        <w:t>1-143</w:t>
      </w:r>
    </w:p>
    <w:p w14:paraId="06372553" w14:textId="77777777" w:rsidR="00BF3437" w:rsidRPr="00666238" w:rsidRDefault="00BF3437" w:rsidP="00BF3437">
      <w:pPr>
        <w:pStyle w:val="Heading1"/>
        <w:rPr>
          <w:rFonts w:ascii="Arial Black" w:hAnsi="Arial Black"/>
          <w:sz w:val="28"/>
          <w:szCs w:val="28"/>
        </w:rPr>
      </w:pPr>
      <w:r>
        <w:rPr>
          <w:rFonts w:ascii="Arial Black" w:hAnsi="Arial Black"/>
          <w:sz w:val="28"/>
          <w:szCs w:val="28"/>
        </w:rPr>
        <w:t>WI: ARSON CONV. UPHELD – COMMENTS AT SCENE TO INCIDENT COMMANDER – FIRES IN TWO LOCATIONS</w:t>
      </w:r>
    </w:p>
    <w:p w14:paraId="0C9FA424" w14:textId="77777777" w:rsidR="00BF3437" w:rsidRDefault="00BF3437" w:rsidP="00BF3437">
      <w:pPr>
        <w:pStyle w:val="Heading1"/>
        <w:rPr>
          <w:b w:val="0"/>
          <w:bCs w:val="0"/>
          <w:sz w:val="24"/>
          <w:szCs w:val="24"/>
        </w:rPr>
      </w:pPr>
      <w:r>
        <w:rPr>
          <w:b w:val="0"/>
          <w:bCs w:val="0"/>
          <w:sz w:val="24"/>
          <w:szCs w:val="24"/>
        </w:rPr>
        <w:t xml:space="preserve">On Jan. 23, 2024, in </w:t>
      </w:r>
      <w:r w:rsidRPr="00510D50">
        <w:rPr>
          <w:b w:val="0"/>
          <w:bCs w:val="0"/>
          <w:sz w:val="24"/>
          <w:szCs w:val="24"/>
          <w:u w:val="single"/>
        </w:rPr>
        <w:t>State of Wisconsin v. James Farrar</w:t>
      </w:r>
      <w:r>
        <w:rPr>
          <w:b w:val="0"/>
          <w:bCs w:val="0"/>
          <w:sz w:val="24"/>
          <w:szCs w:val="24"/>
        </w:rPr>
        <w:t xml:space="preserve">, the Court of Appeals of Wisconsin held (3 to 0; unpublished opinion) there was sufficient evidence to support jury’s conviction of arson of a building of another.  The defendant was living in his father’s house (rental), father was in the hospital and would not allow the son to take over the lease.  There were two fires set – one in bedroom and another in the basement. </w:t>
      </w:r>
    </w:p>
    <w:p w14:paraId="4BCCB9AD" w14:textId="77777777" w:rsidR="009A27F2" w:rsidRPr="004C0299" w:rsidRDefault="009A27F2" w:rsidP="009A27F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6368BB63" w14:textId="77777777" w:rsidR="00BF3437" w:rsidRDefault="00BF3437" w:rsidP="00BF3437">
      <w:pPr>
        <w:pStyle w:val="Heading1"/>
        <w:ind w:left="720"/>
        <w:rPr>
          <w:b w:val="0"/>
          <w:bCs w:val="0"/>
          <w:sz w:val="24"/>
          <w:szCs w:val="24"/>
        </w:rPr>
      </w:pPr>
      <w:r>
        <w:rPr>
          <w:b w:val="0"/>
          <w:bCs w:val="0"/>
          <w:sz w:val="24"/>
          <w:szCs w:val="24"/>
        </w:rPr>
        <w:t>“</w:t>
      </w:r>
      <w:r w:rsidRPr="00252AFA">
        <w:rPr>
          <w:b w:val="0"/>
          <w:bCs w:val="0"/>
          <w:sz w:val="24"/>
          <w:szCs w:val="24"/>
        </w:rPr>
        <w:t>The jury rejected the defense's theory that Farrar set the fire accidentally and found Farrar guilty of the arson charge. Farrar now appeals, challenging the sufficiency of the evidence to support his conviction.</w:t>
      </w:r>
    </w:p>
    <w:p w14:paraId="43E9BBA7" w14:textId="77777777" w:rsidR="00BF3437" w:rsidRDefault="00BF3437" w:rsidP="00BF3437">
      <w:pPr>
        <w:pStyle w:val="Heading1"/>
        <w:ind w:left="720"/>
        <w:rPr>
          <w:b w:val="0"/>
          <w:bCs w:val="0"/>
          <w:sz w:val="24"/>
          <w:szCs w:val="24"/>
        </w:rPr>
      </w:pPr>
      <w:r>
        <w:rPr>
          <w:b w:val="0"/>
          <w:bCs w:val="0"/>
          <w:sz w:val="24"/>
          <w:szCs w:val="24"/>
        </w:rPr>
        <w:t>***</w:t>
      </w:r>
    </w:p>
    <w:p w14:paraId="78D0C4B7" w14:textId="77777777" w:rsidR="00BF3437" w:rsidRDefault="00BF3437" w:rsidP="00BF3437">
      <w:pPr>
        <w:pStyle w:val="Heading1"/>
        <w:ind w:left="720"/>
        <w:rPr>
          <w:b w:val="0"/>
          <w:bCs w:val="0"/>
          <w:sz w:val="24"/>
          <w:szCs w:val="24"/>
        </w:rPr>
      </w:pPr>
      <w:r w:rsidRPr="007F290B">
        <w:rPr>
          <w:b w:val="0"/>
          <w:bCs w:val="0"/>
          <w:sz w:val="24"/>
          <w:szCs w:val="24"/>
        </w:rPr>
        <w:t>We disagree with Farrar's suggestion that an expression of intent was required for the jury to find that he intentionally set the fires at the residence. As explained above, the evidence introduced at trial, while circumstantial, was sufficient to support a reasonable inference that Farrar started the fires with the intent to damage the residence.</w:t>
      </w:r>
      <w:r>
        <w:rPr>
          <w:b w:val="0"/>
          <w:bCs w:val="0"/>
          <w:sz w:val="24"/>
          <w:szCs w:val="24"/>
        </w:rPr>
        <w:t xml:space="preserve">” </w:t>
      </w:r>
      <w:hyperlink r:id="rId159" w:history="1">
        <w:r w:rsidRPr="00624A20">
          <w:rPr>
            <w:rStyle w:val="Hyperlink"/>
            <w:b w:val="0"/>
            <w:bCs w:val="0"/>
            <w:sz w:val="24"/>
            <w:szCs w:val="24"/>
          </w:rPr>
          <w:t>https://caselaw.findlaw.com/court/wi-court-of-appeals/115735506.html</w:t>
        </w:r>
      </w:hyperlink>
      <w:r>
        <w:rPr>
          <w:b w:val="0"/>
          <w:bCs w:val="0"/>
          <w:sz w:val="24"/>
          <w:szCs w:val="24"/>
        </w:rPr>
        <w:t xml:space="preserve"> </w:t>
      </w:r>
    </w:p>
    <w:p w14:paraId="52BA343D" w14:textId="77777777" w:rsidR="007F1354" w:rsidRPr="004A3354" w:rsidRDefault="007F1354" w:rsidP="007F1354">
      <w:pPr>
        <w:pStyle w:val="NormalWeb"/>
        <w:rPr>
          <w:b/>
          <w:bCs/>
        </w:rPr>
      </w:pPr>
      <w:r w:rsidRPr="004A3354">
        <w:rPr>
          <w:b/>
          <w:bCs/>
        </w:rPr>
        <w:t>Legal Lesson Learned:</w:t>
      </w:r>
      <w:r>
        <w:rPr>
          <w:b/>
          <w:bCs/>
        </w:rPr>
        <w:t xml:space="preserve"> Document in your fire report the suspicious comments of the resident. </w:t>
      </w:r>
    </w:p>
    <w:p w14:paraId="79E5EFBF" w14:textId="78BE2E54" w:rsidR="009B2B83" w:rsidRPr="00021A20" w:rsidRDefault="00021A20" w:rsidP="00F326E5">
      <w:pPr>
        <w:pStyle w:val="NoSpacing"/>
        <w:rPr>
          <w:rFonts w:ascii="Times New Roman" w:hAnsi="Times New Roman"/>
          <w:sz w:val="24"/>
          <w:szCs w:val="24"/>
        </w:rPr>
      </w:pPr>
      <w:r>
        <w:rPr>
          <w:rFonts w:ascii="Arial Black" w:hAnsi="Arial Black"/>
          <w:sz w:val="24"/>
          <w:szCs w:val="24"/>
        </w:rPr>
        <w:tab/>
      </w:r>
      <w:r w:rsidRPr="00021A20">
        <w:rPr>
          <w:rFonts w:ascii="Times New Roman" w:hAnsi="Times New Roman"/>
          <w:sz w:val="24"/>
          <w:szCs w:val="24"/>
        </w:rPr>
        <w:t xml:space="preserve">Note: See article on this case. </w:t>
      </w:r>
    </w:p>
    <w:p w14:paraId="042CBE7C" w14:textId="77777777" w:rsidR="00021A20" w:rsidRPr="00585D67" w:rsidRDefault="00021A20" w:rsidP="00021A20">
      <w:pPr>
        <w:pStyle w:val="NormalWeb"/>
        <w:ind w:left="720"/>
      </w:pPr>
      <w:r w:rsidRPr="00585D67">
        <w:t xml:space="preserve">March 2, 2022: Wausau Man Sentenced </w:t>
      </w:r>
      <w:proofErr w:type="gramStart"/>
      <w:r w:rsidRPr="00585D67">
        <w:t>In</w:t>
      </w:r>
      <w:proofErr w:type="gramEnd"/>
      <w:r w:rsidRPr="00585D67">
        <w:t xml:space="preserve"> Arson Case </w:t>
      </w:r>
      <w:hyperlink r:id="rId160" w:history="1">
        <w:r w:rsidRPr="00585D67">
          <w:rPr>
            <w:rStyle w:val="Hyperlink"/>
          </w:rPr>
          <w:t>https://wsau.com/2022/03/02/wausau-man-sentenced-in-arson-case/</w:t>
        </w:r>
      </w:hyperlink>
      <w:r w:rsidRPr="00585D67">
        <w:t xml:space="preserve"> </w:t>
      </w:r>
    </w:p>
    <w:p w14:paraId="501C27F1" w14:textId="77777777" w:rsidR="009B2B83" w:rsidRDefault="009B2B83" w:rsidP="00F326E5">
      <w:pPr>
        <w:pStyle w:val="NoSpacing"/>
        <w:rPr>
          <w:rFonts w:ascii="Arial Black" w:hAnsi="Arial Black"/>
          <w:sz w:val="24"/>
          <w:szCs w:val="24"/>
        </w:rPr>
      </w:pPr>
    </w:p>
    <w:p w14:paraId="069DD437" w14:textId="77777777" w:rsidR="009B2B83" w:rsidRDefault="009B2B83" w:rsidP="00F326E5">
      <w:pPr>
        <w:pStyle w:val="NoSpacing"/>
        <w:rPr>
          <w:rFonts w:ascii="Arial Black" w:hAnsi="Arial Black"/>
          <w:sz w:val="24"/>
          <w:szCs w:val="24"/>
        </w:rPr>
      </w:pPr>
    </w:p>
    <w:p w14:paraId="4964BD00" w14:textId="6335161A" w:rsidR="00EC5DAB" w:rsidRDefault="00EC5DAB" w:rsidP="00F326E5">
      <w:pPr>
        <w:pStyle w:val="NoSpacing"/>
        <w:rPr>
          <w:rFonts w:ascii="Arial Black" w:hAnsi="Arial Black"/>
          <w:sz w:val="24"/>
          <w:szCs w:val="24"/>
        </w:rPr>
      </w:pPr>
      <w:r>
        <w:rPr>
          <w:rFonts w:ascii="Arial Black" w:hAnsi="Arial Black"/>
          <w:sz w:val="24"/>
          <w:szCs w:val="24"/>
        </w:rPr>
        <w:t>1-142</w:t>
      </w:r>
    </w:p>
    <w:p w14:paraId="17B11D01" w14:textId="77777777" w:rsidR="00307899" w:rsidRPr="007C1A20" w:rsidRDefault="00307899" w:rsidP="00307899">
      <w:pPr>
        <w:pStyle w:val="NormalWeb"/>
        <w:rPr>
          <w:rFonts w:ascii="Arial Black" w:hAnsi="Arial Black"/>
          <w:b/>
          <w:bCs/>
          <w:sz w:val="28"/>
          <w:szCs w:val="28"/>
        </w:rPr>
      </w:pPr>
      <w:r>
        <w:rPr>
          <w:rFonts w:ascii="Arial Black" w:hAnsi="Arial Black"/>
          <w:b/>
          <w:bCs/>
          <w:sz w:val="28"/>
          <w:szCs w:val="28"/>
        </w:rPr>
        <w:t>LA: ARSON – NEIGHBOR’S APT / GASOLINE – MOM HEARD 2</w:t>
      </w:r>
      <w:r w:rsidRPr="00583036">
        <w:rPr>
          <w:rFonts w:ascii="Arial Black" w:hAnsi="Arial Black"/>
          <w:b/>
          <w:bCs/>
          <w:sz w:val="28"/>
          <w:szCs w:val="28"/>
          <w:vertAlign w:val="superscript"/>
        </w:rPr>
        <w:t>ND</w:t>
      </w:r>
      <w:r>
        <w:rPr>
          <w:rFonts w:ascii="Arial Black" w:hAnsi="Arial Black"/>
          <w:b/>
          <w:bCs/>
          <w:sz w:val="28"/>
          <w:szCs w:val="28"/>
        </w:rPr>
        <w:t xml:space="preserve"> MAN TELL SON “YOU PUT TOO MUCH” - CONV. UPHELD</w:t>
      </w:r>
    </w:p>
    <w:p w14:paraId="00B26DB5" w14:textId="77777777" w:rsidR="00307899" w:rsidRDefault="00307899" w:rsidP="00307899">
      <w:pPr>
        <w:pStyle w:val="NormalWeb"/>
      </w:pPr>
      <w:r w:rsidRPr="001B26D3">
        <w:t xml:space="preserve">On Dec. 27, 2023, in </w:t>
      </w:r>
      <w:r w:rsidRPr="001B26D3">
        <w:rPr>
          <w:u w:val="single"/>
        </w:rPr>
        <w:t>State of Louisiana v. Terone R. Thomas</w:t>
      </w:r>
      <w:r w:rsidRPr="001B26D3">
        <w:t xml:space="preserve">, </w:t>
      </w:r>
      <w:r>
        <w:t xml:space="preserve">the Louisiana Fifth Circuit Court of Appeals held (3 to 0) that jury properly found defendant guilty, </w:t>
      </w:r>
      <w:proofErr w:type="gramStart"/>
      <w:r>
        <w:t>sentenced</w:t>
      </w:r>
      <w:proofErr w:type="gramEnd"/>
      <w:r>
        <w:t xml:space="preserve"> 5 years in prison, but judge’s restitution order $4,500 to neighbor requires evidence of the amount of the victim’s loss.  The Court wrote: “[Defendant’s  mother] testified that she heard the other man telling </w:t>
      </w:r>
      <w:proofErr w:type="gramStart"/>
      <w:r>
        <w:t>Defendant</w:t>
      </w:r>
      <w:proofErr w:type="gramEnd"/>
      <w:r>
        <w:t xml:space="preserve"> ‘You put too much’ or ‘You did too much.’ She did not hear Defendant say anything. She saw Defendant and the man get in ‘a little gray Mitsubishi, or </w:t>
      </w:r>
      <w:r>
        <w:lastRenderedPageBreak/>
        <w:t xml:space="preserve">whatever it was’ and leave the scene.” </w:t>
      </w:r>
      <w:hyperlink r:id="rId161" w:history="1">
        <w:r w:rsidRPr="00911235">
          <w:rPr>
            <w:rStyle w:val="Hyperlink"/>
          </w:rPr>
          <w:t>https://cases.justia.com/louisiana/fifth-circuit-court-of-appeal/2023-23-ka-234.pdf?ts=1703704652</w:t>
        </w:r>
      </w:hyperlink>
      <w:r>
        <w:t xml:space="preserve"> </w:t>
      </w:r>
    </w:p>
    <w:p w14:paraId="300DDEF2" w14:textId="77777777" w:rsidR="001257CC" w:rsidRDefault="001257CC" w:rsidP="001257CC">
      <w:pPr>
        <w:pStyle w:val="NormalWeb"/>
        <w:rPr>
          <w:b/>
          <w:bCs/>
        </w:rPr>
      </w:pPr>
      <w:r>
        <w:rPr>
          <w:b/>
          <w:bCs/>
        </w:rPr>
        <w:t xml:space="preserve">Legal Lesson Learned: Thorough investigation, clothing seized by consent, crime scene evidence collected with search warrant, expert testimony. </w:t>
      </w:r>
    </w:p>
    <w:p w14:paraId="4CD4B859" w14:textId="77777777" w:rsidR="00307899" w:rsidRDefault="00307899" w:rsidP="00F326E5">
      <w:pPr>
        <w:pStyle w:val="NoSpacing"/>
        <w:rPr>
          <w:rFonts w:ascii="Arial Black" w:hAnsi="Arial Black"/>
          <w:sz w:val="24"/>
          <w:szCs w:val="24"/>
        </w:rPr>
      </w:pPr>
    </w:p>
    <w:p w14:paraId="5BB1CCA0" w14:textId="77777777" w:rsidR="00EC5DAB" w:rsidRDefault="00EC5DAB" w:rsidP="00F326E5">
      <w:pPr>
        <w:pStyle w:val="NoSpacing"/>
        <w:rPr>
          <w:rFonts w:ascii="Arial Black" w:hAnsi="Arial Black"/>
          <w:sz w:val="24"/>
          <w:szCs w:val="24"/>
        </w:rPr>
      </w:pPr>
    </w:p>
    <w:p w14:paraId="6977D618" w14:textId="77777777" w:rsidR="00EC5DAB" w:rsidRDefault="00EC5DAB" w:rsidP="00F326E5">
      <w:pPr>
        <w:pStyle w:val="NoSpacing"/>
        <w:rPr>
          <w:rFonts w:ascii="Arial Black" w:hAnsi="Arial Black"/>
          <w:sz w:val="24"/>
          <w:szCs w:val="24"/>
        </w:rPr>
      </w:pPr>
    </w:p>
    <w:p w14:paraId="1FC7F42A" w14:textId="4F040D1C" w:rsidR="00C22EBB" w:rsidRDefault="00530943" w:rsidP="00F326E5">
      <w:pPr>
        <w:pStyle w:val="NoSpacing"/>
        <w:rPr>
          <w:rFonts w:ascii="Arial Black" w:hAnsi="Arial Black"/>
          <w:sz w:val="24"/>
          <w:szCs w:val="24"/>
        </w:rPr>
      </w:pPr>
      <w:r>
        <w:rPr>
          <w:rFonts w:ascii="Arial Black" w:hAnsi="Arial Black"/>
          <w:sz w:val="24"/>
          <w:szCs w:val="24"/>
        </w:rPr>
        <w:t>1-141</w:t>
      </w:r>
    </w:p>
    <w:p w14:paraId="6233123E" w14:textId="77777777" w:rsidR="00BC0D37" w:rsidRPr="00462C8F" w:rsidRDefault="00BC0D37" w:rsidP="00BC0D37">
      <w:pPr>
        <w:pStyle w:val="NormalWeb"/>
        <w:rPr>
          <w:rFonts w:ascii="Arial Black" w:hAnsi="Arial Black"/>
          <w:sz w:val="28"/>
          <w:szCs w:val="28"/>
        </w:rPr>
      </w:pPr>
      <w:r>
        <w:rPr>
          <w:rFonts w:ascii="Arial Black" w:hAnsi="Arial Black"/>
          <w:sz w:val="28"/>
          <w:szCs w:val="28"/>
        </w:rPr>
        <w:t>MA: ARSON CHURCH – PROBABLE CAUSE SEARCH WARRANT CAR OF CHURCH MEMBER – PORTIONS DELETED</w:t>
      </w:r>
    </w:p>
    <w:p w14:paraId="5C4FB747" w14:textId="77777777" w:rsidR="00BC0D37" w:rsidRDefault="00BC0D37" w:rsidP="00BC0D37">
      <w:pPr>
        <w:pStyle w:val="NormalWeb"/>
      </w:pPr>
      <w:r w:rsidRPr="002F76D0">
        <w:t xml:space="preserve">On Dec. 8, 2023, in </w:t>
      </w:r>
      <w:r w:rsidRPr="002F76D0">
        <w:rPr>
          <w:u w:val="single"/>
        </w:rPr>
        <w:t>Commonwealth v. Lys W. Vincent</w:t>
      </w:r>
      <w:r w:rsidRPr="002F76D0">
        <w:t xml:space="preserve">, the Appeals Court of Massachusetts held (3 to 0) that trial court </w:t>
      </w:r>
      <w:r>
        <w:t xml:space="preserve">motions judge </w:t>
      </w:r>
      <w:r w:rsidRPr="002F76D0">
        <w:t xml:space="preserve">properly found the affidavit to search the car was supported by probable cause.  The Court held: </w:t>
      </w:r>
      <w:r>
        <w:t xml:space="preserve">“The defendant argued in his motion that the warrant affidavit contained unlawfully obtained information. The motion judge agreed that portions of the affidavit were based on </w:t>
      </w:r>
      <w:proofErr w:type="gramStart"/>
      <w:r>
        <w:t>an unconstitutional</w:t>
      </w:r>
      <w:proofErr w:type="gramEnd"/>
      <w:r>
        <w:t xml:space="preserve"> search and interrogation but concluded that, even after the unlawful portions of the affidavit were excised, it still established probable cause for the search. Without the unlawfully obtained information, the affidavit established the following. *** </w:t>
      </w:r>
      <w:r w:rsidRPr="002F76D0">
        <w:t xml:space="preserve">The timing of the car's arrival and departure in relation to the time of the fire, the fact that the car was registered to a church member, and the footage of the driver apparently carrying into the building a bag that could have contained the accelerant, went well beyond mere presence and established a sufficient nexus between the car and the crime. Accordingly, there was probable cause to issue the search warrant, and the evidence found in the car -- including gasoline residue on the passenger-side carpet -- was properly admitted at </w:t>
      </w:r>
      <w:proofErr w:type="gramStart"/>
      <w:r w:rsidRPr="002F76D0">
        <w:t>trial.</w:t>
      </w:r>
      <w:r>
        <w:t>”</w:t>
      </w:r>
      <w:proofErr w:type="gramEnd"/>
      <w:r>
        <w:t xml:space="preserve"> </w:t>
      </w:r>
      <w:hyperlink r:id="rId162" w:history="1">
        <w:r w:rsidRPr="0014393E">
          <w:rPr>
            <w:rStyle w:val="Hyperlink"/>
          </w:rPr>
          <w:t>https://caselaw.findlaw.com/court/ma-court-of-appeals/115598993.html</w:t>
        </w:r>
      </w:hyperlink>
      <w:r>
        <w:t xml:space="preserve"> </w:t>
      </w:r>
    </w:p>
    <w:p w14:paraId="346A6D29" w14:textId="77777777" w:rsidR="00EC5DAB" w:rsidRPr="00B75293" w:rsidRDefault="00EC5DAB" w:rsidP="00EC5DAB">
      <w:pPr>
        <w:pStyle w:val="NormalWeb"/>
        <w:rPr>
          <w:b/>
          <w:bCs/>
        </w:rPr>
      </w:pPr>
      <w:r w:rsidRPr="00B75293">
        <w:rPr>
          <w:b/>
          <w:bCs/>
        </w:rPr>
        <w:t xml:space="preserve">Legal Lesson Learned: </w:t>
      </w:r>
      <w:r>
        <w:rPr>
          <w:b/>
          <w:bCs/>
        </w:rPr>
        <w:t xml:space="preserve">Search warrant of car will be upheld where church video showed suspicious activity. </w:t>
      </w:r>
    </w:p>
    <w:p w14:paraId="757F6C4B" w14:textId="77777777" w:rsidR="00EC5DAB" w:rsidRPr="002F76D0" w:rsidRDefault="00EC5DAB" w:rsidP="00BC0D37">
      <w:pPr>
        <w:pStyle w:val="NormalWeb"/>
      </w:pPr>
    </w:p>
    <w:p w14:paraId="12E58710" w14:textId="77777777" w:rsidR="00530943" w:rsidRDefault="00530943" w:rsidP="00F326E5">
      <w:pPr>
        <w:pStyle w:val="NoSpacing"/>
        <w:rPr>
          <w:rFonts w:ascii="Arial Black" w:hAnsi="Arial Black"/>
          <w:sz w:val="24"/>
          <w:szCs w:val="24"/>
        </w:rPr>
      </w:pPr>
    </w:p>
    <w:p w14:paraId="0DEEC889" w14:textId="77777777" w:rsidR="00530943" w:rsidRDefault="00530943" w:rsidP="00F326E5">
      <w:pPr>
        <w:pStyle w:val="NoSpacing"/>
        <w:rPr>
          <w:rFonts w:ascii="Arial Black" w:hAnsi="Arial Black"/>
          <w:sz w:val="24"/>
          <w:szCs w:val="24"/>
        </w:rPr>
      </w:pPr>
    </w:p>
    <w:p w14:paraId="59947C76" w14:textId="77777777" w:rsidR="00530943" w:rsidRDefault="00530943" w:rsidP="00F326E5">
      <w:pPr>
        <w:pStyle w:val="NoSpacing"/>
        <w:rPr>
          <w:rFonts w:ascii="Arial Black" w:hAnsi="Arial Black"/>
          <w:sz w:val="24"/>
          <w:szCs w:val="24"/>
        </w:rPr>
      </w:pPr>
    </w:p>
    <w:p w14:paraId="18F088E1" w14:textId="1C8FF41B" w:rsidR="00801D3A" w:rsidRDefault="00801D3A" w:rsidP="00F326E5">
      <w:pPr>
        <w:pStyle w:val="NoSpacing"/>
        <w:rPr>
          <w:rFonts w:ascii="Arial Black" w:hAnsi="Arial Black"/>
          <w:sz w:val="24"/>
          <w:szCs w:val="24"/>
        </w:rPr>
      </w:pPr>
      <w:r>
        <w:rPr>
          <w:rFonts w:ascii="Arial Black" w:hAnsi="Arial Black"/>
          <w:sz w:val="24"/>
          <w:szCs w:val="24"/>
        </w:rPr>
        <w:t>1-140</w:t>
      </w:r>
    </w:p>
    <w:p w14:paraId="260C252C" w14:textId="77777777" w:rsidR="00801D3A" w:rsidRPr="00025DFB" w:rsidRDefault="00801D3A" w:rsidP="00801D3A">
      <w:pPr>
        <w:pStyle w:val="NormalWeb"/>
        <w:rPr>
          <w:rFonts w:ascii="Arial Black" w:hAnsi="Arial Black"/>
          <w:sz w:val="28"/>
          <w:szCs w:val="28"/>
        </w:rPr>
      </w:pPr>
      <w:r>
        <w:rPr>
          <w:rFonts w:ascii="Arial Black" w:hAnsi="Arial Black"/>
          <w:sz w:val="28"/>
          <w:szCs w:val="28"/>
        </w:rPr>
        <w:t>OH: ARSON – PLEAD TO MISDEMEANOR - MAX VICTIM RESTITUTION IS $999.99 – MARSY’S LAW NOT APPLICABLE</w:t>
      </w:r>
    </w:p>
    <w:p w14:paraId="3AFAC9B9" w14:textId="77777777" w:rsidR="00801D3A" w:rsidRDefault="00801D3A" w:rsidP="00801D3A">
      <w:pPr>
        <w:pStyle w:val="NormalWeb"/>
      </w:pPr>
      <w:r>
        <w:t xml:space="preserve">On Dec. 4, 2023, in </w:t>
      </w:r>
      <w:r w:rsidRPr="003E3F3A">
        <w:rPr>
          <w:u w:val="single"/>
        </w:rPr>
        <w:t>State of Ohio v. Timothy A. Messer</w:t>
      </w:r>
      <w:r>
        <w:t>, the defendant entered plea deal with prosecutor; he was indicted for aggravated arson in violation of R.C. 2909.02(A)(2), a second-degree felony, but pled guilty to misdemeanor of arson in violation of Ohio Rev. Code 20909.03(A)(1); he was sentenced probation, and victim restitution in the amount of $15,315 (actual loss).  Court  of Appeals reduced restitution to $999.99 since misdemean statute is for property damage up to $1,000.  “The state agrees that a straightforward application of our prior precedent would mean that the trial court erred in awarding restitution in an amount more than $999.99. However, the state argues that Marsy's Law, a victim's rights amendment to the Ohio Constitution effective February 5, 2018, and its effect on restitution was not addressed by the court</w:t>
      </w:r>
      <w:r>
        <w:rPr>
          <w:rStyle w:val="Emphasis"/>
        </w:rPr>
        <w:t>.</w:t>
      </w:r>
      <w:r>
        <w:t xml:space="preserve"> The relevant provision </w:t>
      </w:r>
      <w:r>
        <w:lastRenderedPageBreak/>
        <w:t xml:space="preserve">of Marsy's Law gives a victim of a crime the right ‘to full and timely restitution from the person who committed the criminal offense or delinquent act against the victim.’ Article I, Section 10a(A)(7), Ohio Constitution. The state asks us to consider the impact of Marsy's Law on our previous precedent, which limited restitution by the offense. *** Nothing in Marsy's Law changes our analysis. Marsy's Law gives the victim the right ‘to full and timely restitution from the person who committed </w:t>
      </w:r>
      <w:r>
        <w:rPr>
          <w:rStyle w:val="Emphasis"/>
        </w:rPr>
        <w:t>the criminal offense</w:t>
      </w:r>
      <w:r>
        <w:t xml:space="preserve"> or delinquent act against the victim.’ (Emphasis added.) Article I, Section 10a(A)(7), Ohio Constitution. The criminal offense committed against the victim here was a first-degree misdemeanor arson offense. Thus, the victim is entitled to full and timely restitution for economic loss of any amount equal to or less than $999.99.”</w:t>
      </w:r>
      <w:r w:rsidRPr="00091FC5">
        <w:t xml:space="preserve"> </w:t>
      </w:r>
      <w:hyperlink r:id="rId163" w:history="1">
        <w:r w:rsidRPr="002D5A3E">
          <w:rPr>
            <w:rStyle w:val="Hyperlink"/>
          </w:rPr>
          <w:t>https://www.anylaw.com/case/state-v-messer/ohio-court-of-appeals/12-04-2023/hMqWTIwBqcoRgE-I70tV</w:t>
        </w:r>
      </w:hyperlink>
      <w:r>
        <w:t xml:space="preserve"> </w:t>
      </w:r>
    </w:p>
    <w:p w14:paraId="0B99FE29" w14:textId="77777777" w:rsidR="00530943" w:rsidRDefault="00530943" w:rsidP="00530943">
      <w:pPr>
        <w:pStyle w:val="NormalWeb"/>
        <w:rPr>
          <w:b/>
          <w:bCs/>
        </w:rPr>
      </w:pPr>
      <w:r w:rsidRPr="007C3E7E">
        <w:rPr>
          <w:b/>
          <w:bCs/>
        </w:rPr>
        <w:t xml:space="preserve">Legal Lesson Learned: </w:t>
      </w:r>
      <w:r>
        <w:rPr>
          <w:b/>
          <w:bCs/>
        </w:rPr>
        <w:t xml:space="preserve">When citizens of Ohio voted to amend state Constitution to add Marsy Law giving victims a right to restitution (effective 2018), it did not change other Revised Code provision limiting restitution amount. </w:t>
      </w:r>
    </w:p>
    <w:p w14:paraId="2DB82005" w14:textId="77777777" w:rsidR="00530943" w:rsidRPr="005349CB" w:rsidRDefault="00530943" w:rsidP="00530943">
      <w:pPr>
        <w:pStyle w:val="NormalWeb"/>
        <w:ind w:left="720"/>
      </w:pPr>
      <w:r w:rsidRPr="005349CB">
        <w:t xml:space="preserve">Note: See </w:t>
      </w:r>
      <w:r>
        <w:t xml:space="preserve">Ohio </w:t>
      </w:r>
      <w:r w:rsidRPr="005349CB">
        <w:t xml:space="preserve">Marcy’s Law restitution request form. </w:t>
      </w:r>
      <w:hyperlink r:id="rId164" w:history="1">
        <w:r w:rsidRPr="002D5A3E">
          <w:rPr>
            <w:rStyle w:val="Hyperlink"/>
          </w:rPr>
          <w:t>https://www.supremecourt.ohio.gov/forms/all-forms/crime-victims-marsys-law-rights/112</w:t>
        </w:r>
      </w:hyperlink>
      <w:r>
        <w:t xml:space="preserve"> </w:t>
      </w:r>
    </w:p>
    <w:p w14:paraId="2409C660" w14:textId="77777777" w:rsidR="00801D3A" w:rsidRDefault="00801D3A" w:rsidP="00F326E5">
      <w:pPr>
        <w:pStyle w:val="NoSpacing"/>
        <w:rPr>
          <w:rFonts w:ascii="Arial Black" w:hAnsi="Arial Black"/>
          <w:sz w:val="24"/>
          <w:szCs w:val="24"/>
        </w:rPr>
      </w:pPr>
    </w:p>
    <w:p w14:paraId="024A1D4F" w14:textId="77777777" w:rsidR="00801D3A" w:rsidRDefault="00801D3A" w:rsidP="00F326E5">
      <w:pPr>
        <w:pStyle w:val="NoSpacing"/>
        <w:rPr>
          <w:rFonts w:ascii="Arial Black" w:hAnsi="Arial Black"/>
          <w:sz w:val="24"/>
          <w:szCs w:val="24"/>
        </w:rPr>
      </w:pPr>
    </w:p>
    <w:p w14:paraId="3DB1BB6B" w14:textId="77777777" w:rsidR="00801D3A" w:rsidRDefault="00801D3A" w:rsidP="00F326E5">
      <w:pPr>
        <w:pStyle w:val="NoSpacing"/>
        <w:rPr>
          <w:rFonts w:ascii="Arial Black" w:hAnsi="Arial Black"/>
          <w:sz w:val="24"/>
          <w:szCs w:val="24"/>
        </w:rPr>
      </w:pPr>
    </w:p>
    <w:p w14:paraId="64B75782" w14:textId="705310A0" w:rsidR="00C22EBB" w:rsidRDefault="00C22EBB" w:rsidP="00F326E5">
      <w:pPr>
        <w:pStyle w:val="NoSpacing"/>
        <w:rPr>
          <w:rFonts w:ascii="Arial Black" w:hAnsi="Arial Black"/>
          <w:sz w:val="24"/>
          <w:szCs w:val="24"/>
        </w:rPr>
      </w:pPr>
      <w:r>
        <w:rPr>
          <w:rFonts w:ascii="Arial Black" w:hAnsi="Arial Black"/>
          <w:sz w:val="24"/>
          <w:szCs w:val="24"/>
        </w:rPr>
        <w:t>1-139</w:t>
      </w:r>
    </w:p>
    <w:p w14:paraId="2DD8E707" w14:textId="77777777" w:rsidR="00C22EBB" w:rsidRPr="00054283" w:rsidRDefault="00C22EBB" w:rsidP="00C22EBB">
      <w:pPr>
        <w:rPr>
          <w:rFonts w:ascii="Arial Black" w:hAnsi="Arial Black"/>
          <w:b/>
          <w:bCs/>
          <w:sz w:val="28"/>
          <w:szCs w:val="28"/>
        </w:rPr>
      </w:pPr>
      <w:r w:rsidRPr="00054283">
        <w:rPr>
          <w:rFonts w:ascii="Arial Black" w:hAnsi="Arial Black"/>
          <w:b/>
          <w:bCs/>
          <w:sz w:val="28"/>
          <w:szCs w:val="28"/>
        </w:rPr>
        <w:t>CO: ARSON – 5 KILLED IN HOME – SEARCH WARRANT</w:t>
      </w:r>
      <w:r>
        <w:rPr>
          <w:rFonts w:ascii="Arial Black" w:hAnsi="Arial Black"/>
          <w:b/>
          <w:bCs/>
          <w:sz w:val="28"/>
          <w:szCs w:val="28"/>
        </w:rPr>
        <w:t>S ON GOOGLE FOR</w:t>
      </w:r>
      <w:r w:rsidRPr="00054283">
        <w:rPr>
          <w:rFonts w:ascii="Arial Black" w:hAnsi="Arial Black"/>
          <w:b/>
          <w:bCs/>
          <w:sz w:val="28"/>
          <w:szCs w:val="28"/>
        </w:rPr>
        <w:t xml:space="preserve"> </w:t>
      </w:r>
      <w:r>
        <w:rPr>
          <w:rFonts w:ascii="Arial Black" w:hAnsi="Arial Black"/>
          <w:b/>
          <w:bCs/>
          <w:sz w:val="28"/>
          <w:szCs w:val="28"/>
        </w:rPr>
        <w:t>“REVERSE KEYWORD” - LOCATED ARSONIST</w:t>
      </w:r>
    </w:p>
    <w:p w14:paraId="7523D3C7" w14:textId="77777777" w:rsidR="00C22EBB" w:rsidRDefault="00C22EBB" w:rsidP="00C22EBB">
      <w:pPr>
        <w:pStyle w:val="p0"/>
        <w:ind w:firstLine="0"/>
        <w:rPr>
          <w:rFonts w:ascii="Times New Roman" w:hAnsi="Times New Roman" w:cs="Times New Roman"/>
          <w:sz w:val="24"/>
          <w:szCs w:val="24"/>
        </w:rPr>
      </w:pPr>
      <w:r w:rsidRPr="007127BF">
        <w:rPr>
          <w:rFonts w:ascii="Times New Roman" w:hAnsi="Times New Roman" w:cs="Times New Roman"/>
          <w:sz w:val="24"/>
          <w:szCs w:val="24"/>
        </w:rPr>
        <w:t>On Oct. 16, 2023</w:t>
      </w:r>
      <w:r>
        <w:rPr>
          <w:rFonts w:ascii="Times New Roman" w:hAnsi="Times New Roman" w:cs="Times New Roman"/>
          <w:sz w:val="24"/>
          <w:szCs w:val="24"/>
        </w:rPr>
        <w:t xml:space="preserve">, in </w:t>
      </w:r>
      <w:r w:rsidRPr="00AA30F9">
        <w:rPr>
          <w:rFonts w:ascii="Times New Roman" w:hAnsi="Times New Roman" w:cs="Times New Roman"/>
          <w:sz w:val="24"/>
          <w:szCs w:val="24"/>
          <w:u w:val="single"/>
        </w:rPr>
        <w:t>The People of the State of Colorado v. Gavin Seymour</w:t>
      </w:r>
      <w:r>
        <w:rPr>
          <w:rFonts w:ascii="Times New Roman" w:hAnsi="Times New Roman" w:cs="Times New Roman"/>
          <w:sz w:val="24"/>
          <w:szCs w:val="24"/>
        </w:rPr>
        <w:t xml:space="preserve">, the Supreme Court of Colorado, upheld (5 to 2) the use of evidence obtained in the “reverse keyword” search warrant that located information on the defendant’s Google account that shows he focused on the house. The majority decision agreed with the trial judge that the search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a massive Google data bank was executed in good faith under several court-ordered search warrants, and therefore evidence was admissible at trial.  </w:t>
      </w:r>
    </w:p>
    <w:p w14:paraId="29F4C290" w14:textId="7A806A22" w:rsidR="00C22EBB" w:rsidRDefault="00C22EBB" w:rsidP="00C22EBB">
      <w:pPr>
        <w:pStyle w:val="NoSpacing"/>
        <w:rPr>
          <w:rStyle w:val="Hyperlink"/>
          <w:rFonts w:ascii="Times New Roman" w:hAnsi="Times New Roman"/>
          <w:sz w:val="24"/>
          <w:szCs w:val="24"/>
        </w:rPr>
      </w:pPr>
      <w:hyperlink r:id="rId165" w:history="1">
        <w:r w:rsidRPr="00182321">
          <w:rPr>
            <w:rStyle w:val="Hyperlink"/>
            <w:rFonts w:ascii="Times New Roman" w:hAnsi="Times New Roman"/>
            <w:sz w:val="24"/>
            <w:szCs w:val="24"/>
          </w:rPr>
          <w:t>https://www.courts.state.co.us/userfiles/file/Court_Probation/Supreme_Court/Opinions/2023/23SA12.pdf?utm_source=substack&amp;utm_medium=email</w:t>
        </w:r>
      </w:hyperlink>
    </w:p>
    <w:p w14:paraId="061DE543" w14:textId="77777777" w:rsidR="00103226" w:rsidRDefault="00103226" w:rsidP="00C22EBB">
      <w:pPr>
        <w:pStyle w:val="NoSpacing"/>
        <w:rPr>
          <w:rStyle w:val="Hyperlink"/>
          <w:rFonts w:ascii="Times New Roman" w:hAnsi="Times New Roman"/>
          <w:sz w:val="24"/>
          <w:szCs w:val="24"/>
        </w:rPr>
      </w:pPr>
    </w:p>
    <w:p w14:paraId="70A685D9" w14:textId="77777777" w:rsidR="00103226" w:rsidRDefault="00103226" w:rsidP="00103226">
      <w:pPr>
        <w:rPr>
          <w:rFonts w:ascii="Times New Roman" w:hAnsi="Times New Roman"/>
          <w:b/>
          <w:bCs/>
          <w:sz w:val="24"/>
          <w:szCs w:val="24"/>
        </w:rPr>
      </w:pPr>
      <w:r w:rsidRPr="005F01DF">
        <w:rPr>
          <w:rFonts w:ascii="Times New Roman" w:hAnsi="Times New Roman"/>
          <w:b/>
          <w:bCs/>
          <w:sz w:val="24"/>
          <w:szCs w:val="24"/>
        </w:rPr>
        <w:t xml:space="preserve">Legal Lesson Learned: </w:t>
      </w:r>
      <w:r>
        <w:rPr>
          <w:rFonts w:ascii="Times New Roman" w:hAnsi="Times New Roman"/>
          <w:b/>
          <w:bCs/>
          <w:sz w:val="24"/>
          <w:szCs w:val="24"/>
        </w:rPr>
        <w:t xml:space="preserve"> New technology leads to arrest of arsonist; evidence collected in “good faith” by law enforcement using a search warrant is admissible in evidence. </w:t>
      </w:r>
    </w:p>
    <w:p w14:paraId="13B65E1E" w14:textId="77777777" w:rsidR="004A5E38" w:rsidRPr="00B52D6C" w:rsidRDefault="004A5E38" w:rsidP="004A5E38">
      <w:pPr>
        <w:pStyle w:val="NormalWeb"/>
        <w:ind w:firstLine="720"/>
      </w:pPr>
      <w:r w:rsidRPr="00B52D6C">
        <w:t xml:space="preserve">Note: See these </w:t>
      </w:r>
      <w:r>
        <w:t xml:space="preserve">articles / TV video </w:t>
      </w:r>
      <w:r w:rsidRPr="00B52D6C">
        <w:t>about the case.</w:t>
      </w:r>
    </w:p>
    <w:p w14:paraId="56456988" w14:textId="77777777" w:rsidR="004A5E38" w:rsidRPr="00B52D6C" w:rsidRDefault="004A5E38" w:rsidP="004A5E38">
      <w:pPr>
        <w:pStyle w:val="NormalWeb"/>
        <w:ind w:left="720"/>
      </w:pPr>
      <w:r w:rsidRPr="00B52D6C">
        <w:t xml:space="preserve">Oct. 16, 2023: Google data ruled admissible in Green Valley </w:t>
      </w:r>
      <w:proofErr w:type="gramStart"/>
      <w:r w:rsidRPr="00B52D6C">
        <w:t>Ranch arson</w:t>
      </w:r>
      <w:proofErr w:type="gramEnd"/>
      <w:r w:rsidRPr="00B52D6C">
        <w:t xml:space="preserve"> case [see TV video]. </w:t>
      </w:r>
      <w:hyperlink r:id="rId166" w:history="1">
        <w:r w:rsidRPr="00B52D6C">
          <w:rPr>
            <w:rStyle w:val="Hyperlink"/>
          </w:rPr>
          <w:t>https://www.9news.com/article/news/local/denver-arson-google-data-fatal-house-fire-colorado-supreme-court-ruling/73-aca77fb3-30d9-4bac-b46c-6d4b4402af16</w:t>
        </w:r>
      </w:hyperlink>
      <w:r w:rsidRPr="00B52D6C">
        <w:t xml:space="preserve"> </w:t>
      </w:r>
    </w:p>
    <w:p w14:paraId="3FEE6EEE" w14:textId="77777777" w:rsidR="004A5E38" w:rsidRPr="00B52D6C" w:rsidRDefault="004A5E38" w:rsidP="004A5E38">
      <w:pPr>
        <w:pStyle w:val="NormalWeb"/>
        <w:ind w:left="720"/>
      </w:pPr>
      <w:r w:rsidRPr="00B52D6C">
        <w:t xml:space="preserve"> Oct. 16, 2023: Colorado Supreme Court ruled in favor of reverse-keyword search Denver Police used to track arson suspects </w:t>
      </w:r>
      <w:hyperlink r:id="rId167" w:history="1">
        <w:r w:rsidRPr="00B52D6C">
          <w:rPr>
            <w:rStyle w:val="Hyperlink"/>
          </w:rPr>
          <w:t>https://www.denver7.com/news/local-news/colorado-supreme-court-ruled-in-favor-of-reverse-keyword-search-denver-police-used-to-track-arson-suspects</w:t>
        </w:r>
      </w:hyperlink>
      <w:r w:rsidRPr="00B52D6C">
        <w:t xml:space="preserve"> </w:t>
      </w:r>
    </w:p>
    <w:p w14:paraId="0DA7925C" w14:textId="77777777" w:rsidR="00103226" w:rsidRDefault="00103226" w:rsidP="00C22EBB">
      <w:pPr>
        <w:pStyle w:val="NoSpacing"/>
        <w:rPr>
          <w:rFonts w:ascii="Arial Black" w:hAnsi="Arial Black"/>
          <w:sz w:val="24"/>
          <w:szCs w:val="24"/>
        </w:rPr>
      </w:pPr>
    </w:p>
    <w:p w14:paraId="1ABFEC2B" w14:textId="77777777" w:rsidR="00C22EBB" w:rsidRDefault="00C22EBB" w:rsidP="00F326E5">
      <w:pPr>
        <w:pStyle w:val="NoSpacing"/>
        <w:rPr>
          <w:rFonts w:ascii="Arial Black" w:hAnsi="Arial Black"/>
          <w:sz w:val="24"/>
          <w:szCs w:val="24"/>
        </w:rPr>
      </w:pPr>
    </w:p>
    <w:p w14:paraId="6A255E31" w14:textId="68A4F10A" w:rsidR="00BB49C5" w:rsidRDefault="00BB49C5" w:rsidP="00F326E5">
      <w:pPr>
        <w:pStyle w:val="NoSpacing"/>
        <w:rPr>
          <w:rFonts w:ascii="Arial Black" w:hAnsi="Arial Black"/>
          <w:sz w:val="24"/>
          <w:szCs w:val="24"/>
        </w:rPr>
      </w:pPr>
      <w:r>
        <w:rPr>
          <w:rFonts w:ascii="Arial Black" w:hAnsi="Arial Black"/>
          <w:sz w:val="24"/>
          <w:szCs w:val="24"/>
        </w:rPr>
        <w:t>1-138</w:t>
      </w:r>
    </w:p>
    <w:p w14:paraId="767D7706" w14:textId="77777777" w:rsidR="00BB49C5" w:rsidRDefault="00BB49C5" w:rsidP="00BB49C5">
      <w:pPr>
        <w:pStyle w:val="NormalWeb"/>
        <w:rPr>
          <w:rFonts w:ascii="Arial Black" w:hAnsi="Arial Black"/>
          <w:b/>
          <w:bCs/>
          <w:sz w:val="28"/>
          <w:szCs w:val="28"/>
        </w:rPr>
      </w:pPr>
      <w:r>
        <w:rPr>
          <w:rFonts w:ascii="Arial Black" w:hAnsi="Arial Black"/>
          <w:b/>
          <w:bCs/>
          <w:sz w:val="28"/>
          <w:szCs w:val="28"/>
        </w:rPr>
        <w:lastRenderedPageBreak/>
        <w:t>CA: ARSON – DELUSIONAL DEFENDANT – FIRE INVESTIGATOR: FORCED ENTRY “CARDINAL SIGN” ARSON</w:t>
      </w:r>
    </w:p>
    <w:p w14:paraId="464C0D60" w14:textId="77777777" w:rsidR="00BB49C5" w:rsidRDefault="00BB49C5" w:rsidP="00BB49C5">
      <w:pPr>
        <w:pStyle w:val="paragraph"/>
      </w:pPr>
      <w:r>
        <w:t xml:space="preserve">On Oct. 24, 2023, in </w:t>
      </w:r>
      <w:r w:rsidRPr="00A924E6">
        <w:rPr>
          <w:u w:val="single"/>
        </w:rPr>
        <w:t>The People v. Donald James Hailey</w:t>
      </w:r>
      <w:r>
        <w:t xml:space="preserve">, the California Court of Appeals, Third District, Sacramento held (3 to 0; unpublished opinion) upheld the defendant’s conviction by a jury of arson (23 years in prison).   The defendant was “delusional” – but not insane.  The Court wrote: “It was ‘either fight or flight’ in defendant's mind. Fearing there was no time to flee into the house where he was staying because he would not be able to open both the </w:t>
      </w:r>
      <w:proofErr w:type="gramStart"/>
      <w:r>
        <w:t>locked metal</w:t>
      </w:r>
      <w:proofErr w:type="gramEnd"/>
      <w:r>
        <w:t xml:space="preserve"> "crash gate" that covered the front door and the front door itself, defendant ran across the street to Sheila F.'s house. He decided to run through Sheila F.'s house because he thought the people chasing him would not follow him inside. *** Here, the record </w:t>
      </w:r>
      <w:proofErr w:type="gramStart"/>
      <w:r>
        <w:t>indicates</w:t>
      </w:r>
      <w:proofErr w:type="gramEnd"/>
      <w:r>
        <w:t xml:space="preserve"> defendant may have been delusional on New Year's Day 2020 when he committed his crimes. But the record does not suggest defendant was unable at his May 2021 trial to consult with his lawyer with a reasonable degree of rational understanding. The suggestion of a discrete delusional episode 17 months prior to trial that led to a temporary not guilty by reason of insanity plea, without more, does not amount to substantial evidence of incompetence to stand trial.” </w:t>
      </w:r>
      <w:hyperlink r:id="rId168" w:history="1">
        <w:r w:rsidRPr="0097451D">
          <w:rPr>
            <w:rStyle w:val="Hyperlink"/>
          </w:rPr>
          <w:t>https://casetext.com/case/people-v-hailey-43</w:t>
        </w:r>
      </w:hyperlink>
      <w:r>
        <w:t xml:space="preserve"> </w:t>
      </w:r>
    </w:p>
    <w:p w14:paraId="6AFE1EE9" w14:textId="77777777" w:rsidR="00BB49C5" w:rsidRPr="004E6FE0" w:rsidRDefault="00BB49C5" w:rsidP="00BB49C5">
      <w:pPr>
        <w:pStyle w:val="paragraph"/>
        <w:rPr>
          <w:b/>
          <w:bCs/>
        </w:rPr>
      </w:pPr>
      <w:r w:rsidRPr="004E6FE0">
        <w:rPr>
          <w:b/>
          <w:bCs/>
        </w:rPr>
        <w:t>Legal Lesson Learned: The fire investigator was qualified as an expert</w:t>
      </w:r>
      <w:r>
        <w:rPr>
          <w:b/>
          <w:bCs/>
        </w:rPr>
        <w:t xml:space="preserve">. </w:t>
      </w:r>
    </w:p>
    <w:p w14:paraId="31F4AFF4" w14:textId="77777777" w:rsidR="00BB49C5" w:rsidRDefault="00BB49C5" w:rsidP="00BB49C5">
      <w:pPr>
        <w:pStyle w:val="paragraph"/>
        <w:ind w:left="720"/>
      </w:pPr>
      <w:r>
        <w:t xml:space="preserve">Note: “Defendant's expert witness was a fire investigator with the Sacramento Fire Department from 1991 to 1993. He testified the cause of the fire should have </w:t>
      </w:r>
      <w:proofErr w:type="gramStart"/>
      <w:r>
        <w:t>been ‘undetermined</w:t>
      </w:r>
      <w:proofErr w:type="gramEnd"/>
      <w:r>
        <w:t>,’ because the investigation was insufficient to rule out multiple causes of the fire, and he did not believe Sheila F.'s assertion she only smoked outside her home. The defense expert explained that a smoldering item (like a cigarette) could have ignited into an open flame by drafts of air that occurred when defendant broke down Sheila F.'s front door and/or when Sheila F. opened the sliding glass door in her bedroom.”</w:t>
      </w:r>
    </w:p>
    <w:p w14:paraId="3DC62B72" w14:textId="77777777" w:rsidR="00BB49C5" w:rsidRDefault="00BB49C5" w:rsidP="00F326E5">
      <w:pPr>
        <w:pStyle w:val="NoSpacing"/>
        <w:rPr>
          <w:rFonts w:ascii="Arial Black" w:hAnsi="Arial Black"/>
          <w:sz w:val="24"/>
          <w:szCs w:val="24"/>
        </w:rPr>
      </w:pPr>
    </w:p>
    <w:p w14:paraId="0260EA87" w14:textId="77777777" w:rsidR="00BB49C5" w:rsidRDefault="00BB49C5" w:rsidP="00F326E5">
      <w:pPr>
        <w:pStyle w:val="NoSpacing"/>
        <w:rPr>
          <w:rFonts w:ascii="Arial Black" w:hAnsi="Arial Black"/>
          <w:sz w:val="24"/>
          <w:szCs w:val="24"/>
        </w:rPr>
      </w:pPr>
    </w:p>
    <w:p w14:paraId="59EEB3DE" w14:textId="77777777" w:rsidR="00BB49C5" w:rsidRDefault="00BB49C5" w:rsidP="00F326E5">
      <w:pPr>
        <w:pStyle w:val="NoSpacing"/>
        <w:rPr>
          <w:rFonts w:ascii="Arial Black" w:hAnsi="Arial Black"/>
          <w:sz w:val="24"/>
          <w:szCs w:val="24"/>
        </w:rPr>
      </w:pPr>
    </w:p>
    <w:p w14:paraId="13C066FD" w14:textId="5B11EE45" w:rsidR="0056123D" w:rsidRDefault="0056123D" w:rsidP="00F326E5">
      <w:pPr>
        <w:pStyle w:val="NoSpacing"/>
        <w:rPr>
          <w:rFonts w:ascii="Arial Black" w:hAnsi="Arial Black"/>
          <w:sz w:val="24"/>
          <w:szCs w:val="24"/>
        </w:rPr>
      </w:pPr>
      <w:r>
        <w:rPr>
          <w:rFonts w:ascii="Arial Black" w:hAnsi="Arial Black"/>
          <w:sz w:val="24"/>
          <w:szCs w:val="24"/>
        </w:rPr>
        <w:t>1-137</w:t>
      </w:r>
    </w:p>
    <w:p w14:paraId="4DED4E29" w14:textId="77777777" w:rsidR="0056123D" w:rsidRDefault="0056123D" w:rsidP="00F326E5">
      <w:pPr>
        <w:pStyle w:val="NoSpacing"/>
        <w:rPr>
          <w:rFonts w:ascii="Arial Black" w:hAnsi="Arial Black"/>
          <w:sz w:val="24"/>
          <w:szCs w:val="24"/>
        </w:rPr>
      </w:pPr>
    </w:p>
    <w:p w14:paraId="4B74343D" w14:textId="77777777" w:rsidR="0056123D" w:rsidRPr="007A2CFD" w:rsidRDefault="0056123D" w:rsidP="0056123D">
      <w:pPr>
        <w:pStyle w:val="NoSpacing"/>
        <w:rPr>
          <w:rFonts w:ascii="Arial Black" w:hAnsi="Arial Black"/>
          <w:sz w:val="28"/>
          <w:szCs w:val="28"/>
        </w:rPr>
      </w:pPr>
      <w:r>
        <w:rPr>
          <w:rFonts w:ascii="Arial Black" w:hAnsi="Arial Black"/>
          <w:sz w:val="28"/>
          <w:szCs w:val="28"/>
        </w:rPr>
        <w:t xml:space="preserve">AR: BLDG FIRE – OWNER REFUSED TALK TO ARSON INVESTIGATORS – SEARCH WARRANTS – QUAL. IMMUNITY </w:t>
      </w:r>
    </w:p>
    <w:p w14:paraId="4404D9FB" w14:textId="77777777" w:rsidR="0056123D" w:rsidRDefault="0056123D" w:rsidP="0056123D">
      <w:pPr>
        <w:pStyle w:val="NoSpacing"/>
        <w:rPr>
          <w:rFonts w:ascii="Times New Roman" w:hAnsi="Times New Roman"/>
          <w:sz w:val="24"/>
          <w:szCs w:val="24"/>
        </w:rPr>
      </w:pPr>
    </w:p>
    <w:p w14:paraId="092B5983" w14:textId="77777777" w:rsidR="0056123D" w:rsidRDefault="0056123D" w:rsidP="0056123D">
      <w:pPr>
        <w:pStyle w:val="NoSpacing"/>
        <w:rPr>
          <w:rFonts w:ascii="Times New Roman" w:hAnsi="Times New Roman"/>
          <w:sz w:val="24"/>
          <w:szCs w:val="24"/>
        </w:rPr>
      </w:pPr>
      <w:r>
        <w:rPr>
          <w:rFonts w:ascii="Times New Roman" w:hAnsi="Times New Roman"/>
          <w:sz w:val="24"/>
          <w:szCs w:val="24"/>
        </w:rPr>
        <w:t xml:space="preserve">On Sept. 29, 2023 in </w:t>
      </w:r>
      <w:r w:rsidRPr="007A2CFD">
        <w:rPr>
          <w:rFonts w:ascii="Times New Roman" w:hAnsi="Times New Roman"/>
          <w:sz w:val="24"/>
          <w:szCs w:val="24"/>
          <w:u w:val="single"/>
        </w:rPr>
        <w:t>Greg Moore and Patricia More, et al. v. Sean Garnand, Detective, Dain Salisbury, Sergeant, et al</w:t>
      </w:r>
      <w:r>
        <w:rPr>
          <w:rFonts w:ascii="Times New Roman" w:hAnsi="Times New Roman"/>
          <w:sz w:val="24"/>
          <w:szCs w:val="24"/>
        </w:rPr>
        <w:t xml:space="preserve">., the U.S. Court of Appeals for Ninth Circuit (San Francisco) held (3 to 0) that trial court judge improperly denied the City of Tucson arson investigator’s motion to dismiss until completion of pre-trial discovery.  They enjoy qualified immunity since there is no clearly established law prohibiting arson investigators from launching full investigation when person refuses to talk after June 8, </w:t>
      </w:r>
      <w:proofErr w:type="gramStart"/>
      <w:r>
        <w:rPr>
          <w:rFonts w:ascii="Times New Roman" w:hAnsi="Times New Roman"/>
          <w:sz w:val="24"/>
          <w:szCs w:val="24"/>
        </w:rPr>
        <w:t>2017</w:t>
      </w:r>
      <w:proofErr w:type="gramEnd"/>
      <w:r>
        <w:rPr>
          <w:rFonts w:ascii="Times New Roman" w:hAnsi="Times New Roman"/>
          <w:sz w:val="24"/>
          <w:szCs w:val="24"/>
        </w:rPr>
        <w:t xml:space="preserve"> arson fire in a building he owned.  Investigators met at his office, and pursuant to search warrant seized his cell phone; they took him to jail where DNA was obtained. Five days later they executed a search </w:t>
      </w:r>
      <w:proofErr w:type="gramStart"/>
      <w:r>
        <w:rPr>
          <w:rFonts w:ascii="Times New Roman" w:hAnsi="Times New Roman"/>
          <w:sz w:val="24"/>
          <w:szCs w:val="24"/>
        </w:rPr>
        <w:t>warrant</w:t>
      </w:r>
      <w:proofErr w:type="gramEnd"/>
      <w:r>
        <w:rPr>
          <w:rFonts w:ascii="Times New Roman" w:hAnsi="Times New Roman"/>
          <w:sz w:val="24"/>
          <w:szCs w:val="24"/>
        </w:rPr>
        <w:t xml:space="preserve"> his office and home, and </w:t>
      </w:r>
      <w:proofErr w:type="gramStart"/>
      <w:r>
        <w:rPr>
          <w:rFonts w:ascii="Times New Roman" w:hAnsi="Times New Roman"/>
          <w:sz w:val="24"/>
          <w:szCs w:val="24"/>
        </w:rPr>
        <w:t>opening</w:t>
      </w:r>
      <w:proofErr w:type="gramEnd"/>
      <w:r>
        <w:rPr>
          <w:rFonts w:ascii="Times New Roman" w:hAnsi="Times New Roman"/>
          <w:sz w:val="24"/>
          <w:szCs w:val="24"/>
        </w:rPr>
        <w:t xml:space="preserve"> financial fraud investigation.  He was never charged with arson or other offenses.  </w:t>
      </w:r>
    </w:p>
    <w:p w14:paraId="5F15BC92" w14:textId="77777777" w:rsidR="0056123D" w:rsidRDefault="0056123D" w:rsidP="0056123D">
      <w:pPr>
        <w:pStyle w:val="NoSpacing"/>
        <w:rPr>
          <w:rFonts w:ascii="Times New Roman" w:hAnsi="Times New Roman"/>
          <w:sz w:val="24"/>
          <w:szCs w:val="24"/>
        </w:rPr>
      </w:pPr>
    </w:p>
    <w:p w14:paraId="5FF01FE7"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w:t>
      </w:r>
      <w:r w:rsidRPr="007A2CFD">
        <w:rPr>
          <w:rFonts w:ascii="Times New Roman" w:hAnsi="Times New Roman"/>
          <w:sz w:val="24"/>
          <w:szCs w:val="24"/>
        </w:rPr>
        <w:t>We have jurisdiction over the district court’s denial of</w:t>
      </w:r>
      <w:r>
        <w:rPr>
          <w:rFonts w:ascii="Times New Roman" w:hAnsi="Times New Roman"/>
          <w:sz w:val="24"/>
          <w:szCs w:val="24"/>
        </w:rPr>
        <w:t xml:space="preserve"> </w:t>
      </w:r>
      <w:r w:rsidRPr="007A2CFD">
        <w:rPr>
          <w:rFonts w:ascii="Times New Roman" w:hAnsi="Times New Roman"/>
          <w:sz w:val="24"/>
          <w:szCs w:val="24"/>
        </w:rPr>
        <w:t>qualified immunity as to Plaintiffs’ First Amendment claims</w:t>
      </w:r>
      <w:r>
        <w:rPr>
          <w:rFonts w:ascii="Times New Roman" w:hAnsi="Times New Roman"/>
          <w:sz w:val="24"/>
          <w:szCs w:val="24"/>
        </w:rPr>
        <w:t xml:space="preserve"> </w:t>
      </w:r>
      <w:r w:rsidRPr="007A2CFD">
        <w:rPr>
          <w:rFonts w:ascii="Times New Roman" w:hAnsi="Times New Roman"/>
          <w:sz w:val="24"/>
          <w:szCs w:val="24"/>
        </w:rPr>
        <w:t>because Defendants present a purely legal issue: whether,</w:t>
      </w:r>
      <w:r>
        <w:rPr>
          <w:rFonts w:ascii="Times New Roman" w:hAnsi="Times New Roman"/>
          <w:sz w:val="24"/>
          <w:szCs w:val="24"/>
        </w:rPr>
        <w:t xml:space="preserve"> </w:t>
      </w:r>
      <w:r w:rsidRPr="007A2CFD">
        <w:rPr>
          <w:rFonts w:ascii="Times New Roman" w:hAnsi="Times New Roman"/>
          <w:sz w:val="24"/>
          <w:szCs w:val="24"/>
        </w:rPr>
        <w:t>taking as true Plaintiffs’ version of the facts, it was clearly</w:t>
      </w:r>
      <w:r>
        <w:rPr>
          <w:rFonts w:ascii="Times New Roman" w:hAnsi="Times New Roman"/>
          <w:sz w:val="24"/>
          <w:szCs w:val="24"/>
        </w:rPr>
        <w:t xml:space="preserve"> </w:t>
      </w:r>
      <w:r w:rsidRPr="007A2CFD">
        <w:rPr>
          <w:rFonts w:ascii="Times New Roman" w:hAnsi="Times New Roman"/>
          <w:sz w:val="24"/>
          <w:szCs w:val="24"/>
        </w:rPr>
        <w:t>established that Defendants’ conduct violated Plaintiffs’</w:t>
      </w:r>
      <w:r>
        <w:rPr>
          <w:rFonts w:ascii="Times New Roman" w:hAnsi="Times New Roman"/>
          <w:sz w:val="24"/>
          <w:szCs w:val="24"/>
        </w:rPr>
        <w:t xml:space="preserve"> </w:t>
      </w:r>
      <w:r w:rsidRPr="007A2CFD">
        <w:rPr>
          <w:rFonts w:ascii="Times New Roman" w:hAnsi="Times New Roman"/>
          <w:sz w:val="24"/>
          <w:szCs w:val="24"/>
        </w:rPr>
        <w:t>First Amendment rights. Plaintiffs fail to show that</w:t>
      </w:r>
      <w:r>
        <w:rPr>
          <w:rFonts w:ascii="Times New Roman" w:hAnsi="Times New Roman"/>
          <w:sz w:val="24"/>
          <w:szCs w:val="24"/>
        </w:rPr>
        <w:t xml:space="preserve"> </w:t>
      </w:r>
      <w:r w:rsidRPr="007A2CFD">
        <w:rPr>
          <w:rFonts w:ascii="Times New Roman" w:hAnsi="Times New Roman"/>
          <w:sz w:val="24"/>
          <w:szCs w:val="24"/>
        </w:rPr>
        <w:t>Defendants’ conduct violated clearly established law. Thus,</w:t>
      </w:r>
      <w:r>
        <w:rPr>
          <w:rFonts w:ascii="Times New Roman" w:hAnsi="Times New Roman"/>
          <w:sz w:val="24"/>
          <w:szCs w:val="24"/>
        </w:rPr>
        <w:t xml:space="preserve"> </w:t>
      </w:r>
      <w:r w:rsidRPr="007A2CFD">
        <w:rPr>
          <w:rFonts w:ascii="Times New Roman" w:hAnsi="Times New Roman"/>
          <w:sz w:val="24"/>
          <w:szCs w:val="24"/>
        </w:rPr>
        <w:t>Defendants are entitled to qualified immunity on the First</w:t>
      </w:r>
      <w:r>
        <w:rPr>
          <w:rFonts w:ascii="Times New Roman" w:hAnsi="Times New Roman"/>
          <w:sz w:val="24"/>
          <w:szCs w:val="24"/>
        </w:rPr>
        <w:t xml:space="preserve"> </w:t>
      </w:r>
      <w:r w:rsidRPr="007A2CFD">
        <w:rPr>
          <w:rFonts w:ascii="Times New Roman" w:hAnsi="Times New Roman"/>
          <w:sz w:val="24"/>
          <w:szCs w:val="24"/>
        </w:rPr>
        <w:t>Amendment claims, and we reverse the district court’s denial of summary judgment as to the First Amendment</w:t>
      </w:r>
      <w:r>
        <w:rPr>
          <w:rFonts w:ascii="Times New Roman" w:hAnsi="Times New Roman"/>
          <w:sz w:val="24"/>
          <w:szCs w:val="24"/>
        </w:rPr>
        <w:t xml:space="preserve"> </w:t>
      </w:r>
      <w:r w:rsidRPr="007A2CFD">
        <w:rPr>
          <w:rFonts w:ascii="Times New Roman" w:hAnsi="Times New Roman"/>
          <w:sz w:val="24"/>
          <w:szCs w:val="24"/>
        </w:rPr>
        <w:t>claims</w:t>
      </w:r>
      <w:r>
        <w:rPr>
          <w:rFonts w:ascii="Times New Roman" w:hAnsi="Times New Roman"/>
          <w:sz w:val="24"/>
          <w:szCs w:val="24"/>
        </w:rPr>
        <w:t>.</w:t>
      </w:r>
    </w:p>
    <w:p w14:paraId="1A04CC38" w14:textId="77777777" w:rsidR="0056123D" w:rsidRDefault="0056123D" w:rsidP="0056123D">
      <w:pPr>
        <w:pStyle w:val="NoSpacing"/>
        <w:ind w:left="720"/>
        <w:rPr>
          <w:rFonts w:ascii="Times New Roman" w:hAnsi="Times New Roman"/>
          <w:sz w:val="24"/>
          <w:szCs w:val="24"/>
        </w:rPr>
      </w:pPr>
    </w:p>
    <w:p w14:paraId="451B3804"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lastRenderedPageBreak/>
        <w:t>***</w:t>
      </w:r>
    </w:p>
    <w:p w14:paraId="4040C9B8" w14:textId="77777777" w:rsidR="0056123D" w:rsidRPr="005E396A" w:rsidRDefault="0056123D" w:rsidP="0056123D">
      <w:pPr>
        <w:pStyle w:val="NoSpacing"/>
        <w:ind w:left="720"/>
        <w:rPr>
          <w:rFonts w:ascii="Times New Roman" w:hAnsi="Times New Roman"/>
          <w:sz w:val="24"/>
          <w:szCs w:val="24"/>
        </w:rPr>
      </w:pPr>
      <w:r w:rsidRPr="005E396A">
        <w:rPr>
          <w:rFonts w:ascii="Times New Roman" w:hAnsi="Times New Roman"/>
          <w:sz w:val="24"/>
          <w:szCs w:val="24"/>
        </w:rPr>
        <w:t>We</w:t>
      </w:r>
      <w:r>
        <w:rPr>
          <w:rFonts w:ascii="Times New Roman" w:hAnsi="Times New Roman"/>
          <w:sz w:val="24"/>
          <w:szCs w:val="24"/>
        </w:rPr>
        <w:t xml:space="preserve"> </w:t>
      </w:r>
      <w:r w:rsidRPr="005E396A">
        <w:rPr>
          <w:rFonts w:ascii="Times New Roman" w:hAnsi="Times New Roman"/>
          <w:sz w:val="24"/>
          <w:szCs w:val="24"/>
        </w:rPr>
        <w:t xml:space="preserve">reasoned that jurisdiction was proper </w:t>
      </w:r>
      <w:proofErr w:type="gramStart"/>
      <w:r w:rsidRPr="005E396A">
        <w:rPr>
          <w:rFonts w:ascii="Times New Roman" w:hAnsi="Times New Roman"/>
          <w:sz w:val="24"/>
          <w:szCs w:val="24"/>
        </w:rPr>
        <w:t xml:space="preserve">because </w:t>
      </w:r>
      <w:r>
        <w:rPr>
          <w:rFonts w:ascii="Times New Roman" w:hAnsi="Times New Roman"/>
          <w:sz w:val="24"/>
          <w:szCs w:val="24"/>
        </w:rPr>
        <w:t>‘</w:t>
      </w:r>
      <w:r w:rsidRPr="005E396A">
        <w:rPr>
          <w:rFonts w:ascii="Times New Roman" w:hAnsi="Times New Roman"/>
          <w:sz w:val="24"/>
          <w:szCs w:val="24"/>
        </w:rPr>
        <w:t>[</w:t>
      </w:r>
      <w:proofErr w:type="gramEnd"/>
      <w:r w:rsidRPr="005E396A">
        <w:rPr>
          <w:rFonts w:ascii="Times New Roman" w:hAnsi="Times New Roman"/>
          <w:sz w:val="24"/>
          <w:szCs w:val="24"/>
        </w:rPr>
        <w:t>f]</w:t>
      </w:r>
      <w:proofErr w:type="spellStart"/>
      <w:r w:rsidRPr="005E396A">
        <w:rPr>
          <w:rFonts w:ascii="Times New Roman" w:hAnsi="Times New Roman"/>
          <w:sz w:val="24"/>
          <w:szCs w:val="24"/>
        </w:rPr>
        <w:t>orcing</w:t>
      </w:r>
      <w:proofErr w:type="spellEnd"/>
      <w:r w:rsidRPr="005E396A">
        <w:rPr>
          <w:rFonts w:ascii="Times New Roman" w:hAnsi="Times New Roman"/>
          <w:sz w:val="24"/>
          <w:szCs w:val="24"/>
        </w:rPr>
        <w:t xml:space="preserve"> the</w:t>
      </w:r>
      <w:r>
        <w:rPr>
          <w:rFonts w:ascii="Times New Roman" w:hAnsi="Times New Roman"/>
          <w:sz w:val="24"/>
          <w:szCs w:val="24"/>
        </w:rPr>
        <w:t xml:space="preserve"> </w:t>
      </w:r>
      <w:r w:rsidRPr="005E396A">
        <w:rPr>
          <w:rFonts w:ascii="Times New Roman" w:hAnsi="Times New Roman"/>
          <w:sz w:val="24"/>
          <w:szCs w:val="24"/>
        </w:rPr>
        <w:t>defendant officers to undergo discovery, without the</w:t>
      </w:r>
      <w:r>
        <w:rPr>
          <w:rFonts w:ascii="Times New Roman" w:hAnsi="Times New Roman"/>
          <w:sz w:val="24"/>
          <w:szCs w:val="24"/>
        </w:rPr>
        <w:t xml:space="preserve"> </w:t>
      </w:r>
      <w:r w:rsidRPr="005E396A">
        <w:rPr>
          <w:rFonts w:ascii="Times New Roman" w:hAnsi="Times New Roman"/>
          <w:sz w:val="24"/>
          <w:szCs w:val="24"/>
        </w:rPr>
        <w:t>immunity to the burdens of discovery the officers might</w:t>
      </w:r>
    </w:p>
    <w:p w14:paraId="57ED737C" w14:textId="4F322874" w:rsidR="0056123D" w:rsidRDefault="0056123D" w:rsidP="0056123D">
      <w:pPr>
        <w:pStyle w:val="NoSpacing"/>
        <w:ind w:left="720"/>
        <w:rPr>
          <w:rFonts w:ascii="Arial Black" w:hAnsi="Arial Black"/>
          <w:sz w:val="24"/>
          <w:szCs w:val="24"/>
        </w:rPr>
      </w:pPr>
      <w:r w:rsidRPr="005E396A">
        <w:rPr>
          <w:rFonts w:ascii="Times New Roman" w:hAnsi="Times New Roman"/>
          <w:sz w:val="24"/>
          <w:szCs w:val="24"/>
        </w:rPr>
        <w:t>possess.</w:t>
      </w:r>
      <w:r>
        <w:rPr>
          <w:rFonts w:ascii="Times New Roman" w:hAnsi="Times New Roman"/>
          <w:sz w:val="24"/>
          <w:szCs w:val="24"/>
        </w:rPr>
        <w:t>’</w:t>
      </w:r>
      <w:r w:rsidRPr="005E396A">
        <w:rPr>
          <w:rFonts w:ascii="Times New Roman" w:hAnsi="Times New Roman"/>
          <w:sz w:val="24"/>
          <w:szCs w:val="24"/>
        </w:rPr>
        <w:t xml:space="preserve"> Id.; see also Behrens v. Pelletier, 516 U.S. 299,</w:t>
      </w:r>
      <w:r>
        <w:rPr>
          <w:rFonts w:ascii="Times New Roman" w:hAnsi="Times New Roman"/>
          <w:sz w:val="24"/>
          <w:szCs w:val="24"/>
        </w:rPr>
        <w:t xml:space="preserve"> </w:t>
      </w:r>
      <w:r w:rsidRPr="005E396A">
        <w:rPr>
          <w:rFonts w:ascii="Times New Roman" w:hAnsi="Times New Roman"/>
          <w:sz w:val="24"/>
          <w:szCs w:val="24"/>
        </w:rPr>
        <w:t>308 (1996) (holding that qualified immunity gives</w:t>
      </w:r>
      <w:r>
        <w:rPr>
          <w:rFonts w:ascii="Times New Roman" w:hAnsi="Times New Roman"/>
          <w:sz w:val="24"/>
          <w:szCs w:val="24"/>
        </w:rPr>
        <w:t xml:space="preserve"> </w:t>
      </w:r>
      <w:r w:rsidRPr="005E396A">
        <w:rPr>
          <w:rFonts w:ascii="Times New Roman" w:hAnsi="Times New Roman"/>
          <w:sz w:val="24"/>
          <w:szCs w:val="24"/>
        </w:rPr>
        <w:t>government officials a right “not merely to avoid standing</w:t>
      </w:r>
      <w:r>
        <w:rPr>
          <w:rFonts w:ascii="Times New Roman" w:hAnsi="Times New Roman"/>
          <w:sz w:val="24"/>
          <w:szCs w:val="24"/>
        </w:rPr>
        <w:t xml:space="preserve"> </w:t>
      </w:r>
      <w:r w:rsidRPr="005E396A">
        <w:rPr>
          <w:rFonts w:ascii="Times New Roman" w:hAnsi="Times New Roman"/>
          <w:sz w:val="24"/>
          <w:szCs w:val="24"/>
        </w:rPr>
        <w:t>trial, but also to avoid the burdens of such pretrial matters as</w:t>
      </w:r>
      <w:r>
        <w:rPr>
          <w:rFonts w:ascii="Times New Roman" w:hAnsi="Times New Roman"/>
          <w:sz w:val="24"/>
          <w:szCs w:val="24"/>
        </w:rPr>
        <w:t xml:space="preserve"> </w:t>
      </w:r>
      <w:r w:rsidRPr="005E396A">
        <w:rPr>
          <w:rFonts w:ascii="Times New Roman" w:hAnsi="Times New Roman"/>
          <w:sz w:val="24"/>
          <w:szCs w:val="24"/>
        </w:rPr>
        <w:t>discovery” (internal quotation marks and emphasis omitted)</w:t>
      </w:r>
      <w:r>
        <w:rPr>
          <w:rFonts w:ascii="Times New Roman" w:hAnsi="Times New Roman"/>
          <w:sz w:val="24"/>
          <w:szCs w:val="24"/>
        </w:rPr>
        <w:t xml:space="preserve"> </w:t>
      </w:r>
      <w:r w:rsidRPr="005E396A">
        <w:rPr>
          <w:rFonts w:ascii="Times New Roman" w:hAnsi="Times New Roman"/>
          <w:sz w:val="24"/>
          <w:szCs w:val="24"/>
        </w:rPr>
        <w:t>(quoting Mitchell v. Forsyth, 472 U.S. 511, 526 (1985)));</w:t>
      </w:r>
      <w:r>
        <w:rPr>
          <w:rFonts w:ascii="Times New Roman" w:hAnsi="Times New Roman"/>
          <w:sz w:val="24"/>
          <w:szCs w:val="24"/>
        </w:rPr>
        <w:t xml:space="preserve"> </w:t>
      </w:r>
      <w:r w:rsidRPr="005E396A">
        <w:rPr>
          <w:rFonts w:ascii="Times New Roman" w:hAnsi="Times New Roman"/>
          <w:sz w:val="24"/>
          <w:szCs w:val="24"/>
        </w:rPr>
        <w:t>Moss v. U.S. Secret Serv., 572 F.3d 962, 973 (9th Cir. 2009)</w:t>
      </w:r>
      <w:r>
        <w:rPr>
          <w:rFonts w:ascii="Times New Roman" w:hAnsi="Times New Roman"/>
          <w:sz w:val="24"/>
          <w:szCs w:val="24"/>
        </w:rPr>
        <w:t xml:space="preserve">. </w:t>
      </w:r>
      <w:proofErr w:type="gramStart"/>
      <w:r w:rsidRPr="005E396A">
        <w:rPr>
          <w:rFonts w:ascii="Times New Roman" w:hAnsi="Times New Roman"/>
          <w:sz w:val="24"/>
          <w:szCs w:val="24"/>
        </w:rPr>
        <w:t>(</w:t>
      </w:r>
      <w:r>
        <w:rPr>
          <w:rFonts w:ascii="Times New Roman" w:hAnsi="Times New Roman"/>
          <w:sz w:val="24"/>
          <w:szCs w:val="24"/>
        </w:rPr>
        <w:t>‘</w:t>
      </w:r>
      <w:r w:rsidRPr="005E396A">
        <w:rPr>
          <w:rFonts w:ascii="Times New Roman" w:hAnsi="Times New Roman"/>
          <w:sz w:val="24"/>
          <w:szCs w:val="24"/>
        </w:rPr>
        <w:t>[</w:t>
      </w:r>
      <w:proofErr w:type="gramEnd"/>
      <w:r w:rsidRPr="005E396A">
        <w:rPr>
          <w:rFonts w:ascii="Times New Roman" w:hAnsi="Times New Roman"/>
          <w:sz w:val="24"/>
          <w:szCs w:val="24"/>
        </w:rPr>
        <w:t>A]</w:t>
      </w:r>
      <w:proofErr w:type="gramStart"/>
      <w:r w:rsidRPr="005E396A">
        <w:rPr>
          <w:rFonts w:ascii="Times New Roman" w:hAnsi="Times New Roman"/>
          <w:sz w:val="24"/>
          <w:szCs w:val="24"/>
        </w:rPr>
        <w:t>n order</w:t>
      </w:r>
      <w:proofErr w:type="gramEnd"/>
      <w:r w:rsidRPr="005E396A">
        <w:rPr>
          <w:rFonts w:ascii="Times New Roman" w:hAnsi="Times New Roman"/>
          <w:sz w:val="24"/>
          <w:szCs w:val="24"/>
        </w:rPr>
        <w:t xml:space="preserve"> clearing the way for burdensome pre-trial</w:t>
      </w:r>
      <w:r>
        <w:rPr>
          <w:rFonts w:ascii="Times New Roman" w:hAnsi="Times New Roman"/>
          <w:sz w:val="24"/>
          <w:szCs w:val="24"/>
        </w:rPr>
        <w:t xml:space="preserve"> </w:t>
      </w:r>
      <w:r w:rsidRPr="005E396A">
        <w:rPr>
          <w:rFonts w:ascii="Times New Roman" w:hAnsi="Times New Roman"/>
          <w:sz w:val="24"/>
          <w:szCs w:val="24"/>
        </w:rPr>
        <w:t>discovery obligations renders the denial of immunity</w:t>
      </w:r>
      <w:r>
        <w:rPr>
          <w:rFonts w:ascii="Times New Roman" w:hAnsi="Times New Roman"/>
          <w:sz w:val="24"/>
          <w:szCs w:val="24"/>
        </w:rPr>
        <w:t xml:space="preserve"> </w:t>
      </w:r>
      <w:r w:rsidRPr="005E396A">
        <w:rPr>
          <w:rFonts w:ascii="Times New Roman" w:hAnsi="Times New Roman"/>
          <w:sz w:val="24"/>
          <w:szCs w:val="24"/>
        </w:rPr>
        <w:t>effectively unreviewable on appeal from final judgment—</w:t>
      </w:r>
      <w:r>
        <w:rPr>
          <w:rFonts w:ascii="Times New Roman" w:hAnsi="Times New Roman"/>
          <w:sz w:val="24"/>
          <w:szCs w:val="24"/>
        </w:rPr>
        <w:t xml:space="preserve"> </w:t>
      </w:r>
      <w:r w:rsidRPr="005E396A">
        <w:rPr>
          <w:rFonts w:ascii="Times New Roman" w:hAnsi="Times New Roman"/>
          <w:sz w:val="24"/>
          <w:szCs w:val="24"/>
        </w:rPr>
        <w:t>immunity from suit is of no use at that late stage.</w:t>
      </w:r>
      <w:r>
        <w:rPr>
          <w:rFonts w:ascii="Times New Roman" w:hAnsi="Times New Roman"/>
          <w:sz w:val="24"/>
          <w:szCs w:val="24"/>
        </w:rPr>
        <w:t>’</w:t>
      </w:r>
      <w:proofErr w:type="gramStart"/>
      <w:r w:rsidRPr="005E396A">
        <w:rPr>
          <w:rFonts w:ascii="Times New Roman" w:hAnsi="Times New Roman"/>
          <w:sz w:val="24"/>
          <w:szCs w:val="24"/>
        </w:rPr>
        <w:t>).</w:t>
      </w:r>
      <w:r>
        <w:rPr>
          <w:rFonts w:ascii="Times New Roman" w:hAnsi="Times New Roman"/>
          <w:sz w:val="24"/>
          <w:szCs w:val="24"/>
        </w:rPr>
        <w:t>”</w:t>
      </w:r>
      <w:proofErr w:type="gramEnd"/>
      <w:r>
        <w:rPr>
          <w:rFonts w:ascii="Times New Roman" w:hAnsi="Times New Roman"/>
          <w:sz w:val="24"/>
          <w:szCs w:val="24"/>
        </w:rPr>
        <w:t xml:space="preserve"> </w:t>
      </w:r>
      <w:hyperlink r:id="rId169" w:history="1">
        <w:r w:rsidRPr="00537EB6">
          <w:rPr>
            <w:rStyle w:val="Hyperlink"/>
            <w:rFonts w:ascii="Times New Roman" w:hAnsi="Times New Roman"/>
            <w:sz w:val="24"/>
            <w:szCs w:val="24"/>
          </w:rPr>
          <w:t>https://cases.justia.com/federal/appellate-courts/ca9/22-16236/22-16236-2023-09-29.pdf?ts=1696005037</w:t>
        </w:r>
      </w:hyperlink>
    </w:p>
    <w:p w14:paraId="27FC9D33" w14:textId="77777777" w:rsidR="0056123D" w:rsidRDefault="0056123D" w:rsidP="00F326E5">
      <w:pPr>
        <w:pStyle w:val="NoSpacing"/>
        <w:rPr>
          <w:rFonts w:ascii="Arial Black" w:hAnsi="Arial Black"/>
          <w:sz w:val="24"/>
          <w:szCs w:val="24"/>
        </w:rPr>
      </w:pPr>
    </w:p>
    <w:p w14:paraId="09AD3F0C" w14:textId="77777777" w:rsidR="0056123D" w:rsidRDefault="0056123D" w:rsidP="0056123D">
      <w:pPr>
        <w:pStyle w:val="NoSpacing"/>
        <w:rPr>
          <w:rFonts w:ascii="Times New Roman" w:hAnsi="Times New Roman"/>
          <w:sz w:val="24"/>
          <w:szCs w:val="24"/>
        </w:rPr>
      </w:pPr>
      <w:r w:rsidRPr="005E396A">
        <w:rPr>
          <w:rFonts w:ascii="Times New Roman" w:hAnsi="Times New Roman"/>
          <w:b/>
          <w:bCs/>
          <w:sz w:val="24"/>
          <w:szCs w:val="24"/>
        </w:rPr>
        <w:t xml:space="preserve">Legal Lesson Learned: </w:t>
      </w:r>
      <w:r>
        <w:rPr>
          <w:rFonts w:ascii="Times New Roman" w:hAnsi="Times New Roman"/>
          <w:b/>
          <w:bCs/>
          <w:sz w:val="24"/>
          <w:szCs w:val="24"/>
        </w:rPr>
        <w:t xml:space="preserve">The law provides qualified immunity for investigators who aggressively investigate; trial court should delay granting investigators’ motion to dismiss while pre-trial discovery proceeds. </w:t>
      </w:r>
    </w:p>
    <w:p w14:paraId="56586F92" w14:textId="77777777" w:rsidR="0056123D" w:rsidRPr="00B931CF" w:rsidRDefault="0056123D" w:rsidP="0056123D">
      <w:pPr>
        <w:pStyle w:val="NoSpacing"/>
        <w:rPr>
          <w:rFonts w:ascii="Times New Roman" w:hAnsi="Times New Roman"/>
          <w:sz w:val="24"/>
          <w:szCs w:val="24"/>
        </w:rPr>
      </w:pPr>
    </w:p>
    <w:p w14:paraId="14233318" w14:textId="77777777" w:rsidR="0056123D" w:rsidRDefault="0056123D" w:rsidP="00F326E5">
      <w:pPr>
        <w:pStyle w:val="NoSpacing"/>
        <w:rPr>
          <w:rFonts w:ascii="Arial Black" w:hAnsi="Arial Black"/>
          <w:sz w:val="24"/>
          <w:szCs w:val="24"/>
        </w:rPr>
      </w:pPr>
    </w:p>
    <w:p w14:paraId="362464BB" w14:textId="77777777" w:rsidR="0056123D" w:rsidRDefault="0056123D" w:rsidP="00F326E5">
      <w:pPr>
        <w:pStyle w:val="NoSpacing"/>
        <w:rPr>
          <w:rFonts w:ascii="Arial Black" w:hAnsi="Arial Black"/>
          <w:sz w:val="24"/>
          <w:szCs w:val="24"/>
        </w:rPr>
      </w:pPr>
    </w:p>
    <w:p w14:paraId="7F98CB55" w14:textId="256BDDB0" w:rsidR="0056123D" w:rsidRDefault="0056123D" w:rsidP="00F326E5">
      <w:pPr>
        <w:pStyle w:val="NoSpacing"/>
        <w:rPr>
          <w:rFonts w:ascii="Arial Black" w:hAnsi="Arial Black"/>
          <w:sz w:val="24"/>
          <w:szCs w:val="24"/>
        </w:rPr>
      </w:pPr>
      <w:r>
        <w:rPr>
          <w:rFonts w:ascii="Arial Black" w:hAnsi="Arial Black"/>
          <w:sz w:val="24"/>
          <w:szCs w:val="24"/>
        </w:rPr>
        <w:t>1-336</w:t>
      </w:r>
    </w:p>
    <w:p w14:paraId="16068A4A" w14:textId="77777777" w:rsidR="0056123D" w:rsidRPr="00903B6A" w:rsidRDefault="0056123D" w:rsidP="0056123D">
      <w:pPr>
        <w:pStyle w:val="NormalWeb"/>
        <w:rPr>
          <w:rFonts w:ascii="Arial Black" w:hAnsi="Arial Black"/>
          <w:b/>
          <w:bCs/>
          <w:sz w:val="28"/>
          <w:szCs w:val="28"/>
        </w:rPr>
      </w:pPr>
      <w:r>
        <w:rPr>
          <w:rFonts w:ascii="Arial Black" w:hAnsi="Arial Black"/>
          <w:b/>
          <w:bCs/>
          <w:sz w:val="28"/>
          <w:szCs w:val="28"/>
        </w:rPr>
        <w:t xml:space="preserve">CA: ARSON - NO DEFENSE HE STARTED FIRE TO CLEAR TICKS IN PARK – WILLFULL / MALICE PRESUMED </w:t>
      </w:r>
    </w:p>
    <w:p w14:paraId="13F3F3C8" w14:textId="77777777" w:rsidR="0056123D" w:rsidRDefault="0056123D" w:rsidP="0056123D">
      <w:pPr>
        <w:pStyle w:val="NormalWeb"/>
      </w:pPr>
      <w:r>
        <w:t xml:space="preserve">On Sept. 25, 2023, in </w:t>
      </w:r>
      <w:r w:rsidRPr="00040F47">
        <w:rPr>
          <w:u w:val="single"/>
        </w:rPr>
        <w:t>The People v. Souriya Danny Vongchanh</w:t>
      </w:r>
      <w:r>
        <w:t xml:space="preserve">, the California Court of Appeals, Third District, held (3 to 0; unpublished decision) that jury properly found him guilty of arson, and trial court judge properly imposed the added five years, for a total of 13 years in prison since second arson conviction in three years. </w:t>
      </w:r>
    </w:p>
    <w:p w14:paraId="10DBEA4B" w14:textId="77777777" w:rsidR="0056123D" w:rsidRDefault="0056123D" w:rsidP="0056123D">
      <w:pPr>
        <w:pStyle w:val="NormalWeb"/>
        <w:ind w:left="720"/>
      </w:pPr>
      <w:r>
        <w:t>“Defendant's arson conviction is based on the first fire he set on the levee between the park and the tennis courts. Defendant contends there is insufficient evidence that he acted intentionally and maliciously in setting the fire.</w:t>
      </w:r>
    </w:p>
    <w:p w14:paraId="5FB80048" w14:textId="77777777" w:rsidR="0056123D" w:rsidRPr="00A56E59" w:rsidRDefault="0056123D" w:rsidP="0056123D">
      <w:pPr>
        <w:pStyle w:val="NormalWeb"/>
        <w:ind w:left="720"/>
      </w:pPr>
      <w:r w:rsidRPr="00A56E59">
        <w:t>Section 451's requirement that the act be done willfully and maliciously ensures that the fire was deliberate and intentional rather than accidental or unintentional</w:t>
      </w:r>
      <w:r>
        <w:t xml:space="preserve">…. </w:t>
      </w:r>
      <w:r w:rsidRPr="00A56E59">
        <w:t>Due to the dangerous nature of such conduct, a general criminal intent to commit the act suffices to establish the requisite mental state</w:t>
      </w:r>
      <w:r>
        <w:t xml:space="preserve">…. </w:t>
      </w:r>
      <w:r w:rsidRPr="00A56E59">
        <w:t xml:space="preserve"> </w:t>
      </w:r>
    </w:p>
    <w:p w14:paraId="30EFBD79" w14:textId="77777777" w:rsidR="0056123D" w:rsidRDefault="0056123D" w:rsidP="0056123D">
      <w:pPr>
        <w:spacing w:before="100" w:beforeAutospacing="1" w:after="100" w:afterAutospacing="1" w:line="240" w:lineRule="auto"/>
        <w:ind w:left="720"/>
        <w:rPr>
          <w:rFonts w:ascii="Times New Roman" w:eastAsia="Times New Roman" w:hAnsi="Times New Roman"/>
          <w:sz w:val="24"/>
          <w:szCs w:val="24"/>
        </w:rPr>
      </w:pPr>
      <w:proofErr w:type="gramStart"/>
      <w:r w:rsidRPr="00A56E59">
        <w:rPr>
          <w:rFonts w:ascii="Times New Roman" w:eastAsia="Times New Roman" w:hAnsi="Times New Roman"/>
          <w:sz w:val="24"/>
          <w:szCs w:val="24"/>
        </w:rPr>
        <w:t>Defendant's</w:t>
      </w:r>
      <w:proofErr w:type="gramEnd"/>
      <w:r w:rsidRPr="00A56E59">
        <w:rPr>
          <w:rFonts w:ascii="Times New Roman" w:eastAsia="Times New Roman" w:hAnsi="Times New Roman"/>
          <w:sz w:val="24"/>
          <w:szCs w:val="24"/>
        </w:rPr>
        <w:t xml:space="preserve"> conduct satisfies this standard. He admitted lighting the fire to clear the white grass and rid the area of ticks or leeches. His act was intentional and was done without legal justification, therefore maliciousness is presumed or implied.</w:t>
      </w:r>
    </w:p>
    <w:p w14:paraId="78449356" w14:textId="77777777" w:rsidR="0056123D" w:rsidRDefault="0056123D" w:rsidP="0056123D">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 </w:t>
      </w:r>
    </w:p>
    <w:p w14:paraId="79D535E9" w14:textId="77777777" w:rsidR="0056123D" w:rsidRDefault="0056123D" w:rsidP="0056123D">
      <w:pPr>
        <w:pStyle w:val="NormalWeb"/>
        <w:ind w:left="720"/>
      </w:pPr>
      <w:r>
        <w:t>The trial court declined to strike the enhancement, finding that dismissal of the enhancement would endanger public safety. (§ 1385, subd. (c)(2).) The trial court stated: ‘I've considered the prior offense and current offense both involve setting fires unlawfully</w:t>
      </w:r>
      <w:proofErr w:type="gramStart"/>
      <w:r>
        <w:t>.</w:t>
      </w:r>
      <w:proofErr w:type="gramEnd"/>
      <w:r>
        <w:t xml:space="preserve"> Here the fire was set near the downtown Oroville area, near residences, and in a park area where the potential for danger, of which all of us in Butte County are acutely aware, is extremely high. And </w:t>
      </w:r>
      <w:proofErr w:type="gramStart"/>
      <w:r>
        <w:t>so</w:t>
      </w:r>
      <w:proofErr w:type="gramEnd"/>
      <w:r>
        <w:t xml:space="preserve"> I am finding that it would be a danger to public safety to strike that [section] 667 [subdivision] (a)(1) enhancement, and I'll decline to strike the enhancement under that section.’ </w:t>
      </w:r>
    </w:p>
    <w:p w14:paraId="1BDA1745" w14:textId="03822C9A" w:rsidR="0056123D" w:rsidRDefault="0056123D" w:rsidP="0056123D">
      <w:pPr>
        <w:pStyle w:val="NoSpacing"/>
        <w:ind w:left="720"/>
        <w:rPr>
          <w:rStyle w:val="Hyperlink"/>
          <w:rFonts w:ascii="Times New Roman" w:hAnsi="Times New Roman"/>
          <w:sz w:val="24"/>
          <w:szCs w:val="24"/>
        </w:rPr>
      </w:pPr>
      <w:r w:rsidRPr="00A56E59">
        <w:rPr>
          <w:rFonts w:ascii="Times New Roman" w:hAnsi="Times New Roman"/>
          <w:sz w:val="24"/>
          <w:szCs w:val="24"/>
        </w:rPr>
        <w:lastRenderedPageBreak/>
        <w:t xml:space="preserve">Contrary to defendant's argument, this was not an abuse of discretion, given that defendant was twice convicted of arson within a span of three years and the current arson offense was committed near a residential neighborhood.” </w:t>
      </w:r>
      <w:hyperlink r:id="rId170" w:history="1">
        <w:r w:rsidRPr="00A56E59">
          <w:rPr>
            <w:rStyle w:val="Hyperlink"/>
            <w:rFonts w:ascii="Times New Roman" w:hAnsi="Times New Roman"/>
            <w:sz w:val="24"/>
            <w:szCs w:val="24"/>
          </w:rPr>
          <w:t>https://public.fastcase.com/ppbqSQpNDaJE%2F8PlIk0b8ECWv6%2F0KW8eOOGtTNlYs%2F2eCExN%2BikZLxSyxw9X8iC%2F</w:t>
        </w:r>
      </w:hyperlink>
    </w:p>
    <w:p w14:paraId="2F9B5452" w14:textId="77777777" w:rsidR="0056123D" w:rsidRDefault="0056123D" w:rsidP="0056123D">
      <w:pPr>
        <w:pStyle w:val="NoSpacing"/>
        <w:ind w:left="720"/>
        <w:rPr>
          <w:rStyle w:val="Hyperlink"/>
          <w:rFonts w:ascii="Times New Roman" w:hAnsi="Times New Roman"/>
          <w:sz w:val="24"/>
          <w:szCs w:val="24"/>
        </w:rPr>
      </w:pPr>
    </w:p>
    <w:p w14:paraId="2FD97576" w14:textId="77777777" w:rsidR="0056123D" w:rsidRPr="00877A2C" w:rsidRDefault="0056123D" w:rsidP="0056123D">
      <w:pPr>
        <w:pStyle w:val="NormalWeb"/>
        <w:rPr>
          <w:b/>
          <w:bCs/>
        </w:rPr>
      </w:pPr>
      <w:r w:rsidRPr="00BD4B28">
        <w:rPr>
          <w:b/>
          <w:bCs/>
        </w:rPr>
        <w:t>Legal Lesson Learned</w:t>
      </w:r>
      <w:r w:rsidRPr="00877A2C">
        <w:rPr>
          <w:b/>
          <w:bCs/>
        </w:rPr>
        <w:t xml:space="preserve">: </w:t>
      </w:r>
      <w:r>
        <w:rPr>
          <w:b/>
          <w:bCs/>
        </w:rPr>
        <w:t xml:space="preserve">Intentionally setting a fire in a park is intentionally doing an act without justification, and “malice” is presumed. </w:t>
      </w:r>
    </w:p>
    <w:p w14:paraId="65891EA7" w14:textId="77777777" w:rsidR="0056123D" w:rsidRDefault="0056123D" w:rsidP="0056123D">
      <w:pPr>
        <w:pStyle w:val="NoSpacing"/>
        <w:ind w:left="720"/>
        <w:rPr>
          <w:rFonts w:ascii="Arial Black" w:hAnsi="Arial Black"/>
          <w:sz w:val="24"/>
          <w:szCs w:val="24"/>
        </w:rPr>
      </w:pPr>
    </w:p>
    <w:p w14:paraId="31C26C1B" w14:textId="77777777" w:rsidR="0056123D" w:rsidRDefault="0056123D" w:rsidP="0056123D">
      <w:pPr>
        <w:pStyle w:val="NoSpacing"/>
        <w:ind w:left="720"/>
        <w:rPr>
          <w:rFonts w:ascii="Arial Black" w:hAnsi="Arial Black"/>
          <w:sz w:val="24"/>
          <w:szCs w:val="24"/>
        </w:rPr>
      </w:pPr>
    </w:p>
    <w:p w14:paraId="1F9BA6A5" w14:textId="25D20242" w:rsidR="0056123D" w:rsidRDefault="0056123D" w:rsidP="0056123D">
      <w:pPr>
        <w:pStyle w:val="NoSpacing"/>
        <w:rPr>
          <w:rFonts w:ascii="Arial Black" w:hAnsi="Arial Black"/>
          <w:sz w:val="24"/>
          <w:szCs w:val="24"/>
        </w:rPr>
      </w:pPr>
      <w:r>
        <w:rPr>
          <w:rFonts w:ascii="Arial Black" w:hAnsi="Arial Black"/>
          <w:sz w:val="24"/>
          <w:szCs w:val="24"/>
        </w:rPr>
        <w:t>1-135</w:t>
      </w:r>
    </w:p>
    <w:p w14:paraId="1D0055A5" w14:textId="77777777" w:rsidR="0056123D" w:rsidRPr="00877A2C" w:rsidRDefault="0056123D" w:rsidP="0056123D">
      <w:pPr>
        <w:pStyle w:val="NormalWeb"/>
        <w:rPr>
          <w:rFonts w:ascii="Arial Black" w:hAnsi="Arial Black"/>
          <w:b/>
          <w:bCs/>
          <w:sz w:val="28"/>
          <w:szCs w:val="28"/>
        </w:rPr>
      </w:pPr>
      <w:r>
        <w:rPr>
          <w:rFonts w:ascii="Arial Black" w:hAnsi="Arial Black"/>
          <w:b/>
          <w:bCs/>
          <w:sz w:val="28"/>
          <w:szCs w:val="28"/>
        </w:rPr>
        <w:t xml:space="preserve">TN: OFF-DUTY FD CAPTAIN – OBSERVED DRUNK DRIVER CRASH - ALLOWED TO TESTIFY ON ZOOM / SICK COVID </w:t>
      </w:r>
    </w:p>
    <w:p w14:paraId="30E2669F" w14:textId="77777777" w:rsidR="0056123D" w:rsidRDefault="0056123D" w:rsidP="0056123D">
      <w:pPr>
        <w:pStyle w:val="NoSpacing"/>
        <w:rPr>
          <w:rFonts w:ascii="Times New Roman" w:hAnsi="Times New Roman"/>
          <w:sz w:val="24"/>
          <w:szCs w:val="24"/>
        </w:rPr>
      </w:pPr>
      <w:r>
        <w:rPr>
          <w:rFonts w:ascii="Times New Roman" w:hAnsi="Times New Roman"/>
          <w:sz w:val="24"/>
          <w:szCs w:val="24"/>
        </w:rPr>
        <w:t xml:space="preserve">On Sept. 25, 2023, in </w:t>
      </w:r>
      <w:r w:rsidRPr="00877A2C">
        <w:rPr>
          <w:rFonts w:ascii="Times New Roman" w:hAnsi="Times New Roman"/>
          <w:sz w:val="24"/>
          <w:szCs w:val="24"/>
          <w:u w:val="single"/>
        </w:rPr>
        <w:t>State of Tennessee v. William Michael Bowers</w:t>
      </w:r>
      <w:r>
        <w:rPr>
          <w:rFonts w:ascii="Times New Roman" w:hAnsi="Times New Roman"/>
          <w:sz w:val="24"/>
          <w:szCs w:val="24"/>
        </w:rPr>
        <w:t xml:space="preserve">, the Court of Criminal Appeals of Tennessee at Nashville, held (3 to 1) that the evidence was sufficient for the jury to convict the defendant of vehicular homicide by intoxication and driving under the influence; the trial court judge was authorized to allow fire department captain to testify via ZOOM.  </w:t>
      </w:r>
    </w:p>
    <w:p w14:paraId="7887A6C4" w14:textId="77777777" w:rsidR="0056123D" w:rsidRDefault="0056123D" w:rsidP="0056123D">
      <w:pPr>
        <w:pStyle w:val="NoSpacing"/>
        <w:rPr>
          <w:rFonts w:ascii="Times New Roman" w:hAnsi="Times New Roman"/>
          <w:sz w:val="24"/>
          <w:szCs w:val="24"/>
        </w:rPr>
      </w:pPr>
      <w:r w:rsidRPr="001B4670">
        <w:rPr>
          <w:rFonts w:ascii="Times New Roman" w:hAnsi="Times New Roman"/>
          <w:sz w:val="24"/>
          <w:szCs w:val="24"/>
        </w:rPr>
        <w:t xml:space="preserve">On August 21, 2020, </w:t>
      </w:r>
      <w:r>
        <w:rPr>
          <w:rFonts w:ascii="Times New Roman" w:hAnsi="Times New Roman"/>
          <w:sz w:val="24"/>
          <w:szCs w:val="24"/>
        </w:rPr>
        <w:t xml:space="preserve">Captain Phillip Marsh of Columbia Fire Department was off duty when he observed the defendant’s F-150 truck cross over </w:t>
      </w:r>
      <w:r w:rsidRPr="00E460C5">
        <w:rPr>
          <w:rFonts w:ascii="Times New Roman" w:hAnsi="Times New Roman"/>
          <w:sz w:val="24"/>
          <w:szCs w:val="24"/>
        </w:rPr>
        <w:t>from the oncoming lanes and strike the victim’s vehicle at her driver’s side door</w:t>
      </w:r>
      <w:r>
        <w:rPr>
          <w:rFonts w:ascii="Times New Roman" w:hAnsi="Times New Roman"/>
          <w:sz w:val="24"/>
          <w:szCs w:val="24"/>
        </w:rPr>
        <w:t xml:space="preserve">; the defendant’s air bags had deployed and he </w:t>
      </w:r>
      <w:r w:rsidRPr="00E460C5">
        <w:rPr>
          <w:rFonts w:ascii="Times New Roman" w:hAnsi="Times New Roman"/>
          <w:sz w:val="24"/>
          <w:szCs w:val="24"/>
        </w:rPr>
        <w:t>spoke rapidly</w:t>
      </w:r>
      <w:r>
        <w:rPr>
          <w:rFonts w:ascii="Times New Roman" w:hAnsi="Times New Roman"/>
          <w:sz w:val="24"/>
          <w:szCs w:val="24"/>
        </w:rPr>
        <w:t xml:space="preserve"> “</w:t>
      </w:r>
      <w:r w:rsidRPr="00E460C5">
        <w:rPr>
          <w:rFonts w:ascii="Times New Roman" w:hAnsi="Times New Roman"/>
          <w:sz w:val="24"/>
          <w:szCs w:val="24"/>
        </w:rPr>
        <w:t>but nothing [was] making any sense.</w:t>
      </w:r>
      <w:r>
        <w:rPr>
          <w:rFonts w:ascii="Times New Roman" w:hAnsi="Times New Roman"/>
          <w:sz w:val="24"/>
          <w:szCs w:val="24"/>
        </w:rPr>
        <w:t xml:space="preserve">” The Court refenced U.S. Supreme Court decision allowing testimony via closed-circuit TV. </w:t>
      </w:r>
    </w:p>
    <w:p w14:paraId="0715B893" w14:textId="77777777" w:rsidR="0056123D" w:rsidRDefault="0056123D" w:rsidP="0056123D">
      <w:pPr>
        <w:pStyle w:val="NoSpacing"/>
        <w:rPr>
          <w:rFonts w:ascii="Times New Roman" w:hAnsi="Times New Roman"/>
          <w:sz w:val="24"/>
          <w:szCs w:val="24"/>
        </w:rPr>
      </w:pPr>
    </w:p>
    <w:p w14:paraId="67568D2E" w14:textId="77777777" w:rsidR="0056123D" w:rsidRPr="00412D7B" w:rsidRDefault="0056123D" w:rsidP="0056123D">
      <w:pPr>
        <w:pStyle w:val="NoSpacing"/>
        <w:ind w:left="720"/>
        <w:rPr>
          <w:rFonts w:ascii="Times New Roman" w:hAnsi="Times New Roman"/>
          <w:sz w:val="24"/>
          <w:szCs w:val="24"/>
        </w:rPr>
      </w:pPr>
      <w:r>
        <w:rPr>
          <w:rFonts w:ascii="Times New Roman" w:hAnsi="Times New Roman"/>
          <w:sz w:val="24"/>
          <w:szCs w:val="24"/>
        </w:rPr>
        <w:t>“I</w:t>
      </w:r>
      <w:r w:rsidRPr="00412D7B">
        <w:rPr>
          <w:rFonts w:ascii="Times New Roman" w:hAnsi="Times New Roman"/>
          <w:sz w:val="24"/>
          <w:szCs w:val="24"/>
        </w:rPr>
        <w:t xml:space="preserve">n </w:t>
      </w:r>
      <w:r w:rsidRPr="00D41A7C">
        <w:rPr>
          <w:rFonts w:ascii="Times New Roman" w:hAnsi="Times New Roman"/>
          <w:i/>
          <w:iCs/>
          <w:sz w:val="24"/>
          <w:szCs w:val="24"/>
        </w:rPr>
        <w:t>Maryland v. Craig</w:t>
      </w:r>
      <w:r w:rsidRPr="00412D7B">
        <w:rPr>
          <w:rFonts w:ascii="Times New Roman" w:hAnsi="Times New Roman"/>
          <w:sz w:val="24"/>
          <w:szCs w:val="24"/>
        </w:rPr>
        <w:t>, however, the United States Supreme Court noted that it had</w:t>
      </w:r>
    </w:p>
    <w:p w14:paraId="7E731D3C" w14:textId="77777777" w:rsidR="0056123D" w:rsidRPr="00412D7B" w:rsidRDefault="0056123D" w:rsidP="0056123D">
      <w:pPr>
        <w:pStyle w:val="NoSpacing"/>
        <w:ind w:firstLine="720"/>
        <w:rPr>
          <w:rFonts w:ascii="Times New Roman" w:hAnsi="Times New Roman"/>
          <w:sz w:val="24"/>
          <w:szCs w:val="24"/>
        </w:rPr>
      </w:pPr>
      <w:r>
        <w:rPr>
          <w:rFonts w:ascii="Times New Roman" w:hAnsi="Times New Roman"/>
          <w:sz w:val="24"/>
          <w:szCs w:val="24"/>
        </w:rPr>
        <w:t>‘</w:t>
      </w:r>
      <w:proofErr w:type="gramStart"/>
      <w:r w:rsidRPr="00412D7B">
        <w:rPr>
          <w:rFonts w:ascii="Times New Roman" w:hAnsi="Times New Roman"/>
          <w:sz w:val="24"/>
          <w:szCs w:val="24"/>
        </w:rPr>
        <w:t>never</w:t>
      </w:r>
      <w:proofErr w:type="gramEnd"/>
      <w:r w:rsidRPr="00412D7B">
        <w:rPr>
          <w:rFonts w:ascii="Times New Roman" w:hAnsi="Times New Roman"/>
          <w:sz w:val="24"/>
          <w:szCs w:val="24"/>
        </w:rPr>
        <w:t xml:space="preserve"> held . . . that the Confrontation Clause guarantees criminal defendants the absolute</w:t>
      </w:r>
    </w:p>
    <w:p w14:paraId="21358CD9" w14:textId="77777777" w:rsidR="0056123D" w:rsidRPr="00412D7B" w:rsidRDefault="0056123D" w:rsidP="0056123D">
      <w:pPr>
        <w:pStyle w:val="NoSpacing"/>
        <w:ind w:left="720"/>
        <w:rPr>
          <w:rFonts w:ascii="Times New Roman" w:hAnsi="Times New Roman"/>
          <w:sz w:val="24"/>
          <w:szCs w:val="24"/>
        </w:rPr>
      </w:pPr>
      <w:r w:rsidRPr="00412D7B">
        <w:rPr>
          <w:rFonts w:ascii="Times New Roman" w:hAnsi="Times New Roman"/>
          <w:sz w:val="24"/>
          <w:szCs w:val="24"/>
        </w:rPr>
        <w:t>right to a face-to-face meeting with witnesses against them at trial.</w:t>
      </w:r>
      <w:r>
        <w:rPr>
          <w:rFonts w:ascii="Times New Roman" w:hAnsi="Times New Roman"/>
          <w:sz w:val="24"/>
          <w:szCs w:val="24"/>
        </w:rPr>
        <w:t xml:space="preserve">’ </w:t>
      </w:r>
      <w:r w:rsidRPr="00412D7B">
        <w:rPr>
          <w:rFonts w:ascii="Times New Roman" w:hAnsi="Times New Roman"/>
          <w:sz w:val="24"/>
          <w:szCs w:val="24"/>
        </w:rPr>
        <w:t>497 U.S. at 844</w:t>
      </w:r>
      <w:r>
        <w:rPr>
          <w:rFonts w:ascii="Times New Roman" w:hAnsi="Times New Roman"/>
          <w:sz w:val="24"/>
          <w:szCs w:val="24"/>
        </w:rPr>
        <w:t xml:space="preserve"> [1990] </w:t>
      </w:r>
      <w:r w:rsidRPr="00412D7B">
        <w:rPr>
          <w:rFonts w:ascii="Times New Roman" w:hAnsi="Times New Roman"/>
          <w:sz w:val="24"/>
          <w:szCs w:val="24"/>
        </w:rPr>
        <w:t xml:space="preserve">(emphasis in original). </w:t>
      </w:r>
      <w:r w:rsidRPr="00D41A7C">
        <w:rPr>
          <w:rFonts w:ascii="Times New Roman" w:hAnsi="Times New Roman"/>
          <w:i/>
          <w:iCs/>
          <w:sz w:val="24"/>
          <w:szCs w:val="24"/>
        </w:rPr>
        <w:t>Craig</w:t>
      </w:r>
      <w:r w:rsidRPr="00412D7B">
        <w:rPr>
          <w:rFonts w:ascii="Times New Roman" w:hAnsi="Times New Roman"/>
          <w:sz w:val="24"/>
          <w:szCs w:val="24"/>
        </w:rPr>
        <w:t xml:space="preserve"> involved a Confrontation Clause challenge to a Maryland</w:t>
      </w:r>
      <w:r>
        <w:rPr>
          <w:rFonts w:ascii="Times New Roman" w:hAnsi="Times New Roman"/>
          <w:sz w:val="24"/>
          <w:szCs w:val="24"/>
        </w:rPr>
        <w:t xml:space="preserve"> </w:t>
      </w:r>
      <w:r w:rsidRPr="00412D7B">
        <w:rPr>
          <w:rFonts w:ascii="Times New Roman" w:hAnsi="Times New Roman"/>
          <w:sz w:val="24"/>
          <w:szCs w:val="24"/>
        </w:rPr>
        <w:t xml:space="preserve">law that allowed a child sexual assault victim to testify via one-way, </w:t>
      </w:r>
      <w:proofErr w:type="gramStart"/>
      <w:r w:rsidRPr="00412D7B">
        <w:rPr>
          <w:rFonts w:ascii="Times New Roman" w:hAnsi="Times New Roman"/>
          <w:sz w:val="24"/>
          <w:szCs w:val="24"/>
        </w:rPr>
        <w:t>closed circuit</w:t>
      </w:r>
      <w:proofErr w:type="gramEnd"/>
      <w:r>
        <w:rPr>
          <w:rFonts w:ascii="Times New Roman" w:hAnsi="Times New Roman"/>
          <w:sz w:val="24"/>
          <w:szCs w:val="24"/>
        </w:rPr>
        <w:t xml:space="preserve"> </w:t>
      </w:r>
      <w:r w:rsidRPr="00412D7B">
        <w:rPr>
          <w:rFonts w:ascii="Times New Roman" w:hAnsi="Times New Roman"/>
          <w:sz w:val="24"/>
          <w:szCs w:val="24"/>
        </w:rPr>
        <w:t xml:space="preserve">television if the trial judge determined </w:t>
      </w:r>
      <w:r>
        <w:rPr>
          <w:rFonts w:ascii="Times New Roman" w:hAnsi="Times New Roman"/>
          <w:sz w:val="24"/>
          <w:szCs w:val="24"/>
        </w:rPr>
        <w:t>‘</w:t>
      </w:r>
      <w:r w:rsidRPr="00412D7B">
        <w:rPr>
          <w:rFonts w:ascii="Times New Roman" w:hAnsi="Times New Roman"/>
          <w:sz w:val="24"/>
          <w:szCs w:val="24"/>
        </w:rPr>
        <w:t>that testimony by the child victim in the courtroom</w:t>
      </w:r>
      <w:r>
        <w:rPr>
          <w:rFonts w:ascii="Times New Roman" w:hAnsi="Times New Roman"/>
          <w:sz w:val="24"/>
          <w:szCs w:val="24"/>
        </w:rPr>
        <w:t xml:space="preserve"> </w:t>
      </w:r>
      <w:r w:rsidRPr="00412D7B">
        <w:rPr>
          <w:rFonts w:ascii="Times New Roman" w:hAnsi="Times New Roman"/>
          <w:sz w:val="24"/>
          <w:szCs w:val="24"/>
        </w:rPr>
        <w:t>will result in the child suffering serious emotional distress such that the child cannot</w:t>
      </w:r>
      <w:r>
        <w:rPr>
          <w:rFonts w:ascii="Times New Roman" w:hAnsi="Times New Roman"/>
          <w:sz w:val="24"/>
          <w:szCs w:val="24"/>
        </w:rPr>
        <w:t xml:space="preserve"> </w:t>
      </w:r>
      <w:r w:rsidRPr="00412D7B">
        <w:rPr>
          <w:rFonts w:ascii="Times New Roman" w:hAnsi="Times New Roman"/>
          <w:sz w:val="24"/>
          <w:szCs w:val="24"/>
        </w:rPr>
        <w:t>reasonably communicate.</w:t>
      </w:r>
      <w:r>
        <w:rPr>
          <w:rFonts w:ascii="Times New Roman" w:hAnsi="Times New Roman"/>
          <w:sz w:val="24"/>
          <w:szCs w:val="24"/>
        </w:rPr>
        <w:t>’</w:t>
      </w:r>
      <w:r w:rsidRPr="00412D7B">
        <w:rPr>
          <w:rFonts w:ascii="Times New Roman" w:hAnsi="Times New Roman"/>
          <w:sz w:val="24"/>
          <w:szCs w:val="24"/>
        </w:rPr>
        <w:t xml:space="preserve"> Id. at 840-41 (quoting Md. </w:t>
      </w:r>
      <w:proofErr w:type="spellStart"/>
      <w:r w:rsidRPr="00412D7B">
        <w:rPr>
          <w:rFonts w:ascii="Times New Roman" w:hAnsi="Times New Roman"/>
          <w:sz w:val="24"/>
          <w:szCs w:val="24"/>
        </w:rPr>
        <w:t>Cts</w:t>
      </w:r>
      <w:proofErr w:type="spellEnd"/>
      <w:r w:rsidRPr="00412D7B">
        <w:rPr>
          <w:rFonts w:ascii="Times New Roman" w:hAnsi="Times New Roman"/>
          <w:sz w:val="24"/>
          <w:szCs w:val="24"/>
        </w:rPr>
        <w:t xml:space="preserve">. &amp; Jud. Proc. Code Ann. § 9-102(a)(1)(ii) (1989)). If this determination is made, </w:t>
      </w:r>
      <w:proofErr w:type="gramStart"/>
      <w:r w:rsidRPr="00412D7B">
        <w:rPr>
          <w:rFonts w:ascii="Times New Roman" w:hAnsi="Times New Roman"/>
          <w:sz w:val="24"/>
          <w:szCs w:val="24"/>
        </w:rPr>
        <w:t>the Maryland</w:t>
      </w:r>
      <w:proofErr w:type="gramEnd"/>
      <w:r w:rsidRPr="00412D7B">
        <w:rPr>
          <w:rFonts w:ascii="Times New Roman" w:hAnsi="Times New Roman"/>
          <w:sz w:val="24"/>
          <w:szCs w:val="24"/>
        </w:rPr>
        <w:t xml:space="preserve"> law </w:t>
      </w:r>
      <w:proofErr w:type="gramStart"/>
      <w:r w:rsidRPr="00412D7B">
        <w:rPr>
          <w:rFonts w:ascii="Times New Roman" w:hAnsi="Times New Roman"/>
          <w:sz w:val="24"/>
          <w:szCs w:val="24"/>
        </w:rPr>
        <w:t>allowed for</w:t>
      </w:r>
      <w:proofErr w:type="gramEnd"/>
      <w:r w:rsidRPr="00412D7B">
        <w:rPr>
          <w:rFonts w:ascii="Times New Roman" w:hAnsi="Times New Roman"/>
          <w:sz w:val="24"/>
          <w:szCs w:val="24"/>
        </w:rPr>
        <w:t xml:space="preserve"> the child</w:t>
      </w:r>
      <w:r>
        <w:rPr>
          <w:rFonts w:ascii="Times New Roman" w:hAnsi="Times New Roman"/>
          <w:sz w:val="24"/>
          <w:szCs w:val="24"/>
        </w:rPr>
        <w:t xml:space="preserve"> </w:t>
      </w:r>
      <w:r w:rsidRPr="00412D7B">
        <w:rPr>
          <w:rFonts w:ascii="Times New Roman" w:hAnsi="Times New Roman"/>
          <w:sz w:val="24"/>
          <w:szCs w:val="24"/>
        </w:rPr>
        <w:t xml:space="preserve">witness, prosecutor, and defense counsel to withdraw to a separate room </w:t>
      </w:r>
      <w:proofErr w:type="gramStart"/>
      <w:r w:rsidRPr="00412D7B">
        <w:rPr>
          <w:rFonts w:ascii="Times New Roman" w:hAnsi="Times New Roman"/>
          <w:sz w:val="24"/>
          <w:szCs w:val="24"/>
        </w:rPr>
        <w:t>where</w:t>
      </w:r>
      <w:proofErr w:type="gramEnd"/>
      <w:r w:rsidRPr="00412D7B">
        <w:rPr>
          <w:rFonts w:ascii="Times New Roman" w:hAnsi="Times New Roman"/>
          <w:sz w:val="24"/>
          <w:szCs w:val="24"/>
        </w:rPr>
        <w:t xml:space="preserve"> the</w:t>
      </w:r>
    </w:p>
    <w:p w14:paraId="1E6912A9" w14:textId="77777777" w:rsidR="0056123D" w:rsidRPr="00412D7B" w:rsidRDefault="0056123D" w:rsidP="0056123D">
      <w:pPr>
        <w:pStyle w:val="NoSpacing"/>
        <w:ind w:left="720"/>
        <w:rPr>
          <w:rFonts w:ascii="Times New Roman" w:hAnsi="Times New Roman"/>
          <w:sz w:val="24"/>
          <w:szCs w:val="24"/>
        </w:rPr>
      </w:pPr>
      <w:r w:rsidRPr="00412D7B">
        <w:rPr>
          <w:rFonts w:ascii="Times New Roman" w:hAnsi="Times New Roman"/>
          <w:sz w:val="24"/>
          <w:szCs w:val="24"/>
        </w:rPr>
        <w:t>examination of the child would be transmitted to the courtroom for display to the judge,</w:t>
      </w:r>
    </w:p>
    <w:p w14:paraId="3FFDAF37" w14:textId="77777777" w:rsidR="0056123D" w:rsidRPr="00412D7B" w:rsidRDefault="0056123D" w:rsidP="0056123D">
      <w:pPr>
        <w:pStyle w:val="NoSpacing"/>
        <w:ind w:left="720"/>
        <w:rPr>
          <w:rFonts w:ascii="Times New Roman" w:hAnsi="Times New Roman"/>
          <w:sz w:val="24"/>
          <w:szCs w:val="24"/>
        </w:rPr>
      </w:pPr>
      <w:r w:rsidRPr="00412D7B">
        <w:rPr>
          <w:rFonts w:ascii="Times New Roman" w:hAnsi="Times New Roman"/>
          <w:sz w:val="24"/>
          <w:szCs w:val="24"/>
        </w:rPr>
        <w:t>jury, and defendant. Id. at 841. During this time, the witness cannot see the Defendant.</w:t>
      </w:r>
    </w:p>
    <w:p w14:paraId="0237B850" w14:textId="77777777" w:rsidR="0056123D" w:rsidRDefault="0056123D" w:rsidP="0056123D">
      <w:pPr>
        <w:pStyle w:val="NoSpacing"/>
        <w:ind w:left="720"/>
        <w:rPr>
          <w:rFonts w:ascii="Times New Roman" w:hAnsi="Times New Roman"/>
          <w:sz w:val="24"/>
          <w:szCs w:val="24"/>
        </w:rPr>
      </w:pPr>
      <w:r w:rsidRPr="00412D7B">
        <w:rPr>
          <w:rFonts w:ascii="Times New Roman" w:hAnsi="Times New Roman"/>
          <w:sz w:val="24"/>
          <w:szCs w:val="24"/>
        </w:rPr>
        <w:t>Id.</w:t>
      </w:r>
    </w:p>
    <w:p w14:paraId="2EA674AF" w14:textId="77777777" w:rsidR="0056123D" w:rsidRDefault="0056123D" w:rsidP="0056123D">
      <w:pPr>
        <w:pStyle w:val="NoSpacing"/>
        <w:ind w:left="720"/>
        <w:rPr>
          <w:rFonts w:ascii="Times New Roman" w:hAnsi="Times New Roman"/>
          <w:sz w:val="24"/>
          <w:szCs w:val="24"/>
        </w:rPr>
      </w:pPr>
    </w:p>
    <w:p w14:paraId="42D72A14"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w:t>
      </w:r>
    </w:p>
    <w:p w14:paraId="53761D34" w14:textId="77777777" w:rsidR="0056123D" w:rsidRDefault="0056123D" w:rsidP="0056123D">
      <w:pPr>
        <w:pStyle w:val="NoSpacing"/>
        <w:ind w:left="720"/>
        <w:rPr>
          <w:rFonts w:ascii="Times New Roman" w:hAnsi="Times New Roman"/>
          <w:sz w:val="24"/>
          <w:szCs w:val="24"/>
        </w:rPr>
      </w:pPr>
    </w:p>
    <w:p w14:paraId="754B28DB"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 xml:space="preserve">[Captain] </w:t>
      </w:r>
      <w:r w:rsidRPr="001B4670">
        <w:rPr>
          <w:rFonts w:ascii="Times New Roman" w:hAnsi="Times New Roman"/>
          <w:sz w:val="24"/>
          <w:szCs w:val="24"/>
        </w:rPr>
        <w:t>Mash</w:t>
      </w:r>
      <w:r>
        <w:rPr>
          <w:rFonts w:ascii="Times New Roman" w:hAnsi="Times New Roman"/>
          <w:sz w:val="24"/>
          <w:szCs w:val="24"/>
        </w:rPr>
        <w:t xml:space="preserve"> </w:t>
      </w:r>
      <w:r w:rsidRPr="001B4670">
        <w:rPr>
          <w:rFonts w:ascii="Times New Roman" w:hAnsi="Times New Roman"/>
          <w:sz w:val="24"/>
          <w:szCs w:val="24"/>
        </w:rPr>
        <w:t>was placed under oath and cross-examined by the Defendant, and the trial court ensured</w:t>
      </w:r>
      <w:r>
        <w:rPr>
          <w:rFonts w:ascii="Times New Roman" w:hAnsi="Times New Roman"/>
          <w:sz w:val="24"/>
          <w:szCs w:val="24"/>
        </w:rPr>
        <w:t xml:space="preserve"> </w:t>
      </w:r>
      <w:r w:rsidRPr="001B4670">
        <w:rPr>
          <w:rFonts w:ascii="Times New Roman" w:hAnsi="Times New Roman"/>
          <w:sz w:val="24"/>
          <w:szCs w:val="24"/>
        </w:rPr>
        <w:t>that, prior to his testimony, all jurors could see the screen displaying his image, thus</w:t>
      </w:r>
      <w:r>
        <w:rPr>
          <w:rFonts w:ascii="Times New Roman" w:hAnsi="Times New Roman"/>
          <w:sz w:val="24"/>
          <w:szCs w:val="24"/>
        </w:rPr>
        <w:t xml:space="preserve"> </w:t>
      </w:r>
      <w:r w:rsidRPr="001B4670">
        <w:rPr>
          <w:rFonts w:ascii="Times New Roman" w:hAnsi="Times New Roman"/>
          <w:sz w:val="24"/>
          <w:szCs w:val="24"/>
        </w:rPr>
        <w:t>allowing them to observe his demeanor while testifying. At the time of cross-examination,</w:t>
      </w:r>
      <w:r>
        <w:rPr>
          <w:rFonts w:ascii="Times New Roman" w:hAnsi="Times New Roman"/>
          <w:sz w:val="24"/>
          <w:szCs w:val="24"/>
        </w:rPr>
        <w:t xml:space="preserve"> </w:t>
      </w:r>
      <w:r w:rsidRPr="001B4670">
        <w:rPr>
          <w:rFonts w:ascii="Times New Roman" w:hAnsi="Times New Roman"/>
          <w:sz w:val="24"/>
          <w:szCs w:val="24"/>
        </w:rPr>
        <w:t>the Defendant possessed a prior written statement from Mr. Mash as well as a recording of</w:t>
      </w:r>
      <w:r>
        <w:rPr>
          <w:rFonts w:ascii="Times New Roman" w:hAnsi="Times New Roman"/>
          <w:sz w:val="24"/>
          <w:szCs w:val="24"/>
        </w:rPr>
        <w:t xml:space="preserve"> </w:t>
      </w:r>
      <w:r w:rsidRPr="001B4670">
        <w:rPr>
          <w:rFonts w:ascii="Times New Roman" w:hAnsi="Times New Roman"/>
          <w:sz w:val="24"/>
          <w:szCs w:val="24"/>
        </w:rPr>
        <w:t>his prior testimony at the preliminary hearing. The prosecutor had previously speculated</w:t>
      </w:r>
      <w:r>
        <w:rPr>
          <w:rFonts w:ascii="Times New Roman" w:hAnsi="Times New Roman"/>
          <w:sz w:val="24"/>
          <w:szCs w:val="24"/>
        </w:rPr>
        <w:t xml:space="preserve"> </w:t>
      </w:r>
      <w:r w:rsidRPr="001B4670">
        <w:rPr>
          <w:rFonts w:ascii="Times New Roman" w:hAnsi="Times New Roman"/>
          <w:sz w:val="24"/>
          <w:szCs w:val="24"/>
        </w:rPr>
        <w:t>that Mr. Mash would testify consistently with his prior statements in the case, and Mr.</w:t>
      </w:r>
      <w:r>
        <w:rPr>
          <w:rFonts w:ascii="Times New Roman" w:hAnsi="Times New Roman"/>
          <w:sz w:val="24"/>
          <w:szCs w:val="24"/>
        </w:rPr>
        <w:t xml:space="preserve"> </w:t>
      </w:r>
      <w:r w:rsidRPr="001B4670">
        <w:rPr>
          <w:rFonts w:ascii="Times New Roman" w:hAnsi="Times New Roman"/>
          <w:sz w:val="24"/>
          <w:szCs w:val="24"/>
        </w:rPr>
        <w:t>Mash explicitly stated during his cross-examination that he had so testified. While the</w:t>
      </w:r>
      <w:r>
        <w:rPr>
          <w:rFonts w:ascii="Times New Roman" w:hAnsi="Times New Roman"/>
          <w:sz w:val="24"/>
          <w:szCs w:val="24"/>
        </w:rPr>
        <w:t xml:space="preserve"> </w:t>
      </w:r>
      <w:r w:rsidRPr="001B4670">
        <w:rPr>
          <w:rFonts w:ascii="Times New Roman" w:hAnsi="Times New Roman"/>
          <w:sz w:val="24"/>
          <w:szCs w:val="24"/>
        </w:rPr>
        <w:t xml:space="preserve">attorneys in </w:t>
      </w:r>
      <w:r w:rsidRPr="00D41A7C">
        <w:rPr>
          <w:rFonts w:ascii="Times New Roman" w:hAnsi="Times New Roman"/>
          <w:i/>
          <w:iCs/>
          <w:sz w:val="24"/>
          <w:szCs w:val="24"/>
        </w:rPr>
        <w:t>Craig</w:t>
      </w:r>
      <w:r w:rsidRPr="001B4670">
        <w:rPr>
          <w:rFonts w:ascii="Times New Roman" w:hAnsi="Times New Roman"/>
          <w:sz w:val="24"/>
          <w:szCs w:val="24"/>
        </w:rPr>
        <w:t xml:space="preserve"> were in the same room as the testifying witness, id. at 841, the record</w:t>
      </w:r>
      <w:r>
        <w:rPr>
          <w:rFonts w:ascii="Times New Roman" w:hAnsi="Times New Roman"/>
          <w:sz w:val="24"/>
          <w:szCs w:val="24"/>
        </w:rPr>
        <w:t xml:space="preserve"> </w:t>
      </w:r>
      <w:r w:rsidRPr="001B4670">
        <w:rPr>
          <w:rFonts w:ascii="Times New Roman" w:hAnsi="Times New Roman"/>
          <w:sz w:val="24"/>
          <w:szCs w:val="24"/>
        </w:rPr>
        <w:t>here reflects that Mr. Mash was able to see the attorneys during questioning through use of</w:t>
      </w:r>
      <w:r>
        <w:rPr>
          <w:rFonts w:ascii="Times New Roman" w:hAnsi="Times New Roman"/>
          <w:sz w:val="24"/>
          <w:szCs w:val="24"/>
        </w:rPr>
        <w:t xml:space="preserve"> </w:t>
      </w:r>
      <w:r w:rsidRPr="001B4670">
        <w:rPr>
          <w:rFonts w:ascii="Times New Roman" w:hAnsi="Times New Roman"/>
          <w:sz w:val="24"/>
          <w:szCs w:val="24"/>
        </w:rPr>
        <w:t xml:space="preserve">the </w:t>
      </w:r>
      <w:r>
        <w:rPr>
          <w:rFonts w:ascii="Times New Roman" w:hAnsi="Times New Roman"/>
          <w:sz w:val="24"/>
          <w:szCs w:val="24"/>
        </w:rPr>
        <w:t>‘</w:t>
      </w:r>
      <w:r w:rsidRPr="001B4670">
        <w:rPr>
          <w:rFonts w:ascii="Times New Roman" w:hAnsi="Times New Roman"/>
          <w:sz w:val="24"/>
          <w:szCs w:val="24"/>
        </w:rPr>
        <w:t>Owl</w:t>
      </w:r>
      <w:r>
        <w:rPr>
          <w:rFonts w:ascii="Times New Roman" w:hAnsi="Times New Roman"/>
          <w:sz w:val="24"/>
          <w:szCs w:val="24"/>
        </w:rPr>
        <w:t>’</w:t>
      </w:r>
      <w:r w:rsidRPr="001B4670">
        <w:rPr>
          <w:rFonts w:ascii="Times New Roman" w:hAnsi="Times New Roman"/>
          <w:sz w:val="24"/>
          <w:szCs w:val="24"/>
        </w:rPr>
        <w:t xml:space="preserve"> device. Other than a </w:t>
      </w:r>
      <w:r>
        <w:rPr>
          <w:rFonts w:ascii="Times New Roman" w:hAnsi="Times New Roman"/>
          <w:sz w:val="24"/>
          <w:szCs w:val="24"/>
        </w:rPr>
        <w:t>‘</w:t>
      </w:r>
      <w:r w:rsidRPr="001B4670">
        <w:rPr>
          <w:rFonts w:ascii="Times New Roman" w:hAnsi="Times New Roman"/>
          <w:sz w:val="24"/>
          <w:szCs w:val="24"/>
        </w:rPr>
        <w:t>little delay</w:t>
      </w:r>
      <w:r>
        <w:rPr>
          <w:rFonts w:ascii="Times New Roman" w:hAnsi="Times New Roman"/>
          <w:sz w:val="24"/>
          <w:szCs w:val="24"/>
        </w:rPr>
        <w:t>’</w:t>
      </w:r>
      <w:r w:rsidRPr="001B4670">
        <w:rPr>
          <w:rFonts w:ascii="Times New Roman" w:hAnsi="Times New Roman"/>
          <w:sz w:val="24"/>
          <w:szCs w:val="24"/>
        </w:rPr>
        <w:t xml:space="preserve"> in the video transmission, it does not appear</w:t>
      </w:r>
      <w:r>
        <w:rPr>
          <w:rFonts w:ascii="Times New Roman" w:hAnsi="Times New Roman"/>
          <w:sz w:val="24"/>
          <w:szCs w:val="24"/>
        </w:rPr>
        <w:t xml:space="preserve"> </w:t>
      </w:r>
      <w:r w:rsidRPr="001B4670">
        <w:rPr>
          <w:rFonts w:ascii="Times New Roman" w:hAnsi="Times New Roman"/>
          <w:sz w:val="24"/>
          <w:szCs w:val="24"/>
        </w:rPr>
        <w:t xml:space="preserve">that defense </w:t>
      </w:r>
      <w:r w:rsidRPr="001B4670">
        <w:rPr>
          <w:rFonts w:ascii="Times New Roman" w:hAnsi="Times New Roman"/>
          <w:sz w:val="24"/>
          <w:szCs w:val="24"/>
        </w:rPr>
        <w:lastRenderedPageBreak/>
        <w:t>counsel’s lack of physical presence during his questioning of Mr. Mash in any</w:t>
      </w:r>
      <w:r>
        <w:rPr>
          <w:rFonts w:ascii="Times New Roman" w:hAnsi="Times New Roman"/>
          <w:sz w:val="24"/>
          <w:szCs w:val="24"/>
        </w:rPr>
        <w:t xml:space="preserve"> </w:t>
      </w:r>
      <w:r w:rsidRPr="001B4670">
        <w:rPr>
          <w:rFonts w:ascii="Times New Roman" w:hAnsi="Times New Roman"/>
          <w:sz w:val="24"/>
          <w:szCs w:val="24"/>
        </w:rPr>
        <w:t>way hindered the effective cross-examination of the witness.</w:t>
      </w:r>
    </w:p>
    <w:p w14:paraId="5F6B5903" w14:textId="77777777" w:rsidR="0056123D" w:rsidRDefault="0056123D" w:rsidP="0056123D">
      <w:pPr>
        <w:pStyle w:val="NoSpacing"/>
        <w:ind w:left="720"/>
        <w:rPr>
          <w:rFonts w:ascii="Times New Roman" w:hAnsi="Times New Roman"/>
          <w:sz w:val="24"/>
          <w:szCs w:val="24"/>
        </w:rPr>
      </w:pPr>
    </w:p>
    <w:p w14:paraId="3442A0E2"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w:t>
      </w:r>
    </w:p>
    <w:p w14:paraId="7B22BAF1" w14:textId="77777777" w:rsidR="0056123D" w:rsidRPr="001B4670" w:rsidRDefault="0056123D" w:rsidP="0056123D">
      <w:pPr>
        <w:pStyle w:val="NoSpacing"/>
        <w:ind w:left="720"/>
        <w:rPr>
          <w:rFonts w:ascii="Times New Roman" w:hAnsi="Times New Roman"/>
          <w:sz w:val="24"/>
          <w:szCs w:val="24"/>
        </w:rPr>
      </w:pPr>
      <w:r w:rsidRPr="001B4670">
        <w:rPr>
          <w:rFonts w:ascii="Times New Roman" w:hAnsi="Times New Roman"/>
          <w:sz w:val="24"/>
          <w:szCs w:val="24"/>
        </w:rPr>
        <w:t xml:space="preserve">As in </w:t>
      </w:r>
      <w:r w:rsidRPr="00D41A7C">
        <w:rPr>
          <w:rFonts w:ascii="Times New Roman" w:hAnsi="Times New Roman"/>
          <w:i/>
          <w:iCs/>
          <w:sz w:val="24"/>
          <w:szCs w:val="24"/>
        </w:rPr>
        <w:t>Craig,</w:t>
      </w:r>
      <w:r w:rsidRPr="001B4670">
        <w:rPr>
          <w:rFonts w:ascii="Times New Roman" w:hAnsi="Times New Roman"/>
          <w:sz w:val="24"/>
          <w:szCs w:val="24"/>
        </w:rPr>
        <w:t xml:space="preserve"> we conclude that the practice employed here </w:t>
      </w:r>
      <w:r>
        <w:rPr>
          <w:rFonts w:ascii="Times New Roman" w:hAnsi="Times New Roman"/>
          <w:sz w:val="24"/>
          <w:szCs w:val="24"/>
        </w:rPr>
        <w:t>‘</w:t>
      </w:r>
      <w:r w:rsidRPr="001B4670">
        <w:rPr>
          <w:rFonts w:ascii="Times New Roman" w:hAnsi="Times New Roman"/>
          <w:sz w:val="24"/>
          <w:szCs w:val="24"/>
        </w:rPr>
        <w:t>preserve[d] the essence</w:t>
      </w:r>
    </w:p>
    <w:p w14:paraId="7E6A9C45" w14:textId="77777777" w:rsidR="0056123D" w:rsidRPr="001B4670" w:rsidRDefault="0056123D" w:rsidP="0056123D">
      <w:pPr>
        <w:pStyle w:val="NoSpacing"/>
        <w:ind w:left="720"/>
        <w:rPr>
          <w:rFonts w:ascii="Times New Roman" w:hAnsi="Times New Roman"/>
          <w:sz w:val="24"/>
          <w:szCs w:val="24"/>
        </w:rPr>
      </w:pPr>
      <w:r w:rsidRPr="001B4670">
        <w:rPr>
          <w:rFonts w:ascii="Times New Roman" w:hAnsi="Times New Roman"/>
          <w:sz w:val="24"/>
          <w:szCs w:val="24"/>
        </w:rPr>
        <w:t>of effective confrontation[,]</w:t>
      </w:r>
      <w:r>
        <w:rPr>
          <w:rFonts w:ascii="Times New Roman" w:hAnsi="Times New Roman"/>
          <w:sz w:val="24"/>
          <w:szCs w:val="24"/>
        </w:rPr>
        <w:t xml:space="preserve">’ </w:t>
      </w:r>
      <w:r w:rsidRPr="001B4670">
        <w:rPr>
          <w:rFonts w:ascii="Times New Roman" w:hAnsi="Times New Roman"/>
          <w:sz w:val="24"/>
          <w:szCs w:val="24"/>
        </w:rPr>
        <w:t>id. at 857, and thus ensured the reliability of Mr. Mash’s</w:t>
      </w:r>
    </w:p>
    <w:p w14:paraId="5AF9F27C" w14:textId="77777777" w:rsidR="0056123D" w:rsidRPr="001B4670" w:rsidRDefault="0056123D" w:rsidP="0056123D">
      <w:pPr>
        <w:pStyle w:val="NoSpacing"/>
        <w:ind w:left="720"/>
        <w:rPr>
          <w:rFonts w:ascii="Times New Roman" w:hAnsi="Times New Roman"/>
          <w:sz w:val="24"/>
          <w:szCs w:val="24"/>
        </w:rPr>
      </w:pPr>
      <w:r w:rsidRPr="001B4670">
        <w:rPr>
          <w:rFonts w:ascii="Times New Roman" w:hAnsi="Times New Roman"/>
          <w:sz w:val="24"/>
          <w:szCs w:val="24"/>
        </w:rPr>
        <w:t xml:space="preserve">testimony. Both prongs of Craig </w:t>
      </w:r>
      <w:proofErr w:type="gramStart"/>
      <w:r w:rsidRPr="001B4670">
        <w:rPr>
          <w:rFonts w:ascii="Times New Roman" w:hAnsi="Times New Roman"/>
          <w:sz w:val="24"/>
          <w:szCs w:val="24"/>
        </w:rPr>
        <w:t>having</w:t>
      </w:r>
      <w:proofErr w:type="gramEnd"/>
      <w:r w:rsidRPr="001B4670">
        <w:rPr>
          <w:rFonts w:ascii="Times New Roman" w:hAnsi="Times New Roman"/>
          <w:sz w:val="24"/>
          <w:szCs w:val="24"/>
        </w:rPr>
        <w:t xml:space="preserve"> been satisfied, the Defendant is not entitled to</w:t>
      </w:r>
    </w:p>
    <w:p w14:paraId="61CFC16E" w14:textId="718D28F6" w:rsidR="0056123D" w:rsidRDefault="0056123D" w:rsidP="0056123D">
      <w:pPr>
        <w:pStyle w:val="NoSpacing"/>
        <w:ind w:left="720"/>
        <w:rPr>
          <w:rFonts w:ascii="Arial Black" w:hAnsi="Arial Black"/>
          <w:sz w:val="24"/>
          <w:szCs w:val="24"/>
        </w:rPr>
      </w:pPr>
      <w:r w:rsidRPr="001B4670">
        <w:rPr>
          <w:rFonts w:ascii="Times New Roman" w:hAnsi="Times New Roman"/>
          <w:sz w:val="24"/>
          <w:szCs w:val="24"/>
        </w:rPr>
        <w:t>relief pursuant to the Sixth Amendment.</w:t>
      </w:r>
      <w:r>
        <w:rPr>
          <w:rFonts w:ascii="Times New Roman" w:hAnsi="Times New Roman"/>
          <w:sz w:val="24"/>
          <w:szCs w:val="24"/>
        </w:rPr>
        <w:t xml:space="preserve">” </w:t>
      </w:r>
      <w:hyperlink r:id="rId171" w:history="1">
        <w:r w:rsidRPr="00FF56A3">
          <w:rPr>
            <w:rStyle w:val="Hyperlink"/>
            <w:rFonts w:ascii="Times New Roman" w:hAnsi="Times New Roman"/>
            <w:sz w:val="24"/>
            <w:szCs w:val="24"/>
          </w:rPr>
          <w:t>https://cases.justia.com/tennessee/court-of-criminal-appeals/2023-m2022-00949-cca-r3-cd.pdf?ts=1695676978</w:t>
        </w:r>
      </w:hyperlink>
    </w:p>
    <w:p w14:paraId="36E967D4" w14:textId="77777777" w:rsidR="0056123D" w:rsidRDefault="0056123D" w:rsidP="00F326E5">
      <w:pPr>
        <w:pStyle w:val="NoSpacing"/>
        <w:rPr>
          <w:rFonts w:ascii="Arial Black" w:hAnsi="Arial Black"/>
          <w:sz w:val="24"/>
          <w:szCs w:val="24"/>
        </w:rPr>
      </w:pPr>
    </w:p>
    <w:p w14:paraId="734B5399" w14:textId="77777777" w:rsidR="0056123D" w:rsidRPr="00E460C5" w:rsidRDefault="0056123D" w:rsidP="0056123D">
      <w:pPr>
        <w:pStyle w:val="NoSpacing"/>
        <w:rPr>
          <w:rFonts w:ascii="Times New Roman" w:hAnsi="Times New Roman"/>
          <w:b/>
          <w:bCs/>
          <w:sz w:val="24"/>
          <w:szCs w:val="24"/>
        </w:rPr>
      </w:pPr>
      <w:r w:rsidRPr="00E460C5">
        <w:rPr>
          <w:rFonts w:ascii="Times New Roman" w:hAnsi="Times New Roman"/>
          <w:b/>
          <w:bCs/>
          <w:sz w:val="24"/>
          <w:szCs w:val="24"/>
        </w:rPr>
        <w:t xml:space="preserve">Legal Lesson Learned: The Confrontation Clause of the Sixth Amendment provides that </w:t>
      </w:r>
    </w:p>
    <w:p w14:paraId="2BD312B0" w14:textId="77777777" w:rsidR="0056123D" w:rsidRDefault="0056123D" w:rsidP="0056123D">
      <w:pPr>
        <w:pStyle w:val="NoSpacing"/>
        <w:rPr>
          <w:rFonts w:ascii="Times New Roman" w:hAnsi="Times New Roman"/>
          <w:b/>
          <w:bCs/>
          <w:sz w:val="24"/>
          <w:szCs w:val="24"/>
        </w:rPr>
      </w:pPr>
      <w:r w:rsidRPr="00E460C5">
        <w:rPr>
          <w:rFonts w:ascii="Times New Roman" w:hAnsi="Times New Roman"/>
          <w:b/>
          <w:bCs/>
          <w:sz w:val="24"/>
          <w:szCs w:val="24"/>
        </w:rPr>
        <w:t xml:space="preserve"> “[</w:t>
      </w:r>
      <w:proofErr w:type="spellStart"/>
      <w:r w:rsidRPr="00E460C5">
        <w:rPr>
          <w:rFonts w:ascii="Times New Roman" w:hAnsi="Times New Roman"/>
          <w:b/>
          <w:bCs/>
          <w:sz w:val="24"/>
          <w:szCs w:val="24"/>
        </w:rPr>
        <w:t>i</w:t>
      </w:r>
      <w:proofErr w:type="spellEnd"/>
      <w:r w:rsidRPr="00E460C5">
        <w:rPr>
          <w:rFonts w:ascii="Times New Roman" w:hAnsi="Times New Roman"/>
          <w:b/>
          <w:bCs/>
          <w:sz w:val="24"/>
          <w:szCs w:val="24"/>
        </w:rPr>
        <w:t>]n all criminal prosecutions, the accused shall enjoy the right . . . to be confronted with the witnesses against him.”</w:t>
      </w:r>
      <w:r>
        <w:rPr>
          <w:rFonts w:ascii="Times New Roman" w:hAnsi="Times New Roman"/>
          <w:b/>
          <w:bCs/>
          <w:sz w:val="24"/>
          <w:szCs w:val="24"/>
        </w:rPr>
        <w:t xml:space="preserve"> That confrontation can be by ZOOM if witness is ill and contagious. </w:t>
      </w:r>
    </w:p>
    <w:p w14:paraId="5B80B863" w14:textId="77777777" w:rsidR="0056123D" w:rsidRDefault="0056123D" w:rsidP="0056123D">
      <w:pPr>
        <w:pStyle w:val="NoSpacing"/>
        <w:rPr>
          <w:rFonts w:ascii="Times New Roman" w:hAnsi="Times New Roman"/>
          <w:b/>
          <w:bCs/>
          <w:sz w:val="24"/>
          <w:szCs w:val="24"/>
        </w:rPr>
      </w:pPr>
    </w:p>
    <w:p w14:paraId="0C9FEE6A" w14:textId="77777777" w:rsidR="0056123D" w:rsidRDefault="0056123D" w:rsidP="00F326E5">
      <w:pPr>
        <w:pStyle w:val="NoSpacing"/>
        <w:rPr>
          <w:rFonts w:ascii="Arial Black" w:hAnsi="Arial Black"/>
          <w:sz w:val="24"/>
          <w:szCs w:val="24"/>
        </w:rPr>
      </w:pPr>
    </w:p>
    <w:p w14:paraId="3F54073B" w14:textId="77777777" w:rsidR="0056123D" w:rsidRDefault="0056123D" w:rsidP="00F326E5">
      <w:pPr>
        <w:pStyle w:val="NoSpacing"/>
        <w:rPr>
          <w:rFonts w:ascii="Arial Black" w:hAnsi="Arial Black"/>
          <w:sz w:val="24"/>
          <w:szCs w:val="24"/>
        </w:rPr>
      </w:pPr>
    </w:p>
    <w:p w14:paraId="7A3C385D" w14:textId="6E8A00F7" w:rsidR="0056123D" w:rsidRDefault="0056123D" w:rsidP="00F326E5">
      <w:pPr>
        <w:pStyle w:val="NoSpacing"/>
        <w:rPr>
          <w:rFonts w:ascii="Arial Black" w:hAnsi="Arial Black"/>
          <w:sz w:val="24"/>
          <w:szCs w:val="24"/>
        </w:rPr>
      </w:pPr>
      <w:r>
        <w:rPr>
          <w:rFonts w:ascii="Arial Black" w:hAnsi="Arial Black"/>
          <w:sz w:val="24"/>
          <w:szCs w:val="24"/>
        </w:rPr>
        <w:t>1-134</w:t>
      </w:r>
    </w:p>
    <w:p w14:paraId="0976A72C" w14:textId="77777777" w:rsidR="0056123D" w:rsidRDefault="0056123D" w:rsidP="00F326E5">
      <w:pPr>
        <w:pStyle w:val="NoSpacing"/>
        <w:rPr>
          <w:rFonts w:ascii="Arial Black" w:hAnsi="Arial Black"/>
          <w:sz w:val="24"/>
          <w:szCs w:val="24"/>
        </w:rPr>
      </w:pPr>
    </w:p>
    <w:p w14:paraId="33DBBF3D" w14:textId="77777777" w:rsidR="0056123D" w:rsidRDefault="0056123D" w:rsidP="0056123D">
      <w:pPr>
        <w:rPr>
          <w:rFonts w:ascii="Arial Black" w:hAnsi="Arial Black"/>
          <w:sz w:val="28"/>
          <w:szCs w:val="28"/>
        </w:rPr>
      </w:pPr>
      <w:r>
        <w:rPr>
          <w:rFonts w:ascii="Arial Black" w:hAnsi="Arial Black"/>
          <w:sz w:val="28"/>
          <w:szCs w:val="28"/>
        </w:rPr>
        <w:t xml:space="preserve">CA: HIKER - YOSEMITE PARK – GOV’T SHUTDOWN, PARK OPEN - DIED ICY RIVER – RECREATIONAL &amp; FED. IMMUNITY </w:t>
      </w:r>
    </w:p>
    <w:p w14:paraId="10444A4D" w14:textId="77777777" w:rsidR="0056123D" w:rsidRDefault="0056123D" w:rsidP="0056123D">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Sept. 22, 2023, in </w:t>
      </w:r>
      <w:r w:rsidRPr="0097540D">
        <w:rPr>
          <w:rFonts w:ascii="Times New Roman" w:hAnsi="Times New Roman"/>
          <w:sz w:val="24"/>
          <w:szCs w:val="24"/>
          <w:u w:val="single"/>
        </w:rPr>
        <w:t>Deborah Nickles v. United States of America</w:t>
      </w:r>
      <w:r>
        <w:rPr>
          <w:rFonts w:ascii="Times New Roman" w:hAnsi="Times New Roman"/>
          <w:sz w:val="24"/>
          <w:szCs w:val="24"/>
        </w:rPr>
        <w:t>, U.S. Magistrate Judge, U.S. District Court for Eastern District of California, issued a Report and Recommendation, recommending a U.S. District Court judge dismiss this lawsuit based on the California recreational immunity statute (statute written to encourage landowners to allow others to hike and other recreation on their property) and federal immunity for discretionary executive decisions (such as keeping Park open during funding shutdown).  During a government-wide shut down over Congressional funding dispute, on Christmas Day, Dec. 25, 2018, Joshua Conner and girlfriend walking dogs in Yosemite even though no dogs allowed; about 2:30 pm, he attempted to retrieve a dog, hit his head he fell into Merced River.  Search and rescue team was immediately dispatched, arrived on foot at 3:25 pm but could not revive him.  The plaintiff alleges that federal government is liable for Conner’s death because they failed to close the National Park.</w:t>
      </w:r>
    </w:p>
    <w:p w14:paraId="26E315DC" w14:textId="77777777" w:rsidR="0056123D" w:rsidRPr="0097540D" w:rsidRDefault="0056123D" w:rsidP="0056123D">
      <w:pPr>
        <w:spacing w:before="100" w:beforeAutospacing="1" w:after="100" w:afterAutospacing="1" w:line="240" w:lineRule="auto"/>
        <w:ind w:left="720" w:firstLine="60"/>
        <w:rPr>
          <w:rFonts w:ascii="Times New Roman" w:eastAsia="Times New Roman" w:hAnsi="Times New Roman"/>
          <w:sz w:val="24"/>
          <w:szCs w:val="24"/>
        </w:rPr>
      </w:pPr>
      <w:r>
        <w:rPr>
          <w:rFonts w:ascii="Times New Roman" w:hAnsi="Times New Roman"/>
          <w:sz w:val="24"/>
          <w:szCs w:val="24"/>
        </w:rPr>
        <w:t>“</w:t>
      </w:r>
      <w:r w:rsidRPr="00B361B9">
        <w:rPr>
          <w:rFonts w:ascii="Times New Roman" w:eastAsia="Times New Roman" w:hAnsi="Times New Roman"/>
          <w:sz w:val="24"/>
          <w:szCs w:val="24"/>
        </w:rPr>
        <w:t xml:space="preserve">The Court finds Defendant has sufficiently demonstrated that NPS </w:t>
      </w:r>
      <w:r>
        <w:rPr>
          <w:rFonts w:ascii="Times New Roman" w:eastAsia="Times New Roman" w:hAnsi="Times New Roman"/>
          <w:sz w:val="24"/>
          <w:szCs w:val="24"/>
        </w:rPr>
        <w:t xml:space="preserve">[National Park Service] </w:t>
      </w:r>
      <w:r w:rsidRPr="00B361B9">
        <w:rPr>
          <w:rFonts w:ascii="Times New Roman" w:eastAsia="Times New Roman" w:hAnsi="Times New Roman"/>
          <w:sz w:val="24"/>
          <w:szCs w:val="24"/>
        </w:rPr>
        <w:t>responded quickly and appropriately to Conner's emergency, sending medically trained law enforcement rangers to help him, and that the first responder team dispatched within minutes of receiving the 9-1-1 call</w:t>
      </w:r>
      <w:r>
        <w:rPr>
          <w:rFonts w:ascii="Times New Roman" w:eastAsia="Times New Roman" w:hAnsi="Times New Roman"/>
          <w:sz w:val="24"/>
          <w:szCs w:val="24"/>
        </w:rPr>
        <w:t xml:space="preserve">…. </w:t>
      </w:r>
      <w:r w:rsidRPr="00B361B9">
        <w:rPr>
          <w:rFonts w:ascii="Times New Roman" w:eastAsia="Times New Roman" w:hAnsi="Times New Roman"/>
          <w:sz w:val="24"/>
          <w:szCs w:val="24"/>
        </w:rPr>
        <w:t xml:space="preserve">Rangers hiked to Conner's location to render aid, working to resuscitate him. While Plaintiff alleges that Conner was deprived of the opportunity to be evacuated by the NPS </w:t>
      </w:r>
      <w:r>
        <w:rPr>
          <w:rFonts w:ascii="Times New Roman" w:eastAsia="Times New Roman" w:hAnsi="Times New Roman"/>
          <w:sz w:val="24"/>
          <w:szCs w:val="24"/>
        </w:rPr>
        <w:t>‘</w:t>
      </w:r>
      <w:r w:rsidRPr="00B361B9">
        <w:rPr>
          <w:rFonts w:ascii="Times New Roman" w:eastAsia="Times New Roman" w:hAnsi="Times New Roman"/>
          <w:sz w:val="24"/>
          <w:szCs w:val="24"/>
        </w:rPr>
        <w:t>exclusive use helicopter,</w:t>
      </w:r>
      <w:r>
        <w:rPr>
          <w:rFonts w:ascii="Times New Roman" w:eastAsia="Times New Roman" w:hAnsi="Times New Roman"/>
          <w:sz w:val="24"/>
          <w:szCs w:val="24"/>
        </w:rPr>
        <w:t>’</w:t>
      </w:r>
      <w:r w:rsidRPr="00B361B9">
        <w:rPr>
          <w:rFonts w:ascii="Times New Roman" w:eastAsia="Times New Roman" w:hAnsi="Times New Roman"/>
          <w:sz w:val="24"/>
          <w:szCs w:val="24"/>
        </w:rPr>
        <w:t xml:space="preserve"> Defendant has established such service does not operate in December, regardless of whether a federal shutdown occurs</w:t>
      </w:r>
      <w:r>
        <w:rPr>
          <w:rFonts w:ascii="Times New Roman" w:eastAsia="Times New Roman" w:hAnsi="Times New Roman"/>
          <w:sz w:val="24"/>
          <w:szCs w:val="24"/>
        </w:rPr>
        <w:t xml:space="preserve">. *** </w:t>
      </w:r>
      <w:r w:rsidRPr="0097540D">
        <w:rPr>
          <w:rFonts w:ascii="Times New Roman" w:hAnsi="Times New Roman"/>
          <w:sz w:val="24"/>
          <w:szCs w:val="24"/>
        </w:rPr>
        <w:t>Based on the above discussion pertaining to the FTCA and California's recreational immunity statute as applied to the facts here, the Court recommends the Defendant's Rule 12(b)(1) motion to dismiss for lack of jurisdiction be granted.</w:t>
      </w:r>
      <w:r>
        <w:rPr>
          <w:rFonts w:ascii="Times New Roman" w:hAnsi="Times New Roman"/>
          <w:sz w:val="24"/>
          <w:szCs w:val="24"/>
        </w:rPr>
        <w:t xml:space="preserve">” </w:t>
      </w:r>
      <w:hyperlink r:id="rId172" w:history="1">
        <w:r w:rsidRPr="00916560">
          <w:rPr>
            <w:rStyle w:val="Hyperlink"/>
            <w:rFonts w:ascii="Times New Roman" w:hAnsi="Times New Roman"/>
            <w:sz w:val="24"/>
            <w:szCs w:val="24"/>
          </w:rPr>
          <w:t>https://public.fastcase.com/ZZhmr5v9wN%2FXOe5IsQ%2FqDx2aoAq%2F1J3XMBw8WA8L1d7o8S2WtY%2BTDnBn3n2%2F0y8X6CyWkgilV2OmVPwbi%2FNntkvFVphnueZifNbADUBhdiU%3D?utm_medium=email&amp;_hsmi=226712652&amp;_hsenc=p2ANqtz--A7cSCsQiKnmkWIbrJV3BH1NDDsIsoOUsxX371tCp7kUULX-TDL4poIpgmi8VFxIZ6Go7w0Api1t7_UP6pxMUzbV5FWQ&amp;utm_content=226712652&amp;utm_source=hs_email</w:t>
        </w:r>
      </w:hyperlink>
      <w:r>
        <w:rPr>
          <w:rFonts w:ascii="Times New Roman" w:hAnsi="Times New Roman"/>
          <w:sz w:val="24"/>
          <w:szCs w:val="24"/>
        </w:rPr>
        <w:t xml:space="preserve"> </w:t>
      </w:r>
    </w:p>
    <w:p w14:paraId="0F949FB1" w14:textId="77777777" w:rsidR="0056123D" w:rsidRPr="000A2984" w:rsidRDefault="0056123D" w:rsidP="0056123D">
      <w:pPr>
        <w:pStyle w:val="NormalWeb"/>
        <w:rPr>
          <w:b/>
          <w:bCs/>
        </w:rPr>
      </w:pPr>
      <w:r w:rsidRPr="000A2984">
        <w:rPr>
          <w:rFonts w:eastAsiaTheme="minorHAnsi"/>
          <w:b/>
          <w:bCs/>
          <w:kern w:val="2"/>
          <w14:ligatures w14:val="standardContextual"/>
        </w:rPr>
        <w:lastRenderedPageBreak/>
        <w:t xml:space="preserve">Legal Lasson Learned: </w:t>
      </w:r>
      <w:r>
        <w:rPr>
          <w:rFonts w:eastAsiaTheme="minorHAnsi"/>
          <w:b/>
          <w:bCs/>
          <w:kern w:val="2"/>
          <w14:ligatures w14:val="standardContextual"/>
        </w:rPr>
        <w:t xml:space="preserve"> The California recreational immunity statute was enacted to encourage property owners to engage in hiking and other recreational activities. </w:t>
      </w:r>
    </w:p>
    <w:p w14:paraId="53BEF6C8" w14:textId="77777777" w:rsidR="0056123D" w:rsidRDefault="0056123D" w:rsidP="0056123D">
      <w:pPr>
        <w:pStyle w:val="NormalWeb"/>
        <w:ind w:left="720"/>
      </w:pPr>
      <w:r>
        <w:t xml:space="preserve">Note: The California statute provides that: “An owner of any estate or any other interest in real property, whether possessory or nonpossessory, owes no duty of care to keep the premises safe for entry or use by others for any recreational purpose or to give any warning of hazardous conditions, uses of, structures, or activities on those premises to persons entering for a recreational purpose, except as provided in this section.” Cal. Civ. Code § 846(a). California's recreational immunity statute “was enacted to encourage property owners to allow the general public to engage in recreational activities free of charge on privately owned property.” Hubbard v. Brown, 50 Cal.3d 189, 193 (1990) (citations omitted). </w:t>
      </w:r>
    </w:p>
    <w:p w14:paraId="79988309" w14:textId="77777777" w:rsidR="0056123D" w:rsidRDefault="0056123D" w:rsidP="00F326E5">
      <w:pPr>
        <w:pStyle w:val="NoSpacing"/>
        <w:rPr>
          <w:rFonts w:ascii="Arial Black" w:hAnsi="Arial Black"/>
          <w:sz w:val="24"/>
          <w:szCs w:val="24"/>
        </w:rPr>
      </w:pPr>
    </w:p>
    <w:p w14:paraId="6FEA70B3" w14:textId="028313BA" w:rsidR="0056123D" w:rsidRDefault="0056123D" w:rsidP="00F326E5">
      <w:pPr>
        <w:pStyle w:val="NoSpacing"/>
        <w:rPr>
          <w:rFonts w:ascii="Arial Black" w:hAnsi="Arial Black"/>
          <w:sz w:val="24"/>
          <w:szCs w:val="24"/>
        </w:rPr>
      </w:pPr>
      <w:r>
        <w:rPr>
          <w:rFonts w:ascii="Arial Black" w:hAnsi="Arial Black"/>
          <w:sz w:val="24"/>
          <w:szCs w:val="24"/>
        </w:rPr>
        <w:t>1-133</w:t>
      </w:r>
    </w:p>
    <w:p w14:paraId="2EE37A52" w14:textId="77777777" w:rsidR="0056123D" w:rsidRDefault="0056123D" w:rsidP="0056123D">
      <w:pPr>
        <w:pStyle w:val="NormalWeb"/>
        <w:rPr>
          <w:b/>
          <w:bCs/>
        </w:rPr>
      </w:pPr>
      <w:r>
        <w:rPr>
          <w:rFonts w:ascii="Arial Black" w:hAnsi="Arial Black"/>
          <w:b/>
          <w:bCs/>
          <w:sz w:val="28"/>
          <w:szCs w:val="28"/>
        </w:rPr>
        <w:t>CA: ARSON – BURNED DRY GRASS IN FIELD IN 2021 – JURY PROPERLY INFORMED 2014 INCIDENT PRIOR GRASS FIRE</w:t>
      </w:r>
    </w:p>
    <w:p w14:paraId="67D8630B" w14:textId="77777777" w:rsidR="0056123D" w:rsidRPr="006F2A68" w:rsidRDefault="0056123D" w:rsidP="0056123D">
      <w:pPr>
        <w:pStyle w:val="NormalWeb"/>
      </w:pPr>
      <w:r w:rsidRPr="006F2A68">
        <w:t xml:space="preserve">On Sept. 20, 2023, </w:t>
      </w:r>
      <w:r>
        <w:t xml:space="preserve">in </w:t>
      </w:r>
      <w:r w:rsidRPr="006F2A68">
        <w:rPr>
          <w:u w:val="single"/>
        </w:rPr>
        <w:t>The People v. Alejandro Marin</w:t>
      </w:r>
      <w:r>
        <w:t xml:space="preserve">, </w:t>
      </w:r>
      <w:r w:rsidRPr="006F2A68">
        <w:rPr>
          <w:b/>
          <w:bCs/>
        </w:rPr>
        <w:t xml:space="preserve"> </w:t>
      </w:r>
      <w:r w:rsidRPr="006F2A68">
        <w:t xml:space="preserve">the California Court of Appeals, First District, Fifth Division, </w:t>
      </w:r>
      <w:r>
        <w:t>held (3 to 0; unpublished decision) that defendant’s conviction of arson for lighting dry grass near a river trail in Napa was affirmed;  trial court properly allowed jury to learn of the prior incident [not charged] in 2014 where he lit a fire near base of tree and planned to sleep there.</w:t>
      </w:r>
    </w:p>
    <w:p w14:paraId="735C933B" w14:textId="77777777" w:rsidR="0056123D" w:rsidRDefault="0056123D" w:rsidP="0056123D">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“A</w:t>
      </w:r>
      <w:r w:rsidRPr="006F2A68">
        <w:rPr>
          <w:rFonts w:ascii="Times New Roman" w:eastAsia="Times New Roman" w:hAnsi="Times New Roman"/>
          <w:sz w:val="24"/>
          <w:szCs w:val="24"/>
        </w:rPr>
        <w:t xml:space="preserve">ppellant argues the 2014 incident had minimal probative value and was highly prejudicial. We find no abuse of discretion. First, the 2014 incident was probative of appellant's awareness of the substantial risk of causing a fire in a dry, grassy area, as relevant to the lesser included offense. The incident was also probative of whether appellant would be likely to be careless with a lit object such as a cigarette in a dry, grassy area, or whether any fire started by him was likely to be intentional. Appellant argues the 2014 incident was too dissimilar from the charged offense to be probative because he set the fire in 2014 to stay warm while he slept, while the charged event took place on a mild morning. </w:t>
      </w:r>
      <w:r>
        <w:rPr>
          <w:rFonts w:ascii="Times New Roman" w:eastAsia="Times New Roman" w:hAnsi="Times New Roman"/>
          <w:sz w:val="24"/>
          <w:szCs w:val="24"/>
        </w:rPr>
        <w:t>‘</w:t>
      </w:r>
      <w:r w:rsidRPr="006F2A68">
        <w:rPr>
          <w:rFonts w:ascii="Times New Roman" w:eastAsia="Times New Roman" w:hAnsi="Times New Roman"/>
          <w:sz w:val="24"/>
          <w:szCs w:val="24"/>
        </w:rPr>
        <w:t>In order to be relevant, the 'least degree of similarity (between the uncharged act and the charged offense) is required in order to prove intent.</w:t>
      </w:r>
      <w:r>
        <w:rPr>
          <w:rFonts w:ascii="Times New Roman" w:eastAsia="Times New Roman" w:hAnsi="Times New Roman"/>
          <w:sz w:val="24"/>
          <w:szCs w:val="24"/>
        </w:rPr>
        <w:t>’</w:t>
      </w:r>
      <w:r w:rsidRPr="006F2A68">
        <w:rPr>
          <w:rFonts w:ascii="Times New Roman" w:eastAsia="Times New Roman" w:hAnsi="Times New Roman"/>
          <w:sz w:val="24"/>
          <w:szCs w:val="24"/>
        </w:rPr>
        <w:t xml:space="preserve"> (</w:t>
      </w:r>
      <w:r w:rsidRPr="006F2A68">
        <w:rPr>
          <w:rFonts w:ascii="Times New Roman" w:eastAsia="Times New Roman" w:hAnsi="Times New Roman"/>
          <w:i/>
          <w:iCs/>
          <w:sz w:val="24"/>
          <w:szCs w:val="24"/>
        </w:rPr>
        <w:t>People v. Molano</w:t>
      </w:r>
      <w:r w:rsidRPr="006F2A68">
        <w:rPr>
          <w:rFonts w:ascii="Times New Roman" w:eastAsia="Times New Roman" w:hAnsi="Times New Roman"/>
          <w:sz w:val="24"/>
          <w:szCs w:val="24"/>
        </w:rPr>
        <w:t xml:space="preserve"> (2019) 7 Cal.5th 620, 665.) In both incidents, appellant started a fire in a dry, grassy area; this similarity is sufficient for purposes of intent. Appellant also contends the evidence was cumulative because it is common knowledge that lighting things on fire leads to fire. Given that appellant claimed he threw a lit cigarette in dry grass, evidence that appellant was aware of the dangers of lit objects near dry grass was relevant.</w:t>
      </w:r>
      <w:r>
        <w:rPr>
          <w:rFonts w:ascii="Times New Roman" w:eastAsia="Times New Roman" w:hAnsi="Times New Roman"/>
          <w:sz w:val="24"/>
          <w:szCs w:val="24"/>
        </w:rPr>
        <w:t xml:space="preserve">” </w:t>
      </w:r>
      <w:hyperlink r:id="rId173" w:history="1">
        <w:r w:rsidRPr="00633022">
          <w:rPr>
            <w:rStyle w:val="Hyperlink"/>
            <w:rFonts w:ascii="Times New Roman" w:eastAsia="Times New Roman" w:hAnsi="Times New Roman"/>
            <w:sz w:val="24"/>
            <w:szCs w:val="24"/>
          </w:rPr>
          <w:t>https://public.fastcase.com/ZZhmr5v9wN%2FXOe5IsQ%2FqD2fzv3LeHoflue5q9psYL7ORT%2BZZIoU2RVo8o6kc8WH7t7R2fWOBL%2B6EWJeWP%2BK6nygdTJbos59lEHeljv9w%2F%2Bc%3D?utm_medium=email&amp;_hsmi=226712652&amp;_hsenc=p2ANqtz-9_BwSf3Cp56T9vKm_WV06wXpWhxnLFIP0rTKtRtiI7Ej-XlIsGIA-Piz3XwrAq08q95_o9LD6MRwwtLQfaW73VBnYSKQ&amp;utm_content=226712652&amp;utm_source=hs_email</w:t>
        </w:r>
      </w:hyperlink>
      <w:r>
        <w:rPr>
          <w:rFonts w:ascii="Times New Roman" w:eastAsia="Times New Roman" w:hAnsi="Times New Roman"/>
          <w:sz w:val="24"/>
          <w:szCs w:val="24"/>
        </w:rPr>
        <w:t xml:space="preserve"> </w:t>
      </w:r>
    </w:p>
    <w:p w14:paraId="3FAA3B60" w14:textId="77777777" w:rsidR="0056123D" w:rsidRPr="00844AE1" w:rsidRDefault="0056123D" w:rsidP="0056123D">
      <w:pPr>
        <w:pStyle w:val="NormalWeb"/>
        <w:rPr>
          <w:b/>
          <w:bCs/>
        </w:rPr>
      </w:pPr>
      <w:r w:rsidRPr="00844AE1">
        <w:rPr>
          <w:b/>
          <w:bCs/>
        </w:rPr>
        <w:t xml:space="preserve">Legal Lesson Learned: </w:t>
      </w:r>
      <w:r>
        <w:rPr>
          <w:b/>
          <w:bCs/>
        </w:rPr>
        <w:t xml:space="preserve">Prior incident of starting fire in forest area showed he again acted willfully and recklessly. </w:t>
      </w:r>
    </w:p>
    <w:p w14:paraId="1A031D67" w14:textId="77777777" w:rsidR="0056123D" w:rsidRDefault="0056123D" w:rsidP="00F326E5">
      <w:pPr>
        <w:pStyle w:val="NoSpacing"/>
        <w:rPr>
          <w:rFonts w:ascii="Arial Black" w:hAnsi="Arial Black"/>
          <w:sz w:val="24"/>
          <w:szCs w:val="24"/>
        </w:rPr>
      </w:pPr>
    </w:p>
    <w:p w14:paraId="1277DD22" w14:textId="77777777" w:rsidR="0056123D" w:rsidRDefault="0056123D" w:rsidP="00F326E5">
      <w:pPr>
        <w:pStyle w:val="NoSpacing"/>
        <w:rPr>
          <w:rFonts w:ascii="Arial Black" w:hAnsi="Arial Black"/>
          <w:sz w:val="24"/>
          <w:szCs w:val="24"/>
        </w:rPr>
      </w:pPr>
    </w:p>
    <w:p w14:paraId="5FB118E9" w14:textId="77777777" w:rsidR="0056123D" w:rsidRDefault="0056123D" w:rsidP="00F326E5">
      <w:pPr>
        <w:pStyle w:val="NoSpacing"/>
        <w:rPr>
          <w:rFonts w:ascii="Arial Black" w:hAnsi="Arial Black"/>
          <w:sz w:val="24"/>
          <w:szCs w:val="24"/>
        </w:rPr>
      </w:pPr>
    </w:p>
    <w:p w14:paraId="5110CEAF" w14:textId="33410031" w:rsidR="009B0593" w:rsidRDefault="009B0593" w:rsidP="00F326E5">
      <w:pPr>
        <w:pStyle w:val="NoSpacing"/>
        <w:rPr>
          <w:rFonts w:ascii="Arial Black" w:hAnsi="Arial Black"/>
          <w:sz w:val="24"/>
          <w:szCs w:val="24"/>
        </w:rPr>
      </w:pPr>
      <w:r>
        <w:rPr>
          <w:rFonts w:ascii="Arial Black" w:hAnsi="Arial Black"/>
          <w:sz w:val="24"/>
          <w:szCs w:val="24"/>
        </w:rPr>
        <w:t>1-132</w:t>
      </w:r>
    </w:p>
    <w:p w14:paraId="67044F15" w14:textId="77777777" w:rsidR="009B0593" w:rsidRPr="002D0A5E" w:rsidRDefault="009B0593" w:rsidP="009B0593">
      <w:pPr>
        <w:pStyle w:val="NormalWeb"/>
        <w:rPr>
          <w:rFonts w:ascii="Arial Black" w:hAnsi="Arial Black"/>
          <w:b/>
          <w:bCs/>
          <w:sz w:val="28"/>
          <w:szCs w:val="28"/>
        </w:rPr>
      </w:pPr>
      <w:r>
        <w:rPr>
          <w:rFonts w:ascii="Arial Black" w:hAnsi="Arial Black"/>
          <w:b/>
          <w:bCs/>
          <w:sz w:val="28"/>
          <w:szCs w:val="28"/>
        </w:rPr>
        <w:lastRenderedPageBreak/>
        <w:t>AR: HOMELESS MAN CONV. – CAMPFIRE BURNED HALF ACRE - RANGER TESTIFY ORIGIN &amp; CAUSE - LAY WITNESS</w:t>
      </w:r>
    </w:p>
    <w:p w14:paraId="2B5ACA72" w14:textId="77777777" w:rsidR="009B0593" w:rsidRPr="00FB2002" w:rsidRDefault="009B0593" w:rsidP="009B0593">
      <w:pPr>
        <w:pStyle w:val="NormalWeb"/>
      </w:pPr>
      <w:r w:rsidRPr="00FB2002">
        <w:t xml:space="preserve">On Aug. 21, 2023, in </w:t>
      </w:r>
      <w:r w:rsidRPr="00FB2002">
        <w:rPr>
          <w:u w:val="single"/>
        </w:rPr>
        <w:t>United States of America v. Joseph Ronnie Weathington</w:t>
      </w:r>
      <w:r w:rsidRPr="00FB2002">
        <w:t>, Unites States District Court for District of Arizona, U.S. Magistrate Judge Camille D. Bibles, after a two-day bench trial [no jury] found the defendant guilty of not extinguishing his campfire, that led to the “Schoolhouse” wildland fire on July 4, 2022 in Coconino National Forest.  Prior to trial, defense counsel objected to the testimony of Fire Protection Specialist Andrew Hostad because the government didn’t identify or qualify him as an expert witness. The Magistrate held the Fire Protection Specialist, with 13 years’ experience, may testify about cause and origin as a lay witness under Rule 701, Opinion Testimony by Lay Witnesses, based on his observations at wildland fire.</w:t>
      </w:r>
    </w:p>
    <w:p w14:paraId="55154DE1" w14:textId="77777777" w:rsidR="009B0593" w:rsidRPr="00677985" w:rsidRDefault="009B0593" w:rsidP="009B0593">
      <w:pPr>
        <w:pStyle w:val="NormalWeb"/>
        <w:ind w:left="720"/>
      </w:pPr>
      <w:r>
        <w:t xml:space="preserve">“T]he </w:t>
      </w:r>
      <w:r w:rsidRPr="00677985">
        <w:t xml:space="preserve">Court concluded </w:t>
      </w:r>
      <w:proofErr w:type="spellStart"/>
      <w:r w:rsidRPr="00677985">
        <w:t>Hostad's</w:t>
      </w:r>
      <w:proofErr w:type="spellEnd"/>
      <w:r w:rsidRPr="00677985">
        <w:t xml:space="preserve"> testimony was admissible under Rule 701, provided a proper foundation for the testimony was established. The Court qualified this ruling with the provision that </w:t>
      </w:r>
      <w:proofErr w:type="spellStart"/>
      <w:r w:rsidRPr="00677985">
        <w:t>Hostad</w:t>
      </w:r>
      <w:proofErr w:type="spellEnd"/>
      <w:r w:rsidRPr="00677985">
        <w:t xml:space="preserve"> could not </w:t>
      </w:r>
      <w:proofErr w:type="gramStart"/>
      <w:r w:rsidRPr="00677985">
        <w:t>opine regarding</w:t>
      </w:r>
      <w:proofErr w:type="gramEnd"/>
      <w:r w:rsidRPr="00677985">
        <w:t xml:space="preserve"> the fire's origin or source based on speculation, hearsay, or redefining the obvious. The Court also concluded </w:t>
      </w:r>
      <w:proofErr w:type="spellStart"/>
      <w:r w:rsidRPr="00677985">
        <w:t>Hostad's</w:t>
      </w:r>
      <w:proofErr w:type="spellEnd"/>
      <w:r w:rsidRPr="00677985">
        <w:t xml:space="preserve"> testimony related to </w:t>
      </w:r>
      <w:proofErr w:type="gramStart"/>
      <w:r w:rsidRPr="00677985">
        <w:t>personally-observed</w:t>
      </w:r>
      <w:proofErr w:type="gramEnd"/>
      <w:r w:rsidRPr="00677985">
        <w:t xml:space="preserve"> facts and was not intended solely to implicate Defendant. Additionally, the Court determined </w:t>
      </w:r>
      <w:proofErr w:type="spellStart"/>
      <w:r w:rsidRPr="00677985">
        <w:t>Hostad's</w:t>
      </w:r>
      <w:proofErr w:type="spellEnd"/>
      <w:r w:rsidRPr="00677985">
        <w:t xml:space="preserve"> testimony was credible and reliable.</w:t>
      </w:r>
      <w:r>
        <w:t xml:space="preserve">” </w:t>
      </w:r>
      <w:hyperlink r:id="rId174" w:history="1">
        <w:r w:rsidRPr="00155841">
          <w:rPr>
            <w:rStyle w:val="Hyperlink"/>
            <w:rFonts w:eastAsiaTheme="majorEastAsia"/>
          </w:rPr>
          <w:t>https://casetext.com/case/united-states-v-weathington-3</w:t>
        </w:r>
      </w:hyperlink>
      <w:r>
        <w:t xml:space="preserve"> </w:t>
      </w:r>
    </w:p>
    <w:p w14:paraId="51F370F8" w14:textId="77777777" w:rsidR="009B0593" w:rsidRDefault="009B0593" w:rsidP="009B0593">
      <w:pPr>
        <w:pStyle w:val="NormalWeb"/>
        <w:rPr>
          <w:b/>
          <w:bCs/>
        </w:rPr>
      </w:pPr>
      <w:r>
        <w:rPr>
          <w:b/>
          <w:bCs/>
        </w:rPr>
        <w:t xml:space="preserve">Legal Lesson Learned: Fire investigators may offer their opinion on origin and cause based on their observations at the scene, as lay witness under Rule 70. </w:t>
      </w:r>
    </w:p>
    <w:p w14:paraId="0341B7C2" w14:textId="77777777" w:rsidR="009B0593" w:rsidRDefault="009B0593" w:rsidP="009B0593">
      <w:pPr>
        <w:pStyle w:val="Heading1"/>
        <w:ind w:firstLine="720"/>
        <w:rPr>
          <w:b w:val="0"/>
          <w:bCs w:val="0"/>
          <w:sz w:val="24"/>
          <w:szCs w:val="24"/>
        </w:rPr>
      </w:pPr>
      <w:r>
        <w:rPr>
          <w:b w:val="0"/>
          <w:bCs w:val="0"/>
          <w:sz w:val="24"/>
          <w:szCs w:val="24"/>
        </w:rPr>
        <w:t xml:space="preserve">Note:  </w:t>
      </w:r>
    </w:p>
    <w:p w14:paraId="0B3342E7" w14:textId="77777777" w:rsidR="009B0593" w:rsidRPr="00944FCC" w:rsidRDefault="009B0593" w:rsidP="009B0593">
      <w:pPr>
        <w:pStyle w:val="Heading1"/>
        <w:ind w:left="720"/>
        <w:rPr>
          <w:b w:val="0"/>
          <w:bCs w:val="0"/>
          <w:sz w:val="24"/>
          <w:szCs w:val="24"/>
        </w:rPr>
      </w:pPr>
      <w:r w:rsidRPr="0064709E">
        <w:rPr>
          <w:sz w:val="24"/>
          <w:szCs w:val="24"/>
        </w:rPr>
        <w:t>Rule 701. Opinion Testimony by Lay Witnesses</w:t>
      </w:r>
      <w:r>
        <w:rPr>
          <w:sz w:val="24"/>
          <w:szCs w:val="24"/>
        </w:rPr>
        <w:t xml:space="preserve">; </w:t>
      </w:r>
      <w:hyperlink r:id="rId175" w:history="1">
        <w:r w:rsidRPr="00BB1A19">
          <w:rPr>
            <w:rStyle w:val="Hyperlink"/>
            <w:rFonts w:eastAsiaTheme="majorEastAsia"/>
            <w:b w:val="0"/>
            <w:bCs w:val="0"/>
            <w:sz w:val="24"/>
            <w:szCs w:val="24"/>
          </w:rPr>
          <w:t>https://www.law.cornell.edu/rules/fre/rule_701</w:t>
        </w:r>
      </w:hyperlink>
      <w:r>
        <w:rPr>
          <w:b w:val="0"/>
          <w:bCs w:val="0"/>
          <w:sz w:val="24"/>
          <w:szCs w:val="24"/>
        </w:rPr>
        <w:t xml:space="preserve"> </w:t>
      </w:r>
    </w:p>
    <w:p w14:paraId="489A5EF4" w14:textId="77777777" w:rsidR="009B0593" w:rsidRDefault="009B0593" w:rsidP="009B0593">
      <w:pPr>
        <w:pStyle w:val="statutory-body"/>
        <w:ind w:left="720"/>
      </w:pPr>
      <w:r w:rsidRPr="00944FCC">
        <w:t>If a witness is not testifying as an expert, testimony in the form of an opinion is limited to one that is:</w:t>
      </w:r>
      <w:r>
        <w:t xml:space="preserve"> </w:t>
      </w:r>
      <w:r w:rsidRPr="00944FCC">
        <w:rPr>
          <w:rStyle w:val="Strong"/>
          <w:rFonts w:eastAsiaTheme="majorEastAsia"/>
        </w:rPr>
        <w:t>(a)</w:t>
      </w:r>
      <w:r w:rsidRPr="00944FCC">
        <w:t xml:space="preserve"> rationally based on the witness’s perception;</w:t>
      </w:r>
      <w:r>
        <w:t xml:space="preserve"> </w:t>
      </w:r>
      <w:r w:rsidRPr="00944FCC">
        <w:rPr>
          <w:rStyle w:val="Strong"/>
          <w:rFonts w:eastAsiaTheme="majorEastAsia"/>
        </w:rPr>
        <w:t>(b)</w:t>
      </w:r>
      <w:r w:rsidRPr="00944FCC">
        <w:t xml:space="preserve"> helpful to clearly understanding the witness’s testimony or to determining a fact in issue; and</w:t>
      </w:r>
      <w:r>
        <w:t xml:space="preserve"> </w:t>
      </w:r>
      <w:r w:rsidRPr="00944FCC">
        <w:rPr>
          <w:rStyle w:val="Strong"/>
          <w:rFonts w:eastAsiaTheme="majorEastAsia"/>
        </w:rPr>
        <w:t>(c)</w:t>
      </w:r>
      <w:r w:rsidRPr="00944FCC">
        <w:t xml:space="preserve"> not based on scientific, technical, or other specialized knowledge within the scope of </w:t>
      </w:r>
      <w:hyperlink r:id="rId176" w:history="1">
        <w:r w:rsidRPr="00944FCC">
          <w:rPr>
            <w:rStyle w:val="Hyperlink"/>
            <w:rFonts w:eastAsiaTheme="majorEastAsia"/>
          </w:rPr>
          <w:t>Rule 702</w:t>
        </w:r>
      </w:hyperlink>
      <w:r>
        <w:t>.</w:t>
      </w:r>
    </w:p>
    <w:p w14:paraId="6539889A" w14:textId="77777777" w:rsidR="009B0593" w:rsidRPr="0064709E" w:rsidRDefault="009B0593" w:rsidP="009B0593">
      <w:pPr>
        <w:pStyle w:val="Heading1"/>
        <w:ind w:left="720"/>
        <w:rPr>
          <w:sz w:val="24"/>
          <w:szCs w:val="24"/>
        </w:rPr>
      </w:pPr>
      <w:r w:rsidRPr="0064709E">
        <w:rPr>
          <w:sz w:val="24"/>
          <w:szCs w:val="24"/>
        </w:rPr>
        <w:t>Rule 702. Testimony by Expert Witnesses</w:t>
      </w:r>
      <w:r>
        <w:rPr>
          <w:sz w:val="24"/>
          <w:szCs w:val="24"/>
        </w:rPr>
        <w:t>;</w:t>
      </w:r>
      <w:r w:rsidRPr="0064709E">
        <w:t xml:space="preserve"> </w:t>
      </w:r>
      <w:hyperlink r:id="rId177" w:history="1">
        <w:r w:rsidRPr="0064709E">
          <w:rPr>
            <w:rStyle w:val="Hyperlink"/>
            <w:rFonts w:eastAsiaTheme="majorEastAsia"/>
            <w:b w:val="0"/>
            <w:bCs w:val="0"/>
            <w:sz w:val="24"/>
            <w:szCs w:val="24"/>
          </w:rPr>
          <w:t>https://www.law.cornell.edu/rules/fre/rule_702</w:t>
        </w:r>
      </w:hyperlink>
      <w:r w:rsidRPr="0064709E">
        <w:rPr>
          <w:b w:val="0"/>
          <w:bCs w:val="0"/>
          <w:sz w:val="24"/>
          <w:szCs w:val="24"/>
        </w:rPr>
        <w:t xml:space="preserve"> </w:t>
      </w:r>
    </w:p>
    <w:p w14:paraId="6B3A61EC" w14:textId="77777777" w:rsidR="009B0593" w:rsidRPr="0064709E" w:rsidRDefault="009B0593" w:rsidP="009B0593">
      <w:pPr>
        <w:pStyle w:val="statutory-body"/>
        <w:ind w:left="720"/>
      </w:pPr>
      <w:r w:rsidRPr="0064709E">
        <w:t xml:space="preserve">A witness who is qualified as an expert by knowledge, skill, experience, training, or education may testify in the form of an opinion or otherwise if: </w:t>
      </w:r>
      <w:r w:rsidRPr="0064709E">
        <w:rPr>
          <w:rStyle w:val="Strong"/>
          <w:rFonts w:eastAsiaTheme="majorEastAsia"/>
        </w:rPr>
        <w:t>(a)</w:t>
      </w:r>
      <w:r w:rsidRPr="0064709E">
        <w:t xml:space="preserve"> the expert’s scientific, technical, or other specialized knowledge will help the trier of fact to understand the evidence or to determine a fact in issue; </w:t>
      </w:r>
      <w:r w:rsidRPr="0064709E">
        <w:rPr>
          <w:rStyle w:val="Strong"/>
          <w:rFonts w:eastAsiaTheme="majorEastAsia"/>
        </w:rPr>
        <w:t>(b)</w:t>
      </w:r>
      <w:r w:rsidRPr="0064709E">
        <w:t xml:space="preserve"> the testimony is based on sufficient facts or data; </w:t>
      </w:r>
      <w:r w:rsidRPr="0064709E">
        <w:rPr>
          <w:rStyle w:val="Strong"/>
          <w:rFonts w:eastAsiaTheme="majorEastAsia"/>
        </w:rPr>
        <w:t>(c)</w:t>
      </w:r>
      <w:r w:rsidRPr="0064709E">
        <w:t xml:space="preserve"> the testimony is the product of reliable principles and methods; and </w:t>
      </w:r>
      <w:r w:rsidRPr="0064709E">
        <w:rPr>
          <w:rStyle w:val="Strong"/>
          <w:rFonts w:eastAsiaTheme="majorEastAsia"/>
        </w:rPr>
        <w:t>(d)</w:t>
      </w:r>
      <w:r w:rsidRPr="0064709E">
        <w:t xml:space="preserve"> the expert has reliably applied the principles and methods to the facts of the case.</w:t>
      </w:r>
    </w:p>
    <w:p w14:paraId="66D07ACF" w14:textId="77777777" w:rsidR="009B0593" w:rsidRDefault="009B0593" w:rsidP="00F326E5">
      <w:pPr>
        <w:pStyle w:val="NoSpacing"/>
        <w:rPr>
          <w:rFonts w:ascii="Arial Black" w:hAnsi="Arial Black"/>
          <w:sz w:val="24"/>
          <w:szCs w:val="24"/>
        </w:rPr>
      </w:pPr>
    </w:p>
    <w:p w14:paraId="0825B9A1" w14:textId="77777777" w:rsidR="009B0593" w:rsidRDefault="009B0593" w:rsidP="00F326E5">
      <w:pPr>
        <w:pStyle w:val="NoSpacing"/>
        <w:rPr>
          <w:rFonts w:ascii="Arial Black" w:hAnsi="Arial Black"/>
          <w:sz w:val="24"/>
          <w:szCs w:val="24"/>
        </w:rPr>
      </w:pPr>
    </w:p>
    <w:p w14:paraId="33D00C26" w14:textId="77777777" w:rsidR="009B0593" w:rsidRDefault="009B0593" w:rsidP="00F326E5">
      <w:pPr>
        <w:pStyle w:val="NoSpacing"/>
        <w:rPr>
          <w:rFonts w:ascii="Arial Black" w:hAnsi="Arial Black"/>
          <w:sz w:val="24"/>
          <w:szCs w:val="24"/>
        </w:rPr>
      </w:pPr>
    </w:p>
    <w:p w14:paraId="758C51B0" w14:textId="2A4F006D" w:rsidR="00411936" w:rsidRDefault="00411936" w:rsidP="00F326E5">
      <w:pPr>
        <w:pStyle w:val="NoSpacing"/>
        <w:rPr>
          <w:rFonts w:ascii="Arial Black" w:hAnsi="Arial Black"/>
          <w:sz w:val="24"/>
          <w:szCs w:val="24"/>
        </w:rPr>
      </w:pPr>
      <w:r>
        <w:rPr>
          <w:rFonts w:ascii="Arial Black" w:hAnsi="Arial Black"/>
          <w:sz w:val="24"/>
          <w:szCs w:val="24"/>
        </w:rPr>
        <w:t>1-131</w:t>
      </w:r>
    </w:p>
    <w:p w14:paraId="5DE6D9A7" w14:textId="77777777" w:rsidR="00411936" w:rsidRPr="00C13763" w:rsidRDefault="00411936" w:rsidP="00411936">
      <w:pPr>
        <w:pStyle w:val="NormalWeb"/>
        <w:rPr>
          <w:rFonts w:ascii="Arial Black" w:hAnsi="Arial Black"/>
          <w:sz w:val="28"/>
          <w:szCs w:val="28"/>
        </w:rPr>
      </w:pPr>
      <w:r>
        <w:rPr>
          <w:rFonts w:ascii="Arial Black" w:hAnsi="Arial Black"/>
          <w:sz w:val="28"/>
          <w:szCs w:val="28"/>
        </w:rPr>
        <w:t>CA: BURN BARRELL WAS WASHING MACHINE CYLINDER – REFUSED PUT OUT - $500 FINE UPHELD – PHOTOS HELPFUL</w:t>
      </w:r>
    </w:p>
    <w:p w14:paraId="7C38B8CD" w14:textId="77777777" w:rsidR="00411936" w:rsidRDefault="00411936" w:rsidP="00411936">
      <w:pPr>
        <w:pStyle w:val="NormalWeb"/>
      </w:pPr>
      <w:r>
        <w:t xml:space="preserve">On July 21, 2023, in </w:t>
      </w:r>
      <w:r w:rsidRPr="00C13763">
        <w:rPr>
          <w:u w:val="single"/>
        </w:rPr>
        <w:t>Chuck Dunn v. Kern County, et al.</w:t>
      </w:r>
      <w:r>
        <w:t xml:space="preserve">, the California Court of Appeals, Fifth District, held (3 to 0, unpublished opinion) held that the citation was proper.  Mr. Dunn refused on June 5, </w:t>
      </w:r>
      <w:proofErr w:type="gramStart"/>
      <w:r>
        <w:t>2017</w:t>
      </w:r>
      <w:proofErr w:type="gramEnd"/>
      <w:r>
        <w:t xml:space="preserve"> to put out the fire, in a washing machine cylinder, flames two to four feet above the cylinder, and it was in an area of </w:t>
      </w:r>
      <w:r>
        <w:lastRenderedPageBreak/>
        <w:t xml:space="preserve">California where there had recently been a devastating </w:t>
      </w:r>
      <w:proofErr w:type="gramStart"/>
      <w:r>
        <w:t>wildland fire</w:t>
      </w:r>
      <w:proofErr w:type="gramEnd"/>
      <w:r>
        <w:t xml:space="preserve">. He was not using the fire to cook food. Photos taken at the scene were reviewed in hearing before a Fire Captain, and then on appeal to Kern County Board of Supervisors on Dec. 5, 2017, and on appeal before Kern County Superior Court judge on February 15, 2022. </w:t>
      </w:r>
    </w:p>
    <w:p w14:paraId="27168836" w14:textId="77777777" w:rsidR="00411936" w:rsidRDefault="00411936" w:rsidP="00411936">
      <w:pPr>
        <w:pStyle w:val="NormalWeb"/>
      </w:pPr>
      <w:r>
        <w:t>The Court held:</w:t>
      </w:r>
    </w:p>
    <w:p w14:paraId="765960E3" w14:textId="26743D49" w:rsidR="00411936" w:rsidRPr="007035CA" w:rsidRDefault="00411936" w:rsidP="00411936">
      <w:pPr>
        <w:pStyle w:val="NoSpacing"/>
        <w:rPr>
          <w:rFonts w:ascii="Times New Roman" w:hAnsi="Times New Roman"/>
          <w:sz w:val="24"/>
          <w:szCs w:val="24"/>
        </w:rPr>
      </w:pPr>
      <w:r w:rsidRPr="007035CA">
        <w:rPr>
          <w:rFonts w:ascii="Times New Roman" w:hAnsi="Times New Roman"/>
          <w:sz w:val="24"/>
          <w:szCs w:val="24"/>
        </w:rPr>
        <w:t xml:space="preserve">“Clearly, the fire prevention officials were especially concerned because an apparently devastating fire had damaged the region in the recent past. Notwithstanding the factual disputes present in this case and recognizing firepits and outdoor barbecues are in common use, the concerns of the authorities regarding what they regarded as unsafe burning based on </w:t>
      </w:r>
      <w:proofErr w:type="gramStart"/>
      <w:r w:rsidRPr="007035CA">
        <w:rPr>
          <w:rFonts w:ascii="Times New Roman" w:hAnsi="Times New Roman"/>
          <w:sz w:val="24"/>
          <w:szCs w:val="24"/>
        </w:rPr>
        <w:t>particular conditions</w:t>
      </w:r>
      <w:proofErr w:type="gramEnd"/>
      <w:r w:rsidRPr="007035CA">
        <w:rPr>
          <w:rFonts w:ascii="Times New Roman" w:hAnsi="Times New Roman"/>
          <w:sz w:val="24"/>
          <w:szCs w:val="24"/>
        </w:rPr>
        <w:t xml:space="preserve"> are significant. The fact that </w:t>
      </w:r>
      <w:proofErr w:type="gramStart"/>
      <w:r w:rsidRPr="007035CA">
        <w:rPr>
          <w:rFonts w:ascii="Times New Roman" w:hAnsi="Times New Roman"/>
          <w:sz w:val="24"/>
          <w:szCs w:val="24"/>
        </w:rPr>
        <w:t>petitioner</w:t>
      </w:r>
      <w:proofErr w:type="gramEnd"/>
      <w:r w:rsidRPr="007035CA">
        <w:rPr>
          <w:rFonts w:ascii="Times New Roman" w:hAnsi="Times New Roman"/>
          <w:sz w:val="24"/>
          <w:szCs w:val="24"/>
        </w:rPr>
        <w:t xml:space="preserve"> refused requests to extinguish what officials regarded as an unsafe fire cannot be ignored. Taking all of this into consideration and following the dictates of the law that require courts review administrative decisions with deference, we conclude there was sufficient evidence to justify the citation. </w:t>
      </w:r>
      <w:proofErr w:type="gramStart"/>
      <w:r w:rsidRPr="007035CA">
        <w:rPr>
          <w:rFonts w:ascii="Times New Roman" w:hAnsi="Times New Roman"/>
          <w:sz w:val="24"/>
          <w:szCs w:val="24"/>
        </w:rPr>
        <w:t>For the reasons that</w:t>
      </w:r>
      <w:proofErr w:type="gramEnd"/>
      <w:r w:rsidRPr="007035CA">
        <w:rPr>
          <w:rFonts w:ascii="Times New Roman" w:hAnsi="Times New Roman"/>
          <w:sz w:val="24"/>
          <w:szCs w:val="24"/>
        </w:rPr>
        <w:t xml:space="preserve"> follow, we affirm the trial court's judgment.” </w:t>
      </w:r>
      <w:hyperlink r:id="rId178" w:history="1">
        <w:r w:rsidRPr="007035CA">
          <w:rPr>
            <w:rStyle w:val="Hyperlink"/>
            <w:rFonts w:ascii="Times New Roman" w:eastAsiaTheme="majorEastAsia" w:hAnsi="Times New Roman"/>
            <w:sz w:val="24"/>
            <w:szCs w:val="24"/>
          </w:rPr>
          <w:t>https://public.fastcase.com/ZZhmr5v9wN%2FXOe5IsQ%2FqD3QWuMgnFl%2B3o%2F4uUFiu6RUK1p7KFM%2BXOmaedKhzNCbabAKegQ7cA7QRQh6Aya7idRlRF78qeqCUoqW17wj1IUw%3D?utm_medium=email&amp;_hsmi=226712652&amp;_hsenc=p2ANqtz-87CRXhJMi7biUmbeSml1AgtAY_NVYdYjA00lD_OXsZo9fEN5Imr0EyPY0zfsM2_JyagzI4vAzpnYyJYIEoZ9qDDKxGPw&amp;utm_content=226712652&amp;utm_source=hs_email</w:t>
        </w:r>
      </w:hyperlink>
    </w:p>
    <w:p w14:paraId="236A8650" w14:textId="77777777" w:rsidR="00411936" w:rsidRDefault="00411936" w:rsidP="00F326E5">
      <w:pPr>
        <w:pStyle w:val="NoSpacing"/>
        <w:rPr>
          <w:rFonts w:ascii="Arial Black" w:hAnsi="Arial Black"/>
          <w:sz w:val="24"/>
          <w:szCs w:val="24"/>
        </w:rPr>
      </w:pPr>
    </w:p>
    <w:p w14:paraId="057AD691" w14:textId="77777777" w:rsidR="00411936" w:rsidRPr="00DD4297" w:rsidRDefault="00411936" w:rsidP="00411936">
      <w:pPr>
        <w:pStyle w:val="NormalWeb"/>
        <w:rPr>
          <w:b/>
          <w:bCs/>
        </w:rPr>
      </w:pPr>
      <w:r w:rsidRPr="00DD4297">
        <w:rPr>
          <w:b/>
          <w:bCs/>
        </w:rPr>
        <w:t xml:space="preserve">Legal Lesson Learned: </w:t>
      </w:r>
      <w:r>
        <w:rPr>
          <w:b/>
          <w:bCs/>
        </w:rPr>
        <w:t xml:space="preserve"> The photographs taken by firefighters supported the citation; Courts review administrative decisions with deference.  </w:t>
      </w:r>
    </w:p>
    <w:p w14:paraId="0BA23C1C" w14:textId="77777777" w:rsidR="00411936" w:rsidRDefault="00411936" w:rsidP="00F326E5">
      <w:pPr>
        <w:pStyle w:val="NoSpacing"/>
        <w:rPr>
          <w:rFonts w:ascii="Arial Black" w:hAnsi="Arial Black"/>
          <w:sz w:val="24"/>
          <w:szCs w:val="24"/>
        </w:rPr>
      </w:pPr>
    </w:p>
    <w:p w14:paraId="4E4B78A6" w14:textId="48AF6428" w:rsidR="00411936" w:rsidRDefault="00411936" w:rsidP="00F326E5">
      <w:pPr>
        <w:pStyle w:val="NoSpacing"/>
        <w:rPr>
          <w:rFonts w:ascii="Arial Black" w:hAnsi="Arial Black"/>
          <w:sz w:val="24"/>
          <w:szCs w:val="24"/>
        </w:rPr>
      </w:pPr>
      <w:r>
        <w:rPr>
          <w:rFonts w:ascii="Arial Black" w:hAnsi="Arial Black"/>
          <w:sz w:val="24"/>
          <w:szCs w:val="24"/>
        </w:rPr>
        <w:t>1-130</w:t>
      </w:r>
    </w:p>
    <w:p w14:paraId="7787A714" w14:textId="77777777" w:rsidR="00411936" w:rsidRPr="00487508" w:rsidRDefault="00411936" w:rsidP="00411936">
      <w:pPr>
        <w:pStyle w:val="NormalWeb"/>
        <w:rPr>
          <w:rFonts w:ascii="Arial Black" w:hAnsi="Arial Black"/>
          <w:sz w:val="28"/>
          <w:szCs w:val="28"/>
        </w:rPr>
      </w:pPr>
      <w:r>
        <w:rPr>
          <w:rFonts w:ascii="Arial Black" w:hAnsi="Arial Black"/>
          <w:sz w:val="28"/>
          <w:szCs w:val="28"/>
        </w:rPr>
        <w:t>NC: BURNING BRUSH – NAT. FOREST 70 ACRE FIRE – NEW TRIAL - MAY TELL JURY THOUGHT WAS ON FAMILY LAND</w:t>
      </w:r>
    </w:p>
    <w:p w14:paraId="2A219869" w14:textId="4D41D0FF" w:rsidR="00411936" w:rsidRDefault="00411936" w:rsidP="00411936">
      <w:pPr>
        <w:pStyle w:val="NormalWeb"/>
      </w:pPr>
      <w:r>
        <w:t xml:space="preserve">On July 15, 2023, in </w:t>
      </w:r>
      <w:r w:rsidRPr="004E7A09">
        <w:rPr>
          <w:u w:val="single"/>
        </w:rPr>
        <w:t>United States of America v. Casey Lee Evans, a/k/a James Casey Lee Evans</w:t>
      </w:r>
      <w:r>
        <w:t>, the 4</w:t>
      </w:r>
      <w:r w:rsidRPr="004E7A09">
        <w:rPr>
          <w:vertAlign w:val="superscript"/>
        </w:rPr>
        <w:t>th</w:t>
      </w:r>
      <w:r>
        <w:t xml:space="preserve"> Circuit Court of Appeals (Richmond, VA) held (3 to 0) that trial judge improperly excluded the defendant’s </w:t>
      </w:r>
      <w:r w:rsidR="00352DD8">
        <w:t xml:space="preserve">proffered </w:t>
      </w:r>
      <w:r>
        <w:t xml:space="preserve">testimony that he thought he was burning brush on April 3, 2020 on his family property.  The jury might have therefore found him not guilty since under federal statute the Government must prove he acted “willfully.” He was sentenced in 2022 to “time served” in federal custody, plus </w:t>
      </w:r>
      <w:r w:rsidRPr="00147114">
        <w:t>two years of supervised release</w:t>
      </w:r>
      <w:r>
        <w:t xml:space="preserve">. The conviction is reversed, and he is now entitled to a new trial. </w:t>
      </w:r>
    </w:p>
    <w:p w14:paraId="65E0CE95" w14:textId="77777777" w:rsidR="00411936" w:rsidRDefault="00411936" w:rsidP="00411936">
      <w:pPr>
        <w:pStyle w:val="NormalWeb"/>
      </w:pPr>
      <w:r>
        <w:t xml:space="preserve">The Court held: </w:t>
      </w:r>
    </w:p>
    <w:p w14:paraId="7C620D2E" w14:textId="77777777" w:rsidR="00411936" w:rsidRDefault="00411936" w:rsidP="00411936">
      <w:pPr>
        <w:pStyle w:val="NormalWeb"/>
        <w:tabs>
          <w:tab w:val="left" w:pos="1980"/>
        </w:tabs>
      </w:pPr>
      <w:r>
        <w:t xml:space="preserve">“To summarize, the Government does not have to prove that the defendant knew he was on federal land or intended to burn federal land to obtain a conviction under 18 U.S.C. § 1855. But the Government does have to prove that the defendant acted willfully, and a defendant may attempt to demonstrate an honest mistake of fact to negate the Government's proof on that score. *** Accordingly, we conclude that the district court made an error of law when it excluded Evans's proffered testimony on the ground that his ‘subjective belief’ about whether he was on his family's property when he set the fire was inadmissible for any purpose ‘because it's not relevant to the issues in this case.’ *** On this record, we cannot say the error was harmless. The excluded testimony was Evans's primary defense. If credited by the jury, the testimony would have squarely raised the issue of whether he made a factual mistake sufficient to cast a reasonable doubt on the willfulness of his actions in setting the fire. The jury, not this Court, must assess the credibility of the proffered testimony and weigh it </w:t>
      </w:r>
      <w:r>
        <w:lastRenderedPageBreak/>
        <w:t>against the Government's evidence to make that judgment…</w:t>
      </w:r>
      <w:r>
        <w:rPr>
          <w:vertAlign w:val="superscript"/>
        </w:rPr>
        <w:t xml:space="preserve">. </w:t>
      </w:r>
      <w:r>
        <w:t xml:space="preserve">For these reasons, we vacate Evans's conviction under 18 U.S.C. § 1855. We remand the case to the district court for further proceedings consistent with this opinion.” </w:t>
      </w:r>
      <w:hyperlink r:id="rId179" w:history="1">
        <w:r w:rsidRPr="00024274">
          <w:rPr>
            <w:rStyle w:val="Hyperlink"/>
            <w:rFonts w:eastAsiaTheme="majorEastAsia"/>
          </w:rPr>
          <w:t>https://www.ca4.uscourts.gov/opinions/224307.P.pdf</w:t>
        </w:r>
      </w:hyperlink>
      <w:r>
        <w:t xml:space="preserve"> </w:t>
      </w:r>
    </w:p>
    <w:p w14:paraId="282BA835" w14:textId="77777777" w:rsidR="00411936" w:rsidRPr="002506DD" w:rsidRDefault="00411936" w:rsidP="00411936">
      <w:pPr>
        <w:pStyle w:val="NormalWeb"/>
        <w:rPr>
          <w:b/>
          <w:bCs/>
        </w:rPr>
      </w:pPr>
      <w:r w:rsidRPr="002506DD">
        <w:rPr>
          <w:b/>
          <w:bCs/>
        </w:rPr>
        <w:t xml:space="preserve">Legal Lesson Learned: </w:t>
      </w:r>
      <w:r>
        <w:rPr>
          <w:b/>
          <w:bCs/>
        </w:rPr>
        <w:t xml:space="preserve">Defendant was entitled to tell jury he believed he was burning brush pile on family land.  Anticipating such a defense, it is very helpful to prosecutors if fire investigators have tape record their interviews, with subject’s permission. </w:t>
      </w:r>
    </w:p>
    <w:p w14:paraId="2DE0C96E" w14:textId="77777777" w:rsidR="00411936" w:rsidRPr="00887D21" w:rsidRDefault="00411936" w:rsidP="00411936">
      <w:pPr>
        <w:pStyle w:val="Heading1"/>
        <w:ind w:left="720"/>
        <w:rPr>
          <w:b w:val="0"/>
          <w:bCs w:val="0"/>
          <w:sz w:val="24"/>
          <w:szCs w:val="24"/>
        </w:rPr>
      </w:pPr>
      <w:r w:rsidRPr="00887D21">
        <w:rPr>
          <w:b w:val="0"/>
          <w:bCs w:val="0"/>
          <w:sz w:val="24"/>
          <w:szCs w:val="24"/>
        </w:rPr>
        <w:t xml:space="preserve">Note: See July 25, </w:t>
      </w:r>
      <w:proofErr w:type="gramStart"/>
      <w:r w:rsidRPr="00887D21">
        <w:rPr>
          <w:b w:val="0"/>
          <w:bCs w:val="0"/>
          <w:sz w:val="24"/>
          <w:szCs w:val="24"/>
        </w:rPr>
        <w:t>2023</w:t>
      </w:r>
      <w:proofErr w:type="gramEnd"/>
      <w:r w:rsidRPr="00887D21">
        <w:rPr>
          <w:b w:val="0"/>
          <w:bCs w:val="0"/>
          <w:sz w:val="24"/>
          <w:szCs w:val="24"/>
        </w:rPr>
        <w:t xml:space="preserve"> article, “Federal Appeals Court throws out conviction for burning of federal </w:t>
      </w:r>
      <w:proofErr w:type="gramStart"/>
      <w:r w:rsidRPr="00887D21">
        <w:rPr>
          <w:b w:val="0"/>
          <w:bCs w:val="0"/>
          <w:sz w:val="24"/>
          <w:szCs w:val="24"/>
        </w:rPr>
        <w:t>Nantahala forest</w:t>
      </w:r>
      <w:proofErr w:type="gramEnd"/>
      <w:r w:rsidRPr="00887D21">
        <w:rPr>
          <w:b w:val="0"/>
          <w:bCs w:val="0"/>
          <w:sz w:val="24"/>
          <w:szCs w:val="24"/>
        </w:rPr>
        <w:t xml:space="preserve">.” </w:t>
      </w:r>
      <w:hyperlink r:id="rId180" w:history="1">
        <w:r w:rsidRPr="00887D21">
          <w:rPr>
            <w:rStyle w:val="Hyperlink"/>
            <w:rFonts w:eastAsiaTheme="majorEastAsia"/>
            <w:b w:val="0"/>
            <w:bCs w:val="0"/>
            <w:sz w:val="24"/>
            <w:szCs w:val="24"/>
          </w:rPr>
          <w:t>https://www.carolinajournal.com/federal-appeals-court-throws-out-conviction-for-burning-of-federal-nantahala-forest/</w:t>
        </w:r>
      </w:hyperlink>
      <w:r w:rsidRPr="00887D21">
        <w:rPr>
          <w:b w:val="0"/>
          <w:bCs w:val="0"/>
          <w:sz w:val="24"/>
          <w:szCs w:val="24"/>
        </w:rPr>
        <w:t xml:space="preserve">  </w:t>
      </w:r>
    </w:p>
    <w:p w14:paraId="239C4213" w14:textId="77777777" w:rsidR="00411936" w:rsidRPr="00140F65" w:rsidRDefault="00411936" w:rsidP="00411936">
      <w:pPr>
        <w:pStyle w:val="Heading1"/>
        <w:ind w:left="720"/>
        <w:rPr>
          <w:b w:val="0"/>
          <w:bCs w:val="0"/>
          <w:sz w:val="24"/>
          <w:szCs w:val="24"/>
        </w:rPr>
      </w:pPr>
      <w:r w:rsidRPr="00140F65">
        <w:rPr>
          <w:b w:val="0"/>
          <w:bCs w:val="0"/>
          <w:sz w:val="24"/>
          <w:szCs w:val="24"/>
        </w:rPr>
        <w:t xml:space="preserve">See Jan. 6, </w:t>
      </w:r>
      <w:proofErr w:type="gramStart"/>
      <w:r w:rsidRPr="00140F65">
        <w:rPr>
          <w:b w:val="0"/>
          <w:bCs w:val="0"/>
          <w:sz w:val="24"/>
          <w:szCs w:val="24"/>
        </w:rPr>
        <w:t>2022</w:t>
      </w:r>
      <w:proofErr w:type="gramEnd"/>
      <w:r w:rsidRPr="00140F65">
        <w:rPr>
          <w:b w:val="0"/>
          <w:bCs w:val="0"/>
          <w:sz w:val="24"/>
          <w:szCs w:val="24"/>
        </w:rPr>
        <w:t xml:space="preserve"> </w:t>
      </w:r>
      <w:proofErr w:type="spellStart"/>
      <w:r w:rsidRPr="00140F65">
        <w:rPr>
          <w:b w:val="0"/>
          <w:bCs w:val="0"/>
          <w:sz w:val="24"/>
          <w:szCs w:val="24"/>
        </w:rPr>
        <w:t>DoJ</w:t>
      </w:r>
      <w:proofErr w:type="spellEnd"/>
      <w:r w:rsidRPr="00140F65">
        <w:rPr>
          <w:b w:val="0"/>
          <w:bCs w:val="0"/>
          <w:sz w:val="24"/>
          <w:szCs w:val="24"/>
        </w:rPr>
        <w:t xml:space="preserve"> Press Release</w:t>
      </w:r>
      <w:r>
        <w:rPr>
          <w:b w:val="0"/>
          <w:bCs w:val="0"/>
          <w:sz w:val="24"/>
          <w:szCs w:val="24"/>
        </w:rPr>
        <w:t>: “</w:t>
      </w:r>
      <w:r w:rsidRPr="00140F65">
        <w:rPr>
          <w:rStyle w:val="field-formatter--string"/>
          <w:b w:val="0"/>
          <w:bCs w:val="0"/>
          <w:sz w:val="24"/>
          <w:szCs w:val="24"/>
        </w:rPr>
        <w:t xml:space="preserve">Asheville Jury Convicts Franklin, N.C. Man </w:t>
      </w:r>
      <w:proofErr w:type="gramStart"/>
      <w:r w:rsidRPr="00140F65">
        <w:rPr>
          <w:rStyle w:val="field-formatter--string"/>
          <w:b w:val="0"/>
          <w:bCs w:val="0"/>
          <w:sz w:val="24"/>
          <w:szCs w:val="24"/>
        </w:rPr>
        <w:t>Of</w:t>
      </w:r>
      <w:proofErr w:type="gramEnd"/>
      <w:r w:rsidRPr="00140F65">
        <w:rPr>
          <w:rStyle w:val="field-formatter--string"/>
          <w:b w:val="0"/>
          <w:bCs w:val="0"/>
          <w:sz w:val="24"/>
          <w:szCs w:val="24"/>
        </w:rPr>
        <w:t xml:space="preserve"> Starting </w:t>
      </w:r>
      <w:proofErr w:type="gramStart"/>
      <w:r w:rsidRPr="00140F65">
        <w:rPr>
          <w:rStyle w:val="field-formatter--string"/>
          <w:b w:val="0"/>
          <w:bCs w:val="0"/>
          <w:sz w:val="24"/>
          <w:szCs w:val="24"/>
        </w:rPr>
        <w:t>A</w:t>
      </w:r>
      <w:proofErr w:type="gramEnd"/>
      <w:r w:rsidRPr="00140F65">
        <w:rPr>
          <w:rStyle w:val="field-formatter--string"/>
          <w:b w:val="0"/>
          <w:bCs w:val="0"/>
          <w:sz w:val="24"/>
          <w:szCs w:val="24"/>
        </w:rPr>
        <w:t xml:space="preserve"> Fire That Burned More Than 70 Acres </w:t>
      </w:r>
      <w:proofErr w:type="gramStart"/>
      <w:r w:rsidRPr="00140F65">
        <w:rPr>
          <w:rStyle w:val="field-formatter--string"/>
          <w:b w:val="0"/>
          <w:bCs w:val="0"/>
          <w:sz w:val="24"/>
          <w:szCs w:val="24"/>
        </w:rPr>
        <w:t>Of</w:t>
      </w:r>
      <w:proofErr w:type="gramEnd"/>
      <w:r w:rsidRPr="00140F65">
        <w:rPr>
          <w:rStyle w:val="field-formatter--string"/>
          <w:b w:val="0"/>
          <w:bCs w:val="0"/>
          <w:sz w:val="24"/>
          <w:szCs w:val="24"/>
        </w:rPr>
        <w:t xml:space="preserve"> Federal Land. </w:t>
      </w:r>
      <w:r w:rsidRPr="00140F65">
        <w:rPr>
          <w:b w:val="0"/>
          <w:bCs w:val="0"/>
          <w:sz w:val="24"/>
          <w:szCs w:val="24"/>
        </w:rPr>
        <w:t>Evans was convicted of willfully setting a fire on federal land, which carries a statutory maximum penalty of five years in prison and a $250,000 fine. Following the guilty verdict, Evans was remanded into federal custody. A sentencing date has not been set.</w:t>
      </w:r>
      <w:r>
        <w:rPr>
          <w:b w:val="0"/>
          <w:bCs w:val="0"/>
          <w:sz w:val="24"/>
          <w:szCs w:val="24"/>
        </w:rPr>
        <w:t xml:space="preserve">” </w:t>
      </w:r>
      <w:hyperlink r:id="rId181" w:history="1">
        <w:r w:rsidRPr="00140F65">
          <w:rPr>
            <w:rStyle w:val="Hyperlink"/>
            <w:rFonts w:eastAsiaTheme="majorEastAsia"/>
            <w:b w:val="0"/>
            <w:bCs w:val="0"/>
            <w:sz w:val="24"/>
            <w:szCs w:val="24"/>
          </w:rPr>
          <w:t>https://www.justice.gov/usao-wdnc/pr/asheville-jury-convicts-franklin-nc-man-starting-fire-burned-more-70-acres-federal-land</w:t>
        </w:r>
      </w:hyperlink>
      <w:r w:rsidRPr="00140F65">
        <w:rPr>
          <w:rStyle w:val="field-formatter--string"/>
          <w:b w:val="0"/>
          <w:bCs w:val="0"/>
          <w:sz w:val="24"/>
          <w:szCs w:val="24"/>
        </w:rPr>
        <w:t xml:space="preserve"> </w:t>
      </w:r>
    </w:p>
    <w:p w14:paraId="3C9FA6D3" w14:textId="77777777" w:rsidR="00411936" w:rsidRDefault="00411936" w:rsidP="00411936">
      <w:pPr>
        <w:pStyle w:val="NormalWeb"/>
      </w:pPr>
    </w:p>
    <w:p w14:paraId="23EBAA7D" w14:textId="77777777" w:rsidR="00411936" w:rsidRDefault="00411936" w:rsidP="00F326E5">
      <w:pPr>
        <w:pStyle w:val="NoSpacing"/>
        <w:rPr>
          <w:rFonts w:ascii="Arial Black" w:hAnsi="Arial Black"/>
          <w:sz w:val="24"/>
          <w:szCs w:val="24"/>
        </w:rPr>
      </w:pPr>
    </w:p>
    <w:p w14:paraId="7DF348E3" w14:textId="77777777" w:rsidR="00411936" w:rsidRDefault="00411936" w:rsidP="00F326E5">
      <w:pPr>
        <w:pStyle w:val="NoSpacing"/>
        <w:rPr>
          <w:rFonts w:ascii="Arial Black" w:hAnsi="Arial Black"/>
          <w:sz w:val="24"/>
          <w:szCs w:val="24"/>
        </w:rPr>
      </w:pPr>
    </w:p>
    <w:p w14:paraId="2FDB9867" w14:textId="77777777" w:rsidR="00411936" w:rsidRDefault="00411936" w:rsidP="00F326E5">
      <w:pPr>
        <w:pStyle w:val="NoSpacing"/>
        <w:rPr>
          <w:rFonts w:ascii="Arial Black" w:hAnsi="Arial Black"/>
          <w:sz w:val="24"/>
          <w:szCs w:val="24"/>
        </w:rPr>
      </w:pPr>
    </w:p>
    <w:p w14:paraId="4FE3B7F7" w14:textId="7940391A" w:rsidR="00411936" w:rsidRDefault="00411936" w:rsidP="00F326E5">
      <w:pPr>
        <w:pStyle w:val="NoSpacing"/>
        <w:rPr>
          <w:rFonts w:ascii="Arial Black" w:hAnsi="Arial Black"/>
          <w:sz w:val="24"/>
          <w:szCs w:val="24"/>
        </w:rPr>
      </w:pPr>
      <w:r>
        <w:rPr>
          <w:rFonts w:ascii="Arial Black" w:hAnsi="Arial Black"/>
          <w:sz w:val="24"/>
          <w:szCs w:val="24"/>
        </w:rPr>
        <w:t>1-129</w:t>
      </w:r>
    </w:p>
    <w:p w14:paraId="0A835ECB" w14:textId="77777777" w:rsidR="00411936" w:rsidRDefault="00411936" w:rsidP="00F326E5">
      <w:pPr>
        <w:pStyle w:val="NoSpacing"/>
        <w:rPr>
          <w:rFonts w:ascii="Arial Black" w:hAnsi="Arial Black"/>
          <w:sz w:val="24"/>
          <w:szCs w:val="24"/>
        </w:rPr>
      </w:pPr>
    </w:p>
    <w:p w14:paraId="66F54AF4" w14:textId="414D1F52" w:rsidR="00411936" w:rsidRPr="006C4D29" w:rsidRDefault="00411936" w:rsidP="00411936">
      <w:pPr>
        <w:pStyle w:val="NormalWeb"/>
        <w:rPr>
          <w:rFonts w:ascii="Arial Black" w:hAnsi="Arial Black"/>
          <w:b/>
          <w:bCs/>
          <w:sz w:val="28"/>
          <w:szCs w:val="28"/>
        </w:rPr>
      </w:pPr>
      <w:r>
        <w:rPr>
          <w:rFonts w:ascii="Arial Black" w:hAnsi="Arial Black"/>
          <w:b/>
          <w:bCs/>
          <w:sz w:val="28"/>
          <w:szCs w:val="28"/>
        </w:rPr>
        <w:t>OH: ARSON – CIRCUMSTANTIAL EVIDENCE SUFFIC</w:t>
      </w:r>
      <w:r w:rsidR="0045392E">
        <w:rPr>
          <w:rFonts w:ascii="Arial Black" w:hAnsi="Arial Black"/>
          <w:b/>
          <w:bCs/>
          <w:sz w:val="28"/>
          <w:szCs w:val="28"/>
        </w:rPr>
        <w:t>I</w:t>
      </w:r>
      <w:r>
        <w:rPr>
          <w:rFonts w:ascii="Arial Black" w:hAnsi="Arial Black"/>
          <w:b/>
          <w:bCs/>
          <w:sz w:val="28"/>
          <w:szCs w:val="28"/>
        </w:rPr>
        <w:t>ENT –</w:t>
      </w:r>
      <w:r w:rsidR="00B3611E">
        <w:rPr>
          <w:rFonts w:ascii="Arial Black" w:hAnsi="Arial Black"/>
          <w:b/>
          <w:bCs/>
          <w:sz w:val="28"/>
          <w:szCs w:val="28"/>
        </w:rPr>
        <w:t xml:space="preserve"> </w:t>
      </w:r>
      <w:r>
        <w:rPr>
          <w:rFonts w:ascii="Arial Black" w:hAnsi="Arial Black"/>
          <w:b/>
          <w:bCs/>
          <w:sz w:val="28"/>
          <w:szCs w:val="28"/>
        </w:rPr>
        <w:t>ARSON REGISTRY STATUTE – JUDGE CAN SET LENGTH</w:t>
      </w:r>
    </w:p>
    <w:p w14:paraId="6B497277" w14:textId="77777777" w:rsidR="00411936" w:rsidRPr="00551DA8" w:rsidRDefault="00411936" w:rsidP="00411936">
      <w:pPr>
        <w:pStyle w:val="NormalWeb"/>
      </w:pPr>
      <w:r w:rsidRPr="00551DA8">
        <w:t xml:space="preserve">On July 13, 2023, in </w:t>
      </w:r>
      <w:r w:rsidRPr="00551DA8">
        <w:rPr>
          <w:u w:val="single"/>
        </w:rPr>
        <w:t>State of Ohio v. Anthony D. Lochart</w:t>
      </w:r>
      <w:r w:rsidRPr="00551DA8">
        <w:t xml:space="preserve">, the Court of Appeals of Ohio, Fifth District, Richland, upheld the jury conviction </w:t>
      </w:r>
      <w:r>
        <w:t xml:space="preserve">on circumstantial evidence </w:t>
      </w:r>
      <w:r w:rsidRPr="00551DA8">
        <w:t xml:space="preserve">and </w:t>
      </w:r>
      <w:r>
        <w:t xml:space="preserve">the </w:t>
      </w:r>
      <w:r w:rsidRPr="00551DA8">
        <w:t xml:space="preserve">sentence of 8-12 years, </w:t>
      </w:r>
      <w:r>
        <w:t xml:space="preserve">but order that he been on </w:t>
      </w:r>
      <w:r w:rsidRPr="00551DA8">
        <w:t>lifetime arson registry</w:t>
      </w:r>
      <w:r>
        <w:t xml:space="preserve"> must be re-sentenced.  Judges must have discretion when imposing registration period; the </w:t>
      </w:r>
      <w:r w:rsidRPr="00551DA8">
        <w:t xml:space="preserve">Ohio statute </w:t>
      </w:r>
      <w:r>
        <w:t xml:space="preserve">to be unconstitutional breach of “separation of powers” because judges can only reduce the period of registration rom lifetime to </w:t>
      </w:r>
      <w:r w:rsidRPr="00551DA8">
        <w:t>not less than 10 year</w:t>
      </w:r>
      <w:r>
        <w:t xml:space="preserve">s only </w:t>
      </w:r>
      <w:r w:rsidRPr="00551DA8">
        <w:t xml:space="preserve">if the judge </w:t>
      </w:r>
      <w:r>
        <w:t>“r</w:t>
      </w:r>
      <w:r w:rsidRPr="00551DA8">
        <w:t>eceives a request from the prosecutor and the investigating law enforcement agency to consider limiting the arson offender's registration period.</w:t>
      </w:r>
      <w:r>
        <w:t>”</w:t>
      </w:r>
      <w:r w:rsidRPr="00551DA8">
        <w:t xml:space="preserve"> </w:t>
      </w:r>
    </w:p>
    <w:p w14:paraId="7BB93AC9" w14:textId="77777777" w:rsidR="00411936" w:rsidRDefault="00411936" w:rsidP="00411936">
      <w:pPr>
        <w:pStyle w:val="NormalWeb"/>
      </w:pPr>
      <w:r>
        <w:t xml:space="preserve">The Court held: </w:t>
      </w:r>
    </w:p>
    <w:p w14:paraId="0C111F18" w14:textId="77777777" w:rsidR="00411936" w:rsidRDefault="00411936" w:rsidP="00411936">
      <w:pPr>
        <w:pStyle w:val="NormalWeb"/>
      </w:pPr>
      <w:r>
        <w:t xml:space="preserve">“Although the evidence was circumstantial, it is well settled that the state may rely on circumstantial evidence to prove an essential element of an offense because ‘circumstantial evidence and direct evidence inherently possess the same probative value[.]’ </w:t>
      </w:r>
      <w:r>
        <w:rPr>
          <w:rStyle w:val="Emphasis"/>
        </w:rPr>
        <w:t>Jenks</w:t>
      </w:r>
      <w:r>
        <w:t xml:space="preserve">, 61 Ohio St.3d 259, 574 N.E.2d 492 at paragraph one of the </w:t>
      </w:r>
      <w:proofErr w:type="gramStart"/>
      <w:r>
        <w:t>syllabus</w:t>
      </w:r>
      <w:proofErr w:type="gramEnd"/>
      <w:r>
        <w:t xml:space="preserve">. Lockhart had both the opportunity and the means to set the </w:t>
      </w:r>
      <w:proofErr w:type="gramStart"/>
      <w:r>
        <w:t>fire</w:t>
      </w:r>
      <w:proofErr w:type="gramEnd"/>
      <w:r>
        <w:t xml:space="preserve"> and we find the jury did not lose its way in finding he did so.</w:t>
      </w:r>
    </w:p>
    <w:p w14:paraId="07E288C1" w14:textId="77777777" w:rsidR="00411936" w:rsidRDefault="00411936" w:rsidP="00411936">
      <w:pPr>
        <w:pStyle w:val="NormalWeb"/>
      </w:pPr>
      <w:r>
        <w:t>***</w:t>
      </w:r>
    </w:p>
    <w:p w14:paraId="18A50DF6" w14:textId="77777777" w:rsidR="00411936" w:rsidRDefault="00411936" w:rsidP="00411936">
      <w:pPr>
        <w:pStyle w:val="NormalWeb"/>
      </w:pPr>
      <w:r>
        <w:t xml:space="preserve">Lockhart on appeal argues the fire could have been started by three D batteries discovered in the closet after the fire. “However, fire Captain Bob Dean, a firefighter and investigator with 28 </w:t>
      </w:r>
      <w:proofErr w:type="spellStart"/>
      <w:r>
        <w:t>years experience</w:t>
      </w:r>
      <w:proofErr w:type="spellEnd"/>
      <w:r>
        <w:t xml:space="preserve"> and hundreds of </w:t>
      </w:r>
      <w:r>
        <w:lastRenderedPageBreak/>
        <w:t xml:space="preserve">fire investigations testified he discovered no circumstance which would lead him to conclude the fire started on its own. He observed melted clothing on the floor of the closet which fueled the fire.  Dean further testified that it was highly unlikely that three D batteries would start a fire and that he has never investigated a fire which was started by batteries.”  </w:t>
      </w:r>
    </w:p>
    <w:p w14:paraId="0F15528A" w14:textId="77777777" w:rsidR="00411936" w:rsidRDefault="00411936" w:rsidP="00411936">
      <w:pPr>
        <w:pStyle w:val="NormalWeb"/>
      </w:pPr>
      <w:r>
        <w:t>***</w:t>
      </w:r>
    </w:p>
    <w:p w14:paraId="400C2624" w14:textId="77777777" w:rsidR="00411936" w:rsidRDefault="00411936" w:rsidP="00411936">
      <w:pPr>
        <w:pStyle w:val="NormalWeb"/>
      </w:pPr>
      <w:r>
        <w:t>Returning to the issue at hand [</w:t>
      </w:r>
      <w:proofErr w:type="gramStart"/>
      <w:r>
        <w:t>period of time</w:t>
      </w:r>
      <w:proofErr w:type="gramEnd"/>
      <w:r>
        <w:t xml:space="preserve"> on arson registry], the Fourth District concluded that R.C. 2909.15(D)(2) violates the separation of powers. </w:t>
      </w:r>
      <w:r>
        <w:rPr>
          <w:rStyle w:val="Emphasis"/>
        </w:rPr>
        <w:t>State v. Dingus</w:t>
      </w:r>
      <w:r>
        <w:t xml:space="preserve">, 2017-Ohio-2619, 81 N.E.3d 513, ¶ 31 (4th Dist.). The court expressed its conclusion as </w:t>
      </w:r>
      <w:proofErr w:type="gramStart"/>
      <w:r>
        <w:t>this: ‘</w:t>
      </w:r>
      <w:proofErr w:type="gramEnd"/>
      <w:r>
        <w:t>By depriving the trial court of the ability to act without the request of the prosecutor and the investigating law enforcement agency, the trial court's independence is compromised. The prosecutor and the investigating law enforcement agency effectively decide which registration periods can be reviewed by the trial court; thus, the prosecutor and the investigating law enforcement agency have an "overruling influence" over the trial court….’ We agree with the Fourth District that this statute violates the separation of powers doctrine.”</w:t>
      </w:r>
    </w:p>
    <w:p w14:paraId="3D8308CC" w14:textId="2D1FFAC9" w:rsidR="00411936" w:rsidRDefault="00411936" w:rsidP="00411936">
      <w:pPr>
        <w:pStyle w:val="NoSpacing"/>
        <w:rPr>
          <w:rFonts w:ascii="Arial Black" w:hAnsi="Arial Black"/>
          <w:sz w:val="24"/>
          <w:szCs w:val="24"/>
        </w:rPr>
      </w:pPr>
      <w:hyperlink r:id="rId182" w:history="1">
        <w:r w:rsidRPr="0052585B">
          <w:rPr>
            <w:rStyle w:val="Hyperlink"/>
            <w:rFonts w:eastAsiaTheme="majorEastAsia"/>
          </w:rPr>
          <w:t>https://public.fastcase.com/ZZhmr5v9wN%2FXOe5IsQ%2FqD6Xx7tREqB5H6wemtf0NyhN8u4NUZnGSAantyLeysRAmLMoHIDaVROEStimemn37zFtbEUi2roRyzYg1DUQ2CNY%3D?utm_medium=email&amp;_hsmi=226712652&amp;_hsenc=p2ANqtz--Q_3moeDoiaeECqEOwyhE0ZXPhDkG4WMrF3I2hrcVk-DQ0PMStF7btAcv6bivJ44RNtnNn6LFTST6ermzb3easneInYg&amp;utm_content=226712652&amp;utm_source=hs_email</w:t>
        </w:r>
      </w:hyperlink>
    </w:p>
    <w:p w14:paraId="2A015DA9" w14:textId="77777777" w:rsidR="00411936" w:rsidRPr="00755D6D" w:rsidRDefault="00411936" w:rsidP="00411936">
      <w:pPr>
        <w:pStyle w:val="NormalWeb"/>
        <w:rPr>
          <w:b/>
          <w:bCs/>
        </w:rPr>
      </w:pPr>
      <w:r w:rsidRPr="00755D6D">
        <w:rPr>
          <w:b/>
          <w:bCs/>
        </w:rPr>
        <w:t xml:space="preserve">Legal Lesson Learned: </w:t>
      </w:r>
      <w:r>
        <w:rPr>
          <w:b/>
          <w:bCs/>
        </w:rPr>
        <w:t>The defendant was properly convicted on circumstantial evidence, including testimony of FD arson investigator with 28 years of experience.</w:t>
      </w:r>
    </w:p>
    <w:p w14:paraId="456F19A4" w14:textId="77777777" w:rsidR="00411936" w:rsidRDefault="00411936" w:rsidP="00F326E5">
      <w:pPr>
        <w:pStyle w:val="NoSpacing"/>
        <w:rPr>
          <w:rFonts w:ascii="Arial Black" w:hAnsi="Arial Black"/>
          <w:sz w:val="24"/>
          <w:szCs w:val="24"/>
        </w:rPr>
      </w:pPr>
    </w:p>
    <w:p w14:paraId="357F20F6" w14:textId="77777777" w:rsidR="00411936" w:rsidRDefault="00411936" w:rsidP="00F326E5">
      <w:pPr>
        <w:pStyle w:val="NoSpacing"/>
        <w:rPr>
          <w:rFonts w:ascii="Arial Black" w:hAnsi="Arial Black"/>
          <w:sz w:val="24"/>
          <w:szCs w:val="24"/>
        </w:rPr>
      </w:pPr>
    </w:p>
    <w:p w14:paraId="4C69CE06" w14:textId="52377B39" w:rsidR="00411936" w:rsidRDefault="00411936" w:rsidP="00F326E5">
      <w:pPr>
        <w:pStyle w:val="NoSpacing"/>
        <w:rPr>
          <w:rFonts w:ascii="Arial Black" w:hAnsi="Arial Black"/>
          <w:sz w:val="24"/>
          <w:szCs w:val="24"/>
        </w:rPr>
      </w:pPr>
      <w:r>
        <w:rPr>
          <w:rFonts w:ascii="Arial Black" w:hAnsi="Arial Black"/>
          <w:sz w:val="24"/>
          <w:szCs w:val="24"/>
        </w:rPr>
        <w:t>1-128</w:t>
      </w:r>
    </w:p>
    <w:p w14:paraId="12131675" w14:textId="77777777" w:rsidR="00411936" w:rsidRDefault="00411936" w:rsidP="00F326E5">
      <w:pPr>
        <w:pStyle w:val="NoSpacing"/>
        <w:rPr>
          <w:rFonts w:ascii="Arial Black" w:hAnsi="Arial Black"/>
          <w:sz w:val="24"/>
          <w:szCs w:val="24"/>
        </w:rPr>
      </w:pPr>
    </w:p>
    <w:p w14:paraId="4A24484D" w14:textId="77777777" w:rsidR="00411936" w:rsidRDefault="00411936" w:rsidP="00411936">
      <w:pPr>
        <w:rPr>
          <w:rFonts w:ascii="Arial Black" w:hAnsi="Arial Black"/>
          <w:sz w:val="28"/>
          <w:szCs w:val="28"/>
        </w:rPr>
      </w:pPr>
      <w:r>
        <w:rPr>
          <w:rFonts w:ascii="Arial Black" w:hAnsi="Arial Black"/>
          <w:sz w:val="28"/>
          <w:szCs w:val="28"/>
        </w:rPr>
        <w:t xml:space="preserve">MD:  PLAINTIFF’S EXPERT WITNESSES CAN TESTIFY - BATTERIES IN </w:t>
      </w:r>
      <w:proofErr w:type="spellStart"/>
      <w:r>
        <w:rPr>
          <w:rFonts w:ascii="Arial Black" w:hAnsi="Arial Black"/>
          <w:sz w:val="28"/>
          <w:szCs w:val="28"/>
        </w:rPr>
        <w:t>MacPro</w:t>
      </w:r>
      <w:proofErr w:type="spellEnd"/>
      <w:r>
        <w:rPr>
          <w:rFonts w:ascii="Arial Black" w:hAnsi="Arial Black"/>
          <w:sz w:val="28"/>
          <w:szCs w:val="28"/>
        </w:rPr>
        <w:t xml:space="preserve"> LAPTOP LED TO LARGE CONDO FIRE </w:t>
      </w:r>
    </w:p>
    <w:p w14:paraId="6CF68926" w14:textId="77777777" w:rsidR="00411936" w:rsidRDefault="00411936" w:rsidP="00411936">
      <w:pPr>
        <w:rPr>
          <w:rFonts w:ascii="Times New Roman" w:hAnsi="Times New Roman"/>
          <w:sz w:val="24"/>
          <w:szCs w:val="24"/>
        </w:rPr>
      </w:pPr>
      <w:r w:rsidRPr="001A2CEB">
        <w:rPr>
          <w:rFonts w:ascii="Times New Roman" w:hAnsi="Times New Roman"/>
          <w:sz w:val="24"/>
          <w:szCs w:val="24"/>
        </w:rPr>
        <w:t>On July</w:t>
      </w:r>
      <w:r>
        <w:rPr>
          <w:rFonts w:ascii="Times New Roman" w:hAnsi="Times New Roman"/>
          <w:sz w:val="24"/>
          <w:szCs w:val="24"/>
        </w:rPr>
        <w:t xml:space="preserve"> </w:t>
      </w:r>
      <w:r w:rsidRPr="001A2CEB">
        <w:rPr>
          <w:rFonts w:ascii="Times New Roman" w:hAnsi="Times New Roman"/>
          <w:sz w:val="24"/>
          <w:szCs w:val="24"/>
        </w:rPr>
        <w:t xml:space="preserve">7, 2023, in </w:t>
      </w:r>
      <w:r w:rsidRPr="001A2CEB">
        <w:rPr>
          <w:rFonts w:ascii="Times New Roman" w:hAnsi="Times New Roman"/>
          <w:sz w:val="24"/>
          <w:szCs w:val="24"/>
          <w:u w:val="single"/>
        </w:rPr>
        <w:t>Philadelphia Indemnity Insurance Company, et al. v, Apple, Inc.</w:t>
      </w:r>
      <w:r w:rsidRPr="001A2CEB">
        <w:rPr>
          <w:rFonts w:ascii="Times New Roman" w:hAnsi="Times New Roman"/>
          <w:sz w:val="24"/>
          <w:szCs w:val="24"/>
        </w:rPr>
        <w:t xml:space="preserve">, </w:t>
      </w:r>
      <w:r>
        <w:rPr>
          <w:rFonts w:ascii="Times New Roman" w:hAnsi="Times New Roman"/>
          <w:sz w:val="24"/>
          <w:szCs w:val="24"/>
        </w:rPr>
        <w:t xml:space="preserve">U.S. District Court Judge Stephanie A. Gallaher, U.S. District Court for the District of Maryland, held that plaintiff may use three expert witnesses at trial – a memory export, and two battery fire experts. On Nov. 24, 2017, shortly after midnight a fire broke out in the bedroom of Ms. Ross in Severn House Condominiums in Annapolis, Maryland, that </w:t>
      </w:r>
      <w:proofErr w:type="gramStart"/>
      <w:r>
        <w:rPr>
          <w:rFonts w:ascii="Times New Roman" w:hAnsi="Times New Roman"/>
          <w:sz w:val="24"/>
          <w:szCs w:val="24"/>
        </w:rPr>
        <w:t>damage to</w:t>
      </w:r>
      <w:proofErr w:type="gramEnd"/>
      <w:r>
        <w:rPr>
          <w:rFonts w:ascii="Times New Roman" w:hAnsi="Times New Roman"/>
          <w:sz w:val="24"/>
          <w:szCs w:val="24"/>
        </w:rPr>
        <w:t xml:space="preserve"> her unit and surrounding units.  She initially told FD that it might have been caused by her electric heating pad (12-18 inches under her back), </w:t>
      </w:r>
      <w:r w:rsidRPr="001342A3">
        <w:rPr>
          <w:rFonts w:ascii="Times New Roman" w:hAnsi="Times New Roman"/>
          <w:sz w:val="24"/>
          <w:szCs w:val="24"/>
        </w:rPr>
        <w:t>but six weeks after the incident, Ms. Ross reviewed the fire department's report and learned that some remnants of the MacBook had been found on the remains of her mattress…. At her deposition in 2021, she testified that after reviewing the fire department's report, she had many ‘flashbacks’ and ‘bad dreams’ that left her ‘increasingly convinced’ that the small flames she saw upon awakening were on the laptop at the foot of her bed.</w:t>
      </w:r>
      <w:r>
        <w:rPr>
          <w:rFonts w:ascii="Times New Roman" w:hAnsi="Times New Roman"/>
          <w:sz w:val="24"/>
          <w:szCs w:val="24"/>
        </w:rPr>
        <w:t xml:space="preserve"> A memory expert will be allowed to testify.  The laptop was recovered and examined – two battery experts will testify that batteries in the laptop likely caused the fire.  </w:t>
      </w:r>
    </w:p>
    <w:p w14:paraId="48F870CA" w14:textId="77777777" w:rsidR="00411936" w:rsidRDefault="00411936" w:rsidP="00411936">
      <w:pPr>
        <w:rPr>
          <w:rFonts w:ascii="Times New Roman" w:hAnsi="Times New Roman"/>
          <w:sz w:val="24"/>
          <w:szCs w:val="24"/>
        </w:rPr>
      </w:pPr>
      <w:r>
        <w:rPr>
          <w:rFonts w:ascii="Times New Roman" w:hAnsi="Times New Roman"/>
          <w:sz w:val="24"/>
          <w:szCs w:val="24"/>
        </w:rPr>
        <w:t>The Court held:</w:t>
      </w:r>
    </w:p>
    <w:p w14:paraId="7E0BC421" w14:textId="77777777" w:rsidR="00411936" w:rsidRDefault="00411936" w:rsidP="00411936">
      <w:pPr>
        <w:pStyle w:val="NormalWeb"/>
      </w:pPr>
      <w:r>
        <w:t xml:space="preserve">MEMORY EXPERT. “In this case, then, this Court will allow Dr. Weaver's proposed testimony to some extent. Specifically, he will be permitted to testify as to the process of encoding, particularly in a traumatic situation, memory reconstruction, suggestibility, and post-event information. An explanation of those general principles is </w:t>
      </w:r>
      <w:r>
        <w:lastRenderedPageBreak/>
        <w:t>relevant to the jury's consideration and weighing of Ms. Ross's testimony. Obviously, Dr. Weaver will not be permitted to opine on the ultimate issue of whether Ms. Ross's testimony is credible or incredible. But his inability to reach that issue does not mean his testimony about memory formation, retention, and alteration is irrelevant or useless to the jury… The evidence is helpful and will be permitted.”</w:t>
      </w:r>
    </w:p>
    <w:p w14:paraId="24702285" w14:textId="77777777" w:rsidR="00411936" w:rsidRPr="00A20D55" w:rsidRDefault="00411936" w:rsidP="00411936">
      <w:pPr>
        <w:rPr>
          <w:rFonts w:ascii="Times New Roman" w:hAnsi="Times New Roman"/>
          <w:sz w:val="24"/>
          <w:szCs w:val="24"/>
        </w:rPr>
      </w:pPr>
      <w:r w:rsidRPr="00A20D55">
        <w:rPr>
          <w:rFonts w:ascii="Times New Roman" w:hAnsi="Times New Roman"/>
          <w:sz w:val="24"/>
          <w:szCs w:val="24"/>
        </w:rPr>
        <w:t xml:space="preserve">BATTERY EXPERTS.  “Accordingly, Mr. Hoffmann will be permitted to testify that Ms. Ross's laptop was at a low state of charge, defined as less than fully charged, and that batteries at a low state of charge are less likely to produce enough energy to be a competent ignition source. He will not be permitted to testify more definitively that Ms. Ross's battery cell was at too low of a SoC to ignite the bedding material or cause the fire. </w:t>
      </w:r>
    </w:p>
    <w:p w14:paraId="7CE91DF5" w14:textId="77777777" w:rsidR="00411936" w:rsidRPr="00A20D55" w:rsidRDefault="00411936" w:rsidP="00411936">
      <w:pPr>
        <w:rPr>
          <w:rFonts w:ascii="Times New Roman" w:hAnsi="Times New Roman"/>
          <w:sz w:val="24"/>
          <w:szCs w:val="24"/>
        </w:rPr>
      </w:pPr>
      <w:r w:rsidRPr="00A20D55">
        <w:rPr>
          <w:rFonts w:ascii="Times New Roman" w:hAnsi="Times New Roman"/>
          <w:sz w:val="24"/>
          <w:szCs w:val="24"/>
        </w:rPr>
        <w:t xml:space="preserve">*** </w:t>
      </w:r>
    </w:p>
    <w:p w14:paraId="26634A40" w14:textId="162F3173" w:rsidR="00411936" w:rsidRDefault="00411936" w:rsidP="00411936">
      <w:pPr>
        <w:pStyle w:val="NoSpacing"/>
        <w:rPr>
          <w:rFonts w:ascii="Arial Black" w:hAnsi="Arial Black"/>
          <w:sz w:val="24"/>
          <w:szCs w:val="24"/>
        </w:rPr>
      </w:pPr>
      <w:r w:rsidRPr="00A20D55">
        <w:rPr>
          <w:rFonts w:ascii="Times New Roman" w:hAnsi="Times New Roman"/>
          <w:sz w:val="24"/>
          <w:szCs w:val="24"/>
        </w:rPr>
        <w:t xml:space="preserve">Michael Eskra is a battery expert retained by Plaintiffs. Apple does not challenge </w:t>
      </w:r>
      <w:proofErr w:type="gramStart"/>
      <w:r w:rsidRPr="00A20D55">
        <w:rPr>
          <w:rFonts w:ascii="Times New Roman" w:hAnsi="Times New Roman"/>
          <w:sz w:val="24"/>
          <w:szCs w:val="24"/>
        </w:rPr>
        <w:t>his</w:t>
      </w:r>
      <w:proofErr w:type="gramEnd"/>
      <w:r w:rsidRPr="00A20D55">
        <w:rPr>
          <w:rFonts w:ascii="Times New Roman" w:hAnsi="Times New Roman"/>
          <w:sz w:val="24"/>
          <w:szCs w:val="24"/>
        </w:rPr>
        <w:t xml:space="preserve"> expert qualifications. Instead, it contends that his methodology is unreliable because, in Apple's view, he simply looked at the CT scans of the battery cells to reach his conclusion. Because the fifth cell shows internal, localized damage to the electrode windings while the other four only have exterior damage, Mr. Eskra opines that the fifth cell shorted and caused the ignition… But because Plaintiffs are not relying on Mr. Eskra to establish conclusively the defect in the battery cell, his testimony is relevant and permissible.</w:t>
      </w:r>
      <w:r>
        <w:rPr>
          <w:rFonts w:ascii="Times New Roman" w:hAnsi="Times New Roman"/>
          <w:sz w:val="24"/>
          <w:szCs w:val="24"/>
        </w:rPr>
        <w:t xml:space="preserve">” </w:t>
      </w:r>
      <w:hyperlink r:id="rId183" w:history="1">
        <w:r w:rsidRPr="0052585B">
          <w:rPr>
            <w:rStyle w:val="Hyperlink"/>
            <w:rFonts w:ascii="Times New Roman" w:hAnsi="Times New Roman"/>
            <w:sz w:val="24"/>
            <w:szCs w:val="24"/>
          </w:rPr>
          <w:t>https://public.fastcase.com/ZZhmr5v9wN%2FXOe5IsQ%2FqD2w3LkpuglI3nASy1X40hEavWq5Hg6BXuOMAb4Q%2F0qYvRQrnGJSyHTBcFYNZH%2FPWinF4W28EQi7cn4B0%2Besltk8%3D?utm_medium=email&amp;_hsmi=226712652&amp;_hsenc=p2ANqtz--58Ne7SxJ1hr6i-F8FakyHT8npVqzhLBvm91HO15BtcmmyFpQh4X3iW-xWGAEBSVd3N4PHQcOA9a0ODtOxMPf5jkgwuw&amp;utm_content=226712652&amp;utm_source=hs_email</w:t>
        </w:r>
      </w:hyperlink>
    </w:p>
    <w:p w14:paraId="488F85A9" w14:textId="77777777" w:rsidR="00411936" w:rsidRDefault="00411936" w:rsidP="00F326E5">
      <w:pPr>
        <w:pStyle w:val="NoSpacing"/>
        <w:rPr>
          <w:rFonts w:ascii="Arial Black" w:hAnsi="Arial Black"/>
          <w:sz w:val="24"/>
          <w:szCs w:val="24"/>
        </w:rPr>
      </w:pPr>
    </w:p>
    <w:p w14:paraId="5AFE1841" w14:textId="77777777" w:rsidR="00411936" w:rsidRPr="001342A3" w:rsidRDefault="00411936" w:rsidP="00411936">
      <w:pPr>
        <w:pStyle w:val="NormalWeb"/>
        <w:rPr>
          <w:b/>
          <w:bCs/>
        </w:rPr>
      </w:pPr>
      <w:r w:rsidRPr="001342A3">
        <w:rPr>
          <w:b/>
          <w:bCs/>
        </w:rPr>
        <w:t xml:space="preserve">Legal Lesson Learned: The U.S. Supreme Court has held that trial court judges must ensure prior to trial that proposed expert testimony “both rests on a reliable foundation and is relevant to the task at hand.” </w:t>
      </w:r>
      <w:r w:rsidRPr="001342A3">
        <w:rPr>
          <w:rStyle w:val="Emphasis"/>
          <w:b/>
          <w:bCs/>
        </w:rPr>
        <w:t>Daubert v. Merrell Dow Pharm., Inc.</w:t>
      </w:r>
      <w:r w:rsidRPr="001342A3">
        <w:rPr>
          <w:b/>
          <w:bCs/>
        </w:rPr>
        <w:t>, 509 U.S. 579, 597 (1993).</w:t>
      </w:r>
      <w:r>
        <w:rPr>
          <w:b/>
          <w:bCs/>
        </w:rPr>
        <w:t xml:space="preserve"> </w:t>
      </w:r>
      <w:hyperlink r:id="rId184" w:history="1">
        <w:r w:rsidRPr="0052585B">
          <w:rPr>
            <w:rStyle w:val="Hyperlink"/>
            <w:rFonts w:eastAsiaTheme="majorEastAsia"/>
            <w:b/>
            <w:bCs/>
          </w:rPr>
          <w:t>https://www.loc.gov/item/usrep509579/</w:t>
        </w:r>
      </w:hyperlink>
      <w:r>
        <w:rPr>
          <w:b/>
          <w:bCs/>
        </w:rPr>
        <w:t xml:space="preserve"> </w:t>
      </w:r>
    </w:p>
    <w:p w14:paraId="4A7FE11C" w14:textId="77777777" w:rsidR="00411936" w:rsidRDefault="00411936" w:rsidP="00F326E5">
      <w:pPr>
        <w:pStyle w:val="NoSpacing"/>
        <w:rPr>
          <w:rFonts w:ascii="Arial Black" w:hAnsi="Arial Black"/>
          <w:sz w:val="24"/>
          <w:szCs w:val="24"/>
        </w:rPr>
      </w:pPr>
    </w:p>
    <w:p w14:paraId="3C916086" w14:textId="77777777" w:rsidR="00411936" w:rsidRDefault="00411936" w:rsidP="00F326E5">
      <w:pPr>
        <w:pStyle w:val="NoSpacing"/>
        <w:rPr>
          <w:rFonts w:ascii="Arial Black" w:hAnsi="Arial Black"/>
          <w:sz w:val="24"/>
          <w:szCs w:val="24"/>
        </w:rPr>
      </w:pPr>
    </w:p>
    <w:p w14:paraId="5AD45CF8" w14:textId="77777777" w:rsidR="00411936" w:rsidRDefault="00411936" w:rsidP="00F326E5">
      <w:pPr>
        <w:pStyle w:val="NoSpacing"/>
        <w:rPr>
          <w:rFonts w:ascii="Arial Black" w:hAnsi="Arial Black"/>
          <w:sz w:val="24"/>
          <w:szCs w:val="24"/>
        </w:rPr>
      </w:pPr>
    </w:p>
    <w:p w14:paraId="29FF4140" w14:textId="77777777" w:rsidR="00411936" w:rsidRDefault="00411936" w:rsidP="00F326E5">
      <w:pPr>
        <w:pStyle w:val="NoSpacing"/>
        <w:rPr>
          <w:rFonts w:ascii="Arial Black" w:hAnsi="Arial Black"/>
          <w:sz w:val="24"/>
          <w:szCs w:val="24"/>
        </w:rPr>
      </w:pPr>
    </w:p>
    <w:p w14:paraId="60332905" w14:textId="1FFF8E35" w:rsidR="00AB637D" w:rsidRDefault="00FE60DA" w:rsidP="00F326E5">
      <w:pPr>
        <w:pStyle w:val="NoSpacing"/>
        <w:rPr>
          <w:rFonts w:ascii="Arial Black" w:hAnsi="Arial Black"/>
          <w:sz w:val="24"/>
          <w:szCs w:val="24"/>
        </w:rPr>
      </w:pPr>
      <w:r>
        <w:rPr>
          <w:rFonts w:ascii="Arial Black" w:hAnsi="Arial Black"/>
          <w:sz w:val="24"/>
          <w:szCs w:val="24"/>
        </w:rPr>
        <w:t>1-127</w:t>
      </w:r>
    </w:p>
    <w:p w14:paraId="20CFB8DB" w14:textId="77777777" w:rsidR="00FE60DA" w:rsidRPr="00A37F68" w:rsidRDefault="00FE60DA" w:rsidP="00FE60DA">
      <w:pPr>
        <w:pStyle w:val="NormalWeb"/>
        <w:rPr>
          <w:rFonts w:ascii="Arial Black" w:hAnsi="Arial Black"/>
          <w:sz w:val="28"/>
          <w:szCs w:val="28"/>
        </w:rPr>
      </w:pPr>
      <w:r>
        <w:rPr>
          <w:rFonts w:ascii="Arial Black" w:hAnsi="Arial Black"/>
          <w:sz w:val="28"/>
          <w:szCs w:val="28"/>
        </w:rPr>
        <w:t>PA: ARSON – SET FIRE IN HOUSE WITH FOUR POLICE OFFICERS PRESENT – FOUR CONSECUTIVE JAIL TERMS</w:t>
      </w:r>
    </w:p>
    <w:p w14:paraId="5BF37B01" w14:textId="77777777" w:rsidR="00FE60DA" w:rsidRDefault="00FE60DA" w:rsidP="00FE60DA">
      <w:pPr>
        <w:pStyle w:val="NormalWeb"/>
      </w:pPr>
      <w:r w:rsidRPr="00A37F68">
        <w:t xml:space="preserve">On June 30, 2023, </w:t>
      </w:r>
      <w:r>
        <w:t xml:space="preserve">in </w:t>
      </w:r>
      <w:r w:rsidRPr="00A37F68">
        <w:rPr>
          <w:u w:val="single"/>
        </w:rPr>
        <w:t>Commonwealth of Pennsylvania v. Vincent Smith</w:t>
      </w:r>
      <w:r>
        <w:t xml:space="preserve">, the Superior Court of Pennsylvania held (9 to 0) that trial court properly imposed four terms of imprisonment (four to eight years each), after he pled </w:t>
      </w:r>
      <w:r w:rsidRPr="00A4543F">
        <w:t>guilty to two counts of voluntary manslaughter and four counts of arson endangering persons</w:t>
      </w:r>
      <w:r>
        <w:t xml:space="preserve">.  He endangered four police officers when lighting gasoline he previously poured in house, trying to commit suicide after killing two men.  </w:t>
      </w:r>
    </w:p>
    <w:p w14:paraId="26C2C036" w14:textId="77777777" w:rsidR="00FE60DA" w:rsidRPr="00D73B76" w:rsidRDefault="00FE60DA" w:rsidP="00FE60DA">
      <w:pPr>
        <w:pStyle w:val="NormalWeb"/>
      </w:pPr>
      <w:r>
        <w:t>The Court held: “</w:t>
      </w:r>
      <w:r w:rsidRPr="00D73B76">
        <w:t>In sum, we conclude that under the plain language and meaning of Subsection 3301(a)(1)(</w:t>
      </w:r>
      <w:proofErr w:type="spellStart"/>
      <w:r w:rsidRPr="00D73B76">
        <w:t>i</w:t>
      </w:r>
      <w:proofErr w:type="spellEnd"/>
      <w:r w:rsidRPr="00D73B76">
        <w:t xml:space="preserve">), within the arson endangering persons statute, the unit of prosecution is the intentional starting of a fire which recklessly places another person in danger of death or bodily injury. </w:t>
      </w:r>
      <w:r w:rsidRPr="00D73B76">
        <w:rPr>
          <w:i/>
          <w:iCs/>
        </w:rPr>
        <w:t>See</w:t>
      </w:r>
      <w:r w:rsidRPr="00D73B76">
        <w:t xml:space="preserve"> 18 </w:t>
      </w:r>
      <w:proofErr w:type="spellStart"/>
      <w:r w:rsidRPr="00D73B76">
        <w:t>Pa.C.S</w:t>
      </w:r>
      <w:proofErr w:type="spellEnd"/>
      <w:r w:rsidRPr="00D73B76">
        <w:t>. § 3301(a)(1)(</w:t>
      </w:r>
      <w:proofErr w:type="spellStart"/>
      <w:r w:rsidRPr="00D73B76">
        <w:t>i</w:t>
      </w:r>
      <w:proofErr w:type="spellEnd"/>
      <w:r w:rsidRPr="00D73B76">
        <w:t xml:space="preserve">). Accordingly, a defendant may be convicted of and sentenced separately on multiple counts if one act of arson </w:t>
      </w:r>
      <w:r w:rsidRPr="00D73B76">
        <w:lastRenderedPageBreak/>
        <w:t xml:space="preserve">causes more than one person to be in danger of death or bodily injury. Applying this holding to the case </w:t>
      </w:r>
      <w:r w:rsidRPr="00D73B76">
        <w:rPr>
          <w:i/>
          <w:iCs/>
        </w:rPr>
        <w:t>sub judice,</w:t>
      </w:r>
      <w:r w:rsidRPr="00D73B76">
        <w:t xml:space="preserve"> we affirm the separate sentences imposed on each of Appellant's four arson endangering persons convictions, and hold they are not illegal.</w:t>
      </w:r>
      <w:r>
        <w:t xml:space="preserve">”  </w:t>
      </w:r>
      <w:hyperlink r:id="rId185" w:history="1">
        <w:r w:rsidRPr="00812663">
          <w:rPr>
            <w:rStyle w:val="Hyperlink"/>
          </w:rPr>
          <w:t>https://casetext.com/case/commonwealth-v-smith-1490</w:t>
        </w:r>
      </w:hyperlink>
      <w:r>
        <w:t xml:space="preserve"> </w:t>
      </w:r>
    </w:p>
    <w:p w14:paraId="34AA63B7" w14:textId="77777777" w:rsidR="00FE60DA" w:rsidRPr="00D73B76" w:rsidRDefault="00FE60DA" w:rsidP="00FE60DA">
      <w:pPr>
        <w:pStyle w:val="NormalWeb"/>
        <w:rPr>
          <w:b/>
          <w:bCs/>
        </w:rPr>
      </w:pPr>
      <w:r>
        <w:rPr>
          <w:b/>
          <w:bCs/>
        </w:rPr>
        <w:t xml:space="preserve">Legal Lessons Learned:  The defendant endangered the lives of four policers; the Court properly imposed four separate prison terms. </w:t>
      </w:r>
    </w:p>
    <w:p w14:paraId="7FE21F17" w14:textId="0D6F4E98" w:rsidR="00FE60DA" w:rsidRDefault="00FE60DA" w:rsidP="00F326E5">
      <w:pPr>
        <w:pStyle w:val="NoSpacing"/>
        <w:rPr>
          <w:rFonts w:ascii="Arial Black" w:hAnsi="Arial Black"/>
          <w:sz w:val="24"/>
          <w:szCs w:val="24"/>
        </w:rPr>
      </w:pPr>
      <w:r>
        <w:rPr>
          <w:rFonts w:ascii="Arial Black" w:hAnsi="Arial Black"/>
          <w:sz w:val="24"/>
          <w:szCs w:val="24"/>
        </w:rPr>
        <w:t>1-126</w:t>
      </w:r>
    </w:p>
    <w:p w14:paraId="1ADF81C3" w14:textId="77777777" w:rsidR="00FE60DA" w:rsidRDefault="00FE60DA" w:rsidP="00F326E5">
      <w:pPr>
        <w:pStyle w:val="NoSpacing"/>
        <w:rPr>
          <w:rFonts w:ascii="Arial Black" w:hAnsi="Arial Black"/>
          <w:sz w:val="24"/>
          <w:szCs w:val="24"/>
        </w:rPr>
      </w:pPr>
    </w:p>
    <w:p w14:paraId="199D03FD" w14:textId="77777777" w:rsidR="00FE60DA" w:rsidRPr="00954CB5" w:rsidRDefault="00FE60DA" w:rsidP="00FE60DA">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NY: EMT POTENTIAL JUROR BURGLARY CASE – CAN’T SERVE IF ADMITS VIEWS PD “VERY FAVORABLE LIGHT” </w:t>
      </w:r>
    </w:p>
    <w:p w14:paraId="37AEB98F" w14:textId="77777777" w:rsidR="00FE60DA" w:rsidRDefault="00FE60DA" w:rsidP="00FE60DA">
      <w:pPr>
        <w:tabs>
          <w:tab w:val="left" w:pos="3582"/>
        </w:tabs>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June 30, 2023, in </w:t>
      </w:r>
      <w:r w:rsidRPr="00954CB5">
        <w:rPr>
          <w:rFonts w:ascii="Times New Roman" w:hAnsi="Times New Roman"/>
          <w:sz w:val="24"/>
          <w:szCs w:val="24"/>
          <w:u w:val="single"/>
        </w:rPr>
        <w:t>The People Of The State Of New York v. Herbert Smith</w:t>
      </w:r>
      <w:r>
        <w:rPr>
          <w:rFonts w:ascii="Times New Roman" w:hAnsi="Times New Roman"/>
          <w:sz w:val="24"/>
          <w:szCs w:val="24"/>
        </w:rPr>
        <w:t xml:space="preserve">, the Supreme Court of New York, Fourth Division, held (5 to 0) that the burglary defendant is entitled to a new jury trial because two prospective jurors, including an EMT who during voir dire told defense counsel he saw police in “very positive light” were not automatically removed by the judge.  The defense attorney had to use two preparatory challenges to keep them off the jury.  </w:t>
      </w:r>
    </w:p>
    <w:p w14:paraId="451162B7" w14:textId="77777777" w:rsidR="00FE60DA" w:rsidRDefault="00FE60DA" w:rsidP="00FE60DA">
      <w:pPr>
        <w:tabs>
          <w:tab w:val="left" w:pos="3582"/>
        </w:tabs>
        <w:spacing w:before="100" w:beforeAutospacing="1" w:after="100" w:afterAutospacing="1" w:line="240" w:lineRule="auto"/>
        <w:rPr>
          <w:rFonts w:ascii="Times New Roman" w:hAnsi="Times New Roman"/>
          <w:sz w:val="24"/>
          <w:szCs w:val="24"/>
        </w:rPr>
      </w:pPr>
      <w:r>
        <w:rPr>
          <w:rFonts w:ascii="Times New Roman" w:hAnsi="Times New Roman"/>
          <w:sz w:val="24"/>
          <w:szCs w:val="24"/>
        </w:rPr>
        <w:t>The Court held: “</w:t>
      </w:r>
      <w:r w:rsidRPr="001449DC">
        <w:rPr>
          <w:rFonts w:ascii="Times New Roman" w:hAnsi="Times New Roman"/>
          <w:sz w:val="24"/>
          <w:szCs w:val="24"/>
        </w:rPr>
        <w:t xml:space="preserve">It is well established that, when a prospective juror makes a statement or statements that </w:t>
      </w:r>
      <w:r>
        <w:rPr>
          <w:rFonts w:ascii="Times New Roman" w:hAnsi="Times New Roman"/>
          <w:sz w:val="24"/>
          <w:szCs w:val="24"/>
        </w:rPr>
        <w:t>‘</w:t>
      </w:r>
      <w:r w:rsidRPr="001449DC">
        <w:rPr>
          <w:rFonts w:ascii="Times New Roman" w:hAnsi="Times New Roman"/>
          <w:sz w:val="24"/>
          <w:szCs w:val="24"/>
        </w:rPr>
        <w:t>cast serious doubt on their ability to render an impartial verdict</w:t>
      </w:r>
      <w:r>
        <w:rPr>
          <w:rFonts w:ascii="Times New Roman" w:hAnsi="Times New Roman"/>
          <w:sz w:val="24"/>
          <w:szCs w:val="24"/>
        </w:rPr>
        <w:t>’</w:t>
      </w:r>
      <w:r w:rsidRPr="001449DC">
        <w:rPr>
          <w:rFonts w:ascii="Times New Roman" w:hAnsi="Times New Roman"/>
          <w:sz w:val="24"/>
          <w:szCs w:val="24"/>
        </w:rPr>
        <w:t xml:space="preserve"> (</w:t>
      </w:r>
      <w:r w:rsidRPr="001449DC">
        <w:rPr>
          <w:rStyle w:val="Emphasis"/>
          <w:rFonts w:ascii="Times New Roman" w:hAnsi="Times New Roman"/>
          <w:sz w:val="24"/>
          <w:szCs w:val="24"/>
        </w:rPr>
        <w:t>People v Arnold</w:t>
      </w:r>
      <w:r w:rsidRPr="001449DC">
        <w:rPr>
          <w:rFonts w:ascii="Times New Roman" w:hAnsi="Times New Roman"/>
          <w:sz w:val="24"/>
          <w:szCs w:val="24"/>
        </w:rPr>
        <w:t xml:space="preserve">, 96 N.Y.2d 358, 363 [2001]), that prospective juror must be excused for cause unless they provide an </w:t>
      </w:r>
      <w:r>
        <w:rPr>
          <w:rFonts w:ascii="Times New Roman" w:hAnsi="Times New Roman"/>
          <w:sz w:val="24"/>
          <w:szCs w:val="24"/>
        </w:rPr>
        <w:t>‘</w:t>
      </w:r>
      <w:r w:rsidRPr="001449DC">
        <w:rPr>
          <w:rFonts w:ascii="Times New Roman" w:hAnsi="Times New Roman"/>
          <w:sz w:val="24"/>
          <w:szCs w:val="24"/>
        </w:rPr>
        <w:t>unequivocal assurance that they can set aside any bias and render an impartial verdict based on the evidence</w:t>
      </w:r>
      <w:r>
        <w:rPr>
          <w:rFonts w:ascii="Times New Roman" w:hAnsi="Times New Roman"/>
          <w:sz w:val="24"/>
          <w:szCs w:val="24"/>
        </w:rPr>
        <w:t>’</w:t>
      </w:r>
      <w:r w:rsidRPr="001449DC">
        <w:rPr>
          <w:rFonts w:ascii="Times New Roman" w:hAnsi="Times New Roman"/>
          <w:sz w:val="24"/>
          <w:szCs w:val="24"/>
        </w:rPr>
        <w:t xml:space="preserve"> (</w:t>
      </w:r>
      <w:r w:rsidRPr="001449DC">
        <w:rPr>
          <w:rStyle w:val="Emphasis"/>
          <w:rFonts w:ascii="Times New Roman" w:hAnsi="Times New Roman"/>
          <w:sz w:val="24"/>
          <w:szCs w:val="24"/>
        </w:rPr>
        <w:t>People v Johnson</w:t>
      </w:r>
      <w:r w:rsidRPr="001449DC">
        <w:rPr>
          <w:rFonts w:ascii="Times New Roman" w:hAnsi="Times New Roman"/>
          <w:sz w:val="24"/>
          <w:szCs w:val="24"/>
        </w:rPr>
        <w:t xml:space="preserve">, 94 N.Y.2d 600, 614 [2000]; </w:t>
      </w:r>
      <w:r w:rsidRPr="001449DC">
        <w:rPr>
          <w:rStyle w:val="Emphasis"/>
          <w:rFonts w:ascii="Times New Roman" w:hAnsi="Times New Roman"/>
          <w:sz w:val="24"/>
          <w:szCs w:val="24"/>
        </w:rPr>
        <w:t>see People v Nicholas</w:t>
      </w:r>
      <w:r w:rsidRPr="001449DC">
        <w:rPr>
          <w:rFonts w:ascii="Times New Roman" w:hAnsi="Times New Roman"/>
          <w:sz w:val="24"/>
          <w:szCs w:val="24"/>
        </w:rPr>
        <w:t xml:space="preserve">, 98 N.Y.2d 749, 750 [2002]; </w:t>
      </w:r>
      <w:r w:rsidRPr="001449DC">
        <w:rPr>
          <w:rStyle w:val="Emphasis"/>
          <w:rFonts w:ascii="Times New Roman" w:hAnsi="Times New Roman"/>
          <w:sz w:val="24"/>
          <w:szCs w:val="24"/>
        </w:rPr>
        <w:t>People v Chambers</w:t>
      </w:r>
      <w:r w:rsidRPr="001449DC">
        <w:rPr>
          <w:rFonts w:ascii="Times New Roman" w:hAnsi="Times New Roman"/>
          <w:sz w:val="24"/>
          <w:szCs w:val="24"/>
        </w:rPr>
        <w:t>, 97 N.Y.2d 417, 419 [2002]).</w:t>
      </w:r>
      <w:r>
        <w:rPr>
          <w:rFonts w:ascii="Times New Roman" w:hAnsi="Times New Roman"/>
          <w:sz w:val="24"/>
          <w:szCs w:val="24"/>
        </w:rPr>
        <w:t xml:space="preserve">” </w:t>
      </w:r>
      <w:hyperlink r:id="rId186" w:history="1">
        <w:r w:rsidRPr="00812663">
          <w:rPr>
            <w:rStyle w:val="Hyperlink"/>
            <w:sz w:val="24"/>
            <w:szCs w:val="24"/>
          </w:rPr>
          <w:t>https://casetext.com/case/people-v-smith-9160</w:t>
        </w:r>
      </w:hyperlink>
      <w:r>
        <w:rPr>
          <w:rFonts w:ascii="Times New Roman" w:hAnsi="Times New Roman"/>
          <w:sz w:val="24"/>
          <w:szCs w:val="24"/>
        </w:rPr>
        <w:t xml:space="preserve"> </w:t>
      </w:r>
    </w:p>
    <w:p w14:paraId="08DB923B" w14:textId="77777777" w:rsidR="00FE60DA" w:rsidRPr="001449DC" w:rsidRDefault="00FE60DA" w:rsidP="00FE60DA">
      <w:pPr>
        <w:spacing w:before="100" w:beforeAutospacing="1" w:after="100" w:afterAutospacing="1" w:line="240" w:lineRule="auto"/>
        <w:rPr>
          <w:rFonts w:ascii="Times New Roman" w:eastAsia="Times New Roman" w:hAnsi="Times New Roman"/>
          <w:b/>
          <w:bCs/>
          <w:sz w:val="24"/>
          <w:szCs w:val="24"/>
        </w:rPr>
      </w:pPr>
      <w:r w:rsidRPr="001449DC">
        <w:rPr>
          <w:rFonts w:ascii="Times New Roman" w:hAnsi="Times New Roman"/>
          <w:b/>
          <w:bCs/>
          <w:sz w:val="24"/>
          <w:szCs w:val="24"/>
        </w:rPr>
        <w:t xml:space="preserve">Legal Lesson Learned: </w:t>
      </w:r>
      <w:r>
        <w:rPr>
          <w:rFonts w:ascii="Times New Roman" w:hAnsi="Times New Roman"/>
          <w:b/>
          <w:bCs/>
          <w:sz w:val="24"/>
          <w:szCs w:val="24"/>
        </w:rPr>
        <w:t>EMS and firefighters can be jurors in criminal cases, but not if they tell Court they view police in a “very positive light.”</w:t>
      </w:r>
    </w:p>
    <w:p w14:paraId="1108CC94" w14:textId="77777777" w:rsidR="00FE60DA" w:rsidRDefault="00FE60DA" w:rsidP="00F326E5">
      <w:pPr>
        <w:pStyle w:val="NoSpacing"/>
        <w:rPr>
          <w:rFonts w:ascii="Arial Black" w:hAnsi="Arial Black"/>
          <w:sz w:val="24"/>
          <w:szCs w:val="24"/>
        </w:rPr>
      </w:pPr>
    </w:p>
    <w:p w14:paraId="78EC9D04" w14:textId="0E74EAEB" w:rsidR="00FE60DA" w:rsidRDefault="00FE60DA" w:rsidP="00F326E5">
      <w:pPr>
        <w:pStyle w:val="NoSpacing"/>
        <w:rPr>
          <w:rFonts w:ascii="Arial Black" w:hAnsi="Arial Black"/>
          <w:sz w:val="24"/>
          <w:szCs w:val="24"/>
        </w:rPr>
      </w:pPr>
      <w:r>
        <w:rPr>
          <w:rFonts w:ascii="Arial Black" w:hAnsi="Arial Black"/>
          <w:sz w:val="24"/>
          <w:szCs w:val="24"/>
        </w:rPr>
        <w:t>1-125</w:t>
      </w:r>
    </w:p>
    <w:p w14:paraId="5A928EE9" w14:textId="77777777" w:rsidR="00FE60DA" w:rsidRDefault="00FE60DA" w:rsidP="00F326E5">
      <w:pPr>
        <w:pStyle w:val="NoSpacing"/>
        <w:rPr>
          <w:rFonts w:ascii="Arial Black" w:hAnsi="Arial Black"/>
          <w:sz w:val="24"/>
          <w:szCs w:val="24"/>
        </w:rPr>
      </w:pPr>
    </w:p>
    <w:p w14:paraId="2A62469C" w14:textId="77777777" w:rsidR="00FE60DA" w:rsidRDefault="00FE60DA" w:rsidP="00FE60DA">
      <w:pPr>
        <w:pStyle w:val="NormalWeb"/>
        <w:jc w:val="both"/>
        <w:rPr>
          <w:rFonts w:ascii="Arial Black" w:hAnsi="Arial Black"/>
          <w:sz w:val="28"/>
          <w:szCs w:val="28"/>
        </w:rPr>
      </w:pPr>
      <w:r>
        <w:rPr>
          <w:rFonts w:ascii="Arial Black" w:hAnsi="Arial Black"/>
          <w:sz w:val="28"/>
          <w:szCs w:val="28"/>
        </w:rPr>
        <w:t xml:space="preserve">OH: CITY ORDERED VACANT BLDG DEMOLISHED – MAIL NOTICE OWNER RETURNED – DUE PROCESS CASE PROCEED </w:t>
      </w:r>
    </w:p>
    <w:p w14:paraId="173B8632" w14:textId="77777777" w:rsidR="00FE60DA" w:rsidRDefault="00FE60DA" w:rsidP="00FE60D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June 15, 2023, in </w:t>
      </w:r>
      <w:r w:rsidRPr="00856DBC">
        <w:rPr>
          <w:rFonts w:ascii="Times New Roman" w:hAnsi="Times New Roman"/>
          <w:sz w:val="24"/>
          <w:szCs w:val="24"/>
          <w:u w:val="single"/>
        </w:rPr>
        <w:t>Two Bridges, LLC v. City of Youngstown, Ohio</w:t>
      </w:r>
      <w:r>
        <w:rPr>
          <w:rFonts w:ascii="Times New Roman" w:hAnsi="Times New Roman"/>
          <w:sz w:val="24"/>
          <w:szCs w:val="24"/>
        </w:rPr>
        <w:t>, the U.S. Court of Appeals for 6</w:t>
      </w:r>
      <w:r w:rsidRPr="00856DBC">
        <w:rPr>
          <w:rFonts w:ascii="Times New Roman" w:hAnsi="Times New Roman"/>
          <w:sz w:val="24"/>
          <w:szCs w:val="24"/>
          <w:vertAlign w:val="superscript"/>
        </w:rPr>
        <w:t>th</w:t>
      </w:r>
      <w:r>
        <w:rPr>
          <w:rFonts w:ascii="Times New Roman" w:hAnsi="Times New Roman"/>
          <w:sz w:val="24"/>
          <w:szCs w:val="24"/>
        </w:rPr>
        <w:t xml:space="preserve"> Circuit (Cincinnati), held (3 to 0; unpublished decision) that U.S. District Court Judge properly held the city’s immunity under Ohio law does not apply in a lawsuit under 42 U.S.C. 1983 for violation of due process rights of 14</w:t>
      </w:r>
      <w:r w:rsidRPr="004A01B0">
        <w:rPr>
          <w:rFonts w:ascii="Times New Roman" w:hAnsi="Times New Roman"/>
          <w:sz w:val="24"/>
          <w:szCs w:val="24"/>
          <w:vertAlign w:val="superscript"/>
        </w:rPr>
        <w:t>th</w:t>
      </w:r>
      <w:r>
        <w:rPr>
          <w:rFonts w:ascii="Times New Roman" w:hAnsi="Times New Roman"/>
          <w:sz w:val="24"/>
          <w:szCs w:val="24"/>
        </w:rPr>
        <w:t xml:space="preserve"> Amendment to U.S. Constitution. The city mailed several notices of planned demolition that were addressed to the property that had been vacant for four years (none delivered).  The city also mailed notices to two other businesses owned by Two Bridges; all returned undelivered. </w:t>
      </w:r>
    </w:p>
    <w:p w14:paraId="6197F67E" w14:textId="77777777" w:rsidR="00FE60DA" w:rsidRPr="004A01B0" w:rsidRDefault="00FE60DA" w:rsidP="00FE60D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The Court held: </w:t>
      </w:r>
      <w:r w:rsidRPr="00A3158D">
        <w:rPr>
          <w:rFonts w:ascii="Times New Roman" w:hAnsi="Times New Roman"/>
          <w:sz w:val="24"/>
          <w:szCs w:val="24"/>
        </w:rPr>
        <w:t xml:space="preserve">“The district court denied the city's motion, finding that a state-law provision exempting federal claims from statutory immunity applies. Youngstown now brings this appeal. </w:t>
      </w:r>
      <w:proofErr w:type="gramStart"/>
      <w:r w:rsidRPr="00A3158D">
        <w:rPr>
          <w:rFonts w:ascii="Times New Roman" w:hAnsi="Times New Roman"/>
          <w:sz w:val="24"/>
          <w:szCs w:val="24"/>
        </w:rPr>
        <w:t>For the reasons that</w:t>
      </w:r>
      <w:proofErr w:type="gramEnd"/>
      <w:r w:rsidRPr="00A3158D">
        <w:rPr>
          <w:rFonts w:ascii="Times New Roman" w:hAnsi="Times New Roman"/>
          <w:sz w:val="24"/>
          <w:szCs w:val="24"/>
        </w:rPr>
        <w:t xml:space="preserve"> follow, we AFFIRM the judgment of the district court. *** </w:t>
      </w:r>
      <w:r w:rsidRPr="004A01B0">
        <w:rPr>
          <w:rFonts w:ascii="Times New Roman" w:hAnsi="Times New Roman"/>
          <w:sz w:val="24"/>
          <w:szCs w:val="24"/>
        </w:rPr>
        <w:t xml:space="preserve">In sum, whether a plaintiff can invoke the federal exception to statutory immunity depends on the substance of his claim. Properly pleaded due process claims under the federal Constitution are not transformed into tort actions simply because they are raised in the wake of a </w:t>
      </w:r>
      <w:proofErr w:type="gramStart"/>
      <w:r w:rsidRPr="004A01B0">
        <w:rPr>
          <w:rFonts w:ascii="Times New Roman" w:hAnsi="Times New Roman"/>
          <w:sz w:val="24"/>
          <w:szCs w:val="24"/>
        </w:rPr>
        <w:t>demolition.</w:t>
      </w:r>
      <w:r>
        <w:rPr>
          <w:rFonts w:ascii="Times New Roman" w:hAnsi="Times New Roman"/>
          <w:sz w:val="24"/>
          <w:szCs w:val="24"/>
        </w:rPr>
        <w:t>”</w:t>
      </w:r>
      <w:proofErr w:type="gramEnd"/>
      <w:r w:rsidRPr="004A01B0">
        <w:t xml:space="preserve"> </w:t>
      </w:r>
      <w:hyperlink r:id="rId187" w:history="1">
        <w:r w:rsidRPr="00812663">
          <w:rPr>
            <w:rStyle w:val="Hyperlink"/>
          </w:rPr>
          <w:t>https://casetext.com/case/two-bridges-llc-v-city-of-youngstown</w:t>
        </w:r>
      </w:hyperlink>
      <w:r>
        <w:t xml:space="preserve"> </w:t>
      </w:r>
    </w:p>
    <w:p w14:paraId="0DF0F6BE" w14:textId="77777777" w:rsidR="00FE60DA" w:rsidRPr="00A3158D" w:rsidRDefault="00FE60DA" w:rsidP="00FE60DA">
      <w:pPr>
        <w:spacing w:before="100" w:beforeAutospacing="1" w:after="100" w:afterAutospacing="1" w:line="240" w:lineRule="auto"/>
        <w:rPr>
          <w:rFonts w:ascii="Times New Roman" w:hAnsi="Times New Roman"/>
          <w:b/>
          <w:bCs/>
          <w:sz w:val="24"/>
          <w:szCs w:val="24"/>
        </w:rPr>
      </w:pPr>
      <w:r w:rsidRPr="00A3158D">
        <w:rPr>
          <w:rFonts w:ascii="Times New Roman" w:hAnsi="Times New Roman"/>
          <w:b/>
          <w:bCs/>
          <w:sz w:val="24"/>
          <w:szCs w:val="24"/>
        </w:rPr>
        <w:lastRenderedPageBreak/>
        <w:t>Legal Lesson Learned:</w:t>
      </w:r>
      <w:r>
        <w:rPr>
          <w:rFonts w:ascii="Times New Roman" w:hAnsi="Times New Roman"/>
          <w:b/>
          <w:bCs/>
          <w:sz w:val="24"/>
          <w:szCs w:val="24"/>
        </w:rPr>
        <w:t xml:space="preserve"> If notices of demolition are returned undelivered, pick up the phone and speak with the building owner. </w:t>
      </w:r>
    </w:p>
    <w:p w14:paraId="4852C527" w14:textId="77777777" w:rsidR="00FE60DA" w:rsidRDefault="00FE60DA" w:rsidP="00F326E5">
      <w:pPr>
        <w:pStyle w:val="NoSpacing"/>
        <w:rPr>
          <w:rFonts w:ascii="Arial Black" w:hAnsi="Arial Black"/>
          <w:sz w:val="24"/>
          <w:szCs w:val="24"/>
        </w:rPr>
      </w:pPr>
    </w:p>
    <w:p w14:paraId="38FE32E2" w14:textId="77777777" w:rsidR="00FE60DA" w:rsidRDefault="00FE60DA" w:rsidP="00F326E5">
      <w:pPr>
        <w:pStyle w:val="NoSpacing"/>
        <w:rPr>
          <w:rFonts w:ascii="Arial Black" w:hAnsi="Arial Black"/>
          <w:sz w:val="24"/>
          <w:szCs w:val="24"/>
        </w:rPr>
      </w:pPr>
    </w:p>
    <w:p w14:paraId="23B5C202" w14:textId="77777777" w:rsidR="00FE60DA" w:rsidRDefault="00FE60DA" w:rsidP="00F326E5">
      <w:pPr>
        <w:pStyle w:val="NoSpacing"/>
        <w:rPr>
          <w:rFonts w:ascii="Arial Black" w:hAnsi="Arial Black"/>
          <w:sz w:val="24"/>
          <w:szCs w:val="24"/>
        </w:rPr>
      </w:pPr>
    </w:p>
    <w:p w14:paraId="4097D758" w14:textId="0AF2E7DD" w:rsidR="00DC17BF" w:rsidRDefault="00DC17BF" w:rsidP="00F326E5">
      <w:pPr>
        <w:pStyle w:val="NoSpacing"/>
        <w:rPr>
          <w:rFonts w:ascii="Arial Black" w:hAnsi="Arial Black"/>
          <w:sz w:val="24"/>
          <w:szCs w:val="24"/>
        </w:rPr>
      </w:pPr>
      <w:r>
        <w:rPr>
          <w:rFonts w:ascii="Arial Black" w:hAnsi="Arial Black"/>
          <w:sz w:val="24"/>
          <w:szCs w:val="24"/>
        </w:rPr>
        <w:t>1-124</w:t>
      </w:r>
    </w:p>
    <w:p w14:paraId="52AD7C5D" w14:textId="77777777" w:rsidR="00DC17BF" w:rsidRDefault="00DC17BF" w:rsidP="00F326E5">
      <w:pPr>
        <w:pStyle w:val="NoSpacing"/>
        <w:rPr>
          <w:rFonts w:ascii="Arial Black" w:hAnsi="Arial Black"/>
          <w:sz w:val="24"/>
          <w:szCs w:val="24"/>
        </w:rPr>
      </w:pPr>
    </w:p>
    <w:p w14:paraId="7BF9B1E2" w14:textId="77777777" w:rsidR="00DC17BF" w:rsidRDefault="00DC17BF" w:rsidP="00DC17BF">
      <w:pPr>
        <w:pStyle w:val="NormalWeb"/>
        <w:rPr>
          <w:rFonts w:ascii="Arial Black" w:hAnsi="Arial Black"/>
          <w:sz w:val="28"/>
          <w:szCs w:val="28"/>
        </w:rPr>
      </w:pPr>
      <w:bookmarkStart w:id="1" w:name="_Hlk136857339"/>
      <w:r>
        <w:rPr>
          <w:rFonts w:ascii="Arial Black" w:hAnsi="Arial Black"/>
          <w:sz w:val="28"/>
          <w:szCs w:val="28"/>
        </w:rPr>
        <w:t>GA: FIRE CODE – ETHIOPIAN BAR SHUT DOWN – ALLEGES “RACIAL” ENFORCEMENT – CASE PROCEED COUNTY</w:t>
      </w:r>
    </w:p>
    <w:bookmarkEnd w:id="1"/>
    <w:p w14:paraId="352A2D8D" w14:textId="77777777" w:rsidR="00DC17BF" w:rsidRPr="00DC17BF" w:rsidRDefault="00DC17BF" w:rsidP="00DC17BF">
      <w:pPr>
        <w:pStyle w:val="NormalWeb"/>
      </w:pPr>
      <w:r w:rsidRPr="00DC17BF">
        <w:t xml:space="preserve">On June 1, 2023, </w:t>
      </w:r>
      <w:r w:rsidRPr="00DC17BF">
        <w:rPr>
          <w:u w:val="single"/>
        </w:rPr>
        <w:t>in Sheba Ethiopian Restaurant, Inc., d.ba. Queen of Sheba Ethiopian Restaurant v. Dekalb County, Georgia, et al</w:t>
      </w:r>
      <w:r w:rsidRPr="00DC17BF">
        <w:t xml:space="preserve">., the U.S. Court of Appeals for the Eleventh Circuit (Atlanta) held (3 to 0) that County officials cannot be sued, but case remanded for possible trial for race discrimination claim against the County. The Court described </w:t>
      </w:r>
      <w:proofErr w:type="gramStart"/>
      <w:r w:rsidRPr="00DC17BF">
        <w:t>citizen’s</w:t>
      </w:r>
      <w:proofErr w:type="gramEnd"/>
      <w:r w:rsidRPr="00DC17BF">
        <w:t xml:space="preserve"> complaints. </w:t>
      </w:r>
    </w:p>
    <w:p w14:paraId="7455004E" w14:textId="2E225D34" w:rsidR="00DC17BF" w:rsidRPr="00DC17BF" w:rsidRDefault="00DC17BF" w:rsidP="00DC17BF">
      <w:pPr>
        <w:pStyle w:val="NoSpacing"/>
        <w:rPr>
          <w:rStyle w:val="Hyperlink"/>
          <w:rFonts w:ascii="Times New Roman" w:eastAsiaTheme="majorEastAsia" w:hAnsi="Times New Roman"/>
          <w:sz w:val="24"/>
          <w:szCs w:val="24"/>
        </w:rPr>
      </w:pPr>
      <w:r w:rsidRPr="00DC17BF">
        <w:rPr>
          <w:rFonts w:ascii="Times New Roman" w:hAnsi="Times New Roman"/>
          <w:sz w:val="24"/>
          <w:szCs w:val="24"/>
        </w:rPr>
        <w:t xml:space="preserve">“By all accounts, Sheba's relationship with the county proceeded rather smoothly for seven or so years following these amendments. The relationship started to sour, however, in 2015, when Martha Gross-a private citizen who lived near Sheba and several other Ethiopian restaurants-‘spearheaded’ a campaign to ‘cripple’ the Ethiopian restaurant community. Gross spoke at the county's public meetings and posted on social media about "her desire to prohibit" certain Ethiopian restaurants and hookah bars ‘from operating during late hours . . . either by removing grandfather[ed] status’ or by ‘preventing the establishments from obtaining [special land use permits].’ *** In sum, we do not address whether corporations can-or cannot-state a race discrimination claim under section 1981. We hold only that there was no clearly established law in our circuit determining that officials </w:t>
      </w:r>
      <w:r w:rsidRPr="00DC17BF">
        <w:rPr>
          <w:rStyle w:val="Emphasis"/>
          <w:rFonts w:ascii="Times New Roman" w:hAnsi="Times New Roman"/>
          <w:sz w:val="24"/>
          <w:szCs w:val="24"/>
        </w:rPr>
        <w:t>are</w:t>
      </w:r>
      <w:r w:rsidRPr="00DC17BF">
        <w:rPr>
          <w:rFonts w:ascii="Times New Roman" w:hAnsi="Times New Roman"/>
          <w:sz w:val="24"/>
          <w:szCs w:val="24"/>
        </w:rPr>
        <w:t xml:space="preserve"> liable under section 1981 for discriminating against a corporation. In this absence, the officials in our case were entitled to qualified immunity.” </w:t>
      </w:r>
      <w:hyperlink r:id="rId188" w:history="1">
        <w:r w:rsidRPr="00DC17BF">
          <w:rPr>
            <w:rStyle w:val="Hyperlink"/>
            <w:rFonts w:ascii="Times New Roman" w:eastAsiaTheme="majorEastAsia" w:hAnsi="Times New Roman"/>
            <w:sz w:val="24"/>
            <w:szCs w:val="24"/>
          </w:rPr>
          <w:t>https://public.fastcase.com/ZZhmr5v9wN%2FXOe5IsQ%2FqDyh9W7agvNTeMPH8d1RJsPvP%2Fg5ZmquK03Jneavd35tblyNJzoowc3pRVBJlbMB8OXwMF7nsK7TpaO1eghvi3n8%3D?utm_medium=email&amp;_hsmi=226712652&amp;_hsenc=p2ANqtz-8CWkqPTOXpr4VKRSXFO6n4aimmH3FbbAM7Ve_pkSBcowoTJe6gCXxXh8Df-qrWOoYs_EV26aJQZp9WCJOKGH6IdbP0yQ&amp;utm_content=226712652&amp;utm_source=hs_email</w:t>
        </w:r>
      </w:hyperlink>
    </w:p>
    <w:p w14:paraId="3A34C603" w14:textId="77777777" w:rsidR="00DC17BF" w:rsidRPr="00DC17BF" w:rsidRDefault="00DC17BF" w:rsidP="00DC17BF">
      <w:pPr>
        <w:pStyle w:val="NoSpacing"/>
        <w:rPr>
          <w:rStyle w:val="Hyperlink"/>
          <w:rFonts w:ascii="Times New Roman" w:eastAsiaTheme="majorEastAsia" w:hAnsi="Times New Roman"/>
          <w:sz w:val="24"/>
          <w:szCs w:val="24"/>
        </w:rPr>
      </w:pPr>
    </w:p>
    <w:p w14:paraId="04C4E168" w14:textId="77777777" w:rsidR="00DC17BF" w:rsidRPr="00EA1F9B" w:rsidRDefault="00DC17BF" w:rsidP="00DC17BF">
      <w:pPr>
        <w:pStyle w:val="NormalWeb"/>
        <w:rPr>
          <w:b/>
          <w:bCs/>
        </w:rPr>
      </w:pPr>
      <w:r w:rsidRPr="00EA1F9B">
        <w:rPr>
          <w:b/>
          <w:bCs/>
        </w:rPr>
        <w:t>Legal Lesson Learned:</w:t>
      </w:r>
      <w:r>
        <w:rPr>
          <w:b/>
          <w:bCs/>
        </w:rPr>
        <w:t xml:space="preserve"> The lawsuit for race discrimination has been remanded to U.S. District Court for trial against the County. </w:t>
      </w:r>
    </w:p>
    <w:p w14:paraId="49134EDA" w14:textId="77777777" w:rsidR="00DC17BF" w:rsidRDefault="00DC17BF" w:rsidP="00DC17BF">
      <w:pPr>
        <w:pStyle w:val="NoSpacing"/>
        <w:rPr>
          <w:rFonts w:ascii="Arial Black" w:hAnsi="Arial Black"/>
          <w:sz w:val="24"/>
          <w:szCs w:val="24"/>
        </w:rPr>
      </w:pPr>
    </w:p>
    <w:p w14:paraId="74BBA089" w14:textId="03DF0F9C" w:rsidR="00DC17BF" w:rsidRDefault="00DC17BF" w:rsidP="00DC17BF">
      <w:pPr>
        <w:pStyle w:val="NoSpacing"/>
        <w:rPr>
          <w:rFonts w:ascii="Arial Black" w:hAnsi="Arial Black"/>
          <w:sz w:val="24"/>
          <w:szCs w:val="24"/>
        </w:rPr>
      </w:pPr>
      <w:r>
        <w:rPr>
          <w:rFonts w:ascii="Arial Black" w:hAnsi="Arial Black"/>
          <w:sz w:val="24"/>
          <w:szCs w:val="24"/>
        </w:rPr>
        <w:t>1-123</w:t>
      </w:r>
    </w:p>
    <w:p w14:paraId="73DC8D4C" w14:textId="77777777" w:rsidR="00DC17BF" w:rsidRDefault="00DC17BF" w:rsidP="00DC17BF">
      <w:pPr>
        <w:pStyle w:val="NoSpacing"/>
        <w:rPr>
          <w:rFonts w:ascii="Arial Black" w:hAnsi="Arial Black"/>
          <w:sz w:val="24"/>
          <w:szCs w:val="24"/>
        </w:rPr>
      </w:pPr>
    </w:p>
    <w:p w14:paraId="3F5C5A4B" w14:textId="77777777" w:rsidR="00DC17BF" w:rsidRDefault="00DC17BF" w:rsidP="00DC17BF">
      <w:pPr>
        <w:pStyle w:val="NormalWeb"/>
        <w:rPr>
          <w:rFonts w:ascii="Arial Black" w:hAnsi="Arial Black"/>
          <w:sz w:val="28"/>
          <w:szCs w:val="28"/>
        </w:rPr>
      </w:pPr>
      <w:bookmarkStart w:id="2" w:name="_Hlk136857512"/>
      <w:r>
        <w:rPr>
          <w:rFonts w:ascii="Arial Black" w:hAnsi="Arial Black"/>
          <w:sz w:val="28"/>
          <w:szCs w:val="28"/>
        </w:rPr>
        <w:t>DC: U.S. SUP. CT. – FALSE CLAIMS ACT – WHISTLEBLOWER CASES MADE EASIER - “SUBSTANTIAL RISK” FALSE PRICES</w:t>
      </w:r>
    </w:p>
    <w:bookmarkEnd w:id="2"/>
    <w:p w14:paraId="5500D11A" w14:textId="77777777" w:rsidR="00DC17BF" w:rsidRDefault="00DC17BF" w:rsidP="00DC17BF">
      <w:pPr>
        <w:pStyle w:val="NormalWeb"/>
        <w:rPr>
          <w:rStyle w:val="markedcontent"/>
        </w:rPr>
      </w:pPr>
      <w:r>
        <w:rPr>
          <w:rStyle w:val="markedcontent"/>
        </w:rPr>
        <w:t xml:space="preserve">On June 1, 2023, in </w:t>
      </w:r>
      <w:r w:rsidRPr="00A41C8A">
        <w:rPr>
          <w:rStyle w:val="markedcontent"/>
          <w:u w:val="single"/>
        </w:rPr>
        <w:t xml:space="preserve">United States ex. Rel. Schutte, et al. v. </w:t>
      </w:r>
      <w:proofErr w:type="spellStart"/>
      <w:r w:rsidRPr="00A41C8A">
        <w:rPr>
          <w:rStyle w:val="markedcontent"/>
          <w:u w:val="single"/>
        </w:rPr>
        <w:t>SuperValu</w:t>
      </w:r>
      <w:proofErr w:type="spellEnd"/>
      <w:r w:rsidRPr="00A41C8A">
        <w:rPr>
          <w:rStyle w:val="markedcontent"/>
          <w:u w:val="single"/>
        </w:rPr>
        <w:t>, Inc</w:t>
      </w:r>
      <w:r>
        <w:rPr>
          <w:rStyle w:val="markedcontent"/>
        </w:rPr>
        <w:t xml:space="preserve">. [and companion case of </w:t>
      </w:r>
      <w:r w:rsidRPr="00A41C8A">
        <w:rPr>
          <w:rStyle w:val="markedcontent"/>
          <w:u w:val="single"/>
        </w:rPr>
        <w:t>United State ex rel. Proctor v. Safeway, Inc.</w:t>
      </w:r>
      <w:r>
        <w:rPr>
          <w:rStyle w:val="markedcontent"/>
        </w:rPr>
        <w:t xml:space="preserve">], the U.S. Supreme Court held (9 to 0) in an opinion by Justice Clarence Thomas, that lawsuits by private individuals suing on behalf of U.S. Government against two retail drug store companies may proceed. The plaintiffs claim that companies false certified to Medicaid and Medicare that drug prices were the “usual and customary” price, but many of drugs were </w:t>
      </w:r>
      <w:proofErr w:type="gramStart"/>
      <w:r>
        <w:rPr>
          <w:rStyle w:val="markedcontent"/>
        </w:rPr>
        <w:t>actually sold</w:t>
      </w:r>
      <w:proofErr w:type="gramEnd"/>
      <w:r>
        <w:rPr>
          <w:rStyle w:val="markedcontent"/>
        </w:rPr>
        <w:t xml:space="preserve"> to cash customers at greatly </w:t>
      </w:r>
      <w:r>
        <w:rPr>
          <w:rStyle w:val="markedcontent"/>
        </w:rPr>
        <w:lastRenderedPageBreak/>
        <w:t xml:space="preserve">discounted prices.   Whistleblower lawsuits may proceed if evidence pharmacies to “substantial risk” that drug prices to Federal government did not reflect customer discounts. Justice Thomas described this example. </w:t>
      </w:r>
    </w:p>
    <w:p w14:paraId="1B62B4D4" w14:textId="77777777" w:rsidR="00DC17BF" w:rsidRDefault="00DC17BF" w:rsidP="00DC17BF">
      <w:pPr>
        <w:pStyle w:val="NormalWeb"/>
        <w:ind w:left="720"/>
        <w:rPr>
          <w:b/>
          <w:bCs/>
        </w:rPr>
      </w:pPr>
      <w:r>
        <w:rPr>
          <w:rStyle w:val="markedcontent"/>
        </w:rPr>
        <w:t xml:space="preserve">“For example, petitioners have presented evidence that Safeway charged just $10 for 94% of its cash sales for a 90-day supply of a cholesterol drug between 2008 and 2012. Yet Safeway apparently reported prices as high as $108 as “usual and customary” during that time. And petitioners presented evidence that, at least at some times and for some drugs, </w:t>
      </w:r>
      <w:proofErr w:type="spellStart"/>
      <w:r>
        <w:rPr>
          <w:rStyle w:val="markedcontent"/>
        </w:rPr>
        <w:t>SuperValu</w:t>
      </w:r>
      <w:proofErr w:type="spellEnd"/>
      <w:r>
        <w:rPr>
          <w:rStyle w:val="markedcontent"/>
        </w:rPr>
        <w:t xml:space="preserve"> made more than 80% of its cash sales for prices less than what it disclosed as its “usual and customary” price…. For scienter, it is enough if respondents believed that their claims were not accurate.”</w:t>
      </w:r>
      <w:r w:rsidRPr="00AB1613">
        <w:t xml:space="preserve"> </w:t>
      </w:r>
      <w:hyperlink r:id="rId189" w:history="1">
        <w:r w:rsidRPr="009A7773">
          <w:rPr>
            <w:rStyle w:val="Hyperlink"/>
            <w:rFonts w:eastAsiaTheme="majorEastAsia"/>
          </w:rPr>
          <w:t>https://www.supremecourt.gov/opinions/22pdf/21-1326_6jfl.pdf</w:t>
        </w:r>
      </w:hyperlink>
      <w:r>
        <w:rPr>
          <w:rStyle w:val="markedcontent"/>
        </w:rPr>
        <w:t xml:space="preserve"> </w:t>
      </w:r>
    </w:p>
    <w:p w14:paraId="726EEC56" w14:textId="77777777" w:rsidR="00DC17BF" w:rsidRDefault="00DC17BF" w:rsidP="00DC17BF">
      <w:pPr>
        <w:pStyle w:val="NormalWeb"/>
        <w:rPr>
          <w:rStyle w:val="markedcontent"/>
          <w:b/>
          <w:bCs/>
        </w:rPr>
      </w:pPr>
      <w:r w:rsidRPr="00604354">
        <w:rPr>
          <w:rStyle w:val="markedcontent"/>
          <w:b/>
          <w:bCs/>
        </w:rPr>
        <w:t xml:space="preserve">Legal Lesson Learned: </w:t>
      </w:r>
      <w:r>
        <w:rPr>
          <w:rStyle w:val="markedcontent"/>
          <w:b/>
          <w:bCs/>
        </w:rPr>
        <w:t xml:space="preserve">This is a significant decision given the large number of Whistleblower lawsuits filed in the health care industry, including EMS billing cases. </w:t>
      </w:r>
    </w:p>
    <w:p w14:paraId="246D9C60" w14:textId="77777777" w:rsidR="00DC17BF" w:rsidRPr="00604354" w:rsidRDefault="00DC17BF" w:rsidP="00DC17BF">
      <w:pPr>
        <w:pStyle w:val="Heading1"/>
        <w:ind w:left="720"/>
        <w:rPr>
          <w:b w:val="0"/>
          <w:bCs w:val="0"/>
          <w:sz w:val="24"/>
          <w:szCs w:val="24"/>
        </w:rPr>
      </w:pPr>
      <w:r w:rsidRPr="00604354">
        <w:rPr>
          <w:rStyle w:val="markedcontent"/>
          <w:b w:val="0"/>
          <w:bCs w:val="0"/>
          <w:sz w:val="24"/>
          <w:szCs w:val="24"/>
        </w:rPr>
        <w:t xml:space="preserve">Note: </w:t>
      </w:r>
      <w:r>
        <w:rPr>
          <w:rStyle w:val="markedcontent"/>
          <w:b w:val="0"/>
          <w:bCs w:val="0"/>
          <w:sz w:val="24"/>
          <w:szCs w:val="24"/>
        </w:rPr>
        <w:t xml:space="preserve">See </w:t>
      </w:r>
      <w:r w:rsidRPr="00604354">
        <w:rPr>
          <w:rStyle w:val="markedcontent"/>
          <w:b w:val="0"/>
          <w:bCs w:val="0"/>
          <w:sz w:val="24"/>
          <w:szCs w:val="24"/>
        </w:rPr>
        <w:t>Feb. 7, 2023, the U.S. Department of Justice press release</w:t>
      </w:r>
      <w:r>
        <w:rPr>
          <w:rStyle w:val="markedcontent"/>
          <w:b w:val="0"/>
          <w:bCs w:val="0"/>
          <w:sz w:val="24"/>
          <w:szCs w:val="24"/>
        </w:rPr>
        <w:t>: “</w:t>
      </w:r>
      <w:r w:rsidRPr="00604354">
        <w:rPr>
          <w:b w:val="0"/>
          <w:bCs w:val="0"/>
          <w:sz w:val="24"/>
          <w:szCs w:val="24"/>
        </w:rPr>
        <w:t>False Claims Act Settlements and Judgments Exceed $2 Billion in Fiscal Year 2022</w:t>
      </w:r>
      <w:r>
        <w:rPr>
          <w:b w:val="0"/>
          <w:bCs w:val="0"/>
          <w:sz w:val="24"/>
          <w:szCs w:val="24"/>
        </w:rPr>
        <w:t xml:space="preserve">.  Second Highest Number of Settlements in History. </w:t>
      </w:r>
      <w:hyperlink r:id="rId190" w:history="1">
        <w:r w:rsidRPr="009A7773">
          <w:rPr>
            <w:rStyle w:val="Hyperlink"/>
            <w:rFonts w:eastAsiaTheme="majorEastAsia"/>
            <w:b w:val="0"/>
            <w:bCs w:val="0"/>
            <w:sz w:val="24"/>
            <w:szCs w:val="24"/>
          </w:rPr>
          <w:t>https://www.justice.gov/opa/pr/false-claims-act-settlements-and-judgments-exceed-2-billion-fiscal-year-2022</w:t>
        </w:r>
      </w:hyperlink>
      <w:r>
        <w:rPr>
          <w:b w:val="0"/>
          <w:bCs w:val="0"/>
          <w:sz w:val="24"/>
          <w:szCs w:val="24"/>
        </w:rPr>
        <w:t xml:space="preserve"> </w:t>
      </w:r>
    </w:p>
    <w:p w14:paraId="1C14CF8A" w14:textId="77777777" w:rsidR="00DC17BF" w:rsidRDefault="00DC17BF" w:rsidP="00DC17BF">
      <w:pPr>
        <w:pStyle w:val="NormalWeb"/>
        <w:ind w:left="1440"/>
      </w:pPr>
      <w:r>
        <w:t>“Of the more than $2.2 billion in False Claims Act settlements and judgments reported by the Department of Justice this past fiscal year, over $1.7 billion related to matters that involved the health care industry, including drug and medical device manufacturers, durable medical equipment, home health and managed care providers, hospitals, pharmacies, hospice organizations, and physicians. The amounts included in the $1.7 billion reflect recoveries arising only from federal losses, and, in many of these cases, the department was instrumental in recovering additional amounts for state Medicaid programs. The recoveries in fiscal year 2022 also reflected the department’s focus on new enforcement priorities, including fraud in pandemic relief programs and alleged violations of cybersecurity requirements in government contracts and grants.</w:t>
      </w:r>
    </w:p>
    <w:p w14:paraId="656AB19B" w14:textId="77777777" w:rsidR="00DC17BF" w:rsidRDefault="00DC17BF" w:rsidP="00DC17BF">
      <w:pPr>
        <w:pStyle w:val="NormalWeb"/>
        <w:ind w:left="1440"/>
      </w:pPr>
      <w:r>
        <w:t xml:space="preserve">In 1986, Congress strengthened the False Claims Act by increasing incentives for whistleblowers to file lawsuits alleging false claims on behalf of the government. </w:t>
      </w:r>
      <w:proofErr w:type="gramStart"/>
      <w:r>
        <w:t>These whistleblower</w:t>
      </w:r>
      <w:proofErr w:type="gramEnd"/>
      <w:r>
        <w:t>, or qui tam, actions comprise a significant percentage of the False Claims Act cases that are filed. Qui tam cases may be pursued by the government or the whistleblower, and this past year significant recoveries were obtained by both. When a qui tam action is successful, the whistleblower, also known as the relator, typically receives a portion of the recovery ranging between 15% and 30%. Whistleblowers filed 652 qui tam suits in fiscal year 2022, and this past year the department reported settlements and judgments exceeding $1.9 billion in these and earlier-filed suits.”</w:t>
      </w:r>
    </w:p>
    <w:p w14:paraId="492C644B" w14:textId="77777777" w:rsidR="00DC17BF" w:rsidRDefault="00DC17BF" w:rsidP="00DC17BF">
      <w:pPr>
        <w:pStyle w:val="NormalWeb"/>
      </w:pPr>
    </w:p>
    <w:p w14:paraId="0C3D1B9D" w14:textId="7A51DC60" w:rsidR="00DC17BF" w:rsidRDefault="00DC17BF" w:rsidP="00F326E5">
      <w:pPr>
        <w:pStyle w:val="NoSpacing"/>
        <w:rPr>
          <w:rFonts w:ascii="Arial Black" w:hAnsi="Arial Black"/>
          <w:sz w:val="24"/>
          <w:szCs w:val="24"/>
        </w:rPr>
      </w:pPr>
      <w:r>
        <w:rPr>
          <w:rFonts w:ascii="Arial Black" w:hAnsi="Arial Black"/>
          <w:sz w:val="24"/>
          <w:szCs w:val="24"/>
        </w:rPr>
        <w:t>1-122</w:t>
      </w:r>
    </w:p>
    <w:p w14:paraId="241B705B" w14:textId="77777777" w:rsidR="00DC17BF" w:rsidRDefault="00DC17BF" w:rsidP="00F326E5">
      <w:pPr>
        <w:pStyle w:val="NoSpacing"/>
        <w:rPr>
          <w:rFonts w:ascii="Arial Black" w:hAnsi="Arial Black"/>
          <w:sz w:val="24"/>
          <w:szCs w:val="24"/>
        </w:rPr>
      </w:pPr>
    </w:p>
    <w:p w14:paraId="4C414283" w14:textId="77777777" w:rsidR="00DC17BF" w:rsidRDefault="00DC17BF" w:rsidP="00DC17BF">
      <w:pPr>
        <w:pStyle w:val="NormalWeb"/>
        <w:rPr>
          <w:rFonts w:ascii="Arial Black" w:hAnsi="Arial Black"/>
          <w:sz w:val="28"/>
          <w:szCs w:val="28"/>
        </w:rPr>
      </w:pPr>
      <w:r>
        <w:rPr>
          <w:rFonts w:ascii="Arial Black" w:hAnsi="Arial Black"/>
          <w:sz w:val="28"/>
          <w:szCs w:val="28"/>
        </w:rPr>
        <w:t>DC:  U.S. SUP. CT. – HONEST SERVICES FRAUD CONV. REV – AID NY GOV. COMO PAID $35,000 – BUT LEFT STATE GOV’T</w:t>
      </w:r>
    </w:p>
    <w:p w14:paraId="7EA17E31" w14:textId="77777777" w:rsidR="00DC17BF" w:rsidRDefault="00DC17BF" w:rsidP="00DC17BF">
      <w:pPr>
        <w:pStyle w:val="NormalWeb"/>
      </w:pPr>
      <w:r>
        <w:t xml:space="preserve">On May 11, 2023, in </w:t>
      </w:r>
      <w:r w:rsidRPr="00192D79">
        <w:rPr>
          <w:u w:val="single"/>
        </w:rPr>
        <w:t>Joseph Percoco v. United States</w:t>
      </w:r>
      <w:r>
        <w:t xml:space="preserve">, the U.S. Supreme Court held (9 to 0) in opinion by Justice Samuel Alito that jury instructions were improper regarding </w:t>
      </w:r>
      <w:r>
        <w:rPr>
          <w:rStyle w:val="markedcontent"/>
        </w:rPr>
        <w:t xml:space="preserve">honest-services-fraud </w:t>
      </w:r>
      <w:r>
        <w:t xml:space="preserve">and reversed conviction since conduct occurred when not a </w:t>
      </w:r>
      <w:proofErr w:type="gramStart"/>
      <w:r>
        <w:t>State</w:t>
      </w:r>
      <w:proofErr w:type="gramEnd"/>
      <w:r>
        <w:t xml:space="preserve"> employee. During </w:t>
      </w:r>
      <w:proofErr w:type="gramStart"/>
      <w:r>
        <w:t>8-months</w:t>
      </w:r>
      <w:proofErr w:type="gramEnd"/>
      <w:r>
        <w:t xml:space="preserve"> when he left position of </w:t>
      </w:r>
      <w:r>
        <w:rPr>
          <w:rStyle w:val="markedcontent"/>
        </w:rPr>
        <w:lastRenderedPageBreak/>
        <w:t xml:space="preserve">Executive Deputy Secretary for Governor Como to run his campaign, he accepted $35,000 in two payments from a developer seeking to do  business with the State of New York. </w:t>
      </w:r>
    </w:p>
    <w:p w14:paraId="14731F81" w14:textId="77777777" w:rsidR="00DC17BF" w:rsidRDefault="00DC17BF" w:rsidP="00DC17BF">
      <w:pPr>
        <w:pStyle w:val="NormalWeb"/>
        <w:ind w:left="720"/>
      </w:pPr>
      <w:r>
        <w:t>“</w:t>
      </w:r>
      <w:r>
        <w:rPr>
          <w:rStyle w:val="markedcontent"/>
        </w:rPr>
        <w:t>Petitioner Joseph Percoco was charged with conspiring to commit honest-services wire</w:t>
      </w:r>
      <w:r>
        <w:br/>
      </w:r>
      <w:r>
        <w:rPr>
          <w:rStyle w:val="markedcontent"/>
        </w:rPr>
        <w:t xml:space="preserve">fraud during </w:t>
      </w:r>
      <w:proofErr w:type="gramStart"/>
      <w:r>
        <w:rPr>
          <w:rStyle w:val="markedcontent"/>
        </w:rPr>
        <w:t>a period of time</w:t>
      </w:r>
      <w:proofErr w:type="gramEnd"/>
      <w:r>
        <w:rPr>
          <w:rStyle w:val="markedcontent"/>
        </w:rPr>
        <w:t xml:space="preserve"> that included an eight-month interval between two stints as a top aide to the Governor of New York. Percoco was convicted of this offense based on</w:t>
      </w:r>
      <w:r>
        <w:br/>
      </w:r>
      <w:r>
        <w:rPr>
          <w:rStyle w:val="markedcontent"/>
        </w:rPr>
        <w:t xml:space="preserve">instructions that required the jury to determine whether he had a ‘special relationship’ with the government and had ‘dominated and controlled’ government business…. We conclude that this is not the proper test for determining whether a private person may be convicted of </w:t>
      </w:r>
      <w:proofErr w:type="gramStart"/>
      <w:r>
        <w:rPr>
          <w:rStyle w:val="markedcontent"/>
        </w:rPr>
        <w:t>honest-services</w:t>
      </w:r>
      <w:proofErr w:type="gramEnd"/>
      <w:r>
        <w:rPr>
          <w:rStyle w:val="markedcontent"/>
        </w:rPr>
        <w:t xml:space="preserve"> fraud, and we therefore reverse and remand for further </w:t>
      </w:r>
      <w:proofErr w:type="gramStart"/>
      <w:r>
        <w:rPr>
          <w:rStyle w:val="markedcontent"/>
        </w:rPr>
        <w:t>proceedings.”</w:t>
      </w:r>
      <w:proofErr w:type="gramEnd"/>
      <w:r w:rsidRPr="00192D79">
        <w:t xml:space="preserve"> </w:t>
      </w:r>
      <w:hyperlink r:id="rId191" w:history="1">
        <w:r w:rsidRPr="003B7F1C">
          <w:rPr>
            <w:rStyle w:val="Hyperlink"/>
            <w:rFonts w:eastAsiaTheme="majorEastAsia"/>
          </w:rPr>
          <w:t>https://www.supremecourt.gov/opinions/22pdf/21-1158_p8k0.pdf</w:t>
        </w:r>
      </w:hyperlink>
      <w:r>
        <w:rPr>
          <w:rStyle w:val="markedcontent"/>
        </w:rPr>
        <w:t xml:space="preserve"> </w:t>
      </w:r>
    </w:p>
    <w:p w14:paraId="4AF30ACC" w14:textId="77777777" w:rsidR="00DC17BF" w:rsidRDefault="00DC17BF" w:rsidP="00DC17BF">
      <w:pPr>
        <w:pStyle w:val="NormalWeb"/>
        <w:rPr>
          <w:rStyle w:val="markedcontent"/>
          <w:b/>
          <w:bCs/>
        </w:rPr>
      </w:pPr>
      <w:r w:rsidRPr="00604354">
        <w:rPr>
          <w:rStyle w:val="markedcontent"/>
          <w:b/>
          <w:bCs/>
        </w:rPr>
        <w:t xml:space="preserve">Legal Lesson Learned: </w:t>
      </w:r>
      <w:r>
        <w:rPr>
          <w:rStyle w:val="markedcontent"/>
          <w:b/>
          <w:bCs/>
        </w:rPr>
        <w:t xml:space="preserve">This is a significant decision given the large number of Whistleblower lawsuits filed in the health care industry, including EMS billing cases. </w:t>
      </w:r>
    </w:p>
    <w:p w14:paraId="68F21D88" w14:textId="77777777" w:rsidR="00DC17BF" w:rsidRPr="00604354" w:rsidRDefault="00DC17BF" w:rsidP="00DC17BF">
      <w:pPr>
        <w:pStyle w:val="Heading1"/>
        <w:ind w:left="720"/>
        <w:rPr>
          <w:b w:val="0"/>
          <w:bCs w:val="0"/>
          <w:sz w:val="24"/>
          <w:szCs w:val="24"/>
        </w:rPr>
      </w:pPr>
      <w:r w:rsidRPr="00604354">
        <w:rPr>
          <w:rStyle w:val="markedcontent"/>
          <w:b w:val="0"/>
          <w:bCs w:val="0"/>
          <w:sz w:val="24"/>
          <w:szCs w:val="24"/>
        </w:rPr>
        <w:t xml:space="preserve">Note: </w:t>
      </w:r>
      <w:r>
        <w:rPr>
          <w:rStyle w:val="markedcontent"/>
          <w:b w:val="0"/>
          <w:bCs w:val="0"/>
          <w:sz w:val="24"/>
          <w:szCs w:val="24"/>
        </w:rPr>
        <w:t xml:space="preserve">See </w:t>
      </w:r>
      <w:r w:rsidRPr="00604354">
        <w:rPr>
          <w:rStyle w:val="markedcontent"/>
          <w:b w:val="0"/>
          <w:bCs w:val="0"/>
          <w:sz w:val="24"/>
          <w:szCs w:val="24"/>
        </w:rPr>
        <w:t>Feb. 7, 2023, the U.S. Department of Justice press release</w:t>
      </w:r>
      <w:r>
        <w:rPr>
          <w:rStyle w:val="markedcontent"/>
          <w:b w:val="0"/>
          <w:bCs w:val="0"/>
          <w:sz w:val="24"/>
          <w:szCs w:val="24"/>
        </w:rPr>
        <w:t>: “</w:t>
      </w:r>
      <w:r w:rsidRPr="00604354">
        <w:rPr>
          <w:b w:val="0"/>
          <w:bCs w:val="0"/>
          <w:sz w:val="24"/>
          <w:szCs w:val="24"/>
        </w:rPr>
        <w:t>False Claims Act Settlements and Judgments Exceed $2 Billion in Fiscal Year 2022</w:t>
      </w:r>
      <w:r>
        <w:rPr>
          <w:b w:val="0"/>
          <w:bCs w:val="0"/>
          <w:sz w:val="24"/>
          <w:szCs w:val="24"/>
        </w:rPr>
        <w:t xml:space="preserve">.  Second Highest Number of Settlements in History. </w:t>
      </w:r>
      <w:hyperlink r:id="rId192" w:history="1">
        <w:r w:rsidRPr="009A7773">
          <w:rPr>
            <w:rStyle w:val="Hyperlink"/>
            <w:rFonts w:eastAsiaTheme="majorEastAsia"/>
            <w:b w:val="0"/>
            <w:bCs w:val="0"/>
            <w:sz w:val="24"/>
            <w:szCs w:val="24"/>
          </w:rPr>
          <w:t>https://www.justice.gov/opa/pr/false-claims-act-settlements-and-judgments-exceed-2-billion-fiscal-year-2022</w:t>
        </w:r>
      </w:hyperlink>
      <w:r>
        <w:rPr>
          <w:b w:val="0"/>
          <w:bCs w:val="0"/>
          <w:sz w:val="24"/>
          <w:szCs w:val="24"/>
        </w:rPr>
        <w:t xml:space="preserve"> </w:t>
      </w:r>
    </w:p>
    <w:p w14:paraId="2B63DA0D" w14:textId="77777777" w:rsidR="00DC17BF" w:rsidRDefault="00DC17BF" w:rsidP="00DC17BF">
      <w:pPr>
        <w:pStyle w:val="NormalWeb"/>
        <w:ind w:left="1440"/>
      </w:pPr>
      <w:r>
        <w:t>“Of the more than $2.2 billion in False Claims Act settlements and judgments reported by the Department of Justice this past fiscal year, over $1.7 billion related to matters that involved the health care industry, including drug and medical device manufacturers, durable medical equipment, home health and managed care providers, hospitals, pharmacies, hospice organizations, and physicians. The amounts included in the $1.7 billion reflect recoveries arising only from federal losses, and, in many of these cases, the department was instrumental in recovering additional amounts for state Medicaid programs. The recoveries in fiscal year 2022 also reflected the department’s focus on new enforcement priorities, including fraud in pandemic relief programs and alleged violations of cybersecurity requirements in government contracts and grants.</w:t>
      </w:r>
    </w:p>
    <w:p w14:paraId="30B0F0ED" w14:textId="77777777" w:rsidR="00DC17BF" w:rsidRDefault="00DC17BF" w:rsidP="00DC17BF">
      <w:pPr>
        <w:pStyle w:val="NormalWeb"/>
        <w:ind w:left="1440"/>
      </w:pPr>
      <w:r>
        <w:t xml:space="preserve">In 1986, Congress strengthened the False Claims Act by increasing incentives for whistleblowers to file lawsuits alleging false claims on behalf of the government. </w:t>
      </w:r>
      <w:proofErr w:type="gramStart"/>
      <w:r>
        <w:t>These whistleblower</w:t>
      </w:r>
      <w:proofErr w:type="gramEnd"/>
      <w:r>
        <w:t>, or qui tam, actions comprise a significant percentage of the False Claims Act cases that are filed. Qui tam cases may be pursued by the government or the whistleblower, and this past year significant recoveries were obtained by both. When a qui tam action is successful, the whistleblower, also known as the relator, typically receives a portion of the recovery ranging between 15% and 30%. Whistleblowers filed 652 qui tam suits in fiscal year 2022, and this past year the department reported settlements and judgments exceeding $1.9 billion in these and earlier-filed suits.”</w:t>
      </w:r>
    </w:p>
    <w:p w14:paraId="0F178386" w14:textId="77777777" w:rsidR="00DC17BF" w:rsidRDefault="00DC17BF" w:rsidP="00DC17BF">
      <w:pPr>
        <w:pStyle w:val="NormalWeb"/>
      </w:pPr>
    </w:p>
    <w:p w14:paraId="236C3784" w14:textId="5977A549" w:rsidR="00DC17BF" w:rsidRDefault="00DC17BF" w:rsidP="00F326E5">
      <w:pPr>
        <w:pStyle w:val="NoSpacing"/>
        <w:rPr>
          <w:rFonts w:ascii="Arial Black" w:hAnsi="Arial Black"/>
          <w:sz w:val="24"/>
          <w:szCs w:val="24"/>
        </w:rPr>
      </w:pPr>
      <w:r>
        <w:rPr>
          <w:rFonts w:ascii="Arial Black" w:hAnsi="Arial Black"/>
          <w:sz w:val="24"/>
          <w:szCs w:val="24"/>
        </w:rPr>
        <w:t>1-121</w:t>
      </w:r>
    </w:p>
    <w:p w14:paraId="2DD4F80C" w14:textId="77777777" w:rsidR="00DC17BF" w:rsidRDefault="00DC17BF" w:rsidP="00F326E5">
      <w:pPr>
        <w:pStyle w:val="NoSpacing"/>
        <w:rPr>
          <w:rFonts w:ascii="Arial Black" w:hAnsi="Arial Black"/>
          <w:sz w:val="24"/>
          <w:szCs w:val="24"/>
        </w:rPr>
      </w:pPr>
    </w:p>
    <w:p w14:paraId="617F5931" w14:textId="77777777" w:rsidR="00DC17BF" w:rsidRDefault="00DC17BF" w:rsidP="00DC17BF">
      <w:pPr>
        <w:pStyle w:val="NormalWeb"/>
        <w:rPr>
          <w:b/>
          <w:bCs/>
        </w:rPr>
      </w:pPr>
      <w:bookmarkStart w:id="3" w:name="_Hlk136857835"/>
      <w:r>
        <w:rPr>
          <w:rFonts w:ascii="Arial Black" w:hAnsi="Arial Black"/>
          <w:b/>
          <w:bCs/>
          <w:sz w:val="28"/>
          <w:szCs w:val="28"/>
        </w:rPr>
        <w:t xml:space="preserve">CA (5/1/2023): ARSON – CONV. UPHELD – CIRCUMSTANTIAL EVIDENCE - DEFENDANT SEEN AT 4 OF 5 FIRES ONE YEAR </w:t>
      </w:r>
    </w:p>
    <w:bookmarkEnd w:id="3"/>
    <w:p w14:paraId="6D8D9D0A" w14:textId="77777777" w:rsidR="00DC17BF" w:rsidRPr="00DC17BF" w:rsidRDefault="00DC17BF" w:rsidP="00DC17BF">
      <w:pPr>
        <w:pStyle w:val="NormalWeb"/>
      </w:pPr>
      <w:r w:rsidRPr="00FD7241">
        <w:lastRenderedPageBreak/>
        <w:t xml:space="preserve">On May 1, 2023, in </w:t>
      </w:r>
      <w:r w:rsidRPr="00FD7241">
        <w:rPr>
          <w:u w:val="single"/>
        </w:rPr>
        <w:t>The People v. Franklin Alan Goubert</w:t>
      </w:r>
      <w:r>
        <w:t xml:space="preserve">, the California Court of Appeals, Third District, Tehama </w:t>
      </w:r>
      <w:r w:rsidRPr="00DC17BF">
        <w:t xml:space="preserve">held (3 to 0; unpublished decision) that the trial court judge, in a bench trial (no jury) properly found defendant guilty of two counts of arson to property, and one count of arson of forest land. </w:t>
      </w:r>
    </w:p>
    <w:p w14:paraId="57FE02DE" w14:textId="6CCE8C94" w:rsidR="00DC17BF" w:rsidRPr="00DC17BF" w:rsidRDefault="00DC17BF" w:rsidP="00DC17BF">
      <w:pPr>
        <w:pStyle w:val="NoSpacing"/>
        <w:rPr>
          <w:rFonts w:ascii="Times New Roman" w:hAnsi="Times New Roman"/>
          <w:sz w:val="24"/>
          <w:szCs w:val="24"/>
        </w:rPr>
      </w:pPr>
      <w:r w:rsidRPr="00DC17BF">
        <w:rPr>
          <w:rFonts w:ascii="Times New Roman" w:hAnsi="Times New Roman"/>
          <w:sz w:val="24"/>
          <w:szCs w:val="24"/>
        </w:rPr>
        <w:t xml:space="preserve">“The trial court heard testimony that the fire department saw defendant at four out of the five suspicious fires, and that seeing someone at multiple fires is unusual. The fifth suspicious </w:t>
      </w:r>
      <w:proofErr w:type="gramStart"/>
      <w:r w:rsidRPr="00DC17BF">
        <w:rPr>
          <w:rFonts w:ascii="Times New Roman" w:hAnsi="Times New Roman"/>
          <w:sz w:val="24"/>
          <w:szCs w:val="24"/>
        </w:rPr>
        <w:t>fire further</w:t>
      </w:r>
      <w:proofErr w:type="gramEnd"/>
      <w:r w:rsidRPr="00DC17BF">
        <w:rPr>
          <w:rFonts w:ascii="Times New Roman" w:hAnsi="Times New Roman"/>
          <w:sz w:val="24"/>
          <w:szCs w:val="24"/>
        </w:rPr>
        <w:t xml:space="preserve"> occurred near the camp where defendant was living. The five fires occurred over a one-year span; the fires were relatively small; two occurred near a railroad; at least three occurred in the middle of the night; four were near homeless encampments; and all five fires involved the burning of vegetation. There was further testimony that three of the fires were deliberately set and were not accidental or unintentional. Based on defendant's unusual presence at the restaurant fire (and the other fires), and the similarities between the restaurant fire and the other fires, it is reasonable to infer someone started the restaurant fire, and it was defendant who did so. (See </w:t>
      </w:r>
      <w:r w:rsidRPr="00DC17BF">
        <w:rPr>
          <w:rStyle w:val="Emphasis"/>
          <w:rFonts w:ascii="Times New Roman" w:hAnsi="Times New Roman"/>
          <w:sz w:val="24"/>
          <w:szCs w:val="24"/>
        </w:rPr>
        <w:t>Andrews I</w:t>
      </w:r>
      <w:r w:rsidRPr="00DC17BF">
        <w:rPr>
          <w:rFonts w:ascii="Times New Roman" w:hAnsi="Times New Roman"/>
          <w:sz w:val="24"/>
          <w:szCs w:val="24"/>
        </w:rPr>
        <w:t xml:space="preserve">, </w:t>
      </w:r>
      <w:r w:rsidRPr="00DC17BF">
        <w:rPr>
          <w:rStyle w:val="Emphasis"/>
          <w:rFonts w:ascii="Times New Roman" w:hAnsi="Times New Roman"/>
          <w:sz w:val="24"/>
          <w:szCs w:val="24"/>
        </w:rPr>
        <w:t>supra</w:t>
      </w:r>
      <w:r w:rsidRPr="00DC17BF">
        <w:rPr>
          <w:rFonts w:ascii="Times New Roman" w:hAnsi="Times New Roman"/>
          <w:sz w:val="24"/>
          <w:szCs w:val="24"/>
        </w:rPr>
        <w:t>, 222 Cal.App.2d at pp. 245-246 [finding sufficient evidence to establish the corpus delicti of arson when "[f]our fires within the same neighborhood, close in point of date . . ., closer in point of time of day . . ., all started by an apparently similar method, cumulate[d] to give to [the] circumstantial proof much more than prima facie veracity"].) The circumstantial evidence in this case "</w:t>
      </w:r>
      <w:proofErr w:type="spellStart"/>
      <w:r w:rsidRPr="00DC17BF">
        <w:rPr>
          <w:rFonts w:ascii="Times New Roman" w:hAnsi="Times New Roman"/>
          <w:sz w:val="24"/>
          <w:szCs w:val="24"/>
        </w:rPr>
        <w:t>snapp</w:t>
      </w:r>
      <w:proofErr w:type="spellEnd"/>
      <w:r w:rsidRPr="00DC17BF">
        <w:rPr>
          <w:rFonts w:ascii="Times New Roman" w:hAnsi="Times New Roman"/>
          <w:sz w:val="24"/>
          <w:szCs w:val="24"/>
        </w:rPr>
        <w:t>[ed] the long arm of coincidence" and established the corpus delicti for the restaurant fire. (</w:t>
      </w:r>
      <w:r w:rsidRPr="00DC17BF">
        <w:rPr>
          <w:rStyle w:val="Emphasis"/>
          <w:rFonts w:ascii="Times New Roman" w:hAnsi="Times New Roman"/>
          <w:sz w:val="24"/>
          <w:szCs w:val="24"/>
        </w:rPr>
        <w:t>Andrews I</w:t>
      </w:r>
      <w:r w:rsidRPr="00DC17BF">
        <w:rPr>
          <w:rFonts w:ascii="Times New Roman" w:hAnsi="Times New Roman"/>
          <w:sz w:val="24"/>
          <w:szCs w:val="24"/>
        </w:rPr>
        <w:t xml:space="preserve">, </w:t>
      </w:r>
      <w:r w:rsidRPr="00DC17BF">
        <w:rPr>
          <w:rStyle w:val="Emphasis"/>
          <w:rFonts w:ascii="Times New Roman" w:hAnsi="Times New Roman"/>
          <w:sz w:val="24"/>
          <w:szCs w:val="24"/>
        </w:rPr>
        <w:t>supra</w:t>
      </w:r>
      <w:r w:rsidRPr="00DC17BF">
        <w:rPr>
          <w:rFonts w:ascii="Times New Roman" w:hAnsi="Times New Roman"/>
          <w:sz w:val="24"/>
          <w:szCs w:val="24"/>
        </w:rPr>
        <w:t xml:space="preserve">, 222 Cal.App.2d at p. 245.)” </w:t>
      </w:r>
      <w:hyperlink r:id="rId193" w:history="1">
        <w:r w:rsidRPr="00DC17BF">
          <w:rPr>
            <w:rStyle w:val="Hyperlink"/>
            <w:rFonts w:ascii="Times New Roman" w:eastAsiaTheme="majorEastAsia" w:hAnsi="Times New Roman"/>
            <w:sz w:val="24"/>
            <w:szCs w:val="24"/>
          </w:rPr>
          <w:t>https://public.fastcase.com/ZZhmr5v9wN%2FXOe5IsQ%2FqDwpaI7JNx0yucAfBBTCYhVf6eRN0F6j2PHZ4Bf4v9PLOEuaobgTYEa8%2BzQGGWxAHAgvFhF3yj4k41BJEkNmdniM%3D?utm_medium=email&amp;_hsmi=226712652&amp;_hsenc=p2ANqtz-_dwT49KfhNPpDq3N3VwSjkZTEUiwZEDoqDlulVdR_yzkAg6581Fi_9SACtWrDkZJ_u8Xp6dukkkP4Lu33go_UmHv0HyQ&amp;utm_content=226712652&amp;utm_source=hs_email</w:t>
        </w:r>
      </w:hyperlink>
    </w:p>
    <w:p w14:paraId="059BAD30" w14:textId="77777777" w:rsidR="00DC17BF" w:rsidRDefault="00DC17BF" w:rsidP="00F326E5">
      <w:pPr>
        <w:pStyle w:val="NoSpacing"/>
        <w:rPr>
          <w:rFonts w:ascii="Arial Black" w:hAnsi="Arial Black"/>
          <w:sz w:val="24"/>
          <w:szCs w:val="24"/>
        </w:rPr>
      </w:pPr>
    </w:p>
    <w:p w14:paraId="15B5368A" w14:textId="77777777" w:rsidR="00DC17BF" w:rsidRPr="00DF03D1" w:rsidRDefault="00DC17BF" w:rsidP="00DC17BF">
      <w:pPr>
        <w:pStyle w:val="NormalWeb"/>
        <w:rPr>
          <w:b/>
          <w:bCs/>
        </w:rPr>
      </w:pPr>
      <w:r w:rsidRPr="00DF03D1">
        <w:rPr>
          <w:b/>
          <w:bCs/>
        </w:rPr>
        <w:t>Legal Lesson Learned:</w:t>
      </w:r>
      <w:r>
        <w:rPr>
          <w:b/>
          <w:bCs/>
        </w:rPr>
        <w:t xml:space="preserve"> Observing </w:t>
      </w:r>
      <w:proofErr w:type="gramStart"/>
      <w:r>
        <w:rPr>
          <w:b/>
          <w:bCs/>
        </w:rPr>
        <w:t>defendant</w:t>
      </w:r>
      <w:proofErr w:type="gramEnd"/>
      <w:r>
        <w:rPr>
          <w:b/>
          <w:bCs/>
        </w:rPr>
        <w:t xml:space="preserve"> at multiple fires led to his convictions. </w:t>
      </w:r>
    </w:p>
    <w:p w14:paraId="6529F552" w14:textId="5E513569" w:rsidR="00DC17BF" w:rsidRDefault="00DC17BF" w:rsidP="00F326E5">
      <w:pPr>
        <w:pStyle w:val="NoSpacing"/>
        <w:rPr>
          <w:rFonts w:ascii="Arial Black" w:hAnsi="Arial Black"/>
          <w:sz w:val="24"/>
          <w:szCs w:val="24"/>
        </w:rPr>
      </w:pPr>
      <w:r>
        <w:rPr>
          <w:rFonts w:ascii="Arial Black" w:hAnsi="Arial Black"/>
          <w:sz w:val="24"/>
          <w:szCs w:val="24"/>
        </w:rPr>
        <w:t xml:space="preserve"> </w:t>
      </w:r>
    </w:p>
    <w:p w14:paraId="4FCDB951" w14:textId="77777777" w:rsidR="00DC17BF" w:rsidRDefault="00DC17BF" w:rsidP="00F326E5">
      <w:pPr>
        <w:pStyle w:val="NoSpacing"/>
        <w:rPr>
          <w:rFonts w:ascii="Arial Black" w:hAnsi="Arial Black"/>
          <w:sz w:val="24"/>
          <w:szCs w:val="24"/>
        </w:rPr>
      </w:pPr>
    </w:p>
    <w:p w14:paraId="384D3DF7" w14:textId="77777777" w:rsidR="00DC17BF" w:rsidRDefault="00DC17BF" w:rsidP="00F326E5">
      <w:pPr>
        <w:pStyle w:val="NoSpacing"/>
        <w:rPr>
          <w:rFonts w:ascii="Arial Black" w:hAnsi="Arial Black"/>
          <w:sz w:val="24"/>
          <w:szCs w:val="24"/>
        </w:rPr>
      </w:pPr>
    </w:p>
    <w:p w14:paraId="31CAF639" w14:textId="1F591580" w:rsidR="007A0E71" w:rsidRDefault="007A0E71" w:rsidP="00F326E5">
      <w:pPr>
        <w:pStyle w:val="NoSpacing"/>
        <w:rPr>
          <w:rFonts w:ascii="Arial Black" w:hAnsi="Arial Black"/>
          <w:sz w:val="24"/>
          <w:szCs w:val="24"/>
        </w:rPr>
      </w:pPr>
      <w:r>
        <w:rPr>
          <w:rFonts w:ascii="Arial Black" w:hAnsi="Arial Black"/>
          <w:sz w:val="24"/>
          <w:szCs w:val="24"/>
        </w:rPr>
        <w:t>1-120</w:t>
      </w:r>
    </w:p>
    <w:p w14:paraId="5F584F5E" w14:textId="77777777" w:rsidR="007A0E71" w:rsidRDefault="007A0E71" w:rsidP="00F326E5">
      <w:pPr>
        <w:pStyle w:val="NoSpacing"/>
        <w:rPr>
          <w:rFonts w:ascii="Arial Black" w:hAnsi="Arial Black"/>
          <w:sz w:val="24"/>
          <w:szCs w:val="24"/>
        </w:rPr>
      </w:pPr>
    </w:p>
    <w:p w14:paraId="5779B036" w14:textId="77777777" w:rsidR="007A0E71" w:rsidRPr="001F782C" w:rsidRDefault="007A0E71" w:rsidP="007A0E71">
      <w:pPr>
        <w:pStyle w:val="NormalWeb"/>
        <w:rPr>
          <w:rFonts w:ascii="Arial Black" w:hAnsi="Arial Black"/>
          <w:sz w:val="28"/>
          <w:szCs w:val="28"/>
        </w:rPr>
      </w:pPr>
      <w:r w:rsidRPr="001F782C">
        <w:rPr>
          <w:rFonts w:ascii="Arial Black" w:hAnsi="Arial Black"/>
          <w:sz w:val="28"/>
          <w:szCs w:val="28"/>
        </w:rPr>
        <w:t>CA (4/12/2023)</w:t>
      </w:r>
      <w:r>
        <w:rPr>
          <w:rFonts w:ascii="Arial Black" w:hAnsi="Arial Black"/>
          <w:sz w:val="28"/>
          <w:szCs w:val="28"/>
        </w:rPr>
        <w:t xml:space="preserve"> – SAFER GRANT – FRAUD – RECRUITING VOL. FF - 12 MONTHS PRISON, $1.2 MILLION RESTITUTION</w:t>
      </w:r>
    </w:p>
    <w:p w14:paraId="7269FBFA" w14:textId="77777777" w:rsidR="007A0E71" w:rsidRDefault="007A0E71" w:rsidP="007A0E71">
      <w:pPr>
        <w:pStyle w:val="NormalWeb"/>
      </w:pPr>
      <w:r w:rsidRPr="001F782C">
        <w:rPr>
          <w:u w:val="single"/>
        </w:rPr>
        <w:t>United States v. Samuel Thomas Lanier</w:t>
      </w:r>
      <w:r>
        <w:t xml:space="preserve">, U.S. District Court Chief Judge Kimberly J. Mueller. </w:t>
      </w:r>
      <w:hyperlink r:id="rId194" w:history="1">
        <w:r w:rsidRPr="00173A17">
          <w:rPr>
            <w:rStyle w:val="Hyperlink"/>
            <w:rFonts w:eastAsiaTheme="majorEastAsia"/>
          </w:rPr>
          <w:t>https://www.leagle.com/decision/infdco20230413c44</w:t>
        </w:r>
      </w:hyperlink>
    </w:p>
    <w:p w14:paraId="20F88F65" w14:textId="77777777" w:rsidR="007A0E71" w:rsidRPr="004D4F51" w:rsidRDefault="007A0E71" w:rsidP="007A0E71">
      <w:pPr>
        <w:pStyle w:val="NormalWeb"/>
        <w:rPr>
          <w:b/>
          <w:bCs/>
        </w:rPr>
      </w:pPr>
      <w:r w:rsidRPr="004D4F51">
        <w:rPr>
          <w:b/>
          <w:bCs/>
        </w:rPr>
        <w:t xml:space="preserve">Legal Lesson Learned: </w:t>
      </w:r>
      <w:r>
        <w:rPr>
          <w:b/>
          <w:bCs/>
        </w:rPr>
        <w:t>Fraudulent charges to Fed. Government can lead to prison time and restitution.</w:t>
      </w:r>
    </w:p>
    <w:p w14:paraId="7568FB32" w14:textId="7AA1DB4C" w:rsidR="007A0E71" w:rsidRDefault="007A0E71" w:rsidP="007A0E71">
      <w:pPr>
        <w:pStyle w:val="NoSpacing"/>
        <w:rPr>
          <w:rFonts w:ascii="Arial Black" w:hAnsi="Arial Black"/>
          <w:sz w:val="24"/>
          <w:szCs w:val="24"/>
        </w:rPr>
      </w:pPr>
      <w:r w:rsidRPr="004D4F51">
        <w:rPr>
          <w:sz w:val="24"/>
          <w:szCs w:val="24"/>
        </w:rPr>
        <w:t xml:space="preserve">Note: See </w:t>
      </w:r>
      <w:r>
        <w:rPr>
          <w:sz w:val="24"/>
          <w:szCs w:val="24"/>
        </w:rPr>
        <w:t xml:space="preserve">Oct. 17, </w:t>
      </w:r>
      <w:proofErr w:type="gramStart"/>
      <w:r>
        <w:rPr>
          <w:sz w:val="24"/>
          <w:szCs w:val="24"/>
        </w:rPr>
        <w:t>2022</w:t>
      </w:r>
      <w:proofErr w:type="gramEnd"/>
      <w:r>
        <w:rPr>
          <w:sz w:val="24"/>
          <w:szCs w:val="24"/>
        </w:rPr>
        <w:t xml:space="preserve"> Press Release – “</w:t>
      </w:r>
      <w:r w:rsidRPr="004D4F51">
        <w:rPr>
          <w:rStyle w:val="field-formatter--string"/>
          <w:sz w:val="24"/>
          <w:szCs w:val="24"/>
        </w:rPr>
        <w:t>Siskiyou County Man Sentenced to 1 Year in Prison for Major Fraud Against the United States for Taking FEMA Grant Funds</w:t>
      </w:r>
      <w:r>
        <w:rPr>
          <w:rStyle w:val="field-formatter--string"/>
          <w:sz w:val="24"/>
          <w:szCs w:val="24"/>
        </w:rPr>
        <w:t xml:space="preserve">.” </w:t>
      </w:r>
      <w:hyperlink r:id="rId195" w:history="1">
        <w:r w:rsidRPr="00173A17">
          <w:rPr>
            <w:rStyle w:val="Hyperlink"/>
            <w:rFonts w:eastAsiaTheme="majorEastAsia"/>
            <w:sz w:val="24"/>
            <w:szCs w:val="24"/>
          </w:rPr>
          <w:t>https://www.justice.gov/usao-edca/pr/siskiyou-county-man-sentenced-1-year-prison-major-fraud-against-united-states-taking</w:t>
        </w:r>
      </w:hyperlink>
    </w:p>
    <w:p w14:paraId="15206FEB" w14:textId="77777777" w:rsidR="007A0E71" w:rsidRDefault="007A0E71" w:rsidP="00F326E5">
      <w:pPr>
        <w:pStyle w:val="NoSpacing"/>
        <w:rPr>
          <w:rFonts w:ascii="Arial Black" w:hAnsi="Arial Black"/>
          <w:sz w:val="24"/>
          <w:szCs w:val="24"/>
        </w:rPr>
      </w:pPr>
    </w:p>
    <w:p w14:paraId="7B7C6D24" w14:textId="5254AA91" w:rsidR="003F788B" w:rsidRDefault="003F788B" w:rsidP="00F326E5">
      <w:pPr>
        <w:pStyle w:val="NoSpacing"/>
        <w:rPr>
          <w:rFonts w:ascii="Arial Black" w:hAnsi="Arial Black"/>
          <w:sz w:val="24"/>
          <w:szCs w:val="24"/>
        </w:rPr>
      </w:pPr>
      <w:r>
        <w:rPr>
          <w:rFonts w:ascii="Arial Black" w:hAnsi="Arial Black"/>
          <w:sz w:val="24"/>
          <w:szCs w:val="24"/>
        </w:rPr>
        <w:t>1-119</w:t>
      </w:r>
    </w:p>
    <w:p w14:paraId="7FFB5D97" w14:textId="77777777" w:rsidR="003F788B" w:rsidRDefault="003F788B" w:rsidP="003F788B">
      <w:pPr>
        <w:pStyle w:val="NormalWeb"/>
        <w:rPr>
          <w:rFonts w:ascii="Arial Black" w:hAnsi="Arial Black"/>
          <w:sz w:val="28"/>
          <w:szCs w:val="28"/>
        </w:rPr>
      </w:pPr>
      <w:r>
        <w:rPr>
          <w:rFonts w:ascii="Arial Black" w:hAnsi="Arial Black"/>
          <w:sz w:val="28"/>
          <w:szCs w:val="28"/>
        </w:rPr>
        <w:t>MI: FIRE MARSHAL DENIED QUALIFIED IMMUNITY, CHANGED RPT “INCENDIARY” – LODD - BLDG OWNER SUES</w:t>
      </w:r>
    </w:p>
    <w:p w14:paraId="6942614A" w14:textId="77777777" w:rsidR="003F788B" w:rsidRDefault="003F788B" w:rsidP="003F788B">
      <w:pPr>
        <w:pStyle w:val="NormalWeb"/>
      </w:pPr>
      <w:r>
        <w:lastRenderedPageBreak/>
        <w:t xml:space="preserve">On March 24, 2023, in </w:t>
      </w:r>
      <w:r>
        <w:rPr>
          <w:u w:val="single"/>
        </w:rPr>
        <w:t xml:space="preserve">George Marvaso, et al. v. Richard Sanchez, et </w:t>
      </w:r>
      <w:r>
        <w:t>al., U.S. District Court Judge Linda V. Parker, Eastern District of Michigan (Southern Division) held that the lawsuit by the owners of the restaurant and adjacent pool hall may proceed in lawsuit against the Fire Marshal and others for alleged violation of their federal constitutional rights under 4</w:t>
      </w:r>
      <w:r>
        <w:rPr>
          <w:vertAlign w:val="superscript"/>
        </w:rPr>
        <w:t>th</w:t>
      </w:r>
      <w:r>
        <w:t xml:space="preserve"> &amp; 14</w:t>
      </w:r>
      <w:r>
        <w:rPr>
          <w:vertAlign w:val="superscript"/>
        </w:rPr>
        <w:t>th</w:t>
      </w:r>
      <w:r>
        <w:t xml:space="preserve"> Amendment, when Fire Marshall changed his origin and cause report from “undetermined: (May 2013) to “incendiary” (Nov. 2013).   During the fire, there was a building collapse and firefighter Brian Woelke was trapped and died. See NIOSH FF Fatality Report: </w:t>
      </w:r>
      <w:hyperlink r:id="rId196" w:history="1">
        <w:r>
          <w:rPr>
            <w:rStyle w:val="Hyperlink"/>
          </w:rPr>
          <w:t>https://www.cdc.gov/niosh/fire/pdfs/face201314.pdf</w:t>
        </w:r>
      </w:hyperlink>
      <w:r>
        <w:t xml:space="preserve">.  In Aug. 2013, state OSHA issued citations for LODD and FD paid $3,500 in fines. </w:t>
      </w:r>
    </w:p>
    <w:p w14:paraId="329B4267" w14:textId="77777777" w:rsidR="003F788B" w:rsidRDefault="003F788B" w:rsidP="003F788B">
      <w:pPr>
        <w:pStyle w:val="NormalWeb"/>
        <w:ind w:left="720"/>
      </w:pPr>
      <w:r>
        <w:t xml:space="preserve">The Court denied the Fire Marshall’s motion to dismiss the case and referenced the plaintiffs’ allegations. “On or about mid-September 2013, Fire Marshal Adams met with Westland City Councilman Bill Johnson. While Adams previously told Councilman Johnson that the cause of the fire was electrical in nature, he now indicated that he was changing his conclusion to an incendiary cause even though he had no new evidence. When Councilman Johnson asked Fire Marshal Adams why he was changing his mind, Fire Marshal Adams answered: ‘Because a firefighter died, Bill.’”  Plaintiffs further alleged:  “In mid-November 2013, Fire Marshal Adams submitted an alleged false fire origin and cause report to the Michigan State Police (‘MSP’) and Wayne County Prosecutor's Office, which triggered an MSP homicide investigation resulting in the allegedly unlawful search warrants … being executed for Plaintiffs' homes, where records and personal property were seized. Fire Marshal Adams' announcement that the fire had an incendiary cause, and that the MSP would be opening a homicide investigation into Woelke's death was widely reported in the statewide news media.” </w:t>
      </w:r>
      <w:hyperlink r:id="rId197" w:history="1">
        <w:r>
          <w:rPr>
            <w:rStyle w:val="Hyperlink"/>
          </w:rPr>
          <w:t>https://public.fastcase.com/J%2FJP6pdidelsXxEE4k%2BLMh%2BxgKCWLadJ0%2BOScffwypyz9KPkH6WwjXpW3uRa%2FlRTPk79L8Q2wc49Eb83uFrfiOwpLA5%2BzEeF6Sl%2BnZohK7o%3D?utm_medium=email&amp;_hsmi=226712652&amp;_hsenc=p2ANqtz--JRFw_odmHYH-3piiElV-hEg_p30YKZr85DqTYsa6cCP0cQTh9qrySQOzbjYsHMVm2otLm7TlEchGQvTofiaLZzRru3Q&amp;utm_content=226712652&amp;utm_source=hs_email</w:t>
        </w:r>
      </w:hyperlink>
      <w:r>
        <w:t xml:space="preserve"> </w:t>
      </w:r>
    </w:p>
    <w:p w14:paraId="094F4030" w14:textId="77777777" w:rsidR="003F788B" w:rsidRDefault="003F788B" w:rsidP="003F788B">
      <w:pPr>
        <w:pStyle w:val="NormalWeb"/>
        <w:ind w:left="720" w:firstLine="60"/>
      </w:pPr>
      <w:r>
        <w:t>“</w:t>
      </w:r>
      <w:r>
        <w:rPr>
          <w:rStyle w:val="Emphasis"/>
        </w:rPr>
        <w:t>Qualified Immunity as to Alleged Constitutional Violations…</w:t>
      </w:r>
      <w:r>
        <w:t xml:space="preserve"> Plaintiffs have presented sufficient evidence that Fire Marshal Adams was aware that his action was unlawful, which occurred when he allegedly responded to Councilman Johnson with his reasoning for changing the report. A reasonable fireman, officer, or anyone with the requisite training, is aware that engaging in such conduct would be unlawful and at the very least, would likely amount to a termination of employment. As such, absent any evidence on the record to rebut that statement, Fire Marshal Adams is not entitled to the protections of qualified immunity.” </w:t>
      </w:r>
    </w:p>
    <w:p w14:paraId="405E31F3" w14:textId="77777777" w:rsidR="003F788B" w:rsidRDefault="003F788B" w:rsidP="003F788B">
      <w:pPr>
        <w:pStyle w:val="NormalWeb"/>
        <w:rPr>
          <w:b/>
          <w:bCs/>
        </w:rPr>
      </w:pPr>
      <w:r>
        <w:rPr>
          <w:b/>
          <w:bCs/>
        </w:rPr>
        <w:t xml:space="preserve">Legal Lesson Learned: The plaintiffs’ allegations are </w:t>
      </w:r>
      <w:proofErr w:type="gramStart"/>
      <w:r>
        <w:rPr>
          <w:b/>
          <w:bCs/>
        </w:rPr>
        <w:t>shocking, but</w:t>
      </w:r>
      <w:proofErr w:type="gramEnd"/>
      <w:r>
        <w:rPr>
          <w:b/>
          <w:bCs/>
        </w:rPr>
        <w:t xml:space="preserve"> have not been proven at trial.  The Fire Marshall may decide to </w:t>
      </w:r>
      <w:proofErr w:type="gramStart"/>
      <w:r>
        <w:rPr>
          <w:b/>
          <w:bCs/>
        </w:rPr>
        <w:t>take</w:t>
      </w:r>
      <w:proofErr w:type="gramEnd"/>
      <w:r>
        <w:rPr>
          <w:b/>
          <w:bCs/>
        </w:rPr>
        <w:t xml:space="preserve"> an immediate appeal to 6</w:t>
      </w:r>
      <w:r>
        <w:rPr>
          <w:b/>
          <w:bCs/>
          <w:vertAlign w:val="superscript"/>
        </w:rPr>
        <w:t>th</w:t>
      </w:r>
      <w:r>
        <w:rPr>
          <w:b/>
          <w:bCs/>
        </w:rPr>
        <w:t xml:space="preserve"> Circuit on denial of qualified immunity. </w:t>
      </w:r>
    </w:p>
    <w:p w14:paraId="78AF202C" w14:textId="77777777" w:rsidR="003F788B" w:rsidRDefault="003F788B" w:rsidP="003F788B">
      <w:pPr>
        <w:pStyle w:val="NormalWeb"/>
        <w:ind w:left="720"/>
      </w:pPr>
      <w:r>
        <w:t xml:space="preserve">Note: The Court dismissed from this lawsuit the Michigan State Police lieutenant who submitted a search warrant affidavit, that included following: </w:t>
      </w:r>
    </w:p>
    <w:p w14:paraId="71724393" w14:textId="77777777" w:rsidR="003F788B" w:rsidRDefault="003F788B" w:rsidP="003F788B">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(1) multiple tips that the fire was intentionally set, </w:t>
      </w:r>
    </w:p>
    <w:p w14:paraId="47974787" w14:textId="77777777" w:rsidR="003F788B" w:rsidRDefault="003F788B" w:rsidP="003F788B">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(2) a vehicle in the parking lot of the business after hours on the night of the fire that matched a description of Marvaso, Jr.'s car,  </w:t>
      </w:r>
    </w:p>
    <w:p w14:paraId="119FD9E4" w14:textId="77777777" w:rsidR="003F788B" w:rsidRDefault="003F788B" w:rsidP="003F788B">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(3) information from a Marvaso relative that Marvaso, Sr. was distraught because the fire was an insurance job and no one was supposed to get hurt, </w:t>
      </w:r>
    </w:p>
    <w:p w14:paraId="3C76BD1F" w14:textId="77777777" w:rsidR="003F788B" w:rsidRDefault="003F788B" w:rsidP="003F788B">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(4) a recent fire cause and origin report from Westland determining that the fire was intentionally set, </w:t>
      </w:r>
    </w:p>
    <w:p w14:paraId="32421811" w14:textId="77777777" w:rsidR="003F788B" w:rsidRDefault="003F788B" w:rsidP="003F788B">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(5) information that the entry doors were locked and not disturbed, </w:t>
      </w:r>
    </w:p>
    <w:p w14:paraId="2CA21ACB" w14:textId="77777777" w:rsidR="003F788B" w:rsidRDefault="003F788B" w:rsidP="003F788B">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(6) the inference that no forced entry suggested an inside job, </w:t>
      </w:r>
    </w:p>
    <w:p w14:paraId="61EAB6AF" w14:textId="77777777" w:rsidR="003F788B" w:rsidRDefault="003F788B" w:rsidP="003F788B">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lastRenderedPageBreak/>
        <w:t xml:space="preserve">(7) information about financial difficulties associated with the business, </w:t>
      </w:r>
    </w:p>
    <w:p w14:paraId="046F48B8" w14:textId="77777777" w:rsidR="003F788B" w:rsidRDefault="003F788B" w:rsidP="003F788B">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(8) information that Plaintiffs removed items from the scene of the fire, </w:t>
      </w:r>
    </w:p>
    <w:p w14:paraId="3C4578F6" w14:textId="77777777" w:rsidR="003F788B" w:rsidRDefault="003F788B" w:rsidP="003F788B">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(9) information regarding business related items that may be located at Plaintiffs' residences and storage lockers, </w:t>
      </w:r>
    </w:p>
    <w:p w14:paraId="503E3F19" w14:textId="77777777" w:rsidR="003F788B" w:rsidRDefault="003F788B" w:rsidP="003F788B">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(10) information about telephone numbers associated with the business, </w:t>
      </w:r>
    </w:p>
    <w:p w14:paraId="7F0771BA" w14:textId="77777777" w:rsidR="003F788B" w:rsidRDefault="003F788B" w:rsidP="003F788B">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(11) information about the role of each Plaintiff in the business, and </w:t>
      </w:r>
    </w:p>
    <w:p w14:paraId="5BA2EFFE" w14:textId="77777777" w:rsidR="003F788B" w:rsidRDefault="003F788B" w:rsidP="003F788B">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(12) information that the insurance coverage was recently raised. </w:t>
      </w:r>
    </w:p>
    <w:p w14:paraId="46532D3D" w14:textId="23062BC0" w:rsidR="003F788B" w:rsidRDefault="003F788B" w:rsidP="00F326E5">
      <w:pPr>
        <w:pStyle w:val="NoSpacing"/>
        <w:rPr>
          <w:rFonts w:ascii="Arial Black" w:hAnsi="Arial Black"/>
          <w:sz w:val="24"/>
          <w:szCs w:val="24"/>
        </w:rPr>
      </w:pPr>
    </w:p>
    <w:p w14:paraId="1EDBFEF6" w14:textId="77777777" w:rsidR="003F788B" w:rsidRDefault="003F788B" w:rsidP="00F326E5">
      <w:pPr>
        <w:pStyle w:val="NoSpacing"/>
        <w:rPr>
          <w:rFonts w:ascii="Arial Black" w:hAnsi="Arial Black"/>
          <w:sz w:val="24"/>
          <w:szCs w:val="24"/>
        </w:rPr>
      </w:pPr>
    </w:p>
    <w:p w14:paraId="008C7A19" w14:textId="77777777" w:rsidR="003F788B" w:rsidRDefault="003F788B" w:rsidP="00F326E5">
      <w:pPr>
        <w:pStyle w:val="NoSpacing"/>
        <w:rPr>
          <w:rFonts w:ascii="Arial Black" w:hAnsi="Arial Black"/>
          <w:sz w:val="24"/>
          <w:szCs w:val="24"/>
        </w:rPr>
      </w:pPr>
    </w:p>
    <w:p w14:paraId="0D599D1F" w14:textId="77777777" w:rsidR="003F788B" w:rsidRDefault="003F788B" w:rsidP="00F326E5">
      <w:pPr>
        <w:pStyle w:val="NoSpacing"/>
        <w:rPr>
          <w:rFonts w:ascii="Arial Black" w:hAnsi="Arial Black"/>
          <w:sz w:val="24"/>
          <w:szCs w:val="24"/>
        </w:rPr>
      </w:pPr>
    </w:p>
    <w:p w14:paraId="4E3989D3" w14:textId="77777777" w:rsidR="003F788B" w:rsidRDefault="003F788B" w:rsidP="00F326E5">
      <w:pPr>
        <w:pStyle w:val="NoSpacing"/>
        <w:rPr>
          <w:rFonts w:ascii="Arial Black" w:hAnsi="Arial Black"/>
          <w:sz w:val="24"/>
          <w:szCs w:val="24"/>
        </w:rPr>
      </w:pPr>
    </w:p>
    <w:p w14:paraId="3EC93410" w14:textId="106930D5" w:rsidR="003F788B" w:rsidRDefault="003F788B" w:rsidP="00F326E5">
      <w:pPr>
        <w:pStyle w:val="NoSpacing"/>
        <w:rPr>
          <w:rFonts w:ascii="Arial Black" w:hAnsi="Arial Black"/>
          <w:sz w:val="24"/>
          <w:szCs w:val="24"/>
        </w:rPr>
      </w:pPr>
      <w:r>
        <w:rPr>
          <w:rFonts w:ascii="Arial Black" w:hAnsi="Arial Black"/>
          <w:sz w:val="24"/>
          <w:szCs w:val="24"/>
        </w:rPr>
        <w:t>1-118</w:t>
      </w:r>
    </w:p>
    <w:p w14:paraId="2E83124E" w14:textId="7561F347" w:rsidR="003F788B" w:rsidRDefault="003F788B" w:rsidP="00F326E5">
      <w:pPr>
        <w:pStyle w:val="NoSpacing"/>
        <w:rPr>
          <w:rFonts w:ascii="Arial Black" w:hAnsi="Arial Black"/>
          <w:sz w:val="24"/>
          <w:szCs w:val="24"/>
        </w:rPr>
      </w:pPr>
    </w:p>
    <w:p w14:paraId="3C8F0748" w14:textId="77777777" w:rsidR="003F788B" w:rsidRDefault="003F788B" w:rsidP="003F788B">
      <w:pPr>
        <w:pStyle w:val="NormalWeb"/>
        <w:rPr>
          <w:rFonts w:ascii="Arial Black" w:hAnsi="Arial Black"/>
          <w:b/>
          <w:bCs/>
          <w:sz w:val="28"/>
          <w:szCs w:val="28"/>
        </w:rPr>
      </w:pPr>
      <w:r>
        <w:rPr>
          <w:rFonts w:ascii="Arial Black" w:hAnsi="Arial Black"/>
          <w:b/>
          <w:bCs/>
          <w:sz w:val="28"/>
          <w:szCs w:val="28"/>
        </w:rPr>
        <w:t>KY: DRUG OVERDOSE – “GOOD SAMARITAN LAW” – DOES NOT PROTECT OVERDOSE VICTIM FOR TRAFFICKING</w:t>
      </w:r>
    </w:p>
    <w:p w14:paraId="56171F56" w14:textId="77777777" w:rsidR="003F788B" w:rsidRDefault="003F788B" w:rsidP="003F788B">
      <w:pPr>
        <w:pStyle w:val="NormalWeb"/>
      </w:pPr>
      <w:r>
        <w:t xml:space="preserve">On March 10, 2023, in </w:t>
      </w:r>
      <w:r>
        <w:rPr>
          <w:u w:val="single"/>
        </w:rPr>
        <w:t>Jordan Brown v. Commonwealth of Kentucky</w:t>
      </w:r>
      <w:r>
        <w:t xml:space="preserve">, the Court of Appeals of Kentucky held (3 to 0; unpublished decision) that trial court properly denied the defendant’s motion to dismiss. “On August 28, 2021, Brown overdosed at the home of Chandra Walker (‘Walker’). Walker called 911. Both law enforcement and emergency medical </w:t>
      </w:r>
      <w:proofErr w:type="gramStart"/>
      <w:r>
        <w:t>services (‘EMS’)</w:t>
      </w:r>
      <w:proofErr w:type="gramEnd"/>
      <w:r>
        <w:t xml:space="preserve"> responded to the call. EMS found Brown unresponsive, administered Narcan, and transported Brown to the hospital. Police searched Brown and his surroundings and discovered a loaded syringe, a scale, heroin, and an ounce of methamphetamine. As a result of this incident, Brown was indicted on one count of trafficking in controlled substances in the first degree. Thereafter, Brown filed a motion to dismiss, arguing KRS 218A.133 bars prosecution for trafficking. The trial court denied the motion. Brown then entered a conditional guilty </w:t>
      </w:r>
      <w:proofErr w:type="gramStart"/>
      <w:r>
        <w:t>plea</w:t>
      </w:r>
      <w:proofErr w:type="gramEnd"/>
      <w:r>
        <w:t xml:space="preserve"> and, upon entry of the final judgment, he was sentenced to seven years' imprisonment. This appeal followed.”</w:t>
      </w:r>
    </w:p>
    <w:p w14:paraId="5019F956" w14:textId="77777777" w:rsidR="003F788B" w:rsidRDefault="003F788B" w:rsidP="003F788B">
      <w:pPr>
        <w:pStyle w:val="NormalWeb"/>
        <w:ind w:left="720"/>
      </w:pPr>
      <w:r>
        <w:t xml:space="preserve">The Court held: “Prosecution for trafficking offenses is not prohibited by KRS 218A.133. It is fundamental to statutory construction that we first look "to the language of the statute, giving the words their plain and ordinary meaning." </w:t>
      </w:r>
      <w:r>
        <w:rPr>
          <w:rStyle w:val="Emphasis"/>
        </w:rPr>
        <w:t>Overstreet v. Kindred Nursing Centers Limited Partnership</w:t>
      </w:r>
      <w:r>
        <w:t xml:space="preserve">, 479 S.W.3d 69, 73 (Ky. 2015) (citation omitted). Where the language of the statute is unambiguous, we will not consider extrinsic evidence, including evidence of legislative intent. </w:t>
      </w:r>
      <w:r>
        <w:rPr>
          <w:rStyle w:val="Emphasis"/>
        </w:rPr>
        <w:t>Id</w:t>
      </w:r>
      <w:r>
        <w:t xml:space="preserve">. (citation omitted). KRS 218A.133 specifically prohibits charging or prosecuting an individual for criminal offenses related to </w:t>
      </w:r>
      <w:r>
        <w:rPr>
          <w:rStyle w:val="Strong"/>
        </w:rPr>
        <w:t>possession</w:t>
      </w:r>
      <w:r>
        <w:t xml:space="preserve"> of controlled substances and/or paraphernalia. The statute does not mention trafficking offenses. Trafficking offenses are distinct from possession charges. Trafficking is separately defined as ‘to manufacture, distribute, dispense, sell, transfer, or possess with intent to manufacture, distribute, dispense, or sell a controlled substance[.]’ KRS 218A.010(56). The General Assembly unambiguously chose only to prohibit charging or prosecuting for possession offenses but not for trafficking offenses.” </w:t>
      </w:r>
      <w:hyperlink r:id="rId198" w:history="1">
        <w:r>
          <w:rPr>
            <w:rStyle w:val="Hyperlink"/>
          </w:rPr>
          <w:t>https://law.justia.com/cases/kentucky/court-of-appeals/2023/2022-ca-0276-mr.html</w:t>
        </w:r>
      </w:hyperlink>
      <w:r>
        <w:t xml:space="preserve"> </w:t>
      </w:r>
    </w:p>
    <w:p w14:paraId="0F7F42F2" w14:textId="77777777" w:rsidR="003F788B" w:rsidRDefault="003F788B" w:rsidP="003F788B">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KRS 218A.133(2), “</w:t>
      </w:r>
      <w:r>
        <w:rPr>
          <w:rStyle w:val="markedcontent"/>
          <w:rFonts w:ascii="Times New Roman" w:hAnsi="Times New Roman"/>
          <w:sz w:val="24"/>
          <w:szCs w:val="24"/>
        </w:rPr>
        <w:t>Exemption from prosecution for possession of controlled substance or drug paraphernalia if seeking assistance with drug overdose.”</w:t>
      </w:r>
    </w:p>
    <w:p w14:paraId="2037E434" w14:textId="77777777" w:rsidR="003F788B" w:rsidRDefault="003F788B" w:rsidP="003F788B">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A person shall not be charged with or prosecuted for a criminal offense prohibiting the possession of a controlled substance or the possession of drug paraphernalia if: </w:t>
      </w:r>
    </w:p>
    <w:p w14:paraId="1B3A71C4" w14:textId="77777777" w:rsidR="003F788B" w:rsidRDefault="003F788B" w:rsidP="003F788B">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lastRenderedPageBreak/>
        <w:t xml:space="preserve">(a) In good faith, medical assistance with a drug overdose is sought from a public safety answering point, emergency medical services, a law enforcement officer, or a health practitioner because the person: </w:t>
      </w:r>
    </w:p>
    <w:p w14:paraId="2C2B1BA2" w14:textId="77777777" w:rsidR="003F788B" w:rsidRDefault="003F788B" w:rsidP="003F788B">
      <w:pPr>
        <w:spacing w:after="100" w:line="240" w:lineRule="auto"/>
        <w:ind w:left="2160"/>
        <w:rPr>
          <w:rFonts w:ascii="Times New Roman" w:eastAsia="Times New Roman" w:hAnsi="Times New Roman"/>
          <w:sz w:val="24"/>
          <w:szCs w:val="24"/>
        </w:rPr>
      </w:pPr>
      <w:r>
        <w:rPr>
          <w:rFonts w:ascii="Times New Roman" w:eastAsia="Times New Roman" w:hAnsi="Times New Roman"/>
          <w:sz w:val="24"/>
          <w:szCs w:val="24"/>
        </w:rPr>
        <w:t xml:space="preserve">1. Requests emergency medical assistance for himself or herself or another person; </w:t>
      </w:r>
    </w:p>
    <w:p w14:paraId="0CCFEEDF" w14:textId="77777777" w:rsidR="003F788B" w:rsidRDefault="003F788B" w:rsidP="003F788B">
      <w:pPr>
        <w:spacing w:after="100" w:line="240" w:lineRule="auto"/>
        <w:ind w:left="2160"/>
        <w:rPr>
          <w:rFonts w:ascii="Times New Roman" w:eastAsia="Times New Roman" w:hAnsi="Times New Roman"/>
          <w:sz w:val="24"/>
          <w:szCs w:val="24"/>
        </w:rPr>
      </w:pPr>
      <w:r>
        <w:rPr>
          <w:rFonts w:ascii="Times New Roman" w:eastAsia="Times New Roman" w:hAnsi="Times New Roman"/>
          <w:sz w:val="24"/>
          <w:szCs w:val="24"/>
        </w:rPr>
        <w:t xml:space="preserve">2. Acts in concert with another person who requests emergency medical assistance; or </w:t>
      </w:r>
    </w:p>
    <w:p w14:paraId="200B8C66" w14:textId="77777777" w:rsidR="003F788B" w:rsidRDefault="003F788B" w:rsidP="003F788B">
      <w:pPr>
        <w:spacing w:after="100" w:line="240" w:lineRule="auto"/>
        <w:ind w:left="2160"/>
        <w:rPr>
          <w:rFonts w:ascii="Times New Roman" w:eastAsia="Times New Roman" w:hAnsi="Times New Roman"/>
          <w:sz w:val="24"/>
          <w:szCs w:val="24"/>
        </w:rPr>
      </w:pPr>
      <w:r>
        <w:rPr>
          <w:rFonts w:ascii="Times New Roman" w:eastAsia="Times New Roman" w:hAnsi="Times New Roman"/>
          <w:sz w:val="24"/>
          <w:szCs w:val="24"/>
        </w:rPr>
        <w:t xml:space="preserve">3. Appears to </w:t>
      </w:r>
      <w:proofErr w:type="gramStart"/>
      <w:r>
        <w:rPr>
          <w:rFonts w:ascii="Times New Roman" w:eastAsia="Times New Roman" w:hAnsi="Times New Roman"/>
          <w:sz w:val="24"/>
          <w:szCs w:val="24"/>
        </w:rPr>
        <w:t>be in need of</w:t>
      </w:r>
      <w:proofErr w:type="gramEnd"/>
      <w:r>
        <w:rPr>
          <w:rFonts w:ascii="Times New Roman" w:eastAsia="Times New Roman" w:hAnsi="Times New Roman"/>
          <w:sz w:val="24"/>
          <w:szCs w:val="24"/>
        </w:rPr>
        <w:t xml:space="preserve"> emergency medical assistance and is the individual for whom the request was made; </w:t>
      </w:r>
    </w:p>
    <w:p w14:paraId="7615DF0C" w14:textId="77777777" w:rsidR="003F788B" w:rsidRDefault="003F788B" w:rsidP="003F788B">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(b) The person remains with, or is, the individual who appears to be experiencing a drug overdose until the requested assistance is provided; and </w:t>
      </w:r>
    </w:p>
    <w:p w14:paraId="401ABFD4" w14:textId="77777777" w:rsidR="003F788B" w:rsidRDefault="003F788B" w:rsidP="003F788B">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(c) The evidence for the charge or prosecution is obtained </w:t>
      </w:r>
      <w:proofErr w:type="gramStart"/>
      <w:r>
        <w:rPr>
          <w:rFonts w:ascii="Times New Roman" w:eastAsia="Times New Roman" w:hAnsi="Times New Roman"/>
          <w:sz w:val="24"/>
          <w:szCs w:val="24"/>
        </w:rPr>
        <w:t>as a result of</w:t>
      </w:r>
      <w:proofErr w:type="gramEnd"/>
      <w:r>
        <w:rPr>
          <w:rFonts w:ascii="Times New Roman" w:eastAsia="Times New Roman" w:hAnsi="Times New Roman"/>
          <w:sz w:val="24"/>
          <w:szCs w:val="24"/>
        </w:rPr>
        <w:t xml:space="preserve"> the drug overdose and the need for medical assistance. </w:t>
      </w:r>
      <w:hyperlink r:id="rId199" w:history="1">
        <w:r>
          <w:rPr>
            <w:rStyle w:val="Hyperlink"/>
            <w:sz w:val="24"/>
            <w:szCs w:val="24"/>
          </w:rPr>
          <w:t>https://apps.legislature.ky.gov/law/statutes/statute.aspx?id=44007</w:t>
        </w:r>
      </w:hyperlink>
      <w:r>
        <w:rPr>
          <w:rFonts w:ascii="Times New Roman" w:eastAsia="Times New Roman" w:hAnsi="Times New Roman"/>
          <w:sz w:val="24"/>
          <w:szCs w:val="24"/>
        </w:rPr>
        <w:t xml:space="preserve"> </w:t>
      </w:r>
    </w:p>
    <w:p w14:paraId="5D3DF437" w14:textId="77777777" w:rsidR="003F788B" w:rsidRDefault="003F788B" w:rsidP="003F788B">
      <w:pPr>
        <w:pStyle w:val="NormalWeb"/>
        <w:rPr>
          <w:b/>
          <w:bCs/>
        </w:rPr>
      </w:pPr>
      <w:r>
        <w:rPr>
          <w:b/>
          <w:bCs/>
        </w:rPr>
        <w:t xml:space="preserve">Legal Lesson Learned: Numerous states have enacted similar laws, to encourage drug users and their friends to call 911. </w:t>
      </w:r>
    </w:p>
    <w:p w14:paraId="2CCED7C5" w14:textId="77777777" w:rsidR="003F788B" w:rsidRDefault="003F788B" w:rsidP="003F788B">
      <w:pPr>
        <w:pStyle w:val="NormalWeb"/>
        <w:ind w:left="720"/>
      </w:pPr>
      <w:r>
        <w:t xml:space="preserve">Note: See Ohio Good Samaritan law, Ohio Rev. Code 2925.11, </w:t>
      </w:r>
      <w:hyperlink r:id="rId200" w:history="1">
        <w:r>
          <w:rPr>
            <w:rStyle w:val="Hyperlink"/>
          </w:rPr>
          <w:t>https://codes.ohio.gov/ohio-revised-code/section-2925.11</w:t>
        </w:r>
      </w:hyperlink>
    </w:p>
    <w:p w14:paraId="163868BA" w14:textId="77777777" w:rsidR="003F788B" w:rsidRDefault="003F788B" w:rsidP="003F788B">
      <w:pPr>
        <w:pStyle w:val="NormalWeb"/>
        <w:ind w:left="720"/>
      </w:pPr>
      <w:r>
        <w:t>“(viii): ‘Qualified individual’ means a person who is not on community control or post-release control and is a person acting in good faith who seeks or obtains medical assistance for another person who is experiencing a drug overdose, a person who experiences a drug overdose and who seeks medical assistance for that overdose, or a person who is the subject of another person seeking or obtaining medical assistance for that overdose as described in division (B)(2)(b) of this section.</w:t>
      </w:r>
    </w:p>
    <w:p w14:paraId="0D1657FA" w14:textId="77777777" w:rsidR="003F788B" w:rsidRDefault="003F788B" w:rsidP="003F788B">
      <w:pPr>
        <w:pStyle w:val="NormalWeb"/>
        <w:ind w:left="720"/>
      </w:pPr>
      <w:r>
        <w:t>***</w:t>
      </w:r>
    </w:p>
    <w:p w14:paraId="2D39D256" w14:textId="77777777" w:rsidR="003F788B" w:rsidRDefault="003F788B" w:rsidP="003F788B">
      <w:pPr>
        <w:pStyle w:val="NormalWeb"/>
        <w:ind w:left="720"/>
      </w:pPr>
      <w:r>
        <w:t xml:space="preserve">Subject to division (B)(2)(f) of this section, a qualified individual shall not be arrested, charged, prosecuted, convicted, or penalized pursuant to this chapter for a minor drug possession offense if </w:t>
      </w:r>
      <w:proofErr w:type="gramStart"/>
      <w:r>
        <w:t>all of</w:t>
      </w:r>
      <w:proofErr w:type="gramEnd"/>
      <w:r>
        <w:t xml:space="preserve"> the following apply:</w:t>
      </w:r>
    </w:p>
    <w:p w14:paraId="1E46EFC8" w14:textId="77777777" w:rsidR="003F788B" w:rsidRDefault="003F788B" w:rsidP="003F788B">
      <w:pPr>
        <w:pStyle w:val="NormalWeb"/>
        <w:ind w:left="720"/>
      </w:pPr>
      <w:r>
        <w:t>(</w:t>
      </w:r>
      <w:proofErr w:type="spellStart"/>
      <w:r>
        <w:t>i</w:t>
      </w:r>
      <w:proofErr w:type="spellEnd"/>
      <w:r>
        <w:t xml:space="preserve">) The evidence of the obtaining, possession, or use of the controlled substance or controlled substance analog that would be the basis of the offense was obtained </w:t>
      </w:r>
      <w:proofErr w:type="gramStart"/>
      <w:r>
        <w:t>as a result of</w:t>
      </w:r>
      <w:proofErr w:type="gramEnd"/>
      <w:r>
        <w:t xml:space="preserve"> the qualified individual seeking </w:t>
      </w:r>
      <w:proofErr w:type="gramStart"/>
      <w:r>
        <w:t>the medical</w:t>
      </w:r>
      <w:proofErr w:type="gramEnd"/>
      <w:r>
        <w:t xml:space="preserve"> assistance or experiencing an overdose and needing medical assistance.</w:t>
      </w:r>
    </w:p>
    <w:p w14:paraId="22698A86" w14:textId="77777777" w:rsidR="003F788B" w:rsidRDefault="003F788B" w:rsidP="003F788B">
      <w:pPr>
        <w:pStyle w:val="NormalWeb"/>
        <w:ind w:left="720"/>
      </w:pPr>
      <w:r>
        <w:t xml:space="preserve">(ii) Subject to division (B)(2)(g) of this section, within thirty days after seeking or obtaining </w:t>
      </w:r>
      <w:proofErr w:type="gramStart"/>
      <w:r>
        <w:t>the medical</w:t>
      </w:r>
      <w:proofErr w:type="gramEnd"/>
      <w:r>
        <w:t xml:space="preserve"> assistance, the qualified individual seeks and obtains a screening and receives a referral for treatment from a community addiction services provider or a properly credentialed addiction treatment professional.</w:t>
      </w:r>
    </w:p>
    <w:p w14:paraId="45F3F95E" w14:textId="77777777" w:rsidR="003F788B" w:rsidRDefault="003F788B" w:rsidP="003F788B">
      <w:pPr>
        <w:pStyle w:val="NormalWeb"/>
        <w:ind w:left="720"/>
      </w:pPr>
      <w:r>
        <w:t>(iii) Subject to division (B)(2)(g) of this section, the qualified individual who obtains a screening and receives a referral for treatment under division (B)(2)(b)(ii) of this section, upon the request of any prosecuting attorney, submits documentation to the prosecuting attorney that verifies that the qualified individual satisfied the requirements of that division. The documentation shall be limited to the date and time of the screening obtained and referral received.”</w:t>
      </w:r>
    </w:p>
    <w:p w14:paraId="49BEECCB" w14:textId="77777777" w:rsidR="003F788B" w:rsidRDefault="003F788B" w:rsidP="00F326E5">
      <w:pPr>
        <w:pStyle w:val="NoSpacing"/>
        <w:rPr>
          <w:rFonts w:ascii="Arial Black" w:hAnsi="Arial Black"/>
          <w:sz w:val="24"/>
          <w:szCs w:val="24"/>
        </w:rPr>
      </w:pPr>
    </w:p>
    <w:p w14:paraId="504DBD8F" w14:textId="77777777" w:rsidR="003F788B" w:rsidRDefault="003F788B" w:rsidP="00F326E5">
      <w:pPr>
        <w:pStyle w:val="NoSpacing"/>
        <w:rPr>
          <w:rFonts w:ascii="Arial Black" w:hAnsi="Arial Black"/>
          <w:sz w:val="24"/>
          <w:szCs w:val="24"/>
        </w:rPr>
      </w:pPr>
    </w:p>
    <w:p w14:paraId="044AA993" w14:textId="77777777" w:rsidR="003F788B" w:rsidRDefault="003F788B" w:rsidP="00F326E5">
      <w:pPr>
        <w:pStyle w:val="NoSpacing"/>
        <w:rPr>
          <w:rFonts w:ascii="Arial Black" w:hAnsi="Arial Black"/>
          <w:sz w:val="24"/>
          <w:szCs w:val="24"/>
        </w:rPr>
      </w:pPr>
    </w:p>
    <w:p w14:paraId="5707DBC6" w14:textId="516E01DF" w:rsidR="00AB637D" w:rsidRDefault="00AB637D" w:rsidP="00F326E5">
      <w:pPr>
        <w:pStyle w:val="NoSpacing"/>
        <w:rPr>
          <w:rFonts w:ascii="Arial Black" w:hAnsi="Arial Black"/>
          <w:sz w:val="24"/>
          <w:szCs w:val="24"/>
        </w:rPr>
      </w:pPr>
      <w:r>
        <w:rPr>
          <w:rFonts w:ascii="Arial Black" w:hAnsi="Arial Black"/>
          <w:sz w:val="24"/>
          <w:szCs w:val="24"/>
        </w:rPr>
        <w:lastRenderedPageBreak/>
        <w:t>1-117</w:t>
      </w:r>
    </w:p>
    <w:p w14:paraId="6F0883FE" w14:textId="34BC8D8D" w:rsidR="00AB637D" w:rsidRDefault="00AB637D" w:rsidP="00F326E5">
      <w:pPr>
        <w:pStyle w:val="NoSpacing"/>
        <w:rPr>
          <w:rFonts w:ascii="Arial Black" w:hAnsi="Arial Black"/>
          <w:sz w:val="24"/>
          <w:szCs w:val="24"/>
        </w:rPr>
      </w:pPr>
    </w:p>
    <w:p w14:paraId="5076DF5D" w14:textId="77777777" w:rsidR="00AB637D" w:rsidRPr="00D33471" w:rsidRDefault="00AB637D" w:rsidP="00AB637D">
      <w:pPr>
        <w:pStyle w:val="Heading2"/>
        <w:rPr>
          <w:rStyle w:val="markedcontent"/>
          <w:rFonts w:ascii="Times New Roman" w:hAnsi="Times New Roman"/>
          <w:b w:val="0"/>
          <w:bCs w:val="0"/>
          <w:i w:val="0"/>
          <w:iCs w:val="0"/>
          <w:sz w:val="24"/>
          <w:szCs w:val="24"/>
        </w:rPr>
      </w:pPr>
      <w:r w:rsidRPr="00D33471">
        <w:rPr>
          <w:rStyle w:val="markedcontent"/>
          <w:rFonts w:ascii="Arial Black" w:hAnsi="Arial Black"/>
          <w:i w:val="0"/>
          <w:iCs w:val="0"/>
        </w:rPr>
        <w:t xml:space="preserve">OH: TEACHERS CAN HAVE FIREARMS – WITH SCHOOL PERMISSION - 24 HRS TRAINING – REQUEST LIST </w:t>
      </w:r>
    </w:p>
    <w:p w14:paraId="3FE459D4" w14:textId="77777777" w:rsidR="00AB637D" w:rsidRDefault="00AB637D" w:rsidP="00AB637D">
      <w:pPr>
        <w:rPr>
          <w:rStyle w:val="markedcontent"/>
          <w:rFonts w:ascii="Times New Roman" w:hAnsi="Times New Roman"/>
          <w:sz w:val="24"/>
          <w:szCs w:val="24"/>
        </w:rPr>
      </w:pPr>
      <w:r w:rsidRPr="00FD23CA">
        <w:rPr>
          <w:rStyle w:val="markedcontent"/>
          <w:rFonts w:ascii="Times New Roman" w:hAnsi="Times New Roman"/>
          <w:sz w:val="24"/>
          <w:szCs w:val="24"/>
        </w:rPr>
        <w:t xml:space="preserve">Now that this new statute </w:t>
      </w:r>
      <w:r>
        <w:rPr>
          <w:rStyle w:val="markedcontent"/>
          <w:rFonts w:ascii="Times New Roman" w:hAnsi="Times New Roman"/>
          <w:sz w:val="24"/>
          <w:szCs w:val="24"/>
        </w:rPr>
        <w:t xml:space="preserve">became effective September 12. 2022, </w:t>
      </w:r>
      <w:r w:rsidRPr="00FD23CA">
        <w:rPr>
          <w:rStyle w:val="markedcontent"/>
          <w:rFonts w:ascii="Times New Roman" w:hAnsi="Times New Roman"/>
          <w:sz w:val="24"/>
          <w:szCs w:val="24"/>
        </w:rPr>
        <w:t xml:space="preserve">Ohio Fire &amp; EMS Departments, as well as police departments, should have a current </w:t>
      </w:r>
      <w:proofErr w:type="gramStart"/>
      <w:r w:rsidRPr="00FD23CA">
        <w:rPr>
          <w:rStyle w:val="markedcontent"/>
          <w:rFonts w:ascii="Times New Roman" w:hAnsi="Times New Roman"/>
          <w:sz w:val="24"/>
          <w:szCs w:val="24"/>
        </w:rPr>
        <w:t>list</w:t>
      </w:r>
      <w:proofErr w:type="gramEnd"/>
      <w:r w:rsidRPr="00FD23CA">
        <w:rPr>
          <w:rStyle w:val="markedcontent"/>
          <w:rFonts w:ascii="Times New Roman" w:hAnsi="Times New Roman"/>
          <w:sz w:val="24"/>
          <w:szCs w:val="24"/>
        </w:rPr>
        <w:t xml:space="preserve"> school employees who are authorized to carry firearms. </w:t>
      </w:r>
      <w:hyperlink r:id="rId201" w:history="1">
        <w:r w:rsidRPr="00FE41C2">
          <w:rPr>
            <w:rStyle w:val="Hyperlink"/>
            <w:rFonts w:ascii="Times New Roman" w:hAnsi="Times New Roman"/>
            <w:sz w:val="24"/>
            <w:szCs w:val="24"/>
          </w:rPr>
          <w:t>https://www.legislature.ohio.gov/legislation/134/hb99</w:t>
        </w:r>
      </w:hyperlink>
      <w:r>
        <w:rPr>
          <w:rStyle w:val="markedcontent"/>
          <w:rFonts w:ascii="Times New Roman" w:hAnsi="Times New Roman"/>
          <w:sz w:val="24"/>
          <w:szCs w:val="24"/>
        </w:rPr>
        <w:t xml:space="preserve"> </w:t>
      </w:r>
      <w:r w:rsidRPr="00FD23CA">
        <w:rPr>
          <w:rStyle w:val="markedcontent"/>
          <w:rFonts w:ascii="Times New Roman" w:hAnsi="Times New Roman"/>
          <w:sz w:val="24"/>
          <w:szCs w:val="24"/>
        </w:rPr>
        <w:t xml:space="preserve">  It would also be helpful to have their photographs and invite them to participate in Active Shooter drills.</w:t>
      </w:r>
      <w:r>
        <w:rPr>
          <w:rStyle w:val="markedcontent"/>
          <w:rFonts w:ascii="Times New Roman" w:hAnsi="Times New Roman"/>
          <w:sz w:val="24"/>
          <w:szCs w:val="24"/>
        </w:rPr>
        <w:t xml:space="preserve"> </w:t>
      </w:r>
      <w:r w:rsidRPr="007818B5">
        <w:rPr>
          <w:rFonts w:ascii="Times New Roman" w:hAnsi="Times New Roman"/>
          <w:sz w:val="24"/>
          <w:szCs w:val="24"/>
        </w:rPr>
        <w:t>On June 13, 2022, Governor Mike DeWine signed House Bill 99</w:t>
      </w:r>
      <w:r>
        <w:rPr>
          <w:rFonts w:ascii="Times New Roman" w:hAnsi="Times New Roman"/>
          <w:sz w:val="24"/>
          <w:szCs w:val="24"/>
        </w:rPr>
        <w:t xml:space="preserve">.  The statute requires 24 hours of training, overturning a decision of Ohio Supreme Court, which held that teachers must take same training as police officers – about 60 hours.  </w:t>
      </w:r>
      <w:r w:rsidRPr="007818B5">
        <w:rPr>
          <w:rStyle w:val="markedcontent"/>
          <w:rFonts w:ascii="Times New Roman" w:hAnsi="Times New Roman"/>
          <w:sz w:val="24"/>
          <w:szCs w:val="24"/>
        </w:rPr>
        <w:t>Gabbard et al. v. Madison Local School District Board of Education</w:t>
      </w:r>
      <w:r>
        <w:rPr>
          <w:rStyle w:val="markedcontent"/>
          <w:rFonts w:ascii="Times New Roman" w:hAnsi="Times New Roman"/>
          <w:sz w:val="24"/>
          <w:szCs w:val="24"/>
        </w:rPr>
        <w:t xml:space="preserve">. June 23, 2021; </w:t>
      </w:r>
      <w:hyperlink r:id="rId202" w:history="1">
        <w:r w:rsidRPr="006169C4">
          <w:rPr>
            <w:rStyle w:val="Hyperlink"/>
            <w:rFonts w:ascii="Times New Roman" w:hAnsi="Times New Roman"/>
            <w:sz w:val="24"/>
            <w:szCs w:val="24"/>
          </w:rPr>
          <w:t>https://www.supremecourt.ohio.gov/rod/docs/pdf/0/2021/2021-ohio-2067.pdf</w:t>
        </w:r>
      </w:hyperlink>
      <w:r>
        <w:rPr>
          <w:rStyle w:val="markedcontent"/>
          <w:rFonts w:ascii="Times New Roman" w:hAnsi="Times New Roman"/>
          <w:sz w:val="24"/>
          <w:szCs w:val="24"/>
        </w:rPr>
        <w:t xml:space="preserve"> </w:t>
      </w:r>
    </w:p>
    <w:p w14:paraId="365702D7" w14:textId="77777777" w:rsidR="00AB637D" w:rsidRPr="0095101F" w:rsidRDefault="00AB637D" w:rsidP="00AB637D">
      <w:pPr>
        <w:ind w:left="720"/>
        <w:rPr>
          <w:rStyle w:val="markedcontent"/>
          <w:rFonts w:ascii="Times New Roman" w:hAnsi="Times New Roman"/>
          <w:sz w:val="24"/>
          <w:szCs w:val="24"/>
        </w:rPr>
      </w:pPr>
      <w:r>
        <w:rPr>
          <w:rFonts w:ascii="Times New Roman" w:hAnsi="Times New Roman"/>
          <w:sz w:val="24"/>
          <w:szCs w:val="24"/>
        </w:rPr>
        <w:t>“</w:t>
      </w:r>
      <w:r w:rsidRPr="0095101F">
        <w:rPr>
          <w:rFonts w:ascii="Times New Roman" w:hAnsi="Times New Roman"/>
          <w:sz w:val="24"/>
          <w:szCs w:val="24"/>
        </w:rPr>
        <w:t>In April 2018, just over two years after a school shooting at Madison</w:t>
      </w:r>
      <w:r w:rsidRPr="0095101F">
        <w:rPr>
          <w:rFonts w:ascii="Times New Roman" w:hAnsi="Times New Roman"/>
          <w:sz w:val="24"/>
          <w:szCs w:val="24"/>
        </w:rPr>
        <w:br/>
        <w:t>Junior/Senior High School that resulted in injuries to four students, appellant</w:t>
      </w:r>
      <w:r w:rsidRPr="0095101F">
        <w:rPr>
          <w:rFonts w:ascii="Times New Roman" w:hAnsi="Times New Roman"/>
          <w:sz w:val="24"/>
          <w:szCs w:val="24"/>
        </w:rPr>
        <w:br/>
        <w:t>Madison Local School District Board of Education (</w:t>
      </w:r>
      <w:r>
        <w:rPr>
          <w:rFonts w:ascii="Times New Roman" w:hAnsi="Times New Roman"/>
          <w:sz w:val="24"/>
          <w:szCs w:val="24"/>
        </w:rPr>
        <w:t>‘</w:t>
      </w:r>
      <w:r w:rsidRPr="0095101F">
        <w:rPr>
          <w:rFonts w:ascii="Times New Roman" w:hAnsi="Times New Roman"/>
          <w:sz w:val="24"/>
          <w:szCs w:val="24"/>
        </w:rPr>
        <w:t>the board</w:t>
      </w:r>
      <w:r>
        <w:rPr>
          <w:rFonts w:ascii="Times New Roman" w:hAnsi="Times New Roman"/>
          <w:sz w:val="24"/>
          <w:szCs w:val="24"/>
        </w:rPr>
        <w:t>’</w:t>
      </w:r>
      <w:r w:rsidRPr="0095101F">
        <w:rPr>
          <w:rFonts w:ascii="Times New Roman" w:hAnsi="Times New Roman"/>
          <w:sz w:val="24"/>
          <w:szCs w:val="24"/>
        </w:rPr>
        <w:t>) passed a</w:t>
      </w:r>
      <w:r w:rsidRPr="0095101F">
        <w:rPr>
          <w:rFonts w:ascii="Times New Roman" w:hAnsi="Times New Roman"/>
          <w:sz w:val="24"/>
          <w:szCs w:val="24"/>
        </w:rPr>
        <w:br/>
        <w:t>resolution to authorize certain school-district employees to carry a deadly weapon</w:t>
      </w:r>
      <w:r w:rsidRPr="0095101F">
        <w:rPr>
          <w:rFonts w:ascii="Times New Roman" w:hAnsi="Times New Roman"/>
          <w:sz w:val="24"/>
          <w:szCs w:val="24"/>
        </w:rPr>
        <w:br/>
        <w:t xml:space="preserve">or dangerous ordnance on school property </w:t>
      </w:r>
      <w:r>
        <w:rPr>
          <w:rFonts w:ascii="Times New Roman" w:hAnsi="Times New Roman"/>
          <w:sz w:val="24"/>
          <w:szCs w:val="24"/>
        </w:rPr>
        <w:t>‘</w:t>
      </w:r>
      <w:r w:rsidRPr="0095101F">
        <w:rPr>
          <w:rFonts w:ascii="Times New Roman" w:hAnsi="Times New Roman"/>
          <w:sz w:val="24"/>
          <w:szCs w:val="24"/>
        </w:rPr>
        <w:t>for the welfare and safety of [its]</w:t>
      </w:r>
      <w:r w:rsidRPr="0095101F">
        <w:rPr>
          <w:rFonts w:ascii="Times New Roman" w:hAnsi="Times New Roman"/>
          <w:sz w:val="24"/>
          <w:szCs w:val="24"/>
        </w:rPr>
        <w:br/>
        <w:t>students.</w:t>
      </w:r>
      <w:r>
        <w:rPr>
          <w:rFonts w:ascii="Times New Roman" w:hAnsi="Times New Roman"/>
          <w:sz w:val="24"/>
          <w:szCs w:val="24"/>
        </w:rPr>
        <w:t>’</w:t>
      </w:r>
      <w:r w:rsidRPr="0095101F">
        <w:rPr>
          <w:rFonts w:ascii="Times New Roman" w:hAnsi="Times New Roman"/>
          <w:sz w:val="24"/>
          <w:szCs w:val="24"/>
        </w:rPr>
        <w:t xml:space="preserve"> This appeal asks us to determine whether that resolution complies with</w:t>
      </w:r>
      <w:r w:rsidRPr="0095101F">
        <w:rPr>
          <w:rFonts w:ascii="Times New Roman" w:hAnsi="Times New Roman"/>
          <w:sz w:val="24"/>
          <w:szCs w:val="24"/>
        </w:rPr>
        <w:br/>
        <w:t>Ohio law. We conclude that it does not.</w:t>
      </w:r>
    </w:p>
    <w:p w14:paraId="4314D05E" w14:textId="77777777" w:rsidR="00AB637D" w:rsidRDefault="00AB637D" w:rsidP="00AB637D">
      <w:pPr>
        <w:rPr>
          <w:rStyle w:val="markedcontent"/>
          <w:rFonts w:ascii="Times New Roman" w:hAnsi="Times New Roman"/>
          <w:sz w:val="24"/>
          <w:szCs w:val="24"/>
        </w:rPr>
      </w:pPr>
      <w:r w:rsidRPr="00720D0B">
        <w:rPr>
          <w:rFonts w:ascii="Times New Roman" w:hAnsi="Times New Roman"/>
          <w:sz w:val="24"/>
          <w:szCs w:val="24"/>
        </w:rPr>
        <w:t xml:space="preserve">House Bill 99 requires each school district or governing body to maintain a list of personnel who are trained and qualified to carry a firearm. However, the bill explicitly exempts this list from the definition of a public record. </w:t>
      </w:r>
      <w:hyperlink r:id="rId203" w:history="1">
        <w:r w:rsidRPr="00B71FA0">
          <w:rPr>
            <w:rStyle w:val="Hyperlink"/>
            <w:rFonts w:ascii="Times New Roman" w:hAnsi="Times New Roman"/>
            <w:sz w:val="24"/>
            <w:szCs w:val="24"/>
          </w:rPr>
          <w:t>https://www.legislature.ohio.gov/download?key=19460&amp;format=pdf</w:t>
        </w:r>
      </w:hyperlink>
      <w:r>
        <w:rPr>
          <w:rStyle w:val="markedcontent"/>
          <w:rFonts w:ascii="Times New Roman" w:hAnsi="Times New Roman"/>
          <w:sz w:val="24"/>
          <w:szCs w:val="24"/>
        </w:rPr>
        <w:t xml:space="preserve"> </w:t>
      </w:r>
    </w:p>
    <w:p w14:paraId="108A6CF5" w14:textId="77777777" w:rsidR="00AB637D" w:rsidRDefault="00AB637D" w:rsidP="00AB637D">
      <w:pPr>
        <w:rPr>
          <w:rFonts w:ascii="Times New Roman" w:hAnsi="Times New Roman"/>
          <w:b/>
          <w:bCs/>
          <w:sz w:val="24"/>
          <w:szCs w:val="24"/>
        </w:rPr>
      </w:pPr>
      <w:r w:rsidRPr="001362CF">
        <w:rPr>
          <w:rFonts w:ascii="Times New Roman" w:hAnsi="Times New Roman"/>
          <w:b/>
          <w:bCs/>
          <w:sz w:val="24"/>
          <w:szCs w:val="24"/>
        </w:rPr>
        <w:t xml:space="preserve">Legal Lesson Learned: </w:t>
      </w:r>
      <w:r>
        <w:rPr>
          <w:rFonts w:ascii="Times New Roman" w:hAnsi="Times New Roman"/>
          <w:b/>
          <w:bCs/>
          <w:sz w:val="24"/>
          <w:szCs w:val="24"/>
        </w:rPr>
        <w:t xml:space="preserve"> Fire and Police Departments should have current list of </w:t>
      </w:r>
      <w:proofErr w:type="gramStart"/>
      <w:r>
        <w:rPr>
          <w:rFonts w:ascii="Times New Roman" w:hAnsi="Times New Roman"/>
          <w:b/>
          <w:bCs/>
          <w:sz w:val="24"/>
          <w:szCs w:val="24"/>
        </w:rPr>
        <w:t>these armed</w:t>
      </w:r>
      <w:proofErr w:type="gramEnd"/>
      <w:r>
        <w:rPr>
          <w:rFonts w:ascii="Times New Roman" w:hAnsi="Times New Roman"/>
          <w:b/>
          <w:bCs/>
          <w:sz w:val="24"/>
          <w:szCs w:val="24"/>
        </w:rPr>
        <w:t xml:space="preserve"> personnel. </w:t>
      </w:r>
    </w:p>
    <w:p w14:paraId="2982BF6F" w14:textId="77777777" w:rsidR="00AB637D" w:rsidRPr="001362CF" w:rsidRDefault="00AB637D" w:rsidP="00AB637D">
      <w:pPr>
        <w:rPr>
          <w:rFonts w:ascii="Times New Roman" w:hAnsi="Times New Roman"/>
          <w:sz w:val="24"/>
          <w:szCs w:val="24"/>
        </w:rPr>
      </w:pPr>
      <w:r>
        <w:rPr>
          <w:rFonts w:ascii="Times New Roman" w:hAnsi="Times New Roman"/>
          <w:b/>
          <w:bCs/>
          <w:sz w:val="24"/>
          <w:szCs w:val="24"/>
        </w:rPr>
        <w:tab/>
      </w:r>
      <w:r w:rsidRPr="001362CF">
        <w:rPr>
          <w:rFonts w:ascii="Times New Roman" w:hAnsi="Times New Roman"/>
          <w:sz w:val="24"/>
          <w:szCs w:val="24"/>
        </w:rPr>
        <w:t xml:space="preserve">Note: </w:t>
      </w:r>
      <w:r>
        <w:rPr>
          <w:rFonts w:ascii="Times New Roman" w:hAnsi="Times New Roman"/>
          <w:sz w:val="24"/>
          <w:szCs w:val="24"/>
        </w:rPr>
        <w:t xml:space="preserve">See newspaper comments on the law.  </w:t>
      </w:r>
    </w:p>
    <w:p w14:paraId="17F6C34B" w14:textId="77777777" w:rsidR="00AB637D" w:rsidRPr="001362CF" w:rsidRDefault="00AB637D" w:rsidP="00AB637D">
      <w:pPr>
        <w:ind w:left="720"/>
        <w:rPr>
          <w:rFonts w:ascii="Times New Roman" w:hAnsi="Times New Roman"/>
          <w:sz w:val="24"/>
          <w:szCs w:val="24"/>
        </w:rPr>
      </w:pPr>
      <w:r>
        <w:rPr>
          <w:rFonts w:ascii="Times New Roman" w:hAnsi="Times New Roman"/>
          <w:sz w:val="24"/>
          <w:szCs w:val="24"/>
        </w:rPr>
        <w:t xml:space="preserve"> </w:t>
      </w:r>
      <w:r w:rsidRPr="001362CF">
        <w:rPr>
          <w:rFonts w:ascii="Times New Roman" w:hAnsi="Times New Roman"/>
          <w:sz w:val="24"/>
          <w:szCs w:val="24"/>
        </w:rPr>
        <w:t xml:space="preserve">“Ohio Gov. Mike DeWine </w:t>
      </w:r>
      <w:hyperlink r:id="rId204" w:history="1">
        <w:r w:rsidRPr="001362CF">
          <w:rPr>
            <w:rStyle w:val="Hyperlink"/>
            <w:rFonts w:ascii="Times New Roman" w:hAnsi="Times New Roman"/>
            <w:sz w:val="24"/>
            <w:szCs w:val="24"/>
          </w:rPr>
          <w:t>signed a bill</w:t>
        </w:r>
      </w:hyperlink>
      <w:r w:rsidRPr="001362CF">
        <w:rPr>
          <w:rFonts w:ascii="Times New Roman" w:hAnsi="Times New Roman"/>
          <w:sz w:val="24"/>
          <w:szCs w:val="24"/>
        </w:rPr>
        <w:t xml:space="preserve"> on Monday allowing teachers to carry guns in class after 24 hours of training, over opposition from teachers and a police group. Backers say the policy will make schools safer, but critics say that's not the case, citing experts' analysis. The new law dramatically reduces the amount of training a teacher must undergo before they can carry a gun in a school safety zone. Instead of more than 700 hours of training that's currently required, school staff who want to be armed would get training that "shall not exceed" 24 hours, </w:t>
      </w:r>
      <w:hyperlink r:id="rId205" w:history="1">
        <w:r w:rsidRPr="001362CF">
          <w:rPr>
            <w:rStyle w:val="Hyperlink"/>
            <w:rFonts w:ascii="Times New Roman" w:hAnsi="Times New Roman"/>
            <w:sz w:val="24"/>
            <w:szCs w:val="24"/>
          </w:rPr>
          <w:t>House Bill 99</w:t>
        </w:r>
      </w:hyperlink>
      <w:r w:rsidRPr="001362CF">
        <w:rPr>
          <w:rFonts w:ascii="Times New Roman" w:hAnsi="Times New Roman"/>
          <w:sz w:val="24"/>
          <w:szCs w:val="24"/>
        </w:rPr>
        <w:t xml:space="preserve"> states.”*** "No school has to do this. </w:t>
      </w:r>
      <w:proofErr w:type="gramStart"/>
      <w:r w:rsidRPr="001362CF">
        <w:rPr>
          <w:rFonts w:ascii="Times New Roman" w:hAnsi="Times New Roman"/>
          <w:sz w:val="24"/>
          <w:szCs w:val="24"/>
        </w:rPr>
        <w:t>This</w:t>
      </w:r>
      <w:proofErr w:type="gramEnd"/>
      <w:r w:rsidRPr="001362CF">
        <w:rPr>
          <w:rFonts w:ascii="Times New Roman" w:hAnsi="Times New Roman"/>
          <w:sz w:val="24"/>
          <w:szCs w:val="24"/>
        </w:rPr>
        <w:t xml:space="preserve"> is up to a local school board," DeWine said, adding that some schools might have security officers or other plans to deter or counter an active shooter scenario. "The best thing is to have a police officer in the schools," he said. "They can be plain clothes, but some schools may not be able to do that."  </w:t>
      </w:r>
      <w:hyperlink r:id="rId206" w:history="1">
        <w:r w:rsidRPr="001362CF">
          <w:rPr>
            <w:rStyle w:val="Hyperlink"/>
            <w:rFonts w:ascii="Times New Roman" w:hAnsi="Times New Roman"/>
            <w:sz w:val="24"/>
            <w:szCs w:val="24"/>
          </w:rPr>
          <w:t>https://www.npr.org/2022/06/13/1104570419/ohio-dewine-guns-teachers</w:t>
        </w:r>
      </w:hyperlink>
      <w:r w:rsidRPr="001362CF">
        <w:rPr>
          <w:rFonts w:ascii="Times New Roman" w:hAnsi="Times New Roman"/>
          <w:sz w:val="24"/>
          <w:szCs w:val="24"/>
        </w:rPr>
        <w:t xml:space="preserve"> </w:t>
      </w:r>
    </w:p>
    <w:p w14:paraId="408F31D0" w14:textId="77777777" w:rsidR="00AB637D" w:rsidRDefault="00AB637D" w:rsidP="00F326E5">
      <w:pPr>
        <w:pStyle w:val="NoSpacing"/>
        <w:rPr>
          <w:rFonts w:ascii="Arial Black" w:hAnsi="Arial Black"/>
          <w:sz w:val="24"/>
          <w:szCs w:val="24"/>
        </w:rPr>
      </w:pPr>
    </w:p>
    <w:p w14:paraId="4FD5BF81" w14:textId="77777777" w:rsidR="00AB637D" w:rsidRDefault="00AB637D" w:rsidP="00F326E5">
      <w:pPr>
        <w:pStyle w:val="NoSpacing"/>
        <w:rPr>
          <w:rFonts w:ascii="Arial Black" w:hAnsi="Arial Black"/>
          <w:sz w:val="24"/>
          <w:szCs w:val="24"/>
        </w:rPr>
      </w:pPr>
    </w:p>
    <w:p w14:paraId="3DC5554E" w14:textId="6387124B" w:rsidR="007959C9" w:rsidRDefault="007959C9" w:rsidP="00F326E5">
      <w:pPr>
        <w:pStyle w:val="NoSpacing"/>
        <w:rPr>
          <w:rFonts w:ascii="Arial Black" w:hAnsi="Arial Black"/>
          <w:sz w:val="24"/>
          <w:szCs w:val="24"/>
        </w:rPr>
      </w:pPr>
      <w:r>
        <w:rPr>
          <w:rFonts w:ascii="Arial Black" w:hAnsi="Arial Black"/>
          <w:sz w:val="24"/>
          <w:szCs w:val="24"/>
        </w:rPr>
        <w:t>1-116</w:t>
      </w:r>
    </w:p>
    <w:p w14:paraId="2E9EF346" w14:textId="22E78BB0" w:rsidR="007959C9" w:rsidRDefault="007959C9" w:rsidP="00F326E5">
      <w:pPr>
        <w:pStyle w:val="NoSpacing"/>
        <w:rPr>
          <w:rFonts w:ascii="Arial Black" w:hAnsi="Arial Black"/>
          <w:sz w:val="24"/>
          <w:szCs w:val="24"/>
        </w:rPr>
      </w:pPr>
    </w:p>
    <w:p w14:paraId="3ECB468D" w14:textId="77777777" w:rsidR="007959C9" w:rsidRPr="004F0DF1" w:rsidRDefault="007959C9" w:rsidP="007959C9">
      <w:pPr>
        <w:pStyle w:val="NormalWeb"/>
        <w:rPr>
          <w:rFonts w:ascii="Arial Black" w:hAnsi="Arial Black"/>
          <w:b/>
          <w:bCs/>
          <w:sz w:val="28"/>
          <w:szCs w:val="28"/>
        </w:rPr>
      </w:pPr>
      <w:r>
        <w:rPr>
          <w:rFonts w:ascii="Arial Black" w:hAnsi="Arial Black"/>
          <w:b/>
          <w:bCs/>
          <w:sz w:val="28"/>
          <w:szCs w:val="28"/>
        </w:rPr>
        <w:lastRenderedPageBreak/>
        <w:t>SC: PUBLIC HOUSING – 2 DEAD - BAD FURNACE, NO CO DETECTORS – CITY CAN BE SUED - “SHOCK CONSCIOUS”</w:t>
      </w:r>
    </w:p>
    <w:p w14:paraId="175E5908" w14:textId="77777777" w:rsidR="007959C9" w:rsidRDefault="007959C9" w:rsidP="007959C9">
      <w:pPr>
        <w:pStyle w:val="NormalWeb"/>
      </w:pPr>
      <w:r w:rsidRPr="00493053">
        <w:t xml:space="preserve">On </w:t>
      </w:r>
      <w:r>
        <w:t xml:space="preserve">Jan. 19, 2023, in </w:t>
      </w:r>
      <w:r w:rsidRPr="00493053">
        <w:rPr>
          <w:u w:val="single"/>
        </w:rPr>
        <w:t>Daniel Washington, Personal Representative of the Estate of Calvin Witherspoon v. Housing Authority of the City of Columbia</w:t>
      </w:r>
      <w:r>
        <w:t>, the U.S. Court of Appeals for the Fourth Circuit (Richmond, VA) held (3 to 0) that that the U.S. District Court judge should not have dismissed this lawsuit.  “In sum, at this early stage, Plaintiff has alleged sufficient facts to establish that the Housing Authority's policies and customs were the moving force behind the constitutional injury.”   The gas furnace was installed in 1990, had never regularly inspected, tested, or maintained, and build-up of debris caused the furnace's carbon monoxide venting to stop functioning leading to two deaths and hospitalizations in 2019. Carbon dioxide detectors were required by law to be in each unit, but none were in any of the 244 units. The Court held: “</w:t>
      </w:r>
      <w:r>
        <w:rPr>
          <w:rStyle w:val="markedcontent"/>
          <w:rFonts w:eastAsiaTheme="majorEastAsia"/>
        </w:rPr>
        <w:t>Plaintiff has alleged enough facts at this early stage to establish that the Housing Authority recognized the risk of carbon monoxide poisoning and acted inappropriately in light of that risk.”</w:t>
      </w:r>
      <w:r>
        <w:t xml:space="preserve"> </w:t>
      </w:r>
      <w:hyperlink r:id="rId207" w:history="1">
        <w:r w:rsidRPr="006E56EF">
          <w:rPr>
            <w:rStyle w:val="Hyperlink"/>
          </w:rPr>
          <w:t>https://law.justia.com/cases/federal/appellate-courts/ca4/21-2059/21-2059-2023-01-19.html</w:t>
        </w:r>
      </w:hyperlink>
      <w:r>
        <w:t xml:space="preserve"> </w:t>
      </w:r>
    </w:p>
    <w:p w14:paraId="198A382A" w14:textId="77777777" w:rsidR="007959C9" w:rsidRDefault="007959C9" w:rsidP="007959C9">
      <w:pPr>
        <w:pStyle w:val="NormalWeb"/>
        <w:ind w:left="720"/>
      </w:pPr>
      <w:r>
        <w:t xml:space="preserve">“The police and fire chiefs determined that Witherspoon's death was entirely preventable had the Housing Authority performed regular maintenance. Yet they found that the Housing Authority had performed no preventative maintenance on appliances at the complex, maintenance reports were inadequate or incomplete, and tenants who lived at the apartments believed that "if they complained, things would not be fixed…. The Housing Authority only had a single inspector for all 2,600 of its housing units. And ultimately, an inspection of the apartments revealed 869 code violations, ranging from missing carbon monoxide detectors and faulty smoke detectors to exposed wires and expired fire extinguishers. The fire chief found that several stoves were leaking natural gas, presenting a ‘severe risk for the community and its occupants.’ </w:t>
      </w:r>
    </w:p>
    <w:p w14:paraId="669955D5" w14:textId="77777777" w:rsidR="007959C9" w:rsidRDefault="007959C9" w:rsidP="007959C9">
      <w:pPr>
        <w:pStyle w:val="NormalWeb"/>
        <w:ind w:left="720"/>
      </w:pPr>
      <w:r>
        <w:t>***</w:t>
      </w:r>
    </w:p>
    <w:p w14:paraId="237EBD86" w14:textId="77777777" w:rsidR="007959C9" w:rsidRDefault="007959C9" w:rsidP="007959C9">
      <w:pPr>
        <w:pStyle w:val="NormalWeb"/>
        <w:ind w:left="720"/>
      </w:pPr>
      <w:r>
        <w:t xml:space="preserve">Additionally, the Housing Authority adopted a specific policy in 2017 to ensure that missing carbon monoxide detectors, which it considered to be "life-threatening conditions," were installed in </w:t>
      </w:r>
      <w:r>
        <w:rPr>
          <w:rStyle w:val="Emphasis"/>
        </w:rPr>
        <w:t>some</w:t>
      </w:r>
      <w:r>
        <w:t xml:space="preserve"> (privately owned) properties…. But two years later</w:t>
      </w:r>
      <w:proofErr w:type="gramStart"/>
      <w:r>
        <w:t>-and</w:t>
      </w:r>
      <w:proofErr w:type="gramEnd"/>
      <w:r>
        <w:t xml:space="preserve"> with time to reflect that such "life-threatening conditions" from carbon monoxide threatened </w:t>
      </w:r>
      <w:proofErr w:type="gramStart"/>
      <w:r>
        <w:rPr>
          <w:rStyle w:val="Emphasis"/>
        </w:rPr>
        <w:t>all</w:t>
      </w:r>
      <w:r>
        <w:t xml:space="preserve"> of</w:t>
      </w:r>
      <w:proofErr w:type="gramEnd"/>
      <w:r>
        <w:t xml:space="preserve"> its properties</w:t>
      </w:r>
      <w:proofErr w:type="gramStart"/>
      <w:r>
        <w:t>-the</w:t>
      </w:r>
      <w:proofErr w:type="gramEnd"/>
      <w:r>
        <w:t xml:space="preserve"> Housing Authority had chosen not to apply the same policy to its </w:t>
      </w:r>
      <w:r>
        <w:rPr>
          <w:rStyle w:val="Emphasis"/>
        </w:rPr>
        <w:t>own</w:t>
      </w:r>
      <w:r>
        <w:t xml:space="preserve"> housing. Thus, the facts alleged show there was ample time to deliberate and reflect on those choices. Accordingly, deliberate indifference is the correct standard to apply here.</w:t>
      </w:r>
    </w:p>
    <w:p w14:paraId="50397BCB" w14:textId="77777777" w:rsidR="007959C9" w:rsidRDefault="007959C9" w:rsidP="007959C9">
      <w:pPr>
        <w:pStyle w:val="NormalWeb"/>
        <w:ind w:left="720"/>
      </w:pPr>
      <w:r>
        <w:t>***</w:t>
      </w:r>
    </w:p>
    <w:p w14:paraId="484F0AD7" w14:textId="77777777" w:rsidR="007959C9" w:rsidRDefault="007959C9" w:rsidP="007959C9">
      <w:pPr>
        <w:pStyle w:val="NormalWeb"/>
        <w:ind w:left="720"/>
      </w:pPr>
      <w:r>
        <w:t>To prove a violation of substantive-due-process rights under the Fourteenth Amendment, a plaintiff must show that a defendant's behavior was ‘so egregious, so outrageous, that it may fairly be said to shock the contemporary conscience.’</w:t>
      </w:r>
    </w:p>
    <w:p w14:paraId="1B5FA9C2" w14:textId="77777777" w:rsidR="007959C9" w:rsidRPr="005F7E68" w:rsidRDefault="007959C9" w:rsidP="007959C9">
      <w:pPr>
        <w:pStyle w:val="NormalWeb"/>
        <w:rPr>
          <w:b/>
          <w:bCs/>
        </w:rPr>
      </w:pPr>
      <w:r w:rsidRPr="005F7E68">
        <w:rPr>
          <w:b/>
          <w:bCs/>
        </w:rPr>
        <w:t xml:space="preserve">Legal Lesson Learned: </w:t>
      </w:r>
      <w:r>
        <w:rPr>
          <w:b/>
          <w:bCs/>
        </w:rPr>
        <w:t xml:space="preserve">The facts alleged do “shock the conscious” and </w:t>
      </w:r>
      <w:r w:rsidRPr="005F7E68">
        <w:rPr>
          <w:b/>
          <w:bCs/>
        </w:rPr>
        <w:t xml:space="preserve">the case will now proceed to pre-trial discovery.   </w:t>
      </w:r>
    </w:p>
    <w:p w14:paraId="40002E2D" w14:textId="77777777" w:rsidR="007959C9" w:rsidRDefault="007959C9" w:rsidP="007959C9">
      <w:pPr>
        <w:pStyle w:val="NormalWeb"/>
        <w:jc w:val="center"/>
        <w:rPr>
          <w:b/>
          <w:bCs/>
        </w:rPr>
      </w:pPr>
      <w:r>
        <w:rPr>
          <w:b/>
          <w:bCs/>
        </w:rPr>
        <w:t xml:space="preserve"> </w:t>
      </w:r>
    </w:p>
    <w:p w14:paraId="64893EC7" w14:textId="65A72606" w:rsidR="007959C9" w:rsidRDefault="007959C9" w:rsidP="00F326E5">
      <w:pPr>
        <w:pStyle w:val="NoSpacing"/>
        <w:rPr>
          <w:rFonts w:ascii="Arial Black" w:hAnsi="Arial Black"/>
          <w:sz w:val="24"/>
          <w:szCs w:val="24"/>
        </w:rPr>
      </w:pPr>
      <w:r>
        <w:rPr>
          <w:rFonts w:ascii="Arial Black" w:hAnsi="Arial Black"/>
          <w:sz w:val="24"/>
          <w:szCs w:val="24"/>
        </w:rPr>
        <w:t>1-115</w:t>
      </w:r>
    </w:p>
    <w:p w14:paraId="586AB0DC" w14:textId="100FCB5B" w:rsidR="007959C9" w:rsidRDefault="007959C9" w:rsidP="00F326E5">
      <w:pPr>
        <w:pStyle w:val="NoSpacing"/>
        <w:rPr>
          <w:rFonts w:ascii="Arial Black" w:hAnsi="Arial Black"/>
          <w:sz w:val="24"/>
          <w:szCs w:val="24"/>
        </w:rPr>
      </w:pPr>
    </w:p>
    <w:p w14:paraId="16F297FD" w14:textId="77777777" w:rsidR="007959C9" w:rsidRDefault="007959C9" w:rsidP="007959C9">
      <w:pPr>
        <w:pStyle w:val="NormalWeb"/>
        <w:rPr>
          <w:rFonts w:ascii="Arial Black" w:hAnsi="Arial Black"/>
          <w:sz w:val="28"/>
          <w:szCs w:val="28"/>
        </w:rPr>
      </w:pPr>
      <w:r>
        <w:rPr>
          <w:rFonts w:ascii="Arial Black" w:hAnsi="Arial Black"/>
          <w:sz w:val="28"/>
          <w:szCs w:val="28"/>
        </w:rPr>
        <w:lastRenderedPageBreak/>
        <w:t>SC: SPRINKLERS NOT REQUIRED IN ATTICS OF CONDOS – FIRE CHIEF &amp; BLDG OFFICIAL APPROVED – NO CASE</w:t>
      </w:r>
    </w:p>
    <w:p w14:paraId="73BD765C" w14:textId="77777777" w:rsidR="007959C9" w:rsidRPr="00382792" w:rsidRDefault="007959C9" w:rsidP="007959C9">
      <w:pPr>
        <w:pStyle w:val="NormalWeb"/>
      </w:pPr>
      <w:r>
        <w:t xml:space="preserve">On Jan. 11, 2023, in </w:t>
      </w:r>
      <w:r w:rsidRPr="001D61ED">
        <w:rPr>
          <w:u w:val="single"/>
        </w:rPr>
        <w:t>Palmetto Pointe at Peas Island Condominium Property Owners Association, Inc., et al. v. Island Pointe, LLC, et al</w:t>
      </w:r>
      <w:r>
        <w:t xml:space="preserve">., the Court of Appeals of South Carolina held (3 to 0; unpublished opinion) that jury’s verdict for in favor of WC Services, Inc. (WCS) is upheld.  The  subcontractor that was responsible for supplying and installing fire sprinkler systems in </w:t>
      </w:r>
      <w:proofErr w:type="gramStart"/>
      <w:r>
        <w:t>all of</w:t>
      </w:r>
      <w:proofErr w:type="gramEnd"/>
      <w:r>
        <w:t xml:space="preserve"> the units, per Fire Chief’s advice, was not required to install sprinklers in the attic.  The Court held: “</w:t>
      </w:r>
      <w:r>
        <w:rPr>
          <w:rStyle w:val="markedcontent"/>
          <w:rFonts w:eastAsiaTheme="majorEastAsia"/>
        </w:rPr>
        <w:t xml:space="preserve">Claims against several defendants went to the jury. This appeal concerns the POA's [Property Owners Association] claims against WC Services, Inc. (WCS). WCS is the subcontractor that was responsible for supplying and installing fire sprinkler systems in </w:t>
      </w:r>
      <w:proofErr w:type="gramStart"/>
      <w:r>
        <w:rPr>
          <w:rStyle w:val="markedcontent"/>
          <w:rFonts w:eastAsiaTheme="majorEastAsia"/>
        </w:rPr>
        <w:t>all of</w:t>
      </w:r>
      <w:proofErr w:type="gramEnd"/>
      <w:r>
        <w:rPr>
          <w:rStyle w:val="markedcontent"/>
          <w:rFonts w:eastAsiaTheme="majorEastAsia"/>
        </w:rPr>
        <w:t xml:space="preserve"> the units. The</w:t>
      </w:r>
      <w:r>
        <w:br/>
      </w:r>
      <w:r>
        <w:rPr>
          <w:rStyle w:val="markedcontent"/>
          <w:rFonts w:eastAsiaTheme="majorEastAsia"/>
        </w:rPr>
        <w:t xml:space="preserve">POA's claims against WCS are the only ones that resulted in a defense verdict. We </w:t>
      </w:r>
      <w:r>
        <w:br/>
      </w:r>
      <w:r>
        <w:rPr>
          <w:rStyle w:val="markedcontent"/>
          <w:rFonts w:eastAsiaTheme="majorEastAsia"/>
        </w:rPr>
        <w:t xml:space="preserve">affirm. ***   There is a reasonable </w:t>
      </w:r>
      <w:proofErr w:type="gramStart"/>
      <w:r>
        <w:rPr>
          <w:rStyle w:val="markedcontent"/>
          <w:rFonts w:eastAsiaTheme="majorEastAsia"/>
        </w:rPr>
        <w:t>inference</w:t>
      </w:r>
      <w:proofErr w:type="gramEnd"/>
      <w:r>
        <w:rPr>
          <w:rStyle w:val="markedcontent"/>
          <w:rFonts w:eastAsiaTheme="majorEastAsia"/>
        </w:rPr>
        <w:t xml:space="preserve"> the developer was instructed that it did not need to</w:t>
      </w:r>
      <w:r>
        <w:br/>
      </w:r>
      <w:r>
        <w:rPr>
          <w:rStyle w:val="markedcontent"/>
          <w:rFonts w:eastAsiaTheme="majorEastAsia"/>
        </w:rPr>
        <w:t>include sprinklers in the attics. A key piece of evidence is a memo—the "Hall</w:t>
      </w:r>
      <w:r>
        <w:br/>
      </w:r>
      <w:r>
        <w:rPr>
          <w:rStyle w:val="markedcontent"/>
          <w:rFonts w:eastAsiaTheme="majorEastAsia"/>
        </w:rPr>
        <w:t>Letter"—memorializing a meeting between the developer, the fire chief, and a local</w:t>
      </w:r>
      <w:r>
        <w:br/>
      </w:r>
      <w:r>
        <w:rPr>
          <w:rStyle w:val="markedcontent"/>
          <w:rFonts w:eastAsiaTheme="majorEastAsia"/>
        </w:rPr>
        <w:t>building official. The letter begins by referencing Folly Beach's local sprinkler</w:t>
      </w:r>
      <w:r>
        <w:br/>
      </w:r>
      <w:r>
        <w:rPr>
          <w:rStyle w:val="markedcontent"/>
          <w:rFonts w:eastAsiaTheme="majorEastAsia"/>
        </w:rPr>
        <w:t>system requirements, but after that, the letter explains the development's sprinkler</w:t>
      </w:r>
      <w:r>
        <w:br/>
      </w:r>
      <w:r>
        <w:rPr>
          <w:rStyle w:val="markedcontent"/>
          <w:rFonts w:eastAsiaTheme="majorEastAsia"/>
        </w:rPr>
        <w:t>systems must comply with a national standard. That standard does not require attic</w:t>
      </w:r>
      <w:r>
        <w:br/>
      </w:r>
      <w:r>
        <w:rPr>
          <w:rStyle w:val="markedcontent"/>
          <w:rFonts w:eastAsiaTheme="majorEastAsia"/>
        </w:rPr>
        <w:t xml:space="preserve">sprinklers in this situation.” </w:t>
      </w:r>
      <w:hyperlink r:id="rId208" w:history="1">
        <w:r w:rsidRPr="006E56EF">
          <w:rPr>
            <w:rStyle w:val="Hyperlink"/>
          </w:rPr>
          <w:t>https://www.sccourts.org/opinions//unpublishedopinions/HTMLFiles/COA/2023-UP-014.pdf</w:t>
        </w:r>
      </w:hyperlink>
      <w:r>
        <w:t xml:space="preserve"> </w:t>
      </w:r>
    </w:p>
    <w:p w14:paraId="4672A321" w14:textId="77777777" w:rsidR="007959C9" w:rsidRDefault="007959C9" w:rsidP="007959C9">
      <w:pPr>
        <w:pStyle w:val="NormalWeb"/>
        <w:ind w:left="720"/>
      </w:pPr>
      <w:r>
        <w:t xml:space="preserve">“Then, the letter references two </w:t>
      </w:r>
      <w:proofErr w:type="gramStart"/>
      <w:r>
        <w:t>particular provisions</w:t>
      </w:r>
      <w:proofErr w:type="gramEnd"/>
      <w:r>
        <w:t xml:space="preserve"> (and only those two provisions) of the local sprinkler ordinance. We agree with WCS that it is possible to read the </w:t>
      </w:r>
      <w:proofErr w:type="gramStart"/>
      <w:r>
        <w:t>letter as</w:t>
      </w:r>
      <w:proofErr w:type="gramEnd"/>
      <w:r>
        <w:t xml:space="preserve"> informing the developer that the national standard applies and (by implication) that attic sprinklers are not required.</w:t>
      </w:r>
    </w:p>
    <w:p w14:paraId="36E8FEA2" w14:textId="77777777" w:rsidR="007959C9" w:rsidRDefault="007959C9" w:rsidP="007959C9">
      <w:pPr>
        <w:pStyle w:val="NormalWeb"/>
        <w:ind w:left="720"/>
      </w:pPr>
      <w:r>
        <w:t>***</w:t>
      </w:r>
    </w:p>
    <w:p w14:paraId="237D57EF" w14:textId="77777777" w:rsidR="007959C9" w:rsidRDefault="007959C9" w:rsidP="007959C9">
      <w:pPr>
        <w:pStyle w:val="NormalWeb"/>
        <w:ind w:left="720"/>
      </w:pPr>
      <w:r>
        <w:t>WCS's expert testified that changes to design plans regularly occur in the field and that a building official always ensures that the installed system conforms to the plans before approving the system. This expert said building officials must have permitted changes to the original design because the project successfully received the national standard certificate of material and testing, which is completed by the sprinkler subcontractor and either a representative of the owner or the building official after physically inspecting and pressure testing the installed system. We hold that a jury could reasonably infer that the final plans for the project differed from the plans that were placed into evidence at trial.”</w:t>
      </w:r>
    </w:p>
    <w:p w14:paraId="1AA31F74" w14:textId="77777777" w:rsidR="007959C9" w:rsidRPr="00CB1526" w:rsidRDefault="007959C9" w:rsidP="007959C9">
      <w:pPr>
        <w:pStyle w:val="NormalWeb"/>
        <w:rPr>
          <w:b/>
          <w:bCs/>
        </w:rPr>
      </w:pPr>
      <w:r w:rsidRPr="00CB1526">
        <w:rPr>
          <w:b/>
          <w:bCs/>
        </w:rPr>
        <w:t xml:space="preserve">Legal Lesson Learned: </w:t>
      </w:r>
      <w:r>
        <w:rPr>
          <w:b/>
          <w:bCs/>
        </w:rPr>
        <w:t xml:space="preserve">Code does not require sprinklers in attics. </w:t>
      </w:r>
    </w:p>
    <w:p w14:paraId="48F916F5" w14:textId="77777777" w:rsidR="007959C9" w:rsidRDefault="007959C9" w:rsidP="00F326E5">
      <w:pPr>
        <w:pStyle w:val="NoSpacing"/>
        <w:rPr>
          <w:rFonts w:ascii="Arial Black" w:hAnsi="Arial Black"/>
          <w:sz w:val="24"/>
          <w:szCs w:val="24"/>
        </w:rPr>
      </w:pPr>
    </w:p>
    <w:p w14:paraId="0B60A5C5" w14:textId="15C425C6" w:rsidR="007959C9" w:rsidRDefault="007959C9" w:rsidP="00F326E5">
      <w:pPr>
        <w:pStyle w:val="NoSpacing"/>
        <w:rPr>
          <w:rFonts w:ascii="Arial Black" w:hAnsi="Arial Black"/>
          <w:sz w:val="24"/>
          <w:szCs w:val="24"/>
        </w:rPr>
      </w:pPr>
    </w:p>
    <w:p w14:paraId="20E9E10B" w14:textId="62420A41" w:rsidR="007959C9" w:rsidRDefault="007959C9" w:rsidP="00F326E5">
      <w:pPr>
        <w:pStyle w:val="NoSpacing"/>
        <w:rPr>
          <w:rFonts w:ascii="Arial Black" w:hAnsi="Arial Black"/>
          <w:sz w:val="24"/>
          <w:szCs w:val="24"/>
        </w:rPr>
      </w:pPr>
      <w:r>
        <w:rPr>
          <w:rFonts w:ascii="Arial Black" w:hAnsi="Arial Black"/>
          <w:sz w:val="24"/>
          <w:szCs w:val="24"/>
        </w:rPr>
        <w:t>1-114</w:t>
      </w:r>
    </w:p>
    <w:p w14:paraId="33CE1C24" w14:textId="4A03A9AE" w:rsidR="007959C9" w:rsidRDefault="007959C9" w:rsidP="00F326E5">
      <w:pPr>
        <w:pStyle w:val="NoSpacing"/>
        <w:rPr>
          <w:rFonts w:ascii="Arial Black" w:hAnsi="Arial Black"/>
          <w:sz w:val="24"/>
          <w:szCs w:val="24"/>
        </w:rPr>
      </w:pPr>
    </w:p>
    <w:p w14:paraId="26A99289" w14:textId="77777777" w:rsidR="007959C9" w:rsidRPr="0091639C" w:rsidRDefault="007959C9" w:rsidP="007959C9">
      <w:pPr>
        <w:pStyle w:val="NormalWeb"/>
        <w:rPr>
          <w:rFonts w:ascii="Arial Black" w:hAnsi="Arial Black"/>
          <w:sz w:val="28"/>
          <w:szCs w:val="28"/>
        </w:rPr>
      </w:pPr>
      <w:r>
        <w:rPr>
          <w:rFonts w:ascii="Arial Black" w:hAnsi="Arial Black"/>
          <w:sz w:val="28"/>
          <w:szCs w:val="28"/>
        </w:rPr>
        <w:t xml:space="preserve">NY: ARSONIST – DENIED “COMPASSIONATE RELEASE” - 1994 LODD FDNY LT. – MUST REMAIN PRISON ALL 43 YRS </w:t>
      </w:r>
    </w:p>
    <w:p w14:paraId="52675594" w14:textId="77777777" w:rsidR="007959C9" w:rsidRDefault="007959C9" w:rsidP="007959C9">
      <w:pPr>
        <w:pStyle w:val="NormalWeb"/>
      </w:pPr>
      <w:r>
        <w:t xml:space="preserve">On Jan. 5, 2023, in </w:t>
      </w:r>
      <w:r w:rsidRPr="0073742E">
        <w:rPr>
          <w:u w:val="single"/>
        </w:rPr>
        <w:t>United States of America v. Alberto Raposo</w:t>
      </w:r>
      <w:r>
        <w:t xml:space="preserve">, U.S. District Court Judge John P. Cronan, U.S. District Court for Southern District of New York, denied the prisoner’s motion for compassionate release.  The defendant started eight (8) fires on June 5, </w:t>
      </w:r>
      <w:proofErr w:type="gramStart"/>
      <w:r>
        <w:t>1994</w:t>
      </w:r>
      <w:proofErr w:type="gramEnd"/>
      <w:r>
        <w:t xml:space="preserve"> in a building in Manhattan, after a dispute with the two men he lived with on the fifth floor.  FDNY responded and unfortunately Lt. Gorge Lener died in subcellar.  The Federal judge reviewed his terrible misconduct and denied him early release from prison.  The judge held: “In </w:t>
      </w:r>
      <w:r>
        <w:lastRenderedPageBreak/>
        <w:t xml:space="preserve">sum, granting early release in this case would fail to reflect the seriousness of Raposo's crime of setting a fire that caused the death of Lieutenant Lener, would not justly punish that offense, would fail to promote respect for the law, and would not achieve adequate deterrence for such conduct. Thus, the applicable section 3553(a) factors compel the conclusion that no reduction of the imposed sentence is warranted.”  </w:t>
      </w:r>
      <w:hyperlink r:id="rId209" w:history="1">
        <w:r w:rsidRPr="003E040E">
          <w:rPr>
            <w:rStyle w:val="Hyperlink"/>
          </w:rPr>
          <w:t>https://casetext.com/case/united-states-v-raposo-6</w:t>
        </w:r>
      </w:hyperlink>
      <w:r>
        <w:t xml:space="preserve"> </w:t>
      </w:r>
    </w:p>
    <w:p w14:paraId="614AF75D" w14:textId="77777777" w:rsidR="007959C9" w:rsidRDefault="007959C9" w:rsidP="007959C9">
      <w:pPr>
        <w:pStyle w:val="NormalWeb"/>
        <w:ind w:left="720"/>
      </w:pPr>
      <w:r>
        <w:t xml:space="preserve">“On the evening of June 5, after a dispute with Ruiz, Raposo set eight fires throughout various floors and the subcellar of 79-81 Worth Street….  Raposo waited until Ruiz and Delvalle were inside the building on the fifth floor before setting the fires…. Raposo set the first fire in the subcellar, proceeded to the fourth floor where he gathered his belongings and set more fires, and then set additional fires on the second floor, in the lobby, and outside the building…. Raposo also strategically poured oil on </w:t>
      </w:r>
      <w:proofErr w:type="gramStart"/>
      <w:r>
        <w:t>egresses</w:t>
      </w:r>
      <w:proofErr w:type="gramEnd"/>
      <w:r>
        <w:t xml:space="preserve"> including a stairwell leading to </w:t>
      </w:r>
      <w:proofErr w:type="gramStart"/>
      <w:r>
        <w:t>a fire escape and the</w:t>
      </w:r>
      <w:proofErr w:type="gramEnd"/>
      <w:r>
        <w:t xml:space="preserve"> fire escapes themselves, locked the doors with a mortise lock to which he held the only key, and removed wires to disable the building's fire alarm. </w:t>
      </w:r>
    </w:p>
    <w:p w14:paraId="14009A82" w14:textId="77777777" w:rsidR="007959C9" w:rsidRDefault="007959C9" w:rsidP="007959C9">
      <w:pPr>
        <w:pStyle w:val="NormalWeb"/>
        <w:ind w:left="720"/>
        <w:rPr>
          <w:rStyle w:val="Emphasis"/>
        </w:rPr>
      </w:pPr>
      <w:r>
        <w:t>***</w:t>
      </w:r>
    </w:p>
    <w:p w14:paraId="76341A08" w14:textId="77777777" w:rsidR="007959C9" w:rsidRDefault="007959C9" w:rsidP="007959C9">
      <w:pPr>
        <w:pStyle w:val="NormalWeb"/>
        <w:ind w:left="720"/>
      </w:pPr>
      <w:r>
        <w:t>[F]</w:t>
      </w:r>
      <w:proofErr w:type="spellStart"/>
      <w:r>
        <w:t>irefighters</w:t>
      </w:r>
      <w:proofErr w:type="spellEnd"/>
      <w:r>
        <w:t xml:space="preserve"> with FDNY Ladder Company #6, led by Lieutenant George Lener, fought the blaze in the subcellar of the building, navigating their way through water that had accumulated from the sprinkler system…. Lieutenant Lener remained alone in the subcellar after the tanks of the firefighters under his command ran dry…. Subsequently, other firefighters heard a distress call, and one eventually found Lieutenant Lener facedown and unconscious in a foot of water in the subcellar…. Lieutenant Lener was carried out by five firefighters and rushed to a hospital in an ambulance…. Tragically, Lieutenant Lener never regained consciousness, and, approximately forty-five days later, died of carbon monoxide poisoning endured in the subcellar.”</w:t>
      </w:r>
    </w:p>
    <w:p w14:paraId="47D79693" w14:textId="77777777" w:rsidR="007959C9" w:rsidRPr="00651625" w:rsidRDefault="007959C9" w:rsidP="007959C9">
      <w:pPr>
        <w:pStyle w:val="NormalWeb"/>
        <w:rPr>
          <w:rStyle w:val="Emphasis"/>
          <w:b/>
          <w:bCs/>
          <w:i w:val="0"/>
          <w:iCs w:val="0"/>
        </w:rPr>
      </w:pPr>
      <w:r w:rsidRPr="00651625">
        <w:rPr>
          <w:rStyle w:val="Emphasis"/>
          <w:b/>
          <w:bCs/>
          <w:i w:val="0"/>
          <w:iCs w:val="0"/>
        </w:rPr>
        <w:t xml:space="preserve">Legal Lesson Learned: An arsonist is legally responsible for injuries and deaths to others, including firefighters. </w:t>
      </w:r>
    </w:p>
    <w:p w14:paraId="34B84E02" w14:textId="77777777" w:rsidR="007959C9" w:rsidRPr="007959C9" w:rsidRDefault="007959C9" w:rsidP="007959C9">
      <w:pPr>
        <w:pStyle w:val="NormalWeb"/>
        <w:ind w:left="720"/>
        <w:rPr>
          <w:rStyle w:val="Emphasis"/>
          <w:i w:val="0"/>
          <w:iCs w:val="0"/>
        </w:rPr>
      </w:pPr>
      <w:r w:rsidRPr="007959C9">
        <w:rPr>
          <w:rStyle w:val="Emphasis"/>
          <w:i w:val="0"/>
          <w:iCs w:val="0"/>
        </w:rPr>
        <w:t xml:space="preserve">Note: He was first tried in state court – surprisingly a jury found him not guilty.  Fortunately, he was then charged with federal offense of committing arson of property used in interstate commerce and convicted. </w:t>
      </w:r>
    </w:p>
    <w:p w14:paraId="1D957CF1" w14:textId="77777777" w:rsidR="007959C9" w:rsidRDefault="007959C9" w:rsidP="007959C9">
      <w:pPr>
        <w:pStyle w:val="NormalWeb"/>
        <w:ind w:left="1440" w:firstLine="60"/>
      </w:pPr>
      <w:r>
        <w:t>“Raposo originally was charged in New York Supreme Court, New York County, with arson in the first degree, arson in the third degree, and murder in the second degree…. On July 1, 1996, a jury found Raposo not guilty of those state charges….  A federal investigation followed Raposo's state court acquittal, leading to his arrest on federal arson charges on March 5, 1998…. The Indictment, which was filed on March 4, 1998, charged Raposo with one count of committing arson of property used in interstate commerce, with death resulting, in violation of 18 U.S.C. § 844(</w:t>
      </w:r>
      <w:proofErr w:type="spellStart"/>
      <w:r>
        <w:t>i</w:t>
      </w:r>
      <w:proofErr w:type="spellEnd"/>
      <w:r>
        <w:t>)…. On February 9, 1999, Raposo was found guilty of that count by a jury…. The conviction carried a maximum term of imprisonment of life.”</w:t>
      </w:r>
    </w:p>
    <w:p w14:paraId="09914FA8" w14:textId="77777777" w:rsidR="007959C9" w:rsidRDefault="007959C9" w:rsidP="00F326E5">
      <w:pPr>
        <w:pStyle w:val="NoSpacing"/>
        <w:rPr>
          <w:rFonts w:ascii="Arial Black" w:hAnsi="Arial Black"/>
          <w:sz w:val="24"/>
          <w:szCs w:val="24"/>
        </w:rPr>
      </w:pPr>
    </w:p>
    <w:p w14:paraId="5D853915" w14:textId="77777777" w:rsidR="007959C9" w:rsidRDefault="007959C9" w:rsidP="00F326E5">
      <w:pPr>
        <w:pStyle w:val="NoSpacing"/>
        <w:rPr>
          <w:rFonts w:ascii="Arial Black" w:hAnsi="Arial Black"/>
          <w:sz w:val="24"/>
          <w:szCs w:val="24"/>
        </w:rPr>
      </w:pPr>
    </w:p>
    <w:p w14:paraId="20CA6202" w14:textId="77777777" w:rsidR="007959C9" w:rsidRDefault="007959C9" w:rsidP="00F326E5">
      <w:pPr>
        <w:pStyle w:val="NoSpacing"/>
        <w:rPr>
          <w:rFonts w:ascii="Arial Black" w:hAnsi="Arial Black"/>
          <w:sz w:val="24"/>
          <w:szCs w:val="24"/>
        </w:rPr>
      </w:pPr>
    </w:p>
    <w:p w14:paraId="4DD5B44A" w14:textId="5AEBBD4F" w:rsidR="006C79BE" w:rsidRDefault="006C79BE" w:rsidP="00F326E5">
      <w:pPr>
        <w:pStyle w:val="NoSpacing"/>
        <w:rPr>
          <w:rFonts w:ascii="Arial Black" w:hAnsi="Arial Black"/>
          <w:sz w:val="24"/>
          <w:szCs w:val="24"/>
        </w:rPr>
      </w:pPr>
      <w:r>
        <w:rPr>
          <w:rFonts w:ascii="Arial Black" w:hAnsi="Arial Black"/>
          <w:sz w:val="24"/>
          <w:szCs w:val="24"/>
        </w:rPr>
        <w:t>1-113</w:t>
      </w:r>
    </w:p>
    <w:p w14:paraId="0F4C4BAB" w14:textId="1DBEFAFF" w:rsidR="006C79BE" w:rsidRDefault="006C79BE" w:rsidP="00F326E5">
      <w:pPr>
        <w:pStyle w:val="NoSpacing"/>
        <w:rPr>
          <w:rFonts w:ascii="Arial Black" w:hAnsi="Arial Black"/>
          <w:sz w:val="24"/>
          <w:szCs w:val="24"/>
        </w:rPr>
      </w:pPr>
    </w:p>
    <w:p w14:paraId="6DC19452" w14:textId="77777777" w:rsidR="006C79BE" w:rsidRPr="00F91DD5" w:rsidRDefault="006C79BE" w:rsidP="006C79BE">
      <w:pPr>
        <w:pStyle w:val="NormalWeb"/>
        <w:rPr>
          <w:rFonts w:ascii="Arial Black" w:hAnsi="Arial Black"/>
          <w:sz w:val="28"/>
          <w:szCs w:val="28"/>
        </w:rPr>
      </w:pPr>
      <w:r>
        <w:rPr>
          <w:rFonts w:ascii="Arial Black" w:hAnsi="Arial Black"/>
          <w:sz w:val="28"/>
          <w:szCs w:val="28"/>
        </w:rPr>
        <w:t>NJ:  ARSON – PROSECUTOR FILES CONFIDENTIAL – CIVIL SUIT $4M LOSS BLDG - SECURITY FENCE ONLY 3 SIDES</w:t>
      </w:r>
    </w:p>
    <w:p w14:paraId="366407FF" w14:textId="77777777" w:rsidR="006C79BE" w:rsidRDefault="006C79BE" w:rsidP="006C79BE">
      <w:pPr>
        <w:rPr>
          <w:rFonts w:ascii="Times New Roman" w:hAnsi="Times New Roman"/>
          <w:sz w:val="24"/>
          <w:szCs w:val="24"/>
        </w:rPr>
      </w:pPr>
      <w:r w:rsidRPr="00EE4FE2">
        <w:rPr>
          <w:rFonts w:ascii="Times New Roman" w:hAnsi="Times New Roman"/>
          <w:sz w:val="24"/>
          <w:szCs w:val="24"/>
        </w:rPr>
        <w:lastRenderedPageBreak/>
        <w:t xml:space="preserve">On Dec. 7, 2022, in </w:t>
      </w:r>
      <w:r w:rsidRPr="00EE4FE2">
        <w:rPr>
          <w:rFonts w:ascii="Times New Roman" w:hAnsi="Times New Roman"/>
          <w:sz w:val="24"/>
          <w:szCs w:val="24"/>
          <w:u w:val="single"/>
        </w:rPr>
        <w:t>American Insurance Company, et al. v. Meridia Downtown Urban Renewal, et al. and Somerset County Prosecutor’s Office</w:t>
      </w:r>
      <w:r w:rsidRPr="00EE4FE2">
        <w:rPr>
          <w:rFonts w:ascii="Times New Roman" w:hAnsi="Times New Roman"/>
          <w:sz w:val="24"/>
          <w:szCs w:val="24"/>
        </w:rPr>
        <w:t xml:space="preserve">, the Superior Court of New Jersey, Appellate Division, held (3 to 0) that trial judge improperly ordered the Prosecutor’s Office to disclose documents prior to the trial of the indicted arsonist concerning the January 12, 2020 fire, including videos and witness statements.  The pending civil litigation by the insurance company concerning construction company’s failure to fence in the entire property does not outweigh the </w:t>
      </w:r>
      <w:proofErr w:type="gramStart"/>
      <w:r w:rsidRPr="00EE4FE2">
        <w:rPr>
          <w:rFonts w:ascii="Times New Roman" w:hAnsi="Times New Roman"/>
          <w:sz w:val="24"/>
          <w:szCs w:val="24"/>
        </w:rPr>
        <w:t>public interest</w:t>
      </w:r>
      <w:proofErr w:type="gramEnd"/>
      <w:r w:rsidRPr="00EE4FE2">
        <w:rPr>
          <w:rFonts w:ascii="Times New Roman" w:hAnsi="Times New Roman"/>
          <w:sz w:val="24"/>
          <w:szCs w:val="24"/>
        </w:rPr>
        <w:t xml:space="preserve"> protected by the strict confidentiality that attaches to the criminal investigative file of an ongoing criminal prosecution.</w:t>
      </w:r>
    </w:p>
    <w:p w14:paraId="3693A55E" w14:textId="45323073" w:rsidR="006C79BE" w:rsidRDefault="006C79BE" w:rsidP="006C79BE">
      <w:pPr>
        <w:ind w:left="720"/>
        <w:rPr>
          <w:rFonts w:ascii="Times New Roman" w:hAnsi="Times New Roman"/>
          <w:sz w:val="24"/>
          <w:szCs w:val="24"/>
        </w:rPr>
      </w:pPr>
      <w:r>
        <w:rPr>
          <w:rFonts w:ascii="Times New Roman" w:hAnsi="Times New Roman"/>
          <w:sz w:val="24"/>
          <w:szCs w:val="24"/>
        </w:rPr>
        <w:t xml:space="preserve"> “[W]</w:t>
      </w:r>
      <w:r w:rsidRPr="00EE4FE2">
        <w:rPr>
          <w:rFonts w:ascii="Times New Roman" w:hAnsi="Times New Roman"/>
          <w:sz w:val="24"/>
          <w:szCs w:val="24"/>
        </w:rPr>
        <w:t>e believe the judge mistakenly exercised his discretion by failing to judiciously and painstakingly balance the competing interests at stake. Compelling the production of the materials sought here risks compromising the vital public interest protected by the strict confidentiality that attaches to the criminal investigative file of an ongoing criminal prosecution.</w:t>
      </w:r>
      <w:r>
        <w:rPr>
          <w:rFonts w:ascii="Times New Roman" w:hAnsi="Times New Roman"/>
          <w:sz w:val="24"/>
          <w:szCs w:val="24"/>
        </w:rPr>
        <w:t xml:space="preserve">” </w:t>
      </w:r>
      <w:hyperlink r:id="rId210" w:history="1">
        <w:r w:rsidRPr="00622894">
          <w:rPr>
            <w:rStyle w:val="Hyperlink"/>
            <w:rFonts w:ascii="Times New Roman" w:hAnsi="Times New Roman"/>
            <w:sz w:val="24"/>
            <w:szCs w:val="24"/>
          </w:rPr>
          <w:t>https://law.justia.com/cases/new-jersey/appellate-division-published/2022/a-1868-21.html</w:t>
        </w:r>
      </w:hyperlink>
      <w:r>
        <w:rPr>
          <w:rFonts w:ascii="Times New Roman" w:hAnsi="Times New Roman"/>
          <w:sz w:val="24"/>
          <w:szCs w:val="24"/>
        </w:rPr>
        <w:t xml:space="preserve"> </w:t>
      </w:r>
    </w:p>
    <w:p w14:paraId="593BD7EC" w14:textId="77777777" w:rsidR="006C79BE" w:rsidRPr="00EE4FE2" w:rsidRDefault="006C79BE" w:rsidP="006C79BE">
      <w:pPr>
        <w:rPr>
          <w:rFonts w:ascii="Times New Roman" w:hAnsi="Times New Roman"/>
          <w:b/>
          <w:bCs/>
          <w:sz w:val="24"/>
          <w:szCs w:val="24"/>
        </w:rPr>
      </w:pPr>
      <w:r w:rsidRPr="00EE4FE2">
        <w:rPr>
          <w:rFonts w:ascii="Times New Roman" w:hAnsi="Times New Roman"/>
          <w:b/>
          <w:bCs/>
          <w:sz w:val="24"/>
          <w:szCs w:val="24"/>
        </w:rPr>
        <w:t>Legal Lesson Learned:</w:t>
      </w:r>
      <w:r>
        <w:rPr>
          <w:rFonts w:ascii="Times New Roman" w:hAnsi="Times New Roman"/>
          <w:b/>
          <w:bCs/>
          <w:sz w:val="24"/>
          <w:szCs w:val="24"/>
        </w:rPr>
        <w:t xml:space="preserve"> There is very strong public interest in protecting the confidentiality of Prosecutor’s evidence pending trial of the arsonist. </w:t>
      </w:r>
    </w:p>
    <w:p w14:paraId="67D74B3A" w14:textId="77777777" w:rsidR="006C79BE" w:rsidRDefault="006C79BE" w:rsidP="006C79BE">
      <w:pPr>
        <w:pStyle w:val="NormalWeb"/>
      </w:pPr>
    </w:p>
    <w:p w14:paraId="42AFCFBE" w14:textId="77777777" w:rsidR="006C79BE" w:rsidRDefault="006C79BE" w:rsidP="00F326E5">
      <w:pPr>
        <w:pStyle w:val="NoSpacing"/>
        <w:rPr>
          <w:rFonts w:ascii="Arial Black" w:hAnsi="Arial Black"/>
          <w:sz w:val="24"/>
          <w:szCs w:val="24"/>
        </w:rPr>
      </w:pPr>
    </w:p>
    <w:p w14:paraId="31C6D0BF" w14:textId="77777777" w:rsidR="006C79BE" w:rsidRDefault="006C79BE" w:rsidP="00F326E5">
      <w:pPr>
        <w:pStyle w:val="NoSpacing"/>
        <w:rPr>
          <w:rFonts w:ascii="Arial Black" w:hAnsi="Arial Black"/>
          <w:sz w:val="24"/>
          <w:szCs w:val="24"/>
        </w:rPr>
      </w:pPr>
    </w:p>
    <w:p w14:paraId="230981A3" w14:textId="1A72662F" w:rsidR="00E8117B" w:rsidRDefault="006C79BE" w:rsidP="00F326E5">
      <w:pPr>
        <w:pStyle w:val="NoSpacing"/>
        <w:rPr>
          <w:rFonts w:ascii="Arial Black" w:hAnsi="Arial Black"/>
          <w:sz w:val="24"/>
          <w:szCs w:val="24"/>
        </w:rPr>
      </w:pPr>
      <w:r>
        <w:rPr>
          <w:rFonts w:ascii="Arial Black" w:hAnsi="Arial Black"/>
          <w:sz w:val="24"/>
          <w:szCs w:val="24"/>
        </w:rPr>
        <w:t>1-112</w:t>
      </w:r>
    </w:p>
    <w:p w14:paraId="4B7E437B" w14:textId="77777777" w:rsidR="006C79BE" w:rsidRPr="008B3217" w:rsidRDefault="006C79BE" w:rsidP="006C79BE">
      <w:pPr>
        <w:pStyle w:val="NormalWeb"/>
        <w:rPr>
          <w:rFonts w:ascii="Arial Black" w:hAnsi="Arial Black"/>
          <w:sz w:val="28"/>
          <w:szCs w:val="28"/>
        </w:rPr>
      </w:pPr>
      <w:r>
        <w:rPr>
          <w:rFonts w:ascii="Arial Black" w:hAnsi="Arial Black"/>
          <w:sz w:val="28"/>
          <w:szCs w:val="28"/>
        </w:rPr>
        <w:t>NY: COVID VACCINATIONS – RELIGIOUS EXEMPTION - FDNY FF ORDERED REHIRED – “REASONABLE ACCOMMODATION”</w:t>
      </w:r>
    </w:p>
    <w:p w14:paraId="45EFB268" w14:textId="77777777" w:rsidR="006C79BE" w:rsidRDefault="006C79BE" w:rsidP="006C79BE">
      <w:pPr>
        <w:pStyle w:val="NormalWeb"/>
      </w:pPr>
      <w:r>
        <w:t xml:space="preserve">On Oct. 7, 2022, in </w:t>
      </w:r>
      <w:r w:rsidRPr="004304FB">
        <w:rPr>
          <w:u w:val="single"/>
        </w:rPr>
        <w:t>Timothy Rivicci v. New Yok City Fire Department and The City of New York</w:t>
      </w:r>
      <w:r>
        <w:t xml:space="preserve">, Judge Ralp J. Porzio, Supreme Court, Richmond County (unpublished decision), granted the firefighters petition for reinstatement to full duties at Engine 158, back pay, and attorney fees.  The judge noted in his very direct opinion, that FDNY has granted 20 requests for religious or medical </w:t>
      </w:r>
      <w:proofErr w:type="gramStart"/>
      <w:r>
        <w:t>accommodations</w:t>
      </w:r>
      <w:proofErr w:type="gramEnd"/>
      <w:r>
        <w:t xml:space="preserve">, and referenced the affidavits of Robert Banome and Stephen Fitzgerald, members of the FDNY who were granted reasonable accommodations of weekly testing and mask wearing. The FF has been on FDNY since 2016.  During COVIC-19 pandemic, Mayor Bill DeBtasio declared a state of emergency and required all NYC employees be vaccinated by Oct. 28, 2021.  The FF was placed on leave without pay on Nov. 1, </w:t>
      </w:r>
      <w:proofErr w:type="gramStart"/>
      <w:r>
        <w:t>2021</w:t>
      </w:r>
      <w:proofErr w:type="gramEnd"/>
      <w:r>
        <w:t xml:space="preserve"> for not showing proof of vaccination. On Nov. 5, </w:t>
      </w:r>
      <w:proofErr w:type="gramStart"/>
      <w:r>
        <w:t>2021</w:t>
      </w:r>
      <w:proofErr w:type="gramEnd"/>
      <w:r>
        <w:t xml:space="preserve"> he submitted a </w:t>
      </w:r>
      <w:proofErr w:type="gramStart"/>
      <w:r>
        <w:t>religious reasonable</w:t>
      </w:r>
      <w:proofErr w:type="gramEnd"/>
      <w:r>
        <w:t xml:space="preserve"> accommodation request to the FDNY Equal Employment Opportunity Office (EEO).  Without any dialog with the FF, the EEO denied the request; he appealed to the NY Reasonable Accommodations Appeals Panel, and without any dialog with FF denied his appeal, and he was fired March 14, 2022.</w:t>
      </w:r>
    </w:p>
    <w:p w14:paraId="179C08C4" w14:textId="77777777" w:rsidR="006C79BE" w:rsidRDefault="006C79BE" w:rsidP="006C79BE">
      <w:pPr>
        <w:pStyle w:val="NormalWeb"/>
        <w:ind w:left="720"/>
      </w:pPr>
      <w:r>
        <w:t xml:space="preserve">“The Court cannot help but question, why were those accommodations of testing and masking granted, while this Petitioner's request for an accommodation would cause an ‘undue burden’ to the Department. It makes no difference to this Court whether the accommodation was granted for a religious or medical reason. The record is bereft of any reasoning, rational or otherwise.” </w:t>
      </w:r>
      <w:hyperlink r:id="rId211" w:history="1">
        <w:r w:rsidRPr="00617AE0">
          <w:rPr>
            <w:rStyle w:val="Hyperlink"/>
            <w:rFonts w:eastAsiaTheme="majorEastAsia"/>
          </w:rPr>
          <w:t>https://public.fastcase.com/J%2FJP6pdidelsXxEE4k%2BLMrfSCCaRdL8TI%2B5ioBWNQnh0kDz1GreH4%2B0yNBfnZOTE%2BnPBmU0h571R%2FJckMZe26svndIwXzFkT32fWB37fhjw%3D?utm_medium=email&amp;_hsmi=226712652&amp;_hsenc=p2ANqtz--GP8ZQooCAhfBpKdL9gU4tnEMPEYSQuJhpHC1xgU_R2XIHvEgQGIZy-l9drIqZUjYHZhAeqsmTG1Ww2RK_6TGoVdhMHQ&amp;utm_content=226712652&amp;utm_source=hs_email</w:t>
        </w:r>
      </w:hyperlink>
      <w:r>
        <w:t xml:space="preserve"> </w:t>
      </w:r>
    </w:p>
    <w:p w14:paraId="5808F788" w14:textId="77777777" w:rsidR="006C79BE" w:rsidRPr="0086106F" w:rsidRDefault="006C79BE" w:rsidP="006C79BE">
      <w:pPr>
        <w:pStyle w:val="NormalWeb"/>
        <w:rPr>
          <w:b/>
          <w:bCs/>
        </w:rPr>
      </w:pPr>
      <w:r w:rsidRPr="0086106F">
        <w:rPr>
          <w:b/>
          <w:bCs/>
        </w:rPr>
        <w:lastRenderedPageBreak/>
        <w:t>Legal Lesson Learned:</w:t>
      </w:r>
      <w:r>
        <w:rPr>
          <w:b/>
          <w:bCs/>
        </w:rPr>
        <w:t xml:space="preserve"> </w:t>
      </w:r>
      <w:proofErr w:type="gramStart"/>
      <w:r>
        <w:rPr>
          <w:b/>
          <w:bCs/>
        </w:rPr>
        <w:t>Similar to</w:t>
      </w:r>
      <w:proofErr w:type="gramEnd"/>
      <w:r>
        <w:rPr>
          <w:b/>
          <w:bCs/>
        </w:rPr>
        <w:t xml:space="preserve"> ADA claims, employers need to dialog with requests for accommodation before declaring request is an “undue hardship.” </w:t>
      </w:r>
    </w:p>
    <w:p w14:paraId="60056EF3" w14:textId="77777777" w:rsidR="006C79BE" w:rsidRDefault="006C79BE" w:rsidP="00F326E5">
      <w:pPr>
        <w:pStyle w:val="NoSpacing"/>
        <w:rPr>
          <w:rFonts w:ascii="Arial Black" w:hAnsi="Arial Black"/>
          <w:sz w:val="24"/>
          <w:szCs w:val="24"/>
        </w:rPr>
      </w:pPr>
    </w:p>
    <w:p w14:paraId="4650C6AC" w14:textId="77777777" w:rsidR="006C79BE" w:rsidRDefault="006C79BE" w:rsidP="00F326E5">
      <w:pPr>
        <w:pStyle w:val="NoSpacing"/>
        <w:rPr>
          <w:rFonts w:ascii="Arial Black" w:hAnsi="Arial Black"/>
          <w:sz w:val="24"/>
          <w:szCs w:val="24"/>
        </w:rPr>
      </w:pPr>
    </w:p>
    <w:p w14:paraId="46A2EA81" w14:textId="77777777" w:rsidR="006C79BE" w:rsidRDefault="006C79BE" w:rsidP="00F326E5">
      <w:pPr>
        <w:pStyle w:val="NoSpacing"/>
        <w:rPr>
          <w:rFonts w:ascii="Arial Black" w:hAnsi="Arial Black"/>
          <w:sz w:val="24"/>
          <w:szCs w:val="24"/>
        </w:rPr>
      </w:pPr>
    </w:p>
    <w:p w14:paraId="36E3F9E3" w14:textId="23E2960B" w:rsidR="00AE32D3" w:rsidRDefault="00AE32D3" w:rsidP="00F326E5">
      <w:pPr>
        <w:pStyle w:val="NoSpacing"/>
        <w:rPr>
          <w:rFonts w:ascii="Arial Black" w:hAnsi="Arial Black"/>
          <w:sz w:val="24"/>
          <w:szCs w:val="24"/>
        </w:rPr>
      </w:pPr>
      <w:r>
        <w:rPr>
          <w:rFonts w:ascii="Arial Black" w:hAnsi="Arial Black"/>
          <w:sz w:val="24"/>
          <w:szCs w:val="24"/>
        </w:rPr>
        <w:t>1-111</w:t>
      </w:r>
    </w:p>
    <w:p w14:paraId="0F3F64BC" w14:textId="77777777" w:rsidR="00AE32D3" w:rsidRDefault="00AE32D3" w:rsidP="00AE32D3">
      <w:pPr>
        <w:pStyle w:val="NormalWeb"/>
        <w:rPr>
          <w:rFonts w:ascii="Arial Black" w:hAnsi="Arial Black"/>
          <w:b/>
          <w:bCs/>
          <w:sz w:val="28"/>
          <w:szCs w:val="28"/>
        </w:rPr>
      </w:pPr>
      <w:r>
        <w:rPr>
          <w:rFonts w:ascii="Arial Black" w:hAnsi="Arial Black"/>
          <w:b/>
          <w:bCs/>
          <w:sz w:val="28"/>
          <w:szCs w:val="28"/>
        </w:rPr>
        <w:t>PA: TWO FIRE CALLS APARTMENT BLDG – “SPARKING OVEN” – NO SEARCH WARRANT REQ. ENTER BASEMENT</w:t>
      </w:r>
    </w:p>
    <w:p w14:paraId="0E083BCB" w14:textId="77777777" w:rsidR="00AE32D3" w:rsidRDefault="00AE32D3" w:rsidP="00AE32D3">
      <w:pPr>
        <w:pStyle w:val="NormalWeb"/>
      </w:pPr>
      <w:r w:rsidRPr="00376BC8">
        <w:t>On N</w:t>
      </w:r>
      <w:r>
        <w:t xml:space="preserve">ov. 29, 2022, in </w:t>
      </w:r>
      <w:r w:rsidRPr="00376BC8">
        <w:rPr>
          <w:u w:val="single"/>
        </w:rPr>
        <w:t>George Cannarozzo v. Borough of West Hazelton, et al</w:t>
      </w:r>
      <w:r>
        <w:t xml:space="preserve">., the U.S. Court of Appeals, Third Circuit (Philadelphia) held (3 to 0) that the basement search did not require a search warrant since with a “sparking oven” there was reasonable belief of imminent emergency and need to enter the basement to shut off electricity. </w:t>
      </w:r>
    </w:p>
    <w:p w14:paraId="6CEAA46B" w14:textId="77777777" w:rsidR="00AE32D3" w:rsidRDefault="00AE32D3" w:rsidP="00AE32D3">
      <w:pPr>
        <w:pStyle w:val="NormalWeb"/>
        <w:ind w:left="720"/>
      </w:pPr>
      <w:r>
        <w:t xml:space="preserve">“Cannarozzo [owner </w:t>
      </w:r>
      <w:proofErr w:type="gramStart"/>
      <w:r>
        <w:t>5 unit</w:t>
      </w:r>
      <w:proofErr w:type="gramEnd"/>
      <w:r>
        <w:t xml:space="preserve"> apartment building} contends the record contains factual discrepancies about the actual dangers precipitating the search. But based on the undisputed facts, Panzarella [Code Enforcement Officer and Building Code Official for Borough] had an ‘objectively reasonable </w:t>
      </w:r>
      <w:proofErr w:type="spellStart"/>
      <w:r>
        <w:t>basis’</w:t>
      </w:r>
      <w:proofErr w:type="spellEnd"/>
      <w:r>
        <w:t xml:space="preserve"> for believing an imminent emergency existed which created a ‘compelling urgency to inspect’ the basement.”  </w:t>
      </w:r>
      <w:hyperlink r:id="rId212" w:history="1">
        <w:r w:rsidRPr="00E8516D">
          <w:rPr>
            <w:rStyle w:val="Hyperlink"/>
            <w:rFonts w:eastAsiaTheme="majorEastAsia"/>
          </w:rPr>
          <w:t>https://law.justia.com/cases/federal/appellate-courts/ca3/22-1079/22-1079-2022-11-29.html</w:t>
        </w:r>
      </w:hyperlink>
      <w:r>
        <w:t xml:space="preserve"> </w:t>
      </w:r>
    </w:p>
    <w:p w14:paraId="51E08B2D" w14:textId="77777777" w:rsidR="00AE32D3" w:rsidRPr="00FA6891" w:rsidRDefault="00AE32D3" w:rsidP="00AE32D3">
      <w:pPr>
        <w:pStyle w:val="NormalWeb"/>
        <w:rPr>
          <w:b/>
          <w:bCs/>
        </w:rPr>
      </w:pPr>
      <w:r w:rsidRPr="00FA6891">
        <w:rPr>
          <w:b/>
          <w:bCs/>
        </w:rPr>
        <w:t xml:space="preserve">Legal Lesson Learned: Fire and Fire Code officials may enter property without a search warrant when there </w:t>
      </w:r>
      <w:r>
        <w:rPr>
          <w:b/>
          <w:bCs/>
        </w:rPr>
        <w:t xml:space="preserve">is a reasonable belief of </w:t>
      </w:r>
      <w:r w:rsidRPr="00FA6891">
        <w:rPr>
          <w:b/>
          <w:bCs/>
        </w:rPr>
        <w:t xml:space="preserve">an imminent emergency. </w:t>
      </w:r>
    </w:p>
    <w:p w14:paraId="000D09D8" w14:textId="77777777" w:rsidR="00AE32D3" w:rsidRDefault="00AE32D3" w:rsidP="00F326E5">
      <w:pPr>
        <w:pStyle w:val="NoSpacing"/>
        <w:rPr>
          <w:rFonts w:ascii="Arial Black" w:hAnsi="Arial Black"/>
          <w:sz w:val="24"/>
          <w:szCs w:val="24"/>
        </w:rPr>
      </w:pPr>
    </w:p>
    <w:p w14:paraId="1E56EF7A" w14:textId="77777777" w:rsidR="00AE32D3" w:rsidRDefault="00AE32D3" w:rsidP="00F326E5">
      <w:pPr>
        <w:pStyle w:val="NoSpacing"/>
        <w:rPr>
          <w:rFonts w:ascii="Arial Black" w:hAnsi="Arial Black"/>
          <w:sz w:val="24"/>
          <w:szCs w:val="24"/>
        </w:rPr>
      </w:pPr>
    </w:p>
    <w:p w14:paraId="4C685C89" w14:textId="62F64F8E" w:rsidR="00AE32D3" w:rsidRDefault="00AE32D3" w:rsidP="00F326E5">
      <w:pPr>
        <w:pStyle w:val="NoSpacing"/>
        <w:rPr>
          <w:rFonts w:ascii="Arial Black" w:hAnsi="Arial Black"/>
          <w:sz w:val="24"/>
          <w:szCs w:val="24"/>
        </w:rPr>
      </w:pPr>
      <w:r>
        <w:rPr>
          <w:rFonts w:ascii="Arial Black" w:hAnsi="Arial Black"/>
          <w:sz w:val="24"/>
          <w:szCs w:val="24"/>
        </w:rPr>
        <w:t>1-110</w:t>
      </w:r>
    </w:p>
    <w:p w14:paraId="1B7D8934" w14:textId="77777777" w:rsidR="00AE32D3" w:rsidRDefault="00AE32D3" w:rsidP="00F326E5">
      <w:pPr>
        <w:pStyle w:val="NoSpacing"/>
        <w:rPr>
          <w:rFonts w:ascii="Arial Black" w:hAnsi="Arial Black"/>
          <w:sz w:val="24"/>
          <w:szCs w:val="24"/>
        </w:rPr>
      </w:pPr>
    </w:p>
    <w:p w14:paraId="1FA5538D" w14:textId="77777777" w:rsidR="00AE32D3" w:rsidRDefault="00AE32D3" w:rsidP="00F326E5">
      <w:pPr>
        <w:pStyle w:val="NoSpacing"/>
        <w:rPr>
          <w:rFonts w:ascii="Arial Black" w:hAnsi="Arial Black"/>
          <w:sz w:val="24"/>
          <w:szCs w:val="24"/>
        </w:rPr>
      </w:pPr>
    </w:p>
    <w:p w14:paraId="56B43EEA" w14:textId="77777777" w:rsidR="00AE32D3" w:rsidRPr="00A443BC" w:rsidRDefault="00AE32D3" w:rsidP="00AE32D3">
      <w:pPr>
        <w:pStyle w:val="NormalWeb"/>
        <w:rPr>
          <w:rFonts w:ascii="Arial Black" w:hAnsi="Arial Black"/>
          <w:sz w:val="28"/>
          <w:szCs w:val="28"/>
        </w:rPr>
      </w:pPr>
      <w:r>
        <w:rPr>
          <w:rFonts w:ascii="Arial Black" w:hAnsi="Arial Black"/>
          <w:sz w:val="28"/>
          <w:szCs w:val="28"/>
        </w:rPr>
        <w:t xml:space="preserve">KY: OVEN FIRE – EXPERT OPINIONS THAT INSTALLERS SHOULD ENCLOSED BASE – MAY TESTIFY, NFPA GUIDELINE </w:t>
      </w:r>
    </w:p>
    <w:p w14:paraId="5BDE757E" w14:textId="77777777" w:rsidR="00AE32D3" w:rsidRDefault="00AE32D3" w:rsidP="00AE32D3">
      <w:pPr>
        <w:pStyle w:val="NormalWeb"/>
      </w:pPr>
      <w:r>
        <w:t xml:space="preserve">On Nov. 18, 2022, in </w:t>
      </w:r>
      <w:r w:rsidRPr="00A443BC">
        <w:rPr>
          <w:u w:val="single"/>
        </w:rPr>
        <w:t>American National Property &amp; Casualty Company, et al. v. R&amp;N Enterprises, Inc, D/B/A B&amp;W TV and Appliance Company</w:t>
      </w:r>
      <w:r>
        <w:t xml:space="preserve">, the Court of Appeals of Kentucky held (3 to 0) that the trial court improperly excluded the testimony of the insurance company’s expert.  Installers replace old oven, which never had enclosed bottom, directly over </w:t>
      </w:r>
      <w:proofErr w:type="gramStart"/>
      <w:r>
        <w:t>pull</w:t>
      </w:r>
      <w:proofErr w:type="gramEnd"/>
      <w:r>
        <w:t xml:space="preserve"> out drawer with lots of cloths.  Trial judge excluded insurance company’s two experts because they didn’t use another oven to measure the heat under the bottom, per NFPA 921, as did Appliance company’s expert.  Court of Appeals disagreed – NFPA guidelines, not mandatory under Kentucky law.  </w:t>
      </w:r>
    </w:p>
    <w:p w14:paraId="004E3E7D" w14:textId="77777777" w:rsidR="00AE32D3" w:rsidRDefault="00AE32D3" w:rsidP="00AE32D3">
      <w:pPr>
        <w:pStyle w:val="NormalWeb"/>
        <w:ind w:left="720"/>
      </w:pPr>
      <w:r>
        <w:t xml:space="preserve">“Appellant argues that the circuit court erred in excluding the testimony of Appellant's experts and in denying its request for a </w:t>
      </w:r>
      <w:r>
        <w:rPr>
          <w:rStyle w:val="Emphasis"/>
        </w:rPr>
        <w:t>Daubert</w:t>
      </w:r>
      <w:r>
        <w:rPr>
          <w:vertAlign w:val="superscript"/>
        </w:rPr>
        <w:t xml:space="preserve"> </w:t>
      </w:r>
      <w:r>
        <w:t xml:space="preserve">hearing. After careful review, we conclude that the testimony was improperly excluded. Accordingly, we reverse and </w:t>
      </w:r>
      <w:proofErr w:type="gramStart"/>
      <w:r>
        <w:t>remand</w:t>
      </w:r>
      <w:proofErr w:type="gramEnd"/>
      <w:r>
        <w:t xml:space="preserve"> the judgment on appeal. </w:t>
      </w:r>
    </w:p>
    <w:p w14:paraId="54C00179" w14:textId="77777777" w:rsidR="00AE32D3" w:rsidRDefault="00AE32D3" w:rsidP="00AE32D3">
      <w:pPr>
        <w:pStyle w:val="NormalWeb"/>
        <w:ind w:left="720"/>
      </w:pPr>
      <w:r>
        <w:t>***</w:t>
      </w:r>
    </w:p>
    <w:p w14:paraId="65056469" w14:textId="77777777" w:rsidR="00AE32D3" w:rsidRDefault="00AE32D3" w:rsidP="00AE32D3">
      <w:pPr>
        <w:pStyle w:val="NormalWeb"/>
        <w:ind w:left="720"/>
      </w:pPr>
      <w:r>
        <w:lastRenderedPageBreak/>
        <w:t xml:space="preserve">Appellee asserts, and the circuit court so found, that the framework for evaluating the reliability of the scientific principles of fire investigation found  in NFPA 921 is controlling in the matter before us. Appellee, however, has not cited any case law or statutory law from this jurisdiction so holding. Rather, Appellee has relied on unpublished federal case law and other extra-jurisdictional case law, wherein courts looked to NFPA 921 for guidance in fire investigations. While the guidelines of the National Fire Protection Association provide insight into fire investigation, and though extra-jurisdictional case law can be informative, our research has not revealed any Kentucky case which applied NFPA standards to fire investigation or holds that NFPA standards are controlling. </w:t>
      </w:r>
    </w:p>
    <w:p w14:paraId="1AE9F620" w14:textId="77777777" w:rsidR="00AE32D3" w:rsidRDefault="00AE32D3" w:rsidP="00AE32D3">
      <w:pPr>
        <w:pStyle w:val="NormalWeb"/>
        <w:ind w:left="720"/>
      </w:pPr>
      <w:r>
        <w:t>***</w:t>
      </w:r>
    </w:p>
    <w:p w14:paraId="1C93E545" w14:textId="77777777" w:rsidR="00AE32D3" w:rsidRDefault="00AE32D3" w:rsidP="00AE32D3">
      <w:pPr>
        <w:pStyle w:val="NormalWeb"/>
        <w:ind w:left="720"/>
      </w:pPr>
      <w:r>
        <w:t xml:space="preserve">Burns and Hollis found, and Appellee so acknowledges, that the fire started on the east wall of the kitchen. They excluded the possibility of other ignition sources based on physical examination and interviews with the </w:t>
      </w:r>
      <w:proofErr w:type="spellStart"/>
      <w:r>
        <w:t>Colletts</w:t>
      </w:r>
      <w:proofErr w:type="spellEnd"/>
      <w:r>
        <w:t xml:space="preserve">. Additionally, they found charred cloth material on the bottom of the </w:t>
      </w:r>
      <w:proofErr w:type="gramStart"/>
      <w:r>
        <w:t>oven, and</w:t>
      </w:r>
      <w:proofErr w:type="gramEnd"/>
      <w:r>
        <w:t xml:space="preserve"> noted that combustible kitchen towels and other items were stored in the drawer directly under the oven. And finally, they found no evidence of </w:t>
      </w:r>
      <w:proofErr w:type="gramStart"/>
      <w:r>
        <w:t>a full</w:t>
      </w:r>
      <w:proofErr w:type="gramEnd"/>
      <w:r>
        <w:t xml:space="preserve"> enclosure under the oven, though they acknowledged that it could have been destroyed by the fire. In sum, we conclude that their opinions rise to the level of deductive reasoning or thought </w:t>
      </w:r>
      <w:proofErr w:type="gramStart"/>
      <w:r>
        <w:t>experiments, and</w:t>
      </w:r>
      <w:proofErr w:type="gramEnd"/>
      <w:r>
        <w:t xml:space="preserve"> are more than mere baseless </w:t>
      </w:r>
      <w:proofErr w:type="gramStart"/>
      <w:r>
        <w:t>speculation.”</w:t>
      </w:r>
      <w:proofErr w:type="gramEnd"/>
      <w:r>
        <w:t xml:space="preserve"> </w:t>
      </w:r>
      <w:hyperlink r:id="rId213" w:history="1">
        <w:r w:rsidRPr="00185BEB">
          <w:rPr>
            <w:rStyle w:val="Hyperlink"/>
            <w:rFonts w:eastAsiaTheme="majorEastAsia"/>
          </w:rPr>
          <w:t>https://law.justia.com/cases/kentucky/court-of-appeals/2022/2022-ca-0258-mr.html</w:t>
        </w:r>
      </w:hyperlink>
      <w:r>
        <w:t xml:space="preserve"> </w:t>
      </w:r>
    </w:p>
    <w:p w14:paraId="7278C4F3" w14:textId="77777777" w:rsidR="00AE32D3" w:rsidRPr="002B389C" w:rsidRDefault="00AE32D3" w:rsidP="00AE32D3">
      <w:pPr>
        <w:pStyle w:val="NormalWeb"/>
        <w:rPr>
          <w:b/>
          <w:bCs/>
        </w:rPr>
      </w:pPr>
      <w:r w:rsidRPr="002B389C">
        <w:rPr>
          <w:b/>
          <w:bCs/>
        </w:rPr>
        <w:t xml:space="preserve">Legal Lesson Learned: Expert witnesses </w:t>
      </w:r>
      <w:r>
        <w:rPr>
          <w:b/>
          <w:bCs/>
        </w:rPr>
        <w:t xml:space="preserve">met </w:t>
      </w:r>
      <w:r w:rsidRPr="002B389C">
        <w:rPr>
          <w:b/>
          <w:bCs/>
        </w:rPr>
        <w:t xml:space="preserve">the standards in </w:t>
      </w:r>
      <w:r w:rsidRPr="002B389C">
        <w:rPr>
          <w:rStyle w:val="Emphasis"/>
          <w:b/>
          <w:bCs/>
        </w:rPr>
        <w:t>Daubert v. Merrell Dow Pharmaceuticals Inc</w:t>
      </w:r>
      <w:r w:rsidRPr="002B389C">
        <w:rPr>
          <w:b/>
          <w:bCs/>
        </w:rPr>
        <w:t>, 509 U.S. 579 (1993)</w:t>
      </w:r>
      <w:r>
        <w:rPr>
          <w:b/>
          <w:bCs/>
        </w:rPr>
        <w:t xml:space="preserve"> – their testimony was both relevant and reliable.</w:t>
      </w:r>
    </w:p>
    <w:p w14:paraId="518B81DA" w14:textId="77777777" w:rsidR="00AE32D3" w:rsidRDefault="00AE32D3" w:rsidP="00F326E5">
      <w:pPr>
        <w:pStyle w:val="NoSpacing"/>
        <w:rPr>
          <w:rFonts w:ascii="Arial Black" w:hAnsi="Arial Black"/>
          <w:sz w:val="24"/>
          <w:szCs w:val="24"/>
        </w:rPr>
      </w:pPr>
    </w:p>
    <w:p w14:paraId="010C3A15" w14:textId="77777777" w:rsidR="00AE32D3" w:rsidRDefault="00AE32D3" w:rsidP="00F326E5">
      <w:pPr>
        <w:pStyle w:val="NoSpacing"/>
        <w:rPr>
          <w:rFonts w:ascii="Arial Black" w:hAnsi="Arial Black"/>
          <w:sz w:val="24"/>
          <w:szCs w:val="24"/>
        </w:rPr>
      </w:pPr>
    </w:p>
    <w:p w14:paraId="69463E8C" w14:textId="77777777" w:rsidR="00AE32D3" w:rsidRDefault="00AE32D3" w:rsidP="00F326E5">
      <w:pPr>
        <w:pStyle w:val="NoSpacing"/>
        <w:rPr>
          <w:rFonts w:ascii="Arial Black" w:hAnsi="Arial Black"/>
          <w:sz w:val="24"/>
          <w:szCs w:val="24"/>
        </w:rPr>
      </w:pPr>
    </w:p>
    <w:p w14:paraId="479EB419" w14:textId="77777777" w:rsidR="00AE32D3" w:rsidRDefault="00AE32D3" w:rsidP="00F326E5">
      <w:pPr>
        <w:pStyle w:val="NoSpacing"/>
        <w:rPr>
          <w:rFonts w:ascii="Arial Black" w:hAnsi="Arial Black"/>
          <w:sz w:val="24"/>
          <w:szCs w:val="24"/>
        </w:rPr>
      </w:pPr>
    </w:p>
    <w:p w14:paraId="7A93D52D" w14:textId="3DF03813" w:rsidR="00AE32D3" w:rsidRDefault="00AE32D3" w:rsidP="00F326E5">
      <w:pPr>
        <w:pStyle w:val="NoSpacing"/>
        <w:rPr>
          <w:rFonts w:ascii="Arial Black" w:hAnsi="Arial Black"/>
          <w:sz w:val="24"/>
          <w:szCs w:val="24"/>
        </w:rPr>
      </w:pPr>
      <w:r>
        <w:rPr>
          <w:rFonts w:ascii="Arial Black" w:hAnsi="Arial Black"/>
          <w:sz w:val="24"/>
          <w:szCs w:val="24"/>
        </w:rPr>
        <w:t>1-109</w:t>
      </w:r>
    </w:p>
    <w:p w14:paraId="43A4081E" w14:textId="06D8513A" w:rsidR="00AE32D3" w:rsidRDefault="00AE32D3" w:rsidP="00F326E5">
      <w:pPr>
        <w:pStyle w:val="NoSpacing"/>
        <w:rPr>
          <w:rFonts w:ascii="Arial Black" w:hAnsi="Arial Black"/>
          <w:sz w:val="24"/>
          <w:szCs w:val="24"/>
        </w:rPr>
      </w:pPr>
    </w:p>
    <w:p w14:paraId="33B0C7E2" w14:textId="1FF0EA37" w:rsidR="00AE32D3" w:rsidRDefault="00AE32D3" w:rsidP="00F326E5">
      <w:pPr>
        <w:pStyle w:val="NoSpacing"/>
        <w:rPr>
          <w:rFonts w:ascii="Arial Black" w:hAnsi="Arial Black"/>
          <w:sz w:val="24"/>
          <w:szCs w:val="24"/>
        </w:rPr>
      </w:pPr>
    </w:p>
    <w:p w14:paraId="1946492E" w14:textId="77777777" w:rsidR="00AE32D3" w:rsidRDefault="00AE32D3" w:rsidP="00AE32D3">
      <w:pPr>
        <w:pStyle w:val="NormalWeb"/>
        <w:rPr>
          <w:rFonts w:ascii="Arial Black" w:hAnsi="Arial Black"/>
          <w:b/>
          <w:bCs/>
          <w:sz w:val="28"/>
          <w:szCs w:val="28"/>
        </w:rPr>
      </w:pPr>
      <w:r>
        <w:rPr>
          <w:rFonts w:ascii="Arial Black" w:hAnsi="Arial Black"/>
          <w:b/>
          <w:bCs/>
          <w:sz w:val="28"/>
          <w:szCs w:val="28"/>
        </w:rPr>
        <w:t>PA: SPONTANEOUS COMPUSTION – DECK STAIN, OILY RAGS ICONTAINER – SHERWIN-WILLIAMS LABEL WARNINGS</w:t>
      </w:r>
    </w:p>
    <w:p w14:paraId="38722F78" w14:textId="77777777" w:rsidR="00AE32D3" w:rsidRDefault="00AE32D3" w:rsidP="00AE32D3">
      <w:pPr>
        <w:pStyle w:val="NormalWeb"/>
      </w:pPr>
      <w:r w:rsidRPr="00DB1450">
        <w:t xml:space="preserve">On </w:t>
      </w:r>
      <w:r>
        <w:t xml:space="preserve">Nov. 10, 2022, in </w:t>
      </w:r>
      <w:r w:rsidRPr="00DB1450">
        <w:rPr>
          <w:u w:val="single"/>
        </w:rPr>
        <w:t>Scott Mains v. The Sherwin-Williams Company, d/b/a The Thompson’s Company</w:t>
      </w:r>
      <w:r>
        <w:t xml:space="preserve">, U.S. District Court Judge John M. Gallagher, U.S. District Court for Eastern District of Pennsylvania, granted the defendant’s motion for summary judgment; the label warned of the risk of spontaneous combustion.  Rags were left in metal painting cans, contrary to warnings on the label; the homeowner had never read the warnings. </w:t>
      </w:r>
    </w:p>
    <w:p w14:paraId="0F93EC8F" w14:textId="77777777" w:rsidR="00AE32D3" w:rsidRDefault="00AE32D3" w:rsidP="00AE32D3">
      <w:pPr>
        <w:pStyle w:val="NormalWeb"/>
        <w:ind w:left="600"/>
      </w:pPr>
      <w:r>
        <w:t>“Defendant asserts Plaintiffs insufficiently prove causation concerning the fire cause and origin, as well as the inadequate warnings claim because Mr. Main failed to consult any warnings on the can. The Court again finds Defendant's causation argument persuasive.</w:t>
      </w:r>
    </w:p>
    <w:p w14:paraId="38E6D4E2" w14:textId="77777777" w:rsidR="00AE32D3" w:rsidRDefault="00AE32D3" w:rsidP="00AE32D3">
      <w:pPr>
        <w:pStyle w:val="NormalWeb"/>
        <w:ind w:left="600"/>
      </w:pPr>
      <w:r>
        <w:t>***</w:t>
      </w:r>
    </w:p>
    <w:p w14:paraId="0A81BF04" w14:textId="77777777" w:rsidR="00AE32D3" w:rsidRDefault="00AE32D3" w:rsidP="00AE32D3">
      <w:pPr>
        <w:pStyle w:val="NormalWeb"/>
        <w:ind w:left="600"/>
      </w:pPr>
      <w:r>
        <w:t xml:space="preserve">The front panel also provides the following instruction: ‘Before using, carefully read CAUTIONS on back panel.’  The label's back panel provide instructions for the product's application and disposal…. Specifically addressing the possibility of spontaneous combustion, the label's back panel provides: </w:t>
      </w:r>
    </w:p>
    <w:p w14:paraId="2E89B8EC" w14:textId="77777777" w:rsidR="00AE32D3" w:rsidRPr="00A3199D" w:rsidRDefault="00AE32D3" w:rsidP="00AE32D3">
      <w:pPr>
        <w:ind w:left="1320"/>
        <w:rPr>
          <w:rFonts w:ascii="Times New Roman" w:hAnsi="Times New Roman"/>
          <w:sz w:val="24"/>
          <w:szCs w:val="24"/>
        </w:rPr>
      </w:pPr>
      <w:r w:rsidRPr="00A3199D">
        <w:rPr>
          <w:rStyle w:val="Strong"/>
          <w:rFonts w:ascii="Times New Roman" w:hAnsi="Times New Roman"/>
          <w:sz w:val="24"/>
          <w:szCs w:val="24"/>
        </w:rPr>
        <w:lastRenderedPageBreak/>
        <w:t>DANGER: Rags, steel wool, other waste soaked with this product, and I sanding residue may spontaneously catch fire if improperly discarded. Immediately place rags, steel wool, other waste soaked with this product and sanding residue in a sealed, watered, metal container. Dispose of in accordance with local fire regulations.</w:t>
      </w:r>
      <w:r w:rsidRPr="00A3199D">
        <w:rPr>
          <w:rFonts w:ascii="Times New Roman" w:hAnsi="Times New Roman"/>
          <w:sz w:val="24"/>
          <w:szCs w:val="24"/>
        </w:rPr>
        <w:t xml:space="preserve"> </w:t>
      </w:r>
    </w:p>
    <w:p w14:paraId="7487FF9C" w14:textId="77777777" w:rsidR="00AE32D3" w:rsidRDefault="00AE32D3" w:rsidP="00AE32D3">
      <w:pPr>
        <w:pStyle w:val="NormalWeb"/>
        <w:ind w:left="600"/>
      </w:pPr>
      <w:r>
        <w:t>***</w:t>
      </w:r>
    </w:p>
    <w:p w14:paraId="2066079F" w14:textId="77777777" w:rsidR="00AE32D3" w:rsidRDefault="00AE32D3" w:rsidP="00AE32D3">
      <w:pPr>
        <w:pStyle w:val="NormalWeb"/>
        <w:ind w:left="600"/>
      </w:pPr>
      <w:r>
        <w:t xml:space="preserve">Plaintiffs ask the Court to find a product is defective because it spontaneously combusted after use. But … Plaintiffs in the instant matter must provide evidence showing a defect in the wood stain's design or manufacture caused the fire at issue. And Plaintiffs have not put forward sufficient expert or circumstantial evidence to prove the product at issue caused the fire, let alone that a </w:t>
      </w:r>
      <w:r>
        <w:rPr>
          <w:rStyle w:val="Emphasis"/>
        </w:rPr>
        <w:t>defect</w:t>
      </w:r>
      <w:r>
        <w:t xml:space="preserve"> of the product at issue caused the fire. Plaintiffs minimal evidence concerning defect and causation is fatal where the alleged defect relies on the product lighting on fire.”  </w:t>
      </w:r>
      <w:hyperlink r:id="rId214" w:history="1">
        <w:r w:rsidRPr="00E92B9F">
          <w:rPr>
            <w:rStyle w:val="Hyperlink"/>
            <w:rFonts w:eastAsiaTheme="majorEastAsia"/>
          </w:rPr>
          <w:t>https://public.fastcase.com/J%2FJP6pdidelsXxEE4k%2BLMrejai%2Bw5%2BeDXQox0zGA5TAAjpgBNhW%2BTu8BKpGDyiMDLNszr4O4A0HJdAcQDg8WWefj18tLbckuVQCC3%2F5jGpg%3D?utm_medium=email&amp;_hsmi=226712652&amp;_hsenc=p2ANqtz-8ZmJA9o4nlUCIURyhETyHKM8lkOE8xo-FU4HGJipx6Boh4nCnx77GsOdK5dPH9YVtR5YzBPx6JahAT-_oeRPGcO0F8pg&amp;utm_content=226712652&amp;utm_source=hs_email</w:t>
        </w:r>
      </w:hyperlink>
      <w:r>
        <w:t xml:space="preserve"> </w:t>
      </w:r>
    </w:p>
    <w:p w14:paraId="02A2E056" w14:textId="77777777" w:rsidR="00AE32D3" w:rsidRPr="00A3199D" w:rsidRDefault="00AE32D3" w:rsidP="00AE32D3">
      <w:pPr>
        <w:pStyle w:val="NormalWeb"/>
        <w:rPr>
          <w:b/>
          <w:bCs/>
        </w:rPr>
      </w:pPr>
      <w:r w:rsidRPr="00A3199D">
        <w:rPr>
          <w:b/>
          <w:bCs/>
        </w:rPr>
        <w:t>Legal Lesson Learned:</w:t>
      </w:r>
      <w:r>
        <w:rPr>
          <w:b/>
          <w:bCs/>
        </w:rPr>
        <w:t xml:space="preserve"> Read and follow the warning label on products you purchase. </w:t>
      </w:r>
    </w:p>
    <w:p w14:paraId="785613E6" w14:textId="77777777" w:rsidR="00AE32D3" w:rsidRDefault="00AE32D3" w:rsidP="00F326E5">
      <w:pPr>
        <w:pStyle w:val="NoSpacing"/>
        <w:rPr>
          <w:rFonts w:ascii="Arial Black" w:hAnsi="Arial Black"/>
          <w:sz w:val="24"/>
          <w:szCs w:val="24"/>
        </w:rPr>
      </w:pPr>
    </w:p>
    <w:p w14:paraId="295FDDCE" w14:textId="77777777" w:rsidR="00AE32D3" w:rsidRDefault="00AE32D3" w:rsidP="00F326E5">
      <w:pPr>
        <w:pStyle w:val="NoSpacing"/>
        <w:rPr>
          <w:rFonts w:ascii="Arial Black" w:hAnsi="Arial Black"/>
          <w:sz w:val="24"/>
          <w:szCs w:val="24"/>
        </w:rPr>
      </w:pPr>
    </w:p>
    <w:p w14:paraId="187EECCC" w14:textId="77777777" w:rsidR="00AE32D3" w:rsidRDefault="00AE32D3" w:rsidP="00F326E5">
      <w:pPr>
        <w:pStyle w:val="NoSpacing"/>
        <w:rPr>
          <w:rFonts w:ascii="Arial Black" w:hAnsi="Arial Black"/>
          <w:sz w:val="24"/>
          <w:szCs w:val="24"/>
        </w:rPr>
      </w:pPr>
    </w:p>
    <w:p w14:paraId="359F16D8" w14:textId="5DCCE520" w:rsidR="00804F3A" w:rsidRDefault="00804F3A" w:rsidP="00F326E5">
      <w:pPr>
        <w:pStyle w:val="NoSpacing"/>
        <w:rPr>
          <w:rFonts w:ascii="Arial Black" w:hAnsi="Arial Black"/>
          <w:sz w:val="24"/>
          <w:szCs w:val="24"/>
        </w:rPr>
      </w:pPr>
      <w:r>
        <w:rPr>
          <w:rFonts w:ascii="Arial Black" w:hAnsi="Arial Black"/>
          <w:sz w:val="24"/>
          <w:szCs w:val="24"/>
        </w:rPr>
        <w:t>1-108</w:t>
      </w:r>
    </w:p>
    <w:p w14:paraId="02F741F9" w14:textId="62AA9FE2" w:rsidR="00804F3A" w:rsidRDefault="00804F3A" w:rsidP="00F326E5">
      <w:pPr>
        <w:pStyle w:val="NoSpacing"/>
        <w:rPr>
          <w:rFonts w:ascii="Arial Black" w:hAnsi="Arial Black"/>
          <w:sz w:val="24"/>
          <w:szCs w:val="24"/>
        </w:rPr>
      </w:pPr>
    </w:p>
    <w:p w14:paraId="7C14A80E" w14:textId="77777777" w:rsidR="00804F3A" w:rsidRPr="007B73F7" w:rsidRDefault="00804F3A" w:rsidP="00804F3A">
      <w:pPr>
        <w:pStyle w:val="NormalWeb"/>
        <w:rPr>
          <w:rFonts w:ascii="Arial Black" w:hAnsi="Arial Black"/>
          <w:sz w:val="28"/>
          <w:szCs w:val="28"/>
        </w:rPr>
      </w:pPr>
      <w:r>
        <w:rPr>
          <w:rFonts w:ascii="Arial Black" w:hAnsi="Arial Black"/>
          <w:sz w:val="28"/>
          <w:szCs w:val="28"/>
        </w:rPr>
        <w:t>MA: FIRE CHIEF SELECTION PROCESS CHANGED TO ASSESSMENT CENTER – NO NEED BARGAIN WITH UNION</w:t>
      </w:r>
    </w:p>
    <w:p w14:paraId="3F802DBA" w14:textId="77777777" w:rsidR="00804F3A" w:rsidRDefault="00804F3A" w:rsidP="00804F3A">
      <w:pPr>
        <w:pStyle w:val="NormalWeb"/>
      </w:pPr>
      <w:r w:rsidRPr="00D32866">
        <w:t xml:space="preserve">On Oct. 27, </w:t>
      </w:r>
      <w:proofErr w:type="gramStart"/>
      <w:r w:rsidRPr="00D32866">
        <w:t>2022</w:t>
      </w:r>
      <w:proofErr w:type="gramEnd"/>
      <w:r w:rsidRPr="00D32866">
        <w:t xml:space="preserve"> in </w:t>
      </w:r>
      <w:r w:rsidRPr="00D32866">
        <w:rPr>
          <w:u w:val="single"/>
        </w:rPr>
        <w:t>City of Everett v. Commonwealth Employment Relations Board</w:t>
      </w:r>
      <w:r w:rsidRPr="00D32866">
        <w:t xml:space="preserve">, </w:t>
      </w:r>
      <w:r>
        <w:t xml:space="preserve">the Appeals Court of Massachusetts held (3 to 0), unpublished opinion, that the State Board incorrectly ordered the city to collectively bargain the changes in hiring Fire Chief. In Jan. 2019, after one year of informal dialog with the union, the City proceeded with Assessment Center process; only the seven Deputy Fire Chiefs were eligible to apply. </w:t>
      </w:r>
    </w:p>
    <w:p w14:paraId="3367102A" w14:textId="77777777" w:rsidR="00804F3A" w:rsidRPr="007B73F7" w:rsidRDefault="00804F3A" w:rsidP="00804F3A">
      <w:pPr>
        <w:spacing w:before="100" w:beforeAutospacing="1" w:after="100" w:afterAutospacing="1" w:line="240" w:lineRule="auto"/>
        <w:ind w:left="720"/>
      </w:pPr>
      <w:r>
        <w:rPr>
          <w:rFonts w:ascii="Times New Roman" w:eastAsia="Times New Roman" w:hAnsi="Times New Roman"/>
          <w:sz w:val="24"/>
          <w:szCs w:val="24"/>
        </w:rPr>
        <w:t>“</w:t>
      </w:r>
      <w:r w:rsidRPr="007B73F7">
        <w:rPr>
          <w:rFonts w:ascii="Times New Roman" w:eastAsia="Times New Roman" w:hAnsi="Times New Roman"/>
          <w:sz w:val="24"/>
          <w:szCs w:val="24"/>
        </w:rPr>
        <w:t xml:space="preserve">Under those circumstances, it is incorrect to say that the processes for selecting the fire chief impact the </w:t>
      </w:r>
      <w:r>
        <w:rPr>
          <w:rFonts w:ascii="Times New Roman" w:eastAsia="Times New Roman" w:hAnsi="Times New Roman"/>
          <w:sz w:val="24"/>
          <w:szCs w:val="24"/>
        </w:rPr>
        <w:t>‘</w:t>
      </w:r>
      <w:r w:rsidRPr="007B73F7">
        <w:rPr>
          <w:rFonts w:ascii="Times New Roman" w:eastAsia="Times New Roman" w:hAnsi="Times New Roman"/>
          <w:sz w:val="24"/>
          <w:szCs w:val="24"/>
        </w:rPr>
        <w:t>terms and conditions of employment</w:t>
      </w:r>
      <w:r>
        <w:rPr>
          <w:rFonts w:ascii="Times New Roman" w:eastAsia="Times New Roman" w:hAnsi="Times New Roman"/>
          <w:sz w:val="24"/>
          <w:szCs w:val="24"/>
        </w:rPr>
        <w:t>’</w:t>
      </w:r>
      <w:r w:rsidRPr="007B73F7">
        <w:rPr>
          <w:rFonts w:ascii="Times New Roman" w:eastAsia="Times New Roman" w:hAnsi="Times New Roman"/>
          <w:sz w:val="24"/>
          <w:szCs w:val="24"/>
        </w:rPr>
        <w:t xml:space="preserve"> of the deputy fire chiefs. The selection processes for </w:t>
      </w:r>
      <w:proofErr w:type="gramStart"/>
      <w:r w:rsidRPr="007B73F7">
        <w:rPr>
          <w:rFonts w:ascii="Times New Roman" w:eastAsia="Times New Roman" w:hAnsi="Times New Roman"/>
          <w:sz w:val="24"/>
          <w:szCs w:val="24"/>
        </w:rPr>
        <w:t>chief</w:t>
      </w:r>
      <w:proofErr w:type="gramEnd"/>
      <w:r w:rsidRPr="007B73F7">
        <w:rPr>
          <w:rFonts w:ascii="Times New Roman" w:eastAsia="Times New Roman" w:hAnsi="Times New Roman"/>
          <w:sz w:val="24"/>
          <w:szCs w:val="24"/>
        </w:rPr>
        <w:t xml:space="preserve"> do not change, alter, or impose upon the current jobs of the deputy chiefs or other bargaining unit employees. Rather, the selection process has to do with the deputies' efforts to </w:t>
      </w:r>
      <w:r w:rsidRPr="007B73F7">
        <w:rPr>
          <w:rFonts w:ascii="Times New Roman" w:eastAsia="Times New Roman" w:hAnsi="Times New Roman"/>
          <w:i/>
          <w:iCs/>
          <w:sz w:val="24"/>
          <w:szCs w:val="24"/>
        </w:rPr>
        <w:t>leave</w:t>
      </w:r>
      <w:r w:rsidRPr="007B73F7">
        <w:rPr>
          <w:rFonts w:ascii="Times New Roman" w:eastAsia="Times New Roman" w:hAnsi="Times New Roman"/>
          <w:sz w:val="24"/>
          <w:szCs w:val="24"/>
        </w:rPr>
        <w:t xml:space="preserve"> the bargaining unit and to become part of management, where they would occupy a supervisory </w:t>
      </w:r>
      <w:proofErr w:type="gramStart"/>
      <w:r w:rsidRPr="007B73F7">
        <w:rPr>
          <w:rFonts w:ascii="Times New Roman" w:eastAsia="Times New Roman" w:hAnsi="Times New Roman"/>
          <w:sz w:val="24"/>
          <w:szCs w:val="24"/>
        </w:rPr>
        <w:t>and in some ways</w:t>
      </w:r>
      <w:proofErr w:type="gramEnd"/>
      <w:r w:rsidRPr="007B73F7">
        <w:rPr>
          <w:rFonts w:ascii="Times New Roman" w:eastAsia="Times New Roman" w:hAnsi="Times New Roman"/>
          <w:sz w:val="24"/>
          <w:szCs w:val="24"/>
        </w:rPr>
        <w:t xml:space="preserve"> adverse position to the bargaining unit. As the chief officer, the city's fire chief, among his or her other duties, leads the department, acts under the direction of the mayor, works with employee organizations, responds to employee grievances, assists city officials in the collective bargaining process, and is a member of the city's management team. Cf. </w:t>
      </w:r>
      <w:r w:rsidRPr="007B73F7">
        <w:rPr>
          <w:rFonts w:ascii="Times New Roman" w:eastAsia="Times New Roman" w:hAnsi="Times New Roman"/>
          <w:i/>
          <w:iCs/>
          <w:sz w:val="24"/>
          <w:szCs w:val="24"/>
        </w:rPr>
        <w:t>Harrison v. Labor Relations Comm'n</w:t>
      </w:r>
      <w:r w:rsidRPr="007B73F7">
        <w:rPr>
          <w:rFonts w:ascii="Times New Roman" w:eastAsia="Times New Roman" w:hAnsi="Times New Roman"/>
          <w:sz w:val="24"/>
          <w:szCs w:val="24"/>
        </w:rPr>
        <w:t xml:space="preserve">, 363 Mass. 548, 553 (1973) (fire chiefs participate in development of department policy and implement it on behalf of management). The board's suggestion that bargaining is required because the fire chief position is part of the </w:t>
      </w:r>
      <w:r>
        <w:rPr>
          <w:rFonts w:ascii="Times New Roman" w:eastAsia="Times New Roman" w:hAnsi="Times New Roman"/>
          <w:sz w:val="24"/>
          <w:szCs w:val="24"/>
        </w:rPr>
        <w:t>‘</w:t>
      </w:r>
      <w:r w:rsidRPr="007B73F7">
        <w:rPr>
          <w:rFonts w:ascii="Times New Roman" w:eastAsia="Times New Roman" w:hAnsi="Times New Roman"/>
          <w:sz w:val="24"/>
          <w:szCs w:val="24"/>
        </w:rPr>
        <w:t>promotional ladder</w:t>
      </w:r>
      <w:r>
        <w:rPr>
          <w:rFonts w:ascii="Times New Roman" w:eastAsia="Times New Roman" w:hAnsi="Times New Roman"/>
          <w:sz w:val="24"/>
          <w:szCs w:val="24"/>
        </w:rPr>
        <w:t>’</w:t>
      </w:r>
      <w:r w:rsidRPr="007B73F7">
        <w:rPr>
          <w:rFonts w:ascii="Times New Roman" w:eastAsia="Times New Roman" w:hAnsi="Times New Roman"/>
          <w:sz w:val="24"/>
          <w:szCs w:val="24"/>
        </w:rPr>
        <w:t xml:space="preserve"> for deputy chiefs is accordingly inapt. The promotion the deputies seek here would have them cross over to a fundamentally different job.</w:t>
      </w:r>
      <w:r>
        <w:rPr>
          <w:rFonts w:ascii="Times New Roman" w:eastAsia="Times New Roman" w:hAnsi="Times New Roman"/>
          <w:sz w:val="24"/>
          <w:szCs w:val="24"/>
        </w:rPr>
        <w:t xml:space="preserve">” </w:t>
      </w:r>
      <w:hyperlink r:id="rId215" w:history="1">
        <w:r w:rsidRPr="00671E3F">
          <w:rPr>
            <w:rStyle w:val="Hyperlink"/>
          </w:rPr>
          <w:t>https://public.fastcase.com/J%2FJP6pdidelsXxEE4k%2BLMkioZ6zkCvVA2f7m8MUdZzFChRnZ9pflbw23TgjkZYaZMPShomsfddWFkLQb1Ctqwom4ggqunMxdJpiD327M8Vc%3D?utm_medium=email&amp;_hsmi=226712652&amp;_hsenc=p2ANqtz-90P1mb2f8SYEeO6UfPTx4asdEjFOhLhRS07BbmdC1-wrC8kVAiG6jT85m4y6VmZBAFGCFSBZmuZ2NfaZLtEQDLtFBeQ&amp;utm_content=226712652&amp;utm_source=hs_email</w:t>
        </w:r>
      </w:hyperlink>
      <w:r>
        <w:t xml:space="preserve"> </w:t>
      </w:r>
    </w:p>
    <w:p w14:paraId="1F0CB0C6" w14:textId="77777777" w:rsidR="00804F3A" w:rsidRPr="00D32866" w:rsidRDefault="00804F3A" w:rsidP="00804F3A">
      <w:pPr>
        <w:pStyle w:val="NormalWeb"/>
        <w:rPr>
          <w:b/>
          <w:bCs/>
        </w:rPr>
      </w:pPr>
      <w:r w:rsidRPr="00D32866">
        <w:rPr>
          <w:b/>
          <w:bCs/>
        </w:rPr>
        <w:t xml:space="preserve">Legal Lesson Learned: </w:t>
      </w:r>
      <w:r>
        <w:rPr>
          <w:b/>
          <w:bCs/>
        </w:rPr>
        <w:t xml:space="preserve">A change in the hiring process for Fire Chief did not impact terms and conditions of employment of union members. </w:t>
      </w:r>
    </w:p>
    <w:p w14:paraId="46C4844F" w14:textId="77777777" w:rsidR="00804F3A" w:rsidRDefault="00804F3A" w:rsidP="00F326E5">
      <w:pPr>
        <w:pStyle w:val="NoSpacing"/>
        <w:rPr>
          <w:rFonts w:ascii="Arial Black" w:hAnsi="Arial Black"/>
          <w:sz w:val="24"/>
          <w:szCs w:val="24"/>
        </w:rPr>
      </w:pPr>
    </w:p>
    <w:p w14:paraId="277DCC10" w14:textId="77777777" w:rsidR="00804F3A" w:rsidRDefault="00804F3A" w:rsidP="00F326E5">
      <w:pPr>
        <w:pStyle w:val="NoSpacing"/>
        <w:rPr>
          <w:rFonts w:ascii="Arial Black" w:hAnsi="Arial Black"/>
          <w:sz w:val="24"/>
          <w:szCs w:val="24"/>
        </w:rPr>
      </w:pPr>
    </w:p>
    <w:p w14:paraId="46C73A39" w14:textId="77777777" w:rsidR="00804F3A" w:rsidRDefault="00804F3A" w:rsidP="00F326E5">
      <w:pPr>
        <w:pStyle w:val="NoSpacing"/>
        <w:rPr>
          <w:rFonts w:ascii="Arial Black" w:hAnsi="Arial Black"/>
          <w:sz w:val="24"/>
          <w:szCs w:val="24"/>
        </w:rPr>
      </w:pPr>
    </w:p>
    <w:p w14:paraId="453EA59D" w14:textId="200A50B7" w:rsidR="00E8117B" w:rsidRDefault="00E8117B" w:rsidP="00F326E5">
      <w:pPr>
        <w:pStyle w:val="NoSpacing"/>
        <w:rPr>
          <w:rFonts w:ascii="Arial Black" w:hAnsi="Arial Black"/>
          <w:sz w:val="24"/>
          <w:szCs w:val="24"/>
        </w:rPr>
      </w:pPr>
      <w:r>
        <w:rPr>
          <w:rFonts w:ascii="Arial Black" w:hAnsi="Arial Black"/>
          <w:sz w:val="24"/>
          <w:szCs w:val="24"/>
        </w:rPr>
        <w:t>1-107</w:t>
      </w:r>
    </w:p>
    <w:p w14:paraId="5863698D" w14:textId="78D519FD" w:rsidR="00E8117B" w:rsidRDefault="00E8117B" w:rsidP="00F326E5">
      <w:pPr>
        <w:pStyle w:val="NoSpacing"/>
        <w:rPr>
          <w:rFonts w:ascii="Arial Black" w:hAnsi="Arial Black"/>
          <w:sz w:val="24"/>
          <w:szCs w:val="24"/>
        </w:rPr>
      </w:pPr>
    </w:p>
    <w:p w14:paraId="657F085E" w14:textId="77777777" w:rsidR="00E8117B" w:rsidRDefault="00E8117B" w:rsidP="00E8117B">
      <w:pPr>
        <w:pStyle w:val="NormalWeb"/>
        <w:rPr>
          <w:rFonts w:ascii="Arial Black" w:hAnsi="Arial Black"/>
          <w:b/>
          <w:bCs/>
          <w:sz w:val="28"/>
          <w:szCs w:val="28"/>
        </w:rPr>
      </w:pPr>
      <w:r>
        <w:rPr>
          <w:rFonts w:ascii="Arial Black" w:hAnsi="Arial Black"/>
          <w:b/>
          <w:bCs/>
          <w:sz w:val="28"/>
          <w:szCs w:val="28"/>
        </w:rPr>
        <w:t xml:space="preserve">MI: DRONE VIDEO OF JUNK YARD – NO ADMINISTRATIVE SEARCH WARRANT – MOTION TO SUPPRESS DENIED </w:t>
      </w:r>
    </w:p>
    <w:p w14:paraId="5570DB5C" w14:textId="77777777" w:rsidR="00E8117B" w:rsidRDefault="00E8117B" w:rsidP="00E8117B">
      <w:pPr>
        <w:pStyle w:val="NormalWeb"/>
      </w:pPr>
      <w:r>
        <w:t xml:space="preserve">On Sept. 15, 2022, in </w:t>
      </w:r>
      <w:r>
        <w:rPr>
          <w:u w:val="single"/>
        </w:rPr>
        <w:t>Long Lake Township v. Todd Maxon and Heather Maxon</w:t>
      </w:r>
      <w:r>
        <w:t xml:space="preserve">, the Court of Appeals of Michigan held (2 to1) that trial court judge properly denied the property owner’s motion to suppress aerial photographs taken by Long Lake Township using a drone without the </w:t>
      </w:r>
      <w:proofErr w:type="spellStart"/>
      <w:r>
        <w:t>Maxons</w:t>
      </w:r>
      <w:proofErr w:type="spellEnd"/>
      <w:r>
        <w:t xml:space="preserve">' permission, a warrant, or any other legal authorization.  </w:t>
      </w:r>
    </w:p>
    <w:p w14:paraId="659C30C3" w14:textId="77777777" w:rsidR="00E8117B" w:rsidRDefault="00E8117B" w:rsidP="00E8117B">
      <w:pPr>
        <w:pStyle w:val="NormalWeb"/>
        <w:ind w:left="720"/>
      </w:pPr>
      <w:r>
        <w:t xml:space="preserve">“The township relied on these photos to support a civil action against the </w:t>
      </w:r>
      <w:proofErr w:type="spellStart"/>
      <w:r>
        <w:t>Maxons</w:t>
      </w:r>
      <w:proofErr w:type="spellEnd"/>
      <w:r>
        <w:t xml:space="preserve"> for violating a zoning ordinance, creating a nuisance, and breaching a previous settlement agreement…. The exclusionary rule does not apply in this civil matter. Accordingly, even if the township violated the </w:t>
      </w:r>
      <w:proofErr w:type="spellStart"/>
      <w:r>
        <w:t>Maxons</w:t>
      </w:r>
      <w:proofErr w:type="spellEnd"/>
      <w:r>
        <w:t xml:space="preserve">' constitutional rights, suppression was not supported. We affirm the lower court's order.” </w:t>
      </w:r>
      <w:hyperlink r:id="rId216" w:history="1">
        <w:r>
          <w:rPr>
            <w:rStyle w:val="Hyperlink"/>
          </w:rPr>
          <w:t>https://caselaw.findlaw.com/mi-court-of-appeals/1912425.html</w:t>
        </w:r>
      </w:hyperlink>
      <w:r>
        <w:t xml:space="preserve"> </w:t>
      </w:r>
    </w:p>
    <w:p w14:paraId="406921BF" w14:textId="77777777" w:rsidR="00E8117B" w:rsidRDefault="00E8117B" w:rsidP="00E8117B">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The use of drones to enforce nuisance ordinance is a hot topic. Avoid unnecessary litigation, get an administrative search warrant prior to flying drone over the nuisance property. </w:t>
      </w:r>
    </w:p>
    <w:p w14:paraId="225301F6" w14:textId="77777777" w:rsidR="00E8117B" w:rsidRDefault="00E8117B" w:rsidP="00F326E5">
      <w:pPr>
        <w:pStyle w:val="NoSpacing"/>
        <w:rPr>
          <w:rFonts w:ascii="Arial Black" w:hAnsi="Arial Black"/>
          <w:sz w:val="24"/>
          <w:szCs w:val="24"/>
        </w:rPr>
      </w:pPr>
    </w:p>
    <w:p w14:paraId="14D14521" w14:textId="77777777" w:rsidR="00E8117B" w:rsidRDefault="00E8117B" w:rsidP="00F326E5">
      <w:pPr>
        <w:pStyle w:val="NoSpacing"/>
        <w:rPr>
          <w:rFonts w:ascii="Arial Black" w:hAnsi="Arial Black"/>
          <w:sz w:val="24"/>
          <w:szCs w:val="24"/>
        </w:rPr>
      </w:pPr>
    </w:p>
    <w:p w14:paraId="3303EF4E" w14:textId="0F6445AA" w:rsidR="00D5141D" w:rsidRDefault="00D5141D" w:rsidP="00F326E5">
      <w:pPr>
        <w:pStyle w:val="NoSpacing"/>
        <w:rPr>
          <w:rFonts w:ascii="Arial Black" w:hAnsi="Arial Black"/>
          <w:sz w:val="24"/>
          <w:szCs w:val="24"/>
        </w:rPr>
      </w:pPr>
      <w:r>
        <w:rPr>
          <w:rFonts w:ascii="Arial Black" w:hAnsi="Arial Black"/>
          <w:sz w:val="24"/>
          <w:szCs w:val="24"/>
        </w:rPr>
        <w:t>1-106</w:t>
      </w:r>
    </w:p>
    <w:p w14:paraId="0CC5C889" w14:textId="1AAAF53B" w:rsidR="00D5141D" w:rsidRDefault="00D5141D" w:rsidP="00F326E5">
      <w:pPr>
        <w:pStyle w:val="NoSpacing"/>
        <w:rPr>
          <w:rFonts w:ascii="Arial Black" w:hAnsi="Arial Black"/>
          <w:sz w:val="24"/>
          <w:szCs w:val="24"/>
        </w:rPr>
      </w:pPr>
    </w:p>
    <w:p w14:paraId="18CAC21A" w14:textId="77777777" w:rsidR="00D5141D" w:rsidRPr="002441FA" w:rsidRDefault="00D5141D" w:rsidP="00D5141D">
      <w:pPr>
        <w:pStyle w:val="NormalWeb"/>
        <w:rPr>
          <w:rStyle w:val="markedcontent"/>
          <w:rFonts w:ascii="Arial Black" w:hAnsi="Arial Black"/>
          <w:sz w:val="28"/>
          <w:szCs w:val="28"/>
        </w:rPr>
      </w:pPr>
      <w:r>
        <w:rPr>
          <w:rStyle w:val="markedcontent"/>
          <w:rFonts w:ascii="Arial Black" w:hAnsi="Arial Black"/>
          <w:sz w:val="28"/>
          <w:szCs w:val="28"/>
        </w:rPr>
        <w:t xml:space="preserve">OH: STOPPED TRAINS BLOCKING AMBULANCES – HONDA PLANT MARYSVILLE – CAN’T ENFORCE, FED. STATUTE  </w:t>
      </w:r>
    </w:p>
    <w:p w14:paraId="3585147F" w14:textId="7BF32E82" w:rsidR="00D5141D" w:rsidRDefault="00D5141D" w:rsidP="00D5141D">
      <w:pPr>
        <w:pStyle w:val="NormalWeb"/>
        <w:rPr>
          <w:rStyle w:val="markedcontent"/>
        </w:rPr>
      </w:pPr>
      <w:r>
        <w:rPr>
          <w:rStyle w:val="markedcontent"/>
        </w:rPr>
        <w:t xml:space="preserve">On Aug. 17, 2022, in </w:t>
      </w:r>
      <w:r w:rsidRPr="003748FC">
        <w:rPr>
          <w:rStyle w:val="markedcontent"/>
          <w:u w:val="single"/>
        </w:rPr>
        <w:t>The State of Ohio v. CSX Transportation, Inc</w:t>
      </w:r>
      <w:r>
        <w:rPr>
          <w:rStyle w:val="markedcontent"/>
        </w:rPr>
        <w:t xml:space="preserve">., </w:t>
      </w:r>
      <w:r w:rsidRPr="005A3C5F">
        <w:rPr>
          <w:rStyle w:val="markedcontent"/>
        </w:rPr>
        <w:t>Slip Opinion No. 2022-Ohio-2832</w:t>
      </w:r>
      <w:r>
        <w:rPr>
          <w:rStyle w:val="markedcontent"/>
        </w:rPr>
        <w:t xml:space="preserve">, the Ohio Supreme Court held (5 to 2) that federal law prohibits enforcement of state statute imposing $1,000 fine.  </w:t>
      </w:r>
      <w:r w:rsidRPr="007242C6">
        <w:rPr>
          <w:rStyle w:val="markedcontent"/>
        </w:rPr>
        <w:t xml:space="preserve">In 2018, the state charged CSX </w:t>
      </w:r>
      <w:r>
        <w:rPr>
          <w:rStyle w:val="markedcontent"/>
        </w:rPr>
        <w:t xml:space="preserve">on five occasions </w:t>
      </w:r>
      <w:r w:rsidRPr="007242C6">
        <w:rPr>
          <w:rStyle w:val="markedcontent"/>
        </w:rPr>
        <w:t xml:space="preserve">with violating </w:t>
      </w:r>
      <w:r>
        <w:rPr>
          <w:rStyle w:val="markedcontent"/>
        </w:rPr>
        <w:t xml:space="preserve">Ohio </w:t>
      </w:r>
      <w:r w:rsidRPr="007242C6">
        <w:rPr>
          <w:rStyle w:val="markedcontent"/>
        </w:rPr>
        <w:t>R.C. 5589.21</w:t>
      </w:r>
      <w:r>
        <w:rPr>
          <w:rStyle w:val="markedcontent"/>
        </w:rPr>
        <w:t xml:space="preserve"> [maximum of five minutes blocking] for blocking roadways for 45 minutes to one hour near the Honda plant, but the trial court judge in Marysville Municipal Court dismissed the charges. The Court of Appeals reversed, and CSX appealed to Ohio Supreme Court which agreed with trial court. “</w:t>
      </w:r>
      <w:r w:rsidRPr="007242C6">
        <w:rPr>
          <w:rStyle w:val="markedcontent"/>
        </w:rPr>
        <w:t>We acknowledge the significant danger to the public that is created</w:t>
      </w:r>
      <w:r>
        <w:rPr>
          <w:rStyle w:val="markedcontent"/>
        </w:rPr>
        <w:t xml:space="preserve"> </w:t>
      </w:r>
      <w:r w:rsidRPr="007242C6">
        <w:rPr>
          <w:rStyle w:val="markedcontent"/>
        </w:rPr>
        <w:t>when stopped trains obstruct the movement of first responders across railroad</w:t>
      </w:r>
      <w:r>
        <w:rPr>
          <w:rStyle w:val="markedcontent"/>
        </w:rPr>
        <w:t xml:space="preserve"> </w:t>
      </w:r>
      <w:r w:rsidRPr="007242C6">
        <w:rPr>
          <w:rStyle w:val="markedcontent"/>
        </w:rPr>
        <w:t>tracks. However, the regulation of railroad transportation is a matter of federal law,</w:t>
      </w:r>
      <w:r>
        <w:rPr>
          <w:rStyle w:val="markedcontent"/>
        </w:rPr>
        <w:t xml:space="preserve"> </w:t>
      </w:r>
      <w:r w:rsidRPr="007242C6">
        <w:rPr>
          <w:rStyle w:val="markedcontent"/>
        </w:rPr>
        <w:t xml:space="preserve">and the federal government alone has the power </w:t>
      </w:r>
      <w:r w:rsidRPr="007242C6">
        <w:rPr>
          <w:rStyle w:val="markedcontent"/>
        </w:rPr>
        <w:lastRenderedPageBreak/>
        <w:t>to address the threat to public</w:t>
      </w:r>
      <w:r>
        <w:rPr>
          <w:rStyle w:val="markedcontent"/>
        </w:rPr>
        <w:t xml:space="preserve"> </w:t>
      </w:r>
      <w:r w:rsidRPr="007242C6">
        <w:rPr>
          <w:rStyle w:val="markedcontent"/>
        </w:rPr>
        <w:t>safety caused by blocked crossings. Because R.C. 5589.21 is preempted, it cannot</w:t>
      </w:r>
      <w:r>
        <w:rPr>
          <w:rStyle w:val="markedcontent"/>
        </w:rPr>
        <w:t xml:space="preserve"> </w:t>
      </w:r>
      <w:r w:rsidRPr="007242C6">
        <w:rPr>
          <w:rStyle w:val="markedcontent"/>
        </w:rPr>
        <w:t>be enforced against CSX. The trial court correctly dismissed the charges in this</w:t>
      </w:r>
      <w:r>
        <w:rPr>
          <w:rStyle w:val="markedcontent"/>
        </w:rPr>
        <w:t xml:space="preserve"> </w:t>
      </w:r>
      <w:r w:rsidRPr="007242C6">
        <w:rPr>
          <w:rStyle w:val="markedcontent"/>
        </w:rPr>
        <w:t>case.</w:t>
      </w:r>
      <w:r>
        <w:rPr>
          <w:rStyle w:val="markedcontent"/>
        </w:rPr>
        <w:t xml:space="preserve">” </w:t>
      </w:r>
      <w:hyperlink r:id="rId217" w:history="1">
        <w:r w:rsidRPr="00D270FB">
          <w:rPr>
            <w:rStyle w:val="Hyperlink"/>
            <w:rFonts w:eastAsiaTheme="majorEastAsia"/>
          </w:rPr>
          <w:t>https://www.supremecourt.ohio.gov/rod/docs/pdf/0/2022/2022-Ohio-2832.pdf</w:t>
        </w:r>
      </w:hyperlink>
      <w:r>
        <w:rPr>
          <w:rStyle w:val="markedcontent"/>
        </w:rPr>
        <w:t xml:space="preserve"> </w:t>
      </w:r>
    </w:p>
    <w:p w14:paraId="2DB8423F" w14:textId="77777777" w:rsidR="00D5141D" w:rsidRPr="00A516F8" w:rsidRDefault="00D5141D" w:rsidP="00D5141D">
      <w:pPr>
        <w:pStyle w:val="NormalWeb"/>
        <w:rPr>
          <w:b/>
          <w:bCs/>
        </w:rPr>
      </w:pPr>
      <w:r w:rsidRPr="00A516F8">
        <w:rPr>
          <w:b/>
          <w:bCs/>
        </w:rPr>
        <w:t xml:space="preserve">Legal Lesson Learned: </w:t>
      </w:r>
      <w:r>
        <w:rPr>
          <w:b/>
          <w:bCs/>
        </w:rPr>
        <w:t xml:space="preserve">This case illustrates the power of railroad lobbyists to influence Congress in passing a statute that preempts state laws. </w:t>
      </w:r>
    </w:p>
    <w:p w14:paraId="10D23C43" w14:textId="77777777" w:rsidR="00D5141D" w:rsidRPr="006A5641" w:rsidRDefault="00D5141D" w:rsidP="00D5141D">
      <w:pPr>
        <w:pStyle w:val="NormalWeb"/>
        <w:ind w:left="720"/>
      </w:pPr>
      <w:r>
        <w:t xml:space="preserve">Note:  See article - </w:t>
      </w:r>
      <w:r w:rsidRPr="006A5641">
        <w:t xml:space="preserve">Aug. 17, 2022: OH - No More Punishment </w:t>
      </w:r>
      <w:proofErr w:type="gramStart"/>
      <w:r w:rsidRPr="006A5641">
        <w:t>For</w:t>
      </w:r>
      <w:proofErr w:type="gramEnd"/>
      <w:r w:rsidRPr="006A5641">
        <w:t xml:space="preserve"> Trains Blocking Crossings </w:t>
      </w:r>
      <w:proofErr w:type="gramStart"/>
      <w:r w:rsidRPr="006A5641">
        <w:t>In</w:t>
      </w:r>
      <w:proofErr w:type="gramEnd"/>
      <w:r w:rsidRPr="006A5641">
        <w:t xml:space="preserve"> Ohio.</w:t>
      </w:r>
      <w:r>
        <w:t xml:space="preserve">” </w:t>
      </w:r>
      <w:hyperlink r:id="rId218" w:history="1">
        <w:r w:rsidRPr="006A5641">
          <w:rPr>
            <w:rStyle w:val="Hyperlink"/>
            <w:rFonts w:eastAsiaTheme="majorEastAsia"/>
          </w:rPr>
          <w:t>https://local12.com/news/local/blocked-railroad-crossings-ohio-supreme-court-ruling-no-more-fines-trains-safety-butler-county-lockland-emergencies-csx-transportation-anti-blocking-law-federal-railroad-administration-cincinnati-local-12-wkrc-tristate-ohio-kentucky-indiana-news</w:t>
        </w:r>
      </w:hyperlink>
      <w:r w:rsidRPr="006A5641">
        <w:t xml:space="preserve"> </w:t>
      </w:r>
    </w:p>
    <w:p w14:paraId="6C5E93DB" w14:textId="77777777" w:rsidR="00D5141D" w:rsidRPr="00214856" w:rsidRDefault="00D5141D" w:rsidP="00D5141D">
      <w:pPr>
        <w:pStyle w:val="Heading1"/>
        <w:ind w:left="720"/>
        <w:rPr>
          <w:b w:val="0"/>
          <w:bCs w:val="0"/>
          <w:sz w:val="24"/>
          <w:szCs w:val="24"/>
        </w:rPr>
      </w:pPr>
      <w:r w:rsidRPr="00214856">
        <w:rPr>
          <w:b w:val="0"/>
          <w:bCs w:val="0"/>
          <w:sz w:val="24"/>
          <w:szCs w:val="24"/>
        </w:rPr>
        <w:t xml:space="preserve">See also Ohio Revised Code: Section 5589.21 </w:t>
      </w:r>
      <w:r w:rsidRPr="00214856">
        <w:rPr>
          <w:rStyle w:val="codes-separator"/>
          <w:b w:val="0"/>
          <w:bCs w:val="0"/>
          <w:sz w:val="24"/>
          <w:szCs w:val="24"/>
        </w:rPr>
        <w:t>|</w:t>
      </w:r>
      <w:r w:rsidRPr="00214856">
        <w:rPr>
          <w:b w:val="0"/>
          <w:bCs w:val="0"/>
          <w:sz w:val="24"/>
          <w:szCs w:val="24"/>
        </w:rPr>
        <w:t xml:space="preserve"> Obstruction of roads by railroads. </w:t>
      </w:r>
      <w:hyperlink r:id="rId219" w:anchor=":~:text=(A)%20No%20railroad%20company%20shall,passing%20along%20or%20upon%20such" w:history="1">
        <w:r w:rsidRPr="00214856">
          <w:rPr>
            <w:rStyle w:val="Hyperlink"/>
            <w:rFonts w:eastAsiaTheme="majorEastAsia"/>
            <w:b w:val="0"/>
            <w:bCs w:val="0"/>
            <w:sz w:val="24"/>
            <w:szCs w:val="24"/>
          </w:rPr>
          <w:t>https://codes.ohio.gov/ohio-revised-code/section-5589.21#:~:text=(A)%20No%20railroad%20company%20shall,passing%20along%20or%20upon%20such</w:t>
        </w:r>
      </w:hyperlink>
      <w:r w:rsidRPr="00214856">
        <w:rPr>
          <w:b w:val="0"/>
          <w:bCs w:val="0"/>
          <w:sz w:val="24"/>
          <w:szCs w:val="24"/>
        </w:rPr>
        <w:t xml:space="preserve"> </w:t>
      </w:r>
    </w:p>
    <w:p w14:paraId="2B8E9A86" w14:textId="77777777" w:rsidR="00D5141D" w:rsidRDefault="00D5141D" w:rsidP="00F326E5">
      <w:pPr>
        <w:pStyle w:val="NoSpacing"/>
        <w:rPr>
          <w:rFonts w:ascii="Arial Black" w:hAnsi="Arial Black"/>
          <w:sz w:val="24"/>
          <w:szCs w:val="24"/>
        </w:rPr>
      </w:pPr>
    </w:p>
    <w:p w14:paraId="5E7373F9" w14:textId="77777777" w:rsidR="00D5141D" w:rsidRDefault="00D5141D" w:rsidP="00F326E5">
      <w:pPr>
        <w:pStyle w:val="NoSpacing"/>
        <w:rPr>
          <w:rFonts w:ascii="Arial Black" w:hAnsi="Arial Black"/>
          <w:sz w:val="24"/>
          <w:szCs w:val="24"/>
        </w:rPr>
      </w:pPr>
    </w:p>
    <w:p w14:paraId="24B16D64" w14:textId="77777777" w:rsidR="00D5141D" w:rsidRDefault="00D5141D" w:rsidP="00F326E5">
      <w:pPr>
        <w:pStyle w:val="NoSpacing"/>
        <w:rPr>
          <w:rFonts w:ascii="Arial Black" w:hAnsi="Arial Black"/>
          <w:sz w:val="24"/>
          <w:szCs w:val="24"/>
        </w:rPr>
      </w:pPr>
    </w:p>
    <w:p w14:paraId="08B8A70A" w14:textId="0E350FF2" w:rsidR="006D2C51" w:rsidRDefault="006D2C51" w:rsidP="00F326E5">
      <w:pPr>
        <w:pStyle w:val="NoSpacing"/>
        <w:rPr>
          <w:rFonts w:ascii="Arial Black" w:hAnsi="Arial Black"/>
          <w:sz w:val="24"/>
          <w:szCs w:val="24"/>
        </w:rPr>
      </w:pPr>
      <w:r>
        <w:rPr>
          <w:rFonts w:ascii="Arial Black" w:hAnsi="Arial Black"/>
          <w:sz w:val="24"/>
          <w:szCs w:val="24"/>
        </w:rPr>
        <w:t>1-105</w:t>
      </w:r>
    </w:p>
    <w:p w14:paraId="3347D185" w14:textId="3FF365A1" w:rsidR="006D2C51" w:rsidRDefault="006D2C51" w:rsidP="00F326E5">
      <w:pPr>
        <w:pStyle w:val="NoSpacing"/>
        <w:rPr>
          <w:rFonts w:ascii="Arial Black" w:hAnsi="Arial Black"/>
          <w:sz w:val="24"/>
          <w:szCs w:val="24"/>
        </w:rPr>
      </w:pPr>
    </w:p>
    <w:p w14:paraId="3746E794" w14:textId="1049C11B" w:rsidR="006D2C51" w:rsidRPr="00825136" w:rsidRDefault="006D2C51" w:rsidP="006D2C51">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PA: ARSON – TENANT 3 MONTHS BEHIND ON HIS RENT -</w:t>
      </w:r>
      <w:r w:rsidR="004432C8">
        <w:rPr>
          <w:rFonts w:ascii="Arial Black" w:eastAsia="Times New Roman" w:hAnsi="Arial Black"/>
          <w:sz w:val="28"/>
          <w:szCs w:val="28"/>
        </w:rPr>
        <w:t xml:space="preserve"> </w:t>
      </w:r>
      <w:r>
        <w:rPr>
          <w:rFonts w:ascii="Arial Black" w:eastAsia="Times New Roman" w:hAnsi="Arial Black"/>
          <w:sz w:val="28"/>
          <w:szCs w:val="28"/>
        </w:rPr>
        <w:t>EVICTED DAY OF FIRE IN HIS ROOM – CONV. UPHELD</w:t>
      </w:r>
    </w:p>
    <w:p w14:paraId="4D530659" w14:textId="77777777" w:rsidR="00A40065" w:rsidRDefault="006D2C51" w:rsidP="006D2C51">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July 5, 2022, in </w:t>
      </w:r>
      <w:r w:rsidRPr="00825136">
        <w:rPr>
          <w:rFonts w:ascii="Times New Roman" w:eastAsia="Times New Roman" w:hAnsi="Times New Roman"/>
          <w:sz w:val="24"/>
          <w:szCs w:val="24"/>
          <w:u w:val="single"/>
        </w:rPr>
        <w:t>Commonwealth of Pennsylvania v. Wesley Wise</w:t>
      </w:r>
      <w:r>
        <w:rPr>
          <w:rFonts w:ascii="Times New Roman" w:eastAsia="Times New Roman" w:hAnsi="Times New Roman"/>
          <w:sz w:val="24"/>
          <w:szCs w:val="24"/>
        </w:rPr>
        <w:t xml:space="preserve">, the Superior Court of Pennsylvania held (3 to 0) in non-precedential decision, that conviction by trial judge after a bench trial [no jury] is affirmed.  Circumstantial evidence is sufficient to </w:t>
      </w:r>
      <w:proofErr w:type="gramStart"/>
      <w:r>
        <w:rPr>
          <w:rFonts w:ascii="Times New Roman" w:eastAsia="Times New Roman" w:hAnsi="Times New Roman"/>
          <w:sz w:val="24"/>
          <w:szCs w:val="24"/>
        </w:rPr>
        <w:t>convict for</w:t>
      </w:r>
      <w:proofErr w:type="gramEnd"/>
      <w:r>
        <w:rPr>
          <w:rFonts w:ascii="Times New Roman" w:eastAsia="Times New Roman" w:hAnsi="Times New Roman"/>
          <w:sz w:val="24"/>
          <w:szCs w:val="24"/>
        </w:rPr>
        <w:t xml:space="preserve"> arson. “</w:t>
      </w:r>
      <w:r w:rsidRPr="00073F76">
        <w:rPr>
          <w:rFonts w:ascii="Times New Roman" w:hAnsi="Times New Roman"/>
          <w:sz w:val="24"/>
          <w:szCs w:val="24"/>
        </w:rPr>
        <w:t xml:space="preserve">Direct evidence is not required. </w:t>
      </w:r>
      <w:r>
        <w:rPr>
          <w:rFonts w:ascii="Times New Roman" w:hAnsi="Times New Roman"/>
          <w:sz w:val="24"/>
          <w:szCs w:val="24"/>
        </w:rPr>
        <w:t>‘</w:t>
      </w:r>
      <w:r w:rsidRPr="00073F76">
        <w:rPr>
          <w:rFonts w:ascii="Times New Roman" w:hAnsi="Times New Roman"/>
          <w:sz w:val="24"/>
          <w:szCs w:val="24"/>
        </w:rPr>
        <w:t>[P]roof of guilt especially in arson cases, may be established [through] circumstantial evidence.</w:t>
      </w:r>
      <w:r>
        <w:rPr>
          <w:rFonts w:ascii="Times New Roman" w:hAnsi="Times New Roman"/>
          <w:sz w:val="24"/>
          <w:szCs w:val="24"/>
        </w:rPr>
        <w:t>’</w:t>
      </w:r>
      <w:r w:rsidRPr="00073F76">
        <w:rPr>
          <w:rFonts w:ascii="Times New Roman" w:hAnsi="Times New Roman"/>
          <w:sz w:val="24"/>
          <w:szCs w:val="24"/>
        </w:rPr>
        <w:t xml:space="preserve"> </w:t>
      </w:r>
      <w:r w:rsidRPr="00073F76">
        <w:rPr>
          <w:rStyle w:val="Emphasis"/>
          <w:rFonts w:ascii="Times New Roman" w:hAnsi="Times New Roman"/>
          <w:sz w:val="24"/>
          <w:szCs w:val="24"/>
        </w:rPr>
        <w:t>Commonwealth v. Counterman</w:t>
      </w:r>
      <w:r w:rsidRPr="00073F76">
        <w:rPr>
          <w:rFonts w:ascii="Times New Roman" w:hAnsi="Times New Roman"/>
          <w:sz w:val="24"/>
          <w:szCs w:val="24"/>
        </w:rPr>
        <w:t>, 719 A.2d 284 (Pa. 1998) (</w:t>
      </w:r>
      <w:r w:rsidRPr="00073F76">
        <w:rPr>
          <w:rStyle w:val="Emphasis"/>
          <w:rFonts w:ascii="Times New Roman" w:hAnsi="Times New Roman"/>
          <w:sz w:val="24"/>
          <w:szCs w:val="24"/>
        </w:rPr>
        <w:t>quoting Commonwealth v. DiNicola</w:t>
      </w:r>
      <w:r w:rsidRPr="00073F76">
        <w:rPr>
          <w:rFonts w:ascii="Times New Roman" w:hAnsi="Times New Roman"/>
          <w:sz w:val="24"/>
          <w:szCs w:val="24"/>
        </w:rPr>
        <w:t xml:space="preserve">, 468 A.2d 1078, 1081 (Pa. 1983). </w:t>
      </w:r>
      <w:r>
        <w:rPr>
          <w:rFonts w:ascii="Times New Roman" w:hAnsi="Times New Roman"/>
          <w:sz w:val="24"/>
          <w:szCs w:val="24"/>
        </w:rPr>
        <w:t>‘</w:t>
      </w:r>
      <w:r w:rsidRPr="00073F76">
        <w:rPr>
          <w:rFonts w:ascii="Times New Roman" w:hAnsi="Times New Roman"/>
          <w:sz w:val="24"/>
          <w:szCs w:val="24"/>
        </w:rPr>
        <w:t>[A]</w:t>
      </w:r>
      <w:proofErr w:type="spellStart"/>
      <w:proofErr w:type="gramStart"/>
      <w:r w:rsidRPr="00073F76">
        <w:rPr>
          <w:rFonts w:ascii="Times New Roman" w:hAnsi="Times New Roman"/>
          <w:sz w:val="24"/>
          <w:szCs w:val="24"/>
        </w:rPr>
        <w:t>rson</w:t>
      </w:r>
      <w:proofErr w:type="spellEnd"/>
      <w:proofErr w:type="gramEnd"/>
      <w:r w:rsidRPr="00073F76">
        <w:rPr>
          <w:rFonts w:ascii="Times New Roman" w:hAnsi="Times New Roman"/>
          <w:sz w:val="24"/>
          <w:szCs w:val="24"/>
        </w:rPr>
        <w:t>, by its very nature, is rarely committed in the presence of others, and a refusal to convict on circumstantial evidence alone would be tantamount to an invitation to commit the crime.</w:t>
      </w:r>
      <w:r>
        <w:rPr>
          <w:rFonts w:ascii="Times New Roman" w:hAnsi="Times New Roman"/>
          <w:sz w:val="24"/>
          <w:szCs w:val="24"/>
        </w:rPr>
        <w:t>’</w:t>
      </w:r>
      <w:r w:rsidRPr="00073F76">
        <w:rPr>
          <w:rFonts w:ascii="Times New Roman" w:hAnsi="Times New Roman"/>
          <w:sz w:val="24"/>
          <w:szCs w:val="24"/>
        </w:rPr>
        <w:t xml:space="preserve"> </w:t>
      </w:r>
      <w:r w:rsidRPr="00073F76">
        <w:rPr>
          <w:rStyle w:val="Emphasis"/>
          <w:rFonts w:ascii="Times New Roman" w:hAnsi="Times New Roman"/>
          <w:sz w:val="24"/>
          <w:szCs w:val="24"/>
        </w:rPr>
        <w:t>Commonwealth v. Colon</w:t>
      </w:r>
      <w:r w:rsidRPr="00073F76">
        <w:rPr>
          <w:rFonts w:ascii="Times New Roman" w:hAnsi="Times New Roman"/>
          <w:sz w:val="24"/>
          <w:szCs w:val="24"/>
        </w:rPr>
        <w:t>, 399 A.2d 1068, 1073 (Pa. Super. 1979).</w:t>
      </w:r>
      <w:r>
        <w:rPr>
          <w:rFonts w:ascii="Times New Roman" w:hAnsi="Times New Roman"/>
          <w:sz w:val="24"/>
          <w:szCs w:val="24"/>
        </w:rPr>
        <w:t xml:space="preserve"> *** </w:t>
      </w:r>
      <w:r w:rsidRPr="0034236E">
        <w:rPr>
          <w:rFonts w:ascii="Times New Roman" w:hAnsi="Times New Roman"/>
          <w:sz w:val="24"/>
          <w:szCs w:val="24"/>
        </w:rPr>
        <w:t>Indisputably, an individual started the fire with an open flame in Wise's bedroom closet; no one except Wise had been in there. Wise, who was evicted as of the day of the fire, left the house carrying a bag; he was the only one who had a reason to start the fire. Not long after he left, the smoke alarm went off; this is evident despite the varying times reflected in the record. Ms. Owens and Mr. Bowe risked their lives and tried to extinguish the fire but had to evacuate, along with Ms. Owens' two young grandchildren. The trial court evidently did not believe Ms. Minnis' testimony that Wise was at her house since early on the day of the fire.</w:t>
      </w:r>
      <w:r>
        <w:rPr>
          <w:rFonts w:ascii="Times New Roman" w:hAnsi="Times New Roman"/>
          <w:sz w:val="24"/>
          <w:szCs w:val="24"/>
        </w:rPr>
        <w:t xml:space="preserve">” </w:t>
      </w:r>
      <w:hyperlink r:id="rId220" w:history="1">
        <w:r w:rsidRPr="00661DF4">
          <w:rPr>
            <w:rStyle w:val="Hyperlink"/>
            <w:rFonts w:ascii="Times New Roman" w:hAnsi="Times New Roman"/>
            <w:sz w:val="24"/>
            <w:szCs w:val="24"/>
          </w:rPr>
          <w:t>https://casetext.com/case/commonwealth-v-wise-36</w:t>
        </w:r>
      </w:hyperlink>
      <w:r>
        <w:rPr>
          <w:rFonts w:ascii="Times New Roman" w:hAnsi="Times New Roman"/>
          <w:sz w:val="24"/>
          <w:szCs w:val="24"/>
        </w:rPr>
        <w:t xml:space="preserve"> </w:t>
      </w:r>
    </w:p>
    <w:p w14:paraId="399D9ACA" w14:textId="75BF775C" w:rsidR="006D2C51" w:rsidRPr="000B73D4" w:rsidRDefault="006D2C51" w:rsidP="006D2C51">
      <w:pPr>
        <w:spacing w:before="100" w:beforeAutospacing="1" w:after="100" w:afterAutospacing="1" w:line="240" w:lineRule="auto"/>
        <w:rPr>
          <w:rFonts w:ascii="Times New Roman" w:eastAsia="Times New Roman" w:hAnsi="Times New Roman"/>
          <w:sz w:val="24"/>
          <w:szCs w:val="24"/>
        </w:rPr>
      </w:pPr>
      <w:r w:rsidRPr="00E97CB8">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Circumstantial evidence may lead to arson conviction.</w:t>
      </w:r>
      <w:r w:rsidRPr="00AD3CF7">
        <w:rPr>
          <w:rFonts w:ascii="Times New Roman" w:eastAsia="Times New Roman" w:hAnsi="Times New Roman"/>
          <w:sz w:val="24"/>
          <w:szCs w:val="24"/>
        </w:rPr>
        <w:t xml:space="preserve"> </w:t>
      </w:r>
      <w:r w:rsidRPr="000B73D4">
        <w:rPr>
          <w:rFonts w:ascii="Times New Roman" w:eastAsia="Times New Roman" w:hAnsi="Times New Roman"/>
          <w:sz w:val="24"/>
          <w:szCs w:val="24"/>
        </w:rPr>
        <w:t xml:space="preserve">    </w:t>
      </w:r>
    </w:p>
    <w:p w14:paraId="778EAB19" w14:textId="77777777" w:rsidR="006D2C51" w:rsidRDefault="006D2C51" w:rsidP="00F326E5">
      <w:pPr>
        <w:pStyle w:val="NoSpacing"/>
        <w:rPr>
          <w:rFonts w:ascii="Arial Black" w:hAnsi="Arial Black"/>
          <w:sz w:val="24"/>
          <w:szCs w:val="24"/>
        </w:rPr>
      </w:pPr>
    </w:p>
    <w:p w14:paraId="4F87B00D" w14:textId="77777777" w:rsidR="006D2C51" w:rsidRDefault="006D2C51" w:rsidP="00F326E5">
      <w:pPr>
        <w:pStyle w:val="NoSpacing"/>
        <w:rPr>
          <w:rFonts w:ascii="Arial Black" w:hAnsi="Arial Black"/>
          <w:sz w:val="24"/>
          <w:szCs w:val="24"/>
        </w:rPr>
      </w:pPr>
    </w:p>
    <w:p w14:paraId="42FE7CC0" w14:textId="2EECDA83" w:rsidR="0073564D" w:rsidRDefault="0073564D" w:rsidP="00F326E5">
      <w:pPr>
        <w:pStyle w:val="NoSpacing"/>
        <w:rPr>
          <w:rFonts w:ascii="Arial Black" w:hAnsi="Arial Black"/>
          <w:sz w:val="24"/>
          <w:szCs w:val="24"/>
        </w:rPr>
      </w:pPr>
      <w:r>
        <w:rPr>
          <w:rFonts w:ascii="Arial Black" w:hAnsi="Arial Black"/>
          <w:sz w:val="24"/>
          <w:szCs w:val="24"/>
        </w:rPr>
        <w:t>1-104</w:t>
      </w:r>
    </w:p>
    <w:p w14:paraId="624F6D16" w14:textId="1C18D2D7" w:rsidR="0073564D" w:rsidRDefault="0073564D" w:rsidP="00F326E5">
      <w:pPr>
        <w:pStyle w:val="NoSpacing"/>
        <w:rPr>
          <w:rFonts w:ascii="Arial Black" w:hAnsi="Arial Black"/>
          <w:sz w:val="24"/>
          <w:szCs w:val="24"/>
        </w:rPr>
      </w:pPr>
    </w:p>
    <w:p w14:paraId="0D27CCCF" w14:textId="77777777" w:rsidR="0073564D" w:rsidRDefault="0073564D" w:rsidP="0073564D">
      <w:pPr>
        <w:pStyle w:val="Heading1"/>
        <w:rPr>
          <w:rFonts w:ascii="Arial Black" w:hAnsi="Arial Black"/>
          <w:sz w:val="28"/>
          <w:szCs w:val="28"/>
        </w:rPr>
      </w:pPr>
      <w:r>
        <w:rPr>
          <w:rFonts w:ascii="Arial Black" w:hAnsi="Arial Black"/>
          <w:sz w:val="28"/>
          <w:szCs w:val="28"/>
        </w:rPr>
        <w:lastRenderedPageBreak/>
        <w:t>IL: ANNUAL TESTING FIRE ALARMS REQ. EACH 48 UNITS – CONDO ASSOC. MUST GET OWNERS TO ALLOW TESTER</w:t>
      </w:r>
    </w:p>
    <w:p w14:paraId="4AE8EC5A" w14:textId="77777777" w:rsidR="0073564D" w:rsidRDefault="0073564D" w:rsidP="0073564D">
      <w:pPr>
        <w:pStyle w:val="Heading1"/>
        <w:rPr>
          <w:b w:val="0"/>
          <w:bCs w:val="0"/>
          <w:sz w:val="24"/>
          <w:szCs w:val="24"/>
        </w:rPr>
      </w:pPr>
      <w:r>
        <w:rPr>
          <w:b w:val="0"/>
          <w:bCs w:val="0"/>
          <w:sz w:val="24"/>
          <w:szCs w:val="24"/>
        </w:rPr>
        <w:t xml:space="preserve">On June 21, 2022, in </w:t>
      </w:r>
      <w:r>
        <w:rPr>
          <w:b w:val="0"/>
          <w:bCs w:val="0"/>
          <w:sz w:val="24"/>
          <w:szCs w:val="24"/>
          <w:u w:val="single"/>
        </w:rPr>
        <w:t>The Village of Downers Grove v. Village Square III Condominium Association</w:t>
      </w:r>
      <w:r>
        <w:rPr>
          <w:b w:val="0"/>
          <w:bCs w:val="0"/>
          <w:sz w:val="24"/>
          <w:szCs w:val="24"/>
        </w:rPr>
        <w:t xml:space="preserve">, the Court of Appeals of Illinois, Second District, held (3 to 0), 2022 IL App (2d) 210098, that the trial court, after a bench trial [no jury] properly upheld the citations. The complex consists of three separate two-story buildings, two that contain 18 units and one that contains 12 units, for a total of 48 units. None of the units </w:t>
      </w:r>
      <w:proofErr w:type="gramStart"/>
      <w:r>
        <w:rPr>
          <w:b w:val="0"/>
          <w:bCs w:val="0"/>
          <w:sz w:val="24"/>
          <w:szCs w:val="24"/>
        </w:rPr>
        <w:t>shares</w:t>
      </w:r>
      <w:proofErr w:type="gramEnd"/>
      <w:r>
        <w:rPr>
          <w:b w:val="0"/>
          <w:bCs w:val="0"/>
          <w:sz w:val="24"/>
          <w:szCs w:val="24"/>
        </w:rPr>
        <w:t xml:space="preserve"> any common entrances/exits or hallways. Rather, each unit has its own separate entrance/exit at grade level.  The fire alarms can only be accessed by unit owner allowing in outside testing company. The trial judge “ultimately found it was required to assess a daily fine and imposed an aggregate fine of $23, 475, which consisted of $75 per day for each of the 313 days between December 21, 2017, and October 29, 2018.”  </w:t>
      </w:r>
      <w:hyperlink r:id="rId221" w:history="1">
        <w:r>
          <w:rPr>
            <w:rStyle w:val="Hyperlink"/>
            <w:sz w:val="24"/>
            <w:szCs w:val="24"/>
          </w:rPr>
          <w:t>https://casetext.com/case/the-vill-of-downers-grove-v-vill-square-iii-condo-assn</w:t>
        </w:r>
      </w:hyperlink>
      <w:r>
        <w:rPr>
          <w:b w:val="0"/>
          <w:bCs w:val="0"/>
          <w:sz w:val="24"/>
          <w:szCs w:val="24"/>
        </w:rPr>
        <w:t xml:space="preserve"> </w:t>
      </w:r>
    </w:p>
    <w:p w14:paraId="0FE86FFD" w14:textId="77777777" w:rsidR="009A0402" w:rsidRDefault="009A0402" w:rsidP="009A0402">
      <w:pPr>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The Condo Association needs to educate unit </w:t>
      </w:r>
      <w:proofErr w:type="gramStart"/>
      <w:r>
        <w:rPr>
          <w:rFonts w:ascii="Times New Roman" w:hAnsi="Times New Roman"/>
          <w:b/>
          <w:bCs/>
          <w:sz w:val="24"/>
          <w:szCs w:val="24"/>
        </w:rPr>
        <w:t>owners, and</w:t>
      </w:r>
      <w:proofErr w:type="gramEnd"/>
      <w:r>
        <w:rPr>
          <w:rFonts w:ascii="Times New Roman" w:hAnsi="Times New Roman"/>
          <w:b/>
          <w:bCs/>
          <w:sz w:val="24"/>
          <w:szCs w:val="24"/>
        </w:rPr>
        <w:t xml:space="preserve"> adopt by laws that they must allow in the alarm testing company.   </w:t>
      </w:r>
    </w:p>
    <w:p w14:paraId="303DCFB1" w14:textId="77777777" w:rsidR="009A0402" w:rsidRDefault="009A0402" w:rsidP="00F326E5">
      <w:pPr>
        <w:pStyle w:val="NoSpacing"/>
        <w:rPr>
          <w:rFonts w:ascii="Arial Black" w:hAnsi="Arial Black"/>
          <w:sz w:val="24"/>
          <w:szCs w:val="24"/>
        </w:rPr>
      </w:pPr>
    </w:p>
    <w:p w14:paraId="2B083BEF" w14:textId="5D10BE65" w:rsidR="009579EB" w:rsidRPr="009579EB" w:rsidRDefault="009579EB" w:rsidP="00F326E5">
      <w:pPr>
        <w:pStyle w:val="NoSpacing"/>
        <w:rPr>
          <w:rFonts w:ascii="Arial Black" w:hAnsi="Arial Black"/>
          <w:sz w:val="24"/>
          <w:szCs w:val="24"/>
        </w:rPr>
      </w:pPr>
      <w:r w:rsidRPr="009579EB">
        <w:rPr>
          <w:rFonts w:ascii="Arial Black" w:hAnsi="Arial Black"/>
          <w:sz w:val="24"/>
          <w:szCs w:val="24"/>
        </w:rPr>
        <w:t>1-103</w:t>
      </w:r>
    </w:p>
    <w:p w14:paraId="0F000359" w14:textId="77777777" w:rsidR="009579EB" w:rsidRPr="00E93614" w:rsidRDefault="009579EB" w:rsidP="009579EB">
      <w:pPr>
        <w:spacing w:before="100" w:beforeAutospacing="1" w:after="100" w:afterAutospacing="1" w:line="240" w:lineRule="auto"/>
        <w:rPr>
          <w:rFonts w:ascii="Arial Black" w:eastAsia="Times New Roman" w:hAnsi="Arial Black"/>
          <w:sz w:val="28"/>
          <w:szCs w:val="28"/>
        </w:rPr>
      </w:pPr>
      <w:r>
        <w:rPr>
          <w:rFonts w:ascii="Arial Black" w:hAnsi="Arial Black"/>
          <w:b/>
          <w:sz w:val="28"/>
          <w:szCs w:val="28"/>
        </w:rPr>
        <w:t>AL: DEP. FIRE MARSHAL NO IMMUNITY – FALSELY TOLD PROS. DEF. ADMITTED BURN BARREL DESTROY EVIDENCE</w:t>
      </w:r>
    </w:p>
    <w:p w14:paraId="0E8D380A" w14:textId="29CC9FF9" w:rsidR="009579EB" w:rsidRDefault="009579EB" w:rsidP="009579EB">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May 27, 2022, in </w:t>
      </w:r>
      <w:r w:rsidRPr="00CD21F9">
        <w:rPr>
          <w:rFonts w:ascii="Times New Roman" w:eastAsia="Times New Roman" w:hAnsi="Times New Roman"/>
          <w:sz w:val="24"/>
          <w:szCs w:val="24"/>
          <w:u w:val="single"/>
        </w:rPr>
        <w:t xml:space="preserve">Ex </w:t>
      </w:r>
      <w:proofErr w:type="spellStart"/>
      <w:r w:rsidRPr="00CD21F9">
        <w:rPr>
          <w:rFonts w:ascii="Times New Roman" w:eastAsia="Times New Roman" w:hAnsi="Times New Roman"/>
          <w:sz w:val="24"/>
          <w:szCs w:val="24"/>
          <w:u w:val="single"/>
        </w:rPr>
        <w:t>parte</w:t>
      </w:r>
      <w:proofErr w:type="spellEnd"/>
      <w:r w:rsidRPr="00CD21F9">
        <w:rPr>
          <w:rFonts w:ascii="Times New Roman" w:eastAsia="Times New Roman" w:hAnsi="Times New Roman"/>
          <w:sz w:val="24"/>
          <w:szCs w:val="24"/>
          <w:u w:val="single"/>
        </w:rPr>
        <w:t xml:space="preserve"> Greg Pinkard</w:t>
      </w:r>
      <w:r>
        <w:rPr>
          <w:rFonts w:ascii="Times New Roman" w:eastAsia="Times New Roman" w:hAnsi="Times New Roman"/>
          <w:sz w:val="24"/>
          <w:szCs w:val="24"/>
          <w:u w:val="single"/>
        </w:rPr>
        <w:t xml:space="preserve"> (</w:t>
      </w:r>
      <w:r w:rsidRPr="00CD21F9">
        <w:rPr>
          <w:rFonts w:ascii="Times New Roman" w:eastAsia="Times New Roman" w:hAnsi="Times New Roman"/>
          <w:sz w:val="24"/>
          <w:szCs w:val="24"/>
          <w:u w:val="single"/>
        </w:rPr>
        <w:t>In re; Ronnie Taylor v. Allstate Property &amp; Casualty Insurance Company, et al.</w:t>
      </w:r>
      <w:r>
        <w:rPr>
          <w:rFonts w:ascii="Times New Roman" w:eastAsia="Times New Roman" w:hAnsi="Times New Roman"/>
          <w:sz w:val="24"/>
          <w:szCs w:val="24"/>
          <w:u w:val="single"/>
        </w:rPr>
        <w:t>)</w:t>
      </w:r>
      <w:r>
        <w:rPr>
          <w:rFonts w:ascii="Times New Roman" w:eastAsia="Times New Roman" w:hAnsi="Times New Roman"/>
          <w:sz w:val="24"/>
          <w:szCs w:val="24"/>
        </w:rPr>
        <w:t xml:space="preserve">, the Supreme Court of Alabama held (8 to 0) that State Deputy Fire Marshal Greg Pinkard’s is not entitled to governmental immunity, holding that the trial court judge properly held he can be personally sued for malicious prosecution and defamation for allegedly falsely reporting to District Attorney’s Office that the owner of a cabin [a volunteer FF] had admitted to placing </w:t>
      </w:r>
      <w:r w:rsidRPr="002A073B">
        <w:rPr>
          <w:rFonts w:ascii="Times New Roman" w:eastAsia="Times New Roman" w:hAnsi="Times New Roman"/>
          <w:sz w:val="24"/>
          <w:szCs w:val="24"/>
        </w:rPr>
        <w:t xml:space="preserve">a </w:t>
      </w:r>
      <w:r>
        <w:rPr>
          <w:rFonts w:ascii="Times New Roman" w:eastAsia="Times New Roman" w:hAnsi="Times New Roman"/>
          <w:sz w:val="24"/>
          <w:szCs w:val="24"/>
        </w:rPr>
        <w:t>55-gallon steel barrel “</w:t>
      </w:r>
      <w:r w:rsidRPr="002A073B">
        <w:rPr>
          <w:rFonts w:ascii="Times New Roman" w:hAnsi="Times New Roman"/>
          <w:sz w:val="24"/>
          <w:szCs w:val="24"/>
        </w:rPr>
        <w:t>onto the structure with extra fuel items to burn maintaining the fire and destroying evidence."</w:t>
      </w:r>
      <w:r>
        <w:rPr>
          <w:rFonts w:ascii="Times New Roman" w:hAnsi="Times New Roman"/>
          <w:sz w:val="24"/>
          <w:szCs w:val="24"/>
        </w:rPr>
        <w:t xml:space="preserve">  He was charged with arson and tampering with evidence; all charges later dropped.  Ronnie Taylor </w:t>
      </w:r>
      <w:proofErr w:type="gramStart"/>
      <w:r>
        <w:rPr>
          <w:rFonts w:ascii="Times New Roman" w:hAnsi="Times New Roman"/>
          <w:sz w:val="24"/>
          <w:szCs w:val="24"/>
        </w:rPr>
        <w:t>actually told</w:t>
      </w:r>
      <w:proofErr w:type="gramEnd"/>
      <w:r>
        <w:rPr>
          <w:rFonts w:ascii="Times New Roman" w:hAnsi="Times New Roman"/>
          <w:sz w:val="24"/>
          <w:szCs w:val="24"/>
        </w:rPr>
        <w:t xml:space="preserve"> the Deputy Fire Marshal that he only used the burn barrel after the fire to clean up remaining </w:t>
      </w:r>
      <w:proofErr w:type="gramStart"/>
      <w:r>
        <w:rPr>
          <w:rFonts w:ascii="Times New Roman" w:hAnsi="Times New Roman"/>
          <w:sz w:val="24"/>
          <w:szCs w:val="24"/>
        </w:rPr>
        <w:t>debris, and</w:t>
      </w:r>
      <w:proofErr w:type="gramEnd"/>
      <w:r>
        <w:rPr>
          <w:rFonts w:ascii="Times New Roman" w:hAnsi="Times New Roman"/>
          <w:sz w:val="24"/>
          <w:szCs w:val="24"/>
        </w:rPr>
        <w:t xml:space="preserve"> lawfully submitted an insurance claim of $40,000 for loss of his cabin, his tools and a 1996 Lincoln Town Car.  </w:t>
      </w:r>
      <w:r>
        <w:rPr>
          <w:rFonts w:ascii="Times New Roman" w:eastAsia="Times New Roman" w:hAnsi="Times New Roman"/>
          <w:sz w:val="24"/>
          <w:szCs w:val="24"/>
        </w:rPr>
        <w:t xml:space="preserve">The lawsuit for damages may now be decided by a civil jury. </w:t>
      </w:r>
      <w:hyperlink r:id="rId222" w:history="1">
        <w:r w:rsidRPr="00A10B90">
          <w:rPr>
            <w:rStyle w:val="Hyperlink"/>
            <w:rFonts w:ascii="Times New Roman" w:eastAsia="Times New Roman" w:hAnsi="Times New Roman"/>
            <w:sz w:val="24"/>
            <w:szCs w:val="24"/>
          </w:rPr>
          <w:t>https://acis.alabama.gov/displaydocs.cfm?no=1126944&amp;event=6CD0OUEMB</w:t>
        </w:r>
      </w:hyperlink>
      <w:r>
        <w:rPr>
          <w:rFonts w:ascii="Times New Roman" w:eastAsia="Times New Roman" w:hAnsi="Times New Roman"/>
          <w:sz w:val="24"/>
          <w:szCs w:val="24"/>
        </w:rPr>
        <w:t xml:space="preserve"> </w:t>
      </w:r>
    </w:p>
    <w:p w14:paraId="6E3560D8" w14:textId="77777777" w:rsidR="009579EB" w:rsidRDefault="009579EB" w:rsidP="009579EB">
      <w:pPr>
        <w:spacing w:before="100" w:beforeAutospacing="1" w:after="100" w:afterAutospacing="1" w:line="240" w:lineRule="auto"/>
        <w:rPr>
          <w:rFonts w:ascii="Times New Roman" w:eastAsia="Times New Roman" w:hAnsi="Times New Roman"/>
          <w:b/>
          <w:bCs/>
          <w:sz w:val="24"/>
          <w:szCs w:val="24"/>
        </w:rPr>
      </w:pPr>
      <w:r w:rsidRPr="007C62E3">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Arson investigators, in their reports to prosecutors, must use extreme care in describing the defendant’s admissions.  </w:t>
      </w:r>
    </w:p>
    <w:p w14:paraId="738B3CFD" w14:textId="77777777" w:rsidR="00CA1367" w:rsidRPr="00CA1367" w:rsidRDefault="00CA1367" w:rsidP="00CA1367">
      <w:pPr>
        <w:spacing w:before="100" w:beforeAutospacing="1" w:after="100" w:afterAutospacing="1" w:line="240" w:lineRule="auto"/>
        <w:ind w:left="720"/>
        <w:rPr>
          <w:rFonts w:eastAsia="Times New Roman"/>
          <w:sz w:val="24"/>
          <w:szCs w:val="24"/>
        </w:rPr>
      </w:pPr>
      <w:r w:rsidRPr="00CA1367">
        <w:rPr>
          <w:rFonts w:eastAsia="Times New Roman"/>
          <w:sz w:val="24"/>
          <w:szCs w:val="24"/>
        </w:rPr>
        <w:t xml:space="preserve">Note: See article on this case.  </w:t>
      </w:r>
    </w:p>
    <w:p w14:paraId="3FAFA9D3" w14:textId="77777777" w:rsidR="00CA1367" w:rsidRPr="00834159" w:rsidRDefault="00CA1367" w:rsidP="00CA1367">
      <w:pPr>
        <w:spacing w:before="100" w:beforeAutospacing="1" w:after="100" w:afterAutospacing="1" w:line="240" w:lineRule="auto"/>
        <w:ind w:left="720"/>
        <w:rPr>
          <w:rFonts w:ascii="Times New Roman" w:eastAsia="Times New Roman" w:hAnsi="Times New Roman"/>
          <w:sz w:val="24"/>
          <w:szCs w:val="24"/>
        </w:rPr>
      </w:pPr>
      <w:r w:rsidRPr="00CA1367">
        <w:rPr>
          <w:rFonts w:eastAsia="Times New Roman"/>
          <w:sz w:val="24"/>
          <w:szCs w:val="24"/>
        </w:rPr>
        <w:t xml:space="preserve">June 6, 2022. </w:t>
      </w:r>
      <w:r w:rsidRPr="00CA1367">
        <w:rPr>
          <w:rFonts w:ascii="Times New Roman" w:eastAsia="Times New Roman" w:hAnsi="Times New Roman"/>
          <w:sz w:val="24"/>
          <w:szCs w:val="24"/>
        </w:rPr>
        <w:t>State Immunity – State-Agent Immunity – Deputy Fire Marshal</w:t>
      </w:r>
      <w:r w:rsidRPr="00CA1367">
        <w:rPr>
          <w:rFonts w:eastAsia="Times New Roman"/>
          <w:sz w:val="24"/>
          <w:szCs w:val="24"/>
        </w:rPr>
        <w:t xml:space="preserve"> </w:t>
      </w:r>
      <w:hyperlink r:id="rId223" w:history="1">
        <w:r w:rsidRPr="00CA1367">
          <w:rPr>
            <w:rStyle w:val="Hyperlink"/>
            <w:rFonts w:eastAsia="Times New Roman"/>
            <w:sz w:val="24"/>
            <w:szCs w:val="24"/>
          </w:rPr>
          <w:t>https://www.cunninghambounds.com/blogs/2022/june/state-immunity-state-agent-immunity-deputy-fire-/</w:t>
        </w:r>
      </w:hyperlink>
      <w:r w:rsidRPr="00834159">
        <w:rPr>
          <w:rFonts w:eastAsia="Times New Roman"/>
          <w:szCs w:val="24"/>
        </w:rPr>
        <w:t xml:space="preserve"> </w:t>
      </w:r>
    </w:p>
    <w:p w14:paraId="2A21D000" w14:textId="77777777" w:rsidR="009579EB" w:rsidRDefault="009579EB" w:rsidP="009579EB">
      <w:pPr>
        <w:spacing w:before="100" w:beforeAutospacing="1" w:after="100" w:afterAutospacing="1" w:line="240" w:lineRule="auto"/>
        <w:rPr>
          <w:rFonts w:ascii="Times New Roman" w:eastAsia="Times New Roman" w:hAnsi="Times New Roman"/>
          <w:sz w:val="24"/>
          <w:szCs w:val="24"/>
        </w:rPr>
      </w:pPr>
    </w:p>
    <w:p w14:paraId="13AB87BF" w14:textId="368376BD" w:rsidR="009579EB" w:rsidRDefault="009579EB" w:rsidP="00F326E5">
      <w:pPr>
        <w:pStyle w:val="NoSpacing"/>
        <w:rPr>
          <w:rFonts w:ascii="Arial Black" w:hAnsi="Arial Black"/>
          <w:sz w:val="40"/>
          <w:szCs w:val="40"/>
        </w:rPr>
      </w:pPr>
    </w:p>
    <w:p w14:paraId="6C6F0E05" w14:textId="77777777" w:rsidR="009579EB" w:rsidRPr="007732FA" w:rsidRDefault="009579EB" w:rsidP="00F326E5">
      <w:pPr>
        <w:pStyle w:val="NoSpacing"/>
        <w:rPr>
          <w:rFonts w:ascii="Arial Black" w:hAnsi="Arial Black"/>
          <w:sz w:val="40"/>
          <w:szCs w:val="40"/>
        </w:rPr>
      </w:pPr>
    </w:p>
    <w:p w14:paraId="77877CDB" w14:textId="29643C46" w:rsidR="009579EB" w:rsidRDefault="009579EB" w:rsidP="002B1283">
      <w:pPr>
        <w:rPr>
          <w:rFonts w:ascii="Arial Black" w:hAnsi="Arial Black"/>
          <w:b/>
          <w:sz w:val="24"/>
          <w:szCs w:val="24"/>
        </w:rPr>
      </w:pPr>
      <w:r>
        <w:rPr>
          <w:rFonts w:ascii="Arial Black" w:hAnsi="Arial Black"/>
          <w:b/>
          <w:sz w:val="24"/>
          <w:szCs w:val="24"/>
        </w:rPr>
        <w:t>1-101</w:t>
      </w:r>
    </w:p>
    <w:p w14:paraId="7E5D28A0" w14:textId="77777777" w:rsidR="009579EB" w:rsidRPr="00222D33" w:rsidRDefault="009579EB" w:rsidP="009579EB">
      <w:pPr>
        <w:spacing w:before="100" w:beforeAutospacing="1" w:after="100" w:afterAutospacing="1" w:line="240" w:lineRule="auto"/>
        <w:rPr>
          <w:rFonts w:ascii="Arial Black" w:hAnsi="Arial Black"/>
          <w:sz w:val="28"/>
          <w:szCs w:val="28"/>
        </w:rPr>
      </w:pPr>
      <w:r>
        <w:rPr>
          <w:rFonts w:ascii="Arial Black" w:hAnsi="Arial Black"/>
          <w:sz w:val="28"/>
          <w:szCs w:val="28"/>
        </w:rPr>
        <w:lastRenderedPageBreak/>
        <w:t>AK: DEF. ENDANGERED FF – 60 MONTHS PRISON - TIMBER THEFT – FAILED REPORT FIRE HE STARTED NAT. FOREST</w:t>
      </w:r>
    </w:p>
    <w:p w14:paraId="56EC7FB4" w14:textId="77777777" w:rsidR="009579EB" w:rsidRDefault="009579EB" w:rsidP="009579EB">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May 27, 2022, in </w:t>
      </w:r>
      <w:r w:rsidRPr="00F138B9">
        <w:rPr>
          <w:rFonts w:ascii="Times New Roman" w:hAnsi="Times New Roman"/>
          <w:sz w:val="24"/>
          <w:szCs w:val="24"/>
          <w:u w:val="single"/>
        </w:rPr>
        <w:t>United States of America v. Jacob Edward Walls</w:t>
      </w:r>
      <w:r>
        <w:rPr>
          <w:rFonts w:ascii="Times New Roman" w:hAnsi="Times New Roman"/>
          <w:sz w:val="24"/>
          <w:szCs w:val="24"/>
        </w:rPr>
        <w:t xml:space="preserve">, the U.S. Court of Appeals for the Eight Circuit (St. Louis, Missouri) held (3 to 0) that trial court properly sentenced the defendant pursuant to the federal Sentencing Guidelines to the maximum of 60 months since he didn’t report the fire to cover up his illegal timber harvesting. </w:t>
      </w:r>
      <w:r w:rsidRPr="00D20A19">
        <w:rPr>
          <w:rFonts w:ascii="Times New Roman" w:hAnsi="Times New Roman"/>
          <w:sz w:val="24"/>
          <w:szCs w:val="24"/>
        </w:rPr>
        <w:t xml:space="preserve">Jacob Walls pleaded guilty to willfully setting fire to public lands, in violation of 18 U.S.C. § 1855. </w:t>
      </w:r>
      <w:r>
        <w:rPr>
          <w:rFonts w:ascii="Times New Roman" w:hAnsi="Times New Roman"/>
          <w:sz w:val="24"/>
          <w:szCs w:val="24"/>
        </w:rPr>
        <w:t>The fire started    when he “</w:t>
      </w:r>
      <w:r w:rsidRPr="00824081">
        <w:rPr>
          <w:rFonts w:ascii="Times New Roman" w:hAnsi="Times New Roman"/>
          <w:sz w:val="24"/>
          <w:szCs w:val="24"/>
        </w:rPr>
        <w:t xml:space="preserve">burn the debris using two different fires with accelerant from a </w:t>
      </w:r>
      <w:r>
        <w:rPr>
          <w:rFonts w:ascii="Times New Roman" w:hAnsi="Times New Roman"/>
          <w:sz w:val="24"/>
          <w:szCs w:val="24"/>
        </w:rPr>
        <w:t>‘</w:t>
      </w:r>
      <w:r w:rsidRPr="00824081">
        <w:rPr>
          <w:rFonts w:ascii="Times New Roman" w:hAnsi="Times New Roman"/>
          <w:sz w:val="24"/>
          <w:szCs w:val="24"/>
        </w:rPr>
        <w:t>Jerry Can.</w:t>
      </w:r>
      <w:r>
        <w:rPr>
          <w:rFonts w:ascii="Times New Roman" w:hAnsi="Times New Roman"/>
          <w:sz w:val="24"/>
          <w:szCs w:val="24"/>
        </w:rPr>
        <w:t xml:space="preserve">’” When the fire spread, he left the scene and did not report the spreading fire.  A resident notified Park Service, and firefighters working in difficult terrain after dark saved the neighbor’s home. </w:t>
      </w:r>
      <w:hyperlink r:id="rId224" w:history="1">
        <w:r w:rsidRPr="00A10B90">
          <w:rPr>
            <w:rStyle w:val="Hyperlink"/>
            <w:rFonts w:ascii="Times New Roman" w:hAnsi="Times New Roman"/>
            <w:sz w:val="24"/>
            <w:szCs w:val="24"/>
          </w:rPr>
          <w:t>https://ecf.ca8.uscourts.gov/opndir/22/05/212146P.pdf</w:t>
        </w:r>
      </w:hyperlink>
      <w:r>
        <w:rPr>
          <w:rFonts w:ascii="Times New Roman" w:hAnsi="Times New Roman"/>
          <w:sz w:val="24"/>
          <w:szCs w:val="24"/>
        </w:rPr>
        <w:t xml:space="preserve"> </w:t>
      </w:r>
    </w:p>
    <w:p w14:paraId="205F7B42" w14:textId="77777777" w:rsidR="009579EB" w:rsidRPr="00E93614" w:rsidRDefault="009579EB" w:rsidP="009579EB">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The sentencing judge properly included the risk of firefighters when imposing the sentence. </w:t>
      </w:r>
    </w:p>
    <w:p w14:paraId="0A08482E" w14:textId="77777777" w:rsidR="009579EB" w:rsidRPr="00B82003" w:rsidRDefault="009579EB" w:rsidP="009579EB">
      <w:pPr>
        <w:spacing w:before="100" w:beforeAutospacing="1" w:after="100" w:afterAutospacing="1" w:line="240" w:lineRule="auto"/>
        <w:ind w:left="720"/>
        <w:rPr>
          <w:rFonts w:ascii="Times New Roman" w:hAnsi="Times New Roman"/>
          <w:bCs/>
          <w:sz w:val="24"/>
          <w:szCs w:val="24"/>
        </w:rPr>
      </w:pPr>
      <w:r w:rsidRPr="00B82003">
        <w:rPr>
          <w:rFonts w:ascii="Times New Roman" w:hAnsi="Times New Roman"/>
          <w:bCs/>
          <w:sz w:val="24"/>
          <w:szCs w:val="24"/>
        </w:rPr>
        <w:t>Note:</w:t>
      </w:r>
      <w:r w:rsidRPr="00B82003">
        <w:rPr>
          <w:rFonts w:ascii="Times New Roman" w:hAnsi="Times New Roman"/>
          <w:bCs/>
          <w:sz w:val="24"/>
          <w:szCs w:val="24"/>
        </w:rPr>
        <w:tab/>
        <w:t xml:space="preserve">Federal Sentencing Guidelines: </w:t>
      </w:r>
      <w:hyperlink r:id="rId225" w:history="1">
        <w:r w:rsidRPr="00B82003">
          <w:rPr>
            <w:rStyle w:val="Hyperlink"/>
            <w:rFonts w:ascii="Times New Roman" w:hAnsi="Times New Roman"/>
            <w:bCs/>
            <w:sz w:val="24"/>
            <w:szCs w:val="24"/>
          </w:rPr>
          <w:t>https://www.law.cornell.edu/wex/federal_sentencing_guidelines</w:t>
        </w:r>
      </w:hyperlink>
      <w:r w:rsidRPr="00B82003">
        <w:rPr>
          <w:rFonts w:ascii="Times New Roman" w:hAnsi="Times New Roman"/>
          <w:bCs/>
          <w:sz w:val="24"/>
          <w:szCs w:val="24"/>
        </w:rPr>
        <w:t xml:space="preserve"> </w:t>
      </w:r>
    </w:p>
    <w:p w14:paraId="7AC5BED6" w14:textId="77777777" w:rsidR="009579EB" w:rsidRPr="003A568B" w:rsidRDefault="009579EB" w:rsidP="009579EB">
      <w:pPr>
        <w:ind w:left="720"/>
        <w:rPr>
          <w:rFonts w:ascii="Times New Roman" w:hAnsi="Times New Roman"/>
          <w:sz w:val="24"/>
          <w:szCs w:val="24"/>
        </w:rPr>
      </w:pPr>
      <w:r>
        <w:rPr>
          <w:rFonts w:ascii="Times New Roman" w:hAnsi="Times New Roman"/>
          <w:sz w:val="24"/>
          <w:szCs w:val="24"/>
        </w:rPr>
        <w:t>“</w:t>
      </w:r>
      <w:r w:rsidRPr="003A568B">
        <w:rPr>
          <w:rFonts w:ascii="Times New Roman" w:hAnsi="Times New Roman"/>
          <w:sz w:val="24"/>
          <w:szCs w:val="24"/>
        </w:rPr>
        <w:t xml:space="preserve">The Federal Sentencing Guidelines are non-binding rules that set out a uniform sentencing policy for defendants convicted in the United States federal court system that became effective in 1987. The Guidelines provide for </w:t>
      </w:r>
      <w:r>
        <w:rPr>
          <w:rFonts w:ascii="Times New Roman" w:hAnsi="Times New Roman"/>
          <w:sz w:val="24"/>
          <w:szCs w:val="24"/>
        </w:rPr>
        <w:t>‘</w:t>
      </w:r>
      <w:r w:rsidRPr="003A568B">
        <w:rPr>
          <w:rFonts w:ascii="Times New Roman" w:hAnsi="Times New Roman"/>
          <w:sz w:val="24"/>
          <w:szCs w:val="24"/>
        </w:rPr>
        <w:t xml:space="preserve">very precise calibration of sentences, depending upon </w:t>
      </w:r>
      <w:proofErr w:type="gramStart"/>
      <w:r w:rsidRPr="003A568B">
        <w:rPr>
          <w:rFonts w:ascii="Times New Roman" w:hAnsi="Times New Roman"/>
          <w:sz w:val="24"/>
          <w:szCs w:val="24"/>
        </w:rPr>
        <w:t>a number of</w:t>
      </w:r>
      <w:proofErr w:type="gramEnd"/>
      <w:r w:rsidRPr="003A568B">
        <w:rPr>
          <w:rFonts w:ascii="Times New Roman" w:hAnsi="Times New Roman"/>
          <w:sz w:val="24"/>
          <w:szCs w:val="24"/>
        </w:rPr>
        <w:t xml:space="preserve"> factors. These factors relate both to the subjective guilt of the defendant and to the harm caused by his facts.</w:t>
      </w:r>
      <w:r>
        <w:rPr>
          <w:rFonts w:ascii="Times New Roman" w:hAnsi="Times New Roman"/>
          <w:sz w:val="24"/>
          <w:szCs w:val="24"/>
        </w:rPr>
        <w:t>’</w:t>
      </w:r>
      <w:r w:rsidRPr="003A568B">
        <w:rPr>
          <w:rFonts w:ascii="Times New Roman" w:hAnsi="Times New Roman"/>
          <w:sz w:val="24"/>
          <w:szCs w:val="24"/>
        </w:rPr>
        <w:t xml:space="preserve"> </w:t>
      </w:r>
      <w:hyperlink r:id="rId226" w:history="1">
        <w:r w:rsidRPr="003A568B">
          <w:rPr>
            <w:rStyle w:val="Hyperlink"/>
            <w:rFonts w:ascii="Times New Roman" w:hAnsi="Times New Roman"/>
            <w:i/>
            <w:iCs/>
            <w:sz w:val="24"/>
            <w:szCs w:val="24"/>
          </w:rPr>
          <w:t>Payne v. Tennessee</w:t>
        </w:r>
      </w:hyperlink>
      <w:r w:rsidRPr="003A568B">
        <w:rPr>
          <w:rFonts w:ascii="Times New Roman" w:hAnsi="Times New Roman"/>
          <w:sz w:val="24"/>
          <w:szCs w:val="24"/>
        </w:rPr>
        <w:t>, 501 U.S. 808, 820 (1991).</w:t>
      </w:r>
    </w:p>
    <w:p w14:paraId="0F370571" w14:textId="77777777" w:rsidR="009579EB" w:rsidRPr="003A568B" w:rsidRDefault="009579EB" w:rsidP="009579EB">
      <w:pPr>
        <w:ind w:left="720"/>
        <w:rPr>
          <w:rFonts w:ascii="Times New Roman" w:hAnsi="Times New Roman"/>
          <w:sz w:val="24"/>
          <w:szCs w:val="24"/>
        </w:rPr>
      </w:pPr>
      <w:r w:rsidRPr="003A568B">
        <w:rPr>
          <w:rFonts w:ascii="Times New Roman" w:hAnsi="Times New Roman"/>
          <w:sz w:val="24"/>
          <w:szCs w:val="24"/>
        </w:rPr>
        <w:t xml:space="preserve">The Guidelines are not mandatory, because they may result in a sentence based on facts not proven beyond a reasonable doubt to a jury, in violation of the Sixth Amendment. </w:t>
      </w:r>
      <w:hyperlink r:id="rId227" w:history="1">
        <w:r w:rsidRPr="003A568B">
          <w:rPr>
            <w:rStyle w:val="Emphasis"/>
            <w:rFonts w:ascii="Times New Roman" w:hAnsi="Times New Roman"/>
            <w:color w:val="0000FF"/>
            <w:sz w:val="24"/>
            <w:szCs w:val="24"/>
            <w:u w:val="single"/>
          </w:rPr>
          <w:t>United States v. Booker</w:t>
        </w:r>
        <w:r w:rsidRPr="003A568B">
          <w:rPr>
            <w:rStyle w:val="Hyperlink"/>
            <w:rFonts w:ascii="Times New Roman" w:hAnsi="Times New Roman"/>
            <w:sz w:val="24"/>
            <w:szCs w:val="24"/>
          </w:rPr>
          <w:t>, 543 U.S. 20 (2005)</w:t>
        </w:r>
      </w:hyperlink>
      <w:r w:rsidRPr="003A568B">
        <w:rPr>
          <w:rFonts w:ascii="Times New Roman" w:hAnsi="Times New Roman"/>
          <w:sz w:val="24"/>
          <w:szCs w:val="24"/>
        </w:rPr>
        <w:t>. However, judges must consider them when determining a criminal defendant's sentence. When a judge determines within his or her discretion to depart from the Guidelines, the judge must explain what factors warranted the increased or decreased sentence.</w:t>
      </w:r>
      <w:r>
        <w:rPr>
          <w:rFonts w:ascii="Times New Roman" w:hAnsi="Times New Roman"/>
          <w:sz w:val="24"/>
          <w:szCs w:val="24"/>
        </w:rPr>
        <w:t xml:space="preserve"> </w:t>
      </w:r>
      <w:r w:rsidRPr="003A568B">
        <w:rPr>
          <w:rFonts w:ascii="Times New Roman" w:hAnsi="Times New Roman"/>
          <w:sz w:val="24"/>
          <w:szCs w:val="24"/>
        </w:rPr>
        <w:t xml:space="preserve">When a Court of Appeals reviews a sentence imposed through a proper application the Guidelines, it may presume the sentence is reasonable. </w:t>
      </w:r>
      <w:hyperlink r:id="rId228" w:history="1">
        <w:r w:rsidRPr="003A568B">
          <w:rPr>
            <w:rStyle w:val="Hyperlink"/>
            <w:rFonts w:ascii="Times New Roman" w:hAnsi="Times New Roman"/>
            <w:i/>
            <w:iCs/>
            <w:sz w:val="24"/>
            <w:szCs w:val="24"/>
          </w:rPr>
          <w:t>Rita v. United States</w:t>
        </w:r>
      </w:hyperlink>
      <w:r w:rsidRPr="003A568B">
        <w:rPr>
          <w:rFonts w:ascii="Times New Roman" w:hAnsi="Times New Roman"/>
          <w:sz w:val="24"/>
          <w:szCs w:val="24"/>
        </w:rPr>
        <w:t xml:space="preserve">, 127 </w:t>
      </w:r>
      <w:proofErr w:type="spellStart"/>
      <w:r w:rsidRPr="003A568B">
        <w:rPr>
          <w:rFonts w:ascii="Times New Roman" w:hAnsi="Times New Roman"/>
          <w:sz w:val="24"/>
          <w:szCs w:val="24"/>
        </w:rPr>
        <w:t>S.Ct</w:t>
      </w:r>
      <w:proofErr w:type="spellEnd"/>
      <w:r w:rsidRPr="003A568B">
        <w:rPr>
          <w:rFonts w:ascii="Times New Roman" w:hAnsi="Times New Roman"/>
          <w:sz w:val="24"/>
          <w:szCs w:val="24"/>
        </w:rPr>
        <w:t>. 2456 (2007).</w:t>
      </w:r>
      <w:r>
        <w:rPr>
          <w:rFonts w:ascii="Times New Roman" w:hAnsi="Times New Roman"/>
          <w:sz w:val="24"/>
          <w:szCs w:val="24"/>
        </w:rPr>
        <w:t>”</w:t>
      </w:r>
    </w:p>
    <w:p w14:paraId="28ECF42E" w14:textId="77777777" w:rsidR="009579EB" w:rsidRDefault="009579EB" w:rsidP="002B1283">
      <w:pPr>
        <w:rPr>
          <w:rFonts w:ascii="Arial Black" w:hAnsi="Arial Black"/>
          <w:b/>
          <w:sz w:val="24"/>
          <w:szCs w:val="24"/>
        </w:rPr>
      </w:pPr>
    </w:p>
    <w:p w14:paraId="059A9A97" w14:textId="23CDCAE2" w:rsidR="00E97D63" w:rsidRDefault="00E97D63" w:rsidP="002B1283">
      <w:pPr>
        <w:rPr>
          <w:rFonts w:ascii="Arial Black" w:hAnsi="Arial Black"/>
          <w:b/>
          <w:sz w:val="24"/>
          <w:szCs w:val="24"/>
        </w:rPr>
      </w:pPr>
      <w:r>
        <w:rPr>
          <w:rFonts w:ascii="Arial Black" w:hAnsi="Arial Black"/>
          <w:b/>
          <w:sz w:val="24"/>
          <w:szCs w:val="24"/>
        </w:rPr>
        <w:t>1-100</w:t>
      </w:r>
    </w:p>
    <w:p w14:paraId="042BD835" w14:textId="77777777" w:rsidR="00E97D63" w:rsidRDefault="00E97D63" w:rsidP="00E97D63">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AGGRAVATED ARSON - OCCUPIED APARTMENTS - PLED GUILTY - 24 YEARS IN PRISON – SENTENCE UPHELD</w:t>
      </w:r>
    </w:p>
    <w:p w14:paraId="5AC37595" w14:textId="2CE8F02C" w:rsidR="00E97D63" w:rsidRDefault="00E97D63" w:rsidP="00E97D63">
      <w:pPr>
        <w:rPr>
          <w:rStyle w:val="Hyperlink"/>
          <w:rFonts w:ascii="Times New Roman" w:eastAsia="Times New Roman" w:hAnsi="Times New Roman"/>
          <w:sz w:val="24"/>
          <w:szCs w:val="24"/>
        </w:rPr>
      </w:pPr>
      <w:r w:rsidRPr="00C21EEF">
        <w:rPr>
          <w:rFonts w:ascii="Times New Roman" w:eastAsia="Times New Roman" w:hAnsi="Times New Roman"/>
          <w:sz w:val="24"/>
          <w:szCs w:val="24"/>
        </w:rPr>
        <w:t>On May 5, 2022</w:t>
      </w:r>
      <w:r>
        <w:rPr>
          <w:rFonts w:ascii="Times New Roman" w:eastAsia="Times New Roman" w:hAnsi="Times New Roman"/>
          <w:sz w:val="24"/>
          <w:szCs w:val="24"/>
        </w:rPr>
        <w:t>,</w:t>
      </w:r>
      <w:r w:rsidRPr="00C21EEF">
        <w:rPr>
          <w:rFonts w:ascii="Times New Roman" w:eastAsia="Times New Roman" w:hAnsi="Times New Roman"/>
          <w:sz w:val="24"/>
          <w:szCs w:val="24"/>
        </w:rPr>
        <w:t xml:space="preserve"> in </w:t>
      </w:r>
      <w:r w:rsidRPr="00C21EEF">
        <w:rPr>
          <w:rFonts w:ascii="Times New Roman" w:eastAsia="Times New Roman" w:hAnsi="Times New Roman"/>
          <w:sz w:val="24"/>
          <w:szCs w:val="24"/>
          <w:u w:val="single"/>
        </w:rPr>
        <w:t>The People of the State of Illinois v. Bryan T. Griffin</w:t>
      </w:r>
      <w:r>
        <w:rPr>
          <w:rFonts w:ascii="Times New Roman" w:eastAsia="Times New Roman" w:hAnsi="Times New Roman"/>
          <w:sz w:val="24"/>
          <w:szCs w:val="24"/>
        </w:rPr>
        <w:t xml:space="preserve">, the Court of Appeals of Illinois, Fourth Division, held (3 to 0) that the trial court judge properly rejected the defense suggested 12-year sentence and imposed 24 years which was within the sentencing range of 6 to 30 years (prosecutors recommended 30 years). The defendant set fire to a building where once was a tenant in apartments above Mother’s Bar. There were nine people in the building when the fire </w:t>
      </w:r>
      <w:proofErr w:type="gramStart"/>
      <w:r>
        <w:rPr>
          <w:rFonts w:ascii="Times New Roman" w:eastAsia="Times New Roman" w:hAnsi="Times New Roman"/>
          <w:sz w:val="24"/>
          <w:szCs w:val="24"/>
        </w:rPr>
        <w:t>was started</w:t>
      </w:r>
      <w:proofErr w:type="gramEnd"/>
      <w:r>
        <w:rPr>
          <w:rFonts w:ascii="Times New Roman" w:eastAsia="Times New Roman" w:hAnsi="Times New Roman"/>
          <w:sz w:val="24"/>
          <w:szCs w:val="24"/>
        </w:rPr>
        <w:t xml:space="preserve"> with gasoline, and the fire department had to rescue two from the roof. The trial court judge held a hearing prior to imposing the sentence, where numerous witnesses testified about the potential loss of life from the fire that destroyed the bar and the apartments above it.  </w:t>
      </w:r>
      <w:hyperlink r:id="rId229" w:history="1">
        <w:r w:rsidRPr="00B7678D">
          <w:rPr>
            <w:rStyle w:val="Hyperlink"/>
            <w:rFonts w:ascii="Times New Roman" w:eastAsia="Times New Roman" w:hAnsi="Times New Roman"/>
            <w:sz w:val="24"/>
            <w:szCs w:val="24"/>
          </w:rPr>
          <w:t>https://ilcourtsaudio.blob.core.windows.net/antilles-resources/resources/d420bdc6-9c63-45de-9274-2f897cb58b7d/People%20v.%20Griffin,%202022%20IL%20App%20(4th)%20210360-U.pdf</w:t>
        </w:r>
      </w:hyperlink>
    </w:p>
    <w:p w14:paraId="208CC806" w14:textId="77777777" w:rsidR="00E97D63" w:rsidRPr="00505C92" w:rsidRDefault="00E97D63" w:rsidP="00E97D63">
      <w:pPr>
        <w:spacing w:before="100" w:beforeAutospacing="1" w:after="100" w:afterAutospacing="1" w:line="240" w:lineRule="auto"/>
        <w:rPr>
          <w:rFonts w:ascii="Times New Roman" w:hAnsi="Times New Roman"/>
          <w:b/>
          <w:bCs/>
          <w:sz w:val="24"/>
          <w:szCs w:val="24"/>
        </w:rPr>
      </w:pPr>
      <w:r w:rsidRPr="00505C92">
        <w:rPr>
          <w:rFonts w:ascii="Times New Roman" w:hAnsi="Times New Roman"/>
          <w:b/>
          <w:bCs/>
          <w:sz w:val="24"/>
          <w:szCs w:val="24"/>
        </w:rPr>
        <w:lastRenderedPageBreak/>
        <w:t>Legal Lesson Learned:</w:t>
      </w:r>
      <w:r>
        <w:rPr>
          <w:rFonts w:ascii="Times New Roman" w:hAnsi="Times New Roman"/>
          <w:b/>
          <w:bCs/>
          <w:sz w:val="24"/>
          <w:szCs w:val="24"/>
        </w:rPr>
        <w:t xml:space="preserve">  The trial court properly considered the seriousness of the arsonist’s conduct in imposing the sentence. </w:t>
      </w:r>
    </w:p>
    <w:p w14:paraId="7F52A4E4" w14:textId="77777777" w:rsidR="00E97D63" w:rsidRDefault="00E97D63" w:rsidP="00E97D63">
      <w:pPr>
        <w:rPr>
          <w:rFonts w:ascii="Arial Black" w:hAnsi="Arial Black"/>
          <w:b/>
          <w:sz w:val="24"/>
          <w:szCs w:val="24"/>
        </w:rPr>
      </w:pPr>
    </w:p>
    <w:p w14:paraId="250BE199" w14:textId="77777777" w:rsidR="00E97D63" w:rsidRDefault="00E97D63" w:rsidP="002B1283">
      <w:pPr>
        <w:rPr>
          <w:rFonts w:ascii="Arial Black" w:hAnsi="Arial Black"/>
          <w:b/>
          <w:sz w:val="24"/>
          <w:szCs w:val="24"/>
        </w:rPr>
      </w:pPr>
    </w:p>
    <w:p w14:paraId="45EBE321" w14:textId="17294369" w:rsidR="00E97D63" w:rsidRDefault="00E97D63" w:rsidP="002B1283">
      <w:pPr>
        <w:rPr>
          <w:rFonts w:ascii="Arial Black" w:hAnsi="Arial Black"/>
          <w:b/>
          <w:sz w:val="24"/>
          <w:szCs w:val="24"/>
        </w:rPr>
      </w:pPr>
      <w:r>
        <w:rPr>
          <w:rFonts w:ascii="Arial Black" w:hAnsi="Arial Black"/>
          <w:b/>
          <w:sz w:val="24"/>
          <w:szCs w:val="24"/>
        </w:rPr>
        <w:t>1-99</w:t>
      </w:r>
    </w:p>
    <w:p w14:paraId="7FCA915D" w14:textId="77777777" w:rsidR="00E97D63" w:rsidRDefault="00E97D63" w:rsidP="00E97D63">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U.S. SUP. CT: BOSTON CITY HALL - FLAGPOLE - EMS WORKERS &amp; OTHERS – MUST ALLOW “CHRISTIAN” FLAG </w:t>
      </w:r>
    </w:p>
    <w:p w14:paraId="1937931A" w14:textId="77777777" w:rsidR="00E97D63" w:rsidRDefault="00E97D63" w:rsidP="00E97D63">
      <w:pPr>
        <w:spacing w:before="100" w:beforeAutospacing="1" w:after="100" w:afterAutospacing="1" w:line="240" w:lineRule="auto"/>
        <w:rPr>
          <w:rFonts w:ascii="Times New Roman" w:eastAsia="Times New Roman" w:hAnsi="Times New Roman"/>
          <w:sz w:val="24"/>
          <w:szCs w:val="24"/>
        </w:rPr>
      </w:pPr>
      <w:r w:rsidRPr="00175BB2">
        <w:rPr>
          <w:rFonts w:ascii="Times New Roman" w:eastAsia="Times New Roman" w:hAnsi="Times New Roman"/>
          <w:sz w:val="24"/>
          <w:szCs w:val="24"/>
        </w:rPr>
        <w:t xml:space="preserve">On </w:t>
      </w:r>
      <w:r>
        <w:rPr>
          <w:rFonts w:ascii="Times New Roman" w:eastAsia="Times New Roman" w:hAnsi="Times New Roman"/>
          <w:sz w:val="24"/>
          <w:szCs w:val="24"/>
        </w:rPr>
        <w:t xml:space="preserve">May 2, 2022, in </w:t>
      </w:r>
      <w:r w:rsidRPr="00175BB2">
        <w:rPr>
          <w:rFonts w:ascii="Times New Roman" w:eastAsia="Times New Roman" w:hAnsi="Times New Roman"/>
          <w:sz w:val="24"/>
          <w:szCs w:val="24"/>
          <w:u w:val="single"/>
        </w:rPr>
        <w:t>Shurtleff, et al. v. City of Boston</w:t>
      </w:r>
      <w:r>
        <w:rPr>
          <w:rFonts w:ascii="Times New Roman" w:eastAsia="Times New Roman" w:hAnsi="Times New Roman"/>
          <w:sz w:val="24"/>
          <w:szCs w:val="24"/>
        </w:rPr>
        <w:t xml:space="preserve">, the U.S. Supreme Court unanimously held (9 to 0) that the City of Boston has three flag poles at City Hall and has allowed the third pole to be used by wide variety of groups; refusal of a group to raise a “Christian flag” violated First Amendment’s Free Speech clause. </w:t>
      </w:r>
      <w:hyperlink r:id="rId230" w:history="1">
        <w:r w:rsidRPr="00C8589E">
          <w:rPr>
            <w:rStyle w:val="Hyperlink"/>
            <w:rFonts w:ascii="Times New Roman" w:eastAsia="Times New Roman" w:hAnsi="Times New Roman"/>
            <w:sz w:val="24"/>
            <w:szCs w:val="24"/>
          </w:rPr>
          <w:t>https://www.supremecourt.gov/opinions/21pdf/20-1800_7lho.pdf</w:t>
        </w:r>
      </w:hyperlink>
      <w:r>
        <w:rPr>
          <w:rFonts w:ascii="Times New Roman" w:eastAsia="Times New Roman" w:hAnsi="Times New Roman"/>
          <w:sz w:val="24"/>
          <w:szCs w:val="24"/>
        </w:rPr>
        <w:t xml:space="preserve"> </w:t>
      </w:r>
    </w:p>
    <w:p w14:paraId="26400BE2" w14:textId="77777777" w:rsidR="00E97D63" w:rsidRDefault="00E97D63" w:rsidP="00E97D63">
      <w:pPr>
        <w:spacing w:before="100" w:beforeAutospacing="1" w:after="100" w:afterAutospacing="1" w:line="240" w:lineRule="auto"/>
        <w:rPr>
          <w:rFonts w:ascii="Times New Roman" w:eastAsia="Times New Roman" w:hAnsi="Times New Roman"/>
          <w:b/>
          <w:bCs/>
          <w:sz w:val="24"/>
          <w:szCs w:val="24"/>
        </w:rPr>
      </w:pPr>
      <w:r w:rsidRPr="008B63AA">
        <w:rPr>
          <w:rStyle w:val="markedcontent"/>
          <w:rFonts w:ascii="Times New Roman" w:hAnsi="Times New Roman"/>
          <w:b/>
          <w:bCs/>
          <w:sz w:val="24"/>
          <w:szCs w:val="24"/>
        </w:rPr>
        <w:t>Legal Lesson Learned:</w:t>
      </w:r>
      <w:r>
        <w:rPr>
          <w:rStyle w:val="markedcontent"/>
          <w:rFonts w:ascii="Times New Roman" w:hAnsi="Times New Roman"/>
          <w:b/>
          <w:bCs/>
          <w:sz w:val="24"/>
          <w:szCs w:val="24"/>
        </w:rPr>
        <w:t xml:space="preserve"> Fire &amp; EMS Departments that have flag poles should adopt policy restricting use to official activities only.</w:t>
      </w:r>
    </w:p>
    <w:p w14:paraId="70025F4E" w14:textId="77777777" w:rsidR="00E97D63" w:rsidRDefault="00E97D63" w:rsidP="002B1283">
      <w:pPr>
        <w:rPr>
          <w:rFonts w:ascii="Arial Black" w:hAnsi="Arial Black"/>
          <w:b/>
          <w:sz w:val="24"/>
          <w:szCs w:val="24"/>
        </w:rPr>
      </w:pPr>
    </w:p>
    <w:p w14:paraId="0904F329" w14:textId="5A9061BC" w:rsidR="00E97D63" w:rsidRDefault="00E97D63" w:rsidP="002B1283">
      <w:pPr>
        <w:rPr>
          <w:rFonts w:ascii="Arial Black" w:hAnsi="Arial Black"/>
          <w:b/>
          <w:sz w:val="24"/>
          <w:szCs w:val="24"/>
        </w:rPr>
      </w:pPr>
      <w:r>
        <w:rPr>
          <w:rFonts w:ascii="Arial Black" w:hAnsi="Arial Black"/>
          <w:b/>
          <w:sz w:val="24"/>
          <w:szCs w:val="24"/>
        </w:rPr>
        <w:t>1-98</w:t>
      </w:r>
    </w:p>
    <w:p w14:paraId="19C5610F" w14:textId="77777777" w:rsidR="00E97D63" w:rsidRDefault="00E97D63" w:rsidP="00E97D63">
      <w:pPr>
        <w:spacing w:before="100" w:beforeAutospacing="1" w:after="100" w:afterAutospacing="1" w:line="240" w:lineRule="auto"/>
        <w:rPr>
          <w:rFonts w:ascii="Arial Black" w:hAnsi="Arial Black"/>
          <w:sz w:val="28"/>
          <w:szCs w:val="28"/>
        </w:rPr>
      </w:pPr>
      <w:r>
        <w:rPr>
          <w:rFonts w:ascii="Arial Black" w:hAnsi="Arial Black"/>
          <w:sz w:val="28"/>
          <w:szCs w:val="28"/>
        </w:rPr>
        <w:t>VA: HOMEOWNER CONV. ARSON UPHELD - FOUR SEPARATE FIRES – DEF. EXPERT NEVER TALKED FF WHO WERE THERE</w:t>
      </w:r>
    </w:p>
    <w:p w14:paraId="4BECB7C3" w14:textId="44293DC9" w:rsidR="00E97D63" w:rsidRDefault="00E97D63" w:rsidP="00E97D63">
      <w:pPr>
        <w:rPr>
          <w:rFonts w:ascii="Arial Black" w:hAnsi="Arial Black"/>
          <w:b/>
          <w:sz w:val="24"/>
          <w:szCs w:val="24"/>
        </w:rPr>
      </w:pPr>
      <w:r>
        <w:rPr>
          <w:rFonts w:ascii="Times New Roman" w:hAnsi="Times New Roman"/>
          <w:sz w:val="24"/>
          <w:szCs w:val="24"/>
        </w:rPr>
        <w:t xml:space="preserve">On April 26, 2022, in </w:t>
      </w:r>
      <w:r w:rsidRPr="00390AD2">
        <w:rPr>
          <w:rFonts w:ascii="Times New Roman" w:hAnsi="Times New Roman"/>
          <w:sz w:val="24"/>
          <w:szCs w:val="24"/>
          <w:u w:val="single"/>
        </w:rPr>
        <w:t>Maria Goodman v. Commonwealth of Virginia</w:t>
      </w:r>
      <w:r>
        <w:rPr>
          <w:rFonts w:ascii="Times New Roman" w:hAnsi="Times New Roman"/>
          <w:sz w:val="24"/>
          <w:szCs w:val="24"/>
        </w:rPr>
        <w:t xml:space="preserve">, the Court of Appeals of Virginia held (3 to 0) that the jury properly found the homeowner guilty of arson.  The defense expert </w:t>
      </w:r>
      <w:proofErr w:type="gramStart"/>
      <w:r>
        <w:rPr>
          <w:rFonts w:ascii="Times New Roman" w:hAnsi="Times New Roman"/>
          <w:sz w:val="24"/>
          <w:szCs w:val="24"/>
        </w:rPr>
        <w:t>speculated</w:t>
      </w:r>
      <w:proofErr w:type="gramEnd"/>
      <w:r>
        <w:rPr>
          <w:rFonts w:ascii="Times New Roman" w:hAnsi="Times New Roman"/>
          <w:sz w:val="24"/>
          <w:szCs w:val="24"/>
        </w:rPr>
        <w:t xml:space="preserve"> fire might have started in attic and then ignited for locations in </w:t>
      </w:r>
      <w:proofErr w:type="gramStart"/>
      <w:r>
        <w:rPr>
          <w:rFonts w:ascii="Times New Roman" w:hAnsi="Times New Roman"/>
          <w:sz w:val="24"/>
          <w:szCs w:val="24"/>
        </w:rPr>
        <w:t>house</w:t>
      </w:r>
      <w:proofErr w:type="gramEnd"/>
      <w:r>
        <w:rPr>
          <w:rFonts w:ascii="Times New Roman" w:hAnsi="Times New Roman"/>
          <w:sz w:val="24"/>
          <w:szCs w:val="24"/>
        </w:rPr>
        <w:t xml:space="preserve"> but the bedroom doors were shut and he never interviewed any of the firefighters. The jury recommended five </w:t>
      </w:r>
      <w:proofErr w:type="spellStart"/>
      <w:r>
        <w:rPr>
          <w:rFonts w:ascii="Times New Roman" w:hAnsi="Times New Roman"/>
          <w:sz w:val="24"/>
          <w:szCs w:val="24"/>
        </w:rPr>
        <w:t>years</w:t>
      </w:r>
      <w:proofErr w:type="spellEnd"/>
      <w:r>
        <w:rPr>
          <w:rFonts w:ascii="Times New Roman" w:hAnsi="Times New Roman"/>
          <w:sz w:val="24"/>
          <w:szCs w:val="24"/>
        </w:rPr>
        <w:t xml:space="preserve"> incarceration, but trial judge suspended four years. </w:t>
      </w:r>
      <w:hyperlink r:id="rId231" w:history="1">
        <w:r w:rsidRPr="00C8589E">
          <w:rPr>
            <w:rStyle w:val="Hyperlink"/>
            <w:rFonts w:ascii="Times New Roman" w:hAnsi="Times New Roman"/>
            <w:sz w:val="24"/>
            <w:szCs w:val="24"/>
          </w:rPr>
          <w:t>https://law.justia.com/cases/virginia/court-of-appeals-unpublished/2022/0509-21-2.html</w:t>
        </w:r>
      </w:hyperlink>
    </w:p>
    <w:p w14:paraId="09445627" w14:textId="77777777" w:rsidR="00E97D63" w:rsidRDefault="00E97D63" w:rsidP="00E97D63">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Defense expert testimony shown to be unreliable on cross examination. </w:t>
      </w:r>
    </w:p>
    <w:p w14:paraId="4807FD44" w14:textId="77777777" w:rsidR="00E97D63" w:rsidRDefault="00E97D63" w:rsidP="002B1283">
      <w:pPr>
        <w:rPr>
          <w:rFonts w:ascii="Arial Black" w:hAnsi="Arial Black"/>
          <w:b/>
          <w:sz w:val="24"/>
          <w:szCs w:val="24"/>
        </w:rPr>
      </w:pPr>
    </w:p>
    <w:p w14:paraId="08DFF939" w14:textId="1DF12AE9" w:rsidR="00E97D63" w:rsidRDefault="00E97D63" w:rsidP="002B1283">
      <w:pPr>
        <w:rPr>
          <w:rFonts w:ascii="Arial Black" w:hAnsi="Arial Black"/>
          <w:b/>
          <w:sz w:val="24"/>
          <w:szCs w:val="24"/>
        </w:rPr>
      </w:pPr>
      <w:r>
        <w:rPr>
          <w:rFonts w:ascii="Arial Black" w:hAnsi="Arial Black"/>
          <w:b/>
          <w:sz w:val="24"/>
          <w:szCs w:val="24"/>
        </w:rPr>
        <w:t>1-97</w:t>
      </w:r>
    </w:p>
    <w:p w14:paraId="0CA63E7F" w14:textId="77777777" w:rsidR="00E97D63" w:rsidRPr="00914550" w:rsidRDefault="00E97D63" w:rsidP="00E97D63">
      <w:pPr>
        <w:spacing w:before="100" w:beforeAutospacing="1" w:after="100" w:afterAutospacing="1" w:line="240" w:lineRule="auto"/>
        <w:rPr>
          <w:rFonts w:ascii="Arial Black" w:eastAsia="Times New Roman" w:hAnsi="Arial Black"/>
          <w:sz w:val="28"/>
          <w:szCs w:val="28"/>
        </w:rPr>
      </w:pPr>
      <w:r w:rsidRPr="00914550">
        <w:rPr>
          <w:rFonts w:ascii="Arial Black" w:eastAsia="Times New Roman" w:hAnsi="Arial Black"/>
          <w:sz w:val="28"/>
          <w:szCs w:val="28"/>
        </w:rPr>
        <w:t xml:space="preserve">TX: </w:t>
      </w:r>
      <w:r>
        <w:rPr>
          <w:rFonts w:ascii="Arial Black" w:eastAsia="Times New Roman" w:hAnsi="Arial Black"/>
          <w:sz w:val="28"/>
          <w:szCs w:val="28"/>
        </w:rPr>
        <w:t>NO INJURY MVA – INSURANCE CO. PHOTOS HELPFUL – HUSBAND KILLED TAKING PICTURES – CAN’T SUE CO.</w:t>
      </w:r>
    </w:p>
    <w:p w14:paraId="60B83386" w14:textId="77777777" w:rsidR="00E97D63" w:rsidRDefault="00E97D63" w:rsidP="00E97D63">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April 22, 2022, in </w:t>
      </w:r>
      <w:r w:rsidRPr="00902188">
        <w:rPr>
          <w:rFonts w:ascii="Times New Roman" w:eastAsia="Times New Roman" w:hAnsi="Times New Roman"/>
          <w:sz w:val="24"/>
          <w:szCs w:val="24"/>
          <w:u w:val="single"/>
        </w:rPr>
        <w:t>Elephant Insurance Company, LLC v. Lorraine Kenyon, Individually and Executrix of Estate of Theodore Kenyon</w:t>
      </w:r>
      <w:r>
        <w:rPr>
          <w:rFonts w:ascii="Times New Roman" w:eastAsia="Times New Roman" w:hAnsi="Times New Roman"/>
          <w:sz w:val="24"/>
          <w:szCs w:val="24"/>
        </w:rPr>
        <w:t xml:space="preserve">, the Supreme Court of Texas held (3 to 0) that the Insurance Company did not breach a duty of care, and the trial court properly granted summary judgment to the company. Mrs. Kenyon lost </w:t>
      </w:r>
      <w:r>
        <w:rPr>
          <w:rFonts w:ascii="Times New Roman" w:eastAsia="Times New Roman" w:hAnsi="Times New Roman"/>
          <w:sz w:val="24"/>
          <w:szCs w:val="24"/>
        </w:rPr>
        <w:lastRenderedPageBreak/>
        <w:t>control of her car on a rain-slick road, striking a guardrail. She called the Insurance Company’s call center in Virginia and was advised:</w:t>
      </w:r>
    </w:p>
    <w:p w14:paraId="159D8E06" w14:textId="77777777" w:rsidR="00E97D63" w:rsidRPr="00914550" w:rsidRDefault="00E97D63" w:rsidP="00E97D63">
      <w:pPr>
        <w:spacing w:before="100" w:beforeAutospacing="1" w:after="100" w:afterAutospacing="1" w:line="240" w:lineRule="auto"/>
        <w:rPr>
          <w:rFonts w:ascii="Times New Roman" w:eastAsia="Times New Roman" w:hAnsi="Times New Roman"/>
          <w:sz w:val="24"/>
          <w:szCs w:val="24"/>
        </w:rPr>
      </w:pPr>
      <w:r w:rsidRPr="00914550">
        <w:rPr>
          <w:rFonts w:ascii="Times New Roman" w:eastAsia="Times New Roman" w:hAnsi="Times New Roman"/>
          <w:sz w:val="24"/>
          <w:szCs w:val="24"/>
        </w:rPr>
        <w:t>         </w:t>
      </w:r>
      <w:r w:rsidRPr="00914550">
        <w:rPr>
          <w:rFonts w:ascii="Times New Roman" w:eastAsia="Times New Roman" w:hAnsi="Times New Roman"/>
          <w:i/>
          <w:iCs/>
          <w:sz w:val="24"/>
          <w:szCs w:val="24"/>
        </w:rPr>
        <w:t>Kenyon</w:t>
      </w:r>
      <w:r w:rsidRPr="00914550">
        <w:rPr>
          <w:rFonts w:ascii="Times New Roman" w:eastAsia="Times New Roman" w:hAnsi="Times New Roman"/>
          <w:sz w:val="24"/>
          <w:szCs w:val="24"/>
        </w:rPr>
        <w:t xml:space="preserve">: Do you want us to take pictures? </w:t>
      </w:r>
    </w:p>
    <w:p w14:paraId="585E36B3" w14:textId="77777777" w:rsidR="00E97D63" w:rsidRDefault="00E97D63" w:rsidP="00E97D63">
      <w:pPr>
        <w:spacing w:before="100" w:beforeAutospacing="1" w:after="100" w:afterAutospacing="1" w:line="240" w:lineRule="auto"/>
        <w:ind w:left="630"/>
        <w:rPr>
          <w:rFonts w:ascii="Times New Roman" w:eastAsia="Times New Roman" w:hAnsi="Times New Roman"/>
          <w:sz w:val="24"/>
          <w:szCs w:val="24"/>
        </w:rPr>
      </w:pPr>
      <w:r w:rsidRPr="00914550">
        <w:rPr>
          <w:rFonts w:ascii="Times New Roman" w:eastAsia="Times New Roman" w:hAnsi="Times New Roman"/>
          <w:i/>
          <w:iCs/>
          <w:sz w:val="24"/>
          <w:szCs w:val="24"/>
        </w:rPr>
        <w:t>Elephant</w:t>
      </w:r>
      <w:r w:rsidRPr="00914550">
        <w:rPr>
          <w:rFonts w:ascii="Times New Roman" w:eastAsia="Times New Roman" w:hAnsi="Times New Roman"/>
          <w:sz w:val="24"/>
          <w:szCs w:val="24"/>
        </w:rPr>
        <w:t xml:space="preserve">: Yes, ma'am. Go ahead and take pictures. And - And we always recommend that you get the police involved but it's up to you whether you call them or not. Is your vehicle </w:t>
      </w:r>
      <w:proofErr w:type="gramStart"/>
      <w:r w:rsidRPr="00914550">
        <w:rPr>
          <w:rFonts w:ascii="Times New Roman" w:eastAsia="Times New Roman" w:hAnsi="Times New Roman"/>
          <w:sz w:val="24"/>
          <w:szCs w:val="24"/>
        </w:rPr>
        <w:t>drivable</w:t>
      </w:r>
      <w:proofErr w:type="gramEnd"/>
      <w:r w:rsidRPr="00914550">
        <w:rPr>
          <w:rFonts w:ascii="Times New Roman" w:eastAsia="Times New Roman" w:hAnsi="Times New Roman"/>
          <w:sz w:val="24"/>
          <w:szCs w:val="24"/>
        </w:rPr>
        <w:t xml:space="preserve">? </w:t>
      </w:r>
    </w:p>
    <w:p w14:paraId="3165458C" w14:textId="77777777" w:rsidR="00E97D63" w:rsidRPr="00914550" w:rsidRDefault="00E97D63" w:rsidP="00E97D63">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Her husband arrived at the scene and was taking photos when another motorist struck slid on the highway, struck and killed him. </w:t>
      </w:r>
      <w:hyperlink r:id="rId232" w:history="1">
        <w:r w:rsidRPr="00D45A3B">
          <w:rPr>
            <w:rStyle w:val="Hyperlink"/>
            <w:rFonts w:ascii="Times New Roman" w:eastAsia="Times New Roman" w:hAnsi="Times New Roman"/>
            <w:sz w:val="24"/>
            <w:szCs w:val="24"/>
          </w:rPr>
          <w:t>https://law.justia.com/cases/texas/supreme-court/2022/20-0366-0.html</w:t>
        </w:r>
      </w:hyperlink>
      <w:r>
        <w:rPr>
          <w:rFonts w:ascii="Times New Roman" w:eastAsia="Times New Roman" w:hAnsi="Times New Roman"/>
          <w:sz w:val="24"/>
          <w:szCs w:val="24"/>
        </w:rPr>
        <w:t xml:space="preserve"> </w:t>
      </w:r>
    </w:p>
    <w:p w14:paraId="7D60B29F" w14:textId="77777777" w:rsidR="00E97D63" w:rsidRPr="0050649F" w:rsidRDefault="00E97D63" w:rsidP="00E97D63">
      <w:pPr>
        <w:pStyle w:val="NormalWeb"/>
        <w:rPr>
          <w:b/>
          <w:bCs/>
        </w:rPr>
      </w:pPr>
      <w:r w:rsidRPr="0050649F">
        <w:rPr>
          <w:b/>
          <w:bCs/>
        </w:rPr>
        <w:t>Legal Lesson Learned:</w:t>
      </w:r>
      <w:r>
        <w:rPr>
          <w:b/>
          <w:bCs/>
        </w:rPr>
        <w:t xml:space="preserve">  Taking photos at MVA scene can be high risk not only for civilians but also for emergency responders; it’s a shame the driver didn’t call for a police officer to arrive and further protect the scene.  </w:t>
      </w:r>
    </w:p>
    <w:p w14:paraId="65872513" w14:textId="77777777" w:rsidR="00E97D63" w:rsidRDefault="00E97D63" w:rsidP="002B1283">
      <w:pPr>
        <w:rPr>
          <w:rFonts w:ascii="Arial Black" w:hAnsi="Arial Black"/>
          <w:b/>
          <w:sz w:val="24"/>
          <w:szCs w:val="24"/>
        </w:rPr>
      </w:pPr>
    </w:p>
    <w:p w14:paraId="3549C5BE" w14:textId="77777777" w:rsidR="00E97D63" w:rsidRDefault="00E97D63" w:rsidP="002B1283">
      <w:pPr>
        <w:rPr>
          <w:rFonts w:ascii="Arial Black" w:hAnsi="Arial Black"/>
          <w:b/>
          <w:sz w:val="24"/>
          <w:szCs w:val="24"/>
        </w:rPr>
      </w:pPr>
    </w:p>
    <w:p w14:paraId="5820F722" w14:textId="5AF92E07" w:rsidR="00E63B44" w:rsidRDefault="00E63B44" w:rsidP="002B1283">
      <w:pPr>
        <w:rPr>
          <w:rFonts w:ascii="Arial Black" w:hAnsi="Arial Black"/>
          <w:b/>
          <w:sz w:val="24"/>
          <w:szCs w:val="24"/>
        </w:rPr>
      </w:pPr>
      <w:r>
        <w:rPr>
          <w:rFonts w:ascii="Arial Black" w:hAnsi="Arial Black"/>
          <w:b/>
          <w:sz w:val="24"/>
          <w:szCs w:val="24"/>
        </w:rPr>
        <w:t>1-96</w:t>
      </w:r>
    </w:p>
    <w:p w14:paraId="2467B08A" w14:textId="107E004C" w:rsidR="00257457" w:rsidRDefault="00257457" w:rsidP="002B1283">
      <w:pPr>
        <w:rPr>
          <w:rFonts w:ascii="Arial Black" w:hAnsi="Arial Black"/>
          <w:b/>
          <w:sz w:val="24"/>
          <w:szCs w:val="24"/>
        </w:rPr>
      </w:pPr>
      <w:r>
        <w:rPr>
          <w:rFonts w:ascii="Arial Black" w:hAnsi="Arial Black"/>
          <w:b/>
          <w:sz w:val="24"/>
          <w:szCs w:val="24"/>
        </w:rPr>
        <w:t>IL – RESIDENTIAL PROPERTY – SPRINKLER ORDINANCE</w:t>
      </w:r>
      <w:r w:rsidR="00EE4546">
        <w:rPr>
          <w:rFonts w:ascii="Arial Black" w:hAnsi="Arial Black"/>
          <w:b/>
          <w:sz w:val="24"/>
          <w:szCs w:val="24"/>
        </w:rPr>
        <w:t xml:space="preserve"> UPHELD</w:t>
      </w:r>
    </w:p>
    <w:p w14:paraId="7CCE4B86" w14:textId="77777777" w:rsidR="00E63B44" w:rsidRDefault="00E63B44" w:rsidP="00E63B44">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On March 17, 2022, in </w:t>
      </w:r>
      <w:r w:rsidRPr="00114240">
        <w:rPr>
          <w:rFonts w:ascii="Times New Roman" w:hAnsi="Times New Roman"/>
          <w:sz w:val="24"/>
          <w:szCs w:val="24"/>
          <w:u w:val="single"/>
        </w:rPr>
        <w:t>2095 Stonington, LLC v. Village of Hoffman Estates</w:t>
      </w:r>
      <w:r>
        <w:rPr>
          <w:rFonts w:ascii="Times New Roman" w:hAnsi="Times New Roman"/>
          <w:sz w:val="24"/>
          <w:szCs w:val="24"/>
        </w:rPr>
        <w:t xml:space="preserve">, the Court of Appeals of Illinois, First District (Fourth Division) held (3 to 0) that the trial court properly found that the ordinance is neither arbitrary or discriminatory, and the Plaintiff when acquiring the commercial property in 2016 (13 rental units, including manufacturing operations) had an obligation to comply with the 2002 Village ordinance, at cost of about $573,000 in a building worth $1.5 million.  </w:t>
      </w:r>
      <w:r w:rsidRPr="00BB5D93">
        <w:rPr>
          <w:rFonts w:ascii="Times New Roman" w:hAnsi="Times New Roman"/>
          <w:sz w:val="24"/>
          <w:szCs w:val="24"/>
        </w:rPr>
        <w:t>The trial court concluded that plaintiff failed to prove that residential properties and commercial properties are similarly situated for purposes of fire protection of the occupants and, therefore, plaintiff's equal protection claim failed.</w:t>
      </w:r>
      <w:r>
        <w:rPr>
          <w:rFonts w:ascii="Times New Roman" w:hAnsi="Times New Roman"/>
          <w:sz w:val="24"/>
          <w:szCs w:val="24"/>
        </w:rPr>
        <w:t xml:space="preserve"> </w:t>
      </w:r>
      <w:hyperlink r:id="rId233" w:history="1">
        <w:r w:rsidRPr="0083693C">
          <w:rPr>
            <w:rStyle w:val="Hyperlink"/>
            <w:rFonts w:ascii="Times New Roman" w:eastAsia="Times New Roman" w:hAnsi="Times New Roman"/>
            <w:sz w:val="24"/>
            <w:szCs w:val="24"/>
          </w:rPr>
          <w:t>https://casetext.com/case/2095-stonington-llc-v-vill-of-hoffman-estates</w:t>
        </w:r>
      </w:hyperlink>
      <w:r>
        <w:rPr>
          <w:rFonts w:ascii="Times New Roman" w:eastAsia="Times New Roman" w:hAnsi="Times New Roman"/>
          <w:sz w:val="24"/>
          <w:szCs w:val="24"/>
        </w:rPr>
        <w:t xml:space="preserve"> </w:t>
      </w:r>
    </w:p>
    <w:p w14:paraId="11345250" w14:textId="77777777" w:rsidR="00E63B44" w:rsidRPr="0064523F" w:rsidRDefault="00E63B44" w:rsidP="00E63B44">
      <w:pPr>
        <w:spacing w:before="100" w:beforeAutospacing="1" w:after="100" w:afterAutospacing="1" w:line="240" w:lineRule="auto"/>
        <w:ind w:left="720"/>
        <w:rPr>
          <w:rFonts w:ascii="Times New Roman" w:hAnsi="Times New Roman"/>
          <w:sz w:val="24"/>
          <w:szCs w:val="24"/>
        </w:rPr>
      </w:pPr>
      <w:r>
        <w:t>“</w:t>
      </w:r>
      <w:r w:rsidRPr="0064523F">
        <w:rPr>
          <w:rFonts w:ascii="Times New Roman" w:hAnsi="Times New Roman"/>
          <w:sz w:val="24"/>
          <w:szCs w:val="24"/>
        </w:rPr>
        <w:t>Plaintiff contends that it is both arbitrary and discriminatory as the ordinance makes irrational distinctions between commercial properties and multi-family dwellings. Specifically, plaintiff observes that while defendant amended the ordinance in 2002 to exclude multi-family dwellings based on cost, such an amendment was not considered for older commercial buildings. Furthermore, plaintiff argues that its particular property did not warrant the installation of an automatic sprinkler system because it is equipped with alternative fire prevention measures and his fire expert, Glenn, testified the construction and layout of the property made the property safer than most.</w:t>
      </w:r>
    </w:p>
    <w:p w14:paraId="1F4679A4" w14:textId="77777777" w:rsidR="00E63B44" w:rsidRPr="0064523F" w:rsidRDefault="00E63B44" w:rsidP="00E63B44">
      <w:pPr>
        <w:spacing w:before="100" w:beforeAutospacing="1" w:after="100" w:afterAutospacing="1" w:line="240" w:lineRule="auto"/>
        <w:ind w:left="720"/>
        <w:rPr>
          <w:rFonts w:ascii="Times New Roman" w:hAnsi="Times New Roman"/>
          <w:sz w:val="24"/>
          <w:szCs w:val="24"/>
        </w:rPr>
      </w:pPr>
      <w:r w:rsidRPr="0064523F">
        <w:rPr>
          <w:rFonts w:ascii="Times New Roman" w:hAnsi="Times New Roman"/>
          <w:sz w:val="24"/>
          <w:szCs w:val="24"/>
        </w:rPr>
        <w:t>***</w:t>
      </w:r>
    </w:p>
    <w:p w14:paraId="6DB5535B" w14:textId="77777777" w:rsidR="00E63B44" w:rsidRDefault="00E63B44" w:rsidP="00E63B44">
      <w:pPr>
        <w:spacing w:before="100" w:beforeAutospacing="1" w:after="100" w:afterAutospacing="1" w:line="240" w:lineRule="auto"/>
        <w:ind w:left="720"/>
        <w:rPr>
          <w:rFonts w:ascii="Times New Roman" w:eastAsia="Times New Roman" w:hAnsi="Times New Roman"/>
          <w:sz w:val="24"/>
          <w:szCs w:val="24"/>
        </w:rPr>
      </w:pPr>
      <w:r w:rsidRPr="00CD7D0E">
        <w:rPr>
          <w:rFonts w:ascii="Times New Roman" w:eastAsia="Times New Roman" w:hAnsi="Times New Roman"/>
          <w:sz w:val="24"/>
          <w:szCs w:val="24"/>
        </w:rPr>
        <w:t>While the property at issue is fitted with smoke detectors, a fire alarm system, manual pull stations, and a direct connection to the Hoffman Estates Fire Department, the evidence presented established that more can be done to protect the life and property of the occupants at the property; namely, retrofitting the property with an automatic sprinkler system. There was no dispute that were such a system installed it would benefit the public and offer more protection to the occupants than what is currently installed. The ordinance, as applied to plaintiff's property, is neither arbitrary nor discriminatory. Accordingly, we find that while the trial court did err in not applying the rational basis test, its ultimate finding was correct-the ordinance is not unconstitutional as applied to plaintiff.</w:t>
      </w:r>
      <w:r>
        <w:rPr>
          <w:rFonts w:ascii="Times New Roman" w:eastAsia="Times New Roman" w:hAnsi="Times New Roman"/>
          <w:sz w:val="24"/>
          <w:szCs w:val="24"/>
        </w:rPr>
        <w:t xml:space="preserve">” </w:t>
      </w:r>
      <w:hyperlink r:id="rId234" w:history="1">
        <w:r w:rsidRPr="0083693C">
          <w:rPr>
            <w:rStyle w:val="Hyperlink"/>
            <w:rFonts w:ascii="Times New Roman" w:eastAsia="Times New Roman" w:hAnsi="Times New Roman"/>
            <w:sz w:val="24"/>
            <w:szCs w:val="24"/>
          </w:rPr>
          <w:t>https://casetext.com/case/2095-stonington-llc-v-vill-of-hoffman-estates</w:t>
        </w:r>
      </w:hyperlink>
      <w:r>
        <w:rPr>
          <w:rFonts w:ascii="Times New Roman" w:eastAsia="Times New Roman" w:hAnsi="Times New Roman"/>
          <w:sz w:val="24"/>
          <w:szCs w:val="24"/>
        </w:rPr>
        <w:t xml:space="preserve"> </w:t>
      </w:r>
    </w:p>
    <w:p w14:paraId="59121ED6" w14:textId="77777777" w:rsidR="00E63B44" w:rsidRPr="002C3FE0" w:rsidRDefault="00E63B44" w:rsidP="00E63B44">
      <w:pPr>
        <w:spacing w:before="100" w:beforeAutospacing="1" w:after="100" w:afterAutospacing="1" w:line="240" w:lineRule="auto"/>
        <w:rPr>
          <w:rFonts w:ascii="Times New Roman" w:eastAsia="Times New Roman" w:hAnsi="Times New Roman"/>
          <w:b/>
          <w:bCs/>
          <w:sz w:val="24"/>
          <w:szCs w:val="24"/>
        </w:rPr>
      </w:pPr>
      <w:r w:rsidRPr="00091755">
        <w:rPr>
          <w:rFonts w:ascii="Times New Roman" w:eastAsia="Times New Roman" w:hAnsi="Times New Roman"/>
          <w:b/>
          <w:bCs/>
          <w:sz w:val="24"/>
          <w:szCs w:val="24"/>
        </w:rPr>
        <w:lastRenderedPageBreak/>
        <w:t>Legal Lesson Learned:</w:t>
      </w:r>
      <w:r>
        <w:rPr>
          <w:rFonts w:ascii="Times New Roman" w:eastAsia="Times New Roman" w:hAnsi="Times New Roman"/>
          <w:b/>
          <w:bCs/>
          <w:sz w:val="24"/>
          <w:szCs w:val="24"/>
        </w:rPr>
        <w:t xml:space="preserve"> Excellent decision, balancing the benefits of sprinklers versus costs. </w:t>
      </w:r>
    </w:p>
    <w:p w14:paraId="6ECCFF6C" w14:textId="77777777" w:rsidR="00E63B44" w:rsidRDefault="00E63B44" w:rsidP="002B1283">
      <w:pPr>
        <w:rPr>
          <w:rFonts w:ascii="Arial Black" w:hAnsi="Arial Black"/>
          <w:b/>
          <w:sz w:val="24"/>
          <w:szCs w:val="24"/>
        </w:rPr>
      </w:pPr>
    </w:p>
    <w:p w14:paraId="339A306A" w14:textId="03B5C180" w:rsidR="00A20CA7" w:rsidRDefault="00A20CA7" w:rsidP="002B1283">
      <w:pPr>
        <w:rPr>
          <w:rFonts w:ascii="Arial Black" w:hAnsi="Arial Black"/>
          <w:b/>
          <w:sz w:val="24"/>
          <w:szCs w:val="24"/>
        </w:rPr>
      </w:pPr>
      <w:r>
        <w:rPr>
          <w:rFonts w:ascii="Arial Black" w:hAnsi="Arial Black"/>
          <w:b/>
          <w:sz w:val="24"/>
          <w:szCs w:val="24"/>
        </w:rPr>
        <w:t>1-95</w:t>
      </w:r>
    </w:p>
    <w:p w14:paraId="5DF07700" w14:textId="77777777" w:rsidR="00A20CA7" w:rsidRDefault="00A20CA7" w:rsidP="00A20CA7">
      <w:pPr>
        <w:rPr>
          <w:rStyle w:val="markedcontent"/>
          <w:rFonts w:ascii="Arial Black" w:hAnsi="Arial Black"/>
          <w:sz w:val="28"/>
          <w:szCs w:val="28"/>
        </w:rPr>
      </w:pPr>
      <w:r>
        <w:rPr>
          <w:rStyle w:val="markedcontent"/>
          <w:rFonts w:ascii="Arial Black" w:hAnsi="Arial Black"/>
          <w:sz w:val="28"/>
          <w:szCs w:val="28"/>
        </w:rPr>
        <w:t>U.S. SUP. CT: COVID-19 - OSHA MANDATE SET ASIDE – CMS MANDATE FOR HEALTH WORKERS UPHELD</w:t>
      </w:r>
    </w:p>
    <w:p w14:paraId="6D123222" w14:textId="03B28E12" w:rsidR="00A20CA7" w:rsidRDefault="00A20CA7" w:rsidP="00A20CA7">
      <w:pPr>
        <w:rPr>
          <w:rFonts w:ascii="Times New Roman" w:hAnsi="Times New Roman"/>
          <w:sz w:val="24"/>
          <w:szCs w:val="24"/>
        </w:rPr>
      </w:pPr>
      <w:r>
        <w:rPr>
          <w:rFonts w:ascii="Times New Roman" w:hAnsi="Times New Roman"/>
          <w:sz w:val="24"/>
          <w:szCs w:val="24"/>
        </w:rPr>
        <w:t xml:space="preserve">On Jan. 13, 2022, in </w:t>
      </w:r>
      <w:r w:rsidRPr="00132CF6">
        <w:rPr>
          <w:rFonts w:ascii="Times New Roman" w:hAnsi="Times New Roman"/>
          <w:sz w:val="24"/>
          <w:szCs w:val="24"/>
          <w:u w:val="single"/>
        </w:rPr>
        <w:t>Biden v. Missouri</w:t>
      </w:r>
      <w:r>
        <w:rPr>
          <w:rFonts w:ascii="Times New Roman" w:hAnsi="Times New Roman"/>
          <w:sz w:val="24"/>
          <w:szCs w:val="24"/>
        </w:rPr>
        <w:t>, the U.S. Supreme Court (5 to 4) upheld the health worker</w:t>
      </w:r>
      <w:r w:rsidR="002E00D9">
        <w:rPr>
          <w:rFonts w:ascii="Times New Roman" w:hAnsi="Times New Roman"/>
          <w:sz w:val="24"/>
          <w:szCs w:val="24"/>
        </w:rPr>
        <w:t>’</w:t>
      </w:r>
      <w:r>
        <w:rPr>
          <w:rFonts w:ascii="Times New Roman" w:hAnsi="Times New Roman"/>
          <w:sz w:val="24"/>
          <w:szCs w:val="24"/>
        </w:rPr>
        <w:t xml:space="preserve">s mandate. </w:t>
      </w:r>
    </w:p>
    <w:p w14:paraId="6E1A3B35" w14:textId="00F62972" w:rsidR="00A20CA7" w:rsidRDefault="00A20CA7" w:rsidP="00A20CA7">
      <w:pPr>
        <w:ind w:left="720"/>
        <w:rPr>
          <w:rFonts w:ascii="Times New Roman" w:hAnsi="Times New Roman"/>
          <w:sz w:val="24"/>
          <w:szCs w:val="24"/>
        </w:rPr>
      </w:pPr>
      <w:r>
        <w:rPr>
          <w:rStyle w:val="markedcontent"/>
          <w:rFonts w:ascii="Times New Roman" w:hAnsi="Times New Roman"/>
          <w:sz w:val="24"/>
          <w:szCs w:val="24"/>
        </w:rPr>
        <w:t>“</w:t>
      </w:r>
      <w:r w:rsidRPr="00132CF6">
        <w:rPr>
          <w:rStyle w:val="markedcontent"/>
          <w:rFonts w:ascii="Times New Roman" w:hAnsi="Times New Roman"/>
          <w:sz w:val="24"/>
          <w:szCs w:val="24"/>
        </w:rPr>
        <w:t>The Secretary of Health and Human Services administers the Medicare and Medicaid programs, which provide</w:t>
      </w:r>
      <w:r>
        <w:rPr>
          <w:rStyle w:val="markedcontent"/>
          <w:rFonts w:ascii="Times New Roman" w:hAnsi="Times New Roman"/>
          <w:sz w:val="24"/>
          <w:szCs w:val="24"/>
        </w:rPr>
        <w:t xml:space="preserve"> </w:t>
      </w:r>
      <w:r w:rsidRPr="00132CF6">
        <w:rPr>
          <w:rStyle w:val="markedcontent"/>
          <w:rFonts w:ascii="Times New Roman" w:hAnsi="Times New Roman"/>
          <w:sz w:val="24"/>
          <w:szCs w:val="24"/>
        </w:rPr>
        <w:t xml:space="preserve">health insurance for millions of elderly, disabled, and low-income Americans. In November 2021, the Secretary announced that, </w:t>
      </w:r>
      <w:proofErr w:type="gramStart"/>
      <w:r w:rsidRPr="00132CF6">
        <w:rPr>
          <w:rStyle w:val="markedcontent"/>
          <w:rFonts w:ascii="Times New Roman" w:hAnsi="Times New Roman"/>
          <w:sz w:val="24"/>
          <w:szCs w:val="24"/>
        </w:rPr>
        <w:t>in order to</w:t>
      </w:r>
      <w:proofErr w:type="gramEnd"/>
      <w:r w:rsidRPr="00132CF6">
        <w:rPr>
          <w:rStyle w:val="markedcontent"/>
          <w:rFonts w:ascii="Times New Roman" w:hAnsi="Times New Roman"/>
          <w:sz w:val="24"/>
          <w:szCs w:val="24"/>
        </w:rPr>
        <w:t xml:space="preserve"> receive Medicare and Medicaid</w:t>
      </w:r>
      <w:r>
        <w:rPr>
          <w:rStyle w:val="markedcontent"/>
          <w:rFonts w:ascii="Times New Roman" w:hAnsi="Times New Roman"/>
          <w:sz w:val="24"/>
          <w:szCs w:val="24"/>
        </w:rPr>
        <w:t xml:space="preserve"> </w:t>
      </w:r>
      <w:r w:rsidRPr="00132CF6">
        <w:rPr>
          <w:rStyle w:val="markedcontent"/>
          <w:rFonts w:ascii="Times New Roman" w:hAnsi="Times New Roman"/>
          <w:sz w:val="24"/>
          <w:szCs w:val="24"/>
        </w:rPr>
        <w:t>funding, participating facilities must ensure that their</w:t>
      </w:r>
      <w:r w:rsidR="002E00D9">
        <w:rPr>
          <w:rStyle w:val="markedcontent"/>
          <w:rFonts w:ascii="Times New Roman" w:hAnsi="Times New Roman"/>
          <w:sz w:val="24"/>
          <w:szCs w:val="24"/>
        </w:rPr>
        <w:t xml:space="preserve"> </w:t>
      </w:r>
      <w:r w:rsidRPr="00132CF6">
        <w:rPr>
          <w:rStyle w:val="markedcontent"/>
          <w:rFonts w:ascii="Times New Roman" w:hAnsi="Times New Roman"/>
          <w:sz w:val="24"/>
          <w:szCs w:val="24"/>
        </w:rPr>
        <w:t>staff—unless exempt for medical or religious reasons—are</w:t>
      </w:r>
      <w:r>
        <w:rPr>
          <w:rStyle w:val="markedcontent"/>
          <w:rFonts w:ascii="Times New Roman" w:hAnsi="Times New Roman"/>
          <w:sz w:val="24"/>
          <w:szCs w:val="24"/>
        </w:rPr>
        <w:t xml:space="preserve"> </w:t>
      </w:r>
      <w:r w:rsidRPr="00132CF6">
        <w:rPr>
          <w:rStyle w:val="markedcontent"/>
          <w:rFonts w:ascii="Times New Roman" w:hAnsi="Times New Roman"/>
          <w:sz w:val="24"/>
          <w:szCs w:val="24"/>
        </w:rPr>
        <w:t>vaccinated against COVID–19</w:t>
      </w:r>
      <w:r>
        <w:rPr>
          <w:rStyle w:val="markedcontent"/>
          <w:rFonts w:ascii="Times New Roman" w:hAnsi="Times New Roman"/>
          <w:sz w:val="24"/>
          <w:szCs w:val="24"/>
        </w:rPr>
        <w:t xml:space="preserve">….  </w:t>
      </w:r>
      <w:r w:rsidRPr="00132CF6">
        <w:rPr>
          <w:rStyle w:val="markedcontent"/>
          <w:rFonts w:ascii="Times New Roman" w:hAnsi="Times New Roman"/>
          <w:sz w:val="24"/>
          <w:szCs w:val="24"/>
        </w:rPr>
        <w:t>Two District Courts enjoined enforcement of the rule, and</w:t>
      </w:r>
      <w:r>
        <w:rPr>
          <w:rStyle w:val="markedcontent"/>
          <w:rFonts w:ascii="Times New Roman" w:hAnsi="Times New Roman"/>
          <w:sz w:val="24"/>
          <w:szCs w:val="24"/>
        </w:rPr>
        <w:t xml:space="preserve"> </w:t>
      </w:r>
      <w:r w:rsidRPr="00132CF6">
        <w:rPr>
          <w:rStyle w:val="markedcontent"/>
          <w:rFonts w:ascii="Times New Roman" w:hAnsi="Times New Roman"/>
          <w:sz w:val="24"/>
          <w:szCs w:val="24"/>
        </w:rPr>
        <w:t>the Government now asks us to stay those injunctions.</w:t>
      </w:r>
      <w:r>
        <w:rPr>
          <w:rStyle w:val="markedcontent"/>
          <w:rFonts w:ascii="Times New Roman" w:hAnsi="Times New Roman"/>
          <w:sz w:val="24"/>
          <w:szCs w:val="24"/>
        </w:rPr>
        <w:t xml:space="preserve"> </w:t>
      </w:r>
      <w:r w:rsidRPr="00132CF6">
        <w:rPr>
          <w:rStyle w:val="markedcontent"/>
          <w:rFonts w:ascii="Times New Roman" w:hAnsi="Times New Roman"/>
          <w:sz w:val="24"/>
          <w:szCs w:val="24"/>
        </w:rPr>
        <w:t>Agreeing that it is entitled to such relief, we grant the applications.</w:t>
      </w:r>
      <w:r>
        <w:rPr>
          <w:rStyle w:val="markedcontent"/>
          <w:rFonts w:ascii="Times New Roman" w:hAnsi="Times New Roman"/>
          <w:sz w:val="24"/>
          <w:szCs w:val="24"/>
        </w:rPr>
        <w:t>”</w:t>
      </w:r>
      <w:r w:rsidRPr="00132CF6">
        <w:rPr>
          <w:rFonts w:ascii="Times New Roman" w:hAnsi="Times New Roman"/>
          <w:sz w:val="24"/>
          <w:szCs w:val="24"/>
        </w:rPr>
        <w:t xml:space="preserve">  </w:t>
      </w:r>
      <w:hyperlink r:id="rId235" w:history="1">
        <w:r w:rsidRPr="00A83547">
          <w:rPr>
            <w:rStyle w:val="Hyperlink"/>
            <w:rFonts w:ascii="Times New Roman" w:hAnsi="Times New Roman"/>
            <w:sz w:val="24"/>
            <w:szCs w:val="24"/>
          </w:rPr>
          <w:t>https://www.supremecourt.gov/opinions/21pdf/21a240_d18e.pdf</w:t>
        </w:r>
      </w:hyperlink>
      <w:r>
        <w:rPr>
          <w:rFonts w:ascii="Times New Roman" w:hAnsi="Times New Roman"/>
          <w:sz w:val="24"/>
          <w:szCs w:val="24"/>
        </w:rPr>
        <w:t xml:space="preserve"> </w:t>
      </w:r>
    </w:p>
    <w:p w14:paraId="7F5E6001" w14:textId="77777777" w:rsidR="00A20CA7" w:rsidRDefault="00A20CA7" w:rsidP="00A20CA7">
      <w:pPr>
        <w:ind w:left="720"/>
        <w:rPr>
          <w:rFonts w:ascii="Times New Roman" w:hAnsi="Times New Roman"/>
          <w:sz w:val="24"/>
          <w:szCs w:val="24"/>
        </w:rPr>
      </w:pPr>
    </w:p>
    <w:p w14:paraId="6295FB06" w14:textId="77777777" w:rsidR="00A20CA7" w:rsidRDefault="00A20CA7" w:rsidP="00A20CA7">
      <w:pPr>
        <w:rPr>
          <w:rFonts w:ascii="Times New Roman" w:hAnsi="Times New Roman"/>
          <w:sz w:val="24"/>
          <w:szCs w:val="24"/>
        </w:rPr>
      </w:pPr>
      <w:r>
        <w:rPr>
          <w:rFonts w:ascii="Times New Roman" w:hAnsi="Times New Roman"/>
          <w:sz w:val="24"/>
          <w:szCs w:val="24"/>
        </w:rPr>
        <w:t xml:space="preserve">On Jan. 13, 2022, in </w:t>
      </w:r>
      <w:r w:rsidRPr="007918CC">
        <w:rPr>
          <w:rFonts w:ascii="Times New Roman" w:hAnsi="Times New Roman"/>
          <w:sz w:val="24"/>
          <w:szCs w:val="24"/>
          <w:u w:val="single"/>
        </w:rPr>
        <w:t>National Federal of Independent Business, et al. v. U.S. Department of Labor (OSHA)</w:t>
      </w:r>
      <w:r>
        <w:rPr>
          <w:rFonts w:ascii="Times New Roman" w:hAnsi="Times New Roman"/>
          <w:sz w:val="24"/>
          <w:szCs w:val="24"/>
        </w:rPr>
        <w:t>, the U.S. Supreme Court (6 to 3) struck down the OSHA rule.</w:t>
      </w:r>
    </w:p>
    <w:p w14:paraId="2ECC0E57" w14:textId="77777777" w:rsidR="00A20CA7" w:rsidRPr="007918CC" w:rsidRDefault="00A20CA7" w:rsidP="00A20CA7">
      <w:pPr>
        <w:ind w:left="720"/>
        <w:rPr>
          <w:rFonts w:ascii="Times New Roman" w:hAnsi="Times New Roman"/>
          <w:sz w:val="24"/>
          <w:szCs w:val="24"/>
        </w:rPr>
      </w:pPr>
      <w:r>
        <w:rPr>
          <w:rFonts w:ascii="Times New Roman" w:hAnsi="Times New Roman"/>
          <w:sz w:val="24"/>
          <w:szCs w:val="24"/>
        </w:rPr>
        <w:t>“</w:t>
      </w:r>
      <w:r w:rsidRPr="007918CC">
        <w:rPr>
          <w:rStyle w:val="markedcontent"/>
          <w:rFonts w:ascii="Times New Roman" w:hAnsi="Times New Roman"/>
          <w:sz w:val="24"/>
          <w:szCs w:val="24"/>
        </w:rPr>
        <w:t>The Secretary of Labor, acting through the Occupational</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Safety and Health Administration, recently enacted a vaccine mandate for much of the Nation’s work force. The</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mandate, which employers must enforce, applies to roughly</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84 million workers, covering virtually all employers with at</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least 100 employees. It requires that covered workers receive a COVID–19 vaccine, and it pre-empts contrary state</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laws. The only exception is for workers who obtain a medical test each week at their own expense and on their own</w:t>
      </w:r>
      <w:r>
        <w:rPr>
          <w:rStyle w:val="markedcontent"/>
          <w:rFonts w:ascii="Times New Roman" w:hAnsi="Times New Roman"/>
          <w:sz w:val="24"/>
          <w:szCs w:val="24"/>
        </w:rPr>
        <w:t xml:space="preserve"> </w:t>
      </w:r>
      <w:proofErr w:type="gramStart"/>
      <w:r w:rsidRPr="007918CC">
        <w:rPr>
          <w:rStyle w:val="markedcontent"/>
          <w:rFonts w:ascii="Times New Roman" w:hAnsi="Times New Roman"/>
          <w:sz w:val="24"/>
          <w:szCs w:val="24"/>
        </w:rPr>
        <w:t>time, and</w:t>
      </w:r>
      <w:proofErr w:type="gramEnd"/>
      <w:r w:rsidRPr="007918CC">
        <w:rPr>
          <w:rStyle w:val="markedcontent"/>
          <w:rFonts w:ascii="Times New Roman" w:hAnsi="Times New Roman"/>
          <w:sz w:val="24"/>
          <w:szCs w:val="24"/>
        </w:rPr>
        <w:t xml:space="preserve"> also wear a mask each workday. OSHA has </w:t>
      </w:r>
      <w:proofErr w:type="gramStart"/>
      <w:r w:rsidRPr="007918CC">
        <w:rPr>
          <w:rStyle w:val="markedcontent"/>
          <w:rFonts w:ascii="Times New Roman" w:hAnsi="Times New Roman"/>
          <w:sz w:val="24"/>
          <w:szCs w:val="24"/>
        </w:rPr>
        <w:t>never</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before</w:t>
      </w:r>
      <w:proofErr w:type="gramEnd"/>
      <w:r w:rsidRPr="007918CC">
        <w:rPr>
          <w:rStyle w:val="markedcontent"/>
          <w:rFonts w:ascii="Times New Roman" w:hAnsi="Times New Roman"/>
          <w:sz w:val="24"/>
          <w:szCs w:val="24"/>
        </w:rPr>
        <w:t xml:space="preserve"> imposed such a mandate. Nor has Congress. Indeed,</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 xml:space="preserve">although Congress has enacted significant legislation addressing the COVID–19 pandemic, it has declined to enact any measure </w:t>
      </w:r>
      <w:proofErr w:type="gramStart"/>
      <w:r w:rsidRPr="007918CC">
        <w:rPr>
          <w:rStyle w:val="markedcontent"/>
          <w:rFonts w:ascii="Times New Roman" w:hAnsi="Times New Roman"/>
          <w:sz w:val="24"/>
          <w:szCs w:val="24"/>
        </w:rPr>
        <w:t>similar to</w:t>
      </w:r>
      <w:proofErr w:type="gramEnd"/>
      <w:r w:rsidRPr="007918CC">
        <w:rPr>
          <w:rStyle w:val="markedcontent"/>
          <w:rFonts w:ascii="Times New Roman" w:hAnsi="Times New Roman"/>
          <w:sz w:val="24"/>
          <w:szCs w:val="24"/>
        </w:rPr>
        <w:t xml:space="preserve"> what OSHA has promulgated here.</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Many States, businesses, and nonprofit organizations</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challenged OSHA’s rule in Courts of Appeals across the</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country. The Fifth Circuit initially entered a stay. But</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when the cases were consolidated before the Sixth Circuit,</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that court lifted the stay and allowed OSHA’s rule to take</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effect. Applicants now seek emergency relief from this</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Court, arguing that OSHA’s mandate exceeds its statutory</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authority and is otherwise unlawful. Agreeing that applicants are likely to prevail, we grant their applications and</w:t>
      </w:r>
      <w:r>
        <w:rPr>
          <w:rStyle w:val="markedcontent"/>
          <w:rFonts w:ascii="Times New Roman" w:hAnsi="Times New Roman"/>
          <w:sz w:val="24"/>
          <w:szCs w:val="24"/>
        </w:rPr>
        <w:t xml:space="preserve"> </w:t>
      </w:r>
      <w:r w:rsidRPr="007918CC">
        <w:rPr>
          <w:rStyle w:val="markedcontent"/>
          <w:rFonts w:ascii="Times New Roman" w:hAnsi="Times New Roman"/>
          <w:sz w:val="24"/>
          <w:szCs w:val="24"/>
        </w:rPr>
        <w:t>stay the rule.</w:t>
      </w:r>
      <w:r>
        <w:rPr>
          <w:rStyle w:val="markedcontent"/>
          <w:rFonts w:ascii="Times New Roman" w:hAnsi="Times New Roman"/>
          <w:sz w:val="24"/>
          <w:szCs w:val="24"/>
        </w:rPr>
        <w:t xml:space="preserve">” </w:t>
      </w:r>
      <w:hyperlink r:id="rId236" w:history="1">
        <w:r w:rsidRPr="00A83547">
          <w:rPr>
            <w:rStyle w:val="Hyperlink"/>
            <w:rFonts w:ascii="Times New Roman" w:hAnsi="Times New Roman"/>
            <w:sz w:val="24"/>
            <w:szCs w:val="24"/>
          </w:rPr>
          <w:t>https://www.supremecourt.gov/opinions/21pdf/21a244_hgci.pdf</w:t>
        </w:r>
      </w:hyperlink>
      <w:r>
        <w:rPr>
          <w:rStyle w:val="markedcontent"/>
          <w:rFonts w:ascii="Times New Roman" w:hAnsi="Times New Roman"/>
          <w:sz w:val="24"/>
          <w:szCs w:val="24"/>
        </w:rPr>
        <w:t xml:space="preserve"> </w:t>
      </w:r>
    </w:p>
    <w:p w14:paraId="654EEE6E" w14:textId="77777777" w:rsidR="00A20CA7" w:rsidRPr="00893B6D" w:rsidRDefault="00A20CA7" w:rsidP="00A20CA7">
      <w:pPr>
        <w:rPr>
          <w:b/>
          <w:bCs/>
        </w:rPr>
      </w:pPr>
      <w:r w:rsidRPr="00893B6D">
        <w:rPr>
          <w:rFonts w:ascii="Times New Roman" w:hAnsi="Times New Roman"/>
          <w:b/>
          <w:bCs/>
          <w:sz w:val="24"/>
          <w:szCs w:val="24"/>
        </w:rPr>
        <w:t xml:space="preserve">Legal Lesson Learned: In Biden v. Missouri, the health mandate was upheld when two conservative Justices, </w:t>
      </w:r>
      <w:r w:rsidRPr="00E644C2">
        <w:rPr>
          <w:rFonts w:ascii="Times New Roman" w:eastAsia="Times New Roman" w:hAnsi="Times New Roman"/>
          <w:b/>
          <w:bCs/>
          <w:sz w:val="24"/>
          <w:szCs w:val="24"/>
        </w:rPr>
        <w:t>Chief Justice John G. Roberts Jr. and Brett M. Kavanaugh—joined with the court’s three liberal justices to form the majority</w:t>
      </w:r>
      <w:r w:rsidRPr="00893B6D">
        <w:rPr>
          <w:rFonts w:ascii="Times New Roman" w:eastAsia="Times New Roman" w:hAnsi="Times New Roman"/>
          <w:b/>
          <w:bCs/>
          <w:sz w:val="24"/>
          <w:szCs w:val="24"/>
        </w:rPr>
        <w:t xml:space="preserve">. </w:t>
      </w:r>
    </w:p>
    <w:p w14:paraId="201DCF19" w14:textId="77777777" w:rsidR="00A20CA7" w:rsidRPr="00910F74" w:rsidRDefault="00A20CA7" w:rsidP="00A20CA7">
      <w:pPr>
        <w:ind w:left="720" w:firstLine="50"/>
        <w:rPr>
          <w:rFonts w:ascii="Times New Roman" w:hAnsi="Times New Roman"/>
          <w:sz w:val="24"/>
          <w:szCs w:val="24"/>
        </w:rPr>
      </w:pPr>
      <w:r w:rsidRPr="00910F74">
        <w:rPr>
          <w:rFonts w:ascii="Times New Roman" w:hAnsi="Times New Roman"/>
          <w:sz w:val="24"/>
          <w:szCs w:val="24"/>
        </w:rPr>
        <w:t>Note:</w:t>
      </w:r>
      <w:r w:rsidRPr="00910F74">
        <w:rPr>
          <w:rFonts w:ascii="Times New Roman" w:hAnsi="Times New Roman"/>
          <w:color w:val="333333"/>
          <w:sz w:val="24"/>
          <w:szCs w:val="24"/>
        </w:rPr>
        <w:t xml:space="preserve"> On Jan. 13, 2022, the IAFC published this analysis.  “Fire and EMS departments are not covered by the CMS rule. However, if a fire or EMS department is engaged in interfacility transport, it should discuss the CMS rule with the facilities for which it provides interfacility transport to see if the fire or EMS department must come into </w:t>
      </w:r>
      <w:r w:rsidRPr="00910F74">
        <w:rPr>
          <w:rFonts w:ascii="Times New Roman" w:hAnsi="Times New Roman"/>
          <w:color w:val="333333"/>
          <w:sz w:val="24"/>
          <w:szCs w:val="24"/>
        </w:rPr>
        <w:lastRenderedPageBreak/>
        <w:t>compliance.” </w:t>
      </w:r>
      <w:hyperlink r:id="rId237" w:history="1">
        <w:r w:rsidRPr="00910F74">
          <w:rPr>
            <w:rStyle w:val="Hyperlink"/>
            <w:rFonts w:ascii="Times New Roman" w:hAnsi="Times New Roman"/>
            <w:sz w:val="24"/>
            <w:szCs w:val="24"/>
          </w:rPr>
          <w:t>https://www.iafc.org/blogs/blog/iafc/2022/01/13/supreme-court-decision-on-vaccine-mandates-what-it-means-for-fire-departments</w:t>
        </w:r>
      </w:hyperlink>
      <w:r w:rsidRPr="00910F74">
        <w:rPr>
          <w:rFonts w:ascii="Times New Roman" w:hAnsi="Times New Roman"/>
          <w:color w:val="333333"/>
          <w:sz w:val="24"/>
          <w:szCs w:val="24"/>
        </w:rPr>
        <w:t xml:space="preserve"> </w:t>
      </w:r>
    </w:p>
    <w:p w14:paraId="1609BAC7" w14:textId="77777777" w:rsidR="00A20CA7" w:rsidRDefault="00A20CA7" w:rsidP="002B1283">
      <w:pPr>
        <w:rPr>
          <w:rFonts w:ascii="Arial Black" w:hAnsi="Arial Black"/>
          <w:b/>
          <w:sz w:val="24"/>
          <w:szCs w:val="24"/>
        </w:rPr>
      </w:pPr>
    </w:p>
    <w:p w14:paraId="5DD8F335" w14:textId="77777777" w:rsidR="00A20CA7" w:rsidRDefault="00A20CA7" w:rsidP="002B1283">
      <w:pPr>
        <w:rPr>
          <w:rFonts w:ascii="Arial Black" w:hAnsi="Arial Black"/>
          <w:b/>
          <w:sz w:val="24"/>
          <w:szCs w:val="24"/>
        </w:rPr>
      </w:pPr>
    </w:p>
    <w:p w14:paraId="7427FFDE" w14:textId="3D401100" w:rsidR="00A20CA7" w:rsidRDefault="00A20CA7" w:rsidP="002B1283">
      <w:pPr>
        <w:rPr>
          <w:rFonts w:ascii="Arial Black" w:hAnsi="Arial Black"/>
          <w:b/>
          <w:sz w:val="24"/>
          <w:szCs w:val="24"/>
        </w:rPr>
      </w:pPr>
      <w:r>
        <w:rPr>
          <w:rFonts w:ascii="Arial Black" w:hAnsi="Arial Black"/>
          <w:b/>
          <w:sz w:val="24"/>
          <w:szCs w:val="24"/>
        </w:rPr>
        <w:t>1-94</w:t>
      </w:r>
    </w:p>
    <w:p w14:paraId="346A8ADF" w14:textId="77777777" w:rsidR="00A20CA7" w:rsidRPr="00182702" w:rsidRDefault="00A20CA7" w:rsidP="00A20CA7">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OK: RAILROAD FINED FOR BLOCKING ROADWAYS MORE 10 MIN. - STATE LAW SET ASIDE – FEDERAL LAW CONTROLS</w:t>
      </w:r>
    </w:p>
    <w:p w14:paraId="765E6DBE" w14:textId="77777777" w:rsidR="00A20CA7" w:rsidRPr="0028115D" w:rsidRDefault="00A20CA7" w:rsidP="00A20CA7">
      <w:pPr>
        <w:spacing w:before="100" w:beforeAutospacing="1" w:after="100" w:afterAutospacing="1" w:line="240" w:lineRule="auto"/>
        <w:rPr>
          <w:rFonts w:ascii="Times New Roman" w:eastAsia="Times New Roman" w:hAnsi="Times New Roman"/>
          <w:sz w:val="24"/>
          <w:szCs w:val="24"/>
        </w:rPr>
      </w:pPr>
      <w:r w:rsidRPr="0028115D">
        <w:rPr>
          <w:rFonts w:ascii="Times New Roman" w:eastAsia="Times New Roman" w:hAnsi="Times New Roman"/>
          <w:sz w:val="24"/>
          <w:szCs w:val="24"/>
        </w:rPr>
        <w:t xml:space="preserve">On Jan. 10, 2022, in </w:t>
      </w:r>
      <w:r w:rsidRPr="0028115D">
        <w:rPr>
          <w:rFonts w:ascii="Times New Roman" w:eastAsia="Times New Roman" w:hAnsi="Times New Roman"/>
          <w:sz w:val="24"/>
          <w:szCs w:val="24"/>
          <w:u w:val="single"/>
        </w:rPr>
        <w:t>BNSF Railway Company v. Todd Hiett, Chairman of Oklahoma Corporation Commission, et al</w:t>
      </w:r>
      <w:r>
        <w:rPr>
          <w:rFonts w:ascii="Times New Roman" w:eastAsia="Times New Roman" w:hAnsi="Times New Roman"/>
          <w:sz w:val="24"/>
          <w:szCs w:val="24"/>
        </w:rPr>
        <w:t>., the U.S. Court of Appeals for 10</w:t>
      </w:r>
      <w:r w:rsidRPr="0028115D">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(Denver) held (3 to 0) that the trial court properly held that Federal law preempts the state from issuing citations to railroads for blocking highway.  The Court recognized why the state has safety concerns, but Federal law prevails. “</w:t>
      </w:r>
      <w:r w:rsidRPr="0000659D">
        <w:rPr>
          <w:rFonts w:ascii="Times New Roman" w:hAnsi="Times New Roman"/>
          <w:sz w:val="24"/>
          <w:szCs w:val="24"/>
        </w:rPr>
        <w:t xml:space="preserve">Defendants explain that blocked crossings in Oklahoma have </w:t>
      </w:r>
      <w:r>
        <w:rPr>
          <w:rFonts w:ascii="Times New Roman" w:hAnsi="Times New Roman"/>
          <w:sz w:val="24"/>
          <w:szCs w:val="24"/>
        </w:rPr>
        <w:t>‘</w:t>
      </w:r>
      <w:r w:rsidRPr="0000659D">
        <w:rPr>
          <w:rFonts w:ascii="Times New Roman" w:hAnsi="Times New Roman"/>
          <w:sz w:val="24"/>
          <w:szCs w:val="24"/>
        </w:rPr>
        <w:t>forced a paramedic . . . to jump between rail cars of a stopped train to reach a patient in time,</w:t>
      </w:r>
      <w:r>
        <w:rPr>
          <w:rFonts w:ascii="Times New Roman" w:hAnsi="Times New Roman"/>
          <w:sz w:val="24"/>
          <w:szCs w:val="24"/>
        </w:rPr>
        <w:t>’</w:t>
      </w:r>
      <w:r w:rsidRPr="0000659D">
        <w:rPr>
          <w:rFonts w:ascii="Times New Roman" w:hAnsi="Times New Roman"/>
          <w:sz w:val="24"/>
          <w:szCs w:val="24"/>
        </w:rPr>
        <w:t xml:space="preserve"> delayed firefighters and paramedics' response times generally, and caused Oklahomans to engage in risky behavior to avoid blocked crossings.</w:t>
      </w:r>
      <w:r>
        <w:rPr>
          <w:rFonts w:ascii="Times New Roman" w:hAnsi="Times New Roman"/>
          <w:sz w:val="24"/>
          <w:szCs w:val="24"/>
        </w:rPr>
        <w:t xml:space="preserve">”   </w:t>
      </w:r>
      <w:hyperlink r:id="rId238" w:history="1">
        <w:r w:rsidRPr="00A83547">
          <w:rPr>
            <w:rStyle w:val="Hyperlink"/>
            <w:rFonts w:ascii="Times New Roman" w:hAnsi="Times New Roman"/>
            <w:sz w:val="24"/>
            <w:szCs w:val="24"/>
          </w:rPr>
          <w:t>https://www.ca10.uscourts.gov/sites/ca10/files/opinions/010110630282.pdf</w:t>
        </w:r>
      </w:hyperlink>
      <w:r>
        <w:rPr>
          <w:rFonts w:ascii="Times New Roman" w:hAnsi="Times New Roman"/>
          <w:sz w:val="24"/>
          <w:szCs w:val="24"/>
        </w:rPr>
        <w:t xml:space="preserve"> </w:t>
      </w:r>
    </w:p>
    <w:p w14:paraId="13CDF0A0" w14:textId="77777777" w:rsidR="00A20CA7" w:rsidRPr="006B6814" w:rsidRDefault="00A20CA7" w:rsidP="00A20CA7">
      <w:pPr>
        <w:spacing w:before="100" w:beforeAutospacing="1" w:after="100" w:afterAutospacing="1" w:line="240" w:lineRule="auto"/>
        <w:rPr>
          <w:rFonts w:ascii="Times New Roman" w:hAnsi="Times New Roman"/>
          <w:b/>
          <w:bCs/>
          <w:sz w:val="24"/>
          <w:szCs w:val="24"/>
        </w:rPr>
      </w:pPr>
      <w:r w:rsidRPr="006B6814">
        <w:rPr>
          <w:rFonts w:ascii="Times New Roman" w:hAnsi="Times New Roman"/>
          <w:b/>
          <w:bCs/>
          <w:sz w:val="24"/>
          <w:szCs w:val="24"/>
        </w:rPr>
        <w:t>Legal Lesson Learned:</w:t>
      </w:r>
      <w:r>
        <w:rPr>
          <w:rFonts w:ascii="Times New Roman" w:hAnsi="Times New Roman"/>
          <w:b/>
          <w:bCs/>
          <w:sz w:val="24"/>
          <w:szCs w:val="24"/>
        </w:rPr>
        <w:t xml:space="preserve"> Congress has preempted railroad safety issues; unfortunately grade crossing issues continue to grow with </w:t>
      </w:r>
      <w:proofErr w:type="gramStart"/>
      <w:r>
        <w:rPr>
          <w:rFonts w:ascii="Times New Roman" w:hAnsi="Times New Roman"/>
          <w:b/>
          <w:bCs/>
          <w:sz w:val="24"/>
          <w:szCs w:val="24"/>
        </w:rPr>
        <w:t>longer and longer</w:t>
      </w:r>
      <w:proofErr w:type="gramEnd"/>
      <w:r>
        <w:rPr>
          <w:rFonts w:ascii="Times New Roman" w:hAnsi="Times New Roman"/>
          <w:b/>
          <w:bCs/>
          <w:sz w:val="24"/>
          <w:szCs w:val="24"/>
        </w:rPr>
        <w:t xml:space="preserve"> trains. </w:t>
      </w:r>
    </w:p>
    <w:p w14:paraId="5E94F07B" w14:textId="77777777" w:rsidR="00A20CA7" w:rsidRPr="006B6814" w:rsidRDefault="00A20CA7" w:rsidP="00A20CA7">
      <w:pPr>
        <w:spacing w:before="100" w:beforeAutospacing="1" w:after="100" w:afterAutospacing="1" w:line="240" w:lineRule="auto"/>
        <w:ind w:left="720"/>
        <w:rPr>
          <w:rFonts w:ascii="Times New Roman" w:hAnsi="Times New Roman"/>
          <w:sz w:val="24"/>
          <w:szCs w:val="24"/>
        </w:rPr>
      </w:pPr>
      <w:r w:rsidRPr="006B6814">
        <w:rPr>
          <w:rFonts w:ascii="Times New Roman" w:hAnsi="Times New Roman"/>
          <w:sz w:val="24"/>
          <w:szCs w:val="24"/>
        </w:rPr>
        <w:t xml:space="preserve">Note: </w:t>
      </w:r>
      <w:r>
        <w:rPr>
          <w:rFonts w:ascii="Times New Roman" w:hAnsi="Times New Roman"/>
          <w:sz w:val="24"/>
          <w:szCs w:val="24"/>
        </w:rPr>
        <w:t>See Association of American Railroads article, Sept. 2021, “</w:t>
      </w:r>
      <w:r w:rsidRPr="006B6814">
        <w:rPr>
          <w:rStyle w:val="markedcontent"/>
          <w:rFonts w:ascii="Times New Roman" w:hAnsi="Times New Roman"/>
          <w:sz w:val="24"/>
          <w:szCs w:val="24"/>
        </w:rPr>
        <w:t>How Railroads Collaborate</w:t>
      </w:r>
      <w:r>
        <w:rPr>
          <w:rFonts w:ascii="Times New Roman" w:hAnsi="Times New Roman"/>
          <w:sz w:val="24"/>
          <w:szCs w:val="24"/>
        </w:rPr>
        <w:t xml:space="preserve"> </w:t>
      </w:r>
      <w:proofErr w:type="spellStart"/>
      <w:proofErr w:type="gramStart"/>
      <w:r w:rsidRPr="006B6814">
        <w:rPr>
          <w:rStyle w:val="markedcontent"/>
          <w:rFonts w:ascii="Times New Roman" w:hAnsi="Times New Roman"/>
          <w:sz w:val="24"/>
          <w:szCs w:val="24"/>
        </w:rPr>
        <w:t>ith</w:t>
      </w:r>
      <w:proofErr w:type="spellEnd"/>
      <w:proofErr w:type="gramEnd"/>
      <w:r w:rsidRPr="006B6814">
        <w:rPr>
          <w:rStyle w:val="markedcontent"/>
          <w:rFonts w:ascii="Times New Roman" w:hAnsi="Times New Roman"/>
          <w:sz w:val="24"/>
          <w:szCs w:val="24"/>
        </w:rPr>
        <w:t xml:space="preserve"> Stakeholders to Reduce Grade Crossing Impacts</w:t>
      </w:r>
      <w:r>
        <w:rPr>
          <w:rStyle w:val="markedcontent"/>
          <w:rFonts w:ascii="Times New Roman" w:hAnsi="Times New Roman"/>
          <w:sz w:val="24"/>
          <w:szCs w:val="24"/>
        </w:rPr>
        <w:t>.” “</w:t>
      </w:r>
      <w:r w:rsidRPr="006B6814">
        <w:rPr>
          <w:rStyle w:val="markedcontent"/>
          <w:rFonts w:ascii="Times New Roman" w:hAnsi="Times New Roman"/>
          <w:sz w:val="24"/>
          <w:szCs w:val="24"/>
        </w:rPr>
        <w:t>With more than 200,000 grade crossings nationwide, railroads</w:t>
      </w:r>
      <w:r>
        <w:rPr>
          <w:rStyle w:val="markedcontent"/>
          <w:rFonts w:ascii="Times New Roman" w:hAnsi="Times New Roman"/>
          <w:sz w:val="24"/>
          <w:szCs w:val="24"/>
        </w:rPr>
        <w:t xml:space="preserve"> </w:t>
      </w:r>
      <w:r w:rsidRPr="006B6814">
        <w:rPr>
          <w:rStyle w:val="markedcontent"/>
          <w:rFonts w:ascii="Times New Roman" w:hAnsi="Times New Roman"/>
          <w:sz w:val="24"/>
          <w:szCs w:val="24"/>
        </w:rPr>
        <w:t>work closely with community leaders, government partners,</w:t>
      </w:r>
      <w:r>
        <w:rPr>
          <w:rStyle w:val="markedcontent"/>
          <w:rFonts w:ascii="Times New Roman" w:hAnsi="Times New Roman"/>
          <w:sz w:val="24"/>
          <w:szCs w:val="24"/>
        </w:rPr>
        <w:t xml:space="preserve"> </w:t>
      </w:r>
      <w:r w:rsidRPr="006B6814">
        <w:rPr>
          <w:rStyle w:val="markedcontent"/>
          <w:rFonts w:ascii="Times New Roman" w:hAnsi="Times New Roman"/>
          <w:sz w:val="24"/>
          <w:szCs w:val="24"/>
        </w:rPr>
        <w:t>first responders and the public to manage and mitigate the</w:t>
      </w:r>
      <w:r>
        <w:rPr>
          <w:rStyle w:val="markedcontent"/>
          <w:rFonts w:ascii="Times New Roman" w:hAnsi="Times New Roman"/>
          <w:sz w:val="24"/>
          <w:szCs w:val="24"/>
        </w:rPr>
        <w:t xml:space="preserve"> </w:t>
      </w:r>
      <w:r w:rsidRPr="006B6814">
        <w:rPr>
          <w:rStyle w:val="markedcontent"/>
          <w:rFonts w:ascii="Times New Roman" w:hAnsi="Times New Roman"/>
          <w:sz w:val="24"/>
          <w:szCs w:val="24"/>
        </w:rPr>
        <w:t>impact of rail crossings on communities. Each grade crossing</w:t>
      </w:r>
      <w:r>
        <w:rPr>
          <w:rStyle w:val="markedcontent"/>
          <w:rFonts w:ascii="Times New Roman" w:hAnsi="Times New Roman"/>
          <w:sz w:val="24"/>
          <w:szCs w:val="24"/>
        </w:rPr>
        <w:t xml:space="preserve"> </w:t>
      </w:r>
      <w:r w:rsidRPr="006B6814">
        <w:rPr>
          <w:rStyle w:val="markedcontent"/>
          <w:rFonts w:ascii="Times New Roman" w:hAnsi="Times New Roman"/>
          <w:sz w:val="24"/>
          <w:szCs w:val="24"/>
        </w:rPr>
        <w:t>is unique, and railroad operational teams deploy a range of</w:t>
      </w:r>
      <w:r>
        <w:rPr>
          <w:rStyle w:val="markedcontent"/>
          <w:rFonts w:ascii="Times New Roman" w:hAnsi="Times New Roman"/>
          <w:sz w:val="24"/>
          <w:szCs w:val="24"/>
        </w:rPr>
        <w:t xml:space="preserve"> </w:t>
      </w:r>
      <w:r w:rsidRPr="006B6814">
        <w:rPr>
          <w:rStyle w:val="markedcontent"/>
          <w:rFonts w:ascii="Times New Roman" w:hAnsi="Times New Roman"/>
          <w:sz w:val="24"/>
          <w:szCs w:val="24"/>
        </w:rPr>
        <w:t>strategies, depending on the circumstances, to keep rail and</w:t>
      </w:r>
      <w:r>
        <w:rPr>
          <w:rStyle w:val="markedcontent"/>
          <w:rFonts w:ascii="Times New Roman" w:hAnsi="Times New Roman"/>
          <w:sz w:val="24"/>
          <w:szCs w:val="24"/>
        </w:rPr>
        <w:t xml:space="preserve"> </w:t>
      </w:r>
      <w:r w:rsidRPr="006B6814">
        <w:rPr>
          <w:rStyle w:val="markedcontent"/>
          <w:rFonts w:ascii="Times New Roman" w:hAnsi="Times New Roman"/>
          <w:sz w:val="24"/>
          <w:szCs w:val="24"/>
        </w:rPr>
        <w:t xml:space="preserve">vehicle traffic safely moving through these </w:t>
      </w:r>
      <w:proofErr w:type="gramStart"/>
      <w:r w:rsidRPr="006B6814">
        <w:rPr>
          <w:rStyle w:val="markedcontent"/>
          <w:rFonts w:ascii="Times New Roman" w:hAnsi="Times New Roman"/>
          <w:sz w:val="24"/>
          <w:szCs w:val="24"/>
        </w:rPr>
        <w:t>intersections.</w:t>
      </w:r>
      <w:r>
        <w:rPr>
          <w:rStyle w:val="markedcontent"/>
          <w:rFonts w:ascii="Times New Roman" w:hAnsi="Times New Roman"/>
          <w:sz w:val="24"/>
          <w:szCs w:val="24"/>
        </w:rPr>
        <w:t>”</w:t>
      </w:r>
      <w:proofErr w:type="gramEnd"/>
      <w:r>
        <w:rPr>
          <w:rStyle w:val="markedcontent"/>
          <w:rFonts w:ascii="Times New Roman" w:hAnsi="Times New Roman"/>
          <w:sz w:val="24"/>
          <w:szCs w:val="24"/>
        </w:rPr>
        <w:t xml:space="preserve"> </w:t>
      </w:r>
      <w:hyperlink r:id="rId239" w:history="1">
        <w:r w:rsidRPr="00A83547">
          <w:rPr>
            <w:rStyle w:val="Hyperlink"/>
            <w:rFonts w:ascii="Times New Roman" w:hAnsi="Times New Roman"/>
            <w:sz w:val="24"/>
            <w:szCs w:val="24"/>
          </w:rPr>
          <w:t>https://www.aar.org/wp-content/uploads/2020/02/AAR-Occupied-Crossings-Fact-Sheet.pdf</w:t>
        </w:r>
      </w:hyperlink>
      <w:r>
        <w:rPr>
          <w:rStyle w:val="markedcontent"/>
          <w:rFonts w:ascii="Times New Roman" w:hAnsi="Times New Roman"/>
          <w:sz w:val="24"/>
          <w:szCs w:val="24"/>
        </w:rPr>
        <w:t xml:space="preserve"> </w:t>
      </w:r>
    </w:p>
    <w:p w14:paraId="7474804A" w14:textId="77777777" w:rsidR="00A20CA7" w:rsidRDefault="00A20CA7" w:rsidP="002B1283">
      <w:pPr>
        <w:rPr>
          <w:rFonts w:ascii="Arial Black" w:hAnsi="Arial Black"/>
          <w:b/>
          <w:sz w:val="24"/>
          <w:szCs w:val="24"/>
        </w:rPr>
      </w:pPr>
    </w:p>
    <w:p w14:paraId="560EB8BC" w14:textId="77777777" w:rsidR="00A20CA7" w:rsidRDefault="00A20CA7" w:rsidP="002B1283">
      <w:pPr>
        <w:rPr>
          <w:rFonts w:ascii="Arial Black" w:hAnsi="Arial Black"/>
          <w:b/>
          <w:sz w:val="24"/>
          <w:szCs w:val="24"/>
        </w:rPr>
      </w:pPr>
    </w:p>
    <w:p w14:paraId="0E7F78EF" w14:textId="3D8FF09E" w:rsidR="00E51408" w:rsidRDefault="00E51408" w:rsidP="002B1283">
      <w:pPr>
        <w:rPr>
          <w:rFonts w:ascii="Arial Black" w:hAnsi="Arial Black"/>
          <w:b/>
          <w:sz w:val="24"/>
          <w:szCs w:val="24"/>
        </w:rPr>
      </w:pPr>
      <w:r>
        <w:rPr>
          <w:rFonts w:ascii="Arial Black" w:hAnsi="Arial Black"/>
          <w:b/>
          <w:sz w:val="24"/>
          <w:szCs w:val="24"/>
        </w:rPr>
        <w:t>1-93</w:t>
      </w:r>
    </w:p>
    <w:p w14:paraId="0EB691BF" w14:textId="77777777" w:rsidR="00E51408" w:rsidRDefault="00E51408" w:rsidP="00E51408">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OH: WARRANTLESS ENTRY - CAUSE &amp; ORIGIN OF HOUSE FIRE - DRUGS PLAIN VIEW – ADMISSIBLE IN EVIDENCE </w:t>
      </w:r>
    </w:p>
    <w:p w14:paraId="0D020A0E" w14:textId="77777777" w:rsidR="00E51408" w:rsidRPr="003A0F54" w:rsidRDefault="00E51408" w:rsidP="00E51408">
      <w:pPr>
        <w:rPr>
          <w:rFonts w:ascii="Times New Roman" w:hAnsi="Times New Roman"/>
          <w:bCs/>
          <w:sz w:val="24"/>
          <w:szCs w:val="24"/>
        </w:rPr>
      </w:pPr>
      <w:bookmarkStart w:id="4" w:name="_Hlk91595193"/>
      <w:r w:rsidRPr="003A0F54">
        <w:rPr>
          <w:rFonts w:ascii="Times New Roman" w:hAnsi="Times New Roman"/>
          <w:bCs/>
          <w:sz w:val="24"/>
          <w:szCs w:val="24"/>
        </w:rPr>
        <w:t xml:space="preserve">On Dec. 27, 2021, in </w:t>
      </w:r>
      <w:r w:rsidRPr="003A0F54">
        <w:rPr>
          <w:rFonts w:ascii="Times New Roman" w:hAnsi="Times New Roman"/>
          <w:bCs/>
          <w:sz w:val="24"/>
          <w:szCs w:val="24"/>
          <w:u w:val="single"/>
        </w:rPr>
        <w:t>State of Ohio v. Nicole L. Holmes</w:t>
      </w:r>
      <w:r w:rsidRPr="003A0F54">
        <w:rPr>
          <w:rFonts w:ascii="Times New Roman" w:hAnsi="Times New Roman"/>
          <w:bCs/>
          <w:sz w:val="24"/>
          <w:szCs w:val="24"/>
        </w:rPr>
        <w:t xml:space="preserve">, the Court of Appeals for the Eleventh District (Ashtabula) held (3 to 0) that trial judge improperly granted the defendant’s motion to suppress evidence.  Fire Captain lawfully entered house during overhaul and observed drugs in plain view; warrantless entry during “exigent circumstances” as authorized by U.S. Supreme Court in </w:t>
      </w:r>
      <w:r w:rsidRPr="003A0F54">
        <w:rPr>
          <w:rFonts w:ascii="Times New Roman" w:hAnsi="Times New Roman"/>
          <w:sz w:val="24"/>
          <w:szCs w:val="24"/>
        </w:rPr>
        <w:t xml:space="preserve">Michigan v. Tyler, 436 U.S. 499, 506, 98 </w:t>
      </w:r>
      <w:proofErr w:type="spellStart"/>
      <w:r w:rsidRPr="003A0F54">
        <w:rPr>
          <w:rFonts w:ascii="Times New Roman" w:hAnsi="Times New Roman"/>
          <w:sz w:val="24"/>
          <w:szCs w:val="24"/>
        </w:rPr>
        <w:t>S.Ct</w:t>
      </w:r>
      <w:proofErr w:type="spellEnd"/>
      <w:r w:rsidRPr="003A0F54">
        <w:rPr>
          <w:rFonts w:ascii="Times New Roman" w:hAnsi="Times New Roman"/>
          <w:sz w:val="24"/>
          <w:szCs w:val="24"/>
        </w:rPr>
        <w:t xml:space="preserve">. 1942, 56 L.Ed.2d 486 (1978). </w:t>
      </w:r>
      <w:r w:rsidRPr="003A0F54">
        <w:rPr>
          <w:rFonts w:ascii="Times New Roman" w:hAnsi="Times New Roman"/>
          <w:bCs/>
          <w:sz w:val="24"/>
          <w:szCs w:val="24"/>
        </w:rPr>
        <w:t xml:space="preserve">Case remanded for defendant’s criminal trial - </w:t>
      </w:r>
      <w:r w:rsidRPr="003A0F54">
        <w:rPr>
          <w:rFonts w:ascii="Times New Roman" w:hAnsi="Times New Roman"/>
          <w:sz w:val="24"/>
          <w:szCs w:val="24"/>
        </w:rPr>
        <w:t xml:space="preserve">aggravated trafficking in drugs, aggravated possession of drugs, possessing criminal tools, illegal use or possession of drug paraphernalia, and endangering children. </w:t>
      </w:r>
      <w:r w:rsidRPr="003A0F54">
        <w:rPr>
          <w:rFonts w:ascii="Times New Roman" w:hAnsi="Times New Roman"/>
          <w:bCs/>
          <w:sz w:val="24"/>
          <w:szCs w:val="24"/>
        </w:rPr>
        <w:t xml:space="preserve"> </w:t>
      </w:r>
    </w:p>
    <w:p w14:paraId="2248815F" w14:textId="77777777" w:rsidR="00E51408" w:rsidRPr="003A0F54" w:rsidRDefault="00E51408" w:rsidP="00E51408">
      <w:pPr>
        <w:ind w:left="720"/>
        <w:rPr>
          <w:rFonts w:ascii="Times New Roman" w:hAnsi="Times New Roman"/>
          <w:bCs/>
          <w:sz w:val="24"/>
          <w:szCs w:val="24"/>
        </w:rPr>
      </w:pPr>
      <w:r w:rsidRPr="003A0F54">
        <w:rPr>
          <w:rFonts w:ascii="Times New Roman" w:hAnsi="Times New Roman"/>
          <w:bCs/>
          <w:sz w:val="24"/>
          <w:szCs w:val="24"/>
        </w:rPr>
        <w:lastRenderedPageBreak/>
        <w:t xml:space="preserve">“Here, applying these Fourth Amendment standards and exceptions, we conclude that Captain Chase was permitted to enter the residence without a warrant under the doctrine of exigent circumstances. During the initial entry, while investigating and before he had determined the cause and origin of the fire, Captain Chase discovered contraband in plain view. Due to limitations on his training with evidence collection, he acted appropriately in requesting assistance from the police department. Patrolman Perry was permitted to enter the residence and seize the contraband without a warrant </w:t>
      </w:r>
      <w:r w:rsidRPr="003A0F54">
        <w:rPr>
          <w:rFonts w:ascii="Times New Roman" w:hAnsi="Times New Roman"/>
          <w:bCs/>
          <w:i/>
          <w:iCs/>
          <w:sz w:val="24"/>
          <w:szCs w:val="24"/>
        </w:rPr>
        <w:t>only</w:t>
      </w:r>
      <w:r w:rsidRPr="003A0F54">
        <w:rPr>
          <w:rFonts w:ascii="Times New Roman" w:hAnsi="Times New Roman"/>
          <w:bCs/>
          <w:sz w:val="24"/>
          <w:szCs w:val="24"/>
        </w:rPr>
        <w:t xml:space="preserve"> because he "stepped into the shoes" of Captain Chase, who was still on the scene conducting his initial investigation. Patrolman Perry entered solely for the purpose of assisting Captain Chase; he collected only the items to which he was directed by Captain Chase; he did not search any other area of the residence; and he did not further intrude  on Hommes' privacy interests. Accordingly, the warrantless seizure did not violate Hommes' Fourth Amendment rights. *** The trial court erred in granting Hommes' motion to suppress, and the state's sole assignment of error has merit. The judgment of the Ashtabula County Court of Common Pleas is reversed, and this matter is </w:t>
      </w:r>
      <w:proofErr w:type="gramStart"/>
      <w:r w:rsidRPr="003A0F54">
        <w:rPr>
          <w:rFonts w:ascii="Times New Roman" w:hAnsi="Times New Roman"/>
          <w:bCs/>
          <w:sz w:val="24"/>
          <w:szCs w:val="24"/>
        </w:rPr>
        <w:t>remanded</w:t>
      </w:r>
      <w:proofErr w:type="gramEnd"/>
      <w:r w:rsidRPr="003A0F54">
        <w:rPr>
          <w:rFonts w:ascii="Times New Roman" w:hAnsi="Times New Roman"/>
          <w:bCs/>
          <w:sz w:val="24"/>
          <w:szCs w:val="24"/>
        </w:rPr>
        <w:t xml:space="preserve"> for further proceedings consistent with this </w:t>
      </w:r>
      <w:proofErr w:type="gramStart"/>
      <w:r w:rsidRPr="003A0F54">
        <w:rPr>
          <w:rFonts w:ascii="Times New Roman" w:hAnsi="Times New Roman"/>
          <w:bCs/>
          <w:sz w:val="24"/>
          <w:szCs w:val="24"/>
        </w:rPr>
        <w:t>opinion.”</w:t>
      </w:r>
      <w:proofErr w:type="gramEnd"/>
      <w:r w:rsidRPr="003A0F54">
        <w:rPr>
          <w:rFonts w:ascii="Times New Roman" w:hAnsi="Times New Roman"/>
          <w:bCs/>
          <w:sz w:val="24"/>
          <w:szCs w:val="24"/>
        </w:rPr>
        <w:t xml:space="preserve">  </w:t>
      </w:r>
      <w:hyperlink r:id="rId240" w:history="1">
        <w:r w:rsidRPr="004065C6">
          <w:rPr>
            <w:rStyle w:val="Hyperlink"/>
            <w:rFonts w:ascii="Times New Roman" w:hAnsi="Times New Roman"/>
            <w:bCs/>
            <w:sz w:val="24"/>
            <w:szCs w:val="24"/>
          </w:rPr>
          <w:t>https://www.supremecourt.ohio.gov/rod/docs/pdf/11/2021/2021-Ohio-4568.pdf</w:t>
        </w:r>
      </w:hyperlink>
      <w:r>
        <w:rPr>
          <w:rFonts w:ascii="Times New Roman" w:hAnsi="Times New Roman"/>
          <w:bCs/>
          <w:sz w:val="24"/>
          <w:szCs w:val="24"/>
        </w:rPr>
        <w:t xml:space="preserve"> </w:t>
      </w:r>
    </w:p>
    <w:bookmarkEnd w:id="4"/>
    <w:p w14:paraId="5472100B" w14:textId="77777777" w:rsidR="00E51408" w:rsidRPr="003A0F54" w:rsidRDefault="00E51408" w:rsidP="00E51408">
      <w:pPr>
        <w:spacing w:after="100" w:line="240" w:lineRule="auto"/>
        <w:rPr>
          <w:rFonts w:ascii="Times New Roman" w:eastAsia="Times New Roman" w:hAnsi="Times New Roman"/>
          <w:b/>
          <w:bCs/>
          <w:sz w:val="24"/>
          <w:szCs w:val="24"/>
        </w:rPr>
      </w:pPr>
      <w:r w:rsidRPr="003A0F54">
        <w:rPr>
          <w:rFonts w:ascii="Times New Roman" w:eastAsia="Times New Roman" w:hAnsi="Times New Roman"/>
          <w:b/>
          <w:bCs/>
          <w:sz w:val="24"/>
          <w:szCs w:val="24"/>
        </w:rPr>
        <w:t>Legal Lesson Learned: Wonderful decision; exce</w:t>
      </w:r>
      <w:r>
        <w:rPr>
          <w:rFonts w:ascii="Times New Roman" w:eastAsia="Times New Roman" w:hAnsi="Times New Roman"/>
          <w:b/>
          <w:bCs/>
          <w:sz w:val="24"/>
          <w:szCs w:val="24"/>
        </w:rPr>
        <w:t xml:space="preserve">llent </w:t>
      </w:r>
      <w:r w:rsidRPr="003A0F54">
        <w:rPr>
          <w:rFonts w:ascii="Times New Roman" w:eastAsia="Times New Roman" w:hAnsi="Times New Roman"/>
          <w:b/>
          <w:bCs/>
          <w:sz w:val="24"/>
          <w:szCs w:val="24"/>
        </w:rPr>
        <w:t xml:space="preserve">appeal by the Ohio Attorney General’s office. </w:t>
      </w:r>
    </w:p>
    <w:p w14:paraId="36DE492B" w14:textId="77777777" w:rsidR="00E51408" w:rsidRPr="003A0F54" w:rsidRDefault="00E51408" w:rsidP="00E51408">
      <w:pPr>
        <w:spacing w:before="100" w:beforeAutospacing="1" w:after="100" w:afterAutospacing="1" w:line="240" w:lineRule="auto"/>
        <w:ind w:left="720"/>
        <w:rPr>
          <w:rFonts w:ascii="Times New Roman" w:eastAsia="Times New Roman" w:hAnsi="Times New Roman"/>
          <w:sz w:val="24"/>
          <w:szCs w:val="24"/>
        </w:rPr>
      </w:pPr>
    </w:p>
    <w:p w14:paraId="2CC3A87B" w14:textId="4B4F2E95" w:rsidR="00E51408" w:rsidRDefault="00E51408" w:rsidP="002B1283">
      <w:pPr>
        <w:rPr>
          <w:rFonts w:ascii="Arial Black" w:hAnsi="Arial Black"/>
          <w:b/>
          <w:sz w:val="24"/>
          <w:szCs w:val="24"/>
        </w:rPr>
      </w:pPr>
      <w:r>
        <w:rPr>
          <w:rFonts w:ascii="Arial Black" w:hAnsi="Arial Black"/>
          <w:b/>
          <w:sz w:val="24"/>
          <w:szCs w:val="24"/>
        </w:rPr>
        <w:t>1-92</w:t>
      </w:r>
    </w:p>
    <w:p w14:paraId="1171601C" w14:textId="77777777" w:rsidR="00E51408" w:rsidRDefault="00E51408" w:rsidP="00E51408">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PA: FD ENTRY BASEMENT WITHOUT WARRANT - ELECTRIC STOVE, CIRCUIT BRAKERS BASEMENT – BLDG CONDEMNED</w:t>
      </w:r>
    </w:p>
    <w:p w14:paraId="4580C6B2" w14:textId="77777777" w:rsidR="00E51408" w:rsidRPr="003A0F54" w:rsidRDefault="00E51408" w:rsidP="00E51408">
      <w:pPr>
        <w:spacing w:before="100" w:beforeAutospacing="1" w:after="100" w:afterAutospacing="1" w:line="240" w:lineRule="auto"/>
        <w:rPr>
          <w:rFonts w:ascii="Times New Roman" w:eastAsia="Times New Roman" w:hAnsi="Times New Roman"/>
          <w:sz w:val="24"/>
          <w:szCs w:val="24"/>
        </w:rPr>
      </w:pPr>
      <w:r w:rsidRPr="003A0F54">
        <w:rPr>
          <w:rFonts w:ascii="Times New Roman" w:eastAsia="Times New Roman" w:hAnsi="Times New Roman"/>
          <w:sz w:val="24"/>
          <w:szCs w:val="24"/>
        </w:rPr>
        <w:t xml:space="preserve">On Dec. 13, 2021, in </w:t>
      </w:r>
      <w:r w:rsidRPr="003A0F54">
        <w:rPr>
          <w:rFonts w:ascii="Times New Roman" w:eastAsia="Times New Roman" w:hAnsi="Times New Roman"/>
          <w:sz w:val="24"/>
          <w:szCs w:val="24"/>
          <w:u w:val="single"/>
        </w:rPr>
        <w:t>George Cannarozzo v. Borough of West Hazleton and Diane Panzarella</w:t>
      </w:r>
      <w:r w:rsidRPr="003A0F54">
        <w:rPr>
          <w:rFonts w:ascii="Times New Roman" w:eastAsia="Times New Roman" w:hAnsi="Times New Roman"/>
          <w:sz w:val="24"/>
          <w:szCs w:val="24"/>
        </w:rPr>
        <w:t xml:space="preserve">, U.S. District Court Judge Robert D. Mariani granted summary judgment to the Borough and their code enforcement officer, Diane Panzarella. The fire department had been dispatched twice to the building; first for light smoke on first floor (cleared scene in 10 minutes) and twelve minutes later called back for electrical stove sparking.  They removed the stove, but circuit brakers were in locked basement; when in basement they observed “dangling” and “hanging” wires, some without coatings and corroded.   </w:t>
      </w:r>
      <w:r>
        <w:rPr>
          <w:rFonts w:ascii="Times New Roman" w:eastAsia="Times New Roman" w:hAnsi="Times New Roman"/>
          <w:sz w:val="24"/>
          <w:szCs w:val="24"/>
        </w:rPr>
        <w:t xml:space="preserve"> </w:t>
      </w:r>
    </w:p>
    <w:p w14:paraId="0907F5E7" w14:textId="7853812A" w:rsidR="00E51408" w:rsidRDefault="00E51408" w:rsidP="00E51408">
      <w:pPr>
        <w:rPr>
          <w:rFonts w:ascii="Arial Black" w:hAnsi="Arial Black"/>
          <w:b/>
          <w:sz w:val="24"/>
          <w:szCs w:val="24"/>
        </w:rPr>
      </w:pPr>
      <w:r w:rsidRPr="003A0F54">
        <w:rPr>
          <w:rFonts w:ascii="Times New Roman" w:eastAsia="Times New Roman" w:hAnsi="Times New Roman"/>
          <w:sz w:val="24"/>
          <w:szCs w:val="24"/>
        </w:rPr>
        <w:t xml:space="preserve">“This evidence shows that the fire crew's entry into the basement was related to the second incident in which the stove was removed from the apartment unit, whether it was to check for extension of the fire or to turn off the circuit breaker "to secure the electrical oven" as </w:t>
      </w:r>
      <w:proofErr w:type="spellStart"/>
      <w:r w:rsidRPr="003A0F54">
        <w:rPr>
          <w:rFonts w:ascii="Times New Roman" w:eastAsia="Times New Roman" w:hAnsi="Times New Roman"/>
          <w:sz w:val="24"/>
          <w:szCs w:val="24"/>
        </w:rPr>
        <w:t>Segaria</w:t>
      </w:r>
      <w:proofErr w:type="spellEnd"/>
      <w:r w:rsidRPr="003A0F54">
        <w:rPr>
          <w:rFonts w:ascii="Times New Roman" w:eastAsia="Times New Roman" w:hAnsi="Times New Roman"/>
          <w:sz w:val="24"/>
          <w:szCs w:val="24"/>
        </w:rPr>
        <w:t xml:space="preserve"> said would be a concern ([Deputy Fire Chief Robert] </w:t>
      </w:r>
      <w:proofErr w:type="spellStart"/>
      <w:r w:rsidRPr="003A0F54">
        <w:rPr>
          <w:rFonts w:ascii="Times New Roman" w:eastAsia="Times New Roman" w:hAnsi="Times New Roman"/>
          <w:sz w:val="24"/>
          <w:szCs w:val="24"/>
        </w:rPr>
        <w:t>Segaria</w:t>
      </w:r>
      <w:proofErr w:type="spellEnd"/>
      <w:r w:rsidRPr="003A0F54">
        <w:rPr>
          <w:rFonts w:ascii="Times New Roman" w:eastAsia="Times New Roman" w:hAnsi="Times New Roman"/>
          <w:sz w:val="24"/>
          <w:szCs w:val="24"/>
        </w:rPr>
        <w:t xml:space="preserve"> Dep. 36:24-37:1 (Doc. 73-2 at 18)). As such, the fire crew's entry into the basement can be considered an extension of their firefighting duties, i.e., remediation of a potential hazard related to the incident or checking for an extension of the fire into the basement. Activities to prevent a fire's recurrence are properly characterized as reasons for firefighters to remain in a building with no warrant and present no Fourth Amendment violation. </w:t>
      </w:r>
      <w:r w:rsidRPr="003A0F54">
        <w:rPr>
          <w:rFonts w:ascii="Times New Roman" w:eastAsia="Times New Roman" w:hAnsi="Times New Roman"/>
          <w:i/>
          <w:iCs/>
          <w:sz w:val="24"/>
          <w:szCs w:val="24"/>
        </w:rPr>
        <w:t>See [U.S. Supreme Court decision in Michigan v.] Tyler,</w:t>
      </w:r>
      <w:r w:rsidRPr="003A0F54">
        <w:rPr>
          <w:rFonts w:ascii="Times New Roman" w:eastAsia="Times New Roman" w:hAnsi="Times New Roman"/>
          <w:sz w:val="24"/>
          <w:szCs w:val="24"/>
        </w:rPr>
        <w:t xml:space="preserve"> 436 U.S. at 510.” </w:t>
      </w:r>
      <w:hyperlink r:id="rId241" w:history="1">
        <w:r w:rsidRPr="00EC5853">
          <w:rPr>
            <w:rStyle w:val="Hyperlink"/>
            <w:rFonts w:ascii="Times New Roman" w:hAnsi="Times New Roman"/>
            <w:sz w:val="24"/>
            <w:szCs w:val="24"/>
          </w:rPr>
          <w:t>https://public.fastcase.com/9SKwsfNqTc6OieYDhNMyM7D5VS5NTHGa%2BVbO5LbgTVCol88giq6gEwqG77t7xxlVdoZinV7rGr3Vonxjs0f%2FBj%2FzJq07gNCdlFI%2FOtwWHGw%3D</w:t>
        </w:r>
      </w:hyperlink>
    </w:p>
    <w:p w14:paraId="4BAA07D2" w14:textId="77777777" w:rsidR="00E51408" w:rsidRPr="003A0F54" w:rsidRDefault="00E51408" w:rsidP="00E51408">
      <w:pPr>
        <w:spacing w:before="100" w:beforeAutospacing="1" w:after="100" w:afterAutospacing="1" w:line="240" w:lineRule="auto"/>
        <w:rPr>
          <w:rFonts w:ascii="Times New Roman" w:eastAsia="Times New Roman" w:hAnsi="Times New Roman"/>
          <w:b/>
          <w:bCs/>
          <w:sz w:val="24"/>
          <w:szCs w:val="24"/>
        </w:rPr>
      </w:pPr>
      <w:r w:rsidRPr="003A0F54">
        <w:rPr>
          <w:rFonts w:ascii="Times New Roman" w:eastAsia="Times New Roman" w:hAnsi="Times New Roman"/>
          <w:b/>
          <w:bCs/>
          <w:sz w:val="24"/>
          <w:szCs w:val="24"/>
        </w:rPr>
        <w:t xml:space="preserve">Legal Lesson Learned: The warrantless entry was lawful, and the Code Enforcement Officer enjoys qualified immunity.  The facts in this case are so clear, it makes you </w:t>
      </w:r>
      <w:proofErr w:type="gramStart"/>
      <w:r w:rsidRPr="003A0F54">
        <w:rPr>
          <w:rFonts w:ascii="Times New Roman" w:eastAsia="Times New Roman" w:hAnsi="Times New Roman"/>
          <w:b/>
          <w:bCs/>
          <w:sz w:val="24"/>
          <w:szCs w:val="24"/>
        </w:rPr>
        <w:t>wonderful</w:t>
      </w:r>
      <w:proofErr w:type="gramEnd"/>
      <w:r w:rsidRPr="003A0F54">
        <w:rPr>
          <w:rFonts w:ascii="Times New Roman" w:eastAsia="Times New Roman" w:hAnsi="Times New Roman"/>
          <w:b/>
          <w:bCs/>
          <w:sz w:val="24"/>
          <w:szCs w:val="24"/>
        </w:rPr>
        <w:t xml:space="preserve"> why the lawsuit was ever filed. </w:t>
      </w:r>
    </w:p>
    <w:p w14:paraId="07F51776" w14:textId="77777777" w:rsidR="00E51408" w:rsidRDefault="00E51408" w:rsidP="002B1283">
      <w:pPr>
        <w:rPr>
          <w:rFonts w:ascii="Arial Black" w:hAnsi="Arial Black"/>
          <w:b/>
          <w:sz w:val="24"/>
          <w:szCs w:val="24"/>
        </w:rPr>
      </w:pPr>
    </w:p>
    <w:p w14:paraId="353F8143" w14:textId="69233D57" w:rsidR="00365F63" w:rsidRDefault="00365F63" w:rsidP="002B1283">
      <w:pPr>
        <w:rPr>
          <w:rFonts w:ascii="Arial Black" w:hAnsi="Arial Black"/>
          <w:b/>
          <w:sz w:val="24"/>
          <w:szCs w:val="24"/>
        </w:rPr>
      </w:pPr>
      <w:r>
        <w:rPr>
          <w:rFonts w:ascii="Arial Black" w:hAnsi="Arial Black"/>
          <w:b/>
          <w:sz w:val="24"/>
          <w:szCs w:val="24"/>
        </w:rPr>
        <w:t>1-91</w:t>
      </w:r>
    </w:p>
    <w:p w14:paraId="71183945" w14:textId="77777777" w:rsidR="00365F63" w:rsidRPr="004620EA" w:rsidRDefault="00365F63" w:rsidP="00365F63">
      <w:pPr>
        <w:spacing w:before="100" w:beforeAutospacing="1" w:after="100" w:afterAutospacing="1" w:line="240" w:lineRule="auto"/>
        <w:rPr>
          <w:rFonts w:ascii="Arial Black" w:hAnsi="Arial Black"/>
          <w:sz w:val="28"/>
          <w:szCs w:val="28"/>
        </w:rPr>
      </w:pPr>
      <w:r>
        <w:rPr>
          <w:rFonts w:ascii="Arial Black" w:hAnsi="Arial Black"/>
          <w:sz w:val="28"/>
          <w:szCs w:val="28"/>
        </w:rPr>
        <w:t>ME: HOUSE UNFIT OCCUPANCY – BOILER, OIL FLOOR, BARE WIRES – NO VIOL. FED. DUE PROCESS, HAD APPEAL RIGHTS</w:t>
      </w:r>
    </w:p>
    <w:p w14:paraId="495A03F4" w14:textId="77777777" w:rsidR="00365F63" w:rsidRDefault="00365F63" w:rsidP="00365F63">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Nov. 18, 2021, in </w:t>
      </w:r>
      <w:r w:rsidRPr="00652AF8">
        <w:rPr>
          <w:rFonts w:ascii="Times New Roman" w:hAnsi="Times New Roman"/>
          <w:sz w:val="24"/>
          <w:szCs w:val="24"/>
          <w:u w:val="single"/>
        </w:rPr>
        <w:t>Joseph Jurkenas, et al. v. City of Brewer, et al</w:t>
      </w:r>
      <w:r>
        <w:rPr>
          <w:rFonts w:ascii="Times New Roman" w:hAnsi="Times New Roman"/>
          <w:sz w:val="24"/>
          <w:szCs w:val="24"/>
        </w:rPr>
        <w:t xml:space="preserve">., U.S. Magistrate Judge John C. Nivison, U.S. District Court, District of Maine, denied the homeowner’s motion for summary judgement, holding that their federal due process rights were not violated when there when the Fire Department ordered them out of the house because of the dangerous conditions, and the City later issued them a </w:t>
      </w:r>
      <w:r w:rsidRPr="00F22712">
        <w:rPr>
          <w:rFonts w:ascii="Times New Roman" w:hAnsi="Times New Roman"/>
          <w:sz w:val="24"/>
          <w:szCs w:val="24"/>
        </w:rPr>
        <w:t>Notice of Violation and Order of Corrective Action</w:t>
      </w:r>
      <w:r>
        <w:rPr>
          <w:rFonts w:ascii="Times New Roman" w:hAnsi="Times New Roman"/>
          <w:sz w:val="24"/>
          <w:szCs w:val="24"/>
        </w:rPr>
        <w:t xml:space="preserve"> on June 11, 2014. The Notice included their right to appeal to the Zoning Board of Appeals within 30 days; the City reject their late appeal (received July 22, 2014); and homeowners never challenged this in State court.  The City Council considered having building destroyed under State “dangerous building” law but tabled a hearing on Oct. 14, 2014, under their longstanding policy to use ongoing inspections to seek homeowner compliance. </w:t>
      </w:r>
    </w:p>
    <w:p w14:paraId="1D567319" w14:textId="77777777" w:rsidR="00365F63" w:rsidRDefault="00365F63" w:rsidP="00365F6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0B4DD9">
        <w:rPr>
          <w:rFonts w:ascii="Times New Roman" w:hAnsi="Times New Roman"/>
          <w:sz w:val="24"/>
          <w:szCs w:val="24"/>
        </w:rPr>
        <w:t xml:space="preserve">Even if Plaintiffs could ultimately convince a fact finder that there was no emergency that could justify the eviction, Plaintiffs have not shown there was inadequate post-deprivation process available for them to challenge the unfit for habitation determination because there was an administrative appeal and a cause of action in the state courts under Maine Rule of Civil Procedure 80B. </w:t>
      </w:r>
      <w:r>
        <w:rPr>
          <w:rFonts w:ascii="Times New Roman" w:hAnsi="Times New Roman"/>
          <w:sz w:val="24"/>
          <w:szCs w:val="24"/>
        </w:rPr>
        <w:t xml:space="preserve"> </w:t>
      </w:r>
    </w:p>
    <w:p w14:paraId="188A3630" w14:textId="77777777" w:rsidR="00365F63" w:rsidRDefault="00365F63" w:rsidP="00365F6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094D9A72" w14:textId="77777777" w:rsidR="00365F63" w:rsidRDefault="00365F63" w:rsidP="00365F63">
      <w:pPr>
        <w:spacing w:before="100" w:beforeAutospacing="1" w:after="100" w:afterAutospacing="1" w:line="240" w:lineRule="auto"/>
        <w:ind w:left="720"/>
      </w:pPr>
      <w:r w:rsidRPr="004620EA">
        <w:rPr>
          <w:rFonts w:ascii="Times New Roman" w:eastAsia="Times New Roman" w:hAnsi="Times New Roman"/>
          <w:sz w:val="24"/>
          <w:szCs w:val="24"/>
        </w:rPr>
        <w:t xml:space="preserve">Although Plaintiffs argue that they were not told of their right to appeal from the original unfit for habitation decision and dispute the grounds upon which the City denied their appeal, the failure to provide notice of the right to appeal </w:t>
      </w:r>
      <w:r>
        <w:rPr>
          <w:rFonts w:ascii="Times New Roman" w:eastAsia="Times New Roman" w:hAnsi="Times New Roman"/>
          <w:sz w:val="24"/>
          <w:szCs w:val="24"/>
        </w:rPr>
        <w:t>‘</w:t>
      </w:r>
      <w:r w:rsidRPr="004620EA">
        <w:rPr>
          <w:rFonts w:ascii="Times New Roman" w:eastAsia="Times New Roman" w:hAnsi="Times New Roman"/>
          <w:sz w:val="24"/>
          <w:szCs w:val="24"/>
        </w:rPr>
        <w:t>does not render the review remedy constitutionally inadequate</w:t>
      </w:r>
      <w:r>
        <w:rPr>
          <w:rFonts w:ascii="Times New Roman" w:eastAsia="Times New Roman" w:hAnsi="Times New Roman"/>
          <w:sz w:val="24"/>
          <w:szCs w:val="24"/>
        </w:rPr>
        <w:t>’</w:t>
      </w:r>
      <w:r w:rsidRPr="004620EA">
        <w:rPr>
          <w:rFonts w:ascii="Times New Roman" w:eastAsia="Times New Roman" w:hAnsi="Times New Roman"/>
          <w:sz w:val="24"/>
          <w:szCs w:val="24"/>
        </w:rPr>
        <w:t xml:space="preserve"> because </w:t>
      </w:r>
      <w:r>
        <w:rPr>
          <w:rFonts w:ascii="Times New Roman" w:eastAsia="Times New Roman" w:hAnsi="Times New Roman"/>
          <w:sz w:val="24"/>
          <w:szCs w:val="24"/>
        </w:rPr>
        <w:t>‘</w:t>
      </w:r>
      <w:r w:rsidRPr="004620EA">
        <w:rPr>
          <w:rFonts w:ascii="Times New Roman" w:eastAsia="Times New Roman" w:hAnsi="Times New Roman"/>
          <w:sz w:val="24"/>
          <w:szCs w:val="24"/>
        </w:rPr>
        <w:t>in most civil matters, citizens are expected to ask about the method to protest or appeal an initial administrative action (or to hire a lawyer)</w:t>
      </w:r>
      <w:r>
        <w:rPr>
          <w:rFonts w:ascii="Times New Roman" w:eastAsia="Times New Roman" w:hAnsi="Times New Roman"/>
          <w:sz w:val="24"/>
          <w:szCs w:val="24"/>
        </w:rPr>
        <w:t xml:space="preserve">’ </w:t>
      </w:r>
      <w:r w:rsidRPr="004620EA">
        <w:rPr>
          <w:rFonts w:ascii="Times New Roman" w:eastAsia="Times New Roman" w:hAnsi="Times New Roman"/>
          <w:sz w:val="24"/>
          <w:szCs w:val="24"/>
        </w:rPr>
        <w:t>and because Plaintiffs could have challenged the local decision on those grounds in state court</w:t>
      </w:r>
      <w:r>
        <w:rPr>
          <w:rFonts w:ascii="Times New Roman" w:eastAsia="Times New Roman" w:hAnsi="Times New Roman"/>
          <w:sz w:val="24"/>
          <w:szCs w:val="24"/>
        </w:rPr>
        <w:t>…</w:t>
      </w:r>
      <w:r w:rsidRPr="004620EA">
        <w:rPr>
          <w:rFonts w:ascii="Times New Roman" w:eastAsia="Times New Roman" w:hAnsi="Times New Roman"/>
          <w:sz w:val="24"/>
          <w:szCs w:val="24"/>
        </w:rPr>
        <w:t>. Plaintiffs have simply not demonstrated that as a matter of law there was no actual emergency nor have Plaintiffs demonstrated as a matter of law that they were due more process under the applicable legal authority.</w:t>
      </w:r>
    </w:p>
    <w:p w14:paraId="012AB413" w14:textId="77777777" w:rsidR="00365F63" w:rsidRDefault="00365F63" w:rsidP="00365F63">
      <w:pPr>
        <w:spacing w:before="100" w:beforeAutospacing="1" w:after="100" w:afterAutospacing="1" w:line="240" w:lineRule="auto"/>
        <w:ind w:left="720"/>
      </w:pPr>
      <w:r>
        <w:t>***</w:t>
      </w:r>
    </w:p>
    <w:p w14:paraId="4180465D" w14:textId="7638A9A2" w:rsidR="00365F63" w:rsidRDefault="00365F63" w:rsidP="00365F63">
      <w:pPr>
        <w:rPr>
          <w:rStyle w:val="Hyperlink"/>
          <w:rFonts w:ascii="Times New Roman" w:eastAsia="Times New Roman" w:hAnsi="Times New Roman"/>
          <w:sz w:val="24"/>
          <w:szCs w:val="24"/>
        </w:rPr>
      </w:pPr>
      <w:r w:rsidRPr="004620EA">
        <w:rPr>
          <w:rFonts w:ascii="Times New Roman" w:hAnsi="Times New Roman"/>
          <w:sz w:val="24"/>
          <w:szCs w:val="24"/>
        </w:rPr>
        <w:t>Accordingly, the Court informs Plaintiff that it will consider Defendants' request for summary judgment and that if Plaintiffs wish to respond to Defendants' request, Plaintiffs shall file their response on or before December 9, 2021.</w:t>
      </w:r>
      <w:r>
        <w:rPr>
          <w:rFonts w:ascii="Times New Roman" w:hAnsi="Times New Roman"/>
          <w:sz w:val="24"/>
          <w:szCs w:val="24"/>
        </w:rPr>
        <w:t xml:space="preserve">” </w:t>
      </w:r>
      <w:hyperlink r:id="rId242" w:history="1">
        <w:r w:rsidRPr="00A37CB0">
          <w:rPr>
            <w:rStyle w:val="Hyperlink"/>
            <w:rFonts w:ascii="Times New Roman" w:eastAsia="Times New Roman" w:hAnsi="Times New Roman"/>
            <w:sz w:val="24"/>
            <w:szCs w:val="24"/>
          </w:rPr>
          <w:t>https://public.fastcase.com/9SKwsfNqTc6OieYDhNMyM84JhiUntSQtUCBlgd6lzoL5y1g0gwdSndjfCHFHqJkk4vcRDuTZ3RRxLgM1%2Fyx%2BQdiK9wqe8J4wfwe4xg454y8%3D</w:t>
        </w:r>
      </w:hyperlink>
    </w:p>
    <w:p w14:paraId="3D37947D" w14:textId="77777777" w:rsidR="00365F63" w:rsidRPr="00917D62" w:rsidRDefault="00365F63" w:rsidP="00365F63">
      <w:pPr>
        <w:pStyle w:val="NormalWeb"/>
        <w:rPr>
          <w:b/>
          <w:bCs/>
        </w:rPr>
      </w:pPr>
      <w:r w:rsidRPr="00917D62">
        <w:rPr>
          <w:b/>
          <w:bCs/>
        </w:rPr>
        <w:t xml:space="preserve">Legal Lesson Learned: </w:t>
      </w:r>
      <w:r>
        <w:rPr>
          <w:b/>
          <w:bCs/>
        </w:rPr>
        <w:t xml:space="preserve"> The City properly gave homeowner opportunity to appeal to the Zoning Board of Appeals; there was no requirement that City hold a hearing since they decided not to destroy the home under State “dangerous buildings” statute. </w:t>
      </w:r>
    </w:p>
    <w:p w14:paraId="18484B2A" w14:textId="77777777" w:rsidR="00365F63" w:rsidRPr="00567B6A" w:rsidRDefault="00365F63" w:rsidP="00365F63">
      <w:pPr>
        <w:spacing w:before="100" w:beforeAutospacing="1" w:after="100" w:afterAutospacing="1" w:line="240" w:lineRule="auto"/>
        <w:ind w:left="720"/>
        <w:rPr>
          <w:rFonts w:ascii="Times New Roman" w:eastAsia="Times New Roman" w:hAnsi="Times New Roman"/>
          <w:sz w:val="24"/>
          <w:szCs w:val="24"/>
        </w:rPr>
      </w:pPr>
      <w:r w:rsidRPr="00567B6A">
        <w:rPr>
          <w:rFonts w:ascii="Times New Roman" w:eastAsia="Times New Roman" w:hAnsi="Times New Roman"/>
          <w:sz w:val="24"/>
          <w:szCs w:val="24"/>
        </w:rPr>
        <w:t>Note: See Maine “</w:t>
      </w:r>
      <w:r>
        <w:rPr>
          <w:rFonts w:ascii="Times New Roman" w:eastAsia="Times New Roman" w:hAnsi="Times New Roman"/>
          <w:sz w:val="24"/>
          <w:szCs w:val="24"/>
        </w:rPr>
        <w:t>d</w:t>
      </w:r>
      <w:r w:rsidRPr="00567B6A">
        <w:rPr>
          <w:rFonts w:ascii="Times New Roman" w:eastAsia="Times New Roman" w:hAnsi="Times New Roman"/>
          <w:sz w:val="24"/>
          <w:szCs w:val="24"/>
        </w:rPr>
        <w:t xml:space="preserve">angerous </w:t>
      </w:r>
      <w:r>
        <w:rPr>
          <w:rFonts w:ascii="Times New Roman" w:eastAsia="Times New Roman" w:hAnsi="Times New Roman"/>
          <w:sz w:val="24"/>
          <w:szCs w:val="24"/>
        </w:rPr>
        <w:t>b</w:t>
      </w:r>
      <w:r w:rsidRPr="00567B6A">
        <w:rPr>
          <w:rFonts w:ascii="Times New Roman" w:eastAsia="Times New Roman" w:hAnsi="Times New Roman"/>
          <w:sz w:val="24"/>
          <w:szCs w:val="24"/>
        </w:rPr>
        <w:t>uilding</w:t>
      </w:r>
      <w:r>
        <w:rPr>
          <w:rFonts w:ascii="Times New Roman" w:eastAsia="Times New Roman" w:hAnsi="Times New Roman"/>
          <w:sz w:val="24"/>
          <w:szCs w:val="24"/>
        </w:rPr>
        <w:t>s</w:t>
      </w:r>
      <w:r w:rsidRPr="00567B6A">
        <w:rPr>
          <w:rFonts w:ascii="Times New Roman" w:eastAsia="Times New Roman" w:hAnsi="Times New Roman"/>
          <w:sz w:val="24"/>
          <w:szCs w:val="24"/>
        </w:rPr>
        <w:t xml:space="preserve">” statute: </w:t>
      </w:r>
      <w:hyperlink r:id="rId243" w:history="1">
        <w:r w:rsidRPr="00567B6A">
          <w:rPr>
            <w:rStyle w:val="Hyperlink"/>
            <w:rFonts w:ascii="Times New Roman" w:eastAsia="Times New Roman" w:hAnsi="Times New Roman"/>
            <w:sz w:val="24"/>
            <w:szCs w:val="24"/>
          </w:rPr>
          <w:t>https://www.mainelegislature.org/legis/statutes/17/title17sec2851.html</w:t>
        </w:r>
      </w:hyperlink>
      <w:r w:rsidRPr="00567B6A">
        <w:rPr>
          <w:rFonts w:ascii="Times New Roman" w:eastAsia="Times New Roman" w:hAnsi="Times New Roman"/>
          <w:sz w:val="24"/>
          <w:szCs w:val="24"/>
        </w:rPr>
        <w:t xml:space="preserve"> </w:t>
      </w:r>
    </w:p>
    <w:p w14:paraId="2878563D" w14:textId="77777777" w:rsidR="00365F63" w:rsidRPr="00567B6A" w:rsidRDefault="00365F63" w:rsidP="00365F63">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lastRenderedPageBreak/>
        <w:t>“</w:t>
      </w:r>
      <w:r w:rsidRPr="00567B6A">
        <w:rPr>
          <w:rFonts w:ascii="Times New Roman" w:hAnsi="Times New Roman"/>
          <w:sz w:val="24"/>
          <w:szCs w:val="24"/>
        </w:rPr>
        <w:t xml:space="preserve">The municipal officers in the case of a municipality or the county commissioners in the case of the unorganized or </w:t>
      </w:r>
      <w:proofErr w:type="spellStart"/>
      <w:r w:rsidRPr="00567B6A">
        <w:rPr>
          <w:rFonts w:ascii="Times New Roman" w:hAnsi="Times New Roman"/>
          <w:sz w:val="24"/>
          <w:szCs w:val="24"/>
        </w:rPr>
        <w:t>deorganized</w:t>
      </w:r>
      <w:proofErr w:type="spellEnd"/>
      <w:r w:rsidRPr="00567B6A">
        <w:rPr>
          <w:rFonts w:ascii="Times New Roman" w:hAnsi="Times New Roman"/>
          <w:sz w:val="24"/>
          <w:szCs w:val="24"/>
        </w:rPr>
        <w:t xml:space="preserve"> areas in their county may after notice pursuant to </w:t>
      </w:r>
      <w:hyperlink r:id="rId244" w:history="1">
        <w:r w:rsidRPr="00567B6A">
          <w:rPr>
            <w:rStyle w:val="Hyperlink"/>
            <w:rFonts w:ascii="Times New Roman" w:hAnsi="Times New Roman"/>
            <w:sz w:val="24"/>
            <w:szCs w:val="24"/>
          </w:rPr>
          <w:t>section 2857</w:t>
        </w:r>
      </w:hyperlink>
      <w:r w:rsidRPr="00567B6A">
        <w:rPr>
          <w:rFonts w:ascii="Times New Roman" w:hAnsi="Times New Roman"/>
          <w:sz w:val="24"/>
          <w:szCs w:val="24"/>
        </w:rPr>
        <w:t xml:space="preserve"> and hearing adjudge a building to be a nuisance or dangerous, in accordance with </w:t>
      </w:r>
      <w:hyperlink r:id="rId245" w:history="1">
        <w:r w:rsidRPr="00567B6A">
          <w:rPr>
            <w:rStyle w:val="Hyperlink"/>
            <w:rFonts w:ascii="Times New Roman" w:hAnsi="Times New Roman"/>
            <w:sz w:val="24"/>
            <w:szCs w:val="24"/>
          </w:rPr>
          <w:t>subsection 2-A</w:t>
        </w:r>
      </w:hyperlink>
      <w:r w:rsidRPr="00567B6A">
        <w:rPr>
          <w:rFonts w:ascii="Times New Roman" w:hAnsi="Times New Roman"/>
          <w:sz w:val="24"/>
          <w:szCs w:val="24"/>
        </w:rPr>
        <w:t xml:space="preserve">, and may make and record an order, in accordance with </w:t>
      </w:r>
      <w:hyperlink r:id="rId246" w:history="1">
        <w:r w:rsidRPr="00567B6A">
          <w:rPr>
            <w:rStyle w:val="Hyperlink"/>
            <w:rFonts w:ascii="Times New Roman" w:hAnsi="Times New Roman"/>
            <w:sz w:val="24"/>
            <w:szCs w:val="24"/>
          </w:rPr>
          <w:t>subsection 3</w:t>
        </w:r>
      </w:hyperlink>
      <w:r w:rsidRPr="00567B6A">
        <w:rPr>
          <w:rFonts w:ascii="Times New Roman" w:hAnsi="Times New Roman"/>
          <w:sz w:val="24"/>
          <w:szCs w:val="24"/>
        </w:rPr>
        <w:t>, prescribing what disposal must be made of that building. The order may allow for delay of disposal if the owner or party in interest has demonstrated the ability and willingness to satisfactorily rehabilitate the building</w:t>
      </w:r>
      <w:r>
        <w:rPr>
          <w:rFonts w:ascii="Times New Roman" w:hAnsi="Times New Roman"/>
          <w:sz w:val="24"/>
          <w:szCs w:val="24"/>
        </w:rPr>
        <w:t>.”</w:t>
      </w:r>
    </w:p>
    <w:p w14:paraId="76D0A42F" w14:textId="77777777" w:rsidR="00365F63" w:rsidRDefault="00365F63" w:rsidP="00365F63">
      <w:pPr>
        <w:rPr>
          <w:rFonts w:ascii="Arial Black" w:hAnsi="Arial Black"/>
          <w:b/>
          <w:sz w:val="24"/>
          <w:szCs w:val="24"/>
        </w:rPr>
      </w:pPr>
    </w:p>
    <w:p w14:paraId="4453A18D" w14:textId="77777777" w:rsidR="00365F63" w:rsidRDefault="00365F63" w:rsidP="002B1283">
      <w:pPr>
        <w:rPr>
          <w:rFonts w:ascii="Arial Black" w:hAnsi="Arial Black"/>
          <w:b/>
          <w:sz w:val="24"/>
          <w:szCs w:val="24"/>
        </w:rPr>
      </w:pPr>
    </w:p>
    <w:p w14:paraId="7BDE9A22" w14:textId="604EA66E" w:rsidR="00D84F3A" w:rsidRDefault="00D84F3A" w:rsidP="002B1283">
      <w:pPr>
        <w:rPr>
          <w:rFonts w:ascii="Arial Black" w:hAnsi="Arial Black"/>
          <w:b/>
          <w:sz w:val="24"/>
          <w:szCs w:val="24"/>
        </w:rPr>
      </w:pPr>
      <w:r>
        <w:rPr>
          <w:rFonts w:ascii="Arial Black" w:hAnsi="Arial Black"/>
          <w:b/>
          <w:sz w:val="24"/>
          <w:szCs w:val="24"/>
        </w:rPr>
        <w:t>1-90</w:t>
      </w:r>
    </w:p>
    <w:p w14:paraId="16E692C6" w14:textId="6503E5BB" w:rsidR="00D84F3A" w:rsidRPr="00AA3338" w:rsidRDefault="00D84F3A" w:rsidP="00D84F3A">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OH – FALSE ALARM ORDINANCE – ILLEGAL “DOUBLE TAX” -</w:t>
      </w:r>
      <w:r w:rsidR="00E869E6">
        <w:rPr>
          <w:rFonts w:ascii="Arial Black" w:eastAsia="Times New Roman" w:hAnsi="Arial Black"/>
          <w:b/>
          <w:bCs/>
          <w:sz w:val="28"/>
          <w:szCs w:val="28"/>
        </w:rPr>
        <w:t xml:space="preserve"> </w:t>
      </w:r>
      <w:r>
        <w:rPr>
          <w:rFonts w:ascii="Arial Black" w:eastAsia="Times New Roman" w:hAnsi="Arial Black"/>
          <w:b/>
          <w:bCs/>
          <w:sz w:val="28"/>
          <w:szCs w:val="28"/>
        </w:rPr>
        <w:t xml:space="preserve">ALARM CO. $250 / YR – RESID. $50, BUS. $100 TWO YRS.  </w:t>
      </w:r>
    </w:p>
    <w:p w14:paraId="269980DC" w14:textId="77777777" w:rsidR="00D84F3A" w:rsidRDefault="00D84F3A" w:rsidP="00D84F3A">
      <w:pPr>
        <w:rPr>
          <w:rFonts w:ascii="Times New Roman" w:hAnsi="Times New Roman"/>
          <w:sz w:val="24"/>
          <w:szCs w:val="24"/>
        </w:rPr>
      </w:pPr>
      <w:r>
        <w:rPr>
          <w:rFonts w:ascii="Times New Roman" w:hAnsi="Times New Roman"/>
          <w:sz w:val="24"/>
          <w:szCs w:val="24"/>
        </w:rPr>
        <w:t xml:space="preserve">On Nov. 10, 2021, in </w:t>
      </w:r>
      <w:r w:rsidRPr="006F3656">
        <w:rPr>
          <w:rFonts w:ascii="Times New Roman" w:hAnsi="Times New Roman"/>
          <w:sz w:val="24"/>
          <w:szCs w:val="24"/>
          <w:u w:val="single"/>
        </w:rPr>
        <w:t>Andrew White, et al. v. City of Cincinnati</w:t>
      </w:r>
      <w:r>
        <w:rPr>
          <w:rFonts w:ascii="Times New Roman" w:hAnsi="Times New Roman"/>
          <w:sz w:val="24"/>
          <w:szCs w:val="24"/>
        </w:rPr>
        <w:t xml:space="preserve">, the Ohio Court of Appeals, First Appellate District (Hamilton County), held (3 to 0) in lawsuit brought by companies that install and maintain alarm systems, and users of alarm systems, that the current city ordinance is unconstitutional.  </w:t>
      </w:r>
      <w:r w:rsidRPr="005555E8">
        <w:rPr>
          <w:rFonts w:ascii="Times New Roman" w:hAnsi="Times New Roman"/>
          <w:sz w:val="24"/>
          <w:szCs w:val="24"/>
        </w:rPr>
        <w:t>Alarm businesses must pay a registration fee of $250 annually. If an alarm business fails to register, the city imposes a $1000 civil penalty for each request for a police response related to an alarm system by an unregistered alarm business or for each request by an alarm user for registration of an alarm system installed by an unregistered alarm business.</w:t>
      </w:r>
      <w:r>
        <w:rPr>
          <w:rFonts w:ascii="Times New Roman" w:hAnsi="Times New Roman"/>
          <w:sz w:val="24"/>
          <w:szCs w:val="24"/>
        </w:rPr>
        <w:t xml:space="preserve"> </w:t>
      </w:r>
      <w:r w:rsidRPr="005555E8">
        <w:rPr>
          <w:rFonts w:ascii="Times New Roman" w:hAnsi="Times New Roman"/>
          <w:sz w:val="24"/>
          <w:szCs w:val="24"/>
        </w:rPr>
        <w:t xml:space="preserve">Alarm users must also register with </w:t>
      </w:r>
      <w:r>
        <w:rPr>
          <w:rFonts w:ascii="Times New Roman" w:hAnsi="Times New Roman"/>
          <w:sz w:val="24"/>
          <w:szCs w:val="24"/>
        </w:rPr>
        <w:t xml:space="preserve">Police Department </w:t>
      </w:r>
      <w:r w:rsidRPr="005555E8">
        <w:rPr>
          <w:rFonts w:ascii="Times New Roman" w:hAnsi="Times New Roman"/>
          <w:sz w:val="24"/>
          <w:szCs w:val="24"/>
        </w:rPr>
        <w:t xml:space="preserve">before an alarm system is activated. Residential alarm users must pay $50 every two </w:t>
      </w:r>
      <w:proofErr w:type="gramStart"/>
      <w:r w:rsidRPr="005555E8">
        <w:rPr>
          <w:rFonts w:ascii="Times New Roman" w:hAnsi="Times New Roman"/>
          <w:sz w:val="24"/>
          <w:szCs w:val="24"/>
        </w:rPr>
        <w:t>years</w:t>
      </w:r>
      <w:proofErr w:type="gramEnd"/>
      <w:r w:rsidRPr="005555E8">
        <w:rPr>
          <w:rFonts w:ascii="Times New Roman" w:hAnsi="Times New Roman"/>
          <w:sz w:val="24"/>
          <w:szCs w:val="24"/>
        </w:rPr>
        <w:t xml:space="preserve"> and nonresidential alarm users must pay $100 every two years. The city imposes a $100 civil penalty on an alarm user for using an unregistered alarm system, but the penalties may be waived if the alarm user completes registration within 21 days of the first notice of a violation. All fees imposed on both alarm businesses and alarm users are non-refundable, nontransferable, and </w:t>
      </w:r>
      <w:proofErr w:type="gramStart"/>
      <w:r w:rsidRPr="005555E8">
        <w:rPr>
          <w:rFonts w:ascii="Times New Roman" w:hAnsi="Times New Roman"/>
          <w:sz w:val="24"/>
          <w:szCs w:val="24"/>
        </w:rPr>
        <w:t>location-specific</w:t>
      </w:r>
      <w:proofErr w:type="gramEnd"/>
      <w:r w:rsidRPr="005555E8">
        <w:rPr>
          <w:rFonts w:ascii="Times New Roman" w:hAnsi="Times New Roman"/>
          <w:sz w:val="24"/>
          <w:szCs w:val="24"/>
        </w:rPr>
        <w:t>.</w:t>
      </w:r>
    </w:p>
    <w:p w14:paraId="69F143F9" w14:textId="77777777" w:rsidR="00D84F3A" w:rsidRDefault="00D84F3A" w:rsidP="00D84F3A">
      <w:pPr>
        <w:pStyle w:val="NormalWeb"/>
        <w:ind w:left="720"/>
      </w:pPr>
      <w:r>
        <w:t>“[T]</w:t>
      </w:r>
      <w:r w:rsidRPr="00AA3338">
        <w:t xml:space="preserve">he city does not provide the alarm businesses or the alarm users with any services over and above what it already provides for taxpayers in general. Chapter 807 does not entitle alarm business and alarm users to any particular response from the city or give them the right to any particular response. The city has not given anything to them for which it can ask for the assessments in return. The assessments, particularly the registration fees, do not bear a reasonable relationship </w:t>
      </w:r>
      <w:proofErr w:type="gramStart"/>
      <w:r w:rsidRPr="00AA3338">
        <w:t>to</w:t>
      </w:r>
      <w:proofErr w:type="gramEnd"/>
      <w:r w:rsidRPr="00AA3338">
        <w:t xml:space="preserve"> protections, benefits or opportunities provided by the city to those paying the assessments.</w:t>
      </w:r>
    </w:p>
    <w:p w14:paraId="67C98F4E" w14:textId="77777777" w:rsidR="00D84F3A" w:rsidRPr="00AA3338" w:rsidRDefault="00D84F3A" w:rsidP="00D84F3A">
      <w:pPr>
        <w:pStyle w:val="NormalWeb"/>
        <w:ind w:left="720"/>
      </w:pPr>
      <w:r w:rsidRPr="00AA3338">
        <w:t>Based on this analysis, we hold that the assessments imposed by Cincinnati Municipal Code 807-1-A4 violate the Due Process Clauses of the Ohio and United States Constitutions. We do not hold that the city is prohibited from amending the current ordinance or passing another ordinance regulating alarm systems and false alarms. If it is so inclined, the city must do so in a manner that assures that the assessments constitute a fee rather than a tax.</w:t>
      </w:r>
      <w:r>
        <w:t xml:space="preserve">” </w:t>
      </w:r>
      <w:hyperlink r:id="rId247" w:history="1">
        <w:r w:rsidRPr="0064789D">
          <w:rPr>
            <w:rStyle w:val="Hyperlink"/>
          </w:rPr>
          <w:t>https://www.supremecourt.ohio.gov/rod/docs/pdf/1/2021/2021-Ohio-4003.pdf</w:t>
        </w:r>
      </w:hyperlink>
      <w:r>
        <w:t xml:space="preserve"> </w:t>
      </w:r>
    </w:p>
    <w:p w14:paraId="37E55BF3" w14:textId="77777777" w:rsidR="00365F63" w:rsidRPr="00A77CD4" w:rsidRDefault="00365F63" w:rsidP="00365F63">
      <w:pPr>
        <w:pStyle w:val="NormalWeb"/>
        <w:rPr>
          <w:b/>
          <w:bCs/>
        </w:rPr>
      </w:pPr>
      <w:r w:rsidRPr="00A77CD4">
        <w:rPr>
          <w:b/>
          <w:bCs/>
        </w:rPr>
        <w:t>Legal Lesson Learned:</w:t>
      </w:r>
      <w:r>
        <w:rPr>
          <w:b/>
          <w:bCs/>
        </w:rPr>
        <w:t xml:space="preserve">  The City may now adopt a new ordinance only setting fines for false alarms. </w:t>
      </w:r>
    </w:p>
    <w:p w14:paraId="750545A0" w14:textId="77777777" w:rsidR="00365F63" w:rsidRDefault="00365F63" w:rsidP="00365F63">
      <w:pPr>
        <w:pStyle w:val="NormalWeb"/>
        <w:ind w:left="720"/>
        <w:rPr>
          <w:rStyle w:val="post-title"/>
          <w:rFonts w:eastAsiaTheme="majorEastAsia"/>
        </w:rPr>
      </w:pPr>
      <w:r>
        <w:t>Note: See article on this case; Nov. 15, 2021: “</w:t>
      </w:r>
      <w:r>
        <w:rPr>
          <w:rStyle w:val="post-title"/>
          <w:rFonts w:eastAsiaTheme="majorEastAsia"/>
        </w:rPr>
        <w:t xml:space="preserve">Cincinnati burglar arm fee struck down. ‘A giant scam’ says lawyer.” </w:t>
      </w:r>
      <w:hyperlink r:id="rId248" w:history="1">
        <w:r w:rsidRPr="00AA5D51">
          <w:rPr>
            <w:rStyle w:val="Hyperlink"/>
            <w:rFonts w:eastAsiaTheme="majorEastAsia"/>
          </w:rPr>
          <w:t>https://ohiotimes.news/cincinnati-burglar-arm-fee-struck-down-a-giant-scam-says-lawyer/?doing_wp_cron=1637522583.8115420341491699218750</w:t>
        </w:r>
      </w:hyperlink>
      <w:r>
        <w:rPr>
          <w:rStyle w:val="post-title"/>
          <w:rFonts w:eastAsiaTheme="majorEastAsia"/>
        </w:rPr>
        <w:t xml:space="preserve"> </w:t>
      </w:r>
    </w:p>
    <w:p w14:paraId="26549BB7" w14:textId="77777777" w:rsidR="00D84F3A" w:rsidRDefault="00D84F3A" w:rsidP="002B1283">
      <w:pPr>
        <w:rPr>
          <w:rFonts w:ascii="Arial Black" w:hAnsi="Arial Black"/>
          <w:b/>
          <w:sz w:val="24"/>
          <w:szCs w:val="24"/>
        </w:rPr>
      </w:pPr>
    </w:p>
    <w:p w14:paraId="1D8774E3" w14:textId="77777777" w:rsidR="00D84F3A" w:rsidRDefault="00D84F3A" w:rsidP="002B1283">
      <w:pPr>
        <w:rPr>
          <w:rFonts w:ascii="Arial Black" w:hAnsi="Arial Black"/>
          <w:b/>
          <w:sz w:val="24"/>
          <w:szCs w:val="24"/>
        </w:rPr>
      </w:pPr>
    </w:p>
    <w:p w14:paraId="36815AAF" w14:textId="25CBFBCC" w:rsidR="00D84F3A" w:rsidRDefault="00D84F3A" w:rsidP="002B1283">
      <w:pPr>
        <w:rPr>
          <w:rFonts w:ascii="Arial Black" w:hAnsi="Arial Black"/>
          <w:b/>
          <w:sz w:val="24"/>
          <w:szCs w:val="24"/>
        </w:rPr>
      </w:pPr>
      <w:r>
        <w:rPr>
          <w:rFonts w:ascii="Arial Black" w:hAnsi="Arial Black"/>
          <w:b/>
          <w:sz w:val="24"/>
          <w:szCs w:val="24"/>
        </w:rPr>
        <w:t>1-89</w:t>
      </w:r>
    </w:p>
    <w:p w14:paraId="54AFBDC8" w14:textId="77777777" w:rsidR="00D84F3A" w:rsidRPr="00E22703" w:rsidRDefault="00D84F3A" w:rsidP="00D84F3A">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KY: EVIDENCE SUPPRESSED - WELLNESS CHECK - VOL. FF HEADFIRST INTO CAR - NOT “COMMUNITY CARETAKING”</w:t>
      </w:r>
    </w:p>
    <w:p w14:paraId="751089A7" w14:textId="77777777" w:rsidR="00D84F3A" w:rsidRPr="00B20BEC" w:rsidRDefault="00D84F3A" w:rsidP="00D84F3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Nov. 2, 2021, in </w:t>
      </w:r>
      <w:r w:rsidRPr="00B20BEC">
        <w:rPr>
          <w:rFonts w:ascii="Times New Roman" w:hAnsi="Times New Roman"/>
          <w:sz w:val="24"/>
          <w:szCs w:val="24"/>
          <w:u w:val="single"/>
        </w:rPr>
        <w:t>United States of America v. Michael M. Fairrow, Jr</w:t>
      </w:r>
      <w:r>
        <w:rPr>
          <w:rFonts w:ascii="Times New Roman" w:hAnsi="Times New Roman"/>
          <w:sz w:val="24"/>
          <w:szCs w:val="24"/>
        </w:rPr>
        <w:t xml:space="preserve">,, U.S. District Court Senior Judge Joseph R. McKinley Jr., U.S. District Court for Western District of Kentucky (Owensboro Division) upheld defendant’s motion to suppress evidence seized in his car: </w:t>
      </w:r>
      <w:r w:rsidRPr="00B20BEC">
        <w:rPr>
          <w:rFonts w:ascii="Times New Roman" w:hAnsi="Times New Roman"/>
          <w:sz w:val="24"/>
          <w:szCs w:val="24"/>
        </w:rPr>
        <w:t xml:space="preserve">five bags of methamphetamine and a loaded nine-millimeter handgun in a backpack in the back seat. </w:t>
      </w:r>
      <w:r>
        <w:rPr>
          <w:rFonts w:ascii="Times New Roman" w:hAnsi="Times New Roman"/>
          <w:sz w:val="24"/>
          <w:szCs w:val="24"/>
        </w:rPr>
        <w:t xml:space="preserve">The Court rejected the government’s argument that volunteer firefighter Michael Wahl was lawfully trying to stop the car from leaving under the “Community Caretaking Doctrine.” </w:t>
      </w:r>
    </w:p>
    <w:p w14:paraId="167DD05E" w14:textId="77777777" w:rsidR="00D84F3A" w:rsidRDefault="00D84F3A" w:rsidP="00D84F3A">
      <w:pPr>
        <w:spacing w:before="100" w:beforeAutospacing="1" w:after="100" w:afterAutospacing="1" w:line="240" w:lineRule="auto"/>
        <w:ind w:left="720"/>
        <w:rPr>
          <w:rStyle w:val="Emphasis"/>
          <w:rFonts w:ascii="Times New Roman" w:hAnsi="Times New Roman"/>
          <w:sz w:val="24"/>
          <w:szCs w:val="24"/>
        </w:rPr>
      </w:pPr>
      <w:r>
        <w:rPr>
          <w:rFonts w:ascii="Times New Roman" w:hAnsi="Times New Roman"/>
          <w:sz w:val="24"/>
          <w:szCs w:val="24"/>
        </w:rPr>
        <w:t>“</w:t>
      </w:r>
      <w:r w:rsidRPr="005F7F88">
        <w:rPr>
          <w:rFonts w:ascii="Times New Roman" w:hAnsi="Times New Roman"/>
          <w:sz w:val="24"/>
          <w:szCs w:val="24"/>
        </w:rPr>
        <w:t>Basically, Wahl lacked facts about Fairrow's medical condition. He jumped through the window so he could figure out more. The Fourth Amendment flatly proscribes this shoot-</w:t>
      </w:r>
      <w:proofErr w:type="gramStart"/>
      <w:r w:rsidRPr="005F7F88">
        <w:rPr>
          <w:rFonts w:ascii="Times New Roman" w:hAnsi="Times New Roman"/>
          <w:sz w:val="24"/>
          <w:szCs w:val="24"/>
        </w:rPr>
        <w:t>first-ask</w:t>
      </w:r>
      <w:proofErr w:type="gramEnd"/>
      <w:r w:rsidRPr="005F7F88">
        <w:rPr>
          <w:rFonts w:ascii="Times New Roman" w:hAnsi="Times New Roman"/>
          <w:sz w:val="24"/>
          <w:szCs w:val="24"/>
        </w:rPr>
        <w:t xml:space="preserve">-questions-later approach. </w:t>
      </w:r>
    </w:p>
    <w:p w14:paraId="73AF73FF" w14:textId="77777777" w:rsidR="00D84F3A" w:rsidRPr="00BA25D8" w:rsidRDefault="00D84F3A" w:rsidP="00D84F3A">
      <w:pPr>
        <w:spacing w:before="100" w:beforeAutospacing="1" w:after="100" w:afterAutospacing="1" w:line="240" w:lineRule="auto"/>
        <w:ind w:left="720"/>
        <w:rPr>
          <w:rFonts w:ascii="Times New Roman" w:hAnsi="Times New Roman"/>
          <w:sz w:val="24"/>
          <w:szCs w:val="24"/>
        </w:rPr>
      </w:pPr>
      <w:r>
        <w:rPr>
          <w:rStyle w:val="Emphasis"/>
          <w:rFonts w:ascii="Times New Roman" w:hAnsi="Times New Roman"/>
          <w:sz w:val="24"/>
          <w:szCs w:val="24"/>
        </w:rPr>
        <w:t>***</w:t>
      </w:r>
    </w:p>
    <w:p w14:paraId="2D01F347" w14:textId="77777777" w:rsidR="00D84F3A" w:rsidRPr="00D81A8F" w:rsidRDefault="00D84F3A" w:rsidP="00D84F3A">
      <w:pPr>
        <w:spacing w:before="100" w:beforeAutospacing="1" w:after="100" w:afterAutospacing="1" w:line="240" w:lineRule="auto"/>
        <w:ind w:left="720"/>
        <w:rPr>
          <w:rFonts w:ascii="Times New Roman" w:hAnsi="Times New Roman"/>
          <w:sz w:val="24"/>
          <w:szCs w:val="24"/>
        </w:rPr>
      </w:pPr>
      <w:r w:rsidRPr="00D81A8F">
        <w:rPr>
          <w:rFonts w:ascii="Times New Roman" w:hAnsi="Times New Roman"/>
          <w:sz w:val="24"/>
          <w:szCs w:val="24"/>
        </w:rPr>
        <w:t xml:space="preserve">These facts render this case a far cry from </w:t>
      </w:r>
      <w:r w:rsidRPr="00D81A8F">
        <w:rPr>
          <w:rStyle w:val="Emphasis"/>
          <w:rFonts w:ascii="Times New Roman" w:hAnsi="Times New Roman"/>
          <w:sz w:val="24"/>
          <w:szCs w:val="24"/>
        </w:rPr>
        <w:t>United States v. Overton,</w:t>
      </w:r>
      <w:r w:rsidRPr="00D81A8F">
        <w:rPr>
          <w:rFonts w:ascii="Times New Roman" w:hAnsi="Times New Roman"/>
          <w:sz w:val="24"/>
          <w:szCs w:val="24"/>
        </w:rPr>
        <w:t xml:space="preserve"> the most relevant Sixth Circuit precedent. 600 </w:t>
      </w:r>
      <w:proofErr w:type="spellStart"/>
      <w:r w:rsidRPr="00D81A8F">
        <w:rPr>
          <w:rFonts w:ascii="Times New Roman" w:hAnsi="Times New Roman"/>
          <w:sz w:val="24"/>
          <w:szCs w:val="24"/>
        </w:rPr>
        <w:t>Fed.Appx</w:t>
      </w:r>
      <w:proofErr w:type="spellEnd"/>
      <w:r w:rsidRPr="00D81A8F">
        <w:rPr>
          <w:rFonts w:ascii="Times New Roman" w:hAnsi="Times New Roman"/>
          <w:sz w:val="24"/>
          <w:szCs w:val="24"/>
        </w:rPr>
        <w:t>. 303, 310 (6th Cir. 2014) ]</w:t>
      </w:r>
      <w:hyperlink r:id="rId249" w:history="1">
        <w:r w:rsidRPr="00D81A8F">
          <w:rPr>
            <w:rStyle w:val="Hyperlink"/>
            <w:rFonts w:ascii="Times New Roman" w:hAnsi="Times New Roman"/>
            <w:sz w:val="24"/>
            <w:szCs w:val="24"/>
          </w:rPr>
          <w:t>https://law.justia.com/cases/federal/appellate-courts/ca6/13-3274/13-3274-2014-03-13.html</w:t>
        </w:r>
      </w:hyperlink>
      <w:r w:rsidRPr="00D81A8F">
        <w:rPr>
          <w:rFonts w:ascii="Times New Roman" w:hAnsi="Times New Roman"/>
          <w:sz w:val="24"/>
          <w:szCs w:val="24"/>
        </w:rPr>
        <w:t xml:space="preserve">]. In Overton, the court held there was no unreasonable seizure when EMS personnel detained a man, who had been unconscious when they arrived on scene, for thirty seconds out of concern for his medical wellbeing. </w:t>
      </w:r>
      <w:r w:rsidRPr="00D81A8F">
        <w:rPr>
          <w:rStyle w:val="Emphasis"/>
          <w:rFonts w:ascii="Times New Roman" w:hAnsi="Times New Roman"/>
          <w:sz w:val="24"/>
          <w:szCs w:val="24"/>
        </w:rPr>
        <w:t>Id.</w:t>
      </w:r>
      <w:r w:rsidRPr="00D81A8F">
        <w:rPr>
          <w:rFonts w:ascii="Times New Roman" w:hAnsi="Times New Roman"/>
          <w:sz w:val="24"/>
          <w:szCs w:val="24"/>
        </w:rPr>
        <w:t xml:space="preserve"> at 310-311. The brief seizure to substantiate the man's claims that he was fine was reasonable in furtherance of their medical duties. </w:t>
      </w:r>
      <w:r w:rsidRPr="00D81A8F">
        <w:rPr>
          <w:rStyle w:val="Emphasis"/>
          <w:rFonts w:ascii="Times New Roman" w:hAnsi="Times New Roman"/>
          <w:sz w:val="24"/>
          <w:szCs w:val="24"/>
        </w:rPr>
        <w:t>Id.</w:t>
      </w:r>
      <w:r w:rsidRPr="00D81A8F">
        <w:rPr>
          <w:rFonts w:ascii="Times New Roman" w:hAnsi="Times New Roman"/>
          <w:sz w:val="24"/>
          <w:szCs w:val="24"/>
        </w:rPr>
        <w:t xml:space="preserve"> To analogize, a brief seizure here may have been reasonable if the firefighters found Fairrow unconscious, if Fairrow was slurring words, or if they had other specific concerns about Fairrow's medical capacity. But unlike the EMTs in Overton, the firefighters had no reason to question Fairrow's medical capacity. Fairrow was never unconscious, passed the medical screening, and repeatedly said he was fine, yet Wahl aggressively prevented his departure.” </w:t>
      </w:r>
      <w:hyperlink r:id="rId250" w:history="1">
        <w:r w:rsidRPr="00D81A8F">
          <w:rPr>
            <w:rStyle w:val="Hyperlink"/>
            <w:rFonts w:ascii="Times New Roman" w:hAnsi="Times New Roman"/>
            <w:sz w:val="24"/>
            <w:szCs w:val="24"/>
          </w:rPr>
          <w:t>https://www.leagle.com/decision/infdco20211108549</w:t>
        </w:r>
      </w:hyperlink>
      <w:r w:rsidRPr="00D81A8F">
        <w:rPr>
          <w:rFonts w:ascii="Times New Roman" w:hAnsi="Times New Roman"/>
          <w:sz w:val="24"/>
          <w:szCs w:val="24"/>
        </w:rPr>
        <w:t xml:space="preserve"> </w:t>
      </w:r>
    </w:p>
    <w:p w14:paraId="4A93D042" w14:textId="04F6CBF7" w:rsidR="00D84F3A" w:rsidRPr="005F7F88" w:rsidRDefault="00D84F3A" w:rsidP="00D84F3A">
      <w:pPr>
        <w:spacing w:before="100" w:beforeAutospacing="1" w:after="100" w:afterAutospacing="1" w:line="240" w:lineRule="auto"/>
        <w:rPr>
          <w:rFonts w:ascii="Times New Roman" w:eastAsia="Times New Roman" w:hAnsi="Times New Roman"/>
          <w:b/>
          <w:bCs/>
          <w:sz w:val="24"/>
          <w:szCs w:val="24"/>
        </w:rPr>
      </w:pPr>
      <w:bookmarkStart w:id="5" w:name="_Hlk89146577"/>
      <w:r w:rsidRPr="00FE5C3D">
        <w:rPr>
          <w:rFonts w:ascii="Times New Roman" w:hAnsi="Times New Roman"/>
          <w:b/>
          <w:bCs/>
          <w:sz w:val="24"/>
          <w:szCs w:val="24"/>
        </w:rPr>
        <w:t>Legal Lesson Learned: The “Community Caretaking Doctrine” has been widely applied when there is real danger</w:t>
      </w:r>
      <w:r>
        <w:rPr>
          <w:rFonts w:ascii="Times New Roman" w:hAnsi="Times New Roman"/>
          <w:b/>
          <w:bCs/>
          <w:sz w:val="24"/>
          <w:szCs w:val="24"/>
        </w:rPr>
        <w:t xml:space="preserve"> to</w:t>
      </w:r>
      <w:r w:rsidRPr="00FE5C3D">
        <w:rPr>
          <w:rFonts w:ascii="Times New Roman" w:hAnsi="Times New Roman"/>
          <w:b/>
          <w:bCs/>
          <w:sz w:val="24"/>
          <w:szCs w:val="24"/>
        </w:rPr>
        <w:t xml:space="preserve"> emergency responders</w:t>
      </w:r>
      <w:r>
        <w:rPr>
          <w:rFonts w:ascii="Times New Roman" w:hAnsi="Times New Roman"/>
          <w:b/>
          <w:bCs/>
          <w:sz w:val="24"/>
          <w:szCs w:val="24"/>
        </w:rPr>
        <w:t xml:space="preserve"> or to the public. If the volunteer firefighter had smelled strong odor of marijuana, Court may have not suppressed the evidence.  </w:t>
      </w:r>
      <w:r w:rsidRPr="00FE5C3D">
        <w:rPr>
          <w:rFonts w:ascii="Times New Roman" w:hAnsi="Times New Roman"/>
          <w:b/>
          <w:bCs/>
          <w:sz w:val="24"/>
          <w:szCs w:val="24"/>
        </w:rPr>
        <w:t xml:space="preserve"> </w:t>
      </w:r>
    </w:p>
    <w:bookmarkEnd w:id="5"/>
    <w:p w14:paraId="304EA8D5" w14:textId="77777777" w:rsidR="00D84F3A" w:rsidRDefault="00D84F3A" w:rsidP="002B1283">
      <w:pPr>
        <w:rPr>
          <w:rFonts w:ascii="Arial Black" w:hAnsi="Arial Black"/>
          <w:b/>
          <w:sz w:val="24"/>
          <w:szCs w:val="24"/>
        </w:rPr>
      </w:pPr>
    </w:p>
    <w:p w14:paraId="32F1E9E9" w14:textId="77777777" w:rsidR="00D84F3A" w:rsidRDefault="00D84F3A" w:rsidP="002B1283">
      <w:pPr>
        <w:rPr>
          <w:rFonts w:ascii="Arial Black" w:hAnsi="Arial Black"/>
          <w:b/>
          <w:sz w:val="24"/>
          <w:szCs w:val="24"/>
        </w:rPr>
      </w:pPr>
    </w:p>
    <w:p w14:paraId="525D6CE7" w14:textId="1B80B023" w:rsidR="00243A7F" w:rsidRDefault="00243A7F" w:rsidP="002B1283">
      <w:pPr>
        <w:rPr>
          <w:rFonts w:ascii="Arial Black" w:hAnsi="Arial Black"/>
          <w:b/>
          <w:sz w:val="24"/>
          <w:szCs w:val="24"/>
        </w:rPr>
      </w:pPr>
      <w:r>
        <w:rPr>
          <w:rFonts w:ascii="Arial Black" w:hAnsi="Arial Black"/>
          <w:b/>
          <w:sz w:val="24"/>
          <w:szCs w:val="24"/>
        </w:rPr>
        <w:t>1-88</w:t>
      </w:r>
    </w:p>
    <w:p w14:paraId="0BD96F53" w14:textId="77777777" w:rsidR="00243A7F" w:rsidRPr="004E6D58" w:rsidRDefault="00243A7F" w:rsidP="00243A7F">
      <w:pPr>
        <w:pStyle w:val="NormalWeb"/>
        <w:rPr>
          <w:rFonts w:ascii="Arial Black" w:hAnsi="Arial Black"/>
          <w:sz w:val="28"/>
          <w:szCs w:val="28"/>
        </w:rPr>
      </w:pPr>
      <w:r>
        <w:rPr>
          <w:rFonts w:ascii="Arial Black" w:hAnsi="Arial Black"/>
          <w:sz w:val="28"/>
          <w:szCs w:val="28"/>
        </w:rPr>
        <w:t>OH: WOMAN DIED IN HOUSE FIRE – IGNORED 13 WARNING LOW BATTERY FROM CABLE COMPANY – CASE DISMISSED</w:t>
      </w:r>
    </w:p>
    <w:p w14:paraId="2F9077AE" w14:textId="77777777" w:rsidR="00243A7F" w:rsidRDefault="00243A7F" w:rsidP="00243A7F">
      <w:pPr>
        <w:pStyle w:val="NormalWeb"/>
      </w:pPr>
      <w:r>
        <w:lastRenderedPageBreak/>
        <w:t xml:space="preserve">On Oct. 26, 2021, in </w:t>
      </w:r>
      <w:r w:rsidRPr="004E6D58">
        <w:rPr>
          <w:u w:val="single"/>
        </w:rPr>
        <w:t xml:space="preserve">Jeffrey Kahl v. </w:t>
      </w:r>
      <w:proofErr w:type="spellStart"/>
      <w:r w:rsidRPr="004E6D58">
        <w:rPr>
          <w:u w:val="single"/>
        </w:rPr>
        <w:t>Sectrum</w:t>
      </w:r>
      <w:proofErr w:type="spellEnd"/>
      <w:r w:rsidRPr="004E6D58">
        <w:rPr>
          <w:u w:val="single"/>
        </w:rPr>
        <w:t xml:space="preserve"> Security, LLC, doing business as Spectrum, et al</w:t>
      </w:r>
      <w:r>
        <w:t>., the U.S. Court of Appeals for the 6</w:t>
      </w:r>
      <w:r w:rsidRPr="004E6D58">
        <w:rPr>
          <w:vertAlign w:val="superscript"/>
        </w:rPr>
        <w:t>th</w:t>
      </w:r>
      <w:r>
        <w:t xml:space="preserve"> Circuit (Cincinnati) held (3 to 0) in unpublished decision that Federal District Court judge had properly dismissed the husband’s lawsuit. </w:t>
      </w:r>
    </w:p>
    <w:p w14:paraId="544C0E59" w14:textId="77777777" w:rsidR="00243A7F" w:rsidRPr="004E6D58" w:rsidRDefault="00243A7F" w:rsidP="00243A7F">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4E6D58">
        <w:rPr>
          <w:rFonts w:ascii="Times New Roman" w:eastAsia="Times New Roman" w:hAnsi="Times New Roman"/>
          <w:sz w:val="24"/>
          <w:szCs w:val="24"/>
        </w:rPr>
        <w:t>Under the unique facts of this case, a reasonable person must conclude that Heather's negligence in failing to heed the warnings provided by Spectrum about the low-battery signal outweighed any negligence by the defendants. At the outset, we emphasize that this is not a case where a fire-alarm company provided little or no warning about faulty equipment. Starting in June 2017, Spectrum repeatedly notified Heather of the smoke detector's dying battery, using different mediums to send duplicative alerts</w:t>
      </w:r>
      <w:r>
        <w:rPr>
          <w:rFonts w:ascii="Times New Roman" w:eastAsia="Times New Roman" w:hAnsi="Times New Roman"/>
          <w:sz w:val="24"/>
          <w:szCs w:val="24"/>
        </w:rPr>
        <w:t>….</w:t>
      </w:r>
      <w:r w:rsidRPr="004E6D58">
        <w:rPr>
          <w:rFonts w:ascii="Times New Roman" w:eastAsia="Times New Roman" w:hAnsi="Times New Roman"/>
          <w:sz w:val="24"/>
          <w:szCs w:val="24"/>
        </w:rPr>
        <w:t xml:space="preserve"> The company also provided a complimentary replacement battery to fix the problem</w:t>
      </w:r>
      <w:r>
        <w:rPr>
          <w:rFonts w:ascii="Times New Roman" w:eastAsia="Times New Roman" w:hAnsi="Times New Roman"/>
          <w:sz w:val="24"/>
          <w:szCs w:val="24"/>
        </w:rPr>
        <w:t>….</w:t>
      </w:r>
      <w:r w:rsidRPr="004E6D58">
        <w:rPr>
          <w:rFonts w:ascii="Times New Roman" w:eastAsia="Times New Roman" w:hAnsi="Times New Roman"/>
          <w:sz w:val="24"/>
          <w:szCs w:val="24"/>
        </w:rPr>
        <w:t xml:space="preserve"> When the issue persisted after Spectrum shipped the new battery to Heather, the company scheduled a maintenance appointment to have a technician examine the smoke detector</w:t>
      </w:r>
      <w:r>
        <w:rPr>
          <w:rFonts w:ascii="Times New Roman" w:eastAsia="Times New Roman" w:hAnsi="Times New Roman"/>
          <w:sz w:val="24"/>
          <w:szCs w:val="24"/>
        </w:rPr>
        <w:t xml:space="preserve">…. </w:t>
      </w:r>
      <w:r w:rsidRPr="004E6D58">
        <w:rPr>
          <w:rFonts w:ascii="Times New Roman" w:eastAsia="Times New Roman" w:hAnsi="Times New Roman"/>
          <w:sz w:val="24"/>
          <w:szCs w:val="24"/>
        </w:rPr>
        <w:t xml:space="preserve">Heather was certainly aware of the problem with the smoke detector as she cancelled that appointment the day it was scheduled to take place. </w:t>
      </w:r>
      <w:r>
        <w:rPr>
          <w:rFonts w:ascii="Times New Roman" w:eastAsia="Times New Roman" w:hAnsi="Times New Roman"/>
          <w:sz w:val="24"/>
          <w:szCs w:val="24"/>
        </w:rPr>
        <w:t xml:space="preserve">*** </w:t>
      </w:r>
      <w:r w:rsidRPr="004E6D58">
        <w:rPr>
          <w:rFonts w:ascii="Times New Roman" w:eastAsia="Times New Roman" w:hAnsi="Times New Roman"/>
          <w:sz w:val="24"/>
          <w:szCs w:val="24"/>
        </w:rPr>
        <w:t>It is true that the iControl panel in the Kahl residence registered a low-battery signal on September 14 and that the defendants did not alert Heather of that problem that day</w:t>
      </w:r>
      <w:r>
        <w:rPr>
          <w:rFonts w:ascii="Times New Roman" w:eastAsia="Times New Roman" w:hAnsi="Times New Roman"/>
          <w:sz w:val="24"/>
          <w:szCs w:val="24"/>
        </w:rPr>
        <w:t>…</w:t>
      </w:r>
      <w:r w:rsidRPr="004E6D58">
        <w:rPr>
          <w:rFonts w:ascii="Times New Roman" w:eastAsia="Times New Roman" w:hAnsi="Times New Roman"/>
          <w:sz w:val="24"/>
          <w:szCs w:val="24"/>
        </w:rPr>
        <w:t xml:space="preserve">. Crucially, however, Spectrum made five attempts </w:t>
      </w:r>
      <w:r w:rsidRPr="004E6D58">
        <w:rPr>
          <w:rFonts w:ascii="Times New Roman" w:eastAsia="Times New Roman" w:hAnsi="Times New Roman"/>
          <w:i/>
          <w:iCs/>
          <w:sz w:val="24"/>
          <w:szCs w:val="24"/>
        </w:rPr>
        <w:t>after</w:t>
      </w:r>
      <w:r w:rsidRPr="004E6D58">
        <w:rPr>
          <w:rFonts w:ascii="Times New Roman" w:eastAsia="Times New Roman" w:hAnsi="Times New Roman"/>
          <w:sz w:val="24"/>
          <w:szCs w:val="24"/>
        </w:rPr>
        <w:t xml:space="preserve"> September 14 to alert Heather to the issue, the last attempt coming approximately two weeks before the fire.</w:t>
      </w:r>
      <w:r>
        <w:rPr>
          <w:rFonts w:ascii="Times New Roman" w:eastAsia="Times New Roman" w:hAnsi="Times New Roman"/>
          <w:sz w:val="24"/>
          <w:szCs w:val="24"/>
        </w:rPr>
        <w:t xml:space="preserve"> *** </w:t>
      </w:r>
      <w:r w:rsidRPr="008F13A3">
        <w:rPr>
          <w:rFonts w:ascii="Times New Roman" w:eastAsia="Times New Roman" w:hAnsi="Times New Roman"/>
          <w:sz w:val="24"/>
          <w:szCs w:val="24"/>
        </w:rPr>
        <w:t xml:space="preserve">By the last notification on October 16, 2017, Spectrum had contacted Heather on thirteen different days about the smoke detector's low </w:t>
      </w:r>
      <w:proofErr w:type="gramStart"/>
      <w:r w:rsidRPr="008F13A3">
        <w:rPr>
          <w:rFonts w:ascii="Times New Roman" w:eastAsia="Times New Roman" w:hAnsi="Times New Roman"/>
          <w:sz w:val="24"/>
          <w:szCs w:val="24"/>
        </w:rPr>
        <w:t>battery.</w:t>
      </w:r>
      <w:r>
        <w:rPr>
          <w:rFonts w:ascii="Times New Roman" w:eastAsia="Times New Roman" w:hAnsi="Times New Roman"/>
          <w:sz w:val="24"/>
          <w:szCs w:val="24"/>
        </w:rPr>
        <w:t>”</w:t>
      </w:r>
      <w:proofErr w:type="gramEnd"/>
      <w:r w:rsidRPr="008F13A3">
        <w:rPr>
          <w:rFonts w:ascii="Times New Roman" w:eastAsia="Times New Roman" w:hAnsi="Times New Roman"/>
          <w:sz w:val="24"/>
          <w:szCs w:val="24"/>
        </w:rPr>
        <w:t xml:space="preserve"> </w:t>
      </w:r>
      <w:hyperlink r:id="rId251" w:history="1">
        <w:r w:rsidRPr="00AB11A6">
          <w:rPr>
            <w:rStyle w:val="Hyperlink"/>
            <w:sz w:val="24"/>
            <w:szCs w:val="24"/>
          </w:rPr>
          <w:t>https://www.opn.ca6.uscourts.gov/opinions.pdf/21a0484n-06.pdf</w:t>
        </w:r>
      </w:hyperlink>
      <w:r>
        <w:rPr>
          <w:rFonts w:ascii="Times New Roman" w:eastAsia="Times New Roman" w:hAnsi="Times New Roman"/>
          <w:sz w:val="24"/>
          <w:szCs w:val="24"/>
        </w:rPr>
        <w:t xml:space="preserve"> </w:t>
      </w:r>
    </w:p>
    <w:p w14:paraId="753DACBE" w14:textId="77777777" w:rsidR="00243A7F" w:rsidRPr="008F13A3" w:rsidRDefault="00243A7F" w:rsidP="00243A7F">
      <w:pPr>
        <w:spacing w:before="100" w:beforeAutospacing="1" w:after="100" w:afterAutospacing="1" w:line="240" w:lineRule="auto"/>
        <w:rPr>
          <w:rFonts w:ascii="Times New Roman" w:eastAsia="Times New Roman" w:hAnsi="Times New Roman"/>
          <w:b/>
          <w:bCs/>
          <w:sz w:val="24"/>
          <w:szCs w:val="24"/>
        </w:rPr>
      </w:pPr>
      <w:r w:rsidRPr="008F13A3">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Working smoke detectors save lives; cable </w:t>
      </w:r>
      <w:proofErr w:type="gramStart"/>
      <w:r>
        <w:rPr>
          <w:rFonts w:ascii="Times New Roman" w:eastAsia="Times New Roman" w:hAnsi="Times New Roman"/>
          <w:b/>
          <w:bCs/>
          <w:sz w:val="24"/>
          <w:szCs w:val="24"/>
        </w:rPr>
        <w:t>company</w:t>
      </w:r>
      <w:proofErr w:type="gramEnd"/>
      <w:r>
        <w:rPr>
          <w:rFonts w:ascii="Times New Roman" w:eastAsia="Times New Roman" w:hAnsi="Times New Roman"/>
          <w:b/>
          <w:bCs/>
          <w:sz w:val="24"/>
          <w:szCs w:val="24"/>
        </w:rPr>
        <w:t xml:space="preserve"> not liable when </w:t>
      </w:r>
      <w:proofErr w:type="gramStart"/>
      <w:r>
        <w:rPr>
          <w:rFonts w:ascii="Times New Roman" w:eastAsia="Times New Roman" w:hAnsi="Times New Roman"/>
          <w:b/>
          <w:bCs/>
          <w:sz w:val="24"/>
          <w:szCs w:val="24"/>
        </w:rPr>
        <w:t>customer ignores</w:t>
      </w:r>
      <w:proofErr w:type="gramEnd"/>
      <w:r>
        <w:rPr>
          <w:rFonts w:ascii="Times New Roman" w:eastAsia="Times New Roman" w:hAnsi="Times New Roman"/>
          <w:b/>
          <w:bCs/>
          <w:sz w:val="24"/>
          <w:szCs w:val="24"/>
        </w:rPr>
        <w:t xml:space="preserve"> 13 notifications of low </w:t>
      </w:r>
      <w:proofErr w:type="gramStart"/>
      <w:r>
        <w:rPr>
          <w:rFonts w:ascii="Times New Roman" w:eastAsia="Times New Roman" w:hAnsi="Times New Roman"/>
          <w:b/>
          <w:bCs/>
          <w:sz w:val="24"/>
          <w:szCs w:val="24"/>
        </w:rPr>
        <w:t>battery</w:t>
      </w:r>
      <w:proofErr w:type="gramEnd"/>
      <w:r>
        <w:rPr>
          <w:rFonts w:ascii="Times New Roman" w:eastAsia="Times New Roman" w:hAnsi="Times New Roman"/>
          <w:b/>
          <w:bCs/>
          <w:sz w:val="24"/>
          <w:szCs w:val="24"/>
        </w:rPr>
        <w:t xml:space="preserve">. </w:t>
      </w:r>
    </w:p>
    <w:p w14:paraId="0C8F577E" w14:textId="77777777" w:rsidR="00243A7F" w:rsidRDefault="00243A7F" w:rsidP="002B1283">
      <w:pPr>
        <w:rPr>
          <w:rFonts w:ascii="Arial Black" w:hAnsi="Arial Black"/>
          <w:b/>
          <w:sz w:val="24"/>
          <w:szCs w:val="24"/>
        </w:rPr>
      </w:pPr>
    </w:p>
    <w:p w14:paraId="574FA4E9" w14:textId="74328D23" w:rsidR="00243A7F" w:rsidRDefault="00243A7F" w:rsidP="002B1283">
      <w:pPr>
        <w:rPr>
          <w:rFonts w:ascii="Arial Black" w:hAnsi="Arial Black"/>
          <w:b/>
          <w:sz w:val="24"/>
          <w:szCs w:val="24"/>
        </w:rPr>
      </w:pPr>
      <w:r>
        <w:rPr>
          <w:rFonts w:ascii="Arial Black" w:hAnsi="Arial Black"/>
          <w:b/>
          <w:sz w:val="24"/>
          <w:szCs w:val="24"/>
        </w:rPr>
        <w:t>1-87</w:t>
      </w:r>
    </w:p>
    <w:p w14:paraId="696D3634" w14:textId="77777777" w:rsidR="00243A7F" w:rsidRPr="0029293F" w:rsidRDefault="00243A7F" w:rsidP="00243A7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GAS LEAK - DRUNK HOMEOWNER DROVE OVER HIS GAS METER – OFFICER PROB. CAUSE – NOT “SELF DRIVING” CAR</w:t>
      </w:r>
    </w:p>
    <w:p w14:paraId="1DC56174" w14:textId="77777777" w:rsidR="00243A7F" w:rsidRPr="0029293F" w:rsidRDefault="00243A7F" w:rsidP="00243A7F">
      <w:pPr>
        <w:spacing w:before="100" w:beforeAutospacing="1" w:after="100" w:afterAutospacing="1" w:line="240" w:lineRule="auto"/>
        <w:rPr>
          <w:rFonts w:ascii="Times New Roman" w:eastAsia="Times New Roman" w:hAnsi="Times New Roman"/>
          <w:sz w:val="24"/>
          <w:szCs w:val="24"/>
        </w:rPr>
      </w:pPr>
      <w:r w:rsidRPr="0029293F">
        <w:rPr>
          <w:rFonts w:ascii="Times New Roman" w:eastAsia="Times New Roman" w:hAnsi="Times New Roman"/>
          <w:sz w:val="24"/>
          <w:szCs w:val="24"/>
        </w:rPr>
        <w:t> </w:t>
      </w:r>
      <w:r>
        <w:rPr>
          <w:rFonts w:ascii="Times New Roman" w:eastAsia="Times New Roman" w:hAnsi="Times New Roman"/>
          <w:sz w:val="24"/>
          <w:szCs w:val="24"/>
        </w:rPr>
        <w:t xml:space="preserve">On Oct. 26, 2021, in </w:t>
      </w:r>
      <w:r w:rsidRPr="0029293F">
        <w:rPr>
          <w:rFonts w:ascii="Times New Roman" w:eastAsia="Times New Roman" w:hAnsi="Times New Roman"/>
          <w:sz w:val="24"/>
          <w:szCs w:val="24"/>
          <w:u w:val="single"/>
        </w:rPr>
        <w:t>Gregory A. Switzer v. The Village of Glassford, Illinois and Andrew Burgess</w:t>
      </w:r>
      <w:r>
        <w:rPr>
          <w:rFonts w:ascii="Times New Roman" w:eastAsia="Times New Roman" w:hAnsi="Times New Roman"/>
          <w:sz w:val="24"/>
          <w:szCs w:val="24"/>
        </w:rPr>
        <w:t>, U.S. District Court Judge James E. Shadid, Central District of Illinois, granted Officer Burgess’ motion for summary judgment since he had probable cause to arrest, even if charges later dropped. The judge comically commented on the homeowner’s claim that someone else must have been driving his vehicle.</w:t>
      </w:r>
    </w:p>
    <w:p w14:paraId="38385C95" w14:textId="77777777" w:rsidR="00243A7F" w:rsidRPr="007F2596" w:rsidRDefault="00243A7F" w:rsidP="00243A7F">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w:t>
      </w:r>
      <w:r w:rsidRPr="007F2596">
        <w:rPr>
          <w:rFonts w:ascii="Times New Roman" w:hAnsi="Times New Roman"/>
          <w:sz w:val="24"/>
          <w:szCs w:val="24"/>
        </w:rPr>
        <w:t xml:space="preserve">While that possibility becomes ever-so-slightly more possible with advances in self-driving technology, it does not yet exist. Notwithstanding the state courts' contrary conclusion, Justice Schmidt was </w:t>
      </w:r>
      <w:proofErr w:type="gramStart"/>
      <w:r w:rsidRPr="007F2596">
        <w:rPr>
          <w:rFonts w:ascii="Times New Roman" w:hAnsi="Times New Roman"/>
          <w:sz w:val="24"/>
          <w:szCs w:val="24"/>
        </w:rPr>
        <w:t>absolutely correct</w:t>
      </w:r>
      <w:proofErr w:type="gramEnd"/>
      <w:r w:rsidRPr="007F2596">
        <w:rPr>
          <w:rFonts w:ascii="Times New Roman" w:hAnsi="Times New Roman"/>
          <w:sz w:val="24"/>
          <w:szCs w:val="24"/>
        </w:rPr>
        <w:t>: Officer Burgess clearly had probable cause to arrest Switzer for the offense of driving under the influence. Accordingly, Defendants are entitled to summary judgment on each of Plaintiff's claims.</w:t>
      </w:r>
      <w:r>
        <w:rPr>
          <w:rFonts w:ascii="Times New Roman" w:hAnsi="Times New Roman"/>
          <w:sz w:val="24"/>
          <w:szCs w:val="24"/>
        </w:rPr>
        <w:t xml:space="preserve">” </w:t>
      </w:r>
      <w:hyperlink r:id="rId252" w:history="1">
        <w:r w:rsidRPr="007148A2">
          <w:rPr>
            <w:rStyle w:val="Hyperlink"/>
            <w:sz w:val="24"/>
            <w:szCs w:val="24"/>
          </w:rPr>
          <w:t>https://public.fastcase.com/9SKwsfNqTc6OieYDhNMyMxCncQbdnZBHHYClkb%2F5rq5vAcucBX21mkOLoZWomgOrkfyB0T1fu8X9VBZqJtLwyHdQaAVKSMi9mGC9zU6KrUc%3D</w:t>
        </w:r>
      </w:hyperlink>
      <w:r>
        <w:rPr>
          <w:rFonts w:ascii="Times New Roman" w:hAnsi="Times New Roman"/>
          <w:sz w:val="24"/>
          <w:szCs w:val="24"/>
        </w:rPr>
        <w:t xml:space="preserve"> </w:t>
      </w:r>
    </w:p>
    <w:p w14:paraId="13DD37C5" w14:textId="77777777" w:rsidR="00243A7F" w:rsidRPr="0029293F" w:rsidRDefault="00243A7F" w:rsidP="00243A7F">
      <w:pPr>
        <w:spacing w:before="100" w:beforeAutospacing="1" w:after="100" w:afterAutospacing="1" w:line="240" w:lineRule="auto"/>
        <w:rPr>
          <w:rFonts w:ascii="Times New Roman" w:eastAsia="Times New Roman" w:hAnsi="Times New Roman"/>
          <w:b/>
          <w:bCs/>
          <w:sz w:val="24"/>
          <w:szCs w:val="24"/>
        </w:rPr>
      </w:pPr>
      <w:r w:rsidRPr="007F2596">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Judges sometimes offer comical comments in their decision; reflects on the frivolous nature of the lawsuit. </w:t>
      </w:r>
    </w:p>
    <w:p w14:paraId="45347B8B" w14:textId="77777777" w:rsidR="00243A7F" w:rsidRDefault="00243A7F" w:rsidP="002B1283">
      <w:pPr>
        <w:rPr>
          <w:rFonts w:ascii="Arial Black" w:hAnsi="Arial Black"/>
          <w:b/>
          <w:sz w:val="24"/>
          <w:szCs w:val="24"/>
        </w:rPr>
      </w:pPr>
    </w:p>
    <w:p w14:paraId="4CFDBE78" w14:textId="205AD2A4" w:rsidR="00243A7F" w:rsidRDefault="00243A7F" w:rsidP="002B1283">
      <w:pPr>
        <w:rPr>
          <w:rFonts w:ascii="Arial Black" w:hAnsi="Arial Black"/>
          <w:b/>
          <w:sz w:val="24"/>
          <w:szCs w:val="24"/>
        </w:rPr>
      </w:pPr>
      <w:r>
        <w:rPr>
          <w:rFonts w:ascii="Arial Black" w:hAnsi="Arial Black"/>
          <w:b/>
          <w:sz w:val="24"/>
          <w:szCs w:val="24"/>
        </w:rPr>
        <w:t>1-86</w:t>
      </w:r>
    </w:p>
    <w:p w14:paraId="0EADFA80" w14:textId="77777777" w:rsidR="00243A7F" w:rsidRPr="009B4011" w:rsidRDefault="00243A7F" w:rsidP="00243A7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lastRenderedPageBreak/>
        <w:t>CA: HOMEOWNDER REFUSED SIGN CITATION - BURNING 3 CANS POOL – ARRESTED – LAWSUIT DISMISSED</w:t>
      </w:r>
    </w:p>
    <w:p w14:paraId="436FB3D3" w14:textId="77777777" w:rsidR="00243A7F" w:rsidRDefault="00243A7F" w:rsidP="00243A7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Oct. 25, 2021, in </w:t>
      </w:r>
      <w:r w:rsidRPr="009B4011">
        <w:rPr>
          <w:rFonts w:ascii="Times New Roman" w:hAnsi="Times New Roman"/>
          <w:sz w:val="24"/>
          <w:szCs w:val="24"/>
          <w:u w:val="single"/>
        </w:rPr>
        <w:t>James I. McMillan v. County of Shasta</w:t>
      </w:r>
      <w:r>
        <w:rPr>
          <w:rFonts w:ascii="Times New Roman" w:hAnsi="Times New Roman"/>
          <w:sz w:val="24"/>
          <w:szCs w:val="24"/>
        </w:rPr>
        <w:t xml:space="preserve">, U.S. District Court judge John A. Mendez, U.S. District Court for Eastern District of California, dismissed the lawsuit filed by the plaintiff (an attorney, representing himself) against the County, the Fire Chief and police officers. </w:t>
      </w:r>
    </w:p>
    <w:p w14:paraId="2F528FC1" w14:textId="1110A5B7" w:rsidR="00243A7F" w:rsidRDefault="00243A7F" w:rsidP="00243A7F">
      <w:pPr>
        <w:spacing w:before="100" w:beforeAutospacing="1" w:after="100" w:afterAutospacing="1" w:line="240" w:lineRule="auto"/>
        <w:ind w:left="720"/>
        <w:rPr>
          <w:rFonts w:ascii="Times New Roman" w:hAnsi="Times New Roman"/>
          <w:sz w:val="24"/>
          <w:szCs w:val="24"/>
        </w:rPr>
      </w:pPr>
      <w:r w:rsidRPr="009A1AFE">
        <w:rPr>
          <w:rFonts w:ascii="Times New Roman" w:hAnsi="Times New Roman"/>
          <w:sz w:val="24"/>
          <w:szCs w:val="24"/>
        </w:rPr>
        <w:t>“Fire Defendants move to dismiss all claims against Chief Lowe and the Anderson Fire Protection District, contending that none of the factual allegations involving Lowe or the Anderson firefighters provide a basis for liability</w:t>
      </w:r>
      <w:r>
        <w:rPr>
          <w:rFonts w:ascii="Times New Roman" w:hAnsi="Times New Roman"/>
          <w:sz w:val="24"/>
          <w:szCs w:val="24"/>
        </w:rPr>
        <w:t xml:space="preserve">…. </w:t>
      </w:r>
      <w:r w:rsidRPr="009A1AFE">
        <w:rPr>
          <w:rFonts w:ascii="Times New Roman" w:hAnsi="Times New Roman"/>
          <w:sz w:val="24"/>
          <w:szCs w:val="24"/>
        </w:rPr>
        <w:t>The Court agrees.</w:t>
      </w:r>
      <w:r>
        <w:rPr>
          <w:rFonts w:ascii="Times New Roman" w:hAnsi="Times New Roman"/>
          <w:sz w:val="24"/>
          <w:szCs w:val="24"/>
        </w:rPr>
        <w:t xml:space="preserve"> *** </w:t>
      </w:r>
      <w:r w:rsidRPr="009A1AFE">
        <w:rPr>
          <w:rFonts w:ascii="Times New Roman" w:hAnsi="Times New Roman"/>
          <w:sz w:val="24"/>
          <w:szCs w:val="24"/>
        </w:rPr>
        <w:t xml:space="preserve">Simply put, Plaintiff still has not </w:t>
      </w:r>
      <w:proofErr w:type="gramStart"/>
      <w:r w:rsidRPr="009A1AFE">
        <w:rPr>
          <w:rFonts w:ascii="Times New Roman" w:hAnsi="Times New Roman"/>
          <w:sz w:val="24"/>
          <w:szCs w:val="24"/>
        </w:rPr>
        <w:t>pled</w:t>
      </w:r>
      <w:proofErr w:type="gramEnd"/>
      <w:r w:rsidRPr="009A1AFE">
        <w:rPr>
          <w:rFonts w:ascii="Times New Roman" w:hAnsi="Times New Roman"/>
          <w:sz w:val="24"/>
          <w:szCs w:val="24"/>
        </w:rPr>
        <w:t xml:space="preserve"> any legally actionable conduct by the Fire Defendants.</w:t>
      </w:r>
      <w:r>
        <w:rPr>
          <w:rFonts w:ascii="Times New Roman" w:hAnsi="Times New Roman"/>
          <w:sz w:val="24"/>
          <w:szCs w:val="24"/>
        </w:rPr>
        <w:t xml:space="preserve"> *** </w:t>
      </w:r>
      <w:r w:rsidRPr="009A1AFE">
        <w:rPr>
          <w:rFonts w:ascii="Times New Roman" w:hAnsi="Times New Roman"/>
          <w:sz w:val="24"/>
          <w:szCs w:val="24"/>
        </w:rPr>
        <w:t xml:space="preserve">This analysis is not altered by Plaintiff's presentment of new evidence - evidence not alleged in the </w:t>
      </w:r>
      <w:proofErr w:type="gramStart"/>
      <w:r w:rsidRPr="009A1AFE">
        <w:rPr>
          <w:rFonts w:ascii="Times New Roman" w:hAnsi="Times New Roman"/>
          <w:sz w:val="24"/>
          <w:szCs w:val="24"/>
        </w:rPr>
        <w:t>TAC, but</w:t>
      </w:r>
      <w:proofErr w:type="gramEnd"/>
      <w:r w:rsidRPr="009A1AFE">
        <w:rPr>
          <w:rFonts w:ascii="Times New Roman" w:hAnsi="Times New Roman"/>
          <w:sz w:val="24"/>
          <w:szCs w:val="24"/>
        </w:rPr>
        <w:t xml:space="preserve"> rather presented in Plaintiff's request for judicial notice filed with his opposition brief - that his criminal conviction has been vacated</w:t>
      </w:r>
      <w:r>
        <w:rPr>
          <w:rFonts w:ascii="Times New Roman" w:hAnsi="Times New Roman"/>
          <w:sz w:val="24"/>
          <w:szCs w:val="24"/>
        </w:rPr>
        <w:t xml:space="preserve">…. </w:t>
      </w:r>
      <w:r w:rsidRPr="009A1AFE">
        <w:rPr>
          <w:rFonts w:ascii="Times New Roman" w:hAnsi="Times New Roman"/>
          <w:sz w:val="24"/>
          <w:szCs w:val="24"/>
        </w:rPr>
        <w:t xml:space="preserve">Even if Plaintiff were correct that this update in his state criminal case means the Heck bar no longer applies, </w:t>
      </w:r>
      <w:r w:rsidRPr="009A1AFE">
        <w:rPr>
          <w:rStyle w:val="Emphasis"/>
          <w:rFonts w:ascii="Times New Roman" w:hAnsi="Times New Roman"/>
          <w:sz w:val="24"/>
          <w:szCs w:val="24"/>
        </w:rPr>
        <w:t>see</w:t>
      </w:r>
      <w:r w:rsidRPr="009A1AFE">
        <w:rPr>
          <w:rFonts w:ascii="Times New Roman" w:hAnsi="Times New Roman"/>
          <w:sz w:val="24"/>
          <w:szCs w:val="24"/>
        </w:rPr>
        <w:t xml:space="preserve"> Prior Order at 8-12, the factual deficiencies with the TAC remain and warrant dismissal.</w:t>
      </w:r>
      <w:r>
        <w:rPr>
          <w:rFonts w:ascii="Times New Roman" w:hAnsi="Times New Roman"/>
          <w:sz w:val="24"/>
          <w:szCs w:val="24"/>
        </w:rPr>
        <w:t xml:space="preserve">” </w:t>
      </w:r>
      <w:hyperlink r:id="rId253" w:history="1">
        <w:r w:rsidRPr="009545D0">
          <w:rPr>
            <w:rStyle w:val="Hyperlink"/>
            <w:sz w:val="24"/>
            <w:szCs w:val="24"/>
          </w:rPr>
          <w:t>https://public.fastcase.com/9SKwsfNqTc6OieYDhNMyM6jgODeMvtNo11ZvDvT9dExI019FDNN4wp%2BIWQLSUMw%2BxfaNzZaXSMuB0brgu1SRuIg3s6kJiaNRSylEv%2FkVP98%3D</w:t>
        </w:r>
      </w:hyperlink>
      <w:r>
        <w:rPr>
          <w:rFonts w:ascii="Times New Roman" w:hAnsi="Times New Roman"/>
          <w:sz w:val="24"/>
          <w:szCs w:val="24"/>
        </w:rPr>
        <w:t xml:space="preserve"> </w:t>
      </w:r>
    </w:p>
    <w:p w14:paraId="39CE06D4" w14:textId="77777777" w:rsidR="00243A7F" w:rsidRDefault="00243A7F" w:rsidP="00243A7F">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Refusal to sign the citation was very unwise and led to the arrest. </w:t>
      </w:r>
    </w:p>
    <w:p w14:paraId="46B21B4C" w14:textId="77777777" w:rsidR="00243A7F" w:rsidRPr="009A1AFE" w:rsidRDefault="00243A7F" w:rsidP="00243A7F">
      <w:pPr>
        <w:spacing w:before="100" w:beforeAutospacing="1" w:after="100" w:afterAutospacing="1" w:line="240" w:lineRule="auto"/>
        <w:ind w:left="720"/>
        <w:rPr>
          <w:rFonts w:ascii="Times New Roman" w:hAnsi="Times New Roman"/>
          <w:sz w:val="24"/>
          <w:szCs w:val="24"/>
        </w:rPr>
      </w:pPr>
    </w:p>
    <w:p w14:paraId="2094FCAB" w14:textId="77777777" w:rsidR="00243A7F" w:rsidRDefault="00243A7F" w:rsidP="002B1283">
      <w:pPr>
        <w:rPr>
          <w:rFonts w:ascii="Arial Black" w:hAnsi="Arial Black"/>
          <w:b/>
          <w:sz w:val="24"/>
          <w:szCs w:val="24"/>
        </w:rPr>
      </w:pPr>
    </w:p>
    <w:p w14:paraId="14241ADA" w14:textId="77777777" w:rsidR="00243A7F" w:rsidRDefault="00243A7F" w:rsidP="002B1283">
      <w:pPr>
        <w:rPr>
          <w:rFonts w:ascii="Arial Black" w:hAnsi="Arial Black"/>
          <w:b/>
          <w:sz w:val="24"/>
          <w:szCs w:val="24"/>
        </w:rPr>
      </w:pPr>
    </w:p>
    <w:p w14:paraId="170BCF9B" w14:textId="3D80E027" w:rsidR="00BD1702" w:rsidRDefault="00BD1702" w:rsidP="002B1283">
      <w:pPr>
        <w:rPr>
          <w:rFonts w:ascii="Arial Black" w:hAnsi="Arial Black"/>
          <w:b/>
          <w:sz w:val="24"/>
          <w:szCs w:val="24"/>
        </w:rPr>
      </w:pPr>
      <w:r>
        <w:rPr>
          <w:rFonts w:ascii="Arial Black" w:hAnsi="Arial Black"/>
          <w:b/>
          <w:sz w:val="24"/>
          <w:szCs w:val="24"/>
        </w:rPr>
        <w:t>1-85</w:t>
      </w:r>
    </w:p>
    <w:p w14:paraId="1759DDFB" w14:textId="77777777" w:rsidR="00BD1702" w:rsidRPr="00E43AE5" w:rsidRDefault="00BD1702" w:rsidP="00BD1702">
      <w:pPr>
        <w:rPr>
          <w:rFonts w:ascii="Arial Black" w:eastAsia="Times New Roman" w:hAnsi="Arial Black"/>
          <w:b/>
          <w:bCs/>
          <w:sz w:val="28"/>
          <w:szCs w:val="28"/>
        </w:rPr>
      </w:pPr>
      <w:r w:rsidRPr="00E43AE5">
        <w:rPr>
          <w:rFonts w:ascii="Arial Black" w:eastAsia="Times New Roman" w:hAnsi="Arial Black"/>
          <w:b/>
          <w:bCs/>
          <w:sz w:val="28"/>
          <w:szCs w:val="28"/>
        </w:rPr>
        <w:t>NY: FDNY FIRE INSPECTOR – RIGHT TO “GO PUBLIC” ABOUT WHAT HE BEL</w:t>
      </w:r>
      <w:r>
        <w:rPr>
          <w:rFonts w:ascii="Arial Black" w:eastAsia="Times New Roman" w:hAnsi="Arial Black"/>
          <w:b/>
          <w:bCs/>
          <w:sz w:val="28"/>
          <w:szCs w:val="28"/>
        </w:rPr>
        <w:t>IEVES</w:t>
      </w:r>
      <w:r w:rsidRPr="00E43AE5">
        <w:rPr>
          <w:rFonts w:ascii="Arial Black" w:eastAsia="Times New Roman" w:hAnsi="Arial Black"/>
          <w:b/>
          <w:bCs/>
          <w:sz w:val="28"/>
          <w:szCs w:val="28"/>
        </w:rPr>
        <w:t xml:space="preserve"> IS FALSE REPORT - FF LODD / MOVIE FILMED – LAWSUIT REINSTATED</w:t>
      </w:r>
    </w:p>
    <w:p w14:paraId="6DA59BAE" w14:textId="77777777" w:rsidR="00BD1702" w:rsidRDefault="00BD1702" w:rsidP="00BD1702">
      <w:pPr>
        <w:rPr>
          <w:rFonts w:ascii="Times New Roman" w:eastAsia="Times New Roman" w:hAnsi="Times New Roman"/>
          <w:sz w:val="24"/>
          <w:szCs w:val="24"/>
        </w:rPr>
      </w:pPr>
      <w:r>
        <w:rPr>
          <w:rFonts w:ascii="Times New Roman" w:eastAsia="Times New Roman" w:hAnsi="Times New Roman"/>
          <w:sz w:val="24"/>
          <w:szCs w:val="24"/>
        </w:rPr>
        <w:t xml:space="preserve">On Oct. 6, 2021, in </w:t>
      </w:r>
      <w:r>
        <w:rPr>
          <w:rFonts w:ascii="Times New Roman" w:eastAsia="Times New Roman" w:hAnsi="Times New Roman"/>
          <w:sz w:val="24"/>
          <w:szCs w:val="24"/>
          <w:u w:val="single"/>
        </w:rPr>
        <w:t>Scott P. Specht v. The City of New York, Thomas Kane, and John David Lynn</w:t>
      </w:r>
      <w:r>
        <w:rPr>
          <w:rFonts w:ascii="Times New Roman" w:eastAsia="Times New Roman" w:hAnsi="Times New Roman"/>
          <w:sz w:val="24"/>
          <w:szCs w:val="24"/>
        </w:rPr>
        <w:t xml:space="preserve">, the U.S. Court of Appeals for Second Circuit (New Yok City), held (3 to 0) that the retired fire marshal’s lawsuit for First Amendment retaliation is reinstated. </w:t>
      </w:r>
    </w:p>
    <w:p w14:paraId="1C522B75" w14:textId="0B7E6F2E" w:rsidR="00BD1702" w:rsidRDefault="00BD1702" w:rsidP="00BD1702">
      <w:pPr>
        <w:rPr>
          <w:rStyle w:val="Hyperlink"/>
          <w:sz w:val="24"/>
          <w:szCs w:val="24"/>
        </w:rPr>
      </w:pPr>
      <w:r>
        <w:rPr>
          <w:rFonts w:ascii="Times New Roman" w:eastAsia="Times New Roman" w:hAnsi="Times New Roman"/>
          <w:sz w:val="24"/>
          <w:szCs w:val="24"/>
        </w:rPr>
        <w:t>“</w:t>
      </w:r>
      <w:r>
        <w:rPr>
          <w:rFonts w:ascii="Times New Roman" w:hAnsi="Times New Roman"/>
          <w:sz w:val="24"/>
          <w:szCs w:val="24"/>
        </w:rPr>
        <w:t xml:space="preserve">Appellant Scott P. Specht, employed as a New York City fire marshal, alleges that after he refused to file a false report concerning the circumstances of a fire he was investigating and publicly discussed misconduct on the part of his supervisors, he was the subject of retaliation. *** </w:t>
      </w:r>
      <w:r>
        <w:rPr>
          <w:rFonts w:ascii="Times New Roman" w:eastAsia="Times New Roman" w:hAnsi="Times New Roman"/>
          <w:sz w:val="24"/>
          <w:szCs w:val="24"/>
        </w:rPr>
        <w:t>“</w:t>
      </w:r>
      <w:r>
        <w:rPr>
          <w:rStyle w:val="markedcontent"/>
          <w:rFonts w:ascii="Times New Roman" w:hAnsi="Times New Roman"/>
          <w:sz w:val="24"/>
          <w:szCs w:val="24"/>
        </w:rPr>
        <w:t>He concluded that the movie crew had improperly installed high-intensity lighting and had drilled holes in the wall, floors, and ceilings of the basement of the brownstone and that this work had caused the fire. Specht alleges that about three weeks into his investigation, [Chief Fire Marshal Thomas] Kane and [Assistant Chief Fire Marshal John David]</w:t>
      </w:r>
      <w:r>
        <w:rPr>
          <w:rStyle w:val="markedcontent"/>
          <w:sz w:val="33"/>
          <w:szCs w:val="33"/>
        </w:rPr>
        <w:t xml:space="preserve"> </w:t>
      </w:r>
      <w:r>
        <w:rPr>
          <w:rStyle w:val="markedcontent"/>
          <w:rFonts w:ascii="Times New Roman" w:hAnsi="Times New Roman"/>
          <w:sz w:val="24"/>
          <w:szCs w:val="24"/>
        </w:rPr>
        <w:t xml:space="preserve">Lynn convened a meeting at FDNY headquarters where they demanded that he prematurely terminate his work and ordered him to file a final report concluding that a flue connected to the boiler caused the fire.”  </w:t>
      </w:r>
      <w:hyperlink r:id="rId254" w:anchor="xml=https://www.ca2.uscourts.gov/decisions/isysquery/024ad429-f3ca-4195-b401-1dbc5e6424a8/1/hilite/" w:history="1">
        <w:r>
          <w:rPr>
            <w:rStyle w:val="Hyperlink"/>
            <w:sz w:val="24"/>
            <w:szCs w:val="24"/>
          </w:rPr>
          <w:t>https://www.ca2.uscourts.gov/decisions/isysquery/024ad429-f3ca-4195-b401-1dbc5e6424a8/1/doc/20-4211_opn.pdf#xml=https://www.ca2.uscourts.gov/decisions/isysquery/024ad429-f3ca-4195-b401-1dbc5e6424a8/1/hilite/</w:t>
        </w:r>
      </w:hyperlink>
    </w:p>
    <w:p w14:paraId="06C13BB8" w14:textId="77777777" w:rsidR="00BD1702" w:rsidRDefault="00BD1702" w:rsidP="00BD1702">
      <w:pPr>
        <w:rPr>
          <w:rStyle w:val="markedcontent"/>
          <w:b/>
          <w:bCs/>
        </w:rPr>
      </w:pPr>
      <w:r>
        <w:rPr>
          <w:rStyle w:val="markedcontent"/>
          <w:rFonts w:ascii="Times New Roman" w:hAnsi="Times New Roman"/>
          <w:b/>
          <w:bCs/>
          <w:sz w:val="24"/>
          <w:szCs w:val="24"/>
        </w:rPr>
        <w:lastRenderedPageBreak/>
        <w:t xml:space="preserve">Legal Lesson Learned: Fire Inspectors are protected from retaliation under the First Amendment when their speech deals with a matter of “public concern.” </w:t>
      </w:r>
    </w:p>
    <w:p w14:paraId="3E1CBF36" w14:textId="77777777" w:rsidR="00BD1702" w:rsidRDefault="00BD1702" w:rsidP="00BD1702">
      <w:pPr>
        <w:ind w:left="720"/>
        <w:rPr>
          <w:rFonts w:eastAsia="Times New Roman"/>
        </w:rPr>
      </w:pPr>
      <w:r>
        <w:rPr>
          <w:rFonts w:ascii="Times New Roman" w:eastAsia="Times New Roman" w:hAnsi="Times New Roman"/>
          <w:sz w:val="24"/>
          <w:szCs w:val="24"/>
        </w:rPr>
        <w:t xml:space="preserve">Note: See this March 24, </w:t>
      </w:r>
      <w:proofErr w:type="gramStart"/>
      <w:r>
        <w:rPr>
          <w:rFonts w:ascii="Times New Roman" w:eastAsia="Times New Roman" w:hAnsi="Times New Roman"/>
          <w:sz w:val="24"/>
          <w:szCs w:val="24"/>
        </w:rPr>
        <w:t>2018</w:t>
      </w:r>
      <w:proofErr w:type="gramEnd"/>
      <w:r>
        <w:rPr>
          <w:rFonts w:ascii="Times New Roman" w:eastAsia="Times New Roman" w:hAnsi="Times New Roman"/>
          <w:sz w:val="24"/>
          <w:szCs w:val="24"/>
        </w:rPr>
        <w:t xml:space="preserve"> TV video on death of FDNY FF Michael Davidson: </w:t>
      </w:r>
      <w:hyperlink r:id="rId255" w:history="1">
        <w:r>
          <w:rPr>
            <w:rStyle w:val="Hyperlink"/>
            <w:sz w:val="24"/>
            <w:szCs w:val="24"/>
          </w:rPr>
          <w:t>https://abc7ny.com/new-york-city-harlem-fire-edward-norton/3249411/</w:t>
        </w:r>
      </w:hyperlink>
      <w:r>
        <w:rPr>
          <w:rFonts w:ascii="Times New Roman" w:eastAsia="Times New Roman" w:hAnsi="Times New Roman"/>
          <w:sz w:val="24"/>
          <w:szCs w:val="24"/>
        </w:rPr>
        <w:t xml:space="preserve">  </w:t>
      </w:r>
    </w:p>
    <w:p w14:paraId="0C7BDC5B" w14:textId="77777777" w:rsidR="00BD1702" w:rsidRDefault="00BD1702" w:rsidP="00BD1702">
      <w:pPr>
        <w:rPr>
          <w:rFonts w:ascii="Arial Black" w:hAnsi="Arial Black"/>
          <w:b/>
          <w:sz w:val="24"/>
          <w:szCs w:val="24"/>
        </w:rPr>
      </w:pPr>
    </w:p>
    <w:p w14:paraId="0D78D0F4" w14:textId="77777777" w:rsidR="00BD1702" w:rsidRDefault="00BD1702" w:rsidP="002B1283">
      <w:pPr>
        <w:rPr>
          <w:rFonts w:ascii="Arial Black" w:hAnsi="Arial Black"/>
          <w:b/>
          <w:sz w:val="24"/>
          <w:szCs w:val="24"/>
        </w:rPr>
      </w:pPr>
    </w:p>
    <w:p w14:paraId="48D6F6EB" w14:textId="3B2820A3" w:rsidR="00382F02" w:rsidRDefault="00382F02" w:rsidP="002B1283">
      <w:pPr>
        <w:rPr>
          <w:rFonts w:ascii="Arial Black" w:hAnsi="Arial Black"/>
          <w:b/>
          <w:sz w:val="24"/>
          <w:szCs w:val="24"/>
        </w:rPr>
      </w:pPr>
      <w:r>
        <w:rPr>
          <w:rFonts w:ascii="Arial Black" w:hAnsi="Arial Black"/>
          <w:b/>
          <w:sz w:val="24"/>
          <w:szCs w:val="24"/>
        </w:rPr>
        <w:t>1-84</w:t>
      </w:r>
    </w:p>
    <w:p w14:paraId="1E258EFB" w14:textId="77777777" w:rsidR="00382F02" w:rsidRDefault="00382F02" w:rsidP="00382F02">
      <w:pPr>
        <w:pStyle w:val="NoSpacing"/>
        <w:rPr>
          <w:rStyle w:val="markedcontent"/>
          <w:rFonts w:ascii="Arial Black" w:hAnsi="Arial Black"/>
          <w:sz w:val="28"/>
          <w:szCs w:val="28"/>
        </w:rPr>
      </w:pPr>
      <w:bookmarkStart w:id="6" w:name="_Hlk81842473"/>
      <w:r w:rsidRPr="006B6F95">
        <w:rPr>
          <w:rStyle w:val="markedcontent"/>
          <w:rFonts w:ascii="Arial Black" w:hAnsi="Arial Black"/>
          <w:sz w:val="28"/>
          <w:szCs w:val="28"/>
        </w:rPr>
        <w:t xml:space="preserve">U.S. </w:t>
      </w:r>
      <w:r>
        <w:rPr>
          <w:rStyle w:val="markedcontent"/>
          <w:rFonts w:ascii="Arial Black" w:hAnsi="Arial Black"/>
          <w:sz w:val="28"/>
          <w:szCs w:val="28"/>
        </w:rPr>
        <w:t>SUPREME COURT: COVID-19 – CDC NOT AUTHORIZED BY CONGRESS TO STOP TENANTS FROM BEING EVICTED</w:t>
      </w:r>
    </w:p>
    <w:bookmarkEnd w:id="6"/>
    <w:p w14:paraId="21EAED55" w14:textId="77777777" w:rsidR="00382F02" w:rsidRDefault="00382F02" w:rsidP="00382F02">
      <w:pPr>
        <w:pStyle w:val="NoSpacing"/>
        <w:rPr>
          <w:rStyle w:val="markedcontent"/>
          <w:rFonts w:ascii="Arial Black" w:hAnsi="Arial Black"/>
          <w:sz w:val="28"/>
          <w:szCs w:val="28"/>
        </w:rPr>
      </w:pPr>
    </w:p>
    <w:p w14:paraId="4C9F878E" w14:textId="1B963511" w:rsidR="00382F02" w:rsidRDefault="00382F02" w:rsidP="00382F02">
      <w:pPr>
        <w:pStyle w:val="NoSpacing"/>
        <w:rPr>
          <w:rStyle w:val="markedcontent"/>
          <w:rFonts w:ascii="Times New Roman" w:hAnsi="Times New Roman"/>
          <w:sz w:val="24"/>
          <w:szCs w:val="24"/>
        </w:rPr>
      </w:pPr>
      <w:r w:rsidRPr="00B61B0E">
        <w:rPr>
          <w:rStyle w:val="markedcontent"/>
          <w:rFonts w:ascii="Times New Roman" w:hAnsi="Times New Roman"/>
          <w:sz w:val="24"/>
          <w:szCs w:val="24"/>
        </w:rPr>
        <w:t xml:space="preserve">On Aug. 26, 2021, in </w:t>
      </w:r>
      <w:r w:rsidRPr="00B61B0E">
        <w:rPr>
          <w:rStyle w:val="markedcontent"/>
          <w:rFonts w:ascii="Times New Roman" w:hAnsi="Times New Roman"/>
          <w:sz w:val="24"/>
          <w:szCs w:val="24"/>
          <w:u w:val="single"/>
        </w:rPr>
        <w:t>Alabama Association of Realtors, et al. v. Department of Health and Human Services, et al</w:t>
      </w:r>
      <w:r w:rsidRPr="00B61B0E">
        <w:rPr>
          <w:rStyle w:val="markedcontent"/>
          <w:rFonts w:ascii="Times New Roman" w:hAnsi="Times New Roman"/>
          <w:sz w:val="24"/>
          <w:szCs w:val="24"/>
        </w:rPr>
        <w:t xml:space="preserve">., the U.S. Supreme Court held (6 to 3) in a Per </w:t>
      </w:r>
      <w:r w:rsidR="009344F3" w:rsidRPr="00B61B0E">
        <w:rPr>
          <w:rStyle w:val="markedcontent"/>
          <w:rFonts w:ascii="Times New Roman" w:hAnsi="Times New Roman"/>
          <w:sz w:val="24"/>
          <w:szCs w:val="24"/>
        </w:rPr>
        <w:t>Curium</w:t>
      </w:r>
      <w:r w:rsidRPr="00B61B0E">
        <w:rPr>
          <w:rStyle w:val="markedcontent"/>
          <w:rFonts w:ascii="Times New Roman" w:hAnsi="Times New Roman"/>
          <w:sz w:val="24"/>
          <w:szCs w:val="24"/>
        </w:rPr>
        <w:t xml:space="preserve"> opinion (not signed by a single Justice) that the Centers For Disease </w:t>
      </w:r>
      <w:r>
        <w:rPr>
          <w:rStyle w:val="markedcontent"/>
          <w:rFonts w:ascii="Times New Roman" w:hAnsi="Times New Roman"/>
          <w:sz w:val="24"/>
          <w:szCs w:val="24"/>
        </w:rPr>
        <w:t>C</w:t>
      </w:r>
      <w:r w:rsidRPr="00B61B0E">
        <w:rPr>
          <w:rStyle w:val="markedcontent"/>
          <w:rFonts w:ascii="Times New Roman" w:hAnsi="Times New Roman"/>
          <w:sz w:val="24"/>
          <w:szCs w:val="24"/>
        </w:rPr>
        <w:t xml:space="preserve">ontrol </w:t>
      </w:r>
      <w:r>
        <w:rPr>
          <w:rStyle w:val="markedcontent"/>
          <w:rFonts w:ascii="Times New Roman" w:hAnsi="Times New Roman"/>
          <w:sz w:val="24"/>
          <w:szCs w:val="24"/>
        </w:rPr>
        <w:t>under President Biden had no authority when it issued a memorandum to prohibit evictions from Aug. 3, 2021 to Oct. 3, 2021</w:t>
      </w:r>
      <w:r w:rsidR="00F8544A">
        <w:rPr>
          <w:rStyle w:val="markedcontent"/>
          <w:rFonts w:ascii="Times New Roman" w:hAnsi="Times New Roman"/>
          <w:sz w:val="24"/>
          <w:szCs w:val="24"/>
        </w:rPr>
        <w:t xml:space="preserve"> </w:t>
      </w:r>
      <w:r>
        <w:rPr>
          <w:rStyle w:val="markedcontent"/>
          <w:rFonts w:ascii="Times New Roman" w:hAnsi="Times New Roman"/>
          <w:sz w:val="24"/>
          <w:szCs w:val="24"/>
        </w:rPr>
        <w:t xml:space="preserve">in states with counties that had very high COVID-19 rates.  The CDC sought to </w:t>
      </w:r>
      <w:r w:rsidRPr="00B61B0E">
        <w:rPr>
          <w:rStyle w:val="markedcontent"/>
          <w:rFonts w:ascii="Times New Roman" w:hAnsi="Times New Roman"/>
          <w:sz w:val="24"/>
          <w:szCs w:val="24"/>
        </w:rPr>
        <w:t xml:space="preserve">extend the </w:t>
      </w:r>
      <w:r>
        <w:rPr>
          <w:rStyle w:val="markedcontent"/>
          <w:rFonts w:ascii="Times New Roman" w:hAnsi="Times New Roman"/>
          <w:sz w:val="24"/>
          <w:szCs w:val="24"/>
        </w:rPr>
        <w:t xml:space="preserve">2020 </w:t>
      </w:r>
      <w:r w:rsidRPr="00B61B0E">
        <w:rPr>
          <w:rStyle w:val="markedcontent"/>
          <w:rFonts w:ascii="Times New Roman" w:hAnsi="Times New Roman"/>
          <w:sz w:val="24"/>
          <w:szCs w:val="24"/>
        </w:rPr>
        <w:t>Congressional moratorium</w:t>
      </w:r>
      <w:r>
        <w:rPr>
          <w:rStyle w:val="markedcontent"/>
          <w:rFonts w:ascii="Times New Roman" w:hAnsi="Times New Roman"/>
          <w:sz w:val="24"/>
          <w:szCs w:val="24"/>
        </w:rPr>
        <w:t xml:space="preserve"> [issued during Trump Administration] which had expired in </w:t>
      </w:r>
      <w:proofErr w:type="gramStart"/>
      <w:r>
        <w:rPr>
          <w:rStyle w:val="markedcontent"/>
          <w:rFonts w:ascii="Times New Roman" w:hAnsi="Times New Roman"/>
          <w:sz w:val="24"/>
          <w:szCs w:val="24"/>
        </w:rPr>
        <w:t>July,</w:t>
      </w:r>
      <w:proofErr w:type="gramEnd"/>
      <w:r>
        <w:rPr>
          <w:rStyle w:val="markedcontent"/>
          <w:rFonts w:ascii="Times New Roman" w:hAnsi="Times New Roman"/>
          <w:sz w:val="24"/>
          <w:szCs w:val="24"/>
        </w:rPr>
        <w:t xml:space="preserve"> 2021, claiming the CDC had this power under the long-standing federal statute which gives CDC powers concerning fumigation, disinfection, sanitation, pest extermination, contaminated animals.  The plaintiff Associations represent landlords in Alabama and Georgia, and they sued in U.S. District Court in D.C. and federal judge issued an injunction to stop CDC moratorium; the U.S. sought a stay in the U.S. Supreme Court, which denied the stay. </w:t>
      </w:r>
    </w:p>
    <w:p w14:paraId="1F203CD6" w14:textId="77777777" w:rsidR="00382F02" w:rsidRDefault="00382F02" w:rsidP="00382F02">
      <w:pPr>
        <w:pStyle w:val="NoSpacing"/>
        <w:rPr>
          <w:rStyle w:val="markedcontent"/>
          <w:rFonts w:ascii="Times New Roman" w:hAnsi="Times New Roman"/>
          <w:sz w:val="24"/>
          <w:szCs w:val="24"/>
        </w:rPr>
      </w:pPr>
    </w:p>
    <w:p w14:paraId="32CAA6F3" w14:textId="77777777" w:rsidR="00382F02" w:rsidRDefault="00382F02" w:rsidP="00382F02">
      <w:pPr>
        <w:pStyle w:val="NoSpacing"/>
        <w:ind w:left="720"/>
        <w:rPr>
          <w:rStyle w:val="markedcontent"/>
          <w:rFonts w:ascii="Times New Roman" w:hAnsi="Times New Roman"/>
          <w:sz w:val="24"/>
          <w:szCs w:val="24"/>
        </w:rPr>
      </w:pPr>
      <w:r>
        <w:rPr>
          <w:rStyle w:val="markedcontent"/>
          <w:rFonts w:ascii="Times New Roman" w:hAnsi="Times New Roman"/>
          <w:sz w:val="24"/>
          <w:szCs w:val="24"/>
        </w:rPr>
        <w:t>“</w:t>
      </w:r>
      <w:r w:rsidRPr="008E03C4">
        <w:rPr>
          <w:rStyle w:val="markedcontent"/>
          <w:rFonts w:ascii="Times New Roman" w:hAnsi="Times New Roman"/>
          <w:sz w:val="24"/>
          <w:szCs w:val="24"/>
        </w:rPr>
        <w:t>In March 2020, Congress passed the Coronavirus Aid, Relief, and Economic Security Act to alleviate burdens caused</w:t>
      </w:r>
      <w:r>
        <w:rPr>
          <w:rStyle w:val="markedcontent"/>
          <w:rFonts w:ascii="Times New Roman" w:hAnsi="Times New Roman"/>
          <w:sz w:val="24"/>
          <w:szCs w:val="24"/>
        </w:rPr>
        <w:t xml:space="preserve"> </w:t>
      </w:r>
      <w:r w:rsidRPr="008E03C4">
        <w:rPr>
          <w:rStyle w:val="markedcontent"/>
          <w:rFonts w:ascii="Times New Roman" w:hAnsi="Times New Roman"/>
          <w:sz w:val="24"/>
          <w:szCs w:val="24"/>
        </w:rPr>
        <w:t>by the burgeoning COVID–19 pandemic. Pub. L. 116–136, 134 Stat. 281. Among other relief programs, the Act imposed a 120-day eviction moratorium for properties that</w:t>
      </w:r>
      <w:r>
        <w:rPr>
          <w:rStyle w:val="markedcontent"/>
          <w:rFonts w:ascii="Times New Roman" w:hAnsi="Times New Roman"/>
          <w:sz w:val="24"/>
          <w:szCs w:val="24"/>
        </w:rPr>
        <w:t xml:space="preserve"> </w:t>
      </w:r>
      <w:r w:rsidRPr="008E03C4">
        <w:rPr>
          <w:rStyle w:val="markedcontent"/>
          <w:rFonts w:ascii="Times New Roman" w:hAnsi="Times New Roman"/>
          <w:sz w:val="24"/>
          <w:szCs w:val="24"/>
        </w:rPr>
        <w:t>participated in federal assistance programs or were subject</w:t>
      </w:r>
      <w:r w:rsidRPr="008E03C4">
        <w:rPr>
          <w:rFonts w:ascii="Times New Roman" w:hAnsi="Times New Roman"/>
          <w:sz w:val="24"/>
          <w:szCs w:val="24"/>
        </w:rPr>
        <w:br/>
      </w:r>
      <w:r w:rsidRPr="008E03C4">
        <w:rPr>
          <w:rStyle w:val="markedcontent"/>
          <w:rFonts w:ascii="Times New Roman" w:hAnsi="Times New Roman"/>
          <w:sz w:val="24"/>
          <w:szCs w:val="24"/>
        </w:rPr>
        <w:t>to federally backed loans. §4024, id., at 492–494. When the eviction moratorium expired in July, Congress</w:t>
      </w:r>
      <w:r>
        <w:rPr>
          <w:rStyle w:val="markedcontent"/>
          <w:rFonts w:ascii="Times New Roman" w:hAnsi="Times New Roman"/>
          <w:sz w:val="24"/>
          <w:szCs w:val="24"/>
        </w:rPr>
        <w:t xml:space="preserve"> </w:t>
      </w:r>
      <w:r w:rsidRPr="008E03C4">
        <w:rPr>
          <w:rStyle w:val="markedcontent"/>
          <w:rFonts w:ascii="Times New Roman" w:hAnsi="Times New Roman"/>
          <w:sz w:val="24"/>
          <w:szCs w:val="24"/>
        </w:rPr>
        <w:t xml:space="preserve">did not renew it. </w:t>
      </w:r>
    </w:p>
    <w:p w14:paraId="23737D83" w14:textId="77777777" w:rsidR="00382F02" w:rsidRDefault="00382F02" w:rsidP="00382F02">
      <w:pPr>
        <w:pStyle w:val="NoSpacing"/>
        <w:ind w:left="720"/>
        <w:rPr>
          <w:rStyle w:val="markedcontent"/>
          <w:rFonts w:ascii="Times New Roman" w:hAnsi="Times New Roman"/>
          <w:sz w:val="24"/>
          <w:szCs w:val="24"/>
        </w:rPr>
      </w:pPr>
    </w:p>
    <w:p w14:paraId="20A2DE23" w14:textId="77777777" w:rsidR="00382F02" w:rsidRDefault="00382F02" w:rsidP="00382F02">
      <w:pPr>
        <w:pStyle w:val="NoSpacing"/>
        <w:ind w:left="720"/>
        <w:rPr>
          <w:rStyle w:val="markedcontent"/>
          <w:rFonts w:ascii="Times New Roman" w:hAnsi="Times New Roman"/>
          <w:sz w:val="24"/>
          <w:szCs w:val="24"/>
        </w:rPr>
      </w:pPr>
      <w:r w:rsidRPr="008E03C4">
        <w:rPr>
          <w:rStyle w:val="markedcontent"/>
          <w:rFonts w:ascii="Times New Roman" w:hAnsi="Times New Roman"/>
          <w:sz w:val="24"/>
          <w:szCs w:val="24"/>
        </w:rPr>
        <w:t xml:space="preserve">Concluding that further action was needed, the CDC decided to do what Congress had not. See 85 Fed. Reg. 55292 (2020). The new, administratively imposed moratorium went further than its statutory predecessor, covering all residential </w:t>
      </w:r>
      <w:proofErr w:type="gramStart"/>
      <w:r w:rsidRPr="008E03C4">
        <w:rPr>
          <w:rStyle w:val="markedcontent"/>
          <w:rFonts w:ascii="Times New Roman" w:hAnsi="Times New Roman"/>
          <w:sz w:val="24"/>
          <w:szCs w:val="24"/>
        </w:rPr>
        <w:t>properties</w:t>
      </w:r>
      <w:proofErr w:type="gramEnd"/>
      <w:r w:rsidRPr="008E03C4">
        <w:rPr>
          <w:rStyle w:val="markedcontent"/>
          <w:rFonts w:ascii="Times New Roman" w:hAnsi="Times New Roman"/>
          <w:sz w:val="24"/>
          <w:szCs w:val="24"/>
        </w:rPr>
        <w:t xml:space="preserve"> nationwide and imposing criminal penalties on violators. </w:t>
      </w:r>
    </w:p>
    <w:p w14:paraId="2330AC80" w14:textId="77777777" w:rsidR="00382F02" w:rsidRDefault="00382F02" w:rsidP="00382F02">
      <w:pPr>
        <w:pStyle w:val="NoSpacing"/>
        <w:ind w:left="720"/>
        <w:rPr>
          <w:rStyle w:val="markedcontent"/>
          <w:rFonts w:ascii="Times New Roman" w:hAnsi="Times New Roman"/>
          <w:sz w:val="24"/>
          <w:szCs w:val="24"/>
        </w:rPr>
      </w:pPr>
    </w:p>
    <w:p w14:paraId="1D565E6E" w14:textId="77777777" w:rsidR="00382F02" w:rsidRDefault="00382F02" w:rsidP="00382F02">
      <w:pPr>
        <w:pStyle w:val="NoSpacing"/>
        <w:ind w:left="720"/>
        <w:rPr>
          <w:rStyle w:val="markedcontent"/>
          <w:rFonts w:ascii="Times New Roman" w:hAnsi="Times New Roman"/>
          <w:sz w:val="24"/>
          <w:szCs w:val="24"/>
        </w:rPr>
      </w:pPr>
      <w:r>
        <w:rPr>
          <w:rStyle w:val="markedcontent"/>
          <w:rFonts w:ascii="Times New Roman" w:hAnsi="Times New Roman"/>
          <w:sz w:val="24"/>
          <w:szCs w:val="24"/>
        </w:rPr>
        <w:t>***</w:t>
      </w:r>
    </w:p>
    <w:p w14:paraId="157150B8" w14:textId="77777777" w:rsidR="00382F02" w:rsidRDefault="00382F02" w:rsidP="00382F02">
      <w:pPr>
        <w:pStyle w:val="NoSpacing"/>
        <w:rPr>
          <w:rStyle w:val="markedcontent"/>
          <w:rFonts w:ascii="Times New Roman" w:hAnsi="Times New Roman"/>
          <w:sz w:val="24"/>
          <w:szCs w:val="24"/>
        </w:rPr>
      </w:pPr>
    </w:p>
    <w:p w14:paraId="37326382" w14:textId="77777777" w:rsidR="00382F02" w:rsidRPr="00B14006" w:rsidRDefault="00382F02" w:rsidP="00382F02">
      <w:pPr>
        <w:pStyle w:val="NoSpacing"/>
        <w:ind w:left="720"/>
        <w:rPr>
          <w:rStyle w:val="markedcontent"/>
          <w:rFonts w:ascii="Times New Roman" w:hAnsi="Times New Roman"/>
          <w:sz w:val="24"/>
          <w:szCs w:val="24"/>
        </w:rPr>
      </w:pPr>
      <w:r w:rsidRPr="00B14006">
        <w:rPr>
          <w:rStyle w:val="markedcontent"/>
          <w:rFonts w:ascii="Times New Roman" w:hAnsi="Times New Roman"/>
          <w:sz w:val="24"/>
          <w:szCs w:val="24"/>
        </w:rPr>
        <w:t>If a federally imposed eviction moratorium is to continue,</w:t>
      </w:r>
      <w:r>
        <w:rPr>
          <w:rStyle w:val="markedcontent"/>
          <w:rFonts w:ascii="Times New Roman" w:hAnsi="Times New Roman"/>
          <w:sz w:val="24"/>
          <w:szCs w:val="24"/>
        </w:rPr>
        <w:t xml:space="preserve"> </w:t>
      </w:r>
      <w:r w:rsidRPr="00B14006">
        <w:rPr>
          <w:rStyle w:val="markedcontent"/>
          <w:rFonts w:ascii="Times New Roman" w:hAnsi="Times New Roman"/>
          <w:sz w:val="24"/>
          <w:szCs w:val="24"/>
        </w:rPr>
        <w:t>Congress must specifically authorize it.</w:t>
      </w:r>
      <w:r>
        <w:rPr>
          <w:rStyle w:val="markedcontent"/>
          <w:rFonts w:ascii="Times New Roman" w:hAnsi="Times New Roman"/>
          <w:sz w:val="24"/>
          <w:szCs w:val="24"/>
        </w:rPr>
        <w:t xml:space="preserve">”  </w:t>
      </w:r>
      <w:hyperlink r:id="rId256" w:history="1">
        <w:r w:rsidRPr="007D2E44">
          <w:rPr>
            <w:rStyle w:val="Hyperlink"/>
            <w:sz w:val="24"/>
            <w:szCs w:val="24"/>
          </w:rPr>
          <w:t>https://www.supremecourt.gov/opinions/20pdf/21a23_ap6c.pdf</w:t>
        </w:r>
      </w:hyperlink>
      <w:r>
        <w:rPr>
          <w:rStyle w:val="markedcontent"/>
          <w:rFonts w:ascii="Times New Roman" w:hAnsi="Times New Roman"/>
          <w:sz w:val="24"/>
          <w:szCs w:val="24"/>
        </w:rPr>
        <w:t xml:space="preserve"> </w:t>
      </w:r>
    </w:p>
    <w:p w14:paraId="7ECD0B4D" w14:textId="77777777" w:rsidR="00382F02" w:rsidRDefault="00382F02" w:rsidP="00382F02">
      <w:pPr>
        <w:pStyle w:val="NoSpacing"/>
        <w:rPr>
          <w:rStyle w:val="markedcontent"/>
          <w:rFonts w:ascii="Times New Roman" w:hAnsi="Times New Roman"/>
          <w:b/>
          <w:bCs/>
          <w:sz w:val="24"/>
          <w:szCs w:val="24"/>
        </w:rPr>
      </w:pPr>
    </w:p>
    <w:p w14:paraId="42FBFAE0" w14:textId="6BE301E8" w:rsidR="00382F02" w:rsidRDefault="00382F02" w:rsidP="00382F02">
      <w:pPr>
        <w:pStyle w:val="NoSpacing"/>
        <w:rPr>
          <w:rStyle w:val="markedcontent"/>
          <w:rFonts w:ascii="Times New Roman" w:hAnsi="Times New Roman"/>
          <w:b/>
          <w:bCs/>
          <w:sz w:val="24"/>
          <w:szCs w:val="24"/>
        </w:rPr>
      </w:pPr>
      <w:r w:rsidRPr="00C708A4">
        <w:rPr>
          <w:rStyle w:val="markedcontent"/>
          <w:rFonts w:ascii="Times New Roman" w:hAnsi="Times New Roman"/>
          <w:b/>
          <w:bCs/>
          <w:sz w:val="24"/>
          <w:szCs w:val="24"/>
        </w:rPr>
        <w:t xml:space="preserve">Legal Lesson Learned: </w:t>
      </w:r>
      <w:r>
        <w:rPr>
          <w:rStyle w:val="markedcontent"/>
          <w:rFonts w:ascii="Times New Roman" w:hAnsi="Times New Roman"/>
          <w:b/>
          <w:bCs/>
          <w:sz w:val="24"/>
          <w:szCs w:val="24"/>
        </w:rPr>
        <w:t xml:space="preserve"> The Court’s majority are obviously conservative; Congress can now act to implement a moratorium if it so chooses. </w:t>
      </w:r>
    </w:p>
    <w:p w14:paraId="57D444A1" w14:textId="77777777" w:rsidR="00382F02" w:rsidRDefault="00382F02" w:rsidP="00382F02">
      <w:pPr>
        <w:pStyle w:val="NoSpacing"/>
        <w:rPr>
          <w:rStyle w:val="markedcontent"/>
          <w:rFonts w:ascii="Times New Roman" w:hAnsi="Times New Roman"/>
          <w:b/>
          <w:bCs/>
          <w:sz w:val="24"/>
          <w:szCs w:val="24"/>
        </w:rPr>
      </w:pPr>
    </w:p>
    <w:p w14:paraId="0559CBDA" w14:textId="77777777" w:rsidR="00382F02" w:rsidRDefault="00382F02" w:rsidP="00382F02">
      <w:pPr>
        <w:pStyle w:val="NoSpacing"/>
        <w:ind w:left="720"/>
        <w:rPr>
          <w:rStyle w:val="markedcontent"/>
          <w:rFonts w:ascii="Times New Roman" w:hAnsi="Times New Roman"/>
          <w:sz w:val="24"/>
          <w:szCs w:val="24"/>
        </w:rPr>
      </w:pPr>
      <w:r>
        <w:rPr>
          <w:rStyle w:val="markedcontent"/>
          <w:rFonts w:ascii="Times New Roman" w:hAnsi="Times New Roman"/>
          <w:sz w:val="24"/>
          <w:szCs w:val="24"/>
        </w:rPr>
        <w:t xml:space="preserve">Note:  Amicus Brief [twenty-two states and District of Columbia filed Amicus brief supporting the CDC memorandum.]  </w:t>
      </w:r>
    </w:p>
    <w:p w14:paraId="60EE2B3B" w14:textId="77777777" w:rsidR="00382F02" w:rsidRDefault="00382F02" w:rsidP="00382F02">
      <w:pPr>
        <w:pStyle w:val="NoSpacing"/>
        <w:rPr>
          <w:rStyle w:val="markedcontent"/>
          <w:rFonts w:ascii="Times New Roman" w:hAnsi="Times New Roman"/>
          <w:sz w:val="24"/>
          <w:szCs w:val="24"/>
        </w:rPr>
      </w:pPr>
    </w:p>
    <w:p w14:paraId="2BFD69C0" w14:textId="77777777" w:rsidR="00382F02" w:rsidRDefault="00382F02" w:rsidP="00382F02">
      <w:pPr>
        <w:pStyle w:val="NoSpacing"/>
        <w:ind w:left="720"/>
        <w:rPr>
          <w:rStyle w:val="markedcontent"/>
          <w:rFonts w:ascii="Times New Roman" w:hAnsi="Times New Roman"/>
          <w:sz w:val="24"/>
          <w:szCs w:val="24"/>
        </w:rPr>
      </w:pPr>
      <w:r>
        <w:rPr>
          <w:rStyle w:val="markedcontent"/>
          <w:rFonts w:ascii="Times New Roman" w:hAnsi="Times New Roman"/>
          <w:sz w:val="24"/>
          <w:szCs w:val="24"/>
        </w:rPr>
        <w:t>“</w:t>
      </w:r>
      <w:r w:rsidRPr="00B14006">
        <w:rPr>
          <w:rStyle w:val="markedcontent"/>
          <w:rFonts w:ascii="Times New Roman" w:hAnsi="Times New Roman"/>
          <w:sz w:val="24"/>
          <w:szCs w:val="24"/>
        </w:rPr>
        <w:t xml:space="preserve">Eviction protections have been key public health tools to slow the spread of the virus. They ensure individuals have a space to isolate, and they prevent vulnerable individuals from being forced out onto </w:t>
      </w:r>
      <w:r w:rsidRPr="00B14006">
        <w:rPr>
          <w:rStyle w:val="markedcontent"/>
          <w:rFonts w:ascii="Times New Roman" w:hAnsi="Times New Roman"/>
          <w:sz w:val="24"/>
          <w:szCs w:val="24"/>
        </w:rPr>
        <w:lastRenderedPageBreak/>
        <w:t>the street, into shelters, or into the homes of family or friends, potentially exposing themselves and others to the virus. Forty-four states—from Alabama to California and Hawaii to Montana—have implemented eviction protections of some sort during the pandemic.</w:t>
      </w:r>
      <w:r>
        <w:rPr>
          <w:rStyle w:val="markedcontent"/>
          <w:rFonts w:ascii="Times New Roman" w:hAnsi="Times New Roman"/>
          <w:sz w:val="24"/>
          <w:szCs w:val="24"/>
        </w:rPr>
        <w:t xml:space="preserve">” </w:t>
      </w:r>
      <w:hyperlink r:id="rId257" w:history="1">
        <w:r w:rsidRPr="007D2E44">
          <w:rPr>
            <w:rStyle w:val="Hyperlink"/>
            <w:sz w:val="24"/>
            <w:szCs w:val="24"/>
          </w:rPr>
          <w:t>https://www.supremecourt.gov/DocketPDF/20/20A169/181359/20210610165940894_20A169%20Amicus%20Mot.pdf</w:t>
        </w:r>
      </w:hyperlink>
      <w:r>
        <w:rPr>
          <w:rStyle w:val="markedcontent"/>
          <w:rFonts w:ascii="Times New Roman" w:hAnsi="Times New Roman"/>
          <w:sz w:val="24"/>
          <w:szCs w:val="24"/>
        </w:rPr>
        <w:t xml:space="preserve"> </w:t>
      </w:r>
    </w:p>
    <w:p w14:paraId="33CEB322" w14:textId="77777777" w:rsidR="00382F02" w:rsidRDefault="00382F02" w:rsidP="00382F02">
      <w:pPr>
        <w:pStyle w:val="NoSpacing"/>
        <w:ind w:left="720"/>
        <w:rPr>
          <w:rStyle w:val="markedcontent"/>
          <w:rFonts w:ascii="Times New Roman" w:hAnsi="Times New Roman"/>
          <w:sz w:val="24"/>
          <w:szCs w:val="24"/>
        </w:rPr>
      </w:pPr>
    </w:p>
    <w:p w14:paraId="1BBAE4AA" w14:textId="77777777" w:rsidR="00382F02" w:rsidRDefault="00382F02" w:rsidP="00382F02">
      <w:pPr>
        <w:pStyle w:val="articleparagraph"/>
        <w:ind w:left="720"/>
      </w:pPr>
      <w:r w:rsidRPr="00515C58">
        <w:rPr>
          <w:rStyle w:val="markedcontent"/>
        </w:rPr>
        <w:t>See article (Aug. 26, 2021): “</w:t>
      </w:r>
      <w:r w:rsidRPr="00515C58">
        <w:t xml:space="preserve">Supreme Court blocks Biden's COVID-19 eviction moratorium in a blow to renters.” </w:t>
      </w:r>
      <w:hyperlink r:id="rId258" w:history="1">
        <w:r w:rsidRPr="00515C58">
          <w:rPr>
            <w:rStyle w:val="Hyperlink"/>
          </w:rPr>
          <w:t>https://www.usatoday.com/story/news/politics/2021/08/27/supreme-court-blocks-president-bidens-covid-19-eviction-moratorium/8243599002/</w:t>
        </w:r>
      </w:hyperlink>
    </w:p>
    <w:p w14:paraId="0A37EA56" w14:textId="77777777" w:rsidR="00382F02" w:rsidRDefault="00382F02" w:rsidP="002B1283">
      <w:pPr>
        <w:rPr>
          <w:rFonts w:ascii="Arial Black" w:hAnsi="Arial Black"/>
          <w:b/>
          <w:sz w:val="24"/>
          <w:szCs w:val="24"/>
        </w:rPr>
      </w:pPr>
    </w:p>
    <w:p w14:paraId="0BE3A2E3" w14:textId="77777777" w:rsidR="00382F02" w:rsidRDefault="00382F02" w:rsidP="002B1283">
      <w:pPr>
        <w:rPr>
          <w:rFonts w:ascii="Arial Black" w:hAnsi="Arial Black"/>
          <w:b/>
          <w:sz w:val="24"/>
          <w:szCs w:val="24"/>
        </w:rPr>
      </w:pPr>
    </w:p>
    <w:p w14:paraId="159EF509" w14:textId="79CB6B63" w:rsidR="00382F02" w:rsidRDefault="00382F02" w:rsidP="002B1283">
      <w:pPr>
        <w:rPr>
          <w:rFonts w:ascii="Arial Black" w:hAnsi="Arial Black"/>
          <w:b/>
          <w:sz w:val="24"/>
          <w:szCs w:val="24"/>
        </w:rPr>
      </w:pPr>
      <w:r>
        <w:rPr>
          <w:rFonts w:ascii="Arial Black" w:hAnsi="Arial Black"/>
          <w:b/>
          <w:sz w:val="24"/>
          <w:szCs w:val="24"/>
        </w:rPr>
        <w:t>1-83</w:t>
      </w:r>
    </w:p>
    <w:p w14:paraId="1B388008" w14:textId="77777777" w:rsidR="00382F02" w:rsidRPr="00E900D2" w:rsidRDefault="00382F02" w:rsidP="00382F02">
      <w:pPr>
        <w:pStyle w:val="NoSpacing"/>
        <w:rPr>
          <w:rStyle w:val="markedcontent"/>
          <w:rFonts w:ascii="Arial Black" w:hAnsi="Arial Black"/>
          <w:sz w:val="28"/>
          <w:szCs w:val="28"/>
        </w:rPr>
      </w:pPr>
      <w:bookmarkStart w:id="7" w:name="_Hlk81840928"/>
      <w:r w:rsidRPr="00E900D2">
        <w:rPr>
          <w:rStyle w:val="markedcontent"/>
          <w:rFonts w:ascii="Arial Black" w:hAnsi="Arial Black"/>
          <w:sz w:val="28"/>
          <w:szCs w:val="28"/>
        </w:rPr>
        <w:t>U.S. SUPREME COURT</w:t>
      </w:r>
      <w:r>
        <w:rPr>
          <w:rStyle w:val="markedcontent"/>
          <w:rFonts w:ascii="Arial Black" w:hAnsi="Arial Black"/>
          <w:sz w:val="28"/>
          <w:szCs w:val="28"/>
        </w:rPr>
        <w:t>: DEPORTATIONS BACK TO MEXICO - TX, MO. WIN INJUNCTION, TRUMP POLICY RESTARTED</w:t>
      </w:r>
    </w:p>
    <w:bookmarkEnd w:id="7"/>
    <w:p w14:paraId="619460C3" w14:textId="77777777" w:rsidR="00382F02" w:rsidRDefault="00382F02" w:rsidP="00382F02">
      <w:pPr>
        <w:pStyle w:val="NoSpacing"/>
        <w:rPr>
          <w:rStyle w:val="markedcontent"/>
          <w:rFonts w:ascii="Courier New" w:hAnsi="Courier New" w:cs="Courier New"/>
          <w:sz w:val="25"/>
          <w:szCs w:val="25"/>
        </w:rPr>
      </w:pPr>
    </w:p>
    <w:p w14:paraId="1450F8FA" w14:textId="77777777" w:rsidR="00382F02" w:rsidRDefault="00382F02" w:rsidP="00382F02">
      <w:pPr>
        <w:pStyle w:val="NoSpacing"/>
        <w:rPr>
          <w:rStyle w:val="markedcontent"/>
          <w:rFonts w:ascii="Times New Roman" w:hAnsi="Times New Roman"/>
          <w:sz w:val="24"/>
          <w:szCs w:val="24"/>
        </w:rPr>
      </w:pPr>
      <w:r w:rsidRPr="00E900D2">
        <w:rPr>
          <w:rStyle w:val="markedcontent"/>
          <w:rFonts w:ascii="Times New Roman" w:hAnsi="Times New Roman"/>
          <w:sz w:val="24"/>
          <w:szCs w:val="24"/>
        </w:rPr>
        <w:t xml:space="preserve">On </w:t>
      </w:r>
      <w:r>
        <w:rPr>
          <w:rStyle w:val="markedcontent"/>
          <w:rFonts w:ascii="Times New Roman" w:hAnsi="Times New Roman"/>
          <w:sz w:val="24"/>
          <w:szCs w:val="24"/>
        </w:rPr>
        <w:t xml:space="preserve">Aug. 24, 2021, in </w:t>
      </w:r>
      <w:r w:rsidRPr="007029FC">
        <w:rPr>
          <w:rStyle w:val="markedcontent"/>
          <w:rFonts w:ascii="Times New Roman" w:hAnsi="Times New Roman"/>
          <w:sz w:val="24"/>
          <w:szCs w:val="24"/>
          <w:u w:val="single"/>
        </w:rPr>
        <w:t>Biden, President of U.S. v. Texas &amp; Missouri</w:t>
      </w:r>
      <w:r>
        <w:rPr>
          <w:rStyle w:val="markedcontent"/>
          <w:rFonts w:ascii="Times New Roman" w:hAnsi="Times New Roman"/>
          <w:sz w:val="24"/>
          <w:szCs w:val="24"/>
        </w:rPr>
        <w:t xml:space="preserve">, the U.S. Supreme Court denied the U.S. Government’s application to stay a nationwide injunction issued on Aug. 13, </w:t>
      </w:r>
      <w:proofErr w:type="gramStart"/>
      <w:r>
        <w:rPr>
          <w:rStyle w:val="markedcontent"/>
          <w:rFonts w:ascii="Times New Roman" w:hAnsi="Times New Roman"/>
          <w:sz w:val="24"/>
          <w:szCs w:val="24"/>
        </w:rPr>
        <w:t>2021</w:t>
      </w:r>
      <w:proofErr w:type="gramEnd"/>
      <w:r>
        <w:rPr>
          <w:rStyle w:val="markedcontent"/>
          <w:rFonts w:ascii="Times New Roman" w:hAnsi="Times New Roman"/>
          <w:sz w:val="24"/>
          <w:szCs w:val="24"/>
        </w:rPr>
        <w:t xml:space="preserve"> by Federal District Court Judge in Texas in a lawsuit filed by states of Texas and Missouri.  U.S. District Court Judge  Matthew J. Kacsmaryk, Northern District of Texas, held a one-day evidentiary hearing and found that President Biden’s </w:t>
      </w:r>
      <w:r w:rsidRPr="00054653">
        <w:rPr>
          <w:rStyle w:val="markedcontent"/>
          <w:rFonts w:ascii="Times New Roman" w:hAnsi="Times New Roman"/>
          <w:sz w:val="24"/>
          <w:szCs w:val="24"/>
        </w:rPr>
        <w:t>Secretary</w:t>
      </w:r>
      <w:r>
        <w:rPr>
          <w:rStyle w:val="markedcontent"/>
          <w:rFonts w:ascii="Times New Roman" w:hAnsi="Times New Roman"/>
          <w:sz w:val="24"/>
          <w:szCs w:val="24"/>
        </w:rPr>
        <w:t xml:space="preserve"> of Department of Homeland Security, in cancelling President Trump’s 2018 Migrant Protection Protocols [which had deported 68,000 aliens by Dec. 31, 2020] “</w:t>
      </w:r>
      <w:r w:rsidRPr="00054653">
        <w:rPr>
          <w:rStyle w:val="markedcontent"/>
          <w:rFonts w:ascii="Times New Roman" w:hAnsi="Times New Roman"/>
          <w:sz w:val="24"/>
          <w:szCs w:val="24"/>
        </w:rPr>
        <w:t xml:space="preserve">failed to consider the warnings by career DHS personnel that </w:t>
      </w:r>
      <w:r>
        <w:rPr>
          <w:rStyle w:val="markedcontent"/>
          <w:rFonts w:ascii="Times New Roman" w:hAnsi="Times New Roman"/>
          <w:sz w:val="24"/>
          <w:szCs w:val="24"/>
        </w:rPr>
        <w:t>‘</w:t>
      </w:r>
      <w:r w:rsidRPr="00054653">
        <w:rPr>
          <w:rStyle w:val="markedcontent"/>
          <w:rFonts w:ascii="Times New Roman" w:hAnsi="Times New Roman"/>
          <w:sz w:val="24"/>
          <w:szCs w:val="24"/>
        </w:rPr>
        <w:t>the suspension of the MPP</w:t>
      </w:r>
      <w:r>
        <w:rPr>
          <w:rStyle w:val="markedcontent"/>
          <w:rFonts w:ascii="Times New Roman" w:hAnsi="Times New Roman"/>
          <w:sz w:val="24"/>
          <w:szCs w:val="24"/>
        </w:rPr>
        <w:t xml:space="preserve"> </w:t>
      </w:r>
      <w:r w:rsidRPr="00054653">
        <w:rPr>
          <w:rStyle w:val="markedcontent"/>
          <w:rFonts w:ascii="Times New Roman" w:hAnsi="Times New Roman"/>
          <w:sz w:val="24"/>
          <w:szCs w:val="24"/>
        </w:rPr>
        <w:t xml:space="preserve"> along with other policies, would lead to a resurgence of illegal aliens attempting to illegally</w:t>
      </w:r>
      <w:r>
        <w:rPr>
          <w:rStyle w:val="markedcontent"/>
          <w:rFonts w:ascii="Times New Roman" w:hAnsi="Times New Roman"/>
          <w:sz w:val="24"/>
          <w:szCs w:val="24"/>
        </w:rPr>
        <w:t>’</w:t>
      </w:r>
      <w:r w:rsidRPr="00054653">
        <w:rPr>
          <w:rStyle w:val="markedcontent"/>
          <w:rFonts w:ascii="Times New Roman" w:hAnsi="Times New Roman"/>
          <w:sz w:val="24"/>
          <w:szCs w:val="24"/>
        </w:rPr>
        <w:t xml:space="preserve"> cross the border.</w:t>
      </w:r>
      <w:r>
        <w:rPr>
          <w:rStyle w:val="markedcontent"/>
          <w:rFonts w:ascii="Times New Roman" w:hAnsi="Times New Roman"/>
          <w:sz w:val="24"/>
          <w:szCs w:val="24"/>
        </w:rPr>
        <w:t xml:space="preserve">”  </w:t>
      </w:r>
      <w:hyperlink r:id="rId259" w:history="1">
        <w:r w:rsidRPr="007D2E44">
          <w:rPr>
            <w:rStyle w:val="Hyperlink"/>
            <w:sz w:val="24"/>
            <w:szCs w:val="24"/>
          </w:rPr>
          <w:t>https://storage.courtlistener.com/recap/gov.uscourts.txnd.346680/gov.uscourts.txnd.346680.94.0.pdf</w:t>
        </w:r>
      </w:hyperlink>
      <w:r>
        <w:rPr>
          <w:rStyle w:val="markedcontent"/>
          <w:rFonts w:ascii="Times New Roman" w:hAnsi="Times New Roman"/>
          <w:sz w:val="24"/>
          <w:szCs w:val="24"/>
        </w:rPr>
        <w:t xml:space="preserve"> </w:t>
      </w:r>
    </w:p>
    <w:p w14:paraId="032BF5D9" w14:textId="1282F4A8" w:rsidR="00382F02" w:rsidRDefault="00382F02" w:rsidP="002B1283">
      <w:pPr>
        <w:rPr>
          <w:rFonts w:ascii="Arial Black" w:hAnsi="Arial Black"/>
          <w:b/>
          <w:sz w:val="24"/>
          <w:szCs w:val="24"/>
        </w:rPr>
      </w:pPr>
    </w:p>
    <w:p w14:paraId="5A2C5FFE" w14:textId="77777777" w:rsidR="00382F02" w:rsidRDefault="00382F02" w:rsidP="00382F02">
      <w:pPr>
        <w:pStyle w:val="NoSpacing"/>
        <w:rPr>
          <w:rStyle w:val="markedcontent"/>
          <w:rFonts w:ascii="Times New Roman" w:hAnsi="Times New Roman"/>
          <w:b/>
          <w:bCs/>
          <w:sz w:val="24"/>
          <w:szCs w:val="24"/>
        </w:rPr>
      </w:pPr>
      <w:r w:rsidRPr="00DD6BC5">
        <w:rPr>
          <w:rStyle w:val="markedcontent"/>
          <w:rFonts w:ascii="Times New Roman" w:hAnsi="Times New Roman"/>
          <w:b/>
          <w:bCs/>
          <w:sz w:val="24"/>
          <w:szCs w:val="24"/>
        </w:rPr>
        <w:t xml:space="preserve">Legal Lesson Learned:  </w:t>
      </w:r>
      <w:r>
        <w:rPr>
          <w:rStyle w:val="markedcontent"/>
          <w:rFonts w:ascii="Times New Roman" w:hAnsi="Times New Roman"/>
          <w:b/>
          <w:bCs/>
          <w:sz w:val="24"/>
          <w:szCs w:val="24"/>
        </w:rPr>
        <w:t xml:space="preserve">A powerful win for the states of Texas and Missouri, and other states that are incurring costs from illegal aliens.  </w:t>
      </w:r>
    </w:p>
    <w:p w14:paraId="736B762D" w14:textId="77777777" w:rsidR="00382F02" w:rsidRDefault="00382F02" w:rsidP="00382F02">
      <w:pPr>
        <w:pStyle w:val="NoSpacing"/>
        <w:rPr>
          <w:rStyle w:val="markedcontent"/>
          <w:rFonts w:ascii="Times New Roman" w:hAnsi="Times New Roman"/>
          <w:b/>
          <w:bCs/>
          <w:sz w:val="24"/>
          <w:szCs w:val="24"/>
        </w:rPr>
      </w:pPr>
    </w:p>
    <w:p w14:paraId="7CA1938E" w14:textId="77777777" w:rsidR="00382F02" w:rsidRDefault="00382F02" w:rsidP="00382F02">
      <w:pPr>
        <w:pStyle w:val="NoSpacing"/>
        <w:ind w:left="720"/>
        <w:rPr>
          <w:rStyle w:val="markedcontent"/>
          <w:rFonts w:ascii="Times New Roman" w:hAnsi="Times New Roman"/>
          <w:sz w:val="24"/>
          <w:szCs w:val="24"/>
        </w:rPr>
      </w:pPr>
      <w:r w:rsidRPr="00DD6BC5">
        <w:rPr>
          <w:rStyle w:val="markedcontent"/>
          <w:rFonts w:ascii="Times New Roman" w:hAnsi="Times New Roman"/>
          <w:sz w:val="24"/>
          <w:szCs w:val="24"/>
        </w:rPr>
        <w:t xml:space="preserve">Note: The Administrative Procedures Act provides that “[t]he reviewing court shall . . . hold unlawful and set aside agency action, findings, and conclusions found to be . . . arbitrary, capricious, an abuse of discretion, or otherwise not in accordance with law.” 5 U.S.C. § 706(2)(A).  </w:t>
      </w:r>
    </w:p>
    <w:p w14:paraId="5DA6AE7D" w14:textId="77777777" w:rsidR="00382F02" w:rsidRDefault="00382F02" w:rsidP="00382F02">
      <w:pPr>
        <w:pStyle w:val="NoSpacing"/>
        <w:ind w:left="720"/>
        <w:rPr>
          <w:rStyle w:val="markedcontent"/>
          <w:sz w:val="24"/>
          <w:szCs w:val="24"/>
        </w:rPr>
      </w:pPr>
    </w:p>
    <w:p w14:paraId="5E80CDA5" w14:textId="77777777" w:rsidR="00382F02" w:rsidRDefault="00382F02" w:rsidP="00382F02">
      <w:pPr>
        <w:pStyle w:val="NoSpacing"/>
        <w:ind w:left="720"/>
        <w:rPr>
          <w:rStyle w:val="markedcontent"/>
          <w:rFonts w:ascii="Times New Roman" w:hAnsi="Times New Roman"/>
          <w:sz w:val="24"/>
          <w:szCs w:val="24"/>
        </w:rPr>
      </w:pPr>
      <w:r w:rsidRPr="00B17D11">
        <w:rPr>
          <w:rStyle w:val="markedcontent"/>
          <w:rFonts w:ascii="Times New Roman" w:hAnsi="Times New Roman"/>
          <w:sz w:val="24"/>
          <w:szCs w:val="24"/>
        </w:rPr>
        <w:t>See article: Aug. 25, 2021: “</w:t>
      </w:r>
      <w:r w:rsidRPr="00B17D11">
        <w:rPr>
          <w:rFonts w:ascii="Times New Roman" w:hAnsi="Times New Roman"/>
          <w:sz w:val="24"/>
          <w:szCs w:val="24"/>
        </w:rPr>
        <w:t>Supreme Court allows revival of Trump-era ‘Remain in Mexico’ asylum policy.”</w:t>
      </w:r>
      <w:r w:rsidRPr="00803923">
        <w:rPr>
          <w:sz w:val="24"/>
          <w:szCs w:val="24"/>
        </w:rPr>
        <w:t xml:space="preserve">  </w:t>
      </w:r>
      <w:hyperlink r:id="rId260" w:history="1">
        <w:r w:rsidRPr="00803923">
          <w:rPr>
            <w:rStyle w:val="Hyperlink"/>
            <w:sz w:val="24"/>
            <w:szCs w:val="24"/>
          </w:rPr>
          <w:t>https://indianexpress.com/article/world/supreme-court-allows-revival-of-trump-era-remain-in-mexico-asylum-policy-7469812/</w:t>
        </w:r>
      </w:hyperlink>
    </w:p>
    <w:p w14:paraId="44F08508" w14:textId="77777777" w:rsidR="00382F02" w:rsidRDefault="00382F02" w:rsidP="002B1283">
      <w:pPr>
        <w:rPr>
          <w:rFonts w:ascii="Arial Black" w:hAnsi="Arial Black"/>
          <w:b/>
          <w:sz w:val="24"/>
          <w:szCs w:val="24"/>
        </w:rPr>
      </w:pPr>
    </w:p>
    <w:p w14:paraId="25A3FF96" w14:textId="77777777" w:rsidR="00382F02" w:rsidRDefault="00382F02" w:rsidP="002B1283">
      <w:pPr>
        <w:rPr>
          <w:rFonts w:ascii="Arial Black" w:hAnsi="Arial Black"/>
          <w:b/>
          <w:sz w:val="24"/>
          <w:szCs w:val="24"/>
        </w:rPr>
      </w:pPr>
    </w:p>
    <w:p w14:paraId="379562E7" w14:textId="0E2B13D1" w:rsidR="00382F02" w:rsidRDefault="00382F02" w:rsidP="002B1283">
      <w:pPr>
        <w:rPr>
          <w:rFonts w:ascii="Arial Black" w:hAnsi="Arial Black"/>
          <w:b/>
          <w:sz w:val="24"/>
          <w:szCs w:val="24"/>
        </w:rPr>
      </w:pPr>
      <w:r>
        <w:rPr>
          <w:rFonts w:ascii="Arial Black" w:hAnsi="Arial Black"/>
          <w:b/>
          <w:sz w:val="24"/>
          <w:szCs w:val="24"/>
        </w:rPr>
        <w:t>1-82</w:t>
      </w:r>
    </w:p>
    <w:p w14:paraId="17C258E0" w14:textId="77777777" w:rsidR="00382F02" w:rsidRPr="00967053" w:rsidRDefault="00382F02" w:rsidP="00382F02">
      <w:pPr>
        <w:pStyle w:val="NormalWeb"/>
        <w:rPr>
          <w:rFonts w:ascii="Arial Black" w:hAnsi="Arial Black"/>
          <w:sz w:val="28"/>
          <w:szCs w:val="28"/>
        </w:rPr>
      </w:pPr>
      <w:bookmarkStart w:id="8" w:name="_Hlk81841064"/>
      <w:r>
        <w:rPr>
          <w:rFonts w:ascii="Arial Black" w:hAnsi="Arial Black"/>
          <w:sz w:val="28"/>
          <w:szCs w:val="28"/>
        </w:rPr>
        <w:lastRenderedPageBreak/>
        <w:t xml:space="preserve">OK: ARSON INVESTIGATORS OBTAINED ARREST WARRANT – NO LIABILITY WHEN FEDERAL ARSON CASE DROPPED </w:t>
      </w:r>
    </w:p>
    <w:bookmarkEnd w:id="8"/>
    <w:p w14:paraId="15D83E6D" w14:textId="77777777" w:rsidR="00382F02" w:rsidRDefault="00382F02" w:rsidP="00382F02">
      <w:pPr>
        <w:pStyle w:val="NormalWeb"/>
        <w:tabs>
          <w:tab w:val="left" w:pos="8070"/>
        </w:tabs>
      </w:pPr>
      <w:r>
        <w:t xml:space="preserve">On Aug. 10, 2021, in </w:t>
      </w:r>
      <w:r w:rsidRPr="00967053">
        <w:rPr>
          <w:u w:val="single"/>
        </w:rPr>
        <w:t>David Anthony Ciempa v. City of Del City, Oklahoma</w:t>
      </w:r>
      <w:r>
        <w:t>, the U.S. Court of Appeals for the 10</w:t>
      </w:r>
      <w:r w:rsidRPr="00967053">
        <w:rPr>
          <w:vertAlign w:val="superscript"/>
        </w:rPr>
        <w:t>th</w:t>
      </w:r>
      <w:r>
        <w:t xml:space="preserve"> Circuit (Denver, Colorado) held (3 to 0) that U.S. District Court properly dismissed the pro se [not represented by an attorney] lawsuit for “malicious prosecution” against Deputy Fire Chief Jeff Keester and police officer [Major] Zion Williams; an arrest warrant for arson had been obtained from a state judge based on probable cause, there were no false statements in warrant affidavit; the federal arson charges were dropped because of an uncooperative witness, not because arson defendant was innocent.  </w:t>
      </w:r>
    </w:p>
    <w:p w14:paraId="23DFA627" w14:textId="77777777" w:rsidR="00382F02" w:rsidRDefault="00382F02" w:rsidP="00382F02">
      <w:pPr>
        <w:pStyle w:val="NormalWeb"/>
        <w:ind w:left="720"/>
      </w:pPr>
      <w:r>
        <w:t xml:space="preserve">“In particular, the court said the criminal case was dismissed due to an uncooperative victim, not because Mr. Ciempa was </w:t>
      </w:r>
      <w:proofErr w:type="gramStart"/>
      <w:r>
        <w:t>actually innocent</w:t>
      </w:r>
      <w:proofErr w:type="gramEnd"/>
      <w:r>
        <w:t xml:space="preserve">. </w:t>
      </w:r>
      <w:r>
        <w:rPr>
          <w:rStyle w:val="Emphasis"/>
        </w:rPr>
        <w:t>See id.</w:t>
      </w:r>
      <w:r>
        <w:t xml:space="preserve"> at 802-03 (explaining that to qualify as a favorable termination, a dismissal must indicate the accused's innocence or at least be inconsistent with guilt). It also noted that the state judge had determined there was probable cause for the arrest and prosecution, and that Mr. Ciempa could not show the investigators procured the warrant by knowingly or recklessly relying on false information. </w:t>
      </w:r>
      <w:r>
        <w:rPr>
          <w:rStyle w:val="Emphasis"/>
        </w:rPr>
        <w:t>See Sanchez v. Hartley</w:t>
      </w:r>
      <w:r>
        <w:t xml:space="preserve">, 810 F.3d 750, 754 (10th Cir. 2016) (recognizing a plaintiff can establish a malicious prosecution constitutional violation by showing "officers . . . knowingly or recklessly </w:t>
      </w:r>
      <w:proofErr w:type="spellStart"/>
      <w:r>
        <w:t>rel</w:t>
      </w:r>
      <w:proofErr w:type="spellEnd"/>
      <w:r>
        <w:t>[</w:t>
      </w:r>
      <w:proofErr w:type="spellStart"/>
      <w:r>
        <w:t>ied</w:t>
      </w:r>
      <w:proofErr w:type="spellEnd"/>
      <w:r>
        <w:t>] on false information to institute legal process . . . result[</w:t>
      </w:r>
      <w:proofErr w:type="spellStart"/>
      <w:r>
        <w:t>ing</w:t>
      </w:r>
      <w:proofErr w:type="spellEnd"/>
      <w:r>
        <w:t xml:space="preserve">] in an unreasonable seizure"). It further concluded Mr. Ciempa could not establish malice, which requires "a substantial showing of deliberate falsehood or reckless disregard for truth," </w:t>
      </w:r>
      <w:r>
        <w:rPr>
          <w:rStyle w:val="Emphasis"/>
        </w:rPr>
        <w:t>Snell v. Tunnell</w:t>
      </w:r>
      <w:r>
        <w:t xml:space="preserve">, 920 F.2d 673, 698 (10th Cir. 1990). The court therefore granted summary judgment based on qualified immunity. Mr. Ciempa appealed the malicious prosecution ruling.” </w:t>
      </w:r>
      <w:hyperlink r:id="rId261" w:history="1">
        <w:r w:rsidRPr="00472D9E">
          <w:rPr>
            <w:rStyle w:val="Hyperlink"/>
          </w:rPr>
          <w:t>https://casetext.com/case/ciempa-v-city-of-del-city</w:t>
        </w:r>
      </w:hyperlink>
      <w:r>
        <w:t xml:space="preserve"> </w:t>
      </w:r>
    </w:p>
    <w:p w14:paraId="17707474" w14:textId="77777777" w:rsidR="00382F02" w:rsidRPr="005E5430" w:rsidRDefault="00382F02" w:rsidP="00382F02">
      <w:pPr>
        <w:rPr>
          <w:rFonts w:ascii="Times New Roman" w:hAnsi="Times New Roman"/>
          <w:b/>
          <w:bCs/>
          <w:sz w:val="24"/>
          <w:szCs w:val="24"/>
        </w:rPr>
      </w:pPr>
      <w:r w:rsidRPr="005E5430">
        <w:rPr>
          <w:rFonts w:ascii="Times New Roman" w:hAnsi="Times New Roman"/>
          <w:b/>
          <w:bCs/>
          <w:sz w:val="24"/>
          <w:szCs w:val="24"/>
        </w:rPr>
        <w:t>Legal Lesson Learned:</w:t>
      </w:r>
      <w:r>
        <w:rPr>
          <w:rFonts w:ascii="Times New Roman" w:hAnsi="Times New Roman"/>
          <w:b/>
          <w:bCs/>
          <w:sz w:val="24"/>
          <w:szCs w:val="24"/>
        </w:rPr>
        <w:t xml:space="preserve"> Arson investigators wisely obtained an arrest warrant based on probable cause.  </w:t>
      </w:r>
    </w:p>
    <w:p w14:paraId="21B0D404" w14:textId="77777777" w:rsidR="00382F02" w:rsidRDefault="00382F02" w:rsidP="002B1283">
      <w:pPr>
        <w:rPr>
          <w:rFonts w:ascii="Arial Black" w:hAnsi="Arial Black"/>
          <w:b/>
          <w:sz w:val="24"/>
          <w:szCs w:val="24"/>
        </w:rPr>
      </w:pPr>
    </w:p>
    <w:p w14:paraId="0F9F94B7" w14:textId="77777777" w:rsidR="00382F02" w:rsidRDefault="00382F02" w:rsidP="002B1283">
      <w:pPr>
        <w:rPr>
          <w:rFonts w:ascii="Arial Black" w:hAnsi="Arial Black"/>
          <w:b/>
          <w:sz w:val="24"/>
          <w:szCs w:val="24"/>
        </w:rPr>
      </w:pPr>
    </w:p>
    <w:p w14:paraId="01AE6D52" w14:textId="78FFFD26" w:rsidR="00382F02" w:rsidRDefault="00382F02" w:rsidP="002B1283">
      <w:pPr>
        <w:rPr>
          <w:rFonts w:ascii="Arial Black" w:hAnsi="Arial Black"/>
          <w:b/>
          <w:sz w:val="24"/>
          <w:szCs w:val="24"/>
        </w:rPr>
      </w:pPr>
      <w:r>
        <w:rPr>
          <w:rFonts w:ascii="Arial Black" w:hAnsi="Arial Black"/>
          <w:b/>
          <w:sz w:val="24"/>
          <w:szCs w:val="24"/>
        </w:rPr>
        <w:t>1-81</w:t>
      </w:r>
    </w:p>
    <w:p w14:paraId="0F1D3515" w14:textId="77777777" w:rsidR="00382F02" w:rsidRDefault="00382F02" w:rsidP="00382F02">
      <w:pPr>
        <w:pStyle w:val="NoSpacing"/>
        <w:rPr>
          <w:rStyle w:val="markedcontent"/>
          <w:rFonts w:ascii="Arial Black" w:hAnsi="Arial Black"/>
          <w:sz w:val="28"/>
          <w:szCs w:val="28"/>
        </w:rPr>
      </w:pPr>
      <w:bookmarkStart w:id="9" w:name="_Hlk81841159"/>
      <w:r>
        <w:rPr>
          <w:rStyle w:val="markedcontent"/>
          <w:rFonts w:ascii="Arial Black" w:hAnsi="Arial Black"/>
          <w:sz w:val="28"/>
          <w:szCs w:val="28"/>
        </w:rPr>
        <w:t xml:space="preserve">CA: FIRE MARSHAL FIRED – RETALIATION - JURY AWARDED HIM $4M – COURT: $1 MILLION &amp; $100,000 OR NEW TRIAL </w:t>
      </w:r>
    </w:p>
    <w:bookmarkEnd w:id="9"/>
    <w:p w14:paraId="6E8A1E86" w14:textId="77777777" w:rsidR="00382F02" w:rsidRDefault="00382F02" w:rsidP="00382F02">
      <w:pPr>
        <w:pStyle w:val="NoSpacing"/>
        <w:rPr>
          <w:rStyle w:val="markedcontent"/>
          <w:rFonts w:ascii="Arial Black" w:hAnsi="Arial Black"/>
          <w:sz w:val="28"/>
          <w:szCs w:val="28"/>
        </w:rPr>
      </w:pPr>
    </w:p>
    <w:p w14:paraId="43C1E7DA" w14:textId="77777777" w:rsidR="00382F02" w:rsidRDefault="00382F02" w:rsidP="00382F02">
      <w:pPr>
        <w:pStyle w:val="NoSpacing"/>
        <w:rPr>
          <w:rStyle w:val="markedcontent"/>
          <w:rFonts w:ascii="Times New Roman" w:hAnsi="Times New Roman"/>
          <w:sz w:val="24"/>
          <w:szCs w:val="24"/>
        </w:rPr>
      </w:pPr>
      <w:r w:rsidRPr="00D01726">
        <w:rPr>
          <w:rStyle w:val="markedcontent"/>
          <w:rFonts w:ascii="Times New Roman" w:hAnsi="Times New Roman"/>
          <w:sz w:val="24"/>
          <w:szCs w:val="24"/>
        </w:rPr>
        <w:t xml:space="preserve">On </w:t>
      </w:r>
      <w:r>
        <w:rPr>
          <w:rStyle w:val="markedcontent"/>
          <w:rFonts w:ascii="Times New Roman" w:hAnsi="Times New Roman"/>
          <w:sz w:val="24"/>
          <w:szCs w:val="24"/>
        </w:rPr>
        <w:t xml:space="preserve">July 1, 2021, in </w:t>
      </w:r>
      <w:r w:rsidRPr="00D01726">
        <w:rPr>
          <w:rStyle w:val="markedcontent"/>
          <w:rFonts w:ascii="Times New Roman" w:hAnsi="Times New Roman"/>
          <w:sz w:val="24"/>
          <w:szCs w:val="24"/>
          <w:u w:val="single"/>
        </w:rPr>
        <w:t>Jason Briley v. City of West Covina</w:t>
      </w:r>
      <w:r>
        <w:rPr>
          <w:rStyle w:val="markedcontent"/>
          <w:rFonts w:ascii="Times New Roman" w:hAnsi="Times New Roman"/>
          <w:sz w:val="24"/>
          <w:szCs w:val="24"/>
        </w:rPr>
        <w:t xml:space="preserve">, the Court of Appeal of the State of California, Second Appellate District (Division Four), held (3 to 0) that the jury verdict in favor of the former Fire Marshal for retaliation was affirmed; in June 2014 he complained that City Mgr. had approved building permit for a development before building plans passed fire inspection.  He was fired Sept. 2015 after city investigated him for using profanity in speaking to an employee at Victoria Secret after a fire </w:t>
      </w:r>
      <w:proofErr w:type="gramStart"/>
      <w:r>
        <w:rPr>
          <w:rStyle w:val="markedcontent"/>
          <w:rFonts w:ascii="Times New Roman" w:hAnsi="Times New Roman"/>
          <w:sz w:val="24"/>
          <w:szCs w:val="24"/>
        </w:rPr>
        <w:t>alarm, and</w:t>
      </w:r>
      <w:proofErr w:type="gramEnd"/>
      <w:r>
        <w:rPr>
          <w:rStyle w:val="markedcontent"/>
          <w:rFonts w:ascii="Times New Roman" w:hAnsi="Times New Roman"/>
          <w:sz w:val="24"/>
          <w:szCs w:val="24"/>
        </w:rPr>
        <w:t xml:space="preserve"> again using profanity talking to employees at a CrossFit gym.  On appeal, the city claimed he failed to exhaust his administrative remedy before filing lawsuit by not first appealing his firing to the City’s Human Relations Commission; but trial court judge, and the Court of Appeals held that this would have been a waste of time since the HR Commission merely makes a recommendation to the same City Manager that fired him.  However, Court of Appeals found $4 million jury verdict was excessive; several months after he was </w:t>
      </w:r>
      <w:proofErr w:type="gramStart"/>
      <w:r>
        <w:rPr>
          <w:rStyle w:val="markedcontent"/>
          <w:rFonts w:ascii="Times New Roman" w:hAnsi="Times New Roman"/>
          <w:sz w:val="24"/>
          <w:szCs w:val="24"/>
        </w:rPr>
        <w:t>fired</w:t>
      </w:r>
      <w:proofErr w:type="gramEnd"/>
      <w:r>
        <w:rPr>
          <w:rStyle w:val="markedcontent"/>
          <w:rFonts w:ascii="Times New Roman" w:hAnsi="Times New Roman"/>
          <w:sz w:val="24"/>
          <w:szCs w:val="24"/>
        </w:rPr>
        <w:t xml:space="preserve"> he was hired as Fire Marshall at City of Murrieta [resigned 10 months later] and testified he suffered little emotional damage.    </w:t>
      </w:r>
    </w:p>
    <w:p w14:paraId="00E862B4" w14:textId="77777777" w:rsidR="00382F02" w:rsidRDefault="00382F02" w:rsidP="00382F02">
      <w:pPr>
        <w:pStyle w:val="NoSpacing"/>
        <w:rPr>
          <w:rStyle w:val="markedcontent"/>
          <w:rFonts w:ascii="Times New Roman" w:hAnsi="Times New Roman"/>
          <w:sz w:val="24"/>
          <w:szCs w:val="24"/>
        </w:rPr>
      </w:pPr>
    </w:p>
    <w:p w14:paraId="6E1F31F5" w14:textId="77777777" w:rsidR="00382F02" w:rsidRDefault="00382F02" w:rsidP="00382F02">
      <w:pPr>
        <w:pStyle w:val="NoSpacing"/>
        <w:ind w:left="720"/>
        <w:rPr>
          <w:rFonts w:ascii="Times New Roman" w:hAnsi="Times New Roman"/>
          <w:sz w:val="24"/>
          <w:szCs w:val="24"/>
        </w:rPr>
      </w:pPr>
      <w:r>
        <w:rPr>
          <w:rStyle w:val="markedcontent"/>
          <w:rFonts w:ascii="Times New Roman" w:hAnsi="Times New Roman"/>
          <w:sz w:val="24"/>
          <w:szCs w:val="24"/>
        </w:rPr>
        <w:t>“</w:t>
      </w:r>
      <w:r w:rsidRPr="00A170C7">
        <w:rPr>
          <w:rFonts w:ascii="Times New Roman" w:hAnsi="Times New Roman"/>
          <w:sz w:val="24"/>
          <w:szCs w:val="24"/>
        </w:rPr>
        <w:t xml:space="preserve">On cross-examination, Briley confirmed he had experienced </w:t>
      </w:r>
      <w:r>
        <w:rPr>
          <w:rFonts w:ascii="Times New Roman" w:hAnsi="Times New Roman"/>
          <w:sz w:val="24"/>
          <w:szCs w:val="24"/>
        </w:rPr>
        <w:t>‘</w:t>
      </w:r>
      <w:r w:rsidRPr="00A170C7">
        <w:rPr>
          <w:rFonts w:ascii="Times New Roman" w:hAnsi="Times New Roman"/>
          <w:sz w:val="24"/>
          <w:szCs w:val="24"/>
        </w:rPr>
        <w:t>the gamut of emotions</w:t>
      </w:r>
      <w:r>
        <w:rPr>
          <w:rFonts w:ascii="Times New Roman" w:hAnsi="Times New Roman"/>
          <w:sz w:val="24"/>
          <w:szCs w:val="24"/>
        </w:rPr>
        <w:t>’</w:t>
      </w:r>
      <w:r w:rsidRPr="00A170C7">
        <w:rPr>
          <w:rFonts w:ascii="Times New Roman" w:hAnsi="Times New Roman"/>
          <w:sz w:val="24"/>
          <w:szCs w:val="24"/>
        </w:rPr>
        <w:t xml:space="preserve"> anyone would experience upon being terminated. He further revealed that he had seen a counselor once or </w:t>
      </w:r>
      <w:proofErr w:type="gramStart"/>
      <w:r w:rsidRPr="00A170C7">
        <w:rPr>
          <w:rFonts w:ascii="Times New Roman" w:hAnsi="Times New Roman"/>
          <w:sz w:val="24"/>
          <w:szCs w:val="24"/>
        </w:rPr>
        <w:t>twice, but</w:t>
      </w:r>
      <w:proofErr w:type="gramEnd"/>
      <w:r w:rsidRPr="00A170C7">
        <w:rPr>
          <w:rFonts w:ascii="Times New Roman" w:hAnsi="Times New Roman"/>
          <w:sz w:val="24"/>
          <w:szCs w:val="24"/>
        </w:rPr>
        <w:t xml:space="preserve"> </w:t>
      </w:r>
      <w:r w:rsidRPr="00A170C7">
        <w:rPr>
          <w:rFonts w:ascii="Times New Roman" w:hAnsi="Times New Roman"/>
          <w:sz w:val="24"/>
          <w:szCs w:val="24"/>
        </w:rPr>
        <w:lastRenderedPageBreak/>
        <w:t xml:space="preserve">reported no mental health issues. The City’s counsel noted that Briley had obtained a position as a fire marshal with the City of Murrieta </w:t>
      </w:r>
      <w:proofErr w:type="gramStart"/>
      <w:r w:rsidRPr="00A170C7">
        <w:rPr>
          <w:rFonts w:ascii="Times New Roman" w:hAnsi="Times New Roman"/>
          <w:sz w:val="24"/>
          <w:szCs w:val="24"/>
        </w:rPr>
        <w:t>subsequent to</w:t>
      </w:r>
      <w:proofErr w:type="gramEnd"/>
      <w:r w:rsidRPr="00A170C7">
        <w:rPr>
          <w:rFonts w:ascii="Times New Roman" w:hAnsi="Times New Roman"/>
          <w:sz w:val="24"/>
          <w:szCs w:val="24"/>
        </w:rPr>
        <w:t xml:space="preserve"> his termination and asked Briley if his decision to leave this position after about 10 months is what truly bothered him. In response, Briley admitted he had </w:t>
      </w:r>
      <w:r>
        <w:rPr>
          <w:rFonts w:ascii="Times New Roman" w:hAnsi="Times New Roman"/>
          <w:sz w:val="24"/>
          <w:szCs w:val="24"/>
        </w:rPr>
        <w:t>‘</w:t>
      </w:r>
      <w:r w:rsidRPr="00A170C7">
        <w:rPr>
          <w:rFonts w:ascii="Times New Roman" w:hAnsi="Times New Roman"/>
          <w:sz w:val="24"/>
          <w:szCs w:val="24"/>
        </w:rPr>
        <w:t>walked away</w:t>
      </w:r>
      <w:r>
        <w:rPr>
          <w:rFonts w:ascii="Times New Roman" w:hAnsi="Times New Roman"/>
          <w:sz w:val="24"/>
          <w:szCs w:val="24"/>
        </w:rPr>
        <w:t>’</w:t>
      </w:r>
      <w:r w:rsidRPr="00A170C7">
        <w:rPr>
          <w:rFonts w:ascii="Times New Roman" w:hAnsi="Times New Roman"/>
          <w:sz w:val="24"/>
          <w:szCs w:val="24"/>
        </w:rPr>
        <w:t xml:space="preserve"> from this fire-service </w:t>
      </w:r>
      <w:proofErr w:type="gramStart"/>
      <w:r w:rsidRPr="00A170C7">
        <w:rPr>
          <w:rFonts w:ascii="Times New Roman" w:hAnsi="Times New Roman"/>
          <w:sz w:val="24"/>
          <w:szCs w:val="24"/>
        </w:rPr>
        <w:t>position, but</w:t>
      </w:r>
      <w:proofErr w:type="gramEnd"/>
      <w:r w:rsidRPr="00A170C7">
        <w:rPr>
          <w:rFonts w:ascii="Times New Roman" w:hAnsi="Times New Roman"/>
          <w:sz w:val="24"/>
          <w:szCs w:val="24"/>
        </w:rPr>
        <w:t xml:space="preserve"> claimed that what bothered him were West Covina’s false allegations against him.</w:t>
      </w:r>
    </w:p>
    <w:p w14:paraId="3DCC8867" w14:textId="77777777" w:rsidR="00382F02" w:rsidRDefault="00382F02" w:rsidP="00382F02">
      <w:pPr>
        <w:pStyle w:val="NoSpacing"/>
        <w:ind w:left="720"/>
        <w:rPr>
          <w:rFonts w:ascii="Times New Roman" w:hAnsi="Times New Roman"/>
          <w:sz w:val="24"/>
          <w:szCs w:val="24"/>
        </w:rPr>
      </w:pPr>
    </w:p>
    <w:p w14:paraId="6A99BB4C" w14:textId="77777777" w:rsidR="00382F02" w:rsidRDefault="00382F02" w:rsidP="00382F02">
      <w:pPr>
        <w:pStyle w:val="NoSpacing"/>
        <w:ind w:left="720"/>
        <w:rPr>
          <w:rStyle w:val="markedcontent"/>
          <w:rFonts w:ascii="Times New Roman" w:hAnsi="Times New Roman"/>
          <w:sz w:val="24"/>
          <w:szCs w:val="24"/>
        </w:rPr>
      </w:pPr>
      <w:r>
        <w:rPr>
          <w:rFonts w:ascii="Times New Roman" w:hAnsi="Times New Roman"/>
          <w:sz w:val="24"/>
          <w:szCs w:val="24"/>
        </w:rPr>
        <w:t>***</w:t>
      </w:r>
    </w:p>
    <w:p w14:paraId="26B33152" w14:textId="77777777" w:rsidR="00382F02" w:rsidRDefault="00382F02" w:rsidP="00382F02">
      <w:pPr>
        <w:pStyle w:val="NoSpacing"/>
        <w:ind w:left="720"/>
        <w:rPr>
          <w:rStyle w:val="markedcontent"/>
          <w:rFonts w:ascii="Times New Roman" w:hAnsi="Times New Roman"/>
          <w:sz w:val="24"/>
          <w:szCs w:val="24"/>
        </w:rPr>
      </w:pPr>
    </w:p>
    <w:p w14:paraId="4377E10B" w14:textId="77777777" w:rsidR="00382F02" w:rsidRDefault="00382F02" w:rsidP="00382F02">
      <w:pPr>
        <w:pStyle w:val="NoSpacing"/>
        <w:ind w:left="720"/>
        <w:rPr>
          <w:rStyle w:val="markedcontent"/>
          <w:rFonts w:ascii="Times New Roman" w:hAnsi="Times New Roman"/>
          <w:sz w:val="24"/>
          <w:szCs w:val="24"/>
        </w:rPr>
      </w:pPr>
      <w:r w:rsidRPr="00C254BC">
        <w:rPr>
          <w:rStyle w:val="markedcontent"/>
          <w:rFonts w:ascii="Times New Roman" w:hAnsi="Times New Roman"/>
          <w:sz w:val="24"/>
          <w:szCs w:val="24"/>
        </w:rPr>
        <w:t xml:space="preserve">Based on our review of the record, and in our collective experience, the jury </w:t>
      </w:r>
      <w:r>
        <w:rPr>
          <w:rStyle w:val="markedcontent"/>
          <w:rFonts w:ascii="Times New Roman" w:hAnsi="Times New Roman"/>
          <w:sz w:val="24"/>
          <w:szCs w:val="24"/>
        </w:rPr>
        <w:t>[which awarded him $500,000 economic damages; $2 million past non-economic damages and $1.5 million in future non-economic damages]</w:t>
      </w:r>
      <w:r w:rsidRPr="00C254BC">
        <w:rPr>
          <w:rStyle w:val="markedcontent"/>
          <w:rFonts w:ascii="Times New Roman" w:hAnsi="Times New Roman"/>
          <w:sz w:val="24"/>
          <w:szCs w:val="24"/>
        </w:rPr>
        <w:t>,</w:t>
      </w:r>
      <w:r>
        <w:rPr>
          <w:rStyle w:val="markedcontent"/>
          <w:rFonts w:ascii="Times New Roman" w:hAnsi="Times New Roman"/>
          <w:sz w:val="24"/>
          <w:szCs w:val="24"/>
        </w:rPr>
        <w:t xml:space="preserve"> </w:t>
      </w:r>
      <w:r w:rsidRPr="00C254BC">
        <w:rPr>
          <w:rStyle w:val="markedcontent"/>
          <w:rFonts w:ascii="Times New Roman" w:hAnsi="Times New Roman"/>
          <w:sz w:val="24"/>
          <w:szCs w:val="24"/>
        </w:rPr>
        <w:t xml:space="preserve">could have awarded Briley no more than $1 million for past noneconomic damages reflecting the distress, financial uncertainty, and sleep-related issues he experienced in the aftermath of his termination. </w:t>
      </w:r>
      <w:proofErr w:type="gramStart"/>
      <w:r w:rsidRPr="00C254BC">
        <w:rPr>
          <w:rStyle w:val="markedcontent"/>
          <w:rFonts w:ascii="Times New Roman" w:hAnsi="Times New Roman"/>
          <w:sz w:val="24"/>
          <w:szCs w:val="24"/>
        </w:rPr>
        <w:t>We further</w:t>
      </w:r>
      <w:proofErr w:type="gramEnd"/>
      <w:r w:rsidRPr="00C254BC">
        <w:rPr>
          <w:rStyle w:val="markedcontent"/>
          <w:rFonts w:ascii="Times New Roman" w:hAnsi="Times New Roman"/>
          <w:sz w:val="24"/>
          <w:szCs w:val="24"/>
        </w:rPr>
        <w:t xml:space="preserve"> conclude the jury could have </w:t>
      </w:r>
      <w:proofErr w:type="gramStart"/>
      <w:r w:rsidRPr="00C254BC">
        <w:rPr>
          <w:rStyle w:val="markedcontent"/>
          <w:rFonts w:ascii="Times New Roman" w:hAnsi="Times New Roman"/>
          <w:sz w:val="24"/>
          <w:szCs w:val="24"/>
        </w:rPr>
        <w:t>awarded</w:t>
      </w:r>
      <w:proofErr w:type="gramEnd"/>
      <w:r w:rsidRPr="00C254BC">
        <w:rPr>
          <w:rStyle w:val="markedcontent"/>
          <w:rFonts w:ascii="Times New Roman" w:hAnsi="Times New Roman"/>
          <w:sz w:val="24"/>
          <w:szCs w:val="24"/>
        </w:rPr>
        <w:t xml:space="preserve"> no more than $100,000 for Briley’s future noneconomic damages, reflecting the largely diminished effects of his termination in the wake of the jury’s verdict. While these amounts remain high in relation to the evidence of Briley’s harm, we may not insert our own assessment for that of the jury; instead, we ask only what amount the jury could reasonably have awarded. (See Bigler-Engler, supra, 7 Cal.App.5th at 299.) Accordingly, we vacate the past and future noneconomic damages awards and </w:t>
      </w:r>
      <w:proofErr w:type="gramStart"/>
      <w:r w:rsidRPr="00C254BC">
        <w:rPr>
          <w:rStyle w:val="markedcontent"/>
          <w:rFonts w:ascii="Times New Roman" w:hAnsi="Times New Roman"/>
          <w:sz w:val="24"/>
          <w:szCs w:val="24"/>
        </w:rPr>
        <w:t>remand</w:t>
      </w:r>
      <w:proofErr w:type="gramEnd"/>
      <w:r w:rsidRPr="00C254BC">
        <w:rPr>
          <w:rStyle w:val="markedcontent"/>
          <w:rFonts w:ascii="Times New Roman" w:hAnsi="Times New Roman"/>
          <w:sz w:val="24"/>
          <w:szCs w:val="24"/>
        </w:rPr>
        <w:t xml:space="preserve"> for a new trial on those issues, unless Briley accepts a reduction of the awards to $1 million and $100,000, respectively. (See id., at 306.)</w:t>
      </w:r>
      <w:r>
        <w:rPr>
          <w:rStyle w:val="markedcontent"/>
          <w:rFonts w:ascii="Times New Roman" w:hAnsi="Times New Roman"/>
          <w:sz w:val="24"/>
          <w:szCs w:val="24"/>
        </w:rPr>
        <w:t xml:space="preserve">” </w:t>
      </w:r>
      <w:hyperlink r:id="rId262" w:history="1">
        <w:r w:rsidRPr="00C10414">
          <w:rPr>
            <w:rStyle w:val="Hyperlink"/>
            <w:sz w:val="24"/>
            <w:szCs w:val="24"/>
          </w:rPr>
          <w:t>https://cases.justia.com/california/court-of-appeal/2021-b295666.pdf?ts=1625180487</w:t>
        </w:r>
      </w:hyperlink>
      <w:r>
        <w:rPr>
          <w:rStyle w:val="markedcontent"/>
          <w:rFonts w:ascii="Times New Roman" w:hAnsi="Times New Roman"/>
          <w:sz w:val="24"/>
          <w:szCs w:val="24"/>
        </w:rPr>
        <w:t xml:space="preserve"> </w:t>
      </w:r>
    </w:p>
    <w:p w14:paraId="3D8E1736" w14:textId="4E8830E9" w:rsidR="00382F02" w:rsidRDefault="00382F02" w:rsidP="002B1283">
      <w:pPr>
        <w:rPr>
          <w:rFonts w:ascii="Arial Black" w:hAnsi="Arial Black"/>
          <w:b/>
          <w:sz w:val="24"/>
          <w:szCs w:val="24"/>
        </w:rPr>
      </w:pPr>
    </w:p>
    <w:p w14:paraId="1A6782C2" w14:textId="77777777" w:rsidR="00382F02" w:rsidRPr="002C56EC" w:rsidRDefault="00382F02" w:rsidP="00382F02">
      <w:pPr>
        <w:pStyle w:val="NoSpacing"/>
        <w:rPr>
          <w:rStyle w:val="markedcontent"/>
          <w:rFonts w:ascii="Times New Roman" w:hAnsi="Times New Roman"/>
          <w:b/>
          <w:bCs/>
          <w:sz w:val="24"/>
          <w:szCs w:val="24"/>
        </w:rPr>
      </w:pPr>
      <w:r w:rsidRPr="002C56EC">
        <w:rPr>
          <w:rStyle w:val="markedcontent"/>
          <w:rFonts w:ascii="Times New Roman" w:hAnsi="Times New Roman"/>
          <w:b/>
          <w:bCs/>
          <w:sz w:val="24"/>
          <w:szCs w:val="24"/>
        </w:rPr>
        <w:t>Legal Lesson Learned:</w:t>
      </w:r>
      <w:r>
        <w:rPr>
          <w:rStyle w:val="markedcontent"/>
          <w:rFonts w:ascii="Times New Roman" w:hAnsi="Times New Roman"/>
          <w:b/>
          <w:bCs/>
          <w:sz w:val="24"/>
          <w:szCs w:val="24"/>
        </w:rPr>
        <w:t xml:space="preserve"> Retaliation claims can result in very large jury verdicts. </w:t>
      </w:r>
    </w:p>
    <w:p w14:paraId="59C94BA3" w14:textId="77777777" w:rsidR="00382F02" w:rsidRDefault="00382F02" w:rsidP="002B1283">
      <w:pPr>
        <w:rPr>
          <w:rFonts w:ascii="Arial Black" w:hAnsi="Arial Black"/>
          <w:b/>
          <w:sz w:val="24"/>
          <w:szCs w:val="24"/>
        </w:rPr>
      </w:pPr>
    </w:p>
    <w:p w14:paraId="14002210" w14:textId="77777777" w:rsidR="00382F02" w:rsidRDefault="00382F02" w:rsidP="002B1283">
      <w:pPr>
        <w:rPr>
          <w:rFonts w:ascii="Arial Black" w:hAnsi="Arial Black"/>
          <w:b/>
          <w:sz w:val="24"/>
          <w:szCs w:val="24"/>
        </w:rPr>
      </w:pPr>
    </w:p>
    <w:p w14:paraId="4FFA695F" w14:textId="1BA4954B" w:rsidR="00A82898" w:rsidRDefault="00A82898" w:rsidP="002B1283">
      <w:pPr>
        <w:rPr>
          <w:rFonts w:ascii="Arial Black" w:hAnsi="Arial Black"/>
          <w:b/>
          <w:sz w:val="24"/>
          <w:szCs w:val="24"/>
        </w:rPr>
      </w:pPr>
      <w:r>
        <w:rPr>
          <w:rFonts w:ascii="Arial Black" w:hAnsi="Arial Black"/>
          <w:b/>
          <w:sz w:val="24"/>
          <w:szCs w:val="24"/>
        </w:rPr>
        <w:t>1-</w:t>
      </w:r>
      <w:r w:rsidR="00382F02">
        <w:rPr>
          <w:rFonts w:ascii="Arial Black" w:hAnsi="Arial Black"/>
          <w:b/>
          <w:sz w:val="24"/>
          <w:szCs w:val="24"/>
        </w:rPr>
        <w:t>80</w:t>
      </w:r>
    </w:p>
    <w:p w14:paraId="47C95009" w14:textId="77777777" w:rsidR="00A82898" w:rsidRPr="00C11FBB" w:rsidRDefault="00A82898" w:rsidP="00A82898">
      <w:pPr>
        <w:pStyle w:val="NormalWeb"/>
        <w:spacing w:before="0" w:beforeAutospacing="0" w:after="0" w:afterAutospacing="0" w:line="255" w:lineRule="atLeast"/>
        <w:rPr>
          <w:rFonts w:ascii="Arial Black" w:hAnsi="Arial Black"/>
          <w:sz w:val="28"/>
          <w:szCs w:val="28"/>
        </w:rPr>
      </w:pPr>
      <w:r>
        <w:rPr>
          <w:rFonts w:ascii="Arial Black" w:hAnsi="Arial Black"/>
          <w:sz w:val="28"/>
          <w:szCs w:val="28"/>
        </w:rPr>
        <w:t>PA: IMMUNITY / 5</w:t>
      </w:r>
      <w:r w:rsidRPr="000732DE">
        <w:rPr>
          <w:rFonts w:ascii="Arial Black" w:hAnsi="Arial Black"/>
          <w:sz w:val="28"/>
          <w:szCs w:val="28"/>
          <w:vertAlign w:val="superscript"/>
        </w:rPr>
        <w:t>th</w:t>
      </w:r>
      <w:r>
        <w:rPr>
          <w:rFonts w:ascii="Arial Black" w:hAnsi="Arial Black"/>
          <w:sz w:val="28"/>
          <w:szCs w:val="28"/>
        </w:rPr>
        <w:t xml:space="preserve"> AMENDMENT - BILL COSBY CONV. VACATED – DA’s UNCONDITIONAL PROMISE </w:t>
      </w:r>
    </w:p>
    <w:p w14:paraId="111054DF" w14:textId="77777777" w:rsidR="00A82898" w:rsidRDefault="00A82898" w:rsidP="00A82898">
      <w:pPr>
        <w:pStyle w:val="NormalWeb"/>
        <w:spacing w:before="0" w:beforeAutospacing="0" w:after="0" w:afterAutospacing="0" w:line="255" w:lineRule="atLeast"/>
      </w:pPr>
    </w:p>
    <w:p w14:paraId="3A949C32" w14:textId="77777777" w:rsidR="00A82898" w:rsidRDefault="00A82898" w:rsidP="00A82898">
      <w:pPr>
        <w:pStyle w:val="NormalWeb"/>
        <w:spacing w:before="0" w:beforeAutospacing="0" w:after="0" w:afterAutospacing="0" w:line="255" w:lineRule="atLeast"/>
      </w:pPr>
      <w:r>
        <w:t xml:space="preserve">On June 30, 2021, in </w:t>
      </w:r>
      <w:r w:rsidRPr="00C11FBB">
        <w:rPr>
          <w:u w:val="single"/>
        </w:rPr>
        <w:t>Commonwealth of Pennsylvania v. William Henry Cosby Jr.,</w:t>
      </w:r>
      <w:r>
        <w:t xml:space="preserve"> the Supreme Court of Pennsylvania, Middle District, held (4 to 3) that Cosby’s 5</w:t>
      </w:r>
      <w:r w:rsidRPr="002052D5">
        <w:rPr>
          <w:vertAlign w:val="superscript"/>
        </w:rPr>
        <w:t>th</w:t>
      </w:r>
      <w:r>
        <w:t xml:space="preserve"> Amendment rights were violated when the Montgomery County District Attorney made “an unconditional promise of non-prosecution.” Crosby was later indicted just prior to expiration of 12-year statute of limitations by new DA, who read Crosby’s 4 depositions in a civil lawsuit brought by female victim, where he testified about giving pills to other women, and the DA located 19 prior victims (going back 15 to 22 years).   </w:t>
      </w:r>
    </w:p>
    <w:p w14:paraId="7238F1F1" w14:textId="77777777" w:rsidR="00A82898" w:rsidRDefault="00A82898" w:rsidP="00A82898">
      <w:pPr>
        <w:pStyle w:val="NormalWeb"/>
        <w:spacing w:before="0" w:beforeAutospacing="0" w:after="0" w:afterAutospacing="0" w:line="255" w:lineRule="atLeast"/>
      </w:pPr>
    </w:p>
    <w:p w14:paraId="0DA6AB35" w14:textId="77777777" w:rsidR="00A82898" w:rsidRDefault="00A82898" w:rsidP="00A82898">
      <w:pPr>
        <w:pStyle w:val="NormalWeb"/>
        <w:spacing w:before="0" w:beforeAutospacing="0" w:after="0" w:afterAutospacing="0" w:line="255" w:lineRule="atLeast"/>
        <w:ind w:left="720"/>
      </w:pPr>
      <w:r>
        <w:t>“</w:t>
      </w:r>
      <w:r w:rsidRPr="009A1E55">
        <w:t>For the reasons detailed below, we hold that,</w:t>
      </w:r>
      <w:r>
        <w:t xml:space="preserve"> </w:t>
      </w:r>
      <w:r w:rsidRPr="009A1E55">
        <w:t>when a prosecutor makes</w:t>
      </w:r>
      <w:r>
        <w:t xml:space="preserve"> </w:t>
      </w:r>
      <w:r w:rsidRPr="009A1E55">
        <w:t>an unconditional promise</w:t>
      </w:r>
      <w:r>
        <w:t xml:space="preserve"> </w:t>
      </w:r>
      <w:r w:rsidRPr="009A1E55">
        <w:t>of non-prosecution, and when the defendant relies upon that guarantee</w:t>
      </w:r>
      <w:r>
        <w:t xml:space="preserve"> </w:t>
      </w:r>
      <w:r w:rsidRPr="009A1E55">
        <w:t>to the detriment of his constitutional right not to testify, the principle of fundamental fairness that undergirds</w:t>
      </w:r>
      <w:r>
        <w:t xml:space="preserve"> </w:t>
      </w:r>
      <w:r w:rsidRPr="009A1E55">
        <w:t>due process of law in</w:t>
      </w:r>
      <w:r>
        <w:t xml:space="preserve"> </w:t>
      </w:r>
      <w:r w:rsidRPr="009A1E55">
        <w:t xml:space="preserve">our criminal justice system demands that the promise be enforced. </w:t>
      </w:r>
    </w:p>
    <w:p w14:paraId="4E02BF15" w14:textId="77777777" w:rsidR="00A82898" w:rsidRDefault="00A82898" w:rsidP="00A82898">
      <w:pPr>
        <w:pStyle w:val="NormalWeb"/>
        <w:spacing w:before="0" w:beforeAutospacing="0" w:after="0" w:afterAutospacing="0" w:line="255" w:lineRule="atLeast"/>
      </w:pPr>
    </w:p>
    <w:p w14:paraId="5A69769F" w14:textId="77777777" w:rsidR="00A82898" w:rsidRDefault="00A82898" w:rsidP="00A82898">
      <w:pPr>
        <w:pStyle w:val="NormalWeb"/>
        <w:spacing w:before="0" w:beforeAutospacing="0" w:after="0" w:afterAutospacing="0" w:line="255" w:lineRule="atLeast"/>
        <w:ind w:firstLine="720"/>
      </w:pPr>
      <w:r>
        <w:t>***</w:t>
      </w:r>
    </w:p>
    <w:p w14:paraId="1AF8A47B" w14:textId="77777777" w:rsidR="00A82898" w:rsidRDefault="00A82898" w:rsidP="00A82898">
      <w:pPr>
        <w:pStyle w:val="NormalWeb"/>
        <w:spacing w:before="0" w:beforeAutospacing="0" w:after="0" w:afterAutospacing="0" w:line="255" w:lineRule="atLeast"/>
      </w:pPr>
    </w:p>
    <w:p w14:paraId="4FCAB9AE" w14:textId="77777777" w:rsidR="00A82898" w:rsidRDefault="00A82898" w:rsidP="00A82898">
      <w:pPr>
        <w:pStyle w:val="NormalWeb"/>
        <w:spacing w:before="0" w:beforeAutospacing="0" w:after="0" w:afterAutospacing="0" w:line="255" w:lineRule="atLeast"/>
        <w:ind w:left="720"/>
      </w:pPr>
      <w:r w:rsidRPr="00C11FBB">
        <w:rPr>
          <w:rStyle w:val="highlight"/>
        </w:rPr>
        <w:t>Cosby</w:t>
      </w:r>
      <w:r w:rsidRPr="00C11FBB">
        <w:t xml:space="preserve"> was forced to sit for four depositions. That he did not—and could not—choose to remain silent is apparent from the record. When </w:t>
      </w:r>
      <w:r w:rsidRPr="00C11FBB">
        <w:rPr>
          <w:rStyle w:val="highlight"/>
        </w:rPr>
        <w:t xml:space="preserve">Cosby </w:t>
      </w:r>
      <w:r w:rsidRPr="00C11FBB">
        <w:t xml:space="preserve">attempted to decline to answer certain questions about Constand, Constand’s attorneys obtained a ruling from the civil trial judge forcing </w:t>
      </w:r>
      <w:r w:rsidRPr="00C11FBB">
        <w:rPr>
          <w:rStyle w:val="highlight"/>
        </w:rPr>
        <w:t>Cosby</w:t>
      </w:r>
      <w:r w:rsidRPr="00C11FBB">
        <w:t xml:space="preserve"> to answer. Most significantly, </w:t>
      </w:r>
      <w:r w:rsidRPr="00C11FBB">
        <w:rPr>
          <w:rStyle w:val="highlight"/>
        </w:rPr>
        <w:t>Cosby</w:t>
      </w:r>
      <w:r w:rsidRPr="00C11FBB">
        <w:t xml:space="preserve">, having maintained his innocence in all matters and having been advised by a </w:t>
      </w:r>
      <w:r w:rsidRPr="00C11FBB">
        <w:lastRenderedPageBreak/>
        <w:t>number of attorneys, provided critical evidence of his recurring history</w:t>
      </w:r>
      <w:r>
        <w:t xml:space="preserve"> </w:t>
      </w:r>
      <w:r w:rsidRPr="00C11FBB">
        <w:t>of supplying women with central nervous system depressants before engaging in (allegedly unwanted) sexual activity with them—the very assertion that undergirded Constand’s criminal complaint</w:t>
      </w:r>
      <w:r>
        <w:t>….</w:t>
      </w:r>
    </w:p>
    <w:p w14:paraId="2F422E7D" w14:textId="77777777" w:rsidR="00A82898" w:rsidRDefault="00A82898" w:rsidP="00A82898">
      <w:pPr>
        <w:pStyle w:val="NormalWeb"/>
        <w:spacing w:before="0" w:beforeAutospacing="0" w:after="0" w:afterAutospacing="0" w:line="255" w:lineRule="atLeast"/>
        <w:ind w:left="720"/>
      </w:pPr>
    </w:p>
    <w:p w14:paraId="18FE48EE" w14:textId="77777777" w:rsidR="00A82898" w:rsidRDefault="00A82898" w:rsidP="00A82898">
      <w:pPr>
        <w:pStyle w:val="NormalWeb"/>
        <w:spacing w:before="0" w:beforeAutospacing="0" w:after="0" w:afterAutospacing="0" w:line="255" w:lineRule="atLeast"/>
        <w:ind w:left="720"/>
      </w:pPr>
      <w:r>
        <w:t>***</w:t>
      </w:r>
    </w:p>
    <w:p w14:paraId="6E408BEE" w14:textId="77777777" w:rsidR="00A82898" w:rsidRDefault="00A82898" w:rsidP="00A82898">
      <w:pPr>
        <w:pStyle w:val="NormalWeb"/>
        <w:spacing w:before="0" w:beforeAutospacing="0" w:after="0" w:afterAutospacing="0" w:line="255" w:lineRule="atLeast"/>
        <w:ind w:left="720"/>
      </w:pPr>
    </w:p>
    <w:p w14:paraId="2107EAD9" w14:textId="3D450F84" w:rsidR="00A82898" w:rsidRDefault="00A82898" w:rsidP="00A82898">
      <w:pPr>
        <w:rPr>
          <w:rFonts w:ascii="Arial Black" w:hAnsi="Arial Black"/>
          <w:b/>
          <w:sz w:val="24"/>
          <w:szCs w:val="24"/>
        </w:rPr>
      </w:pPr>
      <w:r w:rsidRPr="00C11FBB">
        <w:t xml:space="preserve">For these reasons, </w:t>
      </w:r>
      <w:r w:rsidRPr="00C11FBB">
        <w:rPr>
          <w:rStyle w:val="highlight"/>
        </w:rPr>
        <w:t>Cosby</w:t>
      </w:r>
      <w:r w:rsidRPr="00C11FBB">
        <w:t>’s convictions and judgment of sentence are</w:t>
      </w:r>
      <w:r>
        <w:t xml:space="preserve"> </w:t>
      </w:r>
      <w:r w:rsidRPr="00C11FBB">
        <w:t>vacated, and he is discharged.</w:t>
      </w:r>
      <w:r>
        <w:t xml:space="preserve">” </w:t>
      </w:r>
      <w:hyperlink r:id="rId263" w:anchor="search=%22Cosby%20%27Supreme%2bCourt%27%22" w:history="1">
        <w:r w:rsidRPr="007B464E">
          <w:rPr>
            <w:rStyle w:val="Hyperlink"/>
          </w:rPr>
          <w:t>http://www.pacourts.us/assets/opinions/Supreme/out/j-100-2020mo%20-%20104821740139246918.pdf#search=%22Cosby%20%27Supreme%2bCourt%27%22</w:t>
        </w:r>
      </w:hyperlink>
    </w:p>
    <w:p w14:paraId="2A016F03" w14:textId="77777777" w:rsidR="00A82898" w:rsidRDefault="00A82898" w:rsidP="00A82898">
      <w:pPr>
        <w:pStyle w:val="NormalWeb"/>
        <w:spacing w:before="0" w:beforeAutospacing="0" w:after="0" w:afterAutospacing="0" w:line="255" w:lineRule="atLeast"/>
        <w:rPr>
          <w:rStyle w:val="markedcontent"/>
          <w:b/>
          <w:bCs/>
        </w:rPr>
      </w:pPr>
      <w:r w:rsidRPr="00DE31ED">
        <w:rPr>
          <w:rStyle w:val="markedcontent"/>
          <w:b/>
          <w:bCs/>
        </w:rPr>
        <w:t>Legal Lesson Learned:</w:t>
      </w:r>
      <w:r>
        <w:rPr>
          <w:rStyle w:val="markedcontent"/>
          <w:b/>
          <w:bCs/>
        </w:rPr>
        <w:t xml:space="preserve">  This is a very usual decision, finding that a DA’s Press Release and comments to defense counsel amounted to a “transactional immunity” agreement, binding other DAs during the 12-year statute of limitations.   In fire service, arson investigators seeking to obtain immunity for a key witness should consider asking Prosecutors to grant “use and derivative use” immunity, not “transactional immunity.”</w:t>
      </w:r>
    </w:p>
    <w:p w14:paraId="140C943E" w14:textId="77777777" w:rsidR="00A82898" w:rsidRDefault="00A82898" w:rsidP="00A82898">
      <w:pPr>
        <w:pStyle w:val="NormalWeb"/>
        <w:spacing w:before="0" w:beforeAutospacing="0" w:after="0" w:afterAutospacing="0" w:line="255" w:lineRule="atLeast"/>
        <w:rPr>
          <w:rStyle w:val="markedcontent"/>
          <w:b/>
          <w:bCs/>
        </w:rPr>
      </w:pPr>
    </w:p>
    <w:p w14:paraId="419FD34F" w14:textId="77777777" w:rsidR="00A82898" w:rsidRDefault="00A82898" w:rsidP="00A82898">
      <w:pPr>
        <w:pStyle w:val="NormalWeb"/>
        <w:spacing w:before="0" w:beforeAutospacing="0" w:after="0" w:afterAutospacing="0" w:line="255" w:lineRule="atLeast"/>
        <w:ind w:left="720"/>
      </w:pPr>
      <w:r>
        <w:t xml:space="preserve">“Use and derivative use immunity is more common (used by both state and federal prosecutors) and narrower than transactional immunity. It prevents the prosecution from using the witness's </w:t>
      </w:r>
      <w:proofErr w:type="gramStart"/>
      <w:r>
        <w:t>statements (‘</w:t>
      </w:r>
      <w:proofErr w:type="gramEnd"/>
      <w:r>
        <w:t xml:space="preserve">use’) or any evidence derived from those </w:t>
      </w:r>
      <w:proofErr w:type="gramStart"/>
      <w:r>
        <w:t>statements (‘</w:t>
      </w:r>
      <w:proofErr w:type="gramEnd"/>
      <w:r>
        <w:t>derivative use’) against the witness in a criminal prosecution. In theory, use and derivative use immunity provides as much protection as the witness not testifying.”</w:t>
      </w:r>
    </w:p>
    <w:p w14:paraId="2B7A4DCD" w14:textId="77777777" w:rsidR="00A82898" w:rsidRDefault="00A82898" w:rsidP="00A82898">
      <w:pPr>
        <w:pStyle w:val="NormalWeb"/>
        <w:spacing w:before="0" w:beforeAutospacing="0" w:after="0" w:afterAutospacing="0" w:line="255" w:lineRule="atLeast"/>
        <w:ind w:left="720"/>
      </w:pPr>
      <w:hyperlink r:id="rId264" w:history="1">
        <w:r w:rsidRPr="007B464E">
          <w:rPr>
            <w:rStyle w:val="Hyperlink"/>
          </w:rPr>
          <w:t>https://www.nolo.com/legal-encyclopedia/immunity-exchange-testimony.html</w:t>
        </w:r>
      </w:hyperlink>
      <w:r>
        <w:t xml:space="preserve"> </w:t>
      </w:r>
    </w:p>
    <w:p w14:paraId="0E076B9F" w14:textId="77777777" w:rsidR="00A82898" w:rsidRPr="00DE31ED" w:rsidRDefault="00A82898" w:rsidP="00A82898">
      <w:pPr>
        <w:pStyle w:val="NormalWeb"/>
        <w:spacing w:before="0" w:beforeAutospacing="0" w:after="0" w:afterAutospacing="0" w:line="255" w:lineRule="atLeast"/>
        <w:ind w:left="720"/>
        <w:rPr>
          <w:rStyle w:val="markedcontent"/>
          <w:b/>
          <w:bCs/>
        </w:rPr>
      </w:pPr>
    </w:p>
    <w:p w14:paraId="4DB86470" w14:textId="77777777" w:rsidR="00A82898" w:rsidRPr="007614C6" w:rsidRDefault="00A82898" w:rsidP="00A82898">
      <w:pPr>
        <w:ind w:left="720"/>
        <w:rPr>
          <w:rFonts w:ascii="Times New Roman" w:hAnsi="Times New Roman"/>
          <w:sz w:val="24"/>
          <w:szCs w:val="24"/>
        </w:rPr>
      </w:pPr>
      <w:r w:rsidRPr="002052D5">
        <w:rPr>
          <w:rStyle w:val="markedcontent"/>
          <w:rFonts w:ascii="Times New Roman" w:hAnsi="Times New Roman"/>
          <w:sz w:val="24"/>
          <w:szCs w:val="24"/>
        </w:rPr>
        <w:t xml:space="preserve">See June 30, </w:t>
      </w:r>
      <w:proofErr w:type="gramStart"/>
      <w:r w:rsidRPr="002052D5">
        <w:rPr>
          <w:rStyle w:val="markedcontent"/>
          <w:rFonts w:ascii="Times New Roman" w:hAnsi="Times New Roman"/>
          <w:sz w:val="24"/>
          <w:szCs w:val="24"/>
        </w:rPr>
        <w:t>2021</w:t>
      </w:r>
      <w:proofErr w:type="gramEnd"/>
      <w:r w:rsidRPr="002052D5">
        <w:rPr>
          <w:rStyle w:val="markedcontent"/>
          <w:rFonts w:ascii="Times New Roman" w:hAnsi="Times New Roman"/>
          <w:sz w:val="24"/>
          <w:szCs w:val="24"/>
        </w:rPr>
        <w:t xml:space="preserve"> article on the case: </w:t>
      </w:r>
      <w:r>
        <w:rPr>
          <w:rStyle w:val="markedcontent"/>
          <w:rFonts w:ascii="Times New Roman" w:hAnsi="Times New Roman"/>
          <w:sz w:val="24"/>
          <w:szCs w:val="24"/>
        </w:rPr>
        <w:t>“</w:t>
      </w:r>
      <w:r w:rsidRPr="002052D5">
        <w:rPr>
          <w:rFonts w:ascii="Times New Roman" w:hAnsi="Times New Roman"/>
          <w:sz w:val="24"/>
          <w:szCs w:val="24"/>
        </w:rPr>
        <w:t>All Your Questions About Bill Cosby’s Overturned Verdict, Answered</w:t>
      </w:r>
      <w:r>
        <w:rPr>
          <w:rFonts w:ascii="Times New Roman" w:hAnsi="Times New Roman"/>
          <w:sz w:val="24"/>
          <w:szCs w:val="24"/>
        </w:rPr>
        <w:t xml:space="preserve">.” </w:t>
      </w:r>
      <w:hyperlink r:id="rId265" w:history="1">
        <w:r w:rsidRPr="007614C6">
          <w:rPr>
            <w:rStyle w:val="Hyperlink"/>
            <w:sz w:val="24"/>
            <w:szCs w:val="24"/>
          </w:rPr>
          <w:t>https://www.vulture.com/article/bill-cosby-overturned-sexual-assault-conviction-explained.html</w:t>
        </w:r>
      </w:hyperlink>
      <w:r w:rsidRPr="007614C6">
        <w:rPr>
          <w:rFonts w:ascii="Times New Roman" w:hAnsi="Times New Roman"/>
          <w:sz w:val="24"/>
          <w:szCs w:val="24"/>
        </w:rPr>
        <w:t xml:space="preserve"> </w:t>
      </w:r>
    </w:p>
    <w:p w14:paraId="7BB878F7" w14:textId="706826DC" w:rsidR="00A82898" w:rsidRDefault="00382F02" w:rsidP="002B1283">
      <w:pPr>
        <w:rPr>
          <w:rFonts w:ascii="Arial Black" w:hAnsi="Arial Black"/>
          <w:b/>
          <w:sz w:val="24"/>
          <w:szCs w:val="24"/>
        </w:rPr>
      </w:pPr>
      <w:r>
        <w:rPr>
          <w:rFonts w:ascii="Arial Black" w:hAnsi="Arial Black"/>
          <w:b/>
          <w:sz w:val="24"/>
          <w:szCs w:val="24"/>
        </w:rPr>
        <w:t>1-79</w:t>
      </w:r>
    </w:p>
    <w:p w14:paraId="4C9F5FF7" w14:textId="77777777" w:rsidR="00382F02" w:rsidRDefault="00382F02" w:rsidP="00382F02">
      <w:pPr>
        <w:pStyle w:val="articleparagraph"/>
        <w:rPr>
          <w:rFonts w:ascii="Arial Black" w:hAnsi="Arial Black"/>
          <w:sz w:val="28"/>
          <w:szCs w:val="28"/>
        </w:rPr>
      </w:pPr>
      <w:bookmarkStart w:id="10" w:name="_Hlk81841241"/>
      <w:r>
        <w:rPr>
          <w:rFonts w:ascii="Arial Black" w:hAnsi="Arial Black"/>
          <w:sz w:val="28"/>
          <w:szCs w:val="28"/>
        </w:rPr>
        <w:t xml:space="preserve">U.S. SUPREME COURT: UNANIMOUS DECISION - SEARCH &amp; SEIZURE DRUNK DRIVER UPHELD – COMMUNITY SAFETY </w:t>
      </w:r>
    </w:p>
    <w:bookmarkEnd w:id="10"/>
    <w:p w14:paraId="1931539C" w14:textId="77777777" w:rsidR="00382F02" w:rsidRDefault="00382F02" w:rsidP="00382F02">
      <w:pPr>
        <w:pStyle w:val="articleparagraph"/>
      </w:pPr>
      <w:r>
        <w:t xml:space="preserve">On June 1, 2021, in </w:t>
      </w:r>
      <w:r w:rsidRPr="005E6136">
        <w:rPr>
          <w:u w:val="single"/>
        </w:rPr>
        <w:t>United States v. Cooley</w:t>
      </w:r>
      <w:r>
        <w:t xml:space="preserve">, the U.S. Supreme Court held (9 to 0) that the trial court judge improperly granted defense motion to suppress the meth found in the driver’s </w:t>
      </w:r>
      <w:proofErr w:type="gramStart"/>
      <w:r>
        <w:t>truck, and</w:t>
      </w:r>
      <w:proofErr w:type="gramEnd"/>
      <w:r>
        <w:t xml:space="preserve"> reversed the 3-judges on the 9</w:t>
      </w:r>
      <w:r w:rsidRPr="005E6136">
        <w:rPr>
          <w:vertAlign w:val="superscript"/>
        </w:rPr>
        <w:t>th</w:t>
      </w:r>
      <w:r>
        <w:t xml:space="preserve"> Circuit (San Francisco) that found the search illegal.  Justice Steven Breyer wrote the unanimous opinion of the court, which focused on the health and welfare of the Tribal police officer and the Indian reservation where the driver was pulled over. </w:t>
      </w:r>
    </w:p>
    <w:p w14:paraId="14614916" w14:textId="77777777" w:rsidR="00382F02" w:rsidRDefault="00382F02" w:rsidP="00382F02">
      <w:pPr>
        <w:ind w:left="720"/>
        <w:rPr>
          <w:rStyle w:val="markedcontent"/>
          <w:rFonts w:ascii="Times New Roman" w:hAnsi="Times New Roman"/>
          <w:sz w:val="24"/>
          <w:szCs w:val="24"/>
        </w:rPr>
      </w:pPr>
      <w:r>
        <w:rPr>
          <w:rStyle w:val="markedcontent"/>
          <w:rFonts w:ascii="Times New Roman" w:hAnsi="Times New Roman"/>
          <w:sz w:val="24"/>
          <w:szCs w:val="24"/>
        </w:rPr>
        <w:t>“</w:t>
      </w:r>
      <w:r w:rsidRPr="00512F9B">
        <w:rPr>
          <w:rStyle w:val="markedcontent"/>
          <w:rFonts w:ascii="Times New Roman" w:hAnsi="Times New Roman"/>
          <w:sz w:val="24"/>
          <w:szCs w:val="24"/>
        </w:rPr>
        <w:t xml:space="preserve">The second exception we have just quoted fits the present case, almost like a glove. The phrase speaks of the protection of the </w:t>
      </w:r>
      <w:r>
        <w:rPr>
          <w:rStyle w:val="markedcontent"/>
          <w:rFonts w:ascii="Times New Roman" w:hAnsi="Times New Roman"/>
          <w:sz w:val="24"/>
          <w:szCs w:val="24"/>
        </w:rPr>
        <w:t>‘</w:t>
      </w:r>
      <w:r w:rsidRPr="00512F9B">
        <w:rPr>
          <w:rStyle w:val="markedcontent"/>
          <w:rFonts w:ascii="Times New Roman" w:hAnsi="Times New Roman"/>
          <w:sz w:val="24"/>
          <w:szCs w:val="24"/>
        </w:rPr>
        <w:t>health or welfare of the tribe.</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To deny a tribal</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police officer authority to search and detain for a reasonable</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time any person he or she believes may commit or has committed a crime would make it difficult for tribes to protect</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themselves against ongoing threats. Such threats may be posed by, for instance, non-Indian drunk drivers, transporters of contraband, or other criminal offenders operating on</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 xml:space="preserve">roads within the boundaries of a tribal reservation. As the Washington Supreme Court has noted, </w:t>
      </w:r>
      <w:r>
        <w:rPr>
          <w:rStyle w:val="markedcontent"/>
          <w:rFonts w:ascii="Times New Roman" w:hAnsi="Times New Roman"/>
          <w:sz w:val="24"/>
          <w:szCs w:val="24"/>
        </w:rPr>
        <w:t>‘</w:t>
      </w:r>
      <w:r w:rsidRPr="00512F9B">
        <w:rPr>
          <w:rStyle w:val="markedcontent"/>
          <w:rFonts w:ascii="Times New Roman" w:hAnsi="Times New Roman"/>
          <w:sz w:val="24"/>
          <w:szCs w:val="24"/>
        </w:rPr>
        <w:t>[a]</w:t>
      </w:r>
      <w:proofErr w:type="spellStart"/>
      <w:r w:rsidRPr="00512F9B">
        <w:rPr>
          <w:rStyle w:val="markedcontent"/>
          <w:rFonts w:ascii="Times New Roman" w:hAnsi="Times New Roman"/>
          <w:sz w:val="24"/>
          <w:szCs w:val="24"/>
        </w:rPr>
        <w:t>llowing</w:t>
      </w:r>
      <w:proofErr w:type="spellEnd"/>
      <w:r w:rsidRPr="00512F9B">
        <w:rPr>
          <w:rStyle w:val="markedcontent"/>
          <w:rFonts w:ascii="Times New Roman" w:hAnsi="Times New Roman"/>
          <w:sz w:val="24"/>
          <w:szCs w:val="24"/>
        </w:rPr>
        <w:t xml:space="preserve"> a known</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drunk driver to get back in his or her car, careen off down</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the road, and possibly kill or injure Indians or non-Indians</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 xml:space="preserve">would certainly be detrimental to the health or welfare of </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 xml:space="preserve">the </w:t>
      </w:r>
      <w:proofErr w:type="spellStart"/>
      <w:r w:rsidRPr="00512F9B">
        <w:rPr>
          <w:rStyle w:val="markedcontent"/>
          <w:rFonts w:ascii="Times New Roman" w:hAnsi="Times New Roman"/>
          <w:sz w:val="24"/>
          <w:szCs w:val="24"/>
        </w:rPr>
        <w:t>Tribe.”</w:t>
      </w:r>
      <w:r>
        <w:rPr>
          <w:rStyle w:val="markedcontent"/>
          <w:rFonts w:ascii="Times New Roman" w:hAnsi="Times New Roman"/>
          <w:sz w:val="24"/>
          <w:szCs w:val="24"/>
        </w:rPr>
        <w:t>’</w:t>
      </w:r>
      <w:r w:rsidRPr="00512F9B">
        <w:rPr>
          <w:rStyle w:val="markedcontent"/>
          <w:rFonts w:ascii="Times New Roman" w:hAnsi="Times New Roman"/>
          <w:sz w:val="24"/>
          <w:szCs w:val="24"/>
        </w:rPr>
        <w:t>State</w:t>
      </w:r>
      <w:proofErr w:type="spellEnd"/>
      <w:r w:rsidRPr="00512F9B">
        <w:rPr>
          <w:rStyle w:val="markedcontent"/>
          <w:rFonts w:ascii="Times New Roman" w:hAnsi="Times New Roman"/>
          <w:sz w:val="24"/>
          <w:szCs w:val="24"/>
        </w:rPr>
        <w:t xml:space="preserve"> v. Schmuck, 121 Wash. 2d 373, 391, 850 P. 2d 1332, 1341, cert. denied, 510 U. S. 931 (1993).</w:t>
      </w:r>
    </w:p>
    <w:p w14:paraId="733D9A6B" w14:textId="77777777" w:rsidR="00382F02" w:rsidRDefault="00382F02" w:rsidP="00382F02">
      <w:pPr>
        <w:ind w:left="720"/>
        <w:rPr>
          <w:rStyle w:val="markedcontent"/>
          <w:rFonts w:ascii="Times New Roman" w:hAnsi="Times New Roman"/>
          <w:sz w:val="24"/>
          <w:szCs w:val="24"/>
        </w:rPr>
      </w:pPr>
      <w:r>
        <w:rPr>
          <w:rStyle w:val="markedcontent"/>
          <w:rFonts w:ascii="Times New Roman" w:hAnsi="Times New Roman"/>
          <w:sz w:val="24"/>
          <w:szCs w:val="24"/>
        </w:rPr>
        <w:lastRenderedPageBreak/>
        <w:t>***</w:t>
      </w:r>
    </w:p>
    <w:p w14:paraId="1D59FB60" w14:textId="77777777" w:rsidR="00382F02" w:rsidRDefault="00382F02" w:rsidP="00382F02">
      <w:pPr>
        <w:ind w:left="720"/>
        <w:rPr>
          <w:rStyle w:val="markedcontent"/>
          <w:rFonts w:ascii="Times New Roman" w:hAnsi="Times New Roman"/>
          <w:sz w:val="24"/>
          <w:szCs w:val="24"/>
        </w:rPr>
      </w:pPr>
      <w:r w:rsidRPr="00512F9B">
        <w:rPr>
          <w:rStyle w:val="markedcontent"/>
          <w:rFonts w:ascii="Times New Roman" w:hAnsi="Times New Roman"/>
          <w:sz w:val="24"/>
          <w:szCs w:val="24"/>
        </w:rPr>
        <w:t>Finally, we have doubts about the workability of the</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standards that the Ninth Circuit set out. Those standards require tribal officers first to determine whether a suspect</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 xml:space="preserve">is non-Indian and, if so, allow temporary detention only if the violation of law is </w:t>
      </w:r>
      <w:r>
        <w:rPr>
          <w:rStyle w:val="markedcontent"/>
          <w:rFonts w:ascii="Times New Roman" w:hAnsi="Times New Roman"/>
          <w:sz w:val="24"/>
          <w:szCs w:val="24"/>
        </w:rPr>
        <w:t>‘</w:t>
      </w:r>
      <w:r w:rsidRPr="00512F9B">
        <w:rPr>
          <w:rStyle w:val="markedcontent"/>
          <w:rFonts w:ascii="Times New Roman" w:hAnsi="Times New Roman"/>
          <w:sz w:val="24"/>
          <w:szCs w:val="24"/>
        </w:rPr>
        <w:t>apparent.</w:t>
      </w:r>
      <w:r>
        <w:rPr>
          <w:rStyle w:val="markedcontent"/>
          <w:rFonts w:ascii="Times New Roman" w:hAnsi="Times New Roman"/>
          <w:sz w:val="24"/>
          <w:szCs w:val="24"/>
        </w:rPr>
        <w:t>’</w:t>
      </w:r>
      <w:r w:rsidRPr="00512F9B">
        <w:rPr>
          <w:rStyle w:val="markedcontent"/>
          <w:rFonts w:ascii="Times New Roman" w:hAnsi="Times New Roman"/>
          <w:sz w:val="24"/>
          <w:szCs w:val="24"/>
        </w:rPr>
        <w:t xml:space="preserve"> 919 F. 3d, at 1142. The first requirement, even if limited to asking a single question, would produce an incentive to lie. The second requirement—that the violation of law be </w:t>
      </w:r>
      <w:r>
        <w:rPr>
          <w:rStyle w:val="markedcontent"/>
          <w:rFonts w:ascii="Times New Roman" w:hAnsi="Times New Roman"/>
          <w:sz w:val="24"/>
          <w:szCs w:val="24"/>
        </w:rPr>
        <w:t>‘</w:t>
      </w:r>
      <w:r w:rsidRPr="00512F9B">
        <w:rPr>
          <w:rStyle w:val="markedcontent"/>
          <w:rFonts w:ascii="Times New Roman" w:hAnsi="Times New Roman"/>
          <w:sz w:val="24"/>
          <w:szCs w:val="24"/>
        </w:rPr>
        <w:t>apparent</w:t>
      </w:r>
      <w:r>
        <w:rPr>
          <w:rStyle w:val="markedcontent"/>
          <w:rFonts w:ascii="Times New Roman" w:hAnsi="Times New Roman"/>
          <w:sz w:val="24"/>
          <w:szCs w:val="24"/>
        </w:rPr>
        <w:t>’</w:t>
      </w:r>
      <w:r w:rsidRPr="00512F9B">
        <w:rPr>
          <w:rStyle w:val="markedcontent"/>
          <w:rFonts w:ascii="Times New Roman" w:hAnsi="Times New Roman"/>
          <w:sz w:val="24"/>
          <w:szCs w:val="24"/>
        </w:rPr>
        <w:t>—introduces</w:t>
      </w:r>
      <w:r>
        <w:rPr>
          <w:rStyle w:val="markedcontent"/>
          <w:rFonts w:ascii="Times New Roman" w:hAnsi="Times New Roman"/>
          <w:sz w:val="24"/>
          <w:szCs w:val="24"/>
        </w:rPr>
        <w:t xml:space="preserve"> </w:t>
      </w:r>
      <w:r w:rsidRPr="00512F9B">
        <w:rPr>
          <w:rStyle w:val="markedcontent"/>
          <w:rFonts w:ascii="Times New Roman" w:hAnsi="Times New Roman"/>
          <w:sz w:val="24"/>
          <w:szCs w:val="24"/>
        </w:rPr>
        <w:t>a new standard into search and seizure law.</w:t>
      </w:r>
      <w:r>
        <w:rPr>
          <w:rStyle w:val="markedcontent"/>
          <w:rFonts w:ascii="Times New Roman" w:hAnsi="Times New Roman"/>
          <w:sz w:val="24"/>
          <w:szCs w:val="24"/>
        </w:rPr>
        <w:t xml:space="preserve"> </w:t>
      </w:r>
      <w:r w:rsidRPr="005E6136">
        <w:rPr>
          <w:rStyle w:val="markedcontent"/>
          <w:rFonts w:ascii="Times New Roman" w:hAnsi="Times New Roman"/>
          <w:sz w:val="24"/>
          <w:szCs w:val="24"/>
        </w:rPr>
        <w:t>Whether, or how, that standard would be met is not obvious.</w:t>
      </w:r>
      <w:r>
        <w:rPr>
          <w:rStyle w:val="markedcontent"/>
          <w:rFonts w:ascii="Times New Roman" w:hAnsi="Times New Roman"/>
          <w:sz w:val="24"/>
          <w:szCs w:val="24"/>
        </w:rPr>
        <w:t xml:space="preserve">” </w:t>
      </w:r>
      <w:hyperlink r:id="rId266" w:history="1">
        <w:r w:rsidRPr="00843DBD">
          <w:rPr>
            <w:rStyle w:val="Hyperlink"/>
            <w:sz w:val="24"/>
            <w:szCs w:val="24"/>
          </w:rPr>
          <w:t>https://www.supremecourt.gov/opinions/20pdf/19-1414_8m58.pdf</w:t>
        </w:r>
      </w:hyperlink>
      <w:r>
        <w:rPr>
          <w:rStyle w:val="markedcontent"/>
          <w:rFonts w:ascii="Times New Roman" w:hAnsi="Times New Roman"/>
          <w:sz w:val="24"/>
          <w:szCs w:val="24"/>
        </w:rPr>
        <w:t xml:space="preserve"> </w:t>
      </w:r>
    </w:p>
    <w:p w14:paraId="49633F0D" w14:textId="77777777" w:rsidR="00382F02" w:rsidRPr="001B07D0" w:rsidRDefault="00382F02" w:rsidP="00382F02">
      <w:pPr>
        <w:pStyle w:val="NoSpacing"/>
        <w:rPr>
          <w:rStyle w:val="markedcontent"/>
          <w:rFonts w:ascii="Times New Roman" w:hAnsi="Times New Roman"/>
          <w:b/>
          <w:bCs/>
          <w:sz w:val="24"/>
          <w:szCs w:val="24"/>
        </w:rPr>
      </w:pPr>
      <w:r w:rsidRPr="001B07D0">
        <w:rPr>
          <w:rStyle w:val="markedcontent"/>
          <w:rFonts w:ascii="Times New Roman" w:hAnsi="Times New Roman"/>
          <w:b/>
          <w:bCs/>
          <w:sz w:val="24"/>
          <w:szCs w:val="24"/>
        </w:rPr>
        <w:t>Legal Lesson Learned:</w:t>
      </w:r>
      <w:r>
        <w:rPr>
          <w:rStyle w:val="markedcontent"/>
          <w:rFonts w:ascii="Times New Roman" w:hAnsi="Times New Roman"/>
          <w:b/>
          <w:bCs/>
          <w:sz w:val="24"/>
          <w:szCs w:val="24"/>
        </w:rPr>
        <w:t xml:space="preserve"> Very helpful to have a unanimous opinion upholding a search and focused on the safety of the officer and the community he protects. </w:t>
      </w:r>
    </w:p>
    <w:p w14:paraId="66A7C0E1" w14:textId="77777777" w:rsidR="00382F02" w:rsidRDefault="00382F02" w:rsidP="002B1283">
      <w:pPr>
        <w:rPr>
          <w:rFonts w:ascii="Arial Black" w:hAnsi="Arial Black"/>
          <w:b/>
          <w:sz w:val="24"/>
          <w:szCs w:val="24"/>
        </w:rPr>
      </w:pPr>
    </w:p>
    <w:p w14:paraId="472A5B54" w14:textId="77777777" w:rsidR="00A82898" w:rsidRDefault="00A82898" w:rsidP="002B1283">
      <w:pPr>
        <w:rPr>
          <w:rFonts w:ascii="Arial Black" w:hAnsi="Arial Black"/>
          <w:b/>
          <w:sz w:val="24"/>
          <w:szCs w:val="24"/>
        </w:rPr>
      </w:pPr>
    </w:p>
    <w:p w14:paraId="4DD4B24A" w14:textId="6F05A8D1" w:rsidR="0077274E" w:rsidRDefault="0077274E" w:rsidP="002B1283">
      <w:pPr>
        <w:rPr>
          <w:rFonts w:ascii="Arial Black" w:hAnsi="Arial Black"/>
          <w:b/>
          <w:sz w:val="24"/>
          <w:szCs w:val="24"/>
        </w:rPr>
      </w:pPr>
      <w:r>
        <w:rPr>
          <w:rFonts w:ascii="Arial Black" w:hAnsi="Arial Black"/>
          <w:b/>
          <w:sz w:val="24"/>
          <w:szCs w:val="24"/>
        </w:rPr>
        <w:t>1-78</w:t>
      </w:r>
    </w:p>
    <w:p w14:paraId="22CE8643" w14:textId="77777777" w:rsidR="0077274E" w:rsidRPr="0069099B" w:rsidRDefault="0077274E" w:rsidP="0077274E">
      <w:pPr>
        <w:pStyle w:val="Heading1"/>
        <w:rPr>
          <w:rFonts w:ascii="Arial Black" w:hAnsi="Arial Black"/>
          <w:sz w:val="28"/>
          <w:szCs w:val="28"/>
        </w:rPr>
      </w:pPr>
      <w:r>
        <w:rPr>
          <w:rFonts w:ascii="Arial Black" w:hAnsi="Arial Black"/>
          <w:sz w:val="28"/>
          <w:szCs w:val="28"/>
        </w:rPr>
        <w:t>FL: FATAL MVA I-95 – PD SEIZED PHONE PERSON TAKING PHOTOS - $1,000 JURY VERDICT – IMMUNE FALSE ARREST</w:t>
      </w:r>
    </w:p>
    <w:p w14:paraId="68018703" w14:textId="77777777" w:rsidR="0077274E" w:rsidRPr="008C6D29" w:rsidRDefault="0077274E" w:rsidP="0077274E">
      <w:pPr>
        <w:pStyle w:val="NoSpacing"/>
        <w:rPr>
          <w:rFonts w:ascii="Times New Roman" w:hAnsi="Times New Roman"/>
          <w:sz w:val="24"/>
          <w:szCs w:val="24"/>
        </w:rPr>
      </w:pPr>
      <w:r>
        <w:rPr>
          <w:rFonts w:ascii="Times New Roman" w:hAnsi="Times New Roman"/>
          <w:sz w:val="24"/>
          <w:szCs w:val="24"/>
        </w:rPr>
        <w:t xml:space="preserve">On April 20, 2021 </w:t>
      </w:r>
      <w:r w:rsidRPr="0069099B">
        <w:rPr>
          <w:rFonts w:ascii="Times New Roman" w:hAnsi="Times New Roman"/>
          <w:sz w:val="24"/>
          <w:szCs w:val="24"/>
          <w:u w:val="single"/>
        </w:rPr>
        <w:t>in James P. Crocker v. Deputy Sheriff Steve E. Beatty, Martin County Sheriff’s Office, in his individual capacity</w:t>
      </w:r>
      <w:r>
        <w:rPr>
          <w:rFonts w:ascii="Times New Roman" w:hAnsi="Times New Roman"/>
          <w:sz w:val="24"/>
          <w:szCs w:val="24"/>
        </w:rPr>
        <w:t>, the U.S. Court of Appeals for the 11</w:t>
      </w:r>
      <w:r w:rsidRPr="0069099B">
        <w:rPr>
          <w:rFonts w:ascii="Times New Roman" w:hAnsi="Times New Roman"/>
          <w:sz w:val="24"/>
          <w:szCs w:val="24"/>
          <w:vertAlign w:val="superscript"/>
        </w:rPr>
        <w:t>th</w:t>
      </w:r>
      <w:r>
        <w:rPr>
          <w:rFonts w:ascii="Times New Roman" w:hAnsi="Times New Roman"/>
          <w:sz w:val="24"/>
          <w:szCs w:val="24"/>
        </w:rPr>
        <w:t xml:space="preserve"> Circuit (Atlanta, GA) held (2 to 1) that the police officer enjoys immunity from false arrest since he had parked his car on shoulder of I-95 (a “limited access” highway) and refused to leave the scene until his cell phone was returned.  The Court noted: “</w:t>
      </w:r>
      <w:r w:rsidRPr="008C6D29">
        <w:rPr>
          <w:rFonts w:ascii="Times New Roman" w:hAnsi="Times New Roman"/>
          <w:sz w:val="24"/>
          <w:szCs w:val="24"/>
        </w:rPr>
        <w:t>In his affidavit, Crocker</w:t>
      </w:r>
      <w:r>
        <w:rPr>
          <w:rFonts w:ascii="Times New Roman" w:hAnsi="Times New Roman"/>
          <w:sz w:val="24"/>
          <w:szCs w:val="24"/>
        </w:rPr>
        <w:t xml:space="preserve"> s</w:t>
      </w:r>
      <w:r w:rsidRPr="008C6D29">
        <w:rPr>
          <w:rFonts w:ascii="Times New Roman" w:hAnsi="Times New Roman"/>
          <w:sz w:val="24"/>
          <w:szCs w:val="24"/>
        </w:rPr>
        <w:t xml:space="preserve">aid that he stood in the median </w:t>
      </w:r>
      <w:r>
        <w:rPr>
          <w:rFonts w:ascii="Times New Roman" w:hAnsi="Times New Roman"/>
          <w:sz w:val="24"/>
          <w:szCs w:val="24"/>
        </w:rPr>
        <w:t>‘</w:t>
      </w:r>
      <w:r w:rsidRPr="008C6D29">
        <w:rPr>
          <w:rFonts w:ascii="Times New Roman" w:hAnsi="Times New Roman"/>
          <w:sz w:val="24"/>
          <w:szCs w:val="24"/>
        </w:rPr>
        <w:t>taking photographs and recording video . . . of the crashed vehicle, the first responders and the jaws of life.</w:t>
      </w:r>
      <w:r>
        <w:rPr>
          <w:rFonts w:ascii="Times New Roman" w:hAnsi="Times New Roman"/>
          <w:sz w:val="24"/>
          <w:szCs w:val="24"/>
        </w:rPr>
        <w:t>’</w:t>
      </w:r>
      <w:r w:rsidRPr="008C6D29">
        <w:rPr>
          <w:rFonts w:ascii="Times New Roman" w:hAnsi="Times New Roman"/>
          <w:sz w:val="24"/>
          <w:szCs w:val="24"/>
        </w:rPr>
        <w:t xml:space="preserve"> Asked in his deposition, </w:t>
      </w:r>
      <w:r>
        <w:rPr>
          <w:rFonts w:ascii="Times New Roman" w:hAnsi="Times New Roman"/>
          <w:sz w:val="24"/>
          <w:szCs w:val="24"/>
        </w:rPr>
        <w:t>‘</w:t>
      </w:r>
      <w:r w:rsidRPr="008C6D29">
        <w:rPr>
          <w:rFonts w:ascii="Times New Roman" w:hAnsi="Times New Roman"/>
          <w:sz w:val="24"/>
          <w:szCs w:val="24"/>
        </w:rPr>
        <w:t>What were you taking pictures of?</w:t>
      </w:r>
      <w:r>
        <w:rPr>
          <w:rFonts w:ascii="Times New Roman" w:hAnsi="Times New Roman"/>
          <w:sz w:val="24"/>
          <w:szCs w:val="24"/>
        </w:rPr>
        <w:t>’</w:t>
      </w:r>
      <w:r w:rsidRPr="008C6D29">
        <w:rPr>
          <w:rFonts w:ascii="Times New Roman" w:hAnsi="Times New Roman"/>
          <w:sz w:val="24"/>
          <w:szCs w:val="24"/>
        </w:rPr>
        <w:t xml:space="preserve"> Crocker replied, </w:t>
      </w:r>
      <w:r>
        <w:rPr>
          <w:rFonts w:ascii="Times New Roman" w:hAnsi="Times New Roman"/>
          <w:sz w:val="24"/>
          <w:szCs w:val="24"/>
        </w:rPr>
        <w:t>‘</w:t>
      </w:r>
      <w:r w:rsidRPr="008C6D29">
        <w:rPr>
          <w:rFonts w:ascii="Times New Roman" w:hAnsi="Times New Roman"/>
          <w:sz w:val="24"/>
          <w:szCs w:val="24"/>
        </w:rPr>
        <w:t>The overall scene, overturned vehicle, firemen.</w:t>
      </w:r>
      <w:r>
        <w:rPr>
          <w:rFonts w:ascii="Times New Roman" w:hAnsi="Times New Roman"/>
          <w:sz w:val="24"/>
          <w:szCs w:val="24"/>
        </w:rPr>
        <w:t xml:space="preserve">’ </w:t>
      </w:r>
      <w:r w:rsidRPr="008C6D29">
        <w:rPr>
          <w:rFonts w:ascii="Times New Roman" w:hAnsi="Times New Roman"/>
          <w:sz w:val="24"/>
          <w:szCs w:val="24"/>
        </w:rPr>
        <w:t xml:space="preserve">And when asked if he had </w:t>
      </w:r>
      <w:r>
        <w:rPr>
          <w:rFonts w:ascii="Times New Roman" w:hAnsi="Times New Roman"/>
          <w:sz w:val="24"/>
          <w:szCs w:val="24"/>
        </w:rPr>
        <w:t>‘</w:t>
      </w:r>
      <w:r w:rsidRPr="008C6D29">
        <w:rPr>
          <w:rFonts w:ascii="Times New Roman" w:hAnsi="Times New Roman"/>
          <w:sz w:val="24"/>
          <w:szCs w:val="24"/>
        </w:rPr>
        <w:t>a specific reason</w:t>
      </w:r>
      <w:r>
        <w:rPr>
          <w:rFonts w:ascii="Times New Roman" w:hAnsi="Times New Roman"/>
          <w:sz w:val="24"/>
          <w:szCs w:val="24"/>
        </w:rPr>
        <w:t>’</w:t>
      </w:r>
      <w:r w:rsidRPr="008C6D29">
        <w:rPr>
          <w:rFonts w:ascii="Times New Roman" w:hAnsi="Times New Roman"/>
          <w:sz w:val="24"/>
          <w:szCs w:val="24"/>
        </w:rPr>
        <w:t xml:space="preserve"> for taking pictures of the accident scene, Crocker said: </w:t>
      </w:r>
      <w:r>
        <w:rPr>
          <w:rFonts w:ascii="Times New Roman" w:hAnsi="Times New Roman"/>
          <w:sz w:val="24"/>
          <w:szCs w:val="24"/>
        </w:rPr>
        <w:t>‘</w:t>
      </w:r>
      <w:r w:rsidRPr="008C6D29">
        <w:rPr>
          <w:rFonts w:ascii="Times New Roman" w:hAnsi="Times New Roman"/>
          <w:sz w:val="24"/>
          <w:szCs w:val="24"/>
        </w:rPr>
        <w:t>I really didn’t have a clear and present agenda. I do remember seeing beer bottles laying there and I do remember photographing the beer bottles.</w:t>
      </w:r>
      <w:r>
        <w:rPr>
          <w:rFonts w:ascii="Times New Roman" w:hAnsi="Times New Roman"/>
          <w:sz w:val="24"/>
          <w:szCs w:val="24"/>
        </w:rPr>
        <w:t>’”</w:t>
      </w:r>
    </w:p>
    <w:p w14:paraId="1DA573A8" w14:textId="77777777" w:rsidR="0077274E" w:rsidRPr="008C6D29" w:rsidRDefault="0077274E" w:rsidP="0077274E">
      <w:pPr>
        <w:pStyle w:val="NoSpacing"/>
        <w:rPr>
          <w:rFonts w:ascii="Times New Roman" w:hAnsi="Times New Roman"/>
          <w:sz w:val="24"/>
          <w:szCs w:val="24"/>
        </w:rPr>
      </w:pPr>
    </w:p>
    <w:p w14:paraId="6F52A748" w14:textId="77777777" w:rsidR="0077274E" w:rsidRDefault="0077274E" w:rsidP="0077274E">
      <w:pPr>
        <w:pStyle w:val="NoSpacing"/>
        <w:ind w:left="720"/>
        <w:rPr>
          <w:rFonts w:ascii="Times New Roman" w:hAnsi="Times New Roman"/>
          <w:sz w:val="24"/>
          <w:szCs w:val="24"/>
        </w:rPr>
      </w:pPr>
      <w:r>
        <w:rPr>
          <w:rFonts w:ascii="Times New Roman" w:hAnsi="Times New Roman"/>
          <w:sz w:val="24"/>
          <w:szCs w:val="24"/>
        </w:rPr>
        <w:t xml:space="preserve">“[W]e </w:t>
      </w:r>
      <w:r w:rsidRPr="005C18FF">
        <w:rPr>
          <w:rFonts w:ascii="Times New Roman" w:hAnsi="Times New Roman"/>
          <w:sz w:val="24"/>
          <w:szCs w:val="24"/>
        </w:rPr>
        <w:t>hold (1) that Crocker’s First Amendment claim is barred by qualified immunity, (2) that his false-arrest claims fail because Beatty had probable cause to arrest him, and (3) that his excessive-force claim fails on the merits and, in any event, is barred by qualified immunity.</w:t>
      </w:r>
    </w:p>
    <w:p w14:paraId="50E85849" w14:textId="77777777" w:rsidR="0077274E" w:rsidRDefault="0077274E" w:rsidP="0077274E">
      <w:pPr>
        <w:pStyle w:val="NoSpacing"/>
        <w:ind w:left="720"/>
        <w:rPr>
          <w:rFonts w:ascii="Times New Roman" w:hAnsi="Times New Roman"/>
          <w:sz w:val="24"/>
          <w:szCs w:val="24"/>
        </w:rPr>
      </w:pPr>
    </w:p>
    <w:p w14:paraId="7C8FCE58" w14:textId="77777777" w:rsidR="0077274E" w:rsidRDefault="0077274E" w:rsidP="0077274E">
      <w:pPr>
        <w:pStyle w:val="NoSpacing"/>
        <w:ind w:left="720"/>
        <w:rPr>
          <w:rFonts w:ascii="Times New Roman" w:hAnsi="Times New Roman"/>
          <w:sz w:val="24"/>
          <w:szCs w:val="24"/>
        </w:rPr>
      </w:pPr>
      <w:r>
        <w:rPr>
          <w:rFonts w:ascii="Times New Roman" w:hAnsi="Times New Roman"/>
          <w:sz w:val="24"/>
          <w:szCs w:val="24"/>
        </w:rPr>
        <w:t>***</w:t>
      </w:r>
    </w:p>
    <w:p w14:paraId="33EC0067" w14:textId="77777777" w:rsidR="0077274E" w:rsidRDefault="0077274E" w:rsidP="0077274E">
      <w:pPr>
        <w:pStyle w:val="NoSpacing"/>
        <w:ind w:left="720"/>
        <w:rPr>
          <w:rFonts w:ascii="Times New Roman" w:hAnsi="Times New Roman"/>
          <w:sz w:val="24"/>
          <w:szCs w:val="24"/>
        </w:rPr>
      </w:pPr>
      <w:r w:rsidRPr="009771AF">
        <w:rPr>
          <w:rFonts w:ascii="Times New Roman" w:hAnsi="Times New Roman"/>
          <w:sz w:val="24"/>
          <w:szCs w:val="24"/>
        </w:rPr>
        <w:t>Because Crocker’s car was parked on the shoulder of I-95, a “limited access facility,” the district court held that Beatty had probable cause to arrest him. And although Crocker might initially have been covered by the Good Samaritan exception, the court held that he no longer qualified by the time he encountered Beatty, at which point he was standing 40–50 feet away from the crash scene and merely observing it. We agree with the district court that Officer Beatty had probable cause to arrest Crocker.</w:t>
      </w:r>
      <w:r>
        <w:rPr>
          <w:rFonts w:ascii="Times New Roman" w:hAnsi="Times New Roman"/>
          <w:sz w:val="24"/>
          <w:szCs w:val="24"/>
        </w:rPr>
        <w:t>”</w:t>
      </w:r>
    </w:p>
    <w:p w14:paraId="7FD841C3" w14:textId="77777777" w:rsidR="0077274E" w:rsidRDefault="0077274E" w:rsidP="0077274E">
      <w:pPr>
        <w:pStyle w:val="NoSpacing"/>
        <w:ind w:firstLine="720"/>
        <w:rPr>
          <w:rFonts w:ascii="Times New Roman" w:hAnsi="Times New Roman"/>
          <w:sz w:val="24"/>
          <w:szCs w:val="24"/>
        </w:rPr>
      </w:pPr>
      <w:hyperlink r:id="rId267" w:history="1">
        <w:r w:rsidRPr="00E10E69">
          <w:rPr>
            <w:rStyle w:val="Hyperlink"/>
            <w:sz w:val="24"/>
            <w:szCs w:val="24"/>
          </w:rPr>
          <w:t>https://media.ca11.uscourts.gov/opinions/pub/files/201814682.pdf</w:t>
        </w:r>
      </w:hyperlink>
      <w:r>
        <w:rPr>
          <w:rFonts w:ascii="Times New Roman" w:hAnsi="Times New Roman"/>
          <w:sz w:val="24"/>
          <w:szCs w:val="24"/>
        </w:rPr>
        <w:t xml:space="preserve"> </w:t>
      </w:r>
    </w:p>
    <w:p w14:paraId="2E919A05" w14:textId="6DF869D9" w:rsidR="0077274E" w:rsidRDefault="0077274E" w:rsidP="002B1283">
      <w:pPr>
        <w:rPr>
          <w:rFonts w:ascii="Arial Black" w:hAnsi="Arial Black"/>
          <w:b/>
          <w:sz w:val="24"/>
          <w:szCs w:val="24"/>
        </w:rPr>
      </w:pPr>
    </w:p>
    <w:p w14:paraId="4EEB03C7" w14:textId="77777777" w:rsidR="0077274E" w:rsidRDefault="0077274E" w:rsidP="0077274E">
      <w:pPr>
        <w:pStyle w:val="NoSpacing"/>
        <w:rPr>
          <w:rFonts w:ascii="Times New Roman" w:hAnsi="Times New Roman"/>
          <w:sz w:val="24"/>
          <w:szCs w:val="24"/>
        </w:rPr>
      </w:pPr>
      <w:r>
        <w:rPr>
          <w:rFonts w:ascii="Times New Roman" w:hAnsi="Times New Roman"/>
          <w:sz w:val="24"/>
          <w:szCs w:val="24"/>
        </w:rPr>
        <w:t>Note:  The officer is still liable, however, for jury verdict (Oct. 3, 2018) of $1000 compensatory damages for seizing the cell phone, which the 11</w:t>
      </w:r>
      <w:r w:rsidRPr="005C18FF">
        <w:rPr>
          <w:rFonts w:ascii="Times New Roman" w:hAnsi="Times New Roman"/>
          <w:sz w:val="24"/>
          <w:szCs w:val="24"/>
          <w:vertAlign w:val="superscript"/>
        </w:rPr>
        <w:t>th</w:t>
      </w:r>
      <w:r>
        <w:rPr>
          <w:rFonts w:ascii="Times New Roman" w:hAnsi="Times New Roman"/>
          <w:sz w:val="24"/>
          <w:szCs w:val="24"/>
        </w:rPr>
        <w:t xml:space="preserve"> Circuit in decision (April 2, 2018) held was a violation of 4</w:t>
      </w:r>
      <w:r w:rsidRPr="005C18FF">
        <w:rPr>
          <w:rFonts w:ascii="Times New Roman" w:hAnsi="Times New Roman"/>
          <w:sz w:val="24"/>
          <w:szCs w:val="24"/>
          <w:vertAlign w:val="superscript"/>
        </w:rPr>
        <w:t>th</w:t>
      </w:r>
      <w:r>
        <w:rPr>
          <w:rFonts w:ascii="Times New Roman" w:hAnsi="Times New Roman"/>
          <w:sz w:val="24"/>
          <w:szCs w:val="24"/>
        </w:rPr>
        <w:t xml:space="preserve"> Amendment.  </w:t>
      </w:r>
    </w:p>
    <w:p w14:paraId="28FCC621" w14:textId="77777777" w:rsidR="0077274E" w:rsidRDefault="0077274E" w:rsidP="0077274E">
      <w:pPr>
        <w:pStyle w:val="NoSpacing"/>
        <w:ind w:firstLine="720"/>
        <w:rPr>
          <w:rFonts w:ascii="Times New Roman" w:hAnsi="Times New Roman"/>
          <w:sz w:val="24"/>
          <w:szCs w:val="24"/>
        </w:rPr>
      </w:pPr>
    </w:p>
    <w:p w14:paraId="0449BBDB" w14:textId="77777777" w:rsidR="0077274E" w:rsidRPr="00A30885" w:rsidRDefault="0077274E" w:rsidP="0077274E">
      <w:pPr>
        <w:pStyle w:val="NoSpacing"/>
        <w:ind w:left="720" w:firstLine="60"/>
        <w:rPr>
          <w:rFonts w:ascii="Times New Roman" w:hAnsi="Times New Roman"/>
          <w:sz w:val="24"/>
          <w:szCs w:val="24"/>
        </w:rPr>
      </w:pPr>
      <w:r>
        <w:rPr>
          <w:rFonts w:ascii="Times New Roman" w:hAnsi="Times New Roman"/>
          <w:sz w:val="24"/>
          <w:szCs w:val="24"/>
        </w:rPr>
        <w:t>“</w:t>
      </w:r>
      <w:r w:rsidRPr="000C4BE8">
        <w:rPr>
          <w:rFonts w:ascii="Times New Roman" w:hAnsi="Times New Roman"/>
          <w:sz w:val="24"/>
          <w:szCs w:val="24"/>
        </w:rPr>
        <w:t xml:space="preserve">Crocker, however, </w:t>
      </w:r>
      <w:proofErr w:type="gramStart"/>
      <w:r w:rsidRPr="000C4BE8">
        <w:rPr>
          <w:rFonts w:ascii="Times New Roman" w:hAnsi="Times New Roman"/>
          <w:sz w:val="24"/>
          <w:szCs w:val="24"/>
        </w:rPr>
        <w:t>had no involvement</w:t>
      </w:r>
      <w:proofErr w:type="gramEnd"/>
      <w:r w:rsidRPr="000C4BE8">
        <w:rPr>
          <w:rFonts w:ascii="Times New Roman" w:hAnsi="Times New Roman"/>
          <w:sz w:val="24"/>
          <w:szCs w:val="24"/>
        </w:rPr>
        <w:t xml:space="preserve"> with the car accident that he had photographed. He was merely a curious passerby.</w:t>
      </w:r>
      <w:r>
        <w:rPr>
          <w:rFonts w:ascii="Times New Roman" w:hAnsi="Times New Roman"/>
          <w:sz w:val="24"/>
          <w:szCs w:val="24"/>
        </w:rPr>
        <w:t xml:space="preserve"> </w:t>
      </w:r>
      <w:r w:rsidRPr="00606988">
        <w:rPr>
          <w:rFonts w:ascii="Times New Roman" w:hAnsi="Times New Roman"/>
          <w:sz w:val="24"/>
          <w:szCs w:val="24"/>
        </w:rPr>
        <w:t xml:space="preserve">When Beatty approached Crocker and took his iPhone before speaking, there was no </w:t>
      </w:r>
      <w:r w:rsidRPr="00606988">
        <w:rPr>
          <w:rFonts w:ascii="Times New Roman" w:hAnsi="Times New Roman"/>
          <w:sz w:val="24"/>
          <w:szCs w:val="24"/>
        </w:rPr>
        <w:lastRenderedPageBreak/>
        <w:t xml:space="preserve">indication whatsoever that Crocker </w:t>
      </w:r>
      <w:proofErr w:type="gramStart"/>
      <w:r w:rsidRPr="00606988">
        <w:rPr>
          <w:rFonts w:ascii="Times New Roman" w:hAnsi="Times New Roman"/>
          <w:sz w:val="24"/>
          <w:szCs w:val="24"/>
        </w:rPr>
        <w:t>would have soon deleted</w:t>
      </w:r>
      <w:proofErr w:type="gramEnd"/>
      <w:r w:rsidRPr="00606988">
        <w:rPr>
          <w:rFonts w:ascii="Times New Roman" w:hAnsi="Times New Roman"/>
          <w:sz w:val="24"/>
          <w:szCs w:val="24"/>
        </w:rPr>
        <w:t xml:space="preserve"> the photographs and videos he had just taken the time to capture himself. We conclude that no reasonable law enforcement officer would have believed that the evidence on Crocker’s iPhone was at risk of imminent destruction at the time of the seizure</w:t>
      </w:r>
      <w:r>
        <w:rPr>
          <w:rFonts w:ascii="Times New Roman" w:hAnsi="Times New Roman"/>
          <w:sz w:val="24"/>
          <w:szCs w:val="24"/>
        </w:rPr>
        <w:t xml:space="preserve">…  </w:t>
      </w:r>
      <w:r w:rsidRPr="00606988">
        <w:rPr>
          <w:rFonts w:ascii="Times New Roman" w:hAnsi="Times New Roman"/>
          <w:sz w:val="24"/>
          <w:szCs w:val="24"/>
        </w:rPr>
        <w:t>Under these facts (viewed in the light most favorable to Crocker), we determine that Beatty violated Crocker’s Fourth Amendment rights when he seized the iPhone. We further determine that these rights were clearly established at the time of the seizure such that Beatty is not entitled to qualified immunity.</w:t>
      </w:r>
      <w:r>
        <w:rPr>
          <w:rFonts w:ascii="Times New Roman" w:hAnsi="Times New Roman"/>
          <w:sz w:val="24"/>
          <w:szCs w:val="24"/>
        </w:rPr>
        <w:t xml:space="preserve">” </w:t>
      </w:r>
      <w:hyperlink r:id="rId268" w:history="1">
        <w:r w:rsidRPr="00A30885">
          <w:rPr>
            <w:rStyle w:val="Hyperlink"/>
            <w:sz w:val="24"/>
            <w:szCs w:val="24"/>
          </w:rPr>
          <w:t>https://media.ca11.uscourts.gov/opinions/pub/files/201713526.pdf</w:t>
        </w:r>
      </w:hyperlink>
    </w:p>
    <w:p w14:paraId="6E019CD8" w14:textId="0C0D147D" w:rsidR="0077274E" w:rsidRDefault="0077274E" w:rsidP="002B1283">
      <w:pPr>
        <w:rPr>
          <w:rFonts w:ascii="Arial Black" w:hAnsi="Arial Black"/>
          <w:b/>
          <w:sz w:val="24"/>
          <w:szCs w:val="24"/>
        </w:rPr>
      </w:pPr>
    </w:p>
    <w:p w14:paraId="2BDF2A27" w14:textId="77777777" w:rsidR="0077274E" w:rsidRPr="00AE31BB" w:rsidRDefault="0077274E" w:rsidP="0077274E">
      <w:pPr>
        <w:pStyle w:val="NoSpacing"/>
        <w:rPr>
          <w:rFonts w:ascii="Times New Roman" w:hAnsi="Times New Roman"/>
          <w:b/>
          <w:bCs/>
          <w:sz w:val="24"/>
          <w:szCs w:val="24"/>
        </w:rPr>
      </w:pPr>
      <w:r w:rsidRPr="00AE31BB">
        <w:rPr>
          <w:rFonts w:ascii="Times New Roman" w:hAnsi="Times New Roman"/>
          <w:b/>
          <w:bCs/>
          <w:sz w:val="24"/>
          <w:szCs w:val="24"/>
        </w:rPr>
        <w:t>Legal Lesson Learned:</w:t>
      </w:r>
      <w:r>
        <w:rPr>
          <w:rFonts w:ascii="Times New Roman" w:hAnsi="Times New Roman"/>
          <w:b/>
          <w:bCs/>
          <w:sz w:val="24"/>
          <w:szCs w:val="24"/>
        </w:rPr>
        <w:t xml:space="preserve"> Seizing a by-standers cell phone is violation of 4</w:t>
      </w:r>
      <w:r w:rsidRPr="00AE31BB">
        <w:rPr>
          <w:rFonts w:ascii="Times New Roman" w:hAnsi="Times New Roman"/>
          <w:b/>
          <w:bCs/>
          <w:sz w:val="24"/>
          <w:szCs w:val="24"/>
          <w:vertAlign w:val="superscript"/>
        </w:rPr>
        <w:t>th</w:t>
      </w:r>
      <w:r>
        <w:rPr>
          <w:rFonts w:ascii="Times New Roman" w:hAnsi="Times New Roman"/>
          <w:b/>
          <w:bCs/>
          <w:sz w:val="24"/>
          <w:szCs w:val="24"/>
        </w:rPr>
        <w:t xml:space="preserve"> Amendment unless there is reasonable </w:t>
      </w:r>
      <w:proofErr w:type="gramStart"/>
      <w:r>
        <w:rPr>
          <w:rFonts w:ascii="Times New Roman" w:hAnsi="Times New Roman"/>
          <w:b/>
          <w:bCs/>
          <w:sz w:val="24"/>
          <w:szCs w:val="24"/>
        </w:rPr>
        <w:t>believe</w:t>
      </w:r>
      <w:proofErr w:type="gramEnd"/>
      <w:r>
        <w:rPr>
          <w:rFonts w:ascii="Times New Roman" w:hAnsi="Times New Roman"/>
          <w:b/>
          <w:bCs/>
          <w:sz w:val="24"/>
          <w:szCs w:val="24"/>
        </w:rPr>
        <w:t xml:space="preserve"> the cell phone photos or videos contain evidence of crime. </w:t>
      </w:r>
    </w:p>
    <w:p w14:paraId="2B60E985" w14:textId="77777777" w:rsidR="0077274E" w:rsidRPr="00A30885" w:rsidRDefault="0077274E" w:rsidP="0077274E">
      <w:pPr>
        <w:pStyle w:val="Heading1"/>
        <w:ind w:left="720"/>
        <w:rPr>
          <w:b w:val="0"/>
          <w:bCs w:val="0"/>
          <w:sz w:val="24"/>
          <w:szCs w:val="24"/>
        </w:rPr>
      </w:pPr>
      <w:r w:rsidRPr="00A30885">
        <w:rPr>
          <w:b w:val="0"/>
          <w:bCs w:val="0"/>
          <w:sz w:val="24"/>
          <w:szCs w:val="24"/>
        </w:rPr>
        <w:t>Note:  See 11th Circuit decision in Smith v. City of Cumming (May 30, 2020):</w:t>
      </w:r>
      <w:hyperlink r:id="rId269" w:history="1">
        <w:r w:rsidRPr="00A30885">
          <w:rPr>
            <w:rStyle w:val="Hyperlink"/>
            <w:sz w:val="24"/>
            <w:szCs w:val="24"/>
          </w:rPr>
          <w:t>https://casetext.com/case/smith-v-city-of-</w:t>
        </w:r>
        <w:proofErr w:type="spellStart"/>
        <w:r w:rsidRPr="00A30885">
          <w:rPr>
            <w:rStyle w:val="Hyperlink"/>
            <w:sz w:val="24"/>
            <w:szCs w:val="24"/>
          </w:rPr>
          <w:t>cumming</w:t>
        </w:r>
        <w:proofErr w:type="spellEnd"/>
      </w:hyperlink>
      <w:r w:rsidRPr="00A30885">
        <w:rPr>
          <w:b w:val="0"/>
          <w:bCs w:val="0"/>
          <w:sz w:val="24"/>
          <w:szCs w:val="24"/>
        </w:rPr>
        <w:t xml:space="preserve"> </w:t>
      </w:r>
    </w:p>
    <w:p w14:paraId="3FEB5481" w14:textId="77777777" w:rsidR="0077274E" w:rsidRPr="00D91F21" w:rsidRDefault="0077274E" w:rsidP="0077274E">
      <w:pPr>
        <w:pStyle w:val="NoSpacing"/>
        <w:ind w:left="720"/>
        <w:rPr>
          <w:rFonts w:ascii="Times New Roman" w:hAnsi="Times New Roman"/>
          <w:sz w:val="24"/>
          <w:szCs w:val="24"/>
        </w:rPr>
      </w:pPr>
      <w:r>
        <w:rPr>
          <w:rFonts w:ascii="Times New Roman" w:hAnsi="Times New Roman"/>
          <w:sz w:val="24"/>
          <w:szCs w:val="24"/>
        </w:rPr>
        <w:t>“</w:t>
      </w:r>
      <w:r w:rsidRPr="00D91F21">
        <w:rPr>
          <w:rFonts w:ascii="Times New Roman" w:hAnsi="Times New Roman"/>
          <w:sz w:val="24"/>
          <w:szCs w:val="24"/>
        </w:rPr>
        <w:t>As to the First Amendment claim under Section 1983, we agree with the Smiths that they had a First Amendment right, subject to reasonable time, manner and place restrictions, to photograph or videotape police conduct</w:t>
      </w:r>
      <w:r>
        <w:rPr>
          <w:rFonts w:ascii="Times New Roman" w:hAnsi="Times New Roman"/>
          <w:sz w:val="24"/>
          <w:szCs w:val="24"/>
        </w:rPr>
        <w:t xml:space="preserve">. </w:t>
      </w:r>
      <w:r w:rsidRPr="00D91F21">
        <w:rPr>
          <w:rFonts w:ascii="Times New Roman" w:hAnsi="Times New Roman"/>
          <w:sz w:val="24"/>
          <w:szCs w:val="24"/>
        </w:rPr>
        <w:t xml:space="preserve">The First Amendment protects the right to gather information about what public officials do on public property, and specifically, a right to record matters of public </w:t>
      </w:r>
      <w:proofErr w:type="gramStart"/>
      <w:r w:rsidRPr="00D91F21">
        <w:rPr>
          <w:rFonts w:ascii="Times New Roman" w:hAnsi="Times New Roman"/>
          <w:sz w:val="24"/>
          <w:szCs w:val="24"/>
        </w:rPr>
        <w:t>interest.</w:t>
      </w:r>
      <w:r>
        <w:rPr>
          <w:rFonts w:ascii="Times New Roman" w:hAnsi="Times New Roman"/>
          <w:sz w:val="24"/>
          <w:szCs w:val="24"/>
        </w:rPr>
        <w:t>”</w:t>
      </w:r>
      <w:proofErr w:type="gramEnd"/>
    </w:p>
    <w:p w14:paraId="4215B3C0" w14:textId="77777777" w:rsidR="0077274E" w:rsidRPr="00A30885" w:rsidRDefault="0077274E" w:rsidP="0077274E">
      <w:pPr>
        <w:pStyle w:val="Heading1"/>
        <w:ind w:left="720"/>
        <w:rPr>
          <w:b w:val="0"/>
          <w:bCs w:val="0"/>
          <w:sz w:val="24"/>
          <w:szCs w:val="24"/>
        </w:rPr>
      </w:pPr>
      <w:r w:rsidRPr="00A30885">
        <w:rPr>
          <w:b w:val="0"/>
          <w:bCs w:val="0"/>
          <w:sz w:val="24"/>
          <w:szCs w:val="24"/>
        </w:rPr>
        <w:t xml:space="preserve">See the Oct. 5, </w:t>
      </w:r>
      <w:proofErr w:type="gramStart"/>
      <w:r w:rsidRPr="00A30885">
        <w:rPr>
          <w:b w:val="0"/>
          <w:bCs w:val="0"/>
          <w:sz w:val="24"/>
          <w:szCs w:val="24"/>
        </w:rPr>
        <w:t>2018</w:t>
      </w:r>
      <w:proofErr w:type="gramEnd"/>
      <w:r w:rsidRPr="00A30885">
        <w:rPr>
          <w:b w:val="0"/>
          <w:bCs w:val="0"/>
          <w:sz w:val="24"/>
          <w:szCs w:val="24"/>
        </w:rPr>
        <w:t xml:space="preserve"> article, “Federal jury finds Martin sheriff's deputy made illegal seizure when taking crash bystander's phone.”</w:t>
      </w:r>
    </w:p>
    <w:p w14:paraId="559DB340" w14:textId="77777777" w:rsidR="0077274E" w:rsidRPr="0041276B" w:rsidRDefault="0077274E" w:rsidP="0077274E">
      <w:pPr>
        <w:ind w:left="720"/>
        <w:rPr>
          <w:rFonts w:ascii="Times New Roman" w:hAnsi="Times New Roman"/>
          <w:b/>
          <w:bCs/>
          <w:sz w:val="24"/>
          <w:szCs w:val="24"/>
        </w:rPr>
      </w:pPr>
      <w:r w:rsidRPr="00606988">
        <w:rPr>
          <w:rFonts w:ascii="Times New Roman" w:hAnsi="Times New Roman"/>
          <w:sz w:val="24"/>
          <w:szCs w:val="24"/>
        </w:rPr>
        <w:t xml:space="preserve">“The jury of six women and one man in U.S. District Court deliberated for only an hour Wednesday before deciding Deputy Steven Beatty, a 29-year veteran of the Martin County Sheriff’s Office, violated county resident James Crocker's civil rights when the deputy grabbed the traffic accident bystander's cellphone saying any photos taken are state’s evidence.”  </w:t>
      </w:r>
      <w:hyperlink r:id="rId270" w:history="1">
        <w:r w:rsidRPr="0041276B">
          <w:rPr>
            <w:rStyle w:val="Hyperlink"/>
            <w:rFonts w:ascii="Times New Roman" w:hAnsi="Times New Roman"/>
            <w:sz w:val="24"/>
            <w:szCs w:val="24"/>
          </w:rPr>
          <w:t>https://www.tcpalm.com/story/news/crime/st-lucie-county/2018/10/05/verdict-deputy-violated-martin-mans-civil-rights/1526605002/</w:t>
        </w:r>
      </w:hyperlink>
    </w:p>
    <w:p w14:paraId="6CD7BF9F" w14:textId="77777777" w:rsidR="0077274E" w:rsidRDefault="0077274E" w:rsidP="002B1283">
      <w:pPr>
        <w:rPr>
          <w:rFonts w:ascii="Arial Black" w:hAnsi="Arial Black"/>
          <w:b/>
          <w:sz w:val="24"/>
          <w:szCs w:val="24"/>
        </w:rPr>
      </w:pPr>
    </w:p>
    <w:p w14:paraId="71FB7BD7" w14:textId="77777777" w:rsidR="0077274E" w:rsidRDefault="0077274E" w:rsidP="002B1283">
      <w:pPr>
        <w:rPr>
          <w:rFonts w:ascii="Arial Black" w:hAnsi="Arial Black"/>
          <w:b/>
          <w:sz w:val="24"/>
          <w:szCs w:val="24"/>
        </w:rPr>
      </w:pPr>
    </w:p>
    <w:p w14:paraId="6B2D18B6" w14:textId="73C89B52" w:rsidR="000915C1" w:rsidRDefault="000915C1" w:rsidP="002B1283">
      <w:pPr>
        <w:rPr>
          <w:rFonts w:ascii="Arial Black" w:hAnsi="Arial Black"/>
          <w:b/>
          <w:sz w:val="24"/>
          <w:szCs w:val="24"/>
        </w:rPr>
      </w:pPr>
      <w:r>
        <w:rPr>
          <w:rFonts w:ascii="Arial Black" w:hAnsi="Arial Black"/>
          <w:b/>
          <w:sz w:val="24"/>
          <w:szCs w:val="24"/>
        </w:rPr>
        <w:t>1-7</w:t>
      </w:r>
      <w:r w:rsidR="000F483A">
        <w:rPr>
          <w:rFonts w:ascii="Arial Black" w:hAnsi="Arial Black"/>
          <w:b/>
          <w:sz w:val="24"/>
          <w:szCs w:val="24"/>
        </w:rPr>
        <w:t>7</w:t>
      </w:r>
    </w:p>
    <w:p w14:paraId="526953FD" w14:textId="77777777" w:rsidR="000915C1" w:rsidRPr="00B4563E" w:rsidRDefault="000915C1" w:rsidP="000915C1">
      <w:pPr>
        <w:pStyle w:val="NoSpacing"/>
        <w:rPr>
          <w:rFonts w:ascii="Arial Black" w:hAnsi="Arial Black"/>
          <w:sz w:val="28"/>
          <w:szCs w:val="28"/>
        </w:rPr>
      </w:pPr>
      <w:r>
        <w:rPr>
          <w:rFonts w:ascii="Arial Black" w:hAnsi="Arial Black"/>
          <w:sz w:val="28"/>
          <w:szCs w:val="28"/>
        </w:rPr>
        <w:t>U.S. SUP. CT: WOMAN FLEEING POLICE IN CAR – 13 SHOTS BY PD – PLED “NO CONTEST” ASSAULT – CAN ALSO SUE PD</w:t>
      </w:r>
    </w:p>
    <w:p w14:paraId="2DC7F58A" w14:textId="77777777" w:rsidR="000915C1" w:rsidRDefault="000915C1" w:rsidP="000915C1">
      <w:pPr>
        <w:pStyle w:val="NoSpacing"/>
      </w:pPr>
    </w:p>
    <w:p w14:paraId="6B2386CC" w14:textId="77777777" w:rsidR="000915C1" w:rsidRDefault="000915C1" w:rsidP="000915C1">
      <w:pPr>
        <w:pStyle w:val="NoSpacing"/>
        <w:rPr>
          <w:rFonts w:ascii="Times New Roman" w:hAnsi="Times New Roman"/>
          <w:sz w:val="24"/>
          <w:szCs w:val="24"/>
        </w:rPr>
      </w:pPr>
      <w:r w:rsidRPr="00B4563E">
        <w:rPr>
          <w:rFonts w:ascii="Times New Roman" w:hAnsi="Times New Roman"/>
          <w:sz w:val="24"/>
          <w:szCs w:val="24"/>
        </w:rPr>
        <w:t xml:space="preserve">On March 25, 2021, </w:t>
      </w:r>
      <w:r w:rsidRPr="00B4563E">
        <w:rPr>
          <w:rFonts w:ascii="Times New Roman" w:hAnsi="Times New Roman"/>
          <w:sz w:val="24"/>
          <w:szCs w:val="24"/>
          <w:u w:val="single"/>
        </w:rPr>
        <w:t>Roxanne Torres v. Janice Madrid, et al</w:t>
      </w:r>
      <w:r>
        <w:rPr>
          <w:rFonts w:ascii="Times New Roman" w:hAnsi="Times New Roman"/>
          <w:sz w:val="24"/>
          <w:szCs w:val="24"/>
        </w:rPr>
        <w:t>., the U.S. Supreme Court (5 to 3) held that a female who fled from police in vehicle, after being shot in her left arm, who later pled no contest in state court to “assault on a police officer,” “aggravated fleeing from an officer,” and unlawful taking of a motor vehicle,” may still proceed with her lawsuit against federal court against the police officers for violation of 4</w:t>
      </w:r>
      <w:r w:rsidRPr="00CD32CB">
        <w:rPr>
          <w:rFonts w:ascii="Times New Roman" w:hAnsi="Times New Roman"/>
          <w:sz w:val="24"/>
          <w:szCs w:val="24"/>
          <w:vertAlign w:val="superscript"/>
        </w:rPr>
        <w:t>th</w:t>
      </w:r>
      <w:r>
        <w:rPr>
          <w:rFonts w:ascii="Times New Roman" w:hAnsi="Times New Roman"/>
          <w:sz w:val="24"/>
          <w:szCs w:val="24"/>
        </w:rPr>
        <w:t xml:space="preserve"> Amendment protection against unreasonable seizures.   </w:t>
      </w:r>
    </w:p>
    <w:p w14:paraId="4CF72DE1" w14:textId="77777777" w:rsidR="000915C1" w:rsidRDefault="000915C1" w:rsidP="000915C1">
      <w:pPr>
        <w:pStyle w:val="NoSpacing"/>
        <w:rPr>
          <w:rFonts w:ascii="Times New Roman" w:hAnsi="Times New Roman"/>
          <w:sz w:val="24"/>
          <w:szCs w:val="24"/>
        </w:rPr>
      </w:pPr>
    </w:p>
    <w:p w14:paraId="20A3B86D" w14:textId="1DB4DBD3" w:rsidR="000915C1" w:rsidRPr="000915C1" w:rsidRDefault="000915C1" w:rsidP="000915C1">
      <w:pPr>
        <w:pStyle w:val="NoSpacing"/>
        <w:ind w:left="720"/>
        <w:rPr>
          <w:rFonts w:ascii="Times New Roman" w:hAnsi="Times New Roman"/>
          <w:sz w:val="24"/>
          <w:szCs w:val="24"/>
        </w:rPr>
      </w:pPr>
      <w:bookmarkStart w:id="11" w:name="_Hlk68349465"/>
      <w:r>
        <w:rPr>
          <w:rFonts w:ascii="Times New Roman" w:hAnsi="Times New Roman"/>
          <w:sz w:val="24"/>
          <w:szCs w:val="24"/>
        </w:rPr>
        <w:t>MAJORITY: “</w:t>
      </w:r>
      <w:r w:rsidRPr="00B4563E">
        <w:rPr>
          <w:rFonts w:ascii="Times New Roman" w:hAnsi="Times New Roman"/>
          <w:sz w:val="24"/>
          <w:szCs w:val="24"/>
        </w:rPr>
        <w:t>The question in this case is whether a seizure occurs when an officer shoots someone who temporarily eludes capture after the shooting. The answer is yes: The application of physical force to the body of a person with intent to restrain is a seizure, even if</w:t>
      </w:r>
      <w:r>
        <w:rPr>
          <w:rFonts w:ascii="Times New Roman" w:hAnsi="Times New Roman"/>
          <w:sz w:val="24"/>
          <w:szCs w:val="24"/>
        </w:rPr>
        <w:t xml:space="preserve"> </w:t>
      </w:r>
      <w:r w:rsidRPr="00B4563E">
        <w:rPr>
          <w:rFonts w:ascii="Times New Roman" w:hAnsi="Times New Roman"/>
          <w:sz w:val="24"/>
          <w:szCs w:val="24"/>
        </w:rPr>
        <w:t xml:space="preserve">the force </w:t>
      </w:r>
      <w:proofErr w:type="gramStart"/>
      <w:r w:rsidRPr="00B4563E">
        <w:rPr>
          <w:rFonts w:ascii="Times New Roman" w:hAnsi="Times New Roman"/>
          <w:sz w:val="24"/>
          <w:szCs w:val="24"/>
        </w:rPr>
        <w:t>does not succeed</w:t>
      </w:r>
      <w:proofErr w:type="gramEnd"/>
      <w:r w:rsidRPr="00B4563E">
        <w:rPr>
          <w:rFonts w:ascii="Times New Roman" w:hAnsi="Times New Roman"/>
          <w:sz w:val="24"/>
          <w:szCs w:val="24"/>
        </w:rPr>
        <w:t xml:space="preserve"> in subduing the </w:t>
      </w:r>
      <w:proofErr w:type="gramStart"/>
      <w:r w:rsidRPr="00B4563E">
        <w:rPr>
          <w:rFonts w:ascii="Times New Roman" w:hAnsi="Times New Roman"/>
          <w:sz w:val="24"/>
          <w:szCs w:val="24"/>
        </w:rPr>
        <w:t>person.</w:t>
      </w:r>
      <w:r>
        <w:rPr>
          <w:rFonts w:ascii="Times New Roman" w:hAnsi="Times New Roman"/>
          <w:sz w:val="24"/>
          <w:szCs w:val="24"/>
        </w:rPr>
        <w:t>”</w:t>
      </w:r>
      <w:proofErr w:type="gramEnd"/>
      <w:r>
        <w:rPr>
          <w:rFonts w:ascii="Times New Roman" w:hAnsi="Times New Roman"/>
          <w:sz w:val="24"/>
          <w:szCs w:val="24"/>
        </w:rPr>
        <w:t xml:space="preserve"> </w:t>
      </w:r>
      <w:hyperlink r:id="rId271" w:history="1">
        <w:r w:rsidRPr="000915C1">
          <w:rPr>
            <w:rStyle w:val="Hyperlink"/>
            <w:rFonts w:ascii="Times New Roman" w:hAnsi="Times New Roman"/>
            <w:sz w:val="24"/>
            <w:szCs w:val="24"/>
          </w:rPr>
          <w:t>https://www.supremecourt.gov/opinions/20pdf/19-292_21p3.pdf</w:t>
        </w:r>
      </w:hyperlink>
      <w:r w:rsidRPr="000915C1">
        <w:rPr>
          <w:rFonts w:ascii="Times New Roman" w:hAnsi="Times New Roman"/>
          <w:sz w:val="24"/>
          <w:szCs w:val="24"/>
        </w:rPr>
        <w:t xml:space="preserve"> </w:t>
      </w:r>
    </w:p>
    <w:p w14:paraId="627A3A74" w14:textId="77777777" w:rsidR="000915C1" w:rsidRDefault="000915C1" w:rsidP="000915C1">
      <w:pPr>
        <w:pStyle w:val="NoSpacing"/>
        <w:ind w:left="720"/>
        <w:rPr>
          <w:rFonts w:ascii="Times New Roman" w:hAnsi="Times New Roman"/>
          <w:sz w:val="24"/>
          <w:szCs w:val="24"/>
        </w:rPr>
      </w:pPr>
    </w:p>
    <w:p w14:paraId="0621552D" w14:textId="7BFD1A21" w:rsidR="000915C1" w:rsidRDefault="000915C1" w:rsidP="000915C1">
      <w:pPr>
        <w:pStyle w:val="NoSpacing"/>
        <w:ind w:left="720"/>
        <w:rPr>
          <w:rFonts w:ascii="Times New Roman" w:eastAsia="Times New Roman" w:hAnsi="Times New Roman"/>
          <w:b/>
          <w:bCs/>
          <w:sz w:val="24"/>
          <w:szCs w:val="24"/>
        </w:rPr>
      </w:pPr>
      <w:r w:rsidRPr="00D225BD">
        <w:rPr>
          <w:rFonts w:ascii="Times New Roman" w:hAnsi="Times New Roman"/>
          <w:sz w:val="24"/>
          <w:szCs w:val="24"/>
        </w:rPr>
        <w:lastRenderedPageBreak/>
        <w:t xml:space="preserve">DISSENT: “A fleeing suspect briefly touched by pursuing officers may have a claim. But a suspect who evades a hail of bullets unscathed, or one who endures a series of flash-bang grenades untouched, is out of luck. That distinction is no less </w:t>
      </w:r>
      <w:r>
        <w:rPr>
          <w:rFonts w:ascii="Times New Roman" w:hAnsi="Times New Roman"/>
          <w:sz w:val="24"/>
          <w:szCs w:val="24"/>
        </w:rPr>
        <w:t>‘</w:t>
      </w:r>
      <w:r w:rsidRPr="00D225BD">
        <w:rPr>
          <w:rFonts w:ascii="Times New Roman" w:hAnsi="Times New Roman"/>
          <w:sz w:val="24"/>
          <w:szCs w:val="24"/>
        </w:rPr>
        <w:t>artificial</w:t>
      </w:r>
      <w:r>
        <w:rPr>
          <w:rFonts w:ascii="Times New Roman" w:hAnsi="Times New Roman"/>
          <w:sz w:val="24"/>
          <w:szCs w:val="24"/>
        </w:rPr>
        <w:t>’</w:t>
      </w:r>
      <w:r w:rsidRPr="00D225BD">
        <w:rPr>
          <w:rFonts w:ascii="Times New Roman" w:hAnsi="Times New Roman"/>
          <w:sz w:val="24"/>
          <w:szCs w:val="24"/>
        </w:rPr>
        <w:t xml:space="preserve"> than the one the law has recognized for centuries. And the majority’s new rule promises such scarce relief that it can hardly claim more sensitivity to </w:t>
      </w:r>
      <w:r>
        <w:rPr>
          <w:rFonts w:ascii="Times New Roman" w:hAnsi="Times New Roman"/>
          <w:sz w:val="24"/>
          <w:szCs w:val="24"/>
        </w:rPr>
        <w:t>‘</w:t>
      </w:r>
      <w:r w:rsidRPr="00D225BD">
        <w:rPr>
          <w:rFonts w:ascii="Times New Roman" w:hAnsi="Times New Roman"/>
          <w:sz w:val="24"/>
          <w:szCs w:val="24"/>
        </w:rPr>
        <w:t>personal security</w:t>
      </w:r>
      <w:r>
        <w:rPr>
          <w:rFonts w:ascii="Times New Roman" w:hAnsi="Times New Roman"/>
          <w:sz w:val="24"/>
          <w:szCs w:val="24"/>
        </w:rPr>
        <w:t xml:space="preserve">’ </w:t>
      </w:r>
      <w:r w:rsidRPr="00D225BD">
        <w:rPr>
          <w:rFonts w:ascii="Times New Roman" w:hAnsi="Times New Roman"/>
          <w:sz w:val="24"/>
          <w:szCs w:val="24"/>
        </w:rPr>
        <w:t xml:space="preserve">than the rule the Constitution has long </w:t>
      </w:r>
      <w:proofErr w:type="gramStart"/>
      <w:r w:rsidRPr="00D225BD">
        <w:rPr>
          <w:rFonts w:ascii="Times New Roman" w:hAnsi="Times New Roman"/>
          <w:sz w:val="24"/>
          <w:szCs w:val="24"/>
        </w:rPr>
        <w:t>enshrined.</w:t>
      </w:r>
      <w:r>
        <w:rPr>
          <w:rFonts w:ascii="Times New Roman" w:eastAsia="Times New Roman" w:hAnsi="Times New Roman"/>
          <w:b/>
          <w:bCs/>
          <w:sz w:val="24"/>
          <w:szCs w:val="24"/>
        </w:rPr>
        <w:t>”</w:t>
      </w:r>
      <w:proofErr w:type="gramEnd"/>
      <w:r>
        <w:rPr>
          <w:rFonts w:ascii="Times New Roman" w:eastAsia="Times New Roman" w:hAnsi="Times New Roman"/>
          <w:b/>
          <w:bCs/>
          <w:sz w:val="24"/>
          <w:szCs w:val="24"/>
        </w:rPr>
        <w:t xml:space="preserve"> </w:t>
      </w:r>
    </w:p>
    <w:p w14:paraId="37E06D08" w14:textId="4EE56772" w:rsidR="000915C1" w:rsidRDefault="000915C1" w:rsidP="000915C1">
      <w:pPr>
        <w:pStyle w:val="NoSpacing"/>
        <w:ind w:left="1440"/>
        <w:rPr>
          <w:rFonts w:ascii="Times New Roman" w:hAnsi="Times New Roman"/>
          <w:sz w:val="24"/>
          <w:szCs w:val="24"/>
        </w:rPr>
      </w:pPr>
    </w:p>
    <w:p w14:paraId="309DB84F" w14:textId="77777777" w:rsidR="000915C1" w:rsidRPr="00CA7A75" w:rsidRDefault="000915C1" w:rsidP="000915C1">
      <w:pPr>
        <w:spacing w:before="100" w:beforeAutospacing="1" w:after="100" w:afterAutospacing="1" w:line="240" w:lineRule="auto"/>
        <w:rPr>
          <w:rFonts w:ascii="Times New Roman" w:hAnsi="Times New Roman"/>
          <w:b/>
          <w:bCs/>
          <w:sz w:val="24"/>
          <w:szCs w:val="24"/>
        </w:rPr>
      </w:pPr>
      <w:r w:rsidRPr="00CA7A75">
        <w:rPr>
          <w:rFonts w:ascii="Times New Roman" w:hAnsi="Times New Roman"/>
          <w:b/>
          <w:bCs/>
          <w:sz w:val="24"/>
          <w:szCs w:val="24"/>
        </w:rPr>
        <w:t>Legal Lesson Learned:</w:t>
      </w:r>
      <w:r>
        <w:rPr>
          <w:rFonts w:ascii="Times New Roman" w:hAnsi="Times New Roman"/>
          <w:b/>
          <w:bCs/>
          <w:sz w:val="24"/>
          <w:szCs w:val="24"/>
        </w:rPr>
        <w:t xml:space="preserve"> The Majority decision certainly </w:t>
      </w:r>
      <w:proofErr w:type="gramStart"/>
      <w:r>
        <w:rPr>
          <w:rFonts w:ascii="Times New Roman" w:hAnsi="Times New Roman"/>
          <w:b/>
          <w:bCs/>
          <w:sz w:val="24"/>
          <w:szCs w:val="24"/>
        </w:rPr>
        <w:t>opens up</w:t>
      </w:r>
      <w:proofErr w:type="gramEnd"/>
      <w:r>
        <w:rPr>
          <w:rFonts w:ascii="Times New Roman" w:hAnsi="Times New Roman"/>
          <w:b/>
          <w:bCs/>
          <w:sz w:val="24"/>
          <w:szCs w:val="24"/>
        </w:rPr>
        <w:t xml:space="preserve"> Federal courts to more lawsuits for alleged violation of Constitutional rights, including plaintiffs who have pled guilty or no contest to assaulting the police officers they are now suing. </w:t>
      </w:r>
    </w:p>
    <w:p w14:paraId="2DB47E80" w14:textId="77777777" w:rsidR="000915C1" w:rsidRDefault="000915C1" w:rsidP="000915C1">
      <w:pPr>
        <w:pStyle w:val="Heading1"/>
        <w:ind w:left="720"/>
        <w:rPr>
          <w:b w:val="0"/>
          <w:bCs w:val="0"/>
          <w:sz w:val="24"/>
          <w:szCs w:val="24"/>
        </w:rPr>
      </w:pPr>
      <w:r w:rsidRPr="00D406C0">
        <w:rPr>
          <w:b w:val="0"/>
          <w:bCs w:val="0"/>
          <w:sz w:val="24"/>
          <w:szCs w:val="24"/>
        </w:rPr>
        <w:t xml:space="preserve">Note: Case </w:t>
      </w:r>
      <w:proofErr w:type="gramStart"/>
      <w:r w:rsidRPr="00D406C0">
        <w:rPr>
          <w:b w:val="0"/>
          <w:bCs w:val="0"/>
          <w:sz w:val="24"/>
          <w:szCs w:val="24"/>
        </w:rPr>
        <w:t>made</w:t>
      </w:r>
      <w:proofErr w:type="gramEnd"/>
      <w:r w:rsidRPr="00D406C0">
        <w:rPr>
          <w:b w:val="0"/>
          <w:bCs w:val="0"/>
          <w:sz w:val="24"/>
          <w:szCs w:val="24"/>
        </w:rPr>
        <w:t xml:space="preserve"> national news</w:t>
      </w:r>
      <w:r>
        <w:rPr>
          <w:b w:val="0"/>
          <w:bCs w:val="0"/>
          <w:sz w:val="24"/>
          <w:szCs w:val="24"/>
        </w:rPr>
        <w:t>.</w:t>
      </w:r>
    </w:p>
    <w:p w14:paraId="0065B923" w14:textId="77777777" w:rsidR="000915C1" w:rsidRPr="00840EF8" w:rsidRDefault="000915C1" w:rsidP="000915C1">
      <w:pPr>
        <w:pStyle w:val="NoSpacing"/>
        <w:ind w:left="720"/>
        <w:rPr>
          <w:rFonts w:ascii="Times New Roman" w:hAnsi="Times New Roman"/>
          <w:sz w:val="24"/>
          <w:szCs w:val="24"/>
        </w:rPr>
      </w:pPr>
      <w:r w:rsidRPr="00840EF8">
        <w:rPr>
          <w:rFonts w:ascii="Times New Roman" w:hAnsi="Times New Roman"/>
          <w:sz w:val="24"/>
          <w:szCs w:val="24"/>
        </w:rPr>
        <w:t xml:space="preserve">“Supreme Court Dips Gingerly </w:t>
      </w:r>
      <w:proofErr w:type="gramStart"/>
      <w:r w:rsidRPr="00840EF8">
        <w:rPr>
          <w:rFonts w:ascii="Times New Roman" w:hAnsi="Times New Roman"/>
          <w:sz w:val="24"/>
          <w:szCs w:val="24"/>
        </w:rPr>
        <w:t>Into</w:t>
      </w:r>
      <w:proofErr w:type="gramEnd"/>
      <w:r w:rsidRPr="00840EF8">
        <w:rPr>
          <w:rFonts w:ascii="Times New Roman" w:hAnsi="Times New Roman"/>
          <w:sz w:val="24"/>
          <w:szCs w:val="24"/>
        </w:rPr>
        <w:t xml:space="preserve"> Roiling Police Misconduct Waters.” (March 25, 2021) </w:t>
      </w:r>
      <w:hyperlink r:id="rId272" w:history="1">
        <w:r w:rsidRPr="00840EF8">
          <w:rPr>
            <w:rStyle w:val="Hyperlink"/>
            <w:sz w:val="24"/>
            <w:szCs w:val="24"/>
          </w:rPr>
          <w:t>https://www.npr.org/2021/03/25/981297231/supreme-court-dips-gingerly-into-roiling-police-misconduct-waters</w:t>
        </w:r>
      </w:hyperlink>
      <w:r w:rsidRPr="00840EF8">
        <w:rPr>
          <w:rFonts w:ascii="Times New Roman" w:hAnsi="Times New Roman"/>
          <w:sz w:val="24"/>
          <w:szCs w:val="24"/>
        </w:rPr>
        <w:t xml:space="preserve"> </w:t>
      </w:r>
    </w:p>
    <w:p w14:paraId="597C35E0" w14:textId="77777777" w:rsidR="000915C1" w:rsidRDefault="000915C1" w:rsidP="000915C1">
      <w:pPr>
        <w:pStyle w:val="NoSpacing"/>
        <w:ind w:left="720"/>
      </w:pPr>
    </w:p>
    <w:p w14:paraId="0D2BBB21" w14:textId="77777777" w:rsidR="000915C1" w:rsidRPr="00D406C0" w:rsidRDefault="000915C1" w:rsidP="000915C1">
      <w:pPr>
        <w:pStyle w:val="NoSpacing"/>
        <w:ind w:left="720"/>
        <w:rPr>
          <w:rFonts w:ascii="Times New Roman" w:hAnsi="Times New Roman"/>
          <w:sz w:val="24"/>
          <w:szCs w:val="24"/>
        </w:rPr>
      </w:pPr>
      <w:r w:rsidRPr="00D406C0">
        <w:rPr>
          <w:rFonts w:ascii="Times New Roman" w:hAnsi="Times New Roman"/>
          <w:sz w:val="24"/>
          <w:szCs w:val="24"/>
        </w:rPr>
        <w:t xml:space="preserve">“'Nothing subtle about a bullet': Supreme Court says police 'seizure' includes shots fired at fleeing suspect.” </w:t>
      </w:r>
      <w:r>
        <w:rPr>
          <w:rFonts w:ascii="Times New Roman" w:hAnsi="Times New Roman"/>
          <w:sz w:val="24"/>
          <w:szCs w:val="24"/>
        </w:rPr>
        <w:t xml:space="preserve">(March 25, 2021) </w:t>
      </w:r>
      <w:hyperlink r:id="rId273" w:history="1">
        <w:r w:rsidRPr="00D60E44">
          <w:rPr>
            <w:rStyle w:val="Hyperlink"/>
            <w:sz w:val="24"/>
            <w:szCs w:val="24"/>
          </w:rPr>
          <w:t>https://www.usatoday.com/story/news/politics/2021/03/25/supreme-court-police-seizure-includes-shots-fired-fleeing-suspect/6995659002/</w:t>
        </w:r>
      </w:hyperlink>
      <w:r w:rsidRPr="00D406C0">
        <w:rPr>
          <w:rFonts w:ascii="Times New Roman" w:hAnsi="Times New Roman"/>
          <w:sz w:val="24"/>
          <w:szCs w:val="24"/>
        </w:rPr>
        <w:t xml:space="preserve"> </w:t>
      </w:r>
    </w:p>
    <w:p w14:paraId="61B6A04D" w14:textId="77777777" w:rsidR="000915C1" w:rsidRPr="00D406C0" w:rsidRDefault="000915C1" w:rsidP="000915C1">
      <w:pPr>
        <w:pStyle w:val="Heading1"/>
        <w:ind w:left="720"/>
        <w:rPr>
          <w:b w:val="0"/>
          <w:bCs w:val="0"/>
          <w:sz w:val="24"/>
          <w:szCs w:val="24"/>
        </w:rPr>
      </w:pPr>
      <w:r w:rsidRPr="00D406C0">
        <w:rPr>
          <w:b w:val="0"/>
          <w:bCs w:val="0"/>
          <w:sz w:val="24"/>
          <w:szCs w:val="24"/>
        </w:rPr>
        <w:t xml:space="preserve"> “Supreme Court sides with New Mexico woman shot by police while fleeing.” </w:t>
      </w:r>
      <w:r>
        <w:rPr>
          <w:b w:val="0"/>
          <w:bCs w:val="0"/>
          <w:sz w:val="24"/>
          <w:szCs w:val="24"/>
        </w:rPr>
        <w:t xml:space="preserve">(March 25, 2021) </w:t>
      </w:r>
      <w:hyperlink r:id="rId274" w:history="1">
        <w:r w:rsidRPr="00D60E44">
          <w:rPr>
            <w:rStyle w:val="Hyperlink"/>
            <w:sz w:val="24"/>
            <w:szCs w:val="24"/>
          </w:rPr>
          <w:t>https://ktla.com/news/nationworld/supreme-court-sides-with-new-mexico-woman-shot-by-police-while-fleeing/</w:t>
        </w:r>
      </w:hyperlink>
      <w:r w:rsidRPr="00D406C0">
        <w:rPr>
          <w:b w:val="0"/>
          <w:bCs w:val="0"/>
          <w:sz w:val="24"/>
          <w:szCs w:val="24"/>
        </w:rPr>
        <w:t xml:space="preserve"> </w:t>
      </w:r>
    </w:p>
    <w:p w14:paraId="51BE60B2" w14:textId="77777777" w:rsidR="000915C1" w:rsidRDefault="000915C1" w:rsidP="000915C1">
      <w:pPr>
        <w:pStyle w:val="NoSpacing"/>
        <w:ind w:left="1440"/>
        <w:rPr>
          <w:rFonts w:ascii="Times New Roman" w:hAnsi="Times New Roman"/>
          <w:sz w:val="24"/>
          <w:szCs w:val="24"/>
        </w:rPr>
      </w:pPr>
    </w:p>
    <w:bookmarkEnd w:id="11"/>
    <w:p w14:paraId="527114F4" w14:textId="77777777" w:rsidR="000915C1" w:rsidRDefault="000915C1" w:rsidP="002B1283">
      <w:pPr>
        <w:rPr>
          <w:rFonts w:ascii="Arial Black" w:hAnsi="Arial Black"/>
          <w:b/>
          <w:sz w:val="24"/>
          <w:szCs w:val="24"/>
        </w:rPr>
      </w:pPr>
    </w:p>
    <w:p w14:paraId="065E246C" w14:textId="4DC824D8" w:rsidR="000915C1" w:rsidRDefault="000915C1" w:rsidP="002B1283">
      <w:pPr>
        <w:rPr>
          <w:rFonts w:ascii="Arial Black" w:hAnsi="Arial Black"/>
          <w:b/>
          <w:sz w:val="24"/>
          <w:szCs w:val="24"/>
        </w:rPr>
      </w:pPr>
      <w:r>
        <w:rPr>
          <w:rFonts w:ascii="Arial Black" w:hAnsi="Arial Black"/>
          <w:b/>
          <w:sz w:val="24"/>
          <w:szCs w:val="24"/>
        </w:rPr>
        <w:t>1-7</w:t>
      </w:r>
      <w:r w:rsidR="000F483A">
        <w:rPr>
          <w:rFonts w:ascii="Arial Black" w:hAnsi="Arial Black"/>
          <w:b/>
          <w:sz w:val="24"/>
          <w:szCs w:val="24"/>
        </w:rPr>
        <w:t>6</w:t>
      </w:r>
    </w:p>
    <w:p w14:paraId="772298AE" w14:textId="77777777" w:rsidR="000915C1" w:rsidRPr="00AA0D4F" w:rsidRDefault="000915C1" w:rsidP="000915C1">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WI:  PROPERTY OWNER BURNING DEBRIS WITHOUT PERMIT - FOREST PROTECTION AREA – CITATION UPHELD </w:t>
      </w:r>
    </w:p>
    <w:p w14:paraId="05484C04" w14:textId="77777777" w:rsidR="000915C1" w:rsidRDefault="000915C1" w:rsidP="000915C1">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March 4, 2021, in </w:t>
      </w:r>
      <w:r w:rsidRPr="00CE7812">
        <w:rPr>
          <w:rFonts w:ascii="Times New Roman" w:eastAsia="Times New Roman" w:hAnsi="Times New Roman"/>
          <w:sz w:val="24"/>
          <w:szCs w:val="24"/>
          <w:u w:val="single"/>
        </w:rPr>
        <w:t>State of Wisconsin v. Greg D. Griswold</w:t>
      </w:r>
      <w:r>
        <w:rPr>
          <w:rFonts w:ascii="Times New Roman" w:eastAsia="Times New Roman" w:hAnsi="Times New Roman"/>
          <w:sz w:val="24"/>
          <w:szCs w:val="24"/>
        </w:rPr>
        <w:t xml:space="preserve">, the State of Wisconsin Court of Appeals (District IV) held [one judge decision] that the trial court properly concluded the property owner did not show he was burning debris from his house, that had been destroyed by fire, for the purpose of warmth.  The Appeals judge agreed with the trial judge – he was burning wood at 8 pm on May 4 not to keep warm; he was simply avoiding cost of taking debris to the dump.  </w:t>
      </w:r>
    </w:p>
    <w:p w14:paraId="4198F238" w14:textId="77777777" w:rsidR="000915C1" w:rsidRDefault="000915C1" w:rsidP="000915C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AA0D4F">
        <w:rPr>
          <w:rFonts w:ascii="Times New Roman" w:eastAsia="Times New Roman" w:hAnsi="Times New Roman"/>
          <w:sz w:val="24"/>
          <w:szCs w:val="24"/>
        </w:rPr>
        <w:t>Greg Griswold appeals pro se from a judgment of conviction of a civil forfeiture, which was entered after the circuit court found him</w:t>
      </w:r>
      <w:r>
        <w:rPr>
          <w:rFonts w:ascii="Times New Roman" w:eastAsia="Times New Roman" w:hAnsi="Times New Roman"/>
          <w:sz w:val="24"/>
          <w:szCs w:val="24"/>
        </w:rPr>
        <w:t xml:space="preserve"> </w:t>
      </w:r>
      <w:r w:rsidRPr="00AA0D4F">
        <w:rPr>
          <w:rFonts w:ascii="Times New Roman" w:eastAsia="Times New Roman" w:hAnsi="Times New Roman"/>
          <w:sz w:val="24"/>
          <w:szCs w:val="24"/>
        </w:rPr>
        <w:t>guilty of violating WIS. STAT. § 26.12(5)(b). That statute prohibits setting unpermitted fires in certain areas of the state, but it contains an exception for fires that are set "for warming the person." Griswold contends that his fire fits within this exception, but I conclude that the trial evidence is sufficient to sustain the court's finding that it did not. Accordingly, I affirm.</w:t>
      </w:r>
      <w:r>
        <w:rPr>
          <w:rFonts w:ascii="Times New Roman" w:eastAsia="Times New Roman" w:hAnsi="Times New Roman"/>
          <w:sz w:val="24"/>
          <w:szCs w:val="24"/>
        </w:rPr>
        <w:t xml:space="preserve">” </w:t>
      </w:r>
      <w:hyperlink r:id="rId275" w:history="1">
        <w:r w:rsidRPr="00B568EC">
          <w:rPr>
            <w:rStyle w:val="Hyperlink"/>
            <w:rFonts w:ascii="Times New Roman" w:eastAsia="Times New Roman" w:hAnsi="Times New Roman"/>
            <w:sz w:val="24"/>
            <w:szCs w:val="24"/>
          </w:rPr>
          <w:t>https://www.wicourts.gov/ca/opinion/DisplayDocument.pdf?content=pdf&amp;seqNo=342440</w:t>
        </w:r>
      </w:hyperlink>
      <w:r>
        <w:rPr>
          <w:rFonts w:ascii="Times New Roman" w:eastAsia="Times New Roman" w:hAnsi="Times New Roman"/>
          <w:sz w:val="24"/>
          <w:szCs w:val="24"/>
        </w:rPr>
        <w:t xml:space="preserve"> </w:t>
      </w:r>
    </w:p>
    <w:p w14:paraId="2AFBBB8F" w14:textId="77777777" w:rsidR="000915C1" w:rsidRPr="006D6C21" w:rsidRDefault="000915C1" w:rsidP="000915C1">
      <w:pPr>
        <w:spacing w:before="100" w:beforeAutospacing="1" w:after="100" w:afterAutospacing="1" w:line="240" w:lineRule="auto"/>
        <w:rPr>
          <w:rFonts w:ascii="Times New Roman" w:eastAsia="Times New Roman" w:hAnsi="Times New Roman"/>
          <w:b/>
          <w:bCs/>
          <w:sz w:val="24"/>
          <w:szCs w:val="24"/>
        </w:rPr>
      </w:pPr>
      <w:r w:rsidRPr="006D6C21">
        <w:rPr>
          <w:rFonts w:ascii="Times New Roman" w:hAnsi="Times New Roman"/>
          <w:b/>
          <w:bCs/>
          <w:sz w:val="24"/>
          <w:szCs w:val="24"/>
        </w:rPr>
        <w:t>Legal Lesson Learned:</w:t>
      </w:r>
      <w:r>
        <w:rPr>
          <w:rFonts w:ascii="Times New Roman" w:hAnsi="Times New Roman"/>
          <w:b/>
          <w:bCs/>
          <w:sz w:val="24"/>
          <w:szCs w:val="24"/>
        </w:rPr>
        <w:t xml:space="preserve"> Citation upheld; good work by the Fire Chief and the Department of Natural Resources. </w:t>
      </w:r>
    </w:p>
    <w:p w14:paraId="16572B41" w14:textId="79D07F7A" w:rsidR="000915C1" w:rsidRPr="00CE7812" w:rsidRDefault="000915C1" w:rsidP="000915C1">
      <w:pPr>
        <w:spacing w:before="100" w:beforeAutospacing="1" w:after="100" w:afterAutospacing="1" w:line="240" w:lineRule="auto"/>
        <w:ind w:left="720"/>
        <w:rPr>
          <w:rFonts w:ascii="Times New Roman" w:eastAsia="Times New Roman" w:hAnsi="Times New Roman"/>
          <w:sz w:val="24"/>
          <w:szCs w:val="24"/>
        </w:rPr>
      </w:pPr>
      <w:bookmarkStart w:id="12" w:name="_Hlk68349328"/>
      <w:r>
        <w:rPr>
          <w:rFonts w:ascii="Times New Roman" w:eastAsia="Times New Roman" w:hAnsi="Times New Roman"/>
          <w:sz w:val="24"/>
          <w:szCs w:val="24"/>
        </w:rPr>
        <w:lastRenderedPageBreak/>
        <w:t>Note: “</w:t>
      </w:r>
      <w:r w:rsidRPr="00CE7812">
        <w:rPr>
          <w:rFonts w:ascii="Times New Roman" w:hAnsi="Times New Roman"/>
          <w:sz w:val="24"/>
          <w:szCs w:val="24"/>
        </w:rPr>
        <w:t>There was also testimony that, even if Griswold had had a permit, the fire would have violated the statewide burn ban that was in effect at the time due to the COVID-19 pandemic. We address this testimony no further, since neither the citation that was issued nor the circuit court's judgment of conviction were based on any statewide burn ban. Both were based on a violation of WIS. STAT. § 26.12(5)(b).</w:t>
      </w:r>
      <w:r>
        <w:rPr>
          <w:rFonts w:ascii="Times New Roman" w:hAnsi="Times New Roman"/>
          <w:sz w:val="24"/>
          <w:szCs w:val="24"/>
        </w:rPr>
        <w:t xml:space="preserve">”  </w:t>
      </w:r>
      <w:hyperlink r:id="rId276" w:history="1">
        <w:r w:rsidRPr="00B568EC">
          <w:rPr>
            <w:rStyle w:val="Hyperlink"/>
            <w:rFonts w:ascii="Times New Roman" w:eastAsia="Times New Roman" w:hAnsi="Times New Roman"/>
            <w:sz w:val="24"/>
            <w:szCs w:val="24"/>
          </w:rPr>
          <w:t>https://www.wicourts.gov/ca/opinion/DisplayDocument.pdf?content=pdf&amp;seqNo=342440</w:t>
        </w:r>
      </w:hyperlink>
    </w:p>
    <w:bookmarkEnd w:id="12"/>
    <w:p w14:paraId="763F5812" w14:textId="77777777" w:rsidR="000915C1" w:rsidRDefault="000915C1" w:rsidP="002B1283">
      <w:pPr>
        <w:rPr>
          <w:rFonts w:ascii="Arial Black" w:hAnsi="Arial Black"/>
          <w:b/>
          <w:sz w:val="24"/>
          <w:szCs w:val="24"/>
        </w:rPr>
      </w:pPr>
    </w:p>
    <w:p w14:paraId="1AB63588" w14:textId="77777777" w:rsidR="000915C1" w:rsidRDefault="000915C1" w:rsidP="002B1283">
      <w:pPr>
        <w:rPr>
          <w:rFonts w:ascii="Arial Black" w:hAnsi="Arial Black"/>
          <w:b/>
          <w:sz w:val="24"/>
          <w:szCs w:val="24"/>
        </w:rPr>
      </w:pPr>
    </w:p>
    <w:p w14:paraId="2046FA60" w14:textId="26F89856" w:rsidR="00CD5950" w:rsidRDefault="00CD5950" w:rsidP="002B1283">
      <w:pPr>
        <w:rPr>
          <w:rFonts w:ascii="Arial Black" w:hAnsi="Arial Black"/>
          <w:b/>
          <w:sz w:val="24"/>
          <w:szCs w:val="24"/>
        </w:rPr>
      </w:pPr>
      <w:r>
        <w:rPr>
          <w:rFonts w:ascii="Arial Black" w:hAnsi="Arial Black"/>
          <w:b/>
          <w:sz w:val="24"/>
          <w:szCs w:val="24"/>
        </w:rPr>
        <w:t>1-7</w:t>
      </w:r>
      <w:r w:rsidR="000F483A">
        <w:rPr>
          <w:rFonts w:ascii="Arial Black" w:hAnsi="Arial Black"/>
          <w:b/>
          <w:sz w:val="24"/>
          <w:szCs w:val="24"/>
        </w:rPr>
        <w:t>5</w:t>
      </w:r>
    </w:p>
    <w:p w14:paraId="306E032D" w14:textId="77777777" w:rsidR="00CD5950" w:rsidRPr="001D0C68" w:rsidRDefault="00CD5950" w:rsidP="00CD5950">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IA: CITY CODE OFFICER NOT PROTECTED 1</w:t>
      </w:r>
      <w:r w:rsidRPr="00EA2DE7">
        <w:rPr>
          <w:rFonts w:ascii="Arial Black" w:eastAsia="Times New Roman" w:hAnsi="Arial Black"/>
          <w:b/>
          <w:bCs/>
          <w:sz w:val="28"/>
          <w:szCs w:val="28"/>
          <w:vertAlign w:val="superscript"/>
        </w:rPr>
        <w:t>St</w:t>
      </w:r>
      <w:r>
        <w:rPr>
          <w:rFonts w:ascii="Arial Black" w:eastAsia="Times New Roman" w:hAnsi="Arial Black"/>
          <w:b/>
          <w:bCs/>
          <w:sz w:val="28"/>
          <w:szCs w:val="28"/>
        </w:rPr>
        <w:t xml:space="preserve"> AMENDMENT “FREEDOM OF SPEECH” – OFFICIAL DUTIES - FIRED   </w:t>
      </w:r>
    </w:p>
    <w:p w14:paraId="077CA167" w14:textId="77777777" w:rsidR="00CD5950" w:rsidRDefault="00CD5950" w:rsidP="00CD5950">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Feb. 24, 2021, in </w:t>
      </w:r>
      <w:r w:rsidRPr="0019521C">
        <w:rPr>
          <w:rFonts w:ascii="Times New Roman" w:eastAsia="Times New Roman" w:hAnsi="Times New Roman"/>
          <w:sz w:val="24"/>
          <w:szCs w:val="24"/>
          <w:u w:val="single"/>
        </w:rPr>
        <w:t>David R. Christensen v. City of Sergeant Bluff</w:t>
      </w:r>
      <w:r>
        <w:rPr>
          <w:rFonts w:ascii="Times New Roman" w:eastAsia="Times New Roman" w:hAnsi="Times New Roman"/>
          <w:sz w:val="24"/>
          <w:szCs w:val="24"/>
        </w:rPr>
        <w:t xml:space="preserve">, U.S. District Court Chief Judge Leonard T. Strand, U.S. District Court for the Northern District of Iowa (Western District), granted the city’s motion for summary judgment.   City was installing underground wiring to 220 duplex houses and agreed to not require any city permits. State Fire Marshall informed the city that all meter installations had to be approved by a state inspector, since plaintiff didn’t have electrical certification.   Plaintiff is not protected under First Amendment freedom of speech since his job duties include reporting possible code violations to state officials.  Case </w:t>
      </w:r>
      <w:proofErr w:type="gramStart"/>
      <w:r>
        <w:rPr>
          <w:rFonts w:ascii="Times New Roman" w:eastAsia="Times New Roman" w:hAnsi="Times New Roman"/>
          <w:sz w:val="24"/>
          <w:szCs w:val="24"/>
        </w:rPr>
        <w:t>remanded</w:t>
      </w:r>
      <w:proofErr w:type="gramEnd"/>
      <w:r>
        <w:rPr>
          <w:rFonts w:ascii="Times New Roman" w:eastAsia="Times New Roman" w:hAnsi="Times New Roman"/>
          <w:sz w:val="24"/>
          <w:szCs w:val="24"/>
        </w:rPr>
        <w:t xml:space="preserve"> to state court on his claims of violation of Iowa whistleblower and state code enforcement laws. </w:t>
      </w:r>
    </w:p>
    <w:p w14:paraId="5348ADE8" w14:textId="77777777" w:rsidR="00CD5950" w:rsidRPr="00710662" w:rsidRDefault="00CD5950" w:rsidP="00CD5950">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“[S]</w:t>
      </w:r>
      <w:r w:rsidRPr="00710662">
        <w:rPr>
          <w:rFonts w:ascii="Times New Roman" w:hAnsi="Times New Roman"/>
          <w:sz w:val="24"/>
          <w:szCs w:val="24"/>
        </w:rPr>
        <w:t xml:space="preserve">ee </w:t>
      </w:r>
      <w:r>
        <w:rPr>
          <w:rFonts w:ascii="Times New Roman" w:hAnsi="Times New Roman"/>
          <w:sz w:val="24"/>
          <w:szCs w:val="24"/>
        </w:rPr>
        <w:t xml:space="preserve">also </w:t>
      </w:r>
      <w:r w:rsidRPr="00710662">
        <w:rPr>
          <w:rFonts w:ascii="Times New Roman" w:hAnsi="Times New Roman"/>
          <w:sz w:val="24"/>
          <w:szCs w:val="24"/>
        </w:rPr>
        <w:t>Garcetti v. Ceballos, 547 U.S. 410, 421 (2006) "We hold that when public employees make statements pursuant to their official duties, the employees are not speaking as citizens for first Amendment purposes, and the Constitution does not insulate their communications from employer discipline."</w:t>
      </w:r>
    </w:p>
    <w:p w14:paraId="26446DAE" w14:textId="77777777" w:rsidR="00CD5950" w:rsidRPr="00BE4A1E" w:rsidRDefault="00CD5950" w:rsidP="00CD5950">
      <w:pPr>
        <w:spacing w:before="100" w:beforeAutospacing="1" w:after="100" w:afterAutospacing="1" w:line="240" w:lineRule="auto"/>
        <w:ind w:left="720"/>
        <w:rPr>
          <w:rFonts w:ascii="Times New Roman" w:eastAsia="Times New Roman" w:hAnsi="Times New Roman"/>
          <w:sz w:val="24"/>
          <w:szCs w:val="24"/>
        </w:rPr>
      </w:pPr>
      <w:r w:rsidRPr="00BE4A1E">
        <w:rPr>
          <w:rFonts w:ascii="Times New Roman" w:eastAsia="Times New Roman" w:hAnsi="Times New Roman"/>
          <w:sz w:val="24"/>
          <w:szCs w:val="24"/>
        </w:rPr>
        <w:t>***</w:t>
      </w:r>
    </w:p>
    <w:p w14:paraId="79A4556C" w14:textId="2A30823B" w:rsidR="00CD5950" w:rsidRDefault="00CD5950" w:rsidP="00CD5950">
      <w:pPr>
        <w:rPr>
          <w:rFonts w:ascii="Arial Black" w:hAnsi="Arial Black"/>
          <w:b/>
          <w:sz w:val="24"/>
          <w:szCs w:val="24"/>
        </w:rPr>
      </w:pPr>
      <w:r w:rsidRPr="00710662">
        <w:rPr>
          <w:rFonts w:ascii="Times New Roman" w:eastAsia="Times New Roman" w:hAnsi="Times New Roman"/>
          <w:sz w:val="24"/>
          <w:szCs w:val="24"/>
        </w:rPr>
        <w:t xml:space="preserve">Christensen's report of electrical violations to the regional state electrical inspector was also made pursuant to his position as the City Inspector/Code Enforcement Officer. </w:t>
      </w:r>
      <w:r w:rsidRPr="00710662">
        <w:rPr>
          <w:rFonts w:ascii="Times New Roman" w:eastAsia="Times New Roman" w:hAnsi="Times New Roman"/>
          <w:i/>
          <w:iCs/>
          <w:sz w:val="24"/>
          <w:szCs w:val="24"/>
        </w:rPr>
        <w:t>Compare McGee v</w:t>
      </w:r>
      <w:r w:rsidRPr="00710662">
        <w:rPr>
          <w:rFonts w:ascii="Times New Roman" w:eastAsia="Times New Roman" w:hAnsi="Times New Roman"/>
          <w:sz w:val="24"/>
          <w:szCs w:val="24"/>
        </w:rPr>
        <w:t xml:space="preserve">. </w:t>
      </w:r>
      <w:r w:rsidRPr="00710662">
        <w:rPr>
          <w:rFonts w:ascii="Times New Roman" w:eastAsia="Times New Roman" w:hAnsi="Times New Roman"/>
          <w:i/>
          <w:iCs/>
          <w:sz w:val="24"/>
          <w:szCs w:val="24"/>
        </w:rPr>
        <w:t>Public Water Supply</w:t>
      </w:r>
      <w:r w:rsidRPr="00710662">
        <w:rPr>
          <w:rFonts w:ascii="Times New Roman" w:eastAsia="Times New Roman" w:hAnsi="Times New Roman"/>
          <w:sz w:val="24"/>
          <w:szCs w:val="24"/>
        </w:rPr>
        <w:t xml:space="preserve">, </w:t>
      </w:r>
      <w:r w:rsidRPr="00710662">
        <w:rPr>
          <w:rFonts w:ascii="Times New Roman" w:eastAsia="Times New Roman" w:hAnsi="Times New Roman"/>
          <w:i/>
          <w:iCs/>
          <w:sz w:val="24"/>
          <w:szCs w:val="24"/>
        </w:rPr>
        <w:t>Dist</w:t>
      </w:r>
      <w:r w:rsidRPr="00710662">
        <w:rPr>
          <w:rFonts w:ascii="Times New Roman" w:eastAsia="Times New Roman" w:hAnsi="Times New Roman"/>
          <w:sz w:val="24"/>
          <w:szCs w:val="24"/>
        </w:rPr>
        <w:t xml:space="preserve">. </w:t>
      </w:r>
      <w:r w:rsidRPr="00710662">
        <w:rPr>
          <w:rFonts w:ascii="Times New Roman" w:eastAsia="Times New Roman" w:hAnsi="Times New Roman"/>
          <w:i/>
          <w:iCs/>
          <w:sz w:val="24"/>
          <w:szCs w:val="24"/>
        </w:rPr>
        <w:t>No</w:t>
      </w:r>
      <w:r w:rsidRPr="00710662">
        <w:rPr>
          <w:rFonts w:ascii="Times New Roman" w:eastAsia="Times New Roman" w:hAnsi="Times New Roman"/>
          <w:sz w:val="24"/>
          <w:szCs w:val="24"/>
        </w:rPr>
        <w:t xml:space="preserve">. </w:t>
      </w:r>
      <w:r w:rsidRPr="00710662">
        <w:rPr>
          <w:rFonts w:ascii="Times New Roman" w:eastAsia="Times New Roman" w:hAnsi="Times New Roman"/>
          <w:i/>
          <w:iCs/>
          <w:sz w:val="24"/>
          <w:szCs w:val="24"/>
        </w:rPr>
        <w:t>2 of Jefferson County</w:t>
      </w:r>
      <w:r w:rsidRPr="00710662">
        <w:rPr>
          <w:rFonts w:ascii="Times New Roman" w:eastAsia="Times New Roman" w:hAnsi="Times New Roman"/>
          <w:sz w:val="24"/>
          <w:szCs w:val="24"/>
        </w:rPr>
        <w:t xml:space="preserve">, </w:t>
      </w:r>
      <w:r w:rsidRPr="00710662">
        <w:rPr>
          <w:rFonts w:ascii="Times New Roman" w:eastAsia="Times New Roman" w:hAnsi="Times New Roman"/>
          <w:i/>
          <w:iCs/>
          <w:sz w:val="24"/>
          <w:szCs w:val="24"/>
        </w:rPr>
        <w:t>Mo</w:t>
      </w:r>
      <w:r w:rsidRPr="00710662">
        <w:rPr>
          <w:rFonts w:ascii="Times New Roman" w:eastAsia="Times New Roman" w:hAnsi="Times New Roman"/>
          <w:sz w:val="24"/>
          <w:szCs w:val="24"/>
        </w:rPr>
        <w:t xml:space="preserve">., 471 F.3d 918, 921 (8th Cir. 2006) (concluding district manager of public water supply district who expressed concerns over the district's compliance with environmental regulations made the statements as part of his official duties); </w:t>
      </w:r>
      <w:r w:rsidRPr="00710662">
        <w:rPr>
          <w:rFonts w:ascii="Times New Roman" w:eastAsia="Times New Roman" w:hAnsi="Times New Roman"/>
          <w:i/>
          <w:iCs/>
          <w:sz w:val="24"/>
          <w:szCs w:val="24"/>
        </w:rPr>
        <w:t>Batz v</w:t>
      </w:r>
      <w:r w:rsidRPr="00710662">
        <w:rPr>
          <w:rFonts w:ascii="Times New Roman" w:eastAsia="Times New Roman" w:hAnsi="Times New Roman"/>
          <w:sz w:val="24"/>
          <w:szCs w:val="24"/>
        </w:rPr>
        <w:t xml:space="preserve">. </w:t>
      </w:r>
      <w:r w:rsidRPr="00710662">
        <w:rPr>
          <w:rFonts w:ascii="Times New Roman" w:eastAsia="Times New Roman" w:hAnsi="Times New Roman"/>
          <w:i/>
          <w:iCs/>
          <w:sz w:val="24"/>
          <w:szCs w:val="24"/>
        </w:rPr>
        <w:t>City of Sebring</w:t>
      </w:r>
      <w:r w:rsidRPr="00710662">
        <w:rPr>
          <w:rFonts w:ascii="Times New Roman" w:eastAsia="Times New Roman" w:hAnsi="Times New Roman"/>
          <w:sz w:val="24"/>
          <w:szCs w:val="24"/>
        </w:rPr>
        <w:t xml:space="preserve">, 794 F. </w:t>
      </w:r>
      <w:proofErr w:type="spellStart"/>
      <w:r w:rsidRPr="00710662">
        <w:rPr>
          <w:rFonts w:ascii="Times New Roman" w:eastAsia="Times New Roman" w:hAnsi="Times New Roman"/>
          <w:sz w:val="24"/>
          <w:szCs w:val="24"/>
        </w:rPr>
        <w:t>App'x</w:t>
      </w:r>
      <w:proofErr w:type="spellEnd"/>
      <w:r w:rsidRPr="00710662">
        <w:rPr>
          <w:rFonts w:ascii="Times New Roman" w:eastAsia="Times New Roman" w:hAnsi="Times New Roman"/>
          <w:sz w:val="24"/>
          <w:szCs w:val="24"/>
        </w:rPr>
        <w:t xml:space="preserve"> 889, 898 (11th Cir. 2019) (concluding city fire chief spoke as an employee when he made complaints about various city officials undermining his efforts to enforce fire safety rules</w:t>
      </w:r>
      <w:r>
        <w:rPr>
          <w:rFonts w:ascii="Times New Roman" w:eastAsia="Times New Roman" w:hAnsi="Times New Roman"/>
          <w:sz w:val="24"/>
          <w:szCs w:val="24"/>
        </w:rPr>
        <w:t xml:space="preserve"> </w:t>
      </w:r>
      <w:r w:rsidRPr="00710662">
        <w:rPr>
          <w:rFonts w:ascii="Times New Roman" w:eastAsia="Times New Roman" w:hAnsi="Times New Roman"/>
          <w:sz w:val="24"/>
          <w:szCs w:val="24"/>
        </w:rPr>
        <w:t xml:space="preserve">at a historical building owned by persons with connections to the city council and administration); </w:t>
      </w:r>
      <w:r w:rsidRPr="00710662">
        <w:rPr>
          <w:rFonts w:ascii="Times New Roman" w:eastAsia="Times New Roman" w:hAnsi="Times New Roman"/>
          <w:i/>
          <w:iCs/>
          <w:sz w:val="24"/>
          <w:szCs w:val="24"/>
        </w:rPr>
        <w:t>Morris v</w:t>
      </w:r>
      <w:r w:rsidRPr="00710662">
        <w:rPr>
          <w:rFonts w:ascii="Times New Roman" w:eastAsia="Times New Roman" w:hAnsi="Times New Roman"/>
          <w:sz w:val="24"/>
          <w:szCs w:val="24"/>
        </w:rPr>
        <w:t xml:space="preserve">. </w:t>
      </w:r>
      <w:r w:rsidRPr="00710662">
        <w:rPr>
          <w:rFonts w:ascii="Times New Roman" w:eastAsia="Times New Roman" w:hAnsi="Times New Roman"/>
          <w:i/>
          <w:iCs/>
          <w:sz w:val="24"/>
          <w:szCs w:val="24"/>
        </w:rPr>
        <w:t>Philadelphia Housing Authority</w:t>
      </w:r>
      <w:r w:rsidRPr="00710662">
        <w:rPr>
          <w:rFonts w:ascii="Times New Roman" w:eastAsia="Times New Roman" w:hAnsi="Times New Roman"/>
          <w:sz w:val="24"/>
          <w:szCs w:val="24"/>
        </w:rPr>
        <w:t xml:space="preserve">, 487 F. </w:t>
      </w:r>
      <w:proofErr w:type="spellStart"/>
      <w:r w:rsidRPr="00710662">
        <w:rPr>
          <w:rFonts w:ascii="Times New Roman" w:eastAsia="Times New Roman" w:hAnsi="Times New Roman"/>
          <w:sz w:val="24"/>
          <w:szCs w:val="24"/>
        </w:rPr>
        <w:t>App'x</w:t>
      </w:r>
      <w:proofErr w:type="spellEnd"/>
      <w:r w:rsidRPr="00710662">
        <w:rPr>
          <w:rFonts w:ascii="Times New Roman" w:eastAsia="Times New Roman" w:hAnsi="Times New Roman"/>
          <w:sz w:val="24"/>
          <w:szCs w:val="24"/>
        </w:rPr>
        <w:t xml:space="preserve"> 37, 40 (3d Cir. 2012) (concluding an executive assistant's complaints up the chain of command about legality of housing authority's actions fell within his job duties); </w:t>
      </w:r>
      <w:r w:rsidRPr="00710662">
        <w:rPr>
          <w:rFonts w:ascii="Times New Roman" w:eastAsia="Times New Roman" w:hAnsi="Times New Roman"/>
          <w:i/>
          <w:iCs/>
          <w:sz w:val="24"/>
          <w:szCs w:val="24"/>
        </w:rPr>
        <w:t>Lyons II</w:t>
      </w:r>
      <w:r w:rsidRPr="00710662">
        <w:rPr>
          <w:rFonts w:ascii="Times New Roman" w:eastAsia="Times New Roman" w:hAnsi="Times New Roman"/>
          <w:sz w:val="24"/>
          <w:szCs w:val="24"/>
        </w:rPr>
        <w:t xml:space="preserve">, 875 F.3d at 1175 (noting that court's analysis in </w:t>
      </w:r>
      <w:r w:rsidRPr="00710662">
        <w:rPr>
          <w:rFonts w:ascii="Times New Roman" w:eastAsia="Times New Roman" w:hAnsi="Times New Roman"/>
          <w:i/>
          <w:iCs/>
          <w:sz w:val="24"/>
          <w:szCs w:val="24"/>
        </w:rPr>
        <w:t>Kincade v</w:t>
      </w:r>
      <w:r w:rsidRPr="00710662">
        <w:rPr>
          <w:rFonts w:ascii="Times New Roman" w:eastAsia="Times New Roman" w:hAnsi="Times New Roman"/>
          <w:sz w:val="24"/>
          <w:szCs w:val="24"/>
        </w:rPr>
        <w:t xml:space="preserve">. </w:t>
      </w:r>
      <w:r w:rsidRPr="00710662">
        <w:rPr>
          <w:rFonts w:ascii="Times New Roman" w:eastAsia="Times New Roman" w:hAnsi="Times New Roman"/>
          <w:i/>
          <w:iCs/>
          <w:sz w:val="24"/>
          <w:szCs w:val="24"/>
        </w:rPr>
        <w:t>City of Blue Springs</w:t>
      </w:r>
      <w:r w:rsidRPr="00710662">
        <w:rPr>
          <w:rFonts w:ascii="Times New Roman" w:eastAsia="Times New Roman" w:hAnsi="Times New Roman"/>
          <w:sz w:val="24"/>
          <w:szCs w:val="24"/>
        </w:rPr>
        <w:t xml:space="preserve">, 64 F.3d 389 (8th Cir. 1995) that city engineer's complaints about a dam's funding and safety issues that were made pursuant to an assignment from his employer and in his capacity as city engineer and that were deemed protected would not suffice under </w:t>
      </w:r>
      <w:r w:rsidRPr="00710662">
        <w:rPr>
          <w:rFonts w:ascii="Times New Roman" w:eastAsia="Times New Roman" w:hAnsi="Times New Roman"/>
          <w:i/>
          <w:iCs/>
          <w:sz w:val="24"/>
          <w:szCs w:val="24"/>
        </w:rPr>
        <w:t>Garcetti</w:t>
      </w:r>
      <w:r w:rsidRPr="00710662">
        <w:rPr>
          <w:rFonts w:ascii="Times New Roman" w:eastAsia="Times New Roman" w:hAnsi="Times New Roman"/>
          <w:sz w:val="24"/>
          <w:szCs w:val="24"/>
        </w:rPr>
        <w:t>).</w:t>
      </w:r>
      <w:r>
        <w:rPr>
          <w:rFonts w:ascii="Times New Roman" w:eastAsia="Times New Roman" w:hAnsi="Times New Roman"/>
          <w:sz w:val="24"/>
          <w:szCs w:val="24"/>
        </w:rPr>
        <w:t xml:space="preserve">” </w:t>
      </w:r>
      <w:hyperlink r:id="rId277" w:history="1">
        <w:r w:rsidRPr="004C3F50">
          <w:rPr>
            <w:rStyle w:val="Hyperlink"/>
            <w:rFonts w:ascii="Times New Roman" w:eastAsia="Times New Roman" w:hAnsi="Times New Roman"/>
            <w:sz w:val="24"/>
            <w:szCs w:val="24"/>
          </w:rPr>
          <w:t>https://public.fastcase.com/Wl%2B2t%2BeVuI35%2FN70vAMFZnSQz8BzpEWSl4qvcEU%2FNgbENUBBcIuF0iEqrodjguq8</w:t>
        </w:r>
      </w:hyperlink>
    </w:p>
    <w:p w14:paraId="6580BB5A" w14:textId="77777777" w:rsidR="00CD5950" w:rsidRDefault="00CD5950" w:rsidP="00CD5950">
      <w:pPr>
        <w:spacing w:before="100" w:beforeAutospacing="1" w:after="100" w:afterAutospacing="1" w:line="240" w:lineRule="auto"/>
        <w:rPr>
          <w:rFonts w:ascii="Times New Roman" w:hAnsi="Times New Roman"/>
          <w:b/>
          <w:bCs/>
          <w:sz w:val="24"/>
          <w:szCs w:val="24"/>
        </w:rPr>
      </w:pPr>
      <w:r w:rsidRPr="00710662">
        <w:rPr>
          <w:rFonts w:ascii="Times New Roman" w:hAnsi="Times New Roman"/>
          <w:b/>
          <w:bCs/>
          <w:sz w:val="24"/>
          <w:szCs w:val="24"/>
        </w:rPr>
        <w:t>Legal Lessons Learned:</w:t>
      </w:r>
      <w:r>
        <w:rPr>
          <w:rFonts w:ascii="Times New Roman" w:hAnsi="Times New Roman"/>
          <w:b/>
          <w:bCs/>
          <w:sz w:val="24"/>
          <w:szCs w:val="24"/>
        </w:rPr>
        <w:t xml:space="preserve"> This case is now </w:t>
      </w:r>
      <w:proofErr w:type="gramStart"/>
      <w:r>
        <w:rPr>
          <w:rFonts w:ascii="Times New Roman" w:hAnsi="Times New Roman"/>
          <w:b/>
          <w:bCs/>
          <w:sz w:val="24"/>
          <w:szCs w:val="24"/>
        </w:rPr>
        <w:t>remanded</w:t>
      </w:r>
      <w:proofErr w:type="gramEnd"/>
      <w:r>
        <w:rPr>
          <w:rFonts w:ascii="Times New Roman" w:hAnsi="Times New Roman"/>
          <w:b/>
          <w:bCs/>
          <w:sz w:val="24"/>
          <w:szCs w:val="24"/>
        </w:rPr>
        <w:t xml:space="preserve"> to Iowa state court where plaintiff may seek to prove to a jury that the city violated State whistleblower laws and State code enforcement laws. </w:t>
      </w:r>
    </w:p>
    <w:p w14:paraId="16A053A0" w14:textId="77777777" w:rsidR="00CD5950" w:rsidRDefault="00CD5950" w:rsidP="00CD5950">
      <w:pPr>
        <w:pStyle w:val="NormalWeb"/>
        <w:ind w:left="720"/>
      </w:pPr>
      <w:r w:rsidRPr="00710662">
        <w:lastRenderedPageBreak/>
        <w:t xml:space="preserve">Note: </w:t>
      </w:r>
      <w:r>
        <w:t xml:space="preserve">The U.S. Supreme Court in </w:t>
      </w:r>
      <w:r>
        <w:rPr>
          <w:i/>
          <w:iCs/>
        </w:rPr>
        <w:t>Garcetti v</w:t>
      </w:r>
      <w:r>
        <w:t xml:space="preserve">. </w:t>
      </w:r>
      <w:r>
        <w:rPr>
          <w:i/>
          <w:iCs/>
        </w:rPr>
        <w:t>Ceballos</w:t>
      </w:r>
      <w:r>
        <w:t xml:space="preserve">, 547 U.S. 410, 421 (2006), greatly limited the ability of public employees to sue in Federal court for retaliation in violation of the First Amendment “freedom of speech.”  Ceballos was a LA County Supervising attorney, who was re-assigned after questioning the accuracy of Deputy Sheriff’s search warrant application and writing a memo documenting his concerns.  The U.S. Supreme Court held [5 to 4]: “Proper application of our precedents thus leads to the conclusion that the First Amendment does not prohibit managerial discipline based on an employee’s expressions made pursuant to official responsibilities. Because Ceballos’ memo falls into this category, his allegation of unconstitutional retaliation must fail.” </w:t>
      </w:r>
      <w:hyperlink r:id="rId278" w:history="1">
        <w:r w:rsidRPr="004C3F50">
          <w:rPr>
            <w:rStyle w:val="Hyperlink"/>
          </w:rPr>
          <w:t>https://supreme.justia.com/cases/federal/us/547/410/</w:t>
        </w:r>
      </w:hyperlink>
      <w:r>
        <w:t xml:space="preserve"> </w:t>
      </w:r>
    </w:p>
    <w:p w14:paraId="3E47ED72" w14:textId="25978566" w:rsidR="00CD5950" w:rsidRDefault="00CD5950" w:rsidP="002B1283">
      <w:pPr>
        <w:rPr>
          <w:rFonts w:ascii="Arial Black" w:hAnsi="Arial Black"/>
          <w:b/>
          <w:sz w:val="24"/>
          <w:szCs w:val="24"/>
        </w:rPr>
      </w:pPr>
    </w:p>
    <w:p w14:paraId="40E55BEB" w14:textId="7F243F8F" w:rsidR="00CD5950" w:rsidRDefault="00CD5950" w:rsidP="002B1283">
      <w:pPr>
        <w:rPr>
          <w:rFonts w:ascii="Arial Black" w:hAnsi="Arial Black"/>
          <w:b/>
          <w:sz w:val="24"/>
          <w:szCs w:val="24"/>
        </w:rPr>
      </w:pPr>
      <w:r>
        <w:rPr>
          <w:rFonts w:ascii="Arial Black" w:hAnsi="Arial Black"/>
          <w:b/>
          <w:sz w:val="24"/>
          <w:szCs w:val="24"/>
        </w:rPr>
        <w:t>1-7</w:t>
      </w:r>
      <w:r w:rsidR="000F483A">
        <w:rPr>
          <w:rFonts w:ascii="Arial Black" w:hAnsi="Arial Black"/>
          <w:b/>
          <w:sz w:val="24"/>
          <w:szCs w:val="24"/>
        </w:rPr>
        <w:t>4</w:t>
      </w:r>
    </w:p>
    <w:p w14:paraId="62203C37" w14:textId="77777777" w:rsidR="00CD5950" w:rsidRDefault="00CD5950" w:rsidP="00CD5950">
      <w:r>
        <w:rPr>
          <w:rFonts w:ascii="Arial Black" w:hAnsi="Arial Black"/>
          <w:sz w:val="28"/>
          <w:szCs w:val="28"/>
        </w:rPr>
        <w:t>OH: OHIO ETHICS COMMISSION – HELPFUL NEW VIDEO – PUBLIC OFFICIALS &amp; GIFTS OF “SUBSTANTIAL VALUE”</w:t>
      </w:r>
    </w:p>
    <w:p w14:paraId="09B2E758" w14:textId="77777777" w:rsidR="00CD5950" w:rsidRDefault="00CD5950" w:rsidP="00CD5950">
      <w:pPr>
        <w:rPr>
          <w:rFonts w:ascii="Times New Roman" w:hAnsi="Times New Roman"/>
          <w:sz w:val="24"/>
          <w:szCs w:val="24"/>
        </w:rPr>
      </w:pPr>
      <w:r>
        <w:rPr>
          <w:rFonts w:ascii="Times New Roman" w:hAnsi="Times New Roman"/>
          <w:sz w:val="24"/>
          <w:szCs w:val="24"/>
        </w:rPr>
        <w:t xml:space="preserve">Feb. 22, 2021: </w:t>
      </w:r>
    </w:p>
    <w:p w14:paraId="2F61DAE2" w14:textId="77777777" w:rsidR="00CD5950" w:rsidRDefault="00CD5950" w:rsidP="00CD5950">
      <w:pPr>
        <w:rPr>
          <w:rStyle w:val="Hyperlink"/>
          <w:rFonts w:ascii="Times New Roman" w:hAnsi="Times New Roman"/>
          <w:sz w:val="24"/>
          <w:szCs w:val="24"/>
        </w:rPr>
      </w:pPr>
      <w:r>
        <w:rPr>
          <w:rFonts w:ascii="Times New Roman" w:hAnsi="Times New Roman"/>
          <w:sz w:val="24"/>
          <w:szCs w:val="24"/>
        </w:rPr>
        <w:t xml:space="preserve">See helpful new training video: </w:t>
      </w:r>
      <w:hyperlink r:id="rId279" w:history="1">
        <w:r w:rsidRPr="00EA374E">
          <w:rPr>
            <w:rStyle w:val="Hyperlink"/>
            <w:rFonts w:ascii="Times New Roman" w:hAnsi="Times New Roman"/>
            <w:sz w:val="24"/>
            <w:szCs w:val="24"/>
          </w:rPr>
          <w:t>https://ethics.ohio.gov/education/elearning/ecourses.html</w:t>
        </w:r>
      </w:hyperlink>
    </w:p>
    <w:p w14:paraId="5816E79E" w14:textId="77777777" w:rsidR="00CD5950" w:rsidRDefault="00CD5950" w:rsidP="00CD5950">
      <w:pPr>
        <w:rPr>
          <w:rFonts w:ascii="Times New Roman" w:hAnsi="Times New Roman"/>
          <w:sz w:val="24"/>
          <w:szCs w:val="24"/>
        </w:rPr>
      </w:pPr>
      <w:r>
        <w:rPr>
          <w:rFonts w:ascii="Times New Roman" w:hAnsi="Times New Roman"/>
          <w:sz w:val="24"/>
          <w:szCs w:val="24"/>
        </w:rPr>
        <w:t>See also: “</w:t>
      </w:r>
      <w:r w:rsidRPr="00D13E5D">
        <w:rPr>
          <w:rFonts w:ascii="Times New Roman" w:hAnsi="Times New Roman"/>
          <w:sz w:val="24"/>
          <w:szCs w:val="24"/>
        </w:rPr>
        <w:t xml:space="preserve">The first quarter edition of </w:t>
      </w:r>
      <w:hyperlink r:id="rId280" w:history="1">
        <w:r w:rsidRPr="00D13E5D">
          <w:rPr>
            <w:rStyle w:val="Hyperlink"/>
            <w:rFonts w:ascii="Times New Roman" w:hAnsi="Times New Roman"/>
            <w:sz w:val="24"/>
            <w:szCs w:val="24"/>
          </w:rPr>
          <w:t>The Voice of Ethics</w:t>
        </w:r>
      </w:hyperlink>
      <w:r w:rsidRPr="00D13E5D">
        <w:rPr>
          <w:rFonts w:ascii="Times New Roman" w:hAnsi="Times New Roman"/>
          <w:sz w:val="24"/>
          <w:szCs w:val="24"/>
        </w:rPr>
        <w:t xml:space="preserve"> has been issued!  I hope you enjoy it and as always, please feel free to contact me if I can be of any assistance.</w:t>
      </w:r>
      <w:r>
        <w:rPr>
          <w:rFonts w:ascii="Times New Roman" w:hAnsi="Times New Roman"/>
          <w:sz w:val="24"/>
          <w:szCs w:val="24"/>
        </w:rPr>
        <w:t>”</w:t>
      </w:r>
      <w:hyperlink r:id="rId281" w:history="1">
        <w:r w:rsidRPr="00BA411D">
          <w:rPr>
            <w:rStyle w:val="Hyperlink"/>
            <w:rFonts w:ascii="Times New Roman" w:hAnsi="Times New Roman"/>
            <w:sz w:val="24"/>
            <w:szCs w:val="24"/>
          </w:rPr>
          <w:t>https://ethics.ohio.gov/education/newsletters/VOE_21Q1.pdf</w:t>
        </w:r>
      </w:hyperlink>
      <w:r>
        <w:rPr>
          <w:rFonts w:ascii="Times New Roman" w:hAnsi="Times New Roman"/>
          <w:sz w:val="24"/>
          <w:szCs w:val="24"/>
        </w:rPr>
        <w:t xml:space="preserve"> </w:t>
      </w:r>
    </w:p>
    <w:p w14:paraId="01C0783C" w14:textId="77777777" w:rsidR="00CD5950" w:rsidRDefault="00CD5950" w:rsidP="00CD5950">
      <w:pPr>
        <w:rPr>
          <w:rFonts w:ascii="Times New Roman" w:hAnsi="Times New Roman"/>
          <w:sz w:val="24"/>
          <w:szCs w:val="24"/>
        </w:rPr>
      </w:pPr>
      <w:r>
        <w:rPr>
          <w:rFonts w:ascii="Times New Roman" w:hAnsi="Times New Roman"/>
          <w:sz w:val="24"/>
          <w:szCs w:val="24"/>
        </w:rPr>
        <w:t xml:space="preserve">Both kindly sent to me by: </w:t>
      </w:r>
    </w:p>
    <w:p w14:paraId="4FD1557C" w14:textId="77777777" w:rsidR="00CD5950" w:rsidRPr="00EB1AAF" w:rsidRDefault="00CD5950" w:rsidP="00CD5950">
      <w:pPr>
        <w:pStyle w:val="NoSpacing"/>
        <w:ind w:firstLine="720"/>
        <w:rPr>
          <w:rFonts w:ascii="Times New Roman" w:hAnsi="Times New Roman"/>
          <w:sz w:val="24"/>
          <w:szCs w:val="24"/>
        </w:rPr>
      </w:pPr>
      <w:r w:rsidRPr="00EB1AAF">
        <w:rPr>
          <w:rFonts w:ascii="Times New Roman" w:hAnsi="Times New Roman"/>
          <w:sz w:val="24"/>
          <w:szCs w:val="24"/>
        </w:rPr>
        <w:t>Susan Willeke</w:t>
      </w:r>
    </w:p>
    <w:p w14:paraId="2CC95F06" w14:textId="77777777" w:rsidR="00CD5950" w:rsidRPr="00EB1AAF" w:rsidRDefault="00CD5950" w:rsidP="00CD5950">
      <w:pPr>
        <w:pStyle w:val="NoSpacing"/>
        <w:ind w:firstLine="720"/>
        <w:rPr>
          <w:rFonts w:ascii="Times New Roman" w:hAnsi="Times New Roman"/>
          <w:sz w:val="24"/>
          <w:szCs w:val="24"/>
        </w:rPr>
      </w:pPr>
      <w:r w:rsidRPr="00EB1AAF">
        <w:rPr>
          <w:rFonts w:ascii="Times New Roman" w:hAnsi="Times New Roman"/>
          <w:sz w:val="24"/>
          <w:szCs w:val="24"/>
        </w:rPr>
        <w:t>Education &amp; Communications Administrator</w:t>
      </w:r>
    </w:p>
    <w:p w14:paraId="444F4604" w14:textId="77777777" w:rsidR="00CD5950" w:rsidRPr="00EB1AAF" w:rsidRDefault="00CD5950" w:rsidP="00CD5950">
      <w:pPr>
        <w:pStyle w:val="NoSpacing"/>
        <w:ind w:firstLine="720"/>
        <w:rPr>
          <w:rFonts w:ascii="Times New Roman" w:hAnsi="Times New Roman"/>
          <w:sz w:val="24"/>
          <w:szCs w:val="24"/>
        </w:rPr>
      </w:pPr>
      <w:r w:rsidRPr="00EB1AAF">
        <w:rPr>
          <w:rFonts w:ascii="Times New Roman" w:hAnsi="Times New Roman"/>
          <w:sz w:val="24"/>
          <w:szCs w:val="24"/>
        </w:rPr>
        <w:t>Ohio Ethics Commission</w:t>
      </w:r>
    </w:p>
    <w:p w14:paraId="303DE351" w14:textId="77777777" w:rsidR="00CD5950" w:rsidRPr="00EB1AAF" w:rsidRDefault="00CD5950" w:rsidP="00CD5950">
      <w:pPr>
        <w:pStyle w:val="NoSpacing"/>
        <w:ind w:firstLine="720"/>
        <w:rPr>
          <w:rFonts w:ascii="Times New Roman" w:hAnsi="Times New Roman"/>
          <w:sz w:val="24"/>
          <w:szCs w:val="24"/>
        </w:rPr>
      </w:pPr>
      <w:r w:rsidRPr="00EB1AAF">
        <w:rPr>
          <w:rFonts w:ascii="Times New Roman" w:hAnsi="Times New Roman"/>
          <w:sz w:val="24"/>
          <w:szCs w:val="24"/>
        </w:rPr>
        <w:t>William Green Building</w:t>
      </w:r>
    </w:p>
    <w:p w14:paraId="5146686D" w14:textId="77777777" w:rsidR="00CD5950" w:rsidRPr="00EB1AAF" w:rsidRDefault="00CD5950" w:rsidP="00CD5950">
      <w:pPr>
        <w:pStyle w:val="NoSpacing"/>
        <w:ind w:firstLine="720"/>
        <w:rPr>
          <w:rFonts w:ascii="Times New Roman" w:hAnsi="Times New Roman"/>
          <w:sz w:val="24"/>
          <w:szCs w:val="24"/>
        </w:rPr>
      </w:pPr>
      <w:r w:rsidRPr="00EB1AAF">
        <w:rPr>
          <w:rFonts w:ascii="Times New Roman" w:hAnsi="Times New Roman"/>
          <w:sz w:val="24"/>
          <w:szCs w:val="24"/>
        </w:rPr>
        <w:t>30 W. Spring St.</w:t>
      </w:r>
    </w:p>
    <w:p w14:paraId="1520FAD0" w14:textId="77777777" w:rsidR="00CD5950" w:rsidRPr="00EB1AAF" w:rsidRDefault="00CD5950" w:rsidP="00CD5950">
      <w:pPr>
        <w:pStyle w:val="NoSpacing"/>
        <w:ind w:firstLine="720"/>
        <w:rPr>
          <w:rFonts w:ascii="Times New Roman" w:hAnsi="Times New Roman"/>
          <w:sz w:val="24"/>
          <w:szCs w:val="24"/>
        </w:rPr>
      </w:pPr>
      <w:r w:rsidRPr="00EB1AAF">
        <w:rPr>
          <w:rFonts w:ascii="Times New Roman" w:hAnsi="Times New Roman"/>
          <w:sz w:val="24"/>
          <w:szCs w:val="24"/>
        </w:rPr>
        <w:t>Columbus, Ohio 43215</w:t>
      </w:r>
    </w:p>
    <w:p w14:paraId="2D42AF8B" w14:textId="77777777" w:rsidR="00CD5950" w:rsidRDefault="00CD5950" w:rsidP="00CD5950">
      <w:pPr>
        <w:pStyle w:val="NoSpacing"/>
        <w:ind w:firstLine="720"/>
        <w:rPr>
          <w:rFonts w:ascii="Times New Roman" w:hAnsi="Times New Roman"/>
          <w:sz w:val="24"/>
          <w:szCs w:val="24"/>
        </w:rPr>
      </w:pPr>
    </w:p>
    <w:p w14:paraId="725520E3" w14:textId="77777777" w:rsidR="00CD5950" w:rsidRDefault="00CD5950" w:rsidP="00CD5950">
      <w:pPr>
        <w:pStyle w:val="NoSpacing"/>
        <w:ind w:firstLine="720"/>
        <w:rPr>
          <w:rFonts w:ascii="Times New Roman" w:hAnsi="Times New Roman"/>
          <w:sz w:val="24"/>
          <w:szCs w:val="24"/>
        </w:rPr>
      </w:pPr>
    </w:p>
    <w:p w14:paraId="46DBA9E9" w14:textId="77777777" w:rsidR="00CD5950" w:rsidRPr="00EB1AAF" w:rsidRDefault="00CD5950" w:rsidP="00CD5950">
      <w:pPr>
        <w:pStyle w:val="NoSpacing"/>
        <w:ind w:firstLine="720"/>
        <w:rPr>
          <w:rFonts w:ascii="Times New Roman" w:hAnsi="Times New Roman"/>
          <w:sz w:val="24"/>
          <w:szCs w:val="24"/>
        </w:rPr>
      </w:pPr>
      <w:r w:rsidRPr="00EB1AAF">
        <w:rPr>
          <w:rFonts w:ascii="Times New Roman" w:hAnsi="Times New Roman"/>
          <w:sz w:val="24"/>
          <w:szCs w:val="24"/>
        </w:rPr>
        <w:t>(614) 466 – 7090</w:t>
      </w:r>
    </w:p>
    <w:p w14:paraId="74123CD0" w14:textId="77777777" w:rsidR="00CD5950" w:rsidRPr="00EB1AAF" w:rsidRDefault="00CD5950" w:rsidP="00CD5950">
      <w:pPr>
        <w:pStyle w:val="NoSpacing"/>
        <w:ind w:firstLine="720"/>
        <w:rPr>
          <w:rFonts w:ascii="Times New Roman" w:hAnsi="Times New Roman"/>
          <w:sz w:val="24"/>
          <w:szCs w:val="24"/>
        </w:rPr>
      </w:pPr>
      <w:hyperlink r:id="rId282" w:history="1">
        <w:r w:rsidRPr="00EA374E">
          <w:rPr>
            <w:rStyle w:val="Hyperlink"/>
            <w:rFonts w:ascii="Times New Roman" w:hAnsi="Times New Roman"/>
            <w:sz w:val="24"/>
            <w:szCs w:val="24"/>
          </w:rPr>
          <w:t>www.ethics.ohio.gov</w:t>
        </w:r>
      </w:hyperlink>
    </w:p>
    <w:p w14:paraId="7AB3EA59" w14:textId="77777777" w:rsidR="00CD5950" w:rsidRPr="00EB1AAF" w:rsidRDefault="00CD5950" w:rsidP="00CD5950">
      <w:pPr>
        <w:pStyle w:val="NoSpacing"/>
        <w:ind w:firstLine="720"/>
        <w:rPr>
          <w:rStyle w:val="Hyperlink"/>
          <w:rFonts w:ascii="Times New Roman" w:hAnsi="Times New Roman"/>
          <w:sz w:val="24"/>
          <w:szCs w:val="24"/>
        </w:rPr>
      </w:pPr>
      <w:hyperlink r:id="rId283" w:history="1">
        <w:r w:rsidRPr="00EA374E">
          <w:rPr>
            <w:rStyle w:val="Hyperlink"/>
            <w:rFonts w:ascii="Times New Roman" w:hAnsi="Times New Roman"/>
            <w:sz w:val="24"/>
            <w:szCs w:val="24"/>
          </w:rPr>
          <w:t>susan.willeke@ethics.ohio.gov</w:t>
        </w:r>
      </w:hyperlink>
    </w:p>
    <w:p w14:paraId="63326306" w14:textId="77777777" w:rsidR="00CD5950" w:rsidRPr="00EB1AAF" w:rsidRDefault="00CD5950" w:rsidP="00CD5950">
      <w:pPr>
        <w:pStyle w:val="NoSpacing"/>
        <w:rPr>
          <w:rStyle w:val="Hyperlink"/>
          <w:rFonts w:ascii="Times New Roman" w:hAnsi="Times New Roman"/>
          <w:sz w:val="24"/>
          <w:szCs w:val="24"/>
        </w:rPr>
      </w:pPr>
    </w:p>
    <w:p w14:paraId="1F0DBF6A" w14:textId="77777777" w:rsidR="00CD5950" w:rsidRPr="00716E29" w:rsidRDefault="00CD5950" w:rsidP="00CD5950">
      <w:pPr>
        <w:pStyle w:val="NoSpacing"/>
        <w:rPr>
          <w:rStyle w:val="Hyperlink"/>
          <w:rFonts w:ascii="Times New Roman" w:hAnsi="Times New Roman"/>
          <w:b/>
          <w:bCs/>
          <w:color w:val="auto"/>
          <w:sz w:val="24"/>
          <w:szCs w:val="24"/>
          <w:u w:val="none"/>
        </w:rPr>
      </w:pPr>
      <w:r w:rsidRPr="00716E29">
        <w:rPr>
          <w:rStyle w:val="Hyperlink"/>
          <w:rFonts w:ascii="Times New Roman" w:hAnsi="Times New Roman"/>
          <w:b/>
          <w:bCs/>
          <w:color w:val="auto"/>
          <w:sz w:val="24"/>
          <w:szCs w:val="24"/>
          <w:u w:val="none"/>
        </w:rPr>
        <w:t xml:space="preserve">Legal Lesson Learned: Golf outings, sports or theater tickets, vacations, jewelry have been items deemed items of “substantial value” by the Ohio Ethics Commission; when in doubt, consult with the Commission. </w:t>
      </w:r>
    </w:p>
    <w:p w14:paraId="6D74FE00" w14:textId="77777777" w:rsidR="00CD5950" w:rsidRDefault="00CD5950" w:rsidP="00CD5950">
      <w:pPr>
        <w:pStyle w:val="NoSpacing"/>
        <w:rPr>
          <w:rStyle w:val="Hyperlink"/>
          <w:rFonts w:ascii="Times New Roman" w:hAnsi="Times New Roman"/>
          <w:b/>
          <w:bCs/>
          <w:sz w:val="24"/>
          <w:szCs w:val="24"/>
        </w:rPr>
      </w:pPr>
    </w:p>
    <w:p w14:paraId="3C41448E" w14:textId="77777777" w:rsidR="00CD5950" w:rsidRDefault="00CD5950" w:rsidP="00CD5950">
      <w:pPr>
        <w:pStyle w:val="NoSpacing"/>
        <w:ind w:left="720"/>
        <w:rPr>
          <w:rFonts w:ascii="Times New Roman" w:hAnsi="Times New Roman"/>
          <w:sz w:val="24"/>
          <w:szCs w:val="24"/>
        </w:rPr>
      </w:pPr>
      <w:r w:rsidRPr="00167F7C">
        <w:rPr>
          <w:rStyle w:val="Hyperlink"/>
          <w:rFonts w:ascii="Times New Roman" w:hAnsi="Times New Roman"/>
          <w:sz w:val="24"/>
          <w:szCs w:val="24"/>
        </w:rPr>
        <w:t>Note: See Ohio Ethics Commission publication</w:t>
      </w:r>
      <w:r>
        <w:rPr>
          <w:rStyle w:val="Hyperlink"/>
          <w:rFonts w:ascii="Times New Roman" w:hAnsi="Times New Roman"/>
          <w:sz w:val="24"/>
          <w:szCs w:val="24"/>
        </w:rPr>
        <w:t>:</w:t>
      </w:r>
      <w:r w:rsidRPr="00167F7C">
        <w:rPr>
          <w:rStyle w:val="Hyperlink"/>
          <w:rFonts w:ascii="Times New Roman" w:hAnsi="Times New Roman"/>
          <w:sz w:val="24"/>
          <w:szCs w:val="24"/>
        </w:rPr>
        <w:t xml:space="preserve"> </w:t>
      </w:r>
      <w:r w:rsidRPr="00167F7C">
        <w:rPr>
          <w:rFonts w:ascii="Times New Roman" w:hAnsi="Times New Roman"/>
          <w:b/>
          <w:bCs/>
          <w:sz w:val="24"/>
          <w:szCs w:val="24"/>
        </w:rPr>
        <w:t>Gifts and the Ohio Ethics Law</w:t>
      </w:r>
      <w:r w:rsidRPr="00167F7C">
        <w:rPr>
          <w:rFonts w:ascii="Times New Roman" w:hAnsi="Times New Roman"/>
          <w:sz w:val="24"/>
          <w:szCs w:val="24"/>
        </w:rPr>
        <w:t xml:space="preserve">: </w:t>
      </w:r>
      <w:hyperlink r:id="rId284" w:history="1">
        <w:r w:rsidRPr="00EA374E">
          <w:rPr>
            <w:rStyle w:val="Hyperlink"/>
            <w:rFonts w:ascii="Times New Roman" w:hAnsi="Times New Roman"/>
            <w:sz w:val="24"/>
            <w:szCs w:val="24"/>
          </w:rPr>
          <w:t>https://www.ethics.ohio.gov/education/gifts.html</w:t>
        </w:r>
      </w:hyperlink>
      <w:r w:rsidRPr="00167F7C">
        <w:rPr>
          <w:rFonts w:ascii="Times New Roman" w:hAnsi="Times New Roman"/>
          <w:sz w:val="24"/>
          <w:szCs w:val="24"/>
        </w:rPr>
        <w:t xml:space="preserve"> </w:t>
      </w:r>
    </w:p>
    <w:p w14:paraId="2EEFCD7C" w14:textId="77777777" w:rsidR="00CD5950" w:rsidRDefault="00CD5950" w:rsidP="00CD5950">
      <w:pPr>
        <w:pStyle w:val="NoSpacing"/>
        <w:ind w:left="720"/>
        <w:rPr>
          <w:rFonts w:ascii="Times New Roman" w:hAnsi="Times New Roman"/>
          <w:sz w:val="24"/>
          <w:szCs w:val="24"/>
        </w:rPr>
      </w:pPr>
    </w:p>
    <w:p w14:paraId="40AAD5FA" w14:textId="77777777" w:rsidR="00CD5950" w:rsidRPr="00167F7C" w:rsidRDefault="00CD5950" w:rsidP="00CD5950">
      <w:pPr>
        <w:pStyle w:val="NoSpacing"/>
        <w:ind w:left="720"/>
        <w:rPr>
          <w:rFonts w:ascii="Times New Roman" w:hAnsi="Times New Roman"/>
          <w:sz w:val="24"/>
          <w:szCs w:val="24"/>
        </w:rPr>
      </w:pPr>
      <w:r>
        <w:rPr>
          <w:rFonts w:ascii="Times New Roman" w:hAnsi="Times New Roman"/>
          <w:sz w:val="24"/>
          <w:szCs w:val="24"/>
        </w:rPr>
        <w:t xml:space="preserve">See also Advisory Opinions on </w:t>
      </w:r>
      <w:r w:rsidRPr="00167F7C">
        <w:rPr>
          <w:rFonts w:ascii="Times New Roman" w:hAnsi="Times New Roman"/>
          <w:b/>
          <w:bCs/>
          <w:sz w:val="24"/>
          <w:szCs w:val="24"/>
        </w:rPr>
        <w:t>Conflict of Interest</w:t>
      </w:r>
      <w:r>
        <w:rPr>
          <w:rFonts w:ascii="Times New Roman" w:hAnsi="Times New Roman"/>
          <w:sz w:val="24"/>
          <w:szCs w:val="24"/>
        </w:rPr>
        <w:t xml:space="preserve">, and advisory opinions on </w:t>
      </w:r>
      <w:r w:rsidRPr="00167F7C">
        <w:rPr>
          <w:rFonts w:ascii="Times New Roman" w:hAnsi="Times New Roman"/>
          <w:b/>
          <w:bCs/>
          <w:sz w:val="24"/>
          <w:szCs w:val="24"/>
        </w:rPr>
        <w:t>Gifts:</w:t>
      </w:r>
      <w:r>
        <w:rPr>
          <w:rFonts w:ascii="Times New Roman" w:hAnsi="Times New Roman"/>
          <w:sz w:val="24"/>
          <w:szCs w:val="24"/>
        </w:rPr>
        <w:t xml:space="preserve"> </w:t>
      </w:r>
      <w:hyperlink r:id="rId285" w:anchor="Gifts" w:history="1">
        <w:r w:rsidRPr="00EA374E">
          <w:rPr>
            <w:rStyle w:val="Hyperlink"/>
            <w:rFonts w:ascii="Times New Roman" w:hAnsi="Times New Roman"/>
            <w:sz w:val="24"/>
            <w:szCs w:val="24"/>
          </w:rPr>
          <w:t>https://www.ethics.ohio.gov/advice/formaltopics.html#Gifts</w:t>
        </w:r>
      </w:hyperlink>
      <w:r>
        <w:rPr>
          <w:rFonts w:ascii="Times New Roman" w:hAnsi="Times New Roman"/>
          <w:sz w:val="24"/>
          <w:szCs w:val="24"/>
        </w:rPr>
        <w:t xml:space="preserve"> </w:t>
      </w:r>
    </w:p>
    <w:p w14:paraId="74DFC00B" w14:textId="77777777" w:rsidR="00CD5950" w:rsidRDefault="00CD5950" w:rsidP="00CD5950">
      <w:pPr>
        <w:pStyle w:val="Heading2"/>
        <w:ind w:left="720"/>
        <w:rPr>
          <w:rStyle w:val="Hyperlink"/>
          <w:rFonts w:ascii="Times New Roman" w:hAnsi="Times New Roman"/>
          <w:b w:val="0"/>
          <w:bCs w:val="0"/>
          <w:i w:val="0"/>
          <w:iCs w:val="0"/>
          <w:color w:val="auto"/>
          <w:sz w:val="24"/>
          <w:szCs w:val="24"/>
          <w:u w:val="none"/>
        </w:rPr>
      </w:pPr>
      <w:r w:rsidRPr="00716E29">
        <w:rPr>
          <w:rStyle w:val="Hyperlink"/>
          <w:rFonts w:ascii="Times New Roman" w:hAnsi="Times New Roman"/>
          <w:b w:val="0"/>
          <w:bCs w:val="0"/>
          <w:i w:val="0"/>
          <w:iCs w:val="0"/>
          <w:color w:val="auto"/>
          <w:sz w:val="24"/>
          <w:szCs w:val="24"/>
          <w:u w:val="none"/>
        </w:rPr>
        <w:lastRenderedPageBreak/>
        <w:t>Ohio Revised Code</w:t>
      </w:r>
      <w:r>
        <w:rPr>
          <w:rStyle w:val="Hyperlink"/>
          <w:rFonts w:ascii="Times New Roman" w:hAnsi="Times New Roman"/>
          <w:b w:val="0"/>
          <w:bCs w:val="0"/>
          <w:i w:val="0"/>
          <w:iCs w:val="0"/>
          <w:color w:val="auto"/>
          <w:sz w:val="24"/>
          <w:szCs w:val="24"/>
          <w:u w:val="none"/>
        </w:rPr>
        <w:t>:</w:t>
      </w:r>
    </w:p>
    <w:p w14:paraId="46D7593C" w14:textId="77777777" w:rsidR="00CD5950" w:rsidRPr="00716E29" w:rsidRDefault="00CD5950" w:rsidP="00CD5950">
      <w:pPr>
        <w:pStyle w:val="Heading2"/>
        <w:ind w:left="720"/>
        <w:rPr>
          <w:rStyle w:val="Hyperlink"/>
          <w:rFonts w:ascii="Times New Roman" w:hAnsi="Times New Roman"/>
          <w:b w:val="0"/>
          <w:bCs w:val="0"/>
          <w:i w:val="0"/>
          <w:iCs w:val="0"/>
          <w:sz w:val="24"/>
          <w:szCs w:val="24"/>
          <w:u w:val="none"/>
        </w:rPr>
      </w:pPr>
      <w:r w:rsidRPr="00716E29">
        <w:rPr>
          <w:rStyle w:val="Hyperlink"/>
          <w:rFonts w:ascii="Times New Roman" w:hAnsi="Times New Roman"/>
          <w:b w:val="0"/>
          <w:bCs w:val="0"/>
          <w:i w:val="0"/>
          <w:iCs w:val="0"/>
          <w:color w:val="auto"/>
          <w:sz w:val="24"/>
          <w:szCs w:val="24"/>
          <w:u w:val="none"/>
        </w:rPr>
        <w:t xml:space="preserve">102.01 Public officers – ethics definitions:  </w:t>
      </w:r>
      <w:hyperlink r:id="rId286" w:history="1">
        <w:r w:rsidRPr="002013DF">
          <w:rPr>
            <w:rStyle w:val="Hyperlink"/>
            <w:rFonts w:ascii="Times New Roman" w:hAnsi="Times New Roman"/>
            <w:b w:val="0"/>
            <w:bCs w:val="0"/>
            <w:i w:val="0"/>
            <w:iCs w:val="0"/>
            <w:sz w:val="24"/>
            <w:szCs w:val="24"/>
          </w:rPr>
          <w:t>http://codes.ohio.gov/orc/102.01</w:t>
        </w:r>
      </w:hyperlink>
      <w:r>
        <w:rPr>
          <w:rStyle w:val="Hyperlink"/>
          <w:rFonts w:ascii="Times New Roman" w:hAnsi="Times New Roman"/>
          <w:b w:val="0"/>
          <w:bCs w:val="0"/>
          <w:i w:val="0"/>
          <w:iCs w:val="0"/>
          <w:color w:val="auto"/>
          <w:sz w:val="24"/>
          <w:szCs w:val="24"/>
          <w:u w:val="none"/>
        </w:rPr>
        <w:t xml:space="preserve"> </w:t>
      </w:r>
    </w:p>
    <w:p w14:paraId="4E873AB9" w14:textId="77777777" w:rsidR="00CD5950" w:rsidRPr="00716E29" w:rsidRDefault="00CD5950" w:rsidP="00CD5950">
      <w:pPr>
        <w:pStyle w:val="Heading2"/>
        <w:ind w:left="720"/>
        <w:rPr>
          <w:rFonts w:ascii="Times New Roman" w:hAnsi="Times New Roman"/>
          <w:b w:val="0"/>
          <w:bCs w:val="0"/>
          <w:i w:val="0"/>
          <w:iCs w:val="0"/>
          <w:sz w:val="24"/>
          <w:szCs w:val="24"/>
        </w:rPr>
      </w:pPr>
      <w:r w:rsidRPr="00716E29">
        <w:rPr>
          <w:rFonts w:ascii="Times New Roman" w:hAnsi="Times New Roman"/>
          <w:b w:val="0"/>
          <w:bCs w:val="0"/>
          <w:i w:val="0"/>
          <w:iCs w:val="0"/>
          <w:sz w:val="24"/>
          <w:szCs w:val="24"/>
        </w:rPr>
        <w:t xml:space="preserve">2921.43 Soliciting or accepting improper compensation. </w:t>
      </w:r>
      <w:hyperlink r:id="rId287" w:history="1">
        <w:r w:rsidRPr="00716E29">
          <w:rPr>
            <w:rStyle w:val="Hyperlink"/>
            <w:rFonts w:ascii="Times New Roman" w:hAnsi="Times New Roman"/>
            <w:b w:val="0"/>
            <w:bCs w:val="0"/>
            <w:i w:val="0"/>
            <w:iCs w:val="0"/>
            <w:sz w:val="24"/>
            <w:szCs w:val="24"/>
          </w:rPr>
          <w:t>http://codes.ohio.gov/orc/2921.43</w:t>
        </w:r>
      </w:hyperlink>
      <w:r w:rsidRPr="00716E29">
        <w:rPr>
          <w:rFonts w:ascii="Times New Roman" w:hAnsi="Times New Roman"/>
          <w:b w:val="0"/>
          <w:bCs w:val="0"/>
          <w:i w:val="0"/>
          <w:iCs w:val="0"/>
          <w:sz w:val="24"/>
          <w:szCs w:val="24"/>
        </w:rPr>
        <w:t xml:space="preserve"> </w:t>
      </w:r>
    </w:p>
    <w:p w14:paraId="4871180E" w14:textId="541458E7" w:rsidR="00CD5950" w:rsidRDefault="00CD5950" w:rsidP="002B1283">
      <w:pPr>
        <w:rPr>
          <w:rFonts w:ascii="Arial Black" w:hAnsi="Arial Black"/>
          <w:b/>
          <w:sz w:val="24"/>
          <w:szCs w:val="24"/>
        </w:rPr>
      </w:pPr>
    </w:p>
    <w:p w14:paraId="2BA37E25" w14:textId="0CD43D28" w:rsidR="00CD5950" w:rsidRDefault="00CD5950" w:rsidP="002B1283">
      <w:pPr>
        <w:rPr>
          <w:rFonts w:ascii="Arial Black" w:hAnsi="Arial Black"/>
          <w:b/>
          <w:sz w:val="24"/>
          <w:szCs w:val="24"/>
        </w:rPr>
      </w:pPr>
      <w:r>
        <w:rPr>
          <w:rFonts w:ascii="Arial Black" w:hAnsi="Arial Black"/>
          <w:b/>
          <w:sz w:val="24"/>
          <w:szCs w:val="24"/>
        </w:rPr>
        <w:t>1-7</w:t>
      </w:r>
      <w:r w:rsidR="000F483A">
        <w:rPr>
          <w:rFonts w:ascii="Arial Black" w:hAnsi="Arial Black"/>
          <w:b/>
          <w:sz w:val="24"/>
          <w:szCs w:val="24"/>
        </w:rPr>
        <w:t>3</w:t>
      </w:r>
    </w:p>
    <w:p w14:paraId="51570D31" w14:textId="77777777" w:rsidR="00CD5950" w:rsidRPr="00DF1EAD" w:rsidRDefault="00CD5950" w:rsidP="00CD5950">
      <w:pPr>
        <w:rPr>
          <w:rStyle w:val="num"/>
          <w:rFonts w:ascii="Arial Black" w:hAnsi="Arial Black"/>
          <w:sz w:val="28"/>
          <w:szCs w:val="28"/>
        </w:rPr>
      </w:pPr>
      <w:r>
        <w:rPr>
          <w:rStyle w:val="num"/>
          <w:rFonts w:ascii="Arial Black" w:hAnsi="Arial Black"/>
          <w:sz w:val="28"/>
          <w:szCs w:val="28"/>
        </w:rPr>
        <w:t>VA:  FED. FIREARMS LAW – MISD. DOMESTIC VIOLENCE CONV. - LIFETIME BAN – VOL. FF MUST GET EXPUNGED</w:t>
      </w:r>
    </w:p>
    <w:p w14:paraId="13A1E40D" w14:textId="77777777" w:rsidR="00CD5950" w:rsidRDefault="00CD5950" w:rsidP="00CD5950">
      <w:pPr>
        <w:pStyle w:val="Heading1"/>
        <w:rPr>
          <w:b w:val="0"/>
          <w:bCs w:val="0"/>
          <w:sz w:val="24"/>
          <w:szCs w:val="24"/>
        </w:rPr>
      </w:pPr>
      <w:r>
        <w:rPr>
          <w:b w:val="0"/>
          <w:bCs w:val="0"/>
          <w:sz w:val="24"/>
          <w:szCs w:val="24"/>
        </w:rPr>
        <w:t xml:space="preserve">On Feb. 22, 2021, in </w:t>
      </w:r>
      <w:r w:rsidRPr="00506AF4">
        <w:rPr>
          <w:b w:val="0"/>
          <w:bCs w:val="0"/>
          <w:sz w:val="24"/>
          <w:szCs w:val="24"/>
          <w:u w:val="single"/>
        </w:rPr>
        <w:t>Robert Timothy Harley v. Robert M. Wil</w:t>
      </w:r>
      <w:r>
        <w:rPr>
          <w:b w:val="0"/>
          <w:bCs w:val="0"/>
          <w:sz w:val="24"/>
          <w:szCs w:val="24"/>
          <w:u w:val="single"/>
        </w:rPr>
        <w:t>kin</w:t>
      </w:r>
      <w:r w:rsidRPr="00506AF4">
        <w:rPr>
          <w:b w:val="0"/>
          <w:bCs w:val="0"/>
          <w:sz w:val="24"/>
          <w:szCs w:val="24"/>
          <w:u w:val="single"/>
        </w:rPr>
        <w:t>son, Acting Attorney General of United States</w:t>
      </w:r>
      <w:r>
        <w:rPr>
          <w:b w:val="0"/>
          <w:bCs w:val="0"/>
          <w:sz w:val="24"/>
          <w:szCs w:val="24"/>
        </w:rPr>
        <w:t>, the U.S. Court of Appeals for the Fourth Circuit held (2 to 1) that federal courts have no authority to amend the life-time ban imposed by Congress in 1996 on possession of a firearm by anyone convicted of “</w:t>
      </w:r>
      <w:hyperlink r:id="rId288" w:history="1">
        <w:r w:rsidRPr="00041BD1">
          <w:rPr>
            <w:rStyle w:val="Hyperlink"/>
            <w:b w:val="0"/>
            <w:bCs w:val="0"/>
            <w:sz w:val="24"/>
            <w:szCs w:val="24"/>
          </w:rPr>
          <w:t>misdemeanor crime of domestic violence</w:t>
        </w:r>
      </w:hyperlink>
      <w:r>
        <w:rPr>
          <w:b w:val="0"/>
          <w:bCs w:val="0"/>
          <w:sz w:val="24"/>
          <w:szCs w:val="24"/>
        </w:rPr>
        <w:t xml:space="preserve">” (18 USC 922 (g)(9)). His only remedy is to seek expungement of the conviction in Virginia, or a pardon from the President. </w:t>
      </w:r>
    </w:p>
    <w:p w14:paraId="44B672A1" w14:textId="77777777" w:rsidR="00CD5950" w:rsidRDefault="00CD5950" w:rsidP="00CD5950">
      <w:pPr>
        <w:pStyle w:val="Heading1"/>
        <w:ind w:left="720"/>
        <w:rPr>
          <w:b w:val="0"/>
          <w:bCs w:val="0"/>
          <w:sz w:val="24"/>
          <w:szCs w:val="24"/>
        </w:rPr>
      </w:pPr>
      <w:r>
        <w:rPr>
          <w:b w:val="0"/>
          <w:bCs w:val="0"/>
          <w:sz w:val="24"/>
          <w:szCs w:val="24"/>
        </w:rPr>
        <w:t>“</w:t>
      </w:r>
      <w:r w:rsidRPr="00A555AB">
        <w:rPr>
          <w:b w:val="0"/>
          <w:bCs w:val="0"/>
          <w:sz w:val="24"/>
          <w:szCs w:val="24"/>
        </w:rPr>
        <w:t>Harley argues that the district court improperly conducted its as-applied analysis under the Second Amendment because the court failed to consider Harley's personal history following his conviction. He contends that his individual characteristics, namely, the long passage of time since his misdemeanor conviction and his exemplary life in the many years since his conviction, render Section 922(g)(9) unconstitutional as applied to him.</w:t>
      </w:r>
    </w:p>
    <w:p w14:paraId="26587543" w14:textId="77777777" w:rsidR="00CD5950" w:rsidRDefault="00CD5950" w:rsidP="00CD5950">
      <w:pPr>
        <w:pStyle w:val="Heading1"/>
        <w:ind w:firstLine="720"/>
        <w:rPr>
          <w:b w:val="0"/>
          <w:bCs w:val="0"/>
          <w:sz w:val="24"/>
          <w:szCs w:val="24"/>
        </w:rPr>
      </w:pPr>
      <w:r>
        <w:rPr>
          <w:b w:val="0"/>
          <w:bCs w:val="0"/>
          <w:sz w:val="24"/>
          <w:szCs w:val="24"/>
        </w:rPr>
        <w:t>***</w:t>
      </w:r>
    </w:p>
    <w:p w14:paraId="2A975EF6" w14:textId="77777777" w:rsidR="00CD5950" w:rsidRDefault="00CD5950" w:rsidP="00CD5950">
      <w:pPr>
        <w:pStyle w:val="Heading1"/>
        <w:ind w:left="720"/>
        <w:rPr>
          <w:b w:val="0"/>
          <w:bCs w:val="0"/>
          <w:sz w:val="24"/>
          <w:szCs w:val="24"/>
        </w:rPr>
      </w:pPr>
      <w:r w:rsidRPr="00DF1EAD">
        <w:rPr>
          <w:b w:val="0"/>
          <w:bCs w:val="0"/>
          <w:sz w:val="24"/>
          <w:szCs w:val="24"/>
        </w:rPr>
        <w:t>Harley's suggested approach is fundamentally flawed because it effectively would create an exception to the statute that does not exist. The statute imposes a flat prohibition, with no reference to individual circumstances occurring after the disqualifying conviction. Despite its power to do so, Congress did not provide a sunset clause or a good behavior exception to the statute.</w:t>
      </w:r>
      <w:r>
        <w:rPr>
          <w:b w:val="0"/>
          <w:bCs w:val="0"/>
          <w:sz w:val="24"/>
          <w:szCs w:val="24"/>
        </w:rPr>
        <w:t xml:space="preserve">” </w:t>
      </w:r>
      <w:hyperlink r:id="rId289" w:history="1">
        <w:r w:rsidRPr="00EA374E">
          <w:rPr>
            <w:rStyle w:val="Hyperlink"/>
            <w:b w:val="0"/>
            <w:bCs w:val="0"/>
            <w:sz w:val="24"/>
            <w:szCs w:val="24"/>
          </w:rPr>
          <w:t>https://www.ca4.uscourts.gov/opinions/191632.P.pdf</w:t>
        </w:r>
      </w:hyperlink>
      <w:r>
        <w:rPr>
          <w:b w:val="0"/>
          <w:bCs w:val="0"/>
          <w:sz w:val="24"/>
          <w:szCs w:val="24"/>
        </w:rPr>
        <w:t xml:space="preserve"> </w:t>
      </w:r>
    </w:p>
    <w:p w14:paraId="0C22D21F" w14:textId="77777777" w:rsidR="00CD5950" w:rsidRDefault="00CD5950" w:rsidP="00CD5950">
      <w:pPr>
        <w:pStyle w:val="NoSpacing"/>
        <w:rPr>
          <w:rFonts w:ascii="Times New Roman" w:hAnsi="Times New Roman"/>
          <w:sz w:val="24"/>
          <w:szCs w:val="24"/>
        </w:rPr>
      </w:pPr>
    </w:p>
    <w:p w14:paraId="66E8928F" w14:textId="77777777" w:rsidR="00CD5950" w:rsidRDefault="00CD5950" w:rsidP="00CD5950">
      <w:pPr>
        <w:pStyle w:val="NoSpacing"/>
        <w:rPr>
          <w:rFonts w:ascii="Times New Roman" w:hAnsi="Times New Roman"/>
          <w:sz w:val="24"/>
          <w:szCs w:val="24"/>
        </w:rPr>
      </w:pPr>
      <w:r w:rsidRPr="00041BD1">
        <w:rPr>
          <w:rFonts w:ascii="Times New Roman" w:hAnsi="Times New Roman"/>
          <w:b/>
          <w:bCs/>
          <w:sz w:val="24"/>
          <w:szCs w:val="24"/>
        </w:rPr>
        <w:t>Legal Lesson Learned:</w:t>
      </w:r>
      <w:r>
        <w:rPr>
          <w:rFonts w:ascii="Times New Roman" w:hAnsi="Times New Roman"/>
          <w:b/>
          <w:bCs/>
          <w:sz w:val="24"/>
          <w:szCs w:val="24"/>
        </w:rPr>
        <w:t xml:space="preserve">  Congress enacted this statute in 1996 in response to an increase in use of firearms in domestic violence cases.  </w:t>
      </w:r>
    </w:p>
    <w:p w14:paraId="034B5DB5" w14:textId="77777777" w:rsidR="00CD5950" w:rsidRDefault="00CD5950" w:rsidP="00CD5950">
      <w:pPr>
        <w:pStyle w:val="NoSpacing"/>
        <w:rPr>
          <w:rFonts w:ascii="Times New Roman" w:hAnsi="Times New Roman"/>
          <w:sz w:val="24"/>
          <w:szCs w:val="24"/>
        </w:rPr>
      </w:pPr>
    </w:p>
    <w:p w14:paraId="7D568F7D" w14:textId="77777777" w:rsidR="00CD5950" w:rsidRDefault="00CD5950" w:rsidP="00CD5950">
      <w:pPr>
        <w:pStyle w:val="NoSpacing"/>
        <w:ind w:left="720"/>
        <w:rPr>
          <w:rFonts w:ascii="Times New Roman" w:hAnsi="Times New Roman"/>
          <w:sz w:val="24"/>
          <w:szCs w:val="24"/>
        </w:rPr>
      </w:pPr>
      <w:r>
        <w:rPr>
          <w:rFonts w:ascii="Times New Roman" w:hAnsi="Times New Roman"/>
          <w:sz w:val="24"/>
          <w:szCs w:val="24"/>
        </w:rPr>
        <w:t xml:space="preserve">Note:   See these additional facts [from Dissenting Opinion by Circuit Judge Julius N. Richardson]  </w:t>
      </w:r>
    </w:p>
    <w:p w14:paraId="7CCBAB17" w14:textId="77777777" w:rsidR="00CD5950" w:rsidRDefault="00CD5950" w:rsidP="00CD5950">
      <w:pPr>
        <w:pStyle w:val="NoSpacing"/>
        <w:rPr>
          <w:rFonts w:ascii="Times New Roman" w:hAnsi="Times New Roman"/>
          <w:sz w:val="24"/>
          <w:szCs w:val="24"/>
        </w:rPr>
      </w:pPr>
    </w:p>
    <w:p w14:paraId="2C6F8BDD" w14:textId="77777777" w:rsidR="00CD5950" w:rsidRPr="00420C04" w:rsidRDefault="00CD5950" w:rsidP="00CD5950">
      <w:pPr>
        <w:pStyle w:val="NoSpacing"/>
        <w:ind w:left="1440"/>
        <w:rPr>
          <w:rFonts w:ascii="Times New Roman" w:eastAsia="Times New Roman" w:hAnsi="Times New Roman"/>
          <w:sz w:val="24"/>
          <w:szCs w:val="24"/>
        </w:rPr>
      </w:pPr>
      <w:r>
        <w:rPr>
          <w:rFonts w:ascii="Times New Roman" w:hAnsi="Times New Roman"/>
          <w:sz w:val="24"/>
          <w:szCs w:val="24"/>
        </w:rPr>
        <w:t>“</w:t>
      </w:r>
      <w:r w:rsidRPr="00420C04">
        <w:rPr>
          <w:rFonts w:ascii="Times New Roman" w:eastAsia="Times New Roman" w:hAnsi="Times New Roman"/>
          <w:sz w:val="24"/>
          <w:szCs w:val="24"/>
        </w:rPr>
        <w:t>Nearly thirty years ago, Harley paid a $75 fine after pleading guilty to a misdemeanor domestic assault charge under Virginia Code § 18.2-57.2. As Harley alleges,</w:t>
      </w:r>
      <w:r>
        <w:rPr>
          <w:rFonts w:ascii="Times New Roman" w:eastAsia="Times New Roman" w:hAnsi="Times New Roman"/>
          <w:sz w:val="24"/>
          <w:szCs w:val="24"/>
        </w:rPr>
        <w:t xml:space="preserve"> </w:t>
      </w:r>
      <w:r w:rsidRPr="00420C04">
        <w:rPr>
          <w:rFonts w:ascii="Times New Roman" w:eastAsia="Times New Roman" w:hAnsi="Times New Roman"/>
          <w:sz w:val="24"/>
          <w:szCs w:val="24"/>
        </w:rPr>
        <w:t xml:space="preserve">[t]he charge was based on a single, </w:t>
      </w:r>
      <w:proofErr w:type="gramStart"/>
      <w:r w:rsidRPr="00420C04">
        <w:rPr>
          <w:rFonts w:ascii="Times New Roman" w:eastAsia="Times New Roman" w:hAnsi="Times New Roman"/>
          <w:sz w:val="24"/>
          <w:szCs w:val="24"/>
        </w:rPr>
        <w:t>one off</w:t>
      </w:r>
      <w:proofErr w:type="gramEnd"/>
      <w:r w:rsidRPr="00420C04">
        <w:rPr>
          <w:rFonts w:ascii="Times New Roman" w:eastAsia="Times New Roman" w:hAnsi="Times New Roman"/>
          <w:sz w:val="24"/>
          <w:szCs w:val="24"/>
        </w:rPr>
        <w:t xml:space="preserve"> incident[:] Mr. Harley and his wife had an argument while she was inside a </w:t>
      </w:r>
      <w:proofErr w:type="gramStart"/>
      <w:r w:rsidRPr="00420C04">
        <w:rPr>
          <w:rFonts w:ascii="Times New Roman" w:eastAsia="Times New Roman" w:hAnsi="Times New Roman"/>
          <w:sz w:val="24"/>
          <w:szCs w:val="24"/>
        </w:rPr>
        <w:t>SUV</w:t>
      </w:r>
      <w:proofErr w:type="gramEnd"/>
      <w:r w:rsidRPr="00420C04">
        <w:rPr>
          <w:rFonts w:ascii="Times New Roman" w:eastAsia="Times New Roman" w:hAnsi="Times New Roman"/>
          <w:sz w:val="24"/>
          <w:szCs w:val="24"/>
        </w:rPr>
        <w:t xml:space="preserve"> and he was standing outside the vehicle. He stood on the running board and reached into the vehicle to turn it off, and she pushed him. He reached inside the vehicle to hold on and, in so doing, he grabbed her arm</w:t>
      </w:r>
      <w:r>
        <w:rPr>
          <w:rFonts w:ascii="Times New Roman" w:eastAsia="Times New Roman" w:hAnsi="Times New Roman"/>
          <w:sz w:val="24"/>
          <w:szCs w:val="24"/>
        </w:rPr>
        <w:t xml:space="preserve">…. </w:t>
      </w:r>
      <w:r w:rsidRPr="00420C04">
        <w:rPr>
          <w:rFonts w:ascii="Times New Roman" w:eastAsia="Times New Roman" w:hAnsi="Times New Roman"/>
          <w:sz w:val="24"/>
          <w:szCs w:val="24"/>
        </w:rPr>
        <w:t xml:space="preserve">During the incident, there </w:t>
      </w:r>
      <w:r>
        <w:rPr>
          <w:rFonts w:ascii="Times New Roman" w:eastAsia="Times New Roman" w:hAnsi="Times New Roman"/>
          <w:sz w:val="24"/>
          <w:szCs w:val="24"/>
        </w:rPr>
        <w:t>‘</w:t>
      </w:r>
      <w:r w:rsidRPr="00420C04">
        <w:rPr>
          <w:rFonts w:ascii="Times New Roman" w:eastAsia="Times New Roman" w:hAnsi="Times New Roman"/>
          <w:sz w:val="24"/>
          <w:szCs w:val="24"/>
        </w:rPr>
        <w:t>was no punching, slapping, hitting, or violence.</w:t>
      </w:r>
      <w:r>
        <w:rPr>
          <w:rFonts w:ascii="Times New Roman" w:eastAsia="Times New Roman" w:hAnsi="Times New Roman"/>
          <w:sz w:val="24"/>
          <w:szCs w:val="24"/>
        </w:rPr>
        <w:t>’</w:t>
      </w:r>
      <w:r w:rsidRPr="00420C04">
        <w:rPr>
          <w:rFonts w:ascii="Times New Roman" w:eastAsia="Times New Roman" w:hAnsi="Times New Roman"/>
          <w:sz w:val="24"/>
          <w:szCs w:val="24"/>
        </w:rPr>
        <w:t xml:space="preserve"> </w:t>
      </w:r>
      <w:r w:rsidRPr="00420C04">
        <w:rPr>
          <w:rFonts w:ascii="Times New Roman" w:eastAsia="Times New Roman" w:hAnsi="Times New Roman"/>
          <w:i/>
          <w:iCs/>
          <w:sz w:val="24"/>
          <w:szCs w:val="24"/>
        </w:rPr>
        <w:t>Id</w:t>
      </w:r>
      <w:r w:rsidRPr="00420C04">
        <w:rPr>
          <w:rFonts w:ascii="Times New Roman" w:eastAsia="Times New Roman" w:hAnsi="Times New Roman"/>
          <w:sz w:val="24"/>
          <w:szCs w:val="24"/>
        </w:rPr>
        <w:t xml:space="preserve">. While Harley and his wife later separated and divorced, they </w:t>
      </w:r>
      <w:r>
        <w:rPr>
          <w:rFonts w:ascii="Times New Roman" w:eastAsia="Times New Roman" w:hAnsi="Times New Roman"/>
          <w:sz w:val="24"/>
          <w:szCs w:val="24"/>
        </w:rPr>
        <w:t>‘</w:t>
      </w:r>
      <w:r w:rsidRPr="00420C04">
        <w:rPr>
          <w:rFonts w:ascii="Times New Roman" w:eastAsia="Times New Roman" w:hAnsi="Times New Roman"/>
          <w:sz w:val="24"/>
          <w:szCs w:val="24"/>
        </w:rPr>
        <w:t>remained on friendly and amicable terms working collaboratively to successfully raise their children.</w:t>
      </w:r>
      <w:r>
        <w:rPr>
          <w:rFonts w:ascii="Times New Roman" w:eastAsia="Times New Roman" w:hAnsi="Times New Roman"/>
          <w:sz w:val="24"/>
          <w:szCs w:val="24"/>
        </w:rPr>
        <w:t>’</w:t>
      </w:r>
      <w:r w:rsidRPr="00420C04">
        <w:rPr>
          <w:rFonts w:ascii="Times New Roman" w:eastAsia="Times New Roman" w:hAnsi="Times New Roman"/>
          <w:sz w:val="24"/>
          <w:szCs w:val="24"/>
        </w:rPr>
        <w:t xml:space="preserve"> </w:t>
      </w:r>
      <w:r w:rsidRPr="00420C04">
        <w:rPr>
          <w:rFonts w:ascii="Times New Roman" w:eastAsia="Times New Roman" w:hAnsi="Times New Roman"/>
          <w:i/>
          <w:iCs/>
          <w:sz w:val="24"/>
          <w:szCs w:val="24"/>
        </w:rPr>
        <w:t>Id</w:t>
      </w:r>
      <w:r w:rsidRPr="00420C04">
        <w:rPr>
          <w:rFonts w:ascii="Times New Roman" w:eastAsia="Times New Roman" w:hAnsi="Times New Roman"/>
          <w:sz w:val="24"/>
          <w:szCs w:val="24"/>
        </w:rPr>
        <w:t>. Harley provided an affidavit from his ex-wife supporting his version of the incident underlying his conviction. J.A. 23-24.</w:t>
      </w:r>
    </w:p>
    <w:p w14:paraId="4E557686" w14:textId="77777777" w:rsidR="00CD5950" w:rsidRDefault="00CD5950" w:rsidP="00CD5950">
      <w:pPr>
        <w:pStyle w:val="NoSpacing"/>
        <w:ind w:left="720" w:firstLine="720"/>
        <w:rPr>
          <w:rFonts w:ascii="Times New Roman" w:hAnsi="Times New Roman"/>
          <w:sz w:val="24"/>
          <w:szCs w:val="24"/>
        </w:rPr>
      </w:pPr>
    </w:p>
    <w:p w14:paraId="7E8E65DF" w14:textId="77777777" w:rsidR="00CD5950" w:rsidRDefault="00CD5950" w:rsidP="00CD5950">
      <w:pPr>
        <w:pStyle w:val="NoSpacing"/>
        <w:ind w:left="720" w:firstLine="720"/>
        <w:rPr>
          <w:rFonts w:ascii="Times New Roman" w:hAnsi="Times New Roman"/>
          <w:sz w:val="24"/>
          <w:szCs w:val="24"/>
        </w:rPr>
      </w:pPr>
    </w:p>
    <w:p w14:paraId="37E70D9B" w14:textId="77777777" w:rsidR="00CD5950" w:rsidRDefault="00CD5950" w:rsidP="00CD5950">
      <w:pPr>
        <w:pStyle w:val="NoSpacing"/>
        <w:ind w:left="720" w:firstLine="720"/>
        <w:rPr>
          <w:rFonts w:ascii="Times New Roman" w:hAnsi="Times New Roman"/>
          <w:sz w:val="24"/>
          <w:szCs w:val="24"/>
        </w:rPr>
      </w:pPr>
      <w:r>
        <w:rPr>
          <w:rFonts w:ascii="Times New Roman" w:hAnsi="Times New Roman"/>
          <w:sz w:val="24"/>
          <w:szCs w:val="24"/>
        </w:rPr>
        <w:lastRenderedPageBreak/>
        <w:t>***</w:t>
      </w:r>
    </w:p>
    <w:p w14:paraId="3601B4DF" w14:textId="77777777" w:rsidR="00CD5950" w:rsidRPr="00420C04" w:rsidRDefault="00CD5950" w:rsidP="00CD5950">
      <w:pPr>
        <w:pStyle w:val="NoSpacing"/>
        <w:ind w:left="1440"/>
        <w:rPr>
          <w:rFonts w:ascii="Times New Roman" w:hAnsi="Times New Roman"/>
          <w:sz w:val="24"/>
          <w:szCs w:val="24"/>
        </w:rPr>
      </w:pPr>
      <w:r w:rsidRPr="00420C04">
        <w:rPr>
          <w:rFonts w:ascii="Times New Roman" w:hAnsi="Times New Roman"/>
          <w:sz w:val="24"/>
          <w:szCs w:val="24"/>
        </w:rPr>
        <w:t xml:space="preserve">The government, citing a police report, suggests that Harley's actions were more serious and perhaps not a lone incident. </w:t>
      </w:r>
      <w:r w:rsidRPr="00420C04">
        <w:rPr>
          <w:rFonts w:ascii="Times New Roman" w:hAnsi="Times New Roman"/>
          <w:i/>
          <w:iCs/>
          <w:sz w:val="24"/>
          <w:szCs w:val="24"/>
        </w:rPr>
        <w:t>See</w:t>
      </w:r>
      <w:r w:rsidRPr="00420C04">
        <w:rPr>
          <w:rFonts w:ascii="Times New Roman" w:hAnsi="Times New Roman"/>
          <w:sz w:val="24"/>
          <w:szCs w:val="24"/>
        </w:rPr>
        <w:t xml:space="preserve"> Appellee Br. 3; J.A. 73. Maybe so. But the district court ignored the conduct underlying the conviction, believing it was not germane, and granted summary judgment for the government. In doing so, the court disregarded Harley's particular conviction.</w:t>
      </w:r>
    </w:p>
    <w:p w14:paraId="7A84A660" w14:textId="77777777" w:rsidR="00CD5950" w:rsidRDefault="00CD5950" w:rsidP="00CD5950">
      <w:pPr>
        <w:pStyle w:val="NoSpacing"/>
        <w:ind w:left="720"/>
        <w:rPr>
          <w:rFonts w:ascii="Times New Roman" w:hAnsi="Times New Roman"/>
          <w:sz w:val="24"/>
          <w:szCs w:val="24"/>
        </w:rPr>
      </w:pPr>
    </w:p>
    <w:p w14:paraId="4DEFA922" w14:textId="77777777" w:rsidR="00CD5950" w:rsidRDefault="00CD5950" w:rsidP="00CD5950">
      <w:pPr>
        <w:pStyle w:val="NoSpacing"/>
        <w:ind w:left="720" w:firstLine="720"/>
        <w:rPr>
          <w:rFonts w:ascii="Times New Roman" w:hAnsi="Times New Roman"/>
          <w:sz w:val="24"/>
          <w:szCs w:val="24"/>
        </w:rPr>
      </w:pPr>
      <w:r>
        <w:rPr>
          <w:rFonts w:ascii="Times New Roman" w:hAnsi="Times New Roman"/>
          <w:sz w:val="24"/>
          <w:szCs w:val="24"/>
        </w:rPr>
        <w:t>***</w:t>
      </w:r>
    </w:p>
    <w:p w14:paraId="7E386BB8" w14:textId="77777777" w:rsidR="00CD5950" w:rsidRDefault="00CD5950" w:rsidP="00CD5950">
      <w:pPr>
        <w:pStyle w:val="NoSpacing"/>
        <w:rPr>
          <w:rFonts w:ascii="Times New Roman" w:hAnsi="Times New Roman"/>
          <w:sz w:val="24"/>
          <w:szCs w:val="24"/>
        </w:rPr>
      </w:pPr>
    </w:p>
    <w:p w14:paraId="55896109" w14:textId="77777777" w:rsidR="00CD5950" w:rsidRPr="00420C04" w:rsidRDefault="00CD5950" w:rsidP="00CD5950">
      <w:pPr>
        <w:pStyle w:val="NoSpacing"/>
        <w:ind w:left="1440"/>
        <w:rPr>
          <w:rFonts w:ascii="Times New Roman" w:hAnsi="Times New Roman"/>
          <w:sz w:val="24"/>
          <w:szCs w:val="24"/>
        </w:rPr>
      </w:pPr>
      <w:r w:rsidRPr="00420C04">
        <w:rPr>
          <w:rFonts w:ascii="Times New Roman" w:hAnsi="Times New Roman"/>
          <w:sz w:val="24"/>
          <w:szCs w:val="24"/>
        </w:rPr>
        <w:t>Harley plausibly claims that § 922(g)(9) cannot be constitutionally applied to him as an individual with a nearly thirty-year-old misdemeanor conviction for recklessly causing an offensive touching. We should not categorically reject that claim. Accordingly, I respectfully dissent.</w:t>
      </w:r>
      <w:r>
        <w:rPr>
          <w:rFonts w:ascii="Times New Roman" w:hAnsi="Times New Roman"/>
          <w:sz w:val="24"/>
          <w:szCs w:val="24"/>
        </w:rPr>
        <w:t>”</w:t>
      </w:r>
    </w:p>
    <w:p w14:paraId="125C8564" w14:textId="77777777" w:rsidR="00CD5950" w:rsidRDefault="00CD5950" w:rsidP="00CD5950">
      <w:pPr>
        <w:pStyle w:val="NoSpacing"/>
        <w:ind w:left="720"/>
        <w:rPr>
          <w:rFonts w:ascii="Times New Roman" w:hAnsi="Times New Roman"/>
          <w:sz w:val="24"/>
          <w:szCs w:val="24"/>
        </w:rPr>
      </w:pPr>
    </w:p>
    <w:p w14:paraId="30F0AFD9" w14:textId="77777777" w:rsidR="00CD5950" w:rsidRDefault="00CD5950" w:rsidP="002B1283">
      <w:pPr>
        <w:rPr>
          <w:rFonts w:ascii="Arial Black" w:hAnsi="Arial Black"/>
          <w:b/>
          <w:sz w:val="24"/>
          <w:szCs w:val="24"/>
        </w:rPr>
      </w:pPr>
    </w:p>
    <w:p w14:paraId="3772B35A" w14:textId="77777777" w:rsidR="00CD5950" w:rsidRDefault="00CD5950" w:rsidP="002B1283">
      <w:pPr>
        <w:rPr>
          <w:rFonts w:ascii="Arial Black" w:hAnsi="Arial Black"/>
          <w:b/>
          <w:sz w:val="24"/>
          <w:szCs w:val="24"/>
        </w:rPr>
      </w:pPr>
    </w:p>
    <w:p w14:paraId="50C66CFE" w14:textId="43748C91" w:rsidR="00F90EE5" w:rsidRDefault="00F90EE5" w:rsidP="002B1283">
      <w:pPr>
        <w:rPr>
          <w:rFonts w:ascii="Arial Black" w:hAnsi="Arial Black"/>
          <w:b/>
          <w:sz w:val="24"/>
          <w:szCs w:val="24"/>
        </w:rPr>
      </w:pPr>
      <w:r>
        <w:rPr>
          <w:rFonts w:ascii="Arial Black" w:hAnsi="Arial Black"/>
          <w:b/>
          <w:sz w:val="24"/>
          <w:szCs w:val="24"/>
        </w:rPr>
        <w:t>1-7</w:t>
      </w:r>
      <w:r w:rsidR="000F483A">
        <w:rPr>
          <w:rFonts w:ascii="Arial Black" w:hAnsi="Arial Black"/>
          <w:b/>
          <w:sz w:val="24"/>
          <w:szCs w:val="24"/>
        </w:rPr>
        <w:t>2</w:t>
      </w:r>
    </w:p>
    <w:p w14:paraId="6F934797" w14:textId="77777777" w:rsidR="00F90EE5" w:rsidRDefault="00F90EE5" w:rsidP="00F90EE5">
      <w:pPr>
        <w:rPr>
          <w:rFonts w:ascii="Arial Black" w:hAnsi="Arial Black"/>
          <w:sz w:val="28"/>
          <w:szCs w:val="28"/>
        </w:rPr>
      </w:pPr>
      <w:r>
        <w:rPr>
          <w:rFonts w:ascii="Arial Black" w:hAnsi="Arial Black"/>
          <w:sz w:val="28"/>
          <w:szCs w:val="28"/>
        </w:rPr>
        <w:t>WA: BURN BAN – SMALL FIRE – PD NEEDED WARRANT, “COMMUNITY CARETAKING” EXCEPTION DOESN’T APPY</w:t>
      </w:r>
    </w:p>
    <w:p w14:paraId="002E708F" w14:textId="77777777" w:rsidR="00F90EE5" w:rsidRDefault="00F90EE5" w:rsidP="00F90EE5">
      <w:pPr>
        <w:rPr>
          <w:rFonts w:ascii="Times New Roman" w:hAnsi="Times New Roman"/>
          <w:sz w:val="24"/>
          <w:szCs w:val="24"/>
        </w:rPr>
      </w:pPr>
      <w:r>
        <w:rPr>
          <w:rFonts w:ascii="Times New Roman" w:hAnsi="Times New Roman"/>
          <w:sz w:val="24"/>
          <w:szCs w:val="24"/>
        </w:rPr>
        <w:t xml:space="preserve">On Jan. 26, 2021, in </w:t>
      </w:r>
      <w:r w:rsidRPr="00E17590">
        <w:rPr>
          <w:rFonts w:ascii="Times New Roman" w:hAnsi="Times New Roman"/>
          <w:sz w:val="24"/>
          <w:szCs w:val="24"/>
          <w:u w:val="single"/>
        </w:rPr>
        <w:t xml:space="preserve">State of Washington v. Troy C. </w:t>
      </w:r>
      <w:proofErr w:type="spellStart"/>
      <w:r w:rsidRPr="00E17590">
        <w:rPr>
          <w:rFonts w:ascii="Times New Roman" w:hAnsi="Times New Roman"/>
          <w:sz w:val="24"/>
          <w:szCs w:val="24"/>
          <w:u w:val="single"/>
        </w:rPr>
        <w:t>Restvedt</w:t>
      </w:r>
      <w:proofErr w:type="spellEnd"/>
      <w:r>
        <w:rPr>
          <w:rFonts w:ascii="Times New Roman" w:hAnsi="Times New Roman"/>
          <w:sz w:val="24"/>
          <w:szCs w:val="24"/>
        </w:rPr>
        <w:t xml:space="preserve">, the Court of Appeals of the State of Washington (Division II) held (2 to 1; unpublished opinion) that </w:t>
      </w:r>
      <w:r w:rsidRPr="00E17590">
        <w:rPr>
          <w:rFonts w:ascii="Times New Roman" w:hAnsi="Times New Roman"/>
          <w:sz w:val="24"/>
          <w:szCs w:val="24"/>
        </w:rPr>
        <w:t xml:space="preserve">the trial court trial court </w:t>
      </w:r>
      <w:r>
        <w:rPr>
          <w:rFonts w:ascii="Times New Roman" w:hAnsi="Times New Roman"/>
          <w:sz w:val="24"/>
          <w:szCs w:val="24"/>
        </w:rPr>
        <w:t xml:space="preserve">improperly ruled </w:t>
      </w:r>
      <w:r w:rsidRPr="00E17590">
        <w:rPr>
          <w:rFonts w:ascii="Times New Roman" w:hAnsi="Times New Roman"/>
          <w:sz w:val="24"/>
          <w:szCs w:val="24"/>
        </w:rPr>
        <w:t>that the emergency aid function of the community caretaking exception applied to the officers' warrantless search</w:t>
      </w:r>
      <w:r>
        <w:rPr>
          <w:rFonts w:ascii="Times New Roman" w:hAnsi="Times New Roman"/>
          <w:sz w:val="24"/>
          <w:szCs w:val="24"/>
        </w:rPr>
        <w:t xml:space="preserve"> of the property and reversed the homeowners convictions for violating the no burn ordinance and resisting arrest.  The dissenting justice agreed with the trial court judge that no search warrant was required.</w:t>
      </w:r>
    </w:p>
    <w:p w14:paraId="10A0C571" w14:textId="77777777" w:rsidR="00F90EE5" w:rsidRPr="00D52F5A" w:rsidRDefault="00F90EE5" w:rsidP="00F90EE5">
      <w:pPr>
        <w:ind w:left="720"/>
        <w:rPr>
          <w:rFonts w:ascii="Times New Roman" w:hAnsi="Times New Roman"/>
          <w:sz w:val="24"/>
          <w:szCs w:val="24"/>
        </w:rPr>
      </w:pPr>
      <w:r>
        <w:rPr>
          <w:rFonts w:ascii="Times New Roman" w:hAnsi="Times New Roman"/>
          <w:sz w:val="24"/>
          <w:szCs w:val="24"/>
        </w:rPr>
        <w:t>“[T]he</w:t>
      </w:r>
      <w:r w:rsidRPr="00D52F5A">
        <w:rPr>
          <w:rFonts w:ascii="Times New Roman" w:hAnsi="Times New Roman"/>
          <w:sz w:val="24"/>
          <w:szCs w:val="24"/>
        </w:rPr>
        <w:t xml:space="preserve"> community caretaking exception is not the only exception to the warrant requirement. If officers were addressing a fire that was out of control, the exigent circumstances exception to the warrant requirement could have applied. </w:t>
      </w:r>
      <w:r w:rsidRPr="00D52F5A">
        <w:rPr>
          <w:rFonts w:ascii="Times New Roman" w:hAnsi="Times New Roman"/>
          <w:i/>
          <w:iCs/>
          <w:sz w:val="24"/>
          <w:szCs w:val="24"/>
        </w:rPr>
        <w:t>See State v</w:t>
      </w:r>
      <w:r w:rsidRPr="00D52F5A">
        <w:rPr>
          <w:rFonts w:ascii="Times New Roman" w:hAnsi="Times New Roman"/>
          <w:sz w:val="24"/>
          <w:szCs w:val="24"/>
        </w:rPr>
        <w:t xml:space="preserve">. </w:t>
      </w:r>
      <w:r w:rsidRPr="00D52F5A">
        <w:rPr>
          <w:rFonts w:ascii="Times New Roman" w:hAnsi="Times New Roman"/>
          <w:i/>
          <w:iCs/>
          <w:sz w:val="24"/>
          <w:szCs w:val="24"/>
        </w:rPr>
        <w:t>Rawley</w:t>
      </w:r>
      <w:r w:rsidRPr="00D52F5A">
        <w:rPr>
          <w:rFonts w:ascii="Times New Roman" w:hAnsi="Times New Roman"/>
          <w:sz w:val="24"/>
          <w:szCs w:val="24"/>
        </w:rPr>
        <w:t xml:space="preserve">, 13 </w:t>
      </w:r>
      <w:proofErr w:type="spellStart"/>
      <w:r w:rsidRPr="00D52F5A">
        <w:rPr>
          <w:rFonts w:ascii="Times New Roman" w:hAnsi="Times New Roman"/>
          <w:sz w:val="24"/>
          <w:szCs w:val="24"/>
        </w:rPr>
        <w:t>Wn</w:t>
      </w:r>
      <w:proofErr w:type="spellEnd"/>
      <w:r w:rsidRPr="00D52F5A">
        <w:rPr>
          <w:rFonts w:ascii="Times New Roman" w:hAnsi="Times New Roman"/>
          <w:sz w:val="24"/>
          <w:szCs w:val="24"/>
        </w:rPr>
        <w:t>. App. 2d 474, 479, 466 P.3d 784 (2020). But here there was no evidence of any exigent circumstances.</w:t>
      </w:r>
      <w:r>
        <w:rPr>
          <w:rFonts w:ascii="Times New Roman" w:hAnsi="Times New Roman"/>
          <w:sz w:val="24"/>
          <w:szCs w:val="24"/>
        </w:rPr>
        <w:t xml:space="preserve">” </w:t>
      </w:r>
      <w:hyperlink r:id="rId290" w:history="1">
        <w:r w:rsidRPr="00741B4E">
          <w:rPr>
            <w:rStyle w:val="Hyperlink"/>
            <w:rFonts w:ascii="Times New Roman" w:hAnsi="Times New Roman"/>
            <w:sz w:val="24"/>
            <w:szCs w:val="24"/>
          </w:rPr>
          <w:t>https://law.justia.com/cases/washington/court-of-appeals-division-ii/2021/53365-1.html</w:t>
        </w:r>
      </w:hyperlink>
      <w:r>
        <w:rPr>
          <w:rFonts w:ascii="Times New Roman" w:hAnsi="Times New Roman"/>
          <w:sz w:val="24"/>
          <w:szCs w:val="24"/>
        </w:rPr>
        <w:t xml:space="preserve"> </w:t>
      </w:r>
    </w:p>
    <w:p w14:paraId="126D9A86" w14:textId="77777777" w:rsidR="00F90EE5" w:rsidRDefault="00F90EE5" w:rsidP="00F90EE5">
      <w:pPr>
        <w:spacing w:after="100" w:line="240" w:lineRule="auto"/>
        <w:rPr>
          <w:rFonts w:ascii="Times New Roman" w:hAnsi="Times New Roman"/>
          <w:b/>
          <w:bCs/>
          <w:sz w:val="24"/>
          <w:szCs w:val="24"/>
        </w:rPr>
      </w:pPr>
      <w:r w:rsidRPr="00AF6A7E">
        <w:rPr>
          <w:rFonts w:ascii="Times New Roman" w:hAnsi="Times New Roman"/>
          <w:b/>
          <w:bCs/>
          <w:sz w:val="24"/>
          <w:szCs w:val="24"/>
        </w:rPr>
        <w:t xml:space="preserve">Legal Lesson Learned: </w:t>
      </w:r>
      <w:r>
        <w:rPr>
          <w:rFonts w:ascii="Times New Roman" w:hAnsi="Times New Roman"/>
          <w:b/>
          <w:bCs/>
          <w:sz w:val="24"/>
          <w:szCs w:val="24"/>
        </w:rPr>
        <w:t xml:space="preserve"> The dissenting judge agreed with the trial court that the police did not need a search warrant to enter the property. </w:t>
      </w:r>
      <w:r>
        <w:rPr>
          <w:rFonts w:ascii="Times New Roman" w:hAnsi="Times New Roman"/>
          <w:b/>
          <w:bCs/>
          <w:sz w:val="24"/>
          <w:szCs w:val="24"/>
        </w:rPr>
        <w:br/>
      </w:r>
    </w:p>
    <w:p w14:paraId="11CDB43D" w14:textId="77777777" w:rsidR="00F90EE5" w:rsidRDefault="00F90EE5" w:rsidP="00F90EE5">
      <w:pPr>
        <w:spacing w:after="100" w:line="240" w:lineRule="auto"/>
        <w:rPr>
          <w:rFonts w:ascii="Times New Roman" w:hAnsi="Times New Roman"/>
          <w:b/>
          <w:bCs/>
          <w:sz w:val="24"/>
          <w:szCs w:val="24"/>
        </w:rPr>
      </w:pPr>
      <w:r>
        <w:rPr>
          <w:rFonts w:ascii="Times New Roman" w:hAnsi="Times New Roman"/>
          <w:b/>
          <w:bCs/>
          <w:sz w:val="24"/>
          <w:szCs w:val="24"/>
        </w:rPr>
        <w:tab/>
      </w:r>
      <w:r w:rsidRPr="00AF6A7E">
        <w:rPr>
          <w:rFonts w:ascii="Times New Roman" w:hAnsi="Times New Roman"/>
          <w:sz w:val="24"/>
          <w:szCs w:val="24"/>
        </w:rPr>
        <w:t>Note: Dissenting Judge</w:t>
      </w:r>
      <w:r>
        <w:rPr>
          <w:rFonts w:ascii="Times New Roman" w:hAnsi="Times New Roman"/>
          <w:sz w:val="24"/>
          <w:szCs w:val="24"/>
        </w:rPr>
        <w:t>’s opinion</w:t>
      </w:r>
      <w:r w:rsidRPr="00AF6A7E">
        <w:rPr>
          <w:rFonts w:ascii="Times New Roman" w:hAnsi="Times New Roman"/>
          <w:sz w:val="24"/>
          <w:szCs w:val="24"/>
        </w:rPr>
        <w:t>:</w:t>
      </w:r>
      <w:r>
        <w:rPr>
          <w:rFonts w:ascii="Times New Roman" w:hAnsi="Times New Roman"/>
          <w:b/>
          <w:bCs/>
          <w:sz w:val="24"/>
          <w:szCs w:val="24"/>
        </w:rPr>
        <w:t xml:space="preserve"> </w:t>
      </w:r>
    </w:p>
    <w:p w14:paraId="1B884C6C" w14:textId="77777777" w:rsidR="00F90EE5" w:rsidRPr="00AF6A7E" w:rsidRDefault="00F90EE5" w:rsidP="00F90EE5">
      <w:pPr>
        <w:spacing w:after="100" w:line="240" w:lineRule="auto"/>
        <w:ind w:left="720"/>
        <w:rPr>
          <w:rFonts w:ascii="Times New Roman" w:hAnsi="Times New Roman"/>
          <w:b/>
          <w:bCs/>
          <w:sz w:val="24"/>
          <w:szCs w:val="24"/>
        </w:rPr>
      </w:pPr>
      <w:r>
        <w:rPr>
          <w:rFonts w:ascii="Times New Roman" w:hAnsi="Times New Roman"/>
          <w:b/>
          <w:bCs/>
          <w:sz w:val="24"/>
          <w:szCs w:val="24"/>
        </w:rPr>
        <w:t>“</w:t>
      </w:r>
      <w:r w:rsidRPr="00AF6A7E">
        <w:rPr>
          <w:rFonts w:ascii="Times New Roman" w:hAnsi="Times New Roman"/>
          <w:sz w:val="24"/>
          <w:szCs w:val="24"/>
        </w:rPr>
        <w:t xml:space="preserve">The trial court concluded that given what the officers knew when they arrived, that there was a burn ban because of severe fire danger, that </w:t>
      </w:r>
      <w:proofErr w:type="spellStart"/>
      <w:r w:rsidRPr="00AF6A7E">
        <w:rPr>
          <w:rFonts w:ascii="Times New Roman" w:hAnsi="Times New Roman"/>
          <w:sz w:val="24"/>
          <w:szCs w:val="24"/>
        </w:rPr>
        <w:t>Restvedt</w:t>
      </w:r>
      <w:proofErr w:type="spellEnd"/>
      <w:r w:rsidRPr="00AF6A7E">
        <w:rPr>
          <w:rFonts w:ascii="Times New Roman" w:hAnsi="Times New Roman"/>
          <w:sz w:val="24"/>
          <w:szCs w:val="24"/>
        </w:rPr>
        <w:t xml:space="preserve"> was ignoring a fire department demand that he not burn fires in his backyard, that the fire department had asked for police assistance, that there were large trees nearby, and that they smelled smoke as soon as they arrived, this warranted them walking on the gravel driveway toward the backyard. Once they were near the backyard, they saw the fire through hanging tarps. All of this warranted them entering the backyard because they had </w:t>
      </w:r>
      <w:r>
        <w:rPr>
          <w:rFonts w:ascii="Times New Roman" w:hAnsi="Times New Roman"/>
          <w:sz w:val="24"/>
          <w:szCs w:val="24"/>
        </w:rPr>
        <w:t>‘</w:t>
      </w:r>
      <w:r w:rsidRPr="00AF6A7E">
        <w:rPr>
          <w:rFonts w:ascii="Times New Roman" w:hAnsi="Times New Roman"/>
          <w:sz w:val="24"/>
          <w:szCs w:val="24"/>
        </w:rPr>
        <w:t>a legitimate emergency concern in ensuring the defendant's fire was out during a county-wide burn ban</w:t>
      </w:r>
      <w:r>
        <w:rPr>
          <w:rFonts w:ascii="Times New Roman" w:hAnsi="Times New Roman"/>
          <w:sz w:val="24"/>
          <w:szCs w:val="24"/>
        </w:rPr>
        <w:t>’</w:t>
      </w:r>
      <w:r w:rsidRPr="00AF6A7E">
        <w:rPr>
          <w:rFonts w:ascii="Times New Roman" w:hAnsi="Times New Roman"/>
          <w:sz w:val="24"/>
          <w:szCs w:val="24"/>
        </w:rPr>
        <w:t xml:space="preserve"> under the community caretaking exception to the warrant requirement.</w:t>
      </w:r>
      <w:r>
        <w:rPr>
          <w:rFonts w:ascii="Times New Roman" w:hAnsi="Times New Roman"/>
          <w:sz w:val="24"/>
          <w:szCs w:val="24"/>
        </w:rPr>
        <w:t>”</w:t>
      </w:r>
    </w:p>
    <w:p w14:paraId="56E890EB" w14:textId="77777777" w:rsidR="00F90EE5" w:rsidRDefault="00F90EE5" w:rsidP="00F90EE5">
      <w:pPr>
        <w:spacing w:after="100" w:line="240" w:lineRule="auto"/>
        <w:ind w:left="720"/>
        <w:rPr>
          <w:rFonts w:ascii="Times New Roman" w:hAnsi="Times New Roman"/>
          <w:sz w:val="24"/>
          <w:szCs w:val="24"/>
        </w:rPr>
      </w:pPr>
    </w:p>
    <w:p w14:paraId="773E9EC0" w14:textId="40DF3C82" w:rsidR="00F90EE5" w:rsidRDefault="00F90EE5" w:rsidP="002B1283">
      <w:pPr>
        <w:rPr>
          <w:rFonts w:ascii="Arial Black" w:hAnsi="Arial Black"/>
          <w:b/>
          <w:sz w:val="24"/>
          <w:szCs w:val="24"/>
        </w:rPr>
      </w:pPr>
      <w:r>
        <w:rPr>
          <w:rFonts w:ascii="Arial Black" w:hAnsi="Arial Black"/>
          <w:b/>
          <w:sz w:val="24"/>
          <w:szCs w:val="24"/>
        </w:rPr>
        <w:t>1-7</w:t>
      </w:r>
      <w:r w:rsidR="000F483A">
        <w:rPr>
          <w:rFonts w:ascii="Arial Black" w:hAnsi="Arial Black"/>
          <w:b/>
          <w:sz w:val="24"/>
          <w:szCs w:val="24"/>
        </w:rPr>
        <w:t>1</w:t>
      </w:r>
    </w:p>
    <w:p w14:paraId="2C155BE7" w14:textId="77777777" w:rsidR="00F90EE5" w:rsidRPr="00E91447" w:rsidRDefault="00F90EE5" w:rsidP="00F90EE5">
      <w:pPr>
        <w:rPr>
          <w:rFonts w:ascii="Arial Black" w:hAnsi="Arial Black"/>
          <w:sz w:val="28"/>
          <w:szCs w:val="28"/>
        </w:rPr>
      </w:pPr>
      <w:r>
        <w:rPr>
          <w:rFonts w:ascii="Arial Black" w:hAnsi="Arial Black"/>
          <w:sz w:val="28"/>
          <w:szCs w:val="28"/>
        </w:rPr>
        <w:lastRenderedPageBreak/>
        <w:t>IOWA:  ARSON – MOTORCYCLE HELMET / GLOVES / SUIT SMELLED GAS – USE NYLON EVIDENCE BAGS IF AVAILABLE</w:t>
      </w:r>
    </w:p>
    <w:p w14:paraId="4A736B42" w14:textId="77777777" w:rsidR="00F90EE5" w:rsidRDefault="00F90EE5" w:rsidP="00F90EE5">
      <w:pPr>
        <w:rPr>
          <w:rFonts w:ascii="Times New Roman" w:hAnsi="Times New Roman"/>
          <w:sz w:val="24"/>
          <w:szCs w:val="24"/>
        </w:rPr>
      </w:pPr>
      <w:r w:rsidRPr="00E91447">
        <w:rPr>
          <w:rFonts w:ascii="Times New Roman" w:hAnsi="Times New Roman"/>
          <w:sz w:val="24"/>
          <w:szCs w:val="24"/>
        </w:rPr>
        <w:t xml:space="preserve">On Jan. 21, 2021, in </w:t>
      </w:r>
      <w:r w:rsidRPr="00E91447">
        <w:rPr>
          <w:rFonts w:ascii="Times New Roman" w:hAnsi="Times New Roman"/>
          <w:sz w:val="24"/>
          <w:szCs w:val="24"/>
          <w:u w:val="single"/>
        </w:rPr>
        <w:t>State of Iowa v. Patrick Ryan Thompson</w:t>
      </w:r>
      <w:r>
        <w:rPr>
          <w:rFonts w:ascii="Times New Roman" w:hAnsi="Times New Roman"/>
          <w:sz w:val="24"/>
          <w:szCs w:val="24"/>
        </w:rPr>
        <w:t>, the Court of Appeals of Iowa upheld (3 to 0) the jury conviction for murder and arson; while the smell of gasoline on the defendant’s motorcycle suit, helmet and gloves, when evidence reached the state crime lab “</w:t>
      </w:r>
      <w:r w:rsidRPr="00A1755E">
        <w:rPr>
          <w:rFonts w:ascii="Times New Roman" w:hAnsi="Times New Roman"/>
          <w:sz w:val="24"/>
          <w:szCs w:val="24"/>
        </w:rPr>
        <w:t>none of the items had traces of gasoline.</w:t>
      </w:r>
      <w:r>
        <w:rPr>
          <w:rFonts w:ascii="Times New Roman" w:hAnsi="Times New Roman"/>
          <w:sz w:val="24"/>
          <w:szCs w:val="24"/>
        </w:rPr>
        <w:t xml:space="preserve">”  The trial judge properly refused to give the jury instruction on “spoliation.”  </w:t>
      </w:r>
    </w:p>
    <w:p w14:paraId="48E6A19C" w14:textId="77777777" w:rsidR="00F90EE5" w:rsidRDefault="00F90EE5" w:rsidP="00F90EE5">
      <w:pPr>
        <w:ind w:left="720"/>
        <w:rPr>
          <w:rFonts w:ascii="Times New Roman" w:hAnsi="Times New Roman"/>
          <w:sz w:val="24"/>
          <w:szCs w:val="24"/>
        </w:rPr>
      </w:pPr>
      <w:r>
        <w:rPr>
          <w:rFonts w:ascii="Times New Roman" w:hAnsi="Times New Roman"/>
          <w:sz w:val="24"/>
          <w:szCs w:val="24"/>
        </w:rPr>
        <w:t>“</w:t>
      </w:r>
      <w:r w:rsidRPr="00A1755E">
        <w:rPr>
          <w:rFonts w:ascii="Times New Roman" w:hAnsi="Times New Roman"/>
          <w:sz w:val="24"/>
          <w:szCs w:val="24"/>
        </w:rPr>
        <w:t>The nylon bags are expensive, and departments do not always have them. In this case, while waiting for a warrant to collect the evidence, which took more than two hours, law enforcement officials attempted to locate a nylon bag and were unable to do so. The items were placed in a paper bag and then placed in the trunk of the collecting officer's car. When the paper bag was delivered to the lab for testing, it was placed in a nylon bag. Later, when the bag was opened, the smell of gasoline had dissipated.</w:t>
      </w:r>
    </w:p>
    <w:p w14:paraId="7B3572F8" w14:textId="77777777" w:rsidR="00F90EE5" w:rsidRPr="00A1755E" w:rsidRDefault="00F90EE5" w:rsidP="00F90EE5">
      <w:pPr>
        <w:ind w:left="720"/>
        <w:rPr>
          <w:rFonts w:ascii="Times New Roman" w:hAnsi="Times New Roman"/>
          <w:sz w:val="24"/>
          <w:szCs w:val="24"/>
        </w:rPr>
      </w:pPr>
      <w:r>
        <w:rPr>
          <w:rFonts w:ascii="Times New Roman" w:hAnsi="Times New Roman"/>
          <w:sz w:val="24"/>
          <w:szCs w:val="24"/>
        </w:rPr>
        <w:t>***</w:t>
      </w:r>
    </w:p>
    <w:p w14:paraId="4C88A0A9" w14:textId="77777777" w:rsidR="00F90EE5" w:rsidRDefault="00F90EE5" w:rsidP="00F90EE5">
      <w:pPr>
        <w:pStyle w:val="NoSpacing"/>
        <w:ind w:left="720"/>
        <w:rPr>
          <w:rFonts w:ascii="Times New Roman" w:hAnsi="Times New Roman"/>
          <w:sz w:val="24"/>
          <w:szCs w:val="24"/>
        </w:rPr>
      </w:pPr>
      <w:r w:rsidRPr="009D30DF">
        <w:rPr>
          <w:rFonts w:ascii="Times New Roman" w:hAnsi="Times New Roman"/>
          <w:sz w:val="24"/>
          <w:szCs w:val="24"/>
        </w:rPr>
        <w:t xml:space="preserve">Thompson has failed to show there was an intentional destruction of evidence to necessitate a spoliation instruction. </w:t>
      </w:r>
      <w:hyperlink r:id="rId291" w:history="1">
        <w:r w:rsidRPr="00574F77">
          <w:rPr>
            <w:rStyle w:val="Hyperlink"/>
            <w:rFonts w:ascii="Times New Roman" w:hAnsi="Times New Roman"/>
            <w:sz w:val="24"/>
            <w:szCs w:val="24"/>
          </w:rPr>
          <w:t>https://law.justia.com/cases/iowa/court-of-appeals/2021/18-1821.html</w:t>
        </w:r>
      </w:hyperlink>
      <w:r>
        <w:rPr>
          <w:rFonts w:ascii="Times New Roman" w:hAnsi="Times New Roman"/>
          <w:sz w:val="24"/>
          <w:szCs w:val="24"/>
        </w:rPr>
        <w:t xml:space="preserve"> </w:t>
      </w:r>
    </w:p>
    <w:p w14:paraId="14D4A274" w14:textId="77777777" w:rsidR="00F90EE5" w:rsidRPr="00AC3DB0" w:rsidRDefault="00F90EE5" w:rsidP="00F90EE5">
      <w:pPr>
        <w:spacing w:before="100" w:beforeAutospacing="1" w:after="100" w:afterAutospacing="1" w:line="240" w:lineRule="auto"/>
        <w:rPr>
          <w:rFonts w:ascii="Times New Roman" w:eastAsia="Times New Roman" w:hAnsi="Times New Roman"/>
          <w:b/>
          <w:bCs/>
          <w:sz w:val="24"/>
          <w:szCs w:val="24"/>
        </w:rPr>
      </w:pPr>
      <w:r w:rsidRPr="00AC3DB0">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A jury instruction on “spoliation” is only required under Iowa law when there has been an intentional act of destruction.   Other states may require when evidence is </w:t>
      </w:r>
      <w:proofErr w:type="gramStart"/>
      <w:r>
        <w:rPr>
          <w:rFonts w:ascii="Times New Roman" w:eastAsia="Times New Roman" w:hAnsi="Times New Roman"/>
          <w:b/>
          <w:bCs/>
          <w:sz w:val="24"/>
          <w:szCs w:val="24"/>
        </w:rPr>
        <w:t>loss</w:t>
      </w:r>
      <w:proofErr w:type="gramEnd"/>
      <w:r>
        <w:rPr>
          <w:rFonts w:ascii="Times New Roman" w:eastAsia="Times New Roman" w:hAnsi="Times New Roman"/>
          <w:b/>
          <w:bCs/>
          <w:sz w:val="24"/>
          <w:szCs w:val="24"/>
        </w:rPr>
        <w:t xml:space="preserve"> due to negligence.  </w:t>
      </w:r>
    </w:p>
    <w:p w14:paraId="6C9FC22E" w14:textId="7FA88298" w:rsidR="00F90EE5" w:rsidRDefault="00F90EE5" w:rsidP="00F90EE5">
      <w:pPr>
        <w:pStyle w:val="NormalWeb"/>
        <w:ind w:left="720"/>
      </w:pPr>
      <w:r>
        <w:t xml:space="preserve">Note: Under Iowa case law: </w:t>
      </w:r>
      <w:r w:rsidRPr="00AC3DB0">
        <w:t> </w:t>
      </w:r>
      <w:r>
        <w:t xml:space="preserve">"Spoliation involves more than destruction of evidence. Application of the concept requires an intentional act of destruction. Only intentional destruction supports the rationale of the rule that </w:t>
      </w:r>
      <w:proofErr w:type="gramStart"/>
      <w:r>
        <w:t>the destruction</w:t>
      </w:r>
      <w:proofErr w:type="gramEnd"/>
      <w:r>
        <w:t xml:space="preserve"> amounts to an admission by conduct of the weakness of one's case." </w:t>
      </w:r>
      <w:r>
        <w:rPr>
          <w:i/>
          <w:iCs/>
        </w:rPr>
        <w:t>State v</w:t>
      </w:r>
      <w:r>
        <w:t xml:space="preserve">. </w:t>
      </w:r>
      <w:r>
        <w:rPr>
          <w:i/>
          <w:iCs/>
        </w:rPr>
        <w:t>Langlet</w:t>
      </w:r>
      <w:r>
        <w:t>, 283 N.W.2d 330, 333 (Iowa 1979).</w:t>
      </w:r>
      <w:r w:rsidR="00F00958">
        <w:t xml:space="preserve"> </w:t>
      </w:r>
      <w:r>
        <w:t xml:space="preserve">See other states: </w:t>
      </w:r>
      <w:hyperlink r:id="rId292" w:history="1">
        <w:r w:rsidRPr="00574F77">
          <w:rPr>
            <w:rStyle w:val="Hyperlink"/>
          </w:rPr>
          <w:t>https://www.mwl-law.com/wp-content/uploads/2018/02/SPOLIATION-OF-EVIDENCE-CHART.pdf</w:t>
        </w:r>
      </w:hyperlink>
      <w:r>
        <w:t xml:space="preserve"> </w:t>
      </w:r>
    </w:p>
    <w:p w14:paraId="308843F2" w14:textId="77777777" w:rsidR="00F90EE5" w:rsidRDefault="00F90EE5" w:rsidP="00F90EE5">
      <w:pPr>
        <w:pStyle w:val="NoSpacing"/>
        <w:ind w:left="720"/>
        <w:rPr>
          <w:rFonts w:ascii="Times New Roman" w:hAnsi="Times New Roman"/>
          <w:sz w:val="24"/>
          <w:szCs w:val="24"/>
        </w:rPr>
      </w:pPr>
    </w:p>
    <w:p w14:paraId="35377878" w14:textId="77777777" w:rsidR="00F90EE5" w:rsidRDefault="00F90EE5" w:rsidP="002B1283">
      <w:pPr>
        <w:rPr>
          <w:rFonts w:ascii="Arial Black" w:hAnsi="Arial Black"/>
          <w:b/>
          <w:sz w:val="24"/>
          <w:szCs w:val="24"/>
        </w:rPr>
      </w:pPr>
    </w:p>
    <w:p w14:paraId="67B7150B" w14:textId="77777777" w:rsidR="00F90EE5" w:rsidRDefault="00F90EE5" w:rsidP="002B1283">
      <w:pPr>
        <w:rPr>
          <w:rFonts w:ascii="Arial Black" w:hAnsi="Arial Black"/>
          <w:b/>
          <w:sz w:val="24"/>
          <w:szCs w:val="24"/>
        </w:rPr>
      </w:pPr>
    </w:p>
    <w:p w14:paraId="1A365E1E" w14:textId="6D6A4DE1" w:rsidR="005E132A" w:rsidRDefault="005E132A" w:rsidP="002B1283">
      <w:pPr>
        <w:rPr>
          <w:rFonts w:ascii="Arial Black" w:hAnsi="Arial Black"/>
          <w:b/>
          <w:sz w:val="24"/>
          <w:szCs w:val="24"/>
        </w:rPr>
      </w:pPr>
      <w:r>
        <w:rPr>
          <w:rFonts w:ascii="Arial Black" w:hAnsi="Arial Black"/>
          <w:b/>
          <w:sz w:val="24"/>
          <w:szCs w:val="24"/>
        </w:rPr>
        <w:t>1-7</w:t>
      </w:r>
      <w:r w:rsidR="000F483A">
        <w:rPr>
          <w:rFonts w:ascii="Arial Black" w:hAnsi="Arial Black"/>
          <w:b/>
          <w:sz w:val="24"/>
          <w:szCs w:val="24"/>
        </w:rPr>
        <w:t>0</w:t>
      </w:r>
    </w:p>
    <w:p w14:paraId="7224EB54" w14:textId="77777777" w:rsidR="005E132A" w:rsidRDefault="005E132A" w:rsidP="005E132A">
      <w:pPr>
        <w:pStyle w:val="NoSpacing"/>
        <w:rPr>
          <w:rFonts w:ascii="Arial Black" w:hAnsi="Arial Black"/>
          <w:sz w:val="28"/>
          <w:szCs w:val="28"/>
        </w:rPr>
      </w:pPr>
      <w:bookmarkStart w:id="13" w:name="_Hlk66941108"/>
      <w:r>
        <w:rPr>
          <w:rFonts w:ascii="Arial Black" w:hAnsi="Arial Black"/>
          <w:sz w:val="28"/>
          <w:szCs w:val="28"/>
        </w:rPr>
        <w:t>IL: ARSON INVEST. (7 KILLED) - FIRE MARSHAL WAS EXPERT, FIRE REAR PORCH – NO ACCELERANT, BUT DEF. RECORDED</w:t>
      </w:r>
    </w:p>
    <w:p w14:paraId="0D64E5D6" w14:textId="77777777" w:rsidR="005E132A" w:rsidRDefault="005E132A" w:rsidP="005E132A">
      <w:pPr>
        <w:spacing w:before="100" w:beforeAutospacing="1" w:after="100" w:afterAutospacing="1" w:line="240" w:lineRule="auto"/>
        <w:rPr>
          <w:rFonts w:ascii="Times New Roman" w:hAnsi="Times New Roman"/>
          <w:sz w:val="24"/>
          <w:szCs w:val="24"/>
        </w:rPr>
      </w:pPr>
      <w:bookmarkStart w:id="14" w:name="_Hlk60572120"/>
      <w:r>
        <w:rPr>
          <w:rFonts w:ascii="Times New Roman" w:hAnsi="Times New Roman"/>
          <w:sz w:val="24"/>
          <w:szCs w:val="24"/>
        </w:rPr>
        <w:t xml:space="preserve">On Dec. 30, 2020, in </w:t>
      </w:r>
      <w:r>
        <w:rPr>
          <w:rFonts w:ascii="Times New Roman" w:hAnsi="Times New Roman"/>
          <w:sz w:val="24"/>
          <w:szCs w:val="24"/>
          <w:u w:val="single"/>
        </w:rPr>
        <w:t>The People of the State of Illinois v. Marion Andre Comier</w:t>
      </w:r>
      <w:r>
        <w:rPr>
          <w:rFonts w:ascii="Times New Roman" w:hAnsi="Times New Roman"/>
          <w:sz w:val="24"/>
          <w:szCs w:val="24"/>
        </w:rPr>
        <w:t xml:space="preserve">, the Appellate Court of Illinois, First Judicial District (Third Division), </w:t>
      </w:r>
      <w:r>
        <w:rPr>
          <w:rFonts w:ascii="Times New Roman" w:eastAsia="Times New Roman" w:hAnsi="Times New Roman"/>
          <w:sz w:val="24"/>
          <w:szCs w:val="24"/>
        </w:rPr>
        <w:t xml:space="preserve">2020 IL App (1st) 170500, </w:t>
      </w:r>
      <w:r>
        <w:rPr>
          <w:rFonts w:ascii="Times New Roman" w:hAnsi="Times New Roman"/>
          <w:sz w:val="24"/>
          <w:szCs w:val="24"/>
        </w:rPr>
        <w:t>held (3 to 1) that the defendant was properly convicted by jury of 7 murders and sentenced to life in prison [property owner</w:t>
      </w:r>
      <w:bookmarkEnd w:id="14"/>
      <w:r>
        <w:rPr>
          <w:rFonts w:ascii="Times New Roman" w:hAnsi="Times New Roman"/>
          <w:sz w:val="24"/>
          <w:szCs w:val="24"/>
        </w:rPr>
        <w:t xml:space="preserve">]. The Court held that the trial judge properly allowed the Fire Marshal to testify about his opinion on how the fire started, even if no accelerant was detected, since he </w:t>
      </w:r>
      <w:proofErr w:type="gramStart"/>
      <w:r>
        <w:rPr>
          <w:rFonts w:ascii="Times New Roman" w:hAnsi="Times New Roman"/>
          <w:sz w:val="24"/>
          <w:szCs w:val="24"/>
        </w:rPr>
        <w:t>knew</w:t>
      </w:r>
      <w:proofErr w:type="gramEnd"/>
      <w:r>
        <w:rPr>
          <w:rFonts w:ascii="Times New Roman" w:hAnsi="Times New Roman"/>
          <w:sz w:val="24"/>
          <w:szCs w:val="24"/>
        </w:rPr>
        <w:t xml:space="preserve"> the defendant had admitted starting the fire when defendant was recorded on a “wire” secretly warn by the girlfriend of the property owner.    </w:t>
      </w:r>
    </w:p>
    <w:bookmarkEnd w:id="13"/>
    <w:p w14:paraId="72D20101" w14:textId="77777777" w:rsidR="005E132A" w:rsidRDefault="005E132A" w:rsidP="005E132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“Kushner's testimony concerning the nature and sources of his training, his methodology, industry standards, and the evidence upon which he relied in this case provided sufficient evidence that the underlying facts, data, and opinions were reasonably relied upon by experts in his field. "The opposing </w:t>
      </w:r>
      <w:r>
        <w:rPr>
          <w:rFonts w:ascii="Times New Roman" w:eastAsia="Times New Roman" w:hAnsi="Times New Roman"/>
          <w:sz w:val="24"/>
          <w:szCs w:val="24"/>
        </w:rPr>
        <w:lastRenderedPageBreak/>
        <w:t>party has the responsibility to challenge on cross-examination the sufficiency or reliability of the expert's opinion" (</w:t>
      </w:r>
      <w:r>
        <w:rPr>
          <w:rFonts w:ascii="Times New Roman" w:eastAsia="Times New Roman" w:hAnsi="Times New Roman"/>
          <w:i/>
          <w:iCs/>
          <w:sz w:val="24"/>
          <w:szCs w:val="24"/>
        </w:rPr>
        <w:t>id</w:t>
      </w:r>
      <w:r>
        <w:rPr>
          <w:rFonts w:ascii="Times New Roman" w:eastAsia="Times New Roman" w:hAnsi="Times New Roman"/>
          <w:sz w:val="24"/>
          <w:szCs w:val="24"/>
        </w:rPr>
        <w:t>.), which defendant did in this case. Accordingly, we conclude that there existed an adequate foundation for Kushner's expert opinion and the trial court did not abuse its discretion in admitting Kushner's testimony.</w:t>
      </w:r>
    </w:p>
    <w:p w14:paraId="7D7D8164" w14:textId="77777777" w:rsidR="005E132A" w:rsidRDefault="005E132A" w:rsidP="005E132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52D9C73F" w14:textId="77777777" w:rsidR="005E132A" w:rsidRDefault="005E132A" w:rsidP="005E132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Regarding the conflicting evidence as to industry standards concerning ‘negative corpus’ at the time of the fire and at the time of trial, defendant's expert admitted that the determination by the State's fire investigators that the fire started on the rear porch and that the specific area of origin was somewhere near the couch complied with NFPA 921 but testified that the conclusion that the ignition source was an open flame, that an ignitable liquid was used, and that the fire was incendiary (man-made) were not reached in compliance with industry standards because those opinions were based solely on the negative corpus approach, and it was not based on any physical evidence, in violation of NFPA 921 and the standards in the relevant scientific community. We note the trial court found Kushner did rely on ‘some physical evidence.’ </w:t>
      </w:r>
      <w:proofErr w:type="gramStart"/>
      <w:r>
        <w:rPr>
          <w:rFonts w:ascii="Times New Roman" w:eastAsia="Times New Roman" w:hAnsi="Times New Roman"/>
          <w:sz w:val="24"/>
          <w:szCs w:val="24"/>
        </w:rPr>
        <w:t>Regardless, ‘[a]</w:t>
      </w:r>
      <w:proofErr w:type="spellStart"/>
      <w:r>
        <w:rPr>
          <w:rFonts w:ascii="Times New Roman" w:eastAsia="Times New Roman" w:hAnsi="Times New Roman"/>
          <w:sz w:val="24"/>
          <w:szCs w:val="24"/>
        </w:rPr>
        <w:t>ny</w:t>
      </w:r>
      <w:proofErr w:type="spellEnd"/>
      <w:proofErr w:type="gramEnd"/>
      <w:r>
        <w:rPr>
          <w:rFonts w:ascii="Times New Roman" w:eastAsia="Times New Roman" w:hAnsi="Times New Roman"/>
          <w:sz w:val="24"/>
          <w:szCs w:val="24"/>
        </w:rPr>
        <w:t xml:space="preserve"> weakness in the basis of an expert's opinion goes to the weight of the testimony; it should not affect its admissibility if the facts, data, or opinions are reasonably relied upon by experts in the relevant field.’ </w:t>
      </w:r>
      <w:r>
        <w:rPr>
          <w:rFonts w:ascii="Times New Roman" w:eastAsia="Times New Roman" w:hAnsi="Times New Roman"/>
          <w:i/>
          <w:iCs/>
          <w:sz w:val="24"/>
          <w:szCs w:val="24"/>
        </w:rPr>
        <w:t>People v</w:t>
      </w:r>
      <w:r>
        <w:rPr>
          <w:rFonts w:ascii="Times New Roman" w:eastAsia="Times New Roman" w:hAnsi="Times New Roman"/>
          <w:sz w:val="24"/>
          <w:szCs w:val="24"/>
        </w:rPr>
        <w:t xml:space="preserve">. </w:t>
      </w:r>
      <w:r>
        <w:rPr>
          <w:rFonts w:ascii="Times New Roman" w:eastAsia="Times New Roman" w:hAnsi="Times New Roman"/>
          <w:i/>
          <w:iCs/>
          <w:sz w:val="24"/>
          <w:szCs w:val="24"/>
        </w:rPr>
        <w:t>Lind</w:t>
      </w:r>
      <w:r>
        <w:rPr>
          <w:rFonts w:ascii="Times New Roman" w:eastAsia="Times New Roman" w:hAnsi="Times New Roman"/>
          <w:sz w:val="24"/>
          <w:szCs w:val="24"/>
        </w:rPr>
        <w:t xml:space="preserve">, 307 Ill. App. 3d 727, 739 (1999).” </w:t>
      </w:r>
      <w:bookmarkStart w:id="15" w:name="_Hlk66941130"/>
      <w:r w:rsidR="00F00958">
        <w:fldChar w:fldCharType="begin"/>
      </w:r>
      <w:r w:rsidR="00F00958">
        <w:instrText xml:space="preserve"> HYPERLINK "https://courts.illinois.gov/Opinions/AppellateCourt/2020/1stDistrict/1170500.pdf" </w:instrText>
      </w:r>
      <w:r w:rsidR="00F00958">
        <w:fldChar w:fldCharType="separate"/>
      </w:r>
      <w:r>
        <w:rPr>
          <w:rStyle w:val="Hyperlink"/>
        </w:rPr>
        <w:t>https://courts.illinois.gov/Opinions/AppellateCourt/2020/1stDistrict/1170500.pdf</w:t>
      </w:r>
      <w:r w:rsidR="00F00958">
        <w:rPr>
          <w:rStyle w:val="Hyperlink"/>
        </w:rPr>
        <w:fldChar w:fldCharType="end"/>
      </w:r>
      <w:r>
        <w:rPr>
          <w:rFonts w:ascii="Times New Roman" w:eastAsia="Times New Roman" w:hAnsi="Times New Roman"/>
          <w:sz w:val="24"/>
          <w:szCs w:val="24"/>
        </w:rPr>
        <w:t xml:space="preserve"> </w:t>
      </w:r>
    </w:p>
    <w:p w14:paraId="1202CAAE" w14:textId="77777777" w:rsidR="005E132A" w:rsidRDefault="005E132A" w:rsidP="005E132A">
      <w:pPr>
        <w:pStyle w:val="NormalWeb"/>
        <w:rPr>
          <w:b/>
          <w:bCs/>
        </w:rPr>
      </w:pPr>
      <w:bookmarkStart w:id="16" w:name="_Hlk66941171"/>
      <w:bookmarkEnd w:id="15"/>
      <w:r>
        <w:rPr>
          <w:b/>
          <w:bCs/>
        </w:rPr>
        <w:t xml:space="preserve">Legal Lesson Learned: Fire Marshal did rely on some physical evidence, as well as the secretly taped confession of the defendant. </w:t>
      </w:r>
    </w:p>
    <w:p w14:paraId="10262F35" w14:textId="77777777" w:rsidR="005E132A" w:rsidRDefault="005E132A" w:rsidP="005E132A">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w:t>
      </w:r>
      <w:proofErr w:type="gramStart"/>
      <w:r>
        <w:rPr>
          <w:rFonts w:ascii="Times New Roman" w:eastAsia="Times New Roman" w:hAnsi="Times New Roman"/>
          <w:sz w:val="24"/>
          <w:szCs w:val="24"/>
        </w:rPr>
        <w:t>The girlfriend of the owner [Bonita Robertson],</w:t>
      </w:r>
      <w:proofErr w:type="gramEnd"/>
      <w:r>
        <w:rPr>
          <w:rFonts w:ascii="Times New Roman" w:eastAsia="Times New Roman" w:hAnsi="Times New Roman"/>
          <w:sz w:val="24"/>
          <w:szCs w:val="24"/>
        </w:rPr>
        <w:t xml:space="preserve"> wore a wire provided by police, and recorded following about why accelerant wasn’t detected by arson dog. </w:t>
      </w:r>
    </w:p>
    <w:bookmarkEnd w:id="16"/>
    <w:p w14:paraId="23EDCE5C" w14:textId="77777777" w:rsidR="005E132A" w:rsidRDefault="005E132A" w:rsidP="005E132A">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br/>
        <w:t>ROBERTSON: They said they didn't smell any accelerants like gas or any of that.</w:t>
      </w:r>
      <w:r>
        <w:rPr>
          <w:rFonts w:ascii="Times New Roman" w:eastAsia="Times New Roman" w:hAnsi="Times New Roman"/>
          <w:sz w:val="24"/>
          <w:szCs w:val="24"/>
        </w:rPr>
        <w:br/>
      </w:r>
      <w:r>
        <w:rPr>
          <w:rFonts w:ascii="Times New Roman" w:eastAsia="Times New Roman" w:hAnsi="Times New Roman"/>
          <w:sz w:val="24"/>
          <w:szCs w:val="24"/>
        </w:rPr>
        <w:br/>
        <w:t>DEFENDANT: And I, and I know, and I know why, I know why they didn't.</w:t>
      </w:r>
    </w:p>
    <w:p w14:paraId="75126B8C" w14:textId="77777777" w:rsidR="005E132A" w:rsidRDefault="005E132A" w:rsidP="005E132A">
      <w:pPr>
        <w:spacing w:after="100" w:line="240" w:lineRule="auto"/>
        <w:rPr>
          <w:rFonts w:ascii="Times New Roman" w:eastAsia="Times New Roman" w:hAnsi="Times New Roman"/>
          <w:sz w:val="24"/>
          <w:szCs w:val="24"/>
        </w:rPr>
      </w:pPr>
    </w:p>
    <w:p w14:paraId="5EB4C8AD" w14:textId="77777777" w:rsidR="005E132A" w:rsidRDefault="005E132A" w:rsidP="005E132A">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ROBERTSON: Why?</w:t>
      </w:r>
      <w:r>
        <w:rPr>
          <w:rFonts w:ascii="Times New Roman" w:eastAsia="Times New Roman" w:hAnsi="Times New Roman"/>
          <w:sz w:val="24"/>
          <w:szCs w:val="24"/>
        </w:rPr>
        <w:br/>
      </w:r>
      <w:r>
        <w:rPr>
          <w:rFonts w:ascii="Times New Roman" w:eastAsia="Times New Roman" w:hAnsi="Times New Roman"/>
          <w:sz w:val="24"/>
          <w:szCs w:val="24"/>
        </w:rPr>
        <w:br/>
        <w:t>***</w:t>
      </w:r>
      <w:r>
        <w:rPr>
          <w:rFonts w:ascii="Times New Roman" w:eastAsia="Times New Roman" w:hAnsi="Times New Roman"/>
          <w:sz w:val="24"/>
          <w:szCs w:val="24"/>
        </w:rPr>
        <w:br/>
      </w:r>
      <w:r>
        <w:rPr>
          <w:rFonts w:ascii="Times New Roman" w:eastAsia="Times New Roman" w:hAnsi="Times New Roman"/>
          <w:sz w:val="24"/>
          <w:szCs w:val="24"/>
        </w:rPr>
        <w:br/>
        <w:t xml:space="preserve">DEFENDANT: </w:t>
      </w:r>
      <w:proofErr w:type="gramStart"/>
      <w:r>
        <w:rPr>
          <w:rFonts w:ascii="Times New Roman" w:eastAsia="Times New Roman" w:hAnsi="Times New Roman"/>
          <w:sz w:val="24"/>
          <w:szCs w:val="24"/>
        </w:rPr>
        <w:t>Cause</w:t>
      </w:r>
      <w:proofErr w:type="gramEnd"/>
      <w:r>
        <w:rPr>
          <w:rFonts w:ascii="Times New Roman" w:eastAsia="Times New Roman" w:hAnsi="Times New Roman"/>
          <w:sz w:val="24"/>
          <w:szCs w:val="24"/>
        </w:rPr>
        <w:t xml:space="preserve"> I put oil with the gas. That's why.</w:t>
      </w:r>
    </w:p>
    <w:p w14:paraId="58838790" w14:textId="77777777" w:rsidR="005E132A" w:rsidRDefault="005E132A" w:rsidP="005E132A">
      <w:pPr>
        <w:spacing w:after="100" w:line="240" w:lineRule="auto"/>
        <w:ind w:left="720"/>
        <w:rPr>
          <w:rFonts w:ascii="Times New Roman" w:hAnsi="Times New Roman"/>
          <w:sz w:val="24"/>
          <w:szCs w:val="24"/>
        </w:rPr>
      </w:pPr>
      <w:r>
        <w:rPr>
          <w:rFonts w:ascii="Times New Roman" w:eastAsia="Times New Roman" w:hAnsi="Times New Roman"/>
          <w:sz w:val="24"/>
          <w:szCs w:val="24"/>
        </w:rPr>
        <w:t>***</w:t>
      </w:r>
    </w:p>
    <w:p w14:paraId="48F47CAC" w14:textId="77777777" w:rsidR="005E132A" w:rsidRDefault="005E132A" w:rsidP="005E132A">
      <w:pPr>
        <w:spacing w:after="100" w:line="240" w:lineRule="auto"/>
        <w:ind w:left="720"/>
        <w:rPr>
          <w:rFonts w:ascii="Times New Roman" w:hAnsi="Times New Roman"/>
          <w:sz w:val="24"/>
          <w:szCs w:val="24"/>
        </w:rPr>
      </w:pPr>
      <w:r>
        <w:rPr>
          <w:rFonts w:ascii="Times New Roman" w:hAnsi="Times New Roman"/>
          <w:sz w:val="24"/>
          <w:szCs w:val="24"/>
        </w:rPr>
        <w:t>ROBERTSON: So that the dogs couldn't pick it up?</w:t>
      </w:r>
      <w:r>
        <w:rPr>
          <w:rFonts w:ascii="Times New Roman" w:hAnsi="Times New Roman"/>
          <w:sz w:val="24"/>
          <w:szCs w:val="24"/>
        </w:rPr>
        <w:br/>
      </w:r>
      <w:r>
        <w:rPr>
          <w:rFonts w:ascii="Times New Roman" w:hAnsi="Times New Roman"/>
          <w:sz w:val="24"/>
          <w:szCs w:val="24"/>
        </w:rPr>
        <w:br/>
        <w:t xml:space="preserve">DEFENDANT: There you go, and, and it burnt too </w:t>
      </w:r>
      <w:proofErr w:type="gramStart"/>
      <w:r>
        <w:rPr>
          <w:rFonts w:ascii="Times New Roman" w:hAnsi="Times New Roman"/>
          <w:sz w:val="24"/>
          <w:szCs w:val="24"/>
        </w:rPr>
        <w:t>bad</w:t>
      </w:r>
      <w:proofErr w:type="gramEnd"/>
      <w:r>
        <w:rPr>
          <w:rFonts w:ascii="Times New Roman" w:hAnsi="Times New Roman"/>
          <w:sz w:val="24"/>
          <w:szCs w:val="24"/>
        </w:rPr>
        <w:t xml:space="preserve"> for them to find anything.</w:t>
      </w:r>
      <w:r>
        <w:rPr>
          <w:rFonts w:ascii="Times New Roman" w:hAnsi="Times New Roman"/>
          <w:sz w:val="24"/>
          <w:szCs w:val="24"/>
        </w:rPr>
        <w:br/>
      </w:r>
      <w:r>
        <w:rPr>
          <w:rFonts w:ascii="Times New Roman" w:hAnsi="Times New Roman"/>
          <w:sz w:val="24"/>
          <w:szCs w:val="24"/>
        </w:rPr>
        <w:br/>
        <w:t>ROBERTSON: But you started it on the back porch?</w:t>
      </w:r>
      <w:r>
        <w:rPr>
          <w:rFonts w:ascii="Times New Roman" w:hAnsi="Times New Roman"/>
          <w:sz w:val="24"/>
          <w:szCs w:val="24"/>
        </w:rPr>
        <w:br/>
      </w:r>
      <w:r>
        <w:rPr>
          <w:rFonts w:ascii="Times New Roman" w:hAnsi="Times New Roman"/>
          <w:sz w:val="24"/>
          <w:szCs w:val="24"/>
        </w:rPr>
        <w:br/>
        <w:t xml:space="preserve">DEFENDANT: And it went up, Bonita. I don't want to talk about this. *** Everybody just </w:t>
      </w:r>
      <w:proofErr w:type="gramStart"/>
      <w:r>
        <w:rPr>
          <w:rFonts w:ascii="Times New Roman" w:hAnsi="Times New Roman"/>
          <w:sz w:val="24"/>
          <w:szCs w:val="24"/>
        </w:rPr>
        <w:t>say</w:t>
      </w:r>
      <w:proofErr w:type="gramEnd"/>
      <w:r>
        <w:rPr>
          <w:rFonts w:ascii="Times New Roman" w:hAnsi="Times New Roman"/>
          <w:sz w:val="24"/>
          <w:szCs w:val="24"/>
        </w:rPr>
        <w:t xml:space="preserve"> they don't know, okay, just leave it like that. That's what you do. Don't worry, okay. They didn't find </w:t>
      </w:r>
      <w:proofErr w:type="gramStart"/>
      <w:r>
        <w:rPr>
          <w:rFonts w:ascii="Times New Roman" w:hAnsi="Times New Roman"/>
          <w:sz w:val="24"/>
          <w:szCs w:val="24"/>
        </w:rPr>
        <w:t>nothing</w:t>
      </w:r>
      <w:proofErr w:type="gramEnd"/>
      <w:r>
        <w:rPr>
          <w:rFonts w:ascii="Times New Roman" w:hAnsi="Times New Roman"/>
          <w:sz w:val="24"/>
          <w:szCs w:val="24"/>
        </w:rPr>
        <w:t xml:space="preserve"> and that's great. They think the electrical box did it.”</w:t>
      </w:r>
    </w:p>
    <w:p w14:paraId="665FB8C2" w14:textId="77777777" w:rsidR="005E132A" w:rsidRDefault="005E132A" w:rsidP="005E132A">
      <w:pPr>
        <w:rPr>
          <w:rFonts w:ascii="Times New Roman" w:hAnsi="Times New Roman"/>
          <w:sz w:val="24"/>
          <w:szCs w:val="24"/>
        </w:rPr>
      </w:pPr>
      <w:hyperlink r:id="rId293" w:history="1">
        <w:r>
          <w:rPr>
            <w:rStyle w:val="Hyperlink"/>
          </w:rPr>
          <w:t>https://public.fastcase.com/Wl%2B2t%2BeVuI35%2FN70vAMFZsWJ6AvEppVwuFRKTwz4M5aFuXQum0lUiq0Q02rKgFN1</w:t>
        </w:r>
      </w:hyperlink>
    </w:p>
    <w:p w14:paraId="6EACB191" w14:textId="77777777" w:rsidR="005E132A" w:rsidRDefault="005E132A" w:rsidP="002B1283">
      <w:pPr>
        <w:rPr>
          <w:rFonts w:ascii="Arial Black" w:hAnsi="Arial Black"/>
          <w:b/>
          <w:sz w:val="24"/>
          <w:szCs w:val="24"/>
        </w:rPr>
      </w:pPr>
    </w:p>
    <w:p w14:paraId="5BCA3F48" w14:textId="77777777" w:rsidR="005E132A" w:rsidRDefault="005E132A" w:rsidP="002B1283">
      <w:pPr>
        <w:rPr>
          <w:rFonts w:ascii="Arial Black" w:hAnsi="Arial Black"/>
          <w:b/>
          <w:sz w:val="24"/>
          <w:szCs w:val="24"/>
        </w:rPr>
      </w:pPr>
    </w:p>
    <w:p w14:paraId="68892771" w14:textId="7D31624C" w:rsidR="007D178F" w:rsidRDefault="007D178F" w:rsidP="002B1283">
      <w:pPr>
        <w:rPr>
          <w:rFonts w:ascii="Arial Black" w:hAnsi="Arial Black"/>
          <w:b/>
          <w:sz w:val="24"/>
          <w:szCs w:val="24"/>
        </w:rPr>
      </w:pPr>
      <w:r>
        <w:rPr>
          <w:rFonts w:ascii="Arial Black" w:hAnsi="Arial Black"/>
          <w:b/>
          <w:sz w:val="24"/>
          <w:szCs w:val="24"/>
        </w:rPr>
        <w:t>1-</w:t>
      </w:r>
      <w:r w:rsidR="000F483A">
        <w:rPr>
          <w:rFonts w:ascii="Arial Black" w:hAnsi="Arial Black"/>
          <w:b/>
          <w:sz w:val="24"/>
          <w:szCs w:val="24"/>
        </w:rPr>
        <w:t>69</w:t>
      </w:r>
    </w:p>
    <w:p w14:paraId="12408389" w14:textId="77777777" w:rsidR="007D178F" w:rsidRDefault="007D178F" w:rsidP="007D178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NY:  HOUSE FIRE - SPONTANEOUS COMBUSTION - OILY RAGS HARDWOOD FLOORS – CONFLICTING EXPERTS - CASE PROCEED</w:t>
      </w:r>
    </w:p>
    <w:p w14:paraId="5002E128" w14:textId="77777777" w:rsidR="007D178F" w:rsidRDefault="007D178F" w:rsidP="007D178F">
      <w:pPr>
        <w:rPr>
          <w:rFonts w:ascii="Times New Roman" w:hAnsi="Times New Roman"/>
          <w:sz w:val="24"/>
          <w:szCs w:val="24"/>
        </w:rPr>
      </w:pPr>
      <w:r w:rsidRPr="00ED36EF">
        <w:rPr>
          <w:rFonts w:ascii="Times New Roman" w:hAnsi="Times New Roman"/>
          <w:sz w:val="24"/>
          <w:szCs w:val="24"/>
        </w:rPr>
        <w:t xml:space="preserve">On Nov. 25, 2020, in </w:t>
      </w:r>
      <w:r w:rsidRPr="00ED36EF">
        <w:rPr>
          <w:rFonts w:ascii="Times New Roman" w:hAnsi="Times New Roman"/>
          <w:sz w:val="24"/>
          <w:szCs w:val="24"/>
          <w:u w:val="single"/>
        </w:rPr>
        <w:t>State Farm Fire &amp; Casualty Company, as Subrogee of Yolanda Clarke v. Real Wood Fabricating, LLC</w:t>
      </w:r>
      <w:r w:rsidRPr="00ED36EF">
        <w:rPr>
          <w:rFonts w:ascii="Times New Roman" w:hAnsi="Times New Roman"/>
          <w:sz w:val="24"/>
          <w:szCs w:val="24"/>
        </w:rPr>
        <w:t>, the Appellate Division of the Supreme Court of the State of New York, held (</w:t>
      </w:r>
      <w:r>
        <w:rPr>
          <w:rFonts w:ascii="Times New Roman" w:hAnsi="Times New Roman"/>
          <w:sz w:val="24"/>
          <w:szCs w:val="24"/>
        </w:rPr>
        <w:t>5</w:t>
      </w:r>
      <w:r w:rsidRPr="00ED36EF">
        <w:rPr>
          <w:rFonts w:ascii="Times New Roman" w:hAnsi="Times New Roman"/>
          <w:sz w:val="24"/>
          <w:szCs w:val="24"/>
        </w:rPr>
        <w:t xml:space="preserve"> to 0) that the trial court properly </w:t>
      </w:r>
      <w:r>
        <w:rPr>
          <w:rFonts w:ascii="Times New Roman" w:hAnsi="Times New Roman"/>
          <w:sz w:val="24"/>
          <w:szCs w:val="24"/>
        </w:rPr>
        <w:t xml:space="preserve">denied </w:t>
      </w:r>
      <w:r w:rsidRPr="00ED36EF">
        <w:rPr>
          <w:rFonts w:ascii="Times New Roman" w:hAnsi="Times New Roman"/>
          <w:sz w:val="24"/>
          <w:szCs w:val="24"/>
        </w:rPr>
        <w:t xml:space="preserve">summary judgment to the </w:t>
      </w:r>
      <w:r>
        <w:rPr>
          <w:rFonts w:ascii="Times New Roman" w:hAnsi="Times New Roman"/>
          <w:sz w:val="24"/>
          <w:szCs w:val="24"/>
        </w:rPr>
        <w:t xml:space="preserve">plaintiff </w:t>
      </w:r>
      <w:r w:rsidRPr="00ED36EF">
        <w:rPr>
          <w:rFonts w:ascii="Times New Roman" w:hAnsi="Times New Roman"/>
          <w:sz w:val="24"/>
          <w:szCs w:val="24"/>
        </w:rPr>
        <w:t>insurance compa</w:t>
      </w:r>
      <w:r>
        <w:rPr>
          <w:rFonts w:ascii="Times New Roman" w:hAnsi="Times New Roman"/>
          <w:sz w:val="24"/>
          <w:szCs w:val="24"/>
        </w:rPr>
        <w:t xml:space="preserve">ny and also to defendant </w:t>
      </w:r>
      <w:r w:rsidRPr="00ED36EF">
        <w:rPr>
          <w:rFonts w:ascii="Times New Roman" w:hAnsi="Times New Roman"/>
          <w:sz w:val="24"/>
          <w:szCs w:val="24"/>
        </w:rPr>
        <w:t>Real Wood Fabricating</w:t>
      </w:r>
      <w:r>
        <w:rPr>
          <w:rFonts w:ascii="Times New Roman" w:hAnsi="Times New Roman"/>
          <w:sz w:val="24"/>
          <w:szCs w:val="24"/>
        </w:rPr>
        <w:t xml:space="preserve">. </w:t>
      </w:r>
      <w:r w:rsidRPr="00ED36EF">
        <w:rPr>
          <w:rFonts w:ascii="Times New Roman" w:hAnsi="Times New Roman"/>
          <w:sz w:val="24"/>
          <w:szCs w:val="24"/>
        </w:rPr>
        <w:t xml:space="preserve"> </w:t>
      </w:r>
    </w:p>
    <w:p w14:paraId="198492D3" w14:textId="77777777" w:rsidR="007D178F" w:rsidRPr="003E7DDA" w:rsidRDefault="007D178F" w:rsidP="007D178F">
      <w:pPr>
        <w:ind w:left="720"/>
        <w:rPr>
          <w:rFonts w:ascii="Times New Roman" w:hAnsi="Times New Roman"/>
          <w:sz w:val="24"/>
          <w:szCs w:val="24"/>
        </w:rPr>
      </w:pPr>
      <w:r>
        <w:rPr>
          <w:rFonts w:ascii="Times New Roman" w:hAnsi="Times New Roman"/>
          <w:sz w:val="24"/>
          <w:szCs w:val="24"/>
        </w:rPr>
        <w:t>“</w:t>
      </w:r>
      <w:r w:rsidRPr="003E7DDA">
        <w:rPr>
          <w:rFonts w:ascii="Times New Roman" w:hAnsi="Times New Roman"/>
          <w:sz w:val="24"/>
          <w:szCs w:val="24"/>
        </w:rPr>
        <w:t xml:space="preserve">After paying Clarke over $389,000 for the property damage caused by the fire, plaintiff, as subrogee of Clarke, commenced this action against defendant, alleging that defendant negligently caused the fire by failing to remove combustible floor materials from the garage. Following joinder of issue, plaintiff moved for summary judgment on the complaint, relying on the opinions of Holter and Thomas and the deposition testimony of Clarke and McCarty. Defendant opposed the motion and cross-moved for summary judgment dismissing the complaint, submitting an affidavit of Jason Karasinski, president and owner of Fire Research &amp; Technology Inc., who was retained </w:t>
      </w:r>
      <w:r>
        <w:rPr>
          <w:rFonts w:ascii="Times New Roman" w:hAnsi="Times New Roman"/>
          <w:sz w:val="24"/>
          <w:szCs w:val="24"/>
        </w:rPr>
        <w:t>‘</w:t>
      </w:r>
      <w:r w:rsidRPr="003E7DDA">
        <w:rPr>
          <w:rFonts w:ascii="Times New Roman" w:hAnsi="Times New Roman"/>
          <w:sz w:val="24"/>
          <w:szCs w:val="24"/>
        </w:rPr>
        <w:t>to review the investigation of [the] fire.</w:t>
      </w:r>
      <w:r>
        <w:rPr>
          <w:rFonts w:ascii="Times New Roman" w:hAnsi="Times New Roman"/>
          <w:sz w:val="24"/>
          <w:szCs w:val="24"/>
        </w:rPr>
        <w:t>’</w:t>
      </w:r>
      <w:r w:rsidRPr="003E7DDA">
        <w:rPr>
          <w:rFonts w:ascii="Times New Roman" w:hAnsi="Times New Roman"/>
          <w:sz w:val="24"/>
          <w:szCs w:val="24"/>
        </w:rPr>
        <w:t xml:space="preserve"> Karasinski concluded that the reports prepared by Holter and Thomas were speculative and that their investigations failed to follow the standards promulgated by the National Fire Protection Association (hereinafter NFPA). Supreme Court denied both motions, finding that the conflicting expert opinions presented issues of fact and credibility as </w:t>
      </w:r>
      <w:proofErr w:type="gramStart"/>
      <w:r w:rsidRPr="003E7DDA">
        <w:rPr>
          <w:rFonts w:ascii="Times New Roman" w:hAnsi="Times New Roman"/>
          <w:sz w:val="24"/>
          <w:szCs w:val="24"/>
        </w:rPr>
        <w:t>to</w:t>
      </w:r>
      <w:proofErr w:type="gramEnd"/>
      <w:r w:rsidRPr="003E7DDA">
        <w:rPr>
          <w:rFonts w:ascii="Times New Roman" w:hAnsi="Times New Roman"/>
          <w:sz w:val="24"/>
          <w:szCs w:val="24"/>
        </w:rPr>
        <w:t xml:space="preserve"> causation. Defendant appeals and plaintiff cross-appeals.</w:t>
      </w:r>
    </w:p>
    <w:p w14:paraId="0E017396" w14:textId="77777777" w:rsidR="007D178F" w:rsidRPr="00865DC4" w:rsidRDefault="007D178F" w:rsidP="007D178F">
      <w:pPr>
        <w:ind w:left="720"/>
        <w:rPr>
          <w:rFonts w:ascii="Times New Roman" w:hAnsi="Times New Roman"/>
          <w:sz w:val="24"/>
          <w:szCs w:val="24"/>
        </w:rPr>
      </w:pPr>
      <w:r>
        <w:rPr>
          <w:rFonts w:ascii="Times New Roman" w:hAnsi="Times New Roman"/>
          <w:sz w:val="24"/>
          <w:szCs w:val="24"/>
        </w:rPr>
        <w:t>“</w:t>
      </w:r>
      <w:r w:rsidRPr="00865DC4">
        <w:rPr>
          <w:rFonts w:ascii="Times New Roman" w:hAnsi="Times New Roman"/>
          <w:sz w:val="24"/>
          <w:szCs w:val="24"/>
        </w:rPr>
        <w:t>We affirm. The record demonstrates that all three experts were duly qualified by their education, training and experience to conduct a fire scene investigation.</w:t>
      </w:r>
      <w:r>
        <w:rPr>
          <w:rFonts w:ascii="Times New Roman" w:hAnsi="Times New Roman"/>
          <w:sz w:val="24"/>
          <w:szCs w:val="24"/>
        </w:rPr>
        <w:t xml:space="preserve">”  </w:t>
      </w:r>
      <w:hyperlink r:id="rId294" w:history="1">
        <w:r w:rsidRPr="00695F3D">
          <w:rPr>
            <w:rStyle w:val="Hyperlink"/>
            <w:rFonts w:ascii="Times New Roman" w:hAnsi="Times New Roman"/>
            <w:sz w:val="24"/>
            <w:szCs w:val="24"/>
          </w:rPr>
          <w:t>http://decisions.courts.state.ny.us/ad3/Decisions/2020/530081.pdf</w:t>
        </w:r>
      </w:hyperlink>
      <w:r>
        <w:rPr>
          <w:rFonts w:ascii="Times New Roman" w:hAnsi="Times New Roman"/>
          <w:sz w:val="24"/>
          <w:szCs w:val="24"/>
        </w:rPr>
        <w:t xml:space="preserve"> </w:t>
      </w:r>
    </w:p>
    <w:p w14:paraId="03F612EB" w14:textId="77777777" w:rsidR="007D178F" w:rsidRDefault="007D178F" w:rsidP="002B1283">
      <w:pPr>
        <w:rPr>
          <w:rFonts w:ascii="Arial Black" w:hAnsi="Arial Black"/>
          <w:b/>
          <w:sz w:val="24"/>
          <w:szCs w:val="24"/>
        </w:rPr>
      </w:pPr>
    </w:p>
    <w:p w14:paraId="4FCC3C42" w14:textId="77777777" w:rsidR="007D178F" w:rsidRDefault="007D178F" w:rsidP="002B1283">
      <w:pPr>
        <w:rPr>
          <w:rFonts w:ascii="Arial Black" w:hAnsi="Arial Black"/>
          <w:b/>
          <w:sz w:val="24"/>
          <w:szCs w:val="24"/>
        </w:rPr>
      </w:pPr>
    </w:p>
    <w:p w14:paraId="483C2B5F" w14:textId="459531CA" w:rsidR="007D178F" w:rsidRDefault="007D178F" w:rsidP="002B1283">
      <w:pPr>
        <w:rPr>
          <w:rFonts w:ascii="Arial Black" w:hAnsi="Arial Black"/>
          <w:b/>
          <w:sz w:val="24"/>
          <w:szCs w:val="24"/>
        </w:rPr>
      </w:pPr>
      <w:r>
        <w:rPr>
          <w:rFonts w:ascii="Arial Black" w:hAnsi="Arial Black"/>
          <w:b/>
          <w:sz w:val="24"/>
          <w:szCs w:val="24"/>
        </w:rPr>
        <w:t>1-6</w:t>
      </w:r>
      <w:r w:rsidR="000F483A">
        <w:rPr>
          <w:rFonts w:ascii="Arial Black" w:hAnsi="Arial Black"/>
          <w:b/>
          <w:sz w:val="24"/>
          <w:szCs w:val="24"/>
        </w:rPr>
        <w:t>8</w:t>
      </w:r>
    </w:p>
    <w:p w14:paraId="3366AEC9" w14:textId="77777777" w:rsidR="007D178F" w:rsidRPr="00297C6C" w:rsidRDefault="007D178F" w:rsidP="007D178F">
      <w:pPr>
        <w:rPr>
          <w:rFonts w:ascii="Arial Black" w:hAnsi="Arial Black"/>
          <w:sz w:val="28"/>
          <w:szCs w:val="28"/>
        </w:rPr>
      </w:pPr>
      <w:r>
        <w:rPr>
          <w:rFonts w:ascii="Arial Black" w:hAnsi="Arial Black"/>
          <w:sz w:val="28"/>
          <w:szCs w:val="28"/>
        </w:rPr>
        <w:t>MA: SPRINKLER LAW – WHEN CITY ADOPTS STATE LAW, UNLICENSED “SOBER HOMES” – 6+ RESIDENTS MUST COMPLY</w:t>
      </w:r>
    </w:p>
    <w:p w14:paraId="054C17EF" w14:textId="77777777" w:rsidR="007D178F" w:rsidRDefault="007D178F" w:rsidP="007D178F">
      <w:pPr>
        <w:rPr>
          <w:rFonts w:ascii="Times New Roman" w:hAnsi="Times New Roman"/>
          <w:sz w:val="24"/>
          <w:szCs w:val="24"/>
        </w:rPr>
      </w:pPr>
      <w:r>
        <w:rPr>
          <w:rFonts w:ascii="Times New Roman" w:hAnsi="Times New Roman"/>
          <w:sz w:val="24"/>
          <w:szCs w:val="24"/>
        </w:rPr>
        <w:t xml:space="preserve">On Nov. 23, 2020, in </w:t>
      </w:r>
      <w:r w:rsidRPr="00297C6C">
        <w:rPr>
          <w:rFonts w:ascii="Times New Roman" w:hAnsi="Times New Roman"/>
          <w:sz w:val="24"/>
          <w:szCs w:val="24"/>
          <w:u w:val="single"/>
        </w:rPr>
        <w:t>Crossing Over, Inc. v. City of Fitchburg</w:t>
      </w:r>
      <w:r>
        <w:rPr>
          <w:rFonts w:ascii="Times New Roman" w:hAnsi="Times New Roman"/>
          <w:sz w:val="24"/>
          <w:szCs w:val="24"/>
        </w:rPr>
        <w:t xml:space="preserve">, the Appeals Court of Massachusetts upheld (3 to 0) the trial judge’s decision upholding Automatic Sprinkler Appeals Board, and the Fire Chief’s March 8, </w:t>
      </w:r>
      <w:proofErr w:type="gramStart"/>
      <w:r>
        <w:rPr>
          <w:rFonts w:ascii="Times New Roman" w:hAnsi="Times New Roman"/>
          <w:sz w:val="24"/>
          <w:szCs w:val="24"/>
        </w:rPr>
        <w:t>2017</w:t>
      </w:r>
      <w:proofErr w:type="gramEnd"/>
      <w:r>
        <w:rPr>
          <w:rFonts w:ascii="Times New Roman" w:hAnsi="Times New Roman"/>
          <w:sz w:val="24"/>
          <w:szCs w:val="24"/>
        </w:rPr>
        <w:t xml:space="preserve"> letter requiring sprinklers </w:t>
      </w:r>
      <w:proofErr w:type="gramStart"/>
      <w:r>
        <w:rPr>
          <w:rFonts w:ascii="Times New Roman" w:hAnsi="Times New Roman"/>
          <w:sz w:val="24"/>
          <w:szCs w:val="24"/>
        </w:rPr>
        <w:t>be</w:t>
      </w:r>
      <w:proofErr w:type="gramEnd"/>
      <w:r>
        <w:rPr>
          <w:rFonts w:ascii="Times New Roman" w:hAnsi="Times New Roman"/>
          <w:sz w:val="24"/>
          <w:szCs w:val="24"/>
        </w:rPr>
        <w:t xml:space="preserve"> installed since home has 8 residents.  Case remanded to trail judge concerning whether statute violates federal or state laws discriminating against disabled.</w:t>
      </w:r>
    </w:p>
    <w:p w14:paraId="533EE72B" w14:textId="77777777" w:rsidR="007D178F" w:rsidRDefault="007D178F" w:rsidP="007D178F">
      <w:pPr>
        <w:spacing w:before="100" w:beforeAutospacing="1" w:after="100" w:afterAutospacing="1" w:line="240" w:lineRule="auto"/>
        <w:ind w:left="720"/>
        <w:rPr>
          <w:rFonts w:ascii="Times New Roman" w:eastAsia="Times New Roman" w:hAnsi="Times New Roman"/>
          <w:sz w:val="24"/>
          <w:szCs w:val="24"/>
        </w:rPr>
      </w:pPr>
      <w:r>
        <w:t>“</w:t>
      </w:r>
      <w:r w:rsidRPr="00F4679A">
        <w:rPr>
          <w:rFonts w:ascii="Times New Roman" w:eastAsia="Times New Roman" w:hAnsi="Times New Roman"/>
          <w:sz w:val="24"/>
          <w:szCs w:val="24"/>
        </w:rPr>
        <w:t xml:space="preserve">Crossing Over notes that G. L. c. 148, § 26H, carves out from the obligation to install sprinklers "fraternity houses or dormitories, rest homes or group residences licensed or regulated by agencies of the commonwealth," and suggests that the carve-out means that the Legislature either intended to relieve group homes and lodging houses of the obligation to install sprinklers, or that different treatment should </w:t>
      </w:r>
      <w:r w:rsidRPr="00F4679A">
        <w:rPr>
          <w:rFonts w:ascii="Times New Roman" w:eastAsia="Times New Roman" w:hAnsi="Times New Roman"/>
          <w:sz w:val="24"/>
          <w:szCs w:val="24"/>
        </w:rPr>
        <w:lastRenderedPageBreak/>
        <w:t>be afforded group homes. Lodging houses for the disabled, Crossing Over argues, should be treated in the same manner. The premise is incorrect. The distinction drawn between the lodging houses and other congregate living</w:t>
      </w:r>
      <w:r>
        <w:rPr>
          <w:rFonts w:ascii="Times New Roman" w:eastAsia="Times New Roman" w:hAnsi="Times New Roman"/>
          <w:sz w:val="24"/>
          <w:szCs w:val="24"/>
        </w:rPr>
        <w:t xml:space="preserve"> </w:t>
      </w:r>
      <w:r w:rsidRPr="00F4679A">
        <w:rPr>
          <w:rFonts w:ascii="Times New Roman" w:eastAsia="Times New Roman" w:hAnsi="Times New Roman"/>
          <w:sz w:val="24"/>
          <w:szCs w:val="24"/>
        </w:rPr>
        <w:t>arrangements in G. L. c. 148, § 26H, preserves the regulatory authority granted to State agencies and municipalities over licensed group homes, dormitories, or fraternities, but does not generally exempt them from fire safety regulation.</w:t>
      </w:r>
      <w:r>
        <w:rPr>
          <w:rFonts w:ascii="Times New Roman" w:eastAsia="Times New Roman" w:hAnsi="Times New Roman"/>
          <w:sz w:val="24"/>
          <w:szCs w:val="24"/>
        </w:rPr>
        <w:t xml:space="preserve">”  </w:t>
      </w:r>
      <w:hyperlink r:id="rId295" w:history="1">
        <w:r w:rsidRPr="005709A5">
          <w:rPr>
            <w:rStyle w:val="Hyperlink"/>
            <w:rFonts w:ascii="Times New Roman" w:hAnsi="Times New Roman"/>
            <w:sz w:val="24"/>
            <w:szCs w:val="24"/>
          </w:rPr>
          <w:t>https://law.justia.com/cases/massachusetts/court-of-appeals/2020/19-p-903.html</w:t>
        </w:r>
      </w:hyperlink>
      <w:r>
        <w:rPr>
          <w:rFonts w:ascii="Times New Roman" w:eastAsia="Times New Roman" w:hAnsi="Times New Roman"/>
          <w:sz w:val="24"/>
          <w:szCs w:val="24"/>
        </w:rPr>
        <w:t xml:space="preserve"> </w:t>
      </w:r>
    </w:p>
    <w:p w14:paraId="2F373111" w14:textId="77777777" w:rsidR="007D178F" w:rsidRPr="00FE5C5F" w:rsidRDefault="007D178F" w:rsidP="007D178F">
      <w:pPr>
        <w:spacing w:before="100" w:beforeAutospacing="1" w:after="100" w:afterAutospacing="1" w:line="240" w:lineRule="auto"/>
        <w:ind w:firstLine="720"/>
        <w:rPr>
          <w:rFonts w:ascii="Times New Roman" w:eastAsia="Times New Roman" w:hAnsi="Times New Roman"/>
          <w:sz w:val="24"/>
          <w:szCs w:val="24"/>
        </w:rPr>
      </w:pPr>
      <w:r w:rsidRPr="00FE5C5F">
        <w:rPr>
          <w:rFonts w:ascii="Times New Roman" w:eastAsia="Times New Roman" w:hAnsi="Times New Roman"/>
          <w:sz w:val="24"/>
          <w:szCs w:val="24"/>
        </w:rPr>
        <w:t>***</w:t>
      </w:r>
    </w:p>
    <w:p w14:paraId="736227D9" w14:textId="77777777" w:rsidR="007D178F" w:rsidRPr="00FE5C5F" w:rsidRDefault="007D178F" w:rsidP="007D178F">
      <w:pPr>
        <w:spacing w:before="100" w:beforeAutospacing="1" w:after="100" w:afterAutospacing="1" w:line="240" w:lineRule="auto"/>
        <w:ind w:left="720"/>
        <w:rPr>
          <w:rFonts w:ascii="Times New Roman" w:hAnsi="Times New Roman"/>
          <w:sz w:val="24"/>
          <w:szCs w:val="24"/>
        </w:rPr>
      </w:pPr>
      <w:r w:rsidRPr="00FE5C5F">
        <w:rPr>
          <w:rFonts w:ascii="Times New Roman" w:hAnsi="Times New Roman"/>
          <w:sz w:val="24"/>
          <w:szCs w:val="24"/>
        </w:rPr>
        <w:t xml:space="preserve">Sober homes, however, are not licensed by the Commonwealth. </w:t>
      </w:r>
      <w:proofErr w:type="gramStart"/>
      <w:r w:rsidRPr="00FE5C5F">
        <w:rPr>
          <w:rFonts w:ascii="Times New Roman" w:hAnsi="Times New Roman"/>
          <w:sz w:val="24"/>
          <w:szCs w:val="24"/>
        </w:rPr>
        <w:t>Instead</w:t>
      </w:r>
      <w:proofErr w:type="gramEnd"/>
      <w:r w:rsidRPr="00FE5C5F">
        <w:rPr>
          <w:rFonts w:ascii="Times New Roman" w:hAnsi="Times New Roman"/>
          <w:sz w:val="24"/>
          <w:szCs w:val="24"/>
        </w:rPr>
        <w:t xml:space="preserve"> they are subject to a voluntary State accreditation and training program, G. L. c. 17, § 18A, inserted by St. 2014, c. 165, § 37; accreditation is required if the sober home is to receive referrals from State agencies. G. L. c. 17, § 18A (</w:t>
      </w:r>
      <w:r w:rsidRPr="00FE5C5F">
        <w:rPr>
          <w:rFonts w:ascii="Times New Roman" w:hAnsi="Times New Roman"/>
          <w:sz w:val="24"/>
          <w:szCs w:val="24"/>
          <w:u w:val="single"/>
        </w:rPr>
        <w:t>h</w:t>
      </w:r>
      <w:r w:rsidRPr="00FE5C5F">
        <w:rPr>
          <w:rFonts w:ascii="Times New Roman" w:hAnsi="Times New Roman"/>
          <w:sz w:val="24"/>
          <w:szCs w:val="24"/>
        </w:rPr>
        <w:t xml:space="preserve">). Contrast G. L. c. 111, § 73 (providing fines for operation of rest home without license). General Laws c. 148, 26H, thus has the effect of extending the sprinkler statute to lodging houses that are sober homes; other statutes and regulations extend varying levels of fire safety standards to other congregate living </w:t>
      </w:r>
      <w:proofErr w:type="gramStart"/>
      <w:r w:rsidRPr="00FE5C5F">
        <w:rPr>
          <w:rFonts w:ascii="Times New Roman" w:hAnsi="Times New Roman"/>
          <w:sz w:val="24"/>
          <w:szCs w:val="24"/>
        </w:rPr>
        <w:t>arrangements.”</w:t>
      </w:r>
      <w:proofErr w:type="gramEnd"/>
      <w:r w:rsidRPr="00FE5C5F">
        <w:rPr>
          <w:rFonts w:ascii="Times New Roman" w:hAnsi="Times New Roman"/>
          <w:sz w:val="24"/>
          <w:szCs w:val="24"/>
        </w:rPr>
        <w:t xml:space="preserve"> </w:t>
      </w:r>
      <w:hyperlink r:id="rId296" w:history="1">
        <w:r w:rsidRPr="00FE5C5F">
          <w:rPr>
            <w:rStyle w:val="Hyperlink"/>
            <w:rFonts w:ascii="Times New Roman" w:hAnsi="Times New Roman"/>
            <w:sz w:val="24"/>
            <w:szCs w:val="24"/>
          </w:rPr>
          <w:t>https://public.fastcase.com/Wl%2B2t%2BeVuI35%2FN70vAMFZn5gKg3cdbP6IN7E7ywDm7QNgGMGGIVm2eo9gH1WNWLv</w:t>
        </w:r>
      </w:hyperlink>
      <w:r w:rsidRPr="00FE5C5F">
        <w:rPr>
          <w:rFonts w:ascii="Times New Roman" w:hAnsi="Times New Roman"/>
          <w:sz w:val="24"/>
          <w:szCs w:val="24"/>
        </w:rPr>
        <w:t xml:space="preserve"> </w:t>
      </w:r>
    </w:p>
    <w:p w14:paraId="6F120D4E" w14:textId="77777777" w:rsidR="007D178F" w:rsidRDefault="007D178F" w:rsidP="007D178F">
      <w:pPr>
        <w:pStyle w:val="NoSpacing"/>
        <w:tabs>
          <w:tab w:val="left" w:pos="3200"/>
        </w:tabs>
        <w:rPr>
          <w:rFonts w:ascii="Times New Roman" w:hAnsi="Times New Roman"/>
          <w:b/>
          <w:bCs/>
          <w:sz w:val="24"/>
          <w:szCs w:val="24"/>
        </w:rPr>
      </w:pPr>
      <w:r w:rsidRPr="00091FFE">
        <w:rPr>
          <w:rFonts w:ascii="Times New Roman" w:hAnsi="Times New Roman"/>
          <w:b/>
          <w:bCs/>
          <w:sz w:val="24"/>
          <w:szCs w:val="24"/>
        </w:rPr>
        <w:t>Legal Lesson Learned:</w:t>
      </w:r>
      <w:r>
        <w:rPr>
          <w:rFonts w:ascii="Times New Roman" w:hAnsi="Times New Roman"/>
          <w:b/>
          <w:bCs/>
          <w:sz w:val="24"/>
          <w:szCs w:val="24"/>
        </w:rPr>
        <w:t xml:space="preserve"> State sprinkler code can be enforced not only against state-licensed facilities, such as rest homes and group mental health facilities, but also to unlicensed “sober houses” voluntarily seeking State accreditation </w:t>
      </w:r>
      <w:proofErr w:type="gramStart"/>
      <w:r>
        <w:rPr>
          <w:rFonts w:ascii="Times New Roman" w:hAnsi="Times New Roman"/>
          <w:b/>
          <w:bCs/>
          <w:sz w:val="24"/>
          <w:szCs w:val="24"/>
        </w:rPr>
        <w:t>in order to</w:t>
      </w:r>
      <w:proofErr w:type="gramEnd"/>
      <w:r>
        <w:rPr>
          <w:rFonts w:ascii="Times New Roman" w:hAnsi="Times New Roman"/>
          <w:b/>
          <w:bCs/>
          <w:sz w:val="24"/>
          <w:szCs w:val="24"/>
        </w:rPr>
        <w:t xml:space="preserve"> receive patient referrals from State agencies. </w:t>
      </w:r>
    </w:p>
    <w:p w14:paraId="22956CD6" w14:textId="77777777" w:rsidR="007D178F" w:rsidRDefault="007D178F" w:rsidP="007D178F">
      <w:pPr>
        <w:pStyle w:val="NoSpacing"/>
        <w:tabs>
          <w:tab w:val="left" w:pos="3200"/>
        </w:tabs>
        <w:rPr>
          <w:rFonts w:ascii="Times New Roman" w:hAnsi="Times New Roman"/>
          <w:b/>
          <w:bCs/>
          <w:sz w:val="24"/>
          <w:szCs w:val="24"/>
        </w:rPr>
      </w:pPr>
    </w:p>
    <w:p w14:paraId="597D1F30" w14:textId="77777777" w:rsidR="007D178F" w:rsidRDefault="007D178F" w:rsidP="007D178F">
      <w:pPr>
        <w:pStyle w:val="NoSpacing"/>
        <w:tabs>
          <w:tab w:val="left" w:pos="3200"/>
        </w:tabs>
        <w:ind w:left="630"/>
      </w:pPr>
      <w:r>
        <w:rPr>
          <w:rFonts w:ascii="Times New Roman" w:hAnsi="Times New Roman"/>
          <w:sz w:val="24"/>
          <w:szCs w:val="24"/>
        </w:rPr>
        <w:t xml:space="preserve">Note:  The Court described how fire codes nationwide have expanded after tragic fires, including </w:t>
      </w:r>
      <w:r w:rsidRPr="00906A73">
        <w:rPr>
          <w:rFonts w:ascii="Times New Roman" w:hAnsi="Times New Roman"/>
          <w:sz w:val="24"/>
          <w:szCs w:val="24"/>
        </w:rPr>
        <w:t>the Triangle Shirtwaist Factory Fire in New York</w:t>
      </w:r>
      <w:r>
        <w:rPr>
          <w:rFonts w:ascii="Times New Roman" w:hAnsi="Times New Roman"/>
          <w:sz w:val="24"/>
          <w:szCs w:val="24"/>
        </w:rPr>
        <w:t xml:space="preserve"> (1911 – 146 died), and the </w:t>
      </w:r>
      <w:r w:rsidRPr="00906A73">
        <w:rPr>
          <w:rFonts w:ascii="Times New Roman" w:hAnsi="Times New Roman"/>
          <w:sz w:val="24"/>
          <w:szCs w:val="24"/>
        </w:rPr>
        <w:t>Cocoanut Grove nightclub fire in Boston</w:t>
      </w:r>
      <w:r>
        <w:rPr>
          <w:rFonts w:ascii="Times New Roman" w:hAnsi="Times New Roman"/>
          <w:sz w:val="24"/>
          <w:szCs w:val="24"/>
        </w:rPr>
        <w:t xml:space="preserve"> (1942 – 492 died).  [Footnote 5.]  Sprinkler codes in Massachusetts were also expanded after tragic fires. </w:t>
      </w:r>
    </w:p>
    <w:p w14:paraId="30225F49" w14:textId="77777777" w:rsidR="007D178F" w:rsidRDefault="007D178F" w:rsidP="007D178F">
      <w:pPr>
        <w:pStyle w:val="NormalWeb"/>
        <w:ind w:left="720"/>
      </w:pPr>
      <w:r>
        <w:t xml:space="preserve">“The Commonwealth's sprinkler laws reflect a patchwork of requirements enacted, seriatim, in response to various </w:t>
      </w:r>
      <w:proofErr w:type="spellStart"/>
      <w:r>
        <w:t>tragedies.</w:t>
      </w:r>
      <w:bookmarkStart w:id="17" w:name="fn5"/>
      <w:r>
        <w:rPr>
          <w:sz w:val="20"/>
          <w:szCs w:val="20"/>
          <w:vertAlign w:val="superscript"/>
        </w:rPr>
        <w:fldChar w:fldCharType="begin"/>
      </w:r>
      <w:r>
        <w:rPr>
          <w:sz w:val="20"/>
          <w:szCs w:val="20"/>
          <w:vertAlign w:val="superscript"/>
        </w:rPr>
        <w:instrText xml:space="preserve"> HYPERLINK "https://public.fastcase.com/" \l "fr5" </w:instrText>
      </w:r>
      <w:r>
        <w:rPr>
          <w:sz w:val="20"/>
          <w:szCs w:val="20"/>
          <w:vertAlign w:val="superscript"/>
        </w:rPr>
      </w:r>
      <w:r>
        <w:rPr>
          <w:sz w:val="20"/>
          <w:szCs w:val="20"/>
          <w:vertAlign w:val="superscript"/>
        </w:rPr>
        <w:fldChar w:fldCharType="separate"/>
      </w:r>
      <w:r w:rsidR="00814FB6">
        <w:rPr>
          <w:rStyle w:val="Hyperlink"/>
          <w:rFonts w:ascii="Calibri" w:eastAsia="Calibri" w:hAnsi="Calibri"/>
          <w:sz w:val="22"/>
          <w:szCs w:val="22"/>
        </w:rPr>
        <w:t>https</w:t>
      </w:r>
      <w:proofErr w:type="spellEnd"/>
      <w:r w:rsidR="00814FB6">
        <w:rPr>
          <w:rStyle w:val="Hyperlink"/>
          <w:rFonts w:ascii="Calibri" w:eastAsia="Calibri" w:hAnsi="Calibri"/>
          <w:sz w:val="22"/>
          <w:szCs w:val="22"/>
        </w:rPr>
        <w:t>://public.fastcase.com/ - fr5</w:t>
      </w:r>
      <w:r>
        <w:rPr>
          <w:sz w:val="20"/>
          <w:szCs w:val="20"/>
          <w:vertAlign w:val="superscript"/>
        </w:rPr>
        <w:fldChar w:fldCharType="end"/>
      </w:r>
      <w:bookmarkEnd w:id="17"/>
      <w:r>
        <w:rPr>
          <w:sz w:val="20"/>
          <w:szCs w:val="20"/>
          <w:vertAlign w:val="superscript"/>
        </w:rPr>
        <w:t xml:space="preserve"> </w:t>
      </w:r>
      <w:r>
        <w:t>‘[F]</w:t>
      </w:r>
      <w:proofErr w:type="spellStart"/>
      <w:r>
        <w:t>ollowing</w:t>
      </w:r>
      <w:proofErr w:type="spellEnd"/>
      <w:r>
        <w:t xml:space="preserve"> a fire in a luxury high rise hotel that killed nine firefighters,’ </w:t>
      </w:r>
      <w:proofErr w:type="spellStart"/>
      <w:r>
        <w:rPr>
          <w:u w:val="single"/>
        </w:rPr>
        <w:t>MacLaurin</w:t>
      </w:r>
      <w:proofErr w:type="spellEnd"/>
      <w:r>
        <w:t xml:space="preserve"> v. </w:t>
      </w:r>
      <w:r>
        <w:rPr>
          <w:u w:val="single"/>
        </w:rPr>
        <w:t>Holyoke</w:t>
      </w:r>
      <w:r>
        <w:t xml:space="preserve">, 475 Mass. 231, 245 n.33 (2016), "automatic sprinklers were first required in 1972, in new high rise buildings throughout the Commonwealth, for buildings built after March 1, 1974. See G. L. c. 148, § 26A; St. 1973, c. 395, § 1." </w:t>
      </w:r>
      <w:r>
        <w:rPr>
          <w:u w:val="single"/>
        </w:rPr>
        <w:t>Id</w:t>
      </w:r>
      <w:r>
        <w:t xml:space="preserve">. at 245. "In 1982, following a deadly fire in Fall River, the commercial sprinkler provision, applicable to new nonresidential buildings of more than 7,500 square feet, and existing such buildings when they underwent 'major alterations,' was adopted." </w:t>
      </w:r>
      <w:r>
        <w:rPr>
          <w:u w:val="single"/>
        </w:rPr>
        <w:t>Id</w:t>
      </w:r>
      <w:r>
        <w:t>., discussing G. L. c. 148, § 26G, inserted by St. 1982, c. 545, § 1. "[I]</w:t>
      </w:r>
      <w:proofErr w:type="gramStart"/>
      <w:r>
        <w:t>n 1986</w:t>
      </w:r>
      <w:proofErr w:type="gramEnd"/>
      <w:r>
        <w:t xml:space="preserve">, after a major fire in the Prudential Center in Boston, sprinklers were required in existing, and not just new, </w:t>
      </w:r>
      <w:proofErr w:type="gramStart"/>
      <w:r>
        <w:t>high rise</w:t>
      </w:r>
      <w:proofErr w:type="gramEnd"/>
      <w:r>
        <w:t xml:space="preserve"> buildings across the Commonwealth, G. L. c. 148, § 26A 1/2, with a ten-year phase-in period. St. 1986, c. 633, § 2." (Footnote omitted.) </w:t>
      </w:r>
      <w:proofErr w:type="spellStart"/>
      <w:r>
        <w:rPr>
          <w:u w:val="single"/>
        </w:rPr>
        <w:t>MacLaurin</w:t>
      </w:r>
      <w:proofErr w:type="spellEnd"/>
      <w:r>
        <w:t xml:space="preserve">, </w:t>
      </w:r>
      <w:r>
        <w:rPr>
          <w:u w:val="single"/>
        </w:rPr>
        <w:t>supra</w:t>
      </w:r>
      <w:r>
        <w:t>. The sprinkler requirement for lodging houses at issue in this case was enacted within two years of the 1984 Elliot Chambers rooming house fire, a fire in Beverly in which fifteen people died and fourteen more were injured. See G. L. c. 148, § 26H, inserted by St. 1986, c. 265; Ortega, 1984 Beverly Fire Etched into Memory of Witnesses, Boston Globe (July 4, 2014), https://www.bostonglobe.com/metro/2014/07/03/three-decades-later-beverly-rooming-house-fire-that-killed-leaves-legacy-loss-and-reform/PljEbDRo6WmiAs5L84MRNP/story.html [https://perma.cc/VXQ7-R5NF].”</w:t>
      </w:r>
    </w:p>
    <w:p w14:paraId="31AE4E1C" w14:textId="77777777" w:rsidR="007D178F" w:rsidRDefault="007D178F" w:rsidP="007D178F">
      <w:pPr>
        <w:pStyle w:val="NoSpacing"/>
        <w:tabs>
          <w:tab w:val="left" w:pos="3200"/>
        </w:tabs>
        <w:rPr>
          <w:rFonts w:ascii="Times New Roman" w:hAnsi="Times New Roman"/>
          <w:sz w:val="24"/>
          <w:szCs w:val="24"/>
        </w:rPr>
      </w:pPr>
      <w:r>
        <w:rPr>
          <w:rFonts w:ascii="Times New Roman" w:hAnsi="Times New Roman"/>
          <w:sz w:val="24"/>
          <w:szCs w:val="24"/>
        </w:rPr>
        <w:t xml:space="preserve"> </w:t>
      </w:r>
    </w:p>
    <w:p w14:paraId="06F752CE" w14:textId="77777777" w:rsidR="007D178F" w:rsidRDefault="007D178F" w:rsidP="007D178F">
      <w:pPr>
        <w:pStyle w:val="NoSpacing"/>
        <w:rPr>
          <w:rFonts w:ascii="Times New Roman" w:hAnsi="Times New Roman"/>
          <w:sz w:val="24"/>
          <w:szCs w:val="24"/>
        </w:rPr>
      </w:pPr>
    </w:p>
    <w:p w14:paraId="0D237155" w14:textId="77777777" w:rsidR="007D178F" w:rsidRDefault="007D178F" w:rsidP="002B1283">
      <w:pPr>
        <w:rPr>
          <w:rFonts w:ascii="Arial Black" w:hAnsi="Arial Black"/>
          <w:b/>
          <w:sz w:val="24"/>
          <w:szCs w:val="24"/>
        </w:rPr>
      </w:pPr>
    </w:p>
    <w:p w14:paraId="318E0B3B" w14:textId="77777777" w:rsidR="007D178F" w:rsidRDefault="007D178F" w:rsidP="002B1283">
      <w:pPr>
        <w:rPr>
          <w:rFonts w:ascii="Arial Black" w:hAnsi="Arial Black"/>
          <w:b/>
          <w:sz w:val="24"/>
          <w:szCs w:val="24"/>
        </w:rPr>
      </w:pPr>
    </w:p>
    <w:p w14:paraId="3BB07011" w14:textId="09CB6DEA" w:rsidR="00DD03E3" w:rsidRDefault="00DD03E3" w:rsidP="002B1283">
      <w:pPr>
        <w:rPr>
          <w:rFonts w:ascii="Arial Black" w:hAnsi="Arial Black"/>
          <w:b/>
          <w:sz w:val="24"/>
          <w:szCs w:val="24"/>
        </w:rPr>
      </w:pPr>
      <w:r>
        <w:rPr>
          <w:rFonts w:ascii="Arial Black" w:hAnsi="Arial Black"/>
          <w:b/>
          <w:sz w:val="24"/>
          <w:szCs w:val="24"/>
        </w:rPr>
        <w:lastRenderedPageBreak/>
        <w:t>1-6</w:t>
      </w:r>
      <w:r w:rsidR="000F483A">
        <w:rPr>
          <w:rFonts w:ascii="Arial Black" w:hAnsi="Arial Black"/>
          <w:b/>
          <w:sz w:val="24"/>
          <w:szCs w:val="24"/>
        </w:rPr>
        <w:t>7</w:t>
      </w:r>
    </w:p>
    <w:p w14:paraId="5CBC4D03" w14:textId="77777777" w:rsidR="00DD03E3" w:rsidRPr="000A4BA4" w:rsidRDefault="00DD03E3" w:rsidP="00DD03E3">
      <w:pPr>
        <w:spacing w:before="100" w:beforeAutospacing="1" w:after="100" w:afterAutospacing="1" w:line="240" w:lineRule="auto"/>
        <w:rPr>
          <w:rFonts w:ascii="Arial Black" w:eastAsia="Times New Roman" w:hAnsi="Arial Black"/>
          <w:b/>
          <w:bCs/>
          <w:sz w:val="28"/>
          <w:szCs w:val="28"/>
        </w:rPr>
      </w:pPr>
      <w:r w:rsidRPr="000A4BA4">
        <w:rPr>
          <w:rFonts w:ascii="Arial Black" w:eastAsia="Times New Roman" w:hAnsi="Arial Black"/>
          <w:b/>
          <w:bCs/>
          <w:sz w:val="28"/>
          <w:szCs w:val="28"/>
        </w:rPr>
        <w:t>CA:</w:t>
      </w:r>
      <w:r>
        <w:rPr>
          <w:rFonts w:ascii="Arial Black" w:eastAsia="Times New Roman" w:hAnsi="Arial Black"/>
          <w:b/>
          <w:bCs/>
          <w:sz w:val="28"/>
          <w:szCs w:val="28"/>
        </w:rPr>
        <w:t xml:space="preserve"> ARSON – EMPLOYEE FIRED COFFEE SHOP - SEARCH WARRANT UPHELD – U.S. SUP. CT’s “GOOD FAITH EXCEPTION” ALSO APPLIES</w:t>
      </w:r>
    </w:p>
    <w:p w14:paraId="3EE354FD" w14:textId="77777777" w:rsidR="00DD03E3" w:rsidRDefault="00DD03E3" w:rsidP="00DD03E3">
      <w:pPr>
        <w:spacing w:before="100" w:beforeAutospacing="1" w:after="100" w:afterAutospacing="1" w:line="240" w:lineRule="auto"/>
        <w:rPr>
          <w:rFonts w:ascii="Times New Roman" w:hAnsi="Times New Roman"/>
          <w:sz w:val="24"/>
          <w:szCs w:val="24"/>
        </w:rPr>
      </w:pPr>
      <w:r w:rsidRPr="000A4BA4">
        <w:rPr>
          <w:rFonts w:ascii="Times New Roman" w:hAnsi="Times New Roman"/>
          <w:sz w:val="24"/>
          <w:szCs w:val="24"/>
        </w:rPr>
        <w:t xml:space="preserve">On Oct. 13, 2020, in </w:t>
      </w:r>
      <w:r w:rsidRPr="000A4BA4">
        <w:rPr>
          <w:rFonts w:ascii="Times New Roman" w:hAnsi="Times New Roman"/>
          <w:sz w:val="24"/>
          <w:szCs w:val="24"/>
          <w:u w:val="single"/>
        </w:rPr>
        <w:t>The People v. Muhammad Khan</w:t>
      </w:r>
      <w:r w:rsidRPr="000A4BA4">
        <w:rPr>
          <w:rFonts w:ascii="Times New Roman" w:hAnsi="Times New Roman"/>
          <w:sz w:val="24"/>
          <w:szCs w:val="24"/>
        </w:rPr>
        <w:t xml:space="preserve">, </w:t>
      </w:r>
      <w:r>
        <w:rPr>
          <w:rFonts w:ascii="Times New Roman" w:hAnsi="Times New Roman"/>
          <w:sz w:val="24"/>
          <w:szCs w:val="24"/>
        </w:rPr>
        <w:t xml:space="preserve">the Court of Appeal of the State of California (Sixth Appellate District), held (3 to 0) unpublished decision, that the trial court judge had properly denied the defense motion to suppress evidence seized at defendant’s home.  Court also held that even if the search warrant was found to be technically deficient, the evidence was properly allowed into evidence based on  the U.S. Supreme Court’s “good faith exception” in United States v. Leon, 468 U.S. 89 (1984), </w:t>
      </w:r>
      <w:hyperlink r:id="rId297" w:history="1">
        <w:r w:rsidRPr="00457ADD">
          <w:rPr>
            <w:rStyle w:val="Hyperlink"/>
            <w:rFonts w:ascii="Times New Roman" w:hAnsi="Times New Roman"/>
            <w:sz w:val="24"/>
            <w:szCs w:val="24"/>
          </w:rPr>
          <w:t>https://supreme.justia.com/cases/federal/us/468/897/</w:t>
        </w:r>
      </w:hyperlink>
      <w:r>
        <w:rPr>
          <w:rFonts w:ascii="Times New Roman" w:hAnsi="Times New Roman"/>
          <w:sz w:val="24"/>
          <w:szCs w:val="24"/>
        </w:rPr>
        <w:t xml:space="preserve"> </w:t>
      </w:r>
    </w:p>
    <w:p w14:paraId="32405324" w14:textId="77777777" w:rsidR="00DD03E3" w:rsidRDefault="00DD03E3" w:rsidP="00DD03E3">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0A4BA4">
        <w:rPr>
          <w:rFonts w:ascii="Times New Roman" w:hAnsi="Times New Roman"/>
          <w:sz w:val="24"/>
          <w:szCs w:val="24"/>
        </w:rPr>
        <w:t>Even if a close question, we conclude that the issuing magistrate had a substantial basis for concluding that probable cause existed for issuance of the search warrant, i.e., there was a fair probability that evidence of the crime would be found in defendant's home.</w:t>
      </w:r>
      <w:r>
        <w:rPr>
          <w:rFonts w:ascii="Times New Roman" w:hAnsi="Times New Roman"/>
          <w:sz w:val="24"/>
          <w:szCs w:val="24"/>
        </w:rPr>
        <w:t xml:space="preserve"> </w:t>
      </w:r>
      <w:r w:rsidRPr="00F02ED3">
        <w:rPr>
          <w:rFonts w:ascii="Times New Roman" w:eastAsia="Times New Roman" w:hAnsi="Times New Roman"/>
          <w:sz w:val="24"/>
          <w:szCs w:val="24"/>
        </w:rPr>
        <w:t xml:space="preserve">In </w:t>
      </w:r>
      <w:r w:rsidRPr="00F02ED3">
        <w:rPr>
          <w:rFonts w:ascii="Times New Roman" w:eastAsia="Times New Roman" w:hAnsi="Times New Roman"/>
          <w:i/>
          <w:iCs/>
          <w:sz w:val="24"/>
          <w:szCs w:val="24"/>
        </w:rPr>
        <w:t>Leon</w:t>
      </w:r>
      <w:r w:rsidRPr="00F02ED3">
        <w:rPr>
          <w:rFonts w:ascii="Times New Roman" w:eastAsia="Times New Roman" w:hAnsi="Times New Roman"/>
          <w:sz w:val="24"/>
          <w:szCs w:val="24"/>
        </w:rPr>
        <w:t xml:space="preserve">, the United States Supreme Court recognized a good faith exception to the exclusionary rule where police conduct a search in </w:t>
      </w:r>
      <w:r>
        <w:rPr>
          <w:rFonts w:ascii="Times New Roman" w:eastAsia="Times New Roman" w:hAnsi="Times New Roman"/>
          <w:sz w:val="24"/>
          <w:szCs w:val="24"/>
        </w:rPr>
        <w:t>‘</w:t>
      </w:r>
      <w:r w:rsidRPr="00F02ED3">
        <w:rPr>
          <w:rFonts w:ascii="Times New Roman" w:eastAsia="Times New Roman" w:hAnsi="Times New Roman"/>
          <w:sz w:val="24"/>
          <w:szCs w:val="24"/>
        </w:rPr>
        <w:t>objectively reasonable reliance</w:t>
      </w:r>
      <w:r>
        <w:rPr>
          <w:rFonts w:ascii="Times New Roman" w:eastAsia="Times New Roman" w:hAnsi="Times New Roman"/>
          <w:sz w:val="24"/>
          <w:szCs w:val="24"/>
        </w:rPr>
        <w:t>’</w:t>
      </w:r>
      <w:r w:rsidRPr="00F02ED3">
        <w:rPr>
          <w:rFonts w:ascii="Times New Roman" w:eastAsia="Times New Roman" w:hAnsi="Times New Roman"/>
          <w:sz w:val="24"/>
          <w:szCs w:val="24"/>
        </w:rPr>
        <w:t xml:space="preserve"> on a warrant later held invalid. (</w:t>
      </w:r>
      <w:r w:rsidRPr="00F02ED3">
        <w:rPr>
          <w:rFonts w:ascii="Times New Roman" w:eastAsia="Times New Roman" w:hAnsi="Times New Roman"/>
          <w:i/>
          <w:iCs/>
          <w:sz w:val="24"/>
          <w:szCs w:val="24"/>
        </w:rPr>
        <w:t>Leon</w:t>
      </w:r>
      <w:r w:rsidRPr="00F02ED3">
        <w:rPr>
          <w:rFonts w:ascii="Times New Roman" w:eastAsia="Times New Roman" w:hAnsi="Times New Roman"/>
          <w:sz w:val="24"/>
          <w:szCs w:val="24"/>
        </w:rPr>
        <w:t xml:space="preserve">, </w:t>
      </w:r>
      <w:r w:rsidRPr="00F02ED3">
        <w:rPr>
          <w:rFonts w:ascii="Times New Roman" w:eastAsia="Times New Roman" w:hAnsi="Times New Roman"/>
          <w:i/>
          <w:iCs/>
          <w:sz w:val="24"/>
          <w:szCs w:val="24"/>
        </w:rPr>
        <w:t>supra</w:t>
      </w:r>
      <w:r w:rsidRPr="00F02ED3">
        <w:rPr>
          <w:rFonts w:ascii="Times New Roman" w:eastAsia="Times New Roman" w:hAnsi="Times New Roman"/>
          <w:sz w:val="24"/>
          <w:szCs w:val="24"/>
        </w:rPr>
        <w:t xml:space="preserve">, 468 U.S. at p. 922; see </w:t>
      </w:r>
      <w:r w:rsidRPr="00F02ED3">
        <w:rPr>
          <w:rFonts w:ascii="Times New Roman" w:eastAsia="Times New Roman" w:hAnsi="Times New Roman"/>
          <w:i/>
          <w:iCs/>
          <w:sz w:val="24"/>
          <w:szCs w:val="24"/>
        </w:rPr>
        <w:t>id</w:t>
      </w:r>
      <w:r w:rsidRPr="00F02ED3">
        <w:rPr>
          <w:rFonts w:ascii="Times New Roman" w:eastAsia="Times New Roman" w:hAnsi="Times New Roman"/>
          <w:sz w:val="24"/>
          <w:szCs w:val="24"/>
        </w:rPr>
        <w:t xml:space="preserve">. </w:t>
      </w:r>
      <w:proofErr w:type="gramStart"/>
      <w:r w:rsidRPr="00F02ED3">
        <w:rPr>
          <w:rFonts w:ascii="Times New Roman" w:eastAsia="Times New Roman" w:hAnsi="Times New Roman"/>
          <w:sz w:val="24"/>
          <w:szCs w:val="24"/>
        </w:rPr>
        <w:t>at p.</w:t>
      </w:r>
      <w:proofErr w:type="gramEnd"/>
      <w:r w:rsidRPr="00F02ED3">
        <w:rPr>
          <w:rFonts w:ascii="Times New Roman" w:eastAsia="Times New Roman" w:hAnsi="Times New Roman"/>
          <w:sz w:val="24"/>
          <w:szCs w:val="24"/>
        </w:rPr>
        <w:t xml:space="preserve"> 924 [the good-faith exception turns on objective reasonableness].) The court </w:t>
      </w:r>
      <w:proofErr w:type="gramStart"/>
      <w:r w:rsidRPr="00F02ED3">
        <w:rPr>
          <w:rFonts w:ascii="Times New Roman" w:eastAsia="Times New Roman" w:hAnsi="Times New Roman"/>
          <w:sz w:val="24"/>
          <w:szCs w:val="24"/>
        </w:rPr>
        <w:t xml:space="preserve">explained: </w:t>
      </w:r>
      <w:r>
        <w:rPr>
          <w:rFonts w:ascii="Times New Roman" w:eastAsia="Times New Roman" w:hAnsi="Times New Roman"/>
          <w:sz w:val="24"/>
          <w:szCs w:val="24"/>
        </w:rPr>
        <w:t>‘</w:t>
      </w:r>
      <w:proofErr w:type="gramEnd"/>
      <w:r w:rsidRPr="00F02ED3">
        <w:rPr>
          <w:rFonts w:ascii="Times New Roman" w:eastAsia="Times New Roman" w:hAnsi="Times New Roman"/>
          <w:sz w:val="24"/>
          <w:szCs w:val="24"/>
        </w:rPr>
        <w:t>It is the magistrate's responsibility to determine whether the officer's allegations establish probable cause and, if so, to issue a warrant comporting in form with the requirements of the Fourth Amendment. In the ordinary case, an officer cannot be expected to question</w:t>
      </w:r>
      <w:r>
        <w:rPr>
          <w:rFonts w:ascii="Times New Roman" w:eastAsia="Times New Roman" w:hAnsi="Times New Roman"/>
          <w:sz w:val="24"/>
          <w:szCs w:val="24"/>
        </w:rPr>
        <w:t xml:space="preserve"> </w:t>
      </w:r>
      <w:r w:rsidRPr="00F02ED3">
        <w:rPr>
          <w:rFonts w:ascii="Times New Roman" w:eastAsia="Times New Roman" w:hAnsi="Times New Roman"/>
          <w:sz w:val="24"/>
          <w:szCs w:val="24"/>
        </w:rPr>
        <w:t xml:space="preserve">the magistrate's probable-cause determination or his judgment that the form of the </w:t>
      </w:r>
      <w:proofErr w:type="gramStart"/>
      <w:r w:rsidRPr="00F02ED3">
        <w:rPr>
          <w:rFonts w:ascii="Times New Roman" w:eastAsia="Times New Roman" w:hAnsi="Times New Roman"/>
          <w:sz w:val="24"/>
          <w:szCs w:val="24"/>
        </w:rPr>
        <w:t>warrant</w:t>
      </w:r>
      <w:proofErr w:type="gramEnd"/>
      <w:r w:rsidRPr="00F02ED3">
        <w:rPr>
          <w:rFonts w:ascii="Times New Roman" w:eastAsia="Times New Roman" w:hAnsi="Times New Roman"/>
          <w:sz w:val="24"/>
          <w:szCs w:val="24"/>
        </w:rPr>
        <w:t xml:space="preserve"> is technically sufficient.</w:t>
      </w:r>
      <w:r>
        <w:rPr>
          <w:rFonts w:ascii="Times New Roman" w:eastAsia="Times New Roman" w:hAnsi="Times New Roman"/>
          <w:sz w:val="24"/>
          <w:szCs w:val="24"/>
        </w:rPr>
        <w:t>’</w:t>
      </w:r>
      <w:r w:rsidRPr="00F02ED3">
        <w:rPr>
          <w:rFonts w:ascii="Times New Roman" w:eastAsia="Times New Roman" w:hAnsi="Times New Roman"/>
          <w:sz w:val="24"/>
          <w:szCs w:val="24"/>
        </w:rPr>
        <w:t xml:space="preserve"> (</w:t>
      </w:r>
      <w:r w:rsidRPr="00F02ED3">
        <w:rPr>
          <w:rFonts w:ascii="Times New Roman" w:eastAsia="Times New Roman" w:hAnsi="Times New Roman"/>
          <w:i/>
          <w:iCs/>
          <w:sz w:val="24"/>
          <w:szCs w:val="24"/>
        </w:rPr>
        <w:t>Id</w:t>
      </w:r>
      <w:r w:rsidRPr="00F02ED3">
        <w:rPr>
          <w:rFonts w:ascii="Times New Roman" w:eastAsia="Times New Roman" w:hAnsi="Times New Roman"/>
          <w:sz w:val="24"/>
          <w:szCs w:val="24"/>
        </w:rPr>
        <w:t>. at p. 921.)</w:t>
      </w:r>
      <w:r>
        <w:rPr>
          <w:rFonts w:ascii="Times New Roman" w:eastAsia="Times New Roman" w:hAnsi="Times New Roman"/>
          <w:sz w:val="24"/>
          <w:szCs w:val="24"/>
        </w:rPr>
        <w:t xml:space="preserve"> </w:t>
      </w:r>
    </w:p>
    <w:p w14:paraId="68C24EC3" w14:textId="77777777" w:rsidR="00DD03E3" w:rsidRDefault="00DD03E3" w:rsidP="00DD03E3">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01548202" w14:textId="77777777" w:rsidR="00DD03E3" w:rsidRDefault="00DD03E3" w:rsidP="00DD03E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[SEARCH WARRANT AFFIDAVIT] </w:t>
      </w:r>
    </w:p>
    <w:p w14:paraId="220C412C" w14:textId="77777777" w:rsidR="00DD03E3" w:rsidRPr="00F02ED3" w:rsidRDefault="00DD03E3" w:rsidP="00DD03E3">
      <w:pPr>
        <w:spacing w:before="100" w:beforeAutospacing="1" w:after="100" w:afterAutospacing="1" w:line="240" w:lineRule="auto"/>
        <w:ind w:left="720"/>
        <w:rPr>
          <w:rFonts w:ascii="Times New Roman" w:eastAsia="Times New Roman" w:hAnsi="Times New Roman"/>
          <w:sz w:val="24"/>
          <w:szCs w:val="24"/>
        </w:rPr>
      </w:pPr>
      <w:r w:rsidRPr="001E6223">
        <w:rPr>
          <w:rFonts w:ascii="Times New Roman" w:hAnsi="Times New Roman"/>
          <w:sz w:val="24"/>
          <w:szCs w:val="24"/>
        </w:rPr>
        <w:t xml:space="preserve">Based on his experience that people often keep receipts from recent purchases, Detective Bulatao stated his belief that receipts from purchases of </w:t>
      </w:r>
      <w:r>
        <w:rPr>
          <w:rFonts w:ascii="Times New Roman" w:hAnsi="Times New Roman"/>
          <w:sz w:val="24"/>
          <w:szCs w:val="24"/>
        </w:rPr>
        <w:t>‘</w:t>
      </w:r>
      <w:r w:rsidRPr="001E6223">
        <w:rPr>
          <w:rFonts w:ascii="Times New Roman" w:hAnsi="Times New Roman"/>
          <w:sz w:val="24"/>
          <w:szCs w:val="24"/>
        </w:rPr>
        <w:t>items pertaining to [the] investigation (i.e. gas purchases, towels, canisters)</w:t>
      </w:r>
      <w:r>
        <w:rPr>
          <w:rFonts w:ascii="Times New Roman" w:hAnsi="Times New Roman"/>
          <w:sz w:val="24"/>
          <w:szCs w:val="24"/>
        </w:rPr>
        <w:t>’</w:t>
      </w:r>
      <w:r w:rsidRPr="001E6223">
        <w:rPr>
          <w:rFonts w:ascii="Times New Roman" w:hAnsi="Times New Roman"/>
          <w:sz w:val="24"/>
          <w:szCs w:val="24"/>
        </w:rPr>
        <w:t xml:space="preserve"> would be found in defendant’s residence. He also stated, based on his training and experience, that he knew that fire accelerant is </w:t>
      </w:r>
      <w:r>
        <w:rPr>
          <w:rFonts w:ascii="Times New Roman" w:hAnsi="Times New Roman"/>
          <w:sz w:val="24"/>
          <w:szCs w:val="24"/>
        </w:rPr>
        <w:t>‘</w:t>
      </w:r>
      <w:r w:rsidRPr="001E6223">
        <w:rPr>
          <w:rFonts w:ascii="Times New Roman" w:hAnsi="Times New Roman"/>
          <w:sz w:val="24"/>
          <w:szCs w:val="24"/>
        </w:rPr>
        <w:t>contained in canisters or other containers,</w:t>
      </w:r>
      <w:r>
        <w:rPr>
          <w:rFonts w:ascii="Times New Roman" w:hAnsi="Times New Roman"/>
          <w:sz w:val="24"/>
          <w:szCs w:val="24"/>
        </w:rPr>
        <w:t>’</w:t>
      </w:r>
      <w:r w:rsidRPr="001E6223">
        <w:rPr>
          <w:rFonts w:ascii="Times New Roman" w:hAnsi="Times New Roman"/>
          <w:sz w:val="24"/>
          <w:szCs w:val="24"/>
        </w:rPr>
        <w:t xml:space="preserve"> that </w:t>
      </w:r>
      <w:r>
        <w:rPr>
          <w:rFonts w:ascii="Times New Roman" w:hAnsi="Times New Roman"/>
          <w:sz w:val="24"/>
          <w:szCs w:val="24"/>
        </w:rPr>
        <w:t>‘</w:t>
      </w:r>
      <w:r w:rsidRPr="001E6223">
        <w:rPr>
          <w:rFonts w:ascii="Times New Roman" w:hAnsi="Times New Roman"/>
          <w:sz w:val="24"/>
          <w:szCs w:val="24"/>
        </w:rPr>
        <w:t>persons who use accelerants to soak rags, such as the blue towels in this case, may do so in the safety of their homes to avoid detection,</w:t>
      </w:r>
      <w:r>
        <w:rPr>
          <w:rFonts w:ascii="Times New Roman" w:hAnsi="Times New Roman"/>
          <w:sz w:val="24"/>
          <w:szCs w:val="24"/>
        </w:rPr>
        <w:t>’</w:t>
      </w:r>
      <w:r w:rsidRPr="001E6223">
        <w:rPr>
          <w:rFonts w:ascii="Times New Roman" w:hAnsi="Times New Roman"/>
          <w:sz w:val="24"/>
          <w:szCs w:val="24"/>
        </w:rPr>
        <w:t xml:space="preserve"> that </w:t>
      </w:r>
      <w:r>
        <w:rPr>
          <w:rFonts w:ascii="Times New Roman" w:hAnsi="Times New Roman"/>
          <w:sz w:val="24"/>
          <w:szCs w:val="24"/>
        </w:rPr>
        <w:t>‘</w:t>
      </w:r>
      <w:r w:rsidRPr="001E6223">
        <w:rPr>
          <w:rFonts w:ascii="Times New Roman" w:hAnsi="Times New Roman"/>
          <w:sz w:val="24"/>
          <w:szCs w:val="24"/>
        </w:rPr>
        <w:t>those canisters or other containers of accelerant may be found if a search is conducted,</w:t>
      </w:r>
      <w:r>
        <w:rPr>
          <w:rFonts w:ascii="Times New Roman" w:hAnsi="Times New Roman"/>
          <w:sz w:val="24"/>
          <w:szCs w:val="24"/>
        </w:rPr>
        <w:t>’</w:t>
      </w:r>
      <w:r w:rsidRPr="001E6223">
        <w:rPr>
          <w:rFonts w:ascii="Times New Roman" w:hAnsi="Times New Roman"/>
          <w:sz w:val="24"/>
          <w:szCs w:val="24"/>
        </w:rPr>
        <w:t xml:space="preserve"> and that </w:t>
      </w:r>
      <w:r>
        <w:rPr>
          <w:rFonts w:ascii="Times New Roman" w:hAnsi="Times New Roman"/>
          <w:sz w:val="24"/>
          <w:szCs w:val="24"/>
        </w:rPr>
        <w:t>‘</w:t>
      </w:r>
      <w:r w:rsidRPr="001E6223">
        <w:rPr>
          <w:rFonts w:ascii="Times New Roman" w:hAnsi="Times New Roman"/>
          <w:sz w:val="24"/>
          <w:szCs w:val="24"/>
        </w:rPr>
        <w:t>when a specific item is used in a crime—in this case, blue towels cut into rags</w:t>
      </w:r>
      <w:r>
        <w:rPr>
          <w:rFonts w:ascii="Times New Roman" w:hAnsi="Times New Roman"/>
          <w:sz w:val="24"/>
          <w:szCs w:val="24"/>
        </w:rPr>
        <w:t>’</w:t>
      </w:r>
      <w:r w:rsidRPr="001E6223">
        <w:rPr>
          <w:rFonts w:ascii="Times New Roman" w:hAnsi="Times New Roman"/>
          <w:sz w:val="24"/>
          <w:szCs w:val="24"/>
        </w:rPr>
        <w:t>—</w:t>
      </w:r>
      <w:r>
        <w:rPr>
          <w:rFonts w:ascii="Times New Roman" w:hAnsi="Times New Roman"/>
          <w:sz w:val="24"/>
          <w:szCs w:val="24"/>
        </w:rPr>
        <w:t>'</w:t>
      </w:r>
      <w:r w:rsidRPr="001E6223">
        <w:rPr>
          <w:rFonts w:ascii="Times New Roman" w:hAnsi="Times New Roman"/>
          <w:sz w:val="24"/>
          <w:szCs w:val="24"/>
        </w:rPr>
        <w:t>often more of the same type of items will be found in a person’s home.</w:t>
      </w:r>
      <w:r>
        <w:rPr>
          <w:rFonts w:ascii="Times New Roman" w:hAnsi="Times New Roman"/>
          <w:sz w:val="24"/>
          <w:szCs w:val="24"/>
        </w:rPr>
        <w:t>’</w:t>
      </w:r>
      <w:r w:rsidRPr="001E6223">
        <w:rPr>
          <w:rFonts w:ascii="Times New Roman" w:hAnsi="Times New Roman"/>
          <w:sz w:val="24"/>
          <w:szCs w:val="24"/>
        </w:rPr>
        <w:t xml:space="preserve"> The detective believed that </w:t>
      </w:r>
      <w:r>
        <w:rPr>
          <w:rFonts w:ascii="Times New Roman" w:hAnsi="Times New Roman"/>
          <w:sz w:val="24"/>
          <w:szCs w:val="24"/>
        </w:rPr>
        <w:t>‘</w:t>
      </w:r>
      <w:r w:rsidRPr="001E6223">
        <w:rPr>
          <w:rFonts w:ascii="Times New Roman" w:hAnsi="Times New Roman"/>
          <w:sz w:val="24"/>
          <w:szCs w:val="24"/>
        </w:rPr>
        <w:t>a certified canine</w:t>
      </w:r>
      <w:r>
        <w:rPr>
          <w:rFonts w:ascii="Times New Roman" w:hAnsi="Times New Roman"/>
          <w:sz w:val="24"/>
          <w:szCs w:val="24"/>
        </w:rPr>
        <w:t>’</w:t>
      </w:r>
      <w:r w:rsidRPr="001E6223">
        <w:rPr>
          <w:rFonts w:ascii="Times New Roman" w:hAnsi="Times New Roman"/>
          <w:sz w:val="24"/>
          <w:szCs w:val="24"/>
        </w:rPr>
        <w:t xml:space="preserve"> would provide </w:t>
      </w:r>
      <w:r>
        <w:rPr>
          <w:rFonts w:ascii="Times New Roman" w:hAnsi="Times New Roman"/>
          <w:sz w:val="24"/>
          <w:szCs w:val="24"/>
        </w:rPr>
        <w:t>‘</w:t>
      </w:r>
      <w:r w:rsidRPr="001E6223">
        <w:rPr>
          <w:rFonts w:ascii="Times New Roman" w:hAnsi="Times New Roman"/>
          <w:sz w:val="24"/>
          <w:szCs w:val="24"/>
        </w:rPr>
        <w:t>great assistance in locating the presence of accelerant.</w:t>
      </w:r>
      <w:r>
        <w:rPr>
          <w:rFonts w:ascii="Times New Roman" w:hAnsi="Times New Roman"/>
          <w:sz w:val="24"/>
          <w:szCs w:val="24"/>
        </w:rPr>
        <w:t>’</w:t>
      </w:r>
      <w:r w:rsidRPr="001E6223">
        <w:rPr>
          <w:rFonts w:ascii="Times New Roman" w:hAnsi="Times New Roman"/>
          <w:sz w:val="24"/>
          <w:szCs w:val="24"/>
        </w:rPr>
        <w:t xml:space="preserve"> The detective also knew, based on his training and/or experience, that </w:t>
      </w:r>
      <w:r>
        <w:rPr>
          <w:rFonts w:ascii="Times New Roman" w:hAnsi="Times New Roman"/>
          <w:sz w:val="24"/>
          <w:szCs w:val="24"/>
        </w:rPr>
        <w:t>‘</w:t>
      </w:r>
      <w:r w:rsidRPr="001E6223">
        <w:rPr>
          <w:rFonts w:ascii="Times New Roman" w:hAnsi="Times New Roman"/>
          <w:sz w:val="24"/>
          <w:szCs w:val="24"/>
        </w:rPr>
        <w:t>liquids [such] as a fire accelerant can often spill onto a person’s clothes,</w:t>
      </w:r>
      <w:r>
        <w:rPr>
          <w:rFonts w:ascii="Times New Roman" w:hAnsi="Times New Roman"/>
          <w:sz w:val="24"/>
          <w:szCs w:val="24"/>
        </w:rPr>
        <w:t>’</w:t>
      </w:r>
      <w:r w:rsidRPr="001E6223">
        <w:rPr>
          <w:rFonts w:ascii="Times New Roman" w:hAnsi="Times New Roman"/>
          <w:sz w:val="24"/>
          <w:szCs w:val="24"/>
        </w:rPr>
        <w:t xml:space="preserve"> that </w:t>
      </w:r>
      <w:r>
        <w:rPr>
          <w:rFonts w:ascii="Times New Roman" w:hAnsi="Times New Roman"/>
          <w:sz w:val="24"/>
          <w:szCs w:val="24"/>
        </w:rPr>
        <w:t>‘</w:t>
      </w:r>
      <w:r w:rsidRPr="001E6223">
        <w:rPr>
          <w:rFonts w:ascii="Times New Roman" w:hAnsi="Times New Roman"/>
          <w:sz w:val="24"/>
          <w:szCs w:val="24"/>
        </w:rPr>
        <w:t>dogs trained in accelerant detection can alert to the presence or non-presence of an accelerant,</w:t>
      </w:r>
      <w:r>
        <w:rPr>
          <w:rFonts w:ascii="Times New Roman" w:hAnsi="Times New Roman"/>
          <w:sz w:val="24"/>
          <w:szCs w:val="24"/>
        </w:rPr>
        <w:t>’</w:t>
      </w:r>
      <w:r w:rsidRPr="001E6223">
        <w:rPr>
          <w:rFonts w:ascii="Times New Roman" w:hAnsi="Times New Roman"/>
          <w:sz w:val="24"/>
          <w:szCs w:val="24"/>
        </w:rPr>
        <w:t xml:space="preserve"> and that </w:t>
      </w:r>
      <w:r>
        <w:rPr>
          <w:rFonts w:ascii="Times New Roman" w:hAnsi="Times New Roman"/>
          <w:sz w:val="24"/>
          <w:szCs w:val="24"/>
        </w:rPr>
        <w:t>‘</w:t>
      </w:r>
      <w:r w:rsidRPr="001E6223">
        <w:rPr>
          <w:rFonts w:ascii="Times New Roman" w:hAnsi="Times New Roman"/>
          <w:sz w:val="24"/>
          <w:szCs w:val="24"/>
        </w:rPr>
        <w:t>personal items of clothing will be found in a person’s residence.</w:t>
      </w:r>
      <w:r>
        <w:rPr>
          <w:rFonts w:ascii="Times New Roman" w:hAnsi="Times New Roman"/>
          <w:sz w:val="24"/>
          <w:szCs w:val="24"/>
        </w:rPr>
        <w:t>’”</w:t>
      </w:r>
      <w:hyperlink r:id="rId298" w:history="1">
        <w:r w:rsidRPr="00C93B62">
          <w:rPr>
            <w:rStyle w:val="Hyperlink"/>
            <w:rFonts w:ascii="Times New Roman" w:hAnsi="Times New Roman"/>
            <w:sz w:val="24"/>
            <w:szCs w:val="24"/>
          </w:rPr>
          <w:t>https://law.justia.com/cases/california/court-of-appeal/2019/h045524.html</w:t>
        </w:r>
      </w:hyperlink>
      <w:r>
        <w:rPr>
          <w:rFonts w:ascii="Times New Roman" w:hAnsi="Times New Roman"/>
          <w:sz w:val="24"/>
          <w:szCs w:val="24"/>
        </w:rPr>
        <w:t xml:space="preserve"> </w:t>
      </w:r>
    </w:p>
    <w:p w14:paraId="1FE00AC0" w14:textId="77777777" w:rsidR="00DD03E3" w:rsidRPr="007C664A" w:rsidRDefault="00DD03E3" w:rsidP="00DD03E3">
      <w:pPr>
        <w:spacing w:before="100" w:beforeAutospacing="1" w:after="100" w:afterAutospacing="1" w:line="240" w:lineRule="auto"/>
        <w:rPr>
          <w:rFonts w:ascii="Times New Roman" w:hAnsi="Times New Roman"/>
          <w:b/>
          <w:bCs/>
          <w:sz w:val="24"/>
          <w:szCs w:val="24"/>
        </w:rPr>
      </w:pPr>
      <w:r w:rsidRPr="007C664A">
        <w:rPr>
          <w:rFonts w:ascii="Times New Roman" w:hAnsi="Times New Roman"/>
          <w:b/>
          <w:bCs/>
          <w:sz w:val="24"/>
          <w:szCs w:val="24"/>
        </w:rPr>
        <w:t>Legal Lesson Learned:</w:t>
      </w:r>
      <w:r>
        <w:rPr>
          <w:rFonts w:ascii="Times New Roman" w:hAnsi="Times New Roman"/>
          <w:b/>
          <w:bCs/>
          <w:sz w:val="24"/>
          <w:szCs w:val="24"/>
        </w:rPr>
        <w:t xml:space="preserve"> U.S. Supreme Court’s “Good Faith Exception” helps ensure that evidence seized pursuant to a search warrant will be introduced in evidence at trial. </w:t>
      </w:r>
    </w:p>
    <w:p w14:paraId="65CBF67F" w14:textId="77777777" w:rsidR="00DD03E3" w:rsidRDefault="00DD03E3" w:rsidP="002B1283">
      <w:pPr>
        <w:rPr>
          <w:rFonts w:ascii="Arial Black" w:hAnsi="Arial Black"/>
          <w:b/>
          <w:sz w:val="24"/>
          <w:szCs w:val="24"/>
        </w:rPr>
      </w:pPr>
    </w:p>
    <w:p w14:paraId="668EC551" w14:textId="77777777" w:rsidR="00DD03E3" w:rsidRDefault="00DD03E3" w:rsidP="002B1283">
      <w:pPr>
        <w:rPr>
          <w:rFonts w:ascii="Arial Black" w:hAnsi="Arial Black"/>
          <w:b/>
          <w:sz w:val="24"/>
          <w:szCs w:val="24"/>
        </w:rPr>
      </w:pPr>
    </w:p>
    <w:p w14:paraId="7FC3CA93" w14:textId="3F1C7874" w:rsidR="00F824FE" w:rsidRDefault="00F824FE" w:rsidP="002B1283">
      <w:pPr>
        <w:rPr>
          <w:rFonts w:ascii="Arial Black" w:hAnsi="Arial Black"/>
          <w:b/>
          <w:sz w:val="24"/>
          <w:szCs w:val="24"/>
        </w:rPr>
      </w:pPr>
      <w:r>
        <w:rPr>
          <w:rFonts w:ascii="Arial Black" w:hAnsi="Arial Black"/>
          <w:b/>
          <w:sz w:val="24"/>
          <w:szCs w:val="24"/>
        </w:rPr>
        <w:t>1-6</w:t>
      </w:r>
      <w:r w:rsidR="000F483A">
        <w:rPr>
          <w:rFonts w:ascii="Arial Black" w:hAnsi="Arial Black"/>
          <w:b/>
          <w:sz w:val="24"/>
          <w:szCs w:val="24"/>
        </w:rPr>
        <w:t>6</w:t>
      </w:r>
    </w:p>
    <w:p w14:paraId="680E34FF" w14:textId="77777777" w:rsidR="00F824FE" w:rsidRPr="00AA2E64" w:rsidRDefault="00F824FE" w:rsidP="00F824FE">
      <w:pPr>
        <w:rPr>
          <w:rFonts w:ascii="Arial Black" w:hAnsi="Arial Black"/>
          <w:sz w:val="28"/>
          <w:szCs w:val="28"/>
        </w:rPr>
      </w:pPr>
      <w:r w:rsidRPr="00AA2E64">
        <w:rPr>
          <w:rFonts w:ascii="Arial Black" w:hAnsi="Arial Black"/>
          <w:sz w:val="28"/>
          <w:szCs w:val="28"/>
        </w:rPr>
        <w:lastRenderedPageBreak/>
        <w:t xml:space="preserve">TN: </w:t>
      </w:r>
      <w:r>
        <w:rPr>
          <w:rFonts w:ascii="Arial Black" w:hAnsi="Arial Black"/>
          <w:sz w:val="28"/>
          <w:szCs w:val="28"/>
        </w:rPr>
        <w:t>FIRE MARSHAL – OPPOSED CANDIDATE FOR ALDERMAN – CITY PHONE, ON DUTY – NO FED. 1</w:t>
      </w:r>
      <w:r w:rsidRPr="00911830">
        <w:rPr>
          <w:rFonts w:ascii="Arial Black" w:hAnsi="Arial Black"/>
          <w:sz w:val="28"/>
          <w:szCs w:val="28"/>
          <w:vertAlign w:val="superscript"/>
        </w:rPr>
        <w:t>st</w:t>
      </w:r>
      <w:r>
        <w:rPr>
          <w:rFonts w:ascii="Arial Black" w:hAnsi="Arial Black"/>
          <w:sz w:val="28"/>
          <w:szCs w:val="28"/>
        </w:rPr>
        <w:t xml:space="preserve"> AMEND VIOL., LAWSUIT DISMISSED</w:t>
      </w:r>
    </w:p>
    <w:p w14:paraId="041401D1" w14:textId="77777777" w:rsidR="00F824FE" w:rsidRDefault="00F824FE" w:rsidP="00F824FE">
      <w:pPr>
        <w:pStyle w:val="NormalWeb"/>
      </w:pPr>
      <w:r>
        <w:t xml:space="preserve">On Sept. 17, 2020, in </w:t>
      </w:r>
      <w:r w:rsidRPr="00AA2E64">
        <w:rPr>
          <w:u w:val="single"/>
        </w:rPr>
        <w:t>Chris Spencer v. City of Henderson, et al</w:t>
      </w:r>
      <w:r>
        <w:t xml:space="preserve">., U.S. District Court Judge Aleta A. Trauger, U.S. District Court for the Middle District of Tennessee (Nashville Division) granted the defendants’ motion to dismiss; a political activist who lost (by 359 votes) an election to become a </w:t>
      </w:r>
      <w:proofErr w:type="gramStart"/>
      <w:r>
        <w:t>city</w:t>
      </w:r>
      <w:proofErr w:type="gramEnd"/>
      <w:r>
        <w:t xml:space="preserve"> Alderman.  He had campaigned for “small government – anti-corruption” and sued Fire Marshal Paul Varble and City alleging Varble used city phones while on duty to oppose his candidacy. </w:t>
      </w:r>
    </w:p>
    <w:p w14:paraId="0E9666FA" w14:textId="77777777" w:rsidR="00F824FE" w:rsidRDefault="00F824FE" w:rsidP="00F824FE">
      <w:pPr>
        <w:pStyle w:val="NormalWeb"/>
        <w:ind w:left="720"/>
      </w:pPr>
      <w:r>
        <w:t xml:space="preserve">“Even though Varble is alleged to have engaged in this conduct during City time and using City resources, the court cannot find that this behavior would deter a person of ordinary firmness from continuing to campaign on his own behalf and to attempt to spread his own political message. An adverse campaign is the price of running for political office. The fact that Varble may have violated state law or a city ordinance while campaigning against Spencer does not make the conduct so adverse as to give rise to a First Amendment retaliation claim.” </w:t>
      </w:r>
      <w:hyperlink r:id="rId299" w:history="1">
        <w:r w:rsidRPr="00374F49">
          <w:rPr>
            <w:rStyle w:val="Hyperlink"/>
          </w:rPr>
          <w:t>https://public.fastcase.com/Wl%2B2t%2BeVuI35%2FN70vAMFZg2BMAXQvmThuD9oRUd4r3OTVcwOC01J7TzGKhK5Lojo</w:t>
        </w:r>
      </w:hyperlink>
      <w:r>
        <w:t xml:space="preserve"> </w:t>
      </w:r>
    </w:p>
    <w:p w14:paraId="799AF6F7" w14:textId="77777777" w:rsidR="00F824FE" w:rsidRDefault="00F824FE" w:rsidP="00F824FE">
      <w:pPr>
        <w:tabs>
          <w:tab w:val="left" w:pos="3360"/>
        </w:tabs>
        <w:rPr>
          <w:rFonts w:ascii="Times New Roman" w:hAnsi="Times New Roman"/>
          <w:b/>
          <w:bCs/>
          <w:sz w:val="24"/>
          <w:szCs w:val="24"/>
        </w:rPr>
      </w:pPr>
      <w:r w:rsidRPr="00C53C46">
        <w:rPr>
          <w:rFonts w:ascii="Times New Roman" w:hAnsi="Times New Roman"/>
          <w:b/>
          <w:bCs/>
          <w:sz w:val="24"/>
          <w:szCs w:val="24"/>
        </w:rPr>
        <w:t>Legal Lessons Learned</w:t>
      </w:r>
      <w:r>
        <w:rPr>
          <w:rFonts w:ascii="Times New Roman" w:hAnsi="Times New Roman"/>
          <w:b/>
          <w:bCs/>
          <w:sz w:val="24"/>
          <w:szCs w:val="24"/>
        </w:rPr>
        <w:t xml:space="preserve">: Fire &amp; EMS departments should have a policy concerning political activity on duty, and use of FD computers, cell phones or other property concerning political candidates. </w:t>
      </w:r>
    </w:p>
    <w:p w14:paraId="4901642E" w14:textId="77777777" w:rsidR="00F824FE" w:rsidRPr="00EA5852" w:rsidRDefault="00F824FE" w:rsidP="00F824FE">
      <w:pPr>
        <w:ind w:left="720"/>
        <w:rPr>
          <w:rFonts w:ascii="Times New Roman" w:hAnsi="Times New Roman"/>
          <w:sz w:val="24"/>
          <w:szCs w:val="24"/>
        </w:rPr>
      </w:pPr>
      <w:r w:rsidRPr="008D7ABD">
        <w:rPr>
          <w:rFonts w:ascii="Times New Roman" w:hAnsi="Times New Roman"/>
          <w:sz w:val="24"/>
          <w:szCs w:val="24"/>
        </w:rPr>
        <w:t>Note:</w:t>
      </w:r>
      <w:r w:rsidRPr="00156CE2">
        <w:rPr>
          <w:rFonts w:ascii="Times New Roman" w:hAnsi="Times New Roman"/>
          <w:b/>
          <w:bCs/>
          <w:sz w:val="24"/>
          <w:szCs w:val="24"/>
        </w:rPr>
        <w:t xml:space="preserve"> </w:t>
      </w:r>
      <w:r w:rsidRPr="005E6FCA">
        <w:rPr>
          <w:rFonts w:ascii="Times New Roman" w:hAnsi="Times New Roman"/>
          <w:sz w:val="24"/>
          <w:szCs w:val="24"/>
        </w:rPr>
        <w:t xml:space="preserve">Hamilton County Ohio requires </w:t>
      </w:r>
      <w:r>
        <w:rPr>
          <w:rFonts w:ascii="Times New Roman" w:hAnsi="Times New Roman"/>
          <w:sz w:val="24"/>
          <w:szCs w:val="24"/>
        </w:rPr>
        <w:t xml:space="preserve">employee </w:t>
      </w:r>
      <w:r w:rsidRPr="005E6FCA">
        <w:rPr>
          <w:rFonts w:ascii="Times New Roman" w:hAnsi="Times New Roman"/>
          <w:sz w:val="24"/>
          <w:szCs w:val="24"/>
        </w:rPr>
        <w:t>annual refresher training – see their Manual</w:t>
      </w:r>
      <w:r>
        <w:rPr>
          <w:rFonts w:ascii="Times New Roman" w:hAnsi="Times New Roman"/>
          <w:b/>
          <w:bCs/>
          <w:sz w:val="24"/>
          <w:szCs w:val="24"/>
        </w:rPr>
        <w:t xml:space="preserve">, </w:t>
      </w:r>
      <w:r w:rsidRPr="005E6FCA">
        <w:rPr>
          <w:rFonts w:ascii="Times New Roman" w:hAnsi="Times New Roman"/>
          <w:sz w:val="24"/>
          <w:szCs w:val="24"/>
        </w:rPr>
        <w:t xml:space="preserve">“Ethics </w:t>
      </w:r>
      <w:proofErr w:type="gramStart"/>
      <w:r w:rsidRPr="005E6FCA">
        <w:rPr>
          <w:rFonts w:ascii="Times New Roman" w:hAnsi="Times New Roman"/>
          <w:sz w:val="24"/>
          <w:szCs w:val="24"/>
        </w:rPr>
        <w:t>In</w:t>
      </w:r>
      <w:proofErr w:type="gramEnd"/>
      <w:r w:rsidRPr="005E6FCA">
        <w:rPr>
          <w:rFonts w:ascii="Times New Roman" w:hAnsi="Times New Roman"/>
          <w:sz w:val="24"/>
          <w:szCs w:val="24"/>
        </w:rPr>
        <w:t xml:space="preserve"> Government Guide</w:t>
      </w:r>
      <w:r>
        <w:rPr>
          <w:rFonts w:ascii="Times New Roman" w:hAnsi="Times New Roman"/>
          <w:sz w:val="24"/>
          <w:szCs w:val="24"/>
        </w:rPr>
        <w:t xml:space="preserve"> </w:t>
      </w:r>
      <w:proofErr w:type="gramStart"/>
      <w:r>
        <w:rPr>
          <w:rFonts w:ascii="Times New Roman" w:hAnsi="Times New Roman"/>
          <w:sz w:val="24"/>
          <w:szCs w:val="24"/>
        </w:rPr>
        <w:t>For</w:t>
      </w:r>
      <w:proofErr w:type="gramEnd"/>
      <w:r>
        <w:rPr>
          <w:rFonts w:ascii="Times New Roman" w:hAnsi="Times New Roman"/>
          <w:sz w:val="24"/>
          <w:szCs w:val="24"/>
        </w:rPr>
        <w:t xml:space="preserve"> Employees</w:t>
      </w:r>
      <w:r w:rsidRPr="005E6FCA">
        <w:rPr>
          <w:rFonts w:ascii="Times New Roman" w:hAnsi="Times New Roman"/>
          <w:sz w:val="24"/>
          <w:szCs w:val="24"/>
        </w:rPr>
        <w:t>”</w:t>
      </w:r>
      <w:r>
        <w:rPr>
          <w:rFonts w:ascii="Times New Roman" w:hAnsi="Times New Roman"/>
          <w:b/>
          <w:bCs/>
          <w:sz w:val="24"/>
          <w:szCs w:val="24"/>
        </w:rPr>
        <w:t xml:space="preserve">: </w:t>
      </w:r>
      <w:hyperlink r:id="rId300" w:history="1">
        <w:r w:rsidRPr="00443DB2">
          <w:rPr>
            <w:rStyle w:val="Hyperlink"/>
            <w:rFonts w:ascii="Times New Roman" w:hAnsi="Times New Roman"/>
            <w:sz w:val="24"/>
            <w:szCs w:val="24"/>
          </w:rPr>
          <w:t>https://www.hamiltoncountyohio.gov/UserFiles/Servers/Server_3788196/File/Government/Departments/Human%20Resources/Ethics%20in%20Government/HamiltonCountyEthicsBooklet.pdf</w:t>
        </w:r>
      </w:hyperlink>
      <w:r>
        <w:rPr>
          <w:rFonts w:ascii="Times New Roman" w:hAnsi="Times New Roman"/>
          <w:sz w:val="24"/>
          <w:szCs w:val="24"/>
        </w:rPr>
        <w:t xml:space="preserve"> </w:t>
      </w:r>
    </w:p>
    <w:p w14:paraId="556D1BB1" w14:textId="77777777" w:rsidR="00F824FE" w:rsidRPr="00EA5852" w:rsidRDefault="00F824FE" w:rsidP="00F824FE">
      <w:pPr>
        <w:ind w:left="720"/>
        <w:rPr>
          <w:rFonts w:ascii="Times New Roman" w:hAnsi="Times New Roman"/>
          <w:sz w:val="24"/>
          <w:szCs w:val="24"/>
        </w:rPr>
      </w:pPr>
      <w:r w:rsidRPr="005E6FCA">
        <w:rPr>
          <w:rFonts w:ascii="Times New Roman" w:hAnsi="Times New Roman"/>
          <w:sz w:val="24"/>
          <w:szCs w:val="24"/>
        </w:rPr>
        <w:t>Ohio Revised Code 2921.43(C)(2): 2921.43 Soliciting or accepting improper compensation</w:t>
      </w:r>
      <w:r>
        <w:rPr>
          <w:rFonts w:ascii="Times New Roman" w:hAnsi="Times New Roman"/>
          <w:sz w:val="24"/>
          <w:szCs w:val="24"/>
        </w:rPr>
        <w:t xml:space="preserve">: </w:t>
      </w:r>
      <w:hyperlink r:id="rId301" w:history="1">
        <w:r w:rsidRPr="00443DB2">
          <w:rPr>
            <w:rStyle w:val="Hyperlink"/>
            <w:rFonts w:ascii="Times New Roman" w:hAnsi="Times New Roman"/>
            <w:sz w:val="24"/>
            <w:szCs w:val="24"/>
          </w:rPr>
          <w:t>http://codes.ohio.gov/orc/2921.43</w:t>
        </w:r>
      </w:hyperlink>
      <w:r>
        <w:rPr>
          <w:rFonts w:ascii="Times New Roman" w:hAnsi="Times New Roman"/>
          <w:sz w:val="24"/>
          <w:szCs w:val="24"/>
        </w:rPr>
        <w:t xml:space="preserve">  [</w:t>
      </w:r>
      <w:r w:rsidRPr="00EA5852">
        <w:rPr>
          <w:rFonts w:ascii="Times New Roman" w:hAnsi="Times New Roman"/>
          <w:sz w:val="24"/>
          <w:szCs w:val="24"/>
        </w:rPr>
        <w:t>Note: RC 2921.43(C)(2) applies to ALL employees, both classified and unclassified</w:t>
      </w:r>
      <w:r>
        <w:rPr>
          <w:rFonts w:ascii="Times New Roman" w:hAnsi="Times New Roman"/>
          <w:sz w:val="24"/>
          <w:szCs w:val="24"/>
        </w:rPr>
        <w:t xml:space="preserve">.] </w:t>
      </w:r>
    </w:p>
    <w:p w14:paraId="55CC2D1E" w14:textId="77777777" w:rsidR="00F824FE" w:rsidRPr="005E6FCA" w:rsidRDefault="00F824FE" w:rsidP="00F824FE">
      <w:pPr>
        <w:spacing w:before="100" w:beforeAutospacing="1" w:after="100" w:afterAutospacing="1" w:line="240" w:lineRule="auto"/>
        <w:ind w:left="1440"/>
        <w:rPr>
          <w:rFonts w:ascii="Times New Roman" w:eastAsia="Times New Roman" w:hAnsi="Times New Roman"/>
          <w:sz w:val="24"/>
          <w:szCs w:val="24"/>
        </w:rPr>
      </w:pPr>
      <w:r w:rsidRPr="005E6FCA">
        <w:rPr>
          <w:rFonts w:ascii="Times New Roman" w:eastAsia="Times New Roman" w:hAnsi="Times New Roman"/>
          <w:sz w:val="24"/>
          <w:szCs w:val="24"/>
        </w:rPr>
        <w:t xml:space="preserve">(C) No person for the benefit of a political party, campaign committee, legislative campaign fund, political action committee, or political contributing entity shall coerce any contribution in consideration of either of the following: </w:t>
      </w:r>
    </w:p>
    <w:p w14:paraId="14EBAD3F" w14:textId="77777777" w:rsidR="00F824FE" w:rsidRPr="005E6FCA" w:rsidRDefault="00F824FE" w:rsidP="00F824FE">
      <w:pPr>
        <w:spacing w:before="100" w:beforeAutospacing="1" w:after="100" w:afterAutospacing="1" w:line="240" w:lineRule="auto"/>
        <w:ind w:left="1440"/>
        <w:rPr>
          <w:rFonts w:ascii="Times New Roman" w:eastAsia="Times New Roman" w:hAnsi="Times New Roman"/>
          <w:sz w:val="24"/>
          <w:szCs w:val="24"/>
        </w:rPr>
      </w:pPr>
      <w:r w:rsidRPr="005E6FCA">
        <w:rPr>
          <w:rFonts w:ascii="Times New Roman" w:eastAsia="Times New Roman" w:hAnsi="Times New Roman"/>
          <w:sz w:val="24"/>
          <w:szCs w:val="24"/>
        </w:rPr>
        <w:t xml:space="preserve">(1) Appointing or securing, maintaining, or renewing the appointment of any person to any public office, employment, or agency; </w:t>
      </w:r>
    </w:p>
    <w:p w14:paraId="3061F918" w14:textId="77777777" w:rsidR="00F824FE" w:rsidRPr="005E6FCA" w:rsidRDefault="00F824FE" w:rsidP="00F824FE">
      <w:pPr>
        <w:spacing w:before="100" w:beforeAutospacing="1" w:after="100" w:afterAutospacing="1" w:line="240" w:lineRule="auto"/>
        <w:ind w:left="1440"/>
        <w:rPr>
          <w:rFonts w:ascii="Times New Roman" w:eastAsia="Times New Roman" w:hAnsi="Times New Roman"/>
          <w:sz w:val="24"/>
          <w:szCs w:val="24"/>
        </w:rPr>
      </w:pPr>
      <w:r w:rsidRPr="005E6FCA">
        <w:rPr>
          <w:rFonts w:ascii="Times New Roman" w:eastAsia="Times New Roman" w:hAnsi="Times New Roman"/>
          <w:sz w:val="24"/>
          <w:szCs w:val="24"/>
        </w:rPr>
        <w:t xml:space="preserve">(2) Preferring, or maintaining the status of, any public employee with respect to compensation, duties, placement, location, promotion, or other material aspects of employment. </w:t>
      </w:r>
    </w:p>
    <w:p w14:paraId="399DD1D4" w14:textId="77777777" w:rsidR="00F824FE" w:rsidRPr="002D3CB4" w:rsidRDefault="00F824FE" w:rsidP="00F824FE">
      <w:pPr>
        <w:pStyle w:val="Heading2"/>
        <w:ind w:left="720"/>
        <w:rPr>
          <w:rFonts w:ascii="Times New Roman" w:hAnsi="Times New Roman"/>
          <w:b w:val="0"/>
          <w:bCs w:val="0"/>
          <w:i w:val="0"/>
          <w:iCs w:val="0"/>
          <w:sz w:val="24"/>
          <w:szCs w:val="24"/>
        </w:rPr>
      </w:pPr>
      <w:r w:rsidRPr="002D3CB4">
        <w:rPr>
          <w:rFonts w:ascii="Times New Roman" w:hAnsi="Times New Roman"/>
          <w:b w:val="0"/>
          <w:bCs w:val="0"/>
          <w:i w:val="0"/>
          <w:iCs w:val="0"/>
          <w:sz w:val="24"/>
          <w:szCs w:val="24"/>
        </w:rPr>
        <w:t xml:space="preserve">See also: 123:1-46-02 Political activity of employees in the classified service of the state. </w:t>
      </w:r>
      <w:hyperlink r:id="rId302" w:history="1">
        <w:r w:rsidRPr="002D3CB4">
          <w:rPr>
            <w:rStyle w:val="Hyperlink"/>
            <w:rFonts w:ascii="Times New Roman" w:hAnsi="Times New Roman"/>
            <w:b w:val="0"/>
            <w:bCs w:val="0"/>
            <w:i w:val="0"/>
            <w:iCs w:val="0"/>
            <w:sz w:val="24"/>
            <w:szCs w:val="24"/>
          </w:rPr>
          <w:t>http://codes.ohio.gov/oac/123:1-46-02</w:t>
        </w:r>
      </w:hyperlink>
      <w:r w:rsidRPr="002D3CB4">
        <w:rPr>
          <w:rFonts w:ascii="Times New Roman" w:hAnsi="Times New Roman"/>
          <w:b w:val="0"/>
          <w:bCs w:val="0"/>
          <w:i w:val="0"/>
          <w:iCs w:val="0"/>
          <w:sz w:val="24"/>
          <w:szCs w:val="24"/>
        </w:rPr>
        <w:t xml:space="preserve"> </w:t>
      </w:r>
    </w:p>
    <w:p w14:paraId="7687901F" w14:textId="77777777" w:rsidR="00F824FE" w:rsidRPr="008D7ABD" w:rsidRDefault="00F824FE" w:rsidP="00F824FE">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(C)</w:t>
      </w:r>
      <w:r w:rsidRPr="008D7ABD">
        <w:rPr>
          <w:rFonts w:ascii="Times New Roman" w:eastAsia="Times New Roman" w:hAnsi="Times New Roman"/>
          <w:sz w:val="24"/>
          <w:szCs w:val="24"/>
        </w:rPr>
        <w:t xml:space="preserve">(7) Campaigning by writing for publications, by distributing political material, or by writing or making speeches on behalf of a candidate for partisan elective office, when such activities are directed toward party success; </w:t>
      </w:r>
    </w:p>
    <w:p w14:paraId="49B0FADC" w14:textId="77777777" w:rsidR="00F824FE" w:rsidRDefault="00F824FE" w:rsidP="00F824FE">
      <w:pPr>
        <w:spacing w:before="100" w:beforeAutospacing="1" w:after="100" w:afterAutospacing="1" w:line="240" w:lineRule="auto"/>
        <w:ind w:left="1440"/>
        <w:rPr>
          <w:rFonts w:ascii="Times New Roman" w:eastAsia="Times New Roman" w:hAnsi="Times New Roman"/>
          <w:sz w:val="24"/>
          <w:szCs w:val="24"/>
        </w:rPr>
      </w:pPr>
      <w:r w:rsidRPr="008D7ABD">
        <w:rPr>
          <w:rFonts w:ascii="Times New Roman" w:eastAsia="Times New Roman" w:hAnsi="Times New Roman"/>
          <w:sz w:val="24"/>
          <w:szCs w:val="24"/>
        </w:rPr>
        <w:t>(8) Solicitation, either directly or indirectly, of any assessment, contribution or subscription, either monetary or in-kind, for any political party or political candidate</w:t>
      </w:r>
      <w:r>
        <w:rPr>
          <w:rFonts w:ascii="Times New Roman" w:eastAsia="Times New Roman" w:hAnsi="Times New Roman"/>
          <w:sz w:val="24"/>
          <w:szCs w:val="24"/>
        </w:rPr>
        <w:t>….</w:t>
      </w:r>
    </w:p>
    <w:p w14:paraId="25949EAB" w14:textId="77777777" w:rsidR="00F824FE" w:rsidRPr="00156CE2" w:rsidRDefault="00F824FE" w:rsidP="00F824FE">
      <w:pPr>
        <w:spacing w:before="100" w:beforeAutospacing="1" w:after="100" w:afterAutospacing="1" w:line="240" w:lineRule="auto"/>
        <w:ind w:left="1440"/>
        <w:rPr>
          <w:rFonts w:ascii="Times New Roman" w:hAnsi="Times New Roman"/>
          <w:sz w:val="24"/>
          <w:szCs w:val="24"/>
        </w:rPr>
      </w:pPr>
      <w:r w:rsidRPr="00156CE2">
        <w:rPr>
          <w:rFonts w:ascii="Times New Roman" w:hAnsi="Times New Roman"/>
          <w:sz w:val="24"/>
          <w:szCs w:val="24"/>
        </w:rPr>
        <w:lastRenderedPageBreak/>
        <w:t xml:space="preserve">(D) An employee in the classified service who engages in any of the activities listed in paragraphs (C)(1) to (C)(13) of this rule is subject to removal from his or her position in the classified </w:t>
      </w:r>
      <w:proofErr w:type="gramStart"/>
      <w:r w:rsidRPr="00156CE2">
        <w:rPr>
          <w:rFonts w:ascii="Times New Roman" w:hAnsi="Times New Roman"/>
          <w:sz w:val="24"/>
          <w:szCs w:val="24"/>
        </w:rPr>
        <w:t>service.</w:t>
      </w:r>
      <w:r>
        <w:rPr>
          <w:rFonts w:ascii="Times New Roman" w:hAnsi="Times New Roman"/>
          <w:sz w:val="24"/>
          <w:szCs w:val="24"/>
        </w:rPr>
        <w:t>”</w:t>
      </w:r>
      <w:proofErr w:type="gramEnd"/>
    </w:p>
    <w:p w14:paraId="602AE132" w14:textId="77777777" w:rsidR="00F824FE" w:rsidRDefault="00F824FE" w:rsidP="002B1283">
      <w:pPr>
        <w:rPr>
          <w:rFonts w:ascii="Arial Black" w:hAnsi="Arial Black"/>
          <w:b/>
          <w:sz w:val="24"/>
          <w:szCs w:val="24"/>
        </w:rPr>
      </w:pPr>
    </w:p>
    <w:p w14:paraId="3CEB6F3F" w14:textId="77777777" w:rsidR="00F824FE" w:rsidRDefault="00F824FE" w:rsidP="002B1283">
      <w:pPr>
        <w:rPr>
          <w:rFonts w:ascii="Arial Black" w:hAnsi="Arial Black"/>
          <w:b/>
          <w:sz w:val="24"/>
          <w:szCs w:val="24"/>
        </w:rPr>
      </w:pPr>
    </w:p>
    <w:p w14:paraId="629E6569" w14:textId="01A51BF9" w:rsidR="00C630E7" w:rsidRDefault="00C630E7" w:rsidP="002B1283">
      <w:pPr>
        <w:rPr>
          <w:rFonts w:ascii="Arial Black" w:hAnsi="Arial Black"/>
          <w:b/>
          <w:sz w:val="24"/>
          <w:szCs w:val="24"/>
        </w:rPr>
      </w:pPr>
      <w:r>
        <w:rPr>
          <w:rFonts w:ascii="Arial Black" w:hAnsi="Arial Black"/>
          <w:b/>
          <w:sz w:val="24"/>
          <w:szCs w:val="24"/>
        </w:rPr>
        <w:t>1-6</w:t>
      </w:r>
      <w:r w:rsidR="000F483A">
        <w:rPr>
          <w:rFonts w:ascii="Arial Black" w:hAnsi="Arial Black"/>
          <w:b/>
          <w:sz w:val="24"/>
          <w:szCs w:val="24"/>
        </w:rPr>
        <w:t>5</w:t>
      </w:r>
    </w:p>
    <w:p w14:paraId="0CFFD3A6" w14:textId="77777777" w:rsidR="00C630E7" w:rsidRDefault="00C630E7" w:rsidP="00C630E7">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GA: CONTROLLED BURN AT FORT STEWART – BURN LEFT PROPERTY, DAMAGED LOGGING EQUIPMENT – IMMUNITY</w:t>
      </w:r>
    </w:p>
    <w:p w14:paraId="4D673622" w14:textId="77777777" w:rsidR="00C630E7" w:rsidRDefault="00C630E7" w:rsidP="00C630E7">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August 24, 2020, in </w:t>
      </w:r>
      <w:r>
        <w:rPr>
          <w:rFonts w:ascii="Times New Roman" w:eastAsia="Times New Roman" w:hAnsi="Times New Roman"/>
          <w:sz w:val="24"/>
          <w:szCs w:val="24"/>
          <w:u w:val="single"/>
        </w:rPr>
        <w:t xml:space="preserve">Foster Logging, Inc. and </w:t>
      </w:r>
      <w:r>
        <w:rPr>
          <w:rFonts w:ascii="Times New Roman" w:hAnsi="Times New Roman"/>
          <w:sz w:val="24"/>
          <w:szCs w:val="24"/>
          <w:u w:val="single"/>
        </w:rPr>
        <w:t xml:space="preserve">American Guarantee &amp; Liability Insurance Company </w:t>
      </w:r>
      <w:r>
        <w:rPr>
          <w:rFonts w:ascii="Times New Roman" w:eastAsia="Times New Roman" w:hAnsi="Times New Roman"/>
          <w:sz w:val="24"/>
          <w:szCs w:val="24"/>
          <w:u w:val="single"/>
        </w:rPr>
        <w:t>v. United States of America</w:t>
      </w:r>
      <w:r>
        <w:rPr>
          <w:rFonts w:ascii="Times New Roman" w:eastAsia="Times New Roman" w:hAnsi="Times New Roman"/>
          <w:sz w:val="24"/>
          <w:szCs w:val="24"/>
        </w:rPr>
        <w:t xml:space="preserve">, the U.S. Court of Appeals for the Eleventh Circuit (Atlanta, GA) held (2 to 1) that U.S. District Court judge properly granted the U.S. Government’s motion to dismiss based on the “discretionary function”  exception to liability under the Federal Tort Claims Act, since the U.S. Forestry Branch exercised discretion on how it conducted and monitored the controlled burn at Fort Stewart – Hunter Army Airfield. </w:t>
      </w:r>
    </w:p>
    <w:p w14:paraId="78C73316" w14:textId="0B94A45A" w:rsidR="00C630E7" w:rsidRDefault="00C630E7" w:rsidP="00C630E7">
      <w:pPr>
        <w:rPr>
          <w:rFonts w:ascii="Arial Black" w:hAnsi="Arial Black"/>
          <w:b/>
          <w:sz w:val="24"/>
          <w:szCs w:val="24"/>
        </w:rPr>
      </w:pPr>
      <w:r>
        <w:rPr>
          <w:rFonts w:ascii="Times New Roman" w:hAnsi="Times New Roman"/>
          <w:sz w:val="24"/>
          <w:szCs w:val="24"/>
        </w:rPr>
        <w:t>“We assume, as we must at this stage, that U.S. Forestry Branch officials were negligent in their observation, monitoring, and maintenance during the controlled burn itself as alleged in the complaint. But that alleged conduct—the steps and measures taken to safely execute a controlled burn—by its nature, involves an exercise of discretion and considerations of social, economic, political, and public policy. *** The government's decisions about how to monitor and maintain a controlled burn are shielded from judicial second-guessing by the discretionary-function exception to the FTCA.”</w:t>
      </w:r>
      <w:r>
        <w:t xml:space="preserve"> </w:t>
      </w:r>
      <w:hyperlink r:id="rId303" w:history="1">
        <w:r>
          <w:rPr>
            <w:rStyle w:val="Hyperlink"/>
            <w:sz w:val="24"/>
            <w:szCs w:val="24"/>
          </w:rPr>
          <w:t>https://law.justia.com/cases/federal/appellate-courts/ca11/18-15033/18-15033-2020-08-24.html</w:t>
        </w:r>
      </w:hyperlink>
    </w:p>
    <w:p w14:paraId="5F9176DD" w14:textId="77777777" w:rsidR="00C630E7" w:rsidRDefault="00C630E7" w:rsidP="00C630E7">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 xml:space="preserve">Legal Lessons Learned:  This case does raise the question of why someone wasn’t posted to make sure the “controlled burns” stayed on Ft. Stewart property. </w:t>
      </w:r>
    </w:p>
    <w:p w14:paraId="6DBAB68B" w14:textId="77777777" w:rsidR="00C630E7" w:rsidRDefault="00C630E7" w:rsidP="002B1283">
      <w:pPr>
        <w:rPr>
          <w:rFonts w:ascii="Arial Black" w:hAnsi="Arial Black"/>
          <w:b/>
          <w:sz w:val="24"/>
          <w:szCs w:val="24"/>
        </w:rPr>
      </w:pPr>
    </w:p>
    <w:p w14:paraId="24DEA73A" w14:textId="63228175" w:rsidR="00C630E7" w:rsidRDefault="00C630E7" w:rsidP="002B1283">
      <w:pPr>
        <w:rPr>
          <w:rFonts w:ascii="Arial Black" w:hAnsi="Arial Black"/>
          <w:b/>
          <w:sz w:val="24"/>
          <w:szCs w:val="24"/>
        </w:rPr>
      </w:pPr>
      <w:r>
        <w:rPr>
          <w:rFonts w:ascii="Arial Black" w:hAnsi="Arial Black"/>
          <w:b/>
          <w:sz w:val="24"/>
          <w:szCs w:val="24"/>
        </w:rPr>
        <w:t>1-64</w:t>
      </w:r>
    </w:p>
    <w:p w14:paraId="3E3DB57D" w14:textId="77777777" w:rsidR="00C630E7" w:rsidRDefault="00C630E7" w:rsidP="00C630E7">
      <w:pPr>
        <w:rPr>
          <w:rFonts w:asciiTheme="minorHAnsi" w:hAnsiTheme="minorHAnsi"/>
        </w:rPr>
      </w:pPr>
      <w:r>
        <w:rPr>
          <w:rFonts w:ascii="Arial Black" w:hAnsi="Arial Black"/>
          <w:sz w:val="28"/>
          <w:szCs w:val="28"/>
        </w:rPr>
        <w:t>CT: WAREHOUSE FIRE – 1500 BARRELS OILS – NO CODE INSPECTIONS 15 YRS, USED WATER NOT FOAM - IMMUNITY</w:t>
      </w:r>
    </w:p>
    <w:p w14:paraId="60684C5B" w14:textId="77777777" w:rsidR="00C630E7" w:rsidRDefault="00C630E7" w:rsidP="00C630E7">
      <w:pPr>
        <w:rPr>
          <w:rFonts w:ascii="Times New Roman" w:hAnsi="Times New Roman"/>
          <w:sz w:val="24"/>
          <w:szCs w:val="24"/>
        </w:rPr>
      </w:pPr>
      <w:r>
        <w:rPr>
          <w:rFonts w:ascii="Times New Roman" w:hAnsi="Times New Roman"/>
          <w:sz w:val="24"/>
          <w:szCs w:val="24"/>
        </w:rPr>
        <w:t xml:space="preserve">On Aug.18, 2020, in </w:t>
      </w:r>
      <w:r>
        <w:rPr>
          <w:rFonts w:ascii="Times New Roman" w:hAnsi="Times New Roman"/>
          <w:sz w:val="24"/>
          <w:szCs w:val="24"/>
          <w:u w:val="single"/>
        </w:rPr>
        <w:t>25 Grant Street, LLC v. City of Bridgeport, et al</w:t>
      </w:r>
      <w:r>
        <w:rPr>
          <w:rFonts w:ascii="Times New Roman" w:hAnsi="Times New Roman"/>
          <w:sz w:val="24"/>
          <w:szCs w:val="24"/>
        </w:rPr>
        <w:t>., the Court of Appeals of the State of Connecticut, held (3 to 0) held that the trial court properly granted summary judgment to the City, but on different grounds: that the June, 2018 complaint alleging city negligence in failing to find fire code violations was filed too late under statute of limitations.</w:t>
      </w:r>
    </w:p>
    <w:p w14:paraId="1C4637FF" w14:textId="77777777" w:rsidR="00C630E7" w:rsidRDefault="00C630E7" w:rsidP="00C630E7">
      <w:pPr>
        <w:ind w:left="720"/>
        <w:rPr>
          <w:rFonts w:ascii="Times New Roman" w:hAnsi="Times New Roman"/>
          <w:sz w:val="24"/>
          <w:szCs w:val="24"/>
        </w:rPr>
      </w:pPr>
      <w:r>
        <w:rPr>
          <w:rFonts w:ascii="Times New Roman" w:hAnsi="Times New Roman"/>
          <w:sz w:val="24"/>
          <w:szCs w:val="24"/>
        </w:rPr>
        <w:t xml:space="preserve">“In the present case, the plaintiff failed to provide the city with notice of its theory of liability concerning fire code violations in the warehouse in all iterations of the complaint preceding the proposed </w:t>
      </w:r>
      <w:proofErr w:type="gramStart"/>
      <w:r>
        <w:rPr>
          <w:rFonts w:ascii="Times New Roman" w:hAnsi="Times New Roman"/>
          <w:sz w:val="24"/>
          <w:szCs w:val="24"/>
        </w:rPr>
        <w:t>June,</w:t>
      </w:r>
      <w:proofErr w:type="gramEnd"/>
      <w:r>
        <w:rPr>
          <w:rFonts w:ascii="Times New Roman" w:hAnsi="Times New Roman"/>
          <w:sz w:val="24"/>
          <w:szCs w:val="24"/>
        </w:rPr>
        <w:t xml:space="preserve"> 2018 complaint. Thus, even if the plaintiff described this theory in its response to an interrogatory, this response alone is insufficient for it to relate back for purposes of compliance with the statute of limitations.” </w:t>
      </w:r>
      <w:hyperlink r:id="rId304" w:history="1">
        <w:r>
          <w:rPr>
            <w:rStyle w:val="Hyperlink"/>
            <w:sz w:val="24"/>
            <w:szCs w:val="24"/>
          </w:rPr>
          <w:t>https://casetext.com/case/25-grant-st-llc-v-city-of-bridgeport</w:t>
        </w:r>
      </w:hyperlink>
      <w:r>
        <w:rPr>
          <w:rFonts w:ascii="Times New Roman" w:hAnsi="Times New Roman"/>
          <w:sz w:val="24"/>
          <w:szCs w:val="24"/>
        </w:rPr>
        <w:t xml:space="preserve">  </w:t>
      </w:r>
    </w:p>
    <w:p w14:paraId="2F256AFB" w14:textId="77777777" w:rsidR="00C630E7" w:rsidRDefault="00C630E7" w:rsidP="00C630E7">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lastRenderedPageBreak/>
        <w:t>Legal Lessons Learned: Government mental immunity prevailed, but alleged failure to inspect a large warehouse in 15 years raises serious questions about the City’s code enforcement practices.</w:t>
      </w:r>
    </w:p>
    <w:p w14:paraId="4985EBE9" w14:textId="77777777" w:rsidR="00C630E7" w:rsidRDefault="00C630E7" w:rsidP="00C630E7">
      <w:pPr>
        <w:pStyle w:val="NormalWeb"/>
        <w:ind w:left="720"/>
      </w:pPr>
      <w:r>
        <w:t xml:space="preserve">Note: See the Supreme Court of Connecticut’s Dec. 26, </w:t>
      </w:r>
      <w:proofErr w:type="gramStart"/>
      <w:r>
        <w:t>2017</w:t>
      </w:r>
      <w:proofErr w:type="gramEnd"/>
      <w:r>
        <w:t xml:space="preserve"> decision establishing municipal liability for failure to conduct inspections: Williams v. Housing Authority of Bridgeport, 327 Ct. 338, 174 A.3d 137 (2017): </w:t>
      </w:r>
      <w:hyperlink r:id="rId305" w:history="1">
        <w:r>
          <w:rPr>
            <w:rStyle w:val="Hyperlink"/>
            <w:rFonts w:eastAsiaTheme="majorEastAsia"/>
          </w:rPr>
          <w:t>https://www.leagle.com/decision/inctco20171226041</w:t>
        </w:r>
      </w:hyperlink>
      <w:r>
        <w:t xml:space="preserve"> </w:t>
      </w:r>
    </w:p>
    <w:p w14:paraId="31B8237C" w14:textId="77777777" w:rsidR="00C630E7" w:rsidRDefault="00C630E7" w:rsidP="00C630E7">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“This certified appeal arises out of a tragic fire in which four residents of a Bridgeport public housing complex — Tiana N.A. Black and her three young children — lost their lives. </w:t>
      </w:r>
    </w:p>
    <w:p w14:paraId="00361DB9" w14:textId="77777777" w:rsidR="00C630E7" w:rsidRDefault="00C630E7" w:rsidP="00C630E7">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371EF53C" w14:textId="77777777" w:rsidR="00C630E7" w:rsidRDefault="00C630E7" w:rsidP="00C630E7">
      <w:pPr>
        <w:pStyle w:val="NormalWeb"/>
        <w:ind w:left="720"/>
      </w:pPr>
      <w:r>
        <w:t xml:space="preserve">“The Appellate Court reversed [trial court’s summary judgment for the city], concluding that a jury reasonably could find that the conduct of the municipal defendants demonstrated ‘a reckless disregard for </w:t>
      </w:r>
    </w:p>
    <w:p w14:paraId="39B2CD06" w14:textId="77777777" w:rsidR="00C630E7" w:rsidRDefault="00C630E7" w:rsidP="00C630E7">
      <w:pPr>
        <w:pStyle w:val="NormalWeb"/>
        <w:ind w:left="720"/>
      </w:pPr>
    </w:p>
    <w:p w14:paraId="1B703952" w14:textId="77777777" w:rsidR="00C630E7" w:rsidRDefault="00C630E7" w:rsidP="00C630E7">
      <w:pPr>
        <w:pStyle w:val="NormalWeb"/>
        <w:ind w:left="720"/>
      </w:pPr>
      <w:r>
        <w:t>health or safety under all the relevant circumstances’ and, therefore, that they were potentially liable pursuant to § 52-557n (b) (8).”</w:t>
      </w:r>
    </w:p>
    <w:p w14:paraId="1181DE66" w14:textId="77777777" w:rsidR="00C630E7" w:rsidRDefault="00C630E7" w:rsidP="002B1283">
      <w:pPr>
        <w:rPr>
          <w:rFonts w:ascii="Arial Black" w:hAnsi="Arial Black"/>
          <w:b/>
          <w:sz w:val="24"/>
          <w:szCs w:val="24"/>
        </w:rPr>
      </w:pPr>
    </w:p>
    <w:p w14:paraId="0D1A512E" w14:textId="77777777" w:rsidR="00C630E7" w:rsidRDefault="00C630E7" w:rsidP="002B1283">
      <w:pPr>
        <w:rPr>
          <w:rFonts w:ascii="Arial Black" w:hAnsi="Arial Black"/>
          <w:b/>
          <w:sz w:val="24"/>
          <w:szCs w:val="24"/>
        </w:rPr>
      </w:pPr>
    </w:p>
    <w:p w14:paraId="3D4DF684" w14:textId="0CC217DE" w:rsidR="00C630E7" w:rsidRDefault="00C630E7" w:rsidP="002B1283">
      <w:pPr>
        <w:rPr>
          <w:rFonts w:ascii="Arial Black" w:hAnsi="Arial Black"/>
          <w:b/>
          <w:sz w:val="24"/>
          <w:szCs w:val="24"/>
        </w:rPr>
      </w:pPr>
      <w:r>
        <w:rPr>
          <w:rFonts w:ascii="Arial Black" w:hAnsi="Arial Black"/>
          <w:b/>
          <w:sz w:val="24"/>
          <w:szCs w:val="24"/>
        </w:rPr>
        <w:t>1-63</w:t>
      </w:r>
    </w:p>
    <w:p w14:paraId="1EE2AABF" w14:textId="77777777" w:rsidR="00C630E7" w:rsidRDefault="00C630E7" w:rsidP="00C630E7">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RI: FIRE INVESTIGATIONS - ADJUSTERS, RESTORES CAN CONTACT OWNERS, BUT NOT VISIT SCENE 24 HRS</w:t>
      </w:r>
    </w:p>
    <w:p w14:paraId="78BD2A24" w14:textId="77777777" w:rsidR="00C630E7" w:rsidRDefault="00C630E7" w:rsidP="00C630E7">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Aug. 11, 2020, in </w:t>
      </w:r>
      <w:r>
        <w:rPr>
          <w:rFonts w:ascii="Times New Roman" w:eastAsia="Times New Roman" w:hAnsi="Times New Roman"/>
          <w:sz w:val="24"/>
          <w:szCs w:val="24"/>
          <w:u w:val="single"/>
        </w:rPr>
        <w:t>Ernest G. Pullano, PA, doing business as Pullano Public Adjusters, LLC, et al. v. Rhode Island Division of State Fire Marshal</w:t>
      </w:r>
      <w:r>
        <w:rPr>
          <w:rFonts w:ascii="Times New Roman" w:eastAsia="Times New Roman" w:hAnsi="Times New Roman"/>
          <w:sz w:val="24"/>
          <w:szCs w:val="24"/>
        </w:rPr>
        <w:t xml:space="preserve">, U.S. District Court Judge John J. McConnell, Jr.,  District of Rhode Island, granted the State’s motion to dismiss, based on the Judge’s narrow interpretation of the statute – does not prohibit e-mail or other off-premises contact with property owner.  </w:t>
      </w:r>
    </w:p>
    <w:p w14:paraId="0C068F3B" w14:textId="77777777" w:rsidR="00C630E7" w:rsidRDefault="00C630E7" w:rsidP="00C630E7">
      <w:pPr>
        <w:pStyle w:val="NormalWeb"/>
        <w:ind w:left="720"/>
      </w:pPr>
      <w:r>
        <w:t xml:space="preserve">“The Court is convinced that the second interpretation, using the ‘series-qualifier principle,’ is the correct interpretation and thus holds that R.I. Gen. Laws § 23-28.2-11 only prohibits solicitation </w:t>
      </w:r>
      <w:r>
        <w:rPr>
          <w:i/>
          <w:iCs/>
        </w:rPr>
        <w:t>on the premises</w:t>
      </w:r>
      <w:r>
        <w:t xml:space="preserve"> during an investigation. It does not prohibit other types of non-</w:t>
      </w:r>
      <w:proofErr w:type="gramStart"/>
      <w:r>
        <w:t>premises</w:t>
      </w:r>
      <w:proofErr w:type="gramEnd"/>
      <w:r>
        <w:t xml:space="preserve"> solicitations, like phone, email, or mail. And it does not prevent on-the-premise solicitations if the person is invited onto the property by the homeowner. This is the right interpretation because it offers the most logical reading of the plain language of the Statute, while following the State's interpretation of the Statute, and avoiding constitutional </w:t>
      </w:r>
      <w:proofErr w:type="gramStart"/>
      <w:r>
        <w:t>transgressions.”</w:t>
      </w:r>
      <w:proofErr w:type="gramEnd"/>
      <w:r>
        <w:t xml:space="preserve"> </w:t>
      </w:r>
      <w:hyperlink r:id="rId306" w:history="1">
        <w:r>
          <w:rPr>
            <w:rStyle w:val="Hyperlink"/>
            <w:rFonts w:eastAsiaTheme="majorEastAsia"/>
          </w:rPr>
          <w:t>https://public.fastcase.com/Wl%2B2t%2BeVuI35%2FN70vAMFZuQf%2BCvER%2BbrYG4WrLB4YIQfdBBmlMCsuqEI%2FSqG9cxo</w:t>
        </w:r>
      </w:hyperlink>
      <w:r>
        <w:t xml:space="preserve"> </w:t>
      </w:r>
    </w:p>
    <w:p w14:paraId="52AA44D6" w14:textId="77777777" w:rsidR="00C630E7" w:rsidRDefault="00C630E7" w:rsidP="00C630E7">
      <w:pPr>
        <w:pStyle w:val="NormalWeb"/>
        <w:rPr>
          <w:b/>
          <w:bCs/>
        </w:rPr>
      </w:pPr>
      <w:r>
        <w:rPr>
          <w:b/>
          <w:bCs/>
        </w:rPr>
        <w:t xml:space="preserve">Legal Lessons Learned:  The State may now either accept this interpretation of the </w:t>
      </w:r>
      <w:proofErr w:type="gramStart"/>
      <w:r>
        <w:rPr>
          <w:b/>
          <w:bCs/>
        </w:rPr>
        <w:t>statute, or</w:t>
      </w:r>
      <w:proofErr w:type="gramEnd"/>
      <w:r>
        <w:rPr>
          <w:b/>
          <w:bCs/>
        </w:rPr>
        <w:t xml:space="preserve"> seek to appeal the decision. </w:t>
      </w:r>
    </w:p>
    <w:p w14:paraId="691FAD5E" w14:textId="77777777" w:rsidR="00C630E7" w:rsidRDefault="00C630E7" w:rsidP="00C630E7">
      <w:pPr>
        <w:pStyle w:val="Heading1"/>
        <w:ind w:left="720"/>
        <w:rPr>
          <w:b w:val="0"/>
          <w:bCs w:val="0"/>
          <w:sz w:val="24"/>
          <w:szCs w:val="24"/>
        </w:rPr>
      </w:pPr>
      <w:r>
        <w:rPr>
          <w:b w:val="0"/>
          <w:bCs w:val="0"/>
          <w:sz w:val="24"/>
          <w:szCs w:val="24"/>
        </w:rPr>
        <w:t xml:space="preserve">Note: See Florida statutes on public adjusters – </w:t>
      </w:r>
      <w:proofErr w:type="gramStart"/>
      <w:r>
        <w:rPr>
          <w:b w:val="0"/>
          <w:bCs w:val="0"/>
          <w:sz w:val="24"/>
          <w:szCs w:val="24"/>
        </w:rPr>
        <w:t>48 hour</w:t>
      </w:r>
      <w:proofErr w:type="gramEnd"/>
      <w:r>
        <w:rPr>
          <w:b w:val="0"/>
          <w:bCs w:val="0"/>
          <w:sz w:val="24"/>
          <w:szCs w:val="24"/>
        </w:rPr>
        <w:t xml:space="preserve"> notice visit property: </w:t>
      </w:r>
      <w:hyperlink r:id="rId307" w:history="1">
        <w:r>
          <w:rPr>
            <w:rStyle w:val="Hyperlink"/>
            <w:rFonts w:eastAsiaTheme="majorEastAsia"/>
            <w:b w:val="0"/>
            <w:bCs w:val="0"/>
            <w:sz w:val="24"/>
            <w:szCs w:val="24"/>
          </w:rPr>
          <w:t>https://www.myfloridacfo.com/division/agents/Industry/News/PubAdjRegs.htm</w:t>
        </w:r>
      </w:hyperlink>
      <w:r>
        <w:rPr>
          <w:b w:val="0"/>
          <w:bCs w:val="0"/>
          <w:sz w:val="24"/>
          <w:szCs w:val="24"/>
        </w:rPr>
        <w:t xml:space="preserve"> </w:t>
      </w:r>
    </w:p>
    <w:p w14:paraId="7F4AD100" w14:textId="77777777" w:rsidR="00C630E7" w:rsidRDefault="00C630E7" w:rsidP="00C630E7">
      <w:pPr>
        <w:pStyle w:val="Heading1"/>
        <w:ind w:left="720"/>
        <w:rPr>
          <w:b w:val="0"/>
          <w:bCs w:val="0"/>
          <w:sz w:val="24"/>
          <w:szCs w:val="24"/>
        </w:rPr>
      </w:pPr>
      <w:r>
        <w:rPr>
          <w:b w:val="0"/>
          <w:bCs w:val="0"/>
          <w:sz w:val="24"/>
          <w:szCs w:val="24"/>
        </w:rPr>
        <w:lastRenderedPageBreak/>
        <w:t xml:space="preserve">“The law states that company adjusters, independent adjusters, attorneys, investigators, or others acting on behalf of the insurer must give the insured, claimant, public adjuster or legal representative of the insured at least 48 </w:t>
      </w:r>
      <w:proofErr w:type="spellStart"/>
      <w:r>
        <w:rPr>
          <w:b w:val="0"/>
          <w:bCs w:val="0"/>
          <w:sz w:val="24"/>
          <w:szCs w:val="24"/>
        </w:rPr>
        <w:t>hours notice</w:t>
      </w:r>
      <w:proofErr w:type="spellEnd"/>
      <w:r>
        <w:rPr>
          <w:b w:val="0"/>
          <w:bCs w:val="0"/>
          <w:sz w:val="24"/>
          <w:szCs w:val="24"/>
        </w:rPr>
        <w:t xml:space="preserve"> that they need access to the damaged property. The insured or claimant can waive this notice.”</w:t>
      </w:r>
    </w:p>
    <w:p w14:paraId="3E66E55B" w14:textId="77777777" w:rsidR="00C630E7" w:rsidRDefault="00C630E7" w:rsidP="002B1283">
      <w:pPr>
        <w:rPr>
          <w:rFonts w:ascii="Arial Black" w:hAnsi="Arial Black"/>
          <w:b/>
          <w:sz w:val="24"/>
          <w:szCs w:val="24"/>
        </w:rPr>
      </w:pPr>
    </w:p>
    <w:p w14:paraId="092A3BA3" w14:textId="77777777" w:rsidR="00C630E7" w:rsidRDefault="00C630E7" w:rsidP="002B1283">
      <w:pPr>
        <w:rPr>
          <w:rFonts w:ascii="Arial Black" w:hAnsi="Arial Black"/>
          <w:b/>
          <w:sz w:val="24"/>
          <w:szCs w:val="24"/>
        </w:rPr>
      </w:pPr>
    </w:p>
    <w:p w14:paraId="312ECA1F" w14:textId="72F70290" w:rsidR="00C630E7" w:rsidRDefault="00C630E7" w:rsidP="002B1283">
      <w:pPr>
        <w:rPr>
          <w:rFonts w:ascii="Arial Black" w:hAnsi="Arial Black"/>
          <w:b/>
          <w:sz w:val="24"/>
          <w:szCs w:val="24"/>
        </w:rPr>
      </w:pPr>
      <w:r>
        <w:rPr>
          <w:rFonts w:ascii="Arial Black" w:hAnsi="Arial Black"/>
          <w:b/>
          <w:sz w:val="24"/>
          <w:szCs w:val="24"/>
        </w:rPr>
        <w:t>1-62</w:t>
      </w:r>
    </w:p>
    <w:p w14:paraId="736DFB5A" w14:textId="77777777" w:rsidR="00C630E7" w:rsidRDefault="00C630E7" w:rsidP="00C630E7">
      <w:pPr>
        <w:spacing w:before="100" w:beforeAutospacing="1" w:after="100" w:afterAutospacing="1" w:line="240" w:lineRule="auto"/>
        <w:rPr>
          <w:rFonts w:ascii="Arial Black" w:hAnsi="Arial Black" w:cstheme="minorBidi"/>
          <w:sz w:val="28"/>
          <w:szCs w:val="28"/>
        </w:rPr>
      </w:pPr>
      <w:r>
        <w:rPr>
          <w:rFonts w:ascii="Arial Black" w:hAnsi="Arial Black"/>
          <w:sz w:val="28"/>
          <w:szCs w:val="28"/>
        </w:rPr>
        <w:t>MD: PG COUNTY FIRE CHIEF – BATTALION CHIEFS TO OUTRANK VOLUNTEER CO. CHIEF - AUTHORIZED</w:t>
      </w:r>
    </w:p>
    <w:p w14:paraId="5D509AAA" w14:textId="77777777" w:rsidR="00C630E7" w:rsidRDefault="00C630E7" w:rsidP="00C630E7">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Aug. 4, 2020, in Prince George’s Volunteer Fire And Rescue Association, Inc. v. Prince George’s County, Maryland, the Court of Special Appeals of Maryland, held (3 to 0; unreported decision) that the County Fire Chief had the authority in 2016 to issue revised General Order 01-03 that elevated the rank of County Battalion Chiefs, over that of Chiefs of volunteer fire companies.   </w:t>
      </w:r>
    </w:p>
    <w:p w14:paraId="784A460B" w14:textId="77777777" w:rsidR="00C630E7" w:rsidRDefault="00C630E7" w:rsidP="00C630E7">
      <w:pPr>
        <w:spacing w:after="100" w:line="240" w:lineRule="auto"/>
        <w:ind w:left="720"/>
        <w:rPr>
          <w:rFonts w:ascii="Times New Roman" w:eastAsia="Times New Roman" w:hAnsi="Times New Roman"/>
          <w:sz w:val="24"/>
          <w:szCs w:val="24"/>
        </w:rPr>
      </w:pPr>
      <w:r>
        <w:rPr>
          <w:rFonts w:ascii="Times New Roman" w:hAnsi="Times New Roman"/>
          <w:sz w:val="24"/>
          <w:szCs w:val="24"/>
        </w:rPr>
        <w:t xml:space="preserve">“Ultimately, PGCVFRA failed to sufficiently allege that it suffered irreparable injury through the Fire Chief's revision of General Order 01-03 and its amendment of the chain of command. As noted in our discussion on PGCVFRA's governmental </w:t>
      </w:r>
      <w:proofErr w:type="gramStart"/>
      <w:r>
        <w:rPr>
          <w:rFonts w:ascii="Times New Roman" w:hAnsi="Times New Roman"/>
          <w:sz w:val="24"/>
          <w:szCs w:val="24"/>
        </w:rPr>
        <w:t>takings</w:t>
      </w:r>
      <w:proofErr w:type="gramEnd"/>
      <w:r>
        <w:rPr>
          <w:rFonts w:ascii="Times New Roman" w:hAnsi="Times New Roman"/>
          <w:sz w:val="24"/>
          <w:szCs w:val="24"/>
        </w:rPr>
        <w:t xml:space="preserve"> claim, PGCVFRA failed to establish any sort of injury. Its claims regarding potential injury are hypothetical, speculative, and depend on future—uncertain—conduct that PGCVFRA alleges the County may undertake. The speculative nature of these complaints is apparent, and these ‘mere allegations’ are insufficient to ground PGCVFRA's claim for permanent injunctive relief.” </w:t>
      </w:r>
      <w:hyperlink r:id="rId308" w:history="1">
        <w:r>
          <w:rPr>
            <w:rStyle w:val="Hyperlink"/>
            <w:sz w:val="24"/>
            <w:szCs w:val="24"/>
          </w:rPr>
          <w:t>https://www.courts.state.md.us/sites/default/files/unreported-opinions/0614s19.pdf</w:t>
        </w:r>
      </w:hyperlink>
      <w:r>
        <w:rPr>
          <w:rFonts w:ascii="Times New Roman" w:hAnsi="Times New Roman"/>
          <w:sz w:val="24"/>
          <w:szCs w:val="24"/>
        </w:rPr>
        <w:t xml:space="preserve"> </w:t>
      </w:r>
    </w:p>
    <w:p w14:paraId="2465D741" w14:textId="77777777" w:rsidR="00C630E7" w:rsidRDefault="00C630E7" w:rsidP="00C630E7">
      <w:pPr>
        <w:spacing w:after="10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The County Fire Chief has authority over firefighting and chain of command. </w:t>
      </w:r>
    </w:p>
    <w:p w14:paraId="76D5DBAF" w14:textId="77777777" w:rsidR="00C630E7" w:rsidRDefault="00C630E7" w:rsidP="00C630E7">
      <w:pPr>
        <w:spacing w:after="100" w:line="240" w:lineRule="auto"/>
        <w:ind w:left="720"/>
        <w:rPr>
          <w:rFonts w:ascii="Times New Roman" w:eastAsiaTheme="minorHAnsi" w:hAnsi="Times New Roman"/>
          <w:sz w:val="24"/>
          <w:szCs w:val="24"/>
        </w:rPr>
      </w:pPr>
      <w:r>
        <w:rPr>
          <w:rFonts w:ascii="Times New Roman" w:eastAsia="Times New Roman" w:hAnsi="Times New Roman"/>
          <w:sz w:val="24"/>
          <w:szCs w:val="24"/>
        </w:rPr>
        <w:t xml:space="preserve">Note:  </w:t>
      </w:r>
      <w:r>
        <w:rPr>
          <w:rFonts w:ascii="Times New Roman" w:hAnsi="Times New Roman"/>
          <w:sz w:val="24"/>
          <w:szCs w:val="24"/>
        </w:rPr>
        <w:t>Under revised General Order 01-03, the relevant portion of the chain of command reads as follows:</w:t>
      </w:r>
    </w:p>
    <w:p w14:paraId="0559C14A" w14:textId="77777777" w:rsidR="00C630E7" w:rsidRDefault="00C630E7" w:rsidP="00C630E7">
      <w:pPr>
        <w:ind w:left="1440"/>
        <w:rPr>
          <w:rFonts w:ascii="Times New Roman" w:hAnsi="Times New Roman"/>
          <w:sz w:val="24"/>
          <w:szCs w:val="24"/>
        </w:rPr>
      </w:pPr>
      <w:r>
        <w:rPr>
          <w:rFonts w:ascii="Times New Roman" w:hAnsi="Times New Roman"/>
          <w:sz w:val="24"/>
          <w:szCs w:val="24"/>
        </w:rPr>
        <w:t>1. County Fire Chief</w:t>
      </w:r>
      <w:r>
        <w:rPr>
          <w:rFonts w:ascii="Times New Roman" w:hAnsi="Times New Roman"/>
          <w:sz w:val="24"/>
          <w:szCs w:val="24"/>
        </w:rPr>
        <w:br/>
        <w:t>2. Chief Deputy</w:t>
      </w:r>
      <w:r>
        <w:rPr>
          <w:rFonts w:ascii="Times New Roman" w:hAnsi="Times New Roman"/>
          <w:sz w:val="24"/>
          <w:szCs w:val="24"/>
        </w:rPr>
        <w:br/>
        <w:t>3. Deputy Fire Chief</w:t>
      </w:r>
      <w:r>
        <w:rPr>
          <w:rFonts w:ascii="Times New Roman" w:hAnsi="Times New Roman"/>
          <w:sz w:val="24"/>
          <w:szCs w:val="24"/>
        </w:rPr>
        <w:br/>
        <w:t>4. Assistant Fire Chief, Career/Volunteer</w:t>
      </w:r>
      <w:r>
        <w:rPr>
          <w:rFonts w:ascii="Times New Roman" w:hAnsi="Times New Roman"/>
          <w:sz w:val="24"/>
          <w:szCs w:val="24"/>
        </w:rPr>
        <w:br/>
        <w:t>5. Battalion Chief, Career/Volunteer</w:t>
      </w:r>
      <w:r>
        <w:rPr>
          <w:rFonts w:ascii="Times New Roman" w:hAnsi="Times New Roman"/>
          <w:sz w:val="24"/>
          <w:szCs w:val="24"/>
        </w:rPr>
        <w:br/>
        <w:t xml:space="preserve">6. Volunteer Company Chief   </w:t>
      </w:r>
    </w:p>
    <w:p w14:paraId="5F58D8F9" w14:textId="77777777" w:rsidR="00C630E7" w:rsidRDefault="00C630E7" w:rsidP="00C630E7">
      <w:pPr>
        <w:ind w:left="720"/>
        <w:rPr>
          <w:rFonts w:ascii="Times New Roman" w:hAnsi="Times New Roman"/>
          <w:sz w:val="24"/>
          <w:szCs w:val="24"/>
        </w:rPr>
      </w:pPr>
      <w:r>
        <w:rPr>
          <w:rFonts w:ascii="Times New Roman" w:hAnsi="Times New Roman"/>
          <w:sz w:val="24"/>
          <w:szCs w:val="24"/>
        </w:rPr>
        <w:t xml:space="preserve">[Footnote 8 of the Court’s decision.] </w:t>
      </w:r>
      <w:hyperlink r:id="rId309" w:history="1">
        <w:r>
          <w:rPr>
            <w:rStyle w:val="Hyperlink"/>
            <w:sz w:val="24"/>
            <w:szCs w:val="24"/>
          </w:rPr>
          <w:t>https://www.courts.state.md.us/sites/default/files/unreported-opinions/0614s19.pdf</w:t>
        </w:r>
      </w:hyperlink>
      <w:r>
        <w:rPr>
          <w:rFonts w:ascii="Times New Roman" w:hAnsi="Times New Roman"/>
          <w:sz w:val="24"/>
          <w:szCs w:val="24"/>
        </w:rPr>
        <w:t xml:space="preserve"> </w:t>
      </w:r>
    </w:p>
    <w:p w14:paraId="6DEB3570" w14:textId="77777777" w:rsidR="00C630E7" w:rsidRDefault="00C630E7" w:rsidP="002B1283">
      <w:pPr>
        <w:rPr>
          <w:rFonts w:ascii="Arial Black" w:hAnsi="Arial Black"/>
          <w:b/>
          <w:sz w:val="24"/>
          <w:szCs w:val="24"/>
        </w:rPr>
      </w:pPr>
    </w:p>
    <w:p w14:paraId="65F3ED55" w14:textId="77777777" w:rsidR="00C630E7" w:rsidRDefault="00C630E7" w:rsidP="002B1283">
      <w:pPr>
        <w:rPr>
          <w:rFonts w:ascii="Arial Black" w:hAnsi="Arial Black"/>
          <w:b/>
          <w:sz w:val="24"/>
          <w:szCs w:val="24"/>
        </w:rPr>
      </w:pPr>
    </w:p>
    <w:p w14:paraId="16F88F35" w14:textId="6B0CD27D" w:rsidR="00A672EE" w:rsidRDefault="00A672EE" w:rsidP="002B1283">
      <w:pPr>
        <w:rPr>
          <w:rFonts w:ascii="Arial Black" w:hAnsi="Arial Black"/>
          <w:b/>
          <w:sz w:val="24"/>
          <w:szCs w:val="24"/>
        </w:rPr>
      </w:pPr>
      <w:r>
        <w:rPr>
          <w:rFonts w:ascii="Arial Black" w:hAnsi="Arial Black"/>
          <w:b/>
          <w:sz w:val="24"/>
          <w:szCs w:val="24"/>
        </w:rPr>
        <w:t>1-61</w:t>
      </w:r>
    </w:p>
    <w:p w14:paraId="6591CB4B" w14:textId="77777777" w:rsidR="00A672EE" w:rsidRDefault="00A672EE" w:rsidP="00A672EE">
      <w:pPr>
        <w:pStyle w:val="NoSpacing"/>
        <w:rPr>
          <w:rFonts w:ascii="Arial Black" w:hAnsi="Arial Black"/>
          <w:sz w:val="28"/>
          <w:szCs w:val="28"/>
        </w:rPr>
      </w:pPr>
      <w:r w:rsidRPr="007501C3">
        <w:rPr>
          <w:rFonts w:ascii="Arial Black" w:hAnsi="Arial Black"/>
          <w:sz w:val="28"/>
          <w:szCs w:val="28"/>
        </w:rPr>
        <w:lastRenderedPageBreak/>
        <w:t xml:space="preserve">NY: </w:t>
      </w:r>
      <w:r>
        <w:rPr>
          <w:rFonts w:ascii="Arial Black" w:hAnsi="Arial Black"/>
          <w:sz w:val="28"/>
          <w:szCs w:val="28"/>
        </w:rPr>
        <w:t>CA WOMAN SUPPORTS STRONG IMMIGATION – CAN SUE TV COMMENTATOR - FALSE TWEETS TO 1.24 MILLION</w:t>
      </w:r>
    </w:p>
    <w:p w14:paraId="2530EFF0" w14:textId="77777777" w:rsidR="00A672EE" w:rsidRDefault="00A672EE" w:rsidP="00A672EE">
      <w:pPr>
        <w:pStyle w:val="NoSpacing"/>
        <w:rPr>
          <w:rFonts w:ascii="Arial Black" w:hAnsi="Arial Black"/>
          <w:sz w:val="28"/>
          <w:szCs w:val="28"/>
        </w:rPr>
      </w:pPr>
      <w:r>
        <w:rPr>
          <w:rFonts w:ascii="Arial Black" w:hAnsi="Arial Black"/>
          <w:sz w:val="28"/>
          <w:szCs w:val="28"/>
        </w:rPr>
        <w:t xml:space="preserve"> </w:t>
      </w:r>
    </w:p>
    <w:p w14:paraId="61718F0B" w14:textId="77777777" w:rsidR="00A672EE" w:rsidRDefault="00A672EE" w:rsidP="00A672EE">
      <w:pPr>
        <w:pStyle w:val="NoSpacing"/>
        <w:rPr>
          <w:rFonts w:ascii="Times New Roman" w:hAnsi="Times New Roman"/>
          <w:sz w:val="24"/>
          <w:szCs w:val="24"/>
        </w:rPr>
      </w:pPr>
      <w:r w:rsidRPr="000C4CED">
        <w:rPr>
          <w:rFonts w:ascii="Times New Roman" w:hAnsi="Times New Roman"/>
          <w:sz w:val="24"/>
          <w:szCs w:val="24"/>
        </w:rPr>
        <w:t xml:space="preserve">On </w:t>
      </w:r>
      <w:r>
        <w:rPr>
          <w:rFonts w:ascii="Times New Roman" w:hAnsi="Times New Roman"/>
          <w:sz w:val="24"/>
          <w:szCs w:val="24"/>
        </w:rPr>
        <w:t xml:space="preserve">July 15, 2020, in </w:t>
      </w:r>
      <w:r w:rsidRPr="000C4CED">
        <w:rPr>
          <w:rFonts w:ascii="Times New Roman" w:hAnsi="Times New Roman"/>
          <w:sz w:val="24"/>
          <w:szCs w:val="24"/>
          <w:u w:val="single"/>
        </w:rPr>
        <w:t>Roslyn La Liberte v. Joy Reid</w:t>
      </w:r>
      <w:r>
        <w:rPr>
          <w:rFonts w:ascii="Times New Roman" w:hAnsi="Times New Roman"/>
          <w:sz w:val="24"/>
          <w:szCs w:val="24"/>
        </w:rPr>
        <w:t xml:space="preserve">, the U.S. Court of Appeals for Second Circuit (New York City) held that the defamation lawsuit will be reinstated; the defendant, Joy Reid, an MSNBC commentator, sent Tweet to 1.24 million followers, falsely alleging Ms. La Liberte threated 14-year-old Hispanic boy at a Simi Valley Council Meeting.  La Liberte received hate mail, including threats of mutilation and recommendations she </w:t>
      </w:r>
      <w:proofErr w:type="gramStart"/>
      <w:r>
        <w:rPr>
          <w:rFonts w:ascii="Times New Roman" w:hAnsi="Times New Roman"/>
          <w:sz w:val="24"/>
          <w:szCs w:val="24"/>
        </w:rPr>
        <w:t>commit</w:t>
      </w:r>
      <w:proofErr w:type="gramEnd"/>
      <w:r>
        <w:rPr>
          <w:rFonts w:ascii="Times New Roman" w:hAnsi="Times New Roman"/>
          <w:sz w:val="24"/>
          <w:szCs w:val="24"/>
        </w:rPr>
        <w:t xml:space="preserve"> suicide.  Court wrote: “</w:t>
      </w:r>
      <w:r w:rsidRPr="003E3B28">
        <w:rPr>
          <w:rFonts w:ascii="Times New Roman" w:hAnsi="Times New Roman"/>
          <w:sz w:val="24"/>
          <w:szCs w:val="24"/>
        </w:rPr>
        <w:t xml:space="preserve">In effect, Reid is arguing </w:t>
      </w:r>
      <w:r>
        <w:rPr>
          <w:rFonts w:ascii="Times New Roman" w:hAnsi="Times New Roman"/>
          <w:sz w:val="24"/>
          <w:szCs w:val="24"/>
        </w:rPr>
        <w:t xml:space="preserve">[in this Appeal] </w:t>
      </w:r>
      <w:r w:rsidRPr="003E3B28">
        <w:rPr>
          <w:rFonts w:ascii="Times New Roman" w:hAnsi="Times New Roman"/>
          <w:sz w:val="24"/>
          <w:szCs w:val="24"/>
        </w:rPr>
        <w:t>that a plaintiff can sue only the first defamer. If that were so, a post by an obscure social media user with few followers, blogging in the recesses of the internet, would allow everyone else to pile on without consequence. No one’s reputation would be worth a thing.</w:t>
      </w:r>
      <w:r>
        <w:rPr>
          <w:rFonts w:ascii="Times New Roman" w:hAnsi="Times New Roman"/>
          <w:sz w:val="24"/>
          <w:szCs w:val="24"/>
        </w:rPr>
        <w:t>”</w:t>
      </w:r>
    </w:p>
    <w:p w14:paraId="5C89966D" w14:textId="77777777" w:rsidR="00A672EE" w:rsidRDefault="00A672EE" w:rsidP="00A672EE">
      <w:pPr>
        <w:pStyle w:val="NoSpacing"/>
        <w:rPr>
          <w:rFonts w:ascii="Times New Roman" w:hAnsi="Times New Roman"/>
          <w:sz w:val="24"/>
          <w:szCs w:val="24"/>
        </w:rPr>
      </w:pPr>
      <w:hyperlink r:id="rId310" w:anchor="xml=https://www.ca2.uscourts.gov/decisions/isysquery/2a455a3a-04be-4845-88fb-6da61a7004cf/1/hilite/" w:history="1">
        <w:r w:rsidRPr="00C24307">
          <w:rPr>
            <w:rStyle w:val="Hyperlink"/>
            <w:rFonts w:ascii="Times New Roman" w:hAnsi="Times New Roman"/>
            <w:sz w:val="24"/>
            <w:szCs w:val="24"/>
          </w:rPr>
          <w:t>https://www.ca2.uscourts.gov/decisions/isysquery/2a455a3a-04be-4845-88fb-6da61a7004cf/1/doc/19-3574_opn.pdf#xml=https://www.ca2.uscourts.gov/decisions/isysquery/2a455a3a-04be-4845-88fb-6da61a7004cf/1/hilite/</w:t>
        </w:r>
      </w:hyperlink>
      <w:r>
        <w:rPr>
          <w:rFonts w:ascii="Times New Roman" w:hAnsi="Times New Roman"/>
          <w:sz w:val="24"/>
          <w:szCs w:val="24"/>
        </w:rPr>
        <w:t xml:space="preserve"> </w:t>
      </w:r>
    </w:p>
    <w:p w14:paraId="45017FD4" w14:textId="752A78F5" w:rsidR="00A672EE" w:rsidRDefault="00A672EE" w:rsidP="002B1283">
      <w:pPr>
        <w:rPr>
          <w:rFonts w:ascii="Arial Black" w:hAnsi="Arial Black"/>
          <w:b/>
          <w:sz w:val="24"/>
          <w:szCs w:val="24"/>
        </w:rPr>
      </w:pPr>
    </w:p>
    <w:p w14:paraId="3AC35E18" w14:textId="77777777" w:rsidR="006B2083" w:rsidRPr="00143120" w:rsidRDefault="006B2083" w:rsidP="006B2083">
      <w:pPr>
        <w:pStyle w:val="NoSpacing"/>
        <w:rPr>
          <w:rFonts w:ascii="Times New Roman" w:hAnsi="Times New Roman"/>
          <w:b/>
          <w:bCs/>
          <w:sz w:val="24"/>
          <w:szCs w:val="24"/>
        </w:rPr>
      </w:pPr>
      <w:r w:rsidRPr="00AE2F30">
        <w:rPr>
          <w:rFonts w:ascii="Times New Roman" w:hAnsi="Times New Roman"/>
          <w:b/>
          <w:bCs/>
        </w:rPr>
        <w:t xml:space="preserve">Legal Lessons Learned: </w:t>
      </w:r>
      <w:r>
        <w:rPr>
          <w:rFonts w:ascii="Times New Roman" w:hAnsi="Times New Roman"/>
          <w:b/>
          <w:bCs/>
        </w:rPr>
        <w:t xml:space="preserve"> Fortunately, the Court also held that plaintiff is not a “public official</w:t>
      </w:r>
      <w:proofErr w:type="gramStart"/>
      <w:r>
        <w:rPr>
          <w:rFonts w:ascii="Times New Roman" w:hAnsi="Times New Roman"/>
          <w:b/>
          <w:bCs/>
        </w:rPr>
        <w:t>”</w:t>
      </w:r>
      <w:proofErr w:type="gramEnd"/>
      <w:r>
        <w:rPr>
          <w:rFonts w:ascii="Times New Roman" w:hAnsi="Times New Roman"/>
          <w:b/>
          <w:bCs/>
        </w:rPr>
        <w:t xml:space="preserve"> and she does not need to prove defendant posted with actual “malice.” </w:t>
      </w:r>
    </w:p>
    <w:p w14:paraId="73FD8453" w14:textId="77777777" w:rsidR="006B2083" w:rsidRDefault="006B2083" w:rsidP="006B2083">
      <w:pPr>
        <w:pStyle w:val="NoSpacing"/>
        <w:rPr>
          <w:rFonts w:ascii="Times New Roman" w:hAnsi="Times New Roman"/>
          <w:b/>
          <w:bCs/>
        </w:rPr>
      </w:pPr>
    </w:p>
    <w:p w14:paraId="5FCA5A8A" w14:textId="77777777" w:rsidR="006B2083" w:rsidRDefault="006B2083" w:rsidP="006B2083">
      <w:pPr>
        <w:pStyle w:val="NoSpacing"/>
        <w:ind w:left="720"/>
        <w:rPr>
          <w:rFonts w:ascii="Times New Roman" w:hAnsi="Times New Roman"/>
          <w:sz w:val="24"/>
          <w:szCs w:val="24"/>
        </w:rPr>
      </w:pPr>
      <w:r w:rsidRPr="00AE2F30">
        <w:rPr>
          <w:rFonts w:ascii="Times New Roman" w:hAnsi="Times New Roman"/>
          <w:sz w:val="24"/>
          <w:szCs w:val="24"/>
        </w:rPr>
        <w:t xml:space="preserve">Note: </w:t>
      </w:r>
      <w:r>
        <w:rPr>
          <w:rFonts w:ascii="Times New Roman" w:hAnsi="Times New Roman"/>
          <w:sz w:val="24"/>
          <w:szCs w:val="24"/>
        </w:rPr>
        <w:t>The 2</w:t>
      </w:r>
      <w:r w:rsidRPr="00143120">
        <w:rPr>
          <w:rFonts w:ascii="Times New Roman" w:hAnsi="Times New Roman"/>
          <w:sz w:val="24"/>
          <w:szCs w:val="24"/>
          <w:vertAlign w:val="superscript"/>
        </w:rPr>
        <w:t>nd</w:t>
      </w:r>
      <w:r>
        <w:rPr>
          <w:rFonts w:ascii="Times New Roman" w:hAnsi="Times New Roman"/>
          <w:sz w:val="24"/>
          <w:szCs w:val="24"/>
        </w:rPr>
        <w:t xml:space="preserve"> Circuit held that Joy Reed was also not protected by California Anti-SLAPP statute, which helps protect news organizations, reporters, journalists, </w:t>
      </w:r>
      <w:proofErr w:type="gramStart"/>
      <w:r>
        <w:rPr>
          <w:rFonts w:ascii="Times New Roman" w:hAnsi="Times New Roman"/>
          <w:sz w:val="24"/>
          <w:szCs w:val="24"/>
        </w:rPr>
        <w:t>other</w:t>
      </w:r>
      <w:proofErr w:type="gramEnd"/>
      <w:r>
        <w:rPr>
          <w:rFonts w:ascii="Times New Roman" w:hAnsi="Times New Roman"/>
          <w:sz w:val="24"/>
          <w:szCs w:val="24"/>
        </w:rPr>
        <w:t xml:space="preserve"> from defamation lawsuits. </w:t>
      </w:r>
      <w:hyperlink r:id="rId311" w:history="1">
        <w:r w:rsidRPr="00AE2F30">
          <w:rPr>
            <w:rStyle w:val="Hyperlink"/>
            <w:rFonts w:ascii="Times New Roman" w:hAnsi="Times New Roman"/>
            <w:sz w:val="24"/>
            <w:szCs w:val="24"/>
          </w:rPr>
          <w:t>https://www.rcfp.org/resources/anti-slapp-laws/</w:t>
        </w:r>
      </w:hyperlink>
    </w:p>
    <w:p w14:paraId="710039AB" w14:textId="77777777" w:rsidR="006B2083" w:rsidRDefault="006B2083" w:rsidP="006B2083">
      <w:pPr>
        <w:pStyle w:val="NoSpacing"/>
        <w:ind w:left="720"/>
        <w:rPr>
          <w:rFonts w:ascii="Times New Roman" w:hAnsi="Times New Roman"/>
          <w:sz w:val="24"/>
          <w:szCs w:val="24"/>
        </w:rPr>
      </w:pPr>
      <w:r>
        <w:rPr>
          <w:rFonts w:ascii="Times New Roman" w:hAnsi="Times New Roman"/>
          <w:sz w:val="24"/>
          <w:szCs w:val="24"/>
        </w:rPr>
        <w:t>The 2</w:t>
      </w:r>
      <w:r w:rsidRPr="00143120">
        <w:rPr>
          <w:rFonts w:ascii="Times New Roman" w:hAnsi="Times New Roman"/>
          <w:sz w:val="24"/>
          <w:szCs w:val="24"/>
          <w:vertAlign w:val="superscript"/>
        </w:rPr>
        <w:t>nd</w:t>
      </w:r>
      <w:r>
        <w:rPr>
          <w:rFonts w:ascii="Times New Roman" w:hAnsi="Times New Roman"/>
          <w:sz w:val="24"/>
          <w:szCs w:val="24"/>
        </w:rPr>
        <w:t xml:space="preserve"> Circuit held: “</w:t>
      </w:r>
      <w:r w:rsidRPr="00AE2F30">
        <w:rPr>
          <w:rFonts w:ascii="Times New Roman" w:hAnsi="Times New Roman"/>
          <w:sz w:val="24"/>
          <w:szCs w:val="24"/>
        </w:rPr>
        <w:t xml:space="preserve">As a matter of first impression in this Circuit, we hold that California’s anti-SLAPP statute is inapplicable in federal court because it increases a plaintiff’s burden to overcome pretrial dismissal, and thus conflicts with Federal Rules of Civil Procedure 12 and 56.” </w:t>
      </w:r>
    </w:p>
    <w:p w14:paraId="30B157A6" w14:textId="77777777" w:rsidR="006B2083" w:rsidRDefault="006B2083" w:rsidP="006B2083">
      <w:pPr>
        <w:pStyle w:val="NoSpacing"/>
        <w:ind w:left="720"/>
        <w:rPr>
          <w:rFonts w:ascii="Times New Roman" w:hAnsi="Times New Roman"/>
          <w:sz w:val="24"/>
          <w:szCs w:val="24"/>
        </w:rPr>
      </w:pPr>
    </w:p>
    <w:p w14:paraId="796F37FA" w14:textId="1E7C3EF8" w:rsidR="006B2083" w:rsidRDefault="006B2083" w:rsidP="006B2083">
      <w:pPr>
        <w:rPr>
          <w:rFonts w:ascii="Arial Black" w:hAnsi="Arial Black"/>
          <w:b/>
          <w:sz w:val="24"/>
          <w:szCs w:val="24"/>
        </w:rPr>
      </w:pPr>
      <w:r>
        <w:rPr>
          <w:rFonts w:ascii="Times New Roman" w:hAnsi="Times New Roman"/>
          <w:sz w:val="24"/>
          <w:szCs w:val="24"/>
        </w:rPr>
        <w:t xml:space="preserve">Courts have held that </w:t>
      </w:r>
      <w:r w:rsidRPr="00143120">
        <w:rPr>
          <w:rFonts w:ascii="Times New Roman" w:hAnsi="Times New Roman"/>
          <w:sz w:val="24"/>
          <w:szCs w:val="24"/>
        </w:rPr>
        <w:t xml:space="preserve">Fire Chiefs </w:t>
      </w:r>
      <w:r>
        <w:rPr>
          <w:rFonts w:ascii="Times New Roman" w:hAnsi="Times New Roman"/>
          <w:sz w:val="24"/>
          <w:szCs w:val="24"/>
        </w:rPr>
        <w:t xml:space="preserve">are </w:t>
      </w:r>
      <w:r w:rsidRPr="00143120">
        <w:rPr>
          <w:rFonts w:ascii="Times New Roman" w:hAnsi="Times New Roman"/>
          <w:sz w:val="24"/>
          <w:szCs w:val="24"/>
        </w:rPr>
        <w:t xml:space="preserve">“public officials” and </w:t>
      </w:r>
      <w:r>
        <w:rPr>
          <w:rFonts w:ascii="Times New Roman" w:hAnsi="Times New Roman"/>
          <w:sz w:val="24"/>
          <w:szCs w:val="24"/>
        </w:rPr>
        <w:t xml:space="preserve">must prove actual malice in defamation lawsuits.  </w:t>
      </w:r>
      <w:hyperlink r:id="rId312" w:history="1">
        <w:r w:rsidRPr="00143120">
          <w:rPr>
            <w:rStyle w:val="Hyperlink"/>
            <w:rFonts w:ascii="Times New Roman" w:hAnsi="Times New Roman"/>
            <w:sz w:val="24"/>
            <w:szCs w:val="24"/>
          </w:rPr>
          <w:t>http://www.firelawblog.com/wp-content/uploads/sites/19/2011/02/becker_final_ruling1.pdf</w:t>
        </w:r>
      </w:hyperlink>
    </w:p>
    <w:p w14:paraId="407ED2CB" w14:textId="77777777" w:rsidR="00A672EE" w:rsidRDefault="00A672EE" w:rsidP="002B1283">
      <w:pPr>
        <w:rPr>
          <w:rFonts w:ascii="Arial Black" w:hAnsi="Arial Black"/>
          <w:b/>
          <w:sz w:val="24"/>
          <w:szCs w:val="24"/>
        </w:rPr>
      </w:pPr>
    </w:p>
    <w:p w14:paraId="08E6CB3F" w14:textId="589AAA29" w:rsidR="00A672EE" w:rsidRDefault="00A672EE" w:rsidP="002B1283">
      <w:pPr>
        <w:rPr>
          <w:rFonts w:ascii="Arial Black" w:hAnsi="Arial Black"/>
          <w:b/>
          <w:sz w:val="24"/>
          <w:szCs w:val="24"/>
        </w:rPr>
      </w:pPr>
      <w:r>
        <w:rPr>
          <w:rFonts w:ascii="Arial Black" w:hAnsi="Arial Black"/>
          <w:b/>
          <w:sz w:val="24"/>
          <w:szCs w:val="24"/>
        </w:rPr>
        <w:t>1-60</w:t>
      </w:r>
    </w:p>
    <w:p w14:paraId="2466E906" w14:textId="77777777" w:rsidR="00A672EE" w:rsidRPr="007F777C" w:rsidRDefault="00A672EE" w:rsidP="00A672EE">
      <w:pPr>
        <w:pStyle w:val="NoSpacing"/>
        <w:rPr>
          <w:rFonts w:ascii="Arial Black" w:hAnsi="Arial Black"/>
          <w:sz w:val="28"/>
          <w:szCs w:val="28"/>
        </w:rPr>
      </w:pPr>
      <w:bookmarkStart w:id="18" w:name="_Hlk69187086"/>
      <w:r w:rsidRPr="007F777C">
        <w:rPr>
          <w:rFonts w:ascii="Arial Black" w:hAnsi="Arial Black"/>
          <w:sz w:val="28"/>
          <w:szCs w:val="28"/>
        </w:rPr>
        <w:t>PA</w:t>
      </w:r>
      <w:r>
        <w:rPr>
          <w:rFonts w:ascii="Arial Black" w:hAnsi="Arial Black"/>
          <w:sz w:val="28"/>
          <w:szCs w:val="28"/>
        </w:rPr>
        <w:t>:  CHILD DIED NEIGHBOR’S SWIMMING POOL – INWARD GATES – CODE OFFICIAL WAS NOT EMPLOYEE – STILL HAS GOV’T IMMUNITY</w:t>
      </w:r>
    </w:p>
    <w:bookmarkEnd w:id="18"/>
    <w:p w14:paraId="1B0656DC" w14:textId="77777777" w:rsidR="00A672EE" w:rsidRDefault="00A672EE" w:rsidP="00A672EE">
      <w:pPr>
        <w:pStyle w:val="NoSpacing"/>
        <w:rPr>
          <w:rFonts w:ascii="Times New Roman" w:hAnsi="Times New Roman"/>
          <w:sz w:val="24"/>
          <w:szCs w:val="24"/>
        </w:rPr>
      </w:pPr>
    </w:p>
    <w:p w14:paraId="5D3EFAEE" w14:textId="77777777" w:rsidR="00A672EE" w:rsidRPr="0039329F" w:rsidRDefault="00A672EE" w:rsidP="00A672EE">
      <w:pPr>
        <w:pStyle w:val="NoSpacing"/>
        <w:rPr>
          <w:rFonts w:ascii="Times New Roman" w:hAnsi="Times New Roman"/>
          <w:sz w:val="24"/>
          <w:szCs w:val="24"/>
        </w:rPr>
      </w:pPr>
      <w:r>
        <w:rPr>
          <w:rFonts w:ascii="Times New Roman" w:hAnsi="Times New Roman"/>
          <w:sz w:val="24"/>
          <w:szCs w:val="24"/>
        </w:rPr>
        <w:t xml:space="preserve">On July 9, 2020, in </w:t>
      </w:r>
      <w:r w:rsidRPr="007F777C">
        <w:rPr>
          <w:rFonts w:ascii="Times New Roman" w:hAnsi="Times New Roman"/>
          <w:sz w:val="24"/>
          <w:szCs w:val="24"/>
          <w:u w:val="single"/>
        </w:rPr>
        <w:t>Anna Oakes</w:t>
      </w:r>
      <w:r>
        <w:rPr>
          <w:rFonts w:ascii="Times New Roman" w:hAnsi="Times New Roman"/>
          <w:sz w:val="24"/>
          <w:szCs w:val="24"/>
          <w:u w:val="single"/>
        </w:rPr>
        <w:t xml:space="preserve">, Administratrix of Estate of </w:t>
      </w:r>
      <w:proofErr w:type="spellStart"/>
      <w:r>
        <w:rPr>
          <w:rFonts w:ascii="Times New Roman" w:hAnsi="Times New Roman"/>
          <w:sz w:val="24"/>
          <w:szCs w:val="24"/>
          <w:u w:val="single"/>
        </w:rPr>
        <w:t>Pheylan</w:t>
      </w:r>
      <w:proofErr w:type="spellEnd"/>
      <w:r>
        <w:rPr>
          <w:rFonts w:ascii="Times New Roman" w:hAnsi="Times New Roman"/>
          <w:sz w:val="24"/>
          <w:szCs w:val="24"/>
          <w:u w:val="single"/>
        </w:rPr>
        <w:t xml:space="preserve"> Marine Cline </w:t>
      </w:r>
      <w:r w:rsidRPr="007F777C">
        <w:rPr>
          <w:rFonts w:ascii="Times New Roman" w:hAnsi="Times New Roman"/>
          <w:sz w:val="24"/>
          <w:szCs w:val="24"/>
          <w:u w:val="single"/>
        </w:rPr>
        <w:t xml:space="preserve"> v. Jeff Richardson and Richardson Inspection Services, LLC</w:t>
      </w:r>
      <w:r>
        <w:rPr>
          <w:rFonts w:ascii="Times New Roman" w:hAnsi="Times New Roman"/>
          <w:sz w:val="24"/>
          <w:szCs w:val="24"/>
        </w:rPr>
        <w:t xml:space="preserve">, the Commonwealth Court of Pennsylvania, held (3 to 0) in an unreported decision that the trial court properly granted summary judgment to the defendants, since Jeff Richardson enjoyed governmental immunity. The Court wrote: </w:t>
      </w:r>
      <w:r w:rsidRPr="0039329F">
        <w:rPr>
          <w:rFonts w:ascii="Times New Roman" w:hAnsi="Times New Roman"/>
          <w:sz w:val="24"/>
          <w:szCs w:val="24"/>
        </w:rPr>
        <w:t xml:space="preserve">For these reasons, we conclude that the trial court correctly determined that Richardson acted on behalf of the Township as an </w:t>
      </w:r>
      <w:r>
        <w:rPr>
          <w:rFonts w:ascii="Times New Roman" w:hAnsi="Times New Roman"/>
          <w:sz w:val="24"/>
          <w:szCs w:val="24"/>
        </w:rPr>
        <w:t>‘</w:t>
      </w:r>
      <w:r w:rsidRPr="0039329F">
        <w:rPr>
          <w:rFonts w:ascii="Times New Roman" w:hAnsi="Times New Roman"/>
          <w:sz w:val="24"/>
          <w:szCs w:val="24"/>
        </w:rPr>
        <w:t>employee</w:t>
      </w:r>
      <w:r>
        <w:rPr>
          <w:rFonts w:ascii="Times New Roman" w:hAnsi="Times New Roman"/>
          <w:sz w:val="24"/>
          <w:szCs w:val="24"/>
        </w:rPr>
        <w:t xml:space="preserve">’ </w:t>
      </w:r>
      <w:r w:rsidRPr="0039329F">
        <w:rPr>
          <w:rFonts w:ascii="Times New Roman" w:hAnsi="Times New Roman"/>
          <w:sz w:val="24"/>
          <w:szCs w:val="24"/>
        </w:rPr>
        <w:t>and</w:t>
      </w:r>
      <w:r>
        <w:rPr>
          <w:rFonts w:ascii="Times New Roman" w:hAnsi="Times New Roman"/>
          <w:sz w:val="24"/>
          <w:szCs w:val="24"/>
        </w:rPr>
        <w:t xml:space="preserve"> </w:t>
      </w:r>
      <w:r w:rsidRPr="0039329F">
        <w:rPr>
          <w:rFonts w:ascii="Times New Roman" w:hAnsi="Times New Roman"/>
          <w:sz w:val="24"/>
          <w:szCs w:val="24"/>
        </w:rPr>
        <w:t>as such</w:t>
      </w:r>
      <w:r>
        <w:rPr>
          <w:rFonts w:ascii="Times New Roman" w:hAnsi="Times New Roman"/>
          <w:sz w:val="24"/>
          <w:szCs w:val="24"/>
        </w:rPr>
        <w:t xml:space="preserve"> </w:t>
      </w:r>
      <w:r w:rsidRPr="0039329F">
        <w:rPr>
          <w:rFonts w:ascii="Times New Roman" w:hAnsi="Times New Roman"/>
          <w:sz w:val="24"/>
          <w:szCs w:val="24"/>
        </w:rPr>
        <w:t xml:space="preserve">is entitled to governmental immunity under the Tort Claims </w:t>
      </w:r>
      <w:proofErr w:type="gramStart"/>
      <w:r w:rsidRPr="0039329F">
        <w:rPr>
          <w:rFonts w:ascii="Times New Roman" w:hAnsi="Times New Roman"/>
          <w:sz w:val="24"/>
          <w:szCs w:val="24"/>
        </w:rPr>
        <w:t>Act.</w:t>
      </w:r>
      <w:r>
        <w:rPr>
          <w:rFonts w:ascii="Times New Roman" w:hAnsi="Times New Roman"/>
          <w:sz w:val="24"/>
          <w:szCs w:val="24"/>
        </w:rPr>
        <w:t>”</w:t>
      </w:r>
      <w:proofErr w:type="gramEnd"/>
      <w:r>
        <w:rPr>
          <w:rFonts w:ascii="Times New Roman" w:hAnsi="Times New Roman"/>
          <w:sz w:val="24"/>
          <w:szCs w:val="24"/>
        </w:rPr>
        <w:t xml:space="preserve"> </w:t>
      </w:r>
    </w:p>
    <w:bookmarkStart w:id="19" w:name="_Hlk69187129"/>
    <w:p w14:paraId="542D6177" w14:textId="77777777" w:rsidR="00A672EE" w:rsidRDefault="000F483A" w:rsidP="00A672EE">
      <w:pPr>
        <w:pStyle w:val="NoSpacing"/>
        <w:rPr>
          <w:rFonts w:ascii="Times New Roman" w:hAnsi="Times New Roman"/>
          <w:sz w:val="24"/>
          <w:szCs w:val="24"/>
        </w:rPr>
      </w:pPr>
      <w:r>
        <w:fldChar w:fldCharType="begin"/>
      </w:r>
      <w:r>
        <w:instrText xml:space="preserve"> HYPERLINK "http://www.pacourts.us/assets/opinions/Commonwealth/out/1368CD19_7-9-20.pdf?cb=1" </w:instrText>
      </w:r>
      <w:r>
        <w:fldChar w:fldCharType="separate"/>
      </w:r>
      <w:r w:rsidR="00A672EE" w:rsidRPr="000603D4">
        <w:rPr>
          <w:rStyle w:val="Hyperlink"/>
          <w:rFonts w:ascii="Times New Roman" w:hAnsi="Times New Roman"/>
          <w:sz w:val="24"/>
          <w:szCs w:val="24"/>
        </w:rPr>
        <w:t>http://www.pacourts.us/assets/opinions/Commonwealth/out/1368CD19_7-9-20.pdf?cb=1</w:t>
      </w:r>
      <w:r>
        <w:rPr>
          <w:rStyle w:val="Hyperlink"/>
          <w:rFonts w:ascii="Times New Roman" w:hAnsi="Times New Roman"/>
          <w:sz w:val="24"/>
          <w:szCs w:val="24"/>
        </w:rPr>
        <w:fldChar w:fldCharType="end"/>
      </w:r>
    </w:p>
    <w:bookmarkEnd w:id="19"/>
    <w:p w14:paraId="1CDADCEA" w14:textId="77777777" w:rsidR="006B2083" w:rsidRDefault="006B2083" w:rsidP="006B2083">
      <w:pPr>
        <w:pStyle w:val="NoSpacing"/>
        <w:rPr>
          <w:rFonts w:ascii="Times New Roman" w:hAnsi="Times New Roman"/>
          <w:b/>
          <w:bCs/>
          <w:sz w:val="24"/>
          <w:szCs w:val="24"/>
        </w:rPr>
      </w:pPr>
    </w:p>
    <w:p w14:paraId="72E697F3" w14:textId="6B89B468" w:rsidR="006B2083" w:rsidRPr="008C3F94" w:rsidRDefault="006B2083" w:rsidP="006B2083">
      <w:pPr>
        <w:pStyle w:val="NoSpacing"/>
        <w:rPr>
          <w:rFonts w:ascii="Times New Roman" w:hAnsi="Times New Roman"/>
          <w:b/>
          <w:bCs/>
          <w:sz w:val="24"/>
          <w:szCs w:val="24"/>
        </w:rPr>
      </w:pPr>
      <w:r w:rsidRPr="008C3F94">
        <w:rPr>
          <w:rFonts w:ascii="Times New Roman" w:hAnsi="Times New Roman"/>
          <w:b/>
          <w:bCs/>
          <w:sz w:val="24"/>
          <w:szCs w:val="24"/>
        </w:rPr>
        <w:t>Legal Lessons Learned:</w:t>
      </w:r>
      <w:r>
        <w:rPr>
          <w:rFonts w:ascii="Times New Roman" w:hAnsi="Times New Roman"/>
          <w:b/>
          <w:bCs/>
          <w:sz w:val="24"/>
          <w:szCs w:val="24"/>
        </w:rPr>
        <w:t xml:space="preserve"> Tragic death of </w:t>
      </w:r>
      <w:proofErr w:type="gramStart"/>
      <w:r>
        <w:rPr>
          <w:rFonts w:ascii="Times New Roman" w:hAnsi="Times New Roman"/>
          <w:b/>
          <w:bCs/>
          <w:sz w:val="24"/>
          <w:szCs w:val="24"/>
        </w:rPr>
        <w:t>20-month old</w:t>
      </w:r>
      <w:proofErr w:type="gramEnd"/>
      <w:r>
        <w:rPr>
          <w:rFonts w:ascii="Times New Roman" w:hAnsi="Times New Roman"/>
          <w:b/>
          <w:bCs/>
          <w:sz w:val="24"/>
          <w:szCs w:val="24"/>
        </w:rPr>
        <w:t>; what is the Code requirement in your community for gates protecting an above-ground swimming pool?</w:t>
      </w:r>
    </w:p>
    <w:p w14:paraId="4A7FD04D" w14:textId="77777777" w:rsidR="00A672EE" w:rsidRDefault="00A672EE" w:rsidP="002B1283">
      <w:pPr>
        <w:rPr>
          <w:rFonts w:ascii="Arial Black" w:hAnsi="Arial Black"/>
          <w:b/>
          <w:sz w:val="24"/>
          <w:szCs w:val="24"/>
        </w:rPr>
      </w:pPr>
    </w:p>
    <w:p w14:paraId="10E5C038" w14:textId="316E5E0B" w:rsidR="00A672EE" w:rsidRDefault="00A672EE" w:rsidP="002B1283">
      <w:pPr>
        <w:rPr>
          <w:rFonts w:ascii="Arial Black" w:hAnsi="Arial Black"/>
          <w:b/>
          <w:sz w:val="24"/>
          <w:szCs w:val="24"/>
        </w:rPr>
      </w:pPr>
      <w:r>
        <w:rPr>
          <w:rFonts w:ascii="Arial Black" w:hAnsi="Arial Black"/>
          <w:b/>
          <w:sz w:val="24"/>
          <w:szCs w:val="24"/>
        </w:rPr>
        <w:t>1-59</w:t>
      </w:r>
    </w:p>
    <w:p w14:paraId="0327F69E" w14:textId="77777777" w:rsidR="00A672EE" w:rsidRPr="007F708E" w:rsidRDefault="00A672EE" w:rsidP="00A672EE">
      <w:pPr>
        <w:pStyle w:val="NoSpacing"/>
        <w:rPr>
          <w:rFonts w:ascii="Arial Black" w:hAnsi="Arial Black"/>
          <w:sz w:val="28"/>
          <w:szCs w:val="28"/>
        </w:rPr>
      </w:pPr>
      <w:r w:rsidRPr="007F708E">
        <w:rPr>
          <w:rFonts w:ascii="Arial Black" w:hAnsi="Arial Black"/>
          <w:sz w:val="28"/>
          <w:szCs w:val="28"/>
        </w:rPr>
        <w:lastRenderedPageBreak/>
        <w:t>A</w:t>
      </w:r>
      <w:r>
        <w:rPr>
          <w:rFonts w:ascii="Arial Black" w:hAnsi="Arial Black"/>
          <w:sz w:val="28"/>
          <w:szCs w:val="28"/>
        </w:rPr>
        <w:t xml:space="preserve">R: ARSON OF APARTMENTS – FINANCIAL FRAUD INVEST –DEFENDANTS CAN’T DEPOSE TUCSON FD INSPECTOR </w:t>
      </w:r>
    </w:p>
    <w:p w14:paraId="2F2CB7D5" w14:textId="77777777" w:rsidR="00A672EE" w:rsidRDefault="00A672EE" w:rsidP="00A672EE">
      <w:pPr>
        <w:pStyle w:val="NoSpacing"/>
      </w:pPr>
    </w:p>
    <w:p w14:paraId="61953534" w14:textId="77777777" w:rsidR="00A672EE" w:rsidRDefault="00A672EE" w:rsidP="00A672EE">
      <w:pPr>
        <w:pStyle w:val="NoSpacing"/>
        <w:rPr>
          <w:rFonts w:ascii="Times New Roman" w:eastAsia="Times New Roman" w:hAnsi="Times New Roman"/>
          <w:sz w:val="24"/>
          <w:szCs w:val="24"/>
        </w:rPr>
      </w:pPr>
      <w:r w:rsidRPr="003747BE">
        <w:rPr>
          <w:rFonts w:ascii="Times New Roman" w:hAnsi="Times New Roman"/>
          <w:sz w:val="24"/>
          <w:szCs w:val="24"/>
        </w:rPr>
        <w:t xml:space="preserve">On </w:t>
      </w:r>
      <w:r>
        <w:rPr>
          <w:rFonts w:ascii="Times New Roman" w:hAnsi="Times New Roman"/>
          <w:sz w:val="24"/>
          <w:szCs w:val="24"/>
        </w:rPr>
        <w:t xml:space="preserve">June 30, 2020, in </w:t>
      </w:r>
      <w:r w:rsidRPr="003747BE">
        <w:rPr>
          <w:rFonts w:ascii="Times New Roman" w:hAnsi="Times New Roman"/>
          <w:sz w:val="24"/>
          <w:szCs w:val="24"/>
          <w:u w:val="single"/>
        </w:rPr>
        <w:t>Greg Moore &amp; Patricia Moore v. Sean Garland, et al</w:t>
      </w:r>
      <w:r>
        <w:rPr>
          <w:rFonts w:ascii="Times New Roman" w:hAnsi="Times New Roman"/>
          <w:sz w:val="24"/>
          <w:szCs w:val="24"/>
        </w:rPr>
        <w:t>., U.S. District Court Judge Rosemary Marquez, District of Arizona, upheld the decision of the U.S. Magistrate Judge that two defendants arrested and awaiting trial, cannot use a civil lawsuit under 42 USC 1983 to take the deposition of the Tucson FD arson investigator, even after they received his report, since there is an ongoing financial fraud investigation.  Likewise, they cannot subpoena police department records that had been provided to insurance company investigators, or PD documents shared with IRS investigators  The District Court Judge agreed with the U.S. Magistrate, and held: “</w:t>
      </w:r>
      <w:r w:rsidRPr="00E9284B">
        <w:rPr>
          <w:rFonts w:ascii="Times New Roman" w:eastAsia="Times New Roman" w:hAnsi="Times New Roman"/>
          <w:sz w:val="24"/>
          <w:szCs w:val="24"/>
        </w:rPr>
        <w:t xml:space="preserve">The </w:t>
      </w:r>
    </w:p>
    <w:p w14:paraId="34270008" w14:textId="77777777" w:rsidR="00A672EE" w:rsidRPr="00E9284B" w:rsidRDefault="00A672EE" w:rsidP="00A672EE">
      <w:pPr>
        <w:pStyle w:val="NoSpacing"/>
        <w:rPr>
          <w:rFonts w:ascii="Times New Roman" w:eastAsia="Times New Roman" w:hAnsi="Times New Roman"/>
          <w:sz w:val="24"/>
          <w:szCs w:val="24"/>
        </w:rPr>
      </w:pPr>
      <w:r>
        <w:rPr>
          <w:rFonts w:ascii="Times New Roman" w:eastAsia="Times New Roman" w:hAnsi="Times New Roman"/>
          <w:sz w:val="24"/>
          <w:szCs w:val="24"/>
        </w:rPr>
        <w:t xml:space="preserve">[Magistrate’s] </w:t>
      </w:r>
      <w:r w:rsidRPr="00E9284B">
        <w:rPr>
          <w:rFonts w:ascii="Times New Roman" w:eastAsia="Times New Roman" w:hAnsi="Times New Roman"/>
          <w:sz w:val="24"/>
          <w:szCs w:val="24"/>
        </w:rPr>
        <w:t xml:space="preserve">Order notes that the City previously disclosed to Plaintiffs TFD Inspector Loya's fifteen-page report on the </w:t>
      </w:r>
      <w:proofErr w:type="spellStart"/>
      <w:r w:rsidRPr="00E9284B">
        <w:rPr>
          <w:rFonts w:ascii="Times New Roman" w:eastAsia="Times New Roman" w:hAnsi="Times New Roman"/>
          <w:sz w:val="24"/>
          <w:szCs w:val="24"/>
        </w:rPr>
        <w:t>Forgeus</w:t>
      </w:r>
      <w:proofErr w:type="spellEnd"/>
      <w:r w:rsidRPr="00E9284B">
        <w:rPr>
          <w:rFonts w:ascii="Times New Roman" w:eastAsia="Times New Roman" w:hAnsi="Times New Roman"/>
          <w:sz w:val="24"/>
          <w:szCs w:val="24"/>
        </w:rPr>
        <w:t xml:space="preserve"> fire </w:t>
      </w:r>
      <w:r>
        <w:rPr>
          <w:rFonts w:ascii="Times New Roman" w:eastAsia="Times New Roman" w:hAnsi="Times New Roman"/>
          <w:sz w:val="24"/>
          <w:szCs w:val="24"/>
        </w:rPr>
        <w:t xml:space="preserve">… </w:t>
      </w:r>
      <w:r w:rsidRPr="00E9284B">
        <w:rPr>
          <w:rFonts w:ascii="Times New Roman" w:eastAsia="Times New Roman" w:hAnsi="Times New Roman"/>
          <w:sz w:val="24"/>
          <w:szCs w:val="24"/>
        </w:rPr>
        <w:t xml:space="preserve">and holds, contrary to Plaintiffs' arguments, that </w:t>
      </w:r>
      <w:r>
        <w:rPr>
          <w:rFonts w:ascii="Times New Roman" w:eastAsia="Times New Roman" w:hAnsi="Times New Roman"/>
          <w:sz w:val="24"/>
          <w:szCs w:val="24"/>
        </w:rPr>
        <w:t>‘</w:t>
      </w:r>
      <w:r w:rsidRPr="00E9284B">
        <w:rPr>
          <w:rFonts w:ascii="Times New Roman" w:eastAsia="Times New Roman" w:hAnsi="Times New Roman"/>
          <w:sz w:val="24"/>
          <w:szCs w:val="24"/>
        </w:rPr>
        <w:t>in the context of the law enforcement privilege, the 'release of a document only waives the privilege for the document or information specifically released, and not for related materials.</w:t>
      </w:r>
      <w:r>
        <w:rPr>
          <w:rFonts w:ascii="Times New Roman" w:eastAsia="Times New Roman" w:hAnsi="Times New Roman"/>
          <w:sz w:val="24"/>
          <w:szCs w:val="24"/>
        </w:rPr>
        <w:t>’”</w:t>
      </w:r>
      <w:r w:rsidRPr="00E9284B">
        <w:t xml:space="preserve"> </w:t>
      </w:r>
      <w:hyperlink r:id="rId313" w:history="1">
        <w:r w:rsidRPr="00DE6B93">
          <w:rPr>
            <w:rStyle w:val="Hyperlink"/>
            <w:rFonts w:ascii="Times New Roman" w:hAnsi="Times New Roman"/>
            <w:sz w:val="24"/>
            <w:szCs w:val="24"/>
          </w:rPr>
          <w:t>https://public.fastcase.com/Wl%2B2t%2BeVuI35%2FN70vAMFZsoxzsfdSpYQWUHzr4LGn9%2B%2B5efEeYPRxdC77jaiEbzw</w:t>
        </w:r>
      </w:hyperlink>
      <w:r>
        <w:rPr>
          <w:rFonts w:ascii="Times New Roman" w:eastAsia="Times New Roman" w:hAnsi="Times New Roman"/>
          <w:sz w:val="24"/>
          <w:szCs w:val="24"/>
        </w:rPr>
        <w:t xml:space="preserve"> </w:t>
      </w:r>
    </w:p>
    <w:p w14:paraId="4377A2B9" w14:textId="77777777" w:rsidR="006B2083" w:rsidRDefault="006B2083" w:rsidP="006B2083">
      <w:pPr>
        <w:pStyle w:val="NoSpacing"/>
        <w:rPr>
          <w:rFonts w:ascii="Times New Roman" w:hAnsi="Times New Roman"/>
          <w:b/>
          <w:bCs/>
          <w:sz w:val="24"/>
          <w:szCs w:val="24"/>
        </w:rPr>
      </w:pPr>
    </w:p>
    <w:p w14:paraId="74A04206" w14:textId="1498C2D8" w:rsidR="006B2083" w:rsidRDefault="006B2083" w:rsidP="006B2083">
      <w:pPr>
        <w:pStyle w:val="NoSpacing"/>
        <w:rPr>
          <w:rFonts w:ascii="Arial Black" w:eastAsia="Times New Roman" w:hAnsi="Arial Black"/>
          <w:sz w:val="28"/>
          <w:szCs w:val="28"/>
        </w:rPr>
      </w:pPr>
      <w:r w:rsidRPr="0043496E">
        <w:rPr>
          <w:rFonts w:ascii="Times New Roman" w:hAnsi="Times New Roman"/>
          <w:b/>
          <w:bCs/>
          <w:sz w:val="24"/>
          <w:szCs w:val="24"/>
        </w:rPr>
        <w:t>Legal Lesson Learned:</w:t>
      </w:r>
      <w:r>
        <w:rPr>
          <w:rFonts w:ascii="Times New Roman" w:hAnsi="Times New Roman"/>
          <w:b/>
          <w:bCs/>
          <w:sz w:val="24"/>
          <w:szCs w:val="24"/>
        </w:rPr>
        <w:t xml:space="preserve"> The “law enforcement investigatory privilege” prevents defendants awaiting trial to use a civil lawsuit to obtain ongoing investigation records.</w:t>
      </w:r>
    </w:p>
    <w:p w14:paraId="38E18840" w14:textId="77777777" w:rsidR="00A672EE" w:rsidRDefault="00A672EE" w:rsidP="002B1283">
      <w:pPr>
        <w:rPr>
          <w:rFonts w:ascii="Arial Black" w:hAnsi="Arial Black"/>
          <w:b/>
          <w:sz w:val="24"/>
          <w:szCs w:val="24"/>
        </w:rPr>
      </w:pPr>
    </w:p>
    <w:p w14:paraId="4232BBF3" w14:textId="590BE874" w:rsidR="0020758F" w:rsidRDefault="0020758F" w:rsidP="002B1283">
      <w:pPr>
        <w:rPr>
          <w:rFonts w:ascii="Arial Black" w:hAnsi="Arial Black"/>
          <w:b/>
          <w:sz w:val="24"/>
          <w:szCs w:val="24"/>
        </w:rPr>
      </w:pPr>
      <w:r>
        <w:rPr>
          <w:rFonts w:ascii="Arial Black" w:hAnsi="Arial Black"/>
          <w:b/>
          <w:sz w:val="24"/>
          <w:szCs w:val="24"/>
        </w:rPr>
        <w:t>1-58</w:t>
      </w:r>
    </w:p>
    <w:p w14:paraId="6187A136" w14:textId="77777777" w:rsidR="0020758F" w:rsidRDefault="0020758F" w:rsidP="0020758F">
      <w:pPr>
        <w:pStyle w:val="Heading1"/>
        <w:rPr>
          <w:rFonts w:ascii="Arial Black" w:hAnsi="Arial Black"/>
          <w:sz w:val="28"/>
          <w:szCs w:val="28"/>
        </w:rPr>
      </w:pPr>
      <w:r w:rsidRPr="00423A7B">
        <w:rPr>
          <w:rFonts w:ascii="Arial Black" w:hAnsi="Arial Black"/>
          <w:sz w:val="28"/>
          <w:szCs w:val="28"/>
        </w:rPr>
        <w:t xml:space="preserve">NY: </w:t>
      </w:r>
      <w:r>
        <w:rPr>
          <w:rFonts w:ascii="Arial Black" w:hAnsi="Arial Black"/>
          <w:sz w:val="28"/>
          <w:szCs w:val="28"/>
        </w:rPr>
        <w:t xml:space="preserve">QUALIFIED IMMUNITY – HOT TOPIC FOR CONGESS - NYPD USED TASER TWICE – $30,000 PUNITIVE DAMAGES </w:t>
      </w:r>
    </w:p>
    <w:p w14:paraId="2B4073C7" w14:textId="77777777" w:rsidR="0020758F" w:rsidRDefault="0020758F" w:rsidP="0020758F">
      <w:pPr>
        <w:pStyle w:val="Heading1"/>
        <w:rPr>
          <w:b w:val="0"/>
          <w:bCs w:val="0"/>
          <w:sz w:val="24"/>
          <w:szCs w:val="24"/>
        </w:rPr>
      </w:pPr>
      <w:r w:rsidRPr="0011766A">
        <w:rPr>
          <w:b w:val="0"/>
          <w:bCs w:val="0"/>
          <w:sz w:val="24"/>
          <w:szCs w:val="24"/>
        </w:rPr>
        <w:t xml:space="preserve">On June 26, 2020, in </w:t>
      </w:r>
      <w:r w:rsidRPr="0011766A">
        <w:rPr>
          <w:b w:val="0"/>
          <w:bCs w:val="0"/>
          <w:sz w:val="24"/>
          <w:szCs w:val="24"/>
          <w:u w:val="single"/>
        </w:rPr>
        <w:t>Matthew Jones v. Lieutenant Christopher Treubig</w:t>
      </w:r>
      <w:r>
        <w:rPr>
          <w:b w:val="0"/>
          <w:bCs w:val="0"/>
          <w:sz w:val="24"/>
          <w:szCs w:val="24"/>
        </w:rPr>
        <w:t xml:space="preserve">, the U.S. Court of Appeals for the Second Circuit [NYC], held 3 to 0, that the U. S. District Court improperly set aside the jury verdict since the Lieutenant’s conduct of using taser twice on a suspect held by other officers on the ground was a clear constitutional violation.  </w:t>
      </w:r>
      <w:r w:rsidRPr="008017E3">
        <w:rPr>
          <w:b w:val="0"/>
          <w:bCs w:val="0"/>
          <w:sz w:val="24"/>
          <w:szCs w:val="24"/>
        </w:rPr>
        <w:t>“In sum, upon a review of the relevant legal authority, we hold that it was clearly established as of April 2015 that a police officer cannot use significant force, such as a taser, against an individual who is no longer resisting or posing a threat to the officers or others.”</w:t>
      </w:r>
      <w:r>
        <w:rPr>
          <w:sz w:val="33"/>
          <w:szCs w:val="33"/>
        </w:rPr>
        <w:t xml:space="preserve"> </w:t>
      </w:r>
      <w:hyperlink r:id="rId314" w:anchor="xml=https://www.ca2.uscourts.gov/decisions/isysquery/93d429af-6bc3-4a16-b287-422f5179acac/1/hilite/" w:history="1">
        <w:r w:rsidRPr="00E3681F">
          <w:rPr>
            <w:rStyle w:val="Hyperlink"/>
            <w:sz w:val="24"/>
            <w:szCs w:val="24"/>
          </w:rPr>
          <w:t>https://www.ca2.uscourts.gov/decisions/isysquery/93d429af-6bc3-4a16-b287-422f5179acac/1/doc/18-3775_opn.pdf#xml=https://www.ca2.uscourts.gov/decisions/isysquery/93d429af-6bc3-4a16-b287-422f5179acac/1/hilite/</w:t>
        </w:r>
      </w:hyperlink>
      <w:r>
        <w:rPr>
          <w:b w:val="0"/>
          <w:bCs w:val="0"/>
          <w:sz w:val="24"/>
          <w:szCs w:val="24"/>
        </w:rPr>
        <w:t xml:space="preserve"> </w:t>
      </w:r>
    </w:p>
    <w:p w14:paraId="006CEC62" w14:textId="77777777" w:rsidR="0020758F" w:rsidRPr="008017E3" w:rsidRDefault="0020758F" w:rsidP="0020758F">
      <w:pPr>
        <w:pStyle w:val="NoSpacing"/>
        <w:rPr>
          <w:rFonts w:ascii="Times New Roman" w:hAnsi="Times New Roman"/>
          <w:b/>
          <w:bCs/>
          <w:sz w:val="24"/>
          <w:szCs w:val="24"/>
        </w:rPr>
      </w:pPr>
      <w:r w:rsidRPr="0039343F">
        <w:rPr>
          <w:rFonts w:ascii="Times New Roman" w:hAnsi="Times New Roman"/>
          <w:b/>
          <w:bCs/>
          <w:sz w:val="24"/>
          <w:szCs w:val="24"/>
        </w:rPr>
        <w:t>Legal Lessons Learned:</w:t>
      </w:r>
      <w:r w:rsidRPr="00601B27">
        <w:t xml:space="preserve"> </w:t>
      </w:r>
      <w:r>
        <w:t xml:space="preserve"> </w:t>
      </w:r>
      <w:r w:rsidRPr="0039343F">
        <w:rPr>
          <w:rFonts w:ascii="Times New Roman" w:hAnsi="Times New Roman"/>
          <w:b/>
          <w:bCs/>
          <w:sz w:val="24"/>
          <w:szCs w:val="24"/>
        </w:rPr>
        <w:t xml:space="preserve">The “qualified immunity” doctrine has protected not only police officers, but also fire &amp; EMS from personal liability, with many lawsuits being dismissed prior to trial.  </w:t>
      </w:r>
      <w:r>
        <w:rPr>
          <w:rFonts w:ascii="Times New Roman" w:hAnsi="Times New Roman"/>
          <w:b/>
          <w:bCs/>
          <w:sz w:val="24"/>
          <w:szCs w:val="24"/>
        </w:rPr>
        <w:t xml:space="preserve">In litigation in federal court, and in many states, if the trial judge denies the motion to dismiss, there normally can be an immediate appeal by the public employee and employer to the Court of Appeals [in this case a pre-trial motion was apparently not filed]. </w:t>
      </w:r>
    </w:p>
    <w:p w14:paraId="6DB52153" w14:textId="77777777" w:rsidR="0020758F" w:rsidRDefault="0020758F" w:rsidP="0020758F">
      <w:pPr>
        <w:pStyle w:val="NoSpacing"/>
        <w:rPr>
          <w:rFonts w:ascii="Times New Roman" w:hAnsi="Times New Roman"/>
          <w:b/>
          <w:bCs/>
          <w:sz w:val="24"/>
          <w:szCs w:val="24"/>
        </w:rPr>
      </w:pPr>
    </w:p>
    <w:p w14:paraId="11B612FA" w14:textId="7A68AA41" w:rsidR="0020758F" w:rsidRDefault="0020758F" w:rsidP="0020758F">
      <w:pPr>
        <w:rPr>
          <w:rStyle w:val="Hyperlink"/>
          <w:rFonts w:ascii="Times New Roman" w:hAnsi="Times New Roman"/>
          <w:sz w:val="24"/>
          <w:szCs w:val="24"/>
        </w:rPr>
      </w:pPr>
      <w:r w:rsidRPr="008017E3">
        <w:rPr>
          <w:rFonts w:ascii="Times New Roman" w:hAnsi="Times New Roman"/>
          <w:sz w:val="24"/>
          <w:szCs w:val="24"/>
        </w:rPr>
        <w:t xml:space="preserve">Note: Following the death of George Floyd in Minneapolis, Congress is current considering enacting several bills to either amend or virtually eliminate the qualified immunity doctrine.  See article, June 19, 2020, “Republican rift opens up </w:t>
      </w:r>
      <w:proofErr w:type="gramStart"/>
      <w:r w:rsidRPr="008017E3">
        <w:rPr>
          <w:rFonts w:ascii="Times New Roman" w:hAnsi="Times New Roman"/>
          <w:sz w:val="24"/>
          <w:szCs w:val="24"/>
        </w:rPr>
        <w:t>over qualified</w:t>
      </w:r>
      <w:proofErr w:type="gramEnd"/>
      <w:r w:rsidRPr="008017E3">
        <w:rPr>
          <w:rFonts w:ascii="Times New Roman" w:hAnsi="Times New Roman"/>
          <w:sz w:val="24"/>
          <w:szCs w:val="24"/>
        </w:rPr>
        <w:t xml:space="preserve"> immunity for police.” </w:t>
      </w:r>
      <w:hyperlink r:id="rId315" w:history="1">
        <w:r w:rsidRPr="00E3681F">
          <w:rPr>
            <w:rStyle w:val="Hyperlink"/>
            <w:rFonts w:ascii="Times New Roman" w:hAnsi="Times New Roman"/>
            <w:sz w:val="24"/>
            <w:szCs w:val="24"/>
          </w:rPr>
          <w:t>https://thehill.com/homenews/senate/503496-republican-rift-opens-up-over-qualified-immunity-for-police</w:t>
        </w:r>
      </w:hyperlink>
    </w:p>
    <w:p w14:paraId="1C588104" w14:textId="77777777" w:rsidR="0020758F" w:rsidRDefault="0020758F" w:rsidP="0020758F">
      <w:pPr>
        <w:rPr>
          <w:rFonts w:ascii="Arial Black" w:hAnsi="Arial Black"/>
          <w:b/>
          <w:sz w:val="24"/>
          <w:szCs w:val="24"/>
        </w:rPr>
      </w:pPr>
    </w:p>
    <w:p w14:paraId="6FD10F59" w14:textId="4583C317" w:rsidR="0020758F" w:rsidRDefault="0020758F" w:rsidP="002B1283">
      <w:pPr>
        <w:rPr>
          <w:rFonts w:ascii="Arial Black" w:hAnsi="Arial Black"/>
          <w:b/>
          <w:sz w:val="24"/>
          <w:szCs w:val="24"/>
        </w:rPr>
      </w:pPr>
      <w:r>
        <w:rPr>
          <w:rFonts w:ascii="Arial Black" w:hAnsi="Arial Black"/>
          <w:b/>
          <w:sz w:val="24"/>
          <w:szCs w:val="24"/>
        </w:rPr>
        <w:lastRenderedPageBreak/>
        <w:t>1-57</w:t>
      </w:r>
    </w:p>
    <w:p w14:paraId="1E5A20DB" w14:textId="77777777" w:rsidR="0020758F" w:rsidRDefault="0020758F" w:rsidP="0020758F">
      <w:pPr>
        <w:pStyle w:val="NoSpacing"/>
        <w:rPr>
          <w:rFonts w:ascii="Arial Black" w:hAnsi="Arial Black"/>
          <w:sz w:val="28"/>
          <w:szCs w:val="28"/>
        </w:rPr>
      </w:pPr>
      <w:r w:rsidRPr="00A4095D">
        <w:rPr>
          <w:rFonts w:ascii="Arial Black" w:hAnsi="Arial Black"/>
          <w:sz w:val="28"/>
          <w:szCs w:val="28"/>
        </w:rPr>
        <w:t xml:space="preserve">MI: </w:t>
      </w:r>
      <w:r>
        <w:rPr>
          <w:rFonts w:ascii="Arial Black" w:hAnsi="Arial Black"/>
          <w:sz w:val="28"/>
          <w:szCs w:val="28"/>
        </w:rPr>
        <w:t>QUALIFIED IMMUNITY – DENIED UNIV. OF MICH. FOOTBALL GAME - “DRUNK” FAN – PD EXCESSIVE FORCE</w:t>
      </w:r>
    </w:p>
    <w:p w14:paraId="02AB3A78" w14:textId="77777777" w:rsidR="0020758F" w:rsidRDefault="0020758F" w:rsidP="0020758F">
      <w:pPr>
        <w:pStyle w:val="NoSpacing"/>
        <w:rPr>
          <w:rFonts w:ascii="Arial Black" w:hAnsi="Arial Black"/>
          <w:sz w:val="28"/>
          <w:szCs w:val="28"/>
        </w:rPr>
      </w:pPr>
    </w:p>
    <w:p w14:paraId="7DEEB6F3" w14:textId="77777777" w:rsidR="0020758F" w:rsidRDefault="0020758F" w:rsidP="0020758F">
      <w:pPr>
        <w:pStyle w:val="NoSpacing"/>
        <w:rPr>
          <w:rFonts w:ascii="Times New Roman" w:hAnsi="Times New Roman"/>
          <w:sz w:val="24"/>
          <w:szCs w:val="24"/>
        </w:rPr>
      </w:pPr>
      <w:r w:rsidRPr="00055D56">
        <w:rPr>
          <w:rFonts w:ascii="Times New Roman" w:hAnsi="Times New Roman"/>
          <w:sz w:val="24"/>
          <w:szCs w:val="24"/>
        </w:rPr>
        <w:t>On</w:t>
      </w:r>
      <w:r>
        <w:rPr>
          <w:rFonts w:ascii="Times New Roman" w:hAnsi="Times New Roman"/>
          <w:sz w:val="24"/>
          <w:szCs w:val="24"/>
        </w:rPr>
        <w:t xml:space="preserve"> June 24, 2020, in </w:t>
      </w:r>
      <w:r w:rsidRPr="00055D56">
        <w:rPr>
          <w:rFonts w:ascii="Times New Roman" w:hAnsi="Times New Roman"/>
          <w:sz w:val="24"/>
          <w:szCs w:val="24"/>
          <w:u w:val="single"/>
        </w:rPr>
        <w:t>Bryan Richards v. County of Washtenaw, et al. &amp; Justin Berent</w:t>
      </w:r>
      <w:r>
        <w:rPr>
          <w:rFonts w:ascii="Times New Roman" w:hAnsi="Times New Roman"/>
          <w:sz w:val="24"/>
          <w:szCs w:val="24"/>
        </w:rPr>
        <w:t>, the U,S. Court of Appeals for the 6</w:t>
      </w:r>
      <w:r w:rsidRPr="00055D56">
        <w:rPr>
          <w:rFonts w:ascii="Times New Roman" w:hAnsi="Times New Roman"/>
          <w:sz w:val="24"/>
          <w:szCs w:val="24"/>
          <w:vertAlign w:val="superscript"/>
        </w:rPr>
        <w:t>th</w:t>
      </w:r>
      <w:r>
        <w:rPr>
          <w:rFonts w:ascii="Times New Roman" w:hAnsi="Times New Roman"/>
          <w:sz w:val="24"/>
          <w:szCs w:val="24"/>
        </w:rPr>
        <w:t xml:space="preserve"> Circuit (Cincinnati) held (3 to 0) that the arresting officers enjoy qualified immunity for their arresting the fan for assaulting the uniformed medic in football stadium’s medical office, but the lawsuit may proceed for excessive force.  The 6</w:t>
      </w:r>
      <w:r w:rsidRPr="00452277">
        <w:rPr>
          <w:rFonts w:ascii="Times New Roman" w:hAnsi="Times New Roman"/>
          <w:sz w:val="24"/>
          <w:szCs w:val="24"/>
          <w:vertAlign w:val="superscript"/>
        </w:rPr>
        <w:t>th</w:t>
      </w:r>
      <w:r>
        <w:rPr>
          <w:rFonts w:ascii="Times New Roman" w:hAnsi="Times New Roman"/>
          <w:sz w:val="24"/>
          <w:szCs w:val="24"/>
        </w:rPr>
        <w:t xml:space="preserve"> Circuit held: “</w:t>
      </w:r>
      <w:r w:rsidRPr="007D0BEC">
        <w:rPr>
          <w:rFonts w:ascii="Times New Roman" w:hAnsi="Times New Roman"/>
          <w:sz w:val="24"/>
          <w:szCs w:val="24"/>
        </w:rPr>
        <w:t>Richards</w:t>
      </w:r>
      <w:r>
        <w:rPr>
          <w:rFonts w:ascii="Times New Roman" w:hAnsi="Times New Roman"/>
          <w:sz w:val="24"/>
          <w:szCs w:val="24"/>
        </w:rPr>
        <w:t xml:space="preserve"> </w:t>
      </w:r>
      <w:r w:rsidRPr="007D0BEC">
        <w:rPr>
          <w:rFonts w:ascii="Times New Roman" w:hAnsi="Times New Roman"/>
          <w:sz w:val="24"/>
          <w:szCs w:val="24"/>
        </w:rPr>
        <w:t>says he was never told he was under arrest and there was not enough time</w:t>
      </w:r>
      <w:r>
        <w:rPr>
          <w:rFonts w:ascii="Times New Roman" w:hAnsi="Times New Roman"/>
          <w:sz w:val="24"/>
          <w:szCs w:val="24"/>
        </w:rPr>
        <w:t xml:space="preserve"> </w:t>
      </w:r>
      <w:r w:rsidRPr="007D0BEC">
        <w:rPr>
          <w:rFonts w:ascii="Times New Roman" w:hAnsi="Times New Roman"/>
          <w:sz w:val="24"/>
          <w:szCs w:val="24"/>
        </w:rPr>
        <w:t>for him</w:t>
      </w:r>
      <w:r>
        <w:rPr>
          <w:rFonts w:ascii="Times New Roman" w:hAnsi="Times New Roman"/>
          <w:sz w:val="24"/>
          <w:szCs w:val="24"/>
        </w:rPr>
        <w:t xml:space="preserve"> </w:t>
      </w:r>
      <w:r w:rsidRPr="007D0BEC">
        <w:rPr>
          <w:rFonts w:ascii="Times New Roman" w:hAnsi="Times New Roman"/>
          <w:sz w:val="24"/>
          <w:szCs w:val="24"/>
        </w:rPr>
        <w:t>to</w:t>
      </w:r>
      <w:r>
        <w:rPr>
          <w:rFonts w:ascii="Times New Roman" w:hAnsi="Times New Roman"/>
          <w:sz w:val="24"/>
          <w:szCs w:val="24"/>
        </w:rPr>
        <w:t xml:space="preserve"> </w:t>
      </w:r>
      <w:r w:rsidRPr="007D0BEC">
        <w:rPr>
          <w:rFonts w:ascii="Times New Roman" w:hAnsi="Times New Roman"/>
          <w:sz w:val="24"/>
          <w:szCs w:val="24"/>
        </w:rPr>
        <w:t>have</w:t>
      </w:r>
      <w:r>
        <w:rPr>
          <w:rFonts w:ascii="Times New Roman" w:hAnsi="Times New Roman"/>
          <w:sz w:val="24"/>
          <w:szCs w:val="24"/>
        </w:rPr>
        <w:t xml:space="preserve"> </w:t>
      </w:r>
      <w:r w:rsidRPr="007D0BEC">
        <w:rPr>
          <w:rFonts w:ascii="Times New Roman" w:hAnsi="Times New Roman"/>
          <w:sz w:val="24"/>
          <w:szCs w:val="24"/>
        </w:rPr>
        <w:t>resisted</w:t>
      </w:r>
      <w:r>
        <w:rPr>
          <w:rFonts w:ascii="Times New Roman" w:hAnsi="Times New Roman"/>
          <w:sz w:val="24"/>
          <w:szCs w:val="24"/>
        </w:rPr>
        <w:t xml:space="preserve"> </w:t>
      </w:r>
      <w:r w:rsidRPr="007D0BEC">
        <w:rPr>
          <w:rFonts w:ascii="Times New Roman" w:hAnsi="Times New Roman"/>
          <w:sz w:val="24"/>
          <w:szCs w:val="24"/>
        </w:rPr>
        <w:t>the officers</w:t>
      </w:r>
      <w:r>
        <w:rPr>
          <w:rFonts w:ascii="Times New Roman" w:hAnsi="Times New Roman"/>
          <w:sz w:val="24"/>
          <w:szCs w:val="24"/>
        </w:rPr>
        <w:t xml:space="preserve"> </w:t>
      </w:r>
      <w:r w:rsidRPr="007D0BEC">
        <w:rPr>
          <w:rFonts w:ascii="Times New Roman" w:hAnsi="Times New Roman"/>
          <w:sz w:val="24"/>
          <w:szCs w:val="24"/>
        </w:rPr>
        <w:t>as they</w:t>
      </w:r>
      <w:r>
        <w:rPr>
          <w:rFonts w:ascii="Times New Roman" w:hAnsi="Times New Roman"/>
          <w:sz w:val="24"/>
          <w:szCs w:val="24"/>
        </w:rPr>
        <w:t xml:space="preserve"> </w:t>
      </w:r>
      <w:r w:rsidRPr="007D0BEC">
        <w:rPr>
          <w:rFonts w:ascii="Times New Roman" w:hAnsi="Times New Roman"/>
          <w:sz w:val="24"/>
          <w:szCs w:val="24"/>
        </w:rPr>
        <w:t>immediately converged on him upon</w:t>
      </w:r>
      <w:r>
        <w:rPr>
          <w:rFonts w:ascii="Times New Roman" w:hAnsi="Times New Roman"/>
          <w:sz w:val="24"/>
          <w:szCs w:val="24"/>
        </w:rPr>
        <w:t xml:space="preserve"> </w:t>
      </w:r>
      <w:r w:rsidRPr="007D0BEC">
        <w:rPr>
          <w:rFonts w:ascii="Times New Roman" w:hAnsi="Times New Roman"/>
          <w:sz w:val="24"/>
          <w:szCs w:val="24"/>
        </w:rPr>
        <w:t xml:space="preserve">entering the medical area. Berent acknowledges that he did not order Richards to stop before moving in for the arrest; and while Berent stated that he told Richards to </w:t>
      </w:r>
      <w:r>
        <w:rPr>
          <w:rFonts w:ascii="Times New Roman" w:hAnsi="Times New Roman"/>
          <w:sz w:val="24"/>
          <w:szCs w:val="24"/>
        </w:rPr>
        <w:t>‘</w:t>
      </w:r>
      <w:r w:rsidRPr="007D0BEC">
        <w:rPr>
          <w:rFonts w:ascii="Times New Roman" w:hAnsi="Times New Roman"/>
          <w:sz w:val="24"/>
          <w:szCs w:val="24"/>
        </w:rPr>
        <w:t>stop resistin</w:t>
      </w:r>
      <w:r>
        <w:rPr>
          <w:rFonts w:ascii="Times New Roman" w:hAnsi="Times New Roman"/>
          <w:sz w:val="24"/>
          <w:szCs w:val="24"/>
        </w:rPr>
        <w:t>g’</w:t>
      </w:r>
      <w:r w:rsidRPr="007D0BEC">
        <w:rPr>
          <w:rFonts w:ascii="Times New Roman" w:hAnsi="Times New Roman"/>
          <w:sz w:val="24"/>
          <w:szCs w:val="24"/>
        </w:rPr>
        <w:t xml:space="preserve"> several times</w:t>
      </w:r>
      <w:r>
        <w:rPr>
          <w:rFonts w:ascii="Times New Roman" w:hAnsi="Times New Roman"/>
          <w:sz w:val="24"/>
          <w:szCs w:val="24"/>
        </w:rPr>
        <w:t xml:space="preserve"> </w:t>
      </w:r>
      <w:r w:rsidRPr="007D0BEC">
        <w:rPr>
          <w:rFonts w:ascii="Times New Roman" w:hAnsi="Times New Roman"/>
          <w:sz w:val="24"/>
          <w:szCs w:val="24"/>
        </w:rPr>
        <w:t>before the officers took Richards to the ground,</w:t>
      </w:r>
      <w:r>
        <w:rPr>
          <w:rFonts w:ascii="Times New Roman" w:hAnsi="Times New Roman"/>
          <w:sz w:val="24"/>
          <w:szCs w:val="24"/>
        </w:rPr>
        <w:t xml:space="preserve"> </w:t>
      </w:r>
      <w:r w:rsidRPr="007D0BEC">
        <w:rPr>
          <w:rFonts w:ascii="Times New Roman" w:hAnsi="Times New Roman"/>
          <w:sz w:val="24"/>
          <w:szCs w:val="24"/>
        </w:rPr>
        <w:t>Richards denies</w:t>
      </w:r>
      <w:r>
        <w:rPr>
          <w:rFonts w:ascii="Times New Roman" w:hAnsi="Times New Roman"/>
          <w:sz w:val="24"/>
          <w:szCs w:val="24"/>
        </w:rPr>
        <w:t xml:space="preserve"> </w:t>
      </w:r>
      <w:r w:rsidRPr="007D0BEC">
        <w:rPr>
          <w:rFonts w:ascii="Times New Roman" w:hAnsi="Times New Roman"/>
          <w:sz w:val="24"/>
          <w:szCs w:val="24"/>
        </w:rPr>
        <w:t>this fact. Richards further testified that, while he was on the ground, he could not comply with any</w:t>
      </w:r>
      <w:r>
        <w:rPr>
          <w:rFonts w:ascii="Times New Roman" w:hAnsi="Times New Roman"/>
          <w:sz w:val="24"/>
          <w:szCs w:val="24"/>
        </w:rPr>
        <w:t xml:space="preserve"> </w:t>
      </w:r>
      <w:r w:rsidRPr="007D0BEC">
        <w:rPr>
          <w:rFonts w:ascii="Times New Roman" w:hAnsi="Times New Roman"/>
          <w:sz w:val="24"/>
          <w:szCs w:val="24"/>
        </w:rPr>
        <w:t>commands to place his hands behind his back as his arms were pinned beneath him.</w:t>
      </w:r>
      <w:r>
        <w:rPr>
          <w:rFonts w:ascii="Times New Roman" w:hAnsi="Times New Roman"/>
          <w:sz w:val="24"/>
          <w:szCs w:val="24"/>
        </w:rPr>
        <w:t>”</w:t>
      </w:r>
    </w:p>
    <w:p w14:paraId="49ED92AC" w14:textId="77777777" w:rsidR="0020758F" w:rsidRPr="007D0BEC" w:rsidRDefault="0020758F" w:rsidP="0020758F">
      <w:pPr>
        <w:pStyle w:val="NoSpacing"/>
        <w:rPr>
          <w:rFonts w:ascii="Times New Roman" w:hAnsi="Times New Roman"/>
          <w:sz w:val="24"/>
          <w:szCs w:val="24"/>
        </w:rPr>
      </w:pPr>
      <w:hyperlink r:id="rId316" w:history="1">
        <w:r w:rsidRPr="0037669D">
          <w:rPr>
            <w:rStyle w:val="Hyperlink"/>
            <w:rFonts w:ascii="Times New Roman" w:hAnsi="Times New Roman"/>
            <w:sz w:val="24"/>
            <w:szCs w:val="24"/>
          </w:rPr>
          <w:t>https://www.opn.ca6.uscourts.gov/opinions.pdf/20a0374n-06.pdf</w:t>
        </w:r>
      </w:hyperlink>
      <w:r>
        <w:rPr>
          <w:rFonts w:ascii="Times New Roman" w:hAnsi="Times New Roman"/>
          <w:sz w:val="24"/>
          <w:szCs w:val="24"/>
        </w:rPr>
        <w:t xml:space="preserve"> </w:t>
      </w:r>
    </w:p>
    <w:p w14:paraId="71828512" w14:textId="77777777" w:rsidR="0020758F" w:rsidRDefault="0020758F" w:rsidP="0020758F">
      <w:pPr>
        <w:pStyle w:val="NoSpacing"/>
        <w:rPr>
          <w:rFonts w:ascii="Times New Roman" w:hAnsi="Times New Roman"/>
          <w:b/>
          <w:bCs/>
          <w:sz w:val="24"/>
          <w:szCs w:val="24"/>
        </w:rPr>
      </w:pPr>
    </w:p>
    <w:p w14:paraId="04789D8B" w14:textId="30D83553" w:rsidR="0020758F" w:rsidRPr="00355FF4" w:rsidRDefault="0020758F" w:rsidP="0020758F">
      <w:pPr>
        <w:pStyle w:val="NoSpacing"/>
        <w:rPr>
          <w:rFonts w:ascii="Times New Roman" w:hAnsi="Times New Roman"/>
          <w:b/>
          <w:bCs/>
          <w:sz w:val="24"/>
          <w:szCs w:val="24"/>
        </w:rPr>
      </w:pPr>
      <w:r w:rsidRPr="00355FF4">
        <w:rPr>
          <w:rFonts w:ascii="Times New Roman" w:hAnsi="Times New Roman"/>
          <w:b/>
          <w:bCs/>
          <w:sz w:val="24"/>
          <w:szCs w:val="24"/>
        </w:rPr>
        <w:t xml:space="preserve">Legal Lessons Learned: </w:t>
      </w:r>
      <w:r>
        <w:rPr>
          <w:rFonts w:ascii="Times New Roman" w:hAnsi="Times New Roman"/>
          <w:b/>
          <w:bCs/>
          <w:sz w:val="24"/>
          <w:szCs w:val="24"/>
        </w:rPr>
        <w:t xml:space="preserve"> Consider installing video cameras in the football stadium medical office. </w:t>
      </w:r>
    </w:p>
    <w:p w14:paraId="264D746F" w14:textId="77777777" w:rsidR="0020758F" w:rsidRDefault="0020758F" w:rsidP="002B1283">
      <w:pPr>
        <w:rPr>
          <w:rFonts w:ascii="Arial Black" w:hAnsi="Arial Black"/>
          <w:b/>
          <w:sz w:val="24"/>
          <w:szCs w:val="24"/>
        </w:rPr>
      </w:pPr>
    </w:p>
    <w:p w14:paraId="3CB11191" w14:textId="4246C4F7" w:rsidR="0020758F" w:rsidRDefault="0020758F" w:rsidP="002B1283">
      <w:pPr>
        <w:rPr>
          <w:rFonts w:ascii="Arial Black" w:hAnsi="Arial Black"/>
          <w:b/>
          <w:sz w:val="24"/>
          <w:szCs w:val="24"/>
        </w:rPr>
      </w:pPr>
      <w:r>
        <w:rPr>
          <w:rFonts w:ascii="Arial Black" w:hAnsi="Arial Black"/>
          <w:b/>
          <w:sz w:val="24"/>
          <w:szCs w:val="24"/>
        </w:rPr>
        <w:t>1-56</w:t>
      </w:r>
    </w:p>
    <w:p w14:paraId="1BDC48CD" w14:textId="77777777" w:rsidR="0020758F" w:rsidRPr="007C314B" w:rsidRDefault="0020758F" w:rsidP="0020758F">
      <w:pPr>
        <w:pStyle w:val="NoSpacing"/>
      </w:pPr>
      <w:r w:rsidRPr="007C314B">
        <w:rPr>
          <w:rFonts w:ascii="Arial Black" w:hAnsi="Arial Black"/>
          <w:b/>
          <w:bCs/>
          <w:sz w:val="28"/>
          <w:szCs w:val="28"/>
        </w:rPr>
        <w:t>O</w:t>
      </w:r>
      <w:r>
        <w:rPr>
          <w:rFonts w:ascii="Arial Black" w:hAnsi="Arial Black"/>
          <w:b/>
          <w:bCs/>
          <w:sz w:val="28"/>
          <w:szCs w:val="28"/>
        </w:rPr>
        <w:t xml:space="preserve">H: TWO ARSON INVEST. TESTIFIED CAUSE &amp; ORIGIN – STRONG CASE – TRIAL JUDGE ALLOWED TESTIFY WITHOUT FIRST BEING QUALIFIED AS “EXPERT WITNESSES” </w:t>
      </w:r>
      <w:r w:rsidRPr="007C314B">
        <w:t xml:space="preserve"> </w:t>
      </w:r>
    </w:p>
    <w:p w14:paraId="6CE1AAA6" w14:textId="77777777" w:rsidR="0020758F" w:rsidRDefault="0020758F" w:rsidP="0020758F">
      <w:pPr>
        <w:spacing w:before="100" w:beforeAutospacing="1" w:after="100" w:afterAutospacing="1" w:line="240" w:lineRule="auto"/>
        <w:rPr>
          <w:rFonts w:ascii="Times New Roman" w:hAnsi="Times New Roman"/>
          <w:sz w:val="24"/>
          <w:szCs w:val="24"/>
        </w:rPr>
      </w:pPr>
      <w:r w:rsidRPr="007C314B">
        <w:rPr>
          <w:rFonts w:ascii="Times New Roman" w:hAnsi="Times New Roman"/>
          <w:sz w:val="24"/>
          <w:szCs w:val="24"/>
        </w:rPr>
        <w:t xml:space="preserve">On </w:t>
      </w:r>
      <w:r>
        <w:rPr>
          <w:rFonts w:ascii="Times New Roman" w:hAnsi="Times New Roman"/>
          <w:sz w:val="24"/>
          <w:szCs w:val="24"/>
        </w:rPr>
        <w:t xml:space="preserve">June 3, 2020, in </w:t>
      </w:r>
      <w:r w:rsidRPr="007C314B">
        <w:rPr>
          <w:rFonts w:ascii="Times New Roman" w:hAnsi="Times New Roman"/>
          <w:sz w:val="24"/>
          <w:szCs w:val="24"/>
          <w:u w:val="single"/>
        </w:rPr>
        <w:t xml:space="preserve">State of Ohio v. </w:t>
      </w:r>
      <w:proofErr w:type="spellStart"/>
      <w:r w:rsidRPr="007C314B">
        <w:rPr>
          <w:rFonts w:ascii="Times New Roman" w:hAnsi="Times New Roman"/>
          <w:sz w:val="24"/>
          <w:szCs w:val="24"/>
          <w:u w:val="single"/>
        </w:rPr>
        <w:t>Jauvaughn</w:t>
      </w:r>
      <w:proofErr w:type="spellEnd"/>
      <w:r w:rsidRPr="007C314B">
        <w:rPr>
          <w:rFonts w:ascii="Times New Roman" w:hAnsi="Times New Roman"/>
          <w:sz w:val="24"/>
          <w:szCs w:val="24"/>
          <w:u w:val="single"/>
        </w:rPr>
        <w:t xml:space="preserve"> Penn</w:t>
      </w:r>
      <w:r>
        <w:rPr>
          <w:rFonts w:ascii="Times New Roman" w:hAnsi="Times New Roman"/>
          <w:sz w:val="24"/>
          <w:szCs w:val="24"/>
        </w:rPr>
        <w:t xml:space="preserve">, the Court of Appeals Ninth Judicial District (Summit County), 2020 Ohio 3158, held (2 to 1) that defendant’s jury conviction of aggravated arson and burglary was affirmed. </w:t>
      </w:r>
      <w:r w:rsidRPr="00DB083C">
        <w:rPr>
          <w:rFonts w:ascii="Times New Roman" w:hAnsi="Times New Roman"/>
          <w:sz w:val="24"/>
          <w:szCs w:val="24"/>
        </w:rPr>
        <w:t xml:space="preserve">The Court </w:t>
      </w:r>
      <w:r>
        <w:rPr>
          <w:rFonts w:ascii="Times New Roman" w:hAnsi="Times New Roman"/>
          <w:sz w:val="24"/>
          <w:szCs w:val="24"/>
        </w:rPr>
        <w:t xml:space="preserve">of Appeals (2 judge majority) </w:t>
      </w:r>
      <w:r w:rsidRPr="00DB083C">
        <w:rPr>
          <w:rFonts w:ascii="Times New Roman" w:hAnsi="Times New Roman"/>
          <w:sz w:val="24"/>
          <w:szCs w:val="24"/>
        </w:rPr>
        <w:t>focused on the strength of the evidence</w:t>
      </w:r>
      <w:r>
        <w:rPr>
          <w:rFonts w:ascii="Times New Roman" w:hAnsi="Times New Roman"/>
          <w:sz w:val="24"/>
          <w:szCs w:val="24"/>
        </w:rPr>
        <w:t xml:space="preserve"> against the defendant, and concluded trial judge did not abuse his discretion in allowing two Akron fire investigators to testify without being first qualified as experts. “[L]</w:t>
      </w:r>
      <w:r w:rsidRPr="00DB083C">
        <w:rPr>
          <w:rFonts w:ascii="Times New Roman" w:hAnsi="Times New Roman"/>
          <w:sz w:val="24"/>
          <w:szCs w:val="24"/>
        </w:rPr>
        <w:t xml:space="preserve">ay opinion testimony is admissible so long as it is </w:t>
      </w:r>
      <w:r>
        <w:rPr>
          <w:rFonts w:ascii="Times New Roman" w:hAnsi="Times New Roman"/>
          <w:sz w:val="24"/>
          <w:szCs w:val="24"/>
        </w:rPr>
        <w:t>‘</w:t>
      </w:r>
      <w:r w:rsidRPr="00DB083C">
        <w:rPr>
          <w:rFonts w:ascii="Times New Roman" w:hAnsi="Times New Roman"/>
          <w:sz w:val="24"/>
          <w:szCs w:val="24"/>
        </w:rPr>
        <w:t>rationally based on the perception of the witness</w:t>
      </w:r>
      <w:r>
        <w:rPr>
          <w:rFonts w:ascii="Times New Roman" w:hAnsi="Times New Roman"/>
          <w:sz w:val="24"/>
          <w:szCs w:val="24"/>
        </w:rPr>
        <w:t>’</w:t>
      </w:r>
      <w:r w:rsidRPr="00DB083C">
        <w:rPr>
          <w:rFonts w:ascii="Times New Roman" w:hAnsi="Times New Roman"/>
          <w:sz w:val="24"/>
          <w:szCs w:val="24"/>
        </w:rPr>
        <w:t xml:space="preserve"> and </w:t>
      </w:r>
      <w:r>
        <w:rPr>
          <w:rFonts w:ascii="Times New Roman" w:hAnsi="Times New Roman"/>
          <w:sz w:val="24"/>
          <w:szCs w:val="24"/>
        </w:rPr>
        <w:t>‘</w:t>
      </w:r>
      <w:r w:rsidRPr="00DB083C">
        <w:rPr>
          <w:rFonts w:ascii="Times New Roman" w:hAnsi="Times New Roman"/>
          <w:sz w:val="24"/>
          <w:szCs w:val="24"/>
        </w:rPr>
        <w:t>helpful to a clear understanding of [his] testimony or the determination of a fact in issue.</w:t>
      </w:r>
      <w:r>
        <w:rPr>
          <w:rFonts w:ascii="Times New Roman" w:hAnsi="Times New Roman"/>
          <w:sz w:val="24"/>
          <w:szCs w:val="24"/>
        </w:rPr>
        <w:t>’</w:t>
      </w:r>
      <w:r w:rsidRPr="00DB083C">
        <w:rPr>
          <w:rFonts w:ascii="Times New Roman" w:hAnsi="Times New Roman"/>
          <w:sz w:val="24"/>
          <w:szCs w:val="24"/>
        </w:rPr>
        <w:t xml:space="preserve"> </w:t>
      </w:r>
      <w:proofErr w:type="spellStart"/>
      <w:r w:rsidRPr="00DB083C">
        <w:rPr>
          <w:rFonts w:ascii="Times New Roman" w:hAnsi="Times New Roman"/>
          <w:sz w:val="24"/>
          <w:szCs w:val="24"/>
        </w:rPr>
        <w:t>Evid.R</w:t>
      </w:r>
      <w:proofErr w:type="spellEnd"/>
      <w:r w:rsidRPr="00DB083C">
        <w:rPr>
          <w:rFonts w:ascii="Times New Roman" w:hAnsi="Times New Roman"/>
          <w:sz w:val="24"/>
          <w:szCs w:val="24"/>
        </w:rPr>
        <w:t xml:space="preserve">. 701. This Court reviews for an abuse of discretion a trial court's decision to admit lay opinion testimony under </w:t>
      </w:r>
      <w:proofErr w:type="spellStart"/>
      <w:r w:rsidRPr="00DB083C">
        <w:rPr>
          <w:rFonts w:ascii="Times New Roman" w:hAnsi="Times New Roman"/>
          <w:sz w:val="24"/>
          <w:szCs w:val="24"/>
        </w:rPr>
        <w:t>Evid.R</w:t>
      </w:r>
      <w:proofErr w:type="spellEnd"/>
      <w:r w:rsidRPr="00DB083C">
        <w:rPr>
          <w:rFonts w:ascii="Times New Roman" w:hAnsi="Times New Roman"/>
          <w:sz w:val="24"/>
          <w:szCs w:val="24"/>
        </w:rPr>
        <w:t>. 701</w:t>
      </w:r>
      <w:r>
        <w:rPr>
          <w:rFonts w:ascii="Times New Roman" w:hAnsi="Times New Roman"/>
          <w:sz w:val="24"/>
          <w:szCs w:val="24"/>
        </w:rPr>
        <w:t>….</w:t>
      </w:r>
      <w:r w:rsidRPr="00DB083C">
        <w:rPr>
          <w:rFonts w:ascii="Times New Roman" w:hAnsi="Times New Roman"/>
          <w:sz w:val="24"/>
          <w:szCs w:val="24"/>
        </w:rPr>
        <w:t xml:space="preserve"> A trial court may be found to have abused its discretion if it rules in an unreasonable, arbitrary, or unconscionable manner. </w:t>
      </w:r>
      <w:r w:rsidRPr="00DB083C">
        <w:rPr>
          <w:rFonts w:ascii="Times New Roman" w:hAnsi="Times New Roman"/>
          <w:i/>
          <w:iCs/>
          <w:sz w:val="24"/>
          <w:szCs w:val="24"/>
        </w:rPr>
        <w:t>Blakemore</w:t>
      </w:r>
      <w:r w:rsidRPr="00DB083C">
        <w:rPr>
          <w:rFonts w:ascii="Times New Roman" w:hAnsi="Times New Roman"/>
          <w:sz w:val="24"/>
          <w:szCs w:val="24"/>
        </w:rPr>
        <w:t>, 5 Ohio St.3d at 219.</w:t>
      </w:r>
      <w:r>
        <w:rPr>
          <w:rFonts w:ascii="Times New Roman" w:hAnsi="Times New Roman"/>
          <w:sz w:val="24"/>
          <w:szCs w:val="24"/>
        </w:rPr>
        <w:t xml:space="preserve">” </w:t>
      </w:r>
      <w:hyperlink r:id="rId317" w:history="1">
        <w:r w:rsidRPr="00B131BD">
          <w:rPr>
            <w:rStyle w:val="Hyperlink"/>
            <w:rFonts w:ascii="Times New Roman" w:hAnsi="Times New Roman"/>
            <w:sz w:val="24"/>
            <w:szCs w:val="24"/>
          </w:rPr>
          <w:t>https://www.supremecourt.ohio.gov/rod/docs/pdf/9/2020/2020-Ohio-3158.pdf</w:t>
        </w:r>
      </w:hyperlink>
      <w:r>
        <w:rPr>
          <w:rFonts w:ascii="Times New Roman" w:hAnsi="Times New Roman"/>
          <w:sz w:val="24"/>
          <w:szCs w:val="24"/>
        </w:rPr>
        <w:t xml:space="preserve"> </w:t>
      </w:r>
    </w:p>
    <w:p w14:paraId="4B821104" w14:textId="77777777" w:rsidR="0020758F" w:rsidRPr="00955CF2" w:rsidRDefault="0020758F" w:rsidP="0020758F">
      <w:pPr>
        <w:spacing w:before="100" w:beforeAutospacing="1" w:after="100" w:afterAutospacing="1" w:line="240" w:lineRule="auto"/>
        <w:rPr>
          <w:rFonts w:ascii="Times New Roman" w:eastAsia="Times New Roman" w:hAnsi="Times New Roman"/>
          <w:b/>
          <w:bCs/>
          <w:sz w:val="24"/>
          <w:szCs w:val="24"/>
        </w:rPr>
      </w:pPr>
      <w:r w:rsidRPr="00955CF2">
        <w:rPr>
          <w:rFonts w:ascii="Times New Roman" w:eastAsia="Times New Roman" w:hAnsi="Times New Roman"/>
          <w:b/>
          <w:bCs/>
          <w:sz w:val="24"/>
          <w:szCs w:val="24"/>
        </w:rPr>
        <w:t xml:space="preserve">Legal Lessons Learned: </w:t>
      </w:r>
      <w:r>
        <w:rPr>
          <w:rFonts w:ascii="Times New Roman" w:eastAsia="Times New Roman" w:hAnsi="Times New Roman"/>
          <w:b/>
          <w:bCs/>
          <w:sz w:val="24"/>
          <w:szCs w:val="24"/>
        </w:rPr>
        <w:t xml:space="preserve"> Whenever possible, it is best for prosecutors to have the trial court qualify Arson investigators as expert witnesses and provide a written report to the defense prior to trial. </w:t>
      </w:r>
    </w:p>
    <w:p w14:paraId="57D3A5D6" w14:textId="77777777" w:rsidR="0020758F" w:rsidRDefault="0020758F" w:rsidP="0020758F">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ab/>
        <w:t xml:space="preserve">Note: One of three judges on the Court of Appeals wrote a partial dissenting opinion. </w:t>
      </w:r>
    </w:p>
    <w:p w14:paraId="6D8DE558" w14:textId="77777777" w:rsidR="0020758F" w:rsidRPr="00955CF2" w:rsidRDefault="0020758F" w:rsidP="0020758F">
      <w:pPr>
        <w:pStyle w:val="NoSpacing"/>
        <w:ind w:left="720"/>
        <w:rPr>
          <w:rFonts w:ascii="Times New Roman" w:hAnsi="Times New Roman"/>
          <w:sz w:val="24"/>
          <w:szCs w:val="24"/>
        </w:rPr>
      </w:pPr>
      <w:r>
        <w:rPr>
          <w:rFonts w:ascii="Times New Roman" w:hAnsi="Times New Roman"/>
          <w:sz w:val="24"/>
          <w:szCs w:val="24"/>
        </w:rPr>
        <w:t>“</w:t>
      </w:r>
      <w:r w:rsidRPr="00955CF2">
        <w:rPr>
          <w:rFonts w:ascii="Times New Roman" w:hAnsi="Times New Roman"/>
          <w:sz w:val="24"/>
          <w:szCs w:val="24"/>
        </w:rPr>
        <w:t xml:space="preserve">I respectfully dissent </w:t>
      </w:r>
      <w:proofErr w:type="gramStart"/>
      <w:r w:rsidRPr="00955CF2">
        <w:rPr>
          <w:rFonts w:ascii="Times New Roman" w:hAnsi="Times New Roman"/>
          <w:sz w:val="24"/>
          <w:szCs w:val="24"/>
        </w:rPr>
        <w:t>in regard to</w:t>
      </w:r>
      <w:proofErr w:type="gramEnd"/>
      <w:r w:rsidRPr="00955CF2">
        <w:rPr>
          <w:rFonts w:ascii="Times New Roman" w:hAnsi="Times New Roman"/>
          <w:sz w:val="24"/>
          <w:szCs w:val="24"/>
        </w:rPr>
        <w:t xml:space="preserve"> the majority’s resolution of the first assignment of error as I would conclude that the trial court abused its discretion when it permitted Mr. Hoch and Mr. </w:t>
      </w:r>
      <w:proofErr w:type="spellStart"/>
      <w:r w:rsidRPr="00955CF2">
        <w:rPr>
          <w:rFonts w:ascii="Times New Roman" w:hAnsi="Times New Roman"/>
          <w:sz w:val="24"/>
          <w:szCs w:val="24"/>
        </w:rPr>
        <w:t>D’Avello</w:t>
      </w:r>
      <w:proofErr w:type="spellEnd"/>
      <w:r w:rsidRPr="00955CF2">
        <w:rPr>
          <w:rFonts w:ascii="Times New Roman" w:hAnsi="Times New Roman"/>
          <w:sz w:val="24"/>
          <w:szCs w:val="24"/>
        </w:rPr>
        <w:t xml:space="preserve"> to give expert testimony at trial. *** Mr. Hoch and Mr. </w:t>
      </w:r>
      <w:proofErr w:type="spellStart"/>
      <w:r w:rsidRPr="00955CF2">
        <w:rPr>
          <w:rFonts w:ascii="Times New Roman" w:hAnsi="Times New Roman"/>
          <w:sz w:val="24"/>
          <w:szCs w:val="24"/>
        </w:rPr>
        <w:t>D’Avello</w:t>
      </w:r>
      <w:proofErr w:type="spellEnd"/>
      <w:r w:rsidRPr="00955CF2">
        <w:rPr>
          <w:rFonts w:ascii="Times New Roman" w:hAnsi="Times New Roman"/>
          <w:sz w:val="24"/>
          <w:szCs w:val="24"/>
        </w:rPr>
        <w:t xml:space="preserve"> expressed definitive opinions on the origin of the fire. These opinions were largely predicated on an understanding of charring levels and burn patterns on the walls. Testimony regarding the origin of a fire based on analysis of charring levels and burn patterns observed during a visual inspection frequently falls within the purview of expert testimony.</w:t>
      </w:r>
      <w:r>
        <w:rPr>
          <w:rFonts w:ascii="Times New Roman" w:hAnsi="Times New Roman"/>
          <w:sz w:val="24"/>
          <w:szCs w:val="24"/>
        </w:rPr>
        <w:t>”</w:t>
      </w:r>
    </w:p>
    <w:p w14:paraId="65237214" w14:textId="77777777" w:rsidR="0020758F" w:rsidRDefault="0020758F" w:rsidP="002B1283">
      <w:pPr>
        <w:rPr>
          <w:rFonts w:ascii="Arial Black" w:hAnsi="Arial Black"/>
          <w:b/>
          <w:sz w:val="24"/>
          <w:szCs w:val="24"/>
        </w:rPr>
      </w:pPr>
    </w:p>
    <w:p w14:paraId="25D1B26F" w14:textId="77777777" w:rsidR="0020758F" w:rsidRDefault="0020758F" w:rsidP="002B1283">
      <w:pPr>
        <w:rPr>
          <w:rFonts w:ascii="Arial Black" w:hAnsi="Arial Black"/>
          <w:b/>
          <w:sz w:val="24"/>
          <w:szCs w:val="24"/>
        </w:rPr>
      </w:pPr>
    </w:p>
    <w:p w14:paraId="0BE1BEB5" w14:textId="6FFBB167" w:rsidR="00D94DC4" w:rsidRDefault="00D94DC4" w:rsidP="002B1283">
      <w:pPr>
        <w:rPr>
          <w:rFonts w:ascii="Arial Black" w:hAnsi="Arial Black"/>
          <w:b/>
          <w:sz w:val="24"/>
          <w:szCs w:val="24"/>
        </w:rPr>
      </w:pPr>
      <w:r>
        <w:rPr>
          <w:rFonts w:ascii="Arial Black" w:hAnsi="Arial Black"/>
          <w:b/>
          <w:sz w:val="24"/>
          <w:szCs w:val="24"/>
        </w:rPr>
        <w:t>1-55</w:t>
      </w:r>
    </w:p>
    <w:p w14:paraId="1860BF59" w14:textId="77777777" w:rsidR="00D94DC4" w:rsidRPr="00AA035B" w:rsidRDefault="00D94DC4" w:rsidP="00D94DC4">
      <w:pPr>
        <w:spacing w:before="100" w:beforeAutospacing="1" w:after="100" w:afterAutospacing="1" w:line="240" w:lineRule="auto"/>
        <w:jc w:val="both"/>
        <w:rPr>
          <w:rFonts w:ascii="Arial Black" w:eastAsia="Times New Roman" w:hAnsi="Arial Black"/>
          <w:b/>
          <w:bCs/>
          <w:sz w:val="28"/>
          <w:szCs w:val="28"/>
        </w:rPr>
      </w:pPr>
      <w:r w:rsidRPr="00AA035B">
        <w:rPr>
          <w:rFonts w:ascii="Arial Black" w:eastAsia="Times New Roman" w:hAnsi="Arial Black"/>
          <w:b/>
          <w:bCs/>
          <w:sz w:val="28"/>
          <w:szCs w:val="28"/>
        </w:rPr>
        <w:t>NY:</w:t>
      </w:r>
      <w:r>
        <w:rPr>
          <w:rFonts w:ascii="Arial Black" w:eastAsia="Times New Roman" w:hAnsi="Arial Black"/>
          <w:b/>
          <w:bCs/>
          <w:sz w:val="28"/>
          <w:szCs w:val="28"/>
        </w:rPr>
        <w:t xml:space="preserve"> PHOTO OF KNEELING FDNY FIREFIGHTER DURING 911 RECOVERY – PROF. PHTOGRAPHER COPYRIGHTED PHOTO – COMPANY MUST PAY USE ON SWEATSHIRTS, TEE SHIRTS </w:t>
      </w:r>
    </w:p>
    <w:p w14:paraId="5F4C9799" w14:textId="529968FC" w:rsidR="00D94DC4" w:rsidRDefault="00D94DC4" w:rsidP="00D94DC4">
      <w:pPr>
        <w:rPr>
          <w:rFonts w:ascii="Arial Black" w:hAnsi="Arial Black"/>
          <w:b/>
          <w:sz w:val="24"/>
          <w:szCs w:val="24"/>
        </w:rPr>
      </w:pPr>
      <w:r w:rsidRPr="00A83726">
        <w:rPr>
          <w:rFonts w:ascii="Times New Roman" w:hAnsi="Times New Roman"/>
          <w:sz w:val="24"/>
          <w:szCs w:val="24"/>
        </w:rPr>
        <w:t xml:space="preserve">On May 28, 2020, in </w:t>
      </w:r>
      <w:r w:rsidRPr="00A83726">
        <w:rPr>
          <w:rFonts w:ascii="Times New Roman" w:hAnsi="Times New Roman"/>
          <w:sz w:val="24"/>
          <w:szCs w:val="24"/>
          <w:u w:val="single"/>
        </w:rPr>
        <w:t>Matthew McDermott v. NYFirestore.com, Inc</w:t>
      </w:r>
      <w:r w:rsidRPr="00A83726">
        <w:rPr>
          <w:rFonts w:ascii="Times New Roman" w:hAnsi="Times New Roman"/>
          <w:sz w:val="24"/>
          <w:szCs w:val="24"/>
        </w:rPr>
        <w:t>., U.S. District Court judge Alison J. Nathan</w:t>
      </w:r>
      <w:r>
        <w:rPr>
          <w:rFonts w:ascii="Times New Roman" w:hAnsi="Times New Roman"/>
          <w:sz w:val="24"/>
          <w:szCs w:val="24"/>
        </w:rPr>
        <w:t>, Southern District of New York,</w:t>
      </w:r>
      <w:r w:rsidRPr="00A83726">
        <w:rPr>
          <w:rFonts w:ascii="Times New Roman" w:hAnsi="Times New Roman"/>
          <w:sz w:val="24"/>
          <w:szCs w:val="24"/>
        </w:rPr>
        <w:t xml:space="preserve"> held that the plaintiff, a professional photographer, has </w:t>
      </w:r>
      <w:r>
        <w:rPr>
          <w:rFonts w:ascii="Times New Roman" w:hAnsi="Times New Roman"/>
          <w:sz w:val="24"/>
          <w:szCs w:val="24"/>
        </w:rPr>
        <w:t xml:space="preserve">provided the Court with the photograph’s Certificate of Registration, </w:t>
      </w:r>
      <w:r w:rsidRPr="00A83726">
        <w:rPr>
          <w:rFonts w:ascii="Times New Roman" w:hAnsi="Times New Roman"/>
          <w:sz w:val="24"/>
          <w:szCs w:val="24"/>
        </w:rPr>
        <w:t xml:space="preserve">and is granted a default judgment for liability against </w:t>
      </w:r>
      <w:proofErr w:type="spellStart"/>
      <w:r w:rsidRPr="00A83726">
        <w:rPr>
          <w:rFonts w:ascii="Times New Roman" w:hAnsi="Times New Roman"/>
          <w:sz w:val="24"/>
          <w:szCs w:val="24"/>
        </w:rPr>
        <w:t>NYFirestore</w:t>
      </w:r>
      <w:proofErr w:type="spellEnd"/>
      <w:r w:rsidRPr="00A83726">
        <w:rPr>
          <w:rFonts w:ascii="Times New Roman" w:hAnsi="Times New Roman"/>
          <w:sz w:val="24"/>
          <w:szCs w:val="24"/>
        </w:rPr>
        <w:t xml:space="preserve"> company for </w:t>
      </w:r>
      <w:r>
        <w:rPr>
          <w:rFonts w:ascii="Times New Roman" w:hAnsi="Times New Roman"/>
          <w:sz w:val="24"/>
          <w:szCs w:val="24"/>
        </w:rPr>
        <w:t xml:space="preserve">unauthorized use of </w:t>
      </w:r>
      <w:r w:rsidRPr="00A83726">
        <w:rPr>
          <w:rFonts w:ascii="Times New Roman" w:hAnsi="Times New Roman"/>
          <w:sz w:val="24"/>
          <w:szCs w:val="24"/>
        </w:rPr>
        <w:t xml:space="preserve">the photo on sweatshirts, tee shirts and throw blankets.   Plaintiff seeks $20,000 in actual damages; </w:t>
      </w:r>
      <w:r>
        <w:rPr>
          <w:rFonts w:ascii="Times New Roman" w:hAnsi="Times New Roman"/>
          <w:sz w:val="24"/>
          <w:szCs w:val="24"/>
        </w:rPr>
        <w:t xml:space="preserve">under the </w:t>
      </w:r>
      <w:r w:rsidRPr="00B0015B">
        <w:rPr>
          <w:rFonts w:ascii="Times New Roman" w:eastAsia="Times New Roman" w:hAnsi="Times New Roman"/>
          <w:sz w:val="24"/>
          <w:szCs w:val="24"/>
        </w:rPr>
        <w:t>Digital Millennium Copyright Act</w:t>
      </w:r>
      <w:r>
        <w:rPr>
          <w:rFonts w:ascii="Times New Roman" w:eastAsia="Times New Roman" w:hAnsi="Times New Roman"/>
          <w:sz w:val="24"/>
          <w:szCs w:val="24"/>
        </w:rPr>
        <w:t xml:space="preserve"> the photographer must now show he placed a digital watermark or other “</w:t>
      </w:r>
      <w:r w:rsidRPr="00B0015B">
        <w:rPr>
          <w:rFonts w:ascii="Times New Roman" w:eastAsia="Times New Roman" w:hAnsi="Times New Roman"/>
          <w:sz w:val="24"/>
          <w:szCs w:val="24"/>
        </w:rPr>
        <w:t>copyright management informatio</w:t>
      </w:r>
      <w:r>
        <w:rPr>
          <w:rFonts w:ascii="Times New Roman" w:eastAsia="Times New Roman" w:hAnsi="Times New Roman"/>
          <w:sz w:val="24"/>
          <w:szCs w:val="24"/>
        </w:rPr>
        <w:t xml:space="preserve">n” on the photo; </w:t>
      </w:r>
      <w:r w:rsidRPr="00A83726">
        <w:rPr>
          <w:rFonts w:ascii="Times New Roman" w:hAnsi="Times New Roman"/>
          <w:sz w:val="24"/>
          <w:szCs w:val="24"/>
        </w:rPr>
        <w:t>has 30 days to file motion for damages and attorney fees</w:t>
      </w:r>
      <w:r>
        <w:rPr>
          <w:rFonts w:ascii="Times New Roman" w:hAnsi="Times New Roman"/>
          <w:sz w:val="24"/>
          <w:szCs w:val="24"/>
        </w:rPr>
        <w:t>,</w:t>
      </w:r>
      <w:r w:rsidRPr="00A83726">
        <w:rPr>
          <w:rFonts w:ascii="Times New Roman" w:hAnsi="Times New Roman"/>
          <w:sz w:val="24"/>
          <w:szCs w:val="24"/>
        </w:rPr>
        <w:t xml:space="preserve"> with evidence of licensing fees he has charged </w:t>
      </w:r>
      <w:r>
        <w:rPr>
          <w:rFonts w:ascii="Times New Roman" w:hAnsi="Times New Roman"/>
          <w:sz w:val="24"/>
          <w:szCs w:val="24"/>
        </w:rPr>
        <w:t xml:space="preserve">others </w:t>
      </w:r>
      <w:r w:rsidRPr="00A83726">
        <w:rPr>
          <w:rFonts w:ascii="Times New Roman" w:hAnsi="Times New Roman"/>
          <w:sz w:val="24"/>
          <w:szCs w:val="24"/>
        </w:rPr>
        <w:t xml:space="preserve">for use of his photos. </w:t>
      </w:r>
      <w:hyperlink r:id="rId318" w:history="1">
        <w:r w:rsidRPr="00A83726">
          <w:rPr>
            <w:rStyle w:val="Hyperlink"/>
            <w:sz w:val="24"/>
            <w:szCs w:val="24"/>
          </w:rPr>
          <w:t>https://public.fastcase.com/Wl%2B2t%2BeVuI35%2FN70vAMFZgQb9URzc30c5cCnjaV%2BywxWbGQAvCbjQKWk6ixjSD1I</w:t>
        </w:r>
      </w:hyperlink>
    </w:p>
    <w:p w14:paraId="5B9F9095" w14:textId="77777777" w:rsidR="00D94DC4" w:rsidRDefault="00D94DC4" w:rsidP="00D94DC4">
      <w:pPr>
        <w:spacing w:after="100" w:line="240" w:lineRule="auto"/>
        <w:jc w:val="both"/>
        <w:rPr>
          <w:rFonts w:ascii="Times New Roman" w:hAnsi="Times New Roman"/>
          <w:b/>
          <w:bCs/>
          <w:sz w:val="24"/>
          <w:szCs w:val="24"/>
        </w:rPr>
      </w:pPr>
      <w:r w:rsidRPr="00B0015B">
        <w:rPr>
          <w:rFonts w:ascii="Times New Roman" w:hAnsi="Times New Roman"/>
          <w:b/>
          <w:bCs/>
          <w:sz w:val="24"/>
          <w:szCs w:val="24"/>
        </w:rPr>
        <w:t>Legal Lessons Learned:</w:t>
      </w:r>
      <w:r>
        <w:rPr>
          <w:rFonts w:ascii="Times New Roman" w:hAnsi="Times New Roman"/>
          <w:b/>
          <w:bCs/>
          <w:sz w:val="24"/>
          <w:szCs w:val="24"/>
        </w:rPr>
        <w:t xml:space="preserve"> </w:t>
      </w:r>
      <w:proofErr w:type="gramStart"/>
      <w:r>
        <w:rPr>
          <w:rFonts w:ascii="Times New Roman" w:hAnsi="Times New Roman"/>
          <w:b/>
          <w:bCs/>
          <w:sz w:val="24"/>
          <w:szCs w:val="24"/>
        </w:rPr>
        <w:t>In order to</w:t>
      </w:r>
      <w:proofErr w:type="gramEnd"/>
      <w:r>
        <w:rPr>
          <w:rFonts w:ascii="Times New Roman" w:hAnsi="Times New Roman"/>
          <w:b/>
          <w:bCs/>
          <w:sz w:val="24"/>
          <w:szCs w:val="24"/>
        </w:rPr>
        <w:t xml:space="preserve"> help protect copyrighted photos, add a copyright watermark pattern to the photo.  </w:t>
      </w:r>
    </w:p>
    <w:p w14:paraId="137A8850" w14:textId="77777777" w:rsidR="00D94DC4" w:rsidRDefault="00D94DC4" w:rsidP="00D94DC4">
      <w:pPr>
        <w:pStyle w:val="Heading1"/>
        <w:ind w:left="720"/>
        <w:jc w:val="both"/>
        <w:rPr>
          <w:b w:val="0"/>
          <w:bCs w:val="0"/>
          <w:sz w:val="24"/>
          <w:szCs w:val="24"/>
        </w:rPr>
      </w:pPr>
      <w:r w:rsidRPr="00B0015B">
        <w:rPr>
          <w:b w:val="0"/>
          <w:bCs w:val="0"/>
          <w:sz w:val="24"/>
          <w:szCs w:val="24"/>
        </w:rPr>
        <w:t xml:space="preserve">Note: See this article, “Add A Copyright Watermark Pattern </w:t>
      </w:r>
      <w:proofErr w:type="gramStart"/>
      <w:r w:rsidRPr="00B0015B">
        <w:rPr>
          <w:b w:val="0"/>
          <w:bCs w:val="0"/>
          <w:sz w:val="24"/>
          <w:szCs w:val="24"/>
        </w:rPr>
        <w:t>To</w:t>
      </w:r>
      <w:proofErr w:type="gramEnd"/>
      <w:r w:rsidRPr="00B0015B">
        <w:rPr>
          <w:b w:val="0"/>
          <w:bCs w:val="0"/>
          <w:sz w:val="24"/>
          <w:szCs w:val="24"/>
        </w:rPr>
        <w:t xml:space="preserve"> </w:t>
      </w:r>
      <w:proofErr w:type="gramStart"/>
      <w:r w:rsidRPr="00B0015B">
        <w:rPr>
          <w:b w:val="0"/>
          <w:bCs w:val="0"/>
          <w:sz w:val="24"/>
          <w:szCs w:val="24"/>
        </w:rPr>
        <w:t>A</w:t>
      </w:r>
      <w:proofErr w:type="gramEnd"/>
      <w:r w:rsidRPr="00B0015B">
        <w:rPr>
          <w:b w:val="0"/>
          <w:bCs w:val="0"/>
          <w:sz w:val="24"/>
          <w:szCs w:val="24"/>
        </w:rPr>
        <w:t xml:space="preserve"> Photo </w:t>
      </w:r>
      <w:proofErr w:type="gramStart"/>
      <w:r w:rsidRPr="00B0015B">
        <w:rPr>
          <w:b w:val="0"/>
          <w:bCs w:val="0"/>
          <w:sz w:val="24"/>
          <w:szCs w:val="24"/>
        </w:rPr>
        <w:t>With</w:t>
      </w:r>
      <w:proofErr w:type="gramEnd"/>
      <w:r w:rsidRPr="00B0015B">
        <w:rPr>
          <w:b w:val="0"/>
          <w:bCs w:val="0"/>
          <w:sz w:val="24"/>
          <w:szCs w:val="24"/>
        </w:rPr>
        <w:t xml:space="preserve"> Photoshop,” </w:t>
      </w:r>
      <w:hyperlink r:id="rId319" w:history="1">
        <w:r w:rsidRPr="00931365">
          <w:rPr>
            <w:rStyle w:val="Hyperlink"/>
            <w:sz w:val="24"/>
            <w:szCs w:val="24"/>
          </w:rPr>
          <w:t>https://www.photoshopessentials.com/photo-effects/copyright/</w:t>
        </w:r>
      </w:hyperlink>
      <w:r w:rsidRPr="00B0015B">
        <w:rPr>
          <w:b w:val="0"/>
          <w:bCs w:val="0"/>
          <w:sz w:val="24"/>
          <w:szCs w:val="24"/>
        </w:rPr>
        <w:t xml:space="preserve"> </w:t>
      </w:r>
    </w:p>
    <w:p w14:paraId="22EA6C85" w14:textId="77777777" w:rsidR="00D94DC4" w:rsidRDefault="00D94DC4" w:rsidP="002B1283">
      <w:pPr>
        <w:rPr>
          <w:rFonts w:ascii="Arial Black" w:hAnsi="Arial Black"/>
          <w:b/>
          <w:sz w:val="24"/>
          <w:szCs w:val="24"/>
        </w:rPr>
      </w:pPr>
    </w:p>
    <w:p w14:paraId="40B34CC8" w14:textId="6E5DE36B" w:rsidR="00D94DC4" w:rsidRDefault="00D94DC4" w:rsidP="002B1283">
      <w:pPr>
        <w:rPr>
          <w:rFonts w:ascii="Arial Black" w:hAnsi="Arial Black"/>
          <w:b/>
          <w:sz w:val="24"/>
          <w:szCs w:val="24"/>
        </w:rPr>
      </w:pPr>
      <w:r>
        <w:rPr>
          <w:rFonts w:ascii="Arial Black" w:hAnsi="Arial Black"/>
          <w:b/>
          <w:sz w:val="24"/>
          <w:szCs w:val="24"/>
        </w:rPr>
        <w:t>1-54</w:t>
      </w:r>
    </w:p>
    <w:p w14:paraId="662F2BA4" w14:textId="77777777" w:rsidR="00D94DC4" w:rsidRDefault="00D94DC4" w:rsidP="00D94DC4">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OR: FALSE 9-1-1 CALLS – FOUR CALLS, FEMALE DEF. CLAIMED ANOTHER FEMALE WAS REPEATEDLY STALKING HER – “SCREENSHOTS” GOOGLE MAPS PROVED SHE LIED</w:t>
      </w:r>
    </w:p>
    <w:p w14:paraId="3AAA2D50" w14:textId="77777777" w:rsidR="00D94DC4" w:rsidRDefault="00D94DC4" w:rsidP="00D94DC4">
      <w:pPr>
        <w:spacing w:after="0" w:line="240" w:lineRule="auto"/>
        <w:rPr>
          <w:rFonts w:ascii="Times New Roman" w:eastAsia="Times New Roman" w:hAnsi="Times New Roman"/>
          <w:sz w:val="27"/>
          <w:szCs w:val="27"/>
        </w:rPr>
      </w:pPr>
      <w:r w:rsidRPr="00B41A2A">
        <w:rPr>
          <w:rFonts w:ascii="Times New Roman" w:eastAsia="Times New Roman" w:hAnsi="Times New Roman"/>
          <w:sz w:val="24"/>
          <w:szCs w:val="24"/>
        </w:rPr>
        <w:t xml:space="preserve">On May 28, 2020, in </w:t>
      </w:r>
      <w:r w:rsidRPr="00B41A2A">
        <w:rPr>
          <w:rFonts w:ascii="Times New Roman" w:eastAsia="Times New Roman" w:hAnsi="Times New Roman"/>
          <w:sz w:val="24"/>
          <w:szCs w:val="24"/>
          <w:u w:val="single"/>
        </w:rPr>
        <w:t>State of Oregon v. H.D.E</w:t>
      </w:r>
      <w:r w:rsidRPr="00B41A2A">
        <w:rPr>
          <w:rFonts w:ascii="Times New Roman" w:eastAsia="Times New Roman" w:hAnsi="Times New Roman"/>
          <w:sz w:val="24"/>
          <w:szCs w:val="24"/>
        </w:rPr>
        <w:t>., 304 Or App 375, the Court of Appeals of the State of Oregon held (3 to 0) upheld her convictions, holding that trial judge properly allowed the screenshots into evidence, and State proved that claims by defendant that Ms. Garcia was stalking her were false.</w:t>
      </w:r>
      <w:r>
        <w:rPr>
          <w:rFonts w:ascii="On Times New Roman" w:eastAsia="Times New Roman" w:hAnsi="On Times New Roman"/>
          <w:sz w:val="24"/>
          <w:szCs w:val="24"/>
        </w:rPr>
        <w:t xml:space="preserve">  </w:t>
      </w:r>
      <w:hyperlink r:id="rId320" w:history="1">
        <w:r w:rsidRPr="003826A8">
          <w:rPr>
            <w:rStyle w:val="Hyperlink"/>
            <w:sz w:val="27"/>
            <w:szCs w:val="27"/>
          </w:rPr>
          <w:t>https://cdm17027.contentdm.oclc.org/digital/collection/p17027coll5/id/26716/rec/1</w:t>
        </w:r>
      </w:hyperlink>
      <w:r>
        <w:rPr>
          <w:rFonts w:ascii="Times New Roman" w:eastAsia="Times New Roman" w:hAnsi="Times New Roman"/>
          <w:sz w:val="27"/>
          <w:szCs w:val="27"/>
        </w:rPr>
        <w:t xml:space="preserve"> </w:t>
      </w:r>
    </w:p>
    <w:p w14:paraId="47AF9288" w14:textId="77777777" w:rsidR="00ED66A0" w:rsidRDefault="00ED66A0" w:rsidP="00D94DC4">
      <w:pPr>
        <w:spacing w:after="0" w:line="240" w:lineRule="auto"/>
        <w:jc w:val="both"/>
        <w:rPr>
          <w:rFonts w:ascii="Times New Roman" w:eastAsia="Times New Roman" w:hAnsi="Times New Roman"/>
          <w:b/>
          <w:bCs/>
          <w:sz w:val="24"/>
          <w:szCs w:val="24"/>
        </w:rPr>
      </w:pPr>
    </w:p>
    <w:p w14:paraId="18D8D20C" w14:textId="510BAB18" w:rsidR="00D94DC4" w:rsidRDefault="00D94DC4" w:rsidP="00D94DC4">
      <w:pPr>
        <w:spacing w:after="0" w:line="240" w:lineRule="auto"/>
        <w:jc w:val="both"/>
        <w:rPr>
          <w:rFonts w:ascii="Times New Roman" w:eastAsia="Times New Roman" w:hAnsi="Times New Roman"/>
          <w:b/>
          <w:bCs/>
          <w:sz w:val="24"/>
          <w:szCs w:val="24"/>
        </w:rPr>
      </w:pPr>
      <w:r w:rsidRPr="00585AB9">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New technology, such as cell phone screenshots, can be powerful proof in a trial. </w:t>
      </w:r>
    </w:p>
    <w:p w14:paraId="2A6B01C2" w14:textId="77777777" w:rsidR="00D94DC4" w:rsidRDefault="00D94DC4" w:rsidP="002B1283">
      <w:pPr>
        <w:rPr>
          <w:rFonts w:ascii="Arial Black" w:hAnsi="Arial Black"/>
          <w:b/>
          <w:sz w:val="24"/>
          <w:szCs w:val="24"/>
        </w:rPr>
      </w:pPr>
    </w:p>
    <w:p w14:paraId="3297C883" w14:textId="77777777" w:rsidR="00D94DC4" w:rsidRDefault="00D94DC4" w:rsidP="002B1283">
      <w:pPr>
        <w:rPr>
          <w:rFonts w:ascii="Arial Black" w:hAnsi="Arial Black"/>
          <w:b/>
          <w:sz w:val="24"/>
          <w:szCs w:val="24"/>
        </w:rPr>
      </w:pPr>
    </w:p>
    <w:p w14:paraId="4528C55A" w14:textId="77777777" w:rsidR="00D94DC4" w:rsidRDefault="00D94DC4" w:rsidP="002B1283">
      <w:pPr>
        <w:rPr>
          <w:rFonts w:ascii="Arial Black" w:hAnsi="Arial Black"/>
          <w:b/>
          <w:sz w:val="24"/>
          <w:szCs w:val="24"/>
        </w:rPr>
      </w:pPr>
    </w:p>
    <w:p w14:paraId="2A667339" w14:textId="03F4107A" w:rsidR="00D94DC4" w:rsidRDefault="00D94DC4" w:rsidP="002B1283">
      <w:pPr>
        <w:rPr>
          <w:rFonts w:ascii="Arial Black" w:hAnsi="Arial Black"/>
          <w:b/>
          <w:sz w:val="24"/>
          <w:szCs w:val="24"/>
        </w:rPr>
      </w:pPr>
      <w:r>
        <w:rPr>
          <w:rFonts w:ascii="Arial Black" w:hAnsi="Arial Black"/>
          <w:b/>
          <w:sz w:val="24"/>
          <w:szCs w:val="24"/>
        </w:rPr>
        <w:t>1-53</w:t>
      </w:r>
    </w:p>
    <w:p w14:paraId="14270DF9" w14:textId="77777777" w:rsidR="00D94DC4" w:rsidRDefault="00D94DC4" w:rsidP="00D94DC4">
      <w:pPr>
        <w:spacing w:before="100" w:beforeAutospacing="1" w:after="100" w:afterAutospacing="1" w:line="240" w:lineRule="auto"/>
        <w:jc w:val="both"/>
        <w:rPr>
          <w:rFonts w:ascii="Arial Black" w:eastAsia="Times New Roman" w:hAnsi="Arial Black"/>
          <w:b/>
          <w:bCs/>
          <w:sz w:val="28"/>
          <w:szCs w:val="28"/>
        </w:rPr>
      </w:pPr>
      <w:r w:rsidRPr="00FC7706">
        <w:rPr>
          <w:rFonts w:ascii="Arial Black" w:eastAsia="Times New Roman" w:hAnsi="Arial Black"/>
          <w:b/>
          <w:bCs/>
          <w:sz w:val="28"/>
          <w:szCs w:val="28"/>
        </w:rPr>
        <w:lastRenderedPageBreak/>
        <w:t xml:space="preserve">IA: </w:t>
      </w:r>
      <w:r>
        <w:rPr>
          <w:rFonts w:ascii="Arial Black" w:eastAsia="Times New Roman" w:hAnsi="Arial Black"/>
          <w:b/>
          <w:bCs/>
          <w:sz w:val="28"/>
          <w:szCs w:val="28"/>
        </w:rPr>
        <w:t>FF ARSONIST – SEARCH WARRANTS GPS TRACKER / CELL PHONE LOCATIONS – PLEA DEAL, COOPERATE, NO OTHER CHARGES - BUT INDICTED 4 MORE ARSONS, DISMISSED</w:t>
      </w:r>
    </w:p>
    <w:p w14:paraId="394FBFC8" w14:textId="77777777" w:rsidR="00D94DC4" w:rsidRDefault="00D94DC4" w:rsidP="00D94DC4">
      <w:pPr>
        <w:spacing w:before="100" w:beforeAutospacing="1" w:after="100" w:afterAutospacing="1" w:line="240" w:lineRule="auto"/>
        <w:rPr>
          <w:rFonts w:ascii="Times New Roman" w:hAnsi="Times New Roman"/>
          <w:sz w:val="24"/>
          <w:szCs w:val="24"/>
        </w:rPr>
      </w:pPr>
      <w:r w:rsidRPr="00F77985">
        <w:rPr>
          <w:rFonts w:ascii="Times New Roman" w:hAnsi="Times New Roman"/>
          <w:sz w:val="24"/>
          <w:szCs w:val="24"/>
        </w:rPr>
        <w:t xml:space="preserve">On May 15, 2020, in </w:t>
      </w:r>
      <w:r w:rsidRPr="00F77985">
        <w:rPr>
          <w:rFonts w:ascii="Times New Roman" w:hAnsi="Times New Roman"/>
          <w:sz w:val="24"/>
          <w:szCs w:val="24"/>
          <w:u w:val="single"/>
        </w:rPr>
        <w:t>State of Iowa v. Chance Ryan Beres</w:t>
      </w:r>
      <w:r>
        <w:rPr>
          <w:rFonts w:ascii="Times New Roman" w:hAnsi="Times New Roman"/>
          <w:sz w:val="24"/>
          <w:szCs w:val="24"/>
        </w:rPr>
        <w:t xml:space="preserve">, the Iowa Supreme Court held (7 to 0) that the State is bound by its plea </w:t>
      </w:r>
      <w:proofErr w:type="gramStart"/>
      <w:r>
        <w:rPr>
          <w:rFonts w:ascii="Times New Roman" w:hAnsi="Times New Roman"/>
          <w:sz w:val="24"/>
          <w:szCs w:val="24"/>
        </w:rPr>
        <w:t>agreement, and</w:t>
      </w:r>
      <w:proofErr w:type="gramEnd"/>
      <w:r>
        <w:rPr>
          <w:rFonts w:ascii="Times New Roman" w:hAnsi="Times New Roman"/>
          <w:sz w:val="24"/>
          <w:szCs w:val="24"/>
        </w:rPr>
        <w:t xml:space="preserve"> cannot bring four additional arson charges. </w:t>
      </w:r>
      <w:hyperlink r:id="rId321" w:history="1">
        <w:r w:rsidRPr="00250842">
          <w:rPr>
            <w:rStyle w:val="Hyperlink"/>
            <w:sz w:val="24"/>
            <w:szCs w:val="24"/>
          </w:rPr>
          <w:t>https://www.iowacourts.gov/courtcases/9747/embed/SupremeCourtOpinion</w:t>
        </w:r>
      </w:hyperlink>
      <w:r>
        <w:rPr>
          <w:rFonts w:ascii="Times New Roman" w:hAnsi="Times New Roman"/>
          <w:sz w:val="24"/>
          <w:szCs w:val="24"/>
        </w:rPr>
        <w:t xml:space="preserve"> </w:t>
      </w:r>
    </w:p>
    <w:p w14:paraId="78B1AED6" w14:textId="77777777" w:rsidR="00D94DC4" w:rsidRPr="00F77985" w:rsidRDefault="00D94DC4" w:rsidP="00D94DC4">
      <w:pPr>
        <w:spacing w:before="100" w:beforeAutospacing="1" w:after="100" w:afterAutospacing="1" w:line="240" w:lineRule="auto"/>
        <w:jc w:val="both"/>
        <w:rPr>
          <w:rFonts w:ascii="Times New Roman" w:hAnsi="Times New Roman"/>
          <w:b/>
          <w:bCs/>
          <w:sz w:val="24"/>
          <w:szCs w:val="24"/>
        </w:rPr>
      </w:pPr>
      <w:r w:rsidRPr="00F77985">
        <w:rPr>
          <w:rFonts w:ascii="Times New Roman" w:hAnsi="Times New Roman"/>
          <w:b/>
          <w:bCs/>
          <w:sz w:val="24"/>
          <w:szCs w:val="24"/>
        </w:rPr>
        <w:t>Legal Lessons Learned:</w:t>
      </w:r>
      <w:r>
        <w:rPr>
          <w:rFonts w:ascii="Times New Roman" w:hAnsi="Times New Roman"/>
          <w:b/>
          <w:bCs/>
          <w:sz w:val="24"/>
          <w:szCs w:val="24"/>
        </w:rPr>
        <w:t xml:space="preserve"> Prosecutors should not agree to a plea agreement until the defendant has been thoroughly interviewed, </w:t>
      </w:r>
      <w:proofErr w:type="gramStart"/>
      <w:r>
        <w:rPr>
          <w:rFonts w:ascii="Times New Roman" w:hAnsi="Times New Roman"/>
          <w:b/>
          <w:bCs/>
          <w:sz w:val="24"/>
          <w:szCs w:val="24"/>
        </w:rPr>
        <w:t>and also</w:t>
      </w:r>
      <w:proofErr w:type="gramEnd"/>
      <w:r>
        <w:rPr>
          <w:rFonts w:ascii="Times New Roman" w:hAnsi="Times New Roman"/>
          <w:b/>
          <w:bCs/>
          <w:sz w:val="24"/>
          <w:szCs w:val="24"/>
        </w:rPr>
        <w:t xml:space="preserve"> given a complete, written statement about all his arsons.</w:t>
      </w:r>
    </w:p>
    <w:p w14:paraId="59080C2D" w14:textId="77777777" w:rsidR="00D94DC4" w:rsidRDefault="00D94DC4" w:rsidP="002B1283">
      <w:pPr>
        <w:rPr>
          <w:rFonts w:ascii="Arial Black" w:hAnsi="Arial Black"/>
          <w:b/>
          <w:sz w:val="24"/>
          <w:szCs w:val="24"/>
        </w:rPr>
      </w:pPr>
    </w:p>
    <w:p w14:paraId="28F4E453" w14:textId="77777777" w:rsidR="00D94DC4" w:rsidRDefault="00D94DC4" w:rsidP="002B1283">
      <w:pPr>
        <w:rPr>
          <w:rFonts w:ascii="Arial Black" w:hAnsi="Arial Black"/>
          <w:b/>
          <w:sz w:val="24"/>
          <w:szCs w:val="24"/>
        </w:rPr>
      </w:pPr>
    </w:p>
    <w:p w14:paraId="5DE8CC03" w14:textId="24C80858" w:rsidR="00D94DC4" w:rsidRDefault="00D94DC4" w:rsidP="002B1283">
      <w:pPr>
        <w:rPr>
          <w:rFonts w:ascii="Arial Black" w:hAnsi="Arial Black"/>
          <w:b/>
          <w:sz w:val="24"/>
          <w:szCs w:val="24"/>
        </w:rPr>
      </w:pPr>
      <w:r>
        <w:rPr>
          <w:rFonts w:ascii="Arial Black" w:hAnsi="Arial Black"/>
          <w:b/>
          <w:sz w:val="24"/>
          <w:szCs w:val="24"/>
        </w:rPr>
        <w:t>1-52</w:t>
      </w:r>
    </w:p>
    <w:p w14:paraId="7223CCAC" w14:textId="77777777" w:rsidR="00D94DC4" w:rsidRPr="005B2EA2" w:rsidRDefault="00D94DC4" w:rsidP="00D94DC4">
      <w:pPr>
        <w:spacing w:before="100" w:beforeAutospacing="1" w:after="100" w:afterAutospacing="1" w:line="240" w:lineRule="auto"/>
        <w:rPr>
          <w:rFonts w:ascii="Arial Black" w:eastAsia="Times New Roman" w:hAnsi="Arial Black"/>
          <w:b/>
          <w:bCs/>
          <w:sz w:val="28"/>
          <w:szCs w:val="28"/>
        </w:rPr>
      </w:pPr>
      <w:bookmarkStart w:id="20" w:name="_Hlk69187208"/>
      <w:r w:rsidRPr="005B2EA2">
        <w:rPr>
          <w:rFonts w:ascii="Arial Black" w:eastAsia="Times New Roman" w:hAnsi="Arial Black"/>
          <w:b/>
          <w:bCs/>
          <w:sz w:val="28"/>
          <w:szCs w:val="28"/>
        </w:rPr>
        <w:t>KS:</w:t>
      </w:r>
      <w:r>
        <w:rPr>
          <w:rFonts w:ascii="Arial Black" w:eastAsia="Times New Roman" w:hAnsi="Arial Black"/>
          <w:b/>
          <w:bCs/>
          <w:sz w:val="28"/>
          <w:szCs w:val="28"/>
        </w:rPr>
        <w:t xml:space="preserve"> ARSON - 71-YR-OLD WOMAN, HOUSE FORECLOSURE – ARSON INVESTIGATOR INTERVIEWED HER 2-HOURS IN HOSPITAL – MIRANDA WARNING NOT REQUIRED, NOT IN CUSTODY</w:t>
      </w:r>
    </w:p>
    <w:bookmarkEnd w:id="20"/>
    <w:p w14:paraId="626FCB9B" w14:textId="77777777" w:rsidR="00D94DC4" w:rsidRDefault="00D94DC4" w:rsidP="00D94DC4">
      <w:pPr>
        <w:spacing w:before="100" w:beforeAutospacing="1" w:after="100" w:afterAutospacing="1" w:line="240" w:lineRule="auto"/>
        <w:rPr>
          <w:rFonts w:ascii="Times New Roman" w:hAnsi="Times New Roman"/>
          <w:sz w:val="24"/>
          <w:szCs w:val="24"/>
        </w:rPr>
      </w:pPr>
      <w:r w:rsidRPr="00F53109">
        <w:rPr>
          <w:rFonts w:ascii="Times New Roman" w:eastAsia="Times New Roman" w:hAnsi="Times New Roman"/>
          <w:sz w:val="24"/>
          <w:szCs w:val="24"/>
        </w:rPr>
        <w:t xml:space="preserve">On May 8, 2020, in </w:t>
      </w:r>
      <w:r w:rsidRPr="00F53109">
        <w:rPr>
          <w:rFonts w:ascii="Times New Roman" w:eastAsia="Times New Roman" w:hAnsi="Times New Roman"/>
          <w:sz w:val="24"/>
          <w:szCs w:val="24"/>
          <w:u w:val="single"/>
        </w:rPr>
        <w:t>State of Kansas v. Patricia E. Sinclair</w:t>
      </w:r>
      <w:r>
        <w:rPr>
          <w:rFonts w:ascii="Times New Roman" w:eastAsia="Times New Roman" w:hAnsi="Times New Roman"/>
          <w:sz w:val="24"/>
          <w:szCs w:val="24"/>
        </w:rPr>
        <w:t xml:space="preserve">, the Court of Appeals of State of Kansas, held (3 to 0) in unpublished opinion, that trial judge properly denied her motion to suppress the </w:t>
      </w:r>
      <w:proofErr w:type="gramStart"/>
      <w:r>
        <w:rPr>
          <w:rFonts w:ascii="Times New Roman" w:eastAsia="Times New Roman" w:hAnsi="Times New Roman"/>
          <w:sz w:val="24"/>
          <w:szCs w:val="24"/>
        </w:rPr>
        <w:t>tape recorded</w:t>
      </w:r>
      <w:proofErr w:type="gramEnd"/>
      <w:r>
        <w:rPr>
          <w:rFonts w:ascii="Times New Roman" w:eastAsia="Times New Roman" w:hAnsi="Times New Roman"/>
          <w:sz w:val="24"/>
          <w:szCs w:val="24"/>
        </w:rPr>
        <w:t xml:space="preserve"> interview.  “</w:t>
      </w:r>
      <w:r w:rsidRPr="00F53109">
        <w:rPr>
          <w:rFonts w:ascii="Times New Roman" w:hAnsi="Times New Roman"/>
          <w:sz w:val="24"/>
          <w:szCs w:val="24"/>
        </w:rPr>
        <w:t>Thus, looking at the totality of the circumstances, we find Sinclair's interview was not a custodial interrogation</w:t>
      </w:r>
      <w:r>
        <w:rPr>
          <w:rFonts w:ascii="Times New Roman" w:hAnsi="Times New Roman"/>
          <w:sz w:val="24"/>
          <w:szCs w:val="24"/>
        </w:rPr>
        <w:t xml:space="preserve">.”  </w:t>
      </w:r>
      <w:bookmarkStart w:id="21" w:name="_Hlk69187300"/>
      <w:r w:rsidR="000F483A">
        <w:fldChar w:fldCharType="begin"/>
      </w:r>
      <w:r w:rsidR="000F483A">
        <w:instrText xml:space="preserve"> HYPERLINK "https://www.courtlistener.com/pdf/2020/05/08/state_v._sinclair.pdf" </w:instrText>
      </w:r>
      <w:r w:rsidR="000F483A">
        <w:fldChar w:fldCharType="separate"/>
      </w:r>
      <w:r w:rsidRPr="00B56DB8">
        <w:rPr>
          <w:rStyle w:val="Hyperlink"/>
          <w:sz w:val="24"/>
          <w:szCs w:val="24"/>
        </w:rPr>
        <w:t>https://www.courtlistener.com/pdf/2020/05/08/state_v._sinclair.pdf</w:t>
      </w:r>
      <w:r w:rsidR="000F483A">
        <w:rPr>
          <w:rStyle w:val="Hyperlink"/>
          <w:sz w:val="24"/>
          <w:szCs w:val="24"/>
        </w:rPr>
        <w:fldChar w:fldCharType="end"/>
      </w:r>
      <w:r>
        <w:rPr>
          <w:rFonts w:ascii="Times New Roman" w:hAnsi="Times New Roman"/>
          <w:sz w:val="24"/>
          <w:szCs w:val="24"/>
        </w:rPr>
        <w:t xml:space="preserve"> </w:t>
      </w:r>
    </w:p>
    <w:bookmarkEnd w:id="21"/>
    <w:p w14:paraId="68F48E30" w14:textId="77777777" w:rsidR="00D94DC4" w:rsidRPr="006627F5" w:rsidRDefault="00D94DC4" w:rsidP="00D94DC4">
      <w:pPr>
        <w:spacing w:before="100" w:beforeAutospacing="1" w:after="100" w:afterAutospacing="1" w:line="240" w:lineRule="auto"/>
        <w:rPr>
          <w:rFonts w:ascii="Times New Roman" w:hAnsi="Times New Roman"/>
          <w:b/>
          <w:bCs/>
          <w:sz w:val="24"/>
          <w:szCs w:val="24"/>
        </w:rPr>
      </w:pPr>
      <w:r w:rsidRPr="006627F5">
        <w:rPr>
          <w:rFonts w:ascii="Times New Roman" w:hAnsi="Times New Roman"/>
          <w:b/>
          <w:bCs/>
          <w:sz w:val="24"/>
          <w:szCs w:val="24"/>
        </w:rPr>
        <w:t>Legal Lessons Learned:</w:t>
      </w:r>
      <w:r>
        <w:rPr>
          <w:rFonts w:ascii="Times New Roman" w:hAnsi="Times New Roman"/>
          <w:b/>
          <w:bCs/>
          <w:sz w:val="24"/>
          <w:szCs w:val="24"/>
        </w:rPr>
        <w:t xml:space="preserve"> Non-custodial interviews do not require a </w:t>
      </w:r>
      <w:r w:rsidRPr="006627F5">
        <w:rPr>
          <w:rFonts w:ascii="Times New Roman" w:hAnsi="Times New Roman"/>
          <w:b/>
          <w:bCs/>
          <w:i/>
          <w:iCs/>
          <w:sz w:val="24"/>
          <w:szCs w:val="24"/>
        </w:rPr>
        <w:t>Miranda</w:t>
      </w:r>
      <w:r>
        <w:rPr>
          <w:rFonts w:ascii="Times New Roman" w:hAnsi="Times New Roman"/>
          <w:b/>
          <w:bCs/>
          <w:sz w:val="24"/>
          <w:szCs w:val="24"/>
        </w:rPr>
        <w:t xml:space="preserve"> warning.  One technique is to start interview by informing person that it is an “investigative interview</w:t>
      </w:r>
      <w:proofErr w:type="gramStart"/>
      <w:r>
        <w:rPr>
          <w:rFonts w:ascii="Times New Roman" w:hAnsi="Times New Roman"/>
          <w:b/>
          <w:bCs/>
          <w:sz w:val="24"/>
          <w:szCs w:val="24"/>
        </w:rPr>
        <w:t>”</w:t>
      </w:r>
      <w:proofErr w:type="gramEnd"/>
      <w:r>
        <w:rPr>
          <w:rFonts w:ascii="Times New Roman" w:hAnsi="Times New Roman"/>
          <w:b/>
          <w:bCs/>
          <w:sz w:val="24"/>
          <w:szCs w:val="24"/>
        </w:rPr>
        <w:t xml:space="preserve"> and they are not in custody.</w:t>
      </w:r>
    </w:p>
    <w:p w14:paraId="374F6AA8" w14:textId="77777777" w:rsidR="00D94DC4" w:rsidRDefault="00D94DC4" w:rsidP="002B1283">
      <w:pPr>
        <w:rPr>
          <w:rFonts w:ascii="Arial Black" w:hAnsi="Arial Black"/>
          <w:b/>
          <w:sz w:val="24"/>
          <w:szCs w:val="24"/>
        </w:rPr>
      </w:pPr>
    </w:p>
    <w:p w14:paraId="424ABB80" w14:textId="77777777" w:rsidR="00D94DC4" w:rsidRDefault="00D94DC4" w:rsidP="002B1283">
      <w:pPr>
        <w:rPr>
          <w:rFonts w:ascii="Arial Black" w:hAnsi="Arial Black"/>
          <w:b/>
          <w:sz w:val="24"/>
          <w:szCs w:val="24"/>
        </w:rPr>
      </w:pPr>
    </w:p>
    <w:p w14:paraId="19000881" w14:textId="7CBB8E30" w:rsidR="00D94DC4" w:rsidRDefault="00D94DC4" w:rsidP="002B1283">
      <w:pPr>
        <w:rPr>
          <w:rFonts w:ascii="Arial Black" w:hAnsi="Arial Black"/>
          <w:b/>
          <w:sz w:val="24"/>
          <w:szCs w:val="24"/>
        </w:rPr>
      </w:pPr>
      <w:r>
        <w:rPr>
          <w:rFonts w:ascii="Arial Black" w:hAnsi="Arial Black"/>
          <w:b/>
          <w:sz w:val="24"/>
          <w:szCs w:val="24"/>
        </w:rPr>
        <w:t>1-51</w:t>
      </w:r>
    </w:p>
    <w:p w14:paraId="46DA5E2E" w14:textId="77777777" w:rsidR="00D94DC4" w:rsidRDefault="00D94DC4" w:rsidP="00D94DC4">
      <w:pPr>
        <w:spacing w:before="100" w:beforeAutospacing="1" w:after="100" w:afterAutospacing="1" w:line="240" w:lineRule="auto"/>
        <w:jc w:val="both"/>
        <w:rPr>
          <w:rFonts w:ascii="Arial Black" w:eastAsia="Times New Roman" w:hAnsi="Arial Black"/>
          <w:b/>
          <w:bCs/>
          <w:sz w:val="28"/>
          <w:szCs w:val="28"/>
        </w:rPr>
      </w:pPr>
      <w:r w:rsidRPr="002A7FBD">
        <w:rPr>
          <w:rFonts w:ascii="Arial Black" w:eastAsia="Times New Roman" w:hAnsi="Arial Black"/>
          <w:b/>
          <w:bCs/>
          <w:sz w:val="28"/>
          <w:szCs w:val="28"/>
        </w:rPr>
        <w:t>U.S.</w:t>
      </w:r>
      <w:r>
        <w:rPr>
          <w:rFonts w:ascii="Arial Black" w:eastAsia="Times New Roman" w:hAnsi="Arial Black"/>
          <w:b/>
          <w:bCs/>
          <w:sz w:val="28"/>
          <w:szCs w:val="28"/>
        </w:rPr>
        <w:t xml:space="preserve"> SUP. CT: NJ GOV STAFF SHUT DOWN LANES GW BRIDGE – POL. “BACKBACK” MAYOR FT. LEE – FED. CONVICTIONS </w:t>
      </w:r>
      <w:r w:rsidRPr="00D13D07">
        <w:rPr>
          <w:rFonts w:ascii="Arial Black" w:eastAsia="Times New Roman" w:hAnsi="Arial Black"/>
          <w:sz w:val="28"/>
          <w:szCs w:val="28"/>
        </w:rPr>
        <w:t>PROGRAM FRAUD</w:t>
      </w:r>
      <w:r>
        <w:rPr>
          <w:rFonts w:ascii="Arial Black" w:eastAsia="Times New Roman" w:hAnsi="Arial Black"/>
          <w:sz w:val="28"/>
          <w:szCs w:val="28"/>
        </w:rPr>
        <w:t xml:space="preserve"> &amp; </w:t>
      </w:r>
      <w:r w:rsidRPr="00D13D07">
        <w:rPr>
          <w:rFonts w:ascii="Arial Black" w:eastAsia="Times New Roman" w:hAnsi="Arial Black"/>
          <w:sz w:val="28"/>
          <w:szCs w:val="28"/>
        </w:rPr>
        <w:t>WIRE FRAUD</w:t>
      </w:r>
      <w:r>
        <w:rPr>
          <w:rFonts w:ascii="Arial Black" w:eastAsia="Times New Roman" w:hAnsi="Arial Black"/>
          <w:sz w:val="28"/>
          <w:szCs w:val="28"/>
        </w:rPr>
        <w:t xml:space="preserve"> REVERSED  </w:t>
      </w:r>
      <w:r>
        <w:rPr>
          <w:rFonts w:ascii="Arial Black" w:eastAsia="Times New Roman" w:hAnsi="Arial Black"/>
          <w:b/>
          <w:bCs/>
          <w:sz w:val="28"/>
          <w:szCs w:val="28"/>
        </w:rPr>
        <w:t xml:space="preserve"> </w:t>
      </w:r>
    </w:p>
    <w:p w14:paraId="425BEA2B" w14:textId="77777777" w:rsidR="00D94DC4" w:rsidRPr="009920B4" w:rsidRDefault="00D94DC4" w:rsidP="00D94DC4">
      <w:pPr>
        <w:spacing w:before="100" w:beforeAutospacing="1" w:after="100" w:afterAutospacing="1" w:line="240" w:lineRule="auto"/>
        <w:jc w:val="both"/>
        <w:rPr>
          <w:rFonts w:ascii="Times New Roman" w:eastAsia="Times New Roman" w:hAnsi="Times New Roman"/>
          <w:sz w:val="24"/>
          <w:szCs w:val="24"/>
        </w:rPr>
      </w:pPr>
      <w:r w:rsidRPr="009920B4">
        <w:rPr>
          <w:rFonts w:ascii="Times New Roman" w:eastAsia="Times New Roman" w:hAnsi="Times New Roman"/>
          <w:sz w:val="24"/>
          <w:szCs w:val="24"/>
        </w:rPr>
        <w:t xml:space="preserve">On May 7, 2020, in </w:t>
      </w:r>
      <w:r w:rsidRPr="009920B4">
        <w:rPr>
          <w:rFonts w:ascii="Times New Roman" w:eastAsia="Times New Roman" w:hAnsi="Times New Roman"/>
          <w:sz w:val="24"/>
          <w:szCs w:val="24"/>
          <w:u w:val="single"/>
        </w:rPr>
        <w:t>Bridget Anne Kelly v. United States, et al</w:t>
      </w:r>
      <w:r w:rsidRPr="009920B4">
        <w:rPr>
          <w:rFonts w:ascii="Times New Roman" w:eastAsia="Times New Roman" w:hAnsi="Times New Roman"/>
          <w:sz w:val="24"/>
          <w:szCs w:val="24"/>
        </w:rPr>
        <w:t>., the U.S. Supreme Court (9 to 0) held that convictions of Ms. Kelly</w:t>
      </w:r>
      <w:r>
        <w:rPr>
          <w:rFonts w:ascii="Times New Roman" w:eastAsia="Times New Roman" w:hAnsi="Times New Roman"/>
          <w:sz w:val="24"/>
          <w:szCs w:val="24"/>
        </w:rPr>
        <w:t xml:space="preserve">, Deputy Chief of Staff of New Jersey Governor Chris Christie, </w:t>
      </w:r>
      <w:r w:rsidRPr="009920B4">
        <w:rPr>
          <w:rFonts w:ascii="Times New Roman" w:eastAsia="Times New Roman" w:hAnsi="Times New Roman"/>
          <w:sz w:val="24"/>
          <w:szCs w:val="24"/>
        </w:rPr>
        <w:t xml:space="preserve">and </w:t>
      </w:r>
      <w:r w:rsidRPr="009920B4">
        <w:rPr>
          <w:rFonts w:ascii="Times New Roman" w:hAnsi="Times New Roman"/>
          <w:sz w:val="24"/>
          <w:szCs w:val="24"/>
        </w:rPr>
        <w:t>William Baroni</w:t>
      </w:r>
      <w:r>
        <w:rPr>
          <w:rFonts w:ascii="Times New Roman" w:hAnsi="Times New Roman"/>
          <w:sz w:val="24"/>
          <w:szCs w:val="24"/>
        </w:rPr>
        <w:t xml:space="preserve">, Deputy Executive Director of tri-state Port Authority, </w:t>
      </w:r>
      <w:r w:rsidRPr="009920B4">
        <w:rPr>
          <w:rFonts w:ascii="Times New Roman" w:hAnsi="Times New Roman"/>
          <w:sz w:val="24"/>
          <w:szCs w:val="24"/>
        </w:rPr>
        <w:t xml:space="preserve">were reversed.  </w:t>
      </w:r>
      <w:r>
        <w:rPr>
          <w:rFonts w:ascii="Times New Roman" w:hAnsi="Times New Roman"/>
          <w:sz w:val="24"/>
          <w:szCs w:val="24"/>
        </w:rPr>
        <w:t>Justice Elana Kagan, writing for unanimous Court, wrote: “</w:t>
      </w:r>
      <w:r w:rsidRPr="009920B4">
        <w:rPr>
          <w:rFonts w:ascii="Times New Roman" w:hAnsi="Times New Roman"/>
          <w:sz w:val="24"/>
          <w:szCs w:val="24"/>
        </w:rPr>
        <w:t>But not every corrupt act by state or local officials is a federal crime. Because the scheme here did not aim to obtain money or property, Baroni and Kelly could not</w:t>
      </w:r>
      <w:r>
        <w:rPr>
          <w:rFonts w:ascii="Times New Roman" w:hAnsi="Times New Roman"/>
          <w:sz w:val="24"/>
          <w:szCs w:val="24"/>
        </w:rPr>
        <w:t xml:space="preserve"> </w:t>
      </w:r>
      <w:r w:rsidRPr="009920B4">
        <w:rPr>
          <w:rFonts w:ascii="Times New Roman" w:hAnsi="Times New Roman"/>
          <w:sz w:val="24"/>
          <w:szCs w:val="24"/>
        </w:rPr>
        <w:t xml:space="preserve">have violated the federal-program fraud or wire fraud </w:t>
      </w:r>
      <w:proofErr w:type="gramStart"/>
      <w:r w:rsidRPr="009920B4">
        <w:rPr>
          <w:rFonts w:ascii="Times New Roman" w:hAnsi="Times New Roman"/>
          <w:sz w:val="24"/>
          <w:szCs w:val="24"/>
        </w:rPr>
        <w:t>laws.</w:t>
      </w:r>
      <w:r>
        <w:rPr>
          <w:rFonts w:ascii="Times New Roman" w:hAnsi="Times New Roman"/>
          <w:sz w:val="24"/>
          <w:szCs w:val="24"/>
        </w:rPr>
        <w:t>”</w:t>
      </w:r>
      <w:proofErr w:type="gramEnd"/>
      <w:r>
        <w:rPr>
          <w:rFonts w:ascii="Times New Roman" w:hAnsi="Times New Roman"/>
          <w:sz w:val="24"/>
          <w:szCs w:val="24"/>
        </w:rPr>
        <w:t xml:space="preserve"> </w:t>
      </w:r>
      <w:hyperlink r:id="rId322" w:history="1">
        <w:r w:rsidRPr="00502F08">
          <w:rPr>
            <w:rStyle w:val="Hyperlink"/>
            <w:sz w:val="24"/>
            <w:szCs w:val="24"/>
          </w:rPr>
          <w:t>https://www.supremecourt.gov/opinions/19pdf/18-1059_e2p3.pdf</w:t>
        </w:r>
      </w:hyperlink>
      <w:r w:rsidRPr="009920B4">
        <w:rPr>
          <w:rFonts w:ascii="Times New Roman" w:hAnsi="Times New Roman"/>
          <w:sz w:val="24"/>
          <w:szCs w:val="24"/>
        </w:rPr>
        <w:t xml:space="preserve"> </w:t>
      </w:r>
    </w:p>
    <w:p w14:paraId="478DB97C" w14:textId="77777777" w:rsidR="00D94DC4" w:rsidRPr="008A7C9E" w:rsidRDefault="00D94DC4" w:rsidP="00D94DC4">
      <w:pPr>
        <w:spacing w:before="100" w:beforeAutospacing="1" w:after="100" w:afterAutospacing="1" w:line="240" w:lineRule="auto"/>
        <w:jc w:val="both"/>
        <w:rPr>
          <w:rFonts w:ascii="Times New Roman" w:eastAsia="Times New Roman" w:hAnsi="Times New Roman"/>
          <w:b/>
          <w:bCs/>
          <w:sz w:val="24"/>
          <w:szCs w:val="24"/>
        </w:rPr>
      </w:pPr>
      <w:r w:rsidRPr="008A7C9E">
        <w:rPr>
          <w:rFonts w:ascii="Times New Roman" w:hAnsi="Times New Roman"/>
          <w:b/>
          <w:bCs/>
          <w:sz w:val="24"/>
          <w:szCs w:val="24"/>
        </w:rPr>
        <w:lastRenderedPageBreak/>
        <w:t>Legal Lessons Learned: Public corruption is a common issue; Fire &amp; EMS must be extremely careful in expending funds for only public purposes</w:t>
      </w:r>
      <w:r>
        <w:rPr>
          <w:rFonts w:ascii="Times New Roman" w:hAnsi="Times New Roman"/>
          <w:b/>
          <w:bCs/>
          <w:sz w:val="24"/>
          <w:szCs w:val="24"/>
        </w:rPr>
        <w:t xml:space="preserve"> [classic case of using fire engine to fill a politician’s pool can result in state criminal charges]. </w:t>
      </w:r>
    </w:p>
    <w:p w14:paraId="07F23BA6" w14:textId="77777777" w:rsidR="00D94DC4" w:rsidRDefault="00D94DC4" w:rsidP="002B1283">
      <w:pPr>
        <w:rPr>
          <w:rFonts w:ascii="Arial Black" w:hAnsi="Arial Black"/>
          <w:b/>
          <w:sz w:val="24"/>
          <w:szCs w:val="24"/>
        </w:rPr>
      </w:pPr>
    </w:p>
    <w:p w14:paraId="585EEE4F" w14:textId="77777777" w:rsidR="00D94DC4" w:rsidRDefault="00D94DC4" w:rsidP="002B1283">
      <w:pPr>
        <w:rPr>
          <w:rFonts w:ascii="Arial Black" w:hAnsi="Arial Black"/>
          <w:b/>
          <w:sz w:val="24"/>
          <w:szCs w:val="24"/>
        </w:rPr>
      </w:pPr>
    </w:p>
    <w:p w14:paraId="270B12B9" w14:textId="77777777" w:rsidR="00D94DC4" w:rsidRDefault="00D94DC4" w:rsidP="002B1283">
      <w:pPr>
        <w:rPr>
          <w:rFonts w:ascii="Arial Black" w:hAnsi="Arial Black"/>
          <w:b/>
          <w:sz w:val="24"/>
          <w:szCs w:val="24"/>
        </w:rPr>
      </w:pPr>
    </w:p>
    <w:p w14:paraId="179AF845" w14:textId="2DE2F4D1" w:rsidR="00A01ACA" w:rsidRDefault="00A01ACA" w:rsidP="002B1283">
      <w:pPr>
        <w:rPr>
          <w:rFonts w:ascii="Arial Black" w:hAnsi="Arial Black"/>
          <w:b/>
          <w:sz w:val="24"/>
          <w:szCs w:val="24"/>
        </w:rPr>
      </w:pPr>
      <w:r>
        <w:rPr>
          <w:rFonts w:ascii="Arial Black" w:hAnsi="Arial Black"/>
          <w:b/>
          <w:sz w:val="24"/>
          <w:szCs w:val="24"/>
        </w:rPr>
        <w:t>1-</w:t>
      </w:r>
      <w:r w:rsidR="00D94DC4">
        <w:rPr>
          <w:rFonts w:ascii="Arial Black" w:hAnsi="Arial Black"/>
          <w:b/>
          <w:sz w:val="24"/>
          <w:szCs w:val="24"/>
        </w:rPr>
        <w:t>50</w:t>
      </w:r>
    </w:p>
    <w:p w14:paraId="5CD7EC60" w14:textId="77777777" w:rsidR="00A01ACA" w:rsidRPr="00845EB0" w:rsidRDefault="00A01ACA" w:rsidP="00A01ACA">
      <w:pPr>
        <w:pStyle w:val="NoSpacing"/>
        <w:rPr>
          <w:rStyle w:val="citation"/>
          <w:rFonts w:ascii="Arial Black" w:hAnsi="Arial Black"/>
          <w:sz w:val="28"/>
          <w:szCs w:val="28"/>
        </w:rPr>
      </w:pPr>
      <w:r w:rsidRPr="001A0E1F">
        <w:rPr>
          <w:rStyle w:val="citation"/>
          <w:rFonts w:ascii="Arial Black" w:hAnsi="Arial Black"/>
          <w:sz w:val="28"/>
          <w:szCs w:val="28"/>
        </w:rPr>
        <w:t xml:space="preserve">FL: </w:t>
      </w:r>
      <w:r>
        <w:rPr>
          <w:rStyle w:val="citation"/>
          <w:rFonts w:ascii="Arial Black" w:hAnsi="Arial Black"/>
          <w:sz w:val="28"/>
          <w:szCs w:val="28"/>
        </w:rPr>
        <w:t xml:space="preserve">POLICE CANINES – BOTH ALERTED BODY ODOR IN CAR - MURDER CONVICTION UPHELD - </w:t>
      </w:r>
      <w:r w:rsidRPr="00845EB0">
        <w:rPr>
          <w:rStyle w:val="citation"/>
          <w:rFonts w:ascii="Arial Black" w:hAnsi="Arial Black"/>
          <w:i/>
          <w:iCs/>
          <w:sz w:val="28"/>
          <w:szCs w:val="28"/>
        </w:rPr>
        <w:t>DAUBERT</w:t>
      </w:r>
      <w:r>
        <w:rPr>
          <w:rStyle w:val="citation"/>
          <w:rFonts w:ascii="Arial Black" w:hAnsi="Arial Black"/>
          <w:i/>
          <w:iCs/>
          <w:sz w:val="28"/>
          <w:szCs w:val="28"/>
        </w:rPr>
        <w:t xml:space="preserve"> </w:t>
      </w:r>
      <w:r>
        <w:rPr>
          <w:rStyle w:val="citation"/>
          <w:rFonts w:ascii="Arial Black" w:hAnsi="Arial Black"/>
          <w:sz w:val="28"/>
          <w:szCs w:val="28"/>
        </w:rPr>
        <w:t xml:space="preserve">STANDARD </w:t>
      </w:r>
    </w:p>
    <w:p w14:paraId="45E88309" w14:textId="77777777" w:rsidR="006E2F85" w:rsidRDefault="006E2F85" w:rsidP="00A01ACA">
      <w:pPr>
        <w:tabs>
          <w:tab w:val="left" w:pos="5590"/>
        </w:tabs>
        <w:rPr>
          <w:rStyle w:val="citation"/>
          <w:rFonts w:ascii="Times New Roman" w:hAnsi="Times New Roman"/>
          <w:sz w:val="24"/>
          <w:szCs w:val="24"/>
        </w:rPr>
      </w:pPr>
    </w:p>
    <w:p w14:paraId="23A1618A" w14:textId="4DE0D8C3" w:rsidR="00A01ACA" w:rsidRDefault="00A01ACA" w:rsidP="00A01ACA">
      <w:pPr>
        <w:tabs>
          <w:tab w:val="left" w:pos="5590"/>
        </w:tabs>
        <w:rPr>
          <w:rStyle w:val="citation"/>
          <w:rFonts w:ascii="Times New Roman" w:hAnsi="Times New Roman"/>
          <w:sz w:val="24"/>
          <w:szCs w:val="24"/>
        </w:rPr>
      </w:pPr>
      <w:r w:rsidRPr="00002F10">
        <w:rPr>
          <w:rStyle w:val="citation"/>
          <w:rFonts w:ascii="Times New Roman" w:hAnsi="Times New Roman"/>
          <w:sz w:val="24"/>
          <w:szCs w:val="24"/>
        </w:rPr>
        <w:t xml:space="preserve">On April 22, 2020, in </w:t>
      </w:r>
      <w:r w:rsidRPr="00002F10">
        <w:rPr>
          <w:rStyle w:val="citation"/>
          <w:rFonts w:ascii="Times New Roman" w:hAnsi="Times New Roman"/>
          <w:sz w:val="24"/>
          <w:szCs w:val="24"/>
          <w:u w:val="single"/>
        </w:rPr>
        <w:t>Cid Torrez v. State of Florida</w:t>
      </w:r>
      <w:r w:rsidRPr="00002F10">
        <w:rPr>
          <w:rStyle w:val="citation"/>
          <w:rFonts w:ascii="Times New Roman" w:hAnsi="Times New Roman"/>
          <w:sz w:val="24"/>
          <w:szCs w:val="24"/>
        </w:rPr>
        <w:t xml:space="preserve">, </w:t>
      </w:r>
      <w:r>
        <w:rPr>
          <w:rStyle w:val="citation"/>
          <w:rFonts w:ascii="Times New Roman" w:hAnsi="Times New Roman"/>
          <w:sz w:val="24"/>
          <w:szCs w:val="24"/>
        </w:rPr>
        <w:t xml:space="preserve">the District Court of Appeal of the State of Florida (Fourth District), held (3 to 0) that the trial court properly allowed two police detectives and an expert witness to testify that the dogs alerted to human body odor in trunk of defendant’s vehicle. The defendant was convicted of </w:t>
      </w:r>
      <w:proofErr w:type="gramStart"/>
      <w:r>
        <w:rPr>
          <w:rStyle w:val="citation"/>
          <w:rFonts w:ascii="Times New Roman" w:hAnsi="Times New Roman"/>
          <w:sz w:val="24"/>
          <w:szCs w:val="24"/>
        </w:rPr>
        <w:t>murder of</w:t>
      </w:r>
      <w:proofErr w:type="gramEnd"/>
      <w:r>
        <w:rPr>
          <w:rStyle w:val="citation"/>
          <w:rFonts w:ascii="Times New Roman" w:hAnsi="Times New Roman"/>
          <w:sz w:val="24"/>
          <w:szCs w:val="24"/>
        </w:rPr>
        <w:t xml:space="preserve"> his wife, even though her body was never discovered.  The Court found canine evidence admissible under the </w:t>
      </w:r>
      <w:r w:rsidRPr="00832E13">
        <w:rPr>
          <w:rStyle w:val="citation"/>
          <w:rFonts w:ascii="Times New Roman" w:hAnsi="Times New Roman"/>
          <w:i/>
          <w:iCs/>
          <w:sz w:val="24"/>
          <w:szCs w:val="24"/>
        </w:rPr>
        <w:t>Daubert</w:t>
      </w:r>
      <w:r>
        <w:rPr>
          <w:rStyle w:val="citation"/>
          <w:rFonts w:ascii="Times New Roman" w:hAnsi="Times New Roman"/>
          <w:sz w:val="24"/>
          <w:szCs w:val="24"/>
        </w:rPr>
        <w:t xml:space="preserve"> standard [U.S. Supreme Court’s decision in </w:t>
      </w:r>
      <w:r w:rsidRPr="00832E13">
        <w:rPr>
          <w:rFonts w:ascii="Times New Roman" w:hAnsi="Times New Roman"/>
          <w:sz w:val="24"/>
          <w:szCs w:val="24"/>
        </w:rPr>
        <w:t>Daubert v. Merrell Dow Pharmaceuticals (92-102), 509 U.S. 579 (1993)</w:t>
      </w:r>
      <w:r>
        <w:rPr>
          <w:rFonts w:ascii="Times New Roman" w:hAnsi="Times New Roman"/>
          <w:sz w:val="24"/>
          <w:szCs w:val="24"/>
        </w:rPr>
        <w:t>]</w:t>
      </w:r>
      <w:r w:rsidRPr="00832E13">
        <w:rPr>
          <w:rFonts w:ascii="Times New Roman" w:hAnsi="Times New Roman"/>
          <w:sz w:val="24"/>
          <w:szCs w:val="24"/>
        </w:rPr>
        <w:t xml:space="preserve">. </w:t>
      </w:r>
      <w:bookmarkStart w:id="22" w:name="_Hlk39765274"/>
      <w:r>
        <w:rPr>
          <w:rStyle w:val="citation"/>
          <w:rFonts w:ascii="Times New Roman" w:hAnsi="Times New Roman"/>
          <w:sz w:val="24"/>
          <w:szCs w:val="24"/>
        </w:rPr>
        <w:t xml:space="preserve">Judge Mark W. Klingensmith, in his decision for the Court, cited Bob Dylan song: </w:t>
      </w:r>
    </w:p>
    <w:p w14:paraId="01279F70" w14:textId="77777777" w:rsidR="00A01ACA" w:rsidRDefault="00A01ACA" w:rsidP="00A01ACA">
      <w:pPr>
        <w:tabs>
          <w:tab w:val="left" w:pos="5590"/>
        </w:tabs>
        <w:ind w:left="720"/>
        <w:rPr>
          <w:rStyle w:val="citation"/>
          <w:rFonts w:ascii="Times New Roman" w:hAnsi="Times New Roman"/>
          <w:sz w:val="24"/>
          <w:szCs w:val="24"/>
        </w:rPr>
      </w:pPr>
      <w:r>
        <w:rPr>
          <w:rStyle w:val="citation"/>
          <w:rFonts w:ascii="Times New Roman" w:hAnsi="Times New Roman"/>
          <w:sz w:val="24"/>
          <w:szCs w:val="24"/>
        </w:rPr>
        <w:t xml:space="preserve"> </w:t>
      </w:r>
      <w:r w:rsidRPr="00002F10">
        <w:rPr>
          <w:rStyle w:val="citation"/>
          <w:rFonts w:ascii="Times New Roman" w:hAnsi="Times New Roman"/>
          <w:sz w:val="24"/>
          <w:szCs w:val="24"/>
        </w:rPr>
        <w:t>“</w:t>
      </w:r>
      <w:r w:rsidRPr="00002F10">
        <w:rPr>
          <w:rFonts w:ascii="Times New Roman" w:hAnsi="Times New Roman"/>
          <w:sz w:val="24"/>
          <w:szCs w:val="24"/>
        </w:rPr>
        <w:t xml:space="preserve">The evidence of the reliability of a dog’s alert is “readily understood by a jury.” … </w:t>
      </w:r>
      <w:r w:rsidRPr="00002F10">
        <w:rPr>
          <w:rStyle w:val="citation"/>
          <w:rFonts w:ascii="Times New Roman" w:hAnsi="Times New Roman"/>
          <w:sz w:val="24"/>
          <w:szCs w:val="24"/>
        </w:rPr>
        <w:t xml:space="preserve"> </w:t>
      </w:r>
      <w:r w:rsidRPr="00002F10">
        <w:rPr>
          <w:rFonts w:ascii="Times New Roman" w:hAnsi="Times New Roman"/>
          <w:sz w:val="24"/>
          <w:szCs w:val="24"/>
        </w:rPr>
        <w:t xml:space="preserve">Or as </w:t>
      </w:r>
      <w:r>
        <w:rPr>
          <w:rFonts w:ascii="Times New Roman" w:hAnsi="Times New Roman"/>
          <w:sz w:val="24"/>
          <w:szCs w:val="24"/>
        </w:rPr>
        <w:t xml:space="preserve">    </w:t>
      </w:r>
      <w:r w:rsidRPr="00002F10">
        <w:rPr>
          <w:rFonts w:ascii="Times New Roman" w:hAnsi="Times New Roman"/>
          <w:sz w:val="24"/>
          <w:szCs w:val="24"/>
        </w:rPr>
        <w:t>Bob Dylan once said, “you don’t need a weatherman to know which way the wind blows.” BOB DYLAN,</w:t>
      </w:r>
      <w:r>
        <w:rPr>
          <w:rFonts w:ascii="Times New Roman" w:hAnsi="Times New Roman"/>
          <w:sz w:val="24"/>
          <w:szCs w:val="24"/>
        </w:rPr>
        <w:t xml:space="preserve"> </w:t>
      </w:r>
      <w:r w:rsidRPr="00002F10">
        <w:rPr>
          <w:rFonts w:ascii="Times New Roman" w:hAnsi="Times New Roman"/>
          <w:sz w:val="24"/>
          <w:szCs w:val="24"/>
        </w:rPr>
        <w:t>Subterranean Homesick Blues, on BRINGING IT ALL BACK HOME (Columbia Records 1965).</w:t>
      </w:r>
      <w:r>
        <w:rPr>
          <w:rFonts w:ascii="Times New Roman" w:hAnsi="Times New Roman"/>
          <w:sz w:val="24"/>
          <w:szCs w:val="24"/>
        </w:rPr>
        <w:t xml:space="preserve">” </w:t>
      </w:r>
      <w:hyperlink r:id="rId323" w:history="1">
        <w:r w:rsidRPr="00643124">
          <w:rPr>
            <w:rStyle w:val="Hyperlink"/>
            <w:rFonts w:ascii="Times New Roman" w:hAnsi="Times New Roman"/>
            <w:sz w:val="24"/>
            <w:szCs w:val="24"/>
          </w:rPr>
          <w:t>https://www.courtlistener.com/opinion/4747432/cid-torrez-v-state-of-florida/</w:t>
        </w:r>
      </w:hyperlink>
      <w:r>
        <w:rPr>
          <w:rFonts w:ascii="Times New Roman" w:hAnsi="Times New Roman"/>
          <w:sz w:val="24"/>
          <w:szCs w:val="24"/>
        </w:rPr>
        <w:t xml:space="preserve"> </w:t>
      </w:r>
    </w:p>
    <w:bookmarkEnd w:id="22"/>
    <w:p w14:paraId="72731103" w14:textId="77777777" w:rsidR="00A01ACA" w:rsidRPr="00976742" w:rsidRDefault="00A01ACA" w:rsidP="00A01ACA">
      <w:pPr>
        <w:pStyle w:val="NoSpacing"/>
        <w:rPr>
          <w:rFonts w:ascii="Times New Roman" w:hAnsi="Times New Roman"/>
          <w:b/>
          <w:bCs/>
          <w:sz w:val="24"/>
          <w:szCs w:val="24"/>
        </w:rPr>
      </w:pPr>
      <w:r w:rsidRPr="00976742">
        <w:rPr>
          <w:rFonts w:ascii="Times New Roman" w:hAnsi="Times New Roman"/>
          <w:b/>
          <w:bCs/>
          <w:sz w:val="24"/>
          <w:szCs w:val="24"/>
        </w:rPr>
        <w:t xml:space="preserve">Legal Lessons Learned: The </w:t>
      </w:r>
      <w:r w:rsidRPr="00976742">
        <w:rPr>
          <w:rFonts w:ascii="Times New Roman" w:hAnsi="Times New Roman"/>
          <w:b/>
          <w:bCs/>
          <w:i/>
          <w:iCs/>
          <w:sz w:val="24"/>
          <w:szCs w:val="24"/>
        </w:rPr>
        <w:t xml:space="preserve">Daubert </w:t>
      </w:r>
      <w:r w:rsidRPr="00976742">
        <w:rPr>
          <w:rFonts w:ascii="Times New Roman" w:hAnsi="Times New Roman"/>
          <w:b/>
          <w:bCs/>
          <w:sz w:val="24"/>
          <w:szCs w:val="24"/>
        </w:rPr>
        <w:t xml:space="preserve">standard must be met for expert testimony, including testimony by canine handlers.  </w:t>
      </w:r>
    </w:p>
    <w:p w14:paraId="436092BB" w14:textId="77777777" w:rsidR="00A01ACA" w:rsidRPr="00976742" w:rsidRDefault="00A01ACA" w:rsidP="00A01ACA">
      <w:pPr>
        <w:pStyle w:val="NoSpacing"/>
        <w:rPr>
          <w:rFonts w:ascii="Times New Roman" w:hAnsi="Times New Roman"/>
          <w:b/>
          <w:bCs/>
          <w:sz w:val="24"/>
          <w:szCs w:val="24"/>
        </w:rPr>
      </w:pPr>
    </w:p>
    <w:p w14:paraId="6AE9E679" w14:textId="77777777" w:rsidR="00A01ACA" w:rsidRPr="00976742" w:rsidRDefault="00A01ACA" w:rsidP="00A01ACA">
      <w:pPr>
        <w:pStyle w:val="NoSpacing"/>
        <w:ind w:left="720"/>
        <w:rPr>
          <w:rFonts w:ascii="Times New Roman" w:hAnsi="Times New Roman"/>
          <w:b/>
          <w:bCs/>
          <w:sz w:val="24"/>
          <w:szCs w:val="24"/>
        </w:rPr>
      </w:pPr>
      <w:r w:rsidRPr="00976742">
        <w:rPr>
          <w:rFonts w:ascii="Times New Roman" w:hAnsi="Times New Roman"/>
          <w:bCs/>
          <w:sz w:val="24"/>
          <w:szCs w:val="24"/>
        </w:rPr>
        <w:t xml:space="preserve">Note: The U.S. Supreme Court decision in </w:t>
      </w:r>
      <w:r w:rsidRPr="00976742">
        <w:rPr>
          <w:rFonts w:ascii="Times New Roman" w:hAnsi="Times New Roman"/>
          <w:bCs/>
          <w:i/>
          <w:iCs/>
          <w:sz w:val="24"/>
          <w:szCs w:val="24"/>
        </w:rPr>
        <w:t>Daubert v. Merrell Dow Pharmaceuticals, Inc.</w:t>
      </w:r>
      <w:r w:rsidRPr="00976742">
        <w:rPr>
          <w:rFonts w:ascii="Times New Roman" w:hAnsi="Times New Roman"/>
          <w:bCs/>
          <w:sz w:val="24"/>
          <w:szCs w:val="24"/>
        </w:rPr>
        <w:t xml:space="preserve">, 509 U.S. 579 (1993), involved a lawsuit alleging that birth defects might have been caused by pregnant women taking Bendectin for anti-nausea.  The federal judge granted summary judgment to Merrell Dow, finding plaintiff’s expert testimony was not based on medical studies of humans, but based “upon ‘in vitro’ (test tube) and ‘in vivo’ (live) animal studies that found a link between Bendectin and malformations.”  </w:t>
      </w:r>
      <w:hyperlink r:id="rId324" w:history="1">
        <w:r w:rsidRPr="00976742">
          <w:rPr>
            <w:rStyle w:val="Hyperlink"/>
            <w:rFonts w:ascii="Times New Roman" w:hAnsi="Times New Roman"/>
            <w:b/>
            <w:sz w:val="24"/>
            <w:szCs w:val="24"/>
          </w:rPr>
          <w:t>https://www.law.cornell.edu/supct/html/92-102.ZO.html</w:t>
        </w:r>
      </w:hyperlink>
      <w:r w:rsidRPr="00976742">
        <w:rPr>
          <w:rFonts w:ascii="Times New Roman" w:hAnsi="Times New Roman"/>
          <w:bCs/>
          <w:sz w:val="24"/>
          <w:szCs w:val="24"/>
        </w:rPr>
        <w:t>.   The Supreme Court remanded the case, and directed the judge to decide if the plaintiffs’ experts met Rule 702 of the Federal Rules of Evidence, which provides (in part):</w:t>
      </w:r>
    </w:p>
    <w:p w14:paraId="2A3BA84B" w14:textId="77777777" w:rsidR="00A01ACA" w:rsidRPr="00976742" w:rsidRDefault="00A01ACA" w:rsidP="00A01ACA">
      <w:pPr>
        <w:pStyle w:val="NoSpacing"/>
        <w:ind w:left="1440"/>
        <w:rPr>
          <w:rFonts w:ascii="Times New Roman" w:eastAsia="Times New Roman" w:hAnsi="Times New Roman"/>
          <w:b/>
          <w:bCs/>
          <w:sz w:val="24"/>
          <w:szCs w:val="24"/>
        </w:rPr>
      </w:pPr>
    </w:p>
    <w:p w14:paraId="4DB4144C" w14:textId="77777777" w:rsidR="00A01ACA" w:rsidRPr="00976742" w:rsidRDefault="00A01ACA" w:rsidP="00A01ACA">
      <w:pPr>
        <w:pStyle w:val="NoSpacing"/>
        <w:ind w:left="1440"/>
        <w:rPr>
          <w:rFonts w:ascii="Times New Roman" w:hAnsi="Times New Roman"/>
          <w:b/>
          <w:bCs/>
          <w:sz w:val="24"/>
          <w:szCs w:val="24"/>
        </w:rPr>
      </w:pPr>
      <w:r>
        <w:rPr>
          <w:rFonts w:ascii="Times New Roman" w:eastAsia="Times New Roman" w:hAnsi="Times New Roman"/>
          <w:bCs/>
          <w:sz w:val="24"/>
          <w:szCs w:val="24"/>
        </w:rPr>
        <w:t>“</w:t>
      </w:r>
      <w:r w:rsidRPr="00976742">
        <w:rPr>
          <w:rFonts w:ascii="Times New Roman" w:eastAsia="Times New Roman" w:hAnsi="Times New Roman"/>
          <w:bCs/>
          <w:sz w:val="24"/>
          <w:szCs w:val="24"/>
        </w:rPr>
        <w:t>If scientific, technical, or other specialized knowledge will assist the trier of fact to understand the evidence or to determine a fact in issue, a witness qualified as an expert by knowledge, skill, experience, training, or education, may testify thereto in the form of an opinion or otherwise...</w:t>
      </w:r>
      <w:r>
        <w:rPr>
          <w:rFonts w:ascii="Times New Roman" w:eastAsia="Times New Roman" w:hAnsi="Times New Roman"/>
          <w:bCs/>
          <w:sz w:val="24"/>
          <w:szCs w:val="24"/>
        </w:rPr>
        <w:t>.”</w:t>
      </w:r>
      <w:r w:rsidRPr="00976742">
        <w:rPr>
          <w:rFonts w:ascii="Times New Roman" w:eastAsia="Times New Roman" w:hAnsi="Times New Roman"/>
          <w:bCs/>
          <w:sz w:val="24"/>
          <w:szCs w:val="24"/>
        </w:rPr>
        <w:t xml:space="preserve"> </w:t>
      </w:r>
    </w:p>
    <w:p w14:paraId="107B734A" w14:textId="77777777" w:rsidR="00A01ACA" w:rsidRPr="00976742" w:rsidRDefault="00A01ACA" w:rsidP="00A01ACA">
      <w:pPr>
        <w:pStyle w:val="NoSpacing"/>
        <w:ind w:left="720"/>
        <w:rPr>
          <w:rFonts w:ascii="Times New Roman" w:hAnsi="Times New Roman"/>
          <w:b/>
          <w:bCs/>
          <w:i/>
          <w:iCs/>
          <w:sz w:val="24"/>
          <w:szCs w:val="24"/>
        </w:rPr>
      </w:pPr>
    </w:p>
    <w:p w14:paraId="6B02A2E4" w14:textId="77777777" w:rsidR="00A01ACA" w:rsidRPr="00976742" w:rsidRDefault="00A01ACA" w:rsidP="00A01ACA">
      <w:pPr>
        <w:pStyle w:val="NoSpacing"/>
        <w:ind w:left="720"/>
        <w:rPr>
          <w:rFonts w:ascii="Times New Roman" w:hAnsi="Times New Roman"/>
          <w:b/>
          <w:bCs/>
          <w:sz w:val="24"/>
          <w:szCs w:val="24"/>
        </w:rPr>
      </w:pPr>
      <w:r w:rsidRPr="00976742">
        <w:rPr>
          <w:rFonts w:ascii="Times New Roman" w:hAnsi="Times New Roman"/>
          <w:bCs/>
          <w:sz w:val="24"/>
          <w:szCs w:val="24"/>
        </w:rPr>
        <w:t xml:space="preserve">The U.S. Supreme Court applied those standards in </w:t>
      </w:r>
      <w:r w:rsidRPr="00976742">
        <w:rPr>
          <w:rFonts w:ascii="Times New Roman" w:hAnsi="Times New Roman"/>
          <w:bCs/>
          <w:i/>
          <w:iCs/>
          <w:sz w:val="24"/>
          <w:szCs w:val="24"/>
        </w:rPr>
        <w:t>Kumho Tire Co. v. Carmichael</w:t>
      </w:r>
      <w:r w:rsidRPr="00976742">
        <w:rPr>
          <w:rFonts w:ascii="Times New Roman" w:hAnsi="Times New Roman"/>
          <w:bCs/>
          <w:sz w:val="24"/>
          <w:szCs w:val="24"/>
        </w:rPr>
        <w:t xml:space="preserve">, 526 U.S. 137 (1999), involving steel belted radial tire on a minivan, where passenger was killed.  The Court rejected the plaintiff’s tire expert: “Applying these standards, we determine that the District Court's decision in this case—not to admit certain expert testimony—was within its discretion and therefore lawful.” </w:t>
      </w:r>
      <w:hyperlink r:id="rId325" w:history="1">
        <w:r w:rsidRPr="00976742">
          <w:rPr>
            <w:rStyle w:val="Hyperlink"/>
            <w:rFonts w:ascii="Times New Roman" w:hAnsi="Times New Roman"/>
            <w:b/>
            <w:sz w:val="24"/>
            <w:szCs w:val="24"/>
          </w:rPr>
          <w:t>https://scholar.google.com/scholar_case?case=11404623739922196630&amp;q=Kumho+Tire+Co.+v.+Carmichael&amp;hl=en&amp;as_sdt=6,36&amp;as_vis=1</w:t>
        </w:r>
      </w:hyperlink>
      <w:r w:rsidRPr="00976742">
        <w:rPr>
          <w:rFonts w:ascii="Times New Roman" w:hAnsi="Times New Roman"/>
          <w:bCs/>
          <w:sz w:val="24"/>
          <w:szCs w:val="24"/>
        </w:rPr>
        <w:t xml:space="preserve"> </w:t>
      </w:r>
    </w:p>
    <w:p w14:paraId="259B960B" w14:textId="77777777" w:rsidR="00A01ACA" w:rsidRDefault="00A01ACA" w:rsidP="002B1283">
      <w:pPr>
        <w:rPr>
          <w:rFonts w:ascii="Arial Black" w:hAnsi="Arial Black"/>
          <w:b/>
          <w:sz w:val="24"/>
          <w:szCs w:val="24"/>
        </w:rPr>
      </w:pPr>
    </w:p>
    <w:p w14:paraId="56904DE0" w14:textId="64536183" w:rsidR="00A01ACA" w:rsidRDefault="00D94DC4" w:rsidP="002B1283">
      <w:pPr>
        <w:rPr>
          <w:rFonts w:ascii="Arial Black" w:hAnsi="Arial Black"/>
          <w:b/>
          <w:sz w:val="24"/>
          <w:szCs w:val="24"/>
        </w:rPr>
      </w:pPr>
      <w:r>
        <w:rPr>
          <w:rFonts w:ascii="Arial Black" w:hAnsi="Arial Black"/>
          <w:b/>
          <w:sz w:val="24"/>
          <w:szCs w:val="24"/>
        </w:rPr>
        <w:t>1-49</w:t>
      </w:r>
    </w:p>
    <w:p w14:paraId="7E0BE56D" w14:textId="77777777" w:rsidR="00D94DC4" w:rsidRPr="005F058B" w:rsidRDefault="00D94DC4" w:rsidP="00D94DC4">
      <w:pPr>
        <w:spacing w:before="100" w:beforeAutospacing="1" w:after="100" w:afterAutospacing="1" w:line="240" w:lineRule="auto"/>
        <w:rPr>
          <w:rFonts w:ascii="Arial Black" w:eastAsia="Times New Roman" w:hAnsi="Arial Black"/>
          <w:b/>
          <w:bCs/>
          <w:sz w:val="28"/>
          <w:szCs w:val="28"/>
        </w:rPr>
      </w:pPr>
      <w:bookmarkStart w:id="23" w:name="_Hlk69187401"/>
      <w:r w:rsidRPr="005F058B">
        <w:rPr>
          <w:rFonts w:ascii="Arial Black" w:eastAsia="Times New Roman" w:hAnsi="Arial Black"/>
          <w:b/>
          <w:bCs/>
          <w:sz w:val="28"/>
          <w:szCs w:val="28"/>
        </w:rPr>
        <w:t xml:space="preserve">MN: </w:t>
      </w:r>
      <w:r>
        <w:rPr>
          <w:rFonts w:ascii="Arial Black" w:eastAsia="Times New Roman" w:hAnsi="Arial Black"/>
          <w:b/>
          <w:bCs/>
          <w:sz w:val="28"/>
          <w:szCs w:val="28"/>
        </w:rPr>
        <w:t xml:space="preserve">ARSON – HOMEOWNER INTENTIONALLY SET FIRE - 41 MONTHS PRISON – TRIAL JUDGE REJECTED PROBATION - KILLED DOG, LIED INVESTIGATORS, INSURANCE FRAUD </w:t>
      </w:r>
    </w:p>
    <w:bookmarkEnd w:id="23"/>
    <w:p w14:paraId="296D9018" w14:textId="77777777" w:rsidR="00D94DC4" w:rsidRDefault="00D94DC4" w:rsidP="00D94DC4">
      <w:pPr>
        <w:spacing w:before="100" w:beforeAutospacing="1" w:after="100" w:afterAutospacing="1" w:line="240" w:lineRule="auto"/>
        <w:rPr>
          <w:rFonts w:ascii="Times New Roman" w:eastAsia="Times New Roman" w:hAnsi="Times New Roman"/>
          <w:sz w:val="24"/>
          <w:szCs w:val="24"/>
        </w:rPr>
      </w:pPr>
      <w:r w:rsidRPr="008067AC">
        <w:rPr>
          <w:rFonts w:ascii="Times New Roman" w:eastAsia="Times New Roman" w:hAnsi="Times New Roman"/>
          <w:sz w:val="24"/>
          <w:szCs w:val="24"/>
        </w:rPr>
        <w:t xml:space="preserve">On April 13, 2020, in </w:t>
      </w:r>
      <w:r w:rsidRPr="008067AC">
        <w:rPr>
          <w:rFonts w:ascii="Times New Roman" w:eastAsia="Times New Roman" w:hAnsi="Times New Roman"/>
          <w:sz w:val="24"/>
          <w:szCs w:val="24"/>
          <w:u w:val="single"/>
        </w:rPr>
        <w:t>State of Minnesota v. Jeffrey George Ackerson, Jr.</w:t>
      </w:r>
      <w:r>
        <w:rPr>
          <w:rFonts w:ascii="Times New Roman" w:eastAsia="Times New Roman" w:hAnsi="Times New Roman"/>
          <w:sz w:val="24"/>
          <w:szCs w:val="24"/>
        </w:rPr>
        <w:t xml:space="preserve">, the State of Minnesota Court of Appeals, held (3 to 0) that the trial judge did not abuse his discretion in refusing to impose a reduced sentence. </w:t>
      </w:r>
      <w:bookmarkStart w:id="24" w:name="_Hlk69187457"/>
      <w:r w:rsidR="000F483A">
        <w:fldChar w:fldCharType="begin"/>
      </w:r>
      <w:r w:rsidR="000F483A">
        <w:instrText xml:space="preserve"> HYPERLINK "https://mn.gov/law-library-stat/archive/ctapun/2020/OPa190562-041320.pdf" </w:instrText>
      </w:r>
      <w:r w:rsidR="000F483A">
        <w:fldChar w:fldCharType="separate"/>
      </w:r>
      <w:r w:rsidRPr="00C46C1D">
        <w:rPr>
          <w:rStyle w:val="Hyperlink"/>
          <w:sz w:val="24"/>
          <w:szCs w:val="24"/>
        </w:rPr>
        <w:t>https://mn.gov/law-library-stat/archive/ctapun/2020/OPa190562-041320.pdf</w:t>
      </w:r>
      <w:r w:rsidR="000F483A">
        <w:rPr>
          <w:rStyle w:val="Hyperlink"/>
          <w:sz w:val="24"/>
          <w:szCs w:val="24"/>
        </w:rPr>
        <w:fldChar w:fldCharType="end"/>
      </w:r>
      <w:r>
        <w:rPr>
          <w:rFonts w:ascii="Times New Roman" w:eastAsia="Times New Roman" w:hAnsi="Times New Roman"/>
          <w:sz w:val="24"/>
          <w:szCs w:val="24"/>
        </w:rPr>
        <w:t xml:space="preserve"> </w:t>
      </w:r>
    </w:p>
    <w:bookmarkEnd w:id="24"/>
    <w:p w14:paraId="355638C3" w14:textId="77777777" w:rsidR="00D94DC4" w:rsidRPr="008067AC" w:rsidRDefault="00D94DC4" w:rsidP="00D94DC4">
      <w:pPr>
        <w:spacing w:before="100" w:beforeAutospacing="1" w:after="100" w:afterAutospacing="1" w:line="240" w:lineRule="auto"/>
        <w:jc w:val="both"/>
        <w:rPr>
          <w:rFonts w:ascii="Times New Roman" w:hAnsi="Times New Roman"/>
          <w:b/>
          <w:bCs/>
          <w:sz w:val="24"/>
          <w:szCs w:val="24"/>
        </w:rPr>
      </w:pPr>
      <w:r w:rsidRPr="008067AC">
        <w:rPr>
          <w:rFonts w:ascii="Times New Roman" w:hAnsi="Times New Roman"/>
          <w:b/>
          <w:bCs/>
          <w:sz w:val="24"/>
          <w:szCs w:val="24"/>
        </w:rPr>
        <w:t xml:space="preserve">Legal Lessons Learned: </w:t>
      </w:r>
      <w:r>
        <w:rPr>
          <w:rFonts w:ascii="Times New Roman" w:hAnsi="Times New Roman"/>
          <w:b/>
          <w:bCs/>
          <w:sz w:val="24"/>
          <w:szCs w:val="24"/>
        </w:rPr>
        <w:t xml:space="preserve">Minnesota uses presumptive sentencing guidelines; the trial court wisely rejected the public defender office </w:t>
      </w:r>
      <w:r w:rsidRPr="00C01962">
        <w:rPr>
          <w:rFonts w:ascii="Times New Roman" w:hAnsi="Times New Roman"/>
          <w:b/>
          <w:bCs/>
          <w:sz w:val="24"/>
          <w:szCs w:val="24"/>
        </w:rPr>
        <w:t>“dispositional advisor”</w:t>
      </w:r>
      <w:r>
        <w:rPr>
          <w:rFonts w:ascii="Times New Roman" w:hAnsi="Times New Roman"/>
          <w:b/>
          <w:bCs/>
          <w:sz w:val="24"/>
          <w:szCs w:val="24"/>
        </w:rPr>
        <w:t xml:space="preserve"> recommendation of probation. </w:t>
      </w:r>
    </w:p>
    <w:p w14:paraId="6DD0CB15" w14:textId="77777777" w:rsidR="00D94DC4" w:rsidRDefault="00D94DC4" w:rsidP="002B1283">
      <w:pPr>
        <w:rPr>
          <w:rFonts w:ascii="Arial Black" w:hAnsi="Arial Black"/>
          <w:b/>
          <w:sz w:val="24"/>
          <w:szCs w:val="24"/>
        </w:rPr>
      </w:pPr>
    </w:p>
    <w:p w14:paraId="54214AD2" w14:textId="77777777" w:rsidR="00A01ACA" w:rsidRDefault="00A01ACA" w:rsidP="002B1283">
      <w:pPr>
        <w:rPr>
          <w:rFonts w:ascii="Arial Black" w:hAnsi="Arial Black"/>
          <w:b/>
          <w:sz w:val="24"/>
          <w:szCs w:val="24"/>
        </w:rPr>
      </w:pPr>
    </w:p>
    <w:p w14:paraId="0E4FF9CA" w14:textId="749AE805" w:rsidR="00A01ACA" w:rsidRDefault="00A01ACA" w:rsidP="002B1283">
      <w:pPr>
        <w:rPr>
          <w:rFonts w:ascii="Arial Black" w:hAnsi="Arial Black"/>
          <w:b/>
          <w:sz w:val="24"/>
          <w:szCs w:val="24"/>
        </w:rPr>
      </w:pPr>
      <w:r>
        <w:rPr>
          <w:rFonts w:ascii="Arial Black" w:hAnsi="Arial Black"/>
          <w:b/>
          <w:sz w:val="24"/>
          <w:szCs w:val="24"/>
        </w:rPr>
        <w:t>1-4</w:t>
      </w:r>
      <w:r w:rsidR="00334940">
        <w:rPr>
          <w:rFonts w:ascii="Arial Black" w:hAnsi="Arial Black"/>
          <w:b/>
          <w:sz w:val="24"/>
          <w:szCs w:val="24"/>
        </w:rPr>
        <w:t>8</w:t>
      </w:r>
    </w:p>
    <w:p w14:paraId="5CD55791" w14:textId="77777777" w:rsidR="00A01ACA" w:rsidRPr="00B6039F" w:rsidRDefault="00A01ACA" w:rsidP="00A01ACA">
      <w:pPr>
        <w:pStyle w:val="NoSpacing"/>
        <w:rPr>
          <w:rFonts w:ascii="Arial Black" w:hAnsi="Arial Black"/>
          <w:sz w:val="28"/>
          <w:szCs w:val="28"/>
        </w:rPr>
      </w:pPr>
      <w:bookmarkStart w:id="25" w:name="_Hlk41315198"/>
      <w:r w:rsidRPr="00B6039F">
        <w:rPr>
          <w:rFonts w:ascii="Arial Black" w:hAnsi="Arial Black"/>
          <w:sz w:val="28"/>
          <w:szCs w:val="28"/>
        </w:rPr>
        <w:t>U.S. SUP</w:t>
      </w:r>
      <w:r>
        <w:rPr>
          <w:rFonts w:ascii="Arial Black" w:hAnsi="Arial Black"/>
          <w:sz w:val="28"/>
          <w:szCs w:val="28"/>
        </w:rPr>
        <w:t xml:space="preserve">. CT:  CRIMINAL CONV. MUST BE </w:t>
      </w:r>
      <w:r w:rsidRPr="00B6039F">
        <w:rPr>
          <w:rFonts w:ascii="Arial Black" w:hAnsi="Arial Black"/>
          <w:sz w:val="28"/>
          <w:szCs w:val="28"/>
        </w:rPr>
        <w:t>UNANIMOUS</w:t>
      </w:r>
      <w:r>
        <w:rPr>
          <w:rFonts w:ascii="Arial Black" w:hAnsi="Arial Black"/>
          <w:sz w:val="28"/>
          <w:szCs w:val="28"/>
        </w:rPr>
        <w:t xml:space="preserve"> JURY – LOUISIANA, OREGON 10-2 UNCONSTITUTIONAL</w:t>
      </w:r>
    </w:p>
    <w:p w14:paraId="7F8D42D8" w14:textId="77777777" w:rsidR="00A01ACA" w:rsidRDefault="00A01ACA" w:rsidP="00A01ACA">
      <w:pPr>
        <w:pStyle w:val="NoSpacing"/>
        <w:rPr>
          <w:sz w:val="27"/>
          <w:szCs w:val="27"/>
        </w:rPr>
      </w:pPr>
    </w:p>
    <w:p w14:paraId="694A4B42" w14:textId="77777777" w:rsidR="00A01ACA" w:rsidRPr="00976742" w:rsidRDefault="00A01ACA" w:rsidP="00A01ACA">
      <w:pPr>
        <w:pStyle w:val="NoSpacing"/>
        <w:rPr>
          <w:rFonts w:ascii="Times New Roman" w:hAnsi="Times New Roman"/>
          <w:b/>
          <w:bCs/>
          <w:sz w:val="24"/>
          <w:szCs w:val="24"/>
        </w:rPr>
      </w:pPr>
      <w:r w:rsidRPr="00976742">
        <w:rPr>
          <w:rFonts w:ascii="Times New Roman" w:hAnsi="Times New Roman"/>
          <w:bCs/>
          <w:sz w:val="24"/>
          <w:szCs w:val="24"/>
        </w:rPr>
        <w:t xml:space="preserve">On April 20, </w:t>
      </w:r>
      <w:proofErr w:type="gramStart"/>
      <w:r w:rsidRPr="00976742">
        <w:rPr>
          <w:rFonts w:ascii="Times New Roman" w:hAnsi="Times New Roman"/>
          <w:bCs/>
          <w:sz w:val="24"/>
          <w:szCs w:val="24"/>
        </w:rPr>
        <w:t>2020</w:t>
      </w:r>
      <w:proofErr w:type="gramEnd"/>
      <w:r w:rsidRPr="00976742">
        <w:rPr>
          <w:rFonts w:ascii="Times New Roman" w:hAnsi="Times New Roman"/>
          <w:bCs/>
          <w:sz w:val="24"/>
          <w:szCs w:val="24"/>
        </w:rPr>
        <w:t xml:space="preserve"> in </w:t>
      </w:r>
      <w:proofErr w:type="spellStart"/>
      <w:r w:rsidRPr="00976742">
        <w:rPr>
          <w:rFonts w:ascii="Times New Roman" w:hAnsi="Times New Roman"/>
          <w:bCs/>
          <w:sz w:val="24"/>
          <w:szCs w:val="24"/>
          <w:u w:val="single"/>
        </w:rPr>
        <w:t>Evangelisto</w:t>
      </w:r>
      <w:proofErr w:type="spellEnd"/>
      <w:r w:rsidRPr="00976742">
        <w:rPr>
          <w:rFonts w:ascii="Times New Roman" w:hAnsi="Times New Roman"/>
          <w:bCs/>
          <w:sz w:val="24"/>
          <w:szCs w:val="24"/>
          <w:u w:val="single"/>
        </w:rPr>
        <w:t xml:space="preserve"> Ramos v. Louisiana</w:t>
      </w:r>
      <w:r w:rsidRPr="00976742">
        <w:rPr>
          <w:rFonts w:ascii="Times New Roman" w:hAnsi="Times New Roman"/>
          <w:bCs/>
          <w:sz w:val="24"/>
          <w:szCs w:val="24"/>
        </w:rPr>
        <w:t xml:space="preserve">, the U.S. Supreme Court (6 to 3) set aside prior court precedent from 1972, overturned Ramos’s conviction for second-degree murder, and life imprisonment. Six Justices agreed on setting aside the conviction, but 4 of the 6 wrote concurring opinions outlining different legal reasoning. Louisiana and Oregon are the only states allowing convictions on less than unanimous verdicts (implemented in Louisiana in 1898 out of concern about African American jurors on jury; Oregon in 1930s implemented out of concern of KKK members getting on jury).  Louisiana in 2019 started requiring unanimous verdicts for crimes committed in 2019 or later.  Presumably they will re-try Ramos (an oil-supply boat worker, who admitted having consensual sex with </w:t>
      </w:r>
      <w:proofErr w:type="gramStart"/>
      <w:r w:rsidRPr="00976742">
        <w:rPr>
          <w:rFonts w:ascii="Times New Roman" w:hAnsi="Times New Roman"/>
          <w:bCs/>
          <w:sz w:val="24"/>
          <w:szCs w:val="24"/>
        </w:rPr>
        <w:t>43-year old</w:t>
      </w:r>
      <w:proofErr w:type="gramEnd"/>
      <w:r w:rsidRPr="00976742">
        <w:rPr>
          <w:rFonts w:ascii="Times New Roman" w:hAnsi="Times New Roman"/>
          <w:bCs/>
          <w:sz w:val="24"/>
          <w:szCs w:val="24"/>
        </w:rPr>
        <w:t xml:space="preserve"> </w:t>
      </w:r>
      <w:proofErr w:type="spellStart"/>
      <w:r w:rsidRPr="00976742">
        <w:rPr>
          <w:rFonts w:ascii="Times New Roman" w:hAnsi="Times New Roman"/>
          <w:bCs/>
          <w:sz w:val="24"/>
          <w:szCs w:val="24"/>
        </w:rPr>
        <w:t>Ternice</w:t>
      </w:r>
      <w:proofErr w:type="spellEnd"/>
      <w:r w:rsidRPr="00976742">
        <w:rPr>
          <w:rFonts w:ascii="Times New Roman" w:hAnsi="Times New Roman"/>
          <w:bCs/>
          <w:sz w:val="24"/>
          <w:szCs w:val="24"/>
        </w:rPr>
        <w:t xml:space="preserve"> Fedison the night before her body was stuffed into a garbage can).   </w:t>
      </w:r>
    </w:p>
    <w:p w14:paraId="6236074E" w14:textId="77777777" w:rsidR="00A01ACA" w:rsidRPr="00976742" w:rsidRDefault="00A01ACA" w:rsidP="00A01ACA">
      <w:pPr>
        <w:pStyle w:val="NoSpacing"/>
        <w:rPr>
          <w:rFonts w:ascii="Times New Roman" w:hAnsi="Times New Roman"/>
          <w:b/>
          <w:bCs/>
          <w:sz w:val="24"/>
          <w:szCs w:val="24"/>
        </w:rPr>
      </w:pPr>
    </w:p>
    <w:p w14:paraId="4DC31D7E" w14:textId="77777777" w:rsidR="00A01ACA" w:rsidRPr="00976742" w:rsidRDefault="00A01ACA" w:rsidP="00A01ACA">
      <w:pPr>
        <w:pStyle w:val="NoSpacing"/>
        <w:ind w:left="720"/>
        <w:rPr>
          <w:rFonts w:ascii="Times New Roman" w:hAnsi="Times New Roman"/>
          <w:b/>
          <w:bCs/>
          <w:sz w:val="24"/>
          <w:szCs w:val="24"/>
        </w:rPr>
      </w:pPr>
      <w:bookmarkStart w:id="26" w:name="_Hlk39765318"/>
      <w:r w:rsidRPr="00976742">
        <w:rPr>
          <w:rFonts w:ascii="Times New Roman" w:hAnsi="Times New Roman"/>
          <w:bCs/>
          <w:sz w:val="24"/>
          <w:szCs w:val="24"/>
        </w:rPr>
        <w:t xml:space="preserve">“On what ground would anyone </w:t>
      </w:r>
      <w:proofErr w:type="gramStart"/>
      <w:r w:rsidRPr="00976742">
        <w:rPr>
          <w:rFonts w:ascii="Times New Roman" w:hAnsi="Times New Roman"/>
          <w:bCs/>
          <w:sz w:val="24"/>
          <w:szCs w:val="24"/>
        </w:rPr>
        <w:t>have</w:t>
      </w:r>
      <w:proofErr w:type="gramEnd"/>
      <w:r w:rsidRPr="00976742">
        <w:rPr>
          <w:rFonts w:ascii="Times New Roman" w:hAnsi="Times New Roman"/>
          <w:bCs/>
          <w:sz w:val="24"/>
          <w:szCs w:val="24"/>
        </w:rPr>
        <w:t xml:space="preserve"> us leave Mr. Ramos in prison for the rest of his life? Not a single Member of this Court is prepared to say Louisiana secured his conviction constitutionally under the Sixth Amendment. No one </w:t>
      </w:r>
      <w:proofErr w:type="gramStart"/>
      <w:r w:rsidRPr="00976742">
        <w:rPr>
          <w:rFonts w:ascii="Times New Roman" w:hAnsi="Times New Roman"/>
          <w:bCs/>
          <w:sz w:val="24"/>
          <w:szCs w:val="24"/>
        </w:rPr>
        <w:t>be-fore</w:t>
      </w:r>
      <w:proofErr w:type="gramEnd"/>
      <w:r w:rsidRPr="00976742">
        <w:rPr>
          <w:rFonts w:ascii="Times New Roman" w:hAnsi="Times New Roman"/>
          <w:bCs/>
          <w:sz w:val="24"/>
          <w:szCs w:val="24"/>
        </w:rPr>
        <w:t xml:space="preserve"> us suggests that the error was harmless. Louisiana does not claim precedent commands an affirmance. In the end, the </w:t>
      </w:r>
      <w:proofErr w:type="gramStart"/>
      <w:r w:rsidRPr="00976742">
        <w:rPr>
          <w:rFonts w:ascii="Times New Roman" w:hAnsi="Times New Roman"/>
          <w:bCs/>
          <w:sz w:val="24"/>
          <w:szCs w:val="24"/>
        </w:rPr>
        <w:t>best</w:t>
      </w:r>
      <w:proofErr w:type="gramEnd"/>
      <w:r w:rsidRPr="00976742">
        <w:rPr>
          <w:rFonts w:ascii="Times New Roman" w:hAnsi="Times New Roman"/>
          <w:bCs/>
          <w:sz w:val="24"/>
          <w:szCs w:val="24"/>
        </w:rPr>
        <w:t xml:space="preserve"> anyone </w:t>
      </w:r>
      <w:proofErr w:type="gramStart"/>
      <w:r w:rsidRPr="00976742">
        <w:rPr>
          <w:rFonts w:ascii="Times New Roman" w:hAnsi="Times New Roman"/>
          <w:bCs/>
          <w:sz w:val="24"/>
          <w:szCs w:val="24"/>
        </w:rPr>
        <w:t>can</w:t>
      </w:r>
      <w:proofErr w:type="gramEnd"/>
      <w:r w:rsidRPr="00976742">
        <w:rPr>
          <w:rFonts w:ascii="Times New Roman" w:hAnsi="Times New Roman"/>
          <w:bCs/>
          <w:sz w:val="24"/>
          <w:szCs w:val="24"/>
        </w:rPr>
        <w:t xml:space="preserve"> seem to muster against Mr. Ramos is that, if we dared to admit in his case what we all know to be true about the Sixth Amendment, we might have to say the same in some others. But where is </w:t>
      </w:r>
      <w:proofErr w:type="gramStart"/>
      <w:r w:rsidRPr="00976742">
        <w:rPr>
          <w:rFonts w:ascii="Times New Roman" w:hAnsi="Times New Roman"/>
          <w:bCs/>
          <w:sz w:val="24"/>
          <w:szCs w:val="24"/>
        </w:rPr>
        <w:t>the justice</w:t>
      </w:r>
      <w:proofErr w:type="gramEnd"/>
      <w:r w:rsidRPr="00976742">
        <w:rPr>
          <w:rFonts w:ascii="Times New Roman" w:hAnsi="Times New Roman"/>
          <w:bCs/>
          <w:sz w:val="24"/>
          <w:szCs w:val="24"/>
        </w:rPr>
        <w:t xml:space="preserve"> in that? Every judge must learn to live with the fact he or she will make some mistakes; it comes with the territory. But it is something else entirely to perpetuate something we all know to be wrong only because we fear the consequences of being right. The judgment of the Court of Appeals is Reversed.” </w:t>
      </w:r>
      <w:hyperlink r:id="rId326" w:history="1">
        <w:r w:rsidRPr="00976742">
          <w:rPr>
            <w:rStyle w:val="Hyperlink"/>
            <w:rFonts w:ascii="Times New Roman" w:hAnsi="Times New Roman"/>
            <w:b/>
            <w:sz w:val="24"/>
            <w:szCs w:val="24"/>
          </w:rPr>
          <w:t>https://www.supremecourt.gov/opinions/19pdf/18-5924_n6io.pdf</w:t>
        </w:r>
      </w:hyperlink>
      <w:r w:rsidRPr="00976742">
        <w:rPr>
          <w:rFonts w:ascii="Times New Roman" w:hAnsi="Times New Roman"/>
          <w:bCs/>
          <w:sz w:val="24"/>
          <w:szCs w:val="24"/>
        </w:rPr>
        <w:t xml:space="preserve"> </w:t>
      </w:r>
    </w:p>
    <w:bookmarkEnd w:id="26"/>
    <w:p w14:paraId="7F74FADB" w14:textId="77777777" w:rsidR="00A01ACA" w:rsidRDefault="00A01ACA" w:rsidP="00A01ACA">
      <w:pPr>
        <w:pStyle w:val="NoSpacing"/>
        <w:rPr>
          <w:rFonts w:ascii="Times New Roman" w:hAnsi="Times New Roman"/>
          <w:b/>
          <w:bCs/>
          <w:sz w:val="24"/>
          <w:szCs w:val="24"/>
        </w:rPr>
      </w:pPr>
    </w:p>
    <w:p w14:paraId="6DFB1564" w14:textId="54709E47" w:rsidR="00A01ACA" w:rsidRPr="00976742" w:rsidRDefault="00A01ACA" w:rsidP="00A01ACA">
      <w:pPr>
        <w:pStyle w:val="NoSpacing"/>
        <w:rPr>
          <w:rFonts w:ascii="Times New Roman" w:hAnsi="Times New Roman"/>
          <w:b/>
          <w:bCs/>
          <w:sz w:val="24"/>
          <w:szCs w:val="24"/>
        </w:rPr>
      </w:pPr>
      <w:r w:rsidRPr="00976742">
        <w:rPr>
          <w:rFonts w:ascii="Times New Roman" w:hAnsi="Times New Roman"/>
          <w:b/>
          <w:bCs/>
          <w:sz w:val="24"/>
          <w:szCs w:val="24"/>
        </w:rPr>
        <w:lastRenderedPageBreak/>
        <w:t xml:space="preserve">Legal Lessons Learned:  Our Nation will now be uniform – unanimous jury verdicts will be required to convict (or to acquit). </w:t>
      </w:r>
    </w:p>
    <w:bookmarkEnd w:id="25"/>
    <w:p w14:paraId="41B593FD" w14:textId="77777777" w:rsidR="00A01ACA" w:rsidRDefault="00A01ACA" w:rsidP="002B1283">
      <w:pPr>
        <w:rPr>
          <w:rFonts w:ascii="Arial Black" w:hAnsi="Arial Black"/>
          <w:b/>
          <w:sz w:val="24"/>
          <w:szCs w:val="24"/>
        </w:rPr>
      </w:pPr>
    </w:p>
    <w:p w14:paraId="6A22381E" w14:textId="77777777" w:rsidR="00A01ACA" w:rsidRDefault="00A01ACA" w:rsidP="002B1283">
      <w:pPr>
        <w:rPr>
          <w:rFonts w:ascii="Arial Black" w:hAnsi="Arial Black"/>
          <w:b/>
          <w:sz w:val="24"/>
          <w:szCs w:val="24"/>
        </w:rPr>
      </w:pPr>
    </w:p>
    <w:p w14:paraId="6562A152" w14:textId="77777777" w:rsidR="00A01ACA" w:rsidRDefault="00A01ACA" w:rsidP="002B1283">
      <w:pPr>
        <w:rPr>
          <w:rFonts w:ascii="Arial Black" w:hAnsi="Arial Black"/>
          <w:b/>
          <w:sz w:val="24"/>
          <w:szCs w:val="24"/>
        </w:rPr>
      </w:pPr>
    </w:p>
    <w:p w14:paraId="24419917" w14:textId="6BCF8A7B" w:rsidR="00A01ACA" w:rsidRDefault="00A01ACA" w:rsidP="002B1283">
      <w:pPr>
        <w:rPr>
          <w:rFonts w:ascii="Arial Black" w:hAnsi="Arial Black"/>
          <w:b/>
          <w:sz w:val="24"/>
          <w:szCs w:val="24"/>
        </w:rPr>
      </w:pPr>
      <w:r>
        <w:rPr>
          <w:rFonts w:ascii="Arial Black" w:hAnsi="Arial Black"/>
          <w:b/>
          <w:sz w:val="24"/>
          <w:szCs w:val="24"/>
        </w:rPr>
        <w:t>1-4</w:t>
      </w:r>
      <w:r w:rsidR="00334940">
        <w:rPr>
          <w:rFonts w:ascii="Arial Black" w:hAnsi="Arial Black"/>
          <w:b/>
          <w:sz w:val="24"/>
          <w:szCs w:val="24"/>
        </w:rPr>
        <w:t>7</w:t>
      </w:r>
    </w:p>
    <w:p w14:paraId="17E45F19" w14:textId="77777777" w:rsidR="00A01ACA" w:rsidRPr="008D16D7" w:rsidRDefault="00A01ACA" w:rsidP="00A01ACA">
      <w:pPr>
        <w:pStyle w:val="NoSpacing"/>
        <w:rPr>
          <w:rFonts w:ascii="Arial Black" w:hAnsi="Arial Black"/>
          <w:sz w:val="28"/>
          <w:szCs w:val="28"/>
        </w:rPr>
      </w:pPr>
      <w:bookmarkStart w:id="27" w:name="_Hlk69187531"/>
      <w:r>
        <w:rPr>
          <w:rFonts w:ascii="Arial Black" w:hAnsi="Arial Black"/>
          <w:sz w:val="28"/>
          <w:szCs w:val="28"/>
        </w:rPr>
        <w:t>OH:  FIRE CODES - TWO FIRES AT RECYCLING CENTER – LARGE PILE OF CONSTRUCTION DEBRI - INJUNCTION</w:t>
      </w:r>
    </w:p>
    <w:bookmarkEnd w:id="27"/>
    <w:p w14:paraId="2F2112DB" w14:textId="77777777" w:rsidR="00A01ACA" w:rsidRDefault="00A01ACA" w:rsidP="00A01ACA">
      <w:pPr>
        <w:pStyle w:val="NoSpacing"/>
        <w:rPr>
          <w:b/>
          <w:bCs/>
          <w:sz w:val="24"/>
          <w:szCs w:val="24"/>
        </w:rPr>
      </w:pPr>
    </w:p>
    <w:p w14:paraId="22DD2E0F" w14:textId="77777777" w:rsidR="00A01ACA" w:rsidRPr="00976742" w:rsidRDefault="00A01ACA" w:rsidP="00A01ACA">
      <w:pPr>
        <w:pStyle w:val="NoSpacing"/>
        <w:rPr>
          <w:rFonts w:ascii="Times New Roman" w:hAnsi="Times New Roman"/>
          <w:b/>
          <w:bCs/>
          <w:sz w:val="24"/>
          <w:szCs w:val="24"/>
        </w:rPr>
      </w:pPr>
      <w:r w:rsidRPr="00976742">
        <w:rPr>
          <w:rFonts w:ascii="Times New Roman" w:hAnsi="Times New Roman"/>
          <w:bCs/>
          <w:sz w:val="24"/>
          <w:szCs w:val="24"/>
        </w:rPr>
        <w:t xml:space="preserve">On </w:t>
      </w:r>
      <w:bookmarkStart w:id="28" w:name="_Hlk39822336"/>
      <w:r w:rsidRPr="00976742">
        <w:rPr>
          <w:rFonts w:ascii="Times New Roman" w:hAnsi="Times New Roman"/>
          <w:bCs/>
          <w:sz w:val="24"/>
          <w:szCs w:val="24"/>
        </w:rPr>
        <w:t xml:space="preserve">April 16, 2020, in </w:t>
      </w:r>
      <w:r w:rsidRPr="00976742">
        <w:rPr>
          <w:rFonts w:ascii="Times New Roman" w:hAnsi="Times New Roman"/>
          <w:bCs/>
          <w:sz w:val="24"/>
          <w:szCs w:val="24"/>
          <w:u w:val="single"/>
        </w:rPr>
        <w:t>State ex rel. Yost v. Baumann's Recycling Ctr., L.L.C.</w:t>
      </w:r>
      <w:r w:rsidRPr="00976742">
        <w:rPr>
          <w:rFonts w:ascii="Times New Roman" w:hAnsi="Times New Roman"/>
          <w:sz w:val="24"/>
          <w:szCs w:val="24"/>
        </w:rPr>
        <w:t xml:space="preserve">, </w:t>
      </w:r>
      <w:r w:rsidRPr="00976742">
        <w:rPr>
          <w:rFonts w:ascii="Times New Roman" w:hAnsi="Times New Roman"/>
          <w:bCs/>
          <w:sz w:val="24"/>
          <w:szCs w:val="24"/>
        </w:rPr>
        <w:t>2020-Ohio-1504</w:t>
      </w:r>
      <w:bookmarkEnd w:id="28"/>
      <w:r w:rsidRPr="00976742">
        <w:rPr>
          <w:rFonts w:ascii="Times New Roman" w:hAnsi="Times New Roman"/>
          <w:bCs/>
          <w:sz w:val="24"/>
          <w:szCs w:val="24"/>
        </w:rPr>
        <w:t xml:space="preserve">, the Ohio Court of Appeals for Eight Appellate District (Cuyahoga County), held (3 to 0) that the trial court properly issued an injunction.  On June 13, 2019, the trial court granted Ohio Attorney General’s lawsuit seeking an injunction, after a bench trial. </w:t>
      </w:r>
    </w:p>
    <w:p w14:paraId="1A3CA867" w14:textId="77777777" w:rsidR="00A01ACA" w:rsidRPr="00976742" w:rsidRDefault="00A01ACA" w:rsidP="00A01ACA">
      <w:pPr>
        <w:pStyle w:val="NoSpacing"/>
        <w:rPr>
          <w:rFonts w:ascii="Times New Roman" w:hAnsi="Times New Roman"/>
          <w:b/>
          <w:bCs/>
          <w:sz w:val="24"/>
          <w:szCs w:val="24"/>
        </w:rPr>
      </w:pPr>
    </w:p>
    <w:p w14:paraId="24153EAD" w14:textId="77777777" w:rsidR="00A01ACA" w:rsidRPr="00976742" w:rsidRDefault="00A01ACA" w:rsidP="00A01ACA">
      <w:pPr>
        <w:pStyle w:val="NoSpacing"/>
        <w:ind w:left="720"/>
        <w:rPr>
          <w:rFonts w:ascii="Times New Roman" w:hAnsi="Times New Roman"/>
          <w:b/>
          <w:bCs/>
          <w:sz w:val="24"/>
          <w:szCs w:val="24"/>
        </w:rPr>
      </w:pPr>
      <w:bookmarkStart w:id="29" w:name="_Hlk39765373"/>
      <w:r w:rsidRPr="00976742">
        <w:rPr>
          <w:rFonts w:ascii="Times New Roman" w:hAnsi="Times New Roman"/>
          <w:bCs/>
          <w:sz w:val="24"/>
          <w:szCs w:val="24"/>
        </w:rPr>
        <w:t>“Here, the evidence of record indicated that the disputed pile of C&amp;DD materials had not decreased in size since 2011. The judge properly found that this was not temporary. Further, the evidence demonstrated that the material was producing steam vents from active decomposition, so the court could properly conclude that the material was not ‘substantially unchanged’ or ‘retrievable.’ Therefore, the court did not err in rejecting BRC’s claim that it simply engaged in permissible storage in connection with its ‘processing’ of C&amp;DD within the facility exclusion from the requirements for C&amp;DD ‘disposal’ set forth in R.C. Chapter 3714.”</w:t>
      </w:r>
    </w:p>
    <w:bookmarkStart w:id="30" w:name="_Hlk39820985"/>
    <w:bookmarkStart w:id="31" w:name="_Hlk69187577"/>
    <w:p w14:paraId="5E1242B8" w14:textId="77777777" w:rsidR="00A01ACA" w:rsidRPr="00976742" w:rsidRDefault="00F2621E" w:rsidP="00A01ACA">
      <w:pPr>
        <w:pStyle w:val="NoSpacing"/>
        <w:ind w:left="720"/>
        <w:rPr>
          <w:rFonts w:ascii="Times New Roman" w:hAnsi="Times New Roman"/>
          <w:b/>
          <w:bCs/>
          <w:sz w:val="24"/>
          <w:szCs w:val="24"/>
        </w:rPr>
      </w:pPr>
      <w:r>
        <w:fldChar w:fldCharType="begin"/>
      </w:r>
      <w:r>
        <w:instrText xml:space="preserve"> HYPERLINK "https://www.supremecourt.ohio.gov/rod/docs/pdf/8/2020/2020-Ohio-1504.pdf" </w:instrText>
      </w:r>
      <w:r>
        <w:fldChar w:fldCharType="separate"/>
      </w:r>
      <w:r w:rsidR="00A01ACA" w:rsidRPr="00976742">
        <w:rPr>
          <w:rStyle w:val="Hyperlink"/>
          <w:rFonts w:ascii="Times New Roman" w:hAnsi="Times New Roman"/>
          <w:b/>
          <w:sz w:val="24"/>
          <w:szCs w:val="24"/>
        </w:rPr>
        <w:t>https://www.supremecourt.ohio.gov/rod/docs/pdf/8/2020/2020-Ohio-1504.pdf</w:t>
      </w:r>
      <w:r>
        <w:rPr>
          <w:rStyle w:val="Hyperlink"/>
          <w:rFonts w:ascii="Times New Roman" w:hAnsi="Times New Roman"/>
          <w:b/>
          <w:sz w:val="24"/>
          <w:szCs w:val="24"/>
        </w:rPr>
        <w:fldChar w:fldCharType="end"/>
      </w:r>
      <w:bookmarkEnd w:id="30"/>
      <w:r w:rsidR="00A01ACA" w:rsidRPr="00976742">
        <w:rPr>
          <w:rFonts w:ascii="Times New Roman" w:hAnsi="Times New Roman"/>
          <w:bCs/>
          <w:sz w:val="24"/>
          <w:szCs w:val="24"/>
        </w:rPr>
        <w:t xml:space="preserve"> </w:t>
      </w:r>
    </w:p>
    <w:bookmarkEnd w:id="29"/>
    <w:bookmarkEnd w:id="31"/>
    <w:p w14:paraId="7D967ECE" w14:textId="77777777" w:rsidR="00A01ACA" w:rsidRPr="00976742" w:rsidRDefault="00A01ACA" w:rsidP="00A01ACA">
      <w:pPr>
        <w:pStyle w:val="NoSpacing"/>
        <w:rPr>
          <w:rFonts w:ascii="Times New Roman" w:hAnsi="Times New Roman"/>
          <w:b/>
          <w:bCs/>
          <w:sz w:val="24"/>
          <w:szCs w:val="24"/>
        </w:rPr>
      </w:pPr>
    </w:p>
    <w:p w14:paraId="5F93B0E3" w14:textId="77777777" w:rsidR="00A01ACA" w:rsidRPr="00976742" w:rsidRDefault="00A01ACA" w:rsidP="00A01ACA">
      <w:pPr>
        <w:pStyle w:val="NoSpacing"/>
        <w:rPr>
          <w:rFonts w:ascii="Times New Roman" w:hAnsi="Times New Roman"/>
          <w:b/>
          <w:bCs/>
          <w:sz w:val="24"/>
          <w:szCs w:val="24"/>
        </w:rPr>
      </w:pPr>
      <w:r w:rsidRPr="00976742">
        <w:rPr>
          <w:rFonts w:ascii="Times New Roman" w:hAnsi="Times New Roman"/>
          <w:b/>
          <w:bCs/>
          <w:sz w:val="24"/>
          <w:szCs w:val="24"/>
        </w:rPr>
        <w:t xml:space="preserve">Legal Lessons Learned: The FD wisely called in the Ohio EPA, and when the owner did not promptly act to remove the fire hazard, the Ohio AG obtained an injunction.  </w:t>
      </w:r>
    </w:p>
    <w:p w14:paraId="3FF5F112" w14:textId="77777777" w:rsidR="00A01ACA" w:rsidRPr="00976742" w:rsidRDefault="00A01ACA" w:rsidP="00A01ACA">
      <w:pPr>
        <w:pStyle w:val="NoSpacing"/>
        <w:ind w:left="720"/>
        <w:rPr>
          <w:rFonts w:ascii="Times New Roman" w:hAnsi="Times New Roman"/>
          <w:b/>
          <w:bCs/>
          <w:sz w:val="24"/>
          <w:szCs w:val="24"/>
        </w:rPr>
      </w:pPr>
    </w:p>
    <w:p w14:paraId="592E1C00" w14:textId="77777777" w:rsidR="00A01ACA" w:rsidRPr="00976742" w:rsidRDefault="00A01ACA" w:rsidP="00A01ACA">
      <w:pPr>
        <w:pStyle w:val="NoSpacing"/>
        <w:ind w:left="720"/>
        <w:rPr>
          <w:rFonts w:ascii="Times New Roman" w:hAnsi="Times New Roman"/>
          <w:b/>
          <w:bCs/>
          <w:sz w:val="24"/>
          <w:szCs w:val="24"/>
        </w:rPr>
      </w:pPr>
      <w:r w:rsidRPr="00976742">
        <w:rPr>
          <w:rFonts w:ascii="Times New Roman" w:hAnsi="Times New Roman"/>
          <w:bCs/>
          <w:sz w:val="24"/>
          <w:szCs w:val="24"/>
        </w:rPr>
        <w:t xml:space="preserve">Note: See article, </w:t>
      </w:r>
      <w:bookmarkStart w:id="32" w:name="_Hlk39820886"/>
      <w:r w:rsidRPr="00976742">
        <w:rPr>
          <w:rFonts w:ascii="Times New Roman" w:hAnsi="Times New Roman"/>
          <w:bCs/>
          <w:sz w:val="24"/>
          <w:szCs w:val="24"/>
        </w:rPr>
        <w:t xml:space="preserve">Jan. 27, 2020: “Garfield Heights Recycling Center Held in Contempt of Court for Failing to Address Hazard,” </w:t>
      </w:r>
    </w:p>
    <w:p w14:paraId="58F50B62" w14:textId="77777777" w:rsidR="00A01ACA" w:rsidRPr="00976742" w:rsidRDefault="00A01ACA" w:rsidP="00A01ACA">
      <w:pPr>
        <w:pStyle w:val="NoSpacing"/>
        <w:ind w:left="720"/>
        <w:rPr>
          <w:rFonts w:ascii="Times New Roman" w:hAnsi="Times New Roman"/>
          <w:b/>
          <w:bCs/>
          <w:sz w:val="24"/>
          <w:szCs w:val="24"/>
        </w:rPr>
      </w:pPr>
      <w:hyperlink r:id="rId327" w:history="1">
        <w:r w:rsidRPr="00976742">
          <w:rPr>
            <w:rStyle w:val="Hyperlink"/>
            <w:rFonts w:ascii="Times New Roman" w:hAnsi="Times New Roman"/>
            <w:b/>
            <w:sz w:val="24"/>
            <w:szCs w:val="24"/>
          </w:rPr>
          <w:t>https://www.ohioattorneygeneral.gov/Media/News-Releases/January-2020/Garfield-Heights-Recycling-Center-Held-in-Contempt</w:t>
        </w:r>
      </w:hyperlink>
      <w:r w:rsidRPr="00976742">
        <w:rPr>
          <w:rFonts w:ascii="Times New Roman" w:hAnsi="Times New Roman"/>
          <w:bCs/>
          <w:sz w:val="24"/>
          <w:szCs w:val="24"/>
        </w:rPr>
        <w:t xml:space="preserve"> </w:t>
      </w:r>
    </w:p>
    <w:bookmarkEnd w:id="32"/>
    <w:p w14:paraId="429F2907" w14:textId="6EF5D0C6" w:rsidR="00A01ACA" w:rsidRDefault="00A01ACA" w:rsidP="002B1283">
      <w:pPr>
        <w:rPr>
          <w:rFonts w:ascii="Arial Black" w:hAnsi="Arial Black"/>
          <w:b/>
          <w:sz w:val="24"/>
          <w:szCs w:val="24"/>
        </w:rPr>
      </w:pPr>
    </w:p>
    <w:p w14:paraId="675736F6" w14:textId="77777777" w:rsidR="00A01ACA" w:rsidRDefault="00A01ACA" w:rsidP="002B1283">
      <w:pPr>
        <w:rPr>
          <w:rFonts w:ascii="Arial Black" w:hAnsi="Arial Black"/>
          <w:b/>
          <w:sz w:val="24"/>
          <w:szCs w:val="24"/>
        </w:rPr>
      </w:pPr>
    </w:p>
    <w:p w14:paraId="663FBE09" w14:textId="5398388A" w:rsidR="00A01ACA" w:rsidRDefault="00A01ACA" w:rsidP="002B1283">
      <w:pPr>
        <w:rPr>
          <w:rFonts w:ascii="Arial Black" w:hAnsi="Arial Black"/>
          <w:b/>
          <w:sz w:val="24"/>
          <w:szCs w:val="24"/>
        </w:rPr>
      </w:pPr>
      <w:r>
        <w:rPr>
          <w:rFonts w:ascii="Arial Black" w:hAnsi="Arial Black"/>
          <w:b/>
          <w:sz w:val="24"/>
          <w:szCs w:val="24"/>
        </w:rPr>
        <w:t>1-46</w:t>
      </w:r>
    </w:p>
    <w:p w14:paraId="05E033BC" w14:textId="77777777" w:rsidR="00A01ACA" w:rsidRDefault="00A01ACA" w:rsidP="00A01ACA">
      <w:pPr>
        <w:pStyle w:val="NoSpacing"/>
        <w:rPr>
          <w:rFonts w:ascii="Arial Black" w:hAnsi="Arial Black"/>
          <w:sz w:val="28"/>
          <w:szCs w:val="28"/>
        </w:rPr>
      </w:pPr>
      <w:r>
        <w:rPr>
          <w:rFonts w:ascii="Arial Black" w:hAnsi="Arial Black"/>
          <w:sz w:val="28"/>
          <w:szCs w:val="28"/>
        </w:rPr>
        <w:t>DC: JUROR’S PRE-TRIAL FACEBOOK POSTS - ANTI-TRUMP POSTS – CONVICTION UPHELD - NOT ABOUT DEFENDANT</w:t>
      </w:r>
    </w:p>
    <w:p w14:paraId="052D5851" w14:textId="77777777" w:rsidR="00A01ACA" w:rsidRDefault="00A01ACA" w:rsidP="00A01ACA">
      <w:pPr>
        <w:pStyle w:val="NoSpacing"/>
        <w:tabs>
          <w:tab w:val="left" w:pos="5860"/>
        </w:tabs>
        <w:rPr>
          <w:rFonts w:ascii="Arial Black" w:hAnsi="Arial Black"/>
          <w:sz w:val="28"/>
          <w:szCs w:val="28"/>
        </w:rPr>
      </w:pPr>
    </w:p>
    <w:p w14:paraId="37A1C490" w14:textId="77777777" w:rsidR="00A01ACA" w:rsidRPr="00976742" w:rsidRDefault="00A01ACA" w:rsidP="00A01ACA">
      <w:pPr>
        <w:pStyle w:val="NoSpacing"/>
        <w:tabs>
          <w:tab w:val="left" w:pos="5860"/>
        </w:tabs>
        <w:rPr>
          <w:rFonts w:ascii="Times New Roman" w:hAnsi="Times New Roman"/>
          <w:b/>
          <w:bCs/>
          <w:sz w:val="24"/>
          <w:szCs w:val="24"/>
        </w:rPr>
      </w:pPr>
      <w:r w:rsidRPr="00976742">
        <w:rPr>
          <w:rFonts w:ascii="Times New Roman" w:hAnsi="Times New Roman"/>
          <w:bCs/>
          <w:sz w:val="24"/>
          <w:szCs w:val="24"/>
        </w:rPr>
        <w:t xml:space="preserve">On April 16, 2020, in </w:t>
      </w:r>
      <w:r w:rsidRPr="00976742">
        <w:rPr>
          <w:rFonts w:ascii="Times New Roman" w:hAnsi="Times New Roman"/>
          <w:bCs/>
          <w:sz w:val="24"/>
          <w:szCs w:val="24"/>
          <w:u w:val="single"/>
        </w:rPr>
        <w:t>United States v. Roger Stone, Jr</w:t>
      </w:r>
      <w:r w:rsidRPr="00976742">
        <w:rPr>
          <w:rFonts w:ascii="Times New Roman" w:hAnsi="Times New Roman"/>
          <w:bCs/>
          <w:sz w:val="24"/>
          <w:szCs w:val="24"/>
        </w:rPr>
        <w:t xml:space="preserve">., U.S. District Court Judge Amy Berman Jackson denied the defense motion for new trial.   On the pre-trial Jury Questionnaire, the juror [she became foreperson of the jury] was asked about any social media posts the jury may have posted about the House of Representatives’ investigation of President Trump. The juror truthfully wrote: “I can’t remember if I did, but I may have shared an article on Facebook. Honestly not sure.” The Court denied the motion: “The motion is a tower of indignation, but at the end of the day, there is little of substance holding it up.” </w:t>
      </w:r>
    </w:p>
    <w:p w14:paraId="53FE9770" w14:textId="77777777" w:rsidR="00A01ACA" w:rsidRPr="00976742" w:rsidRDefault="00A01ACA" w:rsidP="00A01ACA">
      <w:pPr>
        <w:pStyle w:val="NoSpacing"/>
        <w:tabs>
          <w:tab w:val="left" w:pos="5860"/>
        </w:tabs>
        <w:ind w:left="720"/>
        <w:rPr>
          <w:rFonts w:ascii="Times New Roman" w:hAnsi="Times New Roman"/>
          <w:b/>
          <w:bCs/>
          <w:sz w:val="24"/>
          <w:szCs w:val="24"/>
        </w:rPr>
      </w:pPr>
    </w:p>
    <w:p w14:paraId="69047655" w14:textId="77777777" w:rsidR="00A01ACA" w:rsidRPr="00976742" w:rsidRDefault="00A01ACA" w:rsidP="00A01ACA">
      <w:pPr>
        <w:pStyle w:val="NoSpacing"/>
        <w:ind w:firstLine="630"/>
        <w:rPr>
          <w:rFonts w:ascii="Times New Roman" w:hAnsi="Times New Roman"/>
          <w:b/>
          <w:bCs/>
          <w:sz w:val="24"/>
          <w:szCs w:val="24"/>
        </w:rPr>
      </w:pPr>
      <w:r w:rsidRPr="00976742">
        <w:rPr>
          <w:rFonts w:ascii="Times New Roman" w:hAnsi="Times New Roman"/>
          <w:bCs/>
          <w:sz w:val="24"/>
          <w:szCs w:val="24"/>
        </w:rPr>
        <w:t>“The defendant has not shown that the juror lied; nor has he shown that the supposedly</w:t>
      </w:r>
    </w:p>
    <w:p w14:paraId="6B3C8221" w14:textId="77777777" w:rsidR="00A01ACA" w:rsidRPr="00976742" w:rsidRDefault="00A01ACA" w:rsidP="00A01ACA">
      <w:pPr>
        <w:pStyle w:val="NoSpacing"/>
        <w:ind w:left="630"/>
        <w:rPr>
          <w:rFonts w:ascii="Times New Roman" w:hAnsi="Times New Roman"/>
          <w:b/>
          <w:bCs/>
          <w:sz w:val="24"/>
          <w:szCs w:val="24"/>
        </w:rPr>
      </w:pPr>
      <w:r w:rsidRPr="00976742">
        <w:rPr>
          <w:rFonts w:ascii="Times New Roman" w:hAnsi="Times New Roman"/>
          <w:bCs/>
          <w:sz w:val="24"/>
          <w:szCs w:val="24"/>
        </w:rPr>
        <w:t xml:space="preserve">disqualifying evidence could not have been found through the exercise of due diligence at the time the jury was selected. Moreover, while the social media communications may suggest that the juror has strong opinions about certain people or issues, they do not reveal that she had an opinion about Roger Stone, which is the opinion that matters.” </w:t>
      </w:r>
      <w:hyperlink r:id="rId328" w:history="1">
        <w:r w:rsidRPr="00976742">
          <w:rPr>
            <w:rStyle w:val="Hyperlink"/>
            <w:rFonts w:ascii="Times New Roman" w:hAnsi="Times New Roman"/>
            <w:b/>
            <w:sz w:val="24"/>
            <w:szCs w:val="24"/>
          </w:rPr>
          <w:t>https://drive.google.com/file/d/1VWwIseEl7gdzhv6UxgyZNZeTX7Y_8-m_/view</w:t>
        </w:r>
      </w:hyperlink>
      <w:r w:rsidRPr="00976742">
        <w:rPr>
          <w:rFonts w:ascii="Times New Roman" w:hAnsi="Times New Roman"/>
          <w:bCs/>
          <w:sz w:val="24"/>
          <w:szCs w:val="24"/>
        </w:rPr>
        <w:t xml:space="preserve"> </w:t>
      </w:r>
    </w:p>
    <w:p w14:paraId="1D4B213C" w14:textId="77777777" w:rsidR="00A01ACA" w:rsidRDefault="00A01ACA" w:rsidP="00A01ACA">
      <w:pPr>
        <w:pStyle w:val="NoSpacing"/>
        <w:rPr>
          <w:rFonts w:ascii="Times New Roman" w:hAnsi="Times New Roman"/>
          <w:b/>
          <w:bCs/>
          <w:sz w:val="24"/>
          <w:szCs w:val="24"/>
        </w:rPr>
      </w:pPr>
    </w:p>
    <w:p w14:paraId="4B92375C" w14:textId="39E83BCE" w:rsidR="00A01ACA" w:rsidRPr="00976742" w:rsidRDefault="00A01ACA" w:rsidP="00A01ACA">
      <w:pPr>
        <w:pStyle w:val="NoSpacing"/>
        <w:rPr>
          <w:rFonts w:ascii="Times New Roman" w:hAnsi="Times New Roman"/>
          <w:b/>
          <w:bCs/>
          <w:sz w:val="24"/>
          <w:szCs w:val="24"/>
        </w:rPr>
      </w:pPr>
      <w:r w:rsidRPr="00976742">
        <w:rPr>
          <w:rFonts w:ascii="Times New Roman" w:hAnsi="Times New Roman"/>
          <w:b/>
          <w:bCs/>
          <w:sz w:val="24"/>
          <w:szCs w:val="24"/>
        </w:rPr>
        <w:t xml:space="preserve">Legal Lessons Learned:  Juror’s use of social media is not a basis for setting aside the verdict, unless the posts deal with the case on which they are serving.  </w:t>
      </w:r>
    </w:p>
    <w:p w14:paraId="4362A1DC" w14:textId="77777777" w:rsidR="00A01ACA" w:rsidRDefault="00A01ACA" w:rsidP="00A01ACA">
      <w:pPr>
        <w:pStyle w:val="NoSpacing"/>
        <w:ind w:left="720"/>
        <w:rPr>
          <w:b/>
          <w:bCs/>
          <w:sz w:val="24"/>
          <w:szCs w:val="24"/>
        </w:rPr>
      </w:pPr>
    </w:p>
    <w:p w14:paraId="147FCCCB" w14:textId="77777777" w:rsidR="00A01ACA" w:rsidRDefault="00A01ACA" w:rsidP="002B1283">
      <w:pPr>
        <w:rPr>
          <w:rFonts w:ascii="Arial Black" w:hAnsi="Arial Black"/>
          <w:b/>
          <w:sz w:val="24"/>
          <w:szCs w:val="24"/>
        </w:rPr>
      </w:pPr>
    </w:p>
    <w:p w14:paraId="25B3069C" w14:textId="77777777" w:rsidR="00A01ACA" w:rsidRDefault="00A01ACA" w:rsidP="002B1283">
      <w:pPr>
        <w:rPr>
          <w:rFonts w:ascii="Arial Black" w:hAnsi="Arial Black"/>
          <w:b/>
          <w:sz w:val="24"/>
          <w:szCs w:val="24"/>
        </w:rPr>
      </w:pPr>
    </w:p>
    <w:p w14:paraId="02450068" w14:textId="366A43AD" w:rsidR="00A01ACA" w:rsidRDefault="00A01ACA" w:rsidP="002B1283">
      <w:pPr>
        <w:rPr>
          <w:rFonts w:ascii="Arial Black" w:hAnsi="Arial Black"/>
          <w:b/>
          <w:sz w:val="24"/>
          <w:szCs w:val="24"/>
        </w:rPr>
      </w:pPr>
      <w:r>
        <w:rPr>
          <w:rFonts w:ascii="Arial Black" w:hAnsi="Arial Black"/>
          <w:b/>
          <w:sz w:val="24"/>
          <w:szCs w:val="24"/>
        </w:rPr>
        <w:t>1-45</w:t>
      </w:r>
    </w:p>
    <w:p w14:paraId="1341531D" w14:textId="77777777" w:rsidR="00A01ACA" w:rsidRPr="00496CBF" w:rsidRDefault="00A01ACA" w:rsidP="00A01ACA">
      <w:pPr>
        <w:pStyle w:val="NoSpacing"/>
        <w:rPr>
          <w:rFonts w:ascii="Arial Black" w:hAnsi="Arial Black"/>
          <w:sz w:val="28"/>
          <w:szCs w:val="28"/>
        </w:rPr>
      </w:pPr>
      <w:bookmarkStart w:id="33" w:name="_Hlk39749155"/>
      <w:r w:rsidRPr="00496CBF">
        <w:rPr>
          <w:rFonts w:ascii="Arial Black" w:hAnsi="Arial Black"/>
          <w:sz w:val="28"/>
          <w:szCs w:val="28"/>
        </w:rPr>
        <w:t xml:space="preserve">IA: </w:t>
      </w:r>
      <w:r>
        <w:rPr>
          <w:rFonts w:ascii="Arial Black" w:hAnsi="Arial Black"/>
          <w:sz w:val="28"/>
          <w:szCs w:val="28"/>
        </w:rPr>
        <w:t>FIRE INVESTIGATION - TOASTER FIRE – STATE FARM INSURANCE PROPERLY REFUSED PAY HOMEOWNER</w:t>
      </w:r>
    </w:p>
    <w:p w14:paraId="4C1E4764" w14:textId="77777777" w:rsidR="00A01ACA" w:rsidRDefault="00A01ACA" w:rsidP="00A01ACA">
      <w:pPr>
        <w:pStyle w:val="NoSpacing"/>
        <w:rPr>
          <w:b/>
          <w:bCs/>
          <w:sz w:val="24"/>
          <w:szCs w:val="24"/>
        </w:rPr>
      </w:pPr>
    </w:p>
    <w:p w14:paraId="40A5A896" w14:textId="77777777" w:rsidR="00A01ACA" w:rsidRPr="00976742" w:rsidRDefault="00A01ACA" w:rsidP="00A01ACA">
      <w:pPr>
        <w:pStyle w:val="NoSpacing"/>
        <w:rPr>
          <w:rFonts w:ascii="Times New Roman" w:hAnsi="Times New Roman"/>
          <w:b/>
          <w:bCs/>
          <w:sz w:val="24"/>
          <w:szCs w:val="24"/>
        </w:rPr>
      </w:pPr>
      <w:r w:rsidRPr="00976742">
        <w:rPr>
          <w:rFonts w:ascii="Times New Roman" w:hAnsi="Times New Roman"/>
          <w:bCs/>
          <w:sz w:val="24"/>
          <w:szCs w:val="24"/>
        </w:rPr>
        <w:t xml:space="preserve">On April 6, 2020, in </w:t>
      </w:r>
      <w:r w:rsidRPr="00976742">
        <w:rPr>
          <w:rFonts w:ascii="Times New Roman" w:hAnsi="Times New Roman"/>
          <w:bCs/>
          <w:sz w:val="24"/>
          <w:szCs w:val="24"/>
          <w:u w:val="single"/>
        </w:rPr>
        <w:t>Bryan Jones and Sarah Jones v. State Farm And Casualty Company</w:t>
      </w:r>
      <w:r w:rsidRPr="00976742">
        <w:rPr>
          <w:rFonts w:ascii="Times New Roman" w:hAnsi="Times New Roman"/>
          <w:bCs/>
          <w:sz w:val="24"/>
          <w:szCs w:val="24"/>
        </w:rPr>
        <w:t>, U.S. District Court Judge Leonard T. Strand, Chief Judge, U.S. District Court for the Northern District of Iowa, Western Division, granted summary judgment to State Farm and dismissed the lawsuit.  The insurance company refused to pay for the fire damage when evidence showed that paper was put in the toaster, it was turned on and a roll of paper towels was left on top of the toaster.  Former co-workers of Sarah Jones also informed State Farm about suspicious comments.</w:t>
      </w:r>
    </w:p>
    <w:p w14:paraId="2E41537E" w14:textId="77777777" w:rsidR="00A01ACA" w:rsidRPr="00976742" w:rsidRDefault="00A01ACA" w:rsidP="00A01ACA">
      <w:pPr>
        <w:pStyle w:val="NoSpacing"/>
        <w:rPr>
          <w:rFonts w:ascii="Times New Roman" w:hAnsi="Times New Roman"/>
          <w:b/>
          <w:bCs/>
          <w:sz w:val="24"/>
          <w:szCs w:val="24"/>
        </w:rPr>
      </w:pPr>
    </w:p>
    <w:p w14:paraId="1B2CC9D0" w14:textId="77777777" w:rsidR="00A01ACA" w:rsidRPr="00976742" w:rsidRDefault="00A01ACA" w:rsidP="00A01ACA">
      <w:pPr>
        <w:pStyle w:val="NoSpacing"/>
        <w:ind w:left="720"/>
        <w:rPr>
          <w:rFonts w:ascii="Times New Roman" w:hAnsi="Times New Roman"/>
          <w:b/>
          <w:bCs/>
          <w:sz w:val="24"/>
          <w:szCs w:val="24"/>
        </w:rPr>
      </w:pPr>
      <w:r w:rsidRPr="00976742">
        <w:rPr>
          <w:rFonts w:ascii="Times New Roman" w:hAnsi="Times New Roman"/>
          <w:bCs/>
          <w:sz w:val="24"/>
          <w:szCs w:val="24"/>
        </w:rPr>
        <w:t xml:space="preserve">“In short, there is undisputed evidence that the fire started at the toaster, that a paper-like material was observed on top of the toaster after the fire and that the toaster was in the ‘on’ position. There is also unrebutted expert opinion evidence that a defect in the toaster, or in the home's electrical system, could not have caused the fire and that the fire could have been started by putting paper products in and on the toaster. On this record, and regardless of plaintiffs' denials, no reasonable jury could find that the fire was accidental. As such, and as a matter of law, State Farm did not breach the insurance contract by denying coverage for the loss that resulted from the fire.” </w:t>
      </w:r>
    </w:p>
    <w:p w14:paraId="3E9299E7" w14:textId="2046FD84" w:rsidR="00A01ACA" w:rsidRDefault="00A01ACA" w:rsidP="00A01ACA">
      <w:pPr>
        <w:rPr>
          <w:rFonts w:ascii="Arial Black" w:hAnsi="Arial Black"/>
          <w:b/>
          <w:sz w:val="24"/>
          <w:szCs w:val="24"/>
        </w:rPr>
      </w:pPr>
      <w:hyperlink r:id="rId329" w:history="1">
        <w:r w:rsidRPr="00976742">
          <w:rPr>
            <w:rStyle w:val="Hyperlink"/>
            <w:rFonts w:ascii="Times New Roman" w:hAnsi="Times New Roman"/>
            <w:b/>
            <w:sz w:val="24"/>
            <w:szCs w:val="24"/>
          </w:rPr>
          <w:t>https://public.fastcase.com/Wl%2B2t%2BeVuI35%2FN70vAMFZiMSkjeFjM9WB95jitKYLwuiXut%2FEoidjwwdPtdsEj9z</w:t>
        </w:r>
      </w:hyperlink>
    </w:p>
    <w:bookmarkEnd w:id="33"/>
    <w:p w14:paraId="7F114673" w14:textId="77777777" w:rsidR="00A01ACA" w:rsidRPr="00976742" w:rsidRDefault="00A01ACA" w:rsidP="00A01ACA">
      <w:pPr>
        <w:pStyle w:val="NoSpacing"/>
        <w:rPr>
          <w:rFonts w:ascii="Times New Roman" w:hAnsi="Times New Roman"/>
          <w:b/>
          <w:bCs/>
          <w:sz w:val="24"/>
          <w:szCs w:val="24"/>
        </w:rPr>
      </w:pPr>
      <w:r w:rsidRPr="00976742">
        <w:rPr>
          <w:rFonts w:ascii="Times New Roman" w:eastAsia="Times New Roman" w:hAnsi="Times New Roman"/>
          <w:b/>
          <w:bCs/>
          <w:sz w:val="24"/>
          <w:szCs w:val="24"/>
        </w:rPr>
        <w:t xml:space="preserve">Legal Lessons Learned:  Insurance companies wisely use experts to investigate suspicious claims. </w:t>
      </w:r>
      <w:r w:rsidRPr="00976742">
        <w:rPr>
          <w:rFonts w:ascii="Times New Roman" w:hAnsi="Times New Roman"/>
          <w:b/>
          <w:bCs/>
          <w:sz w:val="24"/>
          <w:szCs w:val="24"/>
        </w:rPr>
        <w:t xml:space="preserve">The U.S. District Court judge added this footnote at the end of his decision about prior arson conviction of Bryan Jones. </w:t>
      </w:r>
    </w:p>
    <w:p w14:paraId="54C8A1BD" w14:textId="77777777" w:rsidR="00A01ACA" w:rsidRPr="00976742" w:rsidRDefault="00A01ACA" w:rsidP="00A01ACA">
      <w:pPr>
        <w:pStyle w:val="NoSpacing"/>
        <w:rPr>
          <w:rFonts w:ascii="Times New Roman" w:hAnsi="Times New Roman"/>
          <w:b/>
          <w:bCs/>
          <w:sz w:val="24"/>
          <w:szCs w:val="24"/>
        </w:rPr>
      </w:pPr>
    </w:p>
    <w:p w14:paraId="2FF1A228" w14:textId="77777777" w:rsidR="00A01ACA" w:rsidRPr="00976742" w:rsidRDefault="00A01ACA" w:rsidP="00A01ACA">
      <w:pPr>
        <w:pStyle w:val="NoSpacing"/>
        <w:ind w:left="720"/>
        <w:rPr>
          <w:rFonts w:ascii="Times New Roman" w:hAnsi="Times New Roman"/>
          <w:b/>
          <w:bCs/>
          <w:sz w:val="24"/>
          <w:szCs w:val="24"/>
        </w:rPr>
      </w:pPr>
      <w:r w:rsidRPr="00976742">
        <w:rPr>
          <w:rFonts w:ascii="Times New Roman" w:hAnsi="Times New Roman"/>
          <w:bCs/>
          <w:sz w:val="24"/>
          <w:szCs w:val="24"/>
        </w:rPr>
        <w:t>Footnote 4: “Plaintiffs dispute the admissibility of certain other evidence State Farm discovered during its investigation. For example, plaintiffs were experiencing serious financial difficulties, Bryan has a prior arson conviction, Sarah had submitted a prior fire loss claim and Bryan had once reported a vehicle stolen but it was located a short distance away and had been set on fire….  It is not necessary to consider this evidence to conclude that plaintiffs have failed to meet their burden of producing evidence from which reasonable jurors could find that the fire was accidental or that they did not intentionally start the fire. As such, I need not resolve the admissibility issue. I do note that evidence of these additional facts would almost certainly be relevant, at minimum, for purposes of determining whether State Farm acted in bad faith in denying coverage, if that claim could otherwise proceed to trial.”</w:t>
      </w:r>
    </w:p>
    <w:p w14:paraId="6EAB909D" w14:textId="77777777" w:rsidR="00A01ACA" w:rsidRDefault="00A01ACA" w:rsidP="002B1283">
      <w:pPr>
        <w:rPr>
          <w:rFonts w:ascii="Arial Black" w:hAnsi="Arial Black"/>
          <w:b/>
          <w:sz w:val="24"/>
          <w:szCs w:val="24"/>
        </w:rPr>
      </w:pPr>
    </w:p>
    <w:p w14:paraId="602CDF22" w14:textId="62E91B05" w:rsidR="00A01ACA" w:rsidRDefault="00A01ACA" w:rsidP="002B1283">
      <w:pPr>
        <w:rPr>
          <w:rFonts w:ascii="Arial Black" w:hAnsi="Arial Black"/>
          <w:b/>
          <w:sz w:val="24"/>
          <w:szCs w:val="24"/>
        </w:rPr>
      </w:pPr>
      <w:r>
        <w:rPr>
          <w:rFonts w:ascii="Arial Black" w:hAnsi="Arial Black"/>
          <w:b/>
          <w:sz w:val="24"/>
          <w:szCs w:val="24"/>
        </w:rPr>
        <w:t>1-44</w:t>
      </w:r>
    </w:p>
    <w:p w14:paraId="77DBBD28" w14:textId="77777777" w:rsidR="00A01ACA" w:rsidRPr="00FE6BFF" w:rsidRDefault="00A01ACA" w:rsidP="00A01ACA">
      <w:pPr>
        <w:pStyle w:val="NoSpacing"/>
        <w:rPr>
          <w:rFonts w:ascii="Arial Black" w:hAnsi="Arial Black"/>
          <w:b/>
          <w:bCs/>
          <w:sz w:val="28"/>
          <w:szCs w:val="28"/>
        </w:rPr>
      </w:pPr>
      <w:bookmarkStart w:id="34" w:name="_Hlk39749233"/>
      <w:bookmarkStart w:id="35" w:name="_Hlk41315261"/>
      <w:r>
        <w:rPr>
          <w:rFonts w:ascii="Arial Black" w:hAnsi="Arial Black"/>
          <w:bCs/>
          <w:sz w:val="28"/>
          <w:szCs w:val="28"/>
        </w:rPr>
        <w:t xml:space="preserve">U.S. SUP. CT:  POLICE USED “COMMON SENSE” – DRIVER WITH REVOKED LICENSE - REASONABLE SUSPICION </w:t>
      </w:r>
    </w:p>
    <w:p w14:paraId="43F48CFC" w14:textId="77777777" w:rsidR="00A01ACA" w:rsidRDefault="00A01ACA" w:rsidP="00A01ACA">
      <w:pPr>
        <w:pStyle w:val="NoSpacing"/>
        <w:rPr>
          <w:b/>
          <w:bCs/>
          <w:sz w:val="24"/>
          <w:szCs w:val="24"/>
        </w:rPr>
      </w:pPr>
    </w:p>
    <w:p w14:paraId="17D1774A" w14:textId="3D84C8E7" w:rsidR="00A01ACA" w:rsidRPr="00976742" w:rsidRDefault="00A01ACA" w:rsidP="00A01ACA">
      <w:pPr>
        <w:pStyle w:val="NoSpacing"/>
        <w:rPr>
          <w:rFonts w:ascii="Times New Roman" w:hAnsi="Times New Roman"/>
          <w:b/>
          <w:sz w:val="24"/>
          <w:szCs w:val="24"/>
        </w:rPr>
      </w:pPr>
      <w:r w:rsidRPr="00976742">
        <w:rPr>
          <w:rFonts w:ascii="Times New Roman" w:hAnsi="Times New Roman"/>
          <w:sz w:val="24"/>
          <w:szCs w:val="24"/>
        </w:rPr>
        <w:t xml:space="preserve">On April 6, 2020, in </w:t>
      </w:r>
      <w:r w:rsidRPr="00976742">
        <w:rPr>
          <w:rFonts w:ascii="Times New Roman" w:hAnsi="Times New Roman"/>
          <w:sz w:val="24"/>
          <w:szCs w:val="24"/>
          <w:u w:val="single"/>
        </w:rPr>
        <w:t>Kansas v. Charles Glover, Jr</w:t>
      </w:r>
      <w:r w:rsidRPr="00976742">
        <w:rPr>
          <w:rFonts w:ascii="Times New Roman" w:hAnsi="Times New Roman"/>
          <w:sz w:val="24"/>
          <w:szCs w:val="24"/>
        </w:rPr>
        <w:t xml:space="preserve">., held (8 to 0) in an opinion by Justice Clarence Thomas that the Deputy Sheriff on patrol, who runs a license plate and learns owner of vehicle has revoked driver’s license, used his “common sense” and had “reasonable suspicion” to make a traffic stop of the male driver.   The trial judge had granted defense motion to suppress, which the Court of Appeals reversed. The Kansas Supreme Court, however, agreed with the trial judge, finding the Deputy Sheriff  did not have reasonable suspicion because his inference that Glover was behind the wheel amounted to “only a hunch.”  </w:t>
      </w:r>
      <w:proofErr w:type="gramStart"/>
      <w:r w:rsidRPr="00976742">
        <w:rPr>
          <w:rFonts w:ascii="Times New Roman" w:hAnsi="Times New Roman"/>
          <w:sz w:val="24"/>
          <w:szCs w:val="24"/>
        </w:rPr>
        <w:t>Fortunately</w:t>
      </w:r>
      <w:proofErr w:type="gramEnd"/>
      <w:r w:rsidRPr="00976742">
        <w:rPr>
          <w:rFonts w:ascii="Times New Roman" w:hAnsi="Times New Roman"/>
          <w:sz w:val="24"/>
          <w:szCs w:val="24"/>
        </w:rPr>
        <w:t xml:space="preserve"> the U.S. Supreme Court reversed the Kansas Supreme Court.</w:t>
      </w:r>
    </w:p>
    <w:bookmarkEnd w:id="34"/>
    <w:p w14:paraId="59DA2042" w14:textId="77777777" w:rsidR="00A01ACA" w:rsidRPr="00976742" w:rsidRDefault="00A01ACA" w:rsidP="00A01ACA">
      <w:pPr>
        <w:pStyle w:val="NoSpacing"/>
        <w:rPr>
          <w:rFonts w:ascii="Times New Roman" w:hAnsi="Times New Roman"/>
          <w:b/>
          <w:sz w:val="24"/>
          <w:szCs w:val="24"/>
        </w:rPr>
      </w:pPr>
    </w:p>
    <w:p w14:paraId="20145DAB" w14:textId="77777777" w:rsidR="00A01ACA" w:rsidRPr="00976742" w:rsidRDefault="00A01ACA" w:rsidP="00A01ACA">
      <w:pPr>
        <w:pStyle w:val="NoSpacing"/>
        <w:rPr>
          <w:rFonts w:ascii="Times New Roman" w:hAnsi="Times New Roman"/>
          <w:b/>
          <w:sz w:val="24"/>
          <w:szCs w:val="24"/>
        </w:rPr>
      </w:pPr>
      <w:r w:rsidRPr="00976742">
        <w:rPr>
          <w:rFonts w:ascii="Times New Roman" w:hAnsi="Times New Roman"/>
          <w:sz w:val="24"/>
          <w:szCs w:val="24"/>
        </w:rPr>
        <w:t xml:space="preserve">“Because it is a ‘less demanding’ standard, ‘reasonable suspicion can be established with information that is different in quantity or content than that required to establish probable cause.’ Alabama v. White, 496 U. S. 325, 330 (1990). The standard ‘depends on the factual and practical considerations of everyday life on which reasonable and prudent men, not legal technicians, act.’ Navarette, supra, at 402 (quoting Ornelas v. United States, 517 U. S. 690, 695 (1996) (emphasis added; internal quotation marks omitted)). Courts “cannot reasonably demand scientific certainty . . . where none exists.” Illinois v. Wardlow, 528 U. S. 119, 125 (2000). Rather, they must permit officers to make ‘commonsense judgments and inferences about human behavior.’ Ibid.”  </w:t>
      </w:r>
      <w:bookmarkStart w:id="36" w:name="_Hlk39749259"/>
      <w:r w:rsidR="00334940">
        <w:fldChar w:fldCharType="begin"/>
      </w:r>
      <w:r w:rsidR="00334940">
        <w:instrText xml:space="preserve"> HYPERLINK "https://www.supremecourt.gov/opinions/19pdf/18-556_e1pf.pdf" </w:instrText>
      </w:r>
      <w:r w:rsidR="00334940">
        <w:fldChar w:fldCharType="separate"/>
      </w:r>
      <w:r w:rsidRPr="00976742">
        <w:rPr>
          <w:rStyle w:val="Hyperlink"/>
          <w:rFonts w:ascii="Times New Roman" w:hAnsi="Times New Roman"/>
          <w:b/>
          <w:sz w:val="24"/>
          <w:szCs w:val="24"/>
        </w:rPr>
        <w:t>https://www.supremecourt.gov/opinions/19pdf/18-556_e1pf.pdf</w:t>
      </w:r>
      <w:r w:rsidR="00334940">
        <w:rPr>
          <w:rStyle w:val="Hyperlink"/>
          <w:rFonts w:ascii="Times New Roman" w:hAnsi="Times New Roman"/>
          <w:b/>
          <w:sz w:val="24"/>
          <w:szCs w:val="24"/>
        </w:rPr>
        <w:fldChar w:fldCharType="end"/>
      </w:r>
      <w:r w:rsidRPr="00976742">
        <w:rPr>
          <w:rFonts w:ascii="Times New Roman" w:hAnsi="Times New Roman"/>
          <w:sz w:val="24"/>
          <w:szCs w:val="24"/>
        </w:rPr>
        <w:t xml:space="preserve"> </w:t>
      </w:r>
    </w:p>
    <w:bookmarkEnd w:id="36"/>
    <w:p w14:paraId="2D786138" w14:textId="77777777" w:rsidR="00A01ACA" w:rsidRDefault="00A01ACA" w:rsidP="00A01ACA">
      <w:pPr>
        <w:pStyle w:val="NoSpacing"/>
        <w:rPr>
          <w:rFonts w:ascii="Times New Roman" w:hAnsi="Times New Roman"/>
          <w:b/>
          <w:sz w:val="24"/>
          <w:szCs w:val="24"/>
        </w:rPr>
      </w:pPr>
    </w:p>
    <w:p w14:paraId="30124E97" w14:textId="495DC5C1" w:rsidR="00A01ACA" w:rsidRPr="00976742" w:rsidRDefault="00A01ACA" w:rsidP="00A01ACA">
      <w:pPr>
        <w:pStyle w:val="NoSpacing"/>
        <w:rPr>
          <w:rFonts w:ascii="Times New Roman" w:hAnsi="Times New Roman"/>
          <w:b/>
          <w:sz w:val="24"/>
          <w:szCs w:val="24"/>
        </w:rPr>
      </w:pPr>
      <w:r w:rsidRPr="00976742">
        <w:rPr>
          <w:rFonts w:ascii="Times New Roman" w:hAnsi="Times New Roman"/>
          <w:b/>
          <w:sz w:val="24"/>
          <w:szCs w:val="24"/>
        </w:rPr>
        <w:t xml:space="preserve">Legal Lessons Learned:  Excellent “common sense” decision. </w:t>
      </w:r>
    </w:p>
    <w:p w14:paraId="7888B846" w14:textId="77777777" w:rsidR="00A01ACA" w:rsidRDefault="00A01ACA" w:rsidP="002B1283">
      <w:pPr>
        <w:rPr>
          <w:rFonts w:ascii="Arial Black" w:hAnsi="Arial Black"/>
          <w:b/>
          <w:sz w:val="24"/>
          <w:szCs w:val="24"/>
        </w:rPr>
      </w:pPr>
    </w:p>
    <w:bookmarkEnd w:id="35"/>
    <w:p w14:paraId="64B13BB6" w14:textId="77777777" w:rsidR="00A01ACA" w:rsidRDefault="00A01ACA" w:rsidP="002B1283">
      <w:pPr>
        <w:rPr>
          <w:rFonts w:ascii="Arial Black" w:hAnsi="Arial Black"/>
          <w:b/>
          <w:sz w:val="24"/>
          <w:szCs w:val="24"/>
        </w:rPr>
      </w:pPr>
    </w:p>
    <w:p w14:paraId="5FB81DC1" w14:textId="77777777" w:rsidR="00A01ACA" w:rsidRDefault="00A01ACA" w:rsidP="002B1283">
      <w:pPr>
        <w:rPr>
          <w:rFonts w:ascii="Arial Black" w:hAnsi="Arial Black"/>
          <w:b/>
          <w:sz w:val="24"/>
          <w:szCs w:val="24"/>
        </w:rPr>
      </w:pPr>
    </w:p>
    <w:p w14:paraId="62CA3ED8" w14:textId="7E4CB491" w:rsidR="00A01ACA" w:rsidRDefault="00A01ACA" w:rsidP="002B1283">
      <w:pPr>
        <w:rPr>
          <w:rFonts w:ascii="Arial Black" w:hAnsi="Arial Black"/>
          <w:b/>
          <w:sz w:val="24"/>
          <w:szCs w:val="24"/>
        </w:rPr>
      </w:pPr>
      <w:r>
        <w:rPr>
          <w:rFonts w:ascii="Arial Black" w:hAnsi="Arial Black"/>
          <w:b/>
          <w:sz w:val="24"/>
          <w:szCs w:val="24"/>
        </w:rPr>
        <w:t>1-43</w:t>
      </w:r>
    </w:p>
    <w:p w14:paraId="1CB8A4E4" w14:textId="77777777" w:rsidR="00A01ACA" w:rsidRPr="00295EFD" w:rsidRDefault="00A01ACA" w:rsidP="00A01ACA">
      <w:pPr>
        <w:pStyle w:val="NoSpacing"/>
        <w:rPr>
          <w:rFonts w:ascii="Arial Black" w:hAnsi="Arial Black"/>
          <w:sz w:val="28"/>
          <w:szCs w:val="28"/>
        </w:rPr>
      </w:pPr>
      <w:bookmarkStart w:id="37" w:name="_Hlk39749327"/>
      <w:r w:rsidRPr="00295EFD">
        <w:rPr>
          <w:rFonts w:ascii="Arial Black" w:hAnsi="Arial Black"/>
          <w:sz w:val="28"/>
          <w:szCs w:val="28"/>
        </w:rPr>
        <w:t xml:space="preserve">CA: </w:t>
      </w:r>
      <w:r>
        <w:rPr>
          <w:rFonts w:ascii="Arial Black" w:hAnsi="Arial Black"/>
          <w:sz w:val="28"/>
          <w:szCs w:val="28"/>
        </w:rPr>
        <w:t xml:space="preserve">FIRE INVESTIGATION - HOMEOWNER CONFESSED - PROS. DELAYED DISCOSURE OF LAB RECEIPTS – NO HARM </w:t>
      </w:r>
    </w:p>
    <w:p w14:paraId="729A7719" w14:textId="77777777" w:rsidR="00A01ACA" w:rsidRDefault="00A01ACA" w:rsidP="00A01ACA">
      <w:pPr>
        <w:pStyle w:val="NoSpacing"/>
        <w:rPr>
          <w:b/>
          <w:bCs/>
          <w:sz w:val="24"/>
          <w:szCs w:val="24"/>
        </w:rPr>
      </w:pPr>
    </w:p>
    <w:p w14:paraId="2AD7E3BC" w14:textId="77777777" w:rsidR="00A01ACA" w:rsidRPr="00976742" w:rsidRDefault="00A01ACA" w:rsidP="00A01ACA">
      <w:pPr>
        <w:pStyle w:val="NoSpacing"/>
        <w:rPr>
          <w:rFonts w:ascii="Times New Roman" w:hAnsi="Times New Roman"/>
          <w:b/>
          <w:bCs/>
          <w:sz w:val="24"/>
          <w:szCs w:val="24"/>
        </w:rPr>
      </w:pPr>
      <w:r w:rsidRPr="00976742">
        <w:rPr>
          <w:rFonts w:ascii="Times New Roman" w:hAnsi="Times New Roman"/>
          <w:bCs/>
          <w:sz w:val="24"/>
          <w:szCs w:val="24"/>
        </w:rPr>
        <w:t xml:space="preserve">On April 3, 2020, in </w:t>
      </w:r>
      <w:r w:rsidRPr="00976742">
        <w:rPr>
          <w:rFonts w:ascii="Times New Roman" w:hAnsi="Times New Roman"/>
          <w:bCs/>
          <w:sz w:val="24"/>
          <w:szCs w:val="24"/>
          <w:u w:val="single"/>
        </w:rPr>
        <w:t xml:space="preserve">The People v. Lincoln </w:t>
      </w:r>
      <w:proofErr w:type="spellStart"/>
      <w:r w:rsidRPr="00976742">
        <w:rPr>
          <w:rFonts w:ascii="Times New Roman" w:hAnsi="Times New Roman"/>
          <w:bCs/>
          <w:sz w:val="24"/>
          <w:szCs w:val="24"/>
          <w:u w:val="single"/>
        </w:rPr>
        <w:t>Testro</w:t>
      </w:r>
      <w:proofErr w:type="spellEnd"/>
      <w:r w:rsidRPr="00976742">
        <w:rPr>
          <w:rFonts w:ascii="Times New Roman" w:hAnsi="Times New Roman"/>
          <w:bCs/>
          <w:sz w:val="24"/>
          <w:szCs w:val="24"/>
          <w:u w:val="single"/>
        </w:rPr>
        <w:t xml:space="preserve"> Smith</w:t>
      </w:r>
      <w:r w:rsidRPr="00976742">
        <w:rPr>
          <w:rFonts w:ascii="Times New Roman" w:hAnsi="Times New Roman"/>
          <w:bCs/>
          <w:sz w:val="24"/>
          <w:szCs w:val="24"/>
        </w:rPr>
        <w:t xml:space="preserve">, the Court of Appeal of California (Second Appellate District / Division Five) held (3 to 0) in an unpublished decision, that trial court properly refused to instruct the jury about late disclosure of 75 pages of lab receipts, since the disclosure the night prior to the second (and last) day of trial was made prior to the LA County Sheriff’s senior criminalist’s testimony, did not cause any harm to the defense.   Defense already had his two page </w:t>
      </w:r>
      <w:proofErr w:type="gramStart"/>
      <w:r w:rsidRPr="00976742">
        <w:rPr>
          <w:rFonts w:ascii="Times New Roman" w:hAnsi="Times New Roman"/>
          <w:bCs/>
          <w:sz w:val="24"/>
          <w:szCs w:val="24"/>
        </w:rPr>
        <w:t>report, and</w:t>
      </w:r>
      <w:proofErr w:type="gramEnd"/>
      <w:r w:rsidRPr="00976742">
        <w:rPr>
          <w:rFonts w:ascii="Times New Roman" w:hAnsi="Times New Roman"/>
          <w:bCs/>
          <w:sz w:val="24"/>
          <w:szCs w:val="24"/>
        </w:rPr>
        <w:t xml:space="preserve"> did not request a continuance of the trial. </w:t>
      </w:r>
    </w:p>
    <w:bookmarkEnd w:id="37"/>
    <w:p w14:paraId="37485B45" w14:textId="77777777" w:rsidR="00A01ACA" w:rsidRPr="00976742" w:rsidRDefault="00A01ACA" w:rsidP="00A01ACA">
      <w:pPr>
        <w:pStyle w:val="NoSpacing"/>
        <w:rPr>
          <w:rFonts w:ascii="Times New Roman" w:hAnsi="Times New Roman"/>
          <w:b/>
          <w:bCs/>
          <w:sz w:val="24"/>
          <w:szCs w:val="24"/>
        </w:rPr>
      </w:pPr>
    </w:p>
    <w:p w14:paraId="6DE233D7" w14:textId="77777777" w:rsidR="00A01ACA" w:rsidRPr="00976742" w:rsidRDefault="00A01ACA" w:rsidP="00A01ACA">
      <w:pPr>
        <w:pStyle w:val="NoSpacing"/>
        <w:ind w:left="720"/>
        <w:rPr>
          <w:rFonts w:ascii="Times New Roman" w:hAnsi="Times New Roman"/>
          <w:b/>
          <w:bCs/>
          <w:sz w:val="24"/>
          <w:szCs w:val="24"/>
        </w:rPr>
      </w:pPr>
      <w:r w:rsidRPr="00976742">
        <w:rPr>
          <w:rFonts w:ascii="Times New Roman" w:hAnsi="Times New Roman"/>
          <w:bCs/>
          <w:sz w:val="24"/>
          <w:szCs w:val="24"/>
        </w:rPr>
        <w:t xml:space="preserve">“[T]he prosecution’s explanation for the discovery delay offered at trial did not reveal any willful misconduct. And most importantly, the defense was unable to articulate any concrete disadvantage occasioned by the production of the data and notes underlying West’s  [Michael West, a senior criminalist with the Los Angeles County Sheriff’s Department, two </w:t>
      </w:r>
      <w:proofErr w:type="gramStart"/>
      <w:r w:rsidRPr="00976742">
        <w:rPr>
          <w:rFonts w:ascii="Times New Roman" w:hAnsi="Times New Roman"/>
          <w:bCs/>
          <w:sz w:val="24"/>
          <w:szCs w:val="24"/>
        </w:rPr>
        <w:t>page</w:t>
      </w:r>
      <w:proofErr w:type="gramEnd"/>
      <w:r w:rsidRPr="00976742">
        <w:rPr>
          <w:rFonts w:ascii="Times New Roman" w:hAnsi="Times New Roman"/>
          <w:bCs/>
          <w:sz w:val="24"/>
          <w:szCs w:val="24"/>
        </w:rPr>
        <w:t xml:space="preserve">] summary report (which had been timely produced) before West testified.” </w:t>
      </w:r>
      <w:bookmarkStart w:id="38" w:name="_Hlk39749347"/>
      <w:r w:rsidR="00334940">
        <w:fldChar w:fldCharType="begin"/>
      </w:r>
      <w:r w:rsidR="00334940">
        <w:instrText xml:space="preserve"> HYPERLINK "https://www.courts.ca.gov/opinions/nonpub/B294627.PDF" </w:instrText>
      </w:r>
      <w:r w:rsidR="00334940">
        <w:fldChar w:fldCharType="separate"/>
      </w:r>
      <w:r w:rsidRPr="00976742">
        <w:rPr>
          <w:rStyle w:val="Hyperlink"/>
          <w:rFonts w:ascii="Times New Roman" w:hAnsi="Times New Roman"/>
          <w:b/>
          <w:sz w:val="24"/>
          <w:szCs w:val="24"/>
        </w:rPr>
        <w:t>https://www.courts.ca.gov/opinions/nonpub/B294627.PDF</w:t>
      </w:r>
      <w:r w:rsidR="00334940">
        <w:rPr>
          <w:rStyle w:val="Hyperlink"/>
          <w:rFonts w:ascii="Times New Roman" w:hAnsi="Times New Roman"/>
          <w:b/>
          <w:sz w:val="24"/>
          <w:szCs w:val="24"/>
        </w:rPr>
        <w:fldChar w:fldCharType="end"/>
      </w:r>
      <w:r w:rsidRPr="00976742">
        <w:rPr>
          <w:rFonts w:ascii="Times New Roman" w:hAnsi="Times New Roman"/>
          <w:bCs/>
          <w:sz w:val="24"/>
          <w:szCs w:val="24"/>
        </w:rPr>
        <w:t xml:space="preserve"> </w:t>
      </w:r>
    </w:p>
    <w:bookmarkEnd w:id="38"/>
    <w:p w14:paraId="51DFCA96" w14:textId="77777777" w:rsidR="00A01ACA" w:rsidRDefault="00A01ACA" w:rsidP="00A01ACA">
      <w:pPr>
        <w:pStyle w:val="NoSpacing"/>
        <w:rPr>
          <w:rFonts w:ascii="Times New Roman" w:hAnsi="Times New Roman"/>
          <w:b/>
          <w:bCs/>
          <w:sz w:val="24"/>
          <w:szCs w:val="24"/>
        </w:rPr>
      </w:pPr>
    </w:p>
    <w:p w14:paraId="017669B6" w14:textId="36C22A5C" w:rsidR="00A01ACA" w:rsidRPr="00976742" w:rsidRDefault="00A01ACA" w:rsidP="00A01ACA">
      <w:pPr>
        <w:pStyle w:val="NoSpacing"/>
        <w:rPr>
          <w:rFonts w:ascii="Times New Roman" w:hAnsi="Times New Roman"/>
          <w:b/>
          <w:bCs/>
          <w:sz w:val="24"/>
          <w:szCs w:val="24"/>
        </w:rPr>
      </w:pPr>
      <w:r w:rsidRPr="00976742">
        <w:rPr>
          <w:rFonts w:ascii="Times New Roman" w:hAnsi="Times New Roman"/>
          <w:b/>
          <w:bCs/>
          <w:sz w:val="24"/>
          <w:szCs w:val="24"/>
        </w:rPr>
        <w:lastRenderedPageBreak/>
        <w:t xml:space="preserve">Legal Lessons Learned: Defense counsel is entitled to expert reports, and lab receipts, prior to trial. In this case, was no continuance requested, and no harm. </w:t>
      </w:r>
    </w:p>
    <w:p w14:paraId="0E756384" w14:textId="77777777" w:rsidR="00A01ACA" w:rsidRDefault="00A01ACA" w:rsidP="002B1283">
      <w:pPr>
        <w:rPr>
          <w:rFonts w:ascii="Arial Black" w:hAnsi="Arial Black"/>
          <w:b/>
          <w:sz w:val="24"/>
          <w:szCs w:val="24"/>
        </w:rPr>
      </w:pPr>
    </w:p>
    <w:p w14:paraId="563B0DC8" w14:textId="77777777" w:rsidR="00A01ACA" w:rsidRDefault="00A01ACA" w:rsidP="002B1283">
      <w:pPr>
        <w:rPr>
          <w:rFonts w:ascii="Arial Black" w:hAnsi="Arial Black"/>
          <w:b/>
          <w:sz w:val="24"/>
          <w:szCs w:val="24"/>
        </w:rPr>
      </w:pPr>
    </w:p>
    <w:p w14:paraId="6648F8A8" w14:textId="03D9D132" w:rsidR="007540BD" w:rsidRDefault="007540BD" w:rsidP="002B1283">
      <w:pPr>
        <w:rPr>
          <w:rFonts w:ascii="Arial Black" w:hAnsi="Arial Black"/>
          <w:b/>
          <w:sz w:val="24"/>
          <w:szCs w:val="24"/>
        </w:rPr>
      </w:pPr>
      <w:r>
        <w:rPr>
          <w:rFonts w:ascii="Arial Black" w:hAnsi="Arial Black"/>
          <w:b/>
          <w:sz w:val="24"/>
          <w:szCs w:val="24"/>
        </w:rPr>
        <w:t>1-42</w:t>
      </w:r>
    </w:p>
    <w:p w14:paraId="7E025176" w14:textId="77777777" w:rsidR="007540BD" w:rsidRPr="008B3DEE" w:rsidRDefault="007540BD" w:rsidP="007540BD">
      <w:pPr>
        <w:pStyle w:val="NoSpacing"/>
        <w:rPr>
          <w:rFonts w:ascii="Arial Black" w:hAnsi="Arial Black"/>
          <w:b/>
          <w:bCs/>
          <w:sz w:val="28"/>
          <w:szCs w:val="28"/>
        </w:rPr>
      </w:pPr>
      <w:bookmarkStart w:id="39" w:name="_Hlk69187636"/>
      <w:bookmarkStart w:id="40" w:name="_Hlk39749408"/>
      <w:r w:rsidRPr="008B3DEE">
        <w:rPr>
          <w:rFonts w:ascii="Arial Black" w:hAnsi="Arial Black"/>
          <w:bCs/>
          <w:sz w:val="28"/>
          <w:szCs w:val="28"/>
        </w:rPr>
        <w:t xml:space="preserve">OH: </w:t>
      </w:r>
      <w:r>
        <w:rPr>
          <w:rFonts w:ascii="Arial Black" w:hAnsi="Arial Black"/>
          <w:bCs/>
          <w:sz w:val="28"/>
          <w:szCs w:val="28"/>
        </w:rPr>
        <w:t>42 VIOLATIONS OHIO FIRE CODE – 110 YR-OLD MINI-MALL, “THE ARCADE” - COURT UPHOLDS CITATIONS</w:t>
      </w:r>
    </w:p>
    <w:bookmarkEnd w:id="39"/>
    <w:p w14:paraId="39FC22F7" w14:textId="77777777" w:rsidR="007540BD" w:rsidRPr="00322F87" w:rsidRDefault="007540BD" w:rsidP="007540BD">
      <w:pPr>
        <w:pStyle w:val="NoSpacing"/>
        <w:rPr>
          <w:b/>
          <w:bCs/>
          <w:sz w:val="24"/>
          <w:szCs w:val="24"/>
        </w:rPr>
      </w:pPr>
      <w:r w:rsidRPr="00322F87">
        <w:rPr>
          <w:rStyle w:val="Strong"/>
          <w:sz w:val="24"/>
          <w:szCs w:val="24"/>
        </w:rPr>
        <w:t xml:space="preserve"> </w:t>
      </w:r>
    </w:p>
    <w:p w14:paraId="18D62464" w14:textId="5E1BDF02" w:rsidR="007540BD" w:rsidRPr="007C7258" w:rsidRDefault="007540BD" w:rsidP="007540BD">
      <w:pPr>
        <w:pStyle w:val="NoSpacing"/>
        <w:rPr>
          <w:rFonts w:ascii="Times New Roman" w:hAnsi="Times New Roman"/>
          <w:b/>
          <w:bCs/>
          <w:sz w:val="24"/>
          <w:szCs w:val="24"/>
        </w:rPr>
      </w:pPr>
      <w:r w:rsidRPr="007C7258">
        <w:rPr>
          <w:rFonts w:ascii="Times New Roman" w:hAnsi="Times New Roman"/>
          <w:bCs/>
          <w:sz w:val="24"/>
          <w:szCs w:val="24"/>
        </w:rPr>
        <w:t xml:space="preserve">On </w:t>
      </w:r>
      <w:bookmarkStart w:id="41" w:name="_Hlk39822442"/>
      <w:r w:rsidRPr="007C7258">
        <w:rPr>
          <w:rFonts w:ascii="Times New Roman" w:hAnsi="Times New Roman"/>
          <w:bCs/>
          <w:sz w:val="24"/>
          <w:szCs w:val="24"/>
        </w:rPr>
        <w:t>March 23, 20</w:t>
      </w:r>
      <w:r w:rsidR="00F2621E">
        <w:rPr>
          <w:rFonts w:ascii="Times New Roman" w:hAnsi="Times New Roman"/>
          <w:bCs/>
          <w:sz w:val="24"/>
          <w:szCs w:val="24"/>
        </w:rPr>
        <w:t>20</w:t>
      </w:r>
      <w:r w:rsidRPr="007C7258">
        <w:rPr>
          <w:rFonts w:ascii="Times New Roman" w:hAnsi="Times New Roman"/>
          <w:bCs/>
          <w:sz w:val="24"/>
          <w:szCs w:val="24"/>
        </w:rPr>
        <w:t xml:space="preserve">, in </w:t>
      </w:r>
      <w:r w:rsidRPr="007C7258">
        <w:rPr>
          <w:rFonts w:ascii="Times New Roman" w:hAnsi="Times New Roman"/>
          <w:bCs/>
          <w:sz w:val="24"/>
          <w:szCs w:val="24"/>
          <w:u w:val="single"/>
        </w:rPr>
        <w:t>Tom Cotton v. Patrick Connor, Fire Chief, City of Newark Fire Department</w:t>
      </w:r>
      <w:r w:rsidRPr="007C7258">
        <w:rPr>
          <w:rFonts w:ascii="Times New Roman" w:hAnsi="Times New Roman"/>
          <w:bCs/>
          <w:sz w:val="24"/>
          <w:szCs w:val="24"/>
        </w:rPr>
        <w:t>, the Court of Appeals for Licking County, Fifth Appellate District, 2020-Ohio-1129</w:t>
      </w:r>
      <w:bookmarkEnd w:id="41"/>
      <w:r w:rsidRPr="007C7258">
        <w:rPr>
          <w:rFonts w:ascii="Times New Roman" w:hAnsi="Times New Roman"/>
          <w:bCs/>
          <w:sz w:val="24"/>
          <w:szCs w:val="24"/>
        </w:rPr>
        <w:t>, held (3 to 0),  that the Ohio Board of Building Appeals, and a Common Pleas trial judge, properly denied the appeal of the building owner.  Citations included water flow alarm devices not functioning or disconnected; no fire extinguishers in common hallway; marked exit door with flush bolt locks; holes in fire-rated or resistant construction on floors, walls and ceilings.</w:t>
      </w:r>
    </w:p>
    <w:bookmarkEnd w:id="40"/>
    <w:p w14:paraId="6A3ECED1" w14:textId="77777777" w:rsidR="007540BD" w:rsidRPr="007C7258" w:rsidRDefault="007540BD" w:rsidP="007540BD">
      <w:pPr>
        <w:pStyle w:val="NoSpacing"/>
        <w:rPr>
          <w:rFonts w:ascii="Times New Roman" w:hAnsi="Times New Roman"/>
          <w:b/>
          <w:bCs/>
          <w:sz w:val="24"/>
          <w:szCs w:val="24"/>
        </w:rPr>
      </w:pPr>
    </w:p>
    <w:p w14:paraId="06911480"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 xml:space="preserve">“We concur with the trial court's decision. Between the first inspection date of August 3, 2017, and the first citation date of September 19, 2017, </w:t>
      </w:r>
      <w:proofErr w:type="gramStart"/>
      <w:r w:rsidRPr="007C7258">
        <w:rPr>
          <w:rFonts w:ascii="Times New Roman" w:hAnsi="Times New Roman"/>
          <w:bCs/>
          <w:sz w:val="24"/>
          <w:szCs w:val="24"/>
        </w:rPr>
        <w:t>appellant</w:t>
      </w:r>
      <w:proofErr w:type="gramEnd"/>
      <w:r w:rsidRPr="007C7258">
        <w:rPr>
          <w:rFonts w:ascii="Times New Roman" w:hAnsi="Times New Roman"/>
          <w:bCs/>
          <w:sz w:val="24"/>
          <w:szCs w:val="24"/>
        </w:rPr>
        <w:t xml:space="preserve"> had forty-seven days to correct the violations. As for the second citation, appellant had fifteen days to correct the violations from the last inspection date (March 26, 2018) to the issuance of the citation (April 10, 2018). According to the Timeline and Summary of the Inspections outline, appellee worked with appellant from July 2017 through April 2018 to correct the fire code deficiencies on the subject property. As of </w:t>
      </w:r>
      <w:proofErr w:type="gramStart"/>
      <w:r w:rsidRPr="007C7258">
        <w:rPr>
          <w:rFonts w:ascii="Times New Roman" w:hAnsi="Times New Roman"/>
          <w:bCs/>
          <w:sz w:val="24"/>
          <w:szCs w:val="24"/>
        </w:rPr>
        <w:t>the October</w:t>
      </w:r>
      <w:proofErr w:type="gramEnd"/>
      <w:r w:rsidRPr="007C7258">
        <w:rPr>
          <w:rFonts w:ascii="Times New Roman" w:hAnsi="Times New Roman"/>
          <w:bCs/>
          <w:sz w:val="24"/>
          <w:szCs w:val="24"/>
        </w:rPr>
        <w:t xml:space="preserve"> 30, </w:t>
      </w:r>
      <w:proofErr w:type="gramStart"/>
      <w:r w:rsidRPr="007C7258">
        <w:rPr>
          <w:rFonts w:ascii="Times New Roman" w:hAnsi="Times New Roman"/>
          <w:bCs/>
          <w:sz w:val="24"/>
          <w:szCs w:val="24"/>
        </w:rPr>
        <w:t>2018</w:t>
      </w:r>
      <w:proofErr w:type="gramEnd"/>
      <w:r w:rsidRPr="007C7258">
        <w:rPr>
          <w:rFonts w:ascii="Times New Roman" w:hAnsi="Times New Roman"/>
          <w:bCs/>
          <w:sz w:val="24"/>
          <w:szCs w:val="24"/>
        </w:rPr>
        <w:t xml:space="preserve"> hearing date, outstanding violations existed and some of the corrective measures were in question. We do not find testimony from a ‘representative from the Building Code Enforcement for the City of Newark’ was necessary. Appellant's Brief at 6. Upon review, we find a preponderance of reliable, probative, and substantial evidence to support the trial court's decision. The trial court did not abuse its discretion in affirming the decision of the board of building appeals.”   </w:t>
      </w:r>
      <w:bookmarkStart w:id="42" w:name="_Hlk39749430"/>
      <w:bookmarkStart w:id="43" w:name="_Hlk39821152"/>
      <w:r w:rsidR="00334940">
        <w:fldChar w:fldCharType="begin"/>
      </w:r>
      <w:r w:rsidR="00334940">
        <w:instrText xml:space="preserve"> HYPERLINK "https://www.supremecourt.ohio.gov/rod/docs/pdf/5/2020/2020-Ohio-1129.pdf" </w:instrText>
      </w:r>
      <w:r w:rsidR="00334940">
        <w:fldChar w:fldCharType="separate"/>
      </w:r>
      <w:r w:rsidRPr="007C7258">
        <w:rPr>
          <w:rStyle w:val="Hyperlink"/>
          <w:rFonts w:ascii="Times New Roman" w:hAnsi="Times New Roman"/>
          <w:b/>
          <w:sz w:val="24"/>
          <w:szCs w:val="24"/>
        </w:rPr>
        <w:t>https://www.supremecourt.ohio.gov/rod/docs/pdf/5/2020/2020-Ohio-1129.pdf</w:t>
      </w:r>
      <w:r w:rsidR="00334940">
        <w:rPr>
          <w:rStyle w:val="Hyperlink"/>
          <w:rFonts w:ascii="Times New Roman" w:hAnsi="Times New Roman"/>
          <w:b/>
          <w:sz w:val="24"/>
          <w:szCs w:val="24"/>
        </w:rPr>
        <w:fldChar w:fldCharType="end"/>
      </w:r>
      <w:bookmarkEnd w:id="42"/>
    </w:p>
    <w:bookmarkEnd w:id="43"/>
    <w:p w14:paraId="06CC2D8C" w14:textId="77777777" w:rsidR="007540BD" w:rsidRPr="007C7258" w:rsidRDefault="007540BD" w:rsidP="007540BD">
      <w:pPr>
        <w:pStyle w:val="NoSpacing"/>
        <w:ind w:left="720"/>
        <w:rPr>
          <w:rFonts w:ascii="Times New Roman" w:hAnsi="Times New Roman"/>
          <w:b/>
          <w:bCs/>
          <w:sz w:val="24"/>
          <w:szCs w:val="24"/>
        </w:rPr>
      </w:pPr>
    </w:p>
    <w:p w14:paraId="6E831AFF" w14:textId="77777777" w:rsidR="007540BD" w:rsidRPr="007C7258" w:rsidRDefault="007540BD" w:rsidP="007540BD">
      <w:pPr>
        <w:pStyle w:val="NoSpacing"/>
        <w:rPr>
          <w:rFonts w:ascii="Times New Roman" w:hAnsi="Times New Roman"/>
          <w:b/>
          <w:bCs/>
          <w:sz w:val="24"/>
          <w:szCs w:val="24"/>
        </w:rPr>
      </w:pPr>
      <w:r w:rsidRPr="007C7258">
        <w:rPr>
          <w:rFonts w:ascii="Times New Roman" w:hAnsi="Times New Roman"/>
          <w:b/>
          <w:bCs/>
          <w:sz w:val="24"/>
          <w:szCs w:val="24"/>
        </w:rPr>
        <w:t>Legal Lessons Learned: Well documented code violations</w:t>
      </w:r>
      <w:r>
        <w:rPr>
          <w:rFonts w:ascii="Times New Roman" w:hAnsi="Times New Roman"/>
          <w:b/>
          <w:bCs/>
          <w:sz w:val="24"/>
          <w:szCs w:val="24"/>
        </w:rPr>
        <w:t xml:space="preserve">. </w:t>
      </w:r>
      <w:r w:rsidRPr="007C7258">
        <w:rPr>
          <w:rFonts w:ascii="Times New Roman" w:hAnsi="Times New Roman"/>
          <w:b/>
          <w:bCs/>
          <w:sz w:val="24"/>
          <w:szCs w:val="24"/>
        </w:rPr>
        <w:t xml:space="preserve"> </w:t>
      </w:r>
    </w:p>
    <w:p w14:paraId="0B0FFFFA" w14:textId="5483B796" w:rsidR="007540BD" w:rsidRPr="007C7258" w:rsidRDefault="007540BD" w:rsidP="007540BD">
      <w:pPr>
        <w:pStyle w:val="p-text"/>
        <w:ind w:left="720"/>
        <w:rPr>
          <w:b/>
        </w:rPr>
      </w:pPr>
      <w:bookmarkStart w:id="44" w:name="_Hlk39821066"/>
      <w:r w:rsidRPr="007C7258">
        <w:rPr>
          <w:bCs/>
        </w:rPr>
        <w:t xml:space="preserve">See Oct. 14, </w:t>
      </w:r>
      <w:proofErr w:type="gramStart"/>
      <w:r w:rsidRPr="007C7258">
        <w:rPr>
          <w:bCs/>
        </w:rPr>
        <w:t>2019</w:t>
      </w:r>
      <w:proofErr w:type="gramEnd"/>
      <w:r w:rsidRPr="007C7258">
        <w:rPr>
          <w:bCs/>
        </w:rPr>
        <w:t xml:space="preserve"> article about this property: “Long saga of downtown Newark Arcade property may be near resolution.”  </w:t>
      </w:r>
      <w:bookmarkEnd w:id="44"/>
      <w:r w:rsidRPr="007C7258">
        <w:rPr>
          <w:bCs/>
        </w:rPr>
        <w:t>“</w:t>
      </w:r>
      <w:r w:rsidRPr="007C7258">
        <w:t xml:space="preserve">A year ago, the Ohio Board of Building Appeals upheld violations from April 10, 2018, and Sept. 19, 2017. For the April violations, the board issued Cotton a one-time penalty of $9,000, and an additional $9,000 per month if all violations were not remedied in 60 days.  For the 2017 violations, the board issued a one-time penalty of $6,700 and $6,700 per month if violations remained after 60 days. The 2018 violations included: water flow alarm devices not functioning or disconnected; no fire extinguishers in common hallway; marked exit door with flush bolt locks; holes in fire-rated or resistant construction on floors, walls and </w:t>
      </w:r>
      <w:proofErr w:type="gramStart"/>
      <w:r w:rsidRPr="007C7258">
        <w:t>ceilings.”</w:t>
      </w:r>
      <w:proofErr w:type="gramEnd"/>
      <w:r w:rsidRPr="007C7258">
        <w:t xml:space="preserve"> </w:t>
      </w:r>
      <w:bookmarkStart w:id="45" w:name="_Hlk39821109"/>
      <w:r w:rsidR="00F2621E">
        <w:fldChar w:fldCharType="begin"/>
      </w:r>
      <w:r w:rsidR="00F2621E">
        <w:instrText xml:space="preserve"> HYPERLINK "https://www.newarkadvocate.com/story/news/2019/10/14/downtown-newark-arcade-saga-may-nearing-some-resolution-not/3924621002/" </w:instrText>
      </w:r>
      <w:r w:rsidR="00F2621E">
        <w:fldChar w:fldCharType="separate"/>
      </w:r>
      <w:r w:rsidRPr="007C7258">
        <w:rPr>
          <w:rStyle w:val="Hyperlink"/>
        </w:rPr>
        <w:t>https://www.newarkadvocate.com/story/news/2019/10/14/downtown-newark-arcade-saga-may-nearing-some-resolution-not/3924621002/</w:t>
      </w:r>
      <w:r w:rsidR="00F2621E">
        <w:rPr>
          <w:rStyle w:val="Hyperlink"/>
        </w:rPr>
        <w:fldChar w:fldCharType="end"/>
      </w:r>
      <w:r w:rsidRPr="007C7258">
        <w:rPr>
          <w:b/>
        </w:rPr>
        <w:t xml:space="preserve"> </w:t>
      </w:r>
    </w:p>
    <w:bookmarkEnd w:id="45"/>
    <w:p w14:paraId="01E0050E" w14:textId="77777777" w:rsidR="007540BD" w:rsidRDefault="007540BD" w:rsidP="002B1283">
      <w:pPr>
        <w:rPr>
          <w:rFonts w:ascii="Arial Black" w:hAnsi="Arial Black"/>
          <w:b/>
          <w:sz w:val="24"/>
          <w:szCs w:val="24"/>
        </w:rPr>
      </w:pPr>
    </w:p>
    <w:p w14:paraId="47B2F3CD" w14:textId="31F0E723" w:rsidR="007540BD" w:rsidRDefault="007540BD" w:rsidP="002B1283">
      <w:pPr>
        <w:rPr>
          <w:rFonts w:ascii="Arial Black" w:hAnsi="Arial Black"/>
          <w:b/>
          <w:sz w:val="24"/>
          <w:szCs w:val="24"/>
        </w:rPr>
      </w:pPr>
      <w:r>
        <w:rPr>
          <w:rFonts w:ascii="Arial Black" w:hAnsi="Arial Black"/>
          <w:b/>
          <w:sz w:val="24"/>
          <w:szCs w:val="24"/>
        </w:rPr>
        <w:t>1-41</w:t>
      </w:r>
    </w:p>
    <w:p w14:paraId="239B976A" w14:textId="77777777" w:rsidR="007540BD" w:rsidRPr="00907DE2" w:rsidRDefault="007540BD" w:rsidP="007540BD">
      <w:pPr>
        <w:spacing w:before="100" w:beforeAutospacing="1" w:after="100" w:afterAutospacing="1" w:line="240" w:lineRule="auto"/>
        <w:rPr>
          <w:rFonts w:ascii="Arial Black" w:hAnsi="Arial Black"/>
          <w:sz w:val="28"/>
          <w:szCs w:val="28"/>
        </w:rPr>
      </w:pPr>
      <w:bookmarkStart w:id="46" w:name="_Hlk39817639"/>
      <w:r w:rsidRPr="00907DE2">
        <w:rPr>
          <w:rFonts w:ascii="Arial Black" w:hAnsi="Arial Black"/>
          <w:sz w:val="28"/>
          <w:szCs w:val="28"/>
        </w:rPr>
        <w:lastRenderedPageBreak/>
        <w:t xml:space="preserve">NY: </w:t>
      </w:r>
      <w:r>
        <w:rPr>
          <w:rFonts w:ascii="Arial Black" w:hAnsi="Arial Black"/>
          <w:sz w:val="28"/>
          <w:szCs w:val="28"/>
        </w:rPr>
        <w:t xml:space="preserve">ARSON – ADULT / 3 CHILDREN KILLED – CONVICTIONS – BUT CHARGES LATER DROPPED ONE MAN – ATF AGENTS HAVE IMMUNITY </w:t>
      </w:r>
    </w:p>
    <w:p w14:paraId="230C873D" w14:textId="77777777" w:rsidR="007540BD" w:rsidRDefault="007540BD" w:rsidP="007540BD">
      <w:pPr>
        <w:spacing w:before="100" w:beforeAutospacing="1" w:after="100" w:afterAutospacing="1" w:line="240" w:lineRule="auto"/>
        <w:rPr>
          <w:rFonts w:ascii="Times New Roman" w:hAnsi="Times New Roman"/>
          <w:sz w:val="24"/>
          <w:szCs w:val="24"/>
        </w:rPr>
      </w:pPr>
      <w:r w:rsidRPr="00907DE2">
        <w:rPr>
          <w:rFonts w:ascii="Times New Roman" w:hAnsi="Times New Roman"/>
          <w:sz w:val="24"/>
          <w:szCs w:val="24"/>
        </w:rPr>
        <w:t xml:space="preserve">On March 23, 2020, in </w:t>
      </w:r>
      <w:r w:rsidRPr="00907DE2">
        <w:rPr>
          <w:rFonts w:ascii="Times New Roman" w:hAnsi="Times New Roman"/>
          <w:sz w:val="24"/>
          <w:szCs w:val="24"/>
          <w:u w:val="single"/>
        </w:rPr>
        <w:t>Robert Butler v. Eric Hesch, et al</w:t>
      </w:r>
      <w:r>
        <w:rPr>
          <w:rFonts w:ascii="Times New Roman" w:hAnsi="Times New Roman"/>
          <w:sz w:val="24"/>
          <w:szCs w:val="24"/>
        </w:rPr>
        <w:t xml:space="preserve">., U.S. District Court Judge Mae A. D’Agostino, U.S. District Court for Northern District of New York, granted ATF agents’ motion to dismiss. </w:t>
      </w:r>
    </w:p>
    <w:p w14:paraId="32ACFECF"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 xml:space="preserve">“Plaintiff commenced this action on December 28, 2016, pursuant to 42 U.S.C. §§ 1983 and 1985, and </w:t>
      </w:r>
      <w:r w:rsidRPr="007C7258">
        <w:rPr>
          <w:rFonts w:ascii="Times New Roman" w:hAnsi="Times New Roman"/>
          <w:bCs/>
          <w:i/>
          <w:iCs/>
          <w:sz w:val="24"/>
          <w:szCs w:val="24"/>
        </w:rPr>
        <w:t>Bivens v</w:t>
      </w:r>
      <w:r w:rsidRPr="007C7258">
        <w:rPr>
          <w:rFonts w:ascii="Times New Roman" w:hAnsi="Times New Roman"/>
          <w:bCs/>
          <w:sz w:val="24"/>
          <w:szCs w:val="24"/>
        </w:rPr>
        <w:t xml:space="preserve">. </w:t>
      </w:r>
      <w:r w:rsidRPr="007C7258">
        <w:rPr>
          <w:rFonts w:ascii="Times New Roman" w:hAnsi="Times New Roman"/>
          <w:bCs/>
          <w:i/>
          <w:iCs/>
          <w:sz w:val="24"/>
          <w:szCs w:val="24"/>
        </w:rPr>
        <w:t>Six Unknown Named Agents of the Federal Bureau of Narcotics</w:t>
      </w:r>
      <w:r w:rsidRPr="007C7258">
        <w:rPr>
          <w:rFonts w:ascii="Times New Roman" w:hAnsi="Times New Roman"/>
          <w:bCs/>
          <w:sz w:val="24"/>
          <w:szCs w:val="24"/>
        </w:rPr>
        <w:t>, 403 U.S. 388 (1971), complaining of constitutional and civil rights violations stemming from Plaintiff's arrest and detention.</w:t>
      </w:r>
    </w:p>
    <w:p w14:paraId="31B82843" w14:textId="77777777" w:rsidR="007540BD" w:rsidRPr="007C7258" w:rsidRDefault="007540BD" w:rsidP="007540BD">
      <w:pPr>
        <w:pStyle w:val="NoSpacing"/>
        <w:ind w:left="720"/>
        <w:rPr>
          <w:rFonts w:ascii="Times New Roman" w:hAnsi="Times New Roman"/>
          <w:b/>
          <w:bCs/>
          <w:sz w:val="24"/>
          <w:szCs w:val="24"/>
        </w:rPr>
      </w:pPr>
    </w:p>
    <w:p w14:paraId="00ED5CBF"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w:t>
      </w:r>
    </w:p>
    <w:p w14:paraId="2D0BCD06" w14:textId="77777777" w:rsidR="007540BD" w:rsidRPr="007C7258" w:rsidRDefault="007540BD" w:rsidP="007540BD">
      <w:pPr>
        <w:pStyle w:val="NoSpacing"/>
        <w:ind w:left="720"/>
        <w:rPr>
          <w:rFonts w:ascii="Times New Roman" w:hAnsi="Times New Roman"/>
          <w:b/>
          <w:bCs/>
          <w:sz w:val="24"/>
          <w:szCs w:val="24"/>
        </w:rPr>
      </w:pPr>
    </w:p>
    <w:p w14:paraId="221891BC" w14:textId="38C53D84" w:rsidR="007540BD" w:rsidRDefault="007540BD" w:rsidP="007540BD">
      <w:pPr>
        <w:ind w:left="720"/>
        <w:rPr>
          <w:rFonts w:ascii="Arial Black" w:hAnsi="Arial Black"/>
          <w:b/>
          <w:sz w:val="24"/>
          <w:szCs w:val="24"/>
        </w:rPr>
      </w:pPr>
      <w:r w:rsidRPr="007C7258">
        <w:rPr>
          <w:rFonts w:ascii="Times New Roman" w:hAnsi="Times New Roman"/>
          <w:bCs/>
          <w:sz w:val="24"/>
          <w:szCs w:val="24"/>
        </w:rPr>
        <w:t xml:space="preserve">In short, Plaintiff's criminal case was fully managed by the federal prosecutors, who independently interviewed all relevant witnesses and then decided to bring charges against Plaintiff. There is no evidence that the ATF Defendants withheld relevant evidence from the prosecutors, or provided false evidence to them, as would be necessary to establish that the ATF Defendants were responsible for initiating or continuing the prosecution. As such, the ATF Defendants are entitled to summary judgment because Plaintiff failed to satisfy the first element of his malicious prosecution claim. </w:t>
      </w:r>
      <w:r w:rsidRPr="007C7258">
        <w:rPr>
          <w:rFonts w:ascii="Times New Roman" w:hAnsi="Times New Roman"/>
          <w:bCs/>
          <w:i/>
          <w:iCs/>
          <w:sz w:val="24"/>
          <w:szCs w:val="24"/>
        </w:rPr>
        <w:t>See Battisti v</w:t>
      </w:r>
      <w:r w:rsidRPr="007C7258">
        <w:rPr>
          <w:rFonts w:ascii="Times New Roman" w:hAnsi="Times New Roman"/>
          <w:bCs/>
          <w:sz w:val="24"/>
          <w:szCs w:val="24"/>
        </w:rPr>
        <w:t xml:space="preserve">. </w:t>
      </w:r>
      <w:r w:rsidRPr="007C7258">
        <w:rPr>
          <w:rFonts w:ascii="Times New Roman" w:hAnsi="Times New Roman"/>
          <w:bCs/>
          <w:i/>
          <w:iCs/>
          <w:sz w:val="24"/>
          <w:szCs w:val="24"/>
        </w:rPr>
        <w:t>Rice</w:t>
      </w:r>
      <w:r w:rsidRPr="007C7258">
        <w:rPr>
          <w:rFonts w:ascii="Times New Roman" w:hAnsi="Times New Roman"/>
          <w:bCs/>
          <w:sz w:val="24"/>
          <w:szCs w:val="24"/>
        </w:rPr>
        <w:t xml:space="preserve">, No. 10-cv-4139, 2017 WL 78891, *10 (E.D.N.Y. Jan. 9, 2017) (dismissing the plaintiff's malicious prosecution claim because "[t]here is no evidence that either officer importuned [the prosecutor] to prosecute Plaintiff or that either officer fabricated or withheld evidence from [the prosecutor]") (citation omitted); </w:t>
      </w:r>
      <w:r w:rsidRPr="007C7258">
        <w:rPr>
          <w:rFonts w:ascii="Times New Roman" w:hAnsi="Times New Roman"/>
          <w:bCs/>
          <w:i/>
          <w:iCs/>
          <w:sz w:val="24"/>
          <w:szCs w:val="24"/>
        </w:rPr>
        <w:t>Stukes v</w:t>
      </w:r>
      <w:r w:rsidRPr="007C7258">
        <w:rPr>
          <w:rFonts w:ascii="Times New Roman" w:hAnsi="Times New Roman"/>
          <w:bCs/>
          <w:sz w:val="24"/>
          <w:szCs w:val="24"/>
        </w:rPr>
        <w:t xml:space="preserve">. </w:t>
      </w:r>
      <w:r w:rsidRPr="007C7258">
        <w:rPr>
          <w:rFonts w:ascii="Times New Roman" w:hAnsi="Times New Roman"/>
          <w:bCs/>
          <w:i/>
          <w:iCs/>
          <w:sz w:val="24"/>
          <w:szCs w:val="24"/>
        </w:rPr>
        <w:t>City of New York</w:t>
      </w:r>
      <w:r w:rsidRPr="007C7258">
        <w:rPr>
          <w:rFonts w:ascii="Times New Roman" w:hAnsi="Times New Roman"/>
          <w:bCs/>
          <w:sz w:val="24"/>
          <w:szCs w:val="24"/>
        </w:rPr>
        <w:t xml:space="preserve">, No. 13-cv-6166, 2015 WL 1246542, *9 (E.D.N.Y. Mar. 17, 2015).” </w:t>
      </w:r>
      <w:hyperlink r:id="rId330" w:history="1">
        <w:r w:rsidRPr="007C7258">
          <w:rPr>
            <w:rStyle w:val="Hyperlink"/>
            <w:rFonts w:ascii="Times New Roman" w:hAnsi="Times New Roman"/>
            <w:b/>
            <w:sz w:val="24"/>
            <w:szCs w:val="24"/>
          </w:rPr>
          <w:t>https://public.fastcase.com/Wl%2B2t%2BeVuI35%2FN70vAMFZj1n7kcpr8halXGGcU2zGib4k7w6DLSXX7%2BQNj%2B4S4J7</w:t>
        </w:r>
      </w:hyperlink>
    </w:p>
    <w:bookmarkEnd w:id="46"/>
    <w:p w14:paraId="7F3A5218" w14:textId="77777777" w:rsidR="007540BD" w:rsidRPr="007C7258" w:rsidRDefault="007540BD" w:rsidP="007540BD">
      <w:pPr>
        <w:pStyle w:val="NoSpacing"/>
        <w:rPr>
          <w:rFonts w:ascii="Times New Roman" w:hAnsi="Times New Roman"/>
          <w:b/>
          <w:bCs/>
          <w:sz w:val="24"/>
          <w:szCs w:val="24"/>
        </w:rPr>
      </w:pPr>
      <w:r w:rsidRPr="007C7258">
        <w:rPr>
          <w:rFonts w:ascii="Times New Roman" w:hAnsi="Times New Roman"/>
          <w:b/>
          <w:bCs/>
          <w:sz w:val="24"/>
          <w:szCs w:val="24"/>
        </w:rPr>
        <w:t xml:space="preserve">Legal Lessons Learned:  </w:t>
      </w:r>
      <w:r>
        <w:rPr>
          <w:rFonts w:ascii="Times New Roman" w:hAnsi="Times New Roman"/>
          <w:b/>
          <w:bCs/>
          <w:sz w:val="24"/>
          <w:szCs w:val="24"/>
        </w:rPr>
        <w:t>ATF and other a</w:t>
      </w:r>
      <w:r w:rsidRPr="007C7258">
        <w:rPr>
          <w:rFonts w:ascii="Times New Roman" w:hAnsi="Times New Roman"/>
          <w:b/>
          <w:bCs/>
          <w:sz w:val="24"/>
          <w:szCs w:val="24"/>
        </w:rPr>
        <w:t xml:space="preserve">rson investigators enjoy qualified immunity; the fact that charges were later dropped </w:t>
      </w:r>
      <w:r>
        <w:rPr>
          <w:rFonts w:ascii="Times New Roman" w:hAnsi="Times New Roman"/>
          <w:b/>
          <w:bCs/>
          <w:sz w:val="24"/>
          <w:szCs w:val="24"/>
        </w:rPr>
        <w:t xml:space="preserve">by prosecutors </w:t>
      </w:r>
      <w:r w:rsidRPr="007C7258">
        <w:rPr>
          <w:rFonts w:ascii="Times New Roman" w:hAnsi="Times New Roman"/>
          <w:b/>
          <w:bCs/>
          <w:sz w:val="24"/>
          <w:szCs w:val="24"/>
        </w:rPr>
        <w:t xml:space="preserve">against a person does not give the individual a right to sue the investigators. </w:t>
      </w:r>
    </w:p>
    <w:p w14:paraId="7B6C5E59" w14:textId="77777777" w:rsidR="007540BD" w:rsidRPr="007C7258" w:rsidRDefault="007540BD" w:rsidP="007540BD">
      <w:pPr>
        <w:spacing w:before="100" w:beforeAutospacing="1" w:after="100" w:afterAutospacing="1" w:line="240" w:lineRule="auto"/>
        <w:rPr>
          <w:rFonts w:ascii="Times New Roman" w:eastAsia="Times New Roman" w:hAnsi="Times New Roman"/>
          <w:sz w:val="24"/>
          <w:szCs w:val="24"/>
        </w:rPr>
      </w:pPr>
    </w:p>
    <w:p w14:paraId="28555A2A" w14:textId="77777777" w:rsidR="007540BD" w:rsidRDefault="007540BD" w:rsidP="002B1283">
      <w:pPr>
        <w:rPr>
          <w:rFonts w:ascii="Arial Black" w:hAnsi="Arial Black"/>
          <w:b/>
          <w:sz w:val="24"/>
          <w:szCs w:val="24"/>
        </w:rPr>
      </w:pPr>
    </w:p>
    <w:p w14:paraId="1D32292B" w14:textId="77777777" w:rsidR="007540BD" w:rsidRDefault="007540BD" w:rsidP="002B1283">
      <w:pPr>
        <w:rPr>
          <w:rFonts w:ascii="Arial Black" w:hAnsi="Arial Black"/>
          <w:b/>
          <w:sz w:val="24"/>
          <w:szCs w:val="24"/>
        </w:rPr>
      </w:pPr>
    </w:p>
    <w:p w14:paraId="597A8EE6" w14:textId="6D70D898" w:rsidR="00663160" w:rsidRDefault="00663160" w:rsidP="002B1283">
      <w:pPr>
        <w:rPr>
          <w:rFonts w:ascii="Arial Black" w:hAnsi="Arial Black"/>
          <w:b/>
          <w:sz w:val="24"/>
          <w:szCs w:val="24"/>
        </w:rPr>
      </w:pPr>
      <w:r>
        <w:rPr>
          <w:rFonts w:ascii="Arial Black" w:hAnsi="Arial Black"/>
          <w:b/>
          <w:sz w:val="24"/>
          <w:szCs w:val="24"/>
        </w:rPr>
        <w:t>1-</w:t>
      </w:r>
      <w:r w:rsidR="00637A12">
        <w:rPr>
          <w:rFonts w:ascii="Arial Black" w:hAnsi="Arial Black"/>
          <w:b/>
          <w:sz w:val="24"/>
          <w:szCs w:val="24"/>
        </w:rPr>
        <w:t>40</w:t>
      </w:r>
    </w:p>
    <w:p w14:paraId="3208EC89" w14:textId="77777777" w:rsidR="00663160" w:rsidRPr="00615BC7" w:rsidRDefault="00663160" w:rsidP="00663160">
      <w:pPr>
        <w:spacing w:before="100" w:beforeAutospacing="1" w:after="100" w:afterAutospacing="1" w:line="240" w:lineRule="auto"/>
        <w:rPr>
          <w:rFonts w:ascii="Arial Black" w:eastAsia="Times New Roman" w:hAnsi="Arial Black"/>
          <w:b/>
          <w:bCs/>
          <w:sz w:val="28"/>
          <w:szCs w:val="28"/>
        </w:rPr>
      </w:pPr>
      <w:bookmarkStart w:id="47" w:name="_Hlk39749496"/>
      <w:bookmarkStart w:id="48" w:name="_Hlk41315334"/>
      <w:r w:rsidRPr="00615BC7">
        <w:rPr>
          <w:rFonts w:ascii="Arial Black" w:eastAsia="Times New Roman" w:hAnsi="Arial Black"/>
          <w:b/>
          <w:bCs/>
          <w:sz w:val="28"/>
          <w:szCs w:val="28"/>
        </w:rPr>
        <w:t xml:space="preserve">TX:  </w:t>
      </w:r>
      <w:r>
        <w:rPr>
          <w:rFonts w:ascii="Arial Black" w:eastAsia="Times New Roman" w:hAnsi="Arial Black"/>
          <w:b/>
          <w:bCs/>
          <w:sz w:val="28"/>
          <w:szCs w:val="28"/>
        </w:rPr>
        <w:t>GRANDMOTHER’S 911 CALLS DID NOT GO THROUGH – BABY DIED – T-MOBILE HAS IMMUNITY UNDER STATE LAW</w:t>
      </w:r>
    </w:p>
    <w:p w14:paraId="1B671B23" w14:textId="77777777" w:rsidR="00663160" w:rsidRPr="0049503A" w:rsidRDefault="00663160" w:rsidP="00663160">
      <w:pPr>
        <w:pStyle w:val="NoSpacing"/>
        <w:rPr>
          <w:rFonts w:ascii="Times New Roman" w:hAnsi="Times New Roman"/>
          <w:b/>
          <w:bCs/>
          <w:sz w:val="24"/>
          <w:szCs w:val="24"/>
        </w:rPr>
      </w:pPr>
      <w:r w:rsidRPr="0049503A">
        <w:rPr>
          <w:rFonts w:ascii="Times New Roman" w:hAnsi="Times New Roman"/>
          <w:bCs/>
          <w:sz w:val="24"/>
          <w:szCs w:val="24"/>
        </w:rPr>
        <w:t xml:space="preserve">On Feb. 27, 2020, in </w:t>
      </w:r>
      <w:r w:rsidRPr="0049503A">
        <w:rPr>
          <w:rFonts w:ascii="Times New Roman" w:hAnsi="Times New Roman"/>
          <w:bCs/>
          <w:sz w:val="24"/>
          <w:szCs w:val="24"/>
          <w:u w:val="single"/>
        </w:rPr>
        <w:t>Bridget Alex v. T-Mobile USA</w:t>
      </w:r>
      <w:r w:rsidRPr="0049503A">
        <w:rPr>
          <w:rFonts w:ascii="Times New Roman" w:hAnsi="Times New Roman"/>
          <w:bCs/>
          <w:sz w:val="24"/>
          <w:szCs w:val="24"/>
        </w:rPr>
        <w:t>, the U.S. Court of Appeals for 5</w:t>
      </w:r>
      <w:r w:rsidRPr="0049503A">
        <w:rPr>
          <w:rFonts w:ascii="Times New Roman" w:hAnsi="Times New Roman"/>
          <w:bCs/>
          <w:sz w:val="24"/>
          <w:szCs w:val="24"/>
          <w:vertAlign w:val="superscript"/>
        </w:rPr>
        <w:t>th</w:t>
      </w:r>
      <w:r w:rsidRPr="0049503A">
        <w:rPr>
          <w:rFonts w:ascii="Times New Roman" w:hAnsi="Times New Roman"/>
          <w:bCs/>
          <w:sz w:val="24"/>
          <w:szCs w:val="24"/>
        </w:rPr>
        <w:t xml:space="preserve"> Circuit (New Orleans) held (3 to 0)  that T-Mobile enjoys immunity under State statute. </w:t>
      </w:r>
    </w:p>
    <w:p w14:paraId="5D88DF9C" w14:textId="77777777" w:rsidR="00663160" w:rsidRPr="0049503A" w:rsidRDefault="00663160" w:rsidP="00663160">
      <w:pPr>
        <w:pStyle w:val="NoSpacing"/>
        <w:rPr>
          <w:rFonts w:ascii="Times New Roman" w:hAnsi="Times New Roman"/>
          <w:b/>
          <w:bCs/>
          <w:sz w:val="24"/>
          <w:szCs w:val="24"/>
        </w:rPr>
      </w:pPr>
    </w:p>
    <w:p w14:paraId="7552E761" w14:textId="210A0D85" w:rsidR="00663160" w:rsidRPr="0049503A" w:rsidRDefault="00663160" w:rsidP="00663160">
      <w:pPr>
        <w:pStyle w:val="NoSpacing"/>
        <w:ind w:left="720"/>
        <w:rPr>
          <w:rFonts w:ascii="Times New Roman" w:hAnsi="Times New Roman"/>
          <w:b/>
          <w:bCs/>
          <w:sz w:val="24"/>
          <w:szCs w:val="24"/>
        </w:rPr>
      </w:pPr>
      <w:r w:rsidRPr="0049503A">
        <w:rPr>
          <w:rFonts w:ascii="Times New Roman" w:hAnsi="Times New Roman"/>
          <w:bCs/>
          <w:sz w:val="24"/>
          <w:szCs w:val="24"/>
        </w:rPr>
        <w:t xml:space="preserve">“Seven-month-old Brandon Alex was injured after falling from a daybed. His babysitter dialed 9-1-1 three separate </w:t>
      </w:r>
      <w:proofErr w:type="gramStart"/>
      <w:r w:rsidRPr="0049503A">
        <w:rPr>
          <w:rFonts w:ascii="Times New Roman" w:hAnsi="Times New Roman"/>
          <w:bCs/>
          <w:sz w:val="24"/>
          <w:szCs w:val="24"/>
        </w:rPr>
        <w:t>times, and</w:t>
      </w:r>
      <w:proofErr w:type="gramEnd"/>
      <w:r w:rsidRPr="0049503A">
        <w:rPr>
          <w:rFonts w:ascii="Times New Roman" w:hAnsi="Times New Roman"/>
          <w:bCs/>
          <w:sz w:val="24"/>
          <w:szCs w:val="24"/>
        </w:rPr>
        <w:t xml:space="preserve"> stayed on an unconnected line for over thirty minutes. Unable to connect to a </w:t>
      </w:r>
      <w:r w:rsidRPr="0049503A">
        <w:rPr>
          <w:rFonts w:ascii="Times New Roman" w:hAnsi="Times New Roman"/>
          <w:bCs/>
          <w:sz w:val="24"/>
          <w:szCs w:val="24"/>
        </w:rPr>
        <w:lastRenderedPageBreak/>
        <w:t>dispatcher, Brandon’s grandmother drove him to an emergency room over an hour after the first 9-1-1 call. Brandon was pronounced dead shortly after arriving at the hospital.</w:t>
      </w:r>
      <w:r w:rsidR="000B4D9F">
        <w:rPr>
          <w:rFonts w:ascii="Times New Roman" w:hAnsi="Times New Roman"/>
          <w:bCs/>
          <w:sz w:val="24"/>
          <w:szCs w:val="24"/>
        </w:rPr>
        <w:t xml:space="preserve"> *** </w:t>
      </w:r>
      <w:r w:rsidRPr="0049503A">
        <w:rPr>
          <w:rFonts w:ascii="Times New Roman" w:hAnsi="Times New Roman"/>
          <w:bCs/>
          <w:sz w:val="24"/>
          <w:szCs w:val="24"/>
        </w:rPr>
        <w:t xml:space="preserve">This court has already held that, under the Supreme Court of Texas’s decision in City of Dallas v. Sanchez, 494 S.W.3d 722 (Tex. 2016), Plaintiffs failed to allege proximate cause sufficient to overcome T-Mobile’s immunity…. Because T-Mobile and T-Systems are immune under Texas law, the district court did not err in dismissing Plaintiffs’ claims against them—we affirm. </w:t>
      </w:r>
    </w:p>
    <w:p w14:paraId="088374BE" w14:textId="77777777" w:rsidR="00663160" w:rsidRPr="0049503A" w:rsidRDefault="00663160" w:rsidP="00663160">
      <w:pPr>
        <w:pStyle w:val="NoSpacing"/>
        <w:ind w:left="720"/>
        <w:rPr>
          <w:rFonts w:ascii="Times New Roman" w:eastAsia="Times New Roman" w:hAnsi="Times New Roman"/>
          <w:b/>
          <w:bCs/>
          <w:sz w:val="24"/>
          <w:szCs w:val="24"/>
        </w:rPr>
      </w:pPr>
      <w:hyperlink r:id="rId331" w:history="1">
        <w:r w:rsidRPr="0049503A">
          <w:rPr>
            <w:rStyle w:val="Hyperlink"/>
            <w:rFonts w:ascii="Times New Roman" w:hAnsi="Times New Roman"/>
            <w:bCs/>
            <w:sz w:val="24"/>
            <w:szCs w:val="24"/>
          </w:rPr>
          <w:t>http://www.ca5.uscourts.gov/opinions/unpub/19/19-10878.0.pdf</w:t>
        </w:r>
      </w:hyperlink>
      <w:r w:rsidRPr="0049503A">
        <w:rPr>
          <w:rFonts w:ascii="Times New Roman" w:hAnsi="Times New Roman"/>
          <w:bCs/>
          <w:sz w:val="24"/>
          <w:szCs w:val="24"/>
        </w:rPr>
        <w:t xml:space="preserve"> </w:t>
      </w:r>
    </w:p>
    <w:bookmarkEnd w:id="47"/>
    <w:p w14:paraId="73EF83A1" w14:textId="77777777" w:rsidR="00663160" w:rsidRDefault="00663160" w:rsidP="00663160">
      <w:pPr>
        <w:pStyle w:val="NoSpacing"/>
        <w:rPr>
          <w:rFonts w:ascii="Times New Roman" w:hAnsi="Times New Roman"/>
          <w:b/>
          <w:bCs/>
          <w:sz w:val="24"/>
          <w:szCs w:val="24"/>
        </w:rPr>
      </w:pPr>
    </w:p>
    <w:p w14:paraId="606DEE07" w14:textId="74517482" w:rsidR="00663160" w:rsidRPr="0049503A" w:rsidRDefault="00663160" w:rsidP="00663160">
      <w:pPr>
        <w:pStyle w:val="NoSpacing"/>
        <w:rPr>
          <w:rFonts w:ascii="Times New Roman" w:hAnsi="Times New Roman"/>
          <w:b/>
          <w:bCs/>
          <w:sz w:val="24"/>
          <w:szCs w:val="24"/>
        </w:rPr>
      </w:pPr>
      <w:r w:rsidRPr="0049503A">
        <w:rPr>
          <w:rFonts w:ascii="Times New Roman" w:hAnsi="Times New Roman"/>
          <w:b/>
          <w:bCs/>
          <w:sz w:val="24"/>
          <w:szCs w:val="24"/>
        </w:rPr>
        <w:t xml:space="preserve">Legal Lessons Learned: State statutes often provide immunity to 911 equipment suppliers; this helps avoid suppliers charging municipal </w:t>
      </w:r>
      <w:proofErr w:type="gramStart"/>
      <w:r w:rsidRPr="0049503A">
        <w:rPr>
          <w:rFonts w:ascii="Times New Roman" w:hAnsi="Times New Roman"/>
          <w:b/>
          <w:bCs/>
          <w:sz w:val="24"/>
          <w:szCs w:val="24"/>
        </w:rPr>
        <w:t>governments will</w:t>
      </w:r>
      <w:proofErr w:type="gramEnd"/>
      <w:r w:rsidRPr="0049503A">
        <w:rPr>
          <w:rFonts w:ascii="Times New Roman" w:hAnsi="Times New Roman"/>
          <w:b/>
          <w:bCs/>
          <w:sz w:val="24"/>
          <w:szCs w:val="24"/>
        </w:rPr>
        <w:t xml:space="preserve"> large insurance costs. </w:t>
      </w:r>
    </w:p>
    <w:bookmarkEnd w:id="48"/>
    <w:p w14:paraId="3047154D" w14:textId="77777777" w:rsidR="00663160" w:rsidRDefault="00663160" w:rsidP="002B1283">
      <w:pPr>
        <w:rPr>
          <w:rFonts w:ascii="Arial Black" w:hAnsi="Arial Black"/>
          <w:b/>
          <w:sz w:val="24"/>
          <w:szCs w:val="24"/>
        </w:rPr>
      </w:pPr>
    </w:p>
    <w:p w14:paraId="2EB9C037" w14:textId="049FEAAF" w:rsidR="00663160" w:rsidRDefault="00663160" w:rsidP="002B1283">
      <w:pPr>
        <w:rPr>
          <w:rFonts w:ascii="Arial Black" w:hAnsi="Arial Black"/>
          <w:b/>
          <w:sz w:val="24"/>
          <w:szCs w:val="24"/>
        </w:rPr>
      </w:pPr>
      <w:r>
        <w:rPr>
          <w:rFonts w:ascii="Arial Black" w:hAnsi="Arial Black"/>
          <w:b/>
          <w:sz w:val="24"/>
          <w:szCs w:val="24"/>
        </w:rPr>
        <w:t>1-3</w:t>
      </w:r>
      <w:r w:rsidR="00637A12">
        <w:rPr>
          <w:rFonts w:ascii="Arial Black" w:hAnsi="Arial Black"/>
          <w:b/>
          <w:sz w:val="24"/>
          <w:szCs w:val="24"/>
        </w:rPr>
        <w:t>9</w:t>
      </w:r>
    </w:p>
    <w:p w14:paraId="6E23A3A0" w14:textId="77777777" w:rsidR="00663160" w:rsidRPr="00562D96" w:rsidRDefault="00663160" w:rsidP="00663160">
      <w:pPr>
        <w:pStyle w:val="NoSpacing"/>
        <w:rPr>
          <w:rFonts w:ascii="Arial Black" w:hAnsi="Arial Black"/>
          <w:sz w:val="28"/>
          <w:szCs w:val="28"/>
        </w:rPr>
      </w:pPr>
      <w:bookmarkStart w:id="49" w:name="_Hlk39749579"/>
      <w:bookmarkStart w:id="50" w:name="_Hlk39817858"/>
      <w:r w:rsidRPr="00562D96">
        <w:rPr>
          <w:rFonts w:ascii="Arial Black" w:hAnsi="Arial Black"/>
          <w:sz w:val="28"/>
          <w:szCs w:val="28"/>
        </w:rPr>
        <w:t xml:space="preserve">MI: </w:t>
      </w:r>
      <w:r>
        <w:rPr>
          <w:rFonts w:ascii="Arial Black" w:hAnsi="Arial Black"/>
          <w:sz w:val="28"/>
          <w:szCs w:val="28"/>
        </w:rPr>
        <w:t>ARSON CASE TO BE RE-TRIED – ARSON INVESTIGATORS CHANGED OPINION – 2 POINTS OF ORIGIN TO 1 LOCATION</w:t>
      </w:r>
    </w:p>
    <w:p w14:paraId="68491680" w14:textId="77777777" w:rsidR="00663160" w:rsidRDefault="00663160" w:rsidP="00663160">
      <w:pPr>
        <w:pStyle w:val="NoSpacing"/>
        <w:rPr>
          <w:b/>
          <w:bCs/>
          <w:sz w:val="24"/>
          <w:szCs w:val="24"/>
        </w:rPr>
      </w:pPr>
    </w:p>
    <w:p w14:paraId="56F1238F" w14:textId="77777777" w:rsidR="00663160" w:rsidRPr="0049503A" w:rsidRDefault="00663160" w:rsidP="00663160">
      <w:pPr>
        <w:pStyle w:val="NoSpacing"/>
        <w:rPr>
          <w:rFonts w:ascii="Times New Roman" w:hAnsi="Times New Roman"/>
          <w:b/>
          <w:bCs/>
          <w:sz w:val="24"/>
          <w:szCs w:val="24"/>
        </w:rPr>
      </w:pPr>
      <w:r w:rsidRPr="0049503A">
        <w:rPr>
          <w:rFonts w:ascii="Times New Roman" w:hAnsi="Times New Roman"/>
          <w:bCs/>
          <w:sz w:val="24"/>
          <w:szCs w:val="24"/>
        </w:rPr>
        <w:t xml:space="preserve">On Feb. 25, 2020, in </w:t>
      </w:r>
      <w:r w:rsidRPr="0049503A">
        <w:rPr>
          <w:rFonts w:ascii="Times New Roman" w:hAnsi="Times New Roman"/>
          <w:bCs/>
          <w:sz w:val="24"/>
          <w:szCs w:val="24"/>
          <w:u w:val="single"/>
        </w:rPr>
        <w:t>People of the State of Michigan v. Joshua Mark Burger</w:t>
      </w:r>
      <w:r w:rsidRPr="0049503A">
        <w:rPr>
          <w:rFonts w:ascii="Times New Roman" w:hAnsi="Times New Roman"/>
          <w:bCs/>
          <w:sz w:val="24"/>
          <w:szCs w:val="24"/>
        </w:rPr>
        <w:t xml:space="preserve">, the Michigan Court of Appeals held (3 to 0) that the defendant must re-tried.   Two arson investigators also changed their opinion from two points or origin to </w:t>
      </w:r>
      <w:proofErr w:type="gramStart"/>
      <w:r w:rsidRPr="0049503A">
        <w:rPr>
          <w:rFonts w:ascii="Times New Roman" w:hAnsi="Times New Roman"/>
          <w:bCs/>
          <w:sz w:val="24"/>
          <w:szCs w:val="24"/>
        </w:rPr>
        <w:t>one, but</w:t>
      </w:r>
      <w:proofErr w:type="gramEnd"/>
      <w:r w:rsidRPr="0049503A">
        <w:rPr>
          <w:rFonts w:ascii="Times New Roman" w:hAnsi="Times New Roman"/>
          <w:bCs/>
          <w:sz w:val="24"/>
          <w:szCs w:val="24"/>
        </w:rPr>
        <w:t xml:space="preserve"> not disclosed to defense until first day of trial. Also, defendant owned a successful pawn shop, and the trial court improperly prohibited him from calling two witnesses who would testify his pawn shop was financially doing well – insurance adjustor, and the landlord.  </w:t>
      </w:r>
    </w:p>
    <w:p w14:paraId="7BEE16D6" w14:textId="77777777" w:rsidR="00663160" w:rsidRPr="0049503A" w:rsidRDefault="00663160" w:rsidP="00663160">
      <w:pPr>
        <w:pStyle w:val="NoSpacing"/>
        <w:rPr>
          <w:rFonts w:ascii="Times New Roman" w:hAnsi="Times New Roman"/>
          <w:b/>
          <w:bCs/>
          <w:sz w:val="24"/>
          <w:szCs w:val="24"/>
        </w:rPr>
      </w:pPr>
    </w:p>
    <w:bookmarkEnd w:id="49"/>
    <w:p w14:paraId="77EF138A" w14:textId="77777777" w:rsidR="00663160" w:rsidRPr="0049503A" w:rsidRDefault="00663160" w:rsidP="00663160">
      <w:pPr>
        <w:pStyle w:val="NoSpacing"/>
        <w:ind w:left="720"/>
        <w:rPr>
          <w:rFonts w:ascii="Times New Roman" w:hAnsi="Times New Roman"/>
          <w:b/>
          <w:bCs/>
          <w:sz w:val="24"/>
          <w:szCs w:val="24"/>
        </w:rPr>
      </w:pPr>
      <w:r w:rsidRPr="0049503A">
        <w:rPr>
          <w:rFonts w:ascii="Times New Roman" w:hAnsi="Times New Roman"/>
          <w:bCs/>
          <w:sz w:val="24"/>
          <w:szCs w:val="24"/>
        </w:rPr>
        <w:t xml:space="preserve">“Defendant’s primary theory of the case was spontaneous combustion of the rag soaked with linseed oil that he had been using to finish a guitar in the days leading up to the fire, as he argued in closing. *** </w:t>
      </w:r>
    </w:p>
    <w:p w14:paraId="29CD8274" w14:textId="77777777" w:rsidR="00663160" w:rsidRPr="0049503A" w:rsidRDefault="00663160" w:rsidP="00663160">
      <w:pPr>
        <w:pStyle w:val="NoSpacing"/>
        <w:ind w:left="720"/>
        <w:rPr>
          <w:rFonts w:ascii="Times New Roman" w:hAnsi="Times New Roman"/>
          <w:b/>
          <w:bCs/>
          <w:sz w:val="24"/>
          <w:szCs w:val="24"/>
        </w:rPr>
      </w:pPr>
      <w:r w:rsidRPr="0049503A">
        <w:rPr>
          <w:rFonts w:ascii="Times New Roman" w:hAnsi="Times New Roman"/>
          <w:bCs/>
          <w:sz w:val="24"/>
          <w:szCs w:val="24"/>
        </w:rPr>
        <w:t xml:space="preserve">It is undisputed in this case that defendant learned for the first time at trial that the fire chiefs had changed their opinion regarding the fire’s point of origin. In their original reports, which were disclosed to </w:t>
      </w:r>
      <w:proofErr w:type="gramStart"/>
      <w:r w:rsidRPr="0049503A">
        <w:rPr>
          <w:rFonts w:ascii="Times New Roman" w:hAnsi="Times New Roman"/>
          <w:bCs/>
          <w:sz w:val="24"/>
          <w:szCs w:val="24"/>
        </w:rPr>
        <w:t>defendant</w:t>
      </w:r>
      <w:proofErr w:type="gramEnd"/>
      <w:r w:rsidRPr="0049503A">
        <w:rPr>
          <w:rFonts w:ascii="Times New Roman" w:hAnsi="Times New Roman"/>
          <w:bCs/>
          <w:sz w:val="24"/>
          <w:szCs w:val="24"/>
        </w:rPr>
        <w:t>, both chiefs opined that the fire had two points of origin. However, the chiefs later altered their conclusions, indicating that indeed, the fire had a single point of origin. We conclude that this information was suppressed, as it was not disclosed until the beginning of trial, and that it was material to defendant’s case.”</w:t>
      </w:r>
    </w:p>
    <w:bookmarkStart w:id="51" w:name="_Hlk39749601"/>
    <w:p w14:paraId="4C127694" w14:textId="77777777" w:rsidR="00663160" w:rsidRPr="0049503A" w:rsidRDefault="00334940" w:rsidP="00663160">
      <w:pPr>
        <w:pStyle w:val="NoSpacing"/>
        <w:ind w:left="720"/>
        <w:rPr>
          <w:rFonts w:ascii="Times New Roman" w:hAnsi="Times New Roman"/>
          <w:b/>
          <w:bCs/>
          <w:sz w:val="24"/>
          <w:szCs w:val="24"/>
        </w:rPr>
      </w:pPr>
      <w:r>
        <w:fldChar w:fldCharType="begin"/>
      </w:r>
      <w:r>
        <w:instrText xml:space="preserve"> HYPERLINK "https://cases.justia.com/michigan/court-of-appeals-published/2020-343332.pdf?ts=1582725736" </w:instrText>
      </w:r>
      <w:r>
        <w:fldChar w:fldCharType="separate"/>
      </w:r>
      <w:r w:rsidR="00663160" w:rsidRPr="0049503A">
        <w:rPr>
          <w:rStyle w:val="Hyperlink"/>
          <w:rFonts w:ascii="Times New Roman" w:hAnsi="Times New Roman"/>
          <w:bCs/>
          <w:sz w:val="24"/>
          <w:szCs w:val="24"/>
        </w:rPr>
        <w:t>https://cases.justia.com/michigan/court-of-appeals-published/2020-343332.pdf?ts=1582725736</w:t>
      </w:r>
      <w:r>
        <w:rPr>
          <w:rStyle w:val="Hyperlink"/>
          <w:rFonts w:ascii="Times New Roman" w:hAnsi="Times New Roman"/>
          <w:bCs/>
          <w:sz w:val="24"/>
          <w:szCs w:val="24"/>
        </w:rPr>
        <w:fldChar w:fldCharType="end"/>
      </w:r>
      <w:r w:rsidR="00663160" w:rsidRPr="0049503A">
        <w:rPr>
          <w:rFonts w:ascii="Times New Roman" w:hAnsi="Times New Roman"/>
          <w:bCs/>
          <w:sz w:val="24"/>
          <w:szCs w:val="24"/>
        </w:rPr>
        <w:t xml:space="preserve"> </w:t>
      </w:r>
    </w:p>
    <w:bookmarkEnd w:id="50"/>
    <w:bookmarkEnd w:id="51"/>
    <w:p w14:paraId="762A0384" w14:textId="77777777" w:rsidR="00663160" w:rsidRDefault="00663160" w:rsidP="00663160">
      <w:pPr>
        <w:pStyle w:val="NoSpacing"/>
        <w:tabs>
          <w:tab w:val="left" w:pos="2970"/>
        </w:tabs>
        <w:rPr>
          <w:rFonts w:ascii="Times New Roman" w:hAnsi="Times New Roman"/>
          <w:b/>
          <w:bCs/>
          <w:sz w:val="24"/>
          <w:szCs w:val="24"/>
        </w:rPr>
      </w:pPr>
    </w:p>
    <w:p w14:paraId="5AF92333" w14:textId="22C83871" w:rsidR="00663160" w:rsidRPr="0049503A" w:rsidRDefault="00663160" w:rsidP="00663160">
      <w:pPr>
        <w:pStyle w:val="NoSpacing"/>
        <w:tabs>
          <w:tab w:val="left" w:pos="2970"/>
        </w:tabs>
        <w:rPr>
          <w:rFonts w:ascii="Times New Roman" w:hAnsi="Times New Roman"/>
          <w:b/>
          <w:bCs/>
          <w:sz w:val="24"/>
          <w:szCs w:val="24"/>
        </w:rPr>
      </w:pPr>
      <w:r w:rsidRPr="0049503A">
        <w:rPr>
          <w:rFonts w:ascii="Times New Roman" w:hAnsi="Times New Roman"/>
          <w:b/>
          <w:bCs/>
          <w:sz w:val="24"/>
          <w:szCs w:val="24"/>
        </w:rPr>
        <w:t xml:space="preserve">Legal Lessons Learned:  Prosecutors must disclose, prior to trial, when arson investigators change their findings from two points of origin to one point. </w:t>
      </w:r>
    </w:p>
    <w:p w14:paraId="7B5BEED1" w14:textId="77777777" w:rsidR="00663160" w:rsidRPr="0049503A" w:rsidRDefault="00663160" w:rsidP="00663160">
      <w:pPr>
        <w:pStyle w:val="NoSpacing"/>
        <w:rPr>
          <w:rFonts w:ascii="Times New Roman" w:hAnsi="Times New Roman"/>
          <w:b/>
          <w:bCs/>
          <w:sz w:val="24"/>
          <w:szCs w:val="24"/>
        </w:rPr>
      </w:pPr>
    </w:p>
    <w:p w14:paraId="55C127E0" w14:textId="77777777" w:rsidR="00663160" w:rsidRDefault="00663160" w:rsidP="002B1283">
      <w:pPr>
        <w:rPr>
          <w:rFonts w:ascii="Arial Black" w:hAnsi="Arial Black"/>
          <w:b/>
          <w:sz w:val="24"/>
          <w:szCs w:val="24"/>
        </w:rPr>
      </w:pPr>
    </w:p>
    <w:p w14:paraId="22FA65F1" w14:textId="77777777" w:rsidR="00663160" w:rsidRDefault="00663160" w:rsidP="002B1283">
      <w:pPr>
        <w:rPr>
          <w:rFonts w:ascii="Arial Black" w:hAnsi="Arial Black"/>
          <w:b/>
          <w:sz w:val="24"/>
          <w:szCs w:val="24"/>
        </w:rPr>
      </w:pPr>
    </w:p>
    <w:p w14:paraId="6B2A9EFE" w14:textId="77777777" w:rsidR="00663160" w:rsidRDefault="00663160" w:rsidP="002B1283">
      <w:pPr>
        <w:rPr>
          <w:rFonts w:ascii="Arial Black" w:hAnsi="Arial Black"/>
          <w:b/>
          <w:sz w:val="24"/>
          <w:szCs w:val="24"/>
        </w:rPr>
      </w:pPr>
    </w:p>
    <w:p w14:paraId="48F9AA74" w14:textId="41AFD911" w:rsidR="00C9355B" w:rsidRDefault="00C9355B" w:rsidP="002B1283">
      <w:pPr>
        <w:rPr>
          <w:rFonts w:ascii="Arial Black" w:hAnsi="Arial Black"/>
          <w:b/>
          <w:sz w:val="24"/>
          <w:szCs w:val="24"/>
        </w:rPr>
      </w:pPr>
      <w:r>
        <w:rPr>
          <w:rFonts w:ascii="Arial Black" w:hAnsi="Arial Black"/>
          <w:b/>
          <w:sz w:val="24"/>
          <w:szCs w:val="24"/>
        </w:rPr>
        <w:t>1-3</w:t>
      </w:r>
      <w:r w:rsidR="00637A12">
        <w:rPr>
          <w:rFonts w:ascii="Arial Black" w:hAnsi="Arial Black"/>
          <w:b/>
          <w:sz w:val="24"/>
          <w:szCs w:val="24"/>
        </w:rPr>
        <w:t>8</w:t>
      </w:r>
    </w:p>
    <w:p w14:paraId="33EED068" w14:textId="77777777" w:rsidR="00C9355B" w:rsidRPr="00B51160" w:rsidRDefault="00C9355B" w:rsidP="00C9355B">
      <w:pPr>
        <w:pStyle w:val="Heading1"/>
        <w:rPr>
          <w:rFonts w:ascii="Arial Black" w:hAnsi="Arial Black"/>
          <w:sz w:val="28"/>
          <w:szCs w:val="28"/>
        </w:rPr>
      </w:pPr>
      <w:bookmarkStart w:id="52" w:name="_Hlk69187758"/>
      <w:bookmarkStart w:id="53" w:name="_Hlk39749674"/>
      <w:bookmarkStart w:id="54" w:name="_Hlk39817933"/>
      <w:r w:rsidRPr="00B51160">
        <w:rPr>
          <w:rFonts w:ascii="Arial Black" w:hAnsi="Arial Black"/>
          <w:sz w:val="28"/>
          <w:szCs w:val="28"/>
        </w:rPr>
        <w:t>CA:</w:t>
      </w:r>
      <w:r>
        <w:rPr>
          <w:rFonts w:ascii="Arial Black" w:hAnsi="Arial Black"/>
          <w:sz w:val="28"/>
          <w:szCs w:val="28"/>
        </w:rPr>
        <w:t xml:space="preserve"> HOUSE EXPLOSION – HASHISH OIL – AFTER FIRE OUT, HAZMAT CAPT. / PD LATER SEARCHED WITHOUT WARRANT </w:t>
      </w:r>
    </w:p>
    <w:bookmarkEnd w:id="52"/>
    <w:p w14:paraId="6BBE029D" w14:textId="77777777" w:rsidR="00C9355B" w:rsidRPr="00695030" w:rsidRDefault="00C9355B" w:rsidP="00C9355B">
      <w:pPr>
        <w:pStyle w:val="NoSpacing"/>
        <w:rPr>
          <w:rFonts w:ascii="Times New Roman" w:hAnsi="Times New Roman"/>
          <w:b/>
          <w:bCs/>
          <w:sz w:val="24"/>
          <w:szCs w:val="24"/>
        </w:rPr>
      </w:pPr>
      <w:r w:rsidRPr="00695030">
        <w:rPr>
          <w:rFonts w:ascii="Times New Roman" w:hAnsi="Times New Roman"/>
          <w:bCs/>
          <w:sz w:val="24"/>
          <w:szCs w:val="24"/>
        </w:rPr>
        <w:t xml:space="preserve">On Jan. 28, 2020, in </w:t>
      </w:r>
      <w:r w:rsidRPr="00695030">
        <w:rPr>
          <w:rFonts w:ascii="Times New Roman" w:hAnsi="Times New Roman"/>
          <w:bCs/>
          <w:sz w:val="24"/>
          <w:szCs w:val="24"/>
          <w:u w:val="single"/>
        </w:rPr>
        <w:t>United States of America v. Joseph Jay Spadafore</w:t>
      </w:r>
      <w:r w:rsidRPr="00695030">
        <w:rPr>
          <w:rFonts w:ascii="Times New Roman" w:hAnsi="Times New Roman"/>
          <w:bCs/>
          <w:sz w:val="24"/>
          <w:szCs w:val="24"/>
        </w:rPr>
        <w:t>, the U.S. Court of Appeals for the 9</w:t>
      </w:r>
      <w:r w:rsidRPr="00695030">
        <w:rPr>
          <w:rFonts w:ascii="Times New Roman" w:hAnsi="Times New Roman"/>
          <w:bCs/>
          <w:sz w:val="24"/>
          <w:szCs w:val="24"/>
          <w:vertAlign w:val="superscript"/>
        </w:rPr>
        <w:t>th</w:t>
      </w:r>
      <w:r w:rsidRPr="00695030">
        <w:rPr>
          <w:rFonts w:ascii="Times New Roman" w:hAnsi="Times New Roman"/>
          <w:bCs/>
          <w:sz w:val="24"/>
          <w:szCs w:val="24"/>
        </w:rPr>
        <w:t xml:space="preserve"> Circuit (San Francisco) held (3 to 0, unpublished decision) that trial judge properly denied his motion to </w:t>
      </w:r>
      <w:r w:rsidRPr="00695030">
        <w:rPr>
          <w:rFonts w:ascii="Times New Roman" w:hAnsi="Times New Roman"/>
          <w:bCs/>
          <w:sz w:val="24"/>
          <w:szCs w:val="24"/>
        </w:rPr>
        <w:lastRenderedPageBreak/>
        <w:t xml:space="preserve">suppress evidence; it was reasonable for a fire department Captain and police officers to conduct the later search the home without a search warrant, due to presence of hazardous and volatile materials.  </w:t>
      </w:r>
    </w:p>
    <w:bookmarkEnd w:id="53"/>
    <w:p w14:paraId="73774342" w14:textId="77777777" w:rsidR="00C9355B" w:rsidRPr="00695030" w:rsidRDefault="00C9355B" w:rsidP="00C9355B">
      <w:pPr>
        <w:pStyle w:val="NoSpacing"/>
        <w:rPr>
          <w:rFonts w:ascii="Times New Roman" w:hAnsi="Times New Roman"/>
          <w:b/>
          <w:bCs/>
          <w:sz w:val="24"/>
          <w:szCs w:val="24"/>
        </w:rPr>
      </w:pPr>
    </w:p>
    <w:p w14:paraId="415C2F7E" w14:textId="77777777" w:rsidR="00C9355B" w:rsidRPr="00695030" w:rsidRDefault="00C9355B" w:rsidP="00C9355B">
      <w:pPr>
        <w:pStyle w:val="NoSpacing"/>
        <w:ind w:left="720"/>
        <w:rPr>
          <w:rFonts w:ascii="Times New Roman" w:hAnsi="Times New Roman"/>
          <w:b/>
          <w:bCs/>
          <w:sz w:val="24"/>
          <w:szCs w:val="24"/>
        </w:rPr>
      </w:pPr>
      <w:r w:rsidRPr="00695030">
        <w:rPr>
          <w:rFonts w:ascii="Times New Roman" w:hAnsi="Times New Roman"/>
          <w:bCs/>
          <w:sz w:val="24"/>
          <w:szCs w:val="24"/>
        </w:rPr>
        <w:t>“[E]</w:t>
      </w:r>
      <w:proofErr w:type="spellStart"/>
      <w:r w:rsidRPr="00695030">
        <w:rPr>
          <w:rFonts w:ascii="Times New Roman" w:hAnsi="Times New Roman"/>
          <w:bCs/>
          <w:sz w:val="24"/>
          <w:szCs w:val="24"/>
        </w:rPr>
        <w:t>xigent</w:t>
      </w:r>
      <w:proofErr w:type="spellEnd"/>
      <w:r w:rsidRPr="00695030">
        <w:rPr>
          <w:rFonts w:ascii="Times New Roman" w:hAnsi="Times New Roman"/>
          <w:bCs/>
          <w:sz w:val="24"/>
          <w:szCs w:val="24"/>
        </w:rPr>
        <w:t xml:space="preserve"> circumstances involving the explosion of volatile materials used for manufacturing hashish oil justified the search of the residence by fire department personnel and law enforcement officers. During the initial search for potential victims of the explosion, first responders observed ‘glassware, tubing, jars, and other equipment that resembled a drug lab.’ Later in the night, a fire captain with the ‘hazardous materials unit’ accompanied law enforcement officers, while wearing ‘air monitoring devices . . . in order to check the air quality and confirm the nature of the lab inside the home, particularly whether it involved hazardous materials that could pose a danger to life, property, or the environment.’ Although the fire had been extinguished, it was reasonable for fire department personnel and law enforcement officers to search the property due to the explosion and the presence of other hazardous and volatile materials.” </w:t>
      </w:r>
      <w:bookmarkStart w:id="55" w:name="_Hlk69187822"/>
      <w:bookmarkStart w:id="56" w:name="_Hlk39749691"/>
      <w:r w:rsidR="00334940">
        <w:fldChar w:fldCharType="begin"/>
      </w:r>
      <w:r w:rsidR="00334940">
        <w:instrText xml:space="preserve"> HYPERLINK "http://cdn.ca9.uscourts.gov/datastore/memoranda/2020/01/28/18-50189.pdf" </w:instrText>
      </w:r>
      <w:r w:rsidR="00334940">
        <w:fldChar w:fldCharType="separate"/>
      </w:r>
      <w:r w:rsidRPr="00695030">
        <w:rPr>
          <w:rStyle w:val="Hyperlink"/>
          <w:rFonts w:ascii="Times New Roman" w:hAnsi="Times New Roman"/>
          <w:b/>
          <w:sz w:val="24"/>
          <w:szCs w:val="24"/>
        </w:rPr>
        <w:t>http://cdn.ca9.uscourts.gov/datastore/memoranda/2020/01/28/18-50189.pdf</w:t>
      </w:r>
      <w:r w:rsidR="00334940">
        <w:rPr>
          <w:rStyle w:val="Hyperlink"/>
          <w:rFonts w:ascii="Times New Roman" w:hAnsi="Times New Roman"/>
          <w:b/>
          <w:sz w:val="24"/>
          <w:szCs w:val="24"/>
        </w:rPr>
        <w:fldChar w:fldCharType="end"/>
      </w:r>
      <w:r w:rsidRPr="00695030">
        <w:rPr>
          <w:rFonts w:ascii="Times New Roman" w:hAnsi="Times New Roman"/>
          <w:bCs/>
          <w:sz w:val="24"/>
          <w:szCs w:val="24"/>
        </w:rPr>
        <w:t xml:space="preserve"> </w:t>
      </w:r>
      <w:bookmarkEnd w:id="55"/>
    </w:p>
    <w:bookmarkEnd w:id="56"/>
    <w:p w14:paraId="2D46859A" w14:textId="77777777" w:rsidR="007A1E7A" w:rsidRDefault="007A1E7A" w:rsidP="00C9355B">
      <w:pPr>
        <w:pStyle w:val="NoSpacing"/>
        <w:rPr>
          <w:rFonts w:ascii="Times New Roman" w:hAnsi="Times New Roman"/>
          <w:b/>
          <w:bCs/>
          <w:sz w:val="24"/>
          <w:szCs w:val="24"/>
        </w:rPr>
      </w:pPr>
    </w:p>
    <w:bookmarkEnd w:id="54"/>
    <w:p w14:paraId="195C52EC" w14:textId="3B7C5E9D" w:rsidR="00C9355B" w:rsidRPr="00695030" w:rsidRDefault="00C9355B" w:rsidP="00C9355B">
      <w:pPr>
        <w:pStyle w:val="NoSpacing"/>
        <w:rPr>
          <w:rFonts w:ascii="Times New Roman" w:hAnsi="Times New Roman"/>
          <w:b/>
          <w:bCs/>
          <w:sz w:val="24"/>
          <w:szCs w:val="24"/>
        </w:rPr>
      </w:pPr>
      <w:r w:rsidRPr="00695030">
        <w:rPr>
          <w:rFonts w:ascii="Times New Roman" w:hAnsi="Times New Roman"/>
          <w:b/>
          <w:bCs/>
          <w:sz w:val="24"/>
          <w:szCs w:val="24"/>
        </w:rPr>
        <w:t xml:space="preserve">Legal Lessons Learned: Great decision; remember to keep a firefighter at the scene while waiting for HAZMAT, fire investigator, or other specialized resources to arrive. </w:t>
      </w:r>
    </w:p>
    <w:p w14:paraId="6ECC6FED" w14:textId="77777777" w:rsidR="00C9355B" w:rsidRDefault="00C9355B" w:rsidP="002B1283">
      <w:pPr>
        <w:rPr>
          <w:rFonts w:ascii="Arial Black" w:hAnsi="Arial Black"/>
          <w:b/>
          <w:sz w:val="24"/>
          <w:szCs w:val="24"/>
        </w:rPr>
      </w:pPr>
    </w:p>
    <w:p w14:paraId="66EE328D" w14:textId="77777777" w:rsidR="00C9355B" w:rsidRDefault="00C9355B" w:rsidP="002B1283">
      <w:pPr>
        <w:rPr>
          <w:rFonts w:ascii="Arial Black" w:hAnsi="Arial Black"/>
          <w:b/>
          <w:sz w:val="24"/>
          <w:szCs w:val="24"/>
        </w:rPr>
      </w:pPr>
    </w:p>
    <w:p w14:paraId="7EF421D0" w14:textId="77777777" w:rsidR="00C9355B" w:rsidRDefault="00C9355B" w:rsidP="002B1283">
      <w:pPr>
        <w:rPr>
          <w:rFonts w:ascii="Arial Black" w:hAnsi="Arial Black"/>
          <w:b/>
          <w:sz w:val="24"/>
          <w:szCs w:val="24"/>
        </w:rPr>
      </w:pPr>
    </w:p>
    <w:p w14:paraId="4AB217A3" w14:textId="5A96FFB4" w:rsidR="00980EAD" w:rsidRDefault="007C6FEF" w:rsidP="002B1283">
      <w:pPr>
        <w:rPr>
          <w:rFonts w:ascii="Arial Black" w:hAnsi="Arial Black"/>
          <w:b/>
          <w:sz w:val="24"/>
          <w:szCs w:val="24"/>
        </w:rPr>
      </w:pPr>
      <w:r>
        <w:rPr>
          <w:rFonts w:ascii="Arial Black" w:hAnsi="Arial Black"/>
          <w:b/>
          <w:sz w:val="24"/>
          <w:szCs w:val="24"/>
        </w:rPr>
        <w:t>1-3</w:t>
      </w:r>
      <w:r w:rsidR="00637A12">
        <w:rPr>
          <w:rFonts w:ascii="Arial Black" w:hAnsi="Arial Black"/>
          <w:b/>
          <w:sz w:val="24"/>
          <w:szCs w:val="24"/>
        </w:rPr>
        <w:t>7</w:t>
      </w:r>
    </w:p>
    <w:p w14:paraId="7B07AE07" w14:textId="77777777" w:rsidR="007C6FEF" w:rsidRPr="007B1262" w:rsidRDefault="007C6FEF" w:rsidP="007C6FEF">
      <w:pPr>
        <w:spacing w:before="100" w:beforeAutospacing="1" w:after="100" w:afterAutospacing="1" w:line="240" w:lineRule="auto"/>
        <w:rPr>
          <w:rFonts w:ascii="Arial Black" w:hAnsi="Arial Black"/>
          <w:sz w:val="28"/>
          <w:szCs w:val="28"/>
        </w:rPr>
      </w:pPr>
      <w:r>
        <w:rPr>
          <w:rFonts w:ascii="Arial Black" w:hAnsi="Arial Black"/>
          <w:sz w:val="28"/>
          <w:szCs w:val="28"/>
        </w:rPr>
        <w:t>FL:</w:t>
      </w:r>
      <w:r w:rsidRPr="007B1262">
        <w:rPr>
          <w:rFonts w:ascii="Arial Black" w:hAnsi="Arial Black"/>
          <w:sz w:val="28"/>
          <w:szCs w:val="28"/>
        </w:rPr>
        <w:t xml:space="preserve"> </w:t>
      </w:r>
      <w:r>
        <w:rPr>
          <w:rFonts w:ascii="Arial Black" w:hAnsi="Arial Black"/>
          <w:sz w:val="28"/>
          <w:szCs w:val="28"/>
        </w:rPr>
        <w:t>FIRE CHIEF – CODE ENFORCEMENT / 100-YR OLD LODGE WAS CONDEMNED – FIRED – 1</w:t>
      </w:r>
      <w:r w:rsidRPr="002A643A">
        <w:rPr>
          <w:rFonts w:ascii="Arial Black" w:hAnsi="Arial Black"/>
          <w:sz w:val="28"/>
          <w:szCs w:val="28"/>
          <w:vertAlign w:val="superscript"/>
        </w:rPr>
        <w:t>st</w:t>
      </w:r>
      <w:r>
        <w:rPr>
          <w:rFonts w:ascii="Arial Black" w:hAnsi="Arial Black"/>
          <w:sz w:val="28"/>
          <w:szCs w:val="28"/>
        </w:rPr>
        <w:t xml:space="preserve"> AMENDMENT CASE DISMISSED</w:t>
      </w:r>
    </w:p>
    <w:p w14:paraId="70AC31BC" w14:textId="77777777" w:rsidR="007C6FEF" w:rsidRPr="00B47705" w:rsidRDefault="007C6FEF" w:rsidP="007C6FEF">
      <w:pPr>
        <w:spacing w:before="100" w:beforeAutospacing="1" w:after="100" w:afterAutospacing="1" w:line="240" w:lineRule="auto"/>
        <w:rPr>
          <w:rFonts w:ascii="Times New Roman" w:hAnsi="Times New Roman"/>
          <w:sz w:val="24"/>
          <w:szCs w:val="24"/>
        </w:rPr>
      </w:pPr>
      <w:r w:rsidRPr="00B47705">
        <w:rPr>
          <w:rFonts w:ascii="Times New Roman" w:hAnsi="Times New Roman"/>
          <w:sz w:val="24"/>
          <w:szCs w:val="24"/>
        </w:rPr>
        <w:t xml:space="preserve">On Dec. 12, 2019, in </w:t>
      </w:r>
      <w:r w:rsidRPr="00B47705">
        <w:rPr>
          <w:rFonts w:ascii="Times New Roman" w:hAnsi="Times New Roman"/>
          <w:sz w:val="24"/>
          <w:szCs w:val="24"/>
          <w:u w:val="single"/>
        </w:rPr>
        <w:t>Bradley Batz v. City of Sebring</w:t>
      </w:r>
      <w:r w:rsidRPr="00B47705">
        <w:rPr>
          <w:rFonts w:ascii="Times New Roman" w:hAnsi="Times New Roman"/>
          <w:sz w:val="24"/>
          <w:szCs w:val="24"/>
        </w:rPr>
        <w:t>, the U.S. Court of Appeals for the 11</w:t>
      </w:r>
      <w:r w:rsidRPr="00B47705">
        <w:rPr>
          <w:rFonts w:ascii="Times New Roman" w:hAnsi="Times New Roman"/>
          <w:sz w:val="24"/>
          <w:szCs w:val="24"/>
          <w:vertAlign w:val="superscript"/>
        </w:rPr>
        <w:t>th</w:t>
      </w:r>
      <w:r w:rsidRPr="00B47705">
        <w:rPr>
          <w:rFonts w:ascii="Times New Roman" w:hAnsi="Times New Roman"/>
          <w:sz w:val="24"/>
          <w:szCs w:val="24"/>
        </w:rPr>
        <w:t xml:space="preserve"> Circuit (Atlanta) held (3 to 0) that the U.S. District Court judge had properly dismissed his First Amendment lawsuit, despite his claims of retaliation for his lawful efforts to condemn a 100-year old Lodge, partially owned by a member of City Council.   </w:t>
      </w:r>
    </w:p>
    <w:p w14:paraId="18FCE86B" w14:textId="77777777" w:rsidR="007C6FEF" w:rsidRPr="007B1262" w:rsidRDefault="007C6FEF" w:rsidP="007C6FEF">
      <w:pPr>
        <w:pStyle w:val="NoSpacing"/>
        <w:ind w:left="720"/>
        <w:rPr>
          <w:rFonts w:ascii="Times New Roman" w:eastAsia="Times New Roman" w:hAnsi="Times New Roman"/>
          <w:b/>
          <w:bCs/>
          <w:sz w:val="24"/>
          <w:szCs w:val="24"/>
        </w:rPr>
      </w:pPr>
      <w:r>
        <w:rPr>
          <w:rFonts w:ascii="Times New Roman" w:hAnsi="Times New Roman"/>
          <w:sz w:val="24"/>
          <w:szCs w:val="24"/>
        </w:rPr>
        <w:t>“</w:t>
      </w:r>
      <w:r w:rsidRPr="007B1262">
        <w:rPr>
          <w:rFonts w:ascii="Times New Roman" w:hAnsi="Times New Roman"/>
          <w:sz w:val="24"/>
          <w:szCs w:val="24"/>
        </w:rPr>
        <w:t xml:space="preserve">In other words, one of Batz’s core responsibilities as the </w:t>
      </w:r>
      <w:proofErr w:type="gramStart"/>
      <w:r w:rsidRPr="007B1262">
        <w:rPr>
          <w:rFonts w:ascii="Times New Roman" w:hAnsi="Times New Roman"/>
          <w:sz w:val="24"/>
          <w:szCs w:val="24"/>
        </w:rPr>
        <w:t>City</w:t>
      </w:r>
      <w:proofErr w:type="gramEnd"/>
      <w:r w:rsidRPr="007B1262">
        <w:rPr>
          <w:rFonts w:ascii="Times New Roman" w:hAnsi="Times New Roman"/>
          <w:sz w:val="24"/>
          <w:szCs w:val="24"/>
        </w:rPr>
        <w:t xml:space="preserve"> employee responsible for enforcing the Safety Code was ensuring public safety. Thus, his continued assertion that his speech was motivated by a concern for public safety does not remove it from the realm of employment-related speech…. At the very least, he made no effort to communicate his safety concerns to the public or otherwise communicate with anyone outside other government officials…. Accordingly, we conclude Batz spoke in his role as a </w:t>
      </w:r>
      <w:proofErr w:type="gramStart"/>
      <w:r w:rsidRPr="007B1262">
        <w:rPr>
          <w:rFonts w:ascii="Times New Roman" w:hAnsi="Times New Roman"/>
          <w:sz w:val="24"/>
          <w:szCs w:val="24"/>
        </w:rPr>
        <w:t>City</w:t>
      </w:r>
      <w:proofErr w:type="gramEnd"/>
      <w:r w:rsidRPr="007B1262">
        <w:rPr>
          <w:rFonts w:ascii="Times New Roman" w:hAnsi="Times New Roman"/>
          <w:sz w:val="24"/>
          <w:szCs w:val="24"/>
        </w:rPr>
        <w:t xml:space="preserve"> employee when he expressed concerns about efforts to undermine and delay his enforcement efforts against the Lodge. His speech therefore was not protected by the First Amendment.</w:t>
      </w:r>
      <w:r>
        <w:rPr>
          <w:rFonts w:ascii="Times New Roman" w:hAnsi="Times New Roman"/>
          <w:sz w:val="24"/>
          <w:szCs w:val="24"/>
        </w:rPr>
        <w:t xml:space="preserve"> </w:t>
      </w:r>
      <w:hyperlink r:id="rId332" w:history="1">
        <w:r w:rsidRPr="00D24870">
          <w:rPr>
            <w:rStyle w:val="Hyperlink"/>
            <w:rFonts w:ascii="Times New Roman" w:hAnsi="Times New Roman"/>
            <w:sz w:val="24"/>
            <w:szCs w:val="24"/>
          </w:rPr>
          <w:t>https://cases.justia.com/federal/appellate-courts/ca11/19-11399/19-11399-2019-12-12.pdf?ts=1576184426</w:t>
        </w:r>
      </w:hyperlink>
      <w:r>
        <w:rPr>
          <w:rFonts w:ascii="Times New Roman" w:hAnsi="Times New Roman"/>
          <w:sz w:val="24"/>
          <w:szCs w:val="24"/>
        </w:rPr>
        <w:t xml:space="preserve"> </w:t>
      </w:r>
    </w:p>
    <w:p w14:paraId="01FAB458" w14:textId="05803340" w:rsidR="003464C5" w:rsidRDefault="003464C5" w:rsidP="002B1283">
      <w:pPr>
        <w:rPr>
          <w:rFonts w:ascii="Times New Roman" w:hAnsi="Times New Roman"/>
          <w:bCs/>
          <w:sz w:val="24"/>
          <w:szCs w:val="24"/>
        </w:rPr>
      </w:pPr>
    </w:p>
    <w:p w14:paraId="223ACA9C" w14:textId="39C517A8" w:rsidR="007A1E7A" w:rsidRDefault="007A1E7A" w:rsidP="002B1283">
      <w:pPr>
        <w:rPr>
          <w:rFonts w:ascii="Times New Roman" w:hAnsi="Times New Roman"/>
          <w:b/>
          <w:bCs/>
          <w:sz w:val="24"/>
          <w:szCs w:val="24"/>
        </w:rPr>
      </w:pPr>
      <w:r w:rsidRPr="007A1E7A">
        <w:rPr>
          <w:rFonts w:ascii="Times New Roman" w:hAnsi="Times New Roman"/>
          <w:b/>
          <w:bCs/>
          <w:sz w:val="24"/>
          <w:szCs w:val="24"/>
        </w:rPr>
        <w:t xml:space="preserve">Legal Lessons Learned: Fire Chiefs are other public employees have only limited First Amendment rights under the “balancing test.” The Court also dismissed his Florida Whistleblower claims because he did not submit a “written and signed complaint.” </w:t>
      </w:r>
    </w:p>
    <w:p w14:paraId="592965FD" w14:textId="77777777" w:rsidR="007A1E7A" w:rsidRPr="007A1E7A" w:rsidRDefault="007A1E7A" w:rsidP="002B1283">
      <w:pPr>
        <w:rPr>
          <w:rFonts w:ascii="Times New Roman" w:hAnsi="Times New Roman"/>
          <w:b/>
          <w:bCs/>
          <w:sz w:val="24"/>
          <w:szCs w:val="24"/>
        </w:rPr>
      </w:pPr>
    </w:p>
    <w:p w14:paraId="156DD20A" w14:textId="26031537" w:rsidR="007C6FEF" w:rsidRDefault="007C6FEF" w:rsidP="002B1283">
      <w:pPr>
        <w:rPr>
          <w:rFonts w:ascii="Arial Black" w:hAnsi="Arial Black"/>
          <w:b/>
          <w:sz w:val="24"/>
          <w:szCs w:val="24"/>
        </w:rPr>
      </w:pPr>
      <w:r>
        <w:rPr>
          <w:rFonts w:ascii="Arial Black" w:hAnsi="Arial Black"/>
          <w:b/>
          <w:sz w:val="24"/>
          <w:szCs w:val="24"/>
        </w:rPr>
        <w:t>1-3</w:t>
      </w:r>
      <w:r w:rsidR="00637A12">
        <w:rPr>
          <w:rFonts w:ascii="Arial Black" w:hAnsi="Arial Black"/>
          <w:b/>
          <w:sz w:val="24"/>
          <w:szCs w:val="24"/>
        </w:rPr>
        <w:t>6</w:t>
      </w:r>
    </w:p>
    <w:p w14:paraId="0ADD3840" w14:textId="77777777" w:rsidR="007C6FEF" w:rsidRPr="00A2453E" w:rsidRDefault="007C6FEF" w:rsidP="007C6FEF">
      <w:pPr>
        <w:rPr>
          <w:rFonts w:ascii="Arial Black" w:hAnsi="Arial Black"/>
          <w:sz w:val="28"/>
          <w:szCs w:val="28"/>
        </w:rPr>
      </w:pPr>
      <w:bookmarkStart w:id="57" w:name="_Hlk29226241"/>
      <w:r w:rsidRPr="00A2453E">
        <w:rPr>
          <w:rFonts w:ascii="Arial Black" w:hAnsi="Arial Black"/>
          <w:sz w:val="28"/>
          <w:szCs w:val="28"/>
        </w:rPr>
        <w:lastRenderedPageBreak/>
        <w:t xml:space="preserve">VA: </w:t>
      </w:r>
      <w:r>
        <w:rPr>
          <w:rFonts w:ascii="Arial Black" w:hAnsi="Arial Black"/>
          <w:sz w:val="28"/>
          <w:szCs w:val="28"/>
        </w:rPr>
        <w:t xml:space="preserve"> HYDRANT NEAR HOUSE OUT OF SERVICE – 1000 FOOT LAY – PERSON DIED - GOVERNMENTAL IMMUNITY, CASE DISMISSED</w:t>
      </w:r>
    </w:p>
    <w:p w14:paraId="63C3AA5E" w14:textId="77777777" w:rsidR="007C6FEF" w:rsidRDefault="007C6FEF" w:rsidP="007C6FEF">
      <w:pPr>
        <w:rPr>
          <w:rFonts w:ascii="Times New Roman" w:hAnsi="Times New Roman"/>
          <w:sz w:val="24"/>
          <w:szCs w:val="24"/>
        </w:rPr>
      </w:pPr>
      <w:r>
        <w:rPr>
          <w:rFonts w:ascii="Times New Roman" w:hAnsi="Times New Roman"/>
          <w:sz w:val="24"/>
          <w:szCs w:val="24"/>
        </w:rPr>
        <w:t xml:space="preserve">On Dec. 12, 2019, in </w:t>
      </w:r>
      <w:r w:rsidRPr="003F4B77">
        <w:rPr>
          <w:rFonts w:ascii="Times New Roman" w:hAnsi="Times New Roman"/>
          <w:sz w:val="24"/>
          <w:szCs w:val="24"/>
          <w:u w:val="single"/>
        </w:rPr>
        <w:t>Sam Massenburg, Administrator of the Estate of Corey Demetrius Massenburg, Deceased v. City of Petersburg</w:t>
      </w:r>
      <w:r>
        <w:rPr>
          <w:rFonts w:ascii="Times New Roman" w:hAnsi="Times New Roman"/>
          <w:sz w:val="24"/>
          <w:szCs w:val="24"/>
        </w:rPr>
        <w:t xml:space="preserve">, the Supreme Court of Appeals of Virginia, held that the Circuit Court judge properly granted summary judgment to the City. </w:t>
      </w:r>
    </w:p>
    <w:p w14:paraId="47D6ADEA" w14:textId="6CF97968" w:rsidR="007C6FEF" w:rsidRDefault="007C6FEF" w:rsidP="007C6FEF">
      <w:pPr>
        <w:ind w:left="720"/>
        <w:rPr>
          <w:rFonts w:ascii="Times New Roman" w:hAnsi="Times New Roman"/>
          <w:sz w:val="24"/>
          <w:szCs w:val="24"/>
        </w:rPr>
      </w:pPr>
      <w:r>
        <w:rPr>
          <w:rFonts w:ascii="Times New Roman" w:hAnsi="Times New Roman"/>
          <w:sz w:val="24"/>
          <w:szCs w:val="24"/>
        </w:rPr>
        <w:t>“</w:t>
      </w:r>
      <w:r w:rsidRPr="003F4B77">
        <w:rPr>
          <w:rFonts w:ascii="Times New Roman" w:hAnsi="Times New Roman"/>
          <w:sz w:val="24"/>
          <w:szCs w:val="24"/>
        </w:rPr>
        <w:t xml:space="preserve">A fire hydrant, as the name suggests, exists to facilitate the firefighting function of the municipality that installed it. That function is quintessentially governmental. That fire hydrants can be put to other uses is inconsequential because the sole reason municipalities undertake the expense of installing fire hydrants is to promote their ability to respond to fire emergencies. </w:t>
      </w:r>
      <w:r>
        <w:rPr>
          <w:rFonts w:ascii="Times New Roman" w:hAnsi="Times New Roman"/>
          <w:sz w:val="24"/>
          <w:szCs w:val="24"/>
        </w:rPr>
        <w:t xml:space="preserve">*** </w:t>
      </w:r>
      <w:r w:rsidRPr="003F4B77">
        <w:rPr>
          <w:rFonts w:ascii="Times New Roman" w:hAnsi="Times New Roman"/>
          <w:sz w:val="24"/>
          <w:szCs w:val="24"/>
        </w:rPr>
        <w:t>The City’s provision and maintenance of fire hydrants is therefore an immune governmental function.</w:t>
      </w:r>
      <w:r>
        <w:rPr>
          <w:rFonts w:ascii="Times New Roman" w:hAnsi="Times New Roman"/>
          <w:sz w:val="24"/>
          <w:szCs w:val="24"/>
        </w:rPr>
        <w:t xml:space="preserve"> </w:t>
      </w:r>
      <w:bookmarkStart w:id="58" w:name="_Hlk29226264"/>
      <w:bookmarkEnd w:id="57"/>
      <w:r>
        <w:rPr>
          <w:rFonts w:asciiTheme="minorHAnsi" w:hAnsiTheme="minorHAnsi" w:cstheme="minorBidi"/>
        </w:rPr>
        <w:fldChar w:fldCharType="begin"/>
      </w:r>
      <w:r>
        <w:instrText xml:space="preserve"> HYPERLINK "https://cases.justia.com/virginia/supreme-court/2019-190071.pdf?ts=1576159671" </w:instrText>
      </w:r>
      <w:r>
        <w:rPr>
          <w:rFonts w:asciiTheme="minorHAnsi" w:hAnsiTheme="minorHAnsi" w:cstheme="minorBidi"/>
        </w:rPr>
      </w:r>
      <w:r>
        <w:rPr>
          <w:rFonts w:asciiTheme="minorHAnsi" w:hAnsiTheme="minorHAnsi" w:cstheme="minorBidi"/>
        </w:rPr>
        <w:fldChar w:fldCharType="separate"/>
      </w:r>
      <w:r w:rsidRPr="00BF6E5A">
        <w:rPr>
          <w:rStyle w:val="Hyperlink"/>
          <w:rFonts w:ascii="Times New Roman" w:hAnsi="Times New Roman"/>
          <w:sz w:val="24"/>
          <w:szCs w:val="24"/>
        </w:rPr>
        <w:t>https://cases.justia.com/virginia/supreme-court/2019-190071.pdf?ts=1576159671</w:t>
      </w:r>
      <w:r>
        <w:rPr>
          <w:rStyle w:val="Hyperlink"/>
          <w:rFonts w:ascii="Times New Roman" w:hAnsi="Times New Roman"/>
          <w:sz w:val="24"/>
          <w:szCs w:val="24"/>
        </w:rPr>
        <w:fldChar w:fldCharType="end"/>
      </w:r>
      <w:r>
        <w:rPr>
          <w:rFonts w:ascii="Times New Roman" w:hAnsi="Times New Roman"/>
          <w:sz w:val="24"/>
          <w:szCs w:val="24"/>
        </w:rPr>
        <w:t xml:space="preserve"> </w:t>
      </w:r>
      <w:bookmarkEnd w:id="58"/>
    </w:p>
    <w:p w14:paraId="772D0160" w14:textId="24A8FDA9" w:rsidR="006C7F17" w:rsidRPr="006C7F17" w:rsidRDefault="006C7F17" w:rsidP="006C7F17">
      <w:pPr>
        <w:rPr>
          <w:rFonts w:ascii="Times New Roman" w:hAnsi="Times New Roman"/>
          <w:b/>
          <w:bCs/>
          <w:sz w:val="24"/>
          <w:szCs w:val="24"/>
        </w:rPr>
      </w:pPr>
      <w:r w:rsidRPr="006C7F17">
        <w:rPr>
          <w:rFonts w:ascii="Times New Roman" w:hAnsi="Times New Roman"/>
          <w:b/>
          <w:bCs/>
          <w:sz w:val="24"/>
          <w:szCs w:val="24"/>
        </w:rPr>
        <w:t xml:space="preserve">Legal Lessons Learned: Governmental immunity is recognized in </w:t>
      </w:r>
      <w:proofErr w:type="gramStart"/>
      <w:r w:rsidRPr="006C7F17">
        <w:rPr>
          <w:rFonts w:ascii="Times New Roman" w:hAnsi="Times New Roman"/>
          <w:b/>
          <w:bCs/>
          <w:sz w:val="24"/>
          <w:szCs w:val="24"/>
        </w:rPr>
        <w:t>Virginia, and</w:t>
      </w:r>
      <w:proofErr w:type="gramEnd"/>
      <w:r w:rsidRPr="006C7F17">
        <w:rPr>
          <w:rFonts w:ascii="Times New Roman" w:hAnsi="Times New Roman"/>
          <w:b/>
          <w:bCs/>
          <w:sz w:val="24"/>
          <w:szCs w:val="24"/>
        </w:rPr>
        <w:t xml:space="preserve"> protects the city when performing services that are not provided by private companies.</w:t>
      </w:r>
    </w:p>
    <w:p w14:paraId="1EF2D9A6" w14:textId="77777777" w:rsidR="007C6FEF" w:rsidRDefault="007C6FEF" w:rsidP="002B1283">
      <w:pPr>
        <w:rPr>
          <w:rFonts w:ascii="Arial Black" w:hAnsi="Arial Black"/>
          <w:b/>
          <w:sz w:val="24"/>
          <w:szCs w:val="24"/>
        </w:rPr>
      </w:pPr>
    </w:p>
    <w:p w14:paraId="56C6B4D2" w14:textId="205A337C" w:rsidR="007C6FEF" w:rsidRDefault="007C6FEF" w:rsidP="002B1283">
      <w:pPr>
        <w:rPr>
          <w:rFonts w:ascii="Arial Black" w:hAnsi="Arial Black"/>
          <w:b/>
          <w:sz w:val="24"/>
          <w:szCs w:val="24"/>
        </w:rPr>
      </w:pPr>
      <w:r>
        <w:rPr>
          <w:rFonts w:ascii="Arial Black" w:hAnsi="Arial Black"/>
          <w:b/>
          <w:sz w:val="24"/>
          <w:szCs w:val="24"/>
        </w:rPr>
        <w:t>1-3</w:t>
      </w:r>
      <w:r w:rsidR="00637A12">
        <w:rPr>
          <w:rFonts w:ascii="Arial Black" w:hAnsi="Arial Black"/>
          <w:b/>
          <w:sz w:val="24"/>
          <w:szCs w:val="24"/>
        </w:rPr>
        <w:t>5</w:t>
      </w:r>
    </w:p>
    <w:p w14:paraId="3EF82BA9" w14:textId="77777777" w:rsidR="007C6FEF" w:rsidRDefault="007C6FEF" w:rsidP="007C6FEF">
      <w:pPr>
        <w:pStyle w:val="NoSpacing"/>
        <w:rPr>
          <w:rFonts w:ascii="Arial Black" w:hAnsi="Arial Black"/>
          <w:sz w:val="28"/>
          <w:szCs w:val="28"/>
        </w:rPr>
      </w:pPr>
      <w:bookmarkStart w:id="59" w:name="_Hlk29226180"/>
      <w:r w:rsidRPr="00243657">
        <w:rPr>
          <w:rFonts w:ascii="Arial Black" w:hAnsi="Arial Black"/>
          <w:sz w:val="28"/>
          <w:szCs w:val="28"/>
        </w:rPr>
        <w:t>OH:</w:t>
      </w:r>
      <w:r>
        <w:rPr>
          <w:rFonts w:ascii="Arial Black" w:hAnsi="Arial Black"/>
          <w:sz w:val="28"/>
          <w:szCs w:val="28"/>
        </w:rPr>
        <w:t xml:space="preserve"> ARSON CONVICTION UPHELD – FIRE IN 3 LOCATIONS – FESH GASOLINE – DIRECT &amp; CIRCUMSTANTIAL EVIDENCE</w:t>
      </w:r>
    </w:p>
    <w:p w14:paraId="51AFC736" w14:textId="77777777" w:rsidR="007C6FEF" w:rsidRPr="00E73E17" w:rsidRDefault="007C6FEF" w:rsidP="007C6FEF">
      <w:pPr>
        <w:spacing w:before="100" w:beforeAutospacing="1" w:after="100" w:afterAutospacing="1" w:line="240" w:lineRule="auto"/>
        <w:rPr>
          <w:rFonts w:ascii="Times New Roman" w:eastAsia="Times New Roman" w:hAnsi="Times New Roman"/>
          <w:sz w:val="24"/>
          <w:szCs w:val="24"/>
        </w:rPr>
      </w:pPr>
      <w:r w:rsidRPr="00243657">
        <w:rPr>
          <w:rFonts w:ascii="Times New Roman" w:hAnsi="Times New Roman"/>
          <w:sz w:val="24"/>
          <w:szCs w:val="24"/>
        </w:rPr>
        <w:t>On</w:t>
      </w:r>
      <w:r>
        <w:rPr>
          <w:rFonts w:ascii="Times New Roman" w:hAnsi="Times New Roman"/>
          <w:sz w:val="24"/>
          <w:szCs w:val="24"/>
        </w:rPr>
        <w:t xml:space="preserve"> Dec. 12, 2019, in </w:t>
      </w:r>
      <w:r w:rsidRPr="00B47705">
        <w:rPr>
          <w:rFonts w:ascii="Times New Roman" w:hAnsi="Times New Roman"/>
          <w:sz w:val="24"/>
          <w:szCs w:val="24"/>
          <w:u w:val="single"/>
        </w:rPr>
        <w:t xml:space="preserve">State of Ohio v. Gina M. </w:t>
      </w:r>
      <w:proofErr w:type="spellStart"/>
      <w:r w:rsidRPr="00B47705">
        <w:rPr>
          <w:rFonts w:ascii="Times New Roman" w:hAnsi="Times New Roman"/>
          <w:sz w:val="24"/>
          <w:szCs w:val="24"/>
          <w:u w:val="single"/>
        </w:rPr>
        <w:t>Huler</w:t>
      </w:r>
      <w:proofErr w:type="spellEnd"/>
      <w:r>
        <w:rPr>
          <w:rFonts w:ascii="Times New Roman" w:hAnsi="Times New Roman"/>
          <w:sz w:val="24"/>
          <w:szCs w:val="24"/>
        </w:rPr>
        <w:t>, the Ohio Court of Appeals for the 8</w:t>
      </w:r>
      <w:r w:rsidRPr="00243657">
        <w:rPr>
          <w:rFonts w:ascii="Times New Roman" w:hAnsi="Times New Roman"/>
          <w:sz w:val="24"/>
          <w:szCs w:val="24"/>
          <w:vertAlign w:val="superscript"/>
        </w:rPr>
        <w:t>th</w:t>
      </w:r>
      <w:r>
        <w:rPr>
          <w:rFonts w:ascii="Times New Roman" w:hAnsi="Times New Roman"/>
          <w:sz w:val="24"/>
          <w:szCs w:val="24"/>
        </w:rPr>
        <w:t xml:space="preserve"> District (Cuyahoga County), held (3 to 0) </w:t>
      </w:r>
      <w:r>
        <w:rPr>
          <w:rFonts w:ascii="Times New Roman" w:eastAsia="Times New Roman" w:hAnsi="Times New Roman"/>
          <w:sz w:val="24"/>
          <w:szCs w:val="24"/>
        </w:rPr>
        <w:t xml:space="preserve">that there was sufficient direct and circumstantial evidence for the trial judge to find her guilty of aggravated arson. </w:t>
      </w:r>
    </w:p>
    <w:p w14:paraId="5F7A5422" w14:textId="77777777" w:rsidR="007C6FEF" w:rsidRPr="00E73E17" w:rsidRDefault="007C6FEF" w:rsidP="007C6FEF">
      <w:pPr>
        <w:pStyle w:val="NoSpacing"/>
        <w:ind w:left="720"/>
        <w:rPr>
          <w:rFonts w:ascii="Times New Roman" w:hAnsi="Times New Roman"/>
          <w:sz w:val="24"/>
          <w:szCs w:val="24"/>
        </w:rPr>
      </w:pPr>
      <w:r>
        <w:rPr>
          <w:rFonts w:ascii="Times New Roman" w:hAnsi="Times New Roman"/>
          <w:sz w:val="24"/>
          <w:szCs w:val="24"/>
        </w:rPr>
        <w:t>“[Jeff] K</w:t>
      </w:r>
      <w:r w:rsidRPr="00243657">
        <w:rPr>
          <w:rFonts w:ascii="Times New Roman" w:hAnsi="Times New Roman"/>
          <w:sz w:val="24"/>
          <w:szCs w:val="24"/>
        </w:rPr>
        <w:t>oehn</w:t>
      </w:r>
      <w:r>
        <w:rPr>
          <w:rFonts w:ascii="Times New Roman" w:hAnsi="Times New Roman"/>
          <w:sz w:val="24"/>
          <w:szCs w:val="24"/>
        </w:rPr>
        <w:t xml:space="preserve"> [Ohio Fire Marshal investigator] </w:t>
      </w:r>
      <w:r w:rsidRPr="00243657">
        <w:rPr>
          <w:rFonts w:ascii="Times New Roman" w:hAnsi="Times New Roman"/>
          <w:sz w:val="24"/>
          <w:szCs w:val="24"/>
        </w:rPr>
        <w:t xml:space="preserve">also determined that three separate fires were set in three separate locations in the house and a fourth was </w:t>
      </w:r>
      <w:proofErr w:type="gramStart"/>
      <w:r w:rsidRPr="00243657">
        <w:rPr>
          <w:rFonts w:ascii="Times New Roman" w:hAnsi="Times New Roman"/>
          <w:sz w:val="24"/>
          <w:szCs w:val="24"/>
        </w:rPr>
        <w:t>attempted, but</w:t>
      </w:r>
      <w:proofErr w:type="gramEnd"/>
      <w:r w:rsidRPr="00243657">
        <w:rPr>
          <w:rFonts w:ascii="Times New Roman" w:hAnsi="Times New Roman"/>
          <w:sz w:val="24"/>
          <w:szCs w:val="24"/>
        </w:rPr>
        <w:t xml:space="preserve"> failed to erupt. In support of his determination, Koehn discussed in detail three distinct fire patterns, which had no connection to each other and did not spread across the ceiling as a normal house fire would spread. A determination that there were three separate and distinct fires, with no connecting patterns, serves to eliminate the notion that sparks from the masonry work completed earlier that day could have gone down the chimney, into the house, and started the fire. </w:t>
      </w:r>
      <w:r>
        <w:rPr>
          <w:rFonts w:ascii="Times New Roman" w:hAnsi="Times New Roman"/>
          <w:sz w:val="24"/>
          <w:szCs w:val="24"/>
        </w:rPr>
        <w:t xml:space="preserve">*** </w:t>
      </w:r>
      <w:r w:rsidRPr="00243657">
        <w:rPr>
          <w:rFonts w:ascii="Times New Roman" w:hAnsi="Times New Roman"/>
          <w:sz w:val="24"/>
          <w:szCs w:val="24"/>
        </w:rPr>
        <w:t>The debris from the trash can on the stairs tested positive for acetone; debris from the attic tested positive for gasoline, and the plastic water bottle tested positive for gasoline. The forensic lab report also indicated the gasoline was fresh, not weathered or aged gasoline</w:t>
      </w:r>
      <w:r>
        <w:t xml:space="preserve">. *** </w:t>
      </w:r>
      <w:r w:rsidRPr="00E73E17">
        <w:rPr>
          <w:rFonts w:ascii="Times New Roman" w:hAnsi="Times New Roman"/>
          <w:sz w:val="24"/>
          <w:szCs w:val="24"/>
        </w:rPr>
        <w:t xml:space="preserve">Further, although the fire investigation determined that the cause of the fire was classified as incendiary and was intentionally set by Huler, we could arrive at the same conclusion using only circumstantial evidence. </w:t>
      </w:r>
      <w:r>
        <w:rPr>
          <w:rFonts w:ascii="Times New Roman" w:hAnsi="Times New Roman"/>
          <w:sz w:val="24"/>
          <w:szCs w:val="24"/>
        </w:rPr>
        <w:t>‘</w:t>
      </w:r>
      <w:r w:rsidRPr="00E73E17">
        <w:rPr>
          <w:rFonts w:ascii="Times New Roman" w:hAnsi="Times New Roman"/>
          <w:sz w:val="24"/>
          <w:szCs w:val="24"/>
        </w:rPr>
        <w:t>Circumstantial evidence and direct evidence inherently possess the same probative value.</w:t>
      </w:r>
      <w:r>
        <w:rPr>
          <w:rFonts w:ascii="Times New Roman" w:hAnsi="Times New Roman"/>
          <w:sz w:val="24"/>
          <w:szCs w:val="24"/>
        </w:rPr>
        <w:t>’</w:t>
      </w:r>
      <w:r w:rsidRPr="00E73E17">
        <w:rPr>
          <w:rFonts w:ascii="Times New Roman" w:hAnsi="Times New Roman"/>
          <w:sz w:val="24"/>
          <w:szCs w:val="24"/>
        </w:rPr>
        <w:t xml:space="preserve"> Jenks, 61 Ohio St.3d 259, 574 N.E.2d 492, at paragraph one of the </w:t>
      </w:r>
      <w:proofErr w:type="gramStart"/>
      <w:r w:rsidRPr="00E73E17">
        <w:rPr>
          <w:rFonts w:ascii="Times New Roman" w:hAnsi="Times New Roman"/>
          <w:sz w:val="24"/>
          <w:szCs w:val="24"/>
        </w:rPr>
        <w:t>syllabus</w:t>
      </w:r>
      <w:proofErr w:type="gramEnd"/>
      <w:r w:rsidRPr="00E73E17">
        <w:rPr>
          <w:rFonts w:ascii="Times New Roman" w:hAnsi="Times New Roman"/>
          <w:sz w:val="24"/>
          <w:szCs w:val="24"/>
        </w:rPr>
        <w:t>.</w:t>
      </w:r>
      <w:r>
        <w:rPr>
          <w:rFonts w:ascii="Times New Roman" w:hAnsi="Times New Roman"/>
          <w:sz w:val="24"/>
          <w:szCs w:val="24"/>
        </w:rPr>
        <w:t>”</w:t>
      </w:r>
    </w:p>
    <w:p w14:paraId="72FA7D4E" w14:textId="77777777" w:rsidR="007C6FEF" w:rsidRDefault="007C6FEF" w:rsidP="007C6FEF">
      <w:pPr>
        <w:pStyle w:val="NoSpacing"/>
        <w:ind w:left="720"/>
      </w:pPr>
      <w:hyperlink r:id="rId333" w:history="1">
        <w:r w:rsidRPr="00BF6E5A">
          <w:rPr>
            <w:rStyle w:val="Hyperlink"/>
          </w:rPr>
          <w:t>https://cases.justia.com/ohio/eighth-district-court-of-appeals/2019-108224.pdf?ts=1576167401</w:t>
        </w:r>
      </w:hyperlink>
      <w:r>
        <w:t xml:space="preserve"> </w:t>
      </w:r>
      <w:bookmarkEnd w:id="59"/>
    </w:p>
    <w:p w14:paraId="488D8B6E" w14:textId="0192DB9B" w:rsidR="003464C5" w:rsidRDefault="003464C5" w:rsidP="002B1283">
      <w:pPr>
        <w:rPr>
          <w:rFonts w:ascii="Arial Black" w:hAnsi="Arial Black"/>
          <w:b/>
          <w:sz w:val="24"/>
          <w:szCs w:val="24"/>
        </w:rPr>
      </w:pPr>
    </w:p>
    <w:p w14:paraId="79FF78CF" w14:textId="1B2BC6E0" w:rsidR="006C7F17" w:rsidRPr="006C7F17" w:rsidRDefault="006C7F17" w:rsidP="002B1283">
      <w:pPr>
        <w:rPr>
          <w:rFonts w:ascii="Times New Roman" w:hAnsi="Times New Roman"/>
          <w:b/>
          <w:bCs/>
          <w:sz w:val="24"/>
          <w:szCs w:val="24"/>
        </w:rPr>
      </w:pPr>
      <w:r w:rsidRPr="006C7F17">
        <w:rPr>
          <w:rFonts w:ascii="Times New Roman" w:hAnsi="Times New Roman"/>
          <w:b/>
          <w:bCs/>
          <w:sz w:val="24"/>
          <w:szCs w:val="24"/>
        </w:rPr>
        <w:t>Legal Lessons Learned: Expert testimony by State Fire Marshal investigator who “meticulously” eliminated other causes, and laboratory tests confirming gasoline, led to this conviction.</w:t>
      </w:r>
    </w:p>
    <w:p w14:paraId="61DEDD0F" w14:textId="77777777" w:rsidR="003464C5" w:rsidRDefault="003464C5" w:rsidP="002B1283">
      <w:pPr>
        <w:rPr>
          <w:rFonts w:ascii="Arial Black" w:hAnsi="Arial Black"/>
          <w:b/>
          <w:sz w:val="24"/>
          <w:szCs w:val="24"/>
        </w:rPr>
      </w:pPr>
    </w:p>
    <w:p w14:paraId="76B585C5" w14:textId="77777777" w:rsidR="003464C5" w:rsidRDefault="003464C5" w:rsidP="002B1283">
      <w:pPr>
        <w:rPr>
          <w:rFonts w:ascii="Arial Black" w:hAnsi="Arial Black"/>
          <w:b/>
          <w:sz w:val="24"/>
          <w:szCs w:val="24"/>
        </w:rPr>
      </w:pPr>
    </w:p>
    <w:p w14:paraId="3931366C" w14:textId="77777777" w:rsidR="003464C5" w:rsidRDefault="003464C5" w:rsidP="002B1283">
      <w:pPr>
        <w:rPr>
          <w:rFonts w:ascii="Arial Black" w:hAnsi="Arial Black"/>
          <w:b/>
          <w:sz w:val="24"/>
          <w:szCs w:val="24"/>
        </w:rPr>
      </w:pPr>
    </w:p>
    <w:p w14:paraId="493ACD09" w14:textId="2838F8A1" w:rsidR="00980EAD" w:rsidRDefault="00980EAD" w:rsidP="002B1283">
      <w:pPr>
        <w:rPr>
          <w:rFonts w:ascii="Arial Black" w:hAnsi="Arial Black"/>
          <w:b/>
          <w:sz w:val="24"/>
          <w:szCs w:val="24"/>
        </w:rPr>
      </w:pPr>
      <w:r>
        <w:rPr>
          <w:rFonts w:ascii="Arial Black" w:hAnsi="Arial Black"/>
          <w:b/>
          <w:sz w:val="24"/>
          <w:szCs w:val="24"/>
        </w:rPr>
        <w:t>1-3</w:t>
      </w:r>
      <w:r w:rsidR="00637A12">
        <w:rPr>
          <w:rFonts w:ascii="Arial Black" w:hAnsi="Arial Black"/>
          <w:b/>
          <w:sz w:val="24"/>
          <w:szCs w:val="24"/>
        </w:rPr>
        <w:t>4</w:t>
      </w:r>
    </w:p>
    <w:p w14:paraId="10AA4EB5" w14:textId="77777777" w:rsidR="00980EAD" w:rsidRDefault="00980EAD" w:rsidP="00980EAD">
      <w:pPr>
        <w:pStyle w:val="NoSpacing"/>
        <w:rPr>
          <w:rFonts w:ascii="Arial Black" w:hAnsi="Arial Black"/>
          <w:sz w:val="28"/>
          <w:szCs w:val="28"/>
        </w:rPr>
      </w:pPr>
      <w:r>
        <w:rPr>
          <w:rFonts w:ascii="Arial Black" w:hAnsi="Arial Black"/>
          <w:sz w:val="28"/>
          <w:szCs w:val="28"/>
        </w:rPr>
        <w:t>WA: ARSON – DEFENSE EXPERT FAILED TO FOLLOW NFPA 921 – TESTIMONY PROPERLY LIMITED – SENTENCED TO LIFE IN PRISON</w:t>
      </w:r>
    </w:p>
    <w:p w14:paraId="709A3B5C" w14:textId="77777777" w:rsidR="00980EAD" w:rsidRDefault="00980EAD" w:rsidP="00980EAD">
      <w:pPr>
        <w:pStyle w:val="NoSpacing"/>
        <w:rPr>
          <w:rFonts w:ascii="Arial Black" w:hAnsi="Arial Black"/>
          <w:sz w:val="28"/>
          <w:szCs w:val="28"/>
        </w:rPr>
      </w:pPr>
    </w:p>
    <w:p w14:paraId="67E42ECE" w14:textId="77777777" w:rsidR="00980EAD" w:rsidRDefault="00980EAD" w:rsidP="00980EAD">
      <w:pPr>
        <w:pStyle w:val="NoSpacing"/>
        <w:rPr>
          <w:rFonts w:ascii="Times New Roman" w:hAnsi="Times New Roman"/>
          <w:sz w:val="24"/>
          <w:szCs w:val="24"/>
        </w:rPr>
      </w:pPr>
      <w:r>
        <w:rPr>
          <w:rFonts w:ascii="Times New Roman" w:hAnsi="Times New Roman"/>
          <w:sz w:val="24"/>
          <w:szCs w:val="24"/>
        </w:rPr>
        <w:t xml:space="preserve">On Dec. 5, 2019, in </w:t>
      </w:r>
      <w:r>
        <w:rPr>
          <w:rFonts w:ascii="Times New Roman" w:hAnsi="Times New Roman"/>
          <w:sz w:val="24"/>
          <w:szCs w:val="24"/>
          <w:u w:val="single"/>
        </w:rPr>
        <w:t>State of Washington v. Shelly Margaret Arndt</w:t>
      </w:r>
      <w:r>
        <w:rPr>
          <w:rFonts w:ascii="Times New Roman" w:hAnsi="Times New Roman"/>
          <w:sz w:val="24"/>
          <w:szCs w:val="24"/>
        </w:rPr>
        <w:t>, the Supreme Court of Washington (</w:t>
      </w:r>
      <w:proofErr w:type="spellStart"/>
      <w:r>
        <w:rPr>
          <w:rFonts w:ascii="Times New Roman" w:hAnsi="Times New Roman"/>
          <w:sz w:val="24"/>
          <w:szCs w:val="24"/>
        </w:rPr>
        <w:t>en</w:t>
      </w:r>
      <w:proofErr w:type="spellEnd"/>
      <w:r>
        <w:rPr>
          <w:rFonts w:ascii="Times New Roman" w:hAnsi="Times New Roman"/>
          <w:sz w:val="24"/>
          <w:szCs w:val="24"/>
        </w:rPr>
        <w:t xml:space="preserve"> banc – all 9 Justices hearing the case) held (8 to 1) that the trial court properly restricted the testimony of the defense expert,  Dale Mann (former State Patrol crime lab supervisor and certified arson investigator) for failure to conduct a cause and origin investigation under NFPA 921. </w:t>
      </w:r>
    </w:p>
    <w:p w14:paraId="37E494BD" w14:textId="77777777" w:rsidR="00980EAD" w:rsidRDefault="00980EAD" w:rsidP="00980EAD">
      <w:pPr>
        <w:pStyle w:val="NoSpacing"/>
        <w:rPr>
          <w:rFonts w:ascii="Arial Black" w:hAnsi="Arial Black" w:cstheme="minorBidi"/>
          <w:sz w:val="28"/>
          <w:szCs w:val="28"/>
        </w:rPr>
      </w:pPr>
    </w:p>
    <w:p w14:paraId="572AF2D2" w14:textId="77777777" w:rsidR="00980EAD" w:rsidRDefault="00980EAD" w:rsidP="00980EAD">
      <w:pPr>
        <w:pStyle w:val="NoSpacing"/>
        <w:ind w:left="720"/>
        <w:rPr>
          <w:rFonts w:ascii="Times New Roman" w:hAnsi="Times New Roman"/>
          <w:sz w:val="24"/>
          <w:szCs w:val="24"/>
        </w:rPr>
      </w:pPr>
      <w:r>
        <w:rPr>
          <w:rFonts w:ascii="Times New Roman" w:hAnsi="Times New Roman"/>
          <w:sz w:val="24"/>
          <w:szCs w:val="24"/>
        </w:rPr>
        <w:t xml:space="preserve">“After a </w:t>
      </w:r>
      <w:proofErr w:type="gramStart"/>
      <w:r>
        <w:rPr>
          <w:rFonts w:ascii="Times New Roman" w:hAnsi="Times New Roman"/>
          <w:sz w:val="24"/>
          <w:szCs w:val="24"/>
        </w:rPr>
        <w:t>three month</w:t>
      </w:r>
      <w:proofErr w:type="gramEnd"/>
      <w:r>
        <w:rPr>
          <w:rFonts w:ascii="Times New Roman" w:hAnsi="Times New Roman"/>
          <w:sz w:val="24"/>
          <w:szCs w:val="24"/>
        </w:rPr>
        <w:t xml:space="preserve"> trial, a jury found Arndt guilty [in death of her boyfriend] of all crimes as charged by the State. The trial court sentenced Arndt to life without the possibility of parole per RCW 10.95.030(1). CP at 475.</w:t>
      </w:r>
    </w:p>
    <w:p w14:paraId="25B24C2A" w14:textId="77777777" w:rsidR="00980EAD" w:rsidRDefault="00980EAD" w:rsidP="00980EAD">
      <w:pPr>
        <w:pStyle w:val="NoSpacing"/>
        <w:ind w:left="720"/>
        <w:rPr>
          <w:rFonts w:ascii="Times New Roman" w:hAnsi="Times New Roman"/>
          <w:sz w:val="24"/>
          <w:szCs w:val="24"/>
        </w:rPr>
      </w:pPr>
    </w:p>
    <w:p w14:paraId="4420B3FC" w14:textId="77777777" w:rsidR="00980EAD" w:rsidRDefault="00980EAD" w:rsidP="00980EAD">
      <w:pPr>
        <w:pStyle w:val="NoSpacing"/>
        <w:ind w:left="720"/>
        <w:rPr>
          <w:rFonts w:ascii="Times New Roman" w:hAnsi="Times New Roman"/>
          <w:sz w:val="24"/>
          <w:szCs w:val="24"/>
        </w:rPr>
      </w:pPr>
      <w:r>
        <w:rPr>
          <w:rFonts w:ascii="Times New Roman" w:hAnsi="Times New Roman"/>
          <w:sz w:val="24"/>
          <w:szCs w:val="24"/>
        </w:rPr>
        <w:t>***</w:t>
      </w:r>
    </w:p>
    <w:p w14:paraId="35A5A463" w14:textId="77777777" w:rsidR="00980EAD" w:rsidRDefault="00980EAD" w:rsidP="00980EAD">
      <w:pPr>
        <w:pStyle w:val="NoSpacing"/>
        <w:ind w:left="720"/>
        <w:rPr>
          <w:rFonts w:ascii="Times New Roman" w:hAnsi="Times New Roman"/>
          <w:sz w:val="24"/>
          <w:szCs w:val="24"/>
        </w:rPr>
      </w:pPr>
    </w:p>
    <w:p w14:paraId="2EA03BA3" w14:textId="77777777" w:rsidR="00980EAD" w:rsidRDefault="00980EAD" w:rsidP="00980EAD">
      <w:pPr>
        <w:pStyle w:val="NoSpacing"/>
        <w:ind w:left="720"/>
        <w:rPr>
          <w:rFonts w:ascii="Times New Roman" w:hAnsi="Times New Roman"/>
          <w:sz w:val="24"/>
          <w:szCs w:val="24"/>
        </w:rPr>
      </w:pPr>
      <w:r>
        <w:rPr>
          <w:rFonts w:ascii="Times New Roman" w:hAnsi="Times New Roman"/>
          <w:sz w:val="24"/>
          <w:szCs w:val="24"/>
        </w:rPr>
        <w:t xml:space="preserve">Arndt takes issue with the limitations the trial judge placed on Mann's testimony </w:t>
      </w:r>
      <w:proofErr w:type="gramStart"/>
      <w:r>
        <w:rPr>
          <w:rFonts w:ascii="Times New Roman" w:hAnsi="Times New Roman"/>
          <w:sz w:val="24"/>
          <w:szCs w:val="24"/>
        </w:rPr>
        <w:t>due to the fact that</w:t>
      </w:r>
      <w:proofErr w:type="gramEnd"/>
      <w:r>
        <w:rPr>
          <w:rFonts w:ascii="Times New Roman" w:hAnsi="Times New Roman"/>
          <w:sz w:val="24"/>
          <w:szCs w:val="24"/>
        </w:rPr>
        <w:t xml:space="preserve"> he had not personally conducted a complete origin and cause investigation of the scene…. In placing these limitations on Mann's testimony, the judge clearly stated that her rationale was based on Mann's failure to follow well established scientific methodology:</w:t>
      </w:r>
    </w:p>
    <w:p w14:paraId="541CB59A" w14:textId="77777777" w:rsidR="00980EAD" w:rsidRDefault="00980EAD" w:rsidP="00980EAD">
      <w:pPr>
        <w:pStyle w:val="NoSpacing"/>
        <w:ind w:left="720"/>
        <w:rPr>
          <w:rFonts w:ascii="Times New Roman" w:hAnsi="Times New Roman"/>
          <w:sz w:val="24"/>
          <w:szCs w:val="24"/>
        </w:rPr>
      </w:pPr>
    </w:p>
    <w:p w14:paraId="6C6FC988" w14:textId="77777777" w:rsidR="00980EAD" w:rsidRDefault="00980EAD" w:rsidP="00980EAD">
      <w:pPr>
        <w:pStyle w:val="NoSpacing"/>
        <w:ind w:left="720"/>
        <w:rPr>
          <w:rFonts w:ascii="Times New Roman" w:hAnsi="Times New Roman"/>
          <w:sz w:val="24"/>
          <w:szCs w:val="24"/>
        </w:rPr>
      </w:pPr>
      <w:r>
        <w:rPr>
          <w:rFonts w:ascii="Times New Roman" w:hAnsi="Times New Roman"/>
          <w:sz w:val="24"/>
          <w:szCs w:val="24"/>
        </w:rPr>
        <w:t xml:space="preserve">THE COURT: It is not a problem that he goes to the scene, as [the]defense argues, but it is a problem when he starts to test ….  If he were to do an origin and cause, he would need to follow the scientific method and eliminate various hypotheses. Instead </w:t>
      </w:r>
      <w:proofErr w:type="gramStart"/>
      <w:r>
        <w:rPr>
          <w:rFonts w:ascii="Times New Roman" w:hAnsi="Times New Roman"/>
          <w:sz w:val="24"/>
          <w:szCs w:val="24"/>
        </w:rPr>
        <w:t>by</w:t>
      </w:r>
      <w:proofErr w:type="gramEnd"/>
      <w:r>
        <w:rPr>
          <w:rFonts w:ascii="Times New Roman" w:hAnsi="Times New Roman"/>
          <w:sz w:val="24"/>
          <w:szCs w:val="24"/>
        </w:rPr>
        <w:t xml:space="preserve"> focusing on one area, which seems to be this foosball area, he's taking one hypothesis and testing it. And not eliminating, under the scientific method, the entire scene.</w:t>
      </w:r>
    </w:p>
    <w:p w14:paraId="17935886" w14:textId="77777777" w:rsidR="00980EAD" w:rsidRDefault="00980EAD" w:rsidP="00980EAD">
      <w:pPr>
        <w:pStyle w:val="NoSpacing"/>
        <w:ind w:left="720"/>
        <w:rPr>
          <w:rFonts w:ascii="Times New Roman" w:hAnsi="Times New Roman"/>
          <w:sz w:val="24"/>
          <w:szCs w:val="24"/>
        </w:rPr>
      </w:pPr>
      <w:hyperlink r:id="rId334" w:history="1">
        <w:r>
          <w:rPr>
            <w:rStyle w:val="Hyperlink"/>
            <w:rFonts w:ascii="Times New Roman" w:hAnsi="Times New Roman"/>
            <w:sz w:val="24"/>
            <w:szCs w:val="24"/>
          </w:rPr>
          <w:t>https://www.courts.wa.gov/opinions/pdf/953961.pdf</w:t>
        </w:r>
      </w:hyperlink>
      <w:r>
        <w:rPr>
          <w:rFonts w:ascii="Times New Roman" w:hAnsi="Times New Roman"/>
          <w:sz w:val="24"/>
          <w:szCs w:val="24"/>
        </w:rPr>
        <w:t xml:space="preserve"> </w:t>
      </w:r>
    </w:p>
    <w:p w14:paraId="6E28073B" w14:textId="4A0265C9" w:rsidR="00980EAD" w:rsidRDefault="00980EAD" w:rsidP="002B1283">
      <w:pPr>
        <w:rPr>
          <w:rFonts w:ascii="Arial Black" w:hAnsi="Arial Black"/>
          <w:b/>
          <w:sz w:val="24"/>
          <w:szCs w:val="24"/>
        </w:rPr>
      </w:pPr>
    </w:p>
    <w:p w14:paraId="14A1FEE4" w14:textId="77777777" w:rsidR="00980EAD" w:rsidRDefault="00980EAD" w:rsidP="00980EAD">
      <w:pPr>
        <w:pStyle w:val="NoSpacing"/>
        <w:rPr>
          <w:rFonts w:ascii="Times New Roman" w:hAnsi="Times New Roman"/>
          <w:sz w:val="24"/>
          <w:szCs w:val="24"/>
        </w:rPr>
      </w:pPr>
      <w:r>
        <w:rPr>
          <w:rFonts w:ascii="Times New Roman" w:hAnsi="Times New Roman"/>
          <w:b/>
          <w:bCs/>
          <w:sz w:val="24"/>
          <w:szCs w:val="24"/>
        </w:rPr>
        <w:t>Legal Lessons Learned:  The trial court properly restricted the testimony of the defense expert for failure to follow NFPA 921, Guide for Fire and Explosion Investigations (excellent guide for conducting cause &amp; origin investigations):</w:t>
      </w:r>
      <w:r>
        <w:rPr>
          <w:rFonts w:ascii="Times New Roman" w:hAnsi="Times New Roman"/>
          <w:sz w:val="24"/>
          <w:szCs w:val="24"/>
        </w:rPr>
        <w:t xml:space="preserve">  </w:t>
      </w:r>
      <w:hyperlink r:id="rId335" w:history="1">
        <w:r>
          <w:rPr>
            <w:rStyle w:val="Hyperlink"/>
            <w:rFonts w:ascii="Times New Roman" w:hAnsi="Times New Roman"/>
            <w:sz w:val="24"/>
            <w:szCs w:val="24"/>
          </w:rPr>
          <w:t>https://catalog.nfpa.org/NFPA-921-Guide-for-Fire-and-Explosion-Investigations-C472.aspx?order_src=C900&amp;gclid=EAIaIQobChMI3pOKsKem5gIVJIVaBR1UwAkCEAAYASAAEgLHSvD_BwE</w:t>
        </w:r>
      </w:hyperlink>
      <w:r>
        <w:rPr>
          <w:rFonts w:ascii="Times New Roman" w:hAnsi="Times New Roman"/>
          <w:sz w:val="24"/>
          <w:szCs w:val="24"/>
        </w:rPr>
        <w:t xml:space="preserve"> </w:t>
      </w:r>
    </w:p>
    <w:p w14:paraId="658648E5" w14:textId="77777777" w:rsidR="00980EAD" w:rsidRDefault="00980EAD" w:rsidP="002B1283">
      <w:pPr>
        <w:rPr>
          <w:rFonts w:ascii="Arial Black" w:hAnsi="Arial Black"/>
          <w:b/>
          <w:sz w:val="24"/>
          <w:szCs w:val="24"/>
        </w:rPr>
      </w:pPr>
    </w:p>
    <w:p w14:paraId="5C84FAC9" w14:textId="4DC9FA31" w:rsidR="00A06387" w:rsidRDefault="00A06387" w:rsidP="002B1283">
      <w:pPr>
        <w:rPr>
          <w:rFonts w:ascii="Arial Black" w:hAnsi="Arial Black"/>
          <w:b/>
          <w:sz w:val="24"/>
          <w:szCs w:val="24"/>
        </w:rPr>
      </w:pPr>
      <w:r>
        <w:rPr>
          <w:rFonts w:ascii="Arial Black" w:hAnsi="Arial Black"/>
          <w:b/>
          <w:sz w:val="24"/>
          <w:szCs w:val="24"/>
        </w:rPr>
        <w:t>1-3</w:t>
      </w:r>
      <w:r w:rsidR="00637A12">
        <w:rPr>
          <w:rFonts w:ascii="Arial Black" w:hAnsi="Arial Black"/>
          <w:b/>
          <w:sz w:val="24"/>
          <w:szCs w:val="24"/>
        </w:rPr>
        <w:t>3</w:t>
      </w:r>
    </w:p>
    <w:p w14:paraId="6D61F3E4" w14:textId="55C3DD9F" w:rsidR="00A06387" w:rsidRPr="00706498" w:rsidRDefault="00A06387" w:rsidP="00A06387">
      <w:pPr>
        <w:rPr>
          <w:rFonts w:ascii="Arial Black" w:hAnsi="Arial Black"/>
          <w:sz w:val="28"/>
          <w:szCs w:val="28"/>
        </w:rPr>
      </w:pPr>
      <w:r w:rsidRPr="00706498">
        <w:rPr>
          <w:rFonts w:ascii="Arial Black" w:hAnsi="Arial Black"/>
          <w:sz w:val="28"/>
          <w:szCs w:val="28"/>
        </w:rPr>
        <w:t xml:space="preserve">IN: DRONE – WOMAN FINDS DRONE IN HER YARD – ONBOARD VIDEO SHOWS NEIGHBOR CARRYING DRUGS </w:t>
      </w:r>
      <w:r w:rsidR="007471AF">
        <w:rPr>
          <w:rFonts w:ascii="Arial Black" w:hAnsi="Arial Black"/>
          <w:sz w:val="28"/>
          <w:szCs w:val="28"/>
        </w:rPr>
        <w:t>[also filed, Chap. 4]</w:t>
      </w:r>
    </w:p>
    <w:p w14:paraId="61D656D4" w14:textId="77777777" w:rsidR="00A06387" w:rsidRPr="006C7F17" w:rsidRDefault="00A06387" w:rsidP="00A06387">
      <w:pPr>
        <w:pStyle w:val="NoSpacing"/>
        <w:rPr>
          <w:rFonts w:ascii="Times New Roman" w:hAnsi="Times New Roman"/>
          <w:b/>
          <w:bCs/>
          <w:sz w:val="24"/>
          <w:szCs w:val="24"/>
        </w:rPr>
      </w:pPr>
      <w:r w:rsidRPr="006C7F17">
        <w:rPr>
          <w:rFonts w:ascii="Times New Roman" w:hAnsi="Times New Roman"/>
          <w:bCs/>
          <w:sz w:val="24"/>
          <w:szCs w:val="24"/>
        </w:rPr>
        <w:t xml:space="preserve">On Oct. 24, 2019, in </w:t>
      </w:r>
      <w:r w:rsidRPr="006C7F17">
        <w:rPr>
          <w:rFonts w:ascii="Times New Roman" w:hAnsi="Times New Roman"/>
          <w:bCs/>
          <w:sz w:val="24"/>
          <w:szCs w:val="24"/>
          <w:u w:val="single"/>
        </w:rPr>
        <w:t>Galen Byers v. State of Indiana</w:t>
      </w:r>
      <w:r w:rsidRPr="006C7F17">
        <w:rPr>
          <w:rFonts w:ascii="Times New Roman" w:hAnsi="Times New Roman"/>
          <w:bCs/>
          <w:sz w:val="24"/>
          <w:szCs w:val="24"/>
        </w:rPr>
        <w:t xml:space="preserve">, Court of Appeals of Indiana held (3 to 0) that the search warrant was obtained timely, and the trial court properly denied the defendant’s motion to suppress.  Criminal </w:t>
      </w:r>
      <w:proofErr w:type="gramStart"/>
      <w:r w:rsidRPr="006C7F17">
        <w:rPr>
          <w:rFonts w:ascii="Times New Roman" w:hAnsi="Times New Roman"/>
          <w:bCs/>
          <w:sz w:val="24"/>
          <w:szCs w:val="24"/>
        </w:rPr>
        <w:t>case</w:t>
      </w:r>
      <w:proofErr w:type="gramEnd"/>
      <w:r w:rsidRPr="006C7F17">
        <w:rPr>
          <w:rFonts w:ascii="Times New Roman" w:hAnsi="Times New Roman"/>
          <w:bCs/>
          <w:sz w:val="24"/>
          <w:szCs w:val="24"/>
        </w:rPr>
        <w:t xml:space="preserve"> for </w:t>
      </w:r>
      <w:proofErr w:type="gramStart"/>
      <w:r w:rsidRPr="006C7F17">
        <w:rPr>
          <w:rFonts w:ascii="Times New Roman" w:hAnsi="Times New Roman"/>
          <w:bCs/>
          <w:sz w:val="24"/>
          <w:szCs w:val="24"/>
        </w:rPr>
        <w:t>dealing</w:t>
      </w:r>
      <w:proofErr w:type="gramEnd"/>
      <w:r w:rsidRPr="006C7F17">
        <w:rPr>
          <w:rFonts w:ascii="Times New Roman" w:hAnsi="Times New Roman"/>
          <w:bCs/>
          <w:sz w:val="24"/>
          <w:szCs w:val="24"/>
        </w:rPr>
        <w:t xml:space="preserve"> methamphetamine will now be tried, unless the defendant enters a guilty plea.  </w:t>
      </w:r>
    </w:p>
    <w:p w14:paraId="76CDFD85" w14:textId="77777777" w:rsidR="00A06387" w:rsidRPr="006C7F17" w:rsidRDefault="00A06387" w:rsidP="00A06387">
      <w:pPr>
        <w:pStyle w:val="NoSpacing"/>
        <w:rPr>
          <w:rFonts w:ascii="Times New Roman" w:hAnsi="Times New Roman"/>
          <w:b/>
          <w:bCs/>
          <w:sz w:val="24"/>
          <w:szCs w:val="24"/>
        </w:rPr>
      </w:pPr>
    </w:p>
    <w:p w14:paraId="5783D6D8" w14:textId="77777777" w:rsidR="00A06387" w:rsidRPr="006C7F17" w:rsidRDefault="00A06387" w:rsidP="00A06387">
      <w:pPr>
        <w:pStyle w:val="NoSpacing"/>
        <w:ind w:left="720"/>
        <w:rPr>
          <w:rFonts w:ascii="Times New Roman" w:hAnsi="Times New Roman"/>
          <w:b/>
          <w:bCs/>
          <w:sz w:val="24"/>
          <w:szCs w:val="24"/>
        </w:rPr>
      </w:pPr>
      <w:r w:rsidRPr="006C7F17">
        <w:rPr>
          <w:rFonts w:ascii="Times New Roman" w:hAnsi="Times New Roman"/>
          <w:bCs/>
          <w:sz w:val="24"/>
          <w:szCs w:val="24"/>
        </w:rPr>
        <w:t xml:space="preserve">“Moreover, while we look at the date of the video footage to determine whether probable cause existed, some lapse can also be accounted for here because [Marcie] </w:t>
      </w:r>
      <w:proofErr w:type="spellStart"/>
      <w:r w:rsidRPr="006C7F17">
        <w:rPr>
          <w:rFonts w:ascii="Times New Roman" w:hAnsi="Times New Roman"/>
          <w:bCs/>
          <w:sz w:val="24"/>
          <w:szCs w:val="24"/>
        </w:rPr>
        <w:t>Vormohr</w:t>
      </w:r>
      <w:proofErr w:type="spellEnd"/>
      <w:r w:rsidRPr="006C7F17">
        <w:rPr>
          <w:rFonts w:ascii="Times New Roman" w:hAnsi="Times New Roman"/>
          <w:bCs/>
          <w:sz w:val="24"/>
          <w:szCs w:val="24"/>
        </w:rPr>
        <w:t xml:space="preserve"> was in possession of the drone for likely at least one of those days. And, although we acknowledge that the woman in the video handled the alleged substances, the video also shows another individual—a man who </w:t>
      </w:r>
      <w:proofErr w:type="spellStart"/>
      <w:r w:rsidRPr="006C7F17">
        <w:rPr>
          <w:rFonts w:ascii="Times New Roman" w:hAnsi="Times New Roman"/>
          <w:bCs/>
          <w:sz w:val="24"/>
          <w:szCs w:val="24"/>
        </w:rPr>
        <w:t>Vormohr</w:t>
      </w:r>
      <w:proofErr w:type="spellEnd"/>
      <w:r w:rsidRPr="006C7F17">
        <w:rPr>
          <w:rFonts w:ascii="Times New Roman" w:hAnsi="Times New Roman"/>
          <w:bCs/>
          <w:sz w:val="24"/>
          <w:szCs w:val="24"/>
        </w:rPr>
        <w:t xml:space="preserve"> testified was Byers—handling the drone moments later in the same and subsequent video recordings. Based on the facts and circumstances before us, we cannot say that a four-day period between the activity and the finding of probable cause renders the warrant constitutionally stale.”</w:t>
      </w:r>
    </w:p>
    <w:p w14:paraId="77D5FC4D" w14:textId="77777777" w:rsidR="00A06387" w:rsidRPr="006C7F17" w:rsidRDefault="00A06387" w:rsidP="00A06387">
      <w:pPr>
        <w:pStyle w:val="NoSpacing"/>
        <w:ind w:left="720"/>
        <w:rPr>
          <w:rFonts w:ascii="Times New Roman" w:hAnsi="Times New Roman"/>
          <w:b/>
          <w:bCs/>
          <w:sz w:val="24"/>
          <w:szCs w:val="24"/>
        </w:rPr>
      </w:pPr>
      <w:hyperlink r:id="rId336" w:history="1">
        <w:r w:rsidRPr="006C7F17">
          <w:rPr>
            <w:rStyle w:val="Hyperlink"/>
            <w:rFonts w:ascii="Times New Roman" w:hAnsi="Times New Roman"/>
            <w:bCs/>
            <w:sz w:val="24"/>
            <w:szCs w:val="24"/>
          </w:rPr>
          <w:t>https://www.in.gov/judiciary/opinions/pdf/10241902eft.pdf</w:t>
        </w:r>
      </w:hyperlink>
      <w:r w:rsidRPr="006C7F17">
        <w:rPr>
          <w:rFonts w:ascii="Times New Roman" w:hAnsi="Times New Roman"/>
          <w:bCs/>
          <w:sz w:val="24"/>
          <w:szCs w:val="24"/>
        </w:rPr>
        <w:t xml:space="preserve"> </w:t>
      </w:r>
    </w:p>
    <w:p w14:paraId="429BAC24" w14:textId="77777777" w:rsidR="006C7F17" w:rsidRPr="006C7F17" w:rsidRDefault="006C7F17" w:rsidP="00A06387">
      <w:pPr>
        <w:pStyle w:val="NoSpacing"/>
        <w:rPr>
          <w:rFonts w:ascii="Times New Roman" w:hAnsi="Times New Roman"/>
          <w:b/>
          <w:bCs/>
          <w:sz w:val="24"/>
          <w:szCs w:val="24"/>
        </w:rPr>
      </w:pPr>
    </w:p>
    <w:p w14:paraId="544C4F7E" w14:textId="19B151CC" w:rsidR="00A06387" w:rsidRPr="006C7F17" w:rsidRDefault="00A06387" w:rsidP="00A06387">
      <w:pPr>
        <w:pStyle w:val="NoSpacing"/>
        <w:rPr>
          <w:rFonts w:ascii="Times New Roman" w:hAnsi="Times New Roman"/>
          <w:b/>
          <w:bCs/>
          <w:sz w:val="24"/>
          <w:szCs w:val="24"/>
        </w:rPr>
      </w:pPr>
      <w:r w:rsidRPr="006C7F17">
        <w:rPr>
          <w:rFonts w:ascii="Times New Roman" w:hAnsi="Times New Roman"/>
          <w:b/>
          <w:bCs/>
          <w:sz w:val="24"/>
          <w:szCs w:val="24"/>
        </w:rPr>
        <w:t xml:space="preserve">Legal Lessons Learned:  If you are a drug dealer, be cautious of drones with video cameras. </w:t>
      </w:r>
    </w:p>
    <w:p w14:paraId="7FB2F241" w14:textId="0F04A306" w:rsidR="00A67C57" w:rsidRDefault="00A67C57" w:rsidP="00A06387">
      <w:pPr>
        <w:pStyle w:val="NoSpacing"/>
        <w:rPr>
          <w:b/>
          <w:bCs/>
          <w:sz w:val="24"/>
          <w:szCs w:val="24"/>
        </w:rPr>
      </w:pPr>
    </w:p>
    <w:p w14:paraId="670D9A77" w14:textId="1313CE54" w:rsidR="00A67C57" w:rsidRDefault="00A67C57" w:rsidP="002B1283">
      <w:pPr>
        <w:rPr>
          <w:rFonts w:ascii="Arial Black" w:hAnsi="Arial Black"/>
          <w:b/>
          <w:sz w:val="24"/>
          <w:szCs w:val="24"/>
        </w:rPr>
      </w:pPr>
    </w:p>
    <w:p w14:paraId="11CDF6E0" w14:textId="43645BE2" w:rsidR="00A06387" w:rsidRDefault="00A06387" w:rsidP="00A06387">
      <w:pPr>
        <w:rPr>
          <w:rFonts w:ascii="Arial Black" w:hAnsi="Arial Black"/>
          <w:b/>
          <w:sz w:val="24"/>
          <w:szCs w:val="24"/>
        </w:rPr>
      </w:pPr>
      <w:r>
        <w:rPr>
          <w:rFonts w:ascii="Arial Black" w:hAnsi="Arial Black"/>
          <w:b/>
          <w:sz w:val="24"/>
          <w:szCs w:val="24"/>
        </w:rPr>
        <w:t>1-3</w:t>
      </w:r>
      <w:r w:rsidR="00637A12">
        <w:rPr>
          <w:rFonts w:ascii="Arial Black" w:hAnsi="Arial Black"/>
          <w:b/>
          <w:sz w:val="24"/>
          <w:szCs w:val="24"/>
        </w:rPr>
        <w:t>2</w:t>
      </w:r>
    </w:p>
    <w:p w14:paraId="525842C4" w14:textId="77777777" w:rsidR="00A06387" w:rsidRPr="00C60A81" w:rsidRDefault="00A06387" w:rsidP="00A06387">
      <w:pPr>
        <w:pStyle w:val="NoSpacing"/>
        <w:rPr>
          <w:rFonts w:ascii="Arial Black" w:hAnsi="Arial Black"/>
          <w:sz w:val="28"/>
          <w:szCs w:val="28"/>
        </w:rPr>
      </w:pPr>
      <w:r w:rsidRPr="00C60A81">
        <w:rPr>
          <w:rFonts w:ascii="Arial Black" w:hAnsi="Arial Black"/>
          <w:sz w:val="28"/>
          <w:szCs w:val="28"/>
        </w:rPr>
        <w:t xml:space="preserve">PA:  </w:t>
      </w:r>
      <w:r>
        <w:rPr>
          <w:rFonts w:ascii="Arial Black" w:hAnsi="Arial Black"/>
          <w:sz w:val="28"/>
          <w:szCs w:val="28"/>
        </w:rPr>
        <w:t xml:space="preserve">HOUSE FIRE - </w:t>
      </w:r>
      <w:r w:rsidRPr="00C60A81">
        <w:rPr>
          <w:rFonts w:ascii="Arial Black" w:hAnsi="Arial Black"/>
          <w:sz w:val="28"/>
          <w:szCs w:val="28"/>
        </w:rPr>
        <w:t xml:space="preserve">ARSON </w:t>
      </w:r>
      <w:r>
        <w:rPr>
          <w:rFonts w:ascii="Arial Black" w:hAnsi="Arial Black"/>
          <w:sz w:val="28"/>
          <w:szCs w:val="28"/>
        </w:rPr>
        <w:t xml:space="preserve">SUSPECTED, OWNER BEHIND MORTGAGE – </w:t>
      </w:r>
      <w:r w:rsidRPr="00C60A81">
        <w:rPr>
          <w:rFonts w:ascii="Arial Black" w:hAnsi="Arial Black"/>
          <w:sz w:val="28"/>
          <w:szCs w:val="28"/>
        </w:rPr>
        <w:t>INSUR</w:t>
      </w:r>
      <w:r>
        <w:rPr>
          <w:rFonts w:ascii="Arial Black" w:hAnsi="Arial Black"/>
          <w:sz w:val="28"/>
          <w:szCs w:val="28"/>
        </w:rPr>
        <w:t xml:space="preserve">. CO. PROPERLY DELAYED PAYMENT </w:t>
      </w:r>
    </w:p>
    <w:p w14:paraId="1F064AF2" w14:textId="77777777" w:rsidR="00A06387" w:rsidRDefault="00A06387" w:rsidP="00A06387">
      <w:pPr>
        <w:pStyle w:val="NoSpacing"/>
        <w:rPr>
          <w:rFonts w:ascii="PArial Black" w:hAnsi="PArial Black"/>
          <w:sz w:val="28"/>
          <w:szCs w:val="28"/>
        </w:rPr>
      </w:pPr>
    </w:p>
    <w:p w14:paraId="4F75F56A" w14:textId="77777777" w:rsidR="00A06387" w:rsidRPr="006C7F17" w:rsidRDefault="00A06387" w:rsidP="00A06387">
      <w:pPr>
        <w:pStyle w:val="NoSpacing"/>
        <w:rPr>
          <w:rFonts w:ascii="Times New Roman" w:hAnsi="Times New Roman"/>
          <w:b/>
          <w:bCs/>
          <w:sz w:val="24"/>
          <w:szCs w:val="24"/>
        </w:rPr>
      </w:pPr>
      <w:r w:rsidRPr="006C7F17">
        <w:rPr>
          <w:rFonts w:ascii="Times New Roman" w:hAnsi="Times New Roman"/>
          <w:bCs/>
          <w:sz w:val="24"/>
          <w:szCs w:val="24"/>
        </w:rPr>
        <w:t xml:space="preserve">On Oct. 21, 2019, in </w:t>
      </w:r>
      <w:r w:rsidRPr="006C7F17">
        <w:rPr>
          <w:rFonts w:ascii="Times New Roman" w:hAnsi="Times New Roman"/>
          <w:bCs/>
          <w:sz w:val="24"/>
          <w:szCs w:val="24"/>
          <w:u w:val="single"/>
        </w:rPr>
        <w:t xml:space="preserve">Darlene </w:t>
      </w:r>
      <w:proofErr w:type="spellStart"/>
      <w:r w:rsidRPr="006C7F17">
        <w:rPr>
          <w:rFonts w:ascii="Times New Roman" w:hAnsi="Times New Roman"/>
          <w:bCs/>
          <w:sz w:val="24"/>
          <w:szCs w:val="24"/>
          <w:u w:val="single"/>
        </w:rPr>
        <w:t>Merrone</w:t>
      </w:r>
      <w:proofErr w:type="spellEnd"/>
      <w:r w:rsidRPr="006C7F17">
        <w:rPr>
          <w:rFonts w:ascii="Times New Roman" w:hAnsi="Times New Roman"/>
          <w:bCs/>
          <w:sz w:val="24"/>
          <w:szCs w:val="24"/>
          <w:u w:val="single"/>
        </w:rPr>
        <w:t xml:space="preserve"> v. for Allstate Vehicle </w:t>
      </w:r>
      <w:proofErr w:type="gramStart"/>
      <w:r w:rsidRPr="006C7F17">
        <w:rPr>
          <w:rFonts w:ascii="Times New Roman" w:hAnsi="Times New Roman"/>
          <w:bCs/>
          <w:sz w:val="24"/>
          <w:szCs w:val="24"/>
          <w:u w:val="single"/>
        </w:rPr>
        <w:t>And</w:t>
      </w:r>
      <w:proofErr w:type="gramEnd"/>
      <w:r w:rsidRPr="006C7F17">
        <w:rPr>
          <w:rFonts w:ascii="Times New Roman" w:hAnsi="Times New Roman"/>
          <w:bCs/>
          <w:sz w:val="24"/>
          <w:szCs w:val="24"/>
          <w:u w:val="single"/>
        </w:rPr>
        <w:t xml:space="preserve"> Property Insurance Company</w:t>
      </w:r>
      <w:r w:rsidRPr="006C7F17">
        <w:rPr>
          <w:rFonts w:ascii="Times New Roman" w:hAnsi="Times New Roman"/>
          <w:bCs/>
          <w:sz w:val="24"/>
          <w:szCs w:val="24"/>
        </w:rPr>
        <w:t xml:space="preserve">, U.S. District Court Judge Kim R. Gibson, U.S. District Court for Western District of Pennsylvania, granted summary judgment for Allstate. </w:t>
      </w:r>
    </w:p>
    <w:p w14:paraId="7B54B2A1" w14:textId="77777777" w:rsidR="00A06387" w:rsidRPr="006C7F17" w:rsidRDefault="00A06387" w:rsidP="00A06387">
      <w:pPr>
        <w:pStyle w:val="NoSpacing"/>
        <w:rPr>
          <w:rFonts w:ascii="Times New Roman" w:hAnsi="Times New Roman"/>
          <w:b/>
          <w:bCs/>
          <w:sz w:val="24"/>
          <w:szCs w:val="24"/>
        </w:rPr>
      </w:pPr>
    </w:p>
    <w:p w14:paraId="7B55C37F" w14:textId="77777777" w:rsidR="00A06387" w:rsidRPr="006C7F17" w:rsidRDefault="00A06387" w:rsidP="00A06387">
      <w:pPr>
        <w:pStyle w:val="NoSpacing"/>
        <w:ind w:left="720"/>
        <w:rPr>
          <w:rFonts w:ascii="Times New Roman" w:hAnsi="Times New Roman"/>
          <w:b/>
          <w:bCs/>
          <w:sz w:val="24"/>
          <w:szCs w:val="24"/>
        </w:rPr>
      </w:pPr>
      <w:r w:rsidRPr="006C7F17">
        <w:rPr>
          <w:rFonts w:ascii="Times New Roman" w:hAnsi="Times New Roman"/>
          <w:bCs/>
          <w:sz w:val="24"/>
          <w:szCs w:val="24"/>
        </w:rPr>
        <w:t xml:space="preserve">“Because payment of the insurance proceeds negates any breach of contract action, Allstate has paid the policy limits on both the structure and ALE claims, and Plaintiff has not presented any evidence that Allstate has failed to compensate her for lost personal property, Plaintiff's claim must fail. Plaintiff argues that Allstate breached the insurance contract by failing to pay her claim once it was clear that Allstate could not prove arson. (ECF No. 28 at 9.) Allstate responds that it had a reasonable basis to investigate and delay payment. For the reasons discussed in depth above, Plaintiff has not shown that Allstate did not have a reasonable basis to investigate and delay payment, so this delay cannot form the basis of a breach of </w:t>
      </w:r>
      <w:proofErr w:type="gramStart"/>
      <w:r w:rsidRPr="006C7F17">
        <w:rPr>
          <w:rFonts w:ascii="Times New Roman" w:hAnsi="Times New Roman"/>
          <w:bCs/>
          <w:sz w:val="24"/>
          <w:szCs w:val="24"/>
        </w:rPr>
        <w:t>contract.”</w:t>
      </w:r>
      <w:proofErr w:type="gramEnd"/>
      <w:r w:rsidRPr="006C7F17">
        <w:rPr>
          <w:rFonts w:ascii="Times New Roman" w:hAnsi="Times New Roman"/>
          <w:bCs/>
          <w:sz w:val="24"/>
          <w:szCs w:val="24"/>
        </w:rPr>
        <w:t xml:space="preserve">  </w:t>
      </w:r>
    </w:p>
    <w:p w14:paraId="5E2BD35B" w14:textId="48987128" w:rsidR="00A06387" w:rsidRPr="006C7F17" w:rsidRDefault="006C7F17" w:rsidP="006C7F17">
      <w:pPr>
        <w:ind w:left="720"/>
        <w:rPr>
          <w:rFonts w:ascii="Times New Roman" w:hAnsi="Times New Roman"/>
          <w:b/>
          <w:sz w:val="24"/>
          <w:szCs w:val="24"/>
        </w:rPr>
      </w:pPr>
      <w:hyperlink r:id="rId337" w:history="1">
        <w:r w:rsidRPr="002F304C">
          <w:rPr>
            <w:rStyle w:val="Hyperlink"/>
            <w:rFonts w:ascii="Times New Roman" w:hAnsi="Times New Roman"/>
            <w:bCs/>
            <w:sz w:val="24"/>
            <w:szCs w:val="24"/>
          </w:rPr>
          <w:t>https://cases.justia.com/federal/district-courts/pennsylvania/pawdce/3:2018cv00193/249675/37/0.pdf?ts=1571736238</w:t>
        </w:r>
      </w:hyperlink>
    </w:p>
    <w:p w14:paraId="6BDBD660" w14:textId="77777777" w:rsidR="00A06387" w:rsidRPr="006C7F17" w:rsidRDefault="00A06387" w:rsidP="00A06387">
      <w:pPr>
        <w:pStyle w:val="NoSpacing"/>
        <w:rPr>
          <w:rFonts w:ascii="Times New Roman" w:hAnsi="Times New Roman"/>
          <w:b/>
          <w:bCs/>
          <w:sz w:val="24"/>
          <w:szCs w:val="24"/>
        </w:rPr>
      </w:pPr>
      <w:r w:rsidRPr="006C7F17">
        <w:rPr>
          <w:rFonts w:ascii="Times New Roman" w:hAnsi="Times New Roman"/>
          <w:b/>
          <w:bCs/>
          <w:sz w:val="24"/>
          <w:szCs w:val="24"/>
        </w:rPr>
        <w:t xml:space="preserve">Legal Lessons Learned: “Red flags” were certainly flying in this case.  </w:t>
      </w:r>
    </w:p>
    <w:p w14:paraId="35AD5C64" w14:textId="3CEF3DE9" w:rsidR="00A06387" w:rsidRDefault="00A06387" w:rsidP="002B1283">
      <w:pPr>
        <w:rPr>
          <w:rFonts w:ascii="Arial Black" w:hAnsi="Arial Black"/>
          <w:b/>
          <w:sz w:val="24"/>
          <w:szCs w:val="24"/>
        </w:rPr>
      </w:pPr>
    </w:p>
    <w:p w14:paraId="4126F2F4" w14:textId="77777777" w:rsidR="00A67C57" w:rsidRDefault="00A67C57" w:rsidP="002B1283">
      <w:pPr>
        <w:rPr>
          <w:rFonts w:ascii="Arial Black" w:hAnsi="Arial Black"/>
          <w:b/>
          <w:sz w:val="24"/>
          <w:szCs w:val="24"/>
        </w:rPr>
      </w:pPr>
    </w:p>
    <w:p w14:paraId="5ABB4BC7" w14:textId="77777777" w:rsidR="00A06387" w:rsidRDefault="00A06387" w:rsidP="002B1283">
      <w:pPr>
        <w:rPr>
          <w:rFonts w:ascii="Arial Black" w:hAnsi="Arial Black"/>
          <w:b/>
          <w:sz w:val="24"/>
          <w:szCs w:val="24"/>
        </w:rPr>
      </w:pPr>
    </w:p>
    <w:p w14:paraId="12296DC6" w14:textId="2C667427" w:rsidR="005A414F" w:rsidRDefault="005A414F" w:rsidP="002B1283">
      <w:pPr>
        <w:rPr>
          <w:rFonts w:ascii="Arial Black" w:hAnsi="Arial Black"/>
          <w:b/>
          <w:sz w:val="24"/>
          <w:szCs w:val="24"/>
        </w:rPr>
      </w:pPr>
      <w:r>
        <w:rPr>
          <w:rFonts w:ascii="Arial Black" w:hAnsi="Arial Black"/>
          <w:b/>
          <w:sz w:val="24"/>
          <w:szCs w:val="24"/>
        </w:rPr>
        <w:t>1-</w:t>
      </w:r>
      <w:r w:rsidR="00637A12">
        <w:rPr>
          <w:rFonts w:ascii="Arial Black" w:hAnsi="Arial Black"/>
          <w:b/>
          <w:sz w:val="24"/>
          <w:szCs w:val="24"/>
        </w:rPr>
        <w:t>31</w:t>
      </w:r>
    </w:p>
    <w:p w14:paraId="5E3ABD8C" w14:textId="77777777" w:rsidR="005A414F" w:rsidRDefault="005A414F" w:rsidP="005A414F">
      <w:pPr>
        <w:rPr>
          <w:rFonts w:ascii="Arial Black" w:hAnsi="Arial Black"/>
          <w:sz w:val="28"/>
          <w:szCs w:val="28"/>
        </w:rPr>
      </w:pPr>
      <w:r w:rsidRPr="007313FF">
        <w:rPr>
          <w:rFonts w:ascii="Arial Black" w:hAnsi="Arial Black"/>
          <w:sz w:val="28"/>
          <w:szCs w:val="28"/>
        </w:rPr>
        <w:t xml:space="preserve">CA: </w:t>
      </w:r>
      <w:r>
        <w:rPr>
          <w:rFonts w:ascii="Arial Black" w:hAnsi="Arial Black"/>
          <w:sz w:val="28"/>
          <w:szCs w:val="28"/>
        </w:rPr>
        <w:t xml:space="preserve"> ARSON - FF TESTIFIED AGAIN GIRLFRIEND – SHE ADMITTED ARSON CAR FIRE – HE WAS NOT ACCOMPLICE, NO JURY INSTRUCTION NEEDED</w:t>
      </w:r>
    </w:p>
    <w:p w14:paraId="75AF396B" w14:textId="170C65C2" w:rsidR="005A414F" w:rsidRDefault="005A414F" w:rsidP="005A414F">
      <w:pPr>
        <w:rPr>
          <w:rStyle w:val="Hyperlink"/>
          <w:rFonts w:ascii="Times New Roman" w:hAnsi="Times New Roman"/>
          <w:sz w:val="24"/>
          <w:szCs w:val="24"/>
        </w:rPr>
      </w:pPr>
      <w:r w:rsidRPr="005F65FF">
        <w:rPr>
          <w:rFonts w:ascii="Times New Roman" w:hAnsi="Times New Roman"/>
          <w:sz w:val="24"/>
          <w:szCs w:val="24"/>
        </w:rPr>
        <w:lastRenderedPageBreak/>
        <w:t>On</w:t>
      </w:r>
      <w:r>
        <w:rPr>
          <w:rFonts w:ascii="Times New Roman" w:hAnsi="Times New Roman"/>
          <w:sz w:val="24"/>
          <w:szCs w:val="24"/>
        </w:rPr>
        <w:t xml:space="preserve"> Aug. 29, 2019, in </w:t>
      </w:r>
      <w:r w:rsidRPr="00D929D6">
        <w:rPr>
          <w:rFonts w:ascii="Times New Roman" w:hAnsi="Times New Roman"/>
          <w:sz w:val="24"/>
          <w:szCs w:val="24"/>
          <w:u w:val="single"/>
        </w:rPr>
        <w:t>The People v. Crystal Lynn Rothgery</w:t>
      </w:r>
      <w:r w:rsidRPr="00D929D6">
        <w:rPr>
          <w:rFonts w:ascii="Times New Roman" w:hAnsi="Times New Roman"/>
          <w:sz w:val="24"/>
          <w:szCs w:val="24"/>
        </w:rPr>
        <w:t>, the</w:t>
      </w:r>
      <w:r>
        <w:rPr>
          <w:rFonts w:ascii="Times New Roman" w:hAnsi="Times New Roman"/>
          <w:sz w:val="24"/>
          <w:szCs w:val="24"/>
          <w:u w:val="single"/>
        </w:rPr>
        <w:t xml:space="preserve"> </w:t>
      </w:r>
      <w:r w:rsidRPr="005238A8">
        <w:rPr>
          <w:rFonts w:ascii="Times New Roman" w:hAnsi="Times New Roman"/>
          <w:sz w:val="24"/>
          <w:szCs w:val="24"/>
        </w:rPr>
        <w:t xml:space="preserve">Court of Appeal of State of California, Third Appellate District, </w:t>
      </w:r>
      <w:r>
        <w:rPr>
          <w:rFonts w:ascii="Times New Roman" w:hAnsi="Times New Roman"/>
          <w:sz w:val="24"/>
          <w:szCs w:val="24"/>
        </w:rPr>
        <w:t xml:space="preserve">in an unpublished opinion, denied (3 to 0) her appeal of jury conviction of arson.   The trial judge did not need to instructor jury about being suspicious of accomplice testimony since no evidence that her boyfriend [a “wilderness firefighter”] was involved in the car fire. </w:t>
      </w:r>
      <w:hyperlink r:id="rId338" w:history="1">
        <w:r w:rsidRPr="0075063D">
          <w:rPr>
            <w:rStyle w:val="Hyperlink"/>
            <w:rFonts w:ascii="Times New Roman" w:hAnsi="Times New Roman"/>
            <w:sz w:val="24"/>
            <w:szCs w:val="24"/>
          </w:rPr>
          <w:t>https://www.courts.ca.gov/opinions/nonpub/C087060.PDF</w:t>
        </w:r>
      </w:hyperlink>
    </w:p>
    <w:p w14:paraId="484410AA" w14:textId="77777777" w:rsidR="005A414F" w:rsidRDefault="005A414F" w:rsidP="005A414F">
      <w:pPr>
        <w:rPr>
          <w:rFonts w:ascii="Times New Roman" w:hAnsi="Times New Roman"/>
          <w:sz w:val="24"/>
          <w:szCs w:val="24"/>
        </w:rPr>
      </w:pPr>
      <w:r w:rsidRPr="00285E04">
        <w:rPr>
          <w:rFonts w:ascii="Times New Roman" w:hAnsi="Times New Roman"/>
          <w:sz w:val="24"/>
          <w:szCs w:val="24"/>
        </w:rPr>
        <w:t>The Court wrote:</w:t>
      </w:r>
    </w:p>
    <w:p w14:paraId="76402338" w14:textId="77777777" w:rsidR="005A414F" w:rsidRPr="007E4C13" w:rsidRDefault="005A414F" w:rsidP="005A414F">
      <w:pPr>
        <w:pStyle w:val="NoSpacing"/>
        <w:ind w:left="1440"/>
        <w:rPr>
          <w:rFonts w:ascii="Times New Roman" w:hAnsi="Times New Roman"/>
          <w:sz w:val="24"/>
          <w:szCs w:val="24"/>
        </w:rPr>
      </w:pPr>
      <w:r>
        <w:rPr>
          <w:rFonts w:ascii="Times New Roman" w:hAnsi="Times New Roman"/>
          <w:sz w:val="24"/>
          <w:szCs w:val="24"/>
        </w:rPr>
        <w:t>“</w:t>
      </w:r>
      <w:r w:rsidRPr="007E4C13">
        <w:rPr>
          <w:rFonts w:ascii="Times New Roman" w:hAnsi="Times New Roman"/>
          <w:sz w:val="24"/>
          <w:szCs w:val="24"/>
        </w:rPr>
        <w:t xml:space="preserve">Here, the trial court was not required to instruct the jury </w:t>
      </w:r>
      <w:proofErr w:type="spellStart"/>
      <w:r w:rsidRPr="007E4C13">
        <w:rPr>
          <w:rFonts w:ascii="Times New Roman" w:hAnsi="Times New Roman"/>
          <w:sz w:val="24"/>
          <w:szCs w:val="24"/>
        </w:rPr>
        <w:t>sua</w:t>
      </w:r>
      <w:proofErr w:type="spellEnd"/>
      <w:r w:rsidRPr="007E4C13">
        <w:rPr>
          <w:rFonts w:ascii="Times New Roman" w:hAnsi="Times New Roman"/>
          <w:sz w:val="24"/>
          <w:szCs w:val="24"/>
        </w:rPr>
        <w:t xml:space="preserve"> sponte on accomplice testimony because there was no evidence from which a reasonable jury could find Hoskey was an accomplice. To be an accomplice, one </w:t>
      </w:r>
      <w:proofErr w:type="gramStart"/>
      <w:r w:rsidRPr="007E4C13">
        <w:rPr>
          <w:rFonts w:ascii="Times New Roman" w:hAnsi="Times New Roman"/>
          <w:sz w:val="24"/>
          <w:szCs w:val="24"/>
        </w:rPr>
        <w:t>must,</w:t>
      </w:r>
      <w:r>
        <w:rPr>
          <w:rFonts w:ascii="Times New Roman" w:hAnsi="Times New Roman"/>
          <w:sz w:val="24"/>
          <w:szCs w:val="24"/>
        </w:rPr>
        <w:t xml:space="preserve"> </w:t>
      </w:r>
      <w:r w:rsidRPr="007E4C13">
        <w:rPr>
          <w:rFonts w:ascii="Times New Roman" w:hAnsi="Times New Roman"/>
          <w:sz w:val="24"/>
          <w:szCs w:val="24"/>
        </w:rPr>
        <w:t>‘</w:t>
      </w:r>
      <w:proofErr w:type="gramEnd"/>
      <w:r w:rsidRPr="007E4C13">
        <w:rPr>
          <w:rFonts w:ascii="Times New Roman" w:hAnsi="Times New Roman"/>
          <w:sz w:val="24"/>
          <w:szCs w:val="24"/>
        </w:rPr>
        <w:t>act with knowledge of the criminal purpose of the perpetrator and</w:t>
      </w:r>
      <w:r>
        <w:rPr>
          <w:rFonts w:ascii="Times New Roman" w:hAnsi="Times New Roman"/>
          <w:sz w:val="24"/>
          <w:szCs w:val="24"/>
        </w:rPr>
        <w:t xml:space="preserve"> </w:t>
      </w:r>
      <w:r w:rsidRPr="007E4C13">
        <w:rPr>
          <w:rFonts w:ascii="Times New Roman" w:hAnsi="Times New Roman"/>
          <w:sz w:val="24"/>
          <w:szCs w:val="24"/>
        </w:rPr>
        <w:t>with an intent or purpose either of committing, or of encouraging or facilitating commission of, the offense.’ (People v. Stankewitz (1990) 51 Cal.3d 72, 90-91.)</w:t>
      </w:r>
      <w:r>
        <w:rPr>
          <w:rFonts w:ascii="Times New Roman" w:hAnsi="Times New Roman"/>
          <w:sz w:val="24"/>
          <w:szCs w:val="24"/>
        </w:rPr>
        <w:t xml:space="preserve">  </w:t>
      </w:r>
      <w:r w:rsidRPr="007E4C13">
        <w:rPr>
          <w:rFonts w:ascii="Times New Roman" w:hAnsi="Times New Roman"/>
          <w:sz w:val="24"/>
          <w:szCs w:val="24"/>
        </w:rPr>
        <w:t>In arguing Hoskey was an accomplice, defendant cites no evidence to satisfy these elements.</w:t>
      </w:r>
      <w:r>
        <w:rPr>
          <w:rFonts w:ascii="Times New Roman" w:hAnsi="Times New Roman"/>
          <w:sz w:val="24"/>
          <w:szCs w:val="24"/>
        </w:rPr>
        <w:t>”</w:t>
      </w:r>
    </w:p>
    <w:p w14:paraId="51A88005" w14:textId="77777777" w:rsidR="005A414F" w:rsidRDefault="005A414F" w:rsidP="005A414F">
      <w:pPr>
        <w:rPr>
          <w:rStyle w:val="Hyperlink"/>
          <w:rFonts w:ascii="Times New Roman" w:hAnsi="Times New Roman"/>
          <w:sz w:val="24"/>
          <w:szCs w:val="24"/>
        </w:rPr>
      </w:pPr>
    </w:p>
    <w:p w14:paraId="204CC706" w14:textId="569889B0" w:rsidR="005A414F" w:rsidRDefault="005A414F" w:rsidP="005A414F">
      <w:pPr>
        <w:pStyle w:val="NoSpacing"/>
        <w:rPr>
          <w:rFonts w:ascii="Times New Roman" w:hAnsi="Times New Roman"/>
          <w:b/>
          <w:bCs/>
          <w:sz w:val="24"/>
          <w:szCs w:val="24"/>
        </w:rPr>
      </w:pPr>
      <w:r w:rsidRPr="00F524F6">
        <w:rPr>
          <w:rFonts w:ascii="Times New Roman" w:hAnsi="Times New Roman"/>
          <w:b/>
          <w:bCs/>
          <w:sz w:val="24"/>
          <w:szCs w:val="24"/>
        </w:rPr>
        <w:t xml:space="preserve">Legal Lessons Learned: </w:t>
      </w:r>
      <w:r>
        <w:rPr>
          <w:rFonts w:ascii="Times New Roman" w:hAnsi="Times New Roman"/>
          <w:b/>
          <w:bCs/>
          <w:sz w:val="24"/>
          <w:szCs w:val="24"/>
        </w:rPr>
        <w:t xml:space="preserve">No proof this “wilderness firefighter” was involved in his live-in girlfriend’s arson.  </w:t>
      </w:r>
    </w:p>
    <w:p w14:paraId="6DC9502B" w14:textId="77777777" w:rsidR="00E26EA8" w:rsidRDefault="00E26EA8" w:rsidP="005A414F">
      <w:pPr>
        <w:pStyle w:val="NoSpacing"/>
        <w:rPr>
          <w:rFonts w:ascii="Times New Roman" w:hAnsi="Times New Roman"/>
          <w:b/>
          <w:bCs/>
          <w:sz w:val="24"/>
          <w:szCs w:val="24"/>
        </w:rPr>
      </w:pPr>
    </w:p>
    <w:p w14:paraId="2A4D2958" w14:textId="77777777" w:rsidR="00715CF2" w:rsidRDefault="00715CF2" w:rsidP="002B1283">
      <w:pPr>
        <w:rPr>
          <w:rFonts w:ascii="Arial Black" w:hAnsi="Arial Black"/>
          <w:b/>
          <w:sz w:val="24"/>
          <w:szCs w:val="24"/>
        </w:rPr>
      </w:pPr>
    </w:p>
    <w:p w14:paraId="4EEE914F" w14:textId="0C8E98AD" w:rsidR="00791CA3" w:rsidRDefault="00791CA3" w:rsidP="002B1283">
      <w:pPr>
        <w:rPr>
          <w:rFonts w:ascii="Arial Black" w:hAnsi="Arial Black"/>
          <w:sz w:val="28"/>
          <w:szCs w:val="28"/>
        </w:rPr>
      </w:pPr>
      <w:r w:rsidRPr="00791CA3">
        <w:rPr>
          <w:rFonts w:ascii="Arial Black" w:hAnsi="Arial Black"/>
          <w:b/>
          <w:sz w:val="24"/>
          <w:szCs w:val="24"/>
        </w:rPr>
        <w:t>1-</w:t>
      </w:r>
      <w:r w:rsidR="00637A12">
        <w:rPr>
          <w:rFonts w:ascii="Arial Black" w:hAnsi="Arial Black"/>
          <w:b/>
          <w:sz w:val="24"/>
          <w:szCs w:val="24"/>
        </w:rPr>
        <w:t>30</w:t>
      </w:r>
    </w:p>
    <w:p w14:paraId="29D072AB" w14:textId="54FED2EC" w:rsidR="002B1283" w:rsidRDefault="002B1283" w:rsidP="002B1283">
      <w:pPr>
        <w:rPr>
          <w:rFonts w:ascii="Arial Black" w:hAnsi="Arial Black"/>
          <w:sz w:val="28"/>
          <w:szCs w:val="28"/>
        </w:rPr>
      </w:pPr>
      <w:r>
        <w:rPr>
          <w:rFonts w:ascii="Arial Black" w:hAnsi="Arial Black"/>
          <w:sz w:val="28"/>
          <w:szCs w:val="28"/>
        </w:rPr>
        <w:t>IL: COMMERCIAL BUILDING FIRE ALARMS MUST GO DIRECT TO 911 DISPATCH – ORDINANCE REQ. ONE PROVIDER UPHELD</w:t>
      </w:r>
    </w:p>
    <w:p w14:paraId="3CCBDA25" w14:textId="77777777" w:rsidR="002B1283" w:rsidRDefault="002B1283" w:rsidP="002B1283">
      <w:pPr>
        <w:rPr>
          <w:rFonts w:ascii="Times New Roman" w:hAnsi="Times New Roman"/>
          <w:sz w:val="24"/>
          <w:szCs w:val="24"/>
        </w:rPr>
      </w:pPr>
      <w:r w:rsidRPr="00C338B2">
        <w:rPr>
          <w:rFonts w:ascii="Times New Roman" w:hAnsi="Times New Roman"/>
          <w:sz w:val="24"/>
          <w:szCs w:val="24"/>
        </w:rPr>
        <w:t xml:space="preserve">On July 15, 2019, in </w:t>
      </w:r>
      <w:r w:rsidRPr="00C338B2">
        <w:rPr>
          <w:rFonts w:ascii="Times New Roman" w:hAnsi="Times New Roman"/>
          <w:sz w:val="24"/>
          <w:szCs w:val="24"/>
          <w:u w:val="single"/>
        </w:rPr>
        <w:t>Alarm Detection Systems, Inc. v. Orland Fire Protect District, et al</w:t>
      </w:r>
      <w:r w:rsidRPr="00C338B2">
        <w:rPr>
          <w:rFonts w:ascii="Times New Roman" w:hAnsi="Times New Roman"/>
          <w:sz w:val="24"/>
          <w:szCs w:val="24"/>
        </w:rPr>
        <w:t xml:space="preserve">, </w:t>
      </w:r>
      <w:r>
        <w:rPr>
          <w:rFonts w:ascii="Times New Roman" w:hAnsi="Times New Roman"/>
          <w:sz w:val="24"/>
          <w:szCs w:val="24"/>
        </w:rPr>
        <w:t>the U.S. Court of Appeals for 7</w:t>
      </w:r>
      <w:r w:rsidRPr="00C338B2">
        <w:rPr>
          <w:rFonts w:ascii="Times New Roman" w:hAnsi="Times New Roman"/>
          <w:sz w:val="24"/>
          <w:szCs w:val="24"/>
          <w:vertAlign w:val="superscript"/>
        </w:rPr>
        <w:t>th</w:t>
      </w:r>
      <w:r>
        <w:rPr>
          <w:rFonts w:ascii="Times New Roman" w:hAnsi="Times New Roman"/>
          <w:sz w:val="24"/>
          <w:szCs w:val="24"/>
        </w:rPr>
        <w:t xml:space="preserve"> Circuit held (3 to 0) that ordinances by several Villages were lawful and no violation of Sherman Antitrust Act. </w:t>
      </w:r>
    </w:p>
    <w:p w14:paraId="737C96FA" w14:textId="77777777" w:rsidR="002B1283" w:rsidRDefault="002B1283" w:rsidP="002B1283">
      <w:pPr>
        <w:pStyle w:val="NoSpacing"/>
        <w:ind w:left="720"/>
        <w:rPr>
          <w:rFonts w:ascii="Times New Roman" w:hAnsi="Times New Roman"/>
          <w:sz w:val="24"/>
          <w:szCs w:val="24"/>
        </w:rPr>
      </w:pPr>
      <w:r>
        <w:rPr>
          <w:rFonts w:ascii="Times New Roman" w:hAnsi="Times New Roman"/>
          <w:sz w:val="24"/>
          <w:szCs w:val="24"/>
        </w:rPr>
        <w:t>“</w:t>
      </w:r>
      <w:r w:rsidRPr="00100A56">
        <w:rPr>
          <w:rFonts w:ascii="Times New Roman" w:hAnsi="Times New Roman"/>
          <w:sz w:val="24"/>
          <w:szCs w:val="24"/>
        </w:rPr>
        <w:t>ADS worries that without introducing competition against Tyco the alarm-system market will stagnate; Tyco will have little reason to innovate and more flexibility to charge high prices. We are not unsympathetic to the point, in theory. But ADS had its chance at trial to demonstrate to the district court that its alternative methods can work in an RSS system, and it did not. And no one should lose sight of the fact that competition for the exclusive contract is competition.</w:t>
      </w:r>
      <w:r>
        <w:rPr>
          <w:rFonts w:ascii="Times New Roman" w:hAnsi="Times New Roman"/>
          <w:sz w:val="24"/>
          <w:szCs w:val="24"/>
        </w:rPr>
        <w:t>”</w:t>
      </w:r>
    </w:p>
    <w:p w14:paraId="0DB8F759" w14:textId="77777777" w:rsidR="002B1283" w:rsidRDefault="002B1283" w:rsidP="002B1283">
      <w:pPr>
        <w:ind w:left="720"/>
      </w:pPr>
      <w:hyperlink r:id="rId339" w:history="1">
        <w:r w:rsidRPr="00455844">
          <w:rPr>
            <w:rStyle w:val="Hyperlink"/>
          </w:rPr>
          <w:t>https://cases.justia.com/federal/appellate-courts/ca7/18-2926/18-2926-2019-07-15.pdf?ts=1563219019</w:t>
        </w:r>
      </w:hyperlink>
      <w:r>
        <w:t xml:space="preserve"> </w:t>
      </w:r>
    </w:p>
    <w:p w14:paraId="6EB00456" w14:textId="3BE822F9" w:rsidR="002B1283" w:rsidRDefault="002B1283" w:rsidP="002B1283">
      <w:pPr>
        <w:rPr>
          <w:rFonts w:ascii="Times New Roman" w:hAnsi="Times New Roman"/>
          <w:b/>
          <w:bCs/>
          <w:sz w:val="24"/>
          <w:szCs w:val="24"/>
        </w:rPr>
      </w:pPr>
      <w:r w:rsidRPr="00100A56">
        <w:rPr>
          <w:rFonts w:ascii="Times New Roman" w:hAnsi="Times New Roman"/>
          <w:b/>
          <w:bCs/>
          <w:sz w:val="24"/>
          <w:szCs w:val="24"/>
        </w:rPr>
        <w:t xml:space="preserve">Legal Lessons Learned: </w:t>
      </w:r>
      <w:r>
        <w:rPr>
          <w:rFonts w:ascii="Times New Roman" w:hAnsi="Times New Roman"/>
          <w:b/>
          <w:bCs/>
          <w:sz w:val="24"/>
          <w:szCs w:val="24"/>
        </w:rPr>
        <w:t xml:space="preserve"> The Court of Appeals upheld the findings of the U.S. District Court judge, who held a 6-day bench [non-jury] trial, and referenced NFPA 72 and the safety need for an exclusive fire-alarm provider.  </w:t>
      </w:r>
    </w:p>
    <w:p w14:paraId="0B7D4E64" w14:textId="149D5C28" w:rsidR="0097592D" w:rsidRPr="0097592D" w:rsidRDefault="0097592D" w:rsidP="002B1283">
      <w:pPr>
        <w:rPr>
          <w:rFonts w:ascii="Times New Roman" w:hAnsi="Times New Roman"/>
          <w:sz w:val="24"/>
          <w:szCs w:val="24"/>
        </w:rPr>
      </w:pPr>
    </w:p>
    <w:p w14:paraId="2A31529E" w14:textId="77777777" w:rsidR="00F326E5" w:rsidRDefault="00F326E5" w:rsidP="00F326E5">
      <w:pPr>
        <w:pStyle w:val="NoSpacing"/>
        <w:rPr>
          <w:rFonts w:ascii="Times New Roman" w:hAnsi="Times New Roman"/>
          <w:sz w:val="24"/>
          <w:szCs w:val="24"/>
        </w:rPr>
      </w:pPr>
    </w:p>
    <w:p w14:paraId="5AC1EE6D" w14:textId="48B9E2F1" w:rsidR="005A414F" w:rsidRDefault="005A414F" w:rsidP="00791CA3">
      <w:pPr>
        <w:rPr>
          <w:rFonts w:ascii="Arial Black" w:hAnsi="Arial Black"/>
          <w:b/>
          <w:sz w:val="24"/>
          <w:szCs w:val="24"/>
        </w:rPr>
      </w:pPr>
      <w:r>
        <w:rPr>
          <w:rFonts w:ascii="Arial Black" w:hAnsi="Arial Black"/>
          <w:b/>
          <w:sz w:val="24"/>
          <w:szCs w:val="24"/>
        </w:rPr>
        <w:t>1-2</w:t>
      </w:r>
      <w:r w:rsidR="00637A12">
        <w:rPr>
          <w:rFonts w:ascii="Arial Black" w:hAnsi="Arial Black"/>
          <w:b/>
          <w:sz w:val="24"/>
          <w:szCs w:val="24"/>
        </w:rPr>
        <w:t>9</w:t>
      </w:r>
    </w:p>
    <w:p w14:paraId="4D276FD2" w14:textId="77777777" w:rsidR="005A414F" w:rsidRPr="00A95E8D" w:rsidRDefault="005A414F" w:rsidP="005A414F">
      <w:pPr>
        <w:rPr>
          <w:rFonts w:ascii="Arial Black" w:hAnsi="Arial Black"/>
          <w:sz w:val="28"/>
          <w:szCs w:val="28"/>
        </w:rPr>
      </w:pPr>
      <w:r w:rsidRPr="00A95E8D">
        <w:rPr>
          <w:rFonts w:ascii="Arial Black" w:hAnsi="Arial Black"/>
          <w:sz w:val="28"/>
          <w:szCs w:val="28"/>
        </w:rPr>
        <w:lastRenderedPageBreak/>
        <w:t>U.S. SUP</w:t>
      </w:r>
      <w:r>
        <w:rPr>
          <w:rFonts w:ascii="Arial Black" w:hAnsi="Arial Black"/>
          <w:sz w:val="28"/>
          <w:szCs w:val="28"/>
        </w:rPr>
        <w:t>REME CT: DRUNK DRIVER UNCONSCIOUS – BLOOD DRAW WITHOUT SEARCH WARRANT PERMITTED - EXIGENT CIRCUMSTANCES</w:t>
      </w:r>
    </w:p>
    <w:p w14:paraId="7CF99BE9" w14:textId="77777777" w:rsidR="005A414F" w:rsidRDefault="005A414F" w:rsidP="005A414F">
      <w:pPr>
        <w:rPr>
          <w:rFonts w:ascii="Times New Roman" w:hAnsi="Times New Roman"/>
          <w:sz w:val="24"/>
          <w:szCs w:val="24"/>
        </w:rPr>
      </w:pPr>
      <w:r>
        <w:rPr>
          <w:rFonts w:ascii="Times New Roman" w:hAnsi="Times New Roman"/>
          <w:sz w:val="24"/>
          <w:szCs w:val="24"/>
        </w:rPr>
        <w:t xml:space="preserve">On June 27, 2019, in </w:t>
      </w:r>
      <w:r w:rsidRPr="000D023B">
        <w:rPr>
          <w:rFonts w:ascii="Times New Roman" w:hAnsi="Times New Roman"/>
          <w:sz w:val="24"/>
          <w:szCs w:val="24"/>
          <w:u w:val="single"/>
        </w:rPr>
        <w:t>Mitchell v. Wisconsin</w:t>
      </w:r>
      <w:r>
        <w:rPr>
          <w:rFonts w:ascii="Times New Roman" w:hAnsi="Times New Roman"/>
          <w:sz w:val="24"/>
          <w:szCs w:val="24"/>
        </w:rPr>
        <w:t xml:space="preserve">, the U.S. Supreme Court held (5 to 4), on the defendant’s appeal from decision of the Wisconsin Supreme Court, that when the driver is unconscious, and cannot be given a breath test, they may generally obtain a blood draw at a hospital without a search warrant under the “exigent circumstances” doctrine.  </w:t>
      </w:r>
      <w:hyperlink r:id="rId340" w:history="1">
        <w:r w:rsidRPr="00DD407F">
          <w:rPr>
            <w:rStyle w:val="Hyperlink"/>
            <w:rFonts w:ascii="Times New Roman" w:hAnsi="Times New Roman"/>
            <w:sz w:val="24"/>
            <w:szCs w:val="24"/>
          </w:rPr>
          <w:t>https://www.supremecourt.gov/opinions/18pdf/18-6210_2co3.pdf</w:t>
        </w:r>
      </w:hyperlink>
      <w:r>
        <w:rPr>
          <w:rFonts w:ascii="Times New Roman" w:hAnsi="Times New Roman"/>
          <w:sz w:val="24"/>
          <w:szCs w:val="24"/>
        </w:rPr>
        <w:t xml:space="preserve"> </w:t>
      </w:r>
    </w:p>
    <w:p w14:paraId="0EDF2492" w14:textId="77777777" w:rsidR="005A414F" w:rsidRPr="00230C85" w:rsidRDefault="005A414F" w:rsidP="005A414F">
      <w:pPr>
        <w:pStyle w:val="NoSpacing"/>
        <w:rPr>
          <w:rFonts w:ascii="Times New Roman" w:hAnsi="Times New Roman"/>
          <w:b/>
          <w:bCs/>
          <w:sz w:val="24"/>
          <w:szCs w:val="24"/>
        </w:rPr>
      </w:pPr>
      <w:r w:rsidRPr="00230C85">
        <w:rPr>
          <w:rFonts w:ascii="Times New Roman" w:hAnsi="Times New Roman"/>
          <w:b/>
          <w:bCs/>
          <w:sz w:val="24"/>
          <w:szCs w:val="24"/>
        </w:rPr>
        <w:t xml:space="preserve">Legal Lessons Learned: </w:t>
      </w:r>
      <w:r>
        <w:rPr>
          <w:rFonts w:ascii="Times New Roman" w:hAnsi="Times New Roman"/>
          <w:b/>
          <w:bCs/>
          <w:sz w:val="24"/>
          <w:szCs w:val="24"/>
        </w:rPr>
        <w:t xml:space="preserve">Very helpful majority decision, expanding the “exigent circumstances” doctrine, to allow police to rapidly obtain blood draws without a search warrant. </w:t>
      </w:r>
    </w:p>
    <w:p w14:paraId="7003CA67" w14:textId="77777777" w:rsidR="000D5056" w:rsidRDefault="000D5056" w:rsidP="005A414F">
      <w:pPr>
        <w:ind w:firstLine="720"/>
        <w:rPr>
          <w:rFonts w:ascii="Times New Roman" w:hAnsi="Times New Roman"/>
          <w:sz w:val="24"/>
          <w:szCs w:val="24"/>
        </w:rPr>
      </w:pPr>
    </w:p>
    <w:p w14:paraId="609A942C" w14:textId="502D2C28" w:rsidR="005A414F" w:rsidRDefault="005A414F" w:rsidP="005A414F">
      <w:pPr>
        <w:ind w:firstLine="720"/>
        <w:rPr>
          <w:rFonts w:ascii="Times New Roman" w:hAnsi="Times New Roman"/>
          <w:sz w:val="24"/>
          <w:szCs w:val="24"/>
        </w:rPr>
      </w:pPr>
      <w:r>
        <w:rPr>
          <w:rFonts w:ascii="Times New Roman" w:hAnsi="Times New Roman"/>
          <w:sz w:val="24"/>
          <w:szCs w:val="24"/>
        </w:rPr>
        <w:t xml:space="preserve">Justice Samuel Alito wrote the majority opinion: </w:t>
      </w:r>
    </w:p>
    <w:p w14:paraId="25335525" w14:textId="02D5DFF3" w:rsidR="005A414F" w:rsidRDefault="005A414F" w:rsidP="005A414F">
      <w:pPr>
        <w:ind w:left="1440"/>
        <w:rPr>
          <w:rFonts w:ascii="Times New Roman" w:hAnsi="Times New Roman"/>
          <w:sz w:val="24"/>
          <w:szCs w:val="24"/>
        </w:rPr>
      </w:pPr>
      <w:r>
        <w:rPr>
          <w:rFonts w:ascii="Times New Roman" w:hAnsi="Times New Roman"/>
          <w:sz w:val="24"/>
          <w:szCs w:val="24"/>
        </w:rPr>
        <w:t>“</w:t>
      </w:r>
      <w:r w:rsidRPr="00A95E8D">
        <w:rPr>
          <w:rFonts w:ascii="Times New Roman" w:hAnsi="Times New Roman"/>
          <w:sz w:val="24"/>
          <w:szCs w:val="24"/>
        </w:rPr>
        <w:t>Today, we consider what police officers may do in a narrow but important category of cases: those in which the driver is unconscious and therefore cannot be given a breath test. In such cases, we hold, the exigent</w:t>
      </w:r>
      <w:r>
        <w:rPr>
          <w:rFonts w:ascii="Times New Roman" w:hAnsi="Times New Roman"/>
          <w:sz w:val="24"/>
          <w:szCs w:val="24"/>
        </w:rPr>
        <w:t>-</w:t>
      </w:r>
      <w:r w:rsidRPr="00A95E8D">
        <w:rPr>
          <w:rFonts w:ascii="Times New Roman" w:hAnsi="Times New Roman"/>
          <w:sz w:val="24"/>
          <w:szCs w:val="24"/>
        </w:rPr>
        <w:t>circumstances rule almost always permits a blood test without a warrant. When a breath test is impossible, enforcement of the drunk-driving laws depends upon the administration of a blood test. And when a police officer</w:t>
      </w:r>
      <w:r>
        <w:rPr>
          <w:rFonts w:ascii="Times New Roman" w:hAnsi="Times New Roman"/>
          <w:sz w:val="24"/>
          <w:szCs w:val="24"/>
        </w:rPr>
        <w:t xml:space="preserve"> </w:t>
      </w:r>
      <w:r w:rsidRPr="00A95E8D">
        <w:rPr>
          <w:rFonts w:ascii="Times New Roman" w:hAnsi="Times New Roman"/>
          <w:sz w:val="24"/>
          <w:szCs w:val="24"/>
        </w:rPr>
        <w:t>encounters an unconscious driver, it is very likely that the driver would be taken to an emergency room and that his blood would be drawn for diagnostic purposes even if the police were not seeking BAC information. In addition, police officers most frequently come upon unconscious drivers when they report to the scene of an accident, and under those circumstances, the officers’ many responsibilities—such as attending to other injured drivers or passengers</w:t>
      </w:r>
      <w:r>
        <w:rPr>
          <w:rFonts w:ascii="Times New Roman" w:hAnsi="Times New Roman"/>
          <w:sz w:val="24"/>
          <w:szCs w:val="24"/>
        </w:rPr>
        <w:t xml:space="preserve"> </w:t>
      </w:r>
      <w:r w:rsidRPr="00A95E8D">
        <w:rPr>
          <w:rFonts w:ascii="Times New Roman" w:hAnsi="Times New Roman"/>
          <w:sz w:val="24"/>
          <w:szCs w:val="24"/>
        </w:rPr>
        <w:t>and preventing further accidents—may be incompatible with the procedures that would be required to obtain a warrant. Thus, when a driver is unconscious, the general rule is that a warrant is not needed.</w:t>
      </w:r>
      <w:r>
        <w:rPr>
          <w:rFonts w:ascii="Times New Roman" w:hAnsi="Times New Roman"/>
          <w:sz w:val="24"/>
          <w:szCs w:val="24"/>
        </w:rPr>
        <w:t>”</w:t>
      </w:r>
    </w:p>
    <w:p w14:paraId="28A37239" w14:textId="77777777" w:rsidR="00715CF2" w:rsidRDefault="00715CF2" w:rsidP="00791CA3">
      <w:pPr>
        <w:rPr>
          <w:rFonts w:ascii="Arial Black" w:hAnsi="Arial Black"/>
          <w:b/>
          <w:sz w:val="24"/>
          <w:szCs w:val="24"/>
        </w:rPr>
      </w:pPr>
    </w:p>
    <w:p w14:paraId="1763116F" w14:textId="5BD9E373" w:rsidR="00B22CD4" w:rsidRDefault="00791CA3" w:rsidP="00791CA3">
      <w:pPr>
        <w:rPr>
          <w:rFonts w:ascii="Times New Roman" w:hAnsi="Times New Roman"/>
          <w:sz w:val="24"/>
          <w:szCs w:val="24"/>
        </w:rPr>
      </w:pPr>
      <w:r w:rsidRPr="00791CA3">
        <w:rPr>
          <w:rFonts w:ascii="Arial Black" w:hAnsi="Arial Black"/>
          <w:b/>
          <w:sz w:val="24"/>
          <w:szCs w:val="24"/>
        </w:rPr>
        <w:t>1-</w:t>
      </w:r>
      <w:r>
        <w:rPr>
          <w:rFonts w:ascii="Arial Black" w:hAnsi="Arial Black"/>
          <w:b/>
          <w:sz w:val="24"/>
          <w:szCs w:val="24"/>
        </w:rPr>
        <w:t>2</w:t>
      </w:r>
      <w:r w:rsidR="00637A12">
        <w:rPr>
          <w:rFonts w:ascii="Arial Black" w:hAnsi="Arial Black"/>
          <w:b/>
          <w:sz w:val="24"/>
          <w:szCs w:val="24"/>
        </w:rPr>
        <w:t>8</w:t>
      </w:r>
    </w:p>
    <w:p w14:paraId="24111B64" w14:textId="39359B2E" w:rsidR="00B22CD4" w:rsidRPr="00B60691" w:rsidRDefault="00B22CD4" w:rsidP="00B22CD4">
      <w:pPr>
        <w:pStyle w:val="NoSpacing"/>
        <w:rPr>
          <w:rFonts w:ascii="Arial Black" w:hAnsi="Arial Black"/>
          <w:sz w:val="28"/>
          <w:szCs w:val="28"/>
        </w:rPr>
      </w:pPr>
      <w:bookmarkStart w:id="60" w:name="_Hlk10126418"/>
      <w:r>
        <w:rPr>
          <w:rFonts w:ascii="Arial Black" w:hAnsi="Arial Black"/>
          <w:sz w:val="28"/>
          <w:szCs w:val="28"/>
        </w:rPr>
        <w:t>IL: SUICIDE - U.S. SUP. CT. NOT TAKE APPEAL – SUICIDE BY ATTORNEY ON ANTI-DEPRESSANTS - FDA DID NOT APPROVE LABEL</w:t>
      </w:r>
    </w:p>
    <w:p w14:paraId="3F548AF1" w14:textId="77777777" w:rsidR="00B22CD4" w:rsidRPr="002F51DD" w:rsidRDefault="00B22CD4" w:rsidP="00B22CD4">
      <w:pPr>
        <w:pStyle w:val="Heading1"/>
        <w:rPr>
          <w:b w:val="0"/>
          <w:sz w:val="24"/>
          <w:szCs w:val="24"/>
        </w:rPr>
      </w:pPr>
      <w:r w:rsidRPr="002F51DD">
        <w:rPr>
          <w:b w:val="0"/>
          <w:sz w:val="24"/>
          <w:szCs w:val="24"/>
        </w:rPr>
        <w:t xml:space="preserve">On May 28, 2019, in </w:t>
      </w:r>
      <w:r w:rsidRPr="002F51DD">
        <w:rPr>
          <w:b w:val="0"/>
          <w:sz w:val="24"/>
          <w:szCs w:val="24"/>
          <w:u w:val="single"/>
        </w:rPr>
        <w:t>Wendy B. Dolin v. GlaxoSmith</w:t>
      </w:r>
      <w:r>
        <w:rPr>
          <w:b w:val="0"/>
          <w:sz w:val="24"/>
          <w:szCs w:val="24"/>
          <w:u w:val="single"/>
        </w:rPr>
        <w:t>K</w:t>
      </w:r>
      <w:r w:rsidRPr="002F51DD">
        <w:rPr>
          <w:b w:val="0"/>
          <w:sz w:val="24"/>
          <w:szCs w:val="24"/>
          <w:u w:val="single"/>
        </w:rPr>
        <w:t>line</w:t>
      </w:r>
      <w:r>
        <w:rPr>
          <w:b w:val="0"/>
          <w:sz w:val="24"/>
          <w:szCs w:val="24"/>
          <w:u w:val="single"/>
        </w:rPr>
        <w:t>, LLC</w:t>
      </w:r>
      <w:r w:rsidRPr="002F51DD">
        <w:rPr>
          <w:b w:val="0"/>
          <w:sz w:val="24"/>
          <w:szCs w:val="24"/>
        </w:rPr>
        <w:t xml:space="preserve">, the U.S. Supreme Court declined to hear the appeal of widow of </w:t>
      </w:r>
      <w:proofErr w:type="gramStart"/>
      <w:r w:rsidRPr="002F51DD">
        <w:rPr>
          <w:b w:val="0"/>
          <w:sz w:val="24"/>
          <w:szCs w:val="24"/>
        </w:rPr>
        <w:t>57-year old</w:t>
      </w:r>
      <w:proofErr w:type="gramEnd"/>
      <w:r w:rsidRPr="002F51DD">
        <w:rPr>
          <w:b w:val="0"/>
          <w:sz w:val="24"/>
          <w:szCs w:val="24"/>
        </w:rPr>
        <w:t xml:space="preserve"> attorney who committed suicide after taking Paxil.  Thereby leaving in place the decision of the U.S. Court of Appeals for the 7</w:t>
      </w:r>
      <w:r w:rsidRPr="002F51DD">
        <w:rPr>
          <w:b w:val="0"/>
          <w:sz w:val="24"/>
          <w:szCs w:val="24"/>
          <w:vertAlign w:val="superscript"/>
        </w:rPr>
        <w:t>th</w:t>
      </w:r>
      <w:r w:rsidRPr="002F51DD">
        <w:rPr>
          <w:b w:val="0"/>
          <w:sz w:val="24"/>
          <w:szCs w:val="24"/>
        </w:rPr>
        <w:t xml:space="preserve"> Circuit, which had set aside $3 million jury verdict for widow.  </w:t>
      </w:r>
      <w:hyperlink r:id="rId341" w:history="1">
        <w:r w:rsidRPr="002F51DD">
          <w:rPr>
            <w:rStyle w:val="Hyperlink"/>
            <w:b w:val="0"/>
            <w:sz w:val="24"/>
            <w:szCs w:val="24"/>
          </w:rPr>
          <w:t>https://www.supremecourt.gov/orders/courtorders/052819zor_2dq3.pdf</w:t>
        </w:r>
      </w:hyperlink>
      <w:r w:rsidRPr="002F51DD">
        <w:rPr>
          <w:b w:val="0"/>
          <w:sz w:val="24"/>
          <w:szCs w:val="24"/>
        </w:rPr>
        <w:t xml:space="preserve"> </w:t>
      </w:r>
    </w:p>
    <w:p w14:paraId="2963218F" w14:textId="77777777" w:rsidR="00B22CD4" w:rsidRPr="008E1A98" w:rsidRDefault="00B22CD4" w:rsidP="00B22CD4">
      <w:pPr>
        <w:pStyle w:val="NoSpacing"/>
        <w:rPr>
          <w:rFonts w:ascii="Times New Roman" w:hAnsi="Times New Roman"/>
          <w:sz w:val="24"/>
          <w:szCs w:val="24"/>
        </w:rPr>
      </w:pPr>
      <w:r w:rsidRPr="008E1A98">
        <w:rPr>
          <w:rFonts w:ascii="Times New Roman" w:hAnsi="Times New Roman"/>
          <w:sz w:val="24"/>
          <w:szCs w:val="24"/>
        </w:rPr>
        <w:t>On Aug. 22, 2018, the 7</w:t>
      </w:r>
      <w:r w:rsidRPr="008E1A98">
        <w:rPr>
          <w:rFonts w:ascii="Times New Roman" w:hAnsi="Times New Roman"/>
          <w:sz w:val="24"/>
          <w:szCs w:val="24"/>
          <w:vertAlign w:val="superscript"/>
        </w:rPr>
        <w:t>th</w:t>
      </w:r>
      <w:r w:rsidRPr="008E1A98">
        <w:rPr>
          <w:rFonts w:ascii="Times New Roman" w:hAnsi="Times New Roman"/>
          <w:sz w:val="24"/>
          <w:szCs w:val="24"/>
        </w:rPr>
        <w:t xml:space="preserve"> Circuit held that Food and Drug Administration refused to allow the manufacturer </w:t>
      </w:r>
      <w:r>
        <w:rPr>
          <w:rFonts w:ascii="Times New Roman" w:hAnsi="Times New Roman"/>
          <w:sz w:val="24"/>
          <w:szCs w:val="24"/>
        </w:rPr>
        <w:t xml:space="preserve">to added to Paxil label a warning that the drug may lead to increase in suicide of not only patients under 24, but also in older adults.  The FDA wanted the same, </w:t>
      </w:r>
      <w:r w:rsidRPr="008E1A98">
        <w:rPr>
          <w:rFonts w:ascii="Times New Roman" w:hAnsi="Times New Roman"/>
          <w:sz w:val="24"/>
          <w:szCs w:val="24"/>
        </w:rPr>
        <w:t>uniform warning on all anti-depressant drugs</w:t>
      </w:r>
      <w:r>
        <w:rPr>
          <w:rFonts w:ascii="Times New Roman" w:hAnsi="Times New Roman"/>
          <w:sz w:val="24"/>
          <w:szCs w:val="24"/>
        </w:rPr>
        <w:t xml:space="preserve">.  </w:t>
      </w:r>
      <w:r w:rsidRPr="008E1A98">
        <w:rPr>
          <w:rFonts w:ascii="Times New Roman" w:hAnsi="Times New Roman"/>
          <w:sz w:val="24"/>
          <w:szCs w:val="24"/>
        </w:rPr>
        <w:t xml:space="preserve"> </w:t>
      </w:r>
      <w:hyperlink r:id="rId342" w:history="1">
        <w:r w:rsidRPr="008E1A98">
          <w:rPr>
            <w:rStyle w:val="Hyperlink"/>
            <w:rFonts w:ascii="Times New Roman" w:hAnsi="Times New Roman"/>
            <w:sz w:val="24"/>
            <w:szCs w:val="24"/>
          </w:rPr>
          <w:t>https://law.justia.com/cases/federal/appellate-courts/ca7/17-3030/17-3030-2018-08-22.html</w:t>
        </w:r>
      </w:hyperlink>
      <w:r w:rsidRPr="008E1A98">
        <w:rPr>
          <w:rFonts w:ascii="Times New Roman" w:hAnsi="Times New Roman"/>
          <w:sz w:val="24"/>
          <w:szCs w:val="24"/>
        </w:rPr>
        <w:t xml:space="preserve"> </w:t>
      </w:r>
    </w:p>
    <w:p w14:paraId="5B0B34E7" w14:textId="77777777" w:rsidR="00B22CD4" w:rsidRPr="008E1A98" w:rsidRDefault="00B22CD4" w:rsidP="00B22CD4">
      <w:pPr>
        <w:pStyle w:val="NoSpacing"/>
        <w:rPr>
          <w:rFonts w:ascii="Times New Roman" w:hAnsi="Times New Roman"/>
          <w:sz w:val="24"/>
          <w:szCs w:val="24"/>
        </w:rPr>
      </w:pPr>
    </w:p>
    <w:p w14:paraId="57F96678" w14:textId="77777777" w:rsidR="00B22CD4" w:rsidRPr="008E1A98" w:rsidRDefault="00B22CD4" w:rsidP="00B22CD4">
      <w:pPr>
        <w:pStyle w:val="NoSpacing"/>
        <w:ind w:left="720"/>
        <w:rPr>
          <w:rFonts w:ascii="Times New Roman" w:hAnsi="Times New Roman"/>
          <w:sz w:val="24"/>
          <w:szCs w:val="24"/>
        </w:rPr>
      </w:pPr>
      <w:r w:rsidRPr="008E1A98">
        <w:rPr>
          <w:rFonts w:ascii="Times New Roman" w:hAnsi="Times New Roman"/>
          <w:sz w:val="24"/>
          <w:szCs w:val="24"/>
        </w:rPr>
        <w:t xml:space="preserve">“GSK asked the FDA for permission to modify the paroxetine label as plaintiff argues was needed. The FDA said no, repeatedly. Federal law thus preempted plaintiff’s Illinois‐law claim that GSK should have </w:t>
      </w:r>
      <w:r w:rsidRPr="008E1A98">
        <w:rPr>
          <w:rFonts w:ascii="Times New Roman" w:hAnsi="Times New Roman"/>
          <w:sz w:val="24"/>
          <w:szCs w:val="24"/>
        </w:rPr>
        <w:lastRenderedPageBreak/>
        <w:t xml:space="preserve">warned of a risk of adult suicidality on the paroxetine label in 2010. GSK added a similar warning in 2006, and the FDA ordered that GSK remove that label and replace it with a class‐wide SSRI warning in 2007.” </w:t>
      </w:r>
    </w:p>
    <w:bookmarkEnd w:id="60"/>
    <w:p w14:paraId="035FC5ED" w14:textId="77777777" w:rsidR="00B22CD4" w:rsidRDefault="00B22CD4" w:rsidP="00F326E5">
      <w:pPr>
        <w:pStyle w:val="NoSpacing"/>
        <w:rPr>
          <w:rFonts w:ascii="Times New Roman" w:hAnsi="Times New Roman"/>
          <w:sz w:val="24"/>
          <w:szCs w:val="24"/>
        </w:rPr>
      </w:pPr>
    </w:p>
    <w:p w14:paraId="5EE36E18" w14:textId="77777777" w:rsidR="00B22CD4" w:rsidRDefault="00B22CD4" w:rsidP="00B22CD4">
      <w:pPr>
        <w:pStyle w:val="NoSpacing"/>
        <w:rPr>
          <w:rFonts w:ascii="Times New Roman" w:hAnsi="Times New Roman"/>
          <w:b/>
          <w:sz w:val="24"/>
          <w:szCs w:val="24"/>
        </w:rPr>
      </w:pPr>
      <w:bookmarkStart w:id="61" w:name="_Hlk10126496"/>
      <w:r w:rsidRPr="00F26738">
        <w:rPr>
          <w:rFonts w:ascii="Times New Roman" w:hAnsi="Times New Roman"/>
          <w:b/>
          <w:sz w:val="24"/>
          <w:szCs w:val="24"/>
        </w:rPr>
        <w:t>Legal Lessons Learned:</w:t>
      </w:r>
      <w:r>
        <w:rPr>
          <w:rFonts w:ascii="Times New Roman" w:hAnsi="Times New Roman"/>
          <w:b/>
          <w:sz w:val="24"/>
          <w:szCs w:val="24"/>
        </w:rPr>
        <w:t xml:space="preserve">  FDs should have a drug-free workplace policy that requires disclosure of anti-depressant medication that could affect performance of their duties. </w:t>
      </w:r>
    </w:p>
    <w:p w14:paraId="560388DA" w14:textId="77777777" w:rsidR="00B22CD4" w:rsidRDefault="00B22CD4" w:rsidP="00B22CD4">
      <w:pPr>
        <w:pStyle w:val="NoSpacing"/>
        <w:rPr>
          <w:rFonts w:ascii="Times New Roman" w:hAnsi="Times New Roman"/>
          <w:b/>
          <w:sz w:val="24"/>
          <w:szCs w:val="24"/>
        </w:rPr>
      </w:pPr>
    </w:p>
    <w:p w14:paraId="60A5EFE1" w14:textId="77777777" w:rsidR="00B22CD4" w:rsidRPr="0082157F" w:rsidRDefault="00B22CD4" w:rsidP="00B22CD4">
      <w:pPr>
        <w:pStyle w:val="NoSpacing"/>
        <w:ind w:firstLine="720"/>
        <w:rPr>
          <w:rFonts w:ascii="Times New Roman" w:hAnsi="Times New Roman"/>
          <w:sz w:val="24"/>
          <w:szCs w:val="24"/>
        </w:rPr>
      </w:pPr>
      <w:r w:rsidRPr="0082157F">
        <w:rPr>
          <w:rFonts w:ascii="Times New Roman" w:hAnsi="Times New Roman"/>
          <w:sz w:val="24"/>
          <w:szCs w:val="24"/>
        </w:rPr>
        <w:t>See IAFC Position: Drug and Alcohol-Free Awareness, including:</w:t>
      </w:r>
    </w:p>
    <w:p w14:paraId="58F07F07" w14:textId="77777777" w:rsidR="00B22CD4" w:rsidRPr="0082157F" w:rsidRDefault="00B22CD4" w:rsidP="00B22CD4">
      <w:pPr>
        <w:pStyle w:val="NoSpacing"/>
        <w:rPr>
          <w:rFonts w:ascii="Times New Roman" w:hAnsi="Times New Roman"/>
          <w:b/>
          <w:sz w:val="24"/>
          <w:szCs w:val="24"/>
        </w:rPr>
      </w:pPr>
    </w:p>
    <w:p w14:paraId="1D4605CA" w14:textId="77777777" w:rsidR="00B22CD4" w:rsidRDefault="00B22CD4" w:rsidP="00B22CD4">
      <w:pPr>
        <w:pStyle w:val="NoSpacing"/>
        <w:ind w:left="720"/>
        <w:rPr>
          <w:rFonts w:ascii="Times New Roman" w:hAnsi="Times New Roman"/>
          <w:sz w:val="24"/>
          <w:szCs w:val="24"/>
        </w:rPr>
      </w:pPr>
      <w:r>
        <w:rPr>
          <w:rFonts w:ascii="Times New Roman" w:hAnsi="Times New Roman"/>
          <w:sz w:val="24"/>
          <w:szCs w:val="24"/>
        </w:rPr>
        <w:t>“</w:t>
      </w:r>
      <w:r w:rsidRPr="0082157F">
        <w:rPr>
          <w:rFonts w:ascii="Times New Roman" w:hAnsi="Times New Roman"/>
          <w:sz w:val="24"/>
          <w:szCs w:val="24"/>
        </w:rPr>
        <w:t xml:space="preserve">Any personnel using </w:t>
      </w:r>
      <w:proofErr w:type="gramStart"/>
      <w:r w:rsidRPr="0082157F">
        <w:rPr>
          <w:rFonts w:ascii="Times New Roman" w:hAnsi="Times New Roman"/>
          <w:sz w:val="24"/>
          <w:szCs w:val="24"/>
        </w:rPr>
        <w:t>over-the-counter</w:t>
      </w:r>
      <w:proofErr w:type="gramEnd"/>
      <w:r w:rsidRPr="0082157F">
        <w:rPr>
          <w:rFonts w:ascii="Times New Roman" w:hAnsi="Times New Roman"/>
          <w:sz w:val="24"/>
          <w:szCs w:val="24"/>
        </w:rPr>
        <w:t xml:space="preserve"> or prescription medications where potential side effects that may reasonably affect the performance of their duties have been identified by a healthcare provider or manufacturer’s packaging should report their use to their supervisor when they are functioning in a capacity responsible for emergency and non-emergency operations. Upon notification, supervisors should, in the case of prescription medications, direct personnel to obtain appropriate documentation from the prescribing healthcare provider attesting to the medication’s safety while performing the essential duties of the fire service position. In the case of over-the-counter medications, supervisors should contact the fire department physician or other health care provider to consult on the potential side effects. Personnel should refrain from engaging in such activities until the appropriate release is </w:t>
      </w:r>
      <w:proofErr w:type="gramStart"/>
      <w:r w:rsidRPr="0082157F">
        <w:rPr>
          <w:rFonts w:ascii="Times New Roman" w:hAnsi="Times New Roman"/>
          <w:sz w:val="24"/>
          <w:szCs w:val="24"/>
        </w:rPr>
        <w:t>obtained.</w:t>
      </w:r>
      <w:r>
        <w:rPr>
          <w:rFonts w:ascii="Times New Roman" w:hAnsi="Times New Roman"/>
          <w:sz w:val="24"/>
          <w:szCs w:val="24"/>
        </w:rPr>
        <w:t>”</w:t>
      </w:r>
      <w:proofErr w:type="gramEnd"/>
    </w:p>
    <w:p w14:paraId="2258CC7C" w14:textId="77777777" w:rsidR="00B22CD4" w:rsidRPr="0082157F" w:rsidRDefault="00B22CD4" w:rsidP="00B22CD4">
      <w:pPr>
        <w:pStyle w:val="NoSpacing"/>
        <w:ind w:left="720"/>
        <w:rPr>
          <w:rFonts w:ascii="Times New Roman" w:hAnsi="Times New Roman"/>
          <w:b/>
          <w:sz w:val="24"/>
          <w:szCs w:val="24"/>
        </w:rPr>
      </w:pPr>
      <w:hyperlink r:id="rId343" w:history="1">
        <w:r w:rsidRPr="0082157F">
          <w:rPr>
            <w:rStyle w:val="Hyperlink"/>
            <w:rFonts w:ascii="Times New Roman" w:hAnsi="Times New Roman"/>
            <w:sz w:val="24"/>
            <w:szCs w:val="24"/>
          </w:rPr>
          <w:t>https://www.iafc.org/topics-and-tools/resources/resource/iafc-position-drug-and-alcohol-free-awareness</w:t>
        </w:r>
      </w:hyperlink>
      <w:r w:rsidRPr="0082157F">
        <w:rPr>
          <w:rFonts w:ascii="Times New Roman" w:hAnsi="Times New Roman"/>
          <w:sz w:val="24"/>
          <w:szCs w:val="24"/>
        </w:rPr>
        <w:t xml:space="preserve"> </w:t>
      </w:r>
      <w:bookmarkEnd w:id="61"/>
    </w:p>
    <w:p w14:paraId="76DB7EF2" w14:textId="77777777" w:rsidR="00B22CD4" w:rsidRDefault="00B22CD4" w:rsidP="00F326E5">
      <w:pPr>
        <w:pStyle w:val="NoSpacing"/>
        <w:rPr>
          <w:rFonts w:ascii="Times New Roman" w:hAnsi="Times New Roman"/>
          <w:sz w:val="24"/>
          <w:szCs w:val="24"/>
        </w:rPr>
      </w:pPr>
    </w:p>
    <w:p w14:paraId="2B489FC9" w14:textId="1C85579B" w:rsidR="00B22CD4" w:rsidRDefault="00B22CD4" w:rsidP="00F326E5">
      <w:pPr>
        <w:pStyle w:val="NoSpacing"/>
        <w:rPr>
          <w:rFonts w:ascii="Times New Roman" w:hAnsi="Times New Roman"/>
          <w:sz w:val="24"/>
          <w:szCs w:val="24"/>
        </w:rPr>
      </w:pPr>
    </w:p>
    <w:p w14:paraId="49F22C3D" w14:textId="6A980B75" w:rsidR="00F4486C" w:rsidRDefault="00F4486C" w:rsidP="00F326E5">
      <w:pPr>
        <w:pStyle w:val="NoSpacing"/>
        <w:rPr>
          <w:rFonts w:ascii="Times New Roman" w:hAnsi="Times New Roman"/>
          <w:sz w:val="24"/>
          <w:szCs w:val="24"/>
        </w:rPr>
      </w:pPr>
    </w:p>
    <w:p w14:paraId="65FC6589" w14:textId="77777777" w:rsidR="00F4486C" w:rsidRDefault="00F4486C" w:rsidP="00F326E5">
      <w:pPr>
        <w:pStyle w:val="NoSpacing"/>
        <w:rPr>
          <w:rFonts w:ascii="Times New Roman" w:hAnsi="Times New Roman"/>
          <w:sz w:val="24"/>
          <w:szCs w:val="24"/>
        </w:rPr>
      </w:pPr>
    </w:p>
    <w:p w14:paraId="2575213C" w14:textId="58EC5B0D"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2</w:t>
      </w:r>
      <w:r w:rsidR="00637A12">
        <w:rPr>
          <w:rFonts w:ascii="Arial Black" w:hAnsi="Arial Black"/>
          <w:b/>
          <w:sz w:val="24"/>
          <w:szCs w:val="24"/>
        </w:rPr>
        <w:t>7</w:t>
      </w:r>
    </w:p>
    <w:p w14:paraId="071AA3F8" w14:textId="77777777" w:rsidR="00B22CD4" w:rsidRDefault="00B22CD4" w:rsidP="00F326E5">
      <w:pPr>
        <w:pStyle w:val="NoSpacing"/>
        <w:rPr>
          <w:rFonts w:ascii="Times New Roman" w:hAnsi="Times New Roman"/>
          <w:sz w:val="24"/>
          <w:szCs w:val="24"/>
        </w:rPr>
      </w:pPr>
    </w:p>
    <w:p w14:paraId="413B3DE8" w14:textId="588EF400" w:rsidR="00F326E5" w:rsidRDefault="00F326E5" w:rsidP="00F326E5">
      <w:pPr>
        <w:pStyle w:val="NoSpacing"/>
        <w:rPr>
          <w:rFonts w:ascii="Arial Black" w:hAnsi="Arial Black"/>
          <w:sz w:val="28"/>
          <w:szCs w:val="28"/>
        </w:rPr>
      </w:pPr>
      <w:r w:rsidRPr="00CE4550">
        <w:rPr>
          <w:rFonts w:ascii="Arial Black" w:hAnsi="Arial Black"/>
          <w:sz w:val="28"/>
          <w:szCs w:val="28"/>
        </w:rPr>
        <w:t xml:space="preserve">IL: </w:t>
      </w:r>
      <w:r>
        <w:rPr>
          <w:rFonts w:ascii="Arial Black" w:hAnsi="Arial Black"/>
          <w:sz w:val="28"/>
          <w:szCs w:val="28"/>
        </w:rPr>
        <w:t>BILLING FOR FD SERVICES – ORDINANCE LAWFUL TO BILL NON-RESIDENTS</w:t>
      </w:r>
    </w:p>
    <w:p w14:paraId="0B0A7BEE" w14:textId="77777777" w:rsidR="006C7F17" w:rsidRDefault="00F326E5" w:rsidP="00F326E5">
      <w:pPr>
        <w:pStyle w:val="NoSpacing"/>
        <w:rPr>
          <w:rFonts w:ascii="Times New Roman" w:hAnsi="Times New Roman"/>
          <w:sz w:val="24"/>
          <w:szCs w:val="24"/>
        </w:rPr>
      </w:pPr>
      <w:r w:rsidRPr="00015208">
        <w:rPr>
          <w:rFonts w:ascii="Times New Roman" w:hAnsi="Times New Roman"/>
          <w:sz w:val="24"/>
          <w:szCs w:val="24"/>
        </w:rPr>
        <w:t xml:space="preserve">On March 28, 2019, in </w:t>
      </w:r>
      <w:r w:rsidRPr="00015208">
        <w:rPr>
          <w:rFonts w:ascii="Times New Roman" w:hAnsi="Times New Roman"/>
          <w:sz w:val="24"/>
          <w:szCs w:val="24"/>
          <w:u w:val="single"/>
        </w:rPr>
        <w:t>The City of Effingham, Illinois v. Diss Truck &amp; Repair, LLC</w:t>
      </w:r>
      <w:r w:rsidRPr="00015208">
        <w:rPr>
          <w:rFonts w:ascii="Times New Roman" w:hAnsi="Times New Roman"/>
          <w:sz w:val="24"/>
          <w:szCs w:val="24"/>
        </w:rPr>
        <w:t xml:space="preserve">, the Appellate Court of Illinois - Fifth District, held (3 to 0), that the Fire Department may bill for these services for a non-resident. </w:t>
      </w:r>
    </w:p>
    <w:p w14:paraId="54BA1A75" w14:textId="77777777" w:rsidR="006C7F17" w:rsidRDefault="006C7F17" w:rsidP="00F326E5">
      <w:pPr>
        <w:pStyle w:val="NoSpacing"/>
        <w:rPr>
          <w:rFonts w:ascii="Times New Roman" w:hAnsi="Times New Roman"/>
          <w:sz w:val="24"/>
          <w:szCs w:val="24"/>
        </w:rPr>
      </w:pPr>
    </w:p>
    <w:p w14:paraId="18C2C433" w14:textId="2C41006D" w:rsidR="00F326E5" w:rsidRPr="00015208" w:rsidRDefault="00F326E5" w:rsidP="006C7F17">
      <w:pPr>
        <w:pStyle w:val="NoSpacing"/>
        <w:ind w:left="720"/>
        <w:rPr>
          <w:rFonts w:ascii="Times New Roman" w:hAnsi="Times New Roman"/>
          <w:b/>
          <w:sz w:val="24"/>
          <w:szCs w:val="24"/>
        </w:rPr>
      </w:pPr>
      <w:r w:rsidRPr="00015208">
        <w:rPr>
          <w:rFonts w:ascii="Times New Roman" w:hAnsi="Times New Roman"/>
          <w:sz w:val="24"/>
          <w:szCs w:val="24"/>
        </w:rPr>
        <w:t xml:space="preserve">“After reviewing the legislative history, both before and after the enactment of the statute, we conclude that the legislature’s intent in allowing a municipality to seek reimbursement for firefighting services provided to nonresidents was to eliminate the taxpayer’s burden for such services; the intent was to allocate the cost of the services to nonresidents so that the citizens of the municipality were not forced to bear the cost of services performed on behalf of those not paying taxes to the municipality.” </w:t>
      </w:r>
      <w:hyperlink r:id="rId344" w:history="1">
        <w:r w:rsidRPr="00015208">
          <w:rPr>
            <w:rStyle w:val="Hyperlink"/>
            <w:rFonts w:ascii="Times New Roman" w:hAnsi="Times New Roman"/>
            <w:sz w:val="24"/>
            <w:szCs w:val="24"/>
          </w:rPr>
          <w:t>https://cases.justia.com/illinois/court-of-appeals-fifth-appellate-district/2019-5-18-0064.pdf?ts=1553818548</w:t>
        </w:r>
      </w:hyperlink>
      <w:r w:rsidRPr="00015208">
        <w:rPr>
          <w:rFonts w:ascii="Times New Roman" w:hAnsi="Times New Roman"/>
          <w:b/>
          <w:sz w:val="24"/>
          <w:szCs w:val="24"/>
        </w:rPr>
        <w:t xml:space="preserve"> </w:t>
      </w:r>
    </w:p>
    <w:p w14:paraId="4895AA6D" w14:textId="77777777" w:rsidR="006C7F17" w:rsidRDefault="006C7F17" w:rsidP="00F326E5">
      <w:pPr>
        <w:pStyle w:val="NoSpacing"/>
        <w:rPr>
          <w:rFonts w:ascii="Times New Roman" w:hAnsi="Times New Roman"/>
          <w:b/>
          <w:sz w:val="24"/>
          <w:szCs w:val="24"/>
        </w:rPr>
      </w:pPr>
      <w:bookmarkStart w:id="62" w:name="_Hlk6656862"/>
    </w:p>
    <w:p w14:paraId="02EDA6FB" w14:textId="0295D193" w:rsidR="00F326E5" w:rsidRPr="00015208" w:rsidRDefault="00F326E5" w:rsidP="00F326E5">
      <w:pPr>
        <w:pStyle w:val="NoSpacing"/>
        <w:rPr>
          <w:rFonts w:ascii="Times New Roman" w:hAnsi="Times New Roman"/>
          <w:b/>
          <w:sz w:val="24"/>
          <w:szCs w:val="24"/>
        </w:rPr>
      </w:pPr>
      <w:r w:rsidRPr="00015208">
        <w:rPr>
          <w:rFonts w:ascii="Times New Roman" w:hAnsi="Times New Roman"/>
          <w:b/>
          <w:sz w:val="24"/>
          <w:szCs w:val="24"/>
        </w:rPr>
        <w:t xml:space="preserve">Legal Lessons Learned:  Soft billing of residents deemed lawful. </w:t>
      </w:r>
    </w:p>
    <w:bookmarkEnd w:id="62"/>
    <w:p w14:paraId="37411F91" w14:textId="77777777" w:rsidR="00D07E6E" w:rsidRPr="00015208" w:rsidRDefault="00D07E6E" w:rsidP="00F326E5">
      <w:pPr>
        <w:pStyle w:val="NoSpacing"/>
        <w:rPr>
          <w:rFonts w:ascii="Times New Roman" w:hAnsi="Times New Roman"/>
          <w:bCs/>
          <w:sz w:val="24"/>
          <w:szCs w:val="24"/>
        </w:rPr>
      </w:pPr>
    </w:p>
    <w:p w14:paraId="4650D12A" w14:textId="3D7B7B5F" w:rsidR="00791CA3" w:rsidRDefault="00791CA3" w:rsidP="00791CA3">
      <w:pPr>
        <w:rPr>
          <w:rFonts w:ascii="Arial Black" w:hAnsi="Arial Black"/>
          <w:b/>
          <w:sz w:val="24"/>
          <w:szCs w:val="24"/>
        </w:rPr>
      </w:pPr>
    </w:p>
    <w:p w14:paraId="4538AD60" w14:textId="77777777" w:rsidR="006C7F17" w:rsidRDefault="006C7F17" w:rsidP="00791CA3">
      <w:pPr>
        <w:rPr>
          <w:rFonts w:ascii="Arial Black" w:hAnsi="Arial Black"/>
          <w:b/>
          <w:sz w:val="24"/>
          <w:szCs w:val="24"/>
        </w:rPr>
      </w:pPr>
    </w:p>
    <w:p w14:paraId="1333F74C" w14:textId="151B39C1"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2</w:t>
      </w:r>
      <w:r w:rsidR="00637A12">
        <w:rPr>
          <w:rFonts w:ascii="Arial Black" w:hAnsi="Arial Black"/>
          <w:b/>
          <w:sz w:val="24"/>
          <w:szCs w:val="24"/>
        </w:rPr>
        <w:t>6</w:t>
      </w:r>
    </w:p>
    <w:p w14:paraId="69863D94" w14:textId="7F3377FE" w:rsidR="00B22CD4" w:rsidRDefault="00B22CD4" w:rsidP="00B22CD4">
      <w:pPr>
        <w:pStyle w:val="NoSpacing"/>
        <w:rPr>
          <w:rFonts w:ascii="Arial Black" w:hAnsi="Arial Black"/>
          <w:sz w:val="28"/>
          <w:szCs w:val="28"/>
        </w:rPr>
      </w:pPr>
      <w:proofErr w:type="spellStart"/>
      <w:r>
        <w:rPr>
          <w:rFonts w:ascii="Arial Black" w:hAnsi="Arial Black"/>
          <w:sz w:val="28"/>
          <w:szCs w:val="28"/>
        </w:rPr>
        <w:lastRenderedPageBreak/>
        <w:t>lA</w:t>
      </w:r>
      <w:proofErr w:type="spellEnd"/>
      <w:r>
        <w:rPr>
          <w:rFonts w:ascii="Arial Black" w:hAnsi="Arial Black"/>
          <w:sz w:val="28"/>
          <w:szCs w:val="28"/>
        </w:rPr>
        <w:t xml:space="preserve">:  STATE SUP. CT. UPHOLDS STATUTE - NO PAYROLL DEDUCT. OF UNION DUES – LIMITED COLLECTIVE BARG. LESS 30% PUB SAFETY </w:t>
      </w:r>
    </w:p>
    <w:p w14:paraId="24BDA04F" w14:textId="77777777" w:rsidR="00B22CD4" w:rsidRPr="00AD3B98" w:rsidRDefault="00B22CD4" w:rsidP="00B22CD4">
      <w:pPr>
        <w:pStyle w:val="NoSpacing"/>
        <w:rPr>
          <w:rFonts w:ascii="Times New Roman" w:hAnsi="Times New Roman"/>
          <w:sz w:val="24"/>
          <w:szCs w:val="24"/>
        </w:rPr>
      </w:pPr>
      <w:r w:rsidRPr="00AD3B98">
        <w:rPr>
          <w:rFonts w:ascii="Times New Roman" w:hAnsi="Times New Roman"/>
          <w:sz w:val="24"/>
          <w:szCs w:val="24"/>
        </w:rPr>
        <w:t xml:space="preserve">On May 17, 2019, in </w:t>
      </w:r>
      <w:r w:rsidRPr="00AD3B98">
        <w:rPr>
          <w:rFonts w:ascii="Times New Roman" w:hAnsi="Times New Roman"/>
          <w:sz w:val="24"/>
          <w:szCs w:val="24"/>
          <w:u w:val="single"/>
        </w:rPr>
        <w:t xml:space="preserve">AFSCME Iowa Council 61, et al. v. State of Iowa and Iowa </w:t>
      </w:r>
      <w:proofErr w:type="gramStart"/>
      <w:r w:rsidRPr="00AD3B98">
        <w:rPr>
          <w:rFonts w:ascii="Times New Roman" w:hAnsi="Times New Roman"/>
          <w:sz w:val="24"/>
          <w:szCs w:val="24"/>
          <w:u w:val="single"/>
        </w:rPr>
        <w:t>Public Employment</w:t>
      </w:r>
      <w:proofErr w:type="gramEnd"/>
      <w:r w:rsidRPr="00AD3B98">
        <w:rPr>
          <w:rFonts w:ascii="Times New Roman" w:hAnsi="Times New Roman"/>
          <w:sz w:val="24"/>
          <w:szCs w:val="24"/>
          <w:u w:val="single"/>
        </w:rPr>
        <w:t xml:space="preserve"> Relations Board</w:t>
      </w:r>
      <w:r w:rsidRPr="00AD3B98">
        <w:rPr>
          <w:rFonts w:ascii="Times New Roman" w:hAnsi="Times New Roman"/>
          <w:sz w:val="24"/>
          <w:szCs w:val="24"/>
        </w:rPr>
        <w:t>, the Iowa Supreme Court held (4 to 3)</w:t>
      </w:r>
      <w:r>
        <w:rPr>
          <w:rFonts w:ascii="Times New Roman" w:hAnsi="Times New Roman"/>
          <w:sz w:val="24"/>
          <w:szCs w:val="24"/>
        </w:rPr>
        <w:t xml:space="preserve"> </w:t>
      </w:r>
      <w:r w:rsidRPr="00AD3B98">
        <w:rPr>
          <w:rFonts w:ascii="Times New Roman" w:hAnsi="Times New Roman"/>
          <w:sz w:val="24"/>
          <w:szCs w:val="24"/>
        </w:rPr>
        <w:t>that the 2017 statute was constitutional.</w:t>
      </w:r>
    </w:p>
    <w:p w14:paraId="19BBAA2D" w14:textId="77777777" w:rsidR="00B22CD4" w:rsidRPr="00AD3B98" w:rsidRDefault="00B22CD4" w:rsidP="00B22CD4">
      <w:pPr>
        <w:pStyle w:val="NoSpacing"/>
        <w:rPr>
          <w:rFonts w:ascii="Times New Roman" w:hAnsi="Times New Roman"/>
        </w:rPr>
      </w:pPr>
    </w:p>
    <w:p w14:paraId="4F7C5205" w14:textId="77777777" w:rsidR="00B22CD4" w:rsidRPr="006C2CBF" w:rsidRDefault="00B22CD4" w:rsidP="00B22CD4">
      <w:pPr>
        <w:pStyle w:val="NoSpacing"/>
        <w:ind w:left="720"/>
        <w:rPr>
          <w:rFonts w:ascii="Times New Roman" w:hAnsi="Times New Roman"/>
          <w:b/>
          <w:sz w:val="24"/>
          <w:szCs w:val="24"/>
        </w:rPr>
      </w:pPr>
      <w:r w:rsidRPr="006C2CBF">
        <w:rPr>
          <w:rFonts w:ascii="Times New Roman" w:hAnsi="Times New Roman"/>
          <w:sz w:val="24"/>
          <w:szCs w:val="24"/>
        </w:rPr>
        <w:t>“Our role is to decide whether constitutional lines were crossed, not to sit as a super</w:t>
      </w:r>
      <w:r>
        <w:rPr>
          <w:rFonts w:ascii="Times New Roman" w:hAnsi="Times New Roman"/>
          <w:sz w:val="24"/>
          <w:szCs w:val="24"/>
        </w:rPr>
        <w:t xml:space="preserve"> </w:t>
      </w:r>
      <w:r w:rsidRPr="006C2CBF">
        <w:rPr>
          <w:rFonts w:ascii="Times New Roman" w:hAnsi="Times New Roman"/>
          <w:sz w:val="24"/>
          <w:szCs w:val="24"/>
        </w:rPr>
        <w:t>legislature rethinking policy choices of the elected branches. We conclude the 2017 amendments withstand the constitutional challenges. The plaintiffs concede there is no constitutional right to public-sector collective bargaining or payroll deductions. The parties agree the equal protection claims are reviewed under the rational basis test. The legislature could reasonably conclude that the goal of keeping labor peace with unions comprised of at least thirty percent public safety employees, and the greater risks faced by emergency first responders, justified the classification. We hold the legislative classifications are not so overinclusive or underinclusive as to be unconstitutional under our highly deferential standard of review. We further hold the amendments do not violate constitutional rights of freedom of association. Public employees remain free to belong to the same unions. Accordingly, we affirm the district court's summary judgment.</w:t>
      </w:r>
      <w:r>
        <w:rPr>
          <w:rFonts w:ascii="Times New Roman" w:hAnsi="Times New Roman"/>
          <w:sz w:val="24"/>
          <w:szCs w:val="24"/>
        </w:rPr>
        <w:t>”</w:t>
      </w:r>
    </w:p>
    <w:p w14:paraId="6F636334" w14:textId="77777777" w:rsidR="00B22CD4" w:rsidRDefault="00B22CD4" w:rsidP="00B22CD4">
      <w:pPr>
        <w:pStyle w:val="NoSpacing"/>
        <w:rPr>
          <w:rFonts w:ascii="Times New Roman" w:hAnsi="Times New Roman"/>
          <w:sz w:val="24"/>
          <w:szCs w:val="24"/>
        </w:rPr>
      </w:pPr>
      <w:r>
        <w:rPr>
          <w:rFonts w:ascii="Times New Roman" w:hAnsi="Times New Roman"/>
          <w:sz w:val="24"/>
          <w:szCs w:val="24"/>
        </w:rPr>
        <w:tab/>
      </w:r>
      <w:hyperlink r:id="rId345" w:history="1">
        <w:r w:rsidRPr="001602A2">
          <w:rPr>
            <w:rStyle w:val="Hyperlink"/>
            <w:rFonts w:ascii="Times New Roman" w:hAnsi="Times New Roman"/>
            <w:sz w:val="24"/>
            <w:szCs w:val="24"/>
          </w:rPr>
          <w:t>https://www.leagle.com/decision/iniaco20190517282</w:t>
        </w:r>
      </w:hyperlink>
      <w:r>
        <w:rPr>
          <w:rFonts w:ascii="Times New Roman" w:hAnsi="Times New Roman"/>
          <w:sz w:val="24"/>
          <w:szCs w:val="24"/>
        </w:rPr>
        <w:t xml:space="preserve"> </w:t>
      </w:r>
    </w:p>
    <w:p w14:paraId="1862C2B6" w14:textId="334E9A67" w:rsidR="00B22CD4" w:rsidRDefault="00B22CD4" w:rsidP="00ED63B1">
      <w:pPr>
        <w:pStyle w:val="NoSpacing"/>
        <w:rPr>
          <w:sz w:val="24"/>
          <w:szCs w:val="24"/>
        </w:rPr>
      </w:pPr>
    </w:p>
    <w:p w14:paraId="114BC2BA" w14:textId="1B89CA5E" w:rsidR="00B22CD4" w:rsidRDefault="00B22CD4" w:rsidP="00B22CD4">
      <w:pPr>
        <w:pStyle w:val="NoSpacing"/>
        <w:rPr>
          <w:rFonts w:ascii="Times New Roman" w:hAnsi="Times New Roman"/>
          <w:b/>
          <w:sz w:val="24"/>
          <w:szCs w:val="24"/>
        </w:rPr>
      </w:pPr>
      <w:bookmarkStart w:id="63" w:name="_Hlk10126588"/>
      <w:r w:rsidRPr="00A14F0A">
        <w:rPr>
          <w:rFonts w:ascii="Times New Roman" w:hAnsi="Times New Roman"/>
          <w:b/>
          <w:sz w:val="24"/>
          <w:szCs w:val="24"/>
        </w:rPr>
        <w:t xml:space="preserve">Legal Lessons Learned: </w:t>
      </w:r>
      <w:r>
        <w:rPr>
          <w:rFonts w:ascii="Times New Roman" w:hAnsi="Times New Roman"/>
          <w:b/>
          <w:sz w:val="24"/>
          <w:szCs w:val="24"/>
        </w:rPr>
        <w:t xml:space="preserve">Collective bargaining for fire &amp; police has been addressed by many state legislatures.  </w:t>
      </w:r>
      <w:r w:rsidRPr="00A265CA">
        <w:rPr>
          <w:rFonts w:ascii="Times New Roman" w:hAnsi="Times New Roman"/>
          <w:b/>
          <w:sz w:val="24"/>
          <w:szCs w:val="24"/>
        </w:rPr>
        <w:t xml:space="preserve">The U.S. Supreme Court’s </w:t>
      </w:r>
      <w:r w:rsidRPr="00A265CA">
        <w:rPr>
          <w:rFonts w:ascii="Times New Roman" w:hAnsi="Times New Roman"/>
          <w:b/>
          <w:sz w:val="24"/>
          <w:szCs w:val="24"/>
          <w:u w:val="single"/>
        </w:rPr>
        <w:t>Janis</w:t>
      </w:r>
      <w:r w:rsidRPr="00A265CA">
        <w:rPr>
          <w:rFonts w:ascii="Times New Roman" w:hAnsi="Times New Roman"/>
          <w:b/>
          <w:sz w:val="24"/>
          <w:szCs w:val="24"/>
        </w:rPr>
        <w:t xml:space="preserve"> decision on June 27, 2018,</w:t>
      </w:r>
      <w:r>
        <w:rPr>
          <w:rFonts w:ascii="Times New Roman" w:hAnsi="Times New Roman"/>
          <w:b/>
          <w:sz w:val="24"/>
          <w:szCs w:val="24"/>
        </w:rPr>
        <w:t xml:space="preserve">  “</w:t>
      </w:r>
      <w:r w:rsidRPr="00A265CA">
        <w:rPr>
          <w:rFonts w:ascii="Times New Roman" w:hAnsi="Times New Roman"/>
          <w:b/>
          <w:sz w:val="24"/>
          <w:szCs w:val="24"/>
        </w:rPr>
        <w:t>States and public-sector unions may no longer extract agency fees from nonconsenting employees</w:t>
      </w:r>
      <w:r>
        <w:rPr>
          <w:rFonts w:ascii="Times New Roman" w:hAnsi="Times New Roman"/>
          <w:b/>
          <w:sz w:val="24"/>
          <w:szCs w:val="24"/>
        </w:rPr>
        <w:t xml:space="preserve">” - </w:t>
      </w:r>
      <w:r w:rsidRPr="00A265CA">
        <w:rPr>
          <w:rFonts w:ascii="Times New Roman" w:hAnsi="Times New Roman"/>
          <w:b/>
          <w:sz w:val="24"/>
          <w:szCs w:val="24"/>
        </w:rPr>
        <w:t>may lead other states to also limit employer deduction of union dues.</w:t>
      </w:r>
      <w:r>
        <w:rPr>
          <w:rFonts w:ascii="Times New Roman" w:hAnsi="Times New Roman"/>
          <w:b/>
          <w:sz w:val="24"/>
          <w:szCs w:val="24"/>
        </w:rPr>
        <w:t xml:space="preserve"> </w:t>
      </w:r>
      <w:bookmarkStart w:id="64" w:name="_Hlk39821565"/>
      <w:r w:rsidR="00F2621E">
        <w:fldChar w:fldCharType="begin"/>
      </w:r>
      <w:r w:rsidR="00F2621E">
        <w:instrText xml:space="preserve"> HYPERLINK "https://www.supremecourt.gov/opinions/17pdf/16-1466_2b3j.pdf" </w:instrText>
      </w:r>
      <w:r w:rsidR="00F2621E">
        <w:fldChar w:fldCharType="separate"/>
      </w:r>
      <w:r w:rsidRPr="001602A2">
        <w:rPr>
          <w:rStyle w:val="Hyperlink"/>
          <w:rFonts w:ascii="Times New Roman" w:hAnsi="Times New Roman"/>
          <w:b/>
          <w:sz w:val="24"/>
          <w:szCs w:val="24"/>
        </w:rPr>
        <w:t>https://www.supremecourt.gov/opinions/17pdf/16-1466_2b3j.pdf</w:t>
      </w:r>
      <w:r w:rsidR="00F2621E">
        <w:rPr>
          <w:rStyle w:val="Hyperlink"/>
          <w:rFonts w:ascii="Times New Roman" w:hAnsi="Times New Roman"/>
          <w:b/>
          <w:sz w:val="24"/>
          <w:szCs w:val="24"/>
        </w:rPr>
        <w:fldChar w:fldCharType="end"/>
      </w:r>
      <w:r>
        <w:rPr>
          <w:rFonts w:ascii="Times New Roman" w:hAnsi="Times New Roman"/>
          <w:b/>
          <w:sz w:val="24"/>
          <w:szCs w:val="24"/>
        </w:rPr>
        <w:t xml:space="preserve"> </w:t>
      </w:r>
      <w:bookmarkEnd w:id="64"/>
    </w:p>
    <w:p w14:paraId="227A24A7" w14:textId="77777777" w:rsidR="00B22CD4" w:rsidRDefault="00B22CD4" w:rsidP="00B22CD4">
      <w:pPr>
        <w:pStyle w:val="NoSpacing"/>
        <w:ind w:firstLine="720"/>
        <w:rPr>
          <w:rFonts w:ascii="Times New Roman" w:hAnsi="Times New Roman"/>
          <w:sz w:val="24"/>
          <w:szCs w:val="24"/>
        </w:rPr>
      </w:pPr>
    </w:p>
    <w:p w14:paraId="42DCCE4B" w14:textId="77777777" w:rsidR="00B22CD4" w:rsidRDefault="00B22CD4" w:rsidP="00B22CD4">
      <w:pPr>
        <w:pStyle w:val="NoSpacing"/>
        <w:ind w:firstLine="720"/>
        <w:rPr>
          <w:rFonts w:ascii="Times New Roman" w:hAnsi="Times New Roman"/>
          <w:sz w:val="24"/>
          <w:szCs w:val="24"/>
        </w:rPr>
      </w:pPr>
      <w:r>
        <w:rPr>
          <w:rFonts w:ascii="Times New Roman" w:hAnsi="Times New Roman"/>
          <w:sz w:val="24"/>
          <w:szCs w:val="24"/>
        </w:rPr>
        <w:t xml:space="preserve">See footnote 4 of the Majority’s decision: </w:t>
      </w:r>
    </w:p>
    <w:p w14:paraId="2BE2F2DB" w14:textId="77777777" w:rsidR="00B22CD4" w:rsidRPr="00A14F0A" w:rsidRDefault="00B22CD4" w:rsidP="00B22CD4">
      <w:pPr>
        <w:spacing w:after="0" w:line="240" w:lineRule="auto"/>
        <w:ind w:left="1440"/>
        <w:rPr>
          <w:rFonts w:ascii="Times New Roman" w:eastAsia="Times New Roman" w:hAnsi="Times New Roman"/>
          <w:sz w:val="24"/>
          <w:szCs w:val="24"/>
        </w:rPr>
      </w:pPr>
      <w:r w:rsidRPr="00A14F0A">
        <w:rPr>
          <w:rFonts w:ascii="Times New Roman" w:eastAsia="Times New Roman" w:hAnsi="Times New Roman"/>
          <w:sz w:val="24"/>
          <w:szCs w:val="24"/>
        </w:rPr>
        <w:t xml:space="preserve">As of 2018, twenty-eight states require collective bargaining. Eric J. Brunner &amp; Andrew Ju, </w:t>
      </w:r>
      <w:r w:rsidRPr="00A14F0A">
        <w:rPr>
          <w:rFonts w:ascii="Times New Roman" w:eastAsia="Times New Roman" w:hAnsi="Times New Roman"/>
          <w:i/>
          <w:iCs/>
          <w:sz w:val="24"/>
          <w:szCs w:val="24"/>
        </w:rPr>
        <w:t>State Collective Bargaining Laws and Public-Sector Pay,</w:t>
      </w:r>
      <w:r w:rsidRPr="00A14F0A">
        <w:rPr>
          <w:rFonts w:ascii="Times New Roman" w:eastAsia="Times New Roman" w:hAnsi="Times New Roman"/>
          <w:sz w:val="24"/>
          <w:szCs w:val="24"/>
        </w:rPr>
        <w:t xml:space="preserve"> 72 ILR Rev. 480, 487 (2019) [hereinafter Brunner &amp; Ju]. Fifteen states allow state employers to decide </w:t>
      </w:r>
      <w:proofErr w:type="gramStart"/>
      <w:r w:rsidRPr="00A14F0A">
        <w:rPr>
          <w:rFonts w:ascii="Times New Roman" w:eastAsia="Times New Roman" w:hAnsi="Times New Roman"/>
          <w:sz w:val="24"/>
          <w:szCs w:val="24"/>
        </w:rPr>
        <w:t>whether or not</w:t>
      </w:r>
      <w:proofErr w:type="gramEnd"/>
      <w:r w:rsidRPr="00A14F0A">
        <w:rPr>
          <w:rFonts w:ascii="Times New Roman" w:eastAsia="Times New Roman" w:hAnsi="Times New Roman"/>
          <w:sz w:val="24"/>
          <w:szCs w:val="24"/>
        </w:rPr>
        <w:t xml:space="preserve"> to collectively bargain. </w:t>
      </w:r>
      <w:r w:rsidRPr="00A14F0A">
        <w:rPr>
          <w:rFonts w:ascii="Times New Roman" w:eastAsia="Times New Roman" w:hAnsi="Times New Roman"/>
          <w:i/>
          <w:iCs/>
          <w:sz w:val="24"/>
          <w:szCs w:val="24"/>
        </w:rPr>
        <w:t>Id.</w:t>
      </w:r>
      <w:r w:rsidRPr="00A14F0A">
        <w:rPr>
          <w:rFonts w:ascii="Times New Roman" w:eastAsia="Times New Roman" w:hAnsi="Times New Roman"/>
          <w:sz w:val="24"/>
          <w:szCs w:val="24"/>
        </w:rPr>
        <w:t xml:space="preserve"> The range of topics public employees </w:t>
      </w:r>
      <w:proofErr w:type="gramStart"/>
      <w:r w:rsidRPr="00A14F0A">
        <w:rPr>
          <w:rFonts w:ascii="Times New Roman" w:eastAsia="Times New Roman" w:hAnsi="Times New Roman"/>
          <w:sz w:val="24"/>
          <w:szCs w:val="24"/>
        </w:rPr>
        <w:t>are able to</w:t>
      </w:r>
      <w:proofErr w:type="gramEnd"/>
      <w:r w:rsidRPr="00A14F0A">
        <w:rPr>
          <w:rFonts w:ascii="Times New Roman" w:eastAsia="Times New Roman" w:hAnsi="Times New Roman"/>
          <w:sz w:val="24"/>
          <w:szCs w:val="24"/>
        </w:rPr>
        <w:t xml:space="preserve"> bargain over varies from state to state, as does the employees' ability to compel arbitration in the event of an impasse. Raskin-Ortiz &amp; Martin at 4-10. Of the states that require or permit collective bargaining, Alabama, Delaware, Idaho, Kentucky, Oklahoma, Rhode Island, and Wyoming have separate bargaining rights for police officers and/or firefighters. </w:t>
      </w:r>
      <w:r w:rsidRPr="00A14F0A">
        <w:rPr>
          <w:rFonts w:ascii="Times New Roman" w:eastAsia="Times New Roman" w:hAnsi="Times New Roman"/>
          <w:i/>
          <w:iCs/>
          <w:sz w:val="24"/>
          <w:szCs w:val="24"/>
        </w:rPr>
        <w:t>Id.</w:t>
      </w:r>
      <w:r w:rsidRPr="00A14F0A">
        <w:rPr>
          <w:rFonts w:ascii="Times New Roman" w:eastAsia="Times New Roman" w:hAnsi="Times New Roman"/>
          <w:sz w:val="24"/>
          <w:szCs w:val="24"/>
        </w:rPr>
        <w:t xml:space="preserve"> Three states—North Carolina, South Carolina, and Virginia—prohibit collective bargaining for any public employees. Brunner &amp; Ju at 487. Arizona and Texas limit collective bargaining to police officers and firefighters, while Georgia limits collective bargaining rights to firefighters alone. </w:t>
      </w:r>
      <w:r w:rsidRPr="00A14F0A">
        <w:rPr>
          <w:rFonts w:ascii="Times New Roman" w:eastAsia="Times New Roman" w:hAnsi="Times New Roman"/>
          <w:i/>
          <w:iCs/>
          <w:sz w:val="24"/>
          <w:szCs w:val="24"/>
        </w:rPr>
        <w:t>Id.</w:t>
      </w:r>
    </w:p>
    <w:p w14:paraId="3C8B8CB5" w14:textId="0184A27D" w:rsidR="00B22CD4" w:rsidRPr="0082157F" w:rsidRDefault="00B22CD4" w:rsidP="00B22CD4">
      <w:pPr>
        <w:pStyle w:val="Heading2"/>
        <w:ind w:left="720"/>
        <w:rPr>
          <w:rFonts w:ascii="Times New Roman" w:hAnsi="Times New Roman"/>
          <w:b w:val="0"/>
          <w:i w:val="0"/>
          <w:sz w:val="24"/>
          <w:szCs w:val="24"/>
        </w:rPr>
      </w:pPr>
      <w:r w:rsidRPr="0082157F">
        <w:rPr>
          <w:rFonts w:ascii="Times New Roman" w:hAnsi="Times New Roman"/>
          <w:b w:val="0"/>
          <w:i w:val="0"/>
          <w:sz w:val="24"/>
          <w:szCs w:val="24"/>
        </w:rPr>
        <w:t xml:space="preserve">See also this </w:t>
      </w:r>
      <w:bookmarkStart w:id="65" w:name="_Hlk39821485"/>
      <w:r w:rsidR="00AF713A">
        <w:rPr>
          <w:rFonts w:ascii="Times New Roman" w:hAnsi="Times New Roman"/>
          <w:b w:val="0"/>
          <w:i w:val="0"/>
          <w:sz w:val="24"/>
          <w:szCs w:val="24"/>
        </w:rPr>
        <w:t xml:space="preserve">May 16, </w:t>
      </w:r>
      <w:proofErr w:type="gramStart"/>
      <w:r w:rsidR="00AF713A">
        <w:rPr>
          <w:rFonts w:ascii="Times New Roman" w:hAnsi="Times New Roman"/>
          <w:b w:val="0"/>
          <w:i w:val="0"/>
          <w:sz w:val="24"/>
          <w:szCs w:val="24"/>
        </w:rPr>
        <w:t>2019</w:t>
      </w:r>
      <w:proofErr w:type="gramEnd"/>
      <w:r w:rsidR="00AF713A">
        <w:rPr>
          <w:rFonts w:ascii="Times New Roman" w:hAnsi="Times New Roman"/>
          <w:b w:val="0"/>
          <w:i w:val="0"/>
          <w:sz w:val="24"/>
          <w:szCs w:val="24"/>
        </w:rPr>
        <w:t xml:space="preserve"> </w:t>
      </w:r>
      <w:r w:rsidRPr="0082157F">
        <w:rPr>
          <w:rFonts w:ascii="Times New Roman" w:hAnsi="Times New Roman"/>
          <w:b w:val="0"/>
          <w:i w:val="0"/>
          <w:sz w:val="24"/>
          <w:szCs w:val="24"/>
        </w:rPr>
        <w:t xml:space="preserve">article: “Union Dues Deductions – Tips for Public Employers” -  </w:t>
      </w:r>
      <w:hyperlink r:id="rId346" w:history="1">
        <w:r w:rsidRPr="005B46AA">
          <w:rPr>
            <w:rStyle w:val="Hyperlink"/>
            <w:rFonts w:ascii="Times New Roman" w:hAnsi="Times New Roman"/>
            <w:b w:val="0"/>
            <w:i w:val="0"/>
            <w:sz w:val="24"/>
            <w:szCs w:val="24"/>
          </w:rPr>
          <w:t>https://fisheldowney.com/union-dues-deductions-tips-public-employers/</w:t>
        </w:r>
      </w:hyperlink>
      <w:r w:rsidRPr="0082157F">
        <w:rPr>
          <w:rFonts w:ascii="Times New Roman" w:hAnsi="Times New Roman"/>
          <w:b w:val="0"/>
          <w:i w:val="0"/>
          <w:sz w:val="24"/>
          <w:szCs w:val="24"/>
        </w:rPr>
        <w:t xml:space="preserve"> </w:t>
      </w:r>
    </w:p>
    <w:bookmarkEnd w:id="63"/>
    <w:bookmarkEnd w:id="65"/>
    <w:p w14:paraId="77AD563B" w14:textId="413C9587" w:rsidR="00F4486C" w:rsidRDefault="00F4486C" w:rsidP="00F4486C">
      <w:pPr>
        <w:pStyle w:val="NoSpacing"/>
        <w:rPr>
          <w:rFonts w:ascii="Times New Roman" w:hAnsi="Times New Roman"/>
          <w:sz w:val="24"/>
          <w:szCs w:val="24"/>
        </w:rPr>
      </w:pPr>
    </w:p>
    <w:p w14:paraId="55B17074" w14:textId="78B94C34" w:rsidR="00791CA3" w:rsidRDefault="00791CA3" w:rsidP="00791CA3">
      <w:pPr>
        <w:rPr>
          <w:rFonts w:ascii="Arial Black" w:hAnsi="Arial Black"/>
          <w:b/>
          <w:sz w:val="24"/>
          <w:szCs w:val="24"/>
        </w:rPr>
      </w:pPr>
    </w:p>
    <w:p w14:paraId="7F6931DF" w14:textId="2D30854D"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2</w:t>
      </w:r>
      <w:r w:rsidR="00637A12">
        <w:rPr>
          <w:rFonts w:ascii="Arial Black" w:hAnsi="Arial Black"/>
          <w:b/>
          <w:sz w:val="24"/>
          <w:szCs w:val="24"/>
        </w:rPr>
        <w:t>5</w:t>
      </w:r>
    </w:p>
    <w:p w14:paraId="01F667B8" w14:textId="748F3CDD" w:rsidR="00B22CD4" w:rsidRPr="00A14F0A" w:rsidRDefault="00B22CD4" w:rsidP="00B22CD4">
      <w:pPr>
        <w:pStyle w:val="NoSpacing"/>
        <w:tabs>
          <w:tab w:val="left" w:pos="2280"/>
        </w:tabs>
        <w:rPr>
          <w:rFonts w:ascii="Arial Black" w:hAnsi="Arial Black"/>
          <w:sz w:val="28"/>
          <w:szCs w:val="28"/>
        </w:rPr>
      </w:pPr>
      <w:bookmarkStart w:id="66" w:name="_Hlk10126640"/>
      <w:r w:rsidRPr="00A14F0A">
        <w:rPr>
          <w:rFonts w:ascii="Arial Black" w:hAnsi="Arial Black"/>
          <w:sz w:val="28"/>
          <w:szCs w:val="28"/>
        </w:rPr>
        <w:t xml:space="preserve">TX: </w:t>
      </w:r>
      <w:r>
        <w:rPr>
          <w:rFonts w:ascii="Arial Black" w:hAnsi="Arial Black"/>
          <w:sz w:val="28"/>
          <w:szCs w:val="28"/>
        </w:rPr>
        <w:t>APARTMENT FIRE - DRUG PARAPHERNALIA IN “PLAIN VIEW” - PD CALLED IN, SEARCH WARRANT – METH CONVICTION UPHELD</w:t>
      </w:r>
    </w:p>
    <w:p w14:paraId="4277D341" w14:textId="77777777" w:rsidR="00B22CD4" w:rsidRDefault="00B22CD4" w:rsidP="00B22CD4">
      <w:pPr>
        <w:pStyle w:val="NoSpacing"/>
        <w:rPr>
          <w:rFonts w:ascii="Times New Roman" w:hAnsi="Times New Roman"/>
          <w:sz w:val="24"/>
          <w:szCs w:val="24"/>
        </w:rPr>
      </w:pPr>
      <w:r w:rsidRPr="00BA2225">
        <w:rPr>
          <w:rFonts w:ascii="Times New Roman" w:hAnsi="Times New Roman"/>
          <w:sz w:val="24"/>
          <w:szCs w:val="24"/>
        </w:rPr>
        <w:t xml:space="preserve">On May 16, 2019, in </w:t>
      </w:r>
      <w:r w:rsidRPr="00BA2225">
        <w:rPr>
          <w:rFonts w:ascii="Times New Roman" w:hAnsi="Times New Roman"/>
          <w:sz w:val="24"/>
          <w:szCs w:val="24"/>
          <w:u w:val="single"/>
        </w:rPr>
        <w:t>Casey Allen Martin v. State of Texas</w:t>
      </w:r>
      <w:r w:rsidRPr="00BA2225">
        <w:rPr>
          <w:rFonts w:ascii="Times New Roman" w:hAnsi="Times New Roman"/>
          <w:sz w:val="24"/>
          <w:szCs w:val="24"/>
        </w:rPr>
        <w:t>, the Court of Appeals of Texas, Second Appellate District (Fort Worth) held (3 to 0) the trial court properly denied the defendant’s motion to suppress the methamphetamine.</w:t>
      </w:r>
      <w:r>
        <w:rPr>
          <w:rFonts w:ascii="Times New Roman" w:hAnsi="Times New Roman"/>
          <w:sz w:val="24"/>
          <w:szCs w:val="24"/>
        </w:rPr>
        <w:t xml:space="preserve">  </w:t>
      </w:r>
    </w:p>
    <w:p w14:paraId="09F03D55" w14:textId="77777777" w:rsidR="00B22CD4" w:rsidRDefault="00B22CD4" w:rsidP="00B22CD4">
      <w:pPr>
        <w:pStyle w:val="NoSpacing"/>
        <w:rPr>
          <w:rFonts w:ascii="Times New Roman" w:hAnsi="Times New Roman"/>
          <w:sz w:val="24"/>
          <w:szCs w:val="24"/>
        </w:rPr>
      </w:pPr>
    </w:p>
    <w:p w14:paraId="606D9BC0" w14:textId="77777777" w:rsidR="00B22CD4" w:rsidRPr="00BA2225" w:rsidRDefault="00B22CD4" w:rsidP="00B22CD4">
      <w:pPr>
        <w:pStyle w:val="NoSpacing"/>
        <w:ind w:left="720"/>
        <w:rPr>
          <w:rFonts w:ascii="Times New Roman" w:hAnsi="Times New Roman"/>
          <w:sz w:val="24"/>
          <w:szCs w:val="24"/>
        </w:rPr>
      </w:pPr>
      <w:r>
        <w:rPr>
          <w:rFonts w:ascii="Times New Roman" w:hAnsi="Times New Roman"/>
          <w:sz w:val="24"/>
          <w:szCs w:val="24"/>
        </w:rPr>
        <w:lastRenderedPageBreak/>
        <w:t>“</w:t>
      </w:r>
      <w:r w:rsidRPr="00BA2225">
        <w:rPr>
          <w:rFonts w:ascii="Times New Roman" w:hAnsi="Times New Roman"/>
          <w:sz w:val="24"/>
          <w:szCs w:val="24"/>
        </w:rPr>
        <w:t>Fire broke out in appellant Casey Allen Martin’s apartment, and firefighters entered to battle the blaze. Firefighters saw drug paraphernalia inside, and they called police in to observe the scene. Officers then obtained a search warrant, which led to the discovery of the methamphetamine that was the basis for Martin’s conviction.</w:t>
      </w:r>
      <w:r>
        <w:rPr>
          <w:rFonts w:ascii="Times New Roman" w:hAnsi="Times New Roman"/>
          <w:sz w:val="24"/>
          <w:szCs w:val="24"/>
        </w:rPr>
        <w:t xml:space="preserve"> </w:t>
      </w:r>
      <w:r w:rsidRPr="00BA2225">
        <w:rPr>
          <w:rFonts w:ascii="Times New Roman" w:hAnsi="Times New Roman"/>
          <w:sz w:val="24"/>
          <w:szCs w:val="24"/>
        </w:rPr>
        <w:t>In one issue, Martin appeals the denial of his motion to suppress. Martin does not dispute that the fire permitted firefighters to enter the apartment. But he contends that the same exigent circumstances did not also authorize officers to enter and observe, in plain view, the same contraband that firefighters had already seen. Because we disagree, we affirm.</w:t>
      </w:r>
    </w:p>
    <w:p w14:paraId="67FD0597" w14:textId="3223F1B5" w:rsidR="00B22CD4" w:rsidRDefault="00B22CD4" w:rsidP="00B22CD4">
      <w:pPr>
        <w:pStyle w:val="NoSpacing"/>
        <w:ind w:left="720"/>
        <w:rPr>
          <w:rFonts w:ascii="Times New Roman" w:hAnsi="Times New Roman"/>
          <w:sz w:val="24"/>
          <w:szCs w:val="24"/>
        </w:rPr>
      </w:pPr>
      <w:hyperlink r:id="rId347" w:history="1">
        <w:r w:rsidRPr="00BA2225">
          <w:rPr>
            <w:rStyle w:val="Hyperlink"/>
            <w:rFonts w:ascii="Times New Roman" w:hAnsi="Times New Roman"/>
            <w:sz w:val="24"/>
            <w:szCs w:val="24"/>
          </w:rPr>
          <w:t>https://cases.justia.com/texas/second-court-of-appeals/2019-02-18-00333-cr.pdf?ts=1558106104</w:t>
        </w:r>
      </w:hyperlink>
      <w:r w:rsidRPr="00BA2225">
        <w:rPr>
          <w:rFonts w:ascii="Times New Roman" w:hAnsi="Times New Roman"/>
          <w:sz w:val="24"/>
          <w:szCs w:val="24"/>
        </w:rPr>
        <w:t xml:space="preserve"> </w:t>
      </w:r>
    </w:p>
    <w:p w14:paraId="27FC7F07" w14:textId="1CA1F3F4" w:rsidR="00B22CD4" w:rsidRDefault="00B22CD4" w:rsidP="00B22CD4">
      <w:pPr>
        <w:pStyle w:val="NoSpacing"/>
        <w:ind w:left="720"/>
        <w:rPr>
          <w:rFonts w:ascii="Times New Roman" w:hAnsi="Times New Roman"/>
          <w:sz w:val="24"/>
          <w:szCs w:val="24"/>
        </w:rPr>
      </w:pPr>
    </w:p>
    <w:p w14:paraId="296EF817" w14:textId="77777777" w:rsidR="00B22CD4" w:rsidRPr="00BA2225" w:rsidRDefault="00B22CD4" w:rsidP="00B22CD4">
      <w:pPr>
        <w:pStyle w:val="NoSpacing"/>
        <w:rPr>
          <w:rFonts w:ascii="Times New Roman" w:hAnsi="Times New Roman"/>
          <w:b/>
          <w:sz w:val="24"/>
          <w:szCs w:val="24"/>
        </w:rPr>
      </w:pPr>
      <w:bookmarkStart w:id="67" w:name="_Hlk10126666"/>
      <w:r w:rsidRPr="00BA2225">
        <w:rPr>
          <w:rFonts w:ascii="Times New Roman" w:hAnsi="Times New Roman"/>
          <w:b/>
          <w:sz w:val="24"/>
          <w:szCs w:val="24"/>
        </w:rPr>
        <w:t>Legal Lessons Learned:</w:t>
      </w:r>
      <w:r>
        <w:rPr>
          <w:rFonts w:ascii="Times New Roman" w:hAnsi="Times New Roman"/>
          <w:b/>
          <w:sz w:val="24"/>
          <w:szCs w:val="24"/>
        </w:rPr>
        <w:t xml:space="preserve"> The “Plain View Rule” is alive and well.  The police probably could have seized the meth and the firearm without a search </w:t>
      </w:r>
      <w:proofErr w:type="gramStart"/>
      <w:r>
        <w:rPr>
          <w:rFonts w:ascii="Times New Roman" w:hAnsi="Times New Roman"/>
          <w:b/>
          <w:sz w:val="24"/>
          <w:szCs w:val="24"/>
        </w:rPr>
        <w:t>warrant, but</w:t>
      </w:r>
      <w:proofErr w:type="gramEnd"/>
      <w:r>
        <w:rPr>
          <w:rFonts w:ascii="Times New Roman" w:hAnsi="Times New Roman"/>
          <w:b/>
          <w:sz w:val="24"/>
          <w:szCs w:val="24"/>
        </w:rPr>
        <w:t xml:space="preserve"> getting the warrant “virtually guaranteed” that a motion to suppress would be denied.</w:t>
      </w:r>
    </w:p>
    <w:bookmarkEnd w:id="67"/>
    <w:p w14:paraId="0C18AB44" w14:textId="77777777" w:rsidR="00B22CD4" w:rsidRPr="00BA2225" w:rsidRDefault="00B22CD4" w:rsidP="00B22CD4">
      <w:pPr>
        <w:pStyle w:val="NoSpacing"/>
        <w:ind w:left="720"/>
        <w:rPr>
          <w:rFonts w:ascii="Times New Roman" w:hAnsi="Times New Roman"/>
          <w:sz w:val="24"/>
          <w:szCs w:val="24"/>
        </w:rPr>
      </w:pPr>
    </w:p>
    <w:bookmarkEnd w:id="66"/>
    <w:p w14:paraId="3807C109" w14:textId="77777777" w:rsidR="006C7F17" w:rsidRDefault="006C7F17" w:rsidP="00791CA3">
      <w:pPr>
        <w:rPr>
          <w:rFonts w:ascii="Arial Black" w:hAnsi="Arial Black"/>
          <w:b/>
          <w:sz w:val="24"/>
          <w:szCs w:val="24"/>
        </w:rPr>
      </w:pPr>
    </w:p>
    <w:p w14:paraId="2AFFFACF" w14:textId="2BE51347" w:rsidR="00D07E6E" w:rsidRDefault="00D07E6E" w:rsidP="00791CA3">
      <w:pPr>
        <w:rPr>
          <w:rFonts w:ascii="Arial Black" w:hAnsi="Arial Black"/>
          <w:b/>
          <w:sz w:val="24"/>
          <w:szCs w:val="24"/>
        </w:rPr>
      </w:pPr>
      <w:r>
        <w:rPr>
          <w:rFonts w:ascii="Arial Black" w:hAnsi="Arial Black"/>
          <w:b/>
          <w:sz w:val="24"/>
          <w:szCs w:val="24"/>
        </w:rPr>
        <w:t>1-2</w:t>
      </w:r>
      <w:r w:rsidR="00637A12">
        <w:rPr>
          <w:rFonts w:ascii="Arial Black" w:hAnsi="Arial Black"/>
          <w:b/>
          <w:sz w:val="24"/>
          <w:szCs w:val="24"/>
        </w:rPr>
        <w:t>4</w:t>
      </w:r>
    </w:p>
    <w:p w14:paraId="4C26BCE1" w14:textId="77777777" w:rsidR="00D07E6E" w:rsidRPr="00D07E6E" w:rsidRDefault="00D07E6E" w:rsidP="00791CA3">
      <w:pPr>
        <w:rPr>
          <w:rFonts w:ascii="Arial Black" w:hAnsi="Arial Black" w:cs="Arial"/>
          <w:b/>
          <w:bCs/>
          <w:sz w:val="28"/>
          <w:szCs w:val="28"/>
        </w:rPr>
      </w:pPr>
      <w:r w:rsidRPr="00D07E6E">
        <w:rPr>
          <w:rFonts w:ascii="Arial Black" w:hAnsi="Arial Black" w:cs="Arial"/>
          <w:b/>
          <w:bCs/>
          <w:sz w:val="28"/>
          <w:szCs w:val="28"/>
        </w:rPr>
        <w:t xml:space="preserve">NY: 911 CALL - ELEVATOR SUDDENLY DROPPED WHILE FDNY AT SCENE – LAWSUIT DISMISSED, “SPECIAL DUTY” RULE </w:t>
      </w:r>
    </w:p>
    <w:p w14:paraId="74893CC1" w14:textId="77777777" w:rsidR="006C7F17" w:rsidRDefault="00D07E6E" w:rsidP="00791CA3">
      <w:pPr>
        <w:rPr>
          <w:rFonts w:ascii="Times New Roman" w:hAnsi="Times New Roman"/>
          <w:sz w:val="24"/>
          <w:szCs w:val="24"/>
        </w:rPr>
      </w:pPr>
      <w:r w:rsidRPr="00015208">
        <w:rPr>
          <w:rFonts w:ascii="Times New Roman" w:hAnsi="Times New Roman"/>
          <w:sz w:val="24"/>
          <w:szCs w:val="24"/>
        </w:rPr>
        <w:t>On April 24, 2019, in Daniel Ortiz v. City of New York, et al, the Supreme Court of New York, Appellate Division, Second Department, 2019 NY Slip Op 03062,</w:t>
      </w:r>
      <w:r w:rsidR="006C7F17">
        <w:rPr>
          <w:rFonts w:ascii="Times New Roman" w:hAnsi="Times New Roman"/>
          <w:sz w:val="24"/>
          <w:szCs w:val="24"/>
        </w:rPr>
        <w:t xml:space="preserve"> </w:t>
      </w:r>
      <w:r w:rsidRPr="00015208">
        <w:rPr>
          <w:rFonts w:ascii="Times New Roman" w:hAnsi="Times New Roman"/>
          <w:sz w:val="24"/>
          <w:szCs w:val="24"/>
        </w:rPr>
        <w:t>held (5 to 0) that the lawsuit was properly dismissed by Kings County judge.</w:t>
      </w:r>
    </w:p>
    <w:p w14:paraId="3FB174CF" w14:textId="21311F44" w:rsidR="00D07E6E" w:rsidRPr="00015208" w:rsidRDefault="00D07E6E" w:rsidP="006C7F17">
      <w:pPr>
        <w:ind w:left="720"/>
        <w:rPr>
          <w:rFonts w:ascii="Times New Roman" w:hAnsi="Times New Roman"/>
          <w:sz w:val="24"/>
          <w:szCs w:val="24"/>
        </w:rPr>
      </w:pPr>
      <w:r w:rsidRPr="00015208">
        <w:rPr>
          <w:rFonts w:ascii="Times New Roman" w:hAnsi="Times New Roman"/>
          <w:sz w:val="24"/>
          <w:szCs w:val="24"/>
        </w:rPr>
        <w:t xml:space="preserve">“Here, the City defendants were acting in a governmental capacity when the plaintiff was injured during the firefighters' rescue operation (see </w:t>
      </w:r>
      <w:proofErr w:type="spellStart"/>
      <w:r w:rsidRPr="00015208">
        <w:rPr>
          <w:rFonts w:ascii="Times New Roman" w:hAnsi="Times New Roman"/>
          <w:sz w:val="24"/>
          <w:szCs w:val="24"/>
        </w:rPr>
        <w:t>Kadymir</w:t>
      </w:r>
      <w:proofErr w:type="spellEnd"/>
      <w:r w:rsidRPr="00015208">
        <w:rPr>
          <w:rFonts w:ascii="Times New Roman" w:hAnsi="Times New Roman"/>
          <w:sz w:val="24"/>
          <w:szCs w:val="24"/>
        </w:rPr>
        <w:t xml:space="preserve"> v New York City Tr. Auth., 55 AD3d 549, 552). The inquiry then turns to whether the </w:t>
      </w:r>
      <w:proofErr w:type="gramStart"/>
      <w:r w:rsidRPr="00015208">
        <w:rPr>
          <w:rFonts w:ascii="Times New Roman" w:hAnsi="Times New Roman"/>
          <w:sz w:val="24"/>
          <w:szCs w:val="24"/>
        </w:rPr>
        <w:t>City</w:t>
      </w:r>
      <w:proofErr w:type="gramEnd"/>
      <w:r w:rsidRPr="00015208">
        <w:rPr>
          <w:rFonts w:ascii="Times New Roman" w:hAnsi="Times New Roman"/>
          <w:sz w:val="24"/>
          <w:szCs w:val="24"/>
        </w:rPr>
        <w:t xml:space="preserve"> defendants owed the plaintiff a special duty (see Applewhite v </w:t>
      </w:r>
      <w:proofErr w:type="spellStart"/>
      <w:r w:rsidRPr="00015208">
        <w:rPr>
          <w:rFonts w:ascii="Times New Roman" w:hAnsi="Times New Roman"/>
          <w:sz w:val="24"/>
          <w:szCs w:val="24"/>
        </w:rPr>
        <w:t>Accuhealth</w:t>
      </w:r>
      <w:proofErr w:type="spellEnd"/>
      <w:r w:rsidRPr="00015208">
        <w:rPr>
          <w:rFonts w:ascii="Times New Roman" w:hAnsi="Times New Roman"/>
          <w:sz w:val="24"/>
          <w:szCs w:val="24"/>
        </w:rPr>
        <w:t xml:space="preserve">, Inc., 21 NY3d at 426). Contrary to the plaintiff's contention that no special duty was required, a special duty was ‘an essential element of the negligence claim itself’ (id.). Because the plaintiff concedes that the City defendants owed him no special duty of care, ‘the analysis ends and liability may not be imputed to the’ City defendants (id.).” </w:t>
      </w:r>
      <w:hyperlink r:id="rId348" w:history="1">
        <w:r w:rsidRPr="00015208">
          <w:rPr>
            <w:rStyle w:val="Hyperlink"/>
            <w:rFonts w:ascii="Times New Roman" w:hAnsi="Times New Roman"/>
            <w:sz w:val="24"/>
            <w:szCs w:val="24"/>
          </w:rPr>
          <w:t>https://law.justia.com/cases/new-york/appellate-division-second-department/2019/2017-01910.html</w:t>
        </w:r>
      </w:hyperlink>
      <w:r w:rsidRPr="00015208">
        <w:rPr>
          <w:rFonts w:ascii="Times New Roman" w:hAnsi="Times New Roman"/>
          <w:sz w:val="24"/>
          <w:szCs w:val="24"/>
        </w:rPr>
        <w:t xml:space="preserve"> </w:t>
      </w:r>
    </w:p>
    <w:p w14:paraId="0073D181" w14:textId="5CFC4257" w:rsidR="00D07E6E" w:rsidRPr="00015208" w:rsidRDefault="00D07E6E" w:rsidP="00791CA3">
      <w:pPr>
        <w:rPr>
          <w:rFonts w:ascii="Times New Roman" w:hAnsi="Times New Roman"/>
          <w:b/>
          <w:bCs/>
          <w:sz w:val="24"/>
          <w:szCs w:val="24"/>
        </w:rPr>
      </w:pPr>
      <w:r w:rsidRPr="00015208">
        <w:rPr>
          <w:rFonts w:ascii="Times New Roman" w:hAnsi="Times New Roman"/>
          <w:b/>
          <w:bCs/>
          <w:sz w:val="24"/>
          <w:szCs w:val="24"/>
        </w:rPr>
        <w:t>Legal Lessons Learned: The “special duty rule” protects municipalities when performing a governmental function.</w:t>
      </w:r>
    </w:p>
    <w:p w14:paraId="0C38FD85" w14:textId="4C412579" w:rsidR="00D07E6E" w:rsidRPr="00015208" w:rsidRDefault="00D07E6E" w:rsidP="00791CA3">
      <w:pPr>
        <w:rPr>
          <w:rFonts w:ascii="Times New Roman" w:hAnsi="Times New Roman"/>
          <w:bCs/>
          <w:sz w:val="24"/>
          <w:szCs w:val="24"/>
        </w:rPr>
      </w:pPr>
    </w:p>
    <w:p w14:paraId="072F49C2" w14:textId="77777777" w:rsidR="00D07E6E" w:rsidRDefault="00D07E6E" w:rsidP="00791CA3">
      <w:pPr>
        <w:rPr>
          <w:rFonts w:ascii="Arial Black" w:hAnsi="Arial Black"/>
          <w:b/>
          <w:sz w:val="24"/>
          <w:szCs w:val="24"/>
        </w:rPr>
      </w:pPr>
    </w:p>
    <w:p w14:paraId="355C8987" w14:textId="6F919A94" w:rsidR="00C17A9D" w:rsidRDefault="00C17A9D" w:rsidP="00791CA3">
      <w:pPr>
        <w:rPr>
          <w:rFonts w:ascii="Arial Black" w:hAnsi="Arial Black"/>
          <w:b/>
          <w:sz w:val="24"/>
          <w:szCs w:val="24"/>
        </w:rPr>
      </w:pPr>
      <w:r>
        <w:rPr>
          <w:rFonts w:ascii="Arial Black" w:hAnsi="Arial Black"/>
          <w:b/>
          <w:sz w:val="24"/>
          <w:szCs w:val="24"/>
        </w:rPr>
        <w:t>1-2</w:t>
      </w:r>
      <w:r w:rsidR="00637A12">
        <w:rPr>
          <w:rFonts w:ascii="Arial Black" w:hAnsi="Arial Black"/>
          <w:b/>
          <w:sz w:val="24"/>
          <w:szCs w:val="24"/>
        </w:rPr>
        <w:t>3</w:t>
      </w:r>
    </w:p>
    <w:p w14:paraId="19ED4F76" w14:textId="77777777" w:rsidR="00015208" w:rsidRDefault="00C17A9D" w:rsidP="00791CA3">
      <w:pPr>
        <w:rPr>
          <w:rFonts w:ascii="Arial" w:hAnsi="Arial" w:cs="Arial"/>
          <w:sz w:val="35"/>
          <w:szCs w:val="35"/>
        </w:rPr>
      </w:pPr>
      <w:r w:rsidRPr="00C17A9D">
        <w:rPr>
          <w:rFonts w:ascii="Arial Black" w:hAnsi="Arial Black"/>
          <w:sz w:val="28"/>
          <w:szCs w:val="28"/>
        </w:rPr>
        <w:t>IL: BILLING FOR FD SEVICES – ORDINANCE LAWFUL TO BILL NON-RESIDENTS, INCLUDING EXTRICATING EMPLOYEE UNDER VEHICLE</w:t>
      </w:r>
      <w:r>
        <w:rPr>
          <w:rFonts w:ascii="Arial" w:hAnsi="Arial" w:cs="Arial"/>
          <w:sz w:val="35"/>
          <w:szCs w:val="35"/>
        </w:rPr>
        <w:t xml:space="preserve"> </w:t>
      </w:r>
    </w:p>
    <w:p w14:paraId="47FA66A7" w14:textId="77777777" w:rsidR="006C7F17" w:rsidRDefault="00C17A9D" w:rsidP="00791CA3">
      <w:pPr>
        <w:rPr>
          <w:rFonts w:ascii="Times New Roman" w:hAnsi="Times New Roman"/>
          <w:sz w:val="24"/>
          <w:szCs w:val="24"/>
        </w:rPr>
      </w:pPr>
      <w:r w:rsidRPr="00015208">
        <w:rPr>
          <w:rFonts w:ascii="Times New Roman" w:hAnsi="Times New Roman"/>
          <w:sz w:val="24"/>
          <w:szCs w:val="24"/>
        </w:rPr>
        <w:t xml:space="preserve">On March 28, 2019, in The City of Effingham, Illinois v. Diss Truck &amp; Repair, LLC, the Appellate Court of Illinois - Fifth District, held (3 to 0) that the Fire Department may bill for these services for a non-resident. </w:t>
      </w:r>
    </w:p>
    <w:p w14:paraId="5F7F2EDA" w14:textId="341FFB8F" w:rsidR="00C17A9D" w:rsidRPr="00015208" w:rsidRDefault="00C17A9D" w:rsidP="006C7F17">
      <w:pPr>
        <w:ind w:left="720"/>
        <w:rPr>
          <w:rFonts w:ascii="Times New Roman" w:hAnsi="Times New Roman"/>
          <w:b/>
          <w:sz w:val="24"/>
          <w:szCs w:val="24"/>
        </w:rPr>
      </w:pPr>
      <w:r w:rsidRPr="00015208">
        <w:rPr>
          <w:rFonts w:ascii="Times New Roman" w:hAnsi="Times New Roman"/>
          <w:sz w:val="24"/>
          <w:szCs w:val="24"/>
        </w:rPr>
        <w:lastRenderedPageBreak/>
        <w:t>“After reviewing the legislative history, both before and after the enactment of the statute, we conclude that the legislature’s intent in allowing a municipality to seek reimbursement for firefighting services provided to nonresidents was to eliminate the taxpayer’s burden for such services; the intent was to allocate the cost of the services to nonresidents so that the citizens of the municipality were not forced to bear the cost of services performed on behalf of those not paying taxes to the municipality.”</w:t>
      </w:r>
      <w:r w:rsidR="006C7F17">
        <w:rPr>
          <w:rFonts w:ascii="Times New Roman" w:hAnsi="Times New Roman"/>
          <w:sz w:val="24"/>
          <w:szCs w:val="24"/>
        </w:rPr>
        <w:t xml:space="preserve"> </w:t>
      </w:r>
      <w:hyperlink r:id="rId349" w:history="1">
        <w:r w:rsidR="006C7F17" w:rsidRPr="002F304C">
          <w:rPr>
            <w:rStyle w:val="Hyperlink"/>
            <w:rFonts w:ascii="Times New Roman" w:hAnsi="Times New Roman"/>
            <w:sz w:val="24"/>
            <w:szCs w:val="24"/>
          </w:rPr>
          <w:t>https://law.justia.com/cases/illinois/court-of-appeals-fifth-appellate-district/2019/5-18-0064.html</w:t>
        </w:r>
      </w:hyperlink>
      <w:r w:rsidR="006C7F17">
        <w:rPr>
          <w:rFonts w:ascii="Times New Roman" w:hAnsi="Times New Roman"/>
          <w:sz w:val="24"/>
          <w:szCs w:val="24"/>
        </w:rPr>
        <w:t xml:space="preserve"> </w:t>
      </w:r>
    </w:p>
    <w:p w14:paraId="4959EE6B" w14:textId="282598F9" w:rsidR="00C17A9D" w:rsidRPr="00015208" w:rsidRDefault="00C17A9D" w:rsidP="00791CA3">
      <w:pPr>
        <w:rPr>
          <w:rFonts w:ascii="Times New Roman" w:hAnsi="Times New Roman"/>
          <w:b/>
          <w:bCs/>
          <w:sz w:val="24"/>
          <w:szCs w:val="24"/>
        </w:rPr>
      </w:pPr>
      <w:r w:rsidRPr="00015208">
        <w:rPr>
          <w:rFonts w:ascii="Times New Roman" w:hAnsi="Times New Roman"/>
          <w:b/>
          <w:bCs/>
          <w:sz w:val="24"/>
          <w:szCs w:val="24"/>
        </w:rPr>
        <w:t>Legal Lessons Learned: Ordinances authorizing billing of non-residents for fire department services are becoming increasingly common.</w:t>
      </w:r>
    </w:p>
    <w:p w14:paraId="35D80C66" w14:textId="77777777" w:rsidR="00015208" w:rsidRDefault="00015208" w:rsidP="00791CA3">
      <w:pPr>
        <w:rPr>
          <w:rFonts w:ascii="Arial Black" w:hAnsi="Arial Black"/>
          <w:b/>
          <w:sz w:val="24"/>
          <w:szCs w:val="24"/>
        </w:rPr>
      </w:pPr>
    </w:p>
    <w:p w14:paraId="5BA77B5B" w14:textId="77777777" w:rsidR="00C17A9D" w:rsidRDefault="00C17A9D" w:rsidP="00791CA3">
      <w:pPr>
        <w:rPr>
          <w:rFonts w:ascii="Arial Black" w:hAnsi="Arial Black"/>
          <w:b/>
          <w:sz w:val="24"/>
          <w:szCs w:val="24"/>
        </w:rPr>
      </w:pPr>
    </w:p>
    <w:p w14:paraId="6AF48E99" w14:textId="15E9BF94" w:rsidR="00B22CD4" w:rsidRDefault="00791CA3" w:rsidP="00791CA3">
      <w:pPr>
        <w:rPr>
          <w:sz w:val="24"/>
          <w:szCs w:val="24"/>
        </w:rPr>
      </w:pPr>
      <w:r w:rsidRPr="00791CA3">
        <w:rPr>
          <w:rFonts w:ascii="Arial Black" w:hAnsi="Arial Black"/>
          <w:b/>
          <w:sz w:val="24"/>
          <w:szCs w:val="24"/>
        </w:rPr>
        <w:t>1-</w:t>
      </w:r>
      <w:r>
        <w:rPr>
          <w:rFonts w:ascii="Arial Black" w:hAnsi="Arial Black"/>
          <w:b/>
          <w:sz w:val="24"/>
          <w:szCs w:val="24"/>
        </w:rPr>
        <w:t>2</w:t>
      </w:r>
      <w:r w:rsidR="00637A12">
        <w:rPr>
          <w:rFonts w:ascii="Arial Black" w:hAnsi="Arial Black"/>
          <w:b/>
          <w:sz w:val="24"/>
          <w:szCs w:val="24"/>
        </w:rPr>
        <w:t>2</w:t>
      </w:r>
    </w:p>
    <w:p w14:paraId="48B44BFB" w14:textId="361ED236" w:rsidR="00ED63B1" w:rsidRDefault="00ED63B1" w:rsidP="00ED63B1">
      <w:pPr>
        <w:pStyle w:val="NoSpacing"/>
        <w:rPr>
          <w:rFonts w:ascii="Arial Black" w:hAnsi="Arial Black"/>
          <w:sz w:val="28"/>
          <w:szCs w:val="28"/>
        </w:rPr>
      </w:pPr>
      <w:r w:rsidRPr="004875B7">
        <w:rPr>
          <w:rFonts w:ascii="Arial Black" w:hAnsi="Arial Black"/>
          <w:sz w:val="28"/>
          <w:szCs w:val="28"/>
        </w:rPr>
        <w:t xml:space="preserve">CO:  ARSON - $3M </w:t>
      </w:r>
      <w:r>
        <w:rPr>
          <w:rFonts w:ascii="Arial Black" w:hAnsi="Arial Black"/>
          <w:sz w:val="28"/>
          <w:szCs w:val="28"/>
        </w:rPr>
        <w:t xml:space="preserve">LOSS TO HOTEL BEING BUILT– NO SECURITY </w:t>
      </w:r>
      <w:r w:rsidRPr="004875B7">
        <w:rPr>
          <w:rFonts w:ascii="Arial Black" w:hAnsi="Arial Black"/>
          <w:sz w:val="28"/>
          <w:szCs w:val="28"/>
        </w:rPr>
        <w:t>FENCE</w:t>
      </w:r>
      <w:r>
        <w:rPr>
          <w:rFonts w:ascii="Arial Black" w:hAnsi="Arial Black"/>
          <w:sz w:val="28"/>
          <w:szCs w:val="28"/>
        </w:rPr>
        <w:t xml:space="preserve">, NO INSURANCE </w:t>
      </w:r>
    </w:p>
    <w:p w14:paraId="5766A52A" w14:textId="77777777" w:rsidR="006C7F17" w:rsidRDefault="00ED63B1" w:rsidP="00ED63B1">
      <w:pPr>
        <w:pStyle w:val="NoSpacing"/>
        <w:rPr>
          <w:rFonts w:ascii="Times New Roman" w:hAnsi="Times New Roman"/>
          <w:sz w:val="24"/>
          <w:szCs w:val="24"/>
        </w:rPr>
      </w:pPr>
      <w:r w:rsidRPr="00015208">
        <w:rPr>
          <w:rFonts w:ascii="Times New Roman" w:hAnsi="Times New Roman"/>
          <w:sz w:val="24"/>
          <w:szCs w:val="24"/>
        </w:rPr>
        <w:t xml:space="preserve">On March 1, 2019, in </w:t>
      </w:r>
      <w:r w:rsidRPr="00015208">
        <w:rPr>
          <w:rFonts w:ascii="Times New Roman" w:hAnsi="Times New Roman"/>
          <w:sz w:val="24"/>
          <w:szCs w:val="24"/>
          <w:u w:val="single"/>
        </w:rPr>
        <w:t>Praetorian Insurance Company v. Axia Contracting, LLC and 255 Blackhawk Hospitality, LLP</w:t>
      </w:r>
      <w:r w:rsidRPr="00015208">
        <w:rPr>
          <w:rFonts w:ascii="Times New Roman" w:hAnsi="Times New Roman"/>
          <w:sz w:val="24"/>
          <w:szCs w:val="24"/>
        </w:rPr>
        <w:t xml:space="preserve">, U.S. District Court Judge William J. Martinez, District of Colorado, granted summary judgment to the insurance company. </w:t>
      </w:r>
    </w:p>
    <w:p w14:paraId="4AA0D21E" w14:textId="77777777" w:rsidR="006C7F17" w:rsidRDefault="006C7F17" w:rsidP="00ED63B1">
      <w:pPr>
        <w:pStyle w:val="NoSpacing"/>
        <w:rPr>
          <w:rFonts w:ascii="Times New Roman" w:hAnsi="Times New Roman"/>
          <w:sz w:val="24"/>
          <w:szCs w:val="24"/>
        </w:rPr>
      </w:pPr>
    </w:p>
    <w:p w14:paraId="47D3A58A" w14:textId="16A99A59" w:rsidR="00ED63B1" w:rsidRDefault="00ED63B1" w:rsidP="006C7F17">
      <w:pPr>
        <w:pStyle w:val="NoSpacing"/>
        <w:ind w:left="720"/>
        <w:rPr>
          <w:rFonts w:ascii="Times New Roman" w:eastAsia="Times New Roman" w:hAnsi="Times New Roman"/>
          <w:bCs/>
          <w:sz w:val="24"/>
          <w:szCs w:val="24"/>
        </w:rPr>
      </w:pPr>
      <w:r w:rsidRPr="00015208">
        <w:rPr>
          <w:rFonts w:ascii="Times New Roman" w:hAnsi="Times New Roman"/>
          <w:sz w:val="24"/>
          <w:szCs w:val="24"/>
        </w:rPr>
        <w:t xml:space="preserve">“On summary judgment, the parties seek clarity from this Court on whether, under the Policy, Defendants’ failure to maintain a protective device, a six-foot fence enclosing the entire job site, which was listed in an endorsement and schedule attached to the contract, relieves Praetorian of its obligation to pay for Defendants’ losses due to fire…. For the reasons discussed below, the Court will grant Praetorian’s Motion for Summary Judgment (‘the Motion’), direct entry of judgment, and terminate this case.” </w:t>
      </w:r>
      <w:hyperlink r:id="rId350" w:history="1">
        <w:r w:rsidRPr="00015208">
          <w:rPr>
            <w:rStyle w:val="Hyperlink"/>
            <w:rFonts w:ascii="Times New Roman" w:eastAsia="Times New Roman" w:hAnsi="Times New Roman"/>
            <w:sz w:val="24"/>
            <w:szCs w:val="24"/>
          </w:rPr>
          <w:t>https://cases.justia.com/federal/district-courts/colorado/codce/1:2017cv02034/173671/65/0.pdf?ts=1551517811</w:t>
        </w:r>
      </w:hyperlink>
      <w:r w:rsidRPr="00015208">
        <w:rPr>
          <w:rFonts w:ascii="Times New Roman" w:eastAsia="Times New Roman" w:hAnsi="Times New Roman"/>
          <w:bCs/>
          <w:sz w:val="24"/>
          <w:szCs w:val="24"/>
        </w:rPr>
        <w:t xml:space="preserve"> </w:t>
      </w:r>
    </w:p>
    <w:p w14:paraId="03930CD2" w14:textId="77777777" w:rsidR="006C7F17" w:rsidRPr="00015208" w:rsidRDefault="006C7F17" w:rsidP="006C7F17">
      <w:pPr>
        <w:pStyle w:val="NoSpacing"/>
        <w:ind w:left="720"/>
        <w:rPr>
          <w:rFonts w:ascii="Times New Roman" w:eastAsia="Times New Roman" w:hAnsi="Times New Roman"/>
          <w:bCs/>
          <w:sz w:val="24"/>
          <w:szCs w:val="24"/>
        </w:rPr>
      </w:pPr>
    </w:p>
    <w:p w14:paraId="1D82724E" w14:textId="77777777" w:rsidR="00ED63B1" w:rsidRPr="00015208" w:rsidRDefault="00ED63B1" w:rsidP="00ED63B1">
      <w:pPr>
        <w:pStyle w:val="NoSpacing"/>
        <w:rPr>
          <w:rFonts w:ascii="Times New Roman" w:hAnsi="Times New Roman"/>
          <w:b/>
          <w:sz w:val="24"/>
          <w:szCs w:val="24"/>
        </w:rPr>
      </w:pPr>
      <w:r w:rsidRPr="00015208">
        <w:rPr>
          <w:rFonts w:ascii="Times New Roman" w:hAnsi="Times New Roman"/>
          <w:b/>
          <w:sz w:val="24"/>
          <w:szCs w:val="24"/>
        </w:rPr>
        <w:t>Legal Lessons Learned:  FDs should encourage owners of large construction sites to enclose the site with fencing and nighttime lights.</w:t>
      </w:r>
    </w:p>
    <w:p w14:paraId="07F65D9E" w14:textId="77777777" w:rsidR="00FB71EA" w:rsidRPr="00015208" w:rsidRDefault="00FB71EA" w:rsidP="00ED63B1">
      <w:pPr>
        <w:pStyle w:val="NoSpacing"/>
        <w:rPr>
          <w:rFonts w:ascii="Times New Roman" w:hAnsi="Times New Roman"/>
          <w:bCs/>
          <w:sz w:val="24"/>
          <w:szCs w:val="24"/>
        </w:rPr>
      </w:pPr>
    </w:p>
    <w:p w14:paraId="05D957A7" w14:textId="77777777" w:rsidR="00F326E5" w:rsidRDefault="00F326E5" w:rsidP="00F326E5">
      <w:pPr>
        <w:pStyle w:val="NoSpacing"/>
        <w:rPr>
          <w:rFonts w:ascii="Times New Roman" w:eastAsia="Times New Roman" w:hAnsi="Times New Roman"/>
          <w:sz w:val="24"/>
          <w:szCs w:val="24"/>
        </w:rPr>
      </w:pPr>
    </w:p>
    <w:p w14:paraId="46AD8CDA" w14:textId="77777777" w:rsidR="00ED63B1" w:rsidRDefault="00ED63B1" w:rsidP="00F326E5">
      <w:pPr>
        <w:pStyle w:val="NoSpacing"/>
        <w:rPr>
          <w:rFonts w:ascii="Times New Roman" w:eastAsia="Times New Roman" w:hAnsi="Times New Roman"/>
          <w:sz w:val="24"/>
          <w:szCs w:val="24"/>
        </w:rPr>
      </w:pPr>
    </w:p>
    <w:p w14:paraId="75B027F1" w14:textId="42604589" w:rsidR="00ED63B1" w:rsidRDefault="00791CA3" w:rsidP="00791CA3">
      <w:pPr>
        <w:rPr>
          <w:rFonts w:ascii="Times New Roman" w:eastAsia="Times New Roman" w:hAnsi="Times New Roman"/>
          <w:sz w:val="24"/>
          <w:szCs w:val="24"/>
        </w:rPr>
      </w:pPr>
      <w:r w:rsidRPr="00791CA3">
        <w:rPr>
          <w:rFonts w:ascii="Arial Black" w:hAnsi="Arial Black"/>
          <w:b/>
          <w:sz w:val="24"/>
          <w:szCs w:val="24"/>
        </w:rPr>
        <w:t>1-</w:t>
      </w:r>
      <w:r w:rsidR="00637A12">
        <w:rPr>
          <w:rFonts w:ascii="Arial Black" w:hAnsi="Arial Black"/>
          <w:b/>
          <w:sz w:val="24"/>
          <w:szCs w:val="24"/>
        </w:rPr>
        <w:t>21</w:t>
      </w:r>
    </w:p>
    <w:p w14:paraId="7E0460AE" w14:textId="5773390F" w:rsidR="00F326E5" w:rsidRDefault="00F326E5" w:rsidP="00F326E5">
      <w:pPr>
        <w:pStyle w:val="NoSpacing"/>
        <w:rPr>
          <w:rFonts w:ascii="Times New Roman" w:hAnsi="Times New Roman"/>
          <w:sz w:val="24"/>
          <w:szCs w:val="24"/>
        </w:rPr>
      </w:pPr>
      <w:bookmarkStart w:id="68" w:name="_Hlk7339238"/>
      <w:r w:rsidRPr="000D5825">
        <w:rPr>
          <w:rFonts w:ascii="Arial Black" w:hAnsi="Arial Black"/>
          <w:b/>
          <w:sz w:val="28"/>
          <w:szCs w:val="28"/>
        </w:rPr>
        <w:t xml:space="preserve">MD:  GOVT IMMUNITY – COUNTY 911 </w:t>
      </w:r>
      <w:r>
        <w:rPr>
          <w:rFonts w:ascii="Arial Black" w:hAnsi="Arial Black"/>
          <w:b/>
          <w:sz w:val="28"/>
          <w:szCs w:val="28"/>
        </w:rPr>
        <w:t xml:space="preserve">SYSTEM </w:t>
      </w:r>
      <w:r w:rsidRPr="000D5825">
        <w:rPr>
          <w:rFonts w:ascii="Arial Black" w:hAnsi="Arial Black"/>
          <w:b/>
          <w:sz w:val="28"/>
          <w:szCs w:val="28"/>
        </w:rPr>
        <w:t>DOWN 3 HOURS</w:t>
      </w:r>
      <w:r>
        <w:rPr>
          <w:rFonts w:ascii="Arial Black" w:hAnsi="Arial Black"/>
          <w:b/>
          <w:sz w:val="28"/>
          <w:szCs w:val="28"/>
        </w:rPr>
        <w:t xml:space="preserve"> – RESIDENT DIED </w:t>
      </w:r>
      <w:r w:rsidRPr="000D5825">
        <w:rPr>
          <w:rFonts w:ascii="Arial Black" w:hAnsi="Arial Black"/>
          <w:b/>
          <w:sz w:val="28"/>
          <w:szCs w:val="28"/>
        </w:rPr>
        <w:t xml:space="preserve"> </w:t>
      </w:r>
      <w:r w:rsidRPr="000D5825">
        <w:rPr>
          <w:rFonts w:ascii="Times New Roman" w:hAnsi="Times New Roman"/>
          <w:sz w:val="24"/>
          <w:szCs w:val="24"/>
        </w:rPr>
        <w:t xml:space="preserve"> </w:t>
      </w:r>
    </w:p>
    <w:p w14:paraId="5B04FA95" w14:textId="77777777" w:rsidR="006C7F17" w:rsidRDefault="006C7F17" w:rsidP="00F326E5">
      <w:pPr>
        <w:pStyle w:val="NoSpacing"/>
        <w:rPr>
          <w:rFonts w:ascii="Times New Roman" w:hAnsi="Times New Roman"/>
          <w:sz w:val="24"/>
          <w:szCs w:val="24"/>
        </w:rPr>
      </w:pPr>
    </w:p>
    <w:p w14:paraId="58A32474" w14:textId="77777777" w:rsidR="006C7F17" w:rsidRDefault="00F326E5" w:rsidP="00F326E5">
      <w:pPr>
        <w:pStyle w:val="NoSpacing"/>
        <w:rPr>
          <w:rFonts w:ascii="Times New Roman" w:hAnsi="Times New Roman"/>
          <w:sz w:val="24"/>
          <w:szCs w:val="24"/>
        </w:rPr>
      </w:pPr>
      <w:r w:rsidRPr="000D5825">
        <w:rPr>
          <w:rFonts w:ascii="Times New Roman" w:hAnsi="Times New Roman"/>
          <w:sz w:val="24"/>
          <w:szCs w:val="24"/>
        </w:rPr>
        <w:t xml:space="preserve">On Feb. 22, 2019, in </w:t>
      </w:r>
      <w:r w:rsidRPr="000D5825">
        <w:rPr>
          <w:rFonts w:ascii="Times New Roman" w:hAnsi="Times New Roman"/>
          <w:sz w:val="24"/>
          <w:szCs w:val="24"/>
          <w:u w:val="single"/>
        </w:rPr>
        <w:t xml:space="preserve">Raul T. </w:t>
      </w:r>
      <w:proofErr w:type="spellStart"/>
      <w:r w:rsidRPr="000D5825">
        <w:rPr>
          <w:rFonts w:ascii="Times New Roman" w:hAnsi="Times New Roman"/>
          <w:sz w:val="24"/>
          <w:szCs w:val="24"/>
          <w:u w:val="single"/>
        </w:rPr>
        <w:t>Aristorenas</w:t>
      </w:r>
      <w:proofErr w:type="spellEnd"/>
      <w:r w:rsidRPr="000D5825">
        <w:rPr>
          <w:rFonts w:ascii="Times New Roman" w:hAnsi="Times New Roman"/>
          <w:sz w:val="24"/>
          <w:szCs w:val="24"/>
          <w:u w:val="single"/>
        </w:rPr>
        <w:t>, et al. v. Montgomery County, Maryland</w:t>
      </w:r>
      <w:r w:rsidRPr="000D5825">
        <w:rPr>
          <w:rFonts w:ascii="Times New Roman" w:hAnsi="Times New Roman"/>
          <w:sz w:val="24"/>
          <w:szCs w:val="24"/>
        </w:rPr>
        <w:t xml:space="preserve">, the Court of Appeals of Maryland, held (3 to 0) in unreported decision upheld the dismissal of the lawsuit by Circuit Court trial judge: </w:t>
      </w:r>
    </w:p>
    <w:p w14:paraId="5BB73285" w14:textId="77777777" w:rsidR="006C7F17" w:rsidRDefault="006C7F17" w:rsidP="00F326E5">
      <w:pPr>
        <w:pStyle w:val="NoSpacing"/>
        <w:rPr>
          <w:rFonts w:ascii="Times New Roman" w:hAnsi="Times New Roman"/>
          <w:sz w:val="24"/>
          <w:szCs w:val="24"/>
        </w:rPr>
      </w:pPr>
    </w:p>
    <w:p w14:paraId="056A9A0A" w14:textId="77777777" w:rsidR="006C7F17" w:rsidRPr="006C7F17" w:rsidRDefault="00F326E5" w:rsidP="006C7F17">
      <w:pPr>
        <w:pStyle w:val="NoSpacing"/>
        <w:ind w:left="720"/>
        <w:rPr>
          <w:rFonts w:ascii="Times New Roman" w:hAnsi="Times New Roman"/>
          <w:sz w:val="24"/>
          <w:szCs w:val="24"/>
        </w:rPr>
      </w:pPr>
      <w:r w:rsidRPr="006C7F17">
        <w:rPr>
          <w:rFonts w:ascii="Times New Roman" w:hAnsi="Times New Roman"/>
          <w:sz w:val="24"/>
          <w:szCs w:val="24"/>
        </w:rPr>
        <w:t>“The [trial] court concluded that the allegations did not state a claim for negligence—which underlies both the wrongful death and the survival claims—because the County is immune from suit and the individual defendants did not owe a duty to Mr. Somarriba or Marlon. We agree and affirm.”</w:t>
      </w:r>
    </w:p>
    <w:p w14:paraId="08FDEA33" w14:textId="76716B15" w:rsidR="00F326E5" w:rsidRPr="006C7F17" w:rsidRDefault="006C7F17" w:rsidP="006C7F17">
      <w:pPr>
        <w:pStyle w:val="NoSpacing"/>
        <w:ind w:left="720"/>
        <w:rPr>
          <w:rFonts w:ascii="Times New Roman" w:hAnsi="Times New Roman"/>
          <w:sz w:val="24"/>
          <w:szCs w:val="24"/>
        </w:rPr>
      </w:pPr>
      <w:hyperlink r:id="rId351" w:history="1">
        <w:r w:rsidRPr="006C7F17">
          <w:rPr>
            <w:rStyle w:val="Hyperlink"/>
            <w:rFonts w:ascii="Times New Roman" w:hAnsi="Times New Roman"/>
            <w:sz w:val="24"/>
            <w:szCs w:val="24"/>
          </w:rPr>
          <w:t>https://mdcourts.gov/sites/default/files/unreported-opinions/2279s17.pdf</w:t>
        </w:r>
      </w:hyperlink>
      <w:r w:rsidR="00F326E5" w:rsidRPr="006C7F17">
        <w:rPr>
          <w:rFonts w:ascii="Times New Roman" w:hAnsi="Times New Roman"/>
          <w:sz w:val="24"/>
          <w:szCs w:val="24"/>
        </w:rPr>
        <w:t xml:space="preserve"> </w:t>
      </w:r>
    </w:p>
    <w:p w14:paraId="43C66349" w14:textId="77777777" w:rsidR="006C7F17" w:rsidRDefault="006C7F17" w:rsidP="00F326E5">
      <w:pPr>
        <w:pStyle w:val="NoSpacing"/>
        <w:rPr>
          <w:rFonts w:ascii="Times New Roman" w:hAnsi="Times New Roman"/>
          <w:b/>
          <w:sz w:val="24"/>
          <w:szCs w:val="24"/>
        </w:rPr>
      </w:pPr>
    </w:p>
    <w:p w14:paraId="100E6B17" w14:textId="51D06BDA" w:rsidR="00F326E5" w:rsidRPr="000D5825" w:rsidRDefault="00F326E5" w:rsidP="00F326E5">
      <w:pPr>
        <w:pStyle w:val="NoSpacing"/>
        <w:rPr>
          <w:rFonts w:ascii="Times New Roman" w:hAnsi="Times New Roman"/>
          <w:b/>
          <w:sz w:val="24"/>
          <w:szCs w:val="24"/>
        </w:rPr>
      </w:pPr>
      <w:r w:rsidRPr="000D5825">
        <w:rPr>
          <w:rFonts w:ascii="Times New Roman" w:hAnsi="Times New Roman"/>
          <w:b/>
          <w:sz w:val="24"/>
          <w:szCs w:val="24"/>
        </w:rPr>
        <w:lastRenderedPageBreak/>
        <w:t xml:space="preserve">Legal Lessons Learned:  This is a tragic case – amazing there was no back up system, or ability to have another 911 Center pick up the calls. </w:t>
      </w:r>
    </w:p>
    <w:bookmarkEnd w:id="68"/>
    <w:p w14:paraId="3EEDA415" w14:textId="77777777" w:rsidR="006C7F17" w:rsidRDefault="006C7F17" w:rsidP="00791CA3">
      <w:pPr>
        <w:rPr>
          <w:rFonts w:ascii="Arial Black" w:hAnsi="Arial Black"/>
          <w:b/>
          <w:sz w:val="24"/>
          <w:szCs w:val="24"/>
        </w:rPr>
      </w:pPr>
    </w:p>
    <w:p w14:paraId="07668947" w14:textId="77777777" w:rsidR="006C7F17" w:rsidRDefault="006C7F17" w:rsidP="00791CA3">
      <w:pPr>
        <w:rPr>
          <w:rFonts w:ascii="Arial Black" w:hAnsi="Arial Black"/>
          <w:b/>
          <w:sz w:val="24"/>
          <w:szCs w:val="24"/>
        </w:rPr>
      </w:pPr>
    </w:p>
    <w:p w14:paraId="079033DB" w14:textId="5A48DD72" w:rsidR="00F326E5" w:rsidRDefault="00791CA3" w:rsidP="00791CA3">
      <w:pPr>
        <w:rPr>
          <w:sz w:val="24"/>
          <w:szCs w:val="24"/>
        </w:rPr>
      </w:pPr>
      <w:r w:rsidRPr="00791CA3">
        <w:rPr>
          <w:rFonts w:ascii="Arial Black" w:hAnsi="Arial Black"/>
          <w:b/>
          <w:sz w:val="24"/>
          <w:szCs w:val="24"/>
        </w:rPr>
        <w:t>1-</w:t>
      </w:r>
      <w:r w:rsidR="00637A12">
        <w:rPr>
          <w:rFonts w:ascii="Arial Black" w:hAnsi="Arial Black"/>
          <w:b/>
          <w:sz w:val="24"/>
          <w:szCs w:val="24"/>
        </w:rPr>
        <w:t>20</w:t>
      </w:r>
    </w:p>
    <w:p w14:paraId="422200A5" w14:textId="7A60CD50" w:rsidR="00F326E5" w:rsidRDefault="00F326E5" w:rsidP="00F326E5">
      <w:pPr>
        <w:pStyle w:val="NoSpacing"/>
        <w:rPr>
          <w:rFonts w:ascii="Arial Black" w:hAnsi="Arial Black"/>
          <w:sz w:val="28"/>
          <w:szCs w:val="28"/>
        </w:rPr>
      </w:pPr>
      <w:bookmarkStart w:id="69" w:name="_Hlk7339326"/>
      <w:r w:rsidRPr="006F4065">
        <w:rPr>
          <w:rFonts w:ascii="Arial Black" w:hAnsi="Arial Black"/>
          <w:sz w:val="28"/>
          <w:szCs w:val="28"/>
        </w:rPr>
        <w:t>U.S. SUPREME COURT:  EXECUTION</w:t>
      </w:r>
      <w:r>
        <w:rPr>
          <w:rFonts w:ascii="Arial Black" w:hAnsi="Arial Black"/>
          <w:sz w:val="28"/>
          <w:szCs w:val="28"/>
        </w:rPr>
        <w:t xml:space="preserve"> – INMATE NOT ENTITLED TO HAVE IMAM PRESENT IN DEATH CHAMBER </w:t>
      </w:r>
    </w:p>
    <w:p w14:paraId="0CAD3B26" w14:textId="77777777" w:rsidR="00637A12" w:rsidRDefault="00637A12" w:rsidP="00F326E5">
      <w:pPr>
        <w:rPr>
          <w:rFonts w:ascii="Times New Roman" w:hAnsi="Times New Roman"/>
          <w:sz w:val="24"/>
          <w:szCs w:val="24"/>
        </w:rPr>
      </w:pPr>
    </w:p>
    <w:p w14:paraId="2D7F9A9A" w14:textId="3FDFEDA9" w:rsidR="00F326E5" w:rsidRPr="00015208" w:rsidRDefault="00F326E5" w:rsidP="00F326E5">
      <w:pPr>
        <w:rPr>
          <w:rStyle w:val="Hyperlink"/>
          <w:rFonts w:ascii="Times New Roman" w:hAnsi="Times New Roman"/>
          <w:sz w:val="24"/>
          <w:szCs w:val="24"/>
        </w:rPr>
      </w:pPr>
      <w:r w:rsidRPr="00015208">
        <w:rPr>
          <w:rFonts w:ascii="Times New Roman" w:hAnsi="Times New Roman"/>
          <w:sz w:val="24"/>
          <w:szCs w:val="24"/>
        </w:rPr>
        <w:t xml:space="preserve">On Feb. 7, 2019, in </w:t>
      </w:r>
      <w:r w:rsidRPr="00015208">
        <w:rPr>
          <w:rFonts w:ascii="Times New Roman" w:hAnsi="Times New Roman"/>
          <w:sz w:val="24"/>
          <w:szCs w:val="24"/>
          <w:u w:val="single"/>
        </w:rPr>
        <w:t>Jefferson S. Dunn, Commissioner, Alabama Department of Corrections v. Dominique Hakim Marcelle Ray</w:t>
      </w:r>
      <w:r w:rsidRPr="00015208">
        <w:rPr>
          <w:rFonts w:ascii="Times New Roman" w:hAnsi="Times New Roman"/>
          <w:sz w:val="24"/>
          <w:szCs w:val="24"/>
        </w:rPr>
        <w:t xml:space="preserve">, </w:t>
      </w:r>
      <w:proofErr w:type="gramStart"/>
      <w:r w:rsidRPr="00015208">
        <w:rPr>
          <w:rFonts w:ascii="Times New Roman" w:hAnsi="Times New Roman"/>
          <w:sz w:val="24"/>
          <w:szCs w:val="24"/>
        </w:rPr>
        <w:t>the majority of</w:t>
      </w:r>
      <w:proofErr w:type="gramEnd"/>
      <w:r w:rsidRPr="00015208">
        <w:rPr>
          <w:rFonts w:ascii="Times New Roman" w:hAnsi="Times New Roman"/>
          <w:sz w:val="24"/>
          <w:szCs w:val="24"/>
        </w:rPr>
        <w:t xml:space="preserve"> Justices [5 to 4] overturned 11</w:t>
      </w:r>
      <w:r w:rsidRPr="00015208">
        <w:rPr>
          <w:rFonts w:ascii="Times New Roman" w:hAnsi="Times New Roman"/>
          <w:sz w:val="24"/>
          <w:szCs w:val="24"/>
          <w:vertAlign w:val="superscript"/>
        </w:rPr>
        <w:t>th</w:t>
      </w:r>
      <w:r w:rsidRPr="00015208">
        <w:rPr>
          <w:rFonts w:ascii="Times New Roman" w:hAnsi="Times New Roman"/>
          <w:sz w:val="24"/>
          <w:szCs w:val="24"/>
        </w:rPr>
        <w:t xml:space="preserve"> Circuit’s Feb. 6, </w:t>
      </w:r>
      <w:proofErr w:type="gramStart"/>
      <w:r w:rsidRPr="00015208">
        <w:rPr>
          <w:rFonts w:ascii="Times New Roman" w:hAnsi="Times New Roman"/>
          <w:sz w:val="24"/>
          <w:szCs w:val="24"/>
        </w:rPr>
        <w:t>2019</w:t>
      </w:r>
      <w:proofErr w:type="gramEnd"/>
      <w:r w:rsidRPr="00015208">
        <w:rPr>
          <w:rFonts w:ascii="Times New Roman" w:hAnsi="Times New Roman"/>
          <w:sz w:val="24"/>
          <w:szCs w:val="24"/>
        </w:rPr>
        <w:t xml:space="preserve"> stay of execution of Ray, who has raped and murdered a </w:t>
      </w:r>
      <w:proofErr w:type="gramStart"/>
      <w:r w:rsidRPr="00015208">
        <w:rPr>
          <w:rFonts w:ascii="Times New Roman" w:hAnsi="Times New Roman"/>
          <w:sz w:val="24"/>
          <w:szCs w:val="24"/>
        </w:rPr>
        <w:t>15-year old</w:t>
      </w:r>
      <w:proofErr w:type="gramEnd"/>
      <w:r w:rsidRPr="00015208">
        <w:rPr>
          <w:rFonts w:ascii="Times New Roman" w:hAnsi="Times New Roman"/>
          <w:sz w:val="24"/>
          <w:szCs w:val="24"/>
        </w:rPr>
        <w:t xml:space="preserve"> girl in 1995.   Ray had asked Alabama prison officials to allow an imam to be in the death chamber, but only correction employees are allowed, including a long employed Christian chaplain. [The State of Alabama then executed the prisoner on Feb. 7, at 10:12 pm.] </w:t>
      </w:r>
      <w:hyperlink r:id="rId352" w:history="1">
        <w:r w:rsidRPr="00015208">
          <w:rPr>
            <w:rStyle w:val="Hyperlink"/>
            <w:rFonts w:ascii="Times New Roman" w:hAnsi="Times New Roman"/>
            <w:sz w:val="24"/>
            <w:szCs w:val="24"/>
          </w:rPr>
          <w:t>https://www.supremecourt.gov/opinions/18pdf/18a815_3d9g.pdf</w:t>
        </w:r>
      </w:hyperlink>
    </w:p>
    <w:p w14:paraId="135AC590" w14:textId="77777777" w:rsidR="00F326E5" w:rsidRPr="00015208" w:rsidRDefault="00F326E5" w:rsidP="00F326E5">
      <w:pPr>
        <w:pStyle w:val="NoSpacing"/>
        <w:rPr>
          <w:rFonts w:ascii="Times New Roman" w:hAnsi="Times New Roman"/>
          <w:sz w:val="24"/>
          <w:szCs w:val="24"/>
        </w:rPr>
      </w:pPr>
      <w:r w:rsidRPr="00015208">
        <w:rPr>
          <w:rFonts w:ascii="Times New Roman" w:hAnsi="Times New Roman"/>
          <w:b/>
          <w:sz w:val="24"/>
          <w:szCs w:val="24"/>
        </w:rPr>
        <w:t>Legal Lessons Learned:  The Supreme Court’s five “conservative” Justices have made it clear that last minute stays of execution are not favored</w:t>
      </w:r>
      <w:r w:rsidRPr="00015208">
        <w:rPr>
          <w:rFonts w:ascii="Times New Roman" w:hAnsi="Times New Roman"/>
          <w:sz w:val="24"/>
          <w:szCs w:val="24"/>
        </w:rPr>
        <w:t xml:space="preserve">. </w:t>
      </w:r>
    </w:p>
    <w:p w14:paraId="25C5C679" w14:textId="77777777" w:rsidR="002B1283" w:rsidRDefault="002B1283" w:rsidP="00F326E5">
      <w:pPr>
        <w:pStyle w:val="NoSpacing"/>
        <w:ind w:left="720"/>
        <w:rPr>
          <w:sz w:val="24"/>
          <w:szCs w:val="24"/>
        </w:rPr>
      </w:pPr>
    </w:p>
    <w:p w14:paraId="3F17E0F5" w14:textId="6EB1603C" w:rsidR="00F326E5" w:rsidRPr="00015208" w:rsidRDefault="00F326E5" w:rsidP="00F326E5">
      <w:pPr>
        <w:pStyle w:val="NoSpacing"/>
        <w:ind w:left="720"/>
        <w:rPr>
          <w:rFonts w:ascii="Times New Roman" w:hAnsi="Times New Roman"/>
          <w:sz w:val="24"/>
          <w:szCs w:val="24"/>
        </w:rPr>
      </w:pPr>
      <w:r w:rsidRPr="00015208">
        <w:rPr>
          <w:rFonts w:ascii="Times New Roman" w:hAnsi="Times New Roman"/>
          <w:sz w:val="24"/>
          <w:szCs w:val="24"/>
        </w:rPr>
        <w:t xml:space="preserve">See Feb. 7, </w:t>
      </w:r>
      <w:proofErr w:type="gramStart"/>
      <w:r w:rsidRPr="00015208">
        <w:rPr>
          <w:rFonts w:ascii="Times New Roman" w:hAnsi="Times New Roman"/>
          <w:sz w:val="24"/>
          <w:szCs w:val="24"/>
        </w:rPr>
        <w:t>2018</w:t>
      </w:r>
      <w:proofErr w:type="gramEnd"/>
      <w:r w:rsidRPr="00015208">
        <w:rPr>
          <w:rFonts w:ascii="Times New Roman" w:hAnsi="Times New Roman"/>
          <w:sz w:val="24"/>
          <w:szCs w:val="24"/>
        </w:rPr>
        <w:t xml:space="preserve"> article, “Alabama Executes Muslim Inmate Who Wanted Imam Present.”   “Ray was convicted in 1999 after another man, Marcus Owden, confessed to his role in the crime and implicated Ray. </w:t>
      </w:r>
      <w:proofErr w:type="spellStart"/>
      <w:r w:rsidRPr="00015208">
        <w:rPr>
          <w:rFonts w:ascii="Times New Roman" w:hAnsi="Times New Roman"/>
          <w:sz w:val="24"/>
          <w:szCs w:val="24"/>
        </w:rPr>
        <w:t>Owden</w:t>
      </w:r>
      <w:proofErr w:type="spellEnd"/>
      <w:r w:rsidRPr="00015208">
        <w:rPr>
          <w:rFonts w:ascii="Times New Roman" w:hAnsi="Times New Roman"/>
          <w:sz w:val="24"/>
          <w:szCs w:val="24"/>
        </w:rPr>
        <w:t xml:space="preserve"> told police that they had picked the girl up for a night out on the town and then raped her. </w:t>
      </w:r>
      <w:proofErr w:type="spellStart"/>
      <w:r w:rsidRPr="00015208">
        <w:rPr>
          <w:rFonts w:ascii="Times New Roman" w:hAnsi="Times New Roman"/>
          <w:sz w:val="24"/>
          <w:szCs w:val="24"/>
        </w:rPr>
        <w:t>Owden</w:t>
      </w:r>
      <w:proofErr w:type="spellEnd"/>
      <w:r w:rsidRPr="00015208">
        <w:rPr>
          <w:rFonts w:ascii="Times New Roman" w:hAnsi="Times New Roman"/>
          <w:sz w:val="24"/>
          <w:szCs w:val="24"/>
        </w:rPr>
        <w:t xml:space="preserve"> said that Ray cut the girl’s throat. </w:t>
      </w:r>
      <w:proofErr w:type="spellStart"/>
      <w:r w:rsidRPr="00015208">
        <w:rPr>
          <w:rFonts w:ascii="Times New Roman" w:hAnsi="Times New Roman"/>
          <w:sz w:val="24"/>
          <w:szCs w:val="24"/>
        </w:rPr>
        <w:t>Owden</w:t>
      </w:r>
      <w:proofErr w:type="spellEnd"/>
      <w:r w:rsidRPr="00015208">
        <w:rPr>
          <w:rFonts w:ascii="Times New Roman" w:hAnsi="Times New Roman"/>
          <w:sz w:val="24"/>
          <w:szCs w:val="24"/>
        </w:rPr>
        <w:t xml:space="preserve"> pleaded guilty to murder, testified against Ray and is serving a life sentence without parole. A jury recommended the death penalty for Ray by an 11-1 vote.” </w:t>
      </w:r>
      <w:hyperlink r:id="rId353" w:history="1">
        <w:r w:rsidRPr="00015208">
          <w:rPr>
            <w:rStyle w:val="Hyperlink"/>
            <w:rFonts w:ascii="Times New Roman" w:hAnsi="Times New Roman"/>
            <w:sz w:val="24"/>
            <w:szCs w:val="24"/>
          </w:rPr>
          <w:t>https://www.apnews.com/50ced4152dc74df1975a925e4fa29038</w:t>
        </w:r>
      </w:hyperlink>
    </w:p>
    <w:p w14:paraId="121DFB90" w14:textId="77777777" w:rsidR="00F326E5" w:rsidRPr="00015208" w:rsidRDefault="00F326E5" w:rsidP="00F326E5">
      <w:pPr>
        <w:pStyle w:val="NoSpacing"/>
        <w:ind w:left="720"/>
        <w:rPr>
          <w:rStyle w:val="Hyperlink"/>
          <w:rFonts w:ascii="Times New Roman" w:hAnsi="Times New Roman"/>
          <w:sz w:val="24"/>
          <w:szCs w:val="24"/>
        </w:rPr>
      </w:pPr>
      <w:r w:rsidRPr="00015208">
        <w:rPr>
          <w:rFonts w:ascii="Times New Roman" w:hAnsi="Times New Roman"/>
          <w:sz w:val="24"/>
          <w:szCs w:val="24"/>
        </w:rPr>
        <w:t xml:space="preserve">See Feb. 8, </w:t>
      </w:r>
      <w:proofErr w:type="gramStart"/>
      <w:r w:rsidRPr="00015208">
        <w:rPr>
          <w:rFonts w:ascii="Times New Roman" w:hAnsi="Times New Roman"/>
          <w:sz w:val="24"/>
          <w:szCs w:val="24"/>
        </w:rPr>
        <w:t>2019</w:t>
      </w:r>
      <w:proofErr w:type="gramEnd"/>
      <w:r w:rsidRPr="00015208">
        <w:rPr>
          <w:rFonts w:ascii="Times New Roman" w:hAnsi="Times New Roman"/>
          <w:sz w:val="24"/>
          <w:szCs w:val="24"/>
        </w:rPr>
        <w:t xml:space="preserve"> Washington Post article: “Abortion, Death Penalty, Religion: Late-Night Rulings Show New Alliances </w:t>
      </w:r>
      <w:proofErr w:type="gramStart"/>
      <w:r w:rsidRPr="00015208">
        <w:rPr>
          <w:rFonts w:ascii="Times New Roman" w:hAnsi="Times New Roman"/>
          <w:sz w:val="24"/>
          <w:szCs w:val="24"/>
        </w:rPr>
        <w:t>At</w:t>
      </w:r>
      <w:proofErr w:type="gramEnd"/>
      <w:r w:rsidRPr="00015208">
        <w:rPr>
          <w:rFonts w:ascii="Times New Roman" w:hAnsi="Times New Roman"/>
          <w:sz w:val="24"/>
          <w:szCs w:val="24"/>
        </w:rPr>
        <w:t xml:space="preserve"> Supreme Court.”  </w:t>
      </w:r>
      <w:hyperlink r:id="rId354" w:history="1">
        <w:r w:rsidRPr="00015208">
          <w:rPr>
            <w:rStyle w:val="Hyperlink"/>
            <w:rFonts w:ascii="Times New Roman" w:hAnsi="Times New Roman"/>
            <w:sz w:val="24"/>
            <w:szCs w:val="24"/>
          </w:rPr>
          <w:t>https://www.washingtonpost.com/politics/courts_law/abortion-death-penalty-religion-late-night-rulings-show-new-alliances-at-supreme-court/2019/02/08/681cc252-2bb9-11e9-b011-d8500644dc98_story.html?utm_term=.6e954895539e&amp;wpisrc=nl_evening&amp;wpmm=1</w:t>
        </w:r>
      </w:hyperlink>
    </w:p>
    <w:p w14:paraId="23486DA6" w14:textId="77777777" w:rsidR="00F326E5" w:rsidRPr="00015208" w:rsidRDefault="00F326E5" w:rsidP="00F326E5">
      <w:pPr>
        <w:pStyle w:val="NoSpacing"/>
        <w:rPr>
          <w:rFonts w:ascii="Times New Roman" w:hAnsi="Times New Roman"/>
          <w:sz w:val="24"/>
          <w:szCs w:val="24"/>
        </w:rPr>
      </w:pPr>
    </w:p>
    <w:bookmarkEnd w:id="69"/>
    <w:p w14:paraId="00DEA165" w14:textId="77777777" w:rsidR="00536545" w:rsidRDefault="00536545" w:rsidP="00791CA3">
      <w:pPr>
        <w:rPr>
          <w:rFonts w:ascii="Arial Black" w:hAnsi="Arial Black"/>
          <w:b/>
          <w:sz w:val="24"/>
          <w:szCs w:val="24"/>
        </w:rPr>
      </w:pPr>
    </w:p>
    <w:p w14:paraId="0E947CD1" w14:textId="08C9C62B" w:rsidR="00F326E5" w:rsidRDefault="00791CA3" w:rsidP="00791CA3">
      <w:pPr>
        <w:rPr>
          <w:b/>
          <w:sz w:val="24"/>
          <w:szCs w:val="24"/>
        </w:rPr>
      </w:pPr>
      <w:r w:rsidRPr="00791CA3">
        <w:rPr>
          <w:rFonts w:ascii="Arial Black" w:hAnsi="Arial Black"/>
          <w:b/>
          <w:sz w:val="24"/>
          <w:szCs w:val="24"/>
        </w:rPr>
        <w:t>1-</w:t>
      </w:r>
      <w:r>
        <w:rPr>
          <w:rFonts w:ascii="Arial Black" w:hAnsi="Arial Black"/>
          <w:b/>
          <w:sz w:val="24"/>
          <w:szCs w:val="24"/>
        </w:rPr>
        <w:t>1</w:t>
      </w:r>
      <w:r w:rsidR="00637A12">
        <w:rPr>
          <w:rFonts w:ascii="Arial Black" w:hAnsi="Arial Black"/>
          <w:b/>
          <w:sz w:val="24"/>
          <w:szCs w:val="24"/>
        </w:rPr>
        <w:t>9</w:t>
      </w:r>
    </w:p>
    <w:p w14:paraId="718524CE" w14:textId="2F5BE05B" w:rsidR="00F326E5" w:rsidRDefault="00F326E5" w:rsidP="00F326E5">
      <w:pPr>
        <w:pStyle w:val="NoSpacing"/>
        <w:rPr>
          <w:rFonts w:ascii="Arial Black" w:hAnsi="Arial Black"/>
          <w:sz w:val="28"/>
          <w:szCs w:val="28"/>
        </w:rPr>
      </w:pPr>
      <w:bookmarkStart w:id="70" w:name="_Hlk7339379"/>
      <w:r w:rsidRPr="00C25785">
        <w:rPr>
          <w:rFonts w:ascii="Arial Black" w:hAnsi="Arial Black"/>
          <w:sz w:val="28"/>
          <w:szCs w:val="28"/>
        </w:rPr>
        <w:t xml:space="preserve">MA: </w:t>
      </w:r>
      <w:r>
        <w:rPr>
          <w:rFonts w:ascii="Arial Black" w:hAnsi="Arial Black"/>
          <w:sz w:val="28"/>
          <w:szCs w:val="28"/>
        </w:rPr>
        <w:t>SPRINKLERS - DRUG REHAB HOUSE WITH 8 PATIENTS – COURT UPHOLDS FIRE CODE</w:t>
      </w:r>
    </w:p>
    <w:p w14:paraId="1BE1EC99" w14:textId="77777777" w:rsidR="00F326E5" w:rsidRPr="00015208" w:rsidRDefault="00F326E5" w:rsidP="00F326E5">
      <w:pPr>
        <w:rPr>
          <w:rFonts w:ascii="Times New Roman" w:hAnsi="Times New Roman"/>
          <w:sz w:val="24"/>
          <w:szCs w:val="24"/>
        </w:rPr>
      </w:pPr>
      <w:r w:rsidRPr="00015208">
        <w:rPr>
          <w:rFonts w:ascii="Times New Roman" w:hAnsi="Times New Roman"/>
          <w:sz w:val="24"/>
          <w:szCs w:val="24"/>
        </w:rPr>
        <w:t xml:space="preserve">On Jan. 29, 2019, in </w:t>
      </w:r>
      <w:r w:rsidRPr="00015208">
        <w:rPr>
          <w:rFonts w:ascii="Times New Roman" w:hAnsi="Times New Roman"/>
          <w:sz w:val="24"/>
          <w:szCs w:val="24"/>
          <w:u w:val="single"/>
        </w:rPr>
        <w:t xml:space="preserve">Crossing Over, Inc, et al. v. City of </w:t>
      </w:r>
      <w:proofErr w:type="spellStart"/>
      <w:r w:rsidRPr="00015208">
        <w:rPr>
          <w:rFonts w:ascii="Times New Roman" w:hAnsi="Times New Roman"/>
          <w:sz w:val="24"/>
          <w:szCs w:val="24"/>
          <w:u w:val="single"/>
        </w:rPr>
        <w:t>Fitchberg</w:t>
      </w:r>
      <w:proofErr w:type="spellEnd"/>
      <w:r w:rsidRPr="00015208">
        <w:rPr>
          <w:rFonts w:ascii="Times New Roman" w:hAnsi="Times New Roman"/>
          <w:sz w:val="24"/>
          <w:szCs w:val="24"/>
        </w:rPr>
        <w:t xml:space="preserve">, Justice Rosemary Connelly, MA Superior Court upheld the July 14, </w:t>
      </w:r>
      <w:proofErr w:type="gramStart"/>
      <w:r w:rsidRPr="00015208">
        <w:rPr>
          <w:rFonts w:ascii="Times New Roman" w:hAnsi="Times New Roman"/>
          <w:sz w:val="24"/>
          <w:szCs w:val="24"/>
        </w:rPr>
        <w:t>2017</w:t>
      </w:r>
      <w:proofErr w:type="gramEnd"/>
      <w:r w:rsidRPr="00015208">
        <w:rPr>
          <w:rFonts w:ascii="Times New Roman" w:hAnsi="Times New Roman"/>
          <w:sz w:val="24"/>
          <w:szCs w:val="24"/>
        </w:rPr>
        <w:t xml:space="preserve"> decision of the “Automatic Sprinkler Appeals Board” which held:</w:t>
      </w:r>
    </w:p>
    <w:p w14:paraId="453E6380" w14:textId="5AE47AAE" w:rsidR="00F326E5" w:rsidRPr="00015208" w:rsidRDefault="006C7F17" w:rsidP="00F326E5">
      <w:pPr>
        <w:ind w:left="720"/>
        <w:rPr>
          <w:rFonts w:ascii="Times New Roman" w:hAnsi="Times New Roman"/>
          <w:b/>
          <w:sz w:val="24"/>
          <w:szCs w:val="24"/>
        </w:rPr>
      </w:pPr>
      <w:r>
        <w:rPr>
          <w:rFonts w:ascii="Times New Roman" w:hAnsi="Times New Roman"/>
          <w:sz w:val="24"/>
          <w:szCs w:val="24"/>
        </w:rPr>
        <w:t>“</w:t>
      </w:r>
      <w:r w:rsidR="00F326E5" w:rsidRPr="00015208">
        <w:rPr>
          <w:rFonts w:ascii="Times New Roman" w:hAnsi="Times New Roman"/>
          <w:sz w:val="24"/>
          <w:szCs w:val="24"/>
        </w:rPr>
        <w:t xml:space="preserve">Based upon the aforementioned findings and reasoning, the Board hereby upholds the Order of the Fitchburg Fire Department and requires the installation of an adequate system of sprinklers throughout all portions of the subject building used and/or occupied for boarding or lodging purposes….” </w:t>
      </w:r>
      <w:hyperlink r:id="rId355" w:history="1">
        <w:r w:rsidR="00F326E5" w:rsidRPr="00015208">
          <w:rPr>
            <w:rStyle w:val="Hyperlink"/>
            <w:rFonts w:ascii="Times New Roman" w:hAnsi="Times New Roman"/>
            <w:sz w:val="24"/>
            <w:szCs w:val="24"/>
          </w:rPr>
          <w:t>https://www.mass.gov/files/documents/2018/06/22/ASAB%2017-04%20%2044%20Mt.%20Vernon%20St.%2C%20Fitchburg.pdf?_ga=2.103697088.170248601.1551215432-2018690554.1551215432</w:t>
        </w:r>
      </w:hyperlink>
      <w:r w:rsidR="00F326E5" w:rsidRPr="00015208">
        <w:rPr>
          <w:rFonts w:ascii="Times New Roman" w:hAnsi="Times New Roman"/>
          <w:b/>
          <w:sz w:val="24"/>
          <w:szCs w:val="24"/>
        </w:rPr>
        <w:t xml:space="preserve"> </w:t>
      </w:r>
    </w:p>
    <w:p w14:paraId="057C0F01" w14:textId="77777777" w:rsidR="00F326E5" w:rsidRPr="00015208" w:rsidRDefault="00F326E5" w:rsidP="006C7F17">
      <w:pPr>
        <w:pStyle w:val="NoSpacing"/>
        <w:ind w:left="720"/>
        <w:rPr>
          <w:rStyle w:val="Hyperlink"/>
          <w:rFonts w:ascii="Times New Roman" w:hAnsi="Times New Roman"/>
          <w:bCs/>
          <w:sz w:val="24"/>
          <w:szCs w:val="24"/>
        </w:rPr>
      </w:pPr>
      <w:r w:rsidRPr="00015208">
        <w:rPr>
          <w:rFonts w:ascii="Times New Roman" w:hAnsi="Times New Roman"/>
          <w:sz w:val="24"/>
          <w:szCs w:val="24"/>
        </w:rPr>
        <w:lastRenderedPageBreak/>
        <w:t xml:space="preserve">Justice Connelly denied the property owner’s motion to reverse the Board, holding that the Board’s decision is legal, supported by the record, and the Board has not exceeded </w:t>
      </w:r>
      <w:proofErr w:type="spellStart"/>
      <w:proofErr w:type="gramStart"/>
      <w:r w:rsidRPr="00015208">
        <w:rPr>
          <w:rFonts w:ascii="Times New Roman" w:hAnsi="Times New Roman"/>
          <w:sz w:val="24"/>
          <w:szCs w:val="24"/>
        </w:rPr>
        <w:t>it</w:t>
      </w:r>
      <w:proofErr w:type="spellEnd"/>
      <w:proofErr w:type="gramEnd"/>
      <w:r w:rsidRPr="00015208">
        <w:rPr>
          <w:rFonts w:ascii="Times New Roman" w:hAnsi="Times New Roman"/>
          <w:sz w:val="24"/>
          <w:szCs w:val="24"/>
        </w:rPr>
        <w:t xml:space="preserve"> authority.  The court will give deference to the Board’s reasonable interpretation of its own statute.” </w:t>
      </w:r>
      <w:hyperlink r:id="rId356" w:history="1">
        <w:r w:rsidRPr="00015208">
          <w:rPr>
            <w:rStyle w:val="Hyperlink"/>
            <w:rFonts w:ascii="Times New Roman" w:hAnsi="Times New Roman"/>
            <w:sz w:val="24"/>
            <w:szCs w:val="24"/>
          </w:rPr>
          <w:t>https://d279m997dpfwgl.cloudfront.net/wp/2019/02/EPSON520.pdf</w:t>
        </w:r>
      </w:hyperlink>
    </w:p>
    <w:p w14:paraId="5077CBA9" w14:textId="77777777" w:rsidR="006C7F17" w:rsidRDefault="006C7F17" w:rsidP="00F326E5">
      <w:pPr>
        <w:pStyle w:val="NoSpacing"/>
        <w:rPr>
          <w:rFonts w:ascii="Times New Roman" w:hAnsi="Times New Roman"/>
          <w:b/>
          <w:sz w:val="24"/>
          <w:szCs w:val="24"/>
        </w:rPr>
      </w:pPr>
    </w:p>
    <w:p w14:paraId="03584341" w14:textId="0A433C95" w:rsidR="00F326E5" w:rsidRPr="00015208" w:rsidRDefault="00F326E5" w:rsidP="00F326E5">
      <w:pPr>
        <w:pStyle w:val="NoSpacing"/>
        <w:rPr>
          <w:rFonts w:ascii="Times New Roman" w:hAnsi="Times New Roman"/>
          <w:b/>
          <w:sz w:val="24"/>
          <w:szCs w:val="24"/>
        </w:rPr>
      </w:pPr>
      <w:r w:rsidRPr="00015208">
        <w:rPr>
          <w:rFonts w:ascii="Times New Roman" w:hAnsi="Times New Roman"/>
          <w:b/>
          <w:sz w:val="24"/>
          <w:szCs w:val="24"/>
        </w:rPr>
        <w:t xml:space="preserve">Legal Lessons Learned: Sprinkler ordinances save lives. </w:t>
      </w:r>
    </w:p>
    <w:p w14:paraId="64C176AE" w14:textId="61D989AA" w:rsidR="00FB71EA" w:rsidRDefault="00FB71EA" w:rsidP="00F326E5">
      <w:pPr>
        <w:rPr>
          <w:bCs/>
          <w:sz w:val="24"/>
          <w:szCs w:val="24"/>
        </w:rPr>
      </w:pPr>
    </w:p>
    <w:p w14:paraId="79229CA2" w14:textId="77777777" w:rsidR="00637A12" w:rsidRDefault="00637A12" w:rsidP="00F326E5">
      <w:pPr>
        <w:rPr>
          <w:rFonts w:ascii="Arial Black" w:hAnsi="Arial Black"/>
          <w:bCs/>
          <w:sz w:val="24"/>
          <w:szCs w:val="24"/>
        </w:rPr>
      </w:pPr>
    </w:p>
    <w:p w14:paraId="71831CF1" w14:textId="42595BC6" w:rsidR="00637A12" w:rsidRPr="00637A12" w:rsidRDefault="00637A12" w:rsidP="00F326E5">
      <w:pPr>
        <w:rPr>
          <w:rFonts w:ascii="Arial Black" w:hAnsi="Arial Black"/>
          <w:bCs/>
          <w:sz w:val="24"/>
          <w:szCs w:val="24"/>
        </w:rPr>
      </w:pPr>
      <w:r w:rsidRPr="00637A12">
        <w:rPr>
          <w:rFonts w:ascii="Arial Black" w:hAnsi="Arial Black"/>
          <w:bCs/>
          <w:sz w:val="24"/>
          <w:szCs w:val="24"/>
        </w:rPr>
        <w:t>1-18</w:t>
      </w:r>
    </w:p>
    <w:p w14:paraId="39A0482A" w14:textId="77777777" w:rsidR="006C7F17" w:rsidRDefault="006C7F17" w:rsidP="00F326E5">
      <w:pPr>
        <w:pStyle w:val="NoSpacing"/>
        <w:rPr>
          <w:rFonts w:ascii="Arial Black" w:hAnsi="Arial Black"/>
          <w:b/>
          <w:sz w:val="28"/>
          <w:szCs w:val="28"/>
        </w:rPr>
      </w:pPr>
      <w:bookmarkStart w:id="71" w:name="_Hlk7339428"/>
      <w:bookmarkEnd w:id="70"/>
    </w:p>
    <w:p w14:paraId="404CBBDD" w14:textId="1ECD00B1" w:rsidR="00F326E5" w:rsidRDefault="00F326E5" w:rsidP="00F326E5">
      <w:pPr>
        <w:pStyle w:val="NoSpacing"/>
        <w:rPr>
          <w:rFonts w:ascii="Arial Black" w:hAnsi="Arial Black"/>
          <w:b/>
          <w:sz w:val="28"/>
          <w:szCs w:val="28"/>
        </w:rPr>
      </w:pPr>
      <w:r>
        <w:rPr>
          <w:rFonts w:ascii="Arial Black" w:hAnsi="Arial Black"/>
          <w:b/>
          <w:sz w:val="28"/>
          <w:szCs w:val="28"/>
        </w:rPr>
        <w:t>PA: ARSON – DEFENDANT SMELLED OF GASOLINE, TRAINED ARSON DOG ALERTED</w:t>
      </w:r>
    </w:p>
    <w:p w14:paraId="5ACFF1EA" w14:textId="77777777" w:rsidR="00F326E5" w:rsidRPr="00015208" w:rsidRDefault="00F326E5" w:rsidP="00F326E5">
      <w:pPr>
        <w:pStyle w:val="NoSpacing"/>
        <w:rPr>
          <w:rStyle w:val="Hyperlink"/>
          <w:rFonts w:ascii="Times New Roman" w:hAnsi="Times New Roman"/>
          <w:sz w:val="24"/>
          <w:szCs w:val="24"/>
        </w:rPr>
      </w:pPr>
      <w:r w:rsidRPr="00015208">
        <w:rPr>
          <w:rFonts w:ascii="Times New Roman" w:hAnsi="Times New Roman"/>
          <w:sz w:val="24"/>
          <w:szCs w:val="24"/>
        </w:rPr>
        <w:t xml:space="preserve">On Jan. 11, 2019, in </w:t>
      </w:r>
      <w:r w:rsidRPr="00015208">
        <w:rPr>
          <w:rFonts w:ascii="Times New Roman" w:hAnsi="Times New Roman"/>
          <w:sz w:val="24"/>
          <w:szCs w:val="24"/>
          <w:u w:val="single"/>
        </w:rPr>
        <w:t>Commonwealth of Pennsylvania v. Jamat Ali Manzoor</w:t>
      </w:r>
      <w:r w:rsidRPr="00015208">
        <w:rPr>
          <w:rFonts w:ascii="Times New Roman" w:hAnsi="Times New Roman"/>
          <w:sz w:val="24"/>
          <w:szCs w:val="24"/>
        </w:rPr>
        <w:t xml:space="preserve">,  the Superior Court of PA (3 to 0) upheld the jury conviction on two counts of arson, and insurance fraud.  </w:t>
      </w:r>
      <w:hyperlink r:id="rId357" w:history="1">
        <w:r w:rsidRPr="00015208">
          <w:rPr>
            <w:rStyle w:val="Hyperlink"/>
            <w:rFonts w:ascii="Times New Roman" w:hAnsi="Times New Roman"/>
            <w:sz w:val="24"/>
            <w:szCs w:val="24"/>
          </w:rPr>
          <w:t>https://cases.justia.com/pennsylvania/superior-court/2019-1121-mda-2017.pdf?ts=1547235373</w:t>
        </w:r>
      </w:hyperlink>
    </w:p>
    <w:p w14:paraId="768075AC" w14:textId="77777777" w:rsidR="00F326E5" w:rsidRPr="00015208" w:rsidRDefault="00F326E5" w:rsidP="00F326E5">
      <w:pPr>
        <w:pStyle w:val="NoSpacing"/>
        <w:rPr>
          <w:rFonts w:ascii="Times New Roman" w:hAnsi="Times New Roman"/>
          <w:b/>
          <w:sz w:val="24"/>
          <w:szCs w:val="24"/>
        </w:rPr>
      </w:pPr>
      <w:r w:rsidRPr="00015208">
        <w:rPr>
          <w:rFonts w:ascii="Times New Roman" w:hAnsi="Times New Roman"/>
          <w:b/>
          <w:sz w:val="24"/>
          <w:szCs w:val="24"/>
        </w:rPr>
        <w:t xml:space="preserve">Legal Lessons Learned: Evidence of trained arson K-9 </w:t>
      </w:r>
      <w:proofErr w:type="gramStart"/>
      <w:r w:rsidRPr="00015208">
        <w:rPr>
          <w:rFonts w:ascii="Times New Roman" w:hAnsi="Times New Roman"/>
          <w:b/>
          <w:sz w:val="24"/>
          <w:szCs w:val="24"/>
        </w:rPr>
        <w:t>alerting for</w:t>
      </w:r>
      <w:proofErr w:type="gramEnd"/>
      <w:r w:rsidRPr="00015208">
        <w:rPr>
          <w:rFonts w:ascii="Times New Roman" w:hAnsi="Times New Roman"/>
          <w:b/>
          <w:sz w:val="24"/>
          <w:szCs w:val="24"/>
        </w:rPr>
        <w:t xml:space="preserve"> accelerants to admissible in arson trial. </w:t>
      </w:r>
    </w:p>
    <w:p w14:paraId="1804AFE1" w14:textId="77777777" w:rsidR="00015208" w:rsidRDefault="00015208" w:rsidP="00F326E5">
      <w:pPr>
        <w:pStyle w:val="NoSpacing"/>
        <w:rPr>
          <w:rFonts w:ascii="Times New Roman" w:hAnsi="Times New Roman"/>
          <w:b/>
          <w:sz w:val="24"/>
          <w:szCs w:val="24"/>
        </w:rPr>
      </w:pPr>
    </w:p>
    <w:p w14:paraId="392F3541" w14:textId="250DA877" w:rsidR="00F326E5" w:rsidRPr="00015208" w:rsidRDefault="00F326E5" w:rsidP="00F326E5">
      <w:pPr>
        <w:pStyle w:val="NoSpacing"/>
        <w:rPr>
          <w:rFonts w:ascii="Times New Roman" w:hAnsi="Times New Roman"/>
          <w:bCs/>
          <w:sz w:val="24"/>
          <w:szCs w:val="24"/>
        </w:rPr>
      </w:pPr>
      <w:r w:rsidRPr="00015208">
        <w:rPr>
          <w:rFonts w:ascii="Times New Roman" w:hAnsi="Times New Roman"/>
          <w:bCs/>
          <w:sz w:val="24"/>
          <w:szCs w:val="24"/>
        </w:rPr>
        <w:t xml:space="preserve">See my case analysis: </w:t>
      </w:r>
      <w:hyperlink r:id="rId358" w:history="1">
        <w:r w:rsidRPr="00015208">
          <w:rPr>
            <w:rStyle w:val="Hyperlink"/>
            <w:rFonts w:ascii="Times New Roman" w:hAnsi="Times New Roman"/>
            <w:bCs/>
            <w:sz w:val="24"/>
            <w:szCs w:val="24"/>
          </w:rPr>
          <w:t>https://ceas.uc.edu/content/dam/refresh/ceas-62/documents/academics/departments/aerospace-engineering-&amp;-engineering-mechanics/fire-science/1Jan.%202019%20Newsletter%20ADA%200.pdf</w:t>
        </w:r>
      </w:hyperlink>
      <w:r w:rsidRPr="00015208">
        <w:rPr>
          <w:rFonts w:ascii="Times New Roman" w:hAnsi="Times New Roman"/>
          <w:bCs/>
          <w:sz w:val="24"/>
          <w:szCs w:val="24"/>
        </w:rPr>
        <w:t xml:space="preserve"> </w:t>
      </w:r>
      <w:r w:rsidRPr="00015208">
        <w:rPr>
          <w:rFonts w:ascii="Times New Roman" w:hAnsi="Times New Roman"/>
          <w:bCs/>
          <w:sz w:val="24"/>
          <w:szCs w:val="24"/>
        </w:rPr>
        <w:tab/>
      </w:r>
    </w:p>
    <w:p w14:paraId="631ADC7F" w14:textId="77777777" w:rsidR="00F326E5" w:rsidRDefault="00F326E5" w:rsidP="00F326E5">
      <w:pPr>
        <w:pStyle w:val="NoSpacing"/>
        <w:rPr>
          <w:rFonts w:ascii="Times New Roman" w:hAnsi="Times New Roman"/>
          <w:sz w:val="24"/>
          <w:szCs w:val="24"/>
        </w:rPr>
      </w:pPr>
    </w:p>
    <w:bookmarkEnd w:id="71"/>
    <w:p w14:paraId="1889E4D5" w14:textId="77777777" w:rsidR="00F326E5" w:rsidRDefault="00F326E5" w:rsidP="00F326E5">
      <w:pPr>
        <w:pStyle w:val="NoSpacing"/>
        <w:rPr>
          <w:rFonts w:ascii="Times New Roman" w:hAnsi="Times New Roman"/>
          <w:sz w:val="24"/>
          <w:szCs w:val="24"/>
        </w:rPr>
      </w:pPr>
    </w:p>
    <w:p w14:paraId="7D1C7A0B" w14:textId="77777777" w:rsidR="00F326E5" w:rsidRDefault="00F326E5" w:rsidP="00F326E5">
      <w:pPr>
        <w:pStyle w:val="NoSpacing"/>
        <w:rPr>
          <w:sz w:val="24"/>
          <w:szCs w:val="24"/>
        </w:rPr>
      </w:pPr>
    </w:p>
    <w:p w14:paraId="488300D1" w14:textId="6A379CE0" w:rsidR="00F326E5" w:rsidRPr="00637A12" w:rsidRDefault="00637A12" w:rsidP="00F326E5">
      <w:pPr>
        <w:pStyle w:val="NoSpacing"/>
        <w:rPr>
          <w:rFonts w:ascii="Arial Black" w:hAnsi="Arial Black"/>
          <w:sz w:val="24"/>
          <w:szCs w:val="24"/>
        </w:rPr>
      </w:pPr>
      <w:r w:rsidRPr="00637A12">
        <w:rPr>
          <w:rFonts w:ascii="Arial Black" w:hAnsi="Arial Black"/>
          <w:sz w:val="24"/>
          <w:szCs w:val="24"/>
        </w:rPr>
        <w:t>1-17</w:t>
      </w:r>
    </w:p>
    <w:p w14:paraId="728A3735" w14:textId="77777777" w:rsidR="00637A12" w:rsidRDefault="00637A12" w:rsidP="00F326E5">
      <w:pPr>
        <w:pStyle w:val="NoSpacing"/>
        <w:rPr>
          <w:sz w:val="24"/>
          <w:szCs w:val="24"/>
        </w:rPr>
      </w:pPr>
    </w:p>
    <w:p w14:paraId="64C31F7A" w14:textId="05269BD3" w:rsidR="00F326E5" w:rsidRDefault="00F326E5" w:rsidP="00F326E5">
      <w:pPr>
        <w:pStyle w:val="NoSpacing"/>
        <w:rPr>
          <w:rFonts w:ascii="Arial Black" w:hAnsi="Arial Black"/>
          <w:b/>
          <w:sz w:val="28"/>
          <w:szCs w:val="28"/>
        </w:rPr>
      </w:pPr>
      <w:bookmarkStart w:id="72" w:name="_Hlk7339518"/>
      <w:r>
        <w:rPr>
          <w:rFonts w:ascii="Arial Black" w:hAnsi="Arial Black"/>
          <w:b/>
          <w:sz w:val="28"/>
          <w:szCs w:val="28"/>
        </w:rPr>
        <w:t>U.S. SUPREME COURT: QUALIFIED IMMUNITY FOR POLICE OFFICERS – DOMESTIC VIOLENCE ARREST</w:t>
      </w:r>
    </w:p>
    <w:p w14:paraId="44BE66DA" w14:textId="568B43A7" w:rsidR="00637A12" w:rsidRDefault="00F326E5" w:rsidP="00F326E5">
      <w:pPr>
        <w:rPr>
          <w:rFonts w:ascii="Times New Roman" w:hAnsi="Times New Roman"/>
          <w:sz w:val="24"/>
          <w:szCs w:val="24"/>
        </w:rPr>
      </w:pPr>
      <w:r w:rsidRPr="00015208">
        <w:rPr>
          <w:rFonts w:ascii="Times New Roman" w:hAnsi="Times New Roman"/>
          <w:sz w:val="24"/>
          <w:szCs w:val="24"/>
        </w:rPr>
        <w:t xml:space="preserve">On Jan. 7, 2019, in </w:t>
      </w:r>
      <w:r w:rsidRPr="00015208">
        <w:rPr>
          <w:rFonts w:ascii="Times New Roman" w:hAnsi="Times New Roman"/>
          <w:sz w:val="24"/>
          <w:szCs w:val="24"/>
          <w:u w:val="single"/>
        </w:rPr>
        <w:t>City of Escondido, California v. Mart Emmons</w:t>
      </w:r>
      <w:r w:rsidRPr="00015208">
        <w:rPr>
          <w:rFonts w:ascii="Times New Roman" w:hAnsi="Times New Roman"/>
          <w:sz w:val="24"/>
          <w:szCs w:val="24"/>
        </w:rPr>
        <w:t>, the U.S. Supreme Court (9 to 0), in a per curiam decision [not authored by a specific Justice], reversed the 9</w:t>
      </w:r>
      <w:r w:rsidRPr="00015208">
        <w:rPr>
          <w:rFonts w:ascii="Times New Roman" w:hAnsi="Times New Roman"/>
          <w:sz w:val="24"/>
          <w:szCs w:val="24"/>
          <w:vertAlign w:val="superscript"/>
        </w:rPr>
        <w:t>th</w:t>
      </w:r>
      <w:r w:rsidRPr="00015208">
        <w:rPr>
          <w:rFonts w:ascii="Times New Roman" w:hAnsi="Times New Roman"/>
          <w:sz w:val="24"/>
          <w:szCs w:val="24"/>
        </w:rPr>
        <w:t xml:space="preserve"> Circuit without the need to even hear oral argument.  The Court held: </w:t>
      </w:r>
    </w:p>
    <w:p w14:paraId="2C9B6516" w14:textId="59A25C5E" w:rsidR="00F326E5" w:rsidRPr="00015208" w:rsidRDefault="00F326E5" w:rsidP="00637A12">
      <w:pPr>
        <w:ind w:left="720"/>
        <w:rPr>
          <w:rFonts w:ascii="Times New Roman" w:eastAsia="Times New Roman" w:hAnsi="Times New Roman"/>
          <w:sz w:val="24"/>
          <w:szCs w:val="24"/>
        </w:rPr>
      </w:pPr>
      <w:r w:rsidRPr="00015208">
        <w:rPr>
          <w:rFonts w:ascii="Times New Roman" w:hAnsi="Times New Roman"/>
          <w:sz w:val="24"/>
          <w:szCs w:val="24"/>
        </w:rPr>
        <w:t>“</w:t>
      </w:r>
      <w:r w:rsidRPr="00015208">
        <w:rPr>
          <w:rFonts w:ascii="Times New Roman" w:eastAsia="Times New Roman" w:hAnsi="Times New Roman"/>
          <w:sz w:val="24"/>
          <w:szCs w:val="24"/>
        </w:rPr>
        <w:t xml:space="preserve">As to Officer Craig, the Ninth Circuit also erred. As we have explained many </w:t>
      </w:r>
      <w:proofErr w:type="gramStart"/>
      <w:r w:rsidRPr="00015208">
        <w:rPr>
          <w:rFonts w:ascii="Times New Roman" w:eastAsia="Times New Roman" w:hAnsi="Times New Roman"/>
          <w:sz w:val="24"/>
          <w:szCs w:val="24"/>
        </w:rPr>
        <w:t>times: ‘</w:t>
      </w:r>
      <w:proofErr w:type="gramEnd"/>
      <w:r w:rsidRPr="00015208">
        <w:rPr>
          <w:rFonts w:ascii="Times New Roman" w:eastAsia="Times New Roman" w:hAnsi="Times New Roman"/>
          <w:sz w:val="24"/>
          <w:szCs w:val="24"/>
        </w:rPr>
        <w:t>Qualified immunity attaches when an official’s conduct does not violate clearly established statutory or constitutional rights of which a reasonable person would have known.’ Kisela v. Hughes, 584 U. S. ___, ___ (2018) (per curiam). The Court of Appeals made no effort to explain how that case law prohibited Officer Craig’s actions in this case.”</w:t>
      </w:r>
      <w:r w:rsidRPr="00015208">
        <w:rPr>
          <w:rFonts w:ascii="Times New Roman" w:hAnsi="Times New Roman"/>
          <w:sz w:val="24"/>
          <w:szCs w:val="24"/>
        </w:rPr>
        <w:t xml:space="preserve"> </w:t>
      </w:r>
      <w:hyperlink r:id="rId359" w:history="1">
        <w:r w:rsidRPr="00015208">
          <w:rPr>
            <w:rStyle w:val="Hyperlink"/>
            <w:rFonts w:ascii="Times New Roman" w:hAnsi="Times New Roman"/>
            <w:sz w:val="24"/>
            <w:szCs w:val="24"/>
          </w:rPr>
          <w:t>https://www.supremecourt.gov/opinions/18pdf/17-1660_5ifl.pdf</w:t>
        </w:r>
      </w:hyperlink>
      <w:r w:rsidRPr="00015208">
        <w:rPr>
          <w:rFonts w:ascii="Times New Roman" w:eastAsia="Times New Roman" w:hAnsi="Times New Roman"/>
          <w:sz w:val="24"/>
          <w:szCs w:val="24"/>
        </w:rPr>
        <w:t xml:space="preserve"> </w:t>
      </w:r>
    </w:p>
    <w:p w14:paraId="6081C7B2" w14:textId="577C97D4" w:rsidR="00F326E5" w:rsidRPr="00015208" w:rsidRDefault="00F326E5" w:rsidP="00F326E5">
      <w:pPr>
        <w:rPr>
          <w:rFonts w:ascii="Times New Roman" w:eastAsia="Times New Roman" w:hAnsi="Times New Roman"/>
          <w:sz w:val="24"/>
          <w:szCs w:val="24"/>
        </w:rPr>
      </w:pPr>
      <w:r w:rsidRPr="00015208">
        <w:rPr>
          <w:rFonts w:ascii="Times New Roman" w:eastAsia="Times New Roman" w:hAnsi="Times New Roman"/>
          <w:b/>
          <w:sz w:val="24"/>
          <w:szCs w:val="24"/>
        </w:rPr>
        <w:t xml:space="preserve">Legal Lessons Learned:  Great decision on “qualified immunity” for emergency responders. </w:t>
      </w:r>
    </w:p>
    <w:p w14:paraId="65BCED32" w14:textId="0C276829" w:rsidR="00F326E5" w:rsidRPr="00015208" w:rsidRDefault="00F326E5" w:rsidP="00ED63B1">
      <w:pPr>
        <w:ind w:left="720"/>
        <w:rPr>
          <w:rFonts w:ascii="Times New Roman" w:eastAsia="Times New Roman" w:hAnsi="Times New Roman"/>
          <w:sz w:val="24"/>
          <w:szCs w:val="24"/>
        </w:rPr>
      </w:pPr>
      <w:r w:rsidRPr="00015208">
        <w:rPr>
          <w:rFonts w:ascii="Times New Roman" w:eastAsia="Times New Roman" w:hAnsi="Times New Roman"/>
          <w:sz w:val="24"/>
          <w:szCs w:val="24"/>
        </w:rPr>
        <w:t xml:space="preserve">See also Chap. 13:  Aug. 14, </w:t>
      </w:r>
      <w:proofErr w:type="gramStart"/>
      <w:r w:rsidRPr="00015208">
        <w:rPr>
          <w:rFonts w:ascii="Times New Roman" w:eastAsia="Times New Roman" w:hAnsi="Times New Roman"/>
          <w:sz w:val="24"/>
          <w:szCs w:val="24"/>
        </w:rPr>
        <w:t>2018</w:t>
      </w:r>
      <w:proofErr w:type="gramEnd"/>
      <w:r w:rsidRPr="00015208">
        <w:rPr>
          <w:rFonts w:ascii="Times New Roman" w:eastAsia="Times New Roman" w:hAnsi="Times New Roman"/>
          <w:sz w:val="24"/>
          <w:szCs w:val="24"/>
        </w:rPr>
        <w:t xml:space="preserve"> decision by 7</w:t>
      </w:r>
      <w:r w:rsidRPr="00015208">
        <w:rPr>
          <w:rFonts w:ascii="Times New Roman" w:eastAsia="Times New Roman" w:hAnsi="Times New Roman"/>
          <w:sz w:val="24"/>
          <w:szCs w:val="24"/>
          <w:vertAlign w:val="superscript"/>
        </w:rPr>
        <w:t>th</w:t>
      </w:r>
      <w:r w:rsidRPr="00015208">
        <w:rPr>
          <w:rFonts w:ascii="Times New Roman" w:eastAsia="Times New Roman" w:hAnsi="Times New Roman"/>
          <w:sz w:val="24"/>
          <w:szCs w:val="24"/>
        </w:rPr>
        <w:t xml:space="preserve"> Circuit in </w:t>
      </w:r>
      <w:r w:rsidRPr="00015208">
        <w:rPr>
          <w:rFonts w:ascii="Times New Roman" w:eastAsia="Times New Roman" w:hAnsi="Times New Roman"/>
          <w:sz w:val="24"/>
          <w:szCs w:val="24"/>
          <w:u w:val="single"/>
        </w:rPr>
        <w:t>Billie Thompson v. Lance Cope</w:t>
      </w:r>
      <w:r w:rsidRPr="00015208">
        <w:rPr>
          <w:rFonts w:ascii="Times New Roman" w:eastAsia="Times New Roman" w:hAnsi="Times New Roman"/>
          <w:sz w:val="24"/>
          <w:szCs w:val="24"/>
        </w:rPr>
        <w:t xml:space="preserve"> where Indianapolis police called EMS to help with </w:t>
      </w:r>
      <w:proofErr w:type="gramStart"/>
      <w:r w:rsidRPr="00015208">
        <w:rPr>
          <w:rFonts w:ascii="Times New Roman" w:eastAsia="Times New Roman" w:hAnsi="Times New Roman"/>
          <w:sz w:val="24"/>
          <w:szCs w:val="24"/>
        </w:rPr>
        <w:t>person</w:t>
      </w:r>
      <w:proofErr w:type="gramEnd"/>
      <w:r w:rsidRPr="00015208">
        <w:rPr>
          <w:rFonts w:ascii="Times New Roman" w:eastAsia="Times New Roman" w:hAnsi="Times New Roman"/>
          <w:sz w:val="24"/>
          <w:szCs w:val="24"/>
        </w:rPr>
        <w:t xml:space="preserve"> found naked, running in street, high on amphetamines, and combative.  EMS administered a sedative – </w:t>
      </w:r>
      <w:r w:rsidRPr="00015208">
        <w:rPr>
          <w:rFonts w:ascii="Times New Roman" w:hAnsi="Times New Roman"/>
          <w:sz w:val="24"/>
          <w:szCs w:val="24"/>
        </w:rPr>
        <w:t xml:space="preserve">Versed - </w:t>
      </w:r>
      <w:r w:rsidRPr="00015208">
        <w:rPr>
          <w:rFonts w:ascii="Times New Roman" w:eastAsia="Times New Roman" w:hAnsi="Times New Roman"/>
          <w:sz w:val="24"/>
          <w:szCs w:val="24"/>
        </w:rPr>
        <w:t xml:space="preserve">patient stopped </w:t>
      </w:r>
      <w:proofErr w:type="gramStart"/>
      <w:r w:rsidRPr="00015208">
        <w:rPr>
          <w:rFonts w:ascii="Times New Roman" w:eastAsia="Times New Roman" w:hAnsi="Times New Roman"/>
          <w:sz w:val="24"/>
          <w:szCs w:val="24"/>
        </w:rPr>
        <w:t>breathing, and</w:t>
      </w:r>
      <w:proofErr w:type="gramEnd"/>
      <w:r w:rsidRPr="00015208">
        <w:rPr>
          <w:rFonts w:ascii="Times New Roman" w:eastAsia="Times New Roman" w:hAnsi="Times New Roman"/>
          <w:sz w:val="24"/>
          <w:szCs w:val="24"/>
        </w:rPr>
        <w:t xml:space="preserve"> was revived; he ultimately died 8-days later.  The Court held (3 to 0), “The paramedic is entitled to qualified immunity on the excessive force claim. Case law did not (and does not) clearly establish that a </w:t>
      </w:r>
      <w:r w:rsidRPr="00015208">
        <w:rPr>
          <w:rFonts w:ascii="Times New Roman" w:eastAsia="Times New Roman" w:hAnsi="Times New Roman"/>
          <w:sz w:val="24"/>
          <w:szCs w:val="24"/>
        </w:rPr>
        <w:lastRenderedPageBreak/>
        <w:t xml:space="preserve">paramedic can violate a patient-arrestee’s Fourth Amendment rights by exercising medical judgment to administer a sedative in a medical </w:t>
      </w:r>
      <w:proofErr w:type="gramStart"/>
      <w:r w:rsidRPr="00015208">
        <w:rPr>
          <w:rFonts w:ascii="Times New Roman" w:eastAsia="Times New Roman" w:hAnsi="Times New Roman"/>
          <w:sz w:val="24"/>
          <w:szCs w:val="24"/>
        </w:rPr>
        <w:t>emergency.”</w:t>
      </w:r>
      <w:proofErr w:type="gramEnd"/>
      <w:r w:rsidRPr="00015208">
        <w:rPr>
          <w:rFonts w:ascii="Times New Roman" w:eastAsia="Times New Roman" w:hAnsi="Times New Roman"/>
          <w:sz w:val="24"/>
          <w:szCs w:val="24"/>
        </w:rPr>
        <w:t xml:space="preserve"> </w:t>
      </w:r>
      <w:hyperlink r:id="rId360" w:history="1">
        <w:r w:rsidRPr="00015208">
          <w:rPr>
            <w:rStyle w:val="Hyperlink"/>
            <w:rFonts w:ascii="Times New Roman" w:hAnsi="Times New Roman"/>
            <w:sz w:val="24"/>
            <w:szCs w:val="24"/>
          </w:rPr>
          <w:t>https://cases.justia.com/federal/appellate-courts/ca7/17-3060/17-3060-2018-08-14.pdf?ts=1534262420</w:t>
        </w:r>
      </w:hyperlink>
      <w:r w:rsidRPr="00015208">
        <w:rPr>
          <w:rFonts w:ascii="Times New Roman" w:eastAsia="Times New Roman" w:hAnsi="Times New Roman"/>
          <w:sz w:val="24"/>
          <w:szCs w:val="24"/>
        </w:rPr>
        <w:t xml:space="preserve"> </w:t>
      </w:r>
    </w:p>
    <w:p w14:paraId="15417390" w14:textId="77777777" w:rsidR="00637A12" w:rsidRDefault="00637A12" w:rsidP="00791CA3">
      <w:pPr>
        <w:rPr>
          <w:rFonts w:ascii="Arial Black" w:hAnsi="Arial Black"/>
          <w:b/>
          <w:sz w:val="24"/>
          <w:szCs w:val="24"/>
        </w:rPr>
      </w:pPr>
      <w:bookmarkStart w:id="73" w:name="_Hlk7339594"/>
      <w:bookmarkEnd w:id="72"/>
    </w:p>
    <w:p w14:paraId="35BEB28B" w14:textId="3190A61D" w:rsidR="002B1283" w:rsidRDefault="00791CA3" w:rsidP="00791CA3">
      <w:pPr>
        <w:rPr>
          <w:rFonts w:ascii="Arial Black" w:hAnsi="Arial Black"/>
          <w:b/>
          <w:sz w:val="28"/>
          <w:szCs w:val="28"/>
        </w:rPr>
      </w:pPr>
      <w:r w:rsidRPr="00791CA3">
        <w:rPr>
          <w:rFonts w:ascii="Arial Black" w:hAnsi="Arial Black"/>
          <w:b/>
          <w:sz w:val="24"/>
          <w:szCs w:val="24"/>
        </w:rPr>
        <w:t>1-</w:t>
      </w:r>
      <w:r>
        <w:rPr>
          <w:rFonts w:ascii="Arial Black" w:hAnsi="Arial Black"/>
          <w:b/>
          <w:sz w:val="24"/>
          <w:szCs w:val="24"/>
        </w:rPr>
        <w:t>16</w:t>
      </w:r>
    </w:p>
    <w:p w14:paraId="76AFE2FC" w14:textId="41C8219F" w:rsidR="00F326E5" w:rsidRPr="007732FA" w:rsidRDefault="00F326E5" w:rsidP="00F326E5">
      <w:pPr>
        <w:pStyle w:val="NoSpacing"/>
        <w:rPr>
          <w:rFonts w:ascii="Arial Black" w:hAnsi="Arial Black"/>
          <w:b/>
          <w:sz w:val="28"/>
          <w:szCs w:val="28"/>
        </w:rPr>
      </w:pPr>
      <w:r w:rsidRPr="007732FA">
        <w:rPr>
          <w:rFonts w:ascii="Arial Black" w:hAnsi="Arial Black"/>
          <w:b/>
          <w:sz w:val="28"/>
          <w:szCs w:val="28"/>
        </w:rPr>
        <w:t>KY</w:t>
      </w:r>
      <w:r>
        <w:rPr>
          <w:rFonts w:ascii="Arial Black" w:hAnsi="Arial Black"/>
          <w:b/>
          <w:sz w:val="28"/>
          <w:szCs w:val="28"/>
        </w:rPr>
        <w:t xml:space="preserve">: </w:t>
      </w:r>
      <w:r w:rsidRPr="007732FA">
        <w:rPr>
          <w:rFonts w:ascii="Arial Black" w:hAnsi="Arial Black"/>
          <w:b/>
          <w:sz w:val="28"/>
          <w:szCs w:val="28"/>
        </w:rPr>
        <w:t>“R</w:t>
      </w:r>
      <w:r>
        <w:rPr>
          <w:rFonts w:ascii="Arial Black" w:hAnsi="Arial Black"/>
          <w:b/>
          <w:sz w:val="28"/>
          <w:szCs w:val="28"/>
        </w:rPr>
        <w:t xml:space="preserve">IGHT TO WORK” </w:t>
      </w:r>
      <w:r w:rsidRPr="007732FA">
        <w:rPr>
          <w:rFonts w:ascii="Arial Black" w:hAnsi="Arial Black"/>
          <w:b/>
          <w:sz w:val="28"/>
          <w:szCs w:val="28"/>
        </w:rPr>
        <w:t xml:space="preserve">STATUTE UPHELD; SIMILAR TO U.S. SUPREME COURT DECISION IN </w:t>
      </w:r>
      <w:r w:rsidRPr="007732FA">
        <w:rPr>
          <w:rFonts w:ascii="Arial Black" w:hAnsi="Arial Black"/>
          <w:b/>
          <w:i/>
          <w:sz w:val="28"/>
          <w:szCs w:val="28"/>
        </w:rPr>
        <w:t xml:space="preserve">Janis </w:t>
      </w:r>
    </w:p>
    <w:p w14:paraId="31DFDE5E" w14:textId="77777777" w:rsidR="00F17F7A" w:rsidRDefault="00F17F7A" w:rsidP="00F326E5">
      <w:pPr>
        <w:rPr>
          <w:rFonts w:ascii="Times New Roman" w:eastAsia="Times New Roman" w:hAnsi="Times New Roman"/>
          <w:sz w:val="24"/>
          <w:szCs w:val="24"/>
        </w:rPr>
      </w:pPr>
    </w:p>
    <w:p w14:paraId="483BC5F0" w14:textId="42542A19" w:rsidR="00637A12" w:rsidRDefault="00F326E5" w:rsidP="00F326E5">
      <w:pPr>
        <w:rPr>
          <w:rFonts w:ascii="Times New Roman" w:eastAsia="Times New Roman" w:hAnsi="Times New Roman"/>
          <w:sz w:val="24"/>
          <w:szCs w:val="24"/>
        </w:rPr>
      </w:pPr>
      <w:r w:rsidRPr="00013C4B">
        <w:rPr>
          <w:rFonts w:ascii="Times New Roman" w:eastAsia="Times New Roman" w:hAnsi="Times New Roman"/>
          <w:sz w:val="24"/>
          <w:szCs w:val="24"/>
        </w:rPr>
        <w:t xml:space="preserve">On Nov. 15, 2018, in </w:t>
      </w:r>
      <w:r w:rsidRPr="00013C4B">
        <w:rPr>
          <w:rFonts w:ascii="Times New Roman" w:eastAsia="Times New Roman" w:hAnsi="Times New Roman"/>
          <w:sz w:val="24"/>
          <w:szCs w:val="24"/>
          <w:u w:val="single"/>
        </w:rPr>
        <w:t xml:space="preserve">Fred Zuckerman, As Representative </w:t>
      </w:r>
      <w:proofErr w:type="gramStart"/>
      <w:r w:rsidRPr="00013C4B">
        <w:rPr>
          <w:rFonts w:ascii="Times New Roman" w:eastAsia="Times New Roman" w:hAnsi="Times New Roman"/>
          <w:sz w:val="24"/>
          <w:szCs w:val="24"/>
          <w:u w:val="single"/>
        </w:rPr>
        <w:t>Of</w:t>
      </w:r>
      <w:proofErr w:type="gramEnd"/>
      <w:r w:rsidRPr="00013C4B">
        <w:rPr>
          <w:rFonts w:ascii="Times New Roman" w:eastAsia="Times New Roman" w:hAnsi="Times New Roman"/>
          <w:sz w:val="24"/>
          <w:szCs w:val="24"/>
          <w:u w:val="single"/>
        </w:rPr>
        <w:t xml:space="preserve"> </w:t>
      </w:r>
      <w:proofErr w:type="gramStart"/>
      <w:r w:rsidRPr="00013C4B">
        <w:rPr>
          <w:rFonts w:ascii="Times New Roman" w:eastAsia="Times New Roman" w:hAnsi="Times New Roman"/>
          <w:sz w:val="24"/>
          <w:szCs w:val="24"/>
          <w:u w:val="single"/>
        </w:rPr>
        <w:t>The</w:t>
      </w:r>
      <w:proofErr w:type="gramEnd"/>
      <w:r w:rsidRPr="00013C4B">
        <w:rPr>
          <w:rFonts w:ascii="Times New Roman" w:eastAsia="Times New Roman" w:hAnsi="Times New Roman"/>
          <w:sz w:val="24"/>
          <w:szCs w:val="24"/>
          <w:u w:val="single"/>
        </w:rPr>
        <w:t xml:space="preserve"> General Drivers, Warehousemen </w:t>
      </w:r>
      <w:proofErr w:type="gramStart"/>
      <w:r w:rsidRPr="00013C4B">
        <w:rPr>
          <w:rFonts w:ascii="Times New Roman" w:eastAsia="Times New Roman" w:hAnsi="Times New Roman"/>
          <w:sz w:val="24"/>
          <w:szCs w:val="24"/>
          <w:u w:val="single"/>
        </w:rPr>
        <w:t>And</w:t>
      </w:r>
      <w:proofErr w:type="gramEnd"/>
      <w:r w:rsidRPr="00013C4B">
        <w:rPr>
          <w:rFonts w:ascii="Times New Roman" w:eastAsia="Times New Roman" w:hAnsi="Times New Roman"/>
          <w:sz w:val="24"/>
          <w:szCs w:val="24"/>
          <w:u w:val="single"/>
        </w:rPr>
        <w:t xml:space="preserve"> Helpers Local Union No. 89 v. Matthew G. Bevin, Governor</w:t>
      </w:r>
      <w:r w:rsidRPr="00013C4B">
        <w:rPr>
          <w:rFonts w:ascii="Times New Roman" w:eastAsia="Times New Roman" w:hAnsi="Times New Roman"/>
          <w:sz w:val="24"/>
          <w:szCs w:val="24"/>
        </w:rPr>
        <w:t xml:space="preserve">, the Kentucky Supreme Court (4 to 3) upheld the statute: </w:t>
      </w:r>
    </w:p>
    <w:p w14:paraId="54A3C40C" w14:textId="38255271" w:rsidR="00F326E5" w:rsidRPr="00013C4B" w:rsidRDefault="00F326E5" w:rsidP="00637A12">
      <w:pPr>
        <w:ind w:left="720"/>
        <w:rPr>
          <w:rFonts w:ascii="Times New Roman" w:eastAsia="Times New Roman" w:hAnsi="Times New Roman"/>
          <w:sz w:val="24"/>
          <w:szCs w:val="24"/>
        </w:rPr>
      </w:pPr>
      <w:r w:rsidRPr="00013C4B">
        <w:rPr>
          <w:rFonts w:ascii="Times New Roman" w:eastAsia="Times New Roman" w:hAnsi="Times New Roman"/>
          <w:sz w:val="24"/>
          <w:szCs w:val="24"/>
        </w:rPr>
        <w:t>“</w:t>
      </w:r>
      <w:proofErr w:type="gramStart"/>
      <w:r w:rsidRPr="00013C4B">
        <w:rPr>
          <w:rFonts w:ascii="Times New Roman" w:eastAsia="Times New Roman" w:hAnsi="Times New Roman"/>
          <w:sz w:val="24"/>
          <w:szCs w:val="24"/>
        </w:rPr>
        <w:t>we</w:t>
      </w:r>
      <w:proofErr w:type="gramEnd"/>
      <w:r w:rsidRPr="00013C4B">
        <w:rPr>
          <w:rFonts w:ascii="Times New Roman" w:eastAsia="Times New Roman" w:hAnsi="Times New Roman"/>
          <w:sz w:val="24"/>
          <w:szCs w:val="24"/>
        </w:rPr>
        <w:t xml:space="preserve"> hold that the Unions’ constitutional challenges to the Act are without merit. In this area of economic legislation, the legislature and the executive branch make the policy, not the courts.” </w:t>
      </w:r>
      <w:hyperlink r:id="rId361" w:history="1">
        <w:r w:rsidRPr="00013C4B">
          <w:rPr>
            <w:rStyle w:val="Hyperlink"/>
            <w:sz w:val="24"/>
            <w:szCs w:val="24"/>
          </w:rPr>
          <w:t>https://cases.justia.com/kentucky/supreme-court/2018-2018-sc-000097-tg.pdf?ts=1542294839</w:t>
        </w:r>
      </w:hyperlink>
      <w:r w:rsidRPr="00013C4B">
        <w:rPr>
          <w:rFonts w:ascii="Times New Roman" w:eastAsia="Times New Roman" w:hAnsi="Times New Roman"/>
          <w:sz w:val="24"/>
          <w:szCs w:val="24"/>
        </w:rPr>
        <w:t xml:space="preserve"> </w:t>
      </w:r>
    </w:p>
    <w:p w14:paraId="29A4ECC8" w14:textId="77777777" w:rsidR="00F326E5" w:rsidRDefault="00F326E5" w:rsidP="00F326E5">
      <w:pPr>
        <w:rPr>
          <w:rFonts w:ascii="Times New Roman" w:eastAsia="Times New Roman" w:hAnsi="Times New Roman"/>
          <w:sz w:val="24"/>
          <w:szCs w:val="24"/>
        </w:rPr>
      </w:pPr>
      <w:r w:rsidRPr="00013C4B">
        <w:rPr>
          <w:rFonts w:ascii="Times New Roman" w:eastAsia="Times New Roman" w:hAnsi="Times New Roman"/>
          <w:b/>
          <w:sz w:val="24"/>
          <w:szCs w:val="24"/>
        </w:rPr>
        <w:t xml:space="preserve">Legal Lessons Learned:  Fire &amp; EMS departments, not only in Kentucky, but in all states must now follow the U.S. Supreme Court’s decision, June 27, 2018, in </w:t>
      </w:r>
      <w:r w:rsidRPr="00013C4B">
        <w:rPr>
          <w:rFonts w:ascii="Times New Roman" w:eastAsia="Times New Roman" w:hAnsi="Times New Roman"/>
          <w:b/>
          <w:sz w:val="24"/>
          <w:szCs w:val="24"/>
          <w:u w:val="single"/>
        </w:rPr>
        <w:t>Janus v. American Federation of State, County, and Municipal Employees, Council 31</w:t>
      </w:r>
      <w:r w:rsidRPr="00013C4B">
        <w:rPr>
          <w:rFonts w:ascii="Times New Roman" w:eastAsia="Times New Roman" w:hAnsi="Times New Roman"/>
          <w:b/>
          <w:sz w:val="24"/>
          <w:szCs w:val="24"/>
        </w:rPr>
        <w:t>, which held (5 to 4), “Under Illinois law, public employees are forced to subsi</w:t>
      </w:r>
      <w:r w:rsidRPr="00013C4B">
        <w:rPr>
          <w:rFonts w:ascii="Times New Roman" w:eastAsia="Times New Roman" w:hAnsi="Times New Roman"/>
          <w:b/>
          <w:sz w:val="24"/>
          <w:szCs w:val="24"/>
        </w:rPr>
        <w:softHyphen/>
        <w:t>dize a union, even if they choose not to join and strongly object to the positions the union takes in collective bar</w:t>
      </w:r>
      <w:r w:rsidRPr="00013C4B">
        <w:rPr>
          <w:rFonts w:ascii="Times New Roman" w:eastAsia="Times New Roman" w:hAnsi="Times New Roman"/>
          <w:b/>
          <w:sz w:val="24"/>
          <w:szCs w:val="24"/>
        </w:rPr>
        <w:softHyphen/>
        <w:t xml:space="preserve"> gaining and related activities. We conclude that this arrangement violates the </w:t>
      </w:r>
      <w:proofErr w:type="gramStart"/>
      <w:r w:rsidRPr="00013C4B">
        <w:rPr>
          <w:rFonts w:ascii="Times New Roman" w:eastAsia="Times New Roman" w:hAnsi="Times New Roman"/>
          <w:b/>
          <w:sz w:val="24"/>
          <w:szCs w:val="24"/>
        </w:rPr>
        <w:t>free speech</w:t>
      </w:r>
      <w:proofErr w:type="gramEnd"/>
      <w:r w:rsidRPr="00013C4B">
        <w:rPr>
          <w:rFonts w:ascii="Times New Roman" w:eastAsia="Times New Roman" w:hAnsi="Times New Roman"/>
          <w:b/>
          <w:sz w:val="24"/>
          <w:szCs w:val="24"/>
        </w:rPr>
        <w:t xml:space="preserve"> rights of nonmem</w:t>
      </w:r>
      <w:r w:rsidRPr="00013C4B">
        <w:rPr>
          <w:rFonts w:ascii="Times New Roman" w:eastAsia="Times New Roman" w:hAnsi="Times New Roman"/>
          <w:b/>
          <w:sz w:val="24"/>
          <w:szCs w:val="24"/>
        </w:rPr>
        <w:softHyphen/>
        <w:t xml:space="preserve">bers by compelling them to subsidize private speech on matters of substantial public </w:t>
      </w:r>
      <w:proofErr w:type="gramStart"/>
      <w:r w:rsidRPr="00013C4B">
        <w:rPr>
          <w:rFonts w:ascii="Times New Roman" w:eastAsia="Times New Roman" w:hAnsi="Times New Roman"/>
          <w:b/>
          <w:sz w:val="24"/>
          <w:szCs w:val="24"/>
        </w:rPr>
        <w:t>concern.”</w:t>
      </w:r>
      <w:proofErr w:type="gramEnd"/>
      <w:r w:rsidRPr="00013C4B">
        <w:rPr>
          <w:rFonts w:ascii="Times New Roman" w:eastAsia="Times New Roman" w:hAnsi="Times New Roman"/>
          <w:sz w:val="24"/>
          <w:szCs w:val="24"/>
        </w:rPr>
        <w:t xml:space="preserve">   </w:t>
      </w:r>
      <w:hyperlink r:id="rId362" w:history="1">
        <w:r w:rsidRPr="00013C4B">
          <w:rPr>
            <w:rStyle w:val="Hyperlink"/>
            <w:sz w:val="24"/>
            <w:szCs w:val="24"/>
          </w:rPr>
          <w:t>https://www.supremecourt.gov/opinions/17pdf/16-1466_2b3j.pdf</w:t>
        </w:r>
      </w:hyperlink>
      <w:r w:rsidRPr="00013C4B">
        <w:rPr>
          <w:rFonts w:ascii="Times New Roman" w:eastAsia="Times New Roman" w:hAnsi="Times New Roman"/>
          <w:sz w:val="24"/>
          <w:szCs w:val="24"/>
        </w:rPr>
        <w:t xml:space="preserve"> </w:t>
      </w:r>
    </w:p>
    <w:p w14:paraId="5C9F1ACD" w14:textId="77777777" w:rsidR="00F326E5" w:rsidRPr="00013C4B" w:rsidRDefault="00F326E5" w:rsidP="00F326E5">
      <w:pPr>
        <w:ind w:firstLine="720"/>
        <w:rPr>
          <w:rFonts w:ascii="Times New Roman" w:eastAsia="Times New Roman" w:hAnsi="Times New Roman"/>
          <w:bCs/>
          <w:sz w:val="24"/>
          <w:szCs w:val="24"/>
        </w:rPr>
      </w:pPr>
      <w:r w:rsidRPr="00013C4B">
        <w:rPr>
          <w:rFonts w:ascii="Times New Roman" w:eastAsia="Times New Roman" w:hAnsi="Times New Roman"/>
          <w:sz w:val="24"/>
          <w:szCs w:val="24"/>
        </w:rPr>
        <w:t xml:space="preserve">See IAFF statement in response to the </w:t>
      </w:r>
      <w:r w:rsidRPr="00013C4B">
        <w:rPr>
          <w:rFonts w:ascii="Times New Roman" w:eastAsia="Times New Roman" w:hAnsi="Times New Roman"/>
          <w:i/>
          <w:sz w:val="24"/>
          <w:szCs w:val="24"/>
        </w:rPr>
        <w:t>Janus</w:t>
      </w:r>
      <w:r w:rsidRPr="00013C4B">
        <w:rPr>
          <w:rFonts w:ascii="Times New Roman" w:eastAsia="Times New Roman" w:hAnsi="Times New Roman"/>
          <w:sz w:val="24"/>
          <w:szCs w:val="24"/>
        </w:rPr>
        <w:t xml:space="preserve"> decision:  </w:t>
      </w:r>
    </w:p>
    <w:p w14:paraId="5ED408E1" w14:textId="77777777" w:rsidR="00F326E5" w:rsidRPr="00013C4B" w:rsidRDefault="00F326E5" w:rsidP="00F326E5">
      <w:pPr>
        <w:ind w:left="720"/>
        <w:rPr>
          <w:rFonts w:ascii="Times New Roman" w:eastAsia="Times New Roman" w:hAnsi="Times New Roman"/>
          <w:sz w:val="24"/>
          <w:szCs w:val="24"/>
        </w:rPr>
      </w:pPr>
      <w:r w:rsidRPr="00013C4B">
        <w:rPr>
          <w:rFonts w:ascii="Times New Roman" w:eastAsia="Times New Roman" w:hAnsi="Times New Roman"/>
          <w:bCs/>
          <w:sz w:val="24"/>
          <w:szCs w:val="24"/>
        </w:rPr>
        <w:t xml:space="preserve">General President Harold Schaitberger issued this statement on the Supreme Court 5-4 decision overruling decades of precedent in the case of </w:t>
      </w:r>
      <w:r w:rsidRPr="00013C4B">
        <w:rPr>
          <w:rFonts w:ascii="Times New Roman" w:eastAsia="Times New Roman" w:hAnsi="Times New Roman"/>
          <w:bCs/>
          <w:i/>
          <w:iCs/>
          <w:sz w:val="24"/>
          <w:szCs w:val="24"/>
        </w:rPr>
        <w:t>Janus v AFSCME Council 31</w:t>
      </w:r>
      <w:r w:rsidRPr="00013C4B">
        <w:rPr>
          <w:rFonts w:ascii="Times New Roman" w:eastAsia="Times New Roman" w:hAnsi="Times New Roman"/>
          <w:bCs/>
          <w:sz w:val="24"/>
          <w:szCs w:val="24"/>
        </w:rPr>
        <w:t xml:space="preserve">: </w:t>
      </w:r>
      <w:hyperlink r:id="rId363" w:anchor="contentid=68451" w:history="1">
        <w:r w:rsidRPr="00013C4B">
          <w:rPr>
            <w:rStyle w:val="Hyperlink"/>
            <w:sz w:val="24"/>
            <w:szCs w:val="24"/>
          </w:rPr>
          <w:t>http://client.prod.iaff.org/#contentid=68451</w:t>
        </w:r>
      </w:hyperlink>
      <w:r w:rsidRPr="00013C4B">
        <w:rPr>
          <w:rFonts w:ascii="Times New Roman" w:eastAsia="Times New Roman" w:hAnsi="Times New Roman"/>
          <w:bCs/>
          <w:sz w:val="24"/>
          <w:szCs w:val="24"/>
        </w:rPr>
        <w:t xml:space="preserve"> </w:t>
      </w:r>
    </w:p>
    <w:p w14:paraId="07659AD9" w14:textId="77777777" w:rsidR="00F326E5" w:rsidRPr="00013C4B" w:rsidRDefault="00F326E5" w:rsidP="00F326E5">
      <w:pPr>
        <w:spacing w:before="100" w:beforeAutospacing="1" w:after="100" w:afterAutospacing="1"/>
        <w:ind w:left="720"/>
        <w:rPr>
          <w:rFonts w:ascii="Times New Roman" w:eastAsia="Times New Roman" w:hAnsi="Times New Roman"/>
          <w:sz w:val="24"/>
          <w:szCs w:val="24"/>
        </w:rPr>
      </w:pPr>
      <w:r w:rsidRPr="00013C4B">
        <w:rPr>
          <w:rFonts w:ascii="Times New Roman" w:eastAsia="Times New Roman" w:hAnsi="Times New Roman"/>
          <w:sz w:val="24"/>
          <w:szCs w:val="24"/>
        </w:rPr>
        <w:t xml:space="preserve">Washington, DC – “The Janus v AFSCME Council 31 case was pushed by forces that want to take away the voices of fire fighters and the power of all public employee unions. The intent is to </w:t>
      </w:r>
      <w:proofErr w:type="gramStart"/>
      <w:r w:rsidRPr="00013C4B">
        <w:rPr>
          <w:rFonts w:ascii="Times New Roman" w:eastAsia="Times New Roman" w:hAnsi="Times New Roman"/>
          <w:sz w:val="24"/>
          <w:szCs w:val="24"/>
        </w:rPr>
        <w:t>handicap</w:t>
      </w:r>
      <w:proofErr w:type="gramEnd"/>
      <w:r w:rsidRPr="00013C4B">
        <w:rPr>
          <w:rFonts w:ascii="Times New Roman" w:eastAsia="Times New Roman" w:hAnsi="Times New Roman"/>
          <w:sz w:val="24"/>
          <w:szCs w:val="24"/>
        </w:rPr>
        <w:t xml:space="preserve"> unions in our ability to improve members' lives and to weaken the political power of public employees.</w:t>
      </w:r>
    </w:p>
    <w:p w14:paraId="5FF23B04" w14:textId="77777777" w:rsidR="00F326E5" w:rsidRPr="00013C4B" w:rsidRDefault="00F326E5" w:rsidP="00F326E5">
      <w:pPr>
        <w:spacing w:before="100" w:beforeAutospacing="1" w:after="100" w:afterAutospacing="1"/>
        <w:ind w:left="720"/>
        <w:rPr>
          <w:rFonts w:ascii="Times New Roman" w:eastAsia="Times New Roman" w:hAnsi="Times New Roman"/>
          <w:sz w:val="24"/>
          <w:szCs w:val="24"/>
        </w:rPr>
      </w:pPr>
      <w:r w:rsidRPr="00013C4B">
        <w:rPr>
          <w:rFonts w:ascii="Times New Roman" w:eastAsia="Times New Roman" w:hAnsi="Times New Roman"/>
          <w:sz w:val="24"/>
          <w:szCs w:val="24"/>
        </w:rPr>
        <w:t xml:space="preserve">“We know the potential negative impacts that could come from the Supreme Court’s decision in </w:t>
      </w:r>
      <w:proofErr w:type="gramStart"/>
      <w:r w:rsidRPr="00013C4B">
        <w:rPr>
          <w:rFonts w:ascii="Times New Roman" w:eastAsia="Times New Roman" w:hAnsi="Times New Roman"/>
          <w:i/>
          <w:iCs/>
          <w:sz w:val="24"/>
          <w:szCs w:val="24"/>
        </w:rPr>
        <w:t>Janus</w:t>
      </w:r>
      <w:r w:rsidRPr="00013C4B">
        <w:rPr>
          <w:rFonts w:ascii="Times New Roman" w:eastAsia="Times New Roman" w:hAnsi="Times New Roman"/>
          <w:sz w:val="24"/>
          <w:szCs w:val="24"/>
        </w:rPr>
        <w:t>,</w:t>
      </w:r>
      <w:proofErr w:type="gramEnd"/>
      <w:r w:rsidRPr="00013C4B">
        <w:rPr>
          <w:rFonts w:ascii="Times New Roman" w:eastAsia="Times New Roman" w:hAnsi="Times New Roman"/>
          <w:sz w:val="24"/>
          <w:szCs w:val="24"/>
        </w:rPr>
        <w:t xml:space="preserve"> however we are ready to take the best punch and deliver some blows ourselves to those that want to see fire fighters and their unions weakened.</w:t>
      </w:r>
    </w:p>
    <w:p w14:paraId="6ACEED87" w14:textId="77777777" w:rsidR="00F326E5" w:rsidRPr="00013C4B" w:rsidRDefault="00F326E5" w:rsidP="00F326E5">
      <w:pPr>
        <w:spacing w:before="100" w:beforeAutospacing="1" w:after="100" w:afterAutospacing="1"/>
        <w:ind w:left="720"/>
        <w:rPr>
          <w:rFonts w:ascii="Times New Roman" w:eastAsia="Times New Roman" w:hAnsi="Times New Roman"/>
          <w:sz w:val="24"/>
          <w:szCs w:val="24"/>
        </w:rPr>
      </w:pPr>
      <w:r w:rsidRPr="00013C4B">
        <w:rPr>
          <w:rFonts w:ascii="Times New Roman" w:eastAsia="Times New Roman" w:hAnsi="Times New Roman"/>
          <w:sz w:val="24"/>
          <w:szCs w:val="24"/>
        </w:rPr>
        <w:t xml:space="preserve">“While the Janus decision is another attack on organized labor, every attack can be turned into an opportunity, and we are determined not to let this decision hold us back from our important mission. The IAFF has operated successfully under </w:t>
      </w:r>
      <w:r w:rsidRPr="00013C4B">
        <w:rPr>
          <w:rFonts w:ascii="Times New Roman" w:eastAsia="Times New Roman" w:hAnsi="Times New Roman"/>
          <w:i/>
          <w:iCs/>
          <w:sz w:val="24"/>
          <w:szCs w:val="24"/>
        </w:rPr>
        <w:t>Janus</w:t>
      </w:r>
      <w:r w:rsidRPr="00013C4B">
        <w:rPr>
          <w:rFonts w:ascii="Times New Roman" w:eastAsia="Times New Roman" w:hAnsi="Times New Roman"/>
          <w:sz w:val="24"/>
          <w:szCs w:val="24"/>
        </w:rPr>
        <w:t>-like rules in right-to-work and non-collective bargaining states for decades. We have proven that you can have strong affiliates that deliver better pay, health care, retirement security, health and safety provisions and a voice in keeping their communities safe in these tough environments.</w:t>
      </w:r>
    </w:p>
    <w:p w14:paraId="1F7B5585" w14:textId="77777777" w:rsidR="00F326E5" w:rsidRPr="00013C4B" w:rsidRDefault="00F326E5" w:rsidP="00F326E5">
      <w:pPr>
        <w:spacing w:before="100" w:beforeAutospacing="1" w:after="100" w:afterAutospacing="1"/>
        <w:ind w:left="720"/>
        <w:rPr>
          <w:rFonts w:ascii="Times New Roman" w:eastAsia="Times New Roman" w:hAnsi="Times New Roman"/>
          <w:sz w:val="24"/>
          <w:szCs w:val="24"/>
        </w:rPr>
      </w:pPr>
      <w:r w:rsidRPr="00013C4B">
        <w:rPr>
          <w:rFonts w:ascii="Times New Roman" w:eastAsia="Times New Roman" w:hAnsi="Times New Roman"/>
          <w:sz w:val="24"/>
          <w:szCs w:val="24"/>
        </w:rPr>
        <w:lastRenderedPageBreak/>
        <w:t>“We represent more than 85 percent of all professional fire fighters and paramedics in the U.S. because we consistently demonstrate our value, through our strong affiliates, that being union fire fighters provides a significantly better standard of living and safer working environment than those who are not union. We believe that difference will become even more stark, and we are working to represent that small percentage of fire fighters who aren't in our union so that we can raise their standard of living and increase their ability to have a strong voice in public safety.</w:t>
      </w:r>
    </w:p>
    <w:p w14:paraId="598CA45C" w14:textId="77777777" w:rsidR="00F326E5" w:rsidRPr="00013C4B" w:rsidRDefault="00F326E5" w:rsidP="00F326E5">
      <w:pPr>
        <w:spacing w:before="100" w:beforeAutospacing="1" w:after="100" w:afterAutospacing="1"/>
        <w:ind w:left="720"/>
        <w:rPr>
          <w:rFonts w:ascii="Times New Roman" w:eastAsia="Times New Roman" w:hAnsi="Times New Roman"/>
          <w:sz w:val="24"/>
          <w:szCs w:val="24"/>
        </w:rPr>
      </w:pPr>
      <w:r w:rsidRPr="00013C4B">
        <w:rPr>
          <w:rFonts w:ascii="Times New Roman" w:eastAsia="Times New Roman" w:hAnsi="Times New Roman"/>
          <w:sz w:val="24"/>
          <w:szCs w:val="24"/>
        </w:rPr>
        <w:t xml:space="preserve">“This case was intended as a political push to eliminate the power of people who work to support their families and the power of their unions. But instead, the </w:t>
      </w:r>
      <w:r w:rsidRPr="00013C4B">
        <w:rPr>
          <w:rFonts w:ascii="Times New Roman" w:eastAsia="Times New Roman" w:hAnsi="Times New Roman"/>
          <w:i/>
          <w:iCs/>
          <w:sz w:val="24"/>
          <w:szCs w:val="24"/>
        </w:rPr>
        <w:t>Janus</w:t>
      </w:r>
      <w:r w:rsidRPr="00013C4B">
        <w:rPr>
          <w:rFonts w:ascii="Times New Roman" w:eastAsia="Times New Roman" w:hAnsi="Times New Roman"/>
          <w:sz w:val="24"/>
          <w:szCs w:val="24"/>
        </w:rPr>
        <w:t xml:space="preserve"> case is activating an army of union leaders to better engage their members.”</w:t>
      </w:r>
    </w:p>
    <w:bookmarkEnd w:id="73"/>
    <w:p w14:paraId="038A3D7C" w14:textId="77777777" w:rsidR="00F326E5" w:rsidRDefault="00F326E5" w:rsidP="00F326E5">
      <w:pPr>
        <w:pStyle w:val="NoSpacing"/>
        <w:rPr>
          <w:sz w:val="24"/>
          <w:szCs w:val="24"/>
        </w:rPr>
      </w:pPr>
    </w:p>
    <w:p w14:paraId="0AB6162E" w14:textId="77777777" w:rsidR="002B1283" w:rsidRDefault="002B1283" w:rsidP="00F326E5">
      <w:pPr>
        <w:pStyle w:val="NoSpacing"/>
        <w:rPr>
          <w:rFonts w:ascii="Arial Black" w:hAnsi="Arial Black"/>
          <w:b/>
          <w:sz w:val="28"/>
          <w:szCs w:val="28"/>
        </w:rPr>
      </w:pPr>
      <w:bookmarkStart w:id="74" w:name="_Hlk7339701"/>
    </w:p>
    <w:p w14:paraId="1B731B8D" w14:textId="77777777" w:rsidR="002B1283" w:rsidRDefault="002B1283" w:rsidP="00F326E5">
      <w:pPr>
        <w:pStyle w:val="NoSpacing"/>
        <w:rPr>
          <w:rFonts w:ascii="Arial Black" w:hAnsi="Arial Black"/>
          <w:b/>
          <w:sz w:val="28"/>
          <w:szCs w:val="28"/>
        </w:rPr>
      </w:pPr>
    </w:p>
    <w:p w14:paraId="2432A207" w14:textId="7002696A"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15</w:t>
      </w:r>
    </w:p>
    <w:p w14:paraId="309AE323" w14:textId="78D1E78A" w:rsidR="00F326E5" w:rsidRDefault="00F326E5" w:rsidP="00F326E5">
      <w:pPr>
        <w:pStyle w:val="NoSpacing"/>
        <w:rPr>
          <w:rFonts w:ascii="Arial Black" w:hAnsi="Arial Black"/>
          <w:b/>
          <w:sz w:val="24"/>
          <w:szCs w:val="24"/>
        </w:rPr>
      </w:pPr>
      <w:r w:rsidRPr="00BC5C14">
        <w:rPr>
          <w:rFonts w:ascii="Arial Black" w:hAnsi="Arial Black"/>
          <w:b/>
          <w:sz w:val="28"/>
          <w:szCs w:val="28"/>
        </w:rPr>
        <w:t>WI</w:t>
      </w:r>
      <w:r>
        <w:rPr>
          <w:rFonts w:ascii="Arial Black" w:hAnsi="Arial Black"/>
          <w:b/>
          <w:sz w:val="28"/>
          <w:szCs w:val="28"/>
        </w:rPr>
        <w:t xml:space="preserve">: </w:t>
      </w:r>
      <w:r w:rsidRPr="00BC5C14">
        <w:rPr>
          <w:rFonts w:ascii="Arial Black" w:hAnsi="Arial Black"/>
          <w:b/>
          <w:sz w:val="28"/>
          <w:szCs w:val="28"/>
        </w:rPr>
        <w:t>F</w:t>
      </w:r>
      <w:r>
        <w:rPr>
          <w:rFonts w:ascii="Arial Black" w:hAnsi="Arial Black"/>
          <w:b/>
          <w:sz w:val="28"/>
          <w:szCs w:val="28"/>
        </w:rPr>
        <w:t>OREST FIRE – INSURANCE COMPANY HAS LIMITED LIABILITY OF $500,000</w:t>
      </w:r>
    </w:p>
    <w:p w14:paraId="5E3F2990" w14:textId="77777777" w:rsidR="00637A12" w:rsidRDefault="00F326E5" w:rsidP="00F326E5">
      <w:pPr>
        <w:pStyle w:val="NoSpacing"/>
        <w:rPr>
          <w:rFonts w:ascii="Times New Roman" w:hAnsi="Times New Roman"/>
          <w:sz w:val="24"/>
          <w:szCs w:val="24"/>
        </w:rPr>
      </w:pPr>
      <w:r w:rsidRPr="00015208">
        <w:rPr>
          <w:rFonts w:ascii="Times New Roman" w:hAnsi="Times New Roman"/>
          <w:sz w:val="24"/>
          <w:szCs w:val="24"/>
        </w:rPr>
        <w:t xml:space="preserve">On Oct. 30, 2018, in </w:t>
      </w:r>
      <w:r w:rsidRPr="00015208">
        <w:rPr>
          <w:rFonts w:ascii="Times New Roman" w:hAnsi="Times New Roman"/>
          <w:sz w:val="24"/>
          <w:szCs w:val="24"/>
          <w:u w:val="single"/>
        </w:rPr>
        <w:t>SECURA Insurance, A Mutual Company v. Lyme St. Croix Forest Company, LLC, et al.</w:t>
      </w:r>
      <w:r w:rsidRPr="00015208">
        <w:rPr>
          <w:rFonts w:ascii="Times New Roman" w:hAnsi="Times New Roman"/>
          <w:sz w:val="24"/>
          <w:szCs w:val="24"/>
        </w:rPr>
        <w:t xml:space="preserve">, the Wisconsin Supreme Court reversed the trial court, and the Wisconsin Appeals Court, and held (7 to 0): </w:t>
      </w:r>
    </w:p>
    <w:p w14:paraId="4E9BE49C" w14:textId="77777777" w:rsidR="00637A12" w:rsidRDefault="00637A12" w:rsidP="00637A12">
      <w:pPr>
        <w:pStyle w:val="NoSpacing"/>
        <w:ind w:firstLine="720"/>
        <w:rPr>
          <w:rFonts w:ascii="Times New Roman" w:hAnsi="Times New Roman"/>
          <w:sz w:val="24"/>
          <w:szCs w:val="24"/>
        </w:rPr>
      </w:pPr>
    </w:p>
    <w:p w14:paraId="41089480" w14:textId="382A6CC7" w:rsidR="00F326E5" w:rsidRPr="00015208" w:rsidRDefault="00F326E5" w:rsidP="00637A12">
      <w:pPr>
        <w:pStyle w:val="NoSpacing"/>
        <w:ind w:left="720"/>
        <w:rPr>
          <w:rFonts w:ascii="Times New Roman" w:hAnsi="Times New Roman"/>
          <w:sz w:val="24"/>
          <w:szCs w:val="24"/>
        </w:rPr>
      </w:pPr>
      <w:r w:rsidRPr="00015208">
        <w:rPr>
          <w:rFonts w:ascii="Times New Roman" w:hAnsi="Times New Roman"/>
          <w:sz w:val="24"/>
          <w:szCs w:val="24"/>
        </w:rPr>
        <w:t>“Despite the fact that the fire crossed several property lines, Secura contends it was a single, uninterrupted cause of the alleged damages. *** We conclude that the fire at issue constitutes a single occurrence pursuant to the CGL [Commercial General Liability] policy. Consequently, the $500,000 per-occurrence limit for property damage applies.”</w:t>
      </w:r>
    </w:p>
    <w:p w14:paraId="0135C3BA" w14:textId="0360C5D9" w:rsidR="00F326E5" w:rsidRPr="00015208" w:rsidRDefault="00637A12" w:rsidP="00637A12">
      <w:pPr>
        <w:pStyle w:val="NoSpacing"/>
        <w:ind w:firstLine="720"/>
        <w:rPr>
          <w:rFonts w:ascii="Times New Roman" w:hAnsi="Times New Roman"/>
          <w:sz w:val="24"/>
          <w:szCs w:val="24"/>
        </w:rPr>
      </w:pPr>
      <w:hyperlink r:id="rId364" w:history="1">
        <w:r w:rsidRPr="002F304C">
          <w:rPr>
            <w:rStyle w:val="Hyperlink"/>
            <w:rFonts w:ascii="Times New Roman" w:hAnsi="Times New Roman"/>
            <w:sz w:val="24"/>
            <w:szCs w:val="24"/>
          </w:rPr>
          <w:t>https://www.wicourts.gov/sc/opinion/DisplayDocument.pdf?content=pdf&amp;seqNo=224718</w:t>
        </w:r>
      </w:hyperlink>
      <w:r w:rsidR="00F326E5" w:rsidRPr="00015208">
        <w:rPr>
          <w:rFonts w:ascii="Times New Roman" w:hAnsi="Times New Roman"/>
          <w:sz w:val="24"/>
          <w:szCs w:val="24"/>
        </w:rPr>
        <w:t xml:space="preserve"> </w:t>
      </w:r>
    </w:p>
    <w:p w14:paraId="43337987" w14:textId="77777777" w:rsidR="00637A12" w:rsidRDefault="00637A12" w:rsidP="00F326E5">
      <w:pPr>
        <w:rPr>
          <w:rFonts w:ascii="Times New Roman" w:eastAsia="Times New Roman" w:hAnsi="Times New Roman"/>
          <w:b/>
          <w:sz w:val="24"/>
          <w:szCs w:val="24"/>
        </w:rPr>
      </w:pPr>
    </w:p>
    <w:p w14:paraId="06A26627" w14:textId="3292C244" w:rsidR="00F326E5" w:rsidRPr="00015208" w:rsidRDefault="00F326E5" w:rsidP="00F326E5">
      <w:pPr>
        <w:rPr>
          <w:rFonts w:ascii="Times New Roman" w:eastAsia="Times New Roman" w:hAnsi="Times New Roman"/>
          <w:b/>
          <w:sz w:val="24"/>
          <w:szCs w:val="24"/>
        </w:rPr>
      </w:pPr>
      <w:r w:rsidRPr="00015208">
        <w:rPr>
          <w:rFonts w:ascii="Times New Roman" w:eastAsia="Times New Roman" w:hAnsi="Times New Roman"/>
          <w:b/>
          <w:sz w:val="24"/>
          <w:szCs w:val="24"/>
        </w:rPr>
        <w:t xml:space="preserve">Legal Lessons Learned: The logging equipment company, which paid for insurance against this type of loss, must feel that its insurance company has treated their customer like “manure.”  Insurance policies are often difficult to interpret.  Fire &amp; EMS departments should invite their liability insurance carrier(s) in for a discussion about what is covered and what is not covered. </w:t>
      </w:r>
    </w:p>
    <w:bookmarkEnd w:id="74"/>
    <w:p w14:paraId="684B357A" w14:textId="77777777" w:rsidR="00F326E5" w:rsidRPr="00DE6D89" w:rsidRDefault="00F326E5" w:rsidP="00F326E5">
      <w:pPr>
        <w:pStyle w:val="NoSpacing"/>
        <w:rPr>
          <w:b/>
          <w:sz w:val="24"/>
          <w:szCs w:val="24"/>
        </w:rPr>
      </w:pPr>
    </w:p>
    <w:p w14:paraId="6A686F15" w14:textId="77777777" w:rsidR="00637A12" w:rsidRDefault="00637A12" w:rsidP="00791CA3">
      <w:pPr>
        <w:rPr>
          <w:rFonts w:ascii="Arial Black" w:hAnsi="Arial Black"/>
          <w:b/>
          <w:sz w:val="24"/>
          <w:szCs w:val="24"/>
        </w:rPr>
      </w:pPr>
    </w:p>
    <w:p w14:paraId="7041406B" w14:textId="28CA0D2E"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14</w:t>
      </w:r>
    </w:p>
    <w:p w14:paraId="132A03EF" w14:textId="77777777" w:rsidR="00791CA3" w:rsidRDefault="00791CA3" w:rsidP="00F326E5">
      <w:pPr>
        <w:pStyle w:val="NoSpacing"/>
        <w:rPr>
          <w:sz w:val="24"/>
          <w:szCs w:val="24"/>
        </w:rPr>
      </w:pPr>
    </w:p>
    <w:p w14:paraId="0ABF84E5" w14:textId="29F4B1DD" w:rsidR="00F326E5" w:rsidRPr="00992A0C" w:rsidRDefault="00F326E5" w:rsidP="00F326E5">
      <w:pPr>
        <w:pStyle w:val="NoSpacing"/>
        <w:rPr>
          <w:rFonts w:ascii="Arial Black" w:hAnsi="Arial Black"/>
          <w:b/>
          <w:sz w:val="28"/>
          <w:szCs w:val="28"/>
        </w:rPr>
      </w:pPr>
      <w:bookmarkStart w:id="75" w:name="_Hlk7339777"/>
      <w:r w:rsidRPr="00992A0C">
        <w:rPr>
          <w:rFonts w:ascii="Arial Black" w:hAnsi="Arial Black"/>
          <w:b/>
          <w:sz w:val="28"/>
          <w:szCs w:val="28"/>
        </w:rPr>
        <w:t>OH</w:t>
      </w:r>
      <w:r>
        <w:rPr>
          <w:rFonts w:ascii="Arial Black" w:hAnsi="Arial Black"/>
          <w:b/>
          <w:sz w:val="28"/>
          <w:szCs w:val="28"/>
        </w:rPr>
        <w:t xml:space="preserve">: FIRE CODE VIOLATIONS - COURT MAY ORDER INSPECTION OF UNOCCUPIED BUILDING </w:t>
      </w:r>
    </w:p>
    <w:p w14:paraId="55FBF1BB" w14:textId="77777777" w:rsidR="00637A12" w:rsidRDefault="00F326E5" w:rsidP="00F326E5">
      <w:pPr>
        <w:rPr>
          <w:rFonts w:ascii="Times New Roman" w:eastAsia="Times New Roman" w:hAnsi="Times New Roman"/>
          <w:sz w:val="24"/>
          <w:szCs w:val="24"/>
        </w:rPr>
      </w:pPr>
      <w:r w:rsidRPr="00015208">
        <w:rPr>
          <w:rFonts w:ascii="Times New Roman" w:eastAsia="Times New Roman" w:hAnsi="Times New Roman"/>
          <w:sz w:val="24"/>
          <w:szCs w:val="24"/>
        </w:rPr>
        <w:t xml:space="preserve">On Oct. 11, 2018, in </w:t>
      </w:r>
      <w:r w:rsidRPr="00015208">
        <w:rPr>
          <w:rFonts w:ascii="Times New Roman" w:eastAsia="Times New Roman" w:hAnsi="Times New Roman"/>
          <w:sz w:val="24"/>
          <w:szCs w:val="24"/>
          <w:u w:val="single"/>
        </w:rPr>
        <w:t>City of Cleveland v. James Grunt, Jr.,</w:t>
      </w:r>
      <w:r w:rsidRPr="00015208">
        <w:rPr>
          <w:rFonts w:ascii="Times New Roman" w:eastAsia="Times New Roman" w:hAnsi="Times New Roman"/>
          <w:sz w:val="24"/>
          <w:szCs w:val="24"/>
        </w:rPr>
        <w:t xml:space="preserve"> the Ohio Court of Appeals for Cuyahoga County held (3 to 0) that a judge on the Cleveland Municipal Court – Housing Division had authority to allow warrantless inspections of the property to confirm that owner is complying with Cleveland Building Department requirements. </w:t>
      </w:r>
    </w:p>
    <w:p w14:paraId="705A094C" w14:textId="74AE18D7" w:rsidR="00F326E5" w:rsidRPr="00015208" w:rsidRDefault="00F326E5" w:rsidP="00637A12">
      <w:pPr>
        <w:ind w:left="720"/>
        <w:rPr>
          <w:rFonts w:ascii="Times New Roman" w:eastAsia="Times New Roman" w:hAnsi="Times New Roman"/>
          <w:sz w:val="24"/>
          <w:szCs w:val="24"/>
        </w:rPr>
      </w:pPr>
      <w:r w:rsidRPr="00015208">
        <w:rPr>
          <w:rFonts w:ascii="Times New Roman" w:eastAsia="Times New Roman" w:hAnsi="Times New Roman"/>
          <w:sz w:val="24"/>
          <w:szCs w:val="24"/>
        </w:rPr>
        <w:lastRenderedPageBreak/>
        <w:t xml:space="preserve">“[W]e </w:t>
      </w:r>
      <w:proofErr w:type="gramStart"/>
      <w:r w:rsidRPr="00015208">
        <w:rPr>
          <w:rFonts w:ascii="Times New Roman" w:eastAsia="Times New Roman" w:hAnsi="Times New Roman"/>
          <w:sz w:val="24"/>
          <w:szCs w:val="24"/>
        </w:rPr>
        <w:t>find</w:t>
      </w:r>
      <w:proofErr w:type="gramEnd"/>
      <w:r w:rsidRPr="00015208">
        <w:rPr>
          <w:rFonts w:ascii="Times New Roman" w:eastAsia="Times New Roman" w:hAnsi="Times New Roman"/>
          <w:sz w:val="24"/>
          <w:szCs w:val="24"/>
        </w:rPr>
        <w:t xml:space="preserve"> no cases in Ohio directly on point, i.e., discussing the constitutionality of ordering a property inspection as a condition of CCS. However, we find guidance in R.C. 2951.02, which authorizes warrantless searches during an offender’s misdemeanor CCS under certain </w:t>
      </w:r>
      <w:proofErr w:type="gramStart"/>
      <w:r w:rsidRPr="00015208">
        <w:rPr>
          <w:rFonts w:ascii="Times New Roman" w:eastAsia="Times New Roman" w:hAnsi="Times New Roman"/>
          <w:sz w:val="24"/>
          <w:szCs w:val="24"/>
        </w:rPr>
        <w:t>circumstances.”</w:t>
      </w:r>
      <w:proofErr w:type="gramEnd"/>
      <w:r w:rsidRPr="00015208">
        <w:rPr>
          <w:rFonts w:ascii="Times New Roman" w:eastAsia="Times New Roman" w:hAnsi="Times New Roman"/>
          <w:sz w:val="24"/>
          <w:szCs w:val="24"/>
        </w:rPr>
        <w:t xml:space="preserve"> </w:t>
      </w:r>
      <w:hyperlink r:id="rId365" w:history="1">
        <w:r w:rsidRPr="00015208">
          <w:rPr>
            <w:rStyle w:val="Hyperlink"/>
            <w:rFonts w:ascii="Times New Roman" w:hAnsi="Times New Roman"/>
            <w:sz w:val="24"/>
            <w:szCs w:val="24"/>
          </w:rPr>
          <w:t>https://www.supremecourt.ohio.gov/rod/docs/pdf/8/2018/2018-Ohio-4109.pdf</w:t>
        </w:r>
      </w:hyperlink>
      <w:r w:rsidRPr="00015208">
        <w:rPr>
          <w:rFonts w:ascii="Times New Roman" w:eastAsia="Times New Roman" w:hAnsi="Times New Roman"/>
          <w:sz w:val="24"/>
          <w:szCs w:val="24"/>
        </w:rPr>
        <w:t xml:space="preserve"> </w:t>
      </w:r>
    </w:p>
    <w:p w14:paraId="4923AD15" w14:textId="77777777" w:rsidR="00F326E5" w:rsidRPr="00015208" w:rsidRDefault="00F326E5" w:rsidP="00F326E5">
      <w:pPr>
        <w:rPr>
          <w:rFonts w:ascii="Times New Roman" w:eastAsia="Times New Roman" w:hAnsi="Times New Roman"/>
          <w:b/>
          <w:sz w:val="24"/>
          <w:szCs w:val="24"/>
        </w:rPr>
      </w:pPr>
      <w:r w:rsidRPr="00015208">
        <w:rPr>
          <w:rFonts w:ascii="Times New Roman" w:eastAsia="Times New Roman" w:hAnsi="Times New Roman"/>
          <w:b/>
          <w:sz w:val="24"/>
          <w:szCs w:val="24"/>
        </w:rPr>
        <w:t xml:space="preserve">Legal Lessons Learned:  This decision can be helpful precedence in Ohio for communities struggling with empty properties. </w:t>
      </w:r>
    </w:p>
    <w:bookmarkEnd w:id="75"/>
    <w:p w14:paraId="46CB0502" w14:textId="77777777" w:rsidR="00791CA3" w:rsidRDefault="00791CA3" w:rsidP="00791CA3">
      <w:pPr>
        <w:rPr>
          <w:rFonts w:ascii="Arial Black" w:hAnsi="Arial Black"/>
          <w:b/>
          <w:sz w:val="24"/>
          <w:szCs w:val="24"/>
        </w:rPr>
      </w:pPr>
    </w:p>
    <w:p w14:paraId="4443AB19" w14:textId="07B5069A"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1</w:t>
      </w:r>
      <w:r w:rsidRPr="00791CA3">
        <w:rPr>
          <w:rFonts w:ascii="Arial Black" w:hAnsi="Arial Black"/>
          <w:b/>
          <w:sz w:val="24"/>
          <w:szCs w:val="24"/>
        </w:rPr>
        <w:t>3</w:t>
      </w:r>
    </w:p>
    <w:p w14:paraId="2B328449" w14:textId="2B582342" w:rsidR="00F326E5" w:rsidRPr="001456E2" w:rsidRDefault="00F326E5" w:rsidP="00F326E5">
      <w:pPr>
        <w:pStyle w:val="NoSpacing"/>
        <w:rPr>
          <w:rFonts w:ascii="Arial Black" w:hAnsi="Arial Black"/>
          <w:sz w:val="28"/>
          <w:szCs w:val="28"/>
        </w:rPr>
      </w:pPr>
      <w:bookmarkStart w:id="76" w:name="_Hlk7339826"/>
      <w:r w:rsidRPr="001456E2">
        <w:rPr>
          <w:rFonts w:ascii="Arial Black" w:hAnsi="Arial Black"/>
          <w:sz w:val="28"/>
          <w:szCs w:val="28"/>
        </w:rPr>
        <w:t>OH: AUTOPSY REPORTS NOT PUBLIC RECORDS – ONGOING INVESTIGATION, BUT JOURNALISTS CAN READ</w:t>
      </w:r>
      <w:r w:rsidRPr="001456E2">
        <w:rPr>
          <w:sz w:val="28"/>
          <w:szCs w:val="28"/>
        </w:rPr>
        <w:t xml:space="preserve"> </w:t>
      </w:r>
    </w:p>
    <w:p w14:paraId="428EA072" w14:textId="77777777" w:rsidR="00637A12" w:rsidRDefault="00F326E5" w:rsidP="00F326E5">
      <w:pPr>
        <w:rPr>
          <w:rFonts w:ascii="Times New Roman" w:eastAsia="Times New Roman" w:hAnsi="Times New Roman"/>
          <w:sz w:val="24"/>
          <w:szCs w:val="24"/>
        </w:rPr>
      </w:pPr>
      <w:r w:rsidRPr="00015208">
        <w:rPr>
          <w:rFonts w:ascii="Times New Roman" w:eastAsia="Times New Roman" w:hAnsi="Times New Roman"/>
          <w:sz w:val="24"/>
          <w:szCs w:val="24"/>
        </w:rPr>
        <w:t xml:space="preserve">On Sept. 19, 2018, in </w:t>
      </w:r>
      <w:r w:rsidRPr="00015208">
        <w:rPr>
          <w:rFonts w:ascii="Times New Roman" w:eastAsia="Times New Roman" w:hAnsi="Times New Roman"/>
          <w:sz w:val="24"/>
          <w:szCs w:val="24"/>
          <w:u w:val="single"/>
        </w:rPr>
        <w:t>The State Ex Rel. Cincinnati Enquirer v. Pike County General Health District, et al.</w:t>
      </w:r>
      <w:r w:rsidRPr="00015208">
        <w:rPr>
          <w:rFonts w:ascii="Times New Roman" w:eastAsia="Times New Roman" w:hAnsi="Times New Roman"/>
          <w:sz w:val="24"/>
          <w:szCs w:val="24"/>
        </w:rPr>
        <w:t xml:space="preserve">, the Ohio Supreme Court held (5 to 0) that: </w:t>
      </w:r>
    </w:p>
    <w:p w14:paraId="4C09B704" w14:textId="34B5EE95" w:rsidR="00F326E5" w:rsidRPr="00015208" w:rsidRDefault="00F326E5" w:rsidP="00637A12">
      <w:pPr>
        <w:ind w:left="720"/>
        <w:rPr>
          <w:rFonts w:ascii="Times New Roman" w:eastAsia="Times New Roman" w:hAnsi="Times New Roman"/>
          <w:b/>
          <w:sz w:val="24"/>
          <w:szCs w:val="24"/>
        </w:rPr>
      </w:pPr>
      <w:r w:rsidRPr="00015208">
        <w:rPr>
          <w:rFonts w:ascii="Times New Roman" w:eastAsia="Times New Roman" w:hAnsi="Times New Roman"/>
          <w:sz w:val="24"/>
          <w:szCs w:val="24"/>
        </w:rPr>
        <w:t>“</w:t>
      </w:r>
      <w:proofErr w:type="gramStart"/>
      <w:r w:rsidRPr="00015208">
        <w:rPr>
          <w:rFonts w:ascii="Times New Roman" w:eastAsia="Times New Roman" w:hAnsi="Times New Roman"/>
          <w:sz w:val="24"/>
          <w:szCs w:val="24"/>
        </w:rPr>
        <w:t>the</w:t>
      </w:r>
      <w:proofErr w:type="gramEnd"/>
      <w:r w:rsidRPr="00015208">
        <w:rPr>
          <w:rFonts w:ascii="Times New Roman" w:eastAsia="Times New Roman" w:hAnsi="Times New Roman"/>
          <w:sz w:val="24"/>
          <w:szCs w:val="24"/>
        </w:rPr>
        <w:t xml:space="preserve"> function of R.C. 313.10(D) is to give journalists limited access to records that are not public records. If a journalist could review only autopsy reports that are public records, then he would have no greater access than the </w:t>
      </w:r>
      <w:proofErr w:type="gramStart"/>
      <w:r w:rsidRPr="00015208">
        <w:rPr>
          <w:rFonts w:ascii="Times New Roman" w:eastAsia="Times New Roman" w:hAnsi="Times New Roman"/>
          <w:sz w:val="24"/>
          <w:szCs w:val="24"/>
        </w:rPr>
        <w:t>general public</w:t>
      </w:r>
      <w:proofErr w:type="gramEnd"/>
      <w:r w:rsidRPr="00015208">
        <w:rPr>
          <w:rFonts w:ascii="Times New Roman" w:eastAsia="Times New Roman" w:hAnsi="Times New Roman"/>
          <w:sz w:val="24"/>
          <w:szCs w:val="24"/>
        </w:rPr>
        <w:t xml:space="preserve">, and R.C. 313.10(D) would be a dead letter.” </w:t>
      </w:r>
      <w:hyperlink r:id="rId366" w:history="1">
        <w:r w:rsidRPr="00015208">
          <w:rPr>
            <w:rStyle w:val="Hyperlink"/>
            <w:rFonts w:ascii="Times New Roman" w:hAnsi="Times New Roman"/>
            <w:sz w:val="24"/>
            <w:szCs w:val="24"/>
          </w:rPr>
          <w:t>https://www.supremecourt.ohio.gov/rod/docs/pdf/0/2018/2018-Ohio-3721.pdf</w:t>
        </w:r>
      </w:hyperlink>
      <w:r w:rsidRPr="00015208">
        <w:rPr>
          <w:rFonts w:ascii="Times New Roman" w:eastAsia="Times New Roman" w:hAnsi="Times New Roman"/>
          <w:b/>
          <w:sz w:val="24"/>
          <w:szCs w:val="24"/>
        </w:rPr>
        <w:t xml:space="preserve"> </w:t>
      </w:r>
    </w:p>
    <w:p w14:paraId="0E495C83" w14:textId="77777777" w:rsidR="00ED63B1" w:rsidRPr="00015208" w:rsidRDefault="00F326E5" w:rsidP="00F326E5">
      <w:pPr>
        <w:rPr>
          <w:rFonts w:ascii="Times New Roman" w:eastAsia="Times New Roman" w:hAnsi="Times New Roman"/>
          <w:b/>
          <w:sz w:val="24"/>
          <w:szCs w:val="24"/>
        </w:rPr>
      </w:pPr>
      <w:r w:rsidRPr="00015208">
        <w:rPr>
          <w:rFonts w:ascii="Times New Roman" w:eastAsia="Times New Roman" w:hAnsi="Times New Roman"/>
          <w:b/>
          <w:sz w:val="24"/>
          <w:szCs w:val="24"/>
        </w:rPr>
        <w:t xml:space="preserve">Legal Lessons Learned:  The Cincinnati Enquirer may next seek reimbursement of attorney fees.  Fire &amp; EMS departments, when requested to produce documents that may not be “public records” (for example, HIPAA-protected EMS run reports), should consult legal counsel before deciding whether to release the documents. </w:t>
      </w:r>
    </w:p>
    <w:bookmarkEnd w:id="76"/>
    <w:p w14:paraId="61B31F86" w14:textId="77777777" w:rsidR="00F326E5" w:rsidRPr="00015208" w:rsidRDefault="00F326E5" w:rsidP="00F326E5">
      <w:pPr>
        <w:pStyle w:val="NoSpacing"/>
        <w:ind w:left="720"/>
        <w:rPr>
          <w:rFonts w:ascii="Times New Roman" w:hAnsi="Times New Roman"/>
          <w:sz w:val="24"/>
          <w:szCs w:val="24"/>
        </w:rPr>
      </w:pPr>
      <w:r w:rsidRPr="00015208">
        <w:rPr>
          <w:rFonts w:ascii="Times New Roman" w:eastAsia="Times New Roman" w:hAnsi="Times New Roman"/>
          <w:sz w:val="24"/>
          <w:szCs w:val="24"/>
        </w:rPr>
        <w:t>Note: On Nov. 13, 2018, arrests were made: “</w:t>
      </w:r>
      <w:r w:rsidRPr="00015208">
        <w:rPr>
          <w:rFonts w:ascii="Times New Roman" w:hAnsi="Times New Roman"/>
          <w:sz w:val="24"/>
          <w:szCs w:val="24"/>
        </w:rPr>
        <w:t xml:space="preserve">Pike County: Wagner Family Arrested </w:t>
      </w:r>
      <w:proofErr w:type="gramStart"/>
      <w:r w:rsidRPr="00015208">
        <w:rPr>
          <w:rFonts w:ascii="Times New Roman" w:hAnsi="Times New Roman"/>
          <w:sz w:val="24"/>
          <w:szCs w:val="24"/>
        </w:rPr>
        <w:t>In</w:t>
      </w:r>
      <w:proofErr w:type="gramEnd"/>
      <w:r w:rsidRPr="00015208">
        <w:rPr>
          <w:rFonts w:ascii="Times New Roman" w:hAnsi="Times New Roman"/>
          <w:sz w:val="24"/>
          <w:szCs w:val="24"/>
        </w:rPr>
        <w:t xml:space="preserve"> </w:t>
      </w:r>
      <w:proofErr w:type="gramStart"/>
      <w:r w:rsidRPr="00015208">
        <w:rPr>
          <w:rFonts w:ascii="Times New Roman" w:hAnsi="Times New Roman"/>
          <w:sz w:val="24"/>
          <w:szCs w:val="24"/>
        </w:rPr>
        <w:t>The</w:t>
      </w:r>
      <w:proofErr w:type="gramEnd"/>
      <w:r w:rsidRPr="00015208">
        <w:rPr>
          <w:rFonts w:ascii="Times New Roman" w:hAnsi="Times New Roman"/>
          <w:sz w:val="24"/>
          <w:szCs w:val="24"/>
        </w:rPr>
        <w:t xml:space="preserve"> Rhoden Family Massacre…. Arrested and charged with murder and a slew of other charges were Angela Wagner, 48, her husband George ‘Billy’ Wagner, 47, and their two sons, George Wagner IV, 27, and Edward ‘Jake’ Wagner, 26.” </w:t>
      </w:r>
      <w:hyperlink r:id="rId367" w:history="1">
        <w:r w:rsidRPr="00015208">
          <w:rPr>
            <w:rStyle w:val="Hyperlink"/>
            <w:rFonts w:ascii="Times New Roman" w:hAnsi="Times New Roman"/>
            <w:sz w:val="24"/>
            <w:szCs w:val="24"/>
          </w:rPr>
          <w:t>https://www.cincinnati.com/story/news/crime/crime-and-courts/2018/11/13/pike-county-massacre-wagner-family-arrested-rhoden-family-homicides/1373456002/</w:t>
        </w:r>
      </w:hyperlink>
      <w:r w:rsidRPr="00015208">
        <w:rPr>
          <w:rFonts w:ascii="Times New Roman" w:hAnsi="Times New Roman"/>
          <w:sz w:val="24"/>
          <w:szCs w:val="24"/>
        </w:rPr>
        <w:t xml:space="preserve"> </w:t>
      </w:r>
    </w:p>
    <w:p w14:paraId="2FCD49A6" w14:textId="77777777" w:rsidR="00F326E5" w:rsidRPr="00015208" w:rsidRDefault="00F326E5" w:rsidP="00F326E5">
      <w:pPr>
        <w:pStyle w:val="NoSpacing"/>
        <w:rPr>
          <w:rFonts w:ascii="Times New Roman" w:hAnsi="Times New Roman"/>
          <w:b/>
          <w:sz w:val="24"/>
          <w:szCs w:val="24"/>
        </w:rPr>
      </w:pPr>
    </w:p>
    <w:p w14:paraId="7918B77A" w14:textId="77777777" w:rsidR="00791CA3" w:rsidRPr="00015208" w:rsidRDefault="00791CA3" w:rsidP="00791CA3">
      <w:pPr>
        <w:rPr>
          <w:rFonts w:ascii="Times New Roman" w:hAnsi="Times New Roman"/>
          <w:b/>
          <w:sz w:val="24"/>
          <w:szCs w:val="24"/>
        </w:rPr>
      </w:pPr>
      <w:bookmarkStart w:id="77" w:name="_Hlk7339892"/>
    </w:p>
    <w:p w14:paraId="7AC0E8AE" w14:textId="6A487761"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12</w:t>
      </w:r>
    </w:p>
    <w:p w14:paraId="718F2358" w14:textId="44D21E5D" w:rsidR="00F326E5" w:rsidRPr="00237787" w:rsidRDefault="00F326E5" w:rsidP="00F326E5">
      <w:pPr>
        <w:pStyle w:val="Heading1"/>
        <w:rPr>
          <w:sz w:val="24"/>
          <w:szCs w:val="24"/>
        </w:rPr>
      </w:pPr>
      <w:r w:rsidRPr="001456E2">
        <w:rPr>
          <w:rFonts w:ascii="Arial Black" w:hAnsi="Arial Black"/>
          <w:sz w:val="28"/>
          <w:szCs w:val="28"/>
        </w:rPr>
        <w:t>TX: FREE SPEECH - PD OFFICER LAWSUIT MAY PROCEED - FIRED ORGANIZING POLICE ASSOCIATION</w:t>
      </w:r>
      <w:r>
        <w:rPr>
          <w:rFonts w:ascii="Arial Black" w:hAnsi="Arial Black"/>
          <w:sz w:val="24"/>
          <w:szCs w:val="24"/>
        </w:rPr>
        <w:t xml:space="preserve"> </w:t>
      </w:r>
      <w:r w:rsidRPr="00237787">
        <w:rPr>
          <w:sz w:val="24"/>
          <w:szCs w:val="24"/>
        </w:rPr>
        <w:t>[also filed, Chap. 16]</w:t>
      </w:r>
    </w:p>
    <w:p w14:paraId="5EDF39B6" w14:textId="77777777" w:rsidR="00637A12" w:rsidRDefault="00F326E5" w:rsidP="00F326E5">
      <w:pPr>
        <w:rPr>
          <w:rFonts w:ascii="Times New Roman" w:hAnsi="Times New Roman"/>
          <w:sz w:val="24"/>
          <w:szCs w:val="24"/>
        </w:rPr>
      </w:pPr>
      <w:r w:rsidRPr="00015208">
        <w:rPr>
          <w:rFonts w:ascii="Times New Roman" w:hAnsi="Times New Roman"/>
          <w:sz w:val="24"/>
          <w:szCs w:val="24"/>
        </w:rPr>
        <w:t xml:space="preserve">On Aug. 31, 2018, in </w:t>
      </w:r>
      <w:r w:rsidRPr="00015208">
        <w:rPr>
          <w:rFonts w:ascii="Times New Roman" w:hAnsi="Times New Roman"/>
          <w:sz w:val="24"/>
          <w:szCs w:val="24"/>
          <w:u w:val="single"/>
        </w:rPr>
        <w:t>Marcus Mote v. Debra Walthall</w:t>
      </w:r>
      <w:r w:rsidRPr="00015208">
        <w:rPr>
          <w:rFonts w:ascii="Times New Roman" w:hAnsi="Times New Roman"/>
          <w:sz w:val="24"/>
          <w:szCs w:val="24"/>
        </w:rPr>
        <w:t>, the U.S. Court of Appeals for 5</w:t>
      </w:r>
      <w:r w:rsidRPr="00015208">
        <w:rPr>
          <w:rFonts w:ascii="Times New Roman" w:hAnsi="Times New Roman"/>
          <w:sz w:val="24"/>
          <w:szCs w:val="24"/>
          <w:vertAlign w:val="superscript"/>
        </w:rPr>
        <w:t>th</w:t>
      </w:r>
      <w:r w:rsidRPr="00015208">
        <w:rPr>
          <w:rFonts w:ascii="Times New Roman" w:hAnsi="Times New Roman"/>
          <w:sz w:val="24"/>
          <w:szCs w:val="24"/>
        </w:rPr>
        <w:t xml:space="preserve"> Circuit held (3 to 0) that Police Chief Debra Walthall is not entitled to qualified immunity, and Officer Mote’s lawsuit against her may proceed.  Officer Mote sought before he was fired to organize police officers with the City of </w:t>
      </w:r>
      <w:proofErr w:type="spellStart"/>
      <w:r w:rsidRPr="00015208">
        <w:rPr>
          <w:rFonts w:ascii="Times New Roman" w:hAnsi="Times New Roman"/>
          <w:sz w:val="24"/>
          <w:szCs w:val="24"/>
        </w:rPr>
        <w:t>Corith</w:t>
      </w:r>
      <w:proofErr w:type="spellEnd"/>
      <w:r w:rsidRPr="00015208">
        <w:rPr>
          <w:rFonts w:ascii="Times New Roman" w:hAnsi="Times New Roman"/>
          <w:sz w:val="24"/>
          <w:szCs w:val="24"/>
        </w:rPr>
        <w:t xml:space="preserve">, TX into a </w:t>
      </w:r>
    </w:p>
    <w:p w14:paraId="467AFC90" w14:textId="07FBB86F" w:rsidR="00F326E5" w:rsidRPr="00015208" w:rsidRDefault="00F326E5" w:rsidP="00637A12">
      <w:pPr>
        <w:ind w:left="720"/>
        <w:rPr>
          <w:rFonts w:ascii="Times New Roman" w:eastAsia="Times New Roman" w:hAnsi="Times New Roman"/>
          <w:sz w:val="24"/>
          <w:szCs w:val="24"/>
        </w:rPr>
      </w:pPr>
      <w:r w:rsidRPr="00015208">
        <w:rPr>
          <w:rFonts w:ascii="Times New Roman" w:hAnsi="Times New Roman"/>
          <w:sz w:val="24"/>
          <w:szCs w:val="24"/>
        </w:rPr>
        <w:t>“</w:t>
      </w:r>
      <w:proofErr w:type="spellStart"/>
      <w:r w:rsidRPr="00015208">
        <w:rPr>
          <w:rFonts w:ascii="Times New Roman" w:hAnsi="Times New Roman"/>
          <w:sz w:val="24"/>
          <w:szCs w:val="24"/>
        </w:rPr>
        <w:t>Corith</w:t>
      </w:r>
      <w:proofErr w:type="spellEnd"/>
      <w:r w:rsidRPr="00015208">
        <w:rPr>
          <w:rFonts w:ascii="Times New Roman" w:hAnsi="Times New Roman"/>
          <w:sz w:val="24"/>
          <w:szCs w:val="24"/>
        </w:rPr>
        <w:t xml:space="preserve"> Police Officers Association” [no collective bargaining rights under TX law], affiliated with the Texas Municipal Police Association.  The Court wrote, “</w:t>
      </w:r>
      <w:r w:rsidRPr="00015208">
        <w:rPr>
          <w:rFonts w:ascii="Times New Roman" w:eastAsia="Times New Roman" w:hAnsi="Times New Roman"/>
          <w:sz w:val="24"/>
          <w:szCs w:val="24"/>
        </w:rPr>
        <w:t>The First Amendment protects the right of all persons to associate together in groups to ‘</w:t>
      </w:r>
      <w:proofErr w:type="spellStart"/>
      <w:r w:rsidRPr="00015208">
        <w:rPr>
          <w:rFonts w:ascii="Times New Roman" w:eastAsia="Times New Roman" w:hAnsi="Times New Roman"/>
          <w:sz w:val="24"/>
          <w:szCs w:val="24"/>
        </w:rPr>
        <w:t>advanc</w:t>
      </w:r>
      <w:proofErr w:type="spellEnd"/>
      <w:r w:rsidRPr="00015208">
        <w:rPr>
          <w:rFonts w:ascii="Times New Roman" w:eastAsia="Times New Roman" w:hAnsi="Times New Roman"/>
          <w:sz w:val="24"/>
          <w:szCs w:val="24"/>
        </w:rPr>
        <w:t>[e] beliefs and ideas.’ Put another way, ‘the [F]</w:t>
      </w:r>
      <w:proofErr w:type="spellStart"/>
      <w:r w:rsidRPr="00015208">
        <w:rPr>
          <w:rFonts w:ascii="Times New Roman" w:eastAsia="Times New Roman" w:hAnsi="Times New Roman"/>
          <w:sz w:val="24"/>
          <w:szCs w:val="24"/>
        </w:rPr>
        <w:t>irst</w:t>
      </w:r>
      <w:proofErr w:type="spellEnd"/>
      <w:r w:rsidRPr="00015208">
        <w:rPr>
          <w:rFonts w:ascii="Times New Roman" w:eastAsia="Times New Roman" w:hAnsi="Times New Roman"/>
          <w:sz w:val="24"/>
          <w:szCs w:val="24"/>
        </w:rPr>
        <w:t xml:space="preserve"> </w:t>
      </w:r>
      <w:r w:rsidRPr="00015208">
        <w:rPr>
          <w:rFonts w:ascii="Times New Roman" w:eastAsia="Times New Roman" w:hAnsi="Times New Roman"/>
          <w:sz w:val="24"/>
          <w:szCs w:val="24"/>
        </w:rPr>
        <w:lastRenderedPageBreak/>
        <w:t>[A]</w:t>
      </w:r>
      <w:proofErr w:type="spellStart"/>
      <w:r w:rsidRPr="00015208">
        <w:rPr>
          <w:rFonts w:ascii="Times New Roman" w:eastAsia="Times New Roman" w:hAnsi="Times New Roman"/>
          <w:sz w:val="24"/>
          <w:szCs w:val="24"/>
        </w:rPr>
        <w:t>mendment</w:t>
      </w:r>
      <w:proofErr w:type="spellEnd"/>
      <w:r w:rsidRPr="00015208">
        <w:rPr>
          <w:rFonts w:ascii="Times New Roman" w:eastAsia="Times New Roman" w:hAnsi="Times New Roman"/>
          <w:sz w:val="24"/>
          <w:szCs w:val="24"/>
        </w:rPr>
        <w:t xml:space="preserve"> protects the right of all persons to associate together in groups to further their lawful interests.’ When groups </w:t>
      </w:r>
      <w:proofErr w:type="gramStart"/>
      <w:r w:rsidRPr="00015208">
        <w:rPr>
          <w:rFonts w:ascii="Times New Roman" w:eastAsia="Times New Roman" w:hAnsi="Times New Roman"/>
          <w:sz w:val="24"/>
          <w:szCs w:val="24"/>
        </w:rPr>
        <w:t>gather together</w:t>
      </w:r>
      <w:proofErr w:type="gramEnd"/>
      <w:r w:rsidRPr="00015208">
        <w:rPr>
          <w:rFonts w:ascii="Times New Roman" w:eastAsia="Times New Roman" w:hAnsi="Times New Roman"/>
          <w:sz w:val="24"/>
          <w:szCs w:val="24"/>
        </w:rPr>
        <w:t xml:space="preserve"> for this </w:t>
      </w:r>
      <w:proofErr w:type="gramStart"/>
      <w:r w:rsidRPr="00015208">
        <w:rPr>
          <w:rFonts w:ascii="Times New Roman" w:eastAsia="Times New Roman" w:hAnsi="Times New Roman"/>
          <w:sz w:val="24"/>
          <w:szCs w:val="24"/>
        </w:rPr>
        <w:t>purpose, ‘</w:t>
      </w:r>
      <w:proofErr w:type="gramEnd"/>
      <w:r w:rsidRPr="00015208">
        <w:rPr>
          <w:rFonts w:ascii="Times New Roman" w:eastAsia="Times New Roman" w:hAnsi="Times New Roman"/>
          <w:sz w:val="24"/>
          <w:szCs w:val="24"/>
        </w:rPr>
        <w:t xml:space="preserve">it cannot be seriously doubted’ that they comprise associations protected by the First Amendment. *** </w:t>
      </w:r>
      <w:r w:rsidRPr="00015208">
        <w:rPr>
          <w:rFonts w:ascii="Times New Roman" w:hAnsi="Times New Roman"/>
          <w:sz w:val="24"/>
          <w:szCs w:val="24"/>
        </w:rPr>
        <w:t xml:space="preserve">We conclude that Mote’s right to speak </w:t>
      </w:r>
      <w:r w:rsidRPr="00015208">
        <w:rPr>
          <w:rFonts w:ascii="Times New Roman" w:eastAsia="Times New Roman" w:hAnsi="Times New Roman"/>
          <w:sz w:val="24"/>
          <w:szCs w:val="24"/>
        </w:rPr>
        <w:t xml:space="preserve">in furtherance of forming the CPOA was clearly established as an integral part of his association rights. *** We agree with the district court that Mote’s association and speech rights to engage in the activities he alleged were </w:t>
      </w:r>
      <w:proofErr w:type="spellStart"/>
      <w:r w:rsidRPr="00015208">
        <w:rPr>
          <w:rFonts w:ascii="Times New Roman" w:eastAsia="Times New Roman" w:hAnsi="Times New Roman"/>
          <w:sz w:val="24"/>
          <w:szCs w:val="24"/>
        </w:rPr>
        <w:t>cle</w:t>
      </w:r>
      <w:r w:rsidRPr="00015208">
        <w:rPr>
          <w:rFonts w:ascii="Times New Roman" w:hAnsi="Times New Roman"/>
          <w:sz w:val="24"/>
          <w:szCs w:val="24"/>
        </w:rPr>
        <w:t>O</w:t>
      </w:r>
      <w:r w:rsidRPr="00015208">
        <w:rPr>
          <w:rFonts w:ascii="Times New Roman" w:eastAsia="Times New Roman" w:hAnsi="Times New Roman"/>
          <w:sz w:val="24"/>
          <w:szCs w:val="24"/>
        </w:rPr>
        <w:t>arly</w:t>
      </w:r>
      <w:proofErr w:type="spellEnd"/>
      <w:r w:rsidRPr="00015208">
        <w:rPr>
          <w:rFonts w:ascii="Times New Roman" w:eastAsia="Times New Roman" w:hAnsi="Times New Roman"/>
          <w:sz w:val="24"/>
          <w:szCs w:val="24"/>
        </w:rPr>
        <w:t xml:space="preserve"> established. We therefore DISMISS the appeal.” </w:t>
      </w:r>
      <w:hyperlink r:id="rId368" w:history="1">
        <w:r w:rsidRPr="00015208">
          <w:rPr>
            <w:rStyle w:val="Hyperlink"/>
            <w:rFonts w:ascii="Times New Roman" w:hAnsi="Times New Roman"/>
            <w:sz w:val="24"/>
            <w:szCs w:val="24"/>
          </w:rPr>
          <w:t>https://cases.justia.com/federal/appellate-courts/ca5/17-40754/17-40754-2018-08-31.pdf?ts=1535736678</w:t>
        </w:r>
      </w:hyperlink>
      <w:r w:rsidRPr="00015208">
        <w:rPr>
          <w:rFonts w:ascii="Times New Roman" w:eastAsia="Times New Roman" w:hAnsi="Times New Roman"/>
          <w:sz w:val="24"/>
          <w:szCs w:val="24"/>
        </w:rPr>
        <w:t xml:space="preserve"> </w:t>
      </w:r>
    </w:p>
    <w:p w14:paraId="773803F7" w14:textId="77777777" w:rsidR="00F326E5" w:rsidRPr="00015208" w:rsidRDefault="00F326E5" w:rsidP="00F326E5">
      <w:pPr>
        <w:rPr>
          <w:rFonts w:ascii="Times New Roman" w:eastAsia="Times New Roman" w:hAnsi="Times New Roman"/>
          <w:b/>
          <w:sz w:val="24"/>
          <w:szCs w:val="24"/>
        </w:rPr>
      </w:pPr>
      <w:r w:rsidRPr="00015208">
        <w:rPr>
          <w:rFonts w:ascii="Times New Roman" w:eastAsia="Times New Roman" w:hAnsi="Times New Roman"/>
          <w:b/>
          <w:sz w:val="24"/>
          <w:szCs w:val="24"/>
        </w:rPr>
        <w:t xml:space="preserve">Legal Lessons Learned: Very strong opinion concerning free speech rights of public employees.  Fire &amp; EMS departments should adopt a “Social Media” policy that recognizes free speech </w:t>
      </w:r>
      <w:proofErr w:type="gramStart"/>
      <w:r w:rsidRPr="00015208">
        <w:rPr>
          <w:rFonts w:ascii="Times New Roman" w:eastAsia="Times New Roman" w:hAnsi="Times New Roman"/>
          <w:b/>
          <w:sz w:val="24"/>
          <w:szCs w:val="24"/>
        </w:rPr>
        <w:t>rights, but</w:t>
      </w:r>
      <w:proofErr w:type="gramEnd"/>
      <w:r w:rsidRPr="00015208">
        <w:rPr>
          <w:rFonts w:ascii="Times New Roman" w:eastAsia="Times New Roman" w:hAnsi="Times New Roman"/>
          <w:b/>
          <w:sz w:val="24"/>
          <w:szCs w:val="24"/>
        </w:rPr>
        <w:t xml:space="preserve"> also cautions members to not publicly discuss internal matters</w:t>
      </w:r>
      <w:r w:rsidRPr="00015208">
        <w:rPr>
          <w:rFonts w:ascii="Times New Roman" w:eastAsia="Times New Roman" w:hAnsi="Times New Roman"/>
          <w:sz w:val="24"/>
          <w:szCs w:val="24"/>
        </w:rPr>
        <w:t>.</w:t>
      </w:r>
    </w:p>
    <w:bookmarkEnd w:id="77"/>
    <w:p w14:paraId="3AFD0AE6" w14:textId="77777777" w:rsidR="00F326E5" w:rsidRPr="00015208" w:rsidRDefault="00F326E5" w:rsidP="00F326E5">
      <w:pPr>
        <w:pStyle w:val="NoSpacing"/>
        <w:rPr>
          <w:rFonts w:ascii="Times New Roman" w:hAnsi="Times New Roman"/>
          <w:b/>
          <w:sz w:val="24"/>
          <w:szCs w:val="24"/>
        </w:rPr>
      </w:pPr>
    </w:p>
    <w:p w14:paraId="1897F040" w14:textId="77777777" w:rsidR="00F326E5" w:rsidRPr="00015208" w:rsidRDefault="00F326E5" w:rsidP="00F326E5">
      <w:pPr>
        <w:pStyle w:val="NoSpacing"/>
        <w:rPr>
          <w:rFonts w:ascii="Times New Roman" w:hAnsi="Times New Roman"/>
          <w:sz w:val="24"/>
          <w:szCs w:val="24"/>
        </w:rPr>
      </w:pPr>
    </w:p>
    <w:p w14:paraId="2411D8D4" w14:textId="77777777" w:rsidR="00791CA3" w:rsidRDefault="00791CA3" w:rsidP="00F326E5">
      <w:pPr>
        <w:pStyle w:val="NoSpacing"/>
        <w:rPr>
          <w:rFonts w:ascii="Arial Black" w:hAnsi="Arial Black"/>
          <w:b/>
          <w:sz w:val="28"/>
          <w:szCs w:val="28"/>
        </w:rPr>
      </w:pPr>
      <w:bookmarkStart w:id="78" w:name="_Hlk7339942"/>
    </w:p>
    <w:p w14:paraId="1AA97805" w14:textId="6797C79F" w:rsidR="00791CA3" w:rsidRDefault="00791CA3" w:rsidP="00791CA3">
      <w:pPr>
        <w:rPr>
          <w:rFonts w:ascii="Arial Black" w:hAnsi="Arial Black"/>
          <w:b/>
          <w:sz w:val="28"/>
          <w:szCs w:val="28"/>
        </w:rPr>
      </w:pPr>
      <w:r w:rsidRPr="00791CA3">
        <w:rPr>
          <w:rFonts w:ascii="Arial Black" w:hAnsi="Arial Black"/>
          <w:b/>
          <w:sz w:val="24"/>
          <w:szCs w:val="24"/>
        </w:rPr>
        <w:t>1-</w:t>
      </w:r>
      <w:r>
        <w:rPr>
          <w:rFonts w:ascii="Arial Black" w:hAnsi="Arial Black"/>
          <w:b/>
          <w:sz w:val="24"/>
          <w:szCs w:val="24"/>
        </w:rPr>
        <w:t>11</w:t>
      </w:r>
    </w:p>
    <w:p w14:paraId="17E880CC" w14:textId="2D0457CF" w:rsidR="00F326E5" w:rsidRPr="0002048B" w:rsidRDefault="00F326E5" w:rsidP="00F326E5">
      <w:pPr>
        <w:pStyle w:val="NoSpacing"/>
        <w:rPr>
          <w:b/>
          <w:sz w:val="24"/>
          <w:szCs w:val="24"/>
        </w:rPr>
      </w:pPr>
      <w:r w:rsidRPr="00BF4082">
        <w:rPr>
          <w:rFonts w:ascii="Arial Black" w:hAnsi="Arial Black"/>
          <w:b/>
          <w:sz w:val="28"/>
          <w:szCs w:val="28"/>
        </w:rPr>
        <w:t>OH: DYING DECLARATION IN BACK OF AMBULANCE ADMISSIBLE IN MURDER TRIAL</w:t>
      </w:r>
      <w:r>
        <w:rPr>
          <w:rFonts w:ascii="Arial Black" w:hAnsi="Arial Black"/>
          <w:b/>
          <w:sz w:val="24"/>
          <w:szCs w:val="24"/>
        </w:rPr>
        <w:t xml:space="preserve"> </w:t>
      </w:r>
      <w:r w:rsidRPr="0002048B">
        <w:rPr>
          <w:b/>
          <w:sz w:val="24"/>
          <w:szCs w:val="24"/>
        </w:rPr>
        <w:t>[also filed Chap. 13]</w:t>
      </w:r>
    </w:p>
    <w:p w14:paraId="4DA1D8C4" w14:textId="77777777" w:rsidR="00F326E5" w:rsidRPr="00015208" w:rsidRDefault="00F326E5" w:rsidP="00F326E5">
      <w:pPr>
        <w:rPr>
          <w:rFonts w:ascii="Times New Roman" w:eastAsia="Times New Roman" w:hAnsi="Times New Roman"/>
          <w:sz w:val="24"/>
          <w:szCs w:val="24"/>
        </w:rPr>
      </w:pPr>
      <w:r w:rsidRPr="00015208">
        <w:rPr>
          <w:rFonts w:ascii="Times New Roman" w:hAnsi="Times New Roman"/>
          <w:sz w:val="24"/>
          <w:szCs w:val="24"/>
        </w:rPr>
        <w:t xml:space="preserve">On July 25, 2018, in </w:t>
      </w:r>
      <w:r w:rsidRPr="00015208">
        <w:rPr>
          <w:rFonts w:ascii="Times New Roman" w:eastAsia="Times New Roman" w:hAnsi="Times New Roman"/>
          <w:sz w:val="24"/>
          <w:szCs w:val="24"/>
          <w:u w:val="single"/>
        </w:rPr>
        <w:t>State v. Fred Taylor</w:t>
      </w:r>
      <w:r w:rsidRPr="00015208">
        <w:rPr>
          <w:rFonts w:ascii="Times New Roman" w:eastAsia="Times New Roman" w:hAnsi="Times New Roman"/>
          <w:sz w:val="24"/>
          <w:szCs w:val="24"/>
        </w:rPr>
        <w:t xml:space="preserve">, 2018-Ohio-2921, the Ohio Court of Appeals for Summit County, upheld (3 to 0) his conviction of felony murder of Javon Knaff.   </w:t>
      </w:r>
    </w:p>
    <w:p w14:paraId="580C51A8" w14:textId="5E629BB1" w:rsidR="00F326E5" w:rsidRPr="00015208" w:rsidRDefault="00F326E5" w:rsidP="00637A12">
      <w:pPr>
        <w:ind w:left="720"/>
        <w:rPr>
          <w:rFonts w:ascii="Times New Roman" w:eastAsia="Times New Roman" w:hAnsi="Times New Roman"/>
          <w:sz w:val="24"/>
          <w:szCs w:val="24"/>
        </w:rPr>
      </w:pPr>
      <w:r w:rsidRPr="00015208">
        <w:rPr>
          <w:rFonts w:ascii="Times New Roman" w:eastAsia="Times New Roman" w:hAnsi="Times New Roman"/>
          <w:sz w:val="24"/>
          <w:szCs w:val="24"/>
        </w:rPr>
        <w:t>“Mr. Knaff’s repeated statements concerning the fact that he was dying, coupled with the severity of his condition, demonstrate his awareness of his impending death at the time that he stated, ‘Fred shot [me].’ Consequently, this statement was admissible as a dying declaration.”</w:t>
      </w:r>
      <w:hyperlink r:id="rId369" w:history="1">
        <w:r w:rsidR="00637A12" w:rsidRPr="002F304C">
          <w:rPr>
            <w:rStyle w:val="Hyperlink"/>
            <w:rFonts w:ascii="Times New Roman" w:hAnsi="Times New Roman"/>
            <w:sz w:val="24"/>
            <w:szCs w:val="24"/>
          </w:rPr>
          <w:t>https://cases.justia.com/ohio/ninth-district-court-of-appeals/2018-28746.pdf?ts=1532525904</w:t>
        </w:r>
      </w:hyperlink>
      <w:r w:rsidRPr="00015208">
        <w:rPr>
          <w:rFonts w:ascii="Times New Roman" w:eastAsia="Times New Roman" w:hAnsi="Times New Roman"/>
          <w:sz w:val="24"/>
          <w:szCs w:val="24"/>
        </w:rPr>
        <w:t xml:space="preserve"> </w:t>
      </w:r>
    </w:p>
    <w:p w14:paraId="6BA57B70" w14:textId="77777777" w:rsidR="00F326E5" w:rsidRPr="00015208" w:rsidRDefault="00F326E5" w:rsidP="00F326E5">
      <w:pPr>
        <w:rPr>
          <w:rFonts w:ascii="Times New Roman" w:hAnsi="Times New Roman"/>
          <w:b/>
          <w:sz w:val="24"/>
          <w:szCs w:val="24"/>
        </w:rPr>
      </w:pPr>
      <w:r w:rsidRPr="00015208">
        <w:rPr>
          <w:rFonts w:ascii="Times New Roman" w:hAnsi="Times New Roman"/>
          <w:b/>
          <w:sz w:val="24"/>
          <w:szCs w:val="24"/>
        </w:rPr>
        <w:t xml:space="preserve">Legal Lessons Learned:  Document on your EMS run report the actual words spoken by the patient; a “dying declaration” is admissible in evidence.   Recording the words on your run report can help prosecution reach a plea agreement. </w:t>
      </w:r>
    </w:p>
    <w:p w14:paraId="0EB84B91" w14:textId="77777777" w:rsidR="00791CA3" w:rsidRPr="00015208" w:rsidRDefault="00791CA3" w:rsidP="00791CA3">
      <w:pPr>
        <w:rPr>
          <w:rFonts w:ascii="Times New Roman" w:hAnsi="Times New Roman"/>
          <w:b/>
          <w:sz w:val="24"/>
          <w:szCs w:val="24"/>
        </w:rPr>
      </w:pPr>
      <w:bookmarkStart w:id="79" w:name="_Hlk7340011"/>
      <w:bookmarkEnd w:id="78"/>
    </w:p>
    <w:p w14:paraId="0335F4AB" w14:textId="41DB221B"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10</w:t>
      </w:r>
    </w:p>
    <w:p w14:paraId="649C7EBA" w14:textId="4B89F9A6" w:rsidR="00D46F1E" w:rsidRDefault="00F326E5" w:rsidP="00D46F1E">
      <w:pPr>
        <w:rPr>
          <w:rFonts w:ascii="Arial Black" w:hAnsi="Arial Black"/>
          <w:sz w:val="28"/>
          <w:szCs w:val="28"/>
        </w:rPr>
      </w:pPr>
      <w:r w:rsidRPr="0002048B">
        <w:rPr>
          <w:rFonts w:ascii="Arial Black" w:hAnsi="Arial Black"/>
          <w:sz w:val="28"/>
          <w:szCs w:val="28"/>
        </w:rPr>
        <w:t>MI</w:t>
      </w:r>
      <w:r>
        <w:rPr>
          <w:rFonts w:ascii="Arial Black" w:hAnsi="Arial Black"/>
          <w:sz w:val="28"/>
          <w:szCs w:val="28"/>
        </w:rPr>
        <w:t xml:space="preserve">: </w:t>
      </w:r>
      <w:r w:rsidRPr="0002048B">
        <w:rPr>
          <w:rFonts w:ascii="Arial Black" w:hAnsi="Arial Black"/>
          <w:sz w:val="28"/>
          <w:szCs w:val="28"/>
        </w:rPr>
        <w:t>HOMEOWNER CONV. ARSON – NO “MIRANDA WARNING” REQUIRED</w:t>
      </w:r>
      <w:r>
        <w:rPr>
          <w:rFonts w:ascii="Arial Black" w:hAnsi="Arial Black"/>
          <w:sz w:val="28"/>
          <w:szCs w:val="28"/>
        </w:rPr>
        <w:t xml:space="preserve">, SPOKE TO PD INFORMANT </w:t>
      </w:r>
    </w:p>
    <w:p w14:paraId="74DA3B4E" w14:textId="35003921" w:rsidR="00F326E5" w:rsidRPr="00015208" w:rsidRDefault="00F326E5" w:rsidP="00D46F1E">
      <w:pPr>
        <w:rPr>
          <w:rFonts w:ascii="Times New Roman" w:hAnsi="Times New Roman"/>
          <w:b/>
          <w:sz w:val="24"/>
          <w:szCs w:val="24"/>
        </w:rPr>
      </w:pPr>
      <w:r w:rsidRPr="00015208">
        <w:rPr>
          <w:rFonts w:ascii="Times New Roman" w:hAnsi="Times New Roman"/>
          <w:sz w:val="24"/>
          <w:szCs w:val="24"/>
        </w:rPr>
        <w:t xml:space="preserve">On July 24, 2018, in </w:t>
      </w:r>
      <w:r w:rsidRPr="00015208">
        <w:rPr>
          <w:rFonts w:ascii="Times New Roman" w:hAnsi="Times New Roman"/>
          <w:sz w:val="24"/>
          <w:szCs w:val="24"/>
          <w:u w:val="single"/>
        </w:rPr>
        <w:t>Cynthia Marie Stewart-Matzen v. Shawn Brewer</w:t>
      </w:r>
      <w:r w:rsidRPr="00015208">
        <w:rPr>
          <w:rFonts w:ascii="Times New Roman" w:hAnsi="Times New Roman"/>
          <w:sz w:val="24"/>
          <w:szCs w:val="24"/>
        </w:rPr>
        <w:t xml:space="preserve"> [Deputy Warden, Michigan state prison], U.S. District Court judge David M. Lawson, Eastern District of Michigan, Case No. 15-13050 denied prisoner’s petition for </w:t>
      </w:r>
      <w:proofErr w:type="spellStart"/>
      <w:r w:rsidRPr="00015208">
        <w:rPr>
          <w:rFonts w:ascii="Times New Roman" w:hAnsi="Times New Roman"/>
          <w:sz w:val="24"/>
          <w:szCs w:val="24"/>
        </w:rPr>
        <w:t>write</w:t>
      </w:r>
      <w:proofErr w:type="spellEnd"/>
      <w:r w:rsidRPr="00015208">
        <w:rPr>
          <w:rFonts w:ascii="Times New Roman" w:hAnsi="Times New Roman"/>
          <w:sz w:val="24"/>
          <w:szCs w:val="24"/>
        </w:rPr>
        <w:t xml:space="preserve"> of habeas corpus: </w:t>
      </w:r>
    </w:p>
    <w:p w14:paraId="7AD6B447" w14:textId="1DC6A9A4" w:rsidR="00F326E5" w:rsidRPr="00015208" w:rsidRDefault="00F326E5" w:rsidP="00637A12">
      <w:pPr>
        <w:pStyle w:val="NoSpacing"/>
        <w:ind w:left="720"/>
        <w:rPr>
          <w:rFonts w:ascii="Times New Roman" w:hAnsi="Times New Roman"/>
          <w:sz w:val="24"/>
          <w:szCs w:val="24"/>
        </w:rPr>
      </w:pPr>
      <w:r w:rsidRPr="00015208">
        <w:rPr>
          <w:rFonts w:ascii="Times New Roman" w:hAnsi="Times New Roman"/>
          <w:sz w:val="24"/>
          <w:szCs w:val="24"/>
        </w:rPr>
        <w:t xml:space="preserve">“The petitioner was not entitled to Miranda warnings when she was questioned by an informant at a restaurant or when questioned by Detective Morey in connection with her unemployment benefits because she was not in “Miranda custody.” </w:t>
      </w:r>
    </w:p>
    <w:p w14:paraId="19CF0FF1" w14:textId="7E95BA0C" w:rsidR="00F326E5" w:rsidRPr="00015208" w:rsidRDefault="00637A12" w:rsidP="00637A12">
      <w:pPr>
        <w:pStyle w:val="NoSpacing"/>
        <w:ind w:left="720"/>
        <w:rPr>
          <w:rFonts w:ascii="Times New Roman" w:hAnsi="Times New Roman"/>
          <w:sz w:val="24"/>
          <w:szCs w:val="24"/>
        </w:rPr>
      </w:pPr>
      <w:hyperlink r:id="rId370" w:history="1">
        <w:r w:rsidRPr="002F304C">
          <w:rPr>
            <w:rStyle w:val="Hyperlink"/>
            <w:rFonts w:ascii="Times New Roman" w:hAnsi="Times New Roman"/>
            <w:sz w:val="24"/>
            <w:szCs w:val="24"/>
          </w:rPr>
          <w:t>https://cases.justia.com/federal/district-courts/michigan/miedce/2:2015cv13050/304138/9/0.pdf?ts=1532512098</w:t>
        </w:r>
      </w:hyperlink>
    </w:p>
    <w:p w14:paraId="57327A78" w14:textId="77777777" w:rsidR="00637A12" w:rsidRDefault="00637A12" w:rsidP="00F326E5">
      <w:pPr>
        <w:rPr>
          <w:rFonts w:ascii="Times New Roman" w:hAnsi="Times New Roman"/>
          <w:b/>
          <w:sz w:val="24"/>
          <w:szCs w:val="24"/>
        </w:rPr>
      </w:pPr>
    </w:p>
    <w:p w14:paraId="37A345AD" w14:textId="510F68C0" w:rsidR="00F326E5" w:rsidRPr="00015208" w:rsidRDefault="00F326E5" w:rsidP="00F326E5">
      <w:pPr>
        <w:rPr>
          <w:rFonts w:ascii="Times New Roman" w:hAnsi="Times New Roman"/>
          <w:b/>
          <w:sz w:val="24"/>
          <w:szCs w:val="24"/>
        </w:rPr>
      </w:pPr>
      <w:r w:rsidRPr="00015208">
        <w:rPr>
          <w:rFonts w:ascii="Times New Roman" w:hAnsi="Times New Roman"/>
          <w:b/>
          <w:sz w:val="24"/>
          <w:szCs w:val="24"/>
        </w:rPr>
        <w:t xml:space="preserve">Legal Lessons Learned: If suspect in arson case is not in custody, then Miranda warnings </w:t>
      </w:r>
      <w:proofErr w:type="gramStart"/>
      <w:r w:rsidRPr="00015208">
        <w:rPr>
          <w:rFonts w:ascii="Times New Roman" w:hAnsi="Times New Roman"/>
          <w:b/>
          <w:sz w:val="24"/>
          <w:szCs w:val="24"/>
        </w:rPr>
        <w:t>not</w:t>
      </w:r>
      <w:proofErr w:type="gramEnd"/>
      <w:r w:rsidRPr="00015208">
        <w:rPr>
          <w:rFonts w:ascii="Times New Roman" w:hAnsi="Times New Roman"/>
          <w:b/>
          <w:sz w:val="24"/>
          <w:szCs w:val="24"/>
        </w:rPr>
        <w:t xml:space="preserve"> required.</w:t>
      </w:r>
    </w:p>
    <w:bookmarkEnd w:id="79"/>
    <w:p w14:paraId="1685B2FE" w14:textId="77777777" w:rsidR="00791CA3" w:rsidRDefault="00791CA3" w:rsidP="00791CA3">
      <w:pPr>
        <w:rPr>
          <w:rFonts w:ascii="Arial Black" w:hAnsi="Arial Black"/>
          <w:b/>
          <w:sz w:val="24"/>
          <w:szCs w:val="24"/>
        </w:rPr>
      </w:pPr>
    </w:p>
    <w:p w14:paraId="51FA47C9" w14:textId="10D6ABB3"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9</w:t>
      </w:r>
    </w:p>
    <w:p w14:paraId="6C843AF6" w14:textId="073B3AE9" w:rsidR="00F326E5" w:rsidRPr="00BF4082" w:rsidRDefault="00F326E5" w:rsidP="00F326E5">
      <w:pPr>
        <w:pStyle w:val="NoSpacing"/>
        <w:rPr>
          <w:rFonts w:ascii="Arial Black" w:hAnsi="Arial Black"/>
          <w:b/>
          <w:sz w:val="28"/>
          <w:szCs w:val="28"/>
        </w:rPr>
      </w:pPr>
      <w:bookmarkStart w:id="80" w:name="_Hlk7340104"/>
      <w:r w:rsidRPr="00BF4082">
        <w:rPr>
          <w:rFonts w:ascii="Arial Black" w:hAnsi="Arial Black"/>
          <w:b/>
          <w:sz w:val="28"/>
          <w:szCs w:val="28"/>
        </w:rPr>
        <w:t xml:space="preserve">U.S. SUPREME COURT – UNION “FAIR SHARE” FEES </w:t>
      </w:r>
      <w:r>
        <w:rPr>
          <w:rFonts w:ascii="Arial Black" w:hAnsi="Arial Black"/>
          <w:b/>
          <w:sz w:val="28"/>
          <w:szCs w:val="28"/>
        </w:rPr>
        <w:t xml:space="preserve">– REQUIRES </w:t>
      </w:r>
      <w:r w:rsidRPr="00BF4082">
        <w:rPr>
          <w:rFonts w:ascii="Arial Black" w:hAnsi="Arial Black"/>
          <w:b/>
          <w:sz w:val="28"/>
          <w:szCs w:val="28"/>
        </w:rPr>
        <w:t xml:space="preserve">EMPLOYEE </w:t>
      </w:r>
      <w:r>
        <w:rPr>
          <w:rFonts w:ascii="Arial Black" w:hAnsi="Arial Black"/>
          <w:b/>
          <w:sz w:val="28"/>
          <w:szCs w:val="28"/>
        </w:rPr>
        <w:t xml:space="preserve">SPECIFIC </w:t>
      </w:r>
      <w:r w:rsidRPr="00BF4082">
        <w:rPr>
          <w:rFonts w:ascii="Arial Black" w:hAnsi="Arial Black"/>
          <w:b/>
          <w:sz w:val="28"/>
          <w:szCs w:val="28"/>
        </w:rPr>
        <w:t xml:space="preserve">CONSENT </w:t>
      </w:r>
    </w:p>
    <w:p w14:paraId="27D6EC33" w14:textId="77777777" w:rsidR="00F326E5" w:rsidRPr="00015208" w:rsidRDefault="00F326E5" w:rsidP="00F326E5">
      <w:pPr>
        <w:rPr>
          <w:rFonts w:ascii="Times New Roman" w:hAnsi="Times New Roman"/>
          <w:sz w:val="24"/>
          <w:szCs w:val="24"/>
        </w:rPr>
      </w:pPr>
      <w:r w:rsidRPr="00015208">
        <w:rPr>
          <w:rFonts w:ascii="Times New Roman" w:hAnsi="Times New Roman"/>
          <w:sz w:val="24"/>
          <w:szCs w:val="24"/>
        </w:rPr>
        <w:t xml:space="preserve">On June 27, 2018, in </w:t>
      </w:r>
      <w:r w:rsidRPr="00015208">
        <w:rPr>
          <w:rFonts w:ascii="Times New Roman" w:hAnsi="Times New Roman"/>
          <w:sz w:val="24"/>
          <w:szCs w:val="24"/>
          <w:u w:val="single"/>
        </w:rPr>
        <w:t>Janus v. American Federation of State, County, And Municipal Employee, Council 32, et al</w:t>
      </w:r>
      <w:r w:rsidRPr="00015208">
        <w:rPr>
          <w:rFonts w:ascii="Times New Roman" w:hAnsi="Times New Roman"/>
          <w:sz w:val="24"/>
          <w:szCs w:val="24"/>
        </w:rPr>
        <w:t xml:space="preserve">,  the U.S. Supreme Court (5 to 4) held in opinion by Justice </w:t>
      </w:r>
      <w:r w:rsidRPr="00015208">
        <w:rPr>
          <w:rFonts w:ascii="Times New Roman" w:eastAsia="Times New Roman" w:hAnsi="Times New Roman"/>
          <w:sz w:val="24"/>
          <w:szCs w:val="24"/>
        </w:rPr>
        <w:t xml:space="preserve">Alito: </w:t>
      </w:r>
      <w:r w:rsidRPr="00015208">
        <w:rPr>
          <w:rFonts w:ascii="Times New Roman" w:hAnsi="Times New Roman"/>
          <w:sz w:val="24"/>
          <w:szCs w:val="24"/>
        </w:rPr>
        <w:t xml:space="preserve"> </w:t>
      </w:r>
    </w:p>
    <w:p w14:paraId="7B302BAD" w14:textId="77777777" w:rsidR="00F326E5" w:rsidRPr="00015208" w:rsidRDefault="00F326E5" w:rsidP="00F326E5">
      <w:pPr>
        <w:ind w:left="720"/>
        <w:rPr>
          <w:rFonts w:ascii="Times New Roman" w:eastAsia="Times New Roman" w:hAnsi="Times New Roman"/>
          <w:b/>
          <w:sz w:val="24"/>
          <w:szCs w:val="24"/>
        </w:rPr>
      </w:pPr>
      <w:r w:rsidRPr="00015208">
        <w:rPr>
          <w:rFonts w:ascii="Times New Roman" w:hAnsi="Times New Roman"/>
          <w:sz w:val="24"/>
          <w:szCs w:val="24"/>
        </w:rPr>
        <w:t>“</w:t>
      </w:r>
      <w:r w:rsidRPr="00015208">
        <w:rPr>
          <w:rFonts w:ascii="Times New Roman" w:eastAsia="Times New Roman" w:hAnsi="Times New Roman"/>
          <w:sz w:val="24"/>
          <w:szCs w:val="24"/>
        </w:rPr>
        <w:t>Under Illinois law, public employees are forced to subsi</w:t>
      </w:r>
      <w:r w:rsidRPr="00015208">
        <w:rPr>
          <w:rFonts w:ascii="Times New Roman" w:eastAsia="Times New Roman" w:hAnsi="Times New Roman"/>
          <w:sz w:val="24"/>
          <w:szCs w:val="24"/>
        </w:rPr>
        <w:softHyphen/>
        <w:t>dize a union, even if they choose not to join and strongly object to the positions the union takes in collective bar</w:t>
      </w:r>
      <w:r w:rsidRPr="00015208">
        <w:rPr>
          <w:rFonts w:ascii="Times New Roman" w:eastAsia="Times New Roman" w:hAnsi="Times New Roman"/>
          <w:sz w:val="24"/>
          <w:szCs w:val="24"/>
        </w:rPr>
        <w:softHyphen/>
        <w:t>gaining and related activities. We conclude that this arrangement violates the free speech rights of nonmem</w:t>
      </w:r>
      <w:r w:rsidRPr="00015208">
        <w:rPr>
          <w:rFonts w:ascii="Times New Roman" w:eastAsia="Times New Roman" w:hAnsi="Times New Roman"/>
          <w:sz w:val="24"/>
          <w:szCs w:val="24"/>
        </w:rPr>
        <w:softHyphen/>
        <w:t>bers by compelling them to subsidize private speech on matters of substantial public concern.”</w:t>
      </w:r>
      <w:hyperlink r:id="rId371" w:history="1">
        <w:r w:rsidRPr="00015208">
          <w:rPr>
            <w:rStyle w:val="Hyperlink"/>
            <w:rFonts w:ascii="Times New Roman" w:hAnsi="Times New Roman"/>
            <w:sz w:val="24"/>
            <w:szCs w:val="24"/>
          </w:rPr>
          <w:t>https://www.supremecourt.gov/opinions/17pdf/16-1466_2b3j.pdf</w:t>
        </w:r>
      </w:hyperlink>
      <w:r w:rsidRPr="00015208">
        <w:rPr>
          <w:rFonts w:ascii="Times New Roman" w:eastAsia="Times New Roman" w:hAnsi="Times New Roman"/>
          <w:b/>
          <w:sz w:val="24"/>
          <w:szCs w:val="24"/>
        </w:rPr>
        <w:t xml:space="preserve"> </w:t>
      </w:r>
    </w:p>
    <w:p w14:paraId="0208932C" w14:textId="77777777" w:rsidR="00F326E5" w:rsidRPr="00FC2C52" w:rsidRDefault="00F326E5" w:rsidP="00F326E5">
      <w:pPr>
        <w:rPr>
          <w:sz w:val="24"/>
          <w:szCs w:val="24"/>
        </w:rPr>
      </w:pPr>
      <w:r w:rsidRPr="00015208">
        <w:rPr>
          <w:rFonts w:ascii="Times New Roman" w:hAnsi="Times New Roman"/>
          <w:b/>
          <w:sz w:val="24"/>
          <w:szCs w:val="24"/>
        </w:rPr>
        <w:t>Legal Lessons Learned:  Fire &amp; EMS Departments with unions need to dialog with their union officers about getting written authorization from each employee to deduct “fair share” or other union fees.</w:t>
      </w:r>
      <w:r w:rsidRPr="00015208">
        <w:rPr>
          <w:rFonts w:ascii="Times New Roman" w:hAnsi="Times New Roman"/>
          <w:sz w:val="24"/>
          <w:szCs w:val="24"/>
        </w:rPr>
        <w:t xml:space="preserve">  See also IAFF Statement: </w:t>
      </w:r>
      <w:hyperlink r:id="rId372" w:anchor="contentid=68451" w:history="1">
        <w:r w:rsidRPr="00015208">
          <w:rPr>
            <w:rStyle w:val="Hyperlink"/>
            <w:rFonts w:ascii="Times New Roman" w:hAnsi="Times New Roman"/>
            <w:sz w:val="24"/>
            <w:szCs w:val="24"/>
          </w:rPr>
          <w:t>https://client.prod.iaff.org/#contentid=68451</w:t>
        </w:r>
      </w:hyperlink>
      <w:r w:rsidRPr="00015208">
        <w:rPr>
          <w:rFonts w:ascii="Times New Roman" w:hAnsi="Times New Roman"/>
          <w:sz w:val="24"/>
          <w:szCs w:val="24"/>
        </w:rPr>
        <w:t xml:space="preserve">, and Blog: </w:t>
      </w:r>
      <w:hyperlink r:id="rId373" w:history="1">
        <w:r w:rsidRPr="00015208">
          <w:rPr>
            <w:rStyle w:val="Hyperlink"/>
            <w:rFonts w:ascii="Times New Roman" w:hAnsi="Times New Roman"/>
            <w:sz w:val="24"/>
            <w:szCs w:val="24"/>
          </w:rPr>
          <w:t>http://blog.iaff.org/post/2018/06/05/preparing-for-the-janus-v-afscme-council-31-supreme-court-ruling</w:t>
        </w:r>
      </w:hyperlink>
      <w:bookmarkEnd w:id="80"/>
      <w:r w:rsidRPr="00FC2C52">
        <w:rPr>
          <w:sz w:val="24"/>
          <w:szCs w:val="24"/>
        </w:rPr>
        <w:t xml:space="preserve"> </w:t>
      </w:r>
    </w:p>
    <w:p w14:paraId="1E02B443" w14:textId="77777777" w:rsidR="00F326E5" w:rsidRPr="00A56BFE" w:rsidRDefault="00F326E5" w:rsidP="00F326E5">
      <w:pPr>
        <w:pStyle w:val="NoSpacing"/>
        <w:ind w:firstLine="720"/>
        <w:rPr>
          <w:rFonts w:eastAsia="Times New Roman"/>
          <w:b/>
          <w:sz w:val="24"/>
          <w:szCs w:val="24"/>
        </w:rPr>
      </w:pPr>
    </w:p>
    <w:p w14:paraId="6EA447FC" w14:textId="2515D788" w:rsidR="00791CA3" w:rsidRPr="00791CA3" w:rsidRDefault="00791CA3" w:rsidP="00791CA3">
      <w:pPr>
        <w:rPr>
          <w:rFonts w:ascii="Arial Black" w:hAnsi="Arial Black"/>
          <w:b/>
          <w:sz w:val="24"/>
          <w:szCs w:val="24"/>
        </w:rPr>
      </w:pPr>
      <w:bookmarkStart w:id="81" w:name="_Hlk7340141"/>
      <w:r w:rsidRPr="00791CA3">
        <w:rPr>
          <w:rFonts w:ascii="Arial Black" w:hAnsi="Arial Black"/>
          <w:b/>
          <w:sz w:val="24"/>
          <w:szCs w:val="24"/>
        </w:rPr>
        <w:t>1-</w:t>
      </w:r>
      <w:r>
        <w:rPr>
          <w:rFonts w:ascii="Arial Black" w:hAnsi="Arial Black"/>
          <w:b/>
          <w:sz w:val="24"/>
          <w:szCs w:val="24"/>
        </w:rPr>
        <w:t>8</w:t>
      </w:r>
    </w:p>
    <w:p w14:paraId="68CA276F" w14:textId="34F546BB" w:rsidR="00F326E5" w:rsidRPr="00BF4082" w:rsidRDefault="00F326E5" w:rsidP="00F326E5">
      <w:pPr>
        <w:pStyle w:val="NormalWeb"/>
        <w:rPr>
          <w:rFonts w:ascii="Arial Black" w:hAnsi="Arial Black"/>
          <w:b/>
          <w:sz w:val="28"/>
          <w:szCs w:val="28"/>
        </w:rPr>
      </w:pPr>
      <w:r w:rsidRPr="00BF4082">
        <w:rPr>
          <w:rFonts w:ascii="Arial Black" w:hAnsi="Arial Black"/>
          <w:b/>
          <w:sz w:val="28"/>
          <w:szCs w:val="28"/>
        </w:rPr>
        <w:t>U.S. SUPREME COURT</w:t>
      </w:r>
      <w:r>
        <w:rPr>
          <w:rFonts w:ascii="Arial Black" w:hAnsi="Arial Black"/>
          <w:b/>
          <w:sz w:val="28"/>
          <w:szCs w:val="28"/>
        </w:rPr>
        <w:t xml:space="preserve">: </w:t>
      </w:r>
      <w:r w:rsidRPr="00BF4082">
        <w:rPr>
          <w:rFonts w:ascii="Arial Black" w:hAnsi="Arial Black"/>
          <w:b/>
          <w:sz w:val="28"/>
          <w:szCs w:val="28"/>
        </w:rPr>
        <w:t xml:space="preserve">SEARCH WARRANT REQUIRED FOR CELL TOWER DATA, UNLESS EMERGENCY </w:t>
      </w:r>
    </w:p>
    <w:p w14:paraId="2E57CDE7" w14:textId="77777777" w:rsidR="00F326E5" w:rsidRPr="00015208" w:rsidRDefault="00F326E5" w:rsidP="00F326E5">
      <w:pPr>
        <w:pStyle w:val="NormalWeb"/>
      </w:pPr>
      <w:r w:rsidRPr="00015208">
        <w:t xml:space="preserve">On June 22, 2018, in </w:t>
      </w:r>
      <w:r w:rsidRPr="00015208">
        <w:rPr>
          <w:u w:val="single"/>
        </w:rPr>
        <w:t>Carpenter v. United States</w:t>
      </w:r>
      <w:r w:rsidRPr="00015208">
        <w:t>, the U.S. Supreme Court (5 to 4), in opinion by Chief Justice Roberts, held that a search warrant is normally required to track a person’s cell phone location, but also recognized an emergency exception.</w:t>
      </w:r>
    </w:p>
    <w:p w14:paraId="7982E511" w14:textId="77777777" w:rsidR="00F326E5" w:rsidRPr="00015208" w:rsidRDefault="00F326E5" w:rsidP="00F326E5">
      <w:pPr>
        <w:ind w:left="720"/>
        <w:rPr>
          <w:rFonts w:ascii="Times New Roman" w:eastAsia="Times New Roman" w:hAnsi="Times New Roman"/>
          <w:sz w:val="24"/>
          <w:szCs w:val="24"/>
        </w:rPr>
      </w:pPr>
      <w:r w:rsidRPr="00015208">
        <w:rPr>
          <w:rFonts w:ascii="Times New Roman" w:eastAsia="Times New Roman" w:hAnsi="Times New Roman"/>
          <w:sz w:val="24"/>
          <w:szCs w:val="24"/>
        </w:rPr>
        <w:t xml:space="preserve">“Further, even though the Government will generally need a warrant to access CSLI [cell-site location information], case-specific exceptions may support a warrantless search of an individual’s cell-site records under certain circumstances. ‘One well-recognized exception applies when “the exigencies of the situation” make the needs of law enforcement so compelling that [a] warrantless search is objectively reasonable under the Fourth Amendment.’ Kentucky v. King, 563 U. S. 452, 460 (2011) (quoting Mincey v. Arizona, 437 U. S. 385, 394 (1978)). Such exigencies include the need to pursue a fleeing suspect, protect individuals who are threatened with imminent harm, or prevent the imminent destruction of evidence. 563 U. S., at 460, and n. 3. As a result, if law enforcement is confronted with an urgent situation, such fact-specific threats will likely justify the warrantless collection of CSLI.  Lower courts, for instance, have approved warrantless searches related to bomb threats, active shootings, and child abductions. Our decision today does not call into doubt warrantless access to CSLI in such </w:t>
      </w:r>
      <w:r w:rsidRPr="00015208">
        <w:rPr>
          <w:rFonts w:ascii="Times New Roman" w:eastAsia="Times New Roman" w:hAnsi="Times New Roman"/>
          <w:sz w:val="24"/>
          <w:szCs w:val="24"/>
        </w:rPr>
        <w:lastRenderedPageBreak/>
        <w:t>circumstances. While police must get a warrant when collecting CSLI to assist in the mine-run criminal investigation, the rule we set forth does not limit their ability to respond to an ongoing emergency.”</w:t>
      </w:r>
    </w:p>
    <w:p w14:paraId="2D9AA853" w14:textId="77777777" w:rsidR="00F326E5" w:rsidRPr="00015208" w:rsidRDefault="00F326E5" w:rsidP="00F326E5">
      <w:pPr>
        <w:ind w:firstLine="720"/>
        <w:rPr>
          <w:rFonts w:ascii="Times New Roman" w:eastAsia="Times New Roman" w:hAnsi="Times New Roman"/>
          <w:sz w:val="24"/>
          <w:szCs w:val="24"/>
        </w:rPr>
      </w:pPr>
      <w:hyperlink r:id="rId374" w:history="1">
        <w:r w:rsidRPr="00015208">
          <w:rPr>
            <w:rStyle w:val="Hyperlink"/>
            <w:rFonts w:ascii="Times New Roman" w:hAnsi="Times New Roman"/>
            <w:sz w:val="24"/>
            <w:szCs w:val="24"/>
          </w:rPr>
          <w:t>https://www.supremecourt.gov/opinions/17pdf/16-402_h315.pdf</w:t>
        </w:r>
      </w:hyperlink>
      <w:r w:rsidRPr="00015208">
        <w:rPr>
          <w:rFonts w:ascii="Times New Roman" w:eastAsia="Times New Roman" w:hAnsi="Times New Roman"/>
          <w:sz w:val="24"/>
          <w:szCs w:val="24"/>
        </w:rPr>
        <w:t xml:space="preserve"> </w:t>
      </w:r>
    </w:p>
    <w:p w14:paraId="776437A2" w14:textId="77777777" w:rsidR="00354767" w:rsidRDefault="00F326E5" w:rsidP="00F326E5">
      <w:pPr>
        <w:ind w:left="720"/>
        <w:rPr>
          <w:rFonts w:ascii="Times New Roman" w:eastAsia="Times New Roman" w:hAnsi="Times New Roman"/>
          <w:b/>
          <w:sz w:val="24"/>
          <w:szCs w:val="24"/>
        </w:rPr>
      </w:pPr>
      <w:r w:rsidRPr="00015208">
        <w:rPr>
          <w:rFonts w:ascii="Times New Roman" w:eastAsia="Times New Roman" w:hAnsi="Times New Roman"/>
          <w:b/>
          <w:sz w:val="24"/>
          <w:szCs w:val="24"/>
        </w:rPr>
        <w:t>Legal Lessons Learned:  Fire &amp; EMS Departments in emergency situations – for example, when conducting search for a missing person who may be carrying a cell phone – may still coordinate with law enforcement and get cell tower information without a search warrant</w:t>
      </w:r>
    </w:p>
    <w:p w14:paraId="21384867" w14:textId="07A8E2DE" w:rsidR="00F326E5" w:rsidRPr="00015208" w:rsidRDefault="00F326E5" w:rsidP="00F326E5">
      <w:pPr>
        <w:ind w:left="720"/>
        <w:rPr>
          <w:rFonts w:ascii="Times New Roman" w:eastAsia="Times New Roman" w:hAnsi="Times New Roman"/>
          <w:sz w:val="24"/>
          <w:szCs w:val="24"/>
        </w:rPr>
      </w:pPr>
      <w:r w:rsidRPr="00015208">
        <w:rPr>
          <w:rFonts w:ascii="Times New Roman" w:eastAsia="Times New Roman" w:hAnsi="Times New Roman"/>
          <w:sz w:val="24"/>
          <w:szCs w:val="24"/>
        </w:rPr>
        <w:t>Note:  Justice Kennedy announced his retirement on June 27, 2018; he has been the “swing vote” in many 5 to 4 decisions.  Future cases involving access to electronic records will undoubtedly get to the U.S. Supreme Court.</w:t>
      </w:r>
    </w:p>
    <w:bookmarkEnd w:id="81"/>
    <w:p w14:paraId="4F13D79F" w14:textId="1033F972"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7</w:t>
      </w:r>
    </w:p>
    <w:p w14:paraId="52872B9B" w14:textId="5761C3D6" w:rsidR="00F326E5" w:rsidRPr="00F707DC" w:rsidRDefault="00F326E5" w:rsidP="00F326E5">
      <w:pPr>
        <w:rPr>
          <w:sz w:val="24"/>
          <w:szCs w:val="24"/>
        </w:rPr>
      </w:pPr>
      <w:bookmarkStart w:id="82" w:name="_Hlk7340196"/>
      <w:r w:rsidRPr="00F707DC">
        <w:rPr>
          <w:rFonts w:ascii="Arial Black" w:hAnsi="Arial Black"/>
          <w:sz w:val="28"/>
          <w:szCs w:val="28"/>
        </w:rPr>
        <w:t>PA:  DOT E</w:t>
      </w:r>
      <w:r>
        <w:rPr>
          <w:rFonts w:ascii="Arial Black" w:hAnsi="Arial Black"/>
          <w:sz w:val="28"/>
          <w:szCs w:val="28"/>
        </w:rPr>
        <w:t xml:space="preserve">MPLOYEE FIRED FOR </w:t>
      </w:r>
      <w:r w:rsidRPr="00F707DC">
        <w:rPr>
          <w:rFonts w:ascii="Arial Black" w:hAnsi="Arial Black"/>
          <w:sz w:val="28"/>
          <w:szCs w:val="28"/>
        </w:rPr>
        <w:t>FACEBOOK P</w:t>
      </w:r>
      <w:r>
        <w:rPr>
          <w:rFonts w:ascii="Arial Black" w:hAnsi="Arial Black"/>
          <w:sz w:val="28"/>
          <w:szCs w:val="28"/>
        </w:rPr>
        <w:t xml:space="preserve">OSTS ON BAD SCHOOL BUS DRIVERS – REINSTATED </w:t>
      </w:r>
      <w:r w:rsidRPr="00F707DC">
        <w:rPr>
          <w:sz w:val="24"/>
          <w:szCs w:val="24"/>
        </w:rPr>
        <w:t>[also filed, Chap. 16]</w:t>
      </w:r>
    </w:p>
    <w:p w14:paraId="1C8919E6" w14:textId="73F763FF" w:rsidR="00637A12" w:rsidRDefault="00F326E5" w:rsidP="00F326E5">
      <w:pPr>
        <w:pStyle w:val="NoSpacing"/>
        <w:rPr>
          <w:rFonts w:ascii="Times New Roman" w:hAnsi="Times New Roman"/>
          <w:sz w:val="24"/>
          <w:szCs w:val="24"/>
        </w:rPr>
      </w:pPr>
      <w:r w:rsidRPr="00015208">
        <w:rPr>
          <w:rFonts w:ascii="Times New Roman" w:hAnsi="Times New Roman"/>
          <w:sz w:val="24"/>
          <w:szCs w:val="24"/>
        </w:rPr>
        <w:t xml:space="preserve">On June 12, 2018, in </w:t>
      </w:r>
      <w:r w:rsidRPr="00015208">
        <w:rPr>
          <w:rFonts w:ascii="Times New Roman" w:hAnsi="Times New Roman"/>
          <w:sz w:val="24"/>
          <w:szCs w:val="24"/>
          <w:u w:val="single"/>
        </w:rPr>
        <w:t>Rachel L. Carr v. Commonwealth of Pennsylvania / Department of Transportation and Civil Service Commission</w:t>
      </w:r>
      <w:r w:rsidRPr="00015208">
        <w:rPr>
          <w:rFonts w:ascii="Times New Roman" w:hAnsi="Times New Roman"/>
          <w:sz w:val="24"/>
          <w:szCs w:val="24"/>
        </w:rPr>
        <w:t xml:space="preserve">, the Commonwealth Court of Pennsylvania held (3 to 0) that the employee’s FACEBOOK posts about local school bus drivers were “inappropriate” but were protected since it </w:t>
      </w:r>
    </w:p>
    <w:p w14:paraId="26A0C1D6" w14:textId="448424EB" w:rsidR="00F326E5" w:rsidRPr="00015208" w:rsidRDefault="00F326E5" w:rsidP="008D07C2">
      <w:pPr>
        <w:pStyle w:val="NoSpacing"/>
        <w:rPr>
          <w:rFonts w:ascii="Times New Roman" w:hAnsi="Times New Roman"/>
          <w:sz w:val="24"/>
          <w:szCs w:val="24"/>
        </w:rPr>
      </w:pPr>
      <w:r w:rsidRPr="00015208">
        <w:rPr>
          <w:rFonts w:ascii="Times New Roman" w:hAnsi="Times New Roman"/>
          <w:sz w:val="24"/>
          <w:szCs w:val="24"/>
        </w:rPr>
        <w:t>“</w:t>
      </w:r>
      <w:proofErr w:type="gramStart"/>
      <w:r w:rsidRPr="00015208">
        <w:rPr>
          <w:rFonts w:ascii="Times New Roman" w:hAnsi="Times New Roman"/>
          <w:sz w:val="24"/>
          <w:szCs w:val="24"/>
        </w:rPr>
        <w:t>touched</w:t>
      </w:r>
      <w:proofErr w:type="gramEnd"/>
      <w:r w:rsidRPr="00015208">
        <w:rPr>
          <w:rFonts w:ascii="Times New Roman" w:hAnsi="Times New Roman"/>
          <w:sz w:val="24"/>
          <w:szCs w:val="24"/>
        </w:rPr>
        <w:t xml:space="preserve"> on a matter of public concern.” The Court wrote: “After a thorough review of the record and a conscientious analysis of the factors articulated by the United States Supreme Court, we conclude that the Department’s generalized interest in the safety of the traveling public does not outweigh Carr’s specific interest in commenting on the safety of a particular bus driver. While Carr’s comments are undoubtedly inappropriate, such comments still receive protection under the First Amendment.”</w:t>
      </w:r>
    </w:p>
    <w:p w14:paraId="0038F122" w14:textId="54B662C1" w:rsidR="00F326E5" w:rsidRPr="00015208" w:rsidRDefault="00637A12" w:rsidP="008D07C2">
      <w:pPr>
        <w:pStyle w:val="NoSpacing"/>
        <w:rPr>
          <w:rFonts w:ascii="Times New Roman" w:hAnsi="Times New Roman"/>
          <w:sz w:val="24"/>
          <w:szCs w:val="24"/>
        </w:rPr>
      </w:pPr>
      <w:hyperlink r:id="rId375" w:history="1">
        <w:r w:rsidRPr="002F304C">
          <w:rPr>
            <w:rStyle w:val="Hyperlink"/>
            <w:rFonts w:ascii="Times New Roman" w:hAnsi="Times New Roman"/>
            <w:sz w:val="24"/>
            <w:szCs w:val="24"/>
          </w:rPr>
          <w:t>http://www.pacourts.us/assets/opinions/Commonwealth/out/380md17_6-12-18.pdf</w:t>
        </w:r>
      </w:hyperlink>
      <w:r w:rsidR="00F326E5" w:rsidRPr="00015208">
        <w:rPr>
          <w:rFonts w:ascii="Times New Roman" w:hAnsi="Times New Roman"/>
          <w:sz w:val="24"/>
          <w:szCs w:val="24"/>
        </w:rPr>
        <w:t xml:space="preserve"> </w:t>
      </w:r>
    </w:p>
    <w:p w14:paraId="22CC5D8D" w14:textId="77777777" w:rsidR="00637A12" w:rsidRDefault="00637A12" w:rsidP="00F326E5">
      <w:pPr>
        <w:pStyle w:val="NoSpacing"/>
        <w:rPr>
          <w:rFonts w:ascii="Times New Roman" w:hAnsi="Times New Roman"/>
          <w:b/>
          <w:sz w:val="24"/>
          <w:szCs w:val="24"/>
        </w:rPr>
      </w:pPr>
    </w:p>
    <w:p w14:paraId="23875648" w14:textId="74C41E53" w:rsidR="00F326E5" w:rsidRPr="00015208" w:rsidRDefault="00F326E5" w:rsidP="00F326E5">
      <w:pPr>
        <w:pStyle w:val="NoSpacing"/>
        <w:rPr>
          <w:rFonts w:ascii="Times New Roman" w:hAnsi="Times New Roman"/>
          <w:b/>
          <w:sz w:val="24"/>
          <w:szCs w:val="24"/>
        </w:rPr>
      </w:pPr>
      <w:r w:rsidRPr="00015208">
        <w:rPr>
          <w:rFonts w:ascii="Times New Roman" w:hAnsi="Times New Roman"/>
          <w:b/>
          <w:sz w:val="24"/>
          <w:szCs w:val="24"/>
        </w:rPr>
        <w:t>Legal Lessons Learned:  Fire &amp; EMS Departments should have a Social Media Policy that clearly advises personnel that their “</w:t>
      </w:r>
      <w:proofErr w:type="gramStart"/>
      <w:r w:rsidRPr="00015208">
        <w:rPr>
          <w:rFonts w:ascii="Times New Roman" w:hAnsi="Times New Roman"/>
          <w:b/>
          <w:sz w:val="24"/>
          <w:szCs w:val="24"/>
        </w:rPr>
        <w:t>Free Speech</w:t>
      </w:r>
      <w:proofErr w:type="gramEnd"/>
      <w:r w:rsidRPr="00015208">
        <w:rPr>
          <w:rFonts w:ascii="Times New Roman" w:hAnsi="Times New Roman"/>
          <w:b/>
          <w:sz w:val="24"/>
          <w:szCs w:val="24"/>
        </w:rPr>
        <w:t xml:space="preserve"> rights” are limited when discussing FD internal matters. </w:t>
      </w:r>
    </w:p>
    <w:bookmarkEnd w:id="82"/>
    <w:p w14:paraId="1A05D317" w14:textId="77777777" w:rsidR="00F326E5" w:rsidRPr="00A56BFE" w:rsidRDefault="00F326E5" w:rsidP="00F326E5">
      <w:pPr>
        <w:ind w:firstLine="720"/>
        <w:rPr>
          <w:rFonts w:eastAsia="Times New Roman"/>
          <w:b/>
          <w:sz w:val="24"/>
          <w:szCs w:val="24"/>
        </w:rPr>
      </w:pPr>
    </w:p>
    <w:p w14:paraId="13551EB3" w14:textId="77777777" w:rsidR="00637A12" w:rsidRDefault="00637A12" w:rsidP="00791CA3">
      <w:pPr>
        <w:rPr>
          <w:rFonts w:ascii="Arial Black" w:hAnsi="Arial Black"/>
          <w:b/>
          <w:sz w:val="24"/>
          <w:szCs w:val="24"/>
        </w:rPr>
      </w:pPr>
    </w:p>
    <w:p w14:paraId="40627F9E" w14:textId="77777777" w:rsidR="00637A12" w:rsidRDefault="00637A12" w:rsidP="00791CA3">
      <w:pPr>
        <w:rPr>
          <w:rFonts w:ascii="Arial Black" w:hAnsi="Arial Black"/>
          <w:b/>
          <w:sz w:val="24"/>
          <w:szCs w:val="24"/>
        </w:rPr>
      </w:pPr>
    </w:p>
    <w:p w14:paraId="52AAB86B" w14:textId="438780BC"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6</w:t>
      </w:r>
    </w:p>
    <w:p w14:paraId="7DF8D803" w14:textId="5CA2CE91" w:rsidR="00F326E5" w:rsidRDefault="00F326E5" w:rsidP="00F326E5">
      <w:pPr>
        <w:pStyle w:val="NoSpacing"/>
        <w:rPr>
          <w:rFonts w:ascii="Arial Black" w:hAnsi="Arial Black"/>
          <w:b/>
          <w:sz w:val="28"/>
          <w:szCs w:val="28"/>
        </w:rPr>
      </w:pPr>
      <w:bookmarkStart w:id="83" w:name="_Hlk7340230"/>
      <w:r w:rsidRPr="0002084E">
        <w:rPr>
          <w:rFonts w:ascii="Arial Black" w:hAnsi="Arial Black"/>
          <w:b/>
          <w:sz w:val="28"/>
          <w:szCs w:val="28"/>
        </w:rPr>
        <w:t>NY</w:t>
      </w:r>
      <w:r>
        <w:rPr>
          <w:rFonts w:ascii="Arial Black" w:hAnsi="Arial Black"/>
          <w:b/>
          <w:sz w:val="28"/>
          <w:szCs w:val="28"/>
        </w:rPr>
        <w:t>: NY</w:t>
      </w:r>
      <w:r w:rsidRPr="0002084E">
        <w:rPr>
          <w:rFonts w:ascii="Arial Black" w:hAnsi="Arial Black"/>
          <w:b/>
          <w:sz w:val="28"/>
          <w:szCs w:val="28"/>
        </w:rPr>
        <w:t>PD / FDNY TRDEMARKS – CITY SUING “COP SHOP”</w:t>
      </w:r>
    </w:p>
    <w:p w14:paraId="5AD30D1F" w14:textId="77777777" w:rsidR="00637A12" w:rsidRDefault="00637A12" w:rsidP="00F326E5">
      <w:pPr>
        <w:pStyle w:val="NoSpacing"/>
        <w:rPr>
          <w:rFonts w:ascii="Times New Roman" w:hAnsi="Times New Roman"/>
          <w:sz w:val="24"/>
          <w:szCs w:val="24"/>
        </w:rPr>
      </w:pPr>
    </w:p>
    <w:p w14:paraId="4E83F063" w14:textId="35BAD03A" w:rsidR="00F326E5" w:rsidRPr="00015208" w:rsidRDefault="00F326E5" w:rsidP="00F326E5">
      <w:pPr>
        <w:pStyle w:val="NoSpacing"/>
        <w:rPr>
          <w:rFonts w:ascii="Times New Roman" w:hAnsi="Times New Roman"/>
          <w:sz w:val="24"/>
          <w:szCs w:val="24"/>
        </w:rPr>
      </w:pPr>
      <w:r w:rsidRPr="00015208">
        <w:rPr>
          <w:rFonts w:ascii="Times New Roman" w:hAnsi="Times New Roman"/>
          <w:sz w:val="24"/>
          <w:szCs w:val="24"/>
        </w:rPr>
        <w:t xml:space="preserve">On June 7, 2018, in </w:t>
      </w:r>
      <w:r w:rsidRPr="00015208">
        <w:rPr>
          <w:rFonts w:ascii="Times New Roman" w:hAnsi="Times New Roman"/>
          <w:sz w:val="24"/>
          <w:szCs w:val="24"/>
          <w:u w:val="single"/>
        </w:rPr>
        <w:t>The City Of New York v. Blue Rage Inc, d/b/a THE COP SHOP, and Salvatore Piccolo &amp; Susan Piccolo</w:t>
      </w:r>
      <w:r w:rsidRPr="00015208">
        <w:rPr>
          <w:rFonts w:ascii="Times New Roman" w:hAnsi="Times New Roman"/>
          <w:sz w:val="24"/>
          <w:szCs w:val="24"/>
        </w:rPr>
        <w:t xml:space="preserve">, a United States Magistrate Judge in Central Islip, New York, held in a pre-trial dispute that the City does not need to disclose the profits it makes on its merchandise, or its contributions to non-profit organizations. </w:t>
      </w:r>
      <w:hyperlink r:id="rId376" w:history="1">
        <w:r w:rsidRPr="00015208">
          <w:rPr>
            <w:rStyle w:val="Hyperlink"/>
            <w:rFonts w:ascii="Times New Roman" w:hAnsi="Times New Roman"/>
            <w:sz w:val="24"/>
            <w:szCs w:val="24"/>
          </w:rPr>
          <w:t>https://cases.justia.com/federal/district-courts/new-york/nyedce/2:2017cv03480/402865/37/0.pdf?ts=1528277681</w:t>
        </w:r>
      </w:hyperlink>
      <w:r w:rsidRPr="00015208">
        <w:rPr>
          <w:rFonts w:ascii="Times New Roman" w:hAnsi="Times New Roman"/>
          <w:sz w:val="24"/>
          <w:szCs w:val="24"/>
        </w:rPr>
        <w:t xml:space="preserve"> </w:t>
      </w:r>
    </w:p>
    <w:p w14:paraId="6BBFBCCC" w14:textId="77777777" w:rsidR="00637A12" w:rsidRDefault="00637A12" w:rsidP="00F326E5">
      <w:pPr>
        <w:pStyle w:val="NoSpacing"/>
        <w:rPr>
          <w:rFonts w:ascii="Times New Roman" w:hAnsi="Times New Roman"/>
          <w:b/>
          <w:sz w:val="24"/>
          <w:szCs w:val="24"/>
        </w:rPr>
      </w:pPr>
    </w:p>
    <w:p w14:paraId="36A9E533" w14:textId="0B6639B0" w:rsidR="00F326E5" w:rsidRPr="00015208" w:rsidRDefault="00F326E5" w:rsidP="00F326E5">
      <w:pPr>
        <w:pStyle w:val="NoSpacing"/>
        <w:rPr>
          <w:rFonts w:ascii="Times New Roman" w:hAnsi="Times New Roman"/>
          <w:b/>
          <w:sz w:val="24"/>
          <w:szCs w:val="24"/>
        </w:rPr>
      </w:pPr>
      <w:r w:rsidRPr="00015208">
        <w:rPr>
          <w:rFonts w:ascii="Times New Roman" w:hAnsi="Times New Roman"/>
          <w:b/>
          <w:sz w:val="24"/>
          <w:szCs w:val="24"/>
        </w:rPr>
        <w:t xml:space="preserve">Legal Lessons Learned: Protect your trademarks. “Under trademark law, the </w:t>
      </w:r>
      <w:proofErr w:type="gramStart"/>
      <w:r w:rsidRPr="00015208">
        <w:rPr>
          <w:rFonts w:ascii="Times New Roman" w:hAnsi="Times New Roman"/>
          <w:b/>
          <w:sz w:val="24"/>
          <w:szCs w:val="24"/>
        </w:rPr>
        <w:t>amount</w:t>
      </w:r>
      <w:proofErr w:type="gramEnd"/>
      <w:r w:rsidRPr="00015208">
        <w:rPr>
          <w:rFonts w:ascii="Times New Roman" w:hAnsi="Times New Roman"/>
          <w:b/>
          <w:sz w:val="24"/>
          <w:szCs w:val="24"/>
        </w:rPr>
        <w:t xml:space="preserve"> of statutory damages can range from a low of $1,000 for innocent infringement to a high of $2,000,000 for willful </w:t>
      </w:r>
      <w:r w:rsidRPr="00015208">
        <w:rPr>
          <w:rFonts w:ascii="Times New Roman" w:hAnsi="Times New Roman"/>
          <w:b/>
          <w:sz w:val="24"/>
          <w:szCs w:val="24"/>
        </w:rPr>
        <w:lastRenderedPageBreak/>
        <w:t xml:space="preserve">infringement.” 15 U.S.C. § 1117(c).  </w:t>
      </w:r>
      <w:hyperlink r:id="rId377" w:history="1">
        <w:r w:rsidRPr="00015208">
          <w:rPr>
            <w:rStyle w:val="Hyperlink"/>
            <w:rFonts w:ascii="Times New Roman" w:hAnsi="Times New Roman"/>
            <w:sz w:val="24"/>
            <w:szCs w:val="24"/>
          </w:rPr>
          <w:t>http://buchanan-labs.com/statutory-damages-for-infringement-of-your-copyrights-and-trademarks/</w:t>
        </w:r>
      </w:hyperlink>
    </w:p>
    <w:bookmarkEnd w:id="83"/>
    <w:p w14:paraId="2ECAAA33" w14:textId="77777777" w:rsidR="00F326E5" w:rsidRDefault="00F326E5" w:rsidP="00F326E5">
      <w:pPr>
        <w:pStyle w:val="NoSpacing"/>
        <w:rPr>
          <w:rFonts w:ascii="Arial Black" w:hAnsi="Arial Black"/>
          <w:b/>
          <w:sz w:val="24"/>
          <w:szCs w:val="24"/>
        </w:rPr>
      </w:pPr>
    </w:p>
    <w:p w14:paraId="2FF023BF" w14:textId="2FFA0C00" w:rsidR="00F326E5" w:rsidRDefault="00F326E5" w:rsidP="00F326E5">
      <w:pPr>
        <w:rPr>
          <w:sz w:val="24"/>
          <w:szCs w:val="24"/>
        </w:rPr>
      </w:pPr>
    </w:p>
    <w:p w14:paraId="5CD0C33D" w14:textId="328FD352" w:rsidR="00791CA3" w:rsidRPr="00791CA3" w:rsidRDefault="00791CA3" w:rsidP="00791CA3">
      <w:pPr>
        <w:rPr>
          <w:rFonts w:ascii="Arial Black" w:hAnsi="Arial Black"/>
          <w:b/>
          <w:sz w:val="24"/>
          <w:szCs w:val="24"/>
        </w:rPr>
      </w:pPr>
      <w:bookmarkStart w:id="84" w:name="_Hlk7340267"/>
      <w:r w:rsidRPr="00791CA3">
        <w:rPr>
          <w:rFonts w:ascii="Arial Black" w:hAnsi="Arial Black"/>
          <w:b/>
          <w:sz w:val="24"/>
          <w:szCs w:val="24"/>
        </w:rPr>
        <w:t>1-</w:t>
      </w:r>
      <w:r>
        <w:rPr>
          <w:rFonts w:ascii="Arial Black" w:hAnsi="Arial Black"/>
          <w:b/>
          <w:sz w:val="24"/>
          <w:szCs w:val="24"/>
        </w:rPr>
        <w:t>5</w:t>
      </w:r>
    </w:p>
    <w:p w14:paraId="4ED0EB42" w14:textId="6CDB8B1B" w:rsidR="00D46F1E" w:rsidRDefault="00F326E5" w:rsidP="00F326E5">
      <w:pPr>
        <w:rPr>
          <w:rFonts w:ascii="Arial Black" w:hAnsi="Arial Black"/>
          <w:b/>
          <w:sz w:val="28"/>
          <w:szCs w:val="28"/>
        </w:rPr>
      </w:pPr>
      <w:r w:rsidRPr="003257B0">
        <w:rPr>
          <w:rFonts w:ascii="Arial Black" w:hAnsi="Arial Black"/>
          <w:b/>
          <w:sz w:val="28"/>
          <w:szCs w:val="28"/>
        </w:rPr>
        <w:t>OH</w:t>
      </w:r>
      <w:r>
        <w:rPr>
          <w:rFonts w:ascii="Arial Black" w:hAnsi="Arial Black"/>
          <w:b/>
          <w:sz w:val="28"/>
          <w:szCs w:val="28"/>
        </w:rPr>
        <w:t xml:space="preserve">: </w:t>
      </w:r>
      <w:r w:rsidRPr="003257B0">
        <w:rPr>
          <w:rFonts w:ascii="Arial Black" w:hAnsi="Arial Black"/>
          <w:b/>
          <w:sz w:val="28"/>
          <w:szCs w:val="28"/>
        </w:rPr>
        <w:t xml:space="preserve">FIRE LOSS INSURANCE – CLEVELAND MUST RETURN </w:t>
      </w:r>
      <w:r>
        <w:rPr>
          <w:rFonts w:ascii="Arial Black" w:hAnsi="Arial Black"/>
          <w:b/>
          <w:sz w:val="28"/>
          <w:szCs w:val="28"/>
        </w:rPr>
        <w:t xml:space="preserve">$175,000 DEPOSITED WITH CITY </w:t>
      </w:r>
    </w:p>
    <w:p w14:paraId="280C7A72" w14:textId="3B1925EE" w:rsidR="00F326E5" w:rsidRPr="00015208" w:rsidRDefault="00F326E5" w:rsidP="00F326E5">
      <w:pPr>
        <w:rPr>
          <w:rFonts w:ascii="Times New Roman" w:hAnsi="Times New Roman"/>
          <w:b/>
          <w:sz w:val="28"/>
          <w:szCs w:val="28"/>
        </w:rPr>
      </w:pPr>
      <w:r w:rsidRPr="00015208">
        <w:rPr>
          <w:rFonts w:ascii="Times New Roman" w:eastAsia="Times New Roman" w:hAnsi="Times New Roman"/>
          <w:sz w:val="24"/>
          <w:szCs w:val="24"/>
        </w:rPr>
        <w:t xml:space="preserve">On May 31, 2018, in </w:t>
      </w:r>
      <w:r w:rsidRPr="00015208">
        <w:rPr>
          <w:rFonts w:ascii="Times New Roman" w:eastAsia="Times New Roman" w:hAnsi="Times New Roman"/>
          <w:sz w:val="24"/>
          <w:szCs w:val="24"/>
          <w:u w:val="single"/>
        </w:rPr>
        <w:t>WRRS, L.L.C. v. City of Cleveland</w:t>
      </w:r>
      <w:r w:rsidRPr="00015208">
        <w:rPr>
          <w:rFonts w:ascii="Times New Roman" w:eastAsia="Times New Roman" w:hAnsi="Times New Roman"/>
          <w:sz w:val="24"/>
          <w:szCs w:val="24"/>
        </w:rPr>
        <w:t>, the Court of Appeals for 8</w:t>
      </w:r>
      <w:r w:rsidRPr="00015208">
        <w:rPr>
          <w:rFonts w:ascii="Times New Roman" w:eastAsia="Times New Roman" w:hAnsi="Times New Roman"/>
          <w:sz w:val="24"/>
          <w:szCs w:val="24"/>
          <w:vertAlign w:val="superscript"/>
        </w:rPr>
        <w:t>th</w:t>
      </w:r>
      <w:r w:rsidRPr="00015208">
        <w:rPr>
          <w:rFonts w:ascii="Times New Roman" w:eastAsia="Times New Roman" w:hAnsi="Times New Roman"/>
          <w:sz w:val="24"/>
          <w:szCs w:val="24"/>
        </w:rPr>
        <w:t xml:space="preserve"> Appellate District (County of Cuyahoga), 2018 Ohio 2129, held (3 to 0):</w:t>
      </w:r>
    </w:p>
    <w:p w14:paraId="01C23FFC" w14:textId="77777777" w:rsidR="00F326E5" w:rsidRPr="00015208" w:rsidRDefault="00F326E5" w:rsidP="00F326E5">
      <w:pPr>
        <w:pStyle w:val="NormalWeb"/>
        <w:ind w:left="720"/>
      </w:pPr>
      <w:r w:rsidRPr="00015208">
        <w:t xml:space="preserve">“The Board's 2012 decision, however, does preclude the </w:t>
      </w:r>
      <w:proofErr w:type="gramStart"/>
      <w:r w:rsidRPr="00015208">
        <w:t>City</w:t>
      </w:r>
      <w:proofErr w:type="gramEnd"/>
      <w:r w:rsidRPr="00015208">
        <w:t xml:space="preserve"> from continuing to withhold the $175,000 WRRS deposited with the </w:t>
      </w:r>
      <w:proofErr w:type="gramStart"/>
      <w:r w:rsidRPr="00015208">
        <w:t>City</w:t>
      </w:r>
      <w:proofErr w:type="gramEnd"/>
      <w:r w:rsidRPr="00015208">
        <w:t xml:space="preserve"> pursuant to Ohio's fire loss statute. In 2012, the Board </w:t>
      </w:r>
      <w:proofErr w:type="gramStart"/>
      <w:r w:rsidRPr="00015208">
        <w:t xml:space="preserve">[of </w:t>
      </w:r>
      <w:proofErr w:type="gramEnd"/>
      <w:r w:rsidRPr="00015208">
        <w:t xml:space="preserve">Building Standards] found the WRRS property to </w:t>
      </w:r>
      <w:proofErr w:type="gramStart"/>
      <w:r w:rsidRPr="00015208">
        <w:t>be in compliance</w:t>
      </w:r>
      <w:proofErr w:type="gramEnd"/>
      <w:r w:rsidRPr="00015208">
        <w:t xml:space="preserve"> after the fire. The City could have appealed from the 2012 </w:t>
      </w:r>
      <w:proofErr w:type="gramStart"/>
      <w:r w:rsidRPr="00015208">
        <w:t>decision,  but</w:t>
      </w:r>
      <w:proofErr w:type="gramEnd"/>
      <w:r w:rsidRPr="00015208">
        <w:t xml:space="preserve"> chose not to do so. Thus, the </w:t>
      </w:r>
      <w:proofErr w:type="gramStart"/>
      <w:r w:rsidRPr="00015208">
        <w:t>City</w:t>
      </w:r>
      <w:proofErr w:type="gramEnd"/>
      <w:r w:rsidRPr="00015208">
        <w:t xml:space="preserve"> is now precluded under res judicata from challenging the Board's 2012 decision. As a result, the </w:t>
      </w:r>
      <w:proofErr w:type="gramStart"/>
      <w:r w:rsidRPr="00015208">
        <w:t>City</w:t>
      </w:r>
      <w:proofErr w:type="gramEnd"/>
      <w:r w:rsidRPr="00015208">
        <w:t xml:space="preserve"> is ordered to return the $175,000 to WRRS.”</w:t>
      </w:r>
      <w:hyperlink r:id="rId378" w:history="1">
        <w:r w:rsidRPr="00015208">
          <w:rPr>
            <w:rStyle w:val="Hyperlink"/>
          </w:rPr>
          <w:t>https://cases.justia.com/ohio/eighth-district-court-of-appeals/2018-105661.pdf?ts=1528147387</w:t>
        </w:r>
      </w:hyperlink>
      <w:r w:rsidRPr="00015208">
        <w:t xml:space="preserve"> </w:t>
      </w:r>
    </w:p>
    <w:p w14:paraId="141D4E7D" w14:textId="77777777" w:rsidR="00F326E5" w:rsidRPr="00015208" w:rsidRDefault="00F326E5" w:rsidP="00F326E5">
      <w:pPr>
        <w:rPr>
          <w:rFonts w:ascii="Times New Roman" w:eastAsia="Times New Roman" w:hAnsi="Times New Roman"/>
          <w:b/>
          <w:sz w:val="24"/>
          <w:szCs w:val="24"/>
        </w:rPr>
      </w:pPr>
      <w:r w:rsidRPr="00015208">
        <w:rPr>
          <w:rFonts w:ascii="Times New Roman" w:eastAsia="Times New Roman" w:hAnsi="Times New Roman"/>
          <w:b/>
          <w:sz w:val="24"/>
          <w:szCs w:val="24"/>
        </w:rPr>
        <w:t xml:space="preserve">Legal Lessons Learned:  Under Ohio Revised Code 3929.86, “Fire loss claims,” for claims in excess of $5000, insurance companies must first deposit payment with political subdivision.” </w:t>
      </w:r>
    </w:p>
    <w:p w14:paraId="4358BDC5" w14:textId="77777777" w:rsidR="00F326E5" w:rsidRPr="00015208" w:rsidRDefault="00F326E5" w:rsidP="00F326E5">
      <w:pPr>
        <w:pStyle w:val="NormalWeb"/>
        <w:ind w:left="720"/>
      </w:pPr>
      <w:bookmarkStart w:id="85" w:name="3929.86(A)"/>
      <w:r w:rsidRPr="00015208">
        <w:t>“(A)</w:t>
      </w:r>
      <w:bookmarkEnd w:id="85"/>
      <w:r w:rsidRPr="00015208">
        <w:t xml:space="preserve"> No insurance company doing business in this state shall pay a claim of a named insured for fire damage to a structure located within a municipal corporation or township in this state where the amount recoverable for the fire loss to the structure under all policies exceeds five thousand dollars, unless the company is furnished with a certificate pursuant to division (B) of this section, and unless there is compliance with the procedures set forth in divisions (C) and (D) of this section.”</w:t>
      </w:r>
    </w:p>
    <w:p w14:paraId="48AFB97A" w14:textId="77777777" w:rsidR="00791CA3" w:rsidRDefault="00791CA3" w:rsidP="00F326E5">
      <w:pPr>
        <w:rPr>
          <w:rFonts w:ascii="Arial Black" w:hAnsi="Arial Black"/>
          <w:b/>
          <w:sz w:val="28"/>
          <w:szCs w:val="28"/>
        </w:rPr>
      </w:pPr>
      <w:bookmarkStart w:id="86" w:name="_Hlk7340314"/>
      <w:bookmarkEnd w:id="84"/>
    </w:p>
    <w:p w14:paraId="4EEEC114" w14:textId="07E9D0C0" w:rsidR="00791CA3" w:rsidRPr="00791CA3" w:rsidRDefault="00791CA3" w:rsidP="00791CA3">
      <w:pPr>
        <w:rPr>
          <w:rFonts w:ascii="Arial Black" w:hAnsi="Arial Black"/>
          <w:b/>
          <w:sz w:val="24"/>
          <w:szCs w:val="24"/>
        </w:rPr>
      </w:pPr>
      <w:r w:rsidRPr="00791CA3">
        <w:rPr>
          <w:rFonts w:ascii="Arial Black" w:hAnsi="Arial Black"/>
          <w:b/>
          <w:sz w:val="24"/>
          <w:szCs w:val="24"/>
        </w:rPr>
        <w:t>1-</w:t>
      </w:r>
      <w:r>
        <w:rPr>
          <w:rFonts w:ascii="Arial Black" w:hAnsi="Arial Black"/>
          <w:b/>
          <w:sz w:val="24"/>
          <w:szCs w:val="24"/>
        </w:rPr>
        <w:t>4</w:t>
      </w:r>
    </w:p>
    <w:p w14:paraId="2B90E6CA" w14:textId="4B582080" w:rsidR="00F326E5" w:rsidRDefault="00F326E5" w:rsidP="00F326E5">
      <w:pPr>
        <w:rPr>
          <w:rFonts w:ascii="Arial Black" w:hAnsi="Arial Black"/>
          <w:b/>
          <w:sz w:val="28"/>
          <w:szCs w:val="28"/>
        </w:rPr>
      </w:pPr>
      <w:r w:rsidRPr="00CB3546">
        <w:rPr>
          <w:rFonts w:ascii="Arial Black" w:hAnsi="Arial Black"/>
          <w:b/>
          <w:sz w:val="28"/>
          <w:szCs w:val="28"/>
        </w:rPr>
        <w:t>S</w:t>
      </w:r>
      <w:r>
        <w:rPr>
          <w:rFonts w:ascii="Arial Black" w:hAnsi="Arial Black"/>
          <w:b/>
          <w:sz w:val="28"/>
          <w:szCs w:val="28"/>
        </w:rPr>
        <w:t xml:space="preserve">C: </w:t>
      </w:r>
      <w:r w:rsidRPr="00CB3546">
        <w:rPr>
          <w:rFonts w:ascii="Arial Black" w:hAnsi="Arial Black"/>
          <w:b/>
          <w:sz w:val="28"/>
          <w:szCs w:val="28"/>
        </w:rPr>
        <w:t xml:space="preserve">ARSON INVESTIGATOR </w:t>
      </w:r>
      <w:r>
        <w:rPr>
          <w:rFonts w:ascii="Arial Black" w:hAnsi="Arial Black"/>
          <w:b/>
          <w:sz w:val="28"/>
          <w:szCs w:val="28"/>
        </w:rPr>
        <w:t>“</w:t>
      </w:r>
      <w:r w:rsidRPr="00CB3546">
        <w:rPr>
          <w:rFonts w:ascii="Arial Black" w:hAnsi="Arial Black"/>
          <w:b/>
          <w:sz w:val="28"/>
          <w:szCs w:val="28"/>
        </w:rPr>
        <w:t>EXPERT</w:t>
      </w:r>
      <w:r>
        <w:rPr>
          <w:rFonts w:ascii="Arial Black" w:hAnsi="Arial Black"/>
          <w:b/>
          <w:sz w:val="28"/>
          <w:szCs w:val="28"/>
        </w:rPr>
        <w:t xml:space="preserve">” – 1YEAR OF EXPERIENCE - </w:t>
      </w:r>
      <w:r w:rsidRPr="00CB3546">
        <w:rPr>
          <w:rFonts w:ascii="Arial Black" w:hAnsi="Arial Black"/>
          <w:b/>
          <w:sz w:val="28"/>
          <w:szCs w:val="28"/>
        </w:rPr>
        <w:t>ARSON DOG ALSO QUALIFIED</w:t>
      </w:r>
    </w:p>
    <w:p w14:paraId="70F2A534" w14:textId="2094E6C8" w:rsidR="00F326E5" w:rsidRPr="00015208" w:rsidRDefault="00F326E5" w:rsidP="00F326E5">
      <w:pPr>
        <w:rPr>
          <w:rStyle w:val="Hyperlink"/>
          <w:rFonts w:ascii="Times New Roman" w:hAnsi="Times New Roman"/>
          <w:sz w:val="24"/>
          <w:szCs w:val="24"/>
        </w:rPr>
      </w:pPr>
      <w:r w:rsidRPr="00015208">
        <w:rPr>
          <w:rFonts w:ascii="Times New Roman" w:hAnsi="Times New Roman"/>
          <w:sz w:val="24"/>
          <w:szCs w:val="24"/>
        </w:rPr>
        <w:t xml:space="preserve">On April 11, 2018, in </w:t>
      </w:r>
      <w:r w:rsidRPr="00015208">
        <w:rPr>
          <w:rFonts w:ascii="Times New Roman" w:hAnsi="Times New Roman"/>
          <w:sz w:val="24"/>
          <w:szCs w:val="24"/>
          <w:u w:val="single"/>
        </w:rPr>
        <w:t>The State v. Paula Reed Rose</w:t>
      </w:r>
      <w:r w:rsidRPr="00015208">
        <w:rPr>
          <w:rFonts w:ascii="Times New Roman" w:hAnsi="Times New Roman"/>
          <w:sz w:val="24"/>
          <w:szCs w:val="24"/>
        </w:rPr>
        <w:t xml:space="preserve">, the South Carolina Court of Appeals affirmed (3 to 0) the conviction of Ms. Rose of  third-degree arson, filing a false police report, burning personal property to defraud an insurer, and making a false insurance claim to obtain benefits for fire loss, for which the trial court sentenced her to a </w:t>
      </w:r>
      <w:r w:rsidR="00637A12">
        <w:rPr>
          <w:rFonts w:ascii="Times New Roman" w:hAnsi="Times New Roman"/>
          <w:sz w:val="24"/>
          <w:szCs w:val="24"/>
        </w:rPr>
        <w:t>“</w:t>
      </w:r>
      <w:r w:rsidRPr="00015208">
        <w:rPr>
          <w:rFonts w:ascii="Times New Roman" w:hAnsi="Times New Roman"/>
          <w:sz w:val="24"/>
          <w:szCs w:val="24"/>
        </w:rPr>
        <w:t xml:space="preserve">cumulative term of five years' home incarceration with five years' probation.” </w:t>
      </w:r>
      <w:hyperlink r:id="rId379" w:history="1">
        <w:r w:rsidRPr="00015208">
          <w:rPr>
            <w:rStyle w:val="Hyperlink"/>
            <w:rFonts w:ascii="Times New Roman" w:hAnsi="Times New Roman"/>
            <w:sz w:val="24"/>
            <w:szCs w:val="24"/>
          </w:rPr>
          <w:t>https://caselaw.findlaw.com/sc-court-of-appeals/1893632.html</w:t>
        </w:r>
      </w:hyperlink>
    </w:p>
    <w:p w14:paraId="27B8A338" w14:textId="2EA5FACE" w:rsidR="00F326E5" w:rsidRPr="00015208" w:rsidRDefault="00F326E5" w:rsidP="00F326E5">
      <w:pPr>
        <w:rPr>
          <w:rFonts w:ascii="Times New Roman" w:hAnsi="Times New Roman"/>
          <w:sz w:val="24"/>
          <w:szCs w:val="24"/>
        </w:rPr>
      </w:pPr>
      <w:r w:rsidRPr="00015208">
        <w:rPr>
          <w:rFonts w:ascii="Times New Roman" w:hAnsi="Times New Roman"/>
          <w:b/>
          <w:sz w:val="24"/>
          <w:szCs w:val="24"/>
        </w:rPr>
        <w:t>LEGAL LESSONS LEARNED:  There is no specific “time on the job” requirement to be qualified as an expert in origin and cause</w:t>
      </w:r>
      <w:r w:rsidRPr="00015208">
        <w:rPr>
          <w:rFonts w:ascii="Times New Roman" w:hAnsi="Times New Roman"/>
          <w:sz w:val="24"/>
          <w:szCs w:val="24"/>
        </w:rPr>
        <w:t xml:space="preserve">. </w:t>
      </w:r>
    </w:p>
    <w:p w14:paraId="30937DF0" w14:textId="77777777" w:rsidR="00791CA3" w:rsidRPr="00E456E9" w:rsidRDefault="00791CA3" w:rsidP="00F326E5">
      <w:pPr>
        <w:rPr>
          <w:sz w:val="24"/>
          <w:szCs w:val="24"/>
        </w:rPr>
      </w:pPr>
    </w:p>
    <w:bookmarkEnd w:id="86"/>
    <w:p w14:paraId="715A6166" w14:textId="7CF06D81" w:rsidR="00F326E5" w:rsidRPr="00791CA3" w:rsidRDefault="00791CA3" w:rsidP="00F326E5">
      <w:pPr>
        <w:rPr>
          <w:rFonts w:ascii="Arial Black" w:hAnsi="Arial Black"/>
          <w:b/>
          <w:sz w:val="24"/>
          <w:szCs w:val="24"/>
        </w:rPr>
      </w:pPr>
      <w:r w:rsidRPr="00791CA3">
        <w:rPr>
          <w:rFonts w:ascii="Arial Black" w:hAnsi="Arial Black"/>
          <w:b/>
          <w:sz w:val="24"/>
          <w:szCs w:val="24"/>
        </w:rPr>
        <w:t>1-3</w:t>
      </w:r>
    </w:p>
    <w:p w14:paraId="33577FE4" w14:textId="39E09107" w:rsidR="00F326E5" w:rsidRPr="0026507F" w:rsidRDefault="00F326E5" w:rsidP="00F326E5">
      <w:pPr>
        <w:rPr>
          <w:rFonts w:ascii="Times New Roman" w:hAnsi="Times New Roman"/>
          <w:b/>
          <w:color w:val="4A4A4A"/>
          <w:sz w:val="24"/>
          <w:szCs w:val="24"/>
          <w:lang w:val="en"/>
        </w:rPr>
      </w:pPr>
      <w:bookmarkStart w:id="87" w:name="_Hlk515041397"/>
      <w:bookmarkStart w:id="88" w:name="_Hlk6659978"/>
      <w:r w:rsidRPr="00B87096">
        <w:rPr>
          <w:rFonts w:ascii="Arial Black" w:hAnsi="Arial Black"/>
          <w:color w:val="4A4A4A"/>
          <w:sz w:val="28"/>
          <w:szCs w:val="28"/>
          <w:lang w:val="en"/>
        </w:rPr>
        <w:lastRenderedPageBreak/>
        <w:t>U.S. SUPREME COURT</w:t>
      </w:r>
      <w:r>
        <w:rPr>
          <w:rFonts w:ascii="Arial Black" w:hAnsi="Arial Black"/>
          <w:color w:val="4A4A4A"/>
          <w:sz w:val="28"/>
          <w:szCs w:val="28"/>
          <w:lang w:val="en"/>
        </w:rPr>
        <w:t xml:space="preserve">: LANDMARK DECISION ON </w:t>
      </w:r>
      <w:r w:rsidRPr="00B87096">
        <w:rPr>
          <w:rFonts w:ascii="Arial Black" w:hAnsi="Arial Black"/>
          <w:color w:val="4A4A4A"/>
          <w:sz w:val="28"/>
          <w:szCs w:val="28"/>
          <w:lang w:val="en"/>
        </w:rPr>
        <w:t>QUALIFIED IMMUNITY</w:t>
      </w:r>
      <w:r>
        <w:rPr>
          <w:rFonts w:ascii="Arial Black" w:hAnsi="Arial Black"/>
          <w:color w:val="4A4A4A"/>
          <w:sz w:val="28"/>
          <w:szCs w:val="28"/>
          <w:lang w:val="en"/>
        </w:rPr>
        <w:t xml:space="preserve"> – ONLY IF CLEAR CONSTIT. VIOL. </w:t>
      </w:r>
      <w:r>
        <w:rPr>
          <w:rFonts w:ascii="Times New Roman" w:hAnsi="Times New Roman"/>
          <w:color w:val="4A4A4A"/>
          <w:sz w:val="24"/>
          <w:szCs w:val="24"/>
          <w:lang w:val="en"/>
        </w:rPr>
        <w:t>[also filed, Chap. 2]</w:t>
      </w:r>
    </w:p>
    <w:bookmarkEnd w:id="87"/>
    <w:p w14:paraId="33750B5C" w14:textId="77777777" w:rsidR="00637A12" w:rsidRDefault="00F326E5" w:rsidP="00F326E5">
      <w:pPr>
        <w:pStyle w:val="NoSpacing"/>
        <w:rPr>
          <w:rFonts w:ascii="Times New Roman" w:hAnsi="Times New Roman"/>
          <w:sz w:val="24"/>
          <w:szCs w:val="24"/>
          <w:lang w:val="en"/>
        </w:rPr>
      </w:pPr>
      <w:r w:rsidRPr="00015208">
        <w:rPr>
          <w:rFonts w:ascii="Times New Roman" w:hAnsi="Times New Roman"/>
          <w:sz w:val="24"/>
          <w:szCs w:val="24"/>
          <w:lang w:val="en"/>
        </w:rPr>
        <w:t xml:space="preserve">On April 2, 2018, in </w:t>
      </w:r>
      <w:r w:rsidRPr="00015208">
        <w:rPr>
          <w:rFonts w:ascii="Times New Roman" w:hAnsi="Times New Roman"/>
          <w:sz w:val="24"/>
          <w:szCs w:val="24"/>
          <w:u w:val="single"/>
          <w:lang w:val="en"/>
        </w:rPr>
        <w:t>Andrew Kisela v. Amy Hughes</w:t>
      </w:r>
      <w:r w:rsidRPr="00015208">
        <w:rPr>
          <w:rFonts w:ascii="Times New Roman" w:hAnsi="Times New Roman"/>
          <w:sz w:val="24"/>
          <w:szCs w:val="24"/>
          <w:lang w:val="en"/>
        </w:rPr>
        <w:t>, the U.S. Supreme Court reversed the 9</w:t>
      </w:r>
      <w:r w:rsidRPr="00015208">
        <w:rPr>
          <w:rFonts w:ascii="Times New Roman" w:hAnsi="Times New Roman"/>
          <w:sz w:val="24"/>
          <w:szCs w:val="24"/>
          <w:vertAlign w:val="superscript"/>
          <w:lang w:val="en"/>
        </w:rPr>
        <w:t>th</w:t>
      </w:r>
      <w:r w:rsidRPr="00015208">
        <w:rPr>
          <w:rFonts w:ascii="Times New Roman" w:hAnsi="Times New Roman"/>
          <w:sz w:val="24"/>
          <w:szCs w:val="24"/>
          <w:lang w:val="en"/>
        </w:rPr>
        <w:t xml:space="preserve"> Circuit and held (7 to 2) the police officer who shot Amy Hughes should have been dismissed from the lawsuit: </w:t>
      </w:r>
    </w:p>
    <w:p w14:paraId="6A2376BB" w14:textId="77777777" w:rsidR="00637A12" w:rsidRDefault="00637A12" w:rsidP="00F326E5">
      <w:pPr>
        <w:pStyle w:val="NoSpacing"/>
        <w:rPr>
          <w:rFonts w:ascii="Times New Roman" w:hAnsi="Times New Roman"/>
          <w:sz w:val="24"/>
          <w:szCs w:val="24"/>
          <w:lang w:val="en"/>
        </w:rPr>
      </w:pPr>
    </w:p>
    <w:p w14:paraId="3ED20ECB" w14:textId="2C418F4E" w:rsidR="00F326E5" w:rsidRPr="00015208" w:rsidRDefault="00F326E5" w:rsidP="00637A12">
      <w:pPr>
        <w:pStyle w:val="NoSpacing"/>
        <w:ind w:left="720"/>
        <w:rPr>
          <w:rFonts w:ascii="Times New Roman" w:hAnsi="Times New Roman"/>
          <w:b/>
          <w:sz w:val="24"/>
          <w:szCs w:val="24"/>
        </w:rPr>
      </w:pPr>
      <w:r w:rsidRPr="00015208">
        <w:rPr>
          <w:rFonts w:ascii="Times New Roman" w:hAnsi="Times New Roman"/>
          <w:sz w:val="24"/>
          <w:szCs w:val="24"/>
          <w:lang w:val="en"/>
        </w:rPr>
        <w:t>“Here, the Court need not, and does not, decide whether Kisela violated the Fourth Amendment when he used deadly force against Hughes.  For even assuming a Fourth Amendment violation occurred—a proposition that is not at all evident—on these facts Kisela was at least entitled to qualified immunity. Qualified immunity attaches when an official’s conduct does not violate clearly established statutory or constitutional rights of which a reasonable person would have known.”</w:t>
      </w:r>
      <w:r w:rsidRPr="00015208">
        <w:rPr>
          <w:rFonts w:ascii="Times New Roman" w:hAnsi="Times New Roman"/>
          <w:b/>
          <w:sz w:val="24"/>
          <w:szCs w:val="24"/>
        </w:rPr>
        <w:t xml:space="preserve"> </w:t>
      </w:r>
    </w:p>
    <w:p w14:paraId="1B8E47BB" w14:textId="3463FD99" w:rsidR="00F326E5" w:rsidRPr="00015208" w:rsidRDefault="00637A12" w:rsidP="00637A12">
      <w:pPr>
        <w:pStyle w:val="NoSpacing"/>
        <w:ind w:firstLine="720"/>
        <w:rPr>
          <w:rStyle w:val="Hyperlink"/>
          <w:rFonts w:ascii="Times New Roman" w:hAnsi="Times New Roman"/>
          <w:sz w:val="24"/>
          <w:szCs w:val="24"/>
          <w:lang w:val="en"/>
        </w:rPr>
      </w:pPr>
      <w:hyperlink r:id="rId380" w:history="1">
        <w:r w:rsidRPr="002F304C">
          <w:rPr>
            <w:rStyle w:val="Hyperlink"/>
            <w:rFonts w:ascii="Times New Roman" w:hAnsi="Times New Roman"/>
            <w:sz w:val="24"/>
            <w:szCs w:val="24"/>
            <w:lang w:val="en"/>
          </w:rPr>
          <w:t>https://supreme.justia.com/cases/federal/us/584/17-467/</w:t>
        </w:r>
      </w:hyperlink>
      <w:r w:rsidR="00F326E5" w:rsidRPr="00015208">
        <w:rPr>
          <w:rStyle w:val="Hyperlink"/>
          <w:rFonts w:ascii="Times New Roman" w:hAnsi="Times New Roman"/>
          <w:sz w:val="24"/>
          <w:szCs w:val="24"/>
          <w:lang w:val="en"/>
        </w:rPr>
        <w:t xml:space="preserve"> </w:t>
      </w:r>
    </w:p>
    <w:p w14:paraId="7AA0F70E" w14:textId="77777777" w:rsidR="00637A12" w:rsidRDefault="00637A12" w:rsidP="00F326E5">
      <w:pPr>
        <w:rPr>
          <w:rFonts w:ascii="Times New Roman" w:hAnsi="Times New Roman"/>
          <w:b/>
          <w:sz w:val="24"/>
          <w:szCs w:val="24"/>
          <w:lang w:val="en"/>
        </w:rPr>
      </w:pPr>
    </w:p>
    <w:p w14:paraId="3C629D70" w14:textId="7B049A50" w:rsidR="00F326E5" w:rsidRPr="00015208" w:rsidRDefault="00F326E5" w:rsidP="00F326E5">
      <w:pPr>
        <w:rPr>
          <w:rFonts w:ascii="Times New Roman" w:hAnsi="Times New Roman"/>
          <w:b/>
          <w:sz w:val="24"/>
          <w:szCs w:val="24"/>
          <w:lang w:val="en"/>
        </w:rPr>
      </w:pPr>
      <w:r w:rsidRPr="00015208">
        <w:rPr>
          <w:rFonts w:ascii="Times New Roman" w:hAnsi="Times New Roman"/>
          <w:b/>
          <w:sz w:val="24"/>
          <w:szCs w:val="24"/>
          <w:lang w:val="en"/>
        </w:rPr>
        <w:t xml:space="preserve">Legal Lessons Learned:  Justices sent a message that qualified immunity protects police officers from personal liability unless conduct clearly unjustified.  </w:t>
      </w:r>
    </w:p>
    <w:p w14:paraId="2E3E969F" w14:textId="77777777" w:rsidR="00F326E5" w:rsidRPr="00015208" w:rsidRDefault="00F326E5" w:rsidP="00F326E5">
      <w:pPr>
        <w:ind w:left="720"/>
        <w:rPr>
          <w:rFonts w:ascii="Times New Roman" w:hAnsi="Times New Roman"/>
          <w:b/>
          <w:color w:val="4A4A4A"/>
          <w:sz w:val="24"/>
          <w:szCs w:val="24"/>
          <w:lang w:val="en"/>
        </w:rPr>
      </w:pPr>
      <w:r w:rsidRPr="00015208">
        <w:rPr>
          <w:rFonts w:ascii="Times New Roman" w:hAnsi="Times New Roman"/>
          <w:color w:val="4A4A4A"/>
          <w:sz w:val="24"/>
          <w:szCs w:val="24"/>
          <w:lang w:val="en"/>
        </w:rPr>
        <w:t>See New York Times article on this decision: “</w:t>
      </w:r>
      <w:r w:rsidRPr="00015208">
        <w:rPr>
          <w:rFonts w:ascii="Times New Roman" w:hAnsi="Times New Roman"/>
          <w:sz w:val="24"/>
          <w:szCs w:val="24"/>
          <w:lang w:val="en"/>
        </w:rPr>
        <w:t>The court’s decision was unsigned and issued without full briefing and oral argument, an indication that the majority found the case to be easy.”</w:t>
      </w:r>
      <w:r w:rsidRPr="00015208">
        <w:rPr>
          <w:rFonts w:ascii="Times New Roman" w:hAnsi="Times New Roman"/>
          <w:color w:val="4A4A4A"/>
          <w:sz w:val="24"/>
          <w:szCs w:val="24"/>
          <w:lang w:val="en"/>
        </w:rPr>
        <w:t xml:space="preserve"> </w:t>
      </w:r>
      <w:hyperlink r:id="rId381" w:history="1">
        <w:r w:rsidRPr="00015208">
          <w:rPr>
            <w:rStyle w:val="Hyperlink"/>
            <w:rFonts w:ascii="Times New Roman" w:hAnsi="Times New Roman"/>
            <w:sz w:val="24"/>
            <w:szCs w:val="24"/>
            <w:lang w:val="en"/>
          </w:rPr>
          <w:t>https://www.nytimes.com/2018/04/02/us/politics/supreme-court-rules-for-police-officer-in-excessive-force-case.html</w:t>
        </w:r>
      </w:hyperlink>
      <w:r w:rsidRPr="00015208">
        <w:rPr>
          <w:rFonts w:ascii="Times New Roman" w:hAnsi="Times New Roman"/>
          <w:b/>
          <w:color w:val="4A4A4A"/>
          <w:sz w:val="24"/>
          <w:szCs w:val="24"/>
          <w:lang w:val="en"/>
        </w:rPr>
        <w:t xml:space="preserve"> “</w:t>
      </w:r>
    </w:p>
    <w:bookmarkEnd w:id="88"/>
    <w:p w14:paraId="32252FCC" w14:textId="77777777" w:rsidR="00F326E5" w:rsidRPr="008F54C5" w:rsidRDefault="00F326E5" w:rsidP="00F326E5">
      <w:pPr>
        <w:pStyle w:val="NoSpacing"/>
        <w:rPr>
          <w:rFonts w:ascii="Arial Black" w:hAnsi="Arial Black"/>
          <w:b/>
          <w:sz w:val="24"/>
          <w:szCs w:val="24"/>
        </w:rPr>
      </w:pPr>
    </w:p>
    <w:p w14:paraId="57A77D60" w14:textId="0149C388" w:rsidR="00F326E5" w:rsidRPr="00791CA3" w:rsidRDefault="00791CA3" w:rsidP="00F326E5">
      <w:pPr>
        <w:pStyle w:val="NoSpacing"/>
        <w:rPr>
          <w:rFonts w:ascii="Arial Black" w:hAnsi="Arial Black"/>
          <w:sz w:val="24"/>
          <w:szCs w:val="24"/>
        </w:rPr>
      </w:pPr>
      <w:r w:rsidRPr="00791CA3">
        <w:rPr>
          <w:rFonts w:ascii="Arial Black" w:hAnsi="Arial Black"/>
          <w:sz w:val="24"/>
          <w:szCs w:val="24"/>
        </w:rPr>
        <w:t>1-2</w:t>
      </w:r>
    </w:p>
    <w:p w14:paraId="05DED64E" w14:textId="77777777" w:rsidR="00791CA3" w:rsidRDefault="00791CA3" w:rsidP="00F326E5">
      <w:pPr>
        <w:pStyle w:val="NoSpacing"/>
        <w:rPr>
          <w:sz w:val="24"/>
          <w:szCs w:val="24"/>
        </w:rPr>
      </w:pPr>
    </w:p>
    <w:p w14:paraId="4F81A4AA" w14:textId="77289840" w:rsidR="00F326E5" w:rsidRPr="009213BD" w:rsidRDefault="00F326E5" w:rsidP="00F326E5">
      <w:pPr>
        <w:pStyle w:val="NoSpacing"/>
        <w:rPr>
          <w:sz w:val="28"/>
          <w:szCs w:val="28"/>
        </w:rPr>
      </w:pPr>
      <w:bookmarkStart w:id="89" w:name="_Hlk7340402"/>
      <w:r>
        <w:rPr>
          <w:rFonts w:ascii="Arial Black" w:hAnsi="Arial Black"/>
          <w:sz w:val="28"/>
          <w:szCs w:val="28"/>
        </w:rPr>
        <w:t>TX: M</w:t>
      </w:r>
      <w:r w:rsidRPr="009213BD">
        <w:rPr>
          <w:rFonts w:ascii="Arial Black" w:hAnsi="Arial Black"/>
          <w:sz w:val="28"/>
          <w:szCs w:val="28"/>
        </w:rPr>
        <w:t>URDER TRIAL FOR KILLING A POLICE OFFICER –</w:t>
      </w:r>
      <w:r>
        <w:rPr>
          <w:rFonts w:ascii="Arial Black" w:hAnsi="Arial Black"/>
          <w:sz w:val="28"/>
          <w:szCs w:val="28"/>
        </w:rPr>
        <w:t xml:space="preserve"> POLICE MAY ATTEND TRIAL IN </w:t>
      </w:r>
      <w:r w:rsidRPr="009213BD">
        <w:rPr>
          <w:rFonts w:ascii="Arial Black" w:hAnsi="Arial Black"/>
          <w:sz w:val="28"/>
          <w:szCs w:val="28"/>
        </w:rPr>
        <w:t>UNIFORM</w:t>
      </w:r>
    </w:p>
    <w:p w14:paraId="13E003AF" w14:textId="77777777" w:rsidR="00637A12" w:rsidRDefault="00F326E5" w:rsidP="00F326E5">
      <w:pPr>
        <w:rPr>
          <w:rFonts w:ascii="Times New Roman" w:hAnsi="Times New Roman"/>
          <w:color w:val="4A4A4A"/>
          <w:sz w:val="24"/>
          <w:szCs w:val="24"/>
          <w:lang w:val="en"/>
        </w:rPr>
      </w:pPr>
      <w:r w:rsidRPr="00015208">
        <w:rPr>
          <w:rFonts w:ascii="Times New Roman" w:hAnsi="Times New Roman"/>
          <w:color w:val="4A4A4A"/>
          <w:sz w:val="24"/>
          <w:szCs w:val="24"/>
          <w:lang w:val="en"/>
        </w:rPr>
        <w:t xml:space="preserve">On March 27, 2018, in </w:t>
      </w:r>
      <w:r w:rsidRPr="00015208">
        <w:rPr>
          <w:rFonts w:ascii="Times New Roman" w:hAnsi="Times New Roman"/>
          <w:color w:val="4A4A4A"/>
          <w:sz w:val="24"/>
          <w:szCs w:val="24"/>
          <w:u w:val="single"/>
          <w:lang w:val="en"/>
        </w:rPr>
        <w:t xml:space="preserve">Shelton </w:t>
      </w:r>
      <w:proofErr w:type="spellStart"/>
      <w:r w:rsidRPr="00015208">
        <w:rPr>
          <w:rFonts w:ascii="Times New Roman" w:hAnsi="Times New Roman"/>
          <w:color w:val="4A4A4A"/>
          <w:sz w:val="24"/>
          <w:szCs w:val="24"/>
          <w:u w:val="single"/>
          <w:lang w:val="en"/>
        </w:rPr>
        <w:t>Denoria</w:t>
      </w:r>
      <w:proofErr w:type="spellEnd"/>
      <w:r w:rsidRPr="00015208">
        <w:rPr>
          <w:rFonts w:ascii="Times New Roman" w:hAnsi="Times New Roman"/>
          <w:color w:val="4A4A4A"/>
          <w:sz w:val="24"/>
          <w:szCs w:val="24"/>
          <w:u w:val="single"/>
          <w:lang w:val="en"/>
        </w:rPr>
        <w:t xml:space="preserve"> Jones v. Lorie Davis, Director, Texas Department of Criminal Justice</w:t>
      </w:r>
      <w:r w:rsidRPr="00015208">
        <w:rPr>
          <w:rFonts w:ascii="Times New Roman" w:hAnsi="Times New Roman"/>
          <w:color w:val="4A4A4A"/>
          <w:sz w:val="24"/>
          <w:szCs w:val="24"/>
          <w:lang w:val="en"/>
        </w:rPr>
        <w:t>, the U.S. Court of Appeals for 5</w:t>
      </w:r>
      <w:r w:rsidRPr="00015208">
        <w:rPr>
          <w:rFonts w:ascii="Times New Roman" w:hAnsi="Times New Roman"/>
          <w:color w:val="4A4A4A"/>
          <w:sz w:val="24"/>
          <w:szCs w:val="24"/>
          <w:vertAlign w:val="superscript"/>
          <w:lang w:val="en"/>
        </w:rPr>
        <w:t>th</w:t>
      </w:r>
      <w:r w:rsidRPr="00015208">
        <w:rPr>
          <w:rFonts w:ascii="Times New Roman" w:hAnsi="Times New Roman"/>
          <w:color w:val="4A4A4A"/>
          <w:sz w:val="24"/>
          <w:szCs w:val="24"/>
          <w:lang w:val="en"/>
        </w:rPr>
        <w:t xml:space="preserve"> Circuit, held (3 to 0) that the defendant was not deprived of a fair trial in state court: </w:t>
      </w:r>
    </w:p>
    <w:p w14:paraId="3B96F0F7" w14:textId="54B9FF0F" w:rsidR="00F326E5" w:rsidRPr="00015208" w:rsidRDefault="00F326E5" w:rsidP="00637A12">
      <w:pPr>
        <w:ind w:left="720"/>
        <w:rPr>
          <w:rFonts w:ascii="Times New Roman" w:hAnsi="Times New Roman"/>
          <w:color w:val="4A4A4A"/>
          <w:sz w:val="24"/>
          <w:szCs w:val="24"/>
          <w:lang w:val="en"/>
        </w:rPr>
      </w:pPr>
      <w:r w:rsidRPr="00015208">
        <w:rPr>
          <w:rFonts w:ascii="Times New Roman" w:hAnsi="Times New Roman"/>
          <w:color w:val="4A4A4A"/>
          <w:sz w:val="24"/>
          <w:szCs w:val="24"/>
          <w:lang w:val="en"/>
        </w:rPr>
        <w:t>“</w:t>
      </w:r>
      <w:proofErr w:type="gramStart"/>
      <w:r w:rsidRPr="00015208">
        <w:rPr>
          <w:rFonts w:ascii="Times New Roman" w:hAnsi="Times New Roman"/>
          <w:color w:val="4A4A4A"/>
          <w:sz w:val="24"/>
          <w:szCs w:val="24"/>
          <w:lang w:val="en"/>
        </w:rPr>
        <w:t>the</w:t>
      </w:r>
      <w:proofErr w:type="gramEnd"/>
      <w:r w:rsidRPr="00015208">
        <w:rPr>
          <w:rFonts w:ascii="Times New Roman" w:hAnsi="Times New Roman"/>
          <w:color w:val="4A4A4A"/>
          <w:sz w:val="24"/>
          <w:szCs w:val="24"/>
          <w:lang w:val="en"/>
        </w:rPr>
        <w:t xml:space="preserve"> record before us does not suggest the police presence intimidated the jury or disrupted the factfinding process in any way.” </w:t>
      </w:r>
      <w:hyperlink r:id="rId382" w:history="1">
        <w:r w:rsidRPr="00015208">
          <w:rPr>
            <w:rStyle w:val="Hyperlink"/>
            <w:rFonts w:ascii="Times New Roman" w:hAnsi="Times New Roman"/>
            <w:sz w:val="24"/>
            <w:szCs w:val="24"/>
            <w:lang w:val="en"/>
          </w:rPr>
          <w:t>file:///C:/Users/lawre/AppData/Local/Microsoft/Windows/INetCache/IE/XO250S7T/15-70040-CV0.pdf</w:t>
        </w:r>
      </w:hyperlink>
      <w:r w:rsidRPr="00015208">
        <w:rPr>
          <w:rFonts w:ascii="Times New Roman" w:hAnsi="Times New Roman"/>
          <w:color w:val="4A4A4A"/>
          <w:sz w:val="24"/>
          <w:szCs w:val="24"/>
          <w:lang w:val="en"/>
        </w:rPr>
        <w:t xml:space="preserve"> </w:t>
      </w:r>
    </w:p>
    <w:p w14:paraId="28A6FA17" w14:textId="77777777" w:rsidR="00F326E5" w:rsidRPr="00637A12" w:rsidRDefault="00F326E5" w:rsidP="00637A12">
      <w:pPr>
        <w:pStyle w:val="NoSpacing"/>
        <w:rPr>
          <w:rFonts w:ascii="Times New Roman" w:hAnsi="Times New Roman"/>
          <w:b/>
          <w:bCs/>
          <w:sz w:val="24"/>
          <w:szCs w:val="24"/>
          <w:lang w:val="en"/>
        </w:rPr>
      </w:pPr>
      <w:r w:rsidRPr="00637A12">
        <w:rPr>
          <w:rFonts w:ascii="Times New Roman" w:hAnsi="Times New Roman"/>
          <w:b/>
          <w:bCs/>
          <w:sz w:val="24"/>
          <w:szCs w:val="24"/>
          <w:lang w:val="en"/>
        </w:rPr>
        <w:t xml:space="preserve">LEGAL LESSONS LEARNED:  Helpful decision – no evidence of jury intimidation by having emergency responders in uniform, watching a jury trial.  Before showing up in uniform, please discuss with your Chief and the prosecutor, who may want to review with trial judge, prior to start of trial. </w:t>
      </w:r>
    </w:p>
    <w:bookmarkEnd w:id="89"/>
    <w:p w14:paraId="71B3B905" w14:textId="13F9FF68" w:rsidR="00791CA3" w:rsidRDefault="00791CA3" w:rsidP="00F326E5">
      <w:pPr>
        <w:rPr>
          <w:rFonts w:ascii="Arial Black" w:hAnsi="Arial Black"/>
          <w:sz w:val="24"/>
          <w:szCs w:val="24"/>
        </w:rPr>
      </w:pPr>
    </w:p>
    <w:p w14:paraId="78C80069" w14:textId="77777777" w:rsidR="00637A12" w:rsidRPr="00791CA3" w:rsidRDefault="00637A12" w:rsidP="00F326E5">
      <w:pPr>
        <w:rPr>
          <w:rFonts w:ascii="Arial Black" w:hAnsi="Arial Black"/>
          <w:sz w:val="24"/>
          <w:szCs w:val="24"/>
        </w:rPr>
      </w:pPr>
    </w:p>
    <w:p w14:paraId="28D50D56" w14:textId="26D5C357" w:rsidR="00F326E5" w:rsidRPr="00791CA3" w:rsidRDefault="00791CA3" w:rsidP="00F326E5">
      <w:pPr>
        <w:rPr>
          <w:rFonts w:ascii="Arial Black" w:hAnsi="Arial Black"/>
          <w:sz w:val="24"/>
          <w:szCs w:val="24"/>
        </w:rPr>
      </w:pPr>
      <w:r w:rsidRPr="00791CA3">
        <w:rPr>
          <w:rFonts w:ascii="Arial Black" w:hAnsi="Arial Black"/>
          <w:sz w:val="24"/>
          <w:szCs w:val="24"/>
        </w:rPr>
        <w:t>1-1</w:t>
      </w:r>
    </w:p>
    <w:p w14:paraId="106D72F0" w14:textId="6B65BFDD" w:rsidR="00F326E5" w:rsidRPr="00586D43" w:rsidRDefault="00F326E5" w:rsidP="00F326E5">
      <w:pPr>
        <w:pStyle w:val="NoSpacing"/>
        <w:rPr>
          <w:sz w:val="24"/>
          <w:szCs w:val="24"/>
        </w:rPr>
      </w:pPr>
      <w:bookmarkStart w:id="90" w:name="_Hlk7340446"/>
      <w:r w:rsidRPr="009213BD">
        <w:rPr>
          <w:rFonts w:ascii="Arial Black" w:hAnsi="Arial Black" w:cs="Arial"/>
          <w:sz w:val="28"/>
          <w:szCs w:val="28"/>
        </w:rPr>
        <w:t xml:space="preserve">IL: DEPUTY FIRE CHIEF FIRED </w:t>
      </w:r>
      <w:r>
        <w:rPr>
          <w:rFonts w:ascii="Arial Black" w:hAnsi="Arial Black" w:cs="Arial"/>
          <w:sz w:val="28"/>
          <w:szCs w:val="28"/>
        </w:rPr>
        <w:t xml:space="preserve">- </w:t>
      </w:r>
      <w:r w:rsidRPr="009213BD">
        <w:rPr>
          <w:rFonts w:ascii="Arial Black" w:hAnsi="Arial Black" w:cs="Arial"/>
          <w:sz w:val="28"/>
          <w:szCs w:val="28"/>
        </w:rPr>
        <w:t xml:space="preserve">WARNED ABOUT “POLITICAL COMMENTARY” ON FACEBOOK </w:t>
      </w:r>
      <w:r w:rsidRPr="00586D43">
        <w:rPr>
          <w:sz w:val="24"/>
          <w:szCs w:val="24"/>
        </w:rPr>
        <w:t>[also filed, Chap. 16]</w:t>
      </w:r>
    </w:p>
    <w:p w14:paraId="142B050B" w14:textId="77777777" w:rsidR="00637A12" w:rsidRDefault="00F326E5" w:rsidP="00F326E5">
      <w:pPr>
        <w:pStyle w:val="NoSpacing"/>
        <w:rPr>
          <w:rFonts w:ascii="Times New Roman" w:hAnsi="Times New Roman"/>
          <w:sz w:val="24"/>
          <w:szCs w:val="24"/>
        </w:rPr>
      </w:pPr>
      <w:r w:rsidRPr="00015208">
        <w:rPr>
          <w:rFonts w:ascii="Times New Roman" w:hAnsi="Times New Roman"/>
          <w:sz w:val="24"/>
          <w:szCs w:val="24"/>
        </w:rPr>
        <w:lastRenderedPageBreak/>
        <w:t xml:space="preserve">On Jan. 11, 2018, in Richard Banske v. City of Calumet City, U.S. District Court, Northern District of Illinois (Case No. 17C5263), Judge Harry D. </w:t>
      </w:r>
      <w:proofErr w:type="spellStart"/>
      <w:r w:rsidRPr="00015208">
        <w:rPr>
          <w:rFonts w:ascii="Times New Roman" w:hAnsi="Times New Roman"/>
          <w:sz w:val="24"/>
          <w:szCs w:val="24"/>
        </w:rPr>
        <w:t>Leinenweber</w:t>
      </w:r>
      <w:proofErr w:type="spellEnd"/>
      <w:r w:rsidRPr="00015208">
        <w:rPr>
          <w:rFonts w:ascii="Times New Roman" w:hAnsi="Times New Roman"/>
          <w:sz w:val="24"/>
          <w:szCs w:val="24"/>
        </w:rPr>
        <w:t xml:space="preserve"> granted City’s motion to dismiss. </w:t>
      </w:r>
    </w:p>
    <w:p w14:paraId="66957803" w14:textId="77777777" w:rsidR="00637A12" w:rsidRDefault="00637A12" w:rsidP="00F326E5">
      <w:pPr>
        <w:pStyle w:val="NoSpacing"/>
        <w:rPr>
          <w:rFonts w:ascii="Times New Roman" w:hAnsi="Times New Roman"/>
          <w:sz w:val="24"/>
          <w:szCs w:val="24"/>
        </w:rPr>
      </w:pPr>
    </w:p>
    <w:p w14:paraId="51DF1ABB" w14:textId="516D3BA1" w:rsidR="00F326E5" w:rsidRPr="00015208" w:rsidRDefault="00F326E5" w:rsidP="00637A12">
      <w:pPr>
        <w:pStyle w:val="NoSpacing"/>
        <w:ind w:left="720"/>
        <w:rPr>
          <w:rFonts w:ascii="Times New Roman" w:hAnsi="Times New Roman"/>
          <w:sz w:val="24"/>
          <w:szCs w:val="24"/>
        </w:rPr>
      </w:pPr>
      <w:r w:rsidRPr="00015208">
        <w:rPr>
          <w:rFonts w:ascii="Times New Roman" w:hAnsi="Times New Roman"/>
          <w:sz w:val="24"/>
          <w:szCs w:val="24"/>
        </w:rPr>
        <w:t xml:space="preserve">“[A] policymaking employee may be discharged ‘when that individual has engaged in speech on a matter of public concern in a manner that is critical of superiors or their stated </w:t>
      </w:r>
      <w:proofErr w:type="spellStart"/>
      <w:r w:rsidRPr="00015208">
        <w:rPr>
          <w:rFonts w:ascii="Times New Roman" w:hAnsi="Times New Roman"/>
          <w:sz w:val="24"/>
          <w:szCs w:val="24"/>
        </w:rPr>
        <w:t>policies.’Hagan</w:t>
      </w:r>
      <w:proofErr w:type="spellEnd"/>
      <w:r w:rsidRPr="00015208">
        <w:rPr>
          <w:rFonts w:ascii="Times New Roman" w:hAnsi="Times New Roman"/>
          <w:sz w:val="24"/>
          <w:szCs w:val="24"/>
        </w:rPr>
        <w:t xml:space="preserve">, 867 F.3d at 826 (quoting Kiddy-Brown v. Blagojevich, 408 F.3d 346, 358 (7th Cir. 2005)). *** Without well pled factual allegations, the Court is left to guess whether </w:t>
      </w:r>
      <w:proofErr w:type="spellStart"/>
      <w:r w:rsidRPr="00015208">
        <w:rPr>
          <w:rFonts w:ascii="Times New Roman" w:hAnsi="Times New Roman"/>
          <w:sz w:val="24"/>
          <w:szCs w:val="24"/>
        </w:rPr>
        <w:t>Banske's</w:t>
      </w:r>
      <w:proofErr w:type="spellEnd"/>
      <w:r w:rsidRPr="00015208">
        <w:rPr>
          <w:rFonts w:ascii="Times New Roman" w:hAnsi="Times New Roman"/>
          <w:sz w:val="24"/>
          <w:szCs w:val="24"/>
        </w:rPr>
        <w:t xml:space="preserve"> at-issue speech touches upon a subject of public concern. This the Court will not do. The Complaint fails to establish that </w:t>
      </w:r>
      <w:proofErr w:type="spellStart"/>
      <w:r w:rsidRPr="00015208">
        <w:rPr>
          <w:rFonts w:ascii="Times New Roman" w:hAnsi="Times New Roman"/>
          <w:sz w:val="24"/>
          <w:szCs w:val="24"/>
        </w:rPr>
        <w:t>Banske</w:t>
      </w:r>
      <w:proofErr w:type="spellEnd"/>
      <w:r w:rsidRPr="00015208">
        <w:rPr>
          <w:rFonts w:ascii="Times New Roman" w:hAnsi="Times New Roman"/>
          <w:sz w:val="24"/>
          <w:szCs w:val="24"/>
        </w:rPr>
        <w:t xml:space="preserve"> engaged in constitutionally protected speech, so it fails to state a claim upon which relief may be granted.” </w:t>
      </w:r>
    </w:p>
    <w:p w14:paraId="771164F4" w14:textId="32F50D58" w:rsidR="00F326E5" w:rsidRDefault="00637A12" w:rsidP="00637A12">
      <w:pPr>
        <w:pStyle w:val="NoSpacing"/>
        <w:ind w:firstLine="720"/>
        <w:rPr>
          <w:rFonts w:ascii="Times New Roman" w:hAnsi="Times New Roman"/>
          <w:sz w:val="24"/>
          <w:szCs w:val="24"/>
        </w:rPr>
      </w:pPr>
      <w:hyperlink r:id="rId383" w:history="1">
        <w:r w:rsidRPr="002F304C">
          <w:rPr>
            <w:rStyle w:val="Hyperlink"/>
            <w:rFonts w:ascii="Times New Roman" w:hAnsi="Times New Roman"/>
            <w:sz w:val="24"/>
            <w:szCs w:val="24"/>
          </w:rPr>
          <w:t>https://casetext.com/case/banske-v-city-of-calumet-city</w:t>
        </w:r>
      </w:hyperlink>
      <w:r w:rsidR="00F326E5" w:rsidRPr="00015208">
        <w:rPr>
          <w:rFonts w:ascii="Times New Roman" w:hAnsi="Times New Roman"/>
          <w:sz w:val="24"/>
          <w:szCs w:val="24"/>
        </w:rPr>
        <w:t xml:space="preserve"> </w:t>
      </w:r>
    </w:p>
    <w:p w14:paraId="7E0DB95D" w14:textId="77777777" w:rsidR="00637A12" w:rsidRPr="00015208" w:rsidRDefault="00637A12" w:rsidP="00637A12">
      <w:pPr>
        <w:pStyle w:val="NoSpacing"/>
        <w:ind w:firstLine="720"/>
        <w:rPr>
          <w:rFonts w:ascii="Times New Roman" w:hAnsi="Times New Roman"/>
          <w:sz w:val="24"/>
          <w:szCs w:val="24"/>
        </w:rPr>
      </w:pPr>
    </w:p>
    <w:p w14:paraId="715AC97E" w14:textId="77777777" w:rsidR="00F326E5" w:rsidRPr="00015208" w:rsidRDefault="00F326E5" w:rsidP="00F326E5">
      <w:pPr>
        <w:rPr>
          <w:rFonts w:ascii="Times New Roman" w:eastAsia="Times New Roman" w:hAnsi="Times New Roman"/>
          <w:sz w:val="24"/>
          <w:szCs w:val="24"/>
        </w:rPr>
      </w:pPr>
      <w:r w:rsidRPr="00015208">
        <w:rPr>
          <w:rFonts w:ascii="Times New Roman" w:eastAsia="Times New Roman" w:hAnsi="Times New Roman"/>
          <w:b/>
          <w:sz w:val="24"/>
          <w:szCs w:val="24"/>
        </w:rPr>
        <w:t>Legal Lessons Learned: Fire, EMS, police and other public employees have only limited First Amendment rights under the “balancing test” of U.S. Supreme Court’s decision in Pickering v. Board of Education, 391 U.S. 563 (1968).</w:t>
      </w:r>
    </w:p>
    <w:p w14:paraId="42F0D37F" w14:textId="77777777" w:rsidR="00F326E5" w:rsidRPr="00015208" w:rsidRDefault="00F326E5" w:rsidP="00F326E5">
      <w:pPr>
        <w:ind w:left="720"/>
        <w:rPr>
          <w:rFonts w:ascii="Times New Roman" w:hAnsi="Times New Roman"/>
          <w:sz w:val="24"/>
          <w:szCs w:val="24"/>
        </w:rPr>
      </w:pPr>
      <w:r w:rsidRPr="00015208">
        <w:rPr>
          <w:rFonts w:ascii="Times New Roman" w:eastAsia="Times New Roman" w:hAnsi="Times New Roman"/>
          <w:sz w:val="24"/>
          <w:szCs w:val="24"/>
        </w:rPr>
        <w:t xml:space="preserve">Pickering decision:  “Appellant Marvin L. Pickering, a teacher in Township High School District 205, Will County, Illinois, was dismissed from his position by the appellee Board of Education for sending a letter to a local newspaper in connection with a recently proposed tax increase that was critical of the way in which the Board and the district superintendent of schools had handled past proposals to raise new revenue for the schools. *** In sum, we hold that, in a case such as this, absent proof of false statements knowingly or recklessly made by him, a teacher's exercise of his right to speak on issues of public importance may not furnish the basis for his dismissal from public employment. *** Footnote 3: It is possible to conceive of some positions in public employment in which the need for confidentiality is so great that even completely correct public statements might furnish a permissible ground for dismissal.” </w:t>
      </w:r>
      <w:hyperlink r:id="rId384" w:history="1">
        <w:r w:rsidRPr="00015208">
          <w:rPr>
            <w:rStyle w:val="Hyperlink"/>
            <w:rFonts w:ascii="Times New Roman" w:hAnsi="Times New Roman"/>
            <w:sz w:val="24"/>
            <w:szCs w:val="24"/>
          </w:rPr>
          <w:t>https://supreme.justia.com/cases/federal/us/391/563/</w:t>
        </w:r>
      </w:hyperlink>
      <w:r w:rsidRPr="00015208">
        <w:rPr>
          <w:rFonts w:ascii="Times New Roman" w:eastAsia="Times New Roman" w:hAnsi="Times New Roman"/>
          <w:sz w:val="24"/>
          <w:szCs w:val="24"/>
        </w:rPr>
        <w:t xml:space="preserve"> </w:t>
      </w:r>
    </w:p>
    <w:p w14:paraId="2BEE7831" w14:textId="77777777" w:rsidR="00F326E5" w:rsidRDefault="00F326E5" w:rsidP="00F326E5">
      <w:pPr>
        <w:rPr>
          <w:rFonts w:ascii="Times New Roman" w:hAnsi="Times New Roman"/>
          <w:sz w:val="24"/>
          <w:szCs w:val="24"/>
        </w:rPr>
      </w:pPr>
    </w:p>
    <w:bookmarkEnd w:id="90"/>
    <w:p w14:paraId="7685CD75" w14:textId="77777777" w:rsidR="00F326E5" w:rsidRDefault="00F326E5" w:rsidP="00F326E5">
      <w:pPr>
        <w:rPr>
          <w:rFonts w:ascii="Arial Black" w:hAnsi="Arial Black"/>
          <w:sz w:val="40"/>
          <w:szCs w:val="40"/>
        </w:rPr>
      </w:pPr>
      <w:r>
        <w:rPr>
          <w:rFonts w:ascii="Arial Black" w:hAnsi="Arial Black"/>
          <w:sz w:val="40"/>
          <w:szCs w:val="40"/>
        </w:rPr>
        <w:br w:type="page"/>
      </w:r>
    </w:p>
    <w:p w14:paraId="062803A9" w14:textId="77777777" w:rsidR="00F326E5" w:rsidRDefault="00F326E5" w:rsidP="00F326E5">
      <w:pPr>
        <w:pStyle w:val="NoSpacing"/>
        <w:rPr>
          <w:rFonts w:ascii="Arial Black" w:hAnsi="Arial Black"/>
          <w:sz w:val="40"/>
          <w:szCs w:val="40"/>
        </w:rPr>
      </w:pPr>
    </w:p>
    <w:p w14:paraId="3F43366F" w14:textId="77777777" w:rsidR="008229A3" w:rsidRDefault="008229A3" w:rsidP="00F326E5">
      <w:pPr>
        <w:pStyle w:val="NoSpacing"/>
        <w:rPr>
          <w:rFonts w:ascii="Arial Black" w:hAnsi="Arial Black"/>
          <w:sz w:val="40"/>
          <w:szCs w:val="40"/>
        </w:rPr>
      </w:pPr>
    </w:p>
    <w:p w14:paraId="6933962B" w14:textId="77777777" w:rsidR="008229A3" w:rsidRDefault="008229A3" w:rsidP="00F326E5">
      <w:pPr>
        <w:pStyle w:val="NoSpacing"/>
        <w:rPr>
          <w:rFonts w:ascii="Arial Black" w:hAnsi="Arial Black"/>
          <w:sz w:val="40"/>
          <w:szCs w:val="40"/>
        </w:rPr>
      </w:pPr>
    </w:p>
    <w:p w14:paraId="6D470310" w14:textId="77777777" w:rsidR="008229A3" w:rsidRDefault="008229A3" w:rsidP="00F326E5">
      <w:pPr>
        <w:pStyle w:val="NoSpacing"/>
        <w:rPr>
          <w:rFonts w:ascii="Arial Black" w:hAnsi="Arial Black"/>
          <w:sz w:val="40"/>
          <w:szCs w:val="40"/>
        </w:rPr>
      </w:pPr>
    </w:p>
    <w:p w14:paraId="2E746334" w14:textId="77777777" w:rsidR="008229A3" w:rsidRDefault="008229A3" w:rsidP="00F326E5">
      <w:pPr>
        <w:pStyle w:val="NoSpacing"/>
        <w:rPr>
          <w:rFonts w:ascii="Arial Black" w:hAnsi="Arial Black"/>
          <w:sz w:val="40"/>
          <w:szCs w:val="40"/>
        </w:rPr>
      </w:pPr>
    </w:p>
    <w:p w14:paraId="4359DF0C" w14:textId="77777777" w:rsidR="008229A3" w:rsidRDefault="008229A3" w:rsidP="00F326E5">
      <w:pPr>
        <w:pStyle w:val="NoSpacing"/>
        <w:rPr>
          <w:rFonts w:ascii="Arial Black" w:hAnsi="Arial Black"/>
          <w:sz w:val="40"/>
          <w:szCs w:val="40"/>
        </w:rPr>
      </w:pPr>
    </w:p>
    <w:p w14:paraId="39EA27EE" w14:textId="77777777" w:rsidR="008229A3" w:rsidRDefault="008229A3" w:rsidP="00F326E5">
      <w:pPr>
        <w:pStyle w:val="NoSpacing"/>
        <w:rPr>
          <w:rFonts w:ascii="Arial Black" w:hAnsi="Arial Black"/>
          <w:sz w:val="40"/>
          <w:szCs w:val="40"/>
        </w:rPr>
      </w:pPr>
    </w:p>
    <w:p w14:paraId="1FDA0FD0" w14:textId="77777777" w:rsidR="008229A3" w:rsidRDefault="008229A3" w:rsidP="00F326E5">
      <w:pPr>
        <w:pStyle w:val="NoSpacing"/>
        <w:rPr>
          <w:rFonts w:ascii="Arial Black" w:hAnsi="Arial Black"/>
          <w:sz w:val="40"/>
          <w:szCs w:val="40"/>
        </w:rPr>
      </w:pPr>
    </w:p>
    <w:p w14:paraId="2D1EFE48" w14:textId="77777777" w:rsidR="008229A3" w:rsidRDefault="008229A3" w:rsidP="00F326E5">
      <w:pPr>
        <w:pStyle w:val="NoSpacing"/>
        <w:rPr>
          <w:rFonts w:ascii="Arial Black" w:hAnsi="Arial Black"/>
          <w:sz w:val="40"/>
          <w:szCs w:val="40"/>
        </w:rPr>
      </w:pPr>
    </w:p>
    <w:p w14:paraId="42BA7122" w14:textId="77777777" w:rsidR="008229A3" w:rsidRDefault="008229A3" w:rsidP="00F326E5">
      <w:pPr>
        <w:pStyle w:val="NoSpacing"/>
        <w:rPr>
          <w:rFonts w:ascii="Arial Black" w:hAnsi="Arial Black"/>
          <w:sz w:val="40"/>
          <w:szCs w:val="40"/>
        </w:rPr>
      </w:pPr>
    </w:p>
    <w:p w14:paraId="71DC3D69" w14:textId="77777777" w:rsidR="008229A3" w:rsidRDefault="008229A3" w:rsidP="00F326E5">
      <w:pPr>
        <w:pStyle w:val="NoSpacing"/>
        <w:rPr>
          <w:rFonts w:ascii="Arial Black" w:hAnsi="Arial Black"/>
          <w:sz w:val="40"/>
          <w:szCs w:val="40"/>
        </w:rPr>
      </w:pPr>
    </w:p>
    <w:p w14:paraId="3AC07525" w14:textId="77777777" w:rsidR="008229A3" w:rsidRDefault="008229A3" w:rsidP="00F326E5">
      <w:pPr>
        <w:pStyle w:val="NoSpacing"/>
        <w:rPr>
          <w:rFonts w:ascii="Arial Black" w:hAnsi="Arial Black"/>
          <w:sz w:val="40"/>
          <w:szCs w:val="40"/>
        </w:rPr>
      </w:pPr>
    </w:p>
    <w:p w14:paraId="2E60C868" w14:textId="77777777" w:rsidR="008229A3" w:rsidRDefault="008229A3" w:rsidP="00F326E5">
      <w:pPr>
        <w:pStyle w:val="NoSpacing"/>
        <w:rPr>
          <w:rFonts w:ascii="Arial Black" w:hAnsi="Arial Black"/>
          <w:sz w:val="40"/>
          <w:szCs w:val="40"/>
        </w:rPr>
      </w:pPr>
    </w:p>
    <w:p w14:paraId="417B6D3D" w14:textId="77777777" w:rsidR="008229A3" w:rsidRDefault="008229A3" w:rsidP="00F326E5">
      <w:pPr>
        <w:pStyle w:val="NoSpacing"/>
        <w:rPr>
          <w:rFonts w:ascii="Arial Black" w:hAnsi="Arial Black"/>
          <w:sz w:val="40"/>
          <w:szCs w:val="40"/>
        </w:rPr>
      </w:pPr>
    </w:p>
    <w:p w14:paraId="0FF4E5A3" w14:textId="77777777" w:rsidR="008229A3" w:rsidRDefault="008229A3" w:rsidP="00F326E5">
      <w:pPr>
        <w:pStyle w:val="NoSpacing"/>
        <w:rPr>
          <w:rFonts w:ascii="Arial Black" w:hAnsi="Arial Black"/>
          <w:sz w:val="40"/>
          <w:szCs w:val="40"/>
        </w:rPr>
      </w:pPr>
    </w:p>
    <w:p w14:paraId="2821B778" w14:textId="77777777" w:rsidR="008229A3" w:rsidRDefault="008229A3" w:rsidP="00F326E5">
      <w:pPr>
        <w:pStyle w:val="NoSpacing"/>
        <w:rPr>
          <w:rFonts w:ascii="Arial Black" w:hAnsi="Arial Black"/>
          <w:sz w:val="40"/>
          <w:szCs w:val="40"/>
        </w:rPr>
      </w:pPr>
    </w:p>
    <w:p w14:paraId="74C54F0F" w14:textId="77777777" w:rsidR="008229A3" w:rsidRDefault="008229A3" w:rsidP="00F326E5">
      <w:pPr>
        <w:pStyle w:val="NoSpacing"/>
        <w:rPr>
          <w:rFonts w:ascii="Arial Black" w:hAnsi="Arial Black"/>
          <w:sz w:val="40"/>
          <w:szCs w:val="40"/>
        </w:rPr>
      </w:pPr>
    </w:p>
    <w:p w14:paraId="7CE6323E" w14:textId="77777777" w:rsidR="008229A3" w:rsidRDefault="008229A3" w:rsidP="00F326E5">
      <w:pPr>
        <w:pStyle w:val="NoSpacing"/>
        <w:rPr>
          <w:rFonts w:ascii="Arial Black" w:hAnsi="Arial Black"/>
          <w:sz w:val="40"/>
          <w:szCs w:val="40"/>
        </w:rPr>
      </w:pPr>
    </w:p>
    <w:p w14:paraId="140CE813" w14:textId="77777777" w:rsidR="008229A3" w:rsidRDefault="008229A3" w:rsidP="00F326E5">
      <w:pPr>
        <w:pStyle w:val="NoSpacing"/>
        <w:rPr>
          <w:rFonts w:ascii="Arial Black" w:hAnsi="Arial Black"/>
          <w:sz w:val="40"/>
          <w:szCs w:val="40"/>
        </w:rPr>
      </w:pPr>
    </w:p>
    <w:p w14:paraId="1D99EBE7" w14:textId="77777777" w:rsidR="008229A3" w:rsidRDefault="008229A3" w:rsidP="00F326E5">
      <w:pPr>
        <w:pStyle w:val="NoSpacing"/>
        <w:rPr>
          <w:rFonts w:ascii="Arial Black" w:hAnsi="Arial Black"/>
          <w:sz w:val="40"/>
          <w:szCs w:val="40"/>
        </w:rPr>
      </w:pPr>
    </w:p>
    <w:p w14:paraId="37CD374D" w14:textId="77777777" w:rsidR="008229A3" w:rsidRDefault="008229A3" w:rsidP="00F326E5">
      <w:pPr>
        <w:pStyle w:val="NoSpacing"/>
        <w:rPr>
          <w:rFonts w:ascii="Arial Black" w:hAnsi="Arial Black"/>
          <w:sz w:val="40"/>
          <w:szCs w:val="40"/>
        </w:rPr>
      </w:pPr>
    </w:p>
    <w:p w14:paraId="6D413A0D" w14:textId="77777777" w:rsidR="008229A3" w:rsidRDefault="008229A3" w:rsidP="00F326E5">
      <w:pPr>
        <w:pStyle w:val="NoSpacing"/>
        <w:rPr>
          <w:rFonts w:ascii="Arial Black" w:hAnsi="Arial Black"/>
          <w:sz w:val="40"/>
          <w:szCs w:val="40"/>
        </w:rPr>
      </w:pPr>
    </w:p>
    <w:p w14:paraId="59E6D40F" w14:textId="77777777" w:rsidR="008229A3" w:rsidRDefault="008229A3" w:rsidP="00F326E5">
      <w:pPr>
        <w:pStyle w:val="NoSpacing"/>
        <w:rPr>
          <w:rFonts w:ascii="Arial Black" w:hAnsi="Arial Black"/>
          <w:sz w:val="40"/>
          <w:szCs w:val="40"/>
        </w:rPr>
      </w:pPr>
    </w:p>
    <w:p w14:paraId="5AB6E9CB" w14:textId="77777777" w:rsidR="008229A3" w:rsidRDefault="008229A3" w:rsidP="00F326E5">
      <w:pPr>
        <w:pStyle w:val="NoSpacing"/>
        <w:rPr>
          <w:rFonts w:ascii="Arial Black" w:hAnsi="Arial Black"/>
          <w:sz w:val="40"/>
          <w:szCs w:val="40"/>
        </w:rPr>
      </w:pPr>
    </w:p>
    <w:p w14:paraId="03DA6A37" w14:textId="77777777" w:rsidR="008229A3" w:rsidRDefault="008229A3" w:rsidP="00F326E5">
      <w:pPr>
        <w:pStyle w:val="NoSpacing"/>
        <w:rPr>
          <w:rFonts w:ascii="Arial Black" w:hAnsi="Arial Black"/>
          <w:sz w:val="40"/>
          <w:szCs w:val="40"/>
        </w:rPr>
      </w:pPr>
    </w:p>
    <w:p w14:paraId="6AF718E6" w14:textId="77777777" w:rsidR="008229A3" w:rsidRDefault="008229A3" w:rsidP="00F326E5">
      <w:pPr>
        <w:pStyle w:val="NoSpacing"/>
        <w:rPr>
          <w:rFonts w:ascii="Arial Black" w:hAnsi="Arial Black"/>
          <w:sz w:val="40"/>
          <w:szCs w:val="40"/>
        </w:rPr>
      </w:pPr>
    </w:p>
    <w:p w14:paraId="48210B23" w14:textId="6D297840" w:rsidR="00F326E5" w:rsidRDefault="00F326E5" w:rsidP="00F326E5">
      <w:pPr>
        <w:pStyle w:val="NoSpacing"/>
        <w:rPr>
          <w:rFonts w:ascii="Arial Black" w:hAnsi="Arial Black"/>
          <w:sz w:val="40"/>
          <w:szCs w:val="40"/>
        </w:rPr>
      </w:pPr>
      <w:r w:rsidRPr="007732FA">
        <w:rPr>
          <w:rFonts w:ascii="Arial Black" w:hAnsi="Arial Black"/>
          <w:sz w:val="40"/>
          <w:szCs w:val="40"/>
        </w:rPr>
        <w:t>Chap. 2</w:t>
      </w:r>
      <w:r w:rsidRPr="007732FA">
        <w:rPr>
          <w:rFonts w:ascii="Arial Black" w:hAnsi="Arial Black"/>
          <w:sz w:val="40"/>
          <w:szCs w:val="40"/>
        </w:rPr>
        <w:tab/>
        <w:t xml:space="preserve">Line </w:t>
      </w:r>
      <w:proofErr w:type="gramStart"/>
      <w:r w:rsidRPr="007732FA">
        <w:rPr>
          <w:rFonts w:ascii="Arial Black" w:hAnsi="Arial Black"/>
          <w:sz w:val="40"/>
          <w:szCs w:val="40"/>
        </w:rPr>
        <w:t>Of</w:t>
      </w:r>
      <w:proofErr w:type="gramEnd"/>
      <w:r w:rsidRPr="007732FA">
        <w:rPr>
          <w:rFonts w:ascii="Arial Black" w:hAnsi="Arial Black"/>
          <w:sz w:val="40"/>
          <w:szCs w:val="40"/>
        </w:rPr>
        <w:t xml:space="preserve"> Duty Death</w:t>
      </w:r>
      <w:r w:rsidR="00636395">
        <w:rPr>
          <w:rFonts w:ascii="Arial Black" w:hAnsi="Arial Black"/>
          <w:sz w:val="40"/>
          <w:szCs w:val="40"/>
        </w:rPr>
        <w:t xml:space="preserve"> / </w:t>
      </w:r>
      <w:r w:rsidRPr="007732FA">
        <w:rPr>
          <w:rFonts w:ascii="Arial Black" w:hAnsi="Arial Black"/>
          <w:sz w:val="40"/>
          <w:szCs w:val="40"/>
        </w:rPr>
        <w:t>Safety</w:t>
      </w:r>
    </w:p>
    <w:p w14:paraId="4E5DB655" w14:textId="0D554EF9" w:rsidR="00C342C1" w:rsidRDefault="00F326E5" w:rsidP="00853142">
      <w:pPr>
        <w:rPr>
          <w:rFonts w:ascii="Times New Roman" w:hAnsi="Times New Roman"/>
          <w:sz w:val="24"/>
          <w:szCs w:val="24"/>
        </w:rPr>
      </w:pPr>
      <w:r>
        <w:rPr>
          <w:rFonts w:ascii="Times New Roman" w:hAnsi="Times New Roman"/>
          <w:sz w:val="24"/>
          <w:szCs w:val="24"/>
        </w:rPr>
        <w:t xml:space="preserve"> </w:t>
      </w:r>
      <w:bookmarkStart w:id="91" w:name="_Hlk7340594"/>
    </w:p>
    <w:p w14:paraId="5B358C30" w14:textId="3E86644E" w:rsidR="001858F2" w:rsidRDefault="001858F2" w:rsidP="005E5108">
      <w:pPr>
        <w:rPr>
          <w:rFonts w:ascii="Arial Black" w:hAnsi="Arial Black"/>
          <w:b/>
          <w:sz w:val="28"/>
          <w:szCs w:val="28"/>
        </w:rPr>
      </w:pPr>
      <w:r>
        <w:rPr>
          <w:rFonts w:ascii="Arial Black" w:hAnsi="Arial Black"/>
          <w:sz w:val="24"/>
          <w:szCs w:val="24"/>
        </w:rPr>
        <w:t>2-11</w:t>
      </w:r>
      <w:r w:rsidR="00ED5F90">
        <w:rPr>
          <w:rFonts w:ascii="Arial Black" w:hAnsi="Arial Black"/>
          <w:sz w:val="24"/>
          <w:szCs w:val="24"/>
        </w:rPr>
        <w:t>9</w:t>
      </w:r>
    </w:p>
    <w:p w14:paraId="3BF1F69B" w14:textId="304FFA76" w:rsidR="005E5108" w:rsidRDefault="005E5108" w:rsidP="005E5108">
      <w:pPr>
        <w:rPr>
          <w:rFonts w:ascii="Arial Black" w:hAnsi="Arial Black"/>
          <w:b/>
          <w:sz w:val="28"/>
          <w:szCs w:val="28"/>
        </w:rPr>
      </w:pPr>
      <w:r>
        <w:rPr>
          <w:rFonts w:ascii="Arial Black" w:hAnsi="Arial Black"/>
          <w:b/>
          <w:sz w:val="28"/>
          <w:szCs w:val="28"/>
        </w:rPr>
        <w:t>CA: PFAS TURNOUT GEAR – CLASS ACTION CASES TO MN</w:t>
      </w:r>
    </w:p>
    <w:p w14:paraId="4C8E75F8" w14:textId="77777777" w:rsidR="005E5108" w:rsidRDefault="005E5108" w:rsidP="005E5108">
      <w:pPr>
        <w:rPr>
          <w:b/>
        </w:rPr>
      </w:pPr>
      <w:r>
        <w:t xml:space="preserve">On August 18, 2026, </w:t>
      </w:r>
      <w:r w:rsidRPr="007E0983">
        <w:t>IN RE: FIREFIGHTER TURNOUT GEAR MARKETING, SALES PRACTICES, AND PRODUCTS LIABILITY LITIGATION</w:t>
      </w:r>
      <w:r>
        <w:t xml:space="preserve">, U.S. District Court Judge - </w:t>
      </w:r>
      <w:r w:rsidRPr="00E305CA">
        <w:t>Matthew F. Kennelly</w:t>
      </w:r>
      <w:r>
        <w:t xml:space="preserve">, United States District Court for the Northern District of California (Acting Chair of panel in this multi district litigation class action) has, with agreement of plaintiffs and defendants, transfer the class action to U.S. District Court in Minnesota – where 3M (a key defendant) is headquartered. </w:t>
      </w:r>
      <w:r w:rsidRPr="000406FE">
        <w:t xml:space="preserve">The consolidated cases </w:t>
      </w:r>
      <w:r>
        <w:t xml:space="preserve">allege </w:t>
      </w:r>
      <w:r w:rsidRPr="000406FE">
        <w:t>that firefighter turnout gear,</w:t>
      </w:r>
      <w:r>
        <w:t xml:space="preserve"> </w:t>
      </w:r>
      <w:r w:rsidRPr="000406FE">
        <w:t>includ</w:t>
      </w:r>
      <w:r>
        <w:t xml:space="preserve">ing </w:t>
      </w:r>
      <w:r w:rsidRPr="000406FE">
        <w:t xml:space="preserve">self-contained breathing apparatuses, hoods, helmets, coats, pants, gloves, boots, and reflective tape—contains per- or polyfluoroalkyl substances (PFAS) that are toxic and harmful to both firefighters and the environment. </w:t>
      </w:r>
      <w:r>
        <w:t>Cases transferred include County of San Mateo; City of Peabody, MA; City of Rochester, NY; Earlville Community Fire Protection District, IL; and City and County of Butte-Silver Bow, MT.   The cases are not transferred to U.S. District Court of South Carolina – Judge Richard M. Gergel is handling 15,000 actions (</w:t>
      </w:r>
      <w:r w:rsidRPr="00E36EC3">
        <w:t>AFFF MDL</w:t>
      </w:r>
      <w:r>
        <w:t xml:space="preserve"> - a</w:t>
      </w:r>
      <w:r w:rsidRPr="00065525">
        <w:t>queous film-forming foam</w:t>
      </w:r>
      <w:r>
        <w:t xml:space="preserve">) claiming </w:t>
      </w:r>
      <w:r w:rsidRPr="00E36EC3">
        <w:t>harm caused by AFFF manufacture, use, or disposal, and these turnout gear actions do not involve AFFF claims.</w:t>
      </w:r>
      <w:r>
        <w:t xml:space="preserve"> </w:t>
      </w:r>
      <w:hyperlink r:id="rId385" w:history="1">
        <w:r w:rsidRPr="0045711E">
          <w:rPr>
            <w:rStyle w:val="Hyperlink"/>
            <w:b/>
          </w:rPr>
          <w:t>https://public.fastcase.com/Jhe1Qn%2BmJndQYQU6z%2FeNmxUKEbGbaFlexcqUctyrnFvzVwwOmAVBm%2FWENjBOa41qr2N0tipNbogFx7Hzz9DDPoKHACO1lVQSrxkGgspUxq8%3D?utm_medium=email&amp;_hsenc=p2ANqtz-_D8uetZhSrdYqgOH6RbHUGR4NBkHGJgxz2M-KgfAGsZ-SE4dcuskkSbWcZUd-KZIzGe72P5qRDJGEH2ZuuPQ98-RV4iA&amp;_hsmi=226712652&amp;utm_content=226712652&amp;utm_source=hs_email</w:t>
        </w:r>
      </w:hyperlink>
      <w:r>
        <w:rPr>
          <w:b/>
        </w:rPr>
        <w:t xml:space="preserve"> </w:t>
      </w:r>
    </w:p>
    <w:p w14:paraId="105086E2" w14:textId="77777777" w:rsidR="005E5108" w:rsidRDefault="005E5108" w:rsidP="005E5108">
      <w:pPr>
        <w:rPr>
          <w:bCs/>
        </w:rPr>
      </w:pPr>
      <w:r>
        <w:t xml:space="preserve">THE COURT WROTE: </w:t>
      </w:r>
    </w:p>
    <w:p w14:paraId="7C535321" w14:textId="77777777" w:rsidR="005E5108" w:rsidRDefault="005E5108" w:rsidP="005E5108">
      <w:pPr>
        <w:ind w:left="720"/>
      </w:pPr>
      <w:r>
        <w:t>“</w:t>
      </w:r>
      <w:r w:rsidRPr="0080428E">
        <w:t>With respect to the request to transfer these actions to the AFFF MDL, we agree that there is significant overlap between these turnout gear purchaser class actions and the thousands of turnout gear personal injury actions pending in the MDL. Even so, we are not convinced that this overlap merits expanding the scope of the AFFF MDL to encompass non-AFFF actions</w:t>
      </w:r>
      <w:r>
        <w:t xml:space="preserve">…. </w:t>
      </w:r>
      <w:r w:rsidRPr="00EE3569">
        <w:t>M</w:t>
      </w:r>
      <w:r>
        <w:t xml:space="preserve">innesota </w:t>
      </w:r>
      <w:r w:rsidRPr="00EE3569">
        <w:t>also presents a convenient and accessible forum for this litigation. We assign this litigation to Judge Jeffrey M. Bryan, who presides over the three actions in this district. Judge Bryan is an able and experienced jurist who has not yet had the opportunity to preside over an MDL. We are confident that he will steer this litigation on a prudent and expeditious course.</w:t>
      </w:r>
      <w:r>
        <w:t>”</w:t>
      </w:r>
    </w:p>
    <w:p w14:paraId="23A920AF" w14:textId="77777777" w:rsidR="005E5108" w:rsidRDefault="005E5108" w:rsidP="005E5108">
      <w:r>
        <w:rPr>
          <w:b/>
        </w:rPr>
        <w:t xml:space="preserve">Legal lesson learned: Lots of litigation concerning PFAS in turnout gear and in firefighting foam. </w:t>
      </w:r>
      <w:r w:rsidRPr="00EE3569">
        <w:t xml:space="preserve"> </w:t>
      </w:r>
    </w:p>
    <w:p w14:paraId="2A57B19E" w14:textId="77777777" w:rsidR="005E5108" w:rsidRDefault="005E5108" w:rsidP="005E5108">
      <w:pPr>
        <w:ind w:left="720"/>
        <w:rPr>
          <w:bCs/>
        </w:rPr>
      </w:pPr>
      <w:r>
        <w:t>Note: See this article on the transfer order. “</w:t>
      </w:r>
      <w:r w:rsidRPr="004F56F1">
        <w:t>JPML Creates New MDL for Non-AFFF Firefighter Turnout Gear Litigation</w:t>
      </w:r>
      <w:r>
        <w:t xml:space="preserve">.” August 24, 2026. </w:t>
      </w:r>
      <w:hyperlink r:id="rId386" w:history="1">
        <w:r w:rsidRPr="0045711E">
          <w:rPr>
            <w:rStyle w:val="Hyperlink"/>
          </w:rPr>
          <w:t>https://www.thompsonhine.com/insights/jpml-creates-new-mdl-for-non-afff-firefighter-turnout-gear-litigation/</w:t>
        </w:r>
      </w:hyperlink>
      <w:r>
        <w:t xml:space="preserve"> </w:t>
      </w:r>
    </w:p>
    <w:p w14:paraId="0145BE4A" w14:textId="77777777" w:rsidR="005E5108" w:rsidRDefault="005E5108" w:rsidP="005E5108">
      <w:pPr>
        <w:ind w:left="720"/>
        <w:rPr>
          <w:bCs/>
        </w:rPr>
      </w:pPr>
    </w:p>
    <w:p w14:paraId="6BA1BFB9" w14:textId="77777777" w:rsidR="005E5108" w:rsidRDefault="005E5108" w:rsidP="005E5108">
      <w:pPr>
        <w:pStyle w:val="NoSpacing"/>
      </w:pPr>
      <w:r>
        <w:t xml:space="preserve">See also: July 28, </w:t>
      </w:r>
      <w:proofErr w:type="gramStart"/>
      <w:r>
        <w:t>2026</w:t>
      </w:r>
      <w:proofErr w:type="gramEnd"/>
      <w:r>
        <w:t xml:space="preserve"> class action already case in Montana, </w:t>
      </w:r>
      <w:r w:rsidRPr="007C4079">
        <w:rPr>
          <w:u w:val="single"/>
        </w:rPr>
        <w:t>City and County of Butte-Silver Bow, et al v, 3 M Company, et al</w:t>
      </w:r>
      <w:r>
        <w:t xml:space="preserve">., where 16 municipalities from throughout the nation </w:t>
      </w:r>
      <w:r w:rsidRPr="00312897">
        <w:t xml:space="preserve">bring </w:t>
      </w:r>
      <w:r>
        <w:t xml:space="preserve">a </w:t>
      </w:r>
      <w:r w:rsidRPr="00312897">
        <w:t>nationwide class action against Defendants for the alleged sale, manufacture, and distribution of protective firefighter gear ("turnout gear") containing per- and polyfluoroalkyl substances ("PFAS") to fire departments and fire responding agencies.</w:t>
      </w:r>
      <w:r>
        <w:t xml:space="preserve"> The Court denied defense motions to dismiss. </w:t>
      </w:r>
      <w:hyperlink r:id="rId387" w:history="1">
        <w:r w:rsidRPr="009234CB">
          <w:rPr>
            <w:rStyle w:val="Hyperlink"/>
          </w:rPr>
          <w:t>https://www.casemine.com/judgement/us/6a70a2cd9499dcd9c1f502f5</w:t>
        </w:r>
      </w:hyperlink>
    </w:p>
    <w:p w14:paraId="374507CE" w14:textId="77777777" w:rsidR="005E5108" w:rsidRDefault="005E5108" w:rsidP="005E5108">
      <w:pPr>
        <w:pStyle w:val="NoSpacing"/>
      </w:pPr>
    </w:p>
    <w:p w14:paraId="6D72416F" w14:textId="0D2D185D" w:rsidR="001858F2" w:rsidRDefault="001858F2" w:rsidP="001858F2">
      <w:pPr>
        <w:rPr>
          <w:rFonts w:ascii="Arial Black" w:hAnsi="Arial Black"/>
          <w:sz w:val="28"/>
          <w:szCs w:val="28"/>
        </w:rPr>
      </w:pPr>
      <w:r>
        <w:rPr>
          <w:rFonts w:ascii="Arial Black" w:hAnsi="Arial Black"/>
          <w:sz w:val="24"/>
          <w:szCs w:val="24"/>
        </w:rPr>
        <w:lastRenderedPageBreak/>
        <w:t>2-11</w:t>
      </w:r>
      <w:r w:rsidR="00ED5F90">
        <w:rPr>
          <w:rFonts w:ascii="Arial Black" w:hAnsi="Arial Black"/>
          <w:sz w:val="24"/>
          <w:szCs w:val="24"/>
        </w:rPr>
        <w:t>8</w:t>
      </w:r>
    </w:p>
    <w:p w14:paraId="21AE9ADC" w14:textId="77777777" w:rsidR="001858F2" w:rsidRDefault="001858F2" w:rsidP="001858F2">
      <w:pPr>
        <w:pStyle w:val="NoSpacing"/>
        <w:rPr>
          <w:rFonts w:ascii="Arial Black" w:hAnsi="Arial Black"/>
          <w:sz w:val="28"/>
          <w:szCs w:val="28"/>
        </w:rPr>
      </w:pPr>
    </w:p>
    <w:p w14:paraId="2B3A0F69" w14:textId="53453928" w:rsidR="001858F2" w:rsidRPr="00F4305B" w:rsidRDefault="001858F2" w:rsidP="001858F2">
      <w:pPr>
        <w:pStyle w:val="NoSpacing"/>
        <w:rPr>
          <w:rFonts w:ascii="Arial Black" w:hAnsi="Arial Black"/>
          <w:sz w:val="28"/>
          <w:szCs w:val="28"/>
        </w:rPr>
      </w:pPr>
      <w:r>
        <w:rPr>
          <w:rFonts w:ascii="Arial Black" w:hAnsi="Arial Black"/>
          <w:sz w:val="28"/>
          <w:szCs w:val="28"/>
        </w:rPr>
        <w:t xml:space="preserve">IL: “BAILOUT” DRILL – LEATHER BELT – INSTRUCT IMMUN </w:t>
      </w:r>
    </w:p>
    <w:p w14:paraId="6D6E02D6" w14:textId="77777777" w:rsidR="001858F2" w:rsidRDefault="001858F2" w:rsidP="001858F2">
      <w:pPr>
        <w:pStyle w:val="NoSpacing"/>
      </w:pPr>
    </w:p>
    <w:p w14:paraId="306FC7D3" w14:textId="77777777" w:rsidR="001858F2" w:rsidRPr="00C73B6E" w:rsidRDefault="001858F2" w:rsidP="001858F2">
      <w:pPr>
        <w:rPr>
          <w:bCs/>
        </w:rPr>
      </w:pPr>
      <w:r>
        <w:t xml:space="preserve">On August 11, 2026, in </w:t>
      </w:r>
      <w:r w:rsidRPr="00C73B6E">
        <w:rPr>
          <w:u w:val="single"/>
        </w:rPr>
        <w:t>George Hidalgo v. Village of Romeoville</w:t>
      </w:r>
      <w:r>
        <w:t xml:space="preserve">, the </w:t>
      </w:r>
      <w:r w:rsidRPr="00C73B6E">
        <w:t>Court of Appeals of Illinois, Third District</w:t>
      </w:r>
      <w:r>
        <w:t xml:space="preserve"> held (3 to 0) held the trial court judge properly granted summary judgment to the village; firefighter seriously injured when fell from third floor wearing </w:t>
      </w:r>
      <w:r w:rsidRPr="00964316">
        <w:t xml:space="preserve">a leather </w:t>
      </w:r>
      <w:r>
        <w:t>“</w:t>
      </w:r>
      <w:r w:rsidRPr="00964316">
        <w:t>truckman's belt</w:t>
      </w:r>
      <w:r>
        <w:t xml:space="preserve">” (or gut belt) instead of a </w:t>
      </w:r>
      <w:r w:rsidRPr="00AD3C1F">
        <w:t>Class 3 pre-sewn harness</w:t>
      </w:r>
      <w:r>
        <w:t xml:space="preserve">.   Under Illinois state law, </w:t>
      </w:r>
      <w:r w:rsidRPr="00295474">
        <w:t xml:space="preserve">"The purpose of [the] Act is to protect local public entities and public employees from liability arising from the operation of government." 745 ILCS 10/1-101.1(a) (West 2018). "A local public entity includes a *** municipal corporation" and" 'public employee' means an employee of a local public entity." </w:t>
      </w:r>
      <w:r w:rsidRPr="00295474">
        <w:rPr>
          <w:i/>
          <w:iCs/>
        </w:rPr>
        <w:t>Id</w:t>
      </w:r>
      <w:r w:rsidRPr="00295474">
        <w:t xml:space="preserve">. §§ 1-206, 1-207. </w:t>
      </w:r>
      <w:r>
        <w:t xml:space="preserve"> The three instructors cannot be sued for </w:t>
      </w:r>
      <w:r w:rsidRPr="00B34248">
        <w:t>willful and wanton conduct</w:t>
      </w:r>
      <w:r>
        <w:t>, since “</w:t>
      </w:r>
      <w:r w:rsidRPr="00B34248">
        <w:t>immunity under section 2-201 is absolute and not subject to any exceptions based on willful and wanton conduct.</w:t>
      </w:r>
      <w:r>
        <w:t xml:space="preserve">”  </w:t>
      </w:r>
      <w:hyperlink r:id="rId388" w:history="1">
        <w:r w:rsidRPr="00162EE0">
          <w:rPr>
            <w:rStyle w:val="Hyperlink"/>
          </w:rPr>
          <w:t>https://ilcourtsaudio.blob.core.windows.net/antilles-resources/resources/1c448368-41d4-4c8c-ab9a-5c785b8aaec0/Hidalgo%20v.%20Village%20Of%20Romeoville%202026%20IL%20App%20(3d)%20240676-U.pdf</w:t>
        </w:r>
      </w:hyperlink>
      <w:r>
        <w:t xml:space="preserve"> </w:t>
      </w:r>
    </w:p>
    <w:p w14:paraId="4B51BBB3" w14:textId="77777777" w:rsidR="001858F2" w:rsidRDefault="001858F2" w:rsidP="001858F2">
      <w:pPr>
        <w:pStyle w:val="NoSpacing"/>
      </w:pPr>
      <w:r>
        <w:t>THE COURT WROTE:</w:t>
      </w:r>
    </w:p>
    <w:p w14:paraId="199A97E6" w14:textId="77777777" w:rsidR="001858F2" w:rsidRDefault="001858F2" w:rsidP="001858F2">
      <w:pPr>
        <w:pStyle w:val="NoSpacing"/>
      </w:pPr>
    </w:p>
    <w:p w14:paraId="5AC20C2C" w14:textId="77777777" w:rsidR="001858F2" w:rsidRDefault="001858F2" w:rsidP="001858F2">
      <w:pPr>
        <w:pStyle w:val="NoSpacing"/>
        <w:ind w:left="720"/>
        <w:rPr>
          <w:vertAlign w:val="superscript"/>
        </w:rPr>
      </w:pPr>
      <w:r>
        <w:t>“</w:t>
      </w:r>
      <w:r w:rsidRPr="002913B6">
        <w:t xml:space="preserve">Beginning in 2017, the City of </w:t>
      </w:r>
      <w:proofErr w:type="gramStart"/>
      <w:r w:rsidRPr="002913B6">
        <w:t>Des</w:t>
      </w:r>
      <w:proofErr w:type="gramEnd"/>
      <w:r w:rsidRPr="002913B6">
        <w:t xml:space="preserve"> Plaines employed plaintiff to serve as a firefighter and paramedic on a rotating basis. From December 2 through 4, 2019, plaintiff attended an Advanced Technician Firefighter training course at the Romeoville Fire Academy (Academy). The purpose of the training course was to train experienced firefighters in skills needed to obtain their Advanced Technician Firefighter certification via a curriculum that included classroom instruction and hands-on practical evolutions</w:t>
      </w:r>
      <w:r>
        <w:rPr>
          <w:vertAlign w:val="superscript"/>
        </w:rPr>
        <w:t>.</w:t>
      </w:r>
    </w:p>
    <w:p w14:paraId="6159E7F9" w14:textId="77777777" w:rsidR="001858F2" w:rsidRDefault="001858F2" w:rsidP="001858F2">
      <w:pPr>
        <w:pStyle w:val="NoSpacing"/>
        <w:ind w:left="720"/>
        <w:rPr>
          <w:vertAlign w:val="superscript"/>
        </w:rPr>
      </w:pPr>
    </w:p>
    <w:p w14:paraId="51251C30" w14:textId="77777777" w:rsidR="001858F2" w:rsidRDefault="001858F2" w:rsidP="001858F2">
      <w:pPr>
        <w:pStyle w:val="NoSpacing"/>
        <w:ind w:left="720"/>
      </w:pPr>
      <w:r>
        <w:t>O</w:t>
      </w:r>
      <w:r w:rsidRPr="0009279A">
        <w:t xml:space="preserve">ne of the practical evolutions involved in the training course was a </w:t>
      </w:r>
      <w:r>
        <w:t>‘</w:t>
      </w:r>
      <w:r w:rsidRPr="0009279A">
        <w:t>bailout</w:t>
      </w:r>
      <w:r>
        <w:t xml:space="preserve">’ </w:t>
      </w:r>
      <w:r w:rsidRPr="0009279A">
        <w:t xml:space="preserve">drill, which was a drill that was used to teach the trainees how to evacuate a burning building from an elevated height. To complete the bailout drill, the trainees were required to exit a third-story window of a hose tower one leg at a time and then use rappel lines to perform a controlled descent down the side of the tower. The equipment that was needed to conduct the bailout drill included rope, carabiners, webbing, anchors, and hand tools. A portion of the rope was anchored to a steel post inside of the hose tower to form a bailout, or </w:t>
      </w:r>
      <w:proofErr w:type="gramStart"/>
      <w:r w:rsidRPr="0009279A">
        <w:t>main,</w:t>
      </w:r>
      <w:proofErr w:type="gramEnd"/>
      <w:r w:rsidRPr="0009279A">
        <w:t xml:space="preserve"> line. Another portion of the rope was connected to a pulley system at the top of the hose tower to form a safety, or belay, line. The carabiners were used to connect and lock the bailout and belay lines to D-rings on the trainees' harnesses, which, in turn, enabled the trainees to control their descent using friction.</w:t>
      </w:r>
    </w:p>
    <w:p w14:paraId="17B74A63" w14:textId="77777777" w:rsidR="001858F2" w:rsidRDefault="001858F2" w:rsidP="001858F2">
      <w:pPr>
        <w:pStyle w:val="NoSpacing"/>
        <w:ind w:left="720"/>
      </w:pPr>
    </w:p>
    <w:p w14:paraId="6DAD6F7C" w14:textId="77777777" w:rsidR="001858F2" w:rsidRDefault="001858F2" w:rsidP="001858F2">
      <w:pPr>
        <w:pStyle w:val="NoSpacing"/>
        <w:ind w:left="720"/>
      </w:pPr>
      <w:r>
        <w:t>***</w:t>
      </w:r>
    </w:p>
    <w:p w14:paraId="319AD8BD" w14:textId="77777777" w:rsidR="001858F2" w:rsidRDefault="001858F2" w:rsidP="001858F2">
      <w:pPr>
        <w:pStyle w:val="NoSpacing"/>
        <w:ind w:left="720"/>
      </w:pPr>
      <w:r w:rsidRPr="00AD3C1F">
        <w:t>Class 1 harnesses and Class 3 pre-</w:t>
      </w:r>
      <w:proofErr w:type="gramStart"/>
      <w:r w:rsidRPr="00AD3C1F">
        <w:t>sewn</w:t>
      </w:r>
      <w:proofErr w:type="gramEnd"/>
      <w:r w:rsidRPr="00AD3C1F">
        <w:t xml:space="preserve"> harnesses were also available for the trainees to use during the bailout drill. A Class 1 harness, or </w:t>
      </w:r>
      <w:r>
        <w:t>‘</w:t>
      </w:r>
      <w:r w:rsidRPr="00AD3C1F">
        <w:t>gut belt,</w:t>
      </w:r>
      <w:r>
        <w:t>’</w:t>
      </w:r>
      <w:r w:rsidRPr="00AD3C1F">
        <w:t xml:space="preserve"> is a body harness that goes around a firefighter's waist, whereas a Class 3 pre-sewn harness is a manufactured body harness that goes around a firefighter's waist and shoulders. </w:t>
      </w:r>
      <w:r>
        <w:t xml:space="preserve"> </w:t>
      </w:r>
      <w:r w:rsidRPr="00E1684D">
        <w:t>On December 4, 2019, the third day of the training course, plaintiff performed the bailout drill using a Class 1 harness. After plaintiff stepped out of the third-story window of the hose tower while performing the drill, he separated from his harness, fell to the ground, and was injured.</w:t>
      </w:r>
    </w:p>
    <w:p w14:paraId="1C79ABB2" w14:textId="77777777" w:rsidR="001858F2" w:rsidRDefault="001858F2" w:rsidP="001858F2">
      <w:pPr>
        <w:pStyle w:val="NoSpacing"/>
        <w:ind w:left="720"/>
      </w:pPr>
    </w:p>
    <w:p w14:paraId="02BC87C3" w14:textId="77777777" w:rsidR="001858F2" w:rsidRDefault="001858F2" w:rsidP="001858F2">
      <w:pPr>
        <w:pStyle w:val="NoSpacing"/>
        <w:ind w:left="720"/>
      </w:pPr>
      <w:r>
        <w:t>***</w:t>
      </w:r>
    </w:p>
    <w:p w14:paraId="15B0EAE1" w14:textId="77777777" w:rsidR="001858F2" w:rsidRPr="00AD3C1F" w:rsidRDefault="001858F2" w:rsidP="001858F2">
      <w:pPr>
        <w:pStyle w:val="NoSpacing"/>
        <w:ind w:left="720"/>
      </w:pPr>
    </w:p>
    <w:p w14:paraId="3F2F8592" w14:textId="77777777" w:rsidR="001858F2" w:rsidRDefault="001858F2" w:rsidP="001858F2">
      <w:pPr>
        <w:pStyle w:val="NoSpacing"/>
        <w:ind w:left="720"/>
      </w:pPr>
      <w:r>
        <w:t xml:space="preserve">[Plaintiff alleges] </w:t>
      </w:r>
      <w:r w:rsidRPr="00E63707">
        <w:t>during the bailout drill, he had separated from his belt, fallen to the ground, and sustained serious injuries; and that his fall would have been prevented had he worn a Class 3 harness and his belay line been attached to something other than his Class 1 harness</w:t>
      </w:r>
      <w:r>
        <w:t xml:space="preserve">…. </w:t>
      </w:r>
      <w:r w:rsidRPr="0035021C">
        <w:t>Plaintiff testified that he performed the December 4 bailout drill while wearing a Class 1 harness. Before plaintiff exited the third-story window of the hose tower to perform the drill, one instructor attached the bailout line to the front of his harness using a D-ring and carabiner and a second instructor attached the belay line to the back of his harness using another D-ring and carabiner. After an instructor affirmed that plaintiff's harness was properly secured, plaintiff exited the third-</w:t>
      </w:r>
      <w:r w:rsidRPr="0035021C">
        <w:lastRenderedPageBreak/>
        <w:t>story window one leg after another and fell to the ground as he brought his second leg over the windowsill. While plaintiff was on the ground, he observed that his harness was still connected to the bailout and belay lines and suspended below the windowsill.</w:t>
      </w:r>
    </w:p>
    <w:p w14:paraId="1D23F5A0" w14:textId="77777777" w:rsidR="001858F2" w:rsidRDefault="001858F2" w:rsidP="001858F2">
      <w:pPr>
        <w:pStyle w:val="NoSpacing"/>
        <w:ind w:left="720"/>
      </w:pPr>
    </w:p>
    <w:p w14:paraId="0792CED3" w14:textId="77777777" w:rsidR="001858F2" w:rsidRDefault="001858F2" w:rsidP="001858F2">
      <w:pPr>
        <w:pStyle w:val="NoSpacing"/>
        <w:ind w:left="720"/>
      </w:pPr>
    </w:p>
    <w:p w14:paraId="26152402" w14:textId="77777777" w:rsidR="001858F2" w:rsidRDefault="001858F2" w:rsidP="001858F2">
      <w:pPr>
        <w:pStyle w:val="NoSpacing"/>
        <w:ind w:left="720"/>
      </w:pPr>
      <w:r>
        <w:t>***</w:t>
      </w:r>
    </w:p>
    <w:p w14:paraId="141332C7" w14:textId="77777777" w:rsidR="001858F2" w:rsidRDefault="001858F2" w:rsidP="001858F2">
      <w:pPr>
        <w:pStyle w:val="NoSpacing"/>
        <w:ind w:left="720"/>
      </w:pPr>
    </w:p>
    <w:p w14:paraId="3F8FABCC" w14:textId="77777777" w:rsidR="001858F2" w:rsidRDefault="001858F2" w:rsidP="001858F2">
      <w:pPr>
        <w:pStyle w:val="NoSpacing"/>
        <w:ind w:left="720"/>
      </w:pPr>
      <w:r>
        <w:t xml:space="preserve">[Instructor </w:t>
      </w:r>
      <w:r w:rsidRPr="008D38D6">
        <w:t>Brian</w:t>
      </w:r>
      <w:r>
        <w:t xml:space="preserve">] </w:t>
      </w:r>
      <w:r w:rsidRPr="008D38D6">
        <w:t xml:space="preserve">Kulaga testified that about one-third of the trainees who </w:t>
      </w:r>
      <w:proofErr w:type="gramStart"/>
      <w:r w:rsidRPr="008D38D6">
        <w:t>had performed</w:t>
      </w:r>
      <w:proofErr w:type="gramEnd"/>
      <w:r w:rsidRPr="008D38D6">
        <w:t xml:space="preserve"> the bailout drill at the Academy during his time there prior to plaintiff's fall had used a Class 3 harness.</w:t>
      </w:r>
    </w:p>
    <w:p w14:paraId="05BE9119" w14:textId="77777777" w:rsidR="001858F2" w:rsidRDefault="001858F2" w:rsidP="001858F2">
      <w:pPr>
        <w:pStyle w:val="NoSpacing"/>
        <w:ind w:left="720"/>
      </w:pPr>
    </w:p>
    <w:p w14:paraId="7AD11357" w14:textId="77777777" w:rsidR="001858F2" w:rsidRDefault="001858F2" w:rsidP="001858F2">
      <w:pPr>
        <w:pStyle w:val="NoSpacing"/>
        <w:ind w:left="720"/>
      </w:pPr>
      <w:r>
        <w:t>***</w:t>
      </w:r>
    </w:p>
    <w:p w14:paraId="41DFF7B4" w14:textId="77777777" w:rsidR="001858F2" w:rsidRDefault="001858F2" w:rsidP="001858F2">
      <w:pPr>
        <w:pStyle w:val="NoSpacing"/>
        <w:ind w:left="720"/>
      </w:pPr>
    </w:p>
    <w:p w14:paraId="482E7B0C" w14:textId="77777777" w:rsidR="001858F2" w:rsidRDefault="001858F2" w:rsidP="001858F2">
      <w:pPr>
        <w:pStyle w:val="NoSpacing"/>
        <w:ind w:left="720"/>
      </w:pPr>
      <w:r>
        <w:t xml:space="preserve">[Instructor Michael] </w:t>
      </w:r>
      <w:r w:rsidRPr="007B2C27">
        <w:t>Pemble further testified that the Academy guidelines did not specify certain details pertaining to the bailout drill, such as where the belay line needed to be attached; that a Class 3 harness needed to be used; or that two, rather than three, points of contact were needed.</w:t>
      </w:r>
    </w:p>
    <w:p w14:paraId="3A336037" w14:textId="77777777" w:rsidR="001858F2" w:rsidRDefault="001858F2" w:rsidP="001858F2">
      <w:pPr>
        <w:pStyle w:val="NoSpacing"/>
        <w:ind w:left="720"/>
      </w:pPr>
    </w:p>
    <w:p w14:paraId="5FFEE430" w14:textId="77777777" w:rsidR="001858F2" w:rsidRDefault="001858F2" w:rsidP="001858F2">
      <w:pPr>
        <w:pStyle w:val="NoSpacing"/>
        <w:ind w:left="720"/>
      </w:pPr>
      <w:r>
        <w:t>***</w:t>
      </w:r>
    </w:p>
    <w:p w14:paraId="5084E6D8" w14:textId="77777777" w:rsidR="001858F2" w:rsidRDefault="001858F2" w:rsidP="001858F2">
      <w:pPr>
        <w:pStyle w:val="NoSpacing"/>
        <w:ind w:left="720"/>
      </w:pPr>
    </w:p>
    <w:p w14:paraId="1598CB68" w14:textId="77777777" w:rsidR="001858F2" w:rsidRDefault="001858F2" w:rsidP="001858F2">
      <w:pPr>
        <w:pStyle w:val="NoSpacing"/>
        <w:ind w:left="720"/>
      </w:pPr>
      <w:r w:rsidRPr="00964316">
        <w:t>Furthermore, we note that our determinations that immunity applies with respect to Hardin and Kulaga are not disturbed by the witness testimony that, in 2007, a firefighter fell while performing a bailout drill at the Academy while wearing a leather truckman's belt</w:t>
      </w:r>
      <w:r>
        <w:t xml:space="preserve">…. </w:t>
      </w:r>
      <w:r w:rsidRPr="00661F98">
        <w:t xml:space="preserve">That Hardin and Kulaga did not know about the 2007 fall does not negate the fact that they occupied positions that involved the exercise of discretion and, after considering factors other than the 2007 fall, determined policy in exercising their discretion. It is for this reason that we find plaintiff's contentions regarding the alleged fall to be </w:t>
      </w:r>
      <w:proofErr w:type="gramStart"/>
      <w:r>
        <w:t>u</w:t>
      </w:r>
      <w:r w:rsidRPr="00661F98">
        <w:t>npersuasive.</w:t>
      </w:r>
      <w:r>
        <w:t>”</w:t>
      </w:r>
      <w:proofErr w:type="gramEnd"/>
    </w:p>
    <w:p w14:paraId="21C00D94" w14:textId="77777777" w:rsidR="001858F2" w:rsidRDefault="001858F2" w:rsidP="001858F2">
      <w:pPr>
        <w:pStyle w:val="NoSpacing"/>
        <w:ind w:left="720"/>
      </w:pPr>
    </w:p>
    <w:p w14:paraId="5FD5B477" w14:textId="77777777" w:rsidR="001858F2" w:rsidRDefault="001858F2" w:rsidP="001858F2">
      <w:pPr>
        <w:rPr>
          <w:b/>
        </w:rPr>
      </w:pPr>
      <w:r>
        <w:rPr>
          <w:b/>
        </w:rPr>
        <w:t xml:space="preserve">Legal lesson learned: Absolute immunity protects the instructors and the Village; review your policy concerning use of a leather truckman’s belt during bailout drills. </w:t>
      </w:r>
    </w:p>
    <w:p w14:paraId="2516936E" w14:textId="77777777" w:rsidR="00ED5F90" w:rsidRPr="00661F98" w:rsidRDefault="00ED5F90" w:rsidP="001858F2">
      <w:pPr>
        <w:rPr>
          <w:b/>
          <w:bCs/>
        </w:rPr>
      </w:pPr>
    </w:p>
    <w:p w14:paraId="12BD3F63" w14:textId="45F3FDDE" w:rsidR="00ED5F90" w:rsidRDefault="00ED5F90" w:rsidP="00ED5F90">
      <w:pPr>
        <w:rPr>
          <w:rFonts w:ascii="Arial Black" w:hAnsi="Arial Black"/>
          <w:sz w:val="24"/>
          <w:szCs w:val="24"/>
        </w:rPr>
      </w:pPr>
      <w:r>
        <w:rPr>
          <w:rFonts w:ascii="Arial Black" w:hAnsi="Arial Black"/>
          <w:sz w:val="24"/>
          <w:szCs w:val="24"/>
        </w:rPr>
        <w:t>2-117 [also filed Chap. 14]</w:t>
      </w:r>
    </w:p>
    <w:p w14:paraId="01F0DCD4" w14:textId="77777777" w:rsidR="00ED5F90" w:rsidRPr="00DF126F" w:rsidRDefault="00ED5F90" w:rsidP="00ED5F90">
      <w:pPr>
        <w:pStyle w:val="NoSpacing"/>
        <w:rPr>
          <w:rFonts w:ascii="Arial Black" w:hAnsi="Arial Black"/>
          <w:sz w:val="28"/>
          <w:szCs w:val="28"/>
        </w:rPr>
      </w:pPr>
      <w:r>
        <w:rPr>
          <w:rFonts w:ascii="Arial Black" w:hAnsi="Arial Black"/>
          <w:sz w:val="28"/>
          <w:szCs w:val="28"/>
        </w:rPr>
        <w:t>VA: RECRUIT DEATH – HEAT INDEX 116 / HIGH HEART RATE</w:t>
      </w:r>
    </w:p>
    <w:p w14:paraId="1054573B" w14:textId="77777777" w:rsidR="00ED5F90" w:rsidRDefault="00ED5F90" w:rsidP="00ED5F90">
      <w:pPr>
        <w:pStyle w:val="NoSpacing"/>
      </w:pPr>
    </w:p>
    <w:p w14:paraId="0EA33E57" w14:textId="77777777" w:rsidR="00ED5F90" w:rsidRDefault="00ED5F90" w:rsidP="00ED5F90">
      <w:pPr>
        <w:rPr>
          <w:b/>
        </w:rPr>
      </w:pPr>
      <w:r>
        <w:t xml:space="preserve">On July 30, 2026, in </w:t>
      </w:r>
      <w:r w:rsidRPr="008E7FF3">
        <w:rPr>
          <w:u w:val="single"/>
        </w:rPr>
        <w:t>Estate of Ian Strickler, by Stephanie Fiandaca-Strickler, Administrator of Estate v. Frederick County, et al.</w:t>
      </w:r>
      <w:r w:rsidRPr="003C778B">
        <w:t xml:space="preserve">, </w:t>
      </w:r>
      <w:r>
        <w:t>U.S. District Court Judge Jasmine H. Yoon, United States District Court for Western District of Virginia, Harrisonburg Division,  denied the defense motion to dismiss.  Ian Stricker, a 35-year-old recruit died during first day of fitness training of Recruit Class 14 on July 5, 2023.  By</w:t>
      </w:r>
      <w:r w:rsidRPr="00D435A3">
        <w:t xml:space="preserve"> 8:34 a.m., the heat index reached approximately 110°F.</w:t>
      </w:r>
      <w:r>
        <w:t xml:space="preserve">; Lead instructor, Lt. </w:t>
      </w:r>
      <w:r w:rsidRPr="00847EFF">
        <w:t xml:space="preserve">Kyle Ritter, a former United States Marine, </w:t>
      </w:r>
      <w:r>
        <w:t xml:space="preserve">allegedly dismissed the concern of fellow instructor that </w:t>
      </w:r>
      <w:r w:rsidRPr="00D435A3">
        <w:t>Strickler's heart was beating above 100 percent of his maximum rate</w:t>
      </w:r>
      <w:r>
        <w:t xml:space="preserve">.  </w:t>
      </w:r>
      <w:r w:rsidRPr="00CE4828">
        <w:t>At approximately 9:12 a.m.</w:t>
      </w:r>
      <w:r>
        <w:t xml:space="preserve"> t</w:t>
      </w:r>
      <w:r w:rsidRPr="00585449">
        <w:t xml:space="preserve">he heat index </w:t>
      </w:r>
      <w:r>
        <w:t xml:space="preserve">was </w:t>
      </w:r>
      <w:r w:rsidRPr="00585449">
        <w:t>now between 116°F and 124°F</w:t>
      </w:r>
      <w:r>
        <w:t>, Stricker collapsed.  “He</w:t>
      </w:r>
      <w:r w:rsidRPr="00372DCE">
        <w:t xml:space="preserve"> was transported to Winchester Medical Center at 9:30 a.m. and suffered cardiac arrest </w:t>
      </w:r>
      <w:proofErr w:type="spellStart"/>
      <w:r w:rsidRPr="00372DCE">
        <w:rPr>
          <w:i/>
          <w:iCs/>
        </w:rPr>
        <w:t>en</w:t>
      </w:r>
      <w:proofErr w:type="spellEnd"/>
      <w:r w:rsidRPr="00372DCE">
        <w:rPr>
          <w:i/>
          <w:iCs/>
        </w:rPr>
        <w:t xml:space="preserve"> route</w:t>
      </w:r>
      <w:r>
        <w:t xml:space="preserve">…. </w:t>
      </w:r>
      <w:r w:rsidRPr="00372DCE">
        <w:t>His body temperature was recorded at 104°F</w:t>
      </w:r>
      <w:r>
        <w:t xml:space="preserve">…. </w:t>
      </w:r>
      <w:r w:rsidRPr="00372DCE">
        <w:t xml:space="preserve">Resuscitation was terminated at 9:52 a.m., and Strickler was pronounced dead. </w:t>
      </w:r>
      <w:r>
        <w:t>“</w:t>
      </w:r>
      <w:r w:rsidRPr="00CE3819">
        <w:t>Plaintiff adequately pleaded failure to train liability for Frederick County.</w:t>
      </w:r>
      <w:r>
        <w:t>”  The Court held: “</w:t>
      </w:r>
      <w:r w:rsidRPr="00D60077">
        <w:t xml:space="preserve">Defendants argue that Plaintiff alleges only </w:t>
      </w:r>
      <w:r>
        <w:t>‘</w:t>
      </w:r>
      <w:r w:rsidRPr="00D60077">
        <w:t>negligently inflicted harm on Strickler during the new recruit program,</w:t>
      </w:r>
      <w:r>
        <w:t>’</w:t>
      </w:r>
      <w:r w:rsidRPr="00D60077">
        <w:t xml:space="preserve"> and therefore fails to allege a constitutional violation by Ritter that </w:t>
      </w:r>
      <w:r>
        <w:t>‘</w:t>
      </w:r>
      <w:r w:rsidRPr="00D60077">
        <w:t>shocks the conscience.</w:t>
      </w:r>
      <w:r>
        <w:t xml:space="preserve">’ … </w:t>
      </w:r>
      <w:r w:rsidRPr="00D60077">
        <w:t xml:space="preserve"> But the court is not persuaded by Defendants' argument. Plaintiff plausibly alleges that Ritter intended to injure Strickler and other recruits through his training </w:t>
      </w:r>
      <w:proofErr w:type="gramStart"/>
      <w:r w:rsidRPr="00D60077">
        <w:t>program.</w:t>
      </w:r>
      <w:r>
        <w:t>”</w:t>
      </w:r>
      <w:proofErr w:type="gramEnd"/>
      <w:r>
        <w:t xml:space="preserve"> </w:t>
      </w:r>
      <w:hyperlink r:id="rId389" w:history="1">
        <w:r w:rsidRPr="009E02D9">
          <w:rPr>
            <w:rStyle w:val="Hyperlink"/>
            <w:b/>
          </w:rPr>
          <w:t>https://cases.justia.com/federal/district-courts/virginia/vawdce/5:2025cv00063/135495/23/0.pdf?ts=1785772612</w:t>
        </w:r>
      </w:hyperlink>
      <w:r>
        <w:rPr>
          <w:b/>
        </w:rPr>
        <w:t xml:space="preserve"> </w:t>
      </w:r>
    </w:p>
    <w:p w14:paraId="279B5A29" w14:textId="77777777" w:rsidR="00ED5F90" w:rsidRDefault="00ED5F90" w:rsidP="00ED5F90">
      <w:pPr>
        <w:pStyle w:val="NoSpacing"/>
      </w:pPr>
    </w:p>
    <w:p w14:paraId="0DDEA679" w14:textId="77777777" w:rsidR="00ED5F90" w:rsidRDefault="00ED5F90" w:rsidP="00ED5F90">
      <w:pPr>
        <w:pStyle w:val="NoSpacing"/>
      </w:pPr>
      <w:r>
        <w:t>THE COURT WROTE:</w:t>
      </w:r>
    </w:p>
    <w:p w14:paraId="31A51FB0" w14:textId="77777777" w:rsidR="00ED5F90" w:rsidRDefault="00ED5F90" w:rsidP="00ED5F90">
      <w:pPr>
        <w:pStyle w:val="NoSpacing"/>
      </w:pPr>
    </w:p>
    <w:p w14:paraId="26BD7177" w14:textId="77777777" w:rsidR="00ED5F90" w:rsidRDefault="00ED5F90" w:rsidP="00ED5F90">
      <w:pPr>
        <w:pStyle w:val="NoSpacing"/>
        <w:ind w:left="720"/>
      </w:pPr>
      <w:r>
        <w:t>“</w:t>
      </w:r>
      <w:r w:rsidRPr="00FF44FB">
        <w:t xml:space="preserve">Sometime prior to 2016, then-Fire Chief Dennis Linaburg and Deputy Chief Keith Jenkins devised a plan to turn FCFR's recruit school into a </w:t>
      </w:r>
      <w:r>
        <w:t>‘</w:t>
      </w:r>
      <w:r w:rsidRPr="00FF44FB">
        <w:t>paramilitary</w:t>
      </w:r>
      <w:r>
        <w:t>’</w:t>
      </w:r>
      <w:r w:rsidRPr="00FF44FB">
        <w:t xml:space="preserve"> school, </w:t>
      </w:r>
      <w:r>
        <w:t>‘</w:t>
      </w:r>
      <w:r w:rsidRPr="00FF44FB">
        <w:t>designed to transform firefighters into soldiers when deployed to the field.</w:t>
      </w:r>
      <w:r>
        <w:t xml:space="preserve">’ … </w:t>
      </w:r>
      <w:r w:rsidRPr="00FF44FB">
        <w:t>To do so, Deputy Chief Jenkins recruited Lieutenant Kyle Ritter, a former United States Marine, as a training instructor</w:t>
      </w:r>
      <w:r>
        <w:t xml:space="preserve">…. </w:t>
      </w:r>
      <w:r w:rsidRPr="00FF44FB">
        <w:t xml:space="preserve">Ritter was selected solely </w:t>
      </w:r>
      <w:r>
        <w:t>‘</w:t>
      </w:r>
      <w:r w:rsidRPr="00FF44FB">
        <w:t>because of his prior military service,</w:t>
      </w:r>
      <w:r>
        <w:t xml:space="preserve">’… </w:t>
      </w:r>
      <w:r w:rsidRPr="00FF44FB">
        <w:t>and was not certified to lead physical training</w:t>
      </w:r>
      <w:r>
        <w:t>.”</w:t>
      </w:r>
    </w:p>
    <w:p w14:paraId="4CB6A37E" w14:textId="77777777" w:rsidR="00ED5F90" w:rsidRDefault="00ED5F90" w:rsidP="00ED5F90">
      <w:pPr>
        <w:pStyle w:val="NoSpacing"/>
        <w:ind w:left="720"/>
      </w:pPr>
    </w:p>
    <w:p w14:paraId="15AAFAA2" w14:textId="77777777" w:rsidR="00ED5F90" w:rsidRDefault="00ED5F90" w:rsidP="00ED5F90">
      <w:pPr>
        <w:pStyle w:val="NoSpacing"/>
        <w:ind w:left="720"/>
      </w:pPr>
      <w:r>
        <w:t>***</w:t>
      </w:r>
    </w:p>
    <w:p w14:paraId="5B5DD4DE" w14:textId="77777777" w:rsidR="00ED5F90" w:rsidRDefault="00ED5F90" w:rsidP="00ED5F90">
      <w:pPr>
        <w:pStyle w:val="NoSpacing"/>
        <w:ind w:left="720"/>
      </w:pPr>
    </w:p>
    <w:p w14:paraId="39BC3572" w14:textId="77777777" w:rsidR="00ED5F90" w:rsidRDefault="00ED5F90" w:rsidP="00ED5F90">
      <w:pPr>
        <w:pStyle w:val="NoSpacing"/>
        <w:ind w:left="720"/>
      </w:pPr>
    </w:p>
    <w:p w14:paraId="045B265E" w14:textId="77777777" w:rsidR="00ED5F90" w:rsidRDefault="00ED5F90" w:rsidP="00ED5F90">
      <w:pPr>
        <w:pStyle w:val="NoSpacing"/>
        <w:ind w:left="720"/>
      </w:pPr>
      <w:r>
        <w:t xml:space="preserve">[On Jul5, 2023 at] </w:t>
      </w:r>
      <w:r w:rsidRPr="007F3C18">
        <w:t xml:space="preserve">approximately 8:30 a.m., the recruits were bused to FCFR's Public Safety Building, and Ritter directed the recruits to put on heart rate sensors, which linked their heart rates to an iPad monitored by </w:t>
      </w:r>
      <w:r>
        <w:t xml:space="preserve">[Instructor] </w:t>
      </w:r>
      <w:r w:rsidRPr="007F3C18">
        <w:t>Toler</w:t>
      </w:r>
      <w:r>
        <w:t xml:space="preserve">…. </w:t>
      </w:r>
      <w:r w:rsidRPr="007F3C18">
        <w:t>When Strickler strapped his sensor on at 8:34 a.m., his heart rate already registered at or slightly above 184 beats per minute</w:t>
      </w:r>
      <w:r>
        <w:t xml:space="preserve">…. </w:t>
      </w:r>
      <w:r w:rsidRPr="007F3C18">
        <w:t>This was virtually Strickler's maximum heart rate, exceeding his recommended ceiling of 167 beats per minute</w:t>
      </w:r>
      <w:r>
        <w:t xml:space="preserve">…. </w:t>
      </w:r>
      <w:r w:rsidRPr="00E3391C">
        <w:t> During the break, Toler informed Strickler about his heart rate, which had not dropped below 195 beats per minute</w:t>
      </w:r>
      <w:r>
        <w:t xml:space="preserve">…. </w:t>
      </w:r>
      <w:r w:rsidRPr="00E3391C">
        <w:t>She did not tell Strickler that his readings were dangerous, but asked only whether he felt lightheaded, nauseated, or in pain</w:t>
      </w:r>
      <w:r>
        <w:t xml:space="preserve">…. </w:t>
      </w:r>
      <w:r w:rsidRPr="00E3391C">
        <w:t>Strickler said he did not</w:t>
      </w:r>
      <w:r>
        <w:t xml:space="preserve">…. </w:t>
      </w:r>
      <w:r w:rsidRPr="00E3391C">
        <w:t>Toler then showed the readings to Ritter and told him Strickler's heart was beating above 100 percent of his maximum rate</w:t>
      </w:r>
      <w:r>
        <w:t xml:space="preserve">…. </w:t>
      </w:r>
      <w:r w:rsidRPr="00E3391C">
        <w:t xml:space="preserve">Ritter dismissed her concerns and lined the recruits up </w:t>
      </w:r>
      <w:proofErr w:type="gramStart"/>
      <w:r w:rsidRPr="00E3391C">
        <w:t>for</w:t>
      </w:r>
      <w:proofErr w:type="gramEnd"/>
      <w:r w:rsidRPr="00E3391C">
        <w:t xml:space="preserve"> bear crawls, despite having witnessed at least two cardiac events in prior </w:t>
      </w:r>
      <w:proofErr w:type="gramStart"/>
      <w:r w:rsidRPr="00E3391C">
        <w:t>trainings</w:t>
      </w:r>
      <w:proofErr w:type="gramEnd"/>
      <w:r w:rsidRPr="00E3391C">
        <w:t xml:space="preserve">. </w:t>
      </w:r>
    </w:p>
    <w:p w14:paraId="37DB905B" w14:textId="77777777" w:rsidR="00ED5F90" w:rsidRDefault="00ED5F90" w:rsidP="00ED5F90">
      <w:pPr>
        <w:pStyle w:val="NoSpacing"/>
        <w:ind w:left="720"/>
      </w:pPr>
    </w:p>
    <w:p w14:paraId="7D3DD357" w14:textId="77777777" w:rsidR="00ED5F90" w:rsidRDefault="00ED5F90" w:rsidP="00ED5F90">
      <w:pPr>
        <w:pStyle w:val="NoSpacing"/>
        <w:ind w:left="720"/>
      </w:pPr>
      <w:r>
        <w:t>***</w:t>
      </w:r>
    </w:p>
    <w:p w14:paraId="47E19A1B" w14:textId="77777777" w:rsidR="00ED5F90" w:rsidRDefault="00ED5F90" w:rsidP="00ED5F90">
      <w:pPr>
        <w:pStyle w:val="NoSpacing"/>
        <w:ind w:left="720"/>
      </w:pPr>
      <w:r w:rsidRPr="00CE3819">
        <w:t xml:space="preserve">First, as discussed above, Plaintiff plausibly alleged that Ritter violated Strickler's constitutional rights. Second, Plaintiff alleges </w:t>
      </w:r>
      <w:r>
        <w:t>‘</w:t>
      </w:r>
      <w:r w:rsidRPr="00CE3819">
        <w:t>that policymakers were aware of, and acquiesced in, a pattern of constitutional violations.</w:t>
      </w:r>
      <w:r>
        <w:t xml:space="preserve">’… </w:t>
      </w:r>
      <w:r w:rsidRPr="00CE3819">
        <w:t xml:space="preserve">The complaint includes allegations that Ritter </w:t>
      </w:r>
      <w:r>
        <w:t>[</w:t>
      </w:r>
      <w:r w:rsidRPr="006F4C97">
        <w:t xml:space="preserve">Lieutenant Kyle Ritter, a former United States Marine, </w:t>
      </w:r>
      <w:r>
        <w:t>w</w:t>
      </w:r>
      <w:r w:rsidRPr="006F4C97">
        <w:t xml:space="preserve">as </w:t>
      </w:r>
      <w:r>
        <w:t xml:space="preserve">recruited in 2016 as </w:t>
      </w:r>
      <w:r w:rsidRPr="006F4C97">
        <w:t>a training instructor</w:t>
      </w:r>
      <w:r>
        <w:t xml:space="preserve">] </w:t>
      </w:r>
      <w:r w:rsidRPr="00CE3819">
        <w:t>intentionally caused over a dozen injuries, including two cardiac emergencies</w:t>
      </w:r>
      <w:r>
        <w:t xml:space="preserve"> …</w:t>
      </w:r>
      <w:r w:rsidRPr="00CE3819">
        <w:t>; that Ritter methodically hazed recruits</w:t>
      </w:r>
      <w:r>
        <w:t xml:space="preserve"> … </w:t>
      </w:r>
      <w:r w:rsidRPr="00CE3819">
        <w:t>; that a female recruit sustained so many injuries that Ritter was warned to stop documenting injuries or lose his position</w:t>
      </w:r>
      <w:r>
        <w:t xml:space="preserve"> … </w:t>
      </w:r>
      <w:r w:rsidRPr="00CE3819">
        <w:t xml:space="preserve">; that Ritter threatened to </w:t>
      </w:r>
      <w:r>
        <w:t>‘</w:t>
      </w:r>
      <w:r w:rsidRPr="00CE3819">
        <w:t>fuck [a recruit] up,</w:t>
      </w:r>
      <w:r>
        <w:t>’ …</w:t>
      </w:r>
      <w:r w:rsidRPr="00CE3819">
        <w:t>; and that a lieutenant warned Ritter that he was endangering recruits' lives</w:t>
      </w:r>
      <w:r>
        <w:t xml:space="preserve">…. </w:t>
      </w:r>
      <w:r w:rsidRPr="00CE3819">
        <w:t xml:space="preserve"> Plaintiff also alleges that Fire Chief Majchrzak witnessed and approved of Ritter's physical training methods, despite these injuries</w:t>
      </w:r>
      <w:r>
        <w:t xml:space="preserve"> …. </w:t>
      </w:r>
      <w:r w:rsidRPr="00CE3819">
        <w:t xml:space="preserve">; that the Deputy Fire Chief, when told that recruits' lives were at risk, stated that he </w:t>
      </w:r>
      <w:r>
        <w:t>‘</w:t>
      </w:r>
      <w:r w:rsidRPr="00CE3819">
        <w:t>stood by [his] marine,</w:t>
      </w:r>
      <w:r>
        <w:t xml:space="preserve">’ … </w:t>
      </w:r>
      <w:r w:rsidRPr="00CE3819">
        <w:t>and that senior leadership encouraged Ritter to stop generating a paper trail of injuries</w:t>
      </w:r>
      <w:r>
        <w:t xml:space="preserve"> …. </w:t>
      </w:r>
      <w:r w:rsidRPr="00CE3819">
        <w:t xml:space="preserve"> At the pleading stage, this sufficiently alleges </w:t>
      </w:r>
      <w:r>
        <w:t>‘</w:t>
      </w:r>
      <w:r w:rsidRPr="00CE3819">
        <w:t>deliberate indifference</w:t>
      </w:r>
      <w:r>
        <w:t>’</w:t>
      </w:r>
      <w:r w:rsidRPr="00CE3819">
        <w:t xml:space="preserve"> to the individuals that Ritter trained. </w:t>
      </w:r>
      <w:r w:rsidRPr="00CE3819">
        <w:rPr>
          <w:i/>
          <w:iCs/>
        </w:rPr>
        <w:t>See Brown v. Mitchell,</w:t>
      </w:r>
      <w:r w:rsidRPr="00CE3819">
        <w:t xml:space="preserve"> 308 F.Supp.2d 682, 703 (E.D. Va. 2004) (collecting cases showing that </w:t>
      </w:r>
      <w:r>
        <w:t>‘</w:t>
      </w:r>
      <w:r w:rsidRPr="00CE3819">
        <w:t>if the supervisory power is actually aware of the fact that its subordinates are regularly violating constitutional or statutory rights, and the supervisory power fails to implement a training program to quell this pattern, deliberate indifference exists.</w:t>
      </w:r>
      <w:r>
        <w:t>’</w:t>
      </w:r>
      <w:r w:rsidRPr="00CE3819">
        <w:t>).</w:t>
      </w:r>
      <w:r>
        <w:t>”</w:t>
      </w:r>
    </w:p>
    <w:p w14:paraId="34E1CE0F" w14:textId="77777777" w:rsidR="00ED5F90" w:rsidRDefault="00ED5F90" w:rsidP="00ED5F90">
      <w:pPr>
        <w:pStyle w:val="NoSpacing"/>
        <w:ind w:left="720"/>
      </w:pPr>
    </w:p>
    <w:p w14:paraId="55AADD87" w14:textId="77777777" w:rsidR="00ED5F90" w:rsidRDefault="00ED5F90" w:rsidP="00ED5F90">
      <w:pPr>
        <w:pStyle w:val="NoSpacing"/>
        <w:ind w:left="720"/>
      </w:pPr>
    </w:p>
    <w:p w14:paraId="17017A35" w14:textId="77777777" w:rsidR="00ED5F90" w:rsidRPr="00B00C32" w:rsidRDefault="00ED5F90" w:rsidP="00ED5F90">
      <w:pPr>
        <w:pStyle w:val="NoSpacing"/>
        <w:rPr>
          <w:b/>
          <w:bCs/>
        </w:rPr>
      </w:pPr>
      <w:r w:rsidRPr="00B00C32">
        <w:rPr>
          <w:b/>
        </w:rPr>
        <w:t xml:space="preserve">Legal lesson learned: </w:t>
      </w:r>
      <w:r>
        <w:rPr>
          <w:b/>
        </w:rPr>
        <w:t>Strenuous r</w:t>
      </w:r>
      <w:r w:rsidRPr="00B00C32">
        <w:rPr>
          <w:b/>
        </w:rPr>
        <w:t>ecruit training with heat index between 116°F and 124°F can lead to tragic results; case will now proceed to pre-trial discovery.</w:t>
      </w:r>
    </w:p>
    <w:p w14:paraId="2EBA07E4" w14:textId="77777777" w:rsidR="00ED5F90" w:rsidRDefault="00ED5F90" w:rsidP="00ED5F90">
      <w:pPr>
        <w:pStyle w:val="NoSpacing"/>
      </w:pPr>
    </w:p>
    <w:p w14:paraId="0648372B" w14:textId="77777777" w:rsidR="005E5108" w:rsidRDefault="005E5108" w:rsidP="00B40D58">
      <w:pPr>
        <w:rPr>
          <w:rFonts w:ascii="Arial Black" w:hAnsi="Arial Black"/>
          <w:sz w:val="24"/>
          <w:szCs w:val="24"/>
        </w:rPr>
      </w:pPr>
    </w:p>
    <w:p w14:paraId="139450F1" w14:textId="77777777" w:rsidR="005E5108" w:rsidRDefault="005E5108" w:rsidP="00B40D58">
      <w:pPr>
        <w:rPr>
          <w:rFonts w:ascii="Arial Black" w:hAnsi="Arial Black"/>
          <w:sz w:val="24"/>
          <w:szCs w:val="24"/>
        </w:rPr>
      </w:pPr>
    </w:p>
    <w:p w14:paraId="6844DAC3" w14:textId="1B793288" w:rsidR="00812F8E" w:rsidRDefault="00812F8E" w:rsidP="00B40D58">
      <w:pPr>
        <w:rPr>
          <w:rFonts w:ascii="Arial Black" w:hAnsi="Arial Black"/>
          <w:sz w:val="24"/>
          <w:szCs w:val="24"/>
        </w:rPr>
      </w:pPr>
      <w:r>
        <w:rPr>
          <w:rFonts w:ascii="Arial Black" w:hAnsi="Arial Black"/>
          <w:sz w:val="24"/>
          <w:szCs w:val="24"/>
        </w:rPr>
        <w:t>2-116</w:t>
      </w:r>
    </w:p>
    <w:p w14:paraId="48A1769F" w14:textId="77777777" w:rsidR="00812F8E" w:rsidRPr="00555863" w:rsidRDefault="00812F8E" w:rsidP="00812F8E">
      <w:pPr>
        <w:pStyle w:val="NoSpacing"/>
        <w:rPr>
          <w:rFonts w:ascii="Arial Black" w:hAnsi="Arial Black"/>
          <w:sz w:val="28"/>
          <w:szCs w:val="28"/>
        </w:rPr>
      </w:pPr>
      <w:r>
        <w:rPr>
          <w:rFonts w:ascii="Arial Black" w:hAnsi="Arial Black"/>
          <w:sz w:val="28"/>
          <w:szCs w:val="28"/>
        </w:rPr>
        <w:t xml:space="preserve">AZ: DEATH BENEFITS - WILDLAND FF PREP TO DEPLOY  </w:t>
      </w:r>
    </w:p>
    <w:p w14:paraId="75509603" w14:textId="77777777" w:rsidR="00812F8E" w:rsidRDefault="00812F8E" w:rsidP="00812F8E">
      <w:pPr>
        <w:pStyle w:val="NoSpacing"/>
      </w:pPr>
    </w:p>
    <w:p w14:paraId="2F97F2A4" w14:textId="77777777" w:rsidR="00812F8E" w:rsidRPr="007429BD" w:rsidRDefault="00812F8E" w:rsidP="00812F8E">
      <w:pPr>
        <w:pStyle w:val="NoSpacing"/>
        <w:rPr>
          <w:u w:val="single"/>
        </w:rPr>
      </w:pPr>
      <w:r>
        <w:t xml:space="preserve">On July 6, 2026, </w:t>
      </w:r>
      <w:proofErr w:type="gramStart"/>
      <w:r>
        <w:t>in</w:t>
      </w:r>
      <w:proofErr w:type="gramEnd"/>
      <w:r>
        <w:t xml:space="preserve"> </w:t>
      </w:r>
      <w:r w:rsidRPr="007429BD">
        <w:rPr>
          <w:u w:val="single"/>
        </w:rPr>
        <w:t>Adventure Medics LLC, et al v. The Industrial Commission of Arizona</w:t>
      </w:r>
    </w:p>
    <w:p w14:paraId="734459AA" w14:textId="77777777" w:rsidR="00812F8E" w:rsidRDefault="00812F8E" w:rsidP="00812F8E">
      <w:pPr>
        <w:pStyle w:val="NoSpacing"/>
        <w:rPr>
          <w:bCs/>
        </w:rPr>
      </w:pPr>
      <w:r w:rsidRPr="007429BD">
        <w:rPr>
          <w:u w:val="single"/>
        </w:rPr>
        <w:t>; Steven Keller, Decedent</w:t>
      </w:r>
      <w:r>
        <w:t xml:space="preserve">, the </w:t>
      </w:r>
      <w:r w:rsidRPr="007429BD">
        <w:t>Court of Appeals of Arizona, First Division</w:t>
      </w:r>
      <w:r>
        <w:t xml:space="preserve"> held (3 to 0) that the Administrative Law Judge properly determined that the wildland firefighter / paramedic, having just returned from 3-week deployment, and </w:t>
      </w:r>
      <w:r>
        <w:lastRenderedPageBreak/>
        <w:t>preparing to deploy again in 106-degree day, with heavy lifting and assembling his gear for 3-hours, was a “</w:t>
      </w:r>
      <w:r w:rsidRPr="00EC665C">
        <w:t>substantial contributing cause</w:t>
      </w:r>
      <w:r>
        <w:t xml:space="preserve">” in his heart attack.  </w:t>
      </w:r>
      <w:hyperlink r:id="rId390" w:history="1">
        <w:r w:rsidRPr="004D58FA">
          <w:rPr>
            <w:rStyle w:val="Hyperlink"/>
          </w:rPr>
          <w:t>https://jpr.azcourts.gov/Portals/1/OpinionFiles/Div1/2026/1%20CA-IC%2025-0025%20ADVENTURE%20v.%20KEFFER%20FINAL.pdf?ver=hx0rmccmFEWVVBJi2He9pA%3D%3D</w:t>
        </w:r>
      </w:hyperlink>
      <w:r>
        <w:t xml:space="preserve"> </w:t>
      </w:r>
    </w:p>
    <w:p w14:paraId="2030B1AA" w14:textId="77777777" w:rsidR="00812F8E" w:rsidRDefault="00812F8E" w:rsidP="00812F8E">
      <w:pPr>
        <w:pStyle w:val="NoSpacing"/>
        <w:rPr>
          <w:bCs/>
        </w:rPr>
      </w:pPr>
    </w:p>
    <w:p w14:paraId="071C979C" w14:textId="77777777" w:rsidR="00812F8E" w:rsidRPr="002C26A5" w:rsidRDefault="00812F8E" w:rsidP="00812F8E">
      <w:pPr>
        <w:pStyle w:val="NoSpacing"/>
        <w:rPr>
          <w:b/>
        </w:rPr>
      </w:pPr>
      <w:r>
        <w:t>THE COURT WROTE:</w:t>
      </w:r>
    </w:p>
    <w:p w14:paraId="6EF0EEC5" w14:textId="77777777" w:rsidR="00812F8E" w:rsidRDefault="00812F8E" w:rsidP="00812F8E">
      <w:pPr>
        <w:pStyle w:val="NoSpacing"/>
      </w:pPr>
    </w:p>
    <w:p w14:paraId="2C04F720" w14:textId="77777777" w:rsidR="00812F8E" w:rsidRPr="003528B6" w:rsidRDefault="00812F8E" w:rsidP="00812F8E">
      <w:pPr>
        <w:pStyle w:val="NoSpacing"/>
      </w:pPr>
      <w:r>
        <w:t>“K</w:t>
      </w:r>
      <w:r w:rsidRPr="003528B6">
        <w:t>effer worked seasonally as a firefighter and paramedic for</w:t>
      </w:r>
      <w:r>
        <w:t xml:space="preserve"> </w:t>
      </w:r>
      <w:r w:rsidRPr="003528B6">
        <w:t>Adventure Medics, a company that provides first responders to wildland</w:t>
      </w:r>
      <w:r>
        <w:t xml:space="preserve"> </w:t>
      </w:r>
      <w:r w:rsidRPr="003528B6">
        <w:t>fires. On a 106-degree day in August 2023, Keffer returned home from a</w:t>
      </w:r>
      <w:r>
        <w:t xml:space="preserve"> </w:t>
      </w:r>
      <w:r w:rsidRPr="003528B6">
        <w:t>three-week deployment fighting a wildland fire. Keffer had to prepare</w:t>
      </w:r>
      <w:r>
        <w:t xml:space="preserve"> </w:t>
      </w:r>
      <w:r w:rsidRPr="003528B6">
        <w:t>immediately to redeploy the next day to another fire. He was alone at the</w:t>
      </w:r>
      <w:r>
        <w:t xml:space="preserve"> </w:t>
      </w:r>
      <w:r w:rsidRPr="003528B6">
        <w:t>house, and his wife and teenage children were in another state. He talked</w:t>
      </w:r>
      <w:r>
        <w:t xml:space="preserve"> </w:t>
      </w:r>
      <w:r w:rsidRPr="003528B6">
        <w:t>to his wife on the phone at about 3:00 p.m. and was seen washing his</w:t>
      </w:r>
      <w:r>
        <w:t xml:space="preserve"> </w:t>
      </w:r>
      <w:r w:rsidRPr="003528B6">
        <w:t xml:space="preserve">work truck in his </w:t>
      </w:r>
      <w:proofErr w:type="gramStart"/>
      <w:r w:rsidRPr="003528B6">
        <w:t>driveway</w:t>
      </w:r>
      <w:proofErr w:type="gramEnd"/>
      <w:r w:rsidRPr="003528B6">
        <w:t xml:space="preserve"> about 3:30 p.m. He sent a text message to a</w:t>
      </w:r>
    </w:p>
    <w:p w14:paraId="55894E55" w14:textId="77777777" w:rsidR="00812F8E" w:rsidRPr="003528B6" w:rsidRDefault="00812F8E" w:rsidP="00812F8E">
      <w:pPr>
        <w:pStyle w:val="NoSpacing"/>
      </w:pPr>
      <w:r w:rsidRPr="003528B6">
        <w:t>co-worker around 5:30 p.m. which was the last outgoing communication</w:t>
      </w:r>
      <w:r>
        <w:t xml:space="preserve"> </w:t>
      </w:r>
      <w:r w:rsidRPr="003528B6">
        <w:t>on his phone. The next day, the police conducted a welfare check and</w:t>
      </w:r>
      <w:r>
        <w:t xml:space="preserve"> </w:t>
      </w:r>
      <w:r w:rsidRPr="003528B6">
        <w:t>found Keffer dead, lying face down in his bedroom. The coroner</w:t>
      </w:r>
      <w:r>
        <w:t xml:space="preserve"> </w:t>
      </w:r>
      <w:r w:rsidRPr="003528B6">
        <w:t>conducted an autopsy and determined Keffer died of natural causes,</w:t>
      </w:r>
    </w:p>
    <w:p w14:paraId="0F8EE634" w14:textId="77777777" w:rsidR="00812F8E" w:rsidRDefault="00812F8E" w:rsidP="00812F8E">
      <w:pPr>
        <w:pStyle w:val="NoSpacing"/>
      </w:pPr>
      <w:proofErr w:type="gramStart"/>
      <w:r w:rsidRPr="003528B6">
        <w:t>specifically</w:t>
      </w:r>
      <w:proofErr w:type="gramEnd"/>
      <w:r w:rsidRPr="003528B6">
        <w:t xml:space="preserve"> a heart attack.</w:t>
      </w:r>
    </w:p>
    <w:p w14:paraId="78220BC4" w14:textId="77777777" w:rsidR="00812F8E" w:rsidRDefault="00812F8E" w:rsidP="00812F8E">
      <w:pPr>
        <w:pStyle w:val="NoSpacing"/>
      </w:pPr>
    </w:p>
    <w:p w14:paraId="4D2A44DB" w14:textId="77777777" w:rsidR="00812F8E" w:rsidRDefault="00812F8E" w:rsidP="00812F8E">
      <w:pPr>
        <w:pStyle w:val="NoSpacing"/>
      </w:pPr>
      <w:r>
        <w:t>Keffer was 62 years old and in good health, with no reported heart problems or any other health problems. Uncontested evidence showed Keffer's preparation routine consisted of removing, cleaning and checking, and repacking all his equipment from his work truck, including</w:t>
      </w:r>
    </w:p>
    <w:p w14:paraId="69A059B3" w14:textId="77777777" w:rsidR="00812F8E" w:rsidRDefault="00812F8E" w:rsidP="00812F8E">
      <w:pPr>
        <w:pStyle w:val="NoSpacing"/>
      </w:pPr>
      <w:r>
        <w:t xml:space="preserve">both medical and camping equipment. This preparation was done in his garage and driveway. The preparations usually took about three to four hours to complete. Adventure Medics admitted Keffer was on duty when he died….  Dr. Ehrlich, a cardiologist, provided a medical opinion about the relationship between Keffer's employment activities and his heart attack. Dr. Ehrlich testified that Keffer ‘had a heart attack from a ruptured plaque that blocked off his coronary artery’ which caused ‘cardiac arrest.’ He described risk factors that could cause a plaque to rupture such as heavy physical activity and high temperatures. He determined those factors were present on the day Keffer died, stating: ‘[I]t's the perfect setup for a man who has these really easy-to-break plaques to have one break.’ He opined that ‘the activities outside in the heat were what triggered’ the ruptured plaque, saying the rupture was ‘very, very, very probably related to’ what Keffer was doing outside before he went into the house….  The medical examiner, Dr. Hu, also testified. He opined, based on the circumstances in which Keffer's body was found, that the rupture in the artery happened sometime during the day but he could not say exactly when. He acknowledged that heavy lifting and </w:t>
      </w:r>
      <w:proofErr w:type="spellStart"/>
      <w:r>
        <w:t>expos’re</w:t>
      </w:r>
      <w:proofErr w:type="spellEnd"/>
      <w:r>
        <w:t xml:space="preserve"> to heat could have contributed to the heart attack. Dr. Hu testified that he could not say with a "reasonable degree of medical certainty’ that the excess lifting and heat was a substantial contributing cause of the plaque rupture because he did not know Keffer's activity before his death, but these types of activities ‘could be substantial.</w:t>
      </w:r>
    </w:p>
    <w:p w14:paraId="479E278E" w14:textId="77777777" w:rsidR="00812F8E" w:rsidRDefault="00812F8E" w:rsidP="00812F8E">
      <w:pPr>
        <w:pStyle w:val="NoSpacing"/>
      </w:pPr>
    </w:p>
    <w:p w14:paraId="19605246" w14:textId="77777777" w:rsidR="00812F8E" w:rsidRDefault="00812F8E" w:rsidP="00812F8E">
      <w:pPr>
        <w:pStyle w:val="NoSpacing"/>
      </w:pPr>
      <w:r>
        <w:t>***</w:t>
      </w:r>
    </w:p>
    <w:p w14:paraId="1F40F92F" w14:textId="77777777" w:rsidR="00812F8E" w:rsidRDefault="00812F8E" w:rsidP="00812F8E">
      <w:pPr>
        <w:pStyle w:val="NoSpacing"/>
      </w:pPr>
      <w:r>
        <w:t>After reviewing the evidence, the ALJ found Dr. Ehrlich's opinion ‘more probably correct and well-founded’ that the work activities Keffer was performing were a substantial contributing cause of the heart attack and death. He noted the only difference in the opinion of Dr. Hu</w:t>
      </w:r>
    </w:p>
    <w:p w14:paraId="1AA44AEE" w14:textId="77777777" w:rsidR="00812F8E" w:rsidRDefault="00812F8E" w:rsidP="00812F8E">
      <w:pPr>
        <w:pStyle w:val="NoSpacing"/>
      </w:pPr>
      <w:r>
        <w:t xml:space="preserve">was he </w:t>
      </w:r>
      <w:proofErr w:type="gramStart"/>
      <w:r>
        <w:t>was</w:t>
      </w:r>
      <w:proofErr w:type="gramEnd"/>
      <w:r>
        <w:t xml:space="preserve"> less certain than Dr. Ehrlich about causation. The ALJ issued an award finding the claim compensable.”</w:t>
      </w:r>
    </w:p>
    <w:p w14:paraId="2BDB518C" w14:textId="77777777" w:rsidR="00812F8E" w:rsidRDefault="00812F8E" w:rsidP="00812F8E">
      <w:pPr>
        <w:pStyle w:val="NoSpacing"/>
      </w:pPr>
    </w:p>
    <w:p w14:paraId="17D42D78" w14:textId="77777777" w:rsidR="00812F8E" w:rsidRPr="001F1D24" w:rsidRDefault="00812F8E" w:rsidP="00812F8E">
      <w:pPr>
        <w:pStyle w:val="NoSpacing"/>
        <w:rPr>
          <w:b/>
          <w:bCs/>
        </w:rPr>
      </w:pPr>
      <w:r w:rsidRPr="001F1D24">
        <w:rPr>
          <w:b/>
        </w:rPr>
        <w:t xml:space="preserve">Legal lesson learned: </w:t>
      </w:r>
      <w:r>
        <w:rPr>
          <w:b/>
        </w:rPr>
        <w:t xml:space="preserve">Death benefits awarded based on wildland firefighting recent deployment, his pre-deployment heat, heavy lifting. </w:t>
      </w:r>
    </w:p>
    <w:p w14:paraId="41E1249E" w14:textId="77777777" w:rsidR="00812F8E" w:rsidRDefault="00812F8E" w:rsidP="00812F8E">
      <w:pPr>
        <w:pStyle w:val="NoSpacing"/>
        <w:rPr>
          <w:b/>
        </w:rPr>
      </w:pPr>
    </w:p>
    <w:p w14:paraId="75469AEF" w14:textId="77777777" w:rsidR="00812F8E" w:rsidRDefault="00812F8E" w:rsidP="00812F8E">
      <w:pPr>
        <w:pStyle w:val="NoSpacing"/>
        <w:rPr>
          <w:b/>
        </w:rPr>
      </w:pPr>
    </w:p>
    <w:p w14:paraId="30B2C55A" w14:textId="77777777" w:rsidR="00812F8E" w:rsidRDefault="00812F8E" w:rsidP="00812F8E">
      <w:pPr>
        <w:pStyle w:val="NoSpacing"/>
        <w:rPr>
          <w:b/>
        </w:rPr>
      </w:pPr>
    </w:p>
    <w:p w14:paraId="1EFC1AEB" w14:textId="77777777" w:rsidR="00812F8E" w:rsidRDefault="00812F8E" w:rsidP="00B40D58">
      <w:pPr>
        <w:rPr>
          <w:rFonts w:ascii="Arial Black" w:hAnsi="Arial Black"/>
          <w:sz w:val="24"/>
          <w:szCs w:val="24"/>
        </w:rPr>
      </w:pPr>
    </w:p>
    <w:p w14:paraId="13B49B03" w14:textId="77777777" w:rsidR="00812F8E" w:rsidRDefault="00812F8E" w:rsidP="00B40D58">
      <w:pPr>
        <w:rPr>
          <w:rFonts w:ascii="Arial Black" w:hAnsi="Arial Black"/>
          <w:sz w:val="24"/>
          <w:szCs w:val="24"/>
        </w:rPr>
      </w:pPr>
    </w:p>
    <w:p w14:paraId="57C9E1D6" w14:textId="77777777" w:rsidR="00812F8E" w:rsidRDefault="00812F8E" w:rsidP="00B40D58">
      <w:pPr>
        <w:rPr>
          <w:rFonts w:ascii="Arial Black" w:hAnsi="Arial Black"/>
          <w:sz w:val="24"/>
          <w:szCs w:val="24"/>
        </w:rPr>
      </w:pPr>
    </w:p>
    <w:p w14:paraId="7F6AB17A" w14:textId="77777777" w:rsidR="00812F8E" w:rsidRDefault="00812F8E" w:rsidP="00B40D58">
      <w:pPr>
        <w:rPr>
          <w:rFonts w:ascii="Arial Black" w:hAnsi="Arial Black"/>
          <w:sz w:val="24"/>
          <w:szCs w:val="24"/>
        </w:rPr>
      </w:pPr>
    </w:p>
    <w:p w14:paraId="21426237" w14:textId="76E9B8FD" w:rsidR="00B40D58" w:rsidRDefault="00B40D58" w:rsidP="00B40D58">
      <w:pPr>
        <w:rPr>
          <w:rFonts w:ascii="Arial Black" w:hAnsi="Arial Black"/>
          <w:b/>
          <w:sz w:val="28"/>
          <w:szCs w:val="28"/>
        </w:rPr>
      </w:pPr>
      <w:r>
        <w:rPr>
          <w:rFonts w:ascii="Arial Black" w:hAnsi="Arial Black"/>
          <w:sz w:val="24"/>
          <w:szCs w:val="24"/>
        </w:rPr>
        <w:lastRenderedPageBreak/>
        <w:t>2-115</w:t>
      </w:r>
    </w:p>
    <w:p w14:paraId="556B8546" w14:textId="66C7FD04" w:rsidR="00B40D58" w:rsidRPr="00F562FA" w:rsidRDefault="00B40D58" w:rsidP="00B40D58">
      <w:pPr>
        <w:pStyle w:val="NoSpacing"/>
        <w:rPr>
          <w:rFonts w:ascii="Arial Black" w:hAnsi="Arial Black"/>
          <w:b/>
          <w:sz w:val="28"/>
          <w:szCs w:val="28"/>
        </w:rPr>
      </w:pPr>
      <w:r>
        <w:rPr>
          <w:rFonts w:ascii="Arial Black" w:hAnsi="Arial Black"/>
          <w:b/>
          <w:sz w:val="28"/>
          <w:szCs w:val="28"/>
        </w:rPr>
        <w:t xml:space="preserve">U.S. SUP. CT – ROUNDUP - EPA NO CANCER WARNING - IARC </w:t>
      </w:r>
    </w:p>
    <w:p w14:paraId="18E4A3ED" w14:textId="77777777" w:rsidR="00B40D58" w:rsidRDefault="00B40D58" w:rsidP="00B40D58">
      <w:pPr>
        <w:pStyle w:val="NoSpacing"/>
        <w:rPr>
          <w:bCs/>
        </w:rPr>
      </w:pPr>
    </w:p>
    <w:p w14:paraId="1671783E" w14:textId="77777777" w:rsidR="00B40D58" w:rsidRDefault="00B40D58" w:rsidP="00B40D58">
      <w:pPr>
        <w:pStyle w:val="NoSpacing"/>
      </w:pPr>
      <w:r w:rsidRPr="006F77FB">
        <w:t xml:space="preserve">On June 25, 2026, in </w:t>
      </w:r>
      <w:r w:rsidRPr="00F3323C">
        <w:rPr>
          <w:u w:val="single"/>
        </w:rPr>
        <w:t>Monsanto Co. v. John Durnell</w:t>
      </w:r>
      <w:r w:rsidRPr="006F77FB">
        <w:t xml:space="preserve">, </w:t>
      </w:r>
      <w:r>
        <w:t>the United States Supreme Court held (7 to 2), the Court in opinion by Justice Brett Kavanaugh, held that the “failure to warn” jury verdict must be set aside. Monsanto followed EPA requirements on its label, and EPA concluded there is no scientific consensus that Roundup causes cancer even after the International Agency for Research on Cancer in 2017 and 2019 classified glyphosate as a probable carcinogen.  The Court wrote: “EPA’s assessment of glyphosate is shared by many other regulatory bodies around the world that have likewise concluded that glyphosate is not carcinogenic, including regulators in Canada, Australia, Japan, and the European Union.”</w:t>
      </w:r>
    </w:p>
    <w:p w14:paraId="1A1E9E65" w14:textId="77777777" w:rsidR="00B40D58" w:rsidRPr="006F77FB" w:rsidRDefault="00B40D58" w:rsidP="00B40D58">
      <w:pPr>
        <w:pStyle w:val="NoSpacing"/>
        <w:rPr>
          <w:bCs/>
        </w:rPr>
      </w:pPr>
      <w:hyperlink r:id="rId391" w:history="1">
        <w:r w:rsidRPr="00AE0467">
          <w:rPr>
            <w:rStyle w:val="Hyperlink"/>
          </w:rPr>
          <w:t>https://www.supremecourt.gov/opinions/25pdf/24-1068_n7ip.pdf</w:t>
        </w:r>
      </w:hyperlink>
      <w:r>
        <w:t xml:space="preserve"> </w:t>
      </w:r>
    </w:p>
    <w:p w14:paraId="23AF4130" w14:textId="77777777" w:rsidR="00B40D58" w:rsidRPr="006F77FB" w:rsidRDefault="00B40D58" w:rsidP="00B40D58">
      <w:pPr>
        <w:pStyle w:val="NoSpacing"/>
        <w:rPr>
          <w:bCs/>
        </w:rPr>
      </w:pPr>
    </w:p>
    <w:p w14:paraId="1564A6A2" w14:textId="77777777" w:rsidR="00B40D58" w:rsidRPr="002B7C70" w:rsidRDefault="00B40D58" w:rsidP="00B40D58">
      <w:pPr>
        <w:pStyle w:val="NoSpacing"/>
        <w:rPr>
          <w:b/>
        </w:rPr>
      </w:pPr>
      <w:r w:rsidRPr="002B7C70">
        <w:rPr>
          <w:b/>
        </w:rPr>
        <w:t>FACTS:</w:t>
      </w:r>
    </w:p>
    <w:p w14:paraId="5159404F" w14:textId="77777777" w:rsidR="00B40D58" w:rsidRDefault="00B40D58" w:rsidP="00B40D58">
      <w:pPr>
        <w:pStyle w:val="NoSpacing"/>
      </w:pPr>
    </w:p>
    <w:p w14:paraId="6804FE06" w14:textId="77777777" w:rsidR="00B40D58" w:rsidRPr="002B7C70" w:rsidRDefault="00B40D58" w:rsidP="00B40D58">
      <w:pPr>
        <w:pStyle w:val="NoSpacing"/>
      </w:pPr>
      <w:r>
        <w:t>“</w:t>
      </w:r>
      <w:r w:rsidRPr="002B7C70">
        <w:t>In 2019, John Durnell sued Monsanto in Missouri state</w:t>
      </w:r>
      <w:r>
        <w:t xml:space="preserve"> </w:t>
      </w:r>
      <w:r w:rsidRPr="002B7C70">
        <w:t>court. Durnell alleged that he had used Monsanto’s</w:t>
      </w:r>
      <w:r>
        <w:t xml:space="preserve"> </w:t>
      </w:r>
      <w:r w:rsidRPr="002B7C70">
        <w:t>Roundup products for about 20 years and that they had</w:t>
      </w:r>
      <w:r>
        <w:t xml:space="preserve"> </w:t>
      </w:r>
      <w:r w:rsidRPr="002B7C70">
        <w:t>caused his non-Hodgkin’s lymphoma, a form of cancer. As</w:t>
      </w:r>
      <w:r>
        <w:t xml:space="preserve"> </w:t>
      </w:r>
      <w:r w:rsidRPr="002B7C70">
        <w:t>relevant here, Durnell brought a failure-to-warn tort claim,</w:t>
      </w:r>
    </w:p>
    <w:p w14:paraId="22921887" w14:textId="77777777" w:rsidR="00B40D58" w:rsidRDefault="00B40D58" w:rsidP="00B40D58">
      <w:pPr>
        <w:pStyle w:val="NoSpacing"/>
      </w:pPr>
      <w:r w:rsidRPr="002B7C70">
        <w:t>claiming that Monsanto should have included a cancer</w:t>
      </w:r>
      <w:r>
        <w:t xml:space="preserve"> </w:t>
      </w:r>
      <w:r w:rsidRPr="002B7C70">
        <w:t>warning on Roundup’s label. A jury agreed and awarded</w:t>
      </w:r>
      <w:r>
        <w:t xml:space="preserve"> </w:t>
      </w:r>
      <w:r w:rsidRPr="002B7C70">
        <w:t>Durnell more than $1 million on the failure-to-warn theory</w:t>
      </w:r>
      <w:r>
        <w:t xml:space="preserve">. </w:t>
      </w:r>
    </w:p>
    <w:p w14:paraId="59C3BF8B" w14:textId="77777777" w:rsidR="00B40D58" w:rsidRDefault="00B40D58" w:rsidP="00B40D58">
      <w:pPr>
        <w:pStyle w:val="NoSpacing"/>
      </w:pPr>
    </w:p>
    <w:p w14:paraId="459822CB" w14:textId="77777777" w:rsidR="00B40D58" w:rsidRDefault="00B40D58" w:rsidP="00B40D58">
      <w:pPr>
        <w:pStyle w:val="NoSpacing"/>
      </w:pPr>
      <w:r>
        <w:t>***</w:t>
      </w:r>
    </w:p>
    <w:p w14:paraId="787BA3C7" w14:textId="77777777" w:rsidR="00B40D58" w:rsidRDefault="00B40D58" w:rsidP="00B40D58">
      <w:pPr>
        <w:pStyle w:val="NoSpacing"/>
      </w:pPr>
      <w:r>
        <w:t>Footnote 4: Monsanto has phased out residential Roundup products that contain</w:t>
      </w:r>
    </w:p>
    <w:p w14:paraId="3A4707EC" w14:textId="77777777" w:rsidR="00B40D58" w:rsidRDefault="00B40D58" w:rsidP="00B40D58">
      <w:pPr>
        <w:pStyle w:val="NoSpacing"/>
      </w:pPr>
      <w:r>
        <w:t>glyphosate.”</w:t>
      </w:r>
    </w:p>
    <w:p w14:paraId="5207C1AC" w14:textId="77777777" w:rsidR="00B40D58" w:rsidRDefault="00B40D58" w:rsidP="00B40D58">
      <w:pPr>
        <w:pStyle w:val="NoSpacing"/>
      </w:pPr>
    </w:p>
    <w:p w14:paraId="0E9DD4A1" w14:textId="77777777" w:rsidR="00B40D58" w:rsidRDefault="00B40D58" w:rsidP="00B40D58">
      <w:pPr>
        <w:pStyle w:val="NoSpacing"/>
        <w:rPr>
          <w:b/>
          <w:bCs/>
        </w:rPr>
      </w:pPr>
      <w:r w:rsidRPr="00384753">
        <w:rPr>
          <w:b/>
        </w:rPr>
        <w:t>COURT HELD:</w:t>
      </w:r>
    </w:p>
    <w:p w14:paraId="57F2E29A" w14:textId="77777777" w:rsidR="00B40D58" w:rsidRDefault="00B40D58" w:rsidP="00B40D58">
      <w:pPr>
        <w:pStyle w:val="NoSpacing"/>
        <w:rPr>
          <w:b/>
          <w:bCs/>
        </w:rPr>
      </w:pPr>
    </w:p>
    <w:p w14:paraId="1BEC1E0A" w14:textId="77777777" w:rsidR="00B40D58" w:rsidRPr="001D30DE" w:rsidRDefault="00B40D58" w:rsidP="00B40D58">
      <w:pPr>
        <w:pStyle w:val="NoSpacing"/>
      </w:pPr>
      <w:r>
        <w:t>“</w:t>
      </w:r>
      <w:r w:rsidRPr="001D30DE">
        <w:t>But Durnell’s state tort claim would require Monsanto to</w:t>
      </w:r>
      <w:r>
        <w:t xml:space="preserve"> </w:t>
      </w:r>
      <w:r w:rsidRPr="001D30DE">
        <w:t>add a cancer warning to Roundup’s label even though</w:t>
      </w:r>
      <w:r>
        <w:t xml:space="preserve"> </w:t>
      </w:r>
      <w:r w:rsidRPr="001D30DE">
        <w:t>federal law requires Monsanto to use the EPA-approved</w:t>
      </w:r>
      <w:r>
        <w:t xml:space="preserve"> </w:t>
      </w:r>
      <w:r w:rsidRPr="001D30DE">
        <w:t>label without a cancer warning. Because Durnell’s state</w:t>
      </w:r>
      <w:r>
        <w:t xml:space="preserve"> </w:t>
      </w:r>
      <w:r w:rsidRPr="001D30DE">
        <w:t>tort claim would impose a pesticide labeling requirement</w:t>
      </w:r>
    </w:p>
    <w:p w14:paraId="4C493548" w14:textId="77777777" w:rsidR="00B40D58" w:rsidRPr="001D30DE" w:rsidRDefault="00B40D58" w:rsidP="00B40D58">
      <w:pPr>
        <w:pStyle w:val="NoSpacing"/>
      </w:pPr>
      <w:r>
        <w:t>‘</w:t>
      </w:r>
      <w:proofErr w:type="gramStart"/>
      <w:r w:rsidRPr="001D30DE">
        <w:t>in</w:t>
      </w:r>
      <w:proofErr w:type="gramEnd"/>
      <w:r w:rsidRPr="001D30DE">
        <w:t xml:space="preserve"> addition to or different from</w:t>
      </w:r>
      <w:r>
        <w:t xml:space="preserve">’ </w:t>
      </w:r>
      <w:r w:rsidRPr="001D30DE">
        <w:t>the label required by EPA,</w:t>
      </w:r>
      <w:r>
        <w:t xml:space="preserve"> </w:t>
      </w:r>
      <w:r w:rsidRPr="001D30DE">
        <w:t>FIFRA expressly preempts Durnell’s claim.</w:t>
      </w:r>
    </w:p>
    <w:p w14:paraId="2F8DE838" w14:textId="77777777" w:rsidR="00B40D58" w:rsidRDefault="00B40D58" w:rsidP="00B40D58">
      <w:pPr>
        <w:pStyle w:val="NoSpacing"/>
      </w:pPr>
    </w:p>
    <w:p w14:paraId="721276BF" w14:textId="77777777" w:rsidR="00B40D58" w:rsidRDefault="00B40D58" w:rsidP="00B40D58">
      <w:pPr>
        <w:pStyle w:val="NoSpacing"/>
      </w:pPr>
      <w:r>
        <w:t>***</w:t>
      </w:r>
    </w:p>
    <w:p w14:paraId="49626563" w14:textId="77777777" w:rsidR="00B40D58" w:rsidRDefault="00B40D58" w:rsidP="00B40D58">
      <w:pPr>
        <w:pStyle w:val="NoSpacing"/>
      </w:pPr>
      <w:r>
        <w:t>In 1991 and for the more than three decades since, EPA has repeatedly re-evaluated glyphosate and has repeatedly concluded that glyphosate is not likely to cause cancer…. In 2017 and 2019, after the International Agency for Research on Cancer classified glyphosate as a probable</w:t>
      </w:r>
    </w:p>
    <w:p w14:paraId="5ED8654C" w14:textId="77777777" w:rsidR="00B40D58" w:rsidRDefault="00B40D58" w:rsidP="00B40D58">
      <w:pPr>
        <w:pStyle w:val="NoSpacing"/>
      </w:pPr>
      <w:r>
        <w:t>carcinogen, EPA re-examined the issue but still adhered to its longstanding position on glyphosate…. EPA’s assessment of glyphosate is shared by many other regulatory bodies around the world that have likewise concluded that glyphosate is not carcinogenic, including regulators in Canada, Australia, Japan, and the European Union.”</w:t>
      </w:r>
    </w:p>
    <w:p w14:paraId="2EB308C0" w14:textId="77777777" w:rsidR="00B40D58" w:rsidRDefault="00B40D58" w:rsidP="00B40D58">
      <w:pPr>
        <w:pStyle w:val="NoSpacing"/>
      </w:pPr>
    </w:p>
    <w:p w14:paraId="2563760F" w14:textId="77777777" w:rsidR="00B40D58" w:rsidRDefault="00B40D58" w:rsidP="00B40D58">
      <w:pPr>
        <w:pStyle w:val="NoSpacing"/>
        <w:rPr>
          <w:b/>
          <w:bCs/>
        </w:rPr>
      </w:pPr>
      <w:r>
        <w:rPr>
          <w:b/>
        </w:rPr>
        <w:t xml:space="preserve">Legal lesson learned: Monsanto has successfully dodged not only this one jury verdict, but many similar cases. </w:t>
      </w:r>
    </w:p>
    <w:p w14:paraId="73B4DBC9" w14:textId="77777777" w:rsidR="00B40D58" w:rsidRDefault="00B40D58" w:rsidP="00B40D58">
      <w:pPr>
        <w:pStyle w:val="NoSpacing"/>
        <w:rPr>
          <w:b/>
          <w:bCs/>
        </w:rPr>
      </w:pPr>
    </w:p>
    <w:p w14:paraId="7C60B304" w14:textId="77777777" w:rsidR="00B40D58" w:rsidRPr="006823FA" w:rsidRDefault="00B40D58" w:rsidP="00B40D58">
      <w:pPr>
        <w:pStyle w:val="NoSpacing"/>
        <w:ind w:left="720"/>
      </w:pPr>
      <w:r w:rsidRPr="006823FA">
        <w:t xml:space="preserve">Note: The International Agency for Research on Cancer classification of cancer-causing materials is important in fire service.  For example, in Ohio and employer can challenge a firefighter’s workers comp claim. “(2) The presumption described in division (X)(1) of this section is rebuttable in any of the following situations: … (c) There is evidence that the firefighter was not exposed to an agent classified by the international agency for research on cancer as a group 1 or 2A carcinogen.” </w:t>
      </w:r>
      <w:hyperlink r:id="rId392" w:history="1">
        <w:r w:rsidRPr="006823FA">
          <w:rPr>
            <w:rStyle w:val="Hyperlink"/>
          </w:rPr>
          <w:t>https://codes.ohio.gov/ohio-revised-code/section-4123.68</w:t>
        </w:r>
      </w:hyperlink>
      <w:r w:rsidRPr="006823FA">
        <w:t xml:space="preserve"> </w:t>
      </w:r>
    </w:p>
    <w:p w14:paraId="24C08A2E" w14:textId="77777777" w:rsidR="00B40D58" w:rsidRPr="006823FA" w:rsidRDefault="00B40D58" w:rsidP="00B40D58">
      <w:pPr>
        <w:pStyle w:val="NoSpacing"/>
      </w:pPr>
    </w:p>
    <w:p w14:paraId="0981C594" w14:textId="77777777" w:rsidR="00B40D58" w:rsidRDefault="00B40D58" w:rsidP="00B40D58">
      <w:pPr>
        <w:ind w:left="720"/>
      </w:pPr>
      <w:r>
        <w:t xml:space="preserve">See the IARC Group 1 (carcinogenic to humans) and Group 2 A (probably carcinogenic to humans). </w:t>
      </w:r>
      <w:hyperlink r:id="rId393" w:history="1">
        <w:r w:rsidRPr="008A03D1">
          <w:rPr>
            <w:rStyle w:val="Hyperlink"/>
          </w:rPr>
          <w:t>https://monographs.iarc.who.int/agents-classified-by-the-iarc/</w:t>
        </w:r>
      </w:hyperlink>
    </w:p>
    <w:p w14:paraId="52858173" w14:textId="77777777" w:rsidR="00B40D58" w:rsidRDefault="00B40D58" w:rsidP="00B40D58">
      <w:pPr>
        <w:pStyle w:val="NoSpacing"/>
        <w:rPr>
          <w:rFonts w:ascii="Arial Black" w:hAnsi="Arial Black"/>
          <w:b/>
          <w:sz w:val="28"/>
          <w:szCs w:val="28"/>
        </w:rPr>
      </w:pPr>
    </w:p>
    <w:p w14:paraId="66C40BF1" w14:textId="77777777" w:rsidR="00B40D58" w:rsidRDefault="00B40D58" w:rsidP="00B40D58"/>
    <w:p w14:paraId="7E5373AD" w14:textId="53485602" w:rsidR="00B40D58" w:rsidRDefault="00B40D58" w:rsidP="00B40D58">
      <w:pPr>
        <w:rPr>
          <w:rFonts w:ascii="Arial Black" w:hAnsi="Arial Black"/>
          <w:sz w:val="28"/>
          <w:szCs w:val="28"/>
        </w:rPr>
      </w:pPr>
      <w:r>
        <w:rPr>
          <w:rFonts w:ascii="Arial Black" w:hAnsi="Arial Black"/>
          <w:sz w:val="24"/>
          <w:szCs w:val="24"/>
        </w:rPr>
        <w:t>2-114</w:t>
      </w:r>
    </w:p>
    <w:p w14:paraId="28884D39" w14:textId="77777777" w:rsidR="00B40D58" w:rsidRPr="00343696" w:rsidRDefault="00B40D58" w:rsidP="00B40D58">
      <w:pPr>
        <w:rPr>
          <w:rFonts w:ascii="Arial Black" w:hAnsi="Arial Black"/>
          <w:b/>
          <w:sz w:val="28"/>
          <w:szCs w:val="28"/>
        </w:rPr>
      </w:pPr>
      <w:r>
        <w:rPr>
          <w:rFonts w:ascii="Arial Black" w:hAnsi="Arial Black"/>
          <w:b/>
          <w:sz w:val="28"/>
          <w:szCs w:val="28"/>
        </w:rPr>
        <w:t>TX: “PUBLIC SAFETY OFFICER RULE” – CAN’T SUE DRIVER</w:t>
      </w:r>
    </w:p>
    <w:p w14:paraId="10074E6A" w14:textId="77777777" w:rsidR="00B40D58" w:rsidRDefault="00B40D58" w:rsidP="00B40D58">
      <w:pPr>
        <w:pStyle w:val="NoSpacing"/>
        <w:tabs>
          <w:tab w:val="left" w:pos="2580"/>
        </w:tabs>
        <w:rPr>
          <w:bCs/>
        </w:rPr>
      </w:pPr>
      <w:r w:rsidRPr="00FC1E9E">
        <w:t xml:space="preserve">On June 18, 2026, </w:t>
      </w:r>
      <w:r>
        <w:t xml:space="preserve">in </w:t>
      </w:r>
      <w:r w:rsidRPr="001B2B07">
        <w:rPr>
          <w:u w:val="single"/>
        </w:rPr>
        <w:t xml:space="preserve">Richard Humphries v. </w:t>
      </w:r>
      <w:proofErr w:type="spellStart"/>
      <w:r w:rsidRPr="001B2B07">
        <w:rPr>
          <w:u w:val="single"/>
        </w:rPr>
        <w:t>TForce</w:t>
      </w:r>
      <w:proofErr w:type="spellEnd"/>
      <w:r w:rsidRPr="001B2B07">
        <w:rPr>
          <w:u w:val="single"/>
        </w:rPr>
        <w:t xml:space="preserve"> Freight, Inc.,</w:t>
      </w:r>
      <w:r>
        <w:rPr>
          <w:u w:val="single"/>
        </w:rPr>
        <w:t xml:space="preserve"> and Bhutta Hussein Javeed. </w:t>
      </w:r>
      <w:r>
        <w:t xml:space="preserve"> U.S. District Court Judge </w:t>
      </w:r>
      <w:proofErr w:type="spellStart"/>
      <w:r>
        <w:t>Matyhew</w:t>
      </w:r>
      <w:proofErr w:type="spellEnd"/>
      <w:r>
        <w:t xml:space="preserve"> J. Kacsmaryk, United States District Court for the Northern District of Texas, held that the truck company and its truck driver cannot be sued by the police officer, who was seriously injured while aiding the truck driver after an accident.  Federal judge is following the precedence of the Texas Supreme Court’s “public-safety officer’s rule.”  The Court wrote: “</w:t>
      </w:r>
      <w:r w:rsidRPr="004D7EFA">
        <w:t>First, the rule encourages those who need assistance from public-safety officers to call for it without fear of liability</w:t>
      </w:r>
      <w:r>
        <w:t>.”</w:t>
      </w:r>
    </w:p>
    <w:p w14:paraId="0357EFA9" w14:textId="77777777" w:rsidR="00B40D58" w:rsidRDefault="00B40D58" w:rsidP="00B40D58">
      <w:pPr>
        <w:rPr>
          <w:b/>
        </w:rPr>
      </w:pPr>
      <w:hyperlink r:id="rId394" w:history="1">
        <w:r w:rsidRPr="00014504">
          <w:rPr>
            <w:rStyle w:val="Hyperlink"/>
            <w:b/>
          </w:rPr>
          <w:t>https://www.casemine.com/judgement/us/6a36782a174bb89f9fdb2fa9</w:t>
        </w:r>
      </w:hyperlink>
      <w:r>
        <w:rPr>
          <w:b/>
        </w:rPr>
        <w:t xml:space="preserve"> </w:t>
      </w:r>
    </w:p>
    <w:p w14:paraId="5F91CDE1" w14:textId="77777777" w:rsidR="00B40D58" w:rsidRDefault="00B40D58" w:rsidP="00B40D58">
      <w:pPr>
        <w:rPr>
          <w:bCs/>
        </w:rPr>
      </w:pPr>
      <w:r w:rsidRPr="00AB37D4">
        <w:rPr>
          <w:b/>
        </w:rPr>
        <w:t>FACTS:</w:t>
      </w:r>
      <w:r>
        <w:t xml:space="preserve"> </w:t>
      </w:r>
    </w:p>
    <w:p w14:paraId="7794265F" w14:textId="77777777" w:rsidR="00B40D58" w:rsidRDefault="00B40D58" w:rsidP="00B40D58">
      <w:r>
        <w:t>“</w:t>
      </w:r>
      <w:r w:rsidRPr="00CB1BC0">
        <w:t xml:space="preserve">Defendant Bhutta Hussain Javed ("Javed") is an employee truck driver for Defendant </w:t>
      </w:r>
      <w:proofErr w:type="spellStart"/>
      <w:r w:rsidRPr="00CB1BC0">
        <w:t>TForce</w:t>
      </w:r>
      <w:proofErr w:type="spellEnd"/>
      <w:r w:rsidRPr="00CB1BC0">
        <w:t xml:space="preserve"> Freight Inc. ("</w:t>
      </w:r>
      <w:proofErr w:type="spellStart"/>
      <w:r w:rsidRPr="00CB1BC0">
        <w:t>TForce</w:t>
      </w:r>
      <w:proofErr w:type="spellEnd"/>
      <w:r w:rsidRPr="00CB1BC0">
        <w:t xml:space="preserve">"). On January 28, 2024, Javed was driving a tractor-trailer owned by </w:t>
      </w:r>
      <w:proofErr w:type="spellStart"/>
      <w:r w:rsidRPr="00CB1BC0">
        <w:t>TForce</w:t>
      </w:r>
      <w:proofErr w:type="spellEnd"/>
      <w:r w:rsidRPr="00CB1BC0">
        <w:t xml:space="preserve"> on I-40. The highway was covered in snow and ice, and Javed was allegedly</w:t>
      </w:r>
      <w:r>
        <w:t xml:space="preserve"> </w:t>
      </w:r>
      <w:r w:rsidRPr="004E100F">
        <w:t xml:space="preserve">driving too fast for the conditions. As a result, Javed's tractor-trailer </w:t>
      </w:r>
      <w:r>
        <w:t>‘</w:t>
      </w:r>
      <w:r w:rsidRPr="004E100F">
        <w:t>jackknifed</w:t>
      </w:r>
      <w:r>
        <w:t>’</w:t>
      </w:r>
      <w:r w:rsidRPr="004E100F">
        <w:t xml:space="preserve"> and slid into the center median, coming to a rest after striking the cable barrier. Plaintiff Richard Humphries </w:t>
      </w:r>
      <w:r>
        <w:t xml:space="preserve">… </w:t>
      </w:r>
      <w:r w:rsidRPr="004E100F">
        <w:t xml:space="preserve">is an Oldham County </w:t>
      </w:r>
      <w:proofErr w:type="spellStart"/>
      <w:r w:rsidRPr="004E100F">
        <w:t>Sheriffs</w:t>
      </w:r>
      <w:proofErr w:type="spellEnd"/>
      <w:r w:rsidRPr="004E100F">
        <w:t xml:space="preserve"> Deputy. At the time of Javed's crash, he was on duty responding to a call involving a separate crash. Humphries observed Javed's crash and stopped to render aid. Shortly thereafter, another tractor-trailer jackknifed and started sliding on the snowy and icy highway directly toward Humphries. While trying to avoid the second tractor-trailer, Humphries fell and suffered a significant head </w:t>
      </w:r>
      <w:proofErr w:type="gramStart"/>
      <w:r w:rsidRPr="004E100F">
        <w:t>injury.</w:t>
      </w:r>
      <w:r>
        <w:t>”</w:t>
      </w:r>
      <w:proofErr w:type="gramEnd"/>
    </w:p>
    <w:p w14:paraId="09911176" w14:textId="77777777" w:rsidR="00B40D58" w:rsidRDefault="00B40D58" w:rsidP="00B40D58">
      <w:r w:rsidRPr="00005E37">
        <w:rPr>
          <w:b/>
        </w:rPr>
        <w:t>COURT HELD:</w:t>
      </w:r>
      <w:r>
        <w:t xml:space="preserve"> </w:t>
      </w:r>
    </w:p>
    <w:p w14:paraId="1D579497" w14:textId="77777777" w:rsidR="00B40D58" w:rsidRDefault="00B40D58" w:rsidP="00B40D58">
      <w:r>
        <w:t>“</w:t>
      </w:r>
      <w:r w:rsidRPr="00E655C1">
        <w:t xml:space="preserve">But Texas has adopted a common law </w:t>
      </w:r>
      <w:r>
        <w:t>‘</w:t>
      </w:r>
      <w:r w:rsidRPr="00E655C1">
        <w:t>public-safety officer's rule.</w:t>
      </w:r>
      <w:r>
        <w:t>’</w:t>
      </w:r>
      <w:r w:rsidRPr="00E655C1">
        <w:t xml:space="preserve"> This rule precludes recovery for public- safety officers who suffer certain injuries while performing emergency activities. Because the public-safety officer's rule applies here, the Complaint fails to state a claim for which relief can be grante</w:t>
      </w:r>
      <w:r>
        <w:t>d.</w:t>
      </w:r>
    </w:p>
    <w:p w14:paraId="43EC2B96" w14:textId="77777777" w:rsidR="00B40D58" w:rsidRDefault="00B40D58" w:rsidP="00B40D58">
      <w:r>
        <w:t>***</w:t>
      </w:r>
    </w:p>
    <w:p w14:paraId="56510550" w14:textId="77777777" w:rsidR="00B40D58" w:rsidRPr="00934873" w:rsidRDefault="00B40D58" w:rsidP="00B40D58">
      <w:r w:rsidRPr="00934873">
        <w:t xml:space="preserve">The Texas Supreme Court recently adopted the </w:t>
      </w:r>
      <w:r>
        <w:t>‘</w:t>
      </w:r>
      <w:r w:rsidRPr="00934873">
        <w:t>public-safety officer's rule,</w:t>
      </w:r>
      <w:r>
        <w:t>’ … ‘</w:t>
      </w:r>
      <w:r w:rsidRPr="00934873">
        <w:t>which restricts the duties owed to responding officers.</w:t>
      </w:r>
      <w:r>
        <w:t>’</w:t>
      </w:r>
      <w:r w:rsidRPr="00934873">
        <w:t xml:space="preserve"> Seward v. Santander, 713 S.W.3d 341, 359 (Tex. 2025). Specifically, the Texas Supreme Court adopted the following rule:</w:t>
      </w:r>
    </w:p>
    <w:p w14:paraId="7D45B682" w14:textId="77777777" w:rsidR="00B40D58" w:rsidRPr="00934873" w:rsidRDefault="00B40D58" w:rsidP="00B40D58">
      <w:pPr>
        <w:ind w:left="720"/>
      </w:pPr>
      <w:r w:rsidRPr="00934873">
        <w:t>An actor who innocently or negligently creates a peril that occasions the presence of a public-safety officer owes no duty to that officer when the officer is injured by the very same peril that occasioned the officer's presence, and the officer is injured while (1) on duty, (2) acting within the scope of employment, and (3) engaged in the performance of emergency activities.</w:t>
      </w:r>
    </w:p>
    <w:p w14:paraId="7677A15E" w14:textId="77777777" w:rsidR="00B40D58" w:rsidRDefault="00B40D58" w:rsidP="00B40D58">
      <w:r w:rsidRPr="004D7EFA">
        <w:t xml:space="preserve">The court grounded the rule in public policy considerations, finding three policy arguments </w:t>
      </w:r>
      <w:r>
        <w:t>‘</w:t>
      </w:r>
      <w:r w:rsidRPr="004D7EFA">
        <w:t>especially compelling.</w:t>
      </w:r>
      <w:r>
        <w:t xml:space="preserve">’ … </w:t>
      </w:r>
      <w:r w:rsidRPr="004D7EFA">
        <w:t>First, the rule encourages those who need assistance from public-safety officers to call for it without fear of liability</w:t>
      </w:r>
      <w:r>
        <w:t xml:space="preserve">…. </w:t>
      </w:r>
      <w:r w:rsidRPr="004D7EFA">
        <w:t xml:space="preserve">Second, the rule minimizes the </w:t>
      </w:r>
      <w:r>
        <w:t>‘</w:t>
      </w:r>
      <w:r w:rsidRPr="004D7EFA">
        <w:t>specter of invidious discrimination'—that public-safety officers will be more eager to assist and risk injury when they are more likely to recover in a tort action</w:t>
      </w:r>
      <w:r>
        <w:t xml:space="preserve">…. </w:t>
      </w:r>
      <w:r w:rsidRPr="004D7EFA">
        <w:t>And third, the rule spreads the risk and cost of injuries to the public rather than solely to the individuals who require public-safety officer assistance.</w:t>
      </w:r>
      <w:r>
        <w:t>”</w:t>
      </w:r>
    </w:p>
    <w:p w14:paraId="667694FF" w14:textId="77777777" w:rsidR="00B40D58" w:rsidRDefault="00B40D58" w:rsidP="00B40D58">
      <w:pPr>
        <w:rPr>
          <w:b/>
          <w:bCs/>
        </w:rPr>
      </w:pPr>
      <w:r>
        <w:rPr>
          <w:b/>
        </w:rPr>
        <w:t xml:space="preserve">Legal lesson learned: About 18 states have abolished or significantly modified the “Public-Safety Officer Rule” or “Fireman’s Rule” to allow an injured police officer or firefighter to sue for damages; but not Texas. </w:t>
      </w:r>
    </w:p>
    <w:p w14:paraId="6E3EF298" w14:textId="77777777" w:rsidR="00B40D58" w:rsidRPr="00FC1E9E" w:rsidRDefault="00B40D58" w:rsidP="00B40D58">
      <w:pPr>
        <w:pStyle w:val="NoSpacing"/>
        <w:ind w:left="720"/>
        <w:rPr>
          <w:bCs/>
        </w:rPr>
      </w:pPr>
      <w:r>
        <w:lastRenderedPageBreak/>
        <w:t>Note: See this article. “</w:t>
      </w:r>
      <w:r w:rsidRPr="00A6014C">
        <w:t>Notably, a sizable minority of states (18) do not currently apply the Fireman’s Rule and have either explicitly</w:t>
      </w:r>
      <w:r>
        <w:t xml:space="preserve"> </w:t>
      </w:r>
      <w:r w:rsidRPr="00A6014C">
        <w:t>declined to adopt, rejected, limited, or failed to address it.</w:t>
      </w:r>
      <w:r>
        <w:t xml:space="preserve"> </w:t>
      </w:r>
      <w:r w:rsidRPr="00A6014C">
        <w:t>The remaining jurisdictions still invoke the Fireman’s Rule</w:t>
      </w:r>
      <w:r>
        <w:t xml:space="preserve"> </w:t>
      </w:r>
      <w:r w:rsidRPr="00A6014C">
        <w:t>as a bar to recovery for negligence in association with the cause of a fire. The reasoning behind this bar, however,</w:t>
      </w:r>
      <w:r>
        <w:t xml:space="preserve"> </w:t>
      </w:r>
      <w:r w:rsidRPr="00A6014C">
        <w:t>varies from jurisdiction to jurisdiction.</w:t>
      </w:r>
      <w:r>
        <w:t xml:space="preserve">” </w:t>
      </w:r>
      <w:hyperlink r:id="rId395" w:history="1">
        <w:r w:rsidRPr="00295025">
          <w:rPr>
            <w:rStyle w:val="Hyperlink"/>
          </w:rPr>
          <w:t>file:///C:/Users/lawre/Downloads/0182139.PDF</w:t>
        </w:r>
      </w:hyperlink>
      <w:r>
        <w:t xml:space="preserve"> </w:t>
      </w:r>
    </w:p>
    <w:p w14:paraId="7FEDAA00" w14:textId="77777777" w:rsidR="00B40D58" w:rsidRDefault="00B40D58" w:rsidP="00B40D58">
      <w:pPr>
        <w:rPr>
          <w:b/>
        </w:rPr>
      </w:pPr>
    </w:p>
    <w:p w14:paraId="614C7C7B" w14:textId="77777777" w:rsidR="00B40D58" w:rsidRDefault="00B40D58" w:rsidP="001B7551">
      <w:pPr>
        <w:rPr>
          <w:rFonts w:ascii="Arial Black" w:hAnsi="Arial Black"/>
          <w:sz w:val="24"/>
          <w:szCs w:val="24"/>
        </w:rPr>
      </w:pPr>
    </w:p>
    <w:p w14:paraId="7BA1E085" w14:textId="77777777" w:rsidR="00B40D58" w:rsidRDefault="00B40D58" w:rsidP="001B7551">
      <w:pPr>
        <w:rPr>
          <w:rFonts w:ascii="Arial Black" w:hAnsi="Arial Black"/>
          <w:sz w:val="24"/>
          <w:szCs w:val="24"/>
        </w:rPr>
      </w:pPr>
    </w:p>
    <w:p w14:paraId="0CE161B5" w14:textId="77777777" w:rsidR="00B40D58" w:rsidRDefault="00B40D58" w:rsidP="001B7551">
      <w:pPr>
        <w:rPr>
          <w:rFonts w:ascii="Arial Black" w:hAnsi="Arial Black"/>
          <w:sz w:val="24"/>
          <w:szCs w:val="24"/>
        </w:rPr>
      </w:pPr>
    </w:p>
    <w:p w14:paraId="4182E3D7" w14:textId="77777777" w:rsidR="00B40D58" w:rsidRDefault="00B40D58" w:rsidP="001B7551">
      <w:pPr>
        <w:rPr>
          <w:rFonts w:ascii="Arial Black" w:hAnsi="Arial Black"/>
          <w:sz w:val="24"/>
          <w:szCs w:val="24"/>
        </w:rPr>
      </w:pPr>
    </w:p>
    <w:p w14:paraId="00C15719" w14:textId="3D6E0A03" w:rsidR="001B7551" w:rsidRDefault="001B7551" w:rsidP="001B7551">
      <w:pPr>
        <w:rPr>
          <w:rFonts w:ascii="Arial Black" w:hAnsi="Arial Black"/>
          <w:sz w:val="28"/>
          <w:szCs w:val="28"/>
        </w:rPr>
      </w:pPr>
      <w:r>
        <w:rPr>
          <w:rFonts w:ascii="Arial Black" w:hAnsi="Arial Black"/>
          <w:sz w:val="24"/>
          <w:szCs w:val="24"/>
        </w:rPr>
        <w:t>2-113</w:t>
      </w:r>
    </w:p>
    <w:p w14:paraId="4E604E2B" w14:textId="77777777" w:rsidR="001B7551" w:rsidRPr="00965815" w:rsidRDefault="001B7551" w:rsidP="001B7551">
      <w:pPr>
        <w:pStyle w:val="NoSpacing"/>
        <w:rPr>
          <w:rFonts w:ascii="Arial Black" w:hAnsi="Arial Black"/>
          <w:sz w:val="28"/>
          <w:szCs w:val="28"/>
        </w:rPr>
      </w:pPr>
      <w:r>
        <w:rPr>
          <w:rFonts w:ascii="Arial Black" w:hAnsi="Arial Black"/>
          <w:sz w:val="28"/>
          <w:szCs w:val="28"/>
        </w:rPr>
        <w:t>OH: SPEEDING IN MVA AREA – KILLED FF – 15 YRS/LIFE</w:t>
      </w:r>
    </w:p>
    <w:p w14:paraId="5FA3A6B4" w14:textId="77777777" w:rsidR="001B7551" w:rsidRDefault="001B7551" w:rsidP="001B7551">
      <w:pPr>
        <w:pStyle w:val="NoSpacing"/>
      </w:pPr>
    </w:p>
    <w:p w14:paraId="243F347D" w14:textId="77777777" w:rsidR="001B7551" w:rsidRDefault="001B7551" w:rsidP="001B7551">
      <w:pPr>
        <w:pStyle w:val="NoSpacing"/>
      </w:pPr>
      <w:r>
        <w:t xml:space="preserve">On May 29, 2026, in </w:t>
      </w:r>
      <w:r w:rsidRPr="00B03864">
        <w:rPr>
          <w:u w:val="single"/>
        </w:rPr>
        <w:t>The State of Ohio v. Leander Bissell</w:t>
      </w:r>
      <w:r>
        <w:t xml:space="preserve">, the Supreme Court of Ohio held (7 to 0) that conviction for felony-murder after bench trial (no jury) is affirmed; the defendant must serve 15 years to life for the crimes of felonious assault, felony murder, involuntary manslaughter, aggravated vehicular homicide, failure to comply with an order or signal of a police officer, and failure to stop after an accident.  The Court reversed the Ohio Eight District Court of Appeals (Cuyahoga County) which held (2 to 1) there was insufficient evidence of driver’s intent to harm. On November 19, 2022, at approximately 8:15 p.m., Engine Company 22 of the City of Cleveland Division of Fire received an emergency dispatch for a vehicle crash on Interstate 90, a four-lane highway, near the exit of Martin Luther King Boulevard. One vehicle had flipped over onto its top on the left shoulder of the highway, blocking a part of the far-left high-speed lane. Firefighter </w:t>
      </w:r>
      <w:r w:rsidRPr="00A956B8">
        <w:t>Johnny Tetrick</w:t>
      </w:r>
      <w:r>
        <w:t xml:space="preserve"> was struck and killed, picking up debris from the highway, when the defendant sped by police cars at 49 mph, throwing Tetrick </w:t>
      </w:r>
      <w:r w:rsidRPr="00762BA4">
        <w:t xml:space="preserve">102.5 feet, </w:t>
      </w:r>
      <w:r>
        <w:t>and then fled the scene. THE COURT WROTE: The Eighth District’s reasoning is wrong. The Eighth District reasoned that criminal knowledge requires an offender’s ‘intention that a result will occur,’ id., but that is not so. ‘A person acts knowingly, regardless of purpose, when the person is aware that the person’s conduct will probably cause a certain result or will probably be of a certain nature.’ (Emphasis added.) R.C. 2901.22(B).</w:t>
      </w:r>
    </w:p>
    <w:p w14:paraId="27CD64DF" w14:textId="77777777" w:rsidR="001B7551" w:rsidRDefault="001B7551" w:rsidP="001B7551">
      <w:pPr>
        <w:pStyle w:val="NoSpacing"/>
      </w:pPr>
      <w:r>
        <w:t>Therefore, an offender’s purpose or intention to cause a result is not required when</w:t>
      </w:r>
    </w:p>
    <w:p w14:paraId="0DA3811A" w14:textId="77777777" w:rsidR="001B7551" w:rsidRDefault="001B7551" w:rsidP="001B7551">
      <w:pPr>
        <w:pStyle w:val="NoSpacing"/>
      </w:pPr>
      <w:r>
        <w:t xml:space="preserve">determining an offender’s </w:t>
      </w:r>
      <w:proofErr w:type="gramStart"/>
      <w:r>
        <w:t>knowledge, ‘</w:t>
      </w:r>
      <w:proofErr w:type="gramEnd"/>
      <w:r>
        <w:t>only an awareness of the probable</w:t>
      </w:r>
    </w:p>
    <w:p w14:paraId="549C7DDD" w14:textId="77777777" w:rsidR="001B7551" w:rsidRDefault="001B7551" w:rsidP="001B7551">
      <w:pPr>
        <w:rPr>
          <w:b/>
        </w:rPr>
      </w:pPr>
      <w:r>
        <w:t xml:space="preserve">consequences of one’s actions.’” </w:t>
      </w:r>
      <w:hyperlink r:id="rId396" w:history="1">
        <w:r w:rsidRPr="00BC462E">
          <w:rPr>
            <w:rStyle w:val="Hyperlink"/>
            <w:b/>
          </w:rPr>
          <w:t>https://www.supremecourt.ohio.gov/rod/docs/pdf/0/2026/2026-Ohio-1965.pdf</w:t>
        </w:r>
      </w:hyperlink>
      <w:r>
        <w:rPr>
          <w:b/>
        </w:rPr>
        <w:t xml:space="preserve"> </w:t>
      </w:r>
    </w:p>
    <w:p w14:paraId="129562B3" w14:textId="77777777" w:rsidR="001B7551" w:rsidRDefault="001B7551" w:rsidP="001B7551">
      <w:pPr>
        <w:pStyle w:val="NoSpacing"/>
      </w:pPr>
      <w:r>
        <w:t xml:space="preserve"> </w:t>
      </w:r>
    </w:p>
    <w:p w14:paraId="07F83796" w14:textId="77777777" w:rsidR="001B7551" w:rsidRDefault="001B7551" w:rsidP="001B7551">
      <w:pPr>
        <w:pStyle w:val="NoSpacing"/>
      </w:pPr>
      <w:r>
        <w:t xml:space="preserve">THE COURT HELD: </w:t>
      </w:r>
    </w:p>
    <w:p w14:paraId="58791EB4" w14:textId="77777777" w:rsidR="001B7551" w:rsidRDefault="001B7551" w:rsidP="001B7551">
      <w:pPr>
        <w:pStyle w:val="NoSpacing"/>
      </w:pPr>
    </w:p>
    <w:p w14:paraId="399BB57C" w14:textId="77777777" w:rsidR="001B7551" w:rsidRDefault="001B7551" w:rsidP="001B7551">
      <w:pPr>
        <w:pStyle w:val="NoSpacing"/>
        <w:ind w:firstLine="720"/>
      </w:pPr>
      <w:r>
        <w:t xml:space="preserve">“Judge </w:t>
      </w:r>
      <w:proofErr w:type="spellStart"/>
      <w:r>
        <w:t>Celebrezze</w:t>
      </w:r>
      <w:proofErr w:type="spellEnd"/>
      <w:r>
        <w:t xml:space="preserve"> [Court of Appeals] dissented from the majority opinion. According</w:t>
      </w:r>
    </w:p>
    <w:p w14:paraId="258E2493" w14:textId="77777777" w:rsidR="001B7551" w:rsidRDefault="001B7551" w:rsidP="001B7551">
      <w:pPr>
        <w:pStyle w:val="NoSpacing"/>
        <w:ind w:firstLine="720"/>
      </w:pPr>
      <w:r>
        <w:t>to Judge Celebrezze, Bissell’s conduct in speeding through an area of stopped</w:t>
      </w:r>
    </w:p>
    <w:p w14:paraId="591DDCAA" w14:textId="77777777" w:rsidR="001B7551" w:rsidRDefault="001B7551" w:rsidP="001B7551">
      <w:pPr>
        <w:pStyle w:val="NoSpacing"/>
        <w:ind w:firstLine="720"/>
      </w:pPr>
      <w:r>
        <w:t>traffic and a heavy first-</w:t>
      </w:r>
      <w:proofErr w:type="gramStart"/>
      <w:r>
        <w:t>responder presence</w:t>
      </w:r>
      <w:proofErr w:type="gramEnd"/>
      <w:r>
        <w:t xml:space="preserve"> established sufficient evidence that</w:t>
      </w:r>
    </w:p>
    <w:p w14:paraId="69A7479D" w14:textId="77777777" w:rsidR="001B7551" w:rsidRDefault="001B7551" w:rsidP="001B7551">
      <w:pPr>
        <w:pStyle w:val="NoSpacing"/>
        <w:ind w:firstLine="720"/>
      </w:pPr>
      <w:r>
        <w:t>Bissell acted knowingly when he hit Tetrick in the roadway because it was probable</w:t>
      </w:r>
    </w:p>
    <w:p w14:paraId="5173346A" w14:textId="77777777" w:rsidR="001B7551" w:rsidRDefault="001B7551" w:rsidP="001B7551">
      <w:pPr>
        <w:pStyle w:val="NoSpacing"/>
        <w:ind w:firstLine="720"/>
      </w:pPr>
      <w:r>
        <w:t>that Bissell’s conduct would cause physical harm…. (</w:t>
      </w:r>
      <w:proofErr w:type="spellStart"/>
      <w:r>
        <w:t>Celebrezze</w:t>
      </w:r>
      <w:proofErr w:type="spellEnd"/>
      <w:r>
        <w:t>, J.,</w:t>
      </w:r>
    </w:p>
    <w:p w14:paraId="4BAEB34E" w14:textId="77777777" w:rsidR="001B7551" w:rsidRDefault="001B7551" w:rsidP="001B7551">
      <w:pPr>
        <w:pStyle w:val="NoSpacing"/>
        <w:ind w:firstLine="720"/>
      </w:pPr>
      <w:r>
        <w:t xml:space="preserve">dissenting). With respect to the failure-to-comply charge, Judge </w:t>
      </w:r>
      <w:proofErr w:type="spellStart"/>
      <w:r>
        <w:t>Celebrezze</w:t>
      </w:r>
      <w:proofErr w:type="spellEnd"/>
    </w:p>
    <w:p w14:paraId="0821874A" w14:textId="77777777" w:rsidR="001B7551" w:rsidRDefault="001B7551" w:rsidP="001B7551">
      <w:pPr>
        <w:pStyle w:val="NoSpacing"/>
        <w:ind w:firstLine="720"/>
      </w:pPr>
      <w:r>
        <w:t>reasoned that the parked police vehicles with flashing lights on the highway served</w:t>
      </w:r>
    </w:p>
    <w:p w14:paraId="094FCE18" w14:textId="77777777" w:rsidR="001B7551" w:rsidRDefault="001B7551" w:rsidP="001B7551">
      <w:pPr>
        <w:pStyle w:val="NoSpacing"/>
        <w:ind w:firstLine="720"/>
      </w:pPr>
      <w:r>
        <w:t>as an order or direction from police officers…. (</w:t>
      </w:r>
      <w:proofErr w:type="spellStart"/>
      <w:r>
        <w:t>Celebrezze</w:t>
      </w:r>
      <w:proofErr w:type="spellEnd"/>
      <w:r>
        <w:t>, J., dissenting).</w:t>
      </w:r>
    </w:p>
    <w:p w14:paraId="55A228A3" w14:textId="77777777" w:rsidR="001B7551" w:rsidRDefault="001B7551" w:rsidP="001B7551">
      <w:pPr>
        <w:pStyle w:val="NoSpacing"/>
        <w:ind w:firstLine="720"/>
      </w:pPr>
    </w:p>
    <w:p w14:paraId="48FDDEB7" w14:textId="77777777" w:rsidR="001B7551" w:rsidRDefault="001B7551" w:rsidP="001B7551">
      <w:pPr>
        <w:pStyle w:val="NoSpacing"/>
        <w:ind w:firstLine="720"/>
      </w:pPr>
      <w:r>
        <w:t>***</w:t>
      </w:r>
    </w:p>
    <w:p w14:paraId="4E55E2BA" w14:textId="77777777" w:rsidR="001B7551" w:rsidRDefault="001B7551" w:rsidP="001B7551">
      <w:pPr>
        <w:pStyle w:val="NoSpacing"/>
        <w:ind w:firstLine="720"/>
      </w:pPr>
      <w:r>
        <w:t>Considering the evidence in this case in the light most favorable to</w:t>
      </w:r>
    </w:p>
    <w:p w14:paraId="4FE7E804" w14:textId="77777777" w:rsidR="001B7551" w:rsidRDefault="001B7551" w:rsidP="001B7551">
      <w:pPr>
        <w:pStyle w:val="NoSpacing"/>
        <w:ind w:firstLine="720"/>
      </w:pPr>
      <w:r>
        <w:t>the State, sufficient evidence exists to establish that Bissell was aware that his</w:t>
      </w:r>
    </w:p>
    <w:p w14:paraId="0EBCB141" w14:textId="77777777" w:rsidR="001B7551" w:rsidRDefault="001B7551" w:rsidP="001B7551">
      <w:pPr>
        <w:pStyle w:val="NoSpacing"/>
        <w:ind w:firstLine="720"/>
      </w:pPr>
      <w:r>
        <w:t>conduct would probably cause serious physical harm to a bystander or first</w:t>
      </w:r>
    </w:p>
    <w:p w14:paraId="77E8CF3F" w14:textId="77777777" w:rsidR="001B7551" w:rsidRDefault="001B7551" w:rsidP="001B7551">
      <w:pPr>
        <w:pStyle w:val="NoSpacing"/>
        <w:ind w:firstLine="720"/>
      </w:pPr>
      <w:r>
        <w:lastRenderedPageBreak/>
        <w:t>responder like Tetrick for purposes of Bissell’s felony-murder conviction.”</w:t>
      </w:r>
    </w:p>
    <w:p w14:paraId="39638C6A" w14:textId="77777777" w:rsidR="001B7551" w:rsidRDefault="001B7551" w:rsidP="001B7551">
      <w:pPr>
        <w:pStyle w:val="NoSpacing"/>
        <w:ind w:firstLine="720"/>
      </w:pPr>
    </w:p>
    <w:p w14:paraId="3B0E80F8" w14:textId="77777777" w:rsidR="001B7551" w:rsidRPr="00594AB3" w:rsidRDefault="001B7551" w:rsidP="001B7551">
      <w:pPr>
        <w:rPr>
          <w:b/>
          <w:bCs/>
        </w:rPr>
      </w:pPr>
      <w:r>
        <w:rPr>
          <w:b/>
        </w:rPr>
        <w:t xml:space="preserve">Legal lesson learned: Important decision; driver is held responsible for killing a firefighter at a busy accident scene. </w:t>
      </w:r>
    </w:p>
    <w:p w14:paraId="3676885B" w14:textId="77777777" w:rsidR="001B7551" w:rsidRDefault="001B7551" w:rsidP="001B7551">
      <w:pPr>
        <w:pStyle w:val="NoSpacing"/>
      </w:pPr>
    </w:p>
    <w:p w14:paraId="7C59D1DD" w14:textId="77777777" w:rsidR="001B7551" w:rsidRDefault="001B7551" w:rsidP="001B7551">
      <w:pPr>
        <w:pStyle w:val="NoSpacing"/>
      </w:pPr>
    </w:p>
    <w:p w14:paraId="1CD4FE14" w14:textId="77777777" w:rsidR="001B7551" w:rsidRDefault="001B7551" w:rsidP="001B7551">
      <w:pPr>
        <w:pStyle w:val="NoSpacing"/>
      </w:pPr>
    </w:p>
    <w:p w14:paraId="53BE5197" w14:textId="65978475" w:rsidR="001B7551" w:rsidRDefault="001B7551" w:rsidP="001B7551">
      <w:pPr>
        <w:rPr>
          <w:rFonts w:ascii="Arial Black" w:hAnsi="Arial Black"/>
          <w:sz w:val="28"/>
          <w:szCs w:val="28"/>
        </w:rPr>
      </w:pPr>
      <w:r>
        <w:rPr>
          <w:rFonts w:ascii="Arial Black" w:hAnsi="Arial Black"/>
          <w:sz w:val="24"/>
          <w:szCs w:val="24"/>
        </w:rPr>
        <w:t>2-112</w:t>
      </w:r>
    </w:p>
    <w:p w14:paraId="5CFB08BF" w14:textId="77777777" w:rsidR="001B7551" w:rsidRPr="00444200" w:rsidRDefault="001B7551" w:rsidP="001B7551">
      <w:pPr>
        <w:rPr>
          <w:rFonts w:ascii="Arial Black" w:hAnsi="Arial Black"/>
          <w:bCs/>
          <w:sz w:val="28"/>
          <w:szCs w:val="28"/>
        </w:rPr>
      </w:pPr>
      <w:r>
        <w:rPr>
          <w:rFonts w:ascii="Arial Black" w:hAnsi="Arial Black"/>
          <w:sz w:val="28"/>
          <w:szCs w:val="28"/>
        </w:rPr>
        <w:t xml:space="preserve">CA: DEF. SHOT &amp; KILLED CAPT – UNIFORMED FFs AT TRIAL </w:t>
      </w:r>
    </w:p>
    <w:p w14:paraId="258B63B3" w14:textId="77777777" w:rsidR="001B7551" w:rsidRDefault="001B7551" w:rsidP="001B7551">
      <w:pPr>
        <w:pStyle w:val="NoSpacing"/>
        <w:rPr>
          <w:bCs/>
        </w:rPr>
      </w:pPr>
      <w:r>
        <w:t xml:space="preserve">On May 29, 2026, in </w:t>
      </w:r>
      <w:r w:rsidRPr="004924E7">
        <w:rPr>
          <w:u w:val="single"/>
        </w:rPr>
        <w:t>The People v. Robert Alston Sommerville</w:t>
      </w:r>
      <w:r>
        <w:t xml:space="preserve">, the </w:t>
      </w:r>
      <w:r w:rsidRPr="004924E7">
        <w:t>California Court of Appeals, Third District, San Joaquin</w:t>
      </w:r>
      <w:r>
        <w:t xml:space="preserve"> held (3 to 0) the conviction was affirmed.  </w:t>
      </w:r>
      <w:r w:rsidRPr="0027757B">
        <w:t xml:space="preserve">Somerville was found guilty on Feb. 14, 2023, by a jury of the shooting death of 47-year-old Stockton Fire Capt. Vidal </w:t>
      </w:r>
      <w:r>
        <w:t>“</w:t>
      </w:r>
      <w:r w:rsidRPr="0027757B">
        <w:t>Max” Fortuna</w:t>
      </w:r>
      <w:r>
        <w:t xml:space="preserve">; he was sentenced </w:t>
      </w:r>
      <w:r w:rsidRPr="005D6C9B">
        <w:t>to 15 years to life in prison.</w:t>
      </w:r>
      <w:r>
        <w:t xml:space="preserve"> On January 31, 2022, at 4:45 am, </w:t>
      </w:r>
      <w:r w:rsidRPr="00000601">
        <w:t>a fire department dispatcher received</w:t>
      </w:r>
      <w:r>
        <w:t xml:space="preserve"> </w:t>
      </w:r>
      <w:r w:rsidRPr="00000601">
        <w:t>multiple calls regarding a fire near the Crosstown Freeway and Aurora Street in Stockton.</w:t>
      </w:r>
      <w:r>
        <w:t xml:space="preserve"> </w:t>
      </w:r>
      <w:r w:rsidRPr="00000601">
        <w:t>The dispatcher instructed Engine 2 to respond and described it as an outdoor fire. A few</w:t>
      </w:r>
      <w:r>
        <w:t xml:space="preserve"> </w:t>
      </w:r>
      <w:r w:rsidRPr="00000601">
        <w:t>minutes later, an alarm company called the dispatcher to report an audible alarm at a</w:t>
      </w:r>
      <w:r>
        <w:t xml:space="preserve"> </w:t>
      </w:r>
      <w:r w:rsidRPr="00000601">
        <w:t>commercial building at an address on South Aurora Street. The dispatcher then updated</w:t>
      </w:r>
      <w:r>
        <w:t xml:space="preserve"> </w:t>
      </w:r>
      <w:r w:rsidRPr="00000601">
        <w:t xml:space="preserve">Engine 2 </w:t>
      </w:r>
      <w:proofErr w:type="gramStart"/>
      <w:r w:rsidRPr="00000601">
        <w:t>on</w:t>
      </w:r>
      <w:proofErr w:type="gramEnd"/>
      <w:r w:rsidRPr="00000601">
        <w:t xml:space="preserve"> the building alarm and location.</w:t>
      </w:r>
      <w:r>
        <w:t xml:space="preserve"> </w:t>
      </w:r>
      <w:r w:rsidRPr="00B4394A">
        <w:t xml:space="preserve">Robert Somerville was living in </w:t>
      </w:r>
      <w:r>
        <w:t xml:space="preserve">his </w:t>
      </w:r>
      <w:r w:rsidRPr="00B4394A">
        <w:t>commercial building in Stockton</w:t>
      </w:r>
      <w:r>
        <w:t xml:space="preserve">; not </w:t>
      </w:r>
      <w:r w:rsidRPr="00B4394A">
        <w:t>realizing there was a fire outside and firefighters were trying to get in, defendant</w:t>
      </w:r>
      <w:r>
        <w:t xml:space="preserve"> </w:t>
      </w:r>
      <w:r w:rsidRPr="00B4394A">
        <w:t>grabbed his gun, announced he had a firearm, told the perceived intruders to move away,</w:t>
      </w:r>
      <w:r>
        <w:t xml:space="preserve"> </w:t>
      </w:r>
      <w:r w:rsidRPr="00B4394A">
        <w:t xml:space="preserve">and shot </w:t>
      </w:r>
      <w:r>
        <w:t>‘</w:t>
      </w:r>
      <w:r w:rsidRPr="00B4394A">
        <w:t>a couple rounds at the door.</w:t>
      </w:r>
      <w:r>
        <w:t xml:space="preserve">’ </w:t>
      </w:r>
      <w:r w:rsidRPr="00B4394A">
        <w:t xml:space="preserve"> Captain Max Fortuna (captain) was</w:t>
      </w:r>
      <w:r>
        <w:t xml:space="preserve"> </w:t>
      </w:r>
      <w:r w:rsidRPr="00B4394A">
        <w:t>struck and died.</w:t>
      </w:r>
      <w:r>
        <w:t xml:space="preserve">  THE COURT WROTE: “</w:t>
      </w:r>
      <w:r w:rsidRPr="00E4309D">
        <w:t>After the jury rendered its verdict, defendant filed a motion for new trial. Among</w:t>
      </w:r>
      <w:r>
        <w:t xml:space="preserve"> </w:t>
      </w:r>
      <w:r w:rsidRPr="00E4309D">
        <w:t>other things, he argued that the uniformed firefighter presence denied him a fair trial,</w:t>
      </w:r>
      <w:r>
        <w:t xml:space="preserve"> </w:t>
      </w:r>
      <w:r w:rsidRPr="00E4309D">
        <w:t xml:space="preserve">claiming there were over 25 uniformed firefighters in the courtroom at </w:t>
      </w:r>
      <w:proofErr w:type="gramStart"/>
      <w:r w:rsidRPr="00E4309D">
        <w:t>times</w:t>
      </w:r>
      <w:proofErr w:type="gramEnd"/>
      <w:r w:rsidRPr="00E4309D">
        <w:t xml:space="preserve"> and the</w:t>
      </w:r>
      <w:r>
        <w:t xml:space="preserve"> </w:t>
      </w:r>
      <w:r w:rsidRPr="00E4309D">
        <w:t xml:space="preserve">hallway was </w:t>
      </w:r>
      <w:r>
        <w:t>‘</w:t>
      </w:r>
      <w:r w:rsidRPr="00E4309D">
        <w:t>packed with clusters of firefighters in uniform</w:t>
      </w:r>
      <w:r>
        <w:t>’</w:t>
      </w:r>
      <w:r w:rsidRPr="00E4309D">
        <w:t xml:space="preserve"> in the morning and after</w:t>
      </w:r>
      <w:r>
        <w:t xml:space="preserve"> </w:t>
      </w:r>
      <w:r w:rsidRPr="00E4309D">
        <w:t xml:space="preserve">lunch. At the hearing on the motion, defendant also argued </w:t>
      </w:r>
      <w:proofErr w:type="gramStart"/>
      <w:r w:rsidRPr="00E4309D">
        <w:t xml:space="preserve">that </w:t>
      </w:r>
      <w:r>
        <w:t>‘</w:t>
      </w:r>
      <w:r w:rsidRPr="00E4309D">
        <w:t>[</w:t>
      </w:r>
      <w:proofErr w:type="gramEnd"/>
      <w:r w:rsidRPr="00E4309D">
        <w:t>E]</w:t>
      </w:r>
      <w:proofErr w:type="spellStart"/>
      <w:r w:rsidRPr="00E4309D">
        <w:t>ngine</w:t>
      </w:r>
      <w:proofErr w:type="spellEnd"/>
      <w:r w:rsidRPr="00E4309D">
        <w:t xml:space="preserve"> 2 [had] circled</w:t>
      </w:r>
      <w:r>
        <w:t xml:space="preserve"> </w:t>
      </w:r>
      <w:r w:rsidRPr="00E4309D">
        <w:t>this courthouse almost every day during the lunch hour.</w:t>
      </w:r>
      <w:r>
        <w:t xml:space="preserve">’ </w:t>
      </w:r>
      <w:r w:rsidRPr="00E4309D">
        <w:t>The court denied the motion, citing (1) its records on the number of uniformed</w:t>
      </w:r>
      <w:r>
        <w:t xml:space="preserve"> </w:t>
      </w:r>
      <w:r w:rsidRPr="00E4309D">
        <w:t>firefighters in the courtroom; (2) the fact that the jury went to the jury room rather than</w:t>
      </w:r>
      <w:r>
        <w:t xml:space="preserve"> </w:t>
      </w:r>
      <w:r w:rsidRPr="00E4309D">
        <w:t>the hallway during breaks; (3) the fact that it did not witness or become aware of any</w:t>
      </w:r>
      <w:r>
        <w:t xml:space="preserve"> </w:t>
      </w:r>
      <w:r w:rsidRPr="00E4309D">
        <w:t>intimidating conduct; (4) the fact that the jury never saw more uniformed firefighters than</w:t>
      </w:r>
      <w:r>
        <w:t xml:space="preserve"> </w:t>
      </w:r>
      <w:r w:rsidRPr="00E4309D">
        <w:t>civilians; (5) the right of firefighters to watch the trial just like any member of the public;</w:t>
      </w:r>
      <w:r>
        <w:t xml:space="preserve"> </w:t>
      </w:r>
      <w:r w:rsidRPr="00E4309D">
        <w:t>and (6) the jurors’ agreement during voir dire not be influenced by hearing a firefighter</w:t>
      </w:r>
      <w:r>
        <w:t xml:space="preserve"> </w:t>
      </w:r>
      <w:r w:rsidRPr="00E4309D">
        <w:t>case or having firefighters in the audience</w:t>
      </w:r>
      <w:r>
        <w:t xml:space="preserve">. *** </w:t>
      </w:r>
      <w:r w:rsidRPr="00DD512F">
        <w:t>Defendant contends the presence of uniformed firefighters in the courtroom and</w:t>
      </w:r>
      <w:r>
        <w:t xml:space="preserve"> </w:t>
      </w:r>
      <w:r w:rsidRPr="00DD512F">
        <w:t>the circling of Engine 2 during the lunch hour denied him a fair trial. In support, he cites</w:t>
      </w:r>
      <w:r>
        <w:t xml:space="preserve"> </w:t>
      </w:r>
      <w:r w:rsidRPr="00DD512F">
        <w:t>the number of firefighters in the hallway in the morning and at lunch and the many media</w:t>
      </w:r>
      <w:r>
        <w:t xml:space="preserve"> </w:t>
      </w:r>
      <w:r w:rsidRPr="00DD512F">
        <w:t xml:space="preserve">requests indicating the </w:t>
      </w:r>
      <w:r>
        <w:t>‘</w:t>
      </w:r>
      <w:r w:rsidRPr="00DD512F">
        <w:t>local community’s close and strong relationship with the</w:t>
      </w:r>
      <w:r>
        <w:t xml:space="preserve"> </w:t>
      </w:r>
      <w:r w:rsidRPr="00DD512F">
        <w:t>firefighters.</w:t>
      </w:r>
      <w:r>
        <w:t>’</w:t>
      </w:r>
      <w:r w:rsidRPr="00DD512F">
        <w:t xml:space="preserve"> We are not persuaded.</w:t>
      </w:r>
      <w:r>
        <w:t xml:space="preserve">*** </w:t>
      </w:r>
      <w:r w:rsidRPr="000E4EF6">
        <w:t>Here, the trial court acted within its discretion. At the beginning and end of trial,</w:t>
      </w:r>
      <w:r>
        <w:t xml:space="preserve"> </w:t>
      </w:r>
      <w:r w:rsidRPr="000E4EF6">
        <w:t>the court instructed the jury against letting bias influence its decision, and both parties</w:t>
      </w:r>
      <w:r>
        <w:t xml:space="preserve"> </w:t>
      </w:r>
      <w:r w:rsidRPr="000E4EF6">
        <w:t>reinforced that instruction in closing arguments. The court noted it never saw more</w:t>
      </w:r>
      <w:r>
        <w:t xml:space="preserve"> </w:t>
      </w:r>
      <w:r w:rsidRPr="000E4EF6">
        <w:t>uniformed firefighters than civilians in the courtroom, and that observation does not</w:t>
      </w:r>
      <w:r>
        <w:t xml:space="preserve"> </w:t>
      </w:r>
      <w:r w:rsidRPr="000E4EF6">
        <w:t>conflict with counsel’s statements on the record. And counsel never objected to</w:t>
      </w:r>
      <w:r>
        <w:t xml:space="preserve"> </w:t>
      </w:r>
      <w:r w:rsidRPr="000E4EF6">
        <w:t>firefighter presence in the hallways.</w:t>
      </w:r>
      <w:r>
        <w:t xml:space="preserve">” </w:t>
      </w:r>
    </w:p>
    <w:p w14:paraId="6F7C9B79" w14:textId="77777777" w:rsidR="001B7551" w:rsidRDefault="001B7551" w:rsidP="001B7551">
      <w:pPr>
        <w:pStyle w:val="NoSpacing"/>
        <w:rPr>
          <w:b/>
        </w:rPr>
      </w:pPr>
      <w:r w:rsidRPr="00DD512F">
        <w:t xml:space="preserve"> </w:t>
      </w:r>
      <w:hyperlink r:id="rId397" w:history="1">
        <w:r w:rsidRPr="00DD512F">
          <w:rPr>
            <w:rStyle w:val="Hyperlink"/>
          </w:rPr>
          <w:t>https://www4.courts.ca.gov/opinions/nonpub/C102004.PDF</w:t>
        </w:r>
      </w:hyperlink>
      <w:r>
        <w:rPr>
          <w:b/>
        </w:rPr>
        <w:t xml:space="preserve"> </w:t>
      </w:r>
    </w:p>
    <w:p w14:paraId="1A655BCF" w14:textId="77777777" w:rsidR="001B7551" w:rsidRDefault="001B7551" w:rsidP="001B7551">
      <w:pPr>
        <w:rPr>
          <w:bCs/>
        </w:rPr>
      </w:pPr>
      <w:r>
        <w:t xml:space="preserve"> </w:t>
      </w:r>
    </w:p>
    <w:p w14:paraId="3D7FC893" w14:textId="77777777" w:rsidR="001B7551" w:rsidRPr="00897771" w:rsidRDefault="001B7551" w:rsidP="001B7551">
      <w:pPr>
        <w:rPr>
          <w:bCs/>
        </w:rPr>
      </w:pPr>
      <w:r>
        <w:t xml:space="preserve">THE COURT HELD: </w:t>
      </w:r>
    </w:p>
    <w:p w14:paraId="6A3E87F7" w14:textId="77777777" w:rsidR="001B7551" w:rsidRPr="00000601" w:rsidRDefault="001B7551" w:rsidP="001B7551">
      <w:pPr>
        <w:pStyle w:val="NoSpacing"/>
        <w:ind w:firstLine="720"/>
      </w:pPr>
      <w:r>
        <w:t>“</w:t>
      </w:r>
      <w:r w:rsidRPr="00000601">
        <w:t>Engine 2 arrived carrying three firefighters – the driver, a probationary firefighter,</w:t>
      </w:r>
    </w:p>
    <w:p w14:paraId="7BF30364" w14:textId="77777777" w:rsidR="001B7551" w:rsidRPr="00000601" w:rsidRDefault="001B7551" w:rsidP="001B7551">
      <w:pPr>
        <w:pStyle w:val="NoSpacing"/>
        <w:ind w:firstLine="720"/>
      </w:pPr>
      <w:r w:rsidRPr="00000601">
        <w:t>and captain. After opening the outer property gate with a saw, probationary firefighter</w:t>
      </w:r>
    </w:p>
    <w:p w14:paraId="34D60C6A" w14:textId="77777777" w:rsidR="001B7551" w:rsidRPr="00000601" w:rsidRDefault="001B7551" w:rsidP="001B7551">
      <w:pPr>
        <w:pStyle w:val="NoSpacing"/>
        <w:ind w:firstLine="720"/>
      </w:pPr>
      <w:r w:rsidRPr="00000601">
        <w:t>started spraying the area. Captain told them they needed to get inside the building, so he</w:t>
      </w:r>
    </w:p>
    <w:p w14:paraId="12A7065E" w14:textId="77777777" w:rsidR="001B7551" w:rsidRPr="00000601" w:rsidRDefault="001B7551" w:rsidP="001B7551">
      <w:pPr>
        <w:pStyle w:val="NoSpacing"/>
        <w:ind w:firstLine="720"/>
      </w:pPr>
      <w:r w:rsidRPr="00000601">
        <w:t>and driver went to a roll-up door and started cutting into the padlocks with a saw and an</w:t>
      </w:r>
    </w:p>
    <w:p w14:paraId="2CABFF0B" w14:textId="77777777" w:rsidR="001B7551" w:rsidRDefault="001B7551" w:rsidP="001B7551">
      <w:pPr>
        <w:pStyle w:val="NoSpacing"/>
        <w:ind w:firstLine="720"/>
      </w:pPr>
      <w:r w:rsidRPr="00000601">
        <w:t>angle grinder.</w:t>
      </w:r>
    </w:p>
    <w:p w14:paraId="5D6419FE" w14:textId="77777777" w:rsidR="001B7551" w:rsidRDefault="001B7551" w:rsidP="001B7551">
      <w:pPr>
        <w:pStyle w:val="NoSpacing"/>
        <w:ind w:firstLine="720"/>
      </w:pPr>
    </w:p>
    <w:p w14:paraId="64460CAC" w14:textId="77777777" w:rsidR="001B7551" w:rsidRDefault="001B7551" w:rsidP="001B7551">
      <w:pPr>
        <w:pStyle w:val="NoSpacing"/>
        <w:ind w:firstLine="720"/>
      </w:pPr>
      <w:r>
        <w:t>Meanwhile, inside the building, defendant was asleep in his room. One of his</w:t>
      </w:r>
    </w:p>
    <w:p w14:paraId="6E6115CC" w14:textId="77777777" w:rsidR="001B7551" w:rsidRDefault="001B7551" w:rsidP="001B7551">
      <w:pPr>
        <w:pStyle w:val="NoSpacing"/>
        <w:ind w:firstLine="720"/>
      </w:pPr>
      <w:r>
        <w:t>employees (</w:t>
      </w:r>
      <w:proofErr w:type="gramStart"/>
      <w:r>
        <w:t>employee</w:t>
      </w:r>
      <w:proofErr w:type="gramEnd"/>
      <w:r>
        <w:t xml:space="preserve">) </w:t>
      </w:r>
      <w:proofErr w:type="gramStart"/>
      <w:r>
        <w:t>was</w:t>
      </w:r>
      <w:proofErr w:type="gramEnd"/>
      <w:r>
        <w:t xml:space="preserve"> also inside the building sleeping in a trailer. </w:t>
      </w:r>
      <w:proofErr w:type="gramStart"/>
      <w:r>
        <w:t>Defendant</w:t>
      </w:r>
      <w:proofErr w:type="gramEnd"/>
      <w:r>
        <w:t xml:space="preserve"> </w:t>
      </w:r>
      <w:proofErr w:type="gramStart"/>
      <w:r>
        <w:t>woke</w:t>
      </w:r>
      <w:proofErr w:type="gramEnd"/>
    </w:p>
    <w:p w14:paraId="1D8E21DB" w14:textId="77777777" w:rsidR="001B7551" w:rsidRDefault="001B7551" w:rsidP="001B7551">
      <w:pPr>
        <w:pStyle w:val="NoSpacing"/>
        <w:ind w:firstLine="720"/>
      </w:pPr>
      <w:r>
        <w:t>to the sound of cutting noises in the back of the building that made him think someone</w:t>
      </w:r>
    </w:p>
    <w:p w14:paraId="70B59404" w14:textId="77777777" w:rsidR="001B7551" w:rsidRDefault="001B7551" w:rsidP="001B7551">
      <w:pPr>
        <w:pStyle w:val="NoSpacing"/>
        <w:ind w:firstLine="720"/>
      </w:pPr>
      <w:r>
        <w:t>was trying to break in. He didn’t know there was a fire happening. He did smell smoke,</w:t>
      </w:r>
    </w:p>
    <w:p w14:paraId="00FC45E8" w14:textId="77777777" w:rsidR="001B7551" w:rsidRDefault="001B7551" w:rsidP="001B7551">
      <w:pPr>
        <w:pStyle w:val="NoSpacing"/>
        <w:ind w:firstLine="720"/>
      </w:pPr>
      <w:r>
        <w:t>but it smelled the ‘same way [as] when you’re cutting metal.’ He ‘went out there and</w:t>
      </w:r>
    </w:p>
    <w:p w14:paraId="691290D9" w14:textId="77777777" w:rsidR="001B7551" w:rsidRDefault="001B7551" w:rsidP="001B7551">
      <w:pPr>
        <w:pStyle w:val="NoSpacing"/>
        <w:ind w:firstLine="720"/>
      </w:pPr>
      <w:r>
        <w:lastRenderedPageBreak/>
        <w:t>said, ‘Move away from the building</w:t>
      </w:r>
      <w:proofErr w:type="gramStart"/>
      <w:r>
        <w:t>.</w:t>
      </w:r>
      <w:proofErr w:type="gramEnd"/>
      <w:r>
        <w:t xml:space="preserve"> I have a firearm.’  After ‘nobody said anything,’</w:t>
      </w:r>
    </w:p>
    <w:p w14:paraId="084BBE30" w14:textId="77777777" w:rsidR="001B7551" w:rsidRDefault="001B7551" w:rsidP="001B7551">
      <w:pPr>
        <w:pStyle w:val="NoSpacing"/>
        <w:ind w:firstLine="720"/>
      </w:pPr>
      <w:r>
        <w:t>he ‘squeezed a couple of rounds at the door,’ specifically ‘down in the corner’ because</w:t>
      </w:r>
    </w:p>
    <w:p w14:paraId="5CCBDED9" w14:textId="77777777" w:rsidR="001B7551" w:rsidRDefault="001B7551" w:rsidP="001B7551">
      <w:pPr>
        <w:pStyle w:val="NoSpacing"/>
        <w:ind w:firstLine="720"/>
      </w:pPr>
      <w:r>
        <w:t>he was ‘not trying to shoot anybody.’ He just wanted to ‘scare them off’ because he:</w:t>
      </w:r>
    </w:p>
    <w:p w14:paraId="14311981" w14:textId="77777777" w:rsidR="001B7551" w:rsidRDefault="001B7551" w:rsidP="001B7551">
      <w:pPr>
        <w:pStyle w:val="NoSpacing"/>
        <w:ind w:firstLine="720"/>
      </w:pPr>
      <w:r>
        <w:t>(1) had a ‘problem with people trying to break in,’ (2) had ‘a lot of valuable equipment</w:t>
      </w:r>
    </w:p>
    <w:p w14:paraId="3AAC2834" w14:textId="77777777" w:rsidR="001B7551" w:rsidRDefault="001B7551" w:rsidP="001B7551">
      <w:pPr>
        <w:pStyle w:val="NoSpacing"/>
        <w:ind w:firstLine="720"/>
      </w:pPr>
      <w:r>
        <w:t>in there,’ (3) had a ‘problem in the back trailer with homeless people,’ and (4) figured</w:t>
      </w:r>
    </w:p>
    <w:p w14:paraId="798F3186" w14:textId="77777777" w:rsidR="001B7551" w:rsidRDefault="001B7551" w:rsidP="001B7551">
      <w:pPr>
        <w:pStyle w:val="NoSpacing"/>
        <w:ind w:firstLine="720"/>
      </w:pPr>
      <w:r>
        <w:t>people brazen enough to break in had to be armed. He also had macular degeneration</w:t>
      </w:r>
    </w:p>
    <w:p w14:paraId="056BCB55" w14:textId="77777777" w:rsidR="001B7551" w:rsidRDefault="001B7551" w:rsidP="001B7551">
      <w:pPr>
        <w:pStyle w:val="NoSpacing"/>
        <w:ind w:firstLine="720"/>
      </w:pPr>
      <w:r>
        <w:t>and could not see well in the dark. At some point, he woke employee and told her to call</w:t>
      </w:r>
    </w:p>
    <w:p w14:paraId="136433DA" w14:textId="77777777" w:rsidR="001B7551" w:rsidRDefault="001B7551" w:rsidP="001B7551">
      <w:pPr>
        <w:pStyle w:val="NoSpacing"/>
        <w:ind w:firstLine="720"/>
      </w:pPr>
      <w:r>
        <w:t>for help, which she did by calling 911 twice. Employee later testified that defendant</w:t>
      </w:r>
    </w:p>
    <w:p w14:paraId="0625FFFA" w14:textId="77777777" w:rsidR="001B7551" w:rsidRDefault="001B7551" w:rsidP="001B7551">
      <w:pPr>
        <w:pStyle w:val="NoSpacing"/>
        <w:ind w:firstLine="720"/>
      </w:pPr>
      <w:r>
        <w:t>saved her life that day by waking her up.</w:t>
      </w:r>
    </w:p>
    <w:p w14:paraId="7AD9BBC2" w14:textId="77777777" w:rsidR="001B7551" w:rsidRDefault="001B7551" w:rsidP="001B7551">
      <w:pPr>
        <w:pStyle w:val="NoSpacing"/>
        <w:ind w:firstLine="720"/>
      </w:pPr>
    </w:p>
    <w:p w14:paraId="0E050C8C" w14:textId="77777777" w:rsidR="001B7551" w:rsidRDefault="001B7551" w:rsidP="001B7551">
      <w:pPr>
        <w:pStyle w:val="NoSpacing"/>
        <w:ind w:firstLine="720"/>
      </w:pPr>
      <w:r>
        <w:t>***</w:t>
      </w:r>
    </w:p>
    <w:p w14:paraId="72BF0F21" w14:textId="77777777" w:rsidR="001B7551" w:rsidRDefault="001B7551" w:rsidP="001B7551">
      <w:pPr>
        <w:pStyle w:val="NoSpacing"/>
        <w:ind w:left="720"/>
      </w:pPr>
      <w:r>
        <w:t xml:space="preserve">The court also avoided unnecessary juror exposure to spectators by returning jurors to the jury room during breaks. Even assuming the multiple media requests evidenced a “close and strong relationship” between the community and the firefighters, as defendant argues, we conclude the court properly exercised its discretion to guard against any improper influence or pressure without impairing the firefighters’ rights to attend the trial. For these reasons, we conclude the presence of uniformed firefighters at trial was not inherently prejudicial. And because </w:t>
      </w:r>
      <w:proofErr w:type="gramStart"/>
      <w:r>
        <w:t>defendant does</w:t>
      </w:r>
      <w:proofErr w:type="gramEnd"/>
      <w:r>
        <w:t xml:space="preserve"> not contend there was actual prejudice, we reject his fair trial claim.</w:t>
      </w:r>
    </w:p>
    <w:p w14:paraId="26B44EA4" w14:textId="77777777" w:rsidR="001B7551" w:rsidRDefault="001B7551" w:rsidP="001B7551">
      <w:pPr>
        <w:pStyle w:val="NoSpacing"/>
        <w:ind w:left="720"/>
      </w:pPr>
    </w:p>
    <w:p w14:paraId="6E39A18C" w14:textId="77777777" w:rsidR="001B7551" w:rsidRDefault="001B7551" w:rsidP="001B7551">
      <w:pPr>
        <w:pStyle w:val="NoSpacing"/>
        <w:ind w:left="720"/>
      </w:pPr>
      <w:r>
        <w:t>***</w:t>
      </w:r>
    </w:p>
    <w:p w14:paraId="33F76C00" w14:textId="77777777" w:rsidR="001B7551" w:rsidRDefault="001B7551" w:rsidP="001B7551">
      <w:pPr>
        <w:pStyle w:val="NoSpacing"/>
        <w:ind w:left="720"/>
      </w:pPr>
      <w:r>
        <w:t>Here, the trial court instructed the jury that defendant was not guilty of murder if,</w:t>
      </w:r>
    </w:p>
    <w:p w14:paraId="35F70475" w14:textId="77777777" w:rsidR="001B7551" w:rsidRDefault="001B7551" w:rsidP="001B7551">
      <w:pPr>
        <w:pStyle w:val="NoSpacing"/>
        <w:ind w:left="720"/>
      </w:pPr>
      <w:r>
        <w:t>among other requirements, he reasonably believed he was defending a home from</w:t>
      </w:r>
    </w:p>
    <w:p w14:paraId="6072C8C7" w14:textId="77777777" w:rsidR="001B7551" w:rsidRDefault="001B7551" w:rsidP="001B7551">
      <w:pPr>
        <w:pStyle w:val="NoSpacing"/>
        <w:ind w:left="720"/>
      </w:pPr>
      <w:r>
        <w:t>someone who intended or tried to commit a robbery ‘whose character and manner</w:t>
      </w:r>
    </w:p>
    <w:p w14:paraId="2E8D770D" w14:textId="77777777" w:rsidR="001B7551" w:rsidRDefault="001B7551" w:rsidP="001B7551">
      <w:pPr>
        <w:pStyle w:val="NoSpacing"/>
        <w:ind w:left="720"/>
      </w:pPr>
      <w:r>
        <w:t>reasonably created a fear of death or serious bodily harm’ or ‘violently or tumultuously</w:t>
      </w:r>
    </w:p>
    <w:p w14:paraId="041CF1C3" w14:textId="77777777" w:rsidR="001B7551" w:rsidRDefault="001B7551" w:rsidP="001B7551">
      <w:pPr>
        <w:pStyle w:val="NoSpacing"/>
        <w:ind w:left="720"/>
      </w:pPr>
      <w:r>
        <w:t>tried to enter that home intending to commit an act of violence against someone inside.’</w:t>
      </w:r>
    </w:p>
    <w:p w14:paraId="6573769E" w14:textId="77777777" w:rsidR="001B7551" w:rsidRDefault="001B7551" w:rsidP="001B7551">
      <w:pPr>
        <w:pStyle w:val="NoSpacing"/>
        <w:ind w:left="720"/>
      </w:pPr>
      <w:r>
        <w:t>This instruction accurately stated the law as applied to the facts.”</w:t>
      </w:r>
    </w:p>
    <w:p w14:paraId="199A6EC2" w14:textId="77777777" w:rsidR="001B7551" w:rsidRDefault="001B7551" w:rsidP="001B7551">
      <w:pPr>
        <w:pStyle w:val="NoSpacing"/>
        <w:ind w:left="720"/>
      </w:pPr>
    </w:p>
    <w:p w14:paraId="5497B668" w14:textId="77777777" w:rsidR="001B7551" w:rsidRPr="00B53984" w:rsidRDefault="001B7551" w:rsidP="001B7551">
      <w:pPr>
        <w:rPr>
          <w:b/>
          <w:bCs/>
        </w:rPr>
      </w:pPr>
      <w:r>
        <w:rPr>
          <w:b/>
        </w:rPr>
        <w:t xml:space="preserve">Legal lesson learned: The defendant received a fair trial, with uniformed firefighters in attendance. </w:t>
      </w:r>
    </w:p>
    <w:p w14:paraId="5B3D9AE2" w14:textId="77777777" w:rsidR="001B7551" w:rsidRPr="007213A9" w:rsidRDefault="001B7551" w:rsidP="001B7551">
      <w:pPr>
        <w:pStyle w:val="NoSpacing"/>
        <w:ind w:left="720"/>
      </w:pPr>
      <w:r w:rsidRPr="007213A9">
        <w:t xml:space="preserve">Note: See Aug. 22, </w:t>
      </w:r>
      <w:proofErr w:type="gramStart"/>
      <w:r w:rsidRPr="007213A9">
        <w:t>2024</w:t>
      </w:r>
      <w:proofErr w:type="gramEnd"/>
      <w:r w:rsidRPr="007213A9">
        <w:t xml:space="preserve"> article: </w:t>
      </w:r>
      <w:r>
        <w:t>“</w:t>
      </w:r>
      <w:r w:rsidRPr="007213A9">
        <w:t>Man given 15 years to life for fatally shooting fire captain in 2022.</w:t>
      </w:r>
      <w:r>
        <w:t>”</w:t>
      </w:r>
      <w:r w:rsidRPr="007213A9">
        <w:t xml:space="preserve"> </w:t>
      </w:r>
      <w:hyperlink r:id="rId398" w:history="1">
        <w:r w:rsidRPr="007213A9">
          <w:rPr>
            <w:rStyle w:val="Hyperlink"/>
          </w:rPr>
          <w:t>https://stocktonia.org/news/public-safety/2024/08/22/man-given-15-years-to-life-for-fatally-shooting-fire-captain-in-2022/</w:t>
        </w:r>
      </w:hyperlink>
      <w:r w:rsidRPr="007213A9">
        <w:t xml:space="preserve"> </w:t>
      </w:r>
    </w:p>
    <w:p w14:paraId="656BA78A" w14:textId="77777777" w:rsidR="001B7551" w:rsidRDefault="001B7551" w:rsidP="001B7551">
      <w:pPr>
        <w:pStyle w:val="NoSpacing"/>
        <w:rPr>
          <w:bCs/>
        </w:rPr>
      </w:pPr>
    </w:p>
    <w:p w14:paraId="6E07585C" w14:textId="77777777" w:rsidR="001B7551" w:rsidRDefault="001B7551" w:rsidP="001B7551">
      <w:pPr>
        <w:pStyle w:val="NoSpacing"/>
        <w:rPr>
          <w:bCs/>
        </w:rPr>
      </w:pPr>
    </w:p>
    <w:p w14:paraId="2AD5AB99" w14:textId="77777777" w:rsidR="001B7551" w:rsidRDefault="001B7551" w:rsidP="001B7551">
      <w:pPr>
        <w:pStyle w:val="NoSpacing"/>
        <w:rPr>
          <w:bCs/>
        </w:rPr>
      </w:pPr>
    </w:p>
    <w:p w14:paraId="6224CEE4" w14:textId="77777777" w:rsidR="001B7551" w:rsidRDefault="001B7551" w:rsidP="001B7551">
      <w:pPr>
        <w:pStyle w:val="NoSpacing"/>
        <w:rPr>
          <w:bCs/>
        </w:rPr>
      </w:pPr>
    </w:p>
    <w:p w14:paraId="3921F784" w14:textId="77777777" w:rsidR="001B7551" w:rsidRDefault="001B7551" w:rsidP="001B7551">
      <w:pPr>
        <w:pStyle w:val="NoSpacing"/>
        <w:rPr>
          <w:bCs/>
        </w:rPr>
      </w:pPr>
    </w:p>
    <w:p w14:paraId="67215200" w14:textId="77777777" w:rsidR="001B7551" w:rsidRDefault="001B7551" w:rsidP="001B7551">
      <w:pPr>
        <w:pStyle w:val="NoSpacing"/>
        <w:rPr>
          <w:bCs/>
        </w:rPr>
      </w:pPr>
    </w:p>
    <w:p w14:paraId="37C3A343" w14:textId="708FA99B" w:rsidR="001B7551" w:rsidRDefault="001B7551" w:rsidP="001B7551">
      <w:pPr>
        <w:rPr>
          <w:rFonts w:ascii="Arial Black" w:hAnsi="Arial Black"/>
          <w:sz w:val="28"/>
          <w:szCs w:val="28"/>
        </w:rPr>
      </w:pPr>
      <w:r>
        <w:rPr>
          <w:rFonts w:ascii="Arial Black" w:hAnsi="Arial Black"/>
          <w:sz w:val="24"/>
          <w:szCs w:val="24"/>
        </w:rPr>
        <w:t>2-111</w:t>
      </w:r>
    </w:p>
    <w:p w14:paraId="1B61B702" w14:textId="77777777" w:rsidR="001B7551" w:rsidRPr="009501FD" w:rsidRDefault="001B7551" w:rsidP="001B7551">
      <w:pPr>
        <w:pStyle w:val="NoSpacing"/>
        <w:rPr>
          <w:bCs/>
        </w:rPr>
      </w:pPr>
    </w:p>
    <w:p w14:paraId="0EB6865F" w14:textId="77777777" w:rsidR="001B7551" w:rsidRPr="00F81800" w:rsidRDefault="001B7551" w:rsidP="001B7551">
      <w:pPr>
        <w:pStyle w:val="NoSpacing"/>
        <w:rPr>
          <w:rFonts w:ascii="Arial Black" w:hAnsi="Arial Black"/>
          <w:sz w:val="28"/>
          <w:szCs w:val="28"/>
        </w:rPr>
      </w:pPr>
      <w:r>
        <w:rPr>
          <w:rFonts w:ascii="Arial Black" w:hAnsi="Arial Black"/>
          <w:sz w:val="28"/>
          <w:szCs w:val="28"/>
        </w:rPr>
        <w:t>MO: LODD PAYMENT - MUST FILE 1-YR – EVEN WC GRANTED</w:t>
      </w:r>
    </w:p>
    <w:p w14:paraId="0B4D984C" w14:textId="77777777" w:rsidR="001B7551" w:rsidRDefault="001B7551" w:rsidP="001B7551">
      <w:pPr>
        <w:pStyle w:val="NoSpacing"/>
      </w:pPr>
    </w:p>
    <w:p w14:paraId="3AD84E69" w14:textId="77777777" w:rsidR="001B7551" w:rsidRDefault="001B7551" w:rsidP="001B7551">
      <w:pPr>
        <w:pStyle w:val="NoSpacing"/>
        <w:rPr>
          <w:b/>
          <w:bCs/>
        </w:rPr>
      </w:pPr>
      <w:r>
        <w:t xml:space="preserve">On May 26, 2026, in </w:t>
      </w:r>
      <w:r w:rsidRPr="006D5499">
        <w:rPr>
          <w:u w:val="single"/>
        </w:rPr>
        <w:t>Patrick Brian Williams (Deceased), and Jennifer Williams v. City of Kansas City, et al</w:t>
      </w:r>
      <w:r>
        <w:t xml:space="preserve">., the </w:t>
      </w:r>
      <w:r w:rsidRPr="006D5499">
        <w:t>Court of Appeals of Missouri, Western District, Second Division</w:t>
      </w:r>
      <w:r>
        <w:t xml:space="preserve"> held (3 to 0) that the </w:t>
      </w:r>
      <w:r w:rsidRPr="00001213">
        <w:t>Labor and</w:t>
      </w:r>
      <w:r>
        <w:t xml:space="preserve"> </w:t>
      </w:r>
      <w:r w:rsidRPr="00001213">
        <w:t>Industrial Relations Commission</w:t>
      </w:r>
      <w:r>
        <w:t xml:space="preserve"> properly denied Line of Duty Death cash benefits (currently </w:t>
      </w:r>
      <w:r w:rsidRPr="00147F68">
        <w:t>$25,000</w:t>
      </w:r>
      <w:r>
        <w:t>; and up to $20,000 f</w:t>
      </w:r>
      <w:r w:rsidRPr="00147F68">
        <w:t>or funeral expenses</w:t>
      </w:r>
      <w:r>
        <w:t>)</w:t>
      </w:r>
      <w:r w:rsidRPr="00147F68">
        <w:t>,</w:t>
      </w:r>
      <w:r>
        <w:t xml:space="preserve"> since the claim was not filed within one year of his death.  </w:t>
      </w:r>
      <w:r w:rsidRPr="00BF7576">
        <w:t>Firefighter Williams served as a firefighter for the City of Kansas City,</w:t>
      </w:r>
      <w:r>
        <w:t xml:space="preserve"> </w:t>
      </w:r>
      <w:r w:rsidRPr="00BF7576">
        <w:t>Missouri, for 38 years. Due to his exposure to multiple workplace carcinogens, he</w:t>
      </w:r>
      <w:r>
        <w:t xml:space="preserve"> </w:t>
      </w:r>
      <w:r w:rsidRPr="00BF7576">
        <w:t>developed metastatic neuroendocrine carcinoma and multiple myeloma</w:t>
      </w:r>
      <w:r>
        <w:t xml:space="preserve">, and he died </w:t>
      </w:r>
      <w:r w:rsidRPr="00BF7576">
        <w:t>on February 23, 2018.</w:t>
      </w:r>
      <w:r>
        <w:t xml:space="preserve">  Mrs. Williams didn’t file LODD claim until September 25, 2023.  Prior to filing the LDC claim, she timely filed Worker’s Comp claim and on </w:t>
      </w:r>
      <w:r w:rsidRPr="00385676">
        <w:t>August 31, 2023, the ALJ issued an award of workers’</w:t>
      </w:r>
      <w:r>
        <w:t xml:space="preserve"> </w:t>
      </w:r>
      <w:r w:rsidRPr="00385676">
        <w:t>compensation benefits</w:t>
      </w:r>
      <w:r>
        <w:t>.  THE COURT WROTE: “Specifically, Williams argues the LDC Claim is a successive adjudication presenting the same facts and issues as those previously decided in her WC Award. She asserts the WC Award issued findings of fact and conclusions of law which were dispositive of the issues before the Commission in the LDC Claim, thus the Commission is bound by its findings in the WC Award.</w:t>
      </w:r>
      <w:r w:rsidRPr="002B19C9">
        <w:t xml:space="preserve"> </w:t>
      </w:r>
      <w:proofErr w:type="gramStart"/>
      <w:r>
        <w:t>The end result</w:t>
      </w:r>
      <w:proofErr w:type="gramEnd"/>
      <w:r>
        <w:t xml:space="preserve"> of her argument appears </w:t>
      </w:r>
      <w:r>
        <w:lastRenderedPageBreak/>
        <w:t>to be that the time limit in which to file an LDC claim is somehow tolled until the WC claim is resolved. On the other hand, Respondent argues that the law of the case doctrine is not implicated here because the doctrine only applies to subsequent proceedings in the same case, and Williams’s WC Claim and LDC Claim are two entirely separate matters. We agree with Respondent</w:t>
      </w:r>
      <w:r w:rsidRPr="00B701F9">
        <w:t xml:space="preserve">.”  </w:t>
      </w:r>
      <w:hyperlink r:id="rId399" w:history="1">
        <w:r w:rsidRPr="00B701F9">
          <w:rPr>
            <w:rStyle w:val="Hyperlink"/>
          </w:rPr>
          <w:t>https://cases.justia.com/missouri/court-of-appeals/2026-wd88291.pdf?ts=1779809421</w:t>
        </w:r>
      </w:hyperlink>
      <w:r>
        <w:rPr>
          <w:b/>
        </w:rPr>
        <w:t xml:space="preserve"> </w:t>
      </w:r>
    </w:p>
    <w:p w14:paraId="1744F1D5" w14:textId="77777777" w:rsidR="001B7551" w:rsidRDefault="001B7551" w:rsidP="001B7551">
      <w:pPr>
        <w:pStyle w:val="NoSpacing"/>
        <w:rPr>
          <w:b/>
          <w:bCs/>
        </w:rPr>
      </w:pPr>
    </w:p>
    <w:p w14:paraId="4AFE2A22" w14:textId="77777777" w:rsidR="001B7551" w:rsidRDefault="001B7551" w:rsidP="001B7551">
      <w:pPr>
        <w:pStyle w:val="NoSpacing"/>
      </w:pPr>
      <w:r>
        <w:t>THE COURT HELD:</w:t>
      </w:r>
    </w:p>
    <w:p w14:paraId="13A32535" w14:textId="77777777" w:rsidR="001B7551" w:rsidRDefault="001B7551" w:rsidP="001B7551">
      <w:pPr>
        <w:pStyle w:val="NoSpacing"/>
      </w:pPr>
    </w:p>
    <w:p w14:paraId="74D72756" w14:textId="77777777" w:rsidR="001B7551" w:rsidRDefault="001B7551" w:rsidP="001B7551">
      <w:pPr>
        <w:pStyle w:val="NoSpacing"/>
        <w:ind w:left="720"/>
      </w:pPr>
      <w:r>
        <w:t xml:space="preserve">“LDC claims and WC claims are also subject to different statutes of limitations, further evidencing their separate nature. Contrast section 287.243.3(1) (creating a one-year statute of limitations in which to file an LDC claim), with section 287.430 (creating a statute of limitations </w:t>
      </w:r>
      <w:r w:rsidRPr="001058BE">
        <w:t>ranging from one to three years for WC claims, depending on the circumstances).</w:t>
      </w:r>
    </w:p>
    <w:p w14:paraId="7D0CFA36" w14:textId="77777777" w:rsidR="001B7551" w:rsidRDefault="001B7551" w:rsidP="001B7551">
      <w:pPr>
        <w:pStyle w:val="NoSpacing"/>
        <w:ind w:left="720"/>
      </w:pPr>
    </w:p>
    <w:p w14:paraId="75E7E013" w14:textId="77777777" w:rsidR="001B7551" w:rsidRDefault="001B7551" w:rsidP="001B7551">
      <w:pPr>
        <w:pStyle w:val="NoSpacing"/>
        <w:ind w:left="720"/>
      </w:pPr>
      <w:r>
        <w:t>***</w:t>
      </w:r>
    </w:p>
    <w:p w14:paraId="5B8C3FD9" w14:textId="77777777" w:rsidR="001B7551" w:rsidRDefault="001B7551" w:rsidP="001B7551">
      <w:pPr>
        <w:pStyle w:val="NoSpacing"/>
        <w:ind w:left="720"/>
      </w:pPr>
    </w:p>
    <w:p w14:paraId="2E7A46EB" w14:textId="77777777" w:rsidR="001B7551" w:rsidRDefault="001B7551" w:rsidP="001B7551">
      <w:pPr>
        <w:pStyle w:val="NoSpacing"/>
        <w:ind w:left="720"/>
      </w:pPr>
      <w:r>
        <w:t xml:space="preserve">Williams’s point on appeal relating to the law of the case doctrine is denied as her WC Claim is wholly separate and distinct from her LDC Claim such that the </w:t>
      </w:r>
      <w:proofErr w:type="spellStart"/>
      <w:r w:rsidRPr="00286D94">
        <w:t>aw</w:t>
      </w:r>
      <w:proofErr w:type="spellEnd"/>
      <w:r w:rsidRPr="00286D94">
        <w:t xml:space="preserve"> of the case doctrine is not implicated</w:t>
      </w:r>
      <w:r>
        <w:t>.”</w:t>
      </w:r>
    </w:p>
    <w:p w14:paraId="23FF6C1B" w14:textId="77777777" w:rsidR="001B7551" w:rsidRDefault="001B7551" w:rsidP="001B7551">
      <w:pPr>
        <w:pStyle w:val="NoSpacing"/>
        <w:ind w:left="720"/>
      </w:pPr>
    </w:p>
    <w:p w14:paraId="18E30D45" w14:textId="77777777" w:rsidR="001B7551" w:rsidRPr="00286D94" w:rsidRDefault="001B7551" w:rsidP="001B7551">
      <w:pPr>
        <w:pStyle w:val="NoSpacing"/>
        <w:rPr>
          <w:b/>
          <w:bCs/>
        </w:rPr>
      </w:pPr>
      <w:r>
        <w:rPr>
          <w:b/>
        </w:rPr>
        <w:t xml:space="preserve">Legal lesson learned: Unfortunate that the state has two different statutes of limitations for a family of filing for work comp and line of duty death benefits. </w:t>
      </w:r>
    </w:p>
    <w:p w14:paraId="5980D227" w14:textId="77777777" w:rsidR="001B7551" w:rsidRDefault="001B7551" w:rsidP="001B7551">
      <w:pPr>
        <w:pStyle w:val="NoSpacing"/>
      </w:pPr>
    </w:p>
    <w:p w14:paraId="5CE1E527" w14:textId="77777777" w:rsidR="001B7551" w:rsidRDefault="001B7551" w:rsidP="00816870">
      <w:pPr>
        <w:rPr>
          <w:rFonts w:ascii="Arial Black" w:hAnsi="Arial Black"/>
          <w:sz w:val="24"/>
          <w:szCs w:val="24"/>
        </w:rPr>
      </w:pPr>
    </w:p>
    <w:p w14:paraId="4829F8F2" w14:textId="77777777" w:rsidR="001B7551" w:rsidRDefault="001B7551" w:rsidP="00816870">
      <w:pPr>
        <w:rPr>
          <w:rFonts w:ascii="Arial Black" w:hAnsi="Arial Black"/>
          <w:sz w:val="24"/>
          <w:szCs w:val="24"/>
        </w:rPr>
      </w:pPr>
    </w:p>
    <w:p w14:paraId="42958980" w14:textId="2E5CD55E" w:rsidR="00816870" w:rsidRDefault="00816870" w:rsidP="00816870">
      <w:pPr>
        <w:rPr>
          <w:rFonts w:ascii="Arial Black" w:hAnsi="Arial Black"/>
          <w:sz w:val="28"/>
          <w:szCs w:val="28"/>
        </w:rPr>
      </w:pPr>
      <w:r>
        <w:rPr>
          <w:rFonts w:ascii="Arial Black" w:hAnsi="Arial Black"/>
          <w:sz w:val="24"/>
          <w:szCs w:val="24"/>
        </w:rPr>
        <w:t>2-110</w:t>
      </w:r>
    </w:p>
    <w:p w14:paraId="55718CA1" w14:textId="03CF4BA4" w:rsidR="00997F6F" w:rsidRPr="00ED3EF8" w:rsidRDefault="00997F6F" w:rsidP="00997F6F">
      <w:pPr>
        <w:pStyle w:val="NoSpacing"/>
        <w:rPr>
          <w:rFonts w:ascii="Arial Black" w:hAnsi="Arial Black"/>
          <w:sz w:val="28"/>
          <w:szCs w:val="28"/>
        </w:rPr>
      </w:pPr>
      <w:r>
        <w:rPr>
          <w:rFonts w:ascii="Arial Black" w:hAnsi="Arial Black"/>
          <w:sz w:val="28"/>
          <w:szCs w:val="28"/>
        </w:rPr>
        <w:t>IL: CATASTROPHIC INJURY – ADDED BENEFITS REMOVED</w:t>
      </w:r>
    </w:p>
    <w:p w14:paraId="002CEB03" w14:textId="77777777" w:rsidR="00997F6F" w:rsidRDefault="00997F6F" w:rsidP="00997F6F">
      <w:pPr>
        <w:pStyle w:val="NoSpacing"/>
      </w:pPr>
    </w:p>
    <w:p w14:paraId="5640827E" w14:textId="77777777" w:rsidR="00997F6F" w:rsidRDefault="00997F6F" w:rsidP="00997F6F">
      <w:pPr>
        <w:pStyle w:val="NoSpacing"/>
      </w:pPr>
      <w:r>
        <w:t xml:space="preserve">On May 1, 2026, in </w:t>
      </w:r>
      <w:r w:rsidRPr="00B944BC">
        <w:rPr>
          <w:u w:val="single"/>
        </w:rPr>
        <w:t>Benjamin Carter v. Fox Lake Fire Protection District</w:t>
      </w:r>
      <w:r>
        <w:t xml:space="preserve">, the </w:t>
      </w:r>
      <w:r w:rsidRPr="00653FCF">
        <w:t>Court of Appeals of Illinois, Second District</w:t>
      </w:r>
      <w:r>
        <w:t xml:space="preserve"> held (3 to 0) that trial court properly held that while state’s </w:t>
      </w:r>
      <w:r w:rsidRPr="00CA16B0">
        <w:t>Public Safety Employee Benefits Act</w:t>
      </w:r>
      <w:r>
        <w:t xml:space="preserve"> required FD to pay premiums for health insurance for his lifetime, the FD can remove “supplemental benefits” offered to him (and all current firefighters) for past six years - vision, dental, and life insurance, and the HRA benefit [Health Reimbursement Arrangement plan] to help pay the high medical expense deductibles and co-pays under the Blue Cross / Blue Shield.  </w:t>
      </w:r>
      <w:hyperlink r:id="rId400" w:history="1">
        <w:r w:rsidRPr="00EF04F6">
          <w:rPr>
            <w:rStyle w:val="Hyperlink"/>
          </w:rPr>
          <w:t>https://ilcourtsaudio.blob.core.windows.net/antilles-resources/resources/865bbd6b-111a-42c0-93b7-0362e44b14c7/Carter%20v.%20Fox%20Lake%20Fire%20Protection%20District%202026%20IL%20App%20(2d)%20250374.pdf</w:t>
        </w:r>
      </w:hyperlink>
      <w:r>
        <w:t xml:space="preserve"> </w:t>
      </w:r>
    </w:p>
    <w:p w14:paraId="03DB02A8" w14:textId="77777777" w:rsidR="00997F6F" w:rsidRDefault="00997F6F" w:rsidP="00997F6F">
      <w:pPr>
        <w:pStyle w:val="NoSpacing"/>
      </w:pPr>
    </w:p>
    <w:p w14:paraId="04019198" w14:textId="77777777" w:rsidR="00997F6F" w:rsidRDefault="00997F6F" w:rsidP="00997F6F">
      <w:pPr>
        <w:pStyle w:val="NoSpacing"/>
      </w:pPr>
      <w:r>
        <w:t>THE COURT HELD:</w:t>
      </w:r>
    </w:p>
    <w:p w14:paraId="4B3B2E4A" w14:textId="77777777" w:rsidR="00997F6F" w:rsidRDefault="00997F6F" w:rsidP="00997F6F">
      <w:pPr>
        <w:pStyle w:val="NoSpacing"/>
      </w:pPr>
    </w:p>
    <w:p w14:paraId="386B9DF5" w14:textId="77777777" w:rsidR="00997F6F" w:rsidRDefault="00997F6F" w:rsidP="00997F6F">
      <w:pPr>
        <w:pStyle w:val="NoSpacing"/>
        <w:ind w:left="720"/>
      </w:pPr>
      <w:r>
        <w:t>“Carter was a firefighter with the District from March 16, 2012, until August 9, 2017. On</w:t>
      </w:r>
    </w:p>
    <w:p w14:paraId="13978803" w14:textId="77777777" w:rsidR="00997F6F" w:rsidRDefault="00997F6F" w:rsidP="00997F6F">
      <w:pPr>
        <w:pStyle w:val="NoSpacing"/>
        <w:ind w:left="720"/>
      </w:pPr>
      <w:r>
        <w:t xml:space="preserve">October 20, 2014, he suffered a catastrophic injury while responding to a motor vehicle crash. On August 9, 2017, Carter was awarded a duty-related disability pension. Further, under section 10 of </w:t>
      </w:r>
      <w:proofErr w:type="spellStart"/>
      <w:proofErr w:type="gramStart"/>
      <w:r>
        <w:t>he</w:t>
      </w:r>
      <w:proofErr w:type="spellEnd"/>
      <w:proofErr w:type="gramEnd"/>
      <w:r>
        <w:t xml:space="preserve"> Public Safety Employee Benefits Act (Benefits Act) (820 ILCS 320/10 (West 2016)), Carter became entitled to receive certain health insurance benefits for the remainder of his life at no cost.</w:t>
      </w:r>
    </w:p>
    <w:p w14:paraId="3749A3EC" w14:textId="77777777" w:rsidR="00997F6F" w:rsidRDefault="00997F6F" w:rsidP="00997F6F">
      <w:pPr>
        <w:pStyle w:val="NoSpacing"/>
        <w:ind w:left="720"/>
      </w:pPr>
    </w:p>
    <w:p w14:paraId="1F225D7E" w14:textId="77777777" w:rsidR="00997F6F" w:rsidRDefault="00997F6F" w:rsidP="00997F6F">
      <w:pPr>
        <w:pStyle w:val="NoSpacing"/>
        <w:ind w:left="720"/>
      </w:pPr>
      <w:r>
        <w:t xml:space="preserve">Since 2012, the </w:t>
      </w:r>
      <w:proofErr w:type="gramStart"/>
      <w:r>
        <w:t>District</w:t>
      </w:r>
      <w:proofErr w:type="gramEnd"/>
      <w:r>
        <w:t xml:space="preserve"> had provided all its employees with a high-deductible group health insurance plan through Blue Cross/Blue Shield. The </w:t>
      </w:r>
      <w:proofErr w:type="gramStart"/>
      <w:r>
        <w:t>District</w:t>
      </w:r>
      <w:proofErr w:type="gramEnd"/>
      <w:r>
        <w:t xml:space="preserve"> also provided all its active members with a Health Reimbursement Arrangement plan (HRA), through Employment Benefits Corporation (EBC), to help pay the high medical expense deductibles and co-pays under the Blue Cross/Blue Shield plan. The HRA benefit was provided in the form of a debit card funded by the </w:t>
      </w:r>
      <w:proofErr w:type="gramStart"/>
      <w:r>
        <w:t>District</w:t>
      </w:r>
      <w:proofErr w:type="gramEnd"/>
      <w:r>
        <w:t xml:space="preserve"> that employees could use to pay non-covered medical expenses.</w:t>
      </w:r>
    </w:p>
    <w:p w14:paraId="04696C90" w14:textId="77777777" w:rsidR="00997F6F" w:rsidRDefault="00997F6F" w:rsidP="00997F6F">
      <w:pPr>
        <w:pStyle w:val="NoSpacing"/>
        <w:ind w:left="720"/>
      </w:pPr>
    </w:p>
    <w:p w14:paraId="5B769638" w14:textId="77777777" w:rsidR="00997F6F" w:rsidRDefault="00997F6F" w:rsidP="00997F6F">
      <w:pPr>
        <w:pStyle w:val="NoSpacing"/>
        <w:ind w:left="720"/>
      </w:pPr>
      <w:r>
        <w:t>***</w:t>
      </w:r>
    </w:p>
    <w:p w14:paraId="6F6DCE3D" w14:textId="77777777" w:rsidR="00997F6F" w:rsidRDefault="00997F6F" w:rsidP="00997F6F">
      <w:pPr>
        <w:pStyle w:val="NoSpacing"/>
        <w:ind w:left="720"/>
      </w:pPr>
      <w:r>
        <w:lastRenderedPageBreak/>
        <w:t xml:space="preserve">From August 2017 through December 31, 2023, the District continued to provide the same benefits to Carter that it provided to its active employees. That is, the </w:t>
      </w:r>
      <w:proofErr w:type="gramStart"/>
      <w:r>
        <w:t>District</w:t>
      </w:r>
      <w:proofErr w:type="gramEnd"/>
      <w:r>
        <w:t xml:space="preserve"> paid the premium for Carter’s coverage in the Blue Cross/Blue Shield group health insurance plan and provided Carter with the HRA benefit. The </w:t>
      </w:r>
      <w:proofErr w:type="gramStart"/>
      <w:r>
        <w:t>District</w:t>
      </w:r>
      <w:proofErr w:type="gramEnd"/>
      <w:r>
        <w:t xml:space="preserve"> also provided Carter with vision, dental, and life insurance.</w:t>
      </w:r>
    </w:p>
    <w:p w14:paraId="628DE994" w14:textId="77777777" w:rsidR="00997F6F" w:rsidRDefault="00997F6F" w:rsidP="00997F6F">
      <w:pPr>
        <w:pStyle w:val="NoSpacing"/>
        <w:ind w:left="720"/>
      </w:pPr>
    </w:p>
    <w:p w14:paraId="7946B07F" w14:textId="77777777" w:rsidR="00997F6F" w:rsidRDefault="00997F6F" w:rsidP="00997F6F">
      <w:pPr>
        <w:pStyle w:val="NoSpacing"/>
        <w:ind w:left="720"/>
      </w:pPr>
      <w:r>
        <w:t>On September 28, 2023, the District notified Carter that it had determined that he was</w:t>
      </w:r>
    </w:p>
    <w:p w14:paraId="27EE0142" w14:textId="77777777" w:rsidR="00997F6F" w:rsidRDefault="00997F6F" w:rsidP="00997F6F">
      <w:pPr>
        <w:pStyle w:val="NoSpacing"/>
        <w:ind w:left="720"/>
      </w:pPr>
      <w:r>
        <w:t xml:space="preserve">receiving benefits beyond those he was entitled to receive under the Benefits Act. Specifically, the District informed Carter that he was not entitled to receive vision, dental, or life insurance or any HRA benefits. The </w:t>
      </w:r>
      <w:proofErr w:type="gramStart"/>
      <w:r>
        <w:t>District</w:t>
      </w:r>
      <w:proofErr w:type="gramEnd"/>
      <w:r>
        <w:t xml:space="preserve"> indicated that those benefits would cease on January 1, 2024.</w:t>
      </w:r>
    </w:p>
    <w:p w14:paraId="70B30409" w14:textId="77777777" w:rsidR="00997F6F" w:rsidRDefault="00997F6F" w:rsidP="00997F6F">
      <w:pPr>
        <w:pStyle w:val="NoSpacing"/>
        <w:ind w:left="720"/>
      </w:pPr>
    </w:p>
    <w:p w14:paraId="1EAEBCEA" w14:textId="77777777" w:rsidR="00997F6F" w:rsidRDefault="00997F6F" w:rsidP="00997F6F">
      <w:pPr>
        <w:pStyle w:val="NoSpacing"/>
        <w:ind w:left="720"/>
      </w:pPr>
      <w:r>
        <w:t>***</w:t>
      </w:r>
    </w:p>
    <w:p w14:paraId="3092295C" w14:textId="77777777" w:rsidR="00997F6F" w:rsidRDefault="00997F6F" w:rsidP="00997F6F">
      <w:pPr>
        <w:pStyle w:val="NoSpacing"/>
        <w:ind w:left="720"/>
      </w:pPr>
      <w:r>
        <w:t xml:space="preserve">The language of the Benefits Act is clear— the </w:t>
      </w:r>
      <w:proofErr w:type="gramStart"/>
      <w:r>
        <w:t>District</w:t>
      </w:r>
      <w:proofErr w:type="gramEnd"/>
      <w:r>
        <w:t xml:space="preserve"> must continue to provide its injured employees with health insurance coverage by paying the entire premium associated with its health insurance plan…. The Benefits Act also plainly states </w:t>
      </w:r>
      <w:proofErr w:type="gramStart"/>
      <w:r>
        <w:t>that ‘[t]</w:t>
      </w:r>
      <w:proofErr w:type="gramEnd"/>
      <w:r>
        <w:t xml:space="preserve">he term ‘health insurance plan’ does not include supplemental benefits that are not part of the basic group health insurance </w:t>
      </w:r>
      <w:proofErr w:type="gramStart"/>
      <w:r>
        <w:t>plan.’</w:t>
      </w:r>
      <w:proofErr w:type="gramEnd"/>
      <w:r>
        <w:t xml:space="preserve"> … There is no indication in the </w:t>
      </w:r>
      <w:proofErr w:type="gramStart"/>
      <w:r>
        <w:t>District’s</w:t>
      </w:r>
      <w:proofErr w:type="gramEnd"/>
      <w:r>
        <w:t xml:space="preserve"> health insurance plan that HRA benefits are part of this plan. Thus, HRA benefits are supplemental benefits that are not mandated by the Benefits Act.”</w:t>
      </w:r>
    </w:p>
    <w:p w14:paraId="72498BC8" w14:textId="77777777" w:rsidR="00997F6F" w:rsidRDefault="00997F6F" w:rsidP="00997F6F">
      <w:pPr>
        <w:pStyle w:val="NoSpacing"/>
        <w:ind w:left="720"/>
      </w:pPr>
    </w:p>
    <w:p w14:paraId="0A845DF0" w14:textId="77777777" w:rsidR="00997F6F" w:rsidRPr="00C46E56" w:rsidRDefault="00997F6F" w:rsidP="00997F6F">
      <w:pPr>
        <w:rPr>
          <w:b/>
          <w:bCs/>
        </w:rPr>
      </w:pPr>
      <w:r>
        <w:rPr>
          <w:b/>
        </w:rPr>
        <w:t xml:space="preserve">Legal lesson learned:  The statute needs to be amended; hard to understand why the Fire District removed benefits they were proving to an injured firefighter for six years.  </w:t>
      </w:r>
    </w:p>
    <w:p w14:paraId="1314716B" w14:textId="77777777" w:rsidR="00997F6F" w:rsidRDefault="00997F6F" w:rsidP="00997F6F">
      <w:pPr>
        <w:pStyle w:val="NoSpacing"/>
      </w:pPr>
      <w:r>
        <w:tab/>
        <w:t xml:space="preserve">Note: See benefits </w:t>
      </w:r>
    </w:p>
    <w:p w14:paraId="124FD650" w14:textId="77777777" w:rsidR="00997F6F" w:rsidRDefault="00997F6F" w:rsidP="00997F6F">
      <w:pPr>
        <w:pStyle w:val="NoSpacing"/>
      </w:pPr>
    </w:p>
    <w:p w14:paraId="1BDD76A2" w14:textId="77777777" w:rsidR="00997F6F" w:rsidRDefault="00997F6F" w:rsidP="00997F6F">
      <w:pPr>
        <w:pStyle w:val="NoSpacing"/>
        <w:ind w:firstLine="720"/>
      </w:pPr>
      <w:r>
        <w:t xml:space="preserve">Section 10(a) of </w:t>
      </w:r>
      <w:r w:rsidRPr="00CA16B0">
        <w:t>Public Safety Employee Benefits Act</w:t>
      </w:r>
      <w:r>
        <w:t>:</w:t>
      </w:r>
    </w:p>
    <w:p w14:paraId="1A1CE7D7" w14:textId="77777777" w:rsidR="00997F6F" w:rsidRDefault="00997F6F" w:rsidP="00997F6F">
      <w:pPr>
        <w:pStyle w:val="NoSpacing"/>
        <w:ind w:firstLine="720"/>
      </w:pPr>
      <w:r>
        <w:t xml:space="preserve">(a) An employer who employs </w:t>
      </w:r>
      <w:proofErr w:type="gramStart"/>
      <w:r>
        <w:t>a full</w:t>
      </w:r>
      <w:proofErr w:type="gramEnd"/>
      <w:r>
        <w:t>-time law enforcement, correctional or</w:t>
      </w:r>
    </w:p>
    <w:p w14:paraId="61F6E56A" w14:textId="77777777" w:rsidR="00997F6F" w:rsidRDefault="00997F6F" w:rsidP="00997F6F">
      <w:pPr>
        <w:pStyle w:val="NoSpacing"/>
        <w:ind w:firstLine="720"/>
      </w:pPr>
      <w:r>
        <w:t>correctional probation officer, or firefighter, who, on or after the effective date of this Act</w:t>
      </w:r>
    </w:p>
    <w:p w14:paraId="57CC0A31" w14:textId="77777777" w:rsidR="00997F6F" w:rsidRDefault="00997F6F" w:rsidP="00997F6F">
      <w:pPr>
        <w:pStyle w:val="NoSpacing"/>
        <w:ind w:firstLine="720"/>
      </w:pPr>
      <w:r>
        <w:t>suffers a catastrophic injury or is killed in the line of duty shall pay the entire premium of</w:t>
      </w:r>
    </w:p>
    <w:p w14:paraId="49AFEF37" w14:textId="77777777" w:rsidR="00997F6F" w:rsidRDefault="00997F6F" w:rsidP="00997F6F">
      <w:pPr>
        <w:pStyle w:val="NoSpacing"/>
        <w:ind w:firstLine="720"/>
      </w:pPr>
      <w:r>
        <w:t>the employer’s health insurance plan for the injured employee, the injured employee’s</w:t>
      </w:r>
    </w:p>
    <w:p w14:paraId="7D78DCA8" w14:textId="77777777" w:rsidR="00997F6F" w:rsidRDefault="00997F6F" w:rsidP="00997F6F">
      <w:pPr>
        <w:pStyle w:val="NoSpacing"/>
        <w:ind w:firstLine="720"/>
      </w:pPr>
      <w:r>
        <w:t>spouse, and for each dependent child of the injured employee until the child reaches the</w:t>
      </w:r>
    </w:p>
    <w:p w14:paraId="20B60468" w14:textId="77777777" w:rsidR="00997F6F" w:rsidRDefault="00997F6F" w:rsidP="00997F6F">
      <w:pPr>
        <w:pStyle w:val="NoSpacing"/>
        <w:ind w:firstLine="720"/>
      </w:pPr>
      <w:r>
        <w:t>age of majority or until the end of the calendar year in which the child reaches the age of</w:t>
      </w:r>
    </w:p>
    <w:p w14:paraId="01D3C880" w14:textId="77777777" w:rsidR="00997F6F" w:rsidRDefault="00997F6F" w:rsidP="00997F6F">
      <w:pPr>
        <w:pStyle w:val="NoSpacing"/>
        <w:ind w:left="720"/>
      </w:pPr>
      <w:r>
        <w:t xml:space="preserve">25 if the child continues to be dependent </w:t>
      </w:r>
      <w:proofErr w:type="gramStart"/>
      <w:r>
        <w:t>for</w:t>
      </w:r>
      <w:proofErr w:type="gramEnd"/>
      <w:r>
        <w:t xml:space="preserve"> support or the child is a full-time or part-time student and is dependent </w:t>
      </w:r>
      <w:proofErr w:type="gramStart"/>
      <w:r>
        <w:t>for</w:t>
      </w:r>
      <w:proofErr w:type="gramEnd"/>
      <w:r>
        <w:t xml:space="preserve"> support. The term “health insurance plan” does not include supplemental benefits that are not part of the basic group health insurance plan. If the injured employee subsequently dies, the employer shall continue to pay the entire health insurance premium for the surviving spouse until remarried and for the dependent children under the conditions established in this Section. (Emphases added.) 820 ILCS </w:t>
      </w:r>
      <w:r w:rsidRPr="008F024B">
        <w:t>320/10(a) (West 2016).</w:t>
      </w:r>
    </w:p>
    <w:p w14:paraId="34BF8B40" w14:textId="77777777" w:rsidR="00997F6F" w:rsidRDefault="00997F6F" w:rsidP="00997F6F">
      <w:pPr>
        <w:pStyle w:val="NoSpacing"/>
      </w:pPr>
    </w:p>
    <w:p w14:paraId="1E845C54" w14:textId="77777777" w:rsidR="00816870" w:rsidRDefault="00816870" w:rsidP="00816870">
      <w:pPr>
        <w:rPr>
          <w:rFonts w:ascii="Arial Black" w:hAnsi="Arial Black"/>
          <w:sz w:val="24"/>
          <w:szCs w:val="24"/>
        </w:rPr>
      </w:pPr>
    </w:p>
    <w:p w14:paraId="4401F132" w14:textId="78C451D5" w:rsidR="00816870" w:rsidRDefault="00816870" w:rsidP="00816870">
      <w:pPr>
        <w:rPr>
          <w:rFonts w:ascii="Arial Black" w:hAnsi="Arial Black"/>
          <w:sz w:val="24"/>
          <w:szCs w:val="24"/>
        </w:rPr>
      </w:pPr>
      <w:r>
        <w:rPr>
          <w:rFonts w:ascii="Arial Black" w:hAnsi="Arial Black"/>
          <w:sz w:val="24"/>
          <w:szCs w:val="24"/>
        </w:rPr>
        <w:t>2-109</w:t>
      </w:r>
    </w:p>
    <w:p w14:paraId="24261033" w14:textId="77777777" w:rsidR="006801BF" w:rsidRPr="00395AD6" w:rsidRDefault="006801BF" w:rsidP="006801BF">
      <w:pPr>
        <w:pStyle w:val="NoSpacing"/>
        <w:rPr>
          <w:rFonts w:ascii="Arial Black" w:hAnsi="Arial Black"/>
          <w:bCs/>
          <w:sz w:val="28"/>
          <w:szCs w:val="28"/>
        </w:rPr>
      </w:pPr>
      <w:r>
        <w:rPr>
          <w:rFonts w:ascii="Arial Black" w:hAnsi="Arial Black"/>
          <w:sz w:val="28"/>
          <w:szCs w:val="28"/>
        </w:rPr>
        <w:t>NY: LODD – NUSING HOME – PRIOR INSPECTIONS RPTS</w:t>
      </w:r>
    </w:p>
    <w:p w14:paraId="63483D6F" w14:textId="77777777" w:rsidR="006801BF" w:rsidRDefault="006801BF" w:rsidP="006801BF">
      <w:pPr>
        <w:pStyle w:val="NoSpacing"/>
        <w:rPr>
          <w:bCs/>
        </w:rPr>
      </w:pPr>
    </w:p>
    <w:p w14:paraId="6569B20D" w14:textId="77777777" w:rsidR="006801BF" w:rsidRDefault="006801BF" w:rsidP="006801BF">
      <w:pPr>
        <w:pStyle w:val="NoSpacing"/>
      </w:pPr>
      <w:r>
        <w:t xml:space="preserve">On April 22, 2026, in </w:t>
      </w:r>
      <w:proofErr w:type="spellStart"/>
      <w:r w:rsidRPr="00CB7B90">
        <w:rPr>
          <w:u w:val="single"/>
        </w:rPr>
        <w:t>Sabrail</w:t>
      </w:r>
      <w:proofErr w:type="spellEnd"/>
      <w:r w:rsidRPr="00CB7B90">
        <w:rPr>
          <w:u w:val="single"/>
        </w:rPr>
        <w:t xml:space="preserve"> Davenport, as Administrator of the Estate of Jared Calvin Lloyd v. Evergreen Court Home for Adults SP LLC, et al</w:t>
      </w:r>
      <w:r w:rsidRPr="002943E4">
        <w:t xml:space="preserve">., </w:t>
      </w:r>
      <w:r>
        <w:t xml:space="preserve">Judge </w:t>
      </w:r>
      <w:r w:rsidRPr="00220073">
        <w:t>John P. Collins, Jr.</w:t>
      </w:r>
      <w:r>
        <w:t xml:space="preserve">, </w:t>
      </w:r>
      <w:r w:rsidRPr="00AD4E97">
        <w:t>Supreme Court, Rockland County</w:t>
      </w:r>
      <w:r>
        <w:t xml:space="preserve">, quashed subpoenas by the firefighters’ family that seek a Wisconsin based  commercial insurance company’s post-fire claims files which include privileged information, but may issue a “narrowly tailed subpoena” concerning pre-loss inspection reports by the insurance company.  </w:t>
      </w:r>
      <w:r w:rsidRPr="00DB3494">
        <w:t> </w:t>
      </w:r>
      <w:r>
        <w:t>“</w:t>
      </w:r>
      <w:r w:rsidRPr="00DB3494">
        <w:t>A liability insurer's claim file, created in connection with its defense of third-party claims against its insured, is conditionally immune from disclosure as material prepared in anticipation of litigation.</w:t>
      </w:r>
      <w:r>
        <w:t xml:space="preserve">” Firefighter Jared Calvin Lloyd was killed on March 23, </w:t>
      </w:r>
      <w:proofErr w:type="gramStart"/>
      <w:r>
        <w:t>2021</w:t>
      </w:r>
      <w:proofErr w:type="gramEnd"/>
      <w:r>
        <w:t xml:space="preserve"> structure fire at </w:t>
      </w:r>
      <w:r w:rsidRPr="001C5294">
        <w:t>Evergreen Home for Adults</w:t>
      </w:r>
      <w:r>
        <w:t xml:space="preserve"> when a rabbi and his son used a blowtorch for a </w:t>
      </w:r>
      <w:r w:rsidRPr="00B62261">
        <w:t>pre-Passover cleaning process</w:t>
      </w:r>
      <w:r>
        <w:t xml:space="preserve">. </w:t>
      </w:r>
      <w:hyperlink r:id="rId401" w:history="1">
        <w:r w:rsidRPr="00ED3F08">
          <w:rPr>
            <w:rStyle w:val="Hyperlink"/>
          </w:rPr>
          <w:t>https://public.fastcase.com/Jhe1Qn%2BmJndQYQU6z%2FeNm1Wc0BhwXqbgUcnfM0G%2F8LGBWKhbC8yUkIyVwLGd8</w:t>
        </w:r>
        <w:r w:rsidRPr="00ED3F08">
          <w:rPr>
            <w:rStyle w:val="Hyperlink"/>
          </w:rPr>
          <w:lastRenderedPageBreak/>
          <w:t>HWj?utm_medium=email&amp;_hsenc=p2ANqtz-85mlG7bjjwBnXQBs8DYGyySvCPBDEvbYyrF7EMhR5VCH2hTuoCLWnOKD3mejXOTkKYawSsNFXD_QLidauQN_0-kPfmHA&amp;_hsmi=226712652&amp;utm_content=226712652&amp;utm_source=hs_email</w:t>
        </w:r>
      </w:hyperlink>
      <w:r>
        <w:t xml:space="preserve"> </w:t>
      </w:r>
    </w:p>
    <w:p w14:paraId="22E077B0" w14:textId="77777777" w:rsidR="006801BF" w:rsidRDefault="006801BF" w:rsidP="006801BF">
      <w:pPr>
        <w:pStyle w:val="NoSpacing"/>
      </w:pPr>
    </w:p>
    <w:p w14:paraId="185C620C" w14:textId="77777777" w:rsidR="006801BF" w:rsidRDefault="006801BF" w:rsidP="006801BF">
      <w:pPr>
        <w:pStyle w:val="NoSpacing"/>
        <w:rPr>
          <w:bCs/>
        </w:rPr>
      </w:pPr>
      <w:r>
        <w:t xml:space="preserve">THE COURT HELD: </w:t>
      </w:r>
    </w:p>
    <w:p w14:paraId="2B2A284C" w14:textId="77777777" w:rsidR="006801BF" w:rsidRDefault="006801BF" w:rsidP="006801BF">
      <w:pPr>
        <w:pStyle w:val="NoSpacing"/>
        <w:rPr>
          <w:bCs/>
        </w:rPr>
      </w:pPr>
    </w:p>
    <w:p w14:paraId="0B58BF75" w14:textId="77777777" w:rsidR="006801BF" w:rsidRDefault="006801BF" w:rsidP="006801BF">
      <w:pPr>
        <w:pStyle w:val="NoSpacing"/>
        <w:ind w:left="720"/>
      </w:pPr>
      <w:r>
        <w:t xml:space="preserve">“[The Court held that family may now issue] “narrowly tailored subpoena … </w:t>
      </w:r>
      <w:r w:rsidRPr="00D83B5B">
        <w:t>seeking specifically: (</w:t>
      </w:r>
      <w:proofErr w:type="spellStart"/>
      <w:r w:rsidRPr="00D83B5B">
        <w:t>i</w:t>
      </w:r>
      <w:proofErr w:type="spellEnd"/>
      <w:r w:rsidRPr="00D83B5B">
        <w:t xml:space="preserve">) any pre-loss inspection reports, hazard assessment reports or written communications between Church Mutual </w:t>
      </w:r>
      <w:r>
        <w:t xml:space="preserve">[insurance company] </w:t>
      </w:r>
      <w:r w:rsidRPr="00D83B5B">
        <w:t>and the insured concerning the physical condition of the premises at 65 Lafayette Street, Spring Valley, New York, generated in connection with the underwriting or renewal of any policy covering those premises; and (ii) any written requirements or recommendations made by Church Mutual to the insured concerning fire safety, building conditions or hazard remediation at the premises.</w:t>
      </w:r>
    </w:p>
    <w:p w14:paraId="66B5A8CB" w14:textId="77777777" w:rsidR="006801BF" w:rsidRDefault="006801BF" w:rsidP="006801BF">
      <w:pPr>
        <w:pStyle w:val="NoSpacing"/>
        <w:ind w:left="720"/>
      </w:pPr>
    </w:p>
    <w:p w14:paraId="621963E9" w14:textId="77777777" w:rsidR="006801BF" w:rsidRDefault="006801BF" w:rsidP="006801BF">
      <w:pPr>
        <w:pStyle w:val="NoSpacing"/>
        <w:ind w:left="720"/>
      </w:pPr>
      <w:r>
        <w:t>***</w:t>
      </w:r>
    </w:p>
    <w:p w14:paraId="031ADEA1" w14:textId="77777777" w:rsidR="006801BF" w:rsidRDefault="006801BF" w:rsidP="006801BF">
      <w:pPr>
        <w:pStyle w:val="NoSpacing"/>
        <w:ind w:left="720"/>
      </w:pPr>
    </w:p>
    <w:p w14:paraId="38DB7911" w14:textId="77777777" w:rsidR="006801BF" w:rsidRDefault="006801BF" w:rsidP="006801BF">
      <w:pPr>
        <w:pStyle w:val="NoSpacing"/>
        <w:ind w:left="720"/>
      </w:pPr>
      <w:r w:rsidRPr="001C5294">
        <w:t>This is a wrongful death and conscious pain and suffering action arising from a catastrophic fire on March 22-23, 2021, at the Evergreen Court Home for Adults, located at 65 Lafayette Street, Village of Spring Valley, Rockland County. Plaintiff decedent, Jared Calvin Lloyd, was a volunteer firefighter with the Spring Valley Fire Department who was killed when he became trapped inside the burning building, which ultimately collapsed. A resident of Evergreen Home for Adults, Oliver Hueston, also perished in the fire. The premises were owned by defendant SPJJ LLC and operated by defendant Evergreen Court Home for Adults SP LLC. Church Mutual Insurance Company, S.I</w:t>
      </w:r>
      <w:proofErr w:type="gramStart"/>
      <w:r w:rsidRPr="001C5294">
        <w:t>. (</w:t>
      </w:r>
      <w:r>
        <w:t>‘</w:t>
      </w:r>
      <w:proofErr w:type="gramEnd"/>
      <w:r w:rsidRPr="001C5294">
        <w:t>Church Mutual</w:t>
      </w:r>
      <w:r>
        <w:t>’</w:t>
      </w:r>
      <w:r w:rsidRPr="001C5294">
        <w:t>) is a Wisconsin-based commercial insurer that issued liability and property insurance policies to the facility.</w:t>
      </w:r>
    </w:p>
    <w:p w14:paraId="56C04BF5" w14:textId="77777777" w:rsidR="006801BF" w:rsidRDefault="006801BF" w:rsidP="006801BF">
      <w:pPr>
        <w:pStyle w:val="NoSpacing"/>
      </w:pPr>
    </w:p>
    <w:p w14:paraId="2A2ECB20" w14:textId="77777777" w:rsidR="006801BF" w:rsidRDefault="006801BF" w:rsidP="006801BF">
      <w:pPr>
        <w:pStyle w:val="NoSpacing"/>
        <w:ind w:left="720"/>
      </w:pPr>
      <w:r w:rsidRPr="00BA6DCB">
        <w:t>The fire prompted investigations by at least five governmental agencies, including the New York State Department of Public Service (</w:t>
      </w:r>
      <w:r>
        <w:t>‘</w:t>
      </w:r>
      <w:r w:rsidRPr="00BA6DCB">
        <w:t>DPS</w:t>
      </w:r>
      <w:r>
        <w:t>’</w:t>
      </w:r>
      <w:r w:rsidRPr="00BA6DCB">
        <w:t>), the New York State Office of Fire Prevention and Control (</w:t>
      </w:r>
      <w:r>
        <w:t>‘</w:t>
      </w:r>
      <w:r w:rsidRPr="00BA6DCB">
        <w:t>OFPC</w:t>
      </w:r>
      <w:r>
        <w:t>’</w:t>
      </w:r>
      <w:r w:rsidRPr="00BA6DCB">
        <w:t>), the Rockland County Sheriff's Office, the Spring Valley Police Department, and the United States Bureau of Alcohol, Tobacco, Firearms and Explosives (</w:t>
      </w:r>
      <w:r>
        <w:t>‘</w:t>
      </w:r>
      <w:r w:rsidRPr="00BA6DCB">
        <w:t>ATF</w:t>
      </w:r>
      <w:r>
        <w:t>’</w:t>
      </w:r>
      <w:r w:rsidRPr="00BA6DCB">
        <w:t>). Criminal charges were brought against certain defendants and ultimately resolved by plea agreement.</w:t>
      </w:r>
    </w:p>
    <w:p w14:paraId="60334B49" w14:textId="77777777" w:rsidR="006801BF" w:rsidRDefault="006801BF" w:rsidP="006801BF">
      <w:pPr>
        <w:pStyle w:val="NoSpacing"/>
        <w:ind w:left="720"/>
      </w:pPr>
    </w:p>
    <w:p w14:paraId="2ADC265B" w14:textId="77777777" w:rsidR="006801BF" w:rsidRDefault="006801BF" w:rsidP="006801BF">
      <w:pPr>
        <w:pStyle w:val="NoSpacing"/>
        <w:ind w:left="720"/>
      </w:pPr>
      <w:r>
        <w:t>***</w:t>
      </w:r>
    </w:p>
    <w:p w14:paraId="5AB84E0B" w14:textId="77777777" w:rsidR="006801BF" w:rsidRDefault="006801BF" w:rsidP="006801BF">
      <w:pPr>
        <w:pStyle w:val="NoSpacing"/>
        <w:ind w:left="720"/>
      </w:pPr>
    </w:p>
    <w:p w14:paraId="6B96E5CB" w14:textId="77777777" w:rsidR="006801BF" w:rsidRDefault="006801BF" w:rsidP="006801BF">
      <w:pPr>
        <w:pStyle w:val="NoSpacing"/>
        <w:ind w:left="720"/>
      </w:pPr>
      <w:r w:rsidRPr="00E635C4">
        <w:t>Defense counsel documented that, in 3.7 hours of standard internet research, he was able to locate and download the complete 117-page DPS report, the 12-page OFPC report (originally submitted to the District Attorney with a non-disclosure request), and a 202-page criminal omnibus motion containing color photographs, a detailed kitchen blueprint, the complete 44 Control call detail report and a 19-page expert fire analysis report prepared by John Lentini of Scientific Fire Analysis, LLC. Five governmental agencies participated in the on-site investigation; the identities of whose investigators are specifically named in the record. With all criminal proceedings resolved, FOIL requests will yield the complete investigative record compiled by public agencies with unlimited access to the scene. Plaintiff has not rebutted this showing in any meaningful way.</w:t>
      </w:r>
      <w:r>
        <w:t>”</w:t>
      </w:r>
    </w:p>
    <w:p w14:paraId="16FA88DF" w14:textId="77777777" w:rsidR="006801BF" w:rsidRDefault="006801BF" w:rsidP="006801BF">
      <w:pPr>
        <w:pStyle w:val="NoSpacing"/>
        <w:ind w:left="720"/>
      </w:pPr>
    </w:p>
    <w:p w14:paraId="24618AAF" w14:textId="77777777" w:rsidR="006801BF" w:rsidRPr="00E635C4" w:rsidRDefault="006801BF" w:rsidP="006801BF">
      <w:pPr>
        <w:pStyle w:val="NoSpacing"/>
        <w:rPr>
          <w:b/>
          <w:bCs/>
        </w:rPr>
      </w:pPr>
      <w:r>
        <w:rPr>
          <w:b/>
        </w:rPr>
        <w:t xml:space="preserve">Legal lesson learned: Pre-trial discovery may include prior inspection reports about the building. </w:t>
      </w:r>
    </w:p>
    <w:p w14:paraId="4D1233D7" w14:textId="77777777" w:rsidR="006801BF" w:rsidRDefault="006801BF" w:rsidP="006801BF">
      <w:pPr>
        <w:pStyle w:val="NoSpacing"/>
        <w:rPr>
          <w:bCs/>
        </w:rPr>
      </w:pPr>
    </w:p>
    <w:p w14:paraId="4E5B97E5" w14:textId="77777777" w:rsidR="006801BF" w:rsidRDefault="006801BF" w:rsidP="006801BF">
      <w:pPr>
        <w:pStyle w:val="NoSpacing"/>
        <w:ind w:left="720"/>
        <w:rPr>
          <w:bCs/>
        </w:rPr>
      </w:pPr>
      <w:r>
        <w:t xml:space="preserve">Note: See TV report, five years after the fire. </w:t>
      </w:r>
      <w:hyperlink r:id="rId402" w:history="1">
        <w:r w:rsidRPr="00ED3F08">
          <w:rPr>
            <w:rStyle w:val="Hyperlink"/>
          </w:rPr>
          <w:t>https://www.newsbreak.com/news-12-2283883/4553774051867-today-is-the-fifth-anniversary-of-a-rockland-county-fire-that-killed-two-including-a-local-firefighter</w:t>
        </w:r>
      </w:hyperlink>
      <w:r>
        <w:t xml:space="preserve"> </w:t>
      </w:r>
    </w:p>
    <w:p w14:paraId="2ADF0F66" w14:textId="77777777" w:rsidR="006801BF" w:rsidRDefault="006801BF" w:rsidP="006801BF">
      <w:pPr>
        <w:pStyle w:val="NoSpacing"/>
        <w:ind w:left="720"/>
        <w:rPr>
          <w:bCs/>
        </w:rPr>
      </w:pPr>
    </w:p>
    <w:p w14:paraId="4A5E8269" w14:textId="77777777" w:rsidR="006801BF" w:rsidRPr="00004B01" w:rsidRDefault="006801BF" w:rsidP="006801BF">
      <w:pPr>
        <w:pStyle w:val="NoSpacing"/>
        <w:ind w:left="720"/>
        <w:rPr>
          <w:bCs/>
        </w:rPr>
      </w:pPr>
      <w:r>
        <w:t xml:space="preserve">July 1, 2021: </w:t>
      </w:r>
      <w:r w:rsidRPr="00004B01">
        <w:t xml:space="preserve">Massive blaze in adult care home which killed a resident and a firefighter 'was caused by rabbi and his son who used a BLOWTORCH in pre-Passover kitchen cleaning ritual.  </w:t>
      </w:r>
      <w:hyperlink r:id="rId403" w:history="1">
        <w:r w:rsidRPr="00004B01">
          <w:rPr>
            <w:rStyle w:val="Hyperlink"/>
          </w:rPr>
          <w:t>https://www.dailymail.com/news/article-9746389/Fatal-assisted-living-fire-linked-cleaning-ritual.html</w:t>
        </w:r>
      </w:hyperlink>
      <w:r w:rsidRPr="00004B01">
        <w:t xml:space="preserve"> </w:t>
      </w:r>
    </w:p>
    <w:p w14:paraId="26BDE57D" w14:textId="77777777" w:rsidR="006801BF" w:rsidRDefault="006801BF" w:rsidP="006801BF">
      <w:pPr>
        <w:pStyle w:val="NoSpacing"/>
        <w:ind w:left="720"/>
        <w:rPr>
          <w:bCs/>
        </w:rPr>
      </w:pPr>
    </w:p>
    <w:p w14:paraId="5E19C31A" w14:textId="77777777" w:rsidR="006801BF" w:rsidRPr="0033656E" w:rsidRDefault="006801BF" w:rsidP="006801BF">
      <w:pPr>
        <w:pStyle w:val="NoSpacing"/>
        <w:ind w:left="720"/>
        <w:rPr>
          <w:bCs/>
        </w:rPr>
      </w:pPr>
      <w:r w:rsidRPr="0033656E">
        <w:t xml:space="preserve">National Fallen Firefighters Foundation - Roll of Honor: </w:t>
      </w:r>
      <w:hyperlink r:id="rId404" w:history="1">
        <w:r w:rsidRPr="0033656E">
          <w:rPr>
            <w:rStyle w:val="Hyperlink"/>
          </w:rPr>
          <w:t>https://www.firehero.org/fallen-firefighter/jared-c-lloyd/</w:t>
        </w:r>
      </w:hyperlink>
      <w:r w:rsidRPr="0033656E">
        <w:t xml:space="preserve"> </w:t>
      </w:r>
    </w:p>
    <w:p w14:paraId="1D5E9C5B" w14:textId="77777777" w:rsidR="006801BF" w:rsidRDefault="006801BF" w:rsidP="006801BF">
      <w:pPr>
        <w:pStyle w:val="NoSpacing"/>
        <w:ind w:left="720"/>
        <w:rPr>
          <w:bCs/>
        </w:rPr>
      </w:pPr>
    </w:p>
    <w:p w14:paraId="16AA91FE" w14:textId="75629BB2" w:rsidR="00816870" w:rsidRDefault="00816870" w:rsidP="00816870">
      <w:pPr>
        <w:rPr>
          <w:rFonts w:ascii="Arial Black" w:hAnsi="Arial Black"/>
          <w:sz w:val="24"/>
          <w:szCs w:val="24"/>
        </w:rPr>
      </w:pPr>
      <w:r>
        <w:rPr>
          <w:rFonts w:ascii="Arial Black" w:hAnsi="Arial Black"/>
          <w:sz w:val="24"/>
          <w:szCs w:val="24"/>
        </w:rPr>
        <w:t>2-108</w:t>
      </w:r>
    </w:p>
    <w:p w14:paraId="3380FEDC" w14:textId="77777777" w:rsidR="00785DBA" w:rsidRDefault="00785DBA" w:rsidP="00785DBA">
      <w:pPr>
        <w:pStyle w:val="NoSpacing"/>
        <w:rPr>
          <w:rFonts w:ascii="Arial Black" w:hAnsi="Arial Black"/>
          <w:sz w:val="28"/>
          <w:szCs w:val="28"/>
        </w:rPr>
      </w:pPr>
      <w:r>
        <w:rPr>
          <w:rFonts w:ascii="Arial Black" w:hAnsi="Arial Black"/>
          <w:sz w:val="28"/>
          <w:szCs w:val="28"/>
        </w:rPr>
        <w:lastRenderedPageBreak/>
        <w:t>MO: THYROID CANCER / TURNOUT GEAR – STATE COURT</w:t>
      </w:r>
    </w:p>
    <w:p w14:paraId="76BDFE82" w14:textId="77777777" w:rsidR="00785DBA" w:rsidRDefault="00785DBA" w:rsidP="00785DBA">
      <w:pPr>
        <w:pStyle w:val="NoSpacing"/>
        <w:rPr>
          <w:rFonts w:ascii="Arial Black" w:hAnsi="Arial Black"/>
          <w:sz w:val="28"/>
          <w:szCs w:val="28"/>
        </w:rPr>
      </w:pPr>
    </w:p>
    <w:p w14:paraId="71D9C818" w14:textId="77777777" w:rsidR="00785DBA" w:rsidRDefault="00785DBA" w:rsidP="00785DBA">
      <w:pPr>
        <w:pStyle w:val="NoSpacing"/>
      </w:pPr>
      <w:r>
        <w:t xml:space="preserve">On April 7, 2026, in </w:t>
      </w:r>
      <w:r w:rsidRPr="00CF1C54">
        <w:rPr>
          <w:u w:val="single"/>
        </w:rPr>
        <w:t>Jason Crady and Nicole Crady v. 3M Company</w:t>
      </w:r>
      <w:r>
        <w:t xml:space="preserve">, U.S. District Court Judge John A Ross, United States District Court for Eastern District of Missouri, Eastern Division, granted the firefighter’s motion to return the case to state court. The plaintiff has been a firefighter since </w:t>
      </w:r>
      <w:r w:rsidRPr="00C94CAF">
        <w:t>2005</w:t>
      </w:r>
      <w:r>
        <w:t xml:space="preserve">, and in </w:t>
      </w:r>
      <w:r w:rsidRPr="00C94CAF">
        <w:t>March 2024, Crady was diagnosed with thyroid cancer.</w:t>
      </w:r>
      <w:r>
        <w:t xml:space="preserve">  He and his wife filed suit against 3M in state court, claiming his turn out gear caused his cancer (not  exposure to AFFF foam).  3M removed case to federal court so it could assert the “federal contractor defense” – that </w:t>
      </w:r>
      <w:r w:rsidRPr="00DB077F">
        <w:t>3M manufactured and sold to the U.S. military in accordance with the military's specifications (</w:t>
      </w:r>
      <w:r>
        <w:t>“</w:t>
      </w:r>
      <w:proofErr w:type="spellStart"/>
      <w:r w:rsidRPr="00DB077F">
        <w:t>MilSpec</w:t>
      </w:r>
      <w:proofErr w:type="spellEnd"/>
      <w:r w:rsidRPr="00DB077F">
        <w:t xml:space="preserve"> AFFF</w:t>
      </w:r>
      <w:r>
        <w:t>”).  The firefighter’s attorneys, to avoid that defense, wisely only sued 3M regarding turn out exposure, not AFFF foam exposure. The plaintiff’s deposition was taken in the federal case showing very limited exposure to foam:</w:t>
      </w:r>
    </w:p>
    <w:p w14:paraId="4ADE3F1F" w14:textId="77777777" w:rsidR="00785DBA" w:rsidRDefault="00785DBA" w:rsidP="00785DBA">
      <w:pPr>
        <w:pStyle w:val="NoSpacing"/>
      </w:pPr>
    </w:p>
    <w:p w14:paraId="4B287296" w14:textId="77777777" w:rsidR="00785DBA" w:rsidRDefault="00785DBA" w:rsidP="00785DBA">
      <w:pPr>
        <w:ind w:left="720"/>
      </w:pPr>
      <w:r>
        <w:t>“</w:t>
      </w:r>
      <w:r w:rsidRPr="00310C62">
        <w:t>Crady testified that in one instance during firefighting training, he was in a group that handled a hose used to discharge foam</w:t>
      </w:r>
      <w:r>
        <w:t xml:space="preserve">…. </w:t>
      </w:r>
      <w:r w:rsidRPr="00310C62">
        <w:t xml:space="preserve">He </w:t>
      </w:r>
      <w:r>
        <w:t>‘</w:t>
      </w:r>
      <w:r w:rsidRPr="00310C62">
        <w:t>was probably the fourth person on the hose</w:t>
      </w:r>
      <w:r>
        <w:t>’</w:t>
      </w:r>
      <w:r w:rsidRPr="00310C62">
        <w:t xml:space="preserve"> and approximately ten to twenty feet from the nozzle</w:t>
      </w:r>
      <w:r>
        <w:t xml:space="preserve">…. </w:t>
      </w:r>
      <w:r w:rsidRPr="00310C62">
        <w:t>He did not mix, load, wade in, or touch the foam during that training</w:t>
      </w:r>
      <w:r>
        <w:t xml:space="preserve">…. </w:t>
      </w:r>
      <w:r w:rsidRPr="00310C62">
        <w:t>At another training session, Crady learned how to load foam into a truck, but he did not personally load any foam or open any foam container</w:t>
      </w:r>
      <w:r>
        <w:t xml:space="preserve">…. </w:t>
      </w:r>
      <w:r w:rsidRPr="00310C62">
        <w:t>He confirmed that he never loaded foam himself</w:t>
      </w:r>
      <w:r>
        <w:t xml:space="preserve">…. </w:t>
      </w:r>
      <w:r w:rsidRPr="00310C62">
        <w:t xml:space="preserve"> Crady testified that he did not believe he had ever been exposed to foam</w:t>
      </w:r>
      <w:r>
        <w:t xml:space="preserve">…. </w:t>
      </w:r>
      <w:r w:rsidRPr="00310C62">
        <w:t xml:space="preserve">Plaintiffs state that Crady testified </w:t>
      </w:r>
      <w:r>
        <w:t>‘</w:t>
      </w:r>
      <w:r w:rsidRPr="00310C62">
        <w:t>no less than ten times he was not exposed to foam, and he didn't train anyone on the use of foam.</w:t>
      </w:r>
      <w:r>
        <w:t xml:space="preserve">’ </w:t>
      </w:r>
    </w:p>
    <w:p w14:paraId="69C0B4AA" w14:textId="77777777" w:rsidR="00785DBA" w:rsidRDefault="00785DBA" w:rsidP="00785DBA">
      <w:r>
        <w:t xml:space="preserve">The case is now returned to state court for pre-trial discovery. </w:t>
      </w:r>
      <w:hyperlink r:id="rId405" w:history="1">
        <w:r w:rsidRPr="00BB6E17">
          <w:rPr>
            <w:rStyle w:val="Hyperlink"/>
          </w:rPr>
          <w:t>https://public.fastcase.com/Jhe1Qn%2BmJndQYQU6z%2FeNm2HEaeCCWkcBCeUCujqGNVlbyw33GV3OIPoGmz91llGj?utm_medium=email&amp;_hsenc=p2ANqtz--_2koWPJH8aNw9hArqKJahBiDeDbHde9hJY14uLqxi48R0NPU4q8g0_WpBiId9hecTh5LabDNFfk8DSpNZX48Jer-K6w&amp;_hsmi=226712652&amp;utm_content=226712652&amp;utm_source=hs_email</w:t>
        </w:r>
      </w:hyperlink>
      <w:r>
        <w:t xml:space="preserve"> </w:t>
      </w:r>
    </w:p>
    <w:p w14:paraId="20DFC53C" w14:textId="77777777" w:rsidR="00785DBA" w:rsidRDefault="00785DBA" w:rsidP="00785DBA">
      <w:pPr>
        <w:pStyle w:val="NoSpacing"/>
      </w:pPr>
    </w:p>
    <w:p w14:paraId="439E62B7" w14:textId="77777777" w:rsidR="00785DBA" w:rsidRDefault="00785DBA" w:rsidP="00785DBA">
      <w:pPr>
        <w:pStyle w:val="NoSpacing"/>
      </w:pPr>
      <w:r>
        <w:t xml:space="preserve">THE COURT HELD: </w:t>
      </w:r>
    </w:p>
    <w:p w14:paraId="2E3DF11B" w14:textId="77777777" w:rsidR="00785DBA" w:rsidRDefault="00785DBA" w:rsidP="00785DBA">
      <w:pPr>
        <w:pStyle w:val="NoSpacing"/>
      </w:pPr>
    </w:p>
    <w:p w14:paraId="19575E7F" w14:textId="77777777" w:rsidR="00785DBA" w:rsidRDefault="00785DBA" w:rsidP="00785DBA">
      <w:pPr>
        <w:pStyle w:val="NoSpacing"/>
        <w:ind w:left="720"/>
      </w:pPr>
      <w:r>
        <w:t>“</w:t>
      </w:r>
      <w:r w:rsidRPr="00CF1490">
        <w:t xml:space="preserve">Based on the insufficiency of the facts in this </w:t>
      </w:r>
      <w:proofErr w:type="gramStart"/>
      <w:r w:rsidRPr="00CF1490">
        <w:t>particular case</w:t>
      </w:r>
      <w:proofErr w:type="gramEnd"/>
      <w:r w:rsidRPr="00CF1490">
        <w:t>, the Court finds that 3M has failed to establish a colorable federal defense</w:t>
      </w:r>
      <w:r>
        <w:t xml:space="preserve">….  </w:t>
      </w:r>
    </w:p>
    <w:p w14:paraId="47D0DEC4" w14:textId="77777777" w:rsidR="00785DBA" w:rsidRDefault="00785DBA" w:rsidP="00785DBA">
      <w:pPr>
        <w:pStyle w:val="NoSpacing"/>
      </w:pPr>
    </w:p>
    <w:p w14:paraId="32FEDA9F" w14:textId="77777777" w:rsidR="00785DBA" w:rsidRDefault="00785DBA" w:rsidP="00785DBA">
      <w:pPr>
        <w:pStyle w:val="NoSpacing"/>
        <w:ind w:left="720"/>
      </w:pPr>
      <w:r>
        <w:t>T</w:t>
      </w:r>
      <w:r w:rsidRPr="005677C0">
        <w:t xml:space="preserve">he Court finds that Plaintiffs' statement that they have effectively disclaimed AFFF exposure and their additional confirmations that they are not claiming AFFF exposure are sufficient to serve as an express disclaimer of the right to claim damages relating to, or arising out of, exposure to, or injuries suffered as a result of </w:t>
      </w:r>
      <w:proofErr w:type="spellStart"/>
      <w:r w:rsidRPr="005677C0">
        <w:t>MilSpec</w:t>
      </w:r>
      <w:proofErr w:type="spellEnd"/>
      <w:r w:rsidRPr="005677C0">
        <w:t xml:space="preserve"> AFFF.</w:t>
      </w:r>
    </w:p>
    <w:p w14:paraId="7615E24C" w14:textId="77777777" w:rsidR="00785DBA" w:rsidRDefault="00785DBA" w:rsidP="00785DBA">
      <w:pPr>
        <w:pStyle w:val="NoSpacing"/>
        <w:ind w:left="720"/>
      </w:pPr>
    </w:p>
    <w:p w14:paraId="409763F6" w14:textId="77777777" w:rsidR="00785DBA" w:rsidRDefault="00785DBA" w:rsidP="00785DBA">
      <w:pPr>
        <w:pStyle w:val="NoSpacing"/>
        <w:ind w:left="720"/>
      </w:pPr>
      <w:r>
        <w:t xml:space="preserve">***  </w:t>
      </w:r>
    </w:p>
    <w:p w14:paraId="0AE2B301" w14:textId="77777777" w:rsidR="00785DBA" w:rsidRDefault="00785DBA" w:rsidP="00785DBA">
      <w:pPr>
        <w:pStyle w:val="NoSpacing"/>
        <w:ind w:left="720"/>
      </w:pPr>
      <w:r w:rsidRPr="00DB077F">
        <w:t xml:space="preserve">On September 16, 2025, 3M filed a notice of removal in this Court pursuant to 28 U.S.C. § 1442, the federal officer removal statute. In its notice of removal, 3M alleges that the </w:t>
      </w:r>
      <w:proofErr w:type="gramStart"/>
      <w:r w:rsidRPr="00DB077F">
        <w:t>cancer</w:t>
      </w:r>
      <w:r>
        <w:t xml:space="preserve"> </w:t>
      </w:r>
      <w:r w:rsidRPr="00DB077F">
        <w:t>causing</w:t>
      </w:r>
      <w:proofErr w:type="gramEnd"/>
      <w:r w:rsidRPr="00DB077F">
        <w:t xml:space="preserve"> chemicals to which Crady was exposed consisted of per- and poly fluoroalkyl substances (</w:t>
      </w:r>
      <w:r>
        <w:t>‘</w:t>
      </w:r>
      <w:r w:rsidRPr="00DB077F">
        <w:t>PFAS</w:t>
      </w:r>
      <w:r>
        <w:t>’</w:t>
      </w:r>
      <w:r w:rsidRPr="00DB077F">
        <w:t>), which are contained in AFFF that 3M manufactured and sold to the U.S. military in accordance with the military's specifications (</w:t>
      </w:r>
      <w:r>
        <w:t>‘</w:t>
      </w:r>
      <w:proofErr w:type="spellStart"/>
      <w:r w:rsidRPr="00DB077F">
        <w:t>MilSpec</w:t>
      </w:r>
      <w:proofErr w:type="spellEnd"/>
      <w:r w:rsidRPr="00DB077F">
        <w:t xml:space="preserve"> AFFF</w:t>
      </w:r>
      <w:r>
        <w:t>’</w:t>
      </w:r>
      <w:r w:rsidRPr="00DB077F">
        <w:t>)</w:t>
      </w:r>
      <w:r>
        <w:t xml:space="preserve">. </w:t>
      </w:r>
    </w:p>
    <w:p w14:paraId="35F9F0A6" w14:textId="77777777" w:rsidR="00785DBA" w:rsidRDefault="00785DBA" w:rsidP="00785DBA">
      <w:pPr>
        <w:pStyle w:val="NoSpacing"/>
        <w:ind w:left="720"/>
      </w:pPr>
    </w:p>
    <w:p w14:paraId="5091EE7D" w14:textId="77777777" w:rsidR="00785DBA" w:rsidRDefault="00785DBA" w:rsidP="00785DBA">
      <w:pPr>
        <w:pStyle w:val="NoSpacing"/>
        <w:ind w:left="720"/>
      </w:pPr>
      <w:r>
        <w:t>***</w:t>
      </w:r>
    </w:p>
    <w:p w14:paraId="0977179E" w14:textId="77777777" w:rsidR="00785DBA" w:rsidRDefault="00785DBA" w:rsidP="00785DBA">
      <w:pPr>
        <w:pStyle w:val="NoSpacing"/>
        <w:ind w:left="720"/>
      </w:pPr>
    </w:p>
    <w:p w14:paraId="38D1B295" w14:textId="77777777" w:rsidR="00785DBA" w:rsidRDefault="00785DBA" w:rsidP="00785DBA">
      <w:pPr>
        <w:pStyle w:val="NoSpacing"/>
        <w:ind w:left="720"/>
      </w:pPr>
      <w:r w:rsidRPr="00D94D0A">
        <w:t xml:space="preserve">On September 26, 2025, 3M moved to stay all proceedings until the Judicial Panel on Multidistrict Litigation (the “JPML”) rendered a final decision on 3M's motion to transfer this action to the District of South Carolina for inclusion in the multidistrict litigation proceeding captioned </w:t>
      </w:r>
      <w:r w:rsidRPr="00D94D0A">
        <w:rPr>
          <w:i/>
          <w:iCs/>
        </w:rPr>
        <w:t>In re Aqueous Film-Forming Foams (AFFF) Products Liability Litigation</w:t>
      </w:r>
      <w:r w:rsidRPr="00D94D0A">
        <w:t xml:space="preserve"> (MDL No. 2873) (the </w:t>
      </w:r>
      <w:r>
        <w:t>‘</w:t>
      </w:r>
      <w:r w:rsidRPr="00D94D0A">
        <w:t>MDL</w:t>
      </w:r>
      <w:r>
        <w:t>’</w:t>
      </w:r>
      <w:r w:rsidRPr="00D94D0A">
        <w:t>)</w:t>
      </w:r>
      <w:r>
        <w:t xml:space="preserve">…. </w:t>
      </w:r>
      <w:r w:rsidRPr="00376CC0">
        <w:t>On December 11, 2025, the JPML denied 3M's motion to transfer.</w:t>
      </w:r>
    </w:p>
    <w:p w14:paraId="5FBCE215" w14:textId="77777777" w:rsidR="00785DBA" w:rsidRDefault="00785DBA" w:rsidP="00785DBA">
      <w:pPr>
        <w:pStyle w:val="NoSpacing"/>
        <w:ind w:left="720"/>
      </w:pPr>
    </w:p>
    <w:p w14:paraId="6C3A254E" w14:textId="77777777" w:rsidR="00785DBA" w:rsidRDefault="00785DBA" w:rsidP="00785DBA">
      <w:pPr>
        <w:pStyle w:val="NoSpacing"/>
        <w:ind w:left="720"/>
      </w:pPr>
      <w:r>
        <w:t>***</w:t>
      </w:r>
    </w:p>
    <w:p w14:paraId="0DB60DD6" w14:textId="77777777" w:rsidR="00785DBA" w:rsidRDefault="00785DBA" w:rsidP="00785DBA">
      <w:pPr>
        <w:pStyle w:val="NoSpacing"/>
        <w:ind w:left="720"/>
      </w:pPr>
      <w:r w:rsidRPr="0041479E">
        <w:lastRenderedPageBreak/>
        <w:t xml:space="preserve">3M maintains that Plaintiffs are attempting to use state law to attack design choices dictated by the military to impose tort liability on 3M for alleged injuries that were caused in whole or in part by 3M's compliance with military specifications. According to 3M, its status as a government contractor grants that the federal officer defense precludes such an attack. </w:t>
      </w:r>
      <w:r w:rsidRPr="0041479E">
        <w:rPr>
          <w:i/>
          <w:iCs/>
        </w:rPr>
        <w:t>See Boyle v. United Techs. Corp.,</w:t>
      </w:r>
      <w:r w:rsidRPr="0041479E">
        <w:t xml:space="preserve"> 487 U.S. 500, 509 (1988). 3M argues that this defense asserted by 3M and other </w:t>
      </w:r>
      <w:proofErr w:type="spellStart"/>
      <w:r w:rsidRPr="0041479E">
        <w:t>MilSpec</w:t>
      </w:r>
      <w:proofErr w:type="spellEnd"/>
      <w:r w:rsidRPr="0041479E">
        <w:t xml:space="preserve"> AFFF manufacturers presents genuine issues of fact for trial based on an extensive factual record in the MDL. </w:t>
      </w:r>
      <w:r w:rsidRPr="0041479E">
        <w:rPr>
          <w:i/>
          <w:iCs/>
        </w:rPr>
        <w:t xml:space="preserve">See In re AFFF Prods. </w:t>
      </w:r>
      <w:proofErr w:type="spellStart"/>
      <w:r w:rsidRPr="0041479E">
        <w:rPr>
          <w:i/>
          <w:iCs/>
        </w:rPr>
        <w:t>Liab</w:t>
      </w:r>
      <w:proofErr w:type="spellEnd"/>
      <w:r w:rsidRPr="0041479E">
        <w:rPr>
          <w:i/>
          <w:iCs/>
        </w:rPr>
        <w:t>. Litig.,</w:t>
      </w:r>
      <w:r w:rsidRPr="0041479E">
        <w:t xml:space="preserve"> 2:18-mn-02873, 2022 WL 4291357, at *12, 15 (D.S.C. Sept. 16, 2022). 3M submits that a defense that presents triable issues is colorable and that it has satisfied the remaining element required for federal jurisdiction.</w:t>
      </w:r>
      <w:r>
        <w:t>”</w:t>
      </w:r>
    </w:p>
    <w:p w14:paraId="1C3D7ED2" w14:textId="77777777" w:rsidR="00785DBA" w:rsidRDefault="00785DBA" w:rsidP="00785DBA">
      <w:pPr>
        <w:pStyle w:val="NoSpacing"/>
        <w:ind w:left="720"/>
      </w:pPr>
    </w:p>
    <w:p w14:paraId="7E36FAFA" w14:textId="77777777" w:rsidR="00785DBA" w:rsidRPr="00B47E84" w:rsidRDefault="00785DBA" w:rsidP="00785DBA">
      <w:pPr>
        <w:rPr>
          <w:b/>
          <w:bCs/>
        </w:rPr>
      </w:pPr>
      <w:r>
        <w:rPr>
          <w:b/>
        </w:rPr>
        <w:t xml:space="preserve">Legal lesson learned: The case is back to state court where pre-trial discovery will proceed. </w:t>
      </w:r>
    </w:p>
    <w:p w14:paraId="1E474DF8" w14:textId="77777777" w:rsidR="00785DBA" w:rsidRDefault="00785DBA" w:rsidP="00785DBA">
      <w:pPr>
        <w:pStyle w:val="NoSpacing"/>
        <w:ind w:left="720"/>
      </w:pPr>
      <w:r>
        <w:t xml:space="preserve">Note: Military contractor defense was addressed by U.S. Supreme Court in </w:t>
      </w:r>
      <w:r w:rsidRPr="0041479E">
        <w:rPr>
          <w:i/>
          <w:iCs/>
        </w:rPr>
        <w:t>Boyle v. United Techs. Corp.,</w:t>
      </w:r>
      <w:r w:rsidRPr="0041479E">
        <w:t xml:space="preserve"> 487 U.S. 500</w:t>
      </w:r>
      <w:r>
        <w:t xml:space="preserve"> </w:t>
      </w:r>
      <w:r w:rsidRPr="0041479E">
        <w:t>(1988)</w:t>
      </w:r>
      <w:r>
        <w:t xml:space="preserve">.  </w:t>
      </w:r>
      <w:r w:rsidRPr="00FB25AF">
        <w:t xml:space="preserve">Military equipment that meets prior requirements set by the federal government cannot have a design defect sufficient to hold its manufacturer liable. </w:t>
      </w:r>
      <w:hyperlink r:id="rId406" w:history="1">
        <w:r w:rsidRPr="00BB6E17">
          <w:rPr>
            <w:rStyle w:val="Hyperlink"/>
          </w:rPr>
          <w:t>https://supreme.justia.com/cases/federal/us/487/500/</w:t>
        </w:r>
      </w:hyperlink>
      <w:r>
        <w:t xml:space="preserve"> </w:t>
      </w:r>
    </w:p>
    <w:p w14:paraId="3086F464" w14:textId="77777777" w:rsidR="00785DBA" w:rsidRDefault="00785DBA" w:rsidP="00785DBA">
      <w:pPr>
        <w:pStyle w:val="NoSpacing"/>
        <w:ind w:left="720"/>
      </w:pPr>
    </w:p>
    <w:p w14:paraId="445A7D3D" w14:textId="77777777" w:rsidR="00785DBA" w:rsidRDefault="00785DBA" w:rsidP="00785DBA">
      <w:pPr>
        <w:pStyle w:val="NoSpacing"/>
        <w:ind w:left="1440"/>
      </w:pPr>
      <w:r>
        <w:t>“</w:t>
      </w:r>
      <w:r w:rsidRPr="00C7452C">
        <w:t>This case requires us to decide when a contractor providing military equipment to the Federal Government can be held liable under state tort law for injury caused by a design defect</w:t>
      </w:r>
      <w:r>
        <w:t xml:space="preserve">…. [Plaintiff’s] </w:t>
      </w:r>
      <w:r w:rsidRPr="001532A7">
        <w:t>broadest contention is that, in the absence of legislation specifically immunizing Government contractors from liability for design defects, there is no basis for judicial recognition of such a defense. We disagree.</w:t>
      </w:r>
    </w:p>
    <w:p w14:paraId="5E836FFD" w14:textId="77777777" w:rsidR="00785DBA" w:rsidRDefault="00785DBA" w:rsidP="00785DBA">
      <w:pPr>
        <w:pStyle w:val="NoSpacing"/>
        <w:ind w:left="1440"/>
      </w:pPr>
    </w:p>
    <w:p w14:paraId="736C2D26" w14:textId="77777777" w:rsidR="00785DBA" w:rsidRDefault="00785DBA" w:rsidP="00785DBA">
      <w:pPr>
        <w:pStyle w:val="NoSpacing"/>
        <w:ind w:left="1440"/>
      </w:pPr>
      <w:r>
        <w:t>***</w:t>
      </w:r>
    </w:p>
    <w:p w14:paraId="180D0EC2" w14:textId="77777777" w:rsidR="00785DBA" w:rsidRDefault="00785DBA" w:rsidP="00785DBA">
      <w:pPr>
        <w:pStyle w:val="NoSpacing"/>
        <w:ind w:left="1440"/>
      </w:pPr>
    </w:p>
    <w:p w14:paraId="47FBD702" w14:textId="77777777" w:rsidR="00785DBA" w:rsidRDefault="00785DBA" w:rsidP="00785DBA">
      <w:pPr>
        <w:pStyle w:val="NoSpacing"/>
        <w:ind w:left="1440"/>
      </w:pPr>
      <w:r w:rsidRPr="004465FA">
        <w:t xml:space="preserve">On April 27, 1983, David A. Boyle, a United States Marine helicopter copilot, was killed when the CH-53D helicopter in which he was flying crashed off the coast of Virginia Beach, Virginia, during a training exercise. Although Boyle survived the impact of the crash, he was unable to escape from the </w:t>
      </w:r>
      <w:proofErr w:type="gramStart"/>
      <w:r w:rsidRPr="004465FA">
        <w:t>helicopter, and</w:t>
      </w:r>
      <w:proofErr w:type="gramEnd"/>
      <w:r w:rsidRPr="004465FA">
        <w:t xml:space="preserve"> drowned</w:t>
      </w:r>
      <w:r>
        <w:t xml:space="preserve">…. </w:t>
      </w:r>
      <w:r w:rsidRPr="00514E02">
        <w:t>At trial</w:t>
      </w:r>
      <w:r>
        <w:t xml:space="preserve"> [in federal court]</w:t>
      </w:r>
      <w:r w:rsidRPr="00514E02">
        <w:t xml:space="preserve">, petitioner presented two theories of liability under Virginia tort law that were submitted to the jury. First, petitioner alleged that Sikorsky had defectively repaired a device called the servo in the helicopter's automatic flight control system, which allegedly malfunctioned and caused the crash. Second, petitioner alleged that Sikorsky had defectively designed the copilot's emergency escape system: the escape hatch opened out instead of in (and was therefore ineffective in a submerged craft because of water pressure), and access to the escape hatch handle was obstructed by other equipment. The jury returned a general verdict in favor of </w:t>
      </w:r>
      <w:proofErr w:type="gramStart"/>
      <w:r w:rsidRPr="00514E02">
        <w:t>petitioner, and</w:t>
      </w:r>
      <w:proofErr w:type="gramEnd"/>
      <w:r w:rsidRPr="00514E02">
        <w:t xml:space="preserve"> awarded him $725,000</w:t>
      </w:r>
      <w:r>
        <w:t xml:space="preserve">….  [U.S. Court of Appeals reversed; just as Federal Government cannot be sued for defective design, </w:t>
      </w:r>
      <w:r w:rsidRPr="007B4C6E">
        <w:t>Sikorsky</w:t>
      </w:r>
      <w:r>
        <w:t xml:space="preserve"> as military contractor is not liable.] </w:t>
      </w:r>
    </w:p>
    <w:p w14:paraId="237439DA" w14:textId="77777777" w:rsidR="00785DBA" w:rsidRDefault="00785DBA" w:rsidP="00785DBA">
      <w:pPr>
        <w:pStyle w:val="NoSpacing"/>
        <w:ind w:left="1440"/>
      </w:pPr>
    </w:p>
    <w:p w14:paraId="3CDC16AB" w14:textId="77777777" w:rsidR="00785DBA" w:rsidRDefault="00785DBA" w:rsidP="00785DBA">
      <w:pPr>
        <w:pStyle w:val="NoSpacing"/>
        <w:ind w:left="1440"/>
      </w:pPr>
    </w:p>
    <w:p w14:paraId="17135C41" w14:textId="40466002" w:rsidR="00816870" w:rsidRDefault="00816870" w:rsidP="00816870">
      <w:pPr>
        <w:rPr>
          <w:rFonts w:ascii="Arial Black" w:hAnsi="Arial Black"/>
          <w:sz w:val="24"/>
          <w:szCs w:val="24"/>
        </w:rPr>
      </w:pPr>
      <w:r>
        <w:rPr>
          <w:rFonts w:ascii="Arial Black" w:hAnsi="Arial Black"/>
          <w:sz w:val="24"/>
          <w:szCs w:val="24"/>
        </w:rPr>
        <w:t>2-107</w:t>
      </w:r>
    </w:p>
    <w:p w14:paraId="276FA9D6" w14:textId="77777777" w:rsidR="00816870" w:rsidRDefault="00816870" w:rsidP="00816870">
      <w:pPr>
        <w:pStyle w:val="NoSpacing"/>
      </w:pPr>
      <w:r>
        <w:rPr>
          <w:rFonts w:ascii="Arial Black" w:hAnsi="Arial Black"/>
          <w:sz w:val="28"/>
          <w:szCs w:val="28"/>
        </w:rPr>
        <w:t>NH: FIRE POLE – VISITOR “PHOTO” – IMMUNITY / AIR BASE</w:t>
      </w:r>
    </w:p>
    <w:p w14:paraId="01D330AA" w14:textId="77777777" w:rsidR="00816870" w:rsidRDefault="00816870" w:rsidP="00816870">
      <w:pPr>
        <w:pStyle w:val="NoSpacing"/>
      </w:pPr>
    </w:p>
    <w:p w14:paraId="1DFEACE5" w14:textId="77777777" w:rsidR="00816870" w:rsidRDefault="00816870" w:rsidP="00816870">
      <w:pPr>
        <w:pStyle w:val="NoSpacing"/>
      </w:pPr>
      <w:r>
        <w:t xml:space="preserve">On March 31, 2026, in </w:t>
      </w:r>
      <w:r w:rsidRPr="00852BDB">
        <w:rPr>
          <w:u w:val="single"/>
        </w:rPr>
        <w:t>Celena Nixon v. United States of America</w:t>
      </w:r>
      <w:r>
        <w:t xml:space="preserve">, U.S. District Court Judge </w:t>
      </w:r>
      <w:r w:rsidRPr="00100189">
        <w:t>Paul J. Barbadoro</w:t>
      </w:r>
      <w:r>
        <w:t xml:space="preserve">, United States District Court for the District of New Hampshire, held that a visitor at the fire station </w:t>
      </w:r>
      <w:r w:rsidRPr="009B4B39">
        <w:t>Pease Air</w:t>
      </w:r>
      <w:r>
        <w:t xml:space="preserve"> </w:t>
      </w:r>
      <w:r w:rsidRPr="009B4B39">
        <w:t>National Guard Base in Newington, New Hampshire</w:t>
      </w:r>
      <w:r>
        <w:t xml:space="preserve"> cannot sue the government for most of her claims under Federal Tort Claims Act, but further briefing on “failure to train invitees” claim.   </w:t>
      </w:r>
      <w:r w:rsidRPr="00FC696C">
        <w:t>On Easter Sunday in April 2022, the fire department invited the</w:t>
      </w:r>
      <w:r>
        <w:t xml:space="preserve"> </w:t>
      </w:r>
      <w:r w:rsidRPr="00FC696C">
        <w:t>families of its on-duty firefighters to visit the fire station for a holiday</w:t>
      </w:r>
      <w:r>
        <w:t xml:space="preserve"> </w:t>
      </w:r>
      <w:r w:rsidRPr="00FC696C">
        <w:t>gathering.</w:t>
      </w:r>
      <w:r>
        <w:t xml:space="preserve"> Plaintiff’s husband was on duty, and gave his wife, two sons and daughter a tour, including second floor; he and two boys then entered the gated pole and safely went down the pole. Mrs. Nixon asked her daughter to take her photo by pole – fell down the hole.  The Court describes what happened:</w:t>
      </w:r>
    </w:p>
    <w:p w14:paraId="4E3B9D71" w14:textId="77777777" w:rsidR="00816870" w:rsidRDefault="00816870" w:rsidP="00816870">
      <w:pPr>
        <w:pStyle w:val="NoSpacing"/>
      </w:pPr>
    </w:p>
    <w:p w14:paraId="6013D722" w14:textId="77777777" w:rsidR="00816870" w:rsidRDefault="00816870" w:rsidP="00816870">
      <w:pPr>
        <w:pStyle w:val="NoSpacing"/>
        <w:ind w:left="720"/>
      </w:pPr>
      <w:r>
        <w:t>“</w:t>
      </w:r>
      <w:r w:rsidRPr="00C3098E">
        <w:t xml:space="preserve">Upon entering the pole room, Nixon was struck by the pole’s </w:t>
      </w:r>
      <w:r>
        <w:t>‘</w:t>
      </w:r>
      <w:r w:rsidRPr="00C3098E">
        <w:t>timeless</w:t>
      </w:r>
      <w:r>
        <w:t>’ ‘</w:t>
      </w:r>
      <w:r w:rsidRPr="00C3098E">
        <w:t>beauty[y]</w:t>
      </w:r>
      <w:r>
        <w:t>’</w:t>
      </w:r>
      <w:r w:rsidRPr="00C3098E">
        <w:t xml:space="preserve"> and </w:t>
      </w:r>
      <w:r>
        <w:t>‘</w:t>
      </w:r>
      <w:r w:rsidRPr="00C3098E">
        <w:t>wanted [her] picture taken.</w:t>
      </w:r>
      <w:r>
        <w:t xml:space="preserve">’ … </w:t>
      </w:r>
      <w:r w:rsidRPr="00C3098E">
        <w:t>After handing her</w:t>
      </w:r>
      <w:r>
        <w:t xml:space="preserve"> </w:t>
      </w:r>
      <w:r w:rsidRPr="00C3098E">
        <w:t>phone to her daughter, she says that she walked over to the pole, where the</w:t>
      </w:r>
      <w:r>
        <w:t xml:space="preserve"> </w:t>
      </w:r>
      <w:r w:rsidRPr="00C3098E">
        <w:t>gate into its surrounding cage was open</w:t>
      </w:r>
      <w:r>
        <w:t xml:space="preserve">…. </w:t>
      </w:r>
      <w:r w:rsidRPr="00C3098E">
        <w:t>In her telling, she</w:t>
      </w:r>
      <w:r>
        <w:t xml:space="preserve"> </w:t>
      </w:r>
      <w:r w:rsidRPr="00C3098E">
        <w:t xml:space="preserve">stepped inside and placed her weight onto </w:t>
      </w:r>
      <w:r>
        <w:t>‘</w:t>
      </w:r>
      <w:r w:rsidRPr="00C3098E">
        <w:t xml:space="preserve">another </w:t>
      </w:r>
      <w:r w:rsidRPr="00C3098E">
        <w:lastRenderedPageBreak/>
        <w:t>platform</w:t>
      </w:r>
      <w:r>
        <w:t>’</w:t>
      </w:r>
      <w:r w:rsidRPr="00C3098E">
        <w:t xml:space="preserve"> (ostensibly the</w:t>
      </w:r>
      <w:r>
        <w:t xml:space="preserve"> </w:t>
      </w:r>
      <w:r w:rsidRPr="00C3098E">
        <w:t xml:space="preserve">hatch) that </w:t>
      </w:r>
      <w:r>
        <w:t>‘</w:t>
      </w:r>
      <w:r w:rsidRPr="00C3098E">
        <w:t>gave way.</w:t>
      </w:r>
      <w:r>
        <w:t xml:space="preserve">’ … </w:t>
      </w:r>
      <w:r w:rsidRPr="00C3098E">
        <w:t xml:space="preserve"> Because she </w:t>
      </w:r>
      <w:r>
        <w:t>‘</w:t>
      </w:r>
      <w:r w:rsidRPr="00C3098E">
        <w:t>wasn’t like hanging on</w:t>
      </w:r>
      <w:r>
        <w:t xml:space="preserve">’ </w:t>
      </w:r>
      <w:r w:rsidRPr="00C3098E">
        <w:t>as she tried to get a picture, she fell through the hatch to the ground and was</w:t>
      </w:r>
      <w:r>
        <w:t xml:space="preserve"> </w:t>
      </w:r>
      <w:r w:rsidRPr="00C3098E">
        <w:t>injured.</w:t>
      </w:r>
      <w:r>
        <w:t>”</w:t>
      </w:r>
    </w:p>
    <w:p w14:paraId="74312072" w14:textId="77777777" w:rsidR="00816870" w:rsidRDefault="00816870" w:rsidP="00816870">
      <w:pPr>
        <w:pStyle w:val="NoSpacing"/>
      </w:pPr>
      <w:hyperlink r:id="rId407" w:history="1">
        <w:r w:rsidRPr="00402DB2">
          <w:rPr>
            <w:rStyle w:val="Hyperlink"/>
          </w:rPr>
          <w:t>https://cases.justia.com/federal/district-courts/new-hampshire/nhdce/1:2024cv00213/63777/56/0.pdf?ts=1775080109</w:t>
        </w:r>
      </w:hyperlink>
      <w:r>
        <w:t xml:space="preserve"> </w:t>
      </w:r>
    </w:p>
    <w:p w14:paraId="1BB6A13D" w14:textId="77777777" w:rsidR="00816870" w:rsidRDefault="00816870" w:rsidP="00816870">
      <w:pPr>
        <w:pStyle w:val="NoSpacing"/>
      </w:pPr>
    </w:p>
    <w:p w14:paraId="48546352" w14:textId="77777777" w:rsidR="00816870" w:rsidRDefault="00816870" w:rsidP="00816870">
      <w:pPr>
        <w:pStyle w:val="NoSpacing"/>
      </w:pPr>
      <w:r>
        <w:t>THE COURT HELD:</w:t>
      </w:r>
    </w:p>
    <w:p w14:paraId="68732989" w14:textId="77777777" w:rsidR="00816870" w:rsidRDefault="00816870" w:rsidP="00816870">
      <w:pPr>
        <w:pStyle w:val="NoSpacing"/>
        <w:rPr>
          <w:bCs/>
        </w:rPr>
      </w:pPr>
    </w:p>
    <w:p w14:paraId="250D6A6D" w14:textId="77777777" w:rsidR="00816870" w:rsidRDefault="00816870" w:rsidP="00816870">
      <w:pPr>
        <w:pStyle w:val="NoSpacing"/>
        <w:ind w:left="720"/>
      </w:pPr>
      <w:r>
        <w:t>“Nixon filed this lawsuit against the United States in July 2024…. She asserted claims for negligence and premises liability based on the fire department’s failure to: ‘safely secure the premises for invitees’ (‘Theory 1’); ‘train invitees in the proper use”’ of the pole (‘Theory 2’); ‘restrict access to the pole and the pole room’  to individuals without such training (‘Theory 3’); ‘post signs warning invitees not to approach the pole’ (‘Theory 4’); ‘post signs’ warning that the floor plate ‘was not solid footing and would give upon</w:t>
      </w:r>
    </w:p>
    <w:p w14:paraId="0EB8A287" w14:textId="77777777" w:rsidR="00816870" w:rsidRDefault="00816870" w:rsidP="00816870">
      <w:pPr>
        <w:pStyle w:val="NoSpacing"/>
        <w:ind w:left="720"/>
      </w:pPr>
      <w:r>
        <w:t xml:space="preserve">placement of any weight’ (‘Theory 5’); ‘secure’ the hatch ‘such that it did not immediately allow individuals to fall through’ or remove it altogether (‘Theory 6’); and ‘install barriers to prevent’ someone from ‘approaching the pole’ and hatch beneath (‘Theory 7’)…. Nixon demanded damages for physical and mental suffering, medical treatment, and loss of earning capacity. </w:t>
      </w:r>
    </w:p>
    <w:p w14:paraId="5C3FE118" w14:textId="77777777" w:rsidR="00816870" w:rsidRDefault="00816870" w:rsidP="00816870">
      <w:pPr>
        <w:pStyle w:val="NoSpacing"/>
        <w:ind w:left="720"/>
      </w:pPr>
    </w:p>
    <w:p w14:paraId="19AB3D92" w14:textId="77777777" w:rsidR="00816870" w:rsidRDefault="00816870" w:rsidP="00816870">
      <w:pPr>
        <w:pStyle w:val="NoSpacing"/>
        <w:ind w:left="720"/>
      </w:pPr>
      <w:r>
        <w:t>***</w:t>
      </w:r>
    </w:p>
    <w:p w14:paraId="5965DA70" w14:textId="77777777" w:rsidR="00816870" w:rsidRDefault="00816870" w:rsidP="00816870">
      <w:pPr>
        <w:pStyle w:val="NoSpacing"/>
        <w:ind w:left="720"/>
      </w:pPr>
    </w:p>
    <w:p w14:paraId="3379D0B5" w14:textId="77777777" w:rsidR="00816870" w:rsidRDefault="00816870" w:rsidP="00816870">
      <w:pPr>
        <w:pStyle w:val="NoSpacing"/>
        <w:ind w:left="720"/>
      </w:pPr>
      <w:r>
        <w:t>Because Nixon’s failure-to-warn claims are inextricably reliant on the fire department’s alleged failure to communicate information, they are subject to the misrepresentation exception. And, because her remaining claims are barred by the discretionary-function exception, I lack jurisdiction over those claims as well.</w:t>
      </w:r>
    </w:p>
    <w:p w14:paraId="6348774F" w14:textId="77777777" w:rsidR="00816870" w:rsidRDefault="00816870" w:rsidP="00816870">
      <w:pPr>
        <w:pStyle w:val="NoSpacing"/>
        <w:ind w:left="720"/>
      </w:pPr>
    </w:p>
    <w:p w14:paraId="6E15FD72" w14:textId="77777777" w:rsidR="00816870" w:rsidRDefault="00816870" w:rsidP="00816870">
      <w:pPr>
        <w:pStyle w:val="NoSpacing"/>
        <w:ind w:left="720"/>
      </w:pPr>
      <w:r>
        <w:t>***</w:t>
      </w:r>
    </w:p>
    <w:p w14:paraId="5CA8DFE5" w14:textId="77777777" w:rsidR="00816870" w:rsidRDefault="00816870" w:rsidP="00816870">
      <w:pPr>
        <w:pStyle w:val="NoSpacing"/>
        <w:ind w:left="720"/>
      </w:pPr>
      <w:r>
        <w:t>Nixon asserts that the government is liable in part because it failed to ‘train invitees in the proper use’ of the fire pole (Theory 2)….Although it is likely that any claims based on this theory are also barred by the discretion-function exception, I do not presume as much, as the government has not challenged this theory of liability in its motion for</w:t>
      </w:r>
    </w:p>
    <w:p w14:paraId="55A23A2B" w14:textId="77777777" w:rsidR="00816870" w:rsidRDefault="00816870" w:rsidP="00816870">
      <w:pPr>
        <w:pStyle w:val="NoSpacing"/>
        <w:ind w:left="720"/>
      </w:pPr>
      <w:r>
        <w:t>summary judgment. And as applied to this theory, the government’s alternative arguments concerning the scope of the fire department’s duties, the foreseeability of danger posed by the fire pole, and Nixon’s comparative fault present triable disputes of material fact. I therefore deny the government’s motion for summary judgment as to Theory 2 without prejudice to any motion addressing this Court’s jurisdiction over those claims.”</w:t>
      </w:r>
    </w:p>
    <w:p w14:paraId="4B9E65A0" w14:textId="77777777" w:rsidR="00816870" w:rsidRDefault="00816870" w:rsidP="00816870">
      <w:pPr>
        <w:pStyle w:val="NoSpacing"/>
        <w:ind w:left="720"/>
      </w:pPr>
    </w:p>
    <w:p w14:paraId="16AD9B72" w14:textId="77777777" w:rsidR="00816870" w:rsidRDefault="00816870" w:rsidP="00816870">
      <w:r>
        <w:rPr>
          <w:b/>
        </w:rPr>
        <w:t xml:space="preserve">Legal lesson learned: During tours of station, tell all visitors to stay away from fire pole hole. </w:t>
      </w:r>
    </w:p>
    <w:p w14:paraId="1D31229B" w14:textId="77777777" w:rsidR="00816870" w:rsidRDefault="00816870" w:rsidP="00816870">
      <w:pPr>
        <w:pStyle w:val="NoSpacing"/>
        <w:ind w:left="720"/>
      </w:pPr>
      <w:r>
        <w:t xml:space="preserve">Note: Court commented on NFPA 1500: </w:t>
      </w:r>
    </w:p>
    <w:p w14:paraId="01096503" w14:textId="77777777" w:rsidR="00816870" w:rsidRDefault="00816870" w:rsidP="00816870">
      <w:pPr>
        <w:pStyle w:val="NoSpacing"/>
        <w:ind w:left="720" w:firstLine="720"/>
      </w:pPr>
      <w:r>
        <w:t xml:space="preserve"> “In relevant part, section 10.1.8 of the NFPA 1500 directs that:</w:t>
      </w:r>
    </w:p>
    <w:p w14:paraId="6074C941" w14:textId="77777777" w:rsidR="00816870" w:rsidRDefault="00816870" w:rsidP="00816870">
      <w:pPr>
        <w:pStyle w:val="NoSpacing"/>
        <w:ind w:left="720" w:firstLine="720"/>
      </w:pPr>
      <w:r>
        <w:t>Stations utilizing poles to provide rapid access to lower</w:t>
      </w:r>
    </w:p>
    <w:p w14:paraId="7B59A00C" w14:textId="77777777" w:rsidR="00816870" w:rsidRDefault="00816870" w:rsidP="00816870">
      <w:pPr>
        <w:pStyle w:val="NoSpacing"/>
        <w:ind w:left="720" w:firstLine="720"/>
      </w:pPr>
      <w:r>
        <w:t>floors shall ensure that the area around the pole hole</w:t>
      </w:r>
    </w:p>
    <w:p w14:paraId="385DE512" w14:textId="77777777" w:rsidR="00816870" w:rsidRDefault="00816870" w:rsidP="00816870">
      <w:pPr>
        <w:pStyle w:val="NoSpacing"/>
        <w:ind w:left="720" w:firstLine="720"/>
      </w:pPr>
      <w:r>
        <w:t>is secured by means of a cover, enclosure, or other</w:t>
      </w:r>
    </w:p>
    <w:p w14:paraId="0529AEFF" w14:textId="77777777" w:rsidR="00816870" w:rsidRDefault="00816870" w:rsidP="00816870">
      <w:pPr>
        <w:pStyle w:val="NoSpacing"/>
        <w:ind w:left="720" w:firstLine="720"/>
      </w:pPr>
      <w:r>
        <w:t>means to prevent someone from accidentally falling</w:t>
      </w:r>
    </w:p>
    <w:p w14:paraId="2B2B1CBE" w14:textId="77777777" w:rsidR="00816870" w:rsidRDefault="00816870" w:rsidP="00816870">
      <w:pPr>
        <w:pStyle w:val="NoSpacing"/>
        <w:ind w:left="1440"/>
      </w:pPr>
      <w:r>
        <w:t>though the pole hole.</w:t>
      </w:r>
    </w:p>
    <w:p w14:paraId="2FFA7007" w14:textId="77777777" w:rsidR="00816870" w:rsidRDefault="00816870" w:rsidP="00816870">
      <w:pPr>
        <w:pStyle w:val="NoSpacing"/>
        <w:ind w:left="1440"/>
      </w:pPr>
    </w:p>
    <w:p w14:paraId="35A88F91" w14:textId="77777777" w:rsidR="00816870" w:rsidRDefault="00816870" w:rsidP="00816870">
      <w:pPr>
        <w:pStyle w:val="NoSpacing"/>
        <w:ind w:left="1440"/>
      </w:pPr>
      <w:r>
        <w:t>***</w:t>
      </w:r>
    </w:p>
    <w:p w14:paraId="1E986B0B" w14:textId="77777777" w:rsidR="00816870" w:rsidRDefault="00816870" w:rsidP="00816870">
      <w:pPr>
        <w:pStyle w:val="NoSpacing"/>
        <w:ind w:left="1440"/>
      </w:pPr>
    </w:p>
    <w:p w14:paraId="584F55C5" w14:textId="77777777" w:rsidR="00816870" w:rsidRDefault="00816870" w:rsidP="00816870">
      <w:pPr>
        <w:pStyle w:val="NoSpacing"/>
        <w:ind w:left="1440"/>
      </w:pPr>
      <w:r>
        <w:t>Phrased disjunctively, this provision does not require the department to use a cover if it uses an enclosure, which is what it did in this case.”</w:t>
      </w:r>
    </w:p>
    <w:p w14:paraId="769A390F" w14:textId="77777777" w:rsidR="00816870" w:rsidRDefault="00816870" w:rsidP="00816870">
      <w:pPr>
        <w:pStyle w:val="NoSpacing"/>
        <w:rPr>
          <w:bCs/>
        </w:rPr>
      </w:pPr>
    </w:p>
    <w:p w14:paraId="194FDA20" w14:textId="77777777" w:rsidR="00816870" w:rsidRDefault="00816870" w:rsidP="00646EE3">
      <w:pPr>
        <w:rPr>
          <w:rFonts w:ascii="Arial Black" w:hAnsi="Arial Black"/>
          <w:sz w:val="24"/>
          <w:szCs w:val="24"/>
        </w:rPr>
      </w:pPr>
    </w:p>
    <w:p w14:paraId="5454D4B8" w14:textId="77777777" w:rsidR="00997F6F" w:rsidRDefault="00997F6F" w:rsidP="00646EE3">
      <w:pPr>
        <w:rPr>
          <w:rFonts w:ascii="Arial Black" w:hAnsi="Arial Black"/>
          <w:sz w:val="24"/>
          <w:szCs w:val="24"/>
        </w:rPr>
      </w:pPr>
    </w:p>
    <w:p w14:paraId="4BCC8CD0" w14:textId="1D2FF849" w:rsidR="00961DF4" w:rsidRDefault="00961DF4" w:rsidP="00646EE3">
      <w:pPr>
        <w:rPr>
          <w:rFonts w:ascii="Arial Black" w:hAnsi="Arial Black"/>
          <w:sz w:val="24"/>
          <w:szCs w:val="24"/>
        </w:rPr>
      </w:pPr>
      <w:r>
        <w:rPr>
          <w:rFonts w:ascii="Arial Black" w:hAnsi="Arial Black"/>
          <w:sz w:val="24"/>
          <w:szCs w:val="24"/>
        </w:rPr>
        <w:t>2-10</w:t>
      </w:r>
      <w:r w:rsidR="00F52698">
        <w:rPr>
          <w:rFonts w:ascii="Arial Black" w:hAnsi="Arial Black"/>
          <w:sz w:val="24"/>
          <w:szCs w:val="24"/>
        </w:rPr>
        <w:t>6</w:t>
      </w:r>
    </w:p>
    <w:p w14:paraId="591B0E79" w14:textId="77777777" w:rsidR="00916D00" w:rsidRDefault="00916D00" w:rsidP="00916D00">
      <w:pPr>
        <w:pStyle w:val="NoSpacing"/>
        <w:rPr>
          <w:rFonts w:ascii="Arial Black" w:hAnsi="Arial Black"/>
          <w:b/>
          <w:sz w:val="28"/>
          <w:szCs w:val="28"/>
        </w:rPr>
      </w:pPr>
      <w:r>
        <w:rPr>
          <w:rFonts w:ascii="Arial Black" w:hAnsi="Arial Black"/>
          <w:b/>
          <w:sz w:val="28"/>
          <w:szCs w:val="28"/>
        </w:rPr>
        <w:lastRenderedPageBreak/>
        <w:t>TX: DRUNK – HEAD ON AMBULANCE – 2 DEAD / 30 YRS</w:t>
      </w:r>
    </w:p>
    <w:p w14:paraId="7E070C79" w14:textId="77777777" w:rsidR="00916D00" w:rsidRDefault="00916D00" w:rsidP="00916D00">
      <w:pPr>
        <w:pStyle w:val="NoSpacing"/>
        <w:rPr>
          <w:rFonts w:ascii="Arial Black" w:hAnsi="Arial Black"/>
          <w:b/>
          <w:sz w:val="28"/>
          <w:szCs w:val="28"/>
        </w:rPr>
      </w:pPr>
    </w:p>
    <w:p w14:paraId="6F7679F6" w14:textId="77777777" w:rsidR="00916D00" w:rsidRDefault="00916D00" w:rsidP="00916D00">
      <w:pPr>
        <w:pStyle w:val="NoSpacing"/>
        <w:rPr>
          <w:bCs/>
        </w:rPr>
      </w:pPr>
      <w:r w:rsidRPr="00F90D69">
        <w:t xml:space="preserve">On March 19, 2026, in </w:t>
      </w:r>
      <w:r w:rsidRPr="00F90D69">
        <w:rPr>
          <w:u w:val="single"/>
        </w:rPr>
        <w:t>Mitchell Trevino v. The State of Texas</w:t>
      </w:r>
      <w:r w:rsidRPr="00F90D69">
        <w:t>,</w:t>
      </w:r>
      <w:r>
        <w:t xml:space="preserve"> the </w:t>
      </w:r>
      <w:r w:rsidRPr="00E31049">
        <w:t>Court of Appeals of Texas, Thirteenth District, Corpus Christi-Edinburg</w:t>
      </w:r>
      <w:r>
        <w:t xml:space="preserve"> held (3 to 0; unpublished opinion) that trial court judge properly rejected defendant’s offer to stipulate that he was intoxicated and two were killed (EMS driver and patient) and third seriously injured (EMT). The prosecution had every right to provide testimony, photographs, body-camera video of the horrible scene.  The jury assessed imprisonment of total 30 years.</w:t>
      </w:r>
    </w:p>
    <w:p w14:paraId="2F31C3E3" w14:textId="77777777" w:rsidR="00916D00" w:rsidRDefault="00916D00" w:rsidP="00916D00">
      <w:pPr>
        <w:pStyle w:val="NoSpacing"/>
        <w:rPr>
          <w:b/>
        </w:rPr>
      </w:pPr>
      <w:hyperlink r:id="rId408" w:history="1">
        <w:r w:rsidRPr="001F11D0">
          <w:rPr>
            <w:rStyle w:val="Hyperlink"/>
            <w:b/>
          </w:rPr>
          <w:t>https://cases.justia.com/texas/thirteenth-court-of-appeals/2026-13-24-00335-cr.pdf?ts=1773937817</w:t>
        </w:r>
      </w:hyperlink>
      <w:r>
        <w:rPr>
          <w:b/>
        </w:rPr>
        <w:t xml:space="preserve"> </w:t>
      </w:r>
    </w:p>
    <w:p w14:paraId="23349623" w14:textId="77777777" w:rsidR="00916D00" w:rsidRDefault="00916D00" w:rsidP="00916D00">
      <w:pPr>
        <w:pStyle w:val="NoSpacing"/>
        <w:rPr>
          <w:bCs/>
        </w:rPr>
      </w:pPr>
      <w:r>
        <w:t xml:space="preserve"> </w:t>
      </w:r>
    </w:p>
    <w:p w14:paraId="337078CF" w14:textId="77777777" w:rsidR="00916D00" w:rsidRPr="008F1BAC" w:rsidRDefault="00916D00" w:rsidP="00916D00">
      <w:pPr>
        <w:pStyle w:val="NoSpacing"/>
      </w:pPr>
      <w:r>
        <w:t>THE COURT HELD: “</w:t>
      </w:r>
      <w:r w:rsidRPr="008F1BAC">
        <w:t>In December 2018, Trevino collided with the rear of a vehicle traveling in front of</w:t>
      </w:r>
      <w:r>
        <w:t xml:space="preserve"> </w:t>
      </w:r>
      <w:r w:rsidRPr="008F1BAC">
        <w:t>him, crossed into an oncoming lane of traffic, and hit an ambulance head on. The</w:t>
      </w:r>
    </w:p>
    <w:p w14:paraId="7CD76A99" w14:textId="77777777" w:rsidR="00916D00" w:rsidRPr="008F1BAC" w:rsidRDefault="00916D00" w:rsidP="00916D00">
      <w:pPr>
        <w:pStyle w:val="NoSpacing"/>
      </w:pPr>
      <w:r w:rsidRPr="008F1BAC">
        <w:t>ambulance driver was killed, a patient was killed, and an emergency medical technician</w:t>
      </w:r>
    </w:p>
    <w:p w14:paraId="6F2161C5" w14:textId="77777777" w:rsidR="00916D00" w:rsidRPr="008F1BAC" w:rsidRDefault="00916D00" w:rsidP="00916D00">
      <w:pPr>
        <w:pStyle w:val="NoSpacing"/>
      </w:pPr>
      <w:r w:rsidRPr="008F1BAC">
        <w:t>(EMT) was injured. Prior to the commencement of trial, Trevino offered to stipulate that</w:t>
      </w:r>
    </w:p>
    <w:p w14:paraId="6EB0BBDF" w14:textId="77777777" w:rsidR="00916D00" w:rsidRPr="008F1BAC" w:rsidRDefault="00916D00" w:rsidP="00916D00">
      <w:pPr>
        <w:pStyle w:val="NoSpacing"/>
      </w:pPr>
      <w:proofErr w:type="gramStart"/>
      <w:r w:rsidRPr="008F1BAC">
        <w:t>he</w:t>
      </w:r>
      <w:proofErr w:type="gramEnd"/>
      <w:r w:rsidRPr="008F1BAC">
        <w:t xml:space="preserve"> was intoxicated, there were two fatalities, and one person suffered serious bodily</w:t>
      </w:r>
    </w:p>
    <w:p w14:paraId="0D245D37" w14:textId="77777777" w:rsidR="00916D00" w:rsidRDefault="00916D00" w:rsidP="00916D00">
      <w:pPr>
        <w:pStyle w:val="NoSpacing"/>
      </w:pPr>
      <w:r w:rsidRPr="008F1BAC">
        <w:t>injury. The State did not accept Trevino’s offer to stipulate in lieu of presenting evidence.</w:t>
      </w:r>
    </w:p>
    <w:p w14:paraId="4718BC8E" w14:textId="77777777" w:rsidR="00916D00" w:rsidRDefault="00916D00" w:rsidP="00916D00">
      <w:pPr>
        <w:pStyle w:val="NoSpacing"/>
      </w:pPr>
      <w:r>
        <w:t>***</w:t>
      </w:r>
    </w:p>
    <w:p w14:paraId="1B06688F" w14:textId="77777777" w:rsidR="00916D00" w:rsidRDefault="00916D00" w:rsidP="00916D00">
      <w:pPr>
        <w:pStyle w:val="NoSpacing"/>
      </w:pPr>
      <w:r>
        <w:t>Here, Trevino cannot ‘stipulate or admit his way out of the full evidentiary force of</w:t>
      </w:r>
    </w:p>
    <w:p w14:paraId="5FE5E8AD" w14:textId="77777777" w:rsidR="00916D00" w:rsidRDefault="00916D00" w:rsidP="00916D00">
      <w:pPr>
        <w:pStyle w:val="NoSpacing"/>
      </w:pPr>
      <w:r>
        <w:t>the case as the [state chose] chooses to present it.’ … While the State’s evidence is certainly necessary for definitionally proving the elements of an offense, that is not the only role of such evidence…. Evidence also plays a role in providing human jurors what stipulations cannot: narratives, complexity, ability to draw inferences, and connection to human experience.”</w:t>
      </w:r>
    </w:p>
    <w:p w14:paraId="121C0D91" w14:textId="77777777" w:rsidR="00916D00" w:rsidRDefault="00916D00" w:rsidP="00916D00">
      <w:pPr>
        <w:pStyle w:val="NoSpacing"/>
      </w:pPr>
    </w:p>
    <w:p w14:paraId="5941298C" w14:textId="77777777" w:rsidR="00916D00" w:rsidRPr="00FF0645" w:rsidRDefault="00916D00" w:rsidP="00916D00">
      <w:pPr>
        <w:pStyle w:val="NoSpacing"/>
        <w:rPr>
          <w:b/>
          <w:bCs/>
        </w:rPr>
      </w:pPr>
      <w:r w:rsidRPr="00FF0645">
        <w:rPr>
          <w:b/>
        </w:rPr>
        <w:t xml:space="preserve">Legal lesson learned: </w:t>
      </w:r>
      <w:r>
        <w:rPr>
          <w:b/>
        </w:rPr>
        <w:t xml:space="preserve">State was entitled to show the jury the terrible result of drunk driving. </w:t>
      </w:r>
    </w:p>
    <w:p w14:paraId="33E3D0B4" w14:textId="77777777" w:rsidR="00916D00" w:rsidRPr="00FF0645" w:rsidRDefault="00916D00" w:rsidP="00916D00">
      <w:pPr>
        <w:pStyle w:val="NoSpacing"/>
        <w:rPr>
          <w:b/>
          <w:bCs/>
        </w:rPr>
      </w:pPr>
    </w:p>
    <w:p w14:paraId="2A58A00C" w14:textId="77777777" w:rsidR="00916D00" w:rsidRDefault="00916D00" w:rsidP="00646EE3">
      <w:pPr>
        <w:rPr>
          <w:rFonts w:ascii="Arial Black" w:hAnsi="Arial Black"/>
          <w:sz w:val="24"/>
          <w:szCs w:val="24"/>
        </w:rPr>
      </w:pPr>
    </w:p>
    <w:p w14:paraId="7D834173" w14:textId="72679317" w:rsidR="00961DF4" w:rsidRDefault="00916D00" w:rsidP="00646EE3">
      <w:pPr>
        <w:rPr>
          <w:rFonts w:ascii="Arial Black" w:hAnsi="Arial Black"/>
          <w:sz w:val="24"/>
          <w:szCs w:val="24"/>
        </w:rPr>
      </w:pPr>
      <w:r>
        <w:rPr>
          <w:rFonts w:ascii="Arial Black" w:hAnsi="Arial Black"/>
          <w:sz w:val="24"/>
          <w:szCs w:val="24"/>
        </w:rPr>
        <w:t>2-10</w:t>
      </w:r>
      <w:r w:rsidR="00056D43">
        <w:rPr>
          <w:rFonts w:ascii="Arial Black" w:hAnsi="Arial Black"/>
          <w:sz w:val="24"/>
          <w:szCs w:val="24"/>
        </w:rPr>
        <w:t>5</w:t>
      </w:r>
    </w:p>
    <w:p w14:paraId="18670608" w14:textId="77777777" w:rsidR="00F52698" w:rsidRDefault="00F52698" w:rsidP="00F52698">
      <w:pPr>
        <w:pStyle w:val="NoSpacing"/>
        <w:rPr>
          <w:rFonts w:ascii="Arial Black" w:hAnsi="Arial Black"/>
          <w:b/>
          <w:sz w:val="28"/>
          <w:szCs w:val="28"/>
        </w:rPr>
      </w:pPr>
      <w:r>
        <w:rPr>
          <w:rFonts w:ascii="Arial Black" w:hAnsi="Arial Black"/>
          <w:b/>
          <w:sz w:val="28"/>
          <w:szCs w:val="28"/>
        </w:rPr>
        <w:t>PA: SPEEDING DRIVER – KILLED “FIRE POLICE” - 25 YRS</w:t>
      </w:r>
    </w:p>
    <w:p w14:paraId="435F1B6D" w14:textId="77777777" w:rsidR="00F52698" w:rsidRDefault="00F52698" w:rsidP="00F52698">
      <w:pPr>
        <w:pStyle w:val="NoSpacing"/>
        <w:rPr>
          <w:bCs/>
        </w:rPr>
      </w:pPr>
    </w:p>
    <w:p w14:paraId="32ABF91E" w14:textId="77777777" w:rsidR="00F52698" w:rsidRDefault="00F52698" w:rsidP="00F52698">
      <w:pPr>
        <w:pStyle w:val="NoSpacing"/>
      </w:pPr>
      <w:r w:rsidRPr="00434D0D">
        <w:t xml:space="preserve">On March 10, 2026, in </w:t>
      </w:r>
      <w:r w:rsidRPr="00434D0D">
        <w:rPr>
          <w:u w:val="single"/>
        </w:rPr>
        <w:t>Commonwealth of Pennsylvania v. Dawann Matrick Simmons</w:t>
      </w:r>
      <w:r w:rsidRPr="00434D0D">
        <w:t xml:space="preserve">, </w:t>
      </w:r>
      <w:r>
        <w:t xml:space="preserve">the </w:t>
      </w:r>
      <w:r w:rsidRPr="00295533">
        <w:t>Superior Court of Pennsylvania</w:t>
      </w:r>
      <w:r>
        <w:t xml:space="preserve"> held (3 to 0; non precedential) that the trial court judge properly rejected criminal defendant’s motion to set aside his guilty plea.  Court wrote: “His statement that he was unaware of the likelihood of the imposition of the maximum sentence may be true, but it is of no matter.”  On November 7, </w:t>
      </w:r>
      <w:proofErr w:type="gramStart"/>
      <w:r>
        <w:t>2024</w:t>
      </w:r>
      <w:proofErr w:type="gramEnd"/>
      <w:r>
        <w:t xml:space="preserve"> he pled no contest to first count - Count 1, Homicide by Vehicle, a Felony of the Third Degree; and guilty to 9 other counts, with trial court judge advising him of max sentence for each count, and total aggregate of 25 years and six months. On January 2, </w:t>
      </w:r>
      <w:proofErr w:type="gramStart"/>
      <w:r>
        <w:t>2025</w:t>
      </w:r>
      <w:proofErr w:type="gramEnd"/>
      <w:r>
        <w:t xml:space="preserve"> he was sentenced to an aggregate of 109 to 218 months’ incarceration.  </w:t>
      </w:r>
    </w:p>
    <w:p w14:paraId="0A80C98C" w14:textId="77777777" w:rsidR="00F52698" w:rsidRDefault="00F52698" w:rsidP="00F52698">
      <w:pPr>
        <w:pStyle w:val="NoSpacing"/>
      </w:pPr>
      <w:hyperlink r:id="rId409" w:history="1">
        <w:r w:rsidRPr="004D13CD">
          <w:rPr>
            <w:rStyle w:val="Hyperlink"/>
          </w:rPr>
          <w:t>https://www.pacourts.us/assets/opinions/Superior/out/J-S01044-26m%20-%20106707559350028927.pdf?cb=1</w:t>
        </w:r>
      </w:hyperlink>
      <w:r>
        <w:t xml:space="preserve"> </w:t>
      </w:r>
    </w:p>
    <w:p w14:paraId="09C0A494" w14:textId="77777777" w:rsidR="00F52698" w:rsidRDefault="00F52698" w:rsidP="00F52698">
      <w:pPr>
        <w:pStyle w:val="NoSpacing"/>
      </w:pPr>
    </w:p>
    <w:p w14:paraId="3E767564" w14:textId="77777777" w:rsidR="00F52698" w:rsidRDefault="00F52698" w:rsidP="00F52698">
      <w:pPr>
        <w:pStyle w:val="NoSpacing"/>
      </w:pPr>
      <w:r>
        <w:t xml:space="preserve">THE COURT HELD:  “On August 20, 2023, near the intersection of West Main Road and Brickyard Road in </w:t>
      </w:r>
      <w:proofErr w:type="gramStart"/>
      <w:r>
        <w:t>North East</w:t>
      </w:r>
      <w:proofErr w:type="gramEnd"/>
      <w:r>
        <w:t>, Pennsylvania, emergency personnel responded to a two-</w:t>
      </w:r>
    </w:p>
    <w:p w14:paraId="61825CEF" w14:textId="77777777" w:rsidR="00F52698" w:rsidRDefault="00F52698" w:rsidP="00F52698">
      <w:pPr>
        <w:pStyle w:val="NoSpacing"/>
      </w:pPr>
      <w:r>
        <w:t xml:space="preserve">vehicle crash…. Emergency personnel included the Fuller Hose Company of the </w:t>
      </w:r>
      <w:proofErr w:type="gramStart"/>
      <w:r>
        <w:t>North East</w:t>
      </w:r>
      <w:proofErr w:type="gramEnd"/>
    </w:p>
    <w:p w14:paraId="61343455" w14:textId="77777777" w:rsidR="00F52698" w:rsidRDefault="00F52698" w:rsidP="00F52698">
      <w:pPr>
        <w:pStyle w:val="NoSpacing"/>
      </w:pPr>
      <w:r>
        <w:t>Volunteer Fire Department and Pennsylvania State Troopers, relevantly including Fire Police Officer Shawn Giles…. Officer Giles was responsible for traffic control in the eastbound lane while firefighters and state troopers performed their investigation of the crash…. Officer Giles was wearing fluorescent clothing and holding fluorescent flags while conducting these</w:t>
      </w:r>
    </w:p>
    <w:p w14:paraId="2AC89638" w14:textId="77777777" w:rsidR="00F52698" w:rsidRDefault="00F52698" w:rsidP="00F52698">
      <w:pPr>
        <w:pStyle w:val="NoSpacing"/>
      </w:pPr>
      <w:r>
        <w:t>official duties…. At this time, Appellant was traveling in a silver Lexus at a high rate of</w:t>
      </w:r>
    </w:p>
    <w:p w14:paraId="6C37A70D" w14:textId="77777777" w:rsidR="00F52698" w:rsidRDefault="00F52698" w:rsidP="00F52698">
      <w:pPr>
        <w:pStyle w:val="NoSpacing"/>
      </w:pPr>
      <w:r>
        <w:t>speed in the left eastbound lane on State Route 20. Notably, Appellant, the driver and sole occupant of the Lexus, was driving with his license suspended by PennDOT…. Maintaining a high rate of speed, Appellant traveled into the right lane, then abruptly swerved back into the left lane to avoid colliding with a vehicle stopped by Officer Giles…. During this maneuver,</w:t>
      </w:r>
    </w:p>
    <w:p w14:paraId="2E108D38" w14:textId="77777777" w:rsidR="00F52698" w:rsidRDefault="00F52698" w:rsidP="00F52698">
      <w:pPr>
        <w:pStyle w:val="NoSpacing"/>
      </w:pPr>
      <w:r>
        <w:lastRenderedPageBreak/>
        <w:t xml:space="preserve">Appellant’s Lexus struck Officer Giles, causing his death </w:t>
      </w:r>
      <w:proofErr w:type="gramStart"/>
      <w:r>
        <w:t>as a result of</w:t>
      </w:r>
      <w:proofErr w:type="gramEnd"/>
      <w:r>
        <w:t xml:space="preserve"> blunt force trauma. </w:t>
      </w:r>
    </w:p>
    <w:p w14:paraId="4C065B9C" w14:textId="77777777" w:rsidR="00F52698" w:rsidRDefault="00F52698" w:rsidP="00F52698">
      <w:pPr>
        <w:pStyle w:val="NoSpacing"/>
      </w:pPr>
    </w:p>
    <w:p w14:paraId="2AF54757" w14:textId="77777777" w:rsidR="00F52698" w:rsidRDefault="00F52698" w:rsidP="00F52698">
      <w:pPr>
        <w:pStyle w:val="NoSpacing"/>
      </w:pPr>
      <w:r>
        <w:t>Through forensic calculation and investigation, Appellant’s vehicle was determined to have been traveling approximately 78 miles per hour (mph) immediately prior to the crash and approximately 58 mph when his vehicle impacted the victim. The posted speed limit was 55 mph, and the required speed limit in an emergency response area is 20 mph less than the posted</w:t>
      </w:r>
    </w:p>
    <w:p w14:paraId="1EBE9C04" w14:textId="77777777" w:rsidR="00F52698" w:rsidRDefault="00F52698" w:rsidP="00F52698">
      <w:pPr>
        <w:pStyle w:val="NoSpacing"/>
      </w:pPr>
      <w:r>
        <w:t>speed limit, thus resulting in a reduced speed limit of 35 mph.”</w:t>
      </w:r>
      <w:r>
        <w:br/>
      </w:r>
    </w:p>
    <w:p w14:paraId="1173FCE7" w14:textId="77777777" w:rsidR="00F52698" w:rsidRDefault="00F52698" w:rsidP="00F52698">
      <w:pPr>
        <w:pStyle w:val="NoSpacing"/>
        <w:rPr>
          <w:b/>
        </w:rPr>
      </w:pPr>
      <w:r w:rsidRPr="00857C9E">
        <w:rPr>
          <w:b/>
        </w:rPr>
        <w:t xml:space="preserve">Legal lesson learned: </w:t>
      </w:r>
      <w:r>
        <w:rPr>
          <w:b/>
        </w:rPr>
        <w:t xml:space="preserve">Trial court gave him the “max” – very appropriate for his misconduct. </w:t>
      </w:r>
    </w:p>
    <w:p w14:paraId="54D08383" w14:textId="77777777" w:rsidR="00056D43" w:rsidRDefault="00056D43" w:rsidP="00F52698">
      <w:pPr>
        <w:pStyle w:val="NoSpacing"/>
        <w:rPr>
          <w:b/>
        </w:rPr>
      </w:pPr>
    </w:p>
    <w:p w14:paraId="0DED33E3" w14:textId="77777777" w:rsidR="00056D43" w:rsidRDefault="00056D43" w:rsidP="00F52698">
      <w:pPr>
        <w:pStyle w:val="NoSpacing"/>
        <w:rPr>
          <w:b/>
        </w:rPr>
      </w:pPr>
    </w:p>
    <w:p w14:paraId="047C9DA2" w14:textId="7BF933BD" w:rsidR="00056D43" w:rsidRDefault="00056D43" w:rsidP="00F52698">
      <w:pPr>
        <w:pStyle w:val="NoSpacing"/>
        <w:rPr>
          <w:b/>
          <w:sz w:val="28"/>
          <w:szCs w:val="28"/>
        </w:rPr>
      </w:pPr>
      <w:r w:rsidRPr="00056D43">
        <w:rPr>
          <w:b/>
          <w:sz w:val="28"/>
          <w:szCs w:val="28"/>
        </w:rPr>
        <w:t>2-104</w:t>
      </w:r>
    </w:p>
    <w:p w14:paraId="0D178866" w14:textId="77777777" w:rsidR="00BE7AC1" w:rsidRDefault="00BE7AC1" w:rsidP="00F52698">
      <w:pPr>
        <w:pStyle w:val="NoSpacing"/>
        <w:rPr>
          <w:b/>
          <w:sz w:val="28"/>
          <w:szCs w:val="28"/>
        </w:rPr>
      </w:pPr>
    </w:p>
    <w:p w14:paraId="69FFCFDC" w14:textId="77777777" w:rsidR="00BE7AC1" w:rsidRPr="00847DEF" w:rsidRDefault="00BE7AC1" w:rsidP="00BE7AC1">
      <w:pPr>
        <w:pStyle w:val="NoSpacing"/>
        <w:rPr>
          <w:rFonts w:ascii="Arial Black" w:hAnsi="Arial Black"/>
          <w:sz w:val="28"/>
          <w:szCs w:val="28"/>
        </w:rPr>
      </w:pPr>
      <w:r>
        <w:rPr>
          <w:rFonts w:ascii="Arial Black" w:hAnsi="Arial Black"/>
          <w:sz w:val="28"/>
          <w:szCs w:val="28"/>
        </w:rPr>
        <w:t>TX: FD CAPTAIN / DISPATCHER – BEARD - NO OVERTIME</w:t>
      </w:r>
    </w:p>
    <w:p w14:paraId="15D60D02" w14:textId="77777777" w:rsidR="00BE7AC1" w:rsidRDefault="00BE7AC1" w:rsidP="00BE7AC1">
      <w:pPr>
        <w:pStyle w:val="NoSpacing"/>
      </w:pPr>
    </w:p>
    <w:p w14:paraId="4FBDB049" w14:textId="77777777" w:rsidR="00BE7AC1" w:rsidRDefault="00BE7AC1" w:rsidP="00BE7AC1">
      <w:pPr>
        <w:pStyle w:val="NoSpacing"/>
      </w:pPr>
      <w:r>
        <w:t xml:space="preserve">On March 6, 2026, in </w:t>
      </w:r>
      <w:r w:rsidRPr="00383B07">
        <w:rPr>
          <w:u w:val="single"/>
        </w:rPr>
        <w:t>Brandon E. O’Neal v. City of Houston, et al</w:t>
      </w:r>
      <w:r>
        <w:t xml:space="preserve">., U.S. District Court Judge </w:t>
      </w:r>
      <w:r w:rsidRPr="00925618">
        <w:t>Keith P. Ellison,</w:t>
      </w:r>
      <w:r>
        <w:t xml:space="preserve"> United States District Court for Southern District of Texas, Houston Division, denied the City’s motion for summary judgment concerning religious discrimination. The plaintiff, African American man and a devout non-denominational Christian is a </w:t>
      </w:r>
      <w:r w:rsidRPr="006A1E85">
        <w:t xml:space="preserve">Senior Communication Captain </w:t>
      </w:r>
      <w:r>
        <w:t xml:space="preserve">and dispatcher </w:t>
      </w:r>
      <w:r w:rsidRPr="006A1E85">
        <w:t xml:space="preserve">at the Houston Emergency Center </w:t>
      </w:r>
      <w:r>
        <w:t xml:space="preserve">where </w:t>
      </w:r>
      <w:r w:rsidRPr="00064791">
        <w:t>other City employees who work alongside Plaintiff</w:t>
      </w:r>
      <w:r>
        <w:t xml:space="preserve">, </w:t>
      </w:r>
      <w:r w:rsidRPr="00064791">
        <w:t>such as police officers, wear beards.</w:t>
      </w:r>
      <w:r>
        <w:t xml:space="preserve"> The Fire Department refuses to allow plaintiff to work overtime so long as he is in breach of the </w:t>
      </w:r>
      <w:proofErr w:type="gramStart"/>
      <w:r>
        <w:t>no beard</w:t>
      </w:r>
      <w:proofErr w:type="gramEnd"/>
      <w:r>
        <w:t xml:space="preserve"> policy. </w:t>
      </w:r>
      <w:hyperlink r:id="rId410" w:history="1">
        <w:r w:rsidRPr="00D74803">
          <w:rPr>
            <w:rStyle w:val="Hyperlink"/>
          </w:rPr>
          <w:t>https://public.fastcase.com/Jhe1Qn%2BmJndQYQU6z%2FeNm3W8hWyjy%2F1qvTK0bYKmSBd7FCE1skWJo447G5Oh2b2vHFVB1fMS7gUR6rAKwE%2FNSCY%2BUXiquDJL%2FDOTOozOi%2FE%3D?utm_medium=email&amp;_hsenc=p2ANqtz--CwMJ1WgahfFouwurH1AvRaq-FpGCK4j_ZGMvVW2VvGo-JzLehL1L025aP9c9K1EJ-bt_z2jfpLFjtfV3Ucq7sQ0mkPQ&amp;_hsmi=226712652&amp;utm_content=226712652&amp;utm_source=hs_email</w:t>
        </w:r>
      </w:hyperlink>
      <w:r>
        <w:t xml:space="preserve"> </w:t>
      </w:r>
    </w:p>
    <w:p w14:paraId="3B20C0F4" w14:textId="77777777" w:rsidR="00BE7AC1" w:rsidRDefault="00BE7AC1" w:rsidP="00BE7AC1">
      <w:pPr>
        <w:pStyle w:val="NoSpacing"/>
      </w:pPr>
    </w:p>
    <w:p w14:paraId="729721B6" w14:textId="77777777" w:rsidR="00BE7AC1" w:rsidRPr="00EC544D" w:rsidRDefault="00BE7AC1" w:rsidP="00BE7AC1">
      <w:pPr>
        <w:pStyle w:val="NoSpacing"/>
      </w:pPr>
      <w:r>
        <w:t>THE COURT HELD: “</w:t>
      </w:r>
      <w:r w:rsidRPr="00EC544D">
        <w:t>O'Neal is a nondenominational Christian. Since 2020, O'Neal has worn a beard. According to O'Neal, his Christian faith compels him to wear a beard, particularly during observance of the “Nazarite Vow.”</w:t>
      </w:r>
      <w:r>
        <w:t xml:space="preserve"> … </w:t>
      </w:r>
      <w:r w:rsidRPr="00EC544D">
        <w:t>(</w:t>
      </w:r>
      <w:r>
        <w:t>‘</w:t>
      </w:r>
      <w:r w:rsidRPr="00EC544D">
        <w:t xml:space="preserve">My religious belief is to have a beard as commanded and </w:t>
      </w:r>
    </w:p>
    <w:p w14:paraId="2AF5317D" w14:textId="77777777" w:rsidR="00BE7AC1" w:rsidRDefault="00BE7AC1" w:rsidP="00BE7AC1">
      <w:pPr>
        <w:pStyle w:val="NoSpacing"/>
      </w:pPr>
      <w:r w:rsidRPr="00EC544D">
        <w:t>required in the Holy Bible.</w:t>
      </w:r>
      <w:r>
        <w:t>’</w:t>
      </w:r>
      <w:r w:rsidRPr="00EC544D">
        <w:t xml:space="preserve">); </w:t>
      </w:r>
      <w:r>
        <w:t>…</w:t>
      </w:r>
      <w:r w:rsidRPr="00EC544D">
        <w:t>(</w:t>
      </w:r>
      <w:r>
        <w:t>‘</w:t>
      </w:r>
      <w:r w:rsidRPr="00EC544D">
        <w:t xml:space="preserve">When I observe the Nazarite Vow it requires no razor to touch my head and let the hair grow long.). </w:t>
      </w:r>
    </w:p>
    <w:p w14:paraId="1B785151" w14:textId="77777777" w:rsidR="00BE7AC1" w:rsidRDefault="00BE7AC1" w:rsidP="00BE7AC1">
      <w:pPr>
        <w:pStyle w:val="NoSpacing"/>
      </w:pPr>
    </w:p>
    <w:p w14:paraId="71D46026" w14:textId="77777777" w:rsidR="00BE7AC1" w:rsidRDefault="00BE7AC1" w:rsidP="00BE7AC1">
      <w:pPr>
        <w:pStyle w:val="NoSpacing"/>
      </w:pPr>
      <w:r>
        <w:t>***</w:t>
      </w:r>
    </w:p>
    <w:p w14:paraId="7B7975D5" w14:textId="77777777" w:rsidR="00BE7AC1" w:rsidRDefault="00BE7AC1" w:rsidP="00BE7AC1">
      <w:pPr>
        <w:pStyle w:val="NoSpacing"/>
      </w:pPr>
      <w:r w:rsidRPr="00064791">
        <w:t>The relevant question is therefore whether, as a matter of law, Defendant has shown that allowing O'Neal to wear a three inch long, one-and-a-half-inch thick beard presented an undue hardship. The Court concludes that it has not. Notably, Plaintiff does not work in an active firefighting setting and is not deployed in emergencies. Rather, he works in dispatch at the Houston Emergency Center (HEC), alongside many other City and non-City employees. He is not required to wear personal protective gear and has not even been issued such gear</w:t>
      </w:r>
      <w:r>
        <w:t xml:space="preserve">…. </w:t>
      </w:r>
      <w:r w:rsidRPr="00064791">
        <w:t>Chief West specifically stated in his deposition that safety concerns were not relevant to the denial of Plaintiff's request</w:t>
      </w:r>
      <w:r>
        <w:t>…. (</w:t>
      </w:r>
      <w:r w:rsidRPr="00064791">
        <w:t>Q: [D]id safety come into play in the decision to deny Captain O'Neil's request? A: Safety did not.”). Additionally, the Court took judicial notice of the fact that other City employees who work alongside Plaintiff at the HEC, such as police officers, wear beards</w:t>
      </w:r>
      <w:r>
        <w:t xml:space="preserve">…. </w:t>
      </w:r>
      <w:r w:rsidRPr="00064791">
        <w:t>Finally, the undue burden now asserted by Defendant in its summary judgment motion—</w:t>
      </w:r>
      <w:r>
        <w:t>'</w:t>
      </w:r>
      <w:r w:rsidRPr="00064791">
        <w:t>safety concerns related to O'Neal's ability to wear SCBA face piece and/or other safety equipment</w:t>
      </w:r>
      <w:r>
        <w:t>’</w:t>
      </w:r>
      <w:r w:rsidRPr="00064791">
        <w:t xml:space="preserve">—were never mentioned in the letters denying O'Neal's requests for accommodation. Thus, a jury could reasonably conclude that accommodating O'Neal's religious practice would not pose an undue hardship to the </w:t>
      </w:r>
      <w:proofErr w:type="gramStart"/>
      <w:r w:rsidRPr="00064791">
        <w:t>City</w:t>
      </w:r>
      <w:proofErr w:type="gramEnd"/>
      <w:r>
        <w:t>.”</w:t>
      </w:r>
    </w:p>
    <w:p w14:paraId="7DAA5919" w14:textId="77777777" w:rsidR="00BE7AC1" w:rsidRDefault="00BE7AC1" w:rsidP="00BE7AC1">
      <w:pPr>
        <w:pStyle w:val="NoSpacing"/>
      </w:pPr>
    </w:p>
    <w:p w14:paraId="0B290381" w14:textId="77777777" w:rsidR="00BE7AC1" w:rsidRPr="00735A39" w:rsidRDefault="00BE7AC1" w:rsidP="00BE7AC1">
      <w:pPr>
        <w:pStyle w:val="NoSpacing"/>
        <w:rPr>
          <w:b/>
          <w:bCs/>
        </w:rPr>
      </w:pPr>
      <w:r w:rsidRPr="00735A39">
        <w:rPr>
          <w:b/>
        </w:rPr>
        <w:t xml:space="preserve">Legal lesson learned: </w:t>
      </w:r>
      <w:r>
        <w:rPr>
          <w:b/>
        </w:rPr>
        <w:t xml:space="preserve">A jury will be asked to decide whether a firefighter / dispatcher must be clean-shaven. </w:t>
      </w:r>
    </w:p>
    <w:p w14:paraId="3F78233C" w14:textId="77777777" w:rsidR="00BE7AC1" w:rsidRPr="00735A39" w:rsidRDefault="00BE7AC1" w:rsidP="00BE7AC1">
      <w:pPr>
        <w:pStyle w:val="NoSpacing"/>
        <w:rPr>
          <w:b/>
          <w:bCs/>
        </w:rPr>
      </w:pPr>
    </w:p>
    <w:p w14:paraId="7EEC978D" w14:textId="77777777" w:rsidR="00BE7AC1" w:rsidRDefault="00BE7AC1" w:rsidP="00BE7AC1">
      <w:pPr>
        <w:pStyle w:val="NoSpacing"/>
        <w:rPr>
          <w:bCs/>
        </w:rPr>
      </w:pPr>
    </w:p>
    <w:p w14:paraId="3B2DE039" w14:textId="77777777" w:rsidR="00BE7AC1" w:rsidRPr="00056D43" w:rsidRDefault="00BE7AC1" w:rsidP="00F52698">
      <w:pPr>
        <w:pStyle w:val="NoSpacing"/>
        <w:rPr>
          <w:b/>
          <w:sz w:val="28"/>
          <w:szCs w:val="28"/>
        </w:rPr>
      </w:pPr>
    </w:p>
    <w:p w14:paraId="77EC5934" w14:textId="77777777" w:rsidR="00056D43" w:rsidRDefault="00056D43" w:rsidP="00F52698">
      <w:pPr>
        <w:pStyle w:val="NoSpacing"/>
        <w:rPr>
          <w:b/>
        </w:rPr>
      </w:pPr>
    </w:p>
    <w:p w14:paraId="149CAF54" w14:textId="77777777" w:rsidR="00056D43" w:rsidRPr="00857C9E" w:rsidRDefault="00056D43" w:rsidP="00F52698">
      <w:pPr>
        <w:pStyle w:val="NoSpacing"/>
        <w:rPr>
          <w:b/>
          <w:bCs/>
        </w:rPr>
      </w:pPr>
    </w:p>
    <w:p w14:paraId="29B9ED48" w14:textId="77777777" w:rsidR="00F52698" w:rsidRPr="00857C9E" w:rsidRDefault="00F52698" w:rsidP="00F52698">
      <w:pPr>
        <w:pStyle w:val="NoSpacing"/>
        <w:rPr>
          <w:b/>
          <w:bCs/>
        </w:rPr>
      </w:pPr>
    </w:p>
    <w:p w14:paraId="3038AB40" w14:textId="77777777" w:rsidR="00916D00" w:rsidRDefault="00916D00" w:rsidP="00646EE3">
      <w:pPr>
        <w:rPr>
          <w:rFonts w:ascii="Arial Black" w:hAnsi="Arial Black"/>
          <w:sz w:val="24"/>
          <w:szCs w:val="24"/>
        </w:rPr>
      </w:pPr>
    </w:p>
    <w:p w14:paraId="62B900F4" w14:textId="77777777" w:rsidR="00961DF4" w:rsidRDefault="00961DF4" w:rsidP="00646EE3">
      <w:pPr>
        <w:rPr>
          <w:rFonts w:ascii="Arial Black" w:hAnsi="Arial Black"/>
          <w:sz w:val="24"/>
          <w:szCs w:val="24"/>
        </w:rPr>
      </w:pPr>
    </w:p>
    <w:p w14:paraId="784B8DE9" w14:textId="2F72D097" w:rsidR="000A5A6C" w:rsidRDefault="000A5A6C" w:rsidP="00646EE3">
      <w:pPr>
        <w:rPr>
          <w:rFonts w:ascii="Arial Black" w:hAnsi="Arial Black"/>
          <w:sz w:val="24"/>
          <w:szCs w:val="24"/>
        </w:rPr>
      </w:pPr>
      <w:r>
        <w:rPr>
          <w:rFonts w:ascii="Arial Black" w:hAnsi="Arial Black"/>
          <w:sz w:val="24"/>
          <w:szCs w:val="24"/>
        </w:rPr>
        <w:t>2-10</w:t>
      </w:r>
      <w:r w:rsidR="00956699">
        <w:rPr>
          <w:rFonts w:ascii="Arial Black" w:hAnsi="Arial Black"/>
          <w:sz w:val="24"/>
          <w:szCs w:val="24"/>
        </w:rPr>
        <w:t>3</w:t>
      </w:r>
    </w:p>
    <w:p w14:paraId="1B991A90" w14:textId="77777777" w:rsidR="000A5A6C" w:rsidRPr="00086CAB" w:rsidRDefault="000A5A6C" w:rsidP="000A5A6C">
      <w:pPr>
        <w:pStyle w:val="NoSpacing"/>
        <w:rPr>
          <w:rFonts w:ascii="Arial Black" w:hAnsi="Arial Black"/>
          <w:sz w:val="28"/>
          <w:szCs w:val="28"/>
        </w:rPr>
      </w:pPr>
      <w:r>
        <w:rPr>
          <w:rFonts w:ascii="Arial Black" w:hAnsi="Arial Black"/>
          <w:sz w:val="28"/>
          <w:szCs w:val="28"/>
        </w:rPr>
        <w:t xml:space="preserve">MD: 3 LODDs – BLDG NOT MARKED / CAD – WK COMP ONLY </w:t>
      </w:r>
    </w:p>
    <w:p w14:paraId="5B9CBA63" w14:textId="77777777" w:rsidR="000A5A6C" w:rsidRDefault="000A5A6C" w:rsidP="000A5A6C">
      <w:pPr>
        <w:pStyle w:val="NoSpacing"/>
      </w:pPr>
    </w:p>
    <w:p w14:paraId="26A74B06" w14:textId="77777777" w:rsidR="000A5A6C" w:rsidRDefault="000A5A6C" w:rsidP="000A5A6C">
      <w:pPr>
        <w:pStyle w:val="NoSpacing"/>
      </w:pPr>
      <w:r>
        <w:t xml:space="preserve">On Feb. 20, 2026, in </w:t>
      </w:r>
      <w:r w:rsidRPr="00326D71">
        <w:rPr>
          <w:u w:val="single"/>
        </w:rPr>
        <w:t>Rachel Butrim, et al. v. Mayor and City Council of Baltimore</w:t>
      </w:r>
      <w:r>
        <w:t xml:space="preserve">,  U.S. District Court Judge </w:t>
      </w:r>
      <w:r w:rsidRPr="00326D71">
        <w:t>Matthew J. Maddox</w:t>
      </w:r>
      <w:r>
        <w:t xml:space="preserve">. United States District Court for the District of Maryland dismissed the lawsuit by the families of the three firefighters who died on January 24, </w:t>
      </w:r>
      <w:proofErr w:type="gramStart"/>
      <w:r>
        <w:t>2022</w:t>
      </w:r>
      <w:proofErr w:type="gramEnd"/>
      <w:r>
        <w:t xml:space="preserve"> in a condemned rowhome (no marking; not in CAD) since there was no proof of City’s </w:t>
      </w:r>
      <w:r w:rsidRPr="00086CAB">
        <w:t>“deliberate intent of the employer to injure or kill</w:t>
      </w:r>
      <w:r>
        <w:t>.</w:t>
      </w:r>
      <w:r w:rsidRPr="00086CAB">
        <w:t>”</w:t>
      </w:r>
      <w:r>
        <w:t xml:space="preserve">  Their sole remedy is worker’s comp. This is the second lawsuit filed by the families; first dismissed by Judge Maddox on </w:t>
      </w:r>
      <w:r w:rsidRPr="000626FA">
        <w:t xml:space="preserve">Dec. </w:t>
      </w:r>
      <w:r>
        <w:t>20</w:t>
      </w:r>
      <w:r w:rsidRPr="000626FA">
        <w:t>, 2024</w:t>
      </w:r>
      <w:r>
        <w:t>, and this case was filed in state court alleging “</w:t>
      </w:r>
      <w:r w:rsidRPr="00973E1E">
        <w:t>state-created danger</w:t>
      </w:r>
      <w:r>
        <w:t xml:space="preserve">” and then removed by City to federal court.  </w:t>
      </w:r>
      <w:hyperlink r:id="rId411" w:history="1">
        <w:r w:rsidRPr="00700767">
          <w:rPr>
            <w:rStyle w:val="Hyperlink"/>
          </w:rPr>
          <w:t>https://cases.justia.com/federal/district-courts/maryland/mddce/1:2025cv00796/578117/19/0.pdf?ts=1771692701</w:t>
        </w:r>
      </w:hyperlink>
      <w:r>
        <w:t xml:space="preserve"> </w:t>
      </w:r>
    </w:p>
    <w:p w14:paraId="7AF5DD99" w14:textId="77777777" w:rsidR="000A5A6C" w:rsidRDefault="000A5A6C" w:rsidP="000A5A6C">
      <w:pPr>
        <w:pStyle w:val="NoSpacing"/>
      </w:pPr>
    </w:p>
    <w:p w14:paraId="45432E2B" w14:textId="77777777" w:rsidR="000A5A6C" w:rsidRPr="00A539D8" w:rsidRDefault="000A5A6C" w:rsidP="000A5A6C">
      <w:pPr>
        <w:pStyle w:val="NoSpacing"/>
      </w:pPr>
      <w:r>
        <w:t>THE COURT HELD:  “</w:t>
      </w:r>
      <w:r w:rsidRPr="001B1356">
        <w:t>In the minutes before 6:00 a.m. on January 24, 2022, firefighters from the Third Battalion of the Baltimore City Fire Department (</w:t>
      </w:r>
      <w:r>
        <w:t>‘</w:t>
      </w:r>
      <w:r w:rsidRPr="001B1356">
        <w:t>BFD</w:t>
      </w:r>
      <w:r>
        <w:t>’</w:t>
      </w:r>
      <w:r w:rsidRPr="001B1356">
        <w:t xml:space="preserve">) responded to a fire at 205 South Stricker Street (the </w:t>
      </w:r>
      <w:r>
        <w:t>‘</w:t>
      </w:r>
      <w:r w:rsidRPr="001B1356">
        <w:t>Property</w:t>
      </w:r>
      <w:r>
        <w:t>’</w:t>
      </w:r>
      <w:r w:rsidRPr="001B1356">
        <w:t>), a condemned rowhome in the Mount Clare neighborhood of Baltimore, Maryland</w:t>
      </w:r>
      <w:r>
        <w:t xml:space="preserve">…. </w:t>
      </w:r>
      <w:r w:rsidRPr="001B1356">
        <w:t>Six firefighters were ordered to enter the structure, and the house collapsed moments later</w:t>
      </w:r>
      <w:r>
        <w:t xml:space="preserve">…. </w:t>
      </w:r>
      <w:r w:rsidRPr="001B1356">
        <w:t>There were no markings or placards placed outside the Property indicating that it was structurally compromised</w:t>
      </w:r>
      <w:r>
        <w:t xml:space="preserve">…. </w:t>
      </w:r>
      <w:r w:rsidRPr="001B1356">
        <w:t xml:space="preserve"> After the collapse, a rescue team removed two firefighters from the home; three of the others-Paul Butrim, Kelsey Sadler, and Kenneth Lacayo-died; and the sixth firefighter-John McMaster-sustained serious permanent injuries</w:t>
      </w:r>
      <w:r>
        <w:t>….</w:t>
      </w:r>
      <w:r w:rsidRPr="001B1356">
        <w:t xml:space="preserve"> (Paul Butrim, Kelsey Sadler, Kenneth Lacayo, and John McMaster are referred to herein as </w:t>
      </w:r>
      <w:r>
        <w:t>‘</w:t>
      </w:r>
      <w:r w:rsidRPr="001B1356">
        <w:t>Plaintiff Firefighters.</w:t>
      </w:r>
      <w:r>
        <w:t>’</w:t>
      </w:r>
      <w:r w:rsidRPr="001B1356">
        <w:t>)</w:t>
      </w:r>
      <w:r>
        <w:t xml:space="preserve">… </w:t>
      </w:r>
      <w:r w:rsidRPr="00F463A5">
        <w:t xml:space="preserve">In 2010, </w:t>
      </w:r>
      <w:r>
        <w:t>‘</w:t>
      </w:r>
      <w:r w:rsidRPr="00F463A5">
        <w:t>to comply with federal regulators and industry standards,</w:t>
      </w:r>
      <w:r>
        <w:t>’</w:t>
      </w:r>
      <w:r w:rsidRPr="00F463A5">
        <w:t xml:space="preserve"> as well as </w:t>
      </w:r>
      <w:r>
        <w:t>‘</w:t>
      </w:r>
      <w:r w:rsidRPr="00F463A5">
        <w:t>in response to the ‘serious known threats associated with unsafe vacant buildings,” the City implemented a program called Code X-Ray to ensure that firefighters would never be ordered into a structurally unsafe condemned property</w:t>
      </w:r>
      <w:r>
        <w:t xml:space="preserve">…. </w:t>
      </w:r>
      <w:r w:rsidRPr="00F463A5">
        <w:t xml:space="preserve">Under Code X-Ray, the </w:t>
      </w:r>
      <w:proofErr w:type="gramStart"/>
      <w:r w:rsidRPr="00F463A5">
        <w:t>City</w:t>
      </w:r>
      <w:proofErr w:type="gramEnd"/>
      <w:r w:rsidRPr="00F463A5">
        <w:t xml:space="preserve"> marked structurally compromised buildings with reflective placards or a painted red X, which warned firefighters not to enter</w:t>
      </w:r>
      <w:r>
        <w:t xml:space="preserve">…. </w:t>
      </w:r>
      <w:r w:rsidRPr="00F463A5">
        <w:t xml:space="preserve">A marking system like Code X-Ray was necessary for the City to secure and maintain grants for municipal services, as new federal funding was </w:t>
      </w:r>
      <w:r>
        <w:t>‘</w:t>
      </w:r>
      <w:r w:rsidRPr="00F463A5">
        <w:t>increasingly conditioned on adequate safety and mitigation strategies for vacant and condemned properties.</w:t>
      </w:r>
      <w:r>
        <w:t xml:space="preserve">’ … According to the Complaint, Plaintiff Firefighters would not have continued working for the </w:t>
      </w:r>
      <w:proofErr w:type="gramStart"/>
      <w:r>
        <w:t>City</w:t>
      </w:r>
      <w:proofErr w:type="gramEnd"/>
      <w:r>
        <w:t xml:space="preserve"> if they knew that it had lied about Code X-Ray’s discontinuation ‘because they valued their lives and families more than their municipal jobs.’ *** </w:t>
      </w:r>
      <w:r w:rsidRPr="00A539D8">
        <w:t xml:space="preserve">But even if all the foregoing acts attributed to the </w:t>
      </w:r>
      <w:proofErr w:type="gramStart"/>
      <w:r w:rsidRPr="00A539D8">
        <w:t>City</w:t>
      </w:r>
      <w:proofErr w:type="gramEnd"/>
      <w:r w:rsidRPr="00A539D8">
        <w:t xml:space="preserve"> constituted </w:t>
      </w:r>
      <w:r>
        <w:t>‘</w:t>
      </w:r>
      <w:r w:rsidRPr="00A539D8">
        <w:t>affirmative acts</w:t>
      </w:r>
      <w:r>
        <w:t xml:space="preserve">’ </w:t>
      </w:r>
      <w:r w:rsidRPr="00A539D8">
        <w:t>for purposes of a state-created danger claim, Plaintiffs do not allege any facts to support a reasonable inference that any City or BFD official, at any point, acted “</w:t>
      </w:r>
      <w:r w:rsidRPr="00A539D8">
        <w:rPr>
          <w:i/>
          <w:iCs/>
        </w:rPr>
        <w:t>with the purpose of</w:t>
      </w:r>
      <w:r w:rsidRPr="00A539D8">
        <w:t>” harming Plaintiff Firefighters.</w:t>
      </w:r>
      <w:r>
        <w:t xml:space="preserve">” </w:t>
      </w:r>
    </w:p>
    <w:p w14:paraId="3D4EFD90" w14:textId="77777777" w:rsidR="000A5A6C" w:rsidRPr="001B1356" w:rsidRDefault="000A5A6C" w:rsidP="000A5A6C">
      <w:pPr>
        <w:pStyle w:val="NoSpacing"/>
      </w:pPr>
    </w:p>
    <w:p w14:paraId="1A626444" w14:textId="77777777" w:rsidR="000A5A6C" w:rsidRPr="00F27D15" w:rsidRDefault="000A5A6C" w:rsidP="000A5A6C">
      <w:pPr>
        <w:pStyle w:val="NoSpacing"/>
        <w:rPr>
          <w:b/>
          <w:bCs/>
        </w:rPr>
      </w:pPr>
      <w:r>
        <w:rPr>
          <w:b/>
        </w:rPr>
        <w:t xml:space="preserve">Legal lesson learned: Tragic set of facts, but worker’s comp appears to be the only remedy of the families of the three firefighters killed in this abandoned rowhome. </w:t>
      </w:r>
    </w:p>
    <w:p w14:paraId="4BAD4E35" w14:textId="77777777" w:rsidR="000A5A6C" w:rsidRDefault="000A5A6C" w:rsidP="000A5A6C">
      <w:pPr>
        <w:pStyle w:val="NoSpacing"/>
      </w:pPr>
    </w:p>
    <w:p w14:paraId="35FBE551" w14:textId="529E285C" w:rsidR="000A5A6C" w:rsidRDefault="000A5A6C" w:rsidP="000A5A6C">
      <w:pPr>
        <w:rPr>
          <w:rFonts w:ascii="Arial Black" w:hAnsi="Arial Black"/>
          <w:sz w:val="24"/>
          <w:szCs w:val="24"/>
        </w:rPr>
      </w:pPr>
      <w:r>
        <w:t xml:space="preserve">Note: See the first case that was dismissed in 2024. </w:t>
      </w:r>
      <w:r w:rsidRPr="008A697E">
        <w:rPr>
          <w:i/>
          <w:iCs/>
        </w:rPr>
        <w:t>Butrim v. Mayor of Balt.</w:t>
      </w:r>
      <w:r w:rsidRPr="008A697E">
        <w:t xml:space="preserve"> (“</w:t>
      </w:r>
      <w:r w:rsidRPr="008A697E">
        <w:rPr>
          <w:i/>
          <w:iCs/>
        </w:rPr>
        <w:t>Butrim I</w:t>
      </w:r>
      <w:r w:rsidRPr="008A697E">
        <w:t>”),</w:t>
      </w:r>
      <w:r>
        <w:t xml:space="preserve"> </w:t>
      </w:r>
      <w:hyperlink r:id="rId412" w:history="1">
        <w:r w:rsidRPr="00700767">
          <w:rPr>
            <w:rStyle w:val="Hyperlink"/>
          </w:rPr>
          <w:t>https://cases.justia.com/federal/district-courts/maryland/mddce/1:2025cv00796/578117/19/0.pdf?ts=1771692701</w:t>
        </w:r>
      </w:hyperlink>
    </w:p>
    <w:p w14:paraId="057430E4" w14:textId="77777777" w:rsidR="000A5A6C" w:rsidRDefault="000A5A6C" w:rsidP="00646EE3">
      <w:pPr>
        <w:rPr>
          <w:rFonts w:ascii="Arial Black" w:hAnsi="Arial Black"/>
          <w:sz w:val="24"/>
          <w:szCs w:val="24"/>
        </w:rPr>
      </w:pPr>
    </w:p>
    <w:p w14:paraId="4FF3758D" w14:textId="34709832" w:rsidR="000A5A6C" w:rsidRDefault="005E79E8" w:rsidP="00646EE3">
      <w:pPr>
        <w:rPr>
          <w:rFonts w:ascii="Arial Black" w:hAnsi="Arial Black"/>
          <w:sz w:val="24"/>
          <w:szCs w:val="24"/>
        </w:rPr>
      </w:pPr>
      <w:r>
        <w:rPr>
          <w:rFonts w:ascii="Arial Black" w:hAnsi="Arial Black"/>
          <w:sz w:val="24"/>
          <w:szCs w:val="24"/>
        </w:rPr>
        <w:t>2-10</w:t>
      </w:r>
      <w:r w:rsidR="00956699">
        <w:rPr>
          <w:rFonts w:ascii="Arial Black" w:hAnsi="Arial Black"/>
          <w:sz w:val="24"/>
          <w:szCs w:val="24"/>
        </w:rPr>
        <w:t>2</w:t>
      </w:r>
    </w:p>
    <w:p w14:paraId="7A0E3919" w14:textId="77777777" w:rsidR="005E79E8" w:rsidRDefault="005E79E8" w:rsidP="005E79E8">
      <w:pPr>
        <w:pStyle w:val="NoSpacing"/>
        <w:rPr>
          <w:rFonts w:ascii="Arial Black" w:hAnsi="Arial Black"/>
          <w:bCs/>
          <w:sz w:val="28"/>
          <w:szCs w:val="28"/>
        </w:rPr>
      </w:pPr>
      <w:r>
        <w:rPr>
          <w:rFonts w:ascii="Arial Black" w:hAnsi="Arial Black"/>
          <w:sz w:val="28"/>
          <w:szCs w:val="28"/>
        </w:rPr>
        <w:t>GA: FF LOST FINGERS – CARGO TRAY MFR – PUNITIVE DAM.</w:t>
      </w:r>
    </w:p>
    <w:p w14:paraId="0EB16D3F" w14:textId="77777777" w:rsidR="005E79E8" w:rsidRDefault="005E79E8" w:rsidP="005E79E8">
      <w:pPr>
        <w:pStyle w:val="NoSpacing"/>
        <w:rPr>
          <w:bCs/>
        </w:rPr>
      </w:pPr>
    </w:p>
    <w:p w14:paraId="13A1BD57" w14:textId="77777777" w:rsidR="005E79E8" w:rsidRPr="00497602" w:rsidRDefault="005E79E8" w:rsidP="005E79E8">
      <w:pPr>
        <w:pStyle w:val="NoSpacing"/>
        <w:rPr>
          <w:bCs/>
        </w:rPr>
      </w:pPr>
      <w:r>
        <w:t xml:space="preserve">On February 12, 2026, in </w:t>
      </w:r>
      <w:r w:rsidRPr="00901190">
        <w:rPr>
          <w:u w:val="single"/>
        </w:rPr>
        <w:t xml:space="preserve">Joshua Tayor Chillous v. Kovatch Mobile Equipment Corporation and </w:t>
      </w:r>
      <w:proofErr w:type="spellStart"/>
      <w:r w:rsidRPr="00901190">
        <w:rPr>
          <w:u w:val="single"/>
        </w:rPr>
        <w:t>Onscene</w:t>
      </w:r>
      <w:proofErr w:type="spellEnd"/>
      <w:r w:rsidRPr="00901190">
        <w:rPr>
          <w:u w:val="single"/>
        </w:rPr>
        <w:t xml:space="preserve"> Solutions, LLC</w:t>
      </w:r>
      <w:r>
        <w:t xml:space="preserve">, U.S. District Court Judge Lisa Godbey Wood, </w:t>
      </w:r>
      <w:r w:rsidRPr="00497602">
        <w:t xml:space="preserve">United States District Court for </w:t>
      </w:r>
      <w:r>
        <w:t>S</w:t>
      </w:r>
      <w:r w:rsidRPr="00497602">
        <w:t xml:space="preserve">outhern District of Georgia, Brunswick </w:t>
      </w:r>
      <w:r w:rsidRPr="00497602">
        <w:lastRenderedPageBreak/>
        <w:t>Division</w:t>
      </w:r>
      <w:r>
        <w:t xml:space="preserve">, denied partial summary judgments by </w:t>
      </w:r>
      <w:proofErr w:type="spellStart"/>
      <w:r>
        <w:t>OnScene</w:t>
      </w:r>
      <w:proofErr w:type="spellEnd"/>
      <w:r>
        <w:t xml:space="preserve"> (sued for punitive damages; bolts were too short); and KME for negligence (3 fire engines needing repair in Norfolk, Groton, and Guam, but never inspected this engine).  The plaintiff, a civilian firefighter at Kings Bay Naval Base, had two fingers severed on June 16, </w:t>
      </w:r>
      <w:proofErr w:type="gramStart"/>
      <w:r>
        <w:t>2022</w:t>
      </w:r>
      <w:proofErr w:type="gramEnd"/>
      <w:r>
        <w:t xml:space="preserve"> when the cargo bay fell off the KME engine. </w:t>
      </w:r>
      <w:hyperlink r:id="rId413" w:history="1">
        <w:r w:rsidRPr="00C72C21">
          <w:rPr>
            <w:rStyle w:val="Hyperlink"/>
          </w:rPr>
          <w:t>https://cases.justia.com/federal/district-courts/georgia/gasdce/2:2024cv00049/96644/96/0.pdf?ts=1771001361</w:t>
        </w:r>
      </w:hyperlink>
      <w:r>
        <w:t xml:space="preserve"> </w:t>
      </w:r>
    </w:p>
    <w:p w14:paraId="4E5F865A" w14:textId="77777777" w:rsidR="005E79E8" w:rsidRDefault="005E79E8" w:rsidP="005E79E8">
      <w:pPr>
        <w:pStyle w:val="NoSpacing"/>
        <w:rPr>
          <w:bCs/>
        </w:rPr>
      </w:pPr>
    </w:p>
    <w:p w14:paraId="41B21A30" w14:textId="77777777" w:rsidR="005E79E8" w:rsidRDefault="005E79E8" w:rsidP="005E79E8">
      <w:pPr>
        <w:pStyle w:val="NoSpacing"/>
        <w:rPr>
          <w:bCs/>
        </w:rPr>
      </w:pPr>
      <w:r>
        <w:t>THE COURT HELD: “</w:t>
      </w:r>
      <w:r w:rsidRPr="008B2C56">
        <w:t>Plaintiff filed this personal injury action after he was injured by an allegedly defective sliding cargo tray attached to a firetruck located at Kings Bay Naval Base in St. Mary's, Georgia</w:t>
      </w:r>
      <w:r>
        <w:t>…</w:t>
      </w:r>
      <w:r w:rsidRPr="008B2C56">
        <w:t>. On June 16, 2022, Plaintiff, a civil firefighter employed by the Department of Defense, was attempting to access the cargo tray while gathering supplies for an emergency when the deployed tray fell to the ground, trapping his middle and ring finger and severing both fingers at the first joint</w:t>
      </w:r>
      <w:r>
        <w:t xml:space="preserve">…. </w:t>
      </w:r>
      <w:r w:rsidRPr="008B2C56">
        <w:t xml:space="preserve"> A Naval Safety Specialist, Dean Merrill, later investigated the incident and reported that the screws of the tray door had failed, the screws being too short for the screw hold</w:t>
      </w:r>
      <w:r>
        <w:t xml:space="preserve">…. </w:t>
      </w:r>
      <w:proofErr w:type="spellStart"/>
      <w:r w:rsidRPr="008B2C56">
        <w:t>OnScene</w:t>
      </w:r>
      <w:proofErr w:type="spellEnd"/>
      <w:r w:rsidRPr="008B2C56">
        <w:t xml:space="preserve"> designed and built the cargo tray, including the stopping mechanism</w:t>
      </w:r>
      <w:r>
        <w:t xml:space="preserve">…. </w:t>
      </w:r>
      <w:r w:rsidRPr="008B2C56">
        <w:t>The tray was then affixed to the firetruck by the truck's manufacturer, KME, who then sold the truck to the Department of the Navy (</w:t>
      </w:r>
      <w:r>
        <w:t>‘</w:t>
      </w:r>
      <w:r w:rsidRPr="008B2C56">
        <w:t>the Navy</w:t>
      </w:r>
      <w:r>
        <w:t>’</w:t>
      </w:r>
      <w:r w:rsidRPr="008B2C56">
        <w:t>)</w:t>
      </w:r>
      <w:r>
        <w:t xml:space="preserve">…. </w:t>
      </w:r>
      <w:r w:rsidRPr="000F01AB">
        <w:t xml:space="preserve">Plaintiff also points to deposition testimony provided by an </w:t>
      </w:r>
      <w:proofErr w:type="spellStart"/>
      <w:r w:rsidRPr="000F01AB">
        <w:t>OnScene</w:t>
      </w:r>
      <w:proofErr w:type="spellEnd"/>
      <w:r w:rsidRPr="000F01AB">
        <w:t xml:space="preserve"> representative that the cargo tray was approved by non-engineers, after alleged tests that did not include calculations of expected force exerted in the field, even though </w:t>
      </w:r>
      <w:proofErr w:type="spellStart"/>
      <w:r w:rsidRPr="000F01AB">
        <w:t>OnScene</w:t>
      </w:r>
      <w:proofErr w:type="spellEnd"/>
      <w:r w:rsidRPr="000F01AB">
        <w:t xml:space="preserve"> was aware of the danger of a defective cargo tray at the inception of the product</w:t>
      </w:r>
      <w:r>
        <w:t xml:space="preserve">…. </w:t>
      </w:r>
      <w:r w:rsidRPr="000F01AB">
        <w:t xml:space="preserve">Further, </w:t>
      </w:r>
      <w:proofErr w:type="spellStart"/>
      <w:r w:rsidRPr="000F01AB">
        <w:t>OnScene</w:t>
      </w:r>
      <w:proofErr w:type="spellEnd"/>
      <w:r w:rsidRPr="000F01AB">
        <w:t xml:space="preserve"> retained no documentation of the tests</w:t>
      </w:r>
      <w:r>
        <w:t>….  N</w:t>
      </w:r>
      <w:r w:rsidRPr="000F01AB">
        <w:t xml:space="preserve">or did </w:t>
      </w:r>
      <w:proofErr w:type="spellStart"/>
      <w:r w:rsidRPr="000F01AB">
        <w:t>OnScene</w:t>
      </w:r>
      <w:proofErr w:type="spellEnd"/>
      <w:r w:rsidRPr="000F01AB">
        <w:t xml:space="preserve"> retain any design drawings or documents identifying the defective units</w:t>
      </w:r>
      <w:r>
        <w:t xml:space="preserve">…. </w:t>
      </w:r>
      <w:proofErr w:type="spellStart"/>
      <w:r w:rsidRPr="00FA6BE6">
        <w:t>OnScene</w:t>
      </w:r>
      <w:proofErr w:type="spellEnd"/>
      <w:r w:rsidRPr="00FA6BE6">
        <w:t xml:space="preserve"> had identified three trucks with short hardware, Norfolk, Groton, and Guam, omitting the truck at Kings Bay</w:t>
      </w:r>
      <w:r>
        <w:t xml:space="preserve">. *** </w:t>
      </w:r>
      <w:r w:rsidRPr="002478EA">
        <w:t>From these facts, a reasonable jury could conclude that KME's failure to inspect the Kings Bay truck or identify the Kings Bay truck as having a defective cargo tray would foreseeably lead to Plaintiff's injury.</w:t>
      </w:r>
    </w:p>
    <w:p w14:paraId="68A38810" w14:textId="77777777" w:rsidR="005E79E8" w:rsidRDefault="005E79E8" w:rsidP="005E79E8">
      <w:pPr>
        <w:pStyle w:val="NoSpacing"/>
        <w:rPr>
          <w:bCs/>
        </w:rPr>
      </w:pPr>
    </w:p>
    <w:p w14:paraId="64A7CBD7" w14:textId="77777777" w:rsidR="005E79E8" w:rsidRPr="00BE1E86" w:rsidRDefault="005E79E8" w:rsidP="005E79E8">
      <w:pPr>
        <w:pStyle w:val="NoSpacing"/>
        <w:rPr>
          <w:b/>
        </w:rPr>
      </w:pPr>
      <w:r>
        <w:rPr>
          <w:b/>
        </w:rPr>
        <w:t xml:space="preserve">Legal lesson learned: The civilian firefighter may now proceed to trial and seek from a </w:t>
      </w:r>
      <w:proofErr w:type="gramStart"/>
      <w:r>
        <w:rPr>
          <w:b/>
        </w:rPr>
        <w:t>jury punitive damages</w:t>
      </w:r>
      <w:proofErr w:type="gramEnd"/>
      <w:r>
        <w:rPr>
          <w:b/>
        </w:rPr>
        <w:t xml:space="preserve"> against </w:t>
      </w:r>
      <w:proofErr w:type="spellStart"/>
      <w:r>
        <w:rPr>
          <w:b/>
        </w:rPr>
        <w:t>OnScene</w:t>
      </w:r>
      <w:proofErr w:type="spellEnd"/>
      <w:r>
        <w:rPr>
          <w:b/>
        </w:rPr>
        <w:t xml:space="preserve"> and ordinary damages against KME. </w:t>
      </w:r>
    </w:p>
    <w:p w14:paraId="1DE52020" w14:textId="77777777" w:rsidR="005E79E8" w:rsidRDefault="005E79E8" w:rsidP="00646EE3">
      <w:pPr>
        <w:rPr>
          <w:rFonts w:ascii="Arial Black" w:hAnsi="Arial Black"/>
          <w:sz w:val="24"/>
          <w:szCs w:val="24"/>
        </w:rPr>
      </w:pPr>
    </w:p>
    <w:p w14:paraId="4BF2F962" w14:textId="71A37097" w:rsidR="0082202A" w:rsidRDefault="00E90661" w:rsidP="00646EE3">
      <w:pPr>
        <w:rPr>
          <w:rFonts w:ascii="Arial Black" w:hAnsi="Arial Black"/>
          <w:sz w:val="24"/>
          <w:szCs w:val="24"/>
        </w:rPr>
      </w:pPr>
      <w:r>
        <w:rPr>
          <w:rFonts w:ascii="Arial Black" w:hAnsi="Arial Black"/>
          <w:sz w:val="24"/>
          <w:szCs w:val="24"/>
        </w:rPr>
        <w:t>2-</w:t>
      </w:r>
      <w:r w:rsidR="00016469">
        <w:rPr>
          <w:rFonts w:ascii="Arial Black" w:hAnsi="Arial Black"/>
          <w:sz w:val="24"/>
          <w:szCs w:val="24"/>
        </w:rPr>
        <w:t>10</w:t>
      </w:r>
      <w:r w:rsidR="00956699">
        <w:rPr>
          <w:rFonts w:ascii="Arial Black" w:hAnsi="Arial Black"/>
          <w:sz w:val="24"/>
          <w:szCs w:val="24"/>
        </w:rPr>
        <w:t>1</w:t>
      </w:r>
    </w:p>
    <w:p w14:paraId="51AAAB58" w14:textId="77777777" w:rsidR="00016469" w:rsidRPr="00D70545" w:rsidRDefault="00016469" w:rsidP="00016469">
      <w:pPr>
        <w:rPr>
          <w:rFonts w:ascii="Arial Black" w:hAnsi="Arial Black"/>
          <w:b/>
          <w:sz w:val="28"/>
          <w:szCs w:val="28"/>
        </w:rPr>
      </w:pPr>
      <w:r>
        <w:rPr>
          <w:rFonts w:ascii="Arial Black" w:hAnsi="Arial Black"/>
          <w:b/>
          <w:sz w:val="28"/>
          <w:szCs w:val="28"/>
        </w:rPr>
        <w:t xml:space="preserve">NY: FIRE CHIEF – BURNED BY SHOE INSOLE HEATER </w:t>
      </w:r>
    </w:p>
    <w:p w14:paraId="1B7C2C1B" w14:textId="77777777" w:rsidR="00016469" w:rsidRDefault="00016469" w:rsidP="00016469">
      <w:r>
        <w:t xml:space="preserve">On Jan. 22, 2026, in </w:t>
      </w:r>
      <w:r w:rsidRPr="00D86CB4">
        <w:rPr>
          <w:u w:val="single"/>
        </w:rPr>
        <w:t xml:space="preserve">Gregory George v, Shenzhen </w:t>
      </w:r>
      <w:proofErr w:type="spellStart"/>
      <w:r w:rsidRPr="00D86CB4">
        <w:rPr>
          <w:u w:val="single"/>
        </w:rPr>
        <w:t>Tejiali</w:t>
      </w:r>
      <w:proofErr w:type="spellEnd"/>
      <w:r w:rsidRPr="00D86CB4">
        <w:rPr>
          <w:u w:val="single"/>
        </w:rPr>
        <w:t xml:space="preserve"> Technology Co., LTB, d/b/a IHeat</w:t>
      </w:r>
      <w:r>
        <w:t>, U.S. Chief District Court Judge Brenda K. Sannes, United States District Court for Northern District of New York, granted the plaintiff’s m</w:t>
      </w:r>
      <w:r w:rsidRPr="00EB443B">
        <w:t xml:space="preserve">otion for </w:t>
      </w:r>
      <w:r>
        <w:t>d</w:t>
      </w:r>
      <w:r w:rsidRPr="00EB443B">
        <w:t xml:space="preserve">efault </w:t>
      </w:r>
      <w:r>
        <w:t>j</w:t>
      </w:r>
      <w:r w:rsidRPr="00EB443B">
        <w:t>udgmen</w:t>
      </w:r>
      <w:r>
        <w:t xml:space="preserve">t against the manufacturer of the </w:t>
      </w:r>
      <w:r w:rsidRPr="006C1CE4">
        <w:t>lithium battery-powered heated shoe insoles</w:t>
      </w:r>
      <w:r>
        <w:t xml:space="preserve">, located in </w:t>
      </w:r>
      <w:r w:rsidRPr="006C1CE4">
        <w:t>Shenzhen, Guangdong, People's Republic of China</w:t>
      </w:r>
      <w:r>
        <w:t xml:space="preserve">, which he bought through Amazon.  The manufacturer </w:t>
      </w:r>
      <w:r w:rsidRPr="009D675B">
        <w:t>has not answered the complaint or appeared in this action.</w:t>
      </w:r>
      <w:r>
        <w:t xml:space="preserve">  </w:t>
      </w:r>
      <w:hyperlink r:id="rId414" w:history="1">
        <w:r w:rsidRPr="004147E7">
          <w:rPr>
            <w:rStyle w:val="Hyperlink"/>
          </w:rPr>
          <w:t>https://cases.justia.com/federal/district-courts/new-york/nyndce/6:2024cv00956/144608/40/0.pdf?ts=1769171952</w:t>
        </w:r>
      </w:hyperlink>
      <w:r>
        <w:t xml:space="preserve"> </w:t>
      </w:r>
    </w:p>
    <w:p w14:paraId="05B4D92F" w14:textId="77777777" w:rsidR="00016469" w:rsidRDefault="00016469" w:rsidP="00016469">
      <w:r>
        <w:t>THE COURT HELD:</w:t>
      </w:r>
    </w:p>
    <w:p w14:paraId="05FC9D98" w14:textId="77777777" w:rsidR="00016469" w:rsidRDefault="00016469" w:rsidP="00016469">
      <w:pPr>
        <w:ind w:left="720"/>
      </w:pPr>
      <w:r>
        <w:t xml:space="preserve">“Gregory </w:t>
      </w:r>
      <w:r w:rsidRPr="00B008B4">
        <w:t xml:space="preserve">George turned the insoles on </w:t>
      </w:r>
      <w:r>
        <w:t>‘</w:t>
      </w:r>
      <w:r w:rsidRPr="00B008B4">
        <w:t>in accordance with the instructions, put them in his boots, put socks on his feet, and put his boots on.</w:t>
      </w:r>
      <w:r>
        <w:t>’…</w:t>
      </w:r>
      <w:r w:rsidRPr="00B008B4">
        <w:t>He set the insoles to the medium setting (which could heat to a temperature range of 122-131°F) and walked outside</w:t>
      </w:r>
      <w:r>
        <w:t xml:space="preserve">…. </w:t>
      </w:r>
      <w:r w:rsidRPr="00B008B4">
        <w:t xml:space="preserve"> Around five minutes </w:t>
      </w:r>
      <w:proofErr w:type="gramStart"/>
      <w:r w:rsidRPr="00B008B4">
        <w:t xml:space="preserve">later, </w:t>
      </w:r>
      <w:r>
        <w:t>‘</w:t>
      </w:r>
      <w:proofErr w:type="gramEnd"/>
      <w:r w:rsidRPr="00B008B4">
        <w:t>he felt an electric shock to his right foot and his right boot burst into flames.</w:t>
      </w:r>
      <w:r>
        <w:t xml:space="preserve">’ … </w:t>
      </w:r>
      <w:r w:rsidRPr="00B008B4">
        <w:t xml:space="preserve">It took him about 40 seconds to take the boot off. </w:t>
      </w:r>
      <w:r>
        <w:t>‘</w:t>
      </w:r>
      <w:r w:rsidRPr="00B008B4">
        <w:t>George's right foot was severely burned, the skin of his right foot was blackened and some had started to peel off, and he was in extreme pain.</w:t>
      </w:r>
      <w:r>
        <w:t>’ ,,,</w:t>
      </w:r>
      <w:r w:rsidRPr="00B008B4">
        <w:t xml:space="preserve"> He went to the hospital, </w:t>
      </w:r>
      <w:r>
        <w:t>w</w:t>
      </w:r>
      <w:r w:rsidRPr="00B008B4">
        <w:t xml:space="preserve">here he was diagnosed with </w:t>
      </w:r>
      <w:r>
        <w:t>‘</w:t>
      </w:r>
      <w:r w:rsidRPr="00B008B4">
        <w:t>second-degree burns, as well as full-thickness, or third-degree, burns covering 1.5% of his right foot.</w:t>
      </w:r>
      <w:r>
        <w:t xml:space="preserve">’ … </w:t>
      </w:r>
      <w:r w:rsidRPr="00B008B4">
        <w:t xml:space="preserve"> The affected skin was debrided, and he was referred to a burn center for further care</w:t>
      </w:r>
      <w:r>
        <w:t xml:space="preserve">…. </w:t>
      </w:r>
      <w:r w:rsidRPr="00B008B4">
        <w:t xml:space="preserve"> There, he received in-patient wound care for five days</w:t>
      </w:r>
      <w:r>
        <w:t xml:space="preserve">…. </w:t>
      </w:r>
      <w:r w:rsidRPr="00B008B4">
        <w:t xml:space="preserve"> He later returned to the burn center for </w:t>
      </w:r>
      <w:r>
        <w:t>‘</w:t>
      </w:r>
      <w:r w:rsidRPr="00B008B4">
        <w:t>skin grafting using donor skin from two locations on his right thigh to replace the skin that was burned on his right foot.</w:t>
      </w:r>
      <w:r>
        <w:t xml:space="preserve">’ … </w:t>
      </w:r>
      <w:r w:rsidRPr="00B008B4">
        <w:t>He remained</w:t>
      </w:r>
      <w:r>
        <w:t xml:space="preserve"> </w:t>
      </w:r>
      <w:r w:rsidRPr="00E9334F">
        <w:t>at the center for inpatient care for ten days</w:t>
      </w:r>
      <w:r>
        <w:t xml:space="preserve">….  </w:t>
      </w:r>
      <w:r w:rsidRPr="00B91A1F">
        <w:lastRenderedPageBreak/>
        <w:t xml:space="preserve">ORDERED that the Court will hold an evidentiary hearing on February 24, 2026, at 10:30 a.m. to determine damages in accordance with this </w:t>
      </w:r>
      <w:proofErr w:type="gramStart"/>
      <w:r w:rsidRPr="00B91A1F">
        <w:t>order</w:t>
      </w:r>
      <w:r>
        <w:t>.”</w:t>
      </w:r>
      <w:proofErr w:type="gramEnd"/>
      <w:r>
        <w:t xml:space="preserve"> </w:t>
      </w:r>
    </w:p>
    <w:p w14:paraId="47368891" w14:textId="77777777" w:rsidR="00016469" w:rsidRDefault="00016469" w:rsidP="00016469">
      <w:pPr>
        <w:rPr>
          <w:b/>
          <w:bCs/>
        </w:rPr>
      </w:pPr>
      <w:r>
        <w:rPr>
          <w:b/>
        </w:rPr>
        <w:t xml:space="preserve">Legal lesson learned: Be very caution </w:t>
      </w:r>
      <w:r w:rsidRPr="00E9334F">
        <w:rPr>
          <w:b/>
        </w:rPr>
        <w:t>of lithium battery-powered heated shoe insoles</w:t>
      </w:r>
      <w:r>
        <w:rPr>
          <w:b/>
        </w:rPr>
        <w:t xml:space="preserve">.  With a foreign manufacturer he may have great difficulty collecting any </w:t>
      </w:r>
      <w:proofErr w:type="gramStart"/>
      <w:r>
        <w:rPr>
          <w:b/>
        </w:rPr>
        <w:t>damages</w:t>
      </w:r>
      <w:proofErr w:type="gramEnd"/>
      <w:r>
        <w:rPr>
          <w:b/>
        </w:rPr>
        <w:t xml:space="preserve">.  </w:t>
      </w:r>
    </w:p>
    <w:p w14:paraId="1221ECEF" w14:textId="77777777" w:rsidR="00016469" w:rsidRDefault="00016469" w:rsidP="00016469">
      <w:pPr>
        <w:ind w:left="720"/>
      </w:pPr>
      <w:r w:rsidRPr="008C1EE8">
        <w:t xml:space="preserve">Note: Defendants Amazon </w:t>
      </w:r>
      <w:r>
        <w:t xml:space="preserve">and seller </w:t>
      </w:r>
      <w:r w:rsidRPr="008C1EE8">
        <w:t xml:space="preserve">Mirror </w:t>
      </w:r>
      <w:proofErr w:type="spellStart"/>
      <w:r w:rsidRPr="008C1EE8">
        <w:t>Eleanos</w:t>
      </w:r>
      <w:proofErr w:type="spellEnd"/>
      <w:r w:rsidRPr="008C1EE8">
        <w:t xml:space="preserve"> have been dismissed from this action.</w:t>
      </w:r>
      <w:r>
        <w:t xml:space="preserve"> </w:t>
      </w:r>
    </w:p>
    <w:p w14:paraId="164FCEBD" w14:textId="77777777" w:rsidR="00016469" w:rsidRDefault="00016469" w:rsidP="00646EE3">
      <w:pPr>
        <w:rPr>
          <w:rFonts w:ascii="Arial Black" w:hAnsi="Arial Black"/>
          <w:sz w:val="24"/>
          <w:szCs w:val="24"/>
        </w:rPr>
      </w:pPr>
    </w:p>
    <w:p w14:paraId="340BC053" w14:textId="7FA0FF65" w:rsidR="00016469" w:rsidRDefault="00F20BC1" w:rsidP="00646EE3">
      <w:pPr>
        <w:rPr>
          <w:rFonts w:ascii="Arial Black" w:hAnsi="Arial Black"/>
          <w:sz w:val="24"/>
          <w:szCs w:val="24"/>
        </w:rPr>
      </w:pPr>
      <w:r>
        <w:rPr>
          <w:rFonts w:ascii="Arial Black" w:hAnsi="Arial Black"/>
          <w:sz w:val="24"/>
          <w:szCs w:val="24"/>
        </w:rPr>
        <w:t>2-</w:t>
      </w:r>
      <w:r w:rsidR="00956699">
        <w:rPr>
          <w:rFonts w:ascii="Arial Black" w:hAnsi="Arial Black"/>
          <w:sz w:val="24"/>
          <w:szCs w:val="24"/>
        </w:rPr>
        <w:t>100</w:t>
      </w:r>
    </w:p>
    <w:p w14:paraId="33F3D7B5" w14:textId="77777777" w:rsidR="00F20BC1" w:rsidRPr="005D2602" w:rsidRDefault="00F20BC1" w:rsidP="00F20BC1">
      <w:pPr>
        <w:rPr>
          <w:rFonts w:ascii="Arial Black" w:hAnsi="Arial Black"/>
          <w:b/>
          <w:sz w:val="28"/>
          <w:szCs w:val="28"/>
        </w:rPr>
      </w:pPr>
      <w:r>
        <w:rPr>
          <w:rFonts w:ascii="Arial Black" w:hAnsi="Arial Black"/>
          <w:b/>
          <w:sz w:val="28"/>
          <w:szCs w:val="28"/>
        </w:rPr>
        <w:t>MN: PFAS CLASS ACTION – CASE REMAINS IN MONTANA</w:t>
      </w:r>
    </w:p>
    <w:p w14:paraId="2CA6F98C" w14:textId="77777777" w:rsidR="00F20BC1" w:rsidRDefault="00F20BC1" w:rsidP="00F20BC1">
      <w:pPr>
        <w:rPr>
          <w:bCs/>
        </w:rPr>
      </w:pPr>
      <w:r>
        <w:t xml:space="preserve">On January 12, 2026, in </w:t>
      </w:r>
      <w:r w:rsidRPr="00287078">
        <w:rPr>
          <w:u w:val="single"/>
        </w:rPr>
        <w:t>City and County of Butte-Silver Bow v. 3M Company, Dupont, et al</w:t>
      </w:r>
      <w:r>
        <w:t xml:space="preserve">., U.S. District Court Judge Brian Morris, United States District Court for the District of Montana, Butte Division, rejected Dupont’s additional argument that they cannot be sued in Montana. On January 6, </w:t>
      </w:r>
      <w:proofErr w:type="gramStart"/>
      <w:r>
        <w:t>2026</w:t>
      </w:r>
      <w:proofErr w:type="gramEnd"/>
      <w:r>
        <w:t xml:space="preserve"> the Court previously denied the defense motion to dismiss.  In this latest ruling,  the Court found that unlike a case dismissed in Massachusetts on December 30, 2025, Dupont and other defendants’ sales and marketing activities with Montana fire departments established the </w:t>
      </w:r>
      <w:r w:rsidRPr="00C347AF">
        <w:t>requisite</w:t>
      </w:r>
      <w:r>
        <w:t xml:space="preserve"> presence in Montana to proceed.  </w:t>
      </w:r>
      <w:hyperlink r:id="rId415" w:history="1">
        <w:r w:rsidRPr="003004D8">
          <w:rPr>
            <w:rStyle w:val="Hyperlink"/>
          </w:rPr>
          <w:t>https://cases.justia.com/federal/district-courts/montana/mtdce/2:2025cv00036/80451/160/0.pdf?ts=1768305911</w:t>
        </w:r>
      </w:hyperlink>
      <w:r>
        <w:t xml:space="preserve"> </w:t>
      </w:r>
    </w:p>
    <w:p w14:paraId="1CC02B94" w14:textId="77777777" w:rsidR="00F20BC1" w:rsidRDefault="00F20BC1" w:rsidP="00F20BC1">
      <w:pPr>
        <w:rPr>
          <w:bCs/>
        </w:rPr>
      </w:pPr>
      <w:r>
        <w:t>THE COURT HELD:</w:t>
      </w:r>
    </w:p>
    <w:p w14:paraId="13549DB1" w14:textId="77777777" w:rsidR="00F20BC1" w:rsidRPr="00D1073C" w:rsidRDefault="00F20BC1" w:rsidP="00F20BC1">
      <w:pPr>
        <w:pStyle w:val="NoSpacing"/>
        <w:ind w:left="720"/>
        <w:rPr>
          <w:bCs/>
        </w:rPr>
      </w:pPr>
      <w:r>
        <w:t>“</w:t>
      </w:r>
      <w:r w:rsidRPr="00DA50ED">
        <w:t>Plaintiff City and County of Butte Silver</w:t>
      </w:r>
      <w:r>
        <w:t xml:space="preserve"> </w:t>
      </w:r>
      <w:r w:rsidRPr="00DA50ED">
        <w:t>Bow (</w:t>
      </w:r>
      <w:r>
        <w:t>‘</w:t>
      </w:r>
      <w:r w:rsidRPr="00DA50ED">
        <w:t>Plaintiff</w:t>
      </w:r>
      <w:r>
        <w:t>’</w:t>
      </w:r>
      <w:r w:rsidRPr="00DA50ED">
        <w:t>) provided the Court with affidavits and other evidence that</w:t>
      </w:r>
      <w:r>
        <w:t xml:space="preserve"> </w:t>
      </w:r>
      <w:r w:rsidRPr="00D1073C">
        <w:t>Dupont purposefully has directed its conduct toward Montana. The Court found</w:t>
      </w:r>
      <w:r>
        <w:t xml:space="preserve"> </w:t>
      </w:r>
      <w:r w:rsidRPr="00D1073C">
        <w:t>relevant Dupont’s conduct of awarding Montana fire departments turnout gear sets</w:t>
      </w:r>
      <w:r>
        <w:t xml:space="preserve"> </w:t>
      </w:r>
      <w:r w:rsidRPr="00D1073C">
        <w:t>in an annual giveaway</w:t>
      </w:r>
      <w:r>
        <w:t xml:space="preserve">…. </w:t>
      </w:r>
      <w:r w:rsidRPr="00D1073C">
        <w:t>Plaintiff provided declarations that</w:t>
      </w:r>
      <w:r>
        <w:t xml:space="preserve"> </w:t>
      </w:r>
      <w:r w:rsidRPr="00D1073C">
        <w:t>Dupont, in collaboration with another Defendant, Globe, had shipped similar</w:t>
      </w:r>
    </w:p>
    <w:p w14:paraId="3032495F" w14:textId="77777777" w:rsidR="00F20BC1" w:rsidRPr="00D1073C" w:rsidRDefault="00F20BC1" w:rsidP="00F20BC1">
      <w:pPr>
        <w:pStyle w:val="NoSpacing"/>
        <w:ind w:left="720"/>
        <w:rPr>
          <w:bCs/>
        </w:rPr>
      </w:pPr>
      <w:r w:rsidRPr="00D1073C">
        <w:t>turnout gear at issue in this case to Montana fire departments as winners of the</w:t>
      </w:r>
    </w:p>
    <w:p w14:paraId="14359296" w14:textId="77777777" w:rsidR="00F20BC1" w:rsidRDefault="00F20BC1" w:rsidP="00F20BC1">
      <w:pPr>
        <w:pStyle w:val="NoSpacing"/>
        <w:ind w:left="720"/>
        <w:rPr>
          <w:bCs/>
        </w:rPr>
      </w:pPr>
      <w:r w:rsidRPr="00D1073C">
        <w:t>giveaway</w:t>
      </w:r>
      <w:r>
        <w:t xml:space="preserve">…. </w:t>
      </w:r>
      <w:r w:rsidRPr="00D1073C">
        <w:t>Plaintiff asserted that Defendants had encouraged the</w:t>
      </w:r>
      <w:r>
        <w:t xml:space="preserve"> </w:t>
      </w:r>
      <w:r w:rsidRPr="00D1073C">
        <w:t>Montana fire departments who received the Dupont/Globe turnout gear sets to</w:t>
      </w:r>
      <w:r>
        <w:t xml:space="preserve"> </w:t>
      </w:r>
      <w:r w:rsidRPr="00D1073C">
        <w:t>advertise the winnings and charitable acts of Dupont/Globe on social media</w:t>
      </w:r>
      <w:r>
        <w:t xml:space="preserve">…. </w:t>
      </w:r>
    </w:p>
    <w:p w14:paraId="66454C7F" w14:textId="77777777" w:rsidR="00F20BC1" w:rsidRDefault="00F20BC1" w:rsidP="00F20BC1">
      <w:pPr>
        <w:pStyle w:val="NoSpacing"/>
        <w:ind w:left="720"/>
        <w:rPr>
          <w:bCs/>
        </w:rPr>
      </w:pPr>
    </w:p>
    <w:p w14:paraId="0B949355" w14:textId="77777777" w:rsidR="00F20BC1" w:rsidRPr="00732221" w:rsidRDefault="00F20BC1" w:rsidP="00F20BC1">
      <w:pPr>
        <w:pStyle w:val="NoSpacing"/>
        <w:ind w:left="720"/>
        <w:rPr>
          <w:bCs/>
        </w:rPr>
      </w:pPr>
      <w:r w:rsidRPr="00732221">
        <w:t>Plaintiff further provided an affidavit by Diane Evankovich attesting that she</w:t>
      </w:r>
    </w:p>
    <w:p w14:paraId="5DE4ECA2" w14:textId="77777777" w:rsidR="00F20BC1" w:rsidRPr="00732221" w:rsidRDefault="00F20BC1" w:rsidP="00F20BC1">
      <w:pPr>
        <w:pStyle w:val="NoSpacing"/>
        <w:ind w:left="720"/>
        <w:rPr>
          <w:bCs/>
        </w:rPr>
      </w:pPr>
      <w:r w:rsidRPr="00732221">
        <w:t>had been made aware of these Dupont/Globe giveaways in Montana. (Doc. 132.)</w:t>
      </w:r>
    </w:p>
    <w:p w14:paraId="3256EB01" w14:textId="77777777" w:rsidR="00F20BC1" w:rsidRPr="00732221" w:rsidRDefault="00F20BC1" w:rsidP="00F20BC1">
      <w:pPr>
        <w:pStyle w:val="NoSpacing"/>
        <w:ind w:left="720"/>
        <w:rPr>
          <w:bCs/>
        </w:rPr>
      </w:pPr>
      <w:r w:rsidRPr="00732221">
        <w:t>The Court also found relevant Plaintiff’s assertion that Evankovich and Zach</w:t>
      </w:r>
    </w:p>
    <w:p w14:paraId="4B824B45" w14:textId="77777777" w:rsidR="00F20BC1" w:rsidRPr="00732221" w:rsidRDefault="00F20BC1" w:rsidP="00F20BC1">
      <w:pPr>
        <w:pStyle w:val="NoSpacing"/>
        <w:ind w:left="720"/>
        <w:rPr>
          <w:bCs/>
        </w:rPr>
      </w:pPr>
      <w:r w:rsidRPr="00732221">
        <w:t>Osborne, the Butte Silver Bow Fire Chief, attested that they were contacted about</w:t>
      </w:r>
    </w:p>
    <w:p w14:paraId="608E81F6" w14:textId="77777777" w:rsidR="00F20BC1" w:rsidRDefault="00F20BC1" w:rsidP="00F20BC1">
      <w:pPr>
        <w:pStyle w:val="NoSpacing"/>
        <w:ind w:left="720"/>
        <w:rPr>
          <w:bCs/>
        </w:rPr>
      </w:pPr>
      <w:r w:rsidRPr="00732221">
        <w:t>and marketed directly to purchase turnout gear containing Dupont’s PFAS.</w:t>
      </w:r>
      <w:r>
        <w:t>”</w:t>
      </w:r>
    </w:p>
    <w:p w14:paraId="561CA9C9" w14:textId="77777777" w:rsidR="00F20BC1" w:rsidRDefault="00F20BC1" w:rsidP="00F20BC1">
      <w:pPr>
        <w:pStyle w:val="NoSpacing"/>
        <w:ind w:left="720"/>
        <w:rPr>
          <w:bCs/>
        </w:rPr>
      </w:pPr>
    </w:p>
    <w:p w14:paraId="24AA61AF" w14:textId="77777777" w:rsidR="00F20BC1" w:rsidRDefault="00F20BC1" w:rsidP="00F20BC1">
      <w:pPr>
        <w:pStyle w:val="NoSpacing"/>
        <w:rPr>
          <w:b/>
        </w:rPr>
      </w:pPr>
      <w:r>
        <w:rPr>
          <w:b/>
        </w:rPr>
        <w:t xml:space="preserve">Legal lesson learned: Pre-trial discovery will now proceed in this class-action lawsuit. </w:t>
      </w:r>
    </w:p>
    <w:p w14:paraId="37722C00" w14:textId="77777777" w:rsidR="00F20BC1" w:rsidRDefault="00F20BC1" w:rsidP="00F20BC1">
      <w:pPr>
        <w:pStyle w:val="NoSpacing"/>
        <w:rPr>
          <w:b/>
        </w:rPr>
      </w:pPr>
    </w:p>
    <w:p w14:paraId="320EC308" w14:textId="77777777" w:rsidR="00F20BC1" w:rsidRDefault="00F20BC1" w:rsidP="00F20BC1">
      <w:pPr>
        <w:pStyle w:val="NoSpacing"/>
        <w:ind w:left="720"/>
        <w:rPr>
          <w:bCs/>
        </w:rPr>
      </w:pPr>
      <w:r>
        <w:t xml:space="preserve">Note:  </w:t>
      </w:r>
    </w:p>
    <w:p w14:paraId="7B5CEB3C" w14:textId="77777777" w:rsidR="00F20BC1" w:rsidRDefault="00F20BC1" w:rsidP="00F20BC1">
      <w:pPr>
        <w:pStyle w:val="NoSpacing"/>
        <w:ind w:left="720"/>
        <w:rPr>
          <w:bCs/>
        </w:rPr>
      </w:pPr>
    </w:p>
    <w:p w14:paraId="36B95B20" w14:textId="77777777" w:rsidR="00F20BC1" w:rsidRDefault="00F20BC1" w:rsidP="00F20BC1">
      <w:pPr>
        <w:pStyle w:val="NoSpacing"/>
        <w:ind w:left="720"/>
        <w:rPr>
          <w:bCs/>
        </w:rPr>
      </w:pPr>
      <w:r>
        <w:t xml:space="preserve">See Jan. 6, </w:t>
      </w:r>
      <w:proofErr w:type="gramStart"/>
      <w:r>
        <w:t>2025</w:t>
      </w:r>
      <w:proofErr w:type="gramEnd"/>
      <w:r>
        <w:t xml:space="preserve"> law firm press release:  </w:t>
      </w:r>
      <w:r w:rsidRPr="009D04CB">
        <w:t>Montana Court Denies Motions to Dismiss Class-Action Lawsuit Fighting PFAS in Firefighter Turnout</w:t>
      </w:r>
      <w:r>
        <w:t xml:space="preserve"> </w:t>
      </w:r>
      <w:r w:rsidRPr="009D04CB">
        <w:t>Gear</w:t>
      </w:r>
      <w:r>
        <w:t>.</w:t>
      </w:r>
    </w:p>
    <w:p w14:paraId="7FE9BE0D" w14:textId="77777777" w:rsidR="00F20BC1" w:rsidRDefault="00F20BC1" w:rsidP="00F20BC1">
      <w:pPr>
        <w:pStyle w:val="NoSpacing"/>
        <w:ind w:left="720"/>
        <w:rPr>
          <w:bCs/>
        </w:rPr>
      </w:pPr>
      <w:hyperlink r:id="rId416" w:history="1">
        <w:r w:rsidRPr="003004D8">
          <w:rPr>
            <w:rStyle w:val="Hyperlink"/>
          </w:rPr>
          <w:t>https://www.hbsslaw.com/press/pfas-firefighter-turnout-gear/montana-court-denies-motions-to-dismiss-class-action-lawsuit-fighting-pfas-in-firefighter-turnout-gear</w:t>
        </w:r>
      </w:hyperlink>
      <w:r>
        <w:t xml:space="preserve"> </w:t>
      </w:r>
    </w:p>
    <w:p w14:paraId="452CFA59" w14:textId="77777777" w:rsidR="00F20BC1" w:rsidRDefault="00F20BC1" w:rsidP="00F20BC1">
      <w:pPr>
        <w:ind w:left="720"/>
        <w:rPr>
          <w:bCs/>
        </w:rPr>
      </w:pPr>
      <w:r>
        <w:t>“</w:t>
      </w:r>
      <w:r w:rsidRPr="00105A76">
        <w:t xml:space="preserve">A Montana federal judge today denied motions to dismiss a class-action lawsuit brought by attorneys at law firms Hagens Berman, Heenan &amp; Cook and Bliven Law Firm to combat </w:t>
      </w:r>
      <w:hyperlink r:id="rId417" w:history="1">
        <w:r w:rsidRPr="00105A76">
          <w:rPr>
            <w:rStyle w:val="Hyperlink"/>
          </w:rPr>
          <w:t>toxic “forever chemicals” in firefighter turnout gear sold by DuPont/Chemours, 3M</w:t>
        </w:r>
      </w:hyperlink>
      <w:r w:rsidRPr="00105A76">
        <w:t xml:space="preserve"> and other major corporations. The firms represent the city and county of Butte-Silver Bow, Montana, to assist them and other municipalities in abating the costly premature </w:t>
      </w:r>
      <w:r w:rsidRPr="00105A76">
        <w:lastRenderedPageBreak/>
        <w:t>gear replacements faced due to the rampant health risks of perfluoroalkyl and polyfluoroalkyl substances (PFAS).</w:t>
      </w:r>
      <w:r>
        <w:t xml:space="preserve"> *** </w:t>
      </w:r>
      <w:r w:rsidRPr="001C3C1C">
        <w:t xml:space="preserve">The court rejected the defendants’ argument that they were engaging in ordinary commercial activities, explaining that </w:t>
      </w:r>
      <w:r>
        <w:t>‘</w:t>
      </w:r>
      <w:r w:rsidRPr="001C3C1C">
        <w:t>Defendants could not have achieved their goals of selling PFAS and turnout gear containing PFAS if Defendants’ knowledge of the harms of PFAS had been exposed. These actions by Defendants, allegedly acting together to conceal the known dangers of PFAS, do not constitute merely normal or ordinary commercial relationships.</w:t>
      </w:r>
      <w:r>
        <w:t>’”</w:t>
      </w:r>
    </w:p>
    <w:p w14:paraId="698D0B76" w14:textId="77777777" w:rsidR="00F20BC1" w:rsidRDefault="00F20BC1" w:rsidP="00F20BC1">
      <w:pPr>
        <w:ind w:left="720"/>
        <w:rPr>
          <w:bCs/>
        </w:rPr>
      </w:pPr>
      <w:r>
        <w:t xml:space="preserve">See the April 4, 2025 law firm press release </w:t>
      </w:r>
      <w:r w:rsidRPr="00E84B6A">
        <w:t>Butte, Montana Files Class-Action Lawsuit Fighting PFAS in Firefighter Turnout Gear to Aid Those Facing Costly Replacements</w:t>
      </w:r>
      <w:r>
        <w:t>.</w:t>
      </w:r>
      <w:hyperlink r:id="rId418" w:history="1">
        <w:r w:rsidRPr="003004D8">
          <w:rPr>
            <w:rStyle w:val="Hyperlink"/>
          </w:rPr>
          <w:t>https://www.hbsslaw.com/press/pfas-firefighter-turnout-gear/butte-montana-files-class-action-lawsuit-fighting-pfas-in-firefighter-turnout-gear-to-aid-those-facing-costly-replacements</w:t>
        </w:r>
      </w:hyperlink>
      <w:r>
        <w:t xml:space="preserve"> </w:t>
      </w:r>
    </w:p>
    <w:p w14:paraId="62FD939E" w14:textId="77777777" w:rsidR="00F20BC1" w:rsidRPr="000C43B0" w:rsidRDefault="00F20BC1" w:rsidP="00F20BC1">
      <w:pPr>
        <w:ind w:left="720"/>
        <w:rPr>
          <w:bCs/>
        </w:rPr>
      </w:pPr>
    </w:p>
    <w:p w14:paraId="3B0E7038" w14:textId="351507DD" w:rsidR="00F20BC1" w:rsidRDefault="00F20BC1" w:rsidP="00F20BC1">
      <w:pPr>
        <w:rPr>
          <w:rFonts w:ascii="Arial Black" w:hAnsi="Arial Black"/>
          <w:sz w:val="24"/>
          <w:szCs w:val="24"/>
        </w:rPr>
      </w:pPr>
      <w:r w:rsidRPr="000C43B0">
        <w:t xml:space="preserve">See </w:t>
      </w:r>
      <w:r>
        <w:t xml:space="preserve">Jan. 9, </w:t>
      </w:r>
      <w:proofErr w:type="gramStart"/>
      <w:r>
        <w:t>2026</w:t>
      </w:r>
      <w:proofErr w:type="gramEnd"/>
      <w:r>
        <w:t xml:space="preserve"> </w:t>
      </w:r>
      <w:r w:rsidRPr="000C43B0">
        <w:t>case: UNIFORMED PROFESSIONAL FIRE FIGHTERS ASSOCIATION OF CONNECTICUT, et al. v. 3M, et al.</w:t>
      </w:r>
      <w:r>
        <w:t xml:space="preserve"> </w:t>
      </w:r>
      <w:hyperlink r:id="rId419" w:history="1">
        <w:r w:rsidRPr="002B4D2D">
          <w:rPr>
            <w:rStyle w:val="Hyperlink"/>
          </w:rPr>
          <w:t>https://www.casemine.com/judgement/us/6963a657827d4c0685d5653a</w:t>
        </w:r>
      </w:hyperlink>
    </w:p>
    <w:p w14:paraId="2B390073" w14:textId="77777777" w:rsidR="00956699" w:rsidRDefault="00956699" w:rsidP="00646EE3">
      <w:pPr>
        <w:rPr>
          <w:rFonts w:ascii="Arial Black" w:hAnsi="Arial Black"/>
          <w:sz w:val="24"/>
          <w:szCs w:val="24"/>
        </w:rPr>
      </w:pPr>
    </w:p>
    <w:p w14:paraId="7C57DC48" w14:textId="4A9AAF04" w:rsidR="00016469" w:rsidRDefault="00956699" w:rsidP="00646EE3">
      <w:pPr>
        <w:rPr>
          <w:rFonts w:ascii="Arial Black" w:hAnsi="Arial Black"/>
          <w:sz w:val="24"/>
          <w:szCs w:val="24"/>
        </w:rPr>
      </w:pPr>
      <w:r>
        <w:rPr>
          <w:rFonts w:ascii="Arial Black" w:hAnsi="Arial Black"/>
          <w:sz w:val="24"/>
          <w:szCs w:val="24"/>
        </w:rPr>
        <w:t>2-99</w:t>
      </w:r>
    </w:p>
    <w:p w14:paraId="08D06CDE" w14:textId="29660A02" w:rsidR="00956699" w:rsidRPr="00956699" w:rsidRDefault="00956699" w:rsidP="00956699">
      <w:pPr>
        <w:pStyle w:val="NoSpacing"/>
        <w:rPr>
          <w:rFonts w:ascii="Times New Roman" w:hAnsi="Times New Roman"/>
          <w:b/>
          <w:bCs/>
          <w:sz w:val="24"/>
          <w:szCs w:val="24"/>
        </w:rPr>
      </w:pPr>
      <w:r>
        <w:rPr>
          <w:rFonts w:ascii="Arial Black" w:hAnsi="Arial Black"/>
          <w:sz w:val="28"/>
          <w:szCs w:val="28"/>
        </w:rPr>
        <w:t>FL: “HALO LAW”  – 25 FEET NO APPROACH ZONE</w:t>
      </w:r>
      <w:r>
        <w:t xml:space="preserve">  </w:t>
      </w:r>
      <w:r w:rsidRPr="00E96FEA">
        <w:rPr>
          <w:rFonts w:ascii="Arial Black" w:hAnsi="Arial Black"/>
          <w:sz w:val="28"/>
          <w:szCs w:val="28"/>
        </w:rPr>
        <w:t xml:space="preserve">- </w:t>
      </w:r>
      <w:r>
        <w:rPr>
          <w:rFonts w:ascii="Arial Black" w:hAnsi="Arial Black"/>
          <w:sz w:val="28"/>
          <w:szCs w:val="28"/>
        </w:rPr>
        <w:t xml:space="preserve">Eff. </w:t>
      </w:r>
      <w:r w:rsidRPr="00E96FEA">
        <w:rPr>
          <w:rFonts w:ascii="Arial Black" w:hAnsi="Arial Black"/>
          <w:sz w:val="28"/>
          <w:szCs w:val="28"/>
        </w:rPr>
        <w:t>1/1/2025</w:t>
      </w:r>
      <w:r>
        <w:rPr>
          <w:rFonts w:ascii="Arial Black" w:hAnsi="Arial Black"/>
          <w:sz w:val="28"/>
          <w:szCs w:val="28"/>
        </w:rPr>
        <w:t xml:space="preserve">  </w:t>
      </w:r>
      <w:r w:rsidRPr="00956699">
        <w:rPr>
          <w:rFonts w:ascii="Times New Roman" w:hAnsi="Times New Roman"/>
          <w:b/>
          <w:bCs/>
          <w:sz w:val="24"/>
          <w:szCs w:val="24"/>
        </w:rPr>
        <w:t xml:space="preserve">[also filed, Chap. </w:t>
      </w:r>
      <w:r>
        <w:rPr>
          <w:rFonts w:ascii="Times New Roman" w:hAnsi="Times New Roman"/>
          <w:b/>
          <w:bCs/>
          <w:sz w:val="24"/>
          <w:szCs w:val="24"/>
        </w:rPr>
        <w:t>18</w:t>
      </w:r>
      <w:r w:rsidRPr="00956699">
        <w:rPr>
          <w:rFonts w:ascii="Times New Roman" w:hAnsi="Times New Roman"/>
          <w:b/>
          <w:bCs/>
          <w:sz w:val="24"/>
          <w:szCs w:val="24"/>
        </w:rPr>
        <w:t>]</w:t>
      </w:r>
    </w:p>
    <w:p w14:paraId="3EED2F7B" w14:textId="77777777" w:rsidR="00956699" w:rsidRDefault="00956699" w:rsidP="00956699">
      <w:pPr>
        <w:pStyle w:val="NoSpacing"/>
      </w:pPr>
    </w:p>
    <w:p w14:paraId="2C4354D1" w14:textId="77777777" w:rsidR="00956699" w:rsidRPr="009564B9" w:rsidRDefault="00956699" w:rsidP="00956699">
      <w:pPr>
        <w:pStyle w:val="NoSpacing"/>
        <w:rPr>
          <w:b/>
        </w:rPr>
      </w:pPr>
      <w:r>
        <w:t xml:space="preserve">On January 1, 2025, the new “Halo Law” became effective. On April 12, 2024, Governor Ron DeSantis </w:t>
      </w:r>
      <w:proofErr w:type="gramStart"/>
      <w:r>
        <w:t>signed into law</w:t>
      </w:r>
      <w:proofErr w:type="gramEnd"/>
      <w:r>
        <w:t xml:space="preserve"> the Halo Law, passed under House Bill 184, </w:t>
      </w:r>
      <w:r w:rsidRPr="009564B9">
        <w:t>Impeding, Threatening, or Harassing First Responders</w:t>
      </w:r>
      <w:r>
        <w:t xml:space="preserve">. </w:t>
      </w:r>
      <w:hyperlink r:id="rId420" w:history="1">
        <w:r w:rsidRPr="00734647">
          <w:rPr>
            <w:rStyle w:val="Hyperlink"/>
          </w:rPr>
          <w:t>https://www.flhouse.gov/Sections/Bills/billsdetail.aspx?BillId=78745</w:t>
        </w:r>
      </w:hyperlink>
      <w:r>
        <w:t xml:space="preserve"> </w:t>
      </w:r>
    </w:p>
    <w:p w14:paraId="2E19B0E4" w14:textId="77777777" w:rsidR="00956699" w:rsidRDefault="00956699" w:rsidP="00956699">
      <w:pPr>
        <w:pStyle w:val="NoSpacing"/>
      </w:pPr>
    </w:p>
    <w:p w14:paraId="2AA3E1F0" w14:textId="77777777" w:rsidR="00956699" w:rsidRDefault="00956699" w:rsidP="00956699">
      <w:pPr>
        <w:pStyle w:val="NoSpacing"/>
      </w:pPr>
      <w:r>
        <w:t xml:space="preserve">Read the statute: </w:t>
      </w:r>
      <w:hyperlink r:id="rId421" w:history="1">
        <w:r w:rsidRPr="00734647">
          <w:rPr>
            <w:rStyle w:val="Hyperlink"/>
          </w:rPr>
          <w:t>https://www.flhouse.gov/Sections/Documents/loaddoc.aspx?FileName=_s0184er.DOCX&amp;DocumentType=Bill&amp;BillNumber=184&amp;Session=2024</w:t>
        </w:r>
      </w:hyperlink>
      <w:r>
        <w:t xml:space="preserve"> </w:t>
      </w:r>
    </w:p>
    <w:p w14:paraId="6C1F761F" w14:textId="77777777" w:rsidR="00956699" w:rsidRDefault="00956699" w:rsidP="00956699">
      <w:pPr>
        <w:pStyle w:val="NoSpacing"/>
      </w:pPr>
      <w:r>
        <w:t>Section 1</w:t>
      </w:r>
    </w:p>
    <w:p w14:paraId="0E037D79" w14:textId="77777777" w:rsidR="00956699" w:rsidRDefault="00956699" w:rsidP="00956699">
      <w:pPr>
        <w:pStyle w:val="NoSpacing"/>
      </w:pPr>
      <w:r>
        <w:t>Approaching a first responder with specified intent after a warning</w:t>
      </w:r>
    </w:p>
    <w:p w14:paraId="36F14853" w14:textId="77777777" w:rsidR="00956699" w:rsidRDefault="00956699" w:rsidP="00956699">
      <w:pPr>
        <w:pStyle w:val="NoSpacing"/>
      </w:pPr>
      <w:r>
        <w:t>(1) As used in this section, the term:</w:t>
      </w:r>
    </w:p>
    <w:p w14:paraId="617068EC" w14:textId="77777777" w:rsidR="00956699" w:rsidRDefault="00956699" w:rsidP="00956699">
      <w:pPr>
        <w:pStyle w:val="NoSpacing"/>
      </w:pPr>
      <w:r>
        <w:t>(a) “First responder” includes a law enforcement officer as defined in s. 943.10(1), a correctional probation officer as defined in s. 943.10(3), a firefighter as defined in s784.07(1), and an emergency medical care provider as defined in s. 784.07(1)</w:t>
      </w:r>
    </w:p>
    <w:p w14:paraId="30761E98" w14:textId="77777777" w:rsidR="00956699" w:rsidRDefault="00956699" w:rsidP="00956699">
      <w:pPr>
        <w:pStyle w:val="NoSpacing"/>
      </w:pPr>
      <w:r>
        <w:t>(b) “Harass” means to willfully engage in a course of conduct directed at a first responder which intentionally causes substantial emotional distress in that first responder and serves no legitimate purpose.</w:t>
      </w:r>
    </w:p>
    <w:p w14:paraId="3E808689" w14:textId="77777777" w:rsidR="00956699" w:rsidRDefault="00956699" w:rsidP="00956699">
      <w:pPr>
        <w:pStyle w:val="NoSpacing"/>
      </w:pPr>
      <w:r>
        <w:t>(2)(a) It is unlawful for a person, after receiving a verbal warning not to approach from a person he or she knows or reasonably should know is a first responder, who is engaged in the lawful performance of a legal duty, to knowingly and willfully violate such warning and approach or remain within 25 feet of the first responder with the intent to:</w:t>
      </w:r>
    </w:p>
    <w:p w14:paraId="63B5FD06" w14:textId="77777777" w:rsidR="00956699" w:rsidRDefault="00956699" w:rsidP="00956699">
      <w:pPr>
        <w:pStyle w:val="NoSpacing"/>
      </w:pPr>
      <w:r>
        <w:t>1. Impede or interfere with the first responder’s ability to perform such duty;</w:t>
      </w:r>
    </w:p>
    <w:p w14:paraId="57B8C56A" w14:textId="77777777" w:rsidR="00956699" w:rsidRDefault="00956699" w:rsidP="00956699">
      <w:pPr>
        <w:pStyle w:val="NoSpacing"/>
      </w:pPr>
      <w:r>
        <w:t>2. Threaten the first responder with physical harm; or</w:t>
      </w:r>
    </w:p>
    <w:p w14:paraId="667A6579" w14:textId="77777777" w:rsidR="00956699" w:rsidRDefault="00956699" w:rsidP="00956699">
      <w:pPr>
        <w:pStyle w:val="NoSpacing"/>
      </w:pPr>
      <w:r>
        <w:t>3. Harass the first responder.</w:t>
      </w:r>
    </w:p>
    <w:p w14:paraId="0093B75D" w14:textId="77777777" w:rsidR="00956699" w:rsidRDefault="00956699" w:rsidP="00956699">
      <w:pPr>
        <w:pStyle w:val="NoSpacing"/>
      </w:pPr>
      <w:r>
        <w:t>(b) A person who violates this subsection commits a misdemeanor of the second degree, punishable as provided in s. 775.082 or s. 775.083.40</w:t>
      </w:r>
    </w:p>
    <w:p w14:paraId="3DEE2D8C" w14:textId="77777777" w:rsidR="00956699" w:rsidRDefault="00956699" w:rsidP="00956699">
      <w:pPr>
        <w:pStyle w:val="NoSpacing"/>
      </w:pPr>
      <w:r>
        <w:t>Section 2. This act shall take effect January 1, 2025.</w:t>
      </w:r>
    </w:p>
    <w:p w14:paraId="755627A1" w14:textId="77777777" w:rsidR="00956699" w:rsidRDefault="00956699" w:rsidP="00956699">
      <w:pPr>
        <w:pStyle w:val="NoSpacing"/>
      </w:pPr>
    </w:p>
    <w:p w14:paraId="053B33A4" w14:textId="77777777" w:rsidR="00956699" w:rsidRPr="00313F24" w:rsidRDefault="00956699" w:rsidP="00956699">
      <w:pPr>
        <w:pStyle w:val="NoSpacing"/>
        <w:rPr>
          <w:b/>
          <w:bCs/>
        </w:rPr>
      </w:pPr>
      <w:r>
        <w:rPr>
          <w:b/>
        </w:rPr>
        <w:t xml:space="preserve">Legal lesson learned: An excellent statute; hopefully similar laws will be enacted in many other </w:t>
      </w:r>
      <w:proofErr w:type="gramStart"/>
      <w:r>
        <w:rPr>
          <w:b/>
        </w:rPr>
        <w:t>state</w:t>
      </w:r>
      <w:proofErr w:type="gramEnd"/>
      <w:r>
        <w:rPr>
          <w:b/>
        </w:rPr>
        <w:t xml:space="preserve">. </w:t>
      </w:r>
    </w:p>
    <w:p w14:paraId="4B38E0A3" w14:textId="77777777" w:rsidR="00956699" w:rsidRDefault="00956699" w:rsidP="00956699">
      <w:pPr>
        <w:pStyle w:val="NoSpacing"/>
      </w:pPr>
    </w:p>
    <w:p w14:paraId="600EA0AF" w14:textId="77777777" w:rsidR="00956699" w:rsidRPr="00F642E3" w:rsidRDefault="00956699" w:rsidP="00956699">
      <w:pPr>
        <w:pStyle w:val="NoSpacing"/>
        <w:ind w:left="720"/>
        <w:rPr>
          <w:b/>
        </w:rPr>
      </w:pPr>
      <w:r>
        <w:lastRenderedPageBreak/>
        <w:t xml:space="preserve">Note: Jan. 28, 2026:  </w:t>
      </w:r>
      <w:r w:rsidRPr="00F642E3">
        <w:rPr>
          <w:b/>
        </w:rPr>
        <w:t>Man arrested under Florida's Halo Law</w:t>
      </w:r>
      <w:r>
        <w:rPr>
          <w:b/>
        </w:rPr>
        <w:t xml:space="preserve">. </w:t>
      </w:r>
      <w:hyperlink r:id="rId422" w:history="1">
        <w:r w:rsidRPr="00734647">
          <w:rPr>
            <w:rStyle w:val="Hyperlink"/>
            <w:b/>
          </w:rPr>
          <w:t>https://www.youtube.com/watch?v=US5dFGLzqQo</w:t>
        </w:r>
      </w:hyperlink>
      <w:r>
        <w:rPr>
          <w:b/>
        </w:rPr>
        <w:t xml:space="preserve"> </w:t>
      </w:r>
    </w:p>
    <w:p w14:paraId="2C3740C1" w14:textId="77777777" w:rsidR="00956699" w:rsidRPr="00210AB7" w:rsidRDefault="00956699" w:rsidP="00956699">
      <w:pPr>
        <w:pStyle w:val="NoSpacing"/>
        <w:ind w:firstLine="720"/>
        <w:rPr>
          <w:b/>
        </w:rPr>
      </w:pPr>
      <w:r w:rsidRPr="00210AB7">
        <w:rPr>
          <w:b/>
        </w:rPr>
        <w:t>What Is the Halo Law?</w:t>
      </w:r>
    </w:p>
    <w:p w14:paraId="5EBBE428" w14:textId="77777777" w:rsidR="00956699" w:rsidRPr="00210AB7" w:rsidRDefault="00956699" w:rsidP="00956699">
      <w:pPr>
        <w:pStyle w:val="NoSpacing"/>
        <w:ind w:left="720"/>
      </w:pPr>
      <w:r w:rsidRPr="00210AB7">
        <w:t xml:space="preserve">The Halo Law, passed under </w:t>
      </w:r>
      <w:r w:rsidRPr="00210AB7">
        <w:rPr>
          <w:b/>
        </w:rPr>
        <w:t>House Bill 184</w:t>
      </w:r>
      <w:r w:rsidRPr="00210AB7">
        <w:t xml:space="preserve">, was signed into law by Governor Ron DeSantis in April 2024. It establishes a </w:t>
      </w:r>
      <w:r w:rsidRPr="00210AB7">
        <w:rPr>
          <w:b/>
        </w:rPr>
        <w:t>25-foot no-approach zone</w:t>
      </w:r>
      <w:r w:rsidRPr="00210AB7">
        <w:t xml:space="preserve"> around first responders engaged in their official duties. If someone is verbally warned to stay back and continues to approach within this zone, they could face penalties, including fines and potential jail time.</w:t>
      </w:r>
    </w:p>
    <w:p w14:paraId="692CCDA3" w14:textId="77777777" w:rsidR="00956699" w:rsidRPr="00210AB7" w:rsidRDefault="00956699" w:rsidP="00956699">
      <w:pPr>
        <w:pStyle w:val="NoSpacing"/>
        <w:ind w:left="720"/>
      </w:pPr>
      <w:r w:rsidRPr="00210AB7">
        <w:t>Sheriff Grady Judd of Polk County has been a vocal advocate for the law, emphasizing that it does not restrict the public’s right to record first responders but aims to prevent interference or harassment while they work.</w:t>
      </w:r>
      <w:r>
        <w:t xml:space="preserve"> </w:t>
      </w:r>
      <w:hyperlink r:id="rId423" w:history="1">
        <w:r w:rsidRPr="00FF51FB">
          <w:rPr>
            <w:rStyle w:val="Hyperlink"/>
          </w:rPr>
          <w:t>https://www.muscalaw.com/blog/understanding-floridas-new-halo-law-and-its-impact-first-amendment-rights</w:t>
        </w:r>
      </w:hyperlink>
      <w:r>
        <w:t xml:space="preserve"> </w:t>
      </w:r>
    </w:p>
    <w:p w14:paraId="76D9D0C3" w14:textId="77777777" w:rsidR="00956699" w:rsidRDefault="00956699" w:rsidP="00956699">
      <w:pPr>
        <w:pStyle w:val="NoSpacing"/>
      </w:pPr>
    </w:p>
    <w:p w14:paraId="1D2AADEC" w14:textId="77777777" w:rsidR="00956699" w:rsidRDefault="00956699" w:rsidP="00956699">
      <w:pPr>
        <w:pStyle w:val="NoSpacing"/>
      </w:pPr>
    </w:p>
    <w:p w14:paraId="095EEB90" w14:textId="77777777" w:rsidR="00956699" w:rsidRDefault="00956699" w:rsidP="00956699">
      <w:pPr>
        <w:pStyle w:val="NoSpacing"/>
        <w:ind w:left="720"/>
        <w:rPr>
          <w:b/>
        </w:rPr>
      </w:pPr>
      <w:r>
        <w:t xml:space="preserve">See also: ACLU of Florida: </w:t>
      </w:r>
      <w:r w:rsidRPr="00F41534">
        <w:t>HB 75/SB 184 - Criminalizing Bystanders for Exercising First Amendment Rights</w:t>
      </w:r>
      <w:r>
        <w:t xml:space="preserve">. </w:t>
      </w:r>
      <w:r w:rsidRPr="00910752">
        <w:rPr>
          <w:b/>
        </w:rPr>
        <w:t xml:space="preserve"> </w:t>
      </w:r>
      <w:hyperlink r:id="rId424" w:history="1">
        <w:r w:rsidRPr="00FF51FB">
          <w:rPr>
            <w:rStyle w:val="Hyperlink"/>
            <w:b/>
          </w:rPr>
          <w:t>https://www.aclufl.org/legislation/hb-75sb-184-criminalizing-bystanders-exercising-first-amendment-rights/</w:t>
        </w:r>
      </w:hyperlink>
      <w:r>
        <w:rPr>
          <w:b/>
        </w:rPr>
        <w:t xml:space="preserve"> </w:t>
      </w:r>
    </w:p>
    <w:p w14:paraId="197FA8F7" w14:textId="77777777" w:rsidR="00956699" w:rsidRDefault="00956699" w:rsidP="00956699">
      <w:pPr>
        <w:pStyle w:val="NoSpacing"/>
        <w:rPr>
          <w:b/>
        </w:rPr>
      </w:pPr>
    </w:p>
    <w:p w14:paraId="5181C14E" w14:textId="77777777" w:rsidR="00956699" w:rsidRDefault="00956699" w:rsidP="00956699">
      <w:pPr>
        <w:pStyle w:val="NoSpacing"/>
      </w:pPr>
    </w:p>
    <w:p w14:paraId="01111E9F" w14:textId="77777777" w:rsidR="00956699" w:rsidRDefault="00956699" w:rsidP="00646EE3">
      <w:pPr>
        <w:rPr>
          <w:rFonts w:ascii="Arial Black" w:hAnsi="Arial Black"/>
          <w:sz w:val="24"/>
          <w:szCs w:val="24"/>
        </w:rPr>
      </w:pPr>
    </w:p>
    <w:p w14:paraId="55FD9BFD" w14:textId="452D4E55" w:rsidR="0082202A" w:rsidRDefault="00A84727" w:rsidP="00646EE3">
      <w:pPr>
        <w:rPr>
          <w:rFonts w:ascii="Arial Black" w:hAnsi="Arial Black"/>
          <w:sz w:val="24"/>
          <w:szCs w:val="24"/>
        </w:rPr>
      </w:pPr>
      <w:r>
        <w:rPr>
          <w:rFonts w:ascii="Arial Black" w:hAnsi="Arial Black"/>
          <w:sz w:val="24"/>
          <w:szCs w:val="24"/>
        </w:rPr>
        <w:t>2-</w:t>
      </w:r>
      <w:r w:rsidR="008963C8">
        <w:rPr>
          <w:rFonts w:ascii="Arial Black" w:hAnsi="Arial Black"/>
          <w:sz w:val="24"/>
          <w:szCs w:val="24"/>
        </w:rPr>
        <w:t>98</w:t>
      </w:r>
    </w:p>
    <w:p w14:paraId="70297D16" w14:textId="0F151088" w:rsidR="00A84727" w:rsidRPr="00AB2E2B" w:rsidRDefault="00A84727" w:rsidP="00A84727">
      <w:pPr>
        <w:rPr>
          <w:rFonts w:ascii="Arial Black" w:hAnsi="Arial Black"/>
          <w:bCs/>
          <w:sz w:val="28"/>
          <w:szCs w:val="28"/>
        </w:rPr>
      </w:pPr>
      <w:r>
        <w:rPr>
          <w:rFonts w:ascii="Arial Black" w:hAnsi="Arial Black"/>
          <w:sz w:val="28"/>
          <w:szCs w:val="28"/>
        </w:rPr>
        <w:t xml:space="preserve">CT: RUN </w:t>
      </w:r>
      <w:r w:rsidR="00A44AF2">
        <w:rPr>
          <w:rFonts w:ascii="Arial Black" w:hAnsi="Arial Black"/>
          <w:sz w:val="28"/>
          <w:szCs w:val="28"/>
        </w:rPr>
        <w:t xml:space="preserve">FOR </w:t>
      </w:r>
      <w:r>
        <w:rPr>
          <w:rFonts w:ascii="Arial Black" w:hAnsi="Arial Black"/>
          <w:sz w:val="28"/>
          <w:szCs w:val="28"/>
        </w:rPr>
        <w:t>SMOKE</w:t>
      </w:r>
      <w:r w:rsidR="00A44AF2">
        <w:rPr>
          <w:rFonts w:ascii="Arial Black" w:hAnsi="Arial Black"/>
          <w:sz w:val="28"/>
          <w:szCs w:val="28"/>
        </w:rPr>
        <w:t xml:space="preserve"> AREA</w:t>
      </w:r>
      <w:r>
        <w:rPr>
          <w:rFonts w:ascii="Arial Black" w:hAnsi="Arial Black"/>
          <w:sz w:val="28"/>
          <w:szCs w:val="28"/>
        </w:rPr>
        <w:t xml:space="preserve"> – THREAT TO SHOOT FF - 14 MONTHS </w:t>
      </w:r>
    </w:p>
    <w:p w14:paraId="02B0B01A" w14:textId="77777777" w:rsidR="00A84727" w:rsidRDefault="00A84727" w:rsidP="00A84727">
      <w:r>
        <w:t xml:space="preserve">On December 23, 2025, in </w:t>
      </w:r>
      <w:r w:rsidRPr="00CA0F9D">
        <w:rPr>
          <w:u w:val="single"/>
        </w:rPr>
        <w:t>State of Connecticut v. David Valle</w:t>
      </w:r>
      <w:r>
        <w:t xml:space="preserve">, the Court of Appeals of Connecticut held (3 to 0) that jury properly found homeowner guilty of one count of threatening in the second degree, and one count of interfering with an officer, and two counts of cruelty to animals. The defendant “got right into [Captain’s] face’’ and said that the shed was his smokehouse, that he was smoking a deer inside of it, and that he would ‘put a bullet in every one of [the firefighters’] heads if [they] didn’t get off his property.’ </w:t>
      </w:r>
      <w:hyperlink r:id="rId425" w:history="1">
        <w:r w:rsidRPr="003C581C">
          <w:rPr>
            <w:rStyle w:val="Hyperlink"/>
            <w:b/>
          </w:rPr>
          <w:t>https://cases.justia.com/connecticut/court-of-appeals/2025-ac46735.pdf?ts=1766582340</w:t>
        </w:r>
      </w:hyperlink>
    </w:p>
    <w:p w14:paraId="4F6099B4" w14:textId="77777777" w:rsidR="00A84727" w:rsidRDefault="00A84727" w:rsidP="00A84727">
      <w:r>
        <w:t>THE COURT HELD:</w:t>
      </w:r>
    </w:p>
    <w:p w14:paraId="47F57A70" w14:textId="77777777" w:rsidR="00A84727" w:rsidRPr="002E2696" w:rsidRDefault="00A84727" w:rsidP="00A84727">
      <w:pPr>
        <w:pStyle w:val="NoSpacing"/>
        <w:ind w:left="720"/>
      </w:pPr>
      <w:r>
        <w:t>“</w:t>
      </w:r>
      <w:r w:rsidRPr="002E2696">
        <w:t>On the evening of December 1, 2020, the Bridgeport Fire Department (fire department) was dispatched</w:t>
      </w:r>
      <w:r>
        <w:t xml:space="preserve"> </w:t>
      </w:r>
      <w:r w:rsidRPr="002E2696">
        <w:t>to the vicinity of Wayne Street following a report of</w:t>
      </w:r>
      <w:r>
        <w:t xml:space="preserve"> </w:t>
      </w:r>
      <w:r w:rsidRPr="002E2696">
        <w:t>smoke in the area. The responding firefighters noticed</w:t>
      </w:r>
      <w:r>
        <w:t xml:space="preserve"> </w:t>
      </w:r>
      <w:r w:rsidRPr="002E2696">
        <w:t>smoke coming from behind a stockade fence at 675</w:t>
      </w:r>
    </w:p>
    <w:p w14:paraId="2F6708AF" w14:textId="77777777" w:rsidR="00A84727" w:rsidRDefault="00A84727" w:rsidP="00A84727">
      <w:pPr>
        <w:pStyle w:val="NoSpacing"/>
        <w:ind w:left="720"/>
      </w:pPr>
      <w:r w:rsidRPr="002E2696">
        <w:t>Wayne Street. Scott Boris, then a captain with the fire</w:t>
      </w:r>
      <w:r>
        <w:t xml:space="preserve"> </w:t>
      </w:r>
      <w:r w:rsidRPr="002E2696">
        <w:t>department, entered the property to investigate and</w:t>
      </w:r>
      <w:r>
        <w:t xml:space="preserve"> </w:t>
      </w:r>
      <w:r w:rsidRPr="002E2696">
        <w:t xml:space="preserve">saw a three-sided </w:t>
      </w:r>
      <w:proofErr w:type="gramStart"/>
      <w:r w:rsidRPr="002E2696">
        <w:t>shed</w:t>
      </w:r>
      <w:r>
        <w:t xml:space="preserve"> </w:t>
      </w:r>
      <w:r w:rsidRPr="002E2696">
        <w:t>like</w:t>
      </w:r>
      <w:proofErr w:type="gramEnd"/>
      <w:r w:rsidRPr="002E2696">
        <w:t xml:space="preserve"> structure aflame with smoke</w:t>
      </w:r>
      <w:r>
        <w:t xml:space="preserve"> </w:t>
      </w:r>
      <w:r w:rsidRPr="002E2696">
        <w:t>billowing from the top. When Boris opened the gate to</w:t>
      </w:r>
      <w:r>
        <w:t xml:space="preserve"> </w:t>
      </w:r>
      <w:r w:rsidRPr="002E2696">
        <w:t xml:space="preserve">the fence, a ‘‘tiny and </w:t>
      </w:r>
      <w:proofErr w:type="gramStart"/>
      <w:r w:rsidRPr="002E2696">
        <w:t>frail,’</w:t>
      </w:r>
      <w:proofErr w:type="gramEnd"/>
      <w:r w:rsidRPr="002E2696">
        <w:t xml:space="preserve">’ ‘‘unhealthy </w:t>
      </w:r>
      <w:proofErr w:type="gramStart"/>
      <w:r w:rsidRPr="002E2696">
        <w:t>looking’’</w:t>
      </w:r>
      <w:proofErr w:type="gramEnd"/>
      <w:r w:rsidRPr="002E2696">
        <w:t xml:space="preserve"> dog,</w:t>
      </w:r>
      <w:r>
        <w:t xml:space="preserve"> </w:t>
      </w:r>
      <w:r w:rsidRPr="002E2696">
        <w:t>later identified as Sheeba, ran toward him. Boris also</w:t>
      </w:r>
      <w:r>
        <w:t xml:space="preserve"> </w:t>
      </w:r>
      <w:r w:rsidRPr="002E2696">
        <w:t>noticed a kennel behind the shed with another</w:t>
      </w:r>
      <w:r>
        <w:t xml:space="preserve"> </w:t>
      </w:r>
      <w:proofErr w:type="gramStart"/>
      <w:r w:rsidRPr="002E2696">
        <w:t>unhealthy looking</w:t>
      </w:r>
      <w:proofErr w:type="gramEnd"/>
      <w:r w:rsidRPr="002E2696">
        <w:t xml:space="preserve"> dog, later identified as Honey,</w:t>
      </w:r>
      <w:r>
        <w:t xml:space="preserve"> </w:t>
      </w:r>
      <w:r w:rsidRPr="002E2696">
        <w:t>locked inside.</w:t>
      </w:r>
      <w:r>
        <w:t xml:space="preserve"> </w:t>
      </w:r>
      <w:r w:rsidRPr="002E2696">
        <w:t>As the fire department was attempting to extinguish</w:t>
      </w:r>
      <w:r>
        <w:t xml:space="preserve"> </w:t>
      </w:r>
      <w:r w:rsidRPr="002E2696">
        <w:t>the fire, a man exited the residence and told Boris</w:t>
      </w:r>
      <w:r>
        <w:t xml:space="preserve"> </w:t>
      </w:r>
      <w:r w:rsidRPr="002E2696">
        <w:t>that he was burning wood and did not want the fire</w:t>
      </w:r>
      <w:r>
        <w:t xml:space="preserve"> </w:t>
      </w:r>
      <w:r w:rsidRPr="002E2696">
        <w:t>extinguished. Boris explained to the man that a Bridgeport city ordinance prohibited such fires and that the</w:t>
      </w:r>
      <w:r>
        <w:t xml:space="preserve"> </w:t>
      </w:r>
      <w:r w:rsidRPr="002E2696">
        <w:t>fire department was required to extinguish it. The man</w:t>
      </w:r>
      <w:r>
        <w:t xml:space="preserve"> </w:t>
      </w:r>
      <w:r w:rsidRPr="002E2696">
        <w:t xml:space="preserve">went back inside the </w:t>
      </w:r>
      <w:proofErr w:type="gramStart"/>
      <w:r w:rsidRPr="002E2696">
        <w:t>house</w:t>
      </w:r>
      <w:proofErr w:type="gramEnd"/>
      <w:r w:rsidRPr="002E2696">
        <w:t xml:space="preserve"> and Boris called the Bridgeport Police Department (police department) for assistance. A short time later, the same man came back</w:t>
      </w:r>
      <w:r>
        <w:t xml:space="preserve"> </w:t>
      </w:r>
      <w:r w:rsidRPr="002E2696">
        <w:t xml:space="preserve">outside </w:t>
      </w:r>
      <w:proofErr w:type="gramStart"/>
      <w:r w:rsidRPr="002E2696">
        <w:t>and,</w:t>
      </w:r>
      <w:proofErr w:type="gramEnd"/>
      <w:r w:rsidRPr="002E2696">
        <w:t xml:space="preserve"> now agitated and yelling, told Boris that</w:t>
      </w:r>
      <w:r>
        <w:t xml:space="preserve"> </w:t>
      </w:r>
      <w:r w:rsidRPr="002E2696">
        <w:t>the homeowner was on his way and wanted the fire</w:t>
      </w:r>
      <w:r>
        <w:t xml:space="preserve"> </w:t>
      </w:r>
      <w:r w:rsidRPr="002E2696">
        <w:t>department off the property.</w:t>
      </w:r>
    </w:p>
    <w:p w14:paraId="1EC4EDEE" w14:textId="77777777" w:rsidR="00A84727" w:rsidRDefault="00A84727" w:rsidP="00A84727">
      <w:pPr>
        <w:pStyle w:val="NoSpacing"/>
      </w:pPr>
    </w:p>
    <w:p w14:paraId="03E87A76" w14:textId="77777777" w:rsidR="00A84727" w:rsidRDefault="00A84727" w:rsidP="00A84727">
      <w:pPr>
        <w:pStyle w:val="NoSpacing"/>
        <w:ind w:left="720"/>
      </w:pPr>
      <w:r>
        <w:t xml:space="preserve">Shortly thereafter, the defendant drove at a high rate of speed toward the residence, slammed on his brakes, jumped out of the vehicle, and charged toward the firefighters. The defendant ‘’got right into [Boris’] </w:t>
      </w:r>
      <w:proofErr w:type="gramStart"/>
      <w:r>
        <w:t>face’’’</w:t>
      </w:r>
      <w:proofErr w:type="gramEnd"/>
      <w:r>
        <w:t xml:space="preserve"> and said that the shed was his smokehouse, that he was smoking a deer inside of it, and that he would ‘put a bullet in every one of [the firefighters’] heads if [they] didn’t get off his property.’ The defendant also attempted to pull the hose away from the firefighters as they attempted to extinguish the fire. While the confrontation between the defendant and the firefighters was ongoing, the police arrived and detained the defendant. During </w:t>
      </w:r>
      <w:r>
        <w:lastRenderedPageBreak/>
        <w:t xml:space="preserve">the ensuing investigation, Hiram Velez, a fire inspector for the city of Bridgeport, found three deceased dogs inside the shed amidst a pile of burned trash and other debris. </w:t>
      </w:r>
    </w:p>
    <w:p w14:paraId="08AEC0C9" w14:textId="77777777" w:rsidR="00A84727" w:rsidRDefault="00A84727" w:rsidP="00A84727">
      <w:pPr>
        <w:pStyle w:val="NoSpacing"/>
        <w:ind w:left="720"/>
      </w:pPr>
    </w:p>
    <w:p w14:paraId="3326902C" w14:textId="77777777" w:rsidR="00A84727" w:rsidRDefault="00A84727" w:rsidP="00A84727">
      <w:pPr>
        <w:pStyle w:val="NoSpacing"/>
        <w:ind w:left="720"/>
      </w:pPr>
      <w:r>
        <w:t>***</w:t>
      </w:r>
    </w:p>
    <w:p w14:paraId="6975C7D1" w14:textId="77777777" w:rsidR="00A84727" w:rsidRDefault="00A84727" w:rsidP="00A84727">
      <w:pPr>
        <w:pStyle w:val="NoSpacing"/>
        <w:ind w:left="720"/>
      </w:pPr>
    </w:p>
    <w:p w14:paraId="667F82FA" w14:textId="77777777" w:rsidR="00A84727" w:rsidRDefault="00A84727" w:rsidP="00A84727">
      <w:pPr>
        <w:ind w:left="720"/>
        <w:rPr>
          <w:b/>
        </w:rPr>
      </w:pPr>
      <w:r w:rsidRPr="004B50B7">
        <w:t>On July 14, 2023, the court imposed a total</w:t>
      </w:r>
      <w:r>
        <w:t xml:space="preserve"> </w:t>
      </w:r>
      <w:r w:rsidRPr="004B50B7">
        <w:t>effective sentence of 1456 days of incarceration, execution suspended after fourteen months, followed by</w:t>
      </w:r>
      <w:r>
        <w:t xml:space="preserve"> </w:t>
      </w:r>
      <w:r w:rsidRPr="004B50B7">
        <w:t>three years of probation. This appeal followed.</w:t>
      </w:r>
      <w:r>
        <w:t xml:space="preserve">” </w:t>
      </w:r>
    </w:p>
    <w:p w14:paraId="44D099CB" w14:textId="77777777" w:rsidR="00A84727" w:rsidRDefault="00A84727" w:rsidP="00A84727">
      <w:pPr>
        <w:rPr>
          <w:b/>
        </w:rPr>
      </w:pPr>
      <w:r>
        <w:rPr>
          <w:b/>
        </w:rPr>
        <w:t xml:space="preserve">Legal lesson learned: FD Captain wisely called police when the resident became belligerent; when the owner of home threatened to </w:t>
      </w:r>
      <w:proofErr w:type="gramStart"/>
      <w:r>
        <w:rPr>
          <w:b/>
        </w:rPr>
        <w:t>shot</w:t>
      </w:r>
      <w:proofErr w:type="gramEnd"/>
      <w:r>
        <w:rPr>
          <w:b/>
        </w:rPr>
        <w:t xml:space="preserve"> firefighters, police were there to make a prompt arrest.  </w:t>
      </w:r>
    </w:p>
    <w:p w14:paraId="11A8ECF2" w14:textId="77777777" w:rsidR="00A84727" w:rsidRDefault="00A84727" w:rsidP="00A84727">
      <w:pPr>
        <w:ind w:left="720"/>
      </w:pPr>
      <w:r>
        <w:t xml:space="preserve">Note:  The trial court judge dismissed some counts at close of prosecution’s case.  “The defendant argued that it was undisputed that he was not on the property when the fire was discovered and that there was not sufficient evidence to support a finding beyond a reasonable doubt that he started the fire or that he had any connection to the three deceased dogs that were found in the shed.”  All the photos and other exhibits were provided to jury.  Defense failed to object to specific evidence being excluded. </w:t>
      </w:r>
    </w:p>
    <w:p w14:paraId="1896BE7B" w14:textId="77777777" w:rsidR="00A84727" w:rsidRDefault="00A84727" w:rsidP="00A84727">
      <w:pPr>
        <w:pStyle w:val="NoSpacing"/>
      </w:pPr>
    </w:p>
    <w:p w14:paraId="05808F3A" w14:textId="77777777" w:rsidR="00A84727" w:rsidRDefault="00A84727" w:rsidP="00646EE3">
      <w:pPr>
        <w:rPr>
          <w:rFonts w:ascii="Arial Black" w:hAnsi="Arial Black"/>
          <w:sz w:val="24"/>
          <w:szCs w:val="24"/>
        </w:rPr>
      </w:pPr>
    </w:p>
    <w:p w14:paraId="6A847CA2" w14:textId="77777777" w:rsidR="0082202A" w:rsidRDefault="0082202A" w:rsidP="00646EE3">
      <w:pPr>
        <w:rPr>
          <w:rFonts w:ascii="Arial Black" w:hAnsi="Arial Black"/>
          <w:sz w:val="24"/>
          <w:szCs w:val="24"/>
        </w:rPr>
      </w:pPr>
    </w:p>
    <w:p w14:paraId="70BF0A0D" w14:textId="7D561585" w:rsidR="00F039D1" w:rsidRDefault="00F039D1" w:rsidP="00646EE3">
      <w:pPr>
        <w:rPr>
          <w:rFonts w:ascii="Arial Black" w:hAnsi="Arial Black"/>
          <w:sz w:val="24"/>
          <w:szCs w:val="24"/>
        </w:rPr>
      </w:pPr>
      <w:r>
        <w:rPr>
          <w:rFonts w:ascii="Arial Black" w:hAnsi="Arial Black"/>
          <w:sz w:val="24"/>
          <w:szCs w:val="24"/>
        </w:rPr>
        <w:t>2-97</w:t>
      </w:r>
    </w:p>
    <w:p w14:paraId="739C4F01" w14:textId="77777777" w:rsidR="00F039D1" w:rsidRPr="00853198" w:rsidRDefault="00F039D1" w:rsidP="00F039D1">
      <w:pPr>
        <w:rPr>
          <w:rFonts w:ascii="Arial Black" w:hAnsi="Arial Black"/>
          <w:b/>
          <w:sz w:val="28"/>
          <w:szCs w:val="28"/>
        </w:rPr>
      </w:pPr>
      <w:r>
        <w:rPr>
          <w:rFonts w:ascii="Arial Black" w:hAnsi="Arial Black"/>
          <w:b/>
          <w:sz w:val="28"/>
          <w:szCs w:val="28"/>
        </w:rPr>
        <w:t>NY: ARSONIST –- 1994 LODD – MUST STAY PRISON 43 YRS</w:t>
      </w:r>
    </w:p>
    <w:p w14:paraId="4E8FD6CB" w14:textId="77777777" w:rsidR="00F039D1" w:rsidRDefault="00F039D1" w:rsidP="00F039D1">
      <w:pPr>
        <w:rPr>
          <w:b/>
        </w:rPr>
      </w:pPr>
      <w:r>
        <w:t xml:space="preserve">On November 25, 2025, in </w:t>
      </w:r>
      <w:r w:rsidRPr="00461D2E">
        <w:rPr>
          <w:u w:val="single"/>
        </w:rPr>
        <w:t>United States of America v. Alberto Raposo</w:t>
      </w:r>
      <w:r>
        <w:t>, U.S. District Court Judge John P. Cronan, United States District Court for the Southern District of New York, denied the prisoner’s third motion for sentence reduction; he must serve out his sentence of 524 months.   THE COURT WROTE: “</w:t>
      </w:r>
      <w:r w:rsidRPr="003133EB">
        <w:t>On June 5, 1994, Defendant Alberto Raposo set fire to a Manhattan building after a fight with his roommates. Waiting until his roommates were inside, Raposo ignited fires in front of the building's front door and in the subcellar, lobby, and second and fourth floors</w:t>
      </w:r>
      <w:r>
        <w:t xml:space="preserve">…. </w:t>
      </w:r>
      <w:r w:rsidRPr="003133EB">
        <w:t>He then poured oil on the stairs and on the fire escapes, locked the front door even though he had the only key, and removed wires to disable the building's fire alarm</w:t>
      </w:r>
      <w:r>
        <w:t xml:space="preserve">…. </w:t>
      </w:r>
      <w:r w:rsidRPr="003133EB">
        <w:t xml:space="preserve"> Miraculously, Raposo's roommates survived, but New York City Fire Department Lieutenant George Lener died from carbon monoxide poisoning after he bravely responded to the scene.</w:t>
      </w:r>
      <w:r>
        <w:t xml:space="preserve"> *** </w:t>
      </w:r>
      <w:r w:rsidRPr="00853198">
        <w:t>Because of Raposo's actions, a firefighter of fifteen years, a husband, and a father of three young children lost his life</w:t>
      </w:r>
      <w:r>
        <w:t xml:space="preserve">…. </w:t>
      </w:r>
      <w:r w:rsidRPr="00853198">
        <w:t>So although Raposo was young when he committed his crime</w:t>
      </w:r>
      <w:r>
        <w:t xml:space="preserve"> [age 22]</w:t>
      </w:r>
      <w:r w:rsidRPr="00853198">
        <w:t>, received a lengthy sentence for his offense, and appears to have made the most of his time in custody by engaging in rehabilitation efforts, the Court remains convinced that a sentence reduction is not warranted.</w:t>
      </w:r>
      <w:r>
        <w:t>”</w:t>
      </w:r>
      <w:r w:rsidRPr="007612B9">
        <w:t xml:space="preserve"> </w:t>
      </w:r>
      <w:hyperlink r:id="rId426" w:history="1">
        <w:r w:rsidRPr="00A550B3">
          <w:rPr>
            <w:rStyle w:val="Hyperlink"/>
            <w:b/>
          </w:rPr>
          <w:t>https://public.fastcase.com/jaEE2PXzRXmZ99jOLMt1ItgJpO3cenZHWG8%2BVkmKxH1HTTAbABiD6rHSJp3pZ1gN%2FmUtcGj1MYmfK4vUiVXj%2F7KJALcf9RQ89nZBN4g9WoM%3D?utm_medium=email&amp;_hsenc=p2ANqtz-8GKw_r7YMLn5ao1TZxs4WqNRhri-535W3eCNA3JduD9CnJg4Ez99C9vjqiY3t5lfrKsWh0EQkMPqhDg1IfFNoFLO22ZQ&amp;_hsmi=226712652&amp;utm_content=226712652&amp;utm_source=hs_email</w:t>
        </w:r>
      </w:hyperlink>
      <w:r>
        <w:rPr>
          <w:b/>
        </w:rPr>
        <w:t xml:space="preserve"> </w:t>
      </w:r>
    </w:p>
    <w:p w14:paraId="7F300647" w14:textId="77777777" w:rsidR="00F039D1" w:rsidRPr="00390FA3" w:rsidRDefault="00F039D1" w:rsidP="00F039D1">
      <w:pPr>
        <w:rPr>
          <w:bCs/>
        </w:rPr>
      </w:pPr>
      <w:r w:rsidRPr="00390FA3">
        <w:t>THE COURT HELD:</w:t>
      </w:r>
    </w:p>
    <w:p w14:paraId="706DDE81" w14:textId="77777777" w:rsidR="00F039D1" w:rsidRDefault="00F039D1" w:rsidP="00F039D1">
      <w:pPr>
        <w:ind w:left="720"/>
      </w:pPr>
      <w:r>
        <w:t>“</w:t>
      </w:r>
      <w:r w:rsidRPr="00CA78AD">
        <w:t>Following a jury trial, Raposo was found guilty on February 9, 1999, of committing arson of property used in interstate commerce, with death resulting</w:t>
      </w:r>
      <w:r>
        <w:t xml:space="preserve">…. </w:t>
      </w:r>
      <w:r w:rsidRPr="00CA78AD">
        <w:t xml:space="preserve"> On June 8, 1999, the Honorable Deborah A. Batts sentenced Raposo to 524 months of imprisonment followed by five years of supervised release</w:t>
      </w:r>
      <w:r>
        <w:t xml:space="preserve">…. </w:t>
      </w:r>
      <w:r w:rsidRPr="00CA78AD">
        <w:t xml:space="preserve">Raposo is currently </w:t>
      </w:r>
      <w:r w:rsidRPr="00CA78AD">
        <w:lastRenderedPageBreak/>
        <w:t xml:space="preserve">incarcerated at the Federal Correctional Institution in Danbury, Connecticut, with a projected release date of June 13, </w:t>
      </w:r>
      <w:r>
        <w:t xml:space="preserve">[2033]. </w:t>
      </w:r>
      <w:r w:rsidRPr="00CA78AD">
        <w:rPr>
          <w:i/>
          <w:iCs/>
        </w:rPr>
        <w:t>See</w:t>
      </w:r>
      <w:r w:rsidRPr="00CA78AD">
        <w:t xml:space="preserve"> Federal Bureau of Prisons, Find an Inmate, https://www.bop.gov/inmateloc/ (last visited Nov. 24, 2025).</w:t>
      </w:r>
      <w:r>
        <w:t xml:space="preserve">” </w:t>
      </w:r>
    </w:p>
    <w:p w14:paraId="41FDFFDC" w14:textId="77777777" w:rsidR="00F039D1" w:rsidRPr="00734B1E" w:rsidRDefault="00F039D1" w:rsidP="00F039D1">
      <w:pPr>
        <w:rPr>
          <w:b/>
          <w:bCs/>
        </w:rPr>
      </w:pPr>
      <w:r w:rsidRPr="00734B1E">
        <w:rPr>
          <w:b/>
        </w:rPr>
        <w:t>Legal lesson learned:</w:t>
      </w:r>
      <w:r>
        <w:rPr>
          <w:b/>
        </w:rPr>
        <w:t xml:space="preserve"> Prisoner will serve full time for the death of a firefighter. </w:t>
      </w:r>
    </w:p>
    <w:p w14:paraId="6908045D" w14:textId="77777777" w:rsidR="00F039D1" w:rsidRDefault="00F039D1" w:rsidP="00646EE3">
      <w:pPr>
        <w:rPr>
          <w:rFonts w:ascii="Arial Black" w:hAnsi="Arial Black"/>
          <w:sz w:val="24"/>
          <w:szCs w:val="24"/>
        </w:rPr>
      </w:pPr>
    </w:p>
    <w:p w14:paraId="29B24A79" w14:textId="77777777" w:rsidR="00F039D1" w:rsidRDefault="00F039D1" w:rsidP="00646EE3">
      <w:pPr>
        <w:rPr>
          <w:rFonts w:ascii="Arial Black" w:hAnsi="Arial Black"/>
          <w:sz w:val="24"/>
          <w:szCs w:val="24"/>
        </w:rPr>
      </w:pPr>
    </w:p>
    <w:p w14:paraId="1FC8C9C1" w14:textId="77777777" w:rsidR="00F039D1" w:rsidRDefault="00F039D1" w:rsidP="00646EE3">
      <w:pPr>
        <w:rPr>
          <w:rFonts w:ascii="Arial Black" w:hAnsi="Arial Black"/>
          <w:sz w:val="24"/>
          <w:szCs w:val="24"/>
        </w:rPr>
      </w:pPr>
    </w:p>
    <w:p w14:paraId="56E61D23" w14:textId="37DFCD03" w:rsidR="001D5809" w:rsidRDefault="00161ED7" w:rsidP="00646EE3">
      <w:pPr>
        <w:rPr>
          <w:rFonts w:ascii="Arial Black" w:hAnsi="Arial Black"/>
          <w:sz w:val="24"/>
          <w:szCs w:val="24"/>
        </w:rPr>
      </w:pPr>
      <w:r>
        <w:rPr>
          <w:rFonts w:ascii="Arial Black" w:hAnsi="Arial Black"/>
          <w:sz w:val="24"/>
          <w:szCs w:val="24"/>
        </w:rPr>
        <w:t>2-9</w:t>
      </w:r>
      <w:r w:rsidR="0099399D">
        <w:rPr>
          <w:rFonts w:ascii="Arial Black" w:hAnsi="Arial Black"/>
          <w:sz w:val="24"/>
          <w:szCs w:val="24"/>
        </w:rPr>
        <w:t>6</w:t>
      </w:r>
    </w:p>
    <w:p w14:paraId="3171DC16" w14:textId="1D2D381C" w:rsidR="001D5809" w:rsidRPr="00FF5E77" w:rsidRDefault="001D5809" w:rsidP="001D5809">
      <w:pPr>
        <w:pStyle w:val="NoSpacing"/>
        <w:rPr>
          <w:rFonts w:ascii="Arial Black" w:hAnsi="Arial Black"/>
          <w:b/>
          <w:sz w:val="28"/>
          <w:szCs w:val="28"/>
        </w:rPr>
      </w:pPr>
      <w:r>
        <w:rPr>
          <w:rFonts w:ascii="Arial Black" w:hAnsi="Arial Black"/>
          <w:b/>
          <w:sz w:val="28"/>
          <w:szCs w:val="28"/>
        </w:rPr>
        <w:t xml:space="preserve">MN: </w:t>
      </w:r>
      <w:r w:rsidR="00120DAE">
        <w:rPr>
          <w:rFonts w:ascii="Arial Black" w:hAnsi="Arial Black"/>
          <w:b/>
          <w:sz w:val="28"/>
          <w:szCs w:val="28"/>
        </w:rPr>
        <w:t xml:space="preserve">OFF-DUTY FF </w:t>
      </w:r>
      <w:r>
        <w:rPr>
          <w:rFonts w:ascii="Arial Black" w:hAnsi="Arial Black"/>
          <w:b/>
          <w:sz w:val="28"/>
          <w:szCs w:val="28"/>
        </w:rPr>
        <w:t xml:space="preserve">- PUNCHED IN FACE – “ROAD RAGE”  </w:t>
      </w:r>
    </w:p>
    <w:p w14:paraId="7814F2CF" w14:textId="77777777" w:rsidR="001D5809" w:rsidRDefault="001D5809" w:rsidP="001D5809">
      <w:pPr>
        <w:pStyle w:val="NoSpacing"/>
        <w:rPr>
          <w:b/>
        </w:rPr>
      </w:pPr>
    </w:p>
    <w:p w14:paraId="56B3DF97" w14:textId="77777777" w:rsidR="001D5809" w:rsidRDefault="001D5809" w:rsidP="001D5809">
      <w:pPr>
        <w:pStyle w:val="NoSpacing"/>
        <w:rPr>
          <w:b/>
        </w:rPr>
      </w:pPr>
      <w:r w:rsidRPr="000C0FAB">
        <w:t xml:space="preserve">On October 21, 2025, in </w:t>
      </w:r>
      <w:r w:rsidRPr="00F2361B">
        <w:rPr>
          <w:u w:val="single"/>
        </w:rPr>
        <w:t>State of Montana v. Jeffrey W. Burrington</w:t>
      </w:r>
      <w:r>
        <w:t xml:space="preserve">, the Supreme Court of Montana held (5 to 0) that jury properly convicted the defendant of Aggravated Assault of Ryan Williams. The Trial Court judge sentenced him to seven years, but all suspended.  The firefighter (a smoke jumper) pulled over when the defendant was “tailgating” him and then was punched in the face – fractured </w:t>
      </w:r>
      <w:r w:rsidRPr="00B31A1C">
        <w:t>mandible</w:t>
      </w:r>
      <w:r>
        <w:t xml:space="preserve">.  The jury rejected the defense that Burrington was particularly fearful for being involved with two prior “road range” incidents -  his wife testified about 1987 incident (person pulled a gun on he and his wife); 2023 (a driver </w:t>
      </w:r>
      <w:r w:rsidRPr="007B0A97">
        <w:t>brandished a machete</w:t>
      </w:r>
      <w:r>
        <w:t xml:space="preserve"> at his wife).  The trial court would not allow prosecution to tell jury about third incident:  2017 (he pled guilty to disorderly conduct after he </w:t>
      </w:r>
      <w:r w:rsidRPr="008376FD">
        <w:t>punched one of the</w:t>
      </w:r>
      <w:r>
        <w:t xml:space="preserve"> </w:t>
      </w:r>
      <w:r w:rsidRPr="008376FD">
        <w:t>motorcyclists</w:t>
      </w:r>
      <w:r>
        <w:t xml:space="preserve"> where a group of bikers were </w:t>
      </w:r>
      <w:r w:rsidRPr="00490EEB">
        <w:t>“boxing in” his car</w:t>
      </w:r>
      <w:r>
        <w:t>)</w:t>
      </w:r>
      <w:r w:rsidRPr="00490EEB">
        <w:t>.</w:t>
      </w:r>
      <w:r>
        <w:t xml:space="preserve">  </w:t>
      </w:r>
      <w:hyperlink r:id="rId427" w:history="1">
        <w:r w:rsidRPr="00410A8E">
          <w:rPr>
            <w:rStyle w:val="Hyperlink"/>
            <w:b/>
          </w:rPr>
          <w:t>https://cases.justia.com/montana/supreme-court/2025-da-25-0100.pdf?ts=1761082851</w:t>
        </w:r>
      </w:hyperlink>
      <w:r>
        <w:rPr>
          <w:b/>
        </w:rPr>
        <w:t xml:space="preserve"> </w:t>
      </w:r>
    </w:p>
    <w:p w14:paraId="4D958F61" w14:textId="77777777" w:rsidR="001D5809" w:rsidRDefault="001D5809" w:rsidP="001D5809">
      <w:pPr>
        <w:pStyle w:val="NoSpacing"/>
        <w:rPr>
          <w:b/>
        </w:rPr>
      </w:pPr>
    </w:p>
    <w:p w14:paraId="7DAA48D0" w14:textId="77777777" w:rsidR="001D5809" w:rsidRDefault="001D5809" w:rsidP="001D5809">
      <w:pPr>
        <w:pStyle w:val="NoSpacing"/>
        <w:rPr>
          <w:bCs/>
        </w:rPr>
      </w:pPr>
      <w:r>
        <w:t>THE COURT HELD:</w:t>
      </w:r>
    </w:p>
    <w:p w14:paraId="08B845D5" w14:textId="77777777" w:rsidR="001D5809" w:rsidRDefault="001D5809" w:rsidP="001D5809">
      <w:pPr>
        <w:pStyle w:val="NoSpacing"/>
        <w:rPr>
          <w:bCs/>
        </w:rPr>
      </w:pPr>
    </w:p>
    <w:p w14:paraId="205BB002" w14:textId="77777777" w:rsidR="001D5809" w:rsidRPr="00F051AB" w:rsidRDefault="001D5809" w:rsidP="001D5809">
      <w:pPr>
        <w:pStyle w:val="NoSpacing"/>
        <w:ind w:firstLine="720"/>
        <w:rPr>
          <w:bCs/>
        </w:rPr>
      </w:pPr>
      <w:r>
        <w:t>“</w:t>
      </w:r>
      <w:r w:rsidRPr="00F051AB">
        <w:t>On July 22, 2023, Burrington was driving with his wife, Sally Burrington, when he</w:t>
      </w:r>
    </w:p>
    <w:p w14:paraId="787BF5F8" w14:textId="77777777" w:rsidR="001D5809" w:rsidRPr="00F051AB" w:rsidRDefault="001D5809" w:rsidP="001D5809">
      <w:pPr>
        <w:pStyle w:val="NoSpacing"/>
        <w:ind w:firstLine="720"/>
        <w:rPr>
          <w:bCs/>
        </w:rPr>
      </w:pPr>
      <w:r w:rsidRPr="00F051AB">
        <w:t xml:space="preserve">began </w:t>
      </w:r>
      <w:r>
        <w:t>‘</w:t>
      </w:r>
      <w:r w:rsidRPr="00F051AB">
        <w:t>tailgating</w:t>
      </w:r>
      <w:r>
        <w:t>’</w:t>
      </w:r>
      <w:r w:rsidRPr="00F051AB">
        <w:t xml:space="preserve"> Ryan Williams’s car. Williams pulled over, and the </w:t>
      </w:r>
      <w:proofErr w:type="spellStart"/>
      <w:r w:rsidRPr="00F051AB">
        <w:t>Burringtons</w:t>
      </w:r>
      <w:proofErr w:type="spellEnd"/>
    </w:p>
    <w:p w14:paraId="4698229B" w14:textId="77777777" w:rsidR="001D5809" w:rsidRPr="00F051AB" w:rsidRDefault="001D5809" w:rsidP="001D5809">
      <w:pPr>
        <w:pStyle w:val="NoSpacing"/>
        <w:ind w:firstLine="720"/>
        <w:rPr>
          <w:bCs/>
        </w:rPr>
      </w:pPr>
      <w:r w:rsidRPr="00F051AB">
        <w:t>stopped their vehicle behind him. Both parties stepped out of their vehicles. Williams</w:t>
      </w:r>
    </w:p>
    <w:p w14:paraId="5574635B" w14:textId="77777777" w:rsidR="001D5809" w:rsidRPr="00F051AB" w:rsidRDefault="001D5809" w:rsidP="001D5809">
      <w:pPr>
        <w:pStyle w:val="NoSpacing"/>
        <w:ind w:firstLine="720"/>
        <w:rPr>
          <w:bCs/>
        </w:rPr>
      </w:pPr>
      <w:r w:rsidRPr="00F051AB">
        <w:t xml:space="preserve">asked Burrington, </w:t>
      </w:r>
      <w:r>
        <w:t>‘</w:t>
      </w:r>
      <w:r w:rsidRPr="00F051AB">
        <w:t>What’s wrong?</w:t>
      </w:r>
      <w:r>
        <w:t>’</w:t>
      </w:r>
      <w:r w:rsidRPr="00F051AB">
        <w:t xml:space="preserve"> and Burrington became </w:t>
      </w:r>
      <w:r>
        <w:t>‘</w:t>
      </w:r>
      <w:r w:rsidRPr="00F051AB">
        <w:t>extremely belligerent.</w:t>
      </w:r>
      <w:r>
        <w:t>’</w:t>
      </w:r>
      <w:r w:rsidRPr="00F051AB">
        <w:t xml:space="preserve"> As</w:t>
      </w:r>
    </w:p>
    <w:p w14:paraId="6D148C19" w14:textId="77777777" w:rsidR="001D5809" w:rsidRPr="00F051AB" w:rsidRDefault="001D5809" w:rsidP="001D5809">
      <w:pPr>
        <w:pStyle w:val="NoSpacing"/>
        <w:ind w:firstLine="720"/>
        <w:rPr>
          <w:bCs/>
        </w:rPr>
      </w:pPr>
      <w:proofErr w:type="gramStart"/>
      <w:r w:rsidRPr="00F051AB">
        <w:t>the</w:t>
      </w:r>
      <w:proofErr w:type="gramEnd"/>
      <w:r w:rsidRPr="00F051AB">
        <w:t xml:space="preserve"> altercation escalated, Burrington began accusing Williams of being from Washington.</w:t>
      </w:r>
    </w:p>
    <w:p w14:paraId="484F8674" w14:textId="77777777" w:rsidR="001D5809" w:rsidRPr="00F051AB" w:rsidRDefault="001D5809" w:rsidP="001D5809">
      <w:pPr>
        <w:pStyle w:val="NoSpacing"/>
        <w:ind w:firstLine="720"/>
        <w:rPr>
          <w:bCs/>
        </w:rPr>
      </w:pPr>
      <w:r w:rsidRPr="00F051AB">
        <w:t>Burrington then punched Williams in the face, at which point Williams returned to his car</w:t>
      </w:r>
    </w:p>
    <w:p w14:paraId="2DE5F538" w14:textId="77777777" w:rsidR="001D5809" w:rsidRDefault="001D5809" w:rsidP="001D5809">
      <w:pPr>
        <w:pStyle w:val="NoSpacing"/>
        <w:ind w:left="720"/>
        <w:rPr>
          <w:bCs/>
        </w:rPr>
      </w:pPr>
      <w:r w:rsidRPr="00F051AB">
        <w:t xml:space="preserve">and the </w:t>
      </w:r>
      <w:proofErr w:type="spellStart"/>
      <w:r w:rsidRPr="00F051AB">
        <w:t>Burringtons</w:t>
      </w:r>
      <w:proofErr w:type="spellEnd"/>
      <w:r w:rsidRPr="00F051AB">
        <w:t xml:space="preserve"> left in their vehicle</w:t>
      </w:r>
      <w:r>
        <w:t xml:space="preserve">…. </w:t>
      </w:r>
      <w:r w:rsidRPr="000F227C">
        <w:t>The next day, after suffering significant pain and</w:t>
      </w:r>
      <w:r>
        <w:t xml:space="preserve"> </w:t>
      </w:r>
      <w:r w:rsidRPr="000F227C">
        <w:t>swelling, Williams left work and went to the hospital. He was diagnosed with a fractured</w:t>
      </w:r>
      <w:r>
        <w:t xml:space="preserve"> </w:t>
      </w:r>
      <w:r w:rsidRPr="000F227C">
        <w:t>mandible. He filed a police report after his medical diagnosis.</w:t>
      </w:r>
    </w:p>
    <w:p w14:paraId="69FD4074" w14:textId="77777777" w:rsidR="001D5809" w:rsidRDefault="001D5809" w:rsidP="001D5809">
      <w:pPr>
        <w:pStyle w:val="NoSpacing"/>
        <w:ind w:left="720"/>
        <w:rPr>
          <w:bCs/>
        </w:rPr>
      </w:pPr>
    </w:p>
    <w:p w14:paraId="339E9D8C" w14:textId="77777777" w:rsidR="001D5809" w:rsidRDefault="001D5809" w:rsidP="001D5809">
      <w:pPr>
        <w:pStyle w:val="NoSpacing"/>
        <w:ind w:left="720"/>
        <w:rPr>
          <w:bCs/>
        </w:rPr>
      </w:pPr>
      <w:r>
        <w:t>***</w:t>
      </w:r>
    </w:p>
    <w:p w14:paraId="670EE3EA" w14:textId="77777777" w:rsidR="001D5809" w:rsidRDefault="001D5809" w:rsidP="001D5809">
      <w:pPr>
        <w:pStyle w:val="NoSpacing"/>
        <w:ind w:left="720"/>
        <w:rPr>
          <w:bCs/>
        </w:rPr>
      </w:pPr>
      <w:r>
        <w:t>T</w:t>
      </w:r>
      <w:r w:rsidRPr="007B0A97">
        <w:t xml:space="preserve">o support the JUOF </w:t>
      </w:r>
      <w:r>
        <w:t>[</w:t>
      </w:r>
      <w:r w:rsidRPr="0011479A">
        <w:t>justifiable use of force</w:t>
      </w:r>
      <w:r>
        <w:t xml:space="preserve">] </w:t>
      </w:r>
      <w:r w:rsidRPr="007B0A97">
        <w:t>defense, Burrington introduced two incidents relating to road</w:t>
      </w:r>
      <w:r>
        <w:t xml:space="preserve"> </w:t>
      </w:r>
      <w:r w:rsidRPr="007B0A97">
        <w:t xml:space="preserve">rage. These incidents were meant to demonstrate </w:t>
      </w:r>
      <w:proofErr w:type="spellStart"/>
      <w:r w:rsidRPr="007B0A97">
        <w:t>Burringtons</w:t>
      </w:r>
      <w:proofErr w:type="spellEnd"/>
      <w:r w:rsidRPr="007B0A97">
        <w:t>’ fear during the event.</w:t>
      </w:r>
      <w:r>
        <w:t xml:space="preserve"> </w:t>
      </w:r>
      <w:r w:rsidRPr="007B0A97">
        <w:t>Burrington’s wife, Sally Burrington, testified first. She testified to both incidents. The</w:t>
      </w:r>
      <w:r>
        <w:t xml:space="preserve"> </w:t>
      </w:r>
      <w:r w:rsidRPr="007B0A97">
        <w:t>first incident, which occurred in 1987, involved both Burrington and his wife being</w:t>
      </w:r>
      <w:r>
        <w:t xml:space="preserve"> </w:t>
      </w:r>
      <w:r w:rsidRPr="007B0A97">
        <w:t xml:space="preserve">allegedly involved in a roadside incident where someone </w:t>
      </w:r>
      <w:r>
        <w:t>‘</w:t>
      </w:r>
      <w:r w:rsidRPr="007B0A97">
        <w:t>pulled a gun</w:t>
      </w:r>
      <w:r>
        <w:t xml:space="preserve">’ </w:t>
      </w:r>
      <w:r w:rsidRPr="007B0A97">
        <w:t>on them</w:t>
      </w:r>
      <w:r>
        <w:t xml:space="preserve">. </w:t>
      </w:r>
      <w:r w:rsidRPr="007B0A97">
        <w:t>The</w:t>
      </w:r>
      <w:r>
        <w:t xml:space="preserve"> </w:t>
      </w:r>
      <w:r w:rsidRPr="007B0A97">
        <w:t>second incident occurred in 2023, where another driver brandished a machete at Sally</w:t>
      </w:r>
      <w:r>
        <w:t xml:space="preserve">.   </w:t>
      </w:r>
      <w:r w:rsidRPr="007B0A97">
        <w:t>Burrington in a parking lot behind a gas station. Sally also testified about her husband’</w:t>
      </w:r>
      <w:r>
        <w:t xml:space="preserve">s </w:t>
      </w:r>
      <w:r w:rsidRPr="005753F3">
        <w:t>protective instincts towards his family</w:t>
      </w:r>
      <w:r>
        <w:t>.</w:t>
      </w:r>
    </w:p>
    <w:p w14:paraId="414A82F7" w14:textId="77777777" w:rsidR="001D5809" w:rsidRDefault="001D5809" w:rsidP="001D5809">
      <w:pPr>
        <w:pStyle w:val="NoSpacing"/>
        <w:ind w:left="720"/>
        <w:rPr>
          <w:bCs/>
        </w:rPr>
      </w:pPr>
    </w:p>
    <w:p w14:paraId="628F1A57" w14:textId="77777777" w:rsidR="001D5809" w:rsidRDefault="001D5809" w:rsidP="001D5809">
      <w:pPr>
        <w:pStyle w:val="NoSpacing"/>
        <w:ind w:left="720"/>
        <w:rPr>
          <w:bCs/>
        </w:rPr>
      </w:pPr>
      <w:r>
        <w:t>***</w:t>
      </w:r>
    </w:p>
    <w:p w14:paraId="26F268ED" w14:textId="77777777" w:rsidR="001D5809" w:rsidRDefault="001D5809" w:rsidP="001D5809">
      <w:pPr>
        <w:pStyle w:val="NoSpacing"/>
        <w:ind w:left="720"/>
        <w:rPr>
          <w:bCs/>
        </w:rPr>
      </w:pPr>
      <w:r w:rsidRPr="00C4196C">
        <w:t>Burrington also testified about the two prior incidents introduced in Sally’s</w:t>
      </w:r>
      <w:r>
        <w:t xml:space="preserve"> </w:t>
      </w:r>
      <w:r w:rsidRPr="00C4196C">
        <w:t>testimony. On cross-examination, the State inquired into more detail regarding these</w:t>
      </w:r>
      <w:r>
        <w:t xml:space="preserve"> </w:t>
      </w:r>
      <w:r w:rsidRPr="00C4196C">
        <w:t>events. As the State’s questioning moved from the 2023 incident to the 1987 incident,</w:t>
      </w:r>
      <w:r>
        <w:t xml:space="preserve"> </w:t>
      </w:r>
      <w:r w:rsidRPr="00C4196C">
        <w:t>Burrington’s attorney—anticipating the State was asking about the excluded 2017</w:t>
      </w:r>
      <w:r>
        <w:t xml:space="preserve"> </w:t>
      </w:r>
      <w:r w:rsidRPr="00C4196C">
        <w:t>incident</w:t>
      </w:r>
      <w:r>
        <w:t xml:space="preserve"> [where defendant assaulted a motorcyclist and pled guilty to disorderly conduct]</w:t>
      </w:r>
      <w:r w:rsidRPr="00C4196C">
        <w:t>—objected to the State’s question. The court explained defense counsel was</w:t>
      </w:r>
      <w:r>
        <w:t xml:space="preserve"> </w:t>
      </w:r>
      <w:r w:rsidRPr="00C4196C">
        <w:t xml:space="preserve">mistaken, stating </w:t>
      </w:r>
      <w:r>
        <w:t>‘</w:t>
      </w:r>
      <w:r w:rsidRPr="00C4196C">
        <w:t xml:space="preserve">He’s talking about Ms. Burrington’s </w:t>
      </w:r>
      <w:r w:rsidRPr="00C4196C">
        <w:lastRenderedPageBreak/>
        <w:t>previous road rage.</w:t>
      </w:r>
      <w:r>
        <w:t>’</w:t>
      </w:r>
      <w:r w:rsidRPr="00C4196C">
        <w:t xml:space="preserve"> Burrington</w:t>
      </w:r>
      <w:r>
        <w:t xml:space="preserve"> </w:t>
      </w:r>
      <w:r w:rsidRPr="00C4196C">
        <w:t xml:space="preserve">did not object to the court’s reference </w:t>
      </w:r>
      <w:proofErr w:type="gramStart"/>
      <w:r w:rsidRPr="00C4196C">
        <w:t>of</w:t>
      </w:r>
      <w:proofErr w:type="gramEnd"/>
      <w:r w:rsidRPr="00C4196C">
        <w:t xml:space="preserve"> the 1980’s incident as </w:t>
      </w:r>
      <w:r>
        <w:t>‘</w:t>
      </w:r>
      <w:r w:rsidRPr="00C4196C">
        <w:t>Ms. Burrington’s previous</w:t>
      </w:r>
      <w:r>
        <w:t xml:space="preserve"> </w:t>
      </w:r>
      <w:r w:rsidRPr="00C4196C">
        <w:t>road rage.</w:t>
      </w:r>
      <w:r>
        <w:t>’</w:t>
      </w:r>
    </w:p>
    <w:p w14:paraId="3CB02676" w14:textId="77777777" w:rsidR="001D5809" w:rsidRDefault="001D5809" w:rsidP="001D5809">
      <w:pPr>
        <w:pStyle w:val="NoSpacing"/>
        <w:ind w:left="720"/>
        <w:rPr>
          <w:bCs/>
        </w:rPr>
      </w:pPr>
    </w:p>
    <w:p w14:paraId="4CC058F4" w14:textId="77777777" w:rsidR="001D5809" w:rsidRDefault="001D5809" w:rsidP="001D5809">
      <w:pPr>
        <w:pStyle w:val="NoSpacing"/>
        <w:ind w:left="720"/>
        <w:rPr>
          <w:bCs/>
        </w:rPr>
      </w:pPr>
      <w:r>
        <w:t>***</w:t>
      </w:r>
    </w:p>
    <w:p w14:paraId="0A216B8D" w14:textId="77777777" w:rsidR="001D5809" w:rsidRDefault="001D5809" w:rsidP="001D5809">
      <w:pPr>
        <w:pStyle w:val="NoSpacing"/>
        <w:ind w:left="720"/>
        <w:rPr>
          <w:bCs/>
        </w:rPr>
      </w:pPr>
    </w:p>
    <w:p w14:paraId="3F27AAB5" w14:textId="77777777" w:rsidR="001D5809" w:rsidRPr="009A521B" w:rsidRDefault="001D5809" w:rsidP="001D5809">
      <w:pPr>
        <w:pStyle w:val="NoSpacing"/>
        <w:ind w:left="720"/>
        <w:rPr>
          <w:bCs/>
        </w:rPr>
      </w:pPr>
      <w:r w:rsidRPr="009A521B">
        <w:t>Ultimately, it was Burrington who introduced</w:t>
      </w:r>
      <w:r>
        <w:t xml:space="preserve"> </w:t>
      </w:r>
      <w:r w:rsidRPr="009A521B">
        <w:t xml:space="preserve">this evidence </w:t>
      </w:r>
      <w:r>
        <w:t xml:space="preserve">[prior “road rage” incidents] </w:t>
      </w:r>
      <w:r w:rsidRPr="009A521B">
        <w:t>in the first instance, opening the door for the State to challenge Burrington’s</w:t>
      </w:r>
    </w:p>
    <w:p w14:paraId="6FCCBB37" w14:textId="77777777" w:rsidR="001D5809" w:rsidRPr="009A521B" w:rsidRDefault="001D5809" w:rsidP="001D5809">
      <w:pPr>
        <w:pStyle w:val="NoSpacing"/>
        <w:ind w:firstLine="720"/>
        <w:rPr>
          <w:bCs/>
        </w:rPr>
      </w:pPr>
      <w:r w:rsidRPr="009A521B">
        <w:t>characterization of the events, and did not object to the State’s question or request other</w:t>
      </w:r>
    </w:p>
    <w:p w14:paraId="1C37288A" w14:textId="77777777" w:rsidR="001D5809" w:rsidRDefault="001D5809" w:rsidP="001D5809">
      <w:pPr>
        <w:pStyle w:val="NoSpacing"/>
        <w:ind w:left="720"/>
        <w:rPr>
          <w:bCs/>
        </w:rPr>
      </w:pPr>
      <w:r w:rsidRPr="009A521B">
        <w:t>acts jury instruction. The comment and the lack of other acts instructions did not implicate</w:t>
      </w:r>
      <w:r>
        <w:t xml:space="preserve"> </w:t>
      </w:r>
      <w:r w:rsidRPr="009A521B">
        <w:t>Burrington’s fundamental rights and failure to review it would not result in manifest</w:t>
      </w:r>
      <w:r>
        <w:t xml:space="preserve"> </w:t>
      </w:r>
      <w:r w:rsidRPr="009A521B">
        <w:t>injustice.</w:t>
      </w:r>
      <w:r>
        <w:t>”</w:t>
      </w:r>
    </w:p>
    <w:p w14:paraId="0B1AFDD8" w14:textId="77777777" w:rsidR="001D5809" w:rsidRDefault="001D5809" w:rsidP="001D5809">
      <w:pPr>
        <w:pStyle w:val="NoSpacing"/>
        <w:ind w:left="720"/>
        <w:rPr>
          <w:bCs/>
        </w:rPr>
      </w:pPr>
    </w:p>
    <w:p w14:paraId="2588F46D" w14:textId="2F2E1355" w:rsidR="001D5809" w:rsidRPr="0048238D" w:rsidRDefault="001D5809" w:rsidP="001D5809">
      <w:pPr>
        <w:pStyle w:val="NoSpacing"/>
        <w:rPr>
          <w:b/>
        </w:rPr>
      </w:pPr>
      <w:r>
        <w:rPr>
          <w:b/>
        </w:rPr>
        <w:t xml:space="preserve">Lesson learned: Unfortunate the “road rage” defendant received suspended sentence. </w:t>
      </w:r>
    </w:p>
    <w:p w14:paraId="1215D2D7" w14:textId="77777777" w:rsidR="001D5809" w:rsidRDefault="001D5809" w:rsidP="001D5809">
      <w:pPr>
        <w:tabs>
          <w:tab w:val="left" w:pos="264"/>
        </w:tabs>
      </w:pPr>
    </w:p>
    <w:p w14:paraId="60A85E46" w14:textId="0EE93AE0" w:rsidR="001D5809" w:rsidRDefault="00515316" w:rsidP="00646EE3">
      <w:pPr>
        <w:rPr>
          <w:rFonts w:ascii="Arial Black" w:hAnsi="Arial Black"/>
          <w:sz w:val="24"/>
          <w:szCs w:val="24"/>
        </w:rPr>
      </w:pPr>
      <w:r>
        <w:rPr>
          <w:rFonts w:ascii="Arial Black" w:hAnsi="Arial Black"/>
          <w:sz w:val="24"/>
          <w:szCs w:val="24"/>
        </w:rPr>
        <w:t>2-9</w:t>
      </w:r>
      <w:r w:rsidR="003D47D0">
        <w:rPr>
          <w:rFonts w:ascii="Arial Black" w:hAnsi="Arial Black"/>
          <w:sz w:val="24"/>
          <w:szCs w:val="24"/>
        </w:rPr>
        <w:t>5</w:t>
      </w:r>
    </w:p>
    <w:p w14:paraId="0D90FDC2" w14:textId="77777777" w:rsidR="00515316" w:rsidRDefault="00515316" w:rsidP="00515316">
      <w:pPr>
        <w:pStyle w:val="NoSpacing"/>
        <w:rPr>
          <w:rFonts w:ascii="Arial Black" w:hAnsi="Arial Black"/>
          <w:sz w:val="28"/>
          <w:szCs w:val="28"/>
        </w:rPr>
      </w:pPr>
      <w:r>
        <w:rPr>
          <w:rFonts w:ascii="Arial Black" w:hAnsi="Arial Black"/>
          <w:sz w:val="28"/>
          <w:szCs w:val="28"/>
        </w:rPr>
        <w:t xml:space="preserve">OH: MOBILE HOME FIRE – OWNER THREATENS FF – CONV </w:t>
      </w:r>
    </w:p>
    <w:p w14:paraId="0E63A537" w14:textId="77777777" w:rsidR="00515316" w:rsidRDefault="00515316" w:rsidP="00515316">
      <w:pPr>
        <w:pStyle w:val="NoSpacing"/>
        <w:rPr>
          <w:rFonts w:ascii="Arial Black" w:hAnsi="Arial Black"/>
          <w:sz w:val="28"/>
          <w:szCs w:val="28"/>
        </w:rPr>
      </w:pPr>
    </w:p>
    <w:p w14:paraId="1FC5E921" w14:textId="77777777" w:rsidR="00515316" w:rsidRPr="00742C8D" w:rsidRDefault="00515316" w:rsidP="00515316">
      <w:pPr>
        <w:pStyle w:val="NoSpacing"/>
        <w:rPr>
          <w:b/>
        </w:rPr>
      </w:pPr>
      <w:r>
        <w:t xml:space="preserve">On Oct. 20, 2025, in </w:t>
      </w:r>
      <w:r w:rsidRPr="00D12508">
        <w:rPr>
          <w:u w:val="single"/>
        </w:rPr>
        <w:t>State of Ohio v. Christopher W. Longnecker</w:t>
      </w:r>
      <w:r w:rsidRPr="00D12508">
        <w:t xml:space="preserve">, the Court of Appeals of Ohio, Twelfth District (Clermont County), </w:t>
      </w:r>
      <w:r>
        <w:t xml:space="preserve">held (3 to 0) conviction affirmed.   </w:t>
      </w:r>
      <w:r w:rsidRPr="00A62117">
        <w:t>On July 31, 2023, firefighters were dispatched to extinguish a fire at</w:t>
      </w:r>
      <w:r>
        <w:t xml:space="preserve"> defendant’s mobile home where his son was burned and two pet cats died.  </w:t>
      </w:r>
      <w:r w:rsidRPr="00A62117">
        <w:t>Longnecker arrived, became</w:t>
      </w:r>
      <w:r>
        <w:t xml:space="preserve"> </w:t>
      </w:r>
      <w:r w:rsidRPr="00A62117">
        <w:t>agitated, and threatened to "bash" volunteer firefighter Justin Pendergrass' "face in."</w:t>
      </w:r>
      <w:r>
        <w:t xml:space="preserve"> The jury returned guilty verdicts on all three counts;  trial court judge sentenced Longnecker to 180 days in jail and a $200 fine for aggravated menacing, and 30 days in jail and a $100 fine for misconduct at an emergency (to be served consecutively), plus court costs. On appeal the Court of Appeals held that prosecution had no duty to disclose the oral statements he made to </w:t>
      </w:r>
      <w:r w:rsidRPr="00A0476E">
        <w:t>fire investigation team leader, Christopher</w:t>
      </w:r>
      <w:r>
        <w:t xml:space="preserve"> </w:t>
      </w:r>
      <w:r w:rsidRPr="00A0476E">
        <w:t>Mullins</w:t>
      </w:r>
      <w:r>
        <w:t xml:space="preserve"> - that  “</w:t>
      </w:r>
      <w:r w:rsidRPr="00F1325D">
        <w:t>he was going into the house no matter what</w:t>
      </w:r>
      <w:r>
        <w:t xml:space="preserve">”-  since the statement were not recorded by Mullins or other investigators on a document or on video.   </w:t>
      </w:r>
      <w:hyperlink r:id="rId428" w:history="1">
        <w:r w:rsidRPr="006C2601">
          <w:rPr>
            <w:rStyle w:val="Hyperlink"/>
            <w:b/>
          </w:rPr>
          <w:t>https://www.supremecourt.ohio.gov/rod/docs/pdf/12/2025/2025-Ohio-4780.pdf</w:t>
        </w:r>
      </w:hyperlink>
      <w:r>
        <w:rPr>
          <w:b/>
        </w:rPr>
        <w:t xml:space="preserve"> </w:t>
      </w:r>
    </w:p>
    <w:p w14:paraId="068D48AB" w14:textId="77777777" w:rsidR="00515316" w:rsidRDefault="00515316" w:rsidP="00515316">
      <w:pPr>
        <w:pStyle w:val="NoSpacing"/>
      </w:pPr>
      <w:r>
        <w:t xml:space="preserve"> </w:t>
      </w:r>
    </w:p>
    <w:p w14:paraId="75298C01" w14:textId="77777777" w:rsidR="00515316" w:rsidRDefault="00515316" w:rsidP="00515316">
      <w:pPr>
        <w:pStyle w:val="NoSpacing"/>
      </w:pPr>
      <w:r>
        <w:t>THE COURT HELD:</w:t>
      </w:r>
    </w:p>
    <w:p w14:paraId="55ECF1EE" w14:textId="77777777" w:rsidR="00515316" w:rsidRDefault="00515316" w:rsidP="00515316">
      <w:pPr>
        <w:pStyle w:val="NoSpacing"/>
      </w:pPr>
    </w:p>
    <w:p w14:paraId="7E0A2321" w14:textId="77777777" w:rsidR="00515316" w:rsidRDefault="00515316" w:rsidP="00515316">
      <w:pPr>
        <w:pStyle w:val="NoSpacing"/>
        <w:ind w:left="720"/>
        <w:rPr>
          <w:bCs/>
        </w:rPr>
      </w:pPr>
      <w:r>
        <w:t>“</w:t>
      </w:r>
      <w:r w:rsidRPr="00A62117">
        <w:t>On July 31, 2023, firefighters from the Felicity-Franklin, Washington</w:t>
      </w:r>
      <w:r>
        <w:t xml:space="preserve"> </w:t>
      </w:r>
      <w:r w:rsidRPr="00A62117">
        <w:t>Township, and Bethel-Tate Fire Departments were dispatched to extinguish a fire at</w:t>
      </w:r>
      <w:r>
        <w:t xml:space="preserve"> </w:t>
      </w:r>
      <w:r w:rsidRPr="00A62117">
        <w:t>Christopher Longnecker's home in the Country View Mobile Home Park. Due to the fire,</w:t>
      </w:r>
      <w:r>
        <w:t xml:space="preserve"> </w:t>
      </w:r>
      <w:r w:rsidRPr="00A62117">
        <w:t>Longnecker's home was badly damaged, his son was burned, and his two pet cats died.</w:t>
      </w:r>
      <w:r>
        <w:t xml:space="preserve"> </w:t>
      </w:r>
      <w:r w:rsidRPr="00A62117">
        <w:t>While the firefighters were still working at the scene, Longnecker arrived, became</w:t>
      </w:r>
      <w:r>
        <w:t xml:space="preserve"> </w:t>
      </w:r>
      <w:r w:rsidRPr="00A62117">
        <w:t>agitated, and threatened to "bash" volunteer firefighter Justin Pendergrass' "face in."</w:t>
      </w:r>
    </w:p>
    <w:p w14:paraId="65F2A9DD" w14:textId="77777777" w:rsidR="00515316" w:rsidRDefault="00515316" w:rsidP="00515316">
      <w:pPr>
        <w:pStyle w:val="NoSpacing"/>
        <w:ind w:left="720"/>
        <w:rPr>
          <w:bCs/>
        </w:rPr>
      </w:pPr>
    </w:p>
    <w:p w14:paraId="296B6D4F" w14:textId="77777777" w:rsidR="00515316" w:rsidRDefault="00515316" w:rsidP="00515316">
      <w:pPr>
        <w:pStyle w:val="NoSpacing"/>
        <w:ind w:left="720"/>
      </w:pPr>
      <w:r>
        <w:t>***</w:t>
      </w:r>
    </w:p>
    <w:p w14:paraId="194D4A5D" w14:textId="77777777" w:rsidR="00515316" w:rsidRDefault="00515316" w:rsidP="00515316">
      <w:pPr>
        <w:pStyle w:val="NoSpacing"/>
        <w:ind w:left="720"/>
      </w:pPr>
      <w:r>
        <w:t>Clermont County fire investigation team leader, Christopher Mullins, spoke with Longnecker to obtain consent to search the home for the cause of the fire, but Longnecker refused. Mullins also warned Longnecker that he was not permitted to enter the home, as it was still too dangerous and might interfere with the fire investigation. While the fire investigation team waited to obtain a search warrant, Clermont County Sherrif's deputies followed Longnecker around the property to ensure he did not interfere with the firefighters. Longnecker then attempted to enter the home and was tackled and arrested by the deputies.</w:t>
      </w:r>
    </w:p>
    <w:p w14:paraId="452AA362" w14:textId="77777777" w:rsidR="00515316" w:rsidRDefault="00515316" w:rsidP="00515316">
      <w:pPr>
        <w:pStyle w:val="NoSpacing"/>
      </w:pPr>
    </w:p>
    <w:p w14:paraId="0FCAB907" w14:textId="77777777" w:rsidR="00515316" w:rsidRDefault="00515316" w:rsidP="00515316">
      <w:pPr>
        <w:pStyle w:val="NoSpacing"/>
        <w:ind w:left="720"/>
      </w:pPr>
      <w:r>
        <w:t xml:space="preserve">Longnecker was later indicted for misconduct at an emergency, aggravated menacing, and menacing; the case proceeded to jury trial on October 8, 2024. One of the central theories of Longnecker's defense was that none of the public officials at the scene that day specifically told him he could not enter his home. However, at trial, Fire Investigator Mullins testified that he told Longnecker he could not enter his home and Longnecker answered ‘that he was going into the house no matter what. It was his </w:t>
      </w:r>
      <w:r w:rsidRPr="00523DF2">
        <w:t>house.</w:t>
      </w:r>
      <w:r>
        <w:t>’</w:t>
      </w:r>
    </w:p>
    <w:p w14:paraId="6F28ED86" w14:textId="77777777" w:rsidR="00515316" w:rsidRDefault="00515316" w:rsidP="00515316">
      <w:pPr>
        <w:pStyle w:val="NoSpacing"/>
        <w:ind w:left="720"/>
      </w:pPr>
    </w:p>
    <w:p w14:paraId="102D1F6D" w14:textId="77777777" w:rsidR="00515316" w:rsidRPr="008C4A2B" w:rsidRDefault="00515316" w:rsidP="00515316">
      <w:pPr>
        <w:pStyle w:val="NoSpacing"/>
        <w:ind w:left="720"/>
      </w:pPr>
      <w:r>
        <w:t>***</w:t>
      </w:r>
    </w:p>
    <w:p w14:paraId="2E1B41E2" w14:textId="77777777" w:rsidR="00515316" w:rsidRDefault="00515316" w:rsidP="00515316">
      <w:pPr>
        <w:pStyle w:val="NoSpacing"/>
        <w:rPr>
          <w:b/>
        </w:rPr>
      </w:pPr>
    </w:p>
    <w:p w14:paraId="66BB5829" w14:textId="77777777" w:rsidR="00515316" w:rsidRDefault="00515316" w:rsidP="00515316">
      <w:pPr>
        <w:pStyle w:val="NoSpacing"/>
        <w:ind w:left="720"/>
      </w:pPr>
      <w:r w:rsidRPr="00536C39">
        <w:t>During the sidebar</w:t>
      </w:r>
      <w:r>
        <w:t xml:space="preserve"> </w:t>
      </w:r>
      <w:r w:rsidRPr="00536C39">
        <w:t>discussion, the State did not deny that it was aware Mullins was going to testify to</w:t>
      </w:r>
      <w:r>
        <w:t xml:space="preserve"> </w:t>
      </w:r>
      <w:r w:rsidRPr="00536C39">
        <w:t>Longnecker's statement and responded dismissively to the defense's apparent surprise:</w:t>
      </w:r>
    </w:p>
    <w:p w14:paraId="3C320DAA" w14:textId="77777777" w:rsidR="00515316" w:rsidRPr="00536C39" w:rsidRDefault="00515316" w:rsidP="00515316">
      <w:pPr>
        <w:pStyle w:val="NoSpacing"/>
        <w:ind w:left="720"/>
      </w:pPr>
    </w:p>
    <w:p w14:paraId="6742F465" w14:textId="77777777" w:rsidR="00515316" w:rsidRDefault="00515316" w:rsidP="00515316">
      <w:pPr>
        <w:pStyle w:val="NoSpacing"/>
        <w:ind w:left="1440"/>
      </w:pPr>
      <w:r>
        <w:t>‘</w:t>
      </w:r>
      <w:r w:rsidRPr="00536C39">
        <w:t>I can ask him if he told this man not to go in the property and the fact that they think it's</w:t>
      </w:r>
      <w:r>
        <w:t xml:space="preserve"> </w:t>
      </w:r>
      <w:r w:rsidRPr="00536C39">
        <w:t>prejudicial, it is. Maybe they should pick up the phone and call the witness and interview</w:t>
      </w:r>
      <w:r>
        <w:t xml:space="preserve"> </w:t>
      </w:r>
      <w:r w:rsidRPr="00536C39">
        <w:t>them. I don't have a report to give them. I disclosed the witness. I've done my job. I can</w:t>
      </w:r>
      <w:r>
        <w:t xml:space="preserve"> </w:t>
      </w:r>
      <w:r w:rsidRPr="00536C39">
        <w:t>ask the question.</w:t>
      </w:r>
      <w:r>
        <w:t>’</w:t>
      </w:r>
      <w:r w:rsidRPr="00536C39">
        <w:t xml:space="preserve"> </w:t>
      </w:r>
    </w:p>
    <w:p w14:paraId="0EA6A508" w14:textId="77777777" w:rsidR="00515316" w:rsidRDefault="00515316" w:rsidP="00515316">
      <w:pPr>
        <w:pStyle w:val="NoSpacing"/>
        <w:ind w:left="720"/>
      </w:pPr>
    </w:p>
    <w:p w14:paraId="2A15CB52" w14:textId="77777777" w:rsidR="00515316" w:rsidRPr="00536C39" w:rsidRDefault="00515316" w:rsidP="00515316">
      <w:pPr>
        <w:pStyle w:val="NoSpacing"/>
        <w:ind w:left="720"/>
      </w:pPr>
      <w:r w:rsidRPr="00536C39">
        <w:t>The trial court overruled Longnecker's objections and permitted the</w:t>
      </w:r>
      <w:r>
        <w:t xml:space="preserve"> </w:t>
      </w:r>
      <w:r w:rsidRPr="00536C39">
        <w:t>testimony. Longnecker's oral statement to Mullins was never recorded, summarized, or</w:t>
      </w:r>
    </w:p>
    <w:p w14:paraId="2125D119" w14:textId="77777777" w:rsidR="00515316" w:rsidRDefault="00515316" w:rsidP="00515316">
      <w:pPr>
        <w:pStyle w:val="NoSpacing"/>
        <w:ind w:firstLine="720"/>
      </w:pPr>
      <w:r w:rsidRPr="00536C39">
        <w:t>otherwise documented prior to Mullins' testimony at trial.</w:t>
      </w:r>
    </w:p>
    <w:p w14:paraId="42D36A6C" w14:textId="77777777" w:rsidR="00515316" w:rsidRDefault="00515316" w:rsidP="00515316">
      <w:pPr>
        <w:pStyle w:val="NoSpacing"/>
        <w:ind w:firstLine="720"/>
      </w:pPr>
    </w:p>
    <w:p w14:paraId="43A68FDE" w14:textId="77777777" w:rsidR="00515316" w:rsidRDefault="00515316" w:rsidP="00515316">
      <w:pPr>
        <w:pStyle w:val="NoSpacing"/>
        <w:ind w:firstLine="720"/>
      </w:pPr>
      <w:r>
        <w:t>***</w:t>
      </w:r>
    </w:p>
    <w:p w14:paraId="67EA214C" w14:textId="77777777" w:rsidR="00515316" w:rsidRDefault="00515316" w:rsidP="00515316">
      <w:pPr>
        <w:pStyle w:val="NoSpacing"/>
        <w:ind w:firstLine="720"/>
      </w:pPr>
      <w:r>
        <w:t>Under the plain text of the rule [</w:t>
      </w:r>
      <w:proofErr w:type="spellStart"/>
      <w:r w:rsidRPr="00063EF3">
        <w:t>Crim.R</w:t>
      </w:r>
      <w:proofErr w:type="spellEnd"/>
      <w:r w:rsidRPr="00063EF3">
        <w:t>. 16(B)</w:t>
      </w:r>
      <w:r>
        <w:t>] unrecorded oral statements to a law</w:t>
      </w:r>
    </w:p>
    <w:p w14:paraId="1C0C3ECC" w14:textId="77777777" w:rsidR="00515316" w:rsidRDefault="00515316" w:rsidP="00515316">
      <w:pPr>
        <w:pStyle w:val="NoSpacing"/>
        <w:ind w:firstLine="720"/>
      </w:pPr>
      <w:r>
        <w:t xml:space="preserve">enforcement </w:t>
      </w:r>
      <w:proofErr w:type="gramStart"/>
      <w:r>
        <w:t>officer</w:t>
      </w:r>
      <w:proofErr w:type="gramEnd"/>
      <w:r>
        <w:t>, that are not subsequently documented in a summary or report, are</w:t>
      </w:r>
    </w:p>
    <w:p w14:paraId="1CD1D7F3" w14:textId="77777777" w:rsidR="00515316" w:rsidRDefault="00515316" w:rsidP="00515316">
      <w:pPr>
        <w:pStyle w:val="NoSpacing"/>
        <w:ind w:left="720"/>
      </w:pPr>
      <w:r>
        <w:t>not subject to disclosure in discovery.  [Footnote 1.] Accordingly, we find the trial court did not abuse its discretion when it admitted Mullins' testimony regarding Longnecker's oral statement and did not abuse its discretion when it denied Longnecker's motion for a mistrial. Longnecker's sole assignment of error is overruled.</w:t>
      </w:r>
    </w:p>
    <w:p w14:paraId="395655D3" w14:textId="77777777" w:rsidR="00515316" w:rsidRDefault="00515316" w:rsidP="00515316">
      <w:pPr>
        <w:pStyle w:val="NoSpacing"/>
        <w:ind w:left="720"/>
      </w:pPr>
    </w:p>
    <w:p w14:paraId="4027639B" w14:textId="77777777" w:rsidR="00515316" w:rsidRDefault="00515316" w:rsidP="00515316">
      <w:pPr>
        <w:pStyle w:val="NoSpacing"/>
        <w:ind w:left="1440"/>
      </w:pPr>
      <w:r>
        <w:t xml:space="preserve">Footnote 1: Not every oral statement made by a defendant is always recorded or documented in a report by law enforcement. Therefore, the onus is now on defendants to remember their oral statements. There is concern that a law enforcement officer could specifically choose not to document certain oral statements to avoid disclosure and obtain a surprise advantage at trial.  Nevertheless, we are bound to apply the plain text of the rule without making our own additions or </w:t>
      </w:r>
      <w:proofErr w:type="gramStart"/>
      <w:r>
        <w:t>subtractions.”</w:t>
      </w:r>
      <w:proofErr w:type="gramEnd"/>
    </w:p>
    <w:p w14:paraId="422516FD" w14:textId="77777777" w:rsidR="00515316" w:rsidRDefault="00515316" w:rsidP="00515316">
      <w:pPr>
        <w:pStyle w:val="NoSpacing"/>
        <w:ind w:left="1440"/>
      </w:pPr>
    </w:p>
    <w:p w14:paraId="23EFAE0C" w14:textId="5732968E" w:rsidR="00515316" w:rsidRPr="00971AF7" w:rsidRDefault="00515316" w:rsidP="00515316">
      <w:pPr>
        <w:pStyle w:val="NoSpacing"/>
        <w:rPr>
          <w:b/>
          <w:bCs/>
        </w:rPr>
      </w:pPr>
      <w:r>
        <w:rPr>
          <w:b/>
        </w:rPr>
        <w:t xml:space="preserve">Lesson learned: Defendant sent to prison for threats to firefighters. </w:t>
      </w:r>
    </w:p>
    <w:p w14:paraId="37B09D58" w14:textId="77777777" w:rsidR="00515316" w:rsidRDefault="00515316" w:rsidP="00646EE3">
      <w:pPr>
        <w:rPr>
          <w:rFonts w:ascii="Arial Black" w:hAnsi="Arial Black"/>
          <w:sz w:val="24"/>
          <w:szCs w:val="24"/>
        </w:rPr>
      </w:pPr>
    </w:p>
    <w:p w14:paraId="40CDE6CD" w14:textId="77777777" w:rsidR="001D5809" w:rsidRDefault="001D5809" w:rsidP="00646EE3">
      <w:pPr>
        <w:rPr>
          <w:rFonts w:ascii="Arial Black" w:hAnsi="Arial Black"/>
          <w:sz w:val="24"/>
          <w:szCs w:val="24"/>
        </w:rPr>
      </w:pPr>
    </w:p>
    <w:p w14:paraId="71ED9943" w14:textId="4A8483A5" w:rsidR="001D5809" w:rsidRDefault="00D811D3" w:rsidP="00646EE3">
      <w:pPr>
        <w:rPr>
          <w:rFonts w:ascii="Arial Black" w:hAnsi="Arial Black"/>
          <w:sz w:val="24"/>
          <w:szCs w:val="24"/>
        </w:rPr>
      </w:pPr>
      <w:r>
        <w:rPr>
          <w:rFonts w:ascii="Arial Black" w:hAnsi="Arial Black"/>
          <w:sz w:val="24"/>
          <w:szCs w:val="24"/>
        </w:rPr>
        <w:t>2-9</w:t>
      </w:r>
      <w:r w:rsidR="003D47D0">
        <w:rPr>
          <w:rFonts w:ascii="Arial Black" w:hAnsi="Arial Black"/>
          <w:sz w:val="24"/>
          <w:szCs w:val="24"/>
        </w:rPr>
        <w:t>4</w:t>
      </w:r>
    </w:p>
    <w:p w14:paraId="1CE92539" w14:textId="77777777" w:rsidR="00D811D3" w:rsidRPr="00FE58E1" w:rsidRDefault="00D811D3" w:rsidP="00D811D3">
      <w:pPr>
        <w:spacing w:after="0"/>
        <w:rPr>
          <w:rFonts w:ascii="Arial Black" w:hAnsi="Arial Black"/>
          <w:sz w:val="28"/>
          <w:szCs w:val="28"/>
        </w:rPr>
      </w:pPr>
      <w:r>
        <w:rPr>
          <w:rFonts w:ascii="Arial Black" w:hAnsi="Arial Black"/>
          <w:sz w:val="28"/>
          <w:szCs w:val="28"/>
        </w:rPr>
        <w:t>NY: FDNY INJURED - CAN SUE CONST. CO FOR DEBRY</w:t>
      </w:r>
    </w:p>
    <w:p w14:paraId="3745B5DA" w14:textId="77777777" w:rsidR="00D811D3" w:rsidRDefault="00D811D3" w:rsidP="00D811D3">
      <w:pPr>
        <w:spacing w:after="0"/>
      </w:pPr>
    </w:p>
    <w:p w14:paraId="085E443D" w14:textId="77777777" w:rsidR="00D811D3" w:rsidRDefault="00D811D3" w:rsidP="00D811D3">
      <w:pPr>
        <w:spacing w:after="0"/>
      </w:pPr>
      <w:r>
        <w:t xml:space="preserve">On Oct. 19, 2025, in </w:t>
      </w:r>
      <w:r w:rsidRPr="003A5D65">
        <w:rPr>
          <w:u w:val="single"/>
        </w:rPr>
        <w:t>Christopher Martucci v. 500 W25th Owner, LLC, et al</w:t>
      </w:r>
      <w:r>
        <w:t xml:space="preserve">., Judge Leslie A. Stroth, </w:t>
      </w:r>
      <w:r w:rsidRPr="009D7660">
        <w:t>Supreme Court, New York County</w:t>
      </w:r>
      <w:r>
        <w:t xml:space="preserve"> (unpublished opinion), held that the firefighter may proceed with his lawsuit under the New York statute that amended the “Fireman’s Rule.”  The NY state statute allows firefighters to sue a property owner for damages for </w:t>
      </w:r>
      <w:r w:rsidRPr="002A64EB">
        <w:t>failing to comply with the requirements of any statutes, ordinances, rules, orders and requirements of the federal, state ... or [local] governments' 'directly or indirectly' causes the firefighter's injury or death during the discharge of his or her duties</w:t>
      </w:r>
      <w:r>
        <w:t>. The firefighter injured his leg and arm on March 12, 2018, when moving a construction worker on a stokes basket after the worker’s recovery from a 30–</w:t>
      </w:r>
      <w:proofErr w:type="gramStart"/>
      <w:r>
        <w:t>40 foot</w:t>
      </w:r>
      <w:proofErr w:type="gramEnd"/>
      <w:r>
        <w:t xml:space="preserve"> pit. The firefighter says he fell when walking on “material piles” and this violated </w:t>
      </w:r>
      <w:r w:rsidRPr="00C833B7">
        <w:t>Industrial Code § 23-2.1(a)(1)</w:t>
      </w:r>
      <w:r>
        <w:t xml:space="preserve"> which requires building materials cannot </w:t>
      </w:r>
      <w:r w:rsidRPr="00C833B7">
        <w:t xml:space="preserve">obstruct any </w:t>
      </w:r>
      <w:r>
        <w:t>“</w:t>
      </w:r>
      <w:r w:rsidRPr="00C833B7">
        <w:t>passageway, walkway, stairway or other thoroughfare.</w:t>
      </w:r>
      <w:r>
        <w:t xml:space="preserve">”  </w:t>
      </w:r>
      <w:hyperlink r:id="rId429" w:history="1">
        <w:r w:rsidRPr="00356365">
          <w:rPr>
            <w:rStyle w:val="Hyperlink"/>
          </w:rPr>
          <w:t>https://cases.justia.com/new-york/other-courts/2025-2025-ny-slip-op-33918-u.pdf?ts=1761341322</w:t>
        </w:r>
      </w:hyperlink>
      <w:r>
        <w:t xml:space="preserve"> </w:t>
      </w:r>
    </w:p>
    <w:p w14:paraId="236C9C0C" w14:textId="77777777" w:rsidR="00D811D3" w:rsidRDefault="00D811D3" w:rsidP="00D811D3">
      <w:pPr>
        <w:spacing w:after="0"/>
      </w:pPr>
    </w:p>
    <w:p w14:paraId="18AB4191" w14:textId="77777777" w:rsidR="00D811D3" w:rsidRDefault="00D811D3" w:rsidP="00D811D3">
      <w:pPr>
        <w:spacing w:after="0"/>
      </w:pPr>
      <w:r>
        <w:t>THE COURT HELD:</w:t>
      </w:r>
    </w:p>
    <w:p w14:paraId="7CFF1CE8" w14:textId="77777777" w:rsidR="00D811D3" w:rsidRPr="00C833B7" w:rsidRDefault="00D811D3" w:rsidP="00D811D3">
      <w:pPr>
        <w:spacing w:after="0"/>
      </w:pPr>
    </w:p>
    <w:p w14:paraId="6204EA30" w14:textId="77777777" w:rsidR="00D811D3" w:rsidRDefault="00D811D3" w:rsidP="00D811D3">
      <w:pPr>
        <w:spacing w:after="0"/>
        <w:ind w:left="720"/>
      </w:pPr>
      <w:r>
        <w:t>“</w:t>
      </w:r>
      <w:r w:rsidRPr="00BB1B7E">
        <w:t xml:space="preserve">The Court finds that an issue of material fact remains as to whether there were </w:t>
      </w:r>
      <w:r>
        <w:t>‘</w:t>
      </w:r>
      <w:r w:rsidRPr="00BB1B7E">
        <w:t>material piles</w:t>
      </w:r>
      <w:r>
        <w:t xml:space="preserve">’ </w:t>
      </w:r>
      <w:r w:rsidRPr="00BB1B7E">
        <w:t xml:space="preserve">on a </w:t>
      </w:r>
      <w:r>
        <w:t>‘</w:t>
      </w:r>
      <w:r w:rsidRPr="00BB1B7E">
        <w:t>passageway, walkway, stairway or thoroughfare.</w:t>
      </w:r>
      <w:r>
        <w:t>’</w:t>
      </w:r>
    </w:p>
    <w:p w14:paraId="719921A8" w14:textId="77777777" w:rsidR="00D811D3" w:rsidRDefault="00D811D3" w:rsidP="00D811D3">
      <w:pPr>
        <w:spacing w:after="0"/>
        <w:ind w:left="720"/>
      </w:pPr>
    </w:p>
    <w:p w14:paraId="1AAD0B4A" w14:textId="77777777" w:rsidR="00D811D3" w:rsidRDefault="00D811D3" w:rsidP="00D811D3">
      <w:pPr>
        <w:spacing w:after="0"/>
        <w:ind w:left="720"/>
      </w:pPr>
      <w:r>
        <w:t>***</w:t>
      </w:r>
    </w:p>
    <w:p w14:paraId="7B96E707" w14:textId="77777777" w:rsidR="00D811D3" w:rsidRDefault="00D811D3" w:rsidP="00D811D3">
      <w:pPr>
        <w:spacing w:after="0"/>
        <w:ind w:left="720"/>
      </w:pPr>
    </w:p>
    <w:p w14:paraId="6729ECE1" w14:textId="77777777" w:rsidR="00D811D3" w:rsidRDefault="00D811D3" w:rsidP="00D811D3">
      <w:pPr>
        <w:spacing w:after="0"/>
        <w:ind w:left="720"/>
      </w:pPr>
      <w:r w:rsidRPr="00176E60">
        <w:t>Plaintiff alleges that he responded to an accident on a construction site located at 500 W 25 Street, New York, NY on March 12, 2018. A construction worker had been injured at the bottom of a large excavation pit that was approximately 30-40 feet deep and Plaintiff was dispatched as part of the FDNY Special Operations Rescue Unit. After the injured worker was pulled up from the excavation pit, Plaintiff assisted in carrying him in a titanium basket from the perimeter of the pit, across the construction site, and to the ambulance. As Plaintiff was transporting the injured worker, Plaintiff alleges that he had to step over large amounts of debris and material, that he lost his footing, and that he felt a pop and shooting pain in his left leg and a strain in his arm.</w:t>
      </w:r>
    </w:p>
    <w:p w14:paraId="4E715EF6" w14:textId="77777777" w:rsidR="00D811D3" w:rsidRDefault="00D811D3" w:rsidP="00D811D3">
      <w:pPr>
        <w:spacing w:after="0"/>
        <w:ind w:left="720"/>
      </w:pPr>
    </w:p>
    <w:p w14:paraId="6E54DA6E" w14:textId="77777777" w:rsidR="00D811D3" w:rsidRDefault="00D811D3" w:rsidP="00D811D3">
      <w:pPr>
        <w:spacing w:after="0"/>
        <w:ind w:left="720"/>
      </w:pPr>
      <w:r>
        <w:t>***</w:t>
      </w:r>
    </w:p>
    <w:p w14:paraId="484CB0B6" w14:textId="77777777" w:rsidR="00D811D3" w:rsidRDefault="00D811D3" w:rsidP="00D811D3">
      <w:pPr>
        <w:spacing w:after="0"/>
        <w:ind w:left="720"/>
      </w:pPr>
      <w:r w:rsidRPr="002A64EB">
        <w:t xml:space="preserve">General Municipal Law § 205-a provides an exception to the common-law </w:t>
      </w:r>
      <w:r>
        <w:t>‘</w:t>
      </w:r>
      <w:r w:rsidRPr="002A64EB">
        <w:t>firefighter rule,</w:t>
      </w:r>
      <w:r>
        <w:t>’</w:t>
      </w:r>
      <w:r w:rsidRPr="002A64EB">
        <w:t xml:space="preserve"> </w:t>
      </w:r>
      <w:r w:rsidRPr="002A64EB">
        <w:rPr>
          <w:i/>
          <w:iCs/>
        </w:rPr>
        <w:t>(</w:t>
      </w:r>
      <w:proofErr w:type="spellStart"/>
      <w:r w:rsidRPr="002A64EB">
        <w:rPr>
          <w:i/>
          <w:iCs/>
        </w:rPr>
        <w:t>Galapo</w:t>
      </w:r>
      <w:proofErr w:type="spellEnd"/>
      <w:r w:rsidRPr="002A64EB">
        <w:rPr>
          <w:i/>
          <w:iCs/>
        </w:rPr>
        <w:t xml:space="preserve"> v City of New York,</w:t>
      </w:r>
      <w:r w:rsidRPr="002A64EB">
        <w:t xml:space="preserve"> 95 N.Y.2d 568, 573 [2000]). Under General Municipal Law § 205-a, a firefighter has a right of action where </w:t>
      </w:r>
      <w:r>
        <w:t>‘</w:t>
      </w:r>
      <w:r w:rsidRPr="002A64EB">
        <w:t xml:space="preserve">the negligence of any person ... in failing to comply with the requirements of any statutes, ordinances, rules, orders and requirements of the federal, state ... or [local] governments' 'directly or indirectly' causes the firefighter's injury or death during the discharge of his or her duties </w:t>
      </w:r>
      <w:r w:rsidRPr="002A64EB">
        <w:rPr>
          <w:i/>
          <w:iCs/>
        </w:rPr>
        <w:t>(Giuffrida v Citibank Corp.,</w:t>
      </w:r>
      <w:r w:rsidRPr="002A64EB">
        <w:t xml:space="preserve"> 100 N.Y.2d 72, 77 [2003]).</w:t>
      </w:r>
      <w:r w:rsidRPr="00107955">
        <w:t>"the negligence of any person ... in failing to comply with the requirements of any statutes, ordinances, rules, orders and requirements of the federal, state ... or [local] governments</w:t>
      </w:r>
      <w:r>
        <w:t xml:space="preserve"> </w:t>
      </w:r>
      <w:r w:rsidRPr="00107955">
        <w:t>directly or indirectly causes the firefighter's injury or death during the discharge of his or her duties</w:t>
      </w:r>
      <w:r>
        <w:t>.”</w:t>
      </w:r>
    </w:p>
    <w:p w14:paraId="41240E9C" w14:textId="77777777" w:rsidR="00D811D3" w:rsidRDefault="00D811D3" w:rsidP="00D811D3">
      <w:pPr>
        <w:spacing w:after="0"/>
        <w:ind w:left="720"/>
      </w:pPr>
      <w:r>
        <w:t>***</w:t>
      </w:r>
    </w:p>
    <w:p w14:paraId="1F513E02" w14:textId="77777777" w:rsidR="00D811D3" w:rsidRDefault="00D811D3" w:rsidP="00D811D3">
      <w:pPr>
        <w:spacing w:after="0"/>
        <w:ind w:left="720"/>
      </w:pPr>
      <w:r w:rsidRPr="006404C4">
        <w:t xml:space="preserve">Additionally, Defendants argue that debris is not considered </w:t>
      </w:r>
      <w:r>
        <w:t>‘</w:t>
      </w:r>
      <w:r w:rsidRPr="006404C4">
        <w:t>material piles</w:t>
      </w:r>
      <w:r>
        <w:t>’</w:t>
      </w:r>
      <w:r w:rsidRPr="006404C4">
        <w:t xml:space="preserve"> under Industrial Code § 23-2.1(a)(1). </w:t>
      </w:r>
    </w:p>
    <w:p w14:paraId="0AC48335" w14:textId="77777777" w:rsidR="00D811D3" w:rsidRDefault="00D811D3" w:rsidP="00D811D3">
      <w:pPr>
        <w:spacing w:after="0"/>
        <w:ind w:left="720"/>
      </w:pPr>
    </w:p>
    <w:p w14:paraId="2FEA4FBD" w14:textId="77777777" w:rsidR="00D811D3" w:rsidRDefault="00D811D3" w:rsidP="00D811D3">
      <w:pPr>
        <w:spacing w:after="0"/>
        <w:ind w:left="720"/>
      </w:pPr>
      <w:r w:rsidRPr="006404C4">
        <w:t xml:space="preserve">Conversely, Plaintiff asserts that his testimony clearly demonstrates that he was injured </w:t>
      </w:r>
      <w:proofErr w:type="gramStart"/>
      <w:r w:rsidRPr="006404C4">
        <w:t>as a result of</w:t>
      </w:r>
      <w:proofErr w:type="gramEnd"/>
      <w:r w:rsidRPr="006404C4">
        <w:t xml:space="preserve"> materials and debris. Specifically, Plaintiff stated </w:t>
      </w:r>
      <w:r>
        <w:t>‘</w:t>
      </w:r>
      <w:r w:rsidRPr="006404C4">
        <w:t>I had to climb over and step on concrete forms of all different shapes and sizes, buckets, cut pieces of plywood, bits of construction, concrete and the dirt that was hardened from you know, deep boot footprints and that's when the ground was just moving under me</w:t>
      </w:r>
      <w:r>
        <w:t>’</w:t>
      </w:r>
      <w:r w:rsidRPr="006404C4">
        <w:t xml:space="preserve"> (NYSCEF Doc. No. 188 at 65:3-11). Plaintiff further testified that he was in an area filled with debris and construction material</w:t>
      </w:r>
      <w:r>
        <w:t>….”</w:t>
      </w:r>
    </w:p>
    <w:p w14:paraId="4B01C413" w14:textId="77777777" w:rsidR="00D811D3" w:rsidRDefault="00D811D3" w:rsidP="00D811D3">
      <w:pPr>
        <w:spacing w:after="0"/>
        <w:ind w:left="720"/>
      </w:pPr>
    </w:p>
    <w:p w14:paraId="1DCBF282" w14:textId="742F4473" w:rsidR="00D811D3" w:rsidRPr="006404C4" w:rsidRDefault="00D811D3" w:rsidP="00D811D3">
      <w:pPr>
        <w:spacing w:after="0"/>
        <w:rPr>
          <w:b/>
          <w:bCs/>
        </w:rPr>
      </w:pPr>
      <w:r>
        <w:rPr>
          <w:b/>
        </w:rPr>
        <w:t>L</w:t>
      </w:r>
      <w:r w:rsidRPr="00CB20EE">
        <w:rPr>
          <w:b/>
        </w:rPr>
        <w:t xml:space="preserve">esson Learned:  </w:t>
      </w:r>
      <w:r>
        <w:rPr>
          <w:b/>
        </w:rPr>
        <w:t>The firefighter is covered by worker’s comp</w:t>
      </w:r>
      <w:r>
        <w:rPr>
          <w:b/>
          <w:bCs/>
        </w:rPr>
        <w:t>.</w:t>
      </w:r>
      <w:r>
        <w:rPr>
          <w:b/>
        </w:rPr>
        <w:t xml:space="preserve"> and may be able to obtain damages if he can prove a violation of the N.Y. Industrial Code. </w:t>
      </w:r>
    </w:p>
    <w:p w14:paraId="5F1EA07E" w14:textId="77777777" w:rsidR="00D811D3" w:rsidRDefault="00D811D3" w:rsidP="00646EE3">
      <w:pPr>
        <w:rPr>
          <w:rFonts w:ascii="Arial Black" w:hAnsi="Arial Black"/>
          <w:sz w:val="24"/>
          <w:szCs w:val="24"/>
        </w:rPr>
      </w:pPr>
    </w:p>
    <w:p w14:paraId="63645EE5" w14:textId="77777777" w:rsidR="001D5809" w:rsidRDefault="001D5809" w:rsidP="00646EE3">
      <w:pPr>
        <w:rPr>
          <w:rFonts w:ascii="Arial Black" w:hAnsi="Arial Black"/>
          <w:sz w:val="24"/>
          <w:szCs w:val="24"/>
        </w:rPr>
      </w:pPr>
    </w:p>
    <w:p w14:paraId="44166B6D" w14:textId="11864653" w:rsidR="001D5809" w:rsidRDefault="009B6C6E" w:rsidP="00646EE3">
      <w:pPr>
        <w:rPr>
          <w:rFonts w:ascii="Arial Black" w:hAnsi="Arial Black"/>
          <w:sz w:val="24"/>
          <w:szCs w:val="24"/>
        </w:rPr>
      </w:pPr>
      <w:r>
        <w:rPr>
          <w:rFonts w:ascii="Arial Black" w:hAnsi="Arial Black"/>
          <w:sz w:val="24"/>
          <w:szCs w:val="24"/>
        </w:rPr>
        <w:t>2-93</w:t>
      </w:r>
    </w:p>
    <w:p w14:paraId="4A29BA42" w14:textId="77777777" w:rsidR="009B6C6E" w:rsidRPr="003F3E92" w:rsidRDefault="009B6C6E" w:rsidP="009B6C6E">
      <w:pPr>
        <w:pStyle w:val="NoSpacing"/>
        <w:rPr>
          <w:rFonts w:ascii="Arial Black" w:hAnsi="Arial Black"/>
          <w:sz w:val="28"/>
          <w:szCs w:val="28"/>
        </w:rPr>
      </w:pPr>
      <w:r>
        <w:rPr>
          <w:rFonts w:ascii="Arial Black" w:hAnsi="Arial Black"/>
          <w:sz w:val="28"/>
          <w:szCs w:val="28"/>
        </w:rPr>
        <w:t xml:space="preserve">NY: FDNY – FIRE 2011 / CAN’T SUE LACK TRAINING ON TIC </w:t>
      </w:r>
    </w:p>
    <w:p w14:paraId="3DDB5F07" w14:textId="77777777" w:rsidR="009B6C6E" w:rsidRDefault="009B6C6E" w:rsidP="009B6C6E">
      <w:pPr>
        <w:pStyle w:val="NoSpacing"/>
      </w:pPr>
    </w:p>
    <w:p w14:paraId="23D95C59" w14:textId="77777777" w:rsidR="009B6C6E" w:rsidRDefault="009B6C6E" w:rsidP="009B6C6E">
      <w:pPr>
        <w:pStyle w:val="NoSpacing"/>
        <w:rPr>
          <w:b/>
        </w:rPr>
      </w:pPr>
      <w:r>
        <w:t xml:space="preserve">On Oct. 15, 2025, in </w:t>
      </w:r>
      <w:r w:rsidRPr="009D5624">
        <w:rPr>
          <w:u w:val="single"/>
        </w:rPr>
        <w:t>James Gersbeck v. Robert Wiedmann, Jr., et al., Haldane Rodgers, et al., defendants, City of New York, respondent</w:t>
      </w:r>
      <w:r>
        <w:t xml:space="preserve">, the </w:t>
      </w:r>
      <w:r w:rsidRPr="00684B09">
        <w:t>Supreme Court of New York, Second Department</w:t>
      </w:r>
      <w:r>
        <w:t xml:space="preserve"> held (5 to 0) that lawsuit was properly dismissed.  He was injured in a fire in December 2011. </w:t>
      </w:r>
      <w:r w:rsidRPr="002B7B2B">
        <w:t xml:space="preserve">In February 2013, the injured plaintiff and Catherine </w:t>
      </w:r>
      <w:proofErr w:type="gramStart"/>
      <w:r w:rsidRPr="002B7B2B">
        <w:t>Wiedmann,</w:t>
      </w:r>
      <w:proofErr w:type="gramEnd"/>
      <w:r w:rsidRPr="002B7B2B">
        <w:t xml:space="preserve"> commenced this action against the </w:t>
      </w:r>
      <w:proofErr w:type="gramStart"/>
      <w:r w:rsidRPr="002B7B2B">
        <w:t>City</w:t>
      </w:r>
      <w:proofErr w:type="gramEnd"/>
      <w:r>
        <w:t xml:space="preserve">.  </w:t>
      </w:r>
      <w:r w:rsidRPr="008C7C72">
        <w:t xml:space="preserve">In March 2012, </w:t>
      </w:r>
      <w:r>
        <w:t xml:space="preserve">he </w:t>
      </w:r>
      <w:r w:rsidRPr="008C7C72">
        <w:t xml:space="preserve">filed a notice of claim with the City of New York alleging that the </w:t>
      </w:r>
      <w:proofErr w:type="gramStart"/>
      <w:r w:rsidRPr="008C7C72">
        <w:t>City</w:t>
      </w:r>
      <w:proofErr w:type="gramEnd"/>
      <w:r w:rsidRPr="008C7C72">
        <w:t xml:space="preserve"> was negligent</w:t>
      </w:r>
      <w:r>
        <w:t xml:space="preserve"> in training on use of thermal imaging camera (TIC)</w:t>
      </w:r>
      <w:r w:rsidRPr="008C7C72">
        <w:t xml:space="preserve">. </w:t>
      </w:r>
      <w:r>
        <w:t xml:space="preserve"> </w:t>
      </w:r>
      <w:r w:rsidRPr="008C7C72">
        <w:t xml:space="preserve">A hearing was held, and an investigation by </w:t>
      </w:r>
      <w:proofErr w:type="gramStart"/>
      <w:r w:rsidRPr="008C7C72">
        <w:t>the FDNY</w:t>
      </w:r>
      <w:proofErr w:type="gramEnd"/>
      <w:r w:rsidRPr="008C7C72">
        <w:t xml:space="preserve"> was conducted.</w:t>
      </w:r>
      <w:r>
        <w:t xml:space="preserve">  His </w:t>
      </w:r>
      <w:r w:rsidRPr="00272AE0">
        <w:t>theory of liability that the defendant failed to properly follow an FDNY internal training bulletin regarding the use of thermal imaging cameras—</w:t>
      </w:r>
      <w:r>
        <w:t xml:space="preserve"> </w:t>
      </w:r>
      <w:r w:rsidRPr="00272AE0">
        <w:t>does not fall within the scope of General Municipal Law § 205-a</w:t>
      </w:r>
      <w:r>
        <w:t xml:space="preserve">.  </w:t>
      </w:r>
      <w:hyperlink r:id="rId430" w:history="1">
        <w:r w:rsidRPr="0024236A">
          <w:rPr>
            <w:rStyle w:val="Hyperlink"/>
            <w:b/>
          </w:rPr>
          <w:t>https://law.justia.com/cases/new-york/appellate-division-second-department/2025/2024-09583.html</w:t>
        </w:r>
      </w:hyperlink>
      <w:r>
        <w:rPr>
          <w:b/>
        </w:rPr>
        <w:t xml:space="preserve"> </w:t>
      </w:r>
    </w:p>
    <w:p w14:paraId="64B87CC6" w14:textId="77777777" w:rsidR="009B6C6E" w:rsidRDefault="009B6C6E" w:rsidP="009B6C6E">
      <w:pPr>
        <w:pStyle w:val="NoSpacing"/>
      </w:pPr>
      <w:r>
        <w:lastRenderedPageBreak/>
        <w:t xml:space="preserve"> </w:t>
      </w:r>
    </w:p>
    <w:p w14:paraId="1497ABD9" w14:textId="77777777" w:rsidR="009B6C6E" w:rsidRDefault="009B6C6E" w:rsidP="009B6C6E">
      <w:pPr>
        <w:pStyle w:val="NoSpacing"/>
      </w:pPr>
      <w:r>
        <w:t>THE COURT HELD:</w:t>
      </w:r>
    </w:p>
    <w:p w14:paraId="19A8573C" w14:textId="77777777" w:rsidR="009B6C6E" w:rsidRDefault="009B6C6E" w:rsidP="009B6C6E">
      <w:pPr>
        <w:pStyle w:val="NoSpacing"/>
      </w:pPr>
    </w:p>
    <w:p w14:paraId="6A276380" w14:textId="77777777" w:rsidR="009B6C6E" w:rsidRDefault="009B6C6E" w:rsidP="009B6C6E">
      <w:pPr>
        <w:pStyle w:val="NoSpacing"/>
        <w:ind w:left="720"/>
      </w:pPr>
      <w:r>
        <w:t>“</w:t>
      </w:r>
      <w:r w:rsidRPr="00287D80">
        <w:t xml:space="preserve">Contrary to the plaintiffs' contention, the court properly determined that their notice of claim was insufficient to enable the </w:t>
      </w:r>
      <w:proofErr w:type="gramStart"/>
      <w:r w:rsidRPr="00287D80">
        <w:t>City</w:t>
      </w:r>
      <w:proofErr w:type="gramEnd"/>
      <w:r w:rsidRPr="00287D80">
        <w:t xml:space="preserve"> to investigate, collect evidence, and evaluate the merits</w:t>
      </w:r>
      <w:r>
        <w:t xml:space="preserve"> </w:t>
      </w:r>
      <w:r w:rsidRPr="00287D80">
        <w:t>of the plaintiffs' allegations regarding negligent training in violation of General Municipal Law § 205-a.</w:t>
      </w:r>
    </w:p>
    <w:p w14:paraId="04210304" w14:textId="77777777" w:rsidR="009B6C6E" w:rsidRDefault="009B6C6E" w:rsidP="009B6C6E">
      <w:pPr>
        <w:pStyle w:val="NoSpacing"/>
        <w:ind w:left="720"/>
      </w:pPr>
    </w:p>
    <w:p w14:paraId="017D57F2" w14:textId="77777777" w:rsidR="009B6C6E" w:rsidRDefault="009B6C6E" w:rsidP="009B6C6E">
      <w:pPr>
        <w:pStyle w:val="NoSpacing"/>
        <w:ind w:left="720"/>
      </w:pPr>
      <w:r>
        <w:t>***</w:t>
      </w:r>
    </w:p>
    <w:p w14:paraId="40A387D3" w14:textId="77777777" w:rsidR="009B6C6E" w:rsidRDefault="009B6C6E" w:rsidP="009B6C6E">
      <w:pPr>
        <w:pStyle w:val="NoSpacing"/>
        <w:ind w:left="720"/>
      </w:pPr>
      <w:r w:rsidRPr="00E426EA">
        <w:t>Here, the plaintiffs' notice of claim failed to set forth any negligent training allegations that could later form the basis of their cause of action alleging a violation of General Municipal Law § 205-a.</w:t>
      </w:r>
    </w:p>
    <w:p w14:paraId="5C9E8A3C" w14:textId="77777777" w:rsidR="009B6C6E" w:rsidRDefault="009B6C6E" w:rsidP="009B6C6E">
      <w:pPr>
        <w:pStyle w:val="NoSpacing"/>
        <w:ind w:left="720"/>
      </w:pPr>
    </w:p>
    <w:p w14:paraId="492A0A45" w14:textId="77777777" w:rsidR="009B6C6E" w:rsidRDefault="009B6C6E" w:rsidP="009B6C6E">
      <w:pPr>
        <w:pStyle w:val="NoSpacing"/>
        <w:ind w:left="720"/>
      </w:pPr>
      <w:r>
        <w:t>***</w:t>
      </w:r>
    </w:p>
    <w:p w14:paraId="6CD8D72D" w14:textId="77777777" w:rsidR="009B6C6E" w:rsidRDefault="009B6C6E" w:rsidP="009B6C6E">
      <w:pPr>
        <w:pStyle w:val="NoSpacing"/>
        <w:ind w:left="720"/>
      </w:pPr>
      <w:r>
        <w:t>‘</w:t>
      </w:r>
      <w:r w:rsidRPr="008E352B">
        <w:t>General Municipal Law § 205-a establishes the right of an injured firefighter to recover against any party whose neglect or omission to comply with governmental requirements results directly or indirectly in the firefighter's injury</w:t>
      </w:r>
      <w:r>
        <w:t>’</w:t>
      </w:r>
      <w:r w:rsidRPr="008E352B">
        <w:t xml:space="preserve"> (</w:t>
      </w:r>
      <w:r w:rsidRPr="008E352B">
        <w:rPr>
          <w:i/>
          <w:iCs/>
        </w:rPr>
        <w:t>Annunziata v City of New York</w:t>
      </w:r>
      <w:r w:rsidRPr="008E352B">
        <w:t xml:space="preserve">, 175 AD3d 438, 442 [internal quotation marks omitted]; </w:t>
      </w:r>
      <w:r w:rsidRPr="008E352B">
        <w:rPr>
          <w:i/>
          <w:iCs/>
        </w:rPr>
        <w:t>see Shea v New York City Economic Dev. Corp.</w:t>
      </w:r>
      <w:r w:rsidRPr="008E352B">
        <w:t xml:space="preserve">, 161 AD3d 803, 805). </w:t>
      </w:r>
      <w:r>
        <w:t>‘</w:t>
      </w:r>
      <w:r w:rsidRPr="008E352B">
        <w:t>A plaintiff seeking recovery under General Municipal Law § 205-a must identify the statute or ordinance with which the defendant failed to comply, describe the manner in which the firefighter was injured, and set forth those facts from which it may be inferred that the defendant's negligence directly or indirectly caused the harm to the firefighter</w:t>
      </w:r>
      <w:r>
        <w:t>’</w:t>
      </w:r>
      <w:r w:rsidRPr="008E352B">
        <w:t xml:space="preserve"> (</w:t>
      </w:r>
      <w:r w:rsidRPr="008E352B">
        <w:rPr>
          <w:i/>
          <w:iCs/>
        </w:rPr>
        <w:t>Annunziata v City of New York</w:t>
      </w:r>
      <w:r w:rsidRPr="008E352B">
        <w:t xml:space="preserve">, 175 AD3d at 442 [alteration and internal quotation marks omitted]; </w:t>
      </w:r>
      <w:r w:rsidRPr="008E352B">
        <w:rPr>
          <w:i/>
          <w:iCs/>
        </w:rPr>
        <w:t>see Shea v New York City Economic Dev. Corp.</w:t>
      </w:r>
      <w:r w:rsidRPr="008E352B">
        <w:t>, 161 AD3d at 805).</w:t>
      </w:r>
      <w:r>
        <w:t>”</w:t>
      </w:r>
    </w:p>
    <w:p w14:paraId="55C3B895" w14:textId="77777777" w:rsidR="009B6C6E" w:rsidRDefault="009B6C6E" w:rsidP="009B6C6E">
      <w:pPr>
        <w:pStyle w:val="NoSpacing"/>
        <w:ind w:left="720"/>
      </w:pPr>
    </w:p>
    <w:p w14:paraId="508D00DF" w14:textId="631FD494" w:rsidR="009B6C6E" w:rsidRDefault="009B6C6E" w:rsidP="009B6C6E">
      <w:pPr>
        <w:pStyle w:val="NoSpacing"/>
        <w:rPr>
          <w:b/>
          <w:bCs/>
        </w:rPr>
      </w:pPr>
      <w:r>
        <w:rPr>
          <w:b/>
        </w:rPr>
        <w:t xml:space="preserve">Lesson learned:  The NY law allowing injured </w:t>
      </w:r>
      <w:proofErr w:type="gramStart"/>
      <w:r>
        <w:rPr>
          <w:b/>
        </w:rPr>
        <w:t>firefighter</w:t>
      </w:r>
      <w:proofErr w:type="gramEnd"/>
      <w:r>
        <w:rPr>
          <w:b/>
        </w:rPr>
        <w:t xml:space="preserve"> and police to sue third parties requires proof of violation of regulations. </w:t>
      </w:r>
    </w:p>
    <w:p w14:paraId="4C67558F" w14:textId="77777777" w:rsidR="009B6C6E" w:rsidRDefault="009B6C6E" w:rsidP="009B6C6E">
      <w:pPr>
        <w:pStyle w:val="NoSpacing"/>
        <w:rPr>
          <w:b/>
          <w:bCs/>
        </w:rPr>
      </w:pPr>
    </w:p>
    <w:p w14:paraId="334A3407" w14:textId="77777777" w:rsidR="009B6C6E" w:rsidRDefault="009B6C6E" w:rsidP="009B6C6E">
      <w:pPr>
        <w:pStyle w:val="NoSpacing"/>
        <w:ind w:left="720"/>
        <w:rPr>
          <w:bCs/>
        </w:rPr>
      </w:pPr>
      <w:r>
        <w:t xml:space="preserve">Note:  Read the statute: </w:t>
      </w:r>
      <w:r w:rsidRPr="00997FE5">
        <w:t>New York Consolidated Laws, General Municipal Law - GMU § 205-a. Additional right of action to certain injured or representatives of certain deceased firefighters</w:t>
      </w:r>
    </w:p>
    <w:p w14:paraId="40BACBA8" w14:textId="77777777" w:rsidR="009B6C6E" w:rsidRPr="00997FE5" w:rsidRDefault="009B6C6E" w:rsidP="009B6C6E">
      <w:pPr>
        <w:pStyle w:val="NoSpacing"/>
        <w:ind w:left="720"/>
        <w:rPr>
          <w:bCs/>
        </w:rPr>
      </w:pPr>
      <w:hyperlink r:id="rId431" w:history="1">
        <w:r w:rsidRPr="0024236A">
          <w:rPr>
            <w:rStyle w:val="Hyperlink"/>
          </w:rPr>
          <w:t>https://codes.findlaw.com/ny/general-municipal-law/gmu-sect-205-a/</w:t>
        </w:r>
      </w:hyperlink>
      <w:r>
        <w:t xml:space="preserve"> </w:t>
      </w:r>
    </w:p>
    <w:p w14:paraId="5923C113" w14:textId="77777777" w:rsidR="009B6C6E" w:rsidRDefault="009B6C6E" w:rsidP="009B6C6E">
      <w:pPr>
        <w:pStyle w:val="NoSpacing"/>
      </w:pPr>
    </w:p>
    <w:p w14:paraId="4BB2D5F6" w14:textId="77777777" w:rsidR="009B6C6E" w:rsidRPr="00E12E19" w:rsidRDefault="009B6C6E" w:rsidP="009B6C6E">
      <w:pPr>
        <w:pStyle w:val="NoSpacing"/>
        <w:ind w:left="720"/>
      </w:pPr>
      <w:r>
        <w:t>“</w:t>
      </w:r>
      <w:r w:rsidRPr="00E12E19">
        <w:t>In addition to any other right of action or recovery under any other provision of law, in the event any accident, causing injury, death or a disease which results in death, occurs directly or indirectly as a result of any neglect, omission, willful or culpable negligence of any person or persons in failing to comply with the requirements of any of the statutes, ordinances, rules, orders and requirements of the federal, state, county, village, town or city governments or of any and all their departments, divisions and bureaus, the person or persons guilty of said neglect, omission, willful or culpable negligence at the time of such injury or death shall be liable to pay any officer, member, agent or employee of any fire department injured, or whose life may be lost while in the discharge or performance at any time or place of any duty imposed by the fire commissioner, fire chief or other superior officer of the fire department, or to pay to the wife and children, or to pay to the parents, or to pay to the brothers and sisters, being the surviving heirs-at-law of any deceased person thus having lost his life, a sum of money, in case of injury to person, not less than ten thousand dollars, and in case of death not less than forty thousand dollars, such liability to be determined and such sums recovered in an action to be instituted by any person injured or the family or relatives of any person killed as aforesaid.</w:t>
      </w:r>
      <w:r>
        <w:t>”</w:t>
      </w:r>
    </w:p>
    <w:p w14:paraId="4E87C8A8" w14:textId="77777777" w:rsidR="009B6C6E" w:rsidRDefault="009B6C6E" w:rsidP="00646EE3">
      <w:pPr>
        <w:rPr>
          <w:rFonts w:ascii="Arial Black" w:hAnsi="Arial Black"/>
          <w:sz w:val="24"/>
          <w:szCs w:val="24"/>
        </w:rPr>
      </w:pPr>
    </w:p>
    <w:p w14:paraId="23027C93" w14:textId="77777777" w:rsidR="001D5809" w:rsidRDefault="001D5809" w:rsidP="00646EE3">
      <w:pPr>
        <w:rPr>
          <w:rFonts w:ascii="Arial Black" w:hAnsi="Arial Black"/>
          <w:sz w:val="24"/>
          <w:szCs w:val="24"/>
        </w:rPr>
      </w:pPr>
    </w:p>
    <w:p w14:paraId="68A35A19" w14:textId="2B2419E7" w:rsidR="000D2571" w:rsidRDefault="000D2571" w:rsidP="00646EE3">
      <w:pPr>
        <w:rPr>
          <w:rFonts w:ascii="Arial Black" w:hAnsi="Arial Black"/>
          <w:sz w:val="24"/>
          <w:szCs w:val="24"/>
        </w:rPr>
      </w:pPr>
      <w:r>
        <w:rPr>
          <w:rFonts w:ascii="Arial Black" w:hAnsi="Arial Black"/>
          <w:sz w:val="24"/>
          <w:szCs w:val="24"/>
        </w:rPr>
        <w:t>2-9</w:t>
      </w:r>
      <w:r w:rsidR="00393C3E">
        <w:rPr>
          <w:rFonts w:ascii="Arial Black" w:hAnsi="Arial Black"/>
          <w:sz w:val="24"/>
          <w:szCs w:val="24"/>
        </w:rPr>
        <w:t>2</w:t>
      </w:r>
    </w:p>
    <w:p w14:paraId="667789B7" w14:textId="5DB041DD" w:rsidR="000D2571" w:rsidRDefault="000D2571" w:rsidP="000D2571">
      <w:pPr>
        <w:rPr>
          <w:rFonts w:ascii="Arial Black" w:hAnsi="Arial Black"/>
          <w:b/>
          <w:sz w:val="28"/>
          <w:szCs w:val="28"/>
        </w:rPr>
      </w:pPr>
      <w:r>
        <w:rPr>
          <w:rFonts w:ascii="Arial Black" w:hAnsi="Arial Black"/>
          <w:b/>
          <w:sz w:val="28"/>
          <w:szCs w:val="28"/>
        </w:rPr>
        <w:t xml:space="preserve">NY: LODD - BDG INSPEC ARRESTED - FALSE STATE REPORTS </w:t>
      </w:r>
    </w:p>
    <w:p w14:paraId="12EB1391" w14:textId="77777777" w:rsidR="000D2571" w:rsidRDefault="000D2571" w:rsidP="000D2571">
      <w:pPr>
        <w:pStyle w:val="NoSpacing"/>
        <w:rPr>
          <w:bCs/>
        </w:rPr>
      </w:pPr>
      <w:r>
        <w:t xml:space="preserve">On September 2, 2025, in </w:t>
      </w:r>
      <w:r w:rsidRPr="00A91A31">
        <w:rPr>
          <w:u w:val="single"/>
        </w:rPr>
        <w:t>Raymond Canario v. The County of Rockland, et al</w:t>
      </w:r>
      <w:r>
        <w:t xml:space="preserve">., U.S. District Court Judge Kenneth M. Karas, United States District Court for the Southern District of New York, dismissed the false arrest lawsuit by the former </w:t>
      </w:r>
      <w:r>
        <w:lastRenderedPageBreak/>
        <w:t xml:space="preserve">Assistant Building Inspector, who was charged with submitting false reports to the state about building inspections in Spring Valley, NY.  He was arrested and indicted but at bench trial was found not guilty since no intent to defraud.    The investigation of building inspections was launched by District Attorney after the </w:t>
      </w:r>
      <w:r w:rsidRPr="00534AF1">
        <w:t xml:space="preserve">March 23, </w:t>
      </w:r>
      <w:proofErr w:type="gramStart"/>
      <w:r w:rsidRPr="00534AF1">
        <w:t>2021</w:t>
      </w:r>
      <w:proofErr w:type="gramEnd"/>
      <w:r>
        <w:t xml:space="preserve"> </w:t>
      </w:r>
      <w:r w:rsidRPr="00534AF1">
        <w:t xml:space="preserve">fire at the Evergreen Court Home for Adults, </w:t>
      </w:r>
      <w:r>
        <w:t xml:space="preserve">which killed </w:t>
      </w:r>
      <w:r w:rsidRPr="00534AF1">
        <w:t>a</w:t>
      </w:r>
      <w:r>
        <w:t xml:space="preserve"> </w:t>
      </w:r>
      <w:r w:rsidRPr="00534AF1">
        <w:t xml:space="preserve">firefighter </w:t>
      </w:r>
      <w:r>
        <w:t xml:space="preserve">(volunteer </w:t>
      </w:r>
      <w:r w:rsidRPr="003178B7">
        <w:t>Jared Lloyd</w:t>
      </w:r>
      <w:r>
        <w:rPr>
          <w:b/>
        </w:rPr>
        <w:t xml:space="preserve">) </w:t>
      </w:r>
      <w:r w:rsidRPr="00534AF1">
        <w:t>and a resident</w:t>
      </w:r>
      <w:r>
        <w:t>.  In September 2023, t</w:t>
      </w:r>
      <w:r w:rsidRPr="00BB5EAD">
        <w:t>wo rabbis, a father and son, were sentenced to probation following a plea deal</w:t>
      </w:r>
      <w:r>
        <w:t xml:space="preserve">; they had used a </w:t>
      </w:r>
      <w:r w:rsidRPr="00D01FB6">
        <w:t>blowtorch to clean the kitchen and utensils of traces of forbidden food before Passover.</w:t>
      </w:r>
    </w:p>
    <w:p w14:paraId="5F5A4C3C" w14:textId="77777777" w:rsidR="000D2571" w:rsidRDefault="000D2571" w:rsidP="000D2571">
      <w:pPr>
        <w:pStyle w:val="NoSpacing"/>
        <w:rPr>
          <w:bCs/>
        </w:rPr>
      </w:pPr>
    </w:p>
    <w:p w14:paraId="262B7A3B" w14:textId="77777777" w:rsidR="000D2571" w:rsidRDefault="000D2571" w:rsidP="000D2571">
      <w:pPr>
        <w:pStyle w:val="NoSpacing"/>
      </w:pPr>
      <w:r w:rsidRPr="002C4FA3">
        <w:rPr>
          <w:b/>
        </w:rPr>
        <w:t xml:space="preserve">THE COURT HELD: </w:t>
      </w:r>
      <w:r>
        <w:t>“</w:t>
      </w:r>
      <w:r w:rsidRPr="00AC5646">
        <w:t>Even drawing inferences in Plaintiff’s</w:t>
      </w:r>
      <w:r>
        <w:t xml:space="preserve"> </w:t>
      </w:r>
      <w:r w:rsidRPr="00AC5646">
        <w:t>favor, the totality of the circumstances supports the existence of probable cause to arrest Plaintiff</w:t>
      </w:r>
      <w:r>
        <w:t xml:space="preserve"> </w:t>
      </w:r>
      <w:r w:rsidRPr="00AC5646">
        <w:t>for offering a false instrument for filing in the first degree.</w:t>
      </w:r>
      <w:r>
        <w:t xml:space="preserve"> These discrepancies may reasonably be seen as false statements or false information, and there is no dispute that the New York Department of State is an entity covered by the statute…. Accordingly, because there was probable cause to arrest, the Court dismisses Plaintiff’s false arrest claims.”  </w:t>
      </w:r>
      <w:hyperlink r:id="rId432" w:history="1">
        <w:r w:rsidRPr="00FC5CC7">
          <w:rPr>
            <w:rStyle w:val="Hyperlink"/>
          </w:rPr>
          <w:t>https://cases.justia.com/federal/district-courts/new-york/nysdce/7:2024cv04470/623029/85/0.pdf?ts=1756903853</w:t>
        </w:r>
      </w:hyperlink>
      <w:r>
        <w:t xml:space="preserve"> </w:t>
      </w:r>
    </w:p>
    <w:p w14:paraId="6CFCFA81" w14:textId="77777777" w:rsidR="000D2571" w:rsidRDefault="000D2571" w:rsidP="000D2571">
      <w:pPr>
        <w:pStyle w:val="NoSpacing"/>
      </w:pPr>
    </w:p>
    <w:p w14:paraId="4023153C" w14:textId="77777777" w:rsidR="000D2571" w:rsidRDefault="000D2571" w:rsidP="000D2571">
      <w:pPr>
        <w:pStyle w:val="NoSpacing"/>
        <w:rPr>
          <w:b/>
          <w:bCs/>
        </w:rPr>
      </w:pPr>
      <w:r w:rsidRPr="00E4138B">
        <w:rPr>
          <w:b/>
        </w:rPr>
        <w:t xml:space="preserve">KEY FACTS: </w:t>
      </w:r>
    </w:p>
    <w:p w14:paraId="1CF267B4" w14:textId="77777777" w:rsidR="000D2571" w:rsidRDefault="000D2571" w:rsidP="000D2571">
      <w:pPr>
        <w:pStyle w:val="NoSpacing"/>
        <w:rPr>
          <w:b/>
          <w:bCs/>
        </w:rPr>
      </w:pPr>
    </w:p>
    <w:p w14:paraId="1A81341E" w14:textId="77777777" w:rsidR="000D2571" w:rsidRPr="00E4138B" w:rsidRDefault="000D2571" w:rsidP="000D2571">
      <w:pPr>
        <w:pStyle w:val="NoSpacing"/>
        <w:ind w:firstLine="720"/>
      </w:pPr>
      <w:r>
        <w:t>“</w:t>
      </w:r>
      <w:r w:rsidRPr="00E4138B">
        <w:t>In April 2019, Plaintiff was hired as Assistant Building Inspector by the mayor of Spring</w:t>
      </w:r>
    </w:p>
    <w:p w14:paraId="69B92090" w14:textId="77777777" w:rsidR="000D2571" w:rsidRPr="00E4138B" w:rsidRDefault="000D2571" w:rsidP="000D2571">
      <w:pPr>
        <w:pStyle w:val="NoSpacing"/>
        <w:ind w:firstLine="720"/>
      </w:pPr>
      <w:r w:rsidRPr="00E4138B">
        <w:t>Valley, New York</w:t>
      </w:r>
      <w:r>
        <w:t xml:space="preserve">…. </w:t>
      </w:r>
      <w:r w:rsidRPr="00E4138B">
        <w:t>19 N.Y.C.R.R. § 1203 requires that municipalities like</w:t>
      </w:r>
    </w:p>
    <w:p w14:paraId="7E2320F4" w14:textId="77777777" w:rsidR="000D2571" w:rsidRDefault="000D2571" w:rsidP="000D2571">
      <w:pPr>
        <w:pStyle w:val="NoSpacing"/>
        <w:ind w:left="720"/>
      </w:pPr>
      <w:r w:rsidRPr="00E4138B">
        <w:t xml:space="preserve">Spring Valley </w:t>
      </w:r>
      <w:r>
        <w:t>‘</w:t>
      </w:r>
      <w:r w:rsidRPr="00E4138B">
        <w:t xml:space="preserve">annually </w:t>
      </w:r>
      <w:proofErr w:type="gramStart"/>
      <w:r w:rsidRPr="00E4138B">
        <w:t>submit</w:t>
      </w:r>
      <w:proofErr w:type="gramEnd"/>
      <w:r w:rsidRPr="00E4138B">
        <w:t xml:space="preserve"> to the [New York] Secretary of State . . . a report of its activities</w:t>
      </w:r>
      <w:r>
        <w:t xml:space="preserve"> </w:t>
      </w:r>
      <w:proofErr w:type="gramStart"/>
      <w:r w:rsidRPr="00E4138B">
        <w:t>relative</w:t>
      </w:r>
      <w:proofErr w:type="gramEnd"/>
      <w:r w:rsidRPr="00E4138B">
        <w:t xml:space="preserve"> to administration and enforcement of the [New York State Uniform Fire Prevention and</w:t>
      </w:r>
      <w:r>
        <w:t xml:space="preserve"> </w:t>
      </w:r>
      <w:r w:rsidRPr="00E4138B">
        <w:t>Building Code and the New York State Energy Conservation Construction Code].</w:t>
      </w:r>
      <w:r>
        <w:t xml:space="preserve">’ … These reports are also called “1203 Reports.”… Plaintiff was assigned to file 1203 Reports…. Plaintiff, who had no prior experience as a building inspector, was supposed to report to the Building Inspector, a position that was vacant…. Plaintiff had difficulty completing the 1203 Reports, … and based his reporting ‘upon charts noting inspection status provided by the staff [and] not from personal visits and investigations,’ which Plaintiff “believe[ed] . . . accurately reflected . . . [building] inspections,’ </w:t>
      </w:r>
      <w:proofErr w:type="gramStart"/>
      <w:r>
        <w:t>…..</w:t>
      </w:r>
      <w:proofErr w:type="gramEnd"/>
      <w:r>
        <w:t xml:space="preserve"> Plaintiff characterized the information contained in the 1203 Reports that he submitted as ‘an estimate.’ </w:t>
      </w:r>
    </w:p>
    <w:p w14:paraId="24B43F62" w14:textId="77777777" w:rsidR="000D2571" w:rsidRDefault="000D2571" w:rsidP="000D2571">
      <w:pPr>
        <w:pStyle w:val="NoSpacing"/>
        <w:ind w:left="720"/>
      </w:pPr>
    </w:p>
    <w:p w14:paraId="31F04721" w14:textId="77777777" w:rsidR="000D2571" w:rsidRDefault="000D2571" w:rsidP="000D2571">
      <w:pPr>
        <w:pStyle w:val="NoSpacing"/>
        <w:ind w:left="720"/>
      </w:pPr>
      <w:r>
        <w:t>***</w:t>
      </w:r>
    </w:p>
    <w:p w14:paraId="69E57D20" w14:textId="77777777" w:rsidR="000D2571" w:rsidRDefault="000D2571" w:rsidP="000D2571">
      <w:pPr>
        <w:pStyle w:val="NoSpacing"/>
        <w:ind w:left="720"/>
      </w:pPr>
      <w:r>
        <w:t>The 1203 Reports list information including, for example, the number of building permits</w:t>
      </w:r>
    </w:p>
    <w:p w14:paraId="23FE210C" w14:textId="77777777" w:rsidR="000D2571" w:rsidRDefault="000D2571" w:rsidP="000D2571">
      <w:pPr>
        <w:pStyle w:val="NoSpacing"/>
        <w:ind w:left="720"/>
      </w:pPr>
      <w:r>
        <w:t xml:space="preserve">issued by building type, the number of buildings by type and how many of each were inspected in the last year, and the number of new constructions complete and percentage thereof that are at least 90% compliant…. </w:t>
      </w:r>
    </w:p>
    <w:p w14:paraId="67469CD4" w14:textId="77777777" w:rsidR="000D2571" w:rsidRDefault="000D2571" w:rsidP="000D2571">
      <w:pPr>
        <w:pStyle w:val="NoSpacing"/>
        <w:ind w:left="720"/>
      </w:pPr>
    </w:p>
    <w:p w14:paraId="1AFB5832" w14:textId="77777777" w:rsidR="000D2571" w:rsidRDefault="000D2571" w:rsidP="000D2571">
      <w:pPr>
        <w:pStyle w:val="NoSpacing"/>
        <w:ind w:left="720"/>
      </w:pPr>
      <w:r>
        <w:t>On March 23, 2021, a fire ignited at the Evergreen Court Home for Adults, killing a</w:t>
      </w:r>
    </w:p>
    <w:p w14:paraId="37732E36" w14:textId="77777777" w:rsidR="000D2571" w:rsidRDefault="000D2571" w:rsidP="000D2571">
      <w:pPr>
        <w:pStyle w:val="NoSpacing"/>
        <w:ind w:left="720"/>
      </w:pPr>
      <w:r>
        <w:t>firefighter and a resident…. The Spring Valley Police Department investigated the fire and concluded its investigation without making any arrests….Plaintiff alleges that, after the police department’s investigation concluded, the DA’s Office ‘took up the criminal investigation,’ at least partly because ‘[t]he local media was pressuring [District Attorney] Walsh to punish someone for the deadly fire.’</w:t>
      </w:r>
    </w:p>
    <w:p w14:paraId="58C0A25C" w14:textId="77777777" w:rsidR="000D2571" w:rsidRDefault="000D2571" w:rsidP="000D2571">
      <w:pPr>
        <w:pStyle w:val="NoSpacing"/>
        <w:ind w:left="720"/>
      </w:pPr>
    </w:p>
    <w:p w14:paraId="71218DF8" w14:textId="77777777" w:rsidR="000D2571" w:rsidRDefault="000D2571" w:rsidP="000D2571">
      <w:pPr>
        <w:pStyle w:val="NoSpacing"/>
        <w:ind w:left="720"/>
      </w:pPr>
      <w:r>
        <w:t>***</w:t>
      </w:r>
    </w:p>
    <w:p w14:paraId="2F50482C" w14:textId="77777777" w:rsidR="000D2571" w:rsidRDefault="000D2571" w:rsidP="000D2571">
      <w:pPr>
        <w:pStyle w:val="NoSpacing"/>
        <w:ind w:left="720"/>
      </w:pPr>
      <w:r>
        <w:t>On June 28, 2021, Chief Criminal Investigator Walker signed a felony complaint that</w:t>
      </w:r>
    </w:p>
    <w:p w14:paraId="35ED9B2C" w14:textId="77777777" w:rsidR="000D2571" w:rsidRDefault="000D2571" w:rsidP="000D2571">
      <w:pPr>
        <w:pStyle w:val="NoSpacing"/>
        <w:ind w:left="720"/>
      </w:pPr>
      <w:r>
        <w:t>charged Plaintiff with three counts of offering a false instrument for filing in the first degree and three counts of falsifying business records in the second degree…. On June 29, 2021, Plaintiff was arrested and given a desk appearance ticket…. Wayne Ballard, another building inspector, was also arrested.</w:t>
      </w:r>
    </w:p>
    <w:p w14:paraId="7766C2FE" w14:textId="77777777" w:rsidR="000D2571" w:rsidRDefault="000D2571" w:rsidP="000D2571">
      <w:pPr>
        <w:pStyle w:val="NoSpacing"/>
      </w:pPr>
    </w:p>
    <w:p w14:paraId="3C538C93" w14:textId="77777777" w:rsidR="000D2571" w:rsidRDefault="000D2571" w:rsidP="000D2571">
      <w:pPr>
        <w:pStyle w:val="NoSpacing"/>
      </w:pPr>
      <w:r>
        <w:tab/>
        <w:t xml:space="preserve">*** </w:t>
      </w:r>
    </w:p>
    <w:p w14:paraId="6C44B872" w14:textId="77777777" w:rsidR="000D2571" w:rsidRDefault="000D2571" w:rsidP="000D2571">
      <w:pPr>
        <w:pStyle w:val="NoSpacing"/>
      </w:pPr>
    </w:p>
    <w:p w14:paraId="2364CD79" w14:textId="77777777" w:rsidR="000D2571" w:rsidRDefault="000D2571" w:rsidP="000D2571">
      <w:pPr>
        <w:pStyle w:val="NoSpacing"/>
        <w:ind w:left="720"/>
      </w:pPr>
      <w:r>
        <w:t>A bench trial was held before Judge Russo in March 2023…. The exact duration of the trial is unclear. On March 14, 2023, Judge Russo dismissed Counts 1, 2, 3, 7, 8, and 9 for lack of evidence going to Plaintiff’s intent to defraud. (March 14 Trial Tr. at 467:13–25.) On March 17, 2023, Plaintiff was found not guilty on Counts 4, 5, and 6. (See March 17 Trial Tr. at 565:20–24.)”</w:t>
      </w:r>
    </w:p>
    <w:p w14:paraId="6D2B6FB3" w14:textId="77777777" w:rsidR="000D2571" w:rsidRPr="00E4138B" w:rsidRDefault="000D2571" w:rsidP="000D2571">
      <w:pPr>
        <w:pStyle w:val="NoSpacing"/>
        <w:ind w:left="720"/>
      </w:pPr>
    </w:p>
    <w:p w14:paraId="36691094" w14:textId="77777777" w:rsidR="000D2571" w:rsidRPr="0025206D" w:rsidRDefault="000D2571" w:rsidP="000D2571">
      <w:pPr>
        <w:pStyle w:val="NoSpacing"/>
        <w:rPr>
          <w:b/>
        </w:rPr>
      </w:pPr>
      <w:r>
        <w:rPr>
          <w:b/>
        </w:rPr>
        <w:t>Legal lesson learned: Building inspection reports must be accurate; submitting reports are “mere estimates” can lead to arrest and prosecution, and civil litigation.</w:t>
      </w:r>
    </w:p>
    <w:p w14:paraId="77ADBCA1" w14:textId="77777777" w:rsidR="000D2571" w:rsidRDefault="000D2571" w:rsidP="000D2571">
      <w:pPr>
        <w:pStyle w:val="NoSpacing"/>
        <w:rPr>
          <w:bCs/>
        </w:rPr>
      </w:pPr>
    </w:p>
    <w:p w14:paraId="5F2A5589" w14:textId="77777777" w:rsidR="000D2571" w:rsidRDefault="000D2571" w:rsidP="000D2571">
      <w:pPr>
        <w:pStyle w:val="NoSpacing"/>
        <w:ind w:left="720"/>
      </w:pPr>
      <w:r>
        <w:t xml:space="preserve">Note: See September 21, </w:t>
      </w:r>
      <w:proofErr w:type="gramStart"/>
      <w:r>
        <w:t>2023</w:t>
      </w:r>
      <w:proofErr w:type="gramEnd"/>
      <w:r>
        <w:t xml:space="preserve"> article and TV VIDEO, </w:t>
      </w:r>
      <w:r w:rsidRPr="007C1410">
        <w:t>“Father, son sentenced to probation in deadly Spring Valley fire that killed 2 people.</w:t>
      </w:r>
      <w:r>
        <w:t>”</w:t>
      </w:r>
    </w:p>
    <w:p w14:paraId="76205C15" w14:textId="77777777" w:rsidR="000D2571" w:rsidRPr="00F46264" w:rsidRDefault="000D2571" w:rsidP="000D2571">
      <w:pPr>
        <w:pStyle w:val="NoSpacing"/>
        <w:ind w:left="720"/>
        <w:rPr>
          <w:bCs/>
        </w:rPr>
      </w:pPr>
      <w:hyperlink r:id="rId433" w:history="1">
        <w:r w:rsidRPr="00F56611">
          <w:rPr>
            <w:rStyle w:val="Hyperlink"/>
          </w:rPr>
          <w:t>https://www.nbcnewyork.com/news/local/father-son-sentenced-to-probation-in-deadly-spring-valley-fire-that-killed-2/4696054/</w:t>
        </w:r>
      </w:hyperlink>
      <w:r>
        <w:t xml:space="preserve"> </w:t>
      </w:r>
    </w:p>
    <w:p w14:paraId="318C5A6C" w14:textId="77777777" w:rsidR="000D2571" w:rsidRDefault="000D2571" w:rsidP="00646EE3">
      <w:pPr>
        <w:rPr>
          <w:rFonts w:ascii="Arial Black" w:hAnsi="Arial Black"/>
          <w:sz w:val="24"/>
          <w:szCs w:val="24"/>
        </w:rPr>
      </w:pPr>
    </w:p>
    <w:p w14:paraId="4F724649" w14:textId="12578EE6" w:rsidR="000D2571" w:rsidRDefault="00393C3E" w:rsidP="00646EE3">
      <w:pPr>
        <w:rPr>
          <w:rFonts w:ascii="Arial Black" w:hAnsi="Arial Black"/>
          <w:sz w:val="24"/>
          <w:szCs w:val="24"/>
        </w:rPr>
      </w:pPr>
      <w:r>
        <w:rPr>
          <w:rFonts w:ascii="Arial Black" w:hAnsi="Arial Black"/>
          <w:sz w:val="24"/>
          <w:szCs w:val="24"/>
        </w:rPr>
        <w:t>2-91</w:t>
      </w:r>
    </w:p>
    <w:p w14:paraId="48AF307D" w14:textId="77777777" w:rsidR="00393C3E" w:rsidRPr="00A31DEF" w:rsidRDefault="00393C3E" w:rsidP="00393C3E">
      <w:pPr>
        <w:pStyle w:val="NoSpacing"/>
        <w:rPr>
          <w:rFonts w:ascii="Arial Black" w:hAnsi="Arial Black"/>
          <w:b/>
          <w:sz w:val="28"/>
          <w:szCs w:val="28"/>
        </w:rPr>
      </w:pPr>
      <w:r>
        <w:rPr>
          <w:rFonts w:ascii="Arial Black" w:hAnsi="Arial Black"/>
          <w:b/>
          <w:sz w:val="28"/>
          <w:szCs w:val="28"/>
        </w:rPr>
        <w:t>IN: POLICE “25-FT BUFFER ZONE” – CAN’T “INTERFERE”</w:t>
      </w:r>
    </w:p>
    <w:p w14:paraId="03E40002" w14:textId="77777777" w:rsidR="00393C3E" w:rsidRDefault="00393C3E" w:rsidP="00393C3E">
      <w:pPr>
        <w:pStyle w:val="NoSpacing"/>
        <w:rPr>
          <w:bCs/>
        </w:rPr>
      </w:pPr>
    </w:p>
    <w:p w14:paraId="5CE102F9" w14:textId="77777777" w:rsidR="00393C3E" w:rsidRDefault="00393C3E" w:rsidP="00393C3E">
      <w:pPr>
        <w:pStyle w:val="NoSpacing"/>
        <w:rPr>
          <w:bCs/>
        </w:rPr>
      </w:pPr>
      <w:r>
        <w:t xml:space="preserve">On August 5, 2025, in </w:t>
      </w:r>
      <w:r w:rsidRPr="00BC797C">
        <w:rPr>
          <w:u w:val="single"/>
        </w:rPr>
        <w:t>Reporters Committee For Freedom of The Press, et al. v. Todd R. Okita, Attorney General of Indiana, et al</w:t>
      </w:r>
      <w:r>
        <w:t>., the United States Court of Appeals for 7</w:t>
      </w:r>
      <w:r w:rsidRPr="00BC797C">
        <w:rPr>
          <w:vertAlign w:val="superscript"/>
        </w:rPr>
        <w:t>th</w:t>
      </w:r>
      <w:r>
        <w:t xml:space="preserve"> Circuit (Chicago) held (3 to 0) that U.S. District Court </w:t>
      </w:r>
      <w:r w:rsidRPr="002E3B7C">
        <w:t xml:space="preserve">Judge James R. Sweeney II </w:t>
      </w:r>
      <w:r>
        <w:t xml:space="preserve">properly issued a preliminary injunction to </w:t>
      </w:r>
      <w:r w:rsidRPr="00600E74">
        <w:t>enjoin enforcement of the buffer law.</w:t>
      </w:r>
      <w:r>
        <w:t xml:space="preserve">  I</w:t>
      </w:r>
      <w:r w:rsidRPr="009F7379">
        <w:t>ndiana’s</w:t>
      </w:r>
      <w:r>
        <w:t xml:space="preserve"> original</w:t>
      </w:r>
      <w:r w:rsidRPr="009F7379">
        <w:t xml:space="preserve"> “buffer law” </w:t>
      </w:r>
      <w:r>
        <w:t xml:space="preserve">effective July 1, 2023, </w:t>
      </w:r>
      <w:r w:rsidRPr="009F7379">
        <w:t>makes it a</w:t>
      </w:r>
      <w:r>
        <w:t xml:space="preserve"> </w:t>
      </w:r>
      <w:r w:rsidRPr="009F7379">
        <w:t>crime for a person to knowingly or intentionally approach</w:t>
      </w:r>
      <w:r>
        <w:t xml:space="preserve"> </w:t>
      </w:r>
      <w:r w:rsidRPr="009F7379">
        <w:t>within 25 feet of a law enforcement officer who is “lawfully</w:t>
      </w:r>
      <w:r>
        <w:t xml:space="preserve"> </w:t>
      </w:r>
      <w:r w:rsidRPr="009F7379">
        <w:t>engaged in the execution of the law enforcement officer’s duties after the law enforcement officer has ordered the person</w:t>
      </w:r>
      <w:r>
        <w:t xml:space="preserve"> </w:t>
      </w:r>
      <w:r w:rsidRPr="009F7379">
        <w:t>to stop approaching.” Indiana Code (I.C.) § 35-44.1-2-14.</w:t>
      </w:r>
      <w:r>
        <w:t xml:space="preserve"> Wisely, while this appeal was pending, Indiana has now enacted a new law, effective July 1, 2025, where police </w:t>
      </w:r>
      <w:r w:rsidRPr="00030AD6">
        <w:t>may only order an individual to stop approaching if he “reasonably believes that a person’s presence”</w:t>
      </w:r>
      <w:r>
        <w:t xml:space="preserve"> </w:t>
      </w:r>
      <w:r w:rsidRPr="00030AD6">
        <w:t>within 25 feet “will interfere with the performance” of his</w:t>
      </w:r>
      <w:r>
        <w:t xml:space="preserve"> </w:t>
      </w:r>
      <w:r w:rsidRPr="00030AD6">
        <w:t>“duties.”</w:t>
      </w:r>
      <w:r>
        <w:t xml:space="preserve"> </w:t>
      </w:r>
    </w:p>
    <w:p w14:paraId="3F3BF7C7" w14:textId="77777777" w:rsidR="00393C3E" w:rsidRDefault="00393C3E" w:rsidP="00393C3E">
      <w:pPr>
        <w:pStyle w:val="NoSpacing"/>
        <w:rPr>
          <w:bCs/>
        </w:rPr>
      </w:pPr>
    </w:p>
    <w:p w14:paraId="7A9D67A7" w14:textId="77777777" w:rsidR="00393C3E" w:rsidRDefault="00393C3E" w:rsidP="00393C3E">
      <w:pPr>
        <w:pStyle w:val="NoSpacing"/>
        <w:rPr>
          <w:bCs/>
        </w:rPr>
      </w:pPr>
      <w:r w:rsidRPr="007772CA">
        <w:rPr>
          <w:b/>
        </w:rPr>
        <w:t>THE COURT HELD:</w:t>
      </w:r>
      <w:r>
        <w:t xml:space="preserve"> “As the plaintiffs point out, the problem is more upstream: the [original 223 ] buffer law offers no ‘guidance to the officer deciding whether [a do-not-approach] order should issue’ in the first place…. Without such guidance, any on-duty officer can use the buffer law to subject any pedestrian to potential criminal liability by simply ordering them not to approach, even if the pedestrian is doing nothing more than taking a morning stroll or merely walking up to an officer to ask for directions…. As the Supreme Court explained 60 years ago, a law that effectively says ‘a person may stand on a public sidewalk in [a city] only at the whim of any police officer of that city’ is too vague to satisfy due process. Shuttlesworth v. City of Birmingham, 382 U.S. 87, 90 (1965). The buffer law does just that. The Fourteenth Amendment will not tolerate a law subjecting pedestrians to arrest merely because a police officer had a bad breakfast—no matter how bitter the coffee or how soggy the scrambled eggs.” </w:t>
      </w:r>
      <w:hyperlink r:id="rId434" w:history="1">
        <w:r w:rsidRPr="00FE3641">
          <w:rPr>
            <w:rStyle w:val="Hyperlink"/>
          </w:rPr>
          <w:t>https://www.rcfp.org/wp-content/uploads/2025/08/2025-08-05-RCFP-v.-Rokita-Seventh-Circuit-opinion.pdf</w:t>
        </w:r>
      </w:hyperlink>
    </w:p>
    <w:p w14:paraId="039E741F" w14:textId="77777777" w:rsidR="00393C3E" w:rsidRDefault="00393C3E" w:rsidP="00393C3E">
      <w:pPr>
        <w:rPr>
          <w:bCs/>
        </w:rPr>
      </w:pPr>
    </w:p>
    <w:p w14:paraId="70D985E0" w14:textId="77777777" w:rsidR="00393C3E" w:rsidRDefault="00393C3E" w:rsidP="00393C3E">
      <w:pPr>
        <w:rPr>
          <w:b/>
        </w:rPr>
      </w:pPr>
      <w:r w:rsidRPr="007772CA">
        <w:rPr>
          <w:b/>
        </w:rPr>
        <w:t xml:space="preserve">KEY FACTS: </w:t>
      </w:r>
    </w:p>
    <w:p w14:paraId="63F1E08D" w14:textId="77777777" w:rsidR="00393C3E" w:rsidRDefault="00393C3E" w:rsidP="00393C3E">
      <w:pPr>
        <w:pStyle w:val="NoSpacing"/>
        <w:ind w:left="720"/>
      </w:pPr>
      <w:r>
        <w:t>“I</w:t>
      </w:r>
      <w:r w:rsidRPr="0063384C">
        <w:t xml:space="preserve">ndiana’s </w:t>
      </w:r>
      <w:r>
        <w:t>‘</w:t>
      </w:r>
      <w:r w:rsidRPr="0063384C">
        <w:t>buffer law</w:t>
      </w:r>
      <w:r>
        <w:t>’ m</w:t>
      </w:r>
      <w:r w:rsidRPr="0063384C">
        <w:t>akes it a</w:t>
      </w:r>
      <w:r>
        <w:t xml:space="preserve"> </w:t>
      </w:r>
      <w:r w:rsidRPr="0063384C">
        <w:t>crime for a person to knowingly or intentionally approach</w:t>
      </w:r>
      <w:r>
        <w:t xml:space="preserve"> </w:t>
      </w:r>
      <w:r w:rsidRPr="0063384C">
        <w:t xml:space="preserve">within 25 feet of a law enforcement officer who is </w:t>
      </w:r>
      <w:r>
        <w:t>‘</w:t>
      </w:r>
      <w:r w:rsidRPr="0063384C">
        <w:t>lawfully</w:t>
      </w:r>
      <w:r>
        <w:t xml:space="preserve"> </w:t>
      </w:r>
      <w:r w:rsidRPr="0063384C">
        <w:t>engaged in the execution of the law enforcement officer’s duties after the law enforcement officer has ordered the person</w:t>
      </w:r>
      <w:r>
        <w:t xml:space="preserve"> </w:t>
      </w:r>
      <w:r w:rsidRPr="0063384C">
        <w:t>to stop approaching.</w:t>
      </w:r>
      <w:r>
        <w:t>’</w:t>
      </w:r>
      <w:r w:rsidRPr="0063384C">
        <w:t xml:space="preserve"> Indiana Code (I.C.) § 35-44.1-2-14</w:t>
      </w:r>
      <w:r>
        <w:t>.</w:t>
      </w:r>
    </w:p>
    <w:p w14:paraId="51407CEE" w14:textId="77777777" w:rsidR="00393C3E" w:rsidRDefault="00393C3E" w:rsidP="00393C3E">
      <w:pPr>
        <w:pStyle w:val="NoSpacing"/>
        <w:ind w:left="720"/>
      </w:pPr>
      <w:r>
        <w:t>The plaintiffs, who are various media and media-related organizations, argue that the buffer law is unconstitutionally vague under the Fourteenth Amendment’s Due Process</w:t>
      </w:r>
    </w:p>
    <w:p w14:paraId="32058C08" w14:textId="77777777" w:rsidR="00393C3E" w:rsidRDefault="00393C3E" w:rsidP="00393C3E">
      <w:pPr>
        <w:pStyle w:val="NoSpacing"/>
        <w:ind w:left="720"/>
      </w:pPr>
      <w:r>
        <w:t>Clause because it is susceptible to arbitrary or discriminatory enforcement by the police. The district court concluded that the plaintiffs were likely to succeed in their Fourteenth</w:t>
      </w:r>
    </w:p>
    <w:p w14:paraId="19D9D305" w14:textId="77777777" w:rsidR="00393C3E" w:rsidRPr="007772CA" w:rsidRDefault="00393C3E" w:rsidP="00393C3E">
      <w:pPr>
        <w:pStyle w:val="NoSpacing"/>
        <w:ind w:left="720"/>
      </w:pPr>
      <w:r>
        <w:t xml:space="preserve">Amendment </w:t>
      </w:r>
      <w:proofErr w:type="gramStart"/>
      <w:r>
        <w:t>challenge to</w:t>
      </w:r>
      <w:proofErr w:type="gramEnd"/>
      <w:r>
        <w:t xml:space="preserve"> the buffer law, so the court issued a preliminary injunction blocking its enforcement. For the reasons below, we affirm the district court’s decision to preliminarily enjoin enforcement of the buffer law.”</w:t>
      </w:r>
    </w:p>
    <w:p w14:paraId="54811E90" w14:textId="77777777" w:rsidR="00393C3E" w:rsidRDefault="00393C3E" w:rsidP="00393C3E">
      <w:pPr>
        <w:pStyle w:val="NoSpacing"/>
        <w:rPr>
          <w:b/>
          <w:bCs/>
        </w:rPr>
      </w:pPr>
    </w:p>
    <w:p w14:paraId="787E598B" w14:textId="77777777" w:rsidR="00393C3E" w:rsidRPr="00DD7B9E" w:rsidRDefault="00393C3E" w:rsidP="00393C3E">
      <w:pPr>
        <w:pStyle w:val="NoSpacing"/>
        <w:rPr>
          <w:b/>
          <w:bCs/>
        </w:rPr>
      </w:pPr>
      <w:r w:rsidRPr="00DD7B9E">
        <w:rPr>
          <w:b/>
        </w:rPr>
        <w:t xml:space="preserve">Legal lesson learned: </w:t>
      </w:r>
      <w:r>
        <w:rPr>
          <w:b/>
        </w:rPr>
        <w:t xml:space="preserve">Fire and EMS must allow press reasonable access to </w:t>
      </w:r>
      <w:proofErr w:type="gramStart"/>
      <w:r>
        <w:rPr>
          <w:b/>
        </w:rPr>
        <w:t>scenes, but</w:t>
      </w:r>
      <w:proofErr w:type="gramEnd"/>
      <w:r>
        <w:rPr>
          <w:b/>
        </w:rPr>
        <w:t xml:space="preserve"> can cover patients to protect their identity.  </w:t>
      </w:r>
    </w:p>
    <w:p w14:paraId="223E2488" w14:textId="77777777" w:rsidR="00393C3E" w:rsidRDefault="00393C3E" w:rsidP="00393C3E">
      <w:pPr>
        <w:pStyle w:val="NoSpacing"/>
      </w:pPr>
    </w:p>
    <w:p w14:paraId="450C32C6" w14:textId="77777777" w:rsidR="00393C3E" w:rsidRDefault="00393C3E" w:rsidP="00393C3E">
      <w:pPr>
        <w:ind w:left="720"/>
        <w:rPr>
          <w:bCs/>
        </w:rPr>
      </w:pPr>
      <w:r>
        <w:t xml:space="preserve">Note:  See August 6, </w:t>
      </w:r>
      <w:proofErr w:type="gramStart"/>
      <w:r>
        <w:t>2025</w:t>
      </w:r>
      <w:proofErr w:type="gramEnd"/>
      <w:r>
        <w:t xml:space="preserve"> article, </w:t>
      </w:r>
      <w:r w:rsidRPr="00B33217">
        <w:t>“7th Circuit: Indiana’s police ‘buffer zone’ law is unconstitutional.</w:t>
      </w:r>
      <w:r>
        <w:rPr>
          <w:b/>
        </w:rPr>
        <w:t xml:space="preserve">” </w:t>
      </w:r>
      <w:hyperlink r:id="rId435" w:history="1">
        <w:r w:rsidRPr="00D87E9E">
          <w:rPr>
            <w:rStyle w:val="Hyperlink"/>
          </w:rPr>
          <w:t>https://www.rcfp.org/indiana-buffer-zone-law-7th-circuit/</w:t>
        </w:r>
      </w:hyperlink>
      <w:r>
        <w:t xml:space="preserve"> </w:t>
      </w:r>
    </w:p>
    <w:p w14:paraId="2673EF47" w14:textId="0004A6B5" w:rsidR="00393C3E" w:rsidRDefault="00393C3E" w:rsidP="00393C3E">
      <w:pPr>
        <w:rPr>
          <w:rFonts w:ascii="Arial Black" w:hAnsi="Arial Black"/>
          <w:sz w:val="24"/>
          <w:szCs w:val="24"/>
        </w:rPr>
      </w:pPr>
      <w:r>
        <w:lastRenderedPageBreak/>
        <w:t xml:space="preserve">See also March 11, </w:t>
      </w:r>
      <w:proofErr w:type="gramStart"/>
      <w:r>
        <w:t>2025</w:t>
      </w:r>
      <w:proofErr w:type="gramEnd"/>
      <w:r>
        <w:t xml:space="preserve"> article, “</w:t>
      </w:r>
      <w:r w:rsidRPr="00723714">
        <w:t xml:space="preserve">Buffer zone’ clarification heads to </w:t>
      </w:r>
      <w:proofErr w:type="spellStart"/>
      <w:proofErr w:type="gramStart"/>
      <w:r w:rsidRPr="00723714">
        <w:t>governors</w:t>
      </w:r>
      <w:proofErr w:type="spellEnd"/>
      <w:proofErr w:type="gramEnd"/>
      <w:r w:rsidRPr="00723714">
        <w:t xml:space="preserve"> desk.”</w:t>
      </w:r>
      <w:hyperlink r:id="rId436" w:history="1">
        <w:r w:rsidRPr="00D87E9E">
          <w:rPr>
            <w:rStyle w:val="Hyperlink"/>
          </w:rPr>
          <w:t>https://indianacapitalchronicle.com/briefs/buffer-zone-clarification-heads-to-governors-desk/</w:t>
        </w:r>
      </w:hyperlink>
    </w:p>
    <w:p w14:paraId="7DE2DB41" w14:textId="77777777" w:rsidR="000D2571" w:rsidRDefault="000D2571" w:rsidP="00646EE3">
      <w:pPr>
        <w:rPr>
          <w:rFonts w:ascii="Arial Black" w:hAnsi="Arial Black"/>
          <w:sz w:val="24"/>
          <w:szCs w:val="24"/>
        </w:rPr>
      </w:pPr>
    </w:p>
    <w:p w14:paraId="2B88B869" w14:textId="5542C741" w:rsidR="00646EE3" w:rsidRDefault="00646EE3" w:rsidP="00646EE3">
      <w:pPr>
        <w:rPr>
          <w:rFonts w:ascii="Arial Black" w:hAnsi="Arial Black"/>
          <w:sz w:val="24"/>
          <w:szCs w:val="24"/>
        </w:rPr>
      </w:pPr>
      <w:r>
        <w:rPr>
          <w:rFonts w:ascii="Arial Black" w:hAnsi="Arial Black"/>
          <w:sz w:val="24"/>
          <w:szCs w:val="24"/>
        </w:rPr>
        <w:t>2-9</w:t>
      </w:r>
      <w:r w:rsidR="006528FB">
        <w:rPr>
          <w:rFonts w:ascii="Arial Black" w:hAnsi="Arial Black"/>
          <w:sz w:val="24"/>
          <w:szCs w:val="24"/>
        </w:rPr>
        <w:t>0</w:t>
      </w:r>
    </w:p>
    <w:p w14:paraId="0DF2E8EC" w14:textId="77777777" w:rsidR="007D33D8" w:rsidRDefault="007D33D8" w:rsidP="007D33D8">
      <w:pPr>
        <w:pStyle w:val="NoSpacing"/>
        <w:rPr>
          <w:rFonts w:ascii="Arial Black" w:hAnsi="Arial Black"/>
          <w:sz w:val="28"/>
          <w:szCs w:val="28"/>
        </w:rPr>
      </w:pPr>
      <w:r>
        <w:rPr>
          <w:rFonts w:ascii="Arial Black" w:hAnsi="Arial Black"/>
          <w:sz w:val="28"/>
          <w:szCs w:val="28"/>
        </w:rPr>
        <w:t>KY: TRAIN DERAIL. - CSX “LIED” / SULFOR DIOXIDE – FF SUE</w:t>
      </w:r>
    </w:p>
    <w:p w14:paraId="3ADE6A4B" w14:textId="77777777" w:rsidR="007D33D8" w:rsidRDefault="007D33D8" w:rsidP="007D33D8">
      <w:pPr>
        <w:pStyle w:val="NoSpacing"/>
        <w:rPr>
          <w:rFonts w:ascii="Arial Black" w:hAnsi="Arial Black"/>
          <w:sz w:val="28"/>
          <w:szCs w:val="28"/>
        </w:rPr>
      </w:pPr>
    </w:p>
    <w:p w14:paraId="5BCB0CE6" w14:textId="01A0A0CF" w:rsidR="007D33D8" w:rsidRPr="00911EB2" w:rsidRDefault="007D33D8" w:rsidP="007D33D8">
      <w:pPr>
        <w:rPr>
          <w:rFonts w:ascii="Times New Roman" w:hAnsi="Times New Roman"/>
          <w:sz w:val="24"/>
          <w:szCs w:val="24"/>
        </w:rPr>
      </w:pPr>
      <w:r w:rsidRPr="00911EB2">
        <w:rPr>
          <w:rFonts w:ascii="Times New Roman" w:hAnsi="Times New Roman"/>
          <w:sz w:val="24"/>
          <w:szCs w:val="24"/>
        </w:rPr>
        <w:t xml:space="preserve">On June 16, 2025, in </w:t>
      </w:r>
      <w:r w:rsidRPr="00911EB2">
        <w:rPr>
          <w:rFonts w:ascii="Times New Roman" w:hAnsi="Times New Roman"/>
          <w:sz w:val="24"/>
          <w:szCs w:val="24"/>
          <w:u w:val="single"/>
        </w:rPr>
        <w:t>Shannon Franklin, et al. v. CSX Transportation, Inc. et al</w:t>
      </w:r>
      <w:r w:rsidRPr="00911EB2">
        <w:rPr>
          <w:rFonts w:ascii="Times New Roman" w:hAnsi="Times New Roman"/>
          <w:sz w:val="24"/>
          <w:szCs w:val="24"/>
        </w:rPr>
        <w:t xml:space="preserve">., U.S. District Court Judge Gregory F. Van Tatenhove, United States District Court for Eastern District of Kentucky, Southern Division / London, held that the “Fireman’s Rule” does not prohibit firefighters suffering from respiratory issues from suing CSX for November 22, 2023 train derailment in Rockcastle County, Kentucky, but they must prove “willful and wanton misconduct” by CSX (lied about contents being “food grade” non-hazardous).  Other claims, such as negligence, and “medical monitoring” were dismissed.  THE COURT HELD:  Plaintiffs suggest that the Firefighter’s Rule is inapplicable in this case because they allege that CSX intentionally mislead responders by telling them the railroad cars ‘were carrying substances that were food grade.’ … They suggest that the Firefighter’s Rule applies only to negligent conduct and not harms ‘resulting from gross negligence, or reckless or intentional conduct.’… The Court agrees.” </w:t>
      </w:r>
      <w:hyperlink r:id="rId437" w:history="1">
        <w:r w:rsidRPr="00911EB2">
          <w:rPr>
            <w:rStyle w:val="Hyperlink"/>
            <w:rFonts w:ascii="Times New Roman" w:hAnsi="Times New Roman"/>
            <w:sz w:val="24"/>
            <w:szCs w:val="24"/>
          </w:rPr>
          <w:t>https://cases.justia.com/federal/district-courts/kentucky/kyedce/6:2024cv00173/106630/18/0.pdf?ts=1750154108</w:t>
        </w:r>
      </w:hyperlink>
    </w:p>
    <w:p w14:paraId="35038B9F" w14:textId="189182C1" w:rsidR="00911EB2" w:rsidRPr="00911EB2" w:rsidRDefault="00911EB2" w:rsidP="00911EB2">
      <w:pPr>
        <w:pStyle w:val="NoSpacing"/>
        <w:rPr>
          <w:rFonts w:ascii="Times New Roman" w:hAnsi="Times New Roman"/>
          <w:b/>
          <w:bCs/>
          <w:sz w:val="24"/>
          <w:szCs w:val="24"/>
        </w:rPr>
      </w:pPr>
      <w:r w:rsidRPr="00911EB2">
        <w:rPr>
          <w:rFonts w:ascii="Times New Roman" w:hAnsi="Times New Roman"/>
          <w:b/>
          <w:sz w:val="24"/>
          <w:szCs w:val="24"/>
        </w:rPr>
        <w:t>Legal lesson learned: When responding to a train enrollment, confirm contents no</w:t>
      </w:r>
      <w:r w:rsidR="0087760A">
        <w:rPr>
          <w:rFonts w:ascii="Times New Roman" w:hAnsi="Times New Roman"/>
          <w:b/>
          <w:sz w:val="24"/>
          <w:szCs w:val="24"/>
        </w:rPr>
        <w:t>t</w:t>
      </w:r>
      <w:r w:rsidRPr="00911EB2">
        <w:rPr>
          <w:rFonts w:ascii="Times New Roman" w:hAnsi="Times New Roman"/>
          <w:b/>
          <w:sz w:val="24"/>
          <w:szCs w:val="24"/>
        </w:rPr>
        <w:t xml:space="preserve"> only with train company but also by reading the hazardous material </w:t>
      </w:r>
      <w:r w:rsidR="004538AA">
        <w:rPr>
          <w:rFonts w:ascii="Times New Roman" w:hAnsi="Times New Roman"/>
          <w:b/>
          <w:sz w:val="24"/>
          <w:szCs w:val="24"/>
        </w:rPr>
        <w:t>placards</w:t>
      </w:r>
      <w:r w:rsidRPr="00911EB2">
        <w:rPr>
          <w:rFonts w:ascii="Times New Roman" w:hAnsi="Times New Roman"/>
          <w:b/>
          <w:sz w:val="24"/>
          <w:szCs w:val="24"/>
        </w:rPr>
        <w:t xml:space="preserve"> on the leaking train cars. </w:t>
      </w:r>
    </w:p>
    <w:p w14:paraId="6410313F" w14:textId="77777777" w:rsidR="00911EB2" w:rsidRPr="00911EB2" w:rsidRDefault="00911EB2" w:rsidP="00911EB2">
      <w:pPr>
        <w:pStyle w:val="NoSpacing"/>
        <w:rPr>
          <w:rFonts w:ascii="Times New Roman" w:hAnsi="Times New Roman"/>
          <w:sz w:val="24"/>
          <w:szCs w:val="24"/>
        </w:rPr>
      </w:pPr>
    </w:p>
    <w:p w14:paraId="3F927537" w14:textId="331B0DD8" w:rsidR="00C342C1" w:rsidRPr="00C342C1" w:rsidRDefault="00C342C1" w:rsidP="00C342C1">
      <w:pPr>
        <w:ind w:left="720"/>
        <w:rPr>
          <w:rFonts w:ascii="Times New Roman" w:hAnsi="Times New Roman"/>
          <w:bCs/>
          <w:sz w:val="24"/>
          <w:szCs w:val="24"/>
        </w:rPr>
      </w:pPr>
    </w:p>
    <w:p w14:paraId="09E144F9" w14:textId="283D180C" w:rsidR="009C21FE" w:rsidRDefault="009C21FE" w:rsidP="009C21FE">
      <w:pPr>
        <w:rPr>
          <w:rFonts w:ascii="Arial Black" w:hAnsi="Arial Black"/>
          <w:sz w:val="24"/>
          <w:szCs w:val="24"/>
        </w:rPr>
      </w:pPr>
      <w:r>
        <w:rPr>
          <w:rFonts w:ascii="Arial Black" w:hAnsi="Arial Black"/>
          <w:sz w:val="24"/>
          <w:szCs w:val="24"/>
        </w:rPr>
        <w:t>2-89</w:t>
      </w:r>
    </w:p>
    <w:p w14:paraId="730D33C6" w14:textId="77777777" w:rsidR="00767EBD" w:rsidRPr="00796314" w:rsidRDefault="00767EBD" w:rsidP="00767EBD">
      <w:pPr>
        <w:rPr>
          <w:rFonts w:ascii="Arial Black" w:hAnsi="Arial Black"/>
          <w:b/>
          <w:sz w:val="28"/>
          <w:szCs w:val="28"/>
        </w:rPr>
      </w:pPr>
      <w:r>
        <w:rPr>
          <w:rFonts w:ascii="Arial Black" w:hAnsi="Arial Black"/>
          <w:b/>
          <w:sz w:val="28"/>
          <w:szCs w:val="28"/>
        </w:rPr>
        <w:t xml:space="preserve">NJ: BEARD - AIR MASK TECH – WHEN DID NO FIREFIGHTING </w:t>
      </w:r>
    </w:p>
    <w:p w14:paraId="5C8825A5" w14:textId="77777777" w:rsidR="00767EBD" w:rsidRPr="005C77FB" w:rsidRDefault="00767EBD" w:rsidP="00767EBD">
      <w:pPr>
        <w:pStyle w:val="NoSpacing"/>
        <w:rPr>
          <w:rFonts w:ascii="Times New Roman" w:hAnsi="Times New Roman"/>
          <w:sz w:val="24"/>
          <w:szCs w:val="24"/>
        </w:rPr>
      </w:pPr>
      <w:r w:rsidRPr="005C77FB">
        <w:rPr>
          <w:rFonts w:ascii="Times New Roman" w:hAnsi="Times New Roman"/>
          <w:sz w:val="24"/>
          <w:szCs w:val="24"/>
        </w:rPr>
        <w:t xml:space="preserve">On May 30, 2025, in </w:t>
      </w:r>
      <w:r w:rsidRPr="005C77FB">
        <w:rPr>
          <w:rFonts w:ascii="Times New Roman" w:hAnsi="Times New Roman"/>
          <w:sz w:val="24"/>
          <w:szCs w:val="24"/>
          <w:u w:val="single"/>
        </w:rPr>
        <w:t>Alexander Smith v. City of Atlantic City, et al</w:t>
      </w:r>
      <w:r w:rsidRPr="005C77FB">
        <w:rPr>
          <w:rFonts w:ascii="Times New Roman" w:hAnsi="Times New Roman"/>
          <w:sz w:val="24"/>
          <w:szCs w:val="24"/>
        </w:rPr>
        <w:t xml:space="preserve">.,  the U.S. Court of Appeals for Third Circuit (Philadelphia), held (2 to 1) that a firefighter may proceed with his lawsuit for failure to accommodate his request to wear a beard for religious reasons, but not his claim of retaliation.  He last fought a fire in 2015 and then became FD’s full time Air Mask Technician – and duties included bringing the Air Truck to structure fires and changing out SCBAs.   He like other “administrative” firefighters were not required to take annual fit testing.  In Dec. 2018 he submitted an accommodation request to wear a beard for religious reasons; that was denied, he was ordered to no longer respond to structure fires and he filed this lawsuit.  In 2020, all “administrative” firefighters were required to pass annual fit testing.   On Aug. 4, 2020, Hurricane Isaias hit New Jersey and all off duty personnel.  He was assigned to Engine 23, but he refused to respond (turned out there were no structure fire, but numerous other runs);  the </w:t>
      </w:r>
      <w:proofErr w:type="gramStart"/>
      <w:r w:rsidRPr="005C77FB">
        <w:rPr>
          <w:rFonts w:ascii="Times New Roman" w:hAnsi="Times New Roman"/>
          <w:sz w:val="24"/>
          <w:szCs w:val="24"/>
        </w:rPr>
        <w:t>City</w:t>
      </w:r>
      <w:proofErr w:type="gramEnd"/>
      <w:r w:rsidRPr="005C77FB">
        <w:rPr>
          <w:rFonts w:ascii="Times New Roman" w:hAnsi="Times New Roman"/>
          <w:sz w:val="24"/>
          <w:szCs w:val="24"/>
        </w:rPr>
        <w:t xml:space="preserve"> charged Smith with insubordination and suspended him for forty days, including twenty without pay.   THE COURT HELD: “The City could remove Smith from fire suppression duty as it did before 2020 or reclassify him as a civilian who is not subject to the SCBA and grooming policies. It could, as a simple fix, at least try and fit test Smith with facial hair to see if his facial hair, at any length, would interfere with the SCBA to a point that creates the risk of air leakage that the </w:t>
      </w:r>
      <w:proofErr w:type="gramStart"/>
      <w:r w:rsidRPr="005C77FB">
        <w:rPr>
          <w:rFonts w:ascii="Times New Roman" w:hAnsi="Times New Roman"/>
          <w:sz w:val="24"/>
          <w:szCs w:val="24"/>
        </w:rPr>
        <w:t>City</w:t>
      </w:r>
      <w:proofErr w:type="gramEnd"/>
      <w:r w:rsidRPr="005C77FB">
        <w:rPr>
          <w:rFonts w:ascii="Times New Roman" w:hAnsi="Times New Roman"/>
          <w:sz w:val="24"/>
          <w:szCs w:val="24"/>
        </w:rPr>
        <w:t xml:space="preserve"> fears. See Potter v. District of Columbia, 382 F. Supp. 2d 35, 38 (D.D.C. 2005) (Muslim employee seeking exception passed fit test with beard). There are likely more solutions than these three, but ‘so long as the government can achieve its interests in a manner that does not burden religion, it must do so.’ Fulton, 593 U.S. at 541. Because the policy fails strict scrutiny, we will vacate the District Court’s judgment.”   </w:t>
      </w:r>
      <w:hyperlink r:id="rId438" w:history="1">
        <w:r w:rsidRPr="005C77FB">
          <w:rPr>
            <w:rStyle w:val="Hyperlink"/>
            <w:rFonts w:ascii="Times New Roman" w:hAnsi="Times New Roman"/>
            <w:sz w:val="24"/>
            <w:szCs w:val="24"/>
          </w:rPr>
          <w:t>https://cases.justia.com/federal/appellate-courts/ca3/23-3265/23-3265-2025-05-30.pdf?ts=1748624416</w:t>
        </w:r>
      </w:hyperlink>
      <w:r w:rsidRPr="005C77FB">
        <w:rPr>
          <w:rFonts w:ascii="Times New Roman" w:hAnsi="Times New Roman"/>
          <w:sz w:val="24"/>
          <w:szCs w:val="24"/>
        </w:rPr>
        <w:t xml:space="preserve"> </w:t>
      </w:r>
    </w:p>
    <w:p w14:paraId="45CB05D0" w14:textId="77777777" w:rsidR="005C77FB" w:rsidRPr="005C77FB" w:rsidRDefault="005C77FB" w:rsidP="005C77FB">
      <w:pPr>
        <w:pStyle w:val="NoSpacing"/>
        <w:rPr>
          <w:rFonts w:ascii="Times New Roman" w:hAnsi="Times New Roman"/>
          <w:b/>
          <w:sz w:val="24"/>
          <w:szCs w:val="24"/>
        </w:rPr>
      </w:pPr>
    </w:p>
    <w:p w14:paraId="77942307" w14:textId="44B7447B" w:rsidR="005C77FB" w:rsidRPr="005C77FB" w:rsidRDefault="005C77FB" w:rsidP="005C77FB">
      <w:pPr>
        <w:pStyle w:val="NoSpacing"/>
        <w:rPr>
          <w:rFonts w:ascii="Times New Roman" w:hAnsi="Times New Roman"/>
          <w:b/>
          <w:bCs/>
          <w:sz w:val="24"/>
          <w:szCs w:val="24"/>
        </w:rPr>
      </w:pPr>
      <w:r w:rsidRPr="005C77FB">
        <w:rPr>
          <w:rFonts w:ascii="Times New Roman" w:hAnsi="Times New Roman"/>
          <w:b/>
          <w:sz w:val="24"/>
          <w:szCs w:val="24"/>
        </w:rPr>
        <w:t>Legal lesson learned: This decision has limited precedent; most fire departments</w:t>
      </w:r>
      <w:r w:rsidRPr="005C77FB">
        <w:rPr>
          <w:rFonts w:ascii="Times New Roman" w:hAnsi="Times New Roman"/>
          <w:b/>
          <w:bCs/>
          <w:sz w:val="24"/>
          <w:szCs w:val="24"/>
        </w:rPr>
        <w:t xml:space="preserve"> require</w:t>
      </w:r>
      <w:r w:rsidRPr="005C77FB">
        <w:rPr>
          <w:rFonts w:ascii="Times New Roman" w:hAnsi="Times New Roman"/>
          <w:b/>
          <w:sz w:val="24"/>
          <w:szCs w:val="24"/>
        </w:rPr>
        <w:t xml:space="preserve"> annual fit testing for all firefighters.  </w:t>
      </w:r>
    </w:p>
    <w:p w14:paraId="0910A866" w14:textId="77777777" w:rsidR="005C77FB" w:rsidRPr="005C77FB" w:rsidRDefault="005C77FB" w:rsidP="005C77FB">
      <w:pPr>
        <w:pStyle w:val="NoSpacing"/>
        <w:rPr>
          <w:rFonts w:ascii="Times New Roman" w:hAnsi="Times New Roman"/>
          <w:b/>
          <w:bCs/>
          <w:sz w:val="24"/>
          <w:szCs w:val="24"/>
        </w:rPr>
      </w:pPr>
    </w:p>
    <w:p w14:paraId="5F191769" w14:textId="77777777" w:rsidR="005C77FB" w:rsidRPr="005C77FB" w:rsidRDefault="005C77FB" w:rsidP="005C77FB">
      <w:pPr>
        <w:ind w:left="720"/>
        <w:rPr>
          <w:rFonts w:ascii="Times New Roman" w:hAnsi="Times New Roman"/>
          <w:b/>
          <w:sz w:val="24"/>
          <w:szCs w:val="24"/>
        </w:rPr>
      </w:pPr>
      <w:r w:rsidRPr="005C77FB">
        <w:rPr>
          <w:rFonts w:ascii="Times New Roman" w:hAnsi="Times New Roman"/>
          <w:sz w:val="24"/>
          <w:szCs w:val="24"/>
        </w:rPr>
        <w:t xml:space="preserve">Note: See this article, “Jersey Shore firefighter wins court battle over growing beard on religious grounds.” </w:t>
      </w:r>
      <w:hyperlink r:id="rId439" w:history="1">
        <w:r w:rsidRPr="005C77FB">
          <w:rPr>
            <w:rStyle w:val="Hyperlink"/>
            <w:rFonts w:ascii="Times New Roman" w:hAnsi="Times New Roman"/>
            <w:sz w:val="24"/>
            <w:szCs w:val="24"/>
          </w:rPr>
          <w:t>https://www.nj.com/atlantic/2025/06/jersey-shore-firefighter-wins-court-battle-over-growing-beard-on-religious-grounds.html?mc_cid=2cb6755cd5&amp;mc_eid=cbaa4ade01</w:t>
        </w:r>
      </w:hyperlink>
    </w:p>
    <w:p w14:paraId="64C869EA" w14:textId="77777777" w:rsidR="005C77FB" w:rsidRDefault="005C77FB" w:rsidP="00767EBD">
      <w:pPr>
        <w:pStyle w:val="NoSpacing"/>
      </w:pPr>
    </w:p>
    <w:p w14:paraId="4CBA1C95" w14:textId="66424917" w:rsidR="00E04C78" w:rsidRDefault="00E04C78" w:rsidP="005D5A0C">
      <w:pPr>
        <w:rPr>
          <w:rFonts w:ascii="Arial Black" w:hAnsi="Arial Black"/>
          <w:sz w:val="24"/>
          <w:szCs w:val="24"/>
        </w:rPr>
      </w:pPr>
      <w:r>
        <w:rPr>
          <w:rFonts w:ascii="Arial Black" w:hAnsi="Arial Black"/>
          <w:sz w:val="24"/>
          <w:szCs w:val="24"/>
        </w:rPr>
        <w:t>2-88</w:t>
      </w:r>
    </w:p>
    <w:p w14:paraId="23E70DC1" w14:textId="77777777" w:rsidR="00E04C78" w:rsidRPr="006F2B87" w:rsidRDefault="00E04C78" w:rsidP="00E04C78">
      <w:pPr>
        <w:pStyle w:val="NoSpacing"/>
        <w:rPr>
          <w:rFonts w:ascii="Arial Black" w:hAnsi="Arial Black"/>
          <w:sz w:val="28"/>
          <w:szCs w:val="28"/>
        </w:rPr>
      </w:pPr>
      <w:r w:rsidRPr="006F2B87">
        <w:rPr>
          <w:rFonts w:ascii="Arial Black" w:hAnsi="Arial Black"/>
          <w:sz w:val="28"/>
          <w:szCs w:val="28"/>
        </w:rPr>
        <w:t xml:space="preserve">U.S. SUP. CT: PD </w:t>
      </w:r>
      <w:r>
        <w:rPr>
          <w:rFonts w:ascii="Arial Black" w:hAnsi="Arial Black"/>
          <w:sz w:val="28"/>
          <w:szCs w:val="28"/>
        </w:rPr>
        <w:t xml:space="preserve">SHOOTINGS - </w:t>
      </w:r>
      <w:r w:rsidRPr="006F2B87">
        <w:rPr>
          <w:rFonts w:ascii="Arial Black" w:hAnsi="Arial Black"/>
          <w:sz w:val="28"/>
          <w:szCs w:val="28"/>
        </w:rPr>
        <w:t xml:space="preserve">REVIEW TOTAL CIRCUM. </w:t>
      </w:r>
    </w:p>
    <w:p w14:paraId="72075FA1" w14:textId="77777777" w:rsidR="00E04C78" w:rsidRPr="006F2B87" w:rsidRDefault="00E04C78" w:rsidP="00E04C78">
      <w:pPr>
        <w:pStyle w:val="NoSpacing"/>
      </w:pPr>
    </w:p>
    <w:p w14:paraId="1FEC9E5F" w14:textId="77777777" w:rsidR="00E04C78" w:rsidRPr="00E04C78" w:rsidRDefault="00E04C78" w:rsidP="00E04C78">
      <w:pPr>
        <w:pStyle w:val="NoSpacing"/>
        <w:rPr>
          <w:rFonts w:ascii="Times New Roman" w:hAnsi="Times New Roman"/>
          <w:sz w:val="24"/>
          <w:szCs w:val="24"/>
        </w:rPr>
      </w:pPr>
      <w:r w:rsidRPr="00E04C78">
        <w:rPr>
          <w:rFonts w:ascii="Times New Roman" w:hAnsi="Times New Roman"/>
          <w:sz w:val="24"/>
          <w:szCs w:val="24"/>
        </w:rPr>
        <w:t xml:space="preserve">On May 15, 2025, in </w:t>
      </w:r>
      <w:r w:rsidRPr="00E04C78">
        <w:rPr>
          <w:rFonts w:ascii="Times New Roman" w:hAnsi="Times New Roman"/>
          <w:sz w:val="24"/>
          <w:szCs w:val="24"/>
          <w:u w:val="single"/>
        </w:rPr>
        <w:t>Janice Hughes Barnes, individually and as representative of the estate of Ashtian Barnes, deceased v. Roberto Felix, et al</w:t>
      </w:r>
      <w:r w:rsidRPr="00E04C78">
        <w:rPr>
          <w:rFonts w:ascii="Times New Roman" w:hAnsi="Times New Roman"/>
          <w:sz w:val="24"/>
          <w:szCs w:val="24"/>
        </w:rPr>
        <w:t>., the United States Supreme Court held (9 to 0) that lawsuit against officer is reinstated; trial court judge when deciding qualified immunity must review all the circumstances involving the incident, as in this case the officer jumped on door of stopped vehicle before the driver tried to speed away.  The Court rejected the 5</w:t>
      </w:r>
      <w:r w:rsidRPr="00E04C78">
        <w:rPr>
          <w:rFonts w:ascii="Times New Roman" w:hAnsi="Times New Roman"/>
          <w:sz w:val="24"/>
          <w:szCs w:val="24"/>
          <w:vertAlign w:val="superscript"/>
        </w:rPr>
        <w:t>th</w:t>
      </w:r>
      <w:r w:rsidRPr="00E04C78">
        <w:rPr>
          <w:rFonts w:ascii="Times New Roman" w:hAnsi="Times New Roman"/>
          <w:sz w:val="24"/>
          <w:szCs w:val="24"/>
        </w:rPr>
        <w:t xml:space="preserve"> Circuit precedent that in police shooting the trial court judge should only review the seconds involving the “moment-of-threat.”  </w:t>
      </w:r>
    </w:p>
    <w:p w14:paraId="53847827" w14:textId="77777777" w:rsidR="00E04C78" w:rsidRPr="00E04C78" w:rsidRDefault="00E04C78" w:rsidP="00E04C78">
      <w:pPr>
        <w:pStyle w:val="NoSpacing"/>
        <w:rPr>
          <w:rFonts w:ascii="Times New Roman" w:hAnsi="Times New Roman"/>
          <w:sz w:val="24"/>
          <w:szCs w:val="24"/>
        </w:rPr>
      </w:pPr>
    </w:p>
    <w:p w14:paraId="1C02619D" w14:textId="77777777" w:rsidR="00E04C78" w:rsidRPr="00E04C78" w:rsidRDefault="00E04C78" w:rsidP="00E04C78">
      <w:pPr>
        <w:pStyle w:val="NoSpacing"/>
        <w:rPr>
          <w:rFonts w:ascii="Times New Roman" w:hAnsi="Times New Roman"/>
          <w:sz w:val="24"/>
          <w:szCs w:val="24"/>
        </w:rPr>
      </w:pPr>
      <w:r w:rsidRPr="00E04C78">
        <w:rPr>
          <w:rFonts w:ascii="Times New Roman" w:hAnsi="Times New Roman"/>
          <w:sz w:val="24"/>
          <w:szCs w:val="24"/>
        </w:rPr>
        <w:t xml:space="preserve">Justice Elena Kagam wrote Court’s opinion: “On the afternoon of April 28, 2016, Roberto Felix, Jr., a law enforcement officer patrolling a highway outside Houston, received a radio alert about an automobile on the road with outstanding toll violations. Felix soon spotted the car, a Toyota Corolla, and turned on his emergency lights to initiate a traffic stop. The driver, Ashtian Barnes, pulled over to the highway’s shoulder…. With his right hand resting on his holster, Felix told Barnes to get out of the car. Barnes opened the door but did not </w:t>
      </w:r>
      <w:proofErr w:type="gramStart"/>
      <w:r w:rsidRPr="00E04C78">
        <w:rPr>
          <w:rFonts w:ascii="Times New Roman" w:hAnsi="Times New Roman"/>
          <w:sz w:val="24"/>
          <w:szCs w:val="24"/>
        </w:rPr>
        <w:t>exit</w:t>
      </w:r>
      <w:proofErr w:type="gramEnd"/>
      <w:r w:rsidRPr="00E04C78">
        <w:rPr>
          <w:rFonts w:ascii="Times New Roman" w:hAnsi="Times New Roman"/>
          <w:sz w:val="24"/>
          <w:szCs w:val="24"/>
        </w:rPr>
        <w:t xml:space="preserve">; instead, he turned the ignition back on. Felix unholstered his gun and, as the car began to move forward, jumped onto its doorsill. He twice shouted, ‘Don’t fucking move.’ And with no visibility into the car (because his head was above the roof), he fired two quick shots inside. Barnes was hit. but managed to stop the car. Felix then radioed for back-up. By the time it arrived, Barnes was dead. All told, about five seconds elapsed between when the car started moving and when it stopped. And within that period, two seconds passed between the moment Felix stepped on the doorsill and the moment he fired his first shot. *** The question here is whether that framework permits courts, in evaluating a police shooting (or other use of force), to apply the so-called moment-of-threat rule used in the courts below. Under that rule, a court looks only to the circumstances existing at the precise time an officer perceived the threat inducing him to shoot. Today, we reject that approach as improperly narrowing the requisite Fourth Amendment analysis. To assess whether an officer acted reasonably in using force, a court must consider all the relevant circumstances, including facts and events leading up to the climactic moment.” ***  [W]e return everything else to the courts below. It is for them now to consider the reasonableness of the shooting, using the lengthier timeframe we have prescribed.” </w:t>
      </w:r>
      <w:hyperlink r:id="rId440" w:history="1">
        <w:r w:rsidRPr="00E04C78">
          <w:rPr>
            <w:rStyle w:val="Hyperlink"/>
            <w:rFonts w:ascii="Times New Roman" w:hAnsi="Times New Roman"/>
            <w:sz w:val="24"/>
            <w:szCs w:val="24"/>
          </w:rPr>
          <w:t>https://www.supremecourt.gov/opinions/24pdf/23-1239_onjq.pdf</w:t>
        </w:r>
      </w:hyperlink>
      <w:r w:rsidRPr="00E04C78">
        <w:rPr>
          <w:rFonts w:ascii="Times New Roman" w:hAnsi="Times New Roman"/>
          <w:sz w:val="24"/>
          <w:szCs w:val="24"/>
        </w:rPr>
        <w:t xml:space="preserve"> </w:t>
      </w:r>
    </w:p>
    <w:p w14:paraId="4920B742" w14:textId="77777777" w:rsidR="0049084F" w:rsidRDefault="0049084F" w:rsidP="0049084F">
      <w:pPr>
        <w:pStyle w:val="NoSpacing"/>
        <w:rPr>
          <w:rFonts w:ascii="Times New Roman" w:hAnsi="Times New Roman"/>
          <w:b/>
          <w:sz w:val="24"/>
          <w:szCs w:val="24"/>
        </w:rPr>
      </w:pPr>
    </w:p>
    <w:p w14:paraId="37451D0C" w14:textId="69930B2D" w:rsidR="0049084F" w:rsidRPr="0049084F" w:rsidRDefault="0049084F" w:rsidP="0049084F">
      <w:pPr>
        <w:pStyle w:val="NoSpacing"/>
        <w:rPr>
          <w:rFonts w:ascii="Times New Roman" w:hAnsi="Times New Roman"/>
          <w:b/>
          <w:bCs/>
          <w:sz w:val="24"/>
          <w:szCs w:val="24"/>
        </w:rPr>
      </w:pPr>
      <w:r w:rsidRPr="0049084F">
        <w:rPr>
          <w:rFonts w:ascii="Times New Roman" w:hAnsi="Times New Roman"/>
          <w:b/>
          <w:sz w:val="24"/>
          <w:szCs w:val="24"/>
        </w:rPr>
        <w:t>Legal Lesson Learned: The unanimous decision will also be</w:t>
      </w:r>
      <w:r w:rsidRPr="0049084F">
        <w:rPr>
          <w:rFonts w:ascii="Times New Roman" w:hAnsi="Times New Roman"/>
          <w:b/>
          <w:bCs/>
          <w:sz w:val="24"/>
          <w:szCs w:val="24"/>
        </w:rPr>
        <w:t xml:space="preserve"> precedent </w:t>
      </w:r>
      <w:r w:rsidRPr="0049084F">
        <w:rPr>
          <w:rFonts w:ascii="Times New Roman" w:hAnsi="Times New Roman"/>
          <w:b/>
          <w:sz w:val="24"/>
          <w:szCs w:val="24"/>
        </w:rPr>
        <w:t xml:space="preserve">when reviewing </w:t>
      </w:r>
      <w:r w:rsidRPr="0049084F">
        <w:rPr>
          <w:rFonts w:ascii="Times New Roman" w:hAnsi="Times New Roman"/>
          <w:b/>
          <w:bCs/>
          <w:sz w:val="24"/>
          <w:szCs w:val="24"/>
        </w:rPr>
        <w:t xml:space="preserve">Fire &amp; </w:t>
      </w:r>
      <w:r w:rsidRPr="0049084F">
        <w:rPr>
          <w:rFonts w:ascii="Times New Roman" w:hAnsi="Times New Roman"/>
          <w:b/>
          <w:sz w:val="24"/>
          <w:szCs w:val="24"/>
        </w:rPr>
        <w:t>MS actions when facing possible harm</w:t>
      </w:r>
      <w:r w:rsidRPr="0049084F">
        <w:rPr>
          <w:rFonts w:ascii="Times New Roman" w:hAnsi="Times New Roman"/>
          <w:b/>
          <w:bCs/>
          <w:sz w:val="24"/>
          <w:szCs w:val="24"/>
        </w:rPr>
        <w:t>, s</w:t>
      </w:r>
      <w:r w:rsidRPr="0049084F">
        <w:rPr>
          <w:rFonts w:ascii="Times New Roman" w:hAnsi="Times New Roman"/>
          <w:b/>
          <w:sz w:val="24"/>
          <w:szCs w:val="24"/>
        </w:rPr>
        <w:t xml:space="preserve">uch as mental patient struggling </w:t>
      </w:r>
      <w:proofErr w:type="gramStart"/>
      <w:r w:rsidRPr="0049084F">
        <w:rPr>
          <w:rFonts w:ascii="Times New Roman" w:hAnsi="Times New Roman"/>
          <w:b/>
          <w:sz w:val="24"/>
          <w:szCs w:val="24"/>
        </w:rPr>
        <w:t>in back of</w:t>
      </w:r>
      <w:proofErr w:type="gramEnd"/>
      <w:r w:rsidRPr="0049084F">
        <w:rPr>
          <w:rFonts w:ascii="Times New Roman" w:hAnsi="Times New Roman"/>
          <w:b/>
          <w:sz w:val="24"/>
          <w:szCs w:val="24"/>
        </w:rPr>
        <w:t xml:space="preserve"> an ambulance</w:t>
      </w:r>
      <w:r w:rsidRPr="0049084F">
        <w:rPr>
          <w:rFonts w:ascii="Times New Roman" w:hAnsi="Times New Roman"/>
          <w:b/>
          <w:bCs/>
          <w:sz w:val="24"/>
          <w:szCs w:val="24"/>
        </w:rPr>
        <w:t xml:space="preserve">. </w:t>
      </w:r>
    </w:p>
    <w:p w14:paraId="71782994" w14:textId="77777777" w:rsidR="0049084F" w:rsidRPr="0049084F" w:rsidRDefault="0049084F" w:rsidP="0049084F">
      <w:pPr>
        <w:pStyle w:val="NoSpacing"/>
        <w:rPr>
          <w:rFonts w:ascii="Times New Roman" w:hAnsi="Times New Roman"/>
          <w:bCs/>
          <w:sz w:val="24"/>
          <w:szCs w:val="24"/>
        </w:rPr>
      </w:pPr>
    </w:p>
    <w:p w14:paraId="36FAC1B5" w14:textId="77777777" w:rsidR="00E04C78" w:rsidRPr="0049084F" w:rsidRDefault="00E04C78" w:rsidP="005D5A0C">
      <w:pPr>
        <w:rPr>
          <w:rFonts w:ascii="Times New Roman" w:hAnsi="Times New Roman"/>
          <w:sz w:val="24"/>
          <w:szCs w:val="24"/>
        </w:rPr>
      </w:pPr>
    </w:p>
    <w:p w14:paraId="3256B2E2" w14:textId="77777777" w:rsidR="00E04C78" w:rsidRDefault="00E04C78" w:rsidP="005D5A0C">
      <w:pPr>
        <w:rPr>
          <w:rFonts w:ascii="Arial Black" w:hAnsi="Arial Black"/>
          <w:sz w:val="24"/>
          <w:szCs w:val="24"/>
        </w:rPr>
      </w:pPr>
    </w:p>
    <w:p w14:paraId="116A7DF5" w14:textId="4CE618EA" w:rsidR="00883B5F" w:rsidRDefault="00883B5F" w:rsidP="005D5A0C">
      <w:pPr>
        <w:rPr>
          <w:rFonts w:ascii="Arial Black" w:hAnsi="Arial Black"/>
          <w:sz w:val="24"/>
          <w:szCs w:val="24"/>
        </w:rPr>
      </w:pPr>
      <w:r>
        <w:rPr>
          <w:rFonts w:ascii="Arial Black" w:hAnsi="Arial Black"/>
          <w:sz w:val="24"/>
          <w:szCs w:val="24"/>
        </w:rPr>
        <w:t>2-87</w:t>
      </w:r>
    </w:p>
    <w:p w14:paraId="329CEA14" w14:textId="77777777" w:rsidR="00E63984" w:rsidRPr="00830E6C" w:rsidRDefault="00E63984" w:rsidP="00E63984">
      <w:pPr>
        <w:rPr>
          <w:rFonts w:ascii="Arial Black" w:hAnsi="Arial Black"/>
          <w:b/>
          <w:sz w:val="28"/>
          <w:szCs w:val="28"/>
        </w:rPr>
      </w:pPr>
      <w:r>
        <w:rPr>
          <w:rFonts w:ascii="Arial Black" w:hAnsi="Arial Black"/>
          <w:b/>
          <w:sz w:val="28"/>
          <w:szCs w:val="28"/>
        </w:rPr>
        <w:t>AK: FF / OTHERS - FORMIC ACID - $75M JURY EXCESSIVE</w:t>
      </w:r>
    </w:p>
    <w:p w14:paraId="3288511F" w14:textId="48CCE21C" w:rsidR="00E63984" w:rsidRDefault="00E63984" w:rsidP="00E63984">
      <w:pPr>
        <w:rPr>
          <w:rFonts w:ascii="Times New Roman" w:hAnsi="Times New Roman"/>
          <w:sz w:val="24"/>
          <w:szCs w:val="24"/>
        </w:rPr>
      </w:pPr>
      <w:r w:rsidRPr="00E63984">
        <w:rPr>
          <w:rFonts w:ascii="Times New Roman" w:hAnsi="Times New Roman"/>
          <w:sz w:val="24"/>
          <w:szCs w:val="24"/>
        </w:rPr>
        <w:lastRenderedPageBreak/>
        <w:t xml:space="preserve">On April 30, 2025, in </w:t>
      </w:r>
      <w:r w:rsidRPr="00E63984">
        <w:rPr>
          <w:rFonts w:ascii="Times New Roman" w:hAnsi="Times New Roman"/>
          <w:sz w:val="24"/>
          <w:szCs w:val="24"/>
          <w:u w:val="single"/>
        </w:rPr>
        <w:t>Old Dominion Freight Line, Inc., and Aaron Marvel Foster v. Frank McMillion, Allen Jones, Carlton Pettus, Hunter Bokker, Bengi Bokker and Zack Billingsley</w:t>
      </w:r>
      <w:r w:rsidRPr="00E63984">
        <w:rPr>
          <w:rFonts w:ascii="Times New Roman" w:hAnsi="Times New Roman"/>
          <w:sz w:val="24"/>
          <w:szCs w:val="24"/>
        </w:rPr>
        <w:t xml:space="preserve">, the Court of Appeals of Arkansas, Division II held (3 to 0) that the jury’s combined award of $75 million for six plaintiffs was excessive and must be retried given the limited injuries suffered.  The six plaintiffs included two law enforcement officers, and a 4-person crew from a tow-truck company, including off-duty firefighter Carlton Pettus who was awarded $5 million. On April 20, </w:t>
      </w:r>
      <w:proofErr w:type="gramStart"/>
      <w:r w:rsidRPr="00E63984">
        <w:rPr>
          <w:rFonts w:ascii="Times New Roman" w:hAnsi="Times New Roman"/>
          <w:sz w:val="24"/>
          <w:szCs w:val="24"/>
        </w:rPr>
        <w:t>2018</w:t>
      </w:r>
      <w:proofErr w:type="gramEnd"/>
      <w:r w:rsidRPr="00E63984">
        <w:rPr>
          <w:rFonts w:ascii="Times New Roman" w:hAnsi="Times New Roman"/>
          <w:sz w:val="24"/>
          <w:szCs w:val="24"/>
        </w:rPr>
        <w:t xml:space="preserve"> a pick-up truck that ran head on into an Old Dominion semi carrying one barrel of formic acid weighing 565 pounds.  The semi-truck was on fire and the Old Dominion driver, Aaron Marvel Foster, falsely told responders that there were no hazardous materials on board.  There also was no HAZMAT placard displayed since the load was less than 1,000 pounds. The six plaintiffs all experienced at the scene difficulty breathing and had burning sensations in their noses, throats, and eyes, and various breathing difficulties thereafter. </w:t>
      </w:r>
      <w:hyperlink r:id="rId441" w:history="1">
        <w:r w:rsidRPr="00E63984">
          <w:rPr>
            <w:rStyle w:val="Hyperlink"/>
            <w:rFonts w:ascii="Times New Roman" w:hAnsi="Times New Roman"/>
            <w:sz w:val="24"/>
            <w:szCs w:val="24"/>
          </w:rPr>
          <w:t>https://cases.justia.com/arkansas/court-of-appeals/2025-cv-22-305.pdf?ts=1746026138</w:t>
        </w:r>
      </w:hyperlink>
    </w:p>
    <w:p w14:paraId="63EE9060" w14:textId="77777777" w:rsidR="006E3103" w:rsidRPr="006E3103" w:rsidRDefault="006E3103" w:rsidP="006E3103">
      <w:pPr>
        <w:pStyle w:val="NoSpacing"/>
        <w:rPr>
          <w:rFonts w:ascii="Times New Roman" w:hAnsi="Times New Roman"/>
          <w:b/>
          <w:sz w:val="24"/>
          <w:szCs w:val="24"/>
        </w:rPr>
      </w:pPr>
      <w:r w:rsidRPr="006E3103">
        <w:rPr>
          <w:rFonts w:ascii="Times New Roman" w:hAnsi="Times New Roman"/>
          <w:b/>
          <w:sz w:val="24"/>
          <w:szCs w:val="24"/>
        </w:rPr>
        <w:t xml:space="preserve">Legal Lesson Learned:  The jury with $75 million judgment “sent a message” to Old Dominion Company and their truck driver that they must disclose hazardous materials to responders. </w:t>
      </w:r>
    </w:p>
    <w:p w14:paraId="0E656C0B" w14:textId="77777777" w:rsidR="006E3103" w:rsidRPr="00E63984" w:rsidRDefault="006E3103" w:rsidP="00E63984">
      <w:pPr>
        <w:rPr>
          <w:rFonts w:ascii="Times New Roman" w:hAnsi="Times New Roman"/>
          <w:sz w:val="24"/>
          <w:szCs w:val="24"/>
        </w:rPr>
      </w:pPr>
    </w:p>
    <w:p w14:paraId="5E1E9997" w14:textId="77777777" w:rsidR="00883B5F" w:rsidRDefault="00883B5F" w:rsidP="005D5A0C">
      <w:pPr>
        <w:rPr>
          <w:rFonts w:ascii="Arial Black" w:hAnsi="Arial Black"/>
          <w:sz w:val="24"/>
          <w:szCs w:val="24"/>
        </w:rPr>
      </w:pPr>
    </w:p>
    <w:p w14:paraId="1C41F4F1" w14:textId="3D6EC8EA" w:rsidR="00A56D83" w:rsidRDefault="00A56D83" w:rsidP="005D5A0C">
      <w:pPr>
        <w:rPr>
          <w:rFonts w:ascii="Arial Black" w:hAnsi="Arial Black"/>
          <w:sz w:val="24"/>
          <w:szCs w:val="24"/>
        </w:rPr>
      </w:pPr>
      <w:r>
        <w:rPr>
          <w:rFonts w:ascii="Arial Black" w:hAnsi="Arial Black"/>
          <w:sz w:val="24"/>
          <w:szCs w:val="24"/>
        </w:rPr>
        <w:t>2-86</w:t>
      </w:r>
    </w:p>
    <w:p w14:paraId="069AC4B2" w14:textId="77777777" w:rsidR="00186708" w:rsidRPr="00C31E7C" w:rsidRDefault="00186708" w:rsidP="00186708">
      <w:pPr>
        <w:rPr>
          <w:rFonts w:ascii="Arial Black" w:hAnsi="Arial Black"/>
          <w:bCs/>
          <w:sz w:val="28"/>
          <w:szCs w:val="28"/>
        </w:rPr>
      </w:pPr>
      <w:r>
        <w:rPr>
          <w:rFonts w:ascii="Arial Black" w:hAnsi="Arial Black"/>
          <w:sz w:val="28"/>
          <w:szCs w:val="28"/>
        </w:rPr>
        <w:t>NY:  HEAD</w:t>
      </w:r>
      <w:r>
        <w:rPr>
          <w:rFonts w:ascii="Arial Black" w:hAnsi="Arial Black"/>
          <w:bCs/>
          <w:sz w:val="28"/>
          <w:szCs w:val="28"/>
        </w:rPr>
        <w:t xml:space="preserve"> INJURY</w:t>
      </w:r>
      <w:r>
        <w:rPr>
          <w:rFonts w:ascii="Arial Black" w:hAnsi="Arial Black"/>
          <w:sz w:val="28"/>
          <w:szCs w:val="28"/>
        </w:rPr>
        <w:t xml:space="preserve"> – ENGINE HIT BUMP – ROAD REPAIR CO.</w:t>
      </w:r>
    </w:p>
    <w:p w14:paraId="7A789EB4" w14:textId="77777777" w:rsidR="00186708" w:rsidRPr="00186708" w:rsidRDefault="00186708" w:rsidP="00186708">
      <w:pPr>
        <w:rPr>
          <w:rFonts w:ascii="Times New Roman" w:hAnsi="Times New Roman"/>
          <w:b/>
          <w:sz w:val="24"/>
          <w:szCs w:val="24"/>
        </w:rPr>
      </w:pPr>
      <w:r w:rsidRPr="00186708">
        <w:rPr>
          <w:rFonts w:ascii="Times New Roman" w:hAnsi="Times New Roman"/>
          <w:sz w:val="24"/>
          <w:szCs w:val="24"/>
        </w:rPr>
        <w:t xml:space="preserve">On April 23, 2025, in </w:t>
      </w:r>
      <w:r w:rsidRPr="00186708">
        <w:rPr>
          <w:rFonts w:ascii="Times New Roman" w:hAnsi="Times New Roman"/>
          <w:sz w:val="24"/>
          <w:szCs w:val="24"/>
          <w:u w:val="single"/>
        </w:rPr>
        <w:t>Vincent Inglese, et al. v. City of New York and Vall Industries, Inc</w:t>
      </w:r>
      <w:r w:rsidRPr="00186708">
        <w:rPr>
          <w:rFonts w:ascii="Times New Roman" w:hAnsi="Times New Roman"/>
          <w:sz w:val="24"/>
          <w:szCs w:val="24"/>
        </w:rPr>
        <w:t xml:space="preserve">., the Supreme Court of New York, Second Department held (4 to 0) that trial court properly held that the injured FF may sue Vall Industries for personal injury suffered when his head hit the ceiling as the fire truck went over the raised section of road that Vall Industries was hired to repair.  The “Fireman’s Rule” was </w:t>
      </w:r>
      <w:r w:rsidRPr="00186708">
        <w:rPr>
          <w:rFonts w:ascii="Times New Roman" w:hAnsi="Times New Roman"/>
          <w:bCs/>
          <w:sz w:val="24"/>
          <w:szCs w:val="24"/>
        </w:rPr>
        <w:t xml:space="preserve">modified </w:t>
      </w:r>
      <w:r w:rsidRPr="00186708">
        <w:rPr>
          <w:rFonts w:ascii="Times New Roman" w:hAnsi="Times New Roman"/>
          <w:sz w:val="24"/>
          <w:szCs w:val="24"/>
        </w:rPr>
        <w:t xml:space="preserve">in New York.  </w:t>
      </w:r>
      <w:hyperlink r:id="rId442" w:history="1">
        <w:r w:rsidRPr="00186708">
          <w:rPr>
            <w:rStyle w:val="Hyperlink"/>
            <w:rFonts w:ascii="Times New Roman" w:hAnsi="Times New Roman"/>
            <w:sz w:val="24"/>
            <w:szCs w:val="24"/>
          </w:rPr>
          <w:t>https://law.justia.com/cases/new-york/appellate-division-second-department/2025/2023-00001.html</w:t>
        </w:r>
      </w:hyperlink>
      <w:r w:rsidRPr="00186708">
        <w:rPr>
          <w:rFonts w:ascii="Times New Roman" w:hAnsi="Times New Roman"/>
          <w:sz w:val="24"/>
          <w:szCs w:val="24"/>
        </w:rPr>
        <w:t xml:space="preserve"> </w:t>
      </w:r>
    </w:p>
    <w:p w14:paraId="1C32B199" w14:textId="77777777" w:rsidR="00883B5F" w:rsidRPr="00883B5F" w:rsidRDefault="00883B5F" w:rsidP="00883B5F">
      <w:pPr>
        <w:rPr>
          <w:b/>
          <w:bCs/>
          <w:sz w:val="24"/>
          <w:szCs w:val="24"/>
        </w:rPr>
      </w:pPr>
      <w:r w:rsidRPr="00883B5F">
        <w:rPr>
          <w:b/>
          <w:sz w:val="24"/>
          <w:szCs w:val="24"/>
        </w:rPr>
        <w:t xml:space="preserve">Legal Lesson Learned: A road repair company can be sued by the firefighter for negligence. </w:t>
      </w:r>
    </w:p>
    <w:p w14:paraId="2993CA02" w14:textId="77777777" w:rsidR="00A56D83" w:rsidRDefault="00A56D83" w:rsidP="005D5A0C">
      <w:pPr>
        <w:rPr>
          <w:rFonts w:ascii="Arial Black" w:hAnsi="Arial Black"/>
          <w:sz w:val="24"/>
          <w:szCs w:val="24"/>
        </w:rPr>
      </w:pPr>
    </w:p>
    <w:p w14:paraId="7556E1F0" w14:textId="295E8151" w:rsidR="008B2721" w:rsidRDefault="00742E47" w:rsidP="005D5A0C">
      <w:pPr>
        <w:rPr>
          <w:rFonts w:ascii="Arial Black" w:hAnsi="Arial Black"/>
          <w:sz w:val="24"/>
          <w:szCs w:val="24"/>
        </w:rPr>
      </w:pPr>
      <w:r>
        <w:rPr>
          <w:rFonts w:ascii="Arial Black" w:hAnsi="Arial Black"/>
          <w:sz w:val="24"/>
          <w:szCs w:val="24"/>
        </w:rPr>
        <w:t>2-85</w:t>
      </w:r>
    </w:p>
    <w:p w14:paraId="59DF50D8" w14:textId="77777777" w:rsidR="0022097E" w:rsidRPr="001A6210" w:rsidRDefault="0022097E" w:rsidP="0022097E">
      <w:pPr>
        <w:pStyle w:val="NoSpacing"/>
        <w:rPr>
          <w:rFonts w:ascii="Arial Black" w:hAnsi="Arial Black"/>
          <w:sz w:val="28"/>
          <w:szCs w:val="28"/>
        </w:rPr>
      </w:pPr>
      <w:r>
        <w:rPr>
          <w:rFonts w:ascii="Arial Black" w:hAnsi="Arial Black"/>
          <w:sz w:val="28"/>
          <w:szCs w:val="28"/>
        </w:rPr>
        <w:t>OH: DRIVER STRUCK / KILLED FF –16-YRS-LIFE – RE-SENT.</w:t>
      </w:r>
    </w:p>
    <w:p w14:paraId="672D5737" w14:textId="77777777" w:rsidR="0022097E" w:rsidRDefault="0022097E" w:rsidP="0022097E">
      <w:pPr>
        <w:pStyle w:val="NoSpacing"/>
      </w:pPr>
    </w:p>
    <w:p w14:paraId="5177D6A2" w14:textId="77777777" w:rsidR="0022097E" w:rsidRPr="0022097E" w:rsidRDefault="0022097E" w:rsidP="0022097E">
      <w:pPr>
        <w:pStyle w:val="NoSpacing"/>
        <w:rPr>
          <w:rFonts w:ascii="Times New Roman" w:hAnsi="Times New Roman"/>
          <w:sz w:val="24"/>
          <w:szCs w:val="24"/>
        </w:rPr>
      </w:pPr>
      <w:r w:rsidRPr="0022097E">
        <w:rPr>
          <w:rFonts w:ascii="Times New Roman" w:hAnsi="Times New Roman"/>
          <w:sz w:val="24"/>
          <w:szCs w:val="24"/>
        </w:rPr>
        <w:t xml:space="preserve">On April 14, 2025, in </w:t>
      </w:r>
      <w:r w:rsidRPr="0022097E">
        <w:rPr>
          <w:rFonts w:ascii="Times New Roman" w:hAnsi="Times New Roman"/>
          <w:sz w:val="24"/>
          <w:szCs w:val="24"/>
          <w:u w:val="single"/>
        </w:rPr>
        <w:t>State of Ohio v. Leander Bissell</w:t>
      </w:r>
      <w:r w:rsidRPr="0022097E">
        <w:rPr>
          <w:rFonts w:ascii="Times New Roman" w:hAnsi="Times New Roman"/>
          <w:sz w:val="24"/>
          <w:szCs w:val="24"/>
        </w:rPr>
        <w:t xml:space="preserve">, the Ohio Supreme Court declined to hear the State’s appeal [requires at least 4 of 7 Justices] after Court of Appeals set aside his felony murder conviction for lesser charge of involuntary manslaughter.  Bissell will be resentenced; he  is currently serving 16 years to life. Bissell on Nov. 19, </w:t>
      </w:r>
      <w:proofErr w:type="gramStart"/>
      <w:r w:rsidRPr="0022097E">
        <w:rPr>
          <w:rFonts w:ascii="Times New Roman" w:hAnsi="Times New Roman"/>
          <w:sz w:val="24"/>
          <w:szCs w:val="24"/>
        </w:rPr>
        <w:t>2022</w:t>
      </w:r>
      <w:proofErr w:type="gramEnd"/>
      <w:r w:rsidRPr="0022097E">
        <w:rPr>
          <w:rFonts w:ascii="Times New Roman" w:hAnsi="Times New Roman"/>
          <w:sz w:val="24"/>
          <w:szCs w:val="24"/>
        </w:rPr>
        <w:t xml:space="preserve"> at accident scene on I-90, in Cleveland drove through at a speed between 45 and 60 m.p.h., hitting and killing firefighter [Johnny] Tetrick. The impact knocked firefighter Tetrick across three lanes of traffic into the berm on the right side of the highway. Bissell did not stop and fled the scene.  On Nov 7, 2024,  the Eighth District Court of Appeals [2 to 1] vacated Bissell’s felony-murder conviction, modified the verdict to a finding of guilt on the lesser included offense of involuntary manslaughter under R.C. 2903.04(A), and remanded the matter to the trial court for resentencing. </w:t>
      </w:r>
      <w:hyperlink r:id="rId443" w:history="1">
        <w:r w:rsidRPr="0022097E">
          <w:rPr>
            <w:rStyle w:val="Hyperlink"/>
            <w:rFonts w:ascii="Times New Roman" w:hAnsi="Times New Roman"/>
            <w:sz w:val="24"/>
            <w:szCs w:val="24"/>
          </w:rPr>
          <w:t>https://www.supremecourt.ohio.gov/rod/docs/pdf/8/2024/2024-Ohio-5317.pdf</w:t>
        </w:r>
      </w:hyperlink>
      <w:r w:rsidRPr="0022097E">
        <w:rPr>
          <w:rFonts w:ascii="Times New Roman" w:hAnsi="Times New Roman"/>
          <w:sz w:val="24"/>
          <w:szCs w:val="24"/>
        </w:rPr>
        <w:t xml:space="preserve"> . </w:t>
      </w:r>
    </w:p>
    <w:p w14:paraId="7D71F624" w14:textId="77777777" w:rsidR="0022097E" w:rsidRDefault="0022097E" w:rsidP="0022097E">
      <w:pPr>
        <w:pStyle w:val="NoSpacing"/>
      </w:pPr>
      <w:r w:rsidRPr="0022097E">
        <w:rPr>
          <w:rFonts w:ascii="Times New Roman" w:hAnsi="Times New Roman"/>
          <w:sz w:val="24"/>
          <w:szCs w:val="24"/>
        </w:rPr>
        <w:t xml:space="preserve">On April 14, 2025, only three Ohio Supreme Court Justices agreed to hear the State’s appeal;  Justice Jennifer Brunner wrote a dissenting opinion.  </w:t>
      </w:r>
      <w:hyperlink r:id="rId444" w:history="1">
        <w:r w:rsidRPr="0022097E">
          <w:rPr>
            <w:rStyle w:val="Hyperlink"/>
            <w:rFonts w:ascii="Times New Roman" w:hAnsi="Times New Roman"/>
            <w:sz w:val="24"/>
            <w:szCs w:val="24"/>
          </w:rPr>
          <w:t>https://www.supremecourt.ohio.gov/rod/docs/pdf/0/2025/2025-Ohio-1296.pdf</w:t>
        </w:r>
      </w:hyperlink>
      <w:r>
        <w:t xml:space="preserve"> </w:t>
      </w:r>
    </w:p>
    <w:p w14:paraId="375AF909" w14:textId="77777777" w:rsidR="00A56D83" w:rsidRDefault="00A56D83" w:rsidP="0022097E">
      <w:pPr>
        <w:pStyle w:val="NoSpacing"/>
      </w:pPr>
    </w:p>
    <w:p w14:paraId="19D73359" w14:textId="77777777" w:rsidR="00A56D83" w:rsidRPr="00A56D83" w:rsidRDefault="00A56D83" w:rsidP="00A56D83">
      <w:pPr>
        <w:pStyle w:val="NoSpacing"/>
        <w:rPr>
          <w:rFonts w:ascii="Times New Roman" w:hAnsi="Times New Roman"/>
          <w:b/>
          <w:bCs/>
          <w:sz w:val="24"/>
          <w:szCs w:val="24"/>
        </w:rPr>
      </w:pPr>
      <w:r w:rsidRPr="00A56D83">
        <w:rPr>
          <w:rFonts w:ascii="Times New Roman" w:hAnsi="Times New Roman"/>
          <w:b/>
          <w:sz w:val="24"/>
          <w:szCs w:val="24"/>
        </w:rPr>
        <w:t xml:space="preserve">Legal Lesson Learned:  Hopefully the defendant gets a substantial new sentence. </w:t>
      </w:r>
    </w:p>
    <w:p w14:paraId="6FD9A5C9" w14:textId="77777777" w:rsidR="00A56D83" w:rsidRDefault="00A56D83" w:rsidP="00A56D83">
      <w:pPr>
        <w:pStyle w:val="NoSpacing"/>
        <w:rPr>
          <w:sz w:val="20"/>
          <w:szCs w:val="20"/>
        </w:rPr>
      </w:pPr>
    </w:p>
    <w:p w14:paraId="73082097" w14:textId="77777777" w:rsidR="00A56D83" w:rsidRDefault="00A56D83" w:rsidP="0022097E">
      <w:pPr>
        <w:pStyle w:val="NoSpacing"/>
      </w:pPr>
    </w:p>
    <w:p w14:paraId="17FCB57F" w14:textId="77777777" w:rsidR="0022097E" w:rsidRDefault="0022097E" w:rsidP="0022097E">
      <w:pPr>
        <w:pStyle w:val="NoSpacing"/>
      </w:pPr>
    </w:p>
    <w:p w14:paraId="1324022F" w14:textId="77777777" w:rsidR="00742E47" w:rsidRDefault="00742E47" w:rsidP="005D5A0C">
      <w:pPr>
        <w:rPr>
          <w:rFonts w:ascii="Arial Black" w:hAnsi="Arial Black"/>
          <w:sz w:val="24"/>
          <w:szCs w:val="24"/>
        </w:rPr>
      </w:pPr>
    </w:p>
    <w:p w14:paraId="13628548" w14:textId="06140CC0" w:rsidR="008B2721" w:rsidRDefault="008B2721" w:rsidP="005D5A0C">
      <w:pPr>
        <w:rPr>
          <w:rFonts w:ascii="Arial Black" w:hAnsi="Arial Black"/>
          <w:sz w:val="24"/>
          <w:szCs w:val="24"/>
        </w:rPr>
      </w:pPr>
      <w:r>
        <w:rPr>
          <w:rFonts w:ascii="Arial Black" w:hAnsi="Arial Black"/>
          <w:sz w:val="24"/>
          <w:szCs w:val="24"/>
        </w:rPr>
        <w:t>2-84</w:t>
      </w:r>
    </w:p>
    <w:p w14:paraId="114383A1" w14:textId="77777777" w:rsidR="0057078B" w:rsidRDefault="0057078B" w:rsidP="0057078B">
      <w:pPr>
        <w:pStyle w:val="NoSpacing"/>
        <w:rPr>
          <w:rFonts w:ascii="Arial Black" w:hAnsi="Arial Black"/>
          <w:bCs/>
          <w:sz w:val="28"/>
          <w:szCs w:val="28"/>
        </w:rPr>
      </w:pPr>
      <w:r>
        <w:rPr>
          <w:rFonts w:ascii="Arial Black" w:hAnsi="Arial Black"/>
          <w:sz w:val="28"/>
          <w:szCs w:val="28"/>
        </w:rPr>
        <w:t>KY: CSX DERAIL – FF MAY SUE – FIREMAN’S RULE NOT BAR</w:t>
      </w:r>
    </w:p>
    <w:p w14:paraId="661D7501" w14:textId="77777777" w:rsidR="0057078B" w:rsidRPr="0029038E" w:rsidRDefault="0057078B" w:rsidP="0057078B">
      <w:pPr>
        <w:pStyle w:val="NoSpacing"/>
        <w:rPr>
          <w:rFonts w:ascii="Times New Roman" w:hAnsi="Times New Roman"/>
          <w:bCs/>
          <w:sz w:val="24"/>
          <w:szCs w:val="24"/>
        </w:rPr>
      </w:pPr>
    </w:p>
    <w:p w14:paraId="131E8613" w14:textId="77777777" w:rsidR="0057078B" w:rsidRPr="0029038E" w:rsidRDefault="0057078B" w:rsidP="0057078B">
      <w:pPr>
        <w:pStyle w:val="NoSpacing"/>
        <w:rPr>
          <w:rFonts w:ascii="Times New Roman" w:hAnsi="Times New Roman"/>
          <w:bCs/>
          <w:sz w:val="24"/>
          <w:szCs w:val="24"/>
        </w:rPr>
      </w:pPr>
      <w:r w:rsidRPr="0029038E">
        <w:rPr>
          <w:rFonts w:ascii="Times New Roman" w:hAnsi="Times New Roman"/>
          <w:sz w:val="24"/>
          <w:szCs w:val="24"/>
        </w:rPr>
        <w:t xml:space="preserve">On March 28, 2025, in </w:t>
      </w:r>
      <w:r w:rsidRPr="0029038E">
        <w:rPr>
          <w:rFonts w:ascii="Times New Roman" w:hAnsi="Times New Roman"/>
          <w:sz w:val="24"/>
          <w:szCs w:val="24"/>
          <w:u w:val="single"/>
        </w:rPr>
        <w:t>Lauren Webb, et al. v. CSX Transportation, Inc.,</w:t>
      </w:r>
      <w:r w:rsidRPr="0029038E">
        <w:rPr>
          <w:rFonts w:ascii="Times New Roman" w:hAnsi="Times New Roman"/>
          <w:sz w:val="24"/>
          <w:szCs w:val="24"/>
        </w:rPr>
        <w:t xml:space="preserve"> U.S. District Court Judge Robert E. Wier, United States District Court, E.D. Kentucky, Southern Division, London, held that lawsuit by three residents near the Nov. 22, 2023 derailment [hot bearing detectors didn’t alert train engineer] may proceed with pre-trial discovery, including Lauren Webb, “a local firefighter who assisted in the evacuation and spent ‘many hours’ at the crash site. She alleges her exposure to SO2 caused ‘sore throat, trouble breathing, headaches and a respiratory infection[,]’ as well as ‘ongoing pulmonary irritation and fear for the long-term consequences to her health’ given her status as an ‘immunocompromised individual.’” The Court rejected CSX argument that the KY Fireman’s Rule prohibits firefighter Webb from filing her claim for damages. </w:t>
      </w:r>
      <w:hyperlink r:id="rId445" w:history="1">
        <w:r w:rsidRPr="0029038E">
          <w:rPr>
            <w:rStyle w:val="Hyperlink"/>
            <w:rFonts w:ascii="Times New Roman" w:hAnsi="Times New Roman"/>
            <w:sz w:val="24"/>
            <w:szCs w:val="24"/>
          </w:rPr>
          <w:t>https://public.fastcase.com/jaEE2PXzRXmZ99jOLMt1IgoAeG7S%2FykfBuI6YcrwSiPTGWPBCOsZ9U9hhbKPvFCclEcN8%2BwauJ9ACloifFNsJP5SY607BhdVsV5o4yY4x1s%3D?utm_medium=email&amp;_hsenc=p2ANqtz-_cDTCyDUjf-GWGQHLWs90oLVQoI7WEBtlECxGBA_PvhPlM3MPPBeVtmuAidKContkLHE5q5E9gdRGYeBGS5gCqwJlBfg&amp;_hsmi=226712652&amp;utm_content=226712652&amp;utm_source=hs_email</w:t>
        </w:r>
      </w:hyperlink>
      <w:r w:rsidRPr="0029038E">
        <w:rPr>
          <w:rFonts w:ascii="Times New Roman" w:hAnsi="Times New Roman"/>
          <w:sz w:val="24"/>
          <w:szCs w:val="24"/>
        </w:rPr>
        <w:t xml:space="preserve">  </w:t>
      </w:r>
    </w:p>
    <w:p w14:paraId="150A5129" w14:textId="77777777" w:rsidR="0057078B" w:rsidRPr="0029038E" w:rsidRDefault="0057078B" w:rsidP="0057078B">
      <w:pPr>
        <w:pStyle w:val="NoSpacing"/>
        <w:rPr>
          <w:rFonts w:ascii="Times New Roman" w:hAnsi="Times New Roman"/>
          <w:bCs/>
          <w:sz w:val="24"/>
          <w:szCs w:val="24"/>
        </w:rPr>
      </w:pPr>
    </w:p>
    <w:p w14:paraId="0D215252" w14:textId="77777777" w:rsidR="0029038E" w:rsidRPr="0029038E" w:rsidRDefault="0029038E" w:rsidP="0029038E">
      <w:pPr>
        <w:pStyle w:val="NoSpacing"/>
        <w:rPr>
          <w:rFonts w:ascii="Times New Roman" w:hAnsi="Times New Roman"/>
          <w:b/>
          <w:sz w:val="24"/>
          <w:szCs w:val="24"/>
        </w:rPr>
      </w:pPr>
      <w:r w:rsidRPr="0029038E">
        <w:rPr>
          <w:rFonts w:ascii="Times New Roman" w:hAnsi="Times New Roman"/>
          <w:b/>
          <w:sz w:val="24"/>
          <w:szCs w:val="24"/>
        </w:rPr>
        <w:t xml:space="preserve">Legal Lesson Learned: The firefighter and her two neighbors may now proceed with pre-trial discovery.  </w:t>
      </w:r>
    </w:p>
    <w:p w14:paraId="525FC8EA" w14:textId="77777777" w:rsidR="0029038E" w:rsidRPr="0029038E" w:rsidRDefault="0029038E" w:rsidP="0029038E">
      <w:pPr>
        <w:pStyle w:val="NoSpacing"/>
        <w:rPr>
          <w:rFonts w:ascii="Times New Roman" w:hAnsi="Times New Roman"/>
          <w:b/>
          <w:sz w:val="24"/>
          <w:szCs w:val="24"/>
        </w:rPr>
      </w:pPr>
    </w:p>
    <w:p w14:paraId="3FAB8A88" w14:textId="77777777" w:rsidR="0029038E" w:rsidRPr="0029038E" w:rsidRDefault="0029038E" w:rsidP="0029038E">
      <w:pPr>
        <w:pStyle w:val="NoSpacing"/>
        <w:ind w:left="720"/>
        <w:rPr>
          <w:rFonts w:ascii="Times New Roman" w:hAnsi="Times New Roman"/>
          <w:sz w:val="24"/>
          <w:szCs w:val="24"/>
        </w:rPr>
      </w:pPr>
      <w:r w:rsidRPr="0029038E">
        <w:rPr>
          <w:rFonts w:ascii="Times New Roman" w:hAnsi="Times New Roman"/>
          <w:sz w:val="24"/>
          <w:szCs w:val="24"/>
        </w:rPr>
        <w:t xml:space="preserve">Note:  See April 25, </w:t>
      </w:r>
      <w:proofErr w:type="gramStart"/>
      <w:r w:rsidRPr="0029038E">
        <w:rPr>
          <w:rFonts w:ascii="Times New Roman" w:hAnsi="Times New Roman"/>
          <w:sz w:val="24"/>
          <w:szCs w:val="24"/>
        </w:rPr>
        <w:t>2024</w:t>
      </w:r>
      <w:proofErr w:type="gramEnd"/>
      <w:r w:rsidRPr="0029038E">
        <w:rPr>
          <w:rFonts w:ascii="Times New Roman" w:hAnsi="Times New Roman"/>
          <w:sz w:val="24"/>
          <w:szCs w:val="24"/>
        </w:rPr>
        <w:t xml:space="preserve"> lawsuit involving massive train derailment and failure of hot bearing detectors;  February 3, 2023, a 149-car Norfolk Southern train derailed in East Palestine, Ohio.  </w:t>
      </w:r>
      <w:hyperlink r:id="rId446" w:history="1">
        <w:r w:rsidRPr="0029038E">
          <w:rPr>
            <w:rStyle w:val="Hyperlink"/>
            <w:rFonts w:ascii="Times New Roman" w:hAnsi="Times New Roman"/>
            <w:sz w:val="24"/>
            <w:szCs w:val="24"/>
          </w:rPr>
          <w:t>https://www.ktmc.com/featured-case/norfolk-southern-corporation</w:t>
        </w:r>
      </w:hyperlink>
      <w:r w:rsidRPr="0029038E">
        <w:rPr>
          <w:rFonts w:ascii="Times New Roman" w:hAnsi="Times New Roman"/>
          <w:sz w:val="24"/>
          <w:szCs w:val="24"/>
        </w:rPr>
        <w:t xml:space="preserve"> </w:t>
      </w:r>
    </w:p>
    <w:p w14:paraId="32EE4EDC" w14:textId="77777777" w:rsidR="0029038E" w:rsidRPr="0029038E" w:rsidRDefault="0029038E" w:rsidP="0029038E">
      <w:pPr>
        <w:pStyle w:val="NoSpacing"/>
        <w:ind w:left="720"/>
        <w:rPr>
          <w:rFonts w:ascii="Times New Roman" w:hAnsi="Times New Roman"/>
          <w:sz w:val="24"/>
          <w:szCs w:val="24"/>
        </w:rPr>
      </w:pPr>
    </w:p>
    <w:p w14:paraId="7B542463" w14:textId="77777777" w:rsidR="0029038E" w:rsidRPr="0029038E" w:rsidRDefault="0029038E" w:rsidP="0029038E">
      <w:pPr>
        <w:pStyle w:val="NoSpacing"/>
        <w:ind w:left="720"/>
        <w:rPr>
          <w:rFonts w:ascii="Times New Roman" w:hAnsi="Times New Roman"/>
          <w:sz w:val="24"/>
          <w:szCs w:val="24"/>
        </w:rPr>
      </w:pPr>
      <w:r w:rsidRPr="0029038E">
        <w:rPr>
          <w:rFonts w:ascii="Times New Roman" w:hAnsi="Times New Roman"/>
          <w:sz w:val="24"/>
          <w:szCs w:val="24"/>
        </w:rPr>
        <w:t>“As Train 32N neared East Palestine, it passed an HBD registering a journal bearing on the 23rd car that was running 38°F above ambient temperature. Just ten miles later, the next HBD indicated that same bearing was running 65ºF hotter at 103°F above ambient</w:t>
      </w:r>
    </w:p>
    <w:p w14:paraId="6604DB54" w14:textId="77777777" w:rsidR="0029038E" w:rsidRPr="0029038E" w:rsidRDefault="0029038E" w:rsidP="0029038E">
      <w:pPr>
        <w:pStyle w:val="NoSpacing"/>
        <w:ind w:left="720"/>
        <w:rPr>
          <w:rFonts w:ascii="Times New Roman" w:hAnsi="Times New Roman"/>
          <w:sz w:val="24"/>
          <w:szCs w:val="24"/>
        </w:rPr>
      </w:pPr>
      <w:r w:rsidRPr="0029038E">
        <w:rPr>
          <w:rFonts w:ascii="Times New Roman" w:hAnsi="Times New Roman"/>
          <w:sz w:val="24"/>
          <w:szCs w:val="24"/>
        </w:rPr>
        <w:t>temperature – an increase of nearly 200%. The train’s crew was unaware of the 65°F temperature increase and was not told to stop. In fact, the single Norfolk Southern employee operating Norfolk Southern’s Wayside Detector Help Desk, which monitors HBD alerts for the Company’s entire rail system from a desk in Atlanta, was attending to three other alerts at the time and missed the alert on Train 32N. Twenty miles later, the train passed a third and final HBD, which recorded that the same journal bearing had</w:t>
      </w:r>
    </w:p>
    <w:p w14:paraId="635F1EF9" w14:textId="77777777" w:rsidR="0029038E" w:rsidRPr="0029038E" w:rsidRDefault="0029038E" w:rsidP="0029038E">
      <w:pPr>
        <w:pStyle w:val="NoSpacing"/>
        <w:ind w:left="720"/>
        <w:rPr>
          <w:rFonts w:ascii="Times New Roman" w:hAnsi="Times New Roman"/>
          <w:sz w:val="24"/>
          <w:szCs w:val="24"/>
        </w:rPr>
      </w:pPr>
      <w:r w:rsidRPr="0029038E">
        <w:rPr>
          <w:rFonts w:ascii="Times New Roman" w:hAnsi="Times New Roman"/>
          <w:sz w:val="24"/>
          <w:szCs w:val="24"/>
        </w:rPr>
        <w:t>reached a temperature of 253°F above ambient. Only at this point did the train crew</w:t>
      </w:r>
    </w:p>
    <w:p w14:paraId="53342127" w14:textId="77777777" w:rsidR="0029038E" w:rsidRPr="0029038E" w:rsidRDefault="0029038E" w:rsidP="0029038E">
      <w:pPr>
        <w:pStyle w:val="NoSpacing"/>
        <w:ind w:left="720"/>
        <w:rPr>
          <w:rFonts w:ascii="Times New Roman" w:hAnsi="Times New Roman"/>
          <w:sz w:val="24"/>
          <w:szCs w:val="24"/>
        </w:rPr>
      </w:pPr>
      <w:r w:rsidRPr="0029038E">
        <w:rPr>
          <w:rFonts w:ascii="Times New Roman" w:hAnsi="Times New Roman"/>
          <w:sz w:val="24"/>
          <w:szCs w:val="24"/>
        </w:rPr>
        <w:t>receive an alarm to slow the train to inspect the hot axle, but seconds later, the</w:t>
      </w:r>
    </w:p>
    <w:p w14:paraId="11E8C830" w14:textId="77777777" w:rsidR="0029038E" w:rsidRPr="0029038E" w:rsidRDefault="0029038E" w:rsidP="0029038E">
      <w:pPr>
        <w:pStyle w:val="NoSpacing"/>
        <w:ind w:left="720"/>
        <w:rPr>
          <w:rFonts w:ascii="Times New Roman" w:hAnsi="Times New Roman"/>
          <w:sz w:val="24"/>
          <w:szCs w:val="24"/>
        </w:rPr>
      </w:pPr>
      <w:r w:rsidRPr="0029038E">
        <w:rPr>
          <w:rFonts w:ascii="Times New Roman" w:hAnsi="Times New Roman"/>
          <w:sz w:val="24"/>
          <w:szCs w:val="24"/>
        </w:rPr>
        <w:t>automatic emergency brake initiated. When the train stopped, 38 cars had derailed,</w:t>
      </w:r>
    </w:p>
    <w:p w14:paraId="2A5485F2" w14:textId="77777777" w:rsidR="0029038E" w:rsidRPr="0029038E" w:rsidRDefault="0029038E" w:rsidP="0029038E">
      <w:pPr>
        <w:pStyle w:val="NoSpacing"/>
        <w:ind w:left="720"/>
        <w:rPr>
          <w:rFonts w:ascii="Times New Roman" w:hAnsi="Times New Roman"/>
          <w:sz w:val="24"/>
          <w:szCs w:val="24"/>
        </w:rPr>
      </w:pPr>
      <w:r w:rsidRPr="0029038E">
        <w:rPr>
          <w:rFonts w:ascii="Times New Roman" w:hAnsi="Times New Roman"/>
          <w:sz w:val="24"/>
          <w:szCs w:val="24"/>
        </w:rPr>
        <w:t>and the train, including cars containing vinyl chloride, was on fire.”</w:t>
      </w:r>
    </w:p>
    <w:p w14:paraId="27F800C5" w14:textId="77777777" w:rsidR="008B2721" w:rsidRDefault="008B2721" w:rsidP="005D5A0C">
      <w:pPr>
        <w:rPr>
          <w:rFonts w:ascii="Arial Black" w:hAnsi="Arial Black"/>
          <w:sz w:val="24"/>
          <w:szCs w:val="24"/>
        </w:rPr>
      </w:pPr>
    </w:p>
    <w:p w14:paraId="3A8CEA66" w14:textId="77777777" w:rsidR="008B2721" w:rsidRDefault="008B2721" w:rsidP="005D5A0C">
      <w:pPr>
        <w:rPr>
          <w:rFonts w:ascii="Arial Black" w:hAnsi="Arial Black"/>
          <w:sz w:val="24"/>
          <w:szCs w:val="24"/>
        </w:rPr>
      </w:pPr>
    </w:p>
    <w:p w14:paraId="652B0EC4" w14:textId="0E4FB8B1" w:rsidR="008B2721" w:rsidRDefault="008B2721" w:rsidP="005D5A0C">
      <w:pPr>
        <w:rPr>
          <w:rFonts w:ascii="Arial Black" w:hAnsi="Arial Black"/>
          <w:sz w:val="24"/>
          <w:szCs w:val="24"/>
        </w:rPr>
      </w:pPr>
      <w:r>
        <w:rPr>
          <w:rFonts w:ascii="Arial Black" w:hAnsi="Arial Black"/>
          <w:sz w:val="24"/>
          <w:szCs w:val="24"/>
        </w:rPr>
        <w:t>2-83</w:t>
      </w:r>
    </w:p>
    <w:p w14:paraId="1E21E502" w14:textId="77777777" w:rsidR="008B2721" w:rsidRPr="00CB1316" w:rsidRDefault="008B2721" w:rsidP="008B2721">
      <w:pPr>
        <w:pStyle w:val="NoSpacing"/>
        <w:rPr>
          <w:rFonts w:ascii="Arial Black" w:hAnsi="Arial Black"/>
          <w:bCs/>
          <w:sz w:val="28"/>
          <w:szCs w:val="28"/>
        </w:rPr>
      </w:pPr>
      <w:r>
        <w:rPr>
          <w:rFonts w:ascii="Arial Black" w:hAnsi="Arial Black"/>
          <w:sz w:val="28"/>
          <w:szCs w:val="28"/>
        </w:rPr>
        <w:lastRenderedPageBreak/>
        <w:t>VA: RECRUIT DIED – ANONYMOUS LETTER – HOSTILE WORK</w:t>
      </w:r>
    </w:p>
    <w:p w14:paraId="155B42BD" w14:textId="77777777" w:rsidR="008B2721" w:rsidRDefault="008B2721" w:rsidP="008B2721">
      <w:pPr>
        <w:pStyle w:val="NoSpacing"/>
        <w:rPr>
          <w:bCs/>
        </w:rPr>
      </w:pPr>
    </w:p>
    <w:p w14:paraId="691C0B4C" w14:textId="77777777" w:rsidR="008B2721" w:rsidRPr="008B2721" w:rsidRDefault="008B2721" w:rsidP="008B2721">
      <w:pPr>
        <w:pStyle w:val="NoSpacing"/>
        <w:rPr>
          <w:rFonts w:ascii="Times New Roman" w:hAnsi="Times New Roman"/>
          <w:bCs/>
          <w:sz w:val="24"/>
          <w:szCs w:val="24"/>
        </w:rPr>
      </w:pPr>
      <w:r w:rsidRPr="008B2721">
        <w:rPr>
          <w:rFonts w:ascii="Times New Roman" w:hAnsi="Times New Roman"/>
          <w:sz w:val="24"/>
          <w:szCs w:val="24"/>
        </w:rPr>
        <w:t xml:space="preserve">On March 25, 2025, in </w:t>
      </w:r>
      <w:r w:rsidRPr="008B2721">
        <w:rPr>
          <w:rFonts w:ascii="Times New Roman" w:hAnsi="Times New Roman"/>
          <w:sz w:val="24"/>
          <w:szCs w:val="24"/>
          <w:u w:val="single"/>
        </w:rPr>
        <w:t>Casey Blake v. Frederick County Fire and Rescue Dept. et al</w:t>
      </w:r>
      <w:r w:rsidRPr="008B2721">
        <w:rPr>
          <w:rFonts w:ascii="Times New Roman" w:hAnsi="Times New Roman"/>
          <w:sz w:val="24"/>
          <w:szCs w:val="24"/>
        </w:rPr>
        <w:t xml:space="preserve">,  U.S. District Court Judge Jasmine H. Yoon, U.S. District Court for the Western District of Virginia, Harrisonburg Division, held that the lawsuit filed by Casey Blake, administrative assistant to the former Fire Chief, who wrote an anonymous letter, may proceed with her hostile workplace lawsuit against the current Fire Chief, and the County Administrator.  Ms. Blake alleges retaliation when the Chief learned she had written an anonymous letter to the family of a recruit, Ian Strickler, who died on July 5, </w:t>
      </w:r>
      <w:proofErr w:type="gramStart"/>
      <w:r w:rsidRPr="008B2721">
        <w:rPr>
          <w:rFonts w:ascii="Times New Roman" w:hAnsi="Times New Roman"/>
          <w:sz w:val="24"/>
          <w:szCs w:val="24"/>
        </w:rPr>
        <w:t>2023</w:t>
      </w:r>
      <w:proofErr w:type="gramEnd"/>
      <w:r w:rsidRPr="008B2721">
        <w:rPr>
          <w:rFonts w:ascii="Times New Roman" w:hAnsi="Times New Roman"/>
          <w:sz w:val="24"/>
          <w:szCs w:val="24"/>
        </w:rPr>
        <w:t xml:space="preserve"> during physical training.  She encouraged them to hire an attorney and investigate the recruit training officer. “Strickler’s heart rate measured at over 200 beats-per-minute before he collapsed, and his body temperature was recorded at 104 degrees Fahrenheit.”  Ms. Blake’s own son, Nick Blake, had to drop out of recruit school on March 3, </w:t>
      </w:r>
      <w:proofErr w:type="gramStart"/>
      <w:r w:rsidRPr="008B2721">
        <w:rPr>
          <w:rFonts w:ascii="Times New Roman" w:hAnsi="Times New Roman"/>
          <w:sz w:val="24"/>
          <w:szCs w:val="24"/>
        </w:rPr>
        <w:t>2022</w:t>
      </w:r>
      <w:proofErr w:type="gramEnd"/>
      <w:r w:rsidRPr="008B2721">
        <w:rPr>
          <w:rFonts w:ascii="Times New Roman" w:hAnsi="Times New Roman"/>
          <w:sz w:val="24"/>
          <w:szCs w:val="24"/>
        </w:rPr>
        <w:t xml:space="preserve"> when he had medical emergency during recruit class run with same training officer in charge of Ian Strickler class. </w:t>
      </w:r>
    </w:p>
    <w:p w14:paraId="73EA5D1D" w14:textId="77777777" w:rsidR="008B2721" w:rsidRPr="008B2721" w:rsidRDefault="008B2721" w:rsidP="008B2721">
      <w:pPr>
        <w:pStyle w:val="NoSpacing"/>
        <w:rPr>
          <w:rFonts w:ascii="Times New Roman" w:hAnsi="Times New Roman"/>
          <w:bCs/>
          <w:sz w:val="24"/>
          <w:szCs w:val="24"/>
        </w:rPr>
      </w:pPr>
    </w:p>
    <w:p w14:paraId="01032111" w14:textId="77777777" w:rsidR="008B2721" w:rsidRPr="008B2721" w:rsidRDefault="008B2721" w:rsidP="008B2721">
      <w:pPr>
        <w:pStyle w:val="NoSpacing"/>
        <w:ind w:left="720"/>
        <w:rPr>
          <w:rFonts w:ascii="Times New Roman" w:hAnsi="Times New Roman"/>
          <w:bCs/>
          <w:sz w:val="24"/>
          <w:szCs w:val="24"/>
        </w:rPr>
      </w:pPr>
      <w:r w:rsidRPr="008B2721">
        <w:rPr>
          <w:rFonts w:ascii="Times New Roman" w:hAnsi="Times New Roman"/>
          <w:sz w:val="24"/>
          <w:szCs w:val="24"/>
        </w:rPr>
        <w:t xml:space="preserve">“In Count I, Blake asserts a claim for a declaratory judgment against [Fire Chief </w:t>
      </w:r>
      <w:proofErr w:type="spellStart"/>
      <w:r w:rsidRPr="008B2721">
        <w:rPr>
          <w:rFonts w:ascii="Times New Roman" w:hAnsi="Times New Roman"/>
          <w:sz w:val="24"/>
          <w:szCs w:val="24"/>
        </w:rPr>
        <w:t>tephen</w:t>
      </w:r>
      <w:proofErr w:type="spellEnd"/>
      <w:r w:rsidRPr="008B2721">
        <w:rPr>
          <w:rFonts w:ascii="Times New Roman" w:hAnsi="Times New Roman"/>
          <w:sz w:val="24"/>
          <w:szCs w:val="24"/>
        </w:rPr>
        <w:t>] Majchrzak and [County Administrator Michael] Bollhoefer…. Here, Blake’s allegations describe a real and substantial injury: a hostile workplace and damage to her reputation. In addition, Blake alleges that the controversy remains ongoing, as she claims that she continues to experience a hostile work environment, limited job responsibilities, and active monitoring by an administrator as she works from home…. Blake’s requested declaration would have a concrete remedial effect, as she continues to work from home in the same position. Accepting Blake’s allegations as true, the challenged retaliatory conduct by Defendants has not been rectified, thus is not past conduct, and a declaration regarding its constitutionality would not be advisory. As a result, Defendants’ argument on this issue fails.</w:t>
      </w:r>
    </w:p>
    <w:p w14:paraId="701842A5" w14:textId="77777777" w:rsidR="008B2721" w:rsidRPr="008B2721" w:rsidRDefault="008B2721" w:rsidP="008B2721">
      <w:pPr>
        <w:pStyle w:val="NoSpacing"/>
        <w:ind w:left="720"/>
        <w:rPr>
          <w:rFonts w:ascii="Times New Roman" w:hAnsi="Times New Roman"/>
          <w:bCs/>
          <w:sz w:val="24"/>
          <w:szCs w:val="24"/>
        </w:rPr>
      </w:pPr>
    </w:p>
    <w:p w14:paraId="6DC199FE" w14:textId="77777777" w:rsidR="008B2721" w:rsidRPr="008B2721" w:rsidRDefault="008B2721" w:rsidP="008B2721">
      <w:pPr>
        <w:pStyle w:val="NoSpacing"/>
        <w:ind w:left="720"/>
        <w:rPr>
          <w:rFonts w:ascii="Times New Roman" w:hAnsi="Times New Roman"/>
          <w:bCs/>
          <w:sz w:val="24"/>
          <w:szCs w:val="24"/>
        </w:rPr>
      </w:pPr>
      <w:r w:rsidRPr="008B2721">
        <w:rPr>
          <w:rFonts w:ascii="Times New Roman" w:hAnsi="Times New Roman"/>
          <w:sz w:val="24"/>
          <w:szCs w:val="24"/>
        </w:rPr>
        <w:t>***</w:t>
      </w:r>
    </w:p>
    <w:p w14:paraId="373D99CA" w14:textId="77777777" w:rsidR="008B2721" w:rsidRPr="008B2721" w:rsidRDefault="008B2721" w:rsidP="008B2721">
      <w:pPr>
        <w:pStyle w:val="NoSpacing"/>
        <w:rPr>
          <w:rFonts w:ascii="Times New Roman" w:hAnsi="Times New Roman"/>
          <w:bCs/>
          <w:sz w:val="24"/>
          <w:szCs w:val="24"/>
        </w:rPr>
      </w:pPr>
    </w:p>
    <w:p w14:paraId="51419F3E" w14:textId="77777777" w:rsidR="008B2721" w:rsidRPr="008B2721" w:rsidRDefault="008B2721" w:rsidP="008B2721">
      <w:pPr>
        <w:pStyle w:val="NoSpacing"/>
        <w:ind w:left="720"/>
        <w:rPr>
          <w:rFonts w:ascii="Times New Roman" w:hAnsi="Times New Roman"/>
          <w:bCs/>
          <w:sz w:val="24"/>
          <w:szCs w:val="24"/>
        </w:rPr>
      </w:pPr>
      <w:r w:rsidRPr="008B2721">
        <w:rPr>
          <w:rFonts w:ascii="Times New Roman" w:hAnsi="Times New Roman"/>
          <w:sz w:val="24"/>
          <w:szCs w:val="24"/>
        </w:rPr>
        <w:t>[Count II - First Amendment retaliation]  Blake responds by pointing to her allegations that Majchrzak limited Blake’s job duties and responsibilities, prevented her from attending staff meetings, and turned her co-workers against her by facilitating a hostile work environment…. Blake has sufficiently alleged retaliatory acts that are more than de minimis or trivial. … Blake alleged that Majchrzak purposefully excluded her from attending meetings by moving the meeting’s physical location and avoided her….  And Majchrzak took steps to reduce Blake’s job responsibilities by managing his own schedule…. Over time, Blake claims that she was deprived of many of her job duties. … As a result, the court will deny Defendants’ motions to dismiss Count II.”</w:t>
      </w:r>
    </w:p>
    <w:p w14:paraId="5D86E497" w14:textId="77777777" w:rsidR="008B2721" w:rsidRPr="008B2721" w:rsidRDefault="008B2721" w:rsidP="008B2721">
      <w:pPr>
        <w:pStyle w:val="NoSpacing"/>
        <w:ind w:left="720"/>
        <w:rPr>
          <w:rFonts w:ascii="Times New Roman" w:hAnsi="Times New Roman"/>
          <w:bCs/>
          <w:sz w:val="24"/>
          <w:szCs w:val="24"/>
        </w:rPr>
      </w:pPr>
      <w:r w:rsidRPr="008B2721">
        <w:rPr>
          <w:rFonts w:ascii="Times New Roman" w:hAnsi="Times New Roman"/>
          <w:sz w:val="24"/>
          <w:szCs w:val="24"/>
        </w:rPr>
        <w:t>***</w:t>
      </w:r>
    </w:p>
    <w:p w14:paraId="1AFC513F" w14:textId="77777777" w:rsidR="008B2721" w:rsidRPr="008B2721" w:rsidRDefault="008B2721" w:rsidP="008B2721">
      <w:pPr>
        <w:pStyle w:val="NoSpacing"/>
        <w:rPr>
          <w:rFonts w:ascii="Times New Roman" w:hAnsi="Times New Roman"/>
          <w:bCs/>
          <w:sz w:val="24"/>
          <w:szCs w:val="24"/>
        </w:rPr>
      </w:pPr>
    </w:p>
    <w:p w14:paraId="5CC58FF0" w14:textId="77777777" w:rsidR="008B2721" w:rsidRPr="008B2721" w:rsidRDefault="008B2721" w:rsidP="008B2721">
      <w:pPr>
        <w:pStyle w:val="NoSpacing"/>
        <w:ind w:left="720"/>
        <w:rPr>
          <w:rFonts w:ascii="Times New Roman" w:hAnsi="Times New Roman"/>
          <w:bCs/>
          <w:sz w:val="24"/>
          <w:szCs w:val="24"/>
        </w:rPr>
      </w:pPr>
      <w:r w:rsidRPr="008B2721">
        <w:rPr>
          <w:rFonts w:ascii="Times New Roman" w:hAnsi="Times New Roman"/>
          <w:sz w:val="24"/>
          <w:szCs w:val="24"/>
        </w:rPr>
        <w:t xml:space="preserve">[Court dismissed other claims, including Intentional Infliction of Emotional Distress claim.] The court finds that the alleged conduct from Majchrzak and Bollhoefer does not rise to the level of ‘outrageous and intolerable.’ Although unprofessional and indecorous, Defendants’ alleged efforts to ostracize her at work, limit her job responsibilities, and exclude her from meetings do not meet the high bar Virginia law requires.” </w:t>
      </w:r>
    </w:p>
    <w:p w14:paraId="222FD0EB" w14:textId="77777777" w:rsidR="008B2721" w:rsidRPr="008B2721" w:rsidRDefault="008B2721" w:rsidP="008B2721">
      <w:pPr>
        <w:pStyle w:val="NoSpacing"/>
        <w:ind w:left="720"/>
        <w:rPr>
          <w:rFonts w:ascii="Times New Roman" w:hAnsi="Times New Roman"/>
          <w:bCs/>
          <w:sz w:val="24"/>
          <w:szCs w:val="24"/>
        </w:rPr>
      </w:pPr>
    </w:p>
    <w:p w14:paraId="6BA52E9D" w14:textId="77777777" w:rsidR="00B404C3" w:rsidRPr="00B404C3" w:rsidRDefault="00B404C3" w:rsidP="00B404C3">
      <w:pPr>
        <w:pStyle w:val="NoSpacing"/>
        <w:rPr>
          <w:rFonts w:ascii="Times New Roman" w:hAnsi="Times New Roman"/>
          <w:b/>
          <w:sz w:val="24"/>
          <w:szCs w:val="24"/>
        </w:rPr>
      </w:pPr>
      <w:r w:rsidRPr="00B404C3">
        <w:rPr>
          <w:rFonts w:ascii="Times New Roman" w:hAnsi="Times New Roman"/>
          <w:b/>
          <w:sz w:val="24"/>
          <w:szCs w:val="24"/>
        </w:rPr>
        <w:t xml:space="preserve">Legal Lesson Learned: The case will now proceed to pre-trial discovery; carefully review your protocols on medical exams for recruits and their fitness testing. </w:t>
      </w:r>
    </w:p>
    <w:p w14:paraId="6C96C690" w14:textId="77777777" w:rsidR="008B2721" w:rsidRDefault="008B2721" w:rsidP="008B2721">
      <w:pPr>
        <w:pStyle w:val="NoSpacing"/>
        <w:ind w:left="720"/>
        <w:rPr>
          <w:bCs/>
        </w:rPr>
      </w:pPr>
    </w:p>
    <w:p w14:paraId="28E2C164" w14:textId="77777777" w:rsidR="008B2721" w:rsidRDefault="008B2721" w:rsidP="005D5A0C">
      <w:pPr>
        <w:rPr>
          <w:rFonts w:ascii="Arial Black" w:hAnsi="Arial Black"/>
          <w:sz w:val="24"/>
          <w:szCs w:val="24"/>
        </w:rPr>
      </w:pPr>
    </w:p>
    <w:p w14:paraId="69BCB69F" w14:textId="77777777" w:rsidR="008B2721" w:rsidRDefault="008B2721" w:rsidP="005D5A0C">
      <w:pPr>
        <w:rPr>
          <w:rFonts w:ascii="Arial Black" w:hAnsi="Arial Black"/>
          <w:sz w:val="24"/>
          <w:szCs w:val="24"/>
        </w:rPr>
      </w:pPr>
    </w:p>
    <w:p w14:paraId="6E9B4DA7" w14:textId="3FE25AA8" w:rsidR="00042223" w:rsidRDefault="00042223" w:rsidP="005D5A0C">
      <w:pPr>
        <w:rPr>
          <w:rFonts w:ascii="Arial Black" w:hAnsi="Arial Black"/>
          <w:sz w:val="24"/>
          <w:szCs w:val="24"/>
        </w:rPr>
      </w:pPr>
      <w:r>
        <w:rPr>
          <w:rFonts w:ascii="Arial Black" w:hAnsi="Arial Black"/>
          <w:sz w:val="24"/>
          <w:szCs w:val="24"/>
        </w:rPr>
        <w:t>2-82</w:t>
      </w:r>
    </w:p>
    <w:p w14:paraId="7436A6A9" w14:textId="77777777" w:rsidR="00042223" w:rsidRPr="000B7F2C" w:rsidRDefault="00042223" w:rsidP="00042223">
      <w:pPr>
        <w:rPr>
          <w:rFonts w:ascii="Arial Black" w:hAnsi="Arial Black"/>
          <w:b/>
          <w:sz w:val="28"/>
          <w:szCs w:val="28"/>
        </w:rPr>
      </w:pPr>
      <w:r w:rsidRPr="000B7F2C">
        <w:rPr>
          <w:rFonts w:ascii="Arial Black" w:hAnsi="Arial Black"/>
          <w:b/>
          <w:sz w:val="28"/>
          <w:szCs w:val="28"/>
        </w:rPr>
        <w:lastRenderedPageBreak/>
        <w:t>MS: LT MURDERED</w:t>
      </w:r>
      <w:r>
        <w:rPr>
          <w:rFonts w:ascii="Arial Black" w:hAnsi="Arial Black"/>
          <w:b/>
          <w:sz w:val="28"/>
          <w:szCs w:val="28"/>
        </w:rPr>
        <w:t xml:space="preserve"> - </w:t>
      </w:r>
      <w:r w:rsidRPr="000B7F2C">
        <w:rPr>
          <w:rFonts w:ascii="Arial Black" w:hAnsi="Arial Black"/>
          <w:b/>
          <w:sz w:val="28"/>
          <w:szCs w:val="28"/>
        </w:rPr>
        <w:t xml:space="preserve">HALF BROTHER – CONV. </w:t>
      </w:r>
      <w:r>
        <w:rPr>
          <w:rFonts w:ascii="Arial Black" w:hAnsi="Arial Black"/>
          <w:b/>
          <w:sz w:val="28"/>
          <w:szCs w:val="28"/>
        </w:rPr>
        <w:t>AFFIRMED</w:t>
      </w:r>
    </w:p>
    <w:p w14:paraId="6FA49322" w14:textId="77777777" w:rsidR="00042223" w:rsidRPr="00042223" w:rsidRDefault="00042223" w:rsidP="00042223">
      <w:pPr>
        <w:rPr>
          <w:rFonts w:ascii="Times New Roman" w:hAnsi="Times New Roman"/>
          <w:bCs/>
          <w:sz w:val="24"/>
          <w:szCs w:val="24"/>
        </w:rPr>
      </w:pPr>
      <w:r w:rsidRPr="00042223">
        <w:rPr>
          <w:rFonts w:ascii="Times New Roman" w:hAnsi="Times New Roman"/>
          <w:sz w:val="24"/>
          <w:szCs w:val="24"/>
        </w:rPr>
        <w:t xml:space="preserve">On Feb. 20, 2025, in </w:t>
      </w:r>
      <w:r w:rsidRPr="00042223">
        <w:rPr>
          <w:rFonts w:ascii="Times New Roman" w:hAnsi="Times New Roman"/>
          <w:sz w:val="24"/>
          <w:szCs w:val="24"/>
          <w:u w:val="single"/>
        </w:rPr>
        <w:t>Terrance Watts v. State of Mississippi</w:t>
      </w:r>
      <w:r w:rsidRPr="00042223">
        <w:rPr>
          <w:rFonts w:ascii="Times New Roman" w:hAnsi="Times New Roman"/>
          <w:sz w:val="24"/>
          <w:szCs w:val="24"/>
        </w:rPr>
        <w:t xml:space="preserve">, the Supreme Court of Mississippi held (3 to 0) that the defendants </w:t>
      </w:r>
      <w:proofErr w:type="gramStart"/>
      <w:r w:rsidRPr="00042223">
        <w:rPr>
          <w:rFonts w:ascii="Times New Roman" w:hAnsi="Times New Roman"/>
          <w:sz w:val="24"/>
          <w:szCs w:val="24"/>
        </w:rPr>
        <w:t>was</w:t>
      </w:r>
      <w:proofErr w:type="gramEnd"/>
      <w:r w:rsidRPr="00042223">
        <w:rPr>
          <w:rFonts w:ascii="Times New Roman" w:hAnsi="Times New Roman"/>
          <w:sz w:val="24"/>
          <w:szCs w:val="24"/>
        </w:rPr>
        <w:t xml:space="preserve"> properly convicted by a jury of first degree </w:t>
      </w:r>
      <w:proofErr w:type="gramStart"/>
      <w:r w:rsidRPr="00042223">
        <w:rPr>
          <w:rFonts w:ascii="Times New Roman" w:hAnsi="Times New Roman"/>
          <w:sz w:val="24"/>
          <w:szCs w:val="24"/>
        </w:rPr>
        <w:t>murder, and</w:t>
      </w:r>
      <w:proofErr w:type="gramEnd"/>
      <w:r w:rsidRPr="00042223">
        <w:rPr>
          <w:rFonts w:ascii="Times New Roman" w:hAnsi="Times New Roman"/>
          <w:sz w:val="24"/>
          <w:szCs w:val="24"/>
        </w:rPr>
        <w:t xml:space="preserve"> sentenced by the judge to life imprisonment. “Around 8:00 a.m., Watts turned himself in at the Flora Police Department. Watts agreed to be interviewed by McNeal. During the video and audio recording of the interview, Watts recounted that he had just met Williams after finding out they were </w:t>
      </w:r>
      <w:proofErr w:type="spellStart"/>
      <w:r w:rsidRPr="00042223">
        <w:rPr>
          <w:rFonts w:ascii="Times New Roman" w:hAnsi="Times New Roman"/>
          <w:sz w:val="24"/>
          <w:szCs w:val="24"/>
        </w:rPr>
        <w:t>half brothers</w:t>
      </w:r>
      <w:proofErr w:type="spellEnd"/>
      <w:r w:rsidRPr="00042223">
        <w:rPr>
          <w:rFonts w:ascii="Times New Roman" w:hAnsi="Times New Roman"/>
          <w:sz w:val="24"/>
          <w:szCs w:val="24"/>
        </w:rPr>
        <w:t xml:space="preserve">. Williams </w:t>
      </w:r>
      <w:proofErr w:type="gramStart"/>
      <w:r w:rsidRPr="00042223">
        <w:rPr>
          <w:rFonts w:ascii="Times New Roman" w:hAnsi="Times New Roman"/>
          <w:sz w:val="24"/>
          <w:szCs w:val="24"/>
        </w:rPr>
        <w:t>had met</w:t>
      </w:r>
      <w:proofErr w:type="gramEnd"/>
      <w:r w:rsidRPr="00042223">
        <w:rPr>
          <w:rFonts w:ascii="Times New Roman" w:hAnsi="Times New Roman"/>
          <w:sz w:val="24"/>
          <w:szCs w:val="24"/>
        </w:rPr>
        <w:t xml:space="preserve"> up with Watts on March 22, 2020, to get to know each </w:t>
      </w:r>
      <w:proofErr w:type="gramStart"/>
      <w:r w:rsidRPr="00042223">
        <w:rPr>
          <w:rFonts w:ascii="Times New Roman" w:hAnsi="Times New Roman"/>
          <w:sz w:val="24"/>
          <w:szCs w:val="24"/>
        </w:rPr>
        <w:t>other.”</w:t>
      </w:r>
      <w:proofErr w:type="gramEnd"/>
      <w:r w:rsidRPr="00042223">
        <w:rPr>
          <w:rFonts w:ascii="Times New Roman" w:hAnsi="Times New Roman"/>
          <w:sz w:val="24"/>
          <w:szCs w:val="24"/>
        </w:rPr>
        <w:t xml:space="preserve">  </w:t>
      </w:r>
      <w:hyperlink r:id="rId447" w:history="1">
        <w:r w:rsidRPr="00042223">
          <w:rPr>
            <w:rStyle w:val="Hyperlink"/>
            <w:rFonts w:ascii="Times New Roman" w:hAnsi="Times New Roman"/>
            <w:sz w:val="24"/>
            <w:szCs w:val="24"/>
          </w:rPr>
          <w:t>https://www.courts.ms.gov/images/Opinions/CO182132.pdf</w:t>
        </w:r>
      </w:hyperlink>
      <w:r w:rsidRPr="00042223">
        <w:rPr>
          <w:rFonts w:ascii="Times New Roman" w:hAnsi="Times New Roman"/>
          <w:sz w:val="24"/>
          <w:szCs w:val="24"/>
        </w:rPr>
        <w:t xml:space="preserve"> </w:t>
      </w:r>
    </w:p>
    <w:p w14:paraId="17AD755E" w14:textId="77777777" w:rsidR="00042223" w:rsidRPr="00042223" w:rsidRDefault="00042223" w:rsidP="00042223">
      <w:pPr>
        <w:rPr>
          <w:rFonts w:ascii="Times New Roman" w:hAnsi="Times New Roman"/>
          <w:bCs/>
          <w:sz w:val="24"/>
          <w:szCs w:val="24"/>
        </w:rPr>
      </w:pPr>
      <w:r w:rsidRPr="00042223">
        <w:rPr>
          <w:rFonts w:ascii="Times New Roman" w:hAnsi="Times New Roman"/>
          <w:sz w:val="24"/>
          <w:szCs w:val="24"/>
        </w:rPr>
        <w:t>The Court held:</w:t>
      </w:r>
    </w:p>
    <w:p w14:paraId="747C4DEB"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“Shortly after midnight on March 23, 2020, Crime Scene Investigator Andrew Harris</w:t>
      </w:r>
    </w:p>
    <w:p w14:paraId="5FC6281B"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of the Jackson Police Department (JPD) was dispatched to a shooting at a Marathon gas</w:t>
      </w:r>
    </w:p>
    <w:p w14:paraId="4FFD77D6"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station on Hanging Moss Road. Harris photographed the scene and collected evidence.</w:t>
      </w:r>
    </w:p>
    <w:p w14:paraId="49EB3963" w14:textId="77777777" w:rsidR="00042223" w:rsidRPr="00042223" w:rsidRDefault="00042223" w:rsidP="00042223">
      <w:pPr>
        <w:pStyle w:val="NoSpacing"/>
        <w:ind w:left="720"/>
        <w:rPr>
          <w:rFonts w:ascii="Times New Roman" w:hAnsi="Times New Roman"/>
          <w:bCs/>
          <w:sz w:val="24"/>
          <w:szCs w:val="24"/>
        </w:rPr>
      </w:pPr>
      <w:r w:rsidRPr="00042223">
        <w:rPr>
          <w:rFonts w:ascii="Times New Roman" w:hAnsi="Times New Roman"/>
          <w:sz w:val="24"/>
          <w:szCs w:val="24"/>
        </w:rPr>
        <w:t>Several of Harris’s photographs depicted a deceased male lying on the ground with a gunshot wound to his head.</w:t>
      </w:r>
    </w:p>
    <w:p w14:paraId="60057357" w14:textId="77777777" w:rsidR="00042223" w:rsidRPr="00042223" w:rsidRDefault="00042223" w:rsidP="00042223">
      <w:pPr>
        <w:pStyle w:val="NoSpacing"/>
        <w:rPr>
          <w:rFonts w:ascii="Times New Roman" w:hAnsi="Times New Roman"/>
          <w:bCs/>
          <w:sz w:val="24"/>
          <w:szCs w:val="24"/>
        </w:rPr>
      </w:pPr>
    </w:p>
    <w:p w14:paraId="4C26AB6B"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w:t>
      </w:r>
    </w:p>
    <w:p w14:paraId="028B0769"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Also dispatched to the Marathon was Kevin McNeal, who was a detective with JPD</w:t>
      </w:r>
    </w:p>
    <w:p w14:paraId="2AA7EAF6"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 xml:space="preserve">at the time. McNeal obtained the surveillance footage from the Marathon. These </w:t>
      </w:r>
      <w:proofErr w:type="gramStart"/>
      <w:r w:rsidRPr="00042223">
        <w:rPr>
          <w:rFonts w:ascii="Times New Roman" w:hAnsi="Times New Roman"/>
          <w:sz w:val="24"/>
          <w:szCs w:val="24"/>
        </w:rPr>
        <w:t>video</w:t>
      </w:r>
      <w:proofErr w:type="gramEnd"/>
    </w:p>
    <w:p w14:paraId="06EDB278"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recordings were played in front of the jury. McNeal also spoke with the firemen who</w:t>
      </w:r>
    </w:p>
    <w:p w14:paraId="67E45A91" w14:textId="77777777" w:rsidR="00042223" w:rsidRPr="00042223" w:rsidRDefault="00042223" w:rsidP="00042223">
      <w:pPr>
        <w:pStyle w:val="NoSpacing"/>
        <w:ind w:left="720"/>
        <w:rPr>
          <w:rFonts w:ascii="Times New Roman" w:hAnsi="Times New Roman"/>
          <w:bCs/>
          <w:sz w:val="24"/>
          <w:szCs w:val="24"/>
        </w:rPr>
      </w:pPr>
      <w:r w:rsidRPr="00042223">
        <w:rPr>
          <w:rFonts w:ascii="Times New Roman" w:hAnsi="Times New Roman"/>
          <w:sz w:val="24"/>
          <w:szCs w:val="24"/>
        </w:rPr>
        <w:t>responded to the shooting and was informed that Williams had visited Jackson Fire Station Number 20 on March 22, 2023, with a man named Terrance, later identified as Terrance Watts.</w:t>
      </w:r>
      <w:r w:rsidRPr="00042223">
        <w:rPr>
          <w:rFonts w:ascii="Times New Roman" w:hAnsi="Times New Roman"/>
          <w:sz w:val="24"/>
          <w:szCs w:val="24"/>
        </w:rPr>
        <w:tab/>
      </w:r>
    </w:p>
    <w:p w14:paraId="3E7356A0" w14:textId="77777777" w:rsidR="00042223" w:rsidRPr="00042223" w:rsidRDefault="00042223" w:rsidP="00042223">
      <w:pPr>
        <w:pStyle w:val="NoSpacing"/>
        <w:rPr>
          <w:rFonts w:ascii="Times New Roman" w:hAnsi="Times New Roman"/>
          <w:bCs/>
          <w:sz w:val="24"/>
          <w:szCs w:val="24"/>
        </w:rPr>
      </w:pPr>
    </w:p>
    <w:p w14:paraId="69CF0BD1"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w:t>
      </w:r>
    </w:p>
    <w:p w14:paraId="47054D02"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Michael Stinson was a fireman at JFD with Williams. He recounted seeing Williams</w:t>
      </w:r>
    </w:p>
    <w:p w14:paraId="316817C6"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 xml:space="preserve">twice on March 22, 2020. The first </w:t>
      </w:r>
      <w:proofErr w:type="gramStart"/>
      <w:r w:rsidRPr="00042223">
        <w:rPr>
          <w:rFonts w:ascii="Times New Roman" w:hAnsi="Times New Roman"/>
          <w:sz w:val="24"/>
          <w:szCs w:val="24"/>
        </w:rPr>
        <w:t>time when</w:t>
      </w:r>
      <w:proofErr w:type="gramEnd"/>
      <w:r w:rsidRPr="00042223">
        <w:rPr>
          <w:rFonts w:ascii="Times New Roman" w:hAnsi="Times New Roman"/>
          <w:sz w:val="24"/>
          <w:szCs w:val="24"/>
        </w:rPr>
        <w:t xml:space="preserve"> Williams brought Watts to Fire Station</w:t>
      </w:r>
    </w:p>
    <w:p w14:paraId="0164DCCD"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Number 20, Stinson recalled wrestling around with Williams and related that they would</w:t>
      </w:r>
    </w:p>
    <w:p w14:paraId="15775E18"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wrestle almost every shift. The second time Stinson saw Williams that day, Williams was</w:t>
      </w:r>
    </w:p>
    <w:p w14:paraId="1F618C59" w14:textId="77777777" w:rsidR="00042223" w:rsidRPr="00042223" w:rsidRDefault="00042223" w:rsidP="00042223">
      <w:pPr>
        <w:pStyle w:val="NoSpacing"/>
        <w:ind w:left="720"/>
        <w:rPr>
          <w:rFonts w:ascii="Times New Roman" w:hAnsi="Times New Roman"/>
          <w:bCs/>
          <w:sz w:val="24"/>
          <w:szCs w:val="24"/>
        </w:rPr>
      </w:pPr>
      <w:r w:rsidRPr="00042223">
        <w:rPr>
          <w:rFonts w:ascii="Times New Roman" w:hAnsi="Times New Roman"/>
          <w:sz w:val="24"/>
          <w:szCs w:val="24"/>
        </w:rPr>
        <w:t>deceased at the Marathon. Stinson was part of the rescue unit that responded to the shooting. Stinson identified the deceased body as Williams.</w:t>
      </w:r>
    </w:p>
    <w:p w14:paraId="7C51F833" w14:textId="77777777" w:rsidR="00042223" w:rsidRPr="00042223" w:rsidRDefault="00042223" w:rsidP="00042223">
      <w:pPr>
        <w:pStyle w:val="NoSpacing"/>
        <w:rPr>
          <w:rFonts w:ascii="Times New Roman" w:hAnsi="Times New Roman"/>
          <w:bCs/>
          <w:sz w:val="24"/>
          <w:szCs w:val="24"/>
        </w:rPr>
      </w:pPr>
    </w:p>
    <w:p w14:paraId="6FABB81E"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w:t>
      </w:r>
    </w:p>
    <w:p w14:paraId="29C35B99"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A reasonable juror could infer based on common sense and lived experience that</w:t>
      </w:r>
    </w:p>
    <w:p w14:paraId="469DCA6F"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Watts formed a plan to kill Williams when he retrieved Williams’s pistol from the center</w:t>
      </w:r>
    </w:p>
    <w:p w14:paraId="2E6BD39A"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console, pulled back the slide, and ejected one live round onto the floorboard. The jury</w:t>
      </w:r>
    </w:p>
    <w:p w14:paraId="79A17529"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reasonably could have found that Watts’s actions revealed that he, being previously</w:t>
      </w:r>
    </w:p>
    <w:p w14:paraId="4218AB44"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 xml:space="preserve">unfamiliar with Williams’s pistol, was unsure whether the </w:t>
      </w:r>
      <w:proofErr w:type="gramStart"/>
      <w:r w:rsidRPr="00042223">
        <w:rPr>
          <w:rFonts w:ascii="Times New Roman" w:hAnsi="Times New Roman"/>
          <w:sz w:val="24"/>
          <w:szCs w:val="24"/>
        </w:rPr>
        <w:t>hand gun</w:t>
      </w:r>
      <w:proofErr w:type="gramEnd"/>
      <w:r w:rsidRPr="00042223">
        <w:rPr>
          <w:rFonts w:ascii="Times New Roman" w:hAnsi="Times New Roman"/>
          <w:sz w:val="24"/>
          <w:szCs w:val="24"/>
        </w:rPr>
        <w:t xml:space="preserve"> had a bullet in the</w:t>
      </w:r>
    </w:p>
    <w:p w14:paraId="476F35D5"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chamber. The jury reasonably could have found that once Watts ejected the live round, he</w:t>
      </w:r>
    </w:p>
    <w:p w14:paraId="1070F5F6"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then had confirmation that the pistol was ready to fire. Accordingly, the jury reasonably</w:t>
      </w:r>
    </w:p>
    <w:p w14:paraId="5898A014" w14:textId="77777777" w:rsidR="00042223" w:rsidRPr="00042223" w:rsidRDefault="00042223" w:rsidP="00042223">
      <w:pPr>
        <w:pStyle w:val="NoSpacing"/>
        <w:ind w:left="720"/>
        <w:rPr>
          <w:rFonts w:ascii="Times New Roman" w:hAnsi="Times New Roman"/>
          <w:bCs/>
          <w:sz w:val="24"/>
          <w:szCs w:val="24"/>
        </w:rPr>
      </w:pPr>
      <w:r w:rsidRPr="00042223">
        <w:rPr>
          <w:rFonts w:ascii="Times New Roman" w:hAnsi="Times New Roman"/>
          <w:sz w:val="24"/>
          <w:szCs w:val="24"/>
        </w:rPr>
        <w:t xml:space="preserve">could have found that Watts was fully aware of what he was doing when he exited the Tahoe and intentionally shot Williams in the head. Viewing the evidence in the light most favorable to the prosecution, therefore, any rational juror could have found each element of </w:t>
      </w:r>
      <w:proofErr w:type="gramStart"/>
      <w:r w:rsidRPr="00042223">
        <w:rPr>
          <w:rFonts w:ascii="Times New Roman" w:hAnsi="Times New Roman"/>
          <w:sz w:val="24"/>
          <w:szCs w:val="24"/>
        </w:rPr>
        <w:t>first degree</w:t>
      </w:r>
      <w:proofErr w:type="gramEnd"/>
      <w:r w:rsidRPr="00042223">
        <w:rPr>
          <w:rFonts w:ascii="Times New Roman" w:hAnsi="Times New Roman"/>
          <w:sz w:val="24"/>
          <w:szCs w:val="24"/>
        </w:rPr>
        <w:t xml:space="preserve"> murder beyond a reasonable doubt.</w:t>
      </w:r>
    </w:p>
    <w:p w14:paraId="72420491" w14:textId="77777777" w:rsidR="00042223" w:rsidRPr="00042223" w:rsidRDefault="00042223" w:rsidP="00042223">
      <w:pPr>
        <w:pStyle w:val="NoSpacing"/>
        <w:rPr>
          <w:rFonts w:ascii="Times New Roman" w:hAnsi="Times New Roman"/>
          <w:bCs/>
          <w:sz w:val="24"/>
          <w:szCs w:val="24"/>
        </w:rPr>
      </w:pPr>
    </w:p>
    <w:p w14:paraId="69B61EB1"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w:t>
      </w:r>
    </w:p>
    <w:p w14:paraId="0AC45B6C" w14:textId="77777777" w:rsidR="00042223" w:rsidRPr="00042223" w:rsidRDefault="00042223" w:rsidP="00042223">
      <w:pPr>
        <w:pStyle w:val="NoSpacing"/>
        <w:ind w:firstLine="720"/>
        <w:rPr>
          <w:rFonts w:ascii="Times New Roman" w:hAnsi="Times New Roman"/>
          <w:bCs/>
          <w:sz w:val="24"/>
          <w:szCs w:val="24"/>
        </w:rPr>
      </w:pPr>
      <w:r w:rsidRPr="00042223">
        <w:rPr>
          <w:rFonts w:ascii="Times New Roman" w:hAnsi="Times New Roman"/>
          <w:sz w:val="24"/>
          <w:szCs w:val="24"/>
        </w:rPr>
        <w:t>Occurrences of fratricide are nearly as old as humanity itself. The factual details of</w:t>
      </w:r>
    </w:p>
    <w:p w14:paraId="29F40006" w14:textId="77777777" w:rsidR="00042223" w:rsidRPr="00042223" w:rsidRDefault="00042223" w:rsidP="00042223">
      <w:pPr>
        <w:pStyle w:val="NoSpacing"/>
        <w:ind w:left="720"/>
        <w:rPr>
          <w:rFonts w:ascii="Times New Roman" w:hAnsi="Times New Roman"/>
          <w:bCs/>
          <w:sz w:val="24"/>
          <w:szCs w:val="24"/>
        </w:rPr>
      </w:pPr>
      <w:r w:rsidRPr="00042223">
        <w:rPr>
          <w:rFonts w:ascii="Times New Roman" w:hAnsi="Times New Roman"/>
          <w:sz w:val="24"/>
          <w:szCs w:val="24"/>
        </w:rPr>
        <w:t xml:space="preserve">today’s case unfortunately </w:t>
      </w:r>
      <w:proofErr w:type="gramStart"/>
      <w:r w:rsidRPr="00042223">
        <w:rPr>
          <w:rFonts w:ascii="Times New Roman" w:hAnsi="Times New Roman"/>
          <w:sz w:val="24"/>
          <w:szCs w:val="24"/>
        </w:rPr>
        <w:t>add</w:t>
      </w:r>
      <w:proofErr w:type="gramEnd"/>
      <w:r w:rsidRPr="00042223">
        <w:rPr>
          <w:rFonts w:ascii="Times New Roman" w:hAnsi="Times New Roman"/>
          <w:sz w:val="24"/>
          <w:szCs w:val="24"/>
        </w:rPr>
        <w:t xml:space="preserve"> another example to this ancient litany. Finding no error, we affirm.”</w:t>
      </w:r>
    </w:p>
    <w:p w14:paraId="10B1AC17" w14:textId="77777777" w:rsidR="00042223" w:rsidRPr="00042223" w:rsidRDefault="00042223" w:rsidP="00042223">
      <w:pPr>
        <w:pStyle w:val="NoSpacing"/>
        <w:rPr>
          <w:rFonts w:ascii="Times New Roman" w:hAnsi="Times New Roman"/>
          <w:bCs/>
          <w:sz w:val="24"/>
          <w:szCs w:val="24"/>
        </w:rPr>
      </w:pPr>
    </w:p>
    <w:p w14:paraId="0B23B3E4" w14:textId="77777777" w:rsidR="00042223" w:rsidRPr="00042223" w:rsidRDefault="00042223" w:rsidP="00042223">
      <w:pPr>
        <w:pStyle w:val="NoSpacing"/>
        <w:rPr>
          <w:rFonts w:ascii="Times New Roman" w:hAnsi="Times New Roman"/>
          <w:b/>
          <w:sz w:val="24"/>
          <w:szCs w:val="24"/>
        </w:rPr>
      </w:pPr>
      <w:r w:rsidRPr="00042223">
        <w:rPr>
          <w:rFonts w:ascii="Times New Roman" w:hAnsi="Times New Roman"/>
          <w:b/>
          <w:sz w:val="24"/>
          <w:szCs w:val="24"/>
        </w:rPr>
        <w:t xml:space="preserve">Legal Lesson Learned: Responding to a shooting and finding body of fellow firefighter is particularly tragic. </w:t>
      </w:r>
    </w:p>
    <w:p w14:paraId="73B8FAE1" w14:textId="77777777" w:rsidR="00042223" w:rsidRPr="00042223" w:rsidRDefault="00042223" w:rsidP="00042223">
      <w:pPr>
        <w:pStyle w:val="NoSpacing"/>
        <w:rPr>
          <w:rFonts w:ascii="Times New Roman" w:hAnsi="Times New Roman"/>
          <w:bCs/>
          <w:sz w:val="24"/>
          <w:szCs w:val="24"/>
        </w:rPr>
      </w:pPr>
    </w:p>
    <w:p w14:paraId="1A7D8DC4" w14:textId="77777777" w:rsidR="00042223" w:rsidRPr="00042223" w:rsidRDefault="00042223" w:rsidP="00042223">
      <w:pPr>
        <w:ind w:left="720"/>
        <w:rPr>
          <w:rFonts w:ascii="Times New Roman" w:hAnsi="Times New Roman"/>
          <w:bCs/>
          <w:sz w:val="24"/>
          <w:szCs w:val="24"/>
        </w:rPr>
      </w:pPr>
      <w:r w:rsidRPr="00042223">
        <w:rPr>
          <w:rFonts w:ascii="Times New Roman" w:hAnsi="Times New Roman"/>
          <w:sz w:val="24"/>
          <w:szCs w:val="24"/>
        </w:rPr>
        <w:t xml:space="preserve">Note: See article / video on the case. Feb. 20, 2025. “Court upholds man’s conviction for killing Jackson firefighter.”  </w:t>
      </w:r>
      <w:hyperlink r:id="rId448" w:history="1">
        <w:r w:rsidRPr="00042223">
          <w:rPr>
            <w:rStyle w:val="Hyperlink"/>
            <w:rFonts w:ascii="Times New Roman" w:hAnsi="Times New Roman"/>
            <w:sz w:val="24"/>
            <w:szCs w:val="24"/>
          </w:rPr>
          <w:t>https://www.wjtv.com/news/local-news/court-upholds-mans-conviction-for-killing-jackson-firefighter/</w:t>
        </w:r>
      </w:hyperlink>
      <w:r w:rsidRPr="00042223">
        <w:rPr>
          <w:rFonts w:ascii="Times New Roman" w:hAnsi="Times New Roman"/>
          <w:sz w:val="24"/>
          <w:szCs w:val="24"/>
        </w:rPr>
        <w:t xml:space="preserve"> </w:t>
      </w:r>
    </w:p>
    <w:p w14:paraId="5DB44DC6" w14:textId="77777777" w:rsidR="00042223" w:rsidRPr="00042223" w:rsidRDefault="00042223" w:rsidP="00042223">
      <w:pPr>
        <w:ind w:left="720"/>
        <w:rPr>
          <w:rFonts w:ascii="Times New Roman" w:hAnsi="Times New Roman"/>
          <w:bCs/>
          <w:sz w:val="24"/>
          <w:szCs w:val="24"/>
        </w:rPr>
      </w:pPr>
      <w:r w:rsidRPr="00042223">
        <w:rPr>
          <w:rFonts w:ascii="Times New Roman" w:hAnsi="Times New Roman"/>
          <w:sz w:val="24"/>
          <w:szCs w:val="24"/>
        </w:rPr>
        <w:t xml:space="preserve">March 23, 2000: </w:t>
      </w:r>
      <w:hyperlink r:id="rId449" w:history="1">
        <w:r w:rsidRPr="00042223">
          <w:rPr>
            <w:rStyle w:val="Hyperlink"/>
            <w:rFonts w:ascii="Times New Roman" w:hAnsi="Times New Roman"/>
            <w:sz w:val="24"/>
            <w:szCs w:val="24"/>
          </w:rPr>
          <w:t>https://www.firerescue1.com/firefighter-death/articles/miss-fire-lieutenant-killed-in-gas-station-robbery-jMwIEdZ3rDnt54xe/</w:t>
        </w:r>
      </w:hyperlink>
      <w:r w:rsidRPr="00042223">
        <w:rPr>
          <w:rFonts w:ascii="Times New Roman" w:hAnsi="Times New Roman"/>
          <w:sz w:val="24"/>
          <w:szCs w:val="24"/>
        </w:rPr>
        <w:t xml:space="preserve"> </w:t>
      </w:r>
    </w:p>
    <w:p w14:paraId="6918A042" w14:textId="77777777" w:rsidR="00042223" w:rsidRPr="000B7F2C" w:rsidRDefault="00042223" w:rsidP="00042223"/>
    <w:p w14:paraId="11219453" w14:textId="56FF0351" w:rsidR="00BE6877" w:rsidRDefault="00BE6877" w:rsidP="005D5A0C">
      <w:pPr>
        <w:rPr>
          <w:rFonts w:ascii="Arial Black" w:hAnsi="Arial Black"/>
          <w:sz w:val="24"/>
          <w:szCs w:val="24"/>
        </w:rPr>
      </w:pPr>
      <w:r>
        <w:rPr>
          <w:rFonts w:ascii="Arial Black" w:hAnsi="Arial Black"/>
          <w:sz w:val="24"/>
          <w:szCs w:val="24"/>
        </w:rPr>
        <w:t>2-81</w:t>
      </w:r>
    </w:p>
    <w:p w14:paraId="0AD4A004" w14:textId="77777777" w:rsidR="00C35636" w:rsidRDefault="00C35636" w:rsidP="00C35636">
      <w:pPr>
        <w:pStyle w:val="NoSpacing"/>
        <w:rPr>
          <w:rFonts w:ascii="Arial Black" w:hAnsi="Arial Black"/>
          <w:bCs/>
          <w:sz w:val="28"/>
          <w:szCs w:val="28"/>
        </w:rPr>
      </w:pPr>
      <w:r>
        <w:rPr>
          <w:rFonts w:ascii="Arial Black" w:hAnsi="Arial Black"/>
          <w:sz w:val="28"/>
          <w:szCs w:val="28"/>
        </w:rPr>
        <w:t>PA: FLEEING DRIVER ALMOST HIT EMS – 5-10 YRS</w:t>
      </w:r>
    </w:p>
    <w:p w14:paraId="1A0B7732" w14:textId="77777777" w:rsidR="00C35636" w:rsidRDefault="00C35636" w:rsidP="00C35636">
      <w:pPr>
        <w:pStyle w:val="NoSpacing"/>
        <w:rPr>
          <w:bCs/>
        </w:rPr>
      </w:pPr>
    </w:p>
    <w:p w14:paraId="44E8866A" w14:textId="77777777" w:rsidR="00C35636" w:rsidRPr="00C35636" w:rsidRDefault="00C35636" w:rsidP="00C35636">
      <w:pPr>
        <w:pStyle w:val="NoSpacing"/>
        <w:rPr>
          <w:rFonts w:ascii="Times New Roman" w:hAnsi="Times New Roman"/>
          <w:bCs/>
          <w:sz w:val="24"/>
          <w:szCs w:val="24"/>
        </w:rPr>
      </w:pPr>
      <w:r w:rsidRPr="00C35636">
        <w:rPr>
          <w:rFonts w:ascii="Times New Roman" w:hAnsi="Times New Roman"/>
          <w:sz w:val="24"/>
          <w:szCs w:val="24"/>
        </w:rPr>
        <w:t xml:space="preserve">On Dec. 23, 2024, in </w:t>
      </w:r>
      <w:r w:rsidRPr="00C35636">
        <w:rPr>
          <w:rFonts w:ascii="Times New Roman" w:hAnsi="Times New Roman"/>
          <w:sz w:val="24"/>
          <w:szCs w:val="24"/>
          <w:u w:val="single"/>
        </w:rPr>
        <w:t>Commonwealth of Pennsylvania v. Marisa Nicole Liddington</w:t>
      </w:r>
      <w:r w:rsidRPr="00C35636">
        <w:rPr>
          <w:rFonts w:ascii="Times New Roman" w:hAnsi="Times New Roman"/>
          <w:sz w:val="24"/>
          <w:szCs w:val="24"/>
        </w:rPr>
        <w:t>, the Superior Court of Pennsylvania held (3 to 0; non-precedential decision) that the sentence of 5 – 10 years in prison was appropriate for aggravate assault on two EMS and for the DUI. The Court wrote:</w:t>
      </w:r>
    </w:p>
    <w:p w14:paraId="277974C4" w14:textId="77777777" w:rsidR="00C35636" w:rsidRPr="00C35636" w:rsidRDefault="00C35636" w:rsidP="00C35636">
      <w:pPr>
        <w:pStyle w:val="NoSpacing"/>
        <w:rPr>
          <w:rFonts w:ascii="Times New Roman" w:hAnsi="Times New Roman"/>
          <w:bCs/>
          <w:sz w:val="24"/>
          <w:szCs w:val="24"/>
        </w:rPr>
      </w:pPr>
    </w:p>
    <w:p w14:paraId="79813806" w14:textId="77777777" w:rsidR="00C35636" w:rsidRPr="00C35636" w:rsidRDefault="00C35636" w:rsidP="00C35636">
      <w:pPr>
        <w:pStyle w:val="NoSpacing"/>
        <w:ind w:left="720"/>
        <w:rPr>
          <w:rFonts w:ascii="Times New Roman" w:hAnsi="Times New Roman"/>
          <w:bCs/>
          <w:sz w:val="24"/>
          <w:szCs w:val="24"/>
        </w:rPr>
      </w:pPr>
      <w:r w:rsidRPr="00C35636">
        <w:rPr>
          <w:rFonts w:ascii="Times New Roman" w:hAnsi="Times New Roman"/>
          <w:sz w:val="24"/>
          <w:szCs w:val="24"/>
        </w:rPr>
        <w:t>““Marisa Nicole Liddington appeals from the judgment of sentence of five to twelve years of imprisonment imposed upon her convictions for driving under the influence (“DUI”) and four counts of aggravated assault. We affirm.</w:t>
      </w:r>
    </w:p>
    <w:p w14:paraId="6D4F408D" w14:textId="77777777" w:rsidR="00C35636" w:rsidRPr="00C35636" w:rsidRDefault="00C35636" w:rsidP="00C35636">
      <w:pPr>
        <w:pStyle w:val="NoSpacing"/>
        <w:rPr>
          <w:rFonts w:ascii="Times New Roman" w:hAnsi="Times New Roman"/>
          <w:b/>
          <w:sz w:val="24"/>
          <w:szCs w:val="24"/>
        </w:rPr>
      </w:pPr>
    </w:p>
    <w:p w14:paraId="146C6387" w14:textId="77777777" w:rsidR="00C35636" w:rsidRPr="00C35636" w:rsidRDefault="00C35636" w:rsidP="00C35636">
      <w:pPr>
        <w:pStyle w:val="NoSpacing"/>
        <w:ind w:left="720"/>
        <w:rPr>
          <w:rFonts w:ascii="Times New Roman" w:hAnsi="Times New Roman"/>
          <w:bCs/>
          <w:sz w:val="24"/>
          <w:szCs w:val="24"/>
        </w:rPr>
      </w:pPr>
      <w:r w:rsidRPr="00C35636">
        <w:rPr>
          <w:rFonts w:ascii="Times New Roman" w:hAnsi="Times New Roman"/>
          <w:sz w:val="24"/>
          <w:szCs w:val="24"/>
        </w:rPr>
        <w:t>***</w:t>
      </w:r>
    </w:p>
    <w:p w14:paraId="1D32E0BA" w14:textId="77777777" w:rsidR="00C35636" w:rsidRPr="00C35636" w:rsidRDefault="00C35636" w:rsidP="00C35636">
      <w:pPr>
        <w:pStyle w:val="NoSpacing"/>
        <w:ind w:left="720"/>
        <w:rPr>
          <w:rFonts w:ascii="Times New Roman" w:hAnsi="Times New Roman"/>
          <w:bCs/>
          <w:sz w:val="24"/>
          <w:szCs w:val="24"/>
        </w:rPr>
      </w:pPr>
      <w:r w:rsidRPr="00C35636">
        <w:rPr>
          <w:rFonts w:ascii="Times New Roman" w:hAnsi="Times New Roman"/>
          <w:sz w:val="24"/>
          <w:szCs w:val="24"/>
        </w:rPr>
        <w:t>We first assess whether the evidence demonstrated that Appellant attempted to cause serious bodily injury to [EMS] Messrs. Ebersole and Eppley and attempted by physical menace to put them in fear of serious bodily injury…. Appellant argues that, even when viewed in the light most favorable to the Commonwealth, the evidence in this case does not prove that she acted with the specific intent to harm or menace anyone. She posits that Mr. Ebersole placed himself in harm’s way by attempting to detain her, and that Mr. Eppley was hit by the car door when she backed up only because he reached to grab Mr. Ebersole…. Here, it appears that neither Appellant’s motivation nor her ultimate</w:t>
      </w:r>
    </w:p>
    <w:p w14:paraId="09389E6D" w14:textId="43E3F944" w:rsidR="00BE6877" w:rsidRPr="00C35636" w:rsidRDefault="00C35636" w:rsidP="00C35636">
      <w:pPr>
        <w:ind w:left="720"/>
        <w:rPr>
          <w:rFonts w:ascii="Times New Roman" w:hAnsi="Times New Roman"/>
          <w:sz w:val="24"/>
          <w:szCs w:val="24"/>
        </w:rPr>
      </w:pPr>
      <w:r w:rsidRPr="00C35636">
        <w:rPr>
          <w:rFonts w:ascii="Times New Roman" w:hAnsi="Times New Roman"/>
          <w:sz w:val="24"/>
          <w:szCs w:val="24"/>
        </w:rPr>
        <w:t xml:space="preserve">goal was to injure the first responders on scene in the Walmart parking lot. Rather, it seems plain that what she wanted was to get away before the police arrived. However, under the totality of the circumstances, the jury was within its rights to conclude that Appellant made the conscious decision to achieve her goal by any means necessary, including causing serious bodily injury to any of the first responders who were in her way.” </w:t>
      </w:r>
      <w:hyperlink r:id="rId450" w:history="1">
        <w:r w:rsidRPr="00C35636">
          <w:rPr>
            <w:rStyle w:val="Hyperlink"/>
            <w:rFonts w:ascii="Times New Roman" w:hAnsi="Times New Roman"/>
            <w:sz w:val="24"/>
            <w:szCs w:val="24"/>
          </w:rPr>
          <w:t>https://www.pacourts.us/assets/opinions/Superior/out/J-A11020-24m%20-%20106209941292398313.pdf?cb=1</w:t>
        </w:r>
      </w:hyperlink>
    </w:p>
    <w:p w14:paraId="697D8929" w14:textId="77777777" w:rsidR="00FE0B61" w:rsidRPr="00FE0B61" w:rsidRDefault="00FE0B61" w:rsidP="00FE0B61">
      <w:pPr>
        <w:pStyle w:val="NoSpacing"/>
        <w:rPr>
          <w:rFonts w:ascii="Times New Roman" w:hAnsi="Times New Roman"/>
          <w:bCs/>
          <w:sz w:val="24"/>
          <w:szCs w:val="24"/>
        </w:rPr>
      </w:pPr>
      <w:r w:rsidRPr="00FE0B61">
        <w:rPr>
          <w:rFonts w:ascii="Times New Roman" w:hAnsi="Times New Roman"/>
          <w:sz w:val="24"/>
          <w:szCs w:val="24"/>
        </w:rPr>
        <w:t>HOLDING:</w:t>
      </w:r>
    </w:p>
    <w:p w14:paraId="1003DAD1" w14:textId="77777777" w:rsidR="00FE0B61" w:rsidRPr="00FE0B61" w:rsidRDefault="00FE0B61" w:rsidP="00FE0B61">
      <w:pPr>
        <w:pStyle w:val="NoSpacing"/>
        <w:rPr>
          <w:rFonts w:ascii="Times New Roman" w:hAnsi="Times New Roman"/>
          <w:bCs/>
          <w:sz w:val="24"/>
          <w:szCs w:val="24"/>
        </w:rPr>
      </w:pPr>
    </w:p>
    <w:p w14:paraId="7EEE2D22" w14:textId="77777777" w:rsidR="00FE0B61" w:rsidRPr="00FE0B61" w:rsidRDefault="00FE0B61" w:rsidP="00FE0B61">
      <w:pPr>
        <w:pStyle w:val="NoSpacing"/>
        <w:ind w:left="720"/>
        <w:rPr>
          <w:rFonts w:ascii="Times New Roman" w:hAnsi="Times New Roman"/>
          <w:bCs/>
          <w:sz w:val="24"/>
          <w:szCs w:val="24"/>
        </w:rPr>
      </w:pPr>
      <w:r w:rsidRPr="00FE0B61">
        <w:rPr>
          <w:rFonts w:ascii="Times New Roman" w:hAnsi="Times New Roman"/>
          <w:b/>
          <w:sz w:val="24"/>
          <w:szCs w:val="24"/>
        </w:rPr>
        <w:t>“</w:t>
      </w:r>
      <w:r w:rsidRPr="00FE0B61">
        <w:rPr>
          <w:rFonts w:ascii="Times New Roman" w:hAnsi="Times New Roman"/>
          <w:sz w:val="24"/>
          <w:szCs w:val="24"/>
        </w:rPr>
        <w:t xml:space="preserve">Messrs. Ebersole and Eppley were not at the Walmart to shop, socialize, or engage in any other personal business. They were there, on duty, in response to an emergency call, and remained in that capacity for the duration of the encounter. Plainly, they were performing their duties at the time she nearly ran them over in her desire to avoid the consequences of her criminal </w:t>
      </w:r>
      <w:proofErr w:type="gramStart"/>
      <w:r w:rsidRPr="00FE0B61">
        <w:rPr>
          <w:rFonts w:ascii="Times New Roman" w:hAnsi="Times New Roman"/>
          <w:sz w:val="24"/>
          <w:szCs w:val="24"/>
        </w:rPr>
        <w:t>conduct.”</w:t>
      </w:r>
      <w:proofErr w:type="gramEnd"/>
    </w:p>
    <w:p w14:paraId="12466DD0" w14:textId="77777777" w:rsidR="00FE0B61" w:rsidRPr="00FE0B61" w:rsidRDefault="00FE0B61" w:rsidP="00FE0B61">
      <w:pPr>
        <w:pStyle w:val="NoSpacing"/>
        <w:ind w:left="720"/>
        <w:rPr>
          <w:rFonts w:ascii="Times New Roman" w:hAnsi="Times New Roman"/>
          <w:bCs/>
          <w:sz w:val="24"/>
          <w:szCs w:val="24"/>
        </w:rPr>
      </w:pPr>
    </w:p>
    <w:p w14:paraId="32EF6CCD" w14:textId="77777777" w:rsidR="00FE0B61" w:rsidRPr="00FE0B61" w:rsidRDefault="00FE0B61" w:rsidP="00FE0B61">
      <w:pPr>
        <w:pStyle w:val="NoSpacing"/>
        <w:rPr>
          <w:rFonts w:ascii="Times New Roman" w:hAnsi="Times New Roman"/>
          <w:b/>
          <w:sz w:val="24"/>
          <w:szCs w:val="24"/>
        </w:rPr>
      </w:pPr>
      <w:r w:rsidRPr="00FE0B61">
        <w:rPr>
          <w:rFonts w:ascii="Times New Roman" w:hAnsi="Times New Roman"/>
          <w:b/>
          <w:sz w:val="24"/>
          <w:szCs w:val="24"/>
        </w:rPr>
        <w:t>Legal Lesson Learned:  The sentence reflects the seriousness of the defendant’s conduct; she could have killed or serious injured the two EMS.</w:t>
      </w:r>
    </w:p>
    <w:p w14:paraId="262DBCB5" w14:textId="77777777" w:rsidR="00FE0B61" w:rsidRPr="00FE0B61" w:rsidRDefault="00FE0B61" w:rsidP="00FE0B61">
      <w:pPr>
        <w:pStyle w:val="NoSpacing"/>
        <w:rPr>
          <w:rFonts w:ascii="Times New Roman" w:hAnsi="Times New Roman"/>
          <w:b/>
          <w:sz w:val="24"/>
          <w:szCs w:val="24"/>
        </w:rPr>
      </w:pPr>
    </w:p>
    <w:p w14:paraId="5BB1B3C6" w14:textId="77777777" w:rsidR="00BE6877" w:rsidRPr="00FE0B61" w:rsidRDefault="00BE6877" w:rsidP="005D5A0C">
      <w:pPr>
        <w:rPr>
          <w:rFonts w:ascii="Times New Roman" w:hAnsi="Times New Roman"/>
          <w:sz w:val="24"/>
          <w:szCs w:val="24"/>
        </w:rPr>
      </w:pPr>
    </w:p>
    <w:p w14:paraId="098DCAA2" w14:textId="77777777" w:rsidR="00BE6877" w:rsidRDefault="00BE6877" w:rsidP="005D5A0C">
      <w:pPr>
        <w:rPr>
          <w:rFonts w:ascii="Arial Black" w:hAnsi="Arial Black"/>
          <w:sz w:val="24"/>
          <w:szCs w:val="24"/>
        </w:rPr>
      </w:pPr>
    </w:p>
    <w:p w14:paraId="153E61DB" w14:textId="4B4AA44C" w:rsidR="00F755DB" w:rsidRDefault="00F755DB" w:rsidP="005D5A0C">
      <w:pPr>
        <w:rPr>
          <w:rFonts w:ascii="Arial Black" w:hAnsi="Arial Black"/>
          <w:sz w:val="24"/>
          <w:szCs w:val="24"/>
        </w:rPr>
      </w:pPr>
      <w:r>
        <w:rPr>
          <w:rFonts w:ascii="Arial Black" w:hAnsi="Arial Black"/>
          <w:sz w:val="24"/>
          <w:szCs w:val="24"/>
        </w:rPr>
        <w:lastRenderedPageBreak/>
        <w:t>2-80</w:t>
      </w:r>
    </w:p>
    <w:p w14:paraId="2F1C945F" w14:textId="77777777" w:rsidR="007353DC" w:rsidRPr="00DE5D8F" w:rsidRDefault="007353DC" w:rsidP="007353DC">
      <w:pPr>
        <w:pStyle w:val="NoSpacing"/>
        <w:rPr>
          <w:rFonts w:ascii="Arial Black" w:hAnsi="Arial Black"/>
          <w:b/>
          <w:sz w:val="28"/>
          <w:szCs w:val="28"/>
        </w:rPr>
      </w:pPr>
      <w:r>
        <w:rPr>
          <w:rFonts w:ascii="Arial Black" w:hAnsi="Arial Black"/>
          <w:b/>
          <w:sz w:val="28"/>
          <w:szCs w:val="28"/>
        </w:rPr>
        <w:t xml:space="preserve">PA: 2 LODD – CONDEMNED BLDG – CITY DISMISSED </w:t>
      </w:r>
    </w:p>
    <w:p w14:paraId="7674CE5C" w14:textId="77777777" w:rsidR="007353DC" w:rsidRDefault="007353DC" w:rsidP="007353DC">
      <w:pPr>
        <w:pStyle w:val="NoSpacing"/>
        <w:rPr>
          <w:bCs/>
        </w:rPr>
      </w:pPr>
    </w:p>
    <w:p w14:paraId="73CDD307" w14:textId="77777777" w:rsidR="00DF7446" w:rsidRPr="00DF7446" w:rsidRDefault="00DF7446" w:rsidP="00DF7446">
      <w:pPr>
        <w:pStyle w:val="NoSpacing"/>
        <w:rPr>
          <w:rFonts w:ascii="Times New Roman" w:hAnsi="Times New Roman"/>
          <w:bCs/>
          <w:sz w:val="24"/>
          <w:szCs w:val="24"/>
        </w:rPr>
      </w:pPr>
      <w:r w:rsidRPr="00DF7446">
        <w:rPr>
          <w:rFonts w:ascii="Times New Roman" w:hAnsi="Times New Roman"/>
          <w:sz w:val="24"/>
          <w:szCs w:val="24"/>
        </w:rPr>
        <w:t xml:space="preserve">On Dec. 9, 2024, in </w:t>
      </w:r>
      <w:r w:rsidRPr="00DF7446">
        <w:rPr>
          <w:rFonts w:ascii="Times New Roman" w:hAnsi="Times New Roman"/>
          <w:sz w:val="24"/>
          <w:szCs w:val="24"/>
          <w:u w:val="single"/>
        </w:rPr>
        <w:t>Rachel Butrim, et al. v. Maor and City Council of Baltimore</w:t>
      </w:r>
      <w:r w:rsidRPr="00DF7446">
        <w:rPr>
          <w:rFonts w:ascii="Times New Roman" w:hAnsi="Times New Roman"/>
          <w:sz w:val="24"/>
          <w:szCs w:val="24"/>
        </w:rPr>
        <w:t xml:space="preserve">, United States District Court Judge Matthew J. Maddox, U.S. District Court for the District of Maryland, granted the city’s motion to dismiss.  Even though the building was condemned, and not marked to warn firefighters, there was no proof the city intended to harm the firefighters. </w:t>
      </w:r>
      <w:hyperlink r:id="rId451" w:history="1">
        <w:r w:rsidRPr="00DF7446">
          <w:rPr>
            <w:rStyle w:val="Hyperlink"/>
            <w:rFonts w:ascii="Times New Roman" w:hAnsi="Times New Roman"/>
            <w:sz w:val="24"/>
            <w:szCs w:val="24"/>
          </w:rPr>
          <w:t>https://storage.courtlistener.com/recap/gov.uscourts.mdd.559142/gov.uscourts.mdd.559142.21.0.pdf</w:t>
        </w:r>
      </w:hyperlink>
      <w:r w:rsidRPr="00DF7446">
        <w:rPr>
          <w:rFonts w:ascii="Times New Roman" w:hAnsi="Times New Roman"/>
          <w:sz w:val="24"/>
          <w:szCs w:val="24"/>
        </w:rPr>
        <w:t xml:space="preserve"> </w:t>
      </w:r>
    </w:p>
    <w:p w14:paraId="3F4389C0" w14:textId="3DBB8B9B" w:rsidR="00DF7446" w:rsidRPr="00DF7446" w:rsidRDefault="00DF7446" w:rsidP="007353DC">
      <w:pPr>
        <w:pStyle w:val="NoSpacing"/>
        <w:rPr>
          <w:rFonts w:ascii="Times New Roman" w:hAnsi="Times New Roman"/>
          <w:sz w:val="24"/>
          <w:szCs w:val="24"/>
        </w:rPr>
      </w:pPr>
    </w:p>
    <w:p w14:paraId="64BA5587" w14:textId="77777777" w:rsidR="00DF7446" w:rsidRDefault="00DF7446" w:rsidP="007353DC">
      <w:pPr>
        <w:pStyle w:val="NoSpacing"/>
        <w:rPr>
          <w:rFonts w:ascii="Times New Roman" w:hAnsi="Times New Roman"/>
          <w:sz w:val="24"/>
          <w:szCs w:val="24"/>
        </w:rPr>
      </w:pPr>
    </w:p>
    <w:p w14:paraId="7A1D950E" w14:textId="1D085BE6" w:rsidR="007353DC" w:rsidRPr="007353DC" w:rsidRDefault="007353DC" w:rsidP="007353DC">
      <w:pPr>
        <w:pStyle w:val="NoSpacing"/>
        <w:rPr>
          <w:rFonts w:ascii="Times New Roman" w:hAnsi="Times New Roman"/>
          <w:bCs/>
          <w:sz w:val="24"/>
          <w:szCs w:val="24"/>
        </w:rPr>
      </w:pPr>
      <w:r w:rsidRPr="007353DC">
        <w:rPr>
          <w:rFonts w:ascii="Times New Roman" w:hAnsi="Times New Roman"/>
          <w:sz w:val="24"/>
          <w:szCs w:val="24"/>
        </w:rPr>
        <w:t>The Court wrote:</w:t>
      </w:r>
    </w:p>
    <w:p w14:paraId="5BEC412E" w14:textId="77777777" w:rsidR="007353DC" w:rsidRPr="007353DC" w:rsidRDefault="007353DC" w:rsidP="007353DC">
      <w:pPr>
        <w:pStyle w:val="NoSpacing"/>
        <w:rPr>
          <w:rFonts w:ascii="Times New Roman" w:hAnsi="Times New Roman"/>
          <w:bCs/>
          <w:sz w:val="24"/>
          <w:szCs w:val="24"/>
        </w:rPr>
      </w:pPr>
    </w:p>
    <w:p w14:paraId="118D6EBC" w14:textId="77777777" w:rsidR="007353DC" w:rsidRPr="007353DC" w:rsidRDefault="007353DC" w:rsidP="007353DC">
      <w:pPr>
        <w:pStyle w:val="NoSpacing"/>
        <w:ind w:firstLine="720"/>
        <w:rPr>
          <w:rFonts w:ascii="Times New Roman" w:hAnsi="Times New Roman"/>
          <w:bCs/>
          <w:sz w:val="24"/>
          <w:szCs w:val="24"/>
        </w:rPr>
      </w:pPr>
      <w:r w:rsidRPr="007353DC">
        <w:rPr>
          <w:rFonts w:ascii="Times New Roman" w:hAnsi="Times New Roman"/>
          <w:sz w:val="24"/>
          <w:szCs w:val="24"/>
        </w:rPr>
        <w:t>“The Motion is fully briefed and ripe for disposition. No hearing is necessary.</w:t>
      </w:r>
    </w:p>
    <w:p w14:paraId="79DDE0C9" w14:textId="77777777" w:rsidR="007353DC" w:rsidRPr="007353DC" w:rsidRDefault="007353DC" w:rsidP="007353DC">
      <w:pPr>
        <w:pStyle w:val="NoSpacing"/>
        <w:ind w:firstLine="720"/>
        <w:rPr>
          <w:rFonts w:ascii="Times New Roman" w:hAnsi="Times New Roman"/>
          <w:bCs/>
          <w:sz w:val="24"/>
          <w:szCs w:val="24"/>
        </w:rPr>
      </w:pPr>
    </w:p>
    <w:p w14:paraId="50056B97" w14:textId="77777777" w:rsidR="007353DC" w:rsidRPr="007353DC" w:rsidRDefault="007353DC" w:rsidP="007353DC">
      <w:pPr>
        <w:pStyle w:val="NoSpacing"/>
        <w:ind w:firstLine="720"/>
        <w:rPr>
          <w:rFonts w:ascii="Times New Roman" w:hAnsi="Times New Roman"/>
          <w:bCs/>
          <w:sz w:val="24"/>
          <w:szCs w:val="24"/>
        </w:rPr>
      </w:pPr>
      <w:r w:rsidRPr="007353DC">
        <w:rPr>
          <w:rFonts w:ascii="Times New Roman" w:hAnsi="Times New Roman"/>
          <w:sz w:val="24"/>
          <w:szCs w:val="24"/>
        </w:rPr>
        <w:t>***</w:t>
      </w:r>
    </w:p>
    <w:p w14:paraId="7AFD6155" w14:textId="77777777" w:rsidR="007353DC" w:rsidRPr="007353DC" w:rsidRDefault="007353DC" w:rsidP="007353DC">
      <w:pPr>
        <w:pStyle w:val="NoSpacing"/>
        <w:rPr>
          <w:rFonts w:ascii="Times New Roman" w:hAnsi="Times New Roman"/>
          <w:bCs/>
          <w:sz w:val="24"/>
          <w:szCs w:val="24"/>
        </w:rPr>
      </w:pPr>
    </w:p>
    <w:p w14:paraId="415100C2" w14:textId="67070486" w:rsidR="007353DC" w:rsidRPr="007353DC" w:rsidRDefault="007353DC" w:rsidP="007353DC">
      <w:pPr>
        <w:pStyle w:val="NoSpacing"/>
        <w:ind w:left="720"/>
        <w:rPr>
          <w:rFonts w:ascii="Times New Roman" w:hAnsi="Times New Roman"/>
          <w:bCs/>
          <w:sz w:val="24"/>
          <w:szCs w:val="24"/>
        </w:rPr>
      </w:pPr>
      <w:r w:rsidRPr="007353DC">
        <w:rPr>
          <w:rFonts w:ascii="Times New Roman" w:hAnsi="Times New Roman"/>
          <w:sz w:val="24"/>
          <w:szCs w:val="24"/>
        </w:rPr>
        <w:t>Although Plaintiffs allege that the City acted ‘deliberately’ and ‘intended to harm</w:t>
      </w:r>
      <w:r>
        <w:rPr>
          <w:rFonts w:ascii="Times New Roman" w:hAnsi="Times New Roman"/>
          <w:sz w:val="24"/>
          <w:szCs w:val="24"/>
        </w:rPr>
        <w:t xml:space="preserve"> </w:t>
      </w:r>
      <w:r w:rsidRPr="007353DC">
        <w:rPr>
          <w:rFonts w:ascii="Times New Roman" w:hAnsi="Times New Roman"/>
          <w:sz w:val="24"/>
          <w:szCs w:val="24"/>
        </w:rPr>
        <w:t xml:space="preserve"> . . . through its egregious affirmative acts,’ … they fail to allege sufficient facts to support these conclusory and formulaic allegations. Plainly, Plaintiffs do not allege that</w:t>
      </w:r>
      <w:r>
        <w:rPr>
          <w:rFonts w:ascii="Times New Roman" w:hAnsi="Times New Roman"/>
          <w:sz w:val="24"/>
          <w:szCs w:val="24"/>
        </w:rPr>
        <w:t xml:space="preserve"> </w:t>
      </w:r>
      <w:r w:rsidRPr="007353DC">
        <w:rPr>
          <w:rFonts w:ascii="Times New Roman" w:hAnsi="Times New Roman"/>
          <w:sz w:val="24"/>
          <w:szCs w:val="24"/>
        </w:rPr>
        <w:t xml:space="preserve">the City sent Plaintiff Firefighters into the Property on January 24, 2022, with the intent to injure them. The only plausible purpose for sending Plaintiff Firefighters into the Property supported by the facts in the Complaint was to fight the fire that engulfed the building. The only facts offered that speak to the City’s motivations in failing to mark the Property as structurally compromised concern the City’s agreement with the Southwest Partnership, a nonprofit community organization. See </w:t>
      </w:r>
      <w:proofErr w:type="spellStart"/>
      <w:r w:rsidRPr="007353DC">
        <w:rPr>
          <w:rFonts w:ascii="Times New Roman" w:hAnsi="Times New Roman"/>
          <w:sz w:val="24"/>
          <w:szCs w:val="24"/>
        </w:rPr>
        <w:t>Compl</w:t>
      </w:r>
      <w:proofErr w:type="spellEnd"/>
      <w:r w:rsidRPr="007353DC">
        <w:rPr>
          <w:rFonts w:ascii="Times New Roman" w:hAnsi="Times New Roman"/>
          <w:sz w:val="24"/>
          <w:szCs w:val="24"/>
        </w:rPr>
        <w:t>. ¶¶ 63–68. Plaintiffs allege on information and belief that this agreement caused the City to avoid marking certain compromised properties because the markings would make them unattractive to potential investors. See id. ¶¶ 64–65, 68. Accepting these allegations as true—and accepting that they may describe wrongful or even egregious conduct by Defendant—the Court does not find that the allegations support a reasonable inference that Defendant acted with the</w:t>
      </w:r>
    </w:p>
    <w:p w14:paraId="7A5911DC" w14:textId="60FB76A9" w:rsidR="00AF7EA6" w:rsidRPr="007353DC" w:rsidRDefault="007353DC" w:rsidP="00037999">
      <w:pPr>
        <w:pStyle w:val="NoSpacing"/>
        <w:ind w:left="720"/>
        <w:rPr>
          <w:rFonts w:ascii="Times New Roman" w:hAnsi="Times New Roman"/>
          <w:sz w:val="24"/>
          <w:szCs w:val="24"/>
        </w:rPr>
      </w:pPr>
      <w:r w:rsidRPr="007353DC">
        <w:rPr>
          <w:rFonts w:ascii="Times New Roman" w:hAnsi="Times New Roman"/>
          <w:sz w:val="24"/>
          <w:szCs w:val="24"/>
        </w:rPr>
        <w:t xml:space="preserve">purpose of causing harm to Plaintiff Firefighters.” </w:t>
      </w:r>
    </w:p>
    <w:p w14:paraId="2A7C560F" w14:textId="77777777" w:rsidR="00037999" w:rsidRDefault="00037999" w:rsidP="00100878">
      <w:pPr>
        <w:pStyle w:val="NoSpacing"/>
        <w:rPr>
          <w:rFonts w:ascii="Times New Roman" w:hAnsi="Times New Roman"/>
          <w:sz w:val="24"/>
          <w:szCs w:val="24"/>
        </w:rPr>
      </w:pPr>
    </w:p>
    <w:p w14:paraId="2B0384C4" w14:textId="3A24A28A" w:rsidR="00100878" w:rsidRPr="00037999" w:rsidRDefault="00100878" w:rsidP="00100878">
      <w:pPr>
        <w:pStyle w:val="NoSpacing"/>
        <w:rPr>
          <w:rFonts w:ascii="Times New Roman" w:hAnsi="Times New Roman"/>
          <w:bCs/>
          <w:sz w:val="24"/>
          <w:szCs w:val="24"/>
        </w:rPr>
      </w:pPr>
      <w:r w:rsidRPr="00037999">
        <w:rPr>
          <w:rFonts w:ascii="Times New Roman" w:hAnsi="Times New Roman"/>
          <w:sz w:val="24"/>
          <w:szCs w:val="24"/>
        </w:rPr>
        <w:t xml:space="preserve">HOLDING: </w:t>
      </w:r>
    </w:p>
    <w:p w14:paraId="4109288C" w14:textId="77777777" w:rsidR="00100878" w:rsidRDefault="00100878" w:rsidP="00100878">
      <w:pPr>
        <w:pStyle w:val="NoSpacing"/>
        <w:ind w:firstLine="720"/>
        <w:rPr>
          <w:bCs/>
        </w:rPr>
      </w:pPr>
    </w:p>
    <w:p w14:paraId="1765586E"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 xml:space="preserve">“In Collins [Collins v. Harker Heights, Feb. 26, 1992; </w:t>
      </w:r>
      <w:hyperlink r:id="rId452" w:history="1">
        <w:r w:rsidRPr="00100878">
          <w:rPr>
            <w:rStyle w:val="Hyperlink"/>
            <w:rFonts w:ascii="Times New Roman" w:hAnsi="Times New Roman"/>
            <w:sz w:val="24"/>
            <w:szCs w:val="24"/>
          </w:rPr>
          <w:t>https://supreme.justia.com/cases/federal/us/503/115/</w:t>
        </w:r>
      </w:hyperlink>
      <w:r w:rsidRPr="00100878">
        <w:rPr>
          <w:rFonts w:ascii="Times New Roman" w:hAnsi="Times New Roman"/>
          <w:sz w:val="24"/>
          <w:szCs w:val="24"/>
        </w:rPr>
        <w:t xml:space="preserve"> ] , the Supreme Court affirmed dismissal of a § 1983 due process claim based on ‘the city’s </w:t>
      </w:r>
      <w:proofErr w:type="spellStart"/>
      <w:r w:rsidRPr="00100878">
        <w:rPr>
          <w:rFonts w:ascii="Times New Roman" w:hAnsi="Times New Roman"/>
          <w:sz w:val="24"/>
          <w:szCs w:val="24"/>
        </w:rPr>
        <w:t>customar</w:t>
      </w:r>
      <w:proofErr w:type="spellEnd"/>
      <w:r w:rsidRPr="00100878">
        <w:rPr>
          <w:rFonts w:ascii="Times New Roman" w:hAnsi="Times New Roman"/>
          <w:sz w:val="24"/>
          <w:szCs w:val="24"/>
        </w:rPr>
        <w:t>[y] fail[</w:t>
      </w:r>
      <w:proofErr w:type="spellStart"/>
      <w:r w:rsidRPr="00100878">
        <w:rPr>
          <w:rFonts w:ascii="Times New Roman" w:hAnsi="Times New Roman"/>
          <w:sz w:val="24"/>
          <w:szCs w:val="24"/>
        </w:rPr>
        <w:t>ure</w:t>
      </w:r>
      <w:proofErr w:type="spellEnd"/>
      <w:r w:rsidRPr="00100878">
        <w:rPr>
          <w:rFonts w:ascii="Times New Roman" w:hAnsi="Times New Roman"/>
          <w:sz w:val="24"/>
          <w:szCs w:val="24"/>
        </w:rPr>
        <w:t>] to train or warn its employees about known hazards in the workplace[,]” which was alleged to have resulted in the death of a municipal employee…. The Court rejected the proposition that “the governmental employer’s duty to provide its employees with a safe working environment is a substantive component of the Due Process Clause.”</w:t>
      </w:r>
    </w:p>
    <w:p w14:paraId="25FE3813" w14:textId="77777777" w:rsidR="00100878" w:rsidRPr="00100878" w:rsidRDefault="00100878" w:rsidP="00100878">
      <w:pPr>
        <w:pStyle w:val="NoSpacing"/>
        <w:ind w:left="720"/>
        <w:rPr>
          <w:rFonts w:ascii="Times New Roman" w:hAnsi="Times New Roman"/>
          <w:bCs/>
          <w:sz w:val="24"/>
          <w:szCs w:val="24"/>
        </w:rPr>
      </w:pPr>
    </w:p>
    <w:p w14:paraId="24B9E8A7"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w:t>
      </w:r>
    </w:p>
    <w:p w14:paraId="0B1F078B"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 xml:space="preserve">In </w:t>
      </w:r>
      <w:r w:rsidRPr="00100878">
        <w:rPr>
          <w:rFonts w:ascii="Times New Roman" w:hAnsi="Times New Roman"/>
          <w:i/>
          <w:iCs/>
          <w:sz w:val="24"/>
          <w:szCs w:val="24"/>
        </w:rPr>
        <w:t>Waybright v. Frederick Cnty.,</w:t>
      </w:r>
      <w:r w:rsidRPr="00100878">
        <w:rPr>
          <w:rFonts w:ascii="Times New Roman" w:hAnsi="Times New Roman"/>
          <w:sz w:val="24"/>
          <w:szCs w:val="24"/>
        </w:rPr>
        <w:t xml:space="preserve"> Md., [June 2, 2008; </w:t>
      </w:r>
      <w:hyperlink r:id="rId453" w:history="1">
        <w:r w:rsidRPr="00100878">
          <w:rPr>
            <w:rStyle w:val="Hyperlink"/>
            <w:rFonts w:ascii="Times New Roman" w:hAnsi="Times New Roman"/>
            <w:sz w:val="24"/>
            <w:szCs w:val="24"/>
          </w:rPr>
          <w:t>https://casetext.com/case/waybright-v-frederick-county-2</w:t>
        </w:r>
      </w:hyperlink>
      <w:r w:rsidRPr="00100878">
        <w:rPr>
          <w:rFonts w:ascii="Times New Roman" w:hAnsi="Times New Roman"/>
          <w:sz w:val="24"/>
          <w:szCs w:val="24"/>
        </w:rPr>
        <w:t xml:space="preserve"> ] the Fourth Circuit affirmed summary judgment in favor of the municipal defendants on the plaintiffs’ due process claim based upon a fire department</w:t>
      </w:r>
    </w:p>
    <w:p w14:paraId="40710DCD"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 xml:space="preserve">recruit’s accidental death following an intensive physical training session. 528 F.3d at 208. As relevant here, the Fourth Circuit rejected the plaintiffs’ contention that Waybright was in a ‘special relationship’ with his supervisor such that the government had ‘a duty to act on [Waybright’s] behalf and its failures to act [were] measured on a deliberate indifference standard[.]’  </w:t>
      </w:r>
    </w:p>
    <w:p w14:paraId="4C2B550D" w14:textId="77777777" w:rsidR="00100878" w:rsidRPr="00100878" w:rsidRDefault="00100878" w:rsidP="00100878">
      <w:pPr>
        <w:pStyle w:val="NoSpacing"/>
        <w:ind w:left="720"/>
        <w:rPr>
          <w:rFonts w:ascii="Times New Roman" w:hAnsi="Times New Roman"/>
          <w:bCs/>
          <w:sz w:val="24"/>
          <w:szCs w:val="24"/>
        </w:rPr>
      </w:pPr>
    </w:p>
    <w:p w14:paraId="356ABCEC"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w:t>
      </w:r>
    </w:p>
    <w:p w14:paraId="5ADE8479"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lastRenderedPageBreak/>
        <w:t xml:space="preserve">In </w:t>
      </w:r>
      <w:r w:rsidRPr="00100878">
        <w:rPr>
          <w:rFonts w:ascii="Times New Roman" w:hAnsi="Times New Roman"/>
          <w:i/>
          <w:iCs/>
          <w:sz w:val="24"/>
          <w:szCs w:val="24"/>
        </w:rPr>
        <w:t xml:space="preserve">Slaughter v. Mayor &amp; City Council of Baltimore </w:t>
      </w:r>
      <w:r w:rsidRPr="00100878">
        <w:rPr>
          <w:rFonts w:ascii="Times New Roman" w:hAnsi="Times New Roman"/>
          <w:sz w:val="24"/>
          <w:szCs w:val="24"/>
        </w:rPr>
        <w:t>[June 7, 2012</w:t>
      </w:r>
      <w:r w:rsidRPr="00100878">
        <w:rPr>
          <w:rFonts w:ascii="Times New Roman" w:hAnsi="Times New Roman"/>
          <w:i/>
          <w:iCs/>
          <w:sz w:val="24"/>
          <w:szCs w:val="24"/>
        </w:rPr>
        <w:t xml:space="preserve">; </w:t>
      </w:r>
      <w:hyperlink r:id="rId454" w:history="1">
        <w:r w:rsidRPr="00100878">
          <w:rPr>
            <w:rStyle w:val="Hyperlink"/>
            <w:rFonts w:ascii="Times New Roman" w:hAnsi="Times New Roman"/>
            <w:sz w:val="24"/>
            <w:szCs w:val="24"/>
          </w:rPr>
          <w:t>https://casetext.com/case/slaughter-v-mayor-city-council-of-balt</w:t>
        </w:r>
      </w:hyperlink>
      <w:r w:rsidRPr="00100878">
        <w:rPr>
          <w:rFonts w:ascii="Times New Roman" w:hAnsi="Times New Roman"/>
          <w:sz w:val="24"/>
          <w:szCs w:val="24"/>
        </w:rPr>
        <w:t xml:space="preserve"> ] a fire department recruit, Racheal Wilson, died during a ‘live burn’ training exercise…. The Fourth Circuit affirmed dismissal of the complaint for failure to state a claim … because they did not assert that the Fire Department intended to harm Wilson…. The Fourth Circuit</w:t>
      </w:r>
    </w:p>
    <w:p w14:paraId="258CEE86"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ultimately held, in the context of this case, that the fire department’s constitutional liability ‘turn[ed] on whether it intended to harm the new recruits.’</w:t>
      </w:r>
    </w:p>
    <w:p w14:paraId="2AA758FB" w14:textId="77777777" w:rsidR="00100878" w:rsidRPr="00100878" w:rsidRDefault="00100878" w:rsidP="00100878">
      <w:pPr>
        <w:pStyle w:val="NoSpacing"/>
        <w:ind w:left="720"/>
        <w:rPr>
          <w:rFonts w:ascii="Times New Roman" w:hAnsi="Times New Roman"/>
          <w:bCs/>
          <w:sz w:val="24"/>
          <w:szCs w:val="24"/>
        </w:rPr>
      </w:pPr>
    </w:p>
    <w:p w14:paraId="710D67E7"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w:t>
      </w:r>
    </w:p>
    <w:p w14:paraId="2A57F724"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 xml:space="preserve">Because Plaintiffs fail to allege a plausible constitutional violation, their </w:t>
      </w:r>
      <w:r w:rsidRPr="00100878">
        <w:rPr>
          <w:rFonts w:ascii="Times New Roman" w:hAnsi="Times New Roman"/>
          <w:i/>
          <w:iCs/>
          <w:sz w:val="24"/>
          <w:szCs w:val="24"/>
        </w:rPr>
        <w:t>Monell</w:t>
      </w:r>
      <w:r w:rsidRPr="00100878">
        <w:rPr>
          <w:rFonts w:ascii="Times New Roman" w:hAnsi="Times New Roman"/>
          <w:sz w:val="24"/>
          <w:szCs w:val="24"/>
        </w:rPr>
        <w:t xml:space="preserve"> claim</w:t>
      </w:r>
    </w:p>
    <w:p w14:paraId="0BB0DB0D" w14:textId="77777777"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cannot survive Defendant’s motion to dismiss.”</w:t>
      </w:r>
    </w:p>
    <w:p w14:paraId="1AD03354" w14:textId="77777777" w:rsidR="00100878" w:rsidRPr="00100878" w:rsidRDefault="00100878" w:rsidP="00100878">
      <w:pPr>
        <w:pStyle w:val="NoSpacing"/>
        <w:ind w:left="720"/>
        <w:rPr>
          <w:rFonts w:ascii="Times New Roman" w:hAnsi="Times New Roman"/>
          <w:bCs/>
          <w:sz w:val="24"/>
          <w:szCs w:val="24"/>
        </w:rPr>
      </w:pPr>
    </w:p>
    <w:p w14:paraId="404DDA6F" w14:textId="77777777" w:rsidR="00100878" w:rsidRPr="00100878" w:rsidRDefault="00100878" w:rsidP="00100878">
      <w:pPr>
        <w:pStyle w:val="NoSpacing"/>
        <w:rPr>
          <w:rFonts w:ascii="Times New Roman" w:hAnsi="Times New Roman"/>
          <w:b/>
          <w:sz w:val="24"/>
          <w:szCs w:val="24"/>
        </w:rPr>
      </w:pPr>
      <w:r w:rsidRPr="00100878">
        <w:rPr>
          <w:rFonts w:ascii="Times New Roman" w:hAnsi="Times New Roman"/>
          <w:b/>
          <w:sz w:val="24"/>
          <w:szCs w:val="24"/>
        </w:rPr>
        <w:t>Legal Lesson Learned: Tragic set of facts, but no city intent to injure was alleged.  Plaintiffs are expected to appeal to the 4</w:t>
      </w:r>
      <w:r w:rsidRPr="00100878">
        <w:rPr>
          <w:rFonts w:ascii="Times New Roman" w:hAnsi="Times New Roman"/>
          <w:b/>
          <w:sz w:val="24"/>
          <w:szCs w:val="24"/>
          <w:vertAlign w:val="superscript"/>
        </w:rPr>
        <w:t>th</w:t>
      </w:r>
      <w:r w:rsidRPr="00100878">
        <w:rPr>
          <w:rFonts w:ascii="Times New Roman" w:hAnsi="Times New Roman"/>
          <w:b/>
          <w:sz w:val="24"/>
          <w:szCs w:val="24"/>
        </w:rPr>
        <w:t xml:space="preserve"> Circuit.</w:t>
      </w:r>
    </w:p>
    <w:p w14:paraId="05C1A1A7" w14:textId="77777777" w:rsidR="00100878" w:rsidRPr="00100878" w:rsidRDefault="00100878" w:rsidP="00100878">
      <w:pPr>
        <w:pStyle w:val="NoSpacing"/>
        <w:rPr>
          <w:rFonts w:ascii="Times New Roman" w:hAnsi="Times New Roman"/>
          <w:b/>
          <w:sz w:val="24"/>
          <w:szCs w:val="24"/>
        </w:rPr>
      </w:pPr>
    </w:p>
    <w:p w14:paraId="70634886" w14:textId="78339C64" w:rsidR="00100878" w:rsidRPr="00100878" w:rsidRDefault="00100878" w:rsidP="00100878">
      <w:pPr>
        <w:pStyle w:val="NoSpacing"/>
        <w:ind w:left="720"/>
        <w:rPr>
          <w:rFonts w:ascii="Times New Roman" w:hAnsi="Times New Roman"/>
          <w:bCs/>
          <w:sz w:val="24"/>
          <w:szCs w:val="24"/>
        </w:rPr>
      </w:pPr>
      <w:r w:rsidRPr="00100878">
        <w:rPr>
          <w:rFonts w:ascii="Times New Roman" w:hAnsi="Times New Roman"/>
          <w:sz w:val="24"/>
          <w:szCs w:val="24"/>
        </w:rPr>
        <w:t>See Dec. 27</w:t>
      </w:r>
      <w:r w:rsidR="00BE6877">
        <w:rPr>
          <w:rFonts w:ascii="Times New Roman" w:hAnsi="Times New Roman"/>
          <w:sz w:val="24"/>
          <w:szCs w:val="24"/>
        </w:rPr>
        <w:t>,</w:t>
      </w:r>
      <w:r w:rsidRPr="00100878">
        <w:rPr>
          <w:rFonts w:ascii="Times New Roman" w:hAnsi="Times New Roman"/>
          <w:sz w:val="24"/>
          <w:szCs w:val="24"/>
        </w:rPr>
        <w:t xml:space="preserve"> </w:t>
      </w:r>
      <w:proofErr w:type="gramStart"/>
      <w:r w:rsidRPr="00100878">
        <w:rPr>
          <w:rFonts w:ascii="Times New Roman" w:hAnsi="Times New Roman"/>
          <w:sz w:val="24"/>
          <w:szCs w:val="24"/>
        </w:rPr>
        <w:t>2024</w:t>
      </w:r>
      <w:proofErr w:type="gramEnd"/>
      <w:r w:rsidRPr="00100878">
        <w:rPr>
          <w:rFonts w:ascii="Times New Roman" w:hAnsi="Times New Roman"/>
          <w:sz w:val="24"/>
          <w:szCs w:val="24"/>
        </w:rPr>
        <w:t xml:space="preserve"> article: “Judge tosses out lawsuit from families of Baltimore firefighters killed in blaze.” </w:t>
      </w:r>
    </w:p>
    <w:p w14:paraId="2BE23A1C" w14:textId="77777777" w:rsidR="00100878" w:rsidRPr="00100878" w:rsidRDefault="00100878" w:rsidP="00100878">
      <w:pPr>
        <w:pStyle w:val="NoSpacing"/>
        <w:ind w:left="720"/>
        <w:rPr>
          <w:rFonts w:ascii="Times New Roman" w:hAnsi="Times New Roman"/>
          <w:b/>
          <w:sz w:val="24"/>
          <w:szCs w:val="24"/>
        </w:rPr>
      </w:pPr>
      <w:hyperlink r:id="rId455" w:history="1">
        <w:r w:rsidRPr="00100878">
          <w:rPr>
            <w:rStyle w:val="Hyperlink"/>
            <w:rFonts w:ascii="Times New Roman" w:hAnsi="Times New Roman"/>
            <w:b/>
            <w:sz w:val="24"/>
            <w:szCs w:val="24"/>
          </w:rPr>
          <w:t>https://www.firerescue1.com/legal/judge-tosses-out-lawsuit-from-families-of-baltimore-firefighters-killed-in-2022-blaze?utm_source=delivra&amp;utm_medium=email&amp;utm_campaign=FR1-Daily-12-27-24&amp;utm_id=8279434&amp;dlv-emuid=fed355b8-46a2-4fa4-b55c-4d602dde33c4&amp;dlv-mlid=8279434</w:t>
        </w:r>
      </w:hyperlink>
      <w:r w:rsidRPr="00100878">
        <w:rPr>
          <w:rFonts w:ascii="Times New Roman" w:hAnsi="Times New Roman"/>
          <w:b/>
          <w:sz w:val="24"/>
          <w:szCs w:val="24"/>
        </w:rPr>
        <w:t xml:space="preserve"> </w:t>
      </w:r>
    </w:p>
    <w:p w14:paraId="5A705C76" w14:textId="77777777" w:rsidR="00F755DB" w:rsidRPr="00100878" w:rsidRDefault="00F755DB" w:rsidP="005D5A0C">
      <w:pPr>
        <w:rPr>
          <w:rFonts w:ascii="Times New Roman" w:hAnsi="Times New Roman"/>
          <w:sz w:val="24"/>
          <w:szCs w:val="24"/>
        </w:rPr>
      </w:pPr>
    </w:p>
    <w:p w14:paraId="19AD1D3F" w14:textId="77777777" w:rsidR="00F755DB" w:rsidRDefault="00F755DB" w:rsidP="005D5A0C">
      <w:pPr>
        <w:rPr>
          <w:rFonts w:ascii="Arial Black" w:hAnsi="Arial Black"/>
          <w:sz w:val="24"/>
          <w:szCs w:val="24"/>
        </w:rPr>
      </w:pPr>
    </w:p>
    <w:p w14:paraId="3CB4C5FA" w14:textId="239802B8" w:rsidR="00BC0732" w:rsidRDefault="00BC0732" w:rsidP="005D5A0C">
      <w:pPr>
        <w:rPr>
          <w:rFonts w:ascii="Arial Black" w:hAnsi="Arial Black"/>
          <w:sz w:val="24"/>
          <w:szCs w:val="24"/>
        </w:rPr>
      </w:pPr>
      <w:r>
        <w:rPr>
          <w:rFonts w:ascii="Arial Black" w:hAnsi="Arial Black"/>
          <w:sz w:val="24"/>
          <w:szCs w:val="24"/>
        </w:rPr>
        <w:t>2-7</w:t>
      </w:r>
      <w:r w:rsidR="006D1B8F">
        <w:rPr>
          <w:rFonts w:ascii="Arial Black" w:hAnsi="Arial Black"/>
          <w:sz w:val="24"/>
          <w:szCs w:val="24"/>
        </w:rPr>
        <w:t>9</w:t>
      </w:r>
    </w:p>
    <w:p w14:paraId="13364B28" w14:textId="77777777" w:rsidR="00BC0732" w:rsidRPr="00037999" w:rsidRDefault="00BC0732" w:rsidP="00BC0732">
      <w:pPr>
        <w:pStyle w:val="NoSpacing"/>
        <w:rPr>
          <w:rFonts w:ascii="Arial Black" w:hAnsi="Arial Black"/>
          <w:b/>
          <w:sz w:val="28"/>
          <w:szCs w:val="28"/>
        </w:rPr>
      </w:pPr>
      <w:r w:rsidRPr="00037999">
        <w:rPr>
          <w:rFonts w:ascii="Arial Black" w:hAnsi="Arial Black"/>
          <w:b/>
          <w:sz w:val="28"/>
          <w:szCs w:val="28"/>
        </w:rPr>
        <w:t>OH: FF KILLED AT MVA SCEEN – MOTORIST FAILED YIELD – MURDER LOWERED TO MANSLAUGHTER – PD NOT CONTROL</w:t>
      </w:r>
    </w:p>
    <w:p w14:paraId="24EDE64B" w14:textId="77777777" w:rsidR="00BC0732" w:rsidRPr="00253954" w:rsidRDefault="00BC0732" w:rsidP="00BC0732">
      <w:pPr>
        <w:pStyle w:val="NoSpacing"/>
        <w:ind w:firstLine="720"/>
        <w:rPr>
          <w:rFonts w:ascii="Times New Roman" w:hAnsi="Times New Roman"/>
          <w:b/>
          <w:sz w:val="24"/>
          <w:szCs w:val="24"/>
        </w:rPr>
      </w:pPr>
    </w:p>
    <w:p w14:paraId="55A89DE4" w14:textId="7CF01596" w:rsidR="00BC0732" w:rsidRPr="00253954" w:rsidRDefault="00BC0732" w:rsidP="00BC0732">
      <w:pPr>
        <w:pStyle w:val="NoSpacing"/>
        <w:rPr>
          <w:rFonts w:ascii="Times New Roman" w:hAnsi="Times New Roman"/>
          <w:bCs/>
          <w:sz w:val="24"/>
          <w:szCs w:val="24"/>
        </w:rPr>
      </w:pPr>
      <w:r w:rsidRPr="00253954">
        <w:rPr>
          <w:rFonts w:ascii="Times New Roman" w:hAnsi="Times New Roman"/>
          <w:sz w:val="24"/>
          <w:szCs w:val="24"/>
        </w:rPr>
        <w:t xml:space="preserve">On Nov. 7, 2024, in </w:t>
      </w:r>
      <w:r w:rsidRPr="00253954">
        <w:rPr>
          <w:rFonts w:ascii="Times New Roman" w:hAnsi="Times New Roman"/>
          <w:sz w:val="24"/>
          <w:szCs w:val="24"/>
          <w:u w:val="single"/>
        </w:rPr>
        <w:t>State of Ohio v. Leander Bissell</w:t>
      </w:r>
      <w:r w:rsidRPr="00253954">
        <w:rPr>
          <w:rFonts w:ascii="Times New Roman" w:hAnsi="Times New Roman"/>
          <w:sz w:val="24"/>
          <w:szCs w:val="24"/>
        </w:rPr>
        <w:t xml:space="preserve">, the Ohio Court of Appeals for Eight District, Cuyahoga County, held (2 to 1) that defendant’s conviction and life sentence under the felony-murder statute must be reversed to a lower involuntary manslaughter.  The Court wrote: “[A]s there was no testimony regarding an order or direction, and no officer testified that they were invested with the authority to direct traffic, there was insufficient evidence to support the conviction for failure to comply with the order or signal of a police officer. *** There is no doubt that Bissell caused the death of Firefighter Tetrick. Unlike the cases cited by the State, there is no evidence Bissell knowingly used his car as a weapon to cause serious physical </w:t>
      </w:r>
      <w:proofErr w:type="gramStart"/>
      <w:r w:rsidRPr="00253954">
        <w:rPr>
          <w:rFonts w:ascii="Times New Roman" w:hAnsi="Times New Roman"/>
          <w:sz w:val="24"/>
          <w:szCs w:val="24"/>
        </w:rPr>
        <w:t>harm.</w:t>
      </w:r>
      <w:r w:rsidR="00C34177">
        <w:rPr>
          <w:rFonts w:ascii="Times New Roman" w:hAnsi="Times New Roman"/>
          <w:sz w:val="24"/>
          <w:szCs w:val="24"/>
        </w:rPr>
        <w:t>”</w:t>
      </w:r>
      <w:proofErr w:type="gramEnd"/>
      <w:r w:rsidRPr="00253954">
        <w:rPr>
          <w:rFonts w:ascii="Times New Roman" w:hAnsi="Times New Roman"/>
          <w:sz w:val="24"/>
          <w:szCs w:val="24"/>
        </w:rPr>
        <w:t xml:space="preserve"> </w:t>
      </w:r>
      <w:hyperlink r:id="rId456" w:history="1">
        <w:r w:rsidRPr="00253954">
          <w:rPr>
            <w:rStyle w:val="Hyperlink"/>
            <w:rFonts w:ascii="Times New Roman" w:hAnsi="Times New Roman"/>
            <w:sz w:val="24"/>
            <w:szCs w:val="24"/>
          </w:rPr>
          <w:t>https://www.supremecourt.ohio.gov/rod/docs/pdf/8/2024/2024-Ohio-5317.pdf</w:t>
        </w:r>
      </w:hyperlink>
      <w:r w:rsidRPr="00253954">
        <w:rPr>
          <w:rFonts w:ascii="Times New Roman" w:hAnsi="Times New Roman"/>
          <w:sz w:val="24"/>
          <w:szCs w:val="24"/>
        </w:rPr>
        <w:t xml:space="preserve"> </w:t>
      </w:r>
    </w:p>
    <w:p w14:paraId="44DAD0D3" w14:textId="77777777" w:rsidR="00253954" w:rsidRPr="00253954" w:rsidRDefault="00253954" w:rsidP="00253954">
      <w:pPr>
        <w:pStyle w:val="NoSpacing"/>
        <w:rPr>
          <w:rFonts w:ascii="Times New Roman" w:hAnsi="Times New Roman"/>
          <w:b/>
          <w:sz w:val="24"/>
          <w:szCs w:val="24"/>
        </w:rPr>
      </w:pPr>
    </w:p>
    <w:p w14:paraId="5FAB38FD" w14:textId="2E71ABDC" w:rsidR="00253954" w:rsidRPr="00351E0A" w:rsidRDefault="00253954" w:rsidP="00253954">
      <w:pPr>
        <w:pStyle w:val="NoSpacing"/>
        <w:rPr>
          <w:rFonts w:ascii="Times New Roman" w:hAnsi="Times New Roman"/>
          <w:bCs/>
          <w:sz w:val="24"/>
          <w:szCs w:val="24"/>
        </w:rPr>
      </w:pPr>
      <w:r w:rsidRPr="00351E0A">
        <w:rPr>
          <w:rFonts w:ascii="Times New Roman" w:hAnsi="Times New Roman"/>
          <w:bCs/>
          <w:sz w:val="24"/>
          <w:szCs w:val="24"/>
        </w:rPr>
        <w:t>See Dissent</w:t>
      </w:r>
    </w:p>
    <w:p w14:paraId="5305C9EA" w14:textId="77777777" w:rsidR="00253954" w:rsidRPr="00253954" w:rsidRDefault="00253954" w:rsidP="00253954">
      <w:pPr>
        <w:pStyle w:val="NoSpacing"/>
        <w:rPr>
          <w:rFonts w:ascii="Times New Roman" w:hAnsi="Times New Roman"/>
          <w:b/>
          <w:sz w:val="24"/>
          <w:szCs w:val="24"/>
        </w:rPr>
      </w:pPr>
    </w:p>
    <w:p w14:paraId="0AE32BA3" w14:textId="46B619BA" w:rsidR="00253954" w:rsidRPr="00253954" w:rsidRDefault="00253954" w:rsidP="00253954">
      <w:pPr>
        <w:pStyle w:val="NoSpacing"/>
        <w:rPr>
          <w:rFonts w:ascii="Times New Roman" w:hAnsi="Times New Roman"/>
          <w:b/>
          <w:sz w:val="24"/>
          <w:szCs w:val="24"/>
        </w:rPr>
      </w:pPr>
      <w:r w:rsidRPr="00253954">
        <w:rPr>
          <w:rFonts w:ascii="Times New Roman" w:hAnsi="Times New Roman"/>
          <w:b/>
          <w:sz w:val="24"/>
          <w:szCs w:val="24"/>
        </w:rPr>
        <w:t xml:space="preserve">Legal Lesson Learned: High risk scene when firefighters are at MVA and traffic control not yet established; defendant will be resentenced. </w:t>
      </w:r>
    </w:p>
    <w:p w14:paraId="480DB7D3" w14:textId="77777777" w:rsidR="00253954" w:rsidRPr="00253954" w:rsidRDefault="00253954" w:rsidP="00253954">
      <w:pPr>
        <w:pStyle w:val="NoSpacing"/>
        <w:rPr>
          <w:rFonts w:ascii="Times New Roman" w:hAnsi="Times New Roman"/>
          <w:b/>
          <w:sz w:val="24"/>
          <w:szCs w:val="24"/>
        </w:rPr>
      </w:pPr>
    </w:p>
    <w:p w14:paraId="5151E88D" w14:textId="77777777" w:rsidR="00253954" w:rsidRPr="00253954" w:rsidRDefault="00253954" w:rsidP="00253954">
      <w:pPr>
        <w:pStyle w:val="NoSpacing"/>
        <w:ind w:left="720"/>
        <w:rPr>
          <w:rFonts w:ascii="Times New Roman" w:hAnsi="Times New Roman"/>
          <w:bCs/>
          <w:sz w:val="24"/>
          <w:szCs w:val="24"/>
        </w:rPr>
      </w:pPr>
      <w:r w:rsidRPr="00253954">
        <w:rPr>
          <w:rFonts w:ascii="Times New Roman" w:hAnsi="Times New Roman"/>
          <w:sz w:val="24"/>
          <w:szCs w:val="24"/>
        </w:rPr>
        <w:t xml:space="preserve">Note:  See YouTube of defendant’s original sentencing.  </w:t>
      </w:r>
      <w:hyperlink r:id="rId457" w:history="1">
        <w:r w:rsidRPr="00253954">
          <w:rPr>
            <w:rStyle w:val="Hyperlink"/>
            <w:rFonts w:ascii="Times New Roman" w:hAnsi="Times New Roman"/>
            <w:sz w:val="24"/>
            <w:szCs w:val="24"/>
          </w:rPr>
          <w:t>https://www.youtube.com/watch?v=Y-qURehCp-0</w:t>
        </w:r>
      </w:hyperlink>
      <w:r w:rsidRPr="00253954">
        <w:rPr>
          <w:rFonts w:ascii="Times New Roman" w:hAnsi="Times New Roman"/>
          <w:sz w:val="24"/>
          <w:szCs w:val="24"/>
        </w:rPr>
        <w:t xml:space="preserve"> </w:t>
      </w:r>
    </w:p>
    <w:p w14:paraId="4E534D54" w14:textId="77777777" w:rsidR="00253954" w:rsidRPr="00253954" w:rsidRDefault="00253954" w:rsidP="00253954">
      <w:pPr>
        <w:pStyle w:val="NoSpacing"/>
        <w:ind w:left="720"/>
        <w:rPr>
          <w:rFonts w:ascii="Times New Roman" w:hAnsi="Times New Roman"/>
          <w:bCs/>
          <w:sz w:val="24"/>
          <w:szCs w:val="24"/>
        </w:rPr>
      </w:pPr>
    </w:p>
    <w:p w14:paraId="6CCA5CC4" w14:textId="77777777" w:rsidR="00253954" w:rsidRPr="00253954" w:rsidRDefault="00253954" w:rsidP="00253954">
      <w:pPr>
        <w:pStyle w:val="NoSpacing"/>
        <w:ind w:left="720"/>
        <w:rPr>
          <w:rFonts w:ascii="Times New Roman" w:hAnsi="Times New Roman"/>
          <w:b/>
          <w:sz w:val="24"/>
          <w:szCs w:val="24"/>
        </w:rPr>
      </w:pPr>
      <w:r w:rsidRPr="00253954">
        <w:rPr>
          <w:rFonts w:ascii="Times New Roman" w:hAnsi="Times New Roman"/>
          <w:sz w:val="24"/>
          <w:szCs w:val="24"/>
        </w:rPr>
        <w:t>Leander Bissell apologizes at sentencing for hit-and-run death of Cleveland firefighter Tetrick.</w:t>
      </w:r>
      <w:r w:rsidRPr="00253954">
        <w:rPr>
          <w:rFonts w:ascii="Times New Roman" w:hAnsi="Times New Roman"/>
          <w:b/>
          <w:sz w:val="24"/>
          <w:szCs w:val="24"/>
        </w:rPr>
        <w:t xml:space="preserve"> </w:t>
      </w:r>
      <w:hyperlink r:id="rId458" w:history="1">
        <w:r w:rsidRPr="00253954">
          <w:rPr>
            <w:rStyle w:val="Hyperlink"/>
            <w:rFonts w:ascii="Times New Roman" w:hAnsi="Times New Roman"/>
            <w:b/>
            <w:sz w:val="24"/>
            <w:szCs w:val="24"/>
          </w:rPr>
          <w:t>https://www.youtube.com/watch?v=teM31tC2TMo</w:t>
        </w:r>
      </w:hyperlink>
      <w:r w:rsidRPr="00253954">
        <w:rPr>
          <w:rFonts w:ascii="Times New Roman" w:hAnsi="Times New Roman"/>
          <w:b/>
          <w:sz w:val="24"/>
          <w:szCs w:val="24"/>
        </w:rPr>
        <w:t xml:space="preserve"> </w:t>
      </w:r>
    </w:p>
    <w:p w14:paraId="2A55AF75" w14:textId="77777777" w:rsidR="00253954" w:rsidRPr="00253954" w:rsidRDefault="00253954" w:rsidP="00253954">
      <w:pPr>
        <w:pStyle w:val="NoSpacing"/>
        <w:rPr>
          <w:rFonts w:ascii="Times New Roman" w:hAnsi="Times New Roman"/>
          <w:bCs/>
          <w:sz w:val="24"/>
          <w:szCs w:val="24"/>
        </w:rPr>
      </w:pPr>
    </w:p>
    <w:p w14:paraId="56D84F68" w14:textId="77777777" w:rsidR="00351E0A" w:rsidRDefault="00351E0A" w:rsidP="005D5A0C">
      <w:pPr>
        <w:rPr>
          <w:rFonts w:ascii="Arial Black" w:hAnsi="Arial Black"/>
          <w:sz w:val="24"/>
          <w:szCs w:val="24"/>
        </w:rPr>
      </w:pPr>
    </w:p>
    <w:p w14:paraId="0B62A7F6" w14:textId="0E0E54CF" w:rsidR="00BC0732" w:rsidRDefault="006D1B8F" w:rsidP="005D5A0C">
      <w:pPr>
        <w:rPr>
          <w:rFonts w:ascii="Arial Black" w:hAnsi="Arial Black"/>
          <w:sz w:val="24"/>
          <w:szCs w:val="24"/>
        </w:rPr>
      </w:pPr>
      <w:r w:rsidRPr="006D1B8F">
        <w:rPr>
          <w:rFonts w:ascii="Arial Black" w:hAnsi="Arial Black"/>
          <w:sz w:val="24"/>
          <w:szCs w:val="24"/>
        </w:rPr>
        <w:lastRenderedPageBreak/>
        <w:t>2-78</w:t>
      </w:r>
    </w:p>
    <w:p w14:paraId="304CB382" w14:textId="77777777" w:rsidR="00277909" w:rsidRPr="00402FF4" w:rsidRDefault="00277909" w:rsidP="00277909">
      <w:pPr>
        <w:rPr>
          <w:rFonts w:ascii="Arial Black" w:hAnsi="Arial Black"/>
          <w:sz w:val="28"/>
          <w:szCs w:val="28"/>
        </w:rPr>
      </w:pPr>
      <w:r w:rsidRPr="00402FF4">
        <w:rPr>
          <w:rFonts w:ascii="Arial Black" w:hAnsi="Arial Black"/>
          <w:sz w:val="28"/>
          <w:szCs w:val="28"/>
        </w:rPr>
        <w:t>NY:</w:t>
      </w:r>
      <w:r>
        <w:rPr>
          <w:rFonts w:ascii="Arial Black" w:hAnsi="Arial Black"/>
          <w:sz w:val="28"/>
          <w:szCs w:val="28"/>
        </w:rPr>
        <w:t xml:space="preserve"> FDNY FF STROKE AFTER BLDG FIRE – CAN SUE OWNER BREACH CODE / BLDG NOT SECURED – NY FIREMAN’S RULE </w:t>
      </w:r>
    </w:p>
    <w:p w14:paraId="43338BC4" w14:textId="098F5ED7" w:rsidR="00277909" w:rsidRPr="00351E0A" w:rsidRDefault="00277909" w:rsidP="00277909">
      <w:pPr>
        <w:rPr>
          <w:rStyle w:val="Hyperlink"/>
          <w:rFonts w:ascii="Times New Roman" w:hAnsi="Times New Roman"/>
          <w:sz w:val="24"/>
          <w:szCs w:val="24"/>
        </w:rPr>
      </w:pPr>
      <w:r w:rsidRPr="00351E0A">
        <w:rPr>
          <w:rFonts w:ascii="Times New Roman" w:hAnsi="Times New Roman"/>
          <w:sz w:val="24"/>
          <w:szCs w:val="24"/>
        </w:rPr>
        <w:t xml:space="preserve">On Oct. 29, 2024, in </w:t>
      </w:r>
      <w:r w:rsidRPr="00351E0A">
        <w:rPr>
          <w:rFonts w:ascii="Times New Roman" w:hAnsi="Times New Roman"/>
          <w:sz w:val="24"/>
          <w:szCs w:val="24"/>
          <w:u w:val="single"/>
        </w:rPr>
        <w:t>David Pickford and Rosemarie Pickford v. Noel M. Deleon</w:t>
      </w:r>
      <w:r w:rsidRPr="00351E0A">
        <w:rPr>
          <w:rFonts w:ascii="Times New Roman" w:hAnsi="Times New Roman"/>
          <w:sz w:val="24"/>
          <w:szCs w:val="24"/>
        </w:rPr>
        <w:t xml:space="preserve">, Judge Richard Montelione, Supreme Court of the State of New York, County of Kings, Part 99, granted the plaintiffs’ motion for default judgment.  The Court wrote: “General Municipal Law§ 205-a(l) provides that a firefighter has a cause of action when he or she sustains an injury in the line of duty as a result of any neglect, omission, willful or culpable negligence of any person or persons in failing to comply with the requirements of any of the statutes, ordinances, rules, orders and requirements of the federal, state, county, village, town or city government.’” </w:t>
      </w:r>
      <w:hyperlink r:id="rId459" w:history="1">
        <w:r w:rsidRPr="00351E0A">
          <w:rPr>
            <w:rStyle w:val="Hyperlink"/>
            <w:rFonts w:ascii="Times New Roman" w:hAnsi="Times New Roman"/>
            <w:sz w:val="24"/>
            <w:szCs w:val="24"/>
          </w:rPr>
          <w:t>https://cases.justia.com/new-york/other-courts/2024-2024-ny-slip-op-33987-u.pdf?ts=1731644847</w:t>
        </w:r>
      </w:hyperlink>
    </w:p>
    <w:p w14:paraId="56D45E31" w14:textId="77777777" w:rsidR="00351E0A" w:rsidRPr="00351E0A" w:rsidRDefault="00351E0A" w:rsidP="00351E0A">
      <w:pPr>
        <w:pStyle w:val="NoSpacing"/>
        <w:rPr>
          <w:rFonts w:ascii="Times New Roman" w:hAnsi="Times New Roman"/>
          <w:b/>
          <w:bCs/>
          <w:sz w:val="24"/>
          <w:szCs w:val="24"/>
        </w:rPr>
      </w:pPr>
      <w:r w:rsidRPr="00351E0A">
        <w:rPr>
          <w:rFonts w:ascii="Times New Roman" w:hAnsi="Times New Roman"/>
          <w:b/>
          <w:sz w:val="24"/>
          <w:szCs w:val="24"/>
        </w:rPr>
        <w:t>Legal Lesson Learned:  The New York statute has modified the Fireman’s Rule to permit emergency responders to sue for damages for injury arising from code violations.</w:t>
      </w:r>
    </w:p>
    <w:p w14:paraId="2C2E58D7" w14:textId="77777777" w:rsidR="00351E0A" w:rsidRPr="00351E0A" w:rsidRDefault="00351E0A" w:rsidP="00351E0A">
      <w:pPr>
        <w:pStyle w:val="NoSpacing"/>
        <w:rPr>
          <w:rFonts w:ascii="Times New Roman" w:hAnsi="Times New Roman"/>
          <w:b/>
          <w:sz w:val="24"/>
          <w:szCs w:val="24"/>
        </w:rPr>
      </w:pPr>
    </w:p>
    <w:p w14:paraId="0912FE2F" w14:textId="77777777" w:rsidR="00351E0A" w:rsidRPr="00351E0A" w:rsidRDefault="00351E0A" w:rsidP="00351E0A">
      <w:pPr>
        <w:pStyle w:val="NoSpacing"/>
        <w:rPr>
          <w:rFonts w:ascii="Times New Roman" w:hAnsi="Times New Roman"/>
          <w:sz w:val="24"/>
          <w:szCs w:val="24"/>
        </w:rPr>
      </w:pPr>
      <w:r w:rsidRPr="00351E0A">
        <w:rPr>
          <w:rFonts w:ascii="Times New Roman" w:hAnsi="Times New Roman"/>
          <w:b/>
          <w:sz w:val="24"/>
          <w:szCs w:val="24"/>
        </w:rPr>
        <w:tab/>
      </w:r>
      <w:r w:rsidRPr="00351E0A">
        <w:rPr>
          <w:rFonts w:ascii="Times New Roman" w:hAnsi="Times New Roman"/>
          <w:sz w:val="24"/>
          <w:szCs w:val="24"/>
        </w:rPr>
        <w:t xml:space="preserve">Note: Some states have abolished the Fireman's Rule, including: </w:t>
      </w:r>
    </w:p>
    <w:p w14:paraId="38AE0EE4" w14:textId="77777777" w:rsidR="00351E0A" w:rsidRPr="00351E0A" w:rsidRDefault="00351E0A" w:rsidP="00351E0A">
      <w:pPr>
        <w:numPr>
          <w:ilvl w:val="0"/>
          <w:numId w:val="24"/>
        </w:numPr>
        <w:tabs>
          <w:tab w:val="left" w:pos="5280"/>
        </w:tabs>
        <w:spacing w:after="160" w:line="259" w:lineRule="auto"/>
        <w:rPr>
          <w:rFonts w:ascii="Times New Roman" w:hAnsi="Times New Roman"/>
          <w:sz w:val="24"/>
          <w:szCs w:val="24"/>
        </w:rPr>
      </w:pPr>
      <w:r w:rsidRPr="00351E0A">
        <w:rPr>
          <w:rFonts w:ascii="Times New Roman" w:hAnsi="Times New Roman"/>
          <w:b/>
          <w:sz w:val="24"/>
          <w:szCs w:val="24"/>
        </w:rPr>
        <w:t>New Jersey</w:t>
      </w:r>
      <w:r w:rsidRPr="00351E0A">
        <w:rPr>
          <w:rFonts w:ascii="Times New Roman" w:hAnsi="Times New Roman"/>
          <w:sz w:val="24"/>
          <w:szCs w:val="24"/>
        </w:rPr>
        <w:t xml:space="preserve">: In 2007, the New Jersey Supreme Court ruled that the Fireman's Rule was no longer in effect. Ruiz v. Mero, A28/29-06; </w:t>
      </w:r>
      <w:hyperlink r:id="rId460" w:history="1">
        <w:r w:rsidRPr="00351E0A">
          <w:rPr>
            <w:rStyle w:val="Hyperlink"/>
            <w:rFonts w:ascii="Times New Roman" w:hAnsi="Times New Roman"/>
            <w:sz w:val="24"/>
            <w:szCs w:val="24"/>
          </w:rPr>
          <w:t>https://grsl.com/firefighters-rule-struck-down-by-new-jersey-supreme-court/</w:t>
        </w:r>
      </w:hyperlink>
      <w:r w:rsidRPr="00351E0A">
        <w:rPr>
          <w:rFonts w:ascii="Times New Roman" w:hAnsi="Times New Roman"/>
          <w:sz w:val="24"/>
          <w:szCs w:val="24"/>
        </w:rPr>
        <w:t xml:space="preserve"> </w:t>
      </w:r>
    </w:p>
    <w:p w14:paraId="087E150D" w14:textId="77777777" w:rsidR="00351E0A" w:rsidRPr="00351E0A" w:rsidRDefault="00351E0A" w:rsidP="00351E0A">
      <w:pPr>
        <w:numPr>
          <w:ilvl w:val="0"/>
          <w:numId w:val="24"/>
        </w:numPr>
        <w:tabs>
          <w:tab w:val="left" w:pos="5280"/>
        </w:tabs>
        <w:spacing w:after="160" w:line="259" w:lineRule="auto"/>
        <w:rPr>
          <w:rFonts w:ascii="Times New Roman" w:hAnsi="Times New Roman"/>
          <w:sz w:val="24"/>
          <w:szCs w:val="24"/>
        </w:rPr>
      </w:pPr>
      <w:r w:rsidRPr="00351E0A">
        <w:rPr>
          <w:rFonts w:ascii="Times New Roman" w:hAnsi="Times New Roman"/>
          <w:b/>
          <w:sz w:val="24"/>
          <w:szCs w:val="24"/>
        </w:rPr>
        <w:t>Oregon</w:t>
      </w:r>
      <w:r w:rsidRPr="00351E0A">
        <w:rPr>
          <w:rFonts w:ascii="Times New Roman" w:hAnsi="Times New Roman"/>
          <w:sz w:val="24"/>
          <w:szCs w:val="24"/>
        </w:rPr>
        <w:t xml:space="preserve">: In 1984, the Oregon Supreme Court abolished the Fireman's Rule in the case Christensen v. Murphy, 296 Or. 610 (Or. 1984); </w:t>
      </w:r>
      <w:hyperlink r:id="rId461" w:history="1">
        <w:r w:rsidRPr="00351E0A">
          <w:rPr>
            <w:rStyle w:val="Hyperlink"/>
            <w:rFonts w:ascii="Times New Roman" w:hAnsi="Times New Roman"/>
            <w:sz w:val="24"/>
            <w:szCs w:val="24"/>
          </w:rPr>
          <w:t>https://casetext.com/case/christensen-v-murphy</w:t>
        </w:r>
      </w:hyperlink>
      <w:r w:rsidRPr="00351E0A">
        <w:rPr>
          <w:rFonts w:ascii="Times New Roman" w:hAnsi="Times New Roman"/>
          <w:sz w:val="24"/>
          <w:szCs w:val="24"/>
        </w:rPr>
        <w:t xml:space="preserve"> </w:t>
      </w:r>
    </w:p>
    <w:p w14:paraId="67FA4D7E" w14:textId="77777777" w:rsidR="00351E0A" w:rsidRPr="00351E0A" w:rsidRDefault="00351E0A" w:rsidP="00351E0A">
      <w:pPr>
        <w:numPr>
          <w:ilvl w:val="0"/>
          <w:numId w:val="24"/>
        </w:numPr>
        <w:tabs>
          <w:tab w:val="left" w:pos="5280"/>
        </w:tabs>
        <w:spacing w:after="160" w:line="259" w:lineRule="auto"/>
        <w:rPr>
          <w:rFonts w:ascii="Times New Roman" w:hAnsi="Times New Roman"/>
          <w:sz w:val="24"/>
          <w:szCs w:val="24"/>
        </w:rPr>
      </w:pPr>
      <w:r w:rsidRPr="00351E0A">
        <w:rPr>
          <w:rFonts w:ascii="Times New Roman" w:hAnsi="Times New Roman"/>
          <w:b/>
          <w:sz w:val="24"/>
          <w:szCs w:val="24"/>
        </w:rPr>
        <w:t>Florida</w:t>
      </w:r>
      <w:r w:rsidRPr="00351E0A">
        <w:rPr>
          <w:rFonts w:ascii="Times New Roman" w:hAnsi="Times New Roman"/>
          <w:sz w:val="24"/>
          <w:szCs w:val="24"/>
        </w:rPr>
        <w:t xml:space="preserve">: By statute, Florida in the 1990s abolished the Rule. </w:t>
      </w:r>
      <w:hyperlink r:id="rId462" w:history="1">
        <w:r w:rsidRPr="00351E0A">
          <w:rPr>
            <w:rStyle w:val="Hyperlink"/>
            <w:rFonts w:ascii="Times New Roman" w:hAnsi="Times New Roman"/>
            <w:sz w:val="24"/>
            <w:szCs w:val="24"/>
          </w:rPr>
          <w:t>https://codes.findlaw.com/fl/title-x-public-officers-employees-and-records/fl-st-sect-112-182/</w:t>
        </w:r>
      </w:hyperlink>
    </w:p>
    <w:p w14:paraId="087BB657" w14:textId="77777777" w:rsidR="00351E0A" w:rsidRPr="00351E0A" w:rsidRDefault="00351E0A" w:rsidP="00351E0A">
      <w:pPr>
        <w:pStyle w:val="ListParagraph"/>
        <w:numPr>
          <w:ilvl w:val="0"/>
          <w:numId w:val="24"/>
        </w:numPr>
        <w:spacing w:after="0" w:line="240" w:lineRule="auto"/>
        <w:rPr>
          <w:rFonts w:ascii="Times New Roman" w:eastAsia="Times New Roman" w:hAnsi="Times New Roman" w:cs="Times New Roman"/>
          <w:sz w:val="24"/>
          <w:szCs w:val="24"/>
        </w:rPr>
      </w:pPr>
      <w:r w:rsidRPr="00351E0A">
        <w:rPr>
          <w:rFonts w:ascii="Times New Roman" w:eastAsia="Times New Roman" w:hAnsi="Times New Roman" w:cs="Times New Roman"/>
          <w:b/>
          <w:sz w:val="24"/>
          <w:szCs w:val="24"/>
        </w:rPr>
        <w:t>Minnesota:</w:t>
      </w:r>
      <w:r w:rsidRPr="00351E0A">
        <w:rPr>
          <w:rFonts w:ascii="Times New Roman" w:eastAsia="Times New Roman" w:hAnsi="Times New Roman" w:cs="Times New Roman"/>
          <w:sz w:val="24"/>
          <w:szCs w:val="24"/>
        </w:rPr>
        <w:t xml:space="preserve">  </w:t>
      </w:r>
      <w:r w:rsidRPr="00351E0A">
        <w:rPr>
          <w:rFonts w:ascii="Times New Roman" w:eastAsia="Times New Roman" w:hAnsi="Times New Roman" w:cs="Times New Roman"/>
          <w:i/>
          <w:iCs/>
          <w:sz w:val="24"/>
          <w:szCs w:val="24"/>
        </w:rPr>
        <w:t>Armstrong v. Mailand,</w:t>
      </w:r>
      <w:r w:rsidRPr="00351E0A">
        <w:rPr>
          <w:rFonts w:ascii="Times New Roman" w:eastAsia="Times New Roman" w:hAnsi="Times New Roman" w:cs="Times New Roman"/>
          <w:sz w:val="24"/>
          <w:szCs w:val="24"/>
        </w:rPr>
        <w:t xml:space="preserve"> Feb. 9, 1979; Supreme Court of MN; </w:t>
      </w:r>
      <w:hyperlink r:id="rId463" w:history="1">
        <w:r w:rsidRPr="00351E0A">
          <w:rPr>
            <w:rStyle w:val="Hyperlink"/>
            <w:rFonts w:ascii="Times New Roman" w:eastAsia="Times New Roman" w:hAnsi="Times New Roman" w:cs="Times New Roman"/>
            <w:sz w:val="24"/>
            <w:szCs w:val="24"/>
          </w:rPr>
          <w:t>https://casetext.com/case/armstrong-v-mailand</w:t>
        </w:r>
      </w:hyperlink>
      <w:r w:rsidRPr="00351E0A">
        <w:rPr>
          <w:rFonts w:ascii="Times New Roman" w:eastAsia="Times New Roman" w:hAnsi="Times New Roman" w:cs="Times New Roman"/>
          <w:sz w:val="24"/>
          <w:szCs w:val="24"/>
        </w:rPr>
        <w:t xml:space="preserve"> </w:t>
      </w:r>
    </w:p>
    <w:p w14:paraId="0D0ED9BC" w14:textId="77777777" w:rsidR="00351E0A" w:rsidRPr="00351E0A" w:rsidRDefault="00351E0A" w:rsidP="00351E0A">
      <w:pPr>
        <w:spacing w:after="0" w:line="240" w:lineRule="auto"/>
        <w:rPr>
          <w:rFonts w:ascii="Times New Roman" w:eastAsia="Times New Roman" w:hAnsi="Times New Roman"/>
          <w:sz w:val="24"/>
          <w:szCs w:val="24"/>
        </w:rPr>
      </w:pPr>
    </w:p>
    <w:p w14:paraId="0DC3C8A2" w14:textId="77777777" w:rsidR="00351E0A" w:rsidRPr="00351E0A" w:rsidRDefault="00351E0A" w:rsidP="00351E0A">
      <w:pPr>
        <w:spacing w:after="0" w:line="240" w:lineRule="auto"/>
        <w:ind w:left="1080"/>
        <w:rPr>
          <w:rFonts w:ascii="Times New Roman" w:eastAsia="Times New Roman" w:hAnsi="Times New Roman"/>
          <w:sz w:val="24"/>
          <w:szCs w:val="24"/>
        </w:rPr>
      </w:pPr>
    </w:p>
    <w:p w14:paraId="2AF49F55" w14:textId="77777777" w:rsidR="00351E0A" w:rsidRPr="00351E0A" w:rsidRDefault="00351E0A" w:rsidP="00351E0A">
      <w:pPr>
        <w:numPr>
          <w:ilvl w:val="0"/>
          <w:numId w:val="24"/>
        </w:numPr>
        <w:tabs>
          <w:tab w:val="left" w:pos="5280"/>
        </w:tabs>
        <w:spacing w:after="160" w:line="259" w:lineRule="auto"/>
        <w:rPr>
          <w:rFonts w:ascii="Times New Roman" w:hAnsi="Times New Roman"/>
          <w:sz w:val="24"/>
          <w:szCs w:val="24"/>
        </w:rPr>
      </w:pPr>
      <w:r w:rsidRPr="00351E0A">
        <w:rPr>
          <w:rFonts w:ascii="Times New Roman" w:hAnsi="Times New Roman"/>
          <w:b/>
          <w:sz w:val="24"/>
          <w:szCs w:val="24"/>
        </w:rPr>
        <w:t>New York</w:t>
      </w:r>
      <w:r w:rsidRPr="00351E0A">
        <w:rPr>
          <w:rFonts w:ascii="Times New Roman" w:hAnsi="Times New Roman"/>
          <w:sz w:val="24"/>
          <w:szCs w:val="24"/>
        </w:rPr>
        <w:t xml:space="preserve">:  By statute, the </w:t>
      </w:r>
      <w:r w:rsidRPr="00351E0A">
        <w:rPr>
          <w:rFonts w:ascii="Times New Roman" w:hAnsi="Times New Roman"/>
          <w:sz w:val="24"/>
          <w:szCs w:val="24"/>
          <w:lang w:val="en"/>
        </w:rPr>
        <w:t xml:space="preserve">General Municipal Law § 205-a, permits firefighters to sue when they are injured as the result of a violation of a statute, rule, or regulation. </w:t>
      </w:r>
      <w:hyperlink r:id="rId464" w:history="1">
        <w:r w:rsidRPr="00351E0A">
          <w:rPr>
            <w:rStyle w:val="Hyperlink"/>
            <w:rFonts w:ascii="Times New Roman" w:hAnsi="Times New Roman"/>
            <w:sz w:val="24"/>
            <w:szCs w:val="24"/>
            <w:lang w:val="en"/>
          </w:rPr>
          <w:t>https://www.sullivangalleshaw.com/the-professional-rescuers-rule/</w:t>
        </w:r>
      </w:hyperlink>
      <w:r w:rsidRPr="00351E0A">
        <w:rPr>
          <w:rFonts w:ascii="Times New Roman" w:hAnsi="Times New Roman"/>
          <w:sz w:val="24"/>
          <w:szCs w:val="24"/>
          <w:lang w:val="en"/>
        </w:rPr>
        <w:t xml:space="preserve"> </w:t>
      </w:r>
    </w:p>
    <w:p w14:paraId="0591475D" w14:textId="77777777" w:rsidR="00351E0A" w:rsidRPr="00351E0A" w:rsidRDefault="00351E0A" w:rsidP="00351E0A">
      <w:pPr>
        <w:spacing w:after="0" w:line="240" w:lineRule="auto"/>
        <w:ind w:left="720" w:firstLine="720"/>
        <w:rPr>
          <w:rFonts w:ascii="Times New Roman" w:eastAsia="Times New Roman" w:hAnsi="Times New Roman"/>
          <w:sz w:val="24"/>
          <w:szCs w:val="24"/>
        </w:rPr>
      </w:pPr>
      <w:r w:rsidRPr="00351E0A">
        <w:rPr>
          <w:rFonts w:ascii="Times New Roman" w:eastAsia="Times New Roman" w:hAnsi="Times New Roman"/>
          <w:b/>
          <w:sz w:val="24"/>
          <w:szCs w:val="24"/>
        </w:rPr>
        <w:t>General Municipal Law § 205-a</w:t>
      </w:r>
      <w:r w:rsidRPr="00351E0A">
        <w:rPr>
          <w:rFonts w:ascii="Times New Roman" w:eastAsia="Times New Roman" w:hAnsi="Times New Roman"/>
          <w:sz w:val="24"/>
          <w:szCs w:val="24"/>
        </w:rPr>
        <w:t xml:space="preserve"> </w:t>
      </w:r>
    </w:p>
    <w:p w14:paraId="316B7934" w14:textId="77777777" w:rsidR="00351E0A" w:rsidRPr="00351E0A" w:rsidRDefault="00351E0A" w:rsidP="00351E0A">
      <w:pPr>
        <w:pStyle w:val="ListParagraph"/>
        <w:spacing w:after="0" w:line="240" w:lineRule="auto"/>
        <w:ind w:left="1440"/>
        <w:rPr>
          <w:rFonts w:ascii="Times New Roman" w:eastAsia="Times New Roman" w:hAnsi="Times New Roman" w:cs="Times New Roman"/>
          <w:sz w:val="24"/>
          <w:szCs w:val="24"/>
        </w:rPr>
      </w:pPr>
      <w:r w:rsidRPr="00351E0A">
        <w:rPr>
          <w:rFonts w:ascii="Times New Roman" w:eastAsia="Times New Roman" w:hAnsi="Times New Roman" w:cs="Times New Roman"/>
          <w:sz w:val="24"/>
          <w:szCs w:val="24"/>
        </w:rPr>
        <w:t>This law allows firefighters to sue the city for injuries caused by a violation of a rule, statute, or regulation. The law was enacted in 1935 to provide relief from the Fireman's Rule. </w:t>
      </w:r>
    </w:p>
    <w:p w14:paraId="03157F22" w14:textId="77777777" w:rsidR="00351E0A" w:rsidRPr="00351E0A" w:rsidRDefault="00351E0A" w:rsidP="00351E0A">
      <w:pPr>
        <w:spacing w:after="0" w:line="240" w:lineRule="auto"/>
        <w:rPr>
          <w:rFonts w:ascii="Times New Roman" w:eastAsia="Times New Roman" w:hAnsi="Times New Roman"/>
          <w:sz w:val="24"/>
          <w:szCs w:val="24"/>
        </w:rPr>
      </w:pPr>
      <w:r w:rsidRPr="00351E0A">
        <w:rPr>
          <w:rFonts w:ascii="Times New Roman" w:eastAsia="Times New Roman" w:hAnsi="Times New Roman"/>
          <w:sz w:val="24"/>
          <w:szCs w:val="24"/>
        </w:rPr>
        <w:t xml:space="preserve"> </w:t>
      </w:r>
      <w:r w:rsidRPr="00351E0A">
        <w:rPr>
          <w:rFonts w:ascii="Times New Roman" w:eastAsia="Times New Roman" w:hAnsi="Times New Roman"/>
          <w:sz w:val="24"/>
          <w:szCs w:val="24"/>
        </w:rPr>
        <w:tab/>
      </w:r>
      <w:r w:rsidRPr="00351E0A">
        <w:rPr>
          <w:rFonts w:ascii="Times New Roman" w:eastAsia="Times New Roman" w:hAnsi="Times New Roman"/>
          <w:sz w:val="24"/>
          <w:szCs w:val="24"/>
        </w:rPr>
        <w:tab/>
      </w:r>
      <w:r w:rsidRPr="00351E0A">
        <w:rPr>
          <w:rFonts w:ascii="Times New Roman" w:eastAsia="Times New Roman" w:hAnsi="Times New Roman"/>
          <w:b/>
          <w:sz w:val="24"/>
          <w:szCs w:val="24"/>
        </w:rPr>
        <w:t>General Obligations Law 11-106</w:t>
      </w:r>
      <w:r w:rsidRPr="00351E0A">
        <w:rPr>
          <w:rFonts w:ascii="Times New Roman" w:eastAsia="Times New Roman" w:hAnsi="Times New Roman"/>
          <w:sz w:val="24"/>
          <w:szCs w:val="24"/>
        </w:rPr>
        <w:t xml:space="preserve"> </w:t>
      </w:r>
    </w:p>
    <w:p w14:paraId="6ABAFA84" w14:textId="77777777" w:rsidR="00351E0A" w:rsidRPr="00351E0A" w:rsidRDefault="00351E0A" w:rsidP="00351E0A">
      <w:pPr>
        <w:pStyle w:val="ListParagraph"/>
        <w:spacing w:after="0" w:line="240" w:lineRule="auto"/>
        <w:ind w:left="1440"/>
        <w:rPr>
          <w:rFonts w:ascii="Times New Roman" w:eastAsia="Times New Roman" w:hAnsi="Times New Roman" w:cs="Times New Roman"/>
          <w:sz w:val="24"/>
          <w:szCs w:val="24"/>
        </w:rPr>
      </w:pPr>
      <w:r w:rsidRPr="00351E0A">
        <w:rPr>
          <w:rFonts w:ascii="Times New Roman" w:eastAsia="Times New Roman" w:hAnsi="Times New Roman" w:cs="Times New Roman"/>
          <w:sz w:val="24"/>
          <w:szCs w:val="24"/>
        </w:rPr>
        <w:t>This law was enacted in 1996 to ensure that the Fireman's Rule would no longer apply, except for suits against the firefighter's employer and co-workers. </w:t>
      </w:r>
    </w:p>
    <w:p w14:paraId="22297884" w14:textId="77777777" w:rsidR="00351E0A" w:rsidRPr="00351E0A" w:rsidRDefault="00351E0A" w:rsidP="00351E0A">
      <w:pPr>
        <w:spacing w:after="0" w:line="240" w:lineRule="auto"/>
        <w:ind w:left="720" w:firstLine="720"/>
        <w:rPr>
          <w:rFonts w:ascii="Times New Roman" w:eastAsia="Times New Roman" w:hAnsi="Times New Roman"/>
          <w:sz w:val="24"/>
          <w:szCs w:val="24"/>
        </w:rPr>
      </w:pPr>
      <w:r w:rsidRPr="00351E0A">
        <w:rPr>
          <w:rFonts w:ascii="Times New Roman" w:eastAsia="Times New Roman" w:hAnsi="Times New Roman"/>
          <w:b/>
          <w:sz w:val="24"/>
          <w:szCs w:val="24"/>
        </w:rPr>
        <w:t>General Municipal Law § 205-e</w:t>
      </w:r>
      <w:r w:rsidRPr="00351E0A">
        <w:rPr>
          <w:rFonts w:ascii="Times New Roman" w:eastAsia="Times New Roman" w:hAnsi="Times New Roman"/>
          <w:sz w:val="24"/>
          <w:szCs w:val="24"/>
        </w:rPr>
        <w:t xml:space="preserve"> </w:t>
      </w:r>
    </w:p>
    <w:p w14:paraId="2C013346" w14:textId="77777777" w:rsidR="00351E0A" w:rsidRPr="00351E0A" w:rsidRDefault="00351E0A" w:rsidP="00351E0A">
      <w:pPr>
        <w:pStyle w:val="ListParagraph"/>
        <w:spacing w:after="0" w:line="240" w:lineRule="auto"/>
        <w:ind w:left="1440"/>
        <w:rPr>
          <w:rFonts w:ascii="Times New Roman" w:eastAsia="Times New Roman" w:hAnsi="Times New Roman" w:cs="Times New Roman"/>
          <w:sz w:val="24"/>
          <w:szCs w:val="24"/>
        </w:rPr>
      </w:pPr>
      <w:r w:rsidRPr="00351E0A">
        <w:rPr>
          <w:rFonts w:ascii="Times New Roman" w:eastAsia="Times New Roman" w:hAnsi="Times New Roman" w:cs="Times New Roman"/>
          <w:sz w:val="24"/>
          <w:szCs w:val="24"/>
        </w:rPr>
        <w:t>This law gives police officers similar rights to those afforded to firefighters under General Municipal Law § 205-a</w:t>
      </w:r>
    </w:p>
    <w:p w14:paraId="4518DDAB" w14:textId="77777777" w:rsidR="00351E0A" w:rsidRDefault="00351E0A" w:rsidP="00351E0A">
      <w:pPr>
        <w:rPr>
          <w:bCs/>
          <w:sz w:val="20"/>
          <w:szCs w:val="20"/>
        </w:rPr>
      </w:pPr>
    </w:p>
    <w:p w14:paraId="7C9E0FE2" w14:textId="77777777" w:rsidR="00351E0A" w:rsidRPr="006D1B8F" w:rsidRDefault="00351E0A" w:rsidP="00277909">
      <w:pPr>
        <w:rPr>
          <w:rFonts w:ascii="Arial Black" w:hAnsi="Arial Black"/>
          <w:sz w:val="24"/>
          <w:szCs w:val="24"/>
        </w:rPr>
      </w:pPr>
    </w:p>
    <w:p w14:paraId="38FAC05D" w14:textId="77777777" w:rsidR="00BC0732" w:rsidRPr="00253954" w:rsidRDefault="00BC0732" w:rsidP="005D5A0C">
      <w:pPr>
        <w:rPr>
          <w:rFonts w:ascii="Times New Roman" w:hAnsi="Times New Roman"/>
          <w:sz w:val="24"/>
          <w:szCs w:val="24"/>
        </w:rPr>
      </w:pPr>
    </w:p>
    <w:p w14:paraId="2ACFF06A" w14:textId="62D24DAD" w:rsidR="005D5A0C" w:rsidRDefault="005D5A0C" w:rsidP="005D5A0C">
      <w:pPr>
        <w:rPr>
          <w:rFonts w:ascii="Arial Black" w:hAnsi="Arial Black"/>
          <w:sz w:val="24"/>
          <w:szCs w:val="24"/>
        </w:rPr>
      </w:pPr>
      <w:r>
        <w:rPr>
          <w:rFonts w:ascii="Arial Black" w:hAnsi="Arial Black"/>
          <w:sz w:val="24"/>
          <w:szCs w:val="24"/>
        </w:rPr>
        <w:t>2-7</w:t>
      </w:r>
      <w:r w:rsidR="00891E1D">
        <w:rPr>
          <w:rFonts w:ascii="Arial Black" w:hAnsi="Arial Black"/>
          <w:sz w:val="24"/>
          <w:szCs w:val="24"/>
        </w:rPr>
        <w:t>7</w:t>
      </w:r>
    </w:p>
    <w:p w14:paraId="01DD8DEF" w14:textId="77777777" w:rsidR="00DE4B6F" w:rsidRPr="00097DD5" w:rsidRDefault="00DE4B6F" w:rsidP="00DE4B6F">
      <w:pPr>
        <w:pStyle w:val="NoSpacing"/>
        <w:rPr>
          <w:rFonts w:ascii="Times New Roman" w:hAnsi="Times New Roman"/>
          <w:b/>
          <w:bCs/>
          <w:sz w:val="24"/>
          <w:szCs w:val="24"/>
        </w:rPr>
      </w:pPr>
      <w:r w:rsidRPr="00097DD5">
        <w:rPr>
          <w:rFonts w:ascii="Times New Roman" w:hAnsi="Times New Roman"/>
          <w:b/>
          <w:bCs/>
          <w:sz w:val="24"/>
          <w:szCs w:val="24"/>
        </w:rPr>
        <w:lastRenderedPageBreak/>
        <w:t>AR: TUCSON – UNCONSCIOUS BUS STOP – STRUCK FF IN FACE – SENTENCED MAX AGGRAVATED ASSAULT – 3.75 YRS</w:t>
      </w:r>
    </w:p>
    <w:p w14:paraId="2B9AB74F" w14:textId="77777777" w:rsidR="00DE4B6F" w:rsidRPr="00097DD5" w:rsidRDefault="00DE4B6F" w:rsidP="00DE4B6F">
      <w:pPr>
        <w:pStyle w:val="NoSpacing"/>
        <w:rPr>
          <w:rFonts w:ascii="Times New Roman" w:hAnsi="Times New Roman"/>
          <w:sz w:val="24"/>
          <w:szCs w:val="24"/>
        </w:rPr>
      </w:pPr>
    </w:p>
    <w:p w14:paraId="69770EFE" w14:textId="77777777" w:rsidR="00DE4B6F" w:rsidRPr="00097DD5" w:rsidRDefault="00DE4B6F" w:rsidP="00DE4B6F">
      <w:pPr>
        <w:pStyle w:val="NoSpacing"/>
        <w:rPr>
          <w:rFonts w:ascii="Times New Roman" w:hAnsi="Times New Roman"/>
          <w:sz w:val="24"/>
          <w:szCs w:val="24"/>
        </w:rPr>
      </w:pPr>
      <w:r w:rsidRPr="00097DD5">
        <w:rPr>
          <w:rFonts w:ascii="Times New Roman" w:hAnsi="Times New Roman"/>
          <w:sz w:val="24"/>
          <w:szCs w:val="24"/>
        </w:rPr>
        <w:t xml:space="preserve">On Oct. 30, 2024, in </w:t>
      </w:r>
      <w:r w:rsidRPr="00097DD5">
        <w:rPr>
          <w:rFonts w:ascii="Times New Roman" w:hAnsi="Times New Roman"/>
          <w:sz w:val="24"/>
          <w:szCs w:val="24"/>
          <w:u w:val="single"/>
        </w:rPr>
        <w:t>State of Arizona v. Adam F. Rivas</w:t>
      </w:r>
      <w:r w:rsidRPr="00097DD5">
        <w:rPr>
          <w:rFonts w:ascii="Times New Roman" w:hAnsi="Times New Roman"/>
          <w:sz w:val="24"/>
          <w:szCs w:val="24"/>
        </w:rPr>
        <w:t xml:space="preserve">, the Arizona Court of Appeals, Division Two held (3 to 0; not for publication decision): “Adam Rivas appeals from his conviction and sentence for aggravated assault, arguing the trial court erred when it considered a prohibited aggravating factor at sentencing. </w:t>
      </w:r>
      <w:proofErr w:type="gramStart"/>
      <w:r w:rsidRPr="00097DD5">
        <w:rPr>
          <w:rFonts w:ascii="Times New Roman" w:hAnsi="Times New Roman"/>
          <w:sz w:val="24"/>
          <w:szCs w:val="24"/>
        </w:rPr>
        <w:t>For the reasons that</w:t>
      </w:r>
      <w:proofErr w:type="gramEnd"/>
      <w:r w:rsidRPr="00097DD5">
        <w:rPr>
          <w:rFonts w:ascii="Times New Roman" w:hAnsi="Times New Roman"/>
          <w:sz w:val="24"/>
          <w:szCs w:val="24"/>
        </w:rPr>
        <w:t xml:space="preserve"> follow, we affirm.” </w:t>
      </w:r>
    </w:p>
    <w:p w14:paraId="17870715" w14:textId="77777777" w:rsidR="00DE4B6F" w:rsidRPr="00097DD5" w:rsidRDefault="00DE4B6F" w:rsidP="00DE4B6F">
      <w:pPr>
        <w:pStyle w:val="NoSpacing"/>
        <w:rPr>
          <w:rFonts w:ascii="Times New Roman" w:hAnsi="Times New Roman"/>
          <w:sz w:val="24"/>
          <w:szCs w:val="24"/>
        </w:rPr>
      </w:pPr>
      <w:hyperlink r:id="rId465" w:history="1">
        <w:r w:rsidRPr="00097DD5">
          <w:rPr>
            <w:rStyle w:val="Hyperlink"/>
            <w:rFonts w:ascii="Times New Roman" w:hAnsi="Times New Roman"/>
            <w:sz w:val="24"/>
            <w:szCs w:val="24"/>
          </w:rPr>
          <w:t>https://cases.justia.com/arizona/court-of-appeals-division-two-unpublished/2024-2-ca-cr-2024-0065.pdf?ts=1730333249</w:t>
        </w:r>
      </w:hyperlink>
      <w:r w:rsidRPr="00097DD5">
        <w:rPr>
          <w:rFonts w:ascii="Times New Roman" w:hAnsi="Times New Roman"/>
          <w:sz w:val="24"/>
          <w:szCs w:val="24"/>
        </w:rPr>
        <w:t xml:space="preserve"> </w:t>
      </w:r>
    </w:p>
    <w:p w14:paraId="22FCB9D7" w14:textId="77777777" w:rsidR="00097DD5" w:rsidRPr="00097DD5" w:rsidRDefault="00097DD5" w:rsidP="00097DD5">
      <w:pPr>
        <w:pStyle w:val="NoSpacing"/>
        <w:rPr>
          <w:rFonts w:ascii="Times New Roman" w:hAnsi="Times New Roman"/>
          <w:b/>
          <w:sz w:val="24"/>
          <w:szCs w:val="24"/>
        </w:rPr>
      </w:pPr>
    </w:p>
    <w:p w14:paraId="5643AABF" w14:textId="576D9BBE" w:rsidR="00097DD5" w:rsidRDefault="00097DD5" w:rsidP="00097DD5">
      <w:pPr>
        <w:pStyle w:val="NoSpacing"/>
        <w:rPr>
          <w:rFonts w:ascii="Times New Roman" w:hAnsi="Times New Roman"/>
          <w:b/>
          <w:sz w:val="24"/>
          <w:szCs w:val="24"/>
        </w:rPr>
      </w:pPr>
      <w:r w:rsidRPr="00097DD5">
        <w:rPr>
          <w:rFonts w:ascii="Times New Roman" w:hAnsi="Times New Roman"/>
          <w:b/>
          <w:sz w:val="24"/>
          <w:szCs w:val="24"/>
        </w:rPr>
        <w:t>Legal Lesson Learned: Trial court when imposing a sentence will consider aggravating facts, such as assaulting a firefighter.</w:t>
      </w:r>
    </w:p>
    <w:p w14:paraId="26EF2BF3" w14:textId="77777777" w:rsidR="00F97332" w:rsidRDefault="00F97332" w:rsidP="00097DD5">
      <w:pPr>
        <w:pStyle w:val="NoSpacing"/>
        <w:rPr>
          <w:rFonts w:ascii="Times New Roman" w:hAnsi="Times New Roman"/>
          <w:b/>
          <w:sz w:val="24"/>
          <w:szCs w:val="24"/>
        </w:rPr>
      </w:pPr>
    </w:p>
    <w:p w14:paraId="012FFA45" w14:textId="77777777" w:rsidR="00F97332" w:rsidRDefault="00F97332" w:rsidP="00097DD5">
      <w:pPr>
        <w:pStyle w:val="NoSpacing"/>
        <w:rPr>
          <w:rFonts w:ascii="Times New Roman" w:hAnsi="Times New Roman"/>
          <w:b/>
          <w:sz w:val="24"/>
          <w:szCs w:val="24"/>
        </w:rPr>
      </w:pPr>
    </w:p>
    <w:p w14:paraId="47309A73" w14:textId="3464B1E6" w:rsidR="005D5A0C" w:rsidRDefault="005D5A0C" w:rsidP="005D5A0C">
      <w:pPr>
        <w:rPr>
          <w:rFonts w:ascii="Arial Black" w:hAnsi="Arial Black"/>
          <w:sz w:val="24"/>
          <w:szCs w:val="24"/>
        </w:rPr>
      </w:pPr>
      <w:r>
        <w:rPr>
          <w:rFonts w:ascii="Arial Black" w:hAnsi="Arial Black"/>
          <w:sz w:val="24"/>
          <w:szCs w:val="24"/>
        </w:rPr>
        <w:t>2-7</w:t>
      </w:r>
      <w:r w:rsidR="00891E1D">
        <w:rPr>
          <w:rFonts w:ascii="Arial Black" w:hAnsi="Arial Black"/>
          <w:sz w:val="24"/>
          <w:szCs w:val="24"/>
        </w:rPr>
        <w:t>6</w:t>
      </w:r>
    </w:p>
    <w:p w14:paraId="3EC94BB4" w14:textId="77777777" w:rsidR="00F97332" w:rsidRDefault="00F97332" w:rsidP="00097DD5">
      <w:pPr>
        <w:pStyle w:val="NoSpacing"/>
        <w:rPr>
          <w:rFonts w:ascii="Times New Roman" w:hAnsi="Times New Roman"/>
          <w:b/>
          <w:sz w:val="24"/>
          <w:szCs w:val="24"/>
        </w:rPr>
      </w:pPr>
    </w:p>
    <w:p w14:paraId="5193593C" w14:textId="77777777" w:rsidR="005D5A0C" w:rsidRPr="0007510D" w:rsidRDefault="005D5A0C" w:rsidP="005D5A0C">
      <w:pPr>
        <w:rPr>
          <w:rFonts w:ascii="Times New Roman" w:hAnsi="Times New Roman"/>
          <w:b/>
          <w:sz w:val="24"/>
          <w:szCs w:val="24"/>
        </w:rPr>
      </w:pPr>
      <w:r w:rsidRPr="0007510D">
        <w:rPr>
          <w:rFonts w:ascii="Times New Roman" w:hAnsi="Times New Roman"/>
          <w:b/>
          <w:sz w:val="24"/>
          <w:szCs w:val="24"/>
        </w:rPr>
        <w:t xml:space="preserve">OH: COLUMBUS FD - FIRE POLE – RIDE-ALONG BREAKS LEG – IMMUNITY “NEG. TRAINING” BUT CASE PROCEED SAFETY </w:t>
      </w:r>
    </w:p>
    <w:p w14:paraId="1CD32692" w14:textId="77777777" w:rsidR="005D5A0C" w:rsidRPr="0007510D" w:rsidRDefault="005D5A0C" w:rsidP="005D5A0C">
      <w:pPr>
        <w:pStyle w:val="NoSpacing"/>
        <w:rPr>
          <w:rFonts w:ascii="Times New Roman" w:hAnsi="Times New Roman"/>
          <w:sz w:val="24"/>
          <w:szCs w:val="24"/>
        </w:rPr>
      </w:pPr>
      <w:r w:rsidRPr="0007510D">
        <w:rPr>
          <w:rFonts w:ascii="Times New Roman" w:hAnsi="Times New Roman"/>
          <w:sz w:val="24"/>
          <w:szCs w:val="24"/>
        </w:rPr>
        <w:t xml:space="preserve">On Oct. 29, 2024, in </w:t>
      </w:r>
      <w:r w:rsidRPr="0007510D">
        <w:rPr>
          <w:rFonts w:ascii="Times New Roman" w:hAnsi="Times New Roman"/>
          <w:sz w:val="24"/>
          <w:szCs w:val="24"/>
          <w:u w:val="single"/>
        </w:rPr>
        <w:t>Keri Howard, et al. v. City of Columbus</w:t>
      </w:r>
      <w:r w:rsidRPr="0007510D">
        <w:rPr>
          <w:rFonts w:ascii="Times New Roman" w:hAnsi="Times New Roman"/>
          <w:sz w:val="24"/>
          <w:szCs w:val="24"/>
        </w:rPr>
        <w:t xml:space="preserve">, the Court of Appeals of Ohio, Tenth Appellate District, held (3 to 0): “Defendant-appellant, City of Columbus (“City”), appeals from a January 23, 2024 decision and entry from the Franklin County Court of Common Pleas granting in part and denying in part its motion for judgment on the pleadings. </w:t>
      </w:r>
      <w:proofErr w:type="gramStart"/>
      <w:r w:rsidRPr="0007510D">
        <w:rPr>
          <w:rFonts w:ascii="Times New Roman" w:hAnsi="Times New Roman"/>
          <w:sz w:val="24"/>
          <w:szCs w:val="24"/>
        </w:rPr>
        <w:t>For the reasons that</w:t>
      </w:r>
      <w:proofErr w:type="gramEnd"/>
      <w:r w:rsidRPr="0007510D">
        <w:rPr>
          <w:rFonts w:ascii="Times New Roman" w:hAnsi="Times New Roman"/>
          <w:sz w:val="24"/>
          <w:szCs w:val="24"/>
        </w:rPr>
        <w:t xml:space="preserve"> follow, we reverse. *** In the City’s sole assignment of error, it argues that the trial court </w:t>
      </w:r>
      <w:proofErr w:type="gramStart"/>
      <w:r w:rsidRPr="0007510D">
        <w:rPr>
          <w:rFonts w:ascii="Times New Roman" w:hAnsi="Times New Roman"/>
          <w:sz w:val="24"/>
          <w:szCs w:val="24"/>
        </w:rPr>
        <w:t>erred by</w:t>
      </w:r>
      <w:proofErr w:type="gramEnd"/>
      <w:r w:rsidRPr="0007510D">
        <w:rPr>
          <w:rFonts w:ascii="Times New Roman" w:hAnsi="Times New Roman"/>
          <w:sz w:val="24"/>
          <w:szCs w:val="24"/>
        </w:rPr>
        <w:t xml:space="preserve"> denying its claim for immunity as to the appellees’ negligent training and supervision</w:t>
      </w:r>
    </w:p>
    <w:p w14:paraId="6B7B655C" w14:textId="77777777" w:rsidR="005D5A0C" w:rsidRPr="0007510D" w:rsidRDefault="005D5A0C" w:rsidP="005D5A0C">
      <w:pPr>
        <w:pStyle w:val="NoSpacing"/>
        <w:rPr>
          <w:rFonts w:ascii="Times New Roman" w:hAnsi="Times New Roman"/>
          <w:sz w:val="24"/>
          <w:szCs w:val="24"/>
        </w:rPr>
      </w:pPr>
      <w:r w:rsidRPr="0007510D">
        <w:rPr>
          <w:rFonts w:ascii="Times New Roman" w:hAnsi="Times New Roman"/>
          <w:sz w:val="24"/>
          <w:szCs w:val="24"/>
        </w:rPr>
        <w:t xml:space="preserve">theory of premises liability. *** The City’s sole assignment of error is sustained, and this matter is </w:t>
      </w:r>
      <w:proofErr w:type="gramStart"/>
      <w:r w:rsidRPr="0007510D">
        <w:rPr>
          <w:rFonts w:ascii="Times New Roman" w:hAnsi="Times New Roman"/>
          <w:sz w:val="24"/>
          <w:szCs w:val="24"/>
        </w:rPr>
        <w:t>remanded</w:t>
      </w:r>
      <w:proofErr w:type="gramEnd"/>
      <w:r w:rsidRPr="0007510D">
        <w:rPr>
          <w:rFonts w:ascii="Times New Roman" w:hAnsi="Times New Roman"/>
          <w:sz w:val="24"/>
          <w:szCs w:val="24"/>
        </w:rPr>
        <w:t xml:space="preserve"> for further proceedings as to the remaining causes of action [including (2) Defendants failed to warn [Mrs. Howard] not to go down the fire pole. 3) Defendants were negligent due to the absence of any warning or safety equipment appended to the fire pole or near it. 4) Defendant failed to train [Mrs. Howard] how to go down the fire pole].</w:t>
      </w:r>
    </w:p>
    <w:p w14:paraId="77EC6EB5" w14:textId="77777777" w:rsidR="005D5A0C" w:rsidRPr="0007510D" w:rsidRDefault="005D5A0C" w:rsidP="005D5A0C">
      <w:pPr>
        <w:pStyle w:val="NoSpacing"/>
        <w:rPr>
          <w:rFonts w:ascii="Times New Roman" w:hAnsi="Times New Roman"/>
          <w:sz w:val="24"/>
          <w:szCs w:val="24"/>
        </w:rPr>
      </w:pPr>
      <w:hyperlink r:id="rId466" w:history="1">
        <w:r w:rsidRPr="0007510D">
          <w:rPr>
            <w:rStyle w:val="Hyperlink"/>
            <w:rFonts w:ascii="Times New Roman" w:hAnsi="Times New Roman"/>
            <w:sz w:val="24"/>
            <w:szCs w:val="24"/>
          </w:rPr>
          <w:t>https://www.supremecourt.ohio.gov/rod/docs/pdf/10/2024/2024-Ohio-5181.pdf</w:t>
        </w:r>
      </w:hyperlink>
      <w:r w:rsidRPr="0007510D">
        <w:rPr>
          <w:rFonts w:ascii="Times New Roman" w:hAnsi="Times New Roman"/>
          <w:sz w:val="24"/>
          <w:szCs w:val="24"/>
        </w:rPr>
        <w:t xml:space="preserve"> </w:t>
      </w:r>
    </w:p>
    <w:p w14:paraId="4460125C" w14:textId="77777777" w:rsidR="005D5A0C" w:rsidRPr="0007510D" w:rsidRDefault="005D5A0C" w:rsidP="005D5A0C">
      <w:pPr>
        <w:pStyle w:val="NoSpacing"/>
        <w:rPr>
          <w:rFonts w:ascii="Times New Roman" w:hAnsi="Times New Roman"/>
          <w:b/>
          <w:sz w:val="24"/>
          <w:szCs w:val="24"/>
        </w:rPr>
      </w:pPr>
    </w:p>
    <w:p w14:paraId="34AD2FF6" w14:textId="77777777" w:rsidR="005D5A0C" w:rsidRPr="0007510D" w:rsidRDefault="005D5A0C" w:rsidP="005D5A0C">
      <w:pPr>
        <w:pStyle w:val="NoSpacing"/>
        <w:rPr>
          <w:rFonts w:ascii="Times New Roman" w:hAnsi="Times New Roman"/>
          <w:b/>
          <w:bCs/>
          <w:sz w:val="24"/>
          <w:szCs w:val="24"/>
        </w:rPr>
      </w:pPr>
      <w:r w:rsidRPr="0007510D">
        <w:rPr>
          <w:rFonts w:ascii="Times New Roman" w:hAnsi="Times New Roman"/>
          <w:b/>
          <w:sz w:val="24"/>
          <w:szCs w:val="24"/>
        </w:rPr>
        <w:t xml:space="preserve">egal Lesson Learned – Make sure “ride-along” </w:t>
      </w:r>
      <w:r w:rsidRPr="0007510D">
        <w:rPr>
          <w:rFonts w:ascii="Times New Roman" w:hAnsi="Times New Roman"/>
          <w:b/>
          <w:bCs/>
          <w:sz w:val="24"/>
          <w:szCs w:val="24"/>
        </w:rPr>
        <w:t xml:space="preserve">demonstrates </w:t>
      </w:r>
      <w:r w:rsidRPr="0007510D">
        <w:rPr>
          <w:rFonts w:ascii="Times New Roman" w:hAnsi="Times New Roman"/>
          <w:b/>
          <w:sz w:val="24"/>
          <w:szCs w:val="24"/>
        </w:rPr>
        <w:t xml:space="preserve">how to </w:t>
      </w:r>
      <w:r w:rsidRPr="0007510D">
        <w:rPr>
          <w:rFonts w:ascii="Times New Roman" w:hAnsi="Times New Roman"/>
          <w:b/>
          <w:bCs/>
          <w:sz w:val="24"/>
          <w:szCs w:val="24"/>
        </w:rPr>
        <w:t xml:space="preserve">safely </w:t>
      </w:r>
      <w:r w:rsidRPr="0007510D">
        <w:rPr>
          <w:rFonts w:ascii="Times New Roman" w:hAnsi="Times New Roman"/>
          <w:b/>
          <w:sz w:val="24"/>
          <w:szCs w:val="24"/>
        </w:rPr>
        <w:t>go down the fire pole or require</w:t>
      </w:r>
      <w:r w:rsidRPr="0007510D">
        <w:rPr>
          <w:rFonts w:ascii="Times New Roman" w:hAnsi="Times New Roman"/>
          <w:b/>
          <w:bCs/>
          <w:sz w:val="24"/>
          <w:szCs w:val="24"/>
        </w:rPr>
        <w:t xml:space="preserve"> </w:t>
      </w:r>
      <w:r w:rsidRPr="0007510D">
        <w:rPr>
          <w:rFonts w:ascii="Times New Roman" w:hAnsi="Times New Roman"/>
          <w:b/>
          <w:sz w:val="24"/>
          <w:szCs w:val="24"/>
        </w:rPr>
        <w:t xml:space="preserve">use </w:t>
      </w:r>
      <w:r w:rsidRPr="0007510D">
        <w:rPr>
          <w:rFonts w:ascii="Times New Roman" w:hAnsi="Times New Roman"/>
          <w:b/>
          <w:bCs/>
          <w:sz w:val="24"/>
          <w:szCs w:val="24"/>
        </w:rPr>
        <w:t>of the</w:t>
      </w:r>
      <w:r w:rsidRPr="0007510D">
        <w:rPr>
          <w:rFonts w:ascii="Times New Roman" w:hAnsi="Times New Roman"/>
          <w:b/>
          <w:sz w:val="24"/>
          <w:szCs w:val="24"/>
        </w:rPr>
        <w:t xml:space="preserve"> stairs.  </w:t>
      </w:r>
    </w:p>
    <w:p w14:paraId="7315B05A" w14:textId="77777777" w:rsidR="005D5A0C" w:rsidRDefault="005D5A0C" w:rsidP="005D5A0C">
      <w:pPr>
        <w:pStyle w:val="NoSpacing"/>
        <w:rPr>
          <w:rFonts w:asciiTheme="majorHAnsi" w:hAnsiTheme="majorHAnsi"/>
          <w:b/>
          <w:bCs/>
          <w:sz w:val="28"/>
        </w:rPr>
      </w:pPr>
    </w:p>
    <w:p w14:paraId="3ED008A4" w14:textId="77777777" w:rsidR="00F97332" w:rsidRPr="00097DD5" w:rsidRDefault="00F97332" w:rsidP="00097DD5">
      <w:pPr>
        <w:pStyle w:val="NoSpacing"/>
        <w:rPr>
          <w:rFonts w:ascii="Times New Roman" w:hAnsi="Times New Roman"/>
          <w:b/>
          <w:sz w:val="24"/>
          <w:szCs w:val="24"/>
        </w:rPr>
      </w:pPr>
    </w:p>
    <w:p w14:paraId="7CFA4D6E" w14:textId="77777777" w:rsidR="00097DD5" w:rsidRPr="00097DD5" w:rsidRDefault="00097DD5" w:rsidP="00097DD5">
      <w:pPr>
        <w:pStyle w:val="NoSpacing"/>
        <w:rPr>
          <w:rFonts w:ascii="Times New Roman" w:hAnsi="Times New Roman"/>
          <w:sz w:val="24"/>
          <w:szCs w:val="24"/>
        </w:rPr>
      </w:pPr>
    </w:p>
    <w:p w14:paraId="422EDACD" w14:textId="77777777" w:rsidR="00727472" w:rsidRPr="00097DD5" w:rsidRDefault="00727472" w:rsidP="00286F24">
      <w:pPr>
        <w:rPr>
          <w:rFonts w:ascii="Times New Roman" w:hAnsi="Times New Roman"/>
          <w:sz w:val="24"/>
          <w:szCs w:val="24"/>
        </w:rPr>
      </w:pPr>
    </w:p>
    <w:p w14:paraId="23AA95E0" w14:textId="1EFB9C98" w:rsidR="00727472" w:rsidRDefault="00727472" w:rsidP="00286F24">
      <w:pPr>
        <w:rPr>
          <w:rFonts w:ascii="Arial Black" w:hAnsi="Arial Black"/>
          <w:sz w:val="24"/>
          <w:szCs w:val="24"/>
        </w:rPr>
      </w:pPr>
      <w:r>
        <w:rPr>
          <w:rFonts w:ascii="Arial Black" w:hAnsi="Arial Black"/>
          <w:sz w:val="24"/>
          <w:szCs w:val="24"/>
        </w:rPr>
        <w:t>2-7</w:t>
      </w:r>
      <w:r w:rsidR="00891E1D">
        <w:rPr>
          <w:rFonts w:ascii="Arial Black" w:hAnsi="Arial Black"/>
          <w:sz w:val="24"/>
          <w:szCs w:val="24"/>
        </w:rPr>
        <w:t>5</w:t>
      </w:r>
    </w:p>
    <w:p w14:paraId="00F6BBC9" w14:textId="77777777" w:rsidR="008545A2" w:rsidRPr="000617DD" w:rsidRDefault="008545A2" w:rsidP="008545A2">
      <w:pPr>
        <w:pStyle w:val="NoSpacing"/>
        <w:rPr>
          <w:rFonts w:ascii="Times New Roman" w:hAnsi="Times New Roman"/>
          <w:b/>
          <w:bCs/>
          <w:sz w:val="24"/>
          <w:szCs w:val="24"/>
        </w:rPr>
      </w:pPr>
      <w:r w:rsidRPr="000617DD">
        <w:rPr>
          <w:rFonts w:ascii="Times New Roman" w:hAnsi="Times New Roman"/>
          <w:b/>
          <w:bCs/>
          <w:sz w:val="24"/>
          <w:szCs w:val="24"/>
        </w:rPr>
        <w:t>KY: “FIREMAN’S RULE” EXCEPTION - TROPPER I-71 INJURED BY 2 TRUCKERS SPEEDING – SUE COMPANIES DAMAGES</w:t>
      </w:r>
    </w:p>
    <w:p w14:paraId="6B144FC2" w14:textId="77777777" w:rsidR="00434296" w:rsidRPr="000617DD" w:rsidRDefault="00434296" w:rsidP="00434296">
      <w:pPr>
        <w:pStyle w:val="NoSpacing"/>
        <w:rPr>
          <w:b/>
          <w:bCs/>
          <w:sz w:val="24"/>
          <w:szCs w:val="24"/>
        </w:rPr>
      </w:pPr>
    </w:p>
    <w:p w14:paraId="0544A9A9" w14:textId="77777777" w:rsidR="00434296" w:rsidRPr="000617DD" w:rsidRDefault="00434296" w:rsidP="00434296">
      <w:pPr>
        <w:pStyle w:val="NoSpacing"/>
        <w:rPr>
          <w:rFonts w:ascii="Times New Roman" w:hAnsi="Times New Roman"/>
          <w:sz w:val="24"/>
          <w:szCs w:val="24"/>
        </w:rPr>
      </w:pPr>
      <w:r w:rsidRPr="000617DD">
        <w:rPr>
          <w:rFonts w:ascii="Times New Roman" w:hAnsi="Times New Roman"/>
          <w:sz w:val="24"/>
          <w:szCs w:val="24"/>
        </w:rPr>
        <w:t xml:space="preserve">On Oct. 24, 2024, in </w:t>
      </w:r>
      <w:r w:rsidRPr="000617DD">
        <w:rPr>
          <w:rFonts w:ascii="Times New Roman" w:hAnsi="Times New Roman"/>
          <w:sz w:val="24"/>
          <w:szCs w:val="24"/>
          <w:u w:val="single"/>
        </w:rPr>
        <w:t>Wooster Motor Ways, Inc.; James Baumhower; EC Delivery. LLC; Kentucky Farm Bureau Mutual Insurance ;and Teddy Seer v. Michael Gonterman; Jenna Gonterman; and Kentucky Self-Insured Auto Program Risk &amp; Insurance Services Division</w:t>
      </w:r>
      <w:r w:rsidRPr="000617DD">
        <w:rPr>
          <w:rFonts w:ascii="Times New Roman" w:hAnsi="Times New Roman"/>
          <w:sz w:val="24"/>
          <w:szCs w:val="24"/>
        </w:rPr>
        <w:t>, the Supreme Court of Kentucky held (7 to 0):  “The Firefighter’s Rule (‘the Rule’) is a ‘common law rule of long standing,’ judicially created as a ‘public policy’ exception to the liability for</w:t>
      </w:r>
    </w:p>
    <w:p w14:paraId="362D6654" w14:textId="77777777" w:rsidR="00434296" w:rsidRPr="000617DD" w:rsidRDefault="00434296" w:rsidP="00434296">
      <w:pPr>
        <w:pStyle w:val="NoSpacing"/>
        <w:rPr>
          <w:rFonts w:ascii="Times New Roman" w:hAnsi="Times New Roman"/>
          <w:sz w:val="24"/>
          <w:szCs w:val="24"/>
        </w:rPr>
      </w:pPr>
      <w:r w:rsidRPr="000617DD">
        <w:rPr>
          <w:rFonts w:ascii="Times New Roman" w:hAnsi="Times New Roman"/>
          <w:sz w:val="24"/>
          <w:szCs w:val="24"/>
        </w:rPr>
        <w:lastRenderedPageBreak/>
        <w:t>negligence which might otherwise exist.’ *** As applied here, a police officer is injured by the independent negligence of another while performing his duty as a public employee, the Rule will not act to bar suit against the negligent party.”</w:t>
      </w:r>
    </w:p>
    <w:p w14:paraId="35B05D25" w14:textId="06BB6542" w:rsidR="00434296" w:rsidRPr="000617DD" w:rsidRDefault="00434296" w:rsidP="00434296">
      <w:pPr>
        <w:rPr>
          <w:rFonts w:ascii="Times New Roman" w:hAnsi="Times New Roman"/>
          <w:sz w:val="24"/>
          <w:szCs w:val="24"/>
        </w:rPr>
      </w:pPr>
      <w:hyperlink r:id="rId467" w:history="1">
        <w:r w:rsidRPr="000617DD">
          <w:rPr>
            <w:rStyle w:val="Hyperlink"/>
            <w:rFonts w:ascii="Times New Roman" w:hAnsi="Times New Roman"/>
            <w:sz w:val="24"/>
            <w:szCs w:val="24"/>
          </w:rPr>
          <w:t>https://cases.justia.com/kentucky/supreme-court/2024-2023-sc-0062-dg.pdf?ts=1729778750</w:t>
        </w:r>
      </w:hyperlink>
    </w:p>
    <w:p w14:paraId="2B1EBEBB" w14:textId="77777777" w:rsidR="000617DD" w:rsidRPr="000617DD" w:rsidRDefault="000617DD" w:rsidP="000617DD">
      <w:pPr>
        <w:rPr>
          <w:rFonts w:ascii="Times New Roman" w:hAnsi="Times New Roman"/>
          <w:b/>
          <w:bCs/>
          <w:sz w:val="24"/>
          <w:szCs w:val="24"/>
        </w:rPr>
      </w:pPr>
      <w:r w:rsidRPr="000617DD">
        <w:rPr>
          <w:rFonts w:ascii="Times New Roman" w:hAnsi="Times New Roman"/>
          <w:b/>
          <w:sz w:val="24"/>
          <w:szCs w:val="24"/>
        </w:rPr>
        <w:t>Legal Lesson Learned: Excellent decision finding an exception to the Fireman’s Rule</w:t>
      </w:r>
      <w:r w:rsidRPr="000617DD">
        <w:rPr>
          <w:rFonts w:ascii="Times New Roman" w:hAnsi="Times New Roman"/>
          <w:b/>
          <w:bCs/>
          <w:sz w:val="24"/>
          <w:szCs w:val="24"/>
        </w:rPr>
        <w:t xml:space="preserve">; some states have abolished the Fireman’s Rule completely. </w:t>
      </w:r>
    </w:p>
    <w:p w14:paraId="5FA19E77" w14:textId="77777777" w:rsidR="0025049B" w:rsidRDefault="0025049B" w:rsidP="00286F24">
      <w:pPr>
        <w:rPr>
          <w:rFonts w:ascii="Arial Black" w:hAnsi="Arial Black"/>
          <w:sz w:val="24"/>
          <w:szCs w:val="24"/>
        </w:rPr>
      </w:pPr>
    </w:p>
    <w:p w14:paraId="35784B6E" w14:textId="77ED1449" w:rsidR="003C080C" w:rsidRDefault="003C080C" w:rsidP="00286F24">
      <w:pPr>
        <w:rPr>
          <w:rFonts w:ascii="Arial Black" w:hAnsi="Arial Black"/>
          <w:sz w:val="24"/>
          <w:szCs w:val="24"/>
        </w:rPr>
      </w:pPr>
      <w:r>
        <w:rPr>
          <w:rFonts w:ascii="Arial Black" w:hAnsi="Arial Black"/>
          <w:sz w:val="24"/>
          <w:szCs w:val="24"/>
        </w:rPr>
        <w:t>2-7</w:t>
      </w:r>
      <w:r w:rsidR="00891E1D">
        <w:rPr>
          <w:rFonts w:ascii="Arial Black" w:hAnsi="Arial Black"/>
          <w:sz w:val="24"/>
          <w:szCs w:val="24"/>
        </w:rPr>
        <w:t>4</w:t>
      </w:r>
    </w:p>
    <w:p w14:paraId="769C9414" w14:textId="77777777" w:rsidR="003C080C" w:rsidRPr="00A71365" w:rsidRDefault="003C080C" w:rsidP="003C080C">
      <w:pPr>
        <w:pStyle w:val="NoSpacing"/>
        <w:rPr>
          <w:rFonts w:ascii="Arial Black" w:hAnsi="Arial Black"/>
          <w:sz w:val="28"/>
        </w:rPr>
      </w:pPr>
      <w:r w:rsidRPr="00A71365">
        <w:rPr>
          <w:rFonts w:ascii="Arial Black" w:hAnsi="Arial Black"/>
          <w:sz w:val="28"/>
        </w:rPr>
        <w:t>CA: FED</w:t>
      </w:r>
      <w:r>
        <w:rPr>
          <w:rFonts w:ascii="Arial Black" w:hAnsi="Arial Black"/>
          <w:sz w:val="28"/>
        </w:rPr>
        <w:t xml:space="preserve">ERAL GOV’T SUES </w:t>
      </w:r>
      <w:r w:rsidRPr="00A71365">
        <w:rPr>
          <w:rFonts w:ascii="Arial Black" w:hAnsi="Arial Black"/>
          <w:sz w:val="28"/>
        </w:rPr>
        <w:t>MANUF</w:t>
      </w:r>
      <w:r>
        <w:rPr>
          <w:rFonts w:ascii="Arial Black" w:hAnsi="Arial Black"/>
          <w:sz w:val="28"/>
        </w:rPr>
        <w:t xml:space="preserve">. OF </w:t>
      </w:r>
      <w:r w:rsidRPr="00A71365">
        <w:rPr>
          <w:rFonts w:ascii="Arial Black" w:hAnsi="Arial Black"/>
          <w:sz w:val="28"/>
        </w:rPr>
        <w:t>SMOKE BOMBS</w:t>
      </w:r>
      <w:r>
        <w:rPr>
          <w:rFonts w:ascii="Arial Black" w:hAnsi="Arial Black"/>
          <w:sz w:val="28"/>
        </w:rPr>
        <w:t xml:space="preserve"> – EXCESSIVE SPARKS</w:t>
      </w:r>
      <w:r w:rsidRPr="00A71365">
        <w:rPr>
          <w:rFonts w:ascii="Arial Black" w:hAnsi="Arial Black"/>
          <w:sz w:val="28"/>
        </w:rPr>
        <w:t xml:space="preserve"> –</w:t>
      </w:r>
      <w:r>
        <w:rPr>
          <w:rFonts w:ascii="Arial Black" w:hAnsi="Arial Black"/>
          <w:sz w:val="28"/>
        </w:rPr>
        <w:t xml:space="preserve"> </w:t>
      </w:r>
      <w:r w:rsidRPr="00A71365">
        <w:rPr>
          <w:rFonts w:ascii="Arial Black" w:hAnsi="Arial Black"/>
          <w:sz w:val="28"/>
        </w:rPr>
        <w:t>FOREST FIRE</w:t>
      </w:r>
      <w:r>
        <w:rPr>
          <w:rFonts w:ascii="Arial Black" w:hAnsi="Arial Black"/>
          <w:sz w:val="28"/>
        </w:rPr>
        <w:t xml:space="preserve"> / L</w:t>
      </w:r>
      <w:r w:rsidRPr="00A71365">
        <w:rPr>
          <w:rFonts w:ascii="Arial Black" w:hAnsi="Arial Black"/>
          <w:sz w:val="28"/>
        </w:rPr>
        <w:t>ODD</w:t>
      </w:r>
      <w:r>
        <w:rPr>
          <w:rFonts w:ascii="Arial Black" w:hAnsi="Arial Black"/>
          <w:sz w:val="28"/>
        </w:rPr>
        <w:t xml:space="preserve"> / </w:t>
      </w:r>
      <w:r w:rsidRPr="00A71365">
        <w:rPr>
          <w:rFonts w:ascii="Arial Black" w:hAnsi="Arial Black"/>
          <w:sz w:val="28"/>
        </w:rPr>
        <w:t xml:space="preserve">$41M </w:t>
      </w:r>
    </w:p>
    <w:p w14:paraId="6FE9C962" w14:textId="77777777" w:rsidR="003C080C" w:rsidRPr="00CE14C4" w:rsidRDefault="003C080C" w:rsidP="003C080C">
      <w:pPr>
        <w:pStyle w:val="NoSpacing"/>
        <w:rPr>
          <w:rFonts w:ascii="Times New Roman" w:hAnsi="Times New Roman"/>
          <w:sz w:val="24"/>
          <w:szCs w:val="24"/>
        </w:rPr>
      </w:pPr>
    </w:p>
    <w:p w14:paraId="76DFBA32" w14:textId="77777777" w:rsidR="003C080C" w:rsidRPr="00CE14C4" w:rsidRDefault="003C080C" w:rsidP="003C080C">
      <w:pPr>
        <w:pStyle w:val="NoSpacing"/>
        <w:rPr>
          <w:rFonts w:ascii="Times New Roman" w:hAnsi="Times New Roman"/>
          <w:sz w:val="24"/>
          <w:szCs w:val="24"/>
        </w:rPr>
      </w:pPr>
      <w:r w:rsidRPr="00CE14C4">
        <w:rPr>
          <w:rFonts w:ascii="Times New Roman" w:hAnsi="Times New Roman"/>
          <w:sz w:val="24"/>
          <w:szCs w:val="24"/>
        </w:rPr>
        <w:t xml:space="preserve">On September 27, 2024, in </w:t>
      </w:r>
      <w:r w:rsidRPr="00CE14C4">
        <w:rPr>
          <w:rFonts w:ascii="Times New Roman" w:hAnsi="Times New Roman"/>
          <w:sz w:val="24"/>
          <w:szCs w:val="24"/>
          <w:u w:val="single"/>
        </w:rPr>
        <w:t>United States of America v. Wholesale Fireworks Corporation, et al</w:t>
      </w:r>
      <w:r w:rsidRPr="00CE14C4">
        <w:rPr>
          <w:rFonts w:ascii="Times New Roman" w:hAnsi="Times New Roman"/>
          <w:sz w:val="24"/>
          <w:szCs w:val="24"/>
        </w:rPr>
        <w:t xml:space="preserve">.,  United States District Court Judge Maame Ewusi-Mensah Frimpong,  U.S. District Court for Central District of California, denied Wholesale Firework Corporation’s (Hubard, Ohio) motion to dismiss; lawsuit to proceed against that corporation, as well as their distributor (American Fireworks Warehouse) and family that set off the two smoke bombs.  On Sept. 5, 2020, defendants Refugio and Angelina Jimenz set off two smoke bombs at a “gender reveal” party near the National Forest in San Bernadino; the fire destroyed 22,744 acres, damaged or destroyed 24 buildings, resulted in line-of-duty death of Charles Morton, and cost $41 million in fire suppression cost.  The Court wrote:  “[t] the United States alleges Wholesale Fireworks’ failure to properly design and manufacture the gender reveal smoke bombs resulted in the emission of excessive sparks, flames, and molten materials…. The FAC [First Amended Complaint] also alleges that Wholesale Fireworks failed to adequately provide labeling to warn of dangers or instruct on the safe use of the gender reveal smoke bombs….  Additionally, the gender reveal smoke bombs failed to bear the California State Fire Marshall Registration Seal, rendering them illegal in California….  Accordingly, the Court finds that the United States has plausibly alleged that Wholesale Fireworks breached the duty of care imposed by California and federal law.” </w:t>
      </w:r>
      <w:hyperlink r:id="rId468" w:history="1">
        <w:r w:rsidRPr="00CE14C4">
          <w:rPr>
            <w:rStyle w:val="Hyperlink"/>
            <w:rFonts w:ascii="Times New Roman" w:hAnsi="Times New Roman"/>
            <w:sz w:val="24"/>
            <w:szCs w:val="24"/>
          </w:rPr>
          <w:t>https://www.courthousenews.com/wp-content/uploads/2024/09/wholesale-fireworks-ruling.pdf</w:t>
        </w:r>
      </w:hyperlink>
      <w:r w:rsidRPr="00CE14C4">
        <w:rPr>
          <w:rFonts w:ascii="Times New Roman" w:hAnsi="Times New Roman"/>
          <w:sz w:val="24"/>
          <w:szCs w:val="24"/>
        </w:rPr>
        <w:t xml:space="preserve"> </w:t>
      </w:r>
    </w:p>
    <w:p w14:paraId="7FF70B45" w14:textId="77777777" w:rsidR="003C080C" w:rsidRPr="00CE14C4" w:rsidRDefault="003C080C" w:rsidP="003C080C">
      <w:pPr>
        <w:pStyle w:val="NoSpacing"/>
        <w:rPr>
          <w:rFonts w:ascii="Times New Roman" w:hAnsi="Times New Roman"/>
          <w:sz w:val="24"/>
          <w:szCs w:val="24"/>
        </w:rPr>
      </w:pPr>
    </w:p>
    <w:p w14:paraId="437840B1" w14:textId="77777777" w:rsidR="003C080C" w:rsidRPr="00CE14C4" w:rsidRDefault="003C080C" w:rsidP="003C080C">
      <w:pPr>
        <w:pStyle w:val="NoSpacing"/>
        <w:rPr>
          <w:rFonts w:ascii="Times New Roman" w:hAnsi="Times New Roman"/>
          <w:sz w:val="24"/>
          <w:szCs w:val="24"/>
        </w:rPr>
      </w:pPr>
      <w:r w:rsidRPr="00CE14C4">
        <w:rPr>
          <w:rFonts w:ascii="Times New Roman" w:hAnsi="Times New Roman"/>
          <w:sz w:val="24"/>
          <w:szCs w:val="24"/>
        </w:rPr>
        <w:t>THE COURT HELD:</w:t>
      </w:r>
    </w:p>
    <w:p w14:paraId="77568C0E" w14:textId="77777777" w:rsidR="003C080C" w:rsidRPr="00CE14C4" w:rsidRDefault="003C080C" w:rsidP="003C080C">
      <w:pPr>
        <w:pStyle w:val="NoSpacing"/>
        <w:rPr>
          <w:rFonts w:ascii="Times New Roman" w:hAnsi="Times New Roman"/>
          <w:sz w:val="24"/>
          <w:szCs w:val="24"/>
        </w:rPr>
      </w:pPr>
    </w:p>
    <w:p w14:paraId="4E47F969" w14:textId="77777777" w:rsidR="003C080C" w:rsidRDefault="003C080C" w:rsidP="003C080C">
      <w:pPr>
        <w:pStyle w:val="NoSpacing"/>
        <w:ind w:left="720"/>
        <w:rPr>
          <w:rFonts w:ascii="Times New Roman" w:hAnsi="Times New Roman"/>
          <w:sz w:val="24"/>
          <w:szCs w:val="24"/>
        </w:rPr>
      </w:pPr>
      <w:r w:rsidRPr="00CE14C4">
        <w:rPr>
          <w:rFonts w:ascii="Times New Roman" w:hAnsi="Times New Roman"/>
          <w:sz w:val="24"/>
          <w:szCs w:val="24"/>
        </w:rPr>
        <w:t xml:space="preserve">“T]he Court finds that it is plausible that Wholesale Fireworks allowed the fire to occur. If an entity knows or has reason to know of the risks that may result from the defective labeling or design of its product, yet fails to adequately provide such labeling, it follows that the entity consequently allowed for that danger to ensue. Wholesale Fireworks knew or had reason to know of the risks of fire that may result from the defective labeling or design of the gender </w:t>
      </w:r>
      <w:proofErr w:type="gramStart"/>
      <w:r w:rsidRPr="00CE14C4">
        <w:rPr>
          <w:rFonts w:ascii="Times New Roman" w:hAnsi="Times New Roman"/>
          <w:sz w:val="24"/>
          <w:szCs w:val="24"/>
        </w:rPr>
        <w:t>reveal</w:t>
      </w:r>
      <w:proofErr w:type="gramEnd"/>
      <w:r w:rsidRPr="00CE14C4">
        <w:rPr>
          <w:rFonts w:ascii="Times New Roman" w:hAnsi="Times New Roman"/>
          <w:sz w:val="24"/>
          <w:szCs w:val="24"/>
        </w:rPr>
        <w:t xml:space="preserve"> smoke bombs given </w:t>
      </w:r>
      <w:proofErr w:type="gramStart"/>
      <w:r w:rsidRPr="00CE14C4">
        <w:rPr>
          <w:rFonts w:ascii="Times New Roman" w:hAnsi="Times New Roman"/>
          <w:sz w:val="24"/>
          <w:szCs w:val="24"/>
        </w:rPr>
        <w:t>its</w:t>
      </w:r>
      <w:proofErr w:type="gramEnd"/>
      <w:r w:rsidRPr="00CE14C4">
        <w:rPr>
          <w:rFonts w:ascii="Times New Roman" w:hAnsi="Times New Roman"/>
          <w:sz w:val="24"/>
          <w:szCs w:val="24"/>
        </w:rPr>
        <w:t xml:space="preserve"> training in the industry. Wholesale Fireworks failed to adequately provide warnings </w:t>
      </w:r>
      <w:proofErr w:type="gramStart"/>
      <w:r w:rsidRPr="00CE14C4">
        <w:rPr>
          <w:rFonts w:ascii="Times New Roman" w:hAnsi="Times New Roman"/>
          <w:sz w:val="24"/>
          <w:szCs w:val="24"/>
        </w:rPr>
        <w:t>of</w:t>
      </w:r>
      <w:proofErr w:type="gramEnd"/>
      <w:r w:rsidRPr="00CE14C4">
        <w:rPr>
          <w:rFonts w:ascii="Times New Roman" w:hAnsi="Times New Roman"/>
          <w:sz w:val="24"/>
          <w:szCs w:val="24"/>
        </w:rPr>
        <w:t xml:space="preserve"> the risk of fire that may </w:t>
      </w:r>
      <w:proofErr w:type="gramStart"/>
      <w:r w:rsidRPr="00CE14C4">
        <w:rPr>
          <w:rFonts w:ascii="Times New Roman" w:hAnsi="Times New Roman"/>
          <w:sz w:val="24"/>
          <w:szCs w:val="24"/>
        </w:rPr>
        <w:t>ensue</w:t>
      </w:r>
      <w:proofErr w:type="gramEnd"/>
      <w:r w:rsidRPr="00CE14C4">
        <w:rPr>
          <w:rFonts w:ascii="Times New Roman" w:hAnsi="Times New Roman"/>
          <w:sz w:val="24"/>
          <w:szCs w:val="24"/>
        </w:rPr>
        <w:t xml:space="preserve"> from the misuse of its product, despite knowing or having reason to know of the risks of such danger. Further, this failure was in violation of the law. Therefore, Wholesale Fireworks, in essence, allowed the fire to occur.”</w:t>
      </w:r>
    </w:p>
    <w:p w14:paraId="3A380298" w14:textId="77777777" w:rsidR="003C080C" w:rsidRPr="00BE0BB3" w:rsidRDefault="003C080C" w:rsidP="003C080C">
      <w:pPr>
        <w:pStyle w:val="NoSpacing"/>
        <w:rPr>
          <w:rFonts w:ascii="Times New Roman" w:hAnsi="Times New Roman"/>
          <w:b/>
          <w:bCs/>
          <w:sz w:val="24"/>
          <w:szCs w:val="24"/>
        </w:rPr>
      </w:pPr>
      <w:r w:rsidRPr="00BE0BB3">
        <w:rPr>
          <w:rFonts w:ascii="Times New Roman" w:hAnsi="Times New Roman"/>
          <w:b/>
          <w:bCs/>
          <w:sz w:val="24"/>
          <w:szCs w:val="24"/>
        </w:rPr>
        <w:t>Legal Lesson Learned: The manufacturer of smoke bombs has a duty to warn users about the risks of excessive sparks, flames, and molten materials.</w:t>
      </w:r>
    </w:p>
    <w:p w14:paraId="60F5FA5A" w14:textId="77777777" w:rsidR="006D679A" w:rsidRDefault="006D679A" w:rsidP="003C080C">
      <w:pPr>
        <w:ind w:left="720"/>
        <w:rPr>
          <w:rFonts w:ascii="Times New Roman" w:hAnsi="Times New Roman"/>
          <w:sz w:val="24"/>
          <w:szCs w:val="24"/>
        </w:rPr>
      </w:pPr>
    </w:p>
    <w:p w14:paraId="11C845B5" w14:textId="5AD2B852" w:rsidR="003C080C" w:rsidRPr="00BE0BB3" w:rsidRDefault="003C080C" w:rsidP="003C080C">
      <w:pPr>
        <w:ind w:left="720"/>
        <w:rPr>
          <w:rFonts w:ascii="Times New Roman" w:hAnsi="Times New Roman"/>
          <w:sz w:val="24"/>
          <w:szCs w:val="24"/>
        </w:rPr>
      </w:pPr>
      <w:r w:rsidRPr="00BE0BB3">
        <w:rPr>
          <w:rFonts w:ascii="Times New Roman" w:hAnsi="Times New Roman"/>
          <w:sz w:val="24"/>
          <w:szCs w:val="24"/>
        </w:rPr>
        <w:t xml:space="preserve">Note: National Fallen Firefighter Foundation: “Charles Morton, squad boss on the Big Bear Interagency Hotshot Crew, died during interagency fire suppression activities on the El Dorado Fire in the San Bernardino National Forest in California on September 17, 2020. He had been a firefighter for 18 years, 14 of those with the U.S. Forest Service.” </w:t>
      </w:r>
      <w:hyperlink r:id="rId469" w:history="1">
        <w:r w:rsidRPr="00BE0BB3">
          <w:rPr>
            <w:rStyle w:val="Hyperlink"/>
            <w:rFonts w:ascii="Times New Roman" w:hAnsi="Times New Roman"/>
            <w:sz w:val="24"/>
            <w:szCs w:val="24"/>
          </w:rPr>
          <w:t>https://www.firehero.org/fallen-firefighter/charles-e-morton/</w:t>
        </w:r>
      </w:hyperlink>
      <w:r w:rsidRPr="00BE0BB3">
        <w:rPr>
          <w:rFonts w:ascii="Times New Roman" w:hAnsi="Times New Roman"/>
          <w:sz w:val="24"/>
          <w:szCs w:val="24"/>
        </w:rPr>
        <w:t xml:space="preserve"> </w:t>
      </w:r>
    </w:p>
    <w:p w14:paraId="4B26E4FB" w14:textId="77777777" w:rsidR="003C080C" w:rsidRPr="00CE14C4" w:rsidRDefault="003C080C" w:rsidP="003C080C">
      <w:pPr>
        <w:pStyle w:val="NoSpacing"/>
        <w:ind w:left="720"/>
        <w:rPr>
          <w:rFonts w:ascii="Times New Roman" w:hAnsi="Times New Roman"/>
          <w:sz w:val="24"/>
          <w:szCs w:val="24"/>
        </w:rPr>
      </w:pPr>
    </w:p>
    <w:p w14:paraId="2E2B3BD0" w14:textId="77777777" w:rsidR="003C080C" w:rsidRDefault="003C080C" w:rsidP="003C080C">
      <w:pPr>
        <w:pStyle w:val="NoSpacing"/>
        <w:ind w:left="720"/>
      </w:pPr>
    </w:p>
    <w:p w14:paraId="519FB2D6" w14:textId="144D49D1" w:rsidR="003C080C" w:rsidRDefault="00B34767" w:rsidP="00286F24">
      <w:pPr>
        <w:rPr>
          <w:rFonts w:ascii="Arial Black" w:hAnsi="Arial Black"/>
          <w:sz w:val="24"/>
          <w:szCs w:val="24"/>
        </w:rPr>
      </w:pPr>
      <w:r>
        <w:rPr>
          <w:rFonts w:ascii="Arial Black" w:hAnsi="Arial Black"/>
          <w:sz w:val="24"/>
          <w:szCs w:val="24"/>
        </w:rPr>
        <w:t>2-7</w:t>
      </w:r>
      <w:r w:rsidR="00891E1D">
        <w:rPr>
          <w:rFonts w:ascii="Arial Black" w:hAnsi="Arial Black"/>
          <w:sz w:val="24"/>
          <w:szCs w:val="24"/>
        </w:rPr>
        <w:t>3</w:t>
      </w:r>
    </w:p>
    <w:p w14:paraId="30DB49B2" w14:textId="77777777" w:rsidR="00B34767" w:rsidRDefault="00B34767" w:rsidP="00B34767">
      <w:pPr>
        <w:pStyle w:val="NoSpacing"/>
        <w:rPr>
          <w:rFonts w:ascii="Arial Black" w:hAnsi="Arial Black"/>
          <w:sz w:val="28"/>
        </w:rPr>
      </w:pPr>
      <w:r>
        <w:rPr>
          <w:rFonts w:ascii="Arial Black" w:hAnsi="Arial Black"/>
          <w:sz w:val="28"/>
        </w:rPr>
        <w:t>TX: PATIENT FIRES 2 SHOTS / THEN PULLS KNIFE ON EMS DURING TRANSPORT – SENTENCED LIFE IMPRISONMENT</w:t>
      </w:r>
    </w:p>
    <w:p w14:paraId="67A7050F" w14:textId="77777777" w:rsidR="00B34767" w:rsidRDefault="00B34767" w:rsidP="00B34767">
      <w:pPr>
        <w:pStyle w:val="NoSpacing"/>
        <w:rPr>
          <w:szCs w:val="24"/>
        </w:rPr>
      </w:pPr>
    </w:p>
    <w:p w14:paraId="0D79F0A9" w14:textId="77777777" w:rsidR="00B34767" w:rsidRPr="00B34767" w:rsidRDefault="00B34767" w:rsidP="00B34767">
      <w:pPr>
        <w:pStyle w:val="NoSpacing"/>
        <w:rPr>
          <w:rFonts w:ascii="Times New Roman" w:hAnsi="Times New Roman"/>
          <w:sz w:val="24"/>
          <w:szCs w:val="24"/>
        </w:rPr>
      </w:pPr>
      <w:r w:rsidRPr="00B34767">
        <w:rPr>
          <w:rFonts w:ascii="Times New Roman" w:hAnsi="Times New Roman"/>
          <w:sz w:val="24"/>
          <w:szCs w:val="24"/>
        </w:rPr>
        <w:t xml:space="preserve">On September 19, 2024, in </w:t>
      </w:r>
      <w:r w:rsidRPr="00B34767">
        <w:rPr>
          <w:rFonts w:ascii="Times New Roman" w:hAnsi="Times New Roman"/>
          <w:sz w:val="24"/>
          <w:szCs w:val="24"/>
          <w:u w:val="single"/>
        </w:rPr>
        <w:t>Michael McMillian v. The State of Texas</w:t>
      </w:r>
      <w:r w:rsidRPr="00B34767">
        <w:rPr>
          <w:rFonts w:ascii="Times New Roman" w:hAnsi="Times New Roman"/>
          <w:sz w:val="24"/>
          <w:szCs w:val="24"/>
        </w:rPr>
        <w:t>, the Court of Appeals of Texas, Eleventh District, held (3 to 0; unpublished decision) that jury properly convicted defendant of two separate offenses against same victim – aggravated assault with gun, and aggravated assault with knife against EMT Tahnee Marks.  The Court wrote: “The jury found Appellant guilty of all six counts and the trial court assessed punishment at confinement in the Institutional Division of the Texas Department of Criminal Justice for terms ranging from forty years to life—all to run concurrently. *** Here, Appellant was charged with,</w:t>
      </w:r>
    </w:p>
    <w:p w14:paraId="1A123F91" w14:textId="77777777" w:rsidR="00B34767" w:rsidRPr="00B34767" w:rsidRDefault="00B34767" w:rsidP="00B34767">
      <w:pPr>
        <w:pStyle w:val="NoSpacing"/>
        <w:rPr>
          <w:rFonts w:ascii="Times New Roman" w:hAnsi="Times New Roman"/>
          <w:sz w:val="24"/>
          <w:szCs w:val="24"/>
        </w:rPr>
      </w:pPr>
      <w:r w:rsidRPr="00B34767">
        <w:rPr>
          <w:rFonts w:ascii="Times New Roman" w:hAnsi="Times New Roman"/>
          <w:sz w:val="24"/>
          <w:szCs w:val="24"/>
        </w:rPr>
        <w:t xml:space="preserve">convicted </w:t>
      </w:r>
      <w:proofErr w:type="gramStart"/>
      <w:r w:rsidRPr="00B34767">
        <w:rPr>
          <w:rFonts w:ascii="Times New Roman" w:hAnsi="Times New Roman"/>
          <w:sz w:val="24"/>
          <w:szCs w:val="24"/>
        </w:rPr>
        <w:t>of, and</w:t>
      </w:r>
      <w:proofErr w:type="gramEnd"/>
      <w:r w:rsidRPr="00B34767">
        <w:rPr>
          <w:rFonts w:ascii="Times New Roman" w:hAnsi="Times New Roman"/>
          <w:sz w:val="24"/>
          <w:szCs w:val="24"/>
        </w:rPr>
        <w:t xml:space="preserve"> punished for two separate violations of a single statutory offense.</w:t>
      </w:r>
    </w:p>
    <w:p w14:paraId="491D4BAE" w14:textId="77777777" w:rsidR="00B34767" w:rsidRPr="00B34767" w:rsidRDefault="00B34767" w:rsidP="00B34767">
      <w:pPr>
        <w:pStyle w:val="NoSpacing"/>
        <w:rPr>
          <w:rFonts w:ascii="Times New Roman" w:hAnsi="Times New Roman"/>
          <w:sz w:val="24"/>
          <w:szCs w:val="24"/>
        </w:rPr>
      </w:pPr>
      <w:r w:rsidRPr="00B34767">
        <w:rPr>
          <w:rFonts w:ascii="Times New Roman" w:hAnsi="Times New Roman"/>
          <w:sz w:val="24"/>
          <w:szCs w:val="24"/>
        </w:rPr>
        <w:t xml:space="preserve">Therefore, the double jeopardy protections are not implicated here.” </w:t>
      </w:r>
      <w:hyperlink r:id="rId470" w:history="1">
        <w:r w:rsidRPr="00B34767">
          <w:rPr>
            <w:rStyle w:val="Hyperlink"/>
            <w:rFonts w:ascii="Times New Roman" w:hAnsi="Times New Roman"/>
            <w:sz w:val="24"/>
            <w:szCs w:val="24"/>
          </w:rPr>
          <w:t>https://cases.justia.com/texas/eleventh-court-of-appeals/2024-11-22-00155-cr.pdf?ts=1726749633</w:t>
        </w:r>
      </w:hyperlink>
      <w:r w:rsidRPr="00B34767">
        <w:rPr>
          <w:rFonts w:ascii="Times New Roman" w:hAnsi="Times New Roman"/>
          <w:sz w:val="24"/>
          <w:szCs w:val="24"/>
        </w:rPr>
        <w:t xml:space="preserve"> </w:t>
      </w:r>
    </w:p>
    <w:p w14:paraId="03ED4049" w14:textId="77777777" w:rsidR="00B34767" w:rsidRPr="00B34767" w:rsidRDefault="00B34767" w:rsidP="00B34767">
      <w:pPr>
        <w:pStyle w:val="NoSpacing"/>
        <w:rPr>
          <w:rFonts w:ascii="Times New Roman" w:hAnsi="Times New Roman"/>
          <w:sz w:val="24"/>
          <w:szCs w:val="24"/>
        </w:rPr>
      </w:pPr>
    </w:p>
    <w:p w14:paraId="3FC7DD7A" w14:textId="77777777" w:rsidR="00B34767" w:rsidRPr="00B34767" w:rsidRDefault="00B34767" w:rsidP="00B34767">
      <w:pPr>
        <w:pStyle w:val="NoSpacing"/>
        <w:rPr>
          <w:rFonts w:ascii="Times New Roman" w:hAnsi="Times New Roman"/>
          <w:sz w:val="24"/>
          <w:szCs w:val="24"/>
        </w:rPr>
      </w:pPr>
      <w:r w:rsidRPr="00B34767">
        <w:rPr>
          <w:rFonts w:ascii="Times New Roman" w:hAnsi="Times New Roman"/>
          <w:sz w:val="24"/>
          <w:szCs w:val="24"/>
        </w:rPr>
        <w:t>THE COURT HELD:</w:t>
      </w:r>
    </w:p>
    <w:p w14:paraId="71886A8F" w14:textId="77777777" w:rsidR="00B34767" w:rsidRPr="00B34767" w:rsidRDefault="00B34767" w:rsidP="00B34767">
      <w:pPr>
        <w:pStyle w:val="NoSpacing"/>
        <w:rPr>
          <w:rFonts w:ascii="Times New Roman" w:hAnsi="Times New Roman"/>
          <w:sz w:val="24"/>
          <w:szCs w:val="24"/>
        </w:rPr>
      </w:pPr>
    </w:p>
    <w:p w14:paraId="196CD69B"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“The testimony shows there was a separation—though short—between the first</w:t>
      </w:r>
    </w:p>
    <w:p w14:paraId="7F71A616"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time Appellant threatened Meeks with a gun, and the second time Appellant</w:t>
      </w:r>
    </w:p>
    <w:p w14:paraId="45FD9985"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threatened Meeks with a knife. Meeks described the time in which she was not in</w:t>
      </w:r>
    </w:p>
    <w:p w14:paraId="2CF76327"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the ambulance and was not in a direct struggle with Appellant. Meeks additionally</w:t>
      </w:r>
    </w:p>
    <w:p w14:paraId="29A38EDC"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was able to radio for help two times, once at the end of the first threat, and again</w:t>
      </w:r>
    </w:p>
    <w:p w14:paraId="02AC508A"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right before the second threat. Double jeopardy defines the “same offense” as</w:t>
      </w:r>
    </w:p>
    <w:p w14:paraId="279A5D9B"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 xml:space="preserve">identical criminal acts—not merely the same offense by name. See Ex </w:t>
      </w:r>
      <w:proofErr w:type="spellStart"/>
      <w:r w:rsidRPr="00B34767">
        <w:rPr>
          <w:rFonts w:ascii="Times New Roman" w:hAnsi="Times New Roman"/>
          <w:sz w:val="24"/>
          <w:szCs w:val="24"/>
        </w:rPr>
        <w:t>parte</w:t>
      </w:r>
      <w:proofErr w:type="spellEnd"/>
    </w:p>
    <w:p w14:paraId="6805C1E0"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Goodbread, 967 S.W.2d 859, 860 (Tex. Crim. App. 1998) (citing Luna v. State, 439</w:t>
      </w:r>
    </w:p>
    <w:p w14:paraId="3FEB928E" w14:textId="77777777" w:rsidR="00B34767" w:rsidRPr="00B34767" w:rsidRDefault="00B34767" w:rsidP="00B34767">
      <w:pPr>
        <w:pStyle w:val="NoSpacing"/>
        <w:ind w:firstLine="720"/>
        <w:rPr>
          <w:rFonts w:ascii="Times New Roman" w:hAnsi="Times New Roman"/>
          <w:sz w:val="24"/>
          <w:szCs w:val="24"/>
        </w:rPr>
      </w:pPr>
      <w:r w:rsidRPr="00B34767">
        <w:rPr>
          <w:rFonts w:ascii="Times New Roman" w:hAnsi="Times New Roman"/>
          <w:sz w:val="24"/>
          <w:szCs w:val="24"/>
        </w:rPr>
        <w:t>S.W.2d 854, 855 (Tex. Crim. App. 1973)).”</w:t>
      </w:r>
    </w:p>
    <w:p w14:paraId="4B6225CE" w14:textId="77777777" w:rsidR="00B34767" w:rsidRPr="00B34767" w:rsidRDefault="00B34767" w:rsidP="00B34767">
      <w:pPr>
        <w:pStyle w:val="NoSpacing"/>
        <w:ind w:firstLine="720"/>
        <w:rPr>
          <w:rFonts w:ascii="Times New Roman" w:hAnsi="Times New Roman"/>
          <w:sz w:val="24"/>
          <w:szCs w:val="24"/>
        </w:rPr>
      </w:pPr>
    </w:p>
    <w:p w14:paraId="5419B923" w14:textId="77777777" w:rsidR="00B34767" w:rsidRPr="00B34767" w:rsidRDefault="00B34767" w:rsidP="00B34767">
      <w:pPr>
        <w:pStyle w:val="NoSpacing"/>
        <w:ind w:left="720"/>
        <w:rPr>
          <w:rFonts w:ascii="Times New Roman" w:hAnsi="Times New Roman"/>
          <w:sz w:val="24"/>
          <w:szCs w:val="24"/>
        </w:rPr>
      </w:pPr>
    </w:p>
    <w:p w14:paraId="79E0593E" w14:textId="29179A1D" w:rsidR="00B34767" w:rsidRPr="00B34767" w:rsidRDefault="00B34767" w:rsidP="00B34767">
      <w:pPr>
        <w:pStyle w:val="NoSpacing"/>
        <w:rPr>
          <w:rFonts w:ascii="Times New Roman" w:hAnsi="Times New Roman"/>
          <w:b/>
          <w:bCs/>
          <w:sz w:val="24"/>
          <w:szCs w:val="24"/>
        </w:rPr>
      </w:pPr>
      <w:r w:rsidRPr="00B34767">
        <w:rPr>
          <w:rFonts w:ascii="Times New Roman" w:hAnsi="Times New Roman"/>
          <w:b/>
          <w:bCs/>
          <w:sz w:val="24"/>
          <w:szCs w:val="24"/>
        </w:rPr>
        <w:t xml:space="preserve">Legal Lesson Learned: No double jeopardy for two offenses against </w:t>
      </w:r>
      <w:r w:rsidR="00B276FE">
        <w:rPr>
          <w:rFonts w:ascii="Times New Roman" w:hAnsi="Times New Roman"/>
          <w:b/>
          <w:bCs/>
          <w:sz w:val="24"/>
          <w:szCs w:val="24"/>
        </w:rPr>
        <w:t xml:space="preserve">the </w:t>
      </w:r>
      <w:r w:rsidRPr="00B34767">
        <w:rPr>
          <w:rFonts w:ascii="Times New Roman" w:hAnsi="Times New Roman"/>
          <w:b/>
          <w:bCs/>
          <w:sz w:val="24"/>
          <w:szCs w:val="24"/>
        </w:rPr>
        <w:t>same victim.  EMS should check patient clothing for weapons prior to transport.</w:t>
      </w:r>
    </w:p>
    <w:p w14:paraId="2ECC9516" w14:textId="77777777" w:rsidR="00B34767" w:rsidRDefault="00B34767" w:rsidP="00B34767">
      <w:pPr>
        <w:pStyle w:val="NoSpacing"/>
      </w:pPr>
    </w:p>
    <w:p w14:paraId="798046AE" w14:textId="77777777" w:rsidR="00B34767" w:rsidRDefault="00B34767" w:rsidP="00B34767">
      <w:pPr>
        <w:pStyle w:val="NoSpacing"/>
      </w:pPr>
    </w:p>
    <w:p w14:paraId="6B36D020" w14:textId="77777777" w:rsidR="00B34767" w:rsidRDefault="00B34767" w:rsidP="00286F24">
      <w:pPr>
        <w:rPr>
          <w:rFonts w:ascii="Arial Black" w:hAnsi="Arial Black"/>
          <w:sz w:val="24"/>
          <w:szCs w:val="24"/>
        </w:rPr>
      </w:pPr>
    </w:p>
    <w:p w14:paraId="0F548D5F" w14:textId="77777777" w:rsidR="003C080C" w:rsidRDefault="003C080C" w:rsidP="00286F24">
      <w:pPr>
        <w:rPr>
          <w:rFonts w:ascii="Arial Black" w:hAnsi="Arial Black"/>
          <w:sz w:val="24"/>
          <w:szCs w:val="24"/>
        </w:rPr>
      </w:pPr>
    </w:p>
    <w:p w14:paraId="7AEAC9BB" w14:textId="2E2CB599" w:rsidR="005C3A2A" w:rsidRDefault="00E03026" w:rsidP="00286F24">
      <w:pPr>
        <w:rPr>
          <w:rFonts w:ascii="Arial Black" w:hAnsi="Arial Black"/>
          <w:sz w:val="24"/>
          <w:szCs w:val="24"/>
        </w:rPr>
      </w:pPr>
      <w:r>
        <w:rPr>
          <w:rFonts w:ascii="Arial Black" w:hAnsi="Arial Black"/>
          <w:sz w:val="24"/>
          <w:szCs w:val="24"/>
        </w:rPr>
        <w:t>2-7</w:t>
      </w:r>
      <w:r w:rsidR="00891E1D">
        <w:rPr>
          <w:rFonts w:ascii="Arial Black" w:hAnsi="Arial Black"/>
          <w:sz w:val="24"/>
          <w:szCs w:val="24"/>
        </w:rPr>
        <w:t>2</w:t>
      </w:r>
    </w:p>
    <w:p w14:paraId="630C1EA6" w14:textId="1A838424" w:rsidR="00671D64" w:rsidRDefault="00671D64" w:rsidP="00671D64">
      <w:pPr>
        <w:rPr>
          <w:rFonts w:ascii="Arial Black" w:hAnsi="Arial Black"/>
          <w:b/>
          <w:bCs/>
          <w:sz w:val="28"/>
        </w:rPr>
      </w:pPr>
      <w:r>
        <w:rPr>
          <w:rFonts w:ascii="Arial Black" w:hAnsi="Arial Black"/>
          <w:b/>
          <w:bCs/>
          <w:sz w:val="28"/>
        </w:rPr>
        <w:t xml:space="preserve">MI: FF KILLED RESTAURANT FIRE – SEARCH WARRANT OWNER’S PROPERTIES, NOT CHARGED – </w:t>
      </w:r>
      <w:r w:rsidR="00D50A15">
        <w:rPr>
          <w:rFonts w:ascii="Arial Black" w:hAnsi="Arial Black"/>
          <w:b/>
          <w:bCs/>
          <w:sz w:val="28"/>
        </w:rPr>
        <w:t>INVESTIGATOR</w:t>
      </w:r>
      <w:r>
        <w:rPr>
          <w:rFonts w:ascii="Arial Black" w:hAnsi="Arial Black"/>
          <w:b/>
          <w:bCs/>
          <w:sz w:val="28"/>
        </w:rPr>
        <w:t xml:space="preserve"> IMMUNITY</w:t>
      </w:r>
    </w:p>
    <w:p w14:paraId="6300B98B" w14:textId="77777777" w:rsidR="00671D64" w:rsidRPr="00671D64" w:rsidRDefault="00671D64" w:rsidP="00671D64">
      <w:pPr>
        <w:rPr>
          <w:rFonts w:ascii="Times New Roman" w:hAnsi="Times New Roman"/>
          <w:sz w:val="24"/>
          <w:szCs w:val="24"/>
        </w:rPr>
      </w:pPr>
      <w:r w:rsidRPr="00671D64">
        <w:rPr>
          <w:rFonts w:ascii="Times New Roman" w:hAnsi="Times New Roman"/>
          <w:sz w:val="24"/>
          <w:szCs w:val="24"/>
        </w:rPr>
        <w:t xml:space="preserve">On Aug. 23, 2024, in </w:t>
      </w:r>
      <w:r w:rsidRPr="00671D64">
        <w:rPr>
          <w:rFonts w:ascii="Times New Roman" w:hAnsi="Times New Roman"/>
          <w:sz w:val="24"/>
          <w:szCs w:val="24"/>
          <w:u w:val="single"/>
        </w:rPr>
        <w:t>George Marvaso, et al. v. Richard Sanchez</w:t>
      </w:r>
      <w:r w:rsidRPr="00671D64">
        <w:rPr>
          <w:rFonts w:ascii="Times New Roman" w:hAnsi="Times New Roman"/>
          <w:sz w:val="24"/>
          <w:szCs w:val="24"/>
        </w:rPr>
        <w:t>, the U.S. Court of Appeals for 6</w:t>
      </w:r>
      <w:r w:rsidRPr="00671D64">
        <w:rPr>
          <w:rFonts w:ascii="Times New Roman" w:hAnsi="Times New Roman"/>
          <w:sz w:val="24"/>
          <w:szCs w:val="24"/>
          <w:vertAlign w:val="superscript"/>
        </w:rPr>
        <w:t>th</w:t>
      </w:r>
      <w:r w:rsidRPr="00671D64">
        <w:rPr>
          <w:rFonts w:ascii="Times New Roman" w:hAnsi="Times New Roman"/>
          <w:sz w:val="24"/>
          <w:szCs w:val="24"/>
        </w:rPr>
        <w:t xml:space="preserve"> Circuit (Cincinnati) held (3 to 0; unpublished opinion) that Michigan State Patrol lieutenant Richard Sanchez was properly dismissed from lawsuit.  Firefighter Brian Woehlke died </w:t>
      </w:r>
      <w:proofErr w:type="gramStart"/>
      <w:r w:rsidRPr="00671D64">
        <w:rPr>
          <w:rFonts w:ascii="Times New Roman" w:hAnsi="Times New Roman"/>
          <w:sz w:val="24"/>
          <w:szCs w:val="24"/>
        </w:rPr>
        <w:t>in</w:t>
      </w:r>
      <w:proofErr w:type="gramEnd"/>
      <w:r w:rsidRPr="00671D64">
        <w:rPr>
          <w:rFonts w:ascii="Times New Roman" w:hAnsi="Times New Roman"/>
          <w:sz w:val="24"/>
          <w:szCs w:val="24"/>
        </w:rPr>
        <w:t xml:space="preserve"> May 8, </w:t>
      </w:r>
      <w:proofErr w:type="gramStart"/>
      <w:r w:rsidRPr="00671D64">
        <w:rPr>
          <w:rFonts w:ascii="Times New Roman" w:hAnsi="Times New Roman"/>
          <w:sz w:val="24"/>
          <w:szCs w:val="24"/>
        </w:rPr>
        <w:t>2013</w:t>
      </w:r>
      <w:proofErr w:type="gramEnd"/>
      <w:r w:rsidRPr="00671D64">
        <w:rPr>
          <w:rFonts w:ascii="Times New Roman" w:hAnsi="Times New Roman"/>
          <w:sz w:val="24"/>
          <w:szCs w:val="24"/>
        </w:rPr>
        <w:t xml:space="preserve"> fire at Marvaso’s Italian Grille in Westland, Michigan. The Court wrote: “According to Plaintiffs, Sanchez knowingly omitted key information and knowingly included false information in drafting the affidavits, which resulted in the execution of illegal search warrants that violated their Fourth Amendment rights. To support their argument, Plaintiffs list </w:t>
      </w:r>
      <w:r w:rsidRPr="00671D64">
        <w:rPr>
          <w:rFonts w:ascii="Times New Roman" w:hAnsi="Times New Roman"/>
          <w:sz w:val="24"/>
          <w:szCs w:val="24"/>
        </w:rPr>
        <w:lastRenderedPageBreak/>
        <w:t xml:space="preserve">various factual omissions that they claim would have affected the magistrate judge’s ultimate probable cause determination. However, with or without </w:t>
      </w:r>
      <w:proofErr w:type="gramStart"/>
      <w:r w:rsidRPr="00671D64">
        <w:rPr>
          <w:rFonts w:ascii="Times New Roman" w:hAnsi="Times New Roman"/>
          <w:sz w:val="24"/>
          <w:szCs w:val="24"/>
        </w:rPr>
        <w:t>the consideration</w:t>
      </w:r>
      <w:proofErr w:type="gramEnd"/>
      <w:r w:rsidRPr="00671D64">
        <w:rPr>
          <w:rFonts w:ascii="Times New Roman" w:hAnsi="Times New Roman"/>
          <w:sz w:val="24"/>
          <w:szCs w:val="24"/>
        </w:rPr>
        <w:t xml:space="preserve"> of the additional facts that Plaintiffs proffer, there would have been probable cause to search their homes. Because no Fourth Amendment violation occurred, we agree with the district court’s determination that Sanchez is entitled to qualified immunity.” </w:t>
      </w:r>
      <w:hyperlink r:id="rId471" w:history="1">
        <w:r w:rsidRPr="00671D64">
          <w:rPr>
            <w:rStyle w:val="Hyperlink"/>
            <w:rFonts w:ascii="Times New Roman" w:hAnsi="Times New Roman"/>
            <w:sz w:val="24"/>
            <w:szCs w:val="24"/>
          </w:rPr>
          <w:t>https://www.opn.ca6.uscourts.gov/opinions.pdf/24a0367n-06.pdf</w:t>
        </w:r>
      </w:hyperlink>
      <w:r w:rsidRPr="00671D64">
        <w:rPr>
          <w:rFonts w:ascii="Times New Roman" w:hAnsi="Times New Roman"/>
          <w:sz w:val="24"/>
          <w:szCs w:val="24"/>
        </w:rPr>
        <w:t xml:space="preserve"> </w:t>
      </w:r>
    </w:p>
    <w:p w14:paraId="2DDAF146" w14:textId="77777777" w:rsidR="00671D64" w:rsidRPr="00671D64" w:rsidRDefault="00671D64" w:rsidP="00671D64">
      <w:pPr>
        <w:rPr>
          <w:rFonts w:ascii="Times New Roman" w:hAnsi="Times New Roman"/>
          <w:sz w:val="24"/>
          <w:szCs w:val="24"/>
        </w:rPr>
      </w:pPr>
      <w:r w:rsidRPr="00671D64">
        <w:rPr>
          <w:rFonts w:ascii="Times New Roman" w:hAnsi="Times New Roman"/>
          <w:sz w:val="24"/>
          <w:szCs w:val="24"/>
        </w:rPr>
        <w:t xml:space="preserve">[Note: State OSHA fined the FD $3,500; FF entered; evacuation ordered but only 2 came out. </w:t>
      </w:r>
      <w:hyperlink r:id="rId472" w:history="1">
        <w:r w:rsidRPr="00671D64">
          <w:rPr>
            <w:rStyle w:val="Hyperlink"/>
            <w:rFonts w:ascii="Times New Roman" w:hAnsi="Times New Roman"/>
            <w:sz w:val="24"/>
            <w:szCs w:val="24"/>
          </w:rPr>
          <w:t>https://www.osha.gov/ords/imis/establishment.inspection_detail?id=315378885</w:t>
        </w:r>
      </w:hyperlink>
      <w:r w:rsidRPr="00671D64">
        <w:rPr>
          <w:rFonts w:ascii="Times New Roman" w:hAnsi="Times New Roman"/>
          <w:sz w:val="24"/>
          <w:szCs w:val="24"/>
        </w:rPr>
        <w:t>.]</w:t>
      </w:r>
    </w:p>
    <w:p w14:paraId="4366D3DC" w14:textId="77777777" w:rsidR="00671D64" w:rsidRPr="00671D64" w:rsidRDefault="00671D64" w:rsidP="00671D64">
      <w:pPr>
        <w:pStyle w:val="NoSpacing"/>
        <w:rPr>
          <w:rFonts w:ascii="Times New Roman" w:hAnsi="Times New Roman"/>
          <w:sz w:val="24"/>
          <w:szCs w:val="24"/>
        </w:rPr>
      </w:pPr>
      <w:r w:rsidRPr="00671D64">
        <w:rPr>
          <w:rFonts w:ascii="Times New Roman" w:hAnsi="Times New Roman"/>
          <w:sz w:val="24"/>
          <w:szCs w:val="24"/>
        </w:rPr>
        <w:t xml:space="preserve"> </w:t>
      </w:r>
    </w:p>
    <w:p w14:paraId="5ADA790F" w14:textId="77777777" w:rsidR="00671D64" w:rsidRPr="00671D64" w:rsidRDefault="00671D64" w:rsidP="00671D64">
      <w:pPr>
        <w:pStyle w:val="NoSpacing"/>
        <w:rPr>
          <w:rFonts w:ascii="Times New Roman" w:hAnsi="Times New Roman"/>
          <w:sz w:val="24"/>
          <w:szCs w:val="24"/>
        </w:rPr>
      </w:pPr>
      <w:r w:rsidRPr="00671D64">
        <w:rPr>
          <w:rFonts w:ascii="Times New Roman" w:hAnsi="Times New Roman"/>
          <w:sz w:val="24"/>
          <w:szCs w:val="24"/>
        </w:rPr>
        <w:t>THE COURT HELD:</w:t>
      </w:r>
    </w:p>
    <w:p w14:paraId="0A6321FF" w14:textId="77777777" w:rsidR="00671D64" w:rsidRPr="00671D64" w:rsidRDefault="00671D64" w:rsidP="00671D64">
      <w:pPr>
        <w:pStyle w:val="NoSpacing"/>
        <w:rPr>
          <w:rFonts w:ascii="Times New Roman" w:hAnsi="Times New Roman"/>
          <w:sz w:val="24"/>
          <w:szCs w:val="24"/>
        </w:rPr>
      </w:pPr>
    </w:p>
    <w:p w14:paraId="181BFC8B" w14:textId="77777777" w:rsidR="00671D64" w:rsidRPr="00671D64" w:rsidRDefault="00671D64" w:rsidP="00671D64">
      <w:pPr>
        <w:pStyle w:val="NoSpacing"/>
        <w:ind w:left="720"/>
        <w:rPr>
          <w:rFonts w:ascii="Times New Roman" w:hAnsi="Times New Roman"/>
          <w:sz w:val="24"/>
          <w:szCs w:val="24"/>
        </w:rPr>
      </w:pPr>
      <w:r w:rsidRPr="00671D64">
        <w:rPr>
          <w:rFonts w:ascii="Times New Roman" w:hAnsi="Times New Roman"/>
          <w:sz w:val="24"/>
          <w:szCs w:val="24"/>
        </w:rPr>
        <w:t xml:space="preserve">“First, and perhaps most importantly, Plaintiffs argue that Sanchez withheld the </w:t>
      </w:r>
    </w:p>
    <w:p w14:paraId="04B43039" w14:textId="77777777" w:rsidR="00671D64" w:rsidRPr="00671D64" w:rsidRDefault="00671D64" w:rsidP="00671D64">
      <w:pPr>
        <w:pStyle w:val="NoSpacing"/>
        <w:ind w:left="720"/>
        <w:rPr>
          <w:rFonts w:ascii="Times New Roman" w:hAnsi="Times New Roman"/>
          <w:sz w:val="24"/>
          <w:szCs w:val="24"/>
        </w:rPr>
      </w:pPr>
      <w:r w:rsidRPr="00671D64">
        <w:rPr>
          <w:rFonts w:ascii="Times New Roman" w:hAnsi="Times New Roman"/>
          <w:sz w:val="24"/>
          <w:szCs w:val="24"/>
        </w:rPr>
        <w:t>reports of two other fire investigators that concluded that the fire classification was ‘undetermined,’ not ‘incendiary.’  Yet, in writing his search warrant affidavits, Sanchez solely mentioned the most recent fire investigation report, which concluded that the fire was incendiary. Although Sanchez certainly should have provided the magistrate judge with the full picture of the various investigations that had occurred, a status of ‘undetermined’ does not rule out arson. In other words, two reports that failed to arrive at any conclusion at all do not negate or contradict the third report that concluded the fire was likely incendiary. And, without any reports directly contradicting the report that concluded foul play caused the fire, this third report serves as essential evidence to the determination of probable cause, even considering the other two reports. Further, even if the magistrate had the two ‘undetermined’ reports, there was still likely enough evidence in the affidavit to clear the low bar of probable cause. Cf. Gerstein v. Pugh, 420 U.S. 103, 121(1975) (holding that the probable cause determination ‘does not require the fine resolution of conflicting evidence that a reasonable-doubt or even a preponderance standard demands’). Therefore, this omitted fact does not defeat the probable cause determination.”</w:t>
      </w:r>
    </w:p>
    <w:p w14:paraId="0FAAB860" w14:textId="77777777" w:rsidR="00671D64" w:rsidRPr="00671D64" w:rsidRDefault="00671D64" w:rsidP="00671D64">
      <w:pPr>
        <w:pStyle w:val="NoSpacing"/>
        <w:rPr>
          <w:rFonts w:ascii="Times New Roman" w:hAnsi="Times New Roman"/>
          <w:sz w:val="24"/>
          <w:szCs w:val="24"/>
        </w:rPr>
      </w:pPr>
    </w:p>
    <w:p w14:paraId="2C273E6A" w14:textId="77777777" w:rsidR="00671D64" w:rsidRDefault="00671D64" w:rsidP="00671D64">
      <w:pPr>
        <w:pStyle w:val="NoSpacing"/>
        <w:rPr>
          <w:rFonts w:ascii="Times New Roman" w:hAnsi="Times New Roman"/>
          <w:b/>
          <w:bCs/>
          <w:sz w:val="24"/>
          <w:szCs w:val="24"/>
        </w:rPr>
      </w:pPr>
      <w:r w:rsidRPr="00671D64">
        <w:rPr>
          <w:rFonts w:ascii="Times New Roman" w:hAnsi="Times New Roman"/>
          <w:b/>
          <w:bCs/>
          <w:sz w:val="24"/>
          <w:szCs w:val="24"/>
        </w:rPr>
        <w:t xml:space="preserve">Legal Lesson Learned: Arson investigators enjoy qualified immunity if search warrant was sufficient to show probable cause, even if some exculpatory information was not included. </w:t>
      </w:r>
    </w:p>
    <w:p w14:paraId="72819135" w14:textId="77777777" w:rsidR="008A1352" w:rsidRDefault="008A1352" w:rsidP="00671D64">
      <w:pPr>
        <w:pStyle w:val="NoSpacing"/>
        <w:rPr>
          <w:rFonts w:ascii="Times New Roman" w:hAnsi="Times New Roman"/>
          <w:b/>
          <w:bCs/>
          <w:sz w:val="24"/>
          <w:szCs w:val="24"/>
        </w:rPr>
      </w:pPr>
    </w:p>
    <w:p w14:paraId="44FCEAF4" w14:textId="77777777" w:rsidR="008A1352" w:rsidRPr="008A1352" w:rsidRDefault="008A1352" w:rsidP="008A1352">
      <w:pPr>
        <w:ind w:left="720"/>
        <w:rPr>
          <w:rFonts w:ascii="Times New Roman" w:hAnsi="Times New Roman"/>
          <w:sz w:val="24"/>
          <w:szCs w:val="24"/>
        </w:rPr>
      </w:pPr>
      <w:r w:rsidRPr="008A1352">
        <w:rPr>
          <w:rFonts w:ascii="Times New Roman" w:hAnsi="Times New Roman"/>
          <w:sz w:val="24"/>
          <w:szCs w:val="24"/>
        </w:rPr>
        <w:t xml:space="preserve">Note: </w:t>
      </w:r>
    </w:p>
    <w:p w14:paraId="35CE6BA8" w14:textId="77777777" w:rsidR="008A1352" w:rsidRPr="008A1352" w:rsidRDefault="008A1352" w:rsidP="008A1352">
      <w:pPr>
        <w:pStyle w:val="ListParagraph"/>
        <w:numPr>
          <w:ilvl w:val="0"/>
          <w:numId w:val="22"/>
        </w:numPr>
        <w:rPr>
          <w:rFonts w:ascii="Times New Roman" w:hAnsi="Times New Roman" w:cs="Times New Roman"/>
          <w:sz w:val="24"/>
          <w:szCs w:val="24"/>
        </w:rPr>
      </w:pPr>
      <w:r w:rsidRPr="008A1352">
        <w:rPr>
          <w:rFonts w:ascii="Times New Roman" w:hAnsi="Times New Roman" w:cs="Times New Roman"/>
          <w:sz w:val="24"/>
          <w:szCs w:val="24"/>
        </w:rPr>
        <w:t xml:space="preserve">See May 30, </w:t>
      </w:r>
      <w:proofErr w:type="gramStart"/>
      <w:r w:rsidRPr="008A1352">
        <w:rPr>
          <w:rFonts w:ascii="Times New Roman" w:hAnsi="Times New Roman" w:cs="Times New Roman"/>
          <w:sz w:val="24"/>
          <w:szCs w:val="24"/>
        </w:rPr>
        <w:t>2023</w:t>
      </w:r>
      <w:proofErr w:type="gramEnd"/>
      <w:r w:rsidRPr="008A1352">
        <w:rPr>
          <w:rFonts w:ascii="Times New Roman" w:hAnsi="Times New Roman" w:cs="Times New Roman"/>
          <w:sz w:val="24"/>
          <w:szCs w:val="24"/>
        </w:rPr>
        <w:t xml:space="preserve"> article - Westland firefighters remember Brian Woehlke's 'biggest smile' a decade after his death. </w:t>
      </w:r>
      <w:hyperlink r:id="rId473" w:history="1">
        <w:r w:rsidRPr="008A1352">
          <w:rPr>
            <w:rStyle w:val="Hyperlink"/>
            <w:rFonts w:ascii="Times New Roman" w:hAnsi="Times New Roman" w:cs="Times New Roman"/>
            <w:sz w:val="24"/>
            <w:szCs w:val="24"/>
          </w:rPr>
          <w:t>https://www.hometownlife.com/story/news/2023/05/27/westland-firefighters-brian-woehlke-arson-homicide-investigation/70244259007/</w:t>
        </w:r>
      </w:hyperlink>
      <w:r w:rsidRPr="008A1352">
        <w:rPr>
          <w:rFonts w:ascii="Times New Roman" w:hAnsi="Times New Roman" w:cs="Times New Roman"/>
          <w:sz w:val="24"/>
          <w:szCs w:val="24"/>
        </w:rPr>
        <w:t xml:space="preserve">   “Michigan State Police Lt. Mike Shaw said the case is still open and the agency is still actively seeking information. A National Institute of Occupational Safety and Health </w:t>
      </w:r>
      <w:hyperlink r:id="rId474" w:history="1">
        <w:r w:rsidRPr="008A1352">
          <w:rPr>
            <w:rStyle w:val="Hyperlink"/>
            <w:rFonts w:ascii="Times New Roman" w:hAnsi="Times New Roman" w:cs="Times New Roman"/>
            <w:sz w:val="24"/>
            <w:szCs w:val="24"/>
          </w:rPr>
          <w:t>report from 2016 concluded</w:t>
        </w:r>
      </w:hyperlink>
      <w:r w:rsidRPr="008A1352">
        <w:rPr>
          <w:rFonts w:ascii="Times New Roman" w:hAnsi="Times New Roman" w:cs="Times New Roman"/>
          <w:sz w:val="24"/>
          <w:szCs w:val="24"/>
        </w:rPr>
        <w:t xml:space="preserve"> staffing issues and below-industry standard equipment could have played roles in Woehlke's death.”</w:t>
      </w:r>
    </w:p>
    <w:p w14:paraId="4B04DDC7" w14:textId="77777777" w:rsidR="008A1352" w:rsidRPr="008A1352" w:rsidRDefault="008A1352" w:rsidP="008A1352">
      <w:pPr>
        <w:ind w:left="720"/>
        <w:rPr>
          <w:rFonts w:ascii="Times New Roman" w:hAnsi="Times New Roman"/>
          <w:sz w:val="24"/>
          <w:szCs w:val="24"/>
        </w:rPr>
      </w:pPr>
    </w:p>
    <w:p w14:paraId="14BCFBA7" w14:textId="77777777" w:rsidR="008A1352" w:rsidRPr="008A1352" w:rsidRDefault="008A1352" w:rsidP="008A1352">
      <w:pPr>
        <w:pStyle w:val="ListParagraph"/>
        <w:numPr>
          <w:ilvl w:val="0"/>
          <w:numId w:val="22"/>
        </w:numPr>
        <w:rPr>
          <w:rFonts w:ascii="Times New Roman" w:hAnsi="Times New Roman" w:cs="Times New Roman"/>
          <w:sz w:val="24"/>
          <w:szCs w:val="24"/>
        </w:rPr>
      </w:pPr>
      <w:r w:rsidRPr="008A1352">
        <w:rPr>
          <w:rFonts w:ascii="Times New Roman" w:hAnsi="Times New Roman" w:cs="Times New Roman"/>
          <w:sz w:val="24"/>
          <w:szCs w:val="24"/>
        </w:rPr>
        <w:t xml:space="preserve">April 15, </w:t>
      </w:r>
      <w:proofErr w:type="gramStart"/>
      <w:r w:rsidRPr="008A1352">
        <w:rPr>
          <w:rFonts w:ascii="Times New Roman" w:hAnsi="Times New Roman" w:cs="Times New Roman"/>
          <w:sz w:val="24"/>
          <w:szCs w:val="24"/>
        </w:rPr>
        <w:t>2016</w:t>
      </w:r>
      <w:proofErr w:type="gramEnd"/>
      <w:r w:rsidRPr="008A1352">
        <w:rPr>
          <w:rFonts w:ascii="Times New Roman" w:hAnsi="Times New Roman" w:cs="Times New Roman"/>
          <w:sz w:val="24"/>
          <w:szCs w:val="24"/>
        </w:rPr>
        <w:t xml:space="preserve"> article – “Federal agency releases report on fatal Westland fire.” </w:t>
      </w:r>
      <w:hyperlink r:id="rId475" w:history="1">
        <w:r w:rsidRPr="008A1352">
          <w:rPr>
            <w:rStyle w:val="Hyperlink"/>
            <w:rFonts w:ascii="Times New Roman" w:hAnsi="Times New Roman" w:cs="Times New Roman"/>
            <w:sz w:val="24"/>
            <w:szCs w:val="24"/>
          </w:rPr>
          <w:t>https://www.hometownlife.com/story/news/local/westland/2016/04/15/report-released-westland-firefighter-death/83087498/</w:t>
        </w:r>
      </w:hyperlink>
      <w:r w:rsidRPr="008A1352">
        <w:rPr>
          <w:rFonts w:ascii="Times New Roman" w:hAnsi="Times New Roman" w:cs="Times New Roman"/>
          <w:sz w:val="24"/>
          <w:szCs w:val="24"/>
        </w:rPr>
        <w:t xml:space="preserve">  “On Friday, the National Institute of Occupational Safety and Health, a division of the Centers for Disease Control, officially issued its 113-page report investigating the death of Brian Woehlke, who died in the line of duty May 8, 2013. The report provides a detailed account of what happened during the fatal fire, which has been ruled a case of arson and homicide. *** The hose team decided to exit the structure. As they were leaving, Woehlke became separated from the other two crew members. The incident commander saw the two members of the hose team and called over the radio for Woehlke, who responded, giving his location as being at the rear of the building.”</w:t>
      </w:r>
    </w:p>
    <w:p w14:paraId="310EFFC6" w14:textId="77777777" w:rsidR="008A1352" w:rsidRPr="008A1352" w:rsidRDefault="008A1352" w:rsidP="008A1352">
      <w:pPr>
        <w:ind w:left="720"/>
        <w:rPr>
          <w:rFonts w:ascii="Times New Roman" w:hAnsi="Times New Roman"/>
          <w:sz w:val="24"/>
          <w:szCs w:val="24"/>
        </w:rPr>
      </w:pPr>
    </w:p>
    <w:p w14:paraId="27771B0F" w14:textId="77777777" w:rsidR="008A1352" w:rsidRPr="008A1352" w:rsidRDefault="008A1352" w:rsidP="008A1352">
      <w:pPr>
        <w:pStyle w:val="ListParagraph"/>
        <w:numPr>
          <w:ilvl w:val="0"/>
          <w:numId w:val="22"/>
        </w:numPr>
        <w:rPr>
          <w:rFonts w:ascii="Times New Roman" w:hAnsi="Times New Roman" w:cs="Times New Roman"/>
          <w:sz w:val="24"/>
          <w:szCs w:val="24"/>
        </w:rPr>
      </w:pPr>
      <w:r w:rsidRPr="008A1352">
        <w:rPr>
          <w:rFonts w:ascii="Times New Roman" w:hAnsi="Times New Roman" w:cs="Times New Roman"/>
          <w:sz w:val="24"/>
          <w:szCs w:val="24"/>
        </w:rPr>
        <w:t xml:space="preserve">Read NIOSH April 15, </w:t>
      </w:r>
      <w:proofErr w:type="gramStart"/>
      <w:r w:rsidRPr="008A1352">
        <w:rPr>
          <w:rFonts w:ascii="Times New Roman" w:hAnsi="Times New Roman" w:cs="Times New Roman"/>
          <w:sz w:val="24"/>
          <w:szCs w:val="24"/>
        </w:rPr>
        <w:t>2016</w:t>
      </w:r>
      <w:proofErr w:type="gramEnd"/>
      <w:r w:rsidRPr="008A1352">
        <w:rPr>
          <w:rFonts w:ascii="Times New Roman" w:hAnsi="Times New Roman" w:cs="Times New Roman"/>
          <w:sz w:val="24"/>
          <w:szCs w:val="24"/>
        </w:rPr>
        <w:t xml:space="preserve"> report: </w:t>
      </w:r>
      <w:hyperlink r:id="rId476" w:history="1">
        <w:r w:rsidRPr="008A1352">
          <w:rPr>
            <w:rStyle w:val="Hyperlink"/>
            <w:rFonts w:ascii="Times New Roman" w:hAnsi="Times New Roman" w:cs="Times New Roman"/>
            <w:sz w:val="24"/>
            <w:szCs w:val="24"/>
          </w:rPr>
          <w:t>https://www.scribd.com/document/312245216/Career-Probationary-Firefighter-Runs-Out-of-Air-and-Dies-in-Commercial-Structure-Fire</w:t>
        </w:r>
      </w:hyperlink>
      <w:r w:rsidRPr="008A1352">
        <w:rPr>
          <w:rFonts w:ascii="Times New Roman" w:hAnsi="Times New Roman" w:cs="Times New Roman"/>
          <w:sz w:val="24"/>
          <w:szCs w:val="24"/>
        </w:rPr>
        <w:t xml:space="preserve"> </w:t>
      </w:r>
    </w:p>
    <w:p w14:paraId="1F55D6E8" w14:textId="77777777" w:rsidR="008A1352" w:rsidRPr="008A1352" w:rsidRDefault="008A1352" w:rsidP="008A1352">
      <w:pPr>
        <w:ind w:left="720"/>
        <w:rPr>
          <w:rFonts w:ascii="Times New Roman" w:hAnsi="Times New Roman"/>
          <w:sz w:val="24"/>
          <w:szCs w:val="24"/>
        </w:rPr>
      </w:pPr>
    </w:p>
    <w:p w14:paraId="3B224E8F" w14:textId="77777777" w:rsidR="008A1352" w:rsidRPr="008A1352" w:rsidRDefault="008A1352" w:rsidP="008A1352">
      <w:pPr>
        <w:pStyle w:val="ListParagraph"/>
        <w:numPr>
          <w:ilvl w:val="0"/>
          <w:numId w:val="22"/>
        </w:numPr>
        <w:rPr>
          <w:rFonts w:ascii="Times New Roman" w:hAnsi="Times New Roman" w:cs="Times New Roman"/>
          <w:sz w:val="24"/>
          <w:szCs w:val="24"/>
        </w:rPr>
      </w:pPr>
      <w:r w:rsidRPr="008A1352">
        <w:rPr>
          <w:rFonts w:ascii="Times New Roman" w:hAnsi="Times New Roman" w:cs="Times New Roman"/>
          <w:sz w:val="24"/>
          <w:szCs w:val="24"/>
        </w:rPr>
        <w:t xml:space="preserve">June 27, 2013: “Michigan OSHA investigation - $3,500 fine recommended.” Employee #1 was later found approximately six feet from an exit door at the rear of the building and had succumbed to smoke inhalation after running out of air. The hose had looped over itself when the team encountered a wall and moved to the right. It is unknown if this led to Employee #1 becoming disoriented and unable to follow the hose out of the structure.” </w:t>
      </w:r>
      <w:hyperlink r:id="rId477" w:history="1">
        <w:r w:rsidRPr="008A1352">
          <w:rPr>
            <w:rStyle w:val="Hyperlink"/>
            <w:rFonts w:ascii="Times New Roman" w:hAnsi="Times New Roman" w:cs="Times New Roman"/>
            <w:sz w:val="24"/>
            <w:szCs w:val="24"/>
          </w:rPr>
          <w:t>https://www.osha.gov/ords/imis/establishment.inspection_detail?id=315378885</w:t>
        </w:r>
      </w:hyperlink>
    </w:p>
    <w:p w14:paraId="4911A53D" w14:textId="77777777" w:rsidR="008A1352" w:rsidRPr="00671D64" w:rsidRDefault="008A1352" w:rsidP="00671D64">
      <w:pPr>
        <w:pStyle w:val="NoSpacing"/>
        <w:rPr>
          <w:rFonts w:ascii="Times New Roman" w:hAnsi="Times New Roman"/>
          <w:b/>
          <w:bCs/>
          <w:sz w:val="24"/>
          <w:szCs w:val="24"/>
        </w:rPr>
      </w:pPr>
    </w:p>
    <w:p w14:paraId="0EB87AA4" w14:textId="77777777" w:rsidR="00E03026" w:rsidRPr="00671D64" w:rsidRDefault="00E03026" w:rsidP="00286F24">
      <w:pPr>
        <w:rPr>
          <w:rFonts w:ascii="Times New Roman" w:hAnsi="Times New Roman"/>
          <w:sz w:val="24"/>
          <w:szCs w:val="24"/>
        </w:rPr>
      </w:pPr>
    </w:p>
    <w:p w14:paraId="5CBA3091" w14:textId="6F63A2DC" w:rsidR="005C3A2A" w:rsidRDefault="005C3A2A" w:rsidP="00286F24">
      <w:pPr>
        <w:rPr>
          <w:rFonts w:ascii="Arial Black" w:hAnsi="Arial Black"/>
          <w:sz w:val="24"/>
          <w:szCs w:val="24"/>
        </w:rPr>
      </w:pPr>
      <w:r>
        <w:rPr>
          <w:rFonts w:ascii="Arial Black" w:hAnsi="Arial Black"/>
          <w:sz w:val="24"/>
          <w:szCs w:val="24"/>
        </w:rPr>
        <w:t>2-7</w:t>
      </w:r>
      <w:r w:rsidR="00891E1D">
        <w:rPr>
          <w:rFonts w:ascii="Arial Black" w:hAnsi="Arial Black"/>
          <w:sz w:val="24"/>
          <w:szCs w:val="24"/>
        </w:rPr>
        <w:t>1</w:t>
      </w:r>
    </w:p>
    <w:p w14:paraId="691E0CCF" w14:textId="77777777" w:rsidR="004B7CDA" w:rsidRPr="00E179B9" w:rsidRDefault="004B7CDA" w:rsidP="004B7CDA">
      <w:pPr>
        <w:rPr>
          <w:rFonts w:ascii="Arial Black" w:hAnsi="Arial Black"/>
          <w:b/>
          <w:bCs/>
          <w:sz w:val="28"/>
        </w:rPr>
      </w:pPr>
      <w:r>
        <w:rPr>
          <w:rFonts w:ascii="Arial Black" w:hAnsi="Arial Black"/>
          <w:b/>
          <w:bCs/>
          <w:sz w:val="28"/>
        </w:rPr>
        <w:t>KY: EMPLOYEE HAND INJURED IN PRINTER – LOCKED FD, OSHA INSPECTED – COMPANY CONSENTED OSHA</w:t>
      </w:r>
    </w:p>
    <w:p w14:paraId="40DE54F7" w14:textId="77777777" w:rsidR="004B7CDA" w:rsidRPr="004B7CDA" w:rsidRDefault="004B7CDA" w:rsidP="004B7CDA">
      <w:pPr>
        <w:rPr>
          <w:rFonts w:ascii="Times New Roman" w:hAnsi="Times New Roman"/>
          <w:sz w:val="24"/>
          <w:szCs w:val="24"/>
        </w:rPr>
      </w:pPr>
      <w:r w:rsidRPr="004B7CDA">
        <w:rPr>
          <w:rFonts w:ascii="Times New Roman" w:hAnsi="Times New Roman"/>
          <w:sz w:val="24"/>
          <w:szCs w:val="24"/>
        </w:rPr>
        <w:t xml:space="preserve">On August 23, 2024, in </w:t>
      </w:r>
      <w:r w:rsidRPr="004B7CDA">
        <w:rPr>
          <w:rFonts w:ascii="Times New Roman" w:hAnsi="Times New Roman"/>
          <w:sz w:val="24"/>
          <w:szCs w:val="24"/>
          <w:u w:val="single"/>
        </w:rPr>
        <w:t xml:space="preserve">Harland Clarke Corp. v. Kentucky Safety </w:t>
      </w:r>
      <w:proofErr w:type="gramStart"/>
      <w:r w:rsidRPr="004B7CDA">
        <w:rPr>
          <w:rFonts w:ascii="Times New Roman" w:hAnsi="Times New Roman"/>
          <w:sz w:val="24"/>
          <w:szCs w:val="24"/>
          <w:u w:val="single"/>
        </w:rPr>
        <w:t>And</w:t>
      </w:r>
      <w:proofErr w:type="gramEnd"/>
      <w:r w:rsidRPr="004B7CDA">
        <w:rPr>
          <w:rFonts w:ascii="Times New Roman" w:hAnsi="Times New Roman"/>
          <w:sz w:val="24"/>
          <w:szCs w:val="24"/>
          <w:u w:val="single"/>
        </w:rPr>
        <w:t xml:space="preserve"> Health Commission</w:t>
      </w:r>
      <w:r w:rsidRPr="004B7CDA">
        <w:rPr>
          <w:rFonts w:ascii="Times New Roman" w:hAnsi="Times New Roman"/>
          <w:sz w:val="24"/>
          <w:szCs w:val="24"/>
        </w:rPr>
        <w:t xml:space="preserve">, the Kentucky Court of Appeals held (3 to 0; unpublished decision) that the company consented to the Kentucky OSHA [KOSH] inspection of the printer, and the FD policy of locking machinery causing an injury until KOSH inspection did not invalidate the consent. The Court wrote: “In this case, the evidence of record, including Harland’s own witnesses, supported the hearing officer’s finding that valid consent for the inspection was given. A Harland employee contacted the Cabinet to come to its facility. Moreover, Harland gave the KOSH officers access to the facility two separate times.” </w:t>
      </w:r>
      <w:hyperlink r:id="rId478" w:history="1">
        <w:r w:rsidRPr="004B7CDA">
          <w:rPr>
            <w:rStyle w:val="Hyperlink"/>
            <w:rFonts w:ascii="Times New Roman" w:hAnsi="Times New Roman"/>
            <w:sz w:val="24"/>
            <w:szCs w:val="24"/>
          </w:rPr>
          <w:t>https://cases.justia.com/kentucky/court-of-appeals/2024-2023-ca-0968-mr.pdf?ts=1724421865</w:t>
        </w:r>
      </w:hyperlink>
      <w:r w:rsidRPr="004B7CDA">
        <w:rPr>
          <w:rFonts w:ascii="Times New Roman" w:hAnsi="Times New Roman"/>
          <w:sz w:val="24"/>
          <w:szCs w:val="24"/>
        </w:rPr>
        <w:t xml:space="preserve"> </w:t>
      </w:r>
    </w:p>
    <w:p w14:paraId="2C6E538F" w14:textId="77777777" w:rsidR="004B7CDA" w:rsidRPr="004B7CDA" w:rsidRDefault="004B7CDA" w:rsidP="004B7CDA">
      <w:pPr>
        <w:rPr>
          <w:rFonts w:ascii="Times New Roman" w:hAnsi="Times New Roman"/>
          <w:sz w:val="24"/>
          <w:szCs w:val="24"/>
        </w:rPr>
      </w:pPr>
      <w:r w:rsidRPr="004B7CDA">
        <w:rPr>
          <w:rFonts w:ascii="Times New Roman" w:hAnsi="Times New Roman"/>
          <w:sz w:val="24"/>
          <w:szCs w:val="24"/>
        </w:rPr>
        <w:t xml:space="preserve">THE COURT HELD: </w:t>
      </w:r>
    </w:p>
    <w:p w14:paraId="1F8867E6" w14:textId="77777777" w:rsidR="004B7CDA" w:rsidRPr="004B7CDA" w:rsidRDefault="004B7CDA" w:rsidP="004B7CDA">
      <w:pPr>
        <w:ind w:left="720"/>
        <w:rPr>
          <w:rFonts w:ascii="Times New Roman" w:hAnsi="Times New Roman"/>
          <w:sz w:val="24"/>
          <w:szCs w:val="24"/>
        </w:rPr>
      </w:pPr>
      <w:r w:rsidRPr="004B7CDA">
        <w:rPr>
          <w:rFonts w:ascii="Times New Roman" w:hAnsi="Times New Roman"/>
          <w:sz w:val="24"/>
          <w:szCs w:val="24"/>
        </w:rPr>
        <w:t>“On appeal, Harland’s sole argument is that its consent to the KOSH inspection and on-premises investigation was not freely and voluntarily given. Rather, they allege it was coerced by the Fire Department’s actions in locking the printer so that it could not be used until Harland consented to KOSH’s inspection and investigation.  However, we agree with the circuit court, who stated the following:</w:t>
      </w:r>
    </w:p>
    <w:p w14:paraId="4F0698F4" w14:textId="77777777" w:rsidR="004B7CDA" w:rsidRPr="004B7CDA" w:rsidRDefault="004B7CDA" w:rsidP="004B7CDA">
      <w:pPr>
        <w:pStyle w:val="NoSpacing"/>
        <w:ind w:left="1440"/>
        <w:jc w:val="both"/>
        <w:rPr>
          <w:rFonts w:ascii="Times New Roman" w:hAnsi="Times New Roman"/>
          <w:sz w:val="24"/>
          <w:szCs w:val="24"/>
        </w:rPr>
      </w:pPr>
      <w:r w:rsidRPr="004B7CDA">
        <w:rPr>
          <w:rFonts w:ascii="Times New Roman" w:hAnsi="Times New Roman"/>
          <w:sz w:val="24"/>
          <w:szCs w:val="24"/>
        </w:rPr>
        <w:t xml:space="preserve">[Harland] spends </w:t>
      </w:r>
      <w:proofErr w:type="gramStart"/>
      <w:r w:rsidRPr="004B7CDA">
        <w:rPr>
          <w:rFonts w:ascii="Times New Roman" w:hAnsi="Times New Roman"/>
          <w:sz w:val="24"/>
          <w:szCs w:val="24"/>
        </w:rPr>
        <w:t>the majority of</w:t>
      </w:r>
      <w:proofErr w:type="gramEnd"/>
      <w:r w:rsidRPr="004B7CDA">
        <w:rPr>
          <w:rFonts w:ascii="Times New Roman" w:hAnsi="Times New Roman"/>
          <w:sz w:val="24"/>
          <w:szCs w:val="24"/>
        </w:rPr>
        <w:t xml:space="preserve"> its brief asserting that the Fire Department violated its constitutional rights, however, the Fire Department is not under the jurisdiction of the Cabinet and is not a party to this action. Although the Fire Department said it was their policy that the injury causing machine </w:t>
      </w:r>
      <w:proofErr w:type="gramStart"/>
      <w:r w:rsidRPr="004B7CDA">
        <w:rPr>
          <w:rFonts w:ascii="Times New Roman" w:hAnsi="Times New Roman"/>
          <w:sz w:val="24"/>
          <w:szCs w:val="24"/>
        </w:rPr>
        <w:t>be</w:t>
      </w:r>
      <w:proofErr w:type="gramEnd"/>
      <w:r w:rsidRPr="004B7CDA">
        <w:rPr>
          <w:rFonts w:ascii="Times New Roman" w:hAnsi="Times New Roman"/>
          <w:sz w:val="24"/>
          <w:szCs w:val="24"/>
        </w:rPr>
        <w:t xml:space="preserve"> locked up until KOSH] </w:t>
      </w:r>
      <w:proofErr w:type="gramStart"/>
      <w:r w:rsidRPr="004B7CDA">
        <w:rPr>
          <w:rFonts w:ascii="Times New Roman" w:hAnsi="Times New Roman"/>
          <w:sz w:val="24"/>
          <w:szCs w:val="24"/>
        </w:rPr>
        <w:t>conducted an investigation</w:t>
      </w:r>
      <w:proofErr w:type="gramEnd"/>
      <w:r w:rsidRPr="004B7CDA">
        <w:rPr>
          <w:rFonts w:ascii="Times New Roman" w:hAnsi="Times New Roman"/>
          <w:sz w:val="24"/>
          <w:szCs w:val="24"/>
        </w:rPr>
        <w:t>, that policy does not belong to the Cabinet who has the statutory authority to inspect and prosecute occupational violations. At the administrative hearing, the Director of [K]OSH Compliance testified that the Cabinet does not have any policy that would require the Fire Department to lock up a potentially unsafe machine. The Court understands [Harland’s] frustration with the Fire Department’s actions, however, any disagreement with the placement of a lock on the printer is between [Harland] and the Fire Department, a nonparty to this action with zero authority to inspect and prosecute occupational violations.</w:t>
      </w:r>
    </w:p>
    <w:p w14:paraId="4B269D89" w14:textId="77777777" w:rsidR="004B7CDA" w:rsidRPr="004B7CDA" w:rsidRDefault="004B7CDA" w:rsidP="004B7CDA">
      <w:pPr>
        <w:pStyle w:val="NoSpacing"/>
        <w:rPr>
          <w:rFonts w:ascii="Times New Roman" w:hAnsi="Times New Roman"/>
          <w:sz w:val="24"/>
          <w:szCs w:val="24"/>
        </w:rPr>
      </w:pPr>
    </w:p>
    <w:p w14:paraId="0FBCA1AB" w14:textId="6DCE0100" w:rsidR="004B7CDA" w:rsidRDefault="004B7CDA" w:rsidP="004B7CDA">
      <w:pPr>
        <w:pStyle w:val="NoSpacing"/>
        <w:ind w:left="720"/>
        <w:rPr>
          <w:rFonts w:ascii="Times New Roman" w:hAnsi="Times New Roman"/>
          <w:sz w:val="24"/>
          <w:szCs w:val="24"/>
        </w:rPr>
      </w:pPr>
      <w:r w:rsidRPr="004B7CDA">
        <w:rPr>
          <w:rFonts w:ascii="Times New Roman" w:hAnsi="Times New Roman"/>
          <w:sz w:val="24"/>
          <w:szCs w:val="24"/>
        </w:rPr>
        <w:t xml:space="preserve">In this case, the evidence of record, including Harland’s own witnesses, supported the hearing officer’s finding that valid consent for the inspection was given. A Harland employee contacted the Cabinet to come to its facility. Moreover, Harland gave the KOSH officers access to the facility two separate times. Harland – through Birkenfeld – gave the compliance officers verbal consent to conduct an inspection and never made an objection. Finally, another Harland employee, </w:t>
      </w:r>
      <w:proofErr w:type="spellStart"/>
      <w:r w:rsidRPr="004B7CDA">
        <w:rPr>
          <w:rFonts w:ascii="Times New Roman" w:hAnsi="Times New Roman"/>
          <w:sz w:val="24"/>
          <w:szCs w:val="24"/>
        </w:rPr>
        <w:t>Chetson</w:t>
      </w:r>
      <w:proofErr w:type="spellEnd"/>
      <w:r w:rsidRPr="004B7CDA">
        <w:rPr>
          <w:rFonts w:ascii="Times New Roman" w:hAnsi="Times New Roman"/>
          <w:sz w:val="24"/>
          <w:szCs w:val="24"/>
        </w:rPr>
        <w:t xml:space="preserve"> Hammonds, participated in the inspection and never made an </w:t>
      </w:r>
      <w:proofErr w:type="gramStart"/>
      <w:r w:rsidRPr="004B7CDA">
        <w:rPr>
          <w:rFonts w:ascii="Times New Roman" w:hAnsi="Times New Roman"/>
          <w:sz w:val="24"/>
          <w:szCs w:val="24"/>
        </w:rPr>
        <w:t>objection.”</w:t>
      </w:r>
      <w:proofErr w:type="gramEnd"/>
      <w:r>
        <w:rPr>
          <w:rFonts w:ascii="Times New Roman" w:hAnsi="Times New Roman"/>
          <w:sz w:val="24"/>
          <w:szCs w:val="24"/>
        </w:rPr>
        <w:t xml:space="preserve"> </w:t>
      </w:r>
    </w:p>
    <w:p w14:paraId="4390531B" w14:textId="77777777" w:rsidR="00E03026" w:rsidRPr="004B7CDA" w:rsidRDefault="00E03026" w:rsidP="004B7CDA">
      <w:pPr>
        <w:pStyle w:val="NoSpacing"/>
        <w:ind w:left="720"/>
        <w:rPr>
          <w:rFonts w:ascii="Times New Roman" w:hAnsi="Times New Roman"/>
          <w:sz w:val="24"/>
          <w:szCs w:val="24"/>
        </w:rPr>
      </w:pPr>
    </w:p>
    <w:p w14:paraId="5DDB40F6" w14:textId="07521E73" w:rsidR="004B7CDA" w:rsidRPr="004B7CDA" w:rsidRDefault="004B7CDA" w:rsidP="004B7CDA">
      <w:pPr>
        <w:pStyle w:val="NoSpacing"/>
        <w:rPr>
          <w:rFonts w:ascii="Times New Roman" w:hAnsi="Times New Roman"/>
          <w:b/>
          <w:bCs/>
          <w:sz w:val="24"/>
          <w:szCs w:val="24"/>
        </w:rPr>
      </w:pPr>
      <w:r>
        <w:rPr>
          <w:rFonts w:ascii="Times New Roman" w:hAnsi="Times New Roman"/>
          <w:b/>
          <w:bCs/>
          <w:sz w:val="24"/>
          <w:szCs w:val="24"/>
        </w:rPr>
        <w:t>L</w:t>
      </w:r>
      <w:r w:rsidRPr="004B7CDA">
        <w:rPr>
          <w:rFonts w:ascii="Times New Roman" w:hAnsi="Times New Roman"/>
          <w:b/>
          <w:bCs/>
          <w:sz w:val="24"/>
          <w:szCs w:val="24"/>
        </w:rPr>
        <w:t xml:space="preserve">egal Lesson Learned: Consent was given for the Kentucky OSHA inspection; interesting FD policy of locking machines causing injury until inspected by KY OSHA. </w:t>
      </w:r>
    </w:p>
    <w:p w14:paraId="30220144" w14:textId="77777777" w:rsidR="005C3A2A" w:rsidRDefault="005C3A2A" w:rsidP="00286F24">
      <w:pPr>
        <w:rPr>
          <w:rFonts w:ascii="Arial Black" w:hAnsi="Arial Black"/>
          <w:sz w:val="24"/>
          <w:szCs w:val="24"/>
        </w:rPr>
      </w:pPr>
    </w:p>
    <w:p w14:paraId="25BE5B39" w14:textId="14B4F0E8" w:rsidR="00277A51" w:rsidRDefault="00277A51" w:rsidP="00286F24">
      <w:pPr>
        <w:rPr>
          <w:rFonts w:ascii="Arial Black" w:hAnsi="Arial Black"/>
          <w:sz w:val="24"/>
          <w:szCs w:val="24"/>
        </w:rPr>
      </w:pPr>
      <w:r>
        <w:rPr>
          <w:rFonts w:ascii="Arial Black" w:hAnsi="Arial Black"/>
          <w:sz w:val="24"/>
          <w:szCs w:val="24"/>
        </w:rPr>
        <w:t>2-7</w:t>
      </w:r>
      <w:r w:rsidR="00891E1D">
        <w:rPr>
          <w:rFonts w:ascii="Arial Black" w:hAnsi="Arial Black"/>
          <w:sz w:val="24"/>
          <w:szCs w:val="24"/>
        </w:rPr>
        <w:t>0</w:t>
      </w:r>
    </w:p>
    <w:p w14:paraId="0651D9DA" w14:textId="22CE4D49" w:rsidR="00277A51" w:rsidRDefault="00277A51" w:rsidP="00277A51">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 xml:space="preserve">IN: CAPTAIN FELL DOWN STAIRWELL BDG FIRE – GAP IN WALL - “FIREMAN’S RULE” EXCEPTION IF </w:t>
      </w:r>
      <w:r w:rsidR="009B2200">
        <w:rPr>
          <w:rFonts w:ascii="Arial Black" w:hAnsi="Arial Black"/>
          <w:b/>
          <w:bCs/>
          <w:color w:val="454545"/>
          <w:sz w:val="28"/>
          <w:szCs w:val="28"/>
          <w:shd w:val="clear" w:color="auto" w:fill="FFFFFF"/>
        </w:rPr>
        <w:t xml:space="preserve">BREACH OF </w:t>
      </w:r>
      <w:r>
        <w:rPr>
          <w:rFonts w:ascii="Arial Black" w:hAnsi="Arial Black"/>
          <w:b/>
          <w:bCs/>
          <w:color w:val="454545"/>
          <w:sz w:val="28"/>
          <w:szCs w:val="28"/>
          <w:shd w:val="clear" w:color="auto" w:fill="FFFFFF"/>
        </w:rPr>
        <w:t>“DUTY TO WARN”</w:t>
      </w:r>
    </w:p>
    <w:p w14:paraId="0D1F3A58" w14:textId="78C1D4A7" w:rsidR="00277A51" w:rsidRPr="00114561" w:rsidRDefault="00277A51" w:rsidP="00277A51">
      <w:pPr>
        <w:pStyle w:val="NormalWeb"/>
        <w:rPr>
          <w:shd w:val="clear" w:color="auto" w:fill="FFFFFF"/>
        </w:rPr>
      </w:pPr>
      <w:r w:rsidRPr="00114561">
        <w:rPr>
          <w:color w:val="454545"/>
          <w:shd w:val="clear" w:color="auto" w:fill="FFFFFF"/>
        </w:rPr>
        <w:t xml:space="preserve">On July 2, 2024, in </w:t>
      </w:r>
      <w:r w:rsidRPr="00114561">
        <w:rPr>
          <w:color w:val="454545"/>
          <w:u w:val="single"/>
          <w:shd w:val="clear" w:color="auto" w:fill="FFFFFF"/>
        </w:rPr>
        <w:t xml:space="preserve">Richard Dolsen, Jr. v. </w:t>
      </w:r>
      <w:proofErr w:type="spellStart"/>
      <w:r w:rsidRPr="00114561">
        <w:rPr>
          <w:color w:val="454545"/>
          <w:u w:val="single"/>
          <w:shd w:val="clear" w:color="auto" w:fill="FFFFFF"/>
        </w:rPr>
        <w:t>VeoRide</w:t>
      </w:r>
      <w:proofErr w:type="spellEnd"/>
      <w:r w:rsidRPr="00114561">
        <w:rPr>
          <w:color w:val="454545"/>
          <w:u w:val="single"/>
          <w:shd w:val="clear" w:color="auto" w:fill="FFFFFF"/>
        </w:rPr>
        <w:t>. Inc. and Sweet Real Estate – City Center, LLC</w:t>
      </w:r>
      <w:r w:rsidRPr="00114561">
        <w:rPr>
          <w:color w:val="454545"/>
          <w:shd w:val="clear" w:color="auto" w:fill="FFFFFF"/>
        </w:rPr>
        <w:t xml:space="preserve">, the Supreme Court of Indiana held (3 to 0) that trial court should not have dismissed the </w:t>
      </w:r>
      <w:proofErr w:type="gramStart"/>
      <w:r w:rsidR="009B2200">
        <w:rPr>
          <w:color w:val="454545"/>
          <w:shd w:val="clear" w:color="auto" w:fill="FFFFFF"/>
        </w:rPr>
        <w:t>C</w:t>
      </w:r>
      <w:r w:rsidR="009B2200" w:rsidRPr="00114561">
        <w:rPr>
          <w:color w:val="454545"/>
          <w:shd w:val="clear" w:color="auto" w:fill="FFFFFF"/>
        </w:rPr>
        <w:t>aptain’s</w:t>
      </w:r>
      <w:proofErr w:type="gramEnd"/>
      <w:r w:rsidRPr="00114561">
        <w:rPr>
          <w:color w:val="454545"/>
          <w:shd w:val="clear" w:color="auto" w:fill="FFFFFF"/>
        </w:rPr>
        <w:t xml:space="preserve"> lawsuit, and case remanded for pre-trial discovery and trial.  He was injured in </w:t>
      </w:r>
      <w:r w:rsidR="009B2200" w:rsidRPr="00114561">
        <w:rPr>
          <w:color w:val="454545"/>
          <w:shd w:val="clear" w:color="auto" w:fill="FFFFFF"/>
        </w:rPr>
        <w:t>a warehouse</w:t>
      </w:r>
      <w:r w:rsidRPr="00114561">
        <w:rPr>
          <w:color w:val="454545"/>
          <w:shd w:val="clear" w:color="auto" w:fill="FFFFFF"/>
        </w:rPr>
        <w:t xml:space="preserve"> fire; the company rents electric scooters and electric bicycles that are powered by lithium batteries, and one of the batteries caught fire.  As the Captain </w:t>
      </w:r>
      <w:r w:rsidR="009B2200" w:rsidRPr="00114561">
        <w:rPr>
          <w:color w:val="454545"/>
          <w:shd w:val="clear" w:color="auto" w:fill="FFFFFF"/>
        </w:rPr>
        <w:t>conducted</w:t>
      </w:r>
      <w:r w:rsidRPr="00114561">
        <w:rPr>
          <w:color w:val="454545"/>
          <w:shd w:val="clear" w:color="auto" w:fill="FFFFFF"/>
        </w:rPr>
        <w:t xml:space="preserve"> </w:t>
      </w:r>
      <w:r w:rsidR="009B2200">
        <w:rPr>
          <w:color w:val="454545"/>
          <w:shd w:val="clear" w:color="auto" w:fill="FFFFFF"/>
        </w:rPr>
        <w:t xml:space="preserve">his </w:t>
      </w:r>
      <w:r w:rsidRPr="00114561">
        <w:rPr>
          <w:color w:val="454545"/>
          <w:shd w:val="clear" w:color="auto" w:fill="FFFFFF"/>
        </w:rPr>
        <w:t>primary search along a wall, it “</w:t>
      </w:r>
      <w:r w:rsidRPr="00114561">
        <w:rPr>
          <w:shd w:val="clear" w:color="auto" w:fill="FFFFFF"/>
        </w:rPr>
        <w:t xml:space="preserve">was composed of bare wooden studs, with a gap left by a missing stud. Dolsen ‘could not see the opening in the wall due to the lack of light and the presence of smoke.’ Id. Dolsen ‘fell to the bottom of the stairwell’ and was injured.” </w:t>
      </w:r>
      <w:hyperlink r:id="rId479" w:history="1">
        <w:r w:rsidRPr="00114561">
          <w:rPr>
            <w:rStyle w:val="Hyperlink"/>
            <w:shd w:val="clear" w:color="auto" w:fill="FFFFFF"/>
          </w:rPr>
          <w:t>https://cases.justia.com/indiana/court-of-appeals/2023-23a-ct-00945.pdf?ts=1698084643</w:t>
        </w:r>
      </w:hyperlink>
      <w:r w:rsidRPr="00114561">
        <w:rPr>
          <w:shd w:val="clear" w:color="auto" w:fill="FFFFFF"/>
        </w:rPr>
        <w:t xml:space="preserve"> </w:t>
      </w:r>
    </w:p>
    <w:p w14:paraId="020DF3A6" w14:textId="77777777" w:rsidR="00277A51" w:rsidRPr="00BC6AAE" w:rsidRDefault="00277A51" w:rsidP="00277A51">
      <w:pPr>
        <w:pStyle w:val="NoSpacing"/>
        <w:rPr>
          <w:rFonts w:ascii="Times New Roman" w:hAnsi="Times New Roman"/>
          <w:sz w:val="24"/>
          <w:szCs w:val="24"/>
          <w:shd w:val="clear" w:color="auto" w:fill="FFFFFF"/>
        </w:rPr>
      </w:pPr>
      <w:r w:rsidRPr="00BC6AAE">
        <w:rPr>
          <w:rFonts w:ascii="Times New Roman" w:hAnsi="Times New Roman"/>
          <w:sz w:val="24"/>
          <w:szCs w:val="24"/>
          <w:shd w:val="clear" w:color="auto" w:fill="FFFFFF"/>
        </w:rPr>
        <w:t xml:space="preserve">THE COURT HELD: </w:t>
      </w:r>
    </w:p>
    <w:p w14:paraId="6C48EB30" w14:textId="77777777" w:rsidR="00277A51" w:rsidRPr="00BC6AAE" w:rsidRDefault="00277A51" w:rsidP="00277A51">
      <w:pPr>
        <w:pStyle w:val="NoSpacing"/>
        <w:rPr>
          <w:rFonts w:ascii="Times New Roman" w:hAnsi="Times New Roman"/>
          <w:sz w:val="24"/>
          <w:szCs w:val="24"/>
          <w:shd w:val="clear" w:color="auto" w:fill="FFFFFF"/>
        </w:rPr>
      </w:pPr>
    </w:p>
    <w:p w14:paraId="44738002" w14:textId="77777777" w:rsidR="00277A51" w:rsidRDefault="00277A51" w:rsidP="00277A51">
      <w:pPr>
        <w:pStyle w:val="NoSpacing"/>
        <w:ind w:left="720"/>
        <w:rPr>
          <w:rFonts w:ascii="Times New Roman" w:hAnsi="Times New Roman"/>
          <w:sz w:val="24"/>
          <w:szCs w:val="24"/>
          <w:shd w:val="clear" w:color="auto" w:fill="FFFFFF"/>
        </w:rPr>
      </w:pPr>
      <w:r w:rsidRPr="00BC6AAE">
        <w:rPr>
          <w:rFonts w:ascii="Times New Roman" w:hAnsi="Times New Roman"/>
          <w:sz w:val="24"/>
          <w:szCs w:val="24"/>
          <w:shd w:val="clear" w:color="auto" w:fill="FFFFFF"/>
        </w:rPr>
        <w:t>“</w:t>
      </w:r>
      <w:r w:rsidRPr="00195E1E">
        <w:rPr>
          <w:rFonts w:ascii="Times New Roman" w:hAnsi="Times New Roman"/>
          <w:sz w:val="24"/>
          <w:szCs w:val="24"/>
          <w:shd w:val="clear" w:color="auto" w:fill="FFFFFF"/>
        </w:rPr>
        <w:t>Fort Wayne Fire Department Captain Richard Dolsen, Jr., was injured while</w:t>
      </w:r>
      <w:r>
        <w:rPr>
          <w:rFonts w:ascii="Times New Roman" w:hAnsi="Times New Roman"/>
          <w:sz w:val="24"/>
          <w:szCs w:val="24"/>
          <w:shd w:val="clear" w:color="auto" w:fill="FFFFFF"/>
        </w:rPr>
        <w:t xml:space="preserve"> </w:t>
      </w:r>
      <w:r w:rsidRPr="00195E1E">
        <w:rPr>
          <w:rFonts w:ascii="Times New Roman" w:hAnsi="Times New Roman"/>
          <w:sz w:val="24"/>
          <w:szCs w:val="24"/>
          <w:shd w:val="clear" w:color="auto" w:fill="FFFFFF"/>
        </w:rPr>
        <w:t xml:space="preserve">responding to a fire in a building leased by </w:t>
      </w:r>
      <w:proofErr w:type="spellStart"/>
      <w:r w:rsidRPr="00195E1E">
        <w:rPr>
          <w:rFonts w:ascii="Times New Roman" w:hAnsi="Times New Roman"/>
          <w:sz w:val="24"/>
          <w:szCs w:val="24"/>
          <w:shd w:val="clear" w:color="auto" w:fill="FFFFFF"/>
        </w:rPr>
        <w:t>VeoRide</w:t>
      </w:r>
      <w:proofErr w:type="spellEnd"/>
      <w:r w:rsidRPr="00195E1E">
        <w:rPr>
          <w:rFonts w:ascii="Times New Roman" w:hAnsi="Times New Roman"/>
          <w:sz w:val="24"/>
          <w:szCs w:val="24"/>
          <w:shd w:val="clear" w:color="auto" w:fill="FFFFFF"/>
        </w:rPr>
        <w:t xml:space="preserve">, Inc. Dolsen sued </w:t>
      </w:r>
      <w:proofErr w:type="spellStart"/>
      <w:r w:rsidRPr="00195E1E">
        <w:rPr>
          <w:rFonts w:ascii="Times New Roman" w:hAnsi="Times New Roman"/>
          <w:sz w:val="24"/>
          <w:szCs w:val="24"/>
          <w:shd w:val="clear" w:color="auto" w:fill="FFFFFF"/>
        </w:rPr>
        <w:t>VeoRide</w:t>
      </w:r>
      <w:proofErr w:type="spellEnd"/>
      <w:r>
        <w:rPr>
          <w:rFonts w:ascii="Times New Roman" w:hAnsi="Times New Roman"/>
          <w:sz w:val="24"/>
          <w:szCs w:val="24"/>
          <w:shd w:val="clear" w:color="auto" w:fill="FFFFFF"/>
        </w:rPr>
        <w:t xml:space="preserve"> </w:t>
      </w:r>
      <w:r w:rsidRPr="00195E1E">
        <w:rPr>
          <w:rFonts w:ascii="Times New Roman" w:hAnsi="Times New Roman"/>
          <w:sz w:val="24"/>
          <w:szCs w:val="24"/>
          <w:shd w:val="clear" w:color="auto" w:fill="FFFFFF"/>
        </w:rPr>
        <w:t xml:space="preserve">for negligence. </w:t>
      </w:r>
      <w:proofErr w:type="spellStart"/>
      <w:r w:rsidRPr="00195E1E">
        <w:rPr>
          <w:rFonts w:ascii="Times New Roman" w:hAnsi="Times New Roman"/>
          <w:sz w:val="24"/>
          <w:szCs w:val="24"/>
          <w:shd w:val="clear" w:color="auto" w:fill="FFFFFF"/>
        </w:rPr>
        <w:t>VeoRide</w:t>
      </w:r>
      <w:proofErr w:type="spellEnd"/>
      <w:r w:rsidRPr="00195E1E">
        <w:rPr>
          <w:rFonts w:ascii="Times New Roman" w:hAnsi="Times New Roman"/>
          <w:sz w:val="24"/>
          <w:szCs w:val="24"/>
          <w:shd w:val="clear" w:color="auto" w:fill="FFFFFF"/>
        </w:rPr>
        <w:t xml:space="preserve"> moved for summary judgment on the basis that</w:t>
      </w:r>
      <w:r>
        <w:rPr>
          <w:rFonts w:ascii="Times New Roman" w:hAnsi="Times New Roman"/>
          <w:sz w:val="24"/>
          <w:szCs w:val="24"/>
          <w:shd w:val="clear" w:color="auto" w:fill="FFFFFF"/>
        </w:rPr>
        <w:t xml:space="preserve"> </w:t>
      </w:r>
      <w:r w:rsidRPr="00195E1E">
        <w:rPr>
          <w:rFonts w:ascii="Times New Roman" w:hAnsi="Times New Roman"/>
          <w:sz w:val="24"/>
          <w:szCs w:val="24"/>
          <w:shd w:val="clear" w:color="auto" w:fill="FFFFFF"/>
        </w:rPr>
        <w:t>Dolsen’s claims were barred by Indiana’s firefighter’s rule,1 and the trial court</w:t>
      </w:r>
      <w:r>
        <w:rPr>
          <w:rFonts w:ascii="Times New Roman" w:hAnsi="Times New Roman"/>
          <w:sz w:val="24"/>
          <w:szCs w:val="24"/>
          <w:shd w:val="clear" w:color="auto" w:fill="FFFFFF"/>
        </w:rPr>
        <w:t xml:space="preserve"> </w:t>
      </w:r>
      <w:r w:rsidRPr="00195E1E">
        <w:rPr>
          <w:rFonts w:ascii="Times New Roman" w:hAnsi="Times New Roman"/>
          <w:sz w:val="24"/>
          <w:szCs w:val="24"/>
          <w:shd w:val="clear" w:color="auto" w:fill="FFFFFF"/>
        </w:rPr>
        <w:t>granted that motion. On appeal, Dolsen argues that the trial court erred. We</w:t>
      </w:r>
      <w:r>
        <w:rPr>
          <w:rFonts w:ascii="Times New Roman" w:hAnsi="Times New Roman"/>
          <w:sz w:val="24"/>
          <w:szCs w:val="24"/>
          <w:shd w:val="clear" w:color="auto" w:fill="FFFFFF"/>
        </w:rPr>
        <w:t xml:space="preserve"> </w:t>
      </w:r>
      <w:r w:rsidRPr="00195E1E">
        <w:rPr>
          <w:rFonts w:ascii="Times New Roman" w:hAnsi="Times New Roman"/>
          <w:sz w:val="24"/>
          <w:szCs w:val="24"/>
          <w:shd w:val="clear" w:color="auto" w:fill="FFFFFF"/>
        </w:rPr>
        <w:t>agree, so we reverse and remand for further proceedings.</w:t>
      </w:r>
    </w:p>
    <w:p w14:paraId="1E02A8F7" w14:textId="77777777" w:rsidR="00277A51" w:rsidRDefault="00277A51" w:rsidP="00277A51">
      <w:pPr>
        <w:pStyle w:val="NoSpacing"/>
        <w:ind w:left="720"/>
        <w:rPr>
          <w:rFonts w:ascii="Times New Roman" w:hAnsi="Times New Roman"/>
          <w:sz w:val="24"/>
          <w:szCs w:val="24"/>
          <w:shd w:val="clear" w:color="auto" w:fill="FFFFFF"/>
        </w:rPr>
      </w:pPr>
    </w:p>
    <w:p w14:paraId="6718D635" w14:textId="77777777" w:rsidR="00277A51" w:rsidRDefault="00277A51" w:rsidP="00277A51">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3EDE9E39" w14:textId="77777777" w:rsidR="00277A51" w:rsidRDefault="00277A51" w:rsidP="00277A51">
      <w:pPr>
        <w:pStyle w:val="NoSpacing"/>
        <w:ind w:left="720"/>
        <w:rPr>
          <w:rFonts w:ascii="Times New Roman" w:hAnsi="Times New Roman"/>
          <w:sz w:val="24"/>
          <w:szCs w:val="24"/>
          <w:shd w:val="clear" w:color="auto" w:fill="FFFFFF"/>
        </w:rPr>
      </w:pPr>
    </w:p>
    <w:p w14:paraId="7D68CAEB" w14:textId="77777777" w:rsidR="00277A51" w:rsidRPr="00BC6AAE" w:rsidRDefault="00277A51" w:rsidP="00277A51">
      <w:pPr>
        <w:pStyle w:val="NoSpacing"/>
        <w:ind w:left="720"/>
        <w:rPr>
          <w:rFonts w:ascii="Times New Roman" w:hAnsi="Times New Roman"/>
          <w:sz w:val="24"/>
          <w:szCs w:val="24"/>
          <w:shd w:val="clear" w:color="auto" w:fill="FFFFFF"/>
        </w:rPr>
      </w:pPr>
      <w:r w:rsidRPr="00BC6AAE">
        <w:rPr>
          <w:rFonts w:ascii="Times New Roman" w:hAnsi="Times New Roman"/>
          <w:sz w:val="24"/>
          <w:szCs w:val="24"/>
          <w:shd w:val="clear" w:color="auto" w:fill="FFFFFF"/>
        </w:rPr>
        <w:t xml:space="preserve">Based on the foregoing, we conclude that whether </w:t>
      </w:r>
      <w:proofErr w:type="spellStart"/>
      <w:r w:rsidRPr="00BC6AAE">
        <w:rPr>
          <w:rFonts w:ascii="Times New Roman" w:hAnsi="Times New Roman"/>
          <w:sz w:val="24"/>
          <w:szCs w:val="24"/>
          <w:shd w:val="clear" w:color="auto" w:fill="FFFFFF"/>
        </w:rPr>
        <w:t>VeoRide</w:t>
      </w:r>
      <w:proofErr w:type="spellEnd"/>
      <w:r w:rsidRPr="00BC6AAE">
        <w:rPr>
          <w:rFonts w:ascii="Times New Roman" w:hAnsi="Times New Roman"/>
          <w:sz w:val="24"/>
          <w:szCs w:val="24"/>
          <w:shd w:val="clear" w:color="auto" w:fill="FFFFFF"/>
        </w:rPr>
        <w:t xml:space="preserve"> owed Dolsen a duty to warn him of the gap in the wall next to the stairwell depends upon underlying facts that require resolution by the trier of fact, including whether </w:t>
      </w:r>
      <w:proofErr w:type="spellStart"/>
      <w:r w:rsidRPr="00BC6AAE">
        <w:rPr>
          <w:rFonts w:ascii="Times New Roman" w:hAnsi="Times New Roman"/>
          <w:sz w:val="24"/>
          <w:szCs w:val="24"/>
          <w:shd w:val="clear" w:color="auto" w:fill="FFFFFF"/>
        </w:rPr>
        <w:t>VeoRide</w:t>
      </w:r>
      <w:proofErr w:type="spellEnd"/>
      <w:r w:rsidRPr="00BC6AAE">
        <w:rPr>
          <w:rFonts w:ascii="Times New Roman" w:hAnsi="Times New Roman"/>
          <w:sz w:val="24"/>
          <w:szCs w:val="24"/>
          <w:shd w:val="clear" w:color="auto" w:fill="FFFFFF"/>
        </w:rPr>
        <w:t xml:space="preserve"> should have realized that the condition involved an unreasonable risk of causing physical harm to Dolsen (who did not know or have reason to know of the condition and the risk involved), whether </w:t>
      </w:r>
      <w:proofErr w:type="spellStart"/>
      <w:r w:rsidRPr="00BC6AAE">
        <w:rPr>
          <w:rFonts w:ascii="Times New Roman" w:hAnsi="Times New Roman"/>
          <w:sz w:val="24"/>
          <w:szCs w:val="24"/>
          <w:shd w:val="clear" w:color="auto" w:fill="FFFFFF"/>
        </w:rPr>
        <w:t>VeoRide</w:t>
      </w:r>
      <w:proofErr w:type="spellEnd"/>
      <w:r w:rsidRPr="00BC6AAE">
        <w:rPr>
          <w:rFonts w:ascii="Times New Roman" w:hAnsi="Times New Roman"/>
          <w:sz w:val="24"/>
          <w:szCs w:val="24"/>
          <w:shd w:val="clear" w:color="auto" w:fill="FFFFFF"/>
        </w:rPr>
        <w:t xml:space="preserve"> should have expected that Dolsen would not discover or realize the danger, and whether </w:t>
      </w:r>
      <w:proofErr w:type="spellStart"/>
      <w:r w:rsidRPr="00BC6AAE">
        <w:rPr>
          <w:rFonts w:ascii="Times New Roman" w:hAnsi="Times New Roman"/>
          <w:sz w:val="24"/>
          <w:szCs w:val="24"/>
          <w:shd w:val="clear" w:color="auto" w:fill="FFFFFF"/>
        </w:rPr>
        <w:t>VeoRide</w:t>
      </w:r>
      <w:proofErr w:type="spellEnd"/>
      <w:r w:rsidRPr="00BC6AAE">
        <w:rPr>
          <w:rFonts w:ascii="Times New Roman" w:hAnsi="Times New Roman"/>
          <w:sz w:val="24"/>
          <w:szCs w:val="24"/>
          <w:shd w:val="clear" w:color="auto" w:fill="FFFFFF"/>
        </w:rPr>
        <w:t xml:space="preserve"> had reason to expect that Dolsen would encounter the condition in the exercise of his license.</w:t>
      </w:r>
      <w:r w:rsidRPr="00BC6AAE">
        <w:rPr>
          <w:rFonts w:ascii="Times New Roman" w:hAnsi="Times New Roman"/>
          <w:sz w:val="24"/>
          <w:szCs w:val="24"/>
        </w:rPr>
        <w:t xml:space="preserve"> </w:t>
      </w:r>
      <w:r w:rsidRPr="00BC6AAE">
        <w:rPr>
          <w:rFonts w:ascii="Times New Roman" w:hAnsi="Times New Roman"/>
          <w:sz w:val="24"/>
          <w:szCs w:val="24"/>
          <w:shd w:val="clear" w:color="auto" w:fill="FFFFFF"/>
        </w:rPr>
        <w:t xml:space="preserve">Assuming arguendo that such a duty existed, we further conclude that genuine issues of material fact exist regarding whether </w:t>
      </w:r>
      <w:proofErr w:type="spellStart"/>
      <w:r w:rsidRPr="00BC6AAE">
        <w:rPr>
          <w:rFonts w:ascii="Times New Roman" w:hAnsi="Times New Roman"/>
          <w:sz w:val="24"/>
          <w:szCs w:val="24"/>
          <w:shd w:val="clear" w:color="auto" w:fill="FFFFFF"/>
        </w:rPr>
        <w:t>VeoRide’s</w:t>
      </w:r>
      <w:proofErr w:type="spellEnd"/>
      <w:r w:rsidRPr="00BC6AAE">
        <w:rPr>
          <w:rFonts w:ascii="Times New Roman" w:hAnsi="Times New Roman"/>
          <w:sz w:val="24"/>
          <w:szCs w:val="24"/>
          <w:shd w:val="clear" w:color="auto" w:fill="FFFFFF"/>
        </w:rPr>
        <w:t xml:space="preserve"> failure to warn Dolsen of the condition and the risk involved was a breach of that duty, that is, a failure to exercise reasonable care under the circumstances pursuant to Restatement Section 342(b); among the factors to be considered are whether </w:t>
      </w:r>
      <w:proofErr w:type="spellStart"/>
      <w:r w:rsidRPr="00BC6AAE">
        <w:rPr>
          <w:rFonts w:ascii="Times New Roman" w:hAnsi="Times New Roman"/>
          <w:sz w:val="24"/>
          <w:szCs w:val="24"/>
          <w:shd w:val="clear" w:color="auto" w:fill="FFFFFF"/>
        </w:rPr>
        <w:t>VeoRide</w:t>
      </w:r>
      <w:proofErr w:type="spellEnd"/>
      <w:r w:rsidRPr="00BC6AAE">
        <w:rPr>
          <w:rFonts w:ascii="Times New Roman" w:hAnsi="Times New Roman"/>
          <w:sz w:val="24"/>
          <w:szCs w:val="24"/>
          <w:shd w:val="clear" w:color="auto" w:fill="FFFFFF"/>
        </w:rPr>
        <w:t xml:space="preserve"> had a reasonable opportunity to alert fire department personnel. Additional issues of material fact exist regarding whether any breach of a duty to warn proximately caused Dolsen’s injuries and the extent to which Dolsen might have contributed to his injuries for purposes of the Comparative Fault Act. Consequently, we reverse the trial court’s entry of summary judgment in</w:t>
      </w:r>
    </w:p>
    <w:p w14:paraId="383D8DE3" w14:textId="77777777" w:rsidR="00277A51" w:rsidRDefault="00277A51" w:rsidP="00277A51">
      <w:pPr>
        <w:pStyle w:val="NoSpacing"/>
        <w:ind w:firstLine="720"/>
        <w:rPr>
          <w:rFonts w:ascii="Times New Roman" w:hAnsi="Times New Roman"/>
          <w:sz w:val="24"/>
          <w:szCs w:val="24"/>
          <w:shd w:val="clear" w:color="auto" w:fill="FFFFFF"/>
        </w:rPr>
      </w:pPr>
      <w:proofErr w:type="spellStart"/>
      <w:r w:rsidRPr="00BC6AAE">
        <w:rPr>
          <w:rFonts w:ascii="Times New Roman" w:hAnsi="Times New Roman"/>
          <w:sz w:val="24"/>
          <w:szCs w:val="24"/>
          <w:shd w:val="clear" w:color="auto" w:fill="FFFFFF"/>
        </w:rPr>
        <w:t>VeoRide’s</w:t>
      </w:r>
      <w:proofErr w:type="spellEnd"/>
      <w:r w:rsidRPr="00BC6AAE">
        <w:rPr>
          <w:rFonts w:ascii="Times New Roman" w:hAnsi="Times New Roman"/>
          <w:sz w:val="24"/>
          <w:szCs w:val="24"/>
          <w:shd w:val="clear" w:color="auto" w:fill="FFFFFF"/>
        </w:rPr>
        <w:t xml:space="preserve"> favor and </w:t>
      </w:r>
      <w:proofErr w:type="gramStart"/>
      <w:r w:rsidRPr="00BC6AAE">
        <w:rPr>
          <w:rFonts w:ascii="Times New Roman" w:hAnsi="Times New Roman"/>
          <w:sz w:val="24"/>
          <w:szCs w:val="24"/>
          <w:shd w:val="clear" w:color="auto" w:fill="FFFFFF"/>
        </w:rPr>
        <w:t>remand</w:t>
      </w:r>
      <w:proofErr w:type="gramEnd"/>
      <w:r w:rsidRPr="00BC6AAE">
        <w:rPr>
          <w:rFonts w:ascii="Times New Roman" w:hAnsi="Times New Roman"/>
          <w:sz w:val="24"/>
          <w:szCs w:val="24"/>
          <w:shd w:val="clear" w:color="auto" w:fill="FFFFFF"/>
        </w:rPr>
        <w:t xml:space="preserve"> for further </w:t>
      </w:r>
      <w:proofErr w:type="gramStart"/>
      <w:r w:rsidRPr="00BC6AAE">
        <w:rPr>
          <w:rFonts w:ascii="Times New Roman" w:hAnsi="Times New Roman"/>
          <w:sz w:val="24"/>
          <w:szCs w:val="24"/>
          <w:shd w:val="clear" w:color="auto" w:fill="FFFFFF"/>
        </w:rPr>
        <w:t>proceedings.”</w:t>
      </w:r>
      <w:proofErr w:type="gramEnd"/>
    </w:p>
    <w:p w14:paraId="143D14C1" w14:textId="77777777" w:rsidR="00277A51" w:rsidRDefault="00277A51" w:rsidP="00286F24">
      <w:pPr>
        <w:rPr>
          <w:rFonts w:ascii="Arial Black" w:hAnsi="Arial Black"/>
          <w:sz w:val="24"/>
          <w:szCs w:val="24"/>
        </w:rPr>
      </w:pPr>
    </w:p>
    <w:p w14:paraId="6F533D41" w14:textId="3A77974A" w:rsidR="00325688" w:rsidRPr="008757E3" w:rsidRDefault="00325688" w:rsidP="00325688">
      <w:pPr>
        <w:pStyle w:val="NoSpacing"/>
        <w:rPr>
          <w:rFonts w:ascii="Times New Roman" w:hAnsi="Times New Roman"/>
          <w:b/>
          <w:bCs/>
          <w:sz w:val="24"/>
          <w:szCs w:val="24"/>
          <w:shd w:val="clear" w:color="auto" w:fill="FFFFFF"/>
        </w:rPr>
      </w:pPr>
      <w:r w:rsidRPr="008757E3">
        <w:rPr>
          <w:rFonts w:ascii="Times New Roman" w:hAnsi="Times New Roman"/>
          <w:b/>
          <w:bCs/>
          <w:sz w:val="24"/>
          <w:szCs w:val="24"/>
          <w:shd w:val="clear" w:color="auto" w:fill="FFFFFF"/>
        </w:rPr>
        <w:t>Legal Lesson Learned:</w:t>
      </w:r>
      <w:r>
        <w:rPr>
          <w:rFonts w:ascii="Times New Roman" w:hAnsi="Times New Roman"/>
          <w:b/>
          <w:bCs/>
          <w:sz w:val="24"/>
          <w:szCs w:val="24"/>
          <w:shd w:val="clear" w:color="auto" w:fill="FFFFFF"/>
        </w:rPr>
        <w:t xml:space="preserve"> </w:t>
      </w:r>
      <w:r w:rsidR="009B2323">
        <w:rPr>
          <w:rFonts w:ascii="Times New Roman" w:hAnsi="Times New Roman"/>
          <w:b/>
          <w:bCs/>
          <w:sz w:val="24"/>
          <w:szCs w:val="24"/>
          <w:shd w:val="clear" w:color="auto" w:fill="FFFFFF"/>
        </w:rPr>
        <w:t xml:space="preserve">If </w:t>
      </w:r>
      <w:r>
        <w:rPr>
          <w:rFonts w:ascii="Times New Roman" w:hAnsi="Times New Roman"/>
          <w:b/>
          <w:bCs/>
          <w:sz w:val="24"/>
          <w:szCs w:val="24"/>
          <w:shd w:val="clear" w:color="auto" w:fill="FFFFFF"/>
        </w:rPr>
        <w:t xml:space="preserve">trial court </w:t>
      </w:r>
      <w:r w:rsidR="00D20D16">
        <w:rPr>
          <w:rFonts w:ascii="Times New Roman" w:hAnsi="Times New Roman"/>
          <w:b/>
          <w:bCs/>
          <w:sz w:val="24"/>
          <w:szCs w:val="24"/>
          <w:shd w:val="clear" w:color="auto" w:fill="FFFFFF"/>
        </w:rPr>
        <w:t xml:space="preserve">determines the company had </w:t>
      </w:r>
      <w:r>
        <w:rPr>
          <w:rFonts w:ascii="Times New Roman" w:hAnsi="Times New Roman"/>
          <w:b/>
          <w:bCs/>
          <w:sz w:val="24"/>
          <w:szCs w:val="24"/>
          <w:shd w:val="clear" w:color="auto" w:fill="FFFFFF"/>
        </w:rPr>
        <w:t>a “duty to warn” the</w:t>
      </w:r>
      <w:r w:rsidR="00D20D16">
        <w:rPr>
          <w:rFonts w:ascii="Times New Roman" w:hAnsi="Times New Roman"/>
          <w:b/>
          <w:bCs/>
          <w:sz w:val="24"/>
          <w:szCs w:val="24"/>
          <w:shd w:val="clear" w:color="auto" w:fill="FFFFFF"/>
        </w:rPr>
        <w:t xml:space="preserve">n case may proceed to jury trial </w:t>
      </w:r>
      <w:r w:rsidR="00C76A59">
        <w:rPr>
          <w:rFonts w:ascii="Times New Roman" w:hAnsi="Times New Roman"/>
          <w:b/>
          <w:bCs/>
          <w:sz w:val="24"/>
          <w:szCs w:val="24"/>
          <w:shd w:val="clear" w:color="auto" w:fill="FFFFFF"/>
        </w:rPr>
        <w:t xml:space="preserve">for damages. </w:t>
      </w:r>
      <w:r>
        <w:rPr>
          <w:rFonts w:ascii="Times New Roman" w:hAnsi="Times New Roman"/>
          <w:b/>
          <w:bCs/>
          <w:sz w:val="24"/>
          <w:szCs w:val="24"/>
          <w:shd w:val="clear" w:color="auto" w:fill="FFFFFF"/>
        </w:rPr>
        <w:t xml:space="preserve">  </w:t>
      </w:r>
    </w:p>
    <w:p w14:paraId="60EFEC90" w14:textId="77777777" w:rsidR="00325688" w:rsidRDefault="00325688" w:rsidP="00286F24">
      <w:pPr>
        <w:rPr>
          <w:rFonts w:ascii="Arial Black" w:hAnsi="Arial Black"/>
          <w:sz w:val="24"/>
          <w:szCs w:val="24"/>
        </w:rPr>
      </w:pPr>
    </w:p>
    <w:p w14:paraId="2D7529C7" w14:textId="77777777" w:rsidR="00277A51" w:rsidRDefault="00277A51" w:rsidP="00286F24">
      <w:pPr>
        <w:rPr>
          <w:rFonts w:ascii="Arial Black" w:hAnsi="Arial Black"/>
          <w:sz w:val="24"/>
          <w:szCs w:val="24"/>
        </w:rPr>
      </w:pPr>
    </w:p>
    <w:p w14:paraId="1348FA76" w14:textId="77777777" w:rsidR="00277A51" w:rsidRDefault="00277A51" w:rsidP="00286F24">
      <w:pPr>
        <w:rPr>
          <w:rFonts w:ascii="Arial Black" w:hAnsi="Arial Black"/>
          <w:sz w:val="24"/>
          <w:szCs w:val="24"/>
        </w:rPr>
      </w:pPr>
    </w:p>
    <w:p w14:paraId="52DA5E9E" w14:textId="64467CF0" w:rsidR="008E2491" w:rsidRDefault="008E2491" w:rsidP="00286F24">
      <w:pPr>
        <w:rPr>
          <w:rFonts w:ascii="Arial Black" w:hAnsi="Arial Black"/>
          <w:sz w:val="24"/>
          <w:szCs w:val="24"/>
        </w:rPr>
      </w:pPr>
      <w:r>
        <w:rPr>
          <w:rFonts w:ascii="Arial Black" w:hAnsi="Arial Black"/>
          <w:sz w:val="24"/>
          <w:szCs w:val="24"/>
        </w:rPr>
        <w:t>2-</w:t>
      </w:r>
      <w:r w:rsidR="00891E1D">
        <w:rPr>
          <w:rFonts w:ascii="Arial Black" w:hAnsi="Arial Black"/>
          <w:sz w:val="24"/>
          <w:szCs w:val="24"/>
        </w:rPr>
        <w:t>69</w:t>
      </w:r>
    </w:p>
    <w:p w14:paraId="465D29B6" w14:textId="14B56FA8" w:rsidR="00474B94" w:rsidRPr="00DC4333" w:rsidRDefault="00474B94" w:rsidP="00474B94">
      <w:pPr>
        <w:pStyle w:val="NormalWeb"/>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 xml:space="preserve">PA: FF KILLED - OTHERS INJURED - WOMAN DROVE JEEP </w:t>
      </w:r>
      <w:r w:rsidR="009D06F9">
        <w:rPr>
          <w:rFonts w:ascii="Arial Black" w:hAnsi="Arial Black"/>
          <w:b/>
          <w:bCs/>
          <w:color w:val="454545"/>
          <w:sz w:val="28"/>
          <w:szCs w:val="28"/>
          <w:shd w:val="clear" w:color="auto" w:fill="FFFFFF"/>
        </w:rPr>
        <w:t xml:space="preserve">WITH </w:t>
      </w:r>
      <w:r>
        <w:rPr>
          <w:rFonts w:ascii="Arial Black" w:hAnsi="Arial Black"/>
          <w:b/>
          <w:bCs/>
          <w:color w:val="454545"/>
          <w:sz w:val="28"/>
          <w:szCs w:val="28"/>
          <w:shd w:val="clear" w:color="auto" w:fill="FFFFFF"/>
        </w:rPr>
        <w:t>BAD BREAKS INTO ACCIDENT SCENE – 12-24 YRS PRISON</w:t>
      </w:r>
    </w:p>
    <w:p w14:paraId="43CCD9B3" w14:textId="77777777" w:rsidR="001603B7" w:rsidRDefault="00474B94" w:rsidP="001603B7">
      <w:pPr>
        <w:pStyle w:val="NormalWeb"/>
      </w:pPr>
      <w:r>
        <w:t xml:space="preserve">On May 17, 2024, in </w:t>
      </w:r>
      <w:r w:rsidRPr="008C4838">
        <w:rPr>
          <w:u w:val="single"/>
        </w:rPr>
        <w:t>Commonwealth of Pennsylvania v. Jacquelyn Walker</w:t>
      </w:r>
      <w:r>
        <w:t xml:space="preserve">, the Superior Court of Pennsylvania held (3 to 0) that the sentence was appropriate.  The accident scene on July 24, </w:t>
      </w:r>
      <w:proofErr w:type="gramStart"/>
      <w:r>
        <w:t>2021</w:t>
      </w:r>
      <w:proofErr w:type="gramEnd"/>
      <w:r>
        <w:t xml:space="preserve"> was westbound on I-76 at 3 am.  The defendant drove her 2004 Jeep Grand Cherokee over the rumble strips and into the right berm, and struck three members of the Belmont Hills Fire Department, killing firefighter Thomas Royds, </w:t>
      </w:r>
      <w:proofErr w:type="gramStart"/>
      <w:r>
        <w:t>and also</w:t>
      </w:r>
      <w:proofErr w:type="gramEnd"/>
      <w:r>
        <w:t xml:space="preserve"> striking a Trooper.  The Superior Court agreed with the Sentencing Judge who wrote: “Who protects those first responders who are willing to expose themselves to possible harm or death to protect us? </w:t>
      </w:r>
      <w:r>
        <w:rPr>
          <w:rStyle w:val="Emphasis"/>
          <w:rFonts w:eastAsiaTheme="majorEastAsia"/>
        </w:rPr>
        <w:t>Id</w:t>
      </w:r>
      <w:r>
        <w:t xml:space="preserve">. at 83. [T]hey should not have to be exposed to sustained reckless behavior amounting to malicious conduct almost certain to cause death or serious bodily injury such as the conduct of this defendant.’ </w:t>
      </w:r>
      <w:r>
        <w:rPr>
          <w:rStyle w:val="Emphasis"/>
          <w:rFonts w:eastAsiaTheme="majorEastAsia"/>
        </w:rPr>
        <w:t>Id</w:t>
      </w:r>
      <w:r>
        <w:t xml:space="preserve">. It answered its own question by concluding that ‘first responders can only be protected by the Court,’ and that it could only do so by imposing "appropriate punishment for this type of malice criminal conduct.’ </w:t>
      </w:r>
      <w:r>
        <w:rPr>
          <w:rStyle w:val="Emphasis"/>
          <w:rFonts w:eastAsiaTheme="majorEastAsia"/>
        </w:rPr>
        <w:t>Id</w:t>
      </w:r>
      <w:r>
        <w:t xml:space="preserve">. at 84.”  </w:t>
      </w:r>
      <w:hyperlink r:id="rId480" w:history="1">
        <w:r w:rsidR="001603B7" w:rsidRPr="00CE1BCF">
          <w:rPr>
            <w:rStyle w:val="Hyperlink"/>
          </w:rPr>
          <w:t>https://www.pacourts.us/assets/opinions/Superior/out/J-S40043-23m%20-%20105940494266483578.pdf?cb=1</w:t>
        </w:r>
      </w:hyperlink>
      <w:r w:rsidR="001603B7">
        <w:t xml:space="preserve"> </w:t>
      </w:r>
    </w:p>
    <w:p w14:paraId="7F160434" w14:textId="304A7E87" w:rsidR="00474B94" w:rsidRDefault="00CF7974" w:rsidP="00474B94">
      <w:pPr>
        <w:pStyle w:val="NormalWeb"/>
      </w:pPr>
      <w:r>
        <w:t xml:space="preserve">THE COURT HELD: </w:t>
      </w:r>
      <w:r w:rsidR="00474B94">
        <w:t xml:space="preserve"> </w:t>
      </w:r>
    </w:p>
    <w:p w14:paraId="0AAC3DF9" w14:textId="77777777" w:rsidR="00474B94" w:rsidRDefault="00474B94" w:rsidP="00474B94">
      <w:pPr>
        <w:pStyle w:val="NormalWeb"/>
        <w:ind w:left="720" w:firstLine="60"/>
      </w:pPr>
      <w:r>
        <w:t>“Appellant argues that the sentence imposed ‘amounted to the functional equivalent of a life sentence,’ because she is a 64-year-old disabled woman, and therefore was "at odds with the fundamental norms of the sentencing process.’</w:t>
      </w:r>
    </w:p>
    <w:p w14:paraId="0CD22F55" w14:textId="77777777" w:rsidR="00474B94" w:rsidRDefault="00474B94" w:rsidP="00474B94">
      <w:pPr>
        <w:pStyle w:val="NormalWeb"/>
        <w:ind w:left="720" w:firstLine="60"/>
      </w:pPr>
      <w:r>
        <w:t>***</w:t>
      </w:r>
    </w:p>
    <w:p w14:paraId="766E9A5B" w14:textId="77777777" w:rsidR="00474B94" w:rsidRDefault="00474B94" w:rsidP="00474B94">
      <w:pPr>
        <w:pStyle w:val="NormalWeb"/>
        <w:ind w:left="720"/>
      </w:pPr>
      <w:r>
        <w:t xml:space="preserve">We cannot say that the sentencing court abused its discretion by imposing an aggregate term of 12 to 24 years' imprisonment where Appellant admitted to acting with such recklessness that it amounted to legal malice and which resulted in the killing of one person, caused severe injuries to two others, and endangered several more, all of whom were first responders who had clearly marked the road with sufficient warnings. The three sentence terms that make up the aggregate sentence are all within the standard range, and each are for a different victim: murder in the third degree of Firefighter Thomas Royds; aggravated assault by vehicle of Firefighter Alex Fischer; and aggravated assault by vehicle of Firefighter Sam Sheffer. </w:t>
      </w:r>
    </w:p>
    <w:p w14:paraId="0C248408" w14:textId="34E4CD3F" w:rsidR="00474B94" w:rsidRDefault="00474B94" w:rsidP="00474B94">
      <w:pPr>
        <w:pStyle w:val="NormalWeb"/>
        <w:ind w:left="720"/>
      </w:pPr>
      <w:r>
        <w:t xml:space="preserve">Appellant's implicit argument is that the severity of the crime and admitted malice with which she caused death and serious injury could not warrant standard range sentence terms. As the sentencing court explained: The amount of pain and suffering that this defendant has caused is enormous. The terrible impact of her crime is certainly enduring. It's clearly apparent that the injuries could have been far worse; we have firefighters and the Trooper Burnett who escaped death or serious bodily injury just </w:t>
      </w:r>
      <w:r>
        <w:lastRenderedPageBreak/>
        <w:t xml:space="preserve">simply by inches that day. She acted recklessly and she acted with malice. She did not care about the rules of the road or the safety of others. She had no justification or excuse for her conduct.” </w:t>
      </w:r>
    </w:p>
    <w:p w14:paraId="2C969782" w14:textId="77777777" w:rsidR="00AD6C0A" w:rsidRPr="00E76DDF" w:rsidRDefault="00AD6C0A" w:rsidP="00AD6C0A">
      <w:pPr>
        <w:pStyle w:val="NormalWeb"/>
        <w:rPr>
          <w:b/>
          <w:bCs/>
        </w:rPr>
      </w:pPr>
      <w:r>
        <w:rPr>
          <w:b/>
          <w:bCs/>
        </w:rPr>
        <w:t xml:space="preserve">Legal Lesson Learned:  The sentence imposed was appropriate for pain inflicted. </w:t>
      </w:r>
    </w:p>
    <w:p w14:paraId="283F267A" w14:textId="77777777" w:rsidR="00AD6C0A" w:rsidRPr="00AD6C0A" w:rsidRDefault="00AD6C0A" w:rsidP="00AD6C0A">
      <w:pPr>
        <w:pStyle w:val="Heading1"/>
        <w:ind w:left="720"/>
        <w:rPr>
          <w:b w:val="0"/>
          <w:bCs w:val="0"/>
          <w:sz w:val="24"/>
          <w:szCs w:val="24"/>
        </w:rPr>
      </w:pPr>
      <w:r w:rsidRPr="00AD6C0A">
        <w:rPr>
          <w:b w:val="0"/>
          <w:bCs w:val="0"/>
          <w:sz w:val="24"/>
          <w:szCs w:val="24"/>
        </w:rPr>
        <w:t>Note: See National Fallen Firefighters Foundation article on FF Thomas E. Royds, better known as “</w:t>
      </w:r>
      <w:proofErr w:type="spellStart"/>
      <w:r w:rsidRPr="00AD6C0A">
        <w:rPr>
          <w:b w:val="0"/>
          <w:bCs w:val="0"/>
          <w:sz w:val="24"/>
          <w:szCs w:val="24"/>
        </w:rPr>
        <w:t>Roydsy</w:t>
      </w:r>
      <w:proofErr w:type="spellEnd"/>
      <w:r w:rsidRPr="00AD6C0A">
        <w:rPr>
          <w:b w:val="0"/>
          <w:bCs w:val="0"/>
          <w:sz w:val="24"/>
          <w:szCs w:val="24"/>
        </w:rPr>
        <w:t>.”</w:t>
      </w:r>
      <w:r w:rsidRPr="00F125FC">
        <w:t xml:space="preserve"> </w:t>
      </w:r>
      <w:hyperlink r:id="rId481" w:history="1">
        <w:r w:rsidRPr="00AD6C0A">
          <w:rPr>
            <w:rStyle w:val="Hyperlink"/>
            <w:b w:val="0"/>
            <w:bCs w:val="0"/>
            <w:sz w:val="24"/>
            <w:szCs w:val="24"/>
          </w:rPr>
          <w:t>https://www.firehero.org/fallen-firefighter/thomas-e-royds/</w:t>
        </w:r>
      </w:hyperlink>
      <w:r w:rsidRPr="00AD6C0A">
        <w:rPr>
          <w:b w:val="0"/>
          <w:bCs w:val="0"/>
          <w:sz w:val="24"/>
          <w:szCs w:val="24"/>
        </w:rPr>
        <w:t xml:space="preserve"> </w:t>
      </w:r>
    </w:p>
    <w:p w14:paraId="2F963009" w14:textId="77777777" w:rsidR="008E2491" w:rsidRDefault="008E2491" w:rsidP="00286F24">
      <w:pPr>
        <w:rPr>
          <w:rFonts w:ascii="Arial Black" w:hAnsi="Arial Black"/>
          <w:sz w:val="24"/>
          <w:szCs w:val="24"/>
        </w:rPr>
      </w:pPr>
    </w:p>
    <w:p w14:paraId="4B94DF71" w14:textId="77777777" w:rsidR="008E2491" w:rsidRDefault="008E2491" w:rsidP="00286F24">
      <w:pPr>
        <w:rPr>
          <w:rFonts w:ascii="Arial Black" w:hAnsi="Arial Black"/>
          <w:sz w:val="24"/>
          <w:szCs w:val="24"/>
        </w:rPr>
      </w:pPr>
    </w:p>
    <w:p w14:paraId="03648DED" w14:textId="77777777" w:rsidR="008E2491" w:rsidRDefault="008E2491" w:rsidP="00286F24">
      <w:pPr>
        <w:rPr>
          <w:rFonts w:ascii="Arial Black" w:hAnsi="Arial Black"/>
          <w:sz w:val="24"/>
          <w:szCs w:val="24"/>
        </w:rPr>
      </w:pPr>
    </w:p>
    <w:p w14:paraId="04A4600D" w14:textId="4DFC9DA1" w:rsidR="007276B8" w:rsidRDefault="007276B8" w:rsidP="00286F24">
      <w:pPr>
        <w:rPr>
          <w:rFonts w:ascii="Arial Black" w:hAnsi="Arial Black"/>
          <w:sz w:val="24"/>
          <w:szCs w:val="24"/>
        </w:rPr>
      </w:pPr>
      <w:r>
        <w:rPr>
          <w:rFonts w:ascii="Arial Black" w:hAnsi="Arial Black"/>
          <w:sz w:val="24"/>
          <w:szCs w:val="24"/>
        </w:rPr>
        <w:t>2-6</w:t>
      </w:r>
      <w:r w:rsidR="007C073D">
        <w:rPr>
          <w:rFonts w:ascii="Arial Black" w:hAnsi="Arial Black"/>
          <w:sz w:val="24"/>
          <w:szCs w:val="24"/>
        </w:rPr>
        <w:t>8</w:t>
      </w:r>
    </w:p>
    <w:p w14:paraId="739DB05B" w14:textId="77777777" w:rsidR="00C9473D" w:rsidRPr="00310BF3" w:rsidRDefault="00C9473D" w:rsidP="00C9473D">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NY: FDNY EMT INJURED UNEVEN CONCRETE FD – CAN’T SUE CITY NY “FIREMAN’S RULE” – ONLY WORKER COMP</w:t>
      </w:r>
    </w:p>
    <w:p w14:paraId="19FB3B66" w14:textId="77777777" w:rsidR="009F1660" w:rsidRPr="001D1878" w:rsidRDefault="00C9473D" w:rsidP="009F1660">
      <w:pPr>
        <w:spacing w:before="100" w:beforeAutospacing="1" w:after="100" w:afterAutospacing="1" w:line="240" w:lineRule="auto"/>
        <w:rPr>
          <w:rFonts w:ascii="Times New Roman" w:hAnsi="Times New Roman"/>
          <w:sz w:val="24"/>
          <w:szCs w:val="24"/>
        </w:rPr>
      </w:pPr>
      <w:r w:rsidRPr="00B93E70">
        <w:rPr>
          <w:rFonts w:ascii="Times New Roman" w:eastAsia="Times New Roman" w:hAnsi="Times New Roman"/>
          <w:sz w:val="24"/>
          <w:szCs w:val="24"/>
        </w:rPr>
        <w:t xml:space="preserve">On May 15, 2024, in </w:t>
      </w:r>
      <w:r w:rsidRPr="00B93E70">
        <w:rPr>
          <w:rFonts w:ascii="Times New Roman" w:eastAsia="Times New Roman" w:hAnsi="Times New Roman"/>
          <w:sz w:val="24"/>
          <w:szCs w:val="24"/>
          <w:u w:val="single"/>
        </w:rPr>
        <w:t>Maritza Sanchez v, The City of New York</w:t>
      </w:r>
      <w:r w:rsidRPr="00B93E70">
        <w:rPr>
          <w:rFonts w:ascii="Times New Roman" w:eastAsia="Times New Roman" w:hAnsi="Times New Roman"/>
          <w:sz w:val="24"/>
          <w:szCs w:val="24"/>
        </w:rPr>
        <w:t xml:space="preserve">, Judge </w:t>
      </w:r>
      <w:r w:rsidRPr="00B93E70">
        <w:rPr>
          <w:rFonts w:ascii="Times New Roman" w:hAnsi="Times New Roman"/>
          <w:sz w:val="24"/>
          <w:szCs w:val="24"/>
        </w:rPr>
        <w:t xml:space="preserve"> J. Machelle Sweeting, Supreme Court, New York County, granted the City’s motion to dismiss this lawsuit.  The EMT was injured on July 25, 2022, filed for workers’ comp</w:t>
      </w:r>
      <w:r>
        <w:rPr>
          <w:rFonts w:ascii="Times New Roman" w:hAnsi="Times New Roman"/>
          <w:sz w:val="24"/>
          <w:szCs w:val="24"/>
        </w:rPr>
        <w:t xml:space="preserve">ensation, </w:t>
      </w:r>
      <w:r w:rsidRPr="00B93E70">
        <w:rPr>
          <w:rFonts w:ascii="Times New Roman" w:hAnsi="Times New Roman"/>
          <w:sz w:val="24"/>
          <w:szCs w:val="24"/>
        </w:rPr>
        <w:t xml:space="preserve">and received approximately $8,767.85 in workers' compensation benefits and $8,767.85 in medical benefits.  </w:t>
      </w:r>
      <w:r>
        <w:rPr>
          <w:rFonts w:ascii="Times New Roman" w:hAnsi="Times New Roman"/>
          <w:sz w:val="24"/>
          <w:szCs w:val="24"/>
        </w:rPr>
        <w:t xml:space="preserve">While NY has amended the “fireman’s rule” to allow police and firefighters to sue third parties for injuries at premises cause by breach of statutes and safety codes, this does not allow lawsuits against their employer. </w:t>
      </w:r>
      <w:hyperlink r:id="rId482" w:history="1">
        <w:r w:rsidR="009F1660" w:rsidRPr="00220336">
          <w:rPr>
            <w:rStyle w:val="Hyperlink"/>
            <w:rFonts w:ascii="Times New Roman" w:eastAsia="Times New Roman" w:hAnsi="Times New Roman"/>
            <w:sz w:val="24"/>
            <w:szCs w:val="24"/>
          </w:rPr>
          <w:t>https://cases.justia.com/new-york/other-courts/2024-2024-ny-slip-op-31696-u.pdf?ts=1716238363</w:t>
        </w:r>
      </w:hyperlink>
      <w:r w:rsidR="009F1660">
        <w:rPr>
          <w:rFonts w:ascii="Times New Roman" w:eastAsia="Times New Roman" w:hAnsi="Times New Roman"/>
          <w:sz w:val="24"/>
          <w:szCs w:val="24"/>
        </w:rPr>
        <w:t xml:space="preserve"> </w:t>
      </w:r>
    </w:p>
    <w:p w14:paraId="69704630" w14:textId="49F28EF4" w:rsidR="00C9473D" w:rsidRPr="001D1878" w:rsidRDefault="009F1660" w:rsidP="001D1878">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 </w:t>
      </w:r>
      <w:r w:rsidR="001D1878">
        <w:rPr>
          <w:rFonts w:ascii="Times New Roman" w:hAnsi="Times New Roman"/>
          <w:sz w:val="24"/>
          <w:szCs w:val="24"/>
        </w:rPr>
        <w:t xml:space="preserve">THE COURT HELD: </w:t>
      </w:r>
      <w:r w:rsidR="00C9473D">
        <w:rPr>
          <w:rFonts w:ascii="Times New Roman" w:hAnsi="Times New Roman"/>
          <w:sz w:val="24"/>
          <w:szCs w:val="24"/>
        </w:rPr>
        <w:t xml:space="preserve"> </w:t>
      </w:r>
      <w:r w:rsidR="00C9473D">
        <w:rPr>
          <w:rFonts w:ascii="Times New Roman" w:eastAsia="Times New Roman" w:hAnsi="Times New Roman"/>
          <w:sz w:val="24"/>
          <w:szCs w:val="24"/>
        </w:rPr>
        <w:t>“</w:t>
      </w:r>
      <w:r w:rsidR="00C9473D" w:rsidRPr="00310BF3">
        <w:rPr>
          <w:rFonts w:ascii="Times New Roman" w:eastAsia="Times New Roman" w:hAnsi="Times New Roman"/>
          <w:sz w:val="24"/>
          <w:szCs w:val="24"/>
        </w:rPr>
        <w:t xml:space="preserve">More importantly, even if GML 205-e </w:t>
      </w:r>
      <w:r w:rsidR="00C9473D">
        <w:rPr>
          <w:rFonts w:ascii="Times New Roman" w:eastAsia="Times New Roman" w:hAnsi="Times New Roman"/>
          <w:sz w:val="24"/>
          <w:szCs w:val="24"/>
        </w:rPr>
        <w:t xml:space="preserve">[amending Fireman’s Rule’] </w:t>
      </w:r>
      <w:r w:rsidR="00C9473D" w:rsidRPr="00310BF3">
        <w:rPr>
          <w:rFonts w:ascii="Times New Roman" w:eastAsia="Times New Roman" w:hAnsi="Times New Roman"/>
          <w:sz w:val="24"/>
          <w:szCs w:val="24"/>
        </w:rPr>
        <w:t xml:space="preserve">were applicable here, the New York Court of Appeals has made clear that an employee who receives workers' compensation benefits cannot also seek to hold his employer liable under GML 205-e. </w:t>
      </w:r>
      <w:r w:rsidR="00C9473D" w:rsidRPr="00310BF3">
        <w:rPr>
          <w:rFonts w:ascii="Times New Roman" w:eastAsia="Times New Roman" w:hAnsi="Times New Roman"/>
          <w:i/>
          <w:iCs/>
          <w:sz w:val="24"/>
          <w:szCs w:val="24"/>
        </w:rPr>
        <w:t>See Matter of Diegelman v City of Buffalo</w:t>
      </w:r>
      <w:r w:rsidR="00C9473D" w:rsidRPr="00310BF3">
        <w:rPr>
          <w:rFonts w:ascii="Times New Roman" w:eastAsia="Times New Roman" w:hAnsi="Times New Roman"/>
          <w:sz w:val="24"/>
          <w:szCs w:val="24"/>
        </w:rPr>
        <w:t xml:space="preserve">, 28 N.Y.3d 231 (2016): </w:t>
      </w:r>
      <w:r w:rsidR="00C9473D">
        <w:rPr>
          <w:rFonts w:ascii="Times New Roman" w:eastAsia="Times New Roman" w:hAnsi="Times New Roman"/>
          <w:sz w:val="24"/>
          <w:szCs w:val="24"/>
        </w:rPr>
        <w:t>‘</w:t>
      </w:r>
      <w:r w:rsidR="00C9473D" w:rsidRPr="00310BF3">
        <w:rPr>
          <w:rFonts w:ascii="Times New Roman" w:eastAsia="Times New Roman" w:hAnsi="Times New Roman"/>
          <w:sz w:val="24"/>
          <w:szCs w:val="24"/>
        </w:rPr>
        <w:t xml:space="preserve">It is well settled that workers' compensation benefits are generally the </w:t>
      </w:r>
      <w:r w:rsidR="00C9473D">
        <w:rPr>
          <w:rFonts w:ascii="Times New Roman" w:eastAsia="Times New Roman" w:hAnsi="Times New Roman"/>
          <w:sz w:val="24"/>
          <w:szCs w:val="24"/>
        </w:rPr>
        <w:t>‘</w:t>
      </w:r>
      <w:r w:rsidR="00C9473D" w:rsidRPr="00310BF3">
        <w:rPr>
          <w:rFonts w:ascii="Times New Roman" w:eastAsia="Times New Roman" w:hAnsi="Times New Roman"/>
          <w:sz w:val="24"/>
          <w:szCs w:val="24"/>
        </w:rPr>
        <w:t>sole and exclusive remedy of an employee against his [or her] employer for injuries in the course of employment,</w:t>
      </w:r>
      <w:r w:rsidR="00C9473D">
        <w:rPr>
          <w:rFonts w:ascii="Times New Roman" w:eastAsia="Times New Roman" w:hAnsi="Times New Roman"/>
          <w:sz w:val="24"/>
          <w:szCs w:val="24"/>
        </w:rPr>
        <w:t>’</w:t>
      </w:r>
      <w:r w:rsidR="00C9473D" w:rsidRPr="00310BF3">
        <w:rPr>
          <w:rFonts w:ascii="Times New Roman" w:eastAsia="Times New Roman" w:hAnsi="Times New Roman"/>
          <w:sz w:val="24"/>
          <w:szCs w:val="24"/>
        </w:rPr>
        <w:t xml:space="preserve"> and that the receipt of such benefits </w:t>
      </w:r>
      <w:r w:rsidR="00C9473D">
        <w:rPr>
          <w:rFonts w:ascii="Times New Roman" w:eastAsia="Times New Roman" w:hAnsi="Times New Roman"/>
          <w:sz w:val="24"/>
          <w:szCs w:val="24"/>
        </w:rPr>
        <w:t>‘</w:t>
      </w:r>
      <w:r w:rsidR="00C9473D" w:rsidRPr="00310BF3">
        <w:rPr>
          <w:rFonts w:ascii="Times New Roman" w:eastAsia="Times New Roman" w:hAnsi="Times New Roman"/>
          <w:sz w:val="24"/>
          <w:szCs w:val="24"/>
        </w:rPr>
        <w:t>precludes suits against an employer for injuries in the course of employment</w:t>
      </w:r>
      <w:r w:rsidR="00C9473D">
        <w:rPr>
          <w:rFonts w:ascii="Times New Roman" w:eastAsia="Times New Roman" w:hAnsi="Times New Roman"/>
          <w:sz w:val="24"/>
          <w:szCs w:val="24"/>
        </w:rPr>
        <w:t>’</w:t>
      </w:r>
      <w:r w:rsidR="00C9473D" w:rsidRPr="00310BF3">
        <w:rPr>
          <w:rFonts w:ascii="Times New Roman" w:eastAsia="Times New Roman" w:hAnsi="Times New Roman"/>
          <w:sz w:val="24"/>
          <w:szCs w:val="24"/>
        </w:rPr>
        <w:t xml:space="preserve"> </w:t>
      </w:r>
      <w:r w:rsidR="00C9473D" w:rsidRPr="00310BF3">
        <w:rPr>
          <w:rFonts w:ascii="Times New Roman" w:eastAsia="Times New Roman" w:hAnsi="Times New Roman"/>
          <w:i/>
          <w:iCs/>
          <w:sz w:val="24"/>
          <w:szCs w:val="24"/>
        </w:rPr>
        <w:t>(Weiner v. City of New York,</w:t>
      </w:r>
      <w:r w:rsidR="00C9473D" w:rsidRPr="00310BF3">
        <w:rPr>
          <w:rFonts w:ascii="Times New Roman" w:eastAsia="Times New Roman" w:hAnsi="Times New Roman"/>
          <w:sz w:val="24"/>
          <w:szCs w:val="24"/>
        </w:rPr>
        <w:t xml:space="preserve"> 19 N.Y.3d 852, 854, 947 N.Y.S.2d 404, 970 N.E.2d 427 [2012]).</w:t>
      </w:r>
      <w:r w:rsidR="00C9473D">
        <w:rPr>
          <w:rFonts w:ascii="Times New Roman" w:eastAsia="Times New Roman" w:hAnsi="Times New Roman"/>
          <w:sz w:val="24"/>
          <w:szCs w:val="24"/>
        </w:rPr>
        <w:t xml:space="preserve">” </w:t>
      </w:r>
    </w:p>
    <w:p w14:paraId="3089FE8E" w14:textId="77777777" w:rsidR="008E2491" w:rsidRDefault="008E2491" w:rsidP="008E2491">
      <w:pPr>
        <w:spacing w:after="100" w:line="240" w:lineRule="auto"/>
        <w:rPr>
          <w:rFonts w:ascii="Times New Roman" w:hAnsi="Times New Roman"/>
          <w:b/>
          <w:bCs/>
          <w:sz w:val="24"/>
          <w:szCs w:val="24"/>
        </w:rPr>
      </w:pPr>
      <w:r w:rsidRPr="00A06313">
        <w:rPr>
          <w:rFonts w:ascii="Times New Roman" w:hAnsi="Times New Roman"/>
          <w:b/>
          <w:bCs/>
          <w:sz w:val="24"/>
          <w:szCs w:val="24"/>
        </w:rPr>
        <w:t>Legal Lesson Learned:</w:t>
      </w:r>
      <w:r>
        <w:rPr>
          <w:rFonts w:ascii="Times New Roman" w:hAnsi="Times New Roman"/>
          <w:b/>
          <w:bCs/>
          <w:sz w:val="24"/>
          <w:szCs w:val="24"/>
        </w:rPr>
        <w:t xml:space="preserve"> EMT’s only remedy is worker’s comp.</w:t>
      </w:r>
    </w:p>
    <w:p w14:paraId="38F74DE0" w14:textId="77777777" w:rsidR="008E2491" w:rsidRDefault="008E2491" w:rsidP="008E2491">
      <w:pPr>
        <w:spacing w:after="100" w:line="240" w:lineRule="auto"/>
        <w:ind w:left="720"/>
        <w:rPr>
          <w:rFonts w:ascii="Times New Roman" w:hAnsi="Times New Roman"/>
          <w:sz w:val="24"/>
          <w:szCs w:val="24"/>
        </w:rPr>
      </w:pPr>
      <w:r w:rsidRPr="00A06313">
        <w:rPr>
          <w:rFonts w:ascii="Times New Roman" w:hAnsi="Times New Roman"/>
          <w:sz w:val="24"/>
          <w:szCs w:val="24"/>
        </w:rPr>
        <w:t xml:space="preserve">Note: </w:t>
      </w:r>
      <w:r>
        <w:rPr>
          <w:rFonts w:ascii="Times New Roman" w:hAnsi="Times New Roman"/>
          <w:sz w:val="24"/>
          <w:szCs w:val="24"/>
        </w:rPr>
        <w:t>Several states have abolished the “Fireman’s Rule” to allow fire and police to sue third parties for injuries at a premises. Ohio has not abolished the Fireman’s Rule.</w:t>
      </w:r>
    </w:p>
    <w:p w14:paraId="02735E60" w14:textId="77777777" w:rsidR="008E2491" w:rsidRDefault="008E2491" w:rsidP="008E2491">
      <w:pPr>
        <w:spacing w:after="100" w:line="240" w:lineRule="auto"/>
        <w:ind w:left="1440"/>
        <w:rPr>
          <w:rFonts w:ascii="Times New Roman" w:hAnsi="Times New Roman"/>
          <w:sz w:val="24"/>
          <w:szCs w:val="24"/>
        </w:rPr>
      </w:pPr>
      <w:r>
        <w:rPr>
          <w:rFonts w:ascii="Times New Roman" w:hAnsi="Times New Roman"/>
          <w:sz w:val="24"/>
          <w:szCs w:val="24"/>
        </w:rPr>
        <w:t xml:space="preserve">Florida: </w:t>
      </w:r>
      <w:hyperlink r:id="rId483" w:history="1">
        <w:r w:rsidRPr="00220336">
          <w:rPr>
            <w:rStyle w:val="Hyperlink"/>
            <w:rFonts w:ascii="Times New Roman" w:hAnsi="Times New Roman"/>
            <w:sz w:val="24"/>
            <w:szCs w:val="24"/>
          </w:rPr>
          <w:t>https://casetext.com/statute/florida-statutes/title-x-public-officers-employees-and-records/chapter-112-public-officers-and-employees-general-provisions/part-i-conditions-of-employment-retirement-travel-expenses/section-112182-firefighter-rule-abolished</w:t>
        </w:r>
      </w:hyperlink>
      <w:r>
        <w:rPr>
          <w:rFonts w:ascii="Times New Roman" w:hAnsi="Times New Roman"/>
          <w:sz w:val="24"/>
          <w:szCs w:val="24"/>
        </w:rPr>
        <w:t xml:space="preserve"> </w:t>
      </w:r>
    </w:p>
    <w:p w14:paraId="1EF82DBE" w14:textId="77777777" w:rsidR="008E2491" w:rsidRDefault="008E2491" w:rsidP="008E2491">
      <w:pPr>
        <w:spacing w:after="100" w:line="240" w:lineRule="auto"/>
        <w:ind w:left="720"/>
        <w:rPr>
          <w:rFonts w:ascii="Times New Roman" w:hAnsi="Times New Roman"/>
          <w:sz w:val="24"/>
          <w:szCs w:val="24"/>
        </w:rPr>
      </w:pPr>
    </w:p>
    <w:p w14:paraId="31FF9397" w14:textId="77777777" w:rsidR="008E2491" w:rsidRDefault="008E2491" w:rsidP="008E2491">
      <w:pPr>
        <w:spacing w:after="100" w:line="240" w:lineRule="auto"/>
        <w:ind w:left="720" w:firstLine="720"/>
        <w:rPr>
          <w:rFonts w:ascii="Times New Roman" w:hAnsi="Times New Roman"/>
          <w:sz w:val="24"/>
          <w:szCs w:val="24"/>
        </w:rPr>
      </w:pPr>
      <w:r>
        <w:rPr>
          <w:rFonts w:ascii="Times New Roman" w:hAnsi="Times New Roman"/>
          <w:sz w:val="24"/>
          <w:szCs w:val="24"/>
        </w:rPr>
        <w:t xml:space="preserve">Minnesota: </w:t>
      </w:r>
      <w:hyperlink r:id="rId484" w:history="1">
        <w:r w:rsidRPr="00220336">
          <w:rPr>
            <w:rStyle w:val="Hyperlink"/>
            <w:rFonts w:ascii="Times New Roman" w:hAnsi="Times New Roman"/>
            <w:sz w:val="24"/>
            <w:szCs w:val="24"/>
          </w:rPr>
          <w:t>https://www.revisor.mn.gov/statutes/cite/604.06</w:t>
        </w:r>
      </w:hyperlink>
      <w:r>
        <w:rPr>
          <w:rFonts w:ascii="Times New Roman" w:hAnsi="Times New Roman"/>
          <w:sz w:val="24"/>
          <w:szCs w:val="24"/>
        </w:rPr>
        <w:t xml:space="preserve"> </w:t>
      </w:r>
    </w:p>
    <w:p w14:paraId="34CDCFDD" w14:textId="77777777" w:rsidR="008E2491" w:rsidRPr="0032228A" w:rsidRDefault="008E2491" w:rsidP="008E2491">
      <w:pPr>
        <w:spacing w:after="100" w:line="240" w:lineRule="auto"/>
        <w:ind w:left="1440"/>
        <w:rPr>
          <w:rFonts w:ascii="Times New Roman" w:eastAsia="Times New Roman" w:hAnsi="Times New Roman"/>
          <w:sz w:val="24"/>
          <w:szCs w:val="24"/>
        </w:rPr>
      </w:pPr>
      <w:r>
        <w:rPr>
          <w:rFonts w:ascii="Times New Roman" w:hAnsi="Times New Roman"/>
          <w:sz w:val="24"/>
          <w:szCs w:val="24"/>
        </w:rPr>
        <w:t>New Jersey.  “</w:t>
      </w:r>
      <w:r w:rsidRPr="0032228A">
        <w:rPr>
          <w:rFonts w:ascii="Times New Roman" w:hAnsi="Times New Roman"/>
          <w:sz w:val="24"/>
          <w:szCs w:val="24"/>
        </w:rPr>
        <w:t>In a decision issued on March 13, 2007, the Supreme Court of New Jersey ruled that the common law doctrine prohibiting first responders from recovering damages from a property owner for a personal injury sustained while confronting an emergency on the owner’s premises, is no longer in effect.</w:t>
      </w:r>
      <w:r>
        <w:rPr>
          <w:rFonts w:ascii="Times New Roman" w:hAnsi="Times New Roman"/>
          <w:sz w:val="24"/>
          <w:szCs w:val="24"/>
        </w:rPr>
        <w:t xml:space="preserve">” </w:t>
      </w:r>
      <w:hyperlink r:id="rId485" w:history="1">
        <w:r w:rsidRPr="00220336">
          <w:rPr>
            <w:rStyle w:val="Hyperlink"/>
            <w:rFonts w:ascii="Times New Roman" w:hAnsi="Times New Roman"/>
            <w:sz w:val="24"/>
            <w:szCs w:val="24"/>
          </w:rPr>
          <w:t>https://www.pralaw.com/articles/the-supreme-court-of-new-jersey-rules-that-the-firefighters-rule-has-been-abolished</w:t>
        </w:r>
      </w:hyperlink>
      <w:r>
        <w:rPr>
          <w:rFonts w:ascii="Times New Roman" w:hAnsi="Times New Roman"/>
          <w:sz w:val="24"/>
          <w:szCs w:val="24"/>
        </w:rPr>
        <w:t xml:space="preserve"> </w:t>
      </w:r>
    </w:p>
    <w:p w14:paraId="56AC1A1D" w14:textId="77777777" w:rsidR="008E2491" w:rsidRDefault="008E2491" w:rsidP="008E249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lastRenderedPageBreak/>
        <w:t>Ohio has not abolished the Fireman’s Rule.</w:t>
      </w:r>
    </w:p>
    <w:p w14:paraId="2372B9A8" w14:textId="77777777" w:rsidR="008E2491" w:rsidRDefault="008E2491" w:rsidP="008E2491">
      <w:pPr>
        <w:pStyle w:val="NormalWeb"/>
        <w:ind w:left="720"/>
      </w:pPr>
      <w:r>
        <w:t>“</w:t>
      </w:r>
      <w:r w:rsidRPr="00BC1644">
        <w:t xml:space="preserve">In a victory for the rights of police officers and firefighters throughout the State of Ohio, on March 25, 2009, an unanimous Ohio Supreme Court refused to extend Ohio’s Fireman’s Rule to allow independent contractors to escape liability where an emergency responder (police officer, firefighter, etc.) is injured in the course of their employment as a result of a defective condition created by that contractor. In announcing its decision in the case of </w:t>
      </w:r>
      <w:proofErr w:type="spellStart"/>
      <w:r w:rsidRPr="00BC1644">
        <w:rPr>
          <w:i/>
          <w:iCs/>
        </w:rPr>
        <w:t>Torchik</w:t>
      </w:r>
      <w:proofErr w:type="spellEnd"/>
      <w:r w:rsidRPr="00BC1644">
        <w:rPr>
          <w:i/>
          <w:iCs/>
        </w:rPr>
        <w:t xml:space="preserve"> v. Boyce</w:t>
      </w:r>
      <w:r w:rsidRPr="00BC1644">
        <w:t xml:space="preserve">, the Court wrote that it </w:t>
      </w:r>
      <w:r>
        <w:t>‘</w:t>
      </w:r>
      <w:r w:rsidRPr="00BC1644">
        <w:t>ruled today that an independent contractor whose negligent work is alleged to have caused injury to a public safety officer is not covered by a common law ‘fireman’s rule’ that immunizes property owners from civil liability for injuries suffered by public safety officers who enter their property while on duty.</w:t>
      </w:r>
      <w:r>
        <w:t>’”</w:t>
      </w:r>
      <w:r w:rsidRPr="00F01FC6">
        <w:t xml:space="preserve"> </w:t>
      </w:r>
      <w:hyperlink r:id="rId486" w:history="1">
        <w:r w:rsidRPr="00220336">
          <w:rPr>
            <w:rStyle w:val="Hyperlink"/>
          </w:rPr>
          <w:t>https://livornoandarnett.com/ohios-firemans-rule/</w:t>
        </w:r>
      </w:hyperlink>
    </w:p>
    <w:p w14:paraId="554AC590" w14:textId="77777777" w:rsidR="008E2491" w:rsidRDefault="008E2491" w:rsidP="00C9473D">
      <w:pPr>
        <w:spacing w:before="100" w:beforeAutospacing="1" w:after="100" w:afterAutospacing="1" w:line="240" w:lineRule="auto"/>
        <w:ind w:left="720"/>
        <w:rPr>
          <w:rFonts w:ascii="Times New Roman" w:eastAsia="Times New Roman" w:hAnsi="Times New Roman"/>
          <w:sz w:val="24"/>
          <w:szCs w:val="24"/>
        </w:rPr>
      </w:pPr>
    </w:p>
    <w:p w14:paraId="6209AD80" w14:textId="77777777" w:rsidR="007276B8" w:rsidRDefault="007276B8" w:rsidP="00286F24">
      <w:pPr>
        <w:rPr>
          <w:rFonts w:ascii="Arial Black" w:hAnsi="Arial Black"/>
          <w:sz w:val="24"/>
          <w:szCs w:val="24"/>
        </w:rPr>
      </w:pPr>
    </w:p>
    <w:p w14:paraId="3CC35B26" w14:textId="77777777" w:rsidR="007276B8" w:rsidRDefault="007276B8" w:rsidP="00286F24">
      <w:pPr>
        <w:rPr>
          <w:rFonts w:ascii="Arial Black" w:hAnsi="Arial Black"/>
          <w:sz w:val="24"/>
          <w:szCs w:val="24"/>
        </w:rPr>
      </w:pPr>
    </w:p>
    <w:p w14:paraId="0DF52923" w14:textId="205F2041" w:rsidR="008C7F06" w:rsidRDefault="008C7F06" w:rsidP="00286F24">
      <w:pPr>
        <w:rPr>
          <w:rFonts w:ascii="Arial Black" w:hAnsi="Arial Black"/>
          <w:sz w:val="24"/>
          <w:szCs w:val="24"/>
        </w:rPr>
      </w:pPr>
      <w:r>
        <w:rPr>
          <w:rFonts w:ascii="Arial Black" w:hAnsi="Arial Black"/>
          <w:sz w:val="24"/>
          <w:szCs w:val="24"/>
        </w:rPr>
        <w:t>2-6</w:t>
      </w:r>
      <w:r w:rsidR="007C073D">
        <w:rPr>
          <w:rFonts w:ascii="Arial Black" w:hAnsi="Arial Black"/>
          <w:sz w:val="24"/>
          <w:szCs w:val="24"/>
        </w:rPr>
        <w:t>7</w:t>
      </w:r>
    </w:p>
    <w:p w14:paraId="667B89CE" w14:textId="77777777" w:rsidR="008C7F06" w:rsidRPr="005E58F4" w:rsidRDefault="008C7F06" w:rsidP="008C7F06">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 xml:space="preserve">IN: SCUFFLE WITH MENTAL AT FIRE STATION – TRIED ESCAPE PD CRUISER – HABITUAL OFFENDER – 26 YRS </w:t>
      </w:r>
    </w:p>
    <w:p w14:paraId="2C62A2D7" w14:textId="77777777" w:rsidR="008C7F06" w:rsidRDefault="008C7F06" w:rsidP="008C7F06">
      <w:pPr>
        <w:pStyle w:val="NormalWeb"/>
        <w:spacing w:before="0" w:beforeAutospacing="0"/>
        <w:rPr>
          <w:color w:val="454545"/>
          <w:shd w:val="clear" w:color="auto" w:fill="FFFFFF"/>
        </w:rPr>
      </w:pPr>
      <w:r>
        <w:rPr>
          <w:color w:val="454545"/>
          <w:shd w:val="clear" w:color="auto" w:fill="FFFFFF"/>
        </w:rPr>
        <w:t xml:space="preserve">On April 29, 2024, in </w:t>
      </w:r>
      <w:r w:rsidRPr="001F6456">
        <w:rPr>
          <w:color w:val="454545"/>
          <w:u w:val="single"/>
          <w:shd w:val="clear" w:color="auto" w:fill="FFFFFF"/>
        </w:rPr>
        <w:t>Warren A. Beals v. State of Indiana</w:t>
      </w:r>
      <w:r>
        <w:rPr>
          <w:color w:val="454545"/>
          <w:shd w:val="clear" w:color="auto" w:fill="FFFFFF"/>
        </w:rPr>
        <w:t xml:space="preserve">, the Court of Appeals of Indiana held (3 to 0) that the defendant was properly convicted by a jury and there is no basis for resentencing. On April 27, 2021, members of Marengo Volunteer FD heard yelling outside.  When defendant poked finger at Fire Chief (and reserve PD) </w:t>
      </w:r>
      <w:proofErr w:type="gramStart"/>
      <w:r>
        <w:rPr>
          <w:color w:val="454545"/>
          <w:shd w:val="clear" w:color="auto" w:fill="FFFFFF"/>
        </w:rPr>
        <w:t>tried</w:t>
      </w:r>
      <w:proofErr w:type="gramEnd"/>
      <w:r>
        <w:rPr>
          <w:color w:val="454545"/>
          <w:shd w:val="clear" w:color="auto" w:fill="FFFFFF"/>
        </w:rPr>
        <w:t xml:space="preserve"> to grab his service weapon, firefighters pushed him to floor.  When PD was transporting him to jail in front seat of patrol car without a cage, he tried to escape. </w:t>
      </w:r>
      <w:r>
        <w:t xml:space="preserve">The trial court sentenced Beals to six years for the Level 4 felony, attempted escape from PD causing bodily injury, plus a habitual offender sentencing enhancement of twenty years. </w:t>
      </w:r>
      <w:hyperlink r:id="rId487" w:history="1">
        <w:r w:rsidRPr="00A2355F">
          <w:rPr>
            <w:rStyle w:val="Hyperlink"/>
            <w:shd w:val="clear" w:color="auto" w:fill="FFFFFF"/>
          </w:rPr>
          <w:t>https://caselaw.findlaw.com/court/in-court-of-appeals/116108297.html</w:t>
        </w:r>
      </w:hyperlink>
      <w:r>
        <w:rPr>
          <w:color w:val="454545"/>
          <w:shd w:val="clear" w:color="auto" w:fill="FFFFFF"/>
        </w:rPr>
        <w:t xml:space="preserve"> </w:t>
      </w:r>
    </w:p>
    <w:p w14:paraId="5F0DE75F" w14:textId="77777777" w:rsidR="008C7F06" w:rsidRDefault="008C7F06" w:rsidP="008C7F06">
      <w:pPr>
        <w:pStyle w:val="NormalWeb"/>
        <w:spacing w:before="0" w:beforeAutospacing="0"/>
        <w:rPr>
          <w:color w:val="454545"/>
          <w:shd w:val="clear" w:color="auto" w:fill="FFFFFF"/>
        </w:rPr>
      </w:pPr>
      <w:r>
        <w:rPr>
          <w:color w:val="454545"/>
          <w:shd w:val="clear" w:color="auto" w:fill="FFFFFF"/>
        </w:rPr>
        <w:t>THE COURT HELD:</w:t>
      </w:r>
    </w:p>
    <w:p w14:paraId="33721C7A" w14:textId="77777777" w:rsidR="008C7F06" w:rsidRDefault="008C7F06" w:rsidP="008C7F06">
      <w:pPr>
        <w:pStyle w:val="NormalWeb"/>
        <w:spacing w:before="0" w:beforeAutospacing="0"/>
        <w:ind w:left="720"/>
      </w:pPr>
      <w:r>
        <w:t>“Police officers arrested Warren Beals after a scuffle at a fire station. On the way to jail, Beals opened the door to the police vehicle and attempted to get out, but the transporting officer restrained Beals until he could stop the car. A jury convicted Beals of Level 4 felony attempted escape causing bodily injury and Class A misdemeanor resisting law enforcement. The jury further determined Beals was a habitual offender.</w:t>
      </w:r>
    </w:p>
    <w:p w14:paraId="3BBB3C8D" w14:textId="77777777" w:rsidR="008C7F06" w:rsidRDefault="008C7F06" w:rsidP="008C7F06">
      <w:pPr>
        <w:pStyle w:val="NormalWeb"/>
        <w:spacing w:before="0" w:beforeAutospacing="0"/>
        <w:ind w:left="720"/>
      </w:pPr>
      <w:r>
        <w:t>***</w:t>
      </w:r>
      <w:r>
        <w:rPr>
          <w:color w:val="454545"/>
          <w:shd w:val="clear" w:color="auto" w:fill="FFFFFF"/>
        </w:rPr>
        <w:br/>
      </w:r>
      <w:r>
        <w:t xml:space="preserve">Beals </w:t>
      </w:r>
      <w:proofErr w:type="gramStart"/>
      <w:r>
        <w:t>was</w:t>
      </w:r>
      <w:proofErr w:type="gramEnd"/>
      <w:r>
        <w:t xml:space="preserve"> thirty-two years old at sentencing. He has three prior felony convictions: Class C battery resulting in serious bodily injury; Class D battery resulting in bodily injury to a law enforcement officer; and Class D intimidation. He has four prior misdemeanor convictions: Class A cruelty to an animal; Class B strangulation; Class B reckless driving; and Class B public intoxication. Beals </w:t>
      </w:r>
      <w:proofErr w:type="gramStart"/>
      <w:r>
        <w:t>has</w:t>
      </w:r>
      <w:proofErr w:type="gramEnd"/>
      <w:r>
        <w:t xml:space="preserve"> been placed on probation six times and </w:t>
      </w:r>
      <w:proofErr w:type="gramStart"/>
      <w:r>
        <w:t>has</w:t>
      </w:r>
      <w:proofErr w:type="gramEnd"/>
      <w:r>
        <w:t xml:space="preserve"> violated the terms of probation three times. His lengthy criminal history, including repeated acts of violence, speaks poorly of his character. And Beals' history of probation violations weighs against a lengthy term of probation here.</w:t>
      </w:r>
    </w:p>
    <w:p w14:paraId="190ECAF6" w14:textId="77777777" w:rsidR="008C7F06" w:rsidRDefault="008C7F06" w:rsidP="008C7F06">
      <w:pPr>
        <w:pStyle w:val="NormalWeb"/>
        <w:spacing w:before="0" w:beforeAutospacing="0"/>
        <w:ind w:left="720"/>
      </w:pPr>
      <w:r>
        <w:t>***</w:t>
      </w:r>
    </w:p>
    <w:p w14:paraId="678CFBC2" w14:textId="77777777" w:rsidR="008C7F06" w:rsidRDefault="008C7F06" w:rsidP="008C7F06">
      <w:pPr>
        <w:pStyle w:val="NormalWeb"/>
        <w:spacing w:before="0" w:beforeAutospacing="0"/>
        <w:ind w:left="720"/>
      </w:pPr>
      <w:r>
        <w:lastRenderedPageBreak/>
        <w:t>Based on the foregoing, we do not conclude that Beals was unable to control his behavior when he tried to get out of the vehicle and then tried to walk away. Considering Beals' history of mental illness in context with his extensive violent criminal record and the nature of the offenses, he has failed to persuade us that his sentence is an outlier needing revision.”</w:t>
      </w:r>
    </w:p>
    <w:p w14:paraId="7B47443A" w14:textId="77777777" w:rsidR="008C7F06" w:rsidRPr="001D73FB" w:rsidRDefault="008C7F06" w:rsidP="008C7F06">
      <w:pPr>
        <w:pStyle w:val="NormalWeb"/>
        <w:rPr>
          <w:b/>
          <w:bCs/>
        </w:rPr>
      </w:pPr>
      <w:r w:rsidRPr="001D73FB">
        <w:rPr>
          <w:b/>
          <w:bCs/>
        </w:rPr>
        <w:t>Legal Lesson Learned:</w:t>
      </w:r>
      <w:r>
        <w:rPr>
          <w:b/>
          <w:bCs/>
        </w:rPr>
        <w:t xml:space="preserve"> Habitual offender laws can substantially increase a defendant’s sentence. </w:t>
      </w:r>
    </w:p>
    <w:p w14:paraId="78116891" w14:textId="77777777" w:rsidR="008C7F06" w:rsidRDefault="008C7F06" w:rsidP="008C7F06">
      <w:pPr>
        <w:rPr>
          <w:rFonts w:ascii="Arial Black" w:hAnsi="Arial Black"/>
          <w:sz w:val="28"/>
          <w:szCs w:val="28"/>
        </w:rPr>
      </w:pPr>
    </w:p>
    <w:p w14:paraId="160C072A" w14:textId="77777777" w:rsidR="008C7F06" w:rsidRDefault="008C7F06" w:rsidP="00286F24">
      <w:pPr>
        <w:rPr>
          <w:rFonts w:ascii="Arial Black" w:hAnsi="Arial Black"/>
          <w:sz w:val="24"/>
          <w:szCs w:val="24"/>
        </w:rPr>
      </w:pPr>
    </w:p>
    <w:p w14:paraId="256CCE4E" w14:textId="77777777" w:rsidR="008C7F06" w:rsidRDefault="008C7F06" w:rsidP="00286F24">
      <w:pPr>
        <w:rPr>
          <w:rFonts w:ascii="Arial Black" w:hAnsi="Arial Black"/>
          <w:sz w:val="24"/>
          <w:szCs w:val="24"/>
        </w:rPr>
      </w:pPr>
    </w:p>
    <w:p w14:paraId="0E15BC69" w14:textId="21B7B23E" w:rsidR="00286F24" w:rsidRDefault="00286F24" w:rsidP="00286F24">
      <w:pPr>
        <w:rPr>
          <w:rFonts w:ascii="Arial Black" w:hAnsi="Arial Black"/>
          <w:sz w:val="24"/>
          <w:szCs w:val="24"/>
        </w:rPr>
      </w:pPr>
      <w:r>
        <w:rPr>
          <w:rFonts w:ascii="Arial Black" w:hAnsi="Arial Black"/>
          <w:sz w:val="24"/>
          <w:szCs w:val="24"/>
        </w:rPr>
        <w:t>2-6</w:t>
      </w:r>
      <w:r w:rsidR="007C073D">
        <w:rPr>
          <w:rFonts w:ascii="Arial Black" w:hAnsi="Arial Black"/>
          <w:sz w:val="24"/>
          <w:szCs w:val="24"/>
        </w:rPr>
        <w:t>6</w:t>
      </w:r>
    </w:p>
    <w:p w14:paraId="179C4A70" w14:textId="7BD3FCC6" w:rsidR="00286F24" w:rsidRPr="00A85425" w:rsidRDefault="00286F24" w:rsidP="00286F24">
      <w:pPr>
        <w:pStyle w:val="NoSpacing"/>
        <w:rPr>
          <w:rFonts w:ascii="Arial Black" w:hAnsi="Arial Black"/>
          <w:sz w:val="28"/>
          <w:szCs w:val="28"/>
        </w:rPr>
      </w:pPr>
      <w:r>
        <w:rPr>
          <w:rFonts w:ascii="Arial Black" w:hAnsi="Arial Black"/>
          <w:sz w:val="28"/>
          <w:szCs w:val="28"/>
        </w:rPr>
        <w:t>PA: PSYCH SEVERLY INJURED EMT - TRANSPORT FROM HOSP TO PSCH UNIT – NO PROOF HOSP MALPRACTICE</w:t>
      </w:r>
    </w:p>
    <w:p w14:paraId="61E07A56" w14:textId="16B89E9F" w:rsidR="00286F24" w:rsidRDefault="00286F24" w:rsidP="00286F24">
      <w:pPr>
        <w:pStyle w:val="NormalWeb"/>
      </w:pPr>
      <w:r>
        <w:t xml:space="preserve">On March 20, 2024, in </w:t>
      </w:r>
      <w:r w:rsidRPr="004B6EC2">
        <w:rPr>
          <w:u w:val="single"/>
        </w:rPr>
        <w:t>Cori Larsen v. Wayne Memorial Hospital and Paige Castelino, et al</w:t>
      </w:r>
      <w:r>
        <w:t xml:space="preserve">., the Superior Court of Pennsylvania, held (3 to 0) that the trial court judge properly granted defense motion for summary judgment; the EMT was severely injured by the minor patient during transport: </w:t>
      </w:r>
      <w:r w:rsidRPr="00486655">
        <w:t>detached retina, fractured teeth, concussion, and contusions of the knee and ribs</w:t>
      </w:r>
      <w:r>
        <w:t xml:space="preserve">, but the EMT failed to prove a breach of standard of care when hospital released the patient to a </w:t>
      </w:r>
      <w:r w:rsidRPr="00486655">
        <w:t>psychiatric facility</w:t>
      </w:r>
      <w:r>
        <w:t>. The EMT’s</w:t>
      </w:r>
      <w:r w:rsidRPr="00486655">
        <w:t xml:space="preserve"> </w:t>
      </w:r>
      <w:r>
        <w:t>expert witness affidavit was from an ER doctor, not an Internal Medicine / mental health physician.</w:t>
      </w:r>
    </w:p>
    <w:p w14:paraId="4B60F0E8" w14:textId="77777777" w:rsidR="009A27F2" w:rsidRPr="004C0299" w:rsidRDefault="009A27F2" w:rsidP="009A27F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7BC2124D" w14:textId="77777777" w:rsidR="00286F24" w:rsidRDefault="00286F24" w:rsidP="00286F24">
      <w:pPr>
        <w:pStyle w:val="NormalWeb"/>
        <w:ind w:left="720"/>
      </w:pPr>
      <w:r>
        <w:t xml:space="preserve">“On appeal, Larsen argues the trial court erred in granting Appellees' motion for summary judgment because (1) Appellees owed Larsen a duty, notwithstanding the fact that Larsen was not Appellees' patient, and (2) Larsen's liability expert was qualified to opine on breaches of the standard of care by Appellees.  Due to our disposition on the second issue, we need not reach the first issue - as even if we assume, arguendo, that Appellees owed Larsen a duty, we agree with the trial court that Larsen failed to meet her burden of producing a qualified expert to opine on a breach of the standard of care by Appellees. </w:t>
      </w:r>
    </w:p>
    <w:p w14:paraId="5F4504BD" w14:textId="77777777" w:rsidR="00286F24" w:rsidRPr="00A85425" w:rsidRDefault="00286F24" w:rsidP="00286F24">
      <w:pPr>
        <w:spacing w:before="100" w:beforeAutospacing="1" w:after="100" w:afterAutospacing="1" w:line="240" w:lineRule="auto"/>
        <w:rPr>
          <w:rFonts w:ascii="Times New Roman" w:eastAsia="Times New Roman" w:hAnsi="Times New Roman"/>
          <w:sz w:val="24"/>
          <w:szCs w:val="24"/>
        </w:rPr>
      </w:pPr>
      <w:r w:rsidRPr="00A85425">
        <w:rPr>
          <w:rFonts w:ascii="Times New Roman" w:eastAsia="Times New Roman" w:hAnsi="Times New Roman"/>
          <w:sz w:val="24"/>
          <w:szCs w:val="24"/>
        </w:rPr>
        <w:t xml:space="preserve">Dr. Kenneth Robinson authored a report in which he concluded "that Dr. Castelino and [WMH] failed to meet the standard of care, and that these failures caused the significant injuries sustained by [] Larsen." Brief in Support of Motion for Summary Judgment, 4/3/23, at Exhibit P. </w:t>
      </w:r>
    </w:p>
    <w:p w14:paraId="75D3AEBC" w14:textId="77777777" w:rsidR="00286F24" w:rsidRPr="00A85425" w:rsidRDefault="00286F24" w:rsidP="00286F24">
      <w:pPr>
        <w:spacing w:before="100" w:beforeAutospacing="1" w:after="100" w:afterAutospacing="1" w:line="240" w:lineRule="auto"/>
        <w:ind w:left="540"/>
        <w:rPr>
          <w:rFonts w:ascii="Times New Roman" w:eastAsia="Times New Roman" w:hAnsi="Times New Roman"/>
          <w:sz w:val="24"/>
          <w:szCs w:val="24"/>
        </w:rPr>
      </w:pPr>
      <w:r>
        <w:rPr>
          <w:rFonts w:ascii="Times New Roman" w:eastAsia="Times New Roman" w:hAnsi="Times New Roman"/>
          <w:sz w:val="24"/>
          <w:szCs w:val="24"/>
        </w:rPr>
        <w:t>“</w:t>
      </w:r>
      <w:r w:rsidRPr="00A85425">
        <w:rPr>
          <w:rFonts w:ascii="Times New Roman" w:eastAsia="Times New Roman" w:hAnsi="Times New Roman"/>
          <w:sz w:val="24"/>
          <w:szCs w:val="24"/>
        </w:rPr>
        <w:t xml:space="preserve">In its opinion, the trial court concluded Dr. Robinson is not qualified to render an opinion regarding the standard of care of Appellees, explaining as follows: </w:t>
      </w:r>
    </w:p>
    <w:p w14:paraId="54E34799" w14:textId="77777777" w:rsidR="00286F24" w:rsidRPr="00A85425" w:rsidRDefault="00286F24" w:rsidP="00286F24">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A85425">
        <w:rPr>
          <w:rFonts w:ascii="Times New Roman" w:eastAsia="Times New Roman" w:hAnsi="Times New Roman"/>
          <w:sz w:val="24"/>
          <w:szCs w:val="24"/>
        </w:rPr>
        <w:t xml:space="preserve">Dr. Robinson is board certified in emergency medicine while Dr. Castelino is board certified in internal medicine. Dr. Castelino, in her role as a specialist in internal medicine, treated T.D. and monitored her mental health over the course of T.D.'s multi-day commitment at WMH. Dr. Castelino is a hospitalist who coordinates the care of a patient during his or her stay. This is much different than the role of Dr. Robinson, chief of a hospital's department of emergency medicine. Further, Dr. Robinson states generally in the conclusion of his report that he has years of experience treating </w:t>
      </w:r>
      <w:r>
        <w:rPr>
          <w:rFonts w:ascii="Times New Roman" w:eastAsia="Times New Roman" w:hAnsi="Times New Roman"/>
          <w:sz w:val="24"/>
          <w:szCs w:val="24"/>
        </w:rPr>
        <w:t>‘</w:t>
      </w:r>
      <w:r w:rsidRPr="00A85425">
        <w:rPr>
          <w:rFonts w:ascii="Times New Roman" w:eastAsia="Times New Roman" w:hAnsi="Times New Roman"/>
          <w:sz w:val="24"/>
          <w:szCs w:val="24"/>
        </w:rPr>
        <w:t>a wide variety of patients</w:t>
      </w:r>
      <w:r>
        <w:rPr>
          <w:rFonts w:ascii="Times New Roman" w:eastAsia="Times New Roman" w:hAnsi="Times New Roman"/>
          <w:sz w:val="24"/>
          <w:szCs w:val="24"/>
        </w:rPr>
        <w:t>’</w:t>
      </w:r>
      <w:r w:rsidRPr="00A85425">
        <w:rPr>
          <w:rFonts w:ascii="Times New Roman" w:eastAsia="Times New Roman" w:hAnsi="Times New Roman"/>
          <w:sz w:val="24"/>
          <w:szCs w:val="24"/>
        </w:rPr>
        <w:t xml:space="preserve"> including </w:t>
      </w:r>
      <w:r>
        <w:rPr>
          <w:rFonts w:ascii="Times New Roman" w:eastAsia="Times New Roman" w:hAnsi="Times New Roman"/>
          <w:sz w:val="24"/>
          <w:szCs w:val="24"/>
        </w:rPr>
        <w:t>‘</w:t>
      </w:r>
      <w:r w:rsidRPr="00A85425">
        <w:rPr>
          <w:rFonts w:ascii="Times New Roman" w:eastAsia="Times New Roman" w:hAnsi="Times New Roman"/>
          <w:sz w:val="24"/>
          <w:szCs w:val="24"/>
        </w:rPr>
        <w:t>Behavioral Health patients.</w:t>
      </w:r>
      <w:r>
        <w:rPr>
          <w:rFonts w:ascii="Times New Roman" w:eastAsia="Times New Roman" w:hAnsi="Times New Roman"/>
          <w:sz w:val="24"/>
          <w:szCs w:val="24"/>
        </w:rPr>
        <w:t>’</w:t>
      </w:r>
      <w:r w:rsidRPr="00A85425">
        <w:rPr>
          <w:rFonts w:ascii="Times New Roman" w:eastAsia="Times New Roman" w:hAnsi="Times New Roman"/>
          <w:sz w:val="24"/>
          <w:szCs w:val="24"/>
        </w:rPr>
        <w:t xml:space="preserve"> However, his curriculum vitae, while replete with experience, certifications and acclaim in the </w:t>
      </w:r>
      <w:r w:rsidRPr="00A85425">
        <w:rPr>
          <w:rFonts w:ascii="Times New Roman" w:eastAsia="Times New Roman" w:hAnsi="Times New Roman"/>
          <w:sz w:val="24"/>
          <w:szCs w:val="24"/>
        </w:rPr>
        <w:lastRenderedPageBreak/>
        <w:t>areas of emergency medical services and trauma, is silent with regard to internal medicine and experience coordinating care of mental health patients</w:t>
      </w:r>
      <w:r>
        <w:rPr>
          <w:rFonts w:ascii="Times New Roman" w:eastAsia="Times New Roman" w:hAnsi="Times New Roman"/>
          <w:sz w:val="24"/>
          <w:szCs w:val="24"/>
        </w:rPr>
        <w:t xml:space="preserve">.” </w:t>
      </w:r>
      <w:hyperlink r:id="rId488" w:history="1">
        <w:r w:rsidRPr="0090046C">
          <w:rPr>
            <w:rStyle w:val="Hyperlink"/>
            <w:rFonts w:ascii="Times New Roman" w:eastAsia="Times New Roman" w:hAnsi="Times New Roman"/>
            <w:sz w:val="24"/>
            <w:szCs w:val="24"/>
          </w:rPr>
          <w:t>https://public.fastcase.com/H1P9uiW3J20SFp%2BGCG%2BxLbl0r%2FVDwzY9bFFJYqsh2zfJNVHn0JMcdFbkvIZSEaI0?utm_medium=email&amp;_hsmi=226712652&amp;_hsenc=p2ANqtz-8YA_f1AfCb15SVfFtIs0GBJg2UPhrOC0M_f0Fb9rbVagQyKLN71UFoiLhG6tJj5xQri87F989l3qtQXeXvmTCDhcNwWw&amp;utm_content=226712652&amp;utm_source=hs_email</w:t>
        </w:r>
      </w:hyperlink>
      <w:r>
        <w:rPr>
          <w:rFonts w:ascii="Times New Roman" w:eastAsia="Times New Roman" w:hAnsi="Times New Roman"/>
          <w:sz w:val="24"/>
          <w:szCs w:val="24"/>
        </w:rPr>
        <w:t xml:space="preserve"> </w:t>
      </w:r>
    </w:p>
    <w:p w14:paraId="5BCC5217" w14:textId="77777777" w:rsidR="00286F24" w:rsidRDefault="00286F24" w:rsidP="00286F24">
      <w:pPr>
        <w:pStyle w:val="NormalWeb"/>
      </w:pPr>
      <w:r w:rsidRPr="00E9331E">
        <w:rPr>
          <w:b/>
          <w:bCs/>
        </w:rPr>
        <w:t xml:space="preserve">Legal Lesson Learned:  The </w:t>
      </w:r>
      <w:r>
        <w:rPr>
          <w:b/>
          <w:bCs/>
        </w:rPr>
        <w:t xml:space="preserve">EMT </w:t>
      </w:r>
      <w:r w:rsidRPr="00E9331E">
        <w:rPr>
          <w:b/>
          <w:bCs/>
        </w:rPr>
        <w:t>failed to meet her burden of producing a qualified expert to opine on a breach of the standard of care</w:t>
      </w:r>
      <w:r>
        <w:rPr>
          <w:b/>
          <w:bCs/>
        </w:rPr>
        <w:t xml:space="preserve"> by hospital MD</w:t>
      </w:r>
      <w:r>
        <w:t xml:space="preserve">. </w:t>
      </w:r>
    </w:p>
    <w:p w14:paraId="48762F4C" w14:textId="77777777" w:rsidR="00286F24" w:rsidRDefault="00286F24" w:rsidP="00286F24">
      <w:pPr>
        <w:pStyle w:val="NormalWeb"/>
        <w:spacing w:before="0" w:beforeAutospacing="0"/>
      </w:pPr>
    </w:p>
    <w:p w14:paraId="79014282" w14:textId="77777777" w:rsidR="00286F24" w:rsidRDefault="00286F24" w:rsidP="00286F24">
      <w:pPr>
        <w:pStyle w:val="NormalWeb"/>
        <w:spacing w:before="0" w:beforeAutospacing="0"/>
      </w:pPr>
    </w:p>
    <w:p w14:paraId="40617581" w14:textId="53CCD726" w:rsidR="00286F24" w:rsidRPr="00760B23" w:rsidRDefault="00286F24" w:rsidP="00286F24">
      <w:pPr>
        <w:rPr>
          <w:rFonts w:ascii="Times New Roman" w:hAnsi="Times New Roman"/>
          <w:b/>
          <w:bCs/>
          <w:sz w:val="24"/>
          <w:szCs w:val="24"/>
        </w:rPr>
      </w:pPr>
      <w:r>
        <w:rPr>
          <w:rFonts w:ascii="Arial Black" w:hAnsi="Arial Black"/>
          <w:sz w:val="24"/>
          <w:szCs w:val="24"/>
        </w:rPr>
        <w:t>2-6</w:t>
      </w:r>
      <w:r w:rsidR="007C073D">
        <w:rPr>
          <w:rFonts w:ascii="Arial Black" w:hAnsi="Arial Black"/>
          <w:sz w:val="24"/>
          <w:szCs w:val="24"/>
        </w:rPr>
        <w:t>5</w:t>
      </w:r>
    </w:p>
    <w:p w14:paraId="75E5AE80" w14:textId="77777777" w:rsidR="00286F24" w:rsidRDefault="00286F24" w:rsidP="00286F24">
      <w:pPr>
        <w:pStyle w:val="NoSpacing"/>
        <w:jc w:val="center"/>
        <w:rPr>
          <w:rFonts w:ascii="Times New Roman" w:hAnsi="Times New Roman"/>
          <w:sz w:val="24"/>
          <w:szCs w:val="24"/>
          <w:shd w:val="clear" w:color="auto" w:fill="FFFFFF"/>
        </w:rPr>
      </w:pPr>
    </w:p>
    <w:p w14:paraId="218B069D" w14:textId="77777777" w:rsidR="00286F24" w:rsidRPr="005E4817" w:rsidRDefault="00286F24" w:rsidP="00286F24">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 xml:space="preserve">NJ: FF BACKGROUND CHECK – POOR DRIVING RECORD, FIRED FROM PD, DISORD. CONV – FF PROPERLY NOT HIRED </w:t>
      </w:r>
    </w:p>
    <w:p w14:paraId="6D898A87" w14:textId="77777777" w:rsidR="00286F24" w:rsidRDefault="00286F24" w:rsidP="00286F24">
      <w:pPr>
        <w:pStyle w:val="NoSpacing"/>
        <w:rPr>
          <w:rFonts w:ascii="Times New Roman" w:hAnsi="Times New Roman"/>
          <w:sz w:val="24"/>
          <w:szCs w:val="24"/>
        </w:rPr>
      </w:pPr>
      <w:r>
        <w:rPr>
          <w:rFonts w:ascii="Times New Roman" w:hAnsi="Times New Roman"/>
          <w:sz w:val="24"/>
          <w:szCs w:val="24"/>
        </w:rPr>
        <w:t xml:space="preserve">On March 19, 2024, </w:t>
      </w:r>
      <w:r w:rsidRPr="00AA0C7F">
        <w:rPr>
          <w:rFonts w:ascii="Times New Roman" w:hAnsi="Times New Roman"/>
          <w:sz w:val="24"/>
          <w:szCs w:val="24"/>
          <w:u w:val="single"/>
        </w:rPr>
        <w:t xml:space="preserve">In </w:t>
      </w:r>
      <w:r>
        <w:rPr>
          <w:rFonts w:ascii="Times New Roman" w:hAnsi="Times New Roman"/>
          <w:sz w:val="24"/>
          <w:szCs w:val="24"/>
          <w:u w:val="single"/>
        </w:rPr>
        <w:t>t</w:t>
      </w:r>
      <w:r w:rsidRPr="00AA0C7F">
        <w:rPr>
          <w:rFonts w:ascii="Times New Roman" w:hAnsi="Times New Roman"/>
          <w:sz w:val="24"/>
          <w:szCs w:val="24"/>
          <w:u w:val="single"/>
        </w:rPr>
        <w:t>he Matter of Albert Gonzales, Jr., Fire Fighter (M1844W), Jersey City</w:t>
      </w:r>
      <w:r>
        <w:rPr>
          <w:rFonts w:ascii="Times New Roman" w:hAnsi="Times New Roman"/>
          <w:sz w:val="24"/>
          <w:szCs w:val="24"/>
        </w:rPr>
        <w:t xml:space="preserve">, the Superior Court of New Jersey, Appellate Division, held (2 to 1) that the </w:t>
      </w:r>
      <w:r w:rsidRPr="00BA4882">
        <w:rPr>
          <w:rFonts w:ascii="Times New Roman" w:hAnsi="Times New Roman"/>
          <w:sz w:val="24"/>
          <w:szCs w:val="24"/>
        </w:rPr>
        <w:t>New Jersey Civil Service Commission</w:t>
      </w:r>
      <w:r>
        <w:rPr>
          <w:rFonts w:ascii="Times New Roman" w:hAnsi="Times New Roman"/>
          <w:sz w:val="24"/>
          <w:szCs w:val="24"/>
        </w:rPr>
        <w:t xml:space="preserve"> properly denied the applicant’s appeal.  </w:t>
      </w:r>
    </w:p>
    <w:p w14:paraId="483A3A0F" w14:textId="77777777" w:rsidR="009A27F2" w:rsidRDefault="009A27F2" w:rsidP="00286F24">
      <w:pPr>
        <w:pStyle w:val="NoSpacing"/>
        <w:rPr>
          <w:rFonts w:ascii="Times New Roman" w:hAnsi="Times New Roman"/>
          <w:sz w:val="24"/>
          <w:szCs w:val="24"/>
        </w:rPr>
      </w:pPr>
    </w:p>
    <w:p w14:paraId="58B6A9CF" w14:textId="77777777" w:rsidR="009A27F2" w:rsidRPr="004C0299" w:rsidRDefault="009A27F2" w:rsidP="009A27F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5094408C" w14:textId="77777777" w:rsidR="00286F24" w:rsidRDefault="00286F24" w:rsidP="00286F24">
      <w:pPr>
        <w:pStyle w:val="NoSpacing"/>
        <w:rPr>
          <w:rFonts w:ascii="Times New Roman" w:hAnsi="Times New Roman"/>
          <w:sz w:val="24"/>
          <w:szCs w:val="24"/>
        </w:rPr>
      </w:pPr>
    </w:p>
    <w:p w14:paraId="627D1D17" w14:textId="77777777" w:rsidR="00286F24" w:rsidRDefault="00286F24" w:rsidP="00286F24">
      <w:pPr>
        <w:pStyle w:val="NoSpacing"/>
        <w:ind w:left="720"/>
        <w:rPr>
          <w:rFonts w:ascii="Times New Roman" w:hAnsi="Times New Roman"/>
          <w:sz w:val="24"/>
          <w:szCs w:val="24"/>
        </w:rPr>
      </w:pPr>
      <w:r>
        <w:rPr>
          <w:rFonts w:ascii="Times New Roman" w:hAnsi="Times New Roman"/>
          <w:sz w:val="24"/>
          <w:szCs w:val="24"/>
        </w:rPr>
        <w:t>“</w:t>
      </w:r>
      <w:r w:rsidRPr="005E4817">
        <w:rPr>
          <w:rFonts w:ascii="Times New Roman" w:hAnsi="Times New Roman"/>
          <w:sz w:val="24"/>
          <w:szCs w:val="24"/>
        </w:rPr>
        <w:t xml:space="preserve">Appellant appeals from the February 7, 2022, Final Administrative Action (Final Action) of the Civil Service Commission (CSC) denying his motion for reconsideration and upholding his removal from the Jersey City firefighter eligibility list. Appellant was removed from the eligibility list after the review of his background report revealed he was terminated as a police officer from the Jersey City Police Department (JCPD) in 2009 and from another job in 2017. In addition, the report listed arrests in 2009 and 2010. He was convicted of a disorderly </w:t>
      </w:r>
      <w:proofErr w:type="gramStart"/>
      <w:r w:rsidRPr="005E4817">
        <w:rPr>
          <w:rFonts w:ascii="Times New Roman" w:hAnsi="Times New Roman"/>
          <w:sz w:val="24"/>
          <w:szCs w:val="24"/>
        </w:rPr>
        <w:t>persons</w:t>
      </w:r>
      <w:proofErr w:type="gramEnd"/>
      <w:r w:rsidRPr="005E4817">
        <w:rPr>
          <w:rFonts w:ascii="Times New Roman" w:hAnsi="Times New Roman"/>
          <w:sz w:val="24"/>
          <w:szCs w:val="24"/>
        </w:rPr>
        <w:t xml:space="preserve"> offense in 2010 and his driving record showed a history of motor vehicle violations and accidents.</w:t>
      </w:r>
    </w:p>
    <w:p w14:paraId="74D1DA36" w14:textId="77777777" w:rsidR="00286F24" w:rsidRDefault="00286F24" w:rsidP="00286F24">
      <w:pPr>
        <w:pStyle w:val="NoSpacing"/>
        <w:ind w:left="720"/>
        <w:rPr>
          <w:rFonts w:ascii="Times New Roman" w:hAnsi="Times New Roman"/>
          <w:sz w:val="24"/>
          <w:szCs w:val="24"/>
        </w:rPr>
      </w:pPr>
    </w:p>
    <w:p w14:paraId="31AD482C" w14:textId="77777777" w:rsidR="00286F24" w:rsidRDefault="00286F24" w:rsidP="00286F24">
      <w:pPr>
        <w:pStyle w:val="NoSpacing"/>
        <w:ind w:left="720"/>
        <w:rPr>
          <w:rFonts w:ascii="Times New Roman" w:hAnsi="Times New Roman"/>
          <w:sz w:val="24"/>
          <w:szCs w:val="24"/>
        </w:rPr>
      </w:pPr>
      <w:r>
        <w:rPr>
          <w:rFonts w:ascii="Times New Roman" w:hAnsi="Times New Roman"/>
          <w:sz w:val="24"/>
          <w:szCs w:val="24"/>
        </w:rPr>
        <w:t>***</w:t>
      </w:r>
    </w:p>
    <w:p w14:paraId="5FB691E1" w14:textId="77777777" w:rsidR="00286F24" w:rsidRDefault="00286F24" w:rsidP="00286F24">
      <w:pPr>
        <w:pStyle w:val="NoSpacing"/>
        <w:ind w:left="720"/>
        <w:rPr>
          <w:rFonts w:ascii="Times New Roman" w:hAnsi="Times New Roman"/>
          <w:sz w:val="24"/>
          <w:szCs w:val="24"/>
        </w:rPr>
      </w:pPr>
    </w:p>
    <w:p w14:paraId="7A075308" w14:textId="77777777" w:rsidR="00286F24" w:rsidRDefault="00286F24" w:rsidP="00286F24">
      <w:pPr>
        <w:pStyle w:val="NoSpacing"/>
        <w:ind w:left="720"/>
      </w:pPr>
      <w:r w:rsidRPr="00240555">
        <w:rPr>
          <w:rFonts w:ascii="Times New Roman" w:hAnsi="Times New Roman"/>
          <w:sz w:val="24"/>
          <w:szCs w:val="24"/>
        </w:rPr>
        <w:t xml:space="preserve">Appellant's disciplinary adjudications and his disorderly persons conviction all involved instances of dishonesty and deceit-traits not tolerated in </w:t>
      </w:r>
      <w:proofErr w:type="gramStart"/>
      <w:r w:rsidRPr="00240555">
        <w:rPr>
          <w:rFonts w:ascii="Times New Roman" w:hAnsi="Times New Roman"/>
          <w:sz w:val="24"/>
          <w:szCs w:val="24"/>
        </w:rPr>
        <w:t>a position</w:t>
      </w:r>
      <w:proofErr w:type="gramEnd"/>
      <w:r w:rsidRPr="00240555">
        <w:rPr>
          <w:rFonts w:ascii="Times New Roman" w:hAnsi="Times New Roman"/>
          <w:sz w:val="24"/>
          <w:szCs w:val="24"/>
        </w:rPr>
        <w:t xml:space="preserve"> of public service and of a firefighter. In such a visible position, the public must have the utmost confidence and trust in a firefighter and expects the candidate to have an impeccable character. Quite simply, a firefighter candidate must show respect for the law and the rules.</w:t>
      </w:r>
      <w:r>
        <w:rPr>
          <w:rFonts w:ascii="Times New Roman" w:hAnsi="Times New Roman"/>
          <w:sz w:val="24"/>
          <w:szCs w:val="24"/>
        </w:rPr>
        <w:t xml:space="preserve">” </w:t>
      </w:r>
      <w:hyperlink r:id="rId489" w:history="1">
        <w:r w:rsidRPr="007E4CA8">
          <w:rPr>
            <w:rStyle w:val="Hyperlink"/>
          </w:rPr>
          <w:t>https://public.fastcase.com/H1P9uiW3J20SFp%2BGCG%2BxLYPdFYBU6rXmSQ%2By5I06IYNauAow%2BFD183wwpB9seHw0huG9jZnFzDNjvlfgYqLRMXl7VVMzVdIElYOfNiWEhG4%3D?utm_medium=email&amp;_hsmi=226712652&amp;_hsenc=p2ANqtz-9dIeusfdAjuYcHWZc-tZCt-VYwNMyt2XrZBQ64qnpV1yAnhv8veUFYKRs_yaW_VBF9gsQcut_JaRzapEXH-rHIPbxEPQ&amp;utm_content=226712652&amp;utm_source=hs_email</w:t>
        </w:r>
      </w:hyperlink>
      <w:r>
        <w:t xml:space="preserve"> </w:t>
      </w:r>
    </w:p>
    <w:p w14:paraId="06094223" w14:textId="77777777" w:rsidR="00286F24" w:rsidRDefault="00286F24" w:rsidP="00286F24">
      <w:pPr>
        <w:pStyle w:val="NoSpacing"/>
        <w:ind w:left="720"/>
        <w:rPr>
          <w:rFonts w:ascii="Times New Roman" w:hAnsi="Times New Roman"/>
          <w:sz w:val="24"/>
          <w:szCs w:val="24"/>
        </w:rPr>
      </w:pPr>
    </w:p>
    <w:p w14:paraId="6AF5A688" w14:textId="77777777" w:rsidR="00286F24" w:rsidRPr="002E778E" w:rsidRDefault="00286F24" w:rsidP="00286F24">
      <w:pPr>
        <w:pStyle w:val="NormalWeb"/>
        <w:rPr>
          <w:b/>
          <w:bCs/>
        </w:rPr>
      </w:pPr>
      <w:r>
        <w:rPr>
          <w:b/>
          <w:bCs/>
        </w:rPr>
        <w:t>Legal Lesson Learned: Thorough background checks are essential in hiring fire &amp; EMS.</w:t>
      </w:r>
    </w:p>
    <w:p w14:paraId="6D02AE55" w14:textId="77777777" w:rsidR="00286F24" w:rsidRDefault="00286F24" w:rsidP="00286F24">
      <w:pPr>
        <w:pStyle w:val="NormalWeb"/>
        <w:ind w:left="720"/>
      </w:pPr>
    </w:p>
    <w:p w14:paraId="548CDD85" w14:textId="1660C901" w:rsidR="005B2CD1" w:rsidRDefault="005B2CD1" w:rsidP="00853142">
      <w:pPr>
        <w:rPr>
          <w:rFonts w:ascii="Arial Black" w:hAnsi="Arial Black"/>
          <w:sz w:val="24"/>
          <w:szCs w:val="24"/>
        </w:rPr>
      </w:pPr>
      <w:r>
        <w:rPr>
          <w:rFonts w:ascii="Arial Black" w:hAnsi="Arial Black"/>
          <w:sz w:val="24"/>
          <w:szCs w:val="24"/>
        </w:rPr>
        <w:lastRenderedPageBreak/>
        <w:t>2-6</w:t>
      </w:r>
      <w:r w:rsidR="007C073D">
        <w:rPr>
          <w:rFonts w:ascii="Arial Black" w:hAnsi="Arial Black"/>
          <w:sz w:val="24"/>
          <w:szCs w:val="24"/>
        </w:rPr>
        <w:t>4</w:t>
      </w:r>
    </w:p>
    <w:p w14:paraId="1829B3C5" w14:textId="77777777" w:rsidR="005B2CD1" w:rsidRDefault="005B2CD1" w:rsidP="005B2CD1">
      <w:pPr>
        <w:pStyle w:val="NormalWeb"/>
        <w:rPr>
          <w:rFonts w:ascii="Arial Black" w:hAnsi="Arial Black"/>
          <w:sz w:val="28"/>
          <w:szCs w:val="28"/>
        </w:rPr>
      </w:pPr>
      <w:r>
        <w:rPr>
          <w:rFonts w:ascii="Arial Black" w:hAnsi="Arial Black"/>
          <w:sz w:val="28"/>
          <w:szCs w:val="28"/>
        </w:rPr>
        <w:t>WI:  FF INJURED KNEE CARRYING CHILD DOWN STEPS – BOTTOM RISER WAS 10-11” / MAX IS 8” - CASE PROCEED</w:t>
      </w:r>
    </w:p>
    <w:p w14:paraId="12E25B65" w14:textId="77777777" w:rsidR="005B2CD1" w:rsidRDefault="005B2CD1" w:rsidP="005B2CD1">
      <w:pPr>
        <w:pStyle w:val="NormalWeb"/>
      </w:pPr>
      <w:r>
        <w:t xml:space="preserve">On Feb. 22, 2024, in </w:t>
      </w:r>
      <w:r w:rsidRPr="00202B6D">
        <w:rPr>
          <w:u w:val="single"/>
        </w:rPr>
        <w:t>Bradley J. Herring and Kerry L. Hering, et. al. v. Rural Mutual Insurance Company and Edward Bruenig</w:t>
      </w:r>
      <w:r>
        <w:t xml:space="preserve">, the Court of Appeals of Wisconsin (District IV) held (3 to 0; unpublished opinion) that trial court mistakenly granted summary judgment to the building owner and his insurance company; the bottom step had apparently settled over time to 10-11 inches, and the Wisconsin statute barring lawsuits 7 years after a building was installed with unknown “structural defect” did not apply to steps or sidewalk settling. </w:t>
      </w:r>
    </w:p>
    <w:p w14:paraId="68312931"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6C5AEE9A" w14:textId="77777777" w:rsidR="005B2CD1" w:rsidRDefault="005B2CD1" w:rsidP="005B2CD1">
      <w:pPr>
        <w:pStyle w:val="NormalWeb"/>
        <w:ind w:left="720"/>
      </w:pPr>
      <w:r>
        <w:t xml:space="preserve">“The </w:t>
      </w:r>
      <w:proofErr w:type="spellStart"/>
      <w:r>
        <w:t>Herings</w:t>
      </w:r>
      <w:proofErr w:type="spellEnd"/>
      <w:r>
        <w:t xml:space="preserve"> sued </w:t>
      </w:r>
      <w:proofErr w:type="spellStart"/>
      <w:r>
        <w:t>Bruenig</w:t>
      </w:r>
      <w:proofErr w:type="spellEnd"/>
      <w:r>
        <w:t xml:space="preserve"> for injuries that Hering sustained while descending the front steps of a private residence owned by </w:t>
      </w:r>
      <w:proofErr w:type="spellStart"/>
      <w:r>
        <w:t>Bruenig</w:t>
      </w:r>
      <w:proofErr w:type="spellEnd"/>
      <w:r>
        <w:t xml:space="preserve">. The court dismissed the </w:t>
      </w:r>
      <w:proofErr w:type="spellStart"/>
      <w:r>
        <w:t>Herings</w:t>
      </w:r>
      <w:proofErr w:type="spellEnd"/>
      <w:r>
        <w:t>' claims because it concluded that the claims were time barred by the statute of repose, WIS. STAT. § 893.89 (2021-22).</w:t>
      </w:r>
      <w:r>
        <w:rPr>
          <w:vertAlign w:val="superscript"/>
        </w:rPr>
        <w:t>[</w:t>
      </w:r>
      <w:hyperlink r:id="rId490" w:anchor="ftn.FN2" w:history="1">
        <w:r>
          <w:rPr>
            <w:rStyle w:val="Hyperlink"/>
            <w:vertAlign w:val="superscript"/>
          </w:rPr>
          <w:t>2</w:t>
        </w:r>
      </w:hyperlink>
      <w:r>
        <w:rPr>
          <w:vertAlign w:val="superscript"/>
        </w:rPr>
        <w:t>]</w:t>
      </w:r>
      <w:r>
        <w:t xml:space="preserve"> The </w:t>
      </w:r>
      <w:proofErr w:type="spellStart"/>
      <w:r>
        <w:t>Herings</w:t>
      </w:r>
      <w:proofErr w:type="spellEnd"/>
      <w:r>
        <w:t xml:space="preserve"> argue that the court erred because </w:t>
      </w:r>
      <w:proofErr w:type="spellStart"/>
      <w:r>
        <w:t>Bruenig</w:t>
      </w:r>
      <w:proofErr w:type="spellEnd"/>
      <w:r>
        <w:t xml:space="preserve"> failed to show on summary judgment that Hering's injuries were caused by a "deficiency or defect in the design ... [or] construction of [an] improvement to real property," as required to invoke the statute of repose. </w:t>
      </w:r>
      <w:r>
        <w:rPr>
          <w:rStyle w:val="Emphasis"/>
        </w:rPr>
        <w:t>See</w:t>
      </w:r>
      <w:r>
        <w:t xml:space="preserve"> § 893.89(2). We agree. Accordingly, we reverse the circuit court's summary judgment order.</w:t>
      </w:r>
    </w:p>
    <w:p w14:paraId="77806DD2" w14:textId="77777777" w:rsidR="005B2CD1" w:rsidRDefault="005B2CD1" w:rsidP="005B2CD1">
      <w:pPr>
        <w:pStyle w:val="NormalWeb"/>
        <w:ind w:left="720"/>
      </w:pPr>
      <w:r>
        <w:t>***</w:t>
      </w:r>
    </w:p>
    <w:p w14:paraId="15021671" w14:textId="77777777" w:rsidR="005B2CD1" w:rsidRDefault="005B2CD1" w:rsidP="005B2CD1">
      <w:pPr>
        <w:pStyle w:val="NormalWeb"/>
        <w:ind w:left="720"/>
      </w:pPr>
      <w:proofErr w:type="spellStart"/>
      <w:r>
        <w:t>Bruenig</w:t>
      </w:r>
      <w:proofErr w:type="spellEnd"/>
      <w:r>
        <w:t xml:space="preserve"> moved for summary judgment, arguing that the </w:t>
      </w:r>
      <w:proofErr w:type="spellStart"/>
      <w:r>
        <w:t>Herings</w:t>
      </w:r>
      <w:proofErr w:type="spellEnd"/>
      <w:r>
        <w:t xml:space="preserve">' claims are time barred by the statute of repose, WIS. STAT. § 893.89, because they were brought more than seven years after the walkway and steps were substantially completed and because any injuries that Hering sustained would have been caused by a structural defect of the steps or walkway. The circuit court granted </w:t>
      </w:r>
      <w:proofErr w:type="spellStart"/>
      <w:r>
        <w:t>Bruenig's</w:t>
      </w:r>
      <w:proofErr w:type="spellEnd"/>
      <w:r>
        <w:t xml:space="preserve"> motion. The court did so based on three facts that it characterized as undisputed: that the walkway was constructed in 1999, that the walkway ‘existed through 2019 with no changes,’ and that ‘the condition of the height of the risers of the steps and changes to a cement stoop step[] over time would be a settling, which would go to the construction of the steps at the time.’” </w:t>
      </w:r>
      <w:hyperlink r:id="rId491" w:history="1">
        <w:r w:rsidRPr="00E15FC9">
          <w:rPr>
            <w:rStyle w:val="Hyperlink"/>
          </w:rPr>
          <w:t>https://casetext.com/case/hering-v-rural-mut-ins-co</w:t>
        </w:r>
      </w:hyperlink>
      <w:r>
        <w:t xml:space="preserve"> </w:t>
      </w:r>
    </w:p>
    <w:p w14:paraId="77AF1A55" w14:textId="77777777" w:rsidR="005B2CD1" w:rsidRDefault="005B2CD1" w:rsidP="005B2CD1">
      <w:pPr>
        <w:pStyle w:val="NormalWeb"/>
        <w:rPr>
          <w:b/>
          <w:bCs/>
        </w:rPr>
      </w:pPr>
      <w:r w:rsidRPr="003F00DC">
        <w:rPr>
          <w:b/>
          <w:bCs/>
        </w:rPr>
        <w:t>Legal Lesson Learned:</w:t>
      </w:r>
      <w:r>
        <w:rPr>
          <w:b/>
          <w:bCs/>
        </w:rPr>
        <w:t xml:space="preserve"> If the firefighter wins damages, then his City of Watertown Fire Department will be entitled to reimbursement for </w:t>
      </w:r>
      <w:proofErr w:type="gramStart"/>
      <w:r>
        <w:rPr>
          <w:b/>
          <w:bCs/>
        </w:rPr>
        <w:t>workers</w:t>
      </w:r>
      <w:proofErr w:type="gramEnd"/>
      <w:r>
        <w:rPr>
          <w:b/>
          <w:bCs/>
        </w:rPr>
        <w:t xml:space="preserve"> comp payments.</w:t>
      </w:r>
    </w:p>
    <w:p w14:paraId="13921F20" w14:textId="77777777" w:rsidR="005B2CD1" w:rsidRDefault="005B2CD1" w:rsidP="005B2CD1">
      <w:pPr>
        <w:pStyle w:val="NormalWeb"/>
        <w:ind w:left="720"/>
      </w:pPr>
      <w:r w:rsidRPr="00DB67C5">
        <w:t xml:space="preserve">Note: In many states the “Fireman’s Rule” would prohibit a firefighter for suing homeowner for on duty injuries. </w:t>
      </w:r>
    </w:p>
    <w:p w14:paraId="67C0C5FF" w14:textId="77777777" w:rsidR="005B2CD1" w:rsidRDefault="005B2CD1" w:rsidP="005B2CD1">
      <w:pPr>
        <w:pStyle w:val="NormalWeb"/>
        <w:ind w:left="720"/>
      </w:pPr>
      <w:r>
        <w:t xml:space="preserve">The Wisconsin Supreme Court in 1989 held that Fireman’s Rule normally prohibits firefighters from suing a homeowner for </w:t>
      </w:r>
      <w:proofErr w:type="gramStart"/>
      <w:r>
        <w:t>damages</w:t>
      </w:r>
      <w:proofErr w:type="gramEnd"/>
      <w:r>
        <w:t xml:space="preserve"> unless they created a hidden hazard; such as </w:t>
      </w:r>
      <w:proofErr w:type="gramStart"/>
      <w:r>
        <w:t>storying</w:t>
      </w:r>
      <w:proofErr w:type="gramEnd"/>
      <w:r>
        <w:t xml:space="preserve"> gasoline in basement. “Thus, this court has decided as a matter of policy that, were the landowner's or occupier's negligence is in starting a fire or in failing to curtail its spread, there is no liability to a firefighter.”</w:t>
      </w:r>
      <w:r w:rsidRPr="00335ED9">
        <w:t xml:space="preserve"> </w:t>
      </w:r>
      <w:r>
        <w:t xml:space="preserve">Wright v. Coleman, </w:t>
      </w:r>
      <w:hyperlink r:id="rId492" w:history="1">
        <w:r w:rsidRPr="00E15FC9">
          <w:rPr>
            <w:rStyle w:val="Hyperlink"/>
          </w:rPr>
          <w:t>https://law.justia.com/cases/wisconsin/supreme-court/1989/87-1094-9.html</w:t>
        </w:r>
      </w:hyperlink>
      <w:r>
        <w:t xml:space="preserve"> </w:t>
      </w:r>
    </w:p>
    <w:p w14:paraId="6978AA64" w14:textId="77777777" w:rsidR="005B2CD1" w:rsidRDefault="005B2CD1" w:rsidP="005B2CD1">
      <w:pPr>
        <w:pStyle w:val="NormalWeb"/>
        <w:ind w:left="1440"/>
      </w:pPr>
      <w:r>
        <w:t xml:space="preserve">“Bud Wright, the plaintiff and petitioner before this court, was employed as </w:t>
      </w:r>
      <w:proofErr w:type="gramStart"/>
      <w:r>
        <w:t>a</w:t>
      </w:r>
      <w:proofErr w:type="gramEnd"/>
      <w:r>
        <w:t xml:space="preserve"> </w:t>
      </w:r>
      <w:proofErr w:type="spellStart"/>
      <w:r>
        <w:t>irefighter</w:t>
      </w:r>
      <w:proofErr w:type="spellEnd"/>
      <w:r>
        <w:t xml:space="preserve"> by the city of Brookfield when, on January 8, 1983, at about three o'clock in the morning, he, with his fire company, responded to a report of a fire on the property of Thomas Coleman. The first officer at the scene was a police officer, who ordered Coleman, the landowner, into the house and away from the detached garage, where the fire was blazing. After Wright arrived at the scene, he was attempting to bring a hose line up to the garage when he fell on ‘glare ice’ on the </w:t>
      </w:r>
      <w:r>
        <w:lastRenderedPageBreak/>
        <w:t xml:space="preserve">driveway. There were assertions at trial that this ice was the result of Coleman's son using a garden hose late in the preceding afternoon to wash a car. There was some evidence that, on the </w:t>
      </w:r>
      <w:proofErr w:type="gramStart"/>
      <w:r>
        <w:t>particular evening</w:t>
      </w:r>
      <w:proofErr w:type="gramEnd"/>
      <w:r>
        <w:t>, there was no ice anywhere else in the city of Brookfield only this artificially created icy area. It is asserted that Wright so severely injured his knee that he was obliged to retire as a firefighter.”</w:t>
      </w:r>
    </w:p>
    <w:p w14:paraId="715824E6" w14:textId="77777777" w:rsidR="005B2CD1" w:rsidRDefault="005B2CD1" w:rsidP="00853142">
      <w:pPr>
        <w:rPr>
          <w:rFonts w:ascii="Arial Black" w:hAnsi="Arial Black"/>
          <w:sz w:val="24"/>
          <w:szCs w:val="24"/>
        </w:rPr>
      </w:pPr>
    </w:p>
    <w:p w14:paraId="20B242A3" w14:textId="614B2688" w:rsidR="002C34C9" w:rsidRDefault="002C34C9" w:rsidP="00853142">
      <w:pPr>
        <w:rPr>
          <w:rFonts w:ascii="Arial Black" w:hAnsi="Arial Black"/>
          <w:sz w:val="24"/>
          <w:szCs w:val="24"/>
        </w:rPr>
      </w:pPr>
      <w:r>
        <w:rPr>
          <w:rFonts w:ascii="Arial Black" w:hAnsi="Arial Black"/>
          <w:sz w:val="24"/>
          <w:szCs w:val="24"/>
        </w:rPr>
        <w:t>2-6</w:t>
      </w:r>
      <w:r w:rsidR="007C073D">
        <w:rPr>
          <w:rFonts w:ascii="Arial Black" w:hAnsi="Arial Black"/>
          <w:sz w:val="24"/>
          <w:szCs w:val="24"/>
        </w:rPr>
        <w:t>3</w:t>
      </w:r>
    </w:p>
    <w:p w14:paraId="24639D17" w14:textId="65A6BCD4" w:rsidR="00625F79" w:rsidRDefault="00625F79" w:rsidP="00625F79">
      <w:pPr>
        <w:pStyle w:val="NormalWeb"/>
        <w:rPr>
          <w:rFonts w:ascii="Arial Black" w:hAnsi="Arial Black"/>
          <w:sz w:val="28"/>
          <w:szCs w:val="28"/>
        </w:rPr>
      </w:pPr>
      <w:r>
        <w:rPr>
          <w:rFonts w:ascii="Arial Black" w:hAnsi="Arial Black"/>
          <w:sz w:val="28"/>
          <w:szCs w:val="28"/>
        </w:rPr>
        <w:t xml:space="preserve">NY: VOLUNTEER FF - INJURED FELL </w:t>
      </w:r>
      <w:r w:rsidR="009F1D79">
        <w:rPr>
          <w:rFonts w:ascii="Arial Black" w:hAnsi="Arial Black"/>
          <w:sz w:val="28"/>
          <w:szCs w:val="28"/>
        </w:rPr>
        <w:t xml:space="preserve">OFF </w:t>
      </w:r>
      <w:r>
        <w:rPr>
          <w:rFonts w:ascii="Arial Black" w:hAnsi="Arial Black"/>
          <w:sz w:val="28"/>
          <w:szCs w:val="28"/>
        </w:rPr>
        <w:t xml:space="preserve">BACK </w:t>
      </w:r>
      <w:r w:rsidR="009F1D79">
        <w:rPr>
          <w:rFonts w:ascii="Arial Black" w:hAnsi="Arial Black"/>
          <w:sz w:val="28"/>
          <w:szCs w:val="28"/>
        </w:rPr>
        <w:t xml:space="preserve">OF </w:t>
      </w:r>
      <w:r>
        <w:rPr>
          <w:rFonts w:ascii="Arial Black" w:hAnsi="Arial Black"/>
          <w:sz w:val="28"/>
          <w:szCs w:val="28"/>
        </w:rPr>
        <w:t xml:space="preserve">FIRE ENGINE – CANNOT SUE DRILL TEAM, FD OR </w:t>
      </w:r>
      <w:r w:rsidR="009F1D79">
        <w:rPr>
          <w:rFonts w:ascii="Arial Black" w:hAnsi="Arial Black"/>
          <w:sz w:val="28"/>
          <w:szCs w:val="28"/>
        </w:rPr>
        <w:t xml:space="preserve">VOL. FF </w:t>
      </w:r>
      <w:r>
        <w:rPr>
          <w:rFonts w:ascii="Arial Black" w:hAnsi="Arial Black"/>
          <w:sz w:val="28"/>
          <w:szCs w:val="28"/>
        </w:rPr>
        <w:t>DRIVER</w:t>
      </w:r>
    </w:p>
    <w:p w14:paraId="4C07661E" w14:textId="77777777" w:rsidR="00614665" w:rsidRPr="00614665" w:rsidRDefault="00625F79" w:rsidP="00614665">
      <w:pPr>
        <w:rPr>
          <w:rFonts w:ascii="Times New Roman" w:hAnsi="Times New Roman"/>
          <w:sz w:val="24"/>
          <w:szCs w:val="24"/>
        </w:rPr>
      </w:pPr>
      <w:r w:rsidRPr="00614665">
        <w:rPr>
          <w:rFonts w:ascii="Times New Roman" w:hAnsi="Times New Roman"/>
          <w:sz w:val="24"/>
          <w:szCs w:val="24"/>
        </w:rPr>
        <w:t xml:space="preserve">On Jan. 17, 2024, in </w:t>
      </w:r>
      <w:r w:rsidRPr="00614665">
        <w:rPr>
          <w:rFonts w:ascii="Times New Roman" w:hAnsi="Times New Roman"/>
          <w:sz w:val="24"/>
          <w:szCs w:val="24"/>
          <w:u w:val="single"/>
        </w:rPr>
        <w:t xml:space="preserve">William A. Knipper v. Drill Team of </w:t>
      </w:r>
      <w:proofErr w:type="spellStart"/>
      <w:r w:rsidRPr="00614665">
        <w:rPr>
          <w:rFonts w:ascii="Times New Roman" w:hAnsi="Times New Roman"/>
          <w:sz w:val="24"/>
          <w:szCs w:val="24"/>
          <w:u w:val="single"/>
        </w:rPr>
        <w:t>Lindenhust</w:t>
      </w:r>
      <w:proofErr w:type="spellEnd"/>
      <w:r w:rsidRPr="00614665">
        <w:rPr>
          <w:rFonts w:ascii="Times New Roman" w:hAnsi="Times New Roman"/>
          <w:sz w:val="24"/>
          <w:szCs w:val="24"/>
          <w:u w:val="single"/>
        </w:rPr>
        <w:t xml:space="preserve"> Fire Department, Inc, et al.</w:t>
      </w:r>
      <w:r w:rsidRPr="00614665">
        <w:rPr>
          <w:rFonts w:ascii="Times New Roman" w:hAnsi="Times New Roman"/>
          <w:sz w:val="24"/>
          <w:szCs w:val="24"/>
        </w:rPr>
        <w:t xml:space="preserve">, the Superior Court of New York held (4 to 0) that the trial court properly dismissed the lawsuit against the Drill Team, the Fire Department and the volunteer firefighter who drove the fire engine. The injured firefighter already applied for is workers comp, and under the state Volunteer Firefighters’ Benefit Law he cannot sue for damages. </w:t>
      </w:r>
      <w:hyperlink r:id="rId493" w:history="1">
        <w:r w:rsidR="00614665" w:rsidRPr="00614665">
          <w:rPr>
            <w:rStyle w:val="Hyperlink"/>
            <w:rFonts w:ascii="Times New Roman" w:hAnsi="Times New Roman"/>
            <w:sz w:val="24"/>
            <w:szCs w:val="24"/>
          </w:rPr>
          <w:t>https://casetext.com/case/knipper-v-drill-team-of-lindenhurst-fire-dept</w:t>
        </w:r>
      </w:hyperlink>
    </w:p>
    <w:p w14:paraId="6ACC8E58"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1A2AFF10" w14:textId="77777777" w:rsidR="00625F79" w:rsidRDefault="00625F79" w:rsidP="00625F79">
      <w:pPr>
        <w:pStyle w:val="NormalWeb"/>
        <w:ind w:left="720"/>
      </w:pPr>
      <w:r>
        <w:t>“</w:t>
      </w:r>
      <w:hyperlink r:id="rId494" w:history="1">
        <w:r w:rsidRPr="00616D93">
          <w:rPr>
            <w:rStyle w:val="Hyperlink"/>
          </w:rPr>
          <w:t>Section 19 of the Volunteer Firefighters' Benefit Law</w:t>
        </w:r>
      </w:hyperlink>
      <w:r w:rsidRPr="00616D93">
        <w:t xml:space="preserve"> provides, in pertinent part, that </w:t>
      </w:r>
      <w:r>
        <w:t>‘</w:t>
      </w:r>
      <w:r w:rsidRPr="00616D93">
        <w:t>[t]he benefits provided by this chapter shall be the exclusive</w:t>
      </w:r>
      <w:r>
        <w:t xml:space="preserve"> remedy of a volunteer firefighter" for injuries sustained "in line of duty... as against... any person or agency acting under governmental or statutory authority in furtherance of the duties or activities in relation to which any such injury resulted.’ Thus, where a volunteer firefighter sustains an injury in the line of duty, the injured firefighter is barred from seeking recovery against either a fire company with which he or she had an employer/employee relationship … or fellow firefighters acting "in furtherance of their duties and activities" (</w:t>
      </w:r>
      <w:r>
        <w:rPr>
          <w:i/>
          <w:iCs/>
        </w:rPr>
        <w:t xml:space="preserve">Maines v </w:t>
      </w:r>
      <w:proofErr w:type="spellStart"/>
      <w:r>
        <w:rPr>
          <w:i/>
          <w:iCs/>
        </w:rPr>
        <w:t>Cronomer</w:t>
      </w:r>
      <w:proofErr w:type="spellEnd"/>
      <w:r>
        <w:rPr>
          <w:i/>
          <w:iCs/>
        </w:rPr>
        <w:t xml:space="preserve"> Val. Fire Dept.</w:t>
      </w:r>
      <w:r>
        <w:t xml:space="preserve">, </w:t>
      </w:r>
      <w:hyperlink r:id="rId495" w:anchor="p546" w:history="1">
        <w:r>
          <w:rPr>
            <w:rStyle w:val="Hyperlink"/>
          </w:rPr>
          <w:t>50 N.Y.2d 535, 546</w:t>
        </w:r>
      </w:hyperlink>
      <w:r>
        <w:t xml:space="preserve"> [internal quotation marks omitted]).</w:t>
      </w:r>
    </w:p>
    <w:p w14:paraId="7E87DB28" w14:textId="77777777" w:rsidR="00625F79" w:rsidRDefault="00625F79" w:rsidP="00625F79">
      <w:pPr>
        <w:pStyle w:val="NormalWeb"/>
        <w:ind w:left="720"/>
      </w:pPr>
      <w:r>
        <w:t>***</w:t>
      </w:r>
    </w:p>
    <w:p w14:paraId="27DD1F30" w14:textId="3CEF7F46" w:rsidR="002C34C9" w:rsidRPr="00625F79" w:rsidRDefault="00625F79" w:rsidP="00625F79">
      <w:pPr>
        <w:ind w:left="720"/>
        <w:rPr>
          <w:rFonts w:ascii="Times New Roman" w:hAnsi="Times New Roman"/>
          <w:sz w:val="24"/>
          <w:szCs w:val="24"/>
        </w:rPr>
      </w:pPr>
      <w:r w:rsidRPr="00625F79">
        <w:rPr>
          <w:rFonts w:ascii="Times New Roman" w:hAnsi="Times New Roman"/>
          <w:sz w:val="24"/>
          <w:szCs w:val="24"/>
        </w:rPr>
        <w:t>Here, the Lindenhurst defendants submitted, and Weckerle referenced, evidence showing that the plaintiff applied for and was awarded workers' compensation benefits based upon a determination that he was injured in the line of duty. Moreover, viewing the plaintiff's allegations in the light most favorable to him, the plaintiff failed to allege that Weckerle was not acting in furtherance of his duties and activities as a volunteer firefighter at the time of the accident by preparing for a competitive tournament (</w:t>
      </w:r>
      <w:r w:rsidRPr="00625F79">
        <w:rPr>
          <w:rFonts w:ascii="Times New Roman" w:hAnsi="Times New Roman"/>
          <w:i/>
          <w:iCs/>
          <w:sz w:val="24"/>
          <w:szCs w:val="24"/>
        </w:rPr>
        <w:t>see</w:t>
      </w:r>
      <w:r w:rsidRPr="00625F79">
        <w:rPr>
          <w:rFonts w:ascii="Times New Roman" w:hAnsi="Times New Roman"/>
          <w:sz w:val="24"/>
          <w:szCs w:val="24"/>
        </w:rPr>
        <w:t xml:space="preserve"> </w:t>
      </w:r>
      <w:hyperlink r:id="rId496" w:history="1">
        <w:r w:rsidRPr="00625F79">
          <w:rPr>
            <w:rStyle w:val="Hyperlink"/>
            <w:rFonts w:ascii="Times New Roman" w:hAnsi="Times New Roman"/>
            <w:sz w:val="24"/>
            <w:szCs w:val="24"/>
          </w:rPr>
          <w:t>Volunteer Firefighters' Benefit Law § 5</w:t>
        </w:r>
      </w:hyperlink>
      <w:r w:rsidRPr="00625F79">
        <w:rPr>
          <w:rFonts w:ascii="Times New Roman" w:hAnsi="Times New Roman"/>
          <w:sz w:val="24"/>
          <w:szCs w:val="24"/>
        </w:rPr>
        <w:t>[1][</w:t>
      </w:r>
      <w:proofErr w:type="spellStart"/>
      <w:r w:rsidRPr="00625F79">
        <w:rPr>
          <w:rFonts w:ascii="Times New Roman" w:hAnsi="Times New Roman"/>
          <w:sz w:val="24"/>
          <w:szCs w:val="24"/>
        </w:rPr>
        <w:t>i</w:t>
      </w:r>
      <w:proofErr w:type="spellEnd"/>
      <w:r w:rsidRPr="00625F79">
        <w:rPr>
          <w:rFonts w:ascii="Times New Roman" w:hAnsi="Times New Roman"/>
          <w:sz w:val="24"/>
          <w:szCs w:val="24"/>
        </w:rPr>
        <w:t xml:space="preserve">]). Thus, the Lindenhurst defendants and Weckerle demonstrated that the plaintiff did not have a cause of action against them because the plaintiff's claims against them were barred by the exclusivity provisions of </w:t>
      </w:r>
      <w:hyperlink r:id="rId497" w:history="1">
        <w:r w:rsidRPr="00625F79">
          <w:rPr>
            <w:rStyle w:val="Hyperlink"/>
            <w:rFonts w:ascii="Times New Roman" w:hAnsi="Times New Roman"/>
            <w:sz w:val="24"/>
            <w:szCs w:val="24"/>
          </w:rPr>
          <w:t>Volunteer Firefighters' Benefit Law § 19</w:t>
        </w:r>
      </w:hyperlink>
      <w:r w:rsidRPr="00625F79">
        <w:rPr>
          <w:rFonts w:ascii="Times New Roman" w:hAnsi="Times New Roman"/>
          <w:sz w:val="24"/>
          <w:szCs w:val="24"/>
        </w:rPr>
        <w:t xml:space="preserve"> (</w:t>
      </w:r>
      <w:r w:rsidRPr="00625F79">
        <w:rPr>
          <w:rFonts w:ascii="Times New Roman" w:hAnsi="Times New Roman"/>
          <w:i/>
          <w:iCs/>
          <w:sz w:val="24"/>
          <w:szCs w:val="24"/>
        </w:rPr>
        <w:t>see Brady v Village of Malverne</w:t>
      </w:r>
      <w:r w:rsidRPr="00625F79">
        <w:rPr>
          <w:rFonts w:ascii="Times New Roman" w:hAnsi="Times New Roman"/>
          <w:sz w:val="24"/>
          <w:szCs w:val="24"/>
        </w:rPr>
        <w:t xml:space="preserve">, </w:t>
      </w:r>
      <w:hyperlink r:id="rId498" w:anchor="p693" w:history="1">
        <w:r w:rsidRPr="00625F79">
          <w:rPr>
            <w:rStyle w:val="Hyperlink"/>
            <w:rFonts w:ascii="Times New Roman" w:hAnsi="Times New Roman"/>
            <w:sz w:val="24"/>
            <w:szCs w:val="24"/>
          </w:rPr>
          <w:t>76 A.D.3d 691, 693</w:t>
        </w:r>
      </w:hyperlink>
      <w:r w:rsidRPr="00625F79">
        <w:rPr>
          <w:rFonts w:ascii="Times New Roman" w:hAnsi="Times New Roman"/>
          <w:sz w:val="24"/>
          <w:szCs w:val="24"/>
        </w:rPr>
        <w:t xml:space="preserve">; </w:t>
      </w:r>
      <w:proofErr w:type="spellStart"/>
      <w:r w:rsidRPr="00625F79">
        <w:rPr>
          <w:rFonts w:ascii="Times New Roman" w:hAnsi="Times New Roman"/>
          <w:i/>
          <w:iCs/>
          <w:sz w:val="24"/>
          <w:szCs w:val="24"/>
        </w:rPr>
        <w:t>Theodoreu</w:t>
      </w:r>
      <w:proofErr w:type="spellEnd"/>
      <w:r w:rsidRPr="00625F79">
        <w:rPr>
          <w:rFonts w:ascii="Times New Roman" w:hAnsi="Times New Roman"/>
          <w:i/>
          <w:iCs/>
          <w:sz w:val="24"/>
          <w:szCs w:val="24"/>
        </w:rPr>
        <w:t xml:space="preserve"> v Chester Fire Dist.</w:t>
      </w:r>
      <w:r w:rsidRPr="00625F79">
        <w:rPr>
          <w:rFonts w:ascii="Times New Roman" w:hAnsi="Times New Roman"/>
          <w:sz w:val="24"/>
          <w:szCs w:val="24"/>
        </w:rPr>
        <w:t xml:space="preserve">, </w:t>
      </w:r>
      <w:hyperlink r:id="rId499" w:anchor="p500" w:history="1">
        <w:r w:rsidRPr="00625F79">
          <w:rPr>
            <w:rStyle w:val="Hyperlink"/>
            <w:rFonts w:ascii="Times New Roman" w:hAnsi="Times New Roman"/>
            <w:sz w:val="24"/>
            <w:szCs w:val="24"/>
          </w:rPr>
          <w:t>12 A.D.3d at 500</w:t>
        </w:r>
      </w:hyperlink>
      <w:r w:rsidRPr="00625F79">
        <w:rPr>
          <w:rFonts w:ascii="Times New Roman" w:hAnsi="Times New Roman"/>
          <w:sz w:val="24"/>
          <w:szCs w:val="24"/>
        </w:rPr>
        <w:t xml:space="preserve">; </w:t>
      </w:r>
      <w:r w:rsidRPr="00625F79">
        <w:rPr>
          <w:rFonts w:ascii="Times New Roman" w:hAnsi="Times New Roman"/>
          <w:i/>
          <w:iCs/>
          <w:sz w:val="24"/>
          <w:szCs w:val="24"/>
        </w:rPr>
        <w:t>Malone v Jacobs</w:t>
      </w:r>
      <w:r w:rsidRPr="00625F79">
        <w:rPr>
          <w:rFonts w:ascii="Times New Roman" w:hAnsi="Times New Roman"/>
          <w:sz w:val="24"/>
          <w:szCs w:val="24"/>
        </w:rPr>
        <w:t xml:space="preserve">, </w:t>
      </w:r>
      <w:hyperlink r:id="rId500" w:anchor="p928" w:history="1">
        <w:r w:rsidRPr="00625F79">
          <w:rPr>
            <w:rStyle w:val="Hyperlink"/>
            <w:rFonts w:ascii="Times New Roman" w:hAnsi="Times New Roman"/>
            <w:sz w:val="24"/>
            <w:szCs w:val="24"/>
          </w:rPr>
          <w:t>88 A.D.2d at 928</w:t>
        </w:r>
      </w:hyperlink>
      <w:r w:rsidRPr="00625F79">
        <w:rPr>
          <w:rFonts w:ascii="Times New Roman" w:hAnsi="Times New Roman"/>
          <w:sz w:val="24"/>
          <w:szCs w:val="24"/>
        </w:rPr>
        <w:t xml:space="preserve">). Accordingly, the Supreme Court properly granted the motions of the Lindenhurst defendants and Weckerle pursuant to </w:t>
      </w:r>
      <w:hyperlink r:id="rId501" w:history="1">
        <w:r w:rsidRPr="00625F79">
          <w:rPr>
            <w:rStyle w:val="Hyperlink"/>
            <w:rFonts w:ascii="Times New Roman" w:hAnsi="Times New Roman"/>
            <w:sz w:val="24"/>
            <w:szCs w:val="24"/>
          </w:rPr>
          <w:t>CPLR 3211(a)(7)</w:t>
        </w:r>
      </w:hyperlink>
      <w:r w:rsidRPr="00625F79">
        <w:rPr>
          <w:rFonts w:ascii="Times New Roman" w:hAnsi="Times New Roman"/>
          <w:sz w:val="24"/>
          <w:szCs w:val="24"/>
        </w:rPr>
        <w:t xml:space="preserve"> to dismiss the amended complaint insofar as asserted against each of </w:t>
      </w:r>
      <w:proofErr w:type="gramStart"/>
      <w:r w:rsidRPr="00625F79">
        <w:rPr>
          <w:rFonts w:ascii="Times New Roman" w:hAnsi="Times New Roman"/>
          <w:sz w:val="24"/>
          <w:szCs w:val="24"/>
        </w:rPr>
        <w:t>them.”</w:t>
      </w:r>
      <w:proofErr w:type="gramEnd"/>
      <w:r w:rsidRPr="00625F79">
        <w:rPr>
          <w:rFonts w:ascii="Times New Roman" w:hAnsi="Times New Roman"/>
          <w:sz w:val="24"/>
          <w:szCs w:val="24"/>
        </w:rPr>
        <w:t xml:space="preserve"> </w:t>
      </w:r>
      <w:hyperlink r:id="rId502" w:history="1">
        <w:r w:rsidRPr="00625F79">
          <w:rPr>
            <w:rStyle w:val="Hyperlink"/>
            <w:rFonts w:ascii="Times New Roman" w:hAnsi="Times New Roman"/>
            <w:sz w:val="24"/>
            <w:szCs w:val="24"/>
          </w:rPr>
          <w:t>https://casetext.com/case/knipper-v-drill-team-of-lindenhurst-fire-dept</w:t>
        </w:r>
      </w:hyperlink>
    </w:p>
    <w:p w14:paraId="4E028C7C" w14:textId="67E416AF" w:rsidR="001B3B5F" w:rsidRPr="00187D4E" w:rsidRDefault="001B3B5F" w:rsidP="001B3B5F">
      <w:pPr>
        <w:pStyle w:val="NormalWeb"/>
        <w:rPr>
          <w:b/>
          <w:bCs/>
        </w:rPr>
      </w:pPr>
      <w:r w:rsidRPr="00187D4E">
        <w:rPr>
          <w:b/>
          <w:bCs/>
        </w:rPr>
        <w:t>Legal Lesson Learned:</w:t>
      </w:r>
      <w:r>
        <w:rPr>
          <w:b/>
          <w:bCs/>
        </w:rPr>
        <w:t xml:space="preserve"> Volunteer firefighter injured in line of duty </w:t>
      </w:r>
      <w:r w:rsidR="00EE2DFE">
        <w:rPr>
          <w:b/>
          <w:bCs/>
        </w:rPr>
        <w:t xml:space="preserve">is </w:t>
      </w:r>
      <w:r>
        <w:rPr>
          <w:b/>
          <w:bCs/>
        </w:rPr>
        <w:t>covered by worker’s comp</w:t>
      </w:r>
      <w:r w:rsidR="00EE2DFE">
        <w:rPr>
          <w:b/>
          <w:bCs/>
        </w:rPr>
        <w:t xml:space="preserve">; cannot sue </w:t>
      </w:r>
      <w:r w:rsidR="009504C8">
        <w:rPr>
          <w:b/>
          <w:bCs/>
        </w:rPr>
        <w:t xml:space="preserve">for damages. </w:t>
      </w:r>
      <w:r>
        <w:rPr>
          <w:b/>
          <w:bCs/>
        </w:rPr>
        <w:t xml:space="preserve"> </w:t>
      </w:r>
    </w:p>
    <w:p w14:paraId="04214FC8" w14:textId="378EC4AA" w:rsidR="002C34C9" w:rsidRDefault="001B3B5F" w:rsidP="00853142">
      <w:pPr>
        <w:rPr>
          <w:rFonts w:ascii="Arial Black" w:hAnsi="Arial Black"/>
          <w:sz w:val="24"/>
          <w:szCs w:val="24"/>
        </w:rPr>
      </w:pPr>
      <w:r>
        <w:rPr>
          <w:rFonts w:ascii="Arial Black" w:hAnsi="Arial Black"/>
          <w:sz w:val="24"/>
          <w:szCs w:val="24"/>
        </w:rPr>
        <w:lastRenderedPageBreak/>
        <w:t xml:space="preserve"> </w:t>
      </w:r>
    </w:p>
    <w:p w14:paraId="138F044E" w14:textId="77777777" w:rsidR="002C34C9" w:rsidRDefault="002C34C9" w:rsidP="00853142">
      <w:pPr>
        <w:rPr>
          <w:rFonts w:ascii="Arial Black" w:hAnsi="Arial Black"/>
          <w:sz w:val="24"/>
          <w:szCs w:val="24"/>
        </w:rPr>
      </w:pPr>
    </w:p>
    <w:p w14:paraId="4AC80DC2" w14:textId="1EABE174" w:rsidR="00A21A2D" w:rsidRDefault="00A21A2D" w:rsidP="00853142">
      <w:pPr>
        <w:rPr>
          <w:rFonts w:ascii="Arial Black" w:hAnsi="Arial Black"/>
          <w:sz w:val="24"/>
          <w:szCs w:val="24"/>
        </w:rPr>
      </w:pPr>
      <w:r>
        <w:rPr>
          <w:rFonts w:ascii="Arial Black" w:hAnsi="Arial Black"/>
          <w:sz w:val="24"/>
          <w:szCs w:val="24"/>
        </w:rPr>
        <w:t>2-6</w:t>
      </w:r>
      <w:r w:rsidR="00BB73D4">
        <w:rPr>
          <w:rFonts w:ascii="Arial Black" w:hAnsi="Arial Black"/>
          <w:sz w:val="24"/>
          <w:szCs w:val="24"/>
        </w:rPr>
        <w:t>2</w:t>
      </w:r>
    </w:p>
    <w:p w14:paraId="0AB9BC36" w14:textId="77777777" w:rsidR="003312BD" w:rsidRDefault="003312BD" w:rsidP="003312BD">
      <w:pPr>
        <w:pStyle w:val="NormalWeb"/>
        <w:rPr>
          <w:rFonts w:ascii="Arial Black" w:hAnsi="Arial Black"/>
          <w:b/>
          <w:bCs/>
          <w:sz w:val="28"/>
          <w:szCs w:val="28"/>
        </w:rPr>
      </w:pPr>
      <w:r>
        <w:rPr>
          <w:rFonts w:ascii="Arial Black" w:hAnsi="Arial Black"/>
          <w:b/>
          <w:bCs/>
          <w:sz w:val="28"/>
          <w:szCs w:val="28"/>
        </w:rPr>
        <w:t>MO: VOLUNTEER FF LODD – WIFE AWARDED ONLY MIN. OF $40 / WEEK – REVERSED - COMPARE WAGES OF CAREER FF</w:t>
      </w:r>
    </w:p>
    <w:p w14:paraId="12760CC2" w14:textId="77777777" w:rsidR="003312BD" w:rsidRDefault="003312BD" w:rsidP="003312BD">
      <w:pPr>
        <w:pStyle w:val="NormalWeb"/>
      </w:pPr>
      <w:r>
        <w:t xml:space="preserve">On Jan. 10, 2024, in </w:t>
      </w:r>
      <w:r w:rsidRPr="007A32A0">
        <w:rPr>
          <w:u w:val="single"/>
        </w:rPr>
        <w:t>Dependent of Russell Hayes, Deceased, Susan Hayes v. City of Eldorado Springs,</w:t>
      </w:r>
      <w:r>
        <w:t xml:space="preserve"> the Court of Appeals of Missouri, Southern District, held (3 to 0) that Labor and Industrial Commission” is reversed, and must conduct a new hearing before an Administrative Law Judge to determine if duties on a volunteer FF are “similar” to those of a career FF; if they are similar then award a monthly amount consistent with the “usual wage” of a career FF. </w:t>
      </w:r>
    </w:p>
    <w:p w14:paraId="55D4173D" w14:textId="77777777" w:rsidR="003312BD" w:rsidRDefault="003312BD" w:rsidP="003312BD">
      <w:pPr>
        <w:pStyle w:val="NormalWeb"/>
        <w:ind w:left="720"/>
        <w:rPr>
          <w:b/>
          <w:bCs/>
        </w:rPr>
      </w:pPr>
      <w:r>
        <w:t xml:space="preserve">“Having found that Wife presented evidence of the ‘usual wage’ of firefighters, the Commission did not then compare the services provided by such firefighters to the services provided by Husband as a volunteer firefighter to determine whether those services are ‘similar’ as is required by section 287.250.1(6). Rather, the Commission misapplied the law in suggesting that Wife was misguided in asserting ‘that the services rendered by a full-time career firefighter and by a rural volunteer firefighter are similar’ and in ruling that ‘[t]his [Commission] cannot assume facts not in evidence’ as the record reveals that such evidence was produced by Wife.” </w:t>
      </w:r>
      <w:hyperlink r:id="rId503" w:history="1">
        <w:r w:rsidRPr="00092358">
          <w:rPr>
            <w:rStyle w:val="Hyperlink"/>
          </w:rPr>
          <w:t>https://casetext.com/case/dependent-of-hayes-v-city-of-eldorado-springs</w:t>
        </w:r>
      </w:hyperlink>
      <w:r>
        <w:t xml:space="preserve"> </w:t>
      </w:r>
    </w:p>
    <w:p w14:paraId="528956A7" w14:textId="77777777" w:rsidR="002C34C9" w:rsidRDefault="002C34C9" w:rsidP="002C34C9">
      <w:pPr>
        <w:rPr>
          <w:rFonts w:ascii="Times New Roman" w:hAnsi="Times New Roman"/>
          <w:b/>
          <w:bCs/>
          <w:sz w:val="24"/>
          <w:szCs w:val="24"/>
        </w:rPr>
      </w:pPr>
      <w:r w:rsidRPr="00452E49">
        <w:rPr>
          <w:rFonts w:ascii="Times New Roman" w:hAnsi="Times New Roman"/>
          <w:b/>
          <w:bCs/>
          <w:sz w:val="24"/>
          <w:szCs w:val="24"/>
        </w:rPr>
        <w:t xml:space="preserve">Legal Lesson Learned: </w:t>
      </w:r>
      <w:r>
        <w:rPr>
          <w:rFonts w:ascii="Times New Roman" w:hAnsi="Times New Roman"/>
          <w:b/>
          <w:bCs/>
          <w:sz w:val="24"/>
          <w:szCs w:val="24"/>
        </w:rPr>
        <w:t xml:space="preserve">A very positive decision for volunteer firefighters. </w:t>
      </w:r>
    </w:p>
    <w:p w14:paraId="79CE1B05" w14:textId="77777777" w:rsidR="002C34C9" w:rsidRDefault="002C34C9" w:rsidP="002C34C9">
      <w:pPr>
        <w:ind w:left="720"/>
        <w:rPr>
          <w:rFonts w:ascii="Times New Roman" w:hAnsi="Times New Roman"/>
          <w:sz w:val="24"/>
          <w:szCs w:val="24"/>
        </w:rPr>
      </w:pPr>
      <w:r w:rsidRPr="00EB23DB">
        <w:rPr>
          <w:rFonts w:ascii="Times New Roman" w:hAnsi="Times New Roman"/>
          <w:sz w:val="24"/>
          <w:szCs w:val="24"/>
        </w:rPr>
        <w:t xml:space="preserve">Note:  See USA Fire Administration report on death of Firefighter Russell “Russ” H. Hayes. </w:t>
      </w:r>
      <w:hyperlink r:id="rId504" w:history="1">
        <w:r w:rsidRPr="00092358">
          <w:rPr>
            <w:rStyle w:val="Hyperlink"/>
            <w:rFonts w:ascii="Times New Roman" w:hAnsi="Times New Roman"/>
            <w:sz w:val="24"/>
            <w:szCs w:val="24"/>
          </w:rPr>
          <w:t>https://apps.usfa.fema.gov/firefighter-fatalities/fatalityData/detail?fatalityId=4784</w:t>
        </w:r>
      </w:hyperlink>
      <w:r>
        <w:rPr>
          <w:rFonts w:ascii="Times New Roman" w:hAnsi="Times New Roman"/>
          <w:sz w:val="24"/>
          <w:szCs w:val="24"/>
        </w:rPr>
        <w:t xml:space="preserve"> </w:t>
      </w:r>
    </w:p>
    <w:p w14:paraId="72EF88F2" w14:textId="77777777" w:rsidR="002C34C9" w:rsidRDefault="002C34C9" w:rsidP="002C34C9">
      <w:pPr>
        <w:ind w:left="720"/>
        <w:rPr>
          <w:rFonts w:ascii="Times New Roman" w:hAnsi="Times New Roman"/>
          <w:sz w:val="24"/>
          <w:szCs w:val="24"/>
        </w:rPr>
      </w:pPr>
      <w:r w:rsidRPr="00EB23DB">
        <w:rPr>
          <w:rFonts w:ascii="Times New Roman" w:hAnsi="Times New Roman"/>
          <w:sz w:val="24"/>
          <w:szCs w:val="24"/>
        </w:rPr>
        <w:t xml:space="preserve">“On October 3, </w:t>
      </w:r>
      <w:proofErr w:type="gramStart"/>
      <w:r w:rsidRPr="00EB23DB">
        <w:rPr>
          <w:rFonts w:ascii="Times New Roman" w:hAnsi="Times New Roman"/>
          <w:sz w:val="24"/>
          <w:szCs w:val="24"/>
        </w:rPr>
        <w:t>2018</w:t>
      </w:r>
      <w:proofErr w:type="gramEnd"/>
      <w:r w:rsidRPr="00EB23DB">
        <w:rPr>
          <w:rFonts w:ascii="Times New Roman" w:hAnsi="Times New Roman"/>
          <w:sz w:val="24"/>
          <w:szCs w:val="24"/>
        </w:rPr>
        <w:t xml:space="preserve"> at approximately 0855hrs, Firefighter Hayes was driving an engine apparatus along a local highway on the way to a pump test.  Witnesses indicated that they observed the right front tire go </w:t>
      </w:r>
      <w:proofErr w:type="gramStart"/>
      <w:r w:rsidRPr="00EB23DB">
        <w:rPr>
          <w:rFonts w:ascii="Times New Roman" w:hAnsi="Times New Roman"/>
          <w:sz w:val="24"/>
          <w:szCs w:val="24"/>
        </w:rPr>
        <w:t>off of</w:t>
      </w:r>
      <w:proofErr w:type="gramEnd"/>
      <w:r w:rsidRPr="00EB23DB">
        <w:rPr>
          <w:rFonts w:ascii="Times New Roman" w:hAnsi="Times New Roman"/>
          <w:sz w:val="24"/>
          <w:szCs w:val="24"/>
        </w:rPr>
        <w:t xml:space="preserve"> the roadway.  Firefighter Hayes overcorrected as he brought the apparatus back onto the roadway, thereby causing it to travel to the opposite ditch and overturn.  Firefighter Hayes was ejected from the vehicle. He was treated on the scene by local EMS personnel and then flown by medical helicopter to a regional hospital.   Firefighter Hayes was admitted to the hospital and died from his injuries the following day.”</w:t>
      </w:r>
    </w:p>
    <w:p w14:paraId="6A65AF1C" w14:textId="77777777" w:rsidR="002C34C9" w:rsidRPr="00EB23DB" w:rsidRDefault="002C34C9" w:rsidP="002C34C9">
      <w:pPr>
        <w:ind w:left="720"/>
        <w:rPr>
          <w:rFonts w:ascii="Times New Roman" w:hAnsi="Times New Roman"/>
          <w:sz w:val="24"/>
          <w:szCs w:val="24"/>
        </w:rPr>
      </w:pPr>
      <w:r>
        <w:rPr>
          <w:rFonts w:ascii="Times New Roman" w:hAnsi="Times New Roman"/>
          <w:sz w:val="24"/>
          <w:szCs w:val="24"/>
        </w:rPr>
        <w:t xml:space="preserve">See also: </w:t>
      </w:r>
      <w:hyperlink r:id="rId505" w:history="1">
        <w:r w:rsidRPr="00092358">
          <w:rPr>
            <w:rStyle w:val="Hyperlink"/>
            <w:rFonts w:ascii="Times New Roman" w:hAnsi="Times New Roman"/>
            <w:sz w:val="24"/>
            <w:szCs w:val="24"/>
          </w:rPr>
          <w:t>https://www.firehero.org/fallen-firefighter/russell-h-hayes/</w:t>
        </w:r>
      </w:hyperlink>
      <w:r>
        <w:rPr>
          <w:rFonts w:ascii="Times New Roman" w:hAnsi="Times New Roman"/>
          <w:sz w:val="24"/>
          <w:szCs w:val="24"/>
        </w:rPr>
        <w:t xml:space="preserve"> </w:t>
      </w:r>
    </w:p>
    <w:p w14:paraId="59FBC779" w14:textId="77777777" w:rsidR="002C34C9" w:rsidRPr="00013DF2" w:rsidRDefault="002C34C9" w:rsidP="002C34C9">
      <w:pPr>
        <w:pStyle w:val="NoSpacing"/>
        <w:ind w:left="720"/>
        <w:rPr>
          <w:rFonts w:ascii="Times New Roman" w:hAnsi="Times New Roman"/>
          <w:sz w:val="24"/>
          <w:szCs w:val="24"/>
        </w:rPr>
      </w:pPr>
      <w:r w:rsidRPr="00013DF2">
        <w:rPr>
          <w:rFonts w:ascii="Times New Roman" w:hAnsi="Times New Roman"/>
          <w:sz w:val="24"/>
          <w:szCs w:val="24"/>
        </w:rPr>
        <w:t xml:space="preserve">See article on this case. “Volunteer firefighter’s widow wins chance for higher benefits.” (Jan. 18, 2024). </w:t>
      </w:r>
    </w:p>
    <w:p w14:paraId="2B2041ED" w14:textId="77777777" w:rsidR="002C34C9" w:rsidRPr="00013DF2" w:rsidRDefault="002C34C9" w:rsidP="002C34C9">
      <w:pPr>
        <w:pStyle w:val="NoSpacing"/>
        <w:ind w:left="720"/>
        <w:rPr>
          <w:rFonts w:ascii="Times New Roman" w:hAnsi="Times New Roman"/>
          <w:sz w:val="24"/>
          <w:szCs w:val="24"/>
        </w:rPr>
      </w:pPr>
      <w:hyperlink r:id="rId506" w:history="1">
        <w:r w:rsidRPr="00092358">
          <w:rPr>
            <w:rStyle w:val="Hyperlink"/>
            <w:rFonts w:ascii="Times New Roman" w:hAnsi="Times New Roman"/>
            <w:sz w:val="24"/>
            <w:szCs w:val="24"/>
          </w:rPr>
          <w:t>https://molawyersmedia.com/2024/01/18/volunteer-firefighters-widow-wins-chance-for-higher-benefits/</w:t>
        </w:r>
      </w:hyperlink>
      <w:r w:rsidRPr="00013DF2">
        <w:rPr>
          <w:rFonts w:ascii="Times New Roman" w:hAnsi="Times New Roman"/>
          <w:sz w:val="24"/>
          <w:szCs w:val="24"/>
        </w:rPr>
        <w:t xml:space="preserve"> </w:t>
      </w:r>
    </w:p>
    <w:p w14:paraId="4FC768ED" w14:textId="77777777" w:rsidR="00A21A2D" w:rsidRDefault="00A21A2D" w:rsidP="00853142">
      <w:pPr>
        <w:rPr>
          <w:rFonts w:ascii="Arial Black" w:hAnsi="Arial Black"/>
          <w:sz w:val="24"/>
          <w:szCs w:val="24"/>
        </w:rPr>
      </w:pPr>
    </w:p>
    <w:p w14:paraId="1CE37A1F" w14:textId="77777777" w:rsidR="00A21A2D" w:rsidRDefault="00A21A2D" w:rsidP="00853142">
      <w:pPr>
        <w:rPr>
          <w:rFonts w:ascii="Arial Black" w:hAnsi="Arial Black"/>
          <w:sz w:val="24"/>
          <w:szCs w:val="24"/>
        </w:rPr>
      </w:pPr>
    </w:p>
    <w:p w14:paraId="73DAAEFB" w14:textId="75811B02" w:rsidR="000B6343" w:rsidRDefault="000B6343" w:rsidP="00853142">
      <w:pPr>
        <w:rPr>
          <w:rFonts w:ascii="Arial Black" w:hAnsi="Arial Black"/>
          <w:sz w:val="24"/>
          <w:szCs w:val="24"/>
        </w:rPr>
      </w:pPr>
      <w:r>
        <w:rPr>
          <w:rFonts w:ascii="Arial Black" w:hAnsi="Arial Black"/>
          <w:sz w:val="24"/>
          <w:szCs w:val="24"/>
        </w:rPr>
        <w:t>2-6</w:t>
      </w:r>
      <w:r w:rsidR="00BB73D4">
        <w:rPr>
          <w:rFonts w:ascii="Arial Black" w:hAnsi="Arial Black"/>
          <w:sz w:val="24"/>
          <w:szCs w:val="24"/>
        </w:rPr>
        <w:t>1</w:t>
      </w:r>
    </w:p>
    <w:p w14:paraId="5282ABDF" w14:textId="77777777" w:rsidR="009C4318" w:rsidRPr="00DC23A0" w:rsidRDefault="009C4318" w:rsidP="009C4318">
      <w:pPr>
        <w:pStyle w:val="NormalWeb"/>
        <w:rPr>
          <w:rFonts w:ascii="Arial Black" w:hAnsi="Arial Black"/>
          <w:sz w:val="28"/>
          <w:szCs w:val="28"/>
        </w:rPr>
      </w:pPr>
      <w:r>
        <w:rPr>
          <w:rFonts w:ascii="Arial Black" w:hAnsi="Arial Black"/>
          <w:sz w:val="28"/>
          <w:szCs w:val="28"/>
        </w:rPr>
        <w:lastRenderedPageBreak/>
        <w:t xml:space="preserve">CA: FIREHOSE - FF SERIOUSLY INJURED – CITY MUNI BUS DROVE OVER HOSE – CAN’T SUE CITY OR BUS DRIVER </w:t>
      </w:r>
    </w:p>
    <w:p w14:paraId="7A085F5A" w14:textId="77777777" w:rsidR="009C4318" w:rsidRDefault="009C4318" w:rsidP="009C4318">
      <w:pPr>
        <w:pStyle w:val="NormalWeb"/>
      </w:pPr>
      <w:r>
        <w:t xml:space="preserve">On Dec. 12, 2023, in </w:t>
      </w:r>
      <w:r w:rsidRPr="0097494F">
        <w:rPr>
          <w:u w:val="single"/>
        </w:rPr>
        <w:t>Matthew Vann v. City and County of San Franciso, et al.</w:t>
      </w:r>
      <w:r>
        <w:t xml:space="preserve">, the California Court of Appeals, First District, Second Division, held (3 to 0) that trial court properly dismissed the </w:t>
      </w:r>
      <w:proofErr w:type="gramStart"/>
      <w:r>
        <w:t>firefighters</w:t>
      </w:r>
      <w:proofErr w:type="gramEnd"/>
      <w:r>
        <w:t xml:space="preserve"> lawsuit against the city.  The Court wrote: “Here, in contrast, we are dealing with the Workers' Compensation Act, which must be liberally construed in favor of awarding workers' compensation benefits. (§ 3202; </w:t>
      </w:r>
      <w:r>
        <w:rPr>
          <w:rStyle w:val="Emphasis"/>
        </w:rPr>
        <w:t xml:space="preserve">King v. </w:t>
      </w:r>
      <w:proofErr w:type="spellStart"/>
      <w:r>
        <w:rPr>
          <w:rStyle w:val="Emphasis"/>
        </w:rPr>
        <w:t>CompPartners</w:t>
      </w:r>
      <w:proofErr w:type="spellEnd"/>
      <w:r>
        <w:rPr>
          <w:rStyle w:val="Emphasis"/>
        </w:rPr>
        <w:t>, Inc</w:t>
      </w:r>
      <w:r>
        <w:t xml:space="preserve">., </w:t>
      </w:r>
      <w:r>
        <w:rPr>
          <w:rStyle w:val="Emphasis"/>
        </w:rPr>
        <w:t>supra</w:t>
      </w:r>
      <w:r>
        <w:t xml:space="preserve">, 5 Cal.5th at p. 1051.) Application of these principles cuts against concluding that SFMTA [San Francisco Municipal Transportation Agency] and SFFD [San Francisco Fire Department] are distinct entities, and therefore that Yu and appellant have separate employers. To do so would have the effect of circumventing the workers' compensation exclusivity rule, which prevents employees from bringing actions against fellow employees acting in the scope of employment, such that the fellow employees' negligence could be imputed to their employers.” </w:t>
      </w:r>
      <w:hyperlink r:id="rId507" w:history="1">
        <w:r w:rsidRPr="001075D9">
          <w:rPr>
            <w:rStyle w:val="Hyperlink"/>
          </w:rPr>
          <w:t>https://casetext.com/case/vann-v-city-of-san-francisco</w:t>
        </w:r>
      </w:hyperlink>
      <w:r>
        <w:t xml:space="preserve"> </w:t>
      </w:r>
    </w:p>
    <w:p w14:paraId="7F9A64BD" w14:textId="77777777" w:rsidR="00063E80" w:rsidRPr="002D0030" w:rsidRDefault="00063E80" w:rsidP="00063E80">
      <w:pPr>
        <w:pStyle w:val="NormalWeb"/>
        <w:rPr>
          <w:b/>
          <w:bCs/>
        </w:rPr>
      </w:pPr>
      <w:r w:rsidRPr="002D0030">
        <w:rPr>
          <w:b/>
          <w:bCs/>
        </w:rPr>
        <w:t xml:space="preserve">Legal Lesson Learned: </w:t>
      </w:r>
      <w:r>
        <w:rPr>
          <w:b/>
          <w:bCs/>
        </w:rPr>
        <w:t xml:space="preserve">Both the FD and the bus department are part of the same city; cannot sue the City or the bus driver; only remedy for injured </w:t>
      </w:r>
      <w:proofErr w:type="gramStart"/>
      <w:r>
        <w:rPr>
          <w:b/>
          <w:bCs/>
        </w:rPr>
        <w:t>firefighter</w:t>
      </w:r>
      <w:proofErr w:type="gramEnd"/>
      <w:r>
        <w:rPr>
          <w:b/>
          <w:bCs/>
        </w:rPr>
        <w:t xml:space="preserve"> is workers comp. </w:t>
      </w:r>
    </w:p>
    <w:p w14:paraId="47AA9B25" w14:textId="77777777" w:rsidR="000B6343" w:rsidRDefault="000B6343" w:rsidP="00853142">
      <w:pPr>
        <w:rPr>
          <w:rFonts w:ascii="Arial Black" w:hAnsi="Arial Black"/>
          <w:sz w:val="24"/>
          <w:szCs w:val="24"/>
        </w:rPr>
      </w:pPr>
    </w:p>
    <w:p w14:paraId="7B1C81E0" w14:textId="11890DB2" w:rsidR="001257CC" w:rsidRDefault="00044FB1" w:rsidP="00853142">
      <w:pPr>
        <w:rPr>
          <w:rFonts w:ascii="Arial Black" w:hAnsi="Arial Black"/>
          <w:sz w:val="24"/>
          <w:szCs w:val="24"/>
        </w:rPr>
      </w:pPr>
      <w:r>
        <w:rPr>
          <w:rFonts w:ascii="Arial Black" w:hAnsi="Arial Black"/>
          <w:sz w:val="24"/>
          <w:szCs w:val="24"/>
        </w:rPr>
        <w:t>2-6</w:t>
      </w:r>
      <w:r w:rsidR="00BB73D4">
        <w:rPr>
          <w:rFonts w:ascii="Arial Black" w:hAnsi="Arial Black"/>
          <w:sz w:val="24"/>
          <w:szCs w:val="24"/>
        </w:rPr>
        <w:t>0</w:t>
      </w:r>
    </w:p>
    <w:p w14:paraId="137ACF5F" w14:textId="77777777" w:rsidR="006728B9" w:rsidRDefault="006728B9" w:rsidP="006728B9">
      <w:pPr>
        <w:pStyle w:val="Heading1"/>
        <w:rPr>
          <w:rFonts w:ascii="Arial Black" w:hAnsi="Arial Black"/>
          <w:b w:val="0"/>
          <w:bCs w:val="0"/>
          <w:sz w:val="28"/>
          <w:szCs w:val="28"/>
        </w:rPr>
      </w:pPr>
      <w:r>
        <w:rPr>
          <w:rFonts w:ascii="Arial Black" w:hAnsi="Arial Black"/>
          <w:b w:val="0"/>
          <w:bCs w:val="0"/>
          <w:sz w:val="28"/>
          <w:szCs w:val="28"/>
        </w:rPr>
        <w:t>CA: BLOCKING ENGINE - MOTORIST RAN INTO ENGINE AT MVA - 2 FF HURT - FF GET NEW JURY TRIAL FOR DAMAGES</w:t>
      </w:r>
    </w:p>
    <w:p w14:paraId="69723006" w14:textId="77777777" w:rsidR="006728B9" w:rsidRPr="00BC37ED" w:rsidRDefault="006728B9" w:rsidP="006728B9">
      <w:pPr>
        <w:pStyle w:val="Heading1"/>
        <w:rPr>
          <w:b w:val="0"/>
          <w:bCs w:val="0"/>
          <w:sz w:val="24"/>
          <w:szCs w:val="24"/>
        </w:rPr>
      </w:pPr>
      <w:r>
        <w:rPr>
          <w:b w:val="0"/>
          <w:bCs w:val="0"/>
          <w:sz w:val="24"/>
          <w:szCs w:val="24"/>
        </w:rPr>
        <w:t xml:space="preserve">On Nov. 29, 2023, in </w:t>
      </w:r>
      <w:r w:rsidRPr="004901CF">
        <w:rPr>
          <w:b w:val="0"/>
          <w:bCs w:val="0"/>
          <w:sz w:val="24"/>
          <w:szCs w:val="24"/>
          <w:u w:val="single"/>
        </w:rPr>
        <w:t>Michael Rattary and Stephen Rogness v. Brian Favro</w:t>
      </w:r>
      <w:r>
        <w:rPr>
          <w:b w:val="0"/>
          <w:bCs w:val="0"/>
          <w:sz w:val="24"/>
          <w:szCs w:val="24"/>
        </w:rPr>
        <w:t xml:space="preserve">, the </w:t>
      </w:r>
      <w:r w:rsidRPr="00E60013">
        <w:rPr>
          <w:b w:val="0"/>
          <w:bCs w:val="0"/>
          <w:sz w:val="24"/>
          <w:szCs w:val="24"/>
        </w:rPr>
        <w:t>California Court of Appeals, First District, Fourth Division</w:t>
      </w:r>
      <w:r>
        <w:rPr>
          <w:b w:val="0"/>
          <w:bCs w:val="0"/>
          <w:sz w:val="24"/>
          <w:szCs w:val="24"/>
        </w:rPr>
        <w:t xml:space="preserve">, held (3 to 0) that the two firefighters are entitled to a new civil jury trial since the attorney for Favro told jury in closing argument an improper standard on liability (jury voted against awarding damages to </w:t>
      </w:r>
      <w:proofErr w:type="spellStart"/>
      <w:r>
        <w:rPr>
          <w:b w:val="0"/>
          <w:bCs w:val="0"/>
          <w:sz w:val="24"/>
          <w:szCs w:val="24"/>
        </w:rPr>
        <w:t>Rattery</w:t>
      </w:r>
      <w:proofErr w:type="spellEnd"/>
      <w:r>
        <w:rPr>
          <w:b w:val="0"/>
          <w:bCs w:val="0"/>
          <w:sz w:val="24"/>
          <w:szCs w:val="24"/>
        </w:rPr>
        <w:t xml:space="preserve">  10-2, and against Rogness 12-0).  Their initial lawsuit was dismissed by trial court judge based on Fireman’s Rule; but Court of Appeals reversed and ordered case to be tried on motorist’s duty of ordinary care when </w:t>
      </w:r>
      <w:proofErr w:type="gramStart"/>
      <w:r>
        <w:rPr>
          <w:b w:val="0"/>
          <w:bCs w:val="0"/>
          <w:sz w:val="24"/>
          <w:szCs w:val="24"/>
        </w:rPr>
        <w:t>approach</w:t>
      </w:r>
      <w:proofErr w:type="gramEnd"/>
      <w:r>
        <w:rPr>
          <w:b w:val="0"/>
          <w:bCs w:val="0"/>
          <w:sz w:val="24"/>
          <w:szCs w:val="24"/>
        </w:rPr>
        <w:t xml:space="preserve"> accident scene. Now the Court of Appeals orders a new trial, because Favro’s attorney in closing argument told jury FFs can only get damages if “</w:t>
      </w:r>
      <w:r w:rsidRPr="00BC37ED">
        <w:rPr>
          <w:b w:val="0"/>
          <w:bCs w:val="0"/>
          <w:sz w:val="24"/>
          <w:szCs w:val="24"/>
        </w:rPr>
        <w:t xml:space="preserve">faced from the person they are suing was </w:t>
      </w:r>
      <w:r w:rsidRPr="00BC37ED">
        <w:rPr>
          <w:b w:val="0"/>
          <w:bCs w:val="0"/>
          <w:i/>
          <w:iCs/>
          <w:sz w:val="24"/>
          <w:szCs w:val="24"/>
        </w:rPr>
        <w:t>beyond the risk that's inherent to their job</w:t>
      </w:r>
      <w:r w:rsidRPr="00BC37ED">
        <w:rPr>
          <w:b w:val="0"/>
          <w:bCs w:val="0"/>
          <w:sz w:val="24"/>
          <w:szCs w:val="24"/>
        </w:rPr>
        <w:t>." (Italics added.)</w:t>
      </w:r>
      <w:r>
        <w:rPr>
          <w:b w:val="0"/>
          <w:bCs w:val="0"/>
          <w:sz w:val="24"/>
          <w:szCs w:val="24"/>
        </w:rPr>
        <w:t xml:space="preserve"> The Court of Appeals reverses, writing: </w:t>
      </w:r>
    </w:p>
    <w:p w14:paraId="5CA93F14" w14:textId="77777777" w:rsidR="006728B9" w:rsidRPr="000C74F9" w:rsidRDefault="006728B9" w:rsidP="006728B9">
      <w:pPr>
        <w:pStyle w:val="Heading1"/>
        <w:ind w:left="720"/>
        <w:rPr>
          <w:b w:val="0"/>
          <w:bCs w:val="0"/>
          <w:sz w:val="24"/>
          <w:szCs w:val="24"/>
        </w:rPr>
      </w:pPr>
      <w:hyperlink r:id="rId508" w:history="1">
        <w:r w:rsidRPr="00876603">
          <w:rPr>
            <w:rStyle w:val="Hyperlink"/>
            <w:b w:val="0"/>
            <w:bCs w:val="0"/>
            <w:sz w:val="24"/>
            <w:szCs w:val="24"/>
          </w:rPr>
          <w:t>Section 1714.9</w:t>
        </w:r>
      </w:hyperlink>
      <w:r w:rsidRPr="00876603">
        <w:rPr>
          <w:b w:val="0"/>
          <w:bCs w:val="0"/>
          <w:sz w:val="24"/>
          <w:szCs w:val="24"/>
        </w:rPr>
        <w:t>, subdivision (a)(1) concerns liability to a firefighter for tortious "conduct . . . occur[ring] after the person knows or should have known of the presence of the . . . firefighter." (</w:t>
      </w:r>
      <w:hyperlink r:id="rId509" w:history="1">
        <w:r w:rsidRPr="00876603">
          <w:rPr>
            <w:rStyle w:val="Hyperlink"/>
            <w:b w:val="0"/>
            <w:bCs w:val="0"/>
            <w:sz w:val="24"/>
            <w:szCs w:val="24"/>
          </w:rPr>
          <w:t>§ 1714.9, subd. (a)(1)</w:t>
        </w:r>
      </w:hyperlink>
      <w:r w:rsidRPr="00876603">
        <w:rPr>
          <w:b w:val="0"/>
          <w:bCs w:val="0"/>
          <w:sz w:val="24"/>
          <w:szCs w:val="24"/>
        </w:rPr>
        <w:t>.)</w:t>
      </w:r>
      <w:r>
        <w:rPr>
          <w:b w:val="0"/>
          <w:bCs w:val="0"/>
          <w:sz w:val="24"/>
          <w:szCs w:val="24"/>
        </w:rPr>
        <w:t xml:space="preserve"> </w:t>
      </w:r>
      <w:r w:rsidRPr="000C74F9">
        <w:rPr>
          <w:b w:val="0"/>
          <w:bCs w:val="0"/>
          <w:sz w:val="24"/>
          <w:szCs w:val="24"/>
        </w:rPr>
        <w:t xml:space="preserve">… </w:t>
      </w:r>
      <w:r w:rsidRPr="00D46FA3">
        <w:rPr>
          <w:b w:val="0"/>
          <w:bCs w:val="0"/>
          <w:sz w:val="24"/>
          <w:szCs w:val="24"/>
        </w:rPr>
        <w:t xml:space="preserve">"Although most of the cases analyzing the effect of </w:t>
      </w:r>
      <w:hyperlink r:id="rId510" w:history="1">
        <w:r w:rsidRPr="00D46FA3">
          <w:rPr>
            <w:rStyle w:val="Hyperlink"/>
            <w:b w:val="0"/>
            <w:bCs w:val="0"/>
            <w:sz w:val="24"/>
            <w:szCs w:val="24"/>
          </w:rPr>
          <w:t>section 1714.9</w:t>
        </w:r>
      </w:hyperlink>
      <w:r w:rsidRPr="00D46FA3">
        <w:rPr>
          <w:b w:val="0"/>
          <w:bCs w:val="0"/>
          <w:sz w:val="24"/>
          <w:szCs w:val="24"/>
        </w:rPr>
        <w:t xml:space="preserve"> treat it as stating an exception to the firefighter's rule (e.g. </w:t>
      </w:r>
      <w:r w:rsidRPr="00D46FA3">
        <w:rPr>
          <w:b w:val="0"/>
          <w:bCs w:val="0"/>
          <w:i/>
          <w:iCs/>
          <w:sz w:val="24"/>
          <w:szCs w:val="24"/>
        </w:rPr>
        <w:t>Gibb v. Stetson</w:t>
      </w:r>
      <w:r w:rsidRPr="00D46FA3">
        <w:rPr>
          <w:b w:val="0"/>
          <w:bCs w:val="0"/>
          <w:sz w:val="24"/>
          <w:szCs w:val="24"/>
        </w:rPr>
        <w:t xml:space="preserve"> [(1988)] </w:t>
      </w:r>
      <w:hyperlink r:id="rId511" w:anchor="p1014" w:history="1">
        <w:r w:rsidRPr="00D46FA3">
          <w:rPr>
            <w:rStyle w:val="Hyperlink"/>
            <w:b w:val="0"/>
            <w:bCs w:val="0"/>
            <w:sz w:val="24"/>
            <w:szCs w:val="24"/>
          </w:rPr>
          <w:t>199 Cal.App.3d 1008, 1014-1015</w:t>
        </w:r>
      </w:hyperlink>
      <w:r w:rsidRPr="00D46FA3">
        <w:rPr>
          <w:b w:val="0"/>
          <w:bCs w:val="0"/>
          <w:sz w:val="24"/>
          <w:szCs w:val="24"/>
        </w:rPr>
        <w:t xml:space="preserve">), </w:t>
      </w:r>
      <w:proofErr w:type="spellStart"/>
      <w:r w:rsidRPr="00D46FA3">
        <w:rPr>
          <w:b w:val="0"/>
          <w:bCs w:val="0"/>
          <w:sz w:val="24"/>
          <w:szCs w:val="24"/>
        </w:rPr>
        <w:t>thethe</w:t>
      </w:r>
      <w:proofErr w:type="spellEnd"/>
      <w:r w:rsidRPr="00D46FA3">
        <w:rPr>
          <w:b w:val="0"/>
          <w:bCs w:val="0"/>
          <w:sz w:val="24"/>
          <w:szCs w:val="24"/>
        </w:rPr>
        <w:t xml:space="preserve"> Supreme Court has more accurately described</w:t>
      </w:r>
      <w:r w:rsidRPr="000C74F9">
        <w:rPr>
          <w:b w:val="0"/>
          <w:bCs w:val="0"/>
          <w:sz w:val="24"/>
          <w:szCs w:val="24"/>
        </w:rPr>
        <w:t xml:space="preserve"> the effect of the statute as reimposing 'a duty of ordinary care (see [Civ. Code,] </w:t>
      </w:r>
      <w:hyperlink r:id="rId512" w:history="1">
        <w:r w:rsidRPr="000C74F9">
          <w:rPr>
            <w:rStyle w:val="Hyperlink"/>
            <w:b w:val="0"/>
            <w:bCs w:val="0"/>
            <w:sz w:val="24"/>
            <w:szCs w:val="24"/>
          </w:rPr>
          <w:t>§ 1714</w:t>
        </w:r>
      </w:hyperlink>
      <w:r w:rsidRPr="000C74F9">
        <w:rPr>
          <w:b w:val="0"/>
          <w:bCs w:val="0"/>
          <w:sz w:val="24"/>
          <w:szCs w:val="24"/>
        </w:rPr>
        <w:t>), which would otherwise be abrogated by the firefighter's rule.'" (</w:t>
      </w:r>
      <w:r w:rsidRPr="000C74F9">
        <w:rPr>
          <w:b w:val="0"/>
          <w:bCs w:val="0"/>
          <w:i/>
          <w:iCs/>
          <w:sz w:val="24"/>
          <w:szCs w:val="24"/>
        </w:rPr>
        <w:t>Boon v. Rivera</w:t>
      </w:r>
      <w:r w:rsidRPr="000C74F9">
        <w:rPr>
          <w:b w:val="0"/>
          <w:bCs w:val="0"/>
          <w:sz w:val="24"/>
          <w:szCs w:val="24"/>
        </w:rPr>
        <w:t xml:space="preserve"> (2000) </w:t>
      </w:r>
      <w:hyperlink r:id="rId513" w:anchor="p1330" w:history="1">
        <w:r w:rsidRPr="000C74F9">
          <w:rPr>
            <w:rStyle w:val="Hyperlink"/>
            <w:b w:val="0"/>
            <w:bCs w:val="0"/>
            <w:sz w:val="24"/>
            <w:szCs w:val="24"/>
          </w:rPr>
          <w:t>80 Cal.App.4th 1322, 1330-31</w:t>
        </w:r>
      </w:hyperlink>
      <w:r w:rsidRPr="000C74F9">
        <w:rPr>
          <w:b w:val="0"/>
          <w:bCs w:val="0"/>
          <w:sz w:val="24"/>
          <w:szCs w:val="24"/>
        </w:rPr>
        <w:t xml:space="preserve">, quoting </w:t>
      </w:r>
      <w:r w:rsidRPr="000C74F9">
        <w:rPr>
          <w:b w:val="0"/>
          <w:bCs w:val="0"/>
          <w:i/>
          <w:iCs/>
          <w:sz w:val="24"/>
          <w:szCs w:val="24"/>
        </w:rPr>
        <w:t>Calatayud v. State of California</w:t>
      </w:r>
      <w:r w:rsidRPr="000C74F9">
        <w:rPr>
          <w:b w:val="0"/>
          <w:bCs w:val="0"/>
          <w:sz w:val="24"/>
          <w:szCs w:val="24"/>
        </w:rPr>
        <w:t xml:space="preserve"> (1998) </w:t>
      </w:r>
      <w:hyperlink r:id="rId514" w:anchor="p1068" w:history="1">
        <w:r w:rsidRPr="000C74F9">
          <w:rPr>
            <w:rStyle w:val="Hyperlink"/>
            <w:b w:val="0"/>
            <w:bCs w:val="0"/>
            <w:sz w:val="24"/>
            <w:szCs w:val="24"/>
          </w:rPr>
          <w:t>18 Cal.4th 1057, 1068</w:t>
        </w:r>
      </w:hyperlink>
      <w:r w:rsidRPr="000C74F9">
        <w:rPr>
          <w:b w:val="0"/>
          <w:bCs w:val="0"/>
          <w:sz w:val="24"/>
          <w:szCs w:val="24"/>
        </w:rPr>
        <w:t>.)</w:t>
      </w:r>
    </w:p>
    <w:p w14:paraId="6CD0A834" w14:textId="77777777" w:rsidR="000B6343" w:rsidRPr="003470F7" w:rsidRDefault="000B6343" w:rsidP="000B6343">
      <w:pPr>
        <w:pStyle w:val="Heading1"/>
        <w:rPr>
          <w:sz w:val="24"/>
          <w:szCs w:val="24"/>
        </w:rPr>
      </w:pPr>
      <w:r w:rsidRPr="003470F7">
        <w:rPr>
          <w:sz w:val="24"/>
          <w:szCs w:val="24"/>
        </w:rPr>
        <w:t xml:space="preserve">Legal Lesson Learned: </w:t>
      </w:r>
      <w:r>
        <w:rPr>
          <w:sz w:val="24"/>
          <w:szCs w:val="24"/>
        </w:rPr>
        <w:t xml:space="preserve">The firefighters now get a “second chance” at convincing a jury that they are entitled to damages. </w:t>
      </w:r>
    </w:p>
    <w:p w14:paraId="0DF6AEAE" w14:textId="77777777" w:rsidR="00044FB1" w:rsidRDefault="00044FB1" w:rsidP="00853142">
      <w:pPr>
        <w:rPr>
          <w:rFonts w:ascii="Arial Black" w:hAnsi="Arial Black"/>
          <w:sz w:val="24"/>
          <w:szCs w:val="24"/>
        </w:rPr>
      </w:pPr>
    </w:p>
    <w:p w14:paraId="54D67C1B" w14:textId="194B736A" w:rsidR="001257CC" w:rsidRDefault="001257CC" w:rsidP="00853142">
      <w:pPr>
        <w:rPr>
          <w:rFonts w:ascii="Arial Black" w:hAnsi="Arial Black"/>
          <w:sz w:val="24"/>
          <w:szCs w:val="24"/>
        </w:rPr>
      </w:pPr>
      <w:r>
        <w:rPr>
          <w:rFonts w:ascii="Arial Black" w:hAnsi="Arial Black"/>
          <w:sz w:val="24"/>
          <w:szCs w:val="24"/>
        </w:rPr>
        <w:t>2-</w:t>
      </w:r>
      <w:r w:rsidR="00BB73D4">
        <w:rPr>
          <w:rFonts w:ascii="Arial Black" w:hAnsi="Arial Black"/>
          <w:sz w:val="24"/>
          <w:szCs w:val="24"/>
        </w:rPr>
        <w:t>59</w:t>
      </w:r>
    </w:p>
    <w:p w14:paraId="7F3401D7" w14:textId="77777777" w:rsidR="00E761A8" w:rsidRPr="00583360" w:rsidRDefault="00E761A8" w:rsidP="00E761A8">
      <w:pPr>
        <w:pStyle w:val="NormalWeb"/>
        <w:rPr>
          <w:rFonts w:ascii="Arial Black" w:hAnsi="Arial Black"/>
          <w:sz w:val="28"/>
          <w:szCs w:val="28"/>
        </w:rPr>
      </w:pPr>
      <w:r>
        <w:rPr>
          <w:rFonts w:ascii="Arial Black" w:hAnsi="Arial Black"/>
          <w:sz w:val="28"/>
          <w:szCs w:val="28"/>
        </w:rPr>
        <w:lastRenderedPageBreak/>
        <w:t>NJ: BEARDS - BLACK FF GROWING 3-INCH BEARD - ALSO MINISTER – ORDERED NOT RESPOND FIRES – NO CASE</w:t>
      </w:r>
    </w:p>
    <w:p w14:paraId="3C1B5260" w14:textId="09379490" w:rsidR="00E761A8" w:rsidRDefault="00E761A8" w:rsidP="00E761A8">
      <w:pPr>
        <w:rPr>
          <w:rStyle w:val="Hyperlink"/>
          <w:rFonts w:ascii="Times New Roman" w:hAnsi="Times New Roman"/>
          <w:sz w:val="24"/>
          <w:szCs w:val="24"/>
        </w:rPr>
      </w:pPr>
      <w:r w:rsidRPr="00E761A8">
        <w:rPr>
          <w:rFonts w:ascii="Times New Roman" w:hAnsi="Times New Roman"/>
          <w:sz w:val="24"/>
          <w:szCs w:val="24"/>
        </w:rPr>
        <w:t xml:space="preserve">On Nov. 29, 2023, in </w:t>
      </w:r>
      <w:r w:rsidRPr="00E761A8">
        <w:rPr>
          <w:rFonts w:ascii="Times New Roman" w:hAnsi="Times New Roman"/>
          <w:sz w:val="24"/>
          <w:szCs w:val="24"/>
          <w:u w:val="single"/>
        </w:rPr>
        <w:t>Alexander Smith v. City pf Atlantic City, et al</w:t>
      </w:r>
      <w:r w:rsidRPr="00E761A8">
        <w:rPr>
          <w:rFonts w:ascii="Times New Roman" w:hAnsi="Times New Roman"/>
          <w:sz w:val="24"/>
          <w:szCs w:val="24"/>
        </w:rPr>
        <w:t xml:space="preserve">., U.S. District Court Judge Chritine P. O’Hearn, U.S. District Court for District of New Jersey, granted City’s motion for summary judgment.  The Court held:  “ Defendants submit that the grooming policy advances the government's legitimate objectives of (1) firefighter safety and (2) following state and federal regulations which prohibit facial hair. (ECF No. 115-29 at 13-14). Safety is a well-recognized legitimate government objective. </w:t>
      </w:r>
      <w:r w:rsidRPr="00E761A8">
        <w:rPr>
          <w:rStyle w:val="Emphasis"/>
          <w:rFonts w:ascii="Times New Roman" w:hAnsi="Times New Roman"/>
          <w:sz w:val="24"/>
          <w:szCs w:val="24"/>
        </w:rPr>
        <w:t>Fraternal Ord.</w:t>
      </w:r>
      <w:r w:rsidRPr="00E761A8">
        <w:rPr>
          <w:rFonts w:ascii="Times New Roman" w:hAnsi="Times New Roman"/>
          <w:sz w:val="24"/>
          <w:szCs w:val="24"/>
        </w:rPr>
        <w:t xml:space="preserve">, 170 F.3d at 366. And a fire department's ability to comply with state and federal regulations is certainly a legitimate government objective. </w:t>
      </w:r>
      <w:r w:rsidRPr="00E761A8">
        <w:rPr>
          <w:rStyle w:val="Emphasis"/>
          <w:rFonts w:ascii="Times New Roman" w:hAnsi="Times New Roman"/>
          <w:sz w:val="24"/>
          <w:szCs w:val="24"/>
        </w:rPr>
        <w:t>See e.g.</w:t>
      </w:r>
      <w:r w:rsidRPr="00E761A8">
        <w:rPr>
          <w:rFonts w:ascii="Times New Roman" w:hAnsi="Times New Roman"/>
          <w:sz w:val="24"/>
          <w:szCs w:val="24"/>
        </w:rPr>
        <w:t xml:space="preserve">, </w:t>
      </w:r>
      <w:r w:rsidRPr="00E761A8">
        <w:rPr>
          <w:rStyle w:val="Emphasis"/>
          <w:rFonts w:ascii="Times New Roman" w:hAnsi="Times New Roman"/>
          <w:sz w:val="24"/>
          <w:szCs w:val="24"/>
        </w:rPr>
        <w:t>Hamilton</w:t>
      </w:r>
      <w:r w:rsidRPr="00E761A8">
        <w:rPr>
          <w:rFonts w:ascii="Times New Roman" w:hAnsi="Times New Roman"/>
          <w:sz w:val="24"/>
          <w:szCs w:val="24"/>
        </w:rPr>
        <w:t xml:space="preserve">, 563 F.Supp.3d at 60. The grooming policy is rationally related to these objectives. First, and most obviously, the policy ensures that the ACFD complies with various state and federal regulations that prohibit devices like SCBAs to be worn by those with facial hair. </w:t>
      </w:r>
      <w:r w:rsidRPr="00E761A8">
        <w:rPr>
          <w:rStyle w:val="Emphasis"/>
          <w:rFonts w:ascii="Times New Roman" w:hAnsi="Times New Roman"/>
          <w:sz w:val="24"/>
          <w:szCs w:val="24"/>
        </w:rPr>
        <w:t>See</w:t>
      </w:r>
      <w:r w:rsidRPr="00E761A8">
        <w:rPr>
          <w:rFonts w:ascii="Times New Roman" w:hAnsi="Times New Roman"/>
          <w:sz w:val="24"/>
          <w:szCs w:val="24"/>
        </w:rPr>
        <w:t xml:space="preserve">, </w:t>
      </w:r>
      <w:r w:rsidRPr="00E761A8">
        <w:rPr>
          <w:rStyle w:val="Emphasis"/>
          <w:rFonts w:ascii="Times New Roman" w:hAnsi="Times New Roman"/>
          <w:sz w:val="24"/>
          <w:szCs w:val="24"/>
        </w:rPr>
        <w:t>e.g.</w:t>
      </w:r>
      <w:r w:rsidRPr="00E761A8">
        <w:rPr>
          <w:rFonts w:ascii="Times New Roman" w:hAnsi="Times New Roman"/>
          <w:sz w:val="24"/>
          <w:szCs w:val="24"/>
        </w:rPr>
        <w:t>, 20 C.F.R. § 1910.134(g). Second, there is no dispute that PEOSH and OSHA find that an ill-fitting SCBA creates a safety risk not only to the firefighter wearing it, but also to fellow firefighters who may be tasked with rescuing those with an ill-fitted mask. Firefighter safety is put at risk when anything inhibits the seal of an SCBA, including facial hair. This is contemplated in the text of the policy which provides that ‘[f]</w:t>
      </w:r>
      <w:proofErr w:type="spellStart"/>
      <w:r w:rsidRPr="00E761A8">
        <w:rPr>
          <w:rFonts w:ascii="Times New Roman" w:hAnsi="Times New Roman"/>
          <w:sz w:val="24"/>
          <w:szCs w:val="24"/>
        </w:rPr>
        <w:t>acial</w:t>
      </w:r>
      <w:proofErr w:type="spellEnd"/>
      <w:r w:rsidRPr="00E761A8">
        <w:rPr>
          <w:rFonts w:ascii="Times New Roman" w:hAnsi="Times New Roman"/>
          <w:sz w:val="24"/>
          <w:szCs w:val="24"/>
        </w:rPr>
        <w:t xml:space="preserve"> hair of any type shall not interfere with the seal of SCBA face piece.’” </w:t>
      </w:r>
      <w:hyperlink r:id="rId515" w:history="1">
        <w:r w:rsidRPr="00E761A8">
          <w:rPr>
            <w:rStyle w:val="Hyperlink"/>
            <w:rFonts w:ascii="Times New Roman" w:hAnsi="Times New Roman"/>
            <w:sz w:val="24"/>
            <w:szCs w:val="24"/>
          </w:rPr>
          <w:t>https://www.anylaw.com/case/smith-v-city-of-atlantic-city-et-al/d-new-jersey/11-28-2023/WMlWRYwBqcoRgE-ICuER</w:t>
        </w:r>
      </w:hyperlink>
    </w:p>
    <w:p w14:paraId="03010CF1" w14:textId="5A5A32DF" w:rsidR="00044FB1" w:rsidRPr="00044FB1" w:rsidRDefault="00044FB1" w:rsidP="00E761A8">
      <w:pPr>
        <w:rPr>
          <w:rFonts w:ascii="Times New Roman" w:hAnsi="Times New Roman"/>
          <w:sz w:val="24"/>
          <w:szCs w:val="24"/>
        </w:rPr>
      </w:pPr>
      <w:r w:rsidRPr="00044FB1">
        <w:rPr>
          <w:rFonts w:ascii="Times New Roman" w:hAnsi="Times New Roman"/>
          <w:b/>
          <w:bCs/>
          <w:sz w:val="24"/>
          <w:szCs w:val="24"/>
        </w:rPr>
        <w:t>Legal Lesson Learned: FF must comply with OSHA standards on facial hair.</w:t>
      </w:r>
    </w:p>
    <w:p w14:paraId="6CD857DC" w14:textId="77777777" w:rsidR="001257CC" w:rsidRDefault="001257CC" w:rsidP="00853142">
      <w:pPr>
        <w:rPr>
          <w:rFonts w:ascii="Arial Black" w:hAnsi="Arial Black"/>
          <w:sz w:val="24"/>
          <w:szCs w:val="24"/>
        </w:rPr>
      </w:pPr>
    </w:p>
    <w:p w14:paraId="2EEE3822" w14:textId="68C9A93B" w:rsidR="00BB49C5" w:rsidRDefault="00BB49C5" w:rsidP="00853142">
      <w:pPr>
        <w:rPr>
          <w:rFonts w:ascii="Arial Black" w:hAnsi="Arial Black"/>
          <w:sz w:val="24"/>
          <w:szCs w:val="24"/>
        </w:rPr>
      </w:pPr>
      <w:r>
        <w:rPr>
          <w:rFonts w:ascii="Arial Black" w:hAnsi="Arial Black"/>
          <w:sz w:val="24"/>
          <w:szCs w:val="24"/>
        </w:rPr>
        <w:t>2-5</w:t>
      </w:r>
      <w:r w:rsidR="00BB73D4">
        <w:rPr>
          <w:rFonts w:ascii="Arial Black" w:hAnsi="Arial Black"/>
          <w:sz w:val="24"/>
          <w:szCs w:val="24"/>
        </w:rPr>
        <w:t>8</w:t>
      </w:r>
    </w:p>
    <w:p w14:paraId="620160D4" w14:textId="77777777" w:rsidR="00BB49C5" w:rsidRPr="00525651" w:rsidRDefault="00BB49C5" w:rsidP="00BB49C5">
      <w:pPr>
        <w:pStyle w:val="paragraph"/>
        <w:rPr>
          <w:rFonts w:ascii="Arial Black" w:hAnsi="Arial Black"/>
          <w:sz w:val="28"/>
          <w:szCs w:val="28"/>
        </w:rPr>
      </w:pPr>
      <w:r>
        <w:rPr>
          <w:rFonts w:ascii="Arial Black" w:hAnsi="Arial Black"/>
          <w:sz w:val="28"/>
          <w:szCs w:val="28"/>
        </w:rPr>
        <w:t xml:space="preserve">OH: SMOKE IN APARTMENT – RESIDENT TACKLED LT. &amp; DREW GUN – LT. TESTIFIED DEF. SENTENCING - 6 MONTHS </w:t>
      </w:r>
    </w:p>
    <w:p w14:paraId="69EC93AF" w14:textId="77777777" w:rsidR="00BB49C5" w:rsidRPr="00E17731" w:rsidRDefault="00BB49C5" w:rsidP="00BB49C5">
      <w:pPr>
        <w:pStyle w:val="paragraph"/>
      </w:pPr>
      <w:r>
        <w:t xml:space="preserve">On Oct. 26, 2023, in </w:t>
      </w:r>
      <w:r w:rsidRPr="00525651">
        <w:rPr>
          <w:u w:val="single"/>
        </w:rPr>
        <w:t>State of Ohio v. Victor Hatcher</w:t>
      </w:r>
      <w:r>
        <w:t xml:space="preserve">, the Court of Appeals of Ohio, Eight District, Cuyahoga County, held (3 to 0) that the </w:t>
      </w:r>
      <w:proofErr w:type="gramStart"/>
      <w:r>
        <w:t>six month</w:t>
      </w:r>
      <w:proofErr w:type="gramEnd"/>
      <w:r>
        <w:t xml:space="preserve"> jail sentence was appropriate for assaulting the Lieutenant of the Cleveland Fire Department, and then pulling a gun on firefighters in front of the building. In a plea bargain, he plead guilty to attempted assault, a felony of the fifth degree.  Court described the incident: “While the firefighters were investigating, appellant approached the firefighters and became angry, demanding that they leave. Lt. Todd O’Neill was the last to leave, and as he did so, appellant tackled him to the ground. Two other firefighters had to pull appellant </w:t>
      </w:r>
      <w:proofErr w:type="gramStart"/>
      <w:r>
        <w:t>off of</w:t>
      </w:r>
      <w:proofErr w:type="gramEnd"/>
      <w:r>
        <w:t xml:space="preserve"> O’Neill. Once the firefighters were outside, appellant went to his vehicle and retrieved a firearm. He waved the firearm at the firefighters and yelled at them. The battalion chief ordered the firefighters back to their rigs and called the police, who subsequently arrested appellant.” </w:t>
      </w:r>
      <w:hyperlink r:id="rId516" w:history="1">
        <w:r w:rsidRPr="0097451D">
          <w:rPr>
            <w:rStyle w:val="Hyperlink"/>
            <w:rFonts w:eastAsiaTheme="majorEastAsia"/>
          </w:rPr>
          <w:t>https://www.supremecourt.ohio.gov/rod/docs/pdf/8/2023/2023-Ohio-3884.pdf</w:t>
        </w:r>
      </w:hyperlink>
      <w:r>
        <w:t xml:space="preserve"> </w:t>
      </w:r>
      <w:r w:rsidRPr="00525651">
        <w:t xml:space="preserve"> </w:t>
      </w:r>
      <w:r>
        <w:t xml:space="preserve"> </w:t>
      </w:r>
      <w:r w:rsidRPr="00E17731">
        <w:t xml:space="preserve"> </w:t>
      </w:r>
    </w:p>
    <w:p w14:paraId="0B096F1A" w14:textId="77777777" w:rsidR="00BB49C5" w:rsidRPr="00E17731" w:rsidRDefault="00BB49C5" w:rsidP="00BB49C5">
      <w:pPr>
        <w:rPr>
          <w:rFonts w:ascii="Times New Roman" w:hAnsi="Times New Roman"/>
          <w:b/>
          <w:bCs/>
          <w:sz w:val="24"/>
          <w:szCs w:val="24"/>
        </w:rPr>
      </w:pPr>
      <w:r w:rsidRPr="00E17731">
        <w:rPr>
          <w:rFonts w:ascii="Times New Roman" w:hAnsi="Times New Roman"/>
          <w:b/>
          <w:bCs/>
          <w:sz w:val="24"/>
          <w:szCs w:val="24"/>
        </w:rPr>
        <w:t>Legal Lesson Learned:</w:t>
      </w:r>
      <w:r>
        <w:rPr>
          <w:rFonts w:ascii="Times New Roman" w:hAnsi="Times New Roman"/>
          <w:b/>
          <w:bCs/>
          <w:sz w:val="24"/>
          <w:szCs w:val="24"/>
        </w:rPr>
        <w:t xml:space="preserve"> Excellent to have Lieutenant testify at sentencing hearing. </w:t>
      </w:r>
    </w:p>
    <w:p w14:paraId="2F0336DF" w14:textId="5451D265" w:rsidR="00BB49C5" w:rsidRPr="00E17731" w:rsidRDefault="00BB49C5" w:rsidP="00BB49C5">
      <w:pPr>
        <w:pStyle w:val="paragraph"/>
      </w:pPr>
      <w:r>
        <w:t xml:space="preserve"> </w:t>
      </w:r>
      <w:r w:rsidRPr="00525651">
        <w:t xml:space="preserve"> </w:t>
      </w:r>
      <w:r>
        <w:t xml:space="preserve"> </w:t>
      </w:r>
      <w:r w:rsidRPr="00E17731">
        <w:t xml:space="preserve"> </w:t>
      </w:r>
    </w:p>
    <w:p w14:paraId="4263D095" w14:textId="77777777" w:rsidR="00BB49C5" w:rsidRDefault="00BB49C5" w:rsidP="00853142">
      <w:pPr>
        <w:rPr>
          <w:rFonts w:ascii="Arial Black" w:hAnsi="Arial Black"/>
          <w:sz w:val="24"/>
          <w:szCs w:val="24"/>
        </w:rPr>
      </w:pPr>
    </w:p>
    <w:p w14:paraId="1B06AA0D" w14:textId="77777777" w:rsidR="00BB49C5" w:rsidRDefault="00BB49C5" w:rsidP="00853142">
      <w:pPr>
        <w:rPr>
          <w:rFonts w:ascii="Arial Black" w:hAnsi="Arial Black"/>
          <w:sz w:val="24"/>
          <w:szCs w:val="24"/>
        </w:rPr>
      </w:pPr>
    </w:p>
    <w:p w14:paraId="2985DEB8" w14:textId="4A9E8FFF" w:rsidR="0056123D" w:rsidRDefault="0056123D" w:rsidP="00853142">
      <w:pPr>
        <w:rPr>
          <w:rFonts w:ascii="Arial Black" w:hAnsi="Arial Black"/>
          <w:sz w:val="24"/>
          <w:szCs w:val="24"/>
        </w:rPr>
      </w:pPr>
      <w:r>
        <w:rPr>
          <w:rFonts w:ascii="Arial Black" w:hAnsi="Arial Black"/>
          <w:sz w:val="24"/>
          <w:szCs w:val="24"/>
        </w:rPr>
        <w:lastRenderedPageBreak/>
        <w:t>2-5</w:t>
      </w:r>
      <w:r w:rsidR="00BB73D4">
        <w:rPr>
          <w:rFonts w:ascii="Arial Black" w:hAnsi="Arial Black"/>
          <w:sz w:val="24"/>
          <w:szCs w:val="24"/>
        </w:rPr>
        <w:t>7</w:t>
      </w:r>
    </w:p>
    <w:p w14:paraId="236F745B" w14:textId="77777777" w:rsidR="0056123D" w:rsidRPr="009932E6" w:rsidRDefault="0056123D" w:rsidP="0056123D">
      <w:pPr>
        <w:pStyle w:val="NoSpacing"/>
        <w:rPr>
          <w:rFonts w:ascii="Arial Black" w:hAnsi="Arial Black"/>
          <w:sz w:val="28"/>
          <w:szCs w:val="28"/>
        </w:rPr>
      </w:pPr>
      <w:r>
        <w:rPr>
          <w:rFonts w:ascii="Arial Black" w:hAnsi="Arial Black"/>
          <w:sz w:val="28"/>
          <w:szCs w:val="28"/>
        </w:rPr>
        <w:t>CA: FOREST FIRE – BULLDOZER OPERATOR KILLED, TWO INJURED – EMPLOYED BY CONTRACTOR - CAN’T SUE STATE</w:t>
      </w:r>
    </w:p>
    <w:p w14:paraId="05CF9F7A" w14:textId="77777777" w:rsidR="0056123D" w:rsidRDefault="0056123D" w:rsidP="0056123D">
      <w:pPr>
        <w:pStyle w:val="NoSpacing"/>
        <w:rPr>
          <w:rFonts w:ascii="Times New Roman" w:hAnsi="Times New Roman"/>
          <w:sz w:val="24"/>
          <w:szCs w:val="24"/>
        </w:rPr>
      </w:pPr>
    </w:p>
    <w:p w14:paraId="0925CBB0" w14:textId="77777777" w:rsidR="0056123D" w:rsidRDefault="0056123D" w:rsidP="0056123D">
      <w:pPr>
        <w:pStyle w:val="NoSpacing"/>
        <w:rPr>
          <w:rFonts w:ascii="Times New Roman" w:hAnsi="Times New Roman"/>
          <w:sz w:val="24"/>
          <w:szCs w:val="24"/>
        </w:rPr>
      </w:pPr>
      <w:r>
        <w:rPr>
          <w:rFonts w:ascii="Times New Roman" w:hAnsi="Times New Roman"/>
          <w:sz w:val="24"/>
          <w:szCs w:val="24"/>
        </w:rPr>
        <w:t xml:space="preserve">On Sept. 27, 2023, in </w:t>
      </w:r>
      <w:r w:rsidRPr="00E350E5">
        <w:rPr>
          <w:rFonts w:ascii="Times New Roman" w:hAnsi="Times New Roman"/>
          <w:sz w:val="24"/>
          <w:szCs w:val="24"/>
          <w:u w:val="single"/>
        </w:rPr>
        <w:t>Connie Vandorien, et al. v. Department of Transportation</w:t>
      </w:r>
      <w:r>
        <w:rPr>
          <w:rFonts w:ascii="Times New Roman" w:hAnsi="Times New Roman"/>
          <w:sz w:val="24"/>
          <w:szCs w:val="24"/>
        </w:rPr>
        <w:t>, the Court of Appeal of State of California, Third Appellate District (Shasta), held (3 to 0; unpublished decision) that family of the deceased bulldoze operator (Don Smith) and two injured bulldoze operators (D</w:t>
      </w:r>
      <w:r w:rsidRPr="00E350E5">
        <w:rPr>
          <w:rFonts w:ascii="Times New Roman" w:hAnsi="Times New Roman"/>
          <w:sz w:val="24"/>
          <w:szCs w:val="24"/>
        </w:rPr>
        <w:t>onald Andrews and Terry Cumming</w:t>
      </w:r>
      <w:r>
        <w:rPr>
          <w:rFonts w:ascii="Times New Roman" w:hAnsi="Times New Roman"/>
          <w:sz w:val="24"/>
          <w:szCs w:val="24"/>
        </w:rPr>
        <w:t xml:space="preserve">s) cannot sue California Department of Forestry And Fire Protection (CalFire) or Department of Transportation (Cal Tran) for failure to assess the fire risk in 2018 “Carr Fire” and failure to adequately maintain vegetation near State Route 299. </w:t>
      </w:r>
    </w:p>
    <w:p w14:paraId="0A03D38A" w14:textId="77777777" w:rsidR="0056123D" w:rsidRPr="009932E6" w:rsidRDefault="0056123D" w:rsidP="0056123D">
      <w:pPr>
        <w:pStyle w:val="NoSpacing"/>
        <w:ind w:firstLine="720"/>
        <w:rPr>
          <w:rFonts w:ascii="Times New Roman" w:hAnsi="Times New Roman"/>
          <w:sz w:val="24"/>
          <w:szCs w:val="24"/>
        </w:rPr>
      </w:pPr>
      <w:r>
        <w:rPr>
          <w:rFonts w:ascii="Times New Roman" w:hAnsi="Times New Roman"/>
          <w:sz w:val="24"/>
          <w:szCs w:val="24"/>
        </w:rPr>
        <w:t>“</w:t>
      </w:r>
      <w:proofErr w:type="spellStart"/>
      <w:r w:rsidRPr="009932E6">
        <w:rPr>
          <w:rFonts w:ascii="Times New Roman" w:hAnsi="Times New Roman"/>
          <w:sz w:val="24"/>
          <w:szCs w:val="24"/>
        </w:rPr>
        <w:t>CalTrans</w:t>
      </w:r>
      <w:proofErr w:type="spellEnd"/>
      <w:r w:rsidRPr="009932E6">
        <w:rPr>
          <w:rFonts w:ascii="Times New Roman" w:hAnsi="Times New Roman"/>
          <w:sz w:val="24"/>
          <w:szCs w:val="24"/>
        </w:rPr>
        <w:t xml:space="preserve"> successfully demurred to the SAC and the heirs’ wrongful death claim</w:t>
      </w:r>
    </w:p>
    <w:p w14:paraId="4FD71C3D" w14:textId="77777777" w:rsidR="0056123D" w:rsidRPr="009932E6" w:rsidRDefault="0056123D" w:rsidP="0056123D">
      <w:pPr>
        <w:pStyle w:val="NoSpacing"/>
        <w:ind w:firstLine="720"/>
        <w:rPr>
          <w:rFonts w:ascii="Times New Roman" w:hAnsi="Times New Roman"/>
          <w:sz w:val="24"/>
          <w:szCs w:val="24"/>
        </w:rPr>
      </w:pPr>
      <w:r w:rsidRPr="009932E6">
        <w:rPr>
          <w:rFonts w:ascii="Times New Roman" w:hAnsi="Times New Roman"/>
          <w:sz w:val="24"/>
          <w:szCs w:val="24"/>
        </w:rPr>
        <w:t>on the basis that it was not liable under our Supreme Court’s holding in Privette v.</w:t>
      </w:r>
    </w:p>
    <w:p w14:paraId="0A633877" w14:textId="77777777" w:rsidR="0056123D" w:rsidRPr="009932E6" w:rsidRDefault="0056123D" w:rsidP="0056123D">
      <w:pPr>
        <w:pStyle w:val="NoSpacing"/>
        <w:ind w:firstLine="720"/>
        <w:rPr>
          <w:rFonts w:ascii="Times New Roman" w:hAnsi="Times New Roman"/>
          <w:sz w:val="24"/>
          <w:szCs w:val="24"/>
        </w:rPr>
      </w:pPr>
      <w:r w:rsidRPr="009932E6">
        <w:rPr>
          <w:rFonts w:ascii="Times New Roman" w:hAnsi="Times New Roman"/>
          <w:sz w:val="24"/>
          <w:szCs w:val="24"/>
        </w:rPr>
        <w:t>Superior Court (1993) 5 Cal.4th 689 (Privette) and its progeny, which generally prohibit</w:t>
      </w:r>
    </w:p>
    <w:p w14:paraId="1B79DAB7" w14:textId="77777777" w:rsidR="0056123D" w:rsidRPr="009932E6" w:rsidRDefault="0056123D" w:rsidP="0056123D">
      <w:pPr>
        <w:pStyle w:val="NoSpacing"/>
        <w:ind w:firstLine="720"/>
        <w:rPr>
          <w:rFonts w:ascii="Times New Roman" w:hAnsi="Times New Roman"/>
          <w:sz w:val="24"/>
          <w:szCs w:val="24"/>
        </w:rPr>
      </w:pPr>
      <w:r w:rsidRPr="009932E6">
        <w:rPr>
          <w:rFonts w:ascii="Times New Roman" w:hAnsi="Times New Roman"/>
          <w:sz w:val="24"/>
          <w:szCs w:val="24"/>
        </w:rPr>
        <w:t>an independent contractor or its employees from suing the hirer of the contractor for</w:t>
      </w:r>
    </w:p>
    <w:p w14:paraId="2CC85BC6" w14:textId="77777777" w:rsidR="0056123D" w:rsidRPr="009932E6" w:rsidRDefault="0056123D" w:rsidP="0056123D">
      <w:pPr>
        <w:pStyle w:val="NoSpacing"/>
        <w:ind w:firstLine="720"/>
        <w:rPr>
          <w:rFonts w:ascii="Times New Roman" w:hAnsi="Times New Roman"/>
          <w:sz w:val="24"/>
          <w:szCs w:val="24"/>
        </w:rPr>
      </w:pPr>
      <w:r w:rsidRPr="009932E6">
        <w:rPr>
          <w:rFonts w:ascii="Times New Roman" w:hAnsi="Times New Roman"/>
          <w:sz w:val="24"/>
          <w:szCs w:val="24"/>
        </w:rPr>
        <w:t>workplace injuries except where the hirer has negligently exercised retained control or</w:t>
      </w:r>
    </w:p>
    <w:p w14:paraId="1D7584BD" w14:textId="77777777" w:rsidR="0056123D" w:rsidRDefault="0056123D" w:rsidP="0056123D">
      <w:pPr>
        <w:pStyle w:val="NoSpacing"/>
        <w:ind w:left="720"/>
        <w:rPr>
          <w:rFonts w:ascii="Times New Roman" w:hAnsi="Times New Roman"/>
          <w:sz w:val="24"/>
          <w:szCs w:val="24"/>
        </w:rPr>
      </w:pPr>
      <w:r w:rsidRPr="009932E6">
        <w:rPr>
          <w:rFonts w:ascii="Times New Roman" w:hAnsi="Times New Roman"/>
          <w:sz w:val="24"/>
          <w:szCs w:val="24"/>
        </w:rPr>
        <w:t>concealed a preexisting hazard.</w:t>
      </w:r>
      <w:r>
        <w:rPr>
          <w:rFonts w:ascii="Times New Roman" w:hAnsi="Times New Roman"/>
          <w:sz w:val="24"/>
          <w:szCs w:val="24"/>
        </w:rPr>
        <w:t xml:space="preserve">”  </w:t>
      </w:r>
      <w:hyperlink r:id="rId517" w:history="1">
        <w:r w:rsidRPr="00537EB6">
          <w:rPr>
            <w:rStyle w:val="Hyperlink"/>
            <w:rFonts w:ascii="Times New Roman" w:hAnsi="Times New Roman"/>
            <w:sz w:val="24"/>
            <w:szCs w:val="24"/>
          </w:rPr>
          <w:t>https://www.courts.ca.gov/opinions/nonpub/C096220.PDF</w:t>
        </w:r>
      </w:hyperlink>
      <w:r>
        <w:rPr>
          <w:rFonts w:ascii="Times New Roman" w:hAnsi="Times New Roman"/>
          <w:sz w:val="24"/>
          <w:szCs w:val="24"/>
        </w:rPr>
        <w:t xml:space="preserve"> </w:t>
      </w:r>
    </w:p>
    <w:p w14:paraId="713BBEF4" w14:textId="77777777" w:rsidR="0056123D" w:rsidRDefault="0056123D" w:rsidP="0056123D">
      <w:pPr>
        <w:pStyle w:val="NoSpacing"/>
        <w:rPr>
          <w:rFonts w:ascii="Times New Roman" w:hAnsi="Times New Roman"/>
          <w:b/>
          <w:bCs/>
          <w:sz w:val="24"/>
          <w:szCs w:val="24"/>
        </w:rPr>
      </w:pPr>
    </w:p>
    <w:p w14:paraId="568A8A30" w14:textId="604FD218" w:rsidR="0056123D" w:rsidRPr="0059137D" w:rsidRDefault="0056123D" w:rsidP="0056123D">
      <w:pPr>
        <w:pStyle w:val="NoSpacing"/>
        <w:rPr>
          <w:rFonts w:ascii="Times New Roman" w:hAnsi="Times New Roman"/>
          <w:b/>
          <w:bCs/>
          <w:sz w:val="24"/>
          <w:szCs w:val="24"/>
        </w:rPr>
      </w:pPr>
      <w:r w:rsidRPr="0059137D">
        <w:rPr>
          <w:rFonts w:ascii="Times New Roman" w:hAnsi="Times New Roman"/>
          <w:b/>
          <w:bCs/>
          <w:sz w:val="24"/>
          <w:szCs w:val="24"/>
        </w:rPr>
        <w:t>Legal Lesson Learned:</w:t>
      </w:r>
      <w:r>
        <w:rPr>
          <w:rFonts w:ascii="Times New Roman" w:hAnsi="Times New Roman"/>
          <w:b/>
          <w:bCs/>
          <w:sz w:val="24"/>
          <w:szCs w:val="24"/>
        </w:rPr>
        <w:t xml:space="preserve"> The bulldoze operators were employees to the independent contractor; their remedy is worker’s comp through their employer. </w:t>
      </w:r>
    </w:p>
    <w:p w14:paraId="1BE42B68" w14:textId="77777777" w:rsidR="0056123D" w:rsidRDefault="0056123D" w:rsidP="0056123D">
      <w:pPr>
        <w:pStyle w:val="NoSpacing"/>
        <w:rPr>
          <w:rFonts w:ascii="Times New Roman" w:hAnsi="Times New Roman"/>
          <w:sz w:val="24"/>
          <w:szCs w:val="24"/>
        </w:rPr>
      </w:pPr>
    </w:p>
    <w:p w14:paraId="1C848859" w14:textId="77777777" w:rsidR="0056123D" w:rsidRDefault="0056123D" w:rsidP="00853142">
      <w:pPr>
        <w:rPr>
          <w:rFonts w:ascii="Arial Black" w:hAnsi="Arial Black"/>
          <w:sz w:val="24"/>
          <w:szCs w:val="24"/>
        </w:rPr>
      </w:pPr>
    </w:p>
    <w:p w14:paraId="76679C0E" w14:textId="75666C9F" w:rsidR="00FE60DA" w:rsidRDefault="00FE60DA" w:rsidP="00853142">
      <w:pPr>
        <w:rPr>
          <w:rFonts w:ascii="Arial Black" w:hAnsi="Arial Black"/>
          <w:sz w:val="24"/>
          <w:szCs w:val="24"/>
        </w:rPr>
      </w:pPr>
      <w:r>
        <w:rPr>
          <w:rFonts w:ascii="Arial Black" w:hAnsi="Arial Black"/>
          <w:sz w:val="24"/>
          <w:szCs w:val="24"/>
        </w:rPr>
        <w:t>2-5</w:t>
      </w:r>
      <w:r w:rsidR="00BB73D4">
        <w:rPr>
          <w:rFonts w:ascii="Arial Black" w:hAnsi="Arial Black"/>
          <w:sz w:val="24"/>
          <w:szCs w:val="24"/>
        </w:rPr>
        <w:t>6</w:t>
      </w:r>
    </w:p>
    <w:p w14:paraId="301CE9F2" w14:textId="77777777" w:rsidR="00FE60DA" w:rsidRPr="009C2567" w:rsidRDefault="00FE60DA" w:rsidP="00FE60DA">
      <w:pPr>
        <w:spacing w:before="100" w:beforeAutospacing="1" w:after="100" w:afterAutospacing="1" w:line="240" w:lineRule="auto"/>
        <w:rPr>
          <w:rFonts w:ascii="Arial Black" w:hAnsi="Arial Black"/>
          <w:sz w:val="28"/>
          <w:szCs w:val="28"/>
        </w:rPr>
      </w:pPr>
      <w:r>
        <w:rPr>
          <w:rFonts w:ascii="Arial Black" w:hAnsi="Arial Black"/>
          <w:sz w:val="28"/>
          <w:szCs w:val="28"/>
        </w:rPr>
        <w:t>NY:  1992 ARSON CLOTHING STORE - LODD OF FDNY LT. –BLDG OWNER 36 YRS PRISON - DENIED HOME DETENTION</w:t>
      </w:r>
    </w:p>
    <w:p w14:paraId="6047AD8C" w14:textId="77777777" w:rsidR="00FE60DA" w:rsidRDefault="00FE60DA" w:rsidP="00FE60DA">
      <w:pPr>
        <w:spacing w:before="100" w:beforeAutospacing="1" w:after="100" w:afterAutospacing="1" w:line="240" w:lineRule="auto"/>
        <w:rPr>
          <w:rFonts w:ascii="Times New Roman" w:hAnsi="Times New Roman"/>
          <w:sz w:val="24"/>
          <w:szCs w:val="24"/>
        </w:rPr>
      </w:pPr>
      <w:r w:rsidRPr="007C560E">
        <w:rPr>
          <w:rFonts w:ascii="Times New Roman" w:eastAsia="Times New Roman" w:hAnsi="Times New Roman"/>
          <w:sz w:val="24"/>
          <w:szCs w:val="24"/>
        </w:rPr>
        <w:t xml:space="preserve">On June 30, 2023, in </w:t>
      </w:r>
      <w:r w:rsidRPr="007C560E">
        <w:rPr>
          <w:rFonts w:ascii="Times New Roman" w:eastAsia="Times New Roman" w:hAnsi="Times New Roman"/>
          <w:sz w:val="24"/>
          <w:szCs w:val="24"/>
          <w:u w:val="single"/>
        </w:rPr>
        <w:t>Jack Ferranti v. Warden Allenwood LSCI</w:t>
      </w:r>
      <w:r w:rsidRPr="007C560E">
        <w:rPr>
          <w:rFonts w:ascii="Times New Roman" w:eastAsia="Times New Roman" w:hAnsi="Times New Roman"/>
          <w:sz w:val="24"/>
          <w:szCs w:val="24"/>
        </w:rPr>
        <w:t xml:space="preserve">, the U.S. Court of Appeals for Third Circuit (Philadelphia) held (3 to 0) that U.S. Bureau of Prisons, and U.S. District Court properly denied his request to serve the remainder of his sentence at home under the </w:t>
      </w:r>
      <w:r w:rsidRPr="007C560E">
        <w:rPr>
          <w:rFonts w:ascii="Times New Roman" w:hAnsi="Times New Roman"/>
          <w:sz w:val="24"/>
          <w:szCs w:val="24"/>
        </w:rPr>
        <w:t xml:space="preserve">Elderly Offender Home Detention Program (EOHDP), a pilot program expanded as part of the 2018 First Step Act signed into law by President Trump. The Feb. 24, 1992, fire, in a three-story brick building with stores on the ground floor, sent smoke-choked tenants into the street and killed Lieut. Thomas A. Williams, 52, a 30-year veteran of the department and the father of two college-age daughters. Lieutenant Williams either fell or was blown out of a second-story window after a buildup of smoke and gases. He was </w:t>
      </w:r>
      <w:proofErr w:type="gramStart"/>
      <w:r w:rsidRPr="007C560E">
        <w:rPr>
          <w:rFonts w:ascii="Times New Roman" w:hAnsi="Times New Roman"/>
          <w:sz w:val="24"/>
          <w:szCs w:val="24"/>
        </w:rPr>
        <w:t>sentenced</w:t>
      </w:r>
      <w:proofErr w:type="gramEnd"/>
      <w:r w:rsidRPr="007C560E">
        <w:rPr>
          <w:rFonts w:ascii="Times New Roman" w:hAnsi="Times New Roman"/>
          <w:sz w:val="24"/>
          <w:szCs w:val="24"/>
        </w:rPr>
        <w:t xml:space="preserve"> 435 months' </w:t>
      </w:r>
      <w:r>
        <w:rPr>
          <w:rFonts w:ascii="Times New Roman" w:hAnsi="Times New Roman"/>
          <w:sz w:val="24"/>
          <w:szCs w:val="24"/>
        </w:rPr>
        <w:t xml:space="preserve">(36 years) </w:t>
      </w:r>
      <w:r w:rsidRPr="007C560E">
        <w:rPr>
          <w:rFonts w:ascii="Times New Roman" w:hAnsi="Times New Roman"/>
          <w:sz w:val="24"/>
          <w:szCs w:val="24"/>
        </w:rPr>
        <w:t>imprisonment</w:t>
      </w:r>
      <w:r>
        <w:rPr>
          <w:rFonts w:ascii="Times New Roman" w:hAnsi="Times New Roman"/>
          <w:sz w:val="24"/>
          <w:szCs w:val="24"/>
        </w:rPr>
        <w:t xml:space="preserve"> and </w:t>
      </w:r>
      <w:r w:rsidRPr="007C560E">
        <w:rPr>
          <w:rFonts w:ascii="Times New Roman" w:hAnsi="Times New Roman"/>
          <w:sz w:val="24"/>
          <w:szCs w:val="24"/>
        </w:rPr>
        <w:t xml:space="preserve">with </w:t>
      </w:r>
      <w:proofErr w:type="gramStart"/>
      <w:r w:rsidRPr="007C560E">
        <w:rPr>
          <w:rFonts w:ascii="Times New Roman" w:hAnsi="Times New Roman"/>
          <w:sz w:val="24"/>
          <w:szCs w:val="24"/>
        </w:rPr>
        <w:t>good time</w:t>
      </w:r>
      <w:proofErr w:type="gramEnd"/>
      <w:r w:rsidRPr="007C560E">
        <w:rPr>
          <w:rFonts w:ascii="Times New Roman" w:hAnsi="Times New Roman"/>
          <w:sz w:val="24"/>
          <w:szCs w:val="24"/>
        </w:rPr>
        <w:t xml:space="preserve"> credits, the Bureau of Prisons (BOP) expects he will be released from prison in April 2026.</w:t>
      </w:r>
      <w:r>
        <w:rPr>
          <w:rFonts w:ascii="Times New Roman" w:hAnsi="Times New Roman"/>
          <w:sz w:val="24"/>
          <w:szCs w:val="24"/>
        </w:rPr>
        <w:t xml:space="preserve"> </w:t>
      </w:r>
    </w:p>
    <w:p w14:paraId="38D9BC63" w14:textId="77777777" w:rsidR="00FE60DA" w:rsidRPr="009C2567" w:rsidRDefault="00FE60DA" w:rsidP="00FE60DA">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The 3</w:t>
      </w:r>
      <w:r w:rsidRPr="009C2567">
        <w:rPr>
          <w:rFonts w:ascii="Times New Roman" w:hAnsi="Times New Roman"/>
          <w:sz w:val="24"/>
          <w:szCs w:val="24"/>
          <w:vertAlign w:val="superscript"/>
        </w:rPr>
        <w:t>rd</w:t>
      </w:r>
      <w:r>
        <w:rPr>
          <w:rFonts w:ascii="Times New Roman" w:hAnsi="Times New Roman"/>
          <w:sz w:val="24"/>
          <w:szCs w:val="24"/>
        </w:rPr>
        <w:t xml:space="preserve"> Circuit held: “</w:t>
      </w:r>
      <w:r>
        <w:rPr>
          <w:rFonts w:ascii="Times New Roman" w:eastAsia="Times New Roman" w:hAnsi="Times New Roman"/>
          <w:sz w:val="24"/>
          <w:szCs w:val="24"/>
        </w:rPr>
        <w:t>[T]</w:t>
      </w:r>
      <w:r w:rsidRPr="009C2567">
        <w:rPr>
          <w:rFonts w:ascii="Times New Roman" w:eastAsia="Times New Roman" w:hAnsi="Times New Roman"/>
          <w:sz w:val="24"/>
          <w:szCs w:val="24"/>
        </w:rPr>
        <w:t>he BOP did not err by concluding that Ferranti's history of violence-comprised of the underlying conduct for his convictions as well as disciplinary infractions in prison-disqualified him from participating in the EOHDP. For the foregoing reasons, we will affirm the District Court's orders denying relief.</w:t>
      </w:r>
      <w:r>
        <w:rPr>
          <w:rFonts w:ascii="Times New Roman" w:eastAsia="Times New Roman" w:hAnsi="Times New Roman"/>
          <w:sz w:val="24"/>
          <w:szCs w:val="24"/>
        </w:rPr>
        <w:t xml:space="preserve">” </w:t>
      </w:r>
      <w:hyperlink r:id="rId518" w:history="1">
        <w:r w:rsidRPr="00812663">
          <w:rPr>
            <w:rStyle w:val="Hyperlink"/>
            <w:sz w:val="24"/>
            <w:szCs w:val="24"/>
          </w:rPr>
          <w:t>https://law.justia.com/cases/federal/appellate-courts/ca3/22-1892/22-1892-2023-06-30.html</w:t>
        </w:r>
      </w:hyperlink>
      <w:r>
        <w:rPr>
          <w:rFonts w:ascii="Times New Roman" w:eastAsia="Times New Roman" w:hAnsi="Times New Roman"/>
          <w:sz w:val="24"/>
          <w:szCs w:val="24"/>
        </w:rPr>
        <w:t xml:space="preserve"> </w:t>
      </w:r>
    </w:p>
    <w:p w14:paraId="17541C2E" w14:textId="77777777" w:rsidR="00FE60DA" w:rsidRPr="007C560E" w:rsidRDefault="00FE60DA" w:rsidP="00FE60DA">
      <w:pPr>
        <w:pStyle w:val="NormalWeb"/>
        <w:rPr>
          <w:b/>
          <w:bCs/>
        </w:rPr>
      </w:pPr>
      <w:r w:rsidRPr="007C560E">
        <w:rPr>
          <w:b/>
          <w:bCs/>
        </w:rPr>
        <w:t>Legal Lesson Learned: Arsonists</w:t>
      </w:r>
      <w:r>
        <w:rPr>
          <w:b/>
          <w:bCs/>
        </w:rPr>
        <w:t>, and other violent offenders,</w:t>
      </w:r>
      <w:r w:rsidRPr="007C560E">
        <w:rPr>
          <w:b/>
          <w:bCs/>
        </w:rPr>
        <w:t xml:space="preserve"> are not qualified for Elderly Offender Home Detention Program</w:t>
      </w:r>
      <w:r>
        <w:rPr>
          <w:b/>
          <w:bCs/>
        </w:rPr>
        <w:t xml:space="preserve"> (age 60 or older)</w:t>
      </w:r>
      <w:r w:rsidRPr="007C560E">
        <w:rPr>
          <w:b/>
          <w:bCs/>
        </w:rPr>
        <w:t xml:space="preserve">. </w:t>
      </w:r>
    </w:p>
    <w:p w14:paraId="10C9BBCC" w14:textId="77777777" w:rsidR="00FE60DA" w:rsidRDefault="00FE60DA" w:rsidP="00FE60DA">
      <w:pPr>
        <w:pStyle w:val="NormalWeb"/>
        <w:ind w:left="720"/>
      </w:pPr>
      <w:r w:rsidRPr="007C560E">
        <w:t xml:space="preserve">Note:  See Aug. 16, </w:t>
      </w:r>
      <w:proofErr w:type="gramStart"/>
      <w:r w:rsidRPr="007C560E">
        <w:t>1995</w:t>
      </w:r>
      <w:proofErr w:type="gramEnd"/>
      <w:r w:rsidRPr="007C560E">
        <w:t xml:space="preserve"> </w:t>
      </w:r>
      <w:r>
        <w:t xml:space="preserve">New York Times </w:t>
      </w:r>
      <w:r w:rsidRPr="007C560E">
        <w:t>article, “Storeowner Guilty of Arson Where Fireman Died.”</w:t>
      </w:r>
      <w:r>
        <w:t xml:space="preserve"> </w:t>
      </w:r>
      <w:hyperlink r:id="rId519" w:history="1">
        <w:r w:rsidRPr="00AA56D8">
          <w:rPr>
            <w:rStyle w:val="Hyperlink"/>
          </w:rPr>
          <w:t>https://www.nytimes.com/1995/08/16/nyregion/storeowner-guilty-of-arson-where-fireman-died.html</w:t>
        </w:r>
      </w:hyperlink>
      <w:r>
        <w:t xml:space="preserve"> </w:t>
      </w:r>
    </w:p>
    <w:p w14:paraId="26364599" w14:textId="77777777" w:rsidR="00FE60DA" w:rsidRDefault="00FE60DA" w:rsidP="00FE60DA">
      <w:pPr>
        <w:pStyle w:val="css-at9mc1"/>
        <w:ind w:left="720"/>
      </w:pPr>
      <w:r>
        <w:lastRenderedPageBreak/>
        <w:t xml:space="preserve">“The owner of a Queens clothing store was convicted of arson by a </w:t>
      </w:r>
      <w:proofErr w:type="gramStart"/>
      <w:r>
        <w:t>Federal</w:t>
      </w:r>
      <w:proofErr w:type="gramEnd"/>
      <w:r>
        <w:t xml:space="preserve"> court jury in Brooklyn yesterday in a fire that killed a highly decorated firefighter. The storeowner, Jack Ferranti, 42, of Manhattan, could receive life in prison. Mr. Ferranti's brother, Mario, 37, was convicted of arson conspiracy, and could receive five years in prison. The sentencing by Judge Jack B. Weinstein will not be scheduled until after the trial of Thomas Tocco, 29, a third defendant, whose case was severed from the Ferranti trial, officials said. Mr. Tocco's trial is scheduled to begin on Monday…. The indictment, unsealed in February, three years after the Feb. 24, 1992, fire, charged that shortly before the blaze, Jack Ferranti had moved a large amount of merchandise from the store, Today's Styles, at 66-45 Grand Avenue in Maspeth, and that after the fire he falsely claimed the goods had been destroyed, for a loss of $100,000. During the investigation, Mr. Ferranti withdrew the insurance claim. Besides the arson charge, Mr. Ferranti was found guilty of 16 counts of mail fraud in connection with the insurance claims and one count of witness tampering. The fire, in a three-story brick building with stores on the ground floor, sent smoke-choked tenants into the street and killed Lieut. Thomas A. Williams, 52, a 30-year veteran of the department and the father of two college-age daughters. Lieutenant Williams either fell or was blown out of a second-story window after a buildup of smoke and gases.”</w:t>
      </w:r>
    </w:p>
    <w:p w14:paraId="087FF66A" w14:textId="7238ED89" w:rsidR="00FE60DA" w:rsidRDefault="00FE60DA" w:rsidP="00853142">
      <w:pPr>
        <w:rPr>
          <w:rFonts w:ascii="Arial Black" w:hAnsi="Arial Black"/>
          <w:sz w:val="24"/>
          <w:szCs w:val="24"/>
        </w:rPr>
      </w:pPr>
      <w:r>
        <w:rPr>
          <w:rFonts w:ascii="Arial Black" w:hAnsi="Arial Black"/>
          <w:sz w:val="24"/>
          <w:szCs w:val="24"/>
        </w:rPr>
        <w:t>2-5</w:t>
      </w:r>
      <w:r w:rsidR="00BB73D4">
        <w:rPr>
          <w:rFonts w:ascii="Arial Black" w:hAnsi="Arial Black"/>
          <w:sz w:val="24"/>
          <w:szCs w:val="24"/>
        </w:rPr>
        <w:t>5</w:t>
      </w:r>
    </w:p>
    <w:p w14:paraId="6175D787" w14:textId="77777777" w:rsidR="00FE60DA" w:rsidRPr="00171981" w:rsidRDefault="00FE60DA" w:rsidP="00FE60DA">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PA: KIDNEY CANCER – STATE LAW PROPERLY EXTENDS COVERAGE TO CHEMICALS LATER PLACED IN “GROUP 1” </w:t>
      </w:r>
    </w:p>
    <w:p w14:paraId="00DA3C06" w14:textId="77777777" w:rsidR="00FE60DA" w:rsidRDefault="00FE60DA" w:rsidP="00FE60D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June 21, 2023, in </w:t>
      </w:r>
      <w:r w:rsidRPr="005949A3">
        <w:rPr>
          <w:rFonts w:ascii="Times New Roman" w:hAnsi="Times New Roman"/>
          <w:sz w:val="24"/>
          <w:szCs w:val="24"/>
          <w:u w:val="single"/>
        </w:rPr>
        <w:t>City of Philadelphia v. Joseph Healey (Workers’ Compensation Appeal Board)</w:t>
      </w:r>
      <w:r>
        <w:rPr>
          <w:rFonts w:ascii="Times New Roman" w:hAnsi="Times New Roman"/>
          <w:sz w:val="24"/>
          <w:szCs w:val="24"/>
        </w:rPr>
        <w:t xml:space="preserve">, the Commonwealth Court of Pennsylvania held (7 to 0) that the firefighter was properly granted workers comp for his kidney cancer, rejecting the City’s argument that the state’s 2011 statute improperly allows additional substances like </w:t>
      </w:r>
      <w:r w:rsidRPr="00DB7D8B">
        <w:rPr>
          <w:rFonts w:ascii="Times New Roman" w:hAnsi="Times New Roman"/>
          <w:sz w:val="24"/>
          <w:szCs w:val="24"/>
        </w:rPr>
        <w:t>trichlorethylene</w:t>
      </w:r>
      <w:r>
        <w:t xml:space="preserve"> (</w:t>
      </w:r>
      <w:r>
        <w:rPr>
          <w:rFonts w:ascii="Times New Roman" w:hAnsi="Times New Roman"/>
          <w:sz w:val="24"/>
          <w:szCs w:val="24"/>
        </w:rPr>
        <w:t xml:space="preserve">TCE is </w:t>
      </w:r>
      <w:r w:rsidRPr="00DB7D8B">
        <w:rPr>
          <w:rFonts w:ascii="Times New Roman" w:hAnsi="Times New Roman"/>
          <w:sz w:val="24"/>
          <w:szCs w:val="24"/>
        </w:rPr>
        <w:t>industrial solvent for degreasing metal parts)</w:t>
      </w:r>
      <w:r>
        <w:rPr>
          <w:rFonts w:ascii="Times New Roman" w:hAnsi="Times New Roman"/>
          <w:sz w:val="24"/>
          <w:szCs w:val="24"/>
        </w:rPr>
        <w:t xml:space="preserve"> to be added to Group 1 list by the </w:t>
      </w:r>
      <w:r w:rsidRPr="005949A3">
        <w:rPr>
          <w:rFonts w:ascii="Times New Roman" w:hAnsi="Times New Roman"/>
          <w:sz w:val="24"/>
          <w:szCs w:val="24"/>
        </w:rPr>
        <w:t>International Agency for Research on Cancer</w:t>
      </w:r>
      <w:r>
        <w:rPr>
          <w:rFonts w:ascii="Times New Roman" w:hAnsi="Times New Roman"/>
          <w:sz w:val="24"/>
          <w:szCs w:val="24"/>
        </w:rPr>
        <w:t xml:space="preserve">. In 2011, TCE was listed as a Group 2a substance (“probably carcinogenic to humans”). </w:t>
      </w:r>
    </w:p>
    <w:p w14:paraId="4F3D6DD2" w14:textId="77777777" w:rsidR="00FE60DA" w:rsidRPr="0003518A" w:rsidRDefault="00FE60DA" w:rsidP="00FE60D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The Court held: “E</w:t>
      </w:r>
      <w:r w:rsidRPr="005949A3">
        <w:rPr>
          <w:rFonts w:ascii="Times New Roman" w:hAnsi="Times New Roman"/>
          <w:sz w:val="24"/>
          <w:szCs w:val="24"/>
        </w:rPr>
        <w:t xml:space="preserve">mployer argues that the WCJ erred by relying on Claimant's TCE exposure to grant the Claim Petition under Section 108(r) of the Act. Specifically, Employer contends that interpreting Section 108(r) of the Act to include TCE as a Group 1 carcinogen </w:t>
      </w:r>
      <w:r w:rsidRPr="005949A3">
        <w:rPr>
          <w:rStyle w:val="Emphasis"/>
          <w:rFonts w:ascii="Times New Roman" w:hAnsi="Times New Roman"/>
          <w:sz w:val="24"/>
          <w:szCs w:val="24"/>
        </w:rPr>
        <w:t>after</w:t>
      </w:r>
      <w:r w:rsidRPr="005949A3">
        <w:rPr>
          <w:rFonts w:ascii="Times New Roman" w:hAnsi="Times New Roman"/>
          <w:sz w:val="24"/>
          <w:szCs w:val="24"/>
        </w:rPr>
        <w:t xml:space="preserve"> Act 46 became law on July 7, 2011, makes Section 108(r) of the Act reliant on the IARC's ever-changing Group 1 carcinogen list and, thus, the General Assembly unconstitutionally delegated its lawmaking authority to the IARC.</w:t>
      </w:r>
      <w:r>
        <w:rPr>
          <w:rFonts w:ascii="Times New Roman" w:hAnsi="Times New Roman"/>
          <w:sz w:val="24"/>
          <w:szCs w:val="24"/>
        </w:rPr>
        <w:t xml:space="preserve"> *** [Footnote 11. </w:t>
      </w:r>
      <w:r w:rsidRPr="00DB7D8B">
        <w:rPr>
          <w:rFonts w:ascii="Times New Roman" w:hAnsi="Times New Roman"/>
          <w:sz w:val="24"/>
          <w:szCs w:val="24"/>
        </w:rPr>
        <w:t xml:space="preserve">In addition, well-settled delegation standards and case law specify that the General Assembly has the authority </w:t>
      </w:r>
      <w:r>
        <w:rPr>
          <w:rFonts w:ascii="Times New Roman" w:hAnsi="Times New Roman"/>
          <w:sz w:val="24"/>
          <w:szCs w:val="24"/>
        </w:rPr>
        <w:t>‘</w:t>
      </w:r>
      <w:r w:rsidRPr="00DB7D8B">
        <w:rPr>
          <w:rFonts w:ascii="Times New Roman" w:hAnsi="Times New Roman"/>
          <w:sz w:val="24"/>
          <w:szCs w:val="24"/>
        </w:rPr>
        <w:t>to delegate to [the IARC], its execution and administrative authority over Pennsylvania's [occupational disease classifications], . . . as long as: (1) basic policy choices are still made by the General Assembly; and (2) the legislation contains adequate standards to guide and restrain the exercise of those functions.</w:t>
      </w:r>
      <w:r>
        <w:rPr>
          <w:rFonts w:ascii="Times New Roman" w:hAnsi="Times New Roman"/>
          <w:sz w:val="24"/>
          <w:szCs w:val="24"/>
        </w:rPr>
        <w:t>’</w:t>
      </w:r>
      <w:r w:rsidRPr="00DB7D8B">
        <w:rPr>
          <w:rFonts w:ascii="Times New Roman" w:hAnsi="Times New Roman"/>
          <w:sz w:val="24"/>
          <w:szCs w:val="24"/>
        </w:rPr>
        <w:t xml:space="preserve"> </w:t>
      </w:r>
      <w:r w:rsidRPr="00DB7D8B">
        <w:rPr>
          <w:rStyle w:val="Emphasis"/>
          <w:rFonts w:ascii="Times New Roman" w:hAnsi="Times New Roman"/>
          <w:sz w:val="24"/>
          <w:szCs w:val="24"/>
        </w:rPr>
        <w:t xml:space="preserve">Pa. Builders </w:t>
      </w:r>
      <w:proofErr w:type="spellStart"/>
      <w:r w:rsidRPr="00DB7D8B">
        <w:rPr>
          <w:rStyle w:val="Emphasis"/>
          <w:rFonts w:ascii="Times New Roman" w:hAnsi="Times New Roman"/>
          <w:sz w:val="24"/>
          <w:szCs w:val="24"/>
        </w:rPr>
        <w:t>Ass'n</w:t>
      </w:r>
      <w:proofErr w:type="spellEnd"/>
      <w:r w:rsidRPr="00DB7D8B">
        <w:rPr>
          <w:rStyle w:val="Emphasis"/>
          <w:rFonts w:ascii="Times New Roman" w:hAnsi="Times New Roman"/>
          <w:sz w:val="24"/>
          <w:szCs w:val="24"/>
        </w:rPr>
        <w:t xml:space="preserve"> v. </w:t>
      </w:r>
      <w:proofErr w:type="spellStart"/>
      <w:r w:rsidRPr="00DB7D8B">
        <w:rPr>
          <w:rStyle w:val="Emphasis"/>
          <w:rFonts w:ascii="Times New Roman" w:hAnsi="Times New Roman"/>
          <w:sz w:val="24"/>
          <w:szCs w:val="24"/>
        </w:rPr>
        <w:t>Dep't</w:t>
      </w:r>
      <w:proofErr w:type="spellEnd"/>
      <w:r w:rsidRPr="00DB7D8B">
        <w:rPr>
          <w:rStyle w:val="Emphasis"/>
          <w:rFonts w:ascii="Times New Roman" w:hAnsi="Times New Roman"/>
          <w:sz w:val="24"/>
          <w:szCs w:val="24"/>
        </w:rPr>
        <w:t xml:space="preserve"> of Lab. &amp; Indus.</w:t>
      </w:r>
      <w:r w:rsidRPr="00DB7D8B">
        <w:rPr>
          <w:rFonts w:ascii="Times New Roman" w:hAnsi="Times New Roman"/>
          <w:sz w:val="24"/>
          <w:szCs w:val="24"/>
        </w:rPr>
        <w:t xml:space="preserve">, 4 A.3d 215, 224 (Pa. </w:t>
      </w:r>
      <w:proofErr w:type="spellStart"/>
      <w:r w:rsidRPr="00DB7D8B">
        <w:rPr>
          <w:rFonts w:ascii="Times New Roman" w:hAnsi="Times New Roman"/>
          <w:sz w:val="24"/>
          <w:szCs w:val="24"/>
        </w:rPr>
        <w:t>Cmwlth</w:t>
      </w:r>
      <w:proofErr w:type="spellEnd"/>
      <w:r w:rsidRPr="00DB7D8B">
        <w:rPr>
          <w:rFonts w:ascii="Times New Roman" w:hAnsi="Times New Roman"/>
          <w:sz w:val="24"/>
          <w:szCs w:val="24"/>
        </w:rPr>
        <w:t xml:space="preserve">. 2010); </w:t>
      </w:r>
      <w:r w:rsidRPr="00DB7D8B">
        <w:rPr>
          <w:rStyle w:val="Emphasis"/>
          <w:rFonts w:ascii="Times New Roman" w:hAnsi="Times New Roman"/>
          <w:sz w:val="24"/>
          <w:szCs w:val="24"/>
        </w:rPr>
        <w:t>see also Protz</w:t>
      </w:r>
      <w:r w:rsidRPr="00DB7D8B">
        <w:rPr>
          <w:rFonts w:ascii="Times New Roman" w:hAnsi="Times New Roman"/>
          <w:sz w:val="24"/>
          <w:szCs w:val="24"/>
        </w:rPr>
        <w:t>.</w:t>
      </w:r>
      <w:r>
        <w:rPr>
          <w:rFonts w:ascii="Times New Roman" w:hAnsi="Times New Roman"/>
          <w:sz w:val="24"/>
          <w:szCs w:val="24"/>
        </w:rPr>
        <w:t>”</w:t>
      </w:r>
      <w:r w:rsidRPr="00DB7D8B">
        <w:t xml:space="preserve"> </w:t>
      </w:r>
      <w:hyperlink r:id="rId520" w:history="1">
        <w:r w:rsidRPr="0003518A">
          <w:rPr>
            <w:rStyle w:val="Hyperlink"/>
            <w:sz w:val="24"/>
            <w:szCs w:val="24"/>
          </w:rPr>
          <w:t>https://casetext.com/case/city-of-philadelphia-v-healey</w:t>
        </w:r>
      </w:hyperlink>
      <w:r w:rsidRPr="0003518A">
        <w:rPr>
          <w:rFonts w:ascii="Times New Roman" w:hAnsi="Times New Roman"/>
          <w:sz w:val="24"/>
          <w:szCs w:val="24"/>
        </w:rPr>
        <w:t xml:space="preserve"> </w:t>
      </w:r>
    </w:p>
    <w:p w14:paraId="7775C6CC" w14:textId="77777777" w:rsidR="00FE60DA" w:rsidRPr="00726ADA" w:rsidRDefault="00FE60DA" w:rsidP="00FE60DA">
      <w:pPr>
        <w:spacing w:before="100" w:beforeAutospacing="1" w:after="100" w:afterAutospacing="1" w:line="240" w:lineRule="auto"/>
        <w:rPr>
          <w:rFonts w:ascii="Times New Roman" w:hAnsi="Times New Roman"/>
          <w:b/>
          <w:bCs/>
          <w:sz w:val="24"/>
          <w:szCs w:val="24"/>
        </w:rPr>
      </w:pPr>
      <w:r w:rsidRPr="00726ADA">
        <w:rPr>
          <w:rFonts w:ascii="Times New Roman" w:hAnsi="Times New Roman"/>
          <w:b/>
          <w:bCs/>
          <w:sz w:val="24"/>
          <w:szCs w:val="24"/>
        </w:rPr>
        <w:t xml:space="preserve">Legal Lesson Learned: </w:t>
      </w:r>
      <w:r>
        <w:rPr>
          <w:rFonts w:ascii="Times New Roman" w:hAnsi="Times New Roman"/>
          <w:b/>
          <w:bCs/>
          <w:sz w:val="24"/>
          <w:szCs w:val="24"/>
        </w:rPr>
        <w:t xml:space="preserve">It’s amazing what “weak” arguments employer’s workers comp. representatives sometimes make to avoid liability. </w:t>
      </w:r>
    </w:p>
    <w:p w14:paraId="1462041B" w14:textId="77777777" w:rsidR="00FE60DA" w:rsidRPr="00FE60DA" w:rsidRDefault="00FE60DA" w:rsidP="00853142">
      <w:pPr>
        <w:rPr>
          <w:rFonts w:ascii="Arial Black" w:hAnsi="Arial Black"/>
          <w:b/>
          <w:bCs/>
          <w:sz w:val="24"/>
          <w:szCs w:val="24"/>
        </w:rPr>
      </w:pPr>
    </w:p>
    <w:p w14:paraId="0465755D" w14:textId="77777777" w:rsidR="00FE60DA" w:rsidRDefault="00FE60DA" w:rsidP="00853142">
      <w:pPr>
        <w:rPr>
          <w:rFonts w:ascii="Arial Black" w:hAnsi="Arial Black"/>
          <w:sz w:val="24"/>
          <w:szCs w:val="24"/>
        </w:rPr>
      </w:pPr>
    </w:p>
    <w:p w14:paraId="0E7E6A53" w14:textId="77777777" w:rsidR="00FE60DA" w:rsidRDefault="00FE60DA" w:rsidP="00853142">
      <w:pPr>
        <w:rPr>
          <w:rFonts w:ascii="Arial Black" w:hAnsi="Arial Black"/>
          <w:sz w:val="24"/>
          <w:szCs w:val="24"/>
        </w:rPr>
      </w:pPr>
    </w:p>
    <w:p w14:paraId="119A4B9B" w14:textId="3FC4B487" w:rsidR="00DC17BF" w:rsidRPr="00DC17BF" w:rsidRDefault="00DC17BF" w:rsidP="00853142">
      <w:pPr>
        <w:rPr>
          <w:rFonts w:ascii="Arial Black" w:hAnsi="Arial Black"/>
          <w:sz w:val="24"/>
          <w:szCs w:val="24"/>
        </w:rPr>
      </w:pPr>
      <w:r w:rsidRPr="00DC17BF">
        <w:rPr>
          <w:rFonts w:ascii="Arial Black" w:hAnsi="Arial Black"/>
          <w:sz w:val="24"/>
          <w:szCs w:val="24"/>
        </w:rPr>
        <w:t>2-5</w:t>
      </w:r>
      <w:r w:rsidR="00BB73D4">
        <w:rPr>
          <w:rFonts w:ascii="Arial Black" w:hAnsi="Arial Black"/>
          <w:sz w:val="24"/>
          <w:szCs w:val="24"/>
        </w:rPr>
        <w:t>4</w:t>
      </w:r>
    </w:p>
    <w:p w14:paraId="58CC1446" w14:textId="77777777" w:rsidR="00DC17BF" w:rsidRPr="007B16B3" w:rsidRDefault="00DC17BF" w:rsidP="00DC17BF">
      <w:pPr>
        <w:pStyle w:val="NormalWeb"/>
        <w:rPr>
          <w:rFonts w:ascii="Arial Black" w:hAnsi="Arial Black"/>
          <w:b/>
          <w:bCs/>
          <w:sz w:val="28"/>
          <w:szCs w:val="28"/>
        </w:rPr>
      </w:pPr>
      <w:bookmarkStart w:id="92" w:name="_Hlk136858036"/>
      <w:r>
        <w:rPr>
          <w:rFonts w:ascii="Arial Black" w:hAnsi="Arial Black"/>
          <w:b/>
          <w:bCs/>
          <w:sz w:val="28"/>
          <w:szCs w:val="28"/>
        </w:rPr>
        <w:lastRenderedPageBreak/>
        <w:t>IL: FF CANCER - LINE-OF-DUTY DISABILTY PENSION WITH HEALTH INSURANCE - EVEN OFF-DUTY JOBS EXPOSURES</w:t>
      </w:r>
    </w:p>
    <w:bookmarkEnd w:id="92"/>
    <w:p w14:paraId="28329D85" w14:textId="77777777" w:rsidR="00DC17BF" w:rsidRPr="00DC17BF" w:rsidRDefault="00DC17BF" w:rsidP="00DC17BF">
      <w:pPr>
        <w:pStyle w:val="NormalWeb"/>
      </w:pPr>
      <w:r w:rsidRPr="00DC17BF">
        <w:t xml:space="preserve">On May 22, 2023, in </w:t>
      </w:r>
      <w:r w:rsidRPr="00DC17BF">
        <w:rPr>
          <w:u w:val="single"/>
        </w:rPr>
        <w:t xml:space="preserve">James </w:t>
      </w:r>
      <w:proofErr w:type="spellStart"/>
      <w:r w:rsidRPr="00DC17BF">
        <w:rPr>
          <w:u w:val="single"/>
        </w:rPr>
        <w:t>Ivetic</w:t>
      </w:r>
      <w:proofErr w:type="spellEnd"/>
      <w:r w:rsidRPr="00DC17BF">
        <w:rPr>
          <w:u w:val="single"/>
        </w:rPr>
        <w:t xml:space="preserve"> et al. v. The Bensenville Fire Protection District No. 2</w:t>
      </w:r>
      <w:r w:rsidRPr="00DC17BF">
        <w:t xml:space="preserve">, the Court of Appeals of Illinois, First District, First Division, held (3 to 0) that the firefighter and his wife were entitled to health insurance premium benefits.  The Court wrote: </w:t>
      </w:r>
    </w:p>
    <w:p w14:paraId="1E7E4B07" w14:textId="38D1B3DC" w:rsidR="00DC17BF" w:rsidRDefault="00DC17BF" w:rsidP="00DC17BF">
      <w:pPr>
        <w:pStyle w:val="NoSpacing"/>
        <w:rPr>
          <w:rStyle w:val="Hyperlink"/>
          <w:rFonts w:ascii="Times New Roman" w:eastAsiaTheme="majorEastAsia" w:hAnsi="Times New Roman"/>
          <w:sz w:val="24"/>
          <w:szCs w:val="24"/>
        </w:rPr>
      </w:pPr>
      <w:r w:rsidRPr="00DC17BF">
        <w:rPr>
          <w:rFonts w:ascii="Times New Roman" w:hAnsi="Times New Roman"/>
          <w:sz w:val="24"/>
          <w:szCs w:val="24"/>
        </w:rPr>
        <w:t xml:space="preserve">“The Pension Board held a hearing on James' pension application beginning on September 18, 2015. The evidence showed that James worked at a restaurant and a grocery store prior to becoming a firefighter. Additionally, during his career as a firefighter, James worked </w:t>
      </w:r>
      <w:proofErr w:type="gramStart"/>
      <w:r w:rsidRPr="00DC17BF">
        <w:rPr>
          <w:rFonts w:ascii="Times New Roman" w:hAnsi="Times New Roman"/>
          <w:sz w:val="24"/>
          <w:szCs w:val="24"/>
        </w:rPr>
        <w:t>a number of</w:t>
      </w:r>
      <w:proofErr w:type="gramEnd"/>
      <w:r w:rsidRPr="00DC17BF">
        <w:rPr>
          <w:rFonts w:ascii="Times New Roman" w:hAnsi="Times New Roman"/>
          <w:sz w:val="24"/>
          <w:szCs w:val="24"/>
        </w:rPr>
        <w:t xml:space="preserve"> part-time jobs, including being taxi and truck drivers and remodeling homes. James admitted that he was likely exposed to some chemicals from his part-time jobs, like oil-based paints and wallpaper removing chemicals. *** Here, the District essentially argues that James cannot satisfy the emergency prong of section 10 because there was no evidence of a direct cause of his cancer. Stated differently, </w:t>
      </w:r>
      <w:proofErr w:type="gramStart"/>
      <w:r w:rsidRPr="00DC17BF">
        <w:rPr>
          <w:rFonts w:ascii="Times New Roman" w:hAnsi="Times New Roman"/>
          <w:sz w:val="24"/>
          <w:szCs w:val="24"/>
        </w:rPr>
        <w:t>in order to</w:t>
      </w:r>
      <w:proofErr w:type="gramEnd"/>
      <w:r w:rsidRPr="00DC17BF">
        <w:rPr>
          <w:rFonts w:ascii="Times New Roman" w:hAnsi="Times New Roman"/>
          <w:sz w:val="24"/>
          <w:szCs w:val="24"/>
        </w:rPr>
        <w:t xml:space="preserve"> recover benefits under the Act, James had to prove that his injury was received during an emergency response and that it was the sole cause of his cancer. This argument, however, ignores </w:t>
      </w:r>
      <w:proofErr w:type="gramStart"/>
      <w:r w:rsidRPr="00DC17BF">
        <w:rPr>
          <w:rFonts w:ascii="Times New Roman" w:hAnsi="Times New Roman"/>
          <w:sz w:val="24"/>
          <w:szCs w:val="24"/>
        </w:rPr>
        <w:t xml:space="preserve">that ‘[a]n </w:t>
      </w:r>
      <w:proofErr w:type="gramEnd"/>
      <w:r w:rsidRPr="00DC17BF">
        <w:rPr>
          <w:rFonts w:ascii="Times New Roman" w:hAnsi="Times New Roman"/>
          <w:sz w:val="24"/>
          <w:szCs w:val="24"/>
        </w:rPr>
        <w:t xml:space="preserve">injury may have more than one proximate cause.’ (Internal quotation marks omitted.) </w:t>
      </w:r>
      <w:r w:rsidRPr="00DC17BF">
        <w:rPr>
          <w:rStyle w:val="Emphasis"/>
          <w:rFonts w:ascii="Times New Roman" w:hAnsi="Times New Roman"/>
          <w:sz w:val="24"/>
          <w:szCs w:val="24"/>
        </w:rPr>
        <w:t>Richter v. Village of Oak Brook</w:t>
      </w:r>
      <w:r w:rsidRPr="00DC17BF">
        <w:rPr>
          <w:rFonts w:ascii="Times New Roman" w:hAnsi="Times New Roman"/>
          <w:sz w:val="24"/>
          <w:szCs w:val="24"/>
        </w:rPr>
        <w:t xml:space="preserve">, 2011 IL App (2d) 100114, ¶ 21. Under Illinois law, proximate cause is defined as a cause that, in the natural or ordinary course of events, produced the plaintiff's injury, but a cause need not be the only, last, or nearest cause; rather, the combination of multiple causes may result in the injury.” </w:t>
      </w:r>
      <w:hyperlink r:id="rId521" w:history="1">
        <w:r w:rsidRPr="00DC17BF">
          <w:rPr>
            <w:rStyle w:val="Hyperlink"/>
            <w:rFonts w:ascii="Times New Roman" w:eastAsiaTheme="majorEastAsia" w:hAnsi="Times New Roman"/>
            <w:sz w:val="24"/>
            <w:szCs w:val="24"/>
          </w:rPr>
          <w:t>https://public.fastcase.com/ZZhmr5v9wN%2FXOe5IsQ%2FqDy4piE023A%2FvmSBZ1OCyQDEvBrcypTxVYbDuh3sY1MRUTGEZ3quKqv94bkTO%2F3v9wUJnk5dj4IB3vpOq4w%2BY%2Blk%3D?utm_medium=email&amp;_hsmi=226712652&amp;_hsenc=p2ANqtz-8dDlTMCBDdR7Y6gBwCrwIFOUd7uQb6M2Q9eK5s_ERy0q0NLXHPkcRz9CocUT1WV-MgV98KLfaLWIoQPZBtf1lJjMQcjw&amp;utm_content=226712652&amp;utm_source=hs_email</w:t>
        </w:r>
      </w:hyperlink>
    </w:p>
    <w:p w14:paraId="04E691BD" w14:textId="77777777" w:rsidR="00DC17BF" w:rsidRDefault="00DC17BF" w:rsidP="00DC17BF">
      <w:pPr>
        <w:pStyle w:val="NoSpacing"/>
        <w:rPr>
          <w:rStyle w:val="Hyperlink"/>
          <w:rFonts w:ascii="Times New Roman" w:eastAsiaTheme="majorEastAsia" w:hAnsi="Times New Roman"/>
          <w:sz w:val="24"/>
          <w:szCs w:val="24"/>
        </w:rPr>
      </w:pPr>
    </w:p>
    <w:p w14:paraId="6BFCE5CF" w14:textId="77777777" w:rsidR="00DC17BF" w:rsidRPr="00287115" w:rsidRDefault="00DC17BF" w:rsidP="00DC17BF">
      <w:pPr>
        <w:pStyle w:val="NormalWeb"/>
        <w:rPr>
          <w:b/>
          <w:bCs/>
        </w:rPr>
      </w:pPr>
      <w:r w:rsidRPr="00287115">
        <w:rPr>
          <w:b/>
          <w:bCs/>
        </w:rPr>
        <w:t xml:space="preserve">Legal Lesson Learned: Under Illinois statute, and case law, there is no requirement that </w:t>
      </w:r>
      <w:proofErr w:type="gramStart"/>
      <w:r w:rsidRPr="00287115">
        <w:rPr>
          <w:b/>
          <w:bCs/>
        </w:rPr>
        <w:t>firefighter</w:t>
      </w:r>
      <w:proofErr w:type="gramEnd"/>
      <w:r w:rsidRPr="00287115">
        <w:rPr>
          <w:b/>
          <w:bCs/>
        </w:rPr>
        <w:t xml:space="preserve"> prove a specific emergency run was the cause of cancer. </w:t>
      </w:r>
    </w:p>
    <w:p w14:paraId="6A0C1134" w14:textId="77777777" w:rsidR="00DC17BF" w:rsidRPr="00DC17BF" w:rsidRDefault="00DC17BF" w:rsidP="00DC17BF">
      <w:pPr>
        <w:pStyle w:val="NoSpacing"/>
        <w:rPr>
          <w:rFonts w:ascii="Times New Roman" w:hAnsi="Times New Roman"/>
          <w:sz w:val="24"/>
          <w:szCs w:val="24"/>
        </w:rPr>
      </w:pPr>
    </w:p>
    <w:p w14:paraId="20756D90" w14:textId="77777777" w:rsidR="00DC17BF" w:rsidRDefault="00DC17BF" w:rsidP="00EF1133">
      <w:pPr>
        <w:pStyle w:val="NoSpacing"/>
        <w:rPr>
          <w:rFonts w:ascii="Arial Black" w:hAnsi="Arial Black"/>
          <w:sz w:val="24"/>
          <w:szCs w:val="24"/>
        </w:rPr>
      </w:pPr>
    </w:p>
    <w:p w14:paraId="69AEBD4D" w14:textId="41BFFDA8" w:rsidR="007A0E71" w:rsidRDefault="007A0E71" w:rsidP="00EF1133">
      <w:pPr>
        <w:pStyle w:val="NoSpacing"/>
        <w:rPr>
          <w:rFonts w:ascii="Arial Black" w:hAnsi="Arial Black"/>
          <w:sz w:val="24"/>
          <w:szCs w:val="24"/>
        </w:rPr>
      </w:pPr>
      <w:r>
        <w:rPr>
          <w:rFonts w:ascii="Arial Black" w:hAnsi="Arial Black"/>
          <w:sz w:val="24"/>
          <w:szCs w:val="24"/>
        </w:rPr>
        <w:t>2-5</w:t>
      </w:r>
      <w:r w:rsidR="00BB73D4">
        <w:rPr>
          <w:rFonts w:ascii="Arial Black" w:hAnsi="Arial Black"/>
          <w:sz w:val="24"/>
          <w:szCs w:val="24"/>
        </w:rPr>
        <w:t>3</w:t>
      </w:r>
    </w:p>
    <w:p w14:paraId="2035D518" w14:textId="77777777" w:rsidR="007A0E71" w:rsidRPr="00B8618D" w:rsidRDefault="007A0E71" w:rsidP="007A0E71">
      <w:pPr>
        <w:pStyle w:val="NormalWeb"/>
        <w:rPr>
          <w:rFonts w:ascii="Arial Black" w:hAnsi="Arial Black"/>
          <w:sz w:val="28"/>
          <w:szCs w:val="28"/>
        </w:rPr>
      </w:pPr>
      <w:r>
        <w:rPr>
          <w:rFonts w:ascii="Arial Black" w:hAnsi="Arial Black"/>
          <w:sz w:val="28"/>
          <w:szCs w:val="28"/>
        </w:rPr>
        <w:t>WV (4/10.2023) – VOL. FF WATERTAKER LOST CONTROL – DIED – WIFE DEATH BENEFITS – CARDIAC NOT PROVEN</w:t>
      </w:r>
    </w:p>
    <w:p w14:paraId="4C3CCC4A" w14:textId="77777777" w:rsidR="007A0E71" w:rsidRPr="008D3008" w:rsidRDefault="007A0E71" w:rsidP="007A0E71">
      <w:pPr>
        <w:pStyle w:val="NormalWeb"/>
      </w:pPr>
      <w:r w:rsidRPr="008D3008">
        <w:rPr>
          <w:u w:val="single"/>
        </w:rPr>
        <w:t>Clover-Roane Volunteer Fire Department v. Sarah Horwich, dependent of Mark Horwich</w:t>
      </w:r>
      <w:r w:rsidRPr="008D3008">
        <w:t>, Intermediate Court of Appeals of West Virginia</w:t>
      </w:r>
      <w:r>
        <w:t xml:space="preserve">. </w:t>
      </w:r>
      <w:hyperlink r:id="rId522" w:history="1">
        <w:r w:rsidRPr="003E63F4">
          <w:rPr>
            <w:rStyle w:val="Hyperlink"/>
            <w:rFonts w:eastAsiaTheme="majorEastAsia"/>
          </w:rPr>
          <w:t>http://courtswv.gov/Intermediate-Court/memo-decisions/Spring2023/22-ICA-216%20md.pdf</w:t>
        </w:r>
      </w:hyperlink>
      <w:r>
        <w:t xml:space="preserve"> </w:t>
      </w:r>
    </w:p>
    <w:p w14:paraId="2BE20572" w14:textId="77777777" w:rsidR="007A0E71" w:rsidRPr="00B8618D" w:rsidRDefault="007A0E71" w:rsidP="007A0E71">
      <w:pPr>
        <w:pStyle w:val="NormalWeb"/>
        <w:rPr>
          <w:b/>
          <w:bCs/>
        </w:rPr>
      </w:pPr>
      <w:r w:rsidRPr="00B8618D">
        <w:rPr>
          <w:b/>
          <w:bCs/>
        </w:rPr>
        <w:t xml:space="preserve">Legal Lesson Learned: Courts will not overturn Workers Comp Board unless decision is clearly wrong. </w:t>
      </w:r>
    </w:p>
    <w:p w14:paraId="6C07B3BC" w14:textId="18F7ADE6" w:rsidR="007A0E71" w:rsidRDefault="007A0E71" w:rsidP="007A0E71">
      <w:pPr>
        <w:pStyle w:val="NoSpacing"/>
        <w:rPr>
          <w:rFonts w:ascii="Arial Black" w:hAnsi="Arial Black"/>
          <w:sz w:val="24"/>
          <w:szCs w:val="24"/>
        </w:rPr>
      </w:pPr>
      <w:r w:rsidRPr="00941D1F">
        <w:rPr>
          <w:sz w:val="24"/>
          <w:szCs w:val="24"/>
        </w:rPr>
        <w:t xml:space="preserve">Note: See Jan. 13, </w:t>
      </w:r>
      <w:proofErr w:type="gramStart"/>
      <w:r w:rsidRPr="00941D1F">
        <w:rPr>
          <w:sz w:val="24"/>
          <w:szCs w:val="24"/>
        </w:rPr>
        <w:t>2020</w:t>
      </w:r>
      <w:proofErr w:type="gramEnd"/>
      <w:r w:rsidRPr="00941D1F">
        <w:rPr>
          <w:sz w:val="24"/>
          <w:szCs w:val="24"/>
        </w:rPr>
        <w:t xml:space="preserve"> article, </w:t>
      </w:r>
      <w:r>
        <w:rPr>
          <w:sz w:val="24"/>
          <w:szCs w:val="24"/>
        </w:rPr>
        <w:t>“</w:t>
      </w:r>
      <w:r w:rsidRPr="00941D1F">
        <w:rPr>
          <w:sz w:val="24"/>
          <w:szCs w:val="24"/>
        </w:rPr>
        <w:t>West Virginia firefighter killed in crash while responding to fire.</w:t>
      </w:r>
      <w:r>
        <w:rPr>
          <w:sz w:val="24"/>
          <w:szCs w:val="24"/>
        </w:rPr>
        <w:t xml:space="preserve">” </w:t>
      </w:r>
      <w:hyperlink r:id="rId523" w:history="1">
        <w:r w:rsidRPr="00297A44">
          <w:rPr>
            <w:rStyle w:val="Hyperlink"/>
            <w:sz w:val="24"/>
            <w:szCs w:val="24"/>
          </w:rPr>
          <w:t>https://www.whsv.com/content/news/West-Virginia-firefighter-killed-in-crash-while-responding-to-fire-566946181.html</w:t>
        </w:r>
      </w:hyperlink>
    </w:p>
    <w:p w14:paraId="1488CA4B" w14:textId="77777777" w:rsidR="007A0E71" w:rsidRDefault="007A0E71" w:rsidP="00EF1133">
      <w:pPr>
        <w:pStyle w:val="NoSpacing"/>
        <w:rPr>
          <w:rFonts w:ascii="Arial Black" w:hAnsi="Arial Black"/>
          <w:sz w:val="24"/>
          <w:szCs w:val="24"/>
        </w:rPr>
      </w:pPr>
    </w:p>
    <w:p w14:paraId="129D718C" w14:textId="4081601C" w:rsidR="007959C9" w:rsidRDefault="00AB637D" w:rsidP="00EF1133">
      <w:pPr>
        <w:pStyle w:val="NoSpacing"/>
        <w:rPr>
          <w:rFonts w:ascii="Arial Black" w:hAnsi="Arial Black"/>
          <w:sz w:val="24"/>
          <w:szCs w:val="24"/>
        </w:rPr>
      </w:pPr>
      <w:r>
        <w:rPr>
          <w:rFonts w:ascii="Arial Black" w:hAnsi="Arial Black"/>
          <w:sz w:val="24"/>
          <w:szCs w:val="24"/>
        </w:rPr>
        <w:t>2-5</w:t>
      </w:r>
      <w:r w:rsidR="00BB73D4">
        <w:rPr>
          <w:rFonts w:ascii="Arial Black" w:hAnsi="Arial Black"/>
          <w:sz w:val="24"/>
          <w:szCs w:val="24"/>
        </w:rPr>
        <w:t>2</w:t>
      </w:r>
    </w:p>
    <w:p w14:paraId="23D2A18D" w14:textId="7C25644F" w:rsidR="00AB637D" w:rsidRDefault="00AB637D" w:rsidP="00EF1133">
      <w:pPr>
        <w:pStyle w:val="NoSpacing"/>
        <w:rPr>
          <w:rFonts w:ascii="Arial Black" w:hAnsi="Arial Black"/>
          <w:sz w:val="24"/>
          <w:szCs w:val="24"/>
        </w:rPr>
      </w:pPr>
    </w:p>
    <w:p w14:paraId="503A737E" w14:textId="77777777" w:rsidR="00AB637D" w:rsidRPr="00144FC9" w:rsidRDefault="00AB637D" w:rsidP="00AB637D">
      <w:pPr>
        <w:pStyle w:val="Heading1"/>
        <w:rPr>
          <w:rFonts w:ascii="Arial Black" w:hAnsi="Arial Black"/>
          <w:sz w:val="28"/>
          <w:szCs w:val="28"/>
        </w:rPr>
      </w:pPr>
      <w:r>
        <w:rPr>
          <w:rFonts w:ascii="Arial Black" w:hAnsi="Arial Black"/>
          <w:sz w:val="28"/>
          <w:szCs w:val="28"/>
        </w:rPr>
        <w:lastRenderedPageBreak/>
        <w:t>FL: JACKSONVILLE FD - NO BEARD RULE UPHELD – OSHA REQUIREMENT - BLACK FIREFIGHTERS CASE DISMISSED</w:t>
      </w:r>
    </w:p>
    <w:p w14:paraId="6D6D9185" w14:textId="77777777" w:rsidR="00AB637D" w:rsidRDefault="00AB637D" w:rsidP="00AB637D">
      <w:pPr>
        <w:pStyle w:val="Heading1"/>
        <w:rPr>
          <w:b w:val="0"/>
          <w:bCs w:val="0"/>
          <w:sz w:val="24"/>
          <w:szCs w:val="24"/>
        </w:rPr>
      </w:pPr>
      <w:r>
        <w:rPr>
          <w:b w:val="0"/>
          <w:bCs w:val="0"/>
          <w:sz w:val="24"/>
          <w:szCs w:val="24"/>
        </w:rPr>
        <w:t xml:space="preserve">On Jan. 13, 2023, in </w:t>
      </w:r>
      <w:r w:rsidRPr="00144FC9">
        <w:rPr>
          <w:b w:val="0"/>
          <w:bCs w:val="0"/>
          <w:sz w:val="24"/>
          <w:szCs w:val="24"/>
          <w:u w:val="single"/>
        </w:rPr>
        <w:t>Terrance Jones v. City of Jacksonville</w:t>
      </w:r>
      <w:r>
        <w:rPr>
          <w:b w:val="0"/>
          <w:bCs w:val="0"/>
          <w:sz w:val="24"/>
          <w:szCs w:val="24"/>
        </w:rPr>
        <w:t xml:space="preserve">, U.S. District Court Judge Harvey E. Schlesinger granted summary judgment to the City of Jacksonville.  The judge wrote: “Title VII does not require employers to depart from binding federal regulations…. Binding federal {OSHA] regulations present a complete defense…. The OSHA regulation in question strictly prohibits any facial hair between the mask and the wearer’s face. Thus, any proposed alternative involving even a scant amount of facial hair would not be an available </w:t>
      </w:r>
      <w:proofErr w:type="gramStart"/>
      <w:r>
        <w:rPr>
          <w:b w:val="0"/>
          <w:bCs w:val="0"/>
          <w:sz w:val="24"/>
          <w:szCs w:val="24"/>
        </w:rPr>
        <w:t>alternative.”</w:t>
      </w:r>
      <w:proofErr w:type="gramEnd"/>
      <w:r>
        <w:rPr>
          <w:b w:val="0"/>
          <w:bCs w:val="0"/>
          <w:sz w:val="24"/>
          <w:szCs w:val="24"/>
        </w:rPr>
        <w:t xml:space="preserve"> </w:t>
      </w:r>
      <w:hyperlink r:id="rId524" w:history="1">
        <w:r w:rsidRPr="00CE4DCE">
          <w:rPr>
            <w:rStyle w:val="Hyperlink"/>
            <w:rFonts w:eastAsiaTheme="majorEastAsia"/>
            <w:b w:val="0"/>
            <w:bCs w:val="0"/>
            <w:sz w:val="24"/>
            <w:szCs w:val="24"/>
          </w:rPr>
          <w:t>https://www.documentcloud.org/documents/23589006-firefighter-suit-terrance-jones-et-al-v-coj-order-finalizing-case011323</w:t>
        </w:r>
      </w:hyperlink>
      <w:r>
        <w:rPr>
          <w:b w:val="0"/>
          <w:bCs w:val="0"/>
          <w:sz w:val="24"/>
          <w:szCs w:val="24"/>
        </w:rPr>
        <w:t xml:space="preserve"> </w:t>
      </w:r>
    </w:p>
    <w:p w14:paraId="1F7498F9" w14:textId="77777777" w:rsidR="00AB637D" w:rsidRPr="005B4DF7" w:rsidRDefault="00AB637D" w:rsidP="00AB637D">
      <w:pPr>
        <w:pStyle w:val="NormalWeb"/>
      </w:pPr>
      <w:r w:rsidRPr="005B4DF7">
        <w:t xml:space="preserve">See Jan. 31, </w:t>
      </w:r>
      <w:proofErr w:type="gramStart"/>
      <w:r w:rsidRPr="005B4DF7">
        <w:t>2023</w:t>
      </w:r>
      <w:proofErr w:type="gramEnd"/>
      <w:r w:rsidRPr="005B4DF7">
        <w:t xml:space="preserve"> newspaper description of case. “Black firefighters who sued Jacksonville for requiring them to shave lost case.” </w:t>
      </w:r>
      <w:hyperlink r:id="rId525" w:history="1">
        <w:r w:rsidRPr="005B4DF7">
          <w:rPr>
            <w:rStyle w:val="Hyperlink"/>
            <w:rFonts w:eastAsiaTheme="majorEastAsia"/>
          </w:rPr>
          <w:t>https://www.firstcoastnews.com/article/news/local/judge-jacksonville-has-mechanism-to-deviate-from-rule-making-black-firefighters-shave/77-7e962b25-bfed-4f9c-817e-ba6883a1f94b</w:t>
        </w:r>
      </w:hyperlink>
      <w:r w:rsidRPr="005B4DF7">
        <w:t xml:space="preserve"> </w:t>
      </w:r>
    </w:p>
    <w:p w14:paraId="571D5376" w14:textId="77777777" w:rsidR="00AB637D" w:rsidRDefault="00AB637D" w:rsidP="00AB637D">
      <w:pPr>
        <w:pStyle w:val="NormalWeb"/>
        <w:ind w:left="720"/>
      </w:pPr>
      <w:r w:rsidRPr="005B4DF7">
        <w:t>“The firefighters went to court in 2020 arguing the fire department was wrongly burdening Black firefighters by requiring them to be cleanshaven even if they had a condition called </w:t>
      </w:r>
      <w:hyperlink r:id="rId526" w:history="1">
        <w:r w:rsidRPr="005B4DF7">
          <w:rPr>
            <w:rStyle w:val="Hyperlink"/>
            <w:rFonts w:eastAsiaTheme="majorEastAsia"/>
          </w:rPr>
          <w:t>pseudofolliculitis barbae</w:t>
        </w:r>
      </w:hyperlink>
      <w:r w:rsidRPr="005B4DF7">
        <w:t xml:space="preserve">, or PFB, which can involve ingrown hairs, irritated skin and scarring.*** “At issue is whether the city discriminated against plaintiffs when it required firefighters with PFB, which primarily affects African American men, to be cleanshaven,” U.S. Senior District Judge </w:t>
      </w:r>
      <w:hyperlink r:id="rId527" w:history="1">
        <w:r w:rsidRPr="005B4DF7">
          <w:rPr>
            <w:rStyle w:val="Hyperlink"/>
            <w:rFonts w:eastAsiaTheme="majorEastAsia"/>
          </w:rPr>
          <w:t>Harvey Schlesinger</w:t>
        </w:r>
      </w:hyperlink>
      <w:r w:rsidRPr="005B4DF7">
        <w:t xml:space="preserve"> wrote this month in </w:t>
      </w:r>
      <w:hyperlink r:id="rId528" w:history="1">
        <w:r w:rsidRPr="005B4DF7">
          <w:rPr>
            <w:rStyle w:val="Hyperlink"/>
            <w:rFonts w:eastAsiaTheme="majorEastAsia"/>
          </w:rPr>
          <w:t>an order</w:t>
        </w:r>
      </w:hyperlink>
      <w:r w:rsidRPr="005B4DF7">
        <w:t xml:space="preserve"> that ends the case. Thirty firefighters initially sued, saying they should be allowed to have close-trimmed beards that would be enough to avoid skin inflammation but wouldn’t harm the fit of oxygen masks their jobs require in emergency settings. *** The firefighters had argued the trimmed-bear standard they wanted counted as a “reasonable accommodation” for PFB under the Americans with Disabilities Act, but the ask “is not reasonable within the meaning of the ADA because it is specifically prohibited by a by a binding regulation,” Schlesinger concluded. “The federal regulations do not allow for individual consideration of facial hair,” the judge wrote. “…[I]t prohibits all facial hair. There is no mechanism for the city to deviate.” The city followed the exact accommodation the firefighters were seeking back in </w:t>
      </w:r>
      <w:proofErr w:type="gramStart"/>
      <w:r w:rsidRPr="005B4DF7">
        <w:t>2015, but</w:t>
      </w:r>
      <w:proofErr w:type="gramEnd"/>
      <w:r w:rsidRPr="005B4DF7">
        <w:t xml:space="preserve"> had </w:t>
      </w:r>
      <w:hyperlink r:id="rId529" w:history="1">
        <w:r w:rsidRPr="005B4DF7">
          <w:rPr>
            <w:rStyle w:val="Hyperlink"/>
            <w:rFonts w:eastAsiaTheme="majorEastAsia"/>
          </w:rPr>
          <w:t>backtracked in 2016</w:t>
        </w:r>
      </w:hyperlink>
      <w:r w:rsidRPr="005B4DF7">
        <w:t xml:space="preserve"> after city lawyers said that concession was improper. That had left the firefighters frustrated and confused, leading to attorneys in Jacksonville becoming part of a lengthening list of cities nationwide where rules on firefighter hair were decided by litigation.</w:t>
      </w:r>
      <w:r>
        <w:t>”</w:t>
      </w:r>
    </w:p>
    <w:p w14:paraId="1B17A8E4" w14:textId="77777777" w:rsidR="00AB637D" w:rsidRPr="00CA4868" w:rsidRDefault="00AB637D" w:rsidP="00AB637D">
      <w:pPr>
        <w:pStyle w:val="Heading1"/>
        <w:rPr>
          <w:sz w:val="24"/>
          <w:szCs w:val="24"/>
        </w:rPr>
      </w:pPr>
      <w:r>
        <w:rPr>
          <w:sz w:val="24"/>
          <w:szCs w:val="24"/>
        </w:rPr>
        <w:t xml:space="preserve">Legal Lesson Learned: Fire Departments must follow OSHA regulation. </w:t>
      </w:r>
    </w:p>
    <w:p w14:paraId="41861758" w14:textId="77777777" w:rsidR="00AB637D" w:rsidRDefault="00AB637D" w:rsidP="00EF1133">
      <w:pPr>
        <w:pStyle w:val="NoSpacing"/>
        <w:rPr>
          <w:rFonts w:ascii="Arial Black" w:hAnsi="Arial Black"/>
          <w:sz w:val="24"/>
          <w:szCs w:val="24"/>
        </w:rPr>
      </w:pPr>
    </w:p>
    <w:p w14:paraId="3C32912F" w14:textId="7AF880FA" w:rsidR="00AB637D" w:rsidRDefault="00AB637D" w:rsidP="00EF1133">
      <w:pPr>
        <w:pStyle w:val="NoSpacing"/>
        <w:rPr>
          <w:rFonts w:ascii="Arial Black" w:hAnsi="Arial Black"/>
          <w:sz w:val="24"/>
          <w:szCs w:val="24"/>
        </w:rPr>
      </w:pPr>
    </w:p>
    <w:p w14:paraId="2A78ECE9" w14:textId="77777777" w:rsidR="00AB637D" w:rsidRDefault="00AB637D" w:rsidP="00EF1133">
      <w:pPr>
        <w:pStyle w:val="NoSpacing"/>
        <w:rPr>
          <w:rFonts w:ascii="Arial Black" w:hAnsi="Arial Black"/>
          <w:sz w:val="24"/>
          <w:szCs w:val="24"/>
        </w:rPr>
      </w:pPr>
    </w:p>
    <w:p w14:paraId="1FCCFD10" w14:textId="4BBB8392" w:rsidR="007959C9" w:rsidRDefault="007959C9" w:rsidP="00EF1133">
      <w:pPr>
        <w:pStyle w:val="NoSpacing"/>
        <w:rPr>
          <w:rFonts w:ascii="Arial Black" w:hAnsi="Arial Black"/>
          <w:sz w:val="24"/>
          <w:szCs w:val="24"/>
        </w:rPr>
      </w:pPr>
      <w:r>
        <w:rPr>
          <w:rFonts w:ascii="Arial Black" w:hAnsi="Arial Black"/>
          <w:sz w:val="24"/>
          <w:szCs w:val="24"/>
        </w:rPr>
        <w:t>2-5</w:t>
      </w:r>
      <w:r w:rsidR="00BB73D4">
        <w:rPr>
          <w:rFonts w:ascii="Arial Black" w:hAnsi="Arial Black"/>
          <w:sz w:val="24"/>
          <w:szCs w:val="24"/>
        </w:rPr>
        <w:t>1</w:t>
      </w:r>
    </w:p>
    <w:p w14:paraId="3AE49DA7" w14:textId="77777777" w:rsidR="007959C9" w:rsidRPr="001D5000" w:rsidRDefault="007959C9" w:rsidP="007959C9">
      <w:pPr>
        <w:pStyle w:val="NormalWeb"/>
        <w:rPr>
          <w:rFonts w:ascii="Arial Black" w:hAnsi="Arial Black"/>
          <w:sz w:val="28"/>
          <w:szCs w:val="28"/>
        </w:rPr>
      </w:pPr>
      <w:r>
        <w:rPr>
          <w:rFonts w:ascii="Arial Black" w:hAnsi="Arial Black"/>
          <w:sz w:val="28"/>
          <w:szCs w:val="28"/>
        </w:rPr>
        <w:t>NJ: VOL. FF CLAIMED STRUCK BY CAR – INDICTED FOR INSURANCE FRAUD, NOT GUILTY – BOROUGH IMMUNITY</w:t>
      </w:r>
    </w:p>
    <w:p w14:paraId="6F80F1AC" w14:textId="77777777" w:rsidR="007959C9" w:rsidRDefault="007959C9" w:rsidP="007959C9">
      <w:pPr>
        <w:pStyle w:val="NormalWeb"/>
      </w:pPr>
      <w:r>
        <w:t xml:space="preserve">On Jan. 25, 2023, in </w:t>
      </w:r>
      <w:r w:rsidRPr="009C24E8">
        <w:rPr>
          <w:u w:val="single"/>
        </w:rPr>
        <w:t>Joseph Fehl v. Borough of Allington, et al</w:t>
      </w:r>
      <w:r>
        <w:t xml:space="preserve">., the U.S. Court of Appeals for the Third Circuit (Philadelphia), held (3 to 0) that U.S. District Court properly granted summary judgment to the Borough, its former business administrator, and Police Captain who investigated the claim.  “Drawing all reasonable inferences in Fehl's favor, we see no error in the District Court's analysis. The facts known to Kudlacik at the time of Fehl's arrest provided a sufficient basis to doubt Fehl's credibility and to believe he committed the </w:t>
      </w:r>
      <w:proofErr w:type="gramStart"/>
      <w:r>
        <w:t>charged crimes</w:t>
      </w:r>
      <w:proofErr w:type="gramEnd"/>
      <w:r>
        <w:t xml:space="preserve">. Contrast, for instance, Fehl's statement in his benefits application that he was struck by a car, with the absence of any corroborating physical evidence. Or take Fehl's claim that he suffered nerve damage </w:t>
      </w:r>
      <w:r>
        <w:lastRenderedPageBreak/>
        <w:t xml:space="preserve">from the accident-an injury that, according to a responding EMS lieutenant, conflicts with the extent and type of physical harm a victim would typically suffer in a hit-and-run. And Fehl changed his story, first claiming that a vehicle hit him, then conceding that he might have merely tripped and fallen. These facts are sufficient to find probable cause.” </w:t>
      </w:r>
      <w:hyperlink r:id="rId530" w:history="1">
        <w:r w:rsidRPr="001F75F8">
          <w:rPr>
            <w:rStyle w:val="Hyperlink"/>
          </w:rPr>
          <w:t>https://law.justia.com/cases/federal/appellate-courts/ca3/21-3019/21-3019-2023-01-25.html</w:t>
        </w:r>
      </w:hyperlink>
      <w:r>
        <w:t xml:space="preserve"> </w:t>
      </w:r>
    </w:p>
    <w:p w14:paraId="40C443CD" w14:textId="77777777" w:rsidR="007959C9" w:rsidRDefault="007959C9" w:rsidP="007959C9">
      <w:pPr>
        <w:pStyle w:val="NormalWeb"/>
        <w:ind w:left="720"/>
      </w:pPr>
      <w:r>
        <w:t xml:space="preserve">“Fehl served as a volunteer EMT and firefighter for the Borough of Wallington. He filed for worker's compensation, claiming he was "hit by [a] car" during an emergency response. App. 123. Kudlacik </w:t>
      </w:r>
      <w:proofErr w:type="gramStart"/>
      <w:r>
        <w:t>conducted an investigation</w:t>
      </w:r>
      <w:proofErr w:type="gramEnd"/>
      <w:r>
        <w:t xml:space="preserve"> that raised questions about Fehl's story, as it found no physical evidence, no indication of serious injury, and no vehicle matching the description Fehl provided. Nor did video from the scene show any vehicles in the area where the accident allegedly occurred. As a result, Fehl was indicted for criminal insurance fraud and tampering with public records. Following trial, a jury acquitted him of those charges. </w:t>
      </w:r>
    </w:p>
    <w:p w14:paraId="4469F41A" w14:textId="77777777" w:rsidR="007959C9" w:rsidRDefault="007959C9" w:rsidP="007959C9">
      <w:pPr>
        <w:pStyle w:val="NormalWeb"/>
        <w:ind w:left="720"/>
        <w:rPr>
          <w:vertAlign w:val="superscript"/>
        </w:rPr>
      </w:pPr>
      <w:r>
        <w:t>Based on the acquittal, Fehl sued Baginski, Kudlacik, the Borough, and the Bergen County Prosecutor's Office, asserting several claims arising from his arrest and prosecution.</w:t>
      </w:r>
      <w:r>
        <w:rPr>
          <w:vertAlign w:val="superscript"/>
        </w:rPr>
        <w:t xml:space="preserve"> </w:t>
      </w:r>
      <w:r>
        <w:t>The District Court granted the Defendants' motions for summary judgment, concluding their acts were supported by probable cause. Finding no error, we will affirm.</w:t>
      </w:r>
    </w:p>
    <w:p w14:paraId="2FC6611D" w14:textId="77777777" w:rsidR="007959C9" w:rsidRDefault="007959C9" w:rsidP="007959C9">
      <w:pPr>
        <w:pStyle w:val="NormalWeb"/>
        <w:ind w:left="720"/>
        <w:rPr>
          <w:vertAlign w:val="superscript"/>
        </w:rPr>
      </w:pPr>
      <w:r>
        <w:rPr>
          <w:vertAlign w:val="superscript"/>
        </w:rPr>
        <w:t>***</w:t>
      </w:r>
    </w:p>
    <w:p w14:paraId="68885CF1" w14:textId="77777777" w:rsidR="007959C9" w:rsidRDefault="007959C9" w:rsidP="007959C9">
      <w:pPr>
        <w:pStyle w:val="NormalWeb"/>
        <w:ind w:left="720"/>
      </w:pPr>
      <w:r>
        <w:t xml:space="preserve">Guilt in a criminal case must be proven beyond a reasonable doubt, a standard enforced by the rules of evidence. </w:t>
      </w:r>
      <w:r>
        <w:rPr>
          <w:rStyle w:val="Emphasis"/>
        </w:rPr>
        <w:t>Brinegar</w:t>
      </w:r>
      <w:r>
        <w:t xml:space="preserve">, 338 U.S. at 174. But probable cause imposes no such burden on the Government-rather, it demands that police officers find merely a "fair probability" that a crime was committed. </w:t>
      </w:r>
      <w:r>
        <w:rPr>
          <w:rStyle w:val="Emphasis"/>
        </w:rPr>
        <w:t>Dempsey</w:t>
      </w:r>
      <w:r>
        <w:t>, 834 F.3d at 467. That standard was satisfied at the time of Fehl's arrest, and the jury's verdict does not alter that finding.”</w:t>
      </w:r>
    </w:p>
    <w:p w14:paraId="5262675C" w14:textId="77777777" w:rsidR="007959C9" w:rsidRPr="009C24E8" w:rsidRDefault="007959C9" w:rsidP="007959C9">
      <w:pPr>
        <w:pStyle w:val="NormalWeb"/>
        <w:rPr>
          <w:b/>
          <w:bCs/>
        </w:rPr>
      </w:pPr>
      <w:r w:rsidRPr="009C24E8">
        <w:rPr>
          <w:b/>
          <w:bCs/>
        </w:rPr>
        <w:t>Legal Lesson Learned:</w:t>
      </w:r>
      <w:r>
        <w:rPr>
          <w:b/>
          <w:bCs/>
        </w:rPr>
        <w:t xml:space="preserve"> </w:t>
      </w:r>
      <w:proofErr w:type="gramStart"/>
      <w:r>
        <w:rPr>
          <w:b/>
          <w:bCs/>
        </w:rPr>
        <w:t>Workers</w:t>
      </w:r>
      <w:proofErr w:type="gramEnd"/>
      <w:r>
        <w:rPr>
          <w:b/>
          <w:bCs/>
        </w:rPr>
        <w:t xml:space="preserve"> comp claim, unsupported by physical or other evidence, can lead to indictment. </w:t>
      </w:r>
    </w:p>
    <w:p w14:paraId="3FD93D6A" w14:textId="0C15D3E4" w:rsidR="007959C9" w:rsidRDefault="007959C9" w:rsidP="00EF1133">
      <w:pPr>
        <w:pStyle w:val="NoSpacing"/>
        <w:rPr>
          <w:rFonts w:ascii="Arial Black" w:hAnsi="Arial Black"/>
          <w:sz w:val="24"/>
          <w:szCs w:val="24"/>
        </w:rPr>
      </w:pPr>
    </w:p>
    <w:p w14:paraId="7B6165A9" w14:textId="0A384A40" w:rsidR="007959C9" w:rsidRDefault="00A24839" w:rsidP="00EF1133">
      <w:pPr>
        <w:pStyle w:val="NoSpacing"/>
        <w:rPr>
          <w:rFonts w:ascii="Arial Black" w:hAnsi="Arial Black"/>
          <w:sz w:val="24"/>
          <w:szCs w:val="24"/>
        </w:rPr>
      </w:pPr>
      <w:r>
        <w:rPr>
          <w:rFonts w:ascii="Arial Black" w:hAnsi="Arial Black"/>
          <w:sz w:val="24"/>
          <w:szCs w:val="24"/>
        </w:rPr>
        <w:t>2-50</w:t>
      </w:r>
    </w:p>
    <w:p w14:paraId="7D2C3E35" w14:textId="77777777" w:rsidR="0029560A" w:rsidRDefault="0029560A" w:rsidP="0029560A">
      <w:pPr>
        <w:pStyle w:val="NormalWeb"/>
      </w:pPr>
      <w:r>
        <w:rPr>
          <w:rFonts w:ascii="Arial Black" w:hAnsi="Arial Black"/>
          <w:sz w:val="28"/>
          <w:szCs w:val="28"/>
        </w:rPr>
        <w:t>NJ: CAPT. INJURED - HOSE COUPLING OFF HYDRANT – PROBIE ERROR - CAN’T SUE, NO “SHOCK THE CONSCIOUS”</w:t>
      </w:r>
    </w:p>
    <w:p w14:paraId="255B8193" w14:textId="77777777" w:rsidR="0029560A" w:rsidRDefault="0029560A" w:rsidP="0029560A">
      <w:pPr>
        <w:pStyle w:val="NormalWeb"/>
      </w:pPr>
      <w:r>
        <w:t xml:space="preserve">On Jan. 9, 2023, in </w:t>
      </w:r>
      <w:r w:rsidRPr="002851C1">
        <w:rPr>
          <w:u w:val="single"/>
        </w:rPr>
        <w:t>Robert Eckert v. City of Camden</w:t>
      </w:r>
      <w:r>
        <w:t xml:space="preserve">, the Superior Court of New Jersey, Appellate Division, held (3 to 0) that trial court judge properly held that the </w:t>
      </w:r>
      <w:proofErr w:type="gramStart"/>
      <w:r>
        <w:t>Captain’s</w:t>
      </w:r>
      <w:proofErr w:type="gramEnd"/>
      <w:r>
        <w:t xml:space="preserve"> sole remedy is workers comp.  In </w:t>
      </w:r>
      <w:proofErr w:type="gramStart"/>
      <w:r>
        <w:t>May,</w:t>
      </w:r>
      <w:proofErr w:type="gramEnd"/>
      <w:r>
        <w:t xml:space="preserve"> 2017, FD hired 33 probationary FF, and assigned two to each engine company, instead of usual practice of only one.  On Jan. 31, 2018, at a fire scene the </w:t>
      </w:r>
      <w:proofErr w:type="gramStart"/>
      <w:r>
        <w:t>Captain</w:t>
      </w:r>
      <w:proofErr w:type="gramEnd"/>
      <w:r>
        <w:t xml:space="preserve"> was injured when a probationary FF apparently did not properly secure hose to a hydrant and coupling struck him in the head. The Court held: “Plaintiff here contends that it is sufficient to sustain a cause of action under the ‘state-created danger’ doctrine if the state actor acts with ‘willful disregard’ for the safety of another, even if that conduct or inaction does not ‘shock the conscience.’ We reject that argument.” </w:t>
      </w:r>
      <w:hyperlink r:id="rId531" w:history="1">
        <w:r w:rsidRPr="001F75F8">
          <w:rPr>
            <w:rStyle w:val="Hyperlink"/>
          </w:rPr>
          <w:t>https://www.njcourts.gov/sites/default/files/court-opinions/2023/a2431-20.pdf</w:t>
        </w:r>
      </w:hyperlink>
      <w:r>
        <w:t xml:space="preserve"> </w:t>
      </w:r>
    </w:p>
    <w:p w14:paraId="4286A3DE" w14:textId="77777777" w:rsidR="0029560A" w:rsidRDefault="0029560A" w:rsidP="0029560A">
      <w:pPr>
        <w:pStyle w:val="NormalWeb"/>
        <w:ind w:left="720"/>
      </w:pPr>
      <w:r>
        <w:t>“On January 31, 2018, plaintiff Robert Eckert, a captain in the City of Camden's Fire Department (Department), was injured responding to a fire along with two "probationary firefighters," Achabe Quinones and Jose A. Berrios, both recently transferred to plaintiff's fire company. Quinones and Berrios were two of thirty-three probationary firefighters hired in May 2017. In July, the Chief of the Department, Michael Harper, assigned two probationary firefighters to each of eight companies, including plaintiff's company.</w:t>
      </w:r>
    </w:p>
    <w:p w14:paraId="42494FB8" w14:textId="77777777" w:rsidR="0029560A" w:rsidRDefault="0029560A" w:rsidP="0029560A">
      <w:pPr>
        <w:pStyle w:val="NormalWeb"/>
        <w:ind w:left="720"/>
      </w:pPr>
      <w:r>
        <w:lastRenderedPageBreak/>
        <w:t>***</w:t>
      </w:r>
    </w:p>
    <w:p w14:paraId="1184180B" w14:textId="77777777" w:rsidR="0029560A" w:rsidRDefault="0029560A" w:rsidP="0029560A">
      <w:pPr>
        <w:pStyle w:val="NormalWeb"/>
        <w:ind w:left="720"/>
      </w:pPr>
      <w:r>
        <w:t xml:space="preserve">The president of the fire officers' union and captains other than plaintiff complained to Chief Harper about assigning more than one probationary firefighter to a company. Edward Glassman, a Deputy Chief of the Department who retired in 2020, certified that he was aware of </w:t>
      </w:r>
      <w:proofErr w:type="spellStart"/>
      <w:r>
        <w:t>Gforer's</w:t>
      </w:r>
      <w:proofErr w:type="spellEnd"/>
      <w:r>
        <w:t xml:space="preserve"> memorandum [17 years ago, Joseph Gforer, then Deputy Chief of Operations memo wrote that FD make every effort to only assign only one </w:t>
      </w:r>
      <w:proofErr w:type="spellStart"/>
      <w:r>
        <w:t>probie</w:t>
      </w:r>
      <w:proofErr w:type="spellEnd"/>
      <w:r>
        <w:t xml:space="preserve"> per engine company], and Chief Harper knew that captains and other officers in the Department were concerned that assigning two probationary firefighters to a company jeopardized the safety of other firefighters and the public. Glassman also asserted that probationary firefighters did not receive adequate training on ‘Camden-type hydrants.’</w:t>
      </w:r>
    </w:p>
    <w:p w14:paraId="139B1B71" w14:textId="77777777" w:rsidR="0029560A" w:rsidRDefault="0029560A" w:rsidP="0029560A">
      <w:pPr>
        <w:pStyle w:val="NormalWeb"/>
        <w:ind w:left="720"/>
      </w:pPr>
      <w:r>
        <w:t>***</w:t>
      </w:r>
    </w:p>
    <w:p w14:paraId="40786F6E" w14:textId="77777777" w:rsidR="0029560A" w:rsidRDefault="0029560A" w:rsidP="0029560A">
      <w:pPr>
        <w:pStyle w:val="NormalWeb"/>
        <w:ind w:left="720"/>
      </w:pPr>
      <w:r>
        <w:t>{P]</w:t>
      </w:r>
      <w:proofErr w:type="spellStart"/>
      <w:r>
        <w:t>laintiff</w:t>
      </w:r>
      <w:proofErr w:type="spellEnd"/>
      <w:r>
        <w:t xml:space="preserve"> fails to meet the second prong of </w:t>
      </w:r>
      <w:r>
        <w:rPr>
          <w:rStyle w:val="Emphasis"/>
        </w:rPr>
        <w:t>Gormley</w:t>
      </w:r>
      <w:r>
        <w:t xml:space="preserve">'s test because no reasonable factfinder could conclude that when Camden assigned two probationary firefighters to plaintiff's company, it acted with a degree of culpability that shocked the conscience. Conscience-shocking conduct occurs if the state actor intentionally caused unjustifiable harm and never occurs if the harm arose from negligence. </w:t>
      </w:r>
      <w:r>
        <w:rPr>
          <w:rStyle w:val="Emphasis"/>
        </w:rPr>
        <w:t>Id.</w:t>
      </w:r>
      <w:r>
        <w:t xml:space="preserve"> at 102 (citing </w:t>
      </w:r>
      <w:r>
        <w:rPr>
          <w:rStyle w:val="Emphasis"/>
        </w:rPr>
        <w:t>Lewis</w:t>
      </w:r>
      <w:r>
        <w:t>, 523 U.S. at 849). ‘[W]</w:t>
      </w:r>
      <w:proofErr w:type="spellStart"/>
      <w:r>
        <w:t>hether</w:t>
      </w:r>
      <w:proofErr w:type="spellEnd"/>
      <w:r>
        <w:t xml:space="preserve"> conduct is conscience-shocking is a fact-sensitive analysis’ which depends on ‘whether the officials' conduct is egregious in light of the particular circumstances.’ </w:t>
      </w:r>
      <w:r>
        <w:rPr>
          <w:rStyle w:val="Emphasis"/>
        </w:rPr>
        <w:t>Id.</w:t>
      </w:r>
      <w:r>
        <w:t xml:space="preserve"> at 103 (citing </w:t>
      </w:r>
      <w:r>
        <w:rPr>
          <w:rStyle w:val="Emphasis"/>
        </w:rPr>
        <w:t>Lewis</w:t>
      </w:r>
      <w:r>
        <w:t>, 523 U.S. at 850).”</w:t>
      </w:r>
    </w:p>
    <w:p w14:paraId="67579D55" w14:textId="77777777" w:rsidR="0029560A" w:rsidRPr="00755BF1" w:rsidRDefault="0029560A" w:rsidP="0029560A">
      <w:pPr>
        <w:pStyle w:val="NormalWeb"/>
        <w:rPr>
          <w:b/>
          <w:bCs/>
        </w:rPr>
      </w:pPr>
      <w:r w:rsidRPr="00755BF1">
        <w:rPr>
          <w:b/>
          <w:bCs/>
        </w:rPr>
        <w:t>Legal Lesson Learned:</w:t>
      </w:r>
      <w:r>
        <w:rPr>
          <w:b/>
          <w:bCs/>
        </w:rPr>
        <w:t xml:space="preserve"> In vast majority of firefighter injuries, workers comp is only remedy.</w:t>
      </w:r>
    </w:p>
    <w:p w14:paraId="491AE289" w14:textId="77777777" w:rsidR="007959C9" w:rsidRDefault="007959C9" w:rsidP="00EF1133">
      <w:pPr>
        <w:pStyle w:val="NoSpacing"/>
        <w:rPr>
          <w:rFonts w:ascii="Arial Black" w:hAnsi="Arial Black"/>
          <w:sz w:val="24"/>
          <w:szCs w:val="24"/>
        </w:rPr>
      </w:pPr>
    </w:p>
    <w:p w14:paraId="15440494" w14:textId="77777777" w:rsidR="0029560A" w:rsidRDefault="0029560A" w:rsidP="00EF1133">
      <w:pPr>
        <w:pStyle w:val="NoSpacing"/>
        <w:rPr>
          <w:rFonts w:ascii="Arial Black" w:hAnsi="Arial Black"/>
          <w:sz w:val="24"/>
          <w:szCs w:val="24"/>
        </w:rPr>
      </w:pPr>
    </w:p>
    <w:p w14:paraId="0A29B5B3" w14:textId="77777777" w:rsidR="0029560A" w:rsidRDefault="0029560A" w:rsidP="00EF1133">
      <w:pPr>
        <w:pStyle w:val="NoSpacing"/>
        <w:rPr>
          <w:rFonts w:ascii="Arial Black" w:hAnsi="Arial Black"/>
          <w:sz w:val="24"/>
          <w:szCs w:val="24"/>
        </w:rPr>
      </w:pPr>
    </w:p>
    <w:p w14:paraId="53EB7F7A" w14:textId="6D705996" w:rsidR="00AE32D3" w:rsidRDefault="006C79BE" w:rsidP="00EF1133">
      <w:pPr>
        <w:pStyle w:val="NoSpacing"/>
        <w:rPr>
          <w:rFonts w:ascii="Arial Black" w:hAnsi="Arial Black"/>
          <w:sz w:val="24"/>
          <w:szCs w:val="24"/>
        </w:rPr>
      </w:pPr>
      <w:r>
        <w:rPr>
          <w:rFonts w:ascii="Arial Black" w:hAnsi="Arial Black"/>
          <w:sz w:val="24"/>
          <w:szCs w:val="24"/>
        </w:rPr>
        <w:t>2-49</w:t>
      </w:r>
    </w:p>
    <w:p w14:paraId="45C3D55B" w14:textId="04DCE518" w:rsidR="006C79BE" w:rsidRDefault="006C79BE" w:rsidP="00EF1133">
      <w:pPr>
        <w:pStyle w:val="NoSpacing"/>
        <w:rPr>
          <w:rFonts w:ascii="Arial Black" w:hAnsi="Arial Black"/>
          <w:sz w:val="24"/>
          <w:szCs w:val="24"/>
        </w:rPr>
      </w:pPr>
    </w:p>
    <w:p w14:paraId="576933F7" w14:textId="77777777" w:rsidR="006C79BE" w:rsidRDefault="006C79BE" w:rsidP="006C79BE">
      <w:pPr>
        <w:pStyle w:val="NormalWeb"/>
        <w:rPr>
          <w:rFonts w:ascii="Arial Black" w:hAnsi="Arial Black"/>
          <w:b/>
          <w:bCs/>
          <w:sz w:val="28"/>
          <w:szCs w:val="28"/>
        </w:rPr>
      </w:pPr>
      <w:r>
        <w:rPr>
          <w:rFonts w:ascii="Arial Black" w:hAnsi="Arial Black"/>
          <w:b/>
          <w:bCs/>
          <w:sz w:val="28"/>
          <w:szCs w:val="28"/>
        </w:rPr>
        <w:t>NY: “FIREMAN’S RULE” MODIFIED BY STATUTE – INJURED FDNY FF MAY SUE RESTAURANT IF CODE VIOLATION</w:t>
      </w:r>
    </w:p>
    <w:p w14:paraId="79FB6E88" w14:textId="77777777" w:rsidR="006C79BE" w:rsidRDefault="006C79BE" w:rsidP="006C79BE">
      <w:pPr>
        <w:pStyle w:val="NormalWeb"/>
      </w:pPr>
      <w:r w:rsidRPr="00C40446">
        <w:t xml:space="preserve">On Dec. 1, 2022, </w:t>
      </w:r>
      <w:r>
        <w:t xml:space="preserve">in </w:t>
      </w:r>
      <w:r w:rsidRPr="00C40446">
        <w:rPr>
          <w:u w:val="single"/>
        </w:rPr>
        <w:t>Frank Ruggiero &amp; Amy Ruggiero v. 357-359 Sixth Avenue Associates, LLC, et al</w:t>
      </w:r>
      <w:r>
        <w:t xml:space="preserve">., Judge Paul A. Goetz, Supreme Court, New York County, in unpublished decision, denied the restaurant’s motion for summary judgement.  On Jan. 11, 2019, the firefighter responded to a fire above the hood from the wood stove; the firefighter went to the second floor to check for extensions and injured his </w:t>
      </w:r>
      <w:proofErr w:type="gramStart"/>
      <w:r>
        <w:t>back</w:t>
      </w:r>
      <w:proofErr w:type="gramEnd"/>
      <w:r>
        <w:t xml:space="preserve"> moving the couch in the </w:t>
      </w:r>
      <w:proofErr w:type="gramStart"/>
      <w:r>
        <w:t>second floor</w:t>
      </w:r>
      <w:proofErr w:type="gramEnd"/>
      <w:r>
        <w:t xml:space="preserve"> storage area with a low ceiling.  NY statute allows fire and police to sue if code violation directly or indirectly caused injuries.</w:t>
      </w:r>
    </w:p>
    <w:p w14:paraId="3DCC5583" w14:textId="77777777" w:rsidR="006C79BE" w:rsidRDefault="006C79BE" w:rsidP="006C79BE">
      <w:pPr>
        <w:pStyle w:val="NormalWeb"/>
        <w:ind w:left="720"/>
      </w:pPr>
      <w:r>
        <w:t xml:space="preserve">“[I]t is undisputed that the only reason plaintiff was at the premises and allegedly lifting the couch was to check for the presence of fire in the floorboards, a fire which allegedly resulted from defendant Llama San's violations of the fire code and negligence. Thus, </w:t>
      </w:r>
      <w:proofErr w:type="spellStart"/>
      <w:r>
        <w:t>plaintiffs</w:t>
      </w:r>
      <w:proofErr w:type="spellEnd"/>
      <w:r>
        <w:t xml:space="preserve"> </w:t>
      </w:r>
      <w:proofErr w:type="gramStart"/>
      <w:r>
        <w:t>claims</w:t>
      </w:r>
      <w:proofErr w:type="gramEnd"/>
      <w:r>
        <w:t xml:space="preserve"> for common law negligence and under the more liberal causation standard under General Municipal Law Section 205-a cannot be </w:t>
      </w:r>
      <w:proofErr w:type="gramStart"/>
      <w:r>
        <w:t>dismissed.’’</w:t>
      </w:r>
      <w:proofErr w:type="gramEnd"/>
      <w:r>
        <w:t xml:space="preserve"> </w:t>
      </w:r>
      <w:hyperlink r:id="rId532" w:history="1">
        <w:r w:rsidRPr="006335C7">
          <w:rPr>
            <w:rStyle w:val="Hyperlink"/>
            <w:rFonts w:eastAsiaTheme="majorEastAsia"/>
          </w:rPr>
          <w:t>https://law.justia.com/cases/new-york/other-courts/2022/2022-ny-slip-op-34279-u.html</w:t>
        </w:r>
      </w:hyperlink>
      <w:r>
        <w:t xml:space="preserve">  </w:t>
      </w:r>
    </w:p>
    <w:p w14:paraId="6D44FD47" w14:textId="77777777" w:rsidR="006C79BE" w:rsidRPr="00923166" w:rsidRDefault="006C79BE" w:rsidP="006C79BE">
      <w:pPr>
        <w:pStyle w:val="NoSpacing"/>
        <w:rPr>
          <w:rFonts w:ascii="Times New Roman" w:hAnsi="Times New Roman"/>
          <w:b/>
          <w:bCs/>
          <w:sz w:val="24"/>
          <w:szCs w:val="24"/>
        </w:rPr>
      </w:pPr>
      <w:r w:rsidRPr="00923166">
        <w:rPr>
          <w:rFonts w:ascii="Times New Roman" w:hAnsi="Times New Roman"/>
          <w:b/>
          <w:bCs/>
          <w:sz w:val="24"/>
          <w:szCs w:val="24"/>
        </w:rPr>
        <w:t>Legal Lessons Learned:</w:t>
      </w:r>
      <w:r>
        <w:rPr>
          <w:rFonts w:ascii="Times New Roman" w:hAnsi="Times New Roman"/>
          <w:b/>
          <w:bCs/>
          <w:sz w:val="24"/>
          <w:szCs w:val="24"/>
        </w:rPr>
        <w:t xml:space="preserve"> Some states like Florida have completely abolished the Fireman’s Rule, while other states like Ohio have not modified or abolished it. </w:t>
      </w:r>
    </w:p>
    <w:p w14:paraId="294D85D0" w14:textId="1E1349F7" w:rsidR="006C79BE" w:rsidRDefault="006C79BE" w:rsidP="00EF1133">
      <w:pPr>
        <w:pStyle w:val="NoSpacing"/>
        <w:rPr>
          <w:rFonts w:ascii="Arial Black" w:hAnsi="Arial Black"/>
          <w:sz w:val="24"/>
          <w:szCs w:val="24"/>
        </w:rPr>
      </w:pPr>
    </w:p>
    <w:p w14:paraId="6509548E" w14:textId="77777777" w:rsidR="006C79BE" w:rsidRDefault="006C79BE" w:rsidP="00EF1133">
      <w:pPr>
        <w:pStyle w:val="NoSpacing"/>
        <w:rPr>
          <w:rFonts w:ascii="Arial Black" w:hAnsi="Arial Black"/>
          <w:sz w:val="24"/>
          <w:szCs w:val="24"/>
        </w:rPr>
      </w:pPr>
    </w:p>
    <w:p w14:paraId="17B03534" w14:textId="77777777" w:rsidR="00AE32D3" w:rsidRDefault="00AE32D3" w:rsidP="00EF1133">
      <w:pPr>
        <w:pStyle w:val="NoSpacing"/>
        <w:rPr>
          <w:rFonts w:ascii="Arial Black" w:hAnsi="Arial Black"/>
          <w:sz w:val="24"/>
          <w:szCs w:val="24"/>
        </w:rPr>
      </w:pPr>
    </w:p>
    <w:p w14:paraId="3BF41A32" w14:textId="45A275E8" w:rsidR="00AE32D3" w:rsidRDefault="00AE32D3" w:rsidP="00EF1133">
      <w:pPr>
        <w:pStyle w:val="NoSpacing"/>
        <w:rPr>
          <w:rFonts w:ascii="Arial Black" w:hAnsi="Arial Black"/>
          <w:sz w:val="24"/>
          <w:szCs w:val="24"/>
        </w:rPr>
      </w:pPr>
      <w:r>
        <w:rPr>
          <w:rFonts w:ascii="Arial Black" w:hAnsi="Arial Black"/>
          <w:sz w:val="24"/>
          <w:szCs w:val="24"/>
        </w:rPr>
        <w:t>2-48</w:t>
      </w:r>
    </w:p>
    <w:p w14:paraId="660E1923" w14:textId="77777777" w:rsidR="00AE32D3" w:rsidRDefault="00AE32D3" w:rsidP="00EF1133">
      <w:pPr>
        <w:pStyle w:val="NoSpacing"/>
        <w:rPr>
          <w:rFonts w:ascii="Arial Black" w:hAnsi="Arial Black"/>
          <w:sz w:val="24"/>
          <w:szCs w:val="24"/>
        </w:rPr>
      </w:pPr>
    </w:p>
    <w:p w14:paraId="38B3B30D" w14:textId="77777777" w:rsidR="00AE32D3" w:rsidRPr="001E1C4B" w:rsidRDefault="00AE32D3" w:rsidP="00AE32D3">
      <w:pPr>
        <w:pStyle w:val="NormalWeb"/>
        <w:rPr>
          <w:rFonts w:ascii="Arial Black" w:hAnsi="Arial Black"/>
          <w:b/>
          <w:bCs/>
          <w:sz w:val="28"/>
          <w:szCs w:val="28"/>
        </w:rPr>
      </w:pPr>
      <w:r>
        <w:rPr>
          <w:rFonts w:ascii="Arial Black" w:hAnsi="Arial Black"/>
          <w:b/>
          <w:bCs/>
          <w:sz w:val="28"/>
          <w:szCs w:val="28"/>
        </w:rPr>
        <w:t xml:space="preserve">DE: LINE-OF-DUTY DEATH – DEATH BENEFITS TO CHILDREN – FATHER’S BREACH FIDUCIARY DUTY – HE OWES $366,412   </w:t>
      </w:r>
    </w:p>
    <w:p w14:paraId="60E8C313" w14:textId="77777777" w:rsidR="00AE32D3" w:rsidRDefault="00AE32D3" w:rsidP="00AE32D3">
      <w:pPr>
        <w:pStyle w:val="NormalWeb"/>
      </w:pPr>
      <w:r>
        <w:t xml:space="preserve">On Nov. 28, 2022, in </w:t>
      </w:r>
      <w:r w:rsidRPr="001E1C4B">
        <w:rPr>
          <w:u w:val="single"/>
        </w:rPr>
        <w:t xml:space="preserve">Senior Partner, Inc. As Trustee </w:t>
      </w:r>
      <w:proofErr w:type="gramStart"/>
      <w:r w:rsidRPr="001E1C4B">
        <w:rPr>
          <w:u w:val="single"/>
        </w:rPr>
        <w:t>Of</w:t>
      </w:r>
      <w:proofErr w:type="gramEnd"/>
      <w:r w:rsidRPr="001E1C4B">
        <w:rPr>
          <w:u w:val="single"/>
        </w:rPr>
        <w:t xml:space="preserve"> </w:t>
      </w:r>
      <w:proofErr w:type="gramStart"/>
      <w:r w:rsidRPr="001E1C4B">
        <w:rPr>
          <w:u w:val="single"/>
        </w:rPr>
        <w:t>The</w:t>
      </w:r>
      <w:proofErr w:type="gramEnd"/>
      <w:r w:rsidRPr="001E1C4B">
        <w:rPr>
          <w:u w:val="single"/>
        </w:rPr>
        <w:t xml:space="preserve"> Ardythe Hope Children’s Hospital v. David L. Lee</w:t>
      </w:r>
      <w:r>
        <w:t xml:space="preserve">, Selena E. Molina, Master in Chancery, Court of Chancery of Delaware, issued a Final Report in this “breach of fiduciary duty action” against father of three daughters of  Ardythe Hope.  She was a senior firefighter with the City of Wilmington, who was injured in the line of duty on September 24, 2016. She succumbed to her injuries December 1, 2016, leaving behind three (3) daughters: Aryelle Hope, Alexis D. Lee, and </w:t>
      </w:r>
      <w:proofErr w:type="spellStart"/>
      <w:r>
        <w:t>Ardavia</w:t>
      </w:r>
      <w:proofErr w:type="spellEnd"/>
      <w:r>
        <w:t xml:space="preserve"> D. Lee.  See article, Dec. 1, 2026: “Third firefighter dies from Canby Park blaze.” “Ardythe Hope, seriously injured in the Canby Park rowhome blaze that killed two colleagues in September, has died. </w:t>
      </w:r>
      <w:hyperlink r:id="rId533" w:history="1">
        <w:r>
          <w:rPr>
            <w:rStyle w:val="Hyperlink"/>
            <w:rFonts w:eastAsiaTheme="majorEastAsia"/>
          </w:rPr>
          <w:t>Hope</w:t>
        </w:r>
      </w:hyperlink>
      <w:r>
        <w:t xml:space="preserve"> was injured after entering the </w:t>
      </w:r>
      <w:proofErr w:type="gramStart"/>
      <w:r>
        <w:t>rowhome</w:t>
      </w:r>
      <w:proofErr w:type="gramEnd"/>
      <w:r>
        <w:t xml:space="preserve"> </w:t>
      </w:r>
      <w:proofErr w:type="gramStart"/>
      <w:r>
        <w:t>in an attempt to</w:t>
      </w:r>
      <w:proofErr w:type="gramEnd"/>
      <w:r>
        <w:t xml:space="preserve"> save another firefighter when the floor gave way. Burned over more than 70 percent of her body, she had been at Crozer-Chester Medical Center in critical condition since the fire.” </w:t>
      </w:r>
      <w:hyperlink r:id="rId534" w:history="1">
        <w:r w:rsidRPr="00AF231E">
          <w:rPr>
            <w:rStyle w:val="Hyperlink"/>
            <w:rFonts w:eastAsiaTheme="majorEastAsia"/>
          </w:rPr>
          <w:t>https://www.delawareonline.com/story/news/local/2016/12/01/ardythe-hope-firefighter-injured-canby-park-blaze-dies/94758432/</w:t>
        </w:r>
      </w:hyperlink>
      <w:r>
        <w:t xml:space="preserve"> </w:t>
      </w:r>
    </w:p>
    <w:p w14:paraId="2E1ED9A3" w14:textId="77777777" w:rsidR="00AE32D3" w:rsidRDefault="00AE32D3" w:rsidP="00AE32D3">
      <w:pPr>
        <w:pStyle w:val="NormalWeb"/>
        <w:ind w:left="720"/>
      </w:pPr>
      <w:r>
        <w:t xml:space="preserve">“Based on the above findings, judgment should be entered against the Defendant in the total amount of $366,412.34, representing $46,653.23 in missing income, $331,401.82 in unsupported expenditures, and $2,750.00 for attorneys' fees, minus a credit of $14,392.71. Pre-judgment and post-judgment interest should be added to this judgment, compounded quarterly. I find the Defendant should be required to make monthly payments on the judgment and accept the Defendant's proposal for a 360-month period as unopposed. </w:t>
      </w:r>
    </w:p>
    <w:p w14:paraId="70900845" w14:textId="77777777" w:rsidR="00AE32D3" w:rsidRDefault="00AE32D3" w:rsidP="00AE32D3">
      <w:pPr>
        <w:pStyle w:val="NormalWeb"/>
        <w:ind w:left="720"/>
      </w:pPr>
      <w:r>
        <w:t>***</w:t>
      </w:r>
    </w:p>
    <w:p w14:paraId="52919DD3" w14:textId="609A38E6" w:rsidR="00AE32D3" w:rsidRPr="00AE32D3" w:rsidRDefault="00AE32D3" w:rsidP="00AE32D3">
      <w:pPr>
        <w:pStyle w:val="NoSpacing"/>
        <w:ind w:left="720"/>
        <w:rPr>
          <w:rFonts w:ascii="Times New Roman" w:hAnsi="Times New Roman"/>
          <w:sz w:val="24"/>
          <w:szCs w:val="24"/>
        </w:rPr>
      </w:pPr>
      <w:r w:rsidRPr="00AE32D3">
        <w:rPr>
          <w:rFonts w:ascii="Times New Roman" w:hAnsi="Times New Roman"/>
          <w:sz w:val="24"/>
          <w:szCs w:val="24"/>
        </w:rPr>
        <w:t xml:space="preserve">[Regarding new house he purchased with their LODD benefits] I recommend the Defendant be ordered to convey the Property to the Trust and vacate the Property within one year of this report becoming an order of the Court.” </w:t>
      </w:r>
      <w:hyperlink r:id="rId535" w:history="1">
        <w:r w:rsidRPr="00AE32D3">
          <w:rPr>
            <w:rStyle w:val="Hyperlink"/>
            <w:rFonts w:ascii="Times New Roman" w:eastAsiaTheme="majorEastAsia" w:hAnsi="Times New Roman"/>
            <w:sz w:val="24"/>
            <w:szCs w:val="24"/>
          </w:rPr>
          <w:t>https://law.justia.com/cases/delaware/court-of-chancery/2022/c-a-no-2020-0226-sem.html</w:t>
        </w:r>
      </w:hyperlink>
    </w:p>
    <w:p w14:paraId="0C6B8F6A" w14:textId="77777777" w:rsidR="00AE32D3" w:rsidRDefault="00AE32D3" w:rsidP="00EF1133">
      <w:pPr>
        <w:pStyle w:val="NoSpacing"/>
        <w:rPr>
          <w:rFonts w:ascii="Arial Black" w:hAnsi="Arial Black"/>
          <w:sz w:val="24"/>
          <w:szCs w:val="24"/>
        </w:rPr>
      </w:pPr>
    </w:p>
    <w:p w14:paraId="350B0A03" w14:textId="77777777" w:rsidR="00AE32D3" w:rsidRPr="0067736B" w:rsidRDefault="00AE32D3" w:rsidP="00AE32D3">
      <w:pPr>
        <w:pStyle w:val="NormalWeb"/>
        <w:rPr>
          <w:b/>
          <w:bCs/>
        </w:rPr>
      </w:pPr>
      <w:r w:rsidRPr="0067736B">
        <w:rPr>
          <w:b/>
          <w:bCs/>
        </w:rPr>
        <w:t>Legal Lesson Learned:</w:t>
      </w:r>
      <w:r>
        <w:rPr>
          <w:b/>
          <w:bCs/>
        </w:rPr>
        <w:t xml:space="preserve"> The father breached </w:t>
      </w:r>
      <w:proofErr w:type="spellStart"/>
      <w:r>
        <w:rPr>
          <w:b/>
          <w:bCs/>
        </w:rPr>
        <w:t>is</w:t>
      </w:r>
      <w:proofErr w:type="spellEnd"/>
      <w:r>
        <w:rPr>
          <w:b/>
          <w:bCs/>
        </w:rPr>
        <w:t xml:space="preserve"> fiduciary duty as original Trustee of the funds. </w:t>
      </w:r>
    </w:p>
    <w:p w14:paraId="038BE8F0" w14:textId="77777777" w:rsidR="00AE32D3" w:rsidRDefault="00AE32D3" w:rsidP="00AE32D3">
      <w:pPr>
        <w:pStyle w:val="NormalWeb"/>
      </w:pPr>
      <w:r>
        <w:tab/>
        <w:t xml:space="preserve">Note: The Master in Chancery shared this comment. </w:t>
      </w:r>
    </w:p>
    <w:p w14:paraId="2973FC7B" w14:textId="77777777" w:rsidR="00AE32D3" w:rsidRPr="0067736B" w:rsidRDefault="00AE32D3" w:rsidP="00AE32D3">
      <w:pPr>
        <w:pStyle w:val="NormalWeb"/>
        <w:ind w:left="720"/>
      </w:pPr>
      <w:r>
        <w:t>[Footnote 5.] “</w:t>
      </w:r>
      <w:r w:rsidRPr="0067736B">
        <w:t xml:space="preserve">I would be remiss not to acknowledge the triumphs and successes of the Beneficiaries. When this matter was heard, the Beneficiaries were both in college, with Alexis on a full volleyball scholarship at Maryland Eastern Shore and </w:t>
      </w:r>
      <w:proofErr w:type="spellStart"/>
      <w:r w:rsidRPr="0067736B">
        <w:t>Ardavia</w:t>
      </w:r>
      <w:proofErr w:type="spellEnd"/>
      <w:r w:rsidRPr="0067736B">
        <w:t xml:space="preserve"> studying political science and pre-law at Delaware State University</w:t>
      </w:r>
      <w:r>
        <w:t xml:space="preserve">…. </w:t>
      </w:r>
      <w:r w:rsidRPr="0067736B">
        <w:t>Their perseverance, drive, and determination in the face of tragedy is inspiring</w:t>
      </w:r>
      <w:r>
        <w:t xml:space="preserve"> … </w:t>
      </w:r>
      <w:r w:rsidRPr="0067736B">
        <w:t xml:space="preserve">(explaining that not only is Alexis on a volleyball scholarship but that she was All-State in basketball and track and field, and that </w:t>
      </w:r>
      <w:proofErr w:type="spellStart"/>
      <w:r w:rsidRPr="0067736B">
        <w:t>Ardavia</w:t>
      </w:r>
      <w:proofErr w:type="spellEnd"/>
      <w:r w:rsidRPr="0067736B">
        <w:t xml:space="preserve"> was Delaware's Boys and Girls Club Youth of the Year and awarded a Sallie Mae scholarship).</w:t>
      </w:r>
      <w:r>
        <w:t>”</w:t>
      </w:r>
    </w:p>
    <w:p w14:paraId="240B34AE" w14:textId="715DA75B" w:rsidR="00AE32D3" w:rsidRDefault="00AE32D3" w:rsidP="00EF1133">
      <w:pPr>
        <w:pStyle w:val="NoSpacing"/>
        <w:rPr>
          <w:rFonts w:ascii="Arial Black" w:hAnsi="Arial Black"/>
          <w:sz w:val="24"/>
          <w:szCs w:val="24"/>
        </w:rPr>
      </w:pPr>
      <w:r>
        <w:rPr>
          <w:rFonts w:ascii="Arial Black" w:hAnsi="Arial Black"/>
          <w:sz w:val="24"/>
          <w:szCs w:val="24"/>
        </w:rPr>
        <w:t>2-47</w:t>
      </w:r>
    </w:p>
    <w:p w14:paraId="30EA49EB" w14:textId="27227997" w:rsidR="00AE32D3" w:rsidRDefault="00AE32D3" w:rsidP="00EF1133">
      <w:pPr>
        <w:pStyle w:val="NoSpacing"/>
        <w:rPr>
          <w:rFonts w:ascii="Arial Black" w:hAnsi="Arial Black"/>
          <w:sz w:val="24"/>
          <w:szCs w:val="24"/>
        </w:rPr>
      </w:pPr>
    </w:p>
    <w:p w14:paraId="025DF895" w14:textId="77777777" w:rsidR="00AE32D3" w:rsidRDefault="00AE32D3" w:rsidP="00AE32D3">
      <w:pPr>
        <w:pStyle w:val="NormalWeb"/>
        <w:rPr>
          <w:rFonts w:ascii="Arial Black" w:hAnsi="Arial Black"/>
          <w:sz w:val="28"/>
          <w:szCs w:val="28"/>
        </w:rPr>
      </w:pPr>
      <w:r>
        <w:rPr>
          <w:rFonts w:ascii="Arial Black" w:hAnsi="Arial Black"/>
          <w:sz w:val="28"/>
          <w:szCs w:val="28"/>
        </w:rPr>
        <w:lastRenderedPageBreak/>
        <w:t>TX: FF FELL THROUGH 3½ FOOT OPENING IN OVERPASS CATWALK – FELL 20+ FEET – DOT CONTRACTOR IMMUNITY</w:t>
      </w:r>
    </w:p>
    <w:p w14:paraId="6A162885" w14:textId="77777777" w:rsidR="00AE32D3" w:rsidRDefault="00AE32D3" w:rsidP="00AE32D3">
      <w:pPr>
        <w:pStyle w:val="NormalWeb"/>
      </w:pPr>
      <w:r>
        <w:t xml:space="preserve">On Nov. 18, 2022, in </w:t>
      </w:r>
      <w:r w:rsidRPr="009D04E6">
        <w:rPr>
          <w:u w:val="single"/>
        </w:rPr>
        <w:t>A.S. Horner, Inc. v. Rafael Navarrette</w:t>
      </w:r>
      <w:r>
        <w:t xml:space="preserve">, the Court of Appeals of Texas, Eight District, El Paso, held (3 to 0)that the trial court improperly denied the construction company’s motion for summary judgment; under Texas statute, a contractor who performs work pursuant to the Texas DOT contract is immune from liability; court rules this applies both during the construction phase and afterwards.  </w:t>
      </w:r>
    </w:p>
    <w:p w14:paraId="6F1D5F97" w14:textId="77777777" w:rsidR="00AE32D3" w:rsidRDefault="00AE32D3" w:rsidP="00AE32D3">
      <w:pPr>
        <w:pStyle w:val="NormalWeb"/>
        <w:ind w:left="720"/>
      </w:pPr>
      <w:r>
        <w:t>“At the time of the incident that is a basis of the suit, Navarrette was on duty responding to a multi-vehicle crash that occurred in the middle of the night on a Loop 375 overpass. Navarrette's suit alleged that, ‘[w]</w:t>
      </w:r>
      <w:proofErr w:type="spellStart"/>
      <w:r>
        <w:t>hile</w:t>
      </w:r>
      <w:proofErr w:type="spellEnd"/>
      <w:r>
        <w:t xml:space="preserve"> between the barricades, on a defectively designed and installed cement catwalk without restraining railings he fell 20 to 30 feet through [a] 3 1/2 or 4 feet opening.’ Horner constructed the overpass from which Navarrette fell. Navarrette asserted claims against Horner pursuant to premises liability based on a dangerous condition on the road or property, and alternatively, based on theories of negligence.  </w:t>
      </w:r>
    </w:p>
    <w:p w14:paraId="54E91C90" w14:textId="77777777" w:rsidR="00AE32D3" w:rsidRDefault="00AE32D3" w:rsidP="00AE32D3">
      <w:pPr>
        <w:pStyle w:val="NormalWeb"/>
        <w:ind w:left="720"/>
      </w:pPr>
      <w:r>
        <w:t>***</w:t>
      </w:r>
    </w:p>
    <w:p w14:paraId="0DF9B222" w14:textId="77777777" w:rsidR="00AE32D3" w:rsidRDefault="00AE32D3" w:rsidP="00AE32D3">
      <w:pPr>
        <w:pStyle w:val="NormalWeb"/>
        <w:ind w:left="720"/>
        <w:rPr>
          <w:rStyle w:val="Hyperlink"/>
          <w:rFonts w:eastAsiaTheme="majorEastAsia"/>
        </w:rPr>
      </w:pPr>
      <w:r>
        <w:t xml:space="preserve">Because TxDOT designed this project and required Horner to perform its work pursuant to contract terms, and because Navarrette did not challenge or otherwise dispute that Horner's work complied with those terms, we determine that section 97.002's conditional pre-requisite was met. </w:t>
      </w:r>
      <w:hyperlink r:id="rId536" w:history="1">
        <w:r w:rsidRPr="00335B71">
          <w:rPr>
            <w:rStyle w:val="Hyperlink"/>
            <w:rFonts w:eastAsiaTheme="majorEastAsia"/>
          </w:rPr>
          <w:t>https://casetext.com/case/as-horner-inc-v-navarrette-4</w:t>
        </w:r>
      </w:hyperlink>
    </w:p>
    <w:p w14:paraId="2962AFC6" w14:textId="77777777" w:rsidR="00AE32D3" w:rsidRDefault="00AE32D3" w:rsidP="00AE32D3">
      <w:pPr>
        <w:pStyle w:val="NormalWeb"/>
        <w:rPr>
          <w:b/>
          <w:bCs/>
        </w:rPr>
      </w:pPr>
      <w:r w:rsidRPr="00A3198D">
        <w:rPr>
          <w:b/>
          <w:bCs/>
        </w:rPr>
        <w:t>Legal Lesson Learned:</w:t>
      </w:r>
      <w:r>
        <w:rPr>
          <w:b/>
          <w:bCs/>
        </w:rPr>
        <w:t xml:space="preserve">  The Texas statute provides immunity to contracts who follow DOT contract requirements. </w:t>
      </w:r>
    </w:p>
    <w:p w14:paraId="49FE13E6" w14:textId="77777777" w:rsidR="00AE32D3" w:rsidRDefault="00AE32D3" w:rsidP="00AE32D3">
      <w:pPr>
        <w:pStyle w:val="Heading1"/>
        <w:ind w:left="720"/>
        <w:rPr>
          <w:b w:val="0"/>
          <w:bCs w:val="0"/>
          <w:sz w:val="24"/>
          <w:szCs w:val="24"/>
        </w:rPr>
      </w:pPr>
      <w:r w:rsidRPr="00876015">
        <w:rPr>
          <w:b w:val="0"/>
          <w:bCs w:val="0"/>
          <w:sz w:val="24"/>
          <w:szCs w:val="24"/>
        </w:rPr>
        <w:t xml:space="preserve">Note: See June 4, </w:t>
      </w:r>
      <w:proofErr w:type="gramStart"/>
      <w:r w:rsidRPr="00876015">
        <w:rPr>
          <w:b w:val="0"/>
          <w:bCs w:val="0"/>
          <w:sz w:val="24"/>
          <w:szCs w:val="24"/>
        </w:rPr>
        <w:t>2014</w:t>
      </w:r>
      <w:proofErr w:type="gramEnd"/>
      <w:r w:rsidRPr="00876015">
        <w:rPr>
          <w:b w:val="0"/>
          <w:bCs w:val="0"/>
          <w:sz w:val="24"/>
          <w:szCs w:val="24"/>
        </w:rPr>
        <w:t xml:space="preserve"> article: Texas firefighter plunges 20 feet off overpass at crash scene; The lieutenant fell through an opening in the overpass and suffered fractures to his face. </w:t>
      </w:r>
      <w:hyperlink r:id="rId537" w:history="1">
        <w:r w:rsidRPr="00335B71">
          <w:rPr>
            <w:rStyle w:val="Hyperlink"/>
            <w:rFonts w:eastAsiaTheme="majorEastAsia"/>
            <w:b w:val="0"/>
            <w:bCs w:val="0"/>
            <w:sz w:val="24"/>
            <w:szCs w:val="24"/>
          </w:rPr>
          <w:t>https://www.firerescue1.com/fire-ems/articles/texas-firefighter-plunges-20-feet-off-overpass-at-crash-scene-lBARe4alhxd9zIr4/</w:t>
        </w:r>
      </w:hyperlink>
      <w:r>
        <w:rPr>
          <w:b w:val="0"/>
          <w:bCs w:val="0"/>
          <w:sz w:val="24"/>
          <w:szCs w:val="24"/>
        </w:rPr>
        <w:t xml:space="preserve"> </w:t>
      </w:r>
    </w:p>
    <w:p w14:paraId="709F58B0" w14:textId="4B762CFC" w:rsidR="00AE32D3" w:rsidRPr="00AE32D3" w:rsidRDefault="00AE32D3" w:rsidP="00AE32D3">
      <w:pPr>
        <w:pStyle w:val="NoSpacing"/>
        <w:ind w:left="720"/>
        <w:rPr>
          <w:rFonts w:ascii="Times New Roman" w:hAnsi="Times New Roman"/>
          <w:sz w:val="24"/>
          <w:szCs w:val="24"/>
        </w:rPr>
      </w:pPr>
      <w:r w:rsidRPr="00AE32D3">
        <w:rPr>
          <w:rFonts w:ascii="Times New Roman" w:hAnsi="Times New Roman"/>
          <w:sz w:val="24"/>
          <w:szCs w:val="24"/>
        </w:rPr>
        <w:t xml:space="preserve">See also: June 3, 2014: El Paso (TX) Firefighter Injured in Fall at MVA Scene. </w:t>
      </w:r>
      <w:hyperlink r:id="rId538" w:anchor="gref" w:history="1">
        <w:r w:rsidRPr="00E01337">
          <w:rPr>
            <w:rStyle w:val="Hyperlink"/>
            <w:rFonts w:ascii="Times New Roman" w:eastAsiaTheme="majorEastAsia" w:hAnsi="Times New Roman"/>
            <w:sz w:val="24"/>
            <w:szCs w:val="24"/>
          </w:rPr>
          <w:t>https://www.fireengineering.com/firefighting/el-paso-tx-firefighter-injured-while-rendering-care/#gref</w:t>
        </w:r>
      </w:hyperlink>
    </w:p>
    <w:p w14:paraId="187D6BDA" w14:textId="77777777" w:rsidR="00AE32D3" w:rsidRPr="00AE32D3" w:rsidRDefault="00AE32D3" w:rsidP="00EF1133">
      <w:pPr>
        <w:pStyle w:val="NoSpacing"/>
        <w:rPr>
          <w:rFonts w:ascii="Times New Roman" w:hAnsi="Times New Roman"/>
          <w:sz w:val="24"/>
          <w:szCs w:val="24"/>
        </w:rPr>
      </w:pPr>
    </w:p>
    <w:p w14:paraId="612CDD34" w14:textId="77777777" w:rsidR="00AE32D3" w:rsidRDefault="00AE32D3" w:rsidP="00EF1133">
      <w:pPr>
        <w:pStyle w:val="NoSpacing"/>
        <w:rPr>
          <w:rFonts w:ascii="Arial Black" w:hAnsi="Arial Black"/>
          <w:sz w:val="24"/>
          <w:szCs w:val="24"/>
        </w:rPr>
      </w:pPr>
    </w:p>
    <w:p w14:paraId="11CB1FD4" w14:textId="1E9F5281" w:rsidR="00804F3A" w:rsidRDefault="00804F3A" w:rsidP="00EF1133">
      <w:pPr>
        <w:pStyle w:val="NoSpacing"/>
        <w:rPr>
          <w:rFonts w:ascii="Arial Black" w:hAnsi="Arial Black"/>
          <w:sz w:val="24"/>
          <w:szCs w:val="24"/>
        </w:rPr>
      </w:pPr>
      <w:r>
        <w:rPr>
          <w:rFonts w:ascii="Arial Black" w:hAnsi="Arial Black"/>
          <w:sz w:val="24"/>
          <w:szCs w:val="24"/>
        </w:rPr>
        <w:t>2-46</w:t>
      </w:r>
    </w:p>
    <w:p w14:paraId="6CF2E265" w14:textId="77777777" w:rsidR="00804F3A" w:rsidRPr="00486C28" w:rsidRDefault="00804F3A" w:rsidP="00804F3A">
      <w:pPr>
        <w:pStyle w:val="NormalWeb"/>
        <w:rPr>
          <w:rFonts w:ascii="Arial Black" w:hAnsi="Arial Black"/>
          <w:b/>
          <w:bCs/>
          <w:sz w:val="28"/>
          <w:szCs w:val="28"/>
        </w:rPr>
      </w:pPr>
      <w:r w:rsidRPr="00486C28">
        <w:rPr>
          <w:rFonts w:ascii="Arial Black" w:hAnsi="Arial Black"/>
          <w:b/>
          <w:bCs/>
          <w:sz w:val="28"/>
          <w:szCs w:val="28"/>
        </w:rPr>
        <w:t xml:space="preserve">LA: </w:t>
      </w:r>
      <w:r>
        <w:rPr>
          <w:rFonts w:ascii="Arial Black" w:hAnsi="Arial Black"/>
          <w:b/>
          <w:bCs/>
          <w:sz w:val="28"/>
          <w:szCs w:val="28"/>
        </w:rPr>
        <w:t>RAILROAD BLOCKED ROAD – CARDIAC PATIENT – NEW HELICOPTER PICKUP, 8 MINUTES – DIED – NO LIAB. FOR RR</w:t>
      </w:r>
    </w:p>
    <w:p w14:paraId="3CE43986" w14:textId="77777777" w:rsidR="00804F3A" w:rsidRDefault="00804F3A" w:rsidP="00804F3A">
      <w:pPr>
        <w:pStyle w:val="NormalWeb"/>
      </w:pPr>
      <w:r>
        <w:t xml:space="preserve">On Oct. 20, 2022, in </w:t>
      </w:r>
      <w:r w:rsidRPr="00486C28">
        <w:rPr>
          <w:u w:val="single"/>
        </w:rPr>
        <w:t>Brenda R. Blalock v. Union Pacific Railroad Company</w:t>
      </w:r>
      <w:r>
        <w:t xml:space="preserve">, U.S. Court of Appeals for Fifth Circuit (New Orleans), the Court held (3 to 0) that trial court properly granted summary judgment to the railroad, since they were not aware of emergency transport until after the ambulance driver decided to take another route. </w:t>
      </w:r>
    </w:p>
    <w:p w14:paraId="1A7F94D6" w14:textId="77777777" w:rsidR="00804F3A" w:rsidRPr="00C40187" w:rsidRDefault="00804F3A" w:rsidP="00804F3A">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“[T]</w:t>
      </w:r>
      <w:r w:rsidRPr="00AC0E66">
        <w:rPr>
          <w:rFonts w:ascii="Times New Roman" w:eastAsia="Times New Roman" w:hAnsi="Times New Roman"/>
          <w:sz w:val="24"/>
          <w:szCs w:val="24"/>
        </w:rPr>
        <w:t xml:space="preserve">here is insufficient evidence to support Brenda's claims that Union Pacific caused a delay in Leo receiving medical care. The timespan from the </w:t>
      </w:r>
      <w:proofErr w:type="spellStart"/>
      <w:r w:rsidRPr="00AC0E66">
        <w:rPr>
          <w:rFonts w:ascii="Times New Roman" w:eastAsia="Times New Roman" w:hAnsi="Times New Roman"/>
          <w:sz w:val="24"/>
          <w:szCs w:val="24"/>
        </w:rPr>
        <w:t>Blalocks</w:t>
      </w:r>
      <w:proofErr w:type="spellEnd"/>
      <w:r w:rsidRPr="00AC0E66">
        <w:rPr>
          <w:rFonts w:ascii="Times New Roman" w:eastAsia="Times New Roman" w:hAnsi="Times New Roman"/>
          <w:sz w:val="24"/>
          <w:szCs w:val="24"/>
        </w:rPr>
        <w:t xml:space="preserve">' home to the new rerouted landing zone was approximately eight minutes. Evidence shows that when the ambulance approached the railroad crossing and noticed it was blocked, paramedics immediately rerouted to Alexandria where the new landing zone </w:t>
      </w:r>
      <w:r w:rsidRPr="00AC0E66">
        <w:rPr>
          <w:rFonts w:ascii="Times New Roman" w:eastAsia="Times New Roman" w:hAnsi="Times New Roman"/>
          <w:sz w:val="24"/>
          <w:szCs w:val="24"/>
        </w:rPr>
        <w:lastRenderedPageBreak/>
        <w:t xml:space="preserve">and destination hospital were located. The paramedic testified that she did not </w:t>
      </w:r>
      <w:r>
        <w:rPr>
          <w:rFonts w:ascii="Times New Roman" w:eastAsia="Times New Roman" w:hAnsi="Times New Roman"/>
          <w:sz w:val="24"/>
          <w:szCs w:val="24"/>
        </w:rPr>
        <w:t>‘</w:t>
      </w:r>
      <w:r w:rsidRPr="00AC0E66">
        <w:rPr>
          <w:rFonts w:ascii="Times New Roman" w:eastAsia="Times New Roman" w:hAnsi="Times New Roman"/>
          <w:sz w:val="24"/>
          <w:szCs w:val="24"/>
        </w:rPr>
        <w:t xml:space="preserve">even </w:t>
      </w:r>
      <w:proofErr w:type="gramStart"/>
      <w:r w:rsidRPr="00AC0E66">
        <w:rPr>
          <w:rFonts w:ascii="Times New Roman" w:eastAsia="Times New Roman" w:hAnsi="Times New Roman"/>
          <w:sz w:val="24"/>
          <w:szCs w:val="24"/>
        </w:rPr>
        <w:t>waste like</w:t>
      </w:r>
      <w:proofErr w:type="gramEnd"/>
      <w:r w:rsidRPr="00AC0E66">
        <w:rPr>
          <w:rFonts w:ascii="Times New Roman" w:eastAsia="Times New Roman" w:hAnsi="Times New Roman"/>
          <w:sz w:val="24"/>
          <w:szCs w:val="24"/>
        </w:rPr>
        <w:t xml:space="preserve"> 30 </w:t>
      </w:r>
      <w:proofErr w:type="gramStart"/>
      <w:r w:rsidRPr="00AC0E66">
        <w:rPr>
          <w:rFonts w:ascii="Times New Roman" w:eastAsia="Times New Roman" w:hAnsi="Times New Roman"/>
          <w:sz w:val="24"/>
          <w:szCs w:val="24"/>
        </w:rPr>
        <w:t>seconds</w:t>
      </w:r>
      <w:r>
        <w:rPr>
          <w:rFonts w:ascii="Times New Roman" w:eastAsia="Times New Roman" w:hAnsi="Times New Roman"/>
          <w:sz w:val="24"/>
          <w:szCs w:val="24"/>
        </w:rPr>
        <w:t>’</w:t>
      </w:r>
      <w:proofErr w:type="gramEnd"/>
      <w:r w:rsidRPr="00AC0E66">
        <w:rPr>
          <w:rFonts w:ascii="Times New Roman" w:eastAsia="Times New Roman" w:hAnsi="Times New Roman"/>
          <w:sz w:val="24"/>
          <w:szCs w:val="24"/>
        </w:rPr>
        <w:t xml:space="preserve"> and when asked did they </w:t>
      </w:r>
      <w:proofErr w:type="gramStart"/>
      <w:r w:rsidRPr="00AC0E66">
        <w:rPr>
          <w:rFonts w:ascii="Times New Roman" w:eastAsia="Times New Roman" w:hAnsi="Times New Roman"/>
          <w:sz w:val="24"/>
          <w:szCs w:val="24"/>
        </w:rPr>
        <w:t>wait</w:t>
      </w:r>
      <w:proofErr w:type="gramEnd"/>
      <w:r w:rsidRPr="00AC0E66">
        <w:rPr>
          <w:rFonts w:ascii="Times New Roman" w:eastAsia="Times New Roman" w:hAnsi="Times New Roman"/>
          <w:sz w:val="24"/>
          <w:szCs w:val="24"/>
        </w:rPr>
        <w:t xml:space="preserve"> at the track, she responded</w:t>
      </w:r>
      <w:r>
        <w:rPr>
          <w:rFonts w:ascii="Times New Roman" w:eastAsia="Times New Roman" w:hAnsi="Times New Roman"/>
          <w:sz w:val="24"/>
          <w:szCs w:val="24"/>
        </w:rPr>
        <w:t xml:space="preserve"> ‘</w:t>
      </w:r>
      <w:r w:rsidRPr="00AC0E66">
        <w:rPr>
          <w:rFonts w:ascii="Times New Roman" w:eastAsia="Times New Roman" w:hAnsi="Times New Roman"/>
          <w:sz w:val="24"/>
          <w:szCs w:val="24"/>
        </w:rPr>
        <w:t>[w]e didn't.</w:t>
      </w:r>
      <w:r>
        <w:rPr>
          <w:rFonts w:ascii="Times New Roman" w:eastAsia="Times New Roman" w:hAnsi="Times New Roman"/>
          <w:sz w:val="24"/>
          <w:szCs w:val="24"/>
        </w:rPr>
        <w:t>’</w:t>
      </w:r>
      <w:r w:rsidRPr="00AC0E66">
        <w:rPr>
          <w:rFonts w:ascii="Times New Roman" w:eastAsia="Times New Roman" w:hAnsi="Times New Roman"/>
          <w:sz w:val="24"/>
          <w:szCs w:val="24"/>
        </w:rPr>
        <w:t xml:space="preserve"> The evidence also shows that Union Pacific was not notified about the emergency vehicle until </w:t>
      </w:r>
      <w:r w:rsidRPr="00AC0E66">
        <w:rPr>
          <w:rFonts w:ascii="Times New Roman" w:eastAsia="Times New Roman" w:hAnsi="Times New Roman"/>
          <w:i/>
          <w:iCs/>
          <w:sz w:val="24"/>
          <w:szCs w:val="24"/>
        </w:rPr>
        <w:t>after</w:t>
      </w:r>
      <w:r w:rsidRPr="00AC0E66">
        <w:rPr>
          <w:rFonts w:ascii="Times New Roman" w:eastAsia="Times New Roman" w:hAnsi="Times New Roman"/>
          <w:sz w:val="24"/>
          <w:szCs w:val="24"/>
        </w:rPr>
        <w:t xml:space="preserve"> the ambulance had already </w:t>
      </w:r>
      <w:proofErr w:type="gramStart"/>
      <w:r w:rsidRPr="00AC0E66">
        <w:rPr>
          <w:rFonts w:ascii="Times New Roman" w:eastAsia="Times New Roman" w:hAnsi="Times New Roman"/>
          <w:sz w:val="24"/>
          <w:szCs w:val="24"/>
        </w:rPr>
        <w:t>rerouted</w:t>
      </w:r>
      <w:proofErr w:type="gramEnd"/>
      <w:r w:rsidRPr="00AC0E66">
        <w:rPr>
          <w:rFonts w:ascii="Times New Roman" w:eastAsia="Times New Roman" w:hAnsi="Times New Roman"/>
          <w:sz w:val="24"/>
          <w:szCs w:val="24"/>
        </w:rPr>
        <w:t xml:space="preserve">. Therefore, at the time the ambulance needed to cross the railroad tracks, Union Pacific was not aware of Leo's emergency. And even if it were, it </w:t>
      </w:r>
      <w:r>
        <w:rPr>
          <w:rFonts w:ascii="Times New Roman" w:eastAsia="Times New Roman" w:hAnsi="Times New Roman"/>
          <w:sz w:val="24"/>
          <w:szCs w:val="24"/>
        </w:rPr>
        <w:t>‘</w:t>
      </w:r>
      <w:r w:rsidRPr="00AC0E66">
        <w:rPr>
          <w:rFonts w:ascii="Times New Roman" w:eastAsia="Times New Roman" w:hAnsi="Times New Roman"/>
          <w:sz w:val="24"/>
          <w:szCs w:val="24"/>
        </w:rPr>
        <w:t>would have been impossible</w:t>
      </w:r>
      <w:r>
        <w:rPr>
          <w:rFonts w:ascii="Times New Roman" w:eastAsia="Times New Roman" w:hAnsi="Times New Roman"/>
          <w:sz w:val="24"/>
          <w:szCs w:val="24"/>
        </w:rPr>
        <w:t>’</w:t>
      </w:r>
      <w:r w:rsidRPr="00AC0E66">
        <w:rPr>
          <w:rFonts w:ascii="Times New Roman" w:eastAsia="Times New Roman" w:hAnsi="Times New Roman"/>
          <w:sz w:val="24"/>
          <w:szCs w:val="24"/>
        </w:rPr>
        <w:t xml:space="preserve"> for the train to break within the </w:t>
      </w:r>
      <w:r>
        <w:rPr>
          <w:rFonts w:ascii="Times New Roman" w:eastAsia="Times New Roman" w:hAnsi="Times New Roman"/>
          <w:sz w:val="24"/>
          <w:szCs w:val="24"/>
        </w:rPr>
        <w:t>‘</w:t>
      </w:r>
      <w:r w:rsidRPr="00AC0E66">
        <w:rPr>
          <w:rFonts w:ascii="Times New Roman" w:eastAsia="Times New Roman" w:hAnsi="Times New Roman"/>
          <w:sz w:val="24"/>
          <w:szCs w:val="24"/>
        </w:rPr>
        <w:t>seconds</w:t>
      </w:r>
      <w:r>
        <w:rPr>
          <w:rFonts w:ascii="Times New Roman" w:eastAsia="Times New Roman" w:hAnsi="Times New Roman"/>
          <w:sz w:val="24"/>
          <w:szCs w:val="24"/>
        </w:rPr>
        <w:t>’</w:t>
      </w:r>
      <w:r w:rsidRPr="00AC0E66">
        <w:rPr>
          <w:rFonts w:ascii="Times New Roman" w:eastAsia="Times New Roman" w:hAnsi="Times New Roman"/>
          <w:sz w:val="24"/>
          <w:szCs w:val="24"/>
        </w:rPr>
        <w:t xml:space="preserve"> the paramedics were at the crossing. In the absence of sufficient evidence to the contrary, we conclude that Brenda has failed to show a genuine issue of material fact as to </w:t>
      </w:r>
      <w:r w:rsidRPr="00C40187">
        <w:rPr>
          <w:rFonts w:ascii="Times New Roman" w:eastAsia="Times New Roman" w:hAnsi="Times New Roman"/>
          <w:sz w:val="24"/>
          <w:szCs w:val="24"/>
        </w:rPr>
        <w:t>causation.”</w:t>
      </w:r>
      <w:hyperlink r:id="rId539" w:history="1">
        <w:r w:rsidRPr="00C40187">
          <w:rPr>
            <w:rStyle w:val="Hyperlink"/>
            <w:rFonts w:ascii="Times New Roman" w:hAnsi="Times New Roman"/>
            <w:sz w:val="24"/>
            <w:szCs w:val="24"/>
          </w:rPr>
          <w:t>http://www.ca5.uscourts.gov/opinions/unpub/22/22-30100.0.pdf</w:t>
        </w:r>
      </w:hyperlink>
      <w:r w:rsidRPr="00C40187">
        <w:rPr>
          <w:rFonts w:ascii="Times New Roman" w:hAnsi="Times New Roman"/>
          <w:sz w:val="24"/>
          <w:szCs w:val="24"/>
        </w:rPr>
        <w:t xml:space="preserve"> </w:t>
      </w:r>
    </w:p>
    <w:p w14:paraId="0367F1DE" w14:textId="77777777" w:rsidR="00804F3A" w:rsidRPr="00AC0E66" w:rsidRDefault="00804F3A" w:rsidP="00804F3A">
      <w:pPr>
        <w:spacing w:before="100" w:beforeAutospacing="1" w:after="100" w:afterAutospacing="1" w:line="240" w:lineRule="auto"/>
        <w:rPr>
          <w:rFonts w:ascii="Times New Roman" w:eastAsia="Times New Roman" w:hAnsi="Times New Roman"/>
          <w:b/>
          <w:bCs/>
          <w:sz w:val="24"/>
          <w:szCs w:val="24"/>
        </w:rPr>
      </w:pPr>
      <w:r w:rsidRPr="00AC0E66">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Establish protocol for EMS transports when railroad blocking route. </w:t>
      </w:r>
    </w:p>
    <w:p w14:paraId="45B67AC9" w14:textId="77777777" w:rsidR="00804F3A" w:rsidRDefault="00804F3A" w:rsidP="00804F3A">
      <w:pPr>
        <w:pStyle w:val="NormalWeb"/>
        <w:ind w:left="720"/>
      </w:pPr>
      <w:r>
        <w:t>Note:  See this article (Fall 2021):</w:t>
      </w:r>
    </w:p>
    <w:p w14:paraId="04914026" w14:textId="77777777" w:rsidR="00804F3A" w:rsidRPr="002A3E85" w:rsidRDefault="00804F3A" w:rsidP="00804F3A">
      <w:pPr>
        <w:pStyle w:val="NoSpacing"/>
        <w:ind w:firstLine="720"/>
        <w:rPr>
          <w:rFonts w:ascii="Times New Roman" w:hAnsi="Times New Roman"/>
          <w:sz w:val="28"/>
          <w:szCs w:val="28"/>
        </w:rPr>
      </w:pPr>
      <w:r w:rsidRPr="002A3E85">
        <w:rPr>
          <w:rFonts w:ascii="Times New Roman" w:hAnsi="Times New Roman"/>
          <w:sz w:val="28"/>
          <w:szCs w:val="28"/>
        </w:rPr>
        <w:t>Don’t Let Railroads Become Roadblocks</w:t>
      </w:r>
    </w:p>
    <w:p w14:paraId="53569E16" w14:textId="77777777" w:rsidR="00804F3A" w:rsidRPr="00AC0E66" w:rsidRDefault="00804F3A" w:rsidP="00804F3A">
      <w:pPr>
        <w:pStyle w:val="NoSpacing"/>
        <w:ind w:left="720"/>
        <w:rPr>
          <w:rFonts w:ascii="Times New Roman" w:hAnsi="Times New Roman"/>
          <w:i/>
          <w:iCs/>
          <w:sz w:val="24"/>
          <w:szCs w:val="24"/>
        </w:rPr>
      </w:pPr>
      <w:r w:rsidRPr="00AC0E66">
        <w:rPr>
          <w:rFonts w:ascii="Times New Roman" w:hAnsi="Times New Roman"/>
          <w:i/>
          <w:iCs/>
          <w:sz w:val="24"/>
          <w:szCs w:val="24"/>
        </w:rPr>
        <w:t>Take advantage of resources available to help EMS and other first responders avoid delays caused by railroads and respond safely to incidents on or near railroad crossings.</w:t>
      </w:r>
    </w:p>
    <w:p w14:paraId="3CFB993E" w14:textId="77777777" w:rsidR="00804F3A" w:rsidRDefault="00804F3A" w:rsidP="00804F3A">
      <w:pPr>
        <w:pStyle w:val="NoSpacing"/>
        <w:ind w:firstLine="720"/>
      </w:pPr>
      <w:hyperlink r:id="rId540" w:history="1">
        <w:r w:rsidRPr="00A7079D">
          <w:rPr>
            <w:rStyle w:val="Hyperlink"/>
            <w:rFonts w:ascii="Times New Roman" w:hAnsi="Times New Roman"/>
          </w:rPr>
          <w:t>https://www.ems.gov/newsletter/fall2021/dont_let_railroads_become_roadblocks.html</w:t>
        </w:r>
      </w:hyperlink>
      <w:r>
        <w:t xml:space="preserve"> </w:t>
      </w:r>
    </w:p>
    <w:p w14:paraId="1B32C4E7" w14:textId="77777777" w:rsidR="00804F3A" w:rsidRDefault="00804F3A" w:rsidP="00804F3A">
      <w:pPr>
        <w:pStyle w:val="NormalWeb"/>
        <w:ind w:left="720"/>
      </w:pPr>
      <w:r>
        <w:t xml:space="preserve">“Fortunately, resources exist to help first responders facing these circumstances. According to Michail </w:t>
      </w:r>
      <w:proofErr w:type="spellStart"/>
      <w:r>
        <w:t>Grizkewitsch</w:t>
      </w:r>
      <w:proofErr w:type="spellEnd"/>
      <w:r>
        <w:t xml:space="preserve"> with the Federal Railroad Administration’s Office of Railroad Safety, one of the first things responders can do is look for a blue </w:t>
      </w:r>
      <w:proofErr w:type="gramStart"/>
      <w:r>
        <w:t>Emergency Notification</w:t>
      </w:r>
      <w:proofErr w:type="gramEnd"/>
      <w:r>
        <w:t xml:space="preserve"> System sign with two sets of numbers on it. One is the phone number that will connect them directly to the railroad dispatcher overseeing that specific track. The other number is a unique Department of Transportation identifier for that crossing, so you can quickly let the dispatcher know where you are.”</w:t>
      </w:r>
    </w:p>
    <w:p w14:paraId="23B4DF9A" w14:textId="77777777" w:rsidR="00804F3A" w:rsidRDefault="00804F3A" w:rsidP="00EF1133">
      <w:pPr>
        <w:pStyle w:val="NoSpacing"/>
        <w:rPr>
          <w:rFonts w:ascii="Arial Black" w:hAnsi="Arial Black"/>
          <w:sz w:val="24"/>
          <w:szCs w:val="24"/>
        </w:rPr>
      </w:pPr>
    </w:p>
    <w:p w14:paraId="0585D65C" w14:textId="77777777" w:rsidR="00804F3A" w:rsidRDefault="00804F3A" w:rsidP="00EF1133">
      <w:pPr>
        <w:pStyle w:val="NoSpacing"/>
        <w:rPr>
          <w:rFonts w:ascii="Arial Black" w:hAnsi="Arial Black"/>
          <w:sz w:val="24"/>
          <w:szCs w:val="24"/>
        </w:rPr>
      </w:pPr>
    </w:p>
    <w:p w14:paraId="30EA7F7F" w14:textId="77777777" w:rsidR="00804F3A" w:rsidRDefault="00804F3A" w:rsidP="00EF1133">
      <w:pPr>
        <w:pStyle w:val="NoSpacing"/>
        <w:rPr>
          <w:rFonts w:ascii="Arial Black" w:hAnsi="Arial Black"/>
          <w:sz w:val="24"/>
          <w:szCs w:val="24"/>
        </w:rPr>
      </w:pPr>
    </w:p>
    <w:p w14:paraId="5F18F400" w14:textId="7A7D386C" w:rsidR="00E8117B" w:rsidRDefault="00E8117B" w:rsidP="00EF1133">
      <w:pPr>
        <w:pStyle w:val="NoSpacing"/>
        <w:rPr>
          <w:rFonts w:ascii="Arial Black" w:hAnsi="Arial Black"/>
          <w:sz w:val="24"/>
          <w:szCs w:val="24"/>
        </w:rPr>
      </w:pPr>
      <w:r>
        <w:rPr>
          <w:rFonts w:ascii="Arial Black" w:hAnsi="Arial Black"/>
          <w:sz w:val="24"/>
          <w:szCs w:val="24"/>
        </w:rPr>
        <w:t>2-45</w:t>
      </w:r>
    </w:p>
    <w:p w14:paraId="368A07F0" w14:textId="685F4EB0" w:rsidR="00E8117B" w:rsidRDefault="00E8117B" w:rsidP="00EF1133">
      <w:pPr>
        <w:pStyle w:val="NoSpacing"/>
        <w:rPr>
          <w:rFonts w:ascii="Arial Black" w:hAnsi="Arial Black"/>
          <w:sz w:val="24"/>
          <w:szCs w:val="24"/>
        </w:rPr>
      </w:pPr>
    </w:p>
    <w:p w14:paraId="4EE858D5" w14:textId="77777777" w:rsidR="00E8117B" w:rsidRDefault="00E8117B" w:rsidP="00E8117B">
      <w:pPr>
        <w:pStyle w:val="NormalWeb"/>
        <w:rPr>
          <w:rFonts w:ascii="Arial Black" w:hAnsi="Arial Black"/>
          <w:sz w:val="28"/>
          <w:szCs w:val="28"/>
        </w:rPr>
      </w:pPr>
      <w:r>
        <w:rPr>
          <w:rFonts w:ascii="Arial Black" w:hAnsi="Arial Black"/>
          <w:sz w:val="28"/>
          <w:szCs w:val="28"/>
        </w:rPr>
        <w:t xml:space="preserve">OH: LODD – ARSON DEFENDANT’S APPEAL DENIED – PROVIDED SIX WITNESS STATEMENTS BEFORE TRIAL </w:t>
      </w:r>
    </w:p>
    <w:p w14:paraId="42A4BBA5" w14:textId="77777777" w:rsidR="00E8117B" w:rsidRDefault="00E8117B" w:rsidP="00E8117B">
      <w:pPr>
        <w:pStyle w:val="NormalWeb"/>
      </w:pPr>
      <w:r>
        <w:t xml:space="preserve">On Sept. 19, 2022, in </w:t>
      </w:r>
      <w:r>
        <w:rPr>
          <w:u w:val="single"/>
        </w:rPr>
        <w:t>State of Ohio v. William R. Tucker</w:t>
      </w:r>
      <w:r>
        <w:t xml:space="preserve">, the Court of Appeals of Ohio, Twelfth District (Butler County) held (3 to 0) that trial court did not err in denying Tucker's untimely postconviction relief petition.  </w:t>
      </w:r>
    </w:p>
    <w:p w14:paraId="44BF81BB" w14:textId="77777777" w:rsidR="00E8117B" w:rsidRDefault="00E8117B" w:rsidP="00E8117B">
      <w:pPr>
        <w:pStyle w:val="NormalWeb"/>
        <w:ind w:left="720"/>
      </w:pPr>
      <w:r>
        <w:t xml:space="preserve">“After reviewing the record, we find Tucker's assertions are without merit. Tucker does not demonstrate that he was unavoidably prevented from discovering the facts necessary for his claim of relief. Instead, the record shows that the six witness statements were initially provided to Tucker and his attorney during discovery. On January 21, 2017, nearly ten months before trial, the State answered Tucker's request for discovery. Included in the response were items numbered 138, 140, 141, 147, 156, and 157, representing the witness statements of Sebastian, Hartford, Hatfield, Haynes, McAdams, and McDonald, respectively.” </w:t>
      </w:r>
      <w:hyperlink r:id="rId541" w:history="1">
        <w:r>
          <w:rPr>
            <w:rStyle w:val="Hyperlink"/>
          </w:rPr>
          <w:t>https://law.justia.com/cases/ohio/twelfth-district-court-of-appeals/2022/ca2022-02-020.html</w:t>
        </w:r>
      </w:hyperlink>
      <w:r>
        <w:t xml:space="preserve"> </w:t>
      </w:r>
    </w:p>
    <w:p w14:paraId="374A83A4" w14:textId="77777777" w:rsidR="00E8117B" w:rsidRDefault="00E8117B" w:rsidP="00E8117B">
      <w:pPr>
        <w:pStyle w:val="NormalWeb"/>
        <w:rPr>
          <w:b/>
          <w:bCs/>
        </w:rPr>
      </w:pPr>
      <w:r>
        <w:rPr>
          <w:b/>
          <w:bCs/>
        </w:rPr>
        <w:t xml:space="preserve">Legal Lesson Learned: Defendant must remain in prison - </w:t>
      </w:r>
      <w:r>
        <w:rPr>
          <w:rFonts w:eastAsiaTheme="minorHAnsi"/>
          <w:b/>
          <w:bCs/>
        </w:rPr>
        <w:t xml:space="preserve">15 years to life.   </w:t>
      </w:r>
    </w:p>
    <w:p w14:paraId="2B5AA13D" w14:textId="77777777" w:rsidR="00E8117B" w:rsidRDefault="00E8117B" w:rsidP="00EF1133">
      <w:pPr>
        <w:pStyle w:val="NoSpacing"/>
        <w:rPr>
          <w:rFonts w:ascii="Arial Black" w:hAnsi="Arial Black"/>
          <w:sz w:val="24"/>
          <w:szCs w:val="24"/>
        </w:rPr>
      </w:pPr>
    </w:p>
    <w:p w14:paraId="79454FBA" w14:textId="77777777" w:rsidR="00E8117B" w:rsidRDefault="00E8117B" w:rsidP="00EF1133">
      <w:pPr>
        <w:pStyle w:val="NoSpacing"/>
        <w:rPr>
          <w:rFonts w:ascii="Arial Black" w:hAnsi="Arial Black"/>
          <w:sz w:val="24"/>
          <w:szCs w:val="24"/>
        </w:rPr>
      </w:pPr>
    </w:p>
    <w:p w14:paraId="5C183C0E" w14:textId="77777777" w:rsidR="00E8117B" w:rsidRDefault="00E8117B" w:rsidP="00EF1133">
      <w:pPr>
        <w:pStyle w:val="NoSpacing"/>
        <w:rPr>
          <w:rFonts w:ascii="Arial Black" w:hAnsi="Arial Black"/>
          <w:sz w:val="24"/>
          <w:szCs w:val="24"/>
        </w:rPr>
      </w:pPr>
    </w:p>
    <w:p w14:paraId="04A3A2F3" w14:textId="73108702" w:rsidR="009A0402" w:rsidRDefault="009A0402" w:rsidP="00EF1133">
      <w:pPr>
        <w:pStyle w:val="NoSpacing"/>
        <w:rPr>
          <w:rFonts w:ascii="Arial Black" w:hAnsi="Arial Black"/>
          <w:sz w:val="24"/>
          <w:szCs w:val="24"/>
        </w:rPr>
      </w:pPr>
      <w:r>
        <w:rPr>
          <w:rFonts w:ascii="Arial Black" w:hAnsi="Arial Black"/>
          <w:sz w:val="24"/>
          <w:szCs w:val="24"/>
        </w:rPr>
        <w:t>2-44</w:t>
      </w:r>
    </w:p>
    <w:p w14:paraId="1D196A05" w14:textId="77777777" w:rsidR="009A0402" w:rsidRDefault="009A0402" w:rsidP="009A0402">
      <w:pPr>
        <w:spacing w:before="100" w:beforeAutospacing="1" w:after="100" w:afterAutospacing="1" w:line="240" w:lineRule="auto"/>
        <w:rPr>
          <w:rFonts w:ascii="Arial Black" w:hAnsi="Arial Black"/>
          <w:sz w:val="28"/>
          <w:szCs w:val="28"/>
        </w:rPr>
      </w:pPr>
      <w:r>
        <w:rPr>
          <w:rFonts w:ascii="Arial Black" w:hAnsi="Arial Black"/>
          <w:sz w:val="28"/>
          <w:szCs w:val="28"/>
        </w:rPr>
        <w:t>U.S. SUP. COURT:  FIREARMS – STATE OF NEW YORK “PROPER-CAUSE” REQUIREMENT UNCONSTITUTIONAL</w:t>
      </w:r>
    </w:p>
    <w:p w14:paraId="73050240" w14:textId="77777777" w:rsidR="009A0402" w:rsidRDefault="009A0402" w:rsidP="009A040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June 23, 2022, in </w:t>
      </w:r>
      <w:r>
        <w:rPr>
          <w:rFonts w:ascii="Times New Roman" w:hAnsi="Times New Roman"/>
          <w:sz w:val="24"/>
          <w:szCs w:val="24"/>
          <w:u w:val="single"/>
        </w:rPr>
        <w:t>New York State Rifle &amp; Pistol Association, et al. v. Bruen, Superintendent of New York State Police</w:t>
      </w:r>
      <w:r>
        <w:rPr>
          <w:rFonts w:ascii="Times New Roman" w:hAnsi="Times New Roman"/>
          <w:sz w:val="24"/>
          <w:szCs w:val="24"/>
        </w:rPr>
        <w:t xml:space="preserve">, the U.S. Supreme Court held (6 to 3) that the State’s requirement that residents must show a “proper-cause” to be able to carry a firearm violates their Second Amendment right to bear arms in public for self-defense. Brandon Koch, </w:t>
      </w:r>
      <w:r>
        <w:rPr>
          <w:rStyle w:val="markedcontent"/>
          <w:rFonts w:ascii="Times New Roman" w:hAnsi="Times New Roman"/>
          <w:sz w:val="24"/>
          <w:szCs w:val="24"/>
        </w:rPr>
        <w:t>Rensselaer County</w:t>
      </w:r>
      <w:r>
        <w:rPr>
          <w:rFonts w:ascii="Times New Roman" w:hAnsi="Times New Roman"/>
          <w:sz w:val="24"/>
          <w:szCs w:val="24"/>
        </w:rPr>
        <w:t xml:space="preserve"> and Robert Nash, </w:t>
      </w:r>
      <w:r>
        <w:rPr>
          <w:rStyle w:val="markedcontent"/>
          <w:rFonts w:ascii="Times New Roman" w:hAnsi="Times New Roman"/>
          <w:sz w:val="24"/>
          <w:szCs w:val="24"/>
        </w:rPr>
        <w:t>Averill Park,</w:t>
      </w:r>
      <w:r>
        <w:rPr>
          <w:rFonts w:ascii="Times New Roman" w:hAnsi="Times New Roman"/>
          <w:sz w:val="24"/>
          <w:szCs w:val="24"/>
        </w:rPr>
        <w:t xml:space="preserve"> are both members of the New York Rifle &amp; Pistol Association and were denied licenses to carry a firearm in public since they didn’t show any “special danger” and could only receive restricted licenses for only hunting and target practice. </w:t>
      </w:r>
      <w:hyperlink r:id="rId542" w:history="1">
        <w:r>
          <w:rPr>
            <w:rStyle w:val="Hyperlink"/>
            <w:sz w:val="24"/>
            <w:szCs w:val="24"/>
          </w:rPr>
          <w:t>https://www.supremecourt.gov/opinions/21pdf/20-843_7j80.pdf</w:t>
        </w:r>
      </w:hyperlink>
      <w:r>
        <w:rPr>
          <w:rFonts w:ascii="Times New Roman" w:hAnsi="Times New Roman"/>
          <w:sz w:val="24"/>
          <w:szCs w:val="24"/>
        </w:rPr>
        <w:t xml:space="preserve"> </w:t>
      </w:r>
    </w:p>
    <w:p w14:paraId="24BF93C5" w14:textId="77777777" w:rsidR="009A0402" w:rsidRDefault="009A0402" w:rsidP="009A0402">
      <w:pPr>
        <w:spacing w:before="100" w:beforeAutospacing="1" w:after="100" w:afterAutospacing="1" w:line="240" w:lineRule="auto"/>
        <w:rPr>
          <w:rFonts w:eastAsia="Times New Roman"/>
          <w:b/>
          <w:bCs/>
        </w:rPr>
      </w:pPr>
      <w:r>
        <w:rPr>
          <w:rFonts w:ascii="Times New Roman" w:eastAsia="Times New Roman" w:hAnsi="Times New Roman"/>
          <w:b/>
          <w:bCs/>
          <w:sz w:val="24"/>
          <w:szCs w:val="24"/>
        </w:rPr>
        <w:t xml:space="preserve">Legal Lesson Learned:  Fire &amp; EMS Department can post signs and issue policies prohibiting any firearms in their buildings, or apparatus, including by emergency responders. </w:t>
      </w:r>
    </w:p>
    <w:p w14:paraId="6494AA3B" w14:textId="77777777" w:rsidR="009A0402" w:rsidRDefault="009A0402" w:rsidP="009A0402">
      <w:pPr>
        <w:pStyle w:val="Heading1"/>
        <w:ind w:left="720"/>
        <w:rPr>
          <w:b w:val="0"/>
          <w:bCs w:val="0"/>
          <w:sz w:val="24"/>
          <w:szCs w:val="24"/>
        </w:rPr>
      </w:pPr>
      <w:r>
        <w:rPr>
          <w:b w:val="0"/>
          <w:bCs w:val="0"/>
          <w:sz w:val="24"/>
          <w:szCs w:val="24"/>
        </w:rPr>
        <w:t xml:space="preserve">Note this article: “What the Supreme Court’s Gun Ruling Means for New York” (June 24, 2022); </w:t>
      </w:r>
      <w:hyperlink r:id="rId543" w:history="1">
        <w:r>
          <w:rPr>
            <w:rStyle w:val="Hyperlink"/>
            <w:sz w:val="24"/>
            <w:szCs w:val="24"/>
          </w:rPr>
          <w:t>https://www.newyorker.com/news/our-local-correspondents/what-the-supreme-courts-gun-ruling-means-for-new-york</w:t>
        </w:r>
      </w:hyperlink>
      <w:r>
        <w:rPr>
          <w:b w:val="0"/>
          <w:bCs w:val="0"/>
          <w:sz w:val="24"/>
          <w:szCs w:val="24"/>
        </w:rPr>
        <w:t xml:space="preserve"> .  Within minutes of the ruling’s release, Governor Kathy Hochul, who called the ruling “shocking” and “frightful in its scope,” announced that she would call a special session of the state legislature, likely in the next few weeks, to respond. Just a few days ago, Hochul signed a package of new gun-control laws—including raising the minimum age for buying an AR-15-type rifle from eighteen to twenty-one—in response to the </w:t>
      </w:r>
      <w:hyperlink r:id="rId544" w:history="1">
        <w:r>
          <w:rPr>
            <w:rStyle w:val="Hyperlink"/>
            <w:sz w:val="24"/>
            <w:szCs w:val="24"/>
          </w:rPr>
          <w:t>racist mass shooting in Buffalo</w:t>
        </w:r>
      </w:hyperlink>
      <w:r>
        <w:rPr>
          <w:b w:val="0"/>
          <w:bCs w:val="0"/>
          <w:sz w:val="24"/>
          <w:szCs w:val="24"/>
        </w:rPr>
        <w:t xml:space="preserve">. New York has been one of the few states able to pass robust gun-control measures in response to mass shootings in recent years, and now its lawmakers will be tasked with coming up with a replacement for the Sullivan Act. This will likely include declaring public spaces such as schools and hospitals “sensitive spaces” where guns are barred, even for those with permits. Much of the focus in the debate will surely be on New York City, which saw a spike in shootings last year, and where arguments about crime and violence have lately been dominating the city’s interior monologue. When asked, on Thursday, whether New York City’s subways would qualify as ‘sensitive spaces,’ Hochul replied, ‘In my opinion, they </w:t>
      </w:r>
      <w:proofErr w:type="gramStart"/>
      <w:r>
        <w:rPr>
          <w:b w:val="0"/>
          <w:bCs w:val="0"/>
          <w:sz w:val="24"/>
          <w:szCs w:val="24"/>
        </w:rPr>
        <w:t>are.’”</w:t>
      </w:r>
      <w:proofErr w:type="gramEnd"/>
    </w:p>
    <w:p w14:paraId="593D3B51" w14:textId="77777777" w:rsidR="009A0402" w:rsidRDefault="009A0402" w:rsidP="00EF1133">
      <w:pPr>
        <w:pStyle w:val="NoSpacing"/>
        <w:rPr>
          <w:rFonts w:ascii="Arial Black" w:hAnsi="Arial Black"/>
          <w:sz w:val="24"/>
          <w:szCs w:val="24"/>
        </w:rPr>
      </w:pPr>
    </w:p>
    <w:p w14:paraId="150D93B0" w14:textId="77777777" w:rsidR="009A0402" w:rsidRDefault="009A0402" w:rsidP="00EF1133">
      <w:pPr>
        <w:pStyle w:val="NoSpacing"/>
        <w:rPr>
          <w:rFonts w:ascii="Arial Black" w:hAnsi="Arial Black"/>
          <w:sz w:val="24"/>
          <w:szCs w:val="24"/>
        </w:rPr>
      </w:pPr>
    </w:p>
    <w:p w14:paraId="16C65A2A" w14:textId="14AEE82C" w:rsidR="00E97D63" w:rsidRDefault="003F4E70" w:rsidP="00EF1133">
      <w:pPr>
        <w:pStyle w:val="NoSpacing"/>
        <w:rPr>
          <w:rFonts w:ascii="Arial Black" w:hAnsi="Arial Black"/>
          <w:sz w:val="24"/>
          <w:szCs w:val="24"/>
        </w:rPr>
      </w:pPr>
      <w:r>
        <w:rPr>
          <w:rFonts w:ascii="Arial Black" w:hAnsi="Arial Black"/>
          <w:sz w:val="24"/>
          <w:szCs w:val="24"/>
        </w:rPr>
        <w:t>2-43</w:t>
      </w:r>
    </w:p>
    <w:p w14:paraId="051F219D" w14:textId="77777777" w:rsidR="003F4E70" w:rsidRPr="00CD3B6F" w:rsidRDefault="003F4E70" w:rsidP="003F4E70">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IN: FF DIED CANCER – 4 DAYS PRIOR HE MARRIED FEMALE FF – $1.6M PENSION - SON LOSES ATTEMPT TO ANNUL </w:t>
      </w:r>
    </w:p>
    <w:p w14:paraId="77544263" w14:textId="16594154" w:rsidR="003F4E70" w:rsidRDefault="003F4E70" w:rsidP="003F4E70">
      <w:pPr>
        <w:pStyle w:val="NoSpacing"/>
        <w:rPr>
          <w:rFonts w:ascii="Arial Black" w:hAnsi="Arial Black"/>
          <w:sz w:val="24"/>
          <w:szCs w:val="24"/>
        </w:rPr>
      </w:pPr>
      <w:r>
        <w:rPr>
          <w:rFonts w:ascii="Times New Roman" w:hAnsi="Times New Roman"/>
          <w:sz w:val="24"/>
          <w:szCs w:val="24"/>
        </w:rPr>
        <w:t xml:space="preserve">On April 18, 2002, in </w:t>
      </w:r>
      <w:r w:rsidRPr="000C6632">
        <w:rPr>
          <w:rFonts w:ascii="Times New Roman" w:hAnsi="Times New Roman"/>
          <w:sz w:val="24"/>
          <w:szCs w:val="24"/>
          <w:u w:val="single"/>
        </w:rPr>
        <w:t>The Estate of Michael David Estridge, Sr. v. Lana Ann Taylor</w:t>
      </w:r>
      <w:r>
        <w:rPr>
          <w:rFonts w:ascii="Times New Roman" w:hAnsi="Times New Roman"/>
          <w:sz w:val="24"/>
          <w:szCs w:val="24"/>
        </w:rPr>
        <w:t>, the Court of Appeals of Indiana held (3 to 0) that the trial court judge, after a two-</w:t>
      </w:r>
      <w:proofErr w:type="gramStart"/>
      <w:r>
        <w:rPr>
          <w:rFonts w:ascii="Times New Roman" w:hAnsi="Times New Roman"/>
          <w:sz w:val="24"/>
          <w:szCs w:val="24"/>
        </w:rPr>
        <w:t>day bench</w:t>
      </w:r>
      <w:proofErr w:type="gramEnd"/>
      <w:r>
        <w:rPr>
          <w:rFonts w:ascii="Times New Roman" w:hAnsi="Times New Roman"/>
          <w:sz w:val="24"/>
          <w:szCs w:val="24"/>
        </w:rPr>
        <w:t xml:space="preserve"> trial, properly denied the petition to annul the marriage. </w:t>
      </w:r>
      <w:r w:rsidRPr="00642716">
        <w:rPr>
          <w:rFonts w:ascii="Times New Roman" w:eastAsia="Times New Roman" w:hAnsi="Times New Roman"/>
          <w:sz w:val="24"/>
          <w:szCs w:val="24"/>
        </w:rPr>
        <w:t xml:space="preserve">Estridge and Taylor, both firefighters and EMT/paramedics, first met in 2011 while employed at the same fire station. Estridge was diagnosed with cancer in 2015, and Taylor was informed of this diagnosis together with other co-workers and mutual friends. In the fall of 2016, Estridge and Taylor started dating and near the end of that year, Estridge first broached the subject of marriage. In the beginning of 2017, the relationship became sexual and toward the end of the year, Estridge proposed to </w:t>
      </w:r>
      <w:proofErr w:type="gramStart"/>
      <w:r w:rsidRPr="00642716">
        <w:rPr>
          <w:rFonts w:ascii="Times New Roman" w:eastAsia="Times New Roman" w:hAnsi="Times New Roman"/>
          <w:sz w:val="24"/>
          <w:szCs w:val="24"/>
        </w:rPr>
        <w:t>Taylor</w:t>
      </w:r>
      <w:proofErr w:type="gramEnd"/>
      <w:r w:rsidRPr="00642716">
        <w:rPr>
          <w:rFonts w:ascii="Times New Roman" w:eastAsia="Times New Roman" w:hAnsi="Times New Roman"/>
          <w:sz w:val="24"/>
          <w:szCs w:val="24"/>
        </w:rPr>
        <w:t xml:space="preserve"> but she was hesitant to </w:t>
      </w:r>
      <w:r w:rsidRPr="00642716">
        <w:rPr>
          <w:rFonts w:ascii="Times New Roman" w:eastAsia="Times New Roman" w:hAnsi="Times New Roman"/>
          <w:sz w:val="24"/>
          <w:szCs w:val="24"/>
        </w:rPr>
        <w:lastRenderedPageBreak/>
        <w:t>commit. After another marriage proposal in early 2018, Taylor agreed and accepted Estridge's ring.</w:t>
      </w:r>
      <w:r>
        <w:rPr>
          <w:rFonts w:ascii="Times New Roman" w:eastAsia="Times New Roman" w:hAnsi="Times New Roman"/>
          <w:sz w:val="24"/>
          <w:szCs w:val="24"/>
        </w:rPr>
        <w:t xml:space="preserve"> </w:t>
      </w:r>
      <w:r>
        <w:rPr>
          <w:rFonts w:ascii="Times New Roman" w:hAnsi="Times New Roman"/>
          <w:sz w:val="24"/>
          <w:szCs w:val="24"/>
        </w:rPr>
        <w:t xml:space="preserve">They were married on May 2, </w:t>
      </w:r>
      <w:proofErr w:type="gramStart"/>
      <w:r>
        <w:rPr>
          <w:rFonts w:ascii="Times New Roman" w:hAnsi="Times New Roman"/>
          <w:sz w:val="24"/>
          <w:szCs w:val="24"/>
        </w:rPr>
        <w:t>2019</w:t>
      </w:r>
      <w:proofErr w:type="gramEnd"/>
      <w:r>
        <w:rPr>
          <w:rFonts w:ascii="Times New Roman" w:hAnsi="Times New Roman"/>
          <w:sz w:val="24"/>
          <w:szCs w:val="24"/>
        </w:rPr>
        <w:t xml:space="preserve"> in a courthouse, videotaped with fellow firefighters attending, without informing the firefighter’s children because they might object (36-year-age difference), and he died four days </w:t>
      </w:r>
      <w:proofErr w:type="gramStart"/>
      <w:r>
        <w:rPr>
          <w:rFonts w:ascii="Times New Roman" w:hAnsi="Times New Roman"/>
          <w:sz w:val="24"/>
          <w:szCs w:val="24"/>
        </w:rPr>
        <w:t>later on</w:t>
      </w:r>
      <w:proofErr w:type="gramEnd"/>
      <w:r>
        <w:rPr>
          <w:rFonts w:ascii="Times New Roman" w:hAnsi="Times New Roman"/>
          <w:sz w:val="24"/>
          <w:szCs w:val="24"/>
        </w:rPr>
        <w:t xml:space="preserve"> May 6, 2019.  The trial judge noted that </w:t>
      </w:r>
      <w:r w:rsidRPr="004518B5">
        <w:rPr>
          <w:rFonts w:ascii="Times New Roman" w:eastAsia="Times New Roman" w:hAnsi="Times New Roman"/>
          <w:sz w:val="24"/>
          <w:szCs w:val="24"/>
        </w:rPr>
        <w:t xml:space="preserve">Estridge had always intended Taylor to have his firefighter's pension, because, if he died unmarried, it would go </w:t>
      </w:r>
      <w:r>
        <w:rPr>
          <w:rFonts w:ascii="Times New Roman" w:eastAsia="Times New Roman" w:hAnsi="Times New Roman"/>
          <w:sz w:val="24"/>
          <w:szCs w:val="24"/>
        </w:rPr>
        <w:t>‘</w:t>
      </w:r>
      <w:r w:rsidRPr="004518B5">
        <w:rPr>
          <w:rFonts w:ascii="Times New Roman" w:eastAsia="Times New Roman" w:hAnsi="Times New Roman"/>
          <w:sz w:val="24"/>
          <w:szCs w:val="24"/>
        </w:rPr>
        <w:t>back into the till</w:t>
      </w:r>
      <w:r>
        <w:rPr>
          <w:rFonts w:ascii="Times New Roman" w:eastAsia="Times New Roman" w:hAnsi="Times New Roman"/>
          <w:sz w:val="24"/>
          <w:szCs w:val="24"/>
        </w:rPr>
        <w:t>’</w:t>
      </w:r>
      <w:r w:rsidRPr="004518B5">
        <w:rPr>
          <w:rFonts w:ascii="Times New Roman" w:eastAsia="Times New Roman" w:hAnsi="Times New Roman"/>
          <w:sz w:val="24"/>
          <w:szCs w:val="24"/>
        </w:rPr>
        <w:t xml:space="preserve"> and he </w:t>
      </w:r>
      <w:r>
        <w:rPr>
          <w:rFonts w:ascii="Times New Roman" w:eastAsia="Times New Roman" w:hAnsi="Times New Roman"/>
          <w:sz w:val="24"/>
          <w:szCs w:val="24"/>
        </w:rPr>
        <w:t>‘</w:t>
      </w:r>
      <w:r w:rsidRPr="004518B5">
        <w:rPr>
          <w:rFonts w:ascii="Times New Roman" w:eastAsia="Times New Roman" w:hAnsi="Times New Roman"/>
          <w:sz w:val="24"/>
          <w:szCs w:val="24"/>
        </w:rPr>
        <w:t>didn't want to work that long for nothing[, ]</w:t>
      </w:r>
      <w:r>
        <w:rPr>
          <w:rFonts w:ascii="Times New Roman" w:eastAsia="Times New Roman" w:hAnsi="Times New Roman"/>
          <w:sz w:val="24"/>
          <w:szCs w:val="24"/>
        </w:rPr>
        <w:t>’</w:t>
      </w:r>
      <w:r w:rsidRPr="004518B5">
        <w:rPr>
          <w:rFonts w:ascii="Times New Roman" w:eastAsia="Times New Roman" w:hAnsi="Times New Roman"/>
          <w:sz w:val="24"/>
          <w:szCs w:val="24"/>
        </w:rPr>
        <w:t xml:space="preserve"> so Estridge also signed a pension benefits beneficiary designation, listing Taylor as his spousal beneficiary. (Transcript Vol. II, p. 234). </w:t>
      </w:r>
      <w:r>
        <w:rPr>
          <w:rFonts w:ascii="Times New Roman" w:eastAsia="Times New Roman" w:hAnsi="Times New Roman"/>
          <w:sz w:val="24"/>
          <w:szCs w:val="24"/>
        </w:rPr>
        <w:t xml:space="preserve"> </w:t>
      </w:r>
      <w:r>
        <w:rPr>
          <w:rFonts w:ascii="Times New Roman" w:hAnsi="Times New Roman"/>
          <w:sz w:val="24"/>
          <w:szCs w:val="24"/>
        </w:rPr>
        <w:t xml:space="preserve">She will now receive $2,711.34 per month, or approximately $1,6 million over her lifetime.  </w:t>
      </w:r>
      <w:r w:rsidRPr="00642716">
        <w:rPr>
          <w:rFonts w:ascii="Times New Roman" w:hAnsi="Times New Roman"/>
          <w:sz w:val="24"/>
          <w:szCs w:val="24"/>
        </w:rPr>
        <w:t xml:space="preserve">In the absence of </w:t>
      </w:r>
      <w:proofErr w:type="gramStart"/>
      <w:r w:rsidRPr="00642716">
        <w:rPr>
          <w:rFonts w:ascii="Times New Roman" w:hAnsi="Times New Roman"/>
          <w:sz w:val="24"/>
          <w:szCs w:val="24"/>
        </w:rPr>
        <w:t>the marriage</w:t>
      </w:r>
      <w:proofErr w:type="gramEnd"/>
      <w:r w:rsidRPr="00642716">
        <w:rPr>
          <w:rFonts w:ascii="Times New Roman" w:hAnsi="Times New Roman"/>
          <w:sz w:val="24"/>
          <w:szCs w:val="24"/>
        </w:rPr>
        <w:t xml:space="preserve">, Estridge's estate would have received </w:t>
      </w:r>
      <w:r>
        <w:rPr>
          <w:rFonts w:ascii="Times New Roman" w:hAnsi="Times New Roman"/>
          <w:sz w:val="24"/>
          <w:szCs w:val="24"/>
        </w:rPr>
        <w:t xml:space="preserve">only </w:t>
      </w:r>
      <w:r w:rsidRPr="00642716">
        <w:rPr>
          <w:rFonts w:ascii="Times New Roman" w:hAnsi="Times New Roman"/>
          <w:sz w:val="24"/>
          <w:szCs w:val="24"/>
        </w:rPr>
        <w:t>the value of his contributions to the pension plan, which would have amounted to approximately $170, 000.</w:t>
      </w:r>
      <w:r>
        <w:rPr>
          <w:rFonts w:ascii="Times New Roman" w:hAnsi="Times New Roman"/>
          <w:sz w:val="24"/>
          <w:szCs w:val="24"/>
        </w:rPr>
        <w:t xml:space="preserve"> </w:t>
      </w:r>
      <w:hyperlink r:id="rId545" w:history="1">
        <w:r w:rsidRPr="00E9684A">
          <w:rPr>
            <w:rStyle w:val="Hyperlink"/>
            <w:rFonts w:ascii="Times New Roman" w:hAnsi="Times New Roman"/>
            <w:sz w:val="24"/>
            <w:szCs w:val="24"/>
          </w:rPr>
          <w:t>https://law.justia.com/cases/indiana/court-of-appeals/2022/21a-dn-01379.html</w:t>
        </w:r>
      </w:hyperlink>
    </w:p>
    <w:p w14:paraId="72A61B46" w14:textId="0C4836C1" w:rsidR="003F4E70" w:rsidRDefault="003F4E70" w:rsidP="00EF1133">
      <w:pPr>
        <w:pStyle w:val="NoSpacing"/>
        <w:rPr>
          <w:rFonts w:ascii="Arial Black" w:hAnsi="Arial Black"/>
          <w:sz w:val="24"/>
          <w:szCs w:val="24"/>
        </w:rPr>
      </w:pPr>
    </w:p>
    <w:p w14:paraId="572E2EDF" w14:textId="77777777" w:rsidR="003F4E70" w:rsidRDefault="003F4E70" w:rsidP="003F4E70">
      <w:pPr>
        <w:spacing w:after="100" w:line="240" w:lineRule="auto"/>
        <w:rPr>
          <w:rFonts w:ascii="Times New Roman" w:hAnsi="Times New Roman"/>
          <w:b/>
          <w:bCs/>
          <w:sz w:val="24"/>
          <w:szCs w:val="24"/>
        </w:rPr>
      </w:pPr>
      <w:r w:rsidRPr="00642716">
        <w:rPr>
          <w:rFonts w:ascii="Times New Roman" w:hAnsi="Times New Roman"/>
          <w:b/>
          <w:bCs/>
          <w:sz w:val="24"/>
          <w:szCs w:val="24"/>
        </w:rPr>
        <w:t>Legal Lesson Learned:</w:t>
      </w:r>
      <w:r>
        <w:rPr>
          <w:rFonts w:ascii="Times New Roman" w:hAnsi="Times New Roman"/>
          <w:b/>
          <w:bCs/>
          <w:sz w:val="24"/>
          <w:szCs w:val="24"/>
        </w:rPr>
        <w:t xml:space="preserve"> They wisely videotaped the wedding. </w:t>
      </w:r>
    </w:p>
    <w:p w14:paraId="0A7F5EC1" w14:textId="5362BF12" w:rsidR="003F4E70" w:rsidRDefault="003F4E70" w:rsidP="00EF1133">
      <w:pPr>
        <w:pStyle w:val="NoSpacing"/>
        <w:rPr>
          <w:rFonts w:ascii="Arial Black" w:hAnsi="Arial Black"/>
          <w:sz w:val="24"/>
          <w:szCs w:val="24"/>
        </w:rPr>
      </w:pPr>
    </w:p>
    <w:p w14:paraId="0E48EEC8" w14:textId="71FECDE8" w:rsidR="003F4E70" w:rsidRDefault="003F4E70" w:rsidP="00EF1133">
      <w:pPr>
        <w:pStyle w:val="NoSpacing"/>
        <w:rPr>
          <w:rFonts w:ascii="Arial Black" w:hAnsi="Arial Black"/>
          <w:sz w:val="24"/>
          <w:szCs w:val="24"/>
        </w:rPr>
      </w:pPr>
    </w:p>
    <w:p w14:paraId="3A1777CC" w14:textId="42708B8B" w:rsidR="00E97D63" w:rsidRDefault="00E97D63" w:rsidP="00EF1133">
      <w:pPr>
        <w:pStyle w:val="NoSpacing"/>
        <w:rPr>
          <w:rFonts w:ascii="Arial Black" w:hAnsi="Arial Black"/>
          <w:sz w:val="24"/>
          <w:szCs w:val="24"/>
        </w:rPr>
      </w:pPr>
      <w:r>
        <w:rPr>
          <w:rFonts w:ascii="Arial Black" w:hAnsi="Arial Black"/>
          <w:sz w:val="24"/>
          <w:szCs w:val="24"/>
        </w:rPr>
        <w:t>2-42</w:t>
      </w:r>
    </w:p>
    <w:p w14:paraId="529F3E56" w14:textId="77777777" w:rsidR="00E97D63" w:rsidRPr="00FF6BD3" w:rsidRDefault="00E97D63" w:rsidP="00E97D63">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NM: BORDER PATROL RECRUIT DIED – TIMED RUN  / WARM /  ALTITUDE – SICLE CELL - DEATH BENEFITS NEW REVIEW</w:t>
      </w:r>
    </w:p>
    <w:p w14:paraId="42275D75" w14:textId="77777777" w:rsidR="00E97D63" w:rsidRPr="00EE0394" w:rsidRDefault="00E97D63" w:rsidP="00E97D63">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sz w:val="24"/>
          <w:szCs w:val="24"/>
        </w:rPr>
        <w:t xml:space="preserve">On April 15, 2022, in </w:t>
      </w:r>
      <w:r w:rsidRPr="00EE0394">
        <w:rPr>
          <w:rFonts w:ascii="Times New Roman" w:eastAsia="Times New Roman" w:hAnsi="Times New Roman"/>
          <w:sz w:val="24"/>
          <w:szCs w:val="24"/>
          <w:u w:val="single"/>
        </w:rPr>
        <w:t>Lisa Afolayan, Widow of Nathaniel Afolayan v. U.S. Department of Justice</w:t>
      </w:r>
      <w:r>
        <w:rPr>
          <w:rFonts w:ascii="Times New Roman" w:eastAsia="Times New Roman" w:hAnsi="Times New Roman"/>
          <w:sz w:val="24"/>
          <w:szCs w:val="24"/>
        </w:rPr>
        <w:t xml:space="preserve">, the U.S. Court of Appeals for Federal Circuit (D.C.), held (3 to 0) that the denial of death benefits is vacated, and case remanded for further review.  The recruit died after a </w:t>
      </w:r>
      <w:r w:rsidRPr="00EE0394">
        <w:rPr>
          <w:rFonts w:ascii="Times New Roman" w:hAnsi="Times New Roman"/>
          <w:sz w:val="24"/>
          <w:szCs w:val="24"/>
        </w:rPr>
        <w:t xml:space="preserve">one-and-a-half mile run </w:t>
      </w:r>
      <w:r>
        <w:rPr>
          <w:rFonts w:ascii="Times New Roman" w:hAnsi="Times New Roman"/>
          <w:sz w:val="24"/>
          <w:szCs w:val="24"/>
        </w:rPr>
        <w:t xml:space="preserve">on April 30, 2019, </w:t>
      </w:r>
      <w:r w:rsidRPr="00EE0394">
        <w:rPr>
          <w:rFonts w:ascii="Times New Roman" w:hAnsi="Times New Roman"/>
          <w:sz w:val="24"/>
          <w:szCs w:val="24"/>
        </w:rPr>
        <w:t>to be completed in thirteen minutes or less</w:t>
      </w:r>
      <w:r>
        <w:rPr>
          <w:rFonts w:ascii="Times New Roman" w:hAnsi="Times New Roman"/>
          <w:sz w:val="24"/>
          <w:szCs w:val="24"/>
        </w:rPr>
        <w:t xml:space="preserve">; </w:t>
      </w:r>
      <w:r w:rsidRPr="00EE0394">
        <w:rPr>
          <w:rFonts w:ascii="Times New Roman" w:hAnsi="Times New Roman"/>
          <w:sz w:val="24"/>
          <w:szCs w:val="24"/>
        </w:rPr>
        <w:t>at approximately 3, 400 feet above sea level, with the temperature at approximately 88 degrees Fahrenheit and relative humidity between six and seven percent.</w:t>
      </w:r>
      <w:r>
        <w:rPr>
          <w:rFonts w:ascii="Times New Roman" w:hAnsi="Times New Roman"/>
          <w:sz w:val="24"/>
          <w:szCs w:val="24"/>
        </w:rPr>
        <w:t xml:space="preserve">  The death certificate listed “Heath Illness” as cause of death. </w:t>
      </w:r>
      <w:r>
        <w:rPr>
          <w:rFonts w:ascii="Times New Roman" w:eastAsia="Times New Roman" w:hAnsi="Times New Roman"/>
          <w:sz w:val="24"/>
          <w:szCs w:val="24"/>
        </w:rPr>
        <w:t xml:space="preserve">The Court found that the </w:t>
      </w:r>
      <w:proofErr w:type="spellStart"/>
      <w:r>
        <w:rPr>
          <w:rFonts w:ascii="Times New Roman" w:eastAsia="Times New Roman" w:hAnsi="Times New Roman"/>
          <w:sz w:val="24"/>
          <w:szCs w:val="24"/>
        </w:rPr>
        <w:t>DoJ</w:t>
      </w:r>
      <w:proofErr w:type="spellEnd"/>
      <w:r>
        <w:rPr>
          <w:rFonts w:ascii="Times New Roman" w:eastAsia="Times New Roman" w:hAnsi="Times New Roman"/>
          <w:sz w:val="24"/>
          <w:szCs w:val="24"/>
        </w:rPr>
        <w:t xml:space="preserve"> Bureau of Justice Assistance </w:t>
      </w:r>
      <w:r w:rsidRPr="00EE0394">
        <w:rPr>
          <w:rFonts w:ascii="Times New Roman" w:hAnsi="Times New Roman"/>
          <w:sz w:val="24"/>
          <w:szCs w:val="24"/>
        </w:rPr>
        <w:t xml:space="preserve">failed to determine whether the climatic conditions surrounding Agent Afolayan's death were a "direct and proximate cause" of his injuries, and if climatic conditions were a cause, whether Agent Afolayan's sickle cell trait could properly be considered in evaluating alternate causation. </w:t>
      </w:r>
      <w:hyperlink r:id="rId546" w:history="1">
        <w:r w:rsidRPr="00451CC8">
          <w:rPr>
            <w:rStyle w:val="Hyperlink"/>
            <w:rFonts w:ascii="Times New Roman" w:hAnsi="Times New Roman"/>
            <w:sz w:val="24"/>
            <w:szCs w:val="24"/>
          </w:rPr>
          <w:t>https://cafc.uscourts.gov/opinions-orders/21-1452.OPINION.4-15-2022_1936831.pdf</w:t>
        </w:r>
      </w:hyperlink>
      <w:r>
        <w:rPr>
          <w:rFonts w:ascii="Times New Roman" w:hAnsi="Times New Roman"/>
          <w:sz w:val="24"/>
          <w:szCs w:val="24"/>
        </w:rPr>
        <w:t xml:space="preserve"> </w:t>
      </w:r>
    </w:p>
    <w:p w14:paraId="05F98EEB" w14:textId="77777777" w:rsidR="003F4E70" w:rsidRPr="00CA3047" w:rsidRDefault="003F4E70" w:rsidP="003F4E70">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Climate conditions can qualify as a “direct and proximate cause” of death. </w:t>
      </w:r>
    </w:p>
    <w:p w14:paraId="6301AEE4" w14:textId="77777777" w:rsidR="00E97D63" w:rsidRDefault="00E97D63" w:rsidP="00EF1133">
      <w:pPr>
        <w:pStyle w:val="NoSpacing"/>
        <w:rPr>
          <w:rFonts w:ascii="Arial Black" w:hAnsi="Arial Black"/>
          <w:sz w:val="24"/>
          <w:szCs w:val="24"/>
        </w:rPr>
      </w:pPr>
    </w:p>
    <w:p w14:paraId="2500BFDD" w14:textId="77777777" w:rsidR="00E97D63" w:rsidRDefault="00E97D63" w:rsidP="00EF1133">
      <w:pPr>
        <w:pStyle w:val="NoSpacing"/>
        <w:rPr>
          <w:rFonts w:ascii="Arial Black" w:hAnsi="Arial Black"/>
          <w:sz w:val="24"/>
          <w:szCs w:val="24"/>
        </w:rPr>
      </w:pPr>
    </w:p>
    <w:p w14:paraId="66EEC629" w14:textId="77777777" w:rsidR="00E97D63" w:rsidRDefault="00E97D63" w:rsidP="00EF1133">
      <w:pPr>
        <w:pStyle w:val="NoSpacing"/>
        <w:rPr>
          <w:rFonts w:ascii="Arial Black" w:hAnsi="Arial Black"/>
          <w:sz w:val="24"/>
          <w:szCs w:val="24"/>
        </w:rPr>
      </w:pPr>
    </w:p>
    <w:p w14:paraId="645A88D2" w14:textId="28CD4C24" w:rsidR="00A20CA7" w:rsidRDefault="00A20CA7" w:rsidP="00EF1133">
      <w:pPr>
        <w:pStyle w:val="NoSpacing"/>
        <w:rPr>
          <w:rFonts w:ascii="Arial Black" w:hAnsi="Arial Black"/>
          <w:sz w:val="24"/>
          <w:szCs w:val="24"/>
        </w:rPr>
      </w:pPr>
      <w:r>
        <w:rPr>
          <w:rFonts w:ascii="Arial Black" w:hAnsi="Arial Black"/>
          <w:sz w:val="24"/>
          <w:szCs w:val="24"/>
        </w:rPr>
        <w:t>2-4</w:t>
      </w:r>
      <w:r w:rsidR="00680939">
        <w:rPr>
          <w:rFonts w:ascii="Arial Black" w:hAnsi="Arial Black"/>
          <w:sz w:val="24"/>
          <w:szCs w:val="24"/>
        </w:rPr>
        <w:t>1</w:t>
      </w:r>
    </w:p>
    <w:p w14:paraId="2594A18E" w14:textId="77777777" w:rsidR="00A20CA7" w:rsidRPr="00D42366" w:rsidRDefault="00A20CA7" w:rsidP="00A20CA7">
      <w:pPr>
        <w:spacing w:before="100" w:beforeAutospacing="1" w:after="100" w:afterAutospacing="1" w:line="240" w:lineRule="auto"/>
        <w:jc w:val="both"/>
        <w:rPr>
          <w:rFonts w:ascii="Arial Black" w:eastAsia="Times New Roman" w:hAnsi="Arial Black"/>
          <w:sz w:val="28"/>
          <w:szCs w:val="28"/>
        </w:rPr>
      </w:pPr>
      <w:r>
        <w:rPr>
          <w:rFonts w:ascii="Arial Black" w:eastAsia="Times New Roman" w:hAnsi="Arial Black"/>
          <w:b/>
          <w:bCs/>
          <w:sz w:val="28"/>
          <w:szCs w:val="28"/>
        </w:rPr>
        <w:t xml:space="preserve">LA: FF BLADDER CANCER – CLAIMS EXPOSURE AFFF FOAM - 2,000 CASES (50% FF) </w:t>
      </w:r>
      <w:r>
        <w:rPr>
          <w:rFonts w:ascii="Arial Black" w:eastAsia="Times New Roman" w:hAnsi="Arial Black"/>
          <w:sz w:val="28"/>
          <w:szCs w:val="28"/>
        </w:rPr>
        <w:t xml:space="preserve">WTH FED. JUDGE IN </w:t>
      </w:r>
      <w:r w:rsidRPr="00D42366">
        <w:rPr>
          <w:rFonts w:ascii="Arial Black" w:eastAsia="Times New Roman" w:hAnsi="Arial Black"/>
          <w:sz w:val="28"/>
          <w:szCs w:val="28"/>
        </w:rPr>
        <w:t>SOUTH CAROLINA</w:t>
      </w:r>
    </w:p>
    <w:p w14:paraId="28782E4A" w14:textId="490503B1" w:rsidR="00A20CA7" w:rsidRDefault="00A20CA7" w:rsidP="00A20CA7">
      <w:pPr>
        <w:pStyle w:val="NoSpacing"/>
        <w:rPr>
          <w:rStyle w:val="Hyperlink"/>
          <w:rFonts w:ascii="Times New Roman" w:hAnsi="Times New Roman"/>
          <w:sz w:val="24"/>
          <w:szCs w:val="24"/>
        </w:rPr>
      </w:pPr>
      <w:r w:rsidRPr="00D42366">
        <w:rPr>
          <w:rFonts w:ascii="Times New Roman" w:eastAsia="Times New Roman" w:hAnsi="Times New Roman"/>
          <w:sz w:val="24"/>
          <w:szCs w:val="24"/>
        </w:rPr>
        <w:t xml:space="preserve">On </w:t>
      </w:r>
      <w:r>
        <w:rPr>
          <w:rFonts w:ascii="Times New Roman" w:eastAsia="Times New Roman" w:hAnsi="Times New Roman"/>
          <w:sz w:val="24"/>
          <w:szCs w:val="24"/>
        </w:rPr>
        <w:t xml:space="preserve">Jan. 27, 2022, in </w:t>
      </w:r>
      <w:r w:rsidRPr="00D42366">
        <w:rPr>
          <w:rFonts w:ascii="Times New Roman" w:eastAsia="Times New Roman" w:hAnsi="Times New Roman"/>
          <w:sz w:val="24"/>
          <w:szCs w:val="24"/>
          <w:u w:val="single"/>
        </w:rPr>
        <w:t xml:space="preserve">David G. Tibbetts v. 3M Company, </w:t>
      </w:r>
      <w:r w:rsidRPr="00AE059C">
        <w:rPr>
          <w:rFonts w:ascii="Times New Roman" w:hAnsi="Times New Roman"/>
          <w:sz w:val="24"/>
          <w:szCs w:val="24"/>
        </w:rPr>
        <w:t xml:space="preserve">Tyco Fire Products LP and </w:t>
      </w:r>
      <w:proofErr w:type="spellStart"/>
      <w:r w:rsidRPr="00AE059C">
        <w:rPr>
          <w:rFonts w:ascii="Times New Roman" w:hAnsi="Times New Roman"/>
          <w:sz w:val="24"/>
          <w:szCs w:val="24"/>
        </w:rPr>
        <w:t>Chemguard</w:t>
      </w:r>
      <w:proofErr w:type="spellEnd"/>
      <w:r w:rsidRPr="00AE059C">
        <w:rPr>
          <w:rFonts w:ascii="Times New Roman" w:hAnsi="Times New Roman"/>
          <w:sz w:val="24"/>
          <w:szCs w:val="24"/>
        </w:rPr>
        <w:t>, Inc</w:t>
      </w:r>
      <w:r>
        <w:t xml:space="preserve">., </w:t>
      </w:r>
      <w:r>
        <w:rPr>
          <w:rFonts w:ascii="Times New Roman" w:eastAsia="Times New Roman" w:hAnsi="Times New Roman"/>
          <w:sz w:val="24"/>
          <w:szCs w:val="24"/>
        </w:rPr>
        <w:t xml:space="preserve">Chief U.S. District Court Judge Nannette Brown, U.S. District Court, Eastern District of Louisiana, granted defense motion to stay all discovery in this case so the Judicial Panel on </w:t>
      </w:r>
      <w:r w:rsidRPr="00AE059C">
        <w:rPr>
          <w:rFonts w:ascii="Times New Roman" w:eastAsia="Times New Roman" w:hAnsi="Times New Roman"/>
          <w:sz w:val="24"/>
          <w:szCs w:val="24"/>
        </w:rPr>
        <w:t xml:space="preserve">Multidistrict Litigation </w:t>
      </w:r>
      <w:r w:rsidRPr="00AE059C">
        <w:rPr>
          <w:rFonts w:ascii="Times New Roman" w:hAnsi="Times New Roman"/>
          <w:sz w:val="24"/>
          <w:szCs w:val="24"/>
        </w:rPr>
        <w:t xml:space="preserve">can decide </w:t>
      </w:r>
      <w:r>
        <w:rPr>
          <w:rFonts w:ascii="Times New Roman" w:hAnsi="Times New Roman"/>
          <w:sz w:val="24"/>
          <w:szCs w:val="24"/>
        </w:rPr>
        <w:t xml:space="preserve">to transfer it to </w:t>
      </w:r>
      <w:r w:rsidRPr="00843A24">
        <w:rPr>
          <w:rFonts w:ascii="Times New Roman" w:hAnsi="Times New Roman"/>
          <w:sz w:val="24"/>
          <w:szCs w:val="24"/>
        </w:rPr>
        <w:t>Judge Richard M. Gergel</w:t>
      </w:r>
      <w:r>
        <w:rPr>
          <w:rFonts w:ascii="Times New Roman" w:hAnsi="Times New Roman"/>
          <w:sz w:val="24"/>
          <w:szCs w:val="24"/>
        </w:rPr>
        <w:t xml:space="preserve">, </w:t>
      </w:r>
      <w:r w:rsidRPr="00843A24">
        <w:rPr>
          <w:rFonts w:ascii="Times New Roman" w:hAnsi="Times New Roman"/>
          <w:sz w:val="24"/>
          <w:szCs w:val="24"/>
        </w:rPr>
        <w:t>U</w:t>
      </w:r>
      <w:r>
        <w:rPr>
          <w:rFonts w:ascii="Times New Roman" w:hAnsi="Times New Roman"/>
          <w:sz w:val="24"/>
          <w:szCs w:val="24"/>
        </w:rPr>
        <w:t xml:space="preserve">.S. District Court in South Carolina, who has been presiding over similar cases since 2018 (now over 2,000 lawsuits, with more than half are firefighters with cancer).   </w:t>
      </w:r>
      <w:hyperlink r:id="rId547" w:history="1">
        <w:r w:rsidRPr="00AC2C12">
          <w:rPr>
            <w:rStyle w:val="Hyperlink"/>
            <w:rFonts w:ascii="Times New Roman" w:hAnsi="Times New Roman"/>
            <w:sz w:val="24"/>
            <w:szCs w:val="24"/>
          </w:rPr>
          <w:t>https://public.fastcase.com/9SKwsfNqTc6OieYDhNMyM9xc2pxP%2FDu9FaHS39uIywoNWZfMpeo5x%2FagXmZgtb6udFSKN2SMusDFZQbDcDfWSogmOURw4QaQEmhtdPNd1MI%3D</w:t>
        </w:r>
      </w:hyperlink>
    </w:p>
    <w:p w14:paraId="606B738B" w14:textId="153C77F6" w:rsidR="00A20CA7" w:rsidRDefault="00A20CA7" w:rsidP="00A20CA7">
      <w:pPr>
        <w:pStyle w:val="NoSpacing"/>
        <w:rPr>
          <w:rStyle w:val="Hyperlink"/>
          <w:rFonts w:ascii="Times New Roman" w:hAnsi="Times New Roman"/>
          <w:sz w:val="24"/>
          <w:szCs w:val="24"/>
        </w:rPr>
      </w:pPr>
    </w:p>
    <w:p w14:paraId="71B7A591" w14:textId="6A9810B9" w:rsidR="00A20CA7" w:rsidRDefault="00A20CA7" w:rsidP="00A20CA7">
      <w:pPr>
        <w:spacing w:before="100" w:beforeAutospacing="1" w:after="100" w:afterAutospacing="1" w:line="240" w:lineRule="auto"/>
        <w:rPr>
          <w:rFonts w:ascii="Times New Roman" w:hAnsi="Times New Roman"/>
          <w:b/>
          <w:bCs/>
          <w:sz w:val="24"/>
          <w:szCs w:val="24"/>
        </w:rPr>
      </w:pPr>
      <w:r w:rsidRPr="00843A24">
        <w:rPr>
          <w:rFonts w:ascii="Times New Roman" w:hAnsi="Times New Roman"/>
          <w:b/>
          <w:bCs/>
          <w:sz w:val="24"/>
          <w:szCs w:val="24"/>
        </w:rPr>
        <w:lastRenderedPageBreak/>
        <w:t xml:space="preserve">Legal Lesson Learned: </w:t>
      </w:r>
      <w:r>
        <w:rPr>
          <w:rFonts w:ascii="Times New Roman" w:hAnsi="Times New Roman"/>
          <w:b/>
          <w:bCs/>
          <w:sz w:val="24"/>
          <w:szCs w:val="24"/>
        </w:rPr>
        <w:t xml:space="preserve">AFFF should not be used at your FD. </w:t>
      </w:r>
    </w:p>
    <w:p w14:paraId="66C66DD5" w14:textId="65708268" w:rsidR="00680939" w:rsidRDefault="00680939" w:rsidP="00A20CA7">
      <w:pPr>
        <w:spacing w:before="100" w:beforeAutospacing="1" w:after="100" w:afterAutospacing="1" w:line="240" w:lineRule="auto"/>
        <w:rPr>
          <w:rFonts w:ascii="Times New Roman" w:hAnsi="Times New Roman"/>
          <w:b/>
          <w:bCs/>
          <w:sz w:val="24"/>
          <w:szCs w:val="24"/>
        </w:rPr>
      </w:pPr>
    </w:p>
    <w:p w14:paraId="2847BD8E" w14:textId="7C82A379" w:rsidR="00680939" w:rsidRDefault="00680939" w:rsidP="00A20CA7">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2-40 [also filed Chap. 17]</w:t>
      </w:r>
    </w:p>
    <w:p w14:paraId="4B7019A4" w14:textId="77777777" w:rsidR="00680939" w:rsidRPr="000007E3" w:rsidRDefault="00680939" w:rsidP="00680939">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NY: CBA – 5 FF MINIMUM MANNING – CHIEF CANNOT UNILATERALLY CHANGE – ARBITRATION TO PROCEED</w:t>
      </w:r>
    </w:p>
    <w:p w14:paraId="26948AA9" w14:textId="77777777" w:rsidR="00680939" w:rsidRDefault="00680939" w:rsidP="00680939">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Jan. 13, 2022, </w:t>
      </w:r>
      <w:r w:rsidRPr="00DA4E6C">
        <w:rPr>
          <w:rFonts w:ascii="Times New Roman" w:eastAsia="Times New Roman" w:hAnsi="Times New Roman"/>
          <w:sz w:val="24"/>
          <w:szCs w:val="24"/>
          <w:u w:val="single"/>
        </w:rPr>
        <w:t xml:space="preserve">In the Matter of the Arbitration Between </w:t>
      </w:r>
      <w:proofErr w:type="gramStart"/>
      <w:r w:rsidRPr="00DA4E6C">
        <w:rPr>
          <w:rFonts w:ascii="Times New Roman" w:eastAsia="Times New Roman" w:hAnsi="Times New Roman"/>
          <w:sz w:val="24"/>
          <w:szCs w:val="24"/>
          <w:u w:val="single"/>
        </w:rPr>
        <w:t>The</w:t>
      </w:r>
      <w:proofErr w:type="gramEnd"/>
      <w:r w:rsidRPr="00DA4E6C">
        <w:rPr>
          <w:rFonts w:ascii="Times New Roman" w:eastAsia="Times New Roman" w:hAnsi="Times New Roman"/>
          <w:sz w:val="24"/>
          <w:szCs w:val="24"/>
          <w:u w:val="single"/>
        </w:rPr>
        <w:t xml:space="preserve"> City of Ogdensburg and IAFF Local 1792</w:t>
      </w:r>
      <w:r>
        <w:rPr>
          <w:rFonts w:ascii="Times New Roman" w:eastAsia="Times New Roman" w:hAnsi="Times New Roman"/>
          <w:sz w:val="24"/>
          <w:szCs w:val="24"/>
        </w:rPr>
        <w:t xml:space="preserve">, the Superior Court of New York (Third Department), held (5 to 0) that the trial court improperly granted the City’s </w:t>
      </w:r>
      <w:proofErr w:type="gramStart"/>
      <w:r>
        <w:rPr>
          <w:rFonts w:ascii="Times New Roman" w:eastAsia="Times New Roman" w:hAnsi="Times New Roman"/>
          <w:sz w:val="24"/>
          <w:szCs w:val="24"/>
        </w:rPr>
        <w:t>motion to</w:t>
      </w:r>
      <w:proofErr w:type="gramEnd"/>
      <w:r>
        <w:rPr>
          <w:rFonts w:ascii="Times New Roman" w:eastAsia="Times New Roman" w:hAnsi="Times New Roman"/>
          <w:sz w:val="24"/>
          <w:szCs w:val="24"/>
        </w:rPr>
        <w:t xml:space="preserve"> </w:t>
      </w:r>
      <w:r w:rsidRPr="00DA4E6C">
        <w:rPr>
          <w:rFonts w:ascii="Times New Roman" w:hAnsi="Times New Roman"/>
          <w:sz w:val="24"/>
          <w:szCs w:val="24"/>
        </w:rPr>
        <w:t>permanently stay arbitration between the parties.</w:t>
      </w:r>
      <w:r>
        <w:rPr>
          <w:rFonts w:ascii="Times New Roman" w:hAnsi="Times New Roman"/>
          <w:sz w:val="24"/>
          <w:szCs w:val="24"/>
        </w:rPr>
        <w:t xml:space="preserve">  The CBA provides for arbitration, and “</w:t>
      </w:r>
      <w:r w:rsidRPr="00BA6C00">
        <w:rPr>
          <w:rFonts w:ascii="Times New Roman" w:hAnsi="Times New Roman"/>
          <w:sz w:val="24"/>
          <w:szCs w:val="24"/>
        </w:rPr>
        <w:t>having adequate personnel on hand would be essential to ensure firefighter safety as well as success in fighting the fires.</w:t>
      </w:r>
      <w:r>
        <w:rPr>
          <w:rFonts w:ascii="Times New Roman" w:hAnsi="Times New Roman"/>
          <w:sz w:val="24"/>
          <w:szCs w:val="24"/>
        </w:rPr>
        <w:t xml:space="preserve">” </w:t>
      </w:r>
      <w:hyperlink r:id="rId548" w:history="1">
        <w:r w:rsidRPr="00A83547">
          <w:rPr>
            <w:rStyle w:val="Hyperlink"/>
            <w:rFonts w:ascii="Times New Roman" w:hAnsi="Times New Roman"/>
            <w:sz w:val="24"/>
            <w:szCs w:val="24"/>
          </w:rPr>
          <w:t>https://casetext.com/case/in-re-arbitration-between-city-of-ogdensburg</w:t>
        </w:r>
      </w:hyperlink>
      <w:r>
        <w:rPr>
          <w:rFonts w:ascii="Times New Roman" w:hAnsi="Times New Roman"/>
          <w:sz w:val="24"/>
          <w:szCs w:val="24"/>
        </w:rPr>
        <w:t xml:space="preserve"> </w:t>
      </w:r>
    </w:p>
    <w:p w14:paraId="2B984652" w14:textId="77777777" w:rsidR="00680939" w:rsidRDefault="00680939" w:rsidP="00680939">
      <w:pPr>
        <w:spacing w:before="100" w:beforeAutospacing="1" w:after="100" w:afterAutospacing="1" w:line="240" w:lineRule="auto"/>
      </w:pPr>
      <w:r>
        <w:rPr>
          <w:rFonts w:ascii="Times New Roman" w:eastAsia="Times New Roman" w:hAnsi="Times New Roman"/>
          <w:b/>
          <w:bCs/>
          <w:sz w:val="24"/>
          <w:szCs w:val="24"/>
        </w:rPr>
        <w:t xml:space="preserve">Legal Lesson Learned:  If CBA includes provision on minimum manning per shift, it cannot be unilaterally changed. </w:t>
      </w:r>
    </w:p>
    <w:p w14:paraId="1C1E24A2" w14:textId="77777777" w:rsidR="00680939" w:rsidRPr="00843A24" w:rsidRDefault="00680939" w:rsidP="00A20CA7">
      <w:pPr>
        <w:spacing w:before="100" w:beforeAutospacing="1" w:after="100" w:afterAutospacing="1" w:line="240" w:lineRule="auto"/>
        <w:rPr>
          <w:rFonts w:ascii="Times New Roman" w:hAnsi="Times New Roman"/>
          <w:b/>
          <w:bCs/>
          <w:sz w:val="24"/>
          <w:szCs w:val="24"/>
        </w:rPr>
      </w:pPr>
    </w:p>
    <w:p w14:paraId="4BD2D163" w14:textId="5BCBAE04" w:rsidR="00A20CA7" w:rsidRDefault="00A20CA7" w:rsidP="00A20CA7">
      <w:pPr>
        <w:pStyle w:val="NoSpacing"/>
        <w:rPr>
          <w:rFonts w:ascii="Arial Black" w:hAnsi="Arial Black"/>
          <w:sz w:val="24"/>
          <w:szCs w:val="24"/>
        </w:rPr>
      </w:pPr>
    </w:p>
    <w:p w14:paraId="2FDFC8B0" w14:textId="0B184564" w:rsidR="00A20CA7" w:rsidRDefault="00A20CA7" w:rsidP="00A20CA7">
      <w:pPr>
        <w:pStyle w:val="NoSpacing"/>
        <w:rPr>
          <w:rFonts w:ascii="Arial Black" w:hAnsi="Arial Black"/>
          <w:sz w:val="24"/>
          <w:szCs w:val="24"/>
        </w:rPr>
      </w:pPr>
      <w:r>
        <w:rPr>
          <w:rFonts w:ascii="Arial Black" w:hAnsi="Arial Black"/>
          <w:sz w:val="24"/>
          <w:szCs w:val="24"/>
        </w:rPr>
        <w:t>2-39</w:t>
      </w:r>
    </w:p>
    <w:p w14:paraId="0A52E03C" w14:textId="77777777" w:rsidR="00A20CA7" w:rsidRPr="00233069" w:rsidRDefault="00A20CA7" w:rsidP="00A20CA7">
      <w:pPr>
        <w:pStyle w:val="NormalWeb"/>
        <w:rPr>
          <w:rFonts w:ascii="Arial Black" w:hAnsi="Arial Black"/>
          <w:b/>
          <w:bCs/>
          <w:sz w:val="28"/>
          <w:szCs w:val="28"/>
        </w:rPr>
      </w:pPr>
      <w:r>
        <w:rPr>
          <w:rFonts w:ascii="Arial Black" w:hAnsi="Arial Black"/>
          <w:b/>
          <w:bCs/>
          <w:sz w:val="28"/>
          <w:szCs w:val="28"/>
        </w:rPr>
        <w:t xml:space="preserve">MD: FIREFIGHTER’S RULE – DEPUTY SHERRIF CAN’T SUE MOTORIST WHO STRUCK HER MOVING CAR AT ACCIDENT </w:t>
      </w:r>
    </w:p>
    <w:p w14:paraId="28711EFC" w14:textId="77777777" w:rsidR="00A20CA7" w:rsidRPr="006B4314" w:rsidRDefault="00A20CA7" w:rsidP="00A20CA7">
      <w:pPr>
        <w:rPr>
          <w:rFonts w:ascii="Times New Roman" w:hAnsi="Times New Roman"/>
          <w:sz w:val="24"/>
          <w:szCs w:val="24"/>
        </w:rPr>
      </w:pPr>
      <w:r w:rsidRPr="006B4314">
        <w:rPr>
          <w:rFonts w:ascii="Times New Roman" w:hAnsi="Times New Roman"/>
          <w:sz w:val="24"/>
          <w:szCs w:val="24"/>
        </w:rPr>
        <w:t xml:space="preserve">On Jan. 4, 2022, in </w:t>
      </w:r>
      <w:r w:rsidRPr="006B4314">
        <w:rPr>
          <w:rFonts w:ascii="Times New Roman" w:hAnsi="Times New Roman"/>
          <w:sz w:val="24"/>
          <w:szCs w:val="24"/>
          <w:u w:val="single"/>
        </w:rPr>
        <w:t xml:space="preserve">Kassondra Topper v. John C. Thomas, As Special Administrator of the estate of </w:t>
      </w:r>
      <w:proofErr w:type="spellStart"/>
      <w:r w:rsidRPr="006B4314">
        <w:rPr>
          <w:rFonts w:ascii="Times New Roman" w:hAnsi="Times New Roman"/>
          <w:sz w:val="24"/>
          <w:szCs w:val="24"/>
          <w:u w:val="single"/>
        </w:rPr>
        <w:t>Lynwod</w:t>
      </w:r>
      <w:proofErr w:type="spellEnd"/>
      <w:r w:rsidRPr="006B4314">
        <w:rPr>
          <w:rFonts w:ascii="Times New Roman" w:hAnsi="Times New Roman"/>
          <w:sz w:val="24"/>
          <w:szCs w:val="24"/>
          <w:u w:val="single"/>
        </w:rPr>
        <w:t xml:space="preserve"> Samuel Stride</w:t>
      </w:r>
      <w:r w:rsidRPr="006B4314">
        <w:rPr>
          <w:rFonts w:ascii="Times New Roman" w:hAnsi="Times New Roman"/>
          <w:sz w:val="24"/>
          <w:szCs w:val="24"/>
        </w:rPr>
        <w:t xml:space="preserve">, the Court of Special Appeals of Maryland, held (3 to 0) that a Deputy Sheriff is barred by the Fireman’s Rule from suing a motorist (or his estate, since he is now deceased) who ran into her for damages sustained while she was performing her normal duties. “The possibility of injury from the movement of the vehicle involved in the initial accident away from the lanes of travel was reasonably foreseeable as part of Deputy Topper's occupational risk in investigating a motor vehicle collision.” </w:t>
      </w:r>
      <w:hyperlink r:id="rId549" w:history="1">
        <w:r w:rsidRPr="006B4314">
          <w:rPr>
            <w:rStyle w:val="Hyperlink"/>
            <w:rFonts w:ascii="Times New Roman" w:hAnsi="Times New Roman"/>
            <w:sz w:val="24"/>
            <w:szCs w:val="24"/>
          </w:rPr>
          <w:t>https://casetext.com/case/topper-v-thomas</w:t>
        </w:r>
      </w:hyperlink>
      <w:r w:rsidRPr="006B4314">
        <w:rPr>
          <w:rFonts w:ascii="Times New Roman" w:hAnsi="Times New Roman"/>
          <w:sz w:val="24"/>
          <w:szCs w:val="24"/>
        </w:rPr>
        <w:t xml:space="preserve"> </w:t>
      </w:r>
    </w:p>
    <w:p w14:paraId="5F4FBC4C" w14:textId="77777777" w:rsidR="00A20CA7" w:rsidRPr="00DB3B03" w:rsidRDefault="00A20CA7" w:rsidP="00A20CA7">
      <w:pPr>
        <w:pStyle w:val="NormalWeb"/>
        <w:rPr>
          <w:b/>
          <w:bCs/>
        </w:rPr>
      </w:pPr>
      <w:r w:rsidRPr="00DB3B03">
        <w:rPr>
          <w:b/>
          <w:bCs/>
        </w:rPr>
        <w:t>Legal Lesson Learned:</w:t>
      </w:r>
      <w:r>
        <w:rPr>
          <w:b/>
          <w:bCs/>
        </w:rPr>
        <w:t xml:space="preserve"> The Fireman’s Rule is still effective in MD, OH and many other states.  It </w:t>
      </w:r>
      <w:proofErr w:type="gramStart"/>
      <w:r>
        <w:rPr>
          <w:b/>
          <w:bCs/>
        </w:rPr>
        <w:t>has been</w:t>
      </w:r>
      <w:proofErr w:type="gramEnd"/>
      <w:r>
        <w:rPr>
          <w:b/>
          <w:bCs/>
        </w:rPr>
        <w:t xml:space="preserve"> abolished in FL and narrowed in NY. </w:t>
      </w:r>
    </w:p>
    <w:p w14:paraId="1743424A" w14:textId="77777777" w:rsidR="00A20CA7" w:rsidRDefault="00A20CA7" w:rsidP="00A20CA7">
      <w:pPr>
        <w:pStyle w:val="NoSpacing"/>
        <w:rPr>
          <w:rFonts w:ascii="Arial Black" w:hAnsi="Arial Black"/>
          <w:sz w:val="24"/>
          <w:szCs w:val="24"/>
        </w:rPr>
      </w:pPr>
    </w:p>
    <w:p w14:paraId="66491E95" w14:textId="77777777" w:rsidR="00A20CA7" w:rsidRDefault="00A20CA7" w:rsidP="00EF1133">
      <w:pPr>
        <w:pStyle w:val="NoSpacing"/>
        <w:rPr>
          <w:rFonts w:ascii="Arial Black" w:hAnsi="Arial Black"/>
          <w:sz w:val="24"/>
          <w:szCs w:val="24"/>
        </w:rPr>
      </w:pPr>
    </w:p>
    <w:p w14:paraId="22EDEC2A" w14:textId="21FC4754" w:rsidR="00954D68" w:rsidRDefault="00954D68" w:rsidP="00EF1133">
      <w:pPr>
        <w:pStyle w:val="NoSpacing"/>
        <w:rPr>
          <w:rFonts w:ascii="Arial Black" w:hAnsi="Arial Black"/>
          <w:sz w:val="24"/>
          <w:szCs w:val="24"/>
        </w:rPr>
      </w:pPr>
      <w:r>
        <w:rPr>
          <w:rFonts w:ascii="Arial Black" w:hAnsi="Arial Black"/>
          <w:sz w:val="24"/>
          <w:szCs w:val="24"/>
        </w:rPr>
        <w:t>2-38</w:t>
      </w:r>
    </w:p>
    <w:p w14:paraId="50ABCA28" w14:textId="77777777" w:rsidR="00954D68" w:rsidRDefault="00954D68" w:rsidP="00954D68">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NY: POST 9/11 – SINUS/ BREATH - FDNY MEDIC TRAPPED NORTH TOWER - FINALLY GETS 100% DISABILITY </w:t>
      </w:r>
    </w:p>
    <w:p w14:paraId="69773AF8" w14:textId="77777777" w:rsidR="00954D68" w:rsidRPr="0099025C" w:rsidRDefault="00954D68" w:rsidP="00954D68">
      <w:pPr>
        <w:rPr>
          <w:rFonts w:ascii="Times New Roman" w:hAnsi="Times New Roman"/>
          <w:sz w:val="24"/>
          <w:szCs w:val="24"/>
        </w:rPr>
      </w:pPr>
      <w:r w:rsidRPr="0099025C">
        <w:rPr>
          <w:rFonts w:ascii="Times New Roman" w:hAnsi="Times New Roman"/>
          <w:sz w:val="24"/>
          <w:szCs w:val="24"/>
        </w:rPr>
        <w:t xml:space="preserve">On Dec. 13, 2021, </w:t>
      </w:r>
      <w:r w:rsidRPr="0099025C">
        <w:rPr>
          <w:rFonts w:ascii="Times New Roman" w:hAnsi="Times New Roman"/>
          <w:sz w:val="24"/>
          <w:szCs w:val="24"/>
          <w:u w:val="single"/>
        </w:rPr>
        <w:t>In the Matter of the Application of Gary Smiley v. Melanie Winnery, as the Executive Director of the New York City Employee’s Retirement System</w:t>
      </w:r>
      <w:r w:rsidRPr="0099025C">
        <w:rPr>
          <w:rFonts w:ascii="Times New Roman" w:hAnsi="Times New Roman"/>
          <w:sz w:val="24"/>
          <w:szCs w:val="24"/>
        </w:rPr>
        <w:t xml:space="preserve">, Justice Loren Bailey-Schiffman, Supreme </w:t>
      </w:r>
      <w:r w:rsidRPr="0099025C">
        <w:rPr>
          <w:rFonts w:ascii="Times New Roman" w:hAnsi="Times New Roman"/>
          <w:sz w:val="24"/>
          <w:szCs w:val="24"/>
        </w:rPr>
        <w:lastRenderedPageBreak/>
        <w:t xml:space="preserve">Court (Kings County) held (unpublished decision) held that the firefighter is entitled to full “Performance of Duty” (POD) disability benefits since he is no longer able to perform duties of a paramedic. The Workers’ Compensation Board in 2013 </w:t>
      </w:r>
      <w:proofErr w:type="gramStart"/>
      <w:r w:rsidRPr="0099025C">
        <w:rPr>
          <w:rFonts w:ascii="Times New Roman" w:hAnsi="Times New Roman"/>
          <w:sz w:val="24"/>
          <w:szCs w:val="24"/>
        </w:rPr>
        <w:t>had only awarded</w:t>
      </w:r>
      <w:proofErr w:type="gramEnd"/>
      <w:r w:rsidRPr="0099025C">
        <w:rPr>
          <w:rFonts w:ascii="Times New Roman" w:hAnsi="Times New Roman"/>
          <w:sz w:val="24"/>
          <w:szCs w:val="24"/>
        </w:rPr>
        <w:t xml:space="preserve"> him a 45% partial disability for reactive airway disease, eye irritation, shortness of breath, sinusitis &amp; PTSD.</w:t>
      </w:r>
    </w:p>
    <w:p w14:paraId="6FC416CE" w14:textId="1E1E1F27" w:rsidR="00954D68" w:rsidRDefault="00954D68" w:rsidP="00954D68">
      <w:pPr>
        <w:pStyle w:val="NoSpacing"/>
        <w:ind w:left="720"/>
        <w:rPr>
          <w:rFonts w:ascii="Arial Black" w:hAnsi="Arial Black"/>
          <w:sz w:val="24"/>
          <w:szCs w:val="24"/>
        </w:rPr>
      </w:pPr>
      <w:r w:rsidRPr="0099025C">
        <w:rPr>
          <w:rFonts w:ascii="Times New Roman" w:eastAsia="Times New Roman" w:hAnsi="Times New Roman"/>
          <w:sz w:val="24"/>
          <w:szCs w:val="24"/>
        </w:rPr>
        <w:t>“</w:t>
      </w:r>
      <w:r w:rsidRPr="0099025C">
        <w:rPr>
          <w:rFonts w:ascii="Times New Roman" w:hAnsi="Times New Roman"/>
          <w:sz w:val="24"/>
          <w:szCs w:val="24"/>
        </w:rPr>
        <w:t xml:space="preserve">The Board repeatedly found that Petitioner has no functional impairment despite confirmed reports that he cannot be exposed to smoke or other irritants, often has to lie down for hours at a time due to headaches and dizziness and is required to administer no less than three to four sinus rinses per day as well as two or three inhalers and possibly the nebulizer. Clearly, the standard as set forth above has not been met…. </w:t>
      </w:r>
      <w:r w:rsidRPr="0099025C">
        <w:rPr>
          <w:rFonts w:ascii="Times New Roman" w:eastAsia="Times New Roman" w:hAnsi="Times New Roman"/>
          <w:sz w:val="24"/>
          <w:szCs w:val="24"/>
        </w:rPr>
        <w:t xml:space="preserve">The reports upon which Respondents' denials are based fail to set forth any facts supporting the conclusion that Petitioner does not have a functional impairment. No less than four doctors confirmed Petitioner's </w:t>
      </w:r>
      <w:proofErr w:type="gramStart"/>
      <w:r w:rsidRPr="0099025C">
        <w:rPr>
          <w:rFonts w:ascii="Times New Roman" w:eastAsia="Times New Roman" w:hAnsi="Times New Roman"/>
          <w:sz w:val="24"/>
          <w:szCs w:val="24"/>
        </w:rPr>
        <w:t>debilitating severe</w:t>
      </w:r>
      <w:proofErr w:type="gramEnd"/>
      <w:r w:rsidRPr="0099025C">
        <w:rPr>
          <w:rFonts w:ascii="Times New Roman" w:eastAsia="Times New Roman" w:hAnsi="Times New Roman"/>
          <w:sz w:val="24"/>
          <w:szCs w:val="24"/>
        </w:rPr>
        <w:t xml:space="preserve"> and debilitating sinusitis accompanied by headaches and dizziness. Moreover, Dr. Shohet, Dr. Lin, Dr. Crane and all treating doctors have opined that Mr. Smiley cannot perform the duties of a paramedic. No reason is given why these opinions are ignored.” </w:t>
      </w:r>
      <w:hyperlink r:id="rId550" w:history="1">
        <w:r w:rsidRPr="00EC5853">
          <w:rPr>
            <w:rStyle w:val="Hyperlink"/>
            <w:rFonts w:ascii="Times New Roman" w:eastAsia="Times New Roman" w:hAnsi="Times New Roman"/>
            <w:sz w:val="24"/>
            <w:szCs w:val="24"/>
          </w:rPr>
          <w:t>https://public.fastcase.com/9SKwsfNqTc6OieYDhNMyM3GFxg7E14LGt6irGiW6D0AdOSai6WztEAqO8TQbOt2UAfcs%2Ff2iM4MWcxpFzO0W88e5H95ADB2MkHVFfrY4yKc%3D</w:t>
        </w:r>
      </w:hyperlink>
    </w:p>
    <w:p w14:paraId="2C40145E" w14:textId="77777777" w:rsidR="00954D68" w:rsidRDefault="00954D68" w:rsidP="00EF1133">
      <w:pPr>
        <w:pStyle w:val="NoSpacing"/>
        <w:rPr>
          <w:rFonts w:ascii="Arial Black" w:hAnsi="Arial Black"/>
          <w:sz w:val="24"/>
          <w:szCs w:val="24"/>
        </w:rPr>
      </w:pPr>
    </w:p>
    <w:p w14:paraId="15F530DA" w14:textId="77777777" w:rsidR="00954D68" w:rsidRPr="0099025C" w:rsidRDefault="00954D68" w:rsidP="00954D68">
      <w:pPr>
        <w:spacing w:before="100" w:beforeAutospacing="1" w:after="100" w:afterAutospacing="1" w:line="240" w:lineRule="auto"/>
        <w:rPr>
          <w:rFonts w:ascii="Times New Roman" w:hAnsi="Times New Roman"/>
          <w:b/>
          <w:bCs/>
          <w:sz w:val="24"/>
          <w:szCs w:val="24"/>
        </w:rPr>
      </w:pPr>
      <w:r w:rsidRPr="0099025C">
        <w:rPr>
          <w:rFonts w:ascii="Times New Roman" w:hAnsi="Times New Roman"/>
          <w:b/>
          <w:bCs/>
          <w:sz w:val="24"/>
          <w:szCs w:val="24"/>
        </w:rPr>
        <w:t xml:space="preserve">Legal Lesson Learned:  Helpful opinion; the Medical Board cannot “cherry pick” the evidence on disability. </w:t>
      </w:r>
    </w:p>
    <w:p w14:paraId="0AB8AF96" w14:textId="77777777" w:rsidR="00954D68" w:rsidRDefault="00954D68" w:rsidP="00EF1133">
      <w:pPr>
        <w:pStyle w:val="NoSpacing"/>
        <w:rPr>
          <w:rFonts w:ascii="Arial Black" w:hAnsi="Arial Black"/>
          <w:sz w:val="24"/>
          <w:szCs w:val="24"/>
        </w:rPr>
      </w:pPr>
    </w:p>
    <w:p w14:paraId="0731A0DF" w14:textId="77777777" w:rsidR="00954D68" w:rsidRDefault="00954D68" w:rsidP="00EF1133">
      <w:pPr>
        <w:pStyle w:val="NoSpacing"/>
        <w:rPr>
          <w:rFonts w:ascii="Arial Black" w:hAnsi="Arial Black"/>
          <w:sz w:val="24"/>
          <w:szCs w:val="24"/>
        </w:rPr>
      </w:pPr>
    </w:p>
    <w:p w14:paraId="384872EB" w14:textId="6A34D08D" w:rsidR="00365F63" w:rsidRDefault="00365F63" w:rsidP="00EF1133">
      <w:pPr>
        <w:pStyle w:val="NoSpacing"/>
        <w:rPr>
          <w:rFonts w:ascii="Arial Black" w:hAnsi="Arial Black"/>
          <w:sz w:val="24"/>
          <w:szCs w:val="24"/>
        </w:rPr>
      </w:pPr>
      <w:r>
        <w:rPr>
          <w:rFonts w:ascii="Arial Black" w:hAnsi="Arial Black"/>
          <w:sz w:val="24"/>
          <w:szCs w:val="24"/>
        </w:rPr>
        <w:t>2-37</w:t>
      </w:r>
    </w:p>
    <w:p w14:paraId="1BB1AB65" w14:textId="77777777" w:rsidR="00365F63" w:rsidRDefault="00365F63" w:rsidP="00365F63">
      <w:pPr>
        <w:pStyle w:val="NormalWeb"/>
        <w:rPr>
          <w:rFonts w:ascii="Arial Black" w:hAnsi="Arial Black"/>
          <w:sz w:val="28"/>
          <w:szCs w:val="28"/>
        </w:rPr>
      </w:pPr>
      <w:r>
        <w:rPr>
          <w:rFonts w:ascii="Arial Black" w:hAnsi="Arial Black"/>
          <w:sz w:val="28"/>
          <w:szCs w:val="28"/>
        </w:rPr>
        <w:t>KS: FIREFIGHTER HEARING LOSS – ENTITLED TO WORKER’S COMP FOR SIRENS – OTHER LOUD NOISES IN HIS CAREER</w:t>
      </w:r>
    </w:p>
    <w:p w14:paraId="0A08F2FF" w14:textId="77777777" w:rsidR="00365F63" w:rsidRDefault="00365F63" w:rsidP="00365F63">
      <w:pPr>
        <w:pStyle w:val="NormalWeb"/>
      </w:pPr>
      <w:r>
        <w:t xml:space="preserve">On Nov. 19, 2021, in </w:t>
      </w:r>
      <w:r w:rsidRPr="003E0CE5">
        <w:rPr>
          <w:u w:val="single"/>
        </w:rPr>
        <w:t>Patrick O’Neal v. City of Hutchinson</w:t>
      </w:r>
      <w:r>
        <w:t xml:space="preserve">, the Court of Appeals of Kansas, held (3 to 0) (not designated for publication) that the firefighter was entitled to worker’s comp for permanent hearing loss and tinnitus due to repetitive exposure to loud noises during his career. While his initial claim was for a single event with air horn activation inside a fire station (Feb. 23, 2009) was denied, he is entitled to medical coverage for repetitive exposure during his 1994 – 2017 career. </w:t>
      </w:r>
    </w:p>
    <w:p w14:paraId="145EE80C" w14:textId="77777777" w:rsidR="00365F63" w:rsidRDefault="00365F63" w:rsidP="00365F63">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r w:rsidRPr="003E0CE5">
        <w:rPr>
          <w:rFonts w:ascii="Times New Roman" w:hAnsi="Times New Roman"/>
          <w:sz w:val="24"/>
          <w:szCs w:val="24"/>
        </w:rPr>
        <w:t xml:space="preserve">The </w:t>
      </w:r>
      <w:proofErr w:type="gramStart"/>
      <w:r w:rsidRPr="003E0CE5">
        <w:rPr>
          <w:rFonts w:ascii="Times New Roman" w:hAnsi="Times New Roman"/>
          <w:sz w:val="24"/>
          <w:szCs w:val="24"/>
        </w:rPr>
        <w:t>City</w:t>
      </w:r>
      <w:proofErr w:type="gramEnd"/>
      <w:r w:rsidRPr="003E0CE5">
        <w:rPr>
          <w:rFonts w:ascii="Times New Roman" w:hAnsi="Times New Roman"/>
          <w:sz w:val="24"/>
          <w:szCs w:val="24"/>
        </w:rPr>
        <w:t xml:space="preserve"> has not met its burden to show the Board erred in granting a compensation award to O'Neal. The City's own expert from the single accident claim provided evidence in support of O'Neal's repetitive injury claim. The evidence is sufficient for a reasonable person to find it supported the Board's compensation award.</w:t>
      </w:r>
    </w:p>
    <w:p w14:paraId="17F8CBCF" w14:textId="77777777" w:rsidR="00365F63" w:rsidRPr="003E0CE5" w:rsidRDefault="00365F63" w:rsidP="00365F63">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w:t>
      </w:r>
    </w:p>
    <w:p w14:paraId="3EAF878F" w14:textId="77777777" w:rsidR="00365F63" w:rsidRDefault="00365F63" w:rsidP="00365F6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T</w:t>
      </w:r>
      <w:r w:rsidRPr="006863C2">
        <w:rPr>
          <w:rFonts w:ascii="Times New Roman" w:hAnsi="Times New Roman"/>
          <w:sz w:val="24"/>
          <w:szCs w:val="24"/>
        </w:rPr>
        <w:t xml:space="preserve">he City's required hearing exams showed in 2002 that O'Neal sustained hearing loss. Given that it required its firefighters to undergo hearing tests every other year until age 40 and then every year thereafter, the </w:t>
      </w:r>
      <w:proofErr w:type="gramStart"/>
      <w:r w:rsidRPr="006863C2">
        <w:rPr>
          <w:rFonts w:ascii="Times New Roman" w:hAnsi="Times New Roman"/>
          <w:sz w:val="24"/>
          <w:szCs w:val="24"/>
        </w:rPr>
        <w:t>City</w:t>
      </w:r>
      <w:proofErr w:type="gramEnd"/>
      <w:r w:rsidRPr="006863C2">
        <w:rPr>
          <w:rFonts w:ascii="Times New Roman" w:hAnsi="Times New Roman"/>
          <w:sz w:val="24"/>
          <w:szCs w:val="24"/>
        </w:rPr>
        <w:t xml:space="preserve"> was aware firefighters were at risk for hearing loss from their jobs. O'Neal's 2002 audiogram showed he was sustaining hearing loss, and no alternative explanation was given, except for occasionally using firearms. Dr. Epp testified that at the time of the 2002 test, </w:t>
      </w:r>
      <w:proofErr w:type="gramStart"/>
      <w:r w:rsidRPr="006863C2">
        <w:rPr>
          <w:rFonts w:ascii="Times New Roman" w:hAnsi="Times New Roman"/>
          <w:sz w:val="24"/>
          <w:szCs w:val="24"/>
        </w:rPr>
        <w:t>O'Neal</w:t>
      </w:r>
      <w:proofErr w:type="gramEnd"/>
      <w:r w:rsidRPr="006863C2">
        <w:rPr>
          <w:rFonts w:ascii="Times New Roman" w:hAnsi="Times New Roman"/>
          <w:sz w:val="24"/>
          <w:szCs w:val="24"/>
        </w:rPr>
        <w:t xml:space="preserve"> more likely than </w:t>
      </w:r>
      <w:proofErr w:type="gramStart"/>
      <w:r w:rsidRPr="006863C2">
        <w:rPr>
          <w:rFonts w:ascii="Times New Roman" w:hAnsi="Times New Roman"/>
          <w:sz w:val="24"/>
          <w:szCs w:val="24"/>
        </w:rPr>
        <w:t>not</w:t>
      </w:r>
      <w:proofErr w:type="gramEnd"/>
      <w:r w:rsidRPr="006863C2">
        <w:rPr>
          <w:rFonts w:ascii="Times New Roman" w:hAnsi="Times New Roman"/>
          <w:sz w:val="24"/>
          <w:szCs w:val="24"/>
        </w:rPr>
        <w:t xml:space="preserve"> had sustained hearing loss from his job, which was stabilizing at the time of the test.</w:t>
      </w:r>
    </w:p>
    <w:p w14:paraId="6EF05E1A" w14:textId="77777777" w:rsidR="00365F63" w:rsidRPr="006863C2" w:rsidRDefault="00365F63" w:rsidP="00365F63">
      <w:pPr>
        <w:spacing w:before="100" w:beforeAutospacing="1" w:after="100" w:afterAutospacing="1" w:line="240" w:lineRule="auto"/>
        <w:ind w:left="720"/>
        <w:rPr>
          <w:rFonts w:ascii="Times New Roman" w:eastAsia="Times New Roman" w:hAnsi="Times New Roman"/>
        </w:rPr>
      </w:pPr>
      <w:r w:rsidRPr="006863C2">
        <w:rPr>
          <w:rFonts w:ascii="Times New Roman" w:hAnsi="Times New Roman"/>
        </w:rPr>
        <w:t xml:space="preserve">The </w:t>
      </w:r>
      <w:proofErr w:type="gramStart"/>
      <w:r w:rsidRPr="006863C2">
        <w:rPr>
          <w:rFonts w:ascii="Times New Roman" w:hAnsi="Times New Roman"/>
        </w:rPr>
        <w:t>City</w:t>
      </w:r>
      <w:proofErr w:type="gramEnd"/>
      <w:r w:rsidRPr="006863C2">
        <w:rPr>
          <w:rFonts w:ascii="Times New Roman" w:hAnsi="Times New Roman"/>
        </w:rPr>
        <w:t xml:space="preserve"> was on notice, even before the date of the injury, that O'Neal had suffered hearing loss due to repetitive trauma from his work.</w:t>
      </w:r>
      <w:r>
        <w:rPr>
          <w:rFonts w:ascii="Times New Roman" w:hAnsi="Times New Roman"/>
        </w:rPr>
        <w:t xml:space="preserve">” </w:t>
      </w:r>
      <w:hyperlink r:id="rId551" w:history="1">
        <w:r w:rsidRPr="007C6FB3">
          <w:rPr>
            <w:rStyle w:val="Hyperlink"/>
            <w:rFonts w:ascii="Times New Roman" w:hAnsi="Times New Roman"/>
          </w:rPr>
          <w:t>https://casetext.com/case/oneal-v-city-of-hutchinson</w:t>
        </w:r>
      </w:hyperlink>
      <w:r>
        <w:rPr>
          <w:rFonts w:ascii="Times New Roman" w:hAnsi="Times New Roman"/>
        </w:rPr>
        <w:t xml:space="preserve"> </w:t>
      </w:r>
    </w:p>
    <w:p w14:paraId="53516FF7" w14:textId="77777777" w:rsidR="00365F63" w:rsidRPr="0022156A" w:rsidRDefault="00365F63" w:rsidP="00365F63">
      <w:pPr>
        <w:spacing w:before="100" w:beforeAutospacing="1" w:after="100" w:afterAutospacing="1" w:line="240" w:lineRule="auto"/>
        <w:rPr>
          <w:rFonts w:ascii="Times New Roman" w:hAnsi="Times New Roman"/>
          <w:b/>
          <w:bCs/>
          <w:sz w:val="24"/>
          <w:szCs w:val="24"/>
        </w:rPr>
      </w:pPr>
      <w:r w:rsidRPr="0022156A">
        <w:rPr>
          <w:rFonts w:ascii="Times New Roman" w:hAnsi="Times New Roman"/>
          <w:b/>
          <w:bCs/>
          <w:sz w:val="24"/>
          <w:szCs w:val="24"/>
        </w:rPr>
        <w:lastRenderedPageBreak/>
        <w:t>Legal Lesson Learned:</w:t>
      </w:r>
      <w:r>
        <w:rPr>
          <w:rFonts w:ascii="Times New Roman" w:hAnsi="Times New Roman"/>
          <w:b/>
          <w:bCs/>
          <w:sz w:val="24"/>
          <w:szCs w:val="24"/>
        </w:rPr>
        <w:t xml:space="preserve"> Kansas workers comp statutes, like many states, </w:t>
      </w:r>
      <w:proofErr w:type="gramStart"/>
      <w:r>
        <w:rPr>
          <w:rFonts w:ascii="Times New Roman" w:hAnsi="Times New Roman"/>
          <w:b/>
          <w:bCs/>
          <w:sz w:val="24"/>
          <w:szCs w:val="24"/>
        </w:rPr>
        <w:t>provides</w:t>
      </w:r>
      <w:proofErr w:type="gramEnd"/>
      <w:r>
        <w:rPr>
          <w:rFonts w:ascii="Times New Roman" w:hAnsi="Times New Roman"/>
          <w:b/>
          <w:bCs/>
          <w:sz w:val="24"/>
          <w:szCs w:val="24"/>
        </w:rPr>
        <w:t xml:space="preserve"> medical coverage for hearing loss arising from the job.  </w:t>
      </w:r>
    </w:p>
    <w:p w14:paraId="15438586" w14:textId="77777777" w:rsidR="00365F63" w:rsidRDefault="00365F63" w:rsidP="00EF1133">
      <w:pPr>
        <w:pStyle w:val="NoSpacing"/>
        <w:rPr>
          <w:rFonts w:ascii="Arial Black" w:hAnsi="Arial Black"/>
          <w:sz w:val="24"/>
          <w:szCs w:val="24"/>
        </w:rPr>
      </w:pPr>
    </w:p>
    <w:p w14:paraId="5A308BDF" w14:textId="77777777" w:rsidR="00365F63" w:rsidRDefault="00365F63" w:rsidP="00EF1133">
      <w:pPr>
        <w:pStyle w:val="NoSpacing"/>
        <w:rPr>
          <w:rFonts w:ascii="Arial Black" w:hAnsi="Arial Black"/>
          <w:sz w:val="24"/>
          <w:szCs w:val="24"/>
        </w:rPr>
      </w:pPr>
    </w:p>
    <w:p w14:paraId="3A947F93" w14:textId="4E6D8267" w:rsidR="00243A7F" w:rsidRDefault="00243A7F" w:rsidP="00EF1133">
      <w:pPr>
        <w:pStyle w:val="NoSpacing"/>
        <w:rPr>
          <w:rFonts w:ascii="Arial Black" w:hAnsi="Arial Black"/>
          <w:sz w:val="24"/>
          <w:szCs w:val="24"/>
        </w:rPr>
      </w:pPr>
      <w:r>
        <w:rPr>
          <w:rFonts w:ascii="Arial Black" w:hAnsi="Arial Black"/>
          <w:sz w:val="24"/>
          <w:szCs w:val="24"/>
        </w:rPr>
        <w:t>2-36</w:t>
      </w:r>
    </w:p>
    <w:p w14:paraId="2F6C55B7" w14:textId="77777777" w:rsidR="00243A7F" w:rsidRPr="008F74AA" w:rsidRDefault="00243A7F" w:rsidP="00243A7F">
      <w:pPr>
        <w:pStyle w:val="Heading1"/>
        <w:rPr>
          <w:rFonts w:ascii="Arial Black" w:hAnsi="Arial Black"/>
          <w:b w:val="0"/>
          <w:bCs w:val="0"/>
          <w:sz w:val="28"/>
          <w:szCs w:val="28"/>
        </w:rPr>
      </w:pPr>
      <w:r>
        <w:rPr>
          <w:rFonts w:ascii="Arial Black" w:hAnsi="Arial Black"/>
          <w:b w:val="0"/>
          <w:bCs w:val="0"/>
          <w:sz w:val="28"/>
          <w:szCs w:val="28"/>
        </w:rPr>
        <w:t>SC: CHARLESTON – COVID-19 VACCINATIONS MANDATED FOR POLICE AND FIRE – PRELIMINARY INJUNCTION DENIED</w:t>
      </w:r>
    </w:p>
    <w:p w14:paraId="6A2123A5" w14:textId="77777777" w:rsidR="00243A7F" w:rsidRDefault="00243A7F" w:rsidP="00243A7F">
      <w:pPr>
        <w:pStyle w:val="Heading1"/>
        <w:rPr>
          <w:b w:val="0"/>
          <w:bCs w:val="0"/>
          <w:sz w:val="24"/>
          <w:szCs w:val="24"/>
        </w:rPr>
      </w:pPr>
      <w:r>
        <w:rPr>
          <w:b w:val="0"/>
          <w:bCs w:val="0"/>
          <w:sz w:val="24"/>
          <w:szCs w:val="24"/>
        </w:rPr>
        <w:t xml:space="preserve">On Oct. 21, 2021, in three combined cases, </w:t>
      </w:r>
      <w:r w:rsidRPr="008F74AA">
        <w:rPr>
          <w:b w:val="0"/>
          <w:bCs w:val="0"/>
          <w:sz w:val="24"/>
          <w:szCs w:val="24"/>
          <w:u w:val="single"/>
        </w:rPr>
        <w:t>Sean Bauer, et al. v. City of North Charleston; Aaron Gdovicak, et al. v. City of Charleston; Ashleigh Tucker v. St. John Fire District</w:t>
      </w:r>
      <w:r>
        <w:rPr>
          <w:b w:val="0"/>
          <w:bCs w:val="0"/>
          <w:sz w:val="24"/>
          <w:szCs w:val="24"/>
        </w:rPr>
        <w:t xml:space="preserve">, U.S. District Court Judge David C. Norton, U.S. District Court for District of South Caroline (Charleston Division) denied request to issue a preliminary injunction against employers’ vaccination mandates, citing 1905 U.S. Supreme Court decision requiring small pox vaccinations.  </w:t>
      </w:r>
    </w:p>
    <w:p w14:paraId="14616CCD" w14:textId="77777777" w:rsidR="00243A7F" w:rsidRDefault="00243A7F" w:rsidP="00243A7F">
      <w:pPr>
        <w:pStyle w:val="Heading1"/>
        <w:ind w:left="720"/>
        <w:rPr>
          <w:b w:val="0"/>
          <w:bCs w:val="0"/>
          <w:sz w:val="24"/>
          <w:szCs w:val="24"/>
        </w:rPr>
      </w:pPr>
      <w:r>
        <w:rPr>
          <w:b w:val="0"/>
          <w:bCs w:val="0"/>
          <w:sz w:val="24"/>
          <w:szCs w:val="24"/>
        </w:rPr>
        <w:t>“</w:t>
      </w:r>
      <w:r w:rsidRPr="008F74AA">
        <w:rPr>
          <w:b w:val="0"/>
          <w:bCs w:val="0"/>
          <w:sz w:val="24"/>
          <w:szCs w:val="24"/>
        </w:rPr>
        <w:t>While plaintiffs may remain unvaccinated at their own risk, the balance of equities and public interest do not require defendants to allow plaintiffs to spread that risk in their workplace and, by extension, into the communities they serve. Reasonable minds may disagree on the public health consequences of the Policies.</w:t>
      </w:r>
    </w:p>
    <w:p w14:paraId="7897B19C" w14:textId="77777777" w:rsidR="00243A7F" w:rsidRPr="008F74AA" w:rsidRDefault="00243A7F" w:rsidP="00243A7F">
      <w:pPr>
        <w:pStyle w:val="Heading1"/>
        <w:ind w:firstLine="720"/>
        <w:rPr>
          <w:b w:val="0"/>
          <w:bCs w:val="0"/>
          <w:sz w:val="24"/>
          <w:szCs w:val="24"/>
        </w:rPr>
      </w:pPr>
      <w:r>
        <w:rPr>
          <w:b w:val="0"/>
          <w:bCs w:val="0"/>
          <w:sz w:val="24"/>
          <w:szCs w:val="24"/>
        </w:rPr>
        <w:t>***</w:t>
      </w:r>
    </w:p>
    <w:p w14:paraId="6E85B643" w14:textId="77777777" w:rsidR="00243A7F" w:rsidRDefault="00243A7F" w:rsidP="00243A7F">
      <w:pPr>
        <w:pStyle w:val="NormalWeb"/>
        <w:ind w:left="720"/>
      </w:pPr>
      <w:r>
        <w:t xml:space="preserve">Notably, the Supreme Court has expressly rejected the idea of a fundamental right to refuse vaccination. In </w:t>
      </w:r>
      <w:r>
        <w:rPr>
          <w:rStyle w:val="Emphasis"/>
        </w:rPr>
        <w:t>Jacobson v. Massachusetts</w:t>
      </w:r>
      <w:r>
        <w:t xml:space="preserve">, 197 U.S. 11, 26–27 (1905), the Supreme Court upheld a state law allowing cities and towns to implement vaccine mandates </w:t>
      </w:r>
      <w:proofErr w:type="gramStart"/>
      <w:r>
        <w:t>in order to</w:t>
      </w:r>
      <w:proofErr w:type="gramEnd"/>
      <w:r>
        <w:t xml:space="preserve"> contain smallpox outbreaks. In so holding, the Supreme Court rejected an argument that liberty interests under the Fourteenth Amendment inevitably prevail in these circumstances. Specifically, the Supreme Court stated, ‘We are unwilling to hold it to be an element in the liberty secured by the Constitution of the United States that one person, or a minority of persons, residing in any community and enjoying the benefits of its local government, should have the power thus to dominate the majority when supported in their action by the authority of the state.’</w:t>
      </w:r>
    </w:p>
    <w:p w14:paraId="1AAE2DA4" w14:textId="77777777" w:rsidR="00243A7F" w:rsidRDefault="00243A7F" w:rsidP="00243A7F">
      <w:pPr>
        <w:pStyle w:val="Heading1"/>
        <w:ind w:left="720"/>
        <w:rPr>
          <w:b w:val="0"/>
          <w:bCs w:val="0"/>
          <w:sz w:val="24"/>
          <w:szCs w:val="24"/>
        </w:rPr>
      </w:pPr>
      <w:r>
        <w:rPr>
          <w:b w:val="0"/>
          <w:bCs w:val="0"/>
          <w:sz w:val="24"/>
          <w:szCs w:val="24"/>
        </w:rPr>
        <w:t>***</w:t>
      </w:r>
    </w:p>
    <w:p w14:paraId="2719A573" w14:textId="77777777" w:rsidR="00243A7F" w:rsidRPr="008F74AA" w:rsidRDefault="00243A7F" w:rsidP="00243A7F">
      <w:pPr>
        <w:pStyle w:val="Heading1"/>
        <w:ind w:left="720"/>
        <w:rPr>
          <w:b w:val="0"/>
          <w:bCs w:val="0"/>
          <w:sz w:val="24"/>
          <w:szCs w:val="24"/>
        </w:rPr>
      </w:pPr>
      <w:proofErr w:type="gramStart"/>
      <w:r w:rsidRPr="008F74AA">
        <w:rPr>
          <w:b w:val="0"/>
          <w:bCs w:val="0"/>
          <w:sz w:val="24"/>
          <w:szCs w:val="24"/>
        </w:rPr>
        <w:t>In light of</w:t>
      </w:r>
      <w:proofErr w:type="gramEnd"/>
      <w:r w:rsidRPr="008F74AA">
        <w:rPr>
          <w:b w:val="0"/>
          <w:bCs w:val="0"/>
          <w:sz w:val="24"/>
          <w:szCs w:val="24"/>
        </w:rPr>
        <w:t xml:space="preserve"> plaintiffs’ failure to show that their claims are likely to be meritorious, the balance of hardships that weighs in defendants’ favor, and the strong public interest that weighs against enjoining the Policies, the court finds that a preliminary injunction is not appropriate in this case. In denying plaintiffs’ motions, this court is not impugning either the integrity or the sincere nature of plaintiffs’ beliefs. However, it is not the court’s role to determine and impose the employer policies that best strike the balance of the competing interests of a pandemic that has plagued not just this state or country, but the world, for almost two years. Irrespective of politics, the court has evaluated and analyzed the law and the legal arguments raised by both sides. Unfortunately for plaintiffs, they have not stated a viable legal theory in support of an injunction, as each of the factors required to be considered, individually and collectively, weigh against the grant of injunctive relief.</w:t>
      </w:r>
      <w:r>
        <w:rPr>
          <w:b w:val="0"/>
          <w:bCs w:val="0"/>
          <w:sz w:val="24"/>
          <w:szCs w:val="24"/>
        </w:rPr>
        <w:t xml:space="preserve">” </w:t>
      </w:r>
      <w:hyperlink r:id="rId552" w:history="1">
        <w:r w:rsidRPr="00BD2840">
          <w:rPr>
            <w:rStyle w:val="Hyperlink"/>
            <w:sz w:val="24"/>
            <w:szCs w:val="24"/>
          </w:rPr>
          <w:t>https://public.fastcase.com/9SKwsfNqTc6OieYDhNMyMw%2FXypC%2BGCgzOI8YVtEGVa9n7jEOxoaSK8egV%2FDY7vKxD%2FnkzijiMqV0cvRDHM3YNZxTynpkQChMaJvb9tBM2DY%3D</w:t>
        </w:r>
      </w:hyperlink>
      <w:r>
        <w:rPr>
          <w:b w:val="0"/>
          <w:bCs w:val="0"/>
          <w:sz w:val="24"/>
          <w:szCs w:val="24"/>
        </w:rPr>
        <w:t xml:space="preserve"> </w:t>
      </w:r>
    </w:p>
    <w:p w14:paraId="5532DEAC" w14:textId="77777777" w:rsidR="00243A7F" w:rsidRPr="009F2E1C" w:rsidRDefault="00243A7F" w:rsidP="00243A7F">
      <w:pPr>
        <w:pStyle w:val="Heading1"/>
        <w:rPr>
          <w:sz w:val="24"/>
          <w:szCs w:val="24"/>
        </w:rPr>
      </w:pPr>
      <w:r w:rsidRPr="009F2E1C">
        <w:rPr>
          <w:sz w:val="24"/>
          <w:szCs w:val="24"/>
        </w:rPr>
        <w:lastRenderedPageBreak/>
        <w:t>Legal Lesson Learned:</w:t>
      </w:r>
      <w:r>
        <w:rPr>
          <w:sz w:val="24"/>
          <w:szCs w:val="24"/>
        </w:rPr>
        <w:t xml:space="preserve"> The Court issued a very detailed decision, examining and rejecting numerous Constitutional arguments by the plaintiffs. </w:t>
      </w:r>
    </w:p>
    <w:p w14:paraId="1B954DBE" w14:textId="77777777" w:rsidR="00243A7F" w:rsidRPr="00310A49" w:rsidRDefault="00243A7F" w:rsidP="00243A7F">
      <w:pPr>
        <w:pStyle w:val="Heading1"/>
        <w:ind w:left="720"/>
        <w:rPr>
          <w:rStyle w:val="Strong"/>
          <w:rFonts w:eastAsiaTheme="majorEastAsia"/>
          <w:b/>
          <w:bCs/>
          <w:sz w:val="24"/>
          <w:szCs w:val="24"/>
        </w:rPr>
      </w:pPr>
      <w:r w:rsidRPr="00BA6F47">
        <w:rPr>
          <w:rStyle w:val="Strong"/>
          <w:rFonts w:eastAsiaTheme="majorEastAsia"/>
          <w:sz w:val="24"/>
          <w:szCs w:val="24"/>
        </w:rPr>
        <w:t xml:space="preserve">Note: </w:t>
      </w:r>
      <w:r>
        <w:rPr>
          <w:rStyle w:val="Strong"/>
          <w:rFonts w:eastAsiaTheme="majorEastAsia"/>
          <w:sz w:val="24"/>
          <w:szCs w:val="24"/>
        </w:rPr>
        <w:t xml:space="preserve">See Oct. 19, 2021 decision in </w:t>
      </w:r>
      <w:r w:rsidRPr="00310A49">
        <w:rPr>
          <w:b w:val="0"/>
          <w:bCs w:val="0"/>
          <w:sz w:val="24"/>
          <w:szCs w:val="24"/>
          <w:u w:val="single"/>
        </w:rPr>
        <w:t>JANE DOES 1-6, et al. v. Janet T. Mills, Governor of State of Maine</w:t>
      </w:r>
      <w:r w:rsidRPr="00310A49">
        <w:rPr>
          <w:b w:val="0"/>
          <w:bCs w:val="0"/>
          <w:sz w:val="24"/>
          <w:szCs w:val="24"/>
        </w:rPr>
        <w:t xml:space="preserve">, </w:t>
      </w:r>
      <w:r>
        <w:rPr>
          <w:b w:val="0"/>
          <w:bCs w:val="0"/>
          <w:sz w:val="24"/>
          <w:szCs w:val="24"/>
        </w:rPr>
        <w:t>where U.S. Court of Appeals for First Circuit (Boston) held (3 to 0) that Federal District Court Judge properly denied preliminary injunction for s</w:t>
      </w:r>
      <w:r w:rsidRPr="00310A49">
        <w:rPr>
          <w:b w:val="0"/>
          <w:bCs w:val="0"/>
          <w:sz w:val="24"/>
          <w:szCs w:val="24"/>
        </w:rPr>
        <w:t>everal Maine healthcare workers (and a healthcare provider who runs his own practice)</w:t>
      </w:r>
      <w:r>
        <w:rPr>
          <w:b w:val="0"/>
          <w:bCs w:val="0"/>
          <w:sz w:val="24"/>
          <w:szCs w:val="24"/>
        </w:rPr>
        <w:t xml:space="preserve">. </w:t>
      </w:r>
      <w:hyperlink r:id="rId553" w:history="1">
        <w:r w:rsidRPr="00764F47">
          <w:rPr>
            <w:rStyle w:val="Hyperlink"/>
            <w:sz w:val="24"/>
            <w:szCs w:val="24"/>
          </w:rPr>
          <w:t>http://media.ca1.uscourts.gov/pdf.opinions/21-1826P-01A.pdf</w:t>
        </w:r>
      </w:hyperlink>
      <w:r>
        <w:rPr>
          <w:b w:val="0"/>
          <w:bCs w:val="0"/>
          <w:sz w:val="24"/>
          <w:szCs w:val="24"/>
        </w:rPr>
        <w:t xml:space="preserve"> </w:t>
      </w:r>
    </w:p>
    <w:p w14:paraId="49D44305" w14:textId="77777777" w:rsidR="00243A7F" w:rsidRDefault="00243A7F" w:rsidP="00243A7F">
      <w:pPr>
        <w:pStyle w:val="Heading1"/>
        <w:ind w:left="720"/>
        <w:rPr>
          <w:b w:val="0"/>
          <w:bCs w:val="0"/>
          <w:sz w:val="24"/>
          <w:szCs w:val="24"/>
        </w:rPr>
      </w:pPr>
      <w:r>
        <w:rPr>
          <w:b w:val="0"/>
          <w:bCs w:val="0"/>
          <w:sz w:val="24"/>
          <w:szCs w:val="24"/>
        </w:rPr>
        <w:t xml:space="preserve">See Oct. 18, 2021 decision – </w:t>
      </w:r>
      <w:r w:rsidRPr="00B46DFE">
        <w:rPr>
          <w:b w:val="0"/>
          <w:bCs w:val="0"/>
          <w:sz w:val="24"/>
          <w:szCs w:val="24"/>
          <w:u w:val="single"/>
        </w:rPr>
        <w:t>Malcolm Johnson</w:t>
      </w:r>
      <w:r>
        <w:rPr>
          <w:b w:val="0"/>
          <w:bCs w:val="0"/>
          <w:sz w:val="24"/>
          <w:szCs w:val="24"/>
          <w:u w:val="single"/>
        </w:rPr>
        <w:t>, et al.</w:t>
      </w:r>
      <w:r w:rsidRPr="00B46DFE">
        <w:rPr>
          <w:b w:val="0"/>
          <w:bCs w:val="0"/>
          <w:sz w:val="24"/>
          <w:szCs w:val="24"/>
          <w:u w:val="single"/>
        </w:rPr>
        <w:t xml:space="preserve"> v. Brown</w:t>
      </w:r>
      <w:r>
        <w:rPr>
          <w:b w:val="0"/>
          <w:bCs w:val="0"/>
          <w:sz w:val="24"/>
          <w:szCs w:val="24"/>
        </w:rPr>
        <w:t xml:space="preserve">, where U.S. District Court Judge </w:t>
      </w:r>
      <w:r w:rsidRPr="00B46DFE">
        <w:rPr>
          <w:b w:val="0"/>
          <w:bCs w:val="0"/>
          <w:sz w:val="24"/>
          <w:szCs w:val="24"/>
        </w:rPr>
        <w:t>Michael H. Simon</w:t>
      </w:r>
      <w:r>
        <w:rPr>
          <w:b w:val="0"/>
          <w:bCs w:val="0"/>
          <w:sz w:val="24"/>
          <w:szCs w:val="24"/>
        </w:rPr>
        <w:t xml:space="preserve">, U.S. District Court, Oregon, denied temporary restraining order for </w:t>
      </w:r>
      <w:r w:rsidRPr="00B46DFE">
        <w:rPr>
          <w:b w:val="0"/>
          <w:bCs w:val="0"/>
          <w:sz w:val="24"/>
          <w:szCs w:val="24"/>
        </w:rPr>
        <w:t>42 individuals who are healthcare providers, healthcare staff, teachers, school staff, a school volunteer, and a State agency employee</w:t>
      </w:r>
      <w:r>
        <w:rPr>
          <w:b w:val="0"/>
          <w:bCs w:val="0"/>
          <w:sz w:val="24"/>
          <w:szCs w:val="24"/>
        </w:rPr>
        <w:t xml:space="preserve">.  , </w:t>
      </w:r>
      <w:hyperlink r:id="rId554" w:history="1">
        <w:r w:rsidRPr="00764F47">
          <w:rPr>
            <w:rStyle w:val="Hyperlink"/>
            <w:sz w:val="24"/>
            <w:szCs w:val="24"/>
          </w:rPr>
          <w:t>https://public.fastcase.com/9SKwsfNqTc6OieYDhNMyM3Zf%2BPwzrkIbdAwXmhTtl8LsaOGFJIHcsZBv5iyM%2B426E1WD6poza6PbNV5FFspTPxqJQS%2BqrXpJYGMVjXOs9qA%3D</w:t>
        </w:r>
      </w:hyperlink>
      <w:r>
        <w:rPr>
          <w:b w:val="0"/>
          <w:bCs w:val="0"/>
          <w:sz w:val="24"/>
          <w:szCs w:val="24"/>
        </w:rPr>
        <w:t xml:space="preserve"> </w:t>
      </w:r>
    </w:p>
    <w:p w14:paraId="6F1BFE37" w14:textId="77777777" w:rsidR="00243A7F" w:rsidRDefault="00243A7F" w:rsidP="00243A7F">
      <w:pPr>
        <w:pStyle w:val="Heading1"/>
        <w:ind w:left="720"/>
        <w:rPr>
          <w:b w:val="0"/>
          <w:bCs w:val="0"/>
          <w:sz w:val="24"/>
          <w:szCs w:val="24"/>
        </w:rPr>
      </w:pPr>
      <w:r w:rsidRPr="00BA6F47">
        <w:rPr>
          <w:b w:val="0"/>
          <w:bCs w:val="0"/>
          <w:sz w:val="24"/>
          <w:szCs w:val="24"/>
        </w:rPr>
        <w:t xml:space="preserve">See also Aug. 12, </w:t>
      </w:r>
      <w:proofErr w:type="gramStart"/>
      <w:r w:rsidRPr="00BA6F47">
        <w:rPr>
          <w:b w:val="0"/>
          <w:bCs w:val="0"/>
          <w:sz w:val="24"/>
          <w:szCs w:val="24"/>
        </w:rPr>
        <w:t>2021</w:t>
      </w:r>
      <w:proofErr w:type="gramEnd"/>
      <w:r w:rsidRPr="00BA6F47">
        <w:rPr>
          <w:b w:val="0"/>
          <w:bCs w:val="0"/>
          <w:sz w:val="24"/>
          <w:szCs w:val="24"/>
        </w:rPr>
        <w:t xml:space="preserve"> article, “Supreme Court won’t stop Indiana University’s COVID vaccination requirement.” </w:t>
      </w:r>
      <w:hyperlink r:id="rId555" w:history="1">
        <w:r w:rsidRPr="00BD2840">
          <w:rPr>
            <w:rStyle w:val="Hyperlink"/>
            <w:sz w:val="24"/>
            <w:szCs w:val="24"/>
          </w:rPr>
          <w:t>https://www.14news.com/2021/08/12/supreme-court-wont-stop-indiana-universitys-covid-vaccination-requirement/</w:t>
        </w:r>
      </w:hyperlink>
      <w:r>
        <w:rPr>
          <w:b w:val="0"/>
          <w:bCs w:val="0"/>
          <w:sz w:val="24"/>
          <w:szCs w:val="24"/>
        </w:rPr>
        <w:t xml:space="preserve"> “</w:t>
      </w:r>
      <w:r w:rsidRPr="00BA6F47">
        <w:rPr>
          <w:b w:val="0"/>
          <w:bCs w:val="0"/>
          <w:sz w:val="24"/>
          <w:szCs w:val="24"/>
        </w:rPr>
        <w:t>INDIANAPOLIS, Ind. (WFIE) - NBC News reports the Supreme Court refused to block Indiana University’s vaccination requirement, ruling in the first COVID vaccine case to reach the high court on Thursday.</w:t>
      </w:r>
      <w:r>
        <w:rPr>
          <w:b w:val="0"/>
          <w:bCs w:val="0"/>
          <w:sz w:val="24"/>
          <w:szCs w:val="24"/>
        </w:rPr>
        <w:t>”</w:t>
      </w:r>
    </w:p>
    <w:p w14:paraId="1FF4774C" w14:textId="77777777" w:rsidR="00243A7F" w:rsidRDefault="00243A7F" w:rsidP="00243A7F">
      <w:pPr>
        <w:pStyle w:val="Heading1"/>
        <w:ind w:left="720"/>
        <w:rPr>
          <w:b w:val="0"/>
          <w:bCs w:val="0"/>
          <w:sz w:val="24"/>
          <w:szCs w:val="24"/>
        </w:rPr>
      </w:pPr>
      <w:r>
        <w:rPr>
          <w:b w:val="0"/>
          <w:bCs w:val="0"/>
          <w:sz w:val="24"/>
          <w:szCs w:val="24"/>
        </w:rPr>
        <w:t xml:space="preserve">See July 19, </w:t>
      </w:r>
      <w:proofErr w:type="gramStart"/>
      <w:r>
        <w:rPr>
          <w:b w:val="0"/>
          <w:bCs w:val="0"/>
          <w:sz w:val="24"/>
          <w:szCs w:val="24"/>
        </w:rPr>
        <w:t>2021</w:t>
      </w:r>
      <w:proofErr w:type="gramEnd"/>
      <w:r>
        <w:rPr>
          <w:b w:val="0"/>
          <w:bCs w:val="0"/>
          <w:sz w:val="24"/>
          <w:szCs w:val="24"/>
        </w:rPr>
        <w:t xml:space="preserve"> article: </w:t>
      </w:r>
      <w:r w:rsidRPr="00BA6F47">
        <w:rPr>
          <w:rStyle w:val="Strong"/>
          <w:rFonts w:eastAsiaTheme="majorEastAsia"/>
          <w:sz w:val="24"/>
          <w:szCs w:val="24"/>
        </w:rPr>
        <w:t>“</w:t>
      </w:r>
      <w:r w:rsidRPr="00BA6F47">
        <w:rPr>
          <w:b w:val="0"/>
          <w:bCs w:val="0"/>
          <w:sz w:val="24"/>
          <w:szCs w:val="24"/>
        </w:rPr>
        <w:t xml:space="preserve">IU wins court case, can proceed with COVID-19 vaccine requirement.” </w:t>
      </w:r>
      <w:hyperlink r:id="rId556" w:history="1">
        <w:r w:rsidRPr="00BD2840">
          <w:rPr>
            <w:rStyle w:val="Hyperlink"/>
            <w:sz w:val="24"/>
            <w:szCs w:val="24"/>
          </w:rPr>
          <w:t>https://www.953mnc.com/2021/07/19/iu-wins-court-case-can-proceed-with-covid-19-vaccine-requirement/</w:t>
        </w:r>
      </w:hyperlink>
      <w:r>
        <w:rPr>
          <w:b w:val="0"/>
          <w:bCs w:val="0"/>
          <w:sz w:val="24"/>
          <w:szCs w:val="24"/>
        </w:rPr>
        <w:t xml:space="preserve"> “</w:t>
      </w:r>
      <w:r w:rsidRPr="00BA6F47">
        <w:rPr>
          <w:b w:val="0"/>
          <w:bCs w:val="0"/>
          <w:sz w:val="24"/>
          <w:szCs w:val="24"/>
        </w:rPr>
        <w:t>Indiana University has won a court case that could have stopped them from requiring the coronavirus vaccine. The U.S. District Court for the Northern District of Indiana in South Bend issued a ruling overnight that denies an injunction south by at least eight IU students</w:t>
      </w:r>
      <w:r>
        <w:rPr>
          <w:b w:val="0"/>
          <w:bCs w:val="0"/>
          <w:sz w:val="24"/>
          <w:szCs w:val="24"/>
        </w:rPr>
        <w:t>.”</w:t>
      </w:r>
    </w:p>
    <w:p w14:paraId="2B066563" w14:textId="77777777" w:rsidR="00243A7F" w:rsidRDefault="00243A7F" w:rsidP="00EF1133">
      <w:pPr>
        <w:pStyle w:val="NoSpacing"/>
        <w:rPr>
          <w:rFonts w:ascii="Arial Black" w:hAnsi="Arial Black"/>
          <w:sz w:val="24"/>
          <w:szCs w:val="24"/>
        </w:rPr>
      </w:pPr>
    </w:p>
    <w:p w14:paraId="053D934E" w14:textId="77777777" w:rsidR="00243A7F" w:rsidRDefault="00243A7F" w:rsidP="00EF1133">
      <w:pPr>
        <w:pStyle w:val="NoSpacing"/>
        <w:rPr>
          <w:rFonts w:ascii="Arial Black" w:hAnsi="Arial Black"/>
          <w:sz w:val="24"/>
          <w:szCs w:val="24"/>
        </w:rPr>
      </w:pPr>
    </w:p>
    <w:p w14:paraId="4F20FBAF" w14:textId="77777777" w:rsidR="00243A7F" w:rsidRDefault="00243A7F" w:rsidP="00EF1133">
      <w:pPr>
        <w:pStyle w:val="NoSpacing"/>
        <w:rPr>
          <w:rFonts w:ascii="Arial Black" w:hAnsi="Arial Black"/>
          <w:sz w:val="24"/>
          <w:szCs w:val="24"/>
        </w:rPr>
      </w:pPr>
    </w:p>
    <w:p w14:paraId="50EA4138" w14:textId="2648BA54" w:rsidR="00BD1702" w:rsidRDefault="00BD1702" w:rsidP="00EF1133">
      <w:pPr>
        <w:pStyle w:val="NoSpacing"/>
        <w:rPr>
          <w:rFonts w:ascii="Arial Black" w:hAnsi="Arial Black"/>
          <w:sz w:val="24"/>
          <w:szCs w:val="24"/>
        </w:rPr>
      </w:pPr>
      <w:r>
        <w:rPr>
          <w:rFonts w:ascii="Arial Black" w:hAnsi="Arial Black"/>
          <w:sz w:val="24"/>
          <w:szCs w:val="24"/>
        </w:rPr>
        <w:t>2-35</w:t>
      </w:r>
    </w:p>
    <w:p w14:paraId="66397097" w14:textId="77777777" w:rsidR="00BD1702" w:rsidRDefault="00BD1702" w:rsidP="00BD1702">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WI: AIR CARE HELICOPTER CRASH – ALL KILLED – PILOT MAY HAVE FALLEN ASLEEP – LAWSUIT MAY PROCEED</w:t>
      </w:r>
    </w:p>
    <w:p w14:paraId="44A13EA0" w14:textId="77777777" w:rsidR="00BD1702" w:rsidRDefault="00BD1702" w:rsidP="00BD1702">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Oct. 8, 2021, in </w:t>
      </w:r>
      <w:r>
        <w:rPr>
          <w:rFonts w:ascii="Times New Roman" w:eastAsia="Times New Roman" w:hAnsi="Times New Roman"/>
          <w:sz w:val="24"/>
          <w:szCs w:val="24"/>
          <w:u w:val="single"/>
        </w:rPr>
        <w:t xml:space="preserve">Lindsey Ward, Personal </w:t>
      </w:r>
      <w:proofErr w:type="spellStart"/>
      <w:r>
        <w:rPr>
          <w:rFonts w:ascii="Times New Roman" w:eastAsia="Times New Roman" w:hAnsi="Times New Roman"/>
          <w:sz w:val="24"/>
          <w:szCs w:val="24"/>
          <w:u w:val="single"/>
        </w:rPr>
        <w:t>Pepresentative</w:t>
      </w:r>
      <w:proofErr w:type="spellEnd"/>
      <w:r>
        <w:rPr>
          <w:rFonts w:ascii="Times New Roman" w:eastAsia="Times New Roman" w:hAnsi="Times New Roman"/>
          <w:sz w:val="24"/>
          <w:szCs w:val="24"/>
          <w:u w:val="single"/>
        </w:rPr>
        <w:t xml:space="preserve"> of Estate of Klint Mitchell, et al. v. Air Methods Corporation, et al.</w:t>
      </w:r>
      <w:r>
        <w:rPr>
          <w:rFonts w:ascii="Times New Roman" w:eastAsia="Times New Roman" w:hAnsi="Times New Roman"/>
          <w:sz w:val="24"/>
          <w:szCs w:val="24"/>
        </w:rPr>
        <w:t xml:space="preserve">, U.S. District Court Judge William M. Conley, Western District of Wisconsin, denied the defense motion to dismiss, holding that there is evidence of pilot fatigue.  </w:t>
      </w:r>
    </w:p>
    <w:p w14:paraId="78EC5DEF" w14:textId="77777777" w:rsidR="00BD1702" w:rsidRDefault="00BD1702" w:rsidP="00BD1702">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Pr>
          <w:rFonts w:ascii="Times New Roman" w:hAnsi="Times New Roman"/>
          <w:sz w:val="24"/>
          <w:szCs w:val="24"/>
        </w:rPr>
        <w:t xml:space="preserve">Plaintiffs allege that Air Methods knew, or should have known, that Caruso would be too fatigued to transport patients and the medical team safely, and it should now be held liable for Mr. Mitchell's death…. Accordingly, plaintiff's claim for wrongful death based on defendant's alleged negligent entrustment states a claim and will not be dismissed at the pleading stage either.” </w:t>
      </w:r>
      <w:hyperlink r:id="rId557" w:history="1">
        <w:r>
          <w:rPr>
            <w:rStyle w:val="Hyperlink"/>
            <w:sz w:val="24"/>
            <w:szCs w:val="24"/>
          </w:rPr>
          <w:t>https://public.fastcase.com/9SKwsfNqTc6OieYDhNMyM3m3eL%2Bu4x8bx%2FFPqQ706C1Bfi57%2Fsm8VTkLX0Q5d2JY3Hl0cE%2BCK3yDi%2BV1afLDAxYamaVWukse%2F0EpEJzWMdw%3D</w:t>
        </w:r>
      </w:hyperlink>
      <w:r>
        <w:rPr>
          <w:rFonts w:ascii="Times New Roman" w:hAnsi="Times New Roman"/>
          <w:sz w:val="24"/>
          <w:szCs w:val="24"/>
        </w:rPr>
        <w:t xml:space="preserve"> </w:t>
      </w:r>
    </w:p>
    <w:p w14:paraId="216F22CD" w14:textId="77777777" w:rsidR="00BD1702" w:rsidRDefault="00BD1702" w:rsidP="00BD1702">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 xml:space="preserve">Legal Lesson Learned: Fatigue can be a serious factor, not only for pilots, but also fire &amp; EMS personnel. </w:t>
      </w:r>
    </w:p>
    <w:p w14:paraId="50A50CA8" w14:textId="77777777" w:rsidR="00BD1702" w:rsidRDefault="00BD1702" w:rsidP="00EF1133">
      <w:pPr>
        <w:pStyle w:val="NoSpacing"/>
        <w:rPr>
          <w:rFonts w:ascii="Arial Black" w:hAnsi="Arial Black"/>
          <w:sz w:val="24"/>
          <w:szCs w:val="24"/>
        </w:rPr>
      </w:pPr>
    </w:p>
    <w:p w14:paraId="158CC1D9" w14:textId="77777777" w:rsidR="00BD1702" w:rsidRDefault="00BD1702" w:rsidP="00EF1133">
      <w:pPr>
        <w:pStyle w:val="NoSpacing"/>
        <w:rPr>
          <w:rFonts w:ascii="Arial Black" w:hAnsi="Arial Black"/>
          <w:sz w:val="24"/>
          <w:szCs w:val="24"/>
        </w:rPr>
      </w:pPr>
    </w:p>
    <w:p w14:paraId="3A43AE8F" w14:textId="45D4F376" w:rsidR="005217D5" w:rsidRDefault="005217D5" w:rsidP="00EF1133">
      <w:pPr>
        <w:pStyle w:val="NoSpacing"/>
        <w:rPr>
          <w:rFonts w:ascii="Arial Black" w:hAnsi="Arial Black"/>
          <w:sz w:val="24"/>
          <w:szCs w:val="24"/>
        </w:rPr>
      </w:pPr>
      <w:r>
        <w:rPr>
          <w:rFonts w:ascii="Arial Black" w:hAnsi="Arial Black"/>
          <w:sz w:val="24"/>
          <w:szCs w:val="24"/>
        </w:rPr>
        <w:t>2-34</w:t>
      </w:r>
    </w:p>
    <w:p w14:paraId="30B4EAA8" w14:textId="279AF8FD" w:rsidR="005217D5" w:rsidRDefault="005217D5" w:rsidP="00EF1133">
      <w:pPr>
        <w:pStyle w:val="NoSpacing"/>
        <w:rPr>
          <w:rFonts w:ascii="Arial Black" w:hAnsi="Arial Black"/>
          <w:sz w:val="24"/>
          <w:szCs w:val="24"/>
        </w:rPr>
      </w:pPr>
    </w:p>
    <w:p w14:paraId="0B2C7626" w14:textId="77777777" w:rsidR="005217D5" w:rsidRPr="00A05016" w:rsidRDefault="005217D5" w:rsidP="005217D5">
      <w:pPr>
        <w:spacing w:before="100" w:beforeAutospacing="1" w:after="100" w:afterAutospacing="1" w:line="240" w:lineRule="auto"/>
        <w:rPr>
          <w:rFonts w:ascii="Arial Black" w:hAnsi="Arial Black"/>
          <w:sz w:val="28"/>
          <w:szCs w:val="28"/>
        </w:rPr>
      </w:pPr>
      <w:r w:rsidRPr="00A05016">
        <w:rPr>
          <w:rFonts w:ascii="Arial Black" w:hAnsi="Arial Black"/>
          <w:sz w:val="28"/>
          <w:szCs w:val="28"/>
        </w:rPr>
        <w:t>MO</w:t>
      </w:r>
      <w:r>
        <w:rPr>
          <w:rFonts w:ascii="Arial Black" w:hAnsi="Arial Black"/>
          <w:sz w:val="28"/>
          <w:szCs w:val="28"/>
        </w:rPr>
        <w:t xml:space="preserve">: FF INJURED BY FALLING BRICKS – PTSD - BUT NOT TOTALLY &amp; PERMANENTLY DISABLED </w:t>
      </w:r>
    </w:p>
    <w:p w14:paraId="43BD350B" w14:textId="77777777" w:rsidR="005217D5" w:rsidRPr="002E654B" w:rsidRDefault="005217D5" w:rsidP="005217D5">
      <w:pPr>
        <w:spacing w:before="100" w:beforeAutospacing="1" w:after="100" w:afterAutospacing="1" w:line="240" w:lineRule="auto"/>
        <w:rPr>
          <w:rFonts w:ascii="Times New Roman" w:hAnsi="Times New Roman"/>
          <w:sz w:val="24"/>
          <w:szCs w:val="24"/>
        </w:rPr>
      </w:pPr>
      <w:r w:rsidRPr="0040016A">
        <w:rPr>
          <w:rFonts w:ascii="Times New Roman" w:hAnsi="Times New Roman"/>
          <w:sz w:val="24"/>
          <w:szCs w:val="24"/>
        </w:rPr>
        <w:t xml:space="preserve">On July 20, 2021, in </w:t>
      </w:r>
      <w:r w:rsidRPr="0040016A">
        <w:rPr>
          <w:rFonts w:ascii="Times New Roman" w:hAnsi="Times New Roman"/>
          <w:sz w:val="24"/>
          <w:szCs w:val="24"/>
          <w:u w:val="single"/>
        </w:rPr>
        <w:t>Michael Taylor v. The Board of Trustees of the Firefighters’ Retirement Plan of St. Louis</w:t>
      </w:r>
      <w:r w:rsidRPr="0040016A">
        <w:rPr>
          <w:rFonts w:ascii="Times New Roman" w:hAnsi="Times New Roman"/>
          <w:sz w:val="24"/>
          <w:szCs w:val="24"/>
        </w:rPr>
        <w:t xml:space="preserve">, </w:t>
      </w:r>
      <w:r>
        <w:rPr>
          <w:rFonts w:ascii="Times New Roman" w:hAnsi="Times New Roman"/>
          <w:sz w:val="24"/>
          <w:szCs w:val="24"/>
        </w:rPr>
        <w:t xml:space="preserve">the Missouri Court of Appeals (Eastern District – Division Four) held (3 to 0) that the Retirement Board correctly denied his claim for total and permanent disability benefits (25% of his average final compensation), with one doctor describing “symptom magnification.”  </w:t>
      </w:r>
      <w:r w:rsidRPr="0040016A">
        <w:rPr>
          <w:rFonts w:ascii="Times New Roman" w:hAnsi="Times New Roman"/>
          <w:sz w:val="24"/>
          <w:szCs w:val="24"/>
        </w:rPr>
        <w:t>Taylor testified he was working as a stationary engineer trainee for the City of St. Louis at a water purification facility and that his PTSD symptoms were not preventing him from performing that job</w:t>
      </w:r>
      <w:r>
        <w:rPr>
          <w:rFonts w:ascii="Times New Roman" w:hAnsi="Times New Roman"/>
          <w:sz w:val="24"/>
          <w:szCs w:val="24"/>
        </w:rPr>
        <w:t xml:space="preserve">. The Board found </w:t>
      </w:r>
      <w:proofErr w:type="gramStart"/>
      <w:r>
        <w:rPr>
          <w:rFonts w:ascii="Times New Roman" w:hAnsi="Times New Roman"/>
          <w:sz w:val="24"/>
          <w:szCs w:val="24"/>
        </w:rPr>
        <w:t xml:space="preserve">the </w:t>
      </w:r>
      <w:r w:rsidRPr="002E654B">
        <w:rPr>
          <w:rFonts w:ascii="Times New Roman" w:hAnsi="Times New Roman"/>
          <w:sz w:val="24"/>
          <w:szCs w:val="24"/>
        </w:rPr>
        <w:t>Taylor's</w:t>
      </w:r>
      <w:proofErr w:type="gramEnd"/>
      <w:r w:rsidRPr="002E654B">
        <w:rPr>
          <w:rFonts w:ascii="Times New Roman" w:hAnsi="Times New Roman"/>
          <w:sz w:val="24"/>
          <w:szCs w:val="24"/>
        </w:rPr>
        <w:t xml:space="preserve"> failure to return to work </w:t>
      </w:r>
      <w:r>
        <w:rPr>
          <w:rFonts w:ascii="Times New Roman" w:hAnsi="Times New Roman"/>
          <w:sz w:val="24"/>
          <w:szCs w:val="24"/>
        </w:rPr>
        <w:t xml:space="preserve">as a firefighter </w:t>
      </w:r>
      <w:r w:rsidRPr="002E654B">
        <w:rPr>
          <w:rFonts w:ascii="Times New Roman" w:hAnsi="Times New Roman"/>
          <w:sz w:val="24"/>
          <w:szCs w:val="24"/>
        </w:rPr>
        <w:t>was caused by his "unwillingness to return to work</w:t>
      </w:r>
      <w:r>
        <w:rPr>
          <w:rFonts w:ascii="Times New Roman" w:hAnsi="Times New Roman"/>
          <w:sz w:val="24"/>
          <w:szCs w:val="24"/>
        </w:rPr>
        <w:t>.</w:t>
      </w:r>
      <w:r w:rsidRPr="002E654B">
        <w:rPr>
          <w:rFonts w:ascii="Times New Roman" w:hAnsi="Times New Roman"/>
          <w:sz w:val="24"/>
          <w:szCs w:val="24"/>
        </w:rPr>
        <w:t>"</w:t>
      </w:r>
      <w:r>
        <w:rPr>
          <w:rFonts w:ascii="Times New Roman" w:hAnsi="Times New Roman"/>
          <w:sz w:val="24"/>
          <w:szCs w:val="24"/>
        </w:rPr>
        <w:t xml:space="preserve"> </w:t>
      </w:r>
    </w:p>
    <w:p w14:paraId="4CA8CB66" w14:textId="77777777" w:rsidR="005217D5" w:rsidRDefault="005217D5" w:rsidP="005217D5">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40016A">
        <w:rPr>
          <w:rFonts w:ascii="Times New Roman" w:hAnsi="Times New Roman"/>
          <w:sz w:val="24"/>
          <w:szCs w:val="24"/>
        </w:rPr>
        <w:t xml:space="preserve">Taylor's argument is premised on the erroneous belief that the Board interpreted the </w:t>
      </w:r>
      <w:r>
        <w:rPr>
          <w:rFonts w:ascii="Times New Roman" w:hAnsi="Times New Roman"/>
          <w:sz w:val="24"/>
          <w:szCs w:val="24"/>
        </w:rPr>
        <w:t>‘</w:t>
      </w:r>
      <w:r w:rsidRPr="0040016A">
        <w:rPr>
          <w:rFonts w:ascii="Times New Roman" w:hAnsi="Times New Roman"/>
          <w:sz w:val="24"/>
          <w:szCs w:val="24"/>
        </w:rPr>
        <w:t>resulting from bodily injury</w:t>
      </w:r>
      <w:r>
        <w:rPr>
          <w:rFonts w:ascii="Times New Roman" w:hAnsi="Times New Roman"/>
          <w:sz w:val="24"/>
          <w:szCs w:val="24"/>
        </w:rPr>
        <w:t>’</w:t>
      </w:r>
      <w:r w:rsidRPr="0040016A">
        <w:rPr>
          <w:rFonts w:ascii="Times New Roman" w:hAnsi="Times New Roman"/>
          <w:sz w:val="24"/>
          <w:szCs w:val="24"/>
        </w:rPr>
        <w:t xml:space="preserve"> requirement contained in section 4.19.070(B)(2) to exclude mental disabilities. Contrary to Taylor's assertion, the Board did not deny his claim on that basis; it instead found he failed to carry his burden of proof to establish three of the requirements of section 4.19.070(b)(2)—specifically, that (1) he incurred a total and permanent disability, (2) his health condition </w:t>
      </w:r>
      <w:r>
        <w:rPr>
          <w:rFonts w:ascii="Times New Roman" w:hAnsi="Times New Roman"/>
          <w:sz w:val="24"/>
          <w:szCs w:val="24"/>
        </w:rPr>
        <w:t>‘</w:t>
      </w:r>
      <w:r w:rsidRPr="0040016A">
        <w:rPr>
          <w:rFonts w:ascii="Times New Roman" w:hAnsi="Times New Roman"/>
          <w:sz w:val="24"/>
          <w:szCs w:val="24"/>
        </w:rPr>
        <w:t>resulted from bodily injury,</w:t>
      </w:r>
      <w:r>
        <w:rPr>
          <w:rFonts w:ascii="Times New Roman" w:hAnsi="Times New Roman"/>
          <w:sz w:val="24"/>
          <w:szCs w:val="24"/>
        </w:rPr>
        <w:t>’</w:t>
      </w:r>
      <w:r w:rsidRPr="0040016A">
        <w:rPr>
          <w:rFonts w:ascii="Times New Roman" w:hAnsi="Times New Roman"/>
          <w:sz w:val="24"/>
          <w:szCs w:val="24"/>
        </w:rPr>
        <w:t xml:space="preserve"> and (3) his health condition rendered him totally and permanently disabled from working as a firefighter.</w:t>
      </w:r>
      <w:r>
        <w:rPr>
          <w:rFonts w:ascii="Times New Roman" w:hAnsi="Times New Roman"/>
          <w:sz w:val="24"/>
          <w:szCs w:val="24"/>
        </w:rPr>
        <w:t xml:space="preserve">” </w:t>
      </w:r>
      <w:hyperlink r:id="rId558" w:history="1">
        <w:r w:rsidRPr="004A379F">
          <w:rPr>
            <w:rStyle w:val="Hyperlink"/>
            <w:sz w:val="24"/>
            <w:szCs w:val="24"/>
          </w:rPr>
          <w:t>https://casetext.com/case/taylor-v-bd-of-trs-of-firefighters-ret-plan-of-st-louis</w:t>
        </w:r>
      </w:hyperlink>
      <w:r>
        <w:rPr>
          <w:rFonts w:ascii="Times New Roman" w:hAnsi="Times New Roman"/>
          <w:sz w:val="24"/>
          <w:szCs w:val="24"/>
        </w:rPr>
        <w:t xml:space="preserve"> </w:t>
      </w:r>
    </w:p>
    <w:p w14:paraId="6F863CCC" w14:textId="77777777" w:rsidR="005217D5" w:rsidRPr="002E654B" w:rsidRDefault="005217D5" w:rsidP="005217D5">
      <w:pPr>
        <w:spacing w:before="100" w:beforeAutospacing="1" w:after="100" w:afterAutospacing="1" w:line="240" w:lineRule="auto"/>
        <w:rPr>
          <w:rFonts w:ascii="Times New Roman" w:eastAsia="Times New Roman" w:hAnsi="Times New Roman"/>
          <w:b/>
          <w:bCs/>
          <w:sz w:val="24"/>
          <w:szCs w:val="24"/>
        </w:rPr>
      </w:pPr>
      <w:r w:rsidRPr="002E654B">
        <w:rPr>
          <w:rFonts w:ascii="Times New Roman" w:hAnsi="Times New Roman"/>
          <w:b/>
          <w:bCs/>
          <w:sz w:val="24"/>
          <w:szCs w:val="24"/>
        </w:rPr>
        <w:t>Legal Lesson Learned:</w:t>
      </w:r>
      <w:r>
        <w:rPr>
          <w:rFonts w:ascii="Times New Roman" w:hAnsi="Times New Roman"/>
          <w:b/>
          <w:bCs/>
          <w:sz w:val="24"/>
          <w:szCs w:val="24"/>
        </w:rPr>
        <w:t xml:space="preserve">  The firefighter failed to prove his suffered from “total and permanent” disability resulting from the </w:t>
      </w:r>
      <w:proofErr w:type="gramStart"/>
      <w:r>
        <w:rPr>
          <w:rFonts w:ascii="Times New Roman" w:hAnsi="Times New Roman"/>
          <w:b/>
          <w:bCs/>
          <w:sz w:val="24"/>
          <w:szCs w:val="24"/>
        </w:rPr>
        <w:t>on duty</w:t>
      </w:r>
      <w:proofErr w:type="gramEnd"/>
      <w:r>
        <w:rPr>
          <w:rFonts w:ascii="Times New Roman" w:hAnsi="Times New Roman"/>
          <w:b/>
          <w:bCs/>
          <w:sz w:val="24"/>
          <w:szCs w:val="24"/>
        </w:rPr>
        <w:t xml:space="preserve"> injury.</w:t>
      </w:r>
    </w:p>
    <w:p w14:paraId="7F4EC019" w14:textId="77777777" w:rsidR="005217D5" w:rsidRDefault="005217D5" w:rsidP="00EF1133">
      <w:pPr>
        <w:pStyle w:val="NoSpacing"/>
        <w:rPr>
          <w:rFonts w:ascii="Arial Black" w:hAnsi="Arial Black"/>
          <w:sz w:val="24"/>
          <w:szCs w:val="24"/>
        </w:rPr>
      </w:pPr>
    </w:p>
    <w:p w14:paraId="1466AFB5" w14:textId="77777777" w:rsidR="005217D5" w:rsidRDefault="005217D5" w:rsidP="00EF1133">
      <w:pPr>
        <w:pStyle w:val="NoSpacing"/>
        <w:rPr>
          <w:rFonts w:ascii="Arial Black" w:hAnsi="Arial Black"/>
          <w:sz w:val="24"/>
          <w:szCs w:val="24"/>
        </w:rPr>
      </w:pPr>
    </w:p>
    <w:p w14:paraId="469D9803" w14:textId="77777777" w:rsidR="005217D5" w:rsidRDefault="005217D5" w:rsidP="00EF1133">
      <w:pPr>
        <w:pStyle w:val="NoSpacing"/>
        <w:rPr>
          <w:rFonts w:ascii="Arial Black" w:hAnsi="Arial Black"/>
          <w:sz w:val="24"/>
          <w:szCs w:val="24"/>
        </w:rPr>
      </w:pPr>
    </w:p>
    <w:p w14:paraId="05EAD169" w14:textId="426F65B5" w:rsidR="0077274E" w:rsidRDefault="00A82898" w:rsidP="00EF1133">
      <w:pPr>
        <w:pStyle w:val="NoSpacing"/>
        <w:rPr>
          <w:rFonts w:ascii="Arial Black" w:hAnsi="Arial Black"/>
          <w:sz w:val="24"/>
          <w:szCs w:val="24"/>
        </w:rPr>
      </w:pPr>
      <w:r>
        <w:rPr>
          <w:rFonts w:ascii="Arial Black" w:hAnsi="Arial Black"/>
          <w:sz w:val="24"/>
          <w:szCs w:val="24"/>
        </w:rPr>
        <w:t>2-33</w:t>
      </w:r>
    </w:p>
    <w:p w14:paraId="00E27B2B" w14:textId="77777777" w:rsidR="00A82898" w:rsidRPr="000C40ED" w:rsidRDefault="00A82898" w:rsidP="00A82898">
      <w:pPr>
        <w:pStyle w:val="Heading1"/>
        <w:rPr>
          <w:rFonts w:ascii="Arial Black" w:hAnsi="Arial Black"/>
          <w:sz w:val="28"/>
          <w:szCs w:val="28"/>
        </w:rPr>
      </w:pPr>
      <w:r>
        <w:rPr>
          <w:rFonts w:ascii="Arial Black" w:hAnsi="Arial Black"/>
          <w:sz w:val="28"/>
          <w:szCs w:val="28"/>
        </w:rPr>
        <w:t>OH: SCHOOL TEACHERS CARRY FIREARMS - MUST TAKE 25-HOURS TRAINING REQUIRED FOR SECURITY GUARDS</w:t>
      </w:r>
    </w:p>
    <w:p w14:paraId="79B0221D" w14:textId="0318763E" w:rsidR="00C52D60" w:rsidRDefault="00C52D60" w:rsidP="00C52D60">
      <w:pPr>
        <w:pStyle w:val="Heading1"/>
        <w:rPr>
          <w:b w:val="0"/>
          <w:bCs w:val="0"/>
          <w:sz w:val="24"/>
          <w:szCs w:val="24"/>
        </w:rPr>
      </w:pPr>
      <w:r>
        <w:rPr>
          <w:b w:val="0"/>
          <w:bCs w:val="0"/>
          <w:sz w:val="24"/>
          <w:szCs w:val="24"/>
        </w:rPr>
        <w:t xml:space="preserve">On June 23, 2021, in </w:t>
      </w:r>
      <w:r>
        <w:rPr>
          <w:b w:val="0"/>
          <w:bCs w:val="0"/>
          <w:sz w:val="24"/>
          <w:szCs w:val="24"/>
          <w:u w:val="single"/>
        </w:rPr>
        <w:t>Erin Gabbard et al. v. Madison Local School District Board of Education</w:t>
      </w:r>
      <w:r>
        <w:rPr>
          <w:b w:val="0"/>
          <w:bCs w:val="0"/>
          <w:sz w:val="24"/>
          <w:szCs w:val="24"/>
        </w:rPr>
        <w:t xml:space="preserve">, the Ohio Supreme Court held (4 to 3) that the School Board cannot authorize 10 teachers to carry concealed firearms while on duty unless they first comply with Ohio Peace Officer Training Commission (OPATC) training requirements for armed security officers: 700 hours, instead of 24-hours, at an approved OPOTC training facility.  </w:t>
      </w:r>
    </w:p>
    <w:p w14:paraId="7172B3CA" w14:textId="3795677E" w:rsidR="00A82898" w:rsidRDefault="00A82898" w:rsidP="00A82898">
      <w:pPr>
        <w:pStyle w:val="Heading1"/>
        <w:ind w:left="720"/>
        <w:rPr>
          <w:b w:val="0"/>
          <w:bCs w:val="0"/>
          <w:sz w:val="24"/>
          <w:szCs w:val="24"/>
        </w:rPr>
      </w:pPr>
      <w:r>
        <w:rPr>
          <w:b w:val="0"/>
          <w:bCs w:val="0"/>
          <w:sz w:val="24"/>
          <w:szCs w:val="24"/>
        </w:rPr>
        <w:t>“</w:t>
      </w:r>
      <w:r w:rsidRPr="000C40ED">
        <w:rPr>
          <w:b w:val="0"/>
          <w:bCs w:val="0"/>
          <w:sz w:val="24"/>
          <w:szCs w:val="24"/>
        </w:rPr>
        <w:t>A person might be hired as a teacher, but when that person agrees to go armed while teaching, his or her duties expand to encompass additional duties akin to those normally performed by special police officers and security guards.</w:t>
      </w:r>
    </w:p>
    <w:p w14:paraId="58684F3E" w14:textId="77777777" w:rsidR="00A82898" w:rsidRDefault="00A82898" w:rsidP="00A82898">
      <w:pPr>
        <w:pStyle w:val="Heading1"/>
        <w:ind w:firstLine="720"/>
        <w:rPr>
          <w:b w:val="0"/>
          <w:bCs w:val="0"/>
          <w:sz w:val="24"/>
          <w:szCs w:val="24"/>
        </w:rPr>
      </w:pPr>
      <w:r>
        <w:rPr>
          <w:b w:val="0"/>
          <w:bCs w:val="0"/>
          <w:sz w:val="24"/>
          <w:szCs w:val="24"/>
        </w:rPr>
        <w:t>***</w:t>
      </w:r>
    </w:p>
    <w:p w14:paraId="34B4F3B0" w14:textId="77777777" w:rsidR="00A82898" w:rsidRDefault="00A82898" w:rsidP="00A82898">
      <w:pPr>
        <w:pStyle w:val="Heading1"/>
        <w:ind w:left="720"/>
        <w:rPr>
          <w:b w:val="0"/>
          <w:bCs w:val="0"/>
          <w:sz w:val="24"/>
          <w:szCs w:val="24"/>
        </w:rPr>
      </w:pPr>
      <w:r w:rsidRPr="000C40ED">
        <w:rPr>
          <w:b w:val="0"/>
          <w:bCs w:val="0"/>
          <w:sz w:val="24"/>
          <w:szCs w:val="24"/>
        </w:rPr>
        <w:lastRenderedPageBreak/>
        <w:t>We conclude that R.C. 2923.122(D)(1)(a) does not clearly constitute a legislative grant of power for school boards to authorize their employees to go armed so long as the employees undergo whatever training a board might deem advisable.</w:t>
      </w:r>
    </w:p>
    <w:p w14:paraId="1CF56B93" w14:textId="77777777" w:rsidR="00A82898" w:rsidRDefault="00A82898" w:rsidP="00A82898">
      <w:pPr>
        <w:pStyle w:val="Heading1"/>
        <w:ind w:firstLine="720"/>
        <w:rPr>
          <w:b w:val="0"/>
          <w:bCs w:val="0"/>
          <w:sz w:val="24"/>
          <w:szCs w:val="24"/>
        </w:rPr>
      </w:pPr>
      <w:r>
        <w:rPr>
          <w:b w:val="0"/>
          <w:bCs w:val="0"/>
          <w:sz w:val="24"/>
          <w:szCs w:val="24"/>
        </w:rPr>
        <w:t>***</w:t>
      </w:r>
    </w:p>
    <w:p w14:paraId="0E2CA891" w14:textId="77777777" w:rsidR="00A82898" w:rsidRDefault="00A82898" w:rsidP="00A82898">
      <w:pPr>
        <w:pStyle w:val="Heading1"/>
        <w:ind w:left="720"/>
        <w:rPr>
          <w:b w:val="0"/>
          <w:bCs w:val="0"/>
          <w:sz w:val="24"/>
          <w:szCs w:val="24"/>
        </w:rPr>
      </w:pPr>
      <w:r w:rsidRPr="000C40ED">
        <w:rPr>
          <w:b w:val="0"/>
          <w:bCs w:val="0"/>
          <w:sz w:val="24"/>
          <w:szCs w:val="24"/>
        </w:rPr>
        <w:t xml:space="preserve">Unlike other state legislatures that have responded to more recent calls to arm teachers and other school staff by enacting legislation that is specifically tailored to that issue, see, e.g., </w:t>
      </w:r>
      <w:proofErr w:type="spellStart"/>
      <w:r w:rsidRPr="000C40ED">
        <w:rPr>
          <w:b w:val="0"/>
          <w:bCs w:val="0"/>
          <w:sz w:val="24"/>
          <w:szCs w:val="24"/>
        </w:rPr>
        <w:t>Kan.Stat.Ann</w:t>
      </w:r>
      <w:proofErr w:type="spellEnd"/>
      <w:r w:rsidRPr="000C40ED">
        <w:rPr>
          <w:b w:val="0"/>
          <w:bCs w:val="0"/>
          <w:sz w:val="24"/>
          <w:szCs w:val="24"/>
        </w:rPr>
        <w:t xml:space="preserve">. 75-7c10(d)(1), </w:t>
      </w:r>
      <w:proofErr w:type="spellStart"/>
      <w:r w:rsidRPr="000C40ED">
        <w:rPr>
          <w:b w:val="0"/>
          <w:bCs w:val="0"/>
          <w:sz w:val="24"/>
          <w:szCs w:val="24"/>
        </w:rPr>
        <w:t>S.D.Codified</w:t>
      </w:r>
      <w:proofErr w:type="spellEnd"/>
      <w:r w:rsidRPr="000C40ED">
        <w:rPr>
          <w:b w:val="0"/>
          <w:bCs w:val="0"/>
          <w:sz w:val="24"/>
          <w:szCs w:val="24"/>
        </w:rPr>
        <w:t xml:space="preserve"> Laws 13-64-1, </w:t>
      </w:r>
      <w:proofErr w:type="spellStart"/>
      <w:r w:rsidRPr="000C40ED">
        <w:rPr>
          <w:b w:val="0"/>
          <w:bCs w:val="0"/>
          <w:sz w:val="24"/>
          <w:szCs w:val="24"/>
        </w:rPr>
        <w:t>Tenn.Code</w:t>
      </w:r>
      <w:proofErr w:type="spellEnd"/>
      <w:r w:rsidRPr="000C40ED">
        <w:rPr>
          <w:b w:val="0"/>
          <w:bCs w:val="0"/>
          <w:sz w:val="24"/>
          <w:szCs w:val="24"/>
        </w:rPr>
        <w:t xml:space="preserve"> Ann. 49-6-815, and </w:t>
      </w:r>
      <w:proofErr w:type="spellStart"/>
      <w:r w:rsidRPr="000C40ED">
        <w:rPr>
          <w:b w:val="0"/>
          <w:bCs w:val="0"/>
          <w:sz w:val="24"/>
          <w:szCs w:val="24"/>
        </w:rPr>
        <w:t>Tex.Educ.Code</w:t>
      </w:r>
      <w:proofErr w:type="spellEnd"/>
      <w:r w:rsidRPr="000C40ED">
        <w:rPr>
          <w:b w:val="0"/>
          <w:bCs w:val="0"/>
          <w:sz w:val="24"/>
          <w:szCs w:val="24"/>
        </w:rPr>
        <w:t xml:space="preserve"> Ann. 37.0811, the General Assembly has not done so.</w:t>
      </w:r>
      <w:r>
        <w:rPr>
          <w:b w:val="0"/>
          <w:bCs w:val="0"/>
          <w:sz w:val="24"/>
          <w:szCs w:val="24"/>
        </w:rPr>
        <w:t xml:space="preserve">  3.</w:t>
      </w:r>
    </w:p>
    <w:p w14:paraId="624B850F" w14:textId="77777777" w:rsidR="00A82898" w:rsidRPr="003D5D8C" w:rsidRDefault="00A82898" w:rsidP="00A82898">
      <w:pPr>
        <w:pStyle w:val="Heading1"/>
        <w:ind w:left="1440"/>
        <w:rPr>
          <w:b w:val="0"/>
          <w:bCs w:val="0"/>
          <w:sz w:val="24"/>
          <w:szCs w:val="24"/>
        </w:rPr>
      </w:pPr>
      <w:r w:rsidRPr="00DA092A">
        <w:rPr>
          <w:b w:val="0"/>
          <w:bCs w:val="0"/>
          <w:sz w:val="24"/>
          <w:szCs w:val="24"/>
        </w:rPr>
        <w:t xml:space="preserve">Footnote 3. There is currently pending in the General Assembly a bill that would exclude from R.C. 109.78(D)’s training-or-experience requirement teachers and other school employees whom a school board authorizes to carry a firearm while on duty. See 2021 H.B. No. 99. As introduced, the bill states an express intention to overrule the Twelfth District Court of Appeals’ decision below in this case.  </w:t>
      </w:r>
      <w:hyperlink r:id="rId559" w:history="1">
        <w:r w:rsidRPr="003D5D8C">
          <w:rPr>
            <w:rStyle w:val="Hyperlink"/>
            <w:sz w:val="24"/>
            <w:szCs w:val="24"/>
          </w:rPr>
          <w:t>https://www.supremecourt.ohio.gov/rod/docs/pdf/0/2021/2021-Ohio-2067.pdf</w:t>
        </w:r>
      </w:hyperlink>
      <w:r w:rsidRPr="003D5D8C">
        <w:rPr>
          <w:b w:val="0"/>
          <w:bCs w:val="0"/>
          <w:sz w:val="24"/>
          <w:szCs w:val="24"/>
        </w:rPr>
        <w:t xml:space="preserve"> </w:t>
      </w:r>
    </w:p>
    <w:p w14:paraId="063C8E1C" w14:textId="77777777" w:rsidR="00A82898" w:rsidRDefault="00A82898" w:rsidP="00A82898">
      <w:pPr>
        <w:pStyle w:val="Heading1"/>
        <w:rPr>
          <w:sz w:val="24"/>
          <w:szCs w:val="24"/>
        </w:rPr>
      </w:pPr>
      <w:r w:rsidRPr="008A7D9D">
        <w:rPr>
          <w:sz w:val="24"/>
          <w:szCs w:val="24"/>
        </w:rPr>
        <w:t xml:space="preserve">Legal Lesson Learned: </w:t>
      </w:r>
      <w:r>
        <w:rPr>
          <w:sz w:val="24"/>
          <w:szCs w:val="24"/>
        </w:rPr>
        <w:t xml:space="preserve">Fire &amp; EMS departments should issue a policy on </w:t>
      </w:r>
      <w:proofErr w:type="gramStart"/>
      <w:r>
        <w:rPr>
          <w:sz w:val="24"/>
          <w:szCs w:val="24"/>
        </w:rPr>
        <w:t>whether on</w:t>
      </w:r>
      <w:proofErr w:type="gramEnd"/>
      <w:r>
        <w:rPr>
          <w:sz w:val="24"/>
          <w:szCs w:val="24"/>
        </w:rPr>
        <w:t xml:space="preserve"> duty personnel may possess firearms, and minimum training required. </w:t>
      </w:r>
    </w:p>
    <w:p w14:paraId="5C246CBC" w14:textId="77777777" w:rsidR="00A82898" w:rsidRPr="00B14793" w:rsidRDefault="00A82898" w:rsidP="00A82898">
      <w:pPr>
        <w:pStyle w:val="NoSpacing"/>
        <w:ind w:left="720"/>
        <w:rPr>
          <w:rFonts w:ascii="Times New Roman" w:hAnsi="Times New Roman"/>
          <w:sz w:val="24"/>
          <w:szCs w:val="24"/>
        </w:rPr>
      </w:pPr>
      <w:r w:rsidRPr="00DA092A">
        <w:rPr>
          <w:rFonts w:ascii="Times New Roman" w:hAnsi="Times New Roman"/>
          <w:sz w:val="24"/>
          <w:szCs w:val="24"/>
        </w:rPr>
        <w:t xml:space="preserve">See this </w:t>
      </w:r>
      <w:r>
        <w:rPr>
          <w:rFonts w:ascii="Times New Roman" w:hAnsi="Times New Roman"/>
          <w:sz w:val="24"/>
          <w:szCs w:val="24"/>
        </w:rPr>
        <w:t xml:space="preserve">Dec. 1, </w:t>
      </w:r>
      <w:proofErr w:type="gramStart"/>
      <w:r>
        <w:rPr>
          <w:rFonts w:ascii="Times New Roman" w:hAnsi="Times New Roman"/>
          <w:sz w:val="24"/>
          <w:szCs w:val="24"/>
        </w:rPr>
        <w:t>2019</w:t>
      </w:r>
      <w:proofErr w:type="gramEnd"/>
      <w:r>
        <w:rPr>
          <w:rFonts w:ascii="Times New Roman" w:hAnsi="Times New Roman"/>
          <w:sz w:val="24"/>
          <w:szCs w:val="24"/>
        </w:rPr>
        <w:t xml:space="preserve"> </w:t>
      </w:r>
      <w:r w:rsidRPr="00DA092A">
        <w:rPr>
          <w:rFonts w:ascii="Times New Roman" w:hAnsi="Times New Roman"/>
          <w:sz w:val="24"/>
          <w:szCs w:val="24"/>
        </w:rPr>
        <w:t>article: “Fire Law: Should Firefighters Be Armed?” Curt Varone explains the challenges of the decision to allow members of a fire department to carry a firearm while on duty.</w:t>
      </w:r>
      <w:r>
        <w:rPr>
          <w:rFonts w:ascii="Times New Roman" w:hAnsi="Times New Roman"/>
          <w:sz w:val="24"/>
          <w:szCs w:val="24"/>
        </w:rPr>
        <w:t xml:space="preserve"> </w:t>
      </w:r>
      <w:hyperlink r:id="rId560" w:history="1">
        <w:r w:rsidRPr="00B14793">
          <w:rPr>
            <w:rStyle w:val="Hyperlink"/>
            <w:sz w:val="24"/>
            <w:szCs w:val="24"/>
          </w:rPr>
          <w:t>https://www.firehouse.com/operations-training/article/21112973/fire-law-should-firefighters-be-armed</w:t>
        </w:r>
      </w:hyperlink>
      <w:r w:rsidRPr="00B14793">
        <w:rPr>
          <w:rFonts w:ascii="Times New Roman" w:hAnsi="Times New Roman"/>
          <w:sz w:val="24"/>
          <w:szCs w:val="24"/>
        </w:rPr>
        <w:t xml:space="preserve"> </w:t>
      </w:r>
    </w:p>
    <w:p w14:paraId="7C6C5AB6" w14:textId="77777777" w:rsidR="00A82898" w:rsidRDefault="00A82898" w:rsidP="00A82898">
      <w:pPr>
        <w:pStyle w:val="NormalWeb"/>
        <w:spacing w:before="0" w:beforeAutospacing="0" w:after="0" w:afterAutospacing="0" w:line="255" w:lineRule="atLeast"/>
        <w:rPr>
          <w:rStyle w:val="markedcontent"/>
        </w:rPr>
      </w:pPr>
    </w:p>
    <w:p w14:paraId="482D9514" w14:textId="77777777" w:rsidR="00A82898" w:rsidRDefault="00A82898" w:rsidP="00EF1133">
      <w:pPr>
        <w:pStyle w:val="NoSpacing"/>
        <w:rPr>
          <w:rFonts w:ascii="Arial Black" w:hAnsi="Arial Black"/>
          <w:sz w:val="24"/>
          <w:szCs w:val="24"/>
        </w:rPr>
      </w:pPr>
    </w:p>
    <w:p w14:paraId="48B9A522" w14:textId="77777777" w:rsidR="00A82898" w:rsidRDefault="00A82898" w:rsidP="00EF1133">
      <w:pPr>
        <w:pStyle w:val="NoSpacing"/>
        <w:rPr>
          <w:rFonts w:ascii="Arial Black" w:hAnsi="Arial Black"/>
          <w:sz w:val="24"/>
          <w:szCs w:val="24"/>
        </w:rPr>
      </w:pPr>
    </w:p>
    <w:p w14:paraId="1E72C7DE" w14:textId="17BD001A" w:rsidR="0077274E" w:rsidRDefault="0077274E" w:rsidP="00EF1133">
      <w:pPr>
        <w:pStyle w:val="NoSpacing"/>
        <w:rPr>
          <w:rFonts w:ascii="Arial Black" w:hAnsi="Arial Black"/>
          <w:sz w:val="24"/>
          <w:szCs w:val="24"/>
        </w:rPr>
      </w:pPr>
      <w:r>
        <w:rPr>
          <w:rFonts w:ascii="Arial Black" w:hAnsi="Arial Black"/>
          <w:sz w:val="24"/>
          <w:szCs w:val="24"/>
        </w:rPr>
        <w:t>2-32</w:t>
      </w:r>
    </w:p>
    <w:p w14:paraId="5002D415" w14:textId="77777777" w:rsidR="0077274E" w:rsidRDefault="0077274E" w:rsidP="0077274E">
      <w:pPr>
        <w:pStyle w:val="gntarbp"/>
        <w:rPr>
          <w:rFonts w:ascii="Arial Black" w:hAnsi="Arial Black"/>
          <w:sz w:val="28"/>
          <w:szCs w:val="28"/>
        </w:rPr>
      </w:pPr>
      <w:r>
        <w:rPr>
          <w:rFonts w:ascii="Arial Black" w:hAnsi="Arial Black"/>
          <w:sz w:val="28"/>
          <w:szCs w:val="28"/>
        </w:rPr>
        <w:t>PA: ARSON CONV. SET ASIDE (3 FF LODD 1995) – ATF PAID REWARDS 2 WIT – NEW FED. CASE, NOT DOUBLE JEOPARDY</w:t>
      </w:r>
    </w:p>
    <w:p w14:paraId="178F06FE" w14:textId="77777777" w:rsidR="0077274E" w:rsidRPr="00E44388" w:rsidRDefault="0077274E" w:rsidP="0077274E">
      <w:pPr>
        <w:rPr>
          <w:rFonts w:ascii="Times New Roman" w:hAnsi="Times New Roman"/>
          <w:sz w:val="24"/>
          <w:szCs w:val="24"/>
        </w:rPr>
      </w:pPr>
      <w:r w:rsidRPr="00E44388">
        <w:rPr>
          <w:rFonts w:ascii="Times New Roman" w:hAnsi="Times New Roman"/>
          <w:sz w:val="24"/>
          <w:szCs w:val="24"/>
        </w:rPr>
        <w:t xml:space="preserve">On April 13, 2021, in </w:t>
      </w:r>
      <w:r w:rsidRPr="00E44388">
        <w:rPr>
          <w:rFonts w:ascii="Times New Roman" w:hAnsi="Times New Roman"/>
          <w:sz w:val="24"/>
          <w:szCs w:val="24"/>
          <w:u w:val="single"/>
        </w:rPr>
        <w:t>United States of America v. Gregory Brown, Jr</w:t>
      </w:r>
      <w:r w:rsidRPr="00E44388">
        <w:rPr>
          <w:rFonts w:ascii="Times New Roman" w:hAnsi="Times New Roman"/>
          <w:sz w:val="24"/>
          <w:szCs w:val="24"/>
        </w:rPr>
        <w:t xml:space="preserve">., the U.S. Court of Appeals for Third Circuit (Philadelphia) held 3-0 that the defendant, serving a life sentence for starting fire in his mother’s apartment </w:t>
      </w:r>
      <w:r>
        <w:rPr>
          <w:rFonts w:ascii="Times New Roman" w:hAnsi="Times New Roman"/>
          <w:sz w:val="24"/>
          <w:szCs w:val="24"/>
        </w:rPr>
        <w:t xml:space="preserve">on Feb. 14, </w:t>
      </w:r>
      <w:proofErr w:type="gramStart"/>
      <w:r>
        <w:rPr>
          <w:rFonts w:ascii="Times New Roman" w:hAnsi="Times New Roman"/>
          <w:sz w:val="24"/>
          <w:szCs w:val="24"/>
        </w:rPr>
        <w:t>1995</w:t>
      </w:r>
      <w:proofErr w:type="gramEnd"/>
      <w:r>
        <w:rPr>
          <w:rFonts w:ascii="Times New Roman" w:hAnsi="Times New Roman"/>
          <w:sz w:val="24"/>
          <w:szCs w:val="24"/>
        </w:rPr>
        <w:t xml:space="preserve"> </w:t>
      </w:r>
      <w:r w:rsidRPr="00E44388">
        <w:rPr>
          <w:rFonts w:ascii="Times New Roman" w:hAnsi="Times New Roman"/>
          <w:sz w:val="24"/>
          <w:szCs w:val="24"/>
        </w:rPr>
        <w:t>to collect renters</w:t>
      </w:r>
      <w:r>
        <w:rPr>
          <w:rFonts w:ascii="Times New Roman" w:hAnsi="Times New Roman"/>
          <w:sz w:val="24"/>
          <w:szCs w:val="24"/>
        </w:rPr>
        <w:t>’</w:t>
      </w:r>
      <w:r w:rsidRPr="00E44388">
        <w:rPr>
          <w:rFonts w:ascii="Times New Roman" w:hAnsi="Times New Roman"/>
          <w:sz w:val="24"/>
          <w:szCs w:val="24"/>
        </w:rPr>
        <w:t xml:space="preserve"> insurance can be re-tried</w:t>
      </w:r>
      <w:r>
        <w:rPr>
          <w:rFonts w:ascii="Times New Roman" w:hAnsi="Times New Roman"/>
          <w:sz w:val="24"/>
          <w:szCs w:val="24"/>
        </w:rPr>
        <w:t xml:space="preserve">, this time in Federal court.  Three firefighters were killed when a staircase collapsed. The state convictions were set aside 20 years after the convictions, when it was discovered that two witnesses were paid rewards by the ATF </w:t>
      </w:r>
      <w:proofErr w:type="spellStart"/>
      <w:r>
        <w:rPr>
          <w:rFonts w:ascii="Times New Roman" w:hAnsi="Times New Roman"/>
          <w:sz w:val="24"/>
          <w:szCs w:val="24"/>
        </w:rPr>
        <w:t>post trial</w:t>
      </w:r>
      <w:proofErr w:type="spellEnd"/>
      <w:r>
        <w:rPr>
          <w:rFonts w:ascii="Times New Roman" w:hAnsi="Times New Roman"/>
          <w:sz w:val="24"/>
          <w:szCs w:val="24"/>
        </w:rPr>
        <w:t xml:space="preserve"> ($10,000 and $5,000) even though they testified that no rewards were expected.  </w:t>
      </w:r>
      <w:r w:rsidRPr="00E44388">
        <w:rPr>
          <w:rFonts w:ascii="Times New Roman" w:hAnsi="Times New Roman"/>
          <w:sz w:val="24"/>
          <w:szCs w:val="24"/>
        </w:rPr>
        <w:t>This time he was indicted in Federal court destruction of property by fire resulting in death under 18 U.S.C. §844(</w:t>
      </w:r>
      <w:proofErr w:type="spellStart"/>
      <w:r w:rsidRPr="00E44388">
        <w:rPr>
          <w:rFonts w:ascii="Times New Roman" w:hAnsi="Times New Roman"/>
          <w:sz w:val="24"/>
          <w:szCs w:val="24"/>
        </w:rPr>
        <w:t>i</w:t>
      </w:r>
      <w:proofErr w:type="spellEnd"/>
      <w:r w:rsidRPr="00E44388">
        <w:rPr>
          <w:rFonts w:ascii="Times New Roman" w:hAnsi="Times New Roman"/>
          <w:sz w:val="24"/>
          <w:szCs w:val="24"/>
        </w:rPr>
        <w:t>).</w:t>
      </w:r>
      <w:r>
        <w:rPr>
          <w:rFonts w:ascii="Times New Roman" w:hAnsi="Times New Roman"/>
          <w:sz w:val="24"/>
          <w:szCs w:val="24"/>
        </w:rPr>
        <w:t xml:space="preserve"> </w:t>
      </w:r>
    </w:p>
    <w:p w14:paraId="650C09A6" w14:textId="77777777" w:rsidR="0077274E" w:rsidRPr="00A30885" w:rsidRDefault="0077274E" w:rsidP="0077274E">
      <w:pPr>
        <w:pStyle w:val="Heading1"/>
        <w:ind w:left="1440"/>
        <w:rPr>
          <w:b w:val="0"/>
          <w:bCs w:val="0"/>
          <w:sz w:val="24"/>
          <w:szCs w:val="24"/>
        </w:rPr>
      </w:pPr>
      <w:r w:rsidRPr="00A30885">
        <w:rPr>
          <w:b w:val="0"/>
          <w:bCs w:val="0"/>
          <w:sz w:val="24"/>
          <w:szCs w:val="24"/>
        </w:rPr>
        <w:t>“[R]</w:t>
      </w:r>
      <w:proofErr w:type="spellStart"/>
      <w:r w:rsidRPr="00A30885">
        <w:rPr>
          <w:b w:val="0"/>
          <w:bCs w:val="0"/>
          <w:sz w:val="24"/>
          <w:szCs w:val="24"/>
        </w:rPr>
        <w:t>etrying</w:t>
      </w:r>
      <w:proofErr w:type="spellEnd"/>
      <w:r w:rsidRPr="00A30885">
        <w:rPr>
          <w:b w:val="0"/>
          <w:bCs w:val="0"/>
          <w:sz w:val="24"/>
          <w:szCs w:val="24"/>
        </w:rPr>
        <w:t xml:space="preserve"> a defendant because the conviction was reversed for trial error is not a second jeopardy. Regardless of whether it proceeds in state or federal court, Brown’s second prosecution does not violate the Double Jeopardy Clause. The District Court did not err in denying Brown’s motion to dismiss the indictment and his motion to compel discovery on the dual-sovereignty issue, so we will affirm.</w:t>
      </w:r>
    </w:p>
    <w:p w14:paraId="19DB1B2B" w14:textId="77777777" w:rsidR="0077274E" w:rsidRDefault="0077274E" w:rsidP="0077274E">
      <w:r>
        <w:tab/>
      </w:r>
      <w:r>
        <w:tab/>
        <w:t>***</w:t>
      </w:r>
    </w:p>
    <w:p w14:paraId="05AE0FC0" w14:textId="77777777" w:rsidR="0077274E" w:rsidRPr="00E44388" w:rsidRDefault="0077274E" w:rsidP="0077274E">
      <w:pPr>
        <w:ind w:left="1440"/>
        <w:rPr>
          <w:rFonts w:ascii="Times New Roman" w:hAnsi="Times New Roman"/>
          <w:sz w:val="24"/>
          <w:szCs w:val="24"/>
        </w:rPr>
      </w:pPr>
      <w:r w:rsidRPr="00E12A9E">
        <w:rPr>
          <w:rFonts w:ascii="Times New Roman" w:hAnsi="Times New Roman"/>
          <w:sz w:val="24"/>
          <w:szCs w:val="24"/>
        </w:rPr>
        <w:lastRenderedPageBreak/>
        <w:t>The Double Jeopardy Clause says</w:t>
      </w:r>
      <w:r>
        <w:rPr>
          <w:rFonts w:ascii="Times New Roman" w:hAnsi="Times New Roman"/>
          <w:sz w:val="24"/>
          <w:szCs w:val="24"/>
        </w:rPr>
        <w:t xml:space="preserve"> </w:t>
      </w:r>
      <w:r w:rsidRPr="00E12A9E">
        <w:rPr>
          <w:rFonts w:ascii="Times New Roman" w:hAnsi="Times New Roman"/>
          <w:sz w:val="24"/>
          <w:szCs w:val="24"/>
        </w:rPr>
        <w:t>that no person</w:t>
      </w:r>
      <w:r>
        <w:rPr>
          <w:rFonts w:ascii="Times New Roman" w:hAnsi="Times New Roman"/>
          <w:sz w:val="24"/>
          <w:szCs w:val="24"/>
        </w:rPr>
        <w:t xml:space="preserve"> </w:t>
      </w:r>
      <w:r w:rsidRPr="00E12A9E">
        <w:rPr>
          <w:rFonts w:ascii="Times New Roman" w:hAnsi="Times New Roman"/>
          <w:sz w:val="24"/>
          <w:szCs w:val="24"/>
        </w:rPr>
        <w:t xml:space="preserve">shall </w:t>
      </w:r>
      <w:r>
        <w:rPr>
          <w:rFonts w:ascii="Times New Roman" w:hAnsi="Times New Roman"/>
          <w:sz w:val="24"/>
          <w:szCs w:val="24"/>
        </w:rPr>
        <w:t>‘</w:t>
      </w:r>
      <w:r w:rsidRPr="00E12A9E">
        <w:rPr>
          <w:rFonts w:ascii="Times New Roman" w:hAnsi="Times New Roman"/>
          <w:sz w:val="24"/>
          <w:szCs w:val="24"/>
        </w:rPr>
        <w:t xml:space="preserve">be subject </w:t>
      </w:r>
      <w:proofErr w:type="gramStart"/>
      <w:r w:rsidRPr="00E12A9E">
        <w:rPr>
          <w:rFonts w:ascii="Times New Roman" w:hAnsi="Times New Roman"/>
          <w:sz w:val="24"/>
          <w:szCs w:val="24"/>
        </w:rPr>
        <w:t>for</w:t>
      </w:r>
      <w:proofErr w:type="gramEnd"/>
      <w:r w:rsidRPr="00E12A9E">
        <w:rPr>
          <w:rFonts w:ascii="Times New Roman" w:hAnsi="Times New Roman"/>
          <w:sz w:val="24"/>
          <w:szCs w:val="24"/>
        </w:rPr>
        <w:t xml:space="preserve"> the same offence to be twice put in jeopardy of life or limb.</w:t>
      </w:r>
      <w:r>
        <w:rPr>
          <w:rFonts w:ascii="Times New Roman" w:hAnsi="Times New Roman"/>
          <w:sz w:val="24"/>
          <w:szCs w:val="24"/>
        </w:rPr>
        <w:t xml:space="preserve">’ </w:t>
      </w:r>
      <w:r w:rsidRPr="00E12A9E">
        <w:rPr>
          <w:rFonts w:ascii="Times New Roman" w:hAnsi="Times New Roman"/>
          <w:sz w:val="24"/>
          <w:szCs w:val="24"/>
        </w:rPr>
        <w:t xml:space="preserve">U.S. Const. </w:t>
      </w:r>
      <w:proofErr w:type="gramStart"/>
      <w:r w:rsidRPr="00E12A9E">
        <w:rPr>
          <w:rFonts w:ascii="Times New Roman" w:hAnsi="Times New Roman"/>
          <w:sz w:val="24"/>
          <w:szCs w:val="24"/>
        </w:rPr>
        <w:t>amend</w:t>
      </w:r>
      <w:proofErr w:type="gramEnd"/>
      <w:r w:rsidRPr="00E12A9E">
        <w:rPr>
          <w:rFonts w:ascii="Times New Roman" w:hAnsi="Times New Roman"/>
          <w:sz w:val="24"/>
          <w:szCs w:val="24"/>
        </w:rPr>
        <w:t>. V. But the clause’s prohibition against a second prosecution for the same offense is not absolute. Two examples are relevant here. First,</w:t>
      </w:r>
      <w:r>
        <w:rPr>
          <w:rFonts w:ascii="Times New Roman" w:hAnsi="Times New Roman"/>
          <w:sz w:val="24"/>
          <w:szCs w:val="24"/>
        </w:rPr>
        <w:t xml:space="preserve"> </w:t>
      </w:r>
      <w:r w:rsidRPr="00E12A9E">
        <w:rPr>
          <w:rFonts w:ascii="Times New Roman" w:hAnsi="Times New Roman"/>
          <w:sz w:val="24"/>
          <w:szCs w:val="24"/>
        </w:rPr>
        <w:t xml:space="preserve">under the trial-error rule, the Double Jeopardy Clause </w:t>
      </w:r>
      <w:r>
        <w:rPr>
          <w:rFonts w:ascii="Times New Roman" w:hAnsi="Times New Roman"/>
          <w:sz w:val="24"/>
          <w:szCs w:val="24"/>
        </w:rPr>
        <w:t>‘</w:t>
      </w:r>
      <w:r w:rsidRPr="00E12A9E">
        <w:rPr>
          <w:rFonts w:ascii="Times New Roman" w:hAnsi="Times New Roman"/>
          <w:sz w:val="24"/>
          <w:szCs w:val="24"/>
        </w:rPr>
        <w:t xml:space="preserve">does not prevent the government from retrying a defendant who succeeds in getting his first conviction set aside, through direct appeal or collateral attack, because of some error in the proceedings leading to </w:t>
      </w:r>
      <w:proofErr w:type="gramStart"/>
      <w:r w:rsidRPr="00E12A9E">
        <w:rPr>
          <w:rFonts w:ascii="Times New Roman" w:hAnsi="Times New Roman"/>
          <w:sz w:val="24"/>
          <w:szCs w:val="24"/>
        </w:rPr>
        <w:t>conviction.</w:t>
      </w:r>
      <w:r>
        <w:rPr>
          <w:rFonts w:ascii="Times New Roman" w:hAnsi="Times New Roman"/>
          <w:sz w:val="24"/>
          <w:szCs w:val="24"/>
        </w:rPr>
        <w:t>’</w:t>
      </w:r>
      <w:proofErr w:type="gramEnd"/>
      <w:r w:rsidRPr="00E12A9E">
        <w:rPr>
          <w:rFonts w:ascii="Times New Roman" w:hAnsi="Times New Roman"/>
          <w:sz w:val="24"/>
          <w:szCs w:val="24"/>
        </w:rPr>
        <w:t xml:space="preserve"> Lockhart v. Nelson, 488 U.S. 33, 38 (1988). Second,</w:t>
      </w:r>
      <w:r>
        <w:rPr>
          <w:rFonts w:ascii="Times New Roman" w:hAnsi="Times New Roman"/>
          <w:sz w:val="24"/>
          <w:szCs w:val="24"/>
        </w:rPr>
        <w:t xml:space="preserve"> </w:t>
      </w:r>
      <w:r w:rsidRPr="00E12A9E">
        <w:rPr>
          <w:rFonts w:ascii="Times New Roman" w:hAnsi="Times New Roman"/>
          <w:sz w:val="24"/>
          <w:szCs w:val="24"/>
        </w:rPr>
        <w:t>the dual-sovereignty principle allows a federal indictment for the same conduct</w:t>
      </w:r>
      <w:r>
        <w:rPr>
          <w:rFonts w:ascii="Times New Roman" w:hAnsi="Times New Roman"/>
          <w:sz w:val="24"/>
          <w:szCs w:val="24"/>
        </w:rPr>
        <w:t xml:space="preserve"> </w:t>
      </w:r>
      <w:r w:rsidRPr="00E12A9E">
        <w:rPr>
          <w:rFonts w:ascii="Times New Roman" w:hAnsi="Times New Roman"/>
          <w:sz w:val="24"/>
          <w:szCs w:val="24"/>
        </w:rPr>
        <w:t xml:space="preserve">punished under state law—and vice versa—because the two prosecutions, under different sovereigns, are not </w:t>
      </w:r>
      <w:r>
        <w:rPr>
          <w:rFonts w:ascii="Times New Roman" w:hAnsi="Times New Roman"/>
          <w:sz w:val="24"/>
          <w:szCs w:val="24"/>
        </w:rPr>
        <w:t>‘</w:t>
      </w:r>
      <w:r w:rsidRPr="00E12A9E">
        <w:rPr>
          <w:rFonts w:ascii="Times New Roman" w:hAnsi="Times New Roman"/>
          <w:sz w:val="24"/>
          <w:szCs w:val="24"/>
        </w:rPr>
        <w:t>for the same offence.</w:t>
      </w:r>
      <w:r>
        <w:rPr>
          <w:rFonts w:ascii="Times New Roman" w:hAnsi="Times New Roman"/>
          <w:sz w:val="24"/>
          <w:szCs w:val="24"/>
        </w:rPr>
        <w:t>’</w:t>
      </w:r>
      <w:r w:rsidRPr="00E12A9E">
        <w:rPr>
          <w:rFonts w:ascii="Times New Roman" w:hAnsi="Times New Roman"/>
          <w:sz w:val="24"/>
          <w:szCs w:val="24"/>
        </w:rPr>
        <w:t xml:space="preserve"> U.S. Const. </w:t>
      </w:r>
      <w:proofErr w:type="gramStart"/>
      <w:r w:rsidRPr="00E12A9E">
        <w:rPr>
          <w:rFonts w:ascii="Times New Roman" w:hAnsi="Times New Roman"/>
          <w:sz w:val="24"/>
          <w:szCs w:val="24"/>
        </w:rPr>
        <w:t>amend</w:t>
      </w:r>
      <w:proofErr w:type="gramEnd"/>
      <w:r w:rsidRPr="00E12A9E">
        <w:rPr>
          <w:rFonts w:ascii="Times New Roman" w:hAnsi="Times New Roman"/>
          <w:sz w:val="24"/>
          <w:szCs w:val="24"/>
        </w:rPr>
        <w:t>. V; Gamble, 139 S. Ct. at1965–66.</w:t>
      </w:r>
      <w:r>
        <w:rPr>
          <w:rFonts w:ascii="Times New Roman" w:hAnsi="Times New Roman"/>
          <w:sz w:val="24"/>
          <w:szCs w:val="24"/>
        </w:rPr>
        <w:t xml:space="preserve">”  </w:t>
      </w:r>
      <w:hyperlink r:id="rId561" w:history="1">
        <w:r w:rsidRPr="0041276B">
          <w:rPr>
            <w:rStyle w:val="Hyperlink"/>
            <w:rFonts w:ascii="Times New Roman" w:hAnsi="Times New Roman"/>
            <w:sz w:val="24"/>
            <w:szCs w:val="24"/>
          </w:rPr>
          <w:t>https://www2.ca3.uscourts.gov/opinarch/201734p.pdf</w:t>
        </w:r>
      </w:hyperlink>
      <w:r w:rsidRPr="00E44388">
        <w:rPr>
          <w:rFonts w:ascii="Times New Roman" w:hAnsi="Times New Roman"/>
          <w:sz w:val="24"/>
          <w:szCs w:val="24"/>
        </w:rPr>
        <w:t xml:space="preserve"> </w:t>
      </w:r>
    </w:p>
    <w:p w14:paraId="04481FBF" w14:textId="77777777" w:rsidR="0077274E" w:rsidRPr="003346FA" w:rsidRDefault="0077274E" w:rsidP="0077274E">
      <w:pPr>
        <w:rPr>
          <w:rFonts w:ascii="Times New Roman" w:hAnsi="Times New Roman"/>
          <w:b/>
          <w:bCs/>
          <w:sz w:val="24"/>
          <w:szCs w:val="24"/>
        </w:rPr>
      </w:pPr>
      <w:r w:rsidRPr="003346FA">
        <w:rPr>
          <w:rFonts w:ascii="Times New Roman" w:hAnsi="Times New Roman"/>
          <w:b/>
          <w:bCs/>
          <w:sz w:val="24"/>
          <w:szCs w:val="24"/>
        </w:rPr>
        <w:t>Legal Lesson Learned:</w:t>
      </w:r>
      <w:r>
        <w:rPr>
          <w:rFonts w:ascii="Times New Roman" w:hAnsi="Times New Roman"/>
          <w:b/>
          <w:bCs/>
          <w:sz w:val="24"/>
          <w:szCs w:val="24"/>
        </w:rPr>
        <w:t xml:space="preserve">  Double jeopardy does not apply to second charges in Federal court, after state charges were set aside. When ATF or other agency offers a reward for information on an arson, the Prosecution must disclose to defense counsel at trial whether any witnesses will be paid the reward.   </w:t>
      </w:r>
    </w:p>
    <w:p w14:paraId="5DF688D3" w14:textId="77777777" w:rsidR="0077274E" w:rsidRDefault="0077274E" w:rsidP="0077274E">
      <w:pPr>
        <w:ind w:left="720" w:firstLine="720"/>
        <w:rPr>
          <w:rFonts w:ascii="Times New Roman" w:hAnsi="Times New Roman"/>
          <w:sz w:val="24"/>
          <w:szCs w:val="24"/>
        </w:rPr>
      </w:pPr>
      <w:r>
        <w:rPr>
          <w:rFonts w:ascii="Times New Roman" w:hAnsi="Times New Roman"/>
          <w:sz w:val="24"/>
          <w:szCs w:val="24"/>
        </w:rPr>
        <w:t xml:space="preserve">Note: See article on the case: </w:t>
      </w:r>
    </w:p>
    <w:p w14:paraId="55EBE775" w14:textId="77777777" w:rsidR="0077274E" w:rsidRPr="0077274E" w:rsidRDefault="0077274E" w:rsidP="0077274E">
      <w:pPr>
        <w:pStyle w:val="Heading1"/>
        <w:ind w:left="1440"/>
        <w:rPr>
          <w:b w:val="0"/>
          <w:bCs w:val="0"/>
          <w:sz w:val="24"/>
          <w:szCs w:val="24"/>
        </w:rPr>
      </w:pPr>
      <w:r w:rsidRPr="000D6C61">
        <w:rPr>
          <w:b w:val="0"/>
          <w:bCs w:val="0"/>
          <w:sz w:val="24"/>
          <w:szCs w:val="24"/>
        </w:rPr>
        <w:t xml:space="preserve">“Court rules Pa. man can be re-tried for allegedly setting blaze that killed 3 firefighters. The man's previous convictions for the deaths of three Pittsburgh firefighters were overturned 20 years into his prison sentences.” (April 15, 2021): </w:t>
      </w:r>
      <w:hyperlink r:id="rId562" w:history="1">
        <w:r w:rsidRPr="0077274E">
          <w:rPr>
            <w:rStyle w:val="Hyperlink"/>
            <w:b w:val="0"/>
            <w:bCs w:val="0"/>
            <w:sz w:val="24"/>
            <w:szCs w:val="24"/>
          </w:rPr>
          <w:t>https://www.firerescue1.com/arson-investigation/articles/court-rules-pa-man-can-be-re-tried-for-allegedly-setting-blaze-that-killed-3-firefighters-lLEkejoGfuP6GGk9/?utm_source=FireRescue1+Daily&amp;utm_campaign=f787a554cb-EMAIL_CAMPAIGN_2021_04_15_07_27&amp;utm_medium=email&amp;utm_term=0_758bdbeffe-f787a554cb-41607823</w:t>
        </w:r>
      </w:hyperlink>
      <w:r w:rsidRPr="0077274E">
        <w:rPr>
          <w:b w:val="0"/>
          <w:bCs w:val="0"/>
          <w:sz w:val="24"/>
          <w:szCs w:val="24"/>
        </w:rPr>
        <w:t xml:space="preserve"> </w:t>
      </w:r>
    </w:p>
    <w:p w14:paraId="561B676B" w14:textId="77777777" w:rsidR="0077274E" w:rsidRPr="00A94994" w:rsidRDefault="0077274E" w:rsidP="0077274E">
      <w:pPr>
        <w:ind w:left="720"/>
        <w:rPr>
          <w:rFonts w:ascii="Times New Roman" w:hAnsi="Times New Roman"/>
          <w:sz w:val="24"/>
          <w:szCs w:val="24"/>
        </w:rPr>
      </w:pPr>
    </w:p>
    <w:p w14:paraId="007CD4F8" w14:textId="77777777" w:rsidR="0077274E" w:rsidRDefault="0077274E" w:rsidP="00EF1133">
      <w:pPr>
        <w:pStyle w:val="NoSpacing"/>
        <w:rPr>
          <w:rFonts w:ascii="Arial Black" w:hAnsi="Arial Black"/>
          <w:sz w:val="24"/>
          <w:szCs w:val="24"/>
        </w:rPr>
      </w:pPr>
    </w:p>
    <w:p w14:paraId="6BD771B5" w14:textId="77777777" w:rsidR="0077274E" w:rsidRDefault="0077274E" w:rsidP="00EF1133">
      <w:pPr>
        <w:pStyle w:val="NoSpacing"/>
        <w:rPr>
          <w:rFonts w:ascii="Arial Black" w:hAnsi="Arial Black"/>
          <w:sz w:val="24"/>
          <w:szCs w:val="24"/>
        </w:rPr>
      </w:pPr>
    </w:p>
    <w:p w14:paraId="2C421661" w14:textId="346A44A0" w:rsidR="00CD5950" w:rsidRDefault="00CD5950" w:rsidP="00EF1133">
      <w:pPr>
        <w:pStyle w:val="NoSpacing"/>
        <w:rPr>
          <w:rFonts w:ascii="Arial Black" w:hAnsi="Arial Black"/>
          <w:sz w:val="24"/>
          <w:szCs w:val="24"/>
        </w:rPr>
      </w:pPr>
      <w:r>
        <w:rPr>
          <w:rFonts w:ascii="Arial Black" w:hAnsi="Arial Black"/>
          <w:sz w:val="24"/>
          <w:szCs w:val="24"/>
        </w:rPr>
        <w:t>2-31</w:t>
      </w:r>
    </w:p>
    <w:p w14:paraId="514DA587" w14:textId="2AD41E3C" w:rsidR="00CD5950" w:rsidRDefault="00CD5950" w:rsidP="00EF1133">
      <w:pPr>
        <w:pStyle w:val="NoSpacing"/>
        <w:rPr>
          <w:rFonts w:ascii="Arial Black" w:hAnsi="Arial Black"/>
          <w:sz w:val="24"/>
          <w:szCs w:val="24"/>
        </w:rPr>
      </w:pPr>
    </w:p>
    <w:p w14:paraId="4BA773C9" w14:textId="77777777" w:rsidR="00CD5950" w:rsidRPr="001C50BB" w:rsidRDefault="00CD5950" w:rsidP="00CD5950">
      <w:pPr>
        <w:pStyle w:val="NoSpacing"/>
        <w:rPr>
          <w:rFonts w:ascii="Arial Black" w:hAnsi="Arial Black"/>
          <w:sz w:val="28"/>
          <w:szCs w:val="28"/>
        </w:rPr>
      </w:pPr>
      <w:r>
        <w:rPr>
          <w:rFonts w:ascii="Arial Black" w:hAnsi="Arial Black"/>
          <w:sz w:val="28"/>
          <w:szCs w:val="28"/>
        </w:rPr>
        <w:t>OH: FIRE CHIEF ALMOST HIT - THIRD-DEGEE FELONY - DRIVER SLEEPING AT GAS STATION SPEAD AWAY FROM DEPUTY SHERIFF</w:t>
      </w:r>
    </w:p>
    <w:p w14:paraId="7211BAE9" w14:textId="77777777" w:rsidR="00CD5950" w:rsidRDefault="00CD5950" w:rsidP="00CD5950">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Feb. 22, 2021, in </w:t>
      </w:r>
      <w:r w:rsidRPr="001C50BB">
        <w:rPr>
          <w:rFonts w:ascii="Times New Roman" w:hAnsi="Times New Roman"/>
          <w:sz w:val="24"/>
          <w:szCs w:val="24"/>
          <w:u w:val="single"/>
        </w:rPr>
        <w:t>State of Ohio v. David A. Zitney</w:t>
      </w:r>
      <w:r>
        <w:rPr>
          <w:rFonts w:ascii="Times New Roman" w:hAnsi="Times New Roman"/>
          <w:sz w:val="24"/>
          <w:szCs w:val="24"/>
        </w:rPr>
        <w:t xml:space="preserve">, the Court of Appeals for Twelfth Appellate District (Clinton County), </w:t>
      </w:r>
      <w:r w:rsidRPr="003E75FA">
        <w:rPr>
          <w:rFonts w:ascii="Times New Roman" w:eastAsia="Times New Roman" w:hAnsi="Times New Roman"/>
          <w:color w:val="000000" w:themeColor="text1"/>
          <w:sz w:val="24"/>
          <w:szCs w:val="24"/>
        </w:rPr>
        <w:t xml:space="preserve">2021 Ohio </w:t>
      </w:r>
      <w:r w:rsidRPr="003E75FA">
        <w:rPr>
          <w:rFonts w:ascii="Times New Roman" w:eastAsia="Times New Roman" w:hAnsi="Times New Roman"/>
          <w:sz w:val="24"/>
          <w:szCs w:val="24"/>
        </w:rPr>
        <w:t>466</w:t>
      </w:r>
      <w:r>
        <w:rPr>
          <w:rFonts w:ascii="Times New Roman" w:eastAsia="Times New Roman" w:hAnsi="Times New Roman"/>
          <w:sz w:val="24"/>
          <w:szCs w:val="24"/>
        </w:rPr>
        <w:t xml:space="preserve">, </w:t>
      </w:r>
      <w:r>
        <w:rPr>
          <w:rFonts w:ascii="Times New Roman" w:hAnsi="Times New Roman"/>
          <w:sz w:val="24"/>
          <w:szCs w:val="24"/>
        </w:rPr>
        <w:t xml:space="preserve">held (3 to 0) that the drivers’ conduct, failing to comply with officer’s order or signal, and speeding away from the gas station caused a “substantial risk of serious physical harm to others” and was therefore a third-degree felony.  The jury conviction was affirmed; the defendant must serve 3-year sentence. </w:t>
      </w:r>
    </w:p>
    <w:p w14:paraId="2D3C7521" w14:textId="77777777" w:rsidR="00CD5950" w:rsidRPr="00E31E01" w:rsidRDefault="00CD5950" w:rsidP="00CD5950">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“T</w:t>
      </w:r>
      <w:r w:rsidRPr="00E31E01">
        <w:rPr>
          <w:rFonts w:ascii="Times New Roman" w:eastAsia="Times New Roman" w:hAnsi="Times New Roman"/>
          <w:sz w:val="24"/>
          <w:szCs w:val="24"/>
        </w:rPr>
        <w:t xml:space="preserve">estimony from Deputy Abbitt and Fugate </w:t>
      </w:r>
      <w:r>
        <w:rPr>
          <w:rFonts w:ascii="Times New Roman" w:eastAsia="Times New Roman" w:hAnsi="Times New Roman"/>
          <w:sz w:val="24"/>
          <w:szCs w:val="24"/>
        </w:rPr>
        <w:t xml:space="preserve">[Don Fugate, Fire Chief, Massie Township] </w:t>
      </w:r>
      <w:r w:rsidRPr="00E31E01">
        <w:rPr>
          <w:rFonts w:ascii="Times New Roman" w:eastAsia="Times New Roman" w:hAnsi="Times New Roman"/>
          <w:sz w:val="24"/>
          <w:szCs w:val="24"/>
        </w:rPr>
        <w:t xml:space="preserve">demonstrated that appellant's actions on October 19, 2019 created a strong possibility of serious physical harm to those individuals present at the Shell gas station and to those motorists traveling along State Route 73 when appellant fled from the gas station. Appellant drove through and exited the parking lot of a commercial establishment where other individuals were present at an excessive rate of speed. </w:t>
      </w:r>
      <w:proofErr w:type="gramStart"/>
      <w:r w:rsidRPr="00E31E01">
        <w:rPr>
          <w:rFonts w:ascii="Times New Roman" w:eastAsia="Times New Roman" w:hAnsi="Times New Roman"/>
          <w:sz w:val="24"/>
          <w:szCs w:val="24"/>
        </w:rPr>
        <w:t>Appellant</w:t>
      </w:r>
      <w:proofErr w:type="gramEnd"/>
      <w:r w:rsidRPr="00E31E01">
        <w:rPr>
          <w:rFonts w:ascii="Times New Roman" w:eastAsia="Times New Roman" w:hAnsi="Times New Roman"/>
          <w:sz w:val="24"/>
          <w:szCs w:val="24"/>
        </w:rPr>
        <w:t xml:space="preserve"> did not </w:t>
      </w:r>
      <w:proofErr w:type="spellStart"/>
      <w:r w:rsidRPr="00E31E01">
        <w:rPr>
          <w:rFonts w:ascii="Times New Roman" w:eastAsia="Times New Roman" w:hAnsi="Times New Roman"/>
          <w:sz w:val="24"/>
          <w:szCs w:val="24"/>
        </w:rPr>
        <w:t>brake</w:t>
      </w:r>
      <w:proofErr w:type="spellEnd"/>
      <w:r w:rsidRPr="00E31E01">
        <w:rPr>
          <w:rFonts w:ascii="Times New Roman" w:eastAsia="Times New Roman" w:hAnsi="Times New Roman"/>
          <w:sz w:val="24"/>
          <w:szCs w:val="24"/>
        </w:rPr>
        <w:t xml:space="preserve"> before entering the roadway and proceeded to drive at a high rate of speed, sometimes on the</w:t>
      </w:r>
      <w:r>
        <w:rPr>
          <w:rFonts w:ascii="Times New Roman" w:eastAsia="Times New Roman" w:hAnsi="Times New Roman"/>
          <w:sz w:val="24"/>
          <w:szCs w:val="24"/>
        </w:rPr>
        <w:t xml:space="preserve"> </w:t>
      </w:r>
      <w:r w:rsidRPr="00E31E01">
        <w:rPr>
          <w:rFonts w:ascii="Times New Roman" w:eastAsia="Times New Roman" w:hAnsi="Times New Roman"/>
          <w:sz w:val="24"/>
          <w:szCs w:val="24"/>
        </w:rPr>
        <w:t xml:space="preserve">wrong side of the road against traffic. As Fugate explained, the area where </w:t>
      </w:r>
      <w:proofErr w:type="gramStart"/>
      <w:r w:rsidRPr="00E31E01">
        <w:rPr>
          <w:rFonts w:ascii="Times New Roman" w:eastAsia="Times New Roman" w:hAnsi="Times New Roman"/>
          <w:sz w:val="24"/>
          <w:szCs w:val="24"/>
        </w:rPr>
        <w:t>appellant</w:t>
      </w:r>
      <w:proofErr w:type="gramEnd"/>
      <w:r w:rsidRPr="00E31E01">
        <w:rPr>
          <w:rFonts w:ascii="Times New Roman" w:eastAsia="Times New Roman" w:hAnsi="Times New Roman"/>
          <w:sz w:val="24"/>
          <w:szCs w:val="24"/>
        </w:rPr>
        <w:t xml:space="preserve"> entered the </w:t>
      </w:r>
      <w:r w:rsidRPr="00E31E01">
        <w:rPr>
          <w:rFonts w:ascii="Times New Roman" w:eastAsia="Times New Roman" w:hAnsi="Times New Roman"/>
          <w:sz w:val="24"/>
          <w:szCs w:val="24"/>
        </w:rPr>
        <w:lastRenderedPageBreak/>
        <w:t xml:space="preserve">highway was a </w:t>
      </w:r>
      <w:r>
        <w:rPr>
          <w:rFonts w:ascii="Times New Roman" w:eastAsia="Times New Roman" w:hAnsi="Times New Roman"/>
          <w:sz w:val="24"/>
          <w:szCs w:val="24"/>
        </w:rPr>
        <w:t>‘</w:t>
      </w:r>
      <w:r w:rsidRPr="00E31E01">
        <w:rPr>
          <w:rFonts w:ascii="Times New Roman" w:eastAsia="Times New Roman" w:hAnsi="Times New Roman"/>
          <w:sz w:val="24"/>
          <w:szCs w:val="24"/>
        </w:rPr>
        <w:t>high traffic area</w:t>
      </w:r>
      <w:r>
        <w:rPr>
          <w:rFonts w:ascii="Times New Roman" w:eastAsia="Times New Roman" w:hAnsi="Times New Roman"/>
          <w:sz w:val="24"/>
          <w:szCs w:val="24"/>
        </w:rPr>
        <w:t>’</w:t>
      </w:r>
      <w:r w:rsidRPr="00E31E01">
        <w:rPr>
          <w:rFonts w:ascii="Times New Roman" w:eastAsia="Times New Roman" w:hAnsi="Times New Roman"/>
          <w:sz w:val="24"/>
          <w:szCs w:val="24"/>
        </w:rPr>
        <w:t xml:space="preserve"> and the roadway where </w:t>
      </w:r>
      <w:proofErr w:type="gramStart"/>
      <w:r w:rsidRPr="00E31E01">
        <w:rPr>
          <w:rFonts w:ascii="Times New Roman" w:eastAsia="Times New Roman" w:hAnsi="Times New Roman"/>
          <w:sz w:val="24"/>
          <w:szCs w:val="24"/>
        </w:rPr>
        <w:t>appellant</w:t>
      </w:r>
      <w:proofErr w:type="gramEnd"/>
      <w:r w:rsidRPr="00E31E01">
        <w:rPr>
          <w:rFonts w:ascii="Times New Roman" w:eastAsia="Times New Roman" w:hAnsi="Times New Roman"/>
          <w:sz w:val="24"/>
          <w:szCs w:val="24"/>
        </w:rPr>
        <w:t xml:space="preserve"> drove in the incorrect lane was curvy and hilly. In fact, the bridge appellant drove on had an inclining peak, which made it difficult to see if traffic was approaching on the other side of the bridge. Indeed, as Deputy Abbitt explained, traffic was observed traveling in both directions on State Route 73 during her pursuit of appellant. Appellant was driving at such a rapid speed that the deputy was unable to catch up to appellant, despite traveling more than 100 m.p.h.</w:t>
      </w:r>
      <w:r>
        <w:rPr>
          <w:rFonts w:ascii="Times New Roman" w:eastAsia="Times New Roman" w:hAnsi="Times New Roman"/>
          <w:sz w:val="24"/>
          <w:szCs w:val="24"/>
        </w:rPr>
        <w:t xml:space="preserve">”   </w:t>
      </w:r>
      <w:hyperlink r:id="rId563" w:history="1">
        <w:r w:rsidRPr="00EA374E">
          <w:rPr>
            <w:rStyle w:val="Hyperlink"/>
            <w:rFonts w:ascii="Times New Roman" w:eastAsia="Times New Roman" w:hAnsi="Times New Roman"/>
            <w:sz w:val="24"/>
            <w:szCs w:val="24"/>
          </w:rPr>
          <w:t>https://casetext.com/case/state-v-zitney-1</w:t>
        </w:r>
      </w:hyperlink>
      <w:r>
        <w:rPr>
          <w:rFonts w:ascii="Times New Roman" w:eastAsia="Times New Roman" w:hAnsi="Times New Roman"/>
          <w:sz w:val="24"/>
          <w:szCs w:val="24"/>
        </w:rPr>
        <w:t xml:space="preserve"> </w:t>
      </w:r>
    </w:p>
    <w:p w14:paraId="2698B6BF" w14:textId="77777777" w:rsidR="00CD5950" w:rsidRDefault="00CD5950" w:rsidP="00EF1133">
      <w:pPr>
        <w:pStyle w:val="NoSpacing"/>
        <w:rPr>
          <w:rFonts w:ascii="Arial Black" w:hAnsi="Arial Black"/>
          <w:sz w:val="24"/>
          <w:szCs w:val="24"/>
        </w:rPr>
      </w:pPr>
    </w:p>
    <w:p w14:paraId="78F5AC83" w14:textId="77777777" w:rsidR="00CD5950" w:rsidRDefault="00CD5950" w:rsidP="00EF1133">
      <w:pPr>
        <w:pStyle w:val="NoSpacing"/>
        <w:rPr>
          <w:rFonts w:ascii="Arial Black" w:hAnsi="Arial Black"/>
          <w:sz w:val="24"/>
          <w:szCs w:val="24"/>
        </w:rPr>
      </w:pPr>
    </w:p>
    <w:p w14:paraId="79B2132A" w14:textId="77777777" w:rsidR="00CD5950" w:rsidRDefault="00CD5950" w:rsidP="00EF1133">
      <w:pPr>
        <w:pStyle w:val="NoSpacing"/>
        <w:rPr>
          <w:rFonts w:ascii="Arial Black" w:hAnsi="Arial Black"/>
          <w:sz w:val="24"/>
          <w:szCs w:val="24"/>
        </w:rPr>
      </w:pPr>
    </w:p>
    <w:p w14:paraId="30B1E84B" w14:textId="03E81674" w:rsidR="00F90EE5" w:rsidRDefault="00F90EE5" w:rsidP="00EF1133">
      <w:pPr>
        <w:pStyle w:val="NoSpacing"/>
        <w:rPr>
          <w:rFonts w:ascii="Arial Black" w:hAnsi="Arial Black"/>
          <w:sz w:val="24"/>
          <w:szCs w:val="24"/>
        </w:rPr>
      </w:pPr>
      <w:r>
        <w:rPr>
          <w:rFonts w:ascii="Arial Black" w:hAnsi="Arial Black"/>
          <w:sz w:val="24"/>
          <w:szCs w:val="24"/>
        </w:rPr>
        <w:t>2-30</w:t>
      </w:r>
    </w:p>
    <w:p w14:paraId="4EF4A26E" w14:textId="1A082B15" w:rsidR="00F90EE5" w:rsidRDefault="00F90EE5" w:rsidP="00EF1133">
      <w:pPr>
        <w:pStyle w:val="NoSpacing"/>
        <w:rPr>
          <w:rFonts w:ascii="Arial Black" w:hAnsi="Arial Black"/>
          <w:sz w:val="24"/>
          <w:szCs w:val="24"/>
        </w:rPr>
      </w:pPr>
    </w:p>
    <w:p w14:paraId="592B5EB8" w14:textId="77777777" w:rsidR="00F90EE5" w:rsidRPr="00C90287" w:rsidRDefault="00F90EE5" w:rsidP="00F90EE5">
      <w:pPr>
        <w:pStyle w:val="NoSpacing"/>
        <w:rPr>
          <w:rFonts w:ascii="Arial Black" w:hAnsi="Arial Black"/>
          <w:sz w:val="28"/>
          <w:szCs w:val="28"/>
        </w:rPr>
      </w:pPr>
      <w:r>
        <w:rPr>
          <w:rFonts w:ascii="Arial Black" w:hAnsi="Arial Black"/>
          <w:sz w:val="28"/>
          <w:szCs w:val="28"/>
        </w:rPr>
        <w:t>MI: ENGINE PROTECTING MVA SITE – CIVILIAN DRIVER, TEXTING - RAN INTO ENGINE - 10-30 YEARS, DEATH OF PASSENGER</w:t>
      </w:r>
    </w:p>
    <w:p w14:paraId="6FDD95D4" w14:textId="77777777" w:rsidR="00F90EE5" w:rsidRDefault="00F90EE5" w:rsidP="00F90EE5">
      <w:pPr>
        <w:pStyle w:val="NoSpacing"/>
      </w:pPr>
    </w:p>
    <w:p w14:paraId="22C9CFD1" w14:textId="77777777" w:rsidR="00F90EE5" w:rsidRPr="002B73D2" w:rsidRDefault="00F90EE5" w:rsidP="00F90EE5">
      <w:pPr>
        <w:pStyle w:val="NoSpacing"/>
        <w:rPr>
          <w:rFonts w:ascii="Times New Roman" w:hAnsi="Times New Roman"/>
          <w:sz w:val="24"/>
          <w:szCs w:val="24"/>
        </w:rPr>
      </w:pPr>
      <w:r>
        <w:rPr>
          <w:rFonts w:ascii="Times New Roman" w:hAnsi="Times New Roman"/>
          <w:sz w:val="24"/>
          <w:szCs w:val="24"/>
        </w:rPr>
        <w:t xml:space="preserve">On Jan. 14, 2021, in </w:t>
      </w:r>
      <w:r w:rsidRPr="002B73D2">
        <w:rPr>
          <w:rFonts w:ascii="Times New Roman" w:hAnsi="Times New Roman"/>
          <w:sz w:val="24"/>
          <w:szCs w:val="24"/>
          <w:u w:val="single"/>
        </w:rPr>
        <w:t>People of the State of Michigan v. Charles Edward Horn</w:t>
      </w:r>
      <w:r>
        <w:rPr>
          <w:rFonts w:ascii="Times New Roman" w:hAnsi="Times New Roman"/>
          <w:sz w:val="24"/>
          <w:szCs w:val="24"/>
        </w:rPr>
        <w:t xml:space="preserve">, the State of Michigan Court of Appeals, held (3 to 0; unpublished opinion) that the jury properly convicted the driver of </w:t>
      </w:r>
      <w:r w:rsidRPr="002B73D2">
        <w:rPr>
          <w:rFonts w:ascii="Times New Roman" w:hAnsi="Times New Roman"/>
          <w:sz w:val="24"/>
          <w:szCs w:val="24"/>
        </w:rPr>
        <w:t xml:space="preserve">reckless driving causing death </w:t>
      </w:r>
      <w:r>
        <w:rPr>
          <w:rFonts w:ascii="Times New Roman" w:hAnsi="Times New Roman"/>
          <w:sz w:val="24"/>
          <w:szCs w:val="24"/>
        </w:rPr>
        <w:t xml:space="preserve">(back seat passenger) </w:t>
      </w:r>
      <w:r w:rsidRPr="002B73D2">
        <w:rPr>
          <w:rFonts w:ascii="Times New Roman" w:hAnsi="Times New Roman"/>
          <w:sz w:val="24"/>
          <w:szCs w:val="24"/>
        </w:rPr>
        <w:t>and reckless driving causing impairment of a bodily function</w:t>
      </w:r>
      <w:r>
        <w:rPr>
          <w:rFonts w:ascii="Times New Roman" w:hAnsi="Times New Roman"/>
          <w:sz w:val="24"/>
          <w:szCs w:val="24"/>
        </w:rPr>
        <w:t xml:space="preserve"> (defendant’s daughter)</w:t>
      </w:r>
      <w:r w:rsidRPr="002B73D2">
        <w:rPr>
          <w:rFonts w:ascii="Times New Roman" w:hAnsi="Times New Roman"/>
          <w:sz w:val="24"/>
          <w:szCs w:val="24"/>
        </w:rPr>
        <w:t>.</w:t>
      </w:r>
      <w:r>
        <w:rPr>
          <w:rFonts w:ascii="Times New Roman" w:hAnsi="Times New Roman"/>
          <w:sz w:val="24"/>
          <w:szCs w:val="24"/>
        </w:rPr>
        <w:t xml:space="preserve">  The driver was texting his daughter’s former boyfriend, telling him to stay away from her, when he ran into the back of the engine. </w:t>
      </w:r>
    </w:p>
    <w:p w14:paraId="33364AAF" w14:textId="77777777" w:rsidR="00F90EE5" w:rsidRPr="002B73D2" w:rsidRDefault="00F90EE5" w:rsidP="00F90EE5">
      <w:pPr>
        <w:pStyle w:val="NoSpacing"/>
        <w:rPr>
          <w:rFonts w:ascii="Times New Roman" w:hAnsi="Times New Roman"/>
          <w:sz w:val="24"/>
          <w:szCs w:val="24"/>
        </w:rPr>
      </w:pPr>
    </w:p>
    <w:p w14:paraId="44DBF989" w14:textId="77777777" w:rsidR="00F90EE5" w:rsidRPr="002B73D2" w:rsidRDefault="00F90EE5" w:rsidP="00F90EE5">
      <w:pPr>
        <w:pStyle w:val="NoSpacing"/>
        <w:ind w:left="720"/>
        <w:rPr>
          <w:rFonts w:ascii="Times New Roman" w:hAnsi="Times New Roman"/>
          <w:sz w:val="24"/>
          <w:szCs w:val="24"/>
        </w:rPr>
      </w:pPr>
      <w:r>
        <w:rPr>
          <w:rFonts w:ascii="Times New Roman" w:hAnsi="Times New Roman"/>
          <w:sz w:val="24"/>
          <w:szCs w:val="24"/>
        </w:rPr>
        <w:t>“</w:t>
      </w:r>
      <w:r w:rsidRPr="002B73D2">
        <w:rPr>
          <w:rFonts w:ascii="Times New Roman" w:hAnsi="Times New Roman"/>
          <w:sz w:val="24"/>
          <w:szCs w:val="24"/>
        </w:rPr>
        <w:t xml:space="preserve">Phone records showed that defendant's cell phone sent a text message at 11:01:34 p.m. The crash was called in at 11:02:08 p.m. The jury heard uncontested evidence that the average perception or response time is between 1.5 and 1.6 seconds and that defendant—assuming that he was proceeding at the speed limit—had 34 seconds from the time he entered onto the highway until the scene of the crash approximately .6 miles down the highway from the on-ramp, which was more than enough time to bring the vehicle to a complete stop or to change lanes. The fire truck was bright yellow, parked in a standard technique to assure the safety of emergency responders, and had its emergency lights flashing, as did at least one other emergency response vehicle. The roadway was straight, and there was good visibility that night. Despite this, there was no evidence suggesting that defendant ever perceived the fire engine or that he attempted to brake or change lanes to avoid a collision. Given this evidence, the jury could fairly conclude that the defendant was operating the vehicle </w:t>
      </w:r>
      <w:r>
        <w:rPr>
          <w:rFonts w:ascii="Times New Roman" w:hAnsi="Times New Roman"/>
          <w:sz w:val="24"/>
          <w:szCs w:val="24"/>
        </w:rPr>
        <w:t>‘</w:t>
      </w:r>
      <w:r w:rsidRPr="002B73D2">
        <w:rPr>
          <w:rFonts w:ascii="Times New Roman" w:hAnsi="Times New Roman"/>
          <w:sz w:val="24"/>
          <w:szCs w:val="24"/>
        </w:rPr>
        <w:t>with wanton disregard of the potential consequences, i.e., death and serious injury.</w:t>
      </w:r>
      <w:r>
        <w:rPr>
          <w:rFonts w:ascii="Times New Roman" w:hAnsi="Times New Roman"/>
          <w:sz w:val="24"/>
          <w:szCs w:val="24"/>
        </w:rPr>
        <w:t xml:space="preserve">’” </w:t>
      </w:r>
      <w:hyperlink r:id="rId564" w:history="1">
        <w:r w:rsidRPr="00AA6AFA">
          <w:rPr>
            <w:rStyle w:val="Hyperlink"/>
            <w:rFonts w:ascii="Times New Roman" w:hAnsi="Times New Roman"/>
            <w:sz w:val="24"/>
            <w:szCs w:val="24"/>
          </w:rPr>
          <w:t>https://law.justia.com/cases/michigan/court-of-appeals-unpublished/2021/350129.html</w:t>
        </w:r>
      </w:hyperlink>
      <w:r>
        <w:rPr>
          <w:rFonts w:ascii="Times New Roman" w:hAnsi="Times New Roman"/>
          <w:sz w:val="24"/>
          <w:szCs w:val="24"/>
        </w:rPr>
        <w:t xml:space="preserve"> </w:t>
      </w:r>
    </w:p>
    <w:p w14:paraId="064127D6" w14:textId="77777777" w:rsidR="00F90EE5" w:rsidRDefault="00F90EE5" w:rsidP="00F90EE5">
      <w:pPr>
        <w:spacing w:before="100" w:beforeAutospacing="1" w:after="100" w:afterAutospacing="1" w:line="240" w:lineRule="auto"/>
        <w:rPr>
          <w:rFonts w:ascii="Times New Roman" w:hAnsi="Times New Roman"/>
          <w:b/>
          <w:bCs/>
          <w:sz w:val="24"/>
          <w:szCs w:val="24"/>
        </w:rPr>
      </w:pPr>
      <w:r w:rsidRPr="00E86EB6">
        <w:rPr>
          <w:rFonts w:ascii="Times New Roman" w:hAnsi="Times New Roman"/>
          <w:b/>
          <w:bCs/>
          <w:sz w:val="24"/>
          <w:szCs w:val="24"/>
        </w:rPr>
        <w:t>Legal Lesson Learned:</w:t>
      </w:r>
      <w:r>
        <w:rPr>
          <w:rFonts w:ascii="Times New Roman" w:hAnsi="Times New Roman"/>
          <w:b/>
          <w:bCs/>
          <w:sz w:val="24"/>
          <w:szCs w:val="24"/>
        </w:rPr>
        <w:t xml:space="preserve"> Texting while driving can have deadly consequences.</w:t>
      </w:r>
    </w:p>
    <w:p w14:paraId="6B3C6024" w14:textId="77777777" w:rsidR="00F90EE5" w:rsidRDefault="00F90EE5" w:rsidP="00EF1133">
      <w:pPr>
        <w:pStyle w:val="NoSpacing"/>
        <w:rPr>
          <w:rFonts w:ascii="Arial Black" w:hAnsi="Arial Black"/>
          <w:sz w:val="24"/>
          <w:szCs w:val="24"/>
        </w:rPr>
      </w:pPr>
    </w:p>
    <w:p w14:paraId="2DE4B232" w14:textId="64259423" w:rsidR="00F90EE5" w:rsidRDefault="00F90EE5" w:rsidP="00EF1133">
      <w:pPr>
        <w:pStyle w:val="NoSpacing"/>
        <w:rPr>
          <w:rFonts w:ascii="Arial Black" w:hAnsi="Arial Black"/>
          <w:sz w:val="24"/>
          <w:szCs w:val="24"/>
        </w:rPr>
      </w:pPr>
      <w:r>
        <w:rPr>
          <w:rFonts w:ascii="Arial Black" w:hAnsi="Arial Black"/>
          <w:sz w:val="24"/>
          <w:szCs w:val="24"/>
        </w:rPr>
        <w:t>2-29</w:t>
      </w:r>
    </w:p>
    <w:p w14:paraId="10B0E553" w14:textId="6D5A5620" w:rsidR="00F90EE5" w:rsidRDefault="00F90EE5" w:rsidP="00EF1133">
      <w:pPr>
        <w:pStyle w:val="NoSpacing"/>
        <w:rPr>
          <w:rFonts w:ascii="Arial Black" w:hAnsi="Arial Black"/>
          <w:sz w:val="24"/>
          <w:szCs w:val="24"/>
        </w:rPr>
      </w:pPr>
    </w:p>
    <w:p w14:paraId="48DB223F" w14:textId="77777777" w:rsidR="00F90EE5" w:rsidRPr="00067B64" w:rsidRDefault="00F90EE5" w:rsidP="00F90EE5">
      <w:pPr>
        <w:spacing w:before="100" w:beforeAutospacing="1" w:after="100" w:afterAutospacing="1" w:line="240" w:lineRule="auto"/>
        <w:rPr>
          <w:rFonts w:ascii="Arial Black" w:eastAsia="Times New Roman" w:hAnsi="Arial Black"/>
          <w:sz w:val="28"/>
          <w:szCs w:val="28"/>
        </w:rPr>
      </w:pPr>
      <w:bookmarkStart w:id="93" w:name="_Hlk66941295"/>
      <w:r>
        <w:rPr>
          <w:rFonts w:ascii="Arial Black" w:eastAsia="Times New Roman" w:hAnsi="Arial Black"/>
          <w:sz w:val="28"/>
          <w:szCs w:val="28"/>
        </w:rPr>
        <w:t>DE: FIRE STATION “ROLLING BROWN OUTS” – 3 LODDs – FED. LAWSUIT DISMISSED – RISK DEATH INHERENT IN JOB</w:t>
      </w:r>
    </w:p>
    <w:p w14:paraId="19BDAE8B" w14:textId="77777777" w:rsidR="00F90EE5" w:rsidRDefault="00F90EE5" w:rsidP="00F90EE5">
      <w:pPr>
        <w:pStyle w:val="NormalWeb"/>
      </w:pPr>
      <w:r>
        <w:t xml:space="preserve">On Jan. 6, 2021, in </w:t>
      </w:r>
      <w:r w:rsidRPr="00067B64">
        <w:rPr>
          <w:u w:val="single"/>
        </w:rPr>
        <w:t>Firefighter Brad Speakman, et al. v. Dennis P. Williams, et al</w:t>
      </w:r>
      <w:r>
        <w:t xml:space="preserve">., the U.S. Court </w:t>
      </w:r>
      <w:r w:rsidRPr="00067B64">
        <w:t>of Appeals for the 3</w:t>
      </w:r>
      <w:r w:rsidRPr="00067B64">
        <w:rPr>
          <w:vertAlign w:val="superscript"/>
        </w:rPr>
        <w:t>rd</w:t>
      </w:r>
      <w:r w:rsidRPr="00067B64">
        <w:t xml:space="preserve"> Circuit, held (3 to 0</w:t>
      </w:r>
      <w:r>
        <w:t>; non precedential</w:t>
      </w:r>
      <w:r w:rsidRPr="00067B64">
        <w:t>) that the U.S. District Court judge properly granted defense motion to dismiss the lawsuit brought by the estates and survivors of the three deceased firefighters</w:t>
      </w:r>
      <w:r>
        <w:t>: L</w:t>
      </w:r>
      <w:r w:rsidRPr="00067B64">
        <w:t>ieutenant Christopher Leach, Senior Firefighter Jerry Fickes, and Senior Firefighter Ardythe Hop</w:t>
      </w:r>
      <w:r>
        <w:t>e, and the t</w:t>
      </w:r>
      <w:r w:rsidRPr="00067B64">
        <w:t xml:space="preserve">hree injured </w:t>
      </w:r>
      <w:r w:rsidRPr="00067B64">
        <w:lastRenderedPageBreak/>
        <w:t>firefighters</w:t>
      </w:r>
      <w:r>
        <w:t>: F</w:t>
      </w:r>
      <w:r w:rsidRPr="00067B64">
        <w:t>irefighter Brad Speakman, Senior Firefighter Terrance Tate, and Lieutenant John Cawthray</w:t>
      </w:r>
      <w:r>
        <w:t>.  The five defendants were</w:t>
      </w:r>
      <w:r w:rsidRPr="00067B64">
        <w:t>: (1) Dennis P. Williams (who served as Mayor of Wilmington from 2013 to 2017); (2) James M. Baker (Williams's predecessor, who was Mayor from 2001 to 2013); (3) Anthony S. Goode (WFD Chief of Fire from 2013 until</w:t>
      </w:r>
      <w:r>
        <w:t xml:space="preserve"> </w:t>
      </w:r>
      <w:r w:rsidRPr="00067B64">
        <w:t>2017); (4) William Patrick, Jr. (Chief of Fire from 2007 until 2013); and (5) the City of Wilmington.</w:t>
      </w:r>
    </w:p>
    <w:bookmarkEnd w:id="93"/>
    <w:p w14:paraId="3DA6F393" w14:textId="51A2912E" w:rsidR="00F90EE5" w:rsidRDefault="00F90EE5" w:rsidP="007F3C7D">
      <w:pPr>
        <w:spacing w:before="100" w:beforeAutospacing="1" w:after="100" w:afterAutospacing="1" w:line="240" w:lineRule="auto"/>
        <w:ind w:left="720"/>
        <w:rPr>
          <w:rStyle w:val="Hyperlink"/>
          <w:rFonts w:ascii="Times New Roman" w:hAnsi="Times New Roman"/>
          <w:sz w:val="24"/>
          <w:szCs w:val="24"/>
        </w:rPr>
      </w:pPr>
      <w:r>
        <w:rPr>
          <w:rFonts w:ascii="Times New Roman" w:eastAsia="Times New Roman" w:hAnsi="Times New Roman"/>
          <w:sz w:val="24"/>
          <w:szCs w:val="24"/>
        </w:rPr>
        <w:t>“</w:t>
      </w:r>
      <w:r w:rsidRPr="005005A2">
        <w:rPr>
          <w:rFonts w:ascii="Times New Roman" w:eastAsia="Times New Roman" w:hAnsi="Times New Roman"/>
          <w:sz w:val="24"/>
          <w:szCs w:val="24"/>
        </w:rPr>
        <w:t xml:space="preserve">Applying </w:t>
      </w:r>
      <w:r w:rsidRPr="005005A2">
        <w:rPr>
          <w:rFonts w:ascii="Times New Roman" w:eastAsia="Times New Roman" w:hAnsi="Times New Roman"/>
          <w:sz w:val="24"/>
          <w:szCs w:val="24"/>
          <w:u w:val="single"/>
        </w:rPr>
        <w:t>Collins</w:t>
      </w:r>
      <w:r w:rsidRPr="005005A2">
        <w:rPr>
          <w:rFonts w:ascii="Times New Roman" w:eastAsia="Times New Roman" w:hAnsi="Times New Roman"/>
          <w:sz w:val="24"/>
          <w:szCs w:val="24"/>
        </w:rPr>
        <w:t xml:space="preserve">, </w:t>
      </w:r>
      <w:r>
        <w:rPr>
          <w:rFonts w:ascii="Times New Roman" w:eastAsia="Times New Roman" w:hAnsi="Times New Roman"/>
          <w:sz w:val="24"/>
          <w:szCs w:val="24"/>
        </w:rPr>
        <w:t xml:space="preserve">[U.S. Supreme Court decision in </w:t>
      </w:r>
      <w:r w:rsidRPr="00A6382B">
        <w:rPr>
          <w:rFonts w:ascii="Times New Roman" w:eastAsia="Times New Roman" w:hAnsi="Times New Roman"/>
          <w:sz w:val="24"/>
          <w:szCs w:val="24"/>
          <w:u w:val="single"/>
        </w:rPr>
        <w:t>Collins v. Harker Heights</w:t>
      </w:r>
      <w:r>
        <w:rPr>
          <w:rFonts w:ascii="Times New Roman" w:eastAsia="Times New Roman" w:hAnsi="Times New Roman"/>
          <w:sz w:val="24"/>
          <w:szCs w:val="24"/>
          <w:u w:val="single"/>
        </w:rPr>
        <w:t>, 503 US 115</w:t>
      </w:r>
      <w:r>
        <w:rPr>
          <w:rFonts w:ascii="Times New Roman" w:eastAsia="Times New Roman" w:hAnsi="Times New Roman"/>
          <w:sz w:val="24"/>
          <w:szCs w:val="24"/>
        </w:rPr>
        <w:t xml:space="preserve"> (1992) where sanitation worker died by fumes in manhole, and Court held that lawsuit by spouse alleging violation of U.S. Constitution, Due Process Clause was properly dismissed]  </w:t>
      </w:r>
      <w:r w:rsidRPr="005005A2">
        <w:rPr>
          <w:rFonts w:ascii="Times New Roman" w:eastAsia="Times New Roman" w:hAnsi="Times New Roman"/>
          <w:sz w:val="24"/>
          <w:szCs w:val="24"/>
        </w:rPr>
        <w:t xml:space="preserve">we have concluded that, while the Due Process Clause does not guarantee public employees certain minimal levels of safety and security, </w:t>
      </w:r>
      <w:r>
        <w:rPr>
          <w:rFonts w:ascii="Times New Roman" w:eastAsia="Times New Roman" w:hAnsi="Times New Roman"/>
          <w:sz w:val="24"/>
          <w:szCs w:val="24"/>
        </w:rPr>
        <w:t>‘</w:t>
      </w:r>
      <w:r w:rsidRPr="005005A2">
        <w:rPr>
          <w:rFonts w:ascii="Times New Roman" w:eastAsia="Times New Roman" w:hAnsi="Times New Roman"/>
          <w:sz w:val="24"/>
          <w:szCs w:val="24"/>
        </w:rPr>
        <w:t>a government employee may bring a substantive due process claim against his employer if the state compelled the employee to be exposed to a risk of harm not inherent in the workplace.</w:t>
      </w:r>
      <w:r>
        <w:rPr>
          <w:rFonts w:ascii="Times New Roman" w:eastAsia="Times New Roman" w:hAnsi="Times New Roman"/>
          <w:sz w:val="24"/>
          <w:szCs w:val="24"/>
        </w:rPr>
        <w:t>’</w:t>
      </w:r>
      <w:r w:rsidRPr="005005A2">
        <w:rPr>
          <w:rFonts w:ascii="Times New Roman" w:eastAsia="Times New Roman" w:hAnsi="Times New Roman"/>
          <w:sz w:val="24"/>
          <w:szCs w:val="24"/>
        </w:rPr>
        <w:t xml:space="preserve"> </w:t>
      </w:r>
      <w:r w:rsidRPr="005005A2">
        <w:rPr>
          <w:rFonts w:ascii="Times New Roman" w:eastAsia="Times New Roman" w:hAnsi="Times New Roman"/>
          <w:sz w:val="24"/>
          <w:szCs w:val="24"/>
          <w:u w:val="single"/>
        </w:rPr>
        <w:t>Kedra</w:t>
      </w:r>
      <w:r w:rsidRPr="005005A2">
        <w:rPr>
          <w:rFonts w:ascii="Times New Roman" w:eastAsia="Times New Roman" w:hAnsi="Times New Roman"/>
          <w:sz w:val="24"/>
          <w:szCs w:val="24"/>
        </w:rPr>
        <w:t xml:space="preserve">, 876 F.3d at 436 n.6 (citing </w:t>
      </w:r>
      <w:r w:rsidRPr="005005A2">
        <w:rPr>
          <w:rFonts w:ascii="Times New Roman" w:eastAsia="Times New Roman" w:hAnsi="Times New Roman"/>
          <w:sz w:val="24"/>
          <w:szCs w:val="24"/>
          <w:u w:val="single"/>
        </w:rPr>
        <w:t>Kaucher</w:t>
      </w:r>
      <w:r w:rsidRPr="005005A2">
        <w:rPr>
          <w:rFonts w:ascii="Times New Roman" w:eastAsia="Times New Roman" w:hAnsi="Times New Roman"/>
          <w:sz w:val="24"/>
          <w:szCs w:val="24"/>
        </w:rPr>
        <w:t xml:space="preserve">, 455 F.3d at 430-31; </w:t>
      </w:r>
      <w:r w:rsidRPr="005005A2">
        <w:rPr>
          <w:rFonts w:ascii="Times New Roman" w:eastAsia="Times New Roman" w:hAnsi="Times New Roman"/>
          <w:sz w:val="24"/>
          <w:szCs w:val="24"/>
          <w:u w:val="single"/>
        </w:rPr>
        <w:t>Eddy v. V.I. Water &amp; Power Auth.</w:t>
      </w:r>
      <w:r w:rsidRPr="005005A2">
        <w:rPr>
          <w:rFonts w:ascii="Times New Roman" w:eastAsia="Times New Roman" w:hAnsi="Times New Roman"/>
          <w:sz w:val="24"/>
          <w:szCs w:val="24"/>
        </w:rPr>
        <w:t xml:space="preserve">, 256 F.3d 204, 212-13 (3d Cir. </w:t>
      </w:r>
      <w:proofErr w:type="gramStart"/>
      <w:r w:rsidRPr="005005A2">
        <w:rPr>
          <w:rFonts w:ascii="Times New Roman" w:eastAsia="Times New Roman" w:hAnsi="Times New Roman"/>
          <w:sz w:val="24"/>
          <w:szCs w:val="24"/>
        </w:rPr>
        <w:t>2001))</w:t>
      </w:r>
      <w:proofErr w:type="gramEnd"/>
      <w:r w:rsidRPr="005005A2">
        <w:rPr>
          <w:rFonts w:ascii="Times New Roman" w:eastAsia="Times New Roman" w:hAnsi="Times New Roman"/>
          <w:sz w:val="24"/>
          <w:szCs w:val="24"/>
        </w:rPr>
        <w:t>. Weagree with the District Court</w:t>
      </w:r>
      <w:r>
        <w:rPr>
          <w:rFonts w:ascii="Times New Roman" w:eastAsia="Times New Roman" w:hAnsi="Times New Roman"/>
          <w:sz w:val="24"/>
          <w:szCs w:val="24"/>
        </w:rPr>
        <w:t xml:space="preserve"> </w:t>
      </w:r>
      <w:r w:rsidRPr="005005A2">
        <w:rPr>
          <w:rFonts w:ascii="Times New Roman" w:eastAsia="Times New Roman" w:hAnsi="Times New Roman"/>
          <w:sz w:val="24"/>
          <w:szCs w:val="24"/>
        </w:rPr>
        <w:t xml:space="preserve">that the risk of injury or death is </w:t>
      </w:r>
      <w:r w:rsidRPr="00A6382B">
        <w:rPr>
          <w:rFonts w:ascii="Times New Roman" w:eastAsia="Times New Roman" w:hAnsi="Times New Roman"/>
          <w:sz w:val="24"/>
          <w:szCs w:val="24"/>
        </w:rPr>
        <w:t xml:space="preserve">inherent to a firefighter's job and that any increase in risk on account of either the "rolling bypass" policy, the alleged understaffing, or any other alleged misconduct on the part of Defendants did not alter the fundamental nature of this inherent risk. </w:t>
      </w:r>
      <w:r w:rsidRPr="00A6382B">
        <w:rPr>
          <w:rFonts w:ascii="Times New Roman" w:hAnsi="Times New Roman"/>
          <w:sz w:val="24"/>
          <w:szCs w:val="24"/>
          <w:u w:val="single"/>
        </w:rPr>
        <w:t>See, e.g.</w:t>
      </w:r>
      <w:r w:rsidRPr="00A6382B">
        <w:rPr>
          <w:rFonts w:ascii="Times New Roman" w:hAnsi="Times New Roman"/>
          <w:sz w:val="24"/>
          <w:szCs w:val="24"/>
        </w:rPr>
        <w:t xml:space="preserve">, </w:t>
      </w:r>
      <w:r w:rsidRPr="00A6382B">
        <w:rPr>
          <w:rFonts w:ascii="Times New Roman" w:hAnsi="Times New Roman"/>
          <w:sz w:val="24"/>
          <w:szCs w:val="24"/>
          <w:u w:val="single"/>
        </w:rPr>
        <w:t>Estate of Phillips v. D.C.</w:t>
      </w:r>
      <w:r w:rsidRPr="00A6382B">
        <w:rPr>
          <w:rFonts w:ascii="Times New Roman" w:hAnsi="Times New Roman"/>
          <w:sz w:val="24"/>
          <w:szCs w:val="24"/>
        </w:rPr>
        <w:t>, 455 F.3d 397, 407 (D.C. Cir. 2006) (</w:t>
      </w:r>
      <w:r>
        <w:rPr>
          <w:rFonts w:ascii="Times New Roman" w:hAnsi="Times New Roman"/>
          <w:sz w:val="24"/>
          <w:szCs w:val="24"/>
        </w:rPr>
        <w:t>‘</w:t>
      </w:r>
      <w:r w:rsidRPr="00A6382B">
        <w:rPr>
          <w:rFonts w:ascii="Times New Roman" w:hAnsi="Times New Roman"/>
          <w:sz w:val="24"/>
          <w:szCs w:val="24"/>
        </w:rPr>
        <w:t>[The Fire Chief's] deliberate indifference may have increased the Firefighters' exposure to risk, but the risk itself—injury or death suffered in a fire—is inherent in their profession.</w:t>
      </w:r>
      <w:r>
        <w:rPr>
          <w:rFonts w:ascii="Times New Roman" w:hAnsi="Times New Roman"/>
          <w:sz w:val="24"/>
          <w:szCs w:val="24"/>
        </w:rPr>
        <w:t>’</w:t>
      </w:r>
      <w:r w:rsidRPr="00A6382B">
        <w:rPr>
          <w:rFonts w:ascii="Times New Roman" w:hAnsi="Times New Roman"/>
          <w:sz w:val="24"/>
          <w:szCs w:val="24"/>
        </w:rPr>
        <w:t>)</w:t>
      </w:r>
      <w:r>
        <w:rPr>
          <w:rFonts w:ascii="Times New Roman" w:hAnsi="Times New Roman"/>
          <w:sz w:val="24"/>
          <w:szCs w:val="24"/>
        </w:rPr>
        <w:t xml:space="preserve">” </w:t>
      </w:r>
      <w:bookmarkStart w:id="94" w:name="_Hlk66941320"/>
      <w:r w:rsidR="00F00958">
        <w:fldChar w:fldCharType="begin"/>
      </w:r>
      <w:r w:rsidR="00F00958">
        <w:instrText xml:space="preserve"> HYPERLINK "https://www2.ca3.uscourts.gov/opinarch/201468np.pdf" </w:instrText>
      </w:r>
      <w:r w:rsidR="00F00958">
        <w:fldChar w:fldCharType="separate"/>
      </w:r>
      <w:r w:rsidRPr="00CE47CA">
        <w:rPr>
          <w:rStyle w:val="Hyperlink"/>
          <w:rFonts w:ascii="Times New Roman" w:hAnsi="Times New Roman"/>
          <w:sz w:val="24"/>
          <w:szCs w:val="24"/>
        </w:rPr>
        <w:t>https://www2.ca3.uscourts.gov/opinarch/201468np.pdf</w:t>
      </w:r>
      <w:r w:rsidR="00F00958">
        <w:rPr>
          <w:rStyle w:val="Hyperlink"/>
          <w:rFonts w:ascii="Times New Roman" w:hAnsi="Times New Roman"/>
          <w:sz w:val="24"/>
          <w:szCs w:val="24"/>
        </w:rPr>
        <w:fldChar w:fldCharType="end"/>
      </w:r>
    </w:p>
    <w:p w14:paraId="28567487" w14:textId="77777777" w:rsidR="007F3C7D" w:rsidRDefault="007F3C7D" w:rsidP="007F3C7D">
      <w:pPr>
        <w:spacing w:before="100" w:beforeAutospacing="1" w:after="100" w:afterAutospacing="1" w:line="240" w:lineRule="auto"/>
        <w:rPr>
          <w:rFonts w:ascii="Times New Roman" w:eastAsia="Times New Roman" w:hAnsi="Times New Roman"/>
          <w:b/>
          <w:bCs/>
          <w:sz w:val="24"/>
          <w:szCs w:val="24"/>
        </w:rPr>
      </w:pPr>
      <w:r w:rsidRPr="00D07A64">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Station brown outs are most unfortunate, but Federal courts will not interfere with local government decisions on budgets and allocations of resources.</w:t>
      </w:r>
    </w:p>
    <w:p w14:paraId="17C12255" w14:textId="77777777" w:rsidR="007F3C7D" w:rsidRDefault="007F3C7D" w:rsidP="007F3C7D">
      <w:pPr>
        <w:spacing w:before="100" w:beforeAutospacing="1" w:after="100" w:afterAutospacing="1" w:line="240" w:lineRule="auto"/>
        <w:ind w:left="720"/>
        <w:rPr>
          <w:rFonts w:ascii="Times New Roman" w:eastAsia="Times New Roman" w:hAnsi="Times New Roman"/>
          <w:sz w:val="24"/>
          <w:szCs w:val="24"/>
        </w:rPr>
      </w:pPr>
      <w:bookmarkStart w:id="95" w:name="_Hlk66941356"/>
      <w:bookmarkEnd w:id="94"/>
      <w:r w:rsidRPr="00D07A64">
        <w:rPr>
          <w:rFonts w:ascii="Times New Roman" w:eastAsia="Times New Roman" w:hAnsi="Times New Roman"/>
          <w:sz w:val="24"/>
          <w:szCs w:val="24"/>
        </w:rPr>
        <w:t xml:space="preserve">Note: </w:t>
      </w:r>
      <w:r>
        <w:rPr>
          <w:rFonts w:ascii="Times New Roman" w:eastAsia="Times New Roman" w:hAnsi="Times New Roman"/>
          <w:sz w:val="24"/>
          <w:szCs w:val="24"/>
        </w:rPr>
        <w:t xml:space="preserve">Jan. 8, 2021: Oakland, CA has recently announced plans for browning out stations. </w:t>
      </w:r>
      <w:hyperlink r:id="rId565" w:history="1">
        <w:r w:rsidRPr="00CE47CA">
          <w:rPr>
            <w:rStyle w:val="Hyperlink"/>
            <w:rFonts w:ascii="Times New Roman" w:eastAsia="Times New Roman" w:hAnsi="Times New Roman"/>
            <w:sz w:val="24"/>
            <w:szCs w:val="24"/>
          </w:rPr>
          <w:t>https://www.radio.com/kcbsradio/news/local/oakland-fire-stations-may-close-due-to-budget-deficit</w:t>
        </w:r>
      </w:hyperlink>
      <w:r>
        <w:rPr>
          <w:rFonts w:ascii="Times New Roman" w:eastAsia="Times New Roman" w:hAnsi="Times New Roman"/>
          <w:sz w:val="24"/>
          <w:szCs w:val="24"/>
        </w:rPr>
        <w:t xml:space="preserve"> </w:t>
      </w:r>
    </w:p>
    <w:p w14:paraId="674ECEB3" w14:textId="77777777" w:rsidR="007F3C7D" w:rsidRPr="00DA1A89" w:rsidRDefault="007F3C7D" w:rsidP="007F3C7D">
      <w:pPr>
        <w:pStyle w:val="NoSpacing"/>
        <w:ind w:left="720"/>
        <w:rPr>
          <w:rFonts w:ascii="Times New Roman" w:hAnsi="Times New Roman"/>
          <w:sz w:val="24"/>
          <w:szCs w:val="24"/>
        </w:rPr>
      </w:pPr>
      <w:r w:rsidRPr="00DA1A89">
        <w:rPr>
          <w:rFonts w:ascii="Times New Roman" w:hAnsi="Times New Roman"/>
          <w:sz w:val="24"/>
          <w:szCs w:val="24"/>
        </w:rPr>
        <w:t xml:space="preserve">On Dec. 16, 2019: Woman Gets 30 Years in Arson That Killed 3 Delaware Firefighters: </w:t>
      </w:r>
      <w:hyperlink r:id="rId566" w:history="1">
        <w:r w:rsidRPr="00CE47CA">
          <w:rPr>
            <w:rStyle w:val="Hyperlink"/>
            <w:rFonts w:ascii="Times New Roman" w:hAnsi="Times New Roman"/>
            <w:sz w:val="24"/>
            <w:szCs w:val="24"/>
          </w:rPr>
          <w:t>https://www.nbcphiladelphia.com/news/local/woman-gets-30-years-in-arson-that-killed-3-delaware-firefighters/2260369/</w:t>
        </w:r>
      </w:hyperlink>
      <w:r w:rsidRPr="00DA1A89">
        <w:rPr>
          <w:rFonts w:ascii="Times New Roman" w:hAnsi="Times New Roman"/>
          <w:sz w:val="24"/>
          <w:szCs w:val="24"/>
        </w:rPr>
        <w:t xml:space="preserve"> </w:t>
      </w:r>
    </w:p>
    <w:bookmarkEnd w:id="95"/>
    <w:p w14:paraId="67364734" w14:textId="77777777" w:rsidR="007F3C7D" w:rsidRDefault="007F3C7D" w:rsidP="007F3C7D">
      <w:pPr>
        <w:spacing w:before="100" w:beforeAutospacing="1" w:after="100" w:afterAutospacing="1" w:line="240" w:lineRule="auto"/>
        <w:ind w:left="720"/>
        <w:rPr>
          <w:rFonts w:ascii="Arial Black" w:hAnsi="Arial Black"/>
          <w:sz w:val="24"/>
          <w:szCs w:val="24"/>
        </w:rPr>
      </w:pPr>
    </w:p>
    <w:p w14:paraId="253B495F" w14:textId="77777777" w:rsidR="00F90EE5" w:rsidRDefault="00F90EE5" w:rsidP="00EF1133">
      <w:pPr>
        <w:pStyle w:val="NoSpacing"/>
        <w:rPr>
          <w:rFonts w:ascii="Arial Black" w:hAnsi="Arial Black"/>
          <w:sz w:val="24"/>
          <w:szCs w:val="24"/>
        </w:rPr>
      </w:pPr>
    </w:p>
    <w:p w14:paraId="1558366A" w14:textId="39950706" w:rsidR="007D178F" w:rsidRDefault="007D178F" w:rsidP="00EF1133">
      <w:pPr>
        <w:pStyle w:val="NoSpacing"/>
        <w:rPr>
          <w:rFonts w:ascii="Arial Black" w:hAnsi="Arial Black"/>
          <w:sz w:val="24"/>
          <w:szCs w:val="24"/>
        </w:rPr>
      </w:pPr>
      <w:r>
        <w:rPr>
          <w:rFonts w:ascii="Arial Black" w:hAnsi="Arial Black"/>
          <w:sz w:val="24"/>
          <w:szCs w:val="24"/>
        </w:rPr>
        <w:t>2-28</w:t>
      </w:r>
    </w:p>
    <w:p w14:paraId="6DC0DCD1" w14:textId="1AE42EFF" w:rsidR="007D178F" w:rsidRDefault="007D178F" w:rsidP="00EF1133">
      <w:pPr>
        <w:pStyle w:val="NoSpacing"/>
        <w:rPr>
          <w:rFonts w:ascii="Arial Black" w:hAnsi="Arial Black"/>
          <w:sz w:val="24"/>
          <w:szCs w:val="24"/>
        </w:rPr>
      </w:pPr>
    </w:p>
    <w:p w14:paraId="70FA03BD" w14:textId="77777777" w:rsidR="007D178F" w:rsidRPr="007E35C0" w:rsidRDefault="007D178F" w:rsidP="007D178F">
      <w:pPr>
        <w:pStyle w:val="NoSpacing"/>
        <w:rPr>
          <w:rFonts w:ascii="Arial Black" w:hAnsi="Arial Black"/>
          <w:sz w:val="28"/>
          <w:szCs w:val="28"/>
        </w:rPr>
      </w:pPr>
      <w:r>
        <w:rPr>
          <w:rFonts w:ascii="Arial Black" w:hAnsi="Arial Black"/>
          <w:sz w:val="28"/>
          <w:szCs w:val="28"/>
        </w:rPr>
        <w:t xml:space="preserve">MI:  DEPUTY CHIEF OBTAINED PROTECTIVE ORDER – CIVILIAN NO LONGER ALLOWED 2 STATIONS - MUST FEEL THREATENED  </w:t>
      </w:r>
    </w:p>
    <w:p w14:paraId="426E5B2D" w14:textId="77777777" w:rsidR="007D178F" w:rsidRDefault="007D178F" w:rsidP="007D178F">
      <w:pPr>
        <w:pStyle w:val="NoSpacing"/>
        <w:rPr>
          <w:rFonts w:ascii="Times New Roman" w:hAnsi="Times New Roman"/>
          <w:sz w:val="24"/>
          <w:szCs w:val="24"/>
        </w:rPr>
      </w:pPr>
    </w:p>
    <w:p w14:paraId="1EACAE62" w14:textId="77777777" w:rsidR="007D178F" w:rsidRDefault="007D178F" w:rsidP="007D178F">
      <w:pPr>
        <w:pStyle w:val="NoSpacing"/>
        <w:rPr>
          <w:rFonts w:ascii="Times New Roman" w:hAnsi="Times New Roman"/>
          <w:sz w:val="24"/>
          <w:szCs w:val="24"/>
        </w:rPr>
      </w:pPr>
      <w:r>
        <w:rPr>
          <w:rFonts w:ascii="Times New Roman" w:hAnsi="Times New Roman"/>
          <w:sz w:val="24"/>
          <w:szCs w:val="24"/>
        </w:rPr>
        <w:t xml:space="preserve">On Nov. 19, 2020, in </w:t>
      </w:r>
      <w:r w:rsidRPr="00721349">
        <w:rPr>
          <w:rFonts w:ascii="Times New Roman" w:hAnsi="Times New Roman"/>
          <w:sz w:val="24"/>
          <w:szCs w:val="24"/>
          <w:u w:val="single"/>
        </w:rPr>
        <w:t>RS, Petitioner v. AH, Respondent</w:t>
      </w:r>
      <w:r w:rsidRPr="00721349">
        <w:rPr>
          <w:rFonts w:ascii="Times New Roman" w:hAnsi="Times New Roman"/>
          <w:sz w:val="24"/>
          <w:szCs w:val="24"/>
        </w:rPr>
        <w:t xml:space="preserve">, </w:t>
      </w:r>
      <w:r>
        <w:rPr>
          <w:rFonts w:ascii="Times New Roman" w:hAnsi="Times New Roman"/>
          <w:sz w:val="24"/>
          <w:szCs w:val="24"/>
        </w:rPr>
        <w:t xml:space="preserve">the State of Michigan Court of Appeals held (3 to 0) that the trial court should not have issued a Personal Protective Order for stalking against the civilian (1-year; expired July 18, 2020) because the Deputy Chief testified that he did not feel emotional distress, just wanted it the harassment stopped.   </w:t>
      </w:r>
    </w:p>
    <w:p w14:paraId="61AAA1B1" w14:textId="77777777" w:rsidR="007D178F" w:rsidRDefault="007D178F" w:rsidP="007D178F">
      <w:pPr>
        <w:pStyle w:val="NoSpacing"/>
        <w:rPr>
          <w:rFonts w:ascii="Times New Roman" w:hAnsi="Times New Roman"/>
          <w:sz w:val="24"/>
          <w:szCs w:val="24"/>
        </w:rPr>
      </w:pPr>
    </w:p>
    <w:p w14:paraId="6A09F710" w14:textId="77777777" w:rsidR="007D178F" w:rsidRDefault="007D178F" w:rsidP="007D178F">
      <w:pPr>
        <w:pStyle w:val="NoSpacing"/>
        <w:ind w:left="720"/>
        <w:rPr>
          <w:rFonts w:ascii="Times New Roman" w:hAnsi="Times New Roman"/>
          <w:sz w:val="24"/>
          <w:szCs w:val="24"/>
        </w:rPr>
      </w:pPr>
      <w:r>
        <w:rPr>
          <w:rFonts w:ascii="Times New Roman" w:hAnsi="Times New Roman"/>
          <w:sz w:val="24"/>
          <w:szCs w:val="24"/>
        </w:rPr>
        <w:t>“</w:t>
      </w:r>
      <w:r w:rsidRPr="00721349">
        <w:rPr>
          <w:rFonts w:ascii="Times New Roman" w:hAnsi="Times New Roman"/>
          <w:sz w:val="24"/>
          <w:szCs w:val="24"/>
        </w:rPr>
        <w:t xml:space="preserve">In light of the record, we conclude that petitioner failed to meet his burden of proof for obtaining the PPO. Specifically, </w:t>
      </w:r>
      <w:proofErr w:type="gramStart"/>
      <w:r w:rsidRPr="00721349">
        <w:rPr>
          <w:rFonts w:ascii="Times New Roman" w:hAnsi="Times New Roman"/>
          <w:sz w:val="24"/>
          <w:szCs w:val="24"/>
        </w:rPr>
        <w:t>in order to</w:t>
      </w:r>
      <w:proofErr w:type="gramEnd"/>
      <w:r w:rsidRPr="00721349">
        <w:rPr>
          <w:rFonts w:ascii="Times New Roman" w:hAnsi="Times New Roman"/>
          <w:sz w:val="24"/>
          <w:szCs w:val="24"/>
        </w:rPr>
        <w:t xml:space="preserve"> </w:t>
      </w:r>
      <w:proofErr w:type="gramStart"/>
      <w:r w:rsidRPr="00721349">
        <w:rPr>
          <w:rFonts w:ascii="Times New Roman" w:hAnsi="Times New Roman"/>
          <w:sz w:val="24"/>
          <w:szCs w:val="24"/>
        </w:rPr>
        <w:t>demonstrating</w:t>
      </w:r>
      <w:proofErr w:type="gramEnd"/>
      <w:r w:rsidRPr="00721349">
        <w:rPr>
          <w:rFonts w:ascii="Times New Roman" w:hAnsi="Times New Roman"/>
          <w:sz w:val="24"/>
          <w:szCs w:val="24"/>
        </w:rPr>
        <w:t xml:space="preserve"> stalking, MCL 750.411h(1)(d), petitioner had to show harassment that included </w:t>
      </w:r>
      <w:r>
        <w:rPr>
          <w:rFonts w:ascii="Times New Roman" w:hAnsi="Times New Roman"/>
          <w:sz w:val="24"/>
          <w:szCs w:val="24"/>
        </w:rPr>
        <w:t>‘</w:t>
      </w:r>
      <w:r w:rsidRPr="00721349">
        <w:rPr>
          <w:rFonts w:ascii="Times New Roman" w:hAnsi="Times New Roman"/>
          <w:sz w:val="24"/>
          <w:szCs w:val="24"/>
        </w:rPr>
        <w:t xml:space="preserve">repeated or continuing unconsented contact that would cause a reasonable individual to suffer emotional distress and that actually causes the victim emotional </w:t>
      </w:r>
      <w:proofErr w:type="gramStart"/>
      <w:r w:rsidRPr="00721349">
        <w:rPr>
          <w:rFonts w:ascii="Times New Roman" w:hAnsi="Times New Roman"/>
          <w:sz w:val="24"/>
          <w:szCs w:val="24"/>
        </w:rPr>
        <w:t>distress.</w:t>
      </w:r>
      <w:r>
        <w:rPr>
          <w:rFonts w:ascii="Times New Roman" w:hAnsi="Times New Roman"/>
          <w:sz w:val="24"/>
          <w:szCs w:val="24"/>
        </w:rPr>
        <w:t>’</w:t>
      </w:r>
      <w:proofErr w:type="gramEnd"/>
      <w:r w:rsidRPr="00721349">
        <w:rPr>
          <w:rFonts w:ascii="Times New Roman" w:hAnsi="Times New Roman"/>
          <w:sz w:val="24"/>
          <w:szCs w:val="24"/>
        </w:rPr>
        <w:t xml:space="preserve"> MCL 750.411h(1)(c). The stalking must </w:t>
      </w:r>
      <w:proofErr w:type="gramStart"/>
      <w:r w:rsidRPr="00721349">
        <w:rPr>
          <w:rFonts w:ascii="Times New Roman" w:hAnsi="Times New Roman"/>
          <w:sz w:val="24"/>
          <w:szCs w:val="24"/>
        </w:rPr>
        <w:t>actually cause</w:t>
      </w:r>
      <w:proofErr w:type="gramEnd"/>
      <w:r w:rsidRPr="00721349">
        <w:rPr>
          <w:rFonts w:ascii="Times New Roman" w:hAnsi="Times New Roman"/>
          <w:sz w:val="24"/>
          <w:szCs w:val="24"/>
        </w:rPr>
        <w:t xml:space="preserve"> the individual to feel terrorized, frightened, intimidated, threatened, harassed, or molested. MCL 750.411h(1)(d). However, when petitioner was </w:t>
      </w:r>
      <w:r w:rsidRPr="00721349">
        <w:rPr>
          <w:rFonts w:ascii="Times New Roman" w:hAnsi="Times New Roman"/>
          <w:sz w:val="24"/>
          <w:szCs w:val="24"/>
        </w:rPr>
        <w:lastRenderedPageBreak/>
        <w:t xml:space="preserve">questioned on cross-examination regarding how </w:t>
      </w:r>
      <w:proofErr w:type="gramStart"/>
      <w:r w:rsidRPr="00721349">
        <w:rPr>
          <w:rFonts w:ascii="Times New Roman" w:hAnsi="Times New Roman"/>
          <w:sz w:val="24"/>
          <w:szCs w:val="24"/>
        </w:rPr>
        <w:t>the Facebook</w:t>
      </w:r>
      <w:proofErr w:type="gramEnd"/>
      <w:r w:rsidRPr="00721349">
        <w:rPr>
          <w:rFonts w:ascii="Times New Roman" w:hAnsi="Times New Roman"/>
          <w:sz w:val="24"/>
          <w:szCs w:val="24"/>
        </w:rPr>
        <w:t xml:space="preserve"> written and video posts impacted him, he testified, </w:t>
      </w:r>
      <w:r>
        <w:rPr>
          <w:rFonts w:ascii="Times New Roman" w:hAnsi="Times New Roman"/>
          <w:sz w:val="24"/>
          <w:szCs w:val="24"/>
        </w:rPr>
        <w:t>‘</w:t>
      </w:r>
      <w:r w:rsidRPr="00721349">
        <w:rPr>
          <w:rFonts w:ascii="Times New Roman" w:hAnsi="Times New Roman"/>
          <w:sz w:val="24"/>
          <w:szCs w:val="24"/>
        </w:rPr>
        <w:t xml:space="preserve">I didn't give it much thought at all, I just know that this is very odd, and this is very concerning to me that he's posting anything about me, and </w:t>
      </w:r>
    </w:p>
    <w:p w14:paraId="1B581301" w14:textId="77777777" w:rsidR="007D178F" w:rsidRDefault="007D178F" w:rsidP="007D178F">
      <w:pPr>
        <w:pStyle w:val="NoSpacing"/>
        <w:ind w:left="720"/>
        <w:rPr>
          <w:rFonts w:ascii="Times New Roman" w:hAnsi="Times New Roman"/>
          <w:sz w:val="24"/>
          <w:szCs w:val="24"/>
        </w:rPr>
      </w:pPr>
      <w:r w:rsidRPr="00721349">
        <w:rPr>
          <w:rFonts w:ascii="Times New Roman" w:hAnsi="Times New Roman"/>
          <w:sz w:val="24"/>
          <w:szCs w:val="24"/>
        </w:rPr>
        <w:t>driving down my street." More importantly, when petitioner was expressly asked whether respondent harassed and threatened him, he replied, "No, I claimed exactly what I stated her[e].</w:t>
      </w:r>
      <w:r>
        <w:rPr>
          <w:rFonts w:ascii="Times New Roman" w:hAnsi="Times New Roman"/>
          <w:sz w:val="24"/>
          <w:szCs w:val="24"/>
        </w:rPr>
        <w:t>’”</w:t>
      </w:r>
      <w:r w:rsidRPr="00721349">
        <w:t xml:space="preserve"> </w:t>
      </w:r>
      <w:hyperlink r:id="rId567" w:history="1">
        <w:r w:rsidRPr="002F20C3">
          <w:rPr>
            <w:rStyle w:val="Hyperlink"/>
            <w:rFonts w:ascii="Times New Roman" w:hAnsi="Times New Roman"/>
            <w:sz w:val="24"/>
            <w:szCs w:val="24"/>
          </w:rPr>
          <w:t>https://www.leagle.com/decision/inmico20201120334</w:t>
        </w:r>
      </w:hyperlink>
      <w:r>
        <w:rPr>
          <w:rFonts w:ascii="Times New Roman" w:hAnsi="Times New Roman"/>
          <w:sz w:val="24"/>
          <w:szCs w:val="24"/>
        </w:rPr>
        <w:t xml:space="preserve"> </w:t>
      </w:r>
    </w:p>
    <w:p w14:paraId="1CDDE050" w14:textId="77777777" w:rsidR="007D178F" w:rsidRDefault="007D178F" w:rsidP="007D178F">
      <w:pPr>
        <w:pStyle w:val="NoSpacing"/>
        <w:ind w:left="720"/>
        <w:rPr>
          <w:rFonts w:ascii="Times New Roman" w:hAnsi="Times New Roman"/>
          <w:sz w:val="24"/>
          <w:szCs w:val="24"/>
        </w:rPr>
      </w:pPr>
    </w:p>
    <w:p w14:paraId="06F31377" w14:textId="77777777" w:rsidR="007D178F" w:rsidRDefault="007D178F" w:rsidP="007D178F">
      <w:pPr>
        <w:pStyle w:val="NoSpacing"/>
        <w:rPr>
          <w:rFonts w:ascii="Times New Roman" w:hAnsi="Times New Roman"/>
          <w:sz w:val="24"/>
          <w:szCs w:val="24"/>
        </w:rPr>
      </w:pPr>
    </w:p>
    <w:p w14:paraId="4D0EF4D0" w14:textId="77777777" w:rsidR="007D178F" w:rsidRPr="0096139A" w:rsidRDefault="007D178F" w:rsidP="007D178F">
      <w:pPr>
        <w:pStyle w:val="NoSpacing"/>
        <w:rPr>
          <w:rFonts w:ascii="Times New Roman" w:hAnsi="Times New Roman"/>
          <w:b/>
          <w:bCs/>
          <w:sz w:val="24"/>
          <w:szCs w:val="24"/>
        </w:rPr>
      </w:pPr>
      <w:r w:rsidRPr="0096139A">
        <w:rPr>
          <w:rFonts w:ascii="Times New Roman" w:hAnsi="Times New Roman"/>
          <w:b/>
          <w:bCs/>
          <w:sz w:val="24"/>
          <w:szCs w:val="24"/>
        </w:rPr>
        <w:t xml:space="preserve">Legal Lesson Learned: </w:t>
      </w:r>
      <w:r>
        <w:rPr>
          <w:rFonts w:ascii="Times New Roman" w:hAnsi="Times New Roman"/>
          <w:b/>
          <w:bCs/>
          <w:sz w:val="24"/>
          <w:szCs w:val="24"/>
        </w:rPr>
        <w:t xml:space="preserve"> The Deputy Chief could have also asked County Prosecutor to bring criminal charges against the stalker under the Michigan “cyber stalking” statute. </w:t>
      </w:r>
    </w:p>
    <w:p w14:paraId="51D2AC66" w14:textId="77777777" w:rsidR="007D178F" w:rsidRPr="00D0410F" w:rsidRDefault="007D178F" w:rsidP="007D178F">
      <w:pPr>
        <w:spacing w:after="100" w:line="240" w:lineRule="auto"/>
        <w:ind w:left="720"/>
        <w:rPr>
          <w:rFonts w:ascii="Times New Roman" w:hAnsi="Times New Roman"/>
          <w:sz w:val="24"/>
          <w:szCs w:val="24"/>
        </w:rPr>
      </w:pPr>
    </w:p>
    <w:p w14:paraId="1A2CA0EB" w14:textId="77777777" w:rsidR="007D178F" w:rsidRPr="007668F4" w:rsidRDefault="007D178F" w:rsidP="007D178F">
      <w:pPr>
        <w:spacing w:after="100" w:line="240" w:lineRule="auto"/>
        <w:ind w:left="720"/>
        <w:rPr>
          <w:rFonts w:ascii="Times New Roman" w:hAnsi="Times New Roman"/>
          <w:sz w:val="24"/>
          <w:szCs w:val="24"/>
        </w:rPr>
      </w:pPr>
      <w:r w:rsidRPr="007668F4">
        <w:rPr>
          <w:rFonts w:ascii="Times New Roman" w:eastAsia="Times New Roman" w:hAnsi="Times New Roman"/>
          <w:sz w:val="24"/>
          <w:szCs w:val="24"/>
        </w:rPr>
        <w:t xml:space="preserve">Michigan </w:t>
      </w:r>
      <w:r w:rsidRPr="007668F4">
        <w:rPr>
          <w:rFonts w:ascii="Times New Roman" w:hAnsi="Times New Roman"/>
          <w:sz w:val="24"/>
          <w:szCs w:val="24"/>
        </w:rPr>
        <w:t xml:space="preserve">750.411h:  Stalking; definitions; violation as misdemeanor; penalties; probation; conditions; evidence of continued conduct as rebuttable presumption; additional penalties. </w:t>
      </w:r>
    </w:p>
    <w:p w14:paraId="3D26255F" w14:textId="77777777" w:rsidR="007D178F" w:rsidRPr="0096139A" w:rsidRDefault="007D178F" w:rsidP="007D178F">
      <w:pPr>
        <w:spacing w:after="100" w:line="240" w:lineRule="auto"/>
        <w:ind w:left="720"/>
        <w:rPr>
          <w:rFonts w:ascii="Times New Roman" w:eastAsia="Times New Roman" w:hAnsi="Times New Roman"/>
          <w:sz w:val="24"/>
          <w:szCs w:val="24"/>
        </w:rPr>
      </w:pPr>
      <w:r w:rsidRPr="0096139A">
        <w:rPr>
          <w:rFonts w:ascii="Times New Roman" w:hAnsi="Times New Roman"/>
          <w:b/>
          <w:bCs/>
          <w:sz w:val="24"/>
          <w:szCs w:val="24"/>
        </w:rPr>
        <w:t xml:space="preserve"> </w:t>
      </w:r>
      <w:r w:rsidRPr="0096139A">
        <w:rPr>
          <w:rFonts w:ascii="Times New Roman" w:eastAsia="Times New Roman" w:hAnsi="Times New Roman"/>
          <w:sz w:val="24"/>
          <w:szCs w:val="24"/>
        </w:rPr>
        <w:t>(2) An individual who engages in stalking is guilty of a crime as follows:</w:t>
      </w:r>
    </w:p>
    <w:p w14:paraId="7B748AB8" w14:textId="77777777" w:rsidR="007D178F" w:rsidRPr="0096139A" w:rsidRDefault="007D178F" w:rsidP="007D178F">
      <w:pPr>
        <w:spacing w:after="0" w:line="240" w:lineRule="auto"/>
        <w:ind w:left="720"/>
        <w:rPr>
          <w:rFonts w:ascii="Times New Roman" w:eastAsia="Times New Roman" w:hAnsi="Times New Roman"/>
          <w:sz w:val="24"/>
          <w:szCs w:val="24"/>
        </w:rPr>
      </w:pPr>
      <w:r w:rsidRPr="0096139A">
        <w:rPr>
          <w:rFonts w:ascii="Times New Roman" w:eastAsia="Times New Roman" w:hAnsi="Times New Roman"/>
          <w:sz w:val="24"/>
          <w:szCs w:val="24"/>
        </w:rPr>
        <w:t>(a) Except as provided in subdivision (b), a misdemeanor punishable by imprisonment for not more than 1 year or a fine of not more than $1,000.00, or both.</w:t>
      </w:r>
    </w:p>
    <w:p w14:paraId="40FAB38C" w14:textId="77777777" w:rsidR="007D178F" w:rsidRPr="0096139A" w:rsidRDefault="007D178F" w:rsidP="007D178F">
      <w:pPr>
        <w:spacing w:after="0" w:line="240" w:lineRule="auto"/>
        <w:ind w:left="720"/>
        <w:rPr>
          <w:rFonts w:ascii="Times New Roman" w:eastAsia="Times New Roman" w:hAnsi="Times New Roman"/>
          <w:sz w:val="24"/>
          <w:szCs w:val="24"/>
        </w:rPr>
      </w:pPr>
      <w:r w:rsidRPr="0096139A">
        <w:rPr>
          <w:rFonts w:ascii="Times New Roman" w:eastAsia="Times New Roman" w:hAnsi="Times New Roman"/>
          <w:sz w:val="24"/>
          <w:szCs w:val="24"/>
        </w:rPr>
        <w:t xml:space="preserve">(b) If the victim was less than 18 years of age at any time during the individual's course of conduct and the individual is 5 or more years older than the victim, a felony punishable by imprisonment for not more than 5 years or a fine of not more than $10,000.00, or both. </w:t>
      </w:r>
    </w:p>
    <w:p w14:paraId="6CC6E1B1" w14:textId="77777777" w:rsidR="007D178F" w:rsidRPr="0096139A" w:rsidRDefault="007D178F" w:rsidP="007D178F">
      <w:pPr>
        <w:spacing w:after="0" w:line="240" w:lineRule="auto"/>
        <w:ind w:left="720" w:firstLine="120"/>
        <w:rPr>
          <w:rFonts w:ascii="Times New Roman" w:eastAsia="Times New Roman" w:hAnsi="Times New Roman"/>
          <w:sz w:val="24"/>
          <w:szCs w:val="24"/>
        </w:rPr>
      </w:pPr>
      <w:r w:rsidRPr="0096139A">
        <w:rPr>
          <w:rFonts w:ascii="Times New Roman" w:eastAsia="Times New Roman" w:hAnsi="Times New Roman"/>
          <w:sz w:val="24"/>
          <w:szCs w:val="24"/>
        </w:rPr>
        <w:t>(3) The court may place an individual convicted of violating this section on probation for a term of not more than 5 years. If a term of probation is ordered, the court may, in addition to any other lawful condition of probation, order the defendant to do any of the following:</w:t>
      </w:r>
    </w:p>
    <w:p w14:paraId="24CD295B" w14:textId="77777777" w:rsidR="007D178F" w:rsidRPr="0096139A" w:rsidRDefault="007D178F" w:rsidP="007D178F">
      <w:pPr>
        <w:spacing w:after="0" w:line="240" w:lineRule="auto"/>
        <w:rPr>
          <w:rFonts w:ascii="Times New Roman" w:eastAsia="Times New Roman" w:hAnsi="Times New Roman"/>
          <w:sz w:val="24"/>
          <w:szCs w:val="24"/>
        </w:rPr>
      </w:pPr>
      <w:r w:rsidRPr="0096139A">
        <w:rPr>
          <w:rFonts w:ascii="Times New Roman" w:eastAsia="Times New Roman" w:hAnsi="Times New Roman"/>
          <w:sz w:val="24"/>
          <w:szCs w:val="24"/>
        </w:rPr>
        <w:t>  </w:t>
      </w:r>
      <w:r>
        <w:rPr>
          <w:rFonts w:ascii="Times New Roman" w:eastAsia="Times New Roman" w:hAnsi="Times New Roman"/>
          <w:sz w:val="24"/>
          <w:szCs w:val="24"/>
        </w:rPr>
        <w:tab/>
      </w:r>
      <w:r w:rsidRPr="0096139A">
        <w:rPr>
          <w:rFonts w:ascii="Times New Roman" w:eastAsia="Times New Roman" w:hAnsi="Times New Roman"/>
          <w:sz w:val="24"/>
          <w:szCs w:val="24"/>
        </w:rPr>
        <w:t>(a) Refrain from stalking any individual during the term of probation.</w:t>
      </w:r>
    </w:p>
    <w:p w14:paraId="6DB84AD1" w14:textId="77777777" w:rsidR="007D178F" w:rsidRPr="0096139A" w:rsidRDefault="007D178F" w:rsidP="007D178F">
      <w:pPr>
        <w:spacing w:after="0" w:line="240" w:lineRule="auto"/>
        <w:rPr>
          <w:rFonts w:ascii="Times New Roman" w:eastAsia="Times New Roman" w:hAnsi="Times New Roman"/>
          <w:sz w:val="24"/>
          <w:szCs w:val="24"/>
        </w:rPr>
      </w:pPr>
      <w:r w:rsidRPr="0096139A">
        <w:rPr>
          <w:rFonts w:ascii="Times New Roman" w:eastAsia="Times New Roman" w:hAnsi="Times New Roman"/>
          <w:sz w:val="24"/>
          <w:szCs w:val="24"/>
        </w:rPr>
        <w:t> </w:t>
      </w:r>
      <w:r>
        <w:rPr>
          <w:rFonts w:ascii="Times New Roman" w:eastAsia="Times New Roman" w:hAnsi="Times New Roman"/>
          <w:sz w:val="24"/>
          <w:szCs w:val="24"/>
        </w:rPr>
        <w:tab/>
      </w:r>
      <w:r w:rsidRPr="0096139A">
        <w:rPr>
          <w:rFonts w:ascii="Times New Roman" w:eastAsia="Times New Roman" w:hAnsi="Times New Roman"/>
          <w:sz w:val="24"/>
          <w:szCs w:val="24"/>
        </w:rPr>
        <w:t> (b) Refrain from having any contact with the victim of the offense.</w:t>
      </w:r>
    </w:p>
    <w:p w14:paraId="521B2E0F" w14:textId="77777777" w:rsidR="007D178F" w:rsidRDefault="007D178F" w:rsidP="007D178F">
      <w:pPr>
        <w:spacing w:after="0" w:line="240" w:lineRule="auto"/>
        <w:ind w:left="720"/>
        <w:rPr>
          <w:rFonts w:ascii="Times New Roman" w:hAnsi="Times New Roman"/>
          <w:sz w:val="24"/>
          <w:szCs w:val="24"/>
        </w:rPr>
      </w:pPr>
      <w:r w:rsidRPr="0096139A">
        <w:rPr>
          <w:rFonts w:ascii="Times New Roman" w:eastAsia="Times New Roman" w:hAnsi="Times New Roman"/>
          <w:sz w:val="24"/>
          <w:szCs w:val="24"/>
        </w:rPr>
        <w:t xml:space="preserve"> (c) Be evaluated to determine the need for psychiatric, psychological, or social counseling and </w:t>
      </w:r>
      <w:proofErr w:type="gramStart"/>
      <w:r w:rsidRPr="0096139A">
        <w:rPr>
          <w:rFonts w:ascii="Times New Roman" w:eastAsia="Times New Roman" w:hAnsi="Times New Roman"/>
          <w:sz w:val="24"/>
          <w:szCs w:val="24"/>
        </w:rPr>
        <w:t>if,</w:t>
      </w:r>
      <w:proofErr w:type="gramEnd"/>
      <w:r w:rsidRPr="0096139A">
        <w:rPr>
          <w:rFonts w:ascii="Times New Roman" w:eastAsia="Times New Roman" w:hAnsi="Times New Roman"/>
          <w:sz w:val="24"/>
          <w:szCs w:val="24"/>
        </w:rPr>
        <w:t xml:space="preserve"> determined appropriate by the court, to receive psychiatric, psychological, or social counseling at his or her own expense.</w:t>
      </w:r>
    </w:p>
    <w:p w14:paraId="77C2D248" w14:textId="77777777" w:rsidR="007D178F" w:rsidRPr="007E35C0" w:rsidRDefault="007D178F" w:rsidP="007D178F">
      <w:pPr>
        <w:spacing w:after="100" w:line="240" w:lineRule="auto"/>
        <w:ind w:left="720"/>
        <w:rPr>
          <w:rFonts w:ascii="Times New Roman" w:eastAsia="Times New Roman" w:hAnsi="Times New Roman"/>
          <w:sz w:val="24"/>
          <w:szCs w:val="24"/>
        </w:rPr>
      </w:pPr>
      <w:hyperlink r:id="rId568" w:history="1">
        <w:r w:rsidRPr="002F20C3">
          <w:rPr>
            <w:rStyle w:val="Hyperlink"/>
            <w:rFonts w:ascii="Times New Roman" w:hAnsi="Times New Roman"/>
            <w:sz w:val="24"/>
            <w:szCs w:val="24"/>
          </w:rPr>
          <w:t>http://www.legislature.mi.gov/(S(dodu2xg2ouu1vonwqhxqy4i2))/mileg.aspx?page=getObject&amp;objectName=mcl-750-411h</w:t>
        </w:r>
      </w:hyperlink>
      <w:r w:rsidRPr="0096139A">
        <w:rPr>
          <w:rFonts w:ascii="Times New Roman" w:hAnsi="Times New Roman"/>
          <w:sz w:val="24"/>
          <w:szCs w:val="24"/>
        </w:rPr>
        <w:t xml:space="preserve"> </w:t>
      </w:r>
    </w:p>
    <w:p w14:paraId="3EEBA3DC" w14:textId="77777777" w:rsidR="007D178F" w:rsidRDefault="007D178F" w:rsidP="00EF1133">
      <w:pPr>
        <w:pStyle w:val="NoSpacing"/>
        <w:rPr>
          <w:rFonts w:ascii="Arial Black" w:hAnsi="Arial Black"/>
          <w:sz w:val="24"/>
          <w:szCs w:val="24"/>
        </w:rPr>
      </w:pPr>
    </w:p>
    <w:p w14:paraId="5D7482FF" w14:textId="77777777" w:rsidR="007D178F" w:rsidRDefault="007D178F" w:rsidP="00EF1133">
      <w:pPr>
        <w:pStyle w:val="NoSpacing"/>
        <w:rPr>
          <w:rFonts w:ascii="Arial Black" w:hAnsi="Arial Black"/>
          <w:sz w:val="24"/>
          <w:szCs w:val="24"/>
        </w:rPr>
      </w:pPr>
    </w:p>
    <w:p w14:paraId="7870C316" w14:textId="77777777" w:rsidR="007D178F" w:rsidRDefault="007D178F" w:rsidP="00EF1133">
      <w:pPr>
        <w:pStyle w:val="NoSpacing"/>
        <w:rPr>
          <w:rFonts w:ascii="Arial Black" w:hAnsi="Arial Black"/>
          <w:sz w:val="24"/>
          <w:szCs w:val="24"/>
        </w:rPr>
      </w:pPr>
    </w:p>
    <w:p w14:paraId="53DC91C8" w14:textId="59D26B71" w:rsidR="00F824FE" w:rsidRDefault="00F824FE" w:rsidP="00EF1133">
      <w:pPr>
        <w:pStyle w:val="NoSpacing"/>
        <w:rPr>
          <w:rFonts w:ascii="Arial Black" w:hAnsi="Arial Black"/>
          <w:sz w:val="24"/>
          <w:szCs w:val="24"/>
        </w:rPr>
      </w:pPr>
      <w:r>
        <w:rPr>
          <w:rFonts w:ascii="Arial Black" w:hAnsi="Arial Black"/>
          <w:sz w:val="24"/>
          <w:szCs w:val="24"/>
        </w:rPr>
        <w:t>2-37</w:t>
      </w:r>
    </w:p>
    <w:p w14:paraId="491ABD84" w14:textId="21E55F67" w:rsidR="00F824FE" w:rsidRDefault="00F824FE" w:rsidP="00EF1133">
      <w:pPr>
        <w:pStyle w:val="NoSpacing"/>
        <w:rPr>
          <w:rFonts w:ascii="Arial Black" w:hAnsi="Arial Black"/>
          <w:sz w:val="24"/>
          <w:szCs w:val="24"/>
        </w:rPr>
      </w:pPr>
    </w:p>
    <w:p w14:paraId="789F5D7D" w14:textId="77777777" w:rsidR="00F824FE" w:rsidRPr="0077130A" w:rsidRDefault="00F824FE" w:rsidP="00F824FE">
      <w:pPr>
        <w:spacing w:before="100" w:beforeAutospacing="1" w:after="100" w:afterAutospacing="1" w:line="240" w:lineRule="auto"/>
        <w:rPr>
          <w:rFonts w:ascii="Arial Black" w:eastAsia="Times New Roman" w:hAnsi="Arial Black"/>
          <w:sz w:val="28"/>
          <w:szCs w:val="28"/>
        </w:rPr>
      </w:pPr>
      <w:r w:rsidRPr="0077130A">
        <w:rPr>
          <w:rFonts w:ascii="Arial Black" w:eastAsia="Times New Roman" w:hAnsi="Arial Black"/>
          <w:sz w:val="28"/>
          <w:szCs w:val="28"/>
        </w:rPr>
        <w:t>PA:</w:t>
      </w:r>
      <w:r>
        <w:rPr>
          <w:rFonts w:ascii="Arial Black" w:eastAsia="Times New Roman" w:hAnsi="Arial Black"/>
          <w:sz w:val="28"/>
          <w:szCs w:val="28"/>
        </w:rPr>
        <w:t xml:space="preserve">  DISPATCHER TOLD MOTHER STAY 3</w:t>
      </w:r>
      <w:r w:rsidRPr="007A7322">
        <w:rPr>
          <w:rFonts w:ascii="Arial Black" w:eastAsia="Times New Roman" w:hAnsi="Arial Black"/>
          <w:sz w:val="28"/>
          <w:szCs w:val="28"/>
          <w:vertAlign w:val="superscript"/>
        </w:rPr>
        <w:t>rd</w:t>
      </w:r>
      <w:r>
        <w:rPr>
          <w:rFonts w:ascii="Arial Black" w:eastAsia="Times New Roman" w:hAnsi="Arial Black"/>
          <w:sz w:val="28"/>
          <w:szCs w:val="28"/>
        </w:rPr>
        <w:t xml:space="preserve"> FLOOR APARTMENT – 3 DEAD FIRE – NO “STATE CREATED DANGER,” LAWSUIT DISMISSED</w:t>
      </w:r>
    </w:p>
    <w:p w14:paraId="14D26DD6" w14:textId="77777777" w:rsidR="00F824FE" w:rsidRDefault="00F824FE" w:rsidP="00F824FE">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Sept. 22, 2020, in </w:t>
      </w:r>
      <w:r w:rsidRPr="0077130A">
        <w:rPr>
          <w:rFonts w:ascii="Times New Roman" w:eastAsia="Times New Roman" w:hAnsi="Times New Roman"/>
          <w:sz w:val="24"/>
          <w:szCs w:val="24"/>
          <w:u w:val="single"/>
        </w:rPr>
        <w:t>Tamika Johnson, Administratrix of Estates of Alita Johnson, Horace McCouellem and Haashim Johnson v. City of Philadelphia</w:t>
      </w:r>
      <w:r>
        <w:rPr>
          <w:rFonts w:ascii="Times New Roman" w:eastAsia="Times New Roman" w:hAnsi="Times New Roman"/>
          <w:sz w:val="24"/>
          <w:szCs w:val="24"/>
        </w:rPr>
        <w:t xml:space="preserve">, the U.S. Court of Appeals for the Third District (Philadelphia) held (3 to 0) that the trial court properly granted the City’s motion to dismiss.  Recognizing the tragic consequences of the error by the Dispatcher, there was no prior history of similar mistaken advice by dispatchers for 911 callers to remain in the apartment;  no violation of the “State Created Danger” theory of municipal liability – no violation of “shock the conscience” test.  </w:t>
      </w:r>
    </w:p>
    <w:p w14:paraId="67CC7418" w14:textId="77777777" w:rsidR="00F824FE" w:rsidRDefault="00F824FE" w:rsidP="00F824FE">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r w:rsidRPr="0077130A">
        <w:rPr>
          <w:rFonts w:ascii="Times New Roman" w:hAnsi="Times New Roman"/>
          <w:sz w:val="24"/>
          <w:szCs w:val="24"/>
        </w:rPr>
        <w:t>The District Court held that, as alleged, neither the Dispatcher nor the Operator was liable for the Johnson Family's harm. Because the Dispatcher did not act affirmatively, and because the Operator's behavior did not shock the conscience, we agree.</w:t>
      </w:r>
    </w:p>
    <w:p w14:paraId="298EB641" w14:textId="77777777" w:rsidR="00F824FE" w:rsidRPr="0077130A" w:rsidRDefault="00F824FE" w:rsidP="00F824FE">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lastRenderedPageBreak/>
        <w:t>***</w:t>
      </w:r>
    </w:p>
    <w:p w14:paraId="62F2A6EA" w14:textId="77777777" w:rsidR="00F824FE" w:rsidRDefault="00F824FE" w:rsidP="00F824FE">
      <w:pPr>
        <w:spacing w:before="100" w:beforeAutospacing="1" w:after="100" w:afterAutospacing="1" w:line="240" w:lineRule="auto"/>
        <w:ind w:left="720"/>
        <w:rPr>
          <w:rFonts w:ascii="Times New Roman" w:hAnsi="Times New Roman"/>
          <w:sz w:val="24"/>
          <w:szCs w:val="24"/>
        </w:rPr>
      </w:pPr>
      <w:r w:rsidRPr="0077130A">
        <w:rPr>
          <w:rFonts w:ascii="Times New Roman" w:hAnsi="Times New Roman"/>
          <w:sz w:val="24"/>
          <w:szCs w:val="24"/>
        </w:rPr>
        <w:t xml:space="preserve">Appellant alleges that the Operator violated the Johnson Family's constitutional rights by </w:t>
      </w:r>
      <w:r>
        <w:rPr>
          <w:rFonts w:ascii="Times New Roman" w:hAnsi="Times New Roman"/>
          <w:sz w:val="24"/>
          <w:szCs w:val="24"/>
        </w:rPr>
        <w:t>‘</w:t>
      </w:r>
      <w:r w:rsidRPr="0077130A">
        <w:rPr>
          <w:rFonts w:ascii="Times New Roman" w:hAnsi="Times New Roman"/>
          <w:sz w:val="24"/>
          <w:szCs w:val="24"/>
        </w:rPr>
        <w:t>directing them to close themselves inside the burning building's 3rd floor rear room, assuring them that [f]</w:t>
      </w:r>
      <w:proofErr w:type="spellStart"/>
      <w:r w:rsidRPr="0077130A">
        <w:rPr>
          <w:rFonts w:ascii="Times New Roman" w:hAnsi="Times New Roman"/>
          <w:sz w:val="24"/>
          <w:szCs w:val="24"/>
        </w:rPr>
        <w:t>irefighters</w:t>
      </w:r>
      <w:proofErr w:type="spellEnd"/>
      <w:r w:rsidRPr="0077130A">
        <w:rPr>
          <w:rFonts w:ascii="Times New Roman" w:hAnsi="Times New Roman"/>
          <w:sz w:val="24"/>
          <w:szCs w:val="24"/>
        </w:rPr>
        <w:t xml:space="preserve"> were coming to their rescue, but then failing inexplicably to inform the [f]</w:t>
      </w:r>
      <w:proofErr w:type="spellStart"/>
      <w:r w:rsidRPr="0077130A">
        <w:rPr>
          <w:rFonts w:ascii="Times New Roman" w:hAnsi="Times New Roman"/>
          <w:sz w:val="24"/>
          <w:szCs w:val="24"/>
        </w:rPr>
        <w:t>irefighters</w:t>
      </w:r>
      <w:proofErr w:type="spellEnd"/>
      <w:r w:rsidRPr="0077130A">
        <w:rPr>
          <w:rFonts w:ascii="Times New Roman" w:hAnsi="Times New Roman"/>
          <w:sz w:val="24"/>
          <w:szCs w:val="24"/>
        </w:rPr>
        <w:t xml:space="preserve"> of [their] existence, location, or need of rescue.</w:t>
      </w:r>
      <w:r>
        <w:rPr>
          <w:rFonts w:ascii="Times New Roman" w:hAnsi="Times New Roman"/>
          <w:sz w:val="24"/>
          <w:szCs w:val="24"/>
        </w:rPr>
        <w:t xml:space="preserve">’ …. </w:t>
      </w:r>
      <w:r w:rsidRPr="0077130A">
        <w:rPr>
          <w:rFonts w:ascii="Times New Roman" w:hAnsi="Times New Roman"/>
          <w:sz w:val="24"/>
          <w:szCs w:val="24"/>
        </w:rPr>
        <w:t xml:space="preserve">The District Court held that those allegations do not </w:t>
      </w:r>
      <w:r>
        <w:rPr>
          <w:rFonts w:ascii="Times New Roman" w:hAnsi="Times New Roman"/>
          <w:sz w:val="24"/>
          <w:szCs w:val="24"/>
        </w:rPr>
        <w:t>‘</w:t>
      </w:r>
      <w:r w:rsidRPr="0077130A">
        <w:rPr>
          <w:rFonts w:ascii="Times New Roman" w:hAnsi="Times New Roman"/>
          <w:sz w:val="24"/>
          <w:szCs w:val="24"/>
        </w:rPr>
        <w:t>shock the conscience,</w:t>
      </w:r>
      <w:r>
        <w:rPr>
          <w:rFonts w:ascii="Times New Roman" w:hAnsi="Times New Roman"/>
          <w:sz w:val="24"/>
          <w:szCs w:val="24"/>
        </w:rPr>
        <w:t>’</w:t>
      </w:r>
      <w:r w:rsidRPr="0077130A">
        <w:rPr>
          <w:rFonts w:ascii="Times New Roman" w:hAnsi="Times New Roman"/>
          <w:sz w:val="24"/>
          <w:szCs w:val="24"/>
        </w:rPr>
        <w:t xml:space="preserve"> as that phrase is defined in our precedent. We agree.</w:t>
      </w:r>
    </w:p>
    <w:p w14:paraId="11FA4DE8" w14:textId="77777777" w:rsidR="00F824FE" w:rsidRPr="0077130A" w:rsidRDefault="00F824FE" w:rsidP="00F824F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4A8B6A2A" w14:textId="77777777" w:rsidR="00F824FE" w:rsidRPr="0077130A" w:rsidRDefault="00F824FE" w:rsidP="00F824FE">
      <w:pPr>
        <w:spacing w:before="100" w:beforeAutospacing="1" w:after="100" w:afterAutospacing="1" w:line="240" w:lineRule="auto"/>
        <w:ind w:left="720"/>
        <w:rPr>
          <w:rFonts w:ascii="Times New Roman" w:hAnsi="Times New Roman"/>
          <w:sz w:val="24"/>
          <w:szCs w:val="24"/>
        </w:rPr>
      </w:pPr>
      <w:r w:rsidRPr="0077130A">
        <w:rPr>
          <w:rFonts w:ascii="Times New Roman" w:hAnsi="Times New Roman"/>
          <w:sz w:val="24"/>
          <w:szCs w:val="24"/>
        </w:rPr>
        <w:t xml:space="preserve">Finally, Appellant alleges that the </w:t>
      </w:r>
      <w:proofErr w:type="gramStart"/>
      <w:r w:rsidRPr="0077130A">
        <w:rPr>
          <w:rFonts w:ascii="Times New Roman" w:hAnsi="Times New Roman"/>
          <w:sz w:val="24"/>
          <w:szCs w:val="24"/>
        </w:rPr>
        <w:t>City</w:t>
      </w:r>
      <w:proofErr w:type="gramEnd"/>
      <w:r w:rsidRPr="0077130A">
        <w:rPr>
          <w:rFonts w:ascii="Times New Roman" w:hAnsi="Times New Roman"/>
          <w:sz w:val="24"/>
          <w:szCs w:val="24"/>
        </w:rPr>
        <w:t xml:space="preserve"> simply ignored the history of problems at the Johnson Family's residence, by failing to fix the building's fire hazards and failing to stop the building owners' practices. The District Court held that the </w:t>
      </w:r>
      <w:proofErr w:type="gramStart"/>
      <w:r w:rsidRPr="0077130A">
        <w:rPr>
          <w:rFonts w:ascii="Times New Roman" w:hAnsi="Times New Roman"/>
          <w:sz w:val="24"/>
          <w:szCs w:val="24"/>
        </w:rPr>
        <w:t>City</w:t>
      </w:r>
      <w:proofErr w:type="gramEnd"/>
      <w:r w:rsidRPr="0077130A">
        <w:rPr>
          <w:rFonts w:ascii="Times New Roman" w:hAnsi="Times New Roman"/>
          <w:sz w:val="24"/>
          <w:szCs w:val="24"/>
        </w:rPr>
        <w:t xml:space="preserve"> was immune from these negligence claims because it had insufficient control over the building. Under the relevant Commonwealth law, we agree.</w:t>
      </w:r>
      <w:r>
        <w:rPr>
          <w:rFonts w:ascii="Times New Roman" w:hAnsi="Times New Roman"/>
          <w:sz w:val="24"/>
          <w:szCs w:val="24"/>
        </w:rPr>
        <w:t xml:space="preserve">”  </w:t>
      </w:r>
      <w:hyperlink r:id="rId569" w:history="1">
        <w:r w:rsidRPr="002F1E28">
          <w:rPr>
            <w:rStyle w:val="Hyperlink"/>
            <w:rFonts w:ascii="Times New Roman" w:hAnsi="Times New Roman"/>
            <w:sz w:val="24"/>
            <w:szCs w:val="24"/>
          </w:rPr>
          <w:t>https://www2.ca3.uscourts.gov/opinarch/192938p.pdf</w:t>
        </w:r>
      </w:hyperlink>
      <w:r>
        <w:rPr>
          <w:rFonts w:ascii="Times New Roman" w:hAnsi="Times New Roman"/>
          <w:sz w:val="24"/>
          <w:szCs w:val="24"/>
        </w:rPr>
        <w:t xml:space="preserve"> </w:t>
      </w:r>
    </w:p>
    <w:p w14:paraId="789B4DA9" w14:textId="77777777" w:rsidR="00F824FE" w:rsidRPr="00D00E0A" w:rsidRDefault="00F824FE" w:rsidP="00F824FE">
      <w:pPr>
        <w:pStyle w:val="NormalWeb"/>
        <w:rPr>
          <w:b/>
          <w:bCs/>
        </w:rPr>
      </w:pPr>
      <w:r w:rsidRPr="00D00E0A">
        <w:rPr>
          <w:b/>
          <w:bCs/>
        </w:rPr>
        <w:t>Legal Lessons Learned:</w:t>
      </w:r>
      <w:r>
        <w:rPr>
          <w:b/>
          <w:bCs/>
        </w:rPr>
        <w:t xml:space="preserve">  Tragic set of facts; hopefully Dispatchers throughout the Nation have learned from this event.  </w:t>
      </w:r>
    </w:p>
    <w:p w14:paraId="7789B2DA" w14:textId="77777777" w:rsidR="00F824FE" w:rsidRDefault="00F824FE" w:rsidP="00EF1133">
      <w:pPr>
        <w:pStyle w:val="NoSpacing"/>
        <w:rPr>
          <w:rFonts w:ascii="Arial Black" w:hAnsi="Arial Black"/>
          <w:sz w:val="24"/>
          <w:szCs w:val="24"/>
        </w:rPr>
      </w:pPr>
    </w:p>
    <w:p w14:paraId="31B08CD9" w14:textId="77777777" w:rsidR="00F824FE" w:rsidRDefault="00F824FE" w:rsidP="00EF1133">
      <w:pPr>
        <w:pStyle w:val="NoSpacing"/>
        <w:rPr>
          <w:rFonts w:ascii="Arial Black" w:hAnsi="Arial Black"/>
          <w:sz w:val="24"/>
          <w:szCs w:val="24"/>
        </w:rPr>
      </w:pPr>
    </w:p>
    <w:p w14:paraId="2AC5C659" w14:textId="4FD17634" w:rsidR="00A672EE" w:rsidRDefault="00A672EE" w:rsidP="00EF1133">
      <w:pPr>
        <w:pStyle w:val="NoSpacing"/>
        <w:rPr>
          <w:rFonts w:ascii="Arial Black" w:hAnsi="Arial Black"/>
          <w:sz w:val="24"/>
          <w:szCs w:val="24"/>
        </w:rPr>
      </w:pPr>
      <w:r>
        <w:rPr>
          <w:rFonts w:ascii="Arial Black" w:hAnsi="Arial Black"/>
          <w:sz w:val="24"/>
          <w:szCs w:val="24"/>
        </w:rPr>
        <w:t>2-36</w:t>
      </w:r>
    </w:p>
    <w:p w14:paraId="53C5ACC0" w14:textId="61811F55" w:rsidR="00A672EE" w:rsidRDefault="00A672EE" w:rsidP="00EF1133">
      <w:pPr>
        <w:pStyle w:val="NoSpacing"/>
        <w:rPr>
          <w:rFonts w:ascii="Arial Black" w:hAnsi="Arial Black"/>
          <w:sz w:val="24"/>
          <w:szCs w:val="24"/>
        </w:rPr>
      </w:pPr>
    </w:p>
    <w:p w14:paraId="47FB5FF7" w14:textId="77777777" w:rsidR="00A672EE" w:rsidRDefault="00A672EE" w:rsidP="00A672EE">
      <w:pPr>
        <w:pStyle w:val="NoSpacing"/>
        <w:rPr>
          <w:rFonts w:ascii="Arial Black" w:hAnsi="Arial Black"/>
          <w:sz w:val="28"/>
          <w:szCs w:val="28"/>
        </w:rPr>
      </w:pPr>
      <w:r w:rsidRPr="00F34028">
        <w:rPr>
          <w:rFonts w:ascii="Arial Black" w:hAnsi="Arial Black"/>
          <w:sz w:val="28"/>
          <w:szCs w:val="28"/>
        </w:rPr>
        <w:t>KY:</w:t>
      </w:r>
      <w:r>
        <w:rPr>
          <w:rFonts w:ascii="Arial Black" w:hAnsi="Arial Black"/>
          <w:sz w:val="28"/>
          <w:szCs w:val="28"/>
        </w:rPr>
        <w:t xml:space="preserve"> ARSON – INSURANCE FRAUD – CONVICTED ARSON WITH DEATH – </w:t>
      </w:r>
    </w:p>
    <w:p w14:paraId="119D67B1" w14:textId="77777777" w:rsidR="00A672EE" w:rsidRPr="00F34028" w:rsidRDefault="00A672EE" w:rsidP="00A672EE">
      <w:pPr>
        <w:pStyle w:val="NoSpacing"/>
        <w:rPr>
          <w:rFonts w:ascii="Arial Black" w:hAnsi="Arial Black"/>
          <w:sz w:val="28"/>
          <w:szCs w:val="28"/>
        </w:rPr>
      </w:pPr>
      <w:r>
        <w:rPr>
          <w:rFonts w:ascii="Arial Black" w:hAnsi="Arial Black"/>
          <w:sz w:val="28"/>
          <w:szCs w:val="28"/>
        </w:rPr>
        <w:t>FF LODD AT SCENE, FF HAD MEDICAL HISTORY - CONV. UPHELD</w:t>
      </w:r>
    </w:p>
    <w:p w14:paraId="5E9FA66C" w14:textId="77777777" w:rsidR="00A672EE" w:rsidRDefault="00A672EE" w:rsidP="00A672EE">
      <w:pPr>
        <w:pStyle w:val="NoSpacing"/>
        <w:rPr>
          <w:rFonts w:ascii="On Times New Roman" w:hAnsi="On Times New Roman"/>
          <w:sz w:val="24"/>
          <w:szCs w:val="24"/>
        </w:rPr>
      </w:pPr>
    </w:p>
    <w:p w14:paraId="2DC0751F" w14:textId="331A721A" w:rsidR="00A672EE" w:rsidRDefault="00A672EE" w:rsidP="00A672EE">
      <w:pPr>
        <w:pStyle w:val="NoSpacing"/>
        <w:rPr>
          <w:rFonts w:ascii="Times New Roman" w:hAnsi="Times New Roman"/>
          <w:sz w:val="24"/>
          <w:szCs w:val="24"/>
        </w:rPr>
      </w:pPr>
      <w:r w:rsidRPr="00B47E18">
        <w:rPr>
          <w:rFonts w:ascii="Times New Roman" w:hAnsi="Times New Roman"/>
          <w:sz w:val="24"/>
          <w:szCs w:val="24"/>
        </w:rPr>
        <w:t xml:space="preserve">On July 7, 2020, in </w:t>
      </w:r>
      <w:r w:rsidRPr="00B47E18">
        <w:rPr>
          <w:rFonts w:ascii="Times New Roman" w:hAnsi="Times New Roman"/>
          <w:sz w:val="24"/>
          <w:szCs w:val="24"/>
          <w:u w:val="single"/>
        </w:rPr>
        <w:t>United States of America v. Steve Allen Pritchard</w:t>
      </w:r>
      <w:r w:rsidRPr="00B47E18">
        <w:rPr>
          <w:rFonts w:ascii="Times New Roman" w:hAnsi="Times New Roman"/>
          <w:sz w:val="24"/>
          <w:szCs w:val="24"/>
        </w:rPr>
        <w:t>, the U.S. Court of Appeals for Sixth Circuit (Cincinnati) affirmed (3 to 0) the conviction</w:t>
      </w:r>
      <w:r w:rsidR="00CB0898">
        <w:rPr>
          <w:rFonts w:ascii="Times New Roman" w:hAnsi="Times New Roman"/>
          <w:sz w:val="24"/>
          <w:szCs w:val="24"/>
        </w:rPr>
        <w:t xml:space="preserve"> for violation of the federal arson statute, </w:t>
      </w:r>
      <w:r w:rsidR="00CB0898" w:rsidRPr="00CB0898">
        <w:rPr>
          <w:rFonts w:ascii="Times New Roman" w:hAnsi="Times New Roman"/>
          <w:sz w:val="24"/>
          <w:szCs w:val="24"/>
        </w:rPr>
        <w:t>18 U.S.C. § 844(</w:t>
      </w:r>
      <w:proofErr w:type="spellStart"/>
      <w:r w:rsidR="00CB0898" w:rsidRPr="00CB0898">
        <w:rPr>
          <w:rFonts w:ascii="Times New Roman" w:hAnsi="Times New Roman"/>
          <w:sz w:val="24"/>
          <w:szCs w:val="24"/>
        </w:rPr>
        <w:t>i</w:t>
      </w:r>
      <w:proofErr w:type="spellEnd"/>
      <w:r w:rsidR="00CB0898" w:rsidRPr="00CB0898">
        <w:rPr>
          <w:rFonts w:ascii="Times New Roman" w:hAnsi="Times New Roman"/>
          <w:sz w:val="24"/>
          <w:szCs w:val="24"/>
        </w:rPr>
        <w:t>)</w:t>
      </w:r>
      <w:r w:rsidR="00CB0898">
        <w:rPr>
          <w:rFonts w:ascii="Times New Roman" w:hAnsi="Times New Roman"/>
          <w:sz w:val="24"/>
          <w:szCs w:val="24"/>
        </w:rPr>
        <w:t xml:space="preserve">, </w:t>
      </w:r>
      <w:r w:rsidRPr="00B47E18">
        <w:rPr>
          <w:rFonts w:ascii="Times New Roman" w:hAnsi="Times New Roman"/>
          <w:sz w:val="24"/>
          <w:szCs w:val="24"/>
        </w:rPr>
        <w:t xml:space="preserve"> and his enhanced sentence of 360 months in prison.  Court wrote: “Even though Pritchard offered evidence that Sparks’s pre-existing medical condition led to his death, the jury found an unbroken chain of causation between the fire</w:t>
      </w:r>
      <w:r w:rsidR="00CB0898">
        <w:rPr>
          <w:rFonts w:ascii="Times New Roman" w:hAnsi="Times New Roman"/>
          <w:sz w:val="24"/>
          <w:szCs w:val="24"/>
        </w:rPr>
        <w:t xml:space="preserve"> </w:t>
      </w:r>
      <w:r w:rsidRPr="00B47E18">
        <w:rPr>
          <w:rFonts w:ascii="Times New Roman" w:hAnsi="Times New Roman"/>
          <w:sz w:val="24"/>
          <w:szCs w:val="24"/>
        </w:rPr>
        <w:t xml:space="preserve">and Sparks’s heart attack. Just as we did not disturb a jury’s finding that the patient’s “actions as an addict cannot be said to break the chain of proximate causation[,]” we do not disturb the jury’s conclusion that Sparks’s medical ailments did not sever the causal link between the fire and his death.” </w:t>
      </w:r>
      <w:hyperlink r:id="rId570" w:history="1">
        <w:r w:rsidRPr="00B47E18">
          <w:rPr>
            <w:rStyle w:val="Hyperlink"/>
            <w:rFonts w:ascii="Times New Roman" w:hAnsi="Times New Roman"/>
            <w:sz w:val="24"/>
            <w:szCs w:val="24"/>
          </w:rPr>
          <w:t>https://www.opn.ca6.uscourts.gov/opinions.pdf/20a0203p-06.pdf</w:t>
        </w:r>
      </w:hyperlink>
      <w:r w:rsidRPr="00B47E18">
        <w:rPr>
          <w:rFonts w:ascii="Times New Roman" w:hAnsi="Times New Roman"/>
          <w:sz w:val="24"/>
          <w:szCs w:val="24"/>
        </w:rPr>
        <w:t xml:space="preserve"> </w:t>
      </w:r>
    </w:p>
    <w:p w14:paraId="036ED4FC" w14:textId="4DED77E0" w:rsidR="00CB0898" w:rsidRDefault="00CB0898" w:rsidP="00A672EE">
      <w:pPr>
        <w:pStyle w:val="NoSpacing"/>
        <w:rPr>
          <w:rFonts w:ascii="Times New Roman" w:hAnsi="Times New Roman"/>
          <w:sz w:val="24"/>
          <w:szCs w:val="24"/>
        </w:rPr>
      </w:pPr>
    </w:p>
    <w:p w14:paraId="2A1CAC49" w14:textId="068BCE1D" w:rsidR="00CB0898" w:rsidRPr="00CB0898" w:rsidRDefault="00CB0898" w:rsidP="00A672EE">
      <w:pPr>
        <w:pStyle w:val="NoSpacing"/>
        <w:rPr>
          <w:rFonts w:ascii="Times New Roman" w:hAnsi="Times New Roman"/>
          <w:b/>
          <w:bCs/>
          <w:sz w:val="24"/>
          <w:szCs w:val="24"/>
        </w:rPr>
      </w:pPr>
      <w:r w:rsidRPr="00CB0898">
        <w:rPr>
          <w:rFonts w:ascii="Times New Roman" w:hAnsi="Times New Roman"/>
          <w:b/>
          <w:bCs/>
          <w:sz w:val="24"/>
          <w:szCs w:val="24"/>
        </w:rPr>
        <w:t>Legal Lesson Learned: Firefighter who is killed at scene of arson, the defendant can be convicted of violation of federal arson statute</w:t>
      </w:r>
      <w:r>
        <w:rPr>
          <w:rFonts w:ascii="Times New Roman" w:hAnsi="Times New Roman"/>
          <w:b/>
          <w:bCs/>
          <w:sz w:val="24"/>
          <w:szCs w:val="24"/>
        </w:rPr>
        <w:t xml:space="preserve"> with enhanced sentence. </w:t>
      </w:r>
    </w:p>
    <w:p w14:paraId="319BFB10" w14:textId="77777777" w:rsidR="00A672EE" w:rsidRDefault="00A672EE" w:rsidP="00EF1133">
      <w:pPr>
        <w:pStyle w:val="NoSpacing"/>
        <w:rPr>
          <w:rFonts w:ascii="Arial Black" w:hAnsi="Arial Black"/>
          <w:sz w:val="24"/>
          <w:szCs w:val="24"/>
        </w:rPr>
      </w:pPr>
    </w:p>
    <w:p w14:paraId="296F6CAF" w14:textId="77777777" w:rsidR="00A672EE" w:rsidRDefault="00A672EE" w:rsidP="00EF1133">
      <w:pPr>
        <w:pStyle w:val="NoSpacing"/>
        <w:rPr>
          <w:rFonts w:ascii="Arial Black" w:hAnsi="Arial Black"/>
          <w:sz w:val="24"/>
          <w:szCs w:val="24"/>
        </w:rPr>
      </w:pPr>
    </w:p>
    <w:p w14:paraId="21927583" w14:textId="77777777" w:rsidR="00A672EE" w:rsidRDefault="00A672EE" w:rsidP="00EF1133">
      <w:pPr>
        <w:pStyle w:val="NoSpacing"/>
        <w:rPr>
          <w:rFonts w:ascii="Arial Black" w:hAnsi="Arial Black"/>
          <w:sz w:val="24"/>
          <w:szCs w:val="24"/>
        </w:rPr>
      </w:pPr>
    </w:p>
    <w:p w14:paraId="4B0D8321" w14:textId="32A93CE9" w:rsidR="0020758F" w:rsidRDefault="0020758F" w:rsidP="00EF1133">
      <w:pPr>
        <w:pStyle w:val="NoSpacing"/>
        <w:rPr>
          <w:rFonts w:ascii="Arial Black" w:hAnsi="Arial Black"/>
          <w:sz w:val="24"/>
          <w:szCs w:val="24"/>
        </w:rPr>
      </w:pPr>
      <w:r>
        <w:rPr>
          <w:rFonts w:ascii="Arial Black" w:hAnsi="Arial Black"/>
          <w:sz w:val="24"/>
          <w:szCs w:val="24"/>
        </w:rPr>
        <w:t>2-35</w:t>
      </w:r>
    </w:p>
    <w:p w14:paraId="53FB6FE1" w14:textId="6FFFF4C2" w:rsidR="0020758F" w:rsidRDefault="0020758F" w:rsidP="00EF1133">
      <w:pPr>
        <w:pStyle w:val="NoSpacing"/>
        <w:rPr>
          <w:rFonts w:ascii="Arial Black" w:hAnsi="Arial Black"/>
          <w:sz w:val="24"/>
          <w:szCs w:val="24"/>
        </w:rPr>
      </w:pPr>
    </w:p>
    <w:p w14:paraId="2B55A19D" w14:textId="77777777" w:rsidR="0020758F" w:rsidRDefault="0020758F" w:rsidP="0020758F">
      <w:pPr>
        <w:pStyle w:val="NoSpacing"/>
        <w:rPr>
          <w:rFonts w:ascii="Arial Black" w:hAnsi="Arial Black"/>
          <w:sz w:val="28"/>
          <w:szCs w:val="28"/>
        </w:rPr>
      </w:pPr>
      <w:r w:rsidRPr="005C4230">
        <w:rPr>
          <w:rFonts w:ascii="Arial Black" w:hAnsi="Arial Black"/>
          <w:sz w:val="28"/>
          <w:szCs w:val="28"/>
        </w:rPr>
        <w:t xml:space="preserve">NY: </w:t>
      </w:r>
      <w:r>
        <w:rPr>
          <w:rFonts w:ascii="Arial Black" w:hAnsi="Arial Black"/>
          <w:sz w:val="28"/>
          <w:szCs w:val="28"/>
        </w:rPr>
        <w:t>FIREMAN’S RULE – PD INJURED, FRONT EDGE STEP BROKE – OWNER DEFAULT, CAN’T SUE MORTGAGE CO.</w:t>
      </w:r>
    </w:p>
    <w:p w14:paraId="0D1405AE" w14:textId="77777777" w:rsidR="00F00958" w:rsidRDefault="00F00958" w:rsidP="0020758F">
      <w:pPr>
        <w:pStyle w:val="NoSpacing"/>
        <w:rPr>
          <w:rFonts w:ascii="Arial Black" w:hAnsi="Arial Black"/>
          <w:sz w:val="28"/>
          <w:szCs w:val="28"/>
        </w:rPr>
      </w:pPr>
    </w:p>
    <w:p w14:paraId="06985639" w14:textId="211DBE23" w:rsidR="0020758F" w:rsidRDefault="0020758F" w:rsidP="0020758F">
      <w:pPr>
        <w:pStyle w:val="NoSpacing"/>
        <w:rPr>
          <w:rFonts w:ascii="Times New Roman" w:eastAsia="Times New Roman" w:hAnsi="Times New Roman"/>
          <w:sz w:val="24"/>
          <w:szCs w:val="24"/>
        </w:rPr>
      </w:pPr>
      <w:r w:rsidRPr="00A05E71">
        <w:rPr>
          <w:rFonts w:ascii="Times New Roman" w:hAnsi="Times New Roman"/>
          <w:sz w:val="24"/>
          <w:szCs w:val="24"/>
        </w:rPr>
        <w:t xml:space="preserve">On June 10, 2020, in </w:t>
      </w:r>
      <w:r w:rsidRPr="00A05E71">
        <w:rPr>
          <w:rFonts w:ascii="Times New Roman" w:hAnsi="Times New Roman"/>
          <w:sz w:val="24"/>
          <w:szCs w:val="24"/>
          <w:u w:val="single"/>
        </w:rPr>
        <w:t>Joseph B. Maher v. Wells Fargo Financial New York, Inc., et al</w:t>
      </w:r>
      <w:r w:rsidRPr="00A05E71">
        <w:rPr>
          <w:rFonts w:ascii="Times New Roman" w:hAnsi="Times New Roman"/>
          <w:sz w:val="24"/>
          <w:szCs w:val="24"/>
        </w:rPr>
        <w:t>., 2020 NY Slip Op 03219</w:t>
      </w:r>
      <w:r>
        <w:rPr>
          <w:rFonts w:ascii="Times New Roman" w:hAnsi="Times New Roman"/>
          <w:sz w:val="24"/>
          <w:szCs w:val="24"/>
        </w:rPr>
        <w:t xml:space="preserve">, </w:t>
      </w:r>
      <w:r w:rsidRPr="00855687">
        <w:rPr>
          <w:rFonts w:ascii="Times New Roman" w:hAnsi="Times New Roman"/>
          <w:sz w:val="24"/>
          <w:szCs w:val="24"/>
        </w:rPr>
        <w:t xml:space="preserve">the Supreme Court of New York, Appellate Division (Second Judicial Department) held (5 to 0) that the trial </w:t>
      </w:r>
      <w:r w:rsidRPr="00855687">
        <w:rPr>
          <w:rFonts w:ascii="Times New Roman" w:hAnsi="Times New Roman"/>
          <w:sz w:val="24"/>
          <w:szCs w:val="24"/>
        </w:rPr>
        <w:lastRenderedPageBreak/>
        <w:t>court had properly granted summary judgment to the defendant mortgage company and its subs that maintained the property, since they</w:t>
      </w:r>
      <w:r>
        <w:rPr>
          <w:rFonts w:ascii="Times New Roman" w:hAnsi="Times New Roman"/>
          <w:sz w:val="24"/>
          <w:szCs w:val="24"/>
        </w:rPr>
        <w:t xml:space="preserve"> owed no duty of care to the police officer</w:t>
      </w:r>
      <w:r w:rsidRPr="00855687">
        <w:rPr>
          <w:rFonts w:ascii="Times New Roman" w:hAnsi="Times New Roman"/>
          <w:sz w:val="24"/>
          <w:szCs w:val="24"/>
        </w:rPr>
        <w:t xml:space="preserve">.  The Court held: </w:t>
      </w:r>
      <w:r>
        <w:rPr>
          <w:rFonts w:ascii="Times New Roman" w:hAnsi="Times New Roman"/>
          <w:sz w:val="24"/>
          <w:szCs w:val="24"/>
        </w:rPr>
        <w:t>“</w:t>
      </w:r>
      <w:r w:rsidRPr="00855687">
        <w:rPr>
          <w:rFonts w:ascii="Times New Roman" w:hAnsi="Times New Roman"/>
          <w:sz w:val="24"/>
          <w:szCs w:val="24"/>
        </w:rPr>
        <w:t xml:space="preserve">On May 26, 2011, the plaintiff, a police officer, was in the process of executing a parole arrest warrant, which required him to enter certain property in Hempstead (hereinafter the property). The plaintiff allegedly was injured when, while walking down a flight of stairs, the front edge of one step broke and he fell down the remaining stairs. At the time of the incident, the defendant Charles White owned the </w:t>
      </w:r>
      <w:proofErr w:type="gramStart"/>
      <w:r w:rsidRPr="00855687">
        <w:rPr>
          <w:rFonts w:ascii="Times New Roman" w:hAnsi="Times New Roman"/>
          <w:sz w:val="24"/>
          <w:szCs w:val="24"/>
        </w:rPr>
        <w:t>property, but</w:t>
      </w:r>
      <w:proofErr w:type="gramEnd"/>
      <w:r w:rsidRPr="00855687">
        <w:rPr>
          <w:rFonts w:ascii="Times New Roman" w:hAnsi="Times New Roman"/>
          <w:sz w:val="24"/>
          <w:szCs w:val="24"/>
        </w:rPr>
        <w:t xml:space="preserve"> had defaulted on his mortgage loan payments in April 2011</w:t>
      </w:r>
      <w:r>
        <w:rPr>
          <w:rFonts w:ascii="Times New Roman" w:eastAsia="Times New Roman" w:hAnsi="Times New Roman"/>
          <w:b/>
          <w:bCs/>
          <w:sz w:val="24"/>
          <w:szCs w:val="24"/>
        </w:rPr>
        <w:t xml:space="preserve">. ***  </w:t>
      </w:r>
      <w:r w:rsidRPr="005C4230">
        <w:rPr>
          <w:rFonts w:ascii="Times New Roman" w:eastAsia="Times New Roman" w:hAnsi="Times New Roman"/>
          <w:sz w:val="24"/>
          <w:szCs w:val="24"/>
        </w:rPr>
        <w:t xml:space="preserve">The </w:t>
      </w:r>
      <w:r>
        <w:rPr>
          <w:rFonts w:ascii="Times New Roman" w:eastAsia="Times New Roman" w:hAnsi="Times New Roman"/>
          <w:sz w:val="24"/>
          <w:szCs w:val="24"/>
        </w:rPr>
        <w:t>‘</w:t>
      </w:r>
      <w:r w:rsidRPr="005C4230">
        <w:rPr>
          <w:rFonts w:ascii="Times New Roman" w:eastAsia="Times New Roman" w:hAnsi="Times New Roman"/>
          <w:sz w:val="24"/>
          <w:szCs w:val="24"/>
        </w:rPr>
        <w:t>firefighter's rule,</w:t>
      </w:r>
      <w:r>
        <w:rPr>
          <w:rFonts w:ascii="Times New Roman" w:eastAsia="Times New Roman" w:hAnsi="Times New Roman"/>
          <w:sz w:val="24"/>
          <w:szCs w:val="24"/>
        </w:rPr>
        <w:t>’</w:t>
      </w:r>
      <w:r w:rsidRPr="005C4230">
        <w:rPr>
          <w:rFonts w:ascii="Times New Roman" w:eastAsia="Times New Roman" w:hAnsi="Times New Roman"/>
          <w:sz w:val="24"/>
          <w:szCs w:val="24"/>
        </w:rPr>
        <w:t xml:space="preserve"> which </w:t>
      </w:r>
      <w:r>
        <w:rPr>
          <w:rFonts w:ascii="Times New Roman" w:eastAsia="Times New Roman" w:hAnsi="Times New Roman"/>
          <w:sz w:val="24"/>
          <w:szCs w:val="24"/>
        </w:rPr>
        <w:t>‘</w:t>
      </w:r>
      <w:r w:rsidRPr="005C4230">
        <w:rPr>
          <w:rFonts w:ascii="Times New Roman" w:eastAsia="Times New Roman" w:hAnsi="Times New Roman"/>
          <w:sz w:val="24"/>
          <w:szCs w:val="24"/>
        </w:rPr>
        <w:t>bars recovery in negligence for injuries sustained by a firefighter [or a police officer] in the line of duty</w:t>
      </w:r>
      <w:r>
        <w:rPr>
          <w:rFonts w:ascii="Times New Roman" w:eastAsia="Times New Roman" w:hAnsi="Times New Roman"/>
          <w:sz w:val="24"/>
          <w:szCs w:val="24"/>
        </w:rPr>
        <w:t>’</w:t>
      </w:r>
      <w:r w:rsidRPr="005C4230">
        <w:rPr>
          <w:rFonts w:ascii="Times New Roman" w:eastAsia="Times New Roman" w:hAnsi="Times New Roman"/>
          <w:sz w:val="24"/>
          <w:szCs w:val="24"/>
        </w:rPr>
        <w:t xml:space="preserve"> (Giuffrida v Citibank Corp., 100 NY2d 72, 76), was abolished by General Obligations Law § 11-106, except as to actions against municipal employers and fellow police officers</w:t>
      </w:r>
      <w:r>
        <w:rPr>
          <w:rFonts w:ascii="Times New Roman" w:eastAsia="Times New Roman" w:hAnsi="Times New Roman"/>
          <w:sz w:val="24"/>
          <w:szCs w:val="24"/>
        </w:rPr>
        <w:t>….</w:t>
      </w:r>
      <w:r w:rsidRPr="005C4230">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5C4230">
        <w:rPr>
          <w:rFonts w:ascii="Times New Roman" w:eastAsia="Times New Roman" w:hAnsi="Times New Roman"/>
          <w:sz w:val="24"/>
          <w:szCs w:val="24"/>
        </w:rPr>
        <w:t xml:space="preserve">Here, the defendants established their prima facie entitlement to judgment as a matter of law dismissing the negligence cause of action </w:t>
      </w:r>
    </w:p>
    <w:p w14:paraId="1D306ACD" w14:textId="77777777" w:rsidR="0020758F" w:rsidRDefault="0020758F" w:rsidP="0020758F">
      <w:pPr>
        <w:pStyle w:val="NoSpacing"/>
        <w:rPr>
          <w:rFonts w:ascii="Times New Roman" w:eastAsia="Times New Roman" w:hAnsi="Times New Roman"/>
          <w:sz w:val="24"/>
          <w:szCs w:val="24"/>
        </w:rPr>
      </w:pPr>
      <w:r w:rsidRPr="005C4230">
        <w:rPr>
          <w:rFonts w:ascii="Times New Roman" w:eastAsia="Times New Roman" w:hAnsi="Times New Roman"/>
          <w:sz w:val="24"/>
          <w:szCs w:val="24"/>
        </w:rPr>
        <w:t xml:space="preserve">insofar as asserted against each of them by demonstrating that they did not own or control the subject premises, or assume any duty to the plaintiff, which might serve as a predicate for liability (see Pollard v Credit Suisse First </w:t>
      </w:r>
    </w:p>
    <w:p w14:paraId="495DB781" w14:textId="38B6CE39" w:rsidR="0020758F" w:rsidRDefault="0020758F" w:rsidP="0020758F">
      <w:pPr>
        <w:pStyle w:val="NoSpacing"/>
        <w:rPr>
          <w:rStyle w:val="Hyperlink"/>
          <w:rFonts w:ascii="Times New Roman" w:hAnsi="Times New Roman"/>
          <w:sz w:val="24"/>
          <w:szCs w:val="24"/>
        </w:rPr>
      </w:pPr>
      <w:r w:rsidRPr="005C4230">
        <w:rPr>
          <w:rFonts w:ascii="Times New Roman" w:eastAsia="Times New Roman" w:hAnsi="Times New Roman"/>
          <w:sz w:val="24"/>
          <w:szCs w:val="24"/>
        </w:rPr>
        <w:t>Boston Mtge. Capital, LLC, 66 AD3d at 863</w:t>
      </w:r>
      <w:r>
        <w:rPr>
          <w:rFonts w:ascii="Times New Roman" w:eastAsia="Times New Roman" w:hAnsi="Times New Roman"/>
          <w:sz w:val="24"/>
          <w:szCs w:val="24"/>
        </w:rPr>
        <w:t xml:space="preserve">).”  </w:t>
      </w:r>
      <w:hyperlink r:id="rId571" w:history="1">
        <w:r w:rsidRPr="008A2EB4">
          <w:rPr>
            <w:rStyle w:val="Hyperlink"/>
            <w:rFonts w:ascii="Times New Roman" w:hAnsi="Times New Roman"/>
            <w:sz w:val="24"/>
            <w:szCs w:val="24"/>
          </w:rPr>
          <w:t>https://law.justia.com/cases/new-york/appellate-division-second-department/2020/2016-13412.html</w:t>
        </w:r>
      </w:hyperlink>
    </w:p>
    <w:p w14:paraId="58123526" w14:textId="4D8DE7D8" w:rsidR="0020758F" w:rsidRDefault="0020758F" w:rsidP="0020758F">
      <w:pPr>
        <w:pStyle w:val="NoSpacing"/>
        <w:rPr>
          <w:rStyle w:val="Hyperlink"/>
          <w:rFonts w:ascii="Times New Roman" w:hAnsi="Times New Roman"/>
          <w:sz w:val="24"/>
          <w:szCs w:val="24"/>
        </w:rPr>
      </w:pPr>
    </w:p>
    <w:p w14:paraId="076E5BFD" w14:textId="77777777" w:rsidR="0020758F" w:rsidRDefault="0020758F" w:rsidP="0020758F">
      <w:pPr>
        <w:spacing w:before="100" w:beforeAutospacing="1" w:after="100" w:afterAutospacing="1" w:line="240" w:lineRule="auto"/>
        <w:rPr>
          <w:rFonts w:ascii="Times New Roman" w:hAnsi="Times New Roman"/>
          <w:b/>
          <w:bCs/>
          <w:sz w:val="24"/>
          <w:szCs w:val="24"/>
        </w:rPr>
      </w:pPr>
      <w:r w:rsidRPr="00855687">
        <w:rPr>
          <w:rFonts w:ascii="Times New Roman" w:hAnsi="Times New Roman"/>
          <w:b/>
          <w:bCs/>
          <w:sz w:val="24"/>
          <w:szCs w:val="24"/>
        </w:rPr>
        <w:t>Legal Lessons Learned:</w:t>
      </w:r>
      <w:r>
        <w:rPr>
          <w:rFonts w:ascii="Times New Roman" w:hAnsi="Times New Roman"/>
          <w:b/>
          <w:bCs/>
          <w:sz w:val="24"/>
          <w:szCs w:val="24"/>
        </w:rPr>
        <w:t xml:space="preserve"> The Fireman’s Rule has been abolished in New York; also abolished in Florida.  </w:t>
      </w:r>
    </w:p>
    <w:p w14:paraId="2FCBA738" w14:textId="77777777" w:rsidR="0020758F" w:rsidRDefault="0020758F" w:rsidP="0020758F">
      <w:pPr>
        <w:spacing w:before="100" w:beforeAutospacing="1" w:after="100" w:afterAutospacing="1"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Note:  New York </w:t>
      </w:r>
      <w:r w:rsidRPr="005C4230">
        <w:rPr>
          <w:rFonts w:ascii="Times New Roman" w:eastAsia="Times New Roman" w:hAnsi="Times New Roman"/>
          <w:sz w:val="24"/>
          <w:szCs w:val="24"/>
        </w:rPr>
        <w:t>General Obligations Law § 11-106</w:t>
      </w:r>
      <w:r>
        <w:rPr>
          <w:rFonts w:ascii="Times New Roman" w:eastAsia="Times New Roman" w:hAnsi="Times New Roman"/>
          <w:sz w:val="24"/>
          <w:szCs w:val="24"/>
        </w:rPr>
        <w:t xml:space="preserve"> provides in part:</w:t>
      </w:r>
    </w:p>
    <w:p w14:paraId="32DACC90" w14:textId="77777777" w:rsidR="0020758F" w:rsidRDefault="0020758F" w:rsidP="0020758F">
      <w:pPr>
        <w:pStyle w:val="NoSpacing"/>
        <w:ind w:left="720" w:hanging="720"/>
        <w:rPr>
          <w:rFonts w:ascii="Times New Roman" w:hAnsi="Times New Roman"/>
          <w:sz w:val="24"/>
          <w:szCs w:val="24"/>
        </w:rPr>
      </w:pPr>
      <w:r>
        <w:t> </w:t>
      </w:r>
      <w:r>
        <w:tab/>
        <w:t>“</w:t>
      </w:r>
      <w:r w:rsidRPr="00855687">
        <w:rPr>
          <w:rFonts w:ascii="Times New Roman" w:hAnsi="Times New Roman"/>
          <w:sz w:val="24"/>
          <w:szCs w:val="24"/>
        </w:rPr>
        <w:t>In addition to any other right of action or recovery otherwise available under law, whenever any police officer or firefighter suffers any injury, disease or death while in the lawful discharge of his official duties and that injury, disease or death is proximately caused by the neglect, willful omission, or intentional, willful or culpable conduct of any person or entity, other than that police officer's or firefighter's employer or co-employee, the police officer or firefighter suffering that injury or disease, or, in the case of death, a representative of that police officer or firefighter may seek recovery and damages from the person or entity whose neglect, willful omission, or intentional, willful or culpable conduct resulted in that injury, disease or death</w:t>
      </w:r>
      <w:r>
        <w:rPr>
          <w:rFonts w:ascii="Times New Roman" w:hAnsi="Times New Roman"/>
          <w:sz w:val="24"/>
          <w:szCs w:val="24"/>
        </w:rPr>
        <w:t xml:space="preserve">.” </w:t>
      </w:r>
      <w:hyperlink r:id="rId572" w:history="1">
        <w:r w:rsidRPr="008A2EB4">
          <w:rPr>
            <w:rStyle w:val="Hyperlink"/>
            <w:rFonts w:ascii="Times New Roman" w:hAnsi="Times New Roman"/>
            <w:sz w:val="24"/>
            <w:szCs w:val="24"/>
          </w:rPr>
          <w:t>https://codes.findlaw.com/ny/general-obligations-law/gob-sect-11-106.html</w:t>
        </w:r>
      </w:hyperlink>
      <w:r>
        <w:rPr>
          <w:rFonts w:ascii="Times New Roman" w:hAnsi="Times New Roman"/>
          <w:sz w:val="24"/>
          <w:szCs w:val="24"/>
        </w:rPr>
        <w:t xml:space="preserve">  </w:t>
      </w:r>
    </w:p>
    <w:p w14:paraId="0EE67327" w14:textId="77777777" w:rsidR="0020758F" w:rsidRDefault="0020758F" w:rsidP="0020758F">
      <w:pPr>
        <w:pStyle w:val="NoSpacing"/>
        <w:ind w:left="720" w:hanging="720"/>
        <w:rPr>
          <w:rFonts w:ascii="Times New Roman" w:hAnsi="Times New Roman"/>
          <w:sz w:val="24"/>
          <w:szCs w:val="24"/>
        </w:rPr>
      </w:pPr>
    </w:p>
    <w:p w14:paraId="39DC538B" w14:textId="77777777" w:rsidR="0020758F" w:rsidRDefault="0020758F" w:rsidP="0020758F">
      <w:pPr>
        <w:pStyle w:val="NoSpacing"/>
        <w:ind w:left="720" w:hanging="720"/>
        <w:rPr>
          <w:rFonts w:ascii="Times New Roman" w:hAnsi="Times New Roman"/>
          <w:sz w:val="24"/>
          <w:szCs w:val="24"/>
        </w:rPr>
      </w:pPr>
      <w:r>
        <w:rPr>
          <w:rFonts w:ascii="Times New Roman" w:hAnsi="Times New Roman"/>
          <w:sz w:val="24"/>
          <w:szCs w:val="24"/>
        </w:rPr>
        <w:tab/>
      </w:r>
    </w:p>
    <w:p w14:paraId="547DD40F" w14:textId="77777777" w:rsidR="0020758F" w:rsidRDefault="0020758F" w:rsidP="0020758F">
      <w:pPr>
        <w:pStyle w:val="NoSpacing"/>
        <w:ind w:left="720" w:hanging="720"/>
        <w:rPr>
          <w:rFonts w:ascii="Times New Roman" w:hAnsi="Times New Roman"/>
          <w:sz w:val="24"/>
          <w:szCs w:val="24"/>
        </w:rPr>
      </w:pPr>
      <w:r>
        <w:rPr>
          <w:rFonts w:ascii="Times New Roman" w:hAnsi="Times New Roman"/>
          <w:sz w:val="24"/>
          <w:szCs w:val="24"/>
        </w:rPr>
        <w:tab/>
        <w:t>Florida (2019)</w:t>
      </w:r>
    </w:p>
    <w:p w14:paraId="7A3D381C" w14:textId="77777777" w:rsidR="0020758F" w:rsidRPr="00A05E71" w:rsidRDefault="0020758F" w:rsidP="0020758F">
      <w:pPr>
        <w:spacing w:after="0" w:line="240" w:lineRule="auto"/>
        <w:ind w:firstLine="720"/>
        <w:rPr>
          <w:rFonts w:ascii="Verdana" w:eastAsia="Times New Roman" w:hAnsi="Verdana"/>
          <w:sz w:val="20"/>
          <w:szCs w:val="20"/>
        </w:rPr>
      </w:pPr>
      <w:r w:rsidRPr="00A05E71">
        <w:rPr>
          <w:rFonts w:ascii="Verdana" w:eastAsia="Times New Roman" w:hAnsi="Verdana"/>
          <w:sz w:val="20"/>
          <w:szCs w:val="20"/>
        </w:rPr>
        <w:t>112.182</w:t>
      </w:r>
      <w:r w:rsidRPr="00A05E71">
        <w:rPr>
          <w:rFonts w:ascii="Verdana" w:eastAsia="Times New Roman" w:hAnsi="Verdana"/>
          <w:sz w:val="20"/>
          <w:szCs w:val="20"/>
        </w:rPr>
        <w:t> </w:t>
      </w:r>
      <w:r w:rsidRPr="00A05E71">
        <w:rPr>
          <w:rFonts w:ascii="Verdana" w:eastAsia="Times New Roman" w:hAnsi="Verdana"/>
          <w:sz w:val="20"/>
          <w:szCs w:val="20"/>
        </w:rPr>
        <w:t>“Firefighter rule” abolished.—</w:t>
      </w:r>
    </w:p>
    <w:p w14:paraId="199E8342" w14:textId="77777777" w:rsidR="0020758F" w:rsidRPr="00A05E71" w:rsidRDefault="0020758F" w:rsidP="0020758F">
      <w:pPr>
        <w:spacing w:after="0" w:line="240" w:lineRule="auto"/>
        <w:ind w:left="720"/>
        <w:rPr>
          <w:rFonts w:ascii="Times New Roman" w:eastAsia="Times New Roman" w:hAnsi="Times New Roman"/>
          <w:sz w:val="24"/>
          <w:szCs w:val="24"/>
        </w:rPr>
      </w:pPr>
      <w:r w:rsidRPr="00A05E71">
        <w:rPr>
          <w:rFonts w:ascii="Verdana" w:eastAsia="Times New Roman" w:hAnsi="Verdana"/>
          <w:sz w:val="20"/>
          <w:szCs w:val="20"/>
        </w:rPr>
        <w:t>(1)</w:t>
      </w:r>
      <w:r w:rsidRPr="00A05E71">
        <w:rPr>
          <w:rFonts w:ascii="Verdana" w:eastAsia="Times New Roman" w:hAnsi="Verdana"/>
          <w:sz w:val="20"/>
          <w:szCs w:val="20"/>
        </w:rPr>
        <w:t> </w:t>
      </w:r>
      <w:r w:rsidRPr="00A05E71">
        <w:rPr>
          <w:rFonts w:ascii="Verdana" w:eastAsia="Times New Roman" w:hAnsi="Verdana"/>
          <w:sz w:val="20"/>
          <w:szCs w:val="20"/>
        </w:rPr>
        <w:t>A firefighter or properly identified law enforcement officer who lawfully enters upon the premises of another in the discharge of his or her duty occupies the status of an invitee. The common-law rule that such a firefighter or law enforcement officer occupies the status of a licensee is hereby abolished.</w:t>
      </w:r>
    </w:p>
    <w:p w14:paraId="711E42D5" w14:textId="77777777" w:rsidR="0020758F" w:rsidRPr="00A05E71" w:rsidRDefault="0020758F" w:rsidP="0020758F">
      <w:pPr>
        <w:spacing w:after="0" w:line="240" w:lineRule="auto"/>
        <w:ind w:left="720"/>
        <w:rPr>
          <w:rFonts w:ascii="Verdana" w:eastAsia="Times New Roman" w:hAnsi="Verdana"/>
          <w:sz w:val="20"/>
          <w:szCs w:val="20"/>
        </w:rPr>
      </w:pPr>
      <w:r w:rsidRPr="00A05E71">
        <w:rPr>
          <w:rFonts w:ascii="Verdana" w:eastAsia="Times New Roman" w:hAnsi="Verdana"/>
          <w:sz w:val="20"/>
          <w:szCs w:val="20"/>
        </w:rPr>
        <w:t>(2)</w:t>
      </w:r>
      <w:r w:rsidRPr="00A05E71">
        <w:rPr>
          <w:rFonts w:ascii="Verdana" w:eastAsia="Times New Roman" w:hAnsi="Verdana"/>
          <w:sz w:val="20"/>
          <w:szCs w:val="20"/>
        </w:rPr>
        <w:t> </w:t>
      </w:r>
      <w:r w:rsidRPr="00A05E71">
        <w:rPr>
          <w:rFonts w:ascii="Verdana" w:eastAsia="Times New Roman" w:hAnsi="Verdana"/>
          <w:sz w:val="20"/>
          <w:szCs w:val="20"/>
        </w:rPr>
        <w:t xml:space="preserve">It is not the intent of this section to increase or diminish the duty of care owed by property owners to </w:t>
      </w:r>
      <w:proofErr w:type="gramStart"/>
      <w:r w:rsidRPr="00A05E71">
        <w:rPr>
          <w:rFonts w:ascii="Verdana" w:eastAsia="Times New Roman" w:hAnsi="Verdana"/>
          <w:sz w:val="20"/>
          <w:szCs w:val="20"/>
        </w:rPr>
        <w:t>invitees</w:t>
      </w:r>
      <w:proofErr w:type="gramEnd"/>
      <w:r w:rsidRPr="00A05E71">
        <w:rPr>
          <w:rFonts w:ascii="Verdana" w:eastAsia="Times New Roman" w:hAnsi="Verdana"/>
          <w:sz w:val="20"/>
          <w:szCs w:val="20"/>
        </w:rPr>
        <w:t>. Property owners shall be liable to invitees pursuant to this section only when the property owner negligently fails to maintain the premises in a reasonably safe condition or negligently fails to correct a dangerous condition of which the property owner either knew or should have known by the use of reasonable care or negligently fails to warn the invitee of a dangerous condition about which the property owner had, or should have had, knowledge greater than that of the invitee.</w:t>
      </w:r>
    </w:p>
    <w:p w14:paraId="30F6C6A3" w14:textId="77777777" w:rsidR="0020758F" w:rsidRDefault="0020758F" w:rsidP="0020758F">
      <w:pPr>
        <w:spacing w:after="0" w:line="240" w:lineRule="auto"/>
        <w:ind w:firstLine="720"/>
        <w:rPr>
          <w:rFonts w:ascii="Verdana" w:eastAsia="Times New Roman" w:hAnsi="Verdana"/>
          <w:sz w:val="20"/>
          <w:szCs w:val="20"/>
        </w:rPr>
      </w:pPr>
      <w:r w:rsidRPr="00A05E71">
        <w:rPr>
          <w:rFonts w:ascii="Verdana" w:eastAsia="Times New Roman" w:hAnsi="Verdana"/>
          <w:sz w:val="20"/>
          <w:szCs w:val="20"/>
        </w:rPr>
        <w:t>History.—s. 1, ch. 90-308; s. 693, ch. 95-147.</w:t>
      </w:r>
    </w:p>
    <w:p w14:paraId="062F2C5E" w14:textId="77777777" w:rsidR="0020758F" w:rsidRPr="00A05E71" w:rsidRDefault="0020758F" w:rsidP="0020758F">
      <w:pPr>
        <w:spacing w:after="0" w:line="240" w:lineRule="auto"/>
        <w:ind w:left="720"/>
        <w:rPr>
          <w:rFonts w:ascii="Verdana" w:eastAsia="Times New Roman" w:hAnsi="Verdana"/>
          <w:sz w:val="20"/>
          <w:szCs w:val="20"/>
        </w:rPr>
      </w:pPr>
      <w:hyperlink r:id="rId573" w:history="1">
        <w:r w:rsidRPr="008A2EB4">
          <w:rPr>
            <w:rStyle w:val="Hyperlink"/>
            <w:rFonts w:ascii="Verdana" w:hAnsi="Verdana"/>
            <w:sz w:val="20"/>
            <w:szCs w:val="20"/>
          </w:rPr>
          <w:t>http://www.leg.state.fl.us/statutes/index.cfm?App_mode=Display_Statute&amp;Search_String=&amp;URL=0100-0199/0112/Sections/0112.182.html</w:t>
        </w:r>
      </w:hyperlink>
      <w:r>
        <w:rPr>
          <w:rFonts w:ascii="Verdana" w:eastAsia="Times New Roman" w:hAnsi="Verdana"/>
          <w:sz w:val="20"/>
          <w:szCs w:val="20"/>
        </w:rPr>
        <w:t xml:space="preserve"> </w:t>
      </w:r>
    </w:p>
    <w:p w14:paraId="580418AB" w14:textId="77777777" w:rsidR="0020758F" w:rsidRDefault="0020758F" w:rsidP="0020758F">
      <w:pPr>
        <w:pStyle w:val="NoSpacing"/>
        <w:rPr>
          <w:rFonts w:ascii="Arial Black" w:hAnsi="Arial Black"/>
          <w:sz w:val="24"/>
          <w:szCs w:val="24"/>
        </w:rPr>
      </w:pPr>
    </w:p>
    <w:p w14:paraId="3C260D83" w14:textId="77777777" w:rsidR="0020758F" w:rsidRDefault="0020758F" w:rsidP="00EF1133">
      <w:pPr>
        <w:pStyle w:val="NoSpacing"/>
        <w:rPr>
          <w:rFonts w:ascii="Arial Black" w:hAnsi="Arial Black"/>
          <w:sz w:val="24"/>
          <w:szCs w:val="24"/>
        </w:rPr>
      </w:pPr>
    </w:p>
    <w:p w14:paraId="39402962" w14:textId="606C7735" w:rsidR="00D94DC4" w:rsidRDefault="00D94DC4" w:rsidP="00EF1133">
      <w:pPr>
        <w:pStyle w:val="NoSpacing"/>
        <w:rPr>
          <w:rFonts w:ascii="Arial Black" w:hAnsi="Arial Black"/>
          <w:sz w:val="24"/>
          <w:szCs w:val="24"/>
        </w:rPr>
      </w:pPr>
      <w:r>
        <w:rPr>
          <w:rFonts w:ascii="Arial Black" w:hAnsi="Arial Black"/>
          <w:sz w:val="24"/>
          <w:szCs w:val="24"/>
        </w:rPr>
        <w:t>2-34</w:t>
      </w:r>
    </w:p>
    <w:p w14:paraId="0080B655" w14:textId="77777777" w:rsidR="00D94DC4" w:rsidRPr="00B205E3" w:rsidRDefault="00D94DC4" w:rsidP="00D94DC4">
      <w:pPr>
        <w:spacing w:before="100" w:beforeAutospacing="1" w:after="100" w:afterAutospacing="1" w:line="240" w:lineRule="auto"/>
        <w:jc w:val="both"/>
        <w:rPr>
          <w:rFonts w:ascii="Arial Black" w:eastAsia="Times New Roman" w:hAnsi="Arial Black"/>
          <w:b/>
          <w:bCs/>
          <w:sz w:val="28"/>
          <w:szCs w:val="28"/>
        </w:rPr>
      </w:pPr>
      <w:r w:rsidRPr="00B205E3">
        <w:rPr>
          <w:rFonts w:ascii="Arial Black" w:eastAsia="Times New Roman" w:hAnsi="Arial Black"/>
          <w:b/>
          <w:bCs/>
          <w:sz w:val="28"/>
          <w:szCs w:val="28"/>
        </w:rPr>
        <w:lastRenderedPageBreak/>
        <w:t>MD</w:t>
      </w:r>
      <w:r>
        <w:rPr>
          <w:rFonts w:ascii="Arial Black" w:eastAsia="Times New Roman" w:hAnsi="Arial Black"/>
          <w:b/>
          <w:bCs/>
          <w:sz w:val="28"/>
          <w:szCs w:val="28"/>
        </w:rPr>
        <w:t xml:space="preserve">:  WIFE OF DECEASED FF ENTITLED TO DEATH BENEFITS – 2-YRS PRIOR HE SETTLED WORKERS COMP FOR HEART DISEASE / HYPERTENSION – WIFE DID NOT WAIVE RIGHTS </w:t>
      </w:r>
    </w:p>
    <w:p w14:paraId="64DF9027" w14:textId="77777777" w:rsidR="00D94DC4" w:rsidRDefault="00D94DC4" w:rsidP="00D94DC4">
      <w:pPr>
        <w:spacing w:before="100" w:beforeAutospacing="1" w:after="100" w:afterAutospacing="1" w:line="240" w:lineRule="auto"/>
        <w:rPr>
          <w:rFonts w:ascii="Times New Roman" w:hAnsi="Times New Roman"/>
          <w:sz w:val="24"/>
          <w:szCs w:val="24"/>
        </w:rPr>
      </w:pPr>
      <w:r w:rsidRPr="00B205E3">
        <w:rPr>
          <w:rFonts w:ascii="Times New Roman" w:hAnsi="Times New Roman"/>
          <w:sz w:val="24"/>
          <w:szCs w:val="24"/>
        </w:rPr>
        <w:t xml:space="preserve">On </w:t>
      </w:r>
      <w:r>
        <w:rPr>
          <w:rFonts w:ascii="Times New Roman" w:hAnsi="Times New Roman"/>
          <w:sz w:val="24"/>
          <w:szCs w:val="24"/>
        </w:rPr>
        <w:t xml:space="preserve">May 26, 2020, </w:t>
      </w:r>
      <w:r w:rsidRPr="00B205E3">
        <w:rPr>
          <w:rFonts w:ascii="Times New Roman" w:hAnsi="Times New Roman"/>
          <w:sz w:val="24"/>
          <w:szCs w:val="24"/>
          <w:u w:val="single"/>
        </w:rPr>
        <w:t xml:space="preserve">In </w:t>
      </w:r>
      <w:proofErr w:type="gramStart"/>
      <w:r w:rsidRPr="00B205E3">
        <w:rPr>
          <w:rFonts w:ascii="Times New Roman" w:hAnsi="Times New Roman"/>
          <w:sz w:val="24"/>
          <w:szCs w:val="24"/>
          <w:u w:val="single"/>
        </w:rPr>
        <w:t>The</w:t>
      </w:r>
      <w:proofErr w:type="gramEnd"/>
      <w:r w:rsidRPr="00B205E3">
        <w:rPr>
          <w:rFonts w:ascii="Times New Roman" w:hAnsi="Times New Roman"/>
          <w:sz w:val="24"/>
          <w:szCs w:val="24"/>
          <w:u w:val="single"/>
        </w:rPr>
        <w:t xml:space="preserve"> Matter </w:t>
      </w:r>
      <w:proofErr w:type="gramStart"/>
      <w:r w:rsidRPr="00B205E3">
        <w:rPr>
          <w:rFonts w:ascii="Times New Roman" w:hAnsi="Times New Roman"/>
          <w:sz w:val="24"/>
          <w:szCs w:val="24"/>
          <w:u w:val="single"/>
        </w:rPr>
        <w:t>Of</w:t>
      </w:r>
      <w:proofErr w:type="gramEnd"/>
      <w:r w:rsidRPr="00B205E3">
        <w:rPr>
          <w:rFonts w:ascii="Times New Roman" w:hAnsi="Times New Roman"/>
          <w:sz w:val="24"/>
          <w:szCs w:val="24"/>
          <w:u w:val="single"/>
        </w:rPr>
        <w:t xml:space="preserve"> Bernard L. Collins</w:t>
      </w:r>
      <w:r>
        <w:rPr>
          <w:rFonts w:ascii="Times New Roman" w:hAnsi="Times New Roman"/>
          <w:sz w:val="24"/>
          <w:szCs w:val="24"/>
        </w:rPr>
        <w:t xml:space="preserve">, the Court of Appeals of Maryland held (7 to 0) that Mrs. Collins was not a party to the settlement between Mr. Collins and the workers comp insurance companies for the fire department, and the settlement did not extinguish her future claim for death benefits. </w:t>
      </w:r>
      <w:hyperlink r:id="rId574" w:history="1">
        <w:r w:rsidRPr="00082B39">
          <w:rPr>
            <w:rStyle w:val="Hyperlink"/>
            <w:sz w:val="24"/>
            <w:szCs w:val="24"/>
          </w:rPr>
          <w:t>https://mdcourts.gov/data/opinions/coa/2020/49a19.pdf</w:t>
        </w:r>
      </w:hyperlink>
      <w:r>
        <w:rPr>
          <w:rFonts w:ascii="Times New Roman" w:hAnsi="Times New Roman"/>
          <w:sz w:val="24"/>
          <w:szCs w:val="24"/>
        </w:rPr>
        <w:t xml:space="preserve"> </w:t>
      </w:r>
    </w:p>
    <w:p w14:paraId="752D5DDB" w14:textId="77777777" w:rsidR="00D94DC4" w:rsidRPr="009F4A71" w:rsidRDefault="00D94DC4" w:rsidP="00D94DC4">
      <w:pPr>
        <w:spacing w:before="100" w:beforeAutospacing="1" w:after="100" w:afterAutospacing="1" w:line="240" w:lineRule="auto"/>
        <w:jc w:val="both"/>
        <w:rPr>
          <w:rFonts w:ascii="Times New Roman" w:hAnsi="Times New Roman"/>
          <w:b/>
          <w:bCs/>
          <w:sz w:val="24"/>
          <w:szCs w:val="24"/>
        </w:rPr>
      </w:pPr>
      <w:r w:rsidRPr="009F4A71">
        <w:rPr>
          <w:rFonts w:ascii="Times New Roman" w:hAnsi="Times New Roman"/>
          <w:b/>
          <w:bCs/>
          <w:sz w:val="24"/>
          <w:szCs w:val="24"/>
        </w:rPr>
        <w:t>Legal Lessons Learned:</w:t>
      </w:r>
      <w:r>
        <w:rPr>
          <w:rFonts w:ascii="Times New Roman" w:hAnsi="Times New Roman"/>
          <w:b/>
          <w:bCs/>
          <w:sz w:val="24"/>
          <w:szCs w:val="24"/>
        </w:rPr>
        <w:t xml:space="preserve"> If the insurance companies wish to negotiate a “global settlement” with an employee, that also includes waiver of future death benefits for employee’s spouse, then invite the spouse to participate in settlement discussions and sign the settlement agreement. </w:t>
      </w:r>
    </w:p>
    <w:p w14:paraId="1D60A8AA" w14:textId="77777777" w:rsidR="00D94DC4" w:rsidRDefault="00D94DC4" w:rsidP="00EF1133">
      <w:pPr>
        <w:pStyle w:val="NoSpacing"/>
        <w:rPr>
          <w:rFonts w:ascii="Arial Black" w:hAnsi="Arial Black"/>
          <w:sz w:val="24"/>
          <w:szCs w:val="24"/>
        </w:rPr>
      </w:pPr>
    </w:p>
    <w:p w14:paraId="741F4AF3" w14:textId="77777777" w:rsidR="00D94DC4" w:rsidRDefault="00D94DC4" w:rsidP="00EF1133">
      <w:pPr>
        <w:pStyle w:val="NoSpacing"/>
        <w:rPr>
          <w:rFonts w:ascii="Arial Black" w:hAnsi="Arial Black"/>
          <w:sz w:val="24"/>
          <w:szCs w:val="24"/>
        </w:rPr>
      </w:pPr>
    </w:p>
    <w:p w14:paraId="4F3E0E34" w14:textId="77777777" w:rsidR="00D94DC4" w:rsidRDefault="00D94DC4" w:rsidP="00EF1133">
      <w:pPr>
        <w:pStyle w:val="NoSpacing"/>
        <w:rPr>
          <w:rFonts w:ascii="Arial Black" w:hAnsi="Arial Black"/>
          <w:sz w:val="24"/>
          <w:szCs w:val="24"/>
        </w:rPr>
      </w:pPr>
    </w:p>
    <w:p w14:paraId="7E1A9211" w14:textId="77777777" w:rsidR="00D94DC4" w:rsidRDefault="00D94DC4" w:rsidP="00EF1133">
      <w:pPr>
        <w:pStyle w:val="NoSpacing"/>
        <w:rPr>
          <w:rFonts w:ascii="Arial Black" w:hAnsi="Arial Black"/>
          <w:sz w:val="24"/>
          <w:szCs w:val="24"/>
        </w:rPr>
      </w:pPr>
    </w:p>
    <w:p w14:paraId="12AB5088" w14:textId="1AB3C85F" w:rsidR="00D94DC4" w:rsidRDefault="00D94DC4" w:rsidP="00EF1133">
      <w:pPr>
        <w:pStyle w:val="NoSpacing"/>
        <w:rPr>
          <w:rFonts w:ascii="Arial Black" w:hAnsi="Arial Black"/>
          <w:sz w:val="24"/>
          <w:szCs w:val="24"/>
        </w:rPr>
      </w:pPr>
      <w:r>
        <w:rPr>
          <w:rFonts w:ascii="Arial Black" w:hAnsi="Arial Black"/>
          <w:sz w:val="24"/>
          <w:szCs w:val="24"/>
        </w:rPr>
        <w:t>2-33</w:t>
      </w:r>
    </w:p>
    <w:p w14:paraId="18512926" w14:textId="7CA45332" w:rsidR="00D94DC4" w:rsidRDefault="00D94DC4" w:rsidP="00EF1133">
      <w:pPr>
        <w:pStyle w:val="NoSpacing"/>
        <w:rPr>
          <w:rFonts w:ascii="Arial Black" w:hAnsi="Arial Black"/>
          <w:sz w:val="24"/>
          <w:szCs w:val="24"/>
        </w:rPr>
      </w:pPr>
    </w:p>
    <w:p w14:paraId="2C627248" w14:textId="77777777" w:rsidR="00D94DC4" w:rsidRPr="002F309C" w:rsidRDefault="00D94DC4" w:rsidP="00D94DC4">
      <w:pPr>
        <w:spacing w:before="100" w:beforeAutospacing="1" w:after="100" w:afterAutospacing="1" w:line="240" w:lineRule="auto"/>
        <w:jc w:val="both"/>
        <w:rPr>
          <w:rFonts w:ascii="Arial Black" w:eastAsia="Times New Roman" w:hAnsi="Arial Black"/>
          <w:b/>
          <w:bCs/>
          <w:sz w:val="28"/>
          <w:szCs w:val="28"/>
        </w:rPr>
      </w:pPr>
      <w:r w:rsidRPr="002F309C">
        <w:rPr>
          <w:rFonts w:ascii="Arial Black" w:eastAsia="Times New Roman" w:hAnsi="Arial Black"/>
          <w:b/>
          <w:bCs/>
          <w:sz w:val="28"/>
          <w:szCs w:val="28"/>
        </w:rPr>
        <w:t>UT:</w:t>
      </w:r>
      <w:r>
        <w:rPr>
          <w:rFonts w:ascii="Arial Black" w:eastAsia="Times New Roman" w:hAnsi="Arial Black"/>
          <w:b/>
          <w:bCs/>
          <w:sz w:val="28"/>
          <w:szCs w:val="28"/>
        </w:rPr>
        <w:t xml:space="preserve"> STATE SUPREME COURT ALLOWS FF TO SUE TREE COMPANY FOR INJURIES – “PROFESSIONAL RESCUER RULE” MODIFIED FOR GROSS NEGLIGENCE BY BUSINESS</w:t>
      </w:r>
    </w:p>
    <w:p w14:paraId="57C703BB" w14:textId="77777777" w:rsidR="00D94DC4" w:rsidRDefault="00D94DC4" w:rsidP="00D94DC4">
      <w:pPr>
        <w:spacing w:before="100" w:beforeAutospacing="1" w:after="100" w:afterAutospacing="1" w:line="240" w:lineRule="auto"/>
        <w:rPr>
          <w:rFonts w:ascii="Times New Roman" w:eastAsia="Times New Roman" w:hAnsi="Times New Roman"/>
          <w:sz w:val="24"/>
          <w:szCs w:val="24"/>
        </w:rPr>
      </w:pPr>
      <w:r w:rsidRPr="00732CA5">
        <w:rPr>
          <w:rFonts w:ascii="Times New Roman" w:eastAsia="Times New Roman" w:hAnsi="Times New Roman"/>
          <w:sz w:val="24"/>
          <w:szCs w:val="24"/>
        </w:rPr>
        <w:t xml:space="preserve">On May 20, 2020, in </w:t>
      </w:r>
      <w:r w:rsidRPr="00732CA5">
        <w:rPr>
          <w:rFonts w:ascii="Times New Roman" w:eastAsia="Times New Roman" w:hAnsi="Times New Roman"/>
          <w:sz w:val="24"/>
          <w:szCs w:val="24"/>
          <w:u w:val="single"/>
        </w:rPr>
        <w:t>David Scott Ipsen v. Diamond Tree Experts, Inc</w:t>
      </w:r>
      <w:r>
        <w:rPr>
          <w:rFonts w:ascii="Times New Roman" w:eastAsia="Times New Roman" w:hAnsi="Times New Roman"/>
          <w:sz w:val="24"/>
          <w:szCs w:val="24"/>
        </w:rPr>
        <w:t xml:space="preserve">., the Utah Supreme Court held (3 to 2) that the injured firefighter may pursue his lawsuit for damages from injuries at a mulch fire.  </w:t>
      </w:r>
      <w:hyperlink r:id="rId575" w:history="1">
        <w:r w:rsidRPr="00E26203">
          <w:rPr>
            <w:rStyle w:val="Hyperlink"/>
            <w:sz w:val="24"/>
            <w:szCs w:val="24"/>
          </w:rPr>
          <w:t>https://www.utcourts.gov/opinions/supopin/Ipsen%20v.%20Diamond%20Tree%20Experts20200520_20181052_30.pdf</w:t>
        </w:r>
      </w:hyperlink>
      <w:r>
        <w:rPr>
          <w:rFonts w:ascii="Times New Roman" w:eastAsia="Times New Roman" w:hAnsi="Times New Roman"/>
          <w:sz w:val="24"/>
          <w:szCs w:val="24"/>
        </w:rPr>
        <w:t xml:space="preserve"> </w:t>
      </w:r>
    </w:p>
    <w:p w14:paraId="7BC51353" w14:textId="77777777" w:rsidR="00D94DC4" w:rsidRDefault="00D94DC4" w:rsidP="00D94DC4">
      <w:pPr>
        <w:spacing w:before="100" w:beforeAutospacing="1" w:after="100" w:afterAutospacing="1" w:line="240" w:lineRule="auto"/>
        <w:jc w:val="both"/>
        <w:rPr>
          <w:rFonts w:ascii="Times New Roman" w:hAnsi="Times New Roman"/>
          <w:b/>
          <w:bCs/>
          <w:sz w:val="24"/>
          <w:szCs w:val="24"/>
        </w:rPr>
      </w:pPr>
      <w:r w:rsidRPr="00732CA5">
        <w:rPr>
          <w:rFonts w:ascii="Times New Roman" w:hAnsi="Times New Roman"/>
          <w:b/>
          <w:bCs/>
          <w:sz w:val="24"/>
          <w:szCs w:val="24"/>
        </w:rPr>
        <w:t>Legal Lessons Learned:</w:t>
      </w:r>
      <w:r>
        <w:rPr>
          <w:rFonts w:ascii="Times New Roman" w:hAnsi="Times New Roman"/>
          <w:b/>
          <w:bCs/>
          <w:sz w:val="24"/>
          <w:szCs w:val="24"/>
        </w:rPr>
        <w:t xml:space="preserve"> A significant decision on behalf of all Utah emergency responders. </w:t>
      </w:r>
    </w:p>
    <w:p w14:paraId="47188E70" w14:textId="77777777" w:rsidR="00D94DC4" w:rsidRDefault="00D94DC4" w:rsidP="00EF1133">
      <w:pPr>
        <w:pStyle w:val="NoSpacing"/>
        <w:rPr>
          <w:rFonts w:ascii="Arial Black" w:hAnsi="Arial Black"/>
          <w:sz w:val="24"/>
          <w:szCs w:val="24"/>
        </w:rPr>
      </w:pPr>
    </w:p>
    <w:p w14:paraId="312A2A5F" w14:textId="77777777" w:rsidR="00D94DC4" w:rsidRDefault="00D94DC4" w:rsidP="00EF1133">
      <w:pPr>
        <w:pStyle w:val="NoSpacing"/>
        <w:rPr>
          <w:rFonts w:ascii="Arial Black" w:hAnsi="Arial Black"/>
          <w:sz w:val="24"/>
          <w:szCs w:val="24"/>
        </w:rPr>
      </w:pPr>
    </w:p>
    <w:p w14:paraId="074189AD" w14:textId="77777777" w:rsidR="00D94DC4" w:rsidRDefault="00D94DC4" w:rsidP="00EF1133">
      <w:pPr>
        <w:pStyle w:val="NoSpacing"/>
        <w:rPr>
          <w:rFonts w:ascii="Arial Black" w:hAnsi="Arial Black"/>
          <w:sz w:val="24"/>
          <w:szCs w:val="24"/>
        </w:rPr>
      </w:pPr>
    </w:p>
    <w:p w14:paraId="0A3C4C89" w14:textId="39A843E5" w:rsidR="00D94DC4" w:rsidRDefault="00D94DC4" w:rsidP="00EF1133">
      <w:pPr>
        <w:pStyle w:val="NoSpacing"/>
        <w:rPr>
          <w:rFonts w:ascii="Arial Black" w:hAnsi="Arial Black"/>
          <w:sz w:val="24"/>
          <w:szCs w:val="24"/>
        </w:rPr>
      </w:pPr>
      <w:r>
        <w:rPr>
          <w:rFonts w:ascii="Arial Black" w:hAnsi="Arial Black"/>
          <w:sz w:val="24"/>
          <w:szCs w:val="24"/>
        </w:rPr>
        <w:t>2-32</w:t>
      </w:r>
    </w:p>
    <w:p w14:paraId="47FC753C" w14:textId="77777777" w:rsidR="00D94DC4" w:rsidRPr="001C57D1" w:rsidRDefault="00D94DC4" w:rsidP="00D94DC4">
      <w:pPr>
        <w:spacing w:before="100" w:beforeAutospacing="1" w:after="100" w:afterAutospacing="1" w:line="240" w:lineRule="auto"/>
        <w:jc w:val="both"/>
        <w:rPr>
          <w:rFonts w:ascii="Arial Black" w:eastAsia="Times New Roman" w:hAnsi="Arial Black"/>
          <w:b/>
          <w:bCs/>
          <w:sz w:val="28"/>
          <w:szCs w:val="28"/>
        </w:rPr>
      </w:pPr>
      <w:r w:rsidRPr="001C57D1">
        <w:rPr>
          <w:rFonts w:ascii="Arial Black" w:eastAsia="Times New Roman" w:hAnsi="Arial Black"/>
          <w:b/>
          <w:bCs/>
          <w:sz w:val="28"/>
          <w:szCs w:val="28"/>
        </w:rPr>
        <w:t xml:space="preserve">CA: </w:t>
      </w:r>
      <w:r>
        <w:rPr>
          <w:rFonts w:ascii="Arial Black" w:eastAsia="Times New Roman" w:hAnsi="Arial Black"/>
          <w:b/>
          <w:bCs/>
          <w:sz w:val="28"/>
          <w:szCs w:val="28"/>
        </w:rPr>
        <w:t>LODD – AIR TANKER MISTAKENLY DROPPED RETARDENT 100 FEET ABOVE FF – DOUGLAS FIR TREE KILLED FF – WIFE CANNOT SUE STATE OR TANKER CO – GOV’T IMMUNITY</w:t>
      </w:r>
    </w:p>
    <w:p w14:paraId="7D2322D6" w14:textId="554B6F3A" w:rsidR="00D94DC4" w:rsidRDefault="00D94DC4" w:rsidP="00D94DC4">
      <w:pPr>
        <w:pStyle w:val="NoSpacing"/>
        <w:rPr>
          <w:rFonts w:ascii="Arial Black" w:hAnsi="Arial Black"/>
          <w:sz w:val="24"/>
          <w:szCs w:val="24"/>
        </w:rPr>
      </w:pPr>
      <w:r w:rsidRPr="002B61F4">
        <w:rPr>
          <w:rFonts w:ascii="Times New Roman" w:eastAsia="Times New Roman" w:hAnsi="Times New Roman"/>
          <w:sz w:val="24"/>
          <w:szCs w:val="24"/>
        </w:rPr>
        <w:t>On May 19, 2020, in</w:t>
      </w:r>
      <w:r>
        <w:rPr>
          <w:rFonts w:ascii="Times New Roman" w:eastAsia="Times New Roman" w:hAnsi="Times New Roman"/>
          <w:sz w:val="24"/>
          <w:szCs w:val="24"/>
        </w:rPr>
        <w:t xml:space="preserve"> </w:t>
      </w:r>
      <w:r w:rsidRPr="002B61F4">
        <w:rPr>
          <w:rFonts w:ascii="Times New Roman" w:eastAsia="Times New Roman" w:hAnsi="Times New Roman"/>
          <w:sz w:val="24"/>
          <w:szCs w:val="24"/>
          <w:u w:val="single"/>
        </w:rPr>
        <w:t xml:space="preserve">Heather Burchett v. State of California Department of Forestry </w:t>
      </w:r>
      <w:proofErr w:type="gramStart"/>
      <w:r w:rsidRPr="002B61F4">
        <w:rPr>
          <w:rFonts w:ascii="Times New Roman" w:eastAsia="Times New Roman" w:hAnsi="Times New Roman"/>
          <w:sz w:val="24"/>
          <w:szCs w:val="24"/>
          <w:u w:val="single"/>
        </w:rPr>
        <w:t>And</w:t>
      </w:r>
      <w:proofErr w:type="gramEnd"/>
      <w:r w:rsidRPr="002B61F4">
        <w:rPr>
          <w:rFonts w:ascii="Times New Roman" w:eastAsia="Times New Roman" w:hAnsi="Times New Roman"/>
          <w:sz w:val="24"/>
          <w:szCs w:val="24"/>
          <w:u w:val="single"/>
        </w:rPr>
        <w:t xml:space="preserve"> Fire Protection, et al.</w:t>
      </w:r>
      <w:r>
        <w:rPr>
          <w:rFonts w:ascii="Times New Roman" w:eastAsia="Times New Roman" w:hAnsi="Times New Roman"/>
          <w:sz w:val="24"/>
          <w:szCs w:val="24"/>
        </w:rPr>
        <w:t xml:space="preserve">, U.S. District Court Judge Morrison C. England, Jr., Eastern District of California, granted motion to dismiss by CalFire and by Global Super Tanker Service, LLC.  </w:t>
      </w:r>
      <w:hyperlink r:id="rId576" w:history="1">
        <w:r w:rsidRPr="00E74BA3">
          <w:rPr>
            <w:rStyle w:val="Hyperlink"/>
            <w:rFonts w:ascii="Times New Roman" w:eastAsia="Times New Roman" w:hAnsi="Times New Roman"/>
            <w:sz w:val="24"/>
            <w:szCs w:val="24"/>
          </w:rPr>
          <w:t>https://www.leagle.com/decision/infdco20200526m70</w:t>
        </w:r>
      </w:hyperlink>
    </w:p>
    <w:p w14:paraId="2538CC1D" w14:textId="77777777" w:rsidR="00D94DC4" w:rsidRDefault="00D94DC4" w:rsidP="00D94DC4">
      <w:pPr>
        <w:spacing w:before="100" w:beforeAutospacing="1" w:after="100" w:afterAutospacing="1" w:line="240" w:lineRule="auto"/>
        <w:jc w:val="both"/>
        <w:rPr>
          <w:rFonts w:ascii="Times New Roman" w:eastAsia="Times New Roman" w:hAnsi="Times New Roman"/>
          <w:b/>
          <w:bCs/>
          <w:sz w:val="24"/>
          <w:szCs w:val="24"/>
        </w:rPr>
      </w:pPr>
      <w:r w:rsidRPr="00424A1E">
        <w:rPr>
          <w:rFonts w:ascii="Times New Roman" w:eastAsia="Times New Roman" w:hAnsi="Times New Roman"/>
          <w:b/>
          <w:bCs/>
          <w:sz w:val="24"/>
          <w:szCs w:val="24"/>
        </w:rPr>
        <w:lastRenderedPageBreak/>
        <w:t xml:space="preserve">Legal Lessons Learned: </w:t>
      </w:r>
      <w:r>
        <w:rPr>
          <w:rFonts w:ascii="Times New Roman" w:eastAsia="Times New Roman" w:hAnsi="Times New Roman"/>
          <w:b/>
          <w:bCs/>
          <w:sz w:val="24"/>
          <w:szCs w:val="24"/>
        </w:rPr>
        <w:t xml:space="preserve">What a tragic loss of life. </w:t>
      </w:r>
      <w:r w:rsidRPr="00424A1E">
        <w:rPr>
          <w:rFonts w:ascii="Times New Roman" w:eastAsia="Times New Roman" w:hAnsi="Times New Roman"/>
          <w:b/>
          <w:bCs/>
          <w:sz w:val="24"/>
          <w:szCs w:val="24"/>
        </w:rPr>
        <w:t xml:space="preserve">Government and qualified immunity are important legal protections for both government employees, and private companies rendering emergency services under contract with government. </w:t>
      </w:r>
    </w:p>
    <w:p w14:paraId="0EFB4BD4" w14:textId="77777777" w:rsidR="00D94DC4" w:rsidRPr="00AA6F39" w:rsidRDefault="00D94DC4" w:rsidP="00D94DC4">
      <w:pPr>
        <w:pStyle w:val="Heading1"/>
        <w:ind w:left="720"/>
        <w:jc w:val="both"/>
        <w:rPr>
          <w:b w:val="0"/>
          <w:bCs w:val="0"/>
          <w:sz w:val="24"/>
          <w:szCs w:val="24"/>
        </w:rPr>
      </w:pPr>
      <w:r w:rsidRPr="00424A1E">
        <w:rPr>
          <w:b w:val="0"/>
          <w:bCs w:val="0"/>
          <w:sz w:val="24"/>
          <w:szCs w:val="24"/>
        </w:rPr>
        <w:t xml:space="preserve">Note: See Sept. 11, </w:t>
      </w:r>
      <w:proofErr w:type="gramStart"/>
      <w:r w:rsidRPr="00424A1E">
        <w:rPr>
          <w:b w:val="0"/>
          <w:bCs w:val="0"/>
          <w:sz w:val="24"/>
          <w:szCs w:val="24"/>
        </w:rPr>
        <w:t>2019</w:t>
      </w:r>
      <w:proofErr w:type="gramEnd"/>
      <w:r w:rsidRPr="00424A1E">
        <w:rPr>
          <w:b w:val="0"/>
          <w:bCs w:val="0"/>
          <w:sz w:val="24"/>
          <w:szCs w:val="24"/>
        </w:rPr>
        <w:t xml:space="preserve"> article: “Family of fallen Draper firefighter suing California for wrongful death,”</w:t>
      </w:r>
      <w:r>
        <w:rPr>
          <w:b w:val="0"/>
          <w:bCs w:val="0"/>
          <w:sz w:val="24"/>
          <w:szCs w:val="24"/>
        </w:rPr>
        <w:t xml:space="preserve"> </w:t>
      </w:r>
      <w:hyperlink r:id="rId577" w:history="1">
        <w:r w:rsidRPr="00AA6F39">
          <w:rPr>
            <w:rStyle w:val="Hyperlink"/>
            <w:b w:val="0"/>
            <w:bCs w:val="0"/>
            <w:sz w:val="24"/>
            <w:szCs w:val="24"/>
          </w:rPr>
          <w:t>https://fox13now.com/2019/09/11/family-of-fallen-draper-firefighter-suing-state-of-california-for-wrongful-death/</w:t>
        </w:r>
      </w:hyperlink>
      <w:r w:rsidRPr="00AA6F39">
        <w:rPr>
          <w:b w:val="0"/>
          <w:bCs w:val="0"/>
          <w:sz w:val="24"/>
          <w:szCs w:val="24"/>
        </w:rPr>
        <w:t xml:space="preserve"> </w:t>
      </w:r>
    </w:p>
    <w:p w14:paraId="4C430ABF" w14:textId="77777777" w:rsidR="00D94DC4" w:rsidRDefault="00D94DC4" w:rsidP="00EF1133">
      <w:pPr>
        <w:pStyle w:val="NoSpacing"/>
        <w:rPr>
          <w:rFonts w:ascii="Arial Black" w:hAnsi="Arial Black"/>
          <w:sz w:val="24"/>
          <w:szCs w:val="24"/>
        </w:rPr>
      </w:pPr>
    </w:p>
    <w:p w14:paraId="73EDEB16" w14:textId="77777777" w:rsidR="00D94DC4" w:rsidRDefault="00D94DC4" w:rsidP="00EF1133">
      <w:pPr>
        <w:pStyle w:val="NoSpacing"/>
        <w:rPr>
          <w:rFonts w:ascii="Arial Black" w:hAnsi="Arial Black"/>
          <w:sz w:val="24"/>
          <w:szCs w:val="24"/>
        </w:rPr>
      </w:pPr>
    </w:p>
    <w:p w14:paraId="26E8575A" w14:textId="43000C8A" w:rsidR="00D94DC4" w:rsidRDefault="00D94DC4" w:rsidP="00EF1133">
      <w:pPr>
        <w:pStyle w:val="NoSpacing"/>
        <w:rPr>
          <w:rFonts w:ascii="Arial Black" w:hAnsi="Arial Black"/>
          <w:sz w:val="24"/>
          <w:szCs w:val="24"/>
        </w:rPr>
      </w:pPr>
      <w:r>
        <w:rPr>
          <w:rFonts w:ascii="Arial Black" w:hAnsi="Arial Black"/>
          <w:sz w:val="24"/>
          <w:szCs w:val="24"/>
        </w:rPr>
        <w:t>2-31</w:t>
      </w:r>
    </w:p>
    <w:p w14:paraId="4908EBC2" w14:textId="7649605E" w:rsidR="00D94DC4" w:rsidRDefault="00D94DC4" w:rsidP="00EF1133">
      <w:pPr>
        <w:pStyle w:val="NoSpacing"/>
        <w:rPr>
          <w:rFonts w:ascii="Arial Black" w:hAnsi="Arial Black"/>
          <w:sz w:val="24"/>
          <w:szCs w:val="24"/>
        </w:rPr>
      </w:pPr>
    </w:p>
    <w:p w14:paraId="23B4B7D3" w14:textId="27FD28B4" w:rsidR="00D94DC4" w:rsidRDefault="00D94DC4" w:rsidP="00D94DC4">
      <w:pPr>
        <w:spacing w:before="100" w:beforeAutospacing="1" w:after="100" w:afterAutospacing="1" w:line="240" w:lineRule="auto"/>
        <w:rPr>
          <w:rFonts w:ascii="Arial Black" w:eastAsia="Times New Roman" w:hAnsi="Arial Black"/>
          <w:b/>
          <w:bCs/>
          <w:sz w:val="28"/>
          <w:szCs w:val="28"/>
        </w:rPr>
      </w:pPr>
      <w:bookmarkStart w:id="96" w:name="_Hlk66941515"/>
      <w:r w:rsidRPr="006B1CC1">
        <w:rPr>
          <w:rFonts w:ascii="Arial Black" w:eastAsia="Times New Roman" w:hAnsi="Arial Black"/>
          <w:b/>
          <w:bCs/>
          <w:sz w:val="28"/>
          <w:szCs w:val="28"/>
        </w:rPr>
        <w:t>OK:</w:t>
      </w:r>
      <w:r>
        <w:rPr>
          <w:rFonts w:ascii="Arial Black" w:eastAsia="Times New Roman" w:hAnsi="Arial Black"/>
          <w:b/>
          <w:bCs/>
          <w:sz w:val="28"/>
          <w:szCs w:val="28"/>
        </w:rPr>
        <w:t xml:space="preserve"> FF LODD – FF SUCKED INTO </w:t>
      </w:r>
      <w:proofErr w:type="gramStart"/>
      <w:r>
        <w:rPr>
          <w:rFonts w:ascii="Arial Black" w:eastAsia="Times New Roman" w:hAnsi="Arial Black"/>
          <w:b/>
          <w:bCs/>
          <w:sz w:val="28"/>
          <w:szCs w:val="28"/>
        </w:rPr>
        <w:t>DRAIN PIPE</w:t>
      </w:r>
      <w:proofErr w:type="gramEnd"/>
      <w:r>
        <w:rPr>
          <w:rFonts w:ascii="Arial Black" w:eastAsia="Times New Roman" w:hAnsi="Arial Black"/>
          <w:b/>
          <w:bCs/>
          <w:sz w:val="28"/>
          <w:szCs w:val="28"/>
        </w:rPr>
        <w:t xml:space="preserve"> / NO SAFETY GATE – WORKERS COMP IS WIDOW’S SOLE REMEDY – AMAZING THAT SECOND FF ALSO SUCKED INO PIPE BUT SURVIVED</w:t>
      </w:r>
    </w:p>
    <w:p w14:paraId="16F64622" w14:textId="456D1998" w:rsidR="00D94DC4" w:rsidRPr="006B1CC1" w:rsidRDefault="00D94DC4" w:rsidP="00D94DC4">
      <w:pPr>
        <w:spacing w:before="100" w:beforeAutospacing="1" w:after="100" w:afterAutospacing="1" w:line="240" w:lineRule="auto"/>
        <w:rPr>
          <w:rFonts w:ascii="Times New Roman" w:eastAsia="Times New Roman" w:hAnsi="Times New Roman"/>
          <w:sz w:val="24"/>
          <w:szCs w:val="24"/>
        </w:rPr>
      </w:pPr>
      <w:r w:rsidRPr="006B1CC1">
        <w:rPr>
          <w:rFonts w:ascii="Times New Roman" w:eastAsia="Times New Roman" w:hAnsi="Times New Roman"/>
          <w:sz w:val="24"/>
          <w:szCs w:val="24"/>
        </w:rPr>
        <w:t xml:space="preserve">On May 5, 2020, in </w:t>
      </w:r>
      <w:r w:rsidRPr="006B1CC1">
        <w:rPr>
          <w:rFonts w:ascii="Times New Roman" w:eastAsia="Times New Roman" w:hAnsi="Times New Roman"/>
          <w:sz w:val="24"/>
          <w:szCs w:val="24"/>
          <w:u w:val="single"/>
        </w:rPr>
        <w:t>Shelli Farley v. City of Claremore</w:t>
      </w:r>
      <w:r>
        <w:rPr>
          <w:rFonts w:ascii="Times New Roman" w:eastAsia="Times New Roman" w:hAnsi="Times New Roman"/>
          <w:sz w:val="24"/>
          <w:szCs w:val="24"/>
        </w:rPr>
        <w:t xml:space="preserve">, </w:t>
      </w:r>
      <w:r w:rsidRPr="006C380A">
        <w:rPr>
          <w:rFonts w:ascii="Times New Roman" w:eastAsia="Times New Roman" w:hAnsi="Times New Roman"/>
          <w:sz w:val="24"/>
          <w:szCs w:val="24"/>
        </w:rPr>
        <w:t>2020 OK 30</w:t>
      </w:r>
      <w:r>
        <w:rPr>
          <w:rFonts w:ascii="Times New Roman" w:eastAsia="Times New Roman" w:hAnsi="Times New Roman"/>
          <w:sz w:val="24"/>
          <w:szCs w:val="24"/>
        </w:rPr>
        <w:t xml:space="preserve">, the Oklahoma Supreme Court held (8 to 1) that the surviving spouse’s lawsuit for negligence and intentional tort was properly dismissed by the trial court.  </w:t>
      </w:r>
      <w:r w:rsidRPr="00350EDC">
        <w:rPr>
          <w:rFonts w:ascii="Times New Roman" w:eastAsia="Times New Roman" w:hAnsi="Times New Roman"/>
          <w:sz w:val="24"/>
          <w:szCs w:val="24"/>
        </w:rPr>
        <w:t>“T</w:t>
      </w:r>
      <w:r w:rsidRPr="00350EDC">
        <w:rPr>
          <w:rFonts w:ascii="Times New Roman" w:hAnsi="Times New Roman"/>
          <w:sz w:val="24"/>
          <w:szCs w:val="24"/>
        </w:rPr>
        <w:t>he wrongful death injury was adjudicated and compensated by a successful workers' compensation claim after the death of the decedent. This successful adjudication demonstrates the decedent's injury was exclusively before the Commission and not cognizable as a District Court claim at the time of dec</w:t>
      </w:r>
      <w:r>
        <w:rPr>
          <w:rFonts w:ascii="Times New Roman" w:hAnsi="Times New Roman"/>
          <w:sz w:val="24"/>
          <w:szCs w:val="24"/>
        </w:rPr>
        <w:t>e</w:t>
      </w:r>
      <w:r w:rsidRPr="00350EDC">
        <w:rPr>
          <w:rFonts w:ascii="Times New Roman" w:hAnsi="Times New Roman"/>
          <w:sz w:val="24"/>
          <w:szCs w:val="24"/>
        </w:rPr>
        <w:t>dent's death.”</w:t>
      </w:r>
      <w:r>
        <w:rPr>
          <w:rFonts w:ascii="Times New Roman" w:hAnsi="Times New Roman"/>
          <w:sz w:val="24"/>
          <w:szCs w:val="24"/>
        </w:rPr>
        <w:t xml:space="preserve"> </w:t>
      </w:r>
      <w:hyperlink r:id="rId578" w:history="1">
        <w:r w:rsidRPr="008C168C">
          <w:rPr>
            <w:rStyle w:val="Hyperlink"/>
            <w:sz w:val="24"/>
            <w:szCs w:val="24"/>
          </w:rPr>
          <w:t>https://www.oscn.net/applications/oscn/deliverdocument.asp?citeid=486529</w:t>
        </w:r>
      </w:hyperlink>
      <w:r>
        <w:rPr>
          <w:rFonts w:ascii="Times New Roman" w:eastAsia="Times New Roman" w:hAnsi="Times New Roman"/>
          <w:sz w:val="24"/>
          <w:szCs w:val="24"/>
        </w:rPr>
        <w:t xml:space="preserve"> </w:t>
      </w:r>
    </w:p>
    <w:p w14:paraId="28BA5CE4" w14:textId="77777777" w:rsidR="00D94DC4" w:rsidRPr="006C380A" w:rsidRDefault="00D94DC4" w:rsidP="00D94DC4">
      <w:pPr>
        <w:spacing w:before="100" w:beforeAutospacing="1" w:after="100" w:afterAutospacing="1" w:line="240" w:lineRule="auto"/>
        <w:jc w:val="both"/>
        <w:rPr>
          <w:rFonts w:ascii="Times New Roman" w:hAnsi="Times New Roman"/>
          <w:b/>
          <w:bCs/>
          <w:sz w:val="24"/>
          <w:szCs w:val="24"/>
        </w:rPr>
      </w:pPr>
      <w:r w:rsidRPr="006C380A">
        <w:rPr>
          <w:rFonts w:ascii="Times New Roman" w:hAnsi="Times New Roman"/>
          <w:b/>
          <w:bCs/>
          <w:sz w:val="24"/>
          <w:szCs w:val="24"/>
        </w:rPr>
        <w:t>Legal Lessons Learned:</w:t>
      </w:r>
      <w:r>
        <w:rPr>
          <w:rFonts w:ascii="Times New Roman" w:hAnsi="Times New Roman"/>
          <w:b/>
          <w:bCs/>
          <w:sz w:val="24"/>
          <w:szCs w:val="24"/>
        </w:rPr>
        <w:t xml:space="preserve"> Tragic loss of life, but workers comp is sole remedy. </w:t>
      </w:r>
    </w:p>
    <w:p w14:paraId="7802EFC1" w14:textId="108A528D" w:rsidR="00D94DC4" w:rsidRPr="00D94DC4" w:rsidRDefault="00D94DC4" w:rsidP="00D94DC4">
      <w:pPr>
        <w:pStyle w:val="NoSpacing"/>
        <w:ind w:left="720"/>
        <w:rPr>
          <w:rFonts w:ascii="Times New Roman" w:hAnsi="Times New Roman"/>
          <w:sz w:val="24"/>
          <w:szCs w:val="24"/>
        </w:rPr>
      </w:pPr>
      <w:r w:rsidRPr="00D94DC4">
        <w:rPr>
          <w:rFonts w:ascii="Times New Roman" w:hAnsi="Times New Roman"/>
          <w:sz w:val="24"/>
          <w:szCs w:val="24"/>
        </w:rPr>
        <w:t xml:space="preserve">Note: See this May 28, </w:t>
      </w:r>
      <w:proofErr w:type="gramStart"/>
      <w:r w:rsidRPr="00D94DC4">
        <w:rPr>
          <w:rFonts w:ascii="Times New Roman" w:hAnsi="Times New Roman"/>
          <w:sz w:val="24"/>
          <w:szCs w:val="24"/>
        </w:rPr>
        <w:t>2015</w:t>
      </w:r>
      <w:proofErr w:type="gramEnd"/>
      <w:r w:rsidRPr="00D94DC4">
        <w:rPr>
          <w:rFonts w:ascii="Times New Roman" w:hAnsi="Times New Roman"/>
          <w:sz w:val="24"/>
          <w:szCs w:val="24"/>
        </w:rPr>
        <w:t xml:space="preserve"> article, “Firefighter's death highlights municipal storm drain dangers.” CLAREMORE, Okla. — “The drowning of an Oklahoma firefighter and a Texas teenager in storms that swept through those states highlight the persistent dangers posed by storm drains that help protect neighborhoods during flash flooding but can suck in unsuspecting residents and rescue workers.” </w:t>
      </w:r>
      <w:hyperlink r:id="rId579" w:history="1">
        <w:r w:rsidRPr="00D94DC4">
          <w:rPr>
            <w:rStyle w:val="Hyperlink"/>
            <w:rFonts w:ascii="Times New Roman" w:hAnsi="Times New Roman"/>
            <w:sz w:val="24"/>
            <w:szCs w:val="24"/>
          </w:rPr>
          <w:t>https://www.firerescue1.com/firefighter-training/articles/firefighters-death-highlights-municipal-storm-drain-dangers-VaH0e7nB3CMWpKRS/</w:t>
        </w:r>
      </w:hyperlink>
    </w:p>
    <w:p w14:paraId="5926B190" w14:textId="77777777" w:rsidR="00D94DC4" w:rsidRPr="00D94DC4" w:rsidRDefault="00D94DC4" w:rsidP="00EF1133">
      <w:pPr>
        <w:pStyle w:val="NoSpacing"/>
        <w:rPr>
          <w:rFonts w:ascii="Times New Roman" w:hAnsi="Times New Roman"/>
          <w:sz w:val="24"/>
          <w:szCs w:val="24"/>
        </w:rPr>
      </w:pPr>
    </w:p>
    <w:p w14:paraId="334409D7" w14:textId="77777777" w:rsidR="00D94DC4" w:rsidRDefault="00D94DC4" w:rsidP="00EF1133">
      <w:pPr>
        <w:pStyle w:val="NoSpacing"/>
        <w:rPr>
          <w:rFonts w:ascii="Arial Black" w:hAnsi="Arial Black"/>
          <w:sz w:val="24"/>
          <w:szCs w:val="24"/>
        </w:rPr>
      </w:pPr>
    </w:p>
    <w:bookmarkEnd w:id="96"/>
    <w:p w14:paraId="5629E78A" w14:textId="3C76C3D8" w:rsidR="005F0E6D" w:rsidRDefault="005F0E6D" w:rsidP="00EF1133">
      <w:pPr>
        <w:pStyle w:val="NoSpacing"/>
        <w:rPr>
          <w:rFonts w:ascii="Arial Black" w:hAnsi="Arial Black"/>
          <w:sz w:val="24"/>
          <w:szCs w:val="24"/>
        </w:rPr>
      </w:pPr>
      <w:r>
        <w:rPr>
          <w:rFonts w:ascii="Arial Black" w:hAnsi="Arial Black"/>
          <w:sz w:val="24"/>
          <w:szCs w:val="24"/>
        </w:rPr>
        <w:t>2-30</w:t>
      </w:r>
    </w:p>
    <w:p w14:paraId="0EEB77F1" w14:textId="7A652234" w:rsidR="005F0E6D" w:rsidRDefault="005F0E6D" w:rsidP="00EF1133">
      <w:pPr>
        <w:pStyle w:val="NoSpacing"/>
        <w:rPr>
          <w:rFonts w:ascii="Arial Black" w:hAnsi="Arial Black"/>
          <w:sz w:val="24"/>
          <w:szCs w:val="24"/>
        </w:rPr>
      </w:pPr>
    </w:p>
    <w:p w14:paraId="26AF9928" w14:textId="77777777" w:rsidR="005F0E6D" w:rsidRDefault="005F0E6D" w:rsidP="005F0E6D">
      <w:pPr>
        <w:pStyle w:val="NoSpacing"/>
        <w:rPr>
          <w:rFonts w:ascii="Arial Black" w:hAnsi="Arial Black"/>
          <w:b/>
          <w:bCs/>
          <w:sz w:val="28"/>
          <w:szCs w:val="28"/>
        </w:rPr>
      </w:pPr>
      <w:r w:rsidRPr="00017D6B">
        <w:rPr>
          <w:rFonts w:ascii="Arial Black" w:hAnsi="Arial Black"/>
          <w:bCs/>
          <w:sz w:val="28"/>
          <w:szCs w:val="28"/>
        </w:rPr>
        <w:t xml:space="preserve">MI: </w:t>
      </w:r>
      <w:r>
        <w:rPr>
          <w:rFonts w:ascii="Arial Black" w:hAnsi="Arial Black"/>
          <w:bCs/>
          <w:sz w:val="28"/>
          <w:szCs w:val="28"/>
        </w:rPr>
        <w:t xml:space="preserve"> FF LODD – VACANT HOUSE FILE – MURDER CONV UPHELD - DEF. PAID EMPLOYEE BURN HOUSE, INSURANCE</w:t>
      </w:r>
    </w:p>
    <w:p w14:paraId="39936B7F" w14:textId="77777777" w:rsidR="005F0E6D" w:rsidRDefault="005F0E6D" w:rsidP="005F0E6D">
      <w:pPr>
        <w:pStyle w:val="NoSpacing"/>
        <w:rPr>
          <w:b/>
          <w:bCs/>
          <w:sz w:val="24"/>
          <w:szCs w:val="24"/>
        </w:rPr>
      </w:pPr>
    </w:p>
    <w:p w14:paraId="678FCA6A" w14:textId="77777777" w:rsidR="005F0E6D" w:rsidRPr="00976742" w:rsidRDefault="005F0E6D" w:rsidP="005F0E6D">
      <w:pPr>
        <w:pStyle w:val="NoSpacing"/>
        <w:rPr>
          <w:rFonts w:ascii="Times New Roman" w:hAnsi="Times New Roman"/>
          <w:b/>
          <w:bCs/>
          <w:sz w:val="24"/>
          <w:szCs w:val="24"/>
        </w:rPr>
      </w:pPr>
      <w:r w:rsidRPr="00976742">
        <w:rPr>
          <w:rFonts w:ascii="Times New Roman" w:hAnsi="Times New Roman"/>
          <w:bCs/>
          <w:sz w:val="24"/>
          <w:szCs w:val="24"/>
        </w:rPr>
        <w:t xml:space="preserve">On April 16, 2020, in </w:t>
      </w:r>
      <w:r w:rsidRPr="00976742">
        <w:rPr>
          <w:rFonts w:ascii="Times New Roman" w:hAnsi="Times New Roman"/>
          <w:bCs/>
          <w:sz w:val="24"/>
          <w:szCs w:val="24"/>
          <w:u w:val="single"/>
        </w:rPr>
        <w:t>People of State of Michigan v. Mario Willis</w:t>
      </w:r>
      <w:r w:rsidRPr="00976742">
        <w:rPr>
          <w:rFonts w:ascii="Times New Roman" w:hAnsi="Times New Roman"/>
          <w:bCs/>
          <w:sz w:val="24"/>
          <w:szCs w:val="24"/>
        </w:rPr>
        <w:t xml:space="preserve">, the State of Michigan Court of Appeals, in an unpublished opinion, held (3 to 0) that after jury convicted defendant of second-degree murder in death of Detroit Firefighter Walter Harris and arson. The defendant paid an employee to set fire to a home owned by defendant’s girlfriend. The house had been damaged in a previous fire, and defendant’s girlfriend had received insurance proceeds to repair the damage.  Court of Appeals </w:t>
      </w:r>
      <w:proofErr w:type="gramStart"/>
      <w:r w:rsidRPr="00976742">
        <w:rPr>
          <w:rFonts w:ascii="Times New Roman" w:hAnsi="Times New Roman"/>
          <w:bCs/>
          <w:sz w:val="24"/>
          <w:szCs w:val="24"/>
        </w:rPr>
        <w:t>remanded case for</w:t>
      </w:r>
      <w:proofErr w:type="gramEnd"/>
      <w:r w:rsidRPr="00976742">
        <w:rPr>
          <w:rFonts w:ascii="Times New Roman" w:hAnsi="Times New Roman"/>
          <w:bCs/>
          <w:sz w:val="24"/>
          <w:szCs w:val="24"/>
        </w:rPr>
        <w:t xml:space="preserve"> </w:t>
      </w:r>
      <w:proofErr w:type="gramStart"/>
      <w:r w:rsidRPr="00976742">
        <w:rPr>
          <w:rFonts w:ascii="Times New Roman" w:hAnsi="Times New Roman"/>
          <w:bCs/>
          <w:sz w:val="24"/>
          <w:szCs w:val="24"/>
        </w:rPr>
        <w:t>resentencing</w:t>
      </w:r>
      <w:proofErr w:type="gramEnd"/>
      <w:r w:rsidRPr="00976742">
        <w:rPr>
          <w:rFonts w:ascii="Times New Roman" w:hAnsi="Times New Roman"/>
          <w:bCs/>
          <w:sz w:val="24"/>
          <w:szCs w:val="24"/>
        </w:rPr>
        <w:t xml:space="preserve">, so trial judge can explain why he imposed an enhanced minimum sentence. The original sentence was “500 to 750 months for the second-degree murder conviction and 10 to 20 years for the arson of a dwelling-house conviction.”   </w:t>
      </w:r>
    </w:p>
    <w:p w14:paraId="12553833" w14:textId="77777777" w:rsidR="005F0E6D" w:rsidRPr="00976742" w:rsidRDefault="005F0E6D" w:rsidP="005F0E6D">
      <w:pPr>
        <w:pStyle w:val="NoSpacing"/>
        <w:rPr>
          <w:rFonts w:ascii="Times New Roman" w:hAnsi="Times New Roman"/>
          <w:b/>
          <w:bCs/>
          <w:sz w:val="24"/>
          <w:szCs w:val="24"/>
        </w:rPr>
      </w:pPr>
    </w:p>
    <w:p w14:paraId="6A59C162" w14:textId="77777777" w:rsidR="005F0E6D" w:rsidRPr="00976742" w:rsidRDefault="005F0E6D" w:rsidP="005F0E6D">
      <w:pPr>
        <w:pStyle w:val="NoSpacing"/>
        <w:ind w:left="720"/>
        <w:rPr>
          <w:rFonts w:ascii="Times New Roman" w:hAnsi="Times New Roman"/>
          <w:b/>
          <w:bCs/>
          <w:sz w:val="24"/>
          <w:szCs w:val="24"/>
        </w:rPr>
      </w:pPr>
      <w:bookmarkStart w:id="97" w:name="_Hlk39765464"/>
      <w:r w:rsidRPr="00976742">
        <w:rPr>
          <w:rFonts w:ascii="Times New Roman" w:hAnsi="Times New Roman"/>
          <w:bCs/>
          <w:sz w:val="24"/>
          <w:szCs w:val="24"/>
        </w:rPr>
        <w:lastRenderedPageBreak/>
        <w:t>“[J]</w:t>
      </w:r>
      <w:proofErr w:type="spellStart"/>
      <w:r w:rsidRPr="00976742">
        <w:rPr>
          <w:rFonts w:ascii="Times New Roman" w:hAnsi="Times New Roman"/>
          <w:bCs/>
          <w:sz w:val="24"/>
          <w:szCs w:val="24"/>
        </w:rPr>
        <w:t>ust</w:t>
      </w:r>
      <w:proofErr w:type="spellEnd"/>
      <w:r w:rsidRPr="00976742">
        <w:rPr>
          <w:rFonts w:ascii="Times New Roman" w:hAnsi="Times New Roman"/>
          <w:bCs/>
          <w:sz w:val="24"/>
          <w:szCs w:val="24"/>
        </w:rPr>
        <w:t xml:space="preserve"> as we are not persuaded that defendant must have wielded an instrumentality personally, we are also not persuaded that its intentionally harmful use must only be directly and immediately against a person. The jury convicted defendant of second-degree murder based on his involvement in burning the house. The jury therefore implicitly found that </w:t>
      </w:r>
      <w:proofErr w:type="gramStart"/>
      <w:r w:rsidRPr="00976742">
        <w:rPr>
          <w:rFonts w:ascii="Times New Roman" w:hAnsi="Times New Roman"/>
          <w:bCs/>
          <w:sz w:val="24"/>
          <w:szCs w:val="24"/>
        </w:rPr>
        <w:t>defendant</w:t>
      </w:r>
      <w:proofErr w:type="gramEnd"/>
      <w:r w:rsidRPr="00976742">
        <w:rPr>
          <w:rFonts w:ascii="Times New Roman" w:hAnsi="Times New Roman"/>
          <w:bCs/>
          <w:sz w:val="24"/>
          <w:szCs w:val="24"/>
        </w:rPr>
        <w:t xml:space="preserve"> did use the gasoline as an offensive instrumentality against a person, even if that use against a person was indirect and achieved by way of destroying property. Furthermore, as noted, the victim, a firefighter, was not an unforeseeable hapless bystander and did not choose to encounter the danger; rather, the victim entered the burning structure specifically because his duties required him to do so. Thus, under the circumstances, we find harmless the trial court’s failure to make an express factual finding as to defendant’s intent in using the gasoline. We therefore reject </w:t>
      </w:r>
      <w:proofErr w:type="gramStart"/>
      <w:r w:rsidRPr="00976742">
        <w:rPr>
          <w:rFonts w:ascii="Times New Roman" w:hAnsi="Times New Roman"/>
          <w:bCs/>
          <w:sz w:val="24"/>
          <w:szCs w:val="24"/>
        </w:rPr>
        <w:t>defendant’s</w:t>
      </w:r>
      <w:proofErr w:type="gramEnd"/>
      <w:r w:rsidRPr="00976742">
        <w:rPr>
          <w:rFonts w:ascii="Times New Roman" w:hAnsi="Times New Roman"/>
          <w:bCs/>
          <w:sz w:val="24"/>
          <w:szCs w:val="24"/>
        </w:rPr>
        <w:t xml:space="preserve"> argument that </w:t>
      </w:r>
      <w:proofErr w:type="gramStart"/>
      <w:r w:rsidRPr="00976742">
        <w:rPr>
          <w:rFonts w:ascii="Times New Roman" w:hAnsi="Times New Roman"/>
          <w:bCs/>
          <w:sz w:val="24"/>
          <w:szCs w:val="24"/>
        </w:rPr>
        <w:t>the gasoline</w:t>
      </w:r>
      <w:proofErr w:type="gramEnd"/>
      <w:r w:rsidRPr="00976742">
        <w:rPr>
          <w:rFonts w:ascii="Times New Roman" w:hAnsi="Times New Roman"/>
          <w:bCs/>
          <w:sz w:val="24"/>
          <w:szCs w:val="24"/>
        </w:rPr>
        <w:t xml:space="preserve"> was not a ‘weapon’ for purposes of OV 1.</w:t>
      </w:r>
    </w:p>
    <w:p w14:paraId="105CCA09" w14:textId="77777777" w:rsidR="005F0E6D" w:rsidRPr="00976742" w:rsidRDefault="005F0E6D" w:rsidP="005F0E6D">
      <w:pPr>
        <w:pStyle w:val="NoSpacing"/>
        <w:ind w:left="720"/>
        <w:rPr>
          <w:rFonts w:ascii="Times New Roman" w:hAnsi="Times New Roman"/>
          <w:b/>
          <w:bCs/>
          <w:sz w:val="24"/>
          <w:szCs w:val="24"/>
        </w:rPr>
      </w:pPr>
      <w:hyperlink r:id="rId580" w:history="1">
        <w:r w:rsidRPr="00976742">
          <w:rPr>
            <w:rStyle w:val="Hyperlink"/>
            <w:rFonts w:ascii="Times New Roman" w:hAnsi="Times New Roman"/>
            <w:b/>
            <w:sz w:val="24"/>
            <w:szCs w:val="24"/>
          </w:rPr>
          <w:t>http://publicdocs.courts.mi.gov/OPINIONS/FINAL/COA/20200416_C346057_26_346057OPNORDER.PDF</w:t>
        </w:r>
      </w:hyperlink>
      <w:bookmarkEnd w:id="97"/>
      <w:r w:rsidRPr="00976742">
        <w:rPr>
          <w:rFonts w:ascii="Times New Roman" w:hAnsi="Times New Roman"/>
          <w:bCs/>
          <w:sz w:val="24"/>
          <w:szCs w:val="24"/>
        </w:rPr>
        <w:t xml:space="preserve"> </w:t>
      </w:r>
    </w:p>
    <w:p w14:paraId="14DE13F0" w14:textId="2DFF443A" w:rsidR="005F0E6D" w:rsidRDefault="005F0E6D" w:rsidP="00EF1133">
      <w:pPr>
        <w:pStyle w:val="NoSpacing"/>
        <w:rPr>
          <w:rFonts w:ascii="Arial Black" w:hAnsi="Arial Black"/>
          <w:sz w:val="24"/>
          <w:szCs w:val="24"/>
        </w:rPr>
      </w:pPr>
    </w:p>
    <w:p w14:paraId="7050A2A5" w14:textId="77777777" w:rsidR="005F0E6D" w:rsidRPr="00976742" w:rsidRDefault="005F0E6D" w:rsidP="005F0E6D">
      <w:pPr>
        <w:pStyle w:val="NoSpacing"/>
        <w:rPr>
          <w:rFonts w:ascii="Times New Roman" w:hAnsi="Times New Roman"/>
          <w:b/>
          <w:bCs/>
          <w:sz w:val="24"/>
          <w:szCs w:val="24"/>
        </w:rPr>
      </w:pPr>
      <w:r w:rsidRPr="00976742">
        <w:rPr>
          <w:rFonts w:ascii="Times New Roman" w:hAnsi="Times New Roman"/>
          <w:b/>
          <w:bCs/>
          <w:sz w:val="24"/>
          <w:szCs w:val="24"/>
        </w:rPr>
        <w:t xml:space="preserve">Legal Lessons Learned: When the defendant hired his employee to </w:t>
      </w:r>
      <w:proofErr w:type="gramStart"/>
      <w:r w:rsidRPr="00976742">
        <w:rPr>
          <w:rFonts w:ascii="Times New Roman" w:hAnsi="Times New Roman"/>
          <w:b/>
          <w:bCs/>
          <w:sz w:val="24"/>
          <w:szCs w:val="24"/>
        </w:rPr>
        <w:t>burn of</w:t>
      </w:r>
      <w:proofErr w:type="gramEnd"/>
      <w:r w:rsidRPr="00976742">
        <w:rPr>
          <w:rFonts w:ascii="Times New Roman" w:hAnsi="Times New Roman"/>
          <w:b/>
          <w:bCs/>
          <w:sz w:val="24"/>
          <w:szCs w:val="24"/>
        </w:rPr>
        <w:t xml:space="preserve"> structure, both the employer and the employee can be convicted of murder and arson.   </w:t>
      </w:r>
    </w:p>
    <w:p w14:paraId="607C8E26" w14:textId="77777777" w:rsidR="005F0E6D" w:rsidRPr="00976742" w:rsidRDefault="005F0E6D" w:rsidP="005F0E6D">
      <w:pPr>
        <w:pStyle w:val="NoSpacing"/>
        <w:ind w:firstLine="720"/>
        <w:rPr>
          <w:rFonts w:ascii="Times New Roman" w:hAnsi="Times New Roman"/>
          <w:b/>
          <w:bCs/>
          <w:sz w:val="24"/>
          <w:szCs w:val="24"/>
        </w:rPr>
      </w:pPr>
    </w:p>
    <w:p w14:paraId="25662B89" w14:textId="77777777" w:rsidR="005F0E6D" w:rsidRPr="00976742" w:rsidRDefault="005F0E6D" w:rsidP="005F0E6D">
      <w:pPr>
        <w:pStyle w:val="NoSpacing"/>
        <w:ind w:left="720"/>
        <w:rPr>
          <w:rFonts w:ascii="Times New Roman" w:hAnsi="Times New Roman"/>
          <w:b/>
          <w:bCs/>
          <w:sz w:val="24"/>
          <w:szCs w:val="24"/>
        </w:rPr>
      </w:pPr>
      <w:bookmarkStart w:id="98" w:name="_Hlk39821671"/>
      <w:r w:rsidRPr="00976742">
        <w:rPr>
          <w:rFonts w:ascii="Times New Roman" w:hAnsi="Times New Roman"/>
          <w:bCs/>
          <w:sz w:val="24"/>
          <w:szCs w:val="24"/>
        </w:rPr>
        <w:t xml:space="preserve">Note: Read NIOSH Fire Fighter Fatality Investigation Report, F2008-37 Date Released: January 31, 2010: </w:t>
      </w:r>
      <w:r>
        <w:rPr>
          <w:rFonts w:ascii="Times New Roman" w:hAnsi="Times New Roman"/>
          <w:bCs/>
          <w:sz w:val="24"/>
          <w:szCs w:val="24"/>
        </w:rPr>
        <w:t>“</w:t>
      </w:r>
      <w:r w:rsidRPr="00976742">
        <w:rPr>
          <w:rFonts w:ascii="Times New Roman" w:hAnsi="Times New Roman"/>
          <w:bCs/>
          <w:sz w:val="24"/>
          <w:szCs w:val="24"/>
        </w:rPr>
        <w:t>On November 15, 2008, a 38-year-old male fire fighter (the victim) died after being crushed by a roof collapse in a vacant/abandoned building</w:t>
      </w:r>
      <w:r>
        <w:rPr>
          <w:rFonts w:ascii="Times New Roman" w:hAnsi="Times New Roman"/>
          <w:bCs/>
          <w:sz w:val="24"/>
          <w:szCs w:val="24"/>
        </w:rPr>
        <w:t xml:space="preserve">.” </w:t>
      </w:r>
      <w:hyperlink r:id="rId581" w:history="1">
        <w:r w:rsidRPr="00976742">
          <w:rPr>
            <w:rStyle w:val="Hyperlink"/>
            <w:rFonts w:ascii="Times New Roman" w:hAnsi="Times New Roman"/>
            <w:b/>
            <w:sz w:val="24"/>
            <w:szCs w:val="24"/>
          </w:rPr>
          <w:t>https://www.cdc.gov/niosh/fire/reports/face200837.html</w:t>
        </w:r>
      </w:hyperlink>
      <w:bookmarkEnd w:id="98"/>
      <w:r w:rsidRPr="00976742">
        <w:rPr>
          <w:rFonts w:ascii="Times New Roman" w:hAnsi="Times New Roman"/>
          <w:bCs/>
          <w:sz w:val="24"/>
          <w:szCs w:val="24"/>
        </w:rPr>
        <w:t xml:space="preserve"> </w:t>
      </w:r>
    </w:p>
    <w:p w14:paraId="34E92C2E" w14:textId="77777777" w:rsidR="005F0E6D" w:rsidRDefault="005F0E6D" w:rsidP="00EF1133">
      <w:pPr>
        <w:pStyle w:val="NoSpacing"/>
        <w:rPr>
          <w:rFonts w:ascii="Arial Black" w:hAnsi="Arial Black"/>
          <w:sz w:val="24"/>
          <w:szCs w:val="24"/>
        </w:rPr>
      </w:pPr>
    </w:p>
    <w:p w14:paraId="631D269F" w14:textId="77777777" w:rsidR="005F0E6D" w:rsidRDefault="005F0E6D" w:rsidP="00EF1133">
      <w:pPr>
        <w:pStyle w:val="NoSpacing"/>
        <w:rPr>
          <w:rFonts w:ascii="Arial Black" w:hAnsi="Arial Black"/>
          <w:sz w:val="24"/>
          <w:szCs w:val="24"/>
        </w:rPr>
      </w:pPr>
    </w:p>
    <w:p w14:paraId="1EE3DD45" w14:textId="77777777" w:rsidR="005F0E6D" w:rsidRDefault="005F0E6D" w:rsidP="00EF1133">
      <w:pPr>
        <w:pStyle w:val="NoSpacing"/>
        <w:rPr>
          <w:rFonts w:ascii="Arial Black" w:hAnsi="Arial Black"/>
          <w:sz w:val="24"/>
          <w:szCs w:val="24"/>
        </w:rPr>
      </w:pPr>
    </w:p>
    <w:p w14:paraId="514EFD1F" w14:textId="705F9BAB" w:rsidR="00663160" w:rsidRDefault="00663160" w:rsidP="00EF1133">
      <w:pPr>
        <w:pStyle w:val="NoSpacing"/>
        <w:rPr>
          <w:rFonts w:ascii="Arial Black" w:hAnsi="Arial Black"/>
          <w:sz w:val="24"/>
          <w:szCs w:val="24"/>
        </w:rPr>
      </w:pPr>
      <w:r>
        <w:rPr>
          <w:rFonts w:ascii="Arial Black" w:hAnsi="Arial Black"/>
          <w:sz w:val="24"/>
          <w:szCs w:val="24"/>
        </w:rPr>
        <w:t>2-29</w:t>
      </w:r>
    </w:p>
    <w:p w14:paraId="7EF02A7C" w14:textId="77777777" w:rsidR="00663160" w:rsidRDefault="00663160" w:rsidP="00663160">
      <w:pPr>
        <w:spacing w:before="100" w:beforeAutospacing="1" w:after="100" w:afterAutospacing="1" w:line="240" w:lineRule="auto"/>
        <w:rPr>
          <w:rFonts w:ascii="Arial Black" w:hAnsi="Arial Black"/>
          <w:sz w:val="28"/>
          <w:szCs w:val="28"/>
        </w:rPr>
      </w:pPr>
      <w:r w:rsidRPr="00E77377">
        <w:rPr>
          <w:rFonts w:ascii="Arial Black" w:hAnsi="Arial Black"/>
          <w:sz w:val="28"/>
          <w:szCs w:val="28"/>
        </w:rPr>
        <w:t xml:space="preserve">OH: </w:t>
      </w:r>
      <w:r>
        <w:rPr>
          <w:rFonts w:ascii="Arial Black" w:hAnsi="Arial Black"/>
          <w:sz w:val="28"/>
          <w:szCs w:val="28"/>
        </w:rPr>
        <w:t>FF INJURED KNEE STEPPING DOWN FROM ENGINE –– STEP WAS MORE 24 INCHES OFF GROUND - VSSR PENALTY</w:t>
      </w:r>
    </w:p>
    <w:p w14:paraId="5E9AC737" w14:textId="77777777" w:rsidR="00663160" w:rsidRDefault="00663160" w:rsidP="00663160">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Feb. 11, 2020, in </w:t>
      </w:r>
      <w:r w:rsidRPr="00E77377">
        <w:rPr>
          <w:rFonts w:ascii="Times New Roman" w:eastAsia="Times New Roman" w:hAnsi="Times New Roman"/>
          <w:sz w:val="24"/>
          <w:szCs w:val="24"/>
          <w:u w:val="single"/>
        </w:rPr>
        <w:t>The State ex rel. Madison Fire District v. Industrial Commission of Ohio</w:t>
      </w:r>
      <w:r>
        <w:rPr>
          <w:rFonts w:ascii="Times New Roman" w:eastAsia="Times New Roman" w:hAnsi="Times New Roman"/>
          <w:sz w:val="24"/>
          <w:szCs w:val="24"/>
        </w:rPr>
        <w:t xml:space="preserve">, 2020 Ohio 463, the Ohio Court of Appeals for Tenth Appellate District, held (3 to 0) that firefighter </w:t>
      </w:r>
      <w:r w:rsidRPr="00E77377">
        <w:rPr>
          <w:rFonts w:ascii="Times New Roman" w:hAnsi="Times New Roman"/>
          <w:sz w:val="24"/>
          <w:szCs w:val="24"/>
        </w:rPr>
        <w:t>Joseph P. Purcell</w:t>
      </w:r>
      <w:r>
        <w:rPr>
          <w:rFonts w:ascii="Times New Roman" w:hAnsi="Times New Roman"/>
          <w:sz w:val="24"/>
          <w:szCs w:val="24"/>
        </w:rPr>
        <w:t xml:space="preserve">, who injured his right knee stepping out of the cab of a 1995 Spartan Darley, was properly awarded his VSSR [violation of  specific safety regulation] claim; 15% to 50% of workers comp. award. </w:t>
      </w:r>
    </w:p>
    <w:p w14:paraId="6F84D8F8" w14:textId="2A311130" w:rsidR="00663160" w:rsidRDefault="00663160" w:rsidP="00DB482B">
      <w:pPr>
        <w:pStyle w:val="NoSpacing"/>
        <w:ind w:left="720"/>
        <w:rPr>
          <w:rStyle w:val="Hyperlink"/>
          <w:rFonts w:ascii="Times New Roman" w:hAnsi="Times New Roman"/>
          <w:sz w:val="24"/>
          <w:szCs w:val="24"/>
        </w:rPr>
      </w:pPr>
      <w:bookmarkStart w:id="99" w:name="_Hlk39765521"/>
      <w:r>
        <w:rPr>
          <w:rFonts w:ascii="Times New Roman" w:hAnsi="Times New Roman"/>
          <w:sz w:val="24"/>
          <w:szCs w:val="24"/>
        </w:rPr>
        <w:t>“</w:t>
      </w:r>
      <w:r w:rsidRPr="00020A40">
        <w:rPr>
          <w:rFonts w:ascii="Times New Roman" w:hAnsi="Times New Roman"/>
          <w:sz w:val="24"/>
          <w:szCs w:val="24"/>
        </w:rPr>
        <w:t>In 2009, the department commissioned a master plan evaluation by an independent third party to do a study of every aspect of the fire department. As a part of that study, the fire engines in use by the department at that time were evaluated. Engine 2124 was a part of that evaluation. The evaluation report states that the department should consider installing steps into cab for safety to engine 2124</w:t>
      </w:r>
      <w:r>
        <w:rPr>
          <w:rFonts w:ascii="Times New Roman" w:hAnsi="Times New Roman"/>
          <w:sz w:val="24"/>
          <w:szCs w:val="24"/>
        </w:rPr>
        <w:t xml:space="preserve"> [1995 Spartan Darley].”  </w:t>
      </w:r>
      <w:hyperlink r:id="rId582" w:history="1">
        <w:r w:rsidRPr="002D2C0F">
          <w:rPr>
            <w:rStyle w:val="Hyperlink"/>
            <w:rFonts w:ascii="Times New Roman" w:hAnsi="Times New Roman"/>
            <w:sz w:val="24"/>
            <w:szCs w:val="24"/>
          </w:rPr>
          <w:t>https://www.courtlistener.com/pdf/2020/02/11/state_ex_rel._madison_fire_dist._v._indus._comm..pdf</w:t>
        </w:r>
      </w:hyperlink>
    </w:p>
    <w:p w14:paraId="15B1B7F1" w14:textId="78EEF9AC" w:rsidR="00663160" w:rsidRDefault="00663160" w:rsidP="00663160">
      <w:pPr>
        <w:spacing w:before="100" w:beforeAutospacing="1" w:after="100" w:afterAutospacing="1" w:line="240" w:lineRule="auto"/>
        <w:rPr>
          <w:rFonts w:ascii="Times New Roman" w:hAnsi="Times New Roman"/>
          <w:b/>
          <w:bCs/>
          <w:sz w:val="24"/>
          <w:szCs w:val="24"/>
        </w:rPr>
      </w:pPr>
      <w:bookmarkStart w:id="100" w:name="_Hlk40508742"/>
      <w:bookmarkEnd w:id="99"/>
      <w:r w:rsidRPr="00020A40">
        <w:rPr>
          <w:rFonts w:ascii="Times New Roman" w:hAnsi="Times New Roman"/>
          <w:b/>
          <w:bCs/>
          <w:sz w:val="24"/>
          <w:szCs w:val="24"/>
        </w:rPr>
        <w:t>Legal Lessons Learned:</w:t>
      </w:r>
      <w:r>
        <w:rPr>
          <w:rFonts w:ascii="Times New Roman" w:hAnsi="Times New Roman"/>
          <w:b/>
          <w:bCs/>
          <w:sz w:val="24"/>
          <w:szCs w:val="24"/>
        </w:rPr>
        <w:t xml:space="preserve"> </w:t>
      </w:r>
      <w:r w:rsidR="009B50E8">
        <w:rPr>
          <w:rFonts w:ascii="Times New Roman" w:hAnsi="Times New Roman"/>
          <w:b/>
          <w:bCs/>
          <w:sz w:val="24"/>
          <w:szCs w:val="24"/>
        </w:rPr>
        <w:t xml:space="preserve">Ohio </w:t>
      </w:r>
      <w:r>
        <w:rPr>
          <w:rFonts w:ascii="Times New Roman" w:hAnsi="Times New Roman"/>
          <w:b/>
          <w:bCs/>
          <w:sz w:val="24"/>
          <w:szCs w:val="24"/>
        </w:rPr>
        <w:t xml:space="preserve">FDs should review the Ohio Administrative Code regulation on fire apparatus, including the height of steps. </w:t>
      </w:r>
      <w:hyperlink r:id="rId583" w:history="1">
        <w:r w:rsidRPr="002D2C0F">
          <w:rPr>
            <w:rStyle w:val="Hyperlink"/>
            <w:rFonts w:ascii="Times New Roman" w:hAnsi="Times New Roman"/>
            <w:b/>
            <w:bCs/>
            <w:sz w:val="24"/>
            <w:szCs w:val="24"/>
          </w:rPr>
          <w:t>http://codes.ohio.gov/oac/4123:1-21-04v1</w:t>
        </w:r>
      </w:hyperlink>
      <w:r>
        <w:rPr>
          <w:rFonts w:ascii="Times New Roman" w:hAnsi="Times New Roman"/>
          <w:b/>
          <w:bCs/>
          <w:sz w:val="24"/>
          <w:szCs w:val="24"/>
        </w:rPr>
        <w:t xml:space="preserve"> .   VSSR penalties can range from 15 to 50% of the maximum allowable weekly compensation rate </w:t>
      </w:r>
      <w:proofErr w:type="gramStart"/>
      <w:r>
        <w:rPr>
          <w:rFonts w:ascii="Times New Roman" w:hAnsi="Times New Roman"/>
          <w:b/>
          <w:bCs/>
          <w:sz w:val="24"/>
          <w:szCs w:val="24"/>
        </w:rPr>
        <w:t>granted</w:t>
      </w:r>
      <w:proofErr w:type="gramEnd"/>
      <w:r>
        <w:rPr>
          <w:rFonts w:ascii="Times New Roman" w:hAnsi="Times New Roman"/>
          <w:b/>
          <w:bCs/>
          <w:sz w:val="24"/>
          <w:szCs w:val="24"/>
        </w:rPr>
        <w:t xml:space="preserve"> the injured worker. </w:t>
      </w:r>
      <w:hyperlink r:id="rId584" w:history="1">
        <w:r w:rsidRPr="002D2C0F">
          <w:rPr>
            <w:rStyle w:val="Hyperlink"/>
            <w:rFonts w:ascii="Times New Roman" w:hAnsi="Times New Roman"/>
            <w:b/>
            <w:bCs/>
            <w:sz w:val="24"/>
            <w:szCs w:val="24"/>
          </w:rPr>
          <w:t>https://www.bwc.ohio.gov/downloads/blankpdf/sviu.pdf</w:t>
        </w:r>
      </w:hyperlink>
      <w:r>
        <w:rPr>
          <w:rFonts w:ascii="Times New Roman" w:hAnsi="Times New Roman"/>
          <w:b/>
          <w:bCs/>
          <w:sz w:val="24"/>
          <w:szCs w:val="24"/>
        </w:rPr>
        <w:t xml:space="preserve"> </w:t>
      </w:r>
    </w:p>
    <w:bookmarkEnd w:id="100"/>
    <w:p w14:paraId="010AC845" w14:textId="77777777" w:rsidR="00663160" w:rsidRDefault="00663160" w:rsidP="00663160">
      <w:pPr>
        <w:pStyle w:val="NoSpacing"/>
        <w:rPr>
          <w:rFonts w:ascii="Arial Black" w:hAnsi="Arial Black"/>
          <w:sz w:val="24"/>
          <w:szCs w:val="24"/>
        </w:rPr>
      </w:pPr>
    </w:p>
    <w:p w14:paraId="7244B3F0" w14:textId="77777777" w:rsidR="00663160" w:rsidRDefault="00663160" w:rsidP="00EF1133">
      <w:pPr>
        <w:pStyle w:val="NoSpacing"/>
        <w:rPr>
          <w:rFonts w:ascii="Arial Black" w:hAnsi="Arial Black"/>
          <w:sz w:val="24"/>
          <w:szCs w:val="24"/>
        </w:rPr>
      </w:pPr>
    </w:p>
    <w:p w14:paraId="39882377" w14:textId="77777777" w:rsidR="00663160" w:rsidRDefault="00663160" w:rsidP="00EF1133">
      <w:pPr>
        <w:pStyle w:val="NoSpacing"/>
        <w:rPr>
          <w:rFonts w:ascii="Arial Black" w:hAnsi="Arial Black"/>
          <w:sz w:val="24"/>
          <w:szCs w:val="24"/>
        </w:rPr>
      </w:pPr>
    </w:p>
    <w:p w14:paraId="0EB37AE2" w14:textId="50B7E2E4" w:rsidR="00663160" w:rsidRDefault="00663160" w:rsidP="00EF1133">
      <w:pPr>
        <w:pStyle w:val="NoSpacing"/>
        <w:rPr>
          <w:rFonts w:ascii="Arial Black" w:hAnsi="Arial Black"/>
          <w:sz w:val="24"/>
          <w:szCs w:val="24"/>
        </w:rPr>
      </w:pPr>
      <w:r>
        <w:rPr>
          <w:rFonts w:ascii="Arial Black" w:hAnsi="Arial Black"/>
          <w:sz w:val="24"/>
          <w:szCs w:val="24"/>
        </w:rPr>
        <w:t>2-28</w:t>
      </w:r>
    </w:p>
    <w:p w14:paraId="01FCAE85" w14:textId="55BFE594" w:rsidR="00663160" w:rsidRDefault="00663160" w:rsidP="00EF1133">
      <w:pPr>
        <w:pStyle w:val="NoSpacing"/>
        <w:rPr>
          <w:rFonts w:ascii="Arial Black" w:hAnsi="Arial Black"/>
          <w:sz w:val="24"/>
          <w:szCs w:val="24"/>
        </w:rPr>
      </w:pPr>
    </w:p>
    <w:p w14:paraId="05D70D26" w14:textId="77777777" w:rsidR="00663160" w:rsidRPr="007635E7" w:rsidRDefault="00663160" w:rsidP="00663160">
      <w:pPr>
        <w:pStyle w:val="NoSpacing"/>
        <w:rPr>
          <w:rFonts w:ascii="Arial Black" w:hAnsi="Arial Black"/>
          <w:sz w:val="28"/>
          <w:szCs w:val="28"/>
        </w:rPr>
      </w:pPr>
      <w:r w:rsidRPr="007635E7">
        <w:rPr>
          <w:rFonts w:ascii="Arial Black" w:hAnsi="Arial Black"/>
          <w:sz w:val="28"/>
          <w:szCs w:val="28"/>
        </w:rPr>
        <w:t xml:space="preserve">DE: </w:t>
      </w:r>
      <w:r>
        <w:rPr>
          <w:rFonts w:ascii="Arial Black" w:hAnsi="Arial Black"/>
          <w:sz w:val="28"/>
          <w:szCs w:val="28"/>
        </w:rPr>
        <w:t xml:space="preserve">ROLLING BLACKOUTS – THREE FF KILLED, THREE INJURED – NOT VIOLATION OF FED CONSTIT. RIGHTS </w:t>
      </w:r>
    </w:p>
    <w:p w14:paraId="2620282C" w14:textId="77777777" w:rsidR="00663160" w:rsidRPr="00465FB3" w:rsidRDefault="00663160" w:rsidP="00663160">
      <w:pPr>
        <w:spacing w:before="100" w:beforeAutospacing="1" w:after="100" w:afterAutospacing="1" w:line="240" w:lineRule="auto"/>
        <w:rPr>
          <w:rFonts w:ascii="Times New Roman" w:hAnsi="Times New Roman"/>
          <w:sz w:val="24"/>
          <w:szCs w:val="24"/>
        </w:rPr>
      </w:pPr>
      <w:r w:rsidRPr="00465FB3">
        <w:rPr>
          <w:rFonts w:ascii="Times New Roman" w:hAnsi="Times New Roman"/>
          <w:sz w:val="24"/>
          <w:szCs w:val="24"/>
        </w:rPr>
        <w:t xml:space="preserve">On </w:t>
      </w:r>
      <w:bookmarkStart w:id="101" w:name="_Hlk39822645"/>
      <w:r w:rsidRPr="00465FB3">
        <w:rPr>
          <w:rFonts w:ascii="Times New Roman" w:hAnsi="Times New Roman"/>
          <w:sz w:val="24"/>
          <w:szCs w:val="24"/>
        </w:rPr>
        <w:t xml:space="preserve">Jan. 9, 2020, in </w:t>
      </w:r>
      <w:r w:rsidRPr="00465FB3">
        <w:rPr>
          <w:rFonts w:ascii="Times New Roman" w:hAnsi="Times New Roman"/>
          <w:sz w:val="24"/>
          <w:szCs w:val="24"/>
          <w:u w:val="single"/>
        </w:rPr>
        <w:t>Firefighter Brad Speakman, et al. v. Dennis P. Williams, City of Wilmington, et al</w:t>
      </w:r>
      <w:bookmarkEnd w:id="101"/>
      <w:r w:rsidRPr="00465FB3">
        <w:rPr>
          <w:rFonts w:ascii="Times New Roman" w:hAnsi="Times New Roman"/>
          <w:sz w:val="24"/>
          <w:szCs w:val="24"/>
        </w:rPr>
        <w:t xml:space="preserve">, U.S. District Court Judge Maryellen Noreika dismissed the lawsuit by the families of the firefighters killed on Sept. 24, 2016.  The Court held that the “rolling bypass” practices may be a basis for a tort lawsuit in state court, the practice is not a violation of the substantive rights guaranteed by the Fourteenth Amendment to the U.S. Constitution. </w:t>
      </w:r>
    </w:p>
    <w:p w14:paraId="3AB1F0C2" w14:textId="77777777" w:rsidR="00663160" w:rsidRPr="00465FB3" w:rsidRDefault="00663160" w:rsidP="00663160">
      <w:pPr>
        <w:pStyle w:val="NoSpacing"/>
        <w:ind w:left="720"/>
        <w:rPr>
          <w:rFonts w:ascii="Times New Roman" w:hAnsi="Times New Roman"/>
          <w:b/>
          <w:bCs/>
          <w:sz w:val="24"/>
          <w:szCs w:val="24"/>
        </w:rPr>
      </w:pPr>
      <w:bookmarkStart w:id="102" w:name="_Hlk39765552"/>
      <w:r w:rsidRPr="00465FB3">
        <w:rPr>
          <w:rFonts w:ascii="Times New Roman" w:eastAsia="Times New Roman" w:hAnsi="Times New Roman"/>
          <w:bCs/>
          <w:sz w:val="24"/>
          <w:szCs w:val="24"/>
        </w:rPr>
        <w:t>“</w:t>
      </w:r>
      <w:r w:rsidRPr="00465FB3">
        <w:rPr>
          <w:rFonts w:ascii="Times New Roman" w:hAnsi="Times New Roman"/>
          <w:bCs/>
          <w:sz w:val="24"/>
          <w:szCs w:val="24"/>
        </w:rPr>
        <w:t xml:space="preserve">This case, like </w:t>
      </w:r>
      <w:r w:rsidRPr="00465FB3">
        <w:rPr>
          <w:rFonts w:ascii="Times New Roman" w:hAnsi="Times New Roman"/>
          <w:bCs/>
          <w:i/>
          <w:iCs/>
          <w:sz w:val="24"/>
          <w:szCs w:val="24"/>
        </w:rPr>
        <w:t>Estate of Phillips</w:t>
      </w:r>
      <w:r w:rsidRPr="00465FB3">
        <w:rPr>
          <w:rFonts w:ascii="Times New Roman" w:hAnsi="Times New Roman"/>
          <w:bCs/>
          <w:sz w:val="24"/>
          <w:szCs w:val="24"/>
        </w:rPr>
        <w:t xml:space="preserve">, Estate of Phillips, [Washington, D.C. line of duty deaths in] Estate of Phillips v. D.C., 455 F.3d 397 (D.C. Cir. 2006)], involves a tragedy. Lieutenant Christopher Leach, Senior Firefighter Jerry Fickes, and Senior Firefighter Ardythe Hope died, and Firefighter Brad Speakman, Senior Firefighter Terrance Tate, and Lieutenant John Cawthray suffered severe injuries. But as the </w:t>
      </w:r>
      <w:r w:rsidRPr="00465FB3">
        <w:rPr>
          <w:rFonts w:ascii="Times New Roman" w:hAnsi="Times New Roman"/>
          <w:bCs/>
          <w:i/>
          <w:iCs/>
          <w:sz w:val="24"/>
          <w:szCs w:val="24"/>
        </w:rPr>
        <w:t>Estate of Phillips</w:t>
      </w:r>
      <w:r w:rsidRPr="00465FB3">
        <w:rPr>
          <w:rFonts w:ascii="Times New Roman" w:hAnsi="Times New Roman"/>
          <w:bCs/>
          <w:sz w:val="24"/>
          <w:szCs w:val="24"/>
        </w:rPr>
        <w:t xml:space="preserve"> court recognized, the Constitution does not provide a basis to address all injuries…. The Court has no doubt that, as Plaintiffs argue … a relationship exists between shift staffing and firefighter safety. For the reasons articulated, however, that relationship alone does not transform Present Defendants' conduct into substantive due process violations [of the 14</w:t>
      </w:r>
      <w:r w:rsidRPr="00465FB3">
        <w:rPr>
          <w:rFonts w:ascii="Times New Roman" w:hAnsi="Times New Roman"/>
          <w:bCs/>
          <w:sz w:val="24"/>
          <w:szCs w:val="24"/>
          <w:vertAlign w:val="superscript"/>
        </w:rPr>
        <w:t>Th</w:t>
      </w:r>
      <w:r w:rsidRPr="00465FB3">
        <w:rPr>
          <w:rFonts w:ascii="Times New Roman" w:hAnsi="Times New Roman"/>
          <w:bCs/>
          <w:sz w:val="24"/>
          <w:szCs w:val="24"/>
        </w:rPr>
        <w:t xml:space="preserve"> Amendment of U.S. Constitution]….</w:t>
      </w:r>
      <w:r w:rsidRPr="00465FB3">
        <w:rPr>
          <w:rFonts w:ascii="Times New Roman" w:hAnsi="Times New Roman"/>
          <w:sz w:val="24"/>
          <w:szCs w:val="24"/>
        </w:rPr>
        <w:t xml:space="preserve"> </w:t>
      </w:r>
      <w:r w:rsidRPr="00465FB3">
        <w:rPr>
          <w:rFonts w:ascii="Times New Roman" w:hAnsi="Times New Roman"/>
          <w:bCs/>
          <w:sz w:val="24"/>
          <w:szCs w:val="24"/>
        </w:rPr>
        <w:t xml:space="preserve">In other words, like the firefighters in </w:t>
      </w:r>
      <w:r w:rsidRPr="00465FB3">
        <w:rPr>
          <w:rFonts w:ascii="Times New Roman" w:hAnsi="Times New Roman"/>
          <w:bCs/>
          <w:i/>
          <w:iCs/>
          <w:sz w:val="24"/>
          <w:szCs w:val="24"/>
        </w:rPr>
        <w:t>Estate of Phillips</w:t>
      </w:r>
      <w:r w:rsidRPr="00465FB3">
        <w:rPr>
          <w:rFonts w:ascii="Times New Roman" w:hAnsi="Times New Roman"/>
          <w:bCs/>
          <w:sz w:val="24"/>
          <w:szCs w:val="24"/>
        </w:rPr>
        <w:t xml:space="preserve">, Plaintiffs allege that Present Defendants (along with others) exposed Firefighter Plaintiffs to ‘additional risks of injury unknown to [them] when they joined’ the WFD. 455 F.3d at 407. Yet, as explained, such increased risk is not enough to establish a substantive due process violation where the underlying risk is inherent in the injured parties' profession and is not so extremely elevated that employees will almost certainly and immediately be injured if they carry out their work.”  </w:t>
      </w:r>
      <w:bookmarkStart w:id="103" w:name="_Hlk39821887"/>
      <w:r w:rsidR="00F2621E">
        <w:fldChar w:fldCharType="begin"/>
      </w:r>
      <w:r w:rsidR="00F2621E">
        <w:instrText xml:space="preserve"> HYPERLINK "https://www.ded.uscourts.gov/sites/ded/files/opinions/18-1252_1.pdf" </w:instrText>
      </w:r>
      <w:r w:rsidR="00F2621E">
        <w:fldChar w:fldCharType="separate"/>
      </w:r>
      <w:r w:rsidRPr="00465FB3">
        <w:rPr>
          <w:rStyle w:val="Hyperlink"/>
          <w:rFonts w:ascii="Times New Roman" w:hAnsi="Times New Roman"/>
          <w:bCs/>
          <w:sz w:val="24"/>
          <w:szCs w:val="24"/>
        </w:rPr>
        <w:t>https://www.ded.uscourts.gov/sites/ded/files/opinions/18-1252_1.pdf</w:t>
      </w:r>
      <w:r w:rsidR="00F2621E">
        <w:rPr>
          <w:rStyle w:val="Hyperlink"/>
          <w:rFonts w:ascii="Times New Roman" w:hAnsi="Times New Roman"/>
          <w:bCs/>
          <w:sz w:val="24"/>
          <w:szCs w:val="24"/>
        </w:rPr>
        <w:fldChar w:fldCharType="end"/>
      </w:r>
      <w:r w:rsidRPr="00465FB3">
        <w:rPr>
          <w:rFonts w:ascii="Times New Roman" w:hAnsi="Times New Roman"/>
          <w:bCs/>
          <w:sz w:val="24"/>
          <w:szCs w:val="24"/>
        </w:rPr>
        <w:t xml:space="preserve"> </w:t>
      </w:r>
      <w:bookmarkEnd w:id="103"/>
    </w:p>
    <w:bookmarkEnd w:id="102"/>
    <w:p w14:paraId="3DD740A0" w14:textId="70FF5D4F" w:rsidR="00663160" w:rsidRDefault="00663160" w:rsidP="00EF1133">
      <w:pPr>
        <w:pStyle w:val="NoSpacing"/>
        <w:rPr>
          <w:rFonts w:ascii="Arial Black" w:hAnsi="Arial Black"/>
          <w:sz w:val="24"/>
          <w:szCs w:val="24"/>
        </w:rPr>
      </w:pPr>
    </w:p>
    <w:p w14:paraId="07D6649F" w14:textId="4641FB73" w:rsidR="009B50E8" w:rsidRDefault="00663160" w:rsidP="00663160">
      <w:pPr>
        <w:pStyle w:val="NoSpacing"/>
        <w:rPr>
          <w:rFonts w:ascii="Times New Roman" w:hAnsi="Times New Roman"/>
          <w:b/>
          <w:bCs/>
          <w:sz w:val="24"/>
          <w:szCs w:val="24"/>
        </w:rPr>
      </w:pPr>
      <w:bookmarkStart w:id="104" w:name="_Hlk40508991"/>
      <w:r w:rsidRPr="00465FB3">
        <w:rPr>
          <w:rFonts w:ascii="Times New Roman" w:hAnsi="Times New Roman"/>
          <w:b/>
          <w:bCs/>
          <w:sz w:val="24"/>
          <w:szCs w:val="24"/>
        </w:rPr>
        <w:t xml:space="preserve">Legal Lessons Learned: </w:t>
      </w:r>
      <w:proofErr w:type="gramStart"/>
      <w:r w:rsidRPr="00465FB3">
        <w:rPr>
          <w:rFonts w:ascii="Times New Roman" w:hAnsi="Times New Roman"/>
          <w:b/>
          <w:bCs/>
          <w:sz w:val="24"/>
          <w:szCs w:val="24"/>
        </w:rPr>
        <w:t>Similar</w:t>
      </w:r>
      <w:r w:rsidR="009B50E8">
        <w:rPr>
          <w:rFonts w:ascii="Times New Roman" w:hAnsi="Times New Roman"/>
          <w:b/>
          <w:bCs/>
          <w:sz w:val="24"/>
          <w:szCs w:val="24"/>
        </w:rPr>
        <w:t xml:space="preserve"> </w:t>
      </w:r>
      <w:r w:rsidRPr="00465FB3">
        <w:rPr>
          <w:rFonts w:ascii="Times New Roman" w:hAnsi="Times New Roman"/>
          <w:b/>
          <w:bCs/>
          <w:sz w:val="24"/>
          <w:szCs w:val="24"/>
        </w:rPr>
        <w:t>to</w:t>
      </w:r>
      <w:proofErr w:type="gramEnd"/>
      <w:r w:rsidRPr="00465FB3">
        <w:rPr>
          <w:rFonts w:ascii="Times New Roman" w:hAnsi="Times New Roman"/>
          <w:b/>
          <w:bCs/>
          <w:sz w:val="24"/>
          <w:szCs w:val="24"/>
        </w:rPr>
        <w:t xml:space="preserve"> the Washington, D.C. line-of-duty-death case in </w:t>
      </w:r>
      <w:r w:rsidRPr="00465FB3">
        <w:rPr>
          <w:rFonts w:ascii="Times New Roman" w:hAnsi="Times New Roman"/>
          <w:b/>
          <w:bCs/>
          <w:sz w:val="24"/>
          <w:szCs w:val="24"/>
          <w:u w:val="single"/>
        </w:rPr>
        <w:t>Estate of Phillips</w:t>
      </w:r>
      <w:r w:rsidRPr="00465FB3">
        <w:rPr>
          <w:rFonts w:ascii="Times New Roman" w:hAnsi="Times New Roman"/>
          <w:b/>
          <w:bCs/>
          <w:sz w:val="24"/>
          <w:szCs w:val="24"/>
        </w:rPr>
        <w:t xml:space="preserve">, </w:t>
      </w:r>
      <w:r w:rsidR="009B50E8">
        <w:rPr>
          <w:rFonts w:ascii="Times New Roman" w:hAnsi="Times New Roman"/>
          <w:b/>
          <w:bCs/>
          <w:sz w:val="24"/>
          <w:szCs w:val="24"/>
        </w:rPr>
        <w:t xml:space="preserve"> </w:t>
      </w:r>
      <w:hyperlink r:id="rId585" w:history="1">
        <w:r w:rsidR="009B50E8" w:rsidRPr="00176D13">
          <w:rPr>
            <w:rStyle w:val="Hyperlink"/>
            <w:rFonts w:ascii="Times New Roman" w:hAnsi="Times New Roman"/>
            <w:b/>
            <w:bCs/>
            <w:sz w:val="24"/>
            <w:szCs w:val="24"/>
          </w:rPr>
          <w:t>https://caselaw.findlaw.com/us-dc-circuit/1363158.html</w:t>
        </w:r>
      </w:hyperlink>
      <w:r w:rsidR="009B50E8">
        <w:rPr>
          <w:rFonts w:ascii="Times New Roman" w:hAnsi="Times New Roman"/>
          <w:b/>
          <w:bCs/>
          <w:sz w:val="24"/>
          <w:szCs w:val="24"/>
        </w:rPr>
        <w:t xml:space="preserve"> </w:t>
      </w:r>
      <w:r w:rsidR="00D735D6">
        <w:rPr>
          <w:rFonts w:ascii="Times New Roman" w:hAnsi="Times New Roman"/>
          <w:b/>
          <w:bCs/>
          <w:sz w:val="24"/>
          <w:szCs w:val="24"/>
        </w:rPr>
        <w:t xml:space="preserve">(2006), </w:t>
      </w:r>
    </w:p>
    <w:p w14:paraId="44000B3D" w14:textId="1D19F4F0" w:rsidR="00663160" w:rsidRPr="00465FB3" w:rsidRDefault="00663160" w:rsidP="00663160">
      <w:pPr>
        <w:pStyle w:val="NoSpacing"/>
        <w:rPr>
          <w:rFonts w:ascii="Times New Roman" w:hAnsi="Times New Roman"/>
          <w:b/>
          <w:bCs/>
          <w:sz w:val="24"/>
          <w:szCs w:val="24"/>
        </w:rPr>
      </w:pPr>
      <w:proofErr w:type="gramStart"/>
      <w:r w:rsidRPr="00465FB3">
        <w:rPr>
          <w:rFonts w:ascii="Times New Roman" w:hAnsi="Times New Roman"/>
          <w:b/>
          <w:bCs/>
          <w:sz w:val="24"/>
          <w:szCs w:val="24"/>
        </w:rPr>
        <w:t>this</w:t>
      </w:r>
      <w:proofErr w:type="gramEnd"/>
      <w:r w:rsidRPr="00465FB3">
        <w:rPr>
          <w:rFonts w:ascii="Times New Roman" w:hAnsi="Times New Roman"/>
          <w:b/>
          <w:bCs/>
          <w:sz w:val="24"/>
          <w:szCs w:val="24"/>
        </w:rPr>
        <w:t xml:space="preserve"> lawsuit in Federal court has been dismissed prior to trial.  </w:t>
      </w:r>
    </w:p>
    <w:bookmarkEnd w:id="104"/>
    <w:p w14:paraId="50BBECE4" w14:textId="77777777" w:rsidR="00663160" w:rsidRPr="00465FB3" w:rsidRDefault="00663160" w:rsidP="00663160">
      <w:pPr>
        <w:pStyle w:val="NoSpacing"/>
        <w:rPr>
          <w:b/>
          <w:bCs/>
        </w:rPr>
      </w:pPr>
      <w:r w:rsidRPr="00465FB3">
        <w:rPr>
          <w:rFonts w:ascii="Times New Roman" w:hAnsi="Times New Roman"/>
          <w:b/>
          <w:bCs/>
          <w:sz w:val="24"/>
          <w:szCs w:val="24"/>
        </w:rPr>
        <w:t xml:space="preserve">Note: </w:t>
      </w:r>
      <w:bookmarkStart w:id="105" w:name="_Hlk39821714"/>
      <w:r w:rsidRPr="00465FB3">
        <w:rPr>
          <w:rFonts w:ascii="Times New Roman" w:hAnsi="Times New Roman"/>
          <w:b/>
          <w:bCs/>
          <w:sz w:val="24"/>
          <w:szCs w:val="24"/>
        </w:rPr>
        <w:t xml:space="preserve">“Woman gets </w:t>
      </w:r>
      <w:proofErr w:type="gramStart"/>
      <w:r w:rsidRPr="00465FB3">
        <w:rPr>
          <w:rFonts w:ascii="Times New Roman" w:hAnsi="Times New Roman"/>
          <w:b/>
          <w:bCs/>
          <w:sz w:val="24"/>
          <w:szCs w:val="24"/>
        </w:rPr>
        <w:t>30 year</w:t>
      </w:r>
      <w:proofErr w:type="gramEnd"/>
      <w:r w:rsidRPr="00465FB3">
        <w:rPr>
          <w:rFonts w:ascii="Times New Roman" w:hAnsi="Times New Roman"/>
          <w:b/>
          <w:bCs/>
          <w:sz w:val="24"/>
          <w:szCs w:val="24"/>
        </w:rPr>
        <w:t xml:space="preserve"> sentence in arson that killed 3 Wilmington firefighters,” (Dec. 13, 2019) </w:t>
      </w:r>
      <w:hyperlink r:id="rId586" w:history="1">
        <w:r w:rsidRPr="00465FB3">
          <w:rPr>
            <w:rStyle w:val="Hyperlink"/>
            <w:rFonts w:ascii="Times New Roman" w:hAnsi="Times New Roman"/>
            <w:b/>
            <w:bCs/>
            <w:sz w:val="24"/>
            <w:szCs w:val="24"/>
          </w:rPr>
          <w:t>https://www.fox29.com/news/woman-gets-30-year-sentence-in-arson-that-killed-3-wilmington-firefighters</w:t>
        </w:r>
      </w:hyperlink>
      <w:bookmarkEnd w:id="105"/>
      <w:r w:rsidRPr="00465FB3">
        <w:rPr>
          <w:b/>
          <w:bCs/>
        </w:rPr>
        <w:t xml:space="preserve"> </w:t>
      </w:r>
    </w:p>
    <w:p w14:paraId="547BB67A" w14:textId="77777777" w:rsidR="00663160" w:rsidRPr="0007452B" w:rsidRDefault="00663160" w:rsidP="00663160">
      <w:pPr>
        <w:pStyle w:val="NoSpacing"/>
        <w:rPr>
          <w:sz w:val="24"/>
          <w:szCs w:val="24"/>
        </w:rPr>
      </w:pPr>
    </w:p>
    <w:p w14:paraId="0FAB91AB" w14:textId="77777777" w:rsidR="00663160" w:rsidRDefault="00663160" w:rsidP="00EF1133">
      <w:pPr>
        <w:pStyle w:val="NoSpacing"/>
        <w:rPr>
          <w:rFonts w:ascii="Arial Black" w:hAnsi="Arial Black"/>
          <w:sz w:val="24"/>
          <w:szCs w:val="24"/>
        </w:rPr>
      </w:pPr>
    </w:p>
    <w:p w14:paraId="7809057E" w14:textId="77777777" w:rsidR="00663160" w:rsidRDefault="00663160" w:rsidP="00EF1133">
      <w:pPr>
        <w:pStyle w:val="NoSpacing"/>
        <w:rPr>
          <w:rFonts w:ascii="Arial Black" w:hAnsi="Arial Black"/>
          <w:sz w:val="24"/>
          <w:szCs w:val="24"/>
        </w:rPr>
      </w:pPr>
    </w:p>
    <w:p w14:paraId="5377580D" w14:textId="77777777" w:rsidR="00663160" w:rsidRDefault="00663160" w:rsidP="00EF1133">
      <w:pPr>
        <w:pStyle w:val="NoSpacing"/>
        <w:rPr>
          <w:rFonts w:ascii="Arial Black" w:hAnsi="Arial Black"/>
          <w:sz w:val="24"/>
          <w:szCs w:val="24"/>
        </w:rPr>
      </w:pPr>
    </w:p>
    <w:p w14:paraId="2EA9FFBE" w14:textId="0D24AFC2" w:rsidR="00C9355B" w:rsidRDefault="00C9355B" w:rsidP="00EF1133">
      <w:pPr>
        <w:pStyle w:val="NoSpacing"/>
        <w:rPr>
          <w:rFonts w:ascii="Arial Black" w:hAnsi="Arial Black"/>
          <w:sz w:val="24"/>
          <w:szCs w:val="24"/>
        </w:rPr>
      </w:pPr>
      <w:r>
        <w:rPr>
          <w:rFonts w:ascii="Arial Black" w:hAnsi="Arial Black"/>
          <w:sz w:val="24"/>
          <w:szCs w:val="24"/>
        </w:rPr>
        <w:t>2-27</w:t>
      </w:r>
    </w:p>
    <w:p w14:paraId="5C6FE893" w14:textId="77777777" w:rsidR="00C9355B" w:rsidRDefault="00C9355B" w:rsidP="00C9355B">
      <w:pPr>
        <w:spacing w:before="100" w:beforeAutospacing="1" w:after="100" w:afterAutospacing="1"/>
        <w:rPr>
          <w:rFonts w:ascii="Arial Black" w:eastAsia="Times New Roman" w:hAnsi="Arial Black"/>
          <w:bCs/>
          <w:sz w:val="28"/>
          <w:szCs w:val="28"/>
        </w:rPr>
      </w:pPr>
      <w:r w:rsidRPr="005E0291">
        <w:rPr>
          <w:rFonts w:ascii="Arial Black" w:eastAsia="Times New Roman" w:hAnsi="Arial Black"/>
          <w:bCs/>
          <w:sz w:val="28"/>
          <w:szCs w:val="28"/>
        </w:rPr>
        <w:t xml:space="preserve">NY: </w:t>
      </w:r>
      <w:r>
        <w:rPr>
          <w:rFonts w:ascii="Arial Black" w:eastAsia="Times New Roman" w:hAnsi="Arial Black"/>
          <w:bCs/>
          <w:sz w:val="28"/>
          <w:szCs w:val="28"/>
        </w:rPr>
        <w:t xml:space="preserve"> FF SOLICITING FUNDS - HOMEOWNER AT DOOR WTH FIREARM – ARRESTED – MALICIOUS PROS. CASE DISMISSED </w:t>
      </w:r>
    </w:p>
    <w:p w14:paraId="4C3A3587" w14:textId="77777777" w:rsidR="00C9355B" w:rsidRPr="00695030" w:rsidRDefault="00C9355B" w:rsidP="00C9355B">
      <w:pPr>
        <w:spacing w:before="100" w:beforeAutospacing="1" w:after="100" w:afterAutospacing="1"/>
        <w:rPr>
          <w:rFonts w:ascii="Times New Roman" w:eastAsia="Times New Roman" w:hAnsi="Times New Roman"/>
          <w:b/>
          <w:sz w:val="24"/>
          <w:szCs w:val="24"/>
        </w:rPr>
      </w:pPr>
      <w:r w:rsidRPr="00695030">
        <w:rPr>
          <w:rFonts w:ascii="Times New Roman" w:eastAsia="Times New Roman" w:hAnsi="Times New Roman"/>
          <w:sz w:val="24"/>
          <w:szCs w:val="24"/>
        </w:rPr>
        <w:t xml:space="preserve">On </w:t>
      </w:r>
      <w:bookmarkStart w:id="106" w:name="_Hlk39822249"/>
      <w:r w:rsidRPr="00695030">
        <w:rPr>
          <w:rFonts w:ascii="Times New Roman" w:eastAsia="Times New Roman" w:hAnsi="Times New Roman"/>
          <w:sz w:val="24"/>
          <w:szCs w:val="24"/>
        </w:rPr>
        <w:t xml:space="preserve">Jan. 28, 2020, in </w:t>
      </w:r>
      <w:r w:rsidRPr="00695030">
        <w:rPr>
          <w:rFonts w:ascii="Times New Roman" w:eastAsia="Times New Roman" w:hAnsi="Times New Roman"/>
          <w:sz w:val="24"/>
          <w:szCs w:val="24"/>
          <w:u w:val="single"/>
        </w:rPr>
        <w:t xml:space="preserve">Carl T. </w:t>
      </w:r>
      <w:proofErr w:type="spellStart"/>
      <w:r w:rsidRPr="00695030">
        <w:rPr>
          <w:rFonts w:ascii="Times New Roman" w:eastAsia="Times New Roman" w:hAnsi="Times New Roman"/>
          <w:sz w:val="24"/>
          <w:szCs w:val="24"/>
          <w:u w:val="single"/>
        </w:rPr>
        <w:t>Semencic</w:t>
      </w:r>
      <w:proofErr w:type="spellEnd"/>
      <w:r w:rsidRPr="00695030">
        <w:rPr>
          <w:rFonts w:ascii="Times New Roman" w:eastAsia="Times New Roman" w:hAnsi="Times New Roman"/>
          <w:sz w:val="24"/>
          <w:szCs w:val="24"/>
          <w:u w:val="single"/>
        </w:rPr>
        <w:t xml:space="preserve"> v. The County of Nassau, et al</w:t>
      </w:r>
      <w:bookmarkEnd w:id="106"/>
      <w:r w:rsidRPr="00695030">
        <w:rPr>
          <w:rFonts w:ascii="Times New Roman" w:eastAsia="Times New Roman" w:hAnsi="Times New Roman"/>
          <w:sz w:val="24"/>
          <w:szCs w:val="24"/>
        </w:rPr>
        <w:t xml:space="preserve">., U.S. District Court Judge Sandra J. Feuerstein granted defense motion for summary judgment, and dismissed lawsuit by the homeowner arrested for menacing the firefighters.  </w:t>
      </w:r>
    </w:p>
    <w:p w14:paraId="1BB0DD49" w14:textId="70246BFC" w:rsidR="00C9355B" w:rsidRPr="00965872" w:rsidRDefault="00C9355B" w:rsidP="00965872">
      <w:pPr>
        <w:pStyle w:val="NoSpacing"/>
        <w:ind w:left="720"/>
        <w:rPr>
          <w:rFonts w:ascii="Times New Roman" w:hAnsi="Times New Roman"/>
          <w:sz w:val="24"/>
          <w:szCs w:val="24"/>
        </w:rPr>
      </w:pPr>
      <w:r w:rsidRPr="00965872">
        <w:rPr>
          <w:rFonts w:ascii="Times New Roman" w:hAnsi="Times New Roman"/>
          <w:sz w:val="24"/>
          <w:szCs w:val="24"/>
        </w:rPr>
        <w:t xml:space="preserve">“There are no factual allegations to plausibly suggest that Defendants lacked reasonable cause to believe that </w:t>
      </w:r>
      <w:proofErr w:type="spellStart"/>
      <w:r w:rsidRPr="00965872">
        <w:rPr>
          <w:rFonts w:ascii="Times New Roman" w:hAnsi="Times New Roman"/>
          <w:sz w:val="24"/>
          <w:szCs w:val="24"/>
        </w:rPr>
        <w:t>Semencic</w:t>
      </w:r>
      <w:proofErr w:type="spellEnd"/>
      <w:r w:rsidRPr="00965872">
        <w:rPr>
          <w:rFonts w:ascii="Times New Roman" w:hAnsi="Times New Roman"/>
          <w:sz w:val="24"/>
          <w:szCs w:val="24"/>
        </w:rPr>
        <w:t xml:space="preserve"> had menaced Maloney with a weapon in violation of New York law. Plaintiff was charged by information with menacing in the second degree, which provides that ‘[a] person is guilty of menacing in the second degree when. . . He or she intentionally places or attempts to place another </w:t>
      </w:r>
      <w:r w:rsidRPr="00965872">
        <w:rPr>
          <w:rFonts w:ascii="Times New Roman" w:hAnsi="Times New Roman"/>
          <w:sz w:val="24"/>
          <w:szCs w:val="24"/>
        </w:rPr>
        <w:lastRenderedPageBreak/>
        <w:t xml:space="preserve">person in reasonable fear of physical injury, serious physical injury or death by displaying a deadly weapon, dangerous instrument or what appears to be a pistol, revolver, rifle, shotgun, machine gun or other firearm. . …’  N.Y. PENAL LAW § 120.14. </w:t>
      </w:r>
      <w:proofErr w:type="spellStart"/>
      <w:r w:rsidRPr="00965872">
        <w:rPr>
          <w:rFonts w:ascii="Times New Roman" w:hAnsi="Times New Roman"/>
          <w:sz w:val="24"/>
          <w:szCs w:val="24"/>
        </w:rPr>
        <w:t>Semencic's</w:t>
      </w:r>
      <w:proofErr w:type="spellEnd"/>
      <w:r w:rsidRPr="00965872">
        <w:rPr>
          <w:rFonts w:ascii="Times New Roman" w:hAnsi="Times New Roman"/>
          <w:sz w:val="24"/>
          <w:szCs w:val="24"/>
        </w:rPr>
        <w:t xml:space="preserve"> own version of the events, in which he concedes his display of the gun, coupled with [firefighter] Maloney's assertion in his statement that he was ‘in fear of his life,’ essentially establishes a menacing charge.  ***  </w:t>
      </w:r>
      <w:r w:rsidRPr="00965872">
        <w:rPr>
          <w:rFonts w:ascii="Times New Roman" w:hAnsi="Times New Roman"/>
          <w:bCs/>
          <w:sz w:val="24"/>
          <w:szCs w:val="24"/>
        </w:rPr>
        <w:t>[P]</w:t>
      </w:r>
      <w:proofErr w:type="spellStart"/>
      <w:r w:rsidRPr="00965872">
        <w:rPr>
          <w:rFonts w:ascii="Times New Roman" w:hAnsi="Times New Roman"/>
          <w:bCs/>
          <w:sz w:val="24"/>
          <w:szCs w:val="24"/>
        </w:rPr>
        <w:t>ointing</w:t>
      </w:r>
      <w:proofErr w:type="spellEnd"/>
      <w:r w:rsidRPr="00965872">
        <w:rPr>
          <w:rFonts w:ascii="Times New Roman" w:hAnsi="Times New Roman"/>
          <w:bCs/>
          <w:sz w:val="24"/>
          <w:szCs w:val="24"/>
        </w:rPr>
        <w:t xml:space="preserve"> a gun at and tapping that gun against a 'Do Not Knock No Peddlers' sign and saying 'Go Away' can</w:t>
      </w:r>
      <w:r w:rsidRPr="00965872">
        <w:rPr>
          <w:rFonts w:ascii="Times New Roman" w:hAnsi="Times New Roman"/>
          <w:sz w:val="24"/>
          <w:szCs w:val="24"/>
        </w:rPr>
        <w:t xml:space="preserve">, </w:t>
      </w:r>
      <w:r w:rsidRPr="00965872">
        <w:rPr>
          <w:rFonts w:ascii="Times New Roman" w:hAnsi="Times New Roman"/>
          <w:bCs/>
          <w:sz w:val="24"/>
          <w:szCs w:val="24"/>
        </w:rPr>
        <w:t>given what guns are designed to do</w:t>
      </w:r>
      <w:r w:rsidRPr="00965872">
        <w:rPr>
          <w:rFonts w:ascii="Times New Roman" w:hAnsi="Times New Roman"/>
          <w:sz w:val="24"/>
          <w:szCs w:val="24"/>
        </w:rPr>
        <w:t xml:space="preserve">, </w:t>
      </w:r>
      <w:r w:rsidRPr="00965872">
        <w:rPr>
          <w:rFonts w:ascii="Times New Roman" w:hAnsi="Times New Roman"/>
          <w:bCs/>
          <w:sz w:val="24"/>
          <w:szCs w:val="24"/>
        </w:rPr>
        <w:t xml:space="preserve">be perceived as an attempt to instill the requisite fear that injury will ensue if the sign and the command are not obeyed. [Emphasis by Judge Feuerstein.]” </w:t>
      </w:r>
      <w:bookmarkStart w:id="107" w:name="_Hlk39822186"/>
      <w:r w:rsidR="00F2621E">
        <w:fldChar w:fldCharType="begin"/>
      </w:r>
      <w:r w:rsidR="00F2621E">
        <w:instrText xml:space="preserve"> HYPERLINK "https://public.fastcase.com/Wl%2B2t%2BeVuI35%2FN70vAMFZnOfSxLvAGpuUD2VM9emafhy4fr43G9Vd6d9h%2FUBoSxo" </w:instrText>
      </w:r>
      <w:r w:rsidR="00F2621E">
        <w:fldChar w:fldCharType="separate"/>
      </w:r>
      <w:r w:rsidRPr="00965872">
        <w:rPr>
          <w:rStyle w:val="Hyperlink"/>
          <w:rFonts w:ascii="Times New Roman" w:hAnsi="Times New Roman"/>
          <w:b/>
          <w:sz w:val="24"/>
          <w:szCs w:val="24"/>
        </w:rPr>
        <w:t>https://public.fastcase.com/Wl%2B2t%2BeVuI35%2FN70vAMFZnOfSxLvAGpuUD2VM9emafhy4fr43G9Vd6d9h%2FUBoSxo</w:t>
      </w:r>
      <w:r w:rsidR="00F2621E">
        <w:rPr>
          <w:rStyle w:val="Hyperlink"/>
          <w:rFonts w:ascii="Times New Roman" w:hAnsi="Times New Roman"/>
          <w:b/>
          <w:sz w:val="24"/>
          <w:szCs w:val="24"/>
        </w:rPr>
        <w:fldChar w:fldCharType="end"/>
      </w:r>
    </w:p>
    <w:bookmarkEnd w:id="107"/>
    <w:p w14:paraId="1834C4B4" w14:textId="77777777" w:rsidR="00C9355B" w:rsidRPr="00503E8F" w:rsidRDefault="00C9355B" w:rsidP="00C9355B">
      <w:pPr>
        <w:pStyle w:val="NormalWeb"/>
        <w:rPr>
          <w:bCs/>
        </w:rPr>
      </w:pPr>
      <w:r w:rsidRPr="00695030">
        <w:rPr>
          <w:b/>
        </w:rPr>
        <w:t xml:space="preserve">Legal Lessons Learned:  Suggestion – conduct “door to door” solicitations in pairs, in uniform, and be extremely caution where the homeowner has posted Do Not Knock or similar signs.  </w:t>
      </w:r>
      <w:r>
        <w:rPr>
          <w:bCs/>
        </w:rPr>
        <w:t xml:space="preserve">See article on the arrest, </w:t>
      </w:r>
      <w:bookmarkStart w:id="108" w:name="_Hlk39822065"/>
      <w:r>
        <w:rPr>
          <w:bCs/>
        </w:rPr>
        <w:t xml:space="preserve">“West Hempstead man menaced fire volunteer with gun, police say” (July 20, 2016):  </w:t>
      </w:r>
      <w:hyperlink r:id="rId587" w:history="1">
        <w:r w:rsidRPr="0063481C">
          <w:rPr>
            <w:rStyle w:val="Hyperlink"/>
          </w:rPr>
          <w:t>https://www.newsday.com/long-island/crime/west-hempstead-man-menaced-fire-volunteer-with-gun-police-say-1.12068135</w:t>
        </w:r>
      </w:hyperlink>
      <w:bookmarkEnd w:id="108"/>
      <w:r>
        <w:rPr>
          <w:bCs/>
        </w:rPr>
        <w:t xml:space="preserve"> </w:t>
      </w:r>
    </w:p>
    <w:p w14:paraId="2C2C5FD7" w14:textId="3D658942" w:rsidR="00C9355B" w:rsidRDefault="00C9355B" w:rsidP="00EF1133">
      <w:pPr>
        <w:pStyle w:val="NoSpacing"/>
        <w:rPr>
          <w:rFonts w:ascii="Arial Black" w:hAnsi="Arial Black"/>
          <w:sz w:val="24"/>
          <w:szCs w:val="24"/>
        </w:rPr>
      </w:pPr>
    </w:p>
    <w:p w14:paraId="7B4F6DC2" w14:textId="042AFCC8" w:rsidR="00C9355B" w:rsidRDefault="00C9355B" w:rsidP="00EF1133">
      <w:pPr>
        <w:pStyle w:val="NoSpacing"/>
        <w:rPr>
          <w:rFonts w:ascii="Arial Black" w:hAnsi="Arial Black"/>
          <w:sz w:val="24"/>
          <w:szCs w:val="24"/>
        </w:rPr>
      </w:pPr>
      <w:r>
        <w:rPr>
          <w:rFonts w:ascii="Arial Black" w:hAnsi="Arial Black"/>
          <w:sz w:val="24"/>
          <w:szCs w:val="24"/>
        </w:rPr>
        <w:t>2-26</w:t>
      </w:r>
    </w:p>
    <w:p w14:paraId="181DDE5E" w14:textId="4CE88308" w:rsidR="00C9355B" w:rsidRDefault="00C9355B" w:rsidP="00EF1133">
      <w:pPr>
        <w:pStyle w:val="NoSpacing"/>
        <w:rPr>
          <w:rFonts w:ascii="Arial Black" w:hAnsi="Arial Black"/>
          <w:sz w:val="24"/>
          <w:szCs w:val="24"/>
        </w:rPr>
      </w:pPr>
    </w:p>
    <w:p w14:paraId="67BAB4E4" w14:textId="77777777" w:rsidR="00C9355B" w:rsidRDefault="00C9355B" w:rsidP="00C9355B">
      <w:pPr>
        <w:pStyle w:val="NoSpacing"/>
        <w:rPr>
          <w:rFonts w:ascii="Arial Black" w:hAnsi="Arial Black"/>
          <w:b/>
          <w:bCs/>
          <w:sz w:val="28"/>
          <w:szCs w:val="28"/>
        </w:rPr>
      </w:pPr>
      <w:r w:rsidRPr="00F90324">
        <w:rPr>
          <w:rFonts w:ascii="Arial Black" w:hAnsi="Arial Black"/>
          <w:bCs/>
          <w:sz w:val="28"/>
          <w:szCs w:val="28"/>
        </w:rPr>
        <w:t xml:space="preserve">LA: </w:t>
      </w:r>
      <w:r>
        <w:rPr>
          <w:rFonts w:ascii="Arial Black" w:hAnsi="Arial Black"/>
          <w:bCs/>
          <w:sz w:val="28"/>
          <w:szCs w:val="28"/>
        </w:rPr>
        <w:t>OFFICER INJURED - “BLACK LIVES” PROTEST – SUING PROTEST LEADER – TOUGH CASE TO WIN / FIREMAN’S RULE</w:t>
      </w:r>
    </w:p>
    <w:p w14:paraId="00BA7CE7" w14:textId="77777777" w:rsidR="00C9355B" w:rsidRDefault="00C9355B" w:rsidP="00C9355B">
      <w:pPr>
        <w:pStyle w:val="NoSpacing"/>
        <w:rPr>
          <w:b/>
          <w:bCs/>
          <w:sz w:val="24"/>
          <w:szCs w:val="24"/>
        </w:rPr>
      </w:pPr>
    </w:p>
    <w:p w14:paraId="0D5656E1" w14:textId="77777777" w:rsidR="00C9355B" w:rsidRDefault="00C9355B" w:rsidP="00C9355B">
      <w:pPr>
        <w:pStyle w:val="NoSpacing"/>
        <w:rPr>
          <w:rFonts w:ascii="Times New Roman" w:hAnsi="Times New Roman"/>
          <w:bCs/>
          <w:sz w:val="24"/>
          <w:szCs w:val="24"/>
        </w:rPr>
      </w:pPr>
      <w:r w:rsidRPr="00695030">
        <w:rPr>
          <w:rFonts w:ascii="Times New Roman" w:hAnsi="Times New Roman"/>
          <w:bCs/>
          <w:sz w:val="24"/>
          <w:szCs w:val="24"/>
        </w:rPr>
        <w:t xml:space="preserve">On Jan. 28, 2020, in </w:t>
      </w:r>
      <w:r w:rsidRPr="00695030">
        <w:rPr>
          <w:rFonts w:ascii="Times New Roman" w:hAnsi="Times New Roman"/>
          <w:bCs/>
          <w:sz w:val="24"/>
          <w:szCs w:val="24"/>
          <w:u w:val="single"/>
        </w:rPr>
        <w:t>Officer John Doe v. Deray McKesson; Black Lives Matter</w:t>
      </w:r>
      <w:r w:rsidRPr="00695030">
        <w:rPr>
          <w:rFonts w:ascii="Times New Roman" w:hAnsi="Times New Roman"/>
          <w:bCs/>
          <w:sz w:val="24"/>
          <w:szCs w:val="24"/>
        </w:rPr>
        <w:t>, the U.S. Court of Appeals for 5</w:t>
      </w:r>
      <w:r w:rsidRPr="00695030">
        <w:rPr>
          <w:rFonts w:ascii="Times New Roman" w:hAnsi="Times New Roman"/>
          <w:bCs/>
          <w:sz w:val="24"/>
          <w:szCs w:val="24"/>
          <w:vertAlign w:val="superscript"/>
        </w:rPr>
        <w:t>th</w:t>
      </w:r>
      <w:r w:rsidRPr="00695030">
        <w:rPr>
          <w:rFonts w:ascii="Times New Roman" w:hAnsi="Times New Roman"/>
          <w:bCs/>
          <w:sz w:val="24"/>
          <w:szCs w:val="24"/>
        </w:rPr>
        <w:t xml:space="preserve"> Circuit (New Orleans), declined to hear the appeal </w:t>
      </w:r>
      <w:proofErr w:type="spellStart"/>
      <w:r w:rsidRPr="00695030">
        <w:rPr>
          <w:rFonts w:ascii="Times New Roman" w:hAnsi="Times New Roman"/>
          <w:bCs/>
          <w:sz w:val="24"/>
          <w:szCs w:val="24"/>
        </w:rPr>
        <w:t>en</w:t>
      </w:r>
      <w:proofErr w:type="spellEnd"/>
      <w:r w:rsidRPr="00695030">
        <w:rPr>
          <w:rFonts w:ascii="Times New Roman" w:hAnsi="Times New Roman"/>
          <w:bCs/>
          <w:sz w:val="24"/>
          <w:szCs w:val="24"/>
        </w:rPr>
        <w:t xml:space="preserve"> banc (by all 16 Circuit Court judges (on a tie vote of 8 to 8).   Dec. 16, </w:t>
      </w:r>
      <w:proofErr w:type="gramStart"/>
      <w:r w:rsidRPr="00695030">
        <w:rPr>
          <w:rFonts w:ascii="Times New Roman" w:hAnsi="Times New Roman"/>
          <w:bCs/>
          <w:sz w:val="24"/>
          <w:szCs w:val="24"/>
        </w:rPr>
        <w:t>2019</w:t>
      </w:r>
      <w:proofErr w:type="gramEnd"/>
      <w:r w:rsidRPr="00695030">
        <w:rPr>
          <w:rFonts w:ascii="Times New Roman" w:hAnsi="Times New Roman"/>
          <w:bCs/>
          <w:sz w:val="24"/>
          <w:szCs w:val="24"/>
        </w:rPr>
        <w:t xml:space="preserve"> decision by 3-judge panel held (2 to 1) that the police officer’s lawsuit against the protest organizer, </w:t>
      </w:r>
    </w:p>
    <w:p w14:paraId="444FA89E" w14:textId="77777777" w:rsidR="00C9355B" w:rsidRDefault="00C9355B" w:rsidP="00C9355B">
      <w:pPr>
        <w:pStyle w:val="NoSpacing"/>
        <w:rPr>
          <w:rFonts w:ascii="Times New Roman" w:hAnsi="Times New Roman"/>
          <w:bCs/>
          <w:sz w:val="24"/>
          <w:szCs w:val="24"/>
        </w:rPr>
      </w:pPr>
    </w:p>
    <w:p w14:paraId="3F048130" w14:textId="77777777" w:rsidR="00C9355B" w:rsidRPr="00695030" w:rsidRDefault="00C9355B" w:rsidP="00C9355B">
      <w:pPr>
        <w:pStyle w:val="NoSpacing"/>
        <w:rPr>
          <w:rFonts w:ascii="Times New Roman" w:hAnsi="Times New Roman"/>
          <w:b/>
          <w:bCs/>
          <w:sz w:val="24"/>
          <w:szCs w:val="24"/>
        </w:rPr>
      </w:pPr>
      <w:proofErr w:type="gramStart"/>
      <w:r w:rsidRPr="00695030">
        <w:rPr>
          <w:rFonts w:ascii="Times New Roman" w:hAnsi="Times New Roman"/>
          <w:bCs/>
          <w:sz w:val="24"/>
          <w:szCs w:val="24"/>
        </w:rPr>
        <w:t>Deray McKesson,</w:t>
      </w:r>
      <w:proofErr w:type="gramEnd"/>
      <w:r w:rsidRPr="00695030">
        <w:rPr>
          <w:rFonts w:ascii="Times New Roman" w:hAnsi="Times New Roman"/>
          <w:bCs/>
          <w:sz w:val="24"/>
          <w:szCs w:val="24"/>
        </w:rPr>
        <w:t xml:space="preserve"> would be reinstated and </w:t>
      </w:r>
      <w:proofErr w:type="gramStart"/>
      <w:r w:rsidRPr="00695030">
        <w:rPr>
          <w:rFonts w:ascii="Times New Roman" w:hAnsi="Times New Roman"/>
          <w:bCs/>
          <w:sz w:val="24"/>
          <w:szCs w:val="24"/>
        </w:rPr>
        <w:t>remanded</w:t>
      </w:r>
      <w:proofErr w:type="gramEnd"/>
      <w:r w:rsidRPr="00695030">
        <w:rPr>
          <w:rFonts w:ascii="Times New Roman" w:hAnsi="Times New Roman"/>
          <w:bCs/>
          <w:sz w:val="24"/>
          <w:szCs w:val="24"/>
        </w:rPr>
        <w:t xml:space="preserve"> to trial judge.  In the Dec. 16, </w:t>
      </w:r>
      <w:proofErr w:type="gramStart"/>
      <w:r w:rsidRPr="00695030">
        <w:rPr>
          <w:rFonts w:ascii="Times New Roman" w:hAnsi="Times New Roman"/>
          <w:bCs/>
          <w:sz w:val="24"/>
          <w:szCs w:val="24"/>
        </w:rPr>
        <w:t>2020</w:t>
      </w:r>
      <w:proofErr w:type="gramEnd"/>
      <w:r w:rsidRPr="00695030">
        <w:rPr>
          <w:rFonts w:ascii="Times New Roman" w:hAnsi="Times New Roman"/>
          <w:bCs/>
          <w:sz w:val="24"/>
          <w:szCs w:val="24"/>
        </w:rPr>
        <w:t xml:space="preserve"> decision, Circuit Judge E. Grady Loll wrote:   </w:t>
      </w:r>
    </w:p>
    <w:p w14:paraId="2ADCF10B" w14:textId="77777777" w:rsidR="00C9355B" w:rsidRPr="00695030" w:rsidRDefault="00C9355B" w:rsidP="00C9355B">
      <w:pPr>
        <w:pStyle w:val="NoSpacing"/>
        <w:rPr>
          <w:rFonts w:ascii="Times New Roman" w:hAnsi="Times New Roman"/>
          <w:b/>
          <w:bCs/>
          <w:sz w:val="24"/>
          <w:szCs w:val="24"/>
        </w:rPr>
      </w:pPr>
    </w:p>
    <w:p w14:paraId="79180E55" w14:textId="77777777" w:rsidR="00C9355B" w:rsidRPr="00695030" w:rsidRDefault="00C9355B" w:rsidP="00C9355B">
      <w:pPr>
        <w:pStyle w:val="NoSpacing"/>
        <w:ind w:left="720"/>
        <w:rPr>
          <w:rFonts w:ascii="Times New Roman" w:eastAsia="Times New Roman" w:hAnsi="Times New Roman"/>
          <w:b/>
          <w:bCs/>
          <w:sz w:val="24"/>
          <w:szCs w:val="24"/>
        </w:rPr>
      </w:pPr>
      <w:r w:rsidRPr="00695030">
        <w:rPr>
          <w:rFonts w:ascii="Times New Roman" w:eastAsia="Times New Roman" w:hAnsi="Times New Roman"/>
          <w:bCs/>
          <w:sz w:val="24"/>
          <w:szCs w:val="24"/>
        </w:rPr>
        <w:t>“</w:t>
      </w:r>
      <w:r w:rsidRPr="00695030">
        <w:rPr>
          <w:rFonts w:ascii="Times New Roman" w:hAnsi="Times New Roman"/>
          <w:bCs/>
          <w:sz w:val="24"/>
          <w:szCs w:val="24"/>
        </w:rPr>
        <w:t xml:space="preserve">We first note that this case comes before us from a dismissal on the pleadings alone. In this context, we find that Officer Doe has plausibly alleged that Mckesson breached his duty of reasonable care </w:t>
      </w:r>
      <w:proofErr w:type="gramStart"/>
      <w:r w:rsidRPr="00695030">
        <w:rPr>
          <w:rFonts w:ascii="Times New Roman" w:hAnsi="Times New Roman"/>
          <w:bCs/>
          <w:sz w:val="24"/>
          <w:szCs w:val="24"/>
        </w:rPr>
        <w:t>in the course of</w:t>
      </w:r>
      <w:proofErr w:type="gramEnd"/>
      <w:r w:rsidRPr="00695030">
        <w:rPr>
          <w:rFonts w:ascii="Times New Roman" w:hAnsi="Times New Roman"/>
          <w:bCs/>
          <w:sz w:val="24"/>
          <w:szCs w:val="24"/>
        </w:rPr>
        <w:t xml:space="preserve"> organizing and leading the Baton Rouge demonstration. The complaint alleges that Mckesson planned to block a public highway as part of the protest. And the complaint specifically alleges that Mckesson </w:t>
      </w:r>
      <w:proofErr w:type="gramStart"/>
      <w:r w:rsidRPr="00695030">
        <w:rPr>
          <w:rFonts w:ascii="Times New Roman" w:hAnsi="Times New Roman"/>
          <w:bCs/>
          <w:sz w:val="24"/>
          <w:szCs w:val="24"/>
        </w:rPr>
        <w:t>was in charge of</w:t>
      </w:r>
      <w:proofErr w:type="gramEnd"/>
      <w:r w:rsidRPr="00695030">
        <w:rPr>
          <w:rFonts w:ascii="Times New Roman" w:hAnsi="Times New Roman"/>
          <w:bCs/>
          <w:sz w:val="24"/>
          <w:szCs w:val="24"/>
        </w:rPr>
        <w:t xml:space="preserve"> the protests and was seen and heard giving orders throughout the day and night of the protests. Blocking a public highway is a criminal act under Louisiana law. See La. Rev. Stat. Ann. § 14:97. Indeed, the complaint alleges that Mckesson himself was arrested during the demonstration. It was patently foreseeable that the Baton Rouge police would be required to respond to the demonstration by clearing the highway and, when necessary, making arrests. Given the intentional lawlessness of this aspect of the demonstration, Mckesson should have known that leading the demonstrators onto a busy highway was likely to provoke a confrontation between police and the mass of demonstrators, yet he ignored the foreseeable danger to officers, bystanders, and demonstrators, and notwithstanding, did so anyway.”  </w:t>
      </w:r>
      <w:hyperlink r:id="rId588" w:history="1">
        <w:r w:rsidRPr="00695030">
          <w:rPr>
            <w:rStyle w:val="Hyperlink"/>
            <w:rFonts w:ascii="Times New Roman" w:hAnsi="Times New Roman"/>
            <w:b/>
            <w:sz w:val="24"/>
            <w:szCs w:val="24"/>
          </w:rPr>
          <w:t>http://www.ca5.uscourts.gov/opinions/pub/17/17-30864-CV1.pdf</w:t>
        </w:r>
      </w:hyperlink>
      <w:r w:rsidRPr="00695030">
        <w:rPr>
          <w:rFonts w:ascii="Times New Roman" w:hAnsi="Times New Roman"/>
          <w:bCs/>
          <w:sz w:val="24"/>
          <w:szCs w:val="24"/>
        </w:rPr>
        <w:t xml:space="preserve"> </w:t>
      </w:r>
    </w:p>
    <w:p w14:paraId="070AF6AA" w14:textId="77777777" w:rsidR="00C9355B" w:rsidRDefault="00C9355B" w:rsidP="00C9355B">
      <w:pPr>
        <w:pStyle w:val="NoSpacing"/>
        <w:rPr>
          <w:rFonts w:ascii="Times New Roman" w:hAnsi="Times New Roman"/>
          <w:b/>
          <w:bCs/>
          <w:sz w:val="24"/>
          <w:szCs w:val="24"/>
        </w:rPr>
      </w:pPr>
    </w:p>
    <w:p w14:paraId="1ED0DB47" w14:textId="6417FB27" w:rsidR="00C9355B" w:rsidRPr="00695030" w:rsidRDefault="00C9355B" w:rsidP="00C9355B">
      <w:pPr>
        <w:pStyle w:val="NoSpacing"/>
        <w:rPr>
          <w:rFonts w:ascii="Times New Roman" w:hAnsi="Times New Roman"/>
          <w:sz w:val="24"/>
          <w:szCs w:val="24"/>
        </w:rPr>
      </w:pPr>
      <w:r w:rsidRPr="00695030">
        <w:rPr>
          <w:rFonts w:ascii="Times New Roman" w:hAnsi="Times New Roman"/>
          <w:b/>
          <w:bCs/>
          <w:sz w:val="24"/>
          <w:szCs w:val="24"/>
        </w:rPr>
        <w:t>Legal Lessons Learned:  On remand, the police officer has an “uphill battle” to overcome the Professional Rescuer Doctrine [also known as the Fireman’s Rule].</w:t>
      </w:r>
      <w:r w:rsidRPr="00695030">
        <w:rPr>
          <w:rFonts w:ascii="Times New Roman" w:hAnsi="Times New Roman"/>
          <w:sz w:val="24"/>
          <w:szCs w:val="24"/>
        </w:rPr>
        <w:t xml:space="preserve">   See dissent by Circuit Judge James C. Ho, in the Jan. 28, </w:t>
      </w:r>
      <w:proofErr w:type="gramStart"/>
      <w:r w:rsidRPr="00695030">
        <w:rPr>
          <w:rFonts w:ascii="Times New Roman" w:hAnsi="Times New Roman"/>
          <w:sz w:val="24"/>
          <w:szCs w:val="24"/>
        </w:rPr>
        <w:t>2020</w:t>
      </w:r>
      <w:proofErr w:type="gramEnd"/>
      <w:r w:rsidRPr="00695030">
        <w:rPr>
          <w:rFonts w:ascii="Times New Roman" w:hAnsi="Times New Roman"/>
          <w:sz w:val="24"/>
          <w:szCs w:val="24"/>
        </w:rPr>
        <w:t xml:space="preserve"> decision of 5</w:t>
      </w:r>
      <w:r w:rsidRPr="00695030">
        <w:rPr>
          <w:rFonts w:ascii="Times New Roman" w:hAnsi="Times New Roman"/>
          <w:sz w:val="24"/>
          <w:szCs w:val="24"/>
          <w:vertAlign w:val="superscript"/>
        </w:rPr>
        <w:t>th</w:t>
      </w:r>
      <w:r w:rsidRPr="00695030">
        <w:rPr>
          <w:rFonts w:ascii="Times New Roman" w:hAnsi="Times New Roman"/>
          <w:sz w:val="24"/>
          <w:szCs w:val="24"/>
        </w:rPr>
        <w:t xml:space="preserve"> Circuit (on tie vote of 8 to 8) to not rehear the case </w:t>
      </w:r>
      <w:proofErr w:type="spellStart"/>
      <w:r w:rsidRPr="00695030">
        <w:rPr>
          <w:rFonts w:ascii="Times New Roman" w:hAnsi="Times New Roman"/>
          <w:sz w:val="24"/>
          <w:szCs w:val="24"/>
        </w:rPr>
        <w:t>en</w:t>
      </w:r>
      <w:proofErr w:type="spellEnd"/>
      <w:r w:rsidRPr="00695030">
        <w:rPr>
          <w:rFonts w:ascii="Times New Roman" w:hAnsi="Times New Roman"/>
          <w:sz w:val="24"/>
          <w:szCs w:val="24"/>
        </w:rPr>
        <w:t xml:space="preserve"> banc. </w:t>
      </w:r>
    </w:p>
    <w:p w14:paraId="4D78FC86" w14:textId="77777777" w:rsidR="00C9355B" w:rsidRPr="00695030" w:rsidRDefault="00C9355B" w:rsidP="00C9355B">
      <w:pPr>
        <w:pStyle w:val="NoSpacing"/>
        <w:ind w:left="720"/>
        <w:rPr>
          <w:rFonts w:ascii="Times New Roman" w:hAnsi="Times New Roman"/>
          <w:b/>
          <w:bCs/>
          <w:sz w:val="24"/>
          <w:szCs w:val="24"/>
        </w:rPr>
      </w:pPr>
    </w:p>
    <w:p w14:paraId="357C7054" w14:textId="77777777" w:rsidR="00C9355B" w:rsidRPr="00695030" w:rsidRDefault="00C9355B" w:rsidP="00C9355B">
      <w:pPr>
        <w:pStyle w:val="NoSpacing"/>
        <w:ind w:left="720"/>
        <w:rPr>
          <w:rFonts w:ascii="Times New Roman" w:hAnsi="Times New Roman"/>
          <w:b/>
          <w:bCs/>
          <w:sz w:val="24"/>
          <w:szCs w:val="24"/>
        </w:rPr>
      </w:pPr>
      <w:r w:rsidRPr="00695030">
        <w:rPr>
          <w:rFonts w:ascii="Times New Roman" w:hAnsi="Times New Roman"/>
          <w:bCs/>
          <w:sz w:val="24"/>
          <w:szCs w:val="24"/>
        </w:rPr>
        <w:lastRenderedPageBreak/>
        <w:t xml:space="preserve">“Police officers and firefighters dedicate their lives to protecting others, often putting themselves in harm’s way. These are difficult and dangerous jobs, and citizens owe a debt of gratitude to those who are willing and able to perform them. What’s more, police officers and firefighters assume the risk that they may </w:t>
      </w:r>
      <w:proofErr w:type="spellStart"/>
      <w:r w:rsidRPr="00695030">
        <w:rPr>
          <w:rFonts w:ascii="Times New Roman" w:hAnsi="Times New Roman"/>
          <w:bCs/>
          <w:sz w:val="24"/>
          <w:szCs w:val="24"/>
        </w:rPr>
        <w:t>bissent</w:t>
      </w:r>
      <w:proofErr w:type="spellEnd"/>
      <w:r w:rsidRPr="00695030">
        <w:rPr>
          <w:rFonts w:ascii="Times New Roman" w:hAnsi="Times New Roman"/>
          <w:bCs/>
          <w:sz w:val="24"/>
          <w:szCs w:val="24"/>
        </w:rPr>
        <w:t xml:space="preserve"> e injured in the line of duty. </w:t>
      </w:r>
      <w:proofErr w:type="gramStart"/>
      <w:r w:rsidRPr="00695030">
        <w:rPr>
          <w:rFonts w:ascii="Times New Roman" w:hAnsi="Times New Roman"/>
          <w:bCs/>
          <w:sz w:val="24"/>
          <w:szCs w:val="24"/>
        </w:rPr>
        <w:t>So</w:t>
      </w:r>
      <w:proofErr w:type="gramEnd"/>
      <w:r w:rsidRPr="00695030">
        <w:rPr>
          <w:rFonts w:ascii="Times New Roman" w:hAnsi="Times New Roman"/>
          <w:bCs/>
          <w:sz w:val="24"/>
          <w:szCs w:val="24"/>
        </w:rPr>
        <w:t xml:space="preserve"> they are not allowed to recover damages from those responsible for their injuries, under a common law rule known as the professional rescuer doctrine.</w:t>
      </w:r>
    </w:p>
    <w:p w14:paraId="01EE2395" w14:textId="77777777" w:rsidR="00C9355B" w:rsidRPr="00695030" w:rsidRDefault="00C9355B" w:rsidP="00C9355B">
      <w:pPr>
        <w:pStyle w:val="NoSpacing"/>
        <w:ind w:left="720"/>
        <w:rPr>
          <w:rFonts w:ascii="Times New Roman" w:hAnsi="Times New Roman"/>
          <w:b/>
          <w:bCs/>
          <w:sz w:val="24"/>
          <w:szCs w:val="24"/>
        </w:rPr>
      </w:pPr>
    </w:p>
    <w:p w14:paraId="27D7AF2C" w14:textId="77777777" w:rsidR="00C9355B" w:rsidRPr="00695030" w:rsidRDefault="00C9355B" w:rsidP="00C9355B">
      <w:pPr>
        <w:pStyle w:val="NoSpacing"/>
        <w:ind w:left="720"/>
        <w:rPr>
          <w:rFonts w:ascii="Times New Roman" w:hAnsi="Times New Roman"/>
          <w:b/>
          <w:bCs/>
          <w:sz w:val="24"/>
          <w:szCs w:val="24"/>
        </w:rPr>
      </w:pPr>
      <w:r w:rsidRPr="00695030">
        <w:rPr>
          <w:rFonts w:ascii="Times New Roman" w:hAnsi="Times New Roman"/>
          <w:bCs/>
          <w:sz w:val="24"/>
          <w:szCs w:val="24"/>
        </w:rPr>
        <w:t>***</w:t>
      </w:r>
    </w:p>
    <w:p w14:paraId="1867ECA0" w14:textId="77777777" w:rsidR="00C9355B" w:rsidRPr="00695030" w:rsidRDefault="00C9355B" w:rsidP="00C9355B">
      <w:pPr>
        <w:pStyle w:val="NoSpacing"/>
        <w:ind w:left="720"/>
        <w:rPr>
          <w:rFonts w:ascii="Times New Roman" w:eastAsia="Times New Roman" w:hAnsi="Times New Roman"/>
          <w:b/>
          <w:sz w:val="24"/>
          <w:szCs w:val="24"/>
        </w:rPr>
      </w:pPr>
      <w:r w:rsidRPr="00695030">
        <w:rPr>
          <w:rFonts w:ascii="Times New Roman" w:hAnsi="Times New Roman"/>
          <w:bCs/>
          <w:sz w:val="24"/>
          <w:szCs w:val="24"/>
        </w:rPr>
        <w:t xml:space="preserve">Civil disobedience enjoys a rich tradition in our nation’s history. But there is a difference between civil disobedience—and civil disobedience without consequence…  Citizens may protest. But by protesting, the </w:t>
      </w:r>
      <w:proofErr w:type="gramStart"/>
      <w:r w:rsidRPr="00695030">
        <w:rPr>
          <w:rFonts w:ascii="Times New Roman" w:hAnsi="Times New Roman"/>
          <w:bCs/>
          <w:sz w:val="24"/>
          <w:szCs w:val="24"/>
        </w:rPr>
        <w:t>citizen does</w:t>
      </w:r>
      <w:proofErr w:type="gramEnd"/>
      <w:r w:rsidRPr="00695030">
        <w:rPr>
          <w:rFonts w:ascii="Times New Roman" w:hAnsi="Times New Roman"/>
          <w:bCs/>
          <w:sz w:val="24"/>
          <w:szCs w:val="24"/>
        </w:rPr>
        <w:t xml:space="preserve"> not suddenly gain immunity to violate traffic rules or other laws that the rest of us are required to follow. The First Amendment protects protest, not trespass. That said, this lawsuit should not proceed for an entirely different reason—the professional rescuer doctrine. I trust the district court will faithfully apply that doctrine </w:t>
      </w:r>
      <w:proofErr w:type="gramStart"/>
      <w:r w:rsidRPr="00695030">
        <w:rPr>
          <w:rFonts w:ascii="Times New Roman" w:hAnsi="Times New Roman"/>
          <w:bCs/>
          <w:sz w:val="24"/>
          <w:szCs w:val="24"/>
        </w:rPr>
        <w:t>if and when</w:t>
      </w:r>
      <w:proofErr w:type="gramEnd"/>
      <w:r w:rsidRPr="00695030">
        <w:rPr>
          <w:rFonts w:ascii="Times New Roman" w:hAnsi="Times New Roman"/>
          <w:bCs/>
          <w:sz w:val="24"/>
          <w:szCs w:val="24"/>
        </w:rPr>
        <w:t xml:space="preserve"> Mckesson invokes it, and dismiss the suit on remand, just as it did before.” </w:t>
      </w:r>
      <w:r w:rsidRPr="00695030">
        <w:rPr>
          <w:rFonts w:ascii="Times New Roman" w:eastAsia="Times New Roman" w:hAnsi="Times New Roman"/>
          <w:bCs/>
          <w:sz w:val="24"/>
          <w:szCs w:val="24"/>
        </w:rPr>
        <w:t xml:space="preserve"> </w:t>
      </w:r>
      <w:hyperlink r:id="rId589" w:history="1">
        <w:r w:rsidRPr="00695030">
          <w:rPr>
            <w:rStyle w:val="Hyperlink"/>
            <w:rFonts w:ascii="Times New Roman" w:hAnsi="Times New Roman"/>
            <w:b/>
            <w:sz w:val="24"/>
            <w:szCs w:val="24"/>
          </w:rPr>
          <w:t>http://www.ca5.uscourts.gov/opinions/pub/17/17-30864-CV2.pdf</w:t>
        </w:r>
      </w:hyperlink>
      <w:r w:rsidRPr="00695030">
        <w:rPr>
          <w:rFonts w:ascii="Times New Roman" w:eastAsia="Times New Roman" w:hAnsi="Times New Roman"/>
          <w:sz w:val="24"/>
          <w:szCs w:val="24"/>
        </w:rPr>
        <w:t xml:space="preserve"> </w:t>
      </w:r>
    </w:p>
    <w:p w14:paraId="65ED8519" w14:textId="77777777" w:rsidR="00C9355B" w:rsidRPr="00695030" w:rsidRDefault="00C9355B" w:rsidP="00C9355B">
      <w:pPr>
        <w:spacing w:before="100" w:beforeAutospacing="1" w:after="100" w:afterAutospacing="1"/>
        <w:ind w:left="720"/>
        <w:rPr>
          <w:rFonts w:ascii="Times New Roman" w:eastAsia="Times New Roman" w:hAnsi="Times New Roman"/>
          <w:b/>
          <w:bCs/>
          <w:sz w:val="24"/>
          <w:szCs w:val="24"/>
        </w:rPr>
      </w:pPr>
      <w:r w:rsidRPr="00695030">
        <w:rPr>
          <w:rFonts w:ascii="Times New Roman" w:eastAsia="Times New Roman" w:hAnsi="Times New Roman"/>
          <w:bCs/>
          <w:sz w:val="24"/>
          <w:szCs w:val="24"/>
        </w:rPr>
        <w:t xml:space="preserve">See also the ALCU’s petition requesting U.S. Supreme Court to hear the case:  </w:t>
      </w:r>
      <w:hyperlink r:id="rId590" w:history="1">
        <w:r w:rsidRPr="00695030">
          <w:rPr>
            <w:rStyle w:val="Hyperlink"/>
            <w:rFonts w:ascii="Times New Roman" w:hAnsi="Times New Roman"/>
            <w:b/>
            <w:sz w:val="24"/>
            <w:szCs w:val="24"/>
          </w:rPr>
          <w:t>https://www.aclu.org/sites/default/files/field_document/mckesson_v_doe_cert_petn_and_appendix.pdf</w:t>
        </w:r>
      </w:hyperlink>
      <w:r w:rsidRPr="00695030">
        <w:rPr>
          <w:rFonts w:ascii="Times New Roman" w:eastAsia="Times New Roman" w:hAnsi="Times New Roman"/>
          <w:bCs/>
          <w:sz w:val="24"/>
          <w:szCs w:val="24"/>
        </w:rPr>
        <w:t xml:space="preserve"> </w:t>
      </w:r>
    </w:p>
    <w:p w14:paraId="0EF79D4E" w14:textId="4C5A732E" w:rsidR="00C9355B" w:rsidRDefault="00C9355B" w:rsidP="00EF1133">
      <w:pPr>
        <w:pStyle w:val="NoSpacing"/>
        <w:rPr>
          <w:rFonts w:ascii="Arial Black" w:hAnsi="Arial Black"/>
          <w:sz w:val="24"/>
          <w:szCs w:val="24"/>
        </w:rPr>
      </w:pPr>
    </w:p>
    <w:p w14:paraId="45018E3E" w14:textId="0C7943D2" w:rsidR="00C9355B" w:rsidRDefault="00C9355B" w:rsidP="00EF1133">
      <w:pPr>
        <w:pStyle w:val="NoSpacing"/>
        <w:rPr>
          <w:rFonts w:ascii="Arial Black" w:hAnsi="Arial Black"/>
          <w:sz w:val="24"/>
          <w:szCs w:val="24"/>
        </w:rPr>
      </w:pPr>
      <w:r>
        <w:rPr>
          <w:rFonts w:ascii="Arial Black" w:hAnsi="Arial Black"/>
          <w:sz w:val="24"/>
          <w:szCs w:val="24"/>
        </w:rPr>
        <w:t>2-25</w:t>
      </w:r>
    </w:p>
    <w:p w14:paraId="773CEC28" w14:textId="77777777" w:rsidR="00C9355B" w:rsidRPr="00231496" w:rsidRDefault="00C9355B" w:rsidP="00C9355B">
      <w:pPr>
        <w:spacing w:before="100" w:beforeAutospacing="1" w:after="100" w:afterAutospacing="1"/>
        <w:rPr>
          <w:rFonts w:ascii="Arial Black" w:eastAsia="Times New Roman" w:hAnsi="Arial Black"/>
          <w:b/>
          <w:bCs/>
          <w:sz w:val="28"/>
          <w:szCs w:val="28"/>
        </w:rPr>
      </w:pPr>
      <w:bookmarkStart w:id="109" w:name="_Hlk39818125"/>
      <w:r w:rsidRPr="00231496">
        <w:rPr>
          <w:rFonts w:ascii="Arial Black" w:eastAsia="Times New Roman" w:hAnsi="Arial Black"/>
          <w:bCs/>
          <w:sz w:val="28"/>
          <w:szCs w:val="28"/>
        </w:rPr>
        <w:t xml:space="preserve">TX: </w:t>
      </w:r>
      <w:r>
        <w:rPr>
          <w:rFonts w:ascii="Arial Black" w:eastAsia="Times New Roman" w:hAnsi="Arial Black"/>
          <w:bCs/>
          <w:sz w:val="28"/>
          <w:szCs w:val="28"/>
        </w:rPr>
        <w:t xml:space="preserve">FF / BAPTIST MINISTER – OBJECTED TO TETANUS VACCINATION – DECLINED INSPECTOR JOB - FIRED </w:t>
      </w:r>
    </w:p>
    <w:p w14:paraId="6DEC8938" w14:textId="010A3488" w:rsidR="00C9355B" w:rsidRPr="00695030" w:rsidRDefault="00C9355B" w:rsidP="00C9355B">
      <w:pPr>
        <w:pStyle w:val="NoSpacing"/>
        <w:rPr>
          <w:rFonts w:ascii="Times New Roman" w:hAnsi="Times New Roman"/>
          <w:b/>
          <w:bCs/>
          <w:sz w:val="24"/>
          <w:szCs w:val="24"/>
        </w:rPr>
      </w:pPr>
      <w:r w:rsidRPr="00695030">
        <w:rPr>
          <w:rFonts w:ascii="Times New Roman" w:hAnsi="Times New Roman"/>
          <w:bCs/>
          <w:sz w:val="24"/>
          <w:szCs w:val="24"/>
        </w:rPr>
        <w:t xml:space="preserve">On Jan. 9, 2020, in </w:t>
      </w:r>
      <w:r w:rsidRPr="00695030">
        <w:rPr>
          <w:rFonts w:ascii="Times New Roman" w:hAnsi="Times New Roman"/>
          <w:bCs/>
          <w:sz w:val="24"/>
          <w:szCs w:val="24"/>
          <w:u w:val="single"/>
        </w:rPr>
        <w:t>Brett Horvath v. City of Leander, Texas</w:t>
      </w:r>
      <w:r w:rsidRPr="00695030">
        <w:rPr>
          <w:rFonts w:ascii="Times New Roman" w:hAnsi="Times New Roman"/>
          <w:bCs/>
          <w:sz w:val="24"/>
          <w:szCs w:val="24"/>
        </w:rPr>
        <w:t>, the U.S. Court of Appeals for the 5</w:t>
      </w:r>
      <w:r w:rsidRPr="00695030">
        <w:rPr>
          <w:rFonts w:ascii="Times New Roman" w:hAnsi="Times New Roman"/>
          <w:bCs/>
          <w:sz w:val="24"/>
          <w:szCs w:val="24"/>
          <w:vertAlign w:val="superscript"/>
        </w:rPr>
        <w:t>th</w:t>
      </w:r>
      <w:r w:rsidRPr="00695030">
        <w:rPr>
          <w:rFonts w:ascii="Times New Roman" w:hAnsi="Times New Roman"/>
          <w:bCs/>
          <w:sz w:val="24"/>
          <w:szCs w:val="24"/>
        </w:rPr>
        <w:t xml:space="preserve"> Circuit (New Orleans), held (3 to 0) that U.S. District Court properly granted the city’s motion for summary judgment.  The firefighter was offered transfer from </w:t>
      </w:r>
      <w:proofErr w:type="gramStart"/>
      <w:r w:rsidRPr="00695030">
        <w:rPr>
          <w:rFonts w:ascii="Times New Roman" w:hAnsi="Times New Roman"/>
          <w:bCs/>
          <w:sz w:val="24"/>
          <w:szCs w:val="24"/>
        </w:rPr>
        <w:t>24/48</w:t>
      </w:r>
      <w:r>
        <w:rPr>
          <w:rFonts w:ascii="Times New Roman" w:hAnsi="Times New Roman"/>
          <w:bCs/>
          <w:sz w:val="24"/>
          <w:szCs w:val="24"/>
        </w:rPr>
        <w:t xml:space="preserve"> </w:t>
      </w:r>
      <w:r w:rsidRPr="00695030">
        <w:rPr>
          <w:rFonts w:ascii="Times New Roman" w:hAnsi="Times New Roman"/>
          <w:bCs/>
          <w:sz w:val="24"/>
          <w:szCs w:val="24"/>
        </w:rPr>
        <w:t>hour</w:t>
      </w:r>
      <w:proofErr w:type="gramEnd"/>
      <w:r w:rsidRPr="00695030">
        <w:rPr>
          <w:rFonts w:ascii="Times New Roman" w:hAnsi="Times New Roman"/>
          <w:bCs/>
          <w:sz w:val="24"/>
          <w:szCs w:val="24"/>
        </w:rPr>
        <w:t xml:space="preserve"> driver / pump operator, to 40-hour code enforcement position; he rejected this since he ran construction company while off duty.  </w:t>
      </w:r>
    </w:p>
    <w:p w14:paraId="26590ECC" w14:textId="77777777" w:rsidR="00C9355B" w:rsidRPr="00695030" w:rsidRDefault="00C9355B" w:rsidP="00C9355B">
      <w:pPr>
        <w:pStyle w:val="NoSpacing"/>
        <w:rPr>
          <w:rFonts w:ascii="Times New Roman" w:hAnsi="Times New Roman"/>
          <w:b/>
          <w:bCs/>
          <w:sz w:val="24"/>
          <w:szCs w:val="24"/>
        </w:rPr>
      </w:pPr>
    </w:p>
    <w:p w14:paraId="41997FDA" w14:textId="77777777" w:rsidR="00C9355B" w:rsidRPr="00695030" w:rsidRDefault="00C9355B" w:rsidP="00C9355B">
      <w:pPr>
        <w:pStyle w:val="NoSpacing"/>
        <w:ind w:left="720"/>
        <w:rPr>
          <w:rFonts w:ascii="Times New Roman" w:hAnsi="Times New Roman"/>
          <w:b/>
          <w:bCs/>
          <w:sz w:val="24"/>
          <w:szCs w:val="24"/>
        </w:rPr>
      </w:pPr>
      <w:r w:rsidRPr="00695030">
        <w:rPr>
          <w:rFonts w:ascii="Times New Roman" w:hAnsi="Times New Roman"/>
          <w:sz w:val="24"/>
          <w:szCs w:val="24"/>
        </w:rPr>
        <w:t xml:space="preserve">“In 2016, the Fire Department began requiring TDAP [Tetanus, Diphtheria, Pertussis Vaccine] vaccinations, to which Horvath objected on religious grounds. He was given a choice between two accommodations: transfer to a code enforcement job that did not require a vaccination, or wear a respirator mask during his shifts, keep a log of his temperature, and submit to additional medical testing. </w:t>
      </w:r>
      <w:r w:rsidRPr="00695030">
        <w:rPr>
          <w:rFonts w:ascii="Times New Roman" w:hAnsi="Times New Roman"/>
          <w:bCs/>
          <w:sz w:val="24"/>
          <w:szCs w:val="24"/>
        </w:rPr>
        <w:t xml:space="preserve">He did not accept either accommodation </w:t>
      </w:r>
      <w:proofErr w:type="gramStart"/>
      <w:r w:rsidRPr="00695030">
        <w:rPr>
          <w:rFonts w:ascii="Times New Roman" w:hAnsi="Times New Roman"/>
          <w:bCs/>
          <w:sz w:val="24"/>
          <w:szCs w:val="24"/>
        </w:rPr>
        <w:t>and</w:t>
      </w:r>
      <w:proofErr w:type="gramEnd"/>
      <w:r w:rsidRPr="00695030">
        <w:rPr>
          <w:rFonts w:ascii="Times New Roman" w:hAnsi="Times New Roman"/>
          <w:bCs/>
          <w:sz w:val="24"/>
          <w:szCs w:val="24"/>
        </w:rPr>
        <w:t xml:space="preserve"> was fired by Fire Chief Bill Gardner for insubordination.</w:t>
      </w:r>
    </w:p>
    <w:p w14:paraId="38CA9C92" w14:textId="77777777" w:rsidR="00C9355B" w:rsidRPr="00695030" w:rsidRDefault="00C9355B" w:rsidP="00C9355B">
      <w:pPr>
        <w:pStyle w:val="NoSpacing"/>
        <w:ind w:left="720"/>
        <w:rPr>
          <w:rFonts w:ascii="Times New Roman" w:hAnsi="Times New Roman"/>
          <w:b/>
          <w:bCs/>
          <w:sz w:val="24"/>
          <w:szCs w:val="24"/>
        </w:rPr>
      </w:pPr>
    </w:p>
    <w:p w14:paraId="4FE566BA" w14:textId="77777777" w:rsidR="00C9355B" w:rsidRPr="00695030" w:rsidRDefault="00C9355B" w:rsidP="00C9355B">
      <w:pPr>
        <w:pStyle w:val="NoSpacing"/>
        <w:ind w:left="720"/>
        <w:rPr>
          <w:rFonts w:ascii="Times New Roman" w:hAnsi="Times New Roman"/>
          <w:b/>
          <w:bCs/>
          <w:sz w:val="24"/>
          <w:szCs w:val="24"/>
        </w:rPr>
      </w:pPr>
      <w:r w:rsidRPr="00695030">
        <w:rPr>
          <w:rFonts w:ascii="Times New Roman" w:hAnsi="Times New Roman"/>
          <w:bCs/>
          <w:sz w:val="24"/>
          <w:szCs w:val="24"/>
        </w:rPr>
        <w:t>***</w:t>
      </w:r>
    </w:p>
    <w:p w14:paraId="2EA2D7AC" w14:textId="77777777" w:rsidR="00C9355B" w:rsidRPr="00695030" w:rsidRDefault="00C9355B" w:rsidP="00C9355B">
      <w:pPr>
        <w:pStyle w:val="NoSpacing"/>
        <w:ind w:left="720"/>
        <w:rPr>
          <w:rFonts w:ascii="Times New Roman" w:hAnsi="Times New Roman"/>
          <w:b/>
          <w:bCs/>
          <w:sz w:val="24"/>
          <w:szCs w:val="24"/>
        </w:rPr>
      </w:pPr>
      <w:r w:rsidRPr="00695030">
        <w:rPr>
          <w:rFonts w:ascii="Times New Roman" w:hAnsi="Times New Roman"/>
          <w:bCs/>
          <w:sz w:val="24"/>
          <w:szCs w:val="24"/>
        </w:rPr>
        <w:t xml:space="preserve">The City argues that its legitimate, non-discriminatory reason for Horvath’s termination was his defiance of a direct order by failing to select an accommodation to the TDAP vaccine policy. The district court found that ‘Horvath was terminated not for engaging in protected activity by opposing a discriminatory practice in a letter, but for failing to comply with a directive that conflicted with his religious beliefs.’ We agree.” </w:t>
      </w:r>
      <w:hyperlink r:id="rId591" w:history="1">
        <w:r w:rsidRPr="00695030">
          <w:rPr>
            <w:rStyle w:val="Hyperlink"/>
            <w:rFonts w:ascii="Times New Roman" w:hAnsi="Times New Roman"/>
            <w:b/>
            <w:sz w:val="24"/>
            <w:szCs w:val="24"/>
          </w:rPr>
          <w:t>http://www.ca5.uscourts.gov/opinions/pub/18/18-51011-CV0.pdf</w:t>
        </w:r>
      </w:hyperlink>
      <w:r w:rsidRPr="00695030">
        <w:rPr>
          <w:rFonts w:ascii="Times New Roman" w:hAnsi="Times New Roman"/>
          <w:bCs/>
          <w:sz w:val="24"/>
          <w:szCs w:val="24"/>
        </w:rPr>
        <w:t xml:space="preserve"> </w:t>
      </w:r>
    </w:p>
    <w:p w14:paraId="496AE991" w14:textId="77777777" w:rsidR="00C9355B" w:rsidRDefault="00C9355B" w:rsidP="00C9355B">
      <w:pPr>
        <w:pStyle w:val="NoSpacing"/>
        <w:rPr>
          <w:rFonts w:ascii="Times New Roman" w:hAnsi="Times New Roman"/>
          <w:b/>
          <w:bCs/>
          <w:sz w:val="24"/>
          <w:szCs w:val="24"/>
        </w:rPr>
      </w:pPr>
    </w:p>
    <w:bookmarkEnd w:id="109"/>
    <w:p w14:paraId="6EE26596" w14:textId="7E6024A6" w:rsidR="00C9355B" w:rsidRPr="00695030" w:rsidRDefault="00C9355B" w:rsidP="00C9355B">
      <w:pPr>
        <w:pStyle w:val="NoSpacing"/>
        <w:rPr>
          <w:rFonts w:ascii="Times New Roman" w:hAnsi="Times New Roman"/>
          <w:b/>
          <w:bCs/>
          <w:sz w:val="24"/>
          <w:szCs w:val="24"/>
        </w:rPr>
      </w:pPr>
      <w:r w:rsidRPr="00695030">
        <w:rPr>
          <w:rFonts w:ascii="Times New Roman" w:hAnsi="Times New Roman"/>
          <w:b/>
          <w:bCs/>
          <w:sz w:val="24"/>
          <w:szCs w:val="24"/>
        </w:rPr>
        <w:t xml:space="preserve">Legal Lessons Learned: The FD offered </w:t>
      </w:r>
      <w:proofErr w:type="gramStart"/>
      <w:r w:rsidRPr="00695030">
        <w:rPr>
          <w:rFonts w:ascii="Times New Roman" w:hAnsi="Times New Roman"/>
          <w:b/>
          <w:bCs/>
          <w:sz w:val="24"/>
          <w:szCs w:val="24"/>
        </w:rPr>
        <w:t>a reasonable</w:t>
      </w:r>
      <w:proofErr w:type="gramEnd"/>
      <w:r w:rsidRPr="00695030">
        <w:rPr>
          <w:rFonts w:ascii="Times New Roman" w:hAnsi="Times New Roman"/>
          <w:b/>
          <w:bCs/>
          <w:sz w:val="24"/>
          <w:szCs w:val="24"/>
        </w:rPr>
        <w:t xml:space="preserve"> accommodation. </w:t>
      </w:r>
    </w:p>
    <w:p w14:paraId="232B8E15" w14:textId="77777777" w:rsidR="00C9355B" w:rsidRDefault="00C9355B" w:rsidP="00EF1133">
      <w:pPr>
        <w:pStyle w:val="NoSpacing"/>
        <w:rPr>
          <w:rFonts w:ascii="Arial Black" w:hAnsi="Arial Black"/>
          <w:sz w:val="24"/>
          <w:szCs w:val="24"/>
        </w:rPr>
      </w:pPr>
    </w:p>
    <w:p w14:paraId="7E7B54C4" w14:textId="77777777" w:rsidR="00C9355B" w:rsidRDefault="00C9355B" w:rsidP="00EF1133">
      <w:pPr>
        <w:pStyle w:val="NoSpacing"/>
        <w:rPr>
          <w:rFonts w:ascii="Arial Black" w:hAnsi="Arial Black"/>
          <w:sz w:val="24"/>
          <w:szCs w:val="24"/>
        </w:rPr>
      </w:pPr>
    </w:p>
    <w:p w14:paraId="47FC28E7" w14:textId="7F9FC087" w:rsidR="00980EAD" w:rsidRDefault="00980EAD" w:rsidP="00EF1133">
      <w:pPr>
        <w:pStyle w:val="NoSpacing"/>
        <w:rPr>
          <w:rFonts w:ascii="Arial Black" w:hAnsi="Arial Black"/>
          <w:sz w:val="24"/>
          <w:szCs w:val="24"/>
        </w:rPr>
      </w:pPr>
      <w:r>
        <w:rPr>
          <w:rFonts w:ascii="Arial Black" w:hAnsi="Arial Black"/>
          <w:sz w:val="24"/>
          <w:szCs w:val="24"/>
        </w:rPr>
        <w:t>2-24</w:t>
      </w:r>
    </w:p>
    <w:p w14:paraId="67A3FDBA" w14:textId="1949C687" w:rsidR="00980EAD" w:rsidRDefault="00980EAD" w:rsidP="00EF1133">
      <w:pPr>
        <w:pStyle w:val="NoSpacing"/>
        <w:rPr>
          <w:rFonts w:ascii="Arial Black" w:hAnsi="Arial Black"/>
          <w:sz w:val="24"/>
          <w:szCs w:val="24"/>
        </w:rPr>
      </w:pPr>
    </w:p>
    <w:p w14:paraId="6776F59D" w14:textId="77777777" w:rsidR="00980EAD" w:rsidRDefault="00980EAD" w:rsidP="00980EAD">
      <w:pPr>
        <w:pStyle w:val="NoSpacing"/>
        <w:rPr>
          <w:rFonts w:ascii="Arial Black" w:hAnsi="Arial Black" w:cstheme="minorBidi"/>
          <w:sz w:val="28"/>
          <w:szCs w:val="28"/>
        </w:rPr>
      </w:pPr>
      <w:r>
        <w:rPr>
          <w:rFonts w:ascii="Arial Black" w:hAnsi="Arial Black"/>
          <w:sz w:val="28"/>
          <w:szCs w:val="28"/>
        </w:rPr>
        <w:lastRenderedPageBreak/>
        <w:t>NY:  FF WORKED WTC – HEART ATTACK / DROWNING – 7-YR APPEAL - MEDICAL BOARD “BAD FAITH”, NO SANCTIONS</w:t>
      </w:r>
    </w:p>
    <w:p w14:paraId="59B97162" w14:textId="77777777" w:rsidR="00980EAD" w:rsidRDefault="00980EAD" w:rsidP="00980EAD">
      <w:pPr>
        <w:pStyle w:val="NoSpacing"/>
        <w:rPr>
          <w:rFonts w:ascii="Arial Black" w:hAnsi="Arial Black"/>
          <w:sz w:val="28"/>
          <w:szCs w:val="28"/>
        </w:rPr>
      </w:pPr>
    </w:p>
    <w:p w14:paraId="3A3FA547" w14:textId="77777777" w:rsidR="00980EAD" w:rsidRDefault="00980EAD" w:rsidP="00980EAD">
      <w:pPr>
        <w:pStyle w:val="NoSpacing"/>
        <w:rPr>
          <w:rFonts w:ascii="Times New Roman" w:hAnsi="Times New Roman"/>
          <w:sz w:val="24"/>
          <w:szCs w:val="24"/>
        </w:rPr>
      </w:pPr>
      <w:r>
        <w:rPr>
          <w:rFonts w:ascii="Times New Roman" w:hAnsi="Times New Roman"/>
          <w:sz w:val="24"/>
          <w:szCs w:val="24"/>
        </w:rPr>
        <w:t xml:space="preserve">On Dec. 4, 2019, in </w:t>
      </w:r>
      <w:r>
        <w:rPr>
          <w:rFonts w:ascii="Times New Roman" w:hAnsi="Times New Roman"/>
          <w:sz w:val="24"/>
          <w:szCs w:val="24"/>
          <w:u w:val="single"/>
        </w:rPr>
        <w:t>Fernandez v. Nigro</w:t>
      </w:r>
      <w:r>
        <w:rPr>
          <w:rFonts w:ascii="Times New Roman" w:hAnsi="Times New Roman"/>
          <w:sz w:val="24"/>
          <w:szCs w:val="24"/>
        </w:rPr>
        <w:t xml:space="preserve">, the Supreme Court of New York / Appellate Division (Second Judicial Department), 2019 NY Slip Opinion 8672, held (3 to 0) that trial judge did not have authority to impose additional sanctions against the Fire Department for “bad faith” in denying benefits for seven years. </w:t>
      </w:r>
    </w:p>
    <w:p w14:paraId="36B4651E" w14:textId="77777777" w:rsidR="00980EAD" w:rsidRDefault="00980EAD" w:rsidP="00980EAD">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“The conduct at issue did not constitute conduct in the proceeding before the court and, therefore, sanctions were not authorized by 22 NYCRR 130-1.1. Further, an award of costs or the imposition of sanctions may be made only after a reasonable opportunity to be heard (see 22 NYCRR 130-1.1[d]). The Supreme Court's </w:t>
      </w:r>
      <w:proofErr w:type="spellStart"/>
      <w:r>
        <w:rPr>
          <w:rFonts w:ascii="Times New Roman" w:eastAsia="Times New Roman" w:hAnsi="Times New Roman"/>
          <w:sz w:val="24"/>
          <w:szCs w:val="24"/>
        </w:rPr>
        <w:t>sua</w:t>
      </w:r>
      <w:proofErr w:type="spellEnd"/>
      <w:r>
        <w:rPr>
          <w:rFonts w:ascii="Times New Roman" w:eastAsia="Times New Roman" w:hAnsi="Times New Roman"/>
          <w:sz w:val="24"/>
          <w:szCs w:val="24"/>
        </w:rPr>
        <w:t xml:space="preserve"> sponte determination to impose sanctions here was made without notice to the parties….Accordingly, the Supreme Court was without authority to impose sanctions, and the order must be reversed insofar as appealed from.” </w:t>
      </w:r>
      <w:hyperlink r:id="rId592" w:history="1">
        <w:r>
          <w:rPr>
            <w:rStyle w:val="Hyperlink"/>
            <w:rFonts w:ascii="Times New Roman" w:eastAsia="Times New Roman" w:hAnsi="Times New Roman"/>
            <w:sz w:val="24"/>
            <w:szCs w:val="24"/>
          </w:rPr>
          <w:t>https://law.justia.com/cases/new-york/appellate-division-second-department/2019/2016-10855.html</w:t>
        </w:r>
      </w:hyperlink>
      <w:r>
        <w:rPr>
          <w:rFonts w:ascii="Times New Roman" w:eastAsia="Times New Roman" w:hAnsi="Times New Roman"/>
          <w:sz w:val="24"/>
          <w:szCs w:val="24"/>
        </w:rPr>
        <w:t xml:space="preserve"> </w:t>
      </w:r>
    </w:p>
    <w:p w14:paraId="7F1C7BF4" w14:textId="77777777" w:rsidR="00980EAD" w:rsidRDefault="00980EAD" w:rsidP="00980EAD">
      <w:pPr>
        <w:pStyle w:val="NoSpacing"/>
        <w:rPr>
          <w:rFonts w:ascii="Times New Roman" w:hAnsi="Times New Roman"/>
          <w:sz w:val="24"/>
          <w:szCs w:val="24"/>
        </w:rPr>
      </w:pPr>
      <w:r>
        <w:rPr>
          <w:rFonts w:ascii="Times New Roman" w:hAnsi="Times New Roman"/>
          <w:b/>
          <w:bCs/>
          <w:sz w:val="24"/>
          <w:szCs w:val="24"/>
        </w:rPr>
        <w:t xml:space="preserve">Legal Lessons Learned: It is unfortunate the NY statute does not allow sanctions, when the trial judge finds that the family of the deceased firefighter was “plainly entitled under the relevant law” to accidental death benefits.   The pension is increased from one-half his salary (taxable) to three-quarters of his salary (tax-free), retroactive to August 23, 2007. </w:t>
      </w:r>
      <w:r>
        <w:rPr>
          <w:rFonts w:ascii="Times New Roman" w:hAnsi="Times New Roman"/>
          <w:sz w:val="24"/>
          <w:szCs w:val="24"/>
        </w:rPr>
        <w:t xml:space="preserve"> </w:t>
      </w:r>
    </w:p>
    <w:p w14:paraId="3E51E97B" w14:textId="02CC2B04" w:rsidR="00980EAD" w:rsidRDefault="00980EAD" w:rsidP="00EF1133">
      <w:pPr>
        <w:pStyle w:val="NoSpacing"/>
        <w:rPr>
          <w:rFonts w:ascii="Arial Black" w:hAnsi="Arial Black"/>
          <w:sz w:val="24"/>
          <w:szCs w:val="24"/>
        </w:rPr>
      </w:pPr>
    </w:p>
    <w:p w14:paraId="01F6E5C8" w14:textId="77777777" w:rsidR="00965872" w:rsidRDefault="00965872" w:rsidP="00EF1133">
      <w:pPr>
        <w:pStyle w:val="NoSpacing"/>
        <w:rPr>
          <w:rFonts w:ascii="Arial Black" w:hAnsi="Arial Black"/>
          <w:sz w:val="24"/>
          <w:szCs w:val="24"/>
        </w:rPr>
      </w:pPr>
    </w:p>
    <w:p w14:paraId="7D3BA50E" w14:textId="77777777" w:rsidR="00965872" w:rsidRDefault="00965872" w:rsidP="00EF1133">
      <w:pPr>
        <w:pStyle w:val="NoSpacing"/>
        <w:rPr>
          <w:rFonts w:ascii="Arial Black" w:hAnsi="Arial Black"/>
          <w:sz w:val="24"/>
          <w:szCs w:val="24"/>
        </w:rPr>
      </w:pPr>
    </w:p>
    <w:p w14:paraId="0F7E83EB" w14:textId="77D9E539" w:rsidR="00A06387" w:rsidRDefault="00980EAD" w:rsidP="00EF1133">
      <w:pPr>
        <w:pStyle w:val="NoSpacing"/>
        <w:rPr>
          <w:rFonts w:ascii="Arial Black" w:hAnsi="Arial Black"/>
          <w:sz w:val="24"/>
          <w:szCs w:val="24"/>
        </w:rPr>
      </w:pPr>
      <w:r>
        <w:rPr>
          <w:rFonts w:ascii="Arial Black" w:hAnsi="Arial Black"/>
          <w:sz w:val="24"/>
          <w:szCs w:val="24"/>
        </w:rPr>
        <w:t>2-23</w:t>
      </w:r>
    </w:p>
    <w:p w14:paraId="66B4C5DE" w14:textId="4017B6AE" w:rsidR="00A52325" w:rsidRDefault="00A52325" w:rsidP="00EF1133">
      <w:pPr>
        <w:pStyle w:val="NoSpacing"/>
        <w:rPr>
          <w:rFonts w:ascii="Arial Black" w:hAnsi="Arial Black"/>
          <w:sz w:val="24"/>
          <w:szCs w:val="24"/>
        </w:rPr>
      </w:pPr>
    </w:p>
    <w:p w14:paraId="5DB6A22C" w14:textId="77777777" w:rsidR="00A52325" w:rsidRDefault="00A52325" w:rsidP="00A52325">
      <w:pPr>
        <w:rPr>
          <w:rFonts w:ascii="Arial Black" w:hAnsi="Arial Black"/>
          <w:sz w:val="28"/>
          <w:szCs w:val="28"/>
        </w:rPr>
      </w:pPr>
      <w:r>
        <w:rPr>
          <w:rFonts w:ascii="Arial Black" w:hAnsi="Arial Black"/>
          <w:sz w:val="28"/>
          <w:szCs w:val="28"/>
        </w:rPr>
        <w:t>NV: HEART ATTACK - FF ENTITLED WORKERS COMP – WAS DIETING, WORKING OUT TO LOWER WEIGHT, COLLESTEROL</w:t>
      </w:r>
    </w:p>
    <w:p w14:paraId="42784EBF" w14:textId="77777777" w:rsidR="00A52325" w:rsidRDefault="00A52325" w:rsidP="00A52325">
      <w:pPr>
        <w:pStyle w:val="Heading1"/>
        <w:rPr>
          <w:b w:val="0"/>
          <w:bCs w:val="0"/>
          <w:sz w:val="24"/>
          <w:szCs w:val="24"/>
        </w:rPr>
      </w:pPr>
      <w:r>
        <w:rPr>
          <w:b w:val="0"/>
          <w:bCs w:val="0"/>
          <w:sz w:val="24"/>
          <w:szCs w:val="24"/>
        </w:rPr>
        <w:t xml:space="preserve">On Nov. 13, 2019, in </w:t>
      </w:r>
      <w:r>
        <w:rPr>
          <w:b w:val="0"/>
          <w:bCs w:val="0"/>
          <w:sz w:val="24"/>
          <w:szCs w:val="24"/>
          <w:u w:val="single"/>
        </w:rPr>
        <w:t>City of Las Vegas v. Burns</w:t>
      </w:r>
      <w:r>
        <w:rPr>
          <w:b w:val="0"/>
          <w:bCs w:val="0"/>
          <w:sz w:val="24"/>
          <w:szCs w:val="24"/>
        </w:rPr>
        <w:t xml:space="preserve">, the Court of Appeals of Nevada, held (3 to 0) that despite the firefighter’s predisposition for a heart attack, he was entitled to workers comp coverage, upholding trial court which had overturned administrative appeals officer. </w:t>
      </w:r>
    </w:p>
    <w:p w14:paraId="014CC6A2" w14:textId="24DE4B68" w:rsidR="00A52325" w:rsidRDefault="00A52325" w:rsidP="00A52325">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“Moreover, there is not substantial evidence in the record to indicate that Burns </w:t>
      </w:r>
      <w:proofErr w:type="gramStart"/>
      <w:r>
        <w:rPr>
          <w:rFonts w:ascii="Times New Roman" w:eastAsia="Times New Roman" w:hAnsi="Times New Roman"/>
          <w:sz w:val="24"/>
          <w:szCs w:val="24"/>
        </w:rPr>
        <w:t>was capable of reducing</w:t>
      </w:r>
      <w:proofErr w:type="gramEnd"/>
      <w:r>
        <w:rPr>
          <w:rFonts w:ascii="Times New Roman" w:eastAsia="Times New Roman" w:hAnsi="Times New Roman"/>
          <w:sz w:val="24"/>
          <w:szCs w:val="24"/>
        </w:rPr>
        <w:t xml:space="preserve"> his cholesterol, triglycerides, or weight by dieting and exercising. To the contrary, the record indicates that, following his required annual physicals in 2010, 2011, and 2012, the physicians' assessments and recommendations indicate Burns ‘continue[s] to do an excellent job maintaining [his] health;’ that he should ‘[k]</w:t>
      </w:r>
      <w:proofErr w:type="spellStart"/>
      <w:r>
        <w:rPr>
          <w:rFonts w:ascii="Times New Roman" w:eastAsia="Times New Roman" w:hAnsi="Times New Roman"/>
          <w:sz w:val="24"/>
          <w:szCs w:val="24"/>
        </w:rPr>
        <w:t>eep</w:t>
      </w:r>
      <w:proofErr w:type="spellEnd"/>
      <w:r>
        <w:rPr>
          <w:rFonts w:ascii="Times New Roman" w:eastAsia="Times New Roman" w:hAnsi="Times New Roman"/>
          <w:sz w:val="24"/>
          <w:szCs w:val="24"/>
        </w:rPr>
        <w:t xml:space="preserve"> up [his] exercise regimen ... it's doing great for [him];’ and that he was ‘doing well maintaining [his] health.’  In 2012, the physician noted that although his ‘bad’ cholesterol and triglycerides were high, Burns was taking fish oil supplements as previously directed by his private physician and his total cholesterol was fine. Thus, the physicians' reports indicate that Burns was doing what he was instructed to do, he was exercising and taking supplements, and despite that, his predisposing factors did not change, which reflects that he </w:t>
      </w:r>
      <w:proofErr w:type="gramStart"/>
      <w:r>
        <w:rPr>
          <w:rFonts w:ascii="Times New Roman" w:eastAsia="Times New Roman" w:hAnsi="Times New Roman"/>
          <w:sz w:val="24"/>
          <w:szCs w:val="24"/>
        </w:rPr>
        <w:t>was not capable of correcting</w:t>
      </w:r>
      <w:proofErr w:type="gramEnd"/>
      <w:r>
        <w:rPr>
          <w:rFonts w:ascii="Times New Roman" w:eastAsia="Times New Roman" w:hAnsi="Times New Roman"/>
          <w:sz w:val="24"/>
          <w:szCs w:val="24"/>
        </w:rPr>
        <w:t xml:space="preserve"> his predisposing conditions. </w:t>
      </w:r>
    </w:p>
    <w:p w14:paraId="796CEA59" w14:textId="77777777" w:rsidR="00A52325" w:rsidRDefault="00A52325" w:rsidP="00A52325">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Because there is no evidence in the record to support the conclusion that correcting Burns' predisposing conditions was within his ability, we necessarily hold that the appeals officer's conclusion is not supported by substantial evidence. </w:t>
      </w:r>
      <w:hyperlink r:id="rId593" w:history="1">
        <w:r>
          <w:rPr>
            <w:rStyle w:val="Hyperlink"/>
            <w:rFonts w:ascii="Times New Roman" w:eastAsia="Times New Roman" w:hAnsi="Times New Roman"/>
            <w:sz w:val="24"/>
            <w:szCs w:val="24"/>
          </w:rPr>
          <w:t>https://www.leagle.com/decision/innvco20191115257</w:t>
        </w:r>
      </w:hyperlink>
      <w:r>
        <w:rPr>
          <w:rFonts w:ascii="Times New Roman" w:eastAsia="Times New Roman" w:hAnsi="Times New Roman"/>
          <w:sz w:val="24"/>
          <w:szCs w:val="24"/>
        </w:rPr>
        <w:t xml:space="preserve"> </w:t>
      </w:r>
    </w:p>
    <w:p w14:paraId="2FF6317D" w14:textId="77777777" w:rsidR="00A52325" w:rsidRDefault="00A52325" w:rsidP="00A52325">
      <w:pPr>
        <w:pStyle w:val="NormalWeb"/>
        <w:rPr>
          <w:b/>
          <w:bCs/>
        </w:rPr>
      </w:pPr>
      <w:r>
        <w:rPr>
          <w:b/>
          <w:bCs/>
        </w:rPr>
        <w:lastRenderedPageBreak/>
        <w:t xml:space="preserve">Legal Lessons Learned:  The statutory requirement that firefighters must seek to correct their “predisposing condition” to cardiac problems makes lots of sense. </w:t>
      </w:r>
    </w:p>
    <w:p w14:paraId="30CCA797" w14:textId="77777777" w:rsidR="00965872" w:rsidRDefault="00965872" w:rsidP="00EF1133">
      <w:pPr>
        <w:pStyle w:val="NoSpacing"/>
        <w:rPr>
          <w:rFonts w:ascii="Arial Black" w:hAnsi="Arial Black"/>
          <w:sz w:val="24"/>
          <w:szCs w:val="24"/>
        </w:rPr>
      </w:pPr>
    </w:p>
    <w:p w14:paraId="3C9F69A5" w14:textId="77777777" w:rsidR="00965872" w:rsidRDefault="00965872" w:rsidP="00EF1133">
      <w:pPr>
        <w:pStyle w:val="NoSpacing"/>
        <w:rPr>
          <w:rFonts w:ascii="Arial Black" w:hAnsi="Arial Black"/>
          <w:sz w:val="24"/>
          <w:szCs w:val="24"/>
        </w:rPr>
      </w:pPr>
    </w:p>
    <w:p w14:paraId="0512471E" w14:textId="364628FE" w:rsidR="00980EAD" w:rsidRDefault="00980EAD" w:rsidP="00EF1133">
      <w:pPr>
        <w:pStyle w:val="NoSpacing"/>
        <w:rPr>
          <w:rFonts w:ascii="Arial Black" w:hAnsi="Arial Black"/>
          <w:sz w:val="24"/>
          <w:szCs w:val="24"/>
        </w:rPr>
      </w:pPr>
      <w:r>
        <w:rPr>
          <w:rFonts w:ascii="Arial Black" w:hAnsi="Arial Black"/>
          <w:sz w:val="24"/>
          <w:szCs w:val="24"/>
        </w:rPr>
        <w:t>2-22</w:t>
      </w:r>
    </w:p>
    <w:p w14:paraId="6EA83345" w14:textId="77777777" w:rsidR="00980EAD" w:rsidRDefault="00980EAD" w:rsidP="00EF1133">
      <w:pPr>
        <w:pStyle w:val="NoSpacing"/>
        <w:rPr>
          <w:rFonts w:ascii="Arial Black" w:hAnsi="Arial Black"/>
          <w:sz w:val="24"/>
          <w:szCs w:val="24"/>
        </w:rPr>
      </w:pPr>
    </w:p>
    <w:p w14:paraId="5558B3B7" w14:textId="2570797A" w:rsidR="00A06387" w:rsidRDefault="00A06387" w:rsidP="00A06387">
      <w:pPr>
        <w:pStyle w:val="NoSpacing"/>
        <w:rPr>
          <w:rFonts w:ascii="Arial Black" w:hAnsi="Arial Black"/>
          <w:sz w:val="28"/>
          <w:szCs w:val="28"/>
        </w:rPr>
      </w:pPr>
      <w:r w:rsidRPr="003F65F5">
        <w:rPr>
          <w:rFonts w:ascii="Arial Black" w:hAnsi="Arial Black"/>
          <w:sz w:val="28"/>
          <w:szCs w:val="28"/>
        </w:rPr>
        <w:t xml:space="preserve">WA: </w:t>
      </w:r>
      <w:r>
        <w:rPr>
          <w:rFonts w:ascii="Arial Black" w:hAnsi="Arial Black"/>
          <w:sz w:val="28"/>
          <w:szCs w:val="28"/>
        </w:rPr>
        <w:t>UNION PROPOSAL INCREASE IN MINUMUM STAFFING – MANDATORY SUBJECT FOR COLLECTIVE BARGAINING</w:t>
      </w:r>
    </w:p>
    <w:p w14:paraId="46F3545D" w14:textId="77777777" w:rsidR="00A06387" w:rsidRDefault="00A06387" w:rsidP="00A06387">
      <w:pPr>
        <w:pStyle w:val="NoSpacing"/>
        <w:rPr>
          <w:rFonts w:ascii="Arial Black" w:hAnsi="Arial Black"/>
          <w:sz w:val="28"/>
          <w:szCs w:val="28"/>
        </w:rPr>
      </w:pPr>
    </w:p>
    <w:p w14:paraId="7FF8484D" w14:textId="77777777" w:rsidR="00A06387" w:rsidRDefault="00A06387" w:rsidP="00A06387">
      <w:pPr>
        <w:pStyle w:val="NoSpacing"/>
        <w:rPr>
          <w:rFonts w:ascii="On Times New Roman" w:hAnsi="On Times New Roman"/>
          <w:b/>
          <w:bCs/>
          <w:sz w:val="24"/>
          <w:szCs w:val="24"/>
        </w:rPr>
      </w:pPr>
      <w:r>
        <w:rPr>
          <w:rFonts w:ascii="On Times New Roman" w:hAnsi="On Times New Roman"/>
          <w:bCs/>
          <w:sz w:val="24"/>
          <w:szCs w:val="24"/>
        </w:rPr>
        <w:t xml:space="preserve">On Oct. 28, 2019, in </w:t>
      </w:r>
      <w:r w:rsidRPr="00BA0F0A">
        <w:rPr>
          <w:rFonts w:ascii="On Times New Roman" w:hAnsi="On Times New Roman"/>
          <w:bCs/>
          <w:sz w:val="24"/>
          <w:szCs w:val="24"/>
          <w:u w:val="single"/>
        </w:rPr>
        <w:t>City of Everett v. State of Washington Public Employment Relations Commission</w:t>
      </w:r>
      <w:r>
        <w:rPr>
          <w:rFonts w:ascii="On Times New Roman" w:hAnsi="On Times New Roman"/>
          <w:bCs/>
          <w:sz w:val="24"/>
          <w:szCs w:val="24"/>
        </w:rPr>
        <w:t xml:space="preserve">, the State of Washington Court of Appeals, held (3 to 0) that shift staffing has a direct relationship to workload and safety, and therefore is a mandatory subject of collective bargaining (union wants to increase from 28 to 35 per shift). </w:t>
      </w:r>
    </w:p>
    <w:p w14:paraId="72FAADFA" w14:textId="77777777" w:rsidR="00A06387" w:rsidRDefault="00A06387" w:rsidP="00A06387">
      <w:pPr>
        <w:pStyle w:val="NoSpacing"/>
        <w:rPr>
          <w:rFonts w:ascii="On Times New Roman" w:hAnsi="On Times New Roman"/>
          <w:b/>
          <w:bCs/>
          <w:sz w:val="24"/>
          <w:szCs w:val="24"/>
        </w:rPr>
      </w:pPr>
    </w:p>
    <w:p w14:paraId="15F14157" w14:textId="77777777" w:rsidR="00A06387" w:rsidRPr="00965872" w:rsidRDefault="00A06387" w:rsidP="00A06387">
      <w:pPr>
        <w:pStyle w:val="NoSpacing"/>
        <w:ind w:left="720"/>
        <w:rPr>
          <w:rFonts w:ascii="Times New Roman" w:hAnsi="Times New Roman"/>
          <w:b/>
          <w:bCs/>
          <w:sz w:val="24"/>
          <w:szCs w:val="24"/>
        </w:rPr>
      </w:pPr>
      <w:r w:rsidRPr="00965872">
        <w:rPr>
          <w:rFonts w:ascii="Times New Roman" w:hAnsi="Times New Roman"/>
          <w:bCs/>
          <w:sz w:val="24"/>
          <w:szCs w:val="24"/>
        </w:rPr>
        <w:t>“We conclude PERC did not err in balancing the strong fundamental prerogative of the City on shift staffing and the unrebutted workload and safety testimony, and substantial evidence supports PERC finding the Union demonstrated a direct relationship between the Union proposal to increase the minimum number of crew on each shift and the workload and safety of the firefighters and paramedics. We affirm the PERC decision.”</w:t>
      </w:r>
    </w:p>
    <w:p w14:paraId="63646146" w14:textId="77777777" w:rsidR="00A06387" w:rsidRPr="00965872" w:rsidRDefault="00A06387" w:rsidP="00A06387">
      <w:pPr>
        <w:pStyle w:val="NoSpacing"/>
        <w:rPr>
          <w:rFonts w:ascii="Times New Roman" w:hAnsi="Times New Roman"/>
          <w:b/>
          <w:bCs/>
          <w:sz w:val="24"/>
          <w:szCs w:val="24"/>
        </w:rPr>
      </w:pPr>
      <w:r w:rsidRPr="00965872">
        <w:rPr>
          <w:rFonts w:ascii="Times New Roman" w:hAnsi="Times New Roman"/>
          <w:bCs/>
          <w:sz w:val="24"/>
          <w:szCs w:val="24"/>
        </w:rPr>
        <w:tab/>
      </w:r>
      <w:hyperlink r:id="rId594" w:history="1">
        <w:r w:rsidRPr="00965872">
          <w:rPr>
            <w:rStyle w:val="Hyperlink"/>
            <w:rFonts w:ascii="Times New Roman" w:hAnsi="Times New Roman"/>
            <w:bCs/>
            <w:sz w:val="24"/>
            <w:szCs w:val="24"/>
          </w:rPr>
          <w:t>https://www.courts.wa.gov/opinions/pdf/778315.pdf</w:t>
        </w:r>
      </w:hyperlink>
      <w:r w:rsidRPr="00965872">
        <w:rPr>
          <w:rFonts w:ascii="Times New Roman" w:hAnsi="Times New Roman"/>
          <w:bCs/>
          <w:sz w:val="24"/>
          <w:szCs w:val="24"/>
        </w:rPr>
        <w:t xml:space="preserve"> </w:t>
      </w:r>
    </w:p>
    <w:p w14:paraId="41E8560A" w14:textId="77777777" w:rsidR="00965872" w:rsidRDefault="00965872" w:rsidP="00A06387">
      <w:pPr>
        <w:pStyle w:val="NoSpacing"/>
        <w:rPr>
          <w:b/>
          <w:bCs/>
          <w:sz w:val="24"/>
          <w:szCs w:val="24"/>
        </w:rPr>
      </w:pPr>
    </w:p>
    <w:p w14:paraId="6F337DDD" w14:textId="11B4031E" w:rsidR="00A06387" w:rsidRPr="00965872" w:rsidRDefault="00A06387" w:rsidP="00A06387">
      <w:pPr>
        <w:pStyle w:val="NoSpacing"/>
        <w:rPr>
          <w:rFonts w:ascii="Times New Roman" w:hAnsi="Times New Roman"/>
          <w:b/>
          <w:bCs/>
          <w:sz w:val="24"/>
          <w:szCs w:val="24"/>
        </w:rPr>
      </w:pPr>
      <w:r w:rsidRPr="00965872">
        <w:rPr>
          <w:rFonts w:ascii="Times New Roman" w:hAnsi="Times New Roman"/>
          <w:b/>
          <w:bCs/>
          <w:sz w:val="24"/>
          <w:szCs w:val="24"/>
        </w:rPr>
        <w:t xml:space="preserve">Legal Lessons Learned: Fire &amp; EMS officials need to consult with legal counsel in their State concerning whether minimum staffing is a </w:t>
      </w:r>
      <w:proofErr w:type="gramStart"/>
      <w:r w:rsidRPr="00965872">
        <w:rPr>
          <w:rFonts w:ascii="Times New Roman" w:hAnsi="Times New Roman"/>
          <w:b/>
          <w:bCs/>
          <w:sz w:val="24"/>
          <w:szCs w:val="24"/>
        </w:rPr>
        <w:t>subject</w:t>
      </w:r>
      <w:proofErr w:type="gramEnd"/>
      <w:r w:rsidRPr="00965872">
        <w:rPr>
          <w:rFonts w:ascii="Times New Roman" w:hAnsi="Times New Roman"/>
          <w:b/>
          <w:bCs/>
          <w:sz w:val="24"/>
          <w:szCs w:val="24"/>
        </w:rPr>
        <w:t xml:space="preserve"> mandatory bargaining.</w:t>
      </w:r>
    </w:p>
    <w:p w14:paraId="45CFF0E1" w14:textId="77777777" w:rsidR="00A06387" w:rsidRDefault="00A06387" w:rsidP="00EF1133">
      <w:pPr>
        <w:pStyle w:val="NoSpacing"/>
        <w:rPr>
          <w:rFonts w:ascii="Arial Black" w:hAnsi="Arial Black"/>
          <w:sz w:val="24"/>
          <w:szCs w:val="24"/>
        </w:rPr>
      </w:pPr>
    </w:p>
    <w:p w14:paraId="59DA41C4" w14:textId="77777777" w:rsidR="00A52325" w:rsidRDefault="00A52325" w:rsidP="00EF1133">
      <w:pPr>
        <w:pStyle w:val="NoSpacing"/>
        <w:rPr>
          <w:rFonts w:ascii="Arial Black" w:hAnsi="Arial Black"/>
          <w:sz w:val="24"/>
          <w:szCs w:val="24"/>
        </w:rPr>
      </w:pPr>
    </w:p>
    <w:p w14:paraId="6BD62E6C" w14:textId="77777777" w:rsidR="00A52325" w:rsidRDefault="00A52325" w:rsidP="00EF1133">
      <w:pPr>
        <w:pStyle w:val="NoSpacing"/>
        <w:rPr>
          <w:rFonts w:ascii="Arial Black" w:hAnsi="Arial Black"/>
          <w:sz w:val="24"/>
          <w:szCs w:val="24"/>
        </w:rPr>
      </w:pPr>
    </w:p>
    <w:p w14:paraId="66A98D3E" w14:textId="77777777" w:rsidR="00A52325" w:rsidRDefault="00A52325" w:rsidP="00EF1133">
      <w:pPr>
        <w:pStyle w:val="NoSpacing"/>
        <w:rPr>
          <w:rFonts w:ascii="Arial Black" w:hAnsi="Arial Black"/>
          <w:sz w:val="24"/>
          <w:szCs w:val="24"/>
        </w:rPr>
      </w:pPr>
    </w:p>
    <w:p w14:paraId="7FD54964" w14:textId="12BFE464" w:rsidR="00853142" w:rsidRDefault="00853142" w:rsidP="00EF1133">
      <w:pPr>
        <w:pStyle w:val="NoSpacing"/>
        <w:rPr>
          <w:rFonts w:ascii="Arial Black" w:hAnsi="Arial Black"/>
          <w:sz w:val="24"/>
          <w:szCs w:val="24"/>
        </w:rPr>
      </w:pPr>
      <w:r>
        <w:rPr>
          <w:rFonts w:ascii="Arial Black" w:hAnsi="Arial Black"/>
          <w:sz w:val="24"/>
          <w:szCs w:val="24"/>
        </w:rPr>
        <w:t>2-</w:t>
      </w:r>
      <w:r w:rsidR="00D07E6E">
        <w:rPr>
          <w:rFonts w:ascii="Arial Black" w:hAnsi="Arial Black"/>
          <w:sz w:val="24"/>
          <w:szCs w:val="24"/>
        </w:rPr>
        <w:t>2</w:t>
      </w:r>
      <w:r w:rsidR="00A52325">
        <w:rPr>
          <w:rFonts w:ascii="Arial Black" w:hAnsi="Arial Black"/>
          <w:sz w:val="24"/>
          <w:szCs w:val="24"/>
        </w:rPr>
        <w:t>1</w:t>
      </w:r>
    </w:p>
    <w:p w14:paraId="5BED5B65" w14:textId="3BD822FC" w:rsidR="00853142" w:rsidRDefault="00853142" w:rsidP="00EF1133">
      <w:pPr>
        <w:pStyle w:val="NoSpacing"/>
        <w:rPr>
          <w:rFonts w:ascii="Arial Black" w:hAnsi="Arial Black"/>
          <w:sz w:val="24"/>
          <w:szCs w:val="24"/>
        </w:rPr>
      </w:pPr>
    </w:p>
    <w:p w14:paraId="780682F7" w14:textId="77777777" w:rsidR="00853142" w:rsidRPr="007438B9" w:rsidRDefault="00853142" w:rsidP="00853142">
      <w:pPr>
        <w:pStyle w:val="NoSpacing"/>
        <w:rPr>
          <w:rFonts w:ascii="Arial Black" w:hAnsi="Arial Black"/>
          <w:sz w:val="28"/>
          <w:szCs w:val="28"/>
        </w:rPr>
      </w:pPr>
      <w:r w:rsidRPr="007438B9">
        <w:rPr>
          <w:rFonts w:ascii="Arial Black" w:hAnsi="Arial Black"/>
          <w:sz w:val="28"/>
          <w:szCs w:val="28"/>
        </w:rPr>
        <w:t xml:space="preserve">KY: </w:t>
      </w:r>
      <w:r>
        <w:rPr>
          <w:rFonts w:ascii="Arial Black" w:hAnsi="Arial Black"/>
          <w:sz w:val="28"/>
          <w:szCs w:val="28"/>
        </w:rPr>
        <w:t xml:space="preserve">FF’s STRENOUUS RETURN-TO-WORK PHYSICAL FITNESS TEST – HEART ATTACK SAME DAY – PRIOR HEALTH PROB - NOT LODD   </w:t>
      </w:r>
    </w:p>
    <w:p w14:paraId="2CDB2369" w14:textId="77777777" w:rsidR="00853142" w:rsidRDefault="00853142" w:rsidP="00853142">
      <w:pPr>
        <w:pStyle w:val="NoSpacing"/>
      </w:pPr>
    </w:p>
    <w:p w14:paraId="167A21C2" w14:textId="6533170C" w:rsidR="00853142" w:rsidRPr="00015208" w:rsidRDefault="00853142" w:rsidP="00853142">
      <w:pPr>
        <w:spacing w:after="0" w:line="240" w:lineRule="auto"/>
        <w:rPr>
          <w:rFonts w:ascii="Times New Roman" w:eastAsia="Times New Roman" w:hAnsi="Times New Roman"/>
          <w:sz w:val="24"/>
          <w:szCs w:val="24"/>
        </w:rPr>
      </w:pPr>
      <w:r w:rsidRPr="00015208">
        <w:rPr>
          <w:rFonts w:ascii="Times New Roman" w:eastAsia="Times New Roman" w:hAnsi="Times New Roman"/>
          <w:sz w:val="24"/>
          <w:szCs w:val="24"/>
        </w:rPr>
        <w:t xml:space="preserve">On </w:t>
      </w:r>
      <w:bookmarkStart w:id="110" w:name="_Hlk39822838"/>
      <w:r w:rsidRPr="00015208">
        <w:rPr>
          <w:rFonts w:ascii="Times New Roman" w:eastAsia="Times New Roman" w:hAnsi="Times New Roman"/>
          <w:sz w:val="24"/>
          <w:szCs w:val="24"/>
        </w:rPr>
        <w:t xml:space="preserve">Sept. 20, 2019, in </w:t>
      </w:r>
      <w:r w:rsidRPr="00015208">
        <w:rPr>
          <w:rFonts w:ascii="Times New Roman" w:eastAsia="Times New Roman" w:hAnsi="Times New Roman"/>
          <w:sz w:val="24"/>
          <w:szCs w:val="24"/>
          <w:u w:val="single"/>
        </w:rPr>
        <w:t>Sharon Jenkins v. Kentucky Retirement Systems</w:t>
      </w:r>
      <w:bookmarkEnd w:id="110"/>
      <w:r w:rsidRPr="00015208">
        <w:rPr>
          <w:rFonts w:ascii="Times New Roman" w:eastAsia="Times New Roman" w:hAnsi="Times New Roman"/>
          <w:sz w:val="24"/>
          <w:szCs w:val="24"/>
        </w:rPr>
        <w:t xml:space="preserve">, the Kentucky Court of Appeals held (3 to 0; unpublished opinion) that the Retirement Board properly denied wife of deceased firefighter “line-of-duty” death benefits, but she is entitled to “basic” death benefits.   LODD benefits would have include </w:t>
      </w:r>
      <w:r w:rsidRPr="00015208">
        <w:rPr>
          <w:rFonts w:ascii="Times New Roman" w:hAnsi="Times New Roman"/>
          <w:sz w:val="24"/>
          <w:szCs w:val="24"/>
        </w:rPr>
        <w:t>lump sum of $10,000 and a monthly payment equal to 10% of Malcolm’s monthly final rate of pay; “Basic” benefits were an actuarial fund, or a lump sum.</w:t>
      </w:r>
      <w:r w:rsidR="00025B22">
        <w:rPr>
          <w:rFonts w:ascii="Times New Roman" w:hAnsi="Times New Roman"/>
          <w:sz w:val="24"/>
          <w:szCs w:val="24"/>
        </w:rPr>
        <w:t xml:space="preserve"> </w:t>
      </w:r>
      <w:r w:rsidRPr="00015208">
        <w:rPr>
          <w:rFonts w:ascii="Times New Roman" w:eastAsia="Times New Roman" w:hAnsi="Times New Roman"/>
          <w:sz w:val="24"/>
          <w:szCs w:val="24"/>
        </w:rPr>
        <w:tab/>
        <w:t xml:space="preserve">Judge Kelly Thompson wrote: </w:t>
      </w:r>
    </w:p>
    <w:p w14:paraId="666DD0E3" w14:textId="77777777" w:rsidR="00853142" w:rsidRPr="00015208" w:rsidRDefault="00853142" w:rsidP="00853142">
      <w:pPr>
        <w:spacing w:after="0" w:line="240" w:lineRule="auto"/>
        <w:rPr>
          <w:rFonts w:ascii="Times New Roman" w:eastAsia="Times New Roman" w:hAnsi="Times New Roman"/>
          <w:sz w:val="24"/>
          <w:szCs w:val="24"/>
        </w:rPr>
      </w:pPr>
    </w:p>
    <w:p w14:paraId="3C772CCD" w14:textId="77777777" w:rsidR="00025B22" w:rsidRPr="00015208" w:rsidRDefault="00853142" w:rsidP="00025B22">
      <w:pPr>
        <w:spacing w:after="0" w:line="240" w:lineRule="auto"/>
        <w:ind w:left="720"/>
        <w:rPr>
          <w:rFonts w:ascii="Times New Roman" w:eastAsia="Times New Roman" w:hAnsi="Times New Roman"/>
          <w:sz w:val="24"/>
          <w:szCs w:val="24"/>
        </w:rPr>
      </w:pPr>
      <w:r w:rsidRPr="00015208">
        <w:rPr>
          <w:rFonts w:ascii="Times New Roman" w:eastAsia="Times New Roman" w:hAnsi="Times New Roman"/>
          <w:sz w:val="24"/>
          <w:szCs w:val="24"/>
        </w:rPr>
        <w:t xml:space="preserve">“Sharon [Jenkins] points out that under federal law providing death benefits to federal safety </w:t>
      </w:r>
      <w:proofErr w:type="gramStart"/>
      <w:r w:rsidRPr="00015208">
        <w:rPr>
          <w:rFonts w:ascii="Times New Roman" w:eastAsia="Times New Roman" w:hAnsi="Times New Roman"/>
          <w:sz w:val="24"/>
          <w:szCs w:val="24"/>
        </w:rPr>
        <w:t>officers,</w:t>
      </w:r>
      <w:proofErr w:type="gramEnd"/>
      <w:r w:rsidRPr="00015208">
        <w:rPr>
          <w:rFonts w:ascii="Times New Roman" w:eastAsia="Times New Roman" w:hAnsi="Times New Roman"/>
          <w:sz w:val="24"/>
          <w:szCs w:val="24"/>
        </w:rPr>
        <w:t xml:space="preserve"> it is presumed that a fatal heart attack occurring within 24 hours of a nonroutine stressful or strenuous physical activity in the line of duty is presumed to be the direct and proximate result of that activity. 34 United States Code §10281. While such a presumption might resolve some of the inherent difficulty in determining the cause of a cardiac event, that same presumption is not found in KRS16.601. ‘As administrative agencies are creatures of statute,’ this Court cannot require that such a presumption be applied to claims for in-line-of-duty death benefits. Kentucky Retirement Systems v. Bowens, 281 </w:t>
      </w:r>
      <w:r w:rsidRPr="00015208">
        <w:rPr>
          <w:rFonts w:ascii="Times New Roman" w:eastAsia="Times New Roman" w:hAnsi="Times New Roman"/>
          <w:sz w:val="24"/>
          <w:szCs w:val="24"/>
        </w:rPr>
        <w:lastRenderedPageBreak/>
        <w:t>S.W.3d 776,784 (Ky. 2009).”</w:t>
      </w:r>
      <w:r w:rsidR="00025B22">
        <w:rPr>
          <w:rFonts w:ascii="Times New Roman" w:eastAsia="Times New Roman" w:hAnsi="Times New Roman"/>
          <w:sz w:val="24"/>
          <w:szCs w:val="24"/>
        </w:rPr>
        <w:t xml:space="preserve"> </w:t>
      </w:r>
      <w:bookmarkStart w:id="111" w:name="_Hlk39822879"/>
      <w:r w:rsidR="00025B22">
        <w:fldChar w:fldCharType="begin"/>
      </w:r>
      <w:r w:rsidR="00025B22">
        <w:instrText xml:space="preserve"> HYPERLINK "https://cases.justia.com/kentucky/court-of-appeals/2019-2018-ca-000395-mr.pdf?ts=1568988148" </w:instrText>
      </w:r>
      <w:r w:rsidR="00025B22">
        <w:fldChar w:fldCharType="separate"/>
      </w:r>
      <w:r w:rsidR="00025B22" w:rsidRPr="00015208">
        <w:rPr>
          <w:rStyle w:val="Hyperlink"/>
          <w:rFonts w:ascii="Times New Roman" w:eastAsia="Times New Roman" w:hAnsi="Times New Roman"/>
          <w:sz w:val="24"/>
          <w:szCs w:val="24"/>
        </w:rPr>
        <w:t>https://cases.justia.com/kentucky/court-of-appeals/2019-2018-ca-000395-mr.pdf?ts=1568988148</w:t>
      </w:r>
      <w:r w:rsidR="00025B22">
        <w:rPr>
          <w:rStyle w:val="Hyperlink"/>
          <w:rFonts w:ascii="Times New Roman" w:eastAsia="Times New Roman" w:hAnsi="Times New Roman"/>
          <w:sz w:val="24"/>
          <w:szCs w:val="24"/>
        </w:rPr>
        <w:fldChar w:fldCharType="end"/>
      </w:r>
      <w:r w:rsidR="00025B22" w:rsidRPr="00015208">
        <w:rPr>
          <w:rFonts w:ascii="Times New Roman" w:eastAsia="Times New Roman" w:hAnsi="Times New Roman"/>
          <w:sz w:val="24"/>
          <w:szCs w:val="24"/>
        </w:rPr>
        <w:t xml:space="preserve"> </w:t>
      </w:r>
    </w:p>
    <w:p w14:paraId="42FE7EA4" w14:textId="77777777" w:rsidR="00025B22" w:rsidRPr="00015208" w:rsidRDefault="00025B22" w:rsidP="00025B22">
      <w:pPr>
        <w:spacing w:after="0" w:line="240" w:lineRule="auto"/>
        <w:rPr>
          <w:rFonts w:ascii="Times New Roman" w:eastAsia="Times New Roman" w:hAnsi="Times New Roman"/>
          <w:sz w:val="24"/>
          <w:szCs w:val="24"/>
        </w:rPr>
      </w:pPr>
    </w:p>
    <w:bookmarkEnd w:id="111"/>
    <w:p w14:paraId="1DF38443" w14:textId="384D43C1" w:rsidR="00853142" w:rsidRPr="00015208" w:rsidRDefault="00853142" w:rsidP="00853142">
      <w:pPr>
        <w:spacing w:after="0" w:line="240" w:lineRule="auto"/>
        <w:ind w:left="720"/>
        <w:rPr>
          <w:rFonts w:ascii="Times New Roman" w:eastAsia="Times New Roman" w:hAnsi="Times New Roman"/>
          <w:sz w:val="24"/>
          <w:szCs w:val="24"/>
        </w:rPr>
      </w:pPr>
    </w:p>
    <w:p w14:paraId="2225B21E" w14:textId="77777777" w:rsidR="00853142" w:rsidRPr="00015208" w:rsidRDefault="00853142" w:rsidP="00853142">
      <w:pPr>
        <w:spacing w:after="0" w:line="240" w:lineRule="auto"/>
        <w:ind w:left="720"/>
        <w:rPr>
          <w:rFonts w:ascii="Times New Roman" w:eastAsia="Times New Roman" w:hAnsi="Times New Roman"/>
          <w:sz w:val="24"/>
          <w:szCs w:val="24"/>
        </w:rPr>
      </w:pPr>
    </w:p>
    <w:p w14:paraId="17F63B9F" w14:textId="77777777" w:rsidR="00853142" w:rsidRPr="00015208" w:rsidRDefault="00853142" w:rsidP="00853142">
      <w:pPr>
        <w:pStyle w:val="Heading1"/>
        <w:rPr>
          <w:b w:val="0"/>
          <w:bCs w:val="0"/>
          <w:sz w:val="24"/>
          <w:szCs w:val="24"/>
        </w:rPr>
      </w:pPr>
      <w:r w:rsidRPr="00015208">
        <w:rPr>
          <w:sz w:val="24"/>
          <w:szCs w:val="24"/>
        </w:rPr>
        <w:t xml:space="preserve">Legal Lessons Learned:  In cases involving a “battle of the experts,” Courts will normally not overturn findings of the Administrative Agency.   The federal death benefits statute for firefighters and other public safety officers, who die within 24 hours of "nonroutine stressful or strenuous physical" activity was written to avoid these kinds of disputes.  See </w:t>
      </w:r>
      <w:bookmarkStart w:id="112" w:name="_Hlk39822753"/>
      <w:r w:rsidRPr="00015208">
        <w:rPr>
          <w:sz w:val="24"/>
          <w:szCs w:val="24"/>
        </w:rPr>
        <w:t xml:space="preserve">May 15, </w:t>
      </w:r>
      <w:proofErr w:type="gramStart"/>
      <w:r w:rsidRPr="00015208">
        <w:rPr>
          <w:sz w:val="24"/>
          <w:szCs w:val="24"/>
        </w:rPr>
        <w:t>2018</w:t>
      </w:r>
      <w:proofErr w:type="gramEnd"/>
      <w:r w:rsidRPr="00015208">
        <w:rPr>
          <w:sz w:val="24"/>
          <w:szCs w:val="24"/>
        </w:rPr>
        <w:t xml:space="preserve"> announcement: “Justice Department Announces Improvements to Public Safety Officers’ Benefits Program.”</w:t>
      </w:r>
      <w:r w:rsidRPr="00015208">
        <w:rPr>
          <w:b w:val="0"/>
          <w:bCs w:val="0"/>
          <w:sz w:val="24"/>
          <w:szCs w:val="24"/>
        </w:rPr>
        <w:t xml:space="preserve"> </w:t>
      </w:r>
      <w:hyperlink r:id="rId595" w:history="1">
        <w:r w:rsidRPr="00015208">
          <w:rPr>
            <w:rStyle w:val="Hyperlink"/>
            <w:b w:val="0"/>
            <w:bCs w:val="0"/>
            <w:sz w:val="24"/>
            <w:szCs w:val="24"/>
          </w:rPr>
          <w:t>https://www.justice.gov/opa/pr/justice-department-announces-improvements-public-safety-officers-benefits-program</w:t>
        </w:r>
      </w:hyperlink>
      <w:r w:rsidRPr="00015208">
        <w:rPr>
          <w:b w:val="0"/>
          <w:bCs w:val="0"/>
          <w:sz w:val="24"/>
          <w:szCs w:val="24"/>
        </w:rPr>
        <w:t xml:space="preserve"> </w:t>
      </w:r>
    </w:p>
    <w:bookmarkEnd w:id="112"/>
    <w:p w14:paraId="33CDC4E0" w14:textId="0172D15C" w:rsidR="00853142" w:rsidRDefault="00853142" w:rsidP="00EF1133">
      <w:pPr>
        <w:pStyle w:val="NoSpacing"/>
        <w:rPr>
          <w:rFonts w:ascii="Arial Black" w:hAnsi="Arial Black"/>
          <w:sz w:val="24"/>
          <w:szCs w:val="24"/>
        </w:rPr>
      </w:pPr>
    </w:p>
    <w:p w14:paraId="36A36ED6" w14:textId="36DFC688" w:rsidR="00A67C57" w:rsidRDefault="00A67C57" w:rsidP="00EF1133">
      <w:pPr>
        <w:pStyle w:val="NoSpacing"/>
        <w:rPr>
          <w:rFonts w:ascii="Arial Black" w:hAnsi="Arial Black"/>
          <w:sz w:val="24"/>
          <w:szCs w:val="24"/>
        </w:rPr>
      </w:pPr>
    </w:p>
    <w:p w14:paraId="41D0317D" w14:textId="77777777" w:rsidR="00A67C57" w:rsidRDefault="00A67C57" w:rsidP="00EF1133">
      <w:pPr>
        <w:pStyle w:val="NoSpacing"/>
        <w:rPr>
          <w:rFonts w:ascii="Arial Black" w:hAnsi="Arial Black"/>
          <w:sz w:val="24"/>
          <w:szCs w:val="24"/>
        </w:rPr>
      </w:pPr>
    </w:p>
    <w:p w14:paraId="5D75C623" w14:textId="4023065D" w:rsidR="00A52325" w:rsidRDefault="00A52325" w:rsidP="00EF1133">
      <w:pPr>
        <w:pStyle w:val="NoSpacing"/>
        <w:rPr>
          <w:rFonts w:ascii="Arial Black" w:hAnsi="Arial Black"/>
          <w:sz w:val="24"/>
          <w:szCs w:val="24"/>
        </w:rPr>
      </w:pPr>
      <w:r>
        <w:rPr>
          <w:rFonts w:ascii="Arial Black" w:hAnsi="Arial Black"/>
          <w:sz w:val="24"/>
          <w:szCs w:val="24"/>
        </w:rPr>
        <w:t>2-20</w:t>
      </w:r>
    </w:p>
    <w:p w14:paraId="1AB7F3A8" w14:textId="1E0B2DA7" w:rsidR="00A52325" w:rsidRDefault="00A52325" w:rsidP="00EF1133">
      <w:pPr>
        <w:pStyle w:val="NoSpacing"/>
        <w:rPr>
          <w:rFonts w:ascii="Arial Black" w:hAnsi="Arial Black"/>
          <w:sz w:val="24"/>
          <w:szCs w:val="24"/>
        </w:rPr>
      </w:pPr>
    </w:p>
    <w:p w14:paraId="48367360" w14:textId="77777777" w:rsidR="00A52325" w:rsidRDefault="00A52325" w:rsidP="00A52325">
      <w:pPr>
        <w:pStyle w:val="NoSpacing"/>
        <w:rPr>
          <w:rFonts w:ascii="Arial Black" w:hAnsi="Arial Black"/>
          <w:sz w:val="28"/>
          <w:szCs w:val="28"/>
        </w:rPr>
      </w:pPr>
      <w:r>
        <w:rPr>
          <w:rFonts w:ascii="Arial Black" w:hAnsi="Arial Black"/>
          <w:sz w:val="28"/>
          <w:szCs w:val="28"/>
        </w:rPr>
        <w:t>NY: LIVER CANCER - FF WORKED AT 9/11 WORLD TRADE CENTER – ACCIDENTAL DISABILITY BENEFITS AWARDED</w:t>
      </w:r>
    </w:p>
    <w:p w14:paraId="6BF50E34" w14:textId="77777777" w:rsidR="00A52325" w:rsidRDefault="00A52325" w:rsidP="00A52325">
      <w:pPr>
        <w:pStyle w:val="NoSpacing"/>
        <w:rPr>
          <w:rFonts w:ascii="Arial Black" w:hAnsi="Arial Black"/>
          <w:sz w:val="28"/>
          <w:szCs w:val="28"/>
        </w:rPr>
      </w:pPr>
    </w:p>
    <w:p w14:paraId="332EC30C" w14:textId="77777777" w:rsidR="00A52325" w:rsidRDefault="00A52325" w:rsidP="00A52325">
      <w:pPr>
        <w:pStyle w:val="NoSpacing"/>
        <w:rPr>
          <w:rFonts w:ascii="Times New Roman" w:hAnsi="Times New Roman"/>
          <w:sz w:val="24"/>
          <w:szCs w:val="24"/>
        </w:rPr>
      </w:pPr>
      <w:r>
        <w:rPr>
          <w:rFonts w:ascii="Times New Roman" w:hAnsi="Times New Roman"/>
          <w:sz w:val="24"/>
          <w:szCs w:val="24"/>
        </w:rPr>
        <w:t xml:space="preserve">On Sept. 3, 2019, in </w:t>
      </w:r>
      <w:r>
        <w:rPr>
          <w:rFonts w:ascii="Times New Roman" w:hAnsi="Times New Roman"/>
          <w:sz w:val="24"/>
          <w:szCs w:val="24"/>
          <w:u w:val="single"/>
        </w:rPr>
        <w:t xml:space="preserve">Matter </w:t>
      </w:r>
      <w:proofErr w:type="gramStart"/>
      <w:r>
        <w:rPr>
          <w:rFonts w:ascii="Times New Roman" w:hAnsi="Times New Roman"/>
          <w:sz w:val="24"/>
          <w:szCs w:val="24"/>
          <w:u w:val="single"/>
        </w:rPr>
        <w:t>Of</w:t>
      </w:r>
      <w:proofErr w:type="gramEnd"/>
      <w:r>
        <w:rPr>
          <w:rFonts w:ascii="Times New Roman" w:hAnsi="Times New Roman"/>
          <w:sz w:val="24"/>
          <w:szCs w:val="24"/>
          <w:u w:val="single"/>
        </w:rPr>
        <w:t xml:space="preserve"> Joseph Daly v. Daniel Nigro</w:t>
      </w:r>
      <w:r>
        <w:rPr>
          <w:rFonts w:ascii="Times New Roman" w:hAnsi="Times New Roman"/>
          <w:sz w:val="24"/>
          <w:szCs w:val="24"/>
        </w:rPr>
        <w:t xml:space="preserve">, Supreme Court, Kings County (Judge Katherine A. Levine), in unpublished opinion, held that there is a statutory presumption that the firefighter ‘s liver cancer was caused by his work at the World Trade Center cleanup operation.  The firefighter’s pension is therefore increased from one-half his salary (taxable) to three-quarters of his salary (tax-free).  </w:t>
      </w:r>
    </w:p>
    <w:p w14:paraId="23FD7B67" w14:textId="77777777" w:rsidR="00A52325" w:rsidRDefault="00A52325" w:rsidP="00A52325">
      <w:pPr>
        <w:pStyle w:val="NoSpacing"/>
        <w:rPr>
          <w:rFonts w:ascii="Times New Roman" w:hAnsi="Times New Roman"/>
          <w:sz w:val="24"/>
          <w:szCs w:val="24"/>
        </w:rPr>
      </w:pPr>
    </w:p>
    <w:p w14:paraId="4E73E24D" w14:textId="77777777" w:rsidR="00A52325" w:rsidRDefault="00A52325" w:rsidP="00A52325">
      <w:pPr>
        <w:pStyle w:val="NoSpacing"/>
        <w:ind w:left="720"/>
        <w:rPr>
          <w:rFonts w:ascii="Times New Roman" w:hAnsi="Times New Roman"/>
          <w:sz w:val="24"/>
          <w:szCs w:val="24"/>
        </w:rPr>
      </w:pPr>
      <w:r>
        <w:rPr>
          <w:rFonts w:ascii="Times New Roman" w:hAnsi="Times New Roman"/>
          <w:sz w:val="24"/>
          <w:szCs w:val="24"/>
        </w:rPr>
        <w:t xml:space="preserve">“While the Pension Fund does not dispute that Daly has a qualifying physical condition, it argues that it presented competent evidence to the court which disproves that petitioner's disability was attributable to his WTC rescue, recovery and cleanup operations, and proves that it was caused by persistent ascites and abdominal distention due to alcoholic cirrhosis of the liver. This court finds that respondent failed to proffer competent evidence to rebut the presumption that petitioner's qualifying physical condition was caused by the hazards he encountered at the WTC </w:t>
      </w:r>
      <w:proofErr w:type="gramStart"/>
      <w:r>
        <w:rPr>
          <w:rFonts w:ascii="Times New Roman" w:hAnsi="Times New Roman"/>
          <w:sz w:val="24"/>
          <w:szCs w:val="24"/>
        </w:rPr>
        <w:t>site.”</w:t>
      </w:r>
      <w:proofErr w:type="gramEnd"/>
    </w:p>
    <w:p w14:paraId="4EBD938A" w14:textId="77777777" w:rsidR="00A52325" w:rsidRDefault="00A52325" w:rsidP="00A52325">
      <w:pPr>
        <w:pStyle w:val="NoSpacing"/>
        <w:ind w:left="720"/>
        <w:rPr>
          <w:rFonts w:ascii="Times New Roman" w:hAnsi="Times New Roman"/>
          <w:sz w:val="24"/>
          <w:szCs w:val="24"/>
        </w:rPr>
      </w:pPr>
      <w:hyperlink r:id="rId596" w:history="1">
        <w:r>
          <w:rPr>
            <w:rStyle w:val="Hyperlink"/>
            <w:rFonts w:ascii="Times New Roman" w:hAnsi="Times New Roman"/>
            <w:sz w:val="24"/>
            <w:szCs w:val="24"/>
          </w:rPr>
          <w:t>https://law.justia.com/cases/new-york/other-courts/2019/2019-ny-slip-op-51525-u.html</w:t>
        </w:r>
      </w:hyperlink>
      <w:r>
        <w:rPr>
          <w:rFonts w:ascii="Times New Roman" w:hAnsi="Times New Roman"/>
          <w:sz w:val="24"/>
          <w:szCs w:val="24"/>
        </w:rPr>
        <w:t xml:space="preserve"> </w:t>
      </w:r>
    </w:p>
    <w:p w14:paraId="2DE32D4C" w14:textId="4ADAAE85" w:rsidR="00A52325" w:rsidRDefault="00A52325" w:rsidP="00EF1133">
      <w:pPr>
        <w:pStyle w:val="NoSpacing"/>
        <w:rPr>
          <w:rFonts w:ascii="Arial Black" w:hAnsi="Arial Black"/>
          <w:sz w:val="24"/>
          <w:szCs w:val="24"/>
        </w:rPr>
      </w:pPr>
    </w:p>
    <w:p w14:paraId="29139C9C" w14:textId="77777777" w:rsidR="00965872" w:rsidRDefault="00A52325" w:rsidP="00A52325">
      <w:pPr>
        <w:pStyle w:val="NoSpacing"/>
        <w:rPr>
          <w:rFonts w:ascii="Times New Roman" w:hAnsi="Times New Roman"/>
          <w:b/>
          <w:bCs/>
          <w:sz w:val="24"/>
          <w:szCs w:val="24"/>
        </w:rPr>
      </w:pPr>
      <w:r>
        <w:rPr>
          <w:rFonts w:ascii="Times New Roman" w:hAnsi="Times New Roman"/>
          <w:b/>
          <w:bCs/>
          <w:sz w:val="24"/>
          <w:szCs w:val="24"/>
        </w:rPr>
        <w:t xml:space="preserve">Legal Lessons Learned: The World Trade Center legislation created a “statutory presumption” that cancer was caused by their work at the WTC.  All firefighters should keep a record of structure fires and other exposures to hazardous environments, including even if you work in a state that have enacted workers comp. statutory presumptions, such as Ohio. See the Ohio application: </w:t>
      </w:r>
    </w:p>
    <w:p w14:paraId="7471988A" w14:textId="77777777" w:rsidR="00965872" w:rsidRDefault="00965872" w:rsidP="00A52325">
      <w:pPr>
        <w:pStyle w:val="NoSpacing"/>
        <w:rPr>
          <w:rFonts w:ascii="Times New Roman" w:hAnsi="Times New Roman"/>
          <w:b/>
          <w:bCs/>
          <w:sz w:val="24"/>
          <w:szCs w:val="24"/>
        </w:rPr>
      </w:pPr>
    </w:p>
    <w:p w14:paraId="5D1EFE59" w14:textId="52969460" w:rsidR="00A52325" w:rsidRDefault="00965872" w:rsidP="00965872">
      <w:pPr>
        <w:pStyle w:val="NoSpacing"/>
        <w:ind w:firstLine="720"/>
        <w:rPr>
          <w:rFonts w:ascii="Times New Roman" w:hAnsi="Times New Roman"/>
          <w:sz w:val="24"/>
          <w:szCs w:val="24"/>
        </w:rPr>
      </w:pPr>
      <w:hyperlink r:id="rId597" w:history="1">
        <w:r w:rsidRPr="002F304C">
          <w:rPr>
            <w:rStyle w:val="Hyperlink"/>
            <w:rFonts w:ascii="Times New Roman" w:hAnsi="Times New Roman"/>
            <w:b/>
            <w:bCs/>
            <w:sz w:val="24"/>
            <w:szCs w:val="24"/>
          </w:rPr>
          <w:t>https://www.bwc.ohio.gov/downloads/blankpdf/C-265.pdf</w:t>
        </w:r>
      </w:hyperlink>
      <w:r w:rsidR="00A52325">
        <w:rPr>
          <w:rFonts w:ascii="Times New Roman" w:hAnsi="Times New Roman"/>
          <w:b/>
          <w:bCs/>
          <w:sz w:val="24"/>
          <w:szCs w:val="24"/>
        </w:rPr>
        <w:t xml:space="preserve"> </w:t>
      </w:r>
    </w:p>
    <w:p w14:paraId="0910932C" w14:textId="77777777" w:rsidR="00A52325" w:rsidRPr="00965872" w:rsidRDefault="00A52325" w:rsidP="00965872">
      <w:pPr>
        <w:pStyle w:val="NoSpacing"/>
        <w:ind w:left="720"/>
        <w:rPr>
          <w:rFonts w:ascii="Times New Roman" w:hAnsi="Times New Roman"/>
          <w:sz w:val="24"/>
          <w:szCs w:val="24"/>
        </w:rPr>
      </w:pPr>
      <w:r w:rsidRPr="00965872">
        <w:rPr>
          <w:rFonts w:ascii="Times New Roman" w:hAnsi="Times New Roman"/>
          <w:sz w:val="24"/>
          <w:szCs w:val="24"/>
        </w:rPr>
        <w:t xml:space="preserve">“Have you been assigned to at least six years of hazardous duty as a fire fighter? Yes No If yes, please provide a history of your hazardous duty as a firefighter. “Hazardous duty” means duty performed </w:t>
      </w:r>
      <w:proofErr w:type="gramStart"/>
      <w:r w:rsidRPr="00965872">
        <w:rPr>
          <w:rFonts w:ascii="Times New Roman" w:hAnsi="Times New Roman"/>
          <w:sz w:val="24"/>
          <w:szCs w:val="24"/>
        </w:rPr>
        <w:t>under circumstances in which</w:t>
      </w:r>
      <w:proofErr w:type="gramEnd"/>
      <w:r w:rsidRPr="00965872">
        <w:rPr>
          <w:rFonts w:ascii="Times New Roman" w:hAnsi="Times New Roman"/>
          <w:sz w:val="24"/>
          <w:szCs w:val="24"/>
        </w:rPr>
        <w:t xml:space="preserve"> an accident could result in serious injury or death.” </w:t>
      </w:r>
    </w:p>
    <w:p w14:paraId="5BEAB59B" w14:textId="77777777" w:rsidR="00A52325" w:rsidRDefault="00A52325" w:rsidP="00A52325">
      <w:pPr>
        <w:pStyle w:val="NoSpacing"/>
        <w:ind w:left="720"/>
        <w:rPr>
          <w:rFonts w:ascii="Arial Black" w:hAnsi="Arial Black"/>
          <w:sz w:val="28"/>
          <w:szCs w:val="28"/>
        </w:rPr>
      </w:pPr>
    </w:p>
    <w:p w14:paraId="4265F96F" w14:textId="79839627" w:rsidR="00A52325" w:rsidRPr="00A52325" w:rsidRDefault="00A52325" w:rsidP="00EF1133">
      <w:pPr>
        <w:pStyle w:val="NoSpacing"/>
        <w:rPr>
          <w:rFonts w:ascii="Times New Roman" w:hAnsi="Times New Roman"/>
          <w:sz w:val="24"/>
          <w:szCs w:val="24"/>
        </w:rPr>
      </w:pPr>
    </w:p>
    <w:p w14:paraId="33B6B009" w14:textId="77777777" w:rsidR="00A52325" w:rsidRDefault="00A52325" w:rsidP="00EF1133">
      <w:pPr>
        <w:pStyle w:val="NoSpacing"/>
        <w:rPr>
          <w:rFonts w:ascii="Arial Black" w:hAnsi="Arial Black"/>
          <w:sz w:val="24"/>
          <w:szCs w:val="24"/>
        </w:rPr>
      </w:pPr>
    </w:p>
    <w:p w14:paraId="663D651A" w14:textId="0A3F268D" w:rsidR="00853142" w:rsidRDefault="00853142" w:rsidP="00EF1133">
      <w:pPr>
        <w:pStyle w:val="NoSpacing"/>
        <w:rPr>
          <w:rFonts w:ascii="Arial Black" w:hAnsi="Arial Black"/>
          <w:sz w:val="24"/>
          <w:szCs w:val="24"/>
        </w:rPr>
      </w:pPr>
      <w:r>
        <w:rPr>
          <w:rFonts w:ascii="Arial Black" w:hAnsi="Arial Black"/>
          <w:sz w:val="24"/>
          <w:szCs w:val="24"/>
        </w:rPr>
        <w:t>2-1</w:t>
      </w:r>
      <w:r w:rsidR="00D07E6E">
        <w:rPr>
          <w:rFonts w:ascii="Arial Black" w:hAnsi="Arial Black"/>
          <w:sz w:val="24"/>
          <w:szCs w:val="24"/>
        </w:rPr>
        <w:t>9</w:t>
      </w:r>
    </w:p>
    <w:p w14:paraId="33FBEDB8" w14:textId="62DB7BDE" w:rsidR="00853142" w:rsidRDefault="00853142" w:rsidP="00EF1133">
      <w:pPr>
        <w:pStyle w:val="NoSpacing"/>
        <w:rPr>
          <w:rFonts w:ascii="Arial Black" w:hAnsi="Arial Black"/>
          <w:sz w:val="24"/>
          <w:szCs w:val="24"/>
        </w:rPr>
      </w:pPr>
    </w:p>
    <w:p w14:paraId="406B8699" w14:textId="77777777" w:rsidR="00853142" w:rsidRPr="00A57FCF" w:rsidRDefault="00853142" w:rsidP="00853142">
      <w:pPr>
        <w:pStyle w:val="NoSpacing"/>
        <w:rPr>
          <w:rFonts w:ascii="Arial Black" w:hAnsi="Arial Black"/>
          <w:sz w:val="28"/>
          <w:szCs w:val="28"/>
        </w:rPr>
      </w:pPr>
      <w:r w:rsidRPr="00A57FCF">
        <w:rPr>
          <w:rFonts w:ascii="Arial Black" w:hAnsi="Arial Black"/>
          <w:sz w:val="28"/>
          <w:szCs w:val="28"/>
        </w:rPr>
        <w:t xml:space="preserve">PA: </w:t>
      </w:r>
      <w:r>
        <w:rPr>
          <w:rFonts w:ascii="Arial Black" w:hAnsi="Arial Black"/>
          <w:sz w:val="28"/>
          <w:szCs w:val="28"/>
        </w:rPr>
        <w:t xml:space="preserve">THREE FF KILLED – ROW HOUSE STRUCTURE FIRE - MAYOR, FIRE CHIEF DENIED QUALIFIED IMMUNITY – “ROLLING BROWNOUTS”  </w:t>
      </w:r>
    </w:p>
    <w:p w14:paraId="3967A63B" w14:textId="77777777" w:rsidR="00853142" w:rsidRPr="00C8181A" w:rsidRDefault="00853142" w:rsidP="00853142">
      <w:pPr>
        <w:rPr>
          <w:rFonts w:ascii="Times New Roman" w:hAnsi="Times New Roman"/>
          <w:sz w:val="24"/>
          <w:szCs w:val="24"/>
        </w:rPr>
      </w:pPr>
      <w:r w:rsidRPr="00C8181A">
        <w:rPr>
          <w:rFonts w:ascii="Times New Roman" w:hAnsi="Times New Roman"/>
          <w:sz w:val="24"/>
          <w:szCs w:val="24"/>
        </w:rPr>
        <w:t xml:space="preserve">On Aug. 28, 2019, in </w:t>
      </w:r>
      <w:r w:rsidRPr="00C8181A">
        <w:rPr>
          <w:rFonts w:ascii="Times New Roman" w:hAnsi="Times New Roman"/>
          <w:sz w:val="24"/>
          <w:szCs w:val="24"/>
          <w:u w:val="single"/>
        </w:rPr>
        <w:t>Firefighter Brad Speakman, Ret., et. al v. Dennis P. Williams, James M. Baker, Anthony S. Goode, William Patrick, and City of Wilmington</w:t>
      </w:r>
      <w:r w:rsidRPr="00C8181A">
        <w:rPr>
          <w:rFonts w:ascii="Times New Roman" w:hAnsi="Times New Roman"/>
          <w:sz w:val="24"/>
          <w:szCs w:val="24"/>
        </w:rPr>
        <w:t xml:space="preserve">, U.S. Magistrate Judge Mary Pat Thynge, U.S. District Court for the District of Delaware, issued a Report And Recommendation to </w:t>
      </w:r>
      <w:r>
        <w:rPr>
          <w:rFonts w:ascii="Times New Roman" w:hAnsi="Times New Roman"/>
          <w:sz w:val="24"/>
          <w:szCs w:val="24"/>
        </w:rPr>
        <w:t xml:space="preserve">a U.S. District Court judge assigned to this lawsuit arising from September 24, 2016 structure fire in a row house started by an arsonist.  </w:t>
      </w:r>
      <w:r w:rsidRPr="00C8181A">
        <w:rPr>
          <w:rFonts w:ascii="Times New Roman" w:hAnsi="Times New Roman"/>
          <w:sz w:val="24"/>
          <w:szCs w:val="24"/>
        </w:rPr>
        <w:t xml:space="preserve"> </w:t>
      </w:r>
      <w:r>
        <w:rPr>
          <w:rFonts w:ascii="Times New Roman" w:hAnsi="Times New Roman"/>
          <w:sz w:val="24"/>
          <w:szCs w:val="24"/>
        </w:rPr>
        <w:t xml:space="preserve">The Magistrate recommended that </w:t>
      </w:r>
      <w:r w:rsidRPr="00C8181A">
        <w:rPr>
          <w:rFonts w:ascii="Times New Roman" w:hAnsi="Times New Roman"/>
          <w:sz w:val="24"/>
          <w:szCs w:val="24"/>
        </w:rPr>
        <w:t>Mayor Williams</w:t>
      </w:r>
      <w:r>
        <w:rPr>
          <w:rFonts w:ascii="Times New Roman" w:hAnsi="Times New Roman"/>
          <w:sz w:val="24"/>
          <w:szCs w:val="24"/>
        </w:rPr>
        <w:t xml:space="preserve">, </w:t>
      </w:r>
      <w:r w:rsidRPr="00C8181A">
        <w:rPr>
          <w:rFonts w:ascii="Times New Roman" w:hAnsi="Times New Roman"/>
          <w:sz w:val="24"/>
          <w:szCs w:val="24"/>
        </w:rPr>
        <w:t>Fire Chief Goode</w:t>
      </w:r>
      <w:r>
        <w:rPr>
          <w:rFonts w:ascii="Times New Roman" w:hAnsi="Times New Roman"/>
          <w:sz w:val="24"/>
          <w:szCs w:val="24"/>
        </w:rPr>
        <w:t xml:space="preserve"> not be granted qualified immunity at this time because of their </w:t>
      </w:r>
      <w:r w:rsidRPr="00C8181A">
        <w:rPr>
          <w:rFonts w:ascii="Times New Roman" w:hAnsi="Times New Roman"/>
          <w:sz w:val="24"/>
          <w:szCs w:val="24"/>
        </w:rPr>
        <w:t>“brownouts” of fire stations</w:t>
      </w:r>
      <w:r>
        <w:rPr>
          <w:rFonts w:ascii="Times New Roman" w:hAnsi="Times New Roman"/>
          <w:sz w:val="24"/>
          <w:szCs w:val="24"/>
        </w:rPr>
        <w:t xml:space="preserve"> – called “rolling bypass policy.” </w:t>
      </w:r>
      <w:hyperlink r:id="rId598" w:history="1">
        <w:r w:rsidRPr="00C8181A">
          <w:rPr>
            <w:rStyle w:val="Hyperlink"/>
            <w:rFonts w:ascii="Times New Roman" w:hAnsi="Times New Roman"/>
            <w:sz w:val="24"/>
            <w:szCs w:val="24"/>
          </w:rPr>
          <w:t>https://shawkeller.com/wp-content/uploads/opinions-pdf/18-1252-CMMPT.pdf</w:t>
        </w:r>
      </w:hyperlink>
      <w:r w:rsidRPr="00C8181A">
        <w:rPr>
          <w:rFonts w:ascii="Times New Roman" w:hAnsi="Times New Roman"/>
          <w:sz w:val="24"/>
          <w:szCs w:val="24"/>
        </w:rPr>
        <w:t xml:space="preserve"> </w:t>
      </w:r>
    </w:p>
    <w:p w14:paraId="5860FF45" w14:textId="77777777" w:rsidR="00853142" w:rsidRPr="006666F5" w:rsidRDefault="00853142" w:rsidP="00853142">
      <w:pPr>
        <w:rPr>
          <w:rFonts w:ascii="Times New Roman" w:hAnsi="Times New Roman"/>
          <w:sz w:val="24"/>
          <w:szCs w:val="24"/>
        </w:rPr>
      </w:pPr>
      <w:r>
        <w:rPr>
          <w:rFonts w:ascii="Times New Roman" w:hAnsi="Times New Roman"/>
          <w:sz w:val="24"/>
          <w:szCs w:val="24"/>
        </w:rPr>
        <w:tab/>
        <w:t xml:space="preserve">Magistrate Judge </w:t>
      </w:r>
      <w:proofErr w:type="spellStart"/>
      <w:r>
        <w:rPr>
          <w:rFonts w:ascii="Times New Roman" w:hAnsi="Times New Roman"/>
          <w:sz w:val="24"/>
          <w:szCs w:val="24"/>
        </w:rPr>
        <w:t>Thynge</w:t>
      </w:r>
      <w:proofErr w:type="spellEnd"/>
      <w:r>
        <w:rPr>
          <w:rFonts w:ascii="Times New Roman" w:hAnsi="Times New Roman"/>
          <w:sz w:val="24"/>
          <w:szCs w:val="24"/>
        </w:rPr>
        <w:t xml:space="preserve"> wrote: </w:t>
      </w:r>
    </w:p>
    <w:p w14:paraId="1C2DF21B" w14:textId="77777777" w:rsidR="00853142" w:rsidRDefault="00853142" w:rsidP="00853142">
      <w:pPr>
        <w:pStyle w:val="NoSpacing"/>
        <w:ind w:left="1440"/>
        <w:rPr>
          <w:rFonts w:ascii="Times New Roman" w:hAnsi="Times New Roman"/>
          <w:sz w:val="24"/>
          <w:szCs w:val="24"/>
        </w:rPr>
      </w:pPr>
      <w:r>
        <w:rPr>
          <w:rFonts w:ascii="Times New Roman" w:hAnsi="Times New Roman"/>
          <w:sz w:val="24"/>
          <w:szCs w:val="24"/>
        </w:rPr>
        <w:t>“</w:t>
      </w:r>
      <w:r w:rsidRPr="006666F5">
        <w:rPr>
          <w:rFonts w:ascii="Times New Roman" w:hAnsi="Times New Roman"/>
          <w:sz w:val="24"/>
          <w:szCs w:val="24"/>
        </w:rPr>
        <w:t>Mayor Williams and Chief Goode understood that, with fire</w:t>
      </w:r>
      <w:r>
        <w:rPr>
          <w:rFonts w:ascii="Times New Roman" w:hAnsi="Times New Roman"/>
          <w:sz w:val="24"/>
          <w:szCs w:val="24"/>
        </w:rPr>
        <w:t xml:space="preserve"> </w:t>
      </w:r>
      <w:r w:rsidRPr="006666F5">
        <w:rPr>
          <w:rFonts w:ascii="Times New Roman" w:hAnsi="Times New Roman"/>
          <w:sz w:val="24"/>
          <w:szCs w:val="24"/>
        </w:rPr>
        <w:t>houses</w:t>
      </w:r>
      <w:r>
        <w:rPr>
          <w:rFonts w:ascii="Times New Roman" w:hAnsi="Times New Roman"/>
          <w:sz w:val="24"/>
          <w:szCs w:val="24"/>
        </w:rPr>
        <w:t xml:space="preserve"> </w:t>
      </w:r>
      <w:r w:rsidRPr="006666F5">
        <w:rPr>
          <w:rFonts w:ascii="Times New Roman" w:hAnsi="Times New Roman"/>
          <w:sz w:val="24"/>
          <w:szCs w:val="24"/>
        </w:rPr>
        <w:t>closed, overtime, the main impetus for the rolling bypass policy, substantially increased</w:t>
      </w:r>
      <w:r>
        <w:rPr>
          <w:rFonts w:ascii="Times New Roman" w:hAnsi="Times New Roman"/>
          <w:sz w:val="24"/>
          <w:szCs w:val="24"/>
        </w:rPr>
        <w:t xml:space="preserve"> </w:t>
      </w:r>
      <w:r w:rsidRPr="006666F5">
        <w:rPr>
          <w:rFonts w:ascii="Times New Roman" w:hAnsi="Times New Roman"/>
          <w:sz w:val="24"/>
          <w:szCs w:val="24"/>
        </w:rPr>
        <w:t>during both the Goode and Williams’ administrations. Union Officials routinely warned</w:t>
      </w:r>
      <w:r>
        <w:rPr>
          <w:rFonts w:ascii="Times New Roman" w:hAnsi="Times New Roman"/>
          <w:sz w:val="24"/>
          <w:szCs w:val="24"/>
        </w:rPr>
        <w:t xml:space="preserve"> </w:t>
      </w:r>
      <w:r w:rsidRPr="006666F5">
        <w:rPr>
          <w:rFonts w:ascii="Times New Roman" w:hAnsi="Times New Roman"/>
          <w:sz w:val="24"/>
          <w:szCs w:val="24"/>
        </w:rPr>
        <w:t>Mayor Williams and Chief Goode of the dangers associated with the continued use of</w:t>
      </w:r>
      <w:r>
        <w:rPr>
          <w:rFonts w:ascii="Times New Roman" w:hAnsi="Times New Roman"/>
          <w:sz w:val="24"/>
          <w:szCs w:val="24"/>
        </w:rPr>
        <w:t xml:space="preserve"> </w:t>
      </w:r>
      <w:r w:rsidRPr="006666F5">
        <w:rPr>
          <w:rFonts w:ascii="Times New Roman" w:hAnsi="Times New Roman"/>
          <w:sz w:val="24"/>
          <w:szCs w:val="24"/>
        </w:rPr>
        <w:t>rolling bypass. Despite repeated, emphatic warnings and concerns expressed by Union</w:t>
      </w:r>
      <w:r>
        <w:rPr>
          <w:rFonts w:ascii="Times New Roman" w:hAnsi="Times New Roman"/>
          <w:sz w:val="24"/>
          <w:szCs w:val="24"/>
        </w:rPr>
        <w:t xml:space="preserve"> </w:t>
      </w:r>
      <w:r w:rsidRPr="006666F5">
        <w:rPr>
          <w:rFonts w:ascii="Times New Roman" w:hAnsi="Times New Roman"/>
          <w:sz w:val="24"/>
          <w:szCs w:val="24"/>
        </w:rPr>
        <w:t>officials, firefighters, City Council, the public, and the media, Mayor Williams and Chief</w:t>
      </w:r>
      <w:r>
        <w:rPr>
          <w:rFonts w:ascii="Times New Roman" w:hAnsi="Times New Roman"/>
          <w:sz w:val="24"/>
          <w:szCs w:val="24"/>
        </w:rPr>
        <w:t xml:space="preserve"> </w:t>
      </w:r>
      <w:r w:rsidRPr="006666F5">
        <w:rPr>
          <w:rFonts w:ascii="Times New Roman" w:hAnsi="Times New Roman"/>
          <w:sz w:val="24"/>
          <w:szCs w:val="24"/>
        </w:rPr>
        <w:t>Goode maintained the rolling bypass policy. Accordingly, Plaintiffs adequately state</w:t>
      </w:r>
      <w:r>
        <w:rPr>
          <w:rFonts w:ascii="Times New Roman" w:hAnsi="Times New Roman"/>
          <w:sz w:val="24"/>
          <w:szCs w:val="24"/>
        </w:rPr>
        <w:t xml:space="preserve"> </w:t>
      </w:r>
      <w:r w:rsidRPr="006666F5">
        <w:rPr>
          <w:rFonts w:ascii="Times New Roman" w:hAnsi="Times New Roman"/>
          <w:sz w:val="24"/>
          <w:szCs w:val="24"/>
        </w:rPr>
        <w:t xml:space="preserve">facts which support conduct that </w:t>
      </w:r>
      <w:proofErr w:type="gramStart"/>
      <w:r w:rsidRPr="006666F5">
        <w:rPr>
          <w:rFonts w:ascii="Times New Roman" w:hAnsi="Times New Roman"/>
          <w:sz w:val="24"/>
          <w:szCs w:val="24"/>
        </w:rPr>
        <w:t>shocks</w:t>
      </w:r>
      <w:proofErr w:type="gramEnd"/>
      <w:r w:rsidRPr="006666F5">
        <w:rPr>
          <w:rFonts w:ascii="Times New Roman" w:hAnsi="Times New Roman"/>
          <w:sz w:val="24"/>
          <w:szCs w:val="24"/>
        </w:rPr>
        <w:t xml:space="preserve"> the conscious against Mayor Williams and</w:t>
      </w:r>
      <w:r>
        <w:rPr>
          <w:rFonts w:ascii="Times New Roman" w:hAnsi="Times New Roman"/>
          <w:sz w:val="24"/>
          <w:szCs w:val="24"/>
        </w:rPr>
        <w:t xml:space="preserve"> </w:t>
      </w:r>
      <w:r w:rsidRPr="006666F5">
        <w:rPr>
          <w:rFonts w:ascii="Times New Roman" w:hAnsi="Times New Roman"/>
          <w:sz w:val="24"/>
          <w:szCs w:val="24"/>
        </w:rPr>
        <w:t>Chief Goode</w:t>
      </w:r>
      <w:r>
        <w:rPr>
          <w:rFonts w:ascii="Times New Roman" w:hAnsi="Times New Roman"/>
          <w:sz w:val="24"/>
          <w:szCs w:val="24"/>
        </w:rPr>
        <w:t>.</w:t>
      </w:r>
    </w:p>
    <w:p w14:paraId="29ADA8D6" w14:textId="77777777" w:rsidR="00853142" w:rsidRDefault="00853142" w:rsidP="00853142">
      <w:pPr>
        <w:pStyle w:val="NoSpacing"/>
        <w:ind w:left="1440"/>
        <w:rPr>
          <w:rFonts w:ascii="Times New Roman" w:hAnsi="Times New Roman"/>
          <w:sz w:val="24"/>
          <w:szCs w:val="24"/>
        </w:rPr>
      </w:pPr>
    </w:p>
    <w:p w14:paraId="0632E7F9" w14:textId="77777777" w:rsidR="00853142" w:rsidRPr="006666F5" w:rsidRDefault="00853142" w:rsidP="00853142">
      <w:pPr>
        <w:pStyle w:val="NoSpacing"/>
        <w:ind w:left="1440"/>
        <w:rPr>
          <w:rFonts w:ascii="Times New Roman" w:hAnsi="Times New Roman"/>
          <w:sz w:val="24"/>
          <w:szCs w:val="24"/>
        </w:rPr>
      </w:pPr>
      <w:r>
        <w:rPr>
          <w:rFonts w:ascii="Times New Roman" w:hAnsi="Times New Roman"/>
          <w:sz w:val="24"/>
          <w:szCs w:val="24"/>
        </w:rPr>
        <w:t>***</w:t>
      </w:r>
    </w:p>
    <w:p w14:paraId="69F9E0D8" w14:textId="77777777" w:rsidR="00853142" w:rsidRDefault="00853142" w:rsidP="00853142">
      <w:pPr>
        <w:ind w:left="1440"/>
        <w:rPr>
          <w:rFonts w:ascii="Times New Roman" w:hAnsi="Times New Roman"/>
          <w:sz w:val="24"/>
          <w:szCs w:val="24"/>
        </w:rPr>
      </w:pPr>
      <w:r>
        <w:rPr>
          <w:rFonts w:ascii="Times New Roman" w:hAnsi="Times New Roman"/>
          <w:sz w:val="24"/>
          <w:szCs w:val="24"/>
        </w:rPr>
        <w:t>I</w:t>
      </w:r>
      <w:r w:rsidRPr="00C8181A">
        <w:rPr>
          <w:rFonts w:ascii="Times New Roman" w:hAnsi="Times New Roman"/>
          <w:sz w:val="24"/>
          <w:szCs w:val="24"/>
        </w:rPr>
        <w:t>n the instant matter, City Council enacted a statute to address its concerns of</w:t>
      </w:r>
      <w:r>
        <w:rPr>
          <w:rFonts w:ascii="Times New Roman" w:hAnsi="Times New Roman"/>
          <w:sz w:val="24"/>
          <w:szCs w:val="24"/>
        </w:rPr>
        <w:t xml:space="preserve"> </w:t>
      </w:r>
      <w:r w:rsidRPr="00C8181A">
        <w:rPr>
          <w:rFonts w:ascii="Times New Roman" w:hAnsi="Times New Roman"/>
          <w:sz w:val="24"/>
          <w:szCs w:val="24"/>
        </w:rPr>
        <w:t>under-staffing and overtime.</w:t>
      </w:r>
      <w:r>
        <w:rPr>
          <w:rFonts w:ascii="Times New Roman" w:hAnsi="Times New Roman"/>
          <w:sz w:val="24"/>
          <w:szCs w:val="24"/>
        </w:rPr>
        <w:t xml:space="preserve"> </w:t>
      </w:r>
      <w:r w:rsidRPr="00C8181A">
        <w:rPr>
          <w:rFonts w:ascii="Times New Roman" w:hAnsi="Times New Roman"/>
          <w:sz w:val="24"/>
          <w:szCs w:val="24"/>
        </w:rPr>
        <w:t>Plaintiffs contend that Mayor Williams and Chief Goode</w:t>
      </w:r>
      <w:r>
        <w:rPr>
          <w:rFonts w:ascii="Times New Roman" w:hAnsi="Times New Roman"/>
          <w:sz w:val="24"/>
          <w:szCs w:val="24"/>
        </w:rPr>
        <w:t xml:space="preserve"> </w:t>
      </w:r>
      <w:r w:rsidRPr="00C8181A">
        <w:rPr>
          <w:rFonts w:ascii="Times New Roman" w:hAnsi="Times New Roman"/>
          <w:sz w:val="24"/>
          <w:szCs w:val="24"/>
        </w:rPr>
        <w:t xml:space="preserve">failed to comply with that </w:t>
      </w:r>
      <w:proofErr w:type="gramStart"/>
      <w:r w:rsidRPr="00C8181A">
        <w:rPr>
          <w:rFonts w:ascii="Times New Roman" w:hAnsi="Times New Roman"/>
          <w:sz w:val="24"/>
          <w:szCs w:val="24"/>
        </w:rPr>
        <w:t>statute, and</w:t>
      </w:r>
      <w:proofErr w:type="gramEnd"/>
      <w:r w:rsidRPr="00C8181A">
        <w:rPr>
          <w:rFonts w:ascii="Times New Roman" w:hAnsi="Times New Roman"/>
          <w:sz w:val="24"/>
          <w:szCs w:val="24"/>
        </w:rPr>
        <w:t xml:space="preserve"> were clearly aware of the dangers concerning</w:t>
      </w:r>
      <w:r>
        <w:rPr>
          <w:rFonts w:ascii="Times New Roman" w:hAnsi="Times New Roman"/>
          <w:sz w:val="24"/>
          <w:szCs w:val="24"/>
        </w:rPr>
        <w:t xml:space="preserve"> </w:t>
      </w:r>
      <w:r w:rsidRPr="00C8181A">
        <w:rPr>
          <w:rFonts w:ascii="Times New Roman" w:hAnsi="Times New Roman"/>
          <w:sz w:val="24"/>
          <w:szCs w:val="24"/>
        </w:rPr>
        <w:t>rolling bypass.</w:t>
      </w:r>
      <w:r>
        <w:rPr>
          <w:rFonts w:ascii="Times New Roman" w:hAnsi="Times New Roman"/>
          <w:sz w:val="24"/>
          <w:szCs w:val="24"/>
        </w:rPr>
        <w:t xml:space="preserve"> </w:t>
      </w:r>
      <w:r w:rsidRPr="00C8181A">
        <w:rPr>
          <w:rFonts w:ascii="Times New Roman" w:hAnsi="Times New Roman"/>
          <w:sz w:val="24"/>
          <w:szCs w:val="24"/>
        </w:rPr>
        <w:t xml:space="preserve"> They further maintain that the </w:t>
      </w:r>
      <w:proofErr w:type="gramStart"/>
      <w:r w:rsidRPr="00C8181A">
        <w:rPr>
          <w:rFonts w:ascii="Times New Roman" w:hAnsi="Times New Roman"/>
          <w:sz w:val="24"/>
          <w:szCs w:val="24"/>
        </w:rPr>
        <w:t>City</w:t>
      </w:r>
      <w:proofErr w:type="gramEnd"/>
      <w:r w:rsidRPr="00C8181A">
        <w:rPr>
          <w:rFonts w:ascii="Times New Roman" w:hAnsi="Times New Roman"/>
          <w:sz w:val="24"/>
          <w:szCs w:val="24"/>
        </w:rPr>
        <w:t>, through its Mayors and City</w:t>
      </w:r>
      <w:r>
        <w:rPr>
          <w:rFonts w:ascii="Times New Roman" w:hAnsi="Times New Roman"/>
          <w:sz w:val="24"/>
          <w:szCs w:val="24"/>
        </w:rPr>
        <w:t xml:space="preserve"> </w:t>
      </w:r>
      <w:r w:rsidRPr="00C8181A">
        <w:rPr>
          <w:rFonts w:ascii="Times New Roman" w:hAnsi="Times New Roman"/>
          <w:sz w:val="24"/>
          <w:szCs w:val="24"/>
        </w:rPr>
        <w:t>Council, understood these dangers. Despite this awareness, neither Mayor heeded</w:t>
      </w:r>
      <w:r>
        <w:rPr>
          <w:rFonts w:ascii="Times New Roman" w:hAnsi="Times New Roman"/>
          <w:sz w:val="24"/>
          <w:szCs w:val="24"/>
        </w:rPr>
        <w:t xml:space="preserve"> </w:t>
      </w:r>
      <w:r w:rsidRPr="00C8181A">
        <w:rPr>
          <w:rFonts w:ascii="Times New Roman" w:hAnsi="Times New Roman"/>
          <w:sz w:val="24"/>
          <w:szCs w:val="24"/>
        </w:rPr>
        <w:t>these concerns. Such inaction supports Plaintiffs’ allegations. Accordingly, the court finds that Plaintiffs allege sufficient facts against the City</w:t>
      </w:r>
      <w:r>
        <w:rPr>
          <w:rFonts w:ascii="Times New Roman" w:hAnsi="Times New Roman"/>
          <w:sz w:val="24"/>
          <w:szCs w:val="24"/>
        </w:rPr>
        <w:t xml:space="preserve"> </w:t>
      </w:r>
      <w:r w:rsidRPr="00C8181A">
        <w:rPr>
          <w:rFonts w:ascii="Times New Roman" w:hAnsi="Times New Roman"/>
          <w:sz w:val="24"/>
          <w:szCs w:val="24"/>
        </w:rPr>
        <w:t>for maintaining policies, practices or customs.</w:t>
      </w:r>
      <w:r>
        <w:rPr>
          <w:rFonts w:ascii="Times New Roman" w:hAnsi="Times New Roman"/>
          <w:sz w:val="24"/>
          <w:szCs w:val="24"/>
        </w:rPr>
        <w:t>”</w:t>
      </w:r>
    </w:p>
    <w:p w14:paraId="2222B6BB" w14:textId="77777777" w:rsidR="00853142" w:rsidRDefault="00853142" w:rsidP="00853142">
      <w:pPr>
        <w:pStyle w:val="NoSpacing"/>
        <w:rPr>
          <w:rFonts w:ascii="Times New Roman" w:hAnsi="Times New Roman"/>
          <w:b/>
          <w:bCs/>
          <w:sz w:val="24"/>
          <w:szCs w:val="24"/>
        </w:rPr>
      </w:pPr>
      <w:r w:rsidRPr="00250FC7">
        <w:rPr>
          <w:rFonts w:ascii="Times New Roman" w:hAnsi="Times New Roman"/>
          <w:b/>
          <w:bCs/>
          <w:sz w:val="24"/>
          <w:szCs w:val="24"/>
        </w:rPr>
        <w:t>Legal Lessons Learned:</w:t>
      </w:r>
      <w:r>
        <w:rPr>
          <w:rFonts w:ascii="Times New Roman" w:hAnsi="Times New Roman"/>
          <w:b/>
          <w:bCs/>
          <w:sz w:val="24"/>
          <w:szCs w:val="24"/>
        </w:rPr>
        <w:t xml:space="preserve"> A tragic loss of life; “rolling brownouts” of fire stations or apparatus continue to be a very controversial issue.  </w:t>
      </w:r>
    </w:p>
    <w:p w14:paraId="28C8DDC8" w14:textId="6546B36C" w:rsidR="00853142" w:rsidRPr="00015208" w:rsidRDefault="00853142" w:rsidP="00015208">
      <w:pPr>
        <w:pStyle w:val="NoSpacing"/>
        <w:ind w:left="720"/>
        <w:rPr>
          <w:rFonts w:ascii="Times New Roman" w:hAnsi="Times New Roman"/>
          <w:sz w:val="24"/>
          <w:szCs w:val="24"/>
        </w:rPr>
      </w:pPr>
      <w:r w:rsidRPr="00015208">
        <w:rPr>
          <w:rFonts w:ascii="Times New Roman" w:hAnsi="Times New Roman"/>
          <w:sz w:val="24"/>
          <w:szCs w:val="24"/>
        </w:rPr>
        <w:t xml:space="preserve">See NIOSH Fire Fighter Fatality Investigation report F2016-18 (November 9, 2018): </w:t>
      </w:r>
      <w:hyperlink r:id="rId599" w:history="1">
        <w:r w:rsidR="00015208" w:rsidRPr="00915280">
          <w:rPr>
            <w:rStyle w:val="Hyperlink"/>
            <w:rFonts w:ascii="Times New Roman" w:hAnsi="Times New Roman"/>
            <w:sz w:val="24"/>
            <w:szCs w:val="24"/>
          </w:rPr>
          <w:t>https://www.cdc.gov/niosh/fire/pdfs/face201618.pdf</w:t>
        </w:r>
      </w:hyperlink>
      <w:r w:rsidRPr="00015208">
        <w:rPr>
          <w:rFonts w:ascii="Times New Roman" w:hAnsi="Times New Roman"/>
          <w:sz w:val="24"/>
          <w:szCs w:val="24"/>
        </w:rPr>
        <w:t xml:space="preserve"> </w:t>
      </w:r>
    </w:p>
    <w:p w14:paraId="3CF0FDD3" w14:textId="77777777" w:rsidR="00853142" w:rsidRDefault="00853142" w:rsidP="00853142">
      <w:pPr>
        <w:pStyle w:val="NoSpacing"/>
        <w:rPr>
          <w:rFonts w:ascii="Times New Roman" w:hAnsi="Times New Roman"/>
          <w:sz w:val="24"/>
          <w:szCs w:val="24"/>
        </w:rPr>
      </w:pPr>
    </w:p>
    <w:p w14:paraId="04465C07" w14:textId="77777777" w:rsidR="00853142" w:rsidRPr="00015208" w:rsidRDefault="00853142" w:rsidP="00015208">
      <w:pPr>
        <w:pStyle w:val="NoSpacing"/>
        <w:ind w:left="1440"/>
        <w:rPr>
          <w:rFonts w:ascii="Times New Roman" w:hAnsi="Times New Roman"/>
          <w:sz w:val="24"/>
          <w:szCs w:val="24"/>
        </w:rPr>
      </w:pPr>
      <w:r w:rsidRPr="00015208">
        <w:rPr>
          <w:rFonts w:ascii="Times New Roman" w:hAnsi="Times New Roman"/>
          <w:sz w:val="24"/>
          <w:szCs w:val="24"/>
        </w:rPr>
        <w:t xml:space="preserve">“Ladder 2 was 1st due at this residential structure fire. Note: The 1st due engine (Engine 6) was out of service due to budget constraints affecting overtime and daily staffing of companies. The fire department </w:t>
      </w:r>
      <w:proofErr w:type="gramStart"/>
      <w:r w:rsidRPr="00015208">
        <w:rPr>
          <w:rFonts w:ascii="Times New Roman" w:hAnsi="Times New Roman"/>
          <w:sz w:val="24"/>
          <w:szCs w:val="24"/>
        </w:rPr>
        <w:t>has to</w:t>
      </w:r>
      <w:proofErr w:type="gramEnd"/>
      <w:r w:rsidRPr="00015208">
        <w:rPr>
          <w:rFonts w:ascii="Times New Roman" w:hAnsi="Times New Roman"/>
          <w:sz w:val="24"/>
          <w:szCs w:val="24"/>
        </w:rPr>
        <w:t xml:space="preserve"> detail fire fighters throughout the city to maintain minimum staffing on a prescribed number of engine companies and ladder companies (e.g., ‘rolling brown outs’). Engine 6 was housed with Ladder 2. The impact of Engine 6 being out of service is unknown.” [Page 25.]</w:t>
      </w:r>
    </w:p>
    <w:p w14:paraId="1A4519E4" w14:textId="77777777" w:rsidR="00853142" w:rsidRPr="00015208" w:rsidRDefault="00853142" w:rsidP="00853142">
      <w:pPr>
        <w:pStyle w:val="NoSpacing"/>
        <w:rPr>
          <w:rFonts w:ascii="Times New Roman" w:hAnsi="Times New Roman"/>
          <w:sz w:val="24"/>
          <w:szCs w:val="24"/>
        </w:rPr>
      </w:pPr>
    </w:p>
    <w:p w14:paraId="67FEECC8" w14:textId="77777777" w:rsidR="00853142" w:rsidRPr="00015208" w:rsidRDefault="00853142" w:rsidP="00015208">
      <w:pPr>
        <w:pStyle w:val="NoSpacing"/>
        <w:ind w:left="720"/>
        <w:rPr>
          <w:rFonts w:ascii="Times New Roman" w:hAnsi="Times New Roman"/>
          <w:sz w:val="24"/>
          <w:szCs w:val="24"/>
        </w:rPr>
      </w:pPr>
      <w:r w:rsidRPr="00015208">
        <w:rPr>
          <w:rFonts w:ascii="Times New Roman" w:hAnsi="Times New Roman"/>
          <w:sz w:val="24"/>
          <w:szCs w:val="24"/>
        </w:rPr>
        <w:t xml:space="preserve">See also: Philadelphia Fire Department Needs to Reconsider Its Brownout and Rotation Policies (Feb. 11, 2016): </w:t>
      </w:r>
      <w:hyperlink r:id="rId600" w:history="1">
        <w:r w:rsidRPr="00015208">
          <w:rPr>
            <w:rStyle w:val="Hyperlink"/>
            <w:rFonts w:ascii="Times New Roman" w:hAnsi="Times New Roman"/>
            <w:sz w:val="24"/>
            <w:szCs w:val="24"/>
          </w:rPr>
          <w:t>https://controller.phila.gov/philadelphia-audits/philadelphia-fire-department-department-needs-to-reconsider-its-brownout-rotation-policies/</w:t>
        </w:r>
      </w:hyperlink>
      <w:r w:rsidRPr="00015208">
        <w:rPr>
          <w:rFonts w:ascii="Times New Roman" w:hAnsi="Times New Roman"/>
          <w:sz w:val="24"/>
          <w:szCs w:val="24"/>
        </w:rPr>
        <w:t xml:space="preserve">  </w:t>
      </w:r>
    </w:p>
    <w:p w14:paraId="39CEB443" w14:textId="77777777" w:rsidR="00853142" w:rsidRDefault="00853142" w:rsidP="00853142">
      <w:pPr>
        <w:pStyle w:val="NoSpacing"/>
        <w:rPr>
          <w:rFonts w:ascii="Times New Roman" w:hAnsi="Times New Roman"/>
          <w:sz w:val="24"/>
          <w:szCs w:val="24"/>
        </w:rPr>
      </w:pPr>
    </w:p>
    <w:p w14:paraId="71365E56" w14:textId="77777777" w:rsidR="00965872" w:rsidRDefault="00965872" w:rsidP="00EF1133">
      <w:pPr>
        <w:pStyle w:val="NoSpacing"/>
        <w:rPr>
          <w:rFonts w:ascii="Arial Black" w:hAnsi="Arial Black"/>
          <w:sz w:val="24"/>
          <w:szCs w:val="24"/>
        </w:rPr>
      </w:pPr>
    </w:p>
    <w:p w14:paraId="71C94921" w14:textId="77777777" w:rsidR="00965872" w:rsidRDefault="00965872" w:rsidP="00EF1133">
      <w:pPr>
        <w:pStyle w:val="NoSpacing"/>
        <w:rPr>
          <w:rFonts w:ascii="Arial Black" w:hAnsi="Arial Black"/>
          <w:sz w:val="24"/>
          <w:szCs w:val="24"/>
        </w:rPr>
      </w:pPr>
    </w:p>
    <w:p w14:paraId="2A78A715" w14:textId="4DCDF8A9" w:rsidR="00EF1133" w:rsidRDefault="00EF1133" w:rsidP="00EF1133">
      <w:pPr>
        <w:pStyle w:val="NoSpacing"/>
        <w:rPr>
          <w:rFonts w:ascii="Arial Black" w:hAnsi="Arial Black"/>
          <w:sz w:val="24"/>
          <w:szCs w:val="24"/>
        </w:rPr>
      </w:pPr>
      <w:r w:rsidRPr="00791CA3">
        <w:rPr>
          <w:rFonts w:ascii="Arial Black" w:hAnsi="Arial Black"/>
          <w:sz w:val="24"/>
          <w:szCs w:val="24"/>
        </w:rPr>
        <w:lastRenderedPageBreak/>
        <w:t>2-1</w:t>
      </w:r>
      <w:r w:rsidR="00D07E6E">
        <w:rPr>
          <w:rFonts w:ascii="Arial Black" w:hAnsi="Arial Black"/>
          <w:sz w:val="24"/>
          <w:szCs w:val="24"/>
        </w:rPr>
        <w:t>8</w:t>
      </w:r>
    </w:p>
    <w:p w14:paraId="29130E65" w14:textId="77777777" w:rsidR="00D07E6E" w:rsidRDefault="00D07E6E" w:rsidP="00EF1133">
      <w:pPr>
        <w:pStyle w:val="NoSpacing"/>
        <w:rPr>
          <w:rFonts w:ascii="Arial Black" w:hAnsi="Arial Black"/>
          <w:sz w:val="24"/>
          <w:szCs w:val="24"/>
        </w:rPr>
      </w:pPr>
    </w:p>
    <w:p w14:paraId="3FB90683" w14:textId="3A47A75C" w:rsidR="002B1283" w:rsidRDefault="002B1283" w:rsidP="002B1283">
      <w:pPr>
        <w:rPr>
          <w:rFonts w:ascii="Arial Black" w:hAnsi="Arial Black"/>
          <w:sz w:val="28"/>
          <w:szCs w:val="28"/>
        </w:rPr>
      </w:pPr>
      <w:r>
        <w:rPr>
          <w:rFonts w:ascii="Arial Black" w:hAnsi="Arial Black"/>
          <w:sz w:val="28"/>
          <w:szCs w:val="28"/>
        </w:rPr>
        <w:t xml:space="preserve">KY:  VOL. FF INJURED LEG &amp; KNEE ON ICE – WORKERS COMP. FOR  MEDICAL, BUT NO WAGE LOSS – FF IS SELF-EMPLOYED </w:t>
      </w:r>
    </w:p>
    <w:p w14:paraId="383BB32C" w14:textId="77777777" w:rsidR="002B1283" w:rsidRDefault="002B1283" w:rsidP="002B1283">
      <w:pPr>
        <w:pStyle w:val="NoSpacing"/>
        <w:rPr>
          <w:rFonts w:ascii="OnTimes New Roman" w:hAnsi="OnTimes New Roman"/>
          <w:sz w:val="24"/>
          <w:szCs w:val="24"/>
        </w:rPr>
      </w:pPr>
      <w:r>
        <w:rPr>
          <w:rFonts w:ascii="OnTimes New Roman" w:hAnsi="OnTimes New Roman"/>
          <w:sz w:val="24"/>
          <w:szCs w:val="24"/>
        </w:rPr>
        <w:t xml:space="preserve">On July 12, 2019, in </w:t>
      </w:r>
      <w:r w:rsidRPr="00056819">
        <w:rPr>
          <w:rFonts w:ascii="OnTimes New Roman" w:hAnsi="OnTimes New Roman"/>
          <w:sz w:val="24"/>
          <w:szCs w:val="24"/>
          <w:u w:val="single"/>
        </w:rPr>
        <w:t>Ken Lashley v. Kentucky Volunteer Fire Department, et al</w:t>
      </w:r>
      <w:r>
        <w:rPr>
          <w:rFonts w:ascii="OnTimes New Roman" w:hAnsi="OnTimes New Roman"/>
          <w:sz w:val="24"/>
          <w:szCs w:val="24"/>
        </w:rPr>
        <w:t xml:space="preserve">., the Kentucky Court of Appeals held (3 to 0; unpublished opinion) that the Administrative Law Judge correctly determined that the firefighter </w:t>
      </w:r>
    </w:p>
    <w:p w14:paraId="655561D2" w14:textId="77777777" w:rsidR="002B1283" w:rsidRDefault="002B1283" w:rsidP="002B1283">
      <w:pPr>
        <w:pStyle w:val="NoSpacing"/>
        <w:rPr>
          <w:rFonts w:ascii="OnTimes New Roman" w:hAnsi="OnTimes New Roman"/>
          <w:sz w:val="24"/>
          <w:szCs w:val="24"/>
        </w:rPr>
      </w:pPr>
      <w:r>
        <w:rPr>
          <w:rFonts w:ascii="OnTimes New Roman" w:hAnsi="OnTimes New Roman"/>
          <w:sz w:val="24"/>
          <w:szCs w:val="24"/>
        </w:rPr>
        <w:t xml:space="preserve">is not entitled to any wage loss reimbursement since he owns his own business and is self-employed without wages.  </w:t>
      </w:r>
    </w:p>
    <w:p w14:paraId="17969008" w14:textId="77777777" w:rsidR="002B1283" w:rsidRDefault="002B1283" w:rsidP="002B1283">
      <w:pPr>
        <w:pStyle w:val="NoSpacing"/>
        <w:rPr>
          <w:rFonts w:ascii="OnTimes New Roman" w:hAnsi="OnTimes New Roman"/>
          <w:sz w:val="24"/>
          <w:szCs w:val="24"/>
        </w:rPr>
      </w:pPr>
    </w:p>
    <w:p w14:paraId="0620351D" w14:textId="77777777" w:rsidR="002B1283" w:rsidRDefault="002B1283" w:rsidP="002B1283">
      <w:pPr>
        <w:pStyle w:val="NoSpacing"/>
        <w:ind w:left="720"/>
        <w:rPr>
          <w:rFonts w:ascii="Times New Roman" w:hAnsi="Times New Roman"/>
          <w:sz w:val="24"/>
          <w:szCs w:val="24"/>
        </w:rPr>
      </w:pPr>
      <w:r>
        <w:rPr>
          <w:rFonts w:ascii="Times New Roman" w:hAnsi="Times New Roman"/>
          <w:sz w:val="24"/>
          <w:szCs w:val="24"/>
        </w:rPr>
        <w:t>“</w:t>
      </w:r>
      <w:r w:rsidRPr="00056819">
        <w:rPr>
          <w:rFonts w:ascii="Times New Roman" w:hAnsi="Times New Roman"/>
          <w:sz w:val="24"/>
          <w:szCs w:val="24"/>
        </w:rPr>
        <w:t xml:space="preserve">As a volunteer firefighter, his average weekly wage is based on his other </w:t>
      </w:r>
      <w:r>
        <w:rPr>
          <w:rFonts w:ascii="Times New Roman" w:hAnsi="Times New Roman"/>
          <w:sz w:val="24"/>
          <w:szCs w:val="24"/>
        </w:rPr>
        <w:t>‘</w:t>
      </w:r>
      <w:r w:rsidRPr="00056819">
        <w:rPr>
          <w:rFonts w:ascii="Times New Roman" w:hAnsi="Times New Roman"/>
          <w:sz w:val="24"/>
          <w:szCs w:val="24"/>
        </w:rPr>
        <w:t>regular employment.</w:t>
      </w:r>
      <w:r>
        <w:rPr>
          <w:rFonts w:ascii="Times New Roman" w:hAnsi="Times New Roman"/>
          <w:sz w:val="24"/>
          <w:szCs w:val="24"/>
        </w:rPr>
        <w:t xml:space="preserve">’ </w:t>
      </w:r>
      <w:r w:rsidRPr="00056819">
        <w:rPr>
          <w:rFonts w:ascii="Times New Roman" w:hAnsi="Times New Roman"/>
          <w:sz w:val="24"/>
          <w:szCs w:val="24"/>
        </w:rPr>
        <w:t>KRS 342.140(3). In this case, Appellant is self-employed</w:t>
      </w:r>
      <w:r>
        <w:rPr>
          <w:rFonts w:ascii="Times New Roman" w:hAnsi="Times New Roman"/>
          <w:sz w:val="24"/>
          <w:szCs w:val="24"/>
        </w:rPr>
        <w:t>….</w:t>
      </w:r>
      <w:r w:rsidRPr="00056819">
        <w:rPr>
          <w:rFonts w:ascii="Times New Roman" w:hAnsi="Times New Roman"/>
          <w:sz w:val="24"/>
          <w:szCs w:val="24"/>
        </w:rPr>
        <w:t xml:space="preserve"> The ALJ held that because Appellant owned his own business, he did not have wages from regular employment. In other words, Appellant could not claim money earned as the owner of the business as wages for the purpose of calculating his average weekly wage.” </w:t>
      </w:r>
    </w:p>
    <w:p w14:paraId="1CA24179" w14:textId="77777777" w:rsidR="002B1283" w:rsidRDefault="002B1283" w:rsidP="002B1283">
      <w:pPr>
        <w:pStyle w:val="NoSpacing"/>
        <w:ind w:left="720"/>
        <w:rPr>
          <w:rFonts w:ascii="Times New Roman" w:hAnsi="Times New Roman"/>
          <w:sz w:val="24"/>
          <w:szCs w:val="24"/>
        </w:rPr>
      </w:pPr>
      <w:hyperlink r:id="rId601" w:history="1">
        <w:r w:rsidRPr="00455844">
          <w:rPr>
            <w:rStyle w:val="Hyperlink"/>
            <w:rFonts w:ascii="Times New Roman" w:hAnsi="Times New Roman"/>
            <w:sz w:val="24"/>
            <w:szCs w:val="24"/>
          </w:rPr>
          <w:t>https://cases.justia.com/kentucky/court-of-appeals/2019-2019-ca-000504-wc.pdf?ts=1562940239</w:t>
        </w:r>
      </w:hyperlink>
      <w:r>
        <w:rPr>
          <w:rFonts w:ascii="Times New Roman" w:hAnsi="Times New Roman"/>
          <w:sz w:val="24"/>
          <w:szCs w:val="24"/>
        </w:rPr>
        <w:t xml:space="preserve"> </w:t>
      </w:r>
    </w:p>
    <w:p w14:paraId="17B691AE" w14:textId="77777777" w:rsidR="002B1283" w:rsidRDefault="002B1283" w:rsidP="002B1283">
      <w:pPr>
        <w:pStyle w:val="NoSpacing"/>
        <w:rPr>
          <w:rFonts w:ascii="OnTimes New Roman" w:hAnsi="OnTimes New Roman"/>
          <w:sz w:val="24"/>
          <w:szCs w:val="24"/>
        </w:rPr>
      </w:pPr>
      <w:r>
        <w:rPr>
          <w:rFonts w:ascii="OnTimes New Roman" w:hAnsi="OnTimes New Roman"/>
          <w:sz w:val="24"/>
          <w:szCs w:val="24"/>
        </w:rPr>
        <w:t xml:space="preserve"> </w:t>
      </w:r>
    </w:p>
    <w:p w14:paraId="325265C1" w14:textId="77777777" w:rsidR="002B1283" w:rsidRDefault="002B1283" w:rsidP="002B1283">
      <w:pPr>
        <w:pStyle w:val="NoSpacing"/>
        <w:rPr>
          <w:rFonts w:ascii="Times New Roman" w:hAnsi="Times New Roman"/>
          <w:b/>
          <w:bCs/>
          <w:sz w:val="24"/>
          <w:szCs w:val="24"/>
        </w:rPr>
      </w:pPr>
      <w:r w:rsidRPr="00B81377">
        <w:rPr>
          <w:rFonts w:ascii="Times New Roman" w:hAnsi="Times New Roman"/>
          <w:b/>
          <w:bCs/>
          <w:sz w:val="24"/>
          <w:szCs w:val="24"/>
        </w:rPr>
        <w:t xml:space="preserve">Legal Lesson Learned: </w:t>
      </w:r>
      <w:r>
        <w:rPr>
          <w:rFonts w:ascii="Times New Roman" w:hAnsi="Times New Roman"/>
          <w:b/>
          <w:bCs/>
          <w:sz w:val="24"/>
          <w:szCs w:val="24"/>
        </w:rPr>
        <w:t xml:space="preserve"> Kentucky statute, like many states, will award volunteer firefighters their loss wages based on wages of their “regular employment.” This self-employed firefighter will have his medical expenses covered.  </w:t>
      </w:r>
    </w:p>
    <w:p w14:paraId="1E16657F" w14:textId="77777777" w:rsidR="002B1283" w:rsidRDefault="002B1283" w:rsidP="002B1283">
      <w:pPr>
        <w:pStyle w:val="NoSpacing"/>
        <w:rPr>
          <w:rFonts w:ascii="Times New Roman" w:hAnsi="Times New Roman"/>
          <w:b/>
          <w:bCs/>
          <w:sz w:val="24"/>
          <w:szCs w:val="24"/>
        </w:rPr>
      </w:pPr>
    </w:p>
    <w:p w14:paraId="5C407E72" w14:textId="77777777" w:rsidR="002B1283" w:rsidRPr="00965872" w:rsidRDefault="002B1283" w:rsidP="00965872">
      <w:pPr>
        <w:pStyle w:val="NoSpacing"/>
        <w:rPr>
          <w:rFonts w:ascii="Times New Roman" w:hAnsi="Times New Roman"/>
          <w:sz w:val="24"/>
          <w:szCs w:val="24"/>
        </w:rPr>
      </w:pPr>
      <w:r w:rsidRPr="00965872">
        <w:rPr>
          <w:rFonts w:ascii="Times New Roman" w:hAnsi="Times New Roman"/>
          <w:sz w:val="24"/>
          <w:szCs w:val="24"/>
        </w:rPr>
        <w:t xml:space="preserve">The Administrative Law Judge awarded “temporary total disability (‘TTD’) based upon the state minimum benefit in effect for the date of injury, medical benefits, and placed the claim in abeyance until Lashley reaches maximum medical improvement (“MMI”).  The ALJ noted Lashley has not yet reached MMI.”  </w:t>
      </w:r>
      <w:hyperlink r:id="rId602" w:history="1">
        <w:r w:rsidRPr="00965872">
          <w:rPr>
            <w:rStyle w:val="Hyperlink"/>
            <w:rFonts w:ascii="Times New Roman" w:hAnsi="Times New Roman"/>
            <w:sz w:val="24"/>
            <w:szCs w:val="24"/>
          </w:rPr>
          <w:t>https://comped.net/opinions_recentdisp.php?ID=7270</w:t>
        </w:r>
      </w:hyperlink>
      <w:r w:rsidRPr="00965872">
        <w:rPr>
          <w:rFonts w:ascii="Times New Roman" w:hAnsi="Times New Roman"/>
          <w:sz w:val="24"/>
          <w:szCs w:val="24"/>
        </w:rPr>
        <w:t xml:space="preserve"> </w:t>
      </w:r>
    </w:p>
    <w:p w14:paraId="504E78D9" w14:textId="77777777" w:rsidR="002B1283" w:rsidRPr="00965872" w:rsidRDefault="002B1283" w:rsidP="002B1283">
      <w:pPr>
        <w:pStyle w:val="NoSpacing"/>
        <w:rPr>
          <w:rFonts w:ascii="Times New Roman" w:hAnsi="Times New Roman"/>
          <w:b/>
          <w:bCs/>
          <w:sz w:val="24"/>
          <w:szCs w:val="24"/>
        </w:rPr>
      </w:pPr>
    </w:p>
    <w:p w14:paraId="06E00225" w14:textId="77777777" w:rsidR="005A414F" w:rsidRDefault="005A414F" w:rsidP="002B1283">
      <w:pPr>
        <w:pStyle w:val="NoSpacing"/>
        <w:rPr>
          <w:rFonts w:ascii="Arial Black" w:hAnsi="Arial Black"/>
          <w:sz w:val="24"/>
          <w:szCs w:val="24"/>
        </w:rPr>
      </w:pPr>
    </w:p>
    <w:p w14:paraId="6AA82951" w14:textId="77777777" w:rsidR="005A414F" w:rsidRDefault="005A414F" w:rsidP="002B1283">
      <w:pPr>
        <w:pStyle w:val="NoSpacing"/>
        <w:rPr>
          <w:rFonts w:ascii="Arial Black" w:hAnsi="Arial Black"/>
          <w:sz w:val="24"/>
          <w:szCs w:val="24"/>
        </w:rPr>
      </w:pPr>
    </w:p>
    <w:p w14:paraId="3D5398EE" w14:textId="31D5CA64" w:rsidR="002B1283" w:rsidRDefault="00EF1133" w:rsidP="002B1283">
      <w:pPr>
        <w:pStyle w:val="NoSpacing"/>
        <w:rPr>
          <w:rFonts w:ascii="MIArial Black" w:hAnsi="MIArial Black"/>
          <w:b/>
          <w:bCs/>
          <w:sz w:val="28"/>
          <w:szCs w:val="28"/>
        </w:rPr>
      </w:pPr>
      <w:r w:rsidRPr="00791CA3">
        <w:rPr>
          <w:rFonts w:ascii="Arial Black" w:hAnsi="Arial Black"/>
          <w:sz w:val="24"/>
          <w:szCs w:val="24"/>
        </w:rPr>
        <w:t>2-1</w:t>
      </w:r>
      <w:r w:rsidR="00D07E6E">
        <w:rPr>
          <w:rFonts w:ascii="Arial Black" w:hAnsi="Arial Black"/>
          <w:sz w:val="24"/>
          <w:szCs w:val="24"/>
        </w:rPr>
        <w:t>7</w:t>
      </w:r>
    </w:p>
    <w:p w14:paraId="28946251" w14:textId="77777777" w:rsidR="005A414F" w:rsidRDefault="005A414F" w:rsidP="002B1283">
      <w:pPr>
        <w:pStyle w:val="NoSpacing"/>
        <w:rPr>
          <w:rFonts w:ascii="MIArial Black" w:hAnsi="MIArial Black"/>
          <w:b/>
          <w:bCs/>
          <w:sz w:val="28"/>
          <w:szCs w:val="28"/>
        </w:rPr>
      </w:pPr>
    </w:p>
    <w:p w14:paraId="41AE04B9" w14:textId="16788509" w:rsidR="002B1283" w:rsidRPr="00965872" w:rsidRDefault="002B1283" w:rsidP="002B1283">
      <w:pPr>
        <w:pStyle w:val="NoSpacing"/>
        <w:rPr>
          <w:rFonts w:ascii="Arial Black" w:hAnsi="Arial Black"/>
          <w:b/>
          <w:bCs/>
          <w:sz w:val="28"/>
          <w:szCs w:val="28"/>
        </w:rPr>
      </w:pPr>
      <w:r w:rsidRPr="00965872">
        <w:rPr>
          <w:rFonts w:ascii="Arial Black" w:hAnsi="Arial Black"/>
          <w:b/>
          <w:bCs/>
          <w:sz w:val="28"/>
          <w:szCs w:val="28"/>
        </w:rPr>
        <w:t>MI: RESTAURANT OPERATORS CLAIM THAT “ORIGIN &amp; CAUSE” RPT.  CHANGED TO “INCENDARY” TO DEFLECT ATTENTION FD DEFICIENCIES - LODD / $3,500 OSHA FINE</w:t>
      </w:r>
    </w:p>
    <w:p w14:paraId="4BF81774" w14:textId="77777777" w:rsidR="002B1283" w:rsidRPr="00965872" w:rsidRDefault="002B1283" w:rsidP="002B1283">
      <w:pPr>
        <w:pStyle w:val="NoSpacing"/>
        <w:rPr>
          <w:rFonts w:ascii="Arial Black" w:hAnsi="Arial Black"/>
          <w:b/>
          <w:bCs/>
          <w:sz w:val="28"/>
          <w:szCs w:val="28"/>
        </w:rPr>
      </w:pPr>
    </w:p>
    <w:p w14:paraId="07A8ACB6" w14:textId="77777777" w:rsidR="002B1283" w:rsidRDefault="002B1283" w:rsidP="002B1283">
      <w:pPr>
        <w:pStyle w:val="NoSpacing"/>
      </w:pPr>
      <w:r>
        <w:rPr>
          <w:rFonts w:ascii="On Times New Roman" w:hAnsi="On Times New Roman"/>
          <w:sz w:val="24"/>
          <w:szCs w:val="24"/>
        </w:rPr>
        <w:t xml:space="preserve">On July 10, 2019, in </w:t>
      </w:r>
      <w:r w:rsidRPr="005C2640">
        <w:rPr>
          <w:rFonts w:ascii="On Times New Roman" w:hAnsi="On Times New Roman"/>
          <w:sz w:val="24"/>
          <w:szCs w:val="24"/>
          <w:u w:val="single"/>
        </w:rPr>
        <w:t>George Marvaso</w:t>
      </w:r>
      <w:r>
        <w:rPr>
          <w:rFonts w:ascii="On Times New Roman" w:hAnsi="On Times New Roman"/>
          <w:sz w:val="24"/>
          <w:szCs w:val="24"/>
          <w:u w:val="single"/>
        </w:rPr>
        <w:t xml:space="preserve"> et al. v. John Adams et </w:t>
      </w:r>
      <w:r w:rsidRPr="00BA5B0D">
        <w:rPr>
          <w:rFonts w:ascii="On Times New Roman" w:hAnsi="On Times New Roman"/>
          <w:sz w:val="24"/>
          <w:szCs w:val="24"/>
        </w:rPr>
        <w:t>al</w:t>
      </w:r>
      <w:r>
        <w:rPr>
          <w:rFonts w:ascii="On Times New Roman" w:hAnsi="On Times New Roman"/>
          <w:sz w:val="24"/>
          <w:szCs w:val="24"/>
        </w:rPr>
        <w:t xml:space="preserve">., </w:t>
      </w:r>
      <w:r w:rsidRPr="00BA5B0D">
        <w:rPr>
          <w:rFonts w:ascii="On Times New Roman" w:hAnsi="On Times New Roman"/>
          <w:sz w:val="24"/>
          <w:szCs w:val="24"/>
        </w:rPr>
        <w:t>U</w:t>
      </w:r>
      <w:r w:rsidRPr="001C27EB">
        <w:rPr>
          <w:rFonts w:ascii="On Times New Roman" w:hAnsi="On Times New Roman"/>
          <w:sz w:val="24"/>
          <w:szCs w:val="24"/>
        </w:rPr>
        <w:t>.S. District Court Judge</w:t>
      </w:r>
      <w:r>
        <w:rPr>
          <w:rFonts w:ascii="On Times New Roman" w:hAnsi="On Times New Roman"/>
          <w:sz w:val="24"/>
          <w:szCs w:val="24"/>
        </w:rPr>
        <w:t xml:space="preserve"> Linda V. Parker denied the defense motion to dismiss by the Fire Marshal, the Fire Chief, and his father, the former Fire Chief, holding the “</w:t>
      </w:r>
      <w:r w:rsidRPr="001C27EB">
        <w:rPr>
          <w:rFonts w:ascii="Times New Roman" w:hAnsi="Times New Roman"/>
          <w:sz w:val="24"/>
          <w:szCs w:val="24"/>
        </w:rPr>
        <w:t>Court concludes that Plaintiffs plead sufficient facts to support their §1983 claim against Defendants and that Defendants are not entitled to qualified immunity.</w:t>
      </w:r>
      <w:r>
        <w:rPr>
          <w:rFonts w:ascii="Times New Roman" w:hAnsi="Times New Roman"/>
          <w:sz w:val="24"/>
          <w:szCs w:val="24"/>
        </w:rPr>
        <w:t xml:space="preserve">” </w:t>
      </w:r>
      <w:hyperlink r:id="rId603" w:history="1">
        <w:r w:rsidRPr="003454A7">
          <w:rPr>
            <w:rStyle w:val="Hyperlink"/>
          </w:rPr>
          <w:t>http://41af3k34gprx4f6bg12df75i.wpengine.netdna-cdn.com/wp-content/uploads/sites/19/2019/07/Marvaso-v.-Adams_-2019-U.S.-Dist.-LEXIS-114276.pdf</w:t>
        </w:r>
      </w:hyperlink>
      <w:r>
        <w:t xml:space="preserve"> </w:t>
      </w:r>
    </w:p>
    <w:p w14:paraId="6CF68759" w14:textId="77777777" w:rsidR="002B1283" w:rsidRDefault="002B1283" w:rsidP="002B1283">
      <w:pPr>
        <w:pStyle w:val="NoSpacing"/>
      </w:pPr>
    </w:p>
    <w:p w14:paraId="4CCC586A" w14:textId="77777777" w:rsidR="002B1283" w:rsidRDefault="002B1283" w:rsidP="002B1283">
      <w:pPr>
        <w:pStyle w:val="NoSpacing"/>
        <w:rPr>
          <w:rFonts w:ascii="Times New Roman" w:hAnsi="Times New Roman"/>
          <w:b/>
          <w:bCs/>
          <w:sz w:val="24"/>
          <w:szCs w:val="24"/>
        </w:rPr>
      </w:pPr>
      <w:r w:rsidRPr="00B14CDE">
        <w:rPr>
          <w:rFonts w:ascii="Times New Roman" w:hAnsi="Times New Roman"/>
          <w:b/>
          <w:bCs/>
          <w:sz w:val="24"/>
          <w:szCs w:val="24"/>
        </w:rPr>
        <w:t>Legal Lessons Learned:</w:t>
      </w:r>
      <w:r>
        <w:rPr>
          <w:rFonts w:ascii="Times New Roman" w:hAnsi="Times New Roman"/>
          <w:b/>
          <w:bCs/>
          <w:sz w:val="24"/>
          <w:szCs w:val="24"/>
        </w:rPr>
        <w:t xml:space="preserve">  This lawsuit may now proceed to pre-trial discovery.  </w:t>
      </w:r>
    </w:p>
    <w:p w14:paraId="5668AB21" w14:textId="77777777" w:rsidR="002B1283" w:rsidRDefault="002B1283" w:rsidP="002B1283">
      <w:pPr>
        <w:pStyle w:val="NoSpacing"/>
        <w:rPr>
          <w:rFonts w:ascii="Times New Roman" w:hAnsi="Times New Roman"/>
          <w:b/>
          <w:bCs/>
          <w:sz w:val="24"/>
          <w:szCs w:val="24"/>
        </w:rPr>
      </w:pPr>
    </w:p>
    <w:p w14:paraId="0879FBEA" w14:textId="77777777" w:rsidR="002B1283" w:rsidRPr="00B14CDE" w:rsidRDefault="002B1283" w:rsidP="002B1283">
      <w:pPr>
        <w:pStyle w:val="NoSpacing"/>
        <w:ind w:left="720"/>
        <w:rPr>
          <w:b/>
          <w:bCs/>
          <w:sz w:val="24"/>
          <w:szCs w:val="24"/>
        </w:rPr>
      </w:pPr>
      <w:r>
        <w:rPr>
          <w:rFonts w:ascii="Times New Roman" w:hAnsi="Times New Roman"/>
          <w:sz w:val="24"/>
          <w:szCs w:val="24"/>
        </w:rPr>
        <w:t xml:space="preserve">Read </w:t>
      </w:r>
      <w:r w:rsidRPr="00B14CDE">
        <w:rPr>
          <w:rFonts w:ascii="Times New Roman" w:hAnsi="Times New Roman"/>
          <w:sz w:val="24"/>
          <w:szCs w:val="24"/>
        </w:rPr>
        <w:t>NIOSH Firefighter Fatality Report</w:t>
      </w:r>
      <w:r>
        <w:rPr>
          <w:rFonts w:ascii="Times New Roman" w:hAnsi="Times New Roman"/>
          <w:sz w:val="24"/>
          <w:szCs w:val="24"/>
        </w:rPr>
        <w:t xml:space="preserve"> </w:t>
      </w:r>
      <w:r w:rsidRPr="00B14CDE">
        <w:rPr>
          <w:rFonts w:ascii="Times New Roman" w:hAnsi="Times New Roman"/>
          <w:sz w:val="24"/>
          <w:szCs w:val="24"/>
        </w:rPr>
        <w:t>F2013-14: “Career Probationary Fire Fighter Runs Out of Air and Dies in Commercial Structure Fire—Michigan</w:t>
      </w:r>
      <w:r>
        <w:rPr>
          <w:rFonts w:ascii="Times New Roman" w:hAnsi="Times New Roman"/>
          <w:sz w:val="24"/>
          <w:szCs w:val="24"/>
        </w:rPr>
        <w:t>.</w:t>
      </w:r>
      <w:r w:rsidRPr="00B14CDE">
        <w:rPr>
          <w:rFonts w:ascii="Times New Roman" w:hAnsi="Times New Roman"/>
          <w:sz w:val="24"/>
          <w:szCs w:val="24"/>
        </w:rPr>
        <w:t>”</w:t>
      </w:r>
      <w:r>
        <w:rPr>
          <w:b/>
          <w:bCs/>
          <w:sz w:val="24"/>
          <w:szCs w:val="24"/>
        </w:rPr>
        <w:t xml:space="preserve"> </w:t>
      </w:r>
      <w:hyperlink r:id="rId604" w:history="1">
        <w:r w:rsidRPr="0076015A">
          <w:rPr>
            <w:rStyle w:val="Hyperlink"/>
            <w:b/>
            <w:bCs/>
            <w:sz w:val="24"/>
            <w:szCs w:val="24"/>
          </w:rPr>
          <w:t>https://www.cdc.gov/niosh/fire/pdfs/face201314.pdf</w:t>
        </w:r>
      </w:hyperlink>
      <w:r>
        <w:rPr>
          <w:b/>
          <w:bCs/>
          <w:sz w:val="24"/>
          <w:szCs w:val="24"/>
        </w:rPr>
        <w:t xml:space="preserve"> </w:t>
      </w:r>
    </w:p>
    <w:p w14:paraId="4AC1FB33" w14:textId="77777777" w:rsidR="002B1283" w:rsidRPr="00B14CDE" w:rsidRDefault="002B1283" w:rsidP="002B1283">
      <w:pPr>
        <w:pStyle w:val="NoSpacing"/>
        <w:rPr>
          <w:rFonts w:ascii="Times New Roman" w:hAnsi="Times New Roman"/>
          <w:b/>
          <w:bCs/>
          <w:sz w:val="24"/>
          <w:szCs w:val="24"/>
        </w:rPr>
      </w:pPr>
    </w:p>
    <w:p w14:paraId="0ECEC067" w14:textId="77777777" w:rsidR="002B1283" w:rsidRPr="00BA5B0D" w:rsidRDefault="002B1283" w:rsidP="002B1283">
      <w:pPr>
        <w:pStyle w:val="NoSpacing"/>
        <w:ind w:left="1440"/>
        <w:rPr>
          <w:rFonts w:ascii="Times New Roman" w:hAnsi="Times New Roman"/>
          <w:sz w:val="24"/>
          <w:szCs w:val="24"/>
        </w:rPr>
      </w:pPr>
      <w:r>
        <w:rPr>
          <w:rFonts w:ascii="Times New Roman" w:hAnsi="Times New Roman"/>
          <w:sz w:val="24"/>
          <w:szCs w:val="24"/>
        </w:rPr>
        <w:t>“</w:t>
      </w:r>
      <w:r w:rsidRPr="00BA5B0D">
        <w:rPr>
          <w:rFonts w:ascii="Times New Roman" w:hAnsi="Times New Roman"/>
          <w:sz w:val="24"/>
          <w:szCs w:val="24"/>
        </w:rPr>
        <w:t xml:space="preserve">On May 8, 2013, a 29-year-old male career probationary fire fighter died after running out of air and being trapped by a roof collapse in a commercial strip mall fire. The fire fighter was one of three fire fighters who had stretched a 1½-inch </w:t>
      </w:r>
      <w:proofErr w:type="spellStart"/>
      <w:r w:rsidRPr="00BA5B0D">
        <w:rPr>
          <w:rFonts w:ascii="Times New Roman" w:hAnsi="Times New Roman"/>
          <w:sz w:val="24"/>
          <w:szCs w:val="24"/>
        </w:rPr>
        <w:t>hoseline</w:t>
      </w:r>
      <w:proofErr w:type="spellEnd"/>
      <w:r w:rsidRPr="00BA5B0D">
        <w:rPr>
          <w:rFonts w:ascii="Times New Roman" w:hAnsi="Times New Roman"/>
          <w:sz w:val="24"/>
          <w:szCs w:val="24"/>
        </w:rPr>
        <w:t xml:space="preserve"> from Side A into a commercial strip mall fire. The hose team had stretched deep into the structure under high heat and heavy smoke conditions and was unsuccessful in locating the seat of the fire. The hose team decided to exit the structure. During the exit, the fire fighter became separated from the other two crew members. The incident commander saw the two members of the hose team exit on Side A and called over the radio for the fire fighter. The fire fighter acknowledged the incident commander and gave his location </w:t>
      </w:r>
      <w:proofErr w:type="gramStart"/>
      <w:r w:rsidRPr="00BA5B0D">
        <w:rPr>
          <w:rFonts w:ascii="Times New Roman" w:hAnsi="Times New Roman"/>
          <w:sz w:val="24"/>
          <w:szCs w:val="24"/>
        </w:rPr>
        <w:t>in</w:t>
      </w:r>
      <w:proofErr w:type="gramEnd"/>
      <w:r w:rsidRPr="00BA5B0D">
        <w:rPr>
          <w:rFonts w:ascii="Times New Roman" w:hAnsi="Times New Roman"/>
          <w:sz w:val="24"/>
          <w:szCs w:val="24"/>
        </w:rPr>
        <w:t xml:space="preserve"> the rear of the structure. The fire fighter later gave a radio </w:t>
      </w:r>
      <w:proofErr w:type="gramStart"/>
      <w:r w:rsidRPr="00BA5B0D">
        <w:rPr>
          <w:rFonts w:ascii="Times New Roman" w:hAnsi="Times New Roman"/>
          <w:sz w:val="24"/>
          <w:szCs w:val="24"/>
        </w:rPr>
        <w:t>transmission</w:t>
      </w:r>
      <w:proofErr w:type="gramEnd"/>
      <w:r w:rsidRPr="00BA5B0D">
        <w:rPr>
          <w:rFonts w:ascii="Times New Roman" w:hAnsi="Times New Roman"/>
          <w:sz w:val="24"/>
          <w:szCs w:val="24"/>
        </w:rPr>
        <w:t xml:space="preserve"> that he was out of air. A rapid intervention team was activated but was unable to locate him before a flashover occurred and the roof collapsed. He was later recovered and pronounced dead on the scene.</w:t>
      </w:r>
      <w:r>
        <w:rPr>
          <w:rFonts w:ascii="Times New Roman" w:hAnsi="Times New Roman"/>
          <w:sz w:val="24"/>
          <w:szCs w:val="24"/>
        </w:rPr>
        <w:t>”</w:t>
      </w:r>
    </w:p>
    <w:p w14:paraId="2CB7DFF9" w14:textId="77777777" w:rsidR="002B1283" w:rsidRDefault="002B1283" w:rsidP="002B1283">
      <w:pPr>
        <w:pStyle w:val="NoSpacing"/>
      </w:pPr>
    </w:p>
    <w:p w14:paraId="41354A30" w14:textId="77777777" w:rsidR="0097592D" w:rsidRDefault="0097592D" w:rsidP="00EF1133">
      <w:pPr>
        <w:pStyle w:val="NoSpacing"/>
        <w:rPr>
          <w:rFonts w:ascii="Arial Black" w:hAnsi="Arial Black"/>
          <w:sz w:val="24"/>
          <w:szCs w:val="24"/>
        </w:rPr>
      </w:pPr>
    </w:p>
    <w:p w14:paraId="2CBF5FDA" w14:textId="77777777" w:rsidR="0097592D" w:rsidRDefault="0097592D" w:rsidP="00EF1133">
      <w:pPr>
        <w:pStyle w:val="NoSpacing"/>
        <w:rPr>
          <w:rFonts w:ascii="Arial Black" w:hAnsi="Arial Black"/>
          <w:sz w:val="24"/>
          <w:szCs w:val="24"/>
        </w:rPr>
      </w:pPr>
    </w:p>
    <w:p w14:paraId="65845C87" w14:textId="346BF5BF" w:rsidR="005A414F" w:rsidRDefault="005A414F" w:rsidP="00EF1133">
      <w:pPr>
        <w:pStyle w:val="NoSpacing"/>
        <w:rPr>
          <w:rFonts w:ascii="Arial Black" w:hAnsi="Arial Black"/>
          <w:sz w:val="24"/>
          <w:szCs w:val="24"/>
        </w:rPr>
      </w:pPr>
      <w:r>
        <w:rPr>
          <w:rFonts w:ascii="Arial Black" w:hAnsi="Arial Black"/>
          <w:sz w:val="24"/>
          <w:szCs w:val="24"/>
        </w:rPr>
        <w:t>2-1</w:t>
      </w:r>
      <w:r w:rsidR="00D07E6E">
        <w:rPr>
          <w:rFonts w:ascii="Arial Black" w:hAnsi="Arial Black"/>
          <w:sz w:val="24"/>
          <w:szCs w:val="24"/>
        </w:rPr>
        <w:t>6</w:t>
      </w:r>
    </w:p>
    <w:p w14:paraId="4A0E014B" w14:textId="77777777" w:rsidR="005A414F" w:rsidRDefault="005A414F" w:rsidP="00EF1133">
      <w:pPr>
        <w:pStyle w:val="NoSpacing"/>
        <w:rPr>
          <w:rFonts w:ascii="Arial Black" w:hAnsi="Arial Black"/>
          <w:sz w:val="24"/>
          <w:szCs w:val="24"/>
        </w:rPr>
      </w:pPr>
    </w:p>
    <w:p w14:paraId="6AB56DF7" w14:textId="77777777" w:rsidR="005A414F" w:rsidRPr="000B408C" w:rsidRDefault="005A414F" w:rsidP="005A414F">
      <w:pPr>
        <w:pStyle w:val="NoSpacing"/>
        <w:rPr>
          <w:rFonts w:ascii="Arial Black" w:hAnsi="Arial Black"/>
          <w:sz w:val="28"/>
          <w:szCs w:val="28"/>
        </w:rPr>
      </w:pPr>
      <w:r w:rsidRPr="000B408C">
        <w:rPr>
          <w:rFonts w:ascii="Arial Black" w:hAnsi="Arial Black"/>
          <w:sz w:val="28"/>
          <w:szCs w:val="28"/>
        </w:rPr>
        <w:t xml:space="preserve">MO: </w:t>
      </w:r>
      <w:r>
        <w:rPr>
          <w:rFonts w:ascii="Arial Black" w:hAnsi="Arial Black"/>
          <w:sz w:val="28"/>
          <w:szCs w:val="28"/>
        </w:rPr>
        <w:t xml:space="preserve">CANCER – WIFE OF DECEASED CAPTAIN - WINS WORKERS COMP CLAIM – OCCUPATIONAL EXPOSURES TO CARCINOGENS </w:t>
      </w:r>
    </w:p>
    <w:p w14:paraId="7415A160" w14:textId="77777777" w:rsidR="005A414F" w:rsidRPr="0044213E" w:rsidRDefault="005A414F" w:rsidP="005A414F">
      <w:pPr>
        <w:rPr>
          <w:rFonts w:ascii="Times New Roman" w:hAnsi="Times New Roman"/>
          <w:sz w:val="24"/>
          <w:szCs w:val="24"/>
        </w:rPr>
      </w:pPr>
      <w:r w:rsidRPr="0044213E">
        <w:rPr>
          <w:rFonts w:ascii="Times New Roman" w:hAnsi="Times New Roman"/>
          <w:sz w:val="24"/>
          <w:szCs w:val="24"/>
        </w:rPr>
        <w:t xml:space="preserve">On June 4, 2019, in </w:t>
      </w:r>
      <w:r w:rsidRPr="0044213E">
        <w:rPr>
          <w:rFonts w:ascii="Times New Roman" w:hAnsi="Times New Roman"/>
          <w:sz w:val="24"/>
          <w:szCs w:val="24"/>
          <w:u w:val="single"/>
        </w:rPr>
        <w:t>David Cheney (Deceased), Donna Ceney (Spouse) v. City of Gladstone</w:t>
      </w:r>
      <w:r w:rsidRPr="0044213E">
        <w:rPr>
          <w:rFonts w:ascii="Times New Roman" w:hAnsi="Times New Roman"/>
          <w:sz w:val="24"/>
          <w:szCs w:val="24"/>
        </w:rPr>
        <w:t xml:space="preserve">, </w:t>
      </w:r>
      <w:r>
        <w:rPr>
          <w:rFonts w:ascii="Times New Roman" w:hAnsi="Times New Roman"/>
          <w:sz w:val="24"/>
          <w:szCs w:val="24"/>
        </w:rPr>
        <w:t xml:space="preserve">the Missouri Court of Appeals, Western District, held (3 to 0) that the cancer was work related and she is entitled to workers comp death and burial benefits.  </w:t>
      </w:r>
      <w:hyperlink r:id="rId605" w:history="1">
        <w:r w:rsidRPr="00610C09">
          <w:rPr>
            <w:rStyle w:val="Hyperlink"/>
            <w:rFonts w:ascii="Times New Roman" w:hAnsi="Times New Roman"/>
            <w:sz w:val="24"/>
            <w:szCs w:val="24"/>
          </w:rPr>
          <w:t>https://cases.justia.com/missouri/court-of-appeals/2019-wd81939.pdf?ts=1559661108</w:t>
        </w:r>
      </w:hyperlink>
      <w:r>
        <w:rPr>
          <w:rFonts w:ascii="Times New Roman" w:hAnsi="Times New Roman"/>
          <w:sz w:val="24"/>
          <w:szCs w:val="24"/>
        </w:rPr>
        <w:t xml:space="preserve"> </w:t>
      </w:r>
    </w:p>
    <w:p w14:paraId="7CDCD37C" w14:textId="77777777" w:rsidR="005A414F" w:rsidRPr="00E56A5D" w:rsidRDefault="005A414F" w:rsidP="005A414F">
      <w:pPr>
        <w:rPr>
          <w:rFonts w:ascii="Times New Roman" w:hAnsi="Times New Roman"/>
          <w:sz w:val="24"/>
          <w:szCs w:val="24"/>
        </w:rPr>
      </w:pPr>
      <w:r>
        <w:rPr>
          <w:rFonts w:ascii="Arial" w:hAnsi="Arial" w:cs="Arial"/>
          <w:sz w:val="30"/>
          <w:szCs w:val="30"/>
        </w:rPr>
        <w:tab/>
      </w:r>
      <w:r w:rsidRPr="00E56A5D">
        <w:rPr>
          <w:rFonts w:ascii="Times New Roman" w:hAnsi="Times New Roman"/>
          <w:sz w:val="24"/>
          <w:szCs w:val="24"/>
        </w:rPr>
        <w:t xml:space="preserve">Judge Edward R. Arnidi, Jr. wrote: </w:t>
      </w:r>
    </w:p>
    <w:p w14:paraId="3EAA46BD" w14:textId="77777777" w:rsidR="005A414F" w:rsidRPr="00965872" w:rsidRDefault="005A414F" w:rsidP="005A414F">
      <w:pPr>
        <w:ind w:left="1440"/>
        <w:rPr>
          <w:rFonts w:ascii="Times New Roman" w:hAnsi="Times New Roman"/>
          <w:sz w:val="24"/>
          <w:szCs w:val="24"/>
        </w:rPr>
      </w:pPr>
      <w:r w:rsidRPr="00965872">
        <w:rPr>
          <w:rFonts w:ascii="Times New Roman" w:hAnsi="Times New Roman"/>
          <w:sz w:val="24"/>
          <w:szCs w:val="24"/>
        </w:rPr>
        <w:t xml:space="preserve">“Both Drs. Lockey and Koprivica reviewed David Cheney’s medical records. Dr. Koprivica also conducted a physical examination of David Cheney before his death. Based on the information gleaned from the records and the physical examination, both doctors concluded that David Cheney’s occupational exposure to carcinogenic smoke, fumes, and particulates experienced during his employment as a firefighter for the </w:t>
      </w:r>
      <w:proofErr w:type="gramStart"/>
      <w:r w:rsidRPr="00965872">
        <w:rPr>
          <w:rFonts w:ascii="Times New Roman" w:hAnsi="Times New Roman"/>
          <w:sz w:val="24"/>
          <w:szCs w:val="24"/>
        </w:rPr>
        <w:t>City</w:t>
      </w:r>
      <w:proofErr w:type="gramEnd"/>
      <w:r w:rsidRPr="00965872">
        <w:rPr>
          <w:rFonts w:ascii="Times New Roman" w:hAnsi="Times New Roman"/>
          <w:sz w:val="24"/>
          <w:szCs w:val="24"/>
        </w:rPr>
        <w:t xml:space="preserve"> was the prevailing factor in the development of his NHL. The Commission found this evidence credible and persuasive, and we defer to this finding. *** The Commission determined that David Cheney suffered a compensable injury by occupational disease arising out of and in the course of his employment as a firefighter with the </w:t>
      </w:r>
      <w:proofErr w:type="gramStart"/>
      <w:r w:rsidRPr="00965872">
        <w:rPr>
          <w:rFonts w:ascii="Times New Roman" w:hAnsi="Times New Roman"/>
          <w:sz w:val="24"/>
          <w:szCs w:val="24"/>
        </w:rPr>
        <w:t>City</w:t>
      </w:r>
      <w:proofErr w:type="gramEnd"/>
      <w:r w:rsidRPr="00965872">
        <w:rPr>
          <w:rFonts w:ascii="Times New Roman" w:hAnsi="Times New Roman"/>
          <w:sz w:val="24"/>
          <w:szCs w:val="24"/>
        </w:rPr>
        <w:t>. We affirm.”</w:t>
      </w:r>
    </w:p>
    <w:p w14:paraId="7B39B206" w14:textId="77777777" w:rsidR="00715CF2" w:rsidRPr="00965872" w:rsidRDefault="005A414F" w:rsidP="005A414F">
      <w:pPr>
        <w:pStyle w:val="NoSpacing"/>
        <w:tabs>
          <w:tab w:val="left" w:pos="2910"/>
        </w:tabs>
        <w:rPr>
          <w:rFonts w:ascii="Times New Roman" w:hAnsi="Times New Roman"/>
          <w:b/>
          <w:bCs/>
          <w:sz w:val="24"/>
          <w:szCs w:val="24"/>
        </w:rPr>
      </w:pPr>
      <w:r w:rsidRPr="00965872">
        <w:rPr>
          <w:rFonts w:ascii="Times New Roman" w:hAnsi="Times New Roman"/>
          <w:b/>
          <w:bCs/>
          <w:sz w:val="24"/>
          <w:szCs w:val="24"/>
        </w:rPr>
        <w:t xml:space="preserve">Legal Lessons Learned: Litigation such as this case reflects the need for statutory presumption for firefighter cancer.  See 33 states with presumption statutes: </w:t>
      </w:r>
      <w:hyperlink r:id="rId606" w:history="1">
        <w:r w:rsidRPr="00965872">
          <w:rPr>
            <w:rStyle w:val="Hyperlink"/>
            <w:rFonts w:ascii="Times New Roman" w:hAnsi="Times New Roman"/>
            <w:b/>
            <w:bCs/>
            <w:sz w:val="24"/>
            <w:szCs w:val="24"/>
          </w:rPr>
          <w:t>https://www.firstrespondercenter.org/cancer/toolsresources/presumptive-legislation-firefighter-cancer-state/</w:t>
        </w:r>
      </w:hyperlink>
      <w:r w:rsidRPr="00965872">
        <w:rPr>
          <w:rFonts w:ascii="Times New Roman" w:hAnsi="Times New Roman"/>
          <w:b/>
          <w:bCs/>
          <w:sz w:val="24"/>
          <w:szCs w:val="24"/>
        </w:rPr>
        <w:t xml:space="preserve"> </w:t>
      </w:r>
    </w:p>
    <w:p w14:paraId="24D4FF01" w14:textId="77777777" w:rsidR="00715CF2" w:rsidRPr="00965872" w:rsidRDefault="00715CF2" w:rsidP="005A414F">
      <w:pPr>
        <w:pStyle w:val="NoSpacing"/>
        <w:tabs>
          <w:tab w:val="left" w:pos="2910"/>
        </w:tabs>
        <w:rPr>
          <w:rFonts w:ascii="Times New Roman" w:hAnsi="Times New Roman"/>
          <w:sz w:val="24"/>
          <w:szCs w:val="24"/>
        </w:rPr>
      </w:pPr>
    </w:p>
    <w:p w14:paraId="2568A2E5" w14:textId="58E5257F" w:rsidR="005A414F" w:rsidRPr="00965872" w:rsidRDefault="005A414F" w:rsidP="00715CF2">
      <w:pPr>
        <w:pStyle w:val="NoSpacing"/>
        <w:tabs>
          <w:tab w:val="left" w:pos="2910"/>
        </w:tabs>
        <w:ind w:left="630"/>
        <w:rPr>
          <w:rFonts w:ascii="Times New Roman" w:hAnsi="Times New Roman"/>
          <w:b/>
          <w:bCs/>
          <w:i/>
          <w:iCs/>
          <w:sz w:val="24"/>
          <w:szCs w:val="24"/>
        </w:rPr>
      </w:pPr>
      <w:r w:rsidRPr="00965872">
        <w:rPr>
          <w:rFonts w:ascii="Times New Roman" w:hAnsi="Times New Roman"/>
          <w:sz w:val="24"/>
          <w:szCs w:val="24"/>
        </w:rPr>
        <w:t xml:space="preserve">See also July 7, </w:t>
      </w:r>
      <w:proofErr w:type="gramStart"/>
      <w:r w:rsidRPr="00965872">
        <w:rPr>
          <w:rFonts w:ascii="Times New Roman" w:hAnsi="Times New Roman"/>
          <w:sz w:val="24"/>
          <w:szCs w:val="24"/>
        </w:rPr>
        <w:t>2019</w:t>
      </w:r>
      <w:proofErr w:type="gramEnd"/>
      <w:r w:rsidRPr="00965872">
        <w:rPr>
          <w:rFonts w:ascii="Times New Roman" w:hAnsi="Times New Roman"/>
          <w:sz w:val="24"/>
          <w:szCs w:val="24"/>
        </w:rPr>
        <w:t xml:space="preserve"> article about this important win: “‘Cancer is killing our firefighters’: Missouri widow’s court win may aid those at risk”:  </w:t>
      </w:r>
      <w:hyperlink r:id="rId607" w:history="1">
        <w:r w:rsidRPr="00965872">
          <w:rPr>
            <w:rStyle w:val="Hyperlink"/>
            <w:rFonts w:ascii="Times New Roman" w:hAnsi="Times New Roman"/>
            <w:sz w:val="24"/>
            <w:szCs w:val="24"/>
          </w:rPr>
          <w:t>https://www.kansascity.com/news/politics-government/article231974862.html</w:t>
        </w:r>
      </w:hyperlink>
      <w:r w:rsidRPr="00965872">
        <w:rPr>
          <w:rFonts w:ascii="Times New Roman" w:hAnsi="Times New Roman"/>
          <w:b/>
          <w:bCs/>
          <w:i/>
          <w:iCs/>
          <w:sz w:val="24"/>
          <w:szCs w:val="24"/>
        </w:rPr>
        <w:t xml:space="preserve"> </w:t>
      </w:r>
    </w:p>
    <w:p w14:paraId="427F4348" w14:textId="2744E80A" w:rsidR="00E26EA8" w:rsidRDefault="00E26EA8" w:rsidP="005A414F">
      <w:pPr>
        <w:pStyle w:val="NoSpacing"/>
        <w:tabs>
          <w:tab w:val="left" w:pos="2910"/>
        </w:tabs>
        <w:rPr>
          <w:rFonts w:ascii="Times New Roman" w:hAnsi="Times New Roman"/>
          <w:b/>
          <w:bCs/>
          <w:i/>
          <w:iCs/>
          <w:sz w:val="24"/>
          <w:szCs w:val="24"/>
        </w:rPr>
      </w:pPr>
    </w:p>
    <w:p w14:paraId="13276E0C" w14:textId="77777777" w:rsidR="005A414F" w:rsidRDefault="005A414F" w:rsidP="00EF1133">
      <w:pPr>
        <w:pStyle w:val="NoSpacing"/>
        <w:rPr>
          <w:rFonts w:ascii="Arial Black" w:hAnsi="Arial Black"/>
          <w:sz w:val="24"/>
          <w:szCs w:val="24"/>
        </w:rPr>
      </w:pPr>
    </w:p>
    <w:p w14:paraId="4A0004E5" w14:textId="77777777" w:rsidR="00965872" w:rsidRDefault="00965872" w:rsidP="00EF1133">
      <w:pPr>
        <w:pStyle w:val="NoSpacing"/>
        <w:rPr>
          <w:rFonts w:ascii="Arial Black" w:hAnsi="Arial Black"/>
          <w:sz w:val="24"/>
          <w:szCs w:val="24"/>
        </w:rPr>
      </w:pPr>
    </w:p>
    <w:p w14:paraId="4C16E320" w14:textId="14C7A48A" w:rsidR="00EF1133" w:rsidRPr="00791CA3" w:rsidRDefault="00EF1133" w:rsidP="00EF1133">
      <w:pPr>
        <w:pStyle w:val="NoSpacing"/>
        <w:rPr>
          <w:rFonts w:ascii="Arial Black" w:hAnsi="Arial Black"/>
          <w:sz w:val="24"/>
          <w:szCs w:val="24"/>
        </w:rPr>
      </w:pPr>
      <w:r w:rsidRPr="00791CA3">
        <w:rPr>
          <w:rFonts w:ascii="Arial Black" w:hAnsi="Arial Black"/>
          <w:sz w:val="24"/>
          <w:szCs w:val="24"/>
        </w:rPr>
        <w:lastRenderedPageBreak/>
        <w:t>2-1</w:t>
      </w:r>
      <w:r w:rsidR="00D07E6E">
        <w:rPr>
          <w:rFonts w:ascii="Arial Black" w:hAnsi="Arial Black"/>
          <w:sz w:val="24"/>
          <w:szCs w:val="24"/>
        </w:rPr>
        <w:t>5</w:t>
      </w:r>
    </w:p>
    <w:p w14:paraId="7ED759EB" w14:textId="77777777" w:rsidR="00B22CD4" w:rsidRDefault="00B22CD4" w:rsidP="00F326E5">
      <w:pPr>
        <w:rPr>
          <w:sz w:val="24"/>
          <w:szCs w:val="24"/>
        </w:rPr>
      </w:pPr>
    </w:p>
    <w:p w14:paraId="59AB6FF2" w14:textId="397E81CA" w:rsidR="00B22CD4" w:rsidRDefault="00B22CD4" w:rsidP="00B22CD4">
      <w:pPr>
        <w:pStyle w:val="NoSpacing"/>
        <w:rPr>
          <w:rFonts w:ascii="Arial Black" w:hAnsi="Arial Black"/>
          <w:sz w:val="28"/>
          <w:szCs w:val="28"/>
        </w:rPr>
      </w:pPr>
      <w:r w:rsidRPr="006F3E97">
        <w:rPr>
          <w:rFonts w:ascii="Arial Black" w:hAnsi="Arial Black"/>
          <w:sz w:val="28"/>
          <w:szCs w:val="28"/>
        </w:rPr>
        <w:t xml:space="preserve">IL: </w:t>
      </w:r>
      <w:r>
        <w:rPr>
          <w:rFonts w:ascii="Arial Black" w:hAnsi="Arial Black"/>
          <w:sz w:val="28"/>
          <w:szCs w:val="28"/>
        </w:rPr>
        <w:t xml:space="preserve"> FF PRIOR HEART ISSUES - PATIENT DROPPED ON STRETCHER – LINE-OF-DUTY PENSION, LIFETIME HEALTH INSURANCE </w:t>
      </w:r>
    </w:p>
    <w:p w14:paraId="20F2818A" w14:textId="77777777" w:rsidR="00B22CD4" w:rsidRDefault="00B22CD4" w:rsidP="00B22CD4">
      <w:pPr>
        <w:pStyle w:val="NoSpacing"/>
        <w:rPr>
          <w:rFonts w:ascii="On Times New Roman" w:hAnsi="On Times New Roman"/>
          <w:sz w:val="24"/>
          <w:szCs w:val="24"/>
        </w:rPr>
      </w:pPr>
    </w:p>
    <w:p w14:paraId="126050D2" w14:textId="77777777" w:rsidR="00B22CD4" w:rsidRDefault="00B22CD4" w:rsidP="00B22CD4">
      <w:pPr>
        <w:pStyle w:val="NoSpacing"/>
        <w:rPr>
          <w:rFonts w:ascii="On Times New Roman" w:hAnsi="On Times New Roman"/>
          <w:sz w:val="24"/>
          <w:szCs w:val="24"/>
        </w:rPr>
      </w:pPr>
      <w:r>
        <w:rPr>
          <w:rFonts w:ascii="On Times New Roman" w:hAnsi="On Times New Roman"/>
          <w:sz w:val="24"/>
          <w:szCs w:val="24"/>
        </w:rPr>
        <w:t xml:space="preserve">On May 28, 2019, in </w:t>
      </w:r>
      <w:r w:rsidRPr="00340E41">
        <w:rPr>
          <w:rFonts w:ascii="On Times New Roman" w:hAnsi="On Times New Roman"/>
          <w:sz w:val="24"/>
          <w:szCs w:val="24"/>
          <w:u w:val="single"/>
        </w:rPr>
        <w:t>Patrick Cronin v. Village of Skokie</w:t>
      </w:r>
      <w:r>
        <w:rPr>
          <w:rFonts w:ascii="On Times New Roman" w:hAnsi="On Times New Roman"/>
          <w:sz w:val="24"/>
          <w:szCs w:val="24"/>
        </w:rPr>
        <w:t>, the Appellate Court of Illinois, First District, held (3 to 0) that the retired firefighter was properly awarded lifetime health insurance.</w:t>
      </w:r>
    </w:p>
    <w:p w14:paraId="140938EC" w14:textId="77777777" w:rsidR="00B22CD4" w:rsidRDefault="00B22CD4" w:rsidP="00B22CD4">
      <w:pPr>
        <w:pStyle w:val="NoSpacing"/>
        <w:rPr>
          <w:rFonts w:ascii="On Times New Roman" w:hAnsi="On Times New Roman"/>
          <w:sz w:val="24"/>
          <w:szCs w:val="24"/>
        </w:rPr>
      </w:pPr>
    </w:p>
    <w:p w14:paraId="40D964CA" w14:textId="77777777" w:rsidR="00B22CD4" w:rsidRDefault="00B22CD4" w:rsidP="00B22CD4">
      <w:pPr>
        <w:pStyle w:val="NoSpacing"/>
        <w:ind w:left="720"/>
        <w:rPr>
          <w:rFonts w:ascii="Times New Roman" w:hAnsi="Times New Roman"/>
          <w:sz w:val="24"/>
          <w:szCs w:val="24"/>
        </w:rPr>
      </w:pPr>
      <w:r>
        <w:rPr>
          <w:rFonts w:ascii="Times New Roman" w:hAnsi="Times New Roman"/>
          <w:sz w:val="24"/>
          <w:szCs w:val="24"/>
        </w:rPr>
        <w:t>“</w:t>
      </w:r>
      <w:r w:rsidRPr="00340E41">
        <w:rPr>
          <w:rFonts w:ascii="Times New Roman" w:hAnsi="Times New Roman"/>
          <w:sz w:val="24"/>
          <w:szCs w:val="24"/>
        </w:rPr>
        <w:t>In summary, because Mr. Cronin was awarded a line-of-duty disability pension by the Pension Board, he met the requirements of section 10(a) of the Benefits Act—that he suffered a catastrophic injury in the line of duty—as a matter of law. Mr. Cronin also met the requirements of section 10(b): the only work-related incident that was presented as a cause of his injury was his act of holding the stretcher as a cardiac patient was dropped onto it and he presented uncontradicted evidence that he reasonably believed he was responding to an emergency. Accordingly, Mr. Cronin is entitled to benefits under the Act, and the circuit court properly granted summary judgment in favor of Mr. Cronin and against the Village.</w:t>
      </w:r>
      <w:r>
        <w:rPr>
          <w:rFonts w:ascii="Times New Roman" w:hAnsi="Times New Roman"/>
          <w:sz w:val="24"/>
          <w:szCs w:val="24"/>
        </w:rPr>
        <w:t>”</w:t>
      </w:r>
    </w:p>
    <w:p w14:paraId="6EFC75EB" w14:textId="77777777" w:rsidR="00B22CD4" w:rsidRDefault="00B22CD4" w:rsidP="00B22CD4">
      <w:pPr>
        <w:pStyle w:val="NoSpacing"/>
        <w:ind w:left="720"/>
        <w:rPr>
          <w:rFonts w:ascii="Times New Roman" w:hAnsi="Times New Roman"/>
          <w:sz w:val="24"/>
          <w:szCs w:val="24"/>
        </w:rPr>
      </w:pPr>
      <w:hyperlink r:id="rId608" w:history="1">
        <w:r w:rsidRPr="001602A2">
          <w:rPr>
            <w:rStyle w:val="Hyperlink"/>
            <w:rFonts w:ascii="Times New Roman" w:hAnsi="Times New Roman"/>
            <w:sz w:val="24"/>
            <w:szCs w:val="24"/>
          </w:rPr>
          <w:t>http://www.illinoiscourts.gov/Opinions/AppellateCourt/2019/1stDistrict/1181163.pdf</w:t>
        </w:r>
      </w:hyperlink>
      <w:r>
        <w:rPr>
          <w:rFonts w:ascii="Times New Roman" w:hAnsi="Times New Roman"/>
          <w:sz w:val="24"/>
          <w:szCs w:val="24"/>
        </w:rPr>
        <w:t xml:space="preserve"> </w:t>
      </w:r>
    </w:p>
    <w:p w14:paraId="02FD153C" w14:textId="77777777" w:rsidR="00527EDF" w:rsidRDefault="00527EDF" w:rsidP="00B22CD4">
      <w:pPr>
        <w:pStyle w:val="NoSpacing"/>
        <w:rPr>
          <w:rFonts w:ascii="Times New Roman" w:hAnsi="Times New Roman"/>
          <w:b/>
          <w:sz w:val="24"/>
          <w:szCs w:val="24"/>
        </w:rPr>
      </w:pPr>
      <w:bookmarkStart w:id="113" w:name="_Hlk10126765"/>
    </w:p>
    <w:p w14:paraId="7189FDD7" w14:textId="0D25ECE0" w:rsidR="00B22CD4" w:rsidRPr="004A0390" w:rsidRDefault="00B22CD4" w:rsidP="00B22CD4">
      <w:pPr>
        <w:pStyle w:val="NoSpacing"/>
        <w:rPr>
          <w:rFonts w:ascii="Times New Roman" w:hAnsi="Times New Roman"/>
          <w:b/>
          <w:sz w:val="24"/>
          <w:szCs w:val="24"/>
        </w:rPr>
      </w:pPr>
      <w:r w:rsidRPr="004A0390">
        <w:rPr>
          <w:rFonts w:ascii="Times New Roman" w:hAnsi="Times New Roman"/>
          <w:b/>
          <w:sz w:val="24"/>
          <w:szCs w:val="24"/>
        </w:rPr>
        <w:t>Legal Lessons Learned:</w:t>
      </w:r>
      <w:r>
        <w:rPr>
          <w:rFonts w:ascii="Times New Roman" w:hAnsi="Times New Roman"/>
          <w:b/>
          <w:sz w:val="24"/>
          <w:szCs w:val="24"/>
        </w:rPr>
        <w:t xml:space="preserve">  The Illinois statute applies even to firefighters with a prior heart issue.  </w:t>
      </w:r>
    </w:p>
    <w:bookmarkEnd w:id="113"/>
    <w:p w14:paraId="1E3339CF" w14:textId="67FAFC01" w:rsidR="00B22CD4" w:rsidRDefault="00B22CD4" w:rsidP="00F326E5">
      <w:pPr>
        <w:rPr>
          <w:sz w:val="24"/>
          <w:szCs w:val="24"/>
        </w:rPr>
      </w:pPr>
    </w:p>
    <w:p w14:paraId="22A2ACF3" w14:textId="77777777" w:rsidR="0097592D" w:rsidRDefault="0097592D" w:rsidP="00F326E5">
      <w:pPr>
        <w:rPr>
          <w:sz w:val="24"/>
          <w:szCs w:val="24"/>
        </w:rPr>
      </w:pPr>
    </w:p>
    <w:p w14:paraId="4D66122C" w14:textId="5650F338" w:rsidR="00D07E6E" w:rsidRPr="00D07E6E" w:rsidRDefault="00D07E6E" w:rsidP="00F326E5">
      <w:pPr>
        <w:rPr>
          <w:rFonts w:ascii="Arial Black" w:hAnsi="Arial Black"/>
          <w:sz w:val="24"/>
          <w:szCs w:val="24"/>
        </w:rPr>
      </w:pPr>
      <w:r w:rsidRPr="00D07E6E">
        <w:rPr>
          <w:rFonts w:ascii="Arial Black" w:hAnsi="Arial Black"/>
          <w:sz w:val="24"/>
          <w:szCs w:val="24"/>
        </w:rPr>
        <w:t>2-14</w:t>
      </w:r>
    </w:p>
    <w:p w14:paraId="5B34F29C" w14:textId="77777777" w:rsidR="00D07E6E" w:rsidRPr="00D07E6E" w:rsidRDefault="00D07E6E" w:rsidP="00F326E5">
      <w:pPr>
        <w:rPr>
          <w:rFonts w:ascii="Arial Black" w:hAnsi="Arial Black" w:cs="Arial"/>
          <w:sz w:val="28"/>
          <w:szCs w:val="28"/>
        </w:rPr>
      </w:pPr>
      <w:r w:rsidRPr="00D07E6E">
        <w:rPr>
          <w:rFonts w:ascii="Arial Black" w:hAnsi="Arial Black" w:cs="Arial"/>
          <w:sz w:val="28"/>
          <w:szCs w:val="28"/>
        </w:rPr>
        <w:t xml:space="preserve">CA: FFs STRUCK HELPING MOTORIST CROSS HIGHWAY – HE FIRST DELAYED CROSSING - LAWSUIT NOT BARRED BY CA “FIREMAN’S RULE” </w:t>
      </w:r>
    </w:p>
    <w:p w14:paraId="712CE6B5" w14:textId="77777777" w:rsidR="00965872" w:rsidRDefault="00D07E6E" w:rsidP="00F326E5">
      <w:pPr>
        <w:rPr>
          <w:rFonts w:ascii="Times New Roman" w:hAnsi="Times New Roman"/>
          <w:sz w:val="24"/>
          <w:szCs w:val="24"/>
        </w:rPr>
      </w:pPr>
      <w:r w:rsidRPr="00015208">
        <w:rPr>
          <w:rFonts w:ascii="Times New Roman" w:hAnsi="Times New Roman"/>
          <w:sz w:val="24"/>
          <w:szCs w:val="24"/>
        </w:rPr>
        <w:t xml:space="preserve">On April 30, 2019, in Moraga-Orinda Fire District v. Brian Favro, the Court of Appeal of California, First Appellate District, held (3 to 0) </w:t>
      </w:r>
      <w:proofErr w:type="gramStart"/>
      <w:r w:rsidRPr="00015208">
        <w:rPr>
          <w:rFonts w:ascii="Times New Roman" w:hAnsi="Times New Roman"/>
          <w:sz w:val="24"/>
          <w:szCs w:val="24"/>
        </w:rPr>
        <w:t>in</w:t>
      </w:r>
      <w:proofErr w:type="gramEnd"/>
      <w:r w:rsidRPr="00015208">
        <w:rPr>
          <w:rFonts w:ascii="Times New Roman" w:hAnsi="Times New Roman"/>
          <w:sz w:val="24"/>
          <w:szCs w:val="24"/>
        </w:rPr>
        <w:t xml:space="preserve"> unpublished decision, that trial court improperly dismissed the fire department’s lawsuit seeking to recover cost of workers compensation for injured firefighters.</w:t>
      </w:r>
    </w:p>
    <w:p w14:paraId="5C12637D" w14:textId="6B8F3D3B" w:rsidR="00D07E6E" w:rsidRPr="00015208" w:rsidRDefault="00D07E6E" w:rsidP="00965872">
      <w:pPr>
        <w:ind w:left="720"/>
        <w:rPr>
          <w:rFonts w:ascii="Times New Roman" w:hAnsi="Times New Roman"/>
          <w:sz w:val="24"/>
          <w:szCs w:val="24"/>
        </w:rPr>
      </w:pPr>
      <w:r w:rsidRPr="00015208">
        <w:rPr>
          <w:rFonts w:ascii="Times New Roman" w:hAnsi="Times New Roman"/>
          <w:sz w:val="24"/>
          <w:szCs w:val="24"/>
        </w:rPr>
        <w:t xml:space="preserve">“There is thus a triable issue of material fact as to whether Favro was negligent in failing to cooperate with the firefighters before they were struck by Briseno-Castaneda’s SUV. If that issue were to be resolved in plaintiffs’ favor, section 1714.9, subdivision (a)(1), would apply, and the firefighter’s rule would not. Because there is a triable issue of material </w:t>
      </w:r>
      <w:proofErr w:type="gramStart"/>
      <w:r w:rsidRPr="00015208">
        <w:rPr>
          <w:rFonts w:ascii="Times New Roman" w:hAnsi="Times New Roman"/>
          <w:sz w:val="24"/>
          <w:szCs w:val="24"/>
        </w:rPr>
        <w:t>fact</w:t>
      </w:r>
      <w:proofErr w:type="gramEnd"/>
      <w:r w:rsidRPr="00015208">
        <w:rPr>
          <w:rFonts w:ascii="Times New Roman" w:hAnsi="Times New Roman"/>
          <w:sz w:val="24"/>
          <w:szCs w:val="24"/>
        </w:rPr>
        <w:t xml:space="preserve">, the trial court erred in granting summary </w:t>
      </w:r>
      <w:proofErr w:type="gramStart"/>
      <w:r w:rsidRPr="00015208">
        <w:rPr>
          <w:rFonts w:ascii="Times New Roman" w:hAnsi="Times New Roman"/>
          <w:sz w:val="24"/>
          <w:szCs w:val="24"/>
        </w:rPr>
        <w:t>judgment.”</w:t>
      </w:r>
      <w:proofErr w:type="gramEnd"/>
      <w:r w:rsidR="00015208">
        <w:rPr>
          <w:rFonts w:ascii="Times New Roman" w:hAnsi="Times New Roman"/>
          <w:sz w:val="24"/>
          <w:szCs w:val="24"/>
        </w:rPr>
        <w:t xml:space="preserve"> </w:t>
      </w:r>
      <w:hyperlink r:id="rId609" w:history="1">
        <w:r w:rsidRPr="00015208">
          <w:rPr>
            <w:rStyle w:val="Hyperlink"/>
            <w:rFonts w:ascii="Times New Roman" w:hAnsi="Times New Roman"/>
            <w:sz w:val="24"/>
            <w:szCs w:val="24"/>
          </w:rPr>
          <w:t>https://www.courts.ca.gov/opinions/nonpub/A150651.PD</w:t>
        </w:r>
      </w:hyperlink>
      <w:r w:rsidRPr="00015208">
        <w:rPr>
          <w:rFonts w:ascii="Times New Roman" w:hAnsi="Times New Roman"/>
          <w:sz w:val="24"/>
          <w:szCs w:val="24"/>
        </w:rPr>
        <w:t xml:space="preserve"> </w:t>
      </w:r>
    </w:p>
    <w:p w14:paraId="05DBF511" w14:textId="05F0E23D" w:rsidR="00B22CD4" w:rsidRPr="00015208" w:rsidRDefault="00D07E6E" w:rsidP="00F326E5">
      <w:pPr>
        <w:rPr>
          <w:rFonts w:ascii="Times New Roman" w:hAnsi="Times New Roman"/>
          <w:b/>
          <w:bCs/>
          <w:sz w:val="24"/>
          <w:szCs w:val="24"/>
        </w:rPr>
      </w:pPr>
      <w:r w:rsidRPr="00015208">
        <w:rPr>
          <w:rFonts w:ascii="Times New Roman" w:hAnsi="Times New Roman"/>
          <w:b/>
          <w:bCs/>
          <w:sz w:val="24"/>
          <w:szCs w:val="24"/>
        </w:rPr>
        <w:t>Legal Lessons Learned: The California statute is a helpful exception to Fireman’s Rule – negligent conduct after individual “knows of the presence of the firefighter.</w:t>
      </w:r>
    </w:p>
    <w:p w14:paraId="0523FF47" w14:textId="2988436C" w:rsidR="00D07E6E" w:rsidRPr="00D07E6E" w:rsidRDefault="00D07E6E" w:rsidP="00F326E5">
      <w:pPr>
        <w:rPr>
          <w:rFonts w:ascii="Times New Roman" w:hAnsi="Times New Roman"/>
          <w:sz w:val="24"/>
          <w:szCs w:val="24"/>
        </w:rPr>
      </w:pPr>
    </w:p>
    <w:p w14:paraId="1308AD99" w14:textId="77777777" w:rsidR="00D07E6E" w:rsidRDefault="00D07E6E" w:rsidP="00EF1133">
      <w:pPr>
        <w:pStyle w:val="NoSpacing"/>
        <w:rPr>
          <w:rFonts w:ascii="Arial Black" w:hAnsi="Arial Black"/>
          <w:sz w:val="24"/>
          <w:szCs w:val="24"/>
        </w:rPr>
      </w:pPr>
    </w:p>
    <w:p w14:paraId="36877647" w14:textId="2FACCB86" w:rsidR="00EF1133" w:rsidRPr="00791CA3" w:rsidRDefault="00EF1133" w:rsidP="00EF1133">
      <w:pPr>
        <w:pStyle w:val="NoSpacing"/>
        <w:rPr>
          <w:rFonts w:ascii="Arial Black" w:hAnsi="Arial Black"/>
          <w:sz w:val="24"/>
          <w:szCs w:val="24"/>
        </w:rPr>
      </w:pPr>
      <w:r w:rsidRPr="00791CA3">
        <w:rPr>
          <w:rFonts w:ascii="Arial Black" w:hAnsi="Arial Black"/>
          <w:sz w:val="24"/>
          <w:szCs w:val="24"/>
        </w:rPr>
        <w:t>2-1</w:t>
      </w:r>
      <w:r>
        <w:rPr>
          <w:rFonts w:ascii="Arial Black" w:hAnsi="Arial Black"/>
          <w:sz w:val="24"/>
          <w:szCs w:val="24"/>
        </w:rPr>
        <w:t>3</w:t>
      </w:r>
    </w:p>
    <w:p w14:paraId="7B507BD4" w14:textId="77777777" w:rsidR="00B22CD4" w:rsidRDefault="00B22CD4" w:rsidP="00F326E5">
      <w:pPr>
        <w:rPr>
          <w:sz w:val="24"/>
          <w:szCs w:val="24"/>
        </w:rPr>
      </w:pPr>
    </w:p>
    <w:p w14:paraId="5E803B4C" w14:textId="4545E9A4" w:rsidR="00F326E5" w:rsidRDefault="00F326E5" w:rsidP="00F326E5">
      <w:pPr>
        <w:rPr>
          <w:rFonts w:ascii="Arial Black" w:hAnsi="Arial Black"/>
          <w:sz w:val="28"/>
          <w:szCs w:val="28"/>
        </w:rPr>
      </w:pPr>
      <w:r w:rsidRPr="00E04021">
        <w:rPr>
          <w:rFonts w:ascii="Arial Black" w:hAnsi="Arial Black"/>
          <w:sz w:val="28"/>
          <w:szCs w:val="28"/>
        </w:rPr>
        <w:lastRenderedPageBreak/>
        <w:t xml:space="preserve">NJ:  </w:t>
      </w:r>
      <w:r>
        <w:rPr>
          <w:rFonts w:ascii="Arial Black" w:hAnsi="Arial Black"/>
          <w:sz w:val="28"/>
          <w:szCs w:val="28"/>
        </w:rPr>
        <w:t xml:space="preserve">FF ACCIDENTAL DEATH BENEFITS - ONLY FOR THOSE WHO DIED WHILE IN “ACTIVE SERVICE” </w:t>
      </w:r>
    </w:p>
    <w:p w14:paraId="13A0F20E" w14:textId="77777777" w:rsidR="00965872" w:rsidRDefault="00F326E5" w:rsidP="00F326E5">
      <w:pPr>
        <w:pStyle w:val="NoSpacing"/>
        <w:jc w:val="both"/>
        <w:rPr>
          <w:rFonts w:ascii="Times New Roman" w:hAnsi="Times New Roman"/>
          <w:sz w:val="24"/>
          <w:szCs w:val="24"/>
        </w:rPr>
      </w:pPr>
      <w:r w:rsidRPr="00015208">
        <w:rPr>
          <w:rFonts w:ascii="Times New Roman" w:hAnsi="Times New Roman"/>
          <w:sz w:val="24"/>
          <w:szCs w:val="24"/>
        </w:rPr>
        <w:t xml:space="preserve">On March 26, 2019, in </w:t>
      </w:r>
      <w:r w:rsidRPr="00015208">
        <w:rPr>
          <w:rFonts w:ascii="Times New Roman" w:hAnsi="Times New Roman"/>
          <w:sz w:val="24"/>
          <w:szCs w:val="24"/>
          <w:u w:val="single"/>
        </w:rPr>
        <w:t xml:space="preserve">Scott Rogow (Deceased) v. Board of Trustees, Police </w:t>
      </w:r>
      <w:proofErr w:type="gramStart"/>
      <w:r w:rsidRPr="00015208">
        <w:rPr>
          <w:rFonts w:ascii="Times New Roman" w:hAnsi="Times New Roman"/>
          <w:sz w:val="24"/>
          <w:szCs w:val="24"/>
          <w:u w:val="single"/>
        </w:rPr>
        <w:t>And</w:t>
      </w:r>
      <w:proofErr w:type="gramEnd"/>
      <w:r w:rsidRPr="00015208">
        <w:rPr>
          <w:rFonts w:ascii="Times New Roman" w:hAnsi="Times New Roman"/>
          <w:sz w:val="24"/>
          <w:szCs w:val="24"/>
          <w:u w:val="single"/>
        </w:rPr>
        <w:t xml:space="preserve"> Firemen’s Retirement System</w:t>
      </w:r>
      <w:r w:rsidRPr="00015208">
        <w:rPr>
          <w:rFonts w:ascii="Times New Roman" w:hAnsi="Times New Roman"/>
          <w:sz w:val="24"/>
          <w:szCs w:val="24"/>
        </w:rPr>
        <w:t xml:space="preserve">,  the Superior Court of New Jersey / Appellate Division held (3 to 0) in an unpublished option:  </w:t>
      </w:r>
    </w:p>
    <w:p w14:paraId="6FCC1633" w14:textId="77777777" w:rsidR="00965872" w:rsidRDefault="00965872" w:rsidP="00F326E5">
      <w:pPr>
        <w:pStyle w:val="NoSpacing"/>
        <w:jc w:val="both"/>
        <w:rPr>
          <w:rFonts w:ascii="Times New Roman" w:hAnsi="Times New Roman"/>
          <w:sz w:val="24"/>
          <w:szCs w:val="24"/>
        </w:rPr>
      </w:pPr>
    </w:p>
    <w:p w14:paraId="786FB643" w14:textId="2072D117" w:rsidR="00F326E5" w:rsidRPr="00015208" w:rsidRDefault="00F326E5" w:rsidP="00965872">
      <w:pPr>
        <w:pStyle w:val="NoSpacing"/>
        <w:ind w:left="720"/>
        <w:jc w:val="both"/>
        <w:rPr>
          <w:rFonts w:ascii="Times New Roman" w:hAnsi="Times New Roman"/>
          <w:sz w:val="24"/>
          <w:szCs w:val="24"/>
        </w:rPr>
      </w:pPr>
      <w:r w:rsidRPr="00015208">
        <w:rPr>
          <w:rFonts w:ascii="Times New Roman" w:hAnsi="Times New Roman"/>
          <w:sz w:val="24"/>
          <w:szCs w:val="24"/>
        </w:rPr>
        <w:t xml:space="preserve">“Accordingly, we conclude the Board properly determined that Rogow was ineligible for accidental death benefits because he was not a member in active service at the time of his death, as required by N.J.S.A. 43:16A-10,but was retired and receiving an accidental disability retirement allowance. The legislative history supports the Board's decision.” </w:t>
      </w:r>
    </w:p>
    <w:p w14:paraId="70B01881" w14:textId="1AE3A045" w:rsidR="00F326E5" w:rsidRPr="00015208" w:rsidRDefault="00965872" w:rsidP="00965872">
      <w:pPr>
        <w:pStyle w:val="NoSpacing"/>
        <w:ind w:firstLine="720"/>
        <w:jc w:val="both"/>
        <w:rPr>
          <w:rFonts w:ascii="Times New Roman" w:hAnsi="Times New Roman"/>
          <w:b/>
          <w:sz w:val="24"/>
          <w:szCs w:val="24"/>
        </w:rPr>
      </w:pPr>
      <w:hyperlink r:id="rId610" w:history="1">
        <w:r w:rsidRPr="002F304C">
          <w:rPr>
            <w:rStyle w:val="Hyperlink"/>
            <w:rFonts w:ascii="Times New Roman" w:hAnsi="Times New Roman"/>
            <w:sz w:val="24"/>
            <w:szCs w:val="24"/>
          </w:rPr>
          <w:t>https://njcourts.gov/attorneys/assets/opinions/appellate/unpublished/a1346-17.pdf</w:t>
        </w:r>
      </w:hyperlink>
      <w:r w:rsidR="00F326E5" w:rsidRPr="00015208">
        <w:rPr>
          <w:rFonts w:ascii="Times New Roman" w:hAnsi="Times New Roman"/>
          <w:sz w:val="24"/>
          <w:szCs w:val="24"/>
        </w:rPr>
        <w:t xml:space="preserve"> </w:t>
      </w:r>
    </w:p>
    <w:p w14:paraId="4492F1C6" w14:textId="77777777" w:rsidR="00C17A9D" w:rsidRDefault="00C17A9D" w:rsidP="00F326E5">
      <w:pPr>
        <w:pStyle w:val="NoSpacing"/>
        <w:rPr>
          <w:b/>
          <w:sz w:val="24"/>
          <w:szCs w:val="24"/>
        </w:rPr>
      </w:pPr>
    </w:p>
    <w:p w14:paraId="317CAACE" w14:textId="6E52EFFB" w:rsidR="0036327D" w:rsidRPr="0036327D" w:rsidRDefault="0036327D" w:rsidP="00F326E5">
      <w:pPr>
        <w:pStyle w:val="NoSpacing"/>
        <w:rPr>
          <w:rFonts w:ascii="Times New Roman" w:hAnsi="Times New Roman"/>
          <w:b/>
          <w:bCs/>
          <w:sz w:val="24"/>
          <w:szCs w:val="24"/>
        </w:rPr>
      </w:pPr>
      <w:r w:rsidRPr="0036327D">
        <w:rPr>
          <w:rFonts w:ascii="Times New Roman" w:hAnsi="Times New Roman"/>
          <w:b/>
          <w:bCs/>
          <w:sz w:val="24"/>
          <w:szCs w:val="24"/>
        </w:rPr>
        <w:t>Legal Lesson Learned: Courts will enforce the plain language of statutes, particularly when the language is supported by the legislative history of the statute</w:t>
      </w:r>
    </w:p>
    <w:p w14:paraId="328DE714" w14:textId="77777777" w:rsidR="0036327D" w:rsidRDefault="0036327D" w:rsidP="00F326E5">
      <w:pPr>
        <w:pStyle w:val="NoSpacing"/>
        <w:rPr>
          <w:bCs/>
          <w:sz w:val="24"/>
          <w:szCs w:val="24"/>
        </w:rPr>
      </w:pPr>
    </w:p>
    <w:bookmarkEnd w:id="91"/>
    <w:p w14:paraId="25EE5C5B" w14:textId="77777777" w:rsidR="00F326E5" w:rsidRPr="00A50673" w:rsidRDefault="00F326E5" w:rsidP="00F326E5">
      <w:pPr>
        <w:pStyle w:val="NoSpacing"/>
        <w:rPr>
          <w:b/>
          <w:sz w:val="24"/>
          <w:szCs w:val="24"/>
        </w:rPr>
      </w:pPr>
    </w:p>
    <w:p w14:paraId="4459DCAF" w14:textId="77777777" w:rsidR="00F326E5" w:rsidRDefault="00F326E5" w:rsidP="00F326E5">
      <w:pPr>
        <w:rPr>
          <w:rFonts w:ascii="Times New Roman" w:hAnsi="Times New Roman"/>
          <w:sz w:val="24"/>
          <w:szCs w:val="24"/>
        </w:rPr>
      </w:pPr>
    </w:p>
    <w:p w14:paraId="4674064E" w14:textId="75180BBE" w:rsidR="00F326E5" w:rsidRDefault="00EF1133" w:rsidP="00F326E5">
      <w:pPr>
        <w:pStyle w:val="NoSpacing"/>
        <w:rPr>
          <w:sz w:val="24"/>
          <w:szCs w:val="24"/>
        </w:rPr>
      </w:pPr>
      <w:r w:rsidRPr="00791CA3">
        <w:rPr>
          <w:rFonts w:ascii="Arial Black" w:hAnsi="Arial Black"/>
          <w:sz w:val="24"/>
          <w:szCs w:val="24"/>
        </w:rPr>
        <w:t>2-1</w:t>
      </w:r>
      <w:r>
        <w:rPr>
          <w:rFonts w:ascii="Arial Black" w:hAnsi="Arial Black"/>
          <w:sz w:val="24"/>
          <w:szCs w:val="24"/>
        </w:rPr>
        <w:t>2</w:t>
      </w:r>
    </w:p>
    <w:p w14:paraId="6C22CB48" w14:textId="77777777" w:rsidR="00F326E5" w:rsidRDefault="00F326E5" w:rsidP="00F326E5">
      <w:pPr>
        <w:pStyle w:val="NoSpacing"/>
        <w:rPr>
          <w:sz w:val="24"/>
          <w:szCs w:val="24"/>
        </w:rPr>
      </w:pPr>
    </w:p>
    <w:p w14:paraId="0DDD670B" w14:textId="26210874" w:rsidR="00F326E5" w:rsidRPr="00724064" w:rsidRDefault="00F326E5" w:rsidP="00F326E5">
      <w:pPr>
        <w:pStyle w:val="NoSpacing"/>
        <w:rPr>
          <w:rFonts w:ascii="Arial Black" w:hAnsi="Arial Black"/>
          <w:b/>
          <w:sz w:val="28"/>
          <w:szCs w:val="28"/>
        </w:rPr>
      </w:pPr>
      <w:bookmarkStart w:id="114" w:name="_Hlk7340697"/>
      <w:r w:rsidRPr="00724064">
        <w:rPr>
          <w:rFonts w:ascii="Arial Black" w:hAnsi="Arial Black"/>
          <w:b/>
          <w:sz w:val="28"/>
          <w:szCs w:val="28"/>
        </w:rPr>
        <w:t>IL</w:t>
      </w:r>
      <w:r>
        <w:rPr>
          <w:rFonts w:ascii="Arial Black" w:hAnsi="Arial Black"/>
          <w:b/>
          <w:sz w:val="28"/>
          <w:szCs w:val="28"/>
        </w:rPr>
        <w:t xml:space="preserve">: </w:t>
      </w:r>
      <w:r w:rsidRPr="00724064">
        <w:rPr>
          <w:rFonts w:ascii="Arial Black" w:hAnsi="Arial Black"/>
          <w:b/>
          <w:sz w:val="28"/>
          <w:szCs w:val="28"/>
        </w:rPr>
        <w:t>FF WITH PROSTATE CANCER</w:t>
      </w:r>
      <w:r>
        <w:rPr>
          <w:rFonts w:ascii="Arial Black" w:hAnsi="Arial Black"/>
          <w:b/>
          <w:sz w:val="28"/>
          <w:szCs w:val="28"/>
        </w:rPr>
        <w:t xml:space="preserve"> - </w:t>
      </w:r>
      <w:r w:rsidRPr="00724064">
        <w:rPr>
          <w:rFonts w:ascii="Arial Black" w:hAnsi="Arial Black"/>
          <w:b/>
          <w:sz w:val="28"/>
          <w:szCs w:val="28"/>
        </w:rPr>
        <w:t>DENIED COVERAGE</w:t>
      </w:r>
    </w:p>
    <w:p w14:paraId="01C6DB67" w14:textId="77777777" w:rsidR="00F326E5" w:rsidRPr="0036327D" w:rsidRDefault="00F326E5" w:rsidP="00F326E5">
      <w:pPr>
        <w:rPr>
          <w:rFonts w:ascii="Times New Roman" w:eastAsia="Times New Roman" w:hAnsi="Times New Roman"/>
          <w:sz w:val="24"/>
          <w:szCs w:val="24"/>
        </w:rPr>
      </w:pPr>
      <w:r w:rsidRPr="0036327D">
        <w:rPr>
          <w:rFonts w:ascii="Times New Roman" w:eastAsia="Times New Roman" w:hAnsi="Times New Roman"/>
          <w:sz w:val="24"/>
          <w:szCs w:val="24"/>
        </w:rPr>
        <w:t xml:space="preserve">On Nov. 14, 2018, in </w:t>
      </w:r>
      <w:r w:rsidRPr="0036327D">
        <w:rPr>
          <w:rFonts w:ascii="Times New Roman" w:eastAsia="Times New Roman" w:hAnsi="Times New Roman"/>
          <w:sz w:val="24"/>
          <w:szCs w:val="24"/>
          <w:u w:val="single"/>
        </w:rPr>
        <w:t>Clifford A. Ekkert v. Illinois Workers Compensation Commission and Village of Oak Brook</w:t>
      </w:r>
      <w:r w:rsidRPr="0036327D">
        <w:rPr>
          <w:rFonts w:ascii="Times New Roman" w:eastAsia="Times New Roman" w:hAnsi="Times New Roman"/>
          <w:sz w:val="24"/>
          <w:szCs w:val="24"/>
        </w:rPr>
        <w:t xml:space="preserve">, the Appellate Court of Illinois, Second District, Workers Compensation Division, held (5 to 0) that firefighter Ekkert is not covered by workers comp: “claimant did not adequately set forth and develop an argument as to why the ultimate decision of the Commission was contrary to the manifest weight of the evidence.” </w:t>
      </w:r>
      <w:hyperlink r:id="rId611" w:history="1">
        <w:r w:rsidRPr="0036327D">
          <w:rPr>
            <w:rStyle w:val="Hyperlink"/>
            <w:rFonts w:ascii="Times New Roman" w:hAnsi="Times New Roman"/>
            <w:sz w:val="24"/>
            <w:szCs w:val="24"/>
          </w:rPr>
          <w:t>http://www.illinoiscourts.gov/R23_Orders/WorkersComp/2018/2170447WC_R23.pdf</w:t>
        </w:r>
      </w:hyperlink>
      <w:r w:rsidRPr="0036327D">
        <w:rPr>
          <w:rFonts w:ascii="Times New Roman" w:eastAsia="Times New Roman" w:hAnsi="Times New Roman"/>
          <w:sz w:val="24"/>
          <w:szCs w:val="24"/>
        </w:rPr>
        <w:t xml:space="preserve"> </w:t>
      </w:r>
    </w:p>
    <w:p w14:paraId="44DBC00E" w14:textId="77777777" w:rsidR="00F326E5" w:rsidRPr="0036327D" w:rsidRDefault="00F326E5" w:rsidP="00F326E5">
      <w:pPr>
        <w:pStyle w:val="ListParagraph"/>
        <w:ind w:left="0"/>
        <w:rPr>
          <w:rFonts w:ascii="Times New Roman" w:eastAsia="Times New Roman" w:hAnsi="Times New Roman" w:cs="Times New Roman"/>
          <w:b/>
          <w:sz w:val="24"/>
          <w:szCs w:val="24"/>
        </w:rPr>
      </w:pPr>
      <w:r w:rsidRPr="0036327D">
        <w:rPr>
          <w:rFonts w:ascii="Times New Roman" w:eastAsia="Times New Roman" w:hAnsi="Times New Roman" w:cs="Times New Roman"/>
          <w:b/>
          <w:sz w:val="24"/>
          <w:szCs w:val="24"/>
        </w:rPr>
        <w:t xml:space="preserve">Legal Lessons Learned:  A firefighter with prostate cancer, seeking </w:t>
      </w:r>
      <w:proofErr w:type="gramStart"/>
      <w:r w:rsidRPr="0036327D">
        <w:rPr>
          <w:rFonts w:ascii="Times New Roman" w:eastAsia="Times New Roman" w:hAnsi="Times New Roman" w:cs="Times New Roman"/>
          <w:b/>
          <w:sz w:val="24"/>
          <w:szCs w:val="24"/>
        </w:rPr>
        <w:t>workers</w:t>
      </w:r>
      <w:proofErr w:type="gramEnd"/>
      <w:r w:rsidRPr="0036327D">
        <w:rPr>
          <w:rFonts w:ascii="Times New Roman" w:eastAsia="Times New Roman" w:hAnsi="Times New Roman" w:cs="Times New Roman"/>
          <w:b/>
          <w:sz w:val="24"/>
          <w:szCs w:val="24"/>
        </w:rPr>
        <w:t xml:space="preserve"> compensation, needs to consult a board-certified expert in urology.  The statutory presumption is rebuttable by employer’s expert witness. </w:t>
      </w:r>
    </w:p>
    <w:bookmarkEnd w:id="114"/>
    <w:p w14:paraId="091725A2" w14:textId="77777777" w:rsidR="00965872" w:rsidRDefault="00965872" w:rsidP="00EF1133">
      <w:pPr>
        <w:pStyle w:val="NoSpacing"/>
        <w:rPr>
          <w:rFonts w:ascii="Arial Black" w:hAnsi="Arial Black"/>
          <w:sz w:val="24"/>
          <w:szCs w:val="24"/>
        </w:rPr>
      </w:pPr>
    </w:p>
    <w:p w14:paraId="4B630D31" w14:textId="77777777" w:rsidR="00965872" w:rsidRDefault="00965872" w:rsidP="00EF1133">
      <w:pPr>
        <w:pStyle w:val="NoSpacing"/>
        <w:rPr>
          <w:rFonts w:ascii="Arial Black" w:hAnsi="Arial Black"/>
          <w:sz w:val="24"/>
          <w:szCs w:val="24"/>
        </w:rPr>
      </w:pPr>
    </w:p>
    <w:p w14:paraId="4F3C8302" w14:textId="580B7A63" w:rsidR="00EF1133" w:rsidRPr="00791CA3" w:rsidRDefault="00EF1133" w:rsidP="00EF1133">
      <w:pPr>
        <w:pStyle w:val="NoSpacing"/>
        <w:rPr>
          <w:rFonts w:ascii="Arial Black" w:hAnsi="Arial Black"/>
          <w:sz w:val="24"/>
          <w:szCs w:val="24"/>
        </w:rPr>
      </w:pPr>
      <w:r w:rsidRPr="00791CA3">
        <w:rPr>
          <w:rFonts w:ascii="Arial Black" w:hAnsi="Arial Black"/>
          <w:sz w:val="24"/>
          <w:szCs w:val="24"/>
        </w:rPr>
        <w:t>2-1</w:t>
      </w:r>
      <w:r>
        <w:rPr>
          <w:rFonts w:ascii="Arial Black" w:hAnsi="Arial Black"/>
          <w:sz w:val="24"/>
          <w:szCs w:val="24"/>
        </w:rPr>
        <w:t>1</w:t>
      </w:r>
    </w:p>
    <w:p w14:paraId="1FFB4BB2" w14:textId="77777777" w:rsidR="00F326E5" w:rsidRDefault="00F326E5" w:rsidP="00F326E5">
      <w:pPr>
        <w:rPr>
          <w:sz w:val="24"/>
          <w:szCs w:val="24"/>
        </w:rPr>
      </w:pPr>
    </w:p>
    <w:p w14:paraId="0693AAD5" w14:textId="5C4E15BE" w:rsidR="00F326E5" w:rsidRPr="002B7386" w:rsidRDefault="00F326E5" w:rsidP="00F326E5">
      <w:pPr>
        <w:rPr>
          <w:sz w:val="24"/>
          <w:szCs w:val="24"/>
        </w:rPr>
      </w:pPr>
      <w:bookmarkStart w:id="115" w:name="_Hlk7340734"/>
      <w:r>
        <w:rPr>
          <w:rFonts w:ascii="Arial Black" w:hAnsi="Arial Black"/>
          <w:sz w:val="28"/>
          <w:szCs w:val="28"/>
        </w:rPr>
        <w:t>PA:  SKIN CANCER - FF DID NOT SHOW SCIENTIFIC EVIDENCE CONNECTING TO JOB</w:t>
      </w:r>
    </w:p>
    <w:p w14:paraId="7766ECFE" w14:textId="6A9B283F" w:rsidR="00965872" w:rsidRDefault="00F326E5" w:rsidP="00F326E5">
      <w:pPr>
        <w:pStyle w:val="NoSpacing"/>
        <w:rPr>
          <w:rFonts w:ascii="Times New Roman" w:eastAsia="Times New Roman" w:hAnsi="Times New Roman"/>
          <w:sz w:val="24"/>
          <w:szCs w:val="24"/>
        </w:rPr>
      </w:pPr>
      <w:r w:rsidRPr="0036327D">
        <w:rPr>
          <w:rFonts w:ascii="Times New Roman" w:hAnsi="Times New Roman"/>
          <w:sz w:val="24"/>
          <w:szCs w:val="24"/>
        </w:rPr>
        <w:t xml:space="preserve">On Oct. 18, 2018, in </w:t>
      </w:r>
      <w:r w:rsidRPr="0036327D">
        <w:rPr>
          <w:rFonts w:ascii="Times New Roman" w:eastAsia="Times New Roman" w:hAnsi="Times New Roman"/>
          <w:sz w:val="24"/>
          <w:szCs w:val="24"/>
          <w:u w:val="single"/>
        </w:rPr>
        <w:t>City Of Philadelphia Fire Department v. Workers’ Compensation Appeal Board (Appeal of Scott Sladek)</w:t>
      </w:r>
      <w:r w:rsidRPr="0036327D">
        <w:rPr>
          <w:rFonts w:ascii="Times New Roman" w:eastAsia="Times New Roman" w:hAnsi="Times New Roman"/>
          <w:sz w:val="24"/>
          <w:szCs w:val="24"/>
        </w:rPr>
        <w:t>, the Supreme Court of Pennsylvania (sitting in Eastern District, Philadelphia) held (4 to 3) that a firefighter with skin cancer must present scientific evidence to Workers Comp Board that his malignant melanoma is a type of cancer caused by the Group 1 carcinogens.  The City’s expert</w:t>
      </w:r>
      <w:r w:rsidR="00965872">
        <w:rPr>
          <w:rFonts w:ascii="Times New Roman" w:eastAsia="Times New Roman" w:hAnsi="Times New Roman"/>
          <w:sz w:val="24"/>
          <w:szCs w:val="24"/>
        </w:rPr>
        <w:t>:</w:t>
      </w:r>
      <w:r w:rsidRPr="0036327D">
        <w:rPr>
          <w:rFonts w:ascii="Times New Roman" w:eastAsia="Times New Roman" w:hAnsi="Times New Roman"/>
          <w:sz w:val="24"/>
          <w:szCs w:val="24"/>
        </w:rPr>
        <w:t xml:space="preserve"> </w:t>
      </w:r>
    </w:p>
    <w:p w14:paraId="622289F7" w14:textId="77777777" w:rsidR="00965872" w:rsidRDefault="00965872" w:rsidP="00F326E5">
      <w:pPr>
        <w:pStyle w:val="NoSpacing"/>
        <w:rPr>
          <w:rFonts w:ascii="Times New Roman" w:eastAsia="Times New Roman" w:hAnsi="Times New Roman"/>
          <w:sz w:val="24"/>
          <w:szCs w:val="24"/>
        </w:rPr>
      </w:pPr>
    </w:p>
    <w:p w14:paraId="6A0D6593" w14:textId="429ED372" w:rsidR="00F326E5" w:rsidRPr="0036327D" w:rsidRDefault="00F326E5" w:rsidP="00965872">
      <w:pPr>
        <w:pStyle w:val="NoSpacing"/>
        <w:ind w:left="720"/>
        <w:rPr>
          <w:rFonts w:ascii="Times New Roman" w:hAnsi="Times New Roman"/>
          <w:sz w:val="24"/>
          <w:szCs w:val="24"/>
        </w:rPr>
      </w:pPr>
      <w:r w:rsidRPr="0036327D">
        <w:rPr>
          <w:rFonts w:ascii="Times New Roman" w:eastAsia="Times New Roman" w:hAnsi="Times New Roman"/>
          <w:sz w:val="24"/>
          <w:szCs w:val="24"/>
        </w:rPr>
        <w:t xml:space="preserve">“Dr. Guidotti, testified that there is considerable epidemiological evidence to support a causative relationship between malignant melanoma of the skin and sunlight exposure (sunburn), but no similar evidence to support a causative connection between malignant melanoma and the inhalation of any substance.” </w:t>
      </w:r>
      <w:hyperlink r:id="rId612" w:anchor="search=%22SCOTT%20SLADEK%20%27Supreme%2bCourt%27%22" w:history="1">
        <w:r w:rsidRPr="0036327D">
          <w:rPr>
            <w:rStyle w:val="Hyperlink"/>
            <w:rFonts w:ascii="Times New Roman" w:hAnsi="Times New Roman"/>
            <w:sz w:val="24"/>
            <w:szCs w:val="24"/>
          </w:rPr>
          <w:t>http://www.pacourts.us/assets/opinions/Supreme/out/opinion%20announcing%20judgment%20of%20the%20court%20%20reversedremanded%20%2010373870143091493.pdf#search=%22SCOTT%20SLADEK%20%27Supreme%2bCourt%27%22</w:t>
        </w:r>
      </w:hyperlink>
    </w:p>
    <w:p w14:paraId="264DACD8" w14:textId="77777777" w:rsidR="00965872" w:rsidRDefault="00965872" w:rsidP="00F326E5">
      <w:pPr>
        <w:pStyle w:val="NoSpacing"/>
        <w:rPr>
          <w:rFonts w:ascii="Times New Roman" w:hAnsi="Times New Roman"/>
          <w:b/>
          <w:sz w:val="24"/>
          <w:szCs w:val="24"/>
        </w:rPr>
      </w:pPr>
    </w:p>
    <w:p w14:paraId="1EFE9B16" w14:textId="6213A27E" w:rsidR="00F326E5" w:rsidRPr="0036327D" w:rsidRDefault="00F326E5" w:rsidP="00F326E5">
      <w:pPr>
        <w:pStyle w:val="NoSpacing"/>
        <w:rPr>
          <w:rStyle w:val="Hyperlink"/>
          <w:rFonts w:ascii="Times New Roman" w:hAnsi="Times New Roman"/>
          <w:b/>
          <w:sz w:val="24"/>
          <w:szCs w:val="24"/>
        </w:rPr>
      </w:pPr>
      <w:r w:rsidRPr="0036327D">
        <w:rPr>
          <w:rFonts w:ascii="Times New Roman" w:hAnsi="Times New Roman"/>
          <w:b/>
          <w:sz w:val="24"/>
          <w:szCs w:val="24"/>
        </w:rPr>
        <w:t xml:space="preserve">Legal Lessons Learned:  There are statutory presumption statutes in many states; some cover specific cancers, such as leukemia, non-Hodgkin lymphoma, brain cancer, bladder cancer, and gastrointestinal cancer.   Other statutes do not specify the specific </w:t>
      </w:r>
      <w:proofErr w:type="gramStart"/>
      <w:r w:rsidRPr="0036327D">
        <w:rPr>
          <w:rFonts w:ascii="Times New Roman" w:hAnsi="Times New Roman"/>
          <w:b/>
          <w:sz w:val="24"/>
          <w:szCs w:val="24"/>
        </w:rPr>
        <w:t>cancers</w:t>
      </w:r>
      <w:proofErr w:type="gramEnd"/>
      <w:r w:rsidRPr="0036327D">
        <w:rPr>
          <w:rFonts w:ascii="Times New Roman" w:hAnsi="Times New Roman"/>
          <w:b/>
          <w:sz w:val="24"/>
          <w:szCs w:val="24"/>
        </w:rPr>
        <w:t xml:space="preserve">, and  </w:t>
      </w:r>
      <w:r w:rsidRPr="0036327D">
        <w:rPr>
          <w:rFonts w:ascii="Times New Roman" w:eastAsia="Times New Roman" w:hAnsi="Times New Roman"/>
          <w:b/>
          <w:sz w:val="24"/>
          <w:szCs w:val="24"/>
        </w:rPr>
        <w:t xml:space="preserve">epidemiological evidence may be required to win a </w:t>
      </w:r>
      <w:proofErr w:type="gramStart"/>
      <w:r w:rsidRPr="0036327D">
        <w:rPr>
          <w:rFonts w:ascii="Times New Roman" w:eastAsia="Times New Roman" w:hAnsi="Times New Roman"/>
          <w:b/>
          <w:sz w:val="24"/>
          <w:szCs w:val="24"/>
        </w:rPr>
        <w:t>workers</w:t>
      </w:r>
      <w:proofErr w:type="gramEnd"/>
      <w:r w:rsidRPr="0036327D">
        <w:rPr>
          <w:rFonts w:ascii="Times New Roman" w:eastAsia="Times New Roman" w:hAnsi="Times New Roman"/>
          <w:b/>
          <w:sz w:val="24"/>
          <w:szCs w:val="24"/>
        </w:rPr>
        <w:t xml:space="preserve"> comp claim.</w:t>
      </w:r>
      <w:r w:rsidRPr="0036327D">
        <w:rPr>
          <w:rStyle w:val="Hyperlink"/>
          <w:rFonts w:ascii="Times New Roman" w:hAnsi="Times New Roman"/>
          <w:sz w:val="24"/>
          <w:szCs w:val="24"/>
        </w:rPr>
        <w:t xml:space="preserve"> </w:t>
      </w:r>
    </w:p>
    <w:p w14:paraId="289056F0" w14:textId="77777777" w:rsidR="00F326E5" w:rsidRPr="0036327D" w:rsidRDefault="00F326E5" w:rsidP="00F326E5">
      <w:pPr>
        <w:pStyle w:val="NoSpacing"/>
        <w:rPr>
          <w:rFonts w:ascii="Times New Roman" w:hAnsi="Times New Roman"/>
          <w:b/>
          <w:sz w:val="24"/>
          <w:szCs w:val="24"/>
        </w:rPr>
      </w:pPr>
      <w:hyperlink r:id="rId613" w:history="1">
        <w:r w:rsidRPr="0036327D">
          <w:rPr>
            <w:rStyle w:val="Hyperlink"/>
            <w:rFonts w:ascii="Times New Roman" w:hAnsi="Times New Roman"/>
            <w:sz w:val="24"/>
            <w:szCs w:val="24"/>
          </w:rPr>
          <w:t>https://www.firstrespondercenter.org/cancer/toolsresources/presumptive-legislation-firefighter-cancer-state/</w:t>
        </w:r>
      </w:hyperlink>
    </w:p>
    <w:p w14:paraId="4463F4A7" w14:textId="77777777" w:rsidR="00F326E5" w:rsidRPr="0036327D" w:rsidRDefault="00F326E5" w:rsidP="00F326E5">
      <w:pPr>
        <w:pStyle w:val="NoSpacing"/>
        <w:rPr>
          <w:rFonts w:ascii="Times New Roman" w:hAnsi="Times New Roman"/>
          <w:b/>
          <w:sz w:val="24"/>
          <w:szCs w:val="24"/>
        </w:rPr>
      </w:pPr>
    </w:p>
    <w:p w14:paraId="7C687AD0" w14:textId="77777777" w:rsidR="00EF1133" w:rsidRDefault="00EF1133" w:rsidP="00EF1133">
      <w:pPr>
        <w:pStyle w:val="NoSpacing"/>
        <w:rPr>
          <w:rFonts w:ascii="Arial Black" w:hAnsi="Arial Black"/>
          <w:sz w:val="24"/>
          <w:szCs w:val="24"/>
        </w:rPr>
      </w:pPr>
    </w:p>
    <w:p w14:paraId="6E77FD57" w14:textId="66B6585B" w:rsidR="00EF1133" w:rsidRPr="00791CA3" w:rsidRDefault="00EF1133" w:rsidP="00EF1133">
      <w:pPr>
        <w:pStyle w:val="NoSpacing"/>
        <w:rPr>
          <w:rFonts w:ascii="Arial Black" w:hAnsi="Arial Black"/>
          <w:sz w:val="24"/>
          <w:szCs w:val="24"/>
        </w:rPr>
      </w:pPr>
      <w:r w:rsidRPr="00791CA3">
        <w:rPr>
          <w:rFonts w:ascii="Arial Black" w:hAnsi="Arial Black"/>
          <w:sz w:val="24"/>
          <w:szCs w:val="24"/>
        </w:rPr>
        <w:t>2-1</w:t>
      </w:r>
      <w:r>
        <w:rPr>
          <w:rFonts w:ascii="Arial Black" w:hAnsi="Arial Black"/>
          <w:sz w:val="24"/>
          <w:szCs w:val="24"/>
        </w:rPr>
        <w:t>0</w:t>
      </w:r>
    </w:p>
    <w:p w14:paraId="49AD7EBD" w14:textId="77777777" w:rsidR="00F326E5" w:rsidRDefault="00F326E5" w:rsidP="00F326E5">
      <w:pPr>
        <w:rPr>
          <w:sz w:val="24"/>
          <w:szCs w:val="24"/>
        </w:rPr>
      </w:pPr>
    </w:p>
    <w:p w14:paraId="05B5B75E" w14:textId="3AA4FE6E" w:rsidR="00F326E5" w:rsidRPr="00724064" w:rsidRDefault="00F326E5" w:rsidP="00F326E5">
      <w:pPr>
        <w:rPr>
          <w:rFonts w:ascii="Arial Black" w:hAnsi="Arial Black"/>
          <w:sz w:val="28"/>
          <w:szCs w:val="28"/>
        </w:rPr>
      </w:pPr>
      <w:bookmarkStart w:id="116" w:name="_Hlk7340805"/>
      <w:bookmarkEnd w:id="115"/>
      <w:r w:rsidRPr="00724064">
        <w:rPr>
          <w:rFonts w:ascii="Arial Black" w:hAnsi="Arial Black"/>
          <w:sz w:val="28"/>
          <w:szCs w:val="28"/>
        </w:rPr>
        <w:t>PA: Q-S</w:t>
      </w:r>
      <w:r>
        <w:rPr>
          <w:rFonts w:ascii="Arial Black" w:hAnsi="Arial Black"/>
          <w:sz w:val="28"/>
          <w:szCs w:val="28"/>
        </w:rPr>
        <w:t xml:space="preserve">IREN LAWSUIT DISMISSED – DID NOT PROVE WAS “UNREASONABLY DANGEROUS” </w:t>
      </w:r>
    </w:p>
    <w:p w14:paraId="5DC26B43" w14:textId="77777777" w:rsidR="00965872" w:rsidRDefault="00F326E5" w:rsidP="00F326E5">
      <w:pPr>
        <w:pStyle w:val="NoSpacing"/>
        <w:rPr>
          <w:rFonts w:ascii="Times New Roman" w:hAnsi="Times New Roman"/>
          <w:sz w:val="24"/>
          <w:szCs w:val="24"/>
        </w:rPr>
      </w:pPr>
      <w:r w:rsidRPr="0036327D">
        <w:rPr>
          <w:rFonts w:ascii="Times New Roman" w:hAnsi="Times New Roman"/>
          <w:sz w:val="24"/>
          <w:szCs w:val="24"/>
        </w:rPr>
        <w:t xml:space="preserve">On Aug. 20, 2018, in </w:t>
      </w:r>
      <w:r w:rsidRPr="0036327D">
        <w:rPr>
          <w:rFonts w:ascii="Times New Roman" w:hAnsi="Times New Roman"/>
          <w:sz w:val="24"/>
          <w:szCs w:val="24"/>
          <w:u w:val="single"/>
        </w:rPr>
        <w:t>Ronald Dunlap and Carl Roel v. Federal Signal Corporation, et al.</w:t>
      </w:r>
      <w:r w:rsidRPr="0036327D">
        <w:rPr>
          <w:rFonts w:ascii="Times New Roman" w:hAnsi="Times New Roman"/>
          <w:sz w:val="24"/>
          <w:szCs w:val="24"/>
        </w:rPr>
        <w:t xml:space="preserve">, the Superior Court of Pennsylvania, held (2 to 1) that the trial court properly granted summary judgment to the siren manufacturer.  The Court wrote: </w:t>
      </w:r>
    </w:p>
    <w:p w14:paraId="54A7E475" w14:textId="77777777" w:rsidR="00965872" w:rsidRDefault="00965872" w:rsidP="00F326E5">
      <w:pPr>
        <w:pStyle w:val="NoSpacing"/>
        <w:rPr>
          <w:rFonts w:ascii="Times New Roman" w:hAnsi="Times New Roman"/>
          <w:sz w:val="24"/>
          <w:szCs w:val="24"/>
        </w:rPr>
      </w:pPr>
    </w:p>
    <w:p w14:paraId="27484287" w14:textId="0699C85A" w:rsidR="00F326E5" w:rsidRPr="0036327D" w:rsidRDefault="00F326E5" w:rsidP="00965872">
      <w:pPr>
        <w:pStyle w:val="NoSpacing"/>
        <w:ind w:left="720"/>
        <w:rPr>
          <w:rFonts w:ascii="Times New Roman" w:hAnsi="Times New Roman"/>
          <w:sz w:val="24"/>
          <w:szCs w:val="24"/>
        </w:rPr>
      </w:pPr>
      <w:r w:rsidRPr="0036327D">
        <w:rPr>
          <w:rFonts w:ascii="Times New Roman" w:hAnsi="Times New Roman"/>
          <w:sz w:val="24"/>
          <w:szCs w:val="24"/>
        </w:rPr>
        <w:t xml:space="preserve">“Plaintiff firefighters’ acoustics expert, Mr. Struck, presented an alternative siren design that would afford greater protection for firefighters from hearing loss by adding a Bromley Shroud, which would direct the noise to the front of the fire truck and away from the cab. However, he focused solely on the benefits of the shrouded design to the firefighters occupying the cab of the firetruck; he did not opine whether that design would protect the </w:t>
      </w:r>
      <w:proofErr w:type="gramStart"/>
      <w:r w:rsidRPr="0036327D">
        <w:rPr>
          <w:rFonts w:ascii="Times New Roman" w:hAnsi="Times New Roman"/>
          <w:sz w:val="24"/>
          <w:szCs w:val="24"/>
        </w:rPr>
        <w:t>public.”</w:t>
      </w:r>
      <w:proofErr w:type="gramEnd"/>
    </w:p>
    <w:p w14:paraId="1A2D036C" w14:textId="4404788F" w:rsidR="00F326E5" w:rsidRPr="0036327D" w:rsidRDefault="00965872" w:rsidP="00965872">
      <w:pPr>
        <w:pStyle w:val="NoSpacing"/>
        <w:ind w:firstLine="720"/>
        <w:rPr>
          <w:rFonts w:ascii="Times New Roman" w:hAnsi="Times New Roman"/>
          <w:b/>
          <w:sz w:val="24"/>
          <w:szCs w:val="24"/>
        </w:rPr>
      </w:pPr>
      <w:hyperlink r:id="rId614" w:history="1">
        <w:r w:rsidRPr="002F304C">
          <w:rPr>
            <w:rStyle w:val="Hyperlink"/>
            <w:rFonts w:ascii="Times New Roman" w:hAnsi="Times New Roman"/>
            <w:sz w:val="24"/>
            <w:szCs w:val="24"/>
          </w:rPr>
          <w:t>https://cases.justia.com/pennsylvania/superior-court/2018-1747-wda-2016.pdf?ts=1534790308</w:t>
        </w:r>
      </w:hyperlink>
      <w:r w:rsidR="00F326E5" w:rsidRPr="0036327D">
        <w:rPr>
          <w:rFonts w:ascii="Times New Roman" w:hAnsi="Times New Roman"/>
          <w:b/>
          <w:sz w:val="24"/>
          <w:szCs w:val="24"/>
        </w:rPr>
        <w:t xml:space="preserve"> </w:t>
      </w:r>
    </w:p>
    <w:p w14:paraId="4809C827" w14:textId="77777777" w:rsidR="00965872" w:rsidRDefault="00965872" w:rsidP="00F326E5">
      <w:pPr>
        <w:pStyle w:val="NoSpacing"/>
        <w:rPr>
          <w:rFonts w:ascii="Times New Roman" w:hAnsi="Times New Roman"/>
          <w:b/>
          <w:sz w:val="24"/>
          <w:szCs w:val="24"/>
        </w:rPr>
      </w:pPr>
    </w:p>
    <w:p w14:paraId="4BE8F98F" w14:textId="7A91D79E" w:rsidR="00F326E5" w:rsidRPr="0036327D" w:rsidRDefault="00F326E5" w:rsidP="00F326E5">
      <w:pPr>
        <w:pStyle w:val="NoSpacing"/>
        <w:rPr>
          <w:rFonts w:ascii="Times New Roman" w:hAnsi="Times New Roman"/>
          <w:b/>
          <w:sz w:val="24"/>
          <w:szCs w:val="24"/>
        </w:rPr>
      </w:pPr>
      <w:r w:rsidRPr="0036327D">
        <w:rPr>
          <w:rFonts w:ascii="Times New Roman" w:hAnsi="Times New Roman"/>
          <w:b/>
          <w:sz w:val="24"/>
          <w:szCs w:val="24"/>
        </w:rPr>
        <w:t xml:space="preserve">Legal Lesson Learned:  Hearing loss is a serious issue in fire and EMS; hearing protection should be worn when the siren is activated. </w:t>
      </w:r>
    </w:p>
    <w:p w14:paraId="43BACD0C" w14:textId="77777777" w:rsidR="00F326E5" w:rsidRDefault="00F326E5" w:rsidP="00F326E5">
      <w:pPr>
        <w:pStyle w:val="NoSpacing"/>
        <w:rPr>
          <w:b/>
          <w:sz w:val="24"/>
          <w:szCs w:val="24"/>
        </w:rPr>
      </w:pPr>
    </w:p>
    <w:p w14:paraId="0765FBC2" w14:textId="77777777" w:rsidR="00EF1133" w:rsidRDefault="00EF1133" w:rsidP="00EF1133">
      <w:pPr>
        <w:pStyle w:val="NoSpacing"/>
        <w:rPr>
          <w:rFonts w:ascii="Arial Black" w:hAnsi="Arial Black"/>
          <w:sz w:val="24"/>
          <w:szCs w:val="24"/>
        </w:rPr>
      </w:pPr>
      <w:bookmarkStart w:id="117" w:name="_Hlk7173123"/>
      <w:bookmarkEnd w:id="116"/>
    </w:p>
    <w:p w14:paraId="4863FA47" w14:textId="2B737541" w:rsidR="00EF1133" w:rsidRPr="00791CA3" w:rsidRDefault="00EF1133" w:rsidP="00EF1133">
      <w:pPr>
        <w:pStyle w:val="NoSpacing"/>
        <w:rPr>
          <w:rFonts w:ascii="Arial Black" w:hAnsi="Arial Black"/>
          <w:sz w:val="24"/>
          <w:szCs w:val="24"/>
        </w:rPr>
      </w:pPr>
      <w:r w:rsidRPr="00791CA3">
        <w:rPr>
          <w:rFonts w:ascii="Arial Black" w:hAnsi="Arial Black"/>
          <w:sz w:val="24"/>
          <w:szCs w:val="24"/>
        </w:rPr>
        <w:t>2-</w:t>
      </w:r>
      <w:r>
        <w:rPr>
          <w:rFonts w:ascii="Arial Black" w:hAnsi="Arial Black"/>
          <w:sz w:val="24"/>
          <w:szCs w:val="24"/>
        </w:rPr>
        <w:t>9</w:t>
      </w:r>
    </w:p>
    <w:p w14:paraId="2739ABC0" w14:textId="77777777" w:rsidR="00F326E5" w:rsidRDefault="00F326E5" w:rsidP="00F326E5">
      <w:pPr>
        <w:pStyle w:val="NoSpacing"/>
        <w:rPr>
          <w:sz w:val="24"/>
          <w:szCs w:val="24"/>
        </w:rPr>
      </w:pPr>
    </w:p>
    <w:p w14:paraId="6A7EB7B1" w14:textId="66C184B8" w:rsidR="00F326E5" w:rsidRDefault="00F326E5" w:rsidP="00F326E5">
      <w:pPr>
        <w:pStyle w:val="NoSpacing"/>
        <w:rPr>
          <w:rFonts w:ascii="Arial Black" w:hAnsi="Arial Black"/>
          <w:b/>
          <w:sz w:val="24"/>
          <w:szCs w:val="24"/>
        </w:rPr>
      </w:pPr>
      <w:bookmarkStart w:id="118" w:name="_Hlk7340860"/>
      <w:r w:rsidRPr="00724064">
        <w:rPr>
          <w:rFonts w:ascii="Arial Black" w:hAnsi="Arial Black"/>
          <w:b/>
          <w:sz w:val="28"/>
          <w:szCs w:val="28"/>
        </w:rPr>
        <w:t>PA: H</w:t>
      </w:r>
      <w:r>
        <w:rPr>
          <w:rFonts w:ascii="Arial Black" w:hAnsi="Arial Black"/>
          <w:b/>
          <w:sz w:val="28"/>
          <w:szCs w:val="28"/>
        </w:rPr>
        <w:t xml:space="preserve">EARING LOSS LAWSUIT DROPPED - PLANITIFF’S ATTORNEY MUST PAY DEF. ATTORNEY FEES </w:t>
      </w:r>
    </w:p>
    <w:p w14:paraId="1A5A046E" w14:textId="77777777" w:rsidR="00F326E5" w:rsidRPr="0036327D" w:rsidRDefault="00F326E5" w:rsidP="00F326E5">
      <w:pPr>
        <w:rPr>
          <w:rFonts w:ascii="Times New Roman" w:eastAsia="Times New Roman" w:hAnsi="Times New Roman"/>
          <w:sz w:val="24"/>
          <w:szCs w:val="24"/>
        </w:rPr>
      </w:pPr>
      <w:r w:rsidRPr="0036327D">
        <w:rPr>
          <w:rFonts w:ascii="Times New Roman" w:eastAsia="Times New Roman" w:hAnsi="Times New Roman"/>
          <w:sz w:val="24"/>
          <w:szCs w:val="24"/>
        </w:rPr>
        <w:t xml:space="preserve">On June 20, 2018, in </w:t>
      </w:r>
      <w:r w:rsidRPr="0036327D">
        <w:rPr>
          <w:rFonts w:ascii="Times New Roman" w:eastAsia="Times New Roman" w:hAnsi="Times New Roman"/>
          <w:sz w:val="24"/>
          <w:szCs w:val="24"/>
          <w:u w:val="single"/>
        </w:rPr>
        <w:t>Gerald Carroll, et al. v. Federal Signal Corporation, et al</w:t>
      </w:r>
      <w:r w:rsidRPr="0036327D">
        <w:rPr>
          <w:rFonts w:ascii="Times New Roman" w:eastAsia="Times New Roman" w:hAnsi="Times New Roman"/>
          <w:sz w:val="24"/>
          <w:szCs w:val="24"/>
        </w:rPr>
        <w:t>., the U.S. Court of Appeals for the 3</w:t>
      </w:r>
      <w:r w:rsidRPr="0036327D">
        <w:rPr>
          <w:rFonts w:ascii="Times New Roman" w:eastAsia="Times New Roman" w:hAnsi="Times New Roman"/>
          <w:sz w:val="24"/>
          <w:szCs w:val="24"/>
          <w:vertAlign w:val="superscript"/>
        </w:rPr>
        <w:t>rd</w:t>
      </w:r>
      <w:r w:rsidRPr="0036327D">
        <w:rPr>
          <w:rFonts w:ascii="Times New Roman" w:eastAsia="Times New Roman" w:hAnsi="Times New Roman"/>
          <w:sz w:val="24"/>
          <w:szCs w:val="24"/>
        </w:rPr>
        <w:t xml:space="preserve"> Circuit (Philadelphia) held (3 to 0) that plaintiffs’ attorney must pay $127,823.47 in attorney fees. </w:t>
      </w:r>
    </w:p>
    <w:p w14:paraId="6A9519E4" w14:textId="35DF2451" w:rsidR="00F326E5" w:rsidRPr="0036327D" w:rsidRDefault="00F326E5" w:rsidP="00F326E5">
      <w:pPr>
        <w:ind w:left="720"/>
        <w:rPr>
          <w:rFonts w:ascii="Times New Roman" w:eastAsia="Times New Roman" w:hAnsi="Times New Roman"/>
          <w:sz w:val="24"/>
          <w:szCs w:val="24"/>
        </w:rPr>
      </w:pPr>
      <w:r w:rsidRPr="0036327D">
        <w:rPr>
          <w:rFonts w:ascii="Times New Roman" w:eastAsia="Times New Roman" w:hAnsi="Times New Roman"/>
          <w:sz w:val="24"/>
          <w:szCs w:val="24"/>
        </w:rPr>
        <w:t>“Although attorneys’ fees and costs are typically not awarded when a matter is voluntarily dismissed with prejudice, we conclude that such an award may be granted when exceptional circumstances exist. Exceptional circumstances include a litigant’s failure to perform a meaningful pre-suit investigation, as well as a repeated practice of bringing meritless claims and then dismissing them with prejudice after both the opposing party and the judicial system have incurred substantial costs.  Because such exceptional circumstances are present in this case, the District Court’s award will be affirmed.”</w:t>
      </w:r>
      <w:r w:rsidR="00965872">
        <w:rPr>
          <w:rFonts w:ascii="Times New Roman" w:eastAsia="Times New Roman" w:hAnsi="Times New Roman"/>
          <w:sz w:val="24"/>
          <w:szCs w:val="24"/>
        </w:rPr>
        <w:t xml:space="preserve"> </w:t>
      </w:r>
      <w:hyperlink r:id="rId615" w:history="1">
        <w:r w:rsidRPr="0036327D">
          <w:rPr>
            <w:rStyle w:val="Hyperlink"/>
            <w:rFonts w:ascii="Times New Roman" w:hAnsi="Times New Roman"/>
            <w:sz w:val="24"/>
            <w:szCs w:val="24"/>
          </w:rPr>
          <w:t>http://www2.ca3.uscourts.gov/opinarch/172183p.pdf</w:t>
        </w:r>
      </w:hyperlink>
      <w:r w:rsidRPr="0036327D">
        <w:rPr>
          <w:rFonts w:ascii="Times New Roman" w:eastAsia="Times New Roman" w:hAnsi="Times New Roman"/>
          <w:sz w:val="24"/>
          <w:szCs w:val="24"/>
        </w:rPr>
        <w:t xml:space="preserve"> </w:t>
      </w:r>
    </w:p>
    <w:p w14:paraId="750F4306" w14:textId="77777777" w:rsidR="00F326E5" w:rsidRPr="0036327D" w:rsidRDefault="00F326E5" w:rsidP="00F326E5">
      <w:pPr>
        <w:rPr>
          <w:rFonts w:ascii="Times New Roman" w:eastAsia="Times New Roman" w:hAnsi="Times New Roman"/>
          <w:b/>
          <w:sz w:val="24"/>
          <w:szCs w:val="24"/>
        </w:rPr>
      </w:pPr>
      <w:r w:rsidRPr="0036327D">
        <w:rPr>
          <w:rFonts w:ascii="Times New Roman" w:eastAsia="Times New Roman" w:hAnsi="Times New Roman"/>
          <w:b/>
          <w:sz w:val="24"/>
          <w:szCs w:val="24"/>
        </w:rPr>
        <w:t xml:space="preserve">Legal Lessons Learned:   Hearing loss is a real issue in fire &amp; EMS - wear hearing protection.  </w:t>
      </w:r>
    </w:p>
    <w:p w14:paraId="658B3F67" w14:textId="77777777" w:rsidR="00F326E5" w:rsidRPr="0036327D" w:rsidRDefault="00F326E5" w:rsidP="00F326E5">
      <w:pPr>
        <w:ind w:left="720"/>
        <w:rPr>
          <w:rFonts w:ascii="Times New Roman" w:eastAsia="Times New Roman" w:hAnsi="Times New Roman"/>
          <w:sz w:val="24"/>
          <w:szCs w:val="24"/>
        </w:rPr>
      </w:pPr>
      <w:r w:rsidRPr="0036327D">
        <w:rPr>
          <w:rFonts w:ascii="Times New Roman" w:eastAsia="Times New Roman" w:hAnsi="Times New Roman"/>
          <w:sz w:val="24"/>
          <w:szCs w:val="24"/>
        </w:rPr>
        <w:lastRenderedPageBreak/>
        <w:t xml:space="preserve">See NFPA 1582; </w:t>
      </w:r>
      <w:hyperlink r:id="rId616" w:history="1">
        <w:r w:rsidRPr="0036327D">
          <w:rPr>
            <w:rStyle w:val="Hyperlink"/>
            <w:rFonts w:ascii="Times New Roman" w:hAnsi="Times New Roman"/>
            <w:sz w:val="24"/>
            <w:szCs w:val="24"/>
          </w:rPr>
          <w:t>https://www.nfpa.org/codes-and-standards/all-codes-and-standards/list-of-codes-and-standards/detail?code=1582</w:t>
        </w:r>
      </w:hyperlink>
      <w:r w:rsidRPr="0036327D">
        <w:rPr>
          <w:rFonts w:ascii="Times New Roman" w:eastAsia="Times New Roman" w:hAnsi="Times New Roman"/>
          <w:sz w:val="24"/>
          <w:szCs w:val="24"/>
        </w:rPr>
        <w:t xml:space="preserve">  See also these research articles, “</w:t>
      </w:r>
      <w:r w:rsidRPr="0036327D">
        <w:rPr>
          <w:rFonts w:ascii="Times New Roman" w:hAnsi="Times New Roman"/>
          <w:sz w:val="24"/>
          <w:szCs w:val="24"/>
        </w:rPr>
        <w:t xml:space="preserve">Hearing Loss Prevention and a Survey of Firefighters,” </w:t>
      </w:r>
      <w:hyperlink r:id="rId617" w:history="1">
        <w:r w:rsidRPr="0036327D">
          <w:rPr>
            <w:rStyle w:val="Hyperlink"/>
            <w:rFonts w:ascii="Times New Roman" w:hAnsi="Times New Roman"/>
            <w:sz w:val="24"/>
            <w:szCs w:val="24"/>
          </w:rPr>
          <w:t>http://www.caohc.org/updatearticles/2017/Update_v29-i1.pdf</w:t>
        </w:r>
      </w:hyperlink>
      <w:r w:rsidRPr="0036327D">
        <w:rPr>
          <w:rFonts w:ascii="Times New Roman" w:hAnsi="Times New Roman"/>
          <w:sz w:val="24"/>
          <w:szCs w:val="24"/>
        </w:rPr>
        <w:t xml:space="preserve"> ;  “Hearing Conservation For Firefighters,”  Audiology Today (Nov / Dec. 2012): </w:t>
      </w:r>
      <w:r w:rsidRPr="0036327D">
        <w:rPr>
          <w:rFonts w:ascii="Times New Roman" w:eastAsia="Times New Roman" w:hAnsi="Times New Roman"/>
          <w:sz w:val="24"/>
          <w:szCs w:val="24"/>
        </w:rPr>
        <w:t xml:space="preserve">“This hearing loss is irreversible, but preventable by using hearing protection or managing the noise and noise exposure. Unfortunately, audiologists see this population only after the hearing loss has become debilitating.” </w:t>
      </w:r>
      <w:hyperlink r:id="rId618" w:history="1">
        <w:r w:rsidRPr="0036327D">
          <w:rPr>
            <w:rStyle w:val="Hyperlink"/>
            <w:rFonts w:ascii="Times New Roman" w:hAnsi="Times New Roman"/>
            <w:sz w:val="24"/>
            <w:szCs w:val="24"/>
          </w:rPr>
          <w:t>https://www.audiology.org/sites/default/files/audiologytoday/AT%2024.6%20-%20LOW.pdf</w:t>
        </w:r>
      </w:hyperlink>
    </w:p>
    <w:bookmarkEnd w:id="117"/>
    <w:bookmarkEnd w:id="118"/>
    <w:p w14:paraId="2A0C46EF" w14:textId="77777777" w:rsidR="00F326E5" w:rsidRPr="0036327D" w:rsidRDefault="00F326E5" w:rsidP="00F326E5">
      <w:pPr>
        <w:pStyle w:val="NoSpacing"/>
        <w:rPr>
          <w:rFonts w:ascii="Times New Roman" w:hAnsi="Times New Roman"/>
          <w:b/>
          <w:sz w:val="24"/>
          <w:szCs w:val="24"/>
        </w:rPr>
      </w:pPr>
    </w:p>
    <w:p w14:paraId="0F14A4C0" w14:textId="12EC2A28" w:rsidR="00EF1133" w:rsidRPr="00791CA3" w:rsidRDefault="00EF1133" w:rsidP="00EF1133">
      <w:pPr>
        <w:pStyle w:val="NoSpacing"/>
        <w:rPr>
          <w:rFonts w:ascii="Arial Black" w:hAnsi="Arial Black"/>
          <w:sz w:val="24"/>
          <w:szCs w:val="24"/>
        </w:rPr>
      </w:pPr>
      <w:r w:rsidRPr="00791CA3">
        <w:rPr>
          <w:rFonts w:ascii="Arial Black" w:hAnsi="Arial Black"/>
          <w:sz w:val="24"/>
          <w:szCs w:val="24"/>
        </w:rPr>
        <w:t>2-</w:t>
      </w:r>
      <w:r>
        <w:rPr>
          <w:rFonts w:ascii="Arial Black" w:hAnsi="Arial Black"/>
          <w:sz w:val="24"/>
          <w:szCs w:val="24"/>
        </w:rPr>
        <w:t>8</w:t>
      </w:r>
    </w:p>
    <w:p w14:paraId="340A039C" w14:textId="77777777" w:rsidR="00F326E5" w:rsidRDefault="00F326E5" w:rsidP="00F326E5">
      <w:pPr>
        <w:pStyle w:val="NoSpacing"/>
        <w:rPr>
          <w:rFonts w:ascii="Arial Black" w:hAnsi="Arial Black"/>
          <w:b/>
          <w:sz w:val="24"/>
          <w:szCs w:val="24"/>
        </w:rPr>
      </w:pPr>
    </w:p>
    <w:p w14:paraId="7F3947C4" w14:textId="290D80FB" w:rsidR="00F326E5" w:rsidRDefault="00F326E5" w:rsidP="00F326E5">
      <w:pPr>
        <w:pStyle w:val="NoSpacing"/>
        <w:rPr>
          <w:rFonts w:ascii="Arial Black" w:hAnsi="Arial Black"/>
          <w:b/>
          <w:sz w:val="28"/>
          <w:szCs w:val="28"/>
        </w:rPr>
      </w:pPr>
      <w:bookmarkStart w:id="119" w:name="_Hlk7340907"/>
      <w:r w:rsidRPr="009C2749">
        <w:rPr>
          <w:rFonts w:ascii="Arial Black" w:hAnsi="Arial Black"/>
          <w:b/>
          <w:sz w:val="28"/>
          <w:szCs w:val="28"/>
        </w:rPr>
        <w:t>MD</w:t>
      </w:r>
      <w:r>
        <w:rPr>
          <w:rFonts w:ascii="Arial Black" w:hAnsi="Arial Black"/>
          <w:b/>
          <w:sz w:val="28"/>
          <w:szCs w:val="28"/>
        </w:rPr>
        <w:t xml:space="preserve">: </w:t>
      </w:r>
      <w:r w:rsidRPr="009C2749">
        <w:rPr>
          <w:rFonts w:ascii="Arial Black" w:hAnsi="Arial Black"/>
          <w:b/>
          <w:sz w:val="28"/>
          <w:szCs w:val="28"/>
        </w:rPr>
        <w:t>P</w:t>
      </w:r>
      <w:r>
        <w:rPr>
          <w:rFonts w:ascii="Arial Black" w:hAnsi="Arial Black"/>
          <w:b/>
          <w:sz w:val="28"/>
          <w:szCs w:val="28"/>
        </w:rPr>
        <w:t xml:space="preserve">ART-TIME EMS INJURED FOOT ON DUTY – AVERAGE WEEKLY WAGE </w:t>
      </w:r>
    </w:p>
    <w:p w14:paraId="53833113" w14:textId="77777777" w:rsidR="00F326E5" w:rsidRPr="0036327D" w:rsidRDefault="00F326E5" w:rsidP="00F326E5">
      <w:pPr>
        <w:rPr>
          <w:rFonts w:ascii="Times New Roman" w:hAnsi="Times New Roman"/>
          <w:sz w:val="24"/>
          <w:szCs w:val="24"/>
        </w:rPr>
      </w:pPr>
      <w:r w:rsidRPr="0036327D">
        <w:rPr>
          <w:rFonts w:ascii="Times New Roman" w:hAnsi="Times New Roman"/>
          <w:sz w:val="24"/>
          <w:szCs w:val="24"/>
        </w:rPr>
        <w:t xml:space="preserve">On June 1, 2018, in </w:t>
      </w:r>
      <w:r w:rsidRPr="0036327D">
        <w:rPr>
          <w:rFonts w:ascii="Times New Roman" w:hAnsi="Times New Roman"/>
          <w:sz w:val="24"/>
          <w:szCs w:val="24"/>
          <w:u w:val="single"/>
        </w:rPr>
        <w:t>Justin Stine v. Montgomery County, Maryland</w:t>
      </w:r>
      <w:r w:rsidRPr="0036327D">
        <w:rPr>
          <w:rFonts w:ascii="Times New Roman" w:hAnsi="Times New Roman"/>
          <w:sz w:val="24"/>
          <w:szCs w:val="24"/>
        </w:rPr>
        <w:t xml:space="preserve">, the Court of Special Appeals of Maryland, held (3 to 0) that he is entitled to a jury trial to determine average weekly wage, which may include wages earned working for private ambulance company rather than merely the wage he earned as a part-time EMT in the 14-weeks prior to the injury.  </w:t>
      </w:r>
      <w:hyperlink r:id="rId619" w:history="1">
        <w:r w:rsidRPr="0036327D">
          <w:rPr>
            <w:rStyle w:val="Hyperlink"/>
            <w:rFonts w:ascii="Times New Roman" w:hAnsi="Times New Roman"/>
            <w:sz w:val="24"/>
            <w:szCs w:val="24"/>
          </w:rPr>
          <w:t>https://caselaw.findlaw.com/md-court-of-special-appeals/1897275.html</w:t>
        </w:r>
      </w:hyperlink>
      <w:r w:rsidRPr="0036327D">
        <w:rPr>
          <w:rFonts w:ascii="Times New Roman" w:hAnsi="Times New Roman"/>
          <w:sz w:val="24"/>
          <w:szCs w:val="24"/>
        </w:rPr>
        <w:t xml:space="preserve"> </w:t>
      </w:r>
    </w:p>
    <w:p w14:paraId="6AFE7DF1" w14:textId="2C211E44" w:rsidR="00F326E5" w:rsidRPr="0036327D" w:rsidRDefault="00F326E5" w:rsidP="00F326E5">
      <w:pPr>
        <w:rPr>
          <w:rFonts w:ascii="Times New Roman" w:hAnsi="Times New Roman"/>
          <w:b/>
          <w:sz w:val="24"/>
          <w:szCs w:val="24"/>
        </w:rPr>
      </w:pPr>
      <w:r w:rsidRPr="0036327D">
        <w:rPr>
          <w:rFonts w:ascii="Times New Roman" w:hAnsi="Times New Roman"/>
          <w:b/>
          <w:sz w:val="24"/>
          <w:szCs w:val="24"/>
        </w:rPr>
        <w:t xml:space="preserve">Legal Lesson Learned:  helpful decision for part-time EMT, who </w:t>
      </w:r>
      <w:proofErr w:type="gramStart"/>
      <w:r w:rsidRPr="0036327D">
        <w:rPr>
          <w:rFonts w:ascii="Times New Roman" w:hAnsi="Times New Roman"/>
          <w:b/>
          <w:sz w:val="24"/>
          <w:szCs w:val="24"/>
        </w:rPr>
        <w:t>has</w:t>
      </w:r>
      <w:proofErr w:type="gramEnd"/>
      <w:r w:rsidRPr="0036327D">
        <w:rPr>
          <w:rFonts w:ascii="Times New Roman" w:hAnsi="Times New Roman"/>
          <w:b/>
          <w:sz w:val="24"/>
          <w:szCs w:val="24"/>
        </w:rPr>
        <w:t xml:space="preserve"> second part-time job while also going to school.</w:t>
      </w:r>
    </w:p>
    <w:bookmarkEnd w:id="119"/>
    <w:p w14:paraId="7AAB0CBD" w14:textId="77777777" w:rsidR="00EF1133" w:rsidRDefault="00EF1133" w:rsidP="00791CA3">
      <w:pPr>
        <w:pStyle w:val="NoSpacing"/>
        <w:rPr>
          <w:rFonts w:ascii="Arial Black" w:hAnsi="Arial Black"/>
          <w:sz w:val="24"/>
          <w:szCs w:val="24"/>
        </w:rPr>
      </w:pPr>
    </w:p>
    <w:p w14:paraId="607800F8" w14:textId="241CA9CE" w:rsidR="00791CA3" w:rsidRDefault="00791CA3" w:rsidP="00791CA3">
      <w:pPr>
        <w:pStyle w:val="NoSpacing"/>
        <w:rPr>
          <w:rFonts w:ascii="Arial Black" w:hAnsi="Arial Black"/>
          <w:sz w:val="24"/>
          <w:szCs w:val="24"/>
        </w:rPr>
      </w:pPr>
      <w:r w:rsidRPr="00791CA3">
        <w:rPr>
          <w:rFonts w:ascii="Arial Black" w:hAnsi="Arial Black"/>
          <w:sz w:val="24"/>
          <w:szCs w:val="24"/>
        </w:rPr>
        <w:t>2-</w:t>
      </w:r>
      <w:r>
        <w:rPr>
          <w:rFonts w:ascii="Arial Black" w:hAnsi="Arial Black"/>
          <w:sz w:val="24"/>
          <w:szCs w:val="24"/>
        </w:rPr>
        <w:t>7</w:t>
      </w:r>
    </w:p>
    <w:p w14:paraId="7A6C343B" w14:textId="77777777" w:rsidR="00EF1133" w:rsidRDefault="00EF1133" w:rsidP="00F326E5">
      <w:pPr>
        <w:pStyle w:val="NoSpacing"/>
        <w:rPr>
          <w:rFonts w:ascii="Arial Black" w:hAnsi="Arial Black"/>
          <w:sz w:val="28"/>
          <w:szCs w:val="28"/>
        </w:rPr>
      </w:pPr>
      <w:bookmarkStart w:id="120" w:name="_Hlk7340944"/>
    </w:p>
    <w:p w14:paraId="403270CD" w14:textId="10ED4B3E" w:rsidR="00F326E5" w:rsidRPr="00A765B5" w:rsidRDefault="00F326E5" w:rsidP="00F326E5">
      <w:pPr>
        <w:pStyle w:val="NoSpacing"/>
        <w:rPr>
          <w:rFonts w:ascii="Arial Black" w:hAnsi="Arial Black"/>
          <w:sz w:val="28"/>
          <w:szCs w:val="28"/>
        </w:rPr>
      </w:pPr>
      <w:r w:rsidRPr="00A765B5">
        <w:rPr>
          <w:rFonts w:ascii="Arial Black" w:hAnsi="Arial Black"/>
          <w:sz w:val="28"/>
          <w:szCs w:val="28"/>
        </w:rPr>
        <w:t>U.S. Department of Justice</w:t>
      </w:r>
      <w:r>
        <w:rPr>
          <w:rFonts w:ascii="Arial Black" w:hAnsi="Arial Black"/>
          <w:sz w:val="28"/>
          <w:szCs w:val="28"/>
        </w:rPr>
        <w:t xml:space="preserve">: </w:t>
      </w:r>
      <w:r w:rsidRPr="00A765B5">
        <w:rPr>
          <w:rFonts w:ascii="Arial Black" w:hAnsi="Arial Black"/>
          <w:sz w:val="28"/>
          <w:szCs w:val="28"/>
        </w:rPr>
        <w:t xml:space="preserve"> Improvements </w:t>
      </w:r>
      <w:proofErr w:type="gramStart"/>
      <w:r w:rsidRPr="00A765B5">
        <w:rPr>
          <w:rFonts w:ascii="Arial Black" w:hAnsi="Arial Black"/>
          <w:sz w:val="28"/>
          <w:szCs w:val="28"/>
        </w:rPr>
        <w:t>In</w:t>
      </w:r>
      <w:proofErr w:type="gramEnd"/>
      <w:r w:rsidRPr="00A765B5">
        <w:rPr>
          <w:rFonts w:ascii="Arial Black" w:hAnsi="Arial Black"/>
          <w:sz w:val="28"/>
          <w:szCs w:val="28"/>
        </w:rPr>
        <w:t xml:space="preserve"> Public Safety Officer Benefits Program</w:t>
      </w:r>
    </w:p>
    <w:p w14:paraId="6A1E31D3" w14:textId="77777777" w:rsidR="00F326E5" w:rsidRPr="0036327D" w:rsidRDefault="00F326E5" w:rsidP="00F326E5">
      <w:pPr>
        <w:rPr>
          <w:rFonts w:ascii="Times New Roman" w:eastAsia="Times New Roman" w:hAnsi="Times New Roman"/>
          <w:sz w:val="24"/>
          <w:szCs w:val="24"/>
        </w:rPr>
      </w:pPr>
      <w:r w:rsidRPr="0036327D">
        <w:rPr>
          <w:rFonts w:ascii="Times New Roman" w:eastAsia="Times New Roman" w:hAnsi="Times New Roman"/>
          <w:sz w:val="24"/>
          <w:szCs w:val="24"/>
        </w:rPr>
        <w:t>On May 15, 2018, the U.S. Department of Justice issued Press Release, summarizing the following improvements:</w:t>
      </w:r>
    </w:p>
    <w:p w14:paraId="236A6530" w14:textId="77777777" w:rsidR="00F326E5" w:rsidRPr="0036327D" w:rsidRDefault="00F326E5" w:rsidP="00F326E5">
      <w:pPr>
        <w:numPr>
          <w:ilvl w:val="0"/>
          <w:numId w:val="1"/>
        </w:numPr>
        <w:spacing w:before="100" w:beforeAutospacing="1" w:after="100" w:afterAutospacing="1" w:line="240" w:lineRule="auto"/>
        <w:rPr>
          <w:rFonts w:ascii="Times New Roman" w:eastAsia="Times New Roman" w:hAnsi="Times New Roman"/>
          <w:sz w:val="24"/>
          <w:szCs w:val="24"/>
        </w:rPr>
      </w:pPr>
      <w:r w:rsidRPr="0036327D">
        <w:rPr>
          <w:rFonts w:ascii="Times New Roman" w:eastAsia="Times New Roman" w:hAnsi="Times New Roman"/>
          <w:bCs/>
          <w:sz w:val="24"/>
          <w:szCs w:val="24"/>
        </w:rPr>
        <w:t>“Heart Attack, Stroke, and Vascular Rupture Claims:</w:t>
      </w:r>
      <w:r w:rsidRPr="0036327D">
        <w:rPr>
          <w:rFonts w:ascii="Times New Roman" w:eastAsia="Times New Roman" w:hAnsi="Times New Roman"/>
          <w:sz w:val="24"/>
          <w:szCs w:val="24"/>
        </w:rPr>
        <w:t xml:space="preserve"> The new rule helps implement a change in the law that reduces the need in many cases for families to submit difficult-to-find and costly medical records for their loved ones. This regulatory change alone positively impacts nearly one-third of the PSOB death claims filed each year.</w:t>
      </w:r>
    </w:p>
    <w:p w14:paraId="43B8ADBE" w14:textId="77777777" w:rsidR="00F326E5" w:rsidRPr="0036327D" w:rsidRDefault="00F326E5" w:rsidP="00F326E5">
      <w:pPr>
        <w:numPr>
          <w:ilvl w:val="0"/>
          <w:numId w:val="1"/>
        </w:numPr>
        <w:spacing w:before="100" w:beforeAutospacing="1" w:after="100" w:afterAutospacing="1" w:line="240" w:lineRule="auto"/>
        <w:rPr>
          <w:rFonts w:ascii="Times New Roman" w:eastAsia="Times New Roman" w:hAnsi="Times New Roman"/>
          <w:sz w:val="24"/>
          <w:szCs w:val="24"/>
        </w:rPr>
      </w:pPr>
      <w:r w:rsidRPr="0036327D">
        <w:rPr>
          <w:rFonts w:ascii="Times New Roman" w:eastAsia="Times New Roman" w:hAnsi="Times New Roman"/>
          <w:bCs/>
          <w:sz w:val="24"/>
          <w:szCs w:val="24"/>
        </w:rPr>
        <w:t xml:space="preserve">Filing Process:  </w:t>
      </w:r>
      <w:r w:rsidRPr="0036327D">
        <w:rPr>
          <w:rFonts w:ascii="Times New Roman" w:eastAsia="Times New Roman" w:hAnsi="Times New Roman"/>
          <w:sz w:val="24"/>
          <w:szCs w:val="24"/>
        </w:rPr>
        <w:t>The new rule includes administrative updates to make filing claims more straightforward and less burdensome for survivors and public safety agencies.</w:t>
      </w:r>
    </w:p>
    <w:p w14:paraId="1EEE1A8E" w14:textId="77777777" w:rsidR="00F326E5" w:rsidRPr="0036327D" w:rsidRDefault="00F326E5" w:rsidP="00F326E5">
      <w:pPr>
        <w:numPr>
          <w:ilvl w:val="0"/>
          <w:numId w:val="1"/>
        </w:numPr>
        <w:spacing w:before="100" w:beforeAutospacing="1" w:after="100" w:afterAutospacing="1" w:line="240" w:lineRule="auto"/>
        <w:rPr>
          <w:rFonts w:ascii="Times New Roman" w:eastAsia="Times New Roman" w:hAnsi="Times New Roman"/>
          <w:sz w:val="24"/>
          <w:szCs w:val="24"/>
        </w:rPr>
      </w:pPr>
      <w:r w:rsidRPr="0036327D">
        <w:rPr>
          <w:rFonts w:ascii="Times New Roman" w:eastAsia="Times New Roman" w:hAnsi="Times New Roman"/>
          <w:bCs/>
          <w:sz w:val="24"/>
          <w:szCs w:val="24"/>
        </w:rPr>
        <w:t xml:space="preserve">Law Enforcement and Firefighter Trainees: </w:t>
      </w:r>
      <w:r w:rsidRPr="0036327D">
        <w:rPr>
          <w:rFonts w:ascii="Times New Roman" w:eastAsia="Times New Roman" w:hAnsi="Times New Roman"/>
          <w:sz w:val="24"/>
          <w:szCs w:val="24"/>
        </w:rPr>
        <w:t>Recognizing the dangerous nature of law enforcement and fire suppression, and the rigorous training required to help keep communities safe, the new rule clarifies the coverage of certain individuals fatally or catastrophically injured during formal training provided by law enforcement and fire academies.</w:t>
      </w:r>
    </w:p>
    <w:p w14:paraId="2F7D8CD5" w14:textId="77777777" w:rsidR="00F326E5" w:rsidRPr="0036327D" w:rsidRDefault="00F326E5" w:rsidP="00F326E5">
      <w:pPr>
        <w:numPr>
          <w:ilvl w:val="0"/>
          <w:numId w:val="1"/>
        </w:numPr>
        <w:spacing w:before="100" w:beforeAutospacing="1" w:after="100" w:afterAutospacing="1" w:line="240" w:lineRule="auto"/>
        <w:rPr>
          <w:rFonts w:ascii="Times New Roman" w:eastAsia="Times New Roman" w:hAnsi="Times New Roman"/>
          <w:sz w:val="24"/>
          <w:szCs w:val="24"/>
        </w:rPr>
      </w:pPr>
      <w:r w:rsidRPr="0036327D">
        <w:rPr>
          <w:rFonts w:ascii="Times New Roman" w:eastAsia="Times New Roman" w:hAnsi="Times New Roman"/>
          <w:bCs/>
          <w:sz w:val="24"/>
          <w:szCs w:val="24"/>
        </w:rPr>
        <w:t>September 11th Exposure Claims:</w:t>
      </w:r>
      <w:r w:rsidRPr="0036327D">
        <w:rPr>
          <w:rFonts w:ascii="Times New Roman" w:eastAsia="Times New Roman" w:hAnsi="Times New Roman"/>
          <w:sz w:val="24"/>
          <w:szCs w:val="24"/>
        </w:rPr>
        <w:t xml:space="preserve"> The new rule facilitates the PSOB Program’s medical examiners’ review of the nearly 150 claims pending for certain public safety officers who responded to the September 11th attacks to assist in rescue, recovery, and clean-up efforts, and who were exposed to hazards and toxins resulting from the attacks.”</w:t>
      </w:r>
    </w:p>
    <w:p w14:paraId="7E9099A6" w14:textId="4EAB6944" w:rsidR="00F326E5" w:rsidRPr="0036327D" w:rsidRDefault="00965872" w:rsidP="00965872">
      <w:pPr>
        <w:ind w:left="360"/>
        <w:rPr>
          <w:rFonts w:ascii="Times New Roman" w:eastAsia="Times New Roman" w:hAnsi="Times New Roman"/>
          <w:sz w:val="24"/>
          <w:szCs w:val="24"/>
        </w:rPr>
      </w:pPr>
      <w:hyperlink r:id="rId620" w:history="1">
        <w:r w:rsidRPr="002F304C">
          <w:rPr>
            <w:rStyle w:val="Hyperlink"/>
            <w:rFonts w:ascii="Times New Roman" w:hAnsi="Times New Roman"/>
            <w:sz w:val="24"/>
            <w:szCs w:val="24"/>
          </w:rPr>
          <w:t>https://www.justice.gov/opa/pr/justice-department-announces-improvements-public-safety-officers-benefits-program</w:t>
        </w:r>
      </w:hyperlink>
      <w:r w:rsidR="00F326E5" w:rsidRPr="0036327D">
        <w:rPr>
          <w:rFonts w:ascii="Times New Roman" w:eastAsia="Times New Roman" w:hAnsi="Times New Roman"/>
          <w:sz w:val="24"/>
          <w:szCs w:val="24"/>
        </w:rPr>
        <w:t xml:space="preserve"> </w:t>
      </w:r>
    </w:p>
    <w:p w14:paraId="0C636015" w14:textId="77777777" w:rsidR="00F326E5" w:rsidRPr="0036327D" w:rsidRDefault="00F326E5" w:rsidP="00F326E5">
      <w:pPr>
        <w:rPr>
          <w:rFonts w:ascii="Times New Roman" w:eastAsia="Times New Roman" w:hAnsi="Times New Roman"/>
          <w:b/>
          <w:sz w:val="24"/>
          <w:szCs w:val="24"/>
        </w:rPr>
      </w:pPr>
      <w:r w:rsidRPr="0036327D">
        <w:rPr>
          <w:rFonts w:ascii="Times New Roman" w:eastAsia="Times New Roman" w:hAnsi="Times New Roman"/>
          <w:b/>
          <w:sz w:val="24"/>
          <w:szCs w:val="24"/>
        </w:rPr>
        <w:lastRenderedPageBreak/>
        <w:t xml:space="preserve">Legal Lessons Learned: Hopefully these new rules will expedite review of pending claims, including claims by public safety officers who responded to the Sept. 11 terrorist attacks and were exposed to toxins. </w:t>
      </w:r>
    </w:p>
    <w:p w14:paraId="5B69B2F6" w14:textId="77777777" w:rsidR="00F326E5" w:rsidRDefault="00F326E5" w:rsidP="00F326E5">
      <w:pPr>
        <w:rPr>
          <w:rFonts w:eastAsia="Times New Roman"/>
          <w:sz w:val="24"/>
          <w:szCs w:val="24"/>
        </w:rPr>
      </w:pPr>
    </w:p>
    <w:bookmarkEnd w:id="120"/>
    <w:p w14:paraId="01035D17" w14:textId="734B5C41" w:rsidR="00F326E5" w:rsidRDefault="00791CA3" w:rsidP="00791CA3">
      <w:pPr>
        <w:pStyle w:val="NoSpacing"/>
        <w:rPr>
          <w:rFonts w:ascii="Arial Black" w:hAnsi="Arial Black"/>
          <w:sz w:val="24"/>
          <w:szCs w:val="24"/>
        </w:rPr>
      </w:pPr>
      <w:r w:rsidRPr="00791CA3">
        <w:rPr>
          <w:rFonts w:ascii="Arial Black" w:hAnsi="Arial Black"/>
          <w:sz w:val="24"/>
          <w:szCs w:val="24"/>
        </w:rPr>
        <w:t>2-</w:t>
      </w:r>
      <w:r>
        <w:rPr>
          <w:rFonts w:ascii="Arial Black" w:hAnsi="Arial Black"/>
          <w:sz w:val="24"/>
          <w:szCs w:val="24"/>
        </w:rPr>
        <w:t>6</w:t>
      </w:r>
    </w:p>
    <w:p w14:paraId="2D1F1EE1" w14:textId="77777777" w:rsidR="00791CA3" w:rsidRDefault="00791CA3" w:rsidP="00791CA3">
      <w:pPr>
        <w:pStyle w:val="NoSpacing"/>
        <w:rPr>
          <w:sz w:val="24"/>
          <w:szCs w:val="24"/>
        </w:rPr>
      </w:pPr>
    </w:p>
    <w:p w14:paraId="7916E709" w14:textId="27D3F027" w:rsidR="00F326E5" w:rsidRDefault="00F326E5" w:rsidP="00F326E5">
      <w:pPr>
        <w:rPr>
          <w:rFonts w:ascii="Arial Black" w:hAnsi="Arial Black"/>
          <w:b/>
          <w:sz w:val="28"/>
          <w:szCs w:val="28"/>
        </w:rPr>
      </w:pPr>
      <w:bookmarkStart w:id="121" w:name="_Hlk7340980"/>
      <w:r w:rsidRPr="002E3997">
        <w:rPr>
          <w:rFonts w:ascii="Arial Black" w:hAnsi="Arial Black"/>
          <w:sz w:val="28"/>
          <w:szCs w:val="28"/>
        </w:rPr>
        <w:t xml:space="preserve">KY: </w:t>
      </w:r>
      <w:r>
        <w:rPr>
          <w:rFonts w:ascii="Arial Black" w:hAnsi="Arial Black"/>
          <w:sz w:val="28"/>
          <w:szCs w:val="28"/>
        </w:rPr>
        <w:t>LINE OF DUTY DEATH – “</w:t>
      </w:r>
      <w:proofErr w:type="gramStart"/>
      <w:r>
        <w:rPr>
          <w:rFonts w:ascii="Arial Black" w:hAnsi="Arial Black"/>
          <w:sz w:val="28"/>
          <w:szCs w:val="28"/>
        </w:rPr>
        <w:t>STEP CHILD</w:t>
      </w:r>
      <w:proofErr w:type="gramEnd"/>
      <w:r>
        <w:rPr>
          <w:rFonts w:ascii="Arial Black" w:hAnsi="Arial Black"/>
          <w:sz w:val="28"/>
          <w:szCs w:val="28"/>
        </w:rPr>
        <w:t xml:space="preserve">” ENTITLED TO FREE TUITION AT STATE COLLEGES  </w:t>
      </w:r>
    </w:p>
    <w:p w14:paraId="7EAA4080" w14:textId="77777777" w:rsidR="00F326E5" w:rsidRPr="0036327D" w:rsidRDefault="00F326E5" w:rsidP="00F326E5">
      <w:pPr>
        <w:rPr>
          <w:rFonts w:ascii="Times New Roman" w:eastAsia="Times New Roman" w:hAnsi="Times New Roman"/>
          <w:sz w:val="24"/>
          <w:szCs w:val="24"/>
        </w:rPr>
      </w:pPr>
      <w:r w:rsidRPr="0036327D">
        <w:rPr>
          <w:rFonts w:ascii="Times New Roman" w:hAnsi="Times New Roman"/>
          <w:sz w:val="24"/>
          <w:szCs w:val="24"/>
        </w:rPr>
        <w:t xml:space="preserve">On June 1, 2018, in </w:t>
      </w:r>
      <w:r w:rsidRPr="0036327D">
        <w:rPr>
          <w:rFonts w:ascii="Times New Roman" w:hAnsi="Times New Roman"/>
          <w:sz w:val="24"/>
          <w:szCs w:val="24"/>
          <w:u w:val="single"/>
        </w:rPr>
        <w:t>Miles Devon Skeens v. University of Louisville</w:t>
      </w:r>
      <w:r w:rsidRPr="0036327D">
        <w:rPr>
          <w:rFonts w:ascii="Times New Roman" w:hAnsi="Times New Roman"/>
          <w:sz w:val="24"/>
          <w:szCs w:val="24"/>
        </w:rPr>
        <w:t xml:space="preserve">, the Commonwealth of Kentucky Court of Appeals (3 to 0) held that </w:t>
      </w:r>
      <w:r w:rsidRPr="0036327D">
        <w:rPr>
          <w:rFonts w:ascii="Times New Roman" w:eastAsia="Times New Roman" w:hAnsi="Times New Roman"/>
          <w:sz w:val="24"/>
          <w:szCs w:val="24"/>
        </w:rPr>
        <w:t xml:space="preserve">a stepchild qualifies as a “child” under Kentucky Revised Statutes (“KRS”) 164.2841 which grants free tuition at state-supported schools for survivors of firefighters killed in the line of duty. </w:t>
      </w:r>
      <w:hyperlink r:id="rId621" w:history="1">
        <w:r w:rsidRPr="0036327D">
          <w:rPr>
            <w:rStyle w:val="Hyperlink"/>
            <w:rFonts w:ascii="Times New Roman" w:hAnsi="Times New Roman"/>
            <w:sz w:val="24"/>
            <w:szCs w:val="24"/>
          </w:rPr>
          <w:t>https://cases.justia.com/kentucky/court-of-appeals/2018-2016-ca-001534-mr.pdf?ts=1527861797</w:t>
        </w:r>
      </w:hyperlink>
      <w:r w:rsidRPr="0036327D">
        <w:rPr>
          <w:rFonts w:ascii="Times New Roman" w:eastAsia="Times New Roman" w:hAnsi="Times New Roman"/>
          <w:sz w:val="24"/>
          <w:szCs w:val="24"/>
        </w:rPr>
        <w:t xml:space="preserve"> </w:t>
      </w:r>
    </w:p>
    <w:p w14:paraId="64795A05" w14:textId="77777777" w:rsidR="00F326E5" w:rsidRPr="00724064" w:rsidRDefault="00F326E5" w:rsidP="00F326E5">
      <w:pPr>
        <w:rPr>
          <w:rFonts w:eastAsia="Times New Roman"/>
          <w:b/>
          <w:sz w:val="24"/>
          <w:szCs w:val="24"/>
        </w:rPr>
      </w:pPr>
      <w:r w:rsidRPr="0036327D">
        <w:rPr>
          <w:rFonts w:ascii="Times New Roman" w:eastAsia="Times New Roman" w:hAnsi="Times New Roman"/>
          <w:b/>
          <w:sz w:val="24"/>
          <w:szCs w:val="24"/>
        </w:rPr>
        <w:t>Legal Lesson Learned: Great decision; what was University of Louisville thinking?</w:t>
      </w:r>
    </w:p>
    <w:bookmarkEnd w:id="121"/>
    <w:p w14:paraId="1E7F64D5" w14:textId="77777777" w:rsidR="00F326E5" w:rsidRPr="001521C4" w:rsidRDefault="00F326E5" w:rsidP="00F326E5">
      <w:pPr>
        <w:rPr>
          <w:rFonts w:eastAsia="Times New Roman"/>
          <w:b/>
          <w:sz w:val="24"/>
          <w:szCs w:val="24"/>
        </w:rPr>
      </w:pPr>
      <w:r>
        <w:rPr>
          <w:rFonts w:eastAsia="Times New Roman"/>
          <w:b/>
          <w:sz w:val="24"/>
          <w:szCs w:val="24"/>
        </w:rPr>
        <w:t xml:space="preserve"> </w:t>
      </w:r>
    </w:p>
    <w:p w14:paraId="184C1241" w14:textId="77777777" w:rsidR="00F326E5" w:rsidRDefault="00F326E5" w:rsidP="00F326E5">
      <w:pPr>
        <w:pStyle w:val="NoSpacing"/>
        <w:rPr>
          <w:rFonts w:ascii="Arial Black" w:hAnsi="Arial Black"/>
          <w:b/>
          <w:sz w:val="24"/>
          <w:szCs w:val="24"/>
        </w:rPr>
      </w:pPr>
    </w:p>
    <w:p w14:paraId="717BCCD9" w14:textId="385AF2FE" w:rsidR="00791CA3" w:rsidRDefault="00791CA3" w:rsidP="00791CA3">
      <w:pPr>
        <w:pStyle w:val="NoSpacing"/>
        <w:rPr>
          <w:rFonts w:ascii="Arial Black" w:hAnsi="Arial Black"/>
          <w:sz w:val="28"/>
          <w:szCs w:val="28"/>
        </w:rPr>
      </w:pPr>
      <w:bookmarkStart w:id="122" w:name="_Hlk515115051"/>
      <w:bookmarkStart w:id="123" w:name="_Hlk7341042"/>
      <w:r w:rsidRPr="00791CA3">
        <w:rPr>
          <w:rFonts w:ascii="Arial Black" w:hAnsi="Arial Black"/>
          <w:sz w:val="24"/>
          <w:szCs w:val="24"/>
        </w:rPr>
        <w:t>2-</w:t>
      </w:r>
      <w:r>
        <w:rPr>
          <w:rFonts w:ascii="Arial Black" w:hAnsi="Arial Black"/>
          <w:sz w:val="24"/>
          <w:szCs w:val="24"/>
        </w:rPr>
        <w:t>5</w:t>
      </w:r>
    </w:p>
    <w:p w14:paraId="3964F70B" w14:textId="498AEB90" w:rsidR="00F326E5" w:rsidRPr="0026507F" w:rsidRDefault="00F326E5" w:rsidP="00F326E5">
      <w:pPr>
        <w:rPr>
          <w:rFonts w:ascii="Arial Black" w:hAnsi="Arial Black"/>
          <w:b/>
          <w:sz w:val="28"/>
          <w:szCs w:val="28"/>
        </w:rPr>
      </w:pPr>
      <w:r w:rsidRPr="0026507F">
        <w:rPr>
          <w:rFonts w:ascii="Arial Black" w:hAnsi="Arial Black"/>
          <w:sz w:val="28"/>
          <w:szCs w:val="28"/>
        </w:rPr>
        <w:t xml:space="preserve">VA: FIREMAN’S RULE – REFRIGERATOR EXPLODED </w:t>
      </w:r>
      <w:r>
        <w:rPr>
          <w:rFonts w:ascii="Arial Black" w:hAnsi="Arial Black"/>
          <w:sz w:val="28"/>
          <w:szCs w:val="28"/>
        </w:rPr>
        <w:t>–</w:t>
      </w:r>
      <w:r w:rsidRPr="0026507F">
        <w:rPr>
          <w:rFonts w:ascii="Arial Black" w:hAnsi="Arial Black"/>
          <w:sz w:val="28"/>
          <w:szCs w:val="28"/>
        </w:rPr>
        <w:t xml:space="preserve"> </w:t>
      </w:r>
      <w:r>
        <w:rPr>
          <w:rFonts w:ascii="Arial Black" w:hAnsi="Arial Black"/>
          <w:sz w:val="28"/>
          <w:szCs w:val="28"/>
        </w:rPr>
        <w:t xml:space="preserve">PD </w:t>
      </w:r>
      <w:r w:rsidRPr="0026507F">
        <w:rPr>
          <w:rFonts w:ascii="Arial Black" w:hAnsi="Arial Black"/>
          <w:sz w:val="28"/>
          <w:szCs w:val="28"/>
        </w:rPr>
        <w:t>/ VOL. FF CAN</w:t>
      </w:r>
      <w:r>
        <w:rPr>
          <w:rFonts w:ascii="Arial Black" w:hAnsi="Arial Black"/>
          <w:sz w:val="28"/>
          <w:szCs w:val="28"/>
        </w:rPr>
        <w:t xml:space="preserve">’T </w:t>
      </w:r>
      <w:r w:rsidRPr="0026507F">
        <w:rPr>
          <w:rFonts w:ascii="Arial Black" w:hAnsi="Arial Black"/>
          <w:sz w:val="28"/>
          <w:szCs w:val="28"/>
        </w:rPr>
        <w:t xml:space="preserve">SUE MANUFACTURER </w:t>
      </w:r>
    </w:p>
    <w:bookmarkEnd w:id="122"/>
    <w:p w14:paraId="71663A02" w14:textId="77777777" w:rsidR="00F326E5" w:rsidRPr="0036327D" w:rsidRDefault="00F326E5" w:rsidP="00F326E5">
      <w:pPr>
        <w:rPr>
          <w:rFonts w:ascii="Times New Roman" w:eastAsia="Times New Roman" w:hAnsi="Times New Roman"/>
          <w:sz w:val="24"/>
          <w:szCs w:val="24"/>
        </w:rPr>
      </w:pPr>
      <w:r w:rsidRPr="0036327D">
        <w:rPr>
          <w:rFonts w:ascii="Times New Roman" w:hAnsi="Times New Roman"/>
          <w:sz w:val="24"/>
          <w:szCs w:val="24"/>
        </w:rPr>
        <w:t xml:space="preserve">On April 13, 2018, in </w:t>
      </w:r>
      <w:r w:rsidRPr="0036327D">
        <w:rPr>
          <w:rFonts w:ascii="Times New Roman" w:hAnsi="Times New Roman"/>
          <w:sz w:val="24"/>
          <w:szCs w:val="24"/>
          <w:u w:val="single"/>
        </w:rPr>
        <w:t xml:space="preserve">Brian Colbert v. </w:t>
      </w:r>
      <w:proofErr w:type="spellStart"/>
      <w:r w:rsidRPr="0036327D">
        <w:rPr>
          <w:rFonts w:ascii="Times New Roman" w:hAnsi="Times New Roman"/>
          <w:sz w:val="24"/>
          <w:szCs w:val="24"/>
          <w:u w:val="single"/>
        </w:rPr>
        <w:t>Norcold</w:t>
      </w:r>
      <w:proofErr w:type="spellEnd"/>
      <w:r w:rsidRPr="0036327D">
        <w:rPr>
          <w:rFonts w:ascii="Times New Roman" w:hAnsi="Times New Roman"/>
          <w:sz w:val="24"/>
          <w:szCs w:val="24"/>
          <w:u w:val="single"/>
        </w:rPr>
        <w:t>, Inc</w:t>
      </w:r>
      <w:r w:rsidRPr="0036327D">
        <w:rPr>
          <w:rFonts w:ascii="Times New Roman" w:hAnsi="Times New Roman"/>
          <w:sz w:val="24"/>
          <w:szCs w:val="24"/>
        </w:rPr>
        <w:t>., the U.S. Court of Appeals for the 4</w:t>
      </w:r>
      <w:r w:rsidRPr="0036327D">
        <w:rPr>
          <w:rFonts w:ascii="Times New Roman" w:hAnsi="Times New Roman"/>
          <w:sz w:val="24"/>
          <w:szCs w:val="24"/>
          <w:vertAlign w:val="superscript"/>
        </w:rPr>
        <w:t>th</w:t>
      </w:r>
      <w:r w:rsidRPr="0036327D">
        <w:rPr>
          <w:rFonts w:ascii="Times New Roman" w:hAnsi="Times New Roman"/>
          <w:sz w:val="24"/>
          <w:szCs w:val="24"/>
        </w:rPr>
        <w:t xml:space="preserve"> Circuit held (3 to 0; unpublished opinion): “</w:t>
      </w:r>
      <w:r w:rsidRPr="0036327D">
        <w:rPr>
          <w:rFonts w:ascii="Times New Roman" w:eastAsia="Times New Roman" w:hAnsi="Times New Roman"/>
          <w:sz w:val="24"/>
          <w:szCs w:val="24"/>
        </w:rPr>
        <w:t xml:space="preserve">we agree with the district court: the Fireman’s Rule applies to products liability claims, and </w:t>
      </w:r>
      <w:proofErr w:type="spellStart"/>
      <w:r w:rsidRPr="0036327D">
        <w:rPr>
          <w:rFonts w:ascii="Times New Roman" w:eastAsia="Times New Roman" w:hAnsi="Times New Roman"/>
          <w:sz w:val="24"/>
          <w:szCs w:val="24"/>
        </w:rPr>
        <w:t>Norcold’s</w:t>
      </w:r>
      <w:proofErr w:type="spellEnd"/>
      <w:r w:rsidRPr="0036327D">
        <w:rPr>
          <w:rFonts w:ascii="Times New Roman" w:eastAsia="Times New Roman" w:hAnsi="Times New Roman"/>
          <w:sz w:val="24"/>
          <w:szCs w:val="24"/>
        </w:rPr>
        <w:t xml:space="preserve"> conduct was not willful or wanton.” </w:t>
      </w:r>
      <w:hyperlink r:id="rId622" w:history="1">
        <w:r w:rsidRPr="0036327D">
          <w:rPr>
            <w:rStyle w:val="Hyperlink"/>
            <w:rFonts w:ascii="Times New Roman" w:hAnsi="Times New Roman"/>
            <w:sz w:val="24"/>
            <w:szCs w:val="24"/>
          </w:rPr>
          <w:t>http://www.ca4.uscourts.gov/Opinions/171419.U.pdf</w:t>
        </w:r>
      </w:hyperlink>
      <w:r w:rsidRPr="0036327D">
        <w:rPr>
          <w:rFonts w:ascii="Times New Roman" w:eastAsia="Times New Roman" w:hAnsi="Times New Roman"/>
          <w:sz w:val="24"/>
          <w:szCs w:val="24"/>
        </w:rPr>
        <w:t xml:space="preserve"> </w:t>
      </w:r>
    </w:p>
    <w:p w14:paraId="79CC56D5" w14:textId="77777777" w:rsidR="00F326E5" w:rsidRPr="0036327D" w:rsidRDefault="00F326E5" w:rsidP="00F326E5">
      <w:pPr>
        <w:rPr>
          <w:rFonts w:ascii="Times New Roman" w:eastAsia="Times New Roman" w:hAnsi="Times New Roman"/>
          <w:b/>
          <w:sz w:val="24"/>
          <w:szCs w:val="24"/>
        </w:rPr>
      </w:pPr>
      <w:r w:rsidRPr="0036327D">
        <w:rPr>
          <w:rFonts w:ascii="Times New Roman" w:eastAsia="Times New Roman" w:hAnsi="Times New Roman"/>
          <w:b/>
          <w:sz w:val="24"/>
          <w:szCs w:val="24"/>
        </w:rPr>
        <w:t xml:space="preserve">LEGAL LESSONS LEARNED:  Police officers and firefighters in Virginia can only seek workers comp (no damages for pain &amp; injury, loss of consortium, etc.) unless proof of willful or wanton misconduct, or gross negligence, by the product manufacturer.  </w:t>
      </w:r>
    </w:p>
    <w:p w14:paraId="2F2C302D" w14:textId="77777777" w:rsidR="00F326E5" w:rsidRPr="0036327D" w:rsidRDefault="00F326E5" w:rsidP="00F326E5">
      <w:pPr>
        <w:ind w:left="720"/>
        <w:rPr>
          <w:rFonts w:ascii="Times New Roman" w:eastAsia="Times New Roman" w:hAnsi="Times New Roman"/>
          <w:sz w:val="24"/>
          <w:szCs w:val="24"/>
        </w:rPr>
      </w:pPr>
      <w:r w:rsidRPr="0036327D">
        <w:rPr>
          <w:rFonts w:ascii="Times New Roman" w:eastAsia="Times New Roman" w:hAnsi="Times New Roman"/>
          <w:sz w:val="24"/>
          <w:szCs w:val="24"/>
        </w:rPr>
        <w:t>See also March 12, 2015 decision of 10</w:t>
      </w:r>
      <w:r w:rsidRPr="0036327D">
        <w:rPr>
          <w:rFonts w:ascii="Times New Roman" w:eastAsia="Times New Roman" w:hAnsi="Times New Roman"/>
          <w:sz w:val="24"/>
          <w:szCs w:val="24"/>
          <w:vertAlign w:val="superscript"/>
        </w:rPr>
        <w:t>th</w:t>
      </w:r>
      <w:r w:rsidRPr="0036327D">
        <w:rPr>
          <w:rFonts w:ascii="Times New Roman" w:eastAsia="Times New Roman" w:hAnsi="Times New Roman"/>
          <w:sz w:val="24"/>
          <w:szCs w:val="24"/>
        </w:rPr>
        <w:t xml:space="preserve"> Circuit in Chester W. Peake v. Central Tank Coatings, where several Kansas firefighters were injured by exploding box of paint thinner: “The undisputed material facts are that several hours after Central Tank completed its work on the roof [of the city’s water tower] and left the site, the wooden members of the tower caught fire, fell to the ground, caught the surrounding grass on fire and eventually spread to the tires of the trailer.  This domino chain of events was unforeseeable. *** A large, unmarked metal container box was mounted to the wood deck of the trailer.  It was used by the crew to store various tools, oxygen/acetylene tanks, and other materials, including paint thinner.”  The Court held that the firefighters could not sue the company for damages, since here is “no evidence that Central Tank knew that the storage of paint thinner was dangerous.” </w:t>
      </w:r>
      <w:hyperlink r:id="rId623" w:history="1">
        <w:r w:rsidRPr="0036327D">
          <w:rPr>
            <w:rStyle w:val="Hyperlink"/>
            <w:rFonts w:ascii="Times New Roman" w:hAnsi="Times New Roman"/>
            <w:sz w:val="24"/>
            <w:szCs w:val="24"/>
          </w:rPr>
          <w:t>https://www.ca10.uscourts.gov/opinions/14/14-3157.pdf</w:t>
        </w:r>
      </w:hyperlink>
      <w:r w:rsidRPr="0036327D">
        <w:rPr>
          <w:rFonts w:ascii="Times New Roman" w:eastAsia="Times New Roman" w:hAnsi="Times New Roman"/>
          <w:sz w:val="24"/>
          <w:szCs w:val="24"/>
        </w:rPr>
        <w:t xml:space="preserve"> </w:t>
      </w:r>
    </w:p>
    <w:p w14:paraId="4D40FF7F" w14:textId="33C5CFBF" w:rsidR="00F326E5" w:rsidRPr="0036327D" w:rsidRDefault="00F326E5" w:rsidP="00F326E5">
      <w:pPr>
        <w:ind w:left="720"/>
        <w:rPr>
          <w:rFonts w:ascii="Times New Roman" w:eastAsia="Times New Roman" w:hAnsi="Times New Roman"/>
          <w:sz w:val="24"/>
          <w:szCs w:val="24"/>
        </w:rPr>
      </w:pPr>
      <w:r w:rsidRPr="0036327D">
        <w:rPr>
          <w:rFonts w:ascii="Times New Roman" w:eastAsia="Times New Roman" w:hAnsi="Times New Roman"/>
          <w:sz w:val="24"/>
          <w:szCs w:val="24"/>
        </w:rPr>
        <w:t xml:space="preserve">See also this article about the Kansas case: “Notably, a sizable minority of states (18) do not currently apply the Fireman’s Rule… and have either explicitly declined to adopt, rejected, limited, or failed to address it…. These states are Alabama, Colorado, Florida, Maine, Massachusetts, Michigan, Minnesota, </w:t>
      </w:r>
      <w:r w:rsidRPr="0036327D">
        <w:rPr>
          <w:rFonts w:ascii="Times New Roman" w:eastAsia="Times New Roman" w:hAnsi="Times New Roman"/>
          <w:sz w:val="24"/>
          <w:szCs w:val="24"/>
        </w:rPr>
        <w:lastRenderedPageBreak/>
        <w:t xml:space="preserve">Montana, New Jersey, New York, North Carolina, North Dakota, Oregon, Pennsylvania, South Carolina, Vermont, West Virginia, and Wyoming.” </w:t>
      </w:r>
      <w:hyperlink r:id="rId624" w:history="1">
        <w:r w:rsidRPr="0036327D">
          <w:rPr>
            <w:rStyle w:val="Hyperlink"/>
            <w:rFonts w:ascii="Times New Roman" w:hAnsi="Times New Roman"/>
            <w:sz w:val="24"/>
            <w:szCs w:val="24"/>
          </w:rPr>
          <w:t>file:///C:/Users/lawre/AppData/Local/Temp/0182139.PDF</w:t>
        </w:r>
      </w:hyperlink>
      <w:r w:rsidRPr="0036327D">
        <w:rPr>
          <w:rFonts w:ascii="Times New Roman" w:eastAsia="Times New Roman" w:hAnsi="Times New Roman"/>
          <w:sz w:val="24"/>
          <w:szCs w:val="24"/>
        </w:rPr>
        <w:t xml:space="preserve"> </w:t>
      </w:r>
    </w:p>
    <w:p w14:paraId="51967A1C" w14:textId="77777777" w:rsidR="00F326E5" w:rsidRPr="0036327D" w:rsidRDefault="00F326E5" w:rsidP="00F326E5">
      <w:pPr>
        <w:rPr>
          <w:rFonts w:ascii="Times New Roman" w:hAnsi="Times New Roman"/>
          <w:sz w:val="24"/>
          <w:szCs w:val="24"/>
        </w:rPr>
      </w:pPr>
    </w:p>
    <w:bookmarkEnd w:id="123"/>
    <w:p w14:paraId="355BE2B8" w14:textId="4EC07D12" w:rsidR="00791CA3" w:rsidRPr="00791CA3" w:rsidRDefault="00791CA3" w:rsidP="00791CA3">
      <w:pPr>
        <w:pStyle w:val="NoSpacing"/>
        <w:rPr>
          <w:rFonts w:ascii="Arial Black" w:hAnsi="Arial Black"/>
          <w:sz w:val="24"/>
          <w:szCs w:val="24"/>
        </w:rPr>
      </w:pPr>
      <w:r w:rsidRPr="00791CA3">
        <w:rPr>
          <w:rFonts w:ascii="Arial Black" w:hAnsi="Arial Black"/>
          <w:sz w:val="24"/>
          <w:szCs w:val="24"/>
        </w:rPr>
        <w:t>2-</w:t>
      </w:r>
      <w:r>
        <w:rPr>
          <w:rFonts w:ascii="Arial Black" w:hAnsi="Arial Black"/>
          <w:sz w:val="24"/>
          <w:szCs w:val="24"/>
        </w:rPr>
        <w:t>4</w:t>
      </w:r>
    </w:p>
    <w:p w14:paraId="14D76F3F" w14:textId="77777777" w:rsidR="00F326E5" w:rsidRPr="001521C4" w:rsidRDefault="00F326E5" w:rsidP="00F326E5">
      <w:pPr>
        <w:rPr>
          <w:b/>
          <w:sz w:val="24"/>
          <w:szCs w:val="24"/>
        </w:rPr>
      </w:pPr>
    </w:p>
    <w:p w14:paraId="27D38D05" w14:textId="04513E9C" w:rsidR="00F326E5" w:rsidRPr="00BA3B84" w:rsidRDefault="00F326E5" w:rsidP="00F326E5">
      <w:pPr>
        <w:pStyle w:val="NoSpacing"/>
        <w:rPr>
          <w:rFonts w:ascii="Arial Black" w:hAnsi="Arial Black"/>
          <w:sz w:val="24"/>
          <w:szCs w:val="24"/>
        </w:rPr>
      </w:pPr>
      <w:bookmarkStart w:id="124" w:name="_Hlk7341084"/>
      <w:r w:rsidRPr="0010462B">
        <w:rPr>
          <w:rFonts w:ascii="Arial Black" w:hAnsi="Arial Black"/>
          <w:sz w:val="28"/>
          <w:szCs w:val="28"/>
        </w:rPr>
        <w:t>NY:  FDNY RECRUIT DIED DURING PHYSICAL EXERCISES –</w:t>
      </w:r>
      <w:r>
        <w:rPr>
          <w:rFonts w:ascii="Arial Black" w:hAnsi="Arial Black"/>
          <w:sz w:val="28"/>
          <w:szCs w:val="28"/>
        </w:rPr>
        <w:t xml:space="preserve"> LAWSUIT DISMISSED - </w:t>
      </w:r>
      <w:r w:rsidRPr="0010462B">
        <w:rPr>
          <w:rFonts w:ascii="Arial Black" w:hAnsi="Arial Black"/>
          <w:sz w:val="28"/>
          <w:szCs w:val="28"/>
        </w:rPr>
        <w:t>HEART CONDITION</w:t>
      </w:r>
      <w:r w:rsidRPr="00CB3546">
        <w:t xml:space="preserve"> </w:t>
      </w:r>
    </w:p>
    <w:p w14:paraId="79D5B714" w14:textId="77777777" w:rsidR="00F326E5" w:rsidRPr="0036327D" w:rsidRDefault="00F326E5" w:rsidP="00F326E5">
      <w:pPr>
        <w:pStyle w:val="NormalWeb"/>
      </w:pPr>
      <w:r w:rsidRPr="0036327D">
        <w:t xml:space="preserve">On April 10, 2018, in </w:t>
      </w:r>
      <w:r w:rsidRPr="0036327D">
        <w:rPr>
          <w:u w:val="single"/>
        </w:rPr>
        <w:t>Sherita Sears v. The City of New York</w:t>
      </w:r>
      <w:r w:rsidRPr="0036327D">
        <w:t>, the Appellate Division of the Supreme Court of State of New York (5 to 0) denied the death claim, holding: “Plaintiff is not entitled to recover under GML §</w:t>
      </w:r>
      <w:r w:rsidRPr="0036327D">
        <w:t> </w:t>
      </w:r>
      <w:r w:rsidRPr="0036327D">
        <w:t>205–a, as the injuries decedent sustained were not the type of occupational injury that Labor Law §</w:t>
      </w:r>
      <w:r w:rsidRPr="0036327D">
        <w:t> </w:t>
      </w:r>
      <w:r w:rsidRPr="0036327D">
        <w:t xml:space="preserve">27–a was designed to protect, but rather, arose from risks unique to firefighting work (Williams v. City of New York, 2 N.Y.3d 352, 368, 779 N.Y.S.2d 449, 811 N.E.2d 1103 [2004] ).”  </w:t>
      </w:r>
      <w:hyperlink r:id="rId625" w:history="1">
        <w:r w:rsidRPr="0036327D">
          <w:rPr>
            <w:rStyle w:val="Hyperlink"/>
          </w:rPr>
          <w:t>https://caselaw.findlaw.com/ny-supreme-court-appellate-division/1893546.html</w:t>
        </w:r>
      </w:hyperlink>
      <w:r w:rsidRPr="0036327D">
        <w:t xml:space="preserve"> </w:t>
      </w:r>
    </w:p>
    <w:p w14:paraId="16DD784C" w14:textId="77777777" w:rsidR="00F326E5" w:rsidRPr="0036327D" w:rsidRDefault="00F326E5" w:rsidP="00F326E5">
      <w:pPr>
        <w:pStyle w:val="NormalWeb"/>
        <w:rPr>
          <w:b/>
          <w:bCs/>
          <w:kern w:val="36"/>
        </w:rPr>
      </w:pPr>
      <w:r w:rsidRPr="0036327D">
        <w:rPr>
          <w:b/>
        </w:rPr>
        <w:t xml:space="preserve">Legal Lessons Learned: The New York statute requires proof of “neglect, omission, willful or culpable negligence.” </w:t>
      </w:r>
    </w:p>
    <w:p w14:paraId="495CC32A" w14:textId="77777777" w:rsidR="00F326E5" w:rsidRPr="0036327D" w:rsidRDefault="00F326E5" w:rsidP="00F326E5">
      <w:pPr>
        <w:spacing w:before="100" w:beforeAutospacing="1" w:after="100" w:afterAutospacing="1"/>
        <w:ind w:firstLine="720"/>
        <w:outlineLvl w:val="0"/>
        <w:rPr>
          <w:rFonts w:ascii="Times New Roman" w:eastAsia="Times New Roman" w:hAnsi="Times New Roman"/>
          <w:bCs/>
          <w:kern w:val="36"/>
          <w:sz w:val="24"/>
          <w:szCs w:val="24"/>
        </w:rPr>
      </w:pPr>
      <w:hyperlink r:id="rId626" w:history="1">
        <w:r w:rsidRPr="0036327D">
          <w:rPr>
            <w:rStyle w:val="Hyperlink"/>
            <w:rFonts w:ascii="Times New Roman" w:hAnsi="Times New Roman"/>
            <w:sz w:val="24"/>
            <w:szCs w:val="24"/>
          </w:rPr>
          <w:t>https://codes.findlaw.com/ny/general-municipal-law/gmu-sect-205-a.html</w:t>
        </w:r>
      </w:hyperlink>
      <w:r w:rsidRPr="0036327D">
        <w:rPr>
          <w:rFonts w:ascii="Times New Roman" w:eastAsia="Times New Roman" w:hAnsi="Times New Roman"/>
          <w:bCs/>
          <w:kern w:val="36"/>
          <w:sz w:val="24"/>
          <w:szCs w:val="24"/>
        </w:rPr>
        <w:t xml:space="preserve"> </w:t>
      </w:r>
    </w:p>
    <w:p w14:paraId="06B80E02" w14:textId="77777777" w:rsidR="00F326E5" w:rsidRPr="0036327D" w:rsidRDefault="00F326E5" w:rsidP="00F326E5">
      <w:pPr>
        <w:spacing w:before="100" w:beforeAutospacing="1" w:after="100" w:afterAutospacing="1"/>
        <w:ind w:left="720"/>
        <w:outlineLvl w:val="0"/>
        <w:rPr>
          <w:rFonts w:ascii="Times New Roman" w:eastAsia="Times New Roman" w:hAnsi="Times New Roman"/>
          <w:bCs/>
          <w:kern w:val="36"/>
          <w:sz w:val="24"/>
          <w:szCs w:val="24"/>
        </w:rPr>
      </w:pPr>
      <w:r w:rsidRPr="0036327D">
        <w:rPr>
          <w:rFonts w:ascii="Times New Roman" w:eastAsia="Times New Roman" w:hAnsi="Times New Roman"/>
          <w:bCs/>
          <w:kern w:val="36"/>
          <w:sz w:val="24"/>
          <w:szCs w:val="24"/>
        </w:rPr>
        <w:t xml:space="preserve">New York Consolidated Laws, General Municipal Law - GMU § 205-a. Additional right of action to certain injured or representatives of certain deceased firefighters </w:t>
      </w:r>
    </w:p>
    <w:p w14:paraId="5DFE1DD8" w14:textId="77777777" w:rsidR="00F326E5" w:rsidRPr="0036327D" w:rsidRDefault="00F326E5" w:rsidP="00F326E5">
      <w:pPr>
        <w:spacing w:before="100" w:beforeAutospacing="1" w:after="100" w:afterAutospacing="1"/>
        <w:ind w:left="720"/>
        <w:outlineLvl w:val="0"/>
        <w:rPr>
          <w:rFonts w:ascii="Times New Roman" w:hAnsi="Times New Roman"/>
          <w:sz w:val="24"/>
          <w:szCs w:val="24"/>
        </w:rPr>
      </w:pPr>
      <w:r w:rsidRPr="0036327D">
        <w:rPr>
          <w:rFonts w:ascii="Times New Roman" w:hAnsi="Times New Roman"/>
          <w:sz w:val="24"/>
          <w:szCs w:val="24"/>
        </w:rPr>
        <w:t>“In addition to any other right of action or recovery under any other provision of law, in the event any accident, causing injury, death or a disease which results in death, occurs directly or indirectly as a result of any neglect, omission, willful or culpable negligence of any person or persons in failing to comply with the requirements of any of the statutes, ordinances, rules, orders and requirements of the federal, state, county, village, town or city governments or of any and all their departments, divisions and bureaus, the person or persons guilty of said neglect, omission, willful or culpable negligence at the time of such injury or death shall be liable to pay any officer, member, agent or employee of any fire department injured, or whose life may be lost while in the discharge or performance at any time or place of any duty imposed by the fire commissioner, fire chief or other superior officer of the fire department, or to pay to the wife and children, or to pay to the parents, or to pay to the brothers and sisters, being the surviving heirs-at-law of any deceased person thus having lost his life, a sum of money, in case of injury to person, not less than ten thousand dollars, and in case of death not less than forty thousand dollars, such liability to be determined and such sums recovered in an action to be instituted by any person injured or the family or relatives of any person killed as aforesaid.”</w:t>
      </w:r>
    </w:p>
    <w:p w14:paraId="78CBCD5E" w14:textId="77777777" w:rsidR="00F326E5" w:rsidRPr="0036327D" w:rsidRDefault="00F326E5" w:rsidP="00F326E5">
      <w:pPr>
        <w:pStyle w:val="NormalWeb"/>
        <w:rPr>
          <w:b/>
        </w:rPr>
      </w:pPr>
    </w:p>
    <w:bookmarkEnd w:id="124"/>
    <w:p w14:paraId="33BFB6A0" w14:textId="77777777" w:rsidR="0036327D" w:rsidRDefault="0036327D" w:rsidP="00791CA3">
      <w:pPr>
        <w:pStyle w:val="NoSpacing"/>
        <w:rPr>
          <w:rFonts w:ascii="Arial Black" w:hAnsi="Arial Black"/>
          <w:sz w:val="24"/>
          <w:szCs w:val="24"/>
        </w:rPr>
      </w:pPr>
    </w:p>
    <w:p w14:paraId="60C6050F" w14:textId="77777777" w:rsidR="0036327D" w:rsidRDefault="0036327D" w:rsidP="00791CA3">
      <w:pPr>
        <w:pStyle w:val="NoSpacing"/>
        <w:rPr>
          <w:rFonts w:ascii="Arial Black" w:hAnsi="Arial Black"/>
          <w:sz w:val="24"/>
          <w:szCs w:val="24"/>
        </w:rPr>
      </w:pPr>
    </w:p>
    <w:p w14:paraId="5F235C50" w14:textId="5CCDDDE2" w:rsidR="00791CA3" w:rsidRPr="00791CA3" w:rsidRDefault="00791CA3" w:rsidP="00791CA3">
      <w:pPr>
        <w:pStyle w:val="NoSpacing"/>
        <w:rPr>
          <w:rFonts w:ascii="Arial Black" w:hAnsi="Arial Black"/>
          <w:sz w:val="24"/>
          <w:szCs w:val="24"/>
        </w:rPr>
      </w:pPr>
      <w:r w:rsidRPr="00791CA3">
        <w:rPr>
          <w:rFonts w:ascii="Arial Black" w:hAnsi="Arial Black"/>
          <w:sz w:val="24"/>
          <w:szCs w:val="24"/>
        </w:rPr>
        <w:t>2-</w:t>
      </w:r>
      <w:r>
        <w:rPr>
          <w:rFonts w:ascii="Arial Black" w:hAnsi="Arial Black"/>
          <w:sz w:val="24"/>
          <w:szCs w:val="24"/>
        </w:rPr>
        <w:t>3</w:t>
      </w:r>
    </w:p>
    <w:p w14:paraId="3D92908D" w14:textId="77777777" w:rsidR="00F326E5" w:rsidRDefault="00F326E5" w:rsidP="00F326E5">
      <w:pPr>
        <w:rPr>
          <w:rFonts w:ascii="AATimes New Roman" w:hAnsi="AATimes New Roman"/>
          <w:color w:val="4A4A4A"/>
          <w:sz w:val="24"/>
          <w:szCs w:val="24"/>
          <w:lang w:val="en"/>
        </w:rPr>
      </w:pPr>
    </w:p>
    <w:p w14:paraId="3AC03F60" w14:textId="0C7D3125" w:rsidR="00F326E5" w:rsidRPr="0026507F" w:rsidRDefault="00F326E5" w:rsidP="00F326E5">
      <w:pPr>
        <w:rPr>
          <w:rFonts w:ascii="Times New Roman" w:hAnsi="Times New Roman"/>
          <w:b/>
          <w:color w:val="4A4A4A"/>
          <w:sz w:val="24"/>
          <w:szCs w:val="24"/>
          <w:lang w:val="en"/>
        </w:rPr>
      </w:pPr>
      <w:bookmarkStart w:id="125" w:name="_Hlk7341127"/>
      <w:r w:rsidRPr="00B87096">
        <w:rPr>
          <w:rFonts w:ascii="Arial Black" w:hAnsi="Arial Black"/>
          <w:color w:val="4A4A4A"/>
          <w:sz w:val="28"/>
          <w:szCs w:val="28"/>
          <w:lang w:val="en"/>
        </w:rPr>
        <w:lastRenderedPageBreak/>
        <w:t>U.S. SUPREME COURT</w:t>
      </w:r>
      <w:r>
        <w:rPr>
          <w:rFonts w:ascii="Arial Black" w:hAnsi="Arial Black"/>
          <w:color w:val="4A4A4A"/>
          <w:sz w:val="28"/>
          <w:szCs w:val="28"/>
          <w:lang w:val="en"/>
        </w:rPr>
        <w:t xml:space="preserve">: LANDMARK DECISION ON </w:t>
      </w:r>
      <w:r w:rsidRPr="00B87096">
        <w:rPr>
          <w:rFonts w:ascii="Arial Black" w:hAnsi="Arial Black"/>
          <w:color w:val="4A4A4A"/>
          <w:sz w:val="28"/>
          <w:szCs w:val="28"/>
          <w:lang w:val="en"/>
        </w:rPr>
        <w:t>QUALIFIED IMMUNITY</w:t>
      </w:r>
      <w:r>
        <w:rPr>
          <w:rFonts w:ascii="Arial Black" w:hAnsi="Arial Black"/>
          <w:color w:val="4A4A4A"/>
          <w:sz w:val="28"/>
          <w:szCs w:val="28"/>
          <w:lang w:val="en"/>
        </w:rPr>
        <w:t xml:space="preserve"> – ONLY IF CLEAR CONSTIT</w:t>
      </w:r>
      <w:r w:rsidR="0036327D">
        <w:rPr>
          <w:rFonts w:ascii="Arial Black" w:hAnsi="Arial Black"/>
          <w:color w:val="4A4A4A"/>
          <w:sz w:val="28"/>
          <w:szCs w:val="28"/>
          <w:lang w:val="en"/>
        </w:rPr>
        <w:t xml:space="preserve">UTIONAL VIOLATION </w:t>
      </w:r>
      <w:r>
        <w:rPr>
          <w:rFonts w:ascii="Times New Roman" w:hAnsi="Times New Roman"/>
          <w:color w:val="4A4A4A"/>
          <w:sz w:val="24"/>
          <w:szCs w:val="24"/>
          <w:lang w:val="en"/>
        </w:rPr>
        <w:t>[also filed, Chap. 1]</w:t>
      </w:r>
    </w:p>
    <w:p w14:paraId="7766F5F8" w14:textId="77777777" w:rsidR="00965872" w:rsidRDefault="00F326E5" w:rsidP="00F326E5">
      <w:pPr>
        <w:rPr>
          <w:rFonts w:ascii="Times New Roman" w:hAnsi="Times New Roman"/>
          <w:color w:val="4A4A4A"/>
          <w:sz w:val="24"/>
          <w:szCs w:val="24"/>
          <w:lang w:val="en"/>
        </w:rPr>
      </w:pPr>
      <w:bookmarkStart w:id="126" w:name="_Hlk1065203"/>
      <w:r w:rsidRPr="0036327D">
        <w:rPr>
          <w:rFonts w:ascii="Times New Roman" w:hAnsi="Times New Roman"/>
          <w:color w:val="4A4A4A"/>
          <w:sz w:val="24"/>
          <w:szCs w:val="24"/>
          <w:lang w:val="en"/>
        </w:rPr>
        <w:t xml:space="preserve">On April 2, 2018, in </w:t>
      </w:r>
      <w:r w:rsidRPr="0036327D">
        <w:rPr>
          <w:rFonts w:ascii="Times New Roman" w:hAnsi="Times New Roman"/>
          <w:color w:val="4A4A4A"/>
          <w:sz w:val="24"/>
          <w:szCs w:val="24"/>
          <w:u w:val="single"/>
          <w:lang w:val="en"/>
        </w:rPr>
        <w:t>Andrew Kisela v. Amy Hughes</w:t>
      </w:r>
      <w:r w:rsidRPr="0036327D">
        <w:rPr>
          <w:rFonts w:ascii="Times New Roman" w:hAnsi="Times New Roman"/>
          <w:color w:val="4A4A4A"/>
          <w:sz w:val="24"/>
          <w:szCs w:val="24"/>
          <w:lang w:val="en"/>
        </w:rPr>
        <w:t>, the U.S. Supreme Court reversed the 9</w:t>
      </w:r>
      <w:r w:rsidRPr="0036327D">
        <w:rPr>
          <w:rFonts w:ascii="Times New Roman" w:hAnsi="Times New Roman"/>
          <w:color w:val="4A4A4A"/>
          <w:sz w:val="24"/>
          <w:szCs w:val="24"/>
          <w:vertAlign w:val="superscript"/>
          <w:lang w:val="en"/>
        </w:rPr>
        <w:t>th</w:t>
      </w:r>
      <w:r w:rsidRPr="0036327D">
        <w:rPr>
          <w:rFonts w:ascii="Times New Roman" w:hAnsi="Times New Roman"/>
          <w:color w:val="4A4A4A"/>
          <w:sz w:val="24"/>
          <w:szCs w:val="24"/>
          <w:lang w:val="en"/>
        </w:rPr>
        <w:t xml:space="preserve"> Circuit and held (7 to 2) the police officer who shot Amy Hughes should have been dismissed from the lawsuit: </w:t>
      </w:r>
    </w:p>
    <w:p w14:paraId="7C4C0AA8" w14:textId="1859A998" w:rsidR="00F326E5" w:rsidRPr="0036327D" w:rsidRDefault="00F326E5" w:rsidP="00965872">
      <w:pPr>
        <w:ind w:left="720"/>
        <w:rPr>
          <w:rFonts w:ascii="Times New Roman" w:hAnsi="Times New Roman"/>
          <w:color w:val="4A4A4A"/>
          <w:sz w:val="24"/>
          <w:szCs w:val="24"/>
          <w:lang w:val="en"/>
        </w:rPr>
      </w:pPr>
      <w:r w:rsidRPr="0036327D">
        <w:rPr>
          <w:rFonts w:ascii="Times New Roman" w:hAnsi="Times New Roman"/>
          <w:color w:val="4A4A4A"/>
          <w:sz w:val="24"/>
          <w:szCs w:val="24"/>
          <w:lang w:val="en"/>
        </w:rPr>
        <w:t>“Here, the Court need not, and does not, decide whether Kisela violated the Fourth Amendment when he used deadly force against Hughes.  For even assuming a Fourth Amendment violation occurred—a proposition that is not at all evident—on these facts Kisela was at least entitled to qualified immunity. ‘Qualified immunity attaches when an official’s conduct does not violate clearly established statutory or constitutional rights of which a reasonable person would have known.”</w:t>
      </w:r>
      <w:r w:rsidRPr="0036327D">
        <w:rPr>
          <w:rFonts w:ascii="Times New Roman" w:hAnsi="Times New Roman"/>
          <w:sz w:val="24"/>
          <w:szCs w:val="24"/>
        </w:rPr>
        <w:t xml:space="preserve"> </w:t>
      </w:r>
      <w:hyperlink r:id="rId627" w:history="1">
        <w:r w:rsidRPr="0036327D">
          <w:rPr>
            <w:rStyle w:val="Hyperlink"/>
            <w:rFonts w:ascii="Times New Roman" w:hAnsi="Times New Roman"/>
            <w:sz w:val="24"/>
            <w:szCs w:val="24"/>
            <w:lang w:val="en"/>
          </w:rPr>
          <w:t>file:///C:/Users/lawre/AppData/Local/Microsoft/Windows/INetCache/IE/CTCRXJ99/17-467_bqm1.pdf</w:t>
        </w:r>
      </w:hyperlink>
      <w:bookmarkEnd w:id="126"/>
      <w:r w:rsidRPr="0036327D">
        <w:rPr>
          <w:rFonts w:ascii="Times New Roman" w:hAnsi="Times New Roman"/>
          <w:color w:val="4A4A4A"/>
          <w:sz w:val="24"/>
          <w:szCs w:val="24"/>
          <w:lang w:val="en"/>
        </w:rPr>
        <w:t xml:space="preserve"> </w:t>
      </w:r>
    </w:p>
    <w:p w14:paraId="0C41C57F" w14:textId="77777777" w:rsidR="00F326E5" w:rsidRPr="0036327D" w:rsidRDefault="00F326E5" w:rsidP="00F326E5">
      <w:pPr>
        <w:rPr>
          <w:rFonts w:ascii="Times New Roman" w:hAnsi="Times New Roman"/>
          <w:b/>
          <w:color w:val="4A4A4A"/>
          <w:sz w:val="24"/>
          <w:szCs w:val="24"/>
          <w:lang w:val="en"/>
        </w:rPr>
      </w:pPr>
      <w:r w:rsidRPr="0036327D">
        <w:rPr>
          <w:rFonts w:ascii="Times New Roman" w:hAnsi="Times New Roman"/>
          <w:b/>
          <w:color w:val="4A4A4A"/>
          <w:sz w:val="24"/>
          <w:szCs w:val="24"/>
          <w:lang w:val="en"/>
        </w:rPr>
        <w:t>LEGAL LESSONS LEARNED:  Very helpful decision, not only for police officers, but for all emergency responders who may be sued arising out of split-second decisions.  The 7-</w:t>
      </w:r>
      <w:bookmarkStart w:id="127" w:name="_Hlk1065258"/>
      <w:r w:rsidRPr="0036327D">
        <w:rPr>
          <w:rFonts w:ascii="Times New Roman" w:hAnsi="Times New Roman"/>
          <w:b/>
          <w:color w:val="4A4A4A"/>
          <w:sz w:val="24"/>
          <w:szCs w:val="24"/>
          <w:lang w:val="en"/>
        </w:rPr>
        <w:t xml:space="preserve">Justices sent a message that qualified immunity protects police officers from personal liability unless conduct clearly unjustified.  </w:t>
      </w:r>
    </w:p>
    <w:p w14:paraId="5242535B" w14:textId="77777777" w:rsidR="00F326E5" w:rsidRPr="0036327D" w:rsidRDefault="00F326E5" w:rsidP="00F326E5">
      <w:pPr>
        <w:ind w:left="720"/>
        <w:rPr>
          <w:rFonts w:ascii="Times New Roman" w:hAnsi="Times New Roman"/>
          <w:b/>
          <w:color w:val="4A4A4A"/>
          <w:sz w:val="24"/>
          <w:szCs w:val="24"/>
          <w:lang w:val="en"/>
        </w:rPr>
      </w:pPr>
      <w:r w:rsidRPr="0036327D">
        <w:rPr>
          <w:rFonts w:ascii="Times New Roman" w:hAnsi="Times New Roman"/>
          <w:color w:val="4A4A4A"/>
          <w:sz w:val="24"/>
          <w:szCs w:val="24"/>
          <w:lang w:val="en"/>
        </w:rPr>
        <w:t>See New York Times article on this decision: “</w:t>
      </w:r>
      <w:r w:rsidRPr="0036327D">
        <w:rPr>
          <w:rFonts w:ascii="Times New Roman" w:hAnsi="Times New Roman"/>
          <w:sz w:val="24"/>
          <w:szCs w:val="24"/>
          <w:lang w:val="en"/>
        </w:rPr>
        <w:t>The court’s decision was unsigned and issued without full briefing and oral argument, an indication that the majority found the case to be easy.”</w:t>
      </w:r>
      <w:r w:rsidRPr="0036327D">
        <w:rPr>
          <w:rFonts w:ascii="Times New Roman" w:hAnsi="Times New Roman"/>
          <w:color w:val="4A4A4A"/>
          <w:sz w:val="24"/>
          <w:szCs w:val="24"/>
          <w:lang w:val="en"/>
        </w:rPr>
        <w:t xml:space="preserve"> </w:t>
      </w:r>
      <w:hyperlink r:id="rId628" w:history="1">
        <w:r w:rsidRPr="0036327D">
          <w:rPr>
            <w:rStyle w:val="Hyperlink"/>
            <w:rFonts w:ascii="Times New Roman" w:hAnsi="Times New Roman"/>
            <w:sz w:val="24"/>
            <w:szCs w:val="24"/>
            <w:lang w:val="en"/>
          </w:rPr>
          <w:t>https://www.nytimes.com/2018/04/02/us/politics/supreme-court-rules-for-police-officer-in-excessive-force-case.html</w:t>
        </w:r>
      </w:hyperlink>
      <w:r w:rsidRPr="0036327D">
        <w:rPr>
          <w:rFonts w:ascii="Times New Roman" w:hAnsi="Times New Roman"/>
          <w:b/>
          <w:color w:val="4A4A4A"/>
          <w:sz w:val="24"/>
          <w:szCs w:val="24"/>
          <w:lang w:val="en"/>
        </w:rPr>
        <w:t xml:space="preserve"> </w:t>
      </w:r>
      <w:bookmarkEnd w:id="127"/>
    </w:p>
    <w:p w14:paraId="5584A911" w14:textId="77777777" w:rsidR="00F326E5" w:rsidRPr="0036327D" w:rsidRDefault="00F326E5" w:rsidP="00F326E5">
      <w:pPr>
        <w:ind w:left="720"/>
        <w:rPr>
          <w:rFonts w:ascii="Times New Roman" w:hAnsi="Times New Roman"/>
          <w:b/>
          <w:color w:val="4A4A4A"/>
          <w:sz w:val="24"/>
          <w:szCs w:val="24"/>
          <w:lang w:val="en"/>
        </w:rPr>
      </w:pPr>
    </w:p>
    <w:bookmarkEnd w:id="125"/>
    <w:p w14:paraId="793CC0DF" w14:textId="25783A7F" w:rsidR="00791CA3" w:rsidRPr="00791CA3" w:rsidRDefault="00791CA3" w:rsidP="00791CA3">
      <w:pPr>
        <w:pStyle w:val="NoSpacing"/>
        <w:rPr>
          <w:rFonts w:ascii="Arial Black" w:hAnsi="Arial Black"/>
          <w:sz w:val="24"/>
          <w:szCs w:val="24"/>
        </w:rPr>
      </w:pPr>
      <w:r w:rsidRPr="00791CA3">
        <w:rPr>
          <w:rFonts w:ascii="Arial Black" w:hAnsi="Arial Black"/>
          <w:sz w:val="24"/>
          <w:szCs w:val="24"/>
        </w:rPr>
        <w:t>2-</w:t>
      </w:r>
      <w:r>
        <w:rPr>
          <w:rFonts w:ascii="Arial Black" w:hAnsi="Arial Black"/>
          <w:sz w:val="24"/>
          <w:szCs w:val="24"/>
        </w:rPr>
        <w:t>2</w:t>
      </w:r>
    </w:p>
    <w:p w14:paraId="5D56D74D" w14:textId="77777777" w:rsidR="00F326E5" w:rsidRDefault="00F326E5" w:rsidP="00F326E5">
      <w:pPr>
        <w:rPr>
          <w:sz w:val="24"/>
          <w:szCs w:val="24"/>
        </w:rPr>
      </w:pPr>
    </w:p>
    <w:p w14:paraId="678E94EA" w14:textId="738A2BE7" w:rsidR="00F326E5" w:rsidRPr="004445C3" w:rsidRDefault="00F326E5" w:rsidP="00F326E5">
      <w:pPr>
        <w:rPr>
          <w:rFonts w:ascii="[" w:hAnsi="["/>
          <w:color w:val="4A4A4A"/>
          <w:sz w:val="24"/>
          <w:szCs w:val="24"/>
          <w:lang w:val="en"/>
        </w:rPr>
      </w:pPr>
      <w:bookmarkStart w:id="128" w:name="_Hlk7341158"/>
      <w:r>
        <w:rPr>
          <w:rFonts w:ascii="Arial Black" w:hAnsi="Arial Black" w:cs="Arial"/>
          <w:color w:val="4A4A4A"/>
          <w:sz w:val="28"/>
          <w:szCs w:val="28"/>
          <w:lang w:val="en"/>
        </w:rPr>
        <w:t xml:space="preserve">TX: </w:t>
      </w:r>
      <w:r w:rsidRPr="00992190">
        <w:rPr>
          <w:rFonts w:ascii="Arial Black" w:hAnsi="Arial Black" w:cs="Arial"/>
          <w:color w:val="4A4A4A"/>
          <w:sz w:val="28"/>
          <w:szCs w:val="28"/>
          <w:lang w:val="en"/>
        </w:rPr>
        <w:t xml:space="preserve">MURDER TRIAL </w:t>
      </w:r>
      <w:r>
        <w:rPr>
          <w:rFonts w:ascii="Arial Black" w:hAnsi="Arial Black" w:cs="Arial"/>
          <w:color w:val="4A4A4A"/>
          <w:sz w:val="28"/>
          <w:szCs w:val="28"/>
          <w:lang w:val="en"/>
        </w:rPr>
        <w:t xml:space="preserve">FOR KILLING A POLICE OFFICER – PD MAY BE AT TRIAL IN UNIFORM </w:t>
      </w:r>
      <w:r>
        <w:rPr>
          <w:rFonts w:ascii="[" w:hAnsi="["/>
          <w:color w:val="4A4A4A"/>
          <w:sz w:val="24"/>
          <w:szCs w:val="24"/>
          <w:lang w:val="en"/>
        </w:rPr>
        <w:t>[also filed, Chap. 1]</w:t>
      </w:r>
    </w:p>
    <w:p w14:paraId="63F3BD15" w14:textId="33E5A73A" w:rsidR="00F326E5" w:rsidRPr="0036327D" w:rsidRDefault="00F326E5" w:rsidP="00F326E5">
      <w:pPr>
        <w:rPr>
          <w:rStyle w:val="Hyperlink"/>
          <w:rFonts w:ascii="Times New Roman" w:hAnsi="Times New Roman"/>
          <w:sz w:val="24"/>
          <w:szCs w:val="24"/>
          <w:lang w:val="en"/>
        </w:rPr>
      </w:pPr>
      <w:r w:rsidRPr="0036327D">
        <w:rPr>
          <w:rFonts w:ascii="Times New Roman" w:hAnsi="Times New Roman"/>
          <w:color w:val="4A4A4A"/>
          <w:sz w:val="24"/>
          <w:szCs w:val="24"/>
          <w:lang w:val="en"/>
        </w:rPr>
        <w:t xml:space="preserve">On March 27, 2018, in </w:t>
      </w:r>
      <w:r w:rsidRPr="0036327D">
        <w:rPr>
          <w:rFonts w:ascii="Times New Roman" w:hAnsi="Times New Roman"/>
          <w:color w:val="4A4A4A"/>
          <w:sz w:val="24"/>
          <w:szCs w:val="24"/>
          <w:u w:val="single"/>
          <w:lang w:val="en"/>
        </w:rPr>
        <w:t xml:space="preserve">Shelton </w:t>
      </w:r>
      <w:proofErr w:type="spellStart"/>
      <w:r w:rsidRPr="0036327D">
        <w:rPr>
          <w:rFonts w:ascii="Times New Roman" w:hAnsi="Times New Roman"/>
          <w:color w:val="4A4A4A"/>
          <w:sz w:val="24"/>
          <w:szCs w:val="24"/>
          <w:u w:val="single"/>
          <w:lang w:val="en"/>
        </w:rPr>
        <w:t>Denoria</w:t>
      </w:r>
      <w:proofErr w:type="spellEnd"/>
      <w:r w:rsidRPr="0036327D">
        <w:rPr>
          <w:rFonts w:ascii="Times New Roman" w:hAnsi="Times New Roman"/>
          <w:color w:val="4A4A4A"/>
          <w:sz w:val="24"/>
          <w:szCs w:val="24"/>
          <w:u w:val="single"/>
          <w:lang w:val="en"/>
        </w:rPr>
        <w:t xml:space="preserve"> Jones v. Lorie Davis, Director, Texas Department of Criminal Justice</w:t>
      </w:r>
      <w:r w:rsidRPr="0036327D">
        <w:rPr>
          <w:rFonts w:ascii="Times New Roman" w:hAnsi="Times New Roman"/>
          <w:color w:val="4A4A4A"/>
          <w:sz w:val="24"/>
          <w:szCs w:val="24"/>
          <w:lang w:val="en"/>
        </w:rPr>
        <w:t>, the U.S. Court of Appeals for 5</w:t>
      </w:r>
      <w:r w:rsidRPr="0036327D">
        <w:rPr>
          <w:rFonts w:ascii="Times New Roman" w:hAnsi="Times New Roman"/>
          <w:color w:val="4A4A4A"/>
          <w:sz w:val="24"/>
          <w:szCs w:val="24"/>
          <w:vertAlign w:val="superscript"/>
          <w:lang w:val="en"/>
        </w:rPr>
        <w:t>th</w:t>
      </w:r>
      <w:r w:rsidRPr="0036327D">
        <w:rPr>
          <w:rFonts w:ascii="Times New Roman" w:hAnsi="Times New Roman"/>
          <w:color w:val="4A4A4A"/>
          <w:sz w:val="24"/>
          <w:szCs w:val="24"/>
          <w:lang w:val="en"/>
        </w:rPr>
        <w:t xml:space="preserve"> Circuit, held (3 to 0) that the defendant was not deprived of a fair trial in state court: “the record before us does not suggest the police presence intimidated the jury or disrupted the factfinding process in any way.” </w:t>
      </w:r>
      <w:hyperlink r:id="rId629" w:history="1">
        <w:r w:rsidRPr="0036327D">
          <w:rPr>
            <w:rStyle w:val="Hyperlink"/>
            <w:rFonts w:ascii="Times New Roman" w:hAnsi="Times New Roman"/>
            <w:sz w:val="24"/>
            <w:szCs w:val="24"/>
            <w:lang w:val="en"/>
          </w:rPr>
          <w:t>file:///C:/Users/lawre/AppData/Local/Microsoft/Windows/INetCache/IE/XO250S7T/15-70040-CV0.pdf</w:t>
        </w:r>
      </w:hyperlink>
    </w:p>
    <w:p w14:paraId="18A9B3EF" w14:textId="77777777" w:rsidR="00F326E5" w:rsidRPr="0036327D" w:rsidRDefault="00F326E5" w:rsidP="00F326E5">
      <w:pPr>
        <w:rPr>
          <w:rFonts w:ascii="Times New Roman" w:hAnsi="Times New Roman"/>
          <w:b/>
          <w:color w:val="4A4A4A"/>
          <w:sz w:val="24"/>
          <w:szCs w:val="24"/>
          <w:lang w:val="en"/>
        </w:rPr>
      </w:pPr>
      <w:bookmarkStart w:id="129" w:name="_Hlk1065353"/>
      <w:r w:rsidRPr="0036327D">
        <w:rPr>
          <w:rFonts w:ascii="Times New Roman" w:hAnsi="Times New Roman"/>
          <w:b/>
          <w:color w:val="4A4A4A"/>
          <w:sz w:val="24"/>
          <w:szCs w:val="24"/>
          <w:lang w:val="en"/>
        </w:rPr>
        <w:t xml:space="preserve">LEGAL LESSONS LEARNED:  Helpful decision – no evidence of jury intimidation by having emergency responders in uniform, watching a jury trial.  Before showing up in uniform, please discuss with your Chief and the prosecutor, who may want to review with trial judge, prior to start of trial. </w:t>
      </w:r>
    </w:p>
    <w:p w14:paraId="5EB00F6E" w14:textId="77777777" w:rsidR="00D46F1E" w:rsidRPr="0036327D" w:rsidRDefault="00D46F1E" w:rsidP="00F326E5">
      <w:pPr>
        <w:pStyle w:val="NoSpacing"/>
        <w:rPr>
          <w:rFonts w:ascii="Times New Roman" w:hAnsi="Times New Roman"/>
          <w:sz w:val="24"/>
          <w:szCs w:val="24"/>
        </w:rPr>
      </w:pPr>
      <w:bookmarkStart w:id="130" w:name="_Hlk515115331"/>
      <w:bookmarkEnd w:id="128"/>
      <w:bookmarkEnd w:id="129"/>
    </w:p>
    <w:p w14:paraId="5327D8FF" w14:textId="77777777" w:rsidR="00D46F1E" w:rsidRDefault="00D46F1E" w:rsidP="00F326E5">
      <w:pPr>
        <w:pStyle w:val="NoSpacing"/>
        <w:rPr>
          <w:sz w:val="24"/>
          <w:szCs w:val="24"/>
        </w:rPr>
      </w:pPr>
    </w:p>
    <w:p w14:paraId="71B7B4DB" w14:textId="24ADCB6B" w:rsidR="00D46F1E" w:rsidRPr="00791CA3" w:rsidRDefault="00791CA3" w:rsidP="00F326E5">
      <w:pPr>
        <w:pStyle w:val="NoSpacing"/>
        <w:rPr>
          <w:rFonts w:ascii="Arial Black" w:hAnsi="Arial Black"/>
          <w:sz w:val="24"/>
          <w:szCs w:val="24"/>
        </w:rPr>
      </w:pPr>
      <w:r w:rsidRPr="00791CA3">
        <w:rPr>
          <w:rFonts w:ascii="Arial Black" w:hAnsi="Arial Black"/>
          <w:sz w:val="24"/>
          <w:szCs w:val="24"/>
        </w:rPr>
        <w:t>2-1</w:t>
      </w:r>
    </w:p>
    <w:p w14:paraId="7A128CE5" w14:textId="77777777" w:rsidR="00D46F1E" w:rsidRDefault="00D46F1E" w:rsidP="00F326E5">
      <w:pPr>
        <w:pStyle w:val="NoSpacing"/>
        <w:rPr>
          <w:sz w:val="24"/>
          <w:szCs w:val="24"/>
        </w:rPr>
      </w:pPr>
    </w:p>
    <w:p w14:paraId="6607B45D" w14:textId="16C33E9F" w:rsidR="00F326E5" w:rsidRDefault="00F326E5" w:rsidP="00F326E5">
      <w:pPr>
        <w:pStyle w:val="NoSpacing"/>
        <w:rPr>
          <w:rFonts w:ascii="Arial Black" w:hAnsi="Arial Black"/>
          <w:b/>
          <w:sz w:val="28"/>
          <w:szCs w:val="28"/>
        </w:rPr>
      </w:pPr>
      <w:bookmarkStart w:id="131" w:name="_Hlk7341195"/>
      <w:r>
        <w:rPr>
          <w:rFonts w:ascii="Arial Black" w:hAnsi="Arial Black"/>
          <w:b/>
          <w:sz w:val="28"/>
          <w:szCs w:val="28"/>
        </w:rPr>
        <w:lastRenderedPageBreak/>
        <w:t>PA: SEAGRAVE FIRE APPARATUS – INSURANCE COMPANIES MUST DEFEND ON HEARING LOSS CLAIMS</w:t>
      </w:r>
    </w:p>
    <w:bookmarkEnd w:id="130"/>
    <w:p w14:paraId="509F34F7" w14:textId="14F36BFA" w:rsidR="00F326E5" w:rsidRPr="0036327D" w:rsidRDefault="00F326E5" w:rsidP="00F326E5">
      <w:pPr>
        <w:rPr>
          <w:rFonts w:ascii="Times New Roman" w:hAnsi="Times New Roman"/>
          <w:sz w:val="24"/>
          <w:szCs w:val="24"/>
        </w:rPr>
      </w:pPr>
      <w:r w:rsidRPr="0036327D">
        <w:rPr>
          <w:rFonts w:ascii="Times New Roman" w:hAnsi="Times New Roman"/>
          <w:sz w:val="24"/>
          <w:szCs w:val="24"/>
        </w:rPr>
        <w:t xml:space="preserve">On March 26, 2018, in </w:t>
      </w:r>
      <w:r w:rsidRPr="0036327D">
        <w:rPr>
          <w:rFonts w:ascii="Times New Roman" w:hAnsi="Times New Roman"/>
          <w:sz w:val="24"/>
          <w:szCs w:val="24"/>
          <w:u w:val="single"/>
        </w:rPr>
        <w:t>Seagrave Fire Apparatus, LLC v. CAN D/B/A Continental Casualty Company, et al.</w:t>
      </w:r>
      <w:r w:rsidRPr="0036327D">
        <w:rPr>
          <w:rFonts w:ascii="Times New Roman" w:hAnsi="Times New Roman"/>
          <w:sz w:val="24"/>
          <w:szCs w:val="24"/>
        </w:rPr>
        <w:t xml:space="preserve">, the Superior Court of Pennsylvania held (3 to 1) that several insurance companies that insured Seagrave must defend Seagrave under their contracts for firefighter hearing loss claims.  </w:t>
      </w:r>
      <w:hyperlink r:id="rId630" w:history="1">
        <w:r w:rsidRPr="0036327D">
          <w:rPr>
            <w:rStyle w:val="Hyperlink"/>
            <w:rFonts w:ascii="Times New Roman" w:hAnsi="Times New Roman"/>
            <w:sz w:val="24"/>
            <w:szCs w:val="24"/>
          </w:rPr>
          <w:t>file:///C:/Users/lawre/AppData/Local/Microsoft/Windows/INetCache/IE/XO250S7T/memorandum%20%20affirmed%20%2010347948434547371.pdf</w:t>
        </w:r>
      </w:hyperlink>
      <w:r w:rsidRPr="0036327D">
        <w:rPr>
          <w:rFonts w:ascii="Times New Roman" w:hAnsi="Times New Roman"/>
          <w:sz w:val="24"/>
          <w:szCs w:val="24"/>
        </w:rPr>
        <w:t xml:space="preserve"> </w:t>
      </w:r>
    </w:p>
    <w:p w14:paraId="06BFD820" w14:textId="7EAF05C7" w:rsidR="00F326E5" w:rsidRPr="0036327D" w:rsidRDefault="00F326E5" w:rsidP="00F326E5">
      <w:pPr>
        <w:rPr>
          <w:rFonts w:ascii="Times New Roman" w:hAnsi="Times New Roman"/>
          <w:b/>
          <w:sz w:val="24"/>
          <w:szCs w:val="24"/>
        </w:rPr>
      </w:pPr>
      <w:r w:rsidRPr="0036327D">
        <w:rPr>
          <w:rFonts w:ascii="Times New Roman" w:hAnsi="Times New Roman"/>
          <w:b/>
          <w:sz w:val="24"/>
          <w:szCs w:val="24"/>
        </w:rPr>
        <w:t>L</w:t>
      </w:r>
      <w:r w:rsidR="00965872">
        <w:rPr>
          <w:rFonts w:ascii="Times New Roman" w:hAnsi="Times New Roman"/>
          <w:b/>
          <w:sz w:val="24"/>
          <w:szCs w:val="24"/>
        </w:rPr>
        <w:t xml:space="preserve">egal Lessons Learned: </w:t>
      </w:r>
      <w:r w:rsidRPr="0036327D">
        <w:rPr>
          <w:rFonts w:ascii="Times New Roman" w:hAnsi="Times New Roman"/>
          <w:b/>
          <w:sz w:val="24"/>
          <w:szCs w:val="24"/>
        </w:rPr>
        <w:t xml:space="preserve">Insurance companies are obligated </w:t>
      </w:r>
      <w:proofErr w:type="gramStart"/>
      <w:r w:rsidRPr="0036327D">
        <w:rPr>
          <w:rFonts w:ascii="Times New Roman" w:hAnsi="Times New Roman"/>
          <w:b/>
          <w:sz w:val="24"/>
          <w:szCs w:val="24"/>
        </w:rPr>
        <w:t>per</w:t>
      </w:r>
      <w:proofErr w:type="gramEnd"/>
      <w:r w:rsidRPr="0036327D">
        <w:rPr>
          <w:rFonts w:ascii="Times New Roman" w:hAnsi="Times New Roman"/>
          <w:b/>
          <w:sz w:val="24"/>
          <w:szCs w:val="24"/>
        </w:rPr>
        <w:t xml:space="preserve"> terms of their contracts to defend Seagrave against the many pending claims. </w:t>
      </w:r>
    </w:p>
    <w:p w14:paraId="08D308CA" w14:textId="46B858FD" w:rsidR="00F326E5" w:rsidRPr="0036327D" w:rsidRDefault="00F326E5" w:rsidP="00F326E5">
      <w:pPr>
        <w:ind w:left="720"/>
        <w:rPr>
          <w:rFonts w:ascii="Times New Roman" w:hAnsi="Times New Roman"/>
          <w:sz w:val="24"/>
          <w:szCs w:val="24"/>
        </w:rPr>
      </w:pPr>
      <w:r w:rsidRPr="0036327D">
        <w:rPr>
          <w:rFonts w:ascii="Times New Roman" w:hAnsi="Times New Roman"/>
          <w:sz w:val="24"/>
          <w:szCs w:val="24"/>
        </w:rPr>
        <w:t xml:space="preserve">See, for example, this 2015 lawsuit filed on behalf of 34 New Jersey firefighters: </w:t>
      </w:r>
      <w:hyperlink r:id="rId631" w:history="1">
        <w:r w:rsidRPr="0036327D">
          <w:rPr>
            <w:rStyle w:val="Hyperlink"/>
            <w:rFonts w:ascii="Times New Roman" w:hAnsi="Times New Roman"/>
            <w:sz w:val="24"/>
            <w:szCs w:val="24"/>
          </w:rPr>
          <w:t>file:///C:/Users/lawre/AppData/Local/Microsoft/Windows/INetCache/IE/CTCRXJ99/Alvarez-v-American-LaFrance.pdf</w:t>
        </w:r>
      </w:hyperlink>
    </w:p>
    <w:bookmarkEnd w:id="131"/>
    <w:p w14:paraId="2304D399" w14:textId="77777777" w:rsidR="00F326E5" w:rsidRPr="008F54C5" w:rsidRDefault="00F326E5" w:rsidP="00F326E5">
      <w:pPr>
        <w:rPr>
          <w:b/>
          <w:sz w:val="24"/>
          <w:szCs w:val="24"/>
        </w:rPr>
      </w:pPr>
    </w:p>
    <w:p w14:paraId="0B36607D" w14:textId="77777777" w:rsidR="00F326E5" w:rsidRPr="008F54C5" w:rsidRDefault="00F326E5" w:rsidP="00F326E5">
      <w:pPr>
        <w:pStyle w:val="NoSpacing"/>
        <w:rPr>
          <w:b/>
          <w:sz w:val="24"/>
          <w:szCs w:val="24"/>
        </w:rPr>
      </w:pPr>
      <w:r w:rsidRPr="008F54C5">
        <w:rPr>
          <w:b/>
          <w:sz w:val="24"/>
          <w:szCs w:val="24"/>
        </w:rPr>
        <w:t xml:space="preserve"> </w:t>
      </w:r>
    </w:p>
    <w:p w14:paraId="40204EF6" w14:textId="77777777" w:rsidR="00F326E5" w:rsidRDefault="00F326E5" w:rsidP="00F326E5">
      <w:pPr>
        <w:rPr>
          <w:rStyle w:val="Hyperlink"/>
          <w:b/>
          <w:sz w:val="24"/>
          <w:szCs w:val="24"/>
          <w:lang w:val="en"/>
        </w:rPr>
      </w:pPr>
      <w:r>
        <w:rPr>
          <w:rStyle w:val="Hyperlink"/>
          <w:sz w:val="24"/>
          <w:szCs w:val="24"/>
          <w:lang w:val="en"/>
        </w:rPr>
        <w:br w:type="page"/>
      </w:r>
    </w:p>
    <w:p w14:paraId="1A70740B" w14:textId="0ED3A3BB" w:rsidR="007F56D6" w:rsidRDefault="007F56D6">
      <w:pPr>
        <w:spacing w:after="0" w:line="240" w:lineRule="auto"/>
        <w:rPr>
          <w:rFonts w:ascii="Arial Black" w:hAnsi="Arial Black"/>
          <w:sz w:val="40"/>
          <w:szCs w:val="40"/>
        </w:rPr>
      </w:pPr>
      <w:r>
        <w:rPr>
          <w:rFonts w:ascii="Arial Black" w:hAnsi="Arial Black"/>
          <w:sz w:val="40"/>
          <w:szCs w:val="40"/>
        </w:rPr>
        <w:lastRenderedPageBreak/>
        <w:br w:type="page"/>
      </w:r>
    </w:p>
    <w:p w14:paraId="32820C02" w14:textId="0B8B2CC9" w:rsidR="00F326E5" w:rsidRDefault="00F326E5" w:rsidP="00F326E5">
      <w:pPr>
        <w:pStyle w:val="NoSpacing"/>
        <w:rPr>
          <w:rFonts w:ascii="Arial Black" w:hAnsi="Arial Black"/>
          <w:sz w:val="40"/>
          <w:szCs w:val="40"/>
        </w:rPr>
      </w:pPr>
      <w:r w:rsidRPr="007732FA">
        <w:rPr>
          <w:rFonts w:ascii="Arial Black" w:hAnsi="Arial Black"/>
          <w:sz w:val="40"/>
          <w:szCs w:val="40"/>
        </w:rPr>
        <w:lastRenderedPageBreak/>
        <w:t>Chap. 3</w:t>
      </w:r>
      <w:r w:rsidRPr="007732FA">
        <w:rPr>
          <w:rFonts w:ascii="Arial Black" w:hAnsi="Arial Black"/>
          <w:sz w:val="40"/>
          <w:szCs w:val="40"/>
        </w:rPr>
        <w:tab/>
        <w:t>Homeland Security</w:t>
      </w:r>
      <w:r w:rsidR="003F660F">
        <w:rPr>
          <w:rFonts w:ascii="Arial Black" w:hAnsi="Arial Black"/>
          <w:sz w:val="40"/>
          <w:szCs w:val="40"/>
        </w:rPr>
        <w:t xml:space="preserve">, including </w:t>
      </w:r>
      <w:r w:rsidRPr="007732FA">
        <w:rPr>
          <w:rFonts w:ascii="Arial Black" w:hAnsi="Arial Black"/>
          <w:sz w:val="40"/>
          <w:szCs w:val="40"/>
        </w:rPr>
        <w:t>Active Shooter</w:t>
      </w:r>
      <w:r w:rsidR="003F660F">
        <w:rPr>
          <w:rFonts w:ascii="Arial Black" w:hAnsi="Arial Black"/>
          <w:sz w:val="40"/>
          <w:szCs w:val="40"/>
        </w:rPr>
        <w:t xml:space="preserve">, </w:t>
      </w:r>
      <w:r w:rsidR="00636395">
        <w:rPr>
          <w:rFonts w:ascii="Arial Black" w:hAnsi="Arial Black"/>
          <w:sz w:val="40"/>
          <w:szCs w:val="40"/>
        </w:rPr>
        <w:t>Cybersecurity</w:t>
      </w:r>
      <w:r w:rsidR="00BC5936">
        <w:rPr>
          <w:rFonts w:ascii="Arial Black" w:hAnsi="Arial Black"/>
          <w:sz w:val="40"/>
          <w:szCs w:val="40"/>
        </w:rPr>
        <w:t>, Immigration</w:t>
      </w:r>
    </w:p>
    <w:p w14:paraId="42137DFF" w14:textId="77777777" w:rsidR="00F326E5" w:rsidRDefault="00F326E5" w:rsidP="00F326E5">
      <w:pPr>
        <w:pStyle w:val="NoSpacing"/>
        <w:rPr>
          <w:sz w:val="24"/>
          <w:szCs w:val="24"/>
        </w:rPr>
      </w:pPr>
    </w:p>
    <w:p w14:paraId="31A126DD" w14:textId="06DED599" w:rsidR="008A4986" w:rsidRDefault="008A4986" w:rsidP="008A4986">
      <w:pPr>
        <w:pStyle w:val="NoSpacing"/>
        <w:rPr>
          <w:rFonts w:ascii="Arial Black" w:hAnsi="Arial Black"/>
          <w:sz w:val="28"/>
          <w:szCs w:val="28"/>
        </w:rPr>
      </w:pPr>
      <w:bookmarkStart w:id="132" w:name="_Hlk7341375"/>
      <w:r>
        <w:rPr>
          <w:rFonts w:ascii="Arial Black" w:hAnsi="Arial Black"/>
          <w:sz w:val="28"/>
          <w:szCs w:val="28"/>
        </w:rPr>
        <w:t>3-96</w:t>
      </w:r>
    </w:p>
    <w:p w14:paraId="74435624" w14:textId="77777777" w:rsidR="008A4986" w:rsidRDefault="008A4986" w:rsidP="006B4271">
      <w:pPr>
        <w:pStyle w:val="NoSpacing"/>
        <w:rPr>
          <w:rFonts w:ascii="Arial Black" w:hAnsi="Arial Black"/>
          <w:sz w:val="28"/>
          <w:szCs w:val="28"/>
        </w:rPr>
      </w:pPr>
    </w:p>
    <w:p w14:paraId="7CBB82F7" w14:textId="77777777" w:rsidR="008A4986" w:rsidRPr="002F6AE6" w:rsidRDefault="008A4986" w:rsidP="008A4986">
      <w:pPr>
        <w:rPr>
          <w:rFonts w:ascii="Arial Black" w:hAnsi="Arial Black"/>
          <w:b/>
          <w:sz w:val="28"/>
          <w:szCs w:val="28"/>
        </w:rPr>
      </w:pPr>
      <w:r>
        <w:rPr>
          <w:rFonts w:ascii="Arial Black" w:hAnsi="Arial Black"/>
          <w:b/>
          <w:sz w:val="28"/>
          <w:szCs w:val="28"/>
        </w:rPr>
        <w:t xml:space="preserve">NY: FDNY FF SURVIVED 911 - $15M AGAINST TALIBAN </w:t>
      </w:r>
    </w:p>
    <w:p w14:paraId="409C4A85" w14:textId="77777777" w:rsidR="008A4986" w:rsidRDefault="008A4986" w:rsidP="008A4986">
      <w:pPr>
        <w:rPr>
          <w:b/>
        </w:rPr>
      </w:pPr>
      <w:r w:rsidRPr="00BD6FB0">
        <w:t xml:space="preserve">On </w:t>
      </w:r>
      <w:r>
        <w:t xml:space="preserve">August 5, 2026, in class action </w:t>
      </w:r>
      <w:proofErr w:type="gramStart"/>
      <w:r w:rsidRPr="00B065FD">
        <w:rPr>
          <w:u w:val="single"/>
        </w:rPr>
        <w:t>In</w:t>
      </w:r>
      <w:proofErr w:type="gramEnd"/>
      <w:r w:rsidRPr="00B065FD">
        <w:rPr>
          <w:u w:val="single"/>
        </w:rPr>
        <w:t xml:space="preserve"> re: TERRORIST ATTACKS ON SEPTEMBER 11, 2001</w:t>
      </w:r>
      <w:r>
        <w:t xml:space="preserve">, U.S. Magistrate Judge </w:t>
      </w:r>
      <w:r w:rsidRPr="00CC6B8F">
        <w:t>Sarah Netburn</w:t>
      </w:r>
      <w:r>
        <w:t xml:space="preserve"> issued a report and recommendation to U.S. District Court Judge George B. Daniels, United States District Court for the Southern District of New York, that the Taliban be ordered to pay several plaintiffs injured on 911, including FDNY firefighter Louie Cacchioli.  “</w:t>
      </w:r>
      <w:r w:rsidRPr="00C97572">
        <w:t>The Court thus recommends an award of $5 million in pain and suffering damages</w:t>
      </w:r>
      <w:r>
        <w:t xml:space="preserve">…. </w:t>
      </w:r>
      <w:r w:rsidRPr="00C97572">
        <w:t>In accordance with § 2333(a), the Court also recommends awarding Cacchioli treble damages.</w:t>
      </w:r>
      <w:r>
        <w:t xml:space="preserve">” </w:t>
      </w:r>
      <w:hyperlink r:id="rId632" w:history="1">
        <w:r w:rsidRPr="00EC784F">
          <w:rPr>
            <w:rStyle w:val="Hyperlink"/>
            <w:b/>
          </w:rPr>
          <w:t>https://public.fastcase.com/Jhe1Qn%2BmJndQYQU6z%2FeNm6y%2ButKVHQ7qplXbc9U9gWaO0ooWSN9ntzBjMGV9FUUQ?utm_medium=email&amp;_hsenc=p2ANqtz-_Z4fCy207wA-GVpVh4JS6wIyKK4xAt9PwjI-H5ckiw2tYlLKp3PzFWQuUG8qe1JOGf1y8GbQNr8qUECGdNhBetcdlP1w&amp;_hsmi=226712652&amp;utm_content=226712652&amp;utm_source=hs_email</w:t>
        </w:r>
      </w:hyperlink>
      <w:r>
        <w:rPr>
          <w:b/>
        </w:rPr>
        <w:t xml:space="preserve"> </w:t>
      </w:r>
    </w:p>
    <w:p w14:paraId="46E3B5D8" w14:textId="77777777" w:rsidR="008A4986" w:rsidRPr="00C97572" w:rsidRDefault="008A4986" w:rsidP="008A4986">
      <w:pPr>
        <w:rPr>
          <w:bCs/>
        </w:rPr>
      </w:pPr>
      <w:r>
        <w:t>THE COURT WROTE:</w:t>
      </w:r>
    </w:p>
    <w:p w14:paraId="28C3FE08" w14:textId="77777777" w:rsidR="008A4986" w:rsidRDefault="008A4986" w:rsidP="008A4986">
      <w:pPr>
        <w:pStyle w:val="NoSpacing"/>
        <w:ind w:left="720"/>
      </w:pPr>
      <w:r>
        <w:t>“</w:t>
      </w:r>
      <w:r w:rsidRPr="00BD1DBB">
        <w:t xml:space="preserve">Two groups of </w:t>
      </w:r>
      <w:r w:rsidRPr="00BD1DBB">
        <w:rPr>
          <w:i/>
          <w:iCs/>
        </w:rPr>
        <w:t>Burnett</w:t>
      </w:r>
      <w:r w:rsidRPr="00BD1DBB">
        <w:t xml:space="preserve"> Plaintiffs (the </w:t>
      </w:r>
      <w:r>
        <w:t>‘</w:t>
      </w:r>
      <w:r w:rsidRPr="00BD1DBB">
        <w:t>Plaintiffs</w:t>
      </w:r>
      <w:r>
        <w:t>’</w:t>
      </w:r>
      <w:r w:rsidRPr="00BD1DBB">
        <w:t>) move for partial default judgments against the Taliban</w:t>
      </w:r>
      <w:r>
        <w:t xml:space="preserve">…. </w:t>
      </w:r>
      <w:r w:rsidRPr="00BD1DBB">
        <w:t>The Plaintiffs were all United States nationals on September 11, 2001, and thus they bring their claims under the Anti-Terrorism Act, 18 U.S.C. § 2333(a) (“ATA”)</w:t>
      </w:r>
      <w:r>
        <w:t xml:space="preserve">…. </w:t>
      </w:r>
      <w:r w:rsidRPr="00BD1DBB">
        <w:t>They argue that the Taliban aided and abetted al Qaeda, facilitated the 9/11 Attacks, and caused the personal injuries and the latent conditions that they developed following the Attacks</w:t>
      </w:r>
      <w:r>
        <w:t xml:space="preserve">…. </w:t>
      </w:r>
      <w:r w:rsidRPr="00BD1DBB">
        <w:t>Plaintiffs received prior pain and suffering awards against co-defendant the Islamic Republic of Iran (</w:t>
      </w:r>
      <w:r>
        <w:t>‘</w:t>
      </w:r>
      <w:r w:rsidRPr="00BD1DBB">
        <w:t>Iran</w:t>
      </w:r>
      <w:r>
        <w:t>’</w:t>
      </w:r>
      <w:r w:rsidRPr="00BD1DBB">
        <w:t>). Seven Plaintiffs request individual damages determinations for the first time.</w:t>
      </w:r>
    </w:p>
    <w:p w14:paraId="01F5353A" w14:textId="77777777" w:rsidR="008A4986" w:rsidRDefault="008A4986" w:rsidP="008A4986">
      <w:pPr>
        <w:pStyle w:val="NoSpacing"/>
        <w:ind w:left="720"/>
      </w:pPr>
    </w:p>
    <w:p w14:paraId="3707AE04" w14:textId="77777777" w:rsidR="008A4986" w:rsidRDefault="008A4986" w:rsidP="008A4986">
      <w:pPr>
        <w:pStyle w:val="NoSpacing"/>
        <w:ind w:left="720"/>
      </w:pPr>
      <w:r>
        <w:t>***</w:t>
      </w:r>
    </w:p>
    <w:p w14:paraId="3CAB8EEC" w14:textId="77777777" w:rsidR="008A4986" w:rsidRDefault="008A4986" w:rsidP="008A4986">
      <w:pPr>
        <w:pStyle w:val="NoSpacing"/>
        <w:ind w:left="720"/>
      </w:pPr>
      <w:r w:rsidRPr="002F6AE6">
        <w:t>On 9/11, Louie Cacchioli was a firefighter with the New York City Fire Department (</w:t>
      </w:r>
      <w:r>
        <w:t>‘</w:t>
      </w:r>
      <w:r w:rsidRPr="002F6AE6">
        <w:t>FDNY</w:t>
      </w:r>
      <w:r>
        <w:t>’</w:t>
      </w:r>
      <w:r w:rsidRPr="002F6AE6">
        <w:t>), Ladder 47</w:t>
      </w:r>
      <w:r>
        <w:t xml:space="preserve">…. </w:t>
      </w:r>
      <w:r w:rsidRPr="002F6AE6">
        <w:t xml:space="preserve"> After arriving at the fire station for his morning shift, Cacchioli heard the news that a passenger jet had crashed into the North Tower of the WTC</w:t>
      </w:r>
      <w:r>
        <w:t xml:space="preserve">…. </w:t>
      </w:r>
      <w:r w:rsidRPr="002F6AE6">
        <w:t>He then saw United Airlines Flight 175 hit the WTC's South Tower</w:t>
      </w:r>
      <w:r>
        <w:t xml:space="preserve">…. </w:t>
      </w:r>
      <w:r w:rsidRPr="002F6AE6">
        <w:t>His team immediately sprang into action and were instructed to head to the Marriot Hotel near the WTC</w:t>
      </w:r>
      <w:r>
        <w:t xml:space="preserve">…. </w:t>
      </w:r>
      <w:r w:rsidRPr="002F6AE6">
        <w:t xml:space="preserve"> When Cacchioli arrived, the hotel was on fire from debris falling from the Towers, and he </w:t>
      </w:r>
      <w:r>
        <w:t>‘</w:t>
      </w:r>
      <w:r w:rsidRPr="002F6AE6">
        <w:t>saw people jumping [from the Towers] and falling almost right on top of [him].</w:t>
      </w:r>
      <w:r>
        <w:t xml:space="preserve">’ … </w:t>
      </w:r>
      <w:r w:rsidRPr="002F6AE6">
        <w:t xml:space="preserve">One of the </w:t>
      </w:r>
      <w:r>
        <w:t>‘</w:t>
      </w:r>
      <w:r w:rsidRPr="002F6AE6">
        <w:t>jumpers landed on [his] fellow firefighter, Danny Sur, killing him instantly.</w:t>
      </w:r>
      <w:r>
        <w:t xml:space="preserve">’ … </w:t>
      </w:r>
      <w:r w:rsidRPr="002F6AE6">
        <w:t xml:space="preserve"> As other bodies struck the ground, they </w:t>
      </w:r>
      <w:r>
        <w:t>‘</w:t>
      </w:r>
      <w:r w:rsidRPr="002F6AE6">
        <w:t>made a horrible sound.</w:t>
      </w:r>
      <w:r>
        <w:t xml:space="preserve">’ … </w:t>
      </w:r>
    </w:p>
    <w:p w14:paraId="1C96B872" w14:textId="77777777" w:rsidR="008A4986" w:rsidRDefault="008A4986" w:rsidP="008A4986">
      <w:pPr>
        <w:pStyle w:val="NoSpacing"/>
        <w:ind w:left="720"/>
      </w:pPr>
    </w:p>
    <w:p w14:paraId="5D2EB68B" w14:textId="77777777" w:rsidR="008A4986" w:rsidRPr="002F6AE6" w:rsidRDefault="008A4986" w:rsidP="008A4986">
      <w:pPr>
        <w:pStyle w:val="NoSpacing"/>
        <w:ind w:left="720"/>
      </w:pPr>
      <w:r w:rsidRPr="002F6AE6">
        <w:t xml:space="preserve">Still, Cacchioli and his team entered the hotel and escorted people outside and to safety. </w:t>
      </w:r>
    </w:p>
    <w:p w14:paraId="641DD71F" w14:textId="77777777" w:rsidR="008A4986" w:rsidRDefault="008A4986" w:rsidP="008A4986">
      <w:pPr>
        <w:pStyle w:val="NoSpacing"/>
        <w:ind w:left="720"/>
      </w:pPr>
      <w:r w:rsidRPr="002F6AE6">
        <w:t xml:space="preserve">Cacchioli then received instructions to approach the North Tower. As he entered the lobby with his team, he encountered a </w:t>
      </w:r>
      <w:r>
        <w:t>‘</w:t>
      </w:r>
      <w:r w:rsidRPr="002F6AE6">
        <w:t xml:space="preserve">war </w:t>
      </w:r>
      <w:proofErr w:type="gramStart"/>
      <w:r w:rsidRPr="002F6AE6">
        <w:t>zone</w:t>
      </w:r>
      <w:r>
        <w:t>’</w:t>
      </w:r>
      <w:r w:rsidRPr="002F6AE6">
        <w:t>:</w:t>
      </w:r>
      <w:proofErr w:type="gramEnd"/>
      <w:r w:rsidRPr="002F6AE6">
        <w:t xml:space="preserve"> the elevators doors had been </w:t>
      </w:r>
      <w:r>
        <w:t>‘</w:t>
      </w:r>
      <w:r w:rsidRPr="002F6AE6">
        <w:t>completely blown out</w:t>
      </w:r>
      <w:r>
        <w:t>’</w:t>
      </w:r>
      <w:r w:rsidRPr="002F6AE6">
        <w:t xml:space="preserve"> and </w:t>
      </w:r>
      <w:r>
        <w:t>‘</w:t>
      </w:r>
      <w:r w:rsidRPr="002F6AE6">
        <w:t>people were running and screaming and being struck by falling debris.</w:t>
      </w:r>
      <w:r>
        <w:t xml:space="preserve">’ … </w:t>
      </w:r>
      <w:r w:rsidRPr="002F6AE6">
        <w:t xml:space="preserve">Cacchioli and other firefighters then took an operational elevator to the 24th floor. As the doors to that floor opened, Cacchioli briefly saw </w:t>
      </w:r>
      <w:r>
        <w:t>‘</w:t>
      </w:r>
      <w:r w:rsidRPr="002F6AE6">
        <w:t>a cloud of dust, debris, and smoke.</w:t>
      </w:r>
      <w:r>
        <w:t xml:space="preserve">’ … </w:t>
      </w:r>
      <w:r w:rsidRPr="002F6AE6">
        <w:t xml:space="preserve">He and another firefighter doubled back for more tools. But as they took the elevator down, Cacchioli </w:t>
      </w:r>
      <w:r>
        <w:t>‘</w:t>
      </w:r>
      <w:r w:rsidRPr="002F6AE6">
        <w:t>heard a huge explosion that sounded like a bomb</w:t>
      </w:r>
      <w:r>
        <w:t>’</w:t>
      </w:r>
      <w:r w:rsidRPr="002F6AE6">
        <w:t>; the elevator stalled and its lights went out</w:t>
      </w:r>
      <w:r>
        <w:t xml:space="preserve">…. </w:t>
      </w:r>
      <w:r w:rsidRPr="002F6AE6">
        <w:t xml:space="preserve">Cacchioli and his partner were able to pry open the doors and exit onto another floor. </w:t>
      </w:r>
    </w:p>
    <w:p w14:paraId="67D2BE4A" w14:textId="77777777" w:rsidR="008A4986" w:rsidRPr="002F6AE6" w:rsidRDefault="008A4986" w:rsidP="008A4986">
      <w:pPr>
        <w:pStyle w:val="NoSpacing"/>
        <w:ind w:left="720"/>
      </w:pPr>
    </w:p>
    <w:p w14:paraId="1ADB0AA8" w14:textId="77777777" w:rsidR="008A4986" w:rsidRPr="002F6AE6" w:rsidRDefault="008A4986" w:rsidP="008A4986">
      <w:pPr>
        <w:pStyle w:val="NoSpacing"/>
        <w:ind w:left="720"/>
      </w:pPr>
      <w:r w:rsidRPr="002F6AE6">
        <w:t>As explosions continued, Cacchioli rushed to exit this floor. He crawled, with a flashlight in hand, to eventually find an exit staircase</w:t>
      </w:r>
      <w:r>
        <w:t xml:space="preserve">…. </w:t>
      </w:r>
      <w:r w:rsidRPr="002F6AE6">
        <w:t xml:space="preserve">Once inside, he began directing </w:t>
      </w:r>
      <w:r>
        <w:t>‘</w:t>
      </w:r>
      <w:r w:rsidRPr="002F6AE6">
        <w:t xml:space="preserve">a group of about 30 to 40 </w:t>
      </w:r>
      <w:proofErr w:type="gramStart"/>
      <w:r w:rsidRPr="002F6AE6">
        <w:t>people</w:t>
      </w:r>
      <w:r>
        <w:t>’</w:t>
      </w:r>
      <w:proofErr w:type="gramEnd"/>
      <w:r w:rsidRPr="002F6AE6">
        <w:t xml:space="preserve"> downstairs. After several explosions, Cacchioli heard</w:t>
      </w:r>
      <w:r>
        <w:t xml:space="preserve"> ‘</w:t>
      </w:r>
      <w:r w:rsidRPr="002F6AE6">
        <w:t>bang, bang, bang' and surmised that it was floors collapsing on top of one another.</w:t>
      </w:r>
      <w:r>
        <w:t xml:space="preserve">’ … </w:t>
      </w:r>
      <w:r w:rsidRPr="002F6AE6">
        <w:t xml:space="preserve"> Even while carrying one man on his back down 12 flights of stairs, Cacchioli directed his group to </w:t>
      </w:r>
      <w:r w:rsidRPr="002F6AE6">
        <w:lastRenderedPageBreak/>
        <w:t>the lobby of the North Tower</w:t>
      </w:r>
      <w:r>
        <w:t xml:space="preserve">….  </w:t>
      </w:r>
      <w:r w:rsidRPr="002F6AE6">
        <w:t xml:space="preserve">Part of his group exited to the left, and Cacchioli continued to the right with others. While </w:t>
      </w:r>
      <w:r>
        <w:t>‘</w:t>
      </w:r>
      <w:r w:rsidRPr="002F6AE6">
        <w:t>[t]he people that headed to the left didn't make it out,</w:t>
      </w:r>
      <w:r>
        <w:t>’</w:t>
      </w:r>
      <w:r w:rsidRPr="002F6AE6">
        <w:t xml:space="preserve"> Cacchioli and his group </w:t>
      </w:r>
      <w:r>
        <w:t>‘</w:t>
      </w:r>
      <w:r w:rsidRPr="002F6AE6">
        <w:t>came out alive on West Street.</w:t>
      </w:r>
      <w:r>
        <w:t xml:space="preserve">’ … </w:t>
      </w:r>
      <w:r w:rsidRPr="002F6AE6">
        <w:t xml:space="preserve"> </w:t>
      </w:r>
    </w:p>
    <w:p w14:paraId="6034867A" w14:textId="77777777" w:rsidR="008A4986" w:rsidRDefault="008A4986" w:rsidP="008A4986">
      <w:pPr>
        <w:pStyle w:val="NoSpacing"/>
      </w:pPr>
      <w:r w:rsidRPr="002F6AE6">
        <w:t>         </w:t>
      </w:r>
    </w:p>
    <w:p w14:paraId="5A17E00B" w14:textId="77777777" w:rsidR="008A4986" w:rsidRDefault="008A4986" w:rsidP="008A4986">
      <w:pPr>
        <w:pStyle w:val="NoSpacing"/>
        <w:ind w:left="720"/>
      </w:pPr>
      <w:r w:rsidRPr="002F6AE6">
        <w:t xml:space="preserve">Once outside, Cacchioli began hearing </w:t>
      </w:r>
      <w:r>
        <w:t>‘</w:t>
      </w:r>
      <w:r w:rsidRPr="002F6AE6">
        <w:t>more loud noises . . . like bombs going off,</w:t>
      </w:r>
      <w:r>
        <w:t>’</w:t>
      </w:r>
      <w:r w:rsidRPr="002F6AE6">
        <w:t xml:space="preserve"> and when he looked back, he saw the North Tower's antenna falling</w:t>
      </w:r>
      <w:r>
        <w:t xml:space="preserve">…. </w:t>
      </w:r>
      <w:r w:rsidRPr="002F6AE6">
        <w:t xml:space="preserve">He began running to </w:t>
      </w:r>
      <w:r>
        <w:t>‘</w:t>
      </w:r>
      <w:r w:rsidRPr="002F6AE6">
        <w:t>stay ahead of the huge black smoke ball</w:t>
      </w:r>
      <w:r>
        <w:t>’</w:t>
      </w:r>
      <w:r w:rsidRPr="002F6AE6">
        <w:t xml:space="preserve"> coming after him</w:t>
      </w:r>
      <w:r>
        <w:t xml:space="preserve">…. </w:t>
      </w:r>
      <w:r w:rsidRPr="002F6AE6">
        <w:t xml:space="preserve">As he ran, he removed his air mask </w:t>
      </w:r>
      <w:r>
        <w:t>‘</w:t>
      </w:r>
      <w:r w:rsidRPr="002F6AE6">
        <w:t>to make himself lighter</w:t>
      </w:r>
      <w:r>
        <w:t>’</w:t>
      </w:r>
      <w:r w:rsidRPr="002F6AE6">
        <w:t xml:space="preserve"> and run faster</w:t>
      </w:r>
      <w:r>
        <w:t xml:space="preserve">…. </w:t>
      </w:r>
      <w:r w:rsidRPr="002F6AE6">
        <w:t xml:space="preserve">He threw himself to the ground at one point because </w:t>
      </w:r>
      <w:r>
        <w:t>‘</w:t>
      </w:r>
      <w:r w:rsidRPr="002F6AE6">
        <w:t>the heavy sawdust-like air mixing with glass . . . was choking [him] and taking away [his] vision</w:t>
      </w:r>
      <w:r>
        <w:t xml:space="preserve">…. </w:t>
      </w:r>
      <w:r w:rsidRPr="002F6AE6">
        <w:t>At another point, he fell by a fire truck, where he found and put on a compressed air breathing mask</w:t>
      </w:r>
      <w:r>
        <w:t xml:space="preserve">…. </w:t>
      </w:r>
      <w:r w:rsidRPr="002F6AE6">
        <w:t>He passed out and awoke to another firefighter pulling him to safety</w:t>
      </w:r>
      <w:r>
        <w:t xml:space="preserve">…. </w:t>
      </w:r>
      <w:r w:rsidRPr="002F6AE6">
        <w:t xml:space="preserve">Cacchioli continued searching for his friends </w:t>
      </w:r>
      <w:r>
        <w:t>‘</w:t>
      </w:r>
      <w:r w:rsidRPr="002F6AE6">
        <w:t>until [he] couldn't walk anymore.</w:t>
      </w:r>
      <w:r>
        <w:t>’</w:t>
      </w:r>
    </w:p>
    <w:p w14:paraId="60FAEB26" w14:textId="77777777" w:rsidR="008A4986" w:rsidRPr="002F6AE6" w:rsidRDefault="008A4986" w:rsidP="008A4986">
      <w:pPr>
        <w:pStyle w:val="NoSpacing"/>
        <w:ind w:left="720"/>
      </w:pPr>
    </w:p>
    <w:p w14:paraId="151BF2E4" w14:textId="77777777" w:rsidR="008A4986" w:rsidRDefault="008A4986" w:rsidP="008A4986">
      <w:pPr>
        <w:pStyle w:val="NoSpacing"/>
        <w:ind w:left="720"/>
      </w:pPr>
      <w:r w:rsidRPr="002F6AE6">
        <w:t>Following the Attacks, Cacchioli sought and continues to receive monthly medical attention for his injuries. He reports suffering from multiple physical injuries—including corneal and retinal damage, pulmonary injuries (e.g., chronic obstructive pulmonary disease), lung disease, asthma, a strained back, and damages to his teeth and jaw—and provides medical records detailing each injury and his treatment</w:t>
      </w:r>
      <w:r>
        <w:t xml:space="preserve">…. </w:t>
      </w:r>
      <w:r w:rsidRPr="002F6AE6">
        <w:t>Cacchioli was also diagnosed with post-traumatic stress disorder (</w:t>
      </w:r>
      <w:r>
        <w:t>‘</w:t>
      </w:r>
      <w:r w:rsidRPr="002F6AE6">
        <w:t>PTSD</w:t>
      </w:r>
      <w:r>
        <w:t>’</w:t>
      </w:r>
      <w:r w:rsidRPr="002F6AE6">
        <w:t>) due to his experiences during the Attacks</w:t>
      </w:r>
      <w:r>
        <w:t xml:space="preserve">…. </w:t>
      </w:r>
      <w:r w:rsidRPr="002F6AE6">
        <w:t xml:space="preserve">The VCF </w:t>
      </w:r>
      <w:r>
        <w:t xml:space="preserve">[911 Victim Compensation Fund] </w:t>
      </w:r>
      <w:r w:rsidRPr="002F6AE6">
        <w:t xml:space="preserve">found Cacchioli eligible for compensation for only his corneal and retinal damage and a </w:t>
      </w:r>
      <w:r>
        <w:t>‘</w:t>
      </w:r>
      <w:r w:rsidRPr="002F6AE6">
        <w:t>pulmonary injury.</w:t>
      </w:r>
      <w:r>
        <w:t xml:space="preserve">’ … </w:t>
      </w:r>
      <w:r w:rsidRPr="002F6AE6">
        <w:t xml:space="preserve">These are </w:t>
      </w:r>
      <w:r>
        <w:t>‘</w:t>
      </w:r>
      <w:r w:rsidRPr="002F6AE6">
        <w:t>significant</w:t>
      </w:r>
      <w:r>
        <w:t xml:space="preserve">’ </w:t>
      </w:r>
      <w:r w:rsidRPr="002F6AE6">
        <w:t xml:space="preserve"> injuries, however, because they are analogous to </w:t>
      </w:r>
      <w:r>
        <w:t>‘</w:t>
      </w:r>
      <w:r w:rsidRPr="002F6AE6">
        <w:t>nasal irritations, chest pain, and asthma from inhalation of smoke, soot and dust</w:t>
      </w:r>
      <w:r>
        <w:t>’</w:t>
      </w:r>
      <w:r w:rsidRPr="002F6AE6">
        <w:t xml:space="preserve"> and </w:t>
      </w:r>
      <w:r>
        <w:t>‘</w:t>
      </w:r>
      <w:r w:rsidRPr="002F6AE6">
        <w:t>cuts/lacerations/bruises.</w:t>
      </w:r>
      <w:r>
        <w:t>’”</w:t>
      </w:r>
      <w:r w:rsidRPr="002F6AE6">
        <w:t xml:space="preserve"> </w:t>
      </w:r>
    </w:p>
    <w:p w14:paraId="6C41BF63" w14:textId="77777777" w:rsidR="008A4986" w:rsidRDefault="008A4986" w:rsidP="008A4986">
      <w:pPr>
        <w:pStyle w:val="NoSpacing"/>
        <w:ind w:left="720"/>
      </w:pPr>
    </w:p>
    <w:p w14:paraId="31581966" w14:textId="77777777" w:rsidR="008A4986" w:rsidRPr="00514138" w:rsidRDefault="008A4986" w:rsidP="008A4986">
      <w:pPr>
        <w:pStyle w:val="NoSpacing"/>
        <w:rPr>
          <w:b/>
          <w:bCs/>
        </w:rPr>
      </w:pPr>
      <w:r>
        <w:rPr>
          <w:b/>
        </w:rPr>
        <w:t xml:space="preserve">Legal lesson learned: The Taliban have never been in this Court and any judgment awarded with require seizure of Taliban assets. </w:t>
      </w:r>
    </w:p>
    <w:p w14:paraId="1BD32F34" w14:textId="77777777" w:rsidR="008A4986" w:rsidRDefault="008A4986" w:rsidP="008A4986">
      <w:pPr>
        <w:pStyle w:val="NoSpacing"/>
        <w:ind w:left="720"/>
      </w:pPr>
    </w:p>
    <w:p w14:paraId="5496D91C" w14:textId="77777777" w:rsidR="008A4986" w:rsidRDefault="008A4986" w:rsidP="006B4271">
      <w:pPr>
        <w:pStyle w:val="NoSpacing"/>
        <w:rPr>
          <w:rFonts w:ascii="Arial Black" w:hAnsi="Arial Black"/>
          <w:sz w:val="28"/>
          <w:szCs w:val="28"/>
        </w:rPr>
      </w:pPr>
    </w:p>
    <w:p w14:paraId="298C0C2A" w14:textId="77777777" w:rsidR="008A4986" w:rsidRDefault="008A4986" w:rsidP="006B4271">
      <w:pPr>
        <w:pStyle w:val="NoSpacing"/>
        <w:rPr>
          <w:rFonts w:ascii="Arial Black" w:hAnsi="Arial Black"/>
          <w:sz w:val="28"/>
          <w:szCs w:val="28"/>
        </w:rPr>
      </w:pPr>
    </w:p>
    <w:p w14:paraId="49989F29" w14:textId="3A13ED86" w:rsidR="00835773" w:rsidRDefault="0093712E" w:rsidP="006B4271">
      <w:pPr>
        <w:pStyle w:val="NoSpacing"/>
        <w:rPr>
          <w:rFonts w:ascii="Arial Black" w:hAnsi="Arial Black"/>
          <w:sz w:val="28"/>
          <w:szCs w:val="28"/>
        </w:rPr>
      </w:pPr>
      <w:r>
        <w:rPr>
          <w:rFonts w:ascii="Arial Black" w:hAnsi="Arial Black"/>
          <w:sz w:val="28"/>
          <w:szCs w:val="28"/>
        </w:rPr>
        <w:t>3-95</w:t>
      </w:r>
    </w:p>
    <w:p w14:paraId="69B94B4F" w14:textId="77777777" w:rsidR="0093712E" w:rsidRDefault="0093712E" w:rsidP="006B4271">
      <w:pPr>
        <w:pStyle w:val="NoSpacing"/>
        <w:rPr>
          <w:rFonts w:ascii="Arial Black" w:hAnsi="Arial Black"/>
          <w:sz w:val="28"/>
          <w:szCs w:val="28"/>
        </w:rPr>
      </w:pPr>
    </w:p>
    <w:p w14:paraId="28CAE2B9" w14:textId="77777777" w:rsidR="00835773" w:rsidRDefault="00835773" w:rsidP="00835773">
      <w:pPr>
        <w:pStyle w:val="NoSpacing"/>
        <w:rPr>
          <w:rFonts w:ascii="Arial Black" w:hAnsi="Arial Black"/>
          <w:b/>
          <w:sz w:val="28"/>
          <w:szCs w:val="28"/>
        </w:rPr>
      </w:pPr>
      <w:r>
        <w:rPr>
          <w:rFonts w:ascii="Arial Black" w:hAnsi="Arial Black"/>
          <w:b/>
          <w:sz w:val="28"/>
          <w:szCs w:val="28"/>
        </w:rPr>
        <w:t>MA: GRANTS – “DOGE” CUTS - 20 STATES / INJUNCTION</w:t>
      </w:r>
    </w:p>
    <w:p w14:paraId="0A68A51B" w14:textId="77777777" w:rsidR="00835773" w:rsidRDefault="00835773" w:rsidP="00835773">
      <w:pPr>
        <w:pStyle w:val="NoSpacing"/>
        <w:rPr>
          <w:rFonts w:ascii="Arial Black" w:hAnsi="Arial Black"/>
          <w:b/>
          <w:sz w:val="28"/>
          <w:szCs w:val="28"/>
        </w:rPr>
      </w:pPr>
    </w:p>
    <w:p w14:paraId="6B92C4BD" w14:textId="77777777" w:rsidR="00835773" w:rsidRDefault="00835773" w:rsidP="00835773">
      <w:pPr>
        <w:pStyle w:val="NoSpacing"/>
      </w:pPr>
      <w:r w:rsidRPr="003F55F4">
        <w:t xml:space="preserve">On July 21, 2026, in </w:t>
      </w:r>
      <w:r w:rsidRPr="003F55F4">
        <w:rPr>
          <w:u w:val="single"/>
        </w:rPr>
        <w:t>State of New Jersey, et al. v. United States Office of Management &amp; Budget</w:t>
      </w:r>
      <w:r w:rsidRPr="003F55F4">
        <w:t xml:space="preserve">, </w:t>
      </w:r>
      <w:r>
        <w:t xml:space="preserve">U.S. District Court Judge Indira Talwan, United States District Court for the District of Massachusetts, granted the States’ motion for summary judgment; this impacts billions of federal dollars. The court declared that federal regulations do not allow </w:t>
      </w:r>
      <w:proofErr w:type="gramStart"/>
      <w:r>
        <w:t>terminations</w:t>
      </w:r>
      <w:proofErr w:type="gramEnd"/>
      <w:r>
        <w:t xml:space="preserve"> of awards based on new program goals or agency priorities that an agency identifies after granting the award. On January 20, 2025, President Trump issued an Executive Order creating the United States Department of Government Efficiency (‘DOGE’). Establishing and Implementing the President’s ‘‘Department of Government </w:t>
      </w:r>
      <w:proofErr w:type="gramStart"/>
      <w:r>
        <w:t>Efficiency,’</w:t>
      </w:r>
      <w:proofErr w:type="gramEnd"/>
      <w:r>
        <w:t>’ Exec. Order No. 14158, 90 Fed. Reg.</w:t>
      </w:r>
      <w:r w:rsidRPr="000D4AC5">
        <w:t xml:space="preserve"> 8441 (Jan. 20, 2025).</w:t>
      </w:r>
    </w:p>
    <w:p w14:paraId="78926EE2" w14:textId="77777777" w:rsidR="00835773" w:rsidRDefault="00835773" w:rsidP="00835773">
      <w:pPr>
        <w:pStyle w:val="NoSpacing"/>
      </w:pPr>
      <w:hyperlink r:id="rId633" w:history="1">
        <w:r w:rsidRPr="00BB72FB">
          <w:rPr>
            <w:rStyle w:val="Hyperlink"/>
          </w:rPr>
          <w:t>https://www.doj.state.or.us/wp-content/uploads/2026/07/ECF-122-Memorandum-and-Order-on-Ps-MSJ-and-Ds-MTD.pdf</w:t>
        </w:r>
      </w:hyperlink>
      <w:r>
        <w:t xml:space="preserve"> </w:t>
      </w:r>
    </w:p>
    <w:p w14:paraId="24B4C76B" w14:textId="77777777" w:rsidR="00835773" w:rsidRDefault="00835773" w:rsidP="00835773">
      <w:pPr>
        <w:pStyle w:val="NoSpacing"/>
      </w:pPr>
    </w:p>
    <w:p w14:paraId="46531C54" w14:textId="77777777" w:rsidR="00835773" w:rsidRDefault="00835773" w:rsidP="00835773">
      <w:pPr>
        <w:pStyle w:val="NoSpacing"/>
      </w:pPr>
      <w:r>
        <w:t>THE COURT WROTE:</w:t>
      </w:r>
    </w:p>
    <w:p w14:paraId="7D728ECA" w14:textId="77777777" w:rsidR="00835773" w:rsidRPr="003F55F4" w:rsidRDefault="00835773" w:rsidP="00835773">
      <w:pPr>
        <w:pStyle w:val="NoSpacing"/>
        <w:rPr>
          <w:bCs/>
        </w:rPr>
      </w:pPr>
    </w:p>
    <w:p w14:paraId="2EDCD824" w14:textId="77777777" w:rsidR="00835773" w:rsidRPr="00F84E4F" w:rsidRDefault="00835773" w:rsidP="00835773">
      <w:pPr>
        <w:pStyle w:val="NoSpacing"/>
      </w:pPr>
      <w:r>
        <w:t>“</w:t>
      </w:r>
      <w:r w:rsidRPr="00F84E4F">
        <w:t>Plaintiffs allege that, since January 2025, federal agencies have terminated billions of</w:t>
      </w:r>
    </w:p>
    <w:p w14:paraId="695CA130" w14:textId="77777777" w:rsidR="00835773" w:rsidRPr="00F84E4F" w:rsidRDefault="00835773" w:rsidP="00835773">
      <w:pPr>
        <w:pStyle w:val="NoSpacing"/>
      </w:pPr>
      <w:r w:rsidRPr="00F84E4F">
        <w:t>dollars in federal grant funding awarded to Plaintiffs. These terminations have affected grants for</w:t>
      </w:r>
    </w:p>
    <w:p w14:paraId="21A08C8D" w14:textId="77777777" w:rsidR="00835773" w:rsidRPr="00F84E4F" w:rsidRDefault="00835773" w:rsidP="00835773">
      <w:pPr>
        <w:pStyle w:val="NoSpacing"/>
      </w:pPr>
      <w:r w:rsidRPr="00F84E4F">
        <w:t>universities, initiatives to combat violent crime and hate crimes, and school lunch programs,</w:t>
      </w:r>
    </w:p>
    <w:p w14:paraId="273CB618" w14:textId="77777777" w:rsidR="00835773" w:rsidRDefault="00835773" w:rsidP="00835773">
      <w:pPr>
        <w:pStyle w:val="NoSpacing"/>
      </w:pPr>
      <w:r w:rsidRPr="00F84E4F">
        <w:t>among other programs</w:t>
      </w:r>
      <w:r>
        <w:t>… Defendants argue that Plaintiffs’ claims must wait until ‘a termination actually happens” to challenge grant terminations…. The ripeness doctrine imposes no</w:t>
      </w:r>
    </w:p>
    <w:p w14:paraId="5F228B63" w14:textId="77777777" w:rsidR="00835773" w:rsidRDefault="00835773" w:rsidP="00835773">
      <w:pPr>
        <w:pStyle w:val="NoSpacing"/>
      </w:pPr>
      <w:r>
        <w:t xml:space="preserve">such requirement. It is sufficient that the potential harm be imminent…. The Implementation of the President’s Vision As discussed above, Defendants’ interpretation of the Termination Clause is not clearly supported by the text of the provision, runs counter to the regulatory scheme, receives no support in the rulemaking history, and would violate the </w:t>
      </w:r>
      <w:r>
        <w:lastRenderedPageBreak/>
        <w:t xml:space="preserve">Spending Clause’s requirement that conditions be imposed unambiguously. Defendants insist, however, the Plaintiffs’ interpretation of the Termination Clause would be contrary to the function of the OMB: supporting each President in implementing ‘his or her vision across the Executive Branch.’ … (internal quotation omitted). </w:t>
      </w:r>
    </w:p>
    <w:p w14:paraId="4B4A388B" w14:textId="77777777" w:rsidR="00835773" w:rsidRDefault="00835773" w:rsidP="00835773">
      <w:pPr>
        <w:pStyle w:val="NoSpacing"/>
      </w:pPr>
    </w:p>
    <w:p w14:paraId="796815B1" w14:textId="77777777" w:rsidR="00835773" w:rsidRDefault="00835773" w:rsidP="00835773">
      <w:pPr>
        <w:pStyle w:val="NoSpacing"/>
      </w:pPr>
      <w:r>
        <w:t>***</w:t>
      </w:r>
    </w:p>
    <w:p w14:paraId="29152867" w14:textId="77777777" w:rsidR="00835773" w:rsidRDefault="00835773" w:rsidP="00835773">
      <w:pPr>
        <w:pStyle w:val="NoSpacing"/>
      </w:pPr>
    </w:p>
    <w:p w14:paraId="2BBBD00F" w14:textId="77777777" w:rsidR="00835773" w:rsidRDefault="00835773" w:rsidP="00835773">
      <w:pPr>
        <w:pStyle w:val="NoSpacing"/>
      </w:pPr>
      <w:r>
        <w:t xml:space="preserve">Nothing in this interpretation of the Termination Clause limits the President or Agencies from setting program goals and agency priorities before awarding new grants. The regulation, as declared by this court, demands only that grantees be apprised of those goals and priorities before grants are awarded…. </w:t>
      </w:r>
      <w:r w:rsidRPr="00711FAB">
        <w:t>Accordingly, the court finds that the Termination Clause does not permit the termination</w:t>
      </w:r>
      <w:r>
        <w:t xml:space="preserve"> </w:t>
      </w:r>
      <w:r w:rsidRPr="00711FAB">
        <w:t>of grants based on their inability to effectuate program goals and agency priorities identified after</w:t>
      </w:r>
      <w:r>
        <w:t xml:space="preserve"> </w:t>
      </w:r>
      <w:r w:rsidRPr="00711FAB">
        <w:t>the award was made</w:t>
      </w:r>
      <w:r>
        <w:t>.”</w:t>
      </w:r>
    </w:p>
    <w:p w14:paraId="5F29A4B7" w14:textId="77777777" w:rsidR="00835773" w:rsidRDefault="00835773" w:rsidP="00835773">
      <w:pPr>
        <w:pStyle w:val="NoSpacing"/>
      </w:pPr>
    </w:p>
    <w:p w14:paraId="5BA0F571" w14:textId="77777777" w:rsidR="00835773" w:rsidRPr="00A738B5" w:rsidRDefault="00835773" w:rsidP="00835773">
      <w:pPr>
        <w:pStyle w:val="NoSpacing"/>
        <w:rPr>
          <w:b/>
          <w:bCs/>
        </w:rPr>
      </w:pPr>
      <w:r w:rsidRPr="00A738B5">
        <w:rPr>
          <w:b/>
        </w:rPr>
        <w:t xml:space="preserve">Legal lesson learned: </w:t>
      </w:r>
      <w:r>
        <w:rPr>
          <w:b/>
        </w:rPr>
        <w:t xml:space="preserve">Important decision impacting billions of dollars in federal grants </w:t>
      </w:r>
    </w:p>
    <w:p w14:paraId="48F4DEA5" w14:textId="77777777" w:rsidR="00835773" w:rsidRDefault="00835773" w:rsidP="00835773">
      <w:pPr>
        <w:pStyle w:val="NoSpacing"/>
      </w:pPr>
    </w:p>
    <w:p w14:paraId="750E3DAC" w14:textId="77777777" w:rsidR="00835773" w:rsidRDefault="00835773" w:rsidP="00835773">
      <w:pPr>
        <w:pStyle w:val="NoSpacing"/>
        <w:rPr>
          <w:bCs/>
        </w:rPr>
      </w:pPr>
      <w:r>
        <w:rPr>
          <w:b/>
        </w:rPr>
        <w:tab/>
      </w:r>
      <w:r w:rsidRPr="00883AAF">
        <w:t xml:space="preserve">Note: See articles about this decision. </w:t>
      </w:r>
    </w:p>
    <w:p w14:paraId="3E60F89B" w14:textId="77777777" w:rsidR="00835773" w:rsidRDefault="00835773" w:rsidP="00835773">
      <w:pPr>
        <w:pStyle w:val="NoSpacing"/>
        <w:rPr>
          <w:bCs/>
        </w:rPr>
      </w:pPr>
    </w:p>
    <w:p w14:paraId="292E155F" w14:textId="77777777" w:rsidR="00835773" w:rsidRPr="00112671" w:rsidRDefault="00835773" w:rsidP="00835773">
      <w:pPr>
        <w:pStyle w:val="NoSpacing"/>
        <w:ind w:left="720"/>
        <w:rPr>
          <w:b/>
        </w:rPr>
      </w:pPr>
      <w:r>
        <w:t xml:space="preserve">July 19, 2026: </w:t>
      </w:r>
      <w:r w:rsidRPr="00081BF7">
        <w:t xml:space="preserve">Boston judge rejects US administration’s use of agency priorities clause in funding cuts. </w:t>
      </w:r>
      <w:hyperlink r:id="rId634" w:history="1">
        <w:r w:rsidRPr="00081BF7">
          <w:rPr>
            <w:rStyle w:val="Hyperlink"/>
          </w:rPr>
          <w:t>https://www.canadianlawyermag.com/news/international/boston-judge-rejects-us-administrations-use-of-agency-priorities-clause-in-funding-cuts/394386</w:t>
        </w:r>
      </w:hyperlink>
      <w:r>
        <w:rPr>
          <w:b/>
        </w:rPr>
        <w:t xml:space="preserve"> </w:t>
      </w:r>
    </w:p>
    <w:p w14:paraId="67F6A6CA" w14:textId="77777777" w:rsidR="00835773" w:rsidRDefault="00835773" w:rsidP="00835773">
      <w:pPr>
        <w:pStyle w:val="NoSpacing"/>
        <w:ind w:left="720"/>
        <w:rPr>
          <w:bCs/>
        </w:rPr>
      </w:pPr>
    </w:p>
    <w:p w14:paraId="7C6985F2" w14:textId="77777777" w:rsidR="00835773" w:rsidRDefault="00835773" w:rsidP="00835773">
      <w:pPr>
        <w:pStyle w:val="NoSpacing"/>
        <w:ind w:left="720"/>
        <w:rPr>
          <w:bCs/>
        </w:rPr>
      </w:pPr>
    </w:p>
    <w:p w14:paraId="77448AB3" w14:textId="77777777" w:rsidR="00835773" w:rsidRDefault="00835773" w:rsidP="00835773">
      <w:pPr>
        <w:pStyle w:val="NoSpacing"/>
        <w:ind w:left="720"/>
        <w:rPr>
          <w:bCs/>
        </w:rPr>
      </w:pPr>
      <w:r>
        <w:t xml:space="preserve">July 18, 2026; </w:t>
      </w:r>
      <w:r w:rsidRPr="00DA6096">
        <w:t xml:space="preserve">Federal judge bars Trump administration from using obscure clause to make huge funding cuts. </w:t>
      </w:r>
      <w:hyperlink r:id="rId635" w:history="1">
        <w:r w:rsidRPr="00DA6096">
          <w:rPr>
            <w:rStyle w:val="Hyperlink"/>
          </w:rPr>
          <w:t>https://www.kltv.com/2026/07/19/federal-judge-bars-trump-administration-using-obscure-clause-make-huge-funding-cuts/</w:t>
        </w:r>
      </w:hyperlink>
      <w:r w:rsidRPr="00DA6096">
        <w:t xml:space="preserve"> </w:t>
      </w:r>
    </w:p>
    <w:p w14:paraId="1B89E38D" w14:textId="77777777" w:rsidR="00835773" w:rsidRDefault="00835773" w:rsidP="00835773">
      <w:pPr>
        <w:pStyle w:val="NoSpacing"/>
        <w:ind w:left="720"/>
        <w:rPr>
          <w:bCs/>
        </w:rPr>
      </w:pPr>
    </w:p>
    <w:p w14:paraId="13EB48B4" w14:textId="77777777" w:rsidR="00835773" w:rsidRDefault="00835773" w:rsidP="00835773">
      <w:pPr>
        <w:pStyle w:val="NoSpacing"/>
        <w:ind w:left="720"/>
        <w:rPr>
          <w:b/>
        </w:rPr>
      </w:pPr>
      <w:r>
        <w:t xml:space="preserve">July 17, 2026: </w:t>
      </w:r>
      <w:r w:rsidRPr="0056229D">
        <w:t xml:space="preserve">Boston federal judge bars Trump administration from using obscure clause to make huge funding cuts. </w:t>
      </w:r>
      <w:hyperlink r:id="rId636" w:history="1">
        <w:r w:rsidRPr="0056229D">
          <w:rPr>
            <w:rStyle w:val="Hyperlink"/>
          </w:rPr>
          <w:t>https://www.boston.com/news/national-news/2026/07/17/boston-federal-judge-bars-trump-administration-from-using-obscure-clause-to-make-huge-funding-cuts/</w:t>
        </w:r>
      </w:hyperlink>
      <w:r>
        <w:rPr>
          <w:b/>
        </w:rPr>
        <w:t xml:space="preserve"> </w:t>
      </w:r>
    </w:p>
    <w:p w14:paraId="4450E8DF" w14:textId="77777777" w:rsidR="00835773" w:rsidRDefault="00835773" w:rsidP="00835773">
      <w:pPr>
        <w:pStyle w:val="NoSpacing"/>
        <w:ind w:left="720"/>
        <w:rPr>
          <w:b/>
        </w:rPr>
      </w:pPr>
    </w:p>
    <w:p w14:paraId="6F0297CA" w14:textId="77777777" w:rsidR="00835773" w:rsidRDefault="00835773" w:rsidP="00835773">
      <w:pPr>
        <w:pStyle w:val="NoSpacing"/>
        <w:ind w:left="720"/>
        <w:rPr>
          <w:bCs/>
        </w:rPr>
      </w:pPr>
      <w:r w:rsidRPr="0027475F">
        <w:t xml:space="preserve">July 16, 2026: Hundreds of NIH grant terminations are ‘void and illegal,’ federal judge rules.  </w:t>
      </w:r>
      <w:hyperlink r:id="rId637" w:history="1">
        <w:r w:rsidRPr="0027475F">
          <w:rPr>
            <w:rStyle w:val="Hyperlink"/>
          </w:rPr>
          <w:t>https://www.statnews.com/2025/06/16/nih-research-cuts-ruled-illegal-by-federal-judge-william-young/</w:t>
        </w:r>
      </w:hyperlink>
      <w:r w:rsidRPr="0027475F">
        <w:t xml:space="preserve"> </w:t>
      </w:r>
    </w:p>
    <w:p w14:paraId="518605FC" w14:textId="77777777" w:rsidR="00835773" w:rsidRDefault="00835773" w:rsidP="00835773">
      <w:pPr>
        <w:pStyle w:val="NoSpacing"/>
        <w:ind w:left="720"/>
        <w:rPr>
          <w:bCs/>
        </w:rPr>
      </w:pPr>
    </w:p>
    <w:p w14:paraId="1DA07A14" w14:textId="77777777" w:rsidR="00835773" w:rsidRPr="00401426" w:rsidRDefault="00835773" w:rsidP="00835773">
      <w:pPr>
        <w:pStyle w:val="NoSpacing"/>
        <w:jc w:val="center"/>
        <w:rPr>
          <w:rFonts w:ascii="Arial Black" w:hAnsi="Arial Black"/>
          <w:sz w:val="40"/>
          <w:szCs w:val="40"/>
        </w:rPr>
      </w:pPr>
    </w:p>
    <w:p w14:paraId="080FD68D" w14:textId="0BA21BA8" w:rsidR="00835773" w:rsidRPr="00835773" w:rsidRDefault="00835773" w:rsidP="00835773">
      <w:pPr>
        <w:pStyle w:val="NoSpacing"/>
        <w:rPr>
          <w:rFonts w:ascii="Arial Black" w:hAnsi="Arial Black"/>
          <w:b/>
          <w:sz w:val="24"/>
          <w:szCs w:val="24"/>
        </w:rPr>
      </w:pPr>
      <w:r w:rsidRPr="00835773">
        <w:rPr>
          <w:rFonts w:ascii="Arial Black" w:hAnsi="Arial Black"/>
          <w:b/>
          <w:sz w:val="24"/>
          <w:szCs w:val="24"/>
        </w:rPr>
        <w:t>3-94</w:t>
      </w:r>
    </w:p>
    <w:p w14:paraId="62A69B2A" w14:textId="77777777" w:rsidR="00835773" w:rsidRPr="00835773" w:rsidRDefault="00835773" w:rsidP="00835773">
      <w:pPr>
        <w:pStyle w:val="NoSpacing"/>
        <w:rPr>
          <w:rFonts w:ascii="Arial Black" w:hAnsi="Arial Black"/>
          <w:sz w:val="24"/>
          <w:szCs w:val="24"/>
        </w:rPr>
      </w:pPr>
    </w:p>
    <w:p w14:paraId="2C9B8016" w14:textId="77777777" w:rsidR="00835773" w:rsidRPr="0088501B" w:rsidRDefault="00835773" w:rsidP="00835773">
      <w:pPr>
        <w:pStyle w:val="NoSpacing"/>
        <w:rPr>
          <w:rFonts w:ascii="Arial Black" w:hAnsi="Arial Black"/>
          <w:sz w:val="28"/>
          <w:szCs w:val="28"/>
        </w:rPr>
      </w:pPr>
      <w:r w:rsidRPr="0088501B">
        <w:rPr>
          <w:rFonts w:ascii="Arial Black" w:hAnsi="Arial Black"/>
          <w:sz w:val="28"/>
          <w:szCs w:val="28"/>
        </w:rPr>
        <w:t xml:space="preserve">CA: PUBLIC SAFETY GRANTS – INJUNCTION TRUMP DEI </w:t>
      </w:r>
    </w:p>
    <w:p w14:paraId="648DA00F" w14:textId="77777777" w:rsidR="00835773" w:rsidRPr="0088501B" w:rsidRDefault="00835773" w:rsidP="00835773">
      <w:pPr>
        <w:pStyle w:val="NoSpacing"/>
        <w:rPr>
          <w:rFonts w:ascii="Arial Black" w:hAnsi="Arial Black"/>
          <w:sz w:val="28"/>
          <w:szCs w:val="28"/>
        </w:rPr>
      </w:pPr>
    </w:p>
    <w:p w14:paraId="28425803" w14:textId="77777777" w:rsidR="00835773" w:rsidRPr="0088501B" w:rsidRDefault="00835773" w:rsidP="00835773">
      <w:pPr>
        <w:pStyle w:val="NoSpacing"/>
      </w:pPr>
      <w:r w:rsidRPr="0088501B">
        <w:t xml:space="preserve">On July 9, 2026, in </w:t>
      </w:r>
      <w:r w:rsidRPr="0088501B">
        <w:rPr>
          <w:u w:val="single"/>
        </w:rPr>
        <w:t>City of Fresno, et al. v. Markwayne Mullin, et al</w:t>
      </w:r>
      <w:r w:rsidRPr="0088501B">
        <w:t>., U.S. District Court Judge William H. Orrick, United States District Court for the Northern District of California, granted the motions by eleven cities and counties to enjoin enforcement of DEI “Challenged Conditions” at DHS, DOJ, and DOI in grants for which plaintiffs have applied or intend to apply.  In 2025, Judge Orrick likewise issued a preliminary injunction for County of Santa Clara preventing the Trump Administration from withholding federal funding to Plaintiff cities and counties unless they assist the federal government with its civil immigration enforcement responsibilities.</w:t>
      </w:r>
    </w:p>
    <w:p w14:paraId="14372889" w14:textId="77777777" w:rsidR="00835773" w:rsidRPr="0088501B" w:rsidRDefault="00835773" w:rsidP="00835773">
      <w:pPr>
        <w:pStyle w:val="NoSpacing"/>
      </w:pPr>
      <w:hyperlink r:id="rId638" w:history="1">
        <w:r w:rsidRPr="0088501B">
          <w:rPr>
            <w:rStyle w:val="Hyperlink"/>
            <w:b/>
          </w:rPr>
          <w:t>https://www.courthousenews.com/wp-content/uploads/2026/07/fresno-prelim-grants.pdf</w:t>
        </w:r>
      </w:hyperlink>
      <w:r w:rsidRPr="0088501B">
        <w:t xml:space="preserve"> </w:t>
      </w:r>
    </w:p>
    <w:p w14:paraId="231AC126" w14:textId="77777777" w:rsidR="00835773" w:rsidRPr="0088501B" w:rsidRDefault="00835773" w:rsidP="00835773">
      <w:pPr>
        <w:pStyle w:val="NoSpacing"/>
      </w:pPr>
    </w:p>
    <w:p w14:paraId="54709D2E" w14:textId="77777777" w:rsidR="00835773" w:rsidRPr="0088501B" w:rsidRDefault="00835773" w:rsidP="00835773">
      <w:pPr>
        <w:pStyle w:val="NoSpacing"/>
      </w:pPr>
      <w:r w:rsidRPr="0088501B">
        <w:t>THE COURT WROTE: “The result of their imposition of the Challenged Conditions would irreparably injure plaintiffs and their ability to provide critical services, as well as would threaten public safety…. Since taking office in January 2025, President Trump has issued numerous executive orders that impose conditions on federal funding that plaintiffs believe ‘bear little or no</w:t>
      </w:r>
    </w:p>
    <w:p w14:paraId="7F4AC766" w14:textId="77777777" w:rsidR="00835773" w:rsidRPr="0088501B" w:rsidRDefault="00835773" w:rsidP="00835773">
      <w:pPr>
        <w:pStyle w:val="NoSpacing"/>
      </w:pPr>
      <w:r w:rsidRPr="0088501B">
        <w:t>connection to the purposes of the grant programs Congress established, lack statutory authorization, conflict with the law as interpreted by the courts, and are even at odds with the</w:t>
      </w:r>
    </w:p>
    <w:p w14:paraId="72D07E26" w14:textId="77777777" w:rsidR="00835773" w:rsidRPr="0088501B" w:rsidRDefault="00835773" w:rsidP="00835773">
      <w:pPr>
        <w:pStyle w:val="NoSpacing"/>
      </w:pPr>
      <w:r w:rsidRPr="0088501B">
        <w:lastRenderedPageBreak/>
        <w:t>purposes of the grants they purport to amend.’ … These orders particularly attack</w:t>
      </w:r>
    </w:p>
    <w:p w14:paraId="43847FCD" w14:textId="77777777" w:rsidR="00835773" w:rsidRPr="0088501B" w:rsidRDefault="00835773" w:rsidP="00835773">
      <w:pPr>
        <w:pStyle w:val="NoSpacing"/>
      </w:pPr>
      <w:r w:rsidRPr="0088501B">
        <w:t>‘</w:t>
      </w:r>
      <w:proofErr w:type="gramStart"/>
      <w:r w:rsidRPr="0088501B">
        <w:t>diversity</w:t>
      </w:r>
      <w:proofErr w:type="gramEnd"/>
      <w:r w:rsidRPr="0088501B">
        <w:t>, equity, and inclusion</w:t>
      </w:r>
      <w:proofErr w:type="gramStart"/>
      <w:r w:rsidRPr="0088501B">
        <w:t>’ (‘</w:t>
      </w:r>
      <w:proofErr w:type="gramEnd"/>
      <w:r w:rsidRPr="0088501B">
        <w:t>DEI’) and ‘diversity, equity, inclusion, and accessibility’</w:t>
      </w:r>
    </w:p>
    <w:p w14:paraId="4D27A906" w14:textId="77777777" w:rsidR="00835773" w:rsidRDefault="00835773" w:rsidP="00835773">
      <w:pPr>
        <w:pStyle w:val="NoSpacing"/>
      </w:pPr>
      <w:r w:rsidRPr="0088501B">
        <w:t>(‘DEIA’) programs and policies that many government entities have adopted, as well as states and governments who, in their view, fail to comply with federal immigration and anti-discrimination law</w:t>
      </w:r>
      <w:r>
        <w:t>s.</w:t>
      </w:r>
    </w:p>
    <w:p w14:paraId="058C24F3" w14:textId="77777777" w:rsidR="00835773" w:rsidRDefault="00835773" w:rsidP="00835773">
      <w:pPr>
        <w:pStyle w:val="NoSpacing"/>
      </w:pPr>
    </w:p>
    <w:p w14:paraId="6C72229D" w14:textId="77777777" w:rsidR="00835773" w:rsidRDefault="00835773" w:rsidP="00835773">
      <w:pPr>
        <w:pStyle w:val="NoSpacing"/>
      </w:pPr>
      <w:r>
        <w:t>***</w:t>
      </w:r>
    </w:p>
    <w:p w14:paraId="71A6E4E8" w14:textId="77777777" w:rsidR="00835773" w:rsidRDefault="00835773" w:rsidP="00835773">
      <w:pPr>
        <w:pStyle w:val="NoSpacing"/>
      </w:pPr>
    </w:p>
    <w:p w14:paraId="2AA88C7F" w14:textId="77777777" w:rsidR="00835773" w:rsidRPr="0088501B" w:rsidRDefault="00835773" w:rsidP="00835773">
      <w:pPr>
        <w:pStyle w:val="NoSpacing"/>
      </w:pPr>
      <w:r w:rsidRPr="0088501B">
        <w:t xml:space="preserve">At present, plaintiffs are forced to make a Hobson’s choice—accept funding with potentially unconstitutional or harmful conditions or forego funding altogether. I have previously found this scenario to constitute irreparable harm and do so again here. See </w:t>
      </w:r>
      <w:r w:rsidRPr="0088501B">
        <w:rPr>
          <w:i/>
          <w:iCs/>
        </w:rPr>
        <w:t>Santa Clara</w:t>
      </w:r>
      <w:r w:rsidRPr="0088501B">
        <w:t xml:space="preserve">, 815 F. Supp. 3d at 1041; City &amp; </w:t>
      </w:r>
      <w:proofErr w:type="spellStart"/>
      <w:r w:rsidRPr="0088501B">
        <w:t>Cnty</w:t>
      </w:r>
      <w:proofErr w:type="spellEnd"/>
      <w:r w:rsidRPr="0088501B">
        <w:t xml:space="preserve">. of S.F. v. Trump, 779 F. Supp. 3d 1077, 1082 (N.D. Cal. 2025) (finding ‘irreparable injury in the form of budgetary uncertainty, deprivation of constitutional rights, and undermining trust between the Cities and Counties and the communities they serve’). I find that each plaintiff has established that it is likely to suffer both short- and long-term negative consequences and injury unless I grant a preliminary injunction in their favor for programs to which it has applied or intends to apply…. As in </w:t>
      </w:r>
      <w:r w:rsidRPr="0088501B">
        <w:rPr>
          <w:i/>
          <w:iCs/>
        </w:rPr>
        <w:t>Santa Clara</w:t>
      </w:r>
      <w:r w:rsidRPr="0088501B">
        <w:t xml:space="preserve">, plaintiffs’ interest in ensuring that their communities receive funding for critical infrastructure, public safety, harm reduction, victim assistance, and emergency response programs far </w:t>
      </w:r>
      <w:proofErr w:type="gramStart"/>
      <w:r w:rsidRPr="0088501B">
        <w:t>exceeds</w:t>
      </w:r>
      <w:proofErr w:type="gramEnd"/>
      <w:r w:rsidRPr="0088501B">
        <w:t xml:space="preserve"> defendants’ interests. Plaintiffs represent the interests of millions of individuals, and many plaintiffs are unable </w:t>
      </w:r>
      <w:proofErr w:type="gramStart"/>
      <w:r w:rsidRPr="0088501B">
        <w:t>to otherwise</w:t>
      </w:r>
      <w:proofErr w:type="gramEnd"/>
      <w:r w:rsidRPr="0088501B">
        <w:t xml:space="preserve"> fund critical programs without these grants. They have a compelling interest in </w:t>
      </w:r>
      <w:proofErr w:type="gramStart"/>
      <w:r w:rsidRPr="0088501B">
        <w:t>a preliminary injunction</w:t>
      </w:r>
      <w:proofErr w:type="gramEnd"/>
      <w:r w:rsidRPr="0088501B">
        <w:t xml:space="preserve">. So does the </w:t>
      </w:r>
      <w:proofErr w:type="gramStart"/>
      <w:r w:rsidRPr="0088501B">
        <w:t>general public</w:t>
      </w:r>
      <w:proofErr w:type="gramEnd"/>
      <w:r w:rsidRPr="0088501B">
        <w:t xml:space="preserve">, which is interested in seeing its communities receive funding for critical infrastructure and public safety initiatives—funding that is paid for by their federal tax dollars. It is also </w:t>
      </w:r>
      <w:proofErr w:type="gramStart"/>
      <w:r w:rsidRPr="0088501B">
        <w:t>interested</w:t>
      </w:r>
      <w:proofErr w:type="gramEnd"/>
      <w:r w:rsidRPr="0088501B">
        <w:t xml:space="preserve"> in seeing that regulations passed by Congress are properly implemented; should relief not be granted, many grant programs will be contradicted or impermissibly overridden by the President's Executive Orders. These interests also strongly weigh in favor of granting a preliminary injunction.”</w:t>
      </w:r>
    </w:p>
    <w:p w14:paraId="1F22B37D" w14:textId="77777777" w:rsidR="00835773" w:rsidRPr="005B19A3" w:rsidRDefault="00835773" w:rsidP="00835773">
      <w:pPr>
        <w:pStyle w:val="NoSpacing"/>
        <w:rPr>
          <w:b/>
          <w:bCs/>
        </w:rPr>
      </w:pPr>
    </w:p>
    <w:p w14:paraId="114C839A" w14:textId="77777777" w:rsidR="00835773" w:rsidRPr="005B19A3" w:rsidRDefault="00835773" w:rsidP="00835773">
      <w:pPr>
        <w:pStyle w:val="NoSpacing"/>
        <w:rPr>
          <w:b/>
          <w:bCs/>
        </w:rPr>
      </w:pPr>
      <w:r w:rsidRPr="005B19A3">
        <w:rPr>
          <w:b/>
        </w:rPr>
        <w:t xml:space="preserve">Legal lesson learned: These California cities and counties, like others nationwide, have a critical interest in receiving public safety grants that do not include unclear provisions regarding DEI. </w:t>
      </w:r>
    </w:p>
    <w:p w14:paraId="3F615F78" w14:textId="77777777" w:rsidR="00835773" w:rsidRPr="0088501B" w:rsidRDefault="00835773" w:rsidP="00835773">
      <w:pPr>
        <w:pStyle w:val="NoSpacing"/>
      </w:pPr>
    </w:p>
    <w:p w14:paraId="15986519" w14:textId="77777777" w:rsidR="00835773" w:rsidRPr="005B19A3" w:rsidRDefault="00835773" w:rsidP="00835773">
      <w:pPr>
        <w:pStyle w:val="NoSpacing"/>
        <w:ind w:left="720"/>
      </w:pPr>
      <w:r>
        <w:t xml:space="preserve">Note: </w:t>
      </w:r>
      <w:r w:rsidRPr="0088501B">
        <w:t xml:space="preserve">See April 24, </w:t>
      </w:r>
      <w:proofErr w:type="gramStart"/>
      <w:r w:rsidRPr="0088501B">
        <w:t>2025</w:t>
      </w:r>
      <w:proofErr w:type="gramEnd"/>
      <w:r w:rsidRPr="0088501B">
        <w:t xml:space="preserve"> Press Release by Santa Clara County Attorney after Judge Orrick issued a preliminary injunction in the </w:t>
      </w:r>
      <w:r w:rsidRPr="0088501B">
        <w:rPr>
          <w:i/>
          <w:iCs/>
        </w:rPr>
        <w:t xml:space="preserve">Santa Clara, </w:t>
      </w:r>
      <w:r w:rsidRPr="0088501B">
        <w:t xml:space="preserve">preventing the Trump Administration from withholding federal funding to Plaintiff cities and counties unless they assist the federal government with its civil immigration enforcement responsibilities. </w:t>
      </w:r>
      <w:hyperlink r:id="rId639" w:history="1">
        <w:r w:rsidRPr="005B19A3">
          <w:rPr>
            <w:rStyle w:val="Hyperlink"/>
            <w:b/>
          </w:rPr>
          <w:t>https://www.sf.gov/news-federal-court-blocks-trump-administration-from-withholding-funds-to-sanctuary-jurisdictions</w:t>
        </w:r>
      </w:hyperlink>
      <w:r w:rsidRPr="005B19A3">
        <w:t xml:space="preserve"> </w:t>
      </w:r>
    </w:p>
    <w:p w14:paraId="126B3625" w14:textId="77777777" w:rsidR="00835773" w:rsidRDefault="00835773" w:rsidP="00835773">
      <w:pPr>
        <w:pStyle w:val="NoSpacing"/>
        <w:rPr>
          <w:b/>
          <w:sz w:val="20"/>
          <w:szCs w:val="20"/>
        </w:rPr>
      </w:pPr>
    </w:p>
    <w:p w14:paraId="599F1F1B" w14:textId="77777777" w:rsidR="00835773" w:rsidRDefault="00835773" w:rsidP="006B4271">
      <w:pPr>
        <w:pStyle w:val="NoSpacing"/>
        <w:rPr>
          <w:rFonts w:ascii="Arial Black" w:hAnsi="Arial Black"/>
          <w:sz w:val="28"/>
          <w:szCs w:val="28"/>
        </w:rPr>
      </w:pPr>
    </w:p>
    <w:p w14:paraId="6D919D86" w14:textId="77777777" w:rsidR="00835773" w:rsidRDefault="00835773" w:rsidP="006B4271">
      <w:pPr>
        <w:pStyle w:val="NoSpacing"/>
        <w:rPr>
          <w:rFonts w:ascii="Arial Black" w:hAnsi="Arial Black"/>
          <w:sz w:val="28"/>
          <w:szCs w:val="28"/>
        </w:rPr>
      </w:pPr>
    </w:p>
    <w:p w14:paraId="06B3A388" w14:textId="77777777" w:rsidR="00835773" w:rsidRDefault="00835773" w:rsidP="006B4271">
      <w:pPr>
        <w:pStyle w:val="NoSpacing"/>
        <w:rPr>
          <w:rFonts w:ascii="Arial Black" w:hAnsi="Arial Black"/>
          <w:sz w:val="28"/>
          <w:szCs w:val="28"/>
        </w:rPr>
      </w:pPr>
    </w:p>
    <w:p w14:paraId="6ED851BA" w14:textId="5FAAB332" w:rsidR="006B4271" w:rsidRDefault="006B4271" w:rsidP="006B4271">
      <w:pPr>
        <w:pStyle w:val="NoSpacing"/>
        <w:rPr>
          <w:rFonts w:ascii="Arial Black" w:hAnsi="Arial Black"/>
          <w:sz w:val="28"/>
          <w:szCs w:val="28"/>
        </w:rPr>
      </w:pPr>
      <w:r>
        <w:rPr>
          <w:rFonts w:ascii="Arial Black" w:hAnsi="Arial Black"/>
          <w:sz w:val="28"/>
          <w:szCs w:val="28"/>
        </w:rPr>
        <w:t>3-93</w:t>
      </w:r>
    </w:p>
    <w:p w14:paraId="3A44BDAD" w14:textId="77777777" w:rsidR="00811255" w:rsidRDefault="00811255" w:rsidP="00440B47">
      <w:pPr>
        <w:pStyle w:val="NoSpacing"/>
        <w:rPr>
          <w:rFonts w:ascii="Arial Black" w:hAnsi="Arial Black"/>
          <w:sz w:val="28"/>
          <w:szCs w:val="28"/>
        </w:rPr>
      </w:pPr>
    </w:p>
    <w:p w14:paraId="5B33BD33" w14:textId="77777777" w:rsidR="00811255" w:rsidRPr="00BB4213" w:rsidRDefault="00811255" w:rsidP="00811255">
      <w:pPr>
        <w:pStyle w:val="NoSpacing"/>
        <w:rPr>
          <w:rFonts w:ascii="Arial Black" w:hAnsi="Arial Black"/>
          <w:bCs/>
          <w:sz w:val="28"/>
          <w:szCs w:val="28"/>
        </w:rPr>
      </w:pPr>
      <w:r>
        <w:rPr>
          <w:rFonts w:ascii="Arial Black" w:hAnsi="Arial Black"/>
          <w:sz w:val="28"/>
          <w:szCs w:val="28"/>
        </w:rPr>
        <w:t>U.S. SUP. CT – HAITI / SYRIA – TEMP STATUS</w:t>
      </w:r>
      <w:r>
        <w:rPr>
          <w:rFonts w:ascii="Arial Black" w:hAnsi="Arial Black"/>
          <w:bCs/>
          <w:sz w:val="28"/>
          <w:szCs w:val="28"/>
        </w:rPr>
        <w:t xml:space="preserve"> REVOKED</w:t>
      </w:r>
      <w:r>
        <w:rPr>
          <w:rFonts w:ascii="Arial Black" w:hAnsi="Arial Black"/>
          <w:sz w:val="28"/>
          <w:szCs w:val="28"/>
        </w:rPr>
        <w:t xml:space="preserve"> </w:t>
      </w:r>
    </w:p>
    <w:p w14:paraId="6AEE43C3" w14:textId="77777777" w:rsidR="00811255" w:rsidRDefault="00811255" w:rsidP="00811255">
      <w:pPr>
        <w:pStyle w:val="NoSpacing"/>
        <w:rPr>
          <w:bCs/>
        </w:rPr>
      </w:pPr>
    </w:p>
    <w:p w14:paraId="51AA81CE" w14:textId="77777777" w:rsidR="00811255" w:rsidRDefault="00811255" w:rsidP="00811255">
      <w:pPr>
        <w:pStyle w:val="NoSpacing"/>
        <w:rPr>
          <w:bCs/>
        </w:rPr>
      </w:pPr>
      <w:r>
        <w:t xml:space="preserve">On June 25, 2026, in </w:t>
      </w:r>
      <w:r w:rsidRPr="00950991">
        <w:rPr>
          <w:u w:val="single"/>
        </w:rPr>
        <w:t>Mullin, Secretary, Department of Homeland Security, et al. v. Doe, et al</w:t>
      </w:r>
      <w:r>
        <w:t>., the United States Supreme Court held (6 to 3) that Congress has empowered the President and Secretary of State to end “Temporary Protected Status” (thereby revoking work permits) for Haiti (2010 TPS due to earthquake) and Syrians (2012 TPS due to violence) and others. Justice Samuel Alito, writing for the Majority, wrote that Trump’s anti-Haitian comments were not “</w:t>
      </w:r>
      <w:r w:rsidRPr="009F2B4E">
        <w:t xml:space="preserve">overtly racial” </w:t>
      </w:r>
      <w:r>
        <w:t xml:space="preserve">and plaintiffs failed to prove the TPS revocation was because of race.  The Court reversed injunctions issues by U.S. District Court judges in D.C. (Haiti case) and in Southern District of New York (Syria case). The Court wrote: “In support of their claim that the termination of Haiti’s TPS designation was based on race, respondents cite statements made by the President and former Secretary Noem…. None of the cited statements by either the President or the Secretary was overtly racial, and in substance all expressed policy views that could rest on race-neutral justifications.” </w:t>
      </w:r>
    </w:p>
    <w:p w14:paraId="1542A051" w14:textId="77777777" w:rsidR="00811255" w:rsidRDefault="00811255" w:rsidP="00811255">
      <w:pPr>
        <w:pStyle w:val="NoSpacing"/>
        <w:rPr>
          <w:bCs/>
        </w:rPr>
      </w:pPr>
      <w:r>
        <w:t xml:space="preserve"> </w:t>
      </w:r>
      <w:hyperlink r:id="rId640" w:history="1">
        <w:r w:rsidRPr="005431AD">
          <w:rPr>
            <w:rStyle w:val="Hyperlink"/>
          </w:rPr>
          <w:t>https://www.supremecourt.gov/opinions/25pdf/25-1083_f204.pdf</w:t>
        </w:r>
      </w:hyperlink>
      <w:r>
        <w:t xml:space="preserve"> </w:t>
      </w:r>
    </w:p>
    <w:p w14:paraId="380D0D28" w14:textId="77777777" w:rsidR="00811255" w:rsidRDefault="00811255" w:rsidP="00811255">
      <w:pPr>
        <w:pStyle w:val="NoSpacing"/>
        <w:rPr>
          <w:b/>
        </w:rPr>
      </w:pPr>
    </w:p>
    <w:p w14:paraId="67BE872E" w14:textId="77777777" w:rsidR="00811255" w:rsidRDefault="00811255" w:rsidP="00811255">
      <w:pPr>
        <w:pStyle w:val="NoSpacing"/>
        <w:rPr>
          <w:b/>
        </w:rPr>
      </w:pPr>
      <w:r>
        <w:rPr>
          <w:b/>
        </w:rPr>
        <w:lastRenderedPageBreak/>
        <w:t xml:space="preserve">FACTS: </w:t>
      </w:r>
    </w:p>
    <w:p w14:paraId="1354CCC6" w14:textId="77777777" w:rsidR="00811255" w:rsidRDefault="00811255" w:rsidP="00811255">
      <w:pPr>
        <w:pStyle w:val="NoSpacing"/>
        <w:rPr>
          <w:b/>
        </w:rPr>
      </w:pPr>
    </w:p>
    <w:p w14:paraId="37409256" w14:textId="77777777" w:rsidR="00811255" w:rsidRDefault="00811255" w:rsidP="00811255">
      <w:pPr>
        <w:pStyle w:val="NoSpacing"/>
      </w:pPr>
      <w:r>
        <w:t>“</w:t>
      </w:r>
      <w:r w:rsidRPr="00681B06">
        <w:t xml:space="preserve">Congress created TPS </w:t>
      </w:r>
      <w:r>
        <w:t>[</w:t>
      </w:r>
      <w:r w:rsidRPr="00F96230">
        <w:t>Temporary Protected Status</w:t>
      </w:r>
      <w:r>
        <w:t xml:space="preserve">] </w:t>
      </w:r>
      <w:r w:rsidRPr="00681B06">
        <w:t>in 1990 to provide short-term humanitarian relief for aliens who cannot safely return to</w:t>
      </w:r>
      <w:r>
        <w:t xml:space="preserve"> </w:t>
      </w:r>
      <w:r w:rsidRPr="00681B06">
        <w:t>their home countries due to events such as armed conflict</w:t>
      </w:r>
      <w:r>
        <w:t xml:space="preserve"> </w:t>
      </w:r>
      <w:r w:rsidRPr="00681B06">
        <w:t>or natural disaster</w:t>
      </w:r>
      <w:r>
        <w:t>…. The Secretary [of State] is instructed to review each TPS designation at least every 18 months. §§1254a(b)(2)–(3)…. Although designed to afford ‘temporary’ relief, TPS designations in practice have often lasted for decades. For example, the Secretary designated Somalia in 1991, and that designation remains in effect 35 years later.</w:t>
      </w:r>
    </w:p>
    <w:p w14:paraId="433AAEE1" w14:textId="77777777" w:rsidR="00811255" w:rsidRDefault="00811255" w:rsidP="00811255">
      <w:pPr>
        <w:pStyle w:val="NoSpacing"/>
      </w:pPr>
    </w:p>
    <w:p w14:paraId="3D53CC13" w14:textId="77777777" w:rsidR="00811255" w:rsidRDefault="00811255" w:rsidP="00811255">
      <w:pPr>
        <w:pStyle w:val="NoSpacing"/>
      </w:pPr>
      <w:r>
        <w:t>***</w:t>
      </w:r>
    </w:p>
    <w:p w14:paraId="52C8C2AD" w14:textId="77777777" w:rsidR="00811255" w:rsidRPr="00AD363E" w:rsidRDefault="00811255" w:rsidP="00811255">
      <w:pPr>
        <w:pStyle w:val="NoSpacing"/>
      </w:pPr>
      <w:r w:rsidRPr="00AD363E">
        <w:t>Haiti received a TPS designation in 2010 after a devastating earthquake killed or injured hundreds of thousands</w:t>
      </w:r>
      <w:r>
        <w:t xml:space="preserve"> </w:t>
      </w:r>
      <w:r w:rsidRPr="00AD363E">
        <w:t>of residents, caused massive property damage, and severely</w:t>
      </w:r>
    </w:p>
    <w:p w14:paraId="7AE15583" w14:textId="77777777" w:rsidR="00811255" w:rsidRPr="00AD363E" w:rsidRDefault="00811255" w:rsidP="00811255">
      <w:pPr>
        <w:pStyle w:val="NoSpacing"/>
      </w:pPr>
      <w:r w:rsidRPr="00AD363E">
        <w:t>worsened living conditions. 75 Fed. Reg. 3477 (2010). The</w:t>
      </w:r>
      <w:r>
        <w:t xml:space="preserve"> </w:t>
      </w:r>
      <w:r w:rsidRPr="00AD363E">
        <w:t>Government re-designated Haiti for TPS and extended that</w:t>
      </w:r>
      <w:r>
        <w:t xml:space="preserve"> </w:t>
      </w:r>
      <w:r w:rsidRPr="00AD363E">
        <w:t>designation several times.</w:t>
      </w:r>
    </w:p>
    <w:p w14:paraId="319A8DA8" w14:textId="77777777" w:rsidR="00811255" w:rsidRPr="00AD363E" w:rsidRDefault="00811255" w:rsidP="00811255">
      <w:pPr>
        <w:pStyle w:val="NoSpacing"/>
      </w:pPr>
    </w:p>
    <w:p w14:paraId="113944AB" w14:textId="77777777" w:rsidR="00811255" w:rsidRDefault="00811255" w:rsidP="00811255">
      <w:pPr>
        <w:pStyle w:val="NoSpacing"/>
      </w:pPr>
      <w:r>
        <w:t>***</w:t>
      </w:r>
    </w:p>
    <w:p w14:paraId="5D0C1768" w14:textId="77777777" w:rsidR="00811255" w:rsidRDefault="00811255" w:rsidP="00811255">
      <w:pPr>
        <w:pStyle w:val="NoSpacing"/>
      </w:pPr>
      <w:r>
        <w:t xml:space="preserve">The current administration objects to lengthy TPS designations and adopted a new, restricted approach shortly after the beginning of President Trump’s second term in office….Under this approach, the Secretary of Homeland Security has terminated every TPS designation that has come up for renewal, 13 in all. </w:t>
      </w:r>
    </w:p>
    <w:p w14:paraId="33EACEF8" w14:textId="77777777" w:rsidR="00811255" w:rsidRDefault="00811255" w:rsidP="00811255">
      <w:pPr>
        <w:pStyle w:val="NoSpacing"/>
      </w:pPr>
    </w:p>
    <w:p w14:paraId="5212BFEF" w14:textId="77777777" w:rsidR="00811255" w:rsidRDefault="00811255" w:rsidP="00811255">
      <w:pPr>
        <w:pStyle w:val="NoSpacing"/>
      </w:pPr>
      <w:r w:rsidRPr="00356DAA">
        <w:t>Included are nations in</w:t>
      </w:r>
      <w:r>
        <w:t xml:space="preserve"> East Asia (Nepal and Burma), Central Asia (Afghanistan), the Middle East (Syria and Yemen), Africa (Somalia, Ethiopia, South Sudan, and Cameroon), Central America (Nicaragua and Honduras), South America (Venezuela), and the Caribbean (Haiti)…. Only one European nation—Ukraine—had a TPS designation when the President began his second term, and that country’s TPS designation has not yet come up for review. See 90 Fed. Reg. 5936 (2025) (extending Ukraine TPS designation through October 19, 2026).</w:t>
      </w:r>
    </w:p>
    <w:p w14:paraId="345A0460" w14:textId="77777777" w:rsidR="00811255" w:rsidRDefault="00811255" w:rsidP="00811255">
      <w:pPr>
        <w:pStyle w:val="NoSpacing"/>
      </w:pPr>
    </w:p>
    <w:p w14:paraId="7C669476" w14:textId="77777777" w:rsidR="00811255" w:rsidRPr="0095300B" w:rsidRDefault="00811255" w:rsidP="00811255">
      <w:pPr>
        <w:pStyle w:val="NoSpacing"/>
        <w:rPr>
          <w:b/>
          <w:bCs/>
        </w:rPr>
      </w:pPr>
      <w:r w:rsidRPr="0095300B">
        <w:rPr>
          <w:b/>
        </w:rPr>
        <w:t xml:space="preserve">COURT HELD: </w:t>
      </w:r>
    </w:p>
    <w:p w14:paraId="065A7EE9" w14:textId="77777777" w:rsidR="00811255" w:rsidRDefault="00811255" w:rsidP="00811255">
      <w:pPr>
        <w:pStyle w:val="NoSpacing"/>
      </w:pPr>
    </w:p>
    <w:p w14:paraId="58C376DA" w14:textId="77777777" w:rsidR="00811255" w:rsidRDefault="00811255" w:rsidP="00811255">
      <w:pPr>
        <w:pStyle w:val="NoSpacing"/>
      </w:pPr>
      <w:r>
        <w:t>“In these cases, we consider whether respondents, who challenge the termination of Temporary Protected Status (TPS) for aliens from Syria and Haiti, are entitled to orders postponing the terminations during litigation. We hold that they are not. The TPS statute plainly bars consideration of respondents’ non-constitutional claims. It allows “no judicial review of any determination . . . with respect to the . . . termination” of a TPS designation. 8 U. S. C. §1254a(b)(5)(A).</w:t>
      </w:r>
    </w:p>
    <w:p w14:paraId="5DB36A9A" w14:textId="77777777" w:rsidR="00811255" w:rsidRDefault="00811255" w:rsidP="00811255">
      <w:pPr>
        <w:pStyle w:val="NoSpacing"/>
      </w:pPr>
    </w:p>
    <w:p w14:paraId="470D74E1" w14:textId="77777777" w:rsidR="00811255" w:rsidRDefault="00811255" w:rsidP="00811255">
      <w:pPr>
        <w:pStyle w:val="NoSpacing"/>
      </w:pPr>
      <w:r>
        <w:t>***</w:t>
      </w:r>
    </w:p>
    <w:p w14:paraId="6A49BAE5" w14:textId="77777777" w:rsidR="00811255" w:rsidRDefault="00811255" w:rsidP="00811255">
      <w:pPr>
        <w:pStyle w:val="NoSpacing"/>
      </w:pPr>
      <w:r>
        <w:t>Footnote 3: 3 Not all TPS designations have lasted so long. Presidents Clinton, George W. Bush, and Obama terminated some TPS designations much more promptly. See, e.g., 58 Fed. Reg. 7582 (1993) (Lebanon, terminated two years after initial designation); 62 Fed. Reg. 33442 (1997) (Rwanda, terminated three years after initial designation); 69 Fed. Reg. 40643</w:t>
      </w:r>
    </w:p>
    <w:p w14:paraId="2993D742" w14:textId="77777777" w:rsidR="00811255" w:rsidRDefault="00811255" w:rsidP="00811255">
      <w:pPr>
        <w:pStyle w:val="NoSpacing"/>
      </w:pPr>
      <w:r>
        <w:t>(2004) (Montserrat, terminated less than eight years after initial designation); 81 Fed. Reg. 66064 (2016) (Guinea, terminated less than three years after initial designation). None of these terminations were challenged in court.</w:t>
      </w:r>
    </w:p>
    <w:p w14:paraId="27B5C051" w14:textId="77777777" w:rsidR="00811255" w:rsidRDefault="00811255" w:rsidP="00811255">
      <w:pPr>
        <w:pStyle w:val="NoSpacing"/>
      </w:pPr>
    </w:p>
    <w:p w14:paraId="029FA5E4" w14:textId="77777777" w:rsidR="00811255" w:rsidRDefault="00811255" w:rsidP="00811255">
      <w:pPr>
        <w:pStyle w:val="NoSpacing"/>
      </w:pPr>
      <w:r>
        <w:t>***</w:t>
      </w:r>
    </w:p>
    <w:p w14:paraId="41ABD3BA" w14:textId="77777777" w:rsidR="00811255" w:rsidRDefault="00811255" w:rsidP="00811255">
      <w:pPr>
        <w:pStyle w:val="NoSpacing"/>
      </w:pPr>
    </w:p>
    <w:p w14:paraId="77E64D60" w14:textId="77777777" w:rsidR="00811255" w:rsidRDefault="00811255" w:rsidP="00811255">
      <w:pPr>
        <w:pStyle w:val="NoSpacing"/>
      </w:pPr>
      <w:r>
        <w:t>In support of their claim that the termination of Haiti’s TPS designation was based on race, respondents cite statements made by the President and former Secretary Noem…. None of the cited statements by either the President or the Secretary was overtly racial, and in substance all expressed policy views that could rest on race-neutral justifications. For example, one may oppose TPS and favor tighter restrictions on immigration for economic or other reasons that have nothing to do with race. And a person without racial bias can provide a harshly unfavorable description of living conditions in some of the countries with TPS designations. The criteria for TPS designations guarantee that many, if not most, designated countries have such characteristics.</w:t>
      </w:r>
    </w:p>
    <w:p w14:paraId="593365AB" w14:textId="77777777" w:rsidR="00811255" w:rsidRDefault="00811255" w:rsidP="00811255">
      <w:pPr>
        <w:pStyle w:val="NoSpacing"/>
      </w:pPr>
    </w:p>
    <w:p w14:paraId="23D02C76" w14:textId="77777777" w:rsidR="00811255" w:rsidRDefault="00811255" w:rsidP="00811255">
      <w:pPr>
        <w:pStyle w:val="NoSpacing"/>
      </w:pPr>
      <w:r>
        <w:t>***</w:t>
      </w:r>
    </w:p>
    <w:p w14:paraId="04466E75" w14:textId="77777777" w:rsidR="00811255" w:rsidRDefault="00811255" w:rsidP="00811255">
      <w:pPr>
        <w:pStyle w:val="NoSpacing"/>
      </w:pPr>
      <w:r>
        <w:lastRenderedPageBreak/>
        <w:t>In offering the cited statements as proof that the termination of Haiti’s TPS termination was motivated by race, Miot respondents seek to capitalize on the statements’ heated language. Political discourse by prominent public figures is increasingly couched in terms that would have</w:t>
      </w:r>
    </w:p>
    <w:p w14:paraId="1D082BD7" w14:textId="77777777" w:rsidR="00811255" w:rsidRDefault="00811255" w:rsidP="00811255">
      <w:pPr>
        <w:pStyle w:val="NoSpacing"/>
      </w:pPr>
      <w:r>
        <w:t>scandalized the public just a short time ago, and the statements cited by Miot respondents—especially those concerning Haiti and Haitian immigrants to this country—exemplify this development. But whatever one may think of the cited statements, they are insufficient to show that the termination of Haiti’s TPS designation was based on the race of the Haitian people.</w:t>
      </w:r>
    </w:p>
    <w:p w14:paraId="5D868675" w14:textId="77777777" w:rsidR="00811255" w:rsidRDefault="00811255" w:rsidP="00811255">
      <w:pPr>
        <w:pStyle w:val="NoSpacing"/>
      </w:pPr>
    </w:p>
    <w:p w14:paraId="0CE12EEB" w14:textId="77777777" w:rsidR="00811255" w:rsidRDefault="00811255" w:rsidP="00811255">
      <w:pPr>
        <w:pStyle w:val="NoSpacing"/>
      </w:pPr>
      <w:r>
        <w:t>***</w:t>
      </w:r>
    </w:p>
    <w:p w14:paraId="35D19CE0" w14:textId="77777777" w:rsidR="00811255" w:rsidRDefault="00811255" w:rsidP="00811255">
      <w:pPr>
        <w:pStyle w:val="NoSpacing"/>
      </w:pPr>
      <w:r>
        <w:t>The judgments of the United States District Courts for the Southern District of New York and the District of Columbia are reversed. The cases are remanded for further proceedings consistent with this opinion.”</w:t>
      </w:r>
    </w:p>
    <w:p w14:paraId="457C1D5C" w14:textId="77777777" w:rsidR="00811255" w:rsidRDefault="00811255" w:rsidP="00811255">
      <w:pPr>
        <w:pStyle w:val="NoSpacing"/>
      </w:pPr>
    </w:p>
    <w:p w14:paraId="457F200C" w14:textId="77777777" w:rsidR="00811255" w:rsidRPr="007D170B" w:rsidRDefault="00811255" w:rsidP="00811255">
      <w:pPr>
        <w:pStyle w:val="NoSpacing"/>
        <w:rPr>
          <w:b/>
          <w:bCs/>
        </w:rPr>
      </w:pPr>
      <w:r>
        <w:rPr>
          <w:b/>
        </w:rPr>
        <w:t xml:space="preserve">Legal lesson learned: Congress enacted a statute that prohibits judicial review of revocation of TPS status.  Racial comments, including from President, must be avoided in modern society. </w:t>
      </w:r>
    </w:p>
    <w:p w14:paraId="3BE90732" w14:textId="77777777" w:rsidR="00811255" w:rsidRDefault="00811255" w:rsidP="00440B47">
      <w:pPr>
        <w:pStyle w:val="NoSpacing"/>
        <w:rPr>
          <w:rFonts w:ascii="Arial Black" w:hAnsi="Arial Black"/>
          <w:sz w:val="28"/>
          <w:szCs w:val="28"/>
        </w:rPr>
      </w:pPr>
    </w:p>
    <w:p w14:paraId="447165B9" w14:textId="77777777" w:rsidR="00811255" w:rsidRDefault="00811255" w:rsidP="00440B47">
      <w:pPr>
        <w:pStyle w:val="NoSpacing"/>
        <w:rPr>
          <w:rFonts w:ascii="Arial Black" w:hAnsi="Arial Black"/>
          <w:sz w:val="28"/>
          <w:szCs w:val="28"/>
        </w:rPr>
      </w:pPr>
    </w:p>
    <w:p w14:paraId="4FB2C0F6" w14:textId="77777777" w:rsidR="00811255" w:rsidRDefault="00811255" w:rsidP="00440B47">
      <w:pPr>
        <w:pStyle w:val="NoSpacing"/>
        <w:rPr>
          <w:rFonts w:ascii="Arial Black" w:hAnsi="Arial Black"/>
          <w:sz w:val="28"/>
          <w:szCs w:val="28"/>
        </w:rPr>
      </w:pPr>
    </w:p>
    <w:p w14:paraId="274D4A9A" w14:textId="77777777" w:rsidR="00811255" w:rsidRDefault="00811255" w:rsidP="00440B47">
      <w:pPr>
        <w:pStyle w:val="NoSpacing"/>
        <w:rPr>
          <w:rFonts w:ascii="Arial Black" w:hAnsi="Arial Black"/>
          <w:sz w:val="28"/>
          <w:szCs w:val="28"/>
        </w:rPr>
      </w:pPr>
    </w:p>
    <w:p w14:paraId="22D19220" w14:textId="17A16FDE" w:rsidR="00E575E6" w:rsidRDefault="008D250F" w:rsidP="00440B47">
      <w:pPr>
        <w:pStyle w:val="NoSpacing"/>
        <w:rPr>
          <w:rFonts w:ascii="Arial Black" w:hAnsi="Arial Black"/>
          <w:sz w:val="28"/>
          <w:szCs w:val="28"/>
        </w:rPr>
      </w:pPr>
      <w:r>
        <w:rPr>
          <w:rFonts w:ascii="Arial Black" w:hAnsi="Arial Black"/>
          <w:sz w:val="28"/>
          <w:szCs w:val="28"/>
        </w:rPr>
        <w:t>3-92</w:t>
      </w:r>
    </w:p>
    <w:p w14:paraId="3301F3A0" w14:textId="77777777" w:rsidR="008D250F" w:rsidRDefault="008D250F" w:rsidP="00440B47">
      <w:pPr>
        <w:pStyle w:val="NoSpacing"/>
        <w:rPr>
          <w:rFonts w:ascii="Arial Black" w:hAnsi="Arial Black"/>
          <w:sz w:val="28"/>
          <w:szCs w:val="28"/>
        </w:rPr>
      </w:pPr>
    </w:p>
    <w:p w14:paraId="3B82B478" w14:textId="77777777" w:rsidR="008D250F" w:rsidRDefault="008D250F" w:rsidP="008D250F">
      <w:pPr>
        <w:pStyle w:val="NoSpacing"/>
        <w:rPr>
          <w:rFonts w:ascii="Arial Black" w:hAnsi="Arial Black"/>
          <w:sz w:val="28"/>
          <w:szCs w:val="28"/>
        </w:rPr>
      </w:pPr>
      <w:r>
        <w:rPr>
          <w:rFonts w:ascii="Arial Black" w:hAnsi="Arial Black"/>
          <w:sz w:val="28"/>
          <w:szCs w:val="28"/>
        </w:rPr>
        <w:t xml:space="preserve">KY: FED JUDGE ORDERED TO INCREASE SENTENCE – ISIS </w:t>
      </w:r>
    </w:p>
    <w:p w14:paraId="205223A2" w14:textId="77777777" w:rsidR="008D250F" w:rsidRDefault="008D250F" w:rsidP="008D250F">
      <w:pPr>
        <w:pStyle w:val="NoSpacing"/>
        <w:rPr>
          <w:rFonts w:ascii="Arial Black" w:hAnsi="Arial Black"/>
          <w:sz w:val="28"/>
          <w:szCs w:val="28"/>
        </w:rPr>
      </w:pPr>
    </w:p>
    <w:p w14:paraId="0A2DAEA2" w14:textId="77777777" w:rsidR="008D250F" w:rsidRDefault="008D250F" w:rsidP="008D250F">
      <w:pPr>
        <w:pStyle w:val="NoSpacing"/>
      </w:pPr>
      <w:r>
        <w:t xml:space="preserve">On May 13, 2026, in </w:t>
      </w:r>
      <w:r w:rsidRPr="00236973">
        <w:rPr>
          <w:u w:val="single"/>
        </w:rPr>
        <w:t>United States of America v. Mirsad Ramic</w:t>
      </w:r>
      <w:r>
        <w:t xml:space="preserve">, the United States Court of Appeals for the Sixth Circuit (Cincinnati) held (3 to 0) that the Federal District Court judge who presided over his jury trial must resentence the defendant.  Mirsad Ramic, born in Bonia, but moved with his family to Bowling Green, Kentucky, became naturalized U.S. citizen. Less than a year later, he became radicalized; online posts included he hoped President Obama’s teenage daughters would one day be sold as ISIS slaves. He reached out to ISIS, took ISIS training, then traveled to Syria, where he participated in </w:t>
      </w:r>
      <w:r w:rsidRPr="00723923">
        <w:t>the siege of Kobane</w:t>
      </w:r>
      <w:r>
        <w:t xml:space="preserve"> (2014 – 2015) which was being defended by U.S. military – the siege claimed over 100,000 lives. A jury convicted him of providing material support to a terrorist group and receiving military-type training from ISIS. THE COURT WROTE: “</w:t>
      </w:r>
      <w:r w:rsidRPr="005C5091">
        <w:t>For those crimes, Ramic faced an advisory sentence of 360 to 600</w:t>
      </w:r>
      <w:r>
        <w:t xml:space="preserve"> </w:t>
      </w:r>
      <w:r w:rsidRPr="005C5091">
        <w:t xml:space="preserve">months’ imprisonment under the Sentencing Guidelines. But the district court </w:t>
      </w:r>
      <w:r>
        <w:t xml:space="preserve">[Judge </w:t>
      </w:r>
      <w:r w:rsidRPr="00E273CF">
        <w:t>Gregory N. Stivers</w:t>
      </w:r>
      <w:r>
        <w:t xml:space="preserve">] </w:t>
      </w:r>
      <w:r w:rsidRPr="005C5091">
        <w:t>sentenced Ramic</w:t>
      </w:r>
      <w:r>
        <w:t xml:space="preserve"> </w:t>
      </w:r>
      <w:r w:rsidRPr="005C5091">
        <w:t>to only 101 months in prison. Because the district court’s substantial variance is substantively</w:t>
      </w:r>
      <w:r>
        <w:t xml:space="preserve"> </w:t>
      </w:r>
      <w:r w:rsidRPr="005C5091">
        <w:t xml:space="preserve">unreasonable, we vacate his sentence and remand for </w:t>
      </w:r>
      <w:proofErr w:type="gramStart"/>
      <w:r w:rsidRPr="005C5091">
        <w:t>resentencing.</w:t>
      </w:r>
      <w:r>
        <w:t>”</w:t>
      </w:r>
      <w:proofErr w:type="gramEnd"/>
      <w:r>
        <w:t xml:space="preserve">  </w:t>
      </w:r>
      <w:hyperlink r:id="rId641" w:history="1">
        <w:r w:rsidRPr="001B1071">
          <w:rPr>
            <w:rStyle w:val="Hyperlink"/>
          </w:rPr>
          <w:t>https://cases.justia.com/federal/appellate-courts/ca6/25-5471/25-5471-2026-05-13.pdf?ts=1778702434</w:t>
        </w:r>
      </w:hyperlink>
    </w:p>
    <w:p w14:paraId="159139D9" w14:textId="77777777" w:rsidR="008D250F" w:rsidRDefault="008D250F" w:rsidP="008D250F">
      <w:pPr>
        <w:pStyle w:val="NoSpacing"/>
      </w:pPr>
      <w:r>
        <w:t xml:space="preserve"> </w:t>
      </w:r>
    </w:p>
    <w:p w14:paraId="7F64E7C2" w14:textId="77777777" w:rsidR="008D250F" w:rsidRDefault="008D250F" w:rsidP="008D250F">
      <w:pPr>
        <w:pStyle w:val="NoSpacing"/>
      </w:pPr>
      <w:r>
        <w:t xml:space="preserve">THE COURT HELD: </w:t>
      </w:r>
    </w:p>
    <w:p w14:paraId="5D1C0AF1" w14:textId="77777777" w:rsidR="008D250F" w:rsidRDefault="008D250F" w:rsidP="008D250F">
      <w:pPr>
        <w:pStyle w:val="NoSpacing"/>
      </w:pPr>
    </w:p>
    <w:p w14:paraId="17DC96FF" w14:textId="77777777" w:rsidR="008D250F" w:rsidRDefault="008D250F" w:rsidP="008D250F">
      <w:pPr>
        <w:pStyle w:val="NoSpacing"/>
        <w:ind w:left="720"/>
      </w:pPr>
      <w:r>
        <w:t>“Here, the district court didn’t adequately weigh the seriousness of Ramic’s crime, potential sentencing disparities, and the need to protect the public…. Because the district court’s rationale here didn’t justify such a drastic downward variance, we conclude that Ramic’s sentence is substantively unreasonable.</w:t>
      </w:r>
    </w:p>
    <w:p w14:paraId="04996724" w14:textId="77777777" w:rsidR="008D250F" w:rsidRDefault="008D250F" w:rsidP="008D250F">
      <w:pPr>
        <w:pStyle w:val="NoSpacing"/>
      </w:pPr>
    </w:p>
    <w:p w14:paraId="0C1693E4" w14:textId="77777777" w:rsidR="008D250F" w:rsidRDefault="008D250F" w:rsidP="008D250F">
      <w:pPr>
        <w:pStyle w:val="NoSpacing"/>
      </w:pPr>
      <w:r>
        <w:tab/>
        <w:t>***</w:t>
      </w:r>
    </w:p>
    <w:p w14:paraId="59345410" w14:textId="77777777" w:rsidR="008D250F" w:rsidRDefault="008D250F" w:rsidP="008D250F">
      <w:pPr>
        <w:pStyle w:val="NoSpacing"/>
        <w:ind w:firstLine="720"/>
      </w:pPr>
      <w:r>
        <w:t>The district court attempted to justify its sentence in two primary ways. First, it stated</w:t>
      </w:r>
    </w:p>
    <w:p w14:paraId="4789D988" w14:textId="77777777" w:rsidR="008D250F" w:rsidRDefault="008D250F" w:rsidP="008D250F">
      <w:pPr>
        <w:pStyle w:val="NoSpacing"/>
        <w:ind w:firstLine="720"/>
      </w:pPr>
      <w:r>
        <w:t>that Ramic didn’t engage ‘in any acts of terrorism as . . . in a more common sense’</w:t>
      </w:r>
    </w:p>
    <w:p w14:paraId="0E6B0994" w14:textId="77777777" w:rsidR="008D250F" w:rsidRDefault="008D250F" w:rsidP="008D250F">
      <w:pPr>
        <w:pStyle w:val="NoSpacing"/>
        <w:ind w:firstLine="720"/>
      </w:pPr>
      <w:r>
        <w:t>understanding of the term…. It explained, for example, that Ramic hadn’t</w:t>
      </w:r>
    </w:p>
    <w:p w14:paraId="3B5B3E12" w14:textId="77777777" w:rsidR="008D250F" w:rsidRDefault="008D250F" w:rsidP="008D250F">
      <w:pPr>
        <w:pStyle w:val="NoSpacing"/>
        <w:ind w:firstLine="720"/>
      </w:pPr>
      <w:r>
        <w:t>engaged in any ‘random acts of violence directed at innocent populations,’ detonated any</w:t>
      </w:r>
    </w:p>
    <w:p w14:paraId="36690112" w14:textId="77777777" w:rsidR="008D250F" w:rsidRDefault="008D250F" w:rsidP="008D250F">
      <w:pPr>
        <w:pStyle w:val="NoSpacing"/>
        <w:ind w:left="720"/>
      </w:pPr>
      <w:r>
        <w:t>‘</w:t>
      </w:r>
      <w:proofErr w:type="gramStart"/>
      <w:r>
        <w:t>bombs</w:t>
      </w:r>
      <w:proofErr w:type="gramEnd"/>
      <w:r>
        <w:t xml:space="preserve">,’ or inflicted any ‘horrible incidents of gun violence against crowds.’ … Instead, the district court concluded that Ramic was merely a ‘fighter’ and a ‘soldier’ who joined ‘a standard army’ that wanted to ‘require strict adherence to [Islamic] law.’ …  Second, the district court noted that the median sentence for terrorism </w:t>
      </w:r>
      <w:r>
        <w:lastRenderedPageBreak/>
        <w:t>defendants with the same offense level and criminal-history category was only 168 months’ imprisonment. Using that median sentence as a starting point, the district court subtracted the 67 months that Ramic spent in Turkish custody and arrived at a final sentence of 101 months.</w:t>
      </w:r>
    </w:p>
    <w:p w14:paraId="755AE2C8" w14:textId="77777777" w:rsidR="008D250F" w:rsidRDefault="008D250F" w:rsidP="008D250F">
      <w:pPr>
        <w:pStyle w:val="NoSpacing"/>
        <w:ind w:left="720"/>
      </w:pPr>
    </w:p>
    <w:p w14:paraId="3ABB0B4B" w14:textId="77777777" w:rsidR="008D250F" w:rsidRDefault="008D250F" w:rsidP="008D250F">
      <w:pPr>
        <w:pStyle w:val="NoSpacing"/>
        <w:ind w:left="720"/>
      </w:pPr>
      <w:r>
        <w:t>***</w:t>
      </w:r>
    </w:p>
    <w:p w14:paraId="34AD00CE" w14:textId="77777777" w:rsidR="008D250F" w:rsidRDefault="008D250F" w:rsidP="008D250F">
      <w:pPr>
        <w:pStyle w:val="NoSpacing"/>
        <w:ind w:firstLine="720"/>
      </w:pPr>
      <w:r>
        <w:t>In fact, Ramic openly embraced ISIS’s mission to target the United States. For example,</w:t>
      </w:r>
    </w:p>
    <w:p w14:paraId="6C04C064" w14:textId="77777777" w:rsidR="008D250F" w:rsidRDefault="008D250F" w:rsidP="008D250F">
      <w:pPr>
        <w:pStyle w:val="NoSpacing"/>
        <w:ind w:left="720"/>
      </w:pPr>
      <w:r>
        <w:t>he posted on social media that he hoped President Obama’s teenage daughters would one day be sold as ISIS slaves.</w:t>
      </w:r>
    </w:p>
    <w:p w14:paraId="0D55A934" w14:textId="77777777" w:rsidR="008D250F" w:rsidRDefault="008D250F" w:rsidP="008D250F">
      <w:pPr>
        <w:pStyle w:val="NoSpacing"/>
        <w:ind w:left="720"/>
      </w:pPr>
    </w:p>
    <w:p w14:paraId="2A48E085" w14:textId="77777777" w:rsidR="008D250F" w:rsidRDefault="008D250F" w:rsidP="008D250F">
      <w:pPr>
        <w:pStyle w:val="NoSpacing"/>
        <w:ind w:left="720"/>
      </w:pPr>
      <w:r>
        <w:t>***</w:t>
      </w:r>
    </w:p>
    <w:p w14:paraId="48DA23BC" w14:textId="77777777" w:rsidR="008D250F" w:rsidRDefault="008D250F" w:rsidP="008D250F">
      <w:pPr>
        <w:pStyle w:val="NoSpacing"/>
        <w:ind w:left="720"/>
      </w:pPr>
    </w:p>
    <w:p w14:paraId="7399BFD5" w14:textId="77777777" w:rsidR="008D250F" w:rsidRDefault="008D250F" w:rsidP="008D250F">
      <w:pPr>
        <w:pStyle w:val="NoSpacing"/>
        <w:ind w:firstLine="720"/>
      </w:pPr>
      <w:r>
        <w:t>What’s more, the evidence at trial indicated that Ramic fought against American forces in</w:t>
      </w:r>
    </w:p>
    <w:p w14:paraId="6C6134BB" w14:textId="77777777" w:rsidR="008D250F" w:rsidRDefault="008D250F" w:rsidP="008D250F">
      <w:pPr>
        <w:pStyle w:val="NoSpacing"/>
        <w:ind w:firstLine="720"/>
      </w:pPr>
      <w:r>
        <w:t>the siege of Kobane.”</w:t>
      </w:r>
    </w:p>
    <w:p w14:paraId="6830C891" w14:textId="77777777" w:rsidR="008D250F" w:rsidRDefault="008D250F" w:rsidP="008D250F">
      <w:pPr>
        <w:pStyle w:val="NoSpacing"/>
        <w:ind w:firstLine="720"/>
      </w:pPr>
    </w:p>
    <w:p w14:paraId="328B4C67" w14:textId="77777777" w:rsidR="008D250F" w:rsidRPr="0065553D" w:rsidRDefault="008D250F" w:rsidP="008D250F">
      <w:pPr>
        <w:rPr>
          <w:b/>
          <w:bCs/>
        </w:rPr>
      </w:pPr>
      <w:r>
        <w:rPr>
          <w:b/>
        </w:rPr>
        <w:t>Legal lesson learned: 6</w:t>
      </w:r>
      <w:r w:rsidRPr="0024026A">
        <w:rPr>
          <w:b/>
          <w:vertAlign w:val="superscript"/>
        </w:rPr>
        <w:t>th</w:t>
      </w:r>
      <w:r>
        <w:rPr>
          <w:b/>
        </w:rPr>
        <w:t xml:space="preserve"> Circuit decision very helpful great precedence for other courts reviewing U.S. Government appeals of short sentences of terrorists. </w:t>
      </w:r>
    </w:p>
    <w:p w14:paraId="2F625A47" w14:textId="77777777" w:rsidR="008D250F" w:rsidRDefault="008D250F" w:rsidP="002A66F2">
      <w:pPr>
        <w:pStyle w:val="NoSpacing"/>
        <w:rPr>
          <w:rFonts w:ascii="Arial Black" w:hAnsi="Arial Black"/>
          <w:sz w:val="28"/>
          <w:szCs w:val="28"/>
        </w:rPr>
      </w:pPr>
    </w:p>
    <w:p w14:paraId="638A86AE" w14:textId="77777777" w:rsidR="008D250F" w:rsidRDefault="008D250F" w:rsidP="002A66F2">
      <w:pPr>
        <w:pStyle w:val="NoSpacing"/>
        <w:rPr>
          <w:rFonts w:ascii="Arial Black" w:hAnsi="Arial Black"/>
          <w:sz w:val="28"/>
          <w:szCs w:val="28"/>
        </w:rPr>
      </w:pPr>
    </w:p>
    <w:p w14:paraId="2936EF2F" w14:textId="77777777" w:rsidR="008D250F" w:rsidRDefault="008D250F" w:rsidP="002A66F2">
      <w:pPr>
        <w:pStyle w:val="NoSpacing"/>
        <w:rPr>
          <w:rFonts w:ascii="Arial Black" w:hAnsi="Arial Black"/>
          <w:sz w:val="28"/>
          <w:szCs w:val="28"/>
        </w:rPr>
      </w:pPr>
    </w:p>
    <w:p w14:paraId="1EFEDF44" w14:textId="545DB007" w:rsidR="002A66F2" w:rsidRDefault="002A66F2" w:rsidP="002A66F2">
      <w:pPr>
        <w:pStyle w:val="NoSpacing"/>
        <w:rPr>
          <w:rFonts w:ascii="Arial Black" w:hAnsi="Arial Black"/>
          <w:sz w:val="28"/>
          <w:szCs w:val="28"/>
        </w:rPr>
      </w:pPr>
      <w:r>
        <w:rPr>
          <w:rFonts w:ascii="Arial Black" w:hAnsi="Arial Black"/>
          <w:sz w:val="28"/>
          <w:szCs w:val="28"/>
        </w:rPr>
        <w:t>3-</w:t>
      </w:r>
      <w:r w:rsidR="00094264">
        <w:rPr>
          <w:rFonts w:ascii="Arial Black" w:hAnsi="Arial Black"/>
          <w:sz w:val="28"/>
          <w:szCs w:val="28"/>
        </w:rPr>
        <w:t>91</w:t>
      </w:r>
    </w:p>
    <w:p w14:paraId="60BF1E6B" w14:textId="77777777" w:rsidR="002A66F2" w:rsidRDefault="002A66F2" w:rsidP="00440B47">
      <w:pPr>
        <w:pStyle w:val="NoSpacing"/>
        <w:rPr>
          <w:rFonts w:ascii="Arial Black" w:hAnsi="Arial Black"/>
          <w:sz w:val="28"/>
          <w:szCs w:val="28"/>
        </w:rPr>
      </w:pPr>
    </w:p>
    <w:p w14:paraId="64CAF135" w14:textId="77777777" w:rsidR="007328CD" w:rsidRDefault="007328CD" w:rsidP="007328CD">
      <w:pPr>
        <w:pStyle w:val="NoSpacing"/>
        <w:rPr>
          <w:rFonts w:ascii="Arial Black" w:hAnsi="Arial Black"/>
          <w:b/>
          <w:sz w:val="28"/>
          <w:szCs w:val="28"/>
        </w:rPr>
      </w:pPr>
      <w:r>
        <w:rPr>
          <w:rFonts w:ascii="Arial Black" w:hAnsi="Arial Black"/>
          <w:b/>
          <w:sz w:val="28"/>
          <w:szCs w:val="28"/>
        </w:rPr>
        <w:t>U.S. SUP. CT – TALIBAN BOMB - SOLDIER SUE CONTRACTOR</w:t>
      </w:r>
    </w:p>
    <w:p w14:paraId="58945B9D" w14:textId="77777777" w:rsidR="007328CD" w:rsidRDefault="007328CD" w:rsidP="007328CD">
      <w:pPr>
        <w:pStyle w:val="NoSpacing"/>
        <w:rPr>
          <w:rFonts w:ascii="Arial Black" w:hAnsi="Arial Black"/>
          <w:b/>
          <w:sz w:val="28"/>
          <w:szCs w:val="28"/>
        </w:rPr>
      </w:pPr>
    </w:p>
    <w:p w14:paraId="4E8B7C50" w14:textId="77777777" w:rsidR="007328CD" w:rsidRDefault="007328CD" w:rsidP="007328CD">
      <w:pPr>
        <w:pStyle w:val="NoSpacing"/>
        <w:rPr>
          <w:bCs/>
        </w:rPr>
      </w:pPr>
      <w:r>
        <w:t xml:space="preserve">On April 22, 2026, in </w:t>
      </w:r>
      <w:r w:rsidRPr="004241FD">
        <w:rPr>
          <w:u w:val="single"/>
        </w:rPr>
        <w:t xml:space="preserve">Winston T. </w:t>
      </w:r>
      <w:proofErr w:type="spellStart"/>
      <w:r w:rsidRPr="004241FD">
        <w:rPr>
          <w:u w:val="single"/>
        </w:rPr>
        <w:t>Hencely</w:t>
      </w:r>
      <w:proofErr w:type="spellEnd"/>
      <w:r w:rsidRPr="004241FD">
        <w:rPr>
          <w:u w:val="single"/>
        </w:rPr>
        <w:t xml:space="preserve"> v. Fluor Corp, et al</w:t>
      </w:r>
      <w:r>
        <w:t xml:space="preserve">., the U.S. Supreme Court held (6 to 3) that former U.S. Army </w:t>
      </w:r>
      <w:r w:rsidRPr="000A48D2">
        <w:t xml:space="preserve">specialist Winston T. </w:t>
      </w:r>
      <w:proofErr w:type="spellStart"/>
      <w:r w:rsidRPr="000A48D2">
        <w:t>Hencely</w:t>
      </w:r>
      <w:proofErr w:type="spellEnd"/>
      <w:r w:rsidRPr="000A48D2">
        <w:t xml:space="preserve">, </w:t>
      </w:r>
      <w:r>
        <w:t xml:space="preserve">can sue a military contractor under South Carolina state law for negligent supervision of an Afghanistan employee at Bagram Airbase.  </w:t>
      </w:r>
      <w:proofErr w:type="spellStart"/>
      <w:r>
        <w:t>Hencely</w:t>
      </w:r>
      <w:proofErr w:type="spellEnd"/>
      <w:r>
        <w:t xml:space="preserve">, age 20, </w:t>
      </w:r>
      <w:r w:rsidRPr="000A48D2">
        <w:t>suffered a fractured skull and brain</w:t>
      </w:r>
      <w:r>
        <w:t xml:space="preserve"> </w:t>
      </w:r>
      <w:r w:rsidRPr="000A48D2">
        <w:t xml:space="preserve">injuries </w:t>
      </w:r>
      <w:r w:rsidRPr="00074997">
        <w:t xml:space="preserve">on Veteran’s Day 2016 </w:t>
      </w:r>
      <w:r>
        <w:t xml:space="preserve">when the Afghan activated a suicide vest, which </w:t>
      </w:r>
      <w:r w:rsidRPr="00C41DBA">
        <w:t>killed 5 and</w:t>
      </w:r>
      <w:r>
        <w:t xml:space="preserve"> </w:t>
      </w:r>
      <w:r w:rsidRPr="00C41DBA">
        <w:t>wounded 17</w:t>
      </w:r>
      <w:r>
        <w:t xml:space="preserve">. </w:t>
      </w:r>
      <w:proofErr w:type="spellStart"/>
      <w:r>
        <w:t>Hencely</w:t>
      </w:r>
      <w:proofErr w:type="spellEnd"/>
      <w:r>
        <w:t xml:space="preserve"> heroically saved many more because the Afghan employee was trying to reach a large crowd at </w:t>
      </w:r>
      <w:r w:rsidRPr="00DE617A">
        <w:t>Veteran’s Day</w:t>
      </w:r>
      <w:r>
        <w:t xml:space="preserve"> </w:t>
      </w:r>
      <w:r w:rsidRPr="00DE617A">
        <w:t>5K race</w:t>
      </w:r>
      <w:r>
        <w:t xml:space="preserve"> at the airfield</w:t>
      </w:r>
      <w:r w:rsidRPr="00DE617A">
        <w:t>.</w:t>
      </w:r>
      <w:r>
        <w:t xml:space="preserve"> The Federal Government has sovereign immunity, so </w:t>
      </w:r>
      <w:proofErr w:type="spellStart"/>
      <w:r>
        <w:t>Hencely</w:t>
      </w:r>
      <w:proofErr w:type="spellEnd"/>
      <w:r>
        <w:t xml:space="preserve"> cannot sue the government for alleged negligence in conducting background checks under its </w:t>
      </w:r>
      <w:r w:rsidRPr="008575E7">
        <w:t>“Afghan First” program</w:t>
      </w:r>
      <w:r>
        <w:t xml:space="preserve"> at the base where military contractors like Fluor were directed to hire Afghan employees (government knew he was former Taliban).  Fluor hired him to work in n</w:t>
      </w:r>
      <w:r w:rsidRPr="001E5CDD">
        <w:t>ontactical vehicle yard</w:t>
      </w:r>
      <w:r>
        <w:t xml:space="preserve">, and plaintiff alleges in a lawsuit brought in Federal court in South Carolina that under state law Fluor was negligent in supervising and managing the Afghan’s movements around the base. The U.S. District Court judge in South Carolina dismissed the lawsuit; </w:t>
      </w:r>
      <w:r w:rsidRPr="00703F6D">
        <w:t xml:space="preserve">military contractors </w:t>
      </w:r>
      <w:r>
        <w:t xml:space="preserve">under prior case law have immunity </w:t>
      </w:r>
      <w:r w:rsidRPr="00703F6D">
        <w:t>arising out of combatant</w:t>
      </w:r>
      <w:r>
        <w:t>.  The U.S. Court of Appeals for 4</w:t>
      </w:r>
      <w:r w:rsidRPr="00726AA2">
        <w:rPr>
          <w:vertAlign w:val="superscript"/>
        </w:rPr>
        <w:t>th</w:t>
      </w:r>
      <w:r>
        <w:t xml:space="preserve"> Circuit (Richmond, VA) agreed. </w:t>
      </w:r>
      <w:hyperlink r:id="rId642" w:history="1">
        <w:r w:rsidRPr="00595B37">
          <w:rPr>
            <w:rStyle w:val="Hyperlink"/>
            <w:b/>
          </w:rPr>
          <w:t>https://www.supremecourt.gov/opinions/25pdf/24-924_3d9g.pdf</w:t>
        </w:r>
      </w:hyperlink>
    </w:p>
    <w:p w14:paraId="582CE094" w14:textId="77777777" w:rsidR="007328CD" w:rsidRDefault="007328CD" w:rsidP="007328CD">
      <w:pPr>
        <w:pStyle w:val="NoSpacing"/>
        <w:rPr>
          <w:bCs/>
        </w:rPr>
      </w:pPr>
    </w:p>
    <w:p w14:paraId="4CB06D99" w14:textId="77777777" w:rsidR="007328CD" w:rsidRDefault="007328CD" w:rsidP="007328CD">
      <w:pPr>
        <w:pStyle w:val="NoSpacing"/>
        <w:rPr>
          <w:bCs/>
        </w:rPr>
      </w:pPr>
    </w:p>
    <w:p w14:paraId="27696CA3" w14:textId="77777777" w:rsidR="007328CD" w:rsidRDefault="007328CD" w:rsidP="007328CD">
      <w:pPr>
        <w:pStyle w:val="NoSpacing"/>
        <w:rPr>
          <w:bCs/>
        </w:rPr>
      </w:pPr>
      <w:r w:rsidRPr="00703F6D">
        <w:t xml:space="preserve"> </w:t>
      </w:r>
      <w:r>
        <w:t>THE COURT HELD (opinion by Justice Clarence Thomas):</w:t>
      </w:r>
    </w:p>
    <w:p w14:paraId="12796BD4" w14:textId="77777777" w:rsidR="007328CD" w:rsidRDefault="007328CD" w:rsidP="007328CD">
      <w:pPr>
        <w:pStyle w:val="NoSpacing"/>
        <w:rPr>
          <w:bCs/>
        </w:rPr>
      </w:pPr>
    </w:p>
    <w:p w14:paraId="572A69D9" w14:textId="77777777" w:rsidR="007328CD" w:rsidRDefault="007328CD" w:rsidP="007328CD">
      <w:pPr>
        <w:pStyle w:val="NoSpacing"/>
        <w:ind w:left="720"/>
        <w:rPr>
          <w:bCs/>
        </w:rPr>
      </w:pPr>
      <w:r>
        <w:t>“</w:t>
      </w:r>
      <w:r w:rsidRPr="001E25D7">
        <w:t xml:space="preserve">Nayeb </w:t>
      </w:r>
      <w:r>
        <w:t xml:space="preserve">[the bomber] </w:t>
      </w:r>
      <w:r w:rsidRPr="001E25D7">
        <w:t xml:space="preserve">worked as a </w:t>
      </w:r>
      <w:r>
        <w:t>‘</w:t>
      </w:r>
      <w:r w:rsidRPr="001E25D7">
        <w:t>Local National</w:t>
      </w:r>
      <w:r>
        <w:t>’</w:t>
      </w:r>
      <w:r w:rsidRPr="001E25D7">
        <w:t xml:space="preserve"> contractor at</w:t>
      </w:r>
      <w:r>
        <w:t xml:space="preserve"> </w:t>
      </w:r>
      <w:r w:rsidRPr="001E25D7">
        <w:t xml:space="preserve">Bagram as part of the military’s </w:t>
      </w:r>
      <w:r>
        <w:t>‘</w:t>
      </w:r>
      <w:r w:rsidRPr="001E25D7">
        <w:t>Afghan First</w:t>
      </w:r>
      <w:r>
        <w:t>’</w:t>
      </w:r>
      <w:r w:rsidRPr="001E25D7">
        <w:t xml:space="preserve"> program</w:t>
      </w:r>
      <w:r>
        <w:t xml:space="preserve">…. </w:t>
      </w:r>
      <w:r w:rsidRPr="001E25D7">
        <w:t xml:space="preserve"> That program sought to stimulate the</w:t>
      </w:r>
      <w:r>
        <w:t xml:space="preserve"> </w:t>
      </w:r>
      <w:r w:rsidRPr="001E25D7">
        <w:t>local economy and stabilize the Afghan Government by requiring contractors to hire Afghans “‘to the maximum extent possible.’</w:t>
      </w:r>
      <w:r>
        <w:t xml:space="preserve"> … </w:t>
      </w:r>
      <w:r w:rsidRPr="001E25D7">
        <w:t>The military interviewed and</w:t>
      </w:r>
      <w:r>
        <w:t xml:space="preserve"> </w:t>
      </w:r>
      <w:r w:rsidRPr="001E25D7">
        <w:t>screened potential employees. During this process, it</w:t>
      </w:r>
      <w:r>
        <w:t xml:space="preserve"> </w:t>
      </w:r>
      <w:r w:rsidRPr="001E25D7">
        <w:t>learned that Nayeb had been involved with the Taliban in</w:t>
      </w:r>
      <w:r>
        <w:t xml:space="preserve"> </w:t>
      </w:r>
      <w:r w:rsidRPr="001E25D7">
        <w:t>the past. Nonetheless, it approved him for employment.</w:t>
      </w:r>
    </w:p>
    <w:p w14:paraId="112B8EC3" w14:textId="77777777" w:rsidR="007328CD" w:rsidRDefault="007328CD" w:rsidP="007328CD">
      <w:pPr>
        <w:pStyle w:val="NoSpacing"/>
        <w:ind w:left="720"/>
        <w:rPr>
          <w:bCs/>
        </w:rPr>
      </w:pPr>
    </w:p>
    <w:p w14:paraId="4F109C04" w14:textId="77777777" w:rsidR="007328CD" w:rsidRDefault="007328CD" w:rsidP="007328CD">
      <w:pPr>
        <w:pStyle w:val="NoSpacing"/>
        <w:ind w:left="720"/>
        <w:rPr>
          <w:bCs/>
        </w:rPr>
      </w:pPr>
      <w:r>
        <w:t>***</w:t>
      </w:r>
    </w:p>
    <w:p w14:paraId="4B3E22BD" w14:textId="77777777" w:rsidR="007328CD" w:rsidRPr="006A68DB" w:rsidRDefault="007328CD" w:rsidP="007328CD">
      <w:pPr>
        <w:pStyle w:val="NoSpacing"/>
        <w:ind w:left="720"/>
        <w:rPr>
          <w:bCs/>
        </w:rPr>
      </w:pPr>
      <w:r w:rsidRPr="006A68DB">
        <w:t xml:space="preserve">The Army’s investigation found Fluor primarily responsible for the attack. Interviews of Fluor personnel </w:t>
      </w:r>
      <w:r>
        <w:t>‘</w:t>
      </w:r>
      <w:r w:rsidRPr="006A68DB">
        <w:t>reveal[ed] a poor understanding by Fluor supervisors as to</w:t>
      </w:r>
      <w:r>
        <w:t xml:space="preserve"> </w:t>
      </w:r>
      <w:r w:rsidRPr="006A68DB">
        <w:t>who was responsible for Nayeb’s supervision</w:t>
      </w:r>
      <w:r>
        <w:t>’</w:t>
      </w:r>
      <w:r w:rsidRPr="006A68DB">
        <w:t xml:space="preserve"> and </w:t>
      </w:r>
      <w:r>
        <w:lastRenderedPageBreak/>
        <w:t>‘</w:t>
      </w:r>
      <w:r w:rsidRPr="006A68DB">
        <w:t>an unreasonable complacency by Fluor to ensure Local National</w:t>
      </w:r>
      <w:r>
        <w:t xml:space="preserve"> </w:t>
      </w:r>
      <w:r w:rsidRPr="006A68DB">
        <w:t xml:space="preserve">employees were properly </w:t>
      </w:r>
      <w:proofErr w:type="gramStart"/>
      <w:r w:rsidRPr="006A68DB">
        <w:t>supervised at all times</w:t>
      </w:r>
      <w:proofErr w:type="gramEnd"/>
      <w:r w:rsidRPr="006A68DB">
        <w:t>, as re-</w:t>
      </w:r>
    </w:p>
    <w:p w14:paraId="29C78BF8" w14:textId="77777777" w:rsidR="007328CD" w:rsidRDefault="007328CD" w:rsidP="007328CD">
      <w:pPr>
        <w:pStyle w:val="NoSpacing"/>
        <w:ind w:left="720"/>
        <w:rPr>
          <w:bCs/>
        </w:rPr>
      </w:pPr>
      <w:r w:rsidRPr="006A68DB">
        <w:t>quired by their contract.</w:t>
      </w:r>
      <w:r>
        <w:t>’</w:t>
      </w:r>
    </w:p>
    <w:p w14:paraId="675184BB" w14:textId="77777777" w:rsidR="007328CD" w:rsidRDefault="007328CD" w:rsidP="007328CD">
      <w:pPr>
        <w:pStyle w:val="NoSpacing"/>
        <w:ind w:left="720"/>
        <w:rPr>
          <w:bCs/>
        </w:rPr>
      </w:pPr>
    </w:p>
    <w:p w14:paraId="3D5DD965" w14:textId="77777777" w:rsidR="007328CD" w:rsidRDefault="007328CD" w:rsidP="007328CD">
      <w:pPr>
        <w:pStyle w:val="NoSpacing"/>
        <w:ind w:left="720"/>
        <w:rPr>
          <w:bCs/>
        </w:rPr>
      </w:pPr>
      <w:r>
        <w:t>***</w:t>
      </w:r>
    </w:p>
    <w:p w14:paraId="5469BAE7" w14:textId="77777777" w:rsidR="007328CD" w:rsidRDefault="007328CD" w:rsidP="007328CD">
      <w:pPr>
        <w:pStyle w:val="NoSpacing"/>
        <w:rPr>
          <w:bCs/>
        </w:rPr>
      </w:pPr>
    </w:p>
    <w:p w14:paraId="77340722" w14:textId="77777777" w:rsidR="007328CD" w:rsidRDefault="007328CD" w:rsidP="007328CD">
      <w:pPr>
        <w:pStyle w:val="NoSpacing"/>
        <w:ind w:left="720"/>
        <w:rPr>
          <w:bCs/>
        </w:rPr>
      </w:pPr>
      <w:r w:rsidRPr="00C8739E">
        <w:t xml:space="preserve">The Fourth Circuit’s decision held </w:t>
      </w:r>
      <w:proofErr w:type="spellStart"/>
      <w:r w:rsidRPr="00C8739E">
        <w:t>Hencely’s</w:t>
      </w:r>
      <w:proofErr w:type="spellEnd"/>
      <w:r w:rsidRPr="00C8739E">
        <w:t xml:space="preserve"> claims</w:t>
      </w:r>
      <w:r>
        <w:t xml:space="preserve"> </w:t>
      </w:r>
      <w:r w:rsidRPr="00C8739E">
        <w:t>preempted even though the conduct complained of was neither ordered nor authorized by the Federal Government.</w:t>
      </w:r>
      <w:r>
        <w:t xml:space="preserve"> </w:t>
      </w:r>
      <w:r w:rsidRPr="00C8739E">
        <w:t xml:space="preserve">No provision of the Constitution and no federal statute </w:t>
      </w:r>
      <w:proofErr w:type="gramStart"/>
      <w:r w:rsidRPr="00C8739E">
        <w:t>justifies</w:t>
      </w:r>
      <w:proofErr w:type="gramEnd"/>
      <w:r w:rsidRPr="00C8739E">
        <w:t xml:space="preserve"> that preemption of the State’s ordinary authority over</w:t>
      </w:r>
      <w:r>
        <w:t xml:space="preserve"> </w:t>
      </w:r>
      <w:r w:rsidRPr="00C8739E">
        <w:t>tort suits. Nor does any precedent of this Court command</w:t>
      </w:r>
      <w:r>
        <w:t xml:space="preserve"> </w:t>
      </w:r>
      <w:r w:rsidRPr="00C8739E">
        <w:t>such a result. Therefore, we vacate the judgment of the</w:t>
      </w:r>
      <w:r>
        <w:t xml:space="preserve"> </w:t>
      </w:r>
      <w:r w:rsidRPr="00C8739E">
        <w:t xml:space="preserve">Fourth Circuit and </w:t>
      </w:r>
      <w:proofErr w:type="gramStart"/>
      <w:r w:rsidRPr="00C8739E">
        <w:t>remand</w:t>
      </w:r>
      <w:proofErr w:type="gramEnd"/>
      <w:r w:rsidRPr="00C8739E">
        <w:t xml:space="preserve"> the case for further proceedings</w:t>
      </w:r>
      <w:r>
        <w:t xml:space="preserve"> </w:t>
      </w:r>
      <w:r w:rsidRPr="00C8739E">
        <w:t>consistent with this opinion.</w:t>
      </w:r>
    </w:p>
    <w:p w14:paraId="22028DAD" w14:textId="77777777" w:rsidR="007328CD" w:rsidRDefault="007328CD" w:rsidP="007328CD">
      <w:pPr>
        <w:pStyle w:val="NoSpacing"/>
        <w:rPr>
          <w:bCs/>
        </w:rPr>
      </w:pPr>
    </w:p>
    <w:p w14:paraId="5701F618" w14:textId="77777777" w:rsidR="007328CD" w:rsidRDefault="007328CD" w:rsidP="007328CD">
      <w:pPr>
        <w:pStyle w:val="NoSpacing"/>
        <w:rPr>
          <w:b/>
        </w:rPr>
      </w:pPr>
    </w:p>
    <w:p w14:paraId="014AE52B" w14:textId="77777777" w:rsidR="007328CD" w:rsidRDefault="007328CD" w:rsidP="007328CD">
      <w:pPr>
        <w:pStyle w:val="NoSpacing"/>
      </w:pPr>
      <w:r w:rsidRPr="00927246">
        <w:t>ALITO, J., dissenting</w:t>
      </w:r>
    </w:p>
    <w:p w14:paraId="31464C0F" w14:textId="77777777" w:rsidR="007328CD" w:rsidRPr="00637A04" w:rsidRDefault="007328CD" w:rsidP="007328CD">
      <w:pPr>
        <w:pStyle w:val="NoSpacing"/>
      </w:pPr>
    </w:p>
    <w:p w14:paraId="70E0A015" w14:textId="77777777" w:rsidR="007328CD" w:rsidRDefault="007328CD" w:rsidP="007328CD">
      <w:pPr>
        <w:pStyle w:val="NoSpacing"/>
        <w:ind w:left="720"/>
      </w:pPr>
      <w:r>
        <w:t>“</w:t>
      </w:r>
      <w:r w:rsidRPr="00637A04">
        <w:t>Among those injured when Nayeb detonated his bomb</w:t>
      </w:r>
      <w:r>
        <w:t xml:space="preserve"> </w:t>
      </w:r>
      <w:r w:rsidRPr="00637A04">
        <w:t>was petitioner, former Army Specialist Winston Tyler</w:t>
      </w:r>
      <w:r>
        <w:t xml:space="preserve"> </w:t>
      </w:r>
      <w:r w:rsidRPr="00637A04">
        <w:t>Hencely, who suffered severe and permanent injuries.</w:t>
      </w:r>
      <w:r>
        <w:t xml:space="preserve"> </w:t>
      </w:r>
      <w:r w:rsidRPr="00637A04">
        <w:t>Barred by sovereign immunity from suing the Federal Government, petitioner brought this diversity suit against</w:t>
      </w:r>
      <w:r>
        <w:t xml:space="preserve"> </w:t>
      </w:r>
      <w:r w:rsidRPr="00637A04">
        <w:t>Fluor and asserted tort claims under South Carolina law.</w:t>
      </w:r>
      <w:r>
        <w:t xml:space="preserve"> </w:t>
      </w:r>
      <w:r w:rsidRPr="00637A04">
        <w:t>Like all members of the military wounded in the service of</w:t>
      </w:r>
      <w:r>
        <w:t xml:space="preserve"> </w:t>
      </w:r>
      <w:r w:rsidRPr="00637A04">
        <w:t>our country, petitioner deserves a full measure of support</w:t>
      </w:r>
      <w:r>
        <w:t xml:space="preserve"> </w:t>
      </w:r>
      <w:r w:rsidRPr="00637A04">
        <w:t>from the American people, who owe him a debt that can</w:t>
      </w:r>
      <w:r>
        <w:t xml:space="preserve"> </w:t>
      </w:r>
      <w:r w:rsidRPr="00637A04">
        <w:t>never be fully repaid. But this state-law tort suit is not the</w:t>
      </w:r>
      <w:r>
        <w:t xml:space="preserve"> </w:t>
      </w:r>
      <w:r w:rsidRPr="00637A04">
        <w:t>way to give petitioner what he is due</w:t>
      </w:r>
      <w:r>
        <w:t>.</w:t>
      </w:r>
    </w:p>
    <w:p w14:paraId="746A39A7" w14:textId="77777777" w:rsidR="007328CD" w:rsidRDefault="007328CD" w:rsidP="007328CD">
      <w:pPr>
        <w:pStyle w:val="NoSpacing"/>
        <w:ind w:left="720"/>
      </w:pPr>
    </w:p>
    <w:p w14:paraId="2A32B32E" w14:textId="77777777" w:rsidR="007328CD" w:rsidRDefault="007328CD" w:rsidP="007328CD">
      <w:pPr>
        <w:pStyle w:val="NoSpacing"/>
      </w:pPr>
    </w:p>
    <w:p w14:paraId="7610BAC2" w14:textId="77777777" w:rsidR="007328CD" w:rsidRDefault="007328CD" w:rsidP="007328CD">
      <w:pPr>
        <w:pStyle w:val="NoSpacing"/>
        <w:ind w:left="720"/>
      </w:pPr>
      <w:r>
        <w:t>***</w:t>
      </w:r>
    </w:p>
    <w:p w14:paraId="7AD99684" w14:textId="77777777" w:rsidR="007328CD" w:rsidRDefault="007328CD" w:rsidP="007328CD">
      <w:pPr>
        <w:pStyle w:val="NoSpacing"/>
        <w:ind w:left="720"/>
      </w:pPr>
    </w:p>
    <w:p w14:paraId="0870317B" w14:textId="77777777" w:rsidR="007328CD" w:rsidRDefault="007328CD" w:rsidP="007328CD">
      <w:pPr>
        <w:pStyle w:val="NoSpacing"/>
        <w:ind w:left="720"/>
      </w:pPr>
      <w:r>
        <w:t>In sum, we have long recognized that the Constitution itself may demand preemption when a state law intrudes upon an area of exclusive federal authority. And because the Constitution gives the Federal Government exclusive authority over foreign affairs and the conduct of wars, federal law preempts all state law that substantially interferes with the Government’s exercise of those powers.”</w:t>
      </w:r>
    </w:p>
    <w:p w14:paraId="5326E1F9" w14:textId="77777777" w:rsidR="007328CD" w:rsidRDefault="007328CD" w:rsidP="007328CD">
      <w:pPr>
        <w:pStyle w:val="NoSpacing"/>
        <w:ind w:left="720"/>
      </w:pPr>
    </w:p>
    <w:p w14:paraId="15B7E055" w14:textId="77777777" w:rsidR="007328CD" w:rsidRPr="00137F48" w:rsidRDefault="007328CD" w:rsidP="007328CD">
      <w:pPr>
        <w:pStyle w:val="NoSpacing"/>
        <w:rPr>
          <w:b/>
          <w:bCs/>
        </w:rPr>
      </w:pPr>
      <w:r>
        <w:rPr>
          <w:b/>
        </w:rPr>
        <w:t xml:space="preserve">Legal lesson learned:  The plaintiff suffered terrible, </w:t>
      </w:r>
      <w:proofErr w:type="spellStart"/>
      <w:proofErr w:type="gramStart"/>
      <w:r>
        <w:rPr>
          <w:b/>
        </w:rPr>
        <w:t>life long</w:t>
      </w:r>
      <w:proofErr w:type="spellEnd"/>
      <w:proofErr w:type="gramEnd"/>
      <w:r>
        <w:rPr>
          <w:b/>
        </w:rPr>
        <w:t xml:space="preserve"> injuries; he has now been given opportunity to seek damages from a military contractor. </w:t>
      </w:r>
    </w:p>
    <w:p w14:paraId="4A25CC4F" w14:textId="77777777" w:rsidR="007328CD" w:rsidRDefault="007328CD" w:rsidP="007328CD">
      <w:pPr>
        <w:pStyle w:val="NoSpacing"/>
      </w:pPr>
    </w:p>
    <w:p w14:paraId="271BCBB7" w14:textId="77777777" w:rsidR="007328CD" w:rsidRDefault="007328CD" w:rsidP="007328CD">
      <w:pPr>
        <w:pStyle w:val="NoSpacing"/>
        <w:rPr>
          <w:bCs/>
        </w:rPr>
      </w:pPr>
      <w:r>
        <w:rPr>
          <w:b/>
        </w:rPr>
        <w:tab/>
        <w:t xml:space="preserve">Note: </w:t>
      </w:r>
      <w:r>
        <w:t xml:space="preserve">Bagram Airbase was a very dangerous place [from Dissenting Opinion]: </w:t>
      </w:r>
    </w:p>
    <w:p w14:paraId="7062FD39" w14:textId="77777777" w:rsidR="007328CD" w:rsidRDefault="007328CD" w:rsidP="007328CD">
      <w:pPr>
        <w:pStyle w:val="NoSpacing"/>
        <w:ind w:left="720"/>
        <w:rPr>
          <w:b/>
        </w:rPr>
      </w:pPr>
      <w:r>
        <w:t>“In February 2007, a suicide bombing on the base killed 23 and injured 20 more. A June 2009 rocket attack killed two soldiers and injured at least six others. In May 2010, insurgents wearing U. S. Army uniforms killed an American contractor and wounded nine servicemembers. A November 2013 rocket attack killed two civilian contractors, and a December 2015 suicide bombing killed six American service-members.”</w:t>
      </w:r>
    </w:p>
    <w:p w14:paraId="20997A6E" w14:textId="77777777" w:rsidR="007328CD" w:rsidRDefault="007328CD" w:rsidP="007328CD">
      <w:pPr>
        <w:pStyle w:val="NoSpacing"/>
        <w:rPr>
          <w:bCs/>
        </w:rPr>
      </w:pPr>
    </w:p>
    <w:p w14:paraId="46E1DE58" w14:textId="77777777" w:rsidR="007328CD" w:rsidRDefault="007328CD" w:rsidP="00CC37FA">
      <w:pPr>
        <w:pStyle w:val="NoSpacing"/>
        <w:rPr>
          <w:rFonts w:ascii="Arial Black" w:hAnsi="Arial Black"/>
          <w:sz w:val="28"/>
          <w:szCs w:val="28"/>
        </w:rPr>
      </w:pPr>
    </w:p>
    <w:p w14:paraId="6F1BE1CE" w14:textId="0322CA85" w:rsidR="002A66F2" w:rsidRDefault="002A66F2" w:rsidP="002A66F2">
      <w:pPr>
        <w:pStyle w:val="NoSpacing"/>
        <w:rPr>
          <w:rFonts w:ascii="Arial Black" w:hAnsi="Arial Black"/>
          <w:sz w:val="28"/>
          <w:szCs w:val="28"/>
        </w:rPr>
      </w:pPr>
      <w:r>
        <w:rPr>
          <w:rFonts w:ascii="Arial Black" w:hAnsi="Arial Black"/>
          <w:sz w:val="28"/>
          <w:szCs w:val="28"/>
        </w:rPr>
        <w:t>3-90</w:t>
      </w:r>
    </w:p>
    <w:p w14:paraId="7CEB6F5B" w14:textId="77777777" w:rsidR="002A66F2" w:rsidRDefault="002A66F2" w:rsidP="002A66F2">
      <w:pPr>
        <w:pStyle w:val="NoSpacing"/>
        <w:rPr>
          <w:rFonts w:ascii="Arial Black" w:hAnsi="Arial Black"/>
          <w:b/>
          <w:sz w:val="28"/>
          <w:szCs w:val="28"/>
        </w:rPr>
      </w:pPr>
    </w:p>
    <w:p w14:paraId="35914F7F" w14:textId="531F9030" w:rsidR="002A66F2" w:rsidRPr="00DD0E3B" w:rsidRDefault="002A66F2" w:rsidP="002A66F2">
      <w:pPr>
        <w:pStyle w:val="NoSpacing"/>
        <w:rPr>
          <w:rFonts w:ascii="Arial Black" w:hAnsi="Arial Black"/>
          <w:b/>
          <w:sz w:val="28"/>
          <w:szCs w:val="28"/>
        </w:rPr>
      </w:pPr>
      <w:r>
        <w:rPr>
          <w:rFonts w:ascii="Arial Black" w:hAnsi="Arial Black"/>
          <w:b/>
          <w:sz w:val="28"/>
          <w:szCs w:val="28"/>
        </w:rPr>
        <w:t>NY: IRAN LIABLE - FF DIED CANCER - 9/11 – $7 MILLION</w:t>
      </w:r>
    </w:p>
    <w:p w14:paraId="22A39461" w14:textId="77777777" w:rsidR="002A66F2" w:rsidRDefault="002A66F2" w:rsidP="002A66F2">
      <w:pPr>
        <w:pStyle w:val="NoSpacing"/>
        <w:rPr>
          <w:b/>
        </w:rPr>
      </w:pPr>
    </w:p>
    <w:p w14:paraId="78800D86" w14:textId="77777777" w:rsidR="002A66F2" w:rsidRDefault="002A66F2" w:rsidP="002A66F2">
      <w:r>
        <w:t xml:space="preserve">On March 17, 2026, </w:t>
      </w:r>
      <w:r w:rsidRPr="00C777B2">
        <w:rPr>
          <w:u w:val="single"/>
        </w:rPr>
        <w:t xml:space="preserve">In </w:t>
      </w:r>
      <w:r>
        <w:rPr>
          <w:u w:val="single"/>
        </w:rPr>
        <w:t>R</w:t>
      </w:r>
      <w:r w:rsidRPr="00C777B2">
        <w:rPr>
          <w:u w:val="single"/>
        </w:rPr>
        <w:t>e Terrorist Attacks on September 11, 2001; Knight et al v. Islamic Republic of Iran</w:t>
      </w:r>
      <w:r w:rsidRPr="00C777B2">
        <w:t xml:space="preserve">, </w:t>
      </w:r>
      <w:r>
        <w:t xml:space="preserve">U.S. District Court Judge George B. Daniels, United States District Court for the Southern District of New York, held that plaintiffs </w:t>
      </w:r>
      <w:r w:rsidRPr="002240F5">
        <w:t>who developed fatal medical conditions after 9/11-related environmental exposure</w:t>
      </w:r>
      <w:r>
        <w:t>s are entitled to a default judgment against the Iran (which has never replied to any of the plaintiffs’ lawsuits).  Iran is liable under the  2016 terrorism exception to the F</w:t>
      </w:r>
      <w:r w:rsidRPr="007F3DB7">
        <w:t xml:space="preserve">oreign Sovereign Immunities Act [FSIA]; 28 U.S. Code § 1605A - Terrorism exception to the jurisdictional immunity of a foreign state. </w:t>
      </w:r>
      <w:hyperlink r:id="rId643" w:history="1">
        <w:r w:rsidRPr="007F3DB7">
          <w:rPr>
            <w:rStyle w:val="Hyperlink"/>
          </w:rPr>
          <w:t>https://www.law.cornell.edu/uscode/text/28/1605A</w:t>
        </w:r>
      </w:hyperlink>
      <w:r>
        <w:t xml:space="preserve">. One of the plaintiffs is </w:t>
      </w:r>
      <w:r>
        <w:lastRenderedPageBreak/>
        <w:t xml:space="preserve">the Estate of Albert Filosa, FDN, seeking recovery for his </w:t>
      </w:r>
      <w:r w:rsidRPr="009C1F1C">
        <w:t>latent injuries and subsequent death</w:t>
      </w:r>
      <w:r>
        <w:t xml:space="preserve"> at age 70.  The Judge held that U.S. </w:t>
      </w:r>
      <w:r w:rsidRPr="00CF1F22">
        <w:t>Magistrate Judge Netburn correctly determined that the Filosa Estate</w:t>
      </w:r>
      <w:r>
        <w:t xml:space="preserve"> is </w:t>
      </w:r>
      <w:r w:rsidRPr="00CF1F22">
        <w:t xml:space="preserve"> entitled to a baseline award of $7,000,000 in damages based on “severe” injuries stemming from </w:t>
      </w:r>
      <w:r>
        <w:t xml:space="preserve">his </w:t>
      </w:r>
      <w:r w:rsidRPr="00CF1F22">
        <w:t>role as</w:t>
      </w:r>
      <w:r>
        <w:t xml:space="preserve"> a</w:t>
      </w:r>
      <w:r w:rsidRPr="00CF1F22">
        <w:t xml:space="preserve"> first responder to the 9/11 </w:t>
      </w:r>
      <w:r>
        <w:t>a</w:t>
      </w:r>
      <w:r w:rsidRPr="00CF1F22">
        <w:t>ttacks.</w:t>
      </w:r>
      <w:r>
        <w:t xml:space="preserve"> Family has no way to collect unless can find Iran assets. </w:t>
      </w:r>
      <w:hyperlink r:id="rId644" w:history="1">
        <w:r w:rsidRPr="009500C1">
          <w:rPr>
            <w:rStyle w:val="Hyperlink"/>
          </w:rPr>
          <w:t>https://public.fastcase.com/Jhe1Qn%2BmJndQYQU6z%2FeNm525CuDWbNdyVkYCPMsZ0T5YpmzSSkpneXijYslIbSF5OmudrAoxw3Ae8PMhEMNZsP67fNH%2FZ%2FwnrBtLVmm5SAU%3D?utm_medium=email&amp;_hsenc=p2ANqtz-9semzM2ZQJ5MEhp_UWNRAg9Ejc_wupFqaRucLy6fQyzUPCHHSZ-OwHACqIjxggJtdwV9jTjO8a6Rf4TL88Oco6y4mJgQ&amp;_hsmi=226712652&amp;utm_content=226712652&amp;utm_source=hs_email</w:t>
        </w:r>
      </w:hyperlink>
      <w:r>
        <w:t xml:space="preserve"> </w:t>
      </w:r>
    </w:p>
    <w:p w14:paraId="6393C809" w14:textId="77777777" w:rsidR="002A66F2" w:rsidRDefault="002A66F2" w:rsidP="002A66F2"/>
    <w:p w14:paraId="376DF2F0" w14:textId="77777777" w:rsidR="002A66F2" w:rsidRDefault="002A66F2" w:rsidP="002A66F2">
      <w:r>
        <w:t>THE COURT HELD:</w:t>
      </w:r>
    </w:p>
    <w:p w14:paraId="100DA9B9" w14:textId="77777777" w:rsidR="002A66F2" w:rsidRDefault="002A66F2" w:rsidP="002A66F2">
      <w:pPr>
        <w:ind w:left="720"/>
      </w:pPr>
      <w:r>
        <w:t>“</w:t>
      </w:r>
      <w:r w:rsidRPr="00F7319E">
        <w:t>This Court has previously granted partial default judgment motions for plaintiffs who developed fatal medical conditions after 9/11-related environmental exposures</w:t>
      </w:r>
      <w:r>
        <w:t xml:space="preserve">…. </w:t>
      </w:r>
      <w:r w:rsidRPr="00F7319E">
        <w:t>This Court has not yet, however, addressed recovery for claims by living plaintiffs who developed non-fatal latent conditions after 9/11-related environmental exposures.</w:t>
      </w:r>
    </w:p>
    <w:p w14:paraId="7734CB16" w14:textId="77777777" w:rsidR="002A66F2" w:rsidRDefault="002A66F2" w:rsidP="002A66F2">
      <w:pPr>
        <w:ind w:left="720"/>
      </w:pPr>
      <w:r w:rsidRPr="003F5009">
        <w:t xml:space="preserve">Before this Court are two Reports and Recommendations issued by Magistrate Judge Netburn recommending that this Court grant the </w:t>
      </w:r>
      <w:r w:rsidRPr="003F5009">
        <w:rPr>
          <w:i/>
          <w:iCs/>
        </w:rPr>
        <w:t>Knight, Rodriguez, Johnson,</w:t>
      </w:r>
      <w:r w:rsidRPr="003F5009">
        <w:t xml:space="preserve"> and </w:t>
      </w:r>
      <w:r w:rsidRPr="003F5009">
        <w:rPr>
          <w:i/>
          <w:iCs/>
        </w:rPr>
        <w:t>Gaston</w:t>
      </w:r>
      <w:r w:rsidRPr="003F5009">
        <w:t xml:space="preserve"> Plaintiffs' motions for non-fatal latent injuries, and recommending the amounts in which each Plaintiff should be awarded pain and suffering damages</w:t>
      </w:r>
      <w:r>
        <w:t xml:space="preserve">…. </w:t>
      </w:r>
      <w:r w:rsidRPr="003F5009">
        <w:t>No party objected to the Nonfatal Latent Injury Reports. This Court ADOPTS the Non-fatal Latent Injury Reports in full.</w:t>
      </w:r>
    </w:p>
    <w:p w14:paraId="3F6003A1" w14:textId="77777777" w:rsidR="002A66F2" w:rsidRDefault="002A66F2" w:rsidP="002A66F2">
      <w:pPr>
        <w:ind w:left="720"/>
      </w:pPr>
      <w:r>
        <w:t>***</w:t>
      </w:r>
    </w:p>
    <w:p w14:paraId="6177FC0C" w14:textId="77777777" w:rsidR="002A66F2" w:rsidRDefault="002A66F2" w:rsidP="002A66F2">
      <w:pPr>
        <w:ind w:left="720"/>
      </w:pPr>
      <w:r w:rsidRPr="00D9141E">
        <w:t>It is immaterial that some Plaintiffs were only present at the World Trade Center (</w:t>
      </w:r>
      <w:r>
        <w:t>‘</w:t>
      </w:r>
      <w:r w:rsidRPr="00D9141E">
        <w:t>WTC</w:t>
      </w:r>
      <w:r>
        <w:t>’</w:t>
      </w:r>
      <w:r w:rsidRPr="00D9141E">
        <w:t>) after September 11, 2001, or that some Plaintiffs participated in processing debris from the WTC site in a different borough</w:t>
      </w:r>
      <w:r>
        <w:t xml:space="preserve">…. </w:t>
      </w:r>
      <w:r w:rsidRPr="00D9141E">
        <w:t xml:space="preserve">Because the Plaintiffs were exposed to the toxins, carcinogens, and debris </w:t>
      </w:r>
      <w:proofErr w:type="gramStart"/>
      <w:r w:rsidRPr="00D9141E">
        <w:t>as a result of</w:t>
      </w:r>
      <w:proofErr w:type="gramEnd"/>
      <w:r w:rsidRPr="00D9141E">
        <w:t xml:space="preserve"> the 9/11 Attacks, Magistrate Judge Netburn properly concluded that the Plaintiffs are entitled to recovery.</w:t>
      </w:r>
    </w:p>
    <w:p w14:paraId="530D39EA" w14:textId="77777777" w:rsidR="002A66F2" w:rsidRDefault="002A66F2" w:rsidP="002A66F2">
      <w:pPr>
        <w:ind w:left="720"/>
      </w:pPr>
      <w:r>
        <w:t>***</w:t>
      </w:r>
    </w:p>
    <w:p w14:paraId="3D73B2E1" w14:textId="77777777" w:rsidR="002A66F2" w:rsidRDefault="002A66F2" w:rsidP="002A66F2">
      <w:pPr>
        <w:ind w:left="720"/>
      </w:pPr>
      <w:r w:rsidRPr="00B25119">
        <w:t xml:space="preserve">The Filosa Estate seeks recovery for the latent injuries and subsequent death suffered by firefighter and </w:t>
      </w:r>
      <w:proofErr w:type="gramStart"/>
      <w:r w:rsidRPr="00B25119">
        <w:t>first-responder</w:t>
      </w:r>
      <w:proofErr w:type="gramEnd"/>
      <w:r w:rsidRPr="00B25119">
        <w:t xml:space="preserve"> </w:t>
      </w:r>
      <w:proofErr w:type="gramStart"/>
      <w:r w:rsidRPr="00B25119">
        <w:t>Albert Filosa, and</w:t>
      </w:r>
      <w:proofErr w:type="gramEnd"/>
      <w:r w:rsidRPr="00B25119">
        <w:t xml:space="preserve"> provides to the Court a VCF eligibility letter that reflects the agency's conclusion that Filosa's injuries were a </w:t>
      </w:r>
      <w:r>
        <w:t>‘</w:t>
      </w:r>
      <w:r w:rsidRPr="00B25119">
        <w:t>direct result of the 9/11 Attacks.</w:t>
      </w:r>
      <w:r>
        <w:t xml:space="preserve">’ … </w:t>
      </w:r>
      <w:r w:rsidRPr="00B25119">
        <w:t>Based on the evidence provided by the Filosa Estate, Magistrate Judge Netburn properly concluded that the Filosa Estate sufficiently establishes causation.</w:t>
      </w:r>
      <w:r>
        <w:t>”</w:t>
      </w:r>
    </w:p>
    <w:p w14:paraId="1AA238A8" w14:textId="77777777" w:rsidR="002A66F2" w:rsidRDefault="002A66F2" w:rsidP="002A66F2">
      <w:pPr>
        <w:rPr>
          <w:b/>
          <w:bCs/>
        </w:rPr>
      </w:pPr>
      <w:r>
        <w:rPr>
          <w:b/>
        </w:rPr>
        <w:t xml:space="preserve">Legal lesson learned:  Unless family can locate Iran assets, they will not be able to collect this judgment. </w:t>
      </w:r>
    </w:p>
    <w:p w14:paraId="5C64537B" w14:textId="77777777" w:rsidR="002A66F2" w:rsidRDefault="002A66F2" w:rsidP="002A66F2">
      <w:pPr>
        <w:pStyle w:val="NoSpacing"/>
        <w:ind w:left="720"/>
        <w:rPr>
          <w:b/>
        </w:rPr>
      </w:pPr>
      <w:r>
        <w:t xml:space="preserve">Note: See the </w:t>
      </w:r>
      <w:r w:rsidRPr="0046685C">
        <w:t xml:space="preserve">National Fallen Firefighters Foundation Roll of Honor for </w:t>
      </w:r>
      <w:proofErr w:type="gramStart"/>
      <w:r w:rsidRPr="0046685C">
        <w:t>firefighter</w:t>
      </w:r>
      <w:proofErr w:type="gramEnd"/>
      <w:r w:rsidRPr="0046685C">
        <w:t xml:space="preserve"> Albert Filosa: </w:t>
      </w:r>
      <w:r>
        <w:t xml:space="preserve"> “</w:t>
      </w:r>
      <w:hyperlink r:id="rId645" w:history="1"/>
      <w:r w:rsidRPr="006A1EEB">
        <w:t xml:space="preserve">He died of cancer, a cancer caused from digging through the rubble in the days following 9/11, searching for remains. He died at 70 years old, and in his last year of life he was painfully sick, which was difficult to witness. The cancer had </w:t>
      </w:r>
      <w:proofErr w:type="gramStart"/>
      <w:r w:rsidRPr="006A1EEB">
        <w:t>metastasized to</w:t>
      </w:r>
      <w:proofErr w:type="gramEnd"/>
      <w:r w:rsidRPr="006A1EEB">
        <w:t xml:space="preserve"> his lungs. He required constant care; he couldn’t breathe. He died at home the way that he wished, surrounded by his family.</w:t>
      </w:r>
      <w:r>
        <w:t>”</w:t>
      </w:r>
      <w:r w:rsidRPr="006A1EEB">
        <w:t xml:space="preserve"> </w:t>
      </w:r>
      <w:hyperlink r:id="rId646" w:history="1">
        <w:r w:rsidRPr="002B6C59">
          <w:rPr>
            <w:rStyle w:val="Hyperlink"/>
            <w:b/>
          </w:rPr>
          <w:t>https://www.firehero.org/fallen-firefighter/albert-a-filosa/</w:t>
        </w:r>
      </w:hyperlink>
      <w:r>
        <w:rPr>
          <w:b/>
        </w:rPr>
        <w:t xml:space="preserve"> </w:t>
      </w:r>
    </w:p>
    <w:p w14:paraId="0FE37658" w14:textId="77777777" w:rsidR="002A66F2" w:rsidRDefault="002A66F2" w:rsidP="002A66F2">
      <w:pPr>
        <w:pStyle w:val="NoSpacing"/>
        <w:ind w:left="720"/>
        <w:rPr>
          <w:b/>
        </w:rPr>
      </w:pPr>
    </w:p>
    <w:p w14:paraId="7A8AB010" w14:textId="243FCD96" w:rsidR="002A66F2" w:rsidRDefault="002A66F2" w:rsidP="002A66F2">
      <w:pPr>
        <w:pStyle w:val="NoSpacing"/>
        <w:rPr>
          <w:rFonts w:ascii="Arial Black" w:hAnsi="Arial Black"/>
          <w:sz w:val="28"/>
          <w:szCs w:val="28"/>
        </w:rPr>
      </w:pPr>
      <w:r w:rsidRPr="0052375E">
        <w:t xml:space="preserve">See my article about this decision, and another decision </w:t>
      </w:r>
      <w:r>
        <w:t xml:space="preserve">allowing lawsuits to proceed against </w:t>
      </w:r>
      <w:r w:rsidRPr="0052375E">
        <w:t xml:space="preserve">Saudi Arabia. April 20, 2026: 9/11 Litigation Is Building </w:t>
      </w:r>
      <w:proofErr w:type="gramStart"/>
      <w:r w:rsidRPr="0052375E">
        <w:t>A</w:t>
      </w:r>
      <w:proofErr w:type="gramEnd"/>
      <w:r w:rsidRPr="0052375E">
        <w:t xml:space="preserve"> New Legal Framework </w:t>
      </w:r>
      <w:proofErr w:type="gramStart"/>
      <w:r w:rsidRPr="0052375E">
        <w:t>For</w:t>
      </w:r>
      <w:proofErr w:type="gramEnd"/>
      <w:r w:rsidRPr="0052375E">
        <w:t xml:space="preserve"> Foreign Terrorist Accountability </w:t>
      </w:r>
      <w:hyperlink r:id="rId647" w:history="1">
        <w:r w:rsidRPr="0052375E">
          <w:rPr>
            <w:rStyle w:val="Hyperlink"/>
          </w:rPr>
          <w:t>https://www.hstoday.us/subject-matter-areas/counterterrorism/9-11-litigation-is-building-a-new-legal-framework-for-foreign-terrorist-accountability/</w:t>
        </w:r>
      </w:hyperlink>
    </w:p>
    <w:p w14:paraId="5D4848F3" w14:textId="77777777" w:rsidR="007328CD" w:rsidRDefault="007328CD" w:rsidP="00CC37FA">
      <w:pPr>
        <w:pStyle w:val="NoSpacing"/>
        <w:rPr>
          <w:rFonts w:ascii="Arial Black" w:hAnsi="Arial Black"/>
          <w:sz w:val="28"/>
          <w:szCs w:val="28"/>
        </w:rPr>
      </w:pPr>
    </w:p>
    <w:p w14:paraId="1E455497" w14:textId="77777777" w:rsidR="007328CD" w:rsidRDefault="007328CD" w:rsidP="00CC37FA">
      <w:pPr>
        <w:pStyle w:val="NoSpacing"/>
        <w:rPr>
          <w:rFonts w:ascii="Arial Black" w:hAnsi="Arial Black"/>
          <w:sz w:val="28"/>
          <w:szCs w:val="28"/>
        </w:rPr>
      </w:pPr>
    </w:p>
    <w:p w14:paraId="52C89594" w14:textId="39236779" w:rsidR="00BE7AC1" w:rsidRDefault="00BE7AC1" w:rsidP="00CC37FA">
      <w:pPr>
        <w:pStyle w:val="NoSpacing"/>
        <w:rPr>
          <w:rFonts w:ascii="Arial Black" w:hAnsi="Arial Black"/>
          <w:sz w:val="28"/>
          <w:szCs w:val="28"/>
        </w:rPr>
      </w:pPr>
      <w:r>
        <w:rPr>
          <w:rFonts w:ascii="Arial Black" w:hAnsi="Arial Black"/>
          <w:sz w:val="28"/>
          <w:szCs w:val="28"/>
        </w:rPr>
        <w:t>3-89</w:t>
      </w:r>
    </w:p>
    <w:p w14:paraId="76FC1B0D" w14:textId="77777777" w:rsidR="00BE7AC1" w:rsidRDefault="00BE7AC1" w:rsidP="00CC37FA">
      <w:pPr>
        <w:pStyle w:val="NoSpacing"/>
        <w:rPr>
          <w:rFonts w:ascii="Arial Black" w:hAnsi="Arial Black"/>
          <w:sz w:val="28"/>
          <w:szCs w:val="28"/>
        </w:rPr>
      </w:pPr>
    </w:p>
    <w:p w14:paraId="1552BB92" w14:textId="77777777" w:rsidR="000B47B1" w:rsidRPr="00B1344C" w:rsidRDefault="000B47B1" w:rsidP="000B47B1">
      <w:pPr>
        <w:pStyle w:val="NoSpacing"/>
        <w:rPr>
          <w:rFonts w:ascii="Arial Black" w:hAnsi="Arial Black"/>
          <w:sz w:val="28"/>
          <w:szCs w:val="28"/>
        </w:rPr>
      </w:pPr>
      <w:r>
        <w:rPr>
          <w:rFonts w:ascii="Arial Black" w:hAnsi="Arial Black"/>
          <w:sz w:val="28"/>
          <w:szCs w:val="28"/>
        </w:rPr>
        <w:t>PA: WEAPON MASS DESTRUCTION – TANNERITE - EMT HURT</w:t>
      </w:r>
    </w:p>
    <w:p w14:paraId="21F27C06" w14:textId="77777777" w:rsidR="000B47B1" w:rsidRDefault="000B47B1" w:rsidP="000B47B1">
      <w:pPr>
        <w:pStyle w:val="NoSpacing"/>
      </w:pPr>
    </w:p>
    <w:p w14:paraId="6E8CBD8E" w14:textId="77777777" w:rsidR="000B47B1" w:rsidRDefault="000B47B1" w:rsidP="000B47B1">
      <w:pPr>
        <w:pStyle w:val="NoSpacing"/>
        <w:rPr>
          <w:b/>
        </w:rPr>
      </w:pPr>
      <w:r w:rsidRPr="00072212">
        <w:t xml:space="preserve">On February 19, 2026, in </w:t>
      </w:r>
      <w:r w:rsidRPr="008B14E8">
        <w:rPr>
          <w:u w:val="single"/>
        </w:rPr>
        <w:t>Commonwealth of Pennsylvania v. Ladell Emery Hannon</w:t>
      </w:r>
      <w:r w:rsidRPr="00072212">
        <w:t>, the Superior Court of Pennsylvania</w:t>
      </w:r>
      <w:r>
        <w:t>, held (3 to 0; unpublished decision) that jury properly convicted a former  police officer of use of a weapon of mass destruction [Tannerite], and stalking an EMT [</w:t>
      </w:r>
      <w:r w:rsidRPr="00B10086">
        <w:t>Harrison Jordan</w:t>
      </w:r>
      <w:r>
        <w:t xml:space="preserve">] who was dating his former wife [also an EMT].  </w:t>
      </w:r>
      <w:r w:rsidRPr="007E0B7E">
        <w:t>Tannerite</w:t>
      </w:r>
      <w:r>
        <w:t xml:space="preserve"> </w:t>
      </w:r>
      <w:r w:rsidRPr="007E0B7E">
        <w:t>is used to produce exploding targets for long-range shooting practice.</w:t>
      </w:r>
      <w:r>
        <w:t xml:space="preserve"> The police officer put tracers on his former wife’s vehicle and on Mr. Jordan’s vehicle. On December 21, 2021, Jordan was injured by an explosion outside his apartment - a five-gallon bucket of Tannerite exploded injuring Jordan; he suffered ruptured eardrums, wounds caused by shrapnel and cement, and burns; the explosion also damaged the apartment building.  The defendant  was sentenced on November 22, </w:t>
      </w:r>
      <w:proofErr w:type="gramStart"/>
      <w:r>
        <w:t>2024</w:t>
      </w:r>
      <w:proofErr w:type="gramEnd"/>
      <w:r>
        <w:t xml:space="preserve"> to an aggregate term of 17½ to 35 years of incarceration.  </w:t>
      </w:r>
      <w:hyperlink r:id="rId648" w:history="1">
        <w:r w:rsidRPr="00A9331C">
          <w:rPr>
            <w:rStyle w:val="Hyperlink"/>
            <w:b/>
          </w:rPr>
          <w:t>https://www.pacourts.us/assets/opinions/Superior/out/J-S42019-25m%20-%20106685903347676413.pdf?cb=1</w:t>
        </w:r>
      </w:hyperlink>
      <w:r>
        <w:rPr>
          <w:b/>
        </w:rPr>
        <w:t xml:space="preserve"> </w:t>
      </w:r>
    </w:p>
    <w:p w14:paraId="2850E673" w14:textId="77777777" w:rsidR="000B47B1" w:rsidRDefault="000B47B1" w:rsidP="000B47B1">
      <w:pPr>
        <w:pStyle w:val="NoSpacing"/>
      </w:pPr>
    </w:p>
    <w:p w14:paraId="42A598FA" w14:textId="77777777" w:rsidR="000B47B1" w:rsidRDefault="000B47B1" w:rsidP="000B47B1">
      <w:pPr>
        <w:pStyle w:val="NoSpacing"/>
      </w:pPr>
    </w:p>
    <w:p w14:paraId="65EA886F" w14:textId="77777777" w:rsidR="000B47B1" w:rsidRDefault="000B47B1" w:rsidP="000B47B1">
      <w:pPr>
        <w:pStyle w:val="NoSpacing"/>
      </w:pPr>
      <w:r>
        <w:t>THE COURT HELD: “Early in the morning on December 21, 2021, Mr. Jordan left his</w:t>
      </w:r>
    </w:p>
    <w:p w14:paraId="7180ED74" w14:textId="77777777" w:rsidR="000B47B1" w:rsidRDefault="000B47B1" w:rsidP="000B47B1">
      <w:pPr>
        <w:pStyle w:val="NoSpacing"/>
      </w:pPr>
      <w:r>
        <w:t>apartment. However, he noticed a smoking five-gallon bucket outside of his residence. Mr. Jordan attempted to run but did not get far before the bucket exploded. The explosion caused extensive damage to the apartment building, a vacant church opposite the building, and vehicles parked along the street. The explosion also shattered the window of [another resident’s] apartment, cut his finger and damaged his car, and damaged the apartment building itself, which</w:t>
      </w:r>
    </w:p>
    <w:p w14:paraId="7A2260E4" w14:textId="77777777" w:rsidR="000B47B1" w:rsidRDefault="000B47B1" w:rsidP="000B47B1">
      <w:pPr>
        <w:pStyle w:val="NoSpacing"/>
      </w:pPr>
      <w:r>
        <w:t>was owned by D. Agostino. Mr. Jordan suffered ruptured eardrums, wounds caused by shrapnel and cement, and burns. He was taken by ambulance to a local hospital but eventually airlifted to a larger facility in Allentown.</w:t>
      </w:r>
    </w:p>
    <w:p w14:paraId="13EBFE72" w14:textId="77777777" w:rsidR="000B47B1" w:rsidRDefault="000B47B1" w:rsidP="000B47B1">
      <w:pPr>
        <w:pStyle w:val="NoSpacing"/>
      </w:pPr>
    </w:p>
    <w:p w14:paraId="5F8D1961" w14:textId="77777777" w:rsidR="000B47B1" w:rsidRDefault="000B47B1" w:rsidP="000B47B1">
      <w:pPr>
        <w:pStyle w:val="NoSpacing"/>
      </w:pPr>
      <w:r>
        <w:t>***</w:t>
      </w:r>
    </w:p>
    <w:p w14:paraId="43138065" w14:textId="77777777" w:rsidR="000B47B1" w:rsidRDefault="000B47B1" w:rsidP="000B47B1">
      <w:pPr>
        <w:pStyle w:val="NoSpacing"/>
      </w:pPr>
      <w:r>
        <w:t>During the subsequent investigation, police officers discovered a tracker installed under Ms. Hannon’s vehicle. Officers determined that Appellant had purchased six total trackers, including one placed on Mr. Jordan’s car, and had obtained subscriptions for electronic receipt of the tracking information. Officers also tracked the locations of Appellant’s two cell phones leading up to the explosion, and determined that either one or both of Appellant’s phones were near or at Mr. Jordan’s home frequently at various times of the day and evening in October and November, including the day Mr. Jordan’s camera was stolen.</w:t>
      </w:r>
    </w:p>
    <w:p w14:paraId="5E317A95" w14:textId="77777777" w:rsidR="000B47B1" w:rsidRDefault="000B47B1" w:rsidP="000B47B1">
      <w:pPr>
        <w:pStyle w:val="NoSpacing"/>
      </w:pPr>
    </w:p>
    <w:p w14:paraId="2B388271" w14:textId="77777777" w:rsidR="000B47B1" w:rsidRDefault="000B47B1" w:rsidP="000B47B1">
      <w:pPr>
        <w:pStyle w:val="NoSpacing"/>
      </w:pPr>
      <w:r>
        <w:t>***</w:t>
      </w:r>
    </w:p>
    <w:p w14:paraId="31F0FA80" w14:textId="77777777" w:rsidR="000B47B1" w:rsidRDefault="000B47B1" w:rsidP="000B47B1">
      <w:pPr>
        <w:pStyle w:val="NoSpacing"/>
      </w:pPr>
    </w:p>
    <w:p w14:paraId="04C6C4FD" w14:textId="77777777" w:rsidR="000B47B1" w:rsidRDefault="000B47B1" w:rsidP="000B47B1">
      <w:pPr>
        <w:pStyle w:val="NoSpacing"/>
      </w:pPr>
      <w:r>
        <w:t xml:space="preserve">Further, police officers tracked Appellant’s purchases and discovered that he had made purchases at fireworks stores that coincided with the costs of hobby fuses, a book called The Art of Lockpicking, and reports on Mr. Jordan from various data aggregator sites such as Spokeo and </w:t>
      </w:r>
      <w:proofErr w:type="spellStart"/>
      <w:r>
        <w:t>Peoplefinders</w:t>
      </w:r>
      <w:proofErr w:type="spellEnd"/>
      <w:r>
        <w:t xml:space="preserve">. </w:t>
      </w:r>
      <w:proofErr w:type="gramStart"/>
      <w:r>
        <w:t>Appellant</w:t>
      </w:r>
      <w:proofErr w:type="gramEnd"/>
      <w:r>
        <w:t xml:space="preserve"> also made suspicious searches from September through December,</w:t>
      </w:r>
    </w:p>
    <w:p w14:paraId="587FD222" w14:textId="77777777" w:rsidR="000B47B1" w:rsidRDefault="000B47B1" w:rsidP="000B47B1">
      <w:pPr>
        <w:pStyle w:val="NoSpacing"/>
      </w:pPr>
      <w:r>
        <w:t xml:space="preserve">which included inquiries about Spokeo, Mr. Jordan, lockpicking sets, fireworks, ‘how many pounds of [Tannerite] is deadly’ and ‘10 </w:t>
      </w:r>
      <w:proofErr w:type="spellStart"/>
      <w:r>
        <w:t>lbs</w:t>
      </w:r>
      <w:proofErr w:type="spellEnd"/>
      <w:r>
        <w:t xml:space="preserve"> of </w:t>
      </w:r>
      <w:proofErr w:type="spellStart"/>
      <w:r>
        <w:t>tannerite</w:t>
      </w:r>
      <w:proofErr w:type="spellEnd"/>
      <w:r>
        <w:t xml:space="preserve"> vs. car,’ homemade detonators, and how many foot-pounds of energy were required to kill a human being or penetrate a human skull.”</w:t>
      </w:r>
    </w:p>
    <w:p w14:paraId="3AAD5358" w14:textId="77777777" w:rsidR="000B47B1" w:rsidRDefault="000B47B1" w:rsidP="000B47B1">
      <w:pPr>
        <w:pStyle w:val="NoSpacing"/>
      </w:pPr>
    </w:p>
    <w:p w14:paraId="26632D83" w14:textId="77777777" w:rsidR="000B47B1" w:rsidRDefault="000B47B1" w:rsidP="000B47B1">
      <w:pPr>
        <w:pStyle w:val="NoSpacing"/>
        <w:rPr>
          <w:b/>
          <w:bCs/>
        </w:rPr>
      </w:pPr>
      <w:r w:rsidRPr="00E23CB9">
        <w:rPr>
          <w:b/>
        </w:rPr>
        <w:t xml:space="preserve">Legal lesson learned: </w:t>
      </w:r>
      <w:r>
        <w:rPr>
          <w:b/>
        </w:rPr>
        <w:t xml:space="preserve">Circumstantial evidence proved the defendant was the bomber. </w:t>
      </w:r>
    </w:p>
    <w:p w14:paraId="45D5CC90" w14:textId="77777777" w:rsidR="000B47B1" w:rsidRDefault="000B47B1" w:rsidP="000B47B1">
      <w:pPr>
        <w:pStyle w:val="NoSpacing"/>
        <w:ind w:left="720"/>
      </w:pPr>
    </w:p>
    <w:p w14:paraId="36157F37" w14:textId="77777777" w:rsidR="000B47B1" w:rsidRPr="004E5F9F" w:rsidRDefault="000B47B1" w:rsidP="000B47B1">
      <w:pPr>
        <w:pStyle w:val="NoSpacing"/>
        <w:ind w:left="720"/>
      </w:pPr>
      <w:r w:rsidRPr="004E5F9F">
        <w:t xml:space="preserve">Note: See this article: September 26, 2016: “Explosives used in New York bombing.” </w:t>
      </w:r>
      <w:hyperlink r:id="rId649" w:history="1">
        <w:r w:rsidRPr="0045422A">
          <w:rPr>
            <w:rStyle w:val="Hyperlink"/>
          </w:rPr>
          <w:t>https://pubs.acs.org/doi/10.1021/cen-09438-notw2</w:t>
        </w:r>
      </w:hyperlink>
      <w:r w:rsidRPr="004E5F9F">
        <w:t xml:space="preserve"> </w:t>
      </w:r>
    </w:p>
    <w:p w14:paraId="71BE1EB8" w14:textId="77777777" w:rsidR="000B47B1" w:rsidRDefault="000B47B1" w:rsidP="000B47B1">
      <w:pPr>
        <w:pStyle w:val="NoSpacing"/>
        <w:rPr>
          <w:b/>
          <w:bCs/>
        </w:rPr>
      </w:pPr>
    </w:p>
    <w:p w14:paraId="25AD6C76" w14:textId="77777777" w:rsidR="000B47B1" w:rsidRDefault="000B47B1" w:rsidP="000B47B1">
      <w:pPr>
        <w:pStyle w:val="NoSpacing"/>
        <w:ind w:left="720"/>
      </w:pPr>
      <w:r>
        <w:t>“</w:t>
      </w:r>
      <w:r w:rsidRPr="007E0B7E">
        <w:t xml:space="preserve">Tannerite, made and sold by Tannerite Sports, is used to produce exploding targets for long-range shooting practice. The targets explode when hit by a bullet, allowing shooters to hear and see that they’ve successfully made the shot. According to the </w:t>
      </w:r>
      <w:hyperlink r:id="rId650" w:tgtFrame="_blank" w:history="1">
        <w:r w:rsidRPr="007E0B7E">
          <w:rPr>
            <w:rStyle w:val="Hyperlink"/>
            <w:color w:val="auto"/>
          </w:rPr>
          <w:t>Tannerite patent</w:t>
        </w:r>
      </w:hyperlink>
      <w:r w:rsidRPr="007E0B7E">
        <w:t>, the explosive consists of an 8:1 ratio of two mixtures: a so-</w:t>
      </w:r>
      <w:r w:rsidRPr="007E0B7E">
        <w:lastRenderedPageBreak/>
        <w:t>called oxidizer component containing 85% ammonium nitrate powder by weight, and 15% ammonium perchlorate; and a “catalyst” component that is 90% explosive grade aluminum powder—which serves as the fuel—along with 5% titanium sponge and 5% zirconium hydride</w:t>
      </w:r>
      <w:r>
        <w:t>.”</w:t>
      </w:r>
    </w:p>
    <w:p w14:paraId="576D7E39" w14:textId="77777777" w:rsidR="00BE7AC1" w:rsidRDefault="00BE7AC1" w:rsidP="00CC37FA">
      <w:pPr>
        <w:pStyle w:val="NoSpacing"/>
        <w:rPr>
          <w:rFonts w:ascii="Arial Black" w:hAnsi="Arial Black"/>
          <w:sz w:val="28"/>
          <w:szCs w:val="28"/>
        </w:rPr>
      </w:pPr>
    </w:p>
    <w:p w14:paraId="6D79308B" w14:textId="77777777" w:rsidR="00BE7AC1" w:rsidRDefault="00BE7AC1" w:rsidP="00CC37FA">
      <w:pPr>
        <w:pStyle w:val="NoSpacing"/>
        <w:rPr>
          <w:rFonts w:ascii="Arial Black" w:hAnsi="Arial Black"/>
          <w:sz w:val="28"/>
          <w:szCs w:val="28"/>
        </w:rPr>
      </w:pPr>
    </w:p>
    <w:p w14:paraId="35F0F643" w14:textId="77777777" w:rsidR="00BE7AC1" w:rsidRDefault="00BE7AC1" w:rsidP="00CC37FA">
      <w:pPr>
        <w:pStyle w:val="NoSpacing"/>
        <w:rPr>
          <w:rFonts w:ascii="Arial Black" w:hAnsi="Arial Black"/>
          <w:sz w:val="28"/>
          <w:szCs w:val="28"/>
        </w:rPr>
      </w:pPr>
    </w:p>
    <w:p w14:paraId="365B8F72" w14:textId="5D48339D" w:rsidR="008963C8" w:rsidRDefault="008963C8" w:rsidP="00CC37FA">
      <w:pPr>
        <w:pStyle w:val="NoSpacing"/>
        <w:rPr>
          <w:rFonts w:ascii="Arial Black" w:hAnsi="Arial Black"/>
          <w:sz w:val="28"/>
          <w:szCs w:val="28"/>
        </w:rPr>
      </w:pPr>
      <w:r>
        <w:rPr>
          <w:rFonts w:ascii="Arial Black" w:hAnsi="Arial Black"/>
          <w:sz w:val="28"/>
          <w:szCs w:val="28"/>
        </w:rPr>
        <w:t>3-</w:t>
      </w:r>
      <w:r w:rsidR="00493A6B">
        <w:rPr>
          <w:rFonts w:ascii="Arial Black" w:hAnsi="Arial Black"/>
          <w:sz w:val="28"/>
          <w:szCs w:val="28"/>
        </w:rPr>
        <w:t>88</w:t>
      </w:r>
    </w:p>
    <w:p w14:paraId="3382E598" w14:textId="77777777" w:rsidR="000F1A96" w:rsidRDefault="000F1A96" w:rsidP="00520B72">
      <w:pPr>
        <w:pStyle w:val="NoSpacing"/>
        <w:rPr>
          <w:rFonts w:ascii="Arial Black" w:hAnsi="Arial Black"/>
          <w:sz w:val="28"/>
          <w:szCs w:val="28"/>
        </w:rPr>
      </w:pPr>
    </w:p>
    <w:p w14:paraId="42897F37" w14:textId="2D731895" w:rsidR="00520B72" w:rsidRPr="00A20616" w:rsidRDefault="00520B72" w:rsidP="00520B72">
      <w:pPr>
        <w:pStyle w:val="NoSpacing"/>
        <w:rPr>
          <w:rFonts w:ascii="Arial Black" w:hAnsi="Arial Black"/>
          <w:sz w:val="28"/>
          <w:szCs w:val="28"/>
        </w:rPr>
      </w:pPr>
      <w:r>
        <w:rPr>
          <w:rFonts w:ascii="Arial Black" w:hAnsi="Arial Black"/>
          <w:sz w:val="28"/>
          <w:szCs w:val="28"/>
        </w:rPr>
        <w:t>U.S. SUP. CT. – NAT. GUARD IN CHICAGO – NO DEPLOYMENT</w:t>
      </w:r>
    </w:p>
    <w:p w14:paraId="2FE23234" w14:textId="77777777" w:rsidR="00520B72" w:rsidRDefault="00520B72" w:rsidP="00520B72">
      <w:pPr>
        <w:pStyle w:val="NoSpacing"/>
      </w:pPr>
    </w:p>
    <w:p w14:paraId="13ACCAD6" w14:textId="77777777" w:rsidR="00520B72" w:rsidRDefault="00520B72" w:rsidP="00520B72">
      <w:pPr>
        <w:pStyle w:val="NoSpacing"/>
      </w:pPr>
      <w:r>
        <w:t xml:space="preserve">On December 23, 2025, in </w:t>
      </w:r>
      <w:r w:rsidRPr="00850CDB">
        <w:rPr>
          <w:u w:val="single"/>
        </w:rPr>
        <w:t>Donald J. Trump, President of the United States, et al. v. Illinois, et al</w:t>
      </w:r>
      <w:r>
        <w:t>., the United States Supreme Court (6 to 3) issued on its “emergency docket” an Order denying the U.S. Government’s application for a stay of temporary injunction issued by U.S. District Court in Chicago.  In a lawsuit brought by the State of Illinois, the District Court judge (upheld by 3-judge panel of 7</w:t>
      </w:r>
      <w:r w:rsidRPr="005B4A64">
        <w:rPr>
          <w:vertAlign w:val="superscript"/>
        </w:rPr>
        <w:t>th</w:t>
      </w:r>
      <w:r>
        <w:t xml:space="preserve"> Circuit) stopped deployment of Illinois and Texas National Guard members. </w:t>
      </w:r>
      <w:r w:rsidRPr="00453684">
        <w:t>On October 4, 2025, the President called 300 members of</w:t>
      </w:r>
      <w:r>
        <w:t xml:space="preserve"> </w:t>
      </w:r>
      <w:r w:rsidRPr="00453684">
        <w:t xml:space="preserve">the Illinois National Guard into active federal service </w:t>
      </w:r>
      <w:r>
        <w:t xml:space="preserve">under Title 10 </w:t>
      </w:r>
      <w:r w:rsidRPr="00453684">
        <w:t>to</w:t>
      </w:r>
      <w:r>
        <w:t xml:space="preserve"> </w:t>
      </w:r>
      <w:r w:rsidRPr="00453684">
        <w:t xml:space="preserve">protect federal personnel and property </w:t>
      </w:r>
      <w:r>
        <w:t xml:space="preserve">in and near Chicago, and the next day called up Texas National Guard.  Guard members sign up for duty under a dual-enlistment structure, with three different active operational statuses: state active duty, federal active duty under Title 10 of the U.S. Code, and full-time duty under Title 32 of the U.S. Code.  Guard members in Title 32 status have performed missions such as disaster relief, border security operations, airport security after the September 11th attacks, and COVID-19 response efforts.  </w:t>
      </w:r>
      <w:hyperlink r:id="rId651" w:history="1">
        <w:r w:rsidRPr="00B51DCA">
          <w:rPr>
            <w:rStyle w:val="Hyperlink"/>
          </w:rPr>
          <w:t>https://www.supremecourt.gov/opinions/25pdf/25a443_ba7d.pdf</w:t>
        </w:r>
      </w:hyperlink>
    </w:p>
    <w:p w14:paraId="66EE3454" w14:textId="77777777" w:rsidR="00520B72" w:rsidRDefault="00520B72" w:rsidP="00520B72">
      <w:pPr>
        <w:pStyle w:val="NoSpacing"/>
      </w:pPr>
    </w:p>
    <w:p w14:paraId="5B5A6A62" w14:textId="77777777" w:rsidR="00520B72" w:rsidRDefault="00520B72" w:rsidP="00520B72">
      <w:pPr>
        <w:pStyle w:val="NoSpacing"/>
      </w:pPr>
      <w:r>
        <w:t xml:space="preserve">THE COURT HELD: </w:t>
      </w:r>
    </w:p>
    <w:p w14:paraId="36B012B6" w14:textId="77777777" w:rsidR="00520B72" w:rsidRDefault="00520B72" w:rsidP="00520B72">
      <w:pPr>
        <w:pStyle w:val="NoSpacing"/>
      </w:pPr>
    </w:p>
    <w:p w14:paraId="1BCA932E" w14:textId="77777777" w:rsidR="00520B72" w:rsidRDefault="00520B72" w:rsidP="00520B72">
      <w:pPr>
        <w:pStyle w:val="NoSpacing"/>
        <w:ind w:left="720"/>
      </w:pPr>
      <w:r>
        <w:t>“We conclude that the term “regular forces” in §12406(3) likely refers to the regular forces of the United States military. This interpretation means that to call the Guard into</w:t>
      </w:r>
    </w:p>
    <w:p w14:paraId="457D14FE" w14:textId="77777777" w:rsidR="00520B72" w:rsidRDefault="00520B72" w:rsidP="00520B72">
      <w:pPr>
        <w:pStyle w:val="NoSpacing"/>
        <w:ind w:left="720"/>
      </w:pPr>
      <w:r>
        <w:t xml:space="preserve">active federal service under §12406(3), the President must be ‘unable’ with the regular military ‘to execute the laws of the United States.’ Because the statute requires an </w:t>
      </w:r>
    </w:p>
    <w:p w14:paraId="6A9B2079" w14:textId="77777777" w:rsidR="00520B72" w:rsidRDefault="00520B72" w:rsidP="00520B72">
      <w:pPr>
        <w:pStyle w:val="NoSpacing"/>
        <w:ind w:left="720"/>
      </w:pPr>
      <w:r>
        <w:t>assessment of the military’s ability to execute the laws, it likely applies only where the military could legally execute the laws. Such circumstances are exceptional: Under the Posse Comitatus Act, the military is prohibited from ‘</w:t>
      </w:r>
      <w:proofErr w:type="spellStart"/>
      <w:r>
        <w:t>execut</w:t>
      </w:r>
      <w:proofErr w:type="spellEnd"/>
      <w:r>
        <w:t>[</w:t>
      </w:r>
      <w:proofErr w:type="spellStart"/>
      <w:r>
        <w:t>ing</w:t>
      </w:r>
      <w:proofErr w:type="spellEnd"/>
      <w:r>
        <w:t xml:space="preserve">] the laws’ ‘except in cases and under circumstances expressly authorized by the Constitution or Act of Congress.’ 18 U. S. C. §1385. </w:t>
      </w:r>
      <w:proofErr w:type="gramStart"/>
      <w:r>
        <w:t>So</w:t>
      </w:r>
      <w:proofErr w:type="gramEnd"/>
      <w:r>
        <w:t xml:space="preserve"> before the President can federalize the Guard under §12406(3), he likely must have statutory or constitutional authority to execute the laws with the regular military and must be ‘unable’ with those forces to perform that function.’”  </w:t>
      </w:r>
    </w:p>
    <w:p w14:paraId="5C39B7BE" w14:textId="77777777" w:rsidR="00520B72" w:rsidRDefault="00520B72" w:rsidP="00520B72">
      <w:pPr>
        <w:pStyle w:val="NoSpacing"/>
        <w:ind w:left="720"/>
      </w:pPr>
      <w:r>
        <w:t xml:space="preserve"> </w:t>
      </w:r>
    </w:p>
    <w:p w14:paraId="2D4AE28B" w14:textId="77777777" w:rsidR="00520B72" w:rsidRDefault="00520B72" w:rsidP="00520B72">
      <w:pPr>
        <w:pStyle w:val="NoSpacing"/>
        <w:rPr>
          <w:b/>
          <w:bCs/>
        </w:rPr>
      </w:pPr>
      <w:r>
        <w:rPr>
          <w:b/>
        </w:rPr>
        <w:t xml:space="preserve">Legal lessons learned: Federal District Court judges in LA and Portland, Oregon have issued injunctions </w:t>
      </w:r>
      <w:proofErr w:type="gramStart"/>
      <w:r>
        <w:rPr>
          <w:b/>
        </w:rPr>
        <w:t>similar to</w:t>
      </w:r>
      <w:proofErr w:type="gramEnd"/>
      <w:r>
        <w:rPr>
          <w:b/>
        </w:rPr>
        <w:t xml:space="preserve"> Chicago. </w:t>
      </w:r>
    </w:p>
    <w:p w14:paraId="2CE1C544" w14:textId="77777777" w:rsidR="00520B72" w:rsidRDefault="00520B72" w:rsidP="00520B72">
      <w:pPr>
        <w:pStyle w:val="NoSpacing"/>
        <w:rPr>
          <w:b/>
          <w:bCs/>
        </w:rPr>
      </w:pPr>
    </w:p>
    <w:p w14:paraId="6C598237" w14:textId="77777777" w:rsidR="00520B72" w:rsidRDefault="00520B72" w:rsidP="00520B72">
      <w:pPr>
        <w:pStyle w:val="NoSpacing"/>
        <w:ind w:left="720"/>
      </w:pPr>
      <w:r w:rsidRPr="00194EC1">
        <w:t xml:space="preserve">Note:  In Washington, D.C., the Guard from several states were activated </w:t>
      </w:r>
      <w:r>
        <w:t xml:space="preserve">under </w:t>
      </w:r>
      <w:r w:rsidRPr="00194EC1">
        <w:t xml:space="preserve">Title 32; a District Court judge’s injunction was stayed by the D.C. Circuit on Dec. 17, 2025.  </w:t>
      </w:r>
      <w:hyperlink r:id="rId652" w:history="1">
        <w:r w:rsidRPr="00194EC1">
          <w:rPr>
            <w:rStyle w:val="Hyperlink"/>
          </w:rPr>
          <w:t>https://storage.courtlistener.com/recap/gov.uscourts.cadc.42631/gov.uscourts.cadc.42631.1208806141.0.pdf</w:t>
        </w:r>
      </w:hyperlink>
      <w:r w:rsidRPr="00194EC1">
        <w:t xml:space="preserve"> </w:t>
      </w:r>
    </w:p>
    <w:p w14:paraId="40E560E1" w14:textId="77777777" w:rsidR="00520B72" w:rsidRDefault="00520B72" w:rsidP="00520B72">
      <w:pPr>
        <w:pStyle w:val="NoSpacing"/>
        <w:ind w:left="720"/>
      </w:pPr>
    </w:p>
    <w:p w14:paraId="11997CAA" w14:textId="77777777" w:rsidR="008963C8" w:rsidRDefault="008963C8" w:rsidP="00CC37FA">
      <w:pPr>
        <w:pStyle w:val="NoSpacing"/>
        <w:rPr>
          <w:rFonts w:ascii="Arial Black" w:hAnsi="Arial Black"/>
          <w:sz w:val="28"/>
          <w:szCs w:val="28"/>
        </w:rPr>
      </w:pPr>
    </w:p>
    <w:p w14:paraId="2E17979F" w14:textId="6B9CEBDC" w:rsidR="00520B72" w:rsidRDefault="00520B72" w:rsidP="00CC37FA">
      <w:pPr>
        <w:pStyle w:val="NoSpacing"/>
        <w:rPr>
          <w:rFonts w:ascii="Arial Black" w:hAnsi="Arial Black"/>
          <w:sz w:val="28"/>
          <w:szCs w:val="28"/>
        </w:rPr>
      </w:pPr>
      <w:r>
        <w:rPr>
          <w:rFonts w:ascii="Arial Black" w:hAnsi="Arial Black"/>
          <w:sz w:val="28"/>
          <w:szCs w:val="28"/>
        </w:rPr>
        <w:t>3-</w:t>
      </w:r>
      <w:r w:rsidR="00493A6B">
        <w:rPr>
          <w:rFonts w:ascii="Arial Black" w:hAnsi="Arial Black"/>
          <w:sz w:val="28"/>
          <w:szCs w:val="28"/>
        </w:rPr>
        <w:t>87</w:t>
      </w:r>
    </w:p>
    <w:p w14:paraId="18C7A65F" w14:textId="77777777" w:rsidR="00063A86" w:rsidRDefault="00063A86" w:rsidP="00CC37FA">
      <w:pPr>
        <w:pStyle w:val="NoSpacing"/>
        <w:rPr>
          <w:rFonts w:ascii="Arial Black" w:hAnsi="Arial Black"/>
          <w:sz w:val="28"/>
          <w:szCs w:val="28"/>
        </w:rPr>
      </w:pPr>
    </w:p>
    <w:p w14:paraId="5E92EC7F" w14:textId="77777777" w:rsidR="00063A86" w:rsidRPr="00DD37B9" w:rsidRDefault="00063A86" w:rsidP="00063A86">
      <w:pPr>
        <w:pStyle w:val="NoSpacing"/>
        <w:rPr>
          <w:rFonts w:ascii="Arial Black" w:hAnsi="Arial Black"/>
          <w:sz w:val="28"/>
          <w:szCs w:val="28"/>
        </w:rPr>
      </w:pPr>
      <w:r>
        <w:rPr>
          <w:rFonts w:ascii="Arial Black" w:hAnsi="Arial Black"/>
          <w:sz w:val="28"/>
          <w:szCs w:val="28"/>
        </w:rPr>
        <w:t>DC: VENEZUELANS - DUE PROCESS HEARING - ONLINE</w:t>
      </w:r>
    </w:p>
    <w:p w14:paraId="4587B6C7" w14:textId="77777777" w:rsidR="00063A86" w:rsidRDefault="00063A86" w:rsidP="00063A86">
      <w:pPr>
        <w:pStyle w:val="NoSpacing"/>
        <w:ind w:left="720"/>
      </w:pPr>
    </w:p>
    <w:p w14:paraId="027BC6B0" w14:textId="77777777" w:rsidR="00063A86" w:rsidRDefault="00063A86" w:rsidP="00063A86">
      <w:pPr>
        <w:pStyle w:val="NoSpacing"/>
      </w:pPr>
      <w:r>
        <w:lastRenderedPageBreak/>
        <w:t xml:space="preserve">On December 22, 2025, </w:t>
      </w:r>
      <w:r w:rsidRPr="006B7B9B">
        <w:t xml:space="preserve">in </w:t>
      </w:r>
      <w:r w:rsidRPr="006B7B9B">
        <w:rPr>
          <w:u w:val="single"/>
        </w:rPr>
        <w:t>J.G.G., et al. v, Donald Trump</w:t>
      </w:r>
      <w:r w:rsidRPr="006B7B9B">
        <w:t>,</w:t>
      </w:r>
      <w:r>
        <w:t xml:space="preserve"> U.S. Chief District Court Judge James E. Boasberg issued a preliminary injunction so that 252 Venezuelans who were flown to El Salvador on March 15, 2025, and then on July 18 released to Venezuela, can have a habeas corpus hearing. </w:t>
      </w:r>
      <w:r w:rsidRPr="001B3292">
        <w:t>In exchange, Venezuela released ten U.S. nationals, as well as eighty Venezuelan political prisoners</w:t>
      </w:r>
      <w:r>
        <w:t xml:space="preserve">.  </w:t>
      </w:r>
      <w:hyperlink r:id="rId653" w:history="1">
        <w:r w:rsidRPr="001402A1">
          <w:rPr>
            <w:rStyle w:val="Hyperlink"/>
          </w:rPr>
          <w:t>https://www.casemine.com/judgement/us/694a977ac92f54bb3c63226d</w:t>
        </w:r>
      </w:hyperlink>
      <w:r>
        <w:t xml:space="preserve"> </w:t>
      </w:r>
    </w:p>
    <w:p w14:paraId="618211F8" w14:textId="77777777" w:rsidR="00063A86" w:rsidRDefault="00063A86" w:rsidP="00063A86">
      <w:pPr>
        <w:pStyle w:val="NoSpacing"/>
      </w:pPr>
    </w:p>
    <w:p w14:paraId="55F8549A" w14:textId="77777777" w:rsidR="00063A86" w:rsidRDefault="00063A86" w:rsidP="00063A86">
      <w:pPr>
        <w:pStyle w:val="NoSpacing"/>
      </w:pPr>
      <w:r>
        <w:t>THE COURT HELD:</w:t>
      </w:r>
    </w:p>
    <w:p w14:paraId="32D26BF1" w14:textId="77777777" w:rsidR="00063A86" w:rsidRDefault="00063A86" w:rsidP="00063A86">
      <w:pPr>
        <w:pStyle w:val="NoSpacing"/>
      </w:pPr>
    </w:p>
    <w:p w14:paraId="4D83C7C7" w14:textId="77777777" w:rsidR="00063A86" w:rsidRDefault="00063A86" w:rsidP="00063A86">
      <w:pPr>
        <w:pStyle w:val="NoSpacing"/>
      </w:pPr>
      <w:r>
        <w:t>“</w:t>
      </w:r>
      <w:r w:rsidRPr="00E759D0">
        <w:t>The Government could also theoretically offer Plaintiffs a hearing without returning them to the United States so long as such hearing satisfied the requirements of due process.</w:t>
      </w:r>
      <w:r>
        <w:t xml:space="preserve">” </w:t>
      </w:r>
    </w:p>
    <w:p w14:paraId="53940538" w14:textId="77777777" w:rsidR="00063A86" w:rsidRDefault="00063A86" w:rsidP="00063A86">
      <w:pPr>
        <w:pStyle w:val="NoSpacing"/>
      </w:pPr>
    </w:p>
    <w:p w14:paraId="70990CB5" w14:textId="77777777" w:rsidR="00063A86" w:rsidRDefault="00063A86" w:rsidP="00063A86">
      <w:pPr>
        <w:pStyle w:val="NoSpacing"/>
        <w:rPr>
          <w:b/>
          <w:bCs/>
        </w:rPr>
      </w:pPr>
      <w:r w:rsidRPr="00754926">
        <w:rPr>
          <w:b/>
        </w:rPr>
        <w:t xml:space="preserve">Legal Lesson Learned: </w:t>
      </w:r>
      <w:r>
        <w:rPr>
          <w:b/>
        </w:rPr>
        <w:t xml:space="preserve">The District Court is following the important “emergency docket” ruling by U.S. Supreme Court on April 7, 2025.  </w:t>
      </w:r>
    </w:p>
    <w:p w14:paraId="3A897404" w14:textId="77777777" w:rsidR="00063A86" w:rsidRDefault="00063A86" w:rsidP="00063A86">
      <w:pPr>
        <w:pStyle w:val="NoSpacing"/>
        <w:rPr>
          <w:b/>
          <w:bCs/>
        </w:rPr>
      </w:pPr>
    </w:p>
    <w:p w14:paraId="46348576" w14:textId="77777777" w:rsidR="00063A86" w:rsidRDefault="00063A86" w:rsidP="00063A86">
      <w:pPr>
        <w:pStyle w:val="NoSpacing"/>
      </w:pPr>
      <w:r>
        <w:rPr>
          <w:b/>
        </w:rPr>
        <w:tab/>
      </w:r>
      <w:r w:rsidRPr="002D7D14">
        <w:t xml:space="preserve">Note:  The U.S, Supreme Court held: </w:t>
      </w:r>
    </w:p>
    <w:p w14:paraId="67F0C8B2" w14:textId="77777777" w:rsidR="00063A86" w:rsidRDefault="00063A86" w:rsidP="00063A86">
      <w:pPr>
        <w:pStyle w:val="NoSpacing"/>
        <w:ind w:left="720"/>
      </w:pPr>
      <w:r>
        <w:t>“AEA  [</w:t>
      </w:r>
      <w:r w:rsidRPr="00B40D6F">
        <w:t>Alien Enemies Act</w:t>
      </w:r>
      <w:r>
        <w:t xml:space="preserve">] detainees must receive notice after the date of this order that they are subject to removal under the Act. The notice must be afforded within a reasonable time and in such a manner as will allow them to </w:t>
      </w:r>
      <w:proofErr w:type="gramStart"/>
      <w:r>
        <w:t>actually seek</w:t>
      </w:r>
      <w:proofErr w:type="gramEnd"/>
      <w:r>
        <w:t xml:space="preserve"> habeas relief in the proper venue before such removal occurs.”  </w:t>
      </w:r>
      <w:hyperlink r:id="rId654" w:history="1">
        <w:r w:rsidRPr="00BB12E7">
          <w:rPr>
            <w:rStyle w:val="Hyperlink"/>
          </w:rPr>
          <w:t>https://www.supremecourt.gov/opinions/24pdf/24a931_2c83.pdf</w:t>
        </w:r>
      </w:hyperlink>
    </w:p>
    <w:p w14:paraId="2B28FD87" w14:textId="77777777" w:rsidR="00063A86" w:rsidRDefault="00063A86" w:rsidP="00CC37FA">
      <w:pPr>
        <w:pStyle w:val="NoSpacing"/>
        <w:rPr>
          <w:rFonts w:ascii="Arial Black" w:hAnsi="Arial Black"/>
          <w:sz w:val="28"/>
          <w:szCs w:val="28"/>
        </w:rPr>
      </w:pPr>
    </w:p>
    <w:p w14:paraId="1E7CA3F0" w14:textId="77777777" w:rsidR="00520B72" w:rsidRDefault="00520B72" w:rsidP="00CC37FA">
      <w:pPr>
        <w:pStyle w:val="NoSpacing"/>
        <w:rPr>
          <w:rFonts w:ascii="Arial Black" w:hAnsi="Arial Black"/>
          <w:sz w:val="28"/>
          <w:szCs w:val="28"/>
        </w:rPr>
      </w:pPr>
    </w:p>
    <w:p w14:paraId="4828D293" w14:textId="77777777" w:rsidR="00520B72" w:rsidRDefault="00520B72" w:rsidP="00CC37FA">
      <w:pPr>
        <w:pStyle w:val="NoSpacing"/>
        <w:rPr>
          <w:rFonts w:ascii="Arial Black" w:hAnsi="Arial Black"/>
          <w:sz w:val="28"/>
          <w:szCs w:val="28"/>
        </w:rPr>
      </w:pPr>
    </w:p>
    <w:p w14:paraId="5CD2B5B3" w14:textId="2887BFB8" w:rsidR="008963C8" w:rsidRDefault="00063A86" w:rsidP="00CC37FA">
      <w:pPr>
        <w:pStyle w:val="NoSpacing"/>
        <w:rPr>
          <w:rFonts w:ascii="Arial Black" w:hAnsi="Arial Black"/>
          <w:sz w:val="28"/>
          <w:szCs w:val="28"/>
        </w:rPr>
      </w:pPr>
      <w:r>
        <w:rPr>
          <w:rFonts w:ascii="Arial Black" w:hAnsi="Arial Black"/>
          <w:sz w:val="28"/>
          <w:szCs w:val="28"/>
        </w:rPr>
        <w:t>3-</w:t>
      </w:r>
      <w:r w:rsidR="00493A6B">
        <w:rPr>
          <w:rFonts w:ascii="Arial Black" w:hAnsi="Arial Black"/>
          <w:sz w:val="28"/>
          <w:szCs w:val="28"/>
        </w:rPr>
        <w:t>86</w:t>
      </w:r>
    </w:p>
    <w:p w14:paraId="033FCC38" w14:textId="77777777" w:rsidR="00493A6B" w:rsidRDefault="00493A6B" w:rsidP="00CC37FA">
      <w:pPr>
        <w:pStyle w:val="NoSpacing"/>
        <w:rPr>
          <w:rFonts w:ascii="Arial Black" w:hAnsi="Arial Black"/>
          <w:sz w:val="28"/>
          <w:szCs w:val="28"/>
        </w:rPr>
      </w:pPr>
    </w:p>
    <w:p w14:paraId="2137E37A" w14:textId="77777777" w:rsidR="00366097" w:rsidRPr="00DF5463" w:rsidRDefault="00366097" w:rsidP="00366097">
      <w:pPr>
        <w:rPr>
          <w:rFonts w:ascii="Arial Black" w:hAnsi="Arial Black"/>
          <w:b/>
          <w:sz w:val="28"/>
          <w:szCs w:val="28"/>
        </w:rPr>
      </w:pPr>
      <w:r w:rsidRPr="00975A49">
        <w:rPr>
          <w:rFonts w:ascii="Arial Black" w:hAnsi="Arial Black"/>
          <w:b/>
          <w:sz w:val="28"/>
          <w:szCs w:val="28"/>
        </w:rPr>
        <w:t>RI:</w:t>
      </w:r>
      <w:r w:rsidRPr="00DF5463">
        <w:rPr>
          <w:rFonts w:ascii="Arial Black" w:hAnsi="Arial Black"/>
          <w:b/>
          <w:sz w:val="28"/>
          <w:szCs w:val="28"/>
        </w:rPr>
        <w:t xml:space="preserve"> </w:t>
      </w:r>
      <w:r>
        <w:rPr>
          <w:rFonts w:ascii="Arial Black" w:hAnsi="Arial Black"/>
          <w:b/>
          <w:sz w:val="28"/>
          <w:szCs w:val="28"/>
        </w:rPr>
        <w:t>DHS GRANTS – “SANCTUARY” STATES GET INJUNCTION</w:t>
      </w:r>
    </w:p>
    <w:p w14:paraId="781E81C7" w14:textId="77777777" w:rsidR="00366097" w:rsidRDefault="00366097" w:rsidP="00366097">
      <w:pPr>
        <w:pStyle w:val="NoSpacing"/>
      </w:pPr>
      <w:r>
        <w:t xml:space="preserve">On December 22, 2025, in </w:t>
      </w:r>
      <w:r w:rsidRPr="00944810">
        <w:rPr>
          <w:u w:val="single"/>
        </w:rPr>
        <w:t>State of Illinois, et al. v. Kristi Noem, Secretary of the Department of Homeland Security</w:t>
      </w:r>
      <w:r>
        <w:t>, U.S. District Court Judge M</w:t>
      </w:r>
      <w:r w:rsidRPr="00975A49">
        <w:t xml:space="preserve">ary S. McElroy, United States District </w:t>
      </w:r>
      <w:r>
        <w:t xml:space="preserve">Court for District of Rhode Island, granted the plaintiff states’ motion for summary judgment, finding violation of the </w:t>
      </w:r>
      <w:r w:rsidRPr="002A7598">
        <w:t>Administrative Procedure Act</w:t>
      </w:r>
      <w:r>
        <w:t xml:space="preserve">.  DHS in September 2025 issued award letters to state governments indicating that hundreds of millions of dollars of anticipated awards to so-called “sanctuary jurisdictions” were being reallocated to other jurisdictions. Twelve States and the District of Columbia sued, challenging both that reallocation itself and related decisions by DHS. </w:t>
      </w:r>
      <w:hyperlink r:id="rId655" w:history="1">
        <w:r w:rsidRPr="000E235D">
          <w:rPr>
            <w:rStyle w:val="Hyperlink"/>
            <w:b/>
          </w:rPr>
          <w:t>https://ecf.rid.uscourts.gov/cgi-bin/show_public_doc?2025cv0495-53</w:t>
        </w:r>
      </w:hyperlink>
    </w:p>
    <w:p w14:paraId="4565B3EB" w14:textId="77777777" w:rsidR="00366097" w:rsidRDefault="00366097" w:rsidP="00366097">
      <w:pPr>
        <w:pStyle w:val="NoSpacing"/>
      </w:pPr>
    </w:p>
    <w:p w14:paraId="69B40553" w14:textId="77777777" w:rsidR="00366097" w:rsidRDefault="00366097" w:rsidP="00366097">
      <w:pPr>
        <w:pStyle w:val="NoSpacing"/>
      </w:pPr>
      <w:r>
        <w:t>THE COURT HELD:</w:t>
      </w:r>
    </w:p>
    <w:p w14:paraId="3A3D41E1" w14:textId="77777777" w:rsidR="00366097" w:rsidRDefault="00366097" w:rsidP="00366097">
      <w:pPr>
        <w:pStyle w:val="NoSpacing"/>
      </w:pPr>
    </w:p>
    <w:p w14:paraId="5B1530D3" w14:textId="77777777" w:rsidR="00366097" w:rsidRDefault="00366097" w:rsidP="00366097">
      <w:pPr>
        <w:pStyle w:val="NoSpacing"/>
        <w:ind w:firstLine="720"/>
      </w:pPr>
      <w:r>
        <w:t xml:space="preserve">“In the wake of the September 11 terrorist attacks, Congress authorized the </w:t>
      </w:r>
    </w:p>
    <w:p w14:paraId="56FEF18E" w14:textId="77777777" w:rsidR="00366097" w:rsidRDefault="00366097" w:rsidP="00366097">
      <w:pPr>
        <w:pStyle w:val="NoSpacing"/>
        <w:ind w:firstLine="720"/>
      </w:pPr>
      <w:r>
        <w:t xml:space="preserve">Homeland Security Grant </w:t>
      </w:r>
      <w:proofErr w:type="gramStart"/>
      <w:r>
        <w:t>Program (‘</w:t>
      </w:r>
      <w:proofErr w:type="gramEnd"/>
      <w:r>
        <w:t>HSGP’) to strengthen national security through</w:t>
      </w:r>
    </w:p>
    <w:p w14:paraId="0D85CBCD" w14:textId="77777777" w:rsidR="00366097" w:rsidRDefault="00366097" w:rsidP="00366097">
      <w:pPr>
        <w:pStyle w:val="NoSpacing"/>
        <w:ind w:left="720"/>
      </w:pPr>
      <w:r>
        <w:t xml:space="preserve">grant funding to state, local, tribal, and territorial governments…. HSGP includes three grant programs: the State Homeland Security Grant </w:t>
      </w:r>
      <w:proofErr w:type="gramStart"/>
      <w:r>
        <w:t>Program (‘</w:t>
      </w:r>
      <w:proofErr w:type="gramEnd"/>
      <w:r>
        <w:t>SHSP’), the Urban Area</w:t>
      </w:r>
    </w:p>
    <w:p w14:paraId="60E82A92" w14:textId="77777777" w:rsidR="00366097" w:rsidRDefault="00366097" w:rsidP="00366097">
      <w:pPr>
        <w:pStyle w:val="NoSpacing"/>
        <w:ind w:left="720"/>
      </w:pPr>
      <w:r>
        <w:t xml:space="preserve">Security Initiative (‘UASI’), and Operation </w:t>
      </w:r>
      <w:proofErr w:type="spellStart"/>
      <w:r>
        <w:t>Stonegarden</w:t>
      </w:r>
      <w:proofErr w:type="spellEnd"/>
      <w:r>
        <w:t xml:space="preserve"> [Border response]…. Since the beginning of the current administration, the executive branch has repeatedly sought to tie federal grant funding for programs like HSGP to state and local governments’ assistance with federal immigration enforcement. On January 20, 2025, President Trump issued an executive order directing DHS to ‘ensure that so-called ‘sanctuary’ jurisdictions . . . do not receive access to Federal funds.’ Exec. Order No. 14159, § 17, 90 Fed. Reg. 8443, 8446 (Jan. 20, 2025)…. On September 27, Defendants sent States HSGP final award letters reflecting</w:t>
      </w:r>
    </w:p>
    <w:p w14:paraId="45B61E99" w14:textId="77777777" w:rsidR="00366097" w:rsidRDefault="00366097" w:rsidP="00366097">
      <w:pPr>
        <w:ind w:left="720"/>
        <w:rPr>
          <w:b/>
        </w:rPr>
      </w:pPr>
      <w:r>
        <w:t>massive funding reallocations from Plaintiffs to other jurisdictions…. In total, the difference in target allocations from the August 1 NOFO [</w:t>
      </w:r>
      <w:r w:rsidRPr="001A02E9">
        <w:t>notice of funding opportunity</w:t>
      </w:r>
      <w:r>
        <w:t>]</w:t>
      </w:r>
      <w:r w:rsidRPr="001A02E9">
        <w:t xml:space="preserve"> </w:t>
      </w:r>
      <w:r>
        <w:t xml:space="preserve">and the final awards amounted to cuts of over $240 million to Plaintiffs…. And Defendants provide no substantive, contemporaneous justification whatsoever for the funding changes that took place between the DHS Directive and the final award letters, i.e., the round-number </w:t>
      </w:r>
      <w:r>
        <w:lastRenderedPageBreak/>
        <w:t xml:space="preserve">increases in awards to favored jurisdictions. Defendants’ failure to do so further renders the Reallocation Decision arbitrary and capricious.” </w:t>
      </w:r>
    </w:p>
    <w:p w14:paraId="76C09B36" w14:textId="77777777" w:rsidR="00366097" w:rsidRDefault="00366097" w:rsidP="00366097">
      <w:pPr>
        <w:rPr>
          <w:b/>
        </w:rPr>
      </w:pPr>
      <w:r>
        <w:rPr>
          <w:b/>
        </w:rPr>
        <w:t xml:space="preserve">Legal lesson learned: Can’t punish sanctuary states and cities by reducing DHS grants. </w:t>
      </w:r>
    </w:p>
    <w:p w14:paraId="7D82E27D" w14:textId="77777777" w:rsidR="00366097" w:rsidRDefault="00366097" w:rsidP="00CC37FA">
      <w:pPr>
        <w:pStyle w:val="NoSpacing"/>
        <w:rPr>
          <w:rFonts w:ascii="Arial Black" w:hAnsi="Arial Black"/>
          <w:sz w:val="28"/>
          <w:szCs w:val="28"/>
        </w:rPr>
      </w:pPr>
    </w:p>
    <w:p w14:paraId="59F11B25" w14:textId="7711B178" w:rsidR="008963C8" w:rsidRDefault="00366097" w:rsidP="00CC37FA">
      <w:pPr>
        <w:pStyle w:val="NoSpacing"/>
        <w:rPr>
          <w:rFonts w:ascii="Arial Black" w:hAnsi="Arial Black"/>
          <w:sz w:val="28"/>
          <w:szCs w:val="28"/>
        </w:rPr>
      </w:pPr>
      <w:r>
        <w:rPr>
          <w:rFonts w:ascii="Arial Black" w:hAnsi="Arial Black"/>
          <w:sz w:val="28"/>
          <w:szCs w:val="28"/>
        </w:rPr>
        <w:t>3-</w:t>
      </w:r>
      <w:r w:rsidR="00493A6B">
        <w:rPr>
          <w:rFonts w:ascii="Arial Black" w:hAnsi="Arial Black"/>
          <w:sz w:val="28"/>
          <w:szCs w:val="28"/>
        </w:rPr>
        <w:t>85</w:t>
      </w:r>
    </w:p>
    <w:p w14:paraId="16F9EBF2" w14:textId="77777777" w:rsidR="00366097" w:rsidRDefault="00366097" w:rsidP="00CC37FA">
      <w:pPr>
        <w:pStyle w:val="NoSpacing"/>
        <w:rPr>
          <w:rFonts w:ascii="Arial Black" w:hAnsi="Arial Black"/>
          <w:sz w:val="28"/>
          <w:szCs w:val="28"/>
        </w:rPr>
      </w:pPr>
    </w:p>
    <w:p w14:paraId="67AD2625" w14:textId="77777777" w:rsidR="00493A6B" w:rsidRPr="00174162" w:rsidRDefault="00493A6B" w:rsidP="00493A6B">
      <w:pPr>
        <w:rPr>
          <w:rFonts w:ascii="Arial Black" w:hAnsi="Arial Black"/>
          <w:b/>
          <w:sz w:val="28"/>
          <w:szCs w:val="28"/>
        </w:rPr>
      </w:pPr>
      <w:r>
        <w:rPr>
          <w:rFonts w:ascii="Arial Black" w:hAnsi="Arial Black"/>
          <w:b/>
          <w:sz w:val="28"/>
          <w:szCs w:val="28"/>
        </w:rPr>
        <w:t>NJ: ACTING U.S. ATTY NOT CONFIRMED - DISQUALIFIED</w:t>
      </w:r>
    </w:p>
    <w:p w14:paraId="789D3A78" w14:textId="77777777" w:rsidR="00493A6B" w:rsidRDefault="00493A6B" w:rsidP="00493A6B">
      <w:pPr>
        <w:pStyle w:val="NoSpacing"/>
      </w:pPr>
      <w:r>
        <w:t xml:space="preserve">On December 1, 2025, in </w:t>
      </w:r>
      <w:r w:rsidRPr="00C07203">
        <w:rPr>
          <w:u w:val="single"/>
        </w:rPr>
        <w:t>United States v. Julien Giraud, Jr. et al.</w:t>
      </w:r>
      <w:r>
        <w:t xml:space="preserve"> the U.S. Court of Appeals for Third Circuit (Philadelphia) held that </w:t>
      </w:r>
      <w:r w:rsidRPr="00C07203">
        <w:t>Alina Habba</w:t>
      </w:r>
      <w:r>
        <w:t xml:space="preserve">, who was appointed Acting U.S. Attorney for the District of New Jersey, was properly removed by order of U.S. District Court since she was not confirmed by the Senate within 120 days of replacing the resigned U.S. Attorney.   Two indicted criminal defendants were denied motions to dismiss their indictments.  </w:t>
      </w:r>
      <w:hyperlink r:id="rId656" w:history="1">
        <w:r w:rsidRPr="006358C5">
          <w:rPr>
            <w:rStyle w:val="Hyperlink"/>
          </w:rPr>
          <w:t>https://cases.justia.com/federal/appellate-courts/ca3/25-2635/25-2635-2025-12-01.pdf?ts=1764612050</w:t>
        </w:r>
      </w:hyperlink>
      <w:r>
        <w:t xml:space="preserve"> </w:t>
      </w:r>
    </w:p>
    <w:p w14:paraId="42D9166A" w14:textId="77777777" w:rsidR="00493A6B" w:rsidRDefault="00493A6B" w:rsidP="00493A6B">
      <w:pPr>
        <w:pStyle w:val="NoSpacing"/>
      </w:pPr>
    </w:p>
    <w:p w14:paraId="1D3DAE10" w14:textId="77777777" w:rsidR="00493A6B" w:rsidRDefault="00493A6B" w:rsidP="00493A6B">
      <w:pPr>
        <w:pStyle w:val="NoSpacing"/>
      </w:pPr>
      <w:r>
        <w:t>THE COURT HELD:</w:t>
      </w:r>
    </w:p>
    <w:p w14:paraId="624B4F36" w14:textId="77777777" w:rsidR="00493A6B" w:rsidRDefault="00493A6B" w:rsidP="00493A6B">
      <w:pPr>
        <w:pStyle w:val="NoSpacing"/>
      </w:pPr>
    </w:p>
    <w:p w14:paraId="7E2ABBAE" w14:textId="77777777" w:rsidR="00493A6B" w:rsidRDefault="00493A6B" w:rsidP="00493A6B">
      <w:pPr>
        <w:pStyle w:val="NoSpacing"/>
        <w:ind w:left="720"/>
      </w:pPr>
      <w:r>
        <w:t xml:space="preserve">“On March 3, under the new presidential administration, Attorney General Pamela Bondi appointed John Giordano as Interim U.S. Attorney for New Jersey pursuant to 28 U.S.C. § 546(a). Giordano resigned three weeks later, at which time the Attorney General appointed Alina Habba as Interim U.S. Attorney, also pursuant to § 546(a). Habba was sworn in on March 28. On June 30, President Donald Trump nominated her for the permanent role. The Senate never acted on the nomination. </w:t>
      </w:r>
    </w:p>
    <w:p w14:paraId="486F0616" w14:textId="77777777" w:rsidR="00493A6B" w:rsidRDefault="00493A6B" w:rsidP="00493A6B">
      <w:pPr>
        <w:pStyle w:val="NoSpacing"/>
        <w:ind w:left="720"/>
      </w:pPr>
    </w:p>
    <w:p w14:paraId="664947D7" w14:textId="77777777" w:rsidR="00493A6B" w:rsidRDefault="00493A6B" w:rsidP="00493A6B">
      <w:pPr>
        <w:pStyle w:val="NoSpacing"/>
        <w:ind w:left="720"/>
      </w:pPr>
      <w:r>
        <w:t>As § 546’s 120-day deadline approached, the United States District Court for the District of New Jersey issued a standing order pursuant to 28 U.S.C. § 546(d) providing that</w:t>
      </w:r>
    </w:p>
    <w:p w14:paraId="2455F8BF" w14:textId="77777777" w:rsidR="00493A6B" w:rsidRDefault="00493A6B" w:rsidP="00493A6B">
      <w:pPr>
        <w:pStyle w:val="NoSpacing"/>
        <w:ind w:left="720"/>
      </w:pPr>
      <w:r>
        <w:t xml:space="preserve">Desiree Grace—the First Assistant U.S. Attorney at the time— would be Interim U.S. Attorney effective upon the expiration of Habba’s 120-day term under § 546.1 In response, the Department of Justice terminated Grace’s employment…. </w:t>
      </w:r>
    </w:p>
    <w:p w14:paraId="1134719C" w14:textId="77777777" w:rsidR="00493A6B" w:rsidRDefault="00493A6B" w:rsidP="00493A6B">
      <w:pPr>
        <w:pStyle w:val="NoSpacing"/>
        <w:ind w:left="720"/>
      </w:pPr>
    </w:p>
    <w:p w14:paraId="23F72652" w14:textId="77777777" w:rsidR="00493A6B" w:rsidRDefault="00493A6B" w:rsidP="00493A6B">
      <w:pPr>
        <w:pStyle w:val="NoSpacing"/>
        <w:ind w:left="720"/>
      </w:pPr>
      <w:r>
        <w:t xml:space="preserve">Then on July 2, </w:t>
      </w:r>
      <w:r w:rsidRPr="007A501B">
        <w:t>the Trump administration took several steps:</w:t>
      </w:r>
      <w:r>
        <w:t xml:space="preserve"> (1) the President withdrew Habba’s nomination for U.S. Attorney; (2) Habba resigned as Interim U.S. Attorney; (3) the Attorney General issued an order appointing Habba as ‘Special Attorney’ to the Attorney General, accompanied by a letter authorizing Habba to conduct ‘any kind of legal proceedings … which United States Attorneys are authorized to conduct’ pursuant to 28 U.S.C. § 515, App. 161–62, 165; and (4) in the same order, the Attorney General also designated Habba as First Assistant U.S. Attorney, which purported to mean that Habba automatically became Acting U.S. Attorney pursuant to the FVRA [Federal Vacancies Reform Act], 5 U.S.C. § 3345(a)(1)….</w:t>
      </w:r>
    </w:p>
    <w:p w14:paraId="5B85D78D" w14:textId="77777777" w:rsidR="00493A6B" w:rsidRDefault="00493A6B" w:rsidP="00493A6B">
      <w:pPr>
        <w:pStyle w:val="NoSpacing"/>
        <w:ind w:left="720"/>
      </w:pPr>
    </w:p>
    <w:p w14:paraId="38AB2C2B" w14:textId="77777777" w:rsidR="00493A6B" w:rsidRDefault="00493A6B" w:rsidP="00493A6B">
      <w:pPr>
        <w:pStyle w:val="NoSpacing"/>
        <w:ind w:left="720"/>
      </w:pPr>
      <w:r>
        <w:t>Habba is not the Acting U.S. Attorney for the District of New Jersey by virtue of her appointment as First Assistant U.S. Attorney because only the first assistant in place at the time the vacancy arises automatically assumes the functions and duties of the office under the FVRA. Additionally, because Habba was nominated for the vacant U.S. Attorney position, the FVRA’s nomination bar prevents her from assuming the role of Acting U.S. Attorney. Finally, the Attorney General’s delegation of all the powers of a U.S. Attorney to Habba is prohibited by the FVRA’s exclusivity provision. Therefore, we</w:t>
      </w:r>
    </w:p>
    <w:p w14:paraId="19CA2F56" w14:textId="77777777" w:rsidR="00493A6B" w:rsidRDefault="00493A6B" w:rsidP="00493A6B">
      <w:pPr>
        <w:pStyle w:val="NoSpacing"/>
        <w:ind w:left="720"/>
      </w:pPr>
      <w:r>
        <w:t xml:space="preserve">will affirm the District Court’s disqualification order.” </w:t>
      </w:r>
    </w:p>
    <w:p w14:paraId="7C86B52E" w14:textId="77777777" w:rsidR="00493A6B" w:rsidRDefault="00493A6B" w:rsidP="00493A6B">
      <w:pPr>
        <w:pStyle w:val="NoSpacing"/>
        <w:ind w:left="720"/>
      </w:pPr>
    </w:p>
    <w:p w14:paraId="56E195BA" w14:textId="77777777" w:rsidR="00493A6B" w:rsidRPr="00114BAB" w:rsidRDefault="00493A6B" w:rsidP="00493A6B">
      <w:pPr>
        <w:pStyle w:val="NoSpacing"/>
        <w:rPr>
          <w:b/>
          <w:bCs/>
        </w:rPr>
      </w:pPr>
      <w:r>
        <w:rPr>
          <w:b/>
        </w:rPr>
        <w:t>Legal lesson learned:  The U.S. Attorney for New Jersey has a critical responsibility, thereby requiring Senate confirmation – the District Court and the 3</w:t>
      </w:r>
      <w:r w:rsidRPr="00AF3F47">
        <w:rPr>
          <w:b/>
          <w:vertAlign w:val="superscript"/>
        </w:rPr>
        <w:t>rd</w:t>
      </w:r>
      <w:r>
        <w:rPr>
          <w:b/>
        </w:rPr>
        <w:t xml:space="preserve"> Circuit had no patience with breaches of the appointment process. </w:t>
      </w:r>
    </w:p>
    <w:p w14:paraId="2739EFB1" w14:textId="77777777" w:rsidR="00493A6B" w:rsidRDefault="00493A6B" w:rsidP="00493A6B">
      <w:pPr>
        <w:pStyle w:val="NoSpacing"/>
      </w:pPr>
    </w:p>
    <w:p w14:paraId="23815DE8" w14:textId="77777777" w:rsidR="00366097" w:rsidRDefault="00366097" w:rsidP="00CC37FA">
      <w:pPr>
        <w:pStyle w:val="NoSpacing"/>
        <w:rPr>
          <w:rFonts w:ascii="Arial Black" w:hAnsi="Arial Black"/>
          <w:sz w:val="28"/>
          <w:szCs w:val="28"/>
        </w:rPr>
      </w:pPr>
    </w:p>
    <w:p w14:paraId="7154B091" w14:textId="77777777" w:rsidR="008963C8" w:rsidRDefault="008963C8" w:rsidP="00CC37FA">
      <w:pPr>
        <w:pStyle w:val="NoSpacing"/>
        <w:rPr>
          <w:rFonts w:ascii="Arial Black" w:hAnsi="Arial Black"/>
          <w:sz w:val="28"/>
          <w:szCs w:val="28"/>
        </w:rPr>
      </w:pPr>
    </w:p>
    <w:p w14:paraId="2AF7CAA4" w14:textId="11AB3D20" w:rsidR="003E3554" w:rsidRDefault="00CC37FA" w:rsidP="00CC37FA">
      <w:pPr>
        <w:pStyle w:val="NoSpacing"/>
        <w:rPr>
          <w:rFonts w:ascii="Arial Black" w:hAnsi="Arial Black"/>
          <w:sz w:val="28"/>
          <w:szCs w:val="28"/>
        </w:rPr>
      </w:pPr>
      <w:r>
        <w:rPr>
          <w:rFonts w:ascii="Arial Black" w:hAnsi="Arial Black"/>
          <w:sz w:val="28"/>
          <w:szCs w:val="28"/>
        </w:rPr>
        <w:t xml:space="preserve">3-84 </w:t>
      </w:r>
    </w:p>
    <w:p w14:paraId="67E0D58F" w14:textId="77777777" w:rsidR="003E3554" w:rsidRDefault="003E3554" w:rsidP="00CC37FA">
      <w:pPr>
        <w:pStyle w:val="NoSpacing"/>
        <w:rPr>
          <w:rFonts w:ascii="Arial Black" w:hAnsi="Arial Black"/>
          <w:sz w:val="28"/>
          <w:szCs w:val="28"/>
        </w:rPr>
      </w:pPr>
    </w:p>
    <w:p w14:paraId="1008CAB1" w14:textId="7F25CAC5" w:rsidR="00CC37FA" w:rsidRPr="003E3554" w:rsidRDefault="00CC37FA" w:rsidP="00CC37FA">
      <w:pPr>
        <w:pStyle w:val="NoSpacing"/>
        <w:rPr>
          <w:rFonts w:ascii="Times New Roman" w:hAnsi="Times New Roman"/>
          <w:b/>
          <w:sz w:val="24"/>
          <w:szCs w:val="24"/>
        </w:rPr>
      </w:pPr>
      <w:r w:rsidRPr="00CC37FA">
        <w:rPr>
          <w:rFonts w:ascii="Times New Roman" w:hAnsi="Times New Roman"/>
          <w:b/>
          <w:sz w:val="24"/>
          <w:szCs w:val="24"/>
        </w:rPr>
        <w:t>Professor Bennett’s articles in Homeland Security Today:</w:t>
      </w:r>
      <w:r w:rsidR="004B2E70" w:rsidRPr="003E3554">
        <w:rPr>
          <w:rFonts w:ascii="Times New Roman" w:hAnsi="Times New Roman"/>
          <w:b/>
          <w:sz w:val="24"/>
          <w:szCs w:val="24"/>
        </w:rPr>
        <w:t xml:space="preserve"> </w:t>
      </w:r>
    </w:p>
    <w:p w14:paraId="2E543E07" w14:textId="185500B4" w:rsidR="00CC37FA" w:rsidRPr="00CC37FA" w:rsidRDefault="00CC37FA" w:rsidP="00CC37FA">
      <w:pPr>
        <w:pStyle w:val="NoSpacing"/>
        <w:rPr>
          <w:rFonts w:ascii="Arial Black" w:hAnsi="Arial Black"/>
          <w:b/>
          <w:bCs/>
          <w:sz w:val="28"/>
          <w:szCs w:val="28"/>
        </w:rPr>
      </w:pPr>
      <w:r w:rsidRPr="00CC37FA">
        <w:rPr>
          <w:rFonts w:ascii="Times New Roman" w:hAnsi="Times New Roman"/>
          <w:b/>
          <w:sz w:val="24"/>
          <w:szCs w:val="24"/>
        </w:rPr>
        <w:t xml:space="preserve">Dec. 28, 1995: Supreme Court Blocks National Guard Deployment to Chicago, Restricts Presidential Power Under Title 10. Landmark ruling reshapes federal authority and strengthens governors’ control over National Guard deployments. </w:t>
      </w:r>
      <w:hyperlink r:id="rId657" w:history="1">
        <w:r w:rsidRPr="00CC37FA">
          <w:rPr>
            <w:rStyle w:val="Hyperlink"/>
            <w:rFonts w:ascii="Times New Roman" w:hAnsi="Times New Roman"/>
            <w:b/>
            <w:sz w:val="24"/>
            <w:szCs w:val="24"/>
          </w:rPr>
          <w:t>https://www.hstoday.us/us-national-guard/column-supreme-court-blocks-national-guard-deployment-to-chicago-restricts-presidential-power-under-title-10/</w:t>
        </w:r>
      </w:hyperlink>
      <w:r w:rsidRPr="00CC37FA">
        <w:rPr>
          <w:rFonts w:ascii="Arial Black" w:hAnsi="Arial Black"/>
          <w:b/>
          <w:bCs/>
          <w:sz w:val="28"/>
          <w:szCs w:val="28"/>
        </w:rPr>
        <w:t xml:space="preserve"> </w:t>
      </w:r>
    </w:p>
    <w:p w14:paraId="5E02F121" w14:textId="6059B6B9" w:rsidR="00CC37FA" w:rsidRPr="00CC37FA" w:rsidRDefault="00CC37FA" w:rsidP="00CC37FA">
      <w:pPr>
        <w:pStyle w:val="NoSpacing"/>
        <w:rPr>
          <w:rFonts w:ascii="Arial Black" w:hAnsi="Arial Black"/>
          <w:b/>
          <w:sz w:val="24"/>
          <w:szCs w:val="24"/>
        </w:rPr>
      </w:pPr>
      <w:r w:rsidRPr="00CC37FA">
        <w:rPr>
          <w:rFonts w:ascii="Arial Black" w:hAnsi="Arial Black"/>
          <w:b/>
          <w:sz w:val="24"/>
          <w:szCs w:val="24"/>
        </w:rPr>
        <w:t xml:space="preserve"> </w:t>
      </w:r>
    </w:p>
    <w:p w14:paraId="552A59B3" w14:textId="77777777" w:rsidR="004B2E70" w:rsidRPr="003E3554" w:rsidRDefault="004B2E70" w:rsidP="004B2E70">
      <w:pPr>
        <w:pStyle w:val="NoSpacing"/>
        <w:ind w:left="720"/>
        <w:rPr>
          <w:rFonts w:ascii="Times New Roman" w:hAnsi="Times New Roman"/>
          <w:b/>
          <w:sz w:val="24"/>
          <w:szCs w:val="24"/>
        </w:rPr>
      </w:pPr>
      <w:proofErr w:type="gramStart"/>
      <w:r w:rsidRPr="003E3554">
        <w:rPr>
          <w:rFonts w:ascii="Times New Roman" w:hAnsi="Times New Roman"/>
          <w:b/>
          <w:sz w:val="24"/>
          <w:szCs w:val="24"/>
        </w:rPr>
        <w:t>See</w:t>
      </w:r>
      <w:proofErr w:type="gramEnd"/>
      <w:r w:rsidRPr="003E3554">
        <w:rPr>
          <w:rFonts w:ascii="Times New Roman" w:hAnsi="Times New Roman"/>
          <w:b/>
          <w:sz w:val="24"/>
          <w:szCs w:val="24"/>
        </w:rPr>
        <w:t xml:space="preserve"> also: </w:t>
      </w:r>
    </w:p>
    <w:p w14:paraId="2D43BD63" w14:textId="77777777" w:rsidR="004B2E70" w:rsidRDefault="004B2E70" w:rsidP="004B2E70">
      <w:pPr>
        <w:pStyle w:val="NoSpacing"/>
        <w:ind w:left="720"/>
        <w:rPr>
          <w:rFonts w:ascii="Arial Black" w:hAnsi="Arial Black"/>
          <w:b/>
          <w:sz w:val="24"/>
          <w:szCs w:val="24"/>
        </w:rPr>
      </w:pPr>
    </w:p>
    <w:p w14:paraId="2E25BF97" w14:textId="77777777" w:rsidR="004B2E70" w:rsidRPr="00CC37FA" w:rsidRDefault="004B2E70" w:rsidP="004B2E70">
      <w:pPr>
        <w:pStyle w:val="NoSpacing"/>
        <w:ind w:left="720"/>
        <w:rPr>
          <w:rFonts w:ascii="Arial Black" w:hAnsi="Arial Black"/>
          <w:b/>
          <w:bCs/>
          <w:sz w:val="24"/>
          <w:szCs w:val="24"/>
        </w:rPr>
      </w:pPr>
      <w:r w:rsidRPr="00CC37FA">
        <w:rPr>
          <w:rFonts w:ascii="Arial Black" w:hAnsi="Arial Black"/>
          <w:b/>
          <w:sz w:val="24"/>
          <w:szCs w:val="24"/>
        </w:rPr>
        <w:t xml:space="preserve">Dec. 19, 2025: </w:t>
      </w:r>
      <w:r w:rsidRPr="00CC37FA">
        <w:rPr>
          <w:rFonts w:ascii="Arial Black" w:hAnsi="Arial Black"/>
          <w:b/>
          <w:bCs/>
          <w:sz w:val="24"/>
          <w:szCs w:val="24"/>
        </w:rPr>
        <w:t xml:space="preserve">Federal Courts Continue to Block DHS and FEMA DEI Grant Conditions. </w:t>
      </w:r>
      <w:r w:rsidRPr="00CC37FA">
        <w:rPr>
          <w:rFonts w:ascii="Times New Roman" w:hAnsi="Times New Roman"/>
          <w:sz w:val="24"/>
          <w:szCs w:val="24"/>
        </w:rPr>
        <w:t xml:space="preserve">Twin injunctions protect billions in emergency preparedness funding from diversity program compliance mandates.  </w:t>
      </w:r>
      <w:hyperlink r:id="rId658" w:history="1">
        <w:r w:rsidRPr="00CC37FA">
          <w:rPr>
            <w:rStyle w:val="Hyperlink"/>
            <w:rFonts w:ascii="Times New Roman" w:hAnsi="Times New Roman"/>
            <w:sz w:val="24"/>
            <w:szCs w:val="24"/>
          </w:rPr>
          <w:t>https://www.hstoday.us/fema-dhs-federal-pages/column-federal-courts-block-dhs-and-fema-dei-grant-conditions/</w:t>
        </w:r>
      </w:hyperlink>
      <w:r w:rsidRPr="00CC37FA">
        <w:rPr>
          <w:rFonts w:ascii="Arial Black" w:hAnsi="Arial Black"/>
          <w:b/>
          <w:bCs/>
          <w:sz w:val="24"/>
          <w:szCs w:val="24"/>
        </w:rPr>
        <w:t xml:space="preserve"> </w:t>
      </w:r>
    </w:p>
    <w:p w14:paraId="1CF2EAC8" w14:textId="77777777" w:rsidR="004B2E70" w:rsidRDefault="004B2E70" w:rsidP="004B2E70">
      <w:pPr>
        <w:pStyle w:val="NoSpacing"/>
        <w:ind w:left="720"/>
        <w:rPr>
          <w:rFonts w:ascii="Arial Black" w:hAnsi="Arial Black"/>
          <w:b/>
          <w:sz w:val="24"/>
          <w:szCs w:val="24"/>
        </w:rPr>
      </w:pPr>
    </w:p>
    <w:p w14:paraId="6A9A61CE" w14:textId="77777777" w:rsidR="004B2E70" w:rsidRPr="00CC37FA" w:rsidRDefault="004B2E70" w:rsidP="004B2E70">
      <w:pPr>
        <w:pStyle w:val="NoSpacing"/>
        <w:ind w:left="720"/>
        <w:rPr>
          <w:rFonts w:ascii="Arial Black" w:hAnsi="Arial Black"/>
          <w:b/>
          <w:sz w:val="24"/>
          <w:szCs w:val="24"/>
        </w:rPr>
      </w:pPr>
      <w:r w:rsidRPr="00CC37FA">
        <w:rPr>
          <w:rFonts w:ascii="Arial Black" w:hAnsi="Arial Black"/>
          <w:b/>
          <w:sz w:val="24"/>
          <w:szCs w:val="24"/>
        </w:rPr>
        <w:t xml:space="preserve">Oct. 7, 2025: Federal Courts Block FEMA &amp; DHS Immigration Grant Conditions, Safeguarding Billions in Emergency Preparedness Funds. </w:t>
      </w:r>
      <w:r w:rsidRPr="00CC37FA">
        <w:rPr>
          <w:rFonts w:ascii="Times New Roman" w:hAnsi="Times New Roman"/>
          <w:bCs/>
          <w:sz w:val="24"/>
          <w:szCs w:val="24"/>
        </w:rPr>
        <w:t xml:space="preserve">Decisions impact disaster relief, firefighter assistance, cybersecurity, and counterterrorism grants administered through FEMA and DHS.    </w:t>
      </w:r>
      <w:hyperlink r:id="rId659" w:history="1">
        <w:r w:rsidRPr="00CC37FA">
          <w:rPr>
            <w:rStyle w:val="Hyperlink"/>
            <w:rFonts w:ascii="Times New Roman" w:hAnsi="Times New Roman"/>
            <w:bCs/>
            <w:sz w:val="24"/>
            <w:szCs w:val="24"/>
          </w:rPr>
          <w:t>https://www.hstoday.us/perspective/eyes-on-preparedness-federal-courts-block-fema-dhs-immigration-grant-conditions-safeguarding-billions-in-emergency-preparedness-funds/</w:t>
        </w:r>
      </w:hyperlink>
      <w:r w:rsidRPr="00CC37FA">
        <w:rPr>
          <w:rFonts w:ascii="Arial Black" w:hAnsi="Arial Black"/>
          <w:b/>
          <w:sz w:val="24"/>
          <w:szCs w:val="24"/>
        </w:rPr>
        <w:t xml:space="preserve"> </w:t>
      </w:r>
    </w:p>
    <w:p w14:paraId="3FA70E40" w14:textId="77777777" w:rsidR="004B2E70" w:rsidRPr="00CC37FA" w:rsidRDefault="004B2E70" w:rsidP="004B2E70">
      <w:pPr>
        <w:pStyle w:val="NoSpacing"/>
        <w:ind w:left="720"/>
        <w:rPr>
          <w:rFonts w:ascii="Arial Black" w:hAnsi="Arial Black"/>
          <w:b/>
          <w:sz w:val="24"/>
          <w:szCs w:val="24"/>
        </w:rPr>
      </w:pPr>
    </w:p>
    <w:p w14:paraId="64BBB83D" w14:textId="411EA589" w:rsidR="00CC37FA" w:rsidRPr="00CC37FA" w:rsidRDefault="00CC37FA" w:rsidP="004B2E70">
      <w:pPr>
        <w:pStyle w:val="NoSpacing"/>
        <w:ind w:left="720"/>
        <w:rPr>
          <w:rFonts w:ascii="Arial Black" w:hAnsi="Arial Black"/>
          <w:b/>
          <w:bCs/>
          <w:sz w:val="24"/>
          <w:szCs w:val="24"/>
        </w:rPr>
      </w:pPr>
      <w:r w:rsidRPr="00CC37FA">
        <w:rPr>
          <w:rFonts w:ascii="Arial Black" w:hAnsi="Arial Black"/>
          <w:b/>
          <w:sz w:val="24"/>
          <w:szCs w:val="24"/>
        </w:rPr>
        <w:t xml:space="preserve">September 24, 2025: </w:t>
      </w:r>
      <w:r w:rsidRPr="00CC37FA">
        <w:rPr>
          <w:rFonts w:ascii="Arial Black" w:hAnsi="Arial Black"/>
          <w:b/>
          <w:bCs/>
          <w:sz w:val="24"/>
          <w:szCs w:val="24"/>
        </w:rPr>
        <w:t>EYES IN THE SKY: Do Cities Need Warrants for Drones?</w:t>
      </w:r>
    </w:p>
    <w:p w14:paraId="1097F34D" w14:textId="77777777" w:rsidR="00CC37FA" w:rsidRPr="00CC37FA" w:rsidRDefault="00CC37FA" w:rsidP="004B2E70">
      <w:pPr>
        <w:pStyle w:val="NoSpacing"/>
        <w:ind w:left="720"/>
        <w:rPr>
          <w:rFonts w:ascii="Times New Roman" w:hAnsi="Times New Roman"/>
          <w:sz w:val="24"/>
          <w:szCs w:val="24"/>
        </w:rPr>
      </w:pPr>
      <w:proofErr w:type="gramStart"/>
      <w:r w:rsidRPr="00CC37FA">
        <w:rPr>
          <w:rFonts w:ascii="Times New Roman" w:hAnsi="Times New Roman"/>
          <w:sz w:val="24"/>
          <w:szCs w:val="24"/>
        </w:rPr>
        <w:t>How</w:t>
      </w:r>
      <w:proofErr w:type="gramEnd"/>
      <w:r w:rsidRPr="00CC37FA">
        <w:rPr>
          <w:rFonts w:ascii="Times New Roman" w:hAnsi="Times New Roman"/>
          <w:sz w:val="24"/>
          <w:szCs w:val="24"/>
        </w:rPr>
        <w:t xml:space="preserve"> recent federal court decisions are reshaping municipal drone enforcement for cannabis enforcement and illegal land use investigations</w:t>
      </w:r>
    </w:p>
    <w:p w14:paraId="305D7D1B" w14:textId="77777777" w:rsidR="00CC37FA" w:rsidRPr="00CC37FA" w:rsidRDefault="00CC37FA" w:rsidP="004B2E70">
      <w:pPr>
        <w:pStyle w:val="NoSpacing"/>
        <w:ind w:left="720"/>
        <w:rPr>
          <w:rFonts w:ascii="Arial Black" w:hAnsi="Arial Black"/>
          <w:b/>
          <w:sz w:val="24"/>
          <w:szCs w:val="24"/>
        </w:rPr>
      </w:pPr>
      <w:hyperlink r:id="rId660" w:history="1">
        <w:r w:rsidRPr="00CC37FA">
          <w:rPr>
            <w:rStyle w:val="Hyperlink"/>
            <w:rFonts w:ascii="Times New Roman" w:hAnsi="Times New Roman"/>
            <w:sz w:val="24"/>
            <w:szCs w:val="24"/>
          </w:rPr>
          <w:t>https://www.hstoday.us/subject-matter-areas/unmanned-vehicles/eyes-in-the-sky-do-cities-need-warrants-for-drones/</w:t>
        </w:r>
      </w:hyperlink>
      <w:r w:rsidRPr="00CC37FA">
        <w:rPr>
          <w:rFonts w:ascii="Arial Black" w:hAnsi="Arial Black"/>
          <w:b/>
          <w:sz w:val="24"/>
          <w:szCs w:val="24"/>
        </w:rPr>
        <w:t xml:space="preserve"> </w:t>
      </w:r>
    </w:p>
    <w:p w14:paraId="0D954E20" w14:textId="77777777" w:rsidR="00CC37FA" w:rsidRPr="00CC37FA" w:rsidRDefault="00CC37FA" w:rsidP="004B2E70">
      <w:pPr>
        <w:pStyle w:val="NoSpacing"/>
        <w:ind w:left="720"/>
        <w:rPr>
          <w:rFonts w:ascii="Arial Black" w:hAnsi="Arial Black"/>
          <w:b/>
          <w:sz w:val="24"/>
          <w:szCs w:val="24"/>
        </w:rPr>
      </w:pPr>
    </w:p>
    <w:p w14:paraId="54B60363" w14:textId="77777777" w:rsidR="00CC37FA" w:rsidRDefault="00CC37FA" w:rsidP="00440B47">
      <w:pPr>
        <w:pStyle w:val="NoSpacing"/>
        <w:rPr>
          <w:rFonts w:ascii="Arial Black" w:hAnsi="Arial Black"/>
          <w:sz w:val="28"/>
          <w:szCs w:val="28"/>
        </w:rPr>
      </w:pPr>
    </w:p>
    <w:p w14:paraId="0B52C5CE" w14:textId="1E16332D" w:rsidR="00E575E6" w:rsidRDefault="00E575E6" w:rsidP="00440B47">
      <w:pPr>
        <w:pStyle w:val="NoSpacing"/>
        <w:rPr>
          <w:rFonts w:ascii="Arial Black" w:hAnsi="Arial Black"/>
          <w:sz w:val="28"/>
          <w:szCs w:val="28"/>
        </w:rPr>
      </w:pPr>
      <w:r>
        <w:rPr>
          <w:rFonts w:ascii="Arial Black" w:hAnsi="Arial Black"/>
          <w:sz w:val="28"/>
          <w:szCs w:val="28"/>
        </w:rPr>
        <w:t>3-83</w:t>
      </w:r>
    </w:p>
    <w:p w14:paraId="470EBD94" w14:textId="77777777" w:rsidR="00E575E6" w:rsidRPr="00830137" w:rsidRDefault="00E575E6" w:rsidP="00E575E6">
      <w:pPr>
        <w:rPr>
          <w:rFonts w:ascii="Arial Black" w:hAnsi="Arial Black"/>
          <w:sz w:val="28"/>
          <w:szCs w:val="28"/>
        </w:rPr>
      </w:pPr>
      <w:r>
        <w:rPr>
          <w:rFonts w:ascii="Arial Black" w:hAnsi="Arial Black"/>
          <w:sz w:val="28"/>
          <w:szCs w:val="28"/>
        </w:rPr>
        <w:t>IL: FEMA GRANTS – 2 FED. INJUNCTIONS / DEI CLAUSES</w:t>
      </w:r>
    </w:p>
    <w:p w14:paraId="1B8BB34E" w14:textId="77777777" w:rsidR="00E575E6" w:rsidRDefault="00E575E6" w:rsidP="00E575E6">
      <w:pPr>
        <w:pStyle w:val="NoSpacing"/>
      </w:pPr>
      <w:r>
        <w:t xml:space="preserve">On November 21, 2025, in </w:t>
      </w:r>
      <w:r w:rsidRPr="001A3435">
        <w:rPr>
          <w:u w:val="single"/>
        </w:rPr>
        <w:t xml:space="preserve">City of Chicago, </w:t>
      </w:r>
      <w:r>
        <w:rPr>
          <w:u w:val="single"/>
        </w:rPr>
        <w:t xml:space="preserve">et al. </w:t>
      </w:r>
      <w:r w:rsidRPr="001A3435">
        <w:rPr>
          <w:u w:val="single"/>
        </w:rPr>
        <w:t>v. Kristi Noem, et al</w:t>
      </w:r>
      <w:r>
        <w:t>., U.S. District Court Judge Manish S. Shah, United States District Court for the Northern District of Illinois, Eastern Division, issued an injunction prohibiting U.S. Government from enforcing DEI {</w:t>
      </w:r>
      <w:r w:rsidRPr="007B7867">
        <w:t>Diversity, Equity and Inclusion</w:t>
      </w:r>
      <w:r>
        <w:t>] prohibitions in 2025 DHS Standard Terms and Conditions. Plaintiffs include</w:t>
      </w:r>
      <w:r w:rsidRPr="00E9616E">
        <w:t xml:space="preserve"> City of Boston, City of New York, Mayor and City Council of Baltimore, City and County of Denver, City of Minneapolis, City of New Haven, City of Saint Paul and Ramsey County</w:t>
      </w:r>
      <w:r>
        <w:t>.  On Noc. 21, 2025, a Federal judge in California issued a similar injunct. THE COURT WROTE:  “The Secretary cannot pursue the policy objectives of the executive branch through the power of the purse…. Defendants are enjoined from imposing Part C.XVII(2)(a)(</w:t>
      </w:r>
      <w:proofErr w:type="spellStart"/>
      <w:r>
        <w:t>i</w:t>
      </w:r>
      <w:proofErr w:type="spellEnd"/>
      <w:r>
        <w:t xml:space="preserve">)–(ii) &amp; XXXI  [DEI conditions] of the 2025 DHS Standard Terms and Conditions on any plaintiff as a requirement for accepting a grant award issued under any of the statutory programs referenced in the complaint. Defendants cannot require plaintiffs to certify that they do not advance or promote DEI, DEIA, or ‘discriminatory equity ideology’ in violation of Federal anti-discrimination laws, or that they do not engage discriminatory prohibited boycotts when they accept funds pursuant to DHS Standard Terms and Conditions. Defendants cannot demand compliance with unspecified and unknown (at the time of contracting) Executive Orders as a condition of funding.” </w:t>
      </w:r>
      <w:hyperlink r:id="rId661" w:history="1">
        <w:r w:rsidRPr="00743732">
          <w:rPr>
            <w:rStyle w:val="Hyperlink"/>
          </w:rPr>
          <w:t>https://cases.justia.com/federal/district-courts/illinois/ilndce/1:2025cv12765/488308/72/0.pdf?ts=1763809095</w:t>
        </w:r>
      </w:hyperlink>
      <w:r>
        <w:t xml:space="preserve"> </w:t>
      </w:r>
    </w:p>
    <w:p w14:paraId="596A7753" w14:textId="77777777" w:rsidR="00E575E6" w:rsidRDefault="00E575E6" w:rsidP="00E575E6">
      <w:pPr>
        <w:pStyle w:val="NoSpacing"/>
      </w:pPr>
    </w:p>
    <w:p w14:paraId="647089A3" w14:textId="77777777" w:rsidR="00E575E6" w:rsidRDefault="00E575E6" w:rsidP="00E575E6">
      <w:pPr>
        <w:pStyle w:val="NoSpacing"/>
      </w:pPr>
      <w:r>
        <w:t>THE COURT HELD:</w:t>
      </w:r>
    </w:p>
    <w:p w14:paraId="4C5D0DED" w14:textId="77777777" w:rsidR="00E575E6" w:rsidRDefault="00E575E6" w:rsidP="00E575E6">
      <w:pPr>
        <w:pStyle w:val="NoSpacing"/>
      </w:pPr>
    </w:p>
    <w:p w14:paraId="28EC2387" w14:textId="77777777" w:rsidR="00E575E6" w:rsidRDefault="00E575E6" w:rsidP="00E575E6">
      <w:pPr>
        <w:pStyle w:val="NoSpacing"/>
        <w:ind w:firstLine="720"/>
      </w:pPr>
      <w:r>
        <w:t>“The Department of Homeland Security and its agencies administer grant</w:t>
      </w:r>
    </w:p>
    <w:p w14:paraId="061BB123" w14:textId="77777777" w:rsidR="00E575E6" w:rsidRDefault="00E575E6" w:rsidP="00E575E6">
      <w:pPr>
        <w:pStyle w:val="NoSpacing"/>
        <w:ind w:firstLine="720"/>
      </w:pPr>
      <w:r>
        <w:t>programs pursuant to statutory authority and funded by congressional</w:t>
      </w:r>
    </w:p>
    <w:p w14:paraId="6F673CF1" w14:textId="77777777" w:rsidR="00E575E6" w:rsidRDefault="00E575E6" w:rsidP="00E575E6">
      <w:pPr>
        <w:pStyle w:val="NoSpacing"/>
        <w:ind w:firstLine="720"/>
      </w:pPr>
      <w:r>
        <w:t xml:space="preserve">appropriations. The grants cover everything from transit safety to nuclear </w:t>
      </w:r>
      <w:proofErr w:type="gramStart"/>
      <w:r>
        <w:t>weapon</w:t>
      </w:r>
      <w:proofErr w:type="gramEnd"/>
    </w:p>
    <w:p w14:paraId="6699D05A" w14:textId="77777777" w:rsidR="00E575E6" w:rsidRDefault="00E575E6" w:rsidP="00E575E6">
      <w:pPr>
        <w:pStyle w:val="NoSpacing"/>
        <w:ind w:firstLine="720"/>
      </w:pPr>
      <w:r>
        <w:t xml:space="preserve">detection. </w:t>
      </w:r>
    </w:p>
    <w:p w14:paraId="35DAEEA1" w14:textId="77777777" w:rsidR="00E575E6" w:rsidRDefault="00E575E6" w:rsidP="00E575E6">
      <w:pPr>
        <w:pStyle w:val="NoSpacing"/>
        <w:ind w:firstLine="720"/>
      </w:pPr>
    </w:p>
    <w:p w14:paraId="2B01597A" w14:textId="77777777" w:rsidR="00E575E6" w:rsidRDefault="00E575E6" w:rsidP="00E575E6">
      <w:pPr>
        <w:pStyle w:val="NoSpacing"/>
        <w:ind w:firstLine="720"/>
      </w:pPr>
      <w:r>
        <w:t>***</w:t>
      </w:r>
    </w:p>
    <w:p w14:paraId="6DD25FA1" w14:textId="77777777" w:rsidR="00E575E6" w:rsidRDefault="00E575E6" w:rsidP="00E575E6">
      <w:pPr>
        <w:pStyle w:val="NoSpacing"/>
        <w:ind w:left="720"/>
      </w:pPr>
      <w:r>
        <w:t>The Secretary cannot pursue the policy objectives of the executive branch through the power of the purse.</w:t>
      </w:r>
    </w:p>
    <w:p w14:paraId="3AAB9A2D" w14:textId="77777777" w:rsidR="00E575E6" w:rsidRDefault="00E575E6" w:rsidP="00E575E6">
      <w:pPr>
        <w:pStyle w:val="NoSpacing"/>
        <w:ind w:left="720"/>
      </w:pPr>
    </w:p>
    <w:p w14:paraId="64467F65" w14:textId="77777777" w:rsidR="00E575E6" w:rsidRDefault="00E575E6" w:rsidP="00E575E6">
      <w:pPr>
        <w:pStyle w:val="NoSpacing"/>
        <w:ind w:left="720"/>
      </w:pPr>
      <w:r>
        <w:t>***</w:t>
      </w:r>
    </w:p>
    <w:p w14:paraId="7F9237BB" w14:textId="77777777" w:rsidR="00E575E6" w:rsidRDefault="00E575E6" w:rsidP="00E575E6">
      <w:pPr>
        <w:pStyle w:val="NoSpacing"/>
      </w:pPr>
    </w:p>
    <w:p w14:paraId="2770EC4F" w14:textId="77777777" w:rsidR="00E575E6" w:rsidRDefault="00E575E6" w:rsidP="00E575E6">
      <w:pPr>
        <w:pStyle w:val="NoSpacing"/>
        <w:ind w:firstLine="720"/>
      </w:pPr>
      <w:r>
        <w:t>The loss of money is ordinarily a tangible harm. But here, the ripple effects on</w:t>
      </w:r>
    </w:p>
    <w:p w14:paraId="3226516A" w14:textId="77777777" w:rsidR="00E575E6" w:rsidRDefault="00E575E6" w:rsidP="00E575E6">
      <w:pPr>
        <w:pStyle w:val="NoSpacing"/>
        <w:ind w:firstLine="720"/>
      </w:pPr>
      <w:r>
        <w:t>budget plans, services to residents, and efforts to mitigate the harm from terrorism</w:t>
      </w:r>
    </w:p>
    <w:p w14:paraId="030E2AA0" w14:textId="77777777" w:rsidR="00E575E6" w:rsidRDefault="00E575E6" w:rsidP="00E575E6">
      <w:pPr>
        <w:pStyle w:val="NoSpacing"/>
        <w:ind w:left="720"/>
      </w:pPr>
      <w:r>
        <w:t>or natural disasters are not quantifiable. The point of funding for disaster preparedness, infrastructure security, and firefighting is that the money is an investment that generates intangible dividends in public safety and security. Losing this funding in the interim would lead to budget cuts that directly inhibit the missions of the law enforcement and fire departments that these grants were intended to support. See, e.g., [47] ¶¶ 9–12 (Assistance for Firefights Grant Program funding already awarded to the Chicago Fire Department is needed to replace end-of-life and non-compliant self-contained breathing apparatus cylinders and provide training on hazardous material safety); [53] ¶ 10 (the City of New Haven Office of Emergency Management relies on Emergency Management Performance Grant funding for 100% of its non-salary operating budget). While going without money is not an irreparable harm, going without firefighters is.”</w:t>
      </w:r>
    </w:p>
    <w:p w14:paraId="5185EACE" w14:textId="77777777" w:rsidR="00E575E6" w:rsidRDefault="00E575E6" w:rsidP="00E575E6">
      <w:pPr>
        <w:pStyle w:val="NoSpacing"/>
        <w:ind w:left="720"/>
      </w:pPr>
    </w:p>
    <w:p w14:paraId="198DC0E6" w14:textId="77777777" w:rsidR="00E575E6" w:rsidRPr="004319FA" w:rsidRDefault="00E575E6" w:rsidP="00E575E6">
      <w:pPr>
        <w:pStyle w:val="NoSpacing"/>
        <w:rPr>
          <w:b/>
          <w:bCs/>
        </w:rPr>
      </w:pPr>
      <w:r>
        <w:rPr>
          <w:b/>
        </w:rPr>
        <w:t xml:space="preserve">Legal lesson learned: The new “DEI” provisions have also led to litigation elsewhere.  </w:t>
      </w:r>
    </w:p>
    <w:p w14:paraId="6E2DFCC9" w14:textId="77777777" w:rsidR="00E575E6" w:rsidRDefault="00E575E6" w:rsidP="00E575E6">
      <w:pPr>
        <w:pStyle w:val="NoSpacing"/>
        <w:ind w:left="720"/>
      </w:pPr>
    </w:p>
    <w:p w14:paraId="7547A4ED" w14:textId="77777777" w:rsidR="00E575E6" w:rsidRDefault="00E575E6" w:rsidP="00E575E6">
      <w:pPr>
        <w:pStyle w:val="NoSpacing"/>
        <w:ind w:left="720"/>
        <w:rPr>
          <w:u w:val="single"/>
        </w:rPr>
      </w:pPr>
      <w:r>
        <w:t xml:space="preserve">Note: See November 21, </w:t>
      </w:r>
      <w:proofErr w:type="gramStart"/>
      <w:r>
        <w:t>2025</w:t>
      </w:r>
      <w:proofErr w:type="gramEnd"/>
      <w:r>
        <w:t xml:space="preserve"> injunction in </w:t>
      </w:r>
      <w:r w:rsidRPr="00197C44">
        <w:rPr>
          <w:u w:val="single"/>
        </w:rPr>
        <w:t xml:space="preserve">County of Sata Clara, et al. v. Kristi Noem, et al., </w:t>
      </w:r>
      <w:r w:rsidRPr="00AC1129">
        <w:t>by U.S. District Court Judge US District Judge William Orrick</w:t>
      </w:r>
      <w:r>
        <w:t xml:space="preserve"> in San Jose. </w:t>
      </w:r>
    </w:p>
    <w:p w14:paraId="588F0651" w14:textId="77777777" w:rsidR="00E575E6" w:rsidRDefault="00E575E6" w:rsidP="00E575E6">
      <w:pPr>
        <w:pStyle w:val="NoSpacing"/>
        <w:ind w:left="720"/>
        <w:rPr>
          <w:u w:val="single"/>
        </w:rPr>
      </w:pPr>
      <w:hyperlink r:id="rId662" w:history="1">
        <w:r w:rsidRPr="00743732">
          <w:rPr>
            <w:rStyle w:val="Hyperlink"/>
          </w:rPr>
          <w:t>https://www.courthousenews.com/wp-content/uploads/2025/11/santa-clara-v-noem-preliminary-injunction.pdf</w:t>
        </w:r>
      </w:hyperlink>
      <w:r>
        <w:rPr>
          <w:u w:val="single"/>
        </w:rPr>
        <w:t xml:space="preserve"> </w:t>
      </w:r>
    </w:p>
    <w:p w14:paraId="01F232C3" w14:textId="77777777" w:rsidR="00E575E6" w:rsidRPr="007924A1" w:rsidRDefault="00E575E6" w:rsidP="00E575E6">
      <w:pPr>
        <w:pStyle w:val="NoSpacing"/>
        <w:ind w:firstLine="720"/>
      </w:pPr>
      <w:r w:rsidRPr="00D36677">
        <w:t>“</w:t>
      </w:r>
      <w:r w:rsidRPr="007924A1">
        <w:t>Defendants’ arguments here have been soundly rejected by courts around the country,</w:t>
      </w:r>
    </w:p>
    <w:p w14:paraId="43921471" w14:textId="77777777" w:rsidR="00E575E6" w:rsidRDefault="00E575E6" w:rsidP="00E575E6">
      <w:pPr>
        <w:pStyle w:val="NoSpacing"/>
        <w:ind w:left="720"/>
      </w:pPr>
      <w:r w:rsidRPr="007924A1">
        <w:t>which have found similar agency conditional funding schemes to be unconstitutional.  The</w:t>
      </w:r>
      <w:r>
        <w:t xml:space="preserve"> </w:t>
      </w:r>
      <w:r w:rsidRPr="007924A1">
        <w:t>message to the Executive Branch in these cases is consistent: no one is above the law, and the</w:t>
      </w:r>
      <w:r>
        <w:t xml:space="preserve"> </w:t>
      </w:r>
      <w:r w:rsidRPr="007924A1">
        <w:t xml:space="preserve">separation of powers between the three branches must be </w:t>
      </w:r>
      <w:proofErr w:type="gramStart"/>
      <w:r w:rsidRPr="007924A1">
        <w:t>respected.</w:t>
      </w:r>
      <w:r>
        <w:t>”</w:t>
      </w:r>
      <w:proofErr w:type="gramEnd"/>
    </w:p>
    <w:p w14:paraId="56271655" w14:textId="77777777" w:rsidR="00E575E6" w:rsidRDefault="00E575E6" w:rsidP="00E575E6">
      <w:pPr>
        <w:pStyle w:val="NoSpacing"/>
        <w:ind w:left="720"/>
      </w:pPr>
    </w:p>
    <w:p w14:paraId="34909F35" w14:textId="77777777" w:rsidR="00E575E6" w:rsidRPr="007924A1" w:rsidRDefault="00E575E6" w:rsidP="00E575E6">
      <w:pPr>
        <w:pStyle w:val="NoSpacing"/>
        <w:ind w:left="720"/>
      </w:pPr>
      <w:r>
        <w:t>***</w:t>
      </w:r>
    </w:p>
    <w:p w14:paraId="2B389669" w14:textId="77777777" w:rsidR="00E575E6" w:rsidRDefault="00E575E6" w:rsidP="00E575E6">
      <w:pPr>
        <w:pStyle w:val="NoSpacing"/>
        <w:ind w:left="720"/>
        <w:rPr>
          <w:u w:val="single"/>
        </w:rPr>
      </w:pPr>
    </w:p>
    <w:p w14:paraId="34EF1209" w14:textId="77777777" w:rsidR="00E575E6" w:rsidRPr="006610CA" w:rsidRDefault="00E575E6" w:rsidP="00E575E6">
      <w:pPr>
        <w:pStyle w:val="NoSpacing"/>
        <w:ind w:left="720"/>
      </w:pPr>
      <w:r w:rsidRPr="006610CA">
        <w:t xml:space="preserve">Plaintiffs are the County of Santa Clara </w:t>
      </w:r>
      <w:r>
        <w:t xml:space="preserve">, </w:t>
      </w:r>
      <w:r w:rsidRPr="006610CA">
        <w:t>City and County of San Francisco</w:t>
      </w:r>
      <w:r>
        <w:t xml:space="preserve">, </w:t>
      </w:r>
      <w:r w:rsidRPr="006610CA">
        <w:t>City of Alameda</w:t>
      </w:r>
      <w:r>
        <w:t xml:space="preserve">, </w:t>
      </w:r>
      <w:r w:rsidRPr="006610CA">
        <w:t>City of Bellingham</w:t>
      </w:r>
      <w:r>
        <w:t xml:space="preserve">, </w:t>
      </w:r>
      <w:r w:rsidRPr="006610CA">
        <w:t>City of Berkeley</w:t>
      </w:r>
      <w:r>
        <w:t xml:space="preserve">, </w:t>
      </w:r>
      <w:r w:rsidRPr="006610CA">
        <w:t>City of Culver City</w:t>
      </w:r>
      <w:r>
        <w:t xml:space="preserve">, </w:t>
      </w:r>
      <w:r w:rsidRPr="006610CA">
        <w:t>City of Los Angeles</w:t>
      </w:r>
      <w:r>
        <w:t>,</w:t>
      </w:r>
      <w:r w:rsidRPr="006610CA">
        <w:t xml:space="preserve"> County</w:t>
      </w:r>
      <w:r>
        <w:t xml:space="preserve"> </w:t>
      </w:r>
      <w:r w:rsidRPr="006610CA">
        <w:t>of Los Angeles</w:t>
      </w:r>
      <w:r>
        <w:t xml:space="preserve">, </w:t>
      </w:r>
      <w:r w:rsidRPr="006610CA">
        <w:t>Los Angeles County Consolidated Fire Protection</w:t>
      </w:r>
      <w:r>
        <w:t xml:space="preserve"> </w:t>
      </w:r>
      <w:r w:rsidRPr="006610CA">
        <w:t>District</w:t>
      </w:r>
      <w:r>
        <w:t xml:space="preserve">, </w:t>
      </w:r>
      <w:r w:rsidRPr="006610CA">
        <w:t>Martin Luther King, Jr. County</w:t>
      </w:r>
      <w:r>
        <w:t xml:space="preserve">, </w:t>
      </w:r>
      <w:r w:rsidRPr="006610CA">
        <w:t>County of Marin</w:t>
      </w:r>
      <w:r>
        <w:t>, C</w:t>
      </w:r>
      <w:r w:rsidRPr="006610CA">
        <w:t>ity of Oakland</w:t>
      </w:r>
      <w:r>
        <w:t xml:space="preserve">, </w:t>
      </w:r>
      <w:r w:rsidRPr="006610CA">
        <w:t>City of Palo Alto</w:t>
      </w:r>
      <w:r>
        <w:t xml:space="preserve">, </w:t>
      </w:r>
      <w:r w:rsidRPr="006610CA">
        <w:t xml:space="preserve"> City of Pasadena</w:t>
      </w:r>
      <w:r>
        <w:t xml:space="preserve">, </w:t>
      </w:r>
      <w:r w:rsidRPr="006610CA">
        <w:t>City of Petaluma</w:t>
      </w:r>
      <w:r>
        <w:t xml:space="preserve">, </w:t>
      </w:r>
      <w:r w:rsidRPr="006610CA">
        <w:t>Pierce County, City of Sacramento</w:t>
      </w:r>
      <w:r>
        <w:t xml:space="preserve">, </w:t>
      </w:r>
      <w:r w:rsidRPr="006610CA">
        <w:t>City of San Diego</w:t>
      </w:r>
      <w:r>
        <w:t xml:space="preserve">, </w:t>
      </w:r>
      <w:r w:rsidRPr="006610CA">
        <w:t>County of San Diego</w:t>
      </w:r>
      <w:r>
        <w:t xml:space="preserve">, </w:t>
      </w:r>
      <w:r w:rsidRPr="006610CA">
        <w:t>City of San José</w:t>
      </w:r>
      <w:r>
        <w:t xml:space="preserve"> </w:t>
      </w:r>
      <w:r w:rsidRPr="006610CA">
        <w:t>(“San José”), County of San Mateo (“San Mateo County”), City of Santa Monica</w:t>
      </w:r>
      <w:r>
        <w:t xml:space="preserve">, </w:t>
      </w:r>
      <w:r w:rsidRPr="006610CA">
        <w:t>City of Santa Rosa</w:t>
      </w:r>
      <w:r>
        <w:t xml:space="preserve">, </w:t>
      </w:r>
      <w:r w:rsidRPr="006610CA">
        <w:t>Snohomish County, County of Sonoma</w:t>
      </w:r>
      <w:r>
        <w:t xml:space="preserve">, </w:t>
      </w:r>
      <w:r w:rsidRPr="006610CA">
        <w:t>Sonoma County Community Development Commission</w:t>
      </w:r>
      <w:r>
        <w:t xml:space="preserve">, </w:t>
      </w:r>
      <w:r w:rsidRPr="006610CA">
        <w:t>Sonoma County</w:t>
      </w:r>
      <w:r>
        <w:t xml:space="preserve"> </w:t>
      </w:r>
      <w:r w:rsidRPr="006610CA">
        <w:t>Water Agency</w:t>
      </w:r>
      <w:r>
        <w:t xml:space="preserve">, </w:t>
      </w:r>
      <w:r w:rsidRPr="006610CA">
        <w:t>Sonoma Valley County Sanitation District</w:t>
      </w:r>
      <w:r>
        <w:t xml:space="preserve">. </w:t>
      </w:r>
      <w:r w:rsidRPr="006610CA">
        <w:t>and the</w:t>
      </w:r>
      <w:r>
        <w:t xml:space="preserve"> </w:t>
      </w:r>
      <w:r w:rsidRPr="006610CA">
        <w:t>City of Tucson</w:t>
      </w:r>
      <w:r>
        <w:t>.</w:t>
      </w:r>
      <w:r w:rsidRPr="006610CA">
        <w:t xml:space="preserve"> </w:t>
      </w:r>
    </w:p>
    <w:p w14:paraId="5293BF95" w14:textId="77777777" w:rsidR="00E575E6" w:rsidRDefault="00E575E6" w:rsidP="00E575E6">
      <w:pPr>
        <w:pStyle w:val="NoSpacing"/>
        <w:ind w:left="720"/>
        <w:rPr>
          <w:u w:val="single"/>
        </w:rPr>
      </w:pPr>
    </w:p>
    <w:p w14:paraId="09298894" w14:textId="77777777" w:rsidR="00E575E6" w:rsidRDefault="00E575E6" w:rsidP="00E575E6">
      <w:pPr>
        <w:pStyle w:val="NoSpacing"/>
        <w:ind w:left="720"/>
      </w:pPr>
      <w:r w:rsidRPr="007924A1">
        <w:t xml:space="preserve">Note:  </w:t>
      </w:r>
      <w:r>
        <w:t xml:space="preserve">See these articles. </w:t>
      </w:r>
    </w:p>
    <w:p w14:paraId="19695A41" w14:textId="77777777" w:rsidR="00E575E6" w:rsidRDefault="00E575E6" w:rsidP="00E575E6">
      <w:pPr>
        <w:pStyle w:val="NoSpacing"/>
        <w:ind w:left="720"/>
      </w:pPr>
    </w:p>
    <w:p w14:paraId="79B823D6" w14:textId="77777777" w:rsidR="00E575E6" w:rsidRPr="008B165C" w:rsidRDefault="00E575E6" w:rsidP="00E575E6">
      <w:pPr>
        <w:pStyle w:val="NoSpacing"/>
        <w:numPr>
          <w:ilvl w:val="0"/>
          <w:numId w:val="36"/>
        </w:numPr>
        <w:rPr>
          <w:bCs/>
        </w:rPr>
      </w:pPr>
      <w:r>
        <w:t xml:space="preserve">Nov. 24, 2025: </w:t>
      </w:r>
      <w:r w:rsidRPr="008B165C">
        <w:t>Local Governments Win Injunction Against Trump Administration, Restoring Access to DHS Grants</w:t>
      </w:r>
      <w:r>
        <w:t xml:space="preserve">.  </w:t>
      </w:r>
      <w:hyperlink r:id="rId663" w:history="1">
        <w:r w:rsidRPr="00743732">
          <w:rPr>
            <w:rStyle w:val="Hyperlink"/>
          </w:rPr>
          <w:t>https://www.californiacountynews.org/news/2025/11/local-governments-win-injunction-against-trump-administration-restoring-access-dhs</w:t>
        </w:r>
      </w:hyperlink>
      <w:r>
        <w:t xml:space="preserve"> </w:t>
      </w:r>
    </w:p>
    <w:p w14:paraId="2843B9BC" w14:textId="77777777" w:rsidR="00E575E6" w:rsidRDefault="00E575E6" w:rsidP="00E575E6">
      <w:pPr>
        <w:pStyle w:val="NoSpacing"/>
        <w:ind w:left="720"/>
      </w:pPr>
    </w:p>
    <w:p w14:paraId="493937D7" w14:textId="77777777" w:rsidR="00E575E6" w:rsidRDefault="00E575E6" w:rsidP="00E575E6">
      <w:pPr>
        <w:pStyle w:val="NoSpacing"/>
        <w:ind w:left="720"/>
      </w:pPr>
    </w:p>
    <w:p w14:paraId="33200514" w14:textId="77777777" w:rsidR="00E575E6" w:rsidRDefault="00E575E6" w:rsidP="00E575E6">
      <w:pPr>
        <w:pStyle w:val="NoSpacing"/>
        <w:numPr>
          <w:ilvl w:val="0"/>
          <w:numId w:val="36"/>
        </w:numPr>
        <w:rPr>
          <w:b/>
        </w:rPr>
      </w:pPr>
      <w:r>
        <w:lastRenderedPageBreak/>
        <w:t xml:space="preserve">Nov. 22, 2025: </w:t>
      </w:r>
      <w:r w:rsidRPr="00BE145F">
        <w:t>Judges block Trump from cutting hundreds of millions in grants to cities, counties.</w:t>
      </w:r>
      <w:r>
        <w:rPr>
          <w:b/>
        </w:rPr>
        <w:t xml:space="preserve">   </w:t>
      </w:r>
      <w:hyperlink r:id="rId664" w:history="1">
        <w:r w:rsidRPr="00743732">
          <w:rPr>
            <w:rStyle w:val="Hyperlink"/>
            <w:b/>
          </w:rPr>
          <w:t>https://edition.cnn.com/2025/11/22/politics/judges-block-trump-cutting-grants-cities-counties-hnk</w:t>
        </w:r>
      </w:hyperlink>
      <w:r>
        <w:rPr>
          <w:b/>
        </w:rPr>
        <w:t xml:space="preserve"> </w:t>
      </w:r>
    </w:p>
    <w:p w14:paraId="6E6F9F2A" w14:textId="77777777" w:rsidR="00E575E6" w:rsidRDefault="00E575E6" w:rsidP="00E575E6"/>
    <w:p w14:paraId="1A47943E" w14:textId="77777777" w:rsidR="00E575E6" w:rsidRDefault="00E575E6" w:rsidP="00440B47">
      <w:pPr>
        <w:pStyle w:val="NoSpacing"/>
        <w:rPr>
          <w:rFonts w:ascii="Arial Black" w:hAnsi="Arial Black"/>
          <w:sz w:val="28"/>
          <w:szCs w:val="28"/>
        </w:rPr>
      </w:pPr>
    </w:p>
    <w:p w14:paraId="6B48CE44" w14:textId="77777777" w:rsidR="00E575E6" w:rsidRDefault="00E575E6" w:rsidP="00440B47">
      <w:pPr>
        <w:pStyle w:val="NoSpacing"/>
        <w:rPr>
          <w:rFonts w:ascii="Arial Black" w:hAnsi="Arial Black"/>
          <w:sz w:val="28"/>
          <w:szCs w:val="28"/>
        </w:rPr>
      </w:pPr>
    </w:p>
    <w:p w14:paraId="67D02A67" w14:textId="017B1E5F" w:rsidR="00C27E37" w:rsidRDefault="00374C8E" w:rsidP="00440B47">
      <w:pPr>
        <w:pStyle w:val="NoSpacing"/>
        <w:rPr>
          <w:rFonts w:ascii="Arial Black" w:hAnsi="Arial Black"/>
          <w:sz w:val="28"/>
          <w:szCs w:val="28"/>
        </w:rPr>
      </w:pPr>
      <w:r>
        <w:rPr>
          <w:rFonts w:ascii="Arial Black" w:hAnsi="Arial Black"/>
          <w:sz w:val="28"/>
          <w:szCs w:val="28"/>
        </w:rPr>
        <w:t>3-82</w:t>
      </w:r>
    </w:p>
    <w:p w14:paraId="5680A694" w14:textId="77777777" w:rsidR="00374C8E" w:rsidRDefault="00374C8E" w:rsidP="00440B47">
      <w:pPr>
        <w:pStyle w:val="NoSpacing"/>
        <w:rPr>
          <w:rFonts w:ascii="Arial Black" w:hAnsi="Arial Black"/>
          <w:sz w:val="28"/>
          <w:szCs w:val="28"/>
        </w:rPr>
      </w:pPr>
    </w:p>
    <w:p w14:paraId="4CDE2C22" w14:textId="77777777" w:rsidR="00374C8E" w:rsidRDefault="00374C8E" w:rsidP="00374C8E">
      <w:pPr>
        <w:pStyle w:val="NoSpacing"/>
        <w:rPr>
          <w:b/>
        </w:rPr>
      </w:pPr>
      <w:r>
        <w:rPr>
          <w:rFonts w:ascii="Arial Black" w:hAnsi="Arial Black"/>
          <w:b/>
          <w:sz w:val="28"/>
          <w:szCs w:val="28"/>
        </w:rPr>
        <w:t>IL: NAT. GUARD – CHICAGO - 7</w:t>
      </w:r>
      <w:r w:rsidRPr="00293775">
        <w:rPr>
          <w:rFonts w:ascii="Arial Black" w:hAnsi="Arial Black"/>
          <w:b/>
          <w:sz w:val="28"/>
          <w:szCs w:val="28"/>
          <w:vertAlign w:val="superscript"/>
        </w:rPr>
        <w:t>th</w:t>
      </w:r>
      <w:r>
        <w:rPr>
          <w:rFonts w:ascii="Arial Black" w:hAnsi="Arial Black"/>
          <w:b/>
          <w:sz w:val="28"/>
          <w:szCs w:val="28"/>
        </w:rPr>
        <w:t xml:space="preserve"> CIR. TEMP INJUNCTION</w:t>
      </w:r>
    </w:p>
    <w:p w14:paraId="024FE0EF" w14:textId="77777777" w:rsidR="00374C8E" w:rsidRDefault="00374C8E" w:rsidP="00374C8E">
      <w:pPr>
        <w:pStyle w:val="NoSpacing"/>
        <w:rPr>
          <w:b/>
        </w:rPr>
      </w:pPr>
    </w:p>
    <w:p w14:paraId="4D74D65D" w14:textId="77777777" w:rsidR="00374C8E" w:rsidRDefault="00374C8E" w:rsidP="00374C8E">
      <w:pPr>
        <w:pStyle w:val="NoSpacing"/>
        <w:rPr>
          <w:bCs/>
        </w:rPr>
      </w:pPr>
      <w:r>
        <w:t xml:space="preserve">On Oct. 16, 2025, in </w:t>
      </w:r>
      <w:r w:rsidRPr="0089383A">
        <w:rPr>
          <w:u w:val="single"/>
        </w:rPr>
        <w:t>State of Illinois and City of Chicago v. Donald J. Trump, et al</w:t>
      </w:r>
      <w:r>
        <w:t>., the U.S. Court of Appeals for 7</w:t>
      </w:r>
      <w:r w:rsidRPr="0089383A">
        <w:rPr>
          <w:vertAlign w:val="superscript"/>
        </w:rPr>
        <w:t>th</w:t>
      </w:r>
      <w:r>
        <w:t xml:space="preserve"> Circuit (Chicago) held (3 to 0) that temporary injunction by U.S. District Court Judge April M. Perry, </w:t>
      </w:r>
      <w:r w:rsidRPr="00DB3FA5">
        <w:t>enjoining the administration from federalizing and deploying the Guard within Illinois</w:t>
      </w:r>
      <w:r>
        <w:t xml:space="preserve">, will remain in place while the administration appeals.   </w:t>
      </w:r>
      <w:r w:rsidRPr="00923D30">
        <w:t>On September 8, 2025, the Trump administration announced</w:t>
      </w:r>
      <w:r>
        <w:t xml:space="preserve"> </w:t>
      </w:r>
      <w:r w:rsidRPr="00923D30">
        <w:t>“Operation Midway Blitz”</w:t>
      </w:r>
      <w:r>
        <w:t xml:space="preserve"> - </w:t>
      </w:r>
      <w:r w:rsidRPr="008800B0">
        <w:t xml:space="preserve">Illinois state officials opposed the deployment of the National Guard. The same day, the National Guard Bureau </w:t>
      </w:r>
    </w:p>
    <w:p w14:paraId="165087B4" w14:textId="77777777" w:rsidR="00374C8E" w:rsidRDefault="00374C8E" w:rsidP="00374C8E">
      <w:pPr>
        <w:pStyle w:val="NoSpacing"/>
        <w:rPr>
          <w:bCs/>
        </w:rPr>
      </w:pPr>
      <w:r w:rsidRPr="008800B0">
        <w:t>notified the Adjutant General of the Illinois National Guard that</w:t>
      </w:r>
      <w:r>
        <w:t xml:space="preserve"> </w:t>
      </w:r>
      <w:r w:rsidRPr="008800B0">
        <w:t>the President had authorized the mobilization of at least 300</w:t>
      </w:r>
      <w:r>
        <w:t xml:space="preserve"> </w:t>
      </w:r>
      <w:r w:rsidRPr="008800B0">
        <w:t>members of the Illinois National Guard and directed that Illinois mobilize the Guard under 32 U.S.C. § 502(f) within 2</w:t>
      </w:r>
      <w:r>
        <w:t xml:space="preserve"> </w:t>
      </w:r>
      <w:r w:rsidRPr="008800B0">
        <w:t>hours, or the Secretary of Defense would do so under Title 10.</w:t>
      </w:r>
      <w:r>
        <w:t xml:space="preserve"> </w:t>
      </w:r>
      <w:r w:rsidRPr="008127E8">
        <w:t>On October 6, 2025, plaintiffs—the State of Illinois and the</w:t>
      </w:r>
      <w:r>
        <w:t xml:space="preserve"> </w:t>
      </w:r>
      <w:r w:rsidRPr="008127E8">
        <w:t>City of Chicago—filed this lawsuit, arguing that the Trump</w:t>
      </w:r>
      <w:r>
        <w:t xml:space="preserve"> </w:t>
      </w:r>
      <w:r w:rsidRPr="008127E8">
        <w:t>administration’s orders federalizing National Guard troops in</w:t>
      </w:r>
      <w:r>
        <w:t xml:space="preserve"> </w:t>
      </w:r>
      <w:r w:rsidRPr="008127E8">
        <w:t>Illinois under 10 U.S.C. § 12406 were unlawful.</w:t>
      </w:r>
      <w:r>
        <w:t xml:space="preserve"> </w:t>
      </w:r>
      <w:hyperlink r:id="rId665" w:history="1">
        <w:r w:rsidRPr="00D86B5D">
          <w:rPr>
            <w:rStyle w:val="Hyperlink"/>
          </w:rPr>
          <w:t>https://media.ca7.uscourts.gov/cgi-bin/OpinionsWeb/processWebInputExternal.pl?Submit=Display&amp;Path=Y2025/D10-16/C:25-2798:J:PerCuriam:aut:T:op:N:3439487:S:0</w:t>
        </w:r>
      </w:hyperlink>
      <w:r>
        <w:t xml:space="preserve"> </w:t>
      </w:r>
    </w:p>
    <w:p w14:paraId="2A72CDAC" w14:textId="77777777" w:rsidR="00374C8E" w:rsidRDefault="00374C8E" w:rsidP="00374C8E">
      <w:pPr>
        <w:pStyle w:val="NoSpacing"/>
        <w:rPr>
          <w:b/>
        </w:rPr>
      </w:pPr>
    </w:p>
    <w:p w14:paraId="11490BB1" w14:textId="77777777" w:rsidR="00374C8E" w:rsidRPr="008127E8" w:rsidRDefault="00374C8E" w:rsidP="00374C8E">
      <w:pPr>
        <w:pStyle w:val="NoSpacing"/>
        <w:rPr>
          <w:bCs/>
        </w:rPr>
      </w:pPr>
      <w:r w:rsidRPr="008127E8">
        <w:t>THE COURT HELD:</w:t>
      </w:r>
    </w:p>
    <w:p w14:paraId="3A522E5D" w14:textId="77777777" w:rsidR="00374C8E" w:rsidRDefault="00374C8E" w:rsidP="00374C8E">
      <w:pPr>
        <w:pStyle w:val="NoSpacing"/>
        <w:rPr>
          <w:b/>
        </w:rPr>
      </w:pPr>
    </w:p>
    <w:p w14:paraId="7DC96DF0" w14:textId="77777777" w:rsidR="00374C8E" w:rsidRDefault="00374C8E" w:rsidP="00374C8E">
      <w:pPr>
        <w:pStyle w:val="NoSpacing"/>
        <w:ind w:left="720"/>
      </w:pPr>
      <w:r>
        <w:t>“</w:t>
      </w:r>
      <w:r w:rsidRPr="00E43F32">
        <w:t>Plaintiffs argued that there is no rebellion or danger of rebellion in Illinois</w:t>
      </w:r>
      <w:r>
        <w:t xml:space="preserve"> </w:t>
      </w:r>
      <w:r w:rsidRPr="00E43F32">
        <w:t>nor is the President unable with the regular</w:t>
      </w:r>
      <w:r>
        <w:t xml:space="preserve"> </w:t>
      </w:r>
      <w:r w:rsidRPr="00E43F32">
        <w:t>forces to execute the laws of the United States</w:t>
      </w:r>
      <w:r>
        <w:t xml:space="preserve"> [10 USC 12406]. </w:t>
      </w:r>
      <w:r w:rsidRPr="00E43F32">
        <w:t xml:space="preserve"> They further</w:t>
      </w:r>
      <w:r>
        <w:t xml:space="preserve"> </w:t>
      </w:r>
      <w:r w:rsidRPr="00E43F32">
        <w:t>contended that the federalization orders violate the Posse</w:t>
      </w:r>
      <w:r>
        <w:t xml:space="preserve"> </w:t>
      </w:r>
      <w:r w:rsidRPr="00E43F32">
        <w:t>Comitatus Act, 18 U.S.C. § 1385, and the Tenth Amendment.</w:t>
      </w:r>
      <w:r>
        <w:t xml:space="preserve"> </w:t>
      </w:r>
      <w:r w:rsidRPr="00E43F32">
        <w:t>Plaintiffs sought emergency injunctive relief preventing the</w:t>
      </w:r>
      <w:r>
        <w:t xml:space="preserve"> </w:t>
      </w:r>
      <w:r w:rsidRPr="00E43F32">
        <w:t>Trump administration from federalizing and deploying National Guard troops in Illinois.</w:t>
      </w:r>
    </w:p>
    <w:p w14:paraId="338B8D52" w14:textId="77777777" w:rsidR="00374C8E" w:rsidRDefault="00374C8E" w:rsidP="00374C8E">
      <w:pPr>
        <w:pStyle w:val="NoSpacing"/>
        <w:ind w:left="720"/>
      </w:pPr>
    </w:p>
    <w:p w14:paraId="0BB94375" w14:textId="77777777" w:rsidR="00374C8E" w:rsidRPr="00E43F32" w:rsidRDefault="00374C8E" w:rsidP="00374C8E">
      <w:pPr>
        <w:pStyle w:val="NoSpacing"/>
        <w:ind w:left="720"/>
      </w:pPr>
      <w:r>
        <w:t>***</w:t>
      </w:r>
    </w:p>
    <w:p w14:paraId="5D5D899D" w14:textId="77777777" w:rsidR="00374C8E" w:rsidRPr="00E43F32" w:rsidRDefault="00374C8E" w:rsidP="00374C8E">
      <w:pPr>
        <w:pStyle w:val="NoSpacing"/>
      </w:pPr>
    </w:p>
    <w:p w14:paraId="68752905" w14:textId="77777777" w:rsidR="00374C8E" w:rsidRDefault="00374C8E" w:rsidP="00374C8E">
      <w:pPr>
        <w:pStyle w:val="NoSpacing"/>
        <w:ind w:left="720"/>
      </w:pPr>
      <w:r w:rsidRPr="00BA5389">
        <w:t xml:space="preserve">After holding a hearing and assessing the preliminary record, the </w:t>
      </w:r>
      <w:r>
        <w:t>[</w:t>
      </w:r>
      <w:proofErr w:type="spellStart"/>
      <w:r>
        <w:t>distri</w:t>
      </w:r>
      <w:proofErr w:type="spellEnd"/>
      <w:r>
        <w:t xml:space="preserve"> court on Oct. 9, 2025] </w:t>
      </w:r>
      <w:r w:rsidRPr="00BA5389">
        <w:t>granted in part plaintiffs’ request for a temporary restraining order and enjoined the federalization and deployment of the National Guard for 14 days.</w:t>
      </w:r>
    </w:p>
    <w:p w14:paraId="71B38E9D" w14:textId="77777777" w:rsidR="00374C8E" w:rsidRDefault="00374C8E" w:rsidP="00374C8E">
      <w:pPr>
        <w:pStyle w:val="NoSpacing"/>
        <w:ind w:left="720"/>
      </w:pPr>
    </w:p>
    <w:p w14:paraId="10730929" w14:textId="77777777" w:rsidR="00374C8E" w:rsidRDefault="00374C8E" w:rsidP="00374C8E">
      <w:pPr>
        <w:pStyle w:val="NoSpacing"/>
        <w:ind w:left="720"/>
      </w:pPr>
      <w:r>
        <w:t>***</w:t>
      </w:r>
    </w:p>
    <w:p w14:paraId="28332191" w14:textId="77777777" w:rsidR="00374C8E" w:rsidRDefault="00374C8E" w:rsidP="00374C8E">
      <w:pPr>
        <w:pStyle w:val="NoSpacing"/>
        <w:ind w:left="720"/>
      </w:pPr>
      <w:r>
        <w:t>The Trump administration promptly appealed. It also moved for a stay pending appeal and for an emergency administrative stay. We granted the motion for an administrative stay in part, allowing the Guard members in Illinois to remain under federal control but blocking their deployment while we considered the motion for a stay.</w:t>
      </w:r>
    </w:p>
    <w:p w14:paraId="4C9B8FF1" w14:textId="77777777" w:rsidR="00374C8E" w:rsidRDefault="00374C8E" w:rsidP="00374C8E">
      <w:pPr>
        <w:pStyle w:val="NoSpacing"/>
        <w:ind w:left="720"/>
      </w:pPr>
    </w:p>
    <w:p w14:paraId="06EDE958" w14:textId="77777777" w:rsidR="00374C8E" w:rsidRPr="00BA5389" w:rsidRDefault="00374C8E" w:rsidP="00374C8E">
      <w:pPr>
        <w:pStyle w:val="NoSpacing"/>
        <w:ind w:left="720"/>
      </w:pPr>
      <w:r>
        <w:t>***</w:t>
      </w:r>
    </w:p>
    <w:p w14:paraId="701D91CF" w14:textId="77777777" w:rsidR="00374C8E" w:rsidRDefault="00374C8E" w:rsidP="00374C8E">
      <w:pPr>
        <w:pStyle w:val="NoSpacing"/>
        <w:ind w:left="720"/>
      </w:pPr>
      <w:r w:rsidRPr="00960DC7">
        <w:t>We continue to STAY the district court’s</w:t>
      </w:r>
      <w:r>
        <w:t xml:space="preserve"> </w:t>
      </w:r>
      <w:r w:rsidRPr="00960DC7">
        <w:t>October 9, 2025, order only to the extent it enjoined the federalization of the National Guard within the state. The administration remains barred from deploying the National Guard</w:t>
      </w:r>
      <w:r>
        <w:t xml:space="preserve"> </w:t>
      </w:r>
      <w:r w:rsidRPr="00960DC7">
        <w:t>of the United States within Illinois.</w:t>
      </w:r>
      <w:r>
        <w:t>”</w:t>
      </w:r>
    </w:p>
    <w:p w14:paraId="396F9EEC" w14:textId="77777777" w:rsidR="00374C8E" w:rsidRDefault="00374C8E" w:rsidP="00374C8E">
      <w:pPr>
        <w:pStyle w:val="NoSpacing"/>
        <w:ind w:left="720"/>
      </w:pPr>
    </w:p>
    <w:p w14:paraId="0A308CCB" w14:textId="30E49ECF" w:rsidR="00374C8E" w:rsidRPr="00960DC7" w:rsidRDefault="00374C8E" w:rsidP="00374C8E">
      <w:pPr>
        <w:pStyle w:val="NoSpacing"/>
        <w:rPr>
          <w:b/>
          <w:bCs/>
        </w:rPr>
      </w:pPr>
      <w:r>
        <w:rPr>
          <w:b/>
        </w:rPr>
        <w:t xml:space="preserve">Lesson learned: Litigation over President’s authority to deploy National Guard where there is no “rebellion” will probably be finally settled by U.S. Supreme Court. </w:t>
      </w:r>
    </w:p>
    <w:p w14:paraId="0395FF0C" w14:textId="77777777" w:rsidR="00374C8E" w:rsidRPr="00960DC7" w:rsidRDefault="00374C8E" w:rsidP="00374C8E">
      <w:pPr>
        <w:pStyle w:val="NoSpacing"/>
      </w:pPr>
    </w:p>
    <w:p w14:paraId="04DD919C" w14:textId="77777777" w:rsidR="002511FF" w:rsidRDefault="002511FF" w:rsidP="00374C8E">
      <w:pPr>
        <w:pStyle w:val="NoSpacing"/>
        <w:ind w:left="720"/>
      </w:pPr>
    </w:p>
    <w:p w14:paraId="670CE1C5" w14:textId="77777777" w:rsidR="002511FF" w:rsidRDefault="002511FF" w:rsidP="00374C8E">
      <w:pPr>
        <w:pStyle w:val="NoSpacing"/>
        <w:ind w:left="720"/>
      </w:pPr>
    </w:p>
    <w:p w14:paraId="0E308F51" w14:textId="77777777" w:rsidR="002511FF" w:rsidRDefault="002511FF" w:rsidP="00374C8E">
      <w:pPr>
        <w:pStyle w:val="NoSpacing"/>
        <w:ind w:left="720"/>
      </w:pPr>
    </w:p>
    <w:p w14:paraId="78424A68" w14:textId="77777777" w:rsidR="002511FF" w:rsidRPr="005A2D83" w:rsidRDefault="002511FF" w:rsidP="002511FF">
      <w:pPr>
        <w:pStyle w:val="NoSpacing"/>
        <w:ind w:left="720"/>
        <w:rPr>
          <w:bCs/>
        </w:rPr>
      </w:pPr>
      <w:r>
        <w:t xml:space="preserve">See Oct. 16, </w:t>
      </w:r>
      <w:proofErr w:type="gramStart"/>
      <w:r>
        <w:t>2025</w:t>
      </w:r>
      <w:proofErr w:type="gramEnd"/>
      <w:r>
        <w:t xml:space="preserve"> article: </w:t>
      </w:r>
      <w:r w:rsidRPr="005A2D83">
        <w:t xml:space="preserve">Appeals Court Upholds Federal Judge’s Temporary Order Blocking National Guard Deployment in Chicago Area </w:t>
      </w:r>
    </w:p>
    <w:p w14:paraId="54DCCFDC" w14:textId="222D6255" w:rsidR="002511FF" w:rsidRDefault="002511FF" w:rsidP="002511FF">
      <w:pPr>
        <w:pStyle w:val="NoSpacing"/>
        <w:ind w:left="720"/>
      </w:pPr>
      <w:hyperlink r:id="rId666" w:history="1">
        <w:r w:rsidRPr="00B5246F">
          <w:rPr>
            <w:rStyle w:val="Hyperlink"/>
          </w:rPr>
          <w:t>https://news.wttw.com/2025/10/16/appeals-court-upholds-federal-judge-s-temporary-order-blocking-national-guard-deployment</w:t>
        </w:r>
      </w:hyperlink>
    </w:p>
    <w:p w14:paraId="61CF5E70" w14:textId="77777777" w:rsidR="002511FF" w:rsidRDefault="002511FF" w:rsidP="00374C8E">
      <w:pPr>
        <w:pStyle w:val="NoSpacing"/>
        <w:ind w:left="720"/>
      </w:pPr>
    </w:p>
    <w:p w14:paraId="63275DB1" w14:textId="77777777" w:rsidR="002511FF" w:rsidRDefault="002511FF" w:rsidP="00374C8E">
      <w:pPr>
        <w:pStyle w:val="NoSpacing"/>
        <w:ind w:left="720"/>
      </w:pPr>
    </w:p>
    <w:p w14:paraId="2C6624C9" w14:textId="6B66D5DD" w:rsidR="00374C8E" w:rsidRDefault="00374C8E" w:rsidP="00374C8E">
      <w:pPr>
        <w:pStyle w:val="NoSpacing"/>
        <w:ind w:left="720"/>
        <w:rPr>
          <w:b/>
        </w:rPr>
      </w:pPr>
      <w:r w:rsidRPr="00913BE0">
        <w:t>See</w:t>
      </w:r>
      <w:r>
        <w:t xml:space="preserve"> the</w:t>
      </w:r>
      <w:r w:rsidRPr="00913BE0">
        <w:t xml:space="preserve"> Port</w:t>
      </w:r>
      <w:r>
        <w:t>l</w:t>
      </w:r>
      <w:r w:rsidRPr="00913BE0">
        <w:t xml:space="preserve">and, Oregon </w:t>
      </w:r>
      <w:r>
        <w:t xml:space="preserve">Oct. 4, </w:t>
      </w:r>
      <w:proofErr w:type="gramStart"/>
      <w:r>
        <w:t>2025</w:t>
      </w:r>
      <w:proofErr w:type="gramEnd"/>
      <w:r>
        <w:t xml:space="preserve"> </w:t>
      </w:r>
      <w:r w:rsidRPr="00913BE0">
        <w:t>temporary restraining order</w:t>
      </w:r>
      <w:r>
        <w:rPr>
          <w:b/>
        </w:rPr>
        <w:t xml:space="preserve">:  </w:t>
      </w:r>
      <w:hyperlink r:id="rId667" w:history="1">
        <w:r w:rsidRPr="00F13728">
          <w:rPr>
            <w:rStyle w:val="Hyperlink"/>
            <w:b/>
          </w:rPr>
          <w:t>https://www.portland.gov/federal/documents/10-4-2025-state-city-v-trump-temporary-restraining-order-granted/download</w:t>
        </w:r>
      </w:hyperlink>
      <w:r>
        <w:rPr>
          <w:b/>
        </w:rPr>
        <w:t xml:space="preserve"> </w:t>
      </w:r>
    </w:p>
    <w:p w14:paraId="659DFA0D" w14:textId="77777777" w:rsidR="00374C8E" w:rsidRDefault="00374C8E" w:rsidP="00374C8E">
      <w:pPr>
        <w:pStyle w:val="NoSpacing"/>
        <w:ind w:left="720"/>
        <w:rPr>
          <w:bCs/>
        </w:rPr>
      </w:pPr>
    </w:p>
    <w:p w14:paraId="6B9FD426" w14:textId="788EA60D" w:rsidR="00374C8E" w:rsidRDefault="00374C8E" w:rsidP="002511FF">
      <w:pPr>
        <w:pStyle w:val="NoSpacing"/>
        <w:ind w:firstLine="720"/>
        <w:rPr>
          <w:rFonts w:ascii="Arial Black" w:hAnsi="Arial Black"/>
          <w:sz w:val="28"/>
          <w:szCs w:val="28"/>
        </w:rPr>
      </w:pPr>
      <w:r w:rsidRPr="002C508F">
        <w:t xml:space="preserve">9th Circuit </w:t>
      </w:r>
      <w:r>
        <w:t xml:space="preserve">Oct. 30, </w:t>
      </w:r>
      <w:proofErr w:type="gramStart"/>
      <w:r>
        <w:t>2025</w:t>
      </w:r>
      <w:proofErr w:type="gramEnd"/>
      <w:r>
        <w:t xml:space="preserve"> </w:t>
      </w:r>
      <w:r w:rsidRPr="002C508F">
        <w:t xml:space="preserve">stay: </w:t>
      </w:r>
      <w:hyperlink r:id="rId668" w:history="1">
        <w:r w:rsidRPr="002C508F">
          <w:rPr>
            <w:rStyle w:val="Hyperlink"/>
          </w:rPr>
          <w:t>https://cdn.ca9.uscourts.gov/datastore/opinions/2025/10/30/25-6268.pdf</w:t>
        </w:r>
      </w:hyperlink>
    </w:p>
    <w:p w14:paraId="5F9C26A2" w14:textId="77777777" w:rsidR="00374C8E" w:rsidRDefault="00374C8E" w:rsidP="00440B47">
      <w:pPr>
        <w:pStyle w:val="NoSpacing"/>
        <w:rPr>
          <w:rFonts w:ascii="Arial Black" w:hAnsi="Arial Black"/>
          <w:sz w:val="28"/>
          <w:szCs w:val="28"/>
        </w:rPr>
      </w:pPr>
    </w:p>
    <w:p w14:paraId="2F25814D" w14:textId="77777777" w:rsidR="00374C8E" w:rsidRDefault="00374C8E" w:rsidP="00440B47">
      <w:pPr>
        <w:pStyle w:val="NoSpacing"/>
        <w:rPr>
          <w:rFonts w:ascii="Arial Black" w:hAnsi="Arial Black"/>
          <w:sz w:val="28"/>
          <w:szCs w:val="28"/>
        </w:rPr>
      </w:pPr>
    </w:p>
    <w:p w14:paraId="2FE5464B" w14:textId="521877B1" w:rsidR="00C27E37" w:rsidRDefault="004D0741" w:rsidP="00440B47">
      <w:pPr>
        <w:pStyle w:val="NoSpacing"/>
        <w:rPr>
          <w:rFonts w:ascii="Arial Black" w:hAnsi="Arial Black"/>
          <w:sz w:val="28"/>
          <w:szCs w:val="28"/>
        </w:rPr>
      </w:pPr>
      <w:r>
        <w:rPr>
          <w:rFonts w:ascii="Arial Black" w:hAnsi="Arial Black"/>
          <w:sz w:val="28"/>
          <w:szCs w:val="28"/>
        </w:rPr>
        <w:t>3-81</w:t>
      </w:r>
    </w:p>
    <w:p w14:paraId="204B4A66" w14:textId="77777777" w:rsidR="00C27E37" w:rsidRDefault="00C27E37" w:rsidP="00440B47">
      <w:pPr>
        <w:pStyle w:val="NoSpacing"/>
        <w:rPr>
          <w:rFonts w:ascii="Arial Black" w:hAnsi="Arial Black"/>
          <w:sz w:val="28"/>
          <w:szCs w:val="28"/>
        </w:rPr>
      </w:pPr>
    </w:p>
    <w:p w14:paraId="273EC7A4" w14:textId="28553262" w:rsidR="00440B47" w:rsidRDefault="00440B47" w:rsidP="00440B47">
      <w:pPr>
        <w:pStyle w:val="NoSpacing"/>
        <w:rPr>
          <w:rFonts w:ascii="Arial Black" w:hAnsi="Arial Black"/>
          <w:bCs/>
          <w:sz w:val="28"/>
          <w:szCs w:val="28"/>
        </w:rPr>
      </w:pPr>
      <w:r>
        <w:rPr>
          <w:rFonts w:ascii="Arial Black" w:hAnsi="Arial Black"/>
          <w:sz w:val="28"/>
          <w:szCs w:val="28"/>
        </w:rPr>
        <w:t>RI: FEMA – DISASTER GRANTS – SANCTUARY STATES INJUN</w:t>
      </w:r>
      <w:r w:rsidR="005262E1">
        <w:rPr>
          <w:rFonts w:ascii="Arial Black" w:hAnsi="Arial Black"/>
          <w:sz w:val="28"/>
          <w:szCs w:val="28"/>
        </w:rPr>
        <w:t>CTION</w:t>
      </w:r>
    </w:p>
    <w:p w14:paraId="2E7DB45F" w14:textId="77777777" w:rsidR="00440B47" w:rsidRDefault="00440B47" w:rsidP="00440B47">
      <w:pPr>
        <w:pStyle w:val="NoSpacing"/>
        <w:rPr>
          <w:bCs/>
        </w:rPr>
      </w:pPr>
    </w:p>
    <w:p w14:paraId="277D7987" w14:textId="77777777" w:rsidR="00440B47" w:rsidRDefault="00440B47" w:rsidP="00440B47">
      <w:pPr>
        <w:pStyle w:val="NoSpacing"/>
        <w:rPr>
          <w:bCs/>
        </w:rPr>
      </w:pPr>
      <w:r>
        <w:t xml:space="preserve">On September 24, 2025, in </w:t>
      </w:r>
      <w:r w:rsidRPr="00317F99">
        <w:rPr>
          <w:u w:val="single"/>
        </w:rPr>
        <w:t>State of Illinois, et al. v. Federal Emergency Management Agency</w:t>
      </w:r>
      <w:r>
        <w:t xml:space="preserve">, Senior U.S. District Court Judge William E. Smith, United States District Court for the District of Rhode Island, granted permanent injunction; 20 states and the District of Columbia challenged President Trump’s Jan. 30, 2025 Executive Order that directed DHS </w:t>
      </w:r>
      <w:r w:rsidRPr="00B939B2">
        <w:t>to “ensure that so-called ‘sanctuary’ jurisdictions</w:t>
      </w:r>
      <w:r>
        <w:t xml:space="preserve"> </w:t>
      </w:r>
      <w:r w:rsidRPr="00B939B2">
        <w:t>do not receive access to federal funds</w:t>
      </w:r>
      <w:r>
        <w:t xml:space="preserve">.”  On July 23, </w:t>
      </w:r>
      <w:proofErr w:type="gramStart"/>
      <w:r>
        <w:t>2025</w:t>
      </w:r>
      <w:proofErr w:type="gramEnd"/>
      <w:r>
        <w:t xml:space="preserve"> FEMA advised the Court </w:t>
      </w:r>
      <w:r w:rsidRPr="009F7CB3">
        <w:t>that DHS</w:t>
      </w:r>
      <w:r>
        <w:t xml:space="preserve"> </w:t>
      </w:r>
      <w:r w:rsidRPr="009F7CB3">
        <w:t xml:space="preserve">had made a </w:t>
      </w:r>
      <w:r>
        <w:t>“</w:t>
      </w:r>
      <w:r w:rsidRPr="009F7CB3">
        <w:t>final determination</w:t>
      </w:r>
      <w:r>
        <w:t>”</w:t>
      </w:r>
      <w:r w:rsidRPr="009F7CB3">
        <w:t xml:space="preserve"> that the contested conditions</w:t>
      </w:r>
      <w:r>
        <w:t xml:space="preserve"> </w:t>
      </w:r>
      <w:r w:rsidRPr="009F7CB3">
        <w:t>would not apply to forty of the grants listed in the Amended</w:t>
      </w:r>
      <w:r>
        <w:t xml:space="preserve"> </w:t>
      </w:r>
      <w:r w:rsidRPr="009F7CB3">
        <w:t>Complaint</w:t>
      </w:r>
      <w:r>
        <w:t xml:space="preserve"> related is disaster relief</w:t>
      </w:r>
      <w:r w:rsidRPr="009F7CB3">
        <w:t>.</w:t>
      </w:r>
      <w:r>
        <w:t xml:space="preserve">  </w:t>
      </w:r>
    </w:p>
    <w:p w14:paraId="13AC01CB" w14:textId="77777777" w:rsidR="00440B47" w:rsidRDefault="00440B47" w:rsidP="00440B47">
      <w:pPr>
        <w:pStyle w:val="NoSpacing"/>
        <w:rPr>
          <w:bCs/>
        </w:rPr>
      </w:pPr>
    </w:p>
    <w:p w14:paraId="48CD82BE" w14:textId="77777777" w:rsidR="00440B47" w:rsidRPr="00F8047E" w:rsidRDefault="00440B47" w:rsidP="00440B47">
      <w:pPr>
        <w:pStyle w:val="NoSpacing"/>
        <w:rPr>
          <w:bCs/>
        </w:rPr>
      </w:pPr>
      <w:r w:rsidRPr="00B939B2">
        <w:rPr>
          <w:b/>
        </w:rPr>
        <w:t>THE COURT HELD</w:t>
      </w:r>
      <w:r>
        <w:t>: “[T]</w:t>
      </w:r>
      <w:r w:rsidRPr="00E033D4">
        <w:t>he grants at issue fund programs</w:t>
      </w:r>
      <w:r>
        <w:t xml:space="preserve"> </w:t>
      </w:r>
      <w:r w:rsidRPr="00E033D4">
        <w:t>such as disaster relief, fire safety, dam safety, and emergency</w:t>
      </w:r>
      <w:r>
        <w:t xml:space="preserve"> </w:t>
      </w:r>
      <w:r w:rsidRPr="00E033D4">
        <w:t>preparedness</w:t>
      </w:r>
      <w:r>
        <w:t xml:space="preserve">…. </w:t>
      </w:r>
      <w:r w:rsidRPr="00456A91">
        <w:t>The record shows that states rely on these grants for billions of</w:t>
      </w:r>
      <w:r>
        <w:t xml:space="preserve"> </w:t>
      </w:r>
      <w:r w:rsidRPr="00456A91">
        <w:t>dollars annually in disaster relief and public safety funds that</w:t>
      </w:r>
      <w:r>
        <w:t xml:space="preserve"> </w:t>
      </w:r>
      <w:r w:rsidRPr="00456A91">
        <w:t>cannot be replaced by state revenues. Denying such funding if</w:t>
      </w:r>
      <w:r>
        <w:t xml:space="preserve"> </w:t>
      </w:r>
      <w:r w:rsidRPr="00456A91">
        <w:t>states refuse to comply with vague immigration requirements leaves</w:t>
      </w:r>
      <w:r>
        <w:t xml:space="preserve"> </w:t>
      </w:r>
      <w:r w:rsidRPr="00456A91">
        <w:t>them with no meaningful choice, particularly where state budgets</w:t>
      </w:r>
      <w:r>
        <w:t xml:space="preserve"> </w:t>
      </w:r>
      <w:r w:rsidRPr="00456A91">
        <w:t>are already committed</w:t>
      </w:r>
      <w:r>
        <w:t xml:space="preserve">…. </w:t>
      </w:r>
      <w:r w:rsidRPr="00316405">
        <w:t xml:space="preserve">Here, DHS </w:t>
      </w:r>
      <w:proofErr w:type="gramStart"/>
      <w:r w:rsidRPr="00316405">
        <w:t>required</w:t>
      </w:r>
      <w:proofErr w:type="gramEnd"/>
      <w:r w:rsidRPr="00316405">
        <w:t xml:space="preserve"> states to</w:t>
      </w:r>
      <w:r>
        <w:t xml:space="preserve"> </w:t>
      </w:r>
      <w:r w:rsidRPr="00316405">
        <w:t xml:space="preserve">provide </w:t>
      </w:r>
      <w:r>
        <w:t>‘</w:t>
      </w:r>
      <w:r w:rsidRPr="00316405">
        <w:t>cooperation</w:t>
      </w:r>
      <w:r>
        <w:t>’</w:t>
      </w:r>
      <w:r w:rsidRPr="00316405">
        <w:t xml:space="preserve"> and participate in </w:t>
      </w:r>
      <w:r>
        <w:t>‘</w:t>
      </w:r>
      <w:r w:rsidRPr="00316405">
        <w:t xml:space="preserve">joint </w:t>
      </w:r>
      <w:proofErr w:type="gramStart"/>
      <w:r w:rsidRPr="00316405">
        <w:t>operations</w:t>
      </w:r>
      <w:r>
        <w:t>’</w:t>
      </w:r>
      <w:r w:rsidRPr="00316405">
        <w:t xml:space="preserve"> and</w:t>
      </w:r>
      <w:r>
        <w:t xml:space="preserve"> ‘</w:t>
      </w:r>
      <w:proofErr w:type="gramEnd"/>
      <w:r w:rsidRPr="00316405">
        <w:t xml:space="preserve">information </w:t>
      </w:r>
      <w:proofErr w:type="gramStart"/>
      <w:r w:rsidRPr="00316405">
        <w:t>sharing,</w:t>
      </w:r>
      <w:r>
        <w:t>’</w:t>
      </w:r>
      <w:proofErr w:type="gramEnd"/>
      <w:r w:rsidRPr="00316405">
        <w:t xml:space="preserve"> but without defining what compliance</w:t>
      </w:r>
      <w:r>
        <w:t xml:space="preserve"> </w:t>
      </w:r>
      <w:r w:rsidRPr="00316405">
        <w:t>entails. Likewise, the prohibition on operating programs that</w:t>
      </w:r>
      <w:r>
        <w:t xml:space="preserve"> ‘</w:t>
      </w:r>
      <w:r w:rsidRPr="00316405">
        <w:t>benefit illegal immigrants</w:t>
      </w:r>
      <w:r>
        <w:t>’</w:t>
      </w:r>
      <w:r w:rsidRPr="00316405">
        <w:t xml:space="preserve"> or </w:t>
      </w:r>
      <w:r>
        <w:t>‘</w:t>
      </w:r>
      <w:r w:rsidRPr="00316405">
        <w:t>incentivize illegal immigration</w:t>
      </w:r>
      <w:r>
        <w:t xml:space="preserve">’ </w:t>
      </w:r>
      <w:r w:rsidRPr="00316405">
        <w:t>provides no meaningful standards and is hopelessly vague</w:t>
      </w:r>
      <w:r>
        <w:t xml:space="preserve">…. </w:t>
      </w:r>
      <w:r w:rsidRPr="00F8047E">
        <w:t xml:space="preserve">The holding in </w:t>
      </w:r>
      <w:r w:rsidRPr="00F8047E">
        <w:rPr>
          <w:i/>
          <w:iCs/>
        </w:rPr>
        <w:t>Trump v. Casa</w:t>
      </w:r>
      <w:r w:rsidRPr="00F8047E">
        <w:t xml:space="preserve"> restricted universal</w:t>
      </w:r>
      <w:r>
        <w:t xml:space="preserve"> </w:t>
      </w:r>
      <w:r w:rsidRPr="00F8047E">
        <w:t>injunctions, but the Court expressly left unaffected the APA’s</w:t>
      </w:r>
    </w:p>
    <w:p w14:paraId="0F1D7D21" w14:textId="77777777" w:rsidR="00440B47" w:rsidRPr="000518C3" w:rsidRDefault="00440B47" w:rsidP="00440B47">
      <w:pPr>
        <w:pStyle w:val="NoSpacing"/>
        <w:rPr>
          <w:bCs/>
        </w:rPr>
      </w:pPr>
      <w:r w:rsidRPr="00F8047E">
        <w:t xml:space="preserve">command to </w:t>
      </w:r>
      <w:r>
        <w:t>‘</w:t>
      </w:r>
      <w:r w:rsidRPr="00F8047E">
        <w:t>set aside</w:t>
      </w:r>
      <w:r>
        <w:t>’</w:t>
      </w:r>
      <w:r w:rsidRPr="00F8047E">
        <w:t xml:space="preserve"> unlawful agency action. 606 U.S. 831, 847</w:t>
      </w:r>
      <w:r>
        <w:t xml:space="preserve"> </w:t>
      </w:r>
      <w:r w:rsidRPr="00F8047E">
        <w:t>n.10 (2025) (</w:t>
      </w:r>
      <w:r>
        <w:t>‘</w:t>
      </w:r>
      <w:r w:rsidRPr="00F8047E">
        <w:t>Nothing we say today resolves the distinct question</w:t>
      </w:r>
      <w:r>
        <w:t xml:space="preserve"> </w:t>
      </w:r>
      <w:r w:rsidRPr="00F8047E">
        <w:t>whether the Administrative Procedure Act authorizes federal courts</w:t>
      </w:r>
      <w:r>
        <w:t xml:space="preserve"> </w:t>
      </w:r>
      <w:r w:rsidRPr="00F8047E">
        <w:t>to vacate agency action.</w:t>
      </w:r>
      <w:r>
        <w:t>’</w:t>
      </w:r>
      <w:r w:rsidRPr="00F8047E">
        <w:t>).</w:t>
      </w:r>
      <w:r>
        <w:t xml:space="preserve"> </w:t>
      </w:r>
      <w:r w:rsidRPr="000518C3">
        <w:t>vacatur under the APA remains, for now, a valid remedy.</w:t>
      </w:r>
    </w:p>
    <w:p w14:paraId="7956271D" w14:textId="77777777" w:rsidR="00440B47" w:rsidRPr="000518C3" w:rsidRDefault="00440B47" w:rsidP="00440B47">
      <w:pPr>
        <w:pStyle w:val="NoSpacing"/>
        <w:rPr>
          <w:bCs/>
        </w:rPr>
      </w:pPr>
      <w:r w:rsidRPr="000518C3">
        <w:t>Based on its findings above, the Court declares that the</w:t>
      </w:r>
      <w:r>
        <w:t xml:space="preserve"> </w:t>
      </w:r>
      <w:r w:rsidRPr="000518C3">
        <w:t>contested conditions are both arbitrary and capricious under the</w:t>
      </w:r>
      <w:r>
        <w:t xml:space="preserve"> </w:t>
      </w:r>
      <w:r w:rsidRPr="000518C3">
        <w:t>APA and unconstitutional under the Spending Clause. As such, the</w:t>
      </w:r>
    </w:p>
    <w:p w14:paraId="7927725A" w14:textId="77777777" w:rsidR="00440B47" w:rsidRPr="000518C3" w:rsidRDefault="00440B47" w:rsidP="00440B47">
      <w:pPr>
        <w:pStyle w:val="NoSpacing"/>
        <w:rPr>
          <w:bCs/>
        </w:rPr>
      </w:pPr>
      <w:r w:rsidRPr="000518C3">
        <w:t>contested conditions are vacated.</w:t>
      </w:r>
      <w:r>
        <w:t xml:space="preserve"> </w:t>
      </w:r>
      <w:proofErr w:type="gramStart"/>
      <w:r w:rsidRPr="000518C3">
        <w:t>In light of</w:t>
      </w:r>
      <w:proofErr w:type="gramEnd"/>
      <w:r w:rsidRPr="000518C3">
        <w:t xml:space="preserve"> this holding, a permanent injunction enjoining</w:t>
      </w:r>
    </w:p>
    <w:p w14:paraId="795AD968" w14:textId="77777777" w:rsidR="00440B47" w:rsidRDefault="00440B47" w:rsidP="00440B47">
      <w:pPr>
        <w:pStyle w:val="NoSpacing"/>
        <w:rPr>
          <w:bCs/>
        </w:rPr>
      </w:pPr>
      <w:r w:rsidRPr="000518C3">
        <w:t>Defendants from enforcing the contested conditions against</w:t>
      </w:r>
      <w:r>
        <w:t xml:space="preserve"> </w:t>
      </w:r>
      <w:r w:rsidRPr="000518C3">
        <w:t>Plaintiff States is also appropriate.</w:t>
      </w:r>
      <w:r>
        <w:t>”</w:t>
      </w:r>
      <w:r w:rsidRPr="00546A34">
        <w:t xml:space="preserve"> </w:t>
      </w:r>
      <w:hyperlink r:id="rId669" w:history="1">
        <w:r w:rsidRPr="00CC0A54">
          <w:rPr>
            <w:rStyle w:val="Hyperlink"/>
          </w:rPr>
          <w:t>https://rhodeislandcurrent.com/wp-content/uploads/2025/09/IL-v.-FEMA-1.pdf</w:t>
        </w:r>
      </w:hyperlink>
      <w:r>
        <w:t xml:space="preserve"> </w:t>
      </w:r>
    </w:p>
    <w:p w14:paraId="2D536E95" w14:textId="77777777" w:rsidR="00440B47" w:rsidRDefault="00440B47" w:rsidP="00440B47">
      <w:pPr>
        <w:pStyle w:val="NoSpacing"/>
        <w:rPr>
          <w:bCs/>
        </w:rPr>
      </w:pPr>
    </w:p>
    <w:p w14:paraId="74C61115" w14:textId="77777777" w:rsidR="00440B47" w:rsidRPr="0039608F" w:rsidRDefault="00440B47" w:rsidP="00440B47">
      <w:pPr>
        <w:pStyle w:val="NoSpacing"/>
        <w:rPr>
          <w:b/>
        </w:rPr>
      </w:pPr>
      <w:r w:rsidRPr="0039608F">
        <w:rPr>
          <w:b/>
        </w:rPr>
        <w:t>KEY FACTS:</w:t>
      </w:r>
    </w:p>
    <w:p w14:paraId="6D8A535A" w14:textId="77777777" w:rsidR="00440B47" w:rsidRDefault="00440B47" w:rsidP="00440B47">
      <w:pPr>
        <w:pStyle w:val="NoSpacing"/>
        <w:rPr>
          <w:bCs/>
        </w:rPr>
      </w:pPr>
    </w:p>
    <w:p w14:paraId="6EACA64B" w14:textId="77777777" w:rsidR="00440B47" w:rsidRDefault="00440B47" w:rsidP="00440B47">
      <w:pPr>
        <w:pStyle w:val="NoSpacing"/>
        <w:ind w:left="720"/>
        <w:rPr>
          <w:bCs/>
        </w:rPr>
      </w:pPr>
      <w:r>
        <w:t>“</w:t>
      </w:r>
      <w:r w:rsidRPr="004E1E96">
        <w:t>DHS</w:t>
      </w:r>
      <w:r>
        <w:t xml:space="preserve"> </w:t>
      </w:r>
      <w:r w:rsidRPr="004E1E96">
        <w:t>Secretary Kristi Noem issued a memorandum on February 19 titled</w:t>
      </w:r>
      <w:r>
        <w:t xml:space="preserve"> ‘</w:t>
      </w:r>
      <w:r w:rsidRPr="004E1E96">
        <w:t>Restricting Grant Funding for Sanctuary Jurisdictions.</w:t>
      </w:r>
      <w:r>
        <w:t>’ …  T</w:t>
      </w:r>
      <w:r w:rsidRPr="00905FE2">
        <w:t>his memorandum instructed DHS’s sub-agencies to</w:t>
      </w:r>
      <w:r>
        <w:t xml:space="preserve"> </w:t>
      </w:r>
      <w:r w:rsidRPr="00905FE2">
        <w:t>“review all federal financial assistance awards” to identify funds</w:t>
      </w:r>
      <w:r>
        <w:t xml:space="preserve"> </w:t>
      </w:r>
      <w:r w:rsidRPr="00905FE2">
        <w:t>being distributed to sanctuary jurisdictions, and report</w:t>
      </w:r>
      <w:r>
        <w:t xml:space="preserve"> </w:t>
      </w:r>
      <w:r w:rsidRPr="00905FE2">
        <w:t>compliance within thirty days</w:t>
      </w:r>
      <w:r>
        <w:t>…. C</w:t>
      </w:r>
      <w:r w:rsidRPr="00C046DF">
        <w:t>ameron Hamilton, then serving as the Senior Official</w:t>
      </w:r>
      <w:r>
        <w:t xml:space="preserve"> P</w:t>
      </w:r>
      <w:r w:rsidRPr="00C046DF">
        <w:t>erforming the Duties of FEMA Administrator</w:t>
      </w:r>
      <w:r>
        <w:t xml:space="preserve"> </w:t>
      </w:r>
      <w:r w:rsidRPr="002440B3">
        <w:t>subsequently sent a</w:t>
      </w:r>
      <w:r>
        <w:t xml:space="preserve"> </w:t>
      </w:r>
      <w:r w:rsidRPr="002440B3">
        <w:t>memorandum to Secretary Noem identifying twelve FEMA programs</w:t>
      </w:r>
      <w:r>
        <w:t xml:space="preserve"> </w:t>
      </w:r>
      <w:r w:rsidRPr="002440B3">
        <w:t xml:space="preserve">that, in </w:t>
      </w:r>
      <w:r w:rsidRPr="002440B3">
        <w:lastRenderedPageBreak/>
        <w:t>his view, could lawfully be withheld from sanctuary</w:t>
      </w:r>
      <w:r>
        <w:t xml:space="preserve"> </w:t>
      </w:r>
      <w:r w:rsidRPr="002440B3">
        <w:t xml:space="preserve">states. He </w:t>
      </w:r>
      <w:proofErr w:type="gramStart"/>
      <w:r w:rsidRPr="002440B3">
        <w:t>recommended against</w:t>
      </w:r>
      <w:proofErr w:type="gramEnd"/>
      <w:r w:rsidRPr="002440B3">
        <w:t xml:space="preserve"> applying limiting conditions to</w:t>
      </w:r>
      <w:r>
        <w:t xml:space="preserve"> </w:t>
      </w:r>
      <w:r w:rsidRPr="002440B3">
        <w:t>disaster grants, non-disaster mitigation grants, fire departments,</w:t>
      </w:r>
      <w:r>
        <w:t xml:space="preserve"> </w:t>
      </w:r>
      <w:r w:rsidRPr="002440B3">
        <w:t>and similar organizations.</w:t>
      </w:r>
    </w:p>
    <w:p w14:paraId="70747C29" w14:textId="77777777" w:rsidR="00440B47" w:rsidRDefault="00440B47" w:rsidP="00440B47">
      <w:pPr>
        <w:pStyle w:val="NoSpacing"/>
        <w:ind w:left="720"/>
        <w:rPr>
          <w:bCs/>
        </w:rPr>
      </w:pPr>
    </w:p>
    <w:p w14:paraId="3FCC26E8" w14:textId="77777777" w:rsidR="00440B47" w:rsidRDefault="00440B47" w:rsidP="00440B47">
      <w:pPr>
        <w:pStyle w:val="NoSpacing"/>
        <w:ind w:left="720"/>
        <w:rPr>
          <w:bCs/>
        </w:rPr>
      </w:pPr>
      <w:r w:rsidRPr="002167E9">
        <w:t>On March 27, DHS revised the standard terms and conditions</w:t>
      </w:r>
      <w:r>
        <w:t xml:space="preserve"> </w:t>
      </w:r>
      <w:r w:rsidRPr="002167E9">
        <w:t>governing all federal grants it oversees, adding provisions</w:t>
      </w:r>
      <w:r>
        <w:t xml:space="preserve"> </w:t>
      </w:r>
      <w:r w:rsidRPr="002167E9">
        <w:t>requiring state and local recipients to certify that they will</w:t>
      </w:r>
      <w:r>
        <w:t xml:space="preserve"> </w:t>
      </w:r>
      <w:r w:rsidRPr="002167E9">
        <w:t>assist in enforcing federal immigration law</w:t>
      </w:r>
      <w:r>
        <w:t xml:space="preserve">…. </w:t>
      </w:r>
      <w:r w:rsidRPr="00280317">
        <w:t>A revised version of these terms and conditions was issued</w:t>
      </w:r>
      <w:r>
        <w:t xml:space="preserve"> </w:t>
      </w:r>
      <w:r w:rsidRPr="00280317">
        <w:t>on April 18; that version remains in effect today</w:t>
      </w:r>
      <w:r>
        <w:t xml:space="preserve">…. </w:t>
      </w:r>
      <w:r w:rsidRPr="00D11607">
        <w:t>Plaintiff States filed this action on May 13, seeking</w:t>
      </w:r>
      <w:r>
        <w:t xml:space="preserve"> </w:t>
      </w:r>
      <w:r w:rsidRPr="00145D8E">
        <w:t>declaratory and injunctive relief on the grounds that the contested</w:t>
      </w:r>
      <w:r>
        <w:t xml:space="preserve"> </w:t>
      </w:r>
      <w:r w:rsidRPr="00145D8E">
        <w:t>conditions are unlawful</w:t>
      </w:r>
      <w:r>
        <w:t xml:space="preserve">…. </w:t>
      </w:r>
    </w:p>
    <w:p w14:paraId="15FD6F6C" w14:textId="77777777" w:rsidR="00440B47" w:rsidRDefault="00440B47" w:rsidP="00440B47">
      <w:pPr>
        <w:pStyle w:val="NoSpacing"/>
        <w:ind w:left="720"/>
        <w:rPr>
          <w:bCs/>
        </w:rPr>
      </w:pPr>
    </w:p>
    <w:p w14:paraId="36A82D3E" w14:textId="77777777" w:rsidR="00440B47" w:rsidRPr="004100BA" w:rsidRDefault="00440B47" w:rsidP="00440B47">
      <w:pPr>
        <w:pStyle w:val="NoSpacing"/>
        <w:ind w:left="720"/>
        <w:rPr>
          <w:bCs/>
        </w:rPr>
      </w:pPr>
      <w:r w:rsidRPr="004100BA">
        <w:t>Shortly thereafter, on June 6, Defendants submitted an</w:t>
      </w:r>
      <w:r>
        <w:t xml:space="preserve"> </w:t>
      </w:r>
      <w:r w:rsidRPr="004100BA">
        <w:t>affidavit from David E. Richardson, Senior Official Performing the</w:t>
      </w:r>
      <w:r>
        <w:t xml:space="preserve"> </w:t>
      </w:r>
      <w:r w:rsidRPr="004100BA">
        <w:t>Duties of Administrator for FEMA, declaring that DHS had decided</w:t>
      </w:r>
      <w:r>
        <w:t xml:space="preserve"> </w:t>
      </w:r>
      <w:r w:rsidRPr="004100BA">
        <w:t>the contested conditions would not apply to twelve of the grants</w:t>
      </w:r>
    </w:p>
    <w:p w14:paraId="6CDC8767" w14:textId="77777777" w:rsidR="00440B47" w:rsidRDefault="00440B47" w:rsidP="00440B47">
      <w:pPr>
        <w:pStyle w:val="NoSpacing"/>
        <w:ind w:left="720"/>
        <w:rPr>
          <w:bCs/>
        </w:rPr>
      </w:pPr>
      <w:r w:rsidRPr="004100BA">
        <w:t xml:space="preserve">identified in </w:t>
      </w:r>
      <w:proofErr w:type="gramStart"/>
      <w:r w:rsidRPr="004100BA">
        <w:t>the Complaint,</w:t>
      </w:r>
      <w:proofErr w:type="gramEnd"/>
      <w:r>
        <w:t xml:space="preserve"> </w:t>
      </w:r>
      <w:r w:rsidRPr="004100BA">
        <w:t>3 and that the applicability of the</w:t>
      </w:r>
      <w:r>
        <w:t xml:space="preserve"> </w:t>
      </w:r>
      <w:r w:rsidRPr="004100BA">
        <w:t>conditions to other grants remained under review.</w:t>
      </w:r>
      <w:r>
        <w:t xml:space="preserve"> </w:t>
      </w:r>
    </w:p>
    <w:p w14:paraId="63435920" w14:textId="77777777" w:rsidR="00440B47" w:rsidRDefault="00440B47" w:rsidP="00440B47">
      <w:pPr>
        <w:pStyle w:val="NoSpacing"/>
        <w:ind w:left="720"/>
        <w:rPr>
          <w:bCs/>
        </w:rPr>
      </w:pPr>
    </w:p>
    <w:p w14:paraId="29BF113E" w14:textId="77777777" w:rsidR="00440B47" w:rsidRDefault="00440B47" w:rsidP="00440B47">
      <w:pPr>
        <w:pStyle w:val="NoSpacing"/>
        <w:ind w:left="1440"/>
        <w:rPr>
          <w:bCs/>
        </w:rPr>
      </w:pPr>
      <w:r>
        <w:t xml:space="preserve">[Footnote 3]: </w:t>
      </w:r>
      <w:r w:rsidRPr="009F7CB3">
        <w:t>A second declaration by Richardson filed on July 23, in</w:t>
      </w:r>
      <w:r>
        <w:t xml:space="preserve"> </w:t>
      </w:r>
      <w:r w:rsidRPr="009F7CB3">
        <w:t>support of Defendants’ Motion for Summary Judgment, noted that DHS</w:t>
      </w:r>
      <w:r>
        <w:t xml:space="preserve"> </w:t>
      </w:r>
      <w:r w:rsidRPr="009F7CB3">
        <w:t xml:space="preserve">had made a </w:t>
      </w:r>
      <w:r>
        <w:t>‘</w:t>
      </w:r>
      <w:r w:rsidRPr="009F7CB3">
        <w:t>final determination</w:t>
      </w:r>
      <w:r>
        <w:t>’</w:t>
      </w:r>
      <w:r w:rsidRPr="009F7CB3">
        <w:t xml:space="preserve"> that the contested conditions</w:t>
      </w:r>
      <w:r>
        <w:t xml:space="preserve"> </w:t>
      </w:r>
      <w:r w:rsidRPr="009F7CB3">
        <w:t>would not apply to forty of the grants listed in the Amended</w:t>
      </w:r>
      <w:r>
        <w:t xml:space="preserve"> </w:t>
      </w:r>
      <w:r w:rsidRPr="009F7CB3">
        <w:t>Complaint.</w:t>
      </w:r>
      <w:r>
        <w:t xml:space="preserve">  </w:t>
      </w:r>
    </w:p>
    <w:p w14:paraId="22055197" w14:textId="77777777" w:rsidR="00440B47" w:rsidRDefault="00440B47" w:rsidP="00440B47">
      <w:pPr>
        <w:pStyle w:val="NoSpacing"/>
        <w:ind w:left="720"/>
        <w:rPr>
          <w:bCs/>
        </w:rPr>
      </w:pPr>
    </w:p>
    <w:p w14:paraId="4117CE12" w14:textId="77777777" w:rsidR="00440B47" w:rsidRDefault="00440B47" w:rsidP="00440B47">
      <w:pPr>
        <w:pStyle w:val="NoSpacing"/>
        <w:ind w:left="720"/>
        <w:rPr>
          <w:bCs/>
        </w:rPr>
      </w:pPr>
      <w:r w:rsidRPr="0003565F">
        <w:t>At a June 9 status hearing,</w:t>
      </w:r>
      <w:r>
        <w:t xml:space="preserve"> </w:t>
      </w:r>
      <w:r w:rsidRPr="0003565F">
        <w:t>Plaintiff States raised concerns that this change in position had</w:t>
      </w:r>
      <w:r>
        <w:t xml:space="preserve"> </w:t>
      </w:r>
      <w:r w:rsidRPr="0003565F">
        <w:t>not been formally reflected in DHS’s standard terms and conditions</w:t>
      </w:r>
      <w:r>
        <w:t xml:space="preserve">, </w:t>
      </w:r>
      <w:r w:rsidRPr="00F55966">
        <w:t>which continued to state that the contested conditions applied to</w:t>
      </w:r>
      <w:r>
        <w:t xml:space="preserve"> </w:t>
      </w:r>
      <w:r w:rsidRPr="00F55966">
        <w:t xml:space="preserve">all new grants in Fiscal </w:t>
      </w:r>
      <w:proofErr w:type="gramStart"/>
      <w:r w:rsidRPr="00F55966">
        <w:t>Year (</w:t>
      </w:r>
      <w:r>
        <w:t>‘</w:t>
      </w:r>
      <w:proofErr w:type="gramEnd"/>
      <w:r w:rsidRPr="00F55966">
        <w:t>FY</w:t>
      </w:r>
      <w:r>
        <w:t>’</w:t>
      </w:r>
      <w:r w:rsidRPr="00F55966">
        <w:t>) 2025.</w:t>
      </w:r>
    </w:p>
    <w:p w14:paraId="49495591" w14:textId="77777777" w:rsidR="00440B47" w:rsidRDefault="00440B47" w:rsidP="00440B47">
      <w:pPr>
        <w:pStyle w:val="NoSpacing"/>
        <w:rPr>
          <w:bCs/>
        </w:rPr>
      </w:pPr>
    </w:p>
    <w:p w14:paraId="1D646B07" w14:textId="77777777" w:rsidR="00440B47" w:rsidRDefault="00440B47" w:rsidP="00440B47">
      <w:pPr>
        <w:pStyle w:val="NoSpacing"/>
        <w:ind w:left="720"/>
        <w:rPr>
          <w:bCs/>
        </w:rPr>
      </w:pPr>
      <w:r w:rsidRPr="008D1DE1">
        <w:t>After that hearing, DHS amended its website to state that</w:t>
      </w:r>
      <w:r>
        <w:t xml:space="preserve"> ‘</w:t>
      </w:r>
      <w:r w:rsidRPr="008D1DE1">
        <w:t>not all of DHS’s Standard Terms and Conditions apply to every DHS</w:t>
      </w:r>
      <w:r>
        <w:t xml:space="preserve"> </w:t>
      </w:r>
      <w:r w:rsidRPr="008D1DE1">
        <w:t>grant program,</w:t>
      </w:r>
      <w:r>
        <w:t xml:space="preserve">’ </w:t>
      </w:r>
      <w:r w:rsidRPr="008D1DE1">
        <w:t>directing applicants to review program Notices of</w:t>
      </w:r>
      <w:r>
        <w:t xml:space="preserve"> </w:t>
      </w:r>
      <w:r w:rsidRPr="008D1DE1">
        <w:t>Funding Opportunity (NOFOs) to determine which conditions applied</w:t>
      </w:r>
      <w:r>
        <w:t xml:space="preserve">…. </w:t>
      </w:r>
      <w:r w:rsidRPr="00AC5F47">
        <w:t>In subsequent filings,</w:t>
      </w:r>
      <w:r>
        <w:t xml:space="preserve"> </w:t>
      </w:r>
      <w:r w:rsidRPr="00AC5F47">
        <w:t xml:space="preserve">Defendants asserted they had made a </w:t>
      </w:r>
      <w:r>
        <w:t>‘</w:t>
      </w:r>
      <w:r w:rsidRPr="00AC5F47">
        <w:t>final determination</w:t>
      </w:r>
      <w:r>
        <w:t>’</w:t>
      </w:r>
      <w:r w:rsidRPr="00AC5F47">
        <w:t xml:space="preserve"> that the</w:t>
      </w:r>
      <w:r>
        <w:t xml:space="preserve"> </w:t>
      </w:r>
      <w:r w:rsidRPr="00AC5F47">
        <w:t>contested conditions would not apply to forty of the grant programs</w:t>
      </w:r>
      <w:r>
        <w:t xml:space="preserve"> </w:t>
      </w:r>
      <w:r w:rsidRPr="00AC5F47">
        <w:t>identified in the Amended Complaint.</w:t>
      </w:r>
    </w:p>
    <w:p w14:paraId="306AACBB" w14:textId="77777777" w:rsidR="00440B47" w:rsidRDefault="00440B47" w:rsidP="00440B47">
      <w:pPr>
        <w:pStyle w:val="NoSpacing"/>
        <w:rPr>
          <w:bCs/>
        </w:rPr>
      </w:pPr>
    </w:p>
    <w:p w14:paraId="07715CD3" w14:textId="77777777" w:rsidR="00440B47" w:rsidRDefault="00440B47" w:rsidP="00440B47">
      <w:pPr>
        <w:pStyle w:val="NoSpacing"/>
        <w:ind w:left="720"/>
        <w:rPr>
          <w:bCs/>
        </w:rPr>
      </w:pPr>
      <w:r w:rsidRPr="0023706A">
        <w:t>According to Plaintiff</w:t>
      </w:r>
      <w:r>
        <w:t xml:space="preserve"> </w:t>
      </w:r>
      <w:r w:rsidRPr="0023706A">
        <w:t>States, Between July 25 and August 1, DHS issued twenty-four NOFOs,</w:t>
      </w:r>
      <w:r>
        <w:t xml:space="preserve"> </w:t>
      </w:r>
      <w:r w:rsidRPr="0023706A">
        <w:t>all of which included the standard terms and conditions, and six</w:t>
      </w:r>
      <w:r>
        <w:t xml:space="preserve"> </w:t>
      </w:r>
      <w:r w:rsidRPr="0023706A">
        <w:t xml:space="preserve">of which expressly warned that </w:t>
      </w:r>
      <w:r>
        <w:t>‘</w:t>
      </w:r>
      <w:r w:rsidRPr="0023706A">
        <w:t>an immigration term and condition</w:t>
      </w:r>
      <w:r>
        <w:t xml:space="preserve"> </w:t>
      </w:r>
      <w:r w:rsidRPr="0023706A">
        <w:t>may be material</w:t>
      </w:r>
      <w:r>
        <w:t>’</w:t>
      </w:r>
      <w:r w:rsidRPr="0023706A">
        <w:t xml:space="preserve"> and DHS </w:t>
      </w:r>
      <w:r>
        <w:t>‘</w:t>
      </w:r>
      <w:r w:rsidRPr="0023706A">
        <w:t>may take any remedy for noncompliance</w:t>
      </w:r>
      <w:r>
        <w:t xml:space="preserve">’ </w:t>
      </w:r>
      <w:r w:rsidRPr="0023706A">
        <w:t xml:space="preserve">including </w:t>
      </w:r>
      <w:r>
        <w:t>‘</w:t>
      </w:r>
      <w:r w:rsidRPr="0023706A">
        <w:t>termination.</w:t>
      </w:r>
      <w:r>
        <w:t>’”</w:t>
      </w:r>
    </w:p>
    <w:p w14:paraId="2302CACB" w14:textId="77777777" w:rsidR="00440B47" w:rsidRDefault="00440B47" w:rsidP="00440B47">
      <w:pPr>
        <w:pStyle w:val="NoSpacing"/>
        <w:ind w:left="720"/>
        <w:rPr>
          <w:bCs/>
        </w:rPr>
      </w:pPr>
    </w:p>
    <w:p w14:paraId="3D2A93CE" w14:textId="77777777" w:rsidR="00440B47" w:rsidRPr="009314E0" w:rsidRDefault="00440B47" w:rsidP="00440B47">
      <w:pPr>
        <w:pStyle w:val="NoSpacing"/>
        <w:rPr>
          <w:b/>
        </w:rPr>
      </w:pPr>
      <w:r w:rsidRPr="009314E0">
        <w:rPr>
          <w:b/>
        </w:rPr>
        <w:t xml:space="preserve">Legal lesson learned: </w:t>
      </w:r>
      <w:r>
        <w:rPr>
          <w:b/>
        </w:rPr>
        <w:t xml:space="preserve">The Government will likely appeal this decision to the First Circuit Court of Appeals, and if </w:t>
      </w:r>
      <w:proofErr w:type="gramStart"/>
      <w:r>
        <w:rPr>
          <w:b/>
        </w:rPr>
        <w:t>necessary</w:t>
      </w:r>
      <w:proofErr w:type="gramEnd"/>
      <w:r>
        <w:rPr>
          <w:b/>
        </w:rPr>
        <w:t xml:space="preserve"> seek review by the U.S. Supreme Court. </w:t>
      </w:r>
    </w:p>
    <w:p w14:paraId="46A62A1D" w14:textId="77777777" w:rsidR="00440B47" w:rsidRDefault="00440B47" w:rsidP="00607129">
      <w:pPr>
        <w:pStyle w:val="NoSpacing"/>
        <w:rPr>
          <w:rFonts w:ascii="Arial Black" w:hAnsi="Arial Black"/>
          <w:sz w:val="28"/>
          <w:szCs w:val="28"/>
        </w:rPr>
      </w:pPr>
    </w:p>
    <w:p w14:paraId="32ED0DFE" w14:textId="76F903CB" w:rsidR="00C27E37" w:rsidRDefault="00C27E37" w:rsidP="00C27E37">
      <w:pPr>
        <w:pStyle w:val="NoSpacing"/>
        <w:rPr>
          <w:rFonts w:ascii="Arial Black" w:hAnsi="Arial Black"/>
          <w:sz w:val="28"/>
          <w:szCs w:val="28"/>
        </w:rPr>
      </w:pPr>
      <w:r>
        <w:rPr>
          <w:rFonts w:ascii="Arial Black" w:hAnsi="Arial Black"/>
          <w:sz w:val="28"/>
          <w:szCs w:val="28"/>
        </w:rPr>
        <w:t>3-80</w:t>
      </w:r>
    </w:p>
    <w:p w14:paraId="7FEF00EA" w14:textId="77777777" w:rsidR="00A85CFB" w:rsidRDefault="00A85CFB" w:rsidP="00607129">
      <w:pPr>
        <w:pStyle w:val="NoSpacing"/>
        <w:rPr>
          <w:rFonts w:ascii="Arial Black" w:hAnsi="Arial Black"/>
          <w:sz w:val="28"/>
          <w:szCs w:val="28"/>
        </w:rPr>
      </w:pPr>
    </w:p>
    <w:p w14:paraId="34BD7114" w14:textId="77777777" w:rsidR="00A85CFB" w:rsidRPr="00CB3FA1" w:rsidRDefault="00A85CFB" w:rsidP="00A85CFB">
      <w:pPr>
        <w:pStyle w:val="NoSpacing"/>
        <w:rPr>
          <w:rFonts w:ascii="Arial Black" w:hAnsi="Arial Black"/>
          <w:bCs/>
          <w:sz w:val="28"/>
          <w:szCs w:val="28"/>
        </w:rPr>
      </w:pPr>
      <w:r>
        <w:rPr>
          <w:rFonts w:ascii="Arial Black" w:hAnsi="Arial Black"/>
          <w:sz w:val="28"/>
          <w:szCs w:val="28"/>
        </w:rPr>
        <w:t>PA: “GEOFENCE” WARRANT – CELL PHONES AT SHOOTING</w:t>
      </w:r>
    </w:p>
    <w:p w14:paraId="62A7D745" w14:textId="77777777" w:rsidR="00A85CFB" w:rsidRDefault="00A85CFB" w:rsidP="00A85CFB">
      <w:pPr>
        <w:pStyle w:val="NoSpacing"/>
        <w:rPr>
          <w:bCs/>
        </w:rPr>
      </w:pPr>
    </w:p>
    <w:p w14:paraId="5BFA5C17" w14:textId="77777777" w:rsidR="00A85CFB" w:rsidRDefault="00A85CFB" w:rsidP="00A85CFB">
      <w:pPr>
        <w:pStyle w:val="NoSpacing"/>
        <w:rPr>
          <w:bCs/>
        </w:rPr>
      </w:pPr>
      <w:r>
        <w:t xml:space="preserve">On September 18, 2024, in </w:t>
      </w:r>
      <w:r w:rsidRPr="00AC3603">
        <w:rPr>
          <w:u w:val="single"/>
        </w:rPr>
        <w:t>Commonwealth of Pennsylvania v. Keith Anthony Choice</w:t>
      </w:r>
      <w:r>
        <w:t>, the Superior Court of Pennsylvania held (3 to 0) that trial court properly denied motion to suppress the cell phone information from Google, obtained by PA State Police through court ordered search warrants for “geofence” cell phone location history; a road rage incident where one motorist shot another motorist.  Search warrants obtained for cell phones used at “R</w:t>
      </w:r>
      <w:r w:rsidRPr="009A0209">
        <w:t>oute 309,</w:t>
      </w:r>
      <w:r>
        <w:t xml:space="preserve"> </w:t>
      </w:r>
      <w:r w:rsidRPr="009A0209">
        <w:t>between 9:20 p.m. to 9:27 p.m. on January 23, 2019.</w:t>
      </w:r>
      <w:r>
        <w:t xml:space="preserve">”  The defendant was convicted in bench trial </w:t>
      </w:r>
      <w:r w:rsidRPr="009B16FC">
        <w:t>of aggravated assault</w:t>
      </w:r>
      <w:r>
        <w:t xml:space="preserve">, and </w:t>
      </w:r>
      <w:r w:rsidRPr="003C35AC">
        <w:t>sentenced to 6 to 23 months’</w:t>
      </w:r>
      <w:r>
        <w:t xml:space="preserve"> </w:t>
      </w:r>
      <w:r w:rsidRPr="003C35AC">
        <w:t>incarceration, followed by two years’ probation.</w:t>
      </w:r>
      <w:r>
        <w:t xml:space="preserve"> </w:t>
      </w:r>
    </w:p>
    <w:p w14:paraId="2EABB905" w14:textId="77777777" w:rsidR="00A85CFB" w:rsidRDefault="00A85CFB" w:rsidP="00A85CFB">
      <w:pPr>
        <w:pStyle w:val="NoSpacing"/>
        <w:rPr>
          <w:bCs/>
        </w:rPr>
      </w:pPr>
    </w:p>
    <w:p w14:paraId="0CE5C66B" w14:textId="77777777" w:rsidR="00A85CFB" w:rsidRDefault="00A85CFB" w:rsidP="00A85CFB">
      <w:pPr>
        <w:pStyle w:val="NoSpacing"/>
        <w:rPr>
          <w:bCs/>
        </w:rPr>
      </w:pPr>
      <w:r w:rsidRPr="00913B5B">
        <w:rPr>
          <w:b/>
        </w:rPr>
        <w:t>THE COURT HELD</w:t>
      </w:r>
      <w:r>
        <w:t>: “</w:t>
      </w:r>
      <w:r w:rsidRPr="00722038">
        <w:t>Because pervasive cell phone</w:t>
      </w:r>
      <w:r>
        <w:t xml:space="preserve"> </w:t>
      </w:r>
      <w:r w:rsidRPr="00722038">
        <w:t>possession and cell phone service usage is a matter of common knowledge,</w:t>
      </w:r>
      <w:r>
        <w:t xml:space="preserve"> </w:t>
      </w:r>
      <w:r w:rsidRPr="00722038">
        <w:t>and because law enforcement combined this common knowledge with specific</w:t>
      </w:r>
      <w:r>
        <w:t xml:space="preserve"> </w:t>
      </w:r>
      <w:r w:rsidRPr="00722038">
        <w:t>factual circumstances regarding the time and place of the crime, we reject</w:t>
      </w:r>
      <w:r>
        <w:t xml:space="preserve"> </w:t>
      </w:r>
      <w:r w:rsidRPr="00722038">
        <w:t>Appellant’s argument that the December 2020 search warrant relied upon</w:t>
      </w:r>
      <w:r>
        <w:t xml:space="preserve"> ‘</w:t>
      </w:r>
      <w:r w:rsidRPr="00722038">
        <w:t>categorical assumptions.</w:t>
      </w:r>
      <w:r>
        <w:t xml:space="preserve">” </w:t>
      </w:r>
      <w:hyperlink r:id="rId670" w:history="1">
        <w:r w:rsidRPr="004673F3">
          <w:rPr>
            <w:rStyle w:val="Hyperlink"/>
          </w:rPr>
          <w:t>https://cases.justia.com/pennsylvania/superior-court/2025-1252-eda-2024.pdf?ts=1758220361</w:t>
        </w:r>
      </w:hyperlink>
      <w:r>
        <w:t xml:space="preserve"> </w:t>
      </w:r>
    </w:p>
    <w:p w14:paraId="65F9A2ED" w14:textId="77777777" w:rsidR="00A85CFB" w:rsidRDefault="00A85CFB" w:rsidP="00A85CFB">
      <w:pPr>
        <w:pStyle w:val="NoSpacing"/>
        <w:rPr>
          <w:bCs/>
        </w:rPr>
      </w:pPr>
    </w:p>
    <w:p w14:paraId="34EC56CF" w14:textId="77777777" w:rsidR="00A85CFB" w:rsidRDefault="00A85CFB" w:rsidP="00A85CFB">
      <w:pPr>
        <w:pStyle w:val="NoSpacing"/>
        <w:ind w:left="720"/>
        <w:rPr>
          <w:bCs/>
        </w:rPr>
      </w:pPr>
    </w:p>
    <w:p w14:paraId="69CB0E93" w14:textId="77777777" w:rsidR="00A85CFB" w:rsidRPr="00913B5B" w:rsidRDefault="00A85CFB" w:rsidP="00A85CFB">
      <w:pPr>
        <w:pStyle w:val="NoSpacing"/>
        <w:rPr>
          <w:b/>
        </w:rPr>
      </w:pPr>
      <w:r w:rsidRPr="00913B5B">
        <w:rPr>
          <w:b/>
        </w:rPr>
        <w:t>KEY FACTS:</w:t>
      </w:r>
    </w:p>
    <w:p w14:paraId="2DFB1344" w14:textId="77777777" w:rsidR="00A85CFB" w:rsidRDefault="00A85CFB" w:rsidP="00A85CFB">
      <w:pPr>
        <w:pStyle w:val="NoSpacing"/>
        <w:rPr>
          <w:bCs/>
        </w:rPr>
      </w:pPr>
    </w:p>
    <w:p w14:paraId="141EE6D5" w14:textId="77777777" w:rsidR="00A85CFB" w:rsidRPr="003F40C4" w:rsidRDefault="00A85CFB" w:rsidP="00A85CFB">
      <w:pPr>
        <w:pStyle w:val="NoSpacing"/>
        <w:ind w:firstLine="720"/>
        <w:rPr>
          <w:bCs/>
        </w:rPr>
      </w:pPr>
      <w:r>
        <w:t>“</w:t>
      </w:r>
      <w:r w:rsidRPr="003F40C4">
        <w:t>The trial court summarized the facts underlying this appeal:</w:t>
      </w:r>
    </w:p>
    <w:p w14:paraId="008A25AA" w14:textId="77777777" w:rsidR="00A85CFB" w:rsidRDefault="00A85CFB" w:rsidP="00A85CFB">
      <w:pPr>
        <w:pStyle w:val="NoSpacing"/>
        <w:rPr>
          <w:bCs/>
        </w:rPr>
      </w:pPr>
    </w:p>
    <w:p w14:paraId="4ED3ABA5" w14:textId="77777777" w:rsidR="00A85CFB" w:rsidRPr="003F40C4" w:rsidRDefault="00A85CFB" w:rsidP="00A85CFB">
      <w:pPr>
        <w:pStyle w:val="NoSpacing"/>
        <w:ind w:left="720" w:firstLine="720"/>
        <w:rPr>
          <w:bCs/>
        </w:rPr>
      </w:pPr>
      <w:r w:rsidRPr="003F40C4">
        <w:t>At approximately 9:58 p.m. on</w:t>
      </w:r>
      <w:r>
        <w:t xml:space="preserve"> </w:t>
      </w:r>
      <w:r w:rsidRPr="003F40C4">
        <w:t>January 23, 2019, Pennsylvania</w:t>
      </w:r>
    </w:p>
    <w:p w14:paraId="296CBE52" w14:textId="77777777" w:rsidR="00A85CFB" w:rsidRPr="003F40C4" w:rsidRDefault="00A85CFB" w:rsidP="00A85CFB">
      <w:pPr>
        <w:pStyle w:val="NoSpacing"/>
        <w:ind w:left="1440"/>
        <w:rPr>
          <w:bCs/>
        </w:rPr>
      </w:pPr>
      <w:r w:rsidRPr="003F40C4">
        <w:t>State Police (PSP) troopers] responded to a call into Montgomery County 911 dispatch center of a possible shooting on</w:t>
      </w:r>
      <w:r>
        <w:t xml:space="preserve"> </w:t>
      </w:r>
      <w:r w:rsidRPr="003F40C4">
        <w:t>northbound State Route 309 (</w:t>
      </w:r>
      <w:r>
        <w:t>‘</w:t>
      </w:r>
      <w:r w:rsidRPr="003F40C4">
        <w:t>[Route] 309</w:t>
      </w:r>
      <w:r>
        <w:t>’</w:t>
      </w:r>
      <w:r w:rsidRPr="003F40C4">
        <w:t>). The troopers were</w:t>
      </w:r>
      <w:r>
        <w:t xml:space="preserve"> </w:t>
      </w:r>
      <w:r w:rsidRPr="003F40C4">
        <w:t>dispatched to the Fort Washington Toll Plaza on the Pennsylvania</w:t>
      </w:r>
      <w:r>
        <w:t xml:space="preserve"> </w:t>
      </w:r>
      <w:r w:rsidRPr="003F40C4">
        <w:t>Turnpike, Upper Dublin Township in Montgomery County. There</w:t>
      </w:r>
      <w:r>
        <w:t xml:space="preserve"> </w:t>
      </w:r>
      <w:r w:rsidRPr="003F40C4">
        <w:t>they met with [the victim, John Cramer (Cramer),] and Upper</w:t>
      </w:r>
      <w:r>
        <w:t xml:space="preserve"> </w:t>
      </w:r>
      <w:r w:rsidRPr="003F40C4">
        <w:t>Dublin Township [police] officers who were securing the scene</w:t>
      </w:r>
      <w:r>
        <w:t xml:space="preserve"> </w:t>
      </w:r>
      <w:r w:rsidRPr="003F40C4">
        <w:t>while [emergency medical services (EMS) personnel] provided</w:t>
      </w:r>
      <w:r>
        <w:t xml:space="preserve"> </w:t>
      </w:r>
      <w:r w:rsidRPr="003F40C4">
        <w:t>aid</w:t>
      </w:r>
      <w:r>
        <w:t xml:space="preserve"> </w:t>
      </w:r>
      <w:r w:rsidRPr="003F40C4">
        <w:t>[EMS personnel] determined that Cramer had a graze wound</w:t>
      </w:r>
      <w:r>
        <w:t xml:space="preserve"> </w:t>
      </w:r>
      <w:r w:rsidRPr="003F40C4">
        <w:t>on his upper right arm[,] after having been shot with a firearm.</w:t>
      </w:r>
      <w:r>
        <w:t xml:space="preserve"> </w:t>
      </w:r>
      <w:r w:rsidRPr="003F40C4">
        <w:t xml:space="preserve">When Cramer exited his silver 2014 Toyota </w:t>
      </w:r>
      <w:proofErr w:type="gramStart"/>
      <w:r w:rsidRPr="003F40C4">
        <w:t>Tundra [(</w:t>
      </w:r>
      <w:proofErr w:type="gramEnd"/>
      <w:r w:rsidRPr="003F40C4">
        <w:t>Tundra)], a</w:t>
      </w:r>
    </w:p>
    <w:p w14:paraId="4BCE2BE0" w14:textId="77777777" w:rsidR="00A85CFB" w:rsidRDefault="00A85CFB" w:rsidP="00A85CFB">
      <w:pPr>
        <w:pStyle w:val="NoSpacing"/>
        <w:ind w:left="1440"/>
        <w:rPr>
          <w:bCs/>
        </w:rPr>
      </w:pPr>
      <w:r w:rsidRPr="003F40C4">
        <w:t>single copper-jacketed bullet fell to the ground and was recovered</w:t>
      </w:r>
      <w:r>
        <w:t xml:space="preserve"> </w:t>
      </w:r>
      <w:r w:rsidRPr="003F40C4">
        <w:t>by a [t]</w:t>
      </w:r>
      <w:proofErr w:type="spellStart"/>
      <w:r w:rsidRPr="003F40C4">
        <w:t>rooper</w:t>
      </w:r>
      <w:proofErr w:type="spellEnd"/>
      <w:r w:rsidRPr="003F40C4">
        <w:t>. ([Search Warrant] Affidavit of Probable Cause</w:t>
      </w:r>
      <w:r>
        <w:t xml:space="preserve"> </w:t>
      </w:r>
      <w:r w:rsidRPr="003F40C4">
        <w:t>presented to the Honorable William R. Carpenter[</w:t>
      </w:r>
      <w:r>
        <w:t xml:space="preserve">… </w:t>
      </w:r>
      <w:r w:rsidRPr="003F40C4">
        <w:t xml:space="preserve"> </w:t>
      </w:r>
      <w:r>
        <w:t>T</w:t>
      </w:r>
      <w:r w:rsidRPr="003F40C4">
        <w:t xml:space="preserve">rooper Eugene J. Tray </w:t>
      </w:r>
      <w:r>
        <w:t>…</w:t>
      </w:r>
      <w:r w:rsidRPr="003F40C4">
        <w:t>was assigned as</w:t>
      </w:r>
      <w:r>
        <w:t xml:space="preserve"> </w:t>
      </w:r>
      <w:r w:rsidRPr="003F40C4">
        <w:t>the primary investigator [after] the [Upper Dublin Township Police</w:t>
      </w:r>
      <w:r>
        <w:t xml:space="preserve"> </w:t>
      </w:r>
      <w:r w:rsidRPr="003F40C4">
        <w:t>Department] requested [the PSP] to assume the primary role in</w:t>
      </w:r>
      <w:r>
        <w:t xml:space="preserve"> </w:t>
      </w:r>
      <w:r w:rsidRPr="003F40C4">
        <w:t>this investigation</w:t>
      </w:r>
      <w:r>
        <w:t>.</w:t>
      </w:r>
    </w:p>
    <w:p w14:paraId="3F761348" w14:textId="77777777" w:rsidR="00A85CFB" w:rsidRDefault="00A85CFB" w:rsidP="00A85CFB">
      <w:pPr>
        <w:pStyle w:val="NoSpacing"/>
        <w:ind w:left="720" w:firstLine="720"/>
        <w:rPr>
          <w:bCs/>
        </w:rPr>
      </w:pPr>
    </w:p>
    <w:p w14:paraId="2FCE8201" w14:textId="77777777" w:rsidR="00A85CFB" w:rsidRDefault="00A85CFB" w:rsidP="00A85CFB">
      <w:pPr>
        <w:pStyle w:val="NoSpacing"/>
        <w:ind w:left="720" w:firstLine="720"/>
        <w:rPr>
          <w:bCs/>
        </w:rPr>
      </w:pPr>
      <w:r>
        <w:t>***</w:t>
      </w:r>
    </w:p>
    <w:p w14:paraId="205E39D4" w14:textId="77777777" w:rsidR="00A85CFB" w:rsidRPr="00D671B5" w:rsidRDefault="00A85CFB" w:rsidP="00A85CFB">
      <w:pPr>
        <w:pStyle w:val="NoSpacing"/>
        <w:ind w:left="720" w:firstLine="720"/>
        <w:rPr>
          <w:bCs/>
        </w:rPr>
      </w:pPr>
      <w:r w:rsidRPr="00D671B5">
        <w:t>After conducting additional investigation not relevant to this appeal,</w:t>
      </w:r>
    </w:p>
    <w:p w14:paraId="59DD4F35" w14:textId="77777777" w:rsidR="00A85CFB" w:rsidRPr="00D671B5" w:rsidRDefault="00A85CFB" w:rsidP="00A85CFB">
      <w:pPr>
        <w:pStyle w:val="NoSpacing"/>
        <w:ind w:left="720" w:firstLine="720"/>
        <w:rPr>
          <w:bCs/>
        </w:rPr>
      </w:pPr>
      <w:r w:rsidRPr="00D671B5">
        <w:t>Trooper Tray applied for the December 2020 search warrant, seeking solely</w:t>
      </w:r>
    </w:p>
    <w:p w14:paraId="1A349240" w14:textId="77777777" w:rsidR="00A85CFB" w:rsidRPr="002D3238" w:rsidRDefault="00A85CFB" w:rsidP="00A85CFB">
      <w:pPr>
        <w:pStyle w:val="NoSpacing"/>
        <w:ind w:left="1440"/>
        <w:rPr>
          <w:bCs/>
        </w:rPr>
      </w:pPr>
      <w:r w:rsidRPr="00D671B5">
        <w:t xml:space="preserve">LH </w:t>
      </w:r>
      <w:r>
        <w:t>‘</w:t>
      </w:r>
      <w:r w:rsidRPr="00D671B5">
        <w:t>data generated from devices [] report[</w:t>
      </w:r>
      <w:proofErr w:type="spellStart"/>
      <w:r w:rsidRPr="00D671B5">
        <w:t>ing</w:t>
      </w:r>
      <w:proofErr w:type="spellEnd"/>
      <w:r w:rsidRPr="00D671B5">
        <w:t>] a location with a geographical</w:t>
      </w:r>
      <w:r>
        <w:t xml:space="preserve"> </w:t>
      </w:r>
      <w:r w:rsidRPr="002D3238">
        <w:t xml:space="preserve">region </w:t>
      </w:r>
      <w:proofErr w:type="gramStart"/>
      <w:r w:rsidRPr="002D3238">
        <w:t>bounded</w:t>
      </w:r>
      <w:r>
        <w:t>’</w:t>
      </w:r>
      <w:proofErr w:type="gramEnd"/>
      <w:r w:rsidRPr="002D3238">
        <w:t xml:space="preserve"> by latitude/longitude coordinates, and within dates and</w:t>
      </w:r>
    </w:p>
    <w:p w14:paraId="6DDB6D99" w14:textId="77777777" w:rsidR="00A85CFB" w:rsidRDefault="00A85CFB" w:rsidP="00A85CFB">
      <w:pPr>
        <w:pStyle w:val="NoSpacing"/>
        <w:ind w:left="720" w:firstLine="720"/>
        <w:rPr>
          <w:bCs/>
        </w:rPr>
      </w:pPr>
      <w:r w:rsidRPr="002D3238">
        <w:t>times, set forth in the affidavit.</w:t>
      </w:r>
    </w:p>
    <w:p w14:paraId="16088A4F" w14:textId="77777777" w:rsidR="00A85CFB" w:rsidRDefault="00A85CFB" w:rsidP="00A85CFB">
      <w:pPr>
        <w:pStyle w:val="NoSpacing"/>
        <w:ind w:left="720" w:firstLine="720"/>
        <w:rPr>
          <w:bCs/>
        </w:rPr>
      </w:pPr>
    </w:p>
    <w:p w14:paraId="60AEB8C3" w14:textId="77777777" w:rsidR="00A85CFB" w:rsidRDefault="00A85CFB" w:rsidP="00A85CFB">
      <w:pPr>
        <w:pStyle w:val="NoSpacing"/>
        <w:ind w:left="720" w:firstLine="720"/>
        <w:rPr>
          <w:bCs/>
        </w:rPr>
      </w:pPr>
      <w:r>
        <w:t>***</w:t>
      </w:r>
    </w:p>
    <w:p w14:paraId="29F2F64B" w14:textId="77777777" w:rsidR="00A85CFB" w:rsidRPr="007025EB" w:rsidRDefault="00A85CFB" w:rsidP="00A85CFB">
      <w:pPr>
        <w:pStyle w:val="NoSpacing"/>
        <w:ind w:left="720" w:firstLine="720"/>
        <w:rPr>
          <w:bCs/>
        </w:rPr>
      </w:pPr>
      <w:r w:rsidRPr="007025EB">
        <w:t>After execution of the December 2020 search warrant, on February 9,</w:t>
      </w:r>
    </w:p>
    <w:p w14:paraId="68DF72D6" w14:textId="77777777" w:rsidR="00A85CFB" w:rsidRPr="007025EB" w:rsidRDefault="00A85CFB" w:rsidP="00A85CFB">
      <w:pPr>
        <w:pStyle w:val="NoSpacing"/>
        <w:ind w:left="720" w:firstLine="720"/>
        <w:rPr>
          <w:bCs/>
        </w:rPr>
      </w:pPr>
      <w:r w:rsidRPr="007025EB">
        <w:t>2021, Trooper Tray received email correspondence from Google’s “law</w:t>
      </w:r>
    </w:p>
    <w:p w14:paraId="5F45628B" w14:textId="77777777" w:rsidR="00A85CFB" w:rsidRPr="007025EB" w:rsidRDefault="00A85CFB" w:rsidP="00A85CFB">
      <w:pPr>
        <w:pStyle w:val="NoSpacing"/>
        <w:ind w:left="720" w:firstLine="720"/>
        <w:rPr>
          <w:bCs/>
        </w:rPr>
      </w:pPr>
      <w:r w:rsidRPr="007025EB">
        <w:t>enforcement portal” providing the requested anonymized list of device IDs.</w:t>
      </w:r>
    </w:p>
    <w:p w14:paraId="03E2506E" w14:textId="77777777" w:rsidR="00A85CFB" w:rsidRPr="007025EB" w:rsidRDefault="00A85CFB" w:rsidP="00A85CFB">
      <w:pPr>
        <w:pStyle w:val="NoSpacing"/>
        <w:ind w:left="720" w:firstLine="720"/>
        <w:rPr>
          <w:bCs/>
        </w:rPr>
      </w:pPr>
      <w:r w:rsidRPr="007025EB">
        <w:t>N.T., 10/5/23, at 10. At the suppression hearing, Trooper Tray testified that</w:t>
      </w:r>
    </w:p>
    <w:p w14:paraId="1C344EF3" w14:textId="77777777" w:rsidR="00A85CFB" w:rsidRPr="007025EB" w:rsidRDefault="00A85CFB" w:rsidP="00A85CFB">
      <w:pPr>
        <w:pStyle w:val="NoSpacing"/>
        <w:ind w:left="720" w:firstLine="720"/>
        <w:rPr>
          <w:bCs/>
        </w:rPr>
      </w:pPr>
      <w:proofErr w:type="gramStart"/>
      <w:r w:rsidRPr="007025EB">
        <w:t>he</w:t>
      </w:r>
      <w:proofErr w:type="gramEnd"/>
      <w:r w:rsidRPr="007025EB">
        <w:t xml:space="preserve"> identified only one device ID within the anonymized list that was relevant</w:t>
      </w:r>
    </w:p>
    <w:p w14:paraId="1DC58297" w14:textId="77777777" w:rsidR="00A85CFB" w:rsidRPr="007025EB" w:rsidRDefault="00A85CFB" w:rsidP="00A85CFB">
      <w:pPr>
        <w:pStyle w:val="NoSpacing"/>
        <w:ind w:left="720" w:firstLine="720"/>
        <w:rPr>
          <w:bCs/>
        </w:rPr>
      </w:pPr>
      <w:r w:rsidRPr="007025EB">
        <w:t>to his investigation. Id. at 11. Trooper Tray explained that, upon his request,</w:t>
      </w:r>
    </w:p>
    <w:p w14:paraId="3D2FAB2E" w14:textId="77777777" w:rsidR="00A85CFB" w:rsidRPr="007025EB" w:rsidRDefault="00A85CFB" w:rsidP="00A85CFB">
      <w:pPr>
        <w:pStyle w:val="NoSpacing"/>
        <w:ind w:left="720" w:firstLine="720"/>
        <w:rPr>
          <w:bCs/>
        </w:rPr>
      </w:pPr>
      <w:r w:rsidRPr="007025EB">
        <w:t>Google “provided more descriptive location information for that particular</w:t>
      </w:r>
    </w:p>
    <w:p w14:paraId="68C6D2C2" w14:textId="77777777" w:rsidR="00A85CFB" w:rsidRDefault="00A85CFB" w:rsidP="00A85CFB">
      <w:pPr>
        <w:pStyle w:val="NoSpacing"/>
        <w:ind w:left="720" w:firstLine="720"/>
        <w:rPr>
          <w:bCs/>
        </w:rPr>
      </w:pPr>
      <w:r w:rsidRPr="007025EB">
        <w:t>device that I found to be pertinent to my investigation.” Id. at 12.</w:t>
      </w:r>
    </w:p>
    <w:p w14:paraId="2E904E85" w14:textId="77777777" w:rsidR="00A85CFB" w:rsidRDefault="00A85CFB" w:rsidP="00A85CFB">
      <w:pPr>
        <w:pStyle w:val="NoSpacing"/>
        <w:ind w:left="720" w:firstLine="720"/>
        <w:rPr>
          <w:bCs/>
        </w:rPr>
      </w:pPr>
    </w:p>
    <w:p w14:paraId="71210953" w14:textId="77777777" w:rsidR="00A85CFB" w:rsidRDefault="00A85CFB" w:rsidP="00A85CFB">
      <w:pPr>
        <w:pStyle w:val="NoSpacing"/>
        <w:ind w:left="720" w:firstLine="720"/>
        <w:rPr>
          <w:bCs/>
        </w:rPr>
      </w:pPr>
      <w:r>
        <w:t>***</w:t>
      </w:r>
    </w:p>
    <w:p w14:paraId="1B6F9A29" w14:textId="77777777" w:rsidR="00A85CFB" w:rsidRPr="00D12DB5" w:rsidRDefault="00A85CFB" w:rsidP="00A85CFB">
      <w:pPr>
        <w:pStyle w:val="NoSpacing"/>
        <w:ind w:left="720" w:firstLine="720"/>
        <w:rPr>
          <w:bCs/>
        </w:rPr>
      </w:pPr>
      <w:r w:rsidRPr="00D12DB5">
        <w:t>On February 16, 2021, utilizing the anonymized information provided by</w:t>
      </w:r>
    </w:p>
    <w:p w14:paraId="2379C4AE" w14:textId="77777777" w:rsidR="00A85CFB" w:rsidRPr="00D12DB5" w:rsidRDefault="00A85CFB" w:rsidP="00A85CFB">
      <w:pPr>
        <w:pStyle w:val="NoSpacing"/>
        <w:ind w:left="720" w:firstLine="720"/>
        <w:rPr>
          <w:bCs/>
        </w:rPr>
      </w:pPr>
      <w:r w:rsidRPr="00D12DB5">
        <w:t>Google, Trooper Tray prepared a second search warrant, admitted into</w:t>
      </w:r>
    </w:p>
    <w:p w14:paraId="117AFA04" w14:textId="77777777" w:rsidR="00A85CFB" w:rsidRPr="00D12DB5" w:rsidRDefault="00A85CFB" w:rsidP="00A85CFB">
      <w:pPr>
        <w:pStyle w:val="NoSpacing"/>
        <w:ind w:left="720" w:firstLine="720"/>
        <w:rPr>
          <w:bCs/>
        </w:rPr>
      </w:pPr>
      <w:r w:rsidRPr="00D12DB5">
        <w:t>evidence at the suppression hearing as Commonwealth Exhibit C-2 (Exhibit C-</w:t>
      </w:r>
    </w:p>
    <w:p w14:paraId="35D624C6" w14:textId="77777777" w:rsidR="00A85CFB" w:rsidRPr="00D12DB5" w:rsidRDefault="00A85CFB" w:rsidP="00A85CFB">
      <w:pPr>
        <w:pStyle w:val="NoSpacing"/>
        <w:ind w:left="720" w:firstLine="720"/>
        <w:rPr>
          <w:bCs/>
        </w:rPr>
      </w:pPr>
      <w:r w:rsidRPr="00D12DB5">
        <w:t>2 or the February 2021 search warrant), seeking the identity of “the user or</w:t>
      </w:r>
    </w:p>
    <w:p w14:paraId="734D980B" w14:textId="77777777" w:rsidR="00A85CFB" w:rsidRPr="00D12DB5" w:rsidRDefault="00A85CFB" w:rsidP="00A85CFB">
      <w:pPr>
        <w:pStyle w:val="NoSpacing"/>
        <w:ind w:left="720" w:firstLine="720"/>
        <w:rPr>
          <w:bCs/>
        </w:rPr>
      </w:pPr>
      <w:r w:rsidRPr="00D12DB5">
        <w:t xml:space="preserve">subscriber of that </w:t>
      </w:r>
      <w:proofErr w:type="gramStart"/>
      <w:r w:rsidRPr="00D12DB5">
        <w:t>particular device</w:t>
      </w:r>
      <w:proofErr w:type="gramEnd"/>
      <w:r w:rsidRPr="00D12DB5">
        <w:t xml:space="preserve"> ID.” Id. at 12. On November 3, 2021,</w:t>
      </w:r>
    </w:p>
    <w:p w14:paraId="02CECF38" w14:textId="77777777" w:rsidR="00A85CFB" w:rsidRPr="00121CE3" w:rsidRDefault="00A85CFB" w:rsidP="00A85CFB">
      <w:pPr>
        <w:pStyle w:val="NoSpacing"/>
        <w:ind w:left="1440"/>
        <w:rPr>
          <w:bCs/>
        </w:rPr>
      </w:pPr>
      <w:r w:rsidRPr="00D12DB5">
        <w:t>Google responded to the February 2021 search warrant by providing Trooper</w:t>
      </w:r>
      <w:r>
        <w:t xml:space="preserve"> </w:t>
      </w:r>
      <w:r w:rsidRPr="00121CE3">
        <w:t xml:space="preserve">Tray with a </w:t>
      </w:r>
      <w:r>
        <w:t>‘</w:t>
      </w:r>
      <w:r w:rsidRPr="00121CE3">
        <w:t>one-page subscriber identity document that stated the G[]mail</w:t>
      </w:r>
    </w:p>
    <w:p w14:paraId="52F03623" w14:textId="77777777" w:rsidR="00A85CFB" w:rsidRPr="00121CE3" w:rsidRDefault="00A85CFB" w:rsidP="00A85CFB">
      <w:pPr>
        <w:pStyle w:val="NoSpacing"/>
        <w:ind w:left="720" w:firstLine="720"/>
        <w:rPr>
          <w:bCs/>
        </w:rPr>
      </w:pPr>
      <w:r w:rsidRPr="00121CE3">
        <w:t>account associated with that device ID, a phone number associated with the</w:t>
      </w:r>
    </w:p>
    <w:p w14:paraId="6459CFA8" w14:textId="77777777" w:rsidR="00A85CFB" w:rsidRPr="00121CE3" w:rsidRDefault="00A85CFB" w:rsidP="00A85CFB">
      <w:pPr>
        <w:pStyle w:val="NoSpacing"/>
        <w:ind w:left="720" w:firstLine="720"/>
        <w:rPr>
          <w:bCs/>
        </w:rPr>
      </w:pPr>
      <w:r w:rsidRPr="00121CE3">
        <w:t xml:space="preserve">device ID, and a name and </w:t>
      </w:r>
      <w:proofErr w:type="gramStart"/>
      <w:r w:rsidRPr="00121CE3">
        <w:t>a date</w:t>
      </w:r>
      <w:proofErr w:type="gramEnd"/>
      <w:r w:rsidRPr="00121CE3">
        <w:t xml:space="preserve"> of birth inputted by the user at the time of</w:t>
      </w:r>
    </w:p>
    <w:p w14:paraId="648042EF" w14:textId="77777777" w:rsidR="00A85CFB" w:rsidRPr="00121CE3" w:rsidRDefault="00A85CFB" w:rsidP="00A85CFB">
      <w:pPr>
        <w:pStyle w:val="NoSpacing"/>
        <w:ind w:left="720" w:firstLine="720"/>
        <w:rPr>
          <w:bCs/>
        </w:rPr>
      </w:pPr>
      <w:r w:rsidRPr="00121CE3">
        <w:t>their Google account creation[.]</w:t>
      </w:r>
      <w:r>
        <w:t>’</w:t>
      </w:r>
      <w:r w:rsidRPr="00121CE3">
        <w:t xml:space="preserve"> Id. at 13. Using this deanonymized</w:t>
      </w:r>
    </w:p>
    <w:p w14:paraId="2794C209" w14:textId="77777777" w:rsidR="00A85CFB" w:rsidRPr="00121CE3" w:rsidRDefault="00A85CFB" w:rsidP="00A85CFB">
      <w:pPr>
        <w:pStyle w:val="NoSpacing"/>
        <w:ind w:left="720" w:firstLine="720"/>
        <w:rPr>
          <w:bCs/>
        </w:rPr>
      </w:pPr>
      <w:r w:rsidRPr="00121CE3">
        <w:t>information, Trooper Tray conducted additional investigation</w:t>
      </w:r>
      <w:r>
        <w:t xml:space="preserve"> </w:t>
      </w:r>
      <w:r w:rsidRPr="00121CE3">
        <w:t>that led him to</w:t>
      </w:r>
    </w:p>
    <w:p w14:paraId="10E4ACBD" w14:textId="77777777" w:rsidR="00A85CFB" w:rsidRDefault="00A85CFB" w:rsidP="00A85CFB">
      <w:pPr>
        <w:pStyle w:val="NoSpacing"/>
        <w:ind w:left="720" w:firstLine="720"/>
        <w:rPr>
          <w:bCs/>
        </w:rPr>
      </w:pPr>
      <w:r w:rsidRPr="00121CE3">
        <w:t>charge Appellant with terroristic threats and aggravated assault.</w:t>
      </w:r>
      <w:r>
        <w:t>”</w:t>
      </w:r>
    </w:p>
    <w:p w14:paraId="2FC37D7E" w14:textId="77777777" w:rsidR="00A85CFB" w:rsidRDefault="00A85CFB" w:rsidP="00A85CFB">
      <w:pPr>
        <w:pStyle w:val="NoSpacing"/>
        <w:rPr>
          <w:bCs/>
        </w:rPr>
      </w:pPr>
    </w:p>
    <w:p w14:paraId="79B21267" w14:textId="77777777" w:rsidR="00A85CFB" w:rsidRPr="005D0E17" w:rsidRDefault="00A85CFB" w:rsidP="00A85CFB">
      <w:pPr>
        <w:pStyle w:val="NoSpacing"/>
        <w:rPr>
          <w:b/>
        </w:rPr>
      </w:pPr>
      <w:r>
        <w:rPr>
          <w:b/>
        </w:rPr>
        <w:t xml:space="preserve">Legal lesson learned: This is the first appeals court in PA to review “geofence” search warrants for cell phone location history.  Arson investigators could likewise use search warrants to locate an arsonist. </w:t>
      </w:r>
    </w:p>
    <w:p w14:paraId="3F78EC22" w14:textId="77777777" w:rsidR="00A85CFB" w:rsidRDefault="00A85CFB" w:rsidP="00A85CFB">
      <w:pPr>
        <w:pStyle w:val="NoSpacing"/>
        <w:rPr>
          <w:bCs/>
        </w:rPr>
      </w:pPr>
      <w:r>
        <w:tab/>
      </w:r>
    </w:p>
    <w:p w14:paraId="1D07B1CA" w14:textId="77777777" w:rsidR="00A85CFB" w:rsidRDefault="00A85CFB" w:rsidP="00A85CFB">
      <w:pPr>
        <w:pStyle w:val="NoSpacing"/>
        <w:ind w:left="1440"/>
        <w:rPr>
          <w:bCs/>
        </w:rPr>
      </w:pPr>
      <w:r>
        <w:lastRenderedPageBreak/>
        <w:t xml:space="preserve">Note:  The Court reviewed Google’s </w:t>
      </w:r>
      <w:r w:rsidRPr="00ED3CFB">
        <w:t>three-step process when</w:t>
      </w:r>
      <w:r>
        <w:t xml:space="preserve"> </w:t>
      </w:r>
      <w:r w:rsidRPr="00ED3CFB">
        <w:t xml:space="preserve">it </w:t>
      </w:r>
      <w:r>
        <w:t xml:space="preserve">receives a </w:t>
      </w:r>
      <w:r w:rsidRPr="00ED3CFB">
        <w:t xml:space="preserve">geofence </w:t>
      </w:r>
      <w:r>
        <w:t xml:space="preserve">search </w:t>
      </w:r>
      <w:r w:rsidRPr="00ED3CFB">
        <w:t>warrant</w:t>
      </w:r>
      <w:r>
        <w:t xml:space="preserve">. </w:t>
      </w:r>
    </w:p>
    <w:p w14:paraId="4B3C5944" w14:textId="77777777" w:rsidR="00A85CFB" w:rsidRDefault="00A85CFB" w:rsidP="00A85CFB">
      <w:pPr>
        <w:pStyle w:val="NoSpacing"/>
        <w:ind w:left="1440"/>
        <w:rPr>
          <w:bCs/>
        </w:rPr>
      </w:pPr>
      <w:r>
        <w:t>“</w:t>
      </w:r>
      <w:r w:rsidRPr="00ED3CFB">
        <w:t>The first step of the geofence process, whenever law enforcement</w:t>
      </w:r>
      <w:r>
        <w:t xml:space="preserve"> </w:t>
      </w:r>
      <w:r w:rsidRPr="00ED3CFB">
        <w:t xml:space="preserve">submits a [search warrant] to us, we take it, we analyze it, </w:t>
      </w:r>
      <w:proofErr w:type="spellStart"/>
      <w:r w:rsidRPr="00ED3CFB">
        <w:t>wepack</w:t>
      </w:r>
      <w:proofErr w:type="spellEnd"/>
      <w:r w:rsidRPr="00ED3CFB">
        <w:t xml:space="preserve"> it, extract the data, and then package it together, and submit</w:t>
      </w:r>
      <w:r>
        <w:t xml:space="preserve"> </w:t>
      </w:r>
      <w:r w:rsidRPr="00ED3CFB">
        <w:t>it. [We a]</w:t>
      </w:r>
      <w:proofErr w:type="spellStart"/>
      <w:r w:rsidRPr="00ED3CFB">
        <w:t>nonymize</w:t>
      </w:r>
      <w:proofErr w:type="spellEnd"/>
      <w:r w:rsidRPr="00ED3CFB">
        <w:t xml:space="preserve"> the data</w:t>
      </w:r>
      <w:r>
        <w:t xml:space="preserve"> </w:t>
      </w:r>
      <w:r w:rsidRPr="00ED3CFB">
        <w:t>and then submit it back over to</w:t>
      </w:r>
      <w:r>
        <w:t xml:space="preserve"> </w:t>
      </w:r>
      <w:r w:rsidRPr="001D1304">
        <w:t>law enforcement through our law enforcement respondent</w:t>
      </w:r>
      <w:r>
        <w:t xml:space="preserve"> </w:t>
      </w:r>
      <w:r w:rsidRPr="001D1304">
        <w:t>coordinator (Step 1)</w:t>
      </w:r>
      <w:r>
        <w:t xml:space="preserve">. </w:t>
      </w:r>
      <w:r w:rsidRPr="001D1304">
        <w:t>The next step is Step 2, and this is additional contextual</w:t>
      </w:r>
      <w:r>
        <w:t xml:space="preserve"> </w:t>
      </w:r>
      <w:r w:rsidRPr="001D1304">
        <w:t>[LH] data. …. This is data that is anonymized still, and it just</w:t>
      </w:r>
      <w:r>
        <w:t xml:space="preserve"> </w:t>
      </w:r>
      <w:r w:rsidRPr="001D1304">
        <w:t>provides a little more contex</w:t>
      </w:r>
      <w:r>
        <w:t xml:space="preserve">t </w:t>
      </w:r>
      <w:r w:rsidRPr="001D1304">
        <w:t>to the original Step 1 data (Step</w:t>
      </w:r>
      <w:r>
        <w:t xml:space="preserve"> </w:t>
      </w:r>
      <w:r w:rsidRPr="001D1304">
        <w:t>2)</w:t>
      </w:r>
      <w:r>
        <w:t xml:space="preserve">, </w:t>
      </w:r>
      <w:r w:rsidRPr="001D1304">
        <w:t xml:space="preserve">The third step is when we </w:t>
      </w:r>
      <w:proofErr w:type="gramStart"/>
      <w:r w:rsidRPr="001D1304">
        <w:t>actually unmask</w:t>
      </w:r>
      <w:proofErr w:type="gramEnd"/>
      <w:r w:rsidRPr="001D1304">
        <w:t xml:space="preserve"> and identify this</w:t>
      </w:r>
      <w:r>
        <w:t xml:space="preserve"> </w:t>
      </w:r>
      <w:r w:rsidRPr="001D1304">
        <w:t>data and produce that to law enforcement[ (Step 3)</w:t>
      </w:r>
      <w:r>
        <w:t>.”</w:t>
      </w:r>
    </w:p>
    <w:p w14:paraId="0298A34D" w14:textId="77777777" w:rsidR="00A85CFB" w:rsidRDefault="00A85CFB" w:rsidP="00607129">
      <w:pPr>
        <w:pStyle w:val="NoSpacing"/>
        <w:rPr>
          <w:rFonts w:ascii="Arial Black" w:hAnsi="Arial Black"/>
          <w:sz w:val="28"/>
          <w:szCs w:val="28"/>
        </w:rPr>
      </w:pPr>
    </w:p>
    <w:p w14:paraId="5AEA7FE3" w14:textId="230EDA17" w:rsidR="004F7489" w:rsidRDefault="004F7489" w:rsidP="004F7489">
      <w:pPr>
        <w:pStyle w:val="NoSpacing"/>
        <w:rPr>
          <w:rFonts w:ascii="Arial Black" w:hAnsi="Arial Black"/>
          <w:sz w:val="28"/>
          <w:szCs w:val="28"/>
        </w:rPr>
      </w:pPr>
      <w:r>
        <w:rPr>
          <w:rFonts w:ascii="Arial Black" w:hAnsi="Arial Black"/>
          <w:sz w:val="28"/>
          <w:szCs w:val="28"/>
        </w:rPr>
        <w:t>3-79</w:t>
      </w:r>
    </w:p>
    <w:p w14:paraId="639B6124" w14:textId="77777777" w:rsidR="004F7489" w:rsidRDefault="004F7489" w:rsidP="00607129">
      <w:pPr>
        <w:pStyle w:val="NoSpacing"/>
        <w:rPr>
          <w:rFonts w:ascii="Arial Black" w:hAnsi="Arial Black"/>
          <w:sz w:val="28"/>
          <w:szCs w:val="28"/>
        </w:rPr>
      </w:pPr>
    </w:p>
    <w:p w14:paraId="3F0F3B8C" w14:textId="77777777" w:rsidR="000946BC" w:rsidRPr="00D21228" w:rsidRDefault="000946BC" w:rsidP="000946BC">
      <w:pPr>
        <w:pStyle w:val="NoSpacing"/>
        <w:rPr>
          <w:rFonts w:ascii="Arial Black" w:hAnsi="Arial Black"/>
          <w:sz w:val="28"/>
          <w:szCs w:val="28"/>
        </w:rPr>
      </w:pPr>
      <w:r>
        <w:rPr>
          <w:rFonts w:ascii="Arial Black" w:hAnsi="Arial Black"/>
          <w:sz w:val="28"/>
          <w:szCs w:val="28"/>
        </w:rPr>
        <w:t xml:space="preserve">NJ: NO FIREAMS “SENSITIVE PLACES” – LAW UPHELD </w:t>
      </w:r>
    </w:p>
    <w:p w14:paraId="466C2D5F" w14:textId="77777777" w:rsidR="000946BC" w:rsidRDefault="000946BC" w:rsidP="000946BC">
      <w:pPr>
        <w:pStyle w:val="NoSpacing"/>
      </w:pPr>
    </w:p>
    <w:p w14:paraId="3F15623D" w14:textId="77777777" w:rsidR="000946BC" w:rsidRDefault="000946BC" w:rsidP="000946BC">
      <w:pPr>
        <w:pStyle w:val="NoSpacing"/>
      </w:pPr>
      <w:r>
        <w:t xml:space="preserve">On September 10, 2025, in </w:t>
      </w:r>
      <w:r w:rsidRPr="006D2E60">
        <w:rPr>
          <w:u w:val="single"/>
        </w:rPr>
        <w:t>Ronald Koons, Second Amendment Foundation Inc., et al. v. Attorney General of New Jersey, et al</w:t>
      </w:r>
      <w:r>
        <w:t xml:space="preserve">., the United States Court of Appeals for Third Circuit (Philadelphia) held (2 to 1) that the trial court judge improperly issued a preliminary injunction for most provisions of the 2022 New Jersey law.  Subject to minor exceptions, carrying a firearm in of these sensitive places (including bars, medical facilities, public parks, schools) constitutes a crime of the third degree, which carries a maximum sentence of five years’ imprisonment and a presumptive sentence of four years’ imprisonment. There is also a </w:t>
      </w:r>
      <w:r w:rsidRPr="00433FBF">
        <w:t>$300,000 liability insurance requirement</w:t>
      </w:r>
      <w:r>
        <w:t xml:space="preserve">.   The Court did, however, agree with District Court injunction against the requirement that those who transport guns in their private </w:t>
      </w:r>
      <w:proofErr w:type="gramStart"/>
      <w:r>
        <w:t>vehicles must</w:t>
      </w:r>
      <w:proofErr w:type="gramEnd"/>
      <w:r>
        <w:t xml:space="preserve"> unload their firearms and keep them locked in a secured container or the vehicle’s trunk.  “Because § 2C:58-4.6(b)(1)’s requirement as to private vehicles contradicts our Nation’s history and tradition, Plaintiffs are likely to succeed on the merits of their challenge to that particular restriction.”  </w:t>
      </w:r>
    </w:p>
    <w:p w14:paraId="32669800" w14:textId="77777777" w:rsidR="000946BC" w:rsidRDefault="000946BC" w:rsidP="000946BC">
      <w:pPr>
        <w:pStyle w:val="NoSpacing"/>
      </w:pPr>
    </w:p>
    <w:p w14:paraId="24E209AC" w14:textId="77777777" w:rsidR="000946BC" w:rsidRDefault="000946BC" w:rsidP="000946BC">
      <w:pPr>
        <w:pStyle w:val="NoSpacing"/>
      </w:pPr>
      <w:r w:rsidRPr="00693533">
        <w:rPr>
          <w:b/>
        </w:rPr>
        <w:t>THE COURT HELD</w:t>
      </w:r>
      <w:r>
        <w:t xml:space="preserve">: “Today, we must decide a question of immense public importance: whether it is likely that provisions of New Jersey Public Law 2022, Chapter 131, which impose certain firearms-permitting requirements and prohibit the carrying of firearms in certain ‘sensitive places,’ passes constitutional muster. For the most part, we agree with New Jersey and join our sister circuits that have upheld similar sensitive-places laws. *** Two terms ago, in </w:t>
      </w:r>
      <w:r w:rsidRPr="00960ADD">
        <w:rPr>
          <w:i/>
          <w:iCs/>
        </w:rPr>
        <w:t>United States v. Rahimi</w:t>
      </w:r>
      <w:r>
        <w:t xml:space="preserve">, the Supreme Court elaborated on Bruen. 602 U.S. 680 (2024). There, the Court rejected a challenge to the constitutionality of 18 U.S.C. § 922(g)(8), which bars a person subject to a domestic violence restraining order from possessing a firearm if he is found to pose a credible threat to his partner. *** </w:t>
      </w:r>
      <w:r w:rsidRPr="00B511E1">
        <w:t>[BARS]</w:t>
      </w:r>
      <w:r>
        <w:rPr>
          <w:b/>
        </w:rPr>
        <w:t xml:space="preserve">  </w:t>
      </w:r>
      <w:r>
        <w:t xml:space="preserve">Plaintiffs’ challenge to N.J. Stat. Ann. § 2C:58-4.6(a)(15) (proscribing firearms in ‘a bar or restaurant where alcohol is served, and any other site or facility where alcohol is sold for consumption on the premises’) fares no better…. Just as the Second and Ninth Circuits concluded in evaluating nearly identical laws, we hold that New Jersey’s statute is entirely consistent with the principle that legislatures may prohibit the carry of firearms in locations where they may be especially susceptible to misuse. *** </w:t>
      </w:r>
      <w:r w:rsidRPr="00B511E1">
        <w:t>[HEALTH CARE FACILITIES]</w:t>
      </w:r>
      <w:r>
        <w:rPr>
          <w:b/>
        </w:rPr>
        <w:t xml:space="preserve">  </w:t>
      </w:r>
      <w:r>
        <w:t xml:space="preserve">We next turn to Plaintiffs’ challenge to N.J. Stat. Ann. § 2C:58-4.6(a)(21)’s prohibition on carrying firearms at any ‘health care facility[.]’… As the Second Circuit recently concluded, ‘statutes of Maine, Massachusetts, and Rhode Island, which prohibited those with mental illness, intellectual disabilities, and alcohol addiction from serving in militias,’ which ‘were aimed at protecting vulnerable populations from either misusing arms or having arms used against them,’ embody a longstanding tradition of firearm regulation in locations where vulnerable populations are present.’ Id. at 1010–11. We agree and join our sister circuit in recognizing this principle of our Nation’s regulatory </w:t>
      </w:r>
      <w:proofErr w:type="gramStart"/>
      <w:r>
        <w:t>tradition.”</w:t>
      </w:r>
      <w:proofErr w:type="gramEnd"/>
      <w:r>
        <w:t xml:space="preserve"> </w:t>
      </w:r>
      <w:hyperlink r:id="rId671" w:history="1">
        <w:r w:rsidRPr="001E16A5">
          <w:rPr>
            <w:rStyle w:val="Hyperlink"/>
          </w:rPr>
          <w:t>https://www2.ca3.uscourts.gov/opinarch/231900p.pdf</w:t>
        </w:r>
      </w:hyperlink>
      <w:r>
        <w:t xml:space="preserve"> </w:t>
      </w:r>
    </w:p>
    <w:p w14:paraId="0E99E4E1" w14:textId="77777777" w:rsidR="000946BC" w:rsidRDefault="000946BC" w:rsidP="000946BC">
      <w:pPr>
        <w:pStyle w:val="NoSpacing"/>
      </w:pPr>
    </w:p>
    <w:p w14:paraId="40EE339A" w14:textId="77777777" w:rsidR="000946BC" w:rsidRDefault="000946BC" w:rsidP="000946BC">
      <w:pPr>
        <w:pStyle w:val="NoSpacing"/>
      </w:pPr>
    </w:p>
    <w:p w14:paraId="0D3E66B4" w14:textId="77777777" w:rsidR="000946BC" w:rsidRPr="005A464F" w:rsidRDefault="000946BC" w:rsidP="000946BC">
      <w:pPr>
        <w:pStyle w:val="NoSpacing"/>
        <w:rPr>
          <w:b/>
          <w:bCs/>
        </w:rPr>
      </w:pPr>
      <w:r w:rsidRPr="005A464F">
        <w:rPr>
          <w:b/>
        </w:rPr>
        <w:t>KEY FACTS:</w:t>
      </w:r>
    </w:p>
    <w:p w14:paraId="2DF6AD02" w14:textId="77777777" w:rsidR="000946BC" w:rsidRDefault="000946BC" w:rsidP="000946BC">
      <w:pPr>
        <w:pStyle w:val="NoSpacing"/>
      </w:pPr>
    </w:p>
    <w:p w14:paraId="6B57E03E" w14:textId="77777777" w:rsidR="000946BC" w:rsidRDefault="000946BC" w:rsidP="000946BC">
      <w:pPr>
        <w:pStyle w:val="NoSpacing"/>
        <w:ind w:left="360"/>
      </w:pPr>
      <w:r>
        <w:t xml:space="preserve">“For many decades, New Jersey required anyone who wanted to carry a handgun in public to show a ‘justifiable need’ for self-protection. In 2022, the Supreme Court held in </w:t>
      </w:r>
      <w:r w:rsidRPr="00AC3A70">
        <w:rPr>
          <w:i/>
          <w:iCs/>
        </w:rPr>
        <w:t>New York State Rifle &amp; Pistol Association v.</w:t>
      </w:r>
      <w:r>
        <w:rPr>
          <w:i/>
          <w:iCs/>
        </w:rPr>
        <w:t xml:space="preserve"> </w:t>
      </w:r>
      <w:r w:rsidRPr="00AC3A70">
        <w:rPr>
          <w:i/>
          <w:iCs/>
        </w:rPr>
        <w:t>Bruen, 597 U.S. 1 (2022),</w:t>
      </w:r>
      <w:r>
        <w:rPr>
          <w:i/>
          <w:iCs/>
        </w:rPr>
        <w:t xml:space="preserve"> </w:t>
      </w:r>
      <w:r>
        <w:t xml:space="preserve">that a similar New York law violated the Second Amendment of the U.S. Constitution. In response, the New Jersey legislature in 2022 enacted a measure known as Chapter 131, which excised the “justifiable need” </w:t>
      </w:r>
      <w:r>
        <w:lastRenderedPageBreak/>
        <w:t xml:space="preserve">requirement and added new licensing provisions and locational restrictions.  N.J. Stat. Ann. § 2C:58-4.6(a), prohibits carrying a firearm in twenty-five “sensitive places,” including: </w:t>
      </w:r>
    </w:p>
    <w:p w14:paraId="2542A568" w14:textId="77777777" w:rsidR="000946BC" w:rsidRDefault="000946BC" w:rsidP="000946BC">
      <w:pPr>
        <w:pStyle w:val="NoSpacing"/>
        <w:numPr>
          <w:ilvl w:val="0"/>
          <w:numId w:val="31"/>
        </w:numPr>
      </w:pPr>
      <w:r>
        <w:t>within 100 feet of a place where a public gathering, demonstration or event is held</w:t>
      </w:r>
    </w:p>
    <w:p w14:paraId="08D05C6E" w14:textId="77777777" w:rsidR="000946BC" w:rsidRDefault="000946BC" w:rsidP="000946BC">
      <w:pPr>
        <w:pStyle w:val="NoSpacing"/>
        <w:ind w:left="720"/>
      </w:pPr>
      <w:r>
        <w:t>for which a government permit is required, during the conduct of such gathering, demonstration or event;</w:t>
      </w:r>
    </w:p>
    <w:p w14:paraId="3C768CAD" w14:textId="77777777" w:rsidR="000946BC" w:rsidRDefault="000946BC" w:rsidP="000946BC">
      <w:pPr>
        <w:pStyle w:val="NoSpacing"/>
        <w:numPr>
          <w:ilvl w:val="0"/>
          <w:numId w:val="31"/>
        </w:numPr>
      </w:pPr>
      <w:r>
        <w:t>a school, college, university or other educational institution, and on any school</w:t>
      </w:r>
    </w:p>
    <w:p w14:paraId="2AFFA2D7" w14:textId="77777777" w:rsidR="000946BC" w:rsidRDefault="000946BC" w:rsidP="000946BC">
      <w:pPr>
        <w:pStyle w:val="NoSpacing"/>
        <w:ind w:firstLine="720"/>
      </w:pPr>
      <w:r>
        <w:t>bus;</w:t>
      </w:r>
    </w:p>
    <w:p w14:paraId="2C16CB5A" w14:textId="77777777" w:rsidR="000946BC" w:rsidRPr="00375A0E" w:rsidRDefault="000946BC" w:rsidP="000946BC">
      <w:pPr>
        <w:pStyle w:val="NoSpacing"/>
        <w:numPr>
          <w:ilvl w:val="0"/>
          <w:numId w:val="31"/>
        </w:numPr>
      </w:pPr>
      <w:r w:rsidRPr="00375A0E">
        <w:t>a bar or restaurant where alcohol is</w:t>
      </w:r>
      <w:r>
        <w:t xml:space="preserve"> </w:t>
      </w:r>
      <w:r w:rsidRPr="00375A0E">
        <w:t xml:space="preserve">served, and any other site or facility </w:t>
      </w:r>
      <w:proofErr w:type="gramStart"/>
      <w:r w:rsidRPr="00375A0E">
        <w:t>where</w:t>
      </w:r>
      <w:proofErr w:type="gramEnd"/>
    </w:p>
    <w:p w14:paraId="01840CD9" w14:textId="77777777" w:rsidR="000946BC" w:rsidRDefault="000946BC" w:rsidP="000946BC">
      <w:pPr>
        <w:pStyle w:val="NoSpacing"/>
        <w:ind w:firstLine="720"/>
      </w:pPr>
      <w:r w:rsidRPr="00375A0E">
        <w:t>alcohol is sold for consumption on the</w:t>
      </w:r>
      <w:r>
        <w:t xml:space="preserve"> </w:t>
      </w:r>
      <w:r w:rsidRPr="00375A0E">
        <w:t>premises</w:t>
      </w:r>
      <w:r>
        <w:t>.</w:t>
      </w:r>
    </w:p>
    <w:p w14:paraId="41ED8972" w14:textId="77777777" w:rsidR="000946BC" w:rsidRDefault="000946BC" w:rsidP="000946BC">
      <w:pPr>
        <w:pStyle w:val="NoSpacing"/>
        <w:numPr>
          <w:ilvl w:val="0"/>
          <w:numId w:val="32"/>
        </w:numPr>
      </w:pPr>
      <w:r>
        <w:t>a health care facility, including but not limited to a general hospital, special</w:t>
      </w:r>
    </w:p>
    <w:p w14:paraId="50BE9F20" w14:textId="77777777" w:rsidR="000946BC" w:rsidRDefault="000946BC" w:rsidP="000946BC">
      <w:pPr>
        <w:pStyle w:val="NoSpacing"/>
        <w:ind w:firstLine="720"/>
      </w:pPr>
      <w:r>
        <w:t>hospital, psychiatric hospital, public health center, diagnostic center, treatment</w:t>
      </w:r>
    </w:p>
    <w:p w14:paraId="3BEB6338" w14:textId="77777777" w:rsidR="000946BC" w:rsidRDefault="000946BC" w:rsidP="000946BC">
      <w:pPr>
        <w:pStyle w:val="NoSpacing"/>
        <w:ind w:left="720"/>
      </w:pPr>
      <w:r>
        <w:t>center, rehabilitation center, extended care facility, skilled nursing home, nursing home, intermediate care facility, tuberculosis hospital, chronic disease hospital, maternity hospital, outpatient clinic, dispensary, assisted living center, home health care agency, residential treatment facility, residential health care facility, medical office, or ambulatory</w:t>
      </w:r>
    </w:p>
    <w:p w14:paraId="504A37F4" w14:textId="77777777" w:rsidR="000946BC" w:rsidRDefault="000946BC" w:rsidP="000946BC">
      <w:pPr>
        <w:pStyle w:val="NoSpacing"/>
        <w:ind w:firstLine="720"/>
      </w:pPr>
      <w:r>
        <w:t>care facility.”</w:t>
      </w:r>
    </w:p>
    <w:p w14:paraId="4A5178F6" w14:textId="77777777" w:rsidR="000946BC" w:rsidRDefault="000946BC" w:rsidP="000946BC">
      <w:pPr>
        <w:pStyle w:val="NoSpacing"/>
      </w:pPr>
    </w:p>
    <w:p w14:paraId="329A4FBB" w14:textId="77777777" w:rsidR="000946BC" w:rsidRDefault="000946BC" w:rsidP="000946BC">
      <w:pPr>
        <w:pStyle w:val="NoSpacing"/>
        <w:rPr>
          <w:b/>
          <w:bCs/>
        </w:rPr>
      </w:pPr>
      <w:r>
        <w:rPr>
          <w:b/>
        </w:rPr>
        <w:t>Legal lesson learned:  This case does indeed involve a “</w:t>
      </w:r>
      <w:r w:rsidRPr="00BC287F">
        <w:rPr>
          <w:b/>
        </w:rPr>
        <w:t>question of immense public</w:t>
      </w:r>
      <w:r>
        <w:rPr>
          <w:b/>
        </w:rPr>
        <w:t xml:space="preserve"> </w:t>
      </w:r>
      <w:r w:rsidRPr="00BC287F">
        <w:rPr>
          <w:b/>
        </w:rPr>
        <w:t>importance</w:t>
      </w:r>
      <w:r>
        <w:rPr>
          <w:b/>
        </w:rPr>
        <w:t>.”  The dissenting Circuit Judge, however, described the impact on law abiding citizens, including EMS who wish to carry firearms off duty.</w:t>
      </w:r>
    </w:p>
    <w:p w14:paraId="64F19505" w14:textId="77777777" w:rsidR="000946BC" w:rsidRDefault="000946BC" w:rsidP="000946BC">
      <w:pPr>
        <w:pStyle w:val="NoSpacing"/>
        <w:rPr>
          <w:b/>
          <w:bCs/>
        </w:rPr>
      </w:pPr>
    </w:p>
    <w:p w14:paraId="22EEC3B9" w14:textId="77777777" w:rsidR="000946BC" w:rsidRDefault="000946BC" w:rsidP="000946BC">
      <w:pPr>
        <w:pStyle w:val="NoSpacing"/>
        <w:ind w:left="720"/>
      </w:pPr>
      <w:r w:rsidRPr="0094749A">
        <w:t xml:space="preserve">Note: The dissenting Circuit Judge, David J. Porter, discussed impact of the statute on a </w:t>
      </w:r>
      <w:r>
        <w:t>former EMT and current Medical Reserve Corps volunteer.</w:t>
      </w:r>
    </w:p>
    <w:p w14:paraId="3CD7610E" w14:textId="77777777" w:rsidR="000946BC" w:rsidRDefault="000946BC" w:rsidP="000946BC">
      <w:pPr>
        <w:pStyle w:val="NoSpacing"/>
        <w:ind w:left="720"/>
      </w:pPr>
    </w:p>
    <w:p w14:paraId="2DB32F8D" w14:textId="77777777" w:rsidR="000946BC" w:rsidRDefault="000946BC" w:rsidP="000946BC">
      <w:pPr>
        <w:ind w:left="720"/>
        <w:rPr>
          <w:bCs/>
        </w:rPr>
      </w:pPr>
      <w:r>
        <w:t>“</w:t>
      </w:r>
      <w:r w:rsidRPr="00D5033F">
        <w:t>This case is different because Plaintiffs are already experiencing harm. Siegel, a former Emergency Medical Technician and current New Jersey Medical Reserve Corps volunteer</w:t>
      </w:r>
      <w:r>
        <w:t xml:space="preserve"> … </w:t>
      </w:r>
      <w:r w:rsidRPr="00D5033F">
        <w:t>often carried his handgun, lawfully, for self-defense in his medical work. Now he doesn't carry out of fear of arrest and prosecution</w:t>
      </w:r>
      <w:r>
        <w:t xml:space="preserve">…. </w:t>
      </w:r>
      <w:r w:rsidRPr="00D5033F">
        <w:t>Like most people, Siegel frequents strip malls, museums, zoos, libraries, public parks, movie theaters, concerts, sporting events, and restaurants where alcohol is served. He rides public transportation. He sometimes visits casinos to gamble and attend shows. He takes continuing education courses, sometimes in hospitals and training centers. In these and other places where Siegel normally goes, he would ordinarily carry a handgun, but now he refrains from doing so out of fear of arrest and</w:t>
      </w:r>
      <w:r>
        <w:t xml:space="preserve"> </w:t>
      </w:r>
      <w:proofErr w:type="gramStart"/>
      <w:r w:rsidRPr="00D5033F">
        <w:t>prosecution</w:t>
      </w:r>
      <w:r>
        <w:t>.”</w:t>
      </w:r>
      <w:proofErr w:type="gramEnd"/>
      <w:r w:rsidRPr="00D5033F">
        <w:t> </w:t>
      </w:r>
      <w:r>
        <w:t xml:space="preserve"> </w:t>
      </w:r>
    </w:p>
    <w:p w14:paraId="4E34096A" w14:textId="77777777" w:rsidR="000946BC" w:rsidRDefault="000946BC" w:rsidP="000946BC">
      <w:hyperlink r:id="rId672" w:history="1">
        <w:r w:rsidRPr="001E16A5">
          <w:rPr>
            <w:rStyle w:val="Hyperlink"/>
          </w:rPr>
          <w:t>https://www2.ca3.uscourts.gov/opinarch/231900p.pdf</w:t>
        </w:r>
      </w:hyperlink>
    </w:p>
    <w:p w14:paraId="4C425189" w14:textId="77777777" w:rsidR="00440B47" w:rsidRDefault="00440B47" w:rsidP="00607129">
      <w:pPr>
        <w:pStyle w:val="NoSpacing"/>
        <w:rPr>
          <w:rFonts w:ascii="Arial Black" w:hAnsi="Arial Black"/>
          <w:sz w:val="28"/>
          <w:szCs w:val="28"/>
        </w:rPr>
      </w:pPr>
    </w:p>
    <w:p w14:paraId="4EF55C4E" w14:textId="5C914649" w:rsidR="00E24913" w:rsidRDefault="00E24913" w:rsidP="00607129">
      <w:pPr>
        <w:pStyle w:val="NoSpacing"/>
        <w:rPr>
          <w:rFonts w:ascii="Arial Black" w:hAnsi="Arial Black"/>
          <w:sz w:val="28"/>
          <w:szCs w:val="28"/>
        </w:rPr>
      </w:pPr>
      <w:r>
        <w:rPr>
          <w:rFonts w:ascii="Arial Black" w:hAnsi="Arial Black"/>
          <w:sz w:val="28"/>
          <w:szCs w:val="28"/>
        </w:rPr>
        <w:t>3-78</w:t>
      </w:r>
    </w:p>
    <w:p w14:paraId="5EAF607E" w14:textId="77777777" w:rsidR="00E24913" w:rsidRDefault="00E24913" w:rsidP="00607129">
      <w:pPr>
        <w:pStyle w:val="NoSpacing"/>
        <w:rPr>
          <w:rFonts w:ascii="Arial Black" w:hAnsi="Arial Black"/>
          <w:sz w:val="28"/>
          <w:szCs w:val="28"/>
        </w:rPr>
      </w:pPr>
    </w:p>
    <w:p w14:paraId="55F40204" w14:textId="77777777" w:rsidR="00E64DE3" w:rsidRDefault="00E64DE3" w:rsidP="00E64DE3">
      <w:pPr>
        <w:pStyle w:val="NoSpacing"/>
        <w:rPr>
          <w:rFonts w:ascii="Arial Black" w:hAnsi="Arial Black"/>
          <w:sz w:val="28"/>
          <w:szCs w:val="28"/>
        </w:rPr>
      </w:pPr>
      <w:r>
        <w:rPr>
          <w:rFonts w:ascii="Arial Black" w:hAnsi="Arial Black"/>
          <w:sz w:val="28"/>
          <w:szCs w:val="28"/>
        </w:rPr>
        <w:t xml:space="preserve">CA: AMMO PURCHASES – CA BACKGROUND CHECKS </w:t>
      </w:r>
    </w:p>
    <w:p w14:paraId="0CFE3816" w14:textId="77777777" w:rsidR="00E64DE3" w:rsidRDefault="00E64DE3" w:rsidP="00E64DE3">
      <w:pPr>
        <w:pStyle w:val="NoSpacing"/>
      </w:pPr>
    </w:p>
    <w:p w14:paraId="0FBA554C" w14:textId="77777777" w:rsidR="00E64DE3" w:rsidRPr="00B5776F" w:rsidRDefault="00E64DE3" w:rsidP="00E64DE3">
      <w:pPr>
        <w:pStyle w:val="NoSpacing"/>
        <w:rPr>
          <w:rFonts w:ascii="Times New Roman" w:hAnsi="Times New Roman"/>
          <w:sz w:val="24"/>
          <w:szCs w:val="24"/>
        </w:rPr>
      </w:pPr>
      <w:r w:rsidRPr="00B5776F">
        <w:rPr>
          <w:rFonts w:ascii="Times New Roman" w:hAnsi="Times New Roman"/>
          <w:sz w:val="24"/>
          <w:szCs w:val="24"/>
        </w:rPr>
        <w:t xml:space="preserve">On July 24, 2025, in </w:t>
      </w:r>
      <w:r w:rsidRPr="00B5776F">
        <w:rPr>
          <w:rFonts w:ascii="Times New Roman" w:hAnsi="Times New Roman"/>
          <w:sz w:val="24"/>
          <w:szCs w:val="24"/>
          <w:u w:val="single"/>
        </w:rPr>
        <w:t>Kim Rhode, et al. v. Rob Bonta, in his official capacity as Attorney General of the State of California</w:t>
      </w:r>
      <w:r w:rsidRPr="00B5776F">
        <w:rPr>
          <w:rFonts w:ascii="Times New Roman" w:hAnsi="Times New Roman"/>
          <w:sz w:val="24"/>
          <w:szCs w:val="24"/>
        </w:rPr>
        <w:t>, the U.S. Court of Appeals for 9</w:t>
      </w:r>
      <w:r w:rsidRPr="00B5776F">
        <w:rPr>
          <w:rFonts w:ascii="Times New Roman" w:hAnsi="Times New Roman"/>
          <w:sz w:val="24"/>
          <w:szCs w:val="24"/>
          <w:vertAlign w:val="superscript"/>
        </w:rPr>
        <w:t>th</w:t>
      </w:r>
      <w:r w:rsidRPr="00B5776F">
        <w:rPr>
          <w:rFonts w:ascii="Times New Roman" w:hAnsi="Times New Roman"/>
          <w:sz w:val="24"/>
          <w:szCs w:val="24"/>
        </w:rPr>
        <w:t xml:space="preserve"> Circuit (San Francisco) held (2 to 1) that California’s “first-of-its-find” ammunition background checks before each ammo purchase violates the Second Amendment. THE COURT HELD: “We hold that California’s ammunition</w:t>
      </w:r>
    </w:p>
    <w:p w14:paraId="70BE774F" w14:textId="7A670C03" w:rsidR="00E64DE3" w:rsidRPr="00B5776F" w:rsidRDefault="00E64DE3" w:rsidP="00E64DE3">
      <w:pPr>
        <w:pStyle w:val="NoSpacing"/>
        <w:rPr>
          <w:rFonts w:ascii="Times New Roman" w:hAnsi="Times New Roman"/>
          <w:sz w:val="24"/>
          <w:szCs w:val="24"/>
        </w:rPr>
      </w:pPr>
      <w:r w:rsidRPr="00B5776F">
        <w:rPr>
          <w:rFonts w:ascii="Times New Roman" w:hAnsi="Times New Roman"/>
          <w:sz w:val="24"/>
          <w:szCs w:val="24"/>
        </w:rPr>
        <w:t xml:space="preserve">background check regime is unconstitutional, and we affirm the district court’s grant of a permanent injunction.”  </w:t>
      </w:r>
      <w:hyperlink r:id="rId673" w:history="1">
        <w:r w:rsidRPr="00B5776F">
          <w:rPr>
            <w:rStyle w:val="Hyperlink"/>
            <w:rFonts w:ascii="Times New Roman" w:hAnsi="Times New Roman"/>
            <w:sz w:val="24"/>
            <w:szCs w:val="24"/>
          </w:rPr>
          <w:t>https://cdn.ca9.uscourts.gov/datastore/opinions/2025/07/24/24-542.pdf</w:t>
        </w:r>
      </w:hyperlink>
    </w:p>
    <w:p w14:paraId="2EA8CC5D" w14:textId="77777777" w:rsidR="00B5776F" w:rsidRPr="00B5776F" w:rsidRDefault="00B5776F" w:rsidP="00B5776F">
      <w:pPr>
        <w:pStyle w:val="NoSpacing"/>
        <w:rPr>
          <w:rFonts w:ascii="Times New Roman" w:hAnsi="Times New Roman"/>
          <w:bCs/>
          <w:sz w:val="24"/>
          <w:szCs w:val="24"/>
        </w:rPr>
      </w:pPr>
      <w:r w:rsidRPr="00B5776F">
        <w:rPr>
          <w:rFonts w:ascii="Times New Roman" w:hAnsi="Times New Roman"/>
          <w:sz w:val="24"/>
          <w:szCs w:val="24"/>
        </w:rPr>
        <w:t xml:space="preserve">Dissent:  </w:t>
      </w:r>
    </w:p>
    <w:p w14:paraId="1CB4CB67" w14:textId="77777777" w:rsidR="00B5776F" w:rsidRPr="00B5776F" w:rsidRDefault="00B5776F" w:rsidP="00B5776F">
      <w:pPr>
        <w:pStyle w:val="NoSpacing"/>
        <w:rPr>
          <w:rFonts w:ascii="Times New Roman" w:hAnsi="Times New Roman"/>
          <w:bCs/>
          <w:sz w:val="24"/>
          <w:szCs w:val="24"/>
        </w:rPr>
      </w:pPr>
    </w:p>
    <w:p w14:paraId="5EEBEA0F" w14:textId="77777777" w:rsidR="00B5776F" w:rsidRPr="00B5776F" w:rsidRDefault="00B5776F" w:rsidP="00B5776F">
      <w:pPr>
        <w:pStyle w:val="NoSpacing"/>
        <w:ind w:left="720"/>
        <w:rPr>
          <w:rFonts w:ascii="Times New Roman" w:hAnsi="Times New Roman"/>
          <w:bCs/>
          <w:sz w:val="24"/>
          <w:szCs w:val="24"/>
        </w:rPr>
      </w:pPr>
      <w:r w:rsidRPr="00B5776F">
        <w:rPr>
          <w:rFonts w:ascii="Times New Roman" w:hAnsi="Times New Roman"/>
          <w:sz w:val="24"/>
          <w:szCs w:val="24"/>
        </w:rPr>
        <w:t>“California, which has administered the scheme since 2019, has shown that the vast majority of its checks cost one dollar and impose less than one minute of delay.”</w:t>
      </w:r>
    </w:p>
    <w:p w14:paraId="1B7F31C5" w14:textId="77777777" w:rsidR="00B5776F" w:rsidRPr="00B5776F" w:rsidRDefault="00B5776F" w:rsidP="00B5776F">
      <w:pPr>
        <w:pStyle w:val="NoSpacing"/>
        <w:ind w:left="720"/>
        <w:rPr>
          <w:rFonts w:ascii="Times New Roman" w:hAnsi="Times New Roman"/>
          <w:bCs/>
          <w:sz w:val="24"/>
          <w:szCs w:val="24"/>
        </w:rPr>
      </w:pPr>
    </w:p>
    <w:p w14:paraId="79A510C1" w14:textId="77777777" w:rsidR="00B5776F" w:rsidRPr="00B5776F" w:rsidRDefault="00B5776F" w:rsidP="00B5776F">
      <w:pPr>
        <w:pStyle w:val="NoSpacing"/>
        <w:rPr>
          <w:rFonts w:ascii="Times New Roman" w:hAnsi="Times New Roman"/>
          <w:b/>
          <w:sz w:val="24"/>
          <w:szCs w:val="24"/>
        </w:rPr>
      </w:pPr>
      <w:r w:rsidRPr="00B5776F">
        <w:rPr>
          <w:rFonts w:ascii="Times New Roman" w:hAnsi="Times New Roman"/>
          <w:b/>
          <w:sz w:val="24"/>
          <w:szCs w:val="24"/>
        </w:rPr>
        <w:lastRenderedPageBreak/>
        <w:t xml:space="preserve">Legal lesson learned:  California may appeal to U.S. Supreme Court (but this requires 4 Justices to agree to hear the appeal).  It’s time for Congress to close “loopholes” in firearm laws; quick background checks to buy ammo seems like an excellent law. </w:t>
      </w:r>
    </w:p>
    <w:p w14:paraId="63E6F744" w14:textId="77777777" w:rsidR="00B5776F" w:rsidRDefault="00B5776F" w:rsidP="00E64DE3">
      <w:pPr>
        <w:pStyle w:val="NoSpacing"/>
        <w:rPr>
          <w:rFonts w:ascii="Arial Black" w:hAnsi="Arial Black"/>
          <w:sz w:val="28"/>
          <w:szCs w:val="28"/>
        </w:rPr>
      </w:pPr>
    </w:p>
    <w:p w14:paraId="60B17B02" w14:textId="77777777" w:rsidR="00E24913" w:rsidRDefault="00E24913" w:rsidP="00607129">
      <w:pPr>
        <w:pStyle w:val="NoSpacing"/>
        <w:rPr>
          <w:rFonts w:ascii="Arial Black" w:hAnsi="Arial Black"/>
          <w:sz w:val="28"/>
          <w:szCs w:val="28"/>
        </w:rPr>
      </w:pPr>
    </w:p>
    <w:p w14:paraId="1BD8404A" w14:textId="77777777" w:rsidR="00E24913" w:rsidRDefault="00E24913" w:rsidP="00607129">
      <w:pPr>
        <w:pStyle w:val="NoSpacing"/>
        <w:rPr>
          <w:rFonts w:ascii="Arial Black" w:hAnsi="Arial Black"/>
          <w:sz w:val="28"/>
          <w:szCs w:val="28"/>
        </w:rPr>
      </w:pPr>
    </w:p>
    <w:p w14:paraId="3F9153E9" w14:textId="77777777" w:rsidR="00E24913" w:rsidRDefault="00E24913" w:rsidP="00607129">
      <w:pPr>
        <w:pStyle w:val="NoSpacing"/>
        <w:rPr>
          <w:rFonts w:ascii="Arial Black" w:hAnsi="Arial Black"/>
          <w:sz w:val="28"/>
          <w:szCs w:val="28"/>
        </w:rPr>
      </w:pPr>
    </w:p>
    <w:p w14:paraId="2DB361C3" w14:textId="52270FAD" w:rsidR="00607129" w:rsidRDefault="00607129" w:rsidP="00607129">
      <w:pPr>
        <w:pStyle w:val="NoSpacing"/>
        <w:rPr>
          <w:rFonts w:ascii="Arial Black" w:hAnsi="Arial Black"/>
          <w:sz w:val="28"/>
          <w:szCs w:val="28"/>
        </w:rPr>
      </w:pPr>
      <w:r>
        <w:rPr>
          <w:rFonts w:ascii="Arial Black" w:hAnsi="Arial Black"/>
          <w:sz w:val="28"/>
          <w:szCs w:val="28"/>
        </w:rPr>
        <w:t>3-7</w:t>
      </w:r>
      <w:r w:rsidR="00680234">
        <w:rPr>
          <w:rFonts w:ascii="Arial Black" w:hAnsi="Arial Black"/>
          <w:sz w:val="28"/>
          <w:szCs w:val="28"/>
        </w:rPr>
        <w:t>7</w:t>
      </w:r>
    </w:p>
    <w:p w14:paraId="72868543" w14:textId="77777777" w:rsidR="00607129" w:rsidRDefault="00607129" w:rsidP="00F326E5">
      <w:pPr>
        <w:pStyle w:val="NoSpacing"/>
        <w:rPr>
          <w:rFonts w:ascii="Arial Black" w:hAnsi="Arial Black"/>
          <w:sz w:val="28"/>
          <w:szCs w:val="28"/>
        </w:rPr>
      </w:pPr>
    </w:p>
    <w:p w14:paraId="1AB4EDF9" w14:textId="33BCA391" w:rsidR="002333BA" w:rsidRDefault="002333BA" w:rsidP="002333BA">
      <w:pPr>
        <w:rPr>
          <w:rFonts w:ascii="Arial Black" w:hAnsi="Arial Black"/>
          <w:b/>
          <w:sz w:val="28"/>
          <w:szCs w:val="28"/>
        </w:rPr>
      </w:pPr>
      <w:r>
        <w:rPr>
          <w:rFonts w:ascii="Arial Black" w:hAnsi="Arial Black"/>
          <w:b/>
          <w:sz w:val="28"/>
          <w:szCs w:val="28"/>
        </w:rPr>
        <w:t>U.S. SUP. CT – DEPORTATION 3</w:t>
      </w:r>
      <w:r w:rsidRPr="00995B6B">
        <w:rPr>
          <w:rFonts w:ascii="Arial Black" w:hAnsi="Arial Black"/>
          <w:b/>
          <w:sz w:val="28"/>
          <w:szCs w:val="28"/>
          <w:vertAlign w:val="superscript"/>
        </w:rPr>
        <w:t>rd</w:t>
      </w:r>
      <w:r>
        <w:rPr>
          <w:rFonts w:ascii="Arial Black" w:hAnsi="Arial Black"/>
          <w:b/>
          <w:sz w:val="28"/>
          <w:szCs w:val="28"/>
        </w:rPr>
        <w:t xml:space="preserve"> COUNTRIES – NO INJUCT</w:t>
      </w:r>
      <w:r w:rsidR="00064669">
        <w:rPr>
          <w:rFonts w:ascii="Arial Black" w:hAnsi="Arial Black"/>
          <w:b/>
          <w:sz w:val="28"/>
          <w:szCs w:val="28"/>
        </w:rPr>
        <w:t>ION</w:t>
      </w:r>
    </w:p>
    <w:p w14:paraId="2A1A1E82" w14:textId="77777777" w:rsidR="002333BA" w:rsidRPr="00B5776F" w:rsidRDefault="002333BA" w:rsidP="002333BA">
      <w:pPr>
        <w:pStyle w:val="NoSpacing"/>
        <w:rPr>
          <w:rFonts w:ascii="Times New Roman" w:hAnsi="Times New Roman"/>
          <w:bCs/>
          <w:sz w:val="24"/>
          <w:szCs w:val="24"/>
        </w:rPr>
      </w:pPr>
      <w:r w:rsidRPr="00B5776F">
        <w:rPr>
          <w:rFonts w:ascii="Times New Roman" w:hAnsi="Times New Roman"/>
          <w:sz w:val="24"/>
          <w:szCs w:val="24"/>
        </w:rPr>
        <w:t xml:space="preserve">On June 23, 2025, in </w:t>
      </w:r>
      <w:r w:rsidRPr="00B5776F">
        <w:rPr>
          <w:rFonts w:ascii="Times New Roman" w:hAnsi="Times New Roman"/>
          <w:sz w:val="24"/>
          <w:szCs w:val="24"/>
          <w:u w:val="single"/>
        </w:rPr>
        <w:t>Department of Homeland Security, et al. v. D.V.D., et al</w:t>
      </w:r>
      <w:r w:rsidRPr="00B5776F">
        <w:rPr>
          <w:rFonts w:ascii="Times New Roman" w:hAnsi="Times New Roman"/>
          <w:sz w:val="24"/>
          <w:szCs w:val="24"/>
        </w:rPr>
        <w:t xml:space="preserve">, the U.S. Supreme Court (7 to 2; Court Order – no Opinion) has set aside orders by U.S. District Court Judge Brian E. Murphy, Boston, of March 28, 2025 (temporary restraining order) and April 18, 2025 (preliminary injunction) against deporting some illegal aliens to South Sedan, since their home countries refused to accept them.  THE COURT HELD: “The April 18,2025, preliminary injunction of the United States District Court for the District of Massachusetts, case No. 25–cv–10676, is stayed pending the disposition of the appeal in the United States Court of Appeals for the First Circuit and disposition of a petition for a writ of certiorari, if such writ is timely sought. Should certiorari be denied, this stay shall terminate automatically. In the event certiorari is granted, the stay shall terminate upon the sending down of the judgment of the Court.”   </w:t>
      </w:r>
      <w:hyperlink r:id="rId674" w:history="1">
        <w:r w:rsidRPr="00B5776F">
          <w:rPr>
            <w:rStyle w:val="Hyperlink"/>
            <w:rFonts w:ascii="Times New Roman" w:hAnsi="Times New Roman"/>
            <w:sz w:val="24"/>
            <w:szCs w:val="24"/>
          </w:rPr>
          <w:t>https://www.supremecourt.gov/opinions/24pdf/24a1153_l5gm.pdf</w:t>
        </w:r>
      </w:hyperlink>
      <w:r w:rsidRPr="00B5776F">
        <w:rPr>
          <w:rFonts w:ascii="Times New Roman" w:hAnsi="Times New Roman"/>
          <w:sz w:val="24"/>
          <w:szCs w:val="24"/>
        </w:rPr>
        <w:t xml:space="preserve"> </w:t>
      </w:r>
    </w:p>
    <w:p w14:paraId="48DC864F" w14:textId="77777777" w:rsidR="00646EE3" w:rsidRPr="00B5776F" w:rsidRDefault="00646EE3" w:rsidP="00F326E5">
      <w:pPr>
        <w:pStyle w:val="NoSpacing"/>
        <w:rPr>
          <w:rFonts w:ascii="Times New Roman" w:hAnsi="Times New Roman"/>
          <w:sz w:val="24"/>
          <w:szCs w:val="24"/>
        </w:rPr>
      </w:pPr>
    </w:p>
    <w:p w14:paraId="3C93226A" w14:textId="77777777" w:rsidR="00230904" w:rsidRPr="00230904" w:rsidRDefault="00230904" w:rsidP="00230904">
      <w:pPr>
        <w:rPr>
          <w:rFonts w:ascii="Times New Roman" w:hAnsi="Times New Roman"/>
          <w:b/>
          <w:sz w:val="24"/>
          <w:szCs w:val="24"/>
        </w:rPr>
      </w:pPr>
      <w:r w:rsidRPr="00230904">
        <w:rPr>
          <w:rFonts w:ascii="Times New Roman" w:hAnsi="Times New Roman"/>
          <w:b/>
          <w:sz w:val="24"/>
          <w:szCs w:val="24"/>
        </w:rPr>
        <w:t xml:space="preserve">Legal lesson learned: </w:t>
      </w:r>
      <w:proofErr w:type="gramStart"/>
      <w:r w:rsidRPr="00230904">
        <w:rPr>
          <w:rFonts w:ascii="Times New Roman" w:hAnsi="Times New Roman"/>
          <w:b/>
          <w:sz w:val="24"/>
          <w:szCs w:val="24"/>
        </w:rPr>
        <w:t>The majority of</w:t>
      </w:r>
      <w:proofErr w:type="gramEnd"/>
      <w:r w:rsidRPr="00230904">
        <w:rPr>
          <w:rFonts w:ascii="Times New Roman" w:hAnsi="Times New Roman"/>
          <w:b/>
          <w:sz w:val="24"/>
          <w:szCs w:val="24"/>
        </w:rPr>
        <w:t xml:space="preserve"> the Justices have now, at least temporarily, allowed deportation to third countries; at least until the 1</w:t>
      </w:r>
      <w:r w:rsidRPr="00230904">
        <w:rPr>
          <w:rFonts w:ascii="Times New Roman" w:hAnsi="Times New Roman"/>
          <w:b/>
          <w:sz w:val="24"/>
          <w:szCs w:val="24"/>
          <w:vertAlign w:val="superscript"/>
        </w:rPr>
        <w:t>st</w:t>
      </w:r>
      <w:r w:rsidRPr="00230904">
        <w:rPr>
          <w:rFonts w:ascii="Times New Roman" w:hAnsi="Times New Roman"/>
          <w:b/>
          <w:sz w:val="24"/>
          <w:szCs w:val="24"/>
        </w:rPr>
        <w:t xml:space="preserve"> Circuit decides the case. </w:t>
      </w:r>
    </w:p>
    <w:p w14:paraId="739C0E8D" w14:textId="77777777" w:rsidR="00230904" w:rsidRPr="00230904" w:rsidRDefault="00230904" w:rsidP="00230904">
      <w:pPr>
        <w:pStyle w:val="NoSpacing"/>
        <w:ind w:left="720"/>
        <w:rPr>
          <w:rFonts w:ascii="Times New Roman" w:hAnsi="Times New Roman"/>
          <w:bCs/>
          <w:sz w:val="24"/>
          <w:szCs w:val="24"/>
        </w:rPr>
      </w:pPr>
      <w:r w:rsidRPr="00230904">
        <w:rPr>
          <w:rFonts w:ascii="Times New Roman" w:hAnsi="Times New Roman"/>
          <w:sz w:val="24"/>
          <w:szCs w:val="24"/>
        </w:rPr>
        <w:t xml:space="preserve">Note: </w:t>
      </w:r>
    </w:p>
    <w:p w14:paraId="44E73374" w14:textId="77777777" w:rsidR="00230904" w:rsidRPr="00230904" w:rsidRDefault="00230904" w:rsidP="00230904">
      <w:pPr>
        <w:pStyle w:val="NoSpacing"/>
        <w:ind w:left="720"/>
        <w:rPr>
          <w:rFonts w:ascii="Times New Roman" w:hAnsi="Times New Roman"/>
          <w:bCs/>
          <w:sz w:val="24"/>
          <w:szCs w:val="24"/>
        </w:rPr>
      </w:pPr>
    </w:p>
    <w:p w14:paraId="74ADC945" w14:textId="77777777" w:rsidR="00230904" w:rsidRPr="00230904" w:rsidRDefault="00230904" w:rsidP="00230904">
      <w:pPr>
        <w:pStyle w:val="NoSpacing"/>
        <w:ind w:left="720"/>
        <w:rPr>
          <w:rFonts w:ascii="Times New Roman" w:hAnsi="Times New Roman"/>
          <w:bCs/>
          <w:sz w:val="24"/>
          <w:szCs w:val="24"/>
        </w:rPr>
      </w:pPr>
      <w:r w:rsidRPr="00230904">
        <w:rPr>
          <w:rFonts w:ascii="Times New Roman" w:hAnsi="Times New Roman"/>
          <w:bCs/>
          <w:sz w:val="24"/>
          <w:szCs w:val="24"/>
        </w:rPr>
        <w:t xml:space="preserve">Here is the Injunction that was set aside in this case.  </w:t>
      </w:r>
      <w:r w:rsidRPr="00230904">
        <w:rPr>
          <w:rFonts w:ascii="Times New Roman" w:hAnsi="Times New Roman"/>
          <w:sz w:val="24"/>
          <w:szCs w:val="24"/>
        </w:rPr>
        <w:t>On May 21, 2025, Judge Murphy issued an ORDER ON REMEDY FOR VIOLATION OF PRELIMINARY INJUNCTION.</w:t>
      </w:r>
    </w:p>
    <w:p w14:paraId="4A0F5DFE" w14:textId="77777777" w:rsidR="00230904" w:rsidRPr="00230904" w:rsidRDefault="00230904" w:rsidP="00230904">
      <w:pPr>
        <w:pStyle w:val="NoSpacing"/>
        <w:rPr>
          <w:rFonts w:ascii="Times New Roman" w:hAnsi="Times New Roman"/>
          <w:bCs/>
          <w:sz w:val="24"/>
          <w:szCs w:val="24"/>
        </w:rPr>
      </w:pPr>
    </w:p>
    <w:p w14:paraId="4A95B1EA" w14:textId="77777777" w:rsidR="00230904" w:rsidRPr="00230904" w:rsidRDefault="00230904" w:rsidP="00230904">
      <w:pPr>
        <w:ind w:left="1440"/>
        <w:rPr>
          <w:rFonts w:ascii="Times New Roman" w:hAnsi="Times New Roman"/>
          <w:sz w:val="24"/>
          <w:szCs w:val="24"/>
        </w:rPr>
      </w:pPr>
      <w:r w:rsidRPr="00230904">
        <w:rPr>
          <w:rFonts w:ascii="Times New Roman" w:hAnsi="Times New Roman"/>
          <w:sz w:val="24"/>
          <w:szCs w:val="24"/>
        </w:rPr>
        <w:t xml:space="preserve">“Each of the six individuals must be given a reasonable fear interview in private, with the opportunity for the individual to have counsel of their choosing present during the interview, either in-person or remotely, at the individual’s choosing. </w:t>
      </w:r>
      <w:proofErr w:type="gramStart"/>
      <w:r w:rsidRPr="00230904">
        <w:rPr>
          <w:rFonts w:ascii="Times New Roman" w:hAnsi="Times New Roman"/>
          <w:sz w:val="24"/>
          <w:szCs w:val="24"/>
        </w:rPr>
        <w:t>Each individual</w:t>
      </w:r>
      <w:proofErr w:type="gramEnd"/>
      <w:r w:rsidRPr="00230904">
        <w:rPr>
          <w:rFonts w:ascii="Times New Roman" w:hAnsi="Times New Roman"/>
          <w:sz w:val="24"/>
          <w:szCs w:val="24"/>
        </w:rPr>
        <w:t xml:space="preserve"> must be afforded access to counsel that is commensurate with the access that they would have received had these procedures occurred within the United States prior to their deportation, including remote access where in-person access would otherwise be available. </w:t>
      </w:r>
      <w:proofErr w:type="gramStart"/>
      <w:r w:rsidRPr="00230904">
        <w:rPr>
          <w:rFonts w:ascii="Times New Roman" w:hAnsi="Times New Roman"/>
          <w:sz w:val="24"/>
          <w:szCs w:val="24"/>
        </w:rPr>
        <w:t>Each individual</w:t>
      </w:r>
      <w:proofErr w:type="gramEnd"/>
      <w:r w:rsidRPr="00230904">
        <w:rPr>
          <w:rFonts w:ascii="Times New Roman" w:hAnsi="Times New Roman"/>
          <w:sz w:val="24"/>
          <w:szCs w:val="24"/>
        </w:rPr>
        <w:t xml:space="preserve"> must also be afforded the name and telephone number of class counsel, as well as access to a phone, interpreter, and technology for the confidential transfer of documents that is commensurate with the access they would receive were they in DHS custody within United States borders.” </w:t>
      </w:r>
      <w:hyperlink r:id="rId675" w:history="1">
        <w:r w:rsidRPr="00230904">
          <w:rPr>
            <w:rStyle w:val="Hyperlink"/>
            <w:rFonts w:ascii="Times New Roman" w:hAnsi="Times New Roman"/>
            <w:sz w:val="24"/>
            <w:szCs w:val="24"/>
          </w:rPr>
          <w:t>https://storage.courtlistener.com/recap/gov.uscourts.mad.282404/gov.uscourts.mad.282404.119.0_1.pdf</w:t>
        </w:r>
      </w:hyperlink>
    </w:p>
    <w:p w14:paraId="6BD73346" w14:textId="77777777" w:rsidR="00230904" w:rsidRPr="00230904" w:rsidRDefault="00230904" w:rsidP="00230904">
      <w:pPr>
        <w:pStyle w:val="NoSpacing"/>
        <w:ind w:left="720"/>
        <w:rPr>
          <w:rFonts w:ascii="Times New Roman" w:hAnsi="Times New Roman"/>
          <w:bCs/>
          <w:sz w:val="24"/>
          <w:szCs w:val="24"/>
        </w:rPr>
      </w:pPr>
    </w:p>
    <w:p w14:paraId="39D6F965" w14:textId="77777777" w:rsidR="00230904" w:rsidRPr="00230904" w:rsidRDefault="00230904" w:rsidP="00230904">
      <w:pPr>
        <w:pStyle w:val="NoSpacing"/>
        <w:ind w:left="720"/>
        <w:rPr>
          <w:rFonts w:ascii="Times New Roman" w:hAnsi="Times New Roman"/>
          <w:bCs/>
          <w:sz w:val="24"/>
          <w:szCs w:val="24"/>
        </w:rPr>
      </w:pPr>
      <w:r w:rsidRPr="00230904">
        <w:rPr>
          <w:rFonts w:ascii="Times New Roman" w:hAnsi="Times New Roman"/>
          <w:sz w:val="24"/>
          <w:szCs w:val="24"/>
        </w:rPr>
        <w:t xml:space="preserve">See also the June 23, </w:t>
      </w:r>
      <w:proofErr w:type="gramStart"/>
      <w:r w:rsidRPr="00230904">
        <w:rPr>
          <w:rFonts w:ascii="Times New Roman" w:hAnsi="Times New Roman"/>
          <w:sz w:val="24"/>
          <w:szCs w:val="24"/>
        </w:rPr>
        <w:t>2025</w:t>
      </w:r>
      <w:proofErr w:type="gramEnd"/>
      <w:r w:rsidRPr="00230904">
        <w:rPr>
          <w:rFonts w:ascii="Times New Roman" w:hAnsi="Times New Roman"/>
          <w:sz w:val="24"/>
          <w:szCs w:val="24"/>
        </w:rPr>
        <w:t xml:space="preserve"> Press Release: The U.S. Department of Homeland Security announcement it will immediately resume deportation flights – “</w:t>
      </w:r>
      <w:r w:rsidRPr="00230904">
        <w:rPr>
          <w:rFonts w:ascii="Times New Roman" w:hAnsi="Times New Roman"/>
          <w:i/>
          <w:iCs/>
          <w:sz w:val="24"/>
          <w:szCs w:val="24"/>
        </w:rPr>
        <w:t>Fire up the deportation planes.”</w:t>
      </w:r>
      <w:r w:rsidRPr="00230904">
        <w:rPr>
          <w:rFonts w:ascii="Times New Roman" w:hAnsi="Times New Roman"/>
          <w:sz w:val="24"/>
          <w:szCs w:val="24"/>
        </w:rPr>
        <w:t xml:space="preserve"> </w:t>
      </w:r>
      <w:hyperlink r:id="rId676" w:history="1">
        <w:r w:rsidRPr="00230904">
          <w:rPr>
            <w:rStyle w:val="Hyperlink"/>
            <w:rFonts w:ascii="Times New Roman" w:hAnsi="Times New Roman"/>
            <w:sz w:val="24"/>
            <w:szCs w:val="24"/>
          </w:rPr>
          <w:t>https://www.supremecourt.gov/opinions/24pdf/24a1153_l5gm.pdf</w:t>
        </w:r>
      </w:hyperlink>
      <w:r w:rsidRPr="00230904">
        <w:rPr>
          <w:rFonts w:ascii="Times New Roman" w:hAnsi="Times New Roman"/>
          <w:sz w:val="24"/>
          <w:szCs w:val="24"/>
        </w:rPr>
        <w:t xml:space="preserve"> </w:t>
      </w:r>
    </w:p>
    <w:p w14:paraId="072A6000" w14:textId="77777777" w:rsidR="00230904" w:rsidRPr="00230904" w:rsidRDefault="00230904" w:rsidP="00230904">
      <w:pPr>
        <w:pStyle w:val="NoSpacing"/>
        <w:ind w:left="720"/>
        <w:rPr>
          <w:rFonts w:ascii="Times New Roman" w:hAnsi="Times New Roman"/>
          <w:bCs/>
          <w:sz w:val="24"/>
          <w:szCs w:val="24"/>
        </w:rPr>
      </w:pPr>
    </w:p>
    <w:p w14:paraId="7FB19E56" w14:textId="77777777" w:rsidR="00230904" w:rsidRPr="00230904" w:rsidRDefault="00230904" w:rsidP="00230904">
      <w:pPr>
        <w:pStyle w:val="NoSpacing"/>
        <w:ind w:left="720"/>
        <w:rPr>
          <w:rFonts w:ascii="Times New Roman" w:hAnsi="Times New Roman"/>
          <w:bCs/>
          <w:sz w:val="24"/>
          <w:szCs w:val="24"/>
        </w:rPr>
      </w:pPr>
    </w:p>
    <w:p w14:paraId="5C144E3D" w14:textId="7188FB9E" w:rsidR="00230904" w:rsidRPr="00230904" w:rsidRDefault="004F69EA" w:rsidP="00230904">
      <w:pPr>
        <w:pStyle w:val="NoSpacing"/>
        <w:ind w:left="720"/>
        <w:rPr>
          <w:rFonts w:ascii="Times New Roman" w:hAnsi="Times New Roman"/>
          <w:bCs/>
          <w:sz w:val="24"/>
          <w:szCs w:val="24"/>
        </w:rPr>
      </w:pPr>
      <w:r>
        <w:rPr>
          <w:rFonts w:ascii="Times New Roman" w:hAnsi="Times New Roman"/>
          <w:bCs/>
          <w:sz w:val="24"/>
          <w:szCs w:val="24"/>
        </w:rPr>
        <w:t xml:space="preserve">BREAKING NEWS:  </w:t>
      </w:r>
      <w:r w:rsidR="00230904" w:rsidRPr="00230904">
        <w:rPr>
          <w:rFonts w:ascii="Times New Roman" w:hAnsi="Times New Roman"/>
          <w:bCs/>
          <w:sz w:val="24"/>
          <w:szCs w:val="24"/>
        </w:rPr>
        <w:t xml:space="preserve">“Universal injunctions” by Federal District Court judges have now been struck down by U.S. Supreme Court. </w:t>
      </w:r>
      <w:r w:rsidR="00230904" w:rsidRPr="00230904">
        <w:rPr>
          <w:rFonts w:ascii="Times New Roman" w:hAnsi="Times New Roman"/>
          <w:sz w:val="24"/>
          <w:szCs w:val="24"/>
        </w:rPr>
        <w:t xml:space="preserve">The U.S. Supreme Court on June 26, </w:t>
      </w:r>
      <w:proofErr w:type="gramStart"/>
      <w:r w:rsidR="00230904" w:rsidRPr="00230904">
        <w:rPr>
          <w:rFonts w:ascii="Times New Roman" w:hAnsi="Times New Roman"/>
          <w:sz w:val="24"/>
          <w:szCs w:val="24"/>
        </w:rPr>
        <w:t>2025</w:t>
      </w:r>
      <w:proofErr w:type="gramEnd"/>
      <w:r w:rsidR="00230904" w:rsidRPr="00230904">
        <w:rPr>
          <w:rFonts w:ascii="Times New Roman" w:hAnsi="Times New Roman"/>
          <w:sz w:val="24"/>
          <w:szCs w:val="24"/>
        </w:rPr>
        <w:t xml:space="preserve"> stayed</w:t>
      </w:r>
      <w:r w:rsidR="00230904" w:rsidRPr="00230904">
        <w:rPr>
          <w:rFonts w:ascii="Times New Roman" w:hAnsi="Times New Roman"/>
          <w:bCs/>
          <w:sz w:val="24"/>
          <w:szCs w:val="24"/>
        </w:rPr>
        <w:t xml:space="preserve"> national-wide so-called </w:t>
      </w:r>
      <w:r w:rsidR="00230904" w:rsidRPr="00230904">
        <w:rPr>
          <w:rFonts w:ascii="Times New Roman" w:hAnsi="Times New Roman"/>
          <w:sz w:val="24"/>
          <w:szCs w:val="24"/>
        </w:rPr>
        <w:t>“universal injunctions</w:t>
      </w:r>
      <w:r w:rsidR="00230904" w:rsidRPr="00230904">
        <w:rPr>
          <w:rFonts w:ascii="Times New Roman" w:hAnsi="Times New Roman"/>
          <w:bCs/>
          <w:sz w:val="24"/>
          <w:szCs w:val="24"/>
        </w:rPr>
        <w:t xml:space="preserve"> by </w:t>
      </w:r>
      <w:r w:rsidR="00230904" w:rsidRPr="00230904">
        <w:rPr>
          <w:rFonts w:ascii="Times New Roman" w:hAnsi="Times New Roman"/>
          <w:sz w:val="24"/>
          <w:szCs w:val="24"/>
        </w:rPr>
        <w:t>three Federal District Court</w:t>
      </w:r>
      <w:r w:rsidR="00230904" w:rsidRPr="00230904">
        <w:rPr>
          <w:rFonts w:ascii="Times New Roman" w:hAnsi="Times New Roman"/>
          <w:bCs/>
          <w:sz w:val="24"/>
          <w:szCs w:val="24"/>
        </w:rPr>
        <w:t xml:space="preserve"> judges</w:t>
      </w:r>
      <w:r w:rsidR="00230904" w:rsidRPr="00230904">
        <w:rPr>
          <w:rFonts w:ascii="Times New Roman" w:hAnsi="Times New Roman"/>
          <w:sz w:val="24"/>
          <w:szCs w:val="24"/>
        </w:rPr>
        <w:t xml:space="preserve"> in MA, WA, MA </w:t>
      </w:r>
      <w:r w:rsidR="00230904" w:rsidRPr="00230904">
        <w:rPr>
          <w:rFonts w:ascii="Times New Roman" w:hAnsi="Times New Roman"/>
          <w:bCs/>
          <w:sz w:val="24"/>
          <w:szCs w:val="24"/>
        </w:rPr>
        <w:t xml:space="preserve">in a case challenging President Trump’s executive order on </w:t>
      </w:r>
      <w:r w:rsidR="00230904" w:rsidRPr="00230904">
        <w:rPr>
          <w:rFonts w:ascii="Times New Roman" w:hAnsi="Times New Roman"/>
          <w:sz w:val="24"/>
          <w:szCs w:val="24"/>
        </w:rPr>
        <w:t xml:space="preserve">citizenship by birth in United States.  TRUMP, PRESIDENT OF THE UNITED STATES, ET AL. v. CASA, INC., ET AL. The Court (6 to 3) held that “These injunctions—known as ‘universal injunctions’—likely exceed the equitable authority that Congress has granted to federal courts. We therefore grant the Government’s applications to partially stay the injunctions entered below.”  </w:t>
      </w:r>
      <w:hyperlink r:id="rId677" w:history="1">
        <w:r w:rsidR="00230904" w:rsidRPr="00230904">
          <w:rPr>
            <w:rStyle w:val="Hyperlink"/>
            <w:rFonts w:ascii="Times New Roman" w:hAnsi="Times New Roman"/>
            <w:sz w:val="24"/>
            <w:szCs w:val="24"/>
          </w:rPr>
          <w:t>https://www.supremecourt.gov/opinions/24pdf/24a884_8n59.pdf</w:t>
        </w:r>
      </w:hyperlink>
    </w:p>
    <w:p w14:paraId="242F105A" w14:textId="77777777" w:rsidR="00230904" w:rsidRDefault="00230904" w:rsidP="00F326E5">
      <w:pPr>
        <w:pStyle w:val="NoSpacing"/>
        <w:rPr>
          <w:rFonts w:ascii="Arial Black" w:hAnsi="Arial Black"/>
          <w:sz w:val="28"/>
          <w:szCs w:val="28"/>
        </w:rPr>
      </w:pPr>
    </w:p>
    <w:p w14:paraId="1DF25F69" w14:textId="6A1B0F40" w:rsidR="00607129" w:rsidRDefault="00607129" w:rsidP="00607129">
      <w:pPr>
        <w:pStyle w:val="NoSpacing"/>
        <w:rPr>
          <w:rFonts w:ascii="Arial Black" w:hAnsi="Arial Black"/>
          <w:sz w:val="28"/>
          <w:szCs w:val="28"/>
        </w:rPr>
      </w:pPr>
      <w:r>
        <w:rPr>
          <w:rFonts w:ascii="Arial Black" w:hAnsi="Arial Black"/>
          <w:sz w:val="28"/>
          <w:szCs w:val="28"/>
        </w:rPr>
        <w:t>3-76</w:t>
      </w:r>
    </w:p>
    <w:p w14:paraId="1938DDBC" w14:textId="77777777" w:rsidR="00646EE3" w:rsidRDefault="00646EE3" w:rsidP="00F326E5">
      <w:pPr>
        <w:pStyle w:val="NoSpacing"/>
        <w:rPr>
          <w:rFonts w:ascii="Arial Black" w:hAnsi="Arial Black"/>
          <w:sz w:val="28"/>
          <w:szCs w:val="28"/>
        </w:rPr>
      </w:pPr>
    </w:p>
    <w:p w14:paraId="4CCFD00B" w14:textId="77777777" w:rsidR="00BA3C9D" w:rsidRPr="00780C34" w:rsidRDefault="00BA3C9D" w:rsidP="00BA3C9D">
      <w:pPr>
        <w:rPr>
          <w:rFonts w:ascii="Arial Black" w:hAnsi="Arial Black"/>
          <w:b/>
          <w:sz w:val="28"/>
          <w:szCs w:val="28"/>
        </w:rPr>
      </w:pPr>
      <w:r>
        <w:rPr>
          <w:rFonts w:ascii="Arial Black" w:hAnsi="Arial Black"/>
          <w:b/>
          <w:sz w:val="28"/>
          <w:szCs w:val="28"/>
        </w:rPr>
        <w:t>U.S. SUP. CT. – PLO CAN BE SUED USA – DEATHS IN ISRAEL</w:t>
      </w:r>
    </w:p>
    <w:p w14:paraId="5B6D10E2" w14:textId="77777777" w:rsidR="00BA3C9D" w:rsidRPr="008D0D51" w:rsidRDefault="00BA3C9D" w:rsidP="00BA3C9D">
      <w:pPr>
        <w:pStyle w:val="NoSpacing"/>
        <w:rPr>
          <w:rFonts w:ascii="Times New Roman" w:hAnsi="Times New Roman"/>
          <w:sz w:val="24"/>
          <w:szCs w:val="24"/>
        </w:rPr>
      </w:pPr>
      <w:r w:rsidRPr="008D0D51">
        <w:rPr>
          <w:rFonts w:ascii="Times New Roman" w:hAnsi="Times New Roman"/>
          <w:sz w:val="24"/>
          <w:szCs w:val="24"/>
        </w:rPr>
        <w:t xml:space="preserve">On June 20, 2025, in </w:t>
      </w:r>
      <w:r w:rsidRPr="008D0D51">
        <w:rPr>
          <w:rFonts w:ascii="Times New Roman" w:hAnsi="Times New Roman"/>
          <w:sz w:val="24"/>
          <w:szCs w:val="24"/>
          <w:u w:val="single"/>
        </w:rPr>
        <w:t>Miriam Fuld, et al. v. Palestine Liberation Organization, et al</w:t>
      </w:r>
      <w:r w:rsidRPr="008D0D51">
        <w:rPr>
          <w:rFonts w:ascii="Times New Roman" w:hAnsi="Times New Roman"/>
          <w:sz w:val="24"/>
          <w:szCs w:val="24"/>
        </w:rPr>
        <w:t>., the U.S. Supreme Court held (9 to 0) that Congress did not violate 5</w:t>
      </w:r>
      <w:r w:rsidRPr="008D0D51">
        <w:rPr>
          <w:rFonts w:ascii="Times New Roman" w:hAnsi="Times New Roman"/>
          <w:sz w:val="24"/>
          <w:szCs w:val="24"/>
          <w:vertAlign w:val="superscript"/>
        </w:rPr>
        <w:t>th</w:t>
      </w:r>
      <w:r w:rsidRPr="008D0D51">
        <w:rPr>
          <w:rFonts w:ascii="Times New Roman" w:hAnsi="Times New Roman"/>
          <w:sz w:val="24"/>
          <w:szCs w:val="24"/>
        </w:rPr>
        <w:t xml:space="preserve"> or 14</w:t>
      </w:r>
      <w:r w:rsidRPr="008D0D51">
        <w:rPr>
          <w:rFonts w:ascii="Times New Roman" w:hAnsi="Times New Roman"/>
          <w:sz w:val="24"/>
          <w:szCs w:val="24"/>
          <w:vertAlign w:val="superscript"/>
        </w:rPr>
        <w:t>th</w:t>
      </w:r>
      <w:r w:rsidRPr="008D0D51">
        <w:rPr>
          <w:rFonts w:ascii="Times New Roman" w:hAnsi="Times New Roman"/>
          <w:sz w:val="24"/>
          <w:szCs w:val="24"/>
        </w:rPr>
        <w:t xml:space="preserve"> Amendments when enacting statutes giving American citizens injured or killed in Israel the right to sue PLO in U.S. District Courts, with triple damages. The Court reinstated two lawsuits, both of which were dismissed by lower federal courts for “lack of personal jurisdiction” because the killings occurred in Israel, not in the United States.  THE COURT HELD: “Of </w:t>
      </w:r>
      <w:proofErr w:type="gramStart"/>
      <w:r w:rsidRPr="008D0D51">
        <w:rPr>
          <w:rFonts w:ascii="Times New Roman" w:hAnsi="Times New Roman"/>
          <w:sz w:val="24"/>
          <w:szCs w:val="24"/>
        </w:rPr>
        <w:t>particular salience</w:t>
      </w:r>
      <w:proofErr w:type="gramEnd"/>
      <w:r w:rsidRPr="008D0D51">
        <w:rPr>
          <w:rFonts w:ascii="Times New Roman" w:hAnsi="Times New Roman"/>
          <w:sz w:val="24"/>
          <w:szCs w:val="24"/>
        </w:rPr>
        <w:t xml:space="preserve"> here, we have also recognized the National Government’s interest in holding accountable those who perpetrate an ‘act of violence against’ U. S. nationals—who, even when physically outside our borders, remain ‘under the particular protection’ of American law.”  </w:t>
      </w:r>
      <w:hyperlink r:id="rId678" w:history="1">
        <w:r w:rsidRPr="008D0D51">
          <w:rPr>
            <w:rStyle w:val="Hyperlink"/>
            <w:rFonts w:ascii="Times New Roman" w:hAnsi="Times New Roman"/>
            <w:sz w:val="24"/>
            <w:szCs w:val="24"/>
          </w:rPr>
          <w:t>https://www.supremecourt.gov/opinions/24pdf/24-20_f2bh.pdf</w:t>
        </w:r>
      </w:hyperlink>
      <w:r w:rsidRPr="008D0D51">
        <w:rPr>
          <w:rFonts w:ascii="Times New Roman" w:hAnsi="Times New Roman"/>
          <w:sz w:val="24"/>
          <w:szCs w:val="24"/>
        </w:rPr>
        <w:t xml:space="preserve"> </w:t>
      </w:r>
    </w:p>
    <w:p w14:paraId="351FEEC9" w14:textId="77777777" w:rsidR="00646EE3" w:rsidRPr="008D0D51" w:rsidRDefault="00646EE3" w:rsidP="00F326E5">
      <w:pPr>
        <w:pStyle w:val="NoSpacing"/>
        <w:rPr>
          <w:rFonts w:ascii="Times New Roman" w:hAnsi="Times New Roman"/>
          <w:sz w:val="24"/>
          <w:szCs w:val="24"/>
        </w:rPr>
      </w:pPr>
    </w:p>
    <w:p w14:paraId="1C0C78CB" w14:textId="77777777" w:rsidR="008D0D51" w:rsidRPr="008D0D51" w:rsidRDefault="008D0D51" w:rsidP="008D0D51">
      <w:pPr>
        <w:pStyle w:val="NoSpacing"/>
        <w:rPr>
          <w:rFonts w:ascii="Times New Roman" w:hAnsi="Times New Roman"/>
          <w:b/>
          <w:bCs/>
          <w:sz w:val="24"/>
          <w:szCs w:val="24"/>
        </w:rPr>
      </w:pPr>
      <w:r w:rsidRPr="008D0D51">
        <w:rPr>
          <w:rFonts w:ascii="Times New Roman" w:hAnsi="Times New Roman"/>
          <w:b/>
          <w:sz w:val="24"/>
          <w:szCs w:val="24"/>
        </w:rPr>
        <w:t xml:space="preserve">Legal lesson learned:  </w:t>
      </w:r>
      <w:r w:rsidRPr="008D0D51">
        <w:rPr>
          <w:rFonts w:ascii="Times New Roman" w:hAnsi="Times New Roman"/>
          <w:b/>
          <w:bCs/>
          <w:sz w:val="24"/>
          <w:szCs w:val="24"/>
        </w:rPr>
        <w:t>C</w:t>
      </w:r>
      <w:r w:rsidRPr="008D0D51">
        <w:rPr>
          <w:rFonts w:ascii="Times New Roman" w:hAnsi="Times New Roman"/>
          <w:b/>
          <w:sz w:val="24"/>
          <w:szCs w:val="24"/>
        </w:rPr>
        <w:t>ollecting the damages</w:t>
      </w:r>
      <w:r w:rsidRPr="008D0D51">
        <w:rPr>
          <w:rFonts w:ascii="Times New Roman" w:hAnsi="Times New Roman"/>
          <w:b/>
          <w:bCs/>
          <w:sz w:val="24"/>
          <w:szCs w:val="24"/>
        </w:rPr>
        <w:t xml:space="preserve"> against PLO </w:t>
      </w:r>
      <w:r w:rsidRPr="008D0D51">
        <w:rPr>
          <w:rFonts w:ascii="Times New Roman" w:hAnsi="Times New Roman"/>
          <w:b/>
          <w:sz w:val="24"/>
          <w:szCs w:val="24"/>
        </w:rPr>
        <w:t xml:space="preserve">will still be a challenge unless PLO assets can be found in USA.  </w:t>
      </w:r>
    </w:p>
    <w:p w14:paraId="02373C2F" w14:textId="77777777" w:rsidR="008D0D51" w:rsidRDefault="008D0D51" w:rsidP="00F326E5">
      <w:pPr>
        <w:pStyle w:val="NoSpacing"/>
        <w:rPr>
          <w:rFonts w:ascii="Arial Black" w:hAnsi="Arial Black"/>
          <w:sz w:val="28"/>
          <w:szCs w:val="28"/>
        </w:rPr>
      </w:pPr>
    </w:p>
    <w:p w14:paraId="332B7912" w14:textId="77777777" w:rsidR="00646EE3" w:rsidRDefault="00646EE3" w:rsidP="00F326E5">
      <w:pPr>
        <w:pStyle w:val="NoSpacing"/>
        <w:rPr>
          <w:rFonts w:ascii="Arial Black" w:hAnsi="Arial Black"/>
          <w:sz w:val="28"/>
          <w:szCs w:val="28"/>
        </w:rPr>
      </w:pPr>
    </w:p>
    <w:p w14:paraId="116752D3" w14:textId="2518601A" w:rsidR="00F30E91" w:rsidRDefault="00043E2B" w:rsidP="00F326E5">
      <w:pPr>
        <w:pStyle w:val="NoSpacing"/>
        <w:rPr>
          <w:rFonts w:ascii="Arial Black" w:hAnsi="Arial Black"/>
          <w:sz w:val="28"/>
          <w:szCs w:val="28"/>
        </w:rPr>
      </w:pPr>
      <w:r>
        <w:rPr>
          <w:rFonts w:ascii="Arial Black" w:hAnsi="Arial Black"/>
          <w:sz w:val="28"/>
          <w:szCs w:val="28"/>
        </w:rPr>
        <w:t>3-75</w:t>
      </w:r>
    </w:p>
    <w:p w14:paraId="0BF8DDB4" w14:textId="77777777" w:rsidR="00043E2B" w:rsidRDefault="00043E2B" w:rsidP="00F326E5">
      <w:pPr>
        <w:pStyle w:val="NoSpacing"/>
        <w:rPr>
          <w:rFonts w:ascii="Arial Black" w:hAnsi="Arial Black"/>
          <w:sz w:val="28"/>
          <w:szCs w:val="28"/>
        </w:rPr>
      </w:pPr>
    </w:p>
    <w:p w14:paraId="66CEB8BC" w14:textId="77777777" w:rsidR="00043E2B" w:rsidRPr="006F2B87" w:rsidRDefault="00043E2B" w:rsidP="00043E2B">
      <w:pPr>
        <w:pStyle w:val="NoSpacing"/>
        <w:rPr>
          <w:rFonts w:ascii="Arial Black" w:hAnsi="Arial Black"/>
          <w:bCs/>
          <w:sz w:val="28"/>
          <w:szCs w:val="28"/>
        </w:rPr>
      </w:pPr>
      <w:r w:rsidRPr="006F2B87">
        <w:rPr>
          <w:rFonts w:ascii="Arial Black" w:hAnsi="Arial Black"/>
          <w:sz w:val="28"/>
          <w:szCs w:val="28"/>
        </w:rPr>
        <w:t>RI: 20 STATES – FEMA GRANTS</w:t>
      </w:r>
      <w:r>
        <w:rPr>
          <w:rFonts w:ascii="Arial Black" w:hAnsi="Arial Black"/>
          <w:bCs/>
          <w:sz w:val="28"/>
          <w:szCs w:val="28"/>
        </w:rPr>
        <w:t xml:space="preserve"> -</w:t>
      </w:r>
      <w:r w:rsidRPr="006F2B87">
        <w:rPr>
          <w:rFonts w:ascii="Arial Black" w:hAnsi="Arial Black"/>
          <w:sz w:val="28"/>
          <w:szCs w:val="28"/>
        </w:rPr>
        <w:t xml:space="preserve"> “HOSTAGE” </w:t>
      </w:r>
      <w:r>
        <w:rPr>
          <w:rFonts w:ascii="Arial Black" w:hAnsi="Arial Black"/>
          <w:bCs/>
          <w:sz w:val="28"/>
          <w:szCs w:val="28"/>
        </w:rPr>
        <w:t>IMMIGRATION</w:t>
      </w:r>
    </w:p>
    <w:p w14:paraId="616EAEA7" w14:textId="185FF7E7" w:rsidR="00043E2B" w:rsidRPr="00C8032B" w:rsidRDefault="00C8032B" w:rsidP="00F326E5">
      <w:pPr>
        <w:pStyle w:val="NoSpacing"/>
        <w:rPr>
          <w:rFonts w:ascii="Times New Roman" w:hAnsi="Times New Roman"/>
          <w:sz w:val="24"/>
          <w:szCs w:val="24"/>
        </w:rPr>
      </w:pPr>
      <w:r w:rsidRPr="00C8032B">
        <w:rPr>
          <w:rFonts w:ascii="Times New Roman" w:hAnsi="Times New Roman"/>
          <w:sz w:val="24"/>
          <w:szCs w:val="24"/>
        </w:rPr>
        <w:t xml:space="preserve">On May 13, 2025, in </w:t>
      </w:r>
      <w:r w:rsidRPr="00C8032B">
        <w:rPr>
          <w:rFonts w:ascii="Times New Roman" w:hAnsi="Times New Roman"/>
          <w:sz w:val="24"/>
          <w:szCs w:val="24"/>
          <w:u w:val="single"/>
        </w:rPr>
        <w:t>State of Illinois, et al. v. FEMA, et al</w:t>
      </w:r>
      <w:r w:rsidRPr="00C8032B">
        <w:rPr>
          <w:rFonts w:ascii="Times New Roman" w:hAnsi="Times New Roman"/>
          <w:sz w:val="24"/>
          <w:szCs w:val="24"/>
        </w:rPr>
        <w:t xml:space="preserve">., twenty states filed a lawsuit in the United States District Court for District of Rhode Island, seeking a declaratory judgment that U.S. Department of Homeland Security cannot deny FEMA grants unless states agree to “Civil Immigration Conditions.” The states allege: “they seek to require many States to abandon well-considered policies that advance public safety by promoting trust between law enforcement and immigrant communities as a condition on continued funding of emergency management programs unrelated to immigration enforcement.” </w:t>
      </w:r>
      <w:hyperlink r:id="rId679" w:history="1">
        <w:r w:rsidRPr="00C8032B">
          <w:rPr>
            <w:rStyle w:val="Hyperlink"/>
            <w:rFonts w:ascii="Times New Roman" w:hAnsi="Times New Roman"/>
            <w:sz w:val="24"/>
            <w:szCs w:val="24"/>
          </w:rPr>
          <w:t>file:///C:/Users/lawre/AppData/Local/Microsoft/Windows/INetCache/Content.Outlook/PSWGR3E2/state-of-illinois-et-al-v-federal-emergency-management-agency-et-al-complaint-2025.pdf</w:t>
        </w:r>
      </w:hyperlink>
    </w:p>
    <w:p w14:paraId="240B7686" w14:textId="77777777" w:rsidR="00043E2B" w:rsidRPr="00C8032B" w:rsidRDefault="00043E2B" w:rsidP="00F326E5">
      <w:pPr>
        <w:pStyle w:val="NoSpacing"/>
        <w:rPr>
          <w:rFonts w:ascii="Times New Roman" w:hAnsi="Times New Roman"/>
          <w:sz w:val="24"/>
          <w:szCs w:val="24"/>
        </w:rPr>
      </w:pPr>
    </w:p>
    <w:p w14:paraId="555FF66F" w14:textId="77777777" w:rsidR="00D17755" w:rsidRPr="00D17755" w:rsidRDefault="00D17755" w:rsidP="00D17755">
      <w:pPr>
        <w:pStyle w:val="NoSpacing"/>
        <w:rPr>
          <w:rFonts w:ascii="Times New Roman" w:hAnsi="Times New Roman"/>
          <w:b/>
          <w:bCs/>
          <w:sz w:val="24"/>
          <w:szCs w:val="24"/>
        </w:rPr>
      </w:pPr>
      <w:r w:rsidRPr="00D17755">
        <w:rPr>
          <w:rFonts w:ascii="Times New Roman" w:hAnsi="Times New Roman"/>
          <w:b/>
          <w:sz w:val="24"/>
          <w:szCs w:val="24"/>
        </w:rPr>
        <w:t xml:space="preserve">Legal Lesson Learned: The case should be closely followed by all those seeking FEMA grants. </w:t>
      </w:r>
    </w:p>
    <w:p w14:paraId="72F07C95" w14:textId="77777777" w:rsidR="00C8032B" w:rsidRPr="00D17755" w:rsidRDefault="00C8032B" w:rsidP="00F326E5">
      <w:pPr>
        <w:pStyle w:val="NoSpacing"/>
        <w:rPr>
          <w:rFonts w:ascii="Times New Roman" w:hAnsi="Times New Roman"/>
          <w:sz w:val="24"/>
          <w:szCs w:val="24"/>
        </w:rPr>
      </w:pPr>
    </w:p>
    <w:p w14:paraId="025FFEAB" w14:textId="77777777" w:rsidR="00C8032B" w:rsidRDefault="00C8032B" w:rsidP="00F326E5">
      <w:pPr>
        <w:pStyle w:val="NoSpacing"/>
        <w:rPr>
          <w:rFonts w:ascii="Arial Black" w:hAnsi="Arial Black"/>
          <w:sz w:val="28"/>
          <w:szCs w:val="28"/>
        </w:rPr>
      </w:pPr>
    </w:p>
    <w:p w14:paraId="7EB68F6D" w14:textId="0EE8570B" w:rsidR="006E3103" w:rsidRDefault="006E3103" w:rsidP="00F326E5">
      <w:pPr>
        <w:pStyle w:val="NoSpacing"/>
        <w:rPr>
          <w:rFonts w:ascii="Arial Black" w:hAnsi="Arial Black"/>
          <w:sz w:val="28"/>
          <w:szCs w:val="28"/>
        </w:rPr>
      </w:pPr>
      <w:r>
        <w:rPr>
          <w:rFonts w:ascii="Arial Black" w:hAnsi="Arial Black"/>
          <w:sz w:val="28"/>
          <w:szCs w:val="28"/>
        </w:rPr>
        <w:t>3-74</w:t>
      </w:r>
    </w:p>
    <w:p w14:paraId="49957BD5" w14:textId="77777777" w:rsidR="006E3103" w:rsidRDefault="006E3103" w:rsidP="00F326E5">
      <w:pPr>
        <w:pStyle w:val="NoSpacing"/>
        <w:rPr>
          <w:rFonts w:ascii="Arial Black" w:hAnsi="Arial Black"/>
          <w:sz w:val="28"/>
          <w:szCs w:val="28"/>
        </w:rPr>
      </w:pPr>
    </w:p>
    <w:p w14:paraId="4AE51849" w14:textId="77777777" w:rsidR="008D4905" w:rsidRDefault="008D4905" w:rsidP="008D4905">
      <w:pPr>
        <w:rPr>
          <w:b/>
        </w:rPr>
      </w:pPr>
      <w:r>
        <w:rPr>
          <w:rFonts w:ascii="Arial Black" w:hAnsi="Arial Black"/>
          <w:b/>
          <w:sz w:val="28"/>
          <w:szCs w:val="28"/>
        </w:rPr>
        <w:t>TX: VENEZUELAN ALIENS - DEPORTATIONS INJUNCTION</w:t>
      </w:r>
    </w:p>
    <w:p w14:paraId="51E19264" w14:textId="77777777" w:rsidR="008D4905" w:rsidRPr="008D4905" w:rsidRDefault="008D4905" w:rsidP="008D4905">
      <w:pPr>
        <w:pStyle w:val="NoSpacing"/>
        <w:rPr>
          <w:rFonts w:ascii="Times New Roman" w:hAnsi="Times New Roman"/>
          <w:sz w:val="24"/>
          <w:szCs w:val="24"/>
        </w:rPr>
      </w:pPr>
      <w:r w:rsidRPr="008D4905">
        <w:rPr>
          <w:rFonts w:ascii="Times New Roman" w:hAnsi="Times New Roman"/>
          <w:sz w:val="24"/>
          <w:szCs w:val="24"/>
        </w:rPr>
        <w:lastRenderedPageBreak/>
        <w:t xml:space="preserve">On May 1, 2025, in </w:t>
      </w:r>
      <w:r w:rsidRPr="008D4905">
        <w:rPr>
          <w:rFonts w:ascii="Times New Roman" w:hAnsi="Times New Roman"/>
          <w:sz w:val="24"/>
          <w:szCs w:val="24"/>
          <w:u w:val="single"/>
        </w:rPr>
        <w:t>J.A.V., et al. v. Donal J. Trump, et al.</w:t>
      </w:r>
      <w:r w:rsidRPr="008D4905">
        <w:rPr>
          <w:rFonts w:ascii="Times New Roman" w:hAnsi="Times New Roman"/>
          <w:sz w:val="24"/>
          <w:szCs w:val="24"/>
        </w:rPr>
        <w:t xml:space="preserve">, U. S. District Court Judge Fernando Rodriguez, Jr., United States District Court for Southern District of Texas, Brownsville Division, held that President does not have the lawful authority under the 1798 Alien Enemies Act (“AEA”) to deport Venezuelan aliens without a hearing and order by an Immigration judge.  </w:t>
      </w:r>
      <w:hyperlink r:id="rId680" w:history="1">
        <w:r w:rsidRPr="008D4905">
          <w:rPr>
            <w:rStyle w:val="Hyperlink"/>
            <w:rFonts w:ascii="Times New Roman" w:hAnsi="Times New Roman"/>
            <w:sz w:val="24"/>
            <w:szCs w:val="24"/>
          </w:rPr>
          <w:t>https://d3i6fh83elv35t.cloudfront.net/static/2025/05/gov.uscourts.txsd_.2000771.58.0_1.pdf</w:t>
        </w:r>
      </w:hyperlink>
      <w:r w:rsidRPr="008D4905">
        <w:rPr>
          <w:rFonts w:ascii="Times New Roman" w:hAnsi="Times New Roman"/>
          <w:sz w:val="24"/>
          <w:szCs w:val="24"/>
        </w:rPr>
        <w:t xml:space="preserve"> </w:t>
      </w:r>
    </w:p>
    <w:p w14:paraId="55B9F96B" w14:textId="77777777" w:rsidR="008D4905" w:rsidRPr="008D4905" w:rsidRDefault="008D4905" w:rsidP="008D4905">
      <w:pPr>
        <w:pStyle w:val="NoSpacing"/>
        <w:rPr>
          <w:rFonts w:ascii="Times New Roman" w:hAnsi="Times New Roman"/>
          <w:sz w:val="24"/>
          <w:szCs w:val="24"/>
        </w:rPr>
      </w:pPr>
    </w:p>
    <w:p w14:paraId="4392730C" w14:textId="77777777" w:rsidR="002450F2" w:rsidRPr="002450F2" w:rsidRDefault="002450F2" w:rsidP="002450F2">
      <w:pPr>
        <w:rPr>
          <w:rFonts w:ascii="Times New Roman" w:hAnsi="Times New Roman"/>
          <w:b/>
          <w:bCs/>
          <w:sz w:val="24"/>
          <w:szCs w:val="24"/>
        </w:rPr>
      </w:pPr>
      <w:r w:rsidRPr="002450F2">
        <w:rPr>
          <w:rFonts w:ascii="Times New Roman" w:hAnsi="Times New Roman"/>
          <w:b/>
          <w:sz w:val="24"/>
          <w:szCs w:val="24"/>
        </w:rPr>
        <w:t>Legal Lesson Learned: The Trump Administration will likely appeal this decision to the 5</w:t>
      </w:r>
      <w:r w:rsidRPr="002450F2">
        <w:rPr>
          <w:rFonts w:ascii="Times New Roman" w:hAnsi="Times New Roman"/>
          <w:b/>
          <w:sz w:val="24"/>
          <w:szCs w:val="24"/>
          <w:vertAlign w:val="superscript"/>
        </w:rPr>
        <w:t>th</w:t>
      </w:r>
      <w:r w:rsidRPr="002450F2">
        <w:rPr>
          <w:rFonts w:ascii="Times New Roman" w:hAnsi="Times New Roman"/>
          <w:b/>
          <w:sz w:val="24"/>
          <w:szCs w:val="24"/>
        </w:rPr>
        <w:t xml:space="preserve"> Circuit Court of Appeals in New Orleans</w:t>
      </w:r>
      <w:r w:rsidRPr="002450F2">
        <w:rPr>
          <w:rFonts w:ascii="Times New Roman" w:hAnsi="Times New Roman"/>
          <w:b/>
          <w:bCs/>
          <w:sz w:val="24"/>
          <w:szCs w:val="24"/>
        </w:rPr>
        <w:t xml:space="preserve"> </w:t>
      </w:r>
      <w:r w:rsidRPr="002450F2">
        <w:rPr>
          <w:rFonts w:ascii="Times New Roman" w:hAnsi="Times New Roman"/>
          <w:b/>
          <w:sz w:val="24"/>
          <w:szCs w:val="24"/>
        </w:rPr>
        <w:t xml:space="preserve">and ultimately </w:t>
      </w:r>
      <w:r w:rsidRPr="002450F2">
        <w:rPr>
          <w:rFonts w:ascii="Times New Roman" w:hAnsi="Times New Roman"/>
          <w:b/>
          <w:bCs/>
          <w:sz w:val="24"/>
          <w:szCs w:val="24"/>
        </w:rPr>
        <w:t xml:space="preserve">may </w:t>
      </w:r>
      <w:r w:rsidRPr="002450F2">
        <w:rPr>
          <w:rFonts w:ascii="Times New Roman" w:hAnsi="Times New Roman"/>
          <w:b/>
          <w:sz w:val="24"/>
          <w:szCs w:val="24"/>
        </w:rPr>
        <w:t xml:space="preserve">seek review by the U.S. Supreme Court.  </w:t>
      </w:r>
    </w:p>
    <w:p w14:paraId="645459B7" w14:textId="77777777" w:rsidR="002450F2" w:rsidRPr="002450F2" w:rsidRDefault="002450F2" w:rsidP="002450F2">
      <w:pPr>
        <w:pStyle w:val="NoSpacing"/>
        <w:ind w:left="720"/>
        <w:rPr>
          <w:rFonts w:ascii="Times New Roman" w:hAnsi="Times New Roman"/>
          <w:sz w:val="24"/>
          <w:szCs w:val="24"/>
        </w:rPr>
      </w:pPr>
      <w:r w:rsidRPr="002450F2">
        <w:rPr>
          <w:rFonts w:ascii="Times New Roman" w:hAnsi="Times New Roman"/>
          <w:sz w:val="24"/>
          <w:szCs w:val="24"/>
        </w:rPr>
        <w:t xml:space="preserve">Note: </w:t>
      </w:r>
    </w:p>
    <w:p w14:paraId="1302B0D4" w14:textId="77777777" w:rsidR="002450F2" w:rsidRPr="002450F2" w:rsidRDefault="002450F2" w:rsidP="002450F2">
      <w:pPr>
        <w:pStyle w:val="NoSpacing"/>
        <w:ind w:left="720"/>
        <w:rPr>
          <w:rFonts w:ascii="Times New Roman" w:hAnsi="Times New Roman"/>
          <w:sz w:val="24"/>
          <w:szCs w:val="24"/>
        </w:rPr>
      </w:pPr>
    </w:p>
    <w:p w14:paraId="69466558" w14:textId="77777777" w:rsidR="002450F2" w:rsidRPr="002450F2" w:rsidRDefault="002450F2" w:rsidP="002450F2">
      <w:pPr>
        <w:pStyle w:val="NoSpacing"/>
        <w:numPr>
          <w:ilvl w:val="0"/>
          <w:numId w:val="26"/>
        </w:numPr>
        <w:rPr>
          <w:rFonts w:ascii="Times New Roman" w:hAnsi="Times New Roman"/>
          <w:sz w:val="24"/>
          <w:szCs w:val="24"/>
        </w:rPr>
      </w:pPr>
      <w:r w:rsidRPr="002450F2">
        <w:rPr>
          <w:rFonts w:ascii="Times New Roman" w:hAnsi="Times New Roman"/>
          <w:sz w:val="24"/>
          <w:szCs w:val="24"/>
        </w:rPr>
        <w:t xml:space="preserve">Judge Rodriguez confirmed that deportations can continue under the Immigration and Nationality Act, after a hearing and order by an Immigration judge.  Judge Rodriguez wrote: “To the extent that J.A.V., J.G.G., and W.G.H., or any member of the certified class, have been detained or are detained in the future pursuant to the Immigration and Nationality Act, they have not sought and do not obtain any relief. In addition, the conclusions of the Court do not affect Respondents’ ability to continue removal proceedings or enforcement of any final orders of removal issued against J.A.V., J.G.G., and W.G.H, or against any member of the certified class, under the Immigration and Nationality Act.” Read this article: </w:t>
      </w:r>
      <w:hyperlink r:id="rId681" w:history="1">
        <w:r w:rsidRPr="002450F2">
          <w:rPr>
            <w:rStyle w:val="Hyperlink"/>
            <w:rFonts w:ascii="Times New Roman" w:hAnsi="Times New Roman"/>
            <w:sz w:val="24"/>
            <w:szCs w:val="24"/>
          </w:rPr>
          <w:t>https://www.pbs.org/newshour/politics/what-is-the-legal-process-for-deporting-u-s-green-card-and-visa-holders</w:t>
        </w:r>
      </w:hyperlink>
      <w:r w:rsidRPr="002450F2">
        <w:rPr>
          <w:rFonts w:ascii="Times New Roman" w:hAnsi="Times New Roman"/>
          <w:sz w:val="24"/>
          <w:szCs w:val="24"/>
        </w:rPr>
        <w:t xml:space="preserve"> </w:t>
      </w:r>
    </w:p>
    <w:p w14:paraId="4CAAC0E0" w14:textId="77777777" w:rsidR="002450F2" w:rsidRPr="002450F2" w:rsidRDefault="002450F2" w:rsidP="002450F2">
      <w:pPr>
        <w:pStyle w:val="ListParagraph"/>
        <w:rPr>
          <w:rFonts w:ascii="Times New Roman" w:hAnsi="Times New Roman" w:cs="Times New Roman"/>
          <w:sz w:val="24"/>
          <w:szCs w:val="24"/>
        </w:rPr>
      </w:pPr>
    </w:p>
    <w:p w14:paraId="4DB63E65" w14:textId="77777777" w:rsidR="002450F2" w:rsidRPr="002450F2" w:rsidRDefault="002450F2" w:rsidP="002450F2">
      <w:pPr>
        <w:pStyle w:val="NoSpacing"/>
        <w:numPr>
          <w:ilvl w:val="0"/>
          <w:numId w:val="26"/>
        </w:numPr>
        <w:rPr>
          <w:rFonts w:ascii="Times New Roman" w:hAnsi="Times New Roman"/>
          <w:sz w:val="24"/>
          <w:szCs w:val="24"/>
        </w:rPr>
      </w:pPr>
      <w:r w:rsidRPr="002450F2">
        <w:rPr>
          <w:rFonts w:ascii="Times New Roman" w:hAnsi="Times New Roman"/>
          <w:sz w:val="24"/>
          <w:szCs w:val="24"/>
        </w:rPr>
        <w:t xml:space="preserve">See April 10, </w:t>
      </w:r>
      <w:proofErr w:type="gramStart"/>
      <w:r w:rsidRPr="002450F2">
        <w:rPr>
          <w:rFonts w:ascii="Times New Roman" w:hAnsi="Times New Roman"/>
          <w:sz w:val="24"/>
          <w:szCs w:val="24"/>
        </w:rPr>
        <w:t>2025</w:t>
      </w:r>
      <w:proofErr w:type="gramEnd"/>
      <w:r w:rsidRPr="002450F2">
        <w:rPr>
          <w:rFonts w:ascii="Times New Roman" w:hAnsi="Times New Roman"/>
          <w:sz w:val="24"/>
          <w:szCs w:val="24"/>
        </w:rPr>
        <w:t xml:space="preserve"> Statement by U.S. Supreme Court Justice Sonia Sotomayor in another case challenging removal of alien: </w:t>
      </w:r>
      <w:proofErr w:type="spellStart"/>
      <w:r w:rsidRPr="002450F2">
        <w:rPr>
          <w:rFonts w:ascii="Times New Roman" w:hAnsi="Times New Roman"/>
          <w:sz w:val="24"/>
          <w:szCs w:val="24"/>
        </w:rPr>
        <w:t>Kilmar</w:t>
      </w:r>
      <w:proofErr w:type="spellEnd"/>
      <w:r w:rsidRPr="002450F2">
        <w:rPr>
          <w:rFonts w:ascii="Times New Roman" w:hAnsi="Times New Roman"/>
          <w:sz w:val="24"/>
          <w:szCs w:val="24"/>
        </w:rPr>
        <w:t xml:space="preserve"> Armando Abrego Garcia.  “United States removed </w:t>
      </w:r>
      <w:proofErr w:type="spellStart"/>
      <w:r w:rsidRPr="002450F2">
        <w:rPr>
          <w:rFonts w:ascii="Times New Roman" w:hAnsi="Times New Roman"/>
          <w:sz w:val="24"/>
          <w:szCs w:val="24"/>
        </w:rPr>
        <w:t>Kilmar</w:t>
      </w:r>
      <w:proofErr w:type="spellEnd"/>
      <w:r w:rsidRPr="002450F2">
        <w:rPr>
          <w:rFonts w:ascii="Times New Roman" w:hAnsi="Times New Roman"/>
          <w:sz w:val="24"/>
          <w:szCs w:val="24"/>
        </w:rPr>
        <w:t xml:space="preserve"> Armando Abrego Garcia from the United States to El Salvador, where he is currently detained in the Center for Terrorism Confinement (CECOT). The United States acknowledges that Abrego Garcia was subject to a withholding order forbidding his removal to El Salvador, and that the removal to El Salvador was therefore illegal. *** In the proceedings on remand, the District Court should continue to ensure that the Government lives up to its obligations to follow the law.” </w:t>
      </w:r>
      <w:hyperlink r:id="rId682" w:history="1">
        <w:r w:rsidRPr="002450F2">
          <w:rPr>
            <w:rStyle w:val="Hyperlink"/>
            <w:rFonts w:ascii="Times New Roman" w:hAnsi="Times New Roman"/>
            <w:sz w:val="24"/>
            <w:szCs w:val="24"/>
          </w:rPr>
          <w:t>https://www.supremecourt.gov/opinions/24pdf/24a949_lkhn.pdf</w:t>
        </w:r>
      </w:hyperlink>
      <w:r w:rsidRPr="002450F2">
        <w:rPr>
          <w:rFonts w:ascii="Times New Roman" w:hAnsi="Times New Roman"/>
          <w:sz w:val="24"/>
          <w:szCs w:val="24"/>
        </w:rPr>
        <w:t xml:space="preserve"> </w:t>
      </w:r>
    </w:p>
    <w:p w14:paraId="63848D8B" w14:textId="77777777" w:rsidR="002450F2" w:rsidRPr="002450F2" w:rsidRDefault="002450F2" w:rsidP="002450F2">
      <w:pPr>
        <w:pStyle w:val="NoSpacing"/>
        <w:rPr>
          <w:rFonts w:ascii="Times New Roman" w:hAnsi="Times New Roman"/>
          <w:sz w:val="24"/>
          <w:szCs w:val="24"/>
        </w:rPr>
      </w:pPr>
    </w:p>
    <w:p w14:paraId="6F36FA11" w14:textId="77777777" w:rsidR="002450F2" w:rsidRPr="002450F2" w:rsidRDefault="002450F2" w:rsidP="002450F2">
      <w:pPr>
        <w:pStyle w:val="NoSpacing"/>
        <w:numPr>
          <w:ilvl w:val="0"/>
          <w:numId w:val="26"/>
        </w:numPr>
        <w:rPr>
          <w:rFonts w:ascii="Times New Roman" w:hAnsi="Times New Roman"/>
          <w:sz w:val="24"/>
          <w:szCs w:val="24"/>
        </w:rPr>
      </w:pPr>
      <w:r w:rsidRPr="002450F2">
        <w:rPr>
          <w:rFonts w:ascii="Times New Roman" w:hAnsi="Times New Roman"/>
          <w:sz w:val="24"/>
          <w:szCs w:val="24"/>
        </w:rPr>
        <w:t>Judge Rodriguez was appointed by President Trump during his first Term and assumed office on June 12, 2018.</w:t>
      </w:r>
    </w:p>
    <w:p w14:paraId="058A081E" w14:textId="77777777" w:rsidR="006E3103" w:rsidRDefault="006E3103" w:rsidP="00F326E5">
      <w:pPr>
        <w:pStyle w:val="NoSpacing"/>
        <w:rPr>
          <w:rFonts w:ascii="Arial Black" w:hAnsi="Arial Black"/>
          <w:sz w:val="28"/>
          <w:szCs w:val="28"/>
        </w:rPr>
      </w:pPr>
    </w:p>
    <w:p w14:paraId="425E149F" w14:textId="77777777" w:rsidR="006E3103" w:rsidRDefault="006E3103" w:rsidP="00F326E5">
      <w:pPr>
        <w:pStyle w:val="NoSpacing"/>
        <w:rPr>
          <w:rFonts w:ascii="Arial Black" w:hAnsi="Arial Black"/>
          <w:sz w:val="28"/>
          <w:szCs w:val="28"/>
        </w:rPr>
      </w:pPr>
    </w:p>
    <w:p w14:paraId="5C147FC4" w14:textId="3CA934DF" w:rsidR="00FB7D37" w:rsidRDefault="00032BF1" w:rsidP="00F326E5">
      <w:pPr>
        <w:pStyle w:val="NoSpacing"/>
        <w:rPr>
          <w:rFonts w:ascii="Arial Black" w:hAnsi="Arial Black"/>
          <w:sz w:val="28"/>
          <w:szCs w:val="28"/>
        </w:rPr>
      </w:pPr>
      <w:r>
        <w:rPr>
          <w:rFonts w:ascii="Arial Black" w:hAnsi="Arial Black"/>
          <w:sz w:val="28"/>
          <w:szCs w:val="28"/>
        </w:rPr>
        <w:t>3-73</w:t>
      </w:r>
    </w:p>
    <w:p w14:paraId="57CD5303" w14:textId="77777777" w:rsidR="00032BF1" w:rsidRDefault="00032BF1" w:rsidP="00F326E5">
      <w:pPr>
        <w:pStyle w:val="NoSpacing"/>
        <w:rPr>
          <w:rFonts w:ascii="Arial Black" w:hAnsi="Arial Black"/>
          <w:sz w:val="28"/>
          <w:szCs w:val="28"/>
        </w:rPr>
      </w:pPr>
    </w:p>
    <w:p w14:paraId="7ADF4968" w14:textId="77777777" w:rsidR="00DD3267" w:rsidRDefault="00DD3267" w:rsidP="00DD3267">
      <w:pPr>
        <w:pStyle w:val="NoSpacing"/>
        <w:rPr>
          <w:rFonts w:ascii="Arial Black" w:hAnsi="Arial Black"/>
          <w:bCs/>
          <w:sz w:val="28"/>
          <w:szCs w:val="28"/>
        </w:rPr>
      </w:pPr>
      <w:r>
        <w:rPr>
          <w:rFonts w:ascii="Arial Black" w:hAnsi="Arial Black"/>
          <w:sz w:val="28"/>
          <w:szCs w:val="28"/>
        </w:rPr>
        <w:t>U.S. SUP. CT:  “GHOST GUNS” – FRAMES / SERIAL NUMBERS</w:t>
      </w:r>
    </w:p>
    <w:p w14:paraId="63102279" w14:textId="77777777" w:rsidR="00DD3267" w:rsidRDefault="00DD3267" w:rsidP="00DD3267">
      <w:pPr>
        <w:pStyle w:val="NoSpacing"/>
        <w:rPr>
          <w:bCs/>
        </w:rPr>
      </w:pPr>
    </w:p>
    <w:p w14:paraId="7D077A5C" w14:textId="77777777" w:rsidR="00DD3267" w:rsidRPr="005A324A" w:rsidRDefault="00DD3267" w:rsidP="00DD3267">
      <w:pPr>
        <w:pStyle w:val="NoSpacing"/>
        <w:rPr>
          <w:rFonts w:ascii="Times New Roman" w:hAnsi="Times New Roman"/>
          <w:bCs/>
          <w:sz w:val="24"/>
          <w:szCs w:val="24"/>
        </w:rPr>
      </w:pPr>
      <w:r w:rsidRPr="005A324A">
        <w:rPr>
          <w:rFonts w:ascii="Times New Roman" w:hAnsi="Times New Roman"/>
          <w:sz w:val="24"/>
          <w:szCs w:val="24"/>
        </w:rPr>
        <w:t xml:space="preserve">On March 26, 2025, in </w:t>
      </w:r>
      <w:r w:rsidRPr="005A324A">
        <w:rPr>
          <w:rFonts w:ascii="Times New Roman" w:hAnsi="Times New Roman"/>
          <w:sz w:val="24"/>
          <w:szCs w:val="24"/>
          <w:u w:val="single"/>
        </w:rPr>
        <w:t xml:space="preserve">Bondi, Attorney General v. </w:t>
      </w:r>
      <w:proofErr w:type="spellStart"/>
      <w:r w:rsidRPr="005A324A">
        <w:rPr>
          <w:rFonts w:ascii="Times New Roman" w:hAnsi="Times New Roman"/>
          <w:sz w:val="24"/>
          <w:szCs w:val="24"/>
          <w:u w:val="single"/>
        </w:rPr>
        <w:t>Vanderstok</w:t>
      </w:r>
      <w:proofErr w:type="spellEnd"/>
      <w:r w:rsidRPr="005A324A">
        <w:rPr>
          <w:rFonts w:ascii="Times New Roman" w:hAnsi="Times New Roman"/>
          <w:sz w:val="24"/>
          <w:szCs w:val="24"/>
          <w:u w:val="single"/>
        </w:rPr>
        <w:t>, et al</w:t>
      </w:r>
      <w:r w:rsidRPr="005A324A">
        <w:rPr>
          <w:rFonts w:ascii="Times New Roman" w:hAnsi="Times New Roman"/>
          <w:sz w:val="24"/>
          <w:szCs w:val="24"/>
        </w:rPr>
        <w:t xml:space="preserve">., the U.S. Supreme Court held (7 to 2) that the ATF may regulate the sale of parts of manufactured firearms (“ghost guns”).  </w:t>
      </w:r>
    </w:p>
    <w:p w14:paraId="22EE05AC" w14:textId="77777777" w:rsidR="00DD3267" w:rsidRPr="005A324A" w:rsidRDefault="00DD3267" w:rsidP="00DD3267">
      <w:pPr>
        <w:pStyle w:val="NoSpacing"/>
        <w:rPr>
          <w:rFonts w:ascii="Times New Roman" w:hAnsi="Times New Roman"/>
          <w:bCs/>
          <w:sz w:val="24"/>
          <w:szCs w:val="24"/>
        </w:rPr>
      </w:pPr>
      <w:r w:rsidRPr="005A324A">
        <w:rPr>
          <w:rFonts w:ascii="Times New Roman" w:hAnsi="Times New Roman"/>
          <w:sz w:val="24"/>
          <w:szCs w:val="24"/>
        </w:rPr>
        <w:t>“In 2022, the Bureau of Alcohol, Tobacco, Firearms and Explosives adopted a new rule designed to combat the proliferation of ghost guns…. The second relevant aspect of the agency’s new rule concerns a key building block of almost any firearm: its frame or receiver. Under subsection (B) of §921(a)(3</w:t>
      </w:r>
      <w:proofErr w:type="gramStart"/>
      <w:r w:rsidRPr="005A324A">
        <w:rPr>
          <w:rFonts w:ascii="Times New Roman" w:hAnsi="Times New Roman"/>
          <w:sz w:val="24"/>
          <w:szCs w:val="24"/>
        </w:rPr>
        <w:t>), ‘</w:t>
      </w:r>
      <w:proofErr w:type="gramEnd"/>
      <w:r w:rsidRPr="005A324A">
        <w:rPr>
          <w:rFonts w:ascii="Times New Roman" w:hAnsi="Times New Roman"/>
          <w:sz w:val="24"/>
          <w:szCs w:val="24"/>
        </w:rPr>
        <w:t xml:space="preserve">the frame or receiver of any such weapon” covered by subsection (A) is itself treated as a ‘firearm.’ … The GCA [Gun Control Act of 1968] embraces, and thus permits ATF to regulate, some weapon parts kits and unfinished frames or receivers, including those we have discussed. Because the court of appeals held otherwise, its judgment is reversed, and the case is remanded for further proceedings consistent with this </w:t>
      </w:r>
      <w:proofErr w:type="gramStart"/>
      <w:r w:rsidRPr="005A324A">
        <w:rPr>
          <w:rFonts w:ascii="Times New Roman" w:hAnsi="Times New Roman"/>
          <w:sz w:val="24"/>
          <w:szCs w:val="24"/>
        </w:rPr>
        <w:t>opinion</w:t>
      </w:r>
      <w:r w:rsidRPr="005A324A">
        <w:rPr>
          <w:rFonts w:ascii="Times New Roman" w:hAnsi="Times New Roman"/>
          <w:bCs/>
          <w:sz w:val="24"/>
          <w:szCs w:val="24"/>
        </w:rPr>
        <w:t>.</w:t>
      </w:r>
      <w:r w:rsidRPr="005A324A">
        <w:rPr>
          <w:rFonts w:ascii="Times New Roman" w:hAnsi="Times New Roman"/>
          <w:sz w:val="24"/>
          <w:szCs w:val="24"/>
        </w:rPr>
        <w:t>”</w:t>
      </w:r>
      <w:proofErr w:type="gramEnd"/>
      <w:r w:rsidRPr="005A324A">
        <w:rPr>
          <w:rFonts w:ascii="Times New Roman" w:hAnsi="Times New Roman"/>
          <w:sz w:val="24"/>
          <w:szCs w:val="24"/>
        </w:rPr>
        <w:t xml:space="preserve"> </w:t>
      </w:r>
      <w:hyperlink r:id="rId683" w:history="1">
        <w:r w:rsidRPr="005A324A">
          <w:rPr>
            <w:rStyle w:val="Hyperlink"/>
            <w:rFonts w:ascii="Times New Roman" w:hAnsi="Times New Roman"/>
            <w:sz w:val="24"/>
            <w:szCs w:val="24"/>
          </w:rPr>
          <w:t>https://www.supremecourt.gov/opinions/24pdf/23-852_c07d.pdf</w:t>
        </w:r>
      </w:hyperlink>
      <w:r w:rsidRPr="005A324A">
        <w:rPr>
          <w:rFonts w:ascii="Times New Roman" w:hAnsi="Times New Roman"/>
          <w:sz w:val="24"/>
          <w:szCs w:val="24"/>
        </w:rPr>
        <w:t xml:space="preserve"> </w:t>
      </w:r>
    </w:p>
    <w:p w14:paraId="205C60D7" w14:textId="77777777" w:rsidR="00DD3267" w:rsidRPr="005A324A" w:rsidRDefault="00DD3267" w:rsidP="00DD3267">
      <w:pPr>
        <w:pStyle w:val="NoSpacing"/>
        <w:rPr>
          <w:rFonts w:ascii="Times New Roman" w:hAnsi="Times New Roman"/>
          <w:bCs/>
          <w:sz w:val="24"/>
          <w:szCs w:val="24"/>
        </w:rPr>
      </w:pPr>
    </w:p>
    <w:p w14:paraId="7F30D731" w14:textId="77777777" w:rsidR="00746DF3" w:rsidRPr="00746DF3" w:rsidRDefault="00746DF3" w:rsidP="00746DF3">
      <w:pPr>
        <w:pStyle w:val="NoSpacing"/>
        <w:rPr>
          <w:rFonts w:ascii="Times New Roman" w:hAnsi="Times New Roman"/>
          <w:b/>
          <w:sz w:val="24"/>
          <w:szCs w:val="24"/>
        </w:rPr>
      </w:pPr>
      <w:r w:rsidRPr="00746DF3">
        <w:rPr>
          <w:rFonts w:ascii="Times New Roman" w:hAnsi="Times New Roman"/>
          <w:b/>
          <w:sz w:val="24"/>
          <w:szCs w:val="24"/>
        </w:rPr>
        <w:lastRenderedPageBreak/>
        <w:t xml:space="preserve">Legal Lesson Learned: Hopefully this decision will greatly increase the serial numbers placed on Ghost Guns.  </w:t>
      </w:r>
    </w:p>
    <w:p w14:paraId="0FBC67EB" w14:textId="77777777" w:rsidR="00746DF3" w:rsidRDefault="00746DF3" w:rsidP="00746DF3">
      <w:pPr>
        <w:pStyle w:val="NoSpacing"/>
        <w:rPr>
          <w:b/>
        </w:rPr>
      </w:pPr>
    </w:p>
    <w:p w14:paraId="298E974A" w14:textId="77777777" w:rsidR="005A324A" w:rsidRPr="005A324A" w:rsidRDefault="005A324A" w:rsidP="005A324A">
      <w:pPr>
        <w:pStyle w:val="NoSpacing"/>
        <w:ind w:left="720"/>
        <w:rPr>
          <w:rFonts w:ascii="Times New Roman" w:hAnsi="Times New Roman"/>
          <w:bCs/>
          <w:sz w:val="24"/>
          <w:szCs w:val="24"/>
        </w:rPr>
      </w:pPr>
      <w:r w:rsidRPr="005A324A">
        <w:rPr>
          <w:rFonts w:ascii="Times New Roman" w:hAnsi="Times New Roman"/>
          <w:sz w:val="24"/>
          <w:szCs w:val="24"/>
        </w:rPr>
        <w:t xml:space="preserve">Note: Dissenting opinion by Justice Clearance Thompson (Justice Samuel Alit also dissented): “Congress could have authorized ATF to regulate any part of a firearm or any object readily convertible into one. </w:t>
      </w:r>
      <w:proofErr w:type="gramStart"/>
      <w:r w:rsidRPr="005A324A">
        <w:rPr>
          <w:rFonts w:ascii="Times New Roman" w:hAnsi="Times New Roman"/>
          <w:sz w:val="24"/>
          <w:szCs w:val="24"/>
        </w:rPr>
        <w:t>But,</w:t>
      </w:r>
      <w:proofErr w:type="gramEnd"/>
      <w:r w:rsidRPr="005A324A">
        <w:rPr>
          <w:rFonts w:ascii="Times New Roman" w:hAnsi="Times New Roman"/>
          <w:sz w:val="24"/>
          <w:szCs w:val="24"/>
        </w:rPr>
        <w:t xml:space="preserve"> it did not.”</w:t>
      </w:r>
    </w:p>
    <w:p w14:paraId="5E4ECBA5" w14:textId="77777777" w:rsidR="005A324A" w:rsidRPr="005A324A" w:rsidRDefault="005A324A" w:rsidP="005A324A">
      <w:pPr>
        <w:pStyle w:val="NoSpacing"/>
        <w:ind w:left="720"/>
        <w:rPr>
          <w:rFonts w:ascii="Times New Roman" w:hAnsi="Times New Roman"/>
          <w:bCs/>
          <w:sz w:val="24"/>
          <w:szCs w:val="24"/>
        </w:rPr>
      </w:pPr>
    </w:p>
    <w:p w14:paraId="0FE76A03" w14:textId="77777777" w:rsidR="005A324A" w:rsidRPr="005A324A" w:rsidRDefault="005A324A" w:rsidP="005A324A">
      <w:pPr>
        <w:pStyle w:val="NoSpacing"/>
        <w:ind w:left="720"/>
        <w:rPr>
          <w:rFonts w:ascii="Times New Roman" w:hAnsi="Times New Roman"/>
          <w:bCs/>
          <w:sz w:val="24"/>
          <w:szCs w:val="24"/>
        </w:rPr>
      </w:pPr>
      <w:r w:rsidRPr="005A324A">
        <w:rPr>
          <w:rFonts w:ascii="Times New Roman" w:hAnsi="Times New Roman"/>
          <w:sz w:val="24"/>
          <w:szCs w:val="24"/>
        </w:rPr>
        <w:t xml:space="preserve">Want to know more about gun parts?  Watch the YouTube video by dissenting Judge Lawrence VanDyke [believe it is first time a federal judge made a video instead of writing an opinion]. </w:t>
      </w:r>
      <w:hyperlink r:id="rId684" w:history="1">
        <w:r w:rsidRPr="005A324A">
          <w:rPr>
            <w:rStyle w:val="Hyperlink"/>
            <w:rFonts w:ascii="Times New Roman" w:hAnsi="Times New Roman"/>
            <w:b/>
            <w:sz w:val="24"/>
            <w:szCs w:val="24"/>
          </w:rPr>
          <w:t>https://www.youtube.com/watch?v=DMC7Ntd4d4c</w:t>
        </w:r>
      </w:hyperlink>
      <w:r w:rsidRPr="005A324A">
        <w:rPr>
          <w:rFonts w:ascii="Times New Roman" w:hAnsi="Times New Roman"/>
          <w:b/>
          <w:sz w:val="24"/>
          <w:szCs w:val="24"/>
        </w:rPr>
        <w:t xml:space="preserve"> .  </w:t>
      </w:r>
      <w:r w:rsidRPr="005A324A">
        <w:rPr>
          <w:rFonts w:ascii="Times New Roman" w:hAnsi="Times New Roman"/>
          <w:sz w:val="24"/>
          <w:szCs w:val="24"/>
        </w:rPr>
        <w:t>The judge on the U.S. Court of Appeals for 9</w:t>
      </w:r>
      <w:r w:rsidRPr="005A324A">
        <w:rPr>
          <w:rFonts w:ascii="Times New Roman" w:hAnsi="Times New Roman"/>
          <w:sz w:val="24"/>
          <w:szCs w:val="24"/>
          <w:vertAlign w:val="superscript"/>
        </w:rPr>
        <w:t>th</w:t>
      </w:r>
      <w:r w:rsidRPr="005A324A">
        <w:rPr>
          <w:rFonts w:ascii="Times New Roman" w:hAnsi="Times New Roman"/>
          <w:sz w:val="24"/>
          <w:szCs w:val="24"/>
        </w:rPr>
        <w:t xml:space="preserve"> Circuit (San Francisco) posted a YouTube video about firearms, dissenting </w:t>
      </w:r>
      <w:proofErr w:type="gramStart"/>
      <w:r w:rsidRPr="005A324A">
        <w:rPr>
          <w:rFonts w:ascii="Times New Roman" w:hAnsi="Times New Roman"/>
          <w:sz w:val="24"/>
          <w:szCs w:val="24"/>
        </w:rPr>
        <w:t>in</w:t>
      </w:r>
      <w:proofErr w:type="gramEnd"/>
      <w:r w:rsidRPr="005A324A">
        <w:rPr>
          <w:rFonts w:ascii="Times New Roman" w:hAnsi="Times New Roman"/>
          <w:sz w:val="24"/>
          <w:szCs w:val="24"/>
        </w:rPr>
        <w:t xml:space="preserve"> March 20, </w:t>
      </w:r>
      <w:proofErr w:type="gramStart"/>
      <w:r w:rsidRPr="005A324A">
        <w:rPr>
          <w:rFonts w:ascii="Times New Roman" w:hAnsi="Times New Roman"/>
          <w:sz w:val="24"/>
          <w:szCs w:val="24"/>
        </w:rPr>
        <w:t>2025</w:t>
      </w:r>
      <w:proofErr w:type="gramEnd"/>
      <w:r w:rsidRPr="005A324A">
        <w:rPr>
          <w:rFonts w:ascii="Times New Roman" w:hAnsi="Times New Roman"/>
          <w:sz w:val="24"/>
          <w:szCs w:val="24"/>
        </w:rPr>
        <w:t xml:space="preserve"> </w:t>
      </w:r>
      <w:proofErr w:type="spellStart"/>
      <w:r w:rsidRPr="005A324A">
        <w:rPr>
          <w:rFonts w:ascii="Times New Roman" w:hAnsi="Times New Roman"/>
          <w:sz w:val="24"/>
          <w:szCs w:val="24"/>
        </w:rPr>
        <w:t>en</w:t>
      </w:r>
      <w:proofErr w:type="spellEnd"/>
      <w:r w:rsidRPr="005A324A">
        <w:rPr>
          <w:rFonts w:ascii="Times New Roman" w:hAnsi="Times New Roman"/>
          <w:sz w:val="24"/>
          <w:szCs w:val="24"/>
        </w:rPr>
        <w:t xml:space="preserve"> banc (all judges on the Circuit) decision in </w:t>
      </w:r>
      <w:r w:rsidRPr="005A324A">
        <w:rPr>
          <w:rFonts w:ascii="Times New Roman" w:hAnsi="Times New Roman"/>
          <w:sz w:val="24"/>
          <w:szCs w:val="24"/>
          <w:u w:val="single"/>
        </w:rPr>
        <w:t>Duncan v. Bonita</w:t>
      </w:r>
      <w:r w:rsidRPr="005A324A">
        <w:rPr>
          <w:rFonts w:ascii="Times New Roman" w:hAnsi="Times New Roman"/>
          <w:sz w:val="24"/>
          <w:szCs w:val="24"/>
        </w:rPr>
        <w:t>, upholding the California law banning the possession of large-capacity magazines comports with the</w:t>
      </w:r>
    </w:p>
    <w:p w14:paraId="3BDAAC3D" w14:textId="77777777" w:rsidR="005A324A" w:rsidRPr="005A324A" w:rsidRDefault="005A324A" w:rsidP="005A324A">
      <w:pPr>
        <w:pStyle w:val="NoSpacing"/>
        <w:ind w:left="720"/>
        <w:rPr>
          <w:rFonts w:ascii="Times New Roman" w:hAnsi="Times New Roman"/>
          <w:bCs/>
          <w:sz w:val="24"/>
          <w:szCs w:val="24"/>
        </w:rPr>
      </w:pPr>
      <w:r w:rsidRPr="005A324A">
        <w:rPr>
          <w:rFonts w:ascii="Times New Roman" w:hAnsi="Times New Roman"/>
          <w:sz w:val="24"/>
          <w:szCs w:val="24"/>
        </w:rPr>
        <w:t xml:space="preserve">Second Amendment. </w:t>
      </w:r>
      <w:hyperlink r:id="rId685" w:history="1">
        <w:r w:rsidRPr="005A324A">
          <w:rPr>
            <w:rStyle w:val="Hyperlink"/>
            <w:rFonts w:ascii="Times New Roman" w:hAnsi="Times New Roman"/>
            <w:sz w:val="24"/>
            <w:szCs w:val="24"/>
          </w:rPr>
          <w:t>https://cdn.ca9.uscourts.gov/datastore/opinions/2025/03/20/23-55805.pdf</w:t>
        </w:r>
      </w:hyperlink>
      <w:r w:rsidRPr="005A324A">
        <w:rPr>
          <w:rFonts w:ascii="Times New Roman" w:hAnsi="Times New Roman"/>
          <w:sz w:val="24"/>
          <w:szCs w:val="24"/>
        </w:rPr>
        <w:t xml:space="preserve">  </w:t>
      </w:r>
    </w:p>
    <w:p w14:paraId="794583D4" w14:textId="77777777" w:rsidR="00DD3267" w:rsidRDefault="00DD3267" w:rsidP="00F326E5">
      <w:pPr>
        <w:pStyle w:val="NoSpacing"/>
        <w:rPr>
          <w:rFonts w:ascii="Arial Black" w:hAnsi="Arial Black"/>
          <w:sz w:val="28"/>
          <w:szCs w:val="28"/>
        </w:rPr>
      </w:pPr>
    </w:p>
    <w:p w14:paraId="6F39C6B2" w14:textId="77777777" w:rsidR="00FB7D37" w:rsidRDefault="00FB7D37" w:rsidP="00F326E5">
      <w:pPr>
        <w:pStyle w:val="NoSpacing"/>
        <w:rPr>
          <w:rFonts w:ascii="Arial Black" w:hAnsi="Arial Black"/>
          <w:sz w:val="28"/>
          <w:szCs w:val="28"/>
        </w:rPr>
      </w:pPr>
    </w:p>
    <w:p w14:paraId="113CCD50" w14:textId="77777777" w:rsidR="00FB7D37" w:rsidRDefault="00FB7D37" w:rsidP="00F326E5">
      <w:pPr>
        <w:pStyle w:val="NoSpacing"/>
        <w:rPr>
          <w:rFonts w:ascii="Arial Black" w:hAnsi="Arial Black"/>
          <w:sz w:val="28"/>
          <w:szCs w:val="28"/>
        </w:rPr>
      </w:pPr>
    </w:p>
    <w:p w14:paraId="2D65B6A5" w14:textId="16889806" w:rsidR="00F30E91" w:rsidRDefault="00F30E91" w:rsidP="00F326E5">
      <w:pPr>
        <w:pStyle w:val="NoSpacing"/>
        <w:rPr>
          <w:rFonts w:ascii="Arial Black" w:hAnsi="Arial Black"/>
          <w:sz w:val="28"/>
          <w:szCs w:val="28"/>
        </w:rPr>
      </w:pPr>
      <w:r>
        <w:rPr>
          <w:rFonts w:ascii="Arial Black" w:hAnsi="Arial Black"/>
          <w:sz w:val="28"/>
          <w:szCs w:val="28"/>
        </w:rPr>
        <w:t>3-72</w:t>
      </w:r>
    </w:p>
    <w:p w14:paraId="6AAE6BCF" w14:textId="77777777" w:rsidR="00FB7D37" w:rsidRDefault="00FB7D37" w:rsidP="009048F3">
      <w:pPr>
        <w:pStyle w:val="NoSpacing"/>
        <w:rPr>
          <w:rFonts w:ascii="Arial Black" w:hAnsi="Arial Black"/>
          <w:sz w:val="28"/>
          <w:szCs w:val="28"/>
        </w:rPr>
      </w:pPr>
    </w:p>
    <w:p w14:paraId="6F4040D0" w14:textId="5C48A9FE" w:rsidR="009048F3" w:rsidRDefault="009048F3" w:rsidP="009048F3">
      <w:pPr>
        <w:pStyle w:val="NoSpacing"/>
        <w:rPr>
          <w:rFonts w:ascii="Arial Black" w:hAnsi="Arial Black"/>
          <w:bCs/>
          <w:sz w:val="28"/>
          <w:szCs w:val="28"/>
        </w:rPr>
      </w:pPr>
      <w:r>
        <w:rPr>
          <w:rFonts w:ascii="Arial Black" w:hAnsi="Arial Black"/>
          <w:sz w:val="28"/>
          <w:szCs w:val="28"/>
        </w:rPr>
        <w:t xml:space="preserve">NY: GROUND ZERO - $90K CAP NON-ECON DAMAGES </w:t>
      </w:r>
    </w:p>
    <w:p w14:paraId="0F034CBF" w14:textId="77777777" w:rsidR="009048F3" w:rsidRDefault="009048F3" w:rsidP="009048F3">
      <w:pPr>
        <w:pStyle w:val="NoSpacing"/>
        <w:rPr>
          <w:rFonts w:ascii="Arial Black" w:hAnsi="Arial Black"/>
          <w:bCs/>
          <w:sz w:val="28"/>
          <w:szCs w:val="28"/>
        </w:rPr>
      </w:pPr>
    </w:p>
    <w:p w14:paraId="0CA4057F" w14:textId="77777777" w:rsidR="009048F3" w:rsidRPr="00FB7D37" w:rsidRDefault="009048F3" w:rsidP="009048F3">
      <w:pPr>
        <w:pStyle w:val="NoSpacing"/>
        <w:rPr>
          <w:rFonts w:ascii="Times New Roman" w:hAnsi="Times New Roman"/>
          <w:bCs/>
          <w:sz w:val="24"/>
          <w:szCs w:val="24"/>
        </w:rPr>
      </w:pPr>
      <w:r w:rsidRPr="00FB7D37">
        <w:rPr>
          <w:rFonts w:ascii="Times New Roman" w:hAnsi="Times New Roman"/>
          <w:sz w:val="24"/>
          <w:szCs w:val="24"/>
        </w:rPr>
        <w:t>On March 4, 2025</w:t>
      </w:r>
      <w:proofErr w:type="gramStart"/>
      <w:r w:rsidRPr="00FB7D37">
        <w:rPr>
          <w:rFonts w:ascii="Times New Roman" w:hAnsi="Times New Roman"/>
          <w:sz w:val="24"/>
          <w:szCs w:val="24"/>
        </w:rPr>
        <w:t>, in</w:t>
      </w:r>
      <w:proofErr w:type="gramEnd"/>
      <w:r w:rsidRPr="00FB7D37">
        <w:rPr>
          <w:rFonts w:ascii="Times New Roman" w:hAnsi="Times New Roman"/>
          <w:sz w:val="24"/>
          <w:szCs w:val="24"/>
        </w:rPr>
        <w:t xml:space="preserve"> </w:t>
      </w:r>
      <w:r w:rsidRPr="00FB7D37">
        <w:rPr>
          <w:rFonts w:ascii="Times New Roman" w:hAnsi="Times New Roman"/>
          <w:sz w:val="24"/>
          <w:szCs w:val="24"/>
          <w:u w:val="single"/>
        </w:rPr>
        <w:t>Michael White v. The United States</w:t>
      </w:r>
      <w:r w:rsidRPr="00FB7D37">
        <w:rPr>
          <w:rFonts w:ascii="Times New Roman" w:hAnsi="Times New Roman"/>
          <w:sz w:val="24"/>
          <w:szCs w:val="24"/>
        </w:rPr>
        <w:t xml:space="preserve">, Judge Molly R. Silfen, U.S. Court of Federal Claims, held that former Philadelphia firefighter and U.S. Navy submariner, is entitled to uncapped compensation for non-economic damages, such as intangible losses like pain, suffering, emotional distress, and loss of enjoyment of life. He volunteered at Ground Zero site for six days without respiratory protection, developed respiratory issues and now undergoes regular respiratory therapy and has been hospitalized multiple times.  In Jan. 2017, the 911 Special Master ruled that Congress in 2016 amended the initial compensation schedule, and imposed the new $90,000 cap.  Judge Silfen denied the government’s motion to dismiss: (1) lawsuit was timely filed with six years of the denial of his claim, and (2) this is a breach of a “contract” that provided claimants could file under the original compensation schedule. </w:t>
      </w:r>
      <w:hyperlink r:id="rId686" w:history="1">
        <w:r w:rsidRPr="00FB7D37">
          <w:rPr>
            <w:rStyle w:val="Hyperlink"/>
            <w:rFonts w:ascii="Times New Roman" w:hAnsi="Times New Roman"/>
            <w:sz w:val="24"/>
            <w:szCs w:val="24"/>
          </w:rPr>
          <w:t>https://www.govinfo.gov/content/pkg/USCOURTS-cofc-1_23-cv-00383/pdf/USCOURTS-cofc-1_23-cv-00383-0.pdf</w:t>
        </w:r>
      </w:hyperlink>
      <w:r w:rsidRPr="00FB7D37">
        <w:rPr>
          <w:rFonts w:ascii="Times New Roman" w:hAnsi="Times New Roman"/>
          <w:sz w:val="24"/>
          <w:szCs w:val="24"/>
        </w:rPr>
        <w:t xml:space="preserve"> </w:t>
      </w:r>
    </w:p>
    <w:p w14:paraId="0B737EE7" w14:textId="77777777" w:rsidR="009048F3" w:rsidRPr="00FB7D37" w:rsidRDefault="009048F3" w:rsidP="009048F3">
      <w:pPr>
        <w:pStyle w:val="NoSpacing"/>
        <w:rPr>
          <w:rFonts w:ascii="Times New Roman" w:hAnsi="Times New Roman"/>
          <w:bCs/>
          <w:sz w:val="24"/>
          <w:szCs w:val="24"/>
        </w:rPr>
      </w:pPr>
    </w:p>
    <w:p w14:paraId="2EF8116B" w14:textId="77777777" w:rsidR="00555E2A" w:rsidRPr="00555E2A" w:rsidRDefault="00555E2A" w:rsidP="00555E2A">
      <w:pPr>
        <w:pStyle w:val="NoSpacing"/>
        <w:rPr>
          <w:rFonts w:ascii="Times New Roman" w:hAnsi="Times New Roman"/>
          <w:b/>
          <w:sz w:val="24"/>
          <w:szCs w:val="24"/>
        </w:rPr>
      </w:pPr>
      <w:r w:rsidRPr="00555E2A">
        <w:rPr>
          <w:rFonts w:ascii="Times New Roman" w:hAnsi="Times New Roman"/>
          <w:b/>
          <w:sz w:val="24"/>
          <w:szCs w:val="24"/>
        </w:rPr>
        <w:t>Legal Lesson Learned: The government breached the contract; firefighter entitled to uncapped non-economic damages.</w:t>
      </w:r>
    </w:p>
    <w:p w14:paraId="7DC10A3D" w14:textId="77777777" w:rsidR="00555E2A" w:rsidRPr="00555E2A" w:rsidRDefault="00555E2A" w:rsidP="00555E2A">
      <w:pPr>
        <w:rPr>
          <w:rFonts w:ascii="Times New Roman" w:hAnsi="Times New Roman"/>
          <w:sz w:val="24"/>
          <w:szCs w:val="24"/>
        </w:rPr>
      </w:pPr>
    </w:p>
    <w:p w14:paraId="68A20F43" w14:textId="77777777" w:rsidR="00FB7D37" w:rsidRPr="00FB7D37" w:rsidRDefault="00FB7D37" w:rsidP="00FB7D37">
      <w:pPr>
        <w:rPr>
          <w:rFonts w:ascii="Times New Roman" w:hAnsi="Times New Roman"/>
          <w:sz w:val="24"/>
          <w:szCs w:val="24"/>
        </w:rPr>
      </w:pPr>
    </w:p>
    <w:p w14:paraId="1FD9528A" w14:textId="77777777" w:rsidR="009048F3" w:rsidRPr="00FB7D37" w:rsidRDefault="009048F3" w:rsidP="00F326E5">
      <w:pPr>
        <w:pStyle w:val="NoSpacing"/>
        <w:rPr>
          <w:rFonts w:ascii="Times New Roman" w:hAnsi="Times New Roman"/>
          <w:sz w:val="24"/>
          <w:szCs w:val="24"/>
        </w:rPr>
      </w:pPr>
    </w:p>
    <w:p w14:paraId="10A6A54C" w14:textId="77777777" w:rsidR="00F30E91" w:rsidRDefault="00F30E91" w:rsidP="00F326E5">
      <w:pPr>
        <w:pStyle w:val="NoSpacing"/>
        <w:rPr>
          <w:rFonts w:ascii="Arial Black" w:hAnsi="Arial Black"/>
          <w:sz w:val="28"/>
          <w:szCs w:val="28"/>
        </w:rPr>
      </w:pPr>
    </w:p>
    <w:p w14:paraId="3F471E9C" w14:textId="77777777" w:rsidR="00F30E91" w:rsidRDefault="00F30E91" w:rsidP="00F326E5">
      <w:pPr>
        <w:pStyle w:val="NoSpacing"/>
        <w:rPr>
          <w:rFonts w:ascii="Arial Black" w:hAnsi="Arial Black"/>
          <w:sz w:val="28"/>
          <w:szCs w:val="28"/>
        </w:rPr>
      </w:pPr>
    </w:p>
    <w:p w14:paraId="18536455" w14:textId="64201EB6" w:rsidR="00CD461F" w:rsidRDefault="00CD461F" w:rsidP="00F326E5">
      <w:pPr>
        <w:pStyle w:val="NoSpacing"/>
        <w:rPr>
          <w:rFonts w:ascii="Arial Black" w:hAnsi="Arial Black"/>
          <w:sz w:val="28"/>
          <w:szCs w:val="28"/>
        </w:rPr>
      </w:pPr>
      <w:r>
        <w:rPr>
          <w:rFonts w:ascii="Arial Black" w:hAnsi="Arial Black"/>
          <w:sz w:val="28"/>
          <w:szCs w:val="28"/>
        </w:rPr>
        <w:t>3-71</w:t>
      </w:r>
    </w:p>
    <w:p w14:paraId="5989895F" w14:textId="77777777" w:rsidR="00CD461F" w:rsidRDefault="00CD461F" w:rsidP="00F326E5">
      <w:pPr>
        <w:pStyle w:val="NoSpacing"/>
        <w:rPr>
          <w:rFonts w:ascii="Arial Black" w:hAnsi="Arial Black"/>
          <w:sz w:val="28"/>
          <w:szCs w:val="28"/>
        </w:rPr>
      </w:pPr>
    </w:p>
    <w:p w14:paraId="0CB8B884" w14:textId="77777777" w:rsidR="00CD461F" w:rsidRPr="00C562E1" w:rsidRDefault="00CD461F" w:rsidP="00CD461F">
      <w:pPr>
        <w:pStyle w:val="NoSpacing"/>
        <w:rPr>
          <w:rFonts w:ascii="Arial Black" w:hAnsi="Arial Black"/>
          <w:sz w:val="28"/>
          <w:szCs w:val="28"/>
        </w:rPr>
      </w:pPr>
      <w:r w:rsidRPr="00C562E1">
        <w:rPr>
          <w:rFonts w:ascii="Arial Black" w:hAnsi="Arial Black"/>
          <w:sz w:val="28"/>
          <w:szCs w:val="28"/>
        </w:rPr>
        <w:t xml:space="preserve">DC: </w:t>
      </w:r>
      <w:r>
        <w:rPr>
          <w:rFonts w:ascii="Arial Black" w:hAnsi="Arial Black"/>
          <w:sz w:val="28"/>
          <w:szCs w:val="28"/>
        </w:rPr>
        <w:t xml:space="preserve">CAPITAL – POLICE INJURED </w:t>
      </w:r>
      <w:r w:rsidRPr="00C562E1">
        <w:rPr>
          <w:rFonts w:ascii="Arial Black" w:hAnsi="Arial Black"/>
          <w:sz w:val="28"/>
          <w:szCs w:val="28"/>
        </w:rPr>
        <w:t xml:space="preserve">PEPPER </w:t>
      </w:r>
      <w:r>
        <w:rPr>
          <w:rFonts w:ascii="Arial Black" w:hAnsi="Arial Black"/>
          <w:sz w:val="28"/>
          <w:szCs w:val="28"/>
        </w:rPr>
        <w:t>SPRAY - PARDONS</w:t>
      </w:r>
    </w:p>
    <w:p w14:paraId="258B4AAA" w14:textId="77777777" w:rsidR="00CD461F" w:rsidRPr="00C562E1" w:rsidRDefault="00CD461F" w:rsidP="00CD461F">
      <w:pPr>
        <w:pStyle w:val="NoSpacing"/>
      </w:pPr>
    </w:p>
    <w:p w14:paraId="6BBC23C3" w14:textId="77777777" w:rsidR="00CD461F" w:rsidRPr="00CD461F" w:rsidRDefault="00CD461F" w:rsidP="00CD461F">
      <w:pPr>
        <w:pStyle w:val="NoSpacing"/>
        <w:rPr>
          <w:rFonts w:ascii="Times New Roman" w:hAnsi="Times New Roman"/>
          <w:sz w:val="24"/>
          <w:szCs w:val="24"/>
        </w:rPr>
      </w:pPr>
      <w:r w:rsidRPr="00CD461F">
        <w:rPr>
          <w:rFonts w:ascii="Times New Roman" w:hAnsi="Times New Roman"/>
          <w:sz w:val="24"/>
          <w:szCs w:val="24"/>
        </w:rPr>
        <w:lastRenderedPageBreak/>
        <w:t xml:space="preserve">On Jan. 17, 2024, in </w:t>
      </w:r>
      <w:r w:rsidRPr="00CD461F">
        <w:rPr>
          <w:rFonts w:ascii="Times New Roman" w:hAnsi="Times New Roman"/>
          <w:sz w:val="24"/>
          <w:szCs w:val="24"/>
          <w:u w:val="single"/>
        </w:rPr>
        <w:t>United States of America v. Jeffrey Scott Brown</w:t>
      </w:r>
      <w:r w:rsidRPr="00CD461F">
        <w:rPr>
          <w:rFonts w:ascii="Times New Roman" w:hAnsi="Times New Roman"/>
          <w:sz w:val="24"/>
          <w:szCs w:val="24"/>
        </w:rPr>
        <w:t xml:space="preserve">,  the U.S. Court of Appeals for the D.C. Circuit (3 to 0) upheld the conviction of Brown (and two others) for violation of federal law – use of a “dangerous or deadly weapon” - by spraying police officers with pepper spray during the attack on the U.S. Capitol on Jan. 6, 2021.  Brown was sentenced to 54 months in prison [now pardoned by President Trump].  </w:t>
      </w:r>
      <w:hyperlink r:id="rId687" w:history="1">
        <w:r w:rsidRPr="00CD461F">
          <w:rPr>
            <w:rStyle w:val="Hyperlink"/>
            <w:rFonts w:ascii="Times New Roman" w:hAnsi="Times New Roman"/>
            <w:sz w:val="24"/>
            <w:szCs w:val="24"/>
          </w:rPr>
          <w:t>https://media.cadc.uscourts.gov/opinions/docs/2025/01/23-3074-2094718.pdf</w:t>
        </w:r>
      </w:hyperlink>
      <w:r w:rsidRPr="00CD461F">
        <w:rPr>
          <w:rFonts w:ascii="Times New Roman" w:hAnsi="Times New Roman"/>
          <w:sz w:val="24"/>
          <w:szCs w:val="24"/>
        </w:rPr>
        <w:t xml:space="preserve">  </w:t>
      </w:r>
    </w:p>
    <w:p w14:paraId="2BB4DF09" w14:textId="77777777" w:rsidR="00CD461F" w:rsidRPr="00CD461F" w:rsidRDefault="00CD461F" w:rsidP="00CD461F">
      <w:pPr>
        <w:pStyle w:val="NoSpacing"/>
        <w:rPr>
          <w:rFonts w:ascii="Times New Roman" w:hAnsi="Times New Roman"/>
          <w:sz w:val="24"/>
          <w:szCs w:val="24"/>
        </w:rPr>
      </w:pPr>
    </w:p>
    <w:p w14:paraId="54DD2506" w14:textId="77777777" w:rsidR="00CD461F" w:rsidRPr="00CD461F" w:rsidRDefault="00CD461F" w:rsidP="00CD461F">
      <w:pPr>
        <w:pStyle w:val="NoSpacing"/>
        <w:rPr>
          <w:rFonts w:ascii="Times New Roman" w:hAnsi="Times New Roman"/>
          <w:sz w:val="24"/>
          <w:szCs w:val="24"/>
        </w:rPr>
      </w:pPr>
      <w:r w:rsidRPr="00CD461F">
        <w:rPr>
          <w:rFonts w:ascii="Times New Roman" w:hAnsi="Times New Roman"/>
          <w:sz w:val="24"/>
          <w:szCs w:val="24"/>
        </w:rPr>
        <w:t>The Court held:</w:t>
      </w:r>
    </w:p>
    <w:p w14:paraId="42E23F55" w14:textId="77777777" w:rsidR="00CD461F" w:rsidRPr="00CD461F" w:rsidRDefault="00CD461F" w:rsidP="00CD461F">
      <w:pPr>
        <w:pStyle w:val="NoSpacing"/>
        <w:rPr>
          <w:rFonts w:ascii="Times New Roman" w:hAnsi="Times New Roman"/>
          <w:sz w:val="24"/>
          <w:szCs w:val="24"/>
        </w:rPr>
      </w:pPr>
    </w:p>
    <w:p w14:paraId="7CA465C9" w14:textId="77777777" w:rsidR="00CD461F" w:rsidRPr="00CD461F" w:rsidRDefault="00CD461F" w:rsidP="00CD461F">
      <w:pPr>
        <w:pStyle w:val="NoSpacing"/>
        <w:ind w:left="720"/>
        <w:rPr>
          <w:rFonts w:ascii="Times New Roman" w:hAnsi="Times New Roman"/>
          <w:sz w:val="24"/>
          <w:szCs w:val="24"/>
        </w:rPr>
      </w:pPr>
      <w:r w:rsidRPr="00CD461F">
        <w:rPr>
          <w:rFonts w:ascii="Times New Roman" w:hAnsi="Times New Roman"/>
          <w:sz w:val="24"/>
          <w:szCs w:val="24"/>
        </w:rPr>
        <w:t>“Given the record in this case, sufficient evidence supported the jury’s finding that Schwartz, Brown, and Maly each used pepper spray as a deadly or dangerous weapon, and that Schwartz also used a chair as a deadly or dangerous weapon.</w:t>
      </w:r>
    </w:p>
    <w:p w14:paraId="49E1BBEA" w14:textId="77777777" w:rsidR="00CD461F" w:rsidRPr="00CD461F" w:rsidRDefault="00CD461F" w:rsidP="00CD461F">
      <w:pPr>
        <w:pStyle w:val="NoSpacing"/>
        <w:rPr>
          <w:rFonts w:ascii="Times New Roman" w:hAnsi="Times New Roman"/>
          <w:sz w:val="24"/>
          <w:szCs w:val="24"/>
        </w:rPr>
      </w:pPr>
    </w:p>
    <w:p w14:paraId="73F2EF6C" w14:textId="77777777" w:rsidR="00CD461F" w:rsidRPr="00CD461F" w:rsidRDefault="00CD461F" w:rsidP="00CD461F">
      <w:pPr>
        <w:pStyle w:val="NoSpacing"/>
        <w:ind w:firstLine="720"/>
        <w:rPr>
          <w:rFonts w:ascii="Times New Roman" w:hAnsi="Times New Roman"/>
          <w:sz w:val="24"/>
          <w:szCs w:val="24"/>
        </w:rPr>
      </w:pPr>
      <w:r w:rsidRPr="00CD461F">
        <w:rPr>
          <w:rFonts w:ascii="Times New Roman" w:hAnsi="Times New Roman"/>
          <w:sz w:val="24"/>
          <w:szCs w:val="24"/>
        </w:rPr>
        <w:t>***</w:t>
      </w:r>
    </w:p>
    <w:p w14:paraId="49D80642" w14:textId="77777777" w:rsidR="00CD461F" w:rsidRPr="00CD461F" w:rsidRDefault="00CD461F" w:rsidP="00CD461F">
      <w:pPr>
        <w:pStyle w:val="NoSpacing"/>
        <w:ind w:left="720"/>
        <w:rPr>
          <w:rFonts w:ascii="Times New Roman" w:hAnsi="Times New Roman"/>
          <w:sz w:val="24"/>
          <w:szCs w:val="24"/>
        </w:rPr>
      </w:pPr>
      <w:r w:rsidRPr="00CD461F">
        <w:rPr>
          <w:rFonts w:ascii="Times New Roman" w:hAnsi="Times New Roman"/>
          <w:sz w:val="24"/>
          <w:szCs w:val="24"/>
        </w:rPr>
        <w:t xml:space="preserve">Officers testified that they felt such intense pain when sprayed on January 6th. For example, Officer Christopher Boyle stated that he felt a ‘9 or 10 out of 10’ level of pain when he was pepper sprayed on the Lower West Terrace…. Sergeant Jason Mastony testified that chemical irritants absorbed through his uniform so his ‘legs and [his] arms [we]re on fire.’ …The effects of the chemical irritants, including ‘burning’ ‘skin irritation[,]’ lingered for about a week, and he felt </w:t>
      </w:r>
      <w:proofErr w:type="gramStart"/>
      <w:r w:rsidRPr="00CD461F">
        <w:rPr>
          <w:rFonts w:ascii="Times New Roman" w:hAnsi="Times New Roman"/>
          <w:sz w:val="24"/>
          <w:szCs w:val="24"/>
        </w:rPr>
        <w:t>particular pain</w:t>
      </w:r>
      <w:proofErr w:type="gramEnd"/>
      <w:r w:rsidRPr="00CD461F">
        <w:rPr>
          <w:rFonts w:ascii="Times New Roman" w:hAnsi="Times New Roman"/>
          <w:sz w:val="24"/>
          <w:szCs w:val="24"/>
        </w:rPr>
        <w:t xml:space="preserve"> when he showered or tried to change his contact lenses…. That is because pepper spray is water-based and ‘reactivates with water.’ …  Officer David Pitt testified that he had ‘severe burning for the following three days in [his] hands’ and ‘in various places’ from ‘when [he] was sprayed with various sprays in the tunnel.’  … Finally, Sergeant </w:t>
      </w:r>
      <w:proofErr w:type="spellStart"/>
      <w:r w:rsidRPr="00CD461F">
        <w:rPr>
          <w:rFonts w:ascii="Times New Roman" w:hAnsi="Times New Roman"/>
          <w:sz w:val="24"/>
          <w:szCs w:val="24"/>
        </w:rPr>
        <w:t>Phuson</w:t>
      </w:r>
      <w:proofErr w:type="spellEnd"/>
      <w:r w:rsidRPr="00CD461F">
        <w:rPr>
          <w:rFonts w:ascii="Times New Roman" w:hAnsi="Times New Roman"/>
          <w:sz w:val="24"/>
          <w:szCs w:val="24"/>
        </w:rPr>
        <w:t xml:space="preserve"> Nguyen described that, when he showered the night of the 6th, ‘the chemical[s] [from the spray] soak[ed] through [his] pore[s] and it start[ed] burning, and basically [his] whole body</w:t>
      </w:r>
    </w:p>
    <w:p w14:paraId="7F74EDE9" w14:textId="77777777" w:rsidR="00CD461F" w:rsidRPr="00CD461F" w:rsidRDefault="00CD461F" w:rsidP="00CD461F">
      <w:pPr>
        <w:pStyle w:val="NoSpacing"/>
        <w:ind w:left="720"/>
        <w:rPr>
          <w:rFonts w:ascii="Times New Roman" w:hAnsi="Times New Roman"/>
          <w:sz w:val="24"/>
          <w:szCs w:val="24"/>
        </w:rPr>
      </w:pPr>
      <w:r w:rsidRPr="00CD461F">
        <w:rPr>
          <w:rFonts w:ascii="Times New Roman" w:hAnsi="Times New Roman"/>
          <w:sz w:val="24"/>
          <w:szCs w:val="24"/>
        </w:rPr>
        <w:t>was burning.’ … That evidence provided a sufficient basis for a rational jury to find that the pepper spray Schwartz, Brown, and Maly used was capable of causing extreme pain, especially given the officers’ testimony that they felt a ‘9 or 10 out of 10’ on a pain scale and that their limbs were ‘on fire’ and ‘burning.’ Considering the intensely factual nature of an inquiry into the extent of pain caused by violent conduct, the evidence in this case, and the credibility judgments involved, there is no basis for this court to overturn the jury’s verdict by finding as a matter of law that the evidence came up short.”</w:t>
      </w:r>
    </w:p>
    <w:p w14:paraId="43D7FEFA" w14:textId="77777777" w:rsidR="00CD461F" w:rsidRPr="00CD461F" w:rsidRDefault="00CD461F" w:rsidP="00CD461F">
      <w:pPr>
        <w:pStyle w:val="NoSpacing"/>
        <w:rPr>
          <w:rFonts w:ascii="Times New Roman" w:hAnsi="Times New Roman"/>
          <w:sz w:val="24"/>
          <w:szCs w:val="24"/>
        </w:rPr>
      </w:pPr>
    </w:p>
    <w:p w14:paraId="505D960F" w14:textId="77777777" w:rsidR="00CD461F" w:rsidRPr="00CD461F" w:rsidRDefault="00CD461F" w:rsidP="00CD461F">
      <w:pPr>
        <w:pStyle w:val="NoSpacing"/>
        <w:rPr>
          <w:rFonts w:ascii="Times New Roman" w:hAnsi="Times New Roman"/>
          <w:b/>
          <w:bCs/>
          <w:sz w:val="24"/>
          <w:szCs w:val="24"/>
        </w:rPr>
      </w:pPr>
      <w:r w:rsidRPr="00CD461F">
        <w:rPr>
          <w:rFonts w:ascii="Times New Roman" w:hAnsi="Times New Roman"/>
          <w:b/>
          <w:sz w:val="24"/>
          <w:szCs w:val="24"/>
        </w:rPr>
        <w:t>Legal Lesson Learned:  Fire &amp; EMS should review their protocol on treating patients who have been pepper sprayed, remembering that it “reactivates with water.”</w:t>
      </w:r>
    </w:p>
    <w:p w14:paraId="3152A41A" w14:textId="77777777" w:rsidR="00CD461F" w:rsidRPr="00CD461F" w:rsidRDefault="00CD461F" w:rsidP="00CD461F">
      <w:pPr>
        <w:pStyle w:val="NoSpacing"/>
        <w:rPr>
          <w:rFonts w:ascii="Times New Roman" w:hAnsi="Times New Roman"/>
          <w:sz w:val="24"/>
          <w:szCs w:val="24"/>
        </w:rPr>
      </w:pPr>
    </w:p>
    <w:p w14:paraId="4A6E4D71" w14:textId="77777777" w:rsidR="00CD461F" w:rsidRPr="00CD461F" w:rsidRDefault="00CD461F" w:rsidP="00CD461F">
      <w:pPr>
        <w:pStyle w:val="NoSpacing"/>
        <w:ind w:left="720"/>
        <w:rPr>
          <w:rFonts w:ascii="Times New Roman" w:hAnsi="Times New Roman"/>
          <w:sz w:val="24"/>
          <w:szCs w:val="24"/>
        </w:rPr>
      </w:pPr>
      <w:r w:rsidRPr="00CD461F">
        <w:rPr>
          <w:rFonts w:ascii="Times New Roman" w:hAnsi="Times New Roman"/>
          <w:sz w:val="24"/>
          <w:szCs w:val="24"/>
        </w:rPr>
        <w:t xml:space="preserve">Note:  See article on this case. “DC Circuit side-eyes Capitol rioter’s argument that pepper spray is not a dangerous weapon.” </w:t>
      </w:r>
    </w:p>
    <w:p w14:paraId="08930F25" w14:textId="5E84AAF5" w:rsidR="00CD461F" w:rsidRPr="00CD461F" w:rsidRDefault="00AB3819" w:rsidP="00CD461F">
      <w:pPr>
        <w:pStyle w:val="NoSpacing"/>
        <w:ind w:left="720"/>
        <w:rPr>
          <w:rFonts w:ascii="Times New Roman" w:hAnsi="Times New Roman"/>
          <w:sz w:val="24"/>
          <w:szCs w:val="24"/>
        </w:rPr>
      </w:pPr>
      <w:hyperlink r:id="rId688" w:history="1">
        <w:r w:rsidRPr="009B5658">
          <w:rPr>
            <w:rStyle w:val="Hyperlink"/>
            <w:rFonts w:ascii="Times New Roman" w:hAnsi="Times New Roman"/>
            <w:sz w:val="24"/>
            <w:szCs w:val="24"/>
          </w:rPr>
          <w:t>https://www.courthousenews.com/dc-circuit-side-eyes-capitol-rioters-argument-that-pepper-spray-is-not-a-dangerous-weapon/</w:t>
        </w:r>
      </w:hyperlink>
    </w:p>
    <w:p w14:paraId="04B7F585" w14:textId="77777777" w:rsidR="00CD461F" w:rsidRPr="00CD461F" w:rsidRDefault="00CD461F" w:rsidP="00F326E5">
      <w:pPr>
        <w:pStyle w:val="NoSpacing"/>
        <w:rPr>
          <w:rFonts w:ascii="Times New Roman" w:hAnsi="Times New Roman"/>
          <w:sz w:val="24"/>
          <w:szCs w:val="24"/>
        </w:rPr>
      </w:pPr>
    </w:p>
    <w:p w14:paraId="1FD139AD" w14:textId="77777777" w:rsidR="00CD461F" w:rsidRDefault="00CD461F" w:rsidP="00F326E5">
      <w:pPr>
        <w:pStyle w:val="NoSpacing"/>
        <w:rPr>
          <w:rFonts w:ascii="Arial Black" w:hAnsi="Arial Black"/>
          <w:sz w:val="28"/>
          <w:szCs w:val="28"/>
        </w:rPr>
      </w:pPr>
    </w:p>
    <w:p w14:paraId="3F459932" w14:textId="2052B407" w:rsidR="00FE0B61" w:rsidRDefault="00FE0B61" w:rsidP="00F326E5">
      <w:pPr>
        <w:pStyle w:val="NoSpacing"/>
        <w:rPr>
          <w:rFonts w:ascii="Arial Black" w:hAnsi="Arial Black"/>
          <w:sz w:val="28"/>
          <w:szCs w:val="28"/>
        </w:rPr>
      </w:pPr>
      <w:r>
        <w:rPr>
          <w:rFonts w:ascii="Arial Black" w:hAnsi="Arial Black"/>
          <w:sz w:val="28"/>
          <w:szCs w:val="28"/>
        </w:rPr>
        <w:t>3-70</w:t>
      </w:r>
    </w:p>
    <w:p w14:paraId="32D83997" w14:textId="77777777" w:rsidR="004433DA" w:rsidRDefault="004433DA" w:rsidP="00BD564D">
      <w:pPr>
        <w:pStyle w:val="NoSpacing"/>
        <w:rPr>
          <w:rFonts w:ascii="Arial Black" w:hAnsi="Arial Black"/>
          <w:sz w:val="28"/>
          <w:szCs w:val="28"/>
        </w:rPr>
      </w:pPr>
    </w:p>
    <w:p w14:paraId="404379A6" w14:textId="778B375F" w:rsidR="00BD564D" w:rsidRPr="00C90077" w:rsidRDefault="00BD564D" w:rsidP="00BD564D">
      <w:pPr>
        <w:pStyle w:val="NoSpacing"/>
        <w:rPr>
          <w:rFonts w:ascii="Arial Black" w:hAnsi="Arial Black"/>
          <w:sz w:val="28"/>
          <w:szCs w:val="28"/>
        </w:rPr>
      </w:pPr>
      <w:r>
        <w:rPr>
          <w:rFonts w:ascii="Arial Black" w:hAnsi="Arial Black"/>
          <w:sz w:val="28"/>
          <w:szCs w:val="28"/>
        </w:rPr>
        <w:t>CA:  STARTED FIRES</w:t>
      </w:r>
      <w:r w:rsidR="004433DA">
        <w:rPr>
          <w:rFonts w:ascii="Arial Black" w:hAnsi="Arial Black"/>
          <w:sz w:val="28"/>
          <w:szCs w:val="28"/>
        </w:rPr>
        <w:t xml:space="preserve"> – CA </w:t>
      </w:r>
      <w:r>
        <w:rPr>
          <w:rFonts w:ascii="Arial Black" w:hAnsi="Arial Black"/>
          <w:sz w:val="28"/>
          <w:szCs w:val="28"/>
        </w:rPr>
        <w:t xml:space="preserve">EMERGENCY </w:t>
      </w:r>
      <w:r w:rsidR="00C32C23">
        <w:rPr>
          <w:rFonts w:ascii="Arial Black" w:hAnsi="Arial Black"/>
          <w:sz w:val="28"/>
          <w:szCs w:val="28"/>
        </w:rPr>
        <w:t>– 200 BLDG</w:t>
      </w:r>
      <w:r w:rsidR="004433DA">
        <w:rPr>
          <w:rFonts w:ascii="Arial Black" w:hAnsi="Arial Black"/>
          <w:sz w:val="28"/>
          <w:szCs w:val="28"/>
        </w:rPr>
        <w:t>S</w:t>
      </w:r>
    </w:p>
    <w:p w14:paraId="779EB6B5" w14:textId="77777777" w:rsidR="00BD564D" w:rsidRDefault="00BD564D" w:rsidP="00BD564D">
      <w:pPr>
        <w:pStyle w:val="NoSpacing"/>
      </w:pPr>
    </w:p>
    <w:p w14:paraId="7E519E77" w14:textId="77777777" w:rsidR="00A25359" w:rsidRPr="00A25359" w:rsidRDefault="00A25359" w:rsidP="00A25359">
      <w:pPr>
        <w:rPr>
          <w:rFonts w:ascii="Times New Roman" w:hAnsi="Times New Roman"/>
          <w:sz w:val="24"/>
          <w:szCs w:val="24"/>
        </w:rPr>
      </w:pPr>
      <w:r w:rsidRPr="00A25359">
        <w:rPr>
          <w:rFonts w:ascii="Times New Roman" w:hAnsi="Times New Roman"/>
          <w:sz w:val="24"/>
          <w:szCs w:val="24"/>
        </w:rPr>
        <w:t xml:space="preserve">On Dec. 9, 2024, in </w:t>
      </w:r>
      <w:r w:rsidRPr="00A25359">
        <w:rPr>
          <w:rFonts w:ascii="Times New Roman" w:hAnsi="Times New Roman"/>
          <w:sz w:val="24"/>
          <w:szCs w:val="24"/>
          <w:u w:val="single"/>
        </w:rPr>
        <w:t xml:space="preserve">Alexandria A. </w:t>
      </w:r>
      <w:proofErr w:type="spellStart"/>
      <w:r w:rsidRPr="00A25359">
        <w:rPr>
          <w:rFonts w:ascii="Times New Roman" w:hAnsi="Times New Roman"/>
          <w:sz w:val="24"/>
          <w:szCs w:val="24"/>
          <w:u w:val="single"/>
        </w:rPr>
        <w:t>Souverneva</w:t>
      </w:r>
      <w:proofErr w:type="spellEnd"/>
      <w:r w:rsidRPr="00A25359">
        <w:rPr>
          <w:rFonts w:ascii="Times New Roman" w:hAnsi="Times New Roman"/>
          <w:sz w:val="24"/>
          <w:szCs w:val="24"/>
          <w:u w:val="single"/>
        </w:rPr>
        <w:t xml:space="preserve"> v. The Superior Court of California</w:t>
      </w:r>
      <w:r w:rsidRPr="00A25359">
        <w:rPr>
          <w:rFonts w:ascii="Times New Roman" w:hAnsi="Times New Roman"/>
          <w:sz w:val="24"/>
          <w:szCs w:val="24"/>
        </w:rPr>
        <w:t xml:space="preserve">, the California Court of Appeals, Third Circuit, Shasta, held (3 to 0; unpublished decision) that the trial court, upon being informed she was competent to stand trial, revoked her bond (after two years being out on bond) given risk of further fires.  She started six fires in rural area on September 22, 2021, burning 200 structures and nearly 9,000 acres; she told a CAL FIRE Captain that she had bombs – they were actually  CO2 cartridges. The Court of Appeals reviewed </w:t>
      </w:r>
      <w:r w:rsidRPr="00A25359">
        <w:rPr>
          <w:rFonts w:ascii="Times New Roman" w:hAnsi="Times New Roman"/>
          <w:sz w:val="24"/>
          <w:szCs w:val="24"/>
        </w:rPr>
        <w:lastRenderedPageBreak/>
        <w:t xml:space="preserve">her history of drug abuse and mental </w:t>
      </w:r>
      <w:proofErr w:type="gramStart"/>
      <w:r w:rsidRPr="00A25359">
        <w:rPr>
          <w:rFonts w:ascii="Times New Roman" w:hAnsi="Times New Roman"/>
          <w:sz w:val="24"/>
          <w:szCs w:val="24"/>
        </w:rPr>
        <w:t>illness, and</w:t>
      </w:r>
      <w:proofErr w:type="gramEnd"/>
      <w:r w:rsidRPr="00A25359">
        <w:rPr>
          <w:rFonts w:ascii="Times New Roman" w:hAnsi="Times New Roman"/>
          <w:sz w:val="24"/>
          <w:szCs w:val="24"/>
        </w:rPr>
        <w:t xml:space="preserve"> upheld the trial court. </w:t>
      </w:r>
      <w:hyperlink r:id="rId689" w:history="1">
        <w:r w:rsidRPr="00A25359">
          <w:rPr>
            <w:rStyle w:val="Hyperlink"/>
            <w:rFonts w:ascii="Times New Roman" w:hAnsi="Times New Roman"/>
            <w:sz w:val="24"/>
            <w:szCs w:val="24"/>
          </w:rPr>
          <w:t>https://casetext.com/case/souverneva-v-the-superior-court</w:t>
        </w:r>
      </w:hyperlink>
    </w:p>
    <w:p w14:paraId="1ED4430E" w14:textId="693396B5" w:rsidR="00BD564D" w:rsidRDefault="00BD564D" w:rsidP="00BD564D">
      <w:pPr>
        <w:pStyle w:val="NoSpacing"/>
        <w:rPr>
          <w:rFonts w:ascii="Times New Roman" w:hAnsi="Times New Roman"/>
          <w:sz w:val="24"/>
          <w:szCs w:val="24"/>
        </w:rPr>
      </w:pPr>
      <w:r w:rsidRPr="00BD564D">
        <w:rPr>
          <w:rFonts w:ascii="Times New Roman" w:hAnsi="Times New Roman"/>
          <w:sz w:val="24"/>
          <w:szCs w:val="24"/>
        </w:rPr>
        <w:t>The Court wrote:</w:t>
      </w:r>
    </w:p>
    <w:p w14:paraId="432E87E7" w14:textId="77777777" w:rsidR="007E2EC4" w:rsidRDefault="007E2EC4" w:rsidP="00BD564D">
      <w:pPr>
        <w:pStyle w:val="NoSpacing"/>
        <w:rPr>
          <w:rFonts w:ascii="Times New Roman" w:hAnsi="Times New Roman"/>
          <w:sz w:val="24"/>
          <w:szCs w:val="24"/>
        </w:rPr>
      </w:pPr>
    </w:p>
    <w:p w14:paraId="10A1E5B8" w14:textId="447699E1" w:rsidR="007E2EC4" w:rsidRPr="007E2EC4" w:rsidRDefault="007E2EC4" w:rsidP="007E2EC4">
      <w:pPr>
        <w:pStyle w:val="NoSpacing"/>
        <w:ind w:left="720"/>
        <w:rPr>
          <w:rFonts w:ascii="Times New Roman" w:hAnsi="Times New Roman"/>
          <w:sz w:val="24"/>
          <w:szCs w:val="24"/>
        </w:rPr>
      </w:pPr>
      <w:r w:rsidRPr="007E2EC4">
        <w:rPr>
          <w:rFonts w:ascii="Times New Roman" w:hAnsi="Times New Roman"/>
          <w:sz w:val="24"/>
          <w:szCs w:val="24"/>
        </w:rPr>
        <w:t>“</w:t>
      </w:r>
      <w:proofErr w:type="spellStart"/>
      <w:r w:rsidRPr="007E2EC4">
        <w:rPr>
          <w:rFonts w:ascii="Times New Roman" w:hAnsi="Times New Roman"/>
          <w:sz w:val="24"/>
          <w:szCs w:val="24"/>
        </w:rPr>
        <w:t>Souverneva</w:t>
      </w:r>
      <w:proofErr w:type="spellEnd"/>
      <w:r w:rsidRPr="007E2EC4">
        <w:rPr>
          <w:rFonts w:ascii="Times New Roman" w:hAnsi="Times New Roman"/>
          <w:sz w:val="24"/>
          <w:szCs w:val="24"/>
        </w:rPr>
        <w:t xml:space="preserve"> was charged with arson of forest land, and it was alleged the arson was committed during a state of emergency…. The record indicates that at the time of the hearing, </w:t>
      </w:r>
      <w:proofErr w:type="spellStart"/>
      <w:r w:rsidRPr="007E2EC4">
        <w:rPr>
          <w:rFonts w:ascii="Times New Roman" w:hAnsi="Times New Roman"/>
          <w:sz w:val="24"/>
          <w:szCs w:val="24"/>
        </w:rPr>
        <w:t>Souverneva</w:t>
      </w:r>
      <w:proofErr w:type="spellEnd"/>
      <w:r w:rsidRPr="007E2EC4">
        <w:rPr>
          <w:rFonts w:ascii="Times New Roman" w:hAnsi="Times New Roman"/>
          <w:sz w:val="24"/>
          <w:szCs w:val="24"/>
        </w:rPr>
        <w:t xml:space="preserve"> had been out of custody on bond for over two years, apparently without incident, and had sought treatment for her bipolar disorder. Nevertheless, substantial evidence supports the trial court's finding of an unreasonable risk to public </w:t>
      </w:r>
      <w:proofErr w:type="gramStart"/>
      <w:r w:rsidRPr="007E2EC4">
        <w:rPr>
          <w:rFonts w:ascii="Times New Roman" w:hAnsi="Times New Roman"/>
          <w:sz w:val="24"/>
          <w:szCs w:val="24"/>
        </w:rPr>
        <w:t>safety.”</w:t>
      </w:r>
      <w:proofErr w:type="gramEnd"/>
      <w:r w:rsidRPr="007E2EC4">
        <w:rPr>
          <w:rFonts w:ascii="Times New Roman" w:hAnsi="Times New Roman"/>
          <w:sz w:val="24"/>
          <w:szCs w:val="24"/>
        </w:rPr>
        <w:t xml:space="preserve">  </w:t>
      </w:r>
      <w:hyperlink r:id="rId690" w:history="1">
        <w:r w:rsidRPr="007E2EC4">
          <w:rPr>
            <w:rStyle w:val="Hyperlink"/>
            <w:rFonts w:ascii="Times New Roman" w:hAnsi="Times New Roman"/>
            <w:sz w:val="24"/>
            <w:szCs w:val="24"/>
          </w:rPr>
          <w:t>t</w:t>
        </w:r>
      </w:hyperlink>
      <w:r w:rsidRPr="007E2EC4">
        <w:rPr>
          <w:rFonts w:ascii="Times New Roman" w:hAnsi="Times New Roman"/>
          <w:sz w:val="24"/>
          <w:szCs w:val="24"/>
        </w:rPr>
        <w:t xml:space="preserve"> </w:t>
      </w:r>
    </w:p>
    <w:p w14:paraId="58D22352" w14:textId="77777777" w:rsidR="007E2EC4" w:rsidRPr="00BD564D" w:rsidRDefault="007E2EC4" w:rsidP="00BD564D">
      <w:pPr>
        <w:pStyle w:val="NoSpacing"/>
        <w:rPr>
          <w:rFonts w:ascii="Times New Roman" w:hAnsi="Times New Roman"/>
          <w:sz w:val="24"/>
          <w:szCs w:val="24"/>
        </w:rPr>
      </w:pPr>
    </w:p>
    <w:p w14:paraId="1AB254E3" w14:textId="77777777" w:rsidR="00C32C23" w:rsidRDefault="00C32C23" w:rsidP="00C32C23">
      <w:pPr>
        <w:pStyle w:val="NoSpacing"/>
      </w:pPr>
      <w:r>
        <w:t>HOLDING:</w:t>
      </w:r>
    </w:p>
    <w:p w14:paraId="466F4947" w14:textId="77777777" w:rsidR="00C32C23" w:rsidRDefault="00C32C23" w:rsidP="00C32C23">
      <w:pPr>
        <w:pStyle w:val="NoSpacing"/>
      </w:pPr>
    </w:p>
    <w:p w14:paraId="365B0734" w14:textId="77777777" w:rsidR="00C32C23" w:rsidRPr="00C32C23" w:rsidRDefault="00C32C23" w:rsidP="00C32C23">
      <w:pPr>
        <w:pStyle w:val="NoSpacing"/>
        <w:ind w:left="720"/>
        <w:rPr>
          <w:rFonts w:ascii="Times New Roman" w:hAnsi="Times New Roman"/>
          <w:bCs/>
          <w:sz w:val="24"/>
          <w:szCs w:val="24"/>
        </w:rPr>
      </w:pPr>
      <w:r w:rsidRPr="00C32C23">
        <w:rPr>
          <w:rFonts w:ascii="Times New Roman" w:hAnsi="Times New Roman"/>
          <w:sz w:val="24"/>
          <w:szCs w:val="24"/>
        </w:rPr>
        <w:t>“A trial court may consider the defendant's treatment plan and criminal history in assessing the defendant's suitability for pretrial diversion. (</w:t>
      </w:r>
      <w:hyperlink r:id="rId691" w:history="1">
        <w:r w:rsidRPr="00C32C23">
          <w:rPr>
            <w:rStyle w:val="Hyperlink"/>
            <w:rFonts w:ascii="Times New Roman" w:hAnsi="Times New Roman"/>
            <w:sz w:val="24"/>
            <w:szCs w:val="24"/>
          </w:rPr>
          <w:t>§ 1001.36, subd. (c)(4)</w:t>
        </w:r>
      </w:hyperlink>
      <w:r w:rsidRPr="00C32C23">
        <w:rPr>
          <w:rFonts w:ascii="Times New Roman" w:hAnsi="Times New Roman"/>
          <w:sz w:val="24"/>
          <w:szCs w:val="24"/>
        </w:rPr>
        <w:t xml:space="preserve">.) Here, </w:t>
      </w:r>
      <w:proofErr w:type="spellStart"/>
      <w:r w:rsidRPr="00C32C23">
        <w:rPr>
          <w:rFonts w:ascii="Times New Roman" w:hAnsi="Times New Roman"/>
          <w:sz w:val="24"/>
          <w:szCs w:val="24"/>
        </w:rPr>
        <w:t>Souverneva's</w:t>
      </w:r>
      <w:proofErr w:type="spellEnd"/>
      <w:r w:rsidRPr="00C32C23">
        <w:rPr>
          <w:rFonts w:ascii="Times New Roman" w:hAnsi="Times New Roman"/>
          <w:sz w:val="24"/>
          <w:szCs w:val="24"/>
        </w:rPr>
        <w:t xml:space="preserve"> treatment plan did not address her alcohol, cannabis, and hallucinogen use disorders. </w:t>
      </w:r>
      <w:proofErr w:type="spellStart"/>
      <w:r w:rsidRPr="00C32C23">
        <w:rPr>
          <w:rFonts w:ascii="Times New Roman" w:hAnsi="Times New Roman"/>
          <w:sz w:val="24"/>
          <w:szCs w:val="24"/>
        </w:rPr>
        <w:t>Souverneva</w:t>
      </w:r>
      <w:proofErr w:type="spellEnd"/>
      <w:r w:rsidRPr="00C32C23">
        <w:rPr>
          <w:rFonts w:ascii="Times New Roman" w:hAnsi="Times New Roman"/>
          <w:sz w:val="24"/>
          <w:szCs w:val="24"/>
        </w:rPr>
        <w:t xml:space="preserve"> started drinking alcohol and smoking marijuana as a teenager. She drank alcohol excessively by age 18, drinking less while in college, but drinking heavily after her psychiatric hospitalization in 2015 and until 2018. She smoked marijuana daily during graduate school and when she was part of a </w:t>
      </w:r>
      <w:proofErr w:type="gramStart"/>
      <w:r w:rsidRPr="00C32C23">
        <w:rPr>
          <w:rFonts w:ascii="Times New Roman" w:hAnsi="Times New Roman"/>
          <w:sz w:val="24"/>
          <w:szCs w:val="24"/>
        </w:rPr>
        <w:t>group</w:t>
      </w:r>
      <w:proofErr w:type="gramEnd"/>
      <w:r w:rsidRPr="00C32C23">
        <w:rPr>
          <w:rFonts w:ascii="Times New Roman" w:hAnsi="Times New Roman"/>
          <w:sz w:val="24"/>
          <w:szCs w:val="24"/>
        </w:rPr>
        <w:t xml:space="preserve"> she </w:t>
      </w:r>
      <w:proofErr w:type="gramStart"/>
      <w:r w:rsidRPr="00C32C23">
        <w:rPr>
          <w:rFonts w:ascii="Times New Roman" w:hAnsi="Times New Roman"/>
          <w:sz w:val="24"/>
          <w:szCs w:val="24"/>
        </w:rPr>
        <w:t>labeled</w:t>
      </w:r>
      <w:proofErr w:type="gramEnd"/>
      <w:r w:rsidRPr="00C32C23">
        <w:rPr>
          <w:rFonts w:ascii="Times New Roman" w:hAnsi="Times New Roman"/>
          <w:sz w:val="24"/>
          <w:szCs w:val="24"/>
        </w:rPr>
        <w:t xml:space="preserve"> a "cult." She was part of that group from October 2020 to July 2021. During that period, she also occasionally ingested psychedelic mushrooms and peyote. </w:t>
      </w:r>
      <w:proofErr w:type="spellStart"/>
      <w:r w:rsidRPr="00C32C23">
        <w:rPr>
          <w:rFonts w:ascii="Times New Roman" w:hAnsi="Times New Roman"/>
          <w:sz w:val="24"/>
          <w:szCs w:val="24"/>
        </w:rPr>
        <w:t>Souverneva</w:t>
      </w:r>
      <w:proofErr w:type="spellEnd"/>
      <w:r w:rsidRPr="00C32C23">
        <w:rPr>
          <w:rFonts w:ascii="Times New Roman" w:hAnsi="Times New Roman"/>
          <w:sz w:val="24"/>
          <w:szCs w:val="24"/>
        </w:rPr>
        <w:t xml:space="preserve"> argues that inferring future dangerousness based on past marijuana use is error, and there was no evidence of violent conduct. But </w:t>
      </w:r>
      <w:proofErr w:type="spellStart"/>
      <w:r w:rsidRPr="00C32C23">
        <w:rPr>
          <w:rFonts w:ascii="Times New Roman" w:hAnsi="Times New Roman"/>
          <w:sz w:val="24"/>
          <w:szCs w:val="24"/>
        </w:rPr>
        <w:t>Souverneva's</w:t>
      </w:r>
      <w:proofErr w:type="spellEnd"/>
      <w:r w:rsidRPr="00C32C23">
        <w:rPr>
          <w:rFonts w:ascii="Times New Roman" w:hAnsi="Times New Roman"/>
          <w:sz w:val="24"/>
          <w:szCs w:val="24"/>
        </w:rPr>
        <w:t xml:space="preserve"> use of alcohol and marijuana resulted in her 2017 arrest for driving under the influence of alcohol and hit and run, and four years later, her arrest for driving under the influence of marijuana, offenses that endangered the lives of others.</w:t>
      </w:r>
    </w:p>
    <w:p w14:paraId="5D302AA2" w14:textId="77777777" w:rsidR="00C32C23" w:rsidRPr="00C32C23" w:rsidRDefault="00C32C23" w:rsidP="00C32C23">
      <w:pPr>
        <w:pStyle w:val="NoSpacing"/>
        <w:ind w:left="720"/>
        <w:rPr>
          <w:rFonts w:ascii="Times New Roman" w:hAnsi="Times New Roman"/>
          <w:bCs/>
          <w:sz w:val="24"/>
          <w:szCs w:val="24"/>
        </w:rPr>
      </w:pPr>
    </w:p>
    <w:p w14:paraId="1BE07367" w14:textId="77777777" w:rsidR="00C32C23" w:rsidRPr="00C32C23" w:rsidRDefault="00C32C23" w:rsidP="00C32C23">
      <w:pPr>
        <w:pStyle w:val="NoSpacing"/>
        <w:ind w:left="720"/>
        <w:rPr>
          <w:rFonts w:ascii="Times New Roman" w:hAnsi="Times New Roman"/>
          <w:bCs/>
          <w:sz w:val="24"/>
          <w:szCs w:val="24"/>
        </w:rPr>
      </w:pPr>
      <w:r w:rsidRPr="00C32C23">
        <w:rPr>
          <w:rFonts w:ascii="Times New Roman" w:hAnsi="Times New Roman"/>
          <w:sz w:val="24"/>
          <w:szCs w:val="24"/>
        </w:rPr>
        <w:t>***</w:t>
      </w:r>
    </w:p>
    <w:p w14:paraId="0CB7F523" w14:textId="77777777" w:rsidR="00C32C23" w:rsidRPr="00C32C23" w:rsidRDefault="00C32C23" w:rsidP="00C32C23">
      <w:pPr>
        <w:pStyle w:val="NoSpacing"/>
        <w:rPr>
          <w:rFonts w:ascii="Times New Roman" w:hAnsi="Times New Roman"/>
          <w:bCs/>
          <w:sz w:val="24"/>
          <w:szCs w:val="24"/>
        </w:rPr>
      </w:pPr>
    </w:p>
    <w:p w14:paraId="0843F478" w14:textId="77777777" w:rsidR="00C32C23" w:rsidRPr="00C32C23" w:rsidRDefault="00C32C23" w:rsidP="00C32C23">
      <w:pPr>
        <w:pStyle w:val="NoSpacing"/>
        <w:ind w:left="720"/>
        <w:rPr>
          <w:rFonts w:ascii="Times New Roman" w:hAnsi="Times New Roman"/>
          <w:bCs/>
          <w:sz w:val="24"/>
          <w:szCs w:val="24"/>
        </w:rPr>
      </w:pPr>
      <w:proofErr w:type="spellStart"/>
      <w:r w:rsidRPr="00C32C23">
        <w:rPr>
          <w:rFonts w:ascii="Times New Roman" w:hAnsi="Times New Roman"/>
          <w:sz w:val="24"/>
          <w:szCs w:val="24"/>
        </w:rPr>
        <w:t>Souverneva</w:t>
      </w:r>
      <w:proofErr w:type="spellEnd"/>
      <w:r w:rsidRPr="00C32C23">
        <w:rPr>
          <w:rFonts w:ascii="Times New Roman" w:hAnsi="Times New Roman"/>
          <w:sz w:val="24"/>
          <w:szCs w:val="24"/>
        </w:rPr>
        <w:t xml:space="preserve"> told Fire Captain </w:t>
      </w:r>
      <w:proofErr w:type="spellStart"/>
      <w:r w:rsidRPr="00C32C23">
        <w:rPr>
          <w:rFonts w:ascii="Times New Roman" w:hAnsi="Times New Roman"/>
          <w:sz w:val="24"/>
          <w:szCs w:val="24"/>
        </w:rPr>
        <w:t>Boic</w:t>
      </w:r>
      <w:proofErr w:type="spellEnd"/>
      <w:r w:rsidRPr="00C32C23">
        <w:rPr>
          <w:rFonts w:ascii="Times New Roman" w:hAnsi="Times New Roman"/>
          <w:sz w:val="24"/>
          <w:szCs w:val="24"/>
        </w:rPr>
        <w:t xml:space="preserve"> fires were good for the environment, and she was found walking </w:t>
      </w:r>
      <w:proofErr w:type="gramStart"/>
      <w:r w:rsidRPr="00C32C23">
        <w:rPr>
          <w:rFonts w:ascii="Times New Roman" w:hAnsi="Times New Roman"/>
          <w:sz w:val="24"/>
          <w:szCs w:val="24"/>
        </w:rPr>
        <w:t>in the area of</w:t>
      </w:r>
      <w:proofErr w:type="gramEnd"/>
      <w:r w:rsidRPr="00C32C23">
        <w:rPr>
          <w:rFonts w:ascii="Times New Roman" w:hAnsi="Times New Roman"/>
          <w:sz w:val="24"/>
          <w:szCs w:val="24"/>
        </w:rPr>
        <w:t xml:space="preserve"> the fires and possessed a working lighter and items she identified as a bomb and an incendiary device. </w:t>
      </w:r>
      <w:proofErr w:type="spellStart"/>
      <w:r w:rsidRPr="00C32C23">
        <w:rPr>
          <w:rFonts w:ascii="Times New Roman" w:hAnsi="Times New Roman"/>
          <w:sz w:val="24"/>
          <w:szCs w:val="24"/>
        </w:rPr>
        <w:t>Souverneva</w:t>
      </w:r>
      <w:proofErr w:type="spellEnd"/>
      <w:r w:rsidRPr="00C32C23">
        <w:rPr>
          <w:rFonts w:ascii="Times New Roman" w:hAnsi="Times New Roman"/>
          <w:sz w:val="24"/>
          <w:szCs w:val="24"/>
        </w:rPr>
        <w:t xml:space="preserve"> acknowledged that wildfires can cause loss of life. (</w:t>
      </w:r>
      <w:r w:rsidRPr="00C32C23">
        <w:rPr>
          <w:rFonts w:ascii="Times New Roman" w:hAnsi="Times New Roman"/>
          <w:i/>
          <w:iCs/>
          <w:sz w:val="24"/>
          <w:szCs w:val="24"/>
        </w:rPr>
        <w:t>Association of California Ins. Companies v. Jones</w:t>
      </w:r>
      <w:r w:rsidRPr="00C32C23">
        <w:rPr>
          <w:rFonts w:ascii="Times New Roman" w:hAnsi="Times New Roman"/>
          <w:sz w:val="24"/>
          <w:szCs w:val="24"/>
        </w:rPr>
        <w:t xml:space="preserve"> (2017) </w:t>
      </w:r>
      <w:hyperlink r:id="rId692" w:anchor="p382" w:history="1">
        <w:r w:rsidRPr="00C32C23">
          <w:rPr>
            <w:rStyle w:val="Hyperlink"/>
            <w:rFonts w:ascii="Times New Roman" w:hAnsi="Times New Roman"/>
            <w:sz w:val="24"/>
            <w:szCs w:val="24"/>
          </w:rPr>
          <w:t>2 Cal.5th 376, 382</w:t>
        </w:r>
      </w:hyperlink>
      <w:r w:rsidRPr="00C32C23">
        <w:rPr>
          <w:rFonts w:ascii="Times New Roman" w:hAnsi="Times New Roman"/>
          <w:sz w:val="24"/>
          <w:szCs w:val="24"/>
        </w:rPr>
        <w:t xml:space="preserve"> ["Wildfires are a fact of life in California, and so, too, are the threats they pose to people and property."]; </w:t>
      </w:r>
      <w:r w:rsidRPr="00C32C23">
        <w:rPr>
          <w:rFonts w:ascii="Times New Roman" w:hAnsi="Times New Roman"/>
          <w:i/>
          <w:iCs/>
          <w:sz w:val="24"/>
          <w:szCs w:val="24"/>
        </w:rPr>
        <w:t>Pacheco, supra</w:t>
      </w:r>
      <w:r w:rsidRPr="00C32C23">
        <w:rPr>
          <w:rFonts w:ascii="Times New Roman" w:hAnsi="Times New Roman"/>
          <w:sz w:val="24"/>
          <w:szCs w:val="24"/>
        </w:rPr>
        <w:t xml:space="preserve">, </w:t>
      </w:r>
      <w:hyperlink r:id="rId693" w:anchor="p209" w:history="1">
        <w:r w:rsidRPr="00C32C23">
          <w:rPr>
            <w:rStyle w:val="Hyperlink"/>
            <w:rFonts w:ascii="Times New Roman" w:hAnsi="Times New Roman"/>
            <w:sz w:val="24"/>
            <w:szCs w:val="24"/>
          </w:rPr>
          <w:t>75 Cal.App.5th at p. 209</w:t>
        </w:r>
      </w:hyperlink>
      <w:r w:rsidRPr="00C32C23">
        <w:rPr>
          <w:rFonts w:ascii="Times New Roman" w:hAnsi="Times New Roman"/>
          <w:sz w:val="24"/>
          <w:szCs w:val="24"/>
        </w:rPr>
        <w:t xml:space="preserve">.) In light of the severe potential consequences of starting wildfires, </w:t>
      </w:r>
      <w:proofErr w:type="spellStart"/>
      <w:r w:rsidRPr="00C32C23">
        <w:rPr>
          <w:rFonts w:ascii="Times New Roman" w:hAnsi="Times New Roman"/>
          <w:sz w:val="24"/>
          <w:szCs w:val="24"/>
        </w:rPr>
        <w:t>Souverneva's</w:t>
      </w:r>
      <w:proofErr w:type="spellEnd"/>
      <w:r w:rsidRPr="00C32C23">
        <w:rPr>
          <w:rFonts w:ascii="Times New Roman" w:hAnsi="Times New Roman"/>
          <w:sz w:val="24"/>
          <w:szCs w:val="24"/>
        </w:rPr>
        <w:t xml:space="preserve"> statement to the fire captain, </w:t>
      </w:r>
      <w:proofErr w:type="spellStart"/>
      <w:r w:rsidRPr="00C32C23">
        <w:rPr>
          <w:rFonts w:ascii="Times New Roman" w:hAnsi="Times New Roman"/>
          <w:sz w:val="24"/>
          <w:szCs w:val="24"/>
        </w:rPr>
        <w:t>Souverneva's</w:t>
      </w:r>
      <w:proofErr w:type="spellEnd"/>
      <w:r w:rsidRPr="00C32C23">
        <w:rPr>
          <w:rFonts w:ascii="Times New Roman" w:hAnsi="Times New Roman"/>
          <w:sz w:val="24"/>
          <w:szCs w:val="24"/>
        </w:rPr>
        <w:t xml:space="preserve"> failure to address her substance abuse, Dr. Caruso's opinion that marijuana use would likely cause </w:t>
      </w:r>
      <w:proofErr w:type="spellStart"/>
      <w:r w:rsidRPr="00C32C23">
        <w:rPr>
          <w:rFonts w:ascii="Times New Roman" w:hAnsi="Times New Roman"/>
          <w:sz w:val="24"/>
          <w:szCs w:val="24"/>
        </w:rPr>
        <w:t>Souverneva</w:t>
      </w:r>
      <w:proofErr w:type="spellEnd"/>
      <w:r w:rsidRPr="00C32C23">
        <w:rPr>
          <w:rFonts w:ascii="Times New Roman" w:hAnsi="Times New Roman"/>
          <w:sz w:val="24"/>
          <w:szCs w:val="24"/>
        </w:rPr>
        <w:t xml:space="preserve"> to detach from reality, and </w:t>
      </w:r>
      <w:proofErr w:type="spellStart"/>
      <w:r w:rsidRPr="00C32C23">
        <w:rPr>
          <w:rFonts w:ascii="Times New Roman" w:hAnsi="Times New Roman"/>
          <w:sz w:val="24"/>
          <w:szCs w:val="24"/>
        </w:rPr>
        <w:t>Souverneva's</w:t>
      </w:r>
      <w:proofErr w:type="spellEnd"/>
      <w:r w:rsidRPr="00C32C23">
        <w:rPr>
          <w:rFonts w:ascii="Times New Roman" w:hAnsi="Times New Roman"/>
          <w:sz w:val="24"/>
          <w:szCs w:val="24"/>
        </w:rPr>
        <w:t xml:space="preserve"> history of not complying with treatment, the trial court did not abuse its discretion in finding that granting </w:t>
      </w:r>
      <w:proofErr w:type="spellStart"/>
      <w:r w:rsidRPr="00C32C23">
        <w:rPr>
          <w:rFonts w:ascii="Times New Roman" w:hAnsi="Times New Roman"/>
          <w:sz w:val="24"/>
          <w:szCs w:val="24"/>
        </w:rPr>
        <w:t>Souverneva</w:t>
      </w:r>
      <w:proofErr w:type="spellEnd"/>
      <w:r w:rsidRPr="00C32C23">
        <w:rPr>
          <w:rFonts w:ascii="Times New Roman" w:hAnsi="Times New Roman"/>
          <w:sz w:val="24"/>
          <w:szCs w:val="24"/>
        </w:rPr>
        <w:t xml:space="preserve"> pretrial diversion would pose an unreasonable risk that she would start a wildfire and cause loss of life.”</w:t>
      </w:r>
    </w:p>
    <w:p w14:paraId="32064E46" w14:textId="77777777" w:rsidR="00C32C23" w:rsidRPr="00C32C23" w:rsidRDefault="00C32C23" w:rsidP="00C32C23">
      <w:pPr>
        <w:pStyle w:val="NoSpacing"/>
        <w:ind w:left="720"/>
        <w:rPr>
          <w:rFonts w:ascii="Times New Roman" w:hAnsi="Times New Roman"/>
          <w:bCs/>
          <w:sz w:val="24"/>
          <w:szCs w:val="24"/>
        </w:rPr>
      </w:pPr>
    </w:p>
    <w:p w14:paraId="36F5B37D" w14:textId="77777777" w:rsidR="00C32C23" w:rsidRPr="00C32C23" w:rsidRDefault="00C32C23" w:rsidP="00C32C23">
      <w:pPr>
        <w:pStyle w:val="NoSpacing"/>
        <w:rPr>
          <w:rFonts w:ascii="Times New Roman" w:hAnsi="Times New Roman"/>
          <w:b/>
          <w:sz w:val="24"/>
          <w:szCs w:val="24"/>
        </w:rPr>
      </w:pPr>
      <w:r w:rsidRPr="00C32C23">
        <w:rPr>
          <w:rFonts w:ascii="Times New Roman" w:hAnsi="Times New Roman"/>
          <w:b/>
          <w:sz w:val="24"/>
          <w:szCs w:val="24"/>
        </w:rPr>
        <w:t xml:space="preserve">Legal Lesson Learned:  The trial court properly found that during a fire risk emergency, a defendant who </w:t>
      </w:r>
      <w:proofErr w:type="gramStart"/>
      <w:r w:rsidRPr="00C32C23">
        <w:rPr>
          <w:rFonts w:ascii="Times New Roman" w:hAnsi="Times New Roman"/>
          <w:b/>
          <w:sz w:val="24"/>
          <w:szCs w:val="24"/>
        </w:rPr>
        <w:t>starting</w:t>
      </w:r>
      <w:proofErr w:type="gramEnd"/>
      <w:r w:rsidRPr="00C32C23">
        <w:rPr>
          <w:rFonts w:ascii="Times New Roman" w:hAnsi="Times New Roman"/>
          <w:b/>
          <w:sz w:val="24"/>
          <w:szCs w:val="24"/>
        </w:rPr>
        <w:t xml:space="preserve"> six fires with mental health and drug abuse, is a risk to the public. </w:t>
      </w:r>
    </w:p>
    <w:p w14:paraId="0AF39702" w14:textId="77777777" w:rsidR="00C32C23" w:rsidRPr="00C32C23" w:rsidRDefault="00C32C23" w:rsidP="00C32C23">
      <w:pPr>
        <w:pStyle w:val="NoSpacing"/>
        <w:rPr>
          <w:rFonts w:ascii="Times New Roman" w:hAnsi="Times New Roman"/>
          <w:bCs/>
          <w:sz w:val="24"/>
          <w:szCs w:val="24"/>
        </w:rPr>
      </w:pPr>
    </w:p>
    <w:p w14:paraId="3DF4DDFA" w14:textId="77777777" w:rsidR="00C32C23" w:rsidRPr="00C32C23" w:rsidRDefault="00C32C23" w:rsidP="00C32C23">
      <w:pPr>
        <w:pStyle w:val="NoSpacing"/>
        <w:ind w:left="720"/>
        <w:rPr>
          <w:rFonts w:ascii="Times New Roman" w:hAnsi="Times New Roman"/>
          <w:bCs/>
          <w:sz w:val="24"/>
          <w:szCs w:val="24"/>
        </w:rPr>
      </w:pPr>
      <w:r w:rsidRPr="00C32C23">
        <w:rPr>
          <w:rFonts w:ascii="Times New Roman" w:hAnsi="Times New Roman"/>
          <w:sz w:val="24"/>
          <w:szCs w:val="24"/>
        </w:rPr>
        <w:t>See Feb. 27, 2024, article  [TV VIDEO], “Fawn fire trial delayed again, Shasta County DA responds.” REDDING, Calif. — The</w:t>
      </w:r>
      <w:hyperlink r:id="rId694" w:tgtFrame="_blank" w:tooltip="https://krcrtv.com/news/local/long-awaited-settlement-conference-in-fawn-fire-arson-case-brings-hope-to-victims#" w:history="1">
        <w:r w:rsidRPr="00C32C23">
          <w:rPr>
            <w:rStyle w:val="Hyperlink"/>
            <w:rFonts w:ascii="Times New Roman" w:hAnsi="Times New Roman"/>
            <w:sz w:val="24"/>
            <w:szCs w:val="24"/>
          </w:rPr>
          <w:t xml:space="preserve"> Fawn Fire trial </w:t>
        </w:r>
      </w:hyperlink>
      <w:r w:rsidRPr="00C32C23">
        <w:rPr>
          <w:rFonts w:ascii="Times New Roman" w:hAnsi="Times New Roman"/>
          <w:sz w:val="24"/>
          <w:szCs w:val="24"/>
        </w:rPr>
        <w:t xml:space="preserve">has been postponed again. Alleged arsonist </w:t>
      </w:r>
      <w:hyperlink r:id="rId695" w:tgtFrame="_blank" w:tooltip="https://krcrtv.com/news/local/long-awaited-settlement-conference-in-fawn-fire-arson-case-brings-hope-to-victims#" w:history="1">
        <w:r w:rsidRPr="00C32C23">
          <w:rPr>
            <w:rStyle w:val="Hyperlink"/>
            <w:rFonts w:ascii="Times New Roman" w:hAnsi="Times New Roman"/>
            <w:sz w:val="24"/>
            <w:szCs w:val="24"/>
          </w:rPr>
          <w:t>Alexandra Souverneva</w:t>
        </w:r>
      </w:hyperlink>
      <w:r w:rsidRPr="00C32C23">
        <w:rPr>
          <w:rFonts w:ascii="Times New Roman" w:hAnsi="Times New Roman"/>
          <w:sz w:val="24"/>
          <w:szCs w:val="24"/>
        </w:rPr>
        <w:t xml:space="preserve"> will no longer be starting trial on March 1.</w:t>
      </w:r>
    </w:p>
    <w:p w14:paraId="75F486C6" w14:textId="77777777" w:rsidR="00C32C23" w:rsidRPr="00C32C23" w:rsidRDefault="00C32C23" w:rsidP="00C32C23">
      <w:pPr>
        <w:pStyle w:val="NoSpacing"/>
        <w:ind w:left="720"/>
        <w:rPr>
          <w:rFonts w:ascii="Times New Roman" w:hAnsi="Times New Roman"/>
          <w:bCs/>
          <w:sz w:val="24"/>
          <w:szCs w:val="24"/>
        </w:rPr>
      </w:pPr>
      <w:r w:rsidRPr="00C32C23">
        <w:rPr>
          <w:rFonts w:ascii="Times New Roman" w:hAnsi="Times New Roman"/>
          <w:sz w:val="24"/>
          <w:szCs w:val="24"/>
        </w:rPr>
        <w:t>Shasta County District Attorney Stephanie Bridgett says this was discussed in court Monday, where her attorney once again filed for a mental health diversion. It's been 2.5 years since the fire took place, burning homes and land in north Redding for 10 days, destroying nearly 200 structures and burning nearly 9,000 acres. Bridgett says that trials can be a lengthy process, especially when they involve felonies.</w:t>
      </w:r>
    </w:p>
    <w:p w14:paraId="501D28F5" w14:textId="77777777" w:rsidR="00BD564D" w:rsidRPr="00C32C23" w:rsidRDefault="00BD564D" w:rsidP="00BD564D">
      <w:pPr>
        <w:pStyle w:val="NoSpacing"/>
        <w:rPr>
          <w:rFonts w:ascii="Times New Roman" w:hAnsi="Times New Roman"/>
          <w:sz w:val="24"/>
          <w:szCs w:val="24"/>
        </w:rPr>
      </w:pPr>
    </w:p>
    <w:p w14:paraId="1A5AACB2" w14:textId="77777777" w:rsidR="00FE0B61" w:rsidRDefault="00FE0B61" w:rsidP="00F326E5">
      <w:pPr>
        <w:pStyle w:val="NoSpacing"/>
        <w:rPr>
          <w:rFonts w:ascii="Arial Black" w:hAnsi="Arial Black"/>
          <w:sz w:val="28"/>
          <w:szCs w:val="28"/>
        </w:rPr>
      </w:pPr>
    </w:p>
    <w:p w14:paraId="13C7DB7C" w14:textId="2DF49090" w:rsidR="00CB0F04" w:rsidRDefault="00A0601A" w:rsidP="00F326E5">
      <w:pPr>
        <w:pStyle w:val="NoSpacing"/>
        <w:rPr>
          <w:rFonts w:ascii="Arial Black" w:hAnsi="Arial Black"/>
          <w:sz w:val="28"/>
          <w:szCs w:val="28"/>
        </w:rPr>
      </w:pPr>
      <w:r>
        <w:rPr>
          <w:rFonts w:ascii="Arial Black" w:hAnsi="Arial Black"/>
          <w:sz w:val="28"/>
          <w:szCs w:val="28"/>
        </w:rPr>
        <w:t>3-69</w:t>
      </w:r>
    </w:p>
    <w:p w14:paraId="04185549" w14:textId="77777777" w:rsidR="00A0601A" w:rsidRDefault="00A0601A" w:rsidP="00F326E5">
      <w:pPr>
        <w:pStyle w:val="NoSpacing"/>
        <w:rPr>
          <w:rFonts w:ascii="Arial Black" w:hAnsi="Arial Black"/>
          <w:sz w:val="28"/>
          <w:szCs w:val="28"/>
        </w:rPr>
      </w:pPr>
    </w:p>
    <w:p w14:paraId="6D798485" w14:textId="77777777" w:rsidR="00A0601A" w:rsidRDefault="00A0601A" w:rsidP="00A0601A">
      <w:pPr>
        <w:pStyle w:val="NoSpacing"/>
        <w:rPr>
          <w:b/>
        </w:rPr>
      </w:pPr>
      <w:r>
        <w:rPr>
          <w:rFonts w:ascii="Arial Black" w:hAnsi="Arial Black"/>
          <w:b/>
          <w:sz w:val="28"/>
          <w:szCs w:val="28"/>
        </w:rPr>
        <w:t xml:space="preserve">IL: PELLET GUN - MIDDLE SCHOOL STUDENT LOCKER – SAME DAY UVALDE, TX MASS SHOOTING – 1-YR SUSP. </w:t>
      </w:r>
    </w:p>
    <w:p w14:paraId="69DDD6FA" w14:textId="77777777" w:rsidR="00A0601A" w:rsidRDefault="00A0601A" w:rsidP="00A0601A">
      <w:pPr>
        <w:pStyle w:val="NoSpacing"/>
        <w:ind w:firstLine="720"/>
        <w:rPr>
          <w:b/>
        </w:rPr>
      </w:pPr>
    </w:p>
    <w:p w14:paraId="7E8D2DFA" w14:textId="77777777" w:rsidR="00A0601A" w:rsidRPr="00301E8E" w:rsidRDefault="00A0601A" w:rsidP="00A0601A">
      <w:pPr>
        <w:pStyle w:val="NoSpacing"/>
        <w:rPr>
          <w:rFonts w:ascii="Times New Roman" w:hAnsi="Times New Roman"/>
          <w:b/>
          <w:sz w:val="24"/>
          <w:szCs w:val="24"/>
        </w:rPr>
      </w:pPr>
      <w:r w:rsidRPr="00301E8E">
        <w:rPr>
          <w:rFonts w:ascii="Times New Roman" w:hAnsi="Times New Roman"/>
          <w:sz w:val="24"/>
          <w:szCs w:val="24"/>
        </w:rPr>
        <w:t xml:space="preserve">On Nov. 27, 2024, in </w:t>
      </w:r>
      <w:r w:rsidRPr="00301E8E">
        <w:rPr>
          <w:rFonts w:ascii="Times New Roman" w:hAnsi="Times New Roman"/>
          <w:sz w:val="24"/>
          <w:szCs w:val="24"/>
          <w:u w:val="single"/>
        </w:rPr>
        <w:t>A.A., a minor, by and through his next friend and parent, Elizabeth Pasillas v. Board of Education, Summit School District No. 104</w:t>
      </w:r>
      <w:r w:rsidRPr="00301E8E">
        <w:rPr>
          <w:rFonts w:ascii="Times New Roman" w:hAnsi="Times New Roman"/>
          <w:sz w:val="24"/>
          <w:szCs w:val="24"/>
        </w:rPr>
        <w:t xml:space="preserve">, the Appellate Court of Illinois, First District, held (2 to 1), that the School Board properly suspended the 13-year-old for one-year, overturning decision by trial court judge. The pellet gun was discovered on May 24, 2022, the same day that a mass shooter murdered 19 fourth graders and two teachers at an elementary school in Uvalde, Texas. The Court wrote: “However, it is entirely reasonable for the school officials to have taken the national school shooting landscape into consideration when deciding A.A.’s discipline. One of the determinations that the officials had to make under subsection (b-20) was whether A.A.’s ongoing presence would ‘substantially disrupt, impede, or interfere with the operation of the school.’ That analysis would logically include a consideration of the effect of A.A.’s presence on his classmates and their educational environment. Given the prevalence of school shootings in this country, it would be natural for A.A.’s fellow students to be wary and concerned about the presence of someone who brought a lookalike gun to school.” </w:t>
      </w:r>
      <w:hyperlink r:id="rId696" w:history="1">
        <w:r w:rsidRPr="00301E8E">
          <w:rPr>
            <w:rStyle w:val="Hyperlink"/>
            <w:rFonts w:ascii="Times New Roman" w:hAnsi="Times New Roman"/>
            <w:sz w:val="24"/>
            <w:szCs w:val="24"/>
          </w:rPr>
          <w:t>https://ilcourtsaudio.blob.core.windows.net/antilles-resources/resources/aa9ece1f-338b-4d77-9d21-fd7bfa316d8e/A.A.%20%20v.%20Board%20of%20Education%20of%20Summit%20School%20District%20No.%20104,%202024%20IL%20App%20(1st)%20232451.pdf</w:t>
        </w:r>
      </w:hyperlink>
      <w:r w:rsidRPr="00301E8E">
        <w:rPr>
          <w:rFonts w:ascii="Times New Roman" w:hAnsi="Times New Roman"/>
          <w:sz w:val="24"/>
          <w:szCs w:val="24"/>
        </w:rPr>
        <w:t xml:space="preserve"> </w:t>
      </w:r>
    </w:p>
    <w:p w14:paraId="0929C503" w14:textId="77777777" w:rsidR="00A0601A" w:rsidRPr="00301E8E" w:rsidRDefault="00A0601A" w:rsidP="00A0601A">
      <w:pPr>
        <w:pStyle w:val="NoSpacing"/>
        <w:ind w:firstLine="720"/>
        <w:rPr>
          <w:rFonts w:ascii="Times New Roman" w:hAnsi="Times New Roman"/>
          <w:b/>
          <w:sz w:val="24"/>
          <w:szCs w:val="24"/>
        </w:rPr>
      </w:pPr>
    </w:p>
    <w:p w14:paraId="43C81279" w14:textId="4C34B2AE" w:rsidR="00A0601A" w:rsidRPr="00301E8E" w:rsidRDefault="00301E8E" w:rsidP="00F326E5">
      <w:pPr>
        <w:pStyle w:val="NoSpacing"/>
        <w:rPr>
          <w:rFonts w:ascii="Times New Roman" w:hAnsi="Times New Roman"/>
          <w:sz w:val="24"/>
          <w:szCs w:val="24"/>
        </w:rPr>
      </w:pPr>
      <w:r w:rsidRPr="00301E8E">
        <w:rPr>
          <w:rFonts w:ascii="Times New Roman" w:hAnsi="Times New Roman"/>
          <w:sz w:val="24"/>
          <w:szCs w:val="24"/>
        </w:rPr>
        <w:t>See Dissent</w:t>
      </w:r>
    </w:p>
    <w:p w14:paraId="483F1582" w14:textId="77777777" w:rsidR="00301E8E" w:rsidRPr="00301E8E" w:rsidRDefault="00301E8E" w:rsidP="00F326E5">
      <w:pPr>
        <w:pStyle w:val="NoSpacing"/>
        <w:rPr>
          <w:rFonts w:ascii="Times New Roman" w:hAnsi="Times New Roman"/>
          <w:sz w:val="24"/>
          <w:szCs w:val="24"/>
        </w:rPr>
      </w:pPr>
    </w:p>
    <w:p w14:paraId="22ACFF37" w14:textId="77777777" w:rsidR="00301E8E" w:rsidRPr="00301E8E" w:rsidRDefault="00301E8E" w:rsidP="00301E8E">
      <w:pPr>
        <w:pStyle w:val="NoSpacing"/>
        <w:rPr>
          <w:rFonts w:ascii="Times New Roman" w:hAnsi="Times New Roman"/>
          <w:b/>
          <w:bCs/>
          <w:sz w:val="24"/>
          <w:szCs w:val="24"/>
        </w:rPr>
      </w:pPr>
      <w:r w:rsidRPr="00301E8E">
        <w:rPr>
          <w:rFonts w:ascii="Times New Roman" w:hAnsi="Times New Roman"/>
          <w:b/>
          <w:sz w:val="24"/>
          <w:szCs w:val="24"/>
        </w:rPr>
        <w:t xml:space="preserve">Legal Lesson Learned:  The 1-year suspension certainly sends a message to all students in the school; nice to read about State statute mandating 2-year expulsion for bringing firearm to school. </w:t>
      </w:r>
    </w:p>
    <w:p w14:paraId="61C7A709" w14:textId="77777777" w:rsidR="00301E8E" w:rsidRPr="00301E8E" w:rsidRDefault="00301E8E" w:rsidP="00301E8E">
      <w:pPr>
        <w:pStyle w:val="NoSpacing"/>
        <w:rPr>
          <w:rFonts w:ascii="Times New Roman" w:hAnsi="Times New Roman"/>
          <w:sz w:val="24"/>
          <w:szCs w:val="24"/>
        </w:rPr>
      </w:pPr>
    </w:p>
    <w:p w14:paraId="3B82C42E" w14:textId="77777777" w:rsidR="00301E8E" w:rsidRDefault="00301E8E" w:rsidP="00F326E5">
      <w:pPr>
        <w:pStyle w:val="NoSpacing"/>
        <w:rPr>
          <w:rFonts w:ascii="Arial Black" w:hAnsi="Arial Black"/>
          <w:sz w:val="28"/>
          <w:szCs w:val="28"/>
        </w:rPr>
      </w:pPr>
    </w:p>
    <w:p w14:paraId="0C83CB93" w14:textId="77777777" w:rsidR="00A0601A" w:rsidRDefault="00A0601A" w:rsidP="00F326E5">
      <w:pPr>
        <w:pStyle w:val="NoSpacing"/>
        <w:rPr>
          <w:rFonts w:ascii="Arial Black" w:hAnsi="Arial Black"/>
          <w:sz w:val="28"/>
          <w:szCs w:val="28"/>
        </w:rPr>
      </w:pPr>
    </w:p>
    <w:p w14:paraId="31D314A8" w14:textId="77777777" w:rsidR="00A0601A" w:rsidRDefault="00A0601A" w:rsidP="00F326E5">
      <w:pPr>
        <w:pStyle w:val="NoSpacing"/>
        <w:rPr>
          <w:rFonts w:ascii="Arial Black" w:hAnsi="Arial Black"/>
          <w:sz w:val="28"/>
          <w:szCs w:val="28"/>
        </w:rPr>
      </w:pPr>
    </w:p>
    <w:p w14:paraId="7A4D821E" w14:textId="77777777" w:rsidR="00A0601A" w:rsidRDefault="00A0601A" w:rsidP="00F326E5">
      <w:pPr>
        <w:pStyle w:val="NoSpacing"/>
        <w:rPr>
          <w:rFonts w:ascii="Arial Black" w:hAnsi="Arial Black"/>
          <w:sz w:val="28"/>
          <w:szCs w:val="28"/>
        </w:rPr>
      </w:pPr>
    </w:p>
    <w:p w14:paraId="27D66F02" w14:textId="176A6070" w:rsidR="00110AE2" w:rsidRDefault="0098663B" w:rsidP="00F326E5">
      <w:pPr>
        <w:pStyle w:val="NoSpacing"/>
        <w:rPr>
          <w:rFonts w:ascii="Arial Black" w:hAnsi="Arial Black"/>
          <w:sz w:val="28"/>
          <w:szCs w:val="28"/>
        </w:rPr>
      </w:pPr>
      <w:r>
        <w:rPr>
          <w:rFonts w:ascii="Arial Black" w:hAnsi="Arial Black"/>
          <w:sz w:val="28"/>
          <w:szCs w:val="28"/>
        </w:rPr>
        <w:t>3-68</w:t>
      </w:r>
    </w:p>
    <w:p w14:paraId="62B8B05B" w14:textId="77777777" w:rsidR="0098663B" w:rsidRDefault="0098663B" w:rsidP="00F326E5">
      <w:pPr>
        <w:pStyle w:val="NoSpacing"/>
        <w:rPr>
          <w:rFonts w:ascii="Arial Black" w:hAnsi="Arial Black"/>
          <w:sz w:val="28"/>
          <w:szCs w:val="28"/>
        </w:rPr>
      </w:pPr>
    </w:p>
    <w:p w14:paraId="2EFBF4EA" w14:textId="77777777" w:rsidR="00452CAA" w:rsidRPr="00AF49D1" w:rsidRDefault="00452CAA" w:rsidP="00452CAA">
      <w:pPr>
        <w:rPr>
          <w:rFonts w:ascii="Times New Roman" w:hAnsi="Times New Roman"/>
          <w:b/>
          <w:bCs/>
          <w:sz w:val="24"/>
          <w:szCs w:val="24"/>
        </w:rPr>
      </w:pPr>
      <w:r w:rsidRPr="00AF49D1">
        <w:rPr>
          <w:rFonts w:ascii="Times New Roman" w:hAnsi="Times New Roman"/>
          <w:b/>
          <w:bCs/>
          <w:sz w:val="24"/>
          <w:szCs w:val="24"/>
        </w:rPr>
        <w:t>DC: SECRET SERVICE PROTECTION – NO ENTERING RESTRICTED ZONE – CAPITOL INVASION – 14 DAYS JAIL</w:t>
      </w:r>
    </w:p>
    <w:p w14:paraId="12EF7FB7" w14:textId="77777777" w:rsidR="00452CAA" w:rsidRPr="00AF49D1" w:rsidRDefault="00452CAA" w:rsidP="00452CAA">
      <w:pPr>
        <w:rPr>
          <w:rFonts w:ascii="Times New Roman" w:hAnsi="Times New Roman"/>
          <w:sz w:val="24"/>
          <w:szCs w:val="24"/>
        </w:rPr>
      </w:pPr>
      <w:r w:rsidRPr="00AF49D1">
        <w:rPr>
          <w:rFonts w:ascii="Times New Roman" w:hAnsi="Times New Roman"/>
          <w:sz w:val="24"/>
          <w:szCs w:val="24"/>
        </w:rPr>
        <w:t xml:space="preserve">On Oct. 22, </w:t>
      </w:r>
      <w:proofErr w:type="gramStart"/>
      <w:r w:rsidRPr="00AF49D1">
        <w:rPr>
          <w:rFonts w:ascii="Times New Roman" w:hAnsi="Times New Roman"/>
          <w:sz w:val="24"/>
          <w:szCs w:val="24"/>
        </w:rPr>
        <w:t>2024</w:t>
      </w:r>
      <w:proofErr w:type="gramEnd"/>
      <w:r w:rsidRPr="00AF49D1">
        <w:rPr>
          <w:rFonts w:ascii="Times New Roman" w:hAnsi="Times New Roman"/>
          <w:sz w:val="24"/>
          <w:szCs w:val="24"/>
        </w:rPr>
        <w:t xml:space="preserve"> in </w:t>
      </w:r>
      <w:r w:rsidRPr="00AF49D1">
        <w:rPr>
          <w:rFonts w:ascii="Times New Roman" w:hAnsi="Times New Roman"/>
          <w:sz w:val="24"/>
          <w:szCs w:val="24"/>
          <w:u w:val="single"/>
        </w:rPr>
        <w:t xml:space="preserve">United States </w:t>
      </w:r>
      <w:proofErr w:type="spellStart"/>
      <w:r w:rsidRPr="00AF49D1">
        <w:rPr>
          <w:rFonts w:ascii="Times New Roman" w:hAnsi="Times New Roman"/>
          <w:sz w:val="24"/>
          <w:szCs w:val="24"/>
          <w:u w:val="single"/>
        </w:rPr>
        <w:t>o</w:t>
      </w:r>
      <w:proofErr w:type="spellEnd"/>
      <w:r w:rsidRPr="00AF49D1">
        <w:rPr>
          <w:rFonts w:ascii="Times New Roman" w:hAnsi="Times New Roman"/>
          <w:sz w:val="24"/>
          <w:szCs w:val="24"/>
          <w:u w:val="single"/>
        </w:rPr>
        <w:t xml:space="preserve"> America v. Couy Griffin</w:t>
      </w:r>
      <w:r w:rsidRPr="00AF49D1">
        <w:rPr>
          <w:rFonts w:ascii="Times New Roman" w:hAnsi="Times New Roman"/>
          <w:sz w:val="24"/>
          <w:szCs w:val="24"/>
        </w:rPr>
        <w:t xml:space="preserve">, the U.S. Court of Appeals for the District of Columbia Circuit, held (3 to 0): “This appeal turns on interpretation of a federal law enacted to better protect the President and other national leaders from assassination, kidnapping, and assault. The law creates a narrow domain of federal trespass authority to prevent unauthorized members of the public from getting too close to a person under Secret Service protection.*** The defendant says a person ‘knowingly enters’ the restricted safety zone only if he knows that the basis of the restriction is to safeguard a Secret Service </w:t>
      </w:r>
      <w:proofErr w:type="spellStart"/>
      <w:r w:rsidRPr="00AF49D1">
        <w:rPr>
          <w:rFonts w:ascii="Times New Roman" w:hAnsi="Times New Roman"/>
          <w:sz w:val="24"/>
          <w:szCs w:val="24"/>
        </w:rPr>
        <w:t>protectee</w:t>
      </w:r>
      <w:proofErr w:type="spellEnd"/>
      <w:r w:rsidRPr="00AF49D1">
        <w:rPr>
          <w:rFonts w:ascii="Times New Roman" w:hAnsi="Times New Roman"/>
          <w:sz w:val="24"/>
          <w:szCs w:val="24"/>
        </w:rPr>
        <w:t xml:space="preserve">. Id. § 1752(a)(1). We hold that knowingly breaching the restricted area suffices, even without knowing the basis of the restriction—here, the presence of Vice President Pence at the Capitol on January 6—which merely confirms that such trespasses are within Congress’s legislative authority.” </w:t>
      </w:r>
      <w:hyperlink r:id="rId697" w:history="1">
        <w:r w:rsidRPr="00AF49D1">
          <w:rPr>
            <w:rStyle w:val="Hyperlink"/>
            <w:rFonts w:ascii="Times New Roman" w:hAnsi="Times New Roman"/>
            <w:sz w:val="24"/>
            <w:szCs w:val="24"/>
          </w:rPr>
          <w:t>https://media.cadc.uscourts.gov/opinions/docs/2024/10/22-3042-2081254.pdf</w:t>
        </w:r>
      </w:hyperlink>
      <w:r w:rsidRPr="00AF49D1">
        <w:rPr>
          <w:rFonts w:ascii="Times New Roman" w:hAnsi="Times New Roman"/>
          <w:sz w:val="24"/>
          <w:szCs w:val="24"/>
        </w:rPr>
        <w:t xml:space="preserve"> </w:t>
      </w:r>
    </w:p>
    <w:p w14:paraId="0A96FF24" w14:textId="77777777" w:rsidR="00AF49D1" w:rsidRPr="00AF49D1" w:rsidRDefault="00AF49D1" w:rsidP="00AF49D1">
      <w:pPr>
        <w:rPr>
          <w:rFonts w:ascii="Times New Roman" w:hAnsi="Times New Roman"/>
          <w:b/>
          <w:sz w:val="24"/>
          <w:szCs w:val="24"/>
        </w:rPr>
      </w:pPr>
      <w:r w:rsidRPr="00AF49D1">
        <w:rPr>
          <w:rFonts w:ascii="Times New Roman" w:hAnsi="Times New Roman"/>
          <w:b/>
          <w:sz w:val="24"/>
          <w:szCs w:val="24"/>
        </w:rPr>
        <w:lastRenderedPageBreak/>
        <w:t>Legal Lesson Learned: May not enter a Secret Service restricted area.</w:t>
      </w:r>
    </w:p>
    <w:p w14:paraId="45AA9D3A" w14:textId="77777777" w:rsidR="00110AE2" w:rsidRDefault="00110AE2" w:rsidP="00F326E5">
      <w:pPr>
        <w:pStyle w:val="NoSpacing"/>
        <w:rPr>
          <w:rFonts w:ascii="Arial Black" w:hAnsi="Arial Black"/>
          <w:sz w:val="28"/>
          <w:szCs w:val="28"/>
        </w:rPr>
      </w:pPr>
    </w:p>
    <w:p w14:paraId="03FC858C" w14:textId="686D56DF" w:rsidR="00110AE2" w:rsidRDefault="00110AE2" w:rsidP="00F326E5">
      <w:pPr>
        <w:pStyle w:val="NoSpacing"/>
        <w:rPr>
          <w:rFonts w:ascii="Arial Black" w:hAnsi="Arial Black"/>
          <w:sz w:val="28"/>
          <w:szCs w:val="28"/>
        </w:rPr>
      </w:pPr>
      <w:r>
        <w:rPr>
          <w:rFonts w:ascii="Arial Black" w:hAnsi="Arial Black"/>
          <w:sz w:val="28"/>
          <w:szCs w:val="28"/>
        </w:rPr>
        <w:t>3-67</w:t>
      </w:r>
    </w:p>
    <w:p w14:paraId="42B61BAD" w14:textId="77777777" w:rsidR="000F2630" w:rsidRDefault="000F2630" w:rsidP="00F326E5">
      <w:pPr>
        <w:pStyle w:val="NoSpacing"/>
        <w:rPr>
          <w:rFonts w:ascii="Arial Black" w:hAnsi="Arial Black"/>
          <w:sz w:val="28"/>
          <w:szCs w:val="28"/>
        </w:rPr>
      </w:pPr>
    </w:p>
    <w:p w14:paraId="0ADB3C0D" w14:textId="77777777" w:rsidR="0037347A" w:rsidRPr="00A56F69" w:rsidRDefault="0037347A" w:rsidP="0037347A">
      <w:pPr>
        <w:pStyle w:val="NoSpacing"/>
        <w:rPr>
          <w:rFonts w:ascii="Times New Roman" w:hAnsi="Times New Roman"/>
          <w:b/>
          <w:bCs/>
          <w:sz w:val="24"/>
          <w:szCs w:val="24"/>
        </w:rPr>
      </w:pPr>
      <w:r w:rsidRPr="00A56F69">
        <w:rPr>
          <w:rFonts w:ascii="Times New Roman" w:hAnsi="Times New Roman"/>
          <w:b/>
          <w:bCs/>
          <w:sz w:val="24"/>
          <w:szCs w:val="24"/>
        </w:rPr>
        <w:t>U.S. SUPREME CT - DOMESTIC RESTRAINING ORDER – BOYFRIEND FIREARM, VIOL. FED. LAW - CONSTITUTIONAL</w:t>
      </w:r>
    </w:p>
    <w:p w14:paraId="179B63BD" w14:textId="77777777" w:rsidR="0037347A" w:rsidRPr="00A56F69" w:rsidRDefault="0037347A" w:rsidP="0037347A">
      <w:pPr>
        <w:pStyle w:val="NoSpacing"/>
        <w:rPr>
          <w:rFonts w:ascii="Times New Roman" w:hAnsi="Times New Roman"/>
          <w:sz w:val="24"/>
          <w:szCs w:val="24"/>
        </w:rPr>
      </w:pPr>
    </w:p>
    <w:p w14:paraId="3F4E1929" w14:textId="77777777" w:rsidR="0037347A" w:rsidRPr="00A56F69" w:rsidRDefault="0037347A" w:rsidP="0037347A">
      <w:pPr>
        <w:pStyle w:val="NoSpacing"/>
        <w:rPr>
          <w:rFonts w:ascii="Times New Roman" w:hAnsi="Times New Roman"/>
          <w:sz w:val="24"/>
          <w:szCs w:val="24"/>
        </w:rPr>
      </w:pPr>
      <w:r w:rsidRPr="00A56F69">
        <w:rPr>
          <w:rFonts w:ascii="Times New Roman" w:hAnsi="Times New Roman"/>
          <w:sz w:val="24"/>
          <w:szCs w:val="24"/>
        </w:rPr>
        <w:t xml:space="preserve">On June 21, 2024, in </w:t>
      </w:r>
      <w:r w:rsidRPr="00A56F69">
        <w:rPr>
          <w:rFonts w:ascii="Times New Roman" w:hAnsi="Times New Roman"/>
          <w:sz w:val="24"/>
          <w:szCs w:val="24"/>
          <w:u w:val="single"/>
        </w:rPr>
        <w:t>United States v. Zackey Rahimi</w:t>
      </w:r>
      <w:r w:rsidRPr="00A56F69">
        <w:rPr>
          <w:rFonts w:ascii="Times New Roman" w:hAnsi="Times New Roman"/>
          <w:sz w:val="24"/>
          <w:szCs w:val="24"/>
        </w:rPr>
        <w:t>, the U.S. Supreme Court held (8 to 1): “A federal statute prohibits an individual subject to a domestic violence restraining order from possessing a firearm if that order includes a finding that he ‘represents a credible threat to the physical safety of [an] intimate partner,’ or a child of the partner or individual. 18 U. S. C.</w:t>
      </w:r>
    </w:p>
    <w:p w14:paraId="32280905" w14:textId="77777777" w:rsidR="0037347A" w:rsidRPr="00A56F69" w:rsidRDefault="0037347A" w:rsidP="0037347A">
      <w:pPr>
        <w:pStyle w:val="NoSpacing"/>
        <w:rPr>
          <w:rFonts w:ascii="Times New Roman" w:hAnsi="Times New Roman"/>
          <w:sz w:val="24"/>
          <w:szCs w:val="24"/>
        </w:rPr>
      </w:pPr>
      <w:r w:rsidRPr="00A56F69">
        <w:rPr>
          <w:rFonts w:ascii="Times New Roman" w:hAnsi="Times New Roman"/>
          <w:sz w:val="24"/>
          <w:szCs w:val="24"/>
        </w:rPr>
        <w:t xml:space="preserve">§922(g)(8). Respondent Zackey Rahimi is subject to such an order. The question is whether this provision may be enforced against him </w:t>
      </w:r>
      <w:proofErr w:type="gramStart"/>
      <w:r w:rsidRPr="00A56F69">
        <w:rPr>
          <w:rFonts w:ascii="Times New Roman" w:hAnsi="Times New Roman"/>
          <w:sz w:val="24"/>
          <w:szCs w:val="24"/>
        </w:rPr>
        <w:t>consistent</w:t>
      </w:r>
      <w:proofErr w:type="gramEnd"/>
      <w:r w:rsidRPr="00A56F69">
        <w:rPr>
          <w:rFonts w:ascii="Times New Roman" w:hAnsi="Times New Roman"/>
          <w:sz w:val="24"/>
          <w:szCs w:val="24"/>
        </w:rPr>
        <w:t xml:space="preserve"> with the Second Amendment. *** In Heller, McDonald, and Bruen, this Court did not ‘undertake an exhaustive historical analysis . . . of the full scope of the Second Amendment.’ Bruen, 597 U. S., at 31. Nor do we do so today. Rather, we conclude only this: An individual found by a court </w:t>
      </w:r>
      <w:proofErr w:type="gramStart"/>
      <w:r w:rsidRPr="00A56F69">
        <w:rPr>
          <w:rFonts w:ascii="Times New Roman" w:hAnsi="Times New Roman"/>
          <w:sz w:val="24"/>
          <w:szCs w:val="24"/>
        </w:rPr>
        <w:t>to pose</w:t>
      </w:r>
      <w:proofErr w:type="gramEnd"/>
      <w:r w:rsidRPr="00A56F69">
        <w:rPr>
          <w:rFonts w:ascii="Times New Roman" w:hAnsi="Times New Roman"/>
          <w:sz w:val="24"/>
          <w:szCs w:val="24"/>
        </w:rPr>
        <w:t xml:space="preserve"> a credible threat to the</w:t>
      </w:r>
    </w:p>
    <w:p w14:paraId="44EED776" w14:textId="77777777" w:rsidR="0037347A" w:rsidRPr="00A56F69" w:rsidRDefault="0037347A" w:rsidP="0037347A">
      <w:pPr>
        <w:pStyle w:val="NoSpacing"/>
        <w:rPr>
          <w:rFonts w:ascii="Times New Roman" w:hAnsi="Times New Roman"/>
          <w:sz w:val="24"/>
          <w:szCs w:val="24"/>
        </w:rPr>
      </w:pPr>
      <w:r w:rsidRPr="00A56F69">
        <w:rPr>
          <w:rFonts w:ascii="Times New Roman" w:hAnsi="Times New Roman"/>
          <w:sz w:val="24"/>
          <w:szCs w:val="24"/>
        </w:rPr>
        <w:t>physical safety of another may be temporarily disarmed consistent with the Second Amendment.”</w:t>
      </w:r>
    </w:p>
    <w:p w14:paraId="19CCB11F" w14:textId="77777777" w:rsidR="0037347A" w:rsidRPr="00A56F69" w:rsidRDefault="0037347A" w:rsidP="0037347A">
      <w:pPr>
        <w:pStyle w:val="NoSpacing"/>
        <w:rPr>
          <w:rFonts w:ascii="Times New Roman" w:hAnsi="Times New Roman"/>
          <w:sz w:val="24"/>
          <w:szCs w:val="24"/>
        </w:rPr>
      </w:pPr>
      <w:r w:rsidRPr="00A56F69">
        <w:rPr>
          <w:rFonts w:ascii="Times New Roman" w:hAnsi="Times New Roman"/>
          <w:sz w:val="24"/>
          <w:szCs w:val="24"/>
        </w:rPr>
        <w:t xml:space="preserve"> </w:t>
      </w:r>
      <w:hyperlink r:id="rId698" w:history="1">
        <w:r w:rsidRPr="00A56F69">
          <w:rPr>
            <w:rStyle w:val="Hyperlink"/>
            <w:rFonts w:ascii="Times New Roman" w:hAnsi="Times New Roman"/>
            <w:sz w:val="24"/>
            <w:szCs w:val="24"/>
          </w:rPr>
          <w:t>https://www.supremecourt.gov/opinions/23pdf/22-915_8o6b.pdf</w:t>
        </w:r>
      </w:hyperlink>
    </w:p>
    <w:p w14:paraId="32F86230" w14:textId="77777777" w:rsidR="000F2630" w:rsidRPr="00A56F69" w:rsidRDefault="000F2630" w:rsidP="00F326E5">
      <w:pPr>
        <w:pStyle w:val="NoSpacing"/>
        <w:rPr>
          <w:rFonts w:ascii="Times New Roman" w:hAnsi="Times New Roman"/>
          <w:sz w:val="24"/>
          <w:szCs w:val="24"/>
        </w:rPr>
      </w:pPr>
    </w:p>
    <w:p w14:paraId="74BC7125" w14:textId="77777777" w:rsidR="00A56F69" w:rsidRPr="00A56F69" w:rsidRDefault="00A56F69" w:rsidP="00A56F69">
      <w:pPr>
        <w:pStyle w:val="NoSpacing"/>
        <w:rPr>
          <w:rFonts w:ascii="Times New Roman" w:hAnsi="Times New Roman"/>
          <w:b/>
          <w:bCs/>
          <w:sz w:val="24"/>
          <w:szCs w:val="24"/>
        </w:rPr>
      </w:pPr>
      <w:r w:rsidRPr="00A56F69">
        <w:rPr>
          <w:rFonts w:ascii="Times New Roman" w:hAnsi="Times New Roman"/>
          <w:b/>
          <w:sz w:val="24"/>
          <w:szCs w:val="24"/>
        </w:rPr>
        <w:t>Legal Lesson Learned: This decision will hopefully help reduce gun violence involving domestic partners.</w:t>
      </w:r>
    </w:p>
    <w:p w14:paraId="52BE973A" w14:textId="77777777" w:rsidR="00A56F69" w:rsidRPr="00A56F69" w:rsidRDefault="00A56F69" w:rsidP="00F326E5">
      <w:pPr>
        <w:pStyle w:val="NoSpacing"/>
        <w:rPr>
          <w:rFonts w:ascii="Times New Roman" w:hAnsi="Times New Roman"/>
          <w:sz w:val="24"/>
          <w:szCs w:val="24"/>
        </w:rPr>
      </w:pPr>
    </w:p>
    <w:p w14:paraId="42E11DEB" w14:textId="77777777" w:rsidR="00110AE2" w:rsidRDefault="00110AE2" w:rsidP="00F326E5">
      <w:pPr>
        <w:pStyle w:val="NoSpacing"/>
        <w:rPr>
          <w:rFonts w:ascii="Arial Black" w:hAnsi="Arial Black"/>
          <w:sz w:val="28"/>
          <w:szCs w:val="28"/>
        </w:rPr>
      </w:pPr>
    </w:p>
    <w:p w14:paraId="6BBA7B66" w14:textId="099C0E66" w:rsidR="0015698F" w:rsidRDefault="0015698F" w:rsidP="00F326E5">
      <w:pPr>
        <w:pStyle w:val="NoSpacing"/>
        <w:rPr>
          <w:rFonts w:ascii="Arial Black" w:hAnsi="Arial Black"/>
          <w:sz w:val="28"/>
          <w:szCs w:val="28"/>
        </w:rPr>
      </w:pPr>
      <w:r>
        <w:rPr>
          <w:rFonts w:ascii="Arial Black" w:hAnsi="Arial Black"/>
          <w:sz w:val="28"/>
          <w:szCs w:val="28"/>
        </w:rPr>
        <w:t>3-6</w:t>
      </w:r>
      <w:r w:rsidR="00ED4EAF">
        <w:rPr>
          <w:rFonts w:ascii="Arial Black" w:hAnsi="Arial Black"/>
          <w:sz w:val="28"/>
          <w:szCs w:val="28"/>
        </w:rPr>
        <w:t>6</w:t>
      </w:r>
    </w:p>
    <w:p w14:paraId="6B52C21B" w14:textId="77777777" w:rsidR="0015698F" w:rsidRDefault="0015698F" w:rsidP="00F326E5">
      <w:pPr>
        <w:pStyle w:val="NoSpacing"/>
        <w:rPr>
          <w:rFonts w:ascii="Arial Black" w:hAnsi="Arial Black"/>
          <w:sz w:val="28"/>
          <w:szCs w:val="28"/>
        </w:rPr>
      </w:pPr>
    </w:p>
    <w:p w14:paraId="64DBD312" w14:textId="77777777" w:rsidR="00F46BC0" w:rsidRPr="006C4A6E" w:rsidRDefault="00F46BC0" w:rsidP="00F46BC0">
      <w:pPr>
        <w:pStyle w:val="NoSpacing"/>
        <w:rPr>
          <w:rFonts w:ascii="Arial Black" w:hAnsi="Arial Black"/>
          <w:sz w:val="28"/>
        </w:rPr>
      </w:pPr>
      <w:r>
        <w:rPr>
          <w:rFonts w:ascii="Arial Black" w:hAnsi="Arial Black"/>
          <w:sz w:val="28"/>
        </w:rPr>
        <w:t>NY: NY CITY 2020 CURFEWS UPHELD – GEORGE FLOYD DEMONSTRATIONS - VIOLENCE FOR SIX NIGHTS</w:t>
      </w:r>
    </w:p>
    <w:p w14:paraId="603D5013" w14:textId="77777777" w:rsidR="00F46BC0" w:rsidRDefault="00F46BC0" w:rsidP="00F46BC0">
      <w:pPr>
        <w:pStyle w:val="NoSpacing"/>
        <w:rPr>
          <w:szCs w:val="24"/>
        </w:rPr>
      </w:pPr>
    </w:p>
    <w:p w14:paraId="2B35D061" w14:textId="77777777" w:rsidR="00F46BC0" w:rsidRPr="00F46BC0" w:rsidRDefault="00F46BC0" w:rsidP="00F46BC0">
      <w:pPr>
        <w:pStyle w:val="NoSpacing"/>
        <w:rPr>
          <w:rFonts w:ascii="Times New Roman" w:hAnsi="Times New Roman"/>
          <w:sz w:val="24"/>
          <w:szCs w:val="24"/>
        </w:rPr>
      </w:pPr>
      <w:r w:rsidRPr="00F46BC0">
        <w:rPr>
          <w:rFonts w:ascii="Times New Roman" w:hAnsi="Times New Roman"/>
          <w:sz w:val="24"/>
          <w:szCs w:val="24"/>
        </w:rPr>
        <w:t xml:space="preserve">On August 16, 2024, in </w:t>
      </w:r>
      <w:r w:rsidRPr="00F46BC0">
        <w:rPr>
          <w:rFonts w:ascii="Times New Roman" w:hAnsi="Times New Roman"/>
          <w:sz w:val="24"/>
          <w:szCs w:val="24"/>
          <w:u w:val="single"/>
        </w:rPr>
        <w:t>Lamel Jeffery, et al. v. City of New York, et al</w:t>
      </w:r>
      <w:r w:rsidRPr="00F46BC0">
        <w:rPr>
          <w:rFonts w:ascii="Times New Roman" w:hAnsi="Times New Roman"/>
          <w:sz w:val="24"/>
          <w:szCs w:val="24"/>
        </w:rPr>
        <w:t>., the U.S. Court of Appeal for the 2</w:t>
      </w:r>
      <w:r w:rsidRPr="00F46BC0">
        <w:rPr>
          <w:rFonts w:ascii="Times New Roman" w:hAnsi="Times New Roman"/>
          <w:sz w:val="24"/>
          <w:szCs w:val="24"/>
          <w:vertAlign w:val="superscript"/>
        </w:rPr>
        <w:t>nd</w:t>
      </w:r>
      <w:r w:rsidRPr="00F46BC0">
        <w:rPr>
          <w:rFonts w:ascii="Times New Roman" w:hAnsi="Times New Roman"/>
          <w:sz w:val="24"/>
          <w:szCs w:val="24"/>
        </w:rPr>
        <w:t xml:space="preserve"> Circuit (New York City) held (3 to 0) that the nighttime curfew restrictions were lawful. The Court wrote: “At issue on this appeal is a constitutional challenge to a nighttime curfew imposed throughout New York City (‘City’) for the one-week period between June 1 and June 7, 2020, in response to violence and destruction attending certain public demonstrations protesting the May 25, 2020 death of George Floyd at the hands of Minneapolis police (‘Floyd demonstrations’). *** “The curfew here … was imposed in response to documented violence, destruction, and looting ‘across multiple areas’ of a large, densely populated city….  The curfew here… was imposed in response to criminality ‘border[</w:t>
      </w:r>
      <w:proofErr w:type="spellStart"/>
      <w:r w:rsidRPr="00F46BC0">
        <w:rPr>
          <w:rFonts w:ascii="Times New Roman" w:hAnsi="Times New Roman"/>
          <w:sz w:val="24"/>
          <w:szCs w:val="24"/>
        </w:rPr>
        <w:t>ing</w:t>
      </w:r>
      <w:proofErr w:type="spellEnd"/>
      <w:r w:rsidRPr="00F46BC0">
        <w:rPr>
          <w:rFonts w:ascii="Times New Roman" w:hAnsi="Times New Roman"/>
          <w:sz w:val="24"/>
          <w:szCs w:val="24"/>
        </w:rPr>
        <w:t xml:space="preserve">] on chaos….’ Further … the </w:t>
      </w:r>
      <w:proofErr w:type="gramStart"/>
      <w:r w:rsidRPr="00F46BC0">
        <w:rPr>
          <w:rFonts w:ascii="Times New Roman" w:hAnsi="Times New Roman"/>
          <w:sz w:val="24"/>
          <w:szCs w:val="24"/>
        </w:rPr>
        <w:t>City</w:t>
      </w:r>
      <w:proofErr w:type="gramEnd"/>
      <w:r w:rsidRPr="00F46BC0">
        <w:rPr>
          <w:rFonts w:ascii="Times New Roman" w:hAnsi="Times New Roman"/>
          <w:sz w:val="24"/>
          <w:szCs w:val="24"/>
        </w:rPr>
        <w:t xml:space="preserve"> here employed a ‘measured approach’ to curb criminal activity…. It first relied on traditional policing; then, when criminality escalated, it supplemented traditional policing with a one-night curfew; then, when criminality continued to escalate, it extended the curfew for an additional six nights; and finally, when conditions improved and stabilized, the City ended the curfew one night early…. In these circumstances, even on strict scrutiny, we conclude as a matter of law that the extended curfew was narrowly tailored to employ the least restrictive means to serve the City's compelling public interest in curbing escalating crime and restoring order.”  </w:t>
      </w:r>
    </w:p>
    <w:p w14:paraId="4A87ED28" w14:textId="77777777" w:rsidR="00F46BC0" w:rsidRPr="00F46BC0" w:rsidRDefault="00F46BC0" w:rsidP="00F46BC0">
      <w:pPr>
        <w:pStyle w:val="NoSpacing"/>
        <w:rPr>
          <w:rFonts w:ascii="Times New Roman" w:hAnsi="Times New Roman"/>
          <w:sz w:val="24"/>
          <w:szCs w:val="24"/>
        </w:rPr>
      </w:pPr>
      <w:hyperlink r:id="rId699" w:anchor="xml=https://ww3.ca2.uscourts.gov/decisions/isysquery/c68b6681-8ae3-446b-8305-2841de8ec224/1/hilite/" w:history="1">
        <w:r w:rsidRPr="00F46BC0">
          <w:rPr>
            <w:rStyle w:val="Hyperlink"/>
            <w:rFonts w:ascii="Times New Roman" w:hAnsi="Times New Roman"/>
            <w:sz w:val="24"/>
            <w:szCs w:val="24"/>
          </w:rPr>
          <w:t>https://ww3.ca2.uscourts.gov/decisions/isysquery/c68b6681-8ae3-446b-8305-2841de8ec224/1/doc/22-2745_opn.pdf#xml=https://ww3.ca2.uscourts.gov/decisions/isysquery/c68b6681-8ae3-446b-8305-2841de8ec224/1/hilite/</w:t>
        </w:r>
      </w:hyperlink>
      <w:r w:rsidRPr="00F46BC0">
        <w:rPr>
          <w:rFonts w:ascii="Times New Roman" w:hAnsi="Times New Roman"/>
          <w:sz w:val="24"/>
          <w:szCs w:val="24"/>
        </w:rPr>
        <w:t xml:space="preserve"> </w:t>
      </w:r>
    </w:p>
    <w:p w14:paraId="5BA20227" w14:textId="77777777" w:rsidR="00F46BC0" w:rsidRPr="00F46BC0" w:rsidRDefault="00F46BC0" w:rsidP="00F46BC0">
      <w:pPr>
        <w:pStyle w:val="NoSpacing"/>
        <w:rPr>
          <w:rFonts w:ascii="Times New Roman" w:hAnsi="Times New Roman"/>
          <w:sz w:val="24"/>
          <w:szCs w:val="24"/>
        </w:rPr>
      </w:pPr>
    </w:p>
    <w:p w14:paraId="71397E36" w14:textId="77777777" w:rsidR="00F46BC0" w:rsidRPr="00F46BC0" w:rsidRDefault="00F46BC0" w:rsidP="00F46BC0">
      <w:pPr>
        <w:pStyle w:val="NoSpacing"/>
        <w:rPr>
          <w:rFonts w:ascii="Times New Roman" w:hAnsi="Times New Roman"/>
          <w:sz w:val="24"/>
          <w:szCs w:val="24"/>
        </w:rPr>
      </w:pPr>
      <w:r w:rsidRPr="00F46BC0">
        <w:rPr>
          <w:rFonts w:ascii="Times New Roman" w:hAnsi="Times New Roman"/>
          <w:sz w:val="24"/>
          <w:szCs w:val="24"/>
        </w:rPr>
        <w:t xml:space="preserve">THE COURT HELD: </w:t>
      </w:r>
    </w:p>
    <w:p w14:paraId="45ABDAF9" w14:textId="77777777" w:rsidR="00F46BC0" w:rsidRPr="00F46BC0" w:rsidRDefault="00F46BC0" w:rsidP="00F46BC0">
      <w:pPr>
        <w:pStyle w:val="NoSpacing"/>
        <w:rPr>
          <w:rFonts w:ascii="Times New Roman" w:hAnsi="Times New Roman"/>
          <w:sz w:val="24"/>
          <w:szCs w:val="24"/>
        </w:rPr>
      </w:pPr>
    </w:p>
    <w:p w14:paraId="6CFC57F3" w14:textId="77777777" w:rsidR="00F46BC0" w:rsidRPr="00F46BC0" w:rsidRDefault="00F46BC0" w:rsidP="00F46BC0">
      <w:pPr>
        <w:pStyle w:val="NoSpacing"/>
        <w:ind w:left="720"/>
        <w:rPr>
          <w:rFonts w:ascii="Times New Roman" w:hAnsi="Times New Roman"/>
          <w:sz w:val="24"/>
          <w:szCs w:val="24"/>
        </w:rPr>
      </w:pPr>
      <w:r w:rsidRPr="00F46BC0">
        <w:rPr>
          <w:rFonts w:ascii="Times New Roman" w:hAnsi="Times New Roman"/>
          <w:sz w:val="24"/>
          <w:szCs w:val="24"/>
        </w:rPr>
        <w:lastRenderedPageBreak/>
        <w:t>“Even when viewed ‘in the light most favorable to plaintiffs,” the facts alleged in plaintiffs’ complaint … admit a single conclusion, i.e., that the challenged curfew—implemented against the highly unusual and well-documented confluence of a deadly global pandemic and nationwide Floyd demonstrations—(1) served compelling governmental interests in curbing escalating crime and restoring public order, and (2) was narrowly tailored to those interests….  Accordingly, we affirm the challenged judgment of dismissal.”</w:t>
      </w:r>
    </w:p>
    <w:p w14:paraId="27C6E8C9" w14:textId="77777777" w:rsidR="00F46BC0" w:rsidRPr="00F46BC0" w:rsidRDefault="00F46BC0" w:rsidP="00F46BC0">
      <w:pPr>
        <w:pStyle w:val="NoSpacing"/>
        <w:rPr>
          <w:rFonts w:ascii="Times New Roman" w:hAnsi="Times New Roman"/>
          <w:sz w:val="24"/>
          <w:szCs w:val="24"/>
        </w:rPr>
      </w:pPr>
    </w:p>
    <w:p w14:paraId="14DD22E4" w14:textId="77777777" w:rsidR="00F46BC0" w:rsidRPr="00F46BC0" w:rsidRDefault="00F46BC0" w:rsidP="00F46BC0">
      <w:pPr>
        <w:pStyle w:val="NoSpacing"/>
        <w:ind w:left="720"/>
        <w:rPr>
          <w:rFonts w:ascii="Times New Roman" w:hAnsi="Times New Roman"/>
          <w:sz w:val="24"/>
          <w:szCs w:val="24"/>
        </w:rPr>
      </w:pPr>
      <w:r w:rsidRPr="00F46BC0">
        <w:rPr>
          <w:rFonts w:ascii="Times New Roman" w:hAnsi="Times New Roman"/>
          <w:sz w:val="24"/>
          <w:szCs w:val="24"/>
        </w:rPr>
        <w:t>“The curfew here … was imposed in response to documented violence, destruction, and looting ‘across multiple areas’ of a large, densely populated city….  The curfew here… was imposed in response to criminality ‘border[</w:t>
      </w:r>
      <w:proofErr w:type="spellStart"/>
      <w:r w:rsidRPr="00F46BC0">
        <w:rPr>
          <w:rFonts w:ascii="Times New Roman" w:hAnsi="Times New Roman"/>
          <w:sz w:val="24"/>
          <w:szCs w:val="24"/>
        </w:rPr>
        <w:t>ing</w:t>
      </w:r>
      <w:proofErr w:type="spellEnd"/>
      <w:r w:rsidRPr="00F46BC0">
        <w:rPr>
          <w:rFonts w:ascii="Times New Roman" w:hAnsi="Times New Roman"/>
          <w:sz w:val="24"/>
          <w:szCs w:val="24"/>
        </w:rPr>
        <w:t xml:space="preserve">] on chaos….’ Further … the </w:t>
      </w:r>
      <w:proofErr w:type="gramStart"/>
      <w:r w:rsidRPr="00F46BC0">
        <w:rPr>
          <w:rFonts w:ascii="Times New Roman" w:hAnsi="Times New Roman"/>
          <w:sz w:val="24"/>
          <w:szCs w:val="24"/>
        </w:rPr>
        <w:t>City</w:t>
      </w:r>
      <w:proofErr w:type="gramEnd"/>
      <w:r w:rsidRPr="00F46BC0">
        <w:rPr>
          <w:rFonts w:ascii="Times New Roman" w:hAnsi="Times New Roman"/>
          <w:sz w:val="24"/>
          <w:szCs w:val="24"/>
        </w:rPr>
        <w:t xml:space="preserve"> here employed a ‘measured approach’ to curb criminal activity…. It first relied on traditional policing; then, when criminality escalated, it supplemented traditional policing with a one-night curfew; then, when criminality continued to escalate, it extended the curfew for an additional six nights; and finally, when conditions improved and stabilized, the City ended the curfew one night early…. In these circumstances, even on strict scrutiny, we conclude as a matter of law that the extended curfew was narrowly tailored to employ the least restrictive means to serve the City's compelling public interest in curbing escalating crime and restoring order.”  </w:t>
      </w:r>
    </w:p>
    <w:p w14:paraId="2F95AB6A" w14:textId="77777777" w:rsidR="00F46BC0" w:rsidRPr="00F46BC0" w:rsidRDefault="00F46BC0" w:rsidP="00F46BC0">
      <w:pPr>
        <w:pStyle w:val="NoSpacing"/>
        <w:ind w:left="720"/>
        <w:rPr>
          <w:rFonts w:ascii="Times New Roman" w:hAnsi="Times New Roman"/>
          <w:sz w:val="24"/>
          <w:szCs w:val="24"/>
        </w:rPr>
      </w:pPr>
    </w:p>
    <w:p w14:paraId="1BDDD521" w14:textId="77777777" w:rsidR="00F46BC0" w:rsidRPr="00F46BC0" w:rsidRDefault="00F46BC0" w:rsidP="00F46BC0">
      <w:pPr>
        <w:pStyle w:val="NoSpacing"/>
        <w:rPr>
          <w:rFonts w:ascii="Times New Roman" w:hAnsi="Times New Roman"/>
          <w:b/>
          <w:bCs/>
          <w:sz w:val="24"/>
          <w:szCs w:val="24"/>
        </w:rPr>
      </w:pPr>
      <w:r w:rsidRPr="00F46BC0">
        <w:rPr>
          <w:rFonts w:ascii="Times New Roman" w:hAnsi="Times New Roman"/>
          <w:b/>
          <w:bCs/>
          <w:sz w:val="24"/>
          <w:szCs w:val="24"/>
        </w:rPr>
        <w:t xml:space="preserve">Legal Lesson Learned: Curfews are a lawful response to widespread violence. </w:t>
      </w:r>
    </w:p>
    <w:p w14:paraId="284621BD" w14:textId="77777777" w:rsidR="00F46BC0" w:rsidRPr="00F46BC0" w:rsidRDefault="00F46BC0" w:rsidP="00F46BC0">
      <w:pPr>
        <w:pStyle w:val="NoSpacing"/>
        <w:rPr>
          <w:rFonts w:ascii="Times New Roman" w:hAnsi="Times New Roman"/>
          <w:sz w:val="24"/>
          <w:szCs w:val="24"/>
        </w:rPr>
      </w:pPr>
    </w:p>
    <w:p w14:paraId="34FF1458" w14:textId="77777777" w:rsidR="00780B64" w:rsidRDefault="00780B64" w:rsidP="00F326E5">
      <w:pPr>
        <w:pStyle w:val="NoSpacing"/>
        <w:rPr>
          <w:rFonts w:ascii="Arial Black" w:hAnsi="Arial Black"/>
          <w:sz w:val="28"/>
          <w:szCs w:val="28"/>
        </w:rPr>
      </w:pPr>
    </w:p>
    <w:p w14:paraId="2CF15ECC" w14:textId="77777777" w:rsidR="0015698F" w:rsidRDefault="0015698F" w:rsidP="00F326E5">
      <w:pPr>
        <w:pStyle w:val="NoSpacing"/>
        <w:rPr>
          <w:rFonts w:ascii="Arial Black" w:hAnsi="Arial Black"/>
          <w:sz w:val="28"/>
          <w:szCs w:val="28"/>
        </w:rPr>
      </w:pPr>
    </w:p>
    <w:p w14:paraId="362ECEB9" w14:textId="07FA00FC" w:rsidR="00A755CA" w:rsidRDefault="00A755CA" w:rsidP="00F326E5">
      <w:pPr>
        <w:pStyle w:val="NoSpacing"/>
        <w:rPr>
          <w:rFonts w:ascii="Arial Black" w:hAnsi="Arial Black"/>
          <w:sz w:val="28"/>
          <w:szCs w:val="28"/>
        </w:rPr>
      </w:pPr>
      <w:r>
        <w:rPr>
          <w:rFonts w:ascii="Arial Black" w:hAnsi="Arial Black"/>
          <w:sz w:val="28"/>
          <w:szCs w:val="28"/>
        </w:rPr>
        <w:t>3-6</w:t>
      </w:r>
      <w:r w:rsidR="00ED4EAF">
        <w:rPr>
          <w:rFonts w:ascii="Arial Black" w:hAnsi="Arial Black"/>
          <w:sz w:val="28"/>
          <w:szCs w:val="28"/>
        </w:rPr>
        <w:t>5</w:t>
      </w:r>
    </w:p>
    <w:p w14:paraId="457DBF89" w14:textId="77777777" w:rsidR="00A755CA" w:rsidRDefault="00A755CA" w:rsidP="00F326E5">
      <w:pPr>
        <w:pStyle w:val="NoSpacing"/>
        <w:rPr>
          <w:rFonts w:ascii="Arial Black" w:hAnsi="Arial Black"/>
          <w:sz w:val="28"/>
          <w:szCs w:val="28"/>
        </w:rPr>
      </w:pPr>
    </w:p>
    <w:p w14:paraId="6644BEEB" w14:textId="4C7245C7" w:rsidR="00A755CA" w:rsidRPr="005634B1" w:rsidRDefault="00A755CA" w:rsidP="00A755CA">
      <w:pPr>
        <w:pStyle w:val="NoSpacing"/>
        <w:rPr>
          <w:rFonts w:ascii="Arial Black" w:hAnsi="Arial Black"/>
          <w:sz w:val="28"/>
          <w:szCs w:val="28"/>
          <w:shd w:val="clear" w:color="auto" w:fill="FFFFFF"/>
        </w:rPr>
      </w:pPr>
      <w:r>
        <w:rPr>
          <w:rFonts w:ascii="Arial Black" w:hAnsi="Arial Black"/>
          <w:sz w:val="28"/>
          <w:szCs w:val="28"/>
          <w:shd w:val="clear" w:color="auto" w:fill="FFFFFF"/>
        </w:rPr>
        <w:t xml:space="preserve">IL: DEMOCRATIC NATIONAL CONVENTION - SECURITY ORDINANCE – </w:t>
      </w:r>
      <w:r w:rsidR="00FB156D">
        <w:rPr>
          <w:rFonts w:ascii="Arial Black" w:hAnsi="Arial Black"/>
          <w:sz w:val="28"/>
          <w:szCs w:val="28"/>
          <w:shd w:val="clear" w:color="auto" w:fill="FFFFFF"/>
        </w:rPr>
        <w:t xml:space="preserve">PROHIBITED </w:t>
      </w:r>
      <w:r>
        <w:rPr>
          <w:rFonts w:ascii="Arial Black" w:hAnsi="Arial Black"/>
          <w:sz w:val="28"/>
          <w:szCs w:val="28"/>
          <w:shd w:val="clear" w:color="auto" w:fill="FFFFFF"/>
        </w:rPr>
        <w:t xml:space="preserve">OBJECTS “SAFETY HAZARD” - LAWFUL </w:t>
      </w:r>
    </w:p>
    <w:p w14:paraId="765D3375" w14:textId="77777777" w:rsidR="00A755CA" w:rsidRDefault="00A755CA" w:rsidP="00A755CA">
      <w:pPr>
        <w:pStyle w:val="NoSpacing"/>
        <w:rPr>
          <w:rFonts w:ascii="Times New Roman" w:hAnsi="Times New Roman"/>
          <w:sz w:val="24"/>
          <w:szCs w:val="24"/>
          <w:shd w:val="clear" w:color="auto" w:fill="FFFFFF"/>
        </w:rPr>
      </w:pPr>
    </w:p>
    <w:p w14:paraId="708BF388" w14:textId="77777777" w:rsidR="00A755CA" w:rsidRDefault="00A755CA" w:rsidP="00A755CA">
      <w:pPr>
        <w:pStyle w:val="NoSpacing"/>
        <w:rPr>
          <w:rFonts w:ascii="Times New Roman" w:hAnsi="Times New Roman"/>
          <w:color w:val="454545"/>
          <w:sz w:val="24"/>
          <w:szCs w:val="24"/>
          <w:shd w:val="clear" w:color="auto" w:fill="FFFFFF"/>
        </w:rPr>
      </w:pPr>
      <w:r>
        <w:rPr>
          <w:rFonts w:ascii="Times New Roman" w:hAnsi="Times New Roman"/>
          <w:sz w:val="24"/>
          <w:szCs w:val="24"/>
          <w:shd w:val="clear" w:color="auto" w:fill="FFFFFF"/>
        </w:rPr>
        <w:t xml:space="preserve">On July 19, 2024. </w:t>
      </w:r>
      <w:r w:rsidRPr="0080280F">
        <w:rPr>
          <w:rFonts w:ascii="Times New Roman" w:hAnsi="Times New Roman"/>
          <w:sz w:val="24"/>
          <w:szCs w:val="24"/>
          <w:shd w:val="clear" w:color="auto" w:fill="FFFFFF"/>
        </w:rPr>
        <w:t xml:space="preserve">in </w:t>
      </w:r>
      <w:r w:rsidRPr="0080280F">
        <w:rPr>
          <w:rFonts w:ascii="Times New Roman" w:hAnsi="Times New Roman"/>
          <w:color w:val="454545"/>
          <w:sz w:val="24"/>
          <w:szCs w:val="24"/>
          <w:u w:val="single"/>
          <w:shd w:val="clear" w:color="auto" w:fill="FFFFFF"/>
        </w:rPr>
        <w:t>Coalition for Reproductive Justice &amp; LGBTQ+ Liberation, et al., Plaintiffs, v. City of Chicago</w:t>
      </w:r>
      <w:r>
        <w:rPr>
          <w:rFonts w:ascii="Times New Roman" w:hAnsi="Times New Roman"/>
          <w:b/>
          <w:bCs/>
          <w:color w:val="454545"/>
          <w:sz w:val="24"/>
          <w:szCs w:val="24"/>
          <w:shd w:val="clear" w:color="auto" w:fill="FFFFFF"/>
        </w:rPr>
        <w:t xml:space="preserve">, </w:t>
      </w:r>
      <w:r>
        <w:rPr>
          <w:rFonts w:ascii="Times New Roman" w:hAnsi="Times New Roman"/>
          <w:color w:val="454545"/>
          <w:sz w:val="24"/>
          <w:szCs w:val="24"/>
          <w:shd w:val="clear" w:color="auto" w:fill="FFFFFF"/>
        </w:rPr>
        <w:t xml:space="preserve">U.S. District Court Judge Thomas M. Durkin denied an injunction sought by a group that plans to hold demonstrations at the Convention.  On April 17, 2024, the City enacted an ordinance that listed items prohibited in the “Security Footprint” including </w:t>
      </w:r>
      <w:r w:rsidRPr="0091585B">
        <w:rPr>
          <w:rFonts w:ascii="Times New Roman" w:hAnsi="Times New Roman"/>
          <w:color w:val="454545"/>
          <w:sz w:val="24"/>
          <w:szCs w:val="24"/>
          <w:shd w:val="clear" w:color="auto" w:fill="FFFFFF"/>
        </w:rPr>
        <w:t>laptops, sealed packages, drones, firearms,</w:t>
      </w:r>
      <w:r>
        <w:rPr>
          <w:rFonts w:ascii="Times New Roman" w:hAnsi="Times New Roman"/>
          <w:color w:val="454545"/>
          <w:sz w:val="24"/>
          <w:szCs w:val="24"/>
          <w:shd w:val="clear" w:color="auto" w:fill="FFFFFF"/>
        </w:rPr>
        <w:t xml:space="preserve"> </w:t>
      </w:r>
      <w:r w:rsidRPr="0091585B">
        <w:rPr>
          <w:rFonts w:ascii="Times New Roman" w:hAnsi="Times New Roman"/>
          <w:color w:val="454545"/>
          <w:sz w:val="24"/>
          <w:szCs w:val="24"/>
          <w:shd w:val="clear" w:color="auto" w:fill="FFFFFF"/>
        </w:rPr>
        <w:t>ammunition, tents, “[a]</w:t>
      </w:r>
      <w:proofErr w:type="spellStart"/>
      <w:r w:rsidRPr="0091585B">
        <w:rPr>
          <w:rFonts w:ascii="Times New Roman" w:hAnsi="Times New Roman"/>
          <w:color w:val="454545"/>
          <w:sz w:val="24"/>
          <w:szCs w:val="24"/>
          <w:shd w:val="clear" w:color="auto" w:fill="FFFFFF"/>
        </w:rPr>
        <w:t>ny</w:t>
      </w:r>
      <w:proofErr w:type="spellEnd"/>
      <w:r w:rsidRPr="0091585B">
        <w:rPr>
          <w:rFonts w:ascii="Times New Roman" w:hAnsi="Times New Roman"/>
          <w:color w:val="454545"/>
          <w:sz w:val="24"/>
          <w:szCs w:val="24"/>
          <w:shd w:val="clear" w:color="auto" w:fill="FFFFFF"/>
        </w:rPr>
        <w:t xml:space="preserve"> pointed object(s) including knives of any kind</w:t>
      </w:r>
      <w:r>
        <w:rPr>
          <w:rFonts w:ascii="Times New Roman" w:hAnsi="Times New Roman"/>
          <w:color w:val="454545"/>
          <w:sz w:val="24"/>
          <w:szCs w:val="24"/>
          <w:shd w:val="clear" w:color="auto" w:fill="FFFFFF"/>
        </w:rPr>
        <w:t>” and other items that are a “</w:t>
      </w:r>
      <w:r w:rsidRPr="00763162">
        <w:rPr>
          <w:rFonts w:ascii="Times New Roman" w:hAnsi="Times New Roman"/>
          <w:sz w:val="24"/>
          <w:szCs w:val="24"/>
          <w:shd w:val="clear" w:color="auto" w:fill="FFFFFF"/>
        </w:rPr>
        <w:t>potential safety hazard</w:t>
      </w:r>
      <w:r>
        <w:rPr>
          <w:rFonts w:ascii="Times New Roman" w:hAnsi="Times New Roman"/>
          <w:sz w:val="24"/>
          <w:szCs w:val="24"/>
          <w:shd w:val="clear" w:color="auto" w:fill="FFFFFF"/>
        </w:rPr>
        <w:t xml:space="preserve">.” </w:t>
      </w:r>
      <w:r w:rsidRPr="00763162">
        <w:rPr>
          <w:rFonts w:ascii="Times New Roman" w:hAnsi="Times New Roman"/>
          <w:sz w:val="24"/>
          <w:szCs w:val="24"/>
          <w:shd w:val="clear" w:color="auto" w:fill="FFFFFF"/>
        </w:rPr>
        <w:t xml:space="preserve"> </w:t>
      </w:r>
      <w:r w:rsidRPr="00515584">
        <w:rPr>
          <w:rFonts w:ascii="Times New Roman" w:hAnsi="Times New Roman"/>
          <w:color w:val="454545"/>
          <w:sz w:val="24"/>
          <w:szCs w:val="24"/>
          <w:shd w:val="clear" w:color="auto" w:fill="FFFFFF"/>
        </w:rPr>
        <w:t>Plaintiffs provide affidavits stating, for example, that they intend to bring</w:t>
      </w:r>
      <w:r>
        <w:rPr>
          <w:rFonts w:ascii="Times New Roman" w:hAnsi="Times New Roman"/>
          <w:color w:val="454545"/>
          <w:sz w:val="24"/>
          <w:szCs w:val="24"/>
          <w:shd w:val="clear" w:color="auto" w:fill="FFFFFF"/>
        </w:rPr>
        <w:t xml:space="preserve"> </w:t>
      </w:r>
      <w:r w:rsidRPr="00515584">
        <w:rPr>
          <w:rFonts w:ascii="Times New Roman" w:hAnsi="Times New Roman"/>
          <w:color w:val="454545"/>
          <w:sz w:val="24"/>
          <w:szCs w:val="24"/>
          <w:shd w:val="clear" w:color="auto" w:fill="FFFFFF"/>
        </w:rPr>
        <w:t xml:space="preserve">pens, first aid kits containing scissors, and </w:t>
      </w:r>
      <w:r>
        <w:rPr>
          <w:rFonts w:ascii="Times New Roman" w:hAnsi="Times New Roman"/>
          <w:color w:val="454545"/>
          <w:sz w:val="24"/>
          <w:szCs w:val="24"/>
          <w:shd w:val="clear" w:color="auto" w:fill="FFFFFF"/>
        </w:rPr>
        <w:t>‘</w:t>
      </w:r>
      <w:r w:rsidRPr="00515584">
        <w:rPr>
          <w:rFonts w:ascii="Times New Roman" w:hAnsi="Times New Roman"/>
          <w:color w:val="454545"/>
          <w:sz w:val="24"/>
          <w:szCs w:val="24"/>
          <w:shd w:val="clear" w:color="auto" w:fill="FFFFFF"/>
        </w:rPr>
        <w:t>protest buttons that attach with a pin in</w:t>
      </w:r>
      <w:r>
        <w:rPr>
          <w:rFonts w:ascii="Times New Roman" w:hAnsi="Times New Roman"/>
          <w:color w:val="454545"/>
          <w:sz w:val="24"/>
          <w:szCs w:val="24"/>
          <w:shd w:val="clear" w:color="auto" w:fill="FFFFFF"/>
        </w:rPr>
        <w:t xml:space="preserve"> </w:t>
      </w:r>
      <w:r w:rsidRPr="00515584">
        <w:rPr>
          <w:rFonts w:ascii="Times New Roman" w:hAnsi="Times New Roman"/>
          <w:color w:val="454545"/>
          <w:sz w:val="24"/>
          <w:szCs w:val="24"/>
          <w:shd w:val="clear" w:color="auto" w:fill="FFFFFF"/>
        </w:rPr>
        <w:t>the back</w:t>
      </w:r>
      <w:r>
        <w:rPr>
          <w:rFonts w:ascii="Times New Roman" w:hAnsi="Times New Roman"/>
          <w:color w:val="454545"/>
          <w:sz w:val="24"/>
          <w:szCs w:val="24"/>
          <w:shd w:val="clear" w:color="auto" w:fill="FFFFFF"/>
        </w:rPr>
        <w:t xml:space="preserve">’ </w:t>
      </w:r>
      <w:r w:rsidRPr="00515584">
        <w:rPr>
          <w:rFonts w:ascii="Times New Roman" w:hAnsi="Times New Roman"/>
          <w:color w:val="454545"/>
          <w:sz w:val="24"/>
          <w:szCs w:val="24"/>
          <w:shd w:val="clear" w:color="auto" w:fill="FFFFFF"/>
        </w:rPr>
        <w:t>into the Security Footprint.</w:t>
      </w:r>
      <w:r>
        <w:rPr>
          <w:rFonts w:ascii="Times New Roman" w:hAnsi="Times New Roman"/>
          <w:color w:val="454545"/>
          <w:sz w:val="24"/>
          <w:szCs w:val="24"/>
          <w:shd w:val="clear" w:color="auto" w:fill="FFFFFF"/>
        </w:rPr>
        <w:t xml:space="preserve"> Judge concluded. “</w:t>
      </w:r>
      <w:r w:rsidRPr="000430B3">
        <w:rPr>
          <w:rFonts w:ascii="Times New Roman" w:hAnsi="Times New Roman"/>
          <w:color w:val="454545"/>
          <w:sz w:val="24"/>
          <w:szCs w:val="24"/>
          <w:shd w:val="clear" w:color="auto" w:fill="FFFFFF"/>
        </w:rPr>
        <w:t>It is likely that Plaintiffs will be asked</w:t>
      </w:r>
      <w:r>
        <w:rPr>
          <w:rFonts w:ascii="Times New Roman" w:hAnsi="Times New Roman"/>
          <w:color w:val="454545"/>
          <w:sz w:val="24"/>
          <w:szCs w:val="24"/>
          <w:shd w:val="clear" w:color="auto" w:fill="FFFFFF"/>
        </w:rPr>
        <w:t xml:space="preserve"> </w:t>
      </w:r>
      <w:r w:rsidRPr="000430B3">
        <w:rPr>
          <w:rFonts w:ascii="Times New Roman" w:hAnsi="Times New Roman"/>
          <w:color w:val="454545"/>
          <w:sz w:val="24"/>
          <w:szCs w:val="24"/>
          <w:shd w:val="clear" w:color="auto" w:fill="FFFFFF"/>
        </w:rPr>
        <w:t>to discard certain items (such as the scissors) before they are allowed entry into the</w:t>
      </w:r>
      <w:r>
        <w:rPr>
          <w:rFonts w:ascii="Times New Roman" w:hAnsi="Times New Roman"/>
          <w:color w:val="454545"/>
          <w:sz w:val="24"/>
          <w:szCs w:val="24"/>
          <w:shd w:val="clear" w:color="auto" w:fill="FFFFFF"/>
        </w:rPr>
        <w:t xml:space="preserve"> </w:t>
      </w:r>
      <w:r w:rsidRPr="000430B3">
        <w:rPr>
          <w:rFonts w:ascii="Times New Roman" w:hAnsi="Times New Roman"/>
          <w:color w:val="454545"/>
          <w:sz w:val="24"/>
          <w:szCs w:val="24"/>
          <w:shd w:val="clear" w:color="auto" w:fill="FFFFFF"/>
        </w:rPr>
        <w:t xml:space="preserve">Security Footprint, just as happens at airports </w:t>
      </w:r>
      <w:proofErr w:type="gramStart"/>
      <w:r w:rsidRPr="000430B3">
        <w:rPr>
          <w:rFonts w:ascii="Times New Roman" w:hAnsi="Times New Roman"/>
          <w:color w:val="454545"/>
          <w:sz w:val="24"/>
          <w:szCs w:val="24"/>
          <w:shd w:val="clear" w:color="auto" w:fill="FFFFFF"/>
        </w:rPr>
        <w:t>on a daily basis</w:t>
      </w:r>
      <w:proofErr w:type="gramEnd"/>
      <w:r w:rsidRPr="000430B3">
        <w:rPr>
          <w:rFonts w:ascii="Times New Roman" w:hAnsi="Times New Roman"/>
          <w:color w:val="454545"/>
          <w:sz w:val="24"/>
          <w:szCs w:val="24"/>
          <w:shd w:val="clear" w:color="auto" w:fill="FFFFFF"/>
        </w:rPr>
        <w:t>. This would not</w:t>
      </w:r>
      <w:r>
        <w:rPr>
          <w:rFonts w:ascii="Times New Roman" w:hAnsi="Times New Roman"/>
          <w:color w:val="454545"/>
          <w:sz w:val="24"/>
          <w:szCs w:val="24"/>
          <w:shd w:val="clear" w:color="auto" w:fill="FFFFFF"/>
        </w:rPr>
        <w:t xml:space="preserve"> </w:t>
      </w:r>
      <w:r w:rsidRPr="000430B3">
        <w:rPr>
          <w:rFonts w:ascii="Times New Roman" w:hAnsi="Times New Roman"/>
          <w:color w:val="454545"/>
          <w:sz w:val="24"/>
          <w:szCs w:val="24"/>
          <w:shd w:val="clear" w:color="auto" w:fill="FFFFFF"/>
        </w:rPr>
        <w:t>constitute a First Amendment injury as Plaintiffs would, upon discarding such</w:t>
      </w:r>
      <w:r>
        <w:rPr>
          <w:rFonts w:ascii="Times New Roman" w:hAnsi="Times New Roman"/>
          <w:color w:val="454545"/>
          <w:sz w:val="24"/>
          <w:szCs w:val="24"/>
          <w:shd w:val="clear" w:color="auto" w:fill="FFFFFF"/>
        </w:rPr>
        <w:t xml:space="preserve"> </w:t>
      </w:r>
      <w:r w:rsidRPr="000430B3">
        <w:rPr>
          <w:rFonts w:ascii="Times New Roman" w:hAnsi="Times New Roman"/>
          <w:color w:val="454545"/>
          <w:sz w:val="24"/>
          <w:szCs w:val="24"/>
          <w:shd w:val="clear" w:color="auto" w:fill="FFFFFF"/>
        </w:rPr>
        <w:t>innocuous items, likely be allowed entry into the Security Footprint with the</w:t>
      </w:r>
      <w:r>
        <w:rPr>
          <w:rFonts w:ascii="Times New Roman" w:hAnsi="Times New Roman"/>
          <w:color w:val="454545"/>
          <w:sz w:val="24"/>
          <w:szCs w:val="24"/>
          <w:shd w:val="clear" w:color="auto" w:fill="FFFFFF"/>
        </w:rPr>
        <w:t xml:space="preserve"> </w:t>
      </w:r>
      <w:r w:rsidRPr="000430B3">
        <w:rPr>
          <w:rFonts w:ascii="Times New Roman" w:hAnsi="Times New Roman"/>
          <w:color w:val="454545"/>
          <w:sz w:val="24"/>
          <w:szCs w:val="24"/>
          <w:shd w:val="clear" w:color="auto" w:fill="FFFFFF"/>
        </w:rPr>
        <w:t>subsequent ability to exercise their First Amendment rights.</w:t>
      </w:r>
      <w:r>
        <w:rPr>
          <w:rFonts w:ascii="Times New Roman" w:hAnsi="Times New Roman"/>
          <w:color w:val="454545"/>
          <w:sz w:val="24"/>
          <w:szCs w:val="24"/>
          <w:shd w:val="clear" w:color="auto" w:fill="FFFFFF"/>
        </w:rPr>
        <w:t xml:space="preserve"> </w:t>
      </w:r>
      <w:hyperlink r:id="rId700" w:history="1">
        <w:r w:rsidRPr="004C2534">
          <w:rPr>
            <w:rStyle w:val="Hyperlink"/>
            <w:rFonts w:ascii="Times New Roman" w:hAnsi="Times New Roman"/>
            <w:sz w:val="24"/>
            <w:szCs w:val="24"/>
            <w:shd w:val="clear" w:color="auto" w:fill="FFFFFF"/>
          </w:rPr>
          <w:t>https://www.courthousenews.com/wp-content/uploads/2024/07/LGBTQ-DNC-ordinance-block-denial.pdf</w:t>
        </w:r>
      </w:hyperlink>
      <w:r>
        <w:rPr>
          <w:rFonts w:ascii="Times New Roman" w:hAnsi="Times New Roman"/>
          <w:color w:val="454545"/>
          <w:sz w:val="24"/>
          <w:szCs w:val="24"/>
          <w:shd w:val="clear" w:color="auto" w:fill="FFFFFF"/>
        </w:rPr>
        <w:t xml:space="preserve"> </w:t>
      </w:r>
    </w:p>
    <w:p w14:paraId="440A9521" w14:textId="77777777" w:rsidR="00A755CA" w:rsidRDefault="00A755CA" w:rsidP="00A755CA">
      <w:pPr>
        <w:pStyle w:val="NoSpacing"/>
        <w:rPr>
          <w:rFonts w:ascii="Times New Roman" w:hAnsi="Times New Roman"/>
          <w:color w:val="454545"/>
          <w:sz w:val="24"/>
          <w:szCs w:val="24"/>
          <w:shd w:val="clear" w:color="auto" w:fill="FFFFFF"/>
        </w:rPr>
      </w:pPr>
    </w:p>
    <w:p w14:paraId="6507DC0B" w14:textId="77777777" w:rsidR="00A755CA" w:rsidRDefault="00A755CA" w:rsidP="00A755CA">
      <w:pPr>
        <w:pStyle w:val="NoSpacing"/>
        <w:rPr>
          <w:rFonts w:ascii="Times New Roman" w:hAnsi="Times New Roman"/>
          <w:color w:val="454545"/>
          <w:sz w:val="24"/>
          <w:szCs w:val="24"/>
          <w:shd w:val="clear" w:color="auto" w:fill="FFFFFF"/>
        </w:rPr>
      </w:pPr>
      <w:r>
        <w:rPr>
          <w:rFonts w:ascii="Times New Roman" w:hAnsi="Times New Roman"/>
          <w:color w:val="454545"/>
          <w:sz w:val="24"/>
          <w:szCs w:val="24"/>
          <w:shd w:val="clear" w:color="auto" w:fill="FFFFFF"/>
        </w:rPr>
        <w:t>THE COURT HELD:</w:t>
      </w:r>
    </w:p>
    <w:p w14:paraId="79916FA7" w14:textId="77777777" w:rsidR="00A755CA" w:rsidRDefault="00A755CA" w:rsidP="00A755CA">
      <w:pPr>
        <w:pStyle w:val="NoSpacing"/>
        <w:rPr>
          <w:rFonts w:ascii="Times New Roman" w:hAnsi="Times New Roman"/>
          <w:color w:val="454545"/>
          <w:sz w:val="24"/>
          <w:szCs w:val="24"/>
          <w:shd w:val="clear" w:color="auto" w:fill="FFFFFF"/>
        </w:rPr>
      </w:pPr>
    </w:p>
    <w:p w14:paraId="5B755BD1" w14:textId="77777777" w:rsidR="00A755CA" w:rsidRDefault="00A755CA" w:rsidP="00A755CA">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 xml:space="preserve">Plaintiffs take issue with the phrase </w:t>
      </w: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potential safety hazard</w:t>
      </w:r>
      <w:r>
        <w:rPr>
          <w:rFonts w:ascii="Times New Roman" w:hAnsi="Times New Roman"/>
          <w:sz w:val="24"/>
          <w:szCs w:val="24"/>
          <w:shd w:val="clear" w:color="auto" w:fill="FFFFFF"/>
        </w:rPr>
        <w:t xml:space="preserve">’ </w:t>
      </w:r>
      <w:r w:rsidRPr="00F06650">
        <w:rPr>
          <w:rFonts w:ascii="Times New Roman" w:hAnsi="Times New Roman"/>
          <w:sz w:val="24"/>
          <w:szCs w:val="24"/>
          <w:shd w:val="clear" w:color="auto" w:fill="FFFFFF"/>
        </w:rPr>
        <w:t>and argue that</w:t>
      </w:r>
      <w:r>
        <w:rPr>
          <w:rFonts w:ascii="Times New Roman" w:hAnsi="Times New Roman"/>
          <w:sz w:val="24"/>
          <w:szCs w:val="24"/>
          <w:shd w:val="clear" w:color="auto" w:fill="FFFFFF"/>
        </w:rPr>
        <w:t xml:space="preserve"> </w:t>
      </w:r>
      <w:r w:rsidRPr="00F06650">
        <w:rPr>
          <w:rFonts w:ascii="Times New Roman" w:hAnsi="Times New Roman"/>
          <w:sz w:val="24"/>
          <w:szCs w:val="24"/>
          <w:shd w:val="clear" w:color="auto" w:fill="FFFFFF"/>
        </w:rPr>
        <w:t xml:space="preserve">the word </w:t>
      </w: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hazard</w:t>
      </w: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 xml:space="preserve"> is not sufficiently defined</w:t>
      </w: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 xml:space="preserve"> But words are sufficiently</w:t>
      </w:r>
      <w:r>
        <w:rPr>
          <w:rFonts w:ascii="Times New Roman" w:hAnsi="Times New Roman"/>
          <w:sz w:val="24"/>
          <w:szCs w:val="24"/>
          <w:shd w:val="clear" w:color="auto" w:fill="FFFFFF"/>
        </w:rPr>
        <w:t xml:space="preserve"> </w:t>
      </w:r>
      <w:r w:rsidRPr="00F06650">
        <w:rPr>
          <w:rFonts w:ascii="Times New Roman" w:hAnsi="Times New Roman"/>
          <w:sz w:val="24"/>
          <w:szCs w:val="24"/>
          <w:shd w:val="clear" w:color="auto" w:fill="FFFFFF"/>
        </w:rPr>
        <w:t xml:space="preserve">defined where an ordinary person would </w:t>
      </w: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use and understand</w:t>
      </w: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 xml:space="preserve"> those words in</w:t>
      </w:r>
      <w:r>
        <w:rPr>
          <w:rFonts w:ascii="Times New Roman" w:hAnsi="Times New Roman"/>
          <w:sz w:val="24"/>
          <w:szCs w:val="24"/>
          <w:shd w:val="clear" w:color="auto" w:fill="FFFFFF"/>
        </w:rPr>
        <w:t xml:space="preserve"> ‘</w:t>
      </w:r>
      <w:r w:rsidRPr="00F06650">
        <w:rPr>
          <w:rFonts w:ascii="Times New Roman" w:hAnsi="Times New Roman"/>
          <w:sz w:val="24"/>
          <w:szCs w:val="24"/>
          <w:shd w:val="clear" w:color="auto" w:fill="FFFFFF"/>
        </w:rPr>
        <w:t>normal life.</w:t>
      </w: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 xml:space="preserve"> Curry, 918 F.3d at </w:t>
      </w:r>
      <w:proofErr w:type="gramStart"/>
      <w:r w:rsidRPr="00F06650">
        <w:rPr>
          <w:rFonts w:ascii="Times New Roman" w:hAnsi="Times New Roman"/>
          <w:sz w:val="24"/>
          <w:szCs w:val="24"/>
          <w:shd w:val="clear" w:color="auto" w:fill="FFFFFF"/>
        </w:rPr>
        <w:t>540 (</w:t>
      </w:r>
      <w:r>
        <w:rPr>
          <w:rFonts w:ascii="Times New Roman" w:hAnsi="Times New Roman"/>
          <w:sz w:val="24"/>
          <w:szCs w:val="24"/>
          <w:shd w:val="clear" w:color="auto" w:fill="FFFFFF"/>
        </w:rPr>
        <w:t>‘</w:t>
      </w:r>
      <w:proofErr w:type="gramEnd"/>
      <w:r w:rsidRPr="00F06650">
        <w:rPr>
          <w:rFonts w:ascii="Times New Roman" w:hAnsi="Times New Roman"/>
          <w:sz w:val="24"/>
          <w:szCs w:val="24"/>
          <w:shd w:val="clear" w:color="auto" w:fill="FFFFFF"/>
        </w:rPr>
        <w:t xml:space="preserve">Even a </w:t>
      </w:r>
      <w:proofErr w:type="gramStart"/>
      <w:r w:rsidRPr="00F06650">
        <w:rPr>
          <w:rFonts w:ascii="Times New Roman" w:hAnsi="Times New Roman"/>
          <w:sz w:val="24"/>
          <w:szCs w:val="24"/>
          <w:shd w:val="clear" w:color="auto" w:fill="FFFFFF"/>
        </w:rPr>
        <w:t>protean word</w:t>
      </w:r>
      <w:proofErr w:type="gramEnd"/>
      <w:r w:rsidRPr="00F06650">
        <w:rPr>
          <w:rFonts w:ascii="Times New Roman" w:hAnsi="Times New Roman"/>
          <w:sz w:val="24"/>
          <w:szCs w:val="24"/>
          <w:shd w:val="clear" w:color="auto" w:fill="FFFFFF"/>
        </w:rPr>
        <w:t xml:space="preserve"> such as ‘reasonable’ has</w:t>
      </w:r>
      <w:r>
        <w:rPr>
          <w:rFonts w:ascii="Times New Roman" w:hAnsi="Times New Roman"/>
          <w:sz w:val="24"/>
          <w:szCs w:val="24"/>
          <w:shd w:val="clear" w:color="auto" w:fill="FFFFFF"/>
        </w:rPr>
        <w:t xml:space="preserve"> </w:t>
      </w:r>
      <w:r w:rsidRPr="00F06650">
        <w:rPr>
          <w:rFonts w:ascii="Times New Roman" w:hAnsi="Times New Roman"/>
          <w:sz w:val="24"/>
          <w:szCs w:val="24"/>
          <w:shd w:val="clear" w:color="auto" w:fill="FFFFFF"/>
        </w:rPr>
        <w:t>enough of a core to allow its use in situations where rights to speak are at issue</w:t>
      </w:r>
      <w:r>
        <w:rPr>
          <w:rFonts w:ascii="Times New Roman" w:hAnsi="Times New Roman"/>
          <w:sz w:val="24"/>
          <w:szCs w:val="24"/>
          <w:shd w:val="clear" w:color="auto" w:fill="FFFFFF"/>
        </w:rPr>
        <w:t>.’</w:t>
      </w:r>
      <w:r w:rsidRPr="00F06650">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So</w:t>
      </w:r>
      <w:r w:rsidRPr="008F6138">
        <w:rPr>
          <w:rFonts w:ascii="Times New Roman" w:hAnsi="Times New Roman"/>
          <w:sz w:val="24"/>
          <w:szCs w:val="24"/>
          <w:shd w:val="clear" w:color="auto" w:fill="FFFFFF"/>
        </w:rPr>
        <w:t>o here, an ordinary person understands what a “hazard” is in the context of their</w:t>
      </w:r>
      <w:r>
        <w:rPr>
          <w:rFonts w:ascii="Times New Roman" w:hAnsi="Times New Roman"/>
          <w:sz w:val="24"/>
          <w:szCs w:val="24"/>
          <w:shd w:val="clear" w:color="auto" w:fill="FFFFFF"/>
        </w:rPr>
        <w:t xml:space="preserve"> </w:t>
      </w:r>
      <w:r w:rsidRPr="008F6138">
        <w:rPr>
          <w:rFonts w:ascii="Times New Roman" w:hAnsi="Times New Roman"/>
          <w:sz w:val="24"/>
          <w:szCs w:val="24"/>
          <w:shd w:val="clear" w:color="auto" w:fill="FFFFFF"/>
        </w:rPr>
        <w:t>everyday life. What’s more, the Ordinance supplements and clarifies the phrase</w:t>
      </w:r>
      <w:r>
        <w:rPr>
          <w:rFonts w:ascii="Times New Roman" w:hAnsi="Times New Roman"/>
          <w:sz w:val="24"/>
          <w:szCs w:val="24"/>
          <w:shd w:val="clear" w:color="auto" w:fill="FFFFFF"/>
        </w:rPr>
        <w:t xml:space="preserve"> ‘</w:t>
      </w:r>
      <w:r w:rsidRPr="008F6138">
        <w:rPr>
          <w:rFonts w:ascii="Times New Roman" w:hAnsi="Times New Roman"/>
          <w:sz w:val="24"/>
          <w:szCs w:val="24"/>
          <w:shd w:val="clear" w:color="auto" w:fill="FFFFFF"/>
        </w:rPr>
        <w:t>potential safety hazard</w:t>
      </w:r>
      <w:r>
        <w:rPr>
          <w:rFonts w:ascii="Times New Roman" w:hAnsi="Times New Roman"/>
          <w:sz w:val="24"/>
          <w:szCs w:val="24"/>
          <w:shd w:val="clear" w:color="auto" w:fill="FFFFFF"/>
        </w:rPr>
        <w:t>’</w:t>
      </w:r>
      <w:r w:rsidRPr="008F6138">
        <w:rPr>
          <w:rFonts w:ascii="Times New Roman" w:hAnsi="Times New Roman"/>
          <w:sz w:val="24"/>
          <w:szCs w:val="24"/>
          <w:shd w:val="clear" w:color="auto" w:fill="FFFFFF"/>
        </w:rPr>
        <w:t xml:space="preserve"> with a detailed list of prohibited items set forth in Exhibit</w:t>
      </w:r>
      <w:r>
        <w:rPr>
          <w:rFonts w:ascii="Times New Roman" w:hAnsi="Times New Roman"/>
          <w:sz w:val="24"/>
          <w:szCs w:val="24"/>
          <w:shd w:val="clear" w:color="auto" w:fill="FFFFFF"/>
        </w:rPr>
        <w:t xml:space="preserve"> </w:t>
      </w:r>
      <w:r w:rsidRPr="008F6138">
        <w:rPr>
          <w:rFonts w:ascii="Times New Roman" w:hAnsi="Times New Roman"/>
          <w:sz w:val="24"/>
          <w:szCs w:val="24"/>
          <w:shd w:val="clear" w:color="auto" w:fill="FFFFFF"/>
        </w:rPr>
        <w:t>A.</w:t>
      </w:r>
      <w:r>
        <w:rPr>
          <w:rFonts w:ascii="Times New Roman" w:hAnsi="Times New Roman"/>
          <w:sz w:val="24"/>
          <w:szCs w:val="24"/>
          <w:shd w:val="clear" w:color="auto" w:fill="FFFFFF"/>
        </w:rPr>
        <w:t>”</w:t>
      </w:r>
    </w:p>
    <w:p w14:paraId="5173E5D3" w14:textId="77777777" w:rsidR="00A755CA" w:rsidRDefault="00A755CA" w:rsidP="00F326E5">
      <w:pPr>
        <w:pStyle w:val="NoSpacing"/>
        <w:rPr>
          <w:rFonts w:ascii="Arial Black" w:hAnsi="Arial Black"/>
          <w:sz w:val="28"/>
          <w:szCs w:val="28"/>
        </w:rPr>
      </w:pPr>
    </w:p>
    <w:p w14:paraId="4A5F5EF6" w14:textId="77777777" w:rsidR="00557000" w:rsidRPr="009E73BB" w:rsidRDefault="00557000" w:rsidP="00557000">
      <w:pPr>
        <w:pStyle w:val="NoSpacing"/>
        <w:rPr>
          <w:rFonts w:ascii="Times New Roman" w:hAnsi="Times New Roman"/>
          <w:b/>
          <w:bCs/>
          <w:color w:val="454545"/>
          <w:sz w:val="24"/>
          <w:szCs w:val="24"/>
          <w:shd w:val="clear" w:color="auto" w:fill="FFFFFF"/>
        </w:rPr>
      </w:pPr>
      <w:r>
        <w:rPr>
          <w:rFonts w:ascii="Times New Roman" w:hAnsi="Times New Roman"/>
          <w:b/>
          <w:bCs/>
          <w:color w:val="454545"/>
          <w:sz w:val="24"/>
          <w:szCs w:val="24"/>
          <w:shd w:val="clear" w:color="auto" w:fill="FFFFFF"/>
        </w:rPr>
        <w:t xml:space="preserve">Legal Lesson Learned: Security ordinance is lawful, and necessary to protect all attending the Convention.  </w:t>
      </w:r>
    </w:p>
    <w:p w14:paraId="47CAD03E" w14:textId="77777777" w:rsidR="00557000" w:rsidRPr="00D30702" w:rsidRDefault="00557000" w:rsidP="00557000">
      <w:pPr>
        <w:rPr>
          <w:rFonts w:ascii="Times New Roman" w:hAnsi="Times New Roman"/>
          <w:bCs/>
          <w:sz w:val="20"/>
          <w:szCs w:val="20"/>
        </w:rPr>
      </w:pPr>
    </w:p>
    <w:p w14:paraId="4973C308" w14:textId="147AE023" w:rsidR="00A755CA" w:rsidRDefault="00557000" w:rsidP="00F326E5">
      <w:pPr>
        <w:pStyle w:val="NoSpacing"/>
        <w:rPr>
          <w:rFonts w:ascii="Arial Black" w:hAnsi="Arial Black"/>
          <w:sz w:val="28"/>
          <w:szCs w:val="28"/>
        </w:rPr>
      </w:pPr>
      <w:r>
        <w:rPr>
          <w:rFonts w:ascii="Arial Black" w:hAnsi="Arial Black"/>
          <w:sz w:val="28"/>
          <w:szCs w:val="28"/>
        </w:rPr>
        <w:t>3-6</w:t>
      </w:r>
      <w:r w:rsidR="00ED4EAF">
        <w:rPr>
          <w:rFonts w:ascii="Arial Black" w:hAnsi="Arial Black"/>
          <w:sz w:val="28"/>
          <w:szCs w:val="28"/>
        </w:rPr>
        <w:t>4</w:t>
      </w:r>
    </w:p>
    <w:p w14:paraId="4DEC2107" w14:textId="77777777" w:rsidR="00557000" w:rsidRDefault="00557000" w:rsidP="00F326E5">
      <w:pPr>
        <w:pStyle w:val="NoSpacing"/>
        <w:rPr>
          <w:rFonts w:ascii="Arial Black" w:hAnsi="Arial Black"/>
          <w:sz w:val="28"/>
          <w:szCs w:val="28"/>
        </w:rPr>
      </w:pPr>
    </w:p>
    <w:p w14:paraId="6B37BC1A" w14:textId="77777777" w:rsidR="00816740" w:rsidRPr="00574A8F" w:rsidRDefault="00816740" w:rsidP="00816740">
      <w:pPr>
        <w:pStyle w:val="NoSpacing"/>
        <w:rPr>
          <w:rFonts w:ascii="Arial Black" w:hAnsi="Arial Black"/>
          <w:sz w:val="28"/>
          <w:szCs w:val="28"/>
          <w:u w:val="single"/>
          <w:shd w:val="clear" w:color="auto" w:fill="FFFFFF"/>
        </w:rPr>
      </w:pPr>
      <w:r>
        <w:rPr>
          <w:rFonts w:ascii="Arial Black" w:hAnsi="Arial Black"/>
          <w:sz w:val="28"/>
          <w:szCs w:val="28"/>
          <w:shd w:val="clear" w:color="auto" w:fill="FFFFFF"/>
        </w:rPr>
        <w:t xml:space="preserve">LA: PD INJURED BY ROCK THROWER - “BLACK LIVES” PROTEST - MAY SUE PROTEST ORGANIZER NEGLIGENCE </w:t>
      </w:r>
    </w:p>
    <w:p w14:paraId="543815B3" w14:textId="77777777" w:rsidR="00816740" w:rsidRDefault="00816740" w:rsidP="00816740">
      <w:pPr>
        <w:pStyle w:val="NoSpacing"/>
        <w:rPr>
          <w:rFonts w:ascii="Times New Roman" w:hAnsi="Times New Roman"/>
          <w:sz w:val="24"/>
          <w:szCs w:val="24"/>
          <w:shd w:val="clear" w:color="auto" w:fill="FFFFFF"/>
        </w:rPr>
      </w:pPr>
      <w:r w:rsidRPr="00574A8F">
        <w:rPr>
          <w:rFonts w:ascii="Times New Roman" w:hAnsi="Times New Roman"/>
          <w:sz w:val="24"/>
          <w:szCs w:val="24"/>
          <w:shd w:val="clear" w:color="auto" w:fill="FFFFFF"/>
        </w:rPr>
        <w:t>On June 16, 2024, in</w:t>
      </w:r>
      <w:r>
        <w:rPr>
          <w:rFonts w:ascii="Times New Roman" w:hAnsi="Times New Roman"/>
          <w:sz w:val="24"/>
          <w:szCs w:val="24"/>
          <w:shd w:val="clear" w:color="auto" w:fill="FFFFFF"/>
        </w:rPr>
        <w:t xml:space="preserve"> </w:t>
      </w:r>
      <w:r w:rsidRPr="00574A8F">
        <w:rPr>
          <w:rFonts w:ascii="Times New Roman" w:hAnsi="Times New Roman"/>
          <w:sz w:val="24"/>
          <w:szCs w:val="24"/>
          <w:u w:val="single"/>
          <w:shd w:val="clear" w:color="auto" w:fill="FFFFFF"/>
        </w:rPr>
        <w:t>Officer John Doe, Police Officer v. DeRay Mckesson; Black Lives Matter</w:t>
      </w:r>
      <w:r w:rsidRPr="00574A8F">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the U.S. Court of Appeals for 5</w:t>
      </w:r>
      <w:r w:rsidRPr="00574A8F">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Circuit (New Orleans), held (2 to 1) that a Baton Rouge police officer, who suffered </w:t>
      </w:r>
      <w:r w:rsidRPr="00A5718C">
        <w:rPr>
          <w:rFonts w:ascii="Times New Roman" w:hAnsi="Times New Roman"/>
          <w:sz w:val="24"/>
          <w:szCs w:val="24"/>
          <w:shd w:val="clear" w:color="auto" w:fill="FFFFFF"/>
        </w:rPr>
        <w:t>“loss of teeth, injury to jaw, [and] injury to brain and head</w:t>
      </w:r>
      <w:r>
        <w:rPr>
          <w:rFonts w:ascii="Times New Roman" w:hAnsi="Times New Roman"/>
          <w:sz w:val="24"/>
          <w:szCs w:val="24"/>
          <w:shd w:val="clear" w:color="auto" w:fill="FFFFFF"/>
        </w:rPr>
        <w:t xml:space="preserve">,” when an unknown </w:t>
      </w:r>
      <w:r w:rsidRPr="00A5718C">
        <w:rPr>
          <w:rFonts w:ascii="Times New Roman" w:hAnsi="Times New Roman"/>
          <w:sz w:val="24"/>
          <w:szCs w:val="24"/>
          <w:shd w:val="clear" w:color="auto" w:fill="FFFFFF"/>
        </w:rPr>
        <w:t>protestor</w:t>
      </w:r>
      <w:r>
        <w:rPr>
          <w:rFonts w:ascii="Times New Roman" w:hAnsi="Times New Roman"/>
          <w:sz w:val="24"/>
          <w:szCs w:val="24"/>
          <w:shd w:val="clear" w:color="auto" w:fill="FFFFFF"/>
        </w:rPr>
        <w:t xml:space="preserve"> threw an object during a July 9, 2016 demonstration, may proceed with his negligence lawsuit against the protest organizer (but can’t sue the Black Lives organization). The state Supreme Court confirmed to the 5</w:t>
      </w:r>
      <w:r w:rsidRPr="00252FD2">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Circuit that the “Fireman’s Rule” (or professional rescuer doctrine) no longer state law, so police of firefighters can sue for on duty injuries. </w:t>
      </w:r>
      <w:hyperlink r:id="rId701" w:history="1">
        <w:r w:rsidRPr="00E93E28">
          <w:rPr>
            <w:rStyle w:val="Hyperlink"/>
            <w:rFonts w:ascii="Times New Roman" w:hAnsi="Times New Roman"/>
            <w:sz w:val="24"/>
            <w:szCs w:val="24"/>
            <w:shd w:val="clear" w:color="auto" w:fill="FFFFFF"/>
          </w:rPr>
          <w:t>https://www.ca5.uscourts.gov/opinions/pub/17/17-30864-CV4.pdf</w:t>
        </w:r>
      </w:hyperlink>
      <w:r>
        <w:rPr>
          <w:rFonts w:ascii="Times New Roman" w:hAnsi="Times New Roman"/>
          <w:sz w:val="24"/>
          <w:szCs w:val="24"/>
          <w:shd w:val="clear" w:color="auto" w:fill="FFFFFF"/>
        </w:rPr>
        <w:t xml:space="preserve"> </w:t>
      </w:r>
    </w:p>
    <w:p w14:paraId="06A54F5E" w14:textId="77777777" w:rsidR="00816740" w:rsidRDefault="00816740" w:rsidP="00816740">
      <w:pPr>
        <w:pStyle w:val="NoSpacing"/>
        <w:rPr>
          <w:rFonts w:ascii="Times New Roman" w:hAnsi="Times New Roman"/>
          <w:sz w:val="24"/>
          <w:szCs w:val="24"/>
          <w:shd w:val="clear" w:color="auto" w:fill="FFFFFF"/>
        </w:rPr>
      </w:pPr>
    </w:p>
    <w:p w14:paraId="0EE28CBD" w14:textId="77777777" w:rsidR="00816740" w:rsidRDefault="00816740" w:rsidP="00816740">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THE COURT HELD:</w:t>
      </w:r>
    </w:p>
    <w:p w14:paraId="243DDBFE" w14:textId="77777777" w:rsidR="00816740" w:rsidRDefault="00816740" w:rsidP="00816740">
      <w:pPr>
        <w:pStyle w:val="NoSpacing"/>
        <w:rPr>
          <w:rFonts w:ascii="Times New Roman" w:hAnsi="Times New Roman"/>
          <w:sz w:val="24"/>
          <w:szCs w:val="24"/>
          <w:shd w:val="clear" w:color="auto" w:fill="FFFFFF"/>
        </w:rPr>
      </w:pPr>
    </w:p>
    <w:p w14:paraId="742D74FD" w14:textId="77777777" w:rsidR="00816740" w:rsidRDefault="00816740" w:rsidP="00816740">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5615B8">
        <w:rPr>
          <w:rFonts w:ascii="Times New Roman" w:hAnsi="Times New Roman"/>
          <w:sz w:val="24"/>
          <w:szCs w:val="24"/>
          <w:shd w:val="clear" w:color="auto" w:fill="FFFFFF"/>
        </w:rPr>
        <w:t>This case returns to us after remand from the Supreme Court and certification to the Supreme Court of Louisiana. The controversy concerns a</w:t>
      </w:r>
      <w:r>
        <w:rPr>
          <w:rFonts w:ascii="Times New Roman" w:hAnsi="Times New Roman"/>
          <w:sz w:val="24"/>
          <w:szCs w:val="24"/>
          <w:shd w:val="clear" w:color="auto" w:fill="FFFFFF"/>
        </w:rPr>
        <w:t xml:space="preserve"> </w:t>
      </w:r>
      <w:r w:rsidRPr="005615B8">
        <w:rPr>
          <w:rFonts w:ascii="Times New Roman" w:hAnsi="Times New Roman"/>
          <w:sz w:val="24"/>
          <w:szCs w:val="24"/>
          <w:shd w:val="clear" w:color="auto" w:fill="FFFFFF"/>
        </w:rPr>
        <w:t>Black Lives Matter protest organized and led by Appellee DeRay Mckesson.</w:t>
      </w:r>
      <w:r>
        <w:rPr>
          <w:rFonts w:ascii="Times New Roman" w:hAnsi="Times New Roman"/>
          <w:sz w:val="24"/>
          <w:szCs w:val="24"/>
          <w:shd w:val="clear" w:color="auto" w:fill="FFFFFF"/>
        </w:rPr>
        <w:t xml:space="preserve"> </w:t>
      </w:r>
      <w:r w:rsidRPr="005615B8">
        <w:rPr>
          <w:rFonts w:ascii="Times New Roman" w:hAnsi="Times New Roman"/>
          <w:sz w:val="24"/>
          <w:szCs w:val="24"/>
          <w:shd w:val="clear" w:color="auto" w:fill="FFFFFF"/>
        </w:rPr>
        <w:t>During that protest, an unidentified demonstrator struck Appellant John</w:t>
      </w:r>
      <w:r>
        <w:rPr>
          <w:rFonts w:ascii="Times New Roman" w:hAnsi="Times New Roman"/>
          <w:sz w:val="24"/>
          <w:szCs w:val="24"/>
          <w:shd w:val="clear" w:color="auto" w:fill="FFFFFF"/>
        </w:rPr>
        <w:t xml:space="preserve"> </w:t>
      </w:r>
      <w:r w:rsidRPr="005615B8">
        <w:rPr>
          <w:rFonts w:ascii="Times New Roman" w:hAnsi="Times New Roman"/>
          <w:sz w:val="24"/>
          <w:szCs w:val="24"/>
          <w:shd w:val="clear" w:color="auto" w:fill="FFFFFF"/>
        </w:rPr>
        <w:t>Doe, a police officer in the Baton Rouge Police Department, with a heavy</w:t>
      </w:r>
      <w:r>
        <w:rPr>
          <w:rFonts w:ascii="Times New Roman" w:hAnsi="Times New Roman"/>
          <w:sz w:val="24"/>
          <w:szCs w:val="24"/>
          <w:shd w:val="clear" w:color="auto" w:fill="FFFFFF"/>
        </w:rPr>
        <w:t xml:space="preserve"> </w:t>
      </w:r>
      <w:r w:rsidRPr="005615B8">
        <w:rPr>
          <w:rFonts w:ascii="Times New Roman" w:hAnsi="Times New Roman"/>
          <w:sz w:val="24"/>
          <w:szCs w:val="24"/>
          <w:shd w:val="clear" w:color="auto" w:fill="FFFFFF"/>
        </w:rPr>
        <w:t>object, causing him to sustain severe injuries.</w:t>
      </w:r>
      <w:r>
        <w:rPr>
          <w:rFonts w:ascii="Times New Roman" w:hAnsi="Times New Roman"/>
          <w:sz w:val="24"/>
          <w:szCs w:val="24"/>
          <w:shd w:val="clear" w:color="auto" w:fill="FFFFFF"/>
        </w:rPr>
        <w:t xml:space="preserve"> </w:t>
      </w:r>
    </w:p>
    <w:p w14:paraId="0EEE0653" w14:textId="77777777" w:rsidR="00816740" w:rsidRDefault="00816740" w:rsidP="00816740">
      <w:pPr>
        <w:pStyle w:val="NoSpacing"/>
        <w:ind w:left="720"/>
        <w:rPr>
          <w:rFonts w:ascii="Times New Roman" w:hAnsi="Times New Roman"/>
          <w:sz w:val="24"/>
          <w:szCs w:val="24"/>
          <w:shd w:val="clear" w:color="auto" w:fill="FFFFFF"/>
        </w:rPr>
      </w:pPr>
    </w:p>
    <w:p w14:paraId="5C754DBB" w14:textId="77777777" w:rsidR="00816740" w:rsidRDefault="00816740" w:rsidP="00816740">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1B33E5E3" w14:textId="77777777" w:rsidR="00816740" w:rsidRPr="00C9029A" w:rsidRDefault="00816740" w:rsidP="00816740">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C9029A">
        <w:rPr>
          <w:rFonts w:ascii="Times New Roman" w:hAnsi="Times New Roman"/>
          <w:sz w:val="24"/>
          <w:szCs w:val="24"/>
          <w:shd w:val="clear" w:color="auto" w:fill="FFFFFF"/>
        </w:rPr>
        <w:t xml:space="preserve">Our limited holding guarantees only that Doe may proceed to discovery on his negligence claim. It does not guarantee that he will prevail </w:t>
      </w:r>
      <w:proofErr w:type="gramStart"/>
      <w:r w:rsidRPr="00C9029A">
        <w:rPr>
          <w:rFonts w:ascii="Times New Roman" w:hAnsi="Times New Roman"/>
          <w:sz w:val="24"/>
          <w:szCs w:val="24"/>
          <w:shd w:val="clear" w:color="auto" w:fill="FFFFFF"/>
        </w:rPr>
        <w:t>on</w:t>
      </w:r>
      <w:proofErr w:type="gramEnd"/>
      <w:r w:rsidRPr="00C9029A">
        <w:rPr>
          <w:rFonts w:ascii="Times New Roman" w:hAnsi="Times New Roman"/>
          <w:sz w:val="24"/>
          <w:szCs w:val="24"/>
          <w:shd w:val="clear" w:color="auto" w:fill="FFFFFF"/>
        </w:rPr>
        <w:t xml:space="preserve"> that</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claim. Mckesson will have every opportunity to discover and offer evidence</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disproving Doe’s allegations that Mckesson breached his duty of care, and</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 xml:space="preserve">that the breach was a </w:t>
      </w:r>
      <w:proofErr w:type="spellStart"/>
      <w:proofErr w:type="gramStart"/>
      <w:r w:rsidRPr="00C9029A">
        <w:rPr>
          <w:rFonts w:ascii="Times New Roman" w:hAnsi="Times New Roman"/>
          <w:sz w:val="24"/>
          <w:szCs w:val="24"/>
          <w:shd w:val="clear" w:color="auto" w:fill="FFFFFF"/>
        </w:rPr>
        <w:t>but</w:t>
      </w:r>
      <w:proofErr w:type="spellEnd"/>
      <w:proofErr w:type="gramEnd"/>
      <w:r w:rsidRPr="00C9029A">
        <w:rPr>
          <w:rFonts w:ascii="Times New Roman" w:hAnsi="Times New Roman"/>
          <w:sz w:val="24"/>
          <w:szCs w:val="24"/>
          <w:shd w:val="clear" w:color="auto" w:fill="FFFFFF"/>
        </w:rPr>
        <w:t xml:space="preserve">-for cause of Doe’s injuries. Likewise, and </w:t>
      </w:r>
      <w:proofErr w:type="gramStart"/>
      <w:r w:rsidRPr="00C9029A">
        <w:rPr>
          <w:rFonts w:ascii="Times New Roman" w:hAnsi="Times New Roman"/>
          <w:sz w:val="24"/>
          <w:szCs w:val="24"/>
          <w:shd w:val="clear" w:color="auto" w:fill="FFFFFF"/>
        </w:rPr>
        <w:t>in light</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of the fact that</w:t>
      </w:r>
      <w:proofErr w:type="gramEnd"/>
      <w:r w:rsidRPr="00C9029A">
        <w:rPr>
          <w:rFonts w:ascii="Times New Roman" w:hAnsi="Times New Roman"/>
          <w:sz w:val="24"/>
          <w:szCs w:val="24"/>
          <w:shd w:val="clear" w:color="auto" w:fill="FFFFFF"/>
        </w:rPr>
        <w:t xml:space="preserve"> Doe seeks to avail himself of Louisiana tort law, Mckesson is</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entitled to seek to avail himself of traditional tort defenses. These defenses</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would of course be available to future defendants in future cases. For exam-</w:t>
      </w:r>
    </w:p>
    <w:p w14:paraId="3106FEF9" w14:textId="77777777" w:rsidR="00816740" w:rsidRDefault="00816740" w:rsidP="00816740">
      <w:pPr>
        <w:pStyle w:val="NoSpacing"/>
        <w:ind w:left="720"/>
        <w:rPr>
          <w:rFonts w:ascii="Times New Roman" w:hAnsi="Times New Roman"/>
          <w:sz w:val="24"/>
          <w:szCs w:val="24"/>
          <w:shd w:val="clear" w:color="auto" w:fill="FFFFFF"/>
        </w:rPr>
      </w:pPr>
      <w:proofErr w:type="spellStart"/>
      <w:r w:rsidRPr="00C9029A">
        <w:rPr>
          <w:rFonts w:ascii="Times New Roman" w:hAnsi="Times New Roman"/>
          <w:sz w:val="24"/>
          <w:szCs w:val="24"/>
          <w:shd w:val="clear" w:color="auto" w:fill="FFFFFF"/>
        </w:rPr>
        <w:t>ple</w:t>
      </w:r>
      <w:proofErr w:type="spellEnd"/>
      <w:r w:rsidRPr="00C9029A">
        <w:rPr>
          <w:rFonts w:ascii="Times New Roman" w:hAnsi="Times New Roman"/>
          <w:sz w:val="24"/>
          <w:szCs w:val="24"/>
          <w:shd w:val="clear" w:color="auto" w:fill="FFFFFF"/>
        </w:rPr>
        <w:t>, if a defendant could show that a police officer improperly provoked a</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confrontation with a protestor, the defendant might assert the defense of</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comparative negligence, which remains available to assign proportional fault,</w:t>
      </w:r>
      <w:r>
        <w:rPr>
          <w:rFonts w:ascii="Times New Roman" w:hAnsi="Times New Roman"/>
          <w:sz w:val="24"/>
          <w:szCs w:val="24"/>
          <w:shd w:val="clear" w:color="auto" w:fill="FFFFFF"/>
        </w:rPr>
        <w:t xml:space="preserve"> </w:t>
      </w:r>
      <w:r w:rsidRPr="00C9029A">
        <w:rPr>
          <w:rFonts w:ascii="Times New Roman" w:hAnsi="Times New Roman"/>
          <w:sz w:val="24"/>
          <w:szCs w:val="24"/>
          <w:shd w:val="clear" w:color="auto" w:fill="FFFFFF"/>
        </w:rPr>
        <w:t>as the Supreme Court of Louisiana explained on certification.</w:t>
      </w:r>
      <w:r>
        <w:rPr>
          <w:rFonts w:ascii="Times New Roman" w:hAnsi="Times New Roman"/>
          <w:sz w:val="24"/>
          <w:szCs w:val="24"/>
          <w:shd w:val="clear" w:color="auto" w:fill="FFFFFF"/>
        </w:rPr>
        <w:t>”</w:t>
      </w:r>
    </w:p>
    <w:p w14:paraId="44701D31" w14:textId="77777777" w:rsidR="00075B1D" w:rsidRDefault="00075B1D" w:rsidP="00F326E5">
      <w:pPr>
        <w:pStyle w:val="NoSpacing"/>
        <w:rPr>
          <w:rFonts w:ascii="Arial Black" w:hAnsi="Arial Black"/>
          <w:sz w:val="28"/>
          <w:szCs w:val="28"/>
        </w:rPr>
      </w:pPr>
    </w:p>
    <w:p w14:paraId="63659004" w14:textId="77777777" w:rsidR="009C2555" w:rsidRDefault="009C2555" w:rsidP="009C2555">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DISSENT:</w:t>
      </w:r>
    </w:p>
    <w:p w14:paraId="4A52D713" w14:textId="77777777" w:rsidR="009C2555" w:rsidRDefault="009C2555" w:rsidP="009C2555">
      <w:pPr>
        <w:pStyle w:val="NoSpacing"/>
        <w:rPr>
          <w:rFonts w:ascii="Times New Roman" w:hAnsi="Times New Roman"/>
          <w:sz w:val="24"/>
          <w:szCs w:val="24"/>
          <w:shd w:val="clear" w:color="auto" w:fill="FFFFFF"/>
        </w:rPr>
      </w:pPr>
    </w:p>
    <w:p w14:paraId="6711C3C6" w14:textId="77777777" w:rsidR="009C2555" w:rsidRPr="002D5F98" w:rsidRDefault="009C2555" w:rsidP="009C2555">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2D5F98">
        <w:rPr>
          <w:rFonts w:ascii="Times New Roman" w:hAnsi="Times New Roman"/>
          <w:sz w:val="24"/>
          <w:szCs w:val="24"/>
          <w:shd w:val="clear" w:color="auto" w:fill="FFFFFF"/>
        </w:rPr>
        <w:t>Officer John Doe was honoring his oath to serve and protect the</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people of Baton Rouge when an unidentified violent protestor hurled a rock</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or something like it, striking Doe in the face and inflicting devastating</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 xml:space="preserve">injuries. Officer Doe risked his life to keep his city safe that </w:t>
      </w:r>
      <w:proofErr w:type="gramStart"/>
      <w:r w:rsidRPr="002D5F98">
        <w:rPr>
          <w:rFonts w:ascii="Times New Roman" w:hAnsi="Times New Roman"/>
          <w:sz w:val="24"/>
          <w:szCs w:val="24"/>
          <w:shd w:val="clear" w:color="auto" w:fill="FFFFFF"/>
        </w:rPr>
        <w:t>day—same</w:t>
      </w:r>
      <w:proofErr w:type="gramEnd"/>
      <w:r w:rsidRPr="002D5F98">
        <w:rPr>
          <w:rFonts w:ascii="Times New Roman" w:hAnsi="Times New Roman"/>
          <w:sz w:val="24"/>
          <w:szCs w:val="24"/>
          <w:shd w:val="clear" w:color="auto" w:fill="FFFFFF"/>
        </w:rPr>
        <w:t xml:space="preserve"> as</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every other day he put on the uniform. He deserves justice. Unquestionably,</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Officer Doe can sue the rock-thrower. But I disagree that he can sue</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Mckesson as the protest leader. The Constitution that Officer Doe swore to</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protect itself protects Mckesson’s rights to speak, assemble, associate, and</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petition. First Amendment freedoms are not absolute—but there’s the rub:</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Did Mckesson stray from lawfully exercising his own rights to unlawfully</w:t>
      </w:r>
      <w:r>
        <w:rPr>
          <w:rFonts w:ascii="Times New Roman" w:hAnsi="Times New Roman"/>
          <w:sz w:val="24"/>
          <w:szCs w:val="24"/>
          <w:shd w:val="clear" w:color="auto" w:fill="FFFFFF"/>
        </w:rPr>
        <w:t xml:space="preserve"> </w:t>
      </w:r>
      <w:r w:rsidRPr="002D5F98">
        <w:rPr>
          <w:rFonts w:ascii="Times New Roman" w:hAnsi="Times New Roman"/>
          <w:sz w:val="24"/>
          <w:szCs w:val="24"/>
          <w:shd w:val="clear" w:color="auto" w:fill="FFFFFF"/>
        </w:rPr>
        <w:t>exorcising Doe’s? I don’t believe he did.</w:t>
      </w:r>
      <w:r>
        <w:rPr>
          <w:rFonts w:ascii="Times New Roman" w:hAnsi="Times New Roman"/>
          <w:sz w:val="24"/>
          <w:szCs w:val="24"/>
          <w:shd w:val="clear" w:color="auto" w:fill="FFFFFF"/>
        </w:rPr>
        <w:t>”</w:t>
      </w:r>
    </w:p>
    <w:p w14:paraId="42D43E44" w14:textId="77777777" w:rsidR="009C2555" w:rsidRDefault="009C2555" w:rsidP="00F326E5">
      <w:pPr>
        <w:pStyle w:val="NoSpacing"/>
        <w:rPr>
          <w:rFonts w:ascii="Arial Black" w:hAnsi="Arial Black"/>
          <w:sz w:val="28"/>
          <w:szCs w:val="28"/>
        </w:rPr>
      </w:pPr>
    </w:p>
    <w:p w14:paraId="4A6CFF9F" w14:textId="77777777" w:rsidR="00FC09B8" w:rsidRPr="0076259E" w:rsidRDefault="00FC09B8" w:rsidP="00FC09B8">
      <w:pPr>
        <w:pStyle w:val="NoSpacing"/>
        <w:rPr>
          <w:rFonts w:ascii="Times New Roman" w:hAnsi="Times New Roman"/>
          <w:b/>
          <w:bCs/>
          <w:sz w:val="24"/>
          <w:szCs w:val="24"/>
          <w:shd w:val="clear" w:color="auto" w:fill="FFFFFF"/>
        </w:rPr>
      </w:pPr>
      <w:r w:rsidRPr="0076259E">
        <w:rPr>
          <w:rFonts w:ascii="Times New Roman" w:hAnsi="Times New Roman"/>
          <w:b/>
          <w:bCs/>
          <w:sz w:val="24"/>
          <w:szCs w:val="24"/>
          <w:shd w:val="clear" w:color="auto" w:fill="FFFFFF"/>
        </w:rPr>
        <w:t>Legal Lesson Learned:</w:t>
      </w:r>
      <w:r>
        <w:rPr>
          <w:rFonts w:ascii="Times New Roman" w:hAnsi="Times New Roman"/>
          <w:b/>
          <w:bCs/>
          <w:sz w:val="24"/>
          <w:szCs w:val="24"/>
          <w:shd w:val="clear" w:color="auto" w:fill="FFFFFF"/>
        </w:rPr>
        <w:t xml:space="preserve"> Protests can quickly get ugly; this is an important decision on potential liability of a protest leader. </w:t>
      </w:r>
    </w:p>
    <w:p w14:paraId="52976248" w14:textId="77777777" w:rsidR="00FC09B8" w:rsidRPr="00F00C70" w:rsidRDefault="00FC09B8" w:rsidP="00FC09B8">
      <w:pPr>
        <w:pStyle w:val="NormalWeb"/>
        <w:ind w:left="720"/>
        <w:rPr>
          <w:shd w:val="clear" w:color="auto" w:fill="FFFFFF"/>
        </w:rPr>
      </w:pPr>
      <w:r w:rsidRPr="00F00C70">
        <w:rPr>
          <w:color w:val="454545"/>
          <w:shd w:val="clear" w:color="auto" w:fill="FFFFFF"/>
        </w:rPr>
        <w:lastRenderedPageBreak/>
        <w:t>Note:</w:t>
      </w:r>
      <w:r w:rsidRPr="00F00C70">
        <w:rPr>
          <w:b/>
          <w:bCs/>
          <w:color w:val="454545"/>
          <w:shd w:val="clear" w:color="auto" w:fill="FFFFFF"/>
        </w:rPr>
        <w:t xml:space="preserve">  </w:t>
      </w:r>
      <w:r w:rsidRPr="00F00C70">
        <w:rPr>
          <w:color w:val="454545"/>
          <w:shd w:val="clear" w:color="auto" w:fill="FFFFFF"/>
        </w:rPr>
        <w:t xml:space="preserve">Louisiana </w:t>
      </w:r>
      <w:r>
        <w:rPr>
          <w:color w:val="454545"/>
          <w:shd w:val="clear" w:color="auto" w:fill="FFFFFF"/>
        </w:rPr>
        <w:t xml:space="preserve">has abolished </w:t>
      </w:r>
      <w:r w:rsidRPr="00F00C70">
        <w:rPr>
          <w:color w:val="454545"/>
          <w:shd w:val="clear" w:color="auto" w:fill="FFFFFF"/>
        </w:rPr>
        <w:t>the “Fireman’s Rule</w:t>
      </w:r>
      <w:r>
        <w:rPr>
          <w:color w:val="454545"/>
          <w:shd w:val="clear" w:color="auto" w:fill="FFFFFF"/>
        </w:rPr>
        <w:t>.</w:t>
      </w:r>
      <w:r w:rsidRPr="00F00C70">
        <w:rPr>
          <w:color w:val="454545"/>
          <w:shd w:val="clear" w:color="auto" w:fill="FFFFFF"/>
        </w:rPr>
        <w:t>”</w:t>
      </w:r>
      <w:r w:rsidRPr="00F00C70">
        <w:rPr>
          <w:b/>
          <w:bCs/>
          <w:color w:val="454545"/>
          <w:shd w:val="clear" w:color="auto" w:fill="FFFFFF"/>
        </w:rPr>
        <w:t xml:space="preserve"> </w:t>
      </w:r>
      <w:r w:rsidRPr="00F00C70">
        <w:rPr>
          <w:color w:val="454545"/>
          <w:shd w:val="clear" w:color="auto" w:fill="FFFFFF"/>
        </w:rPr>
        <w:t xml:space="preserve">See </w:t>
      </w:r>
      <w:r w:rsidRPr="00F00C70">
        <w:rPr>
          <w:shd w:val="clear" w:color="auto" w:fill="FFFFFF"/>
        </w:rPr>
        <w:t>Footnote 6: “As noted above, we previously apprehended that Louisiana’s professional rescuer’s doctrine might apply here and bar Doe’s negligence claim….  But on certification, the Supreme Court of Louisiana held that the doctrine has been ‘abrogated in Louisiana both legislatively and jurisprudentially’ … As such, the doctrine poses no bar to Doe’s recovery here.”</w:t>
      </w:r>
    </w:p>
    <w:p w14:paraId="47EF8278" w14:textId="77777777" w:rsidR="00FC09B8" w:rsidRDefault="00FC09B8" w:rsidP="00F326E5">
      <w:pPr>
        <w:pStyle w:val="NoSpacing"/>
        <w:rPr>
          <w:rFonts w:ascii="Arial Black" w:hAnsi="Arial Black"/>
          <w:sz w:val="28"/>
          <w:szCs w:val="28"/>
        </w:rPr>
      </w:pPr>
    </w:p>
    <w:p w14:paraId="24D5A8D6" w14:textId="77777777" w:rsidR="00A755CA" w:rsidRDefault="00A755CA" w:rsidP="00F326E5">
      <w:pPr>
        <w:pStyle w:val="NoSpacing"/>
        <w:rPr>
          <w:rFonts w:ascii="Arial Black" w:hAnsi="Arial Black"/>
          <w:sz w:val="28"/>
          <w:szCs w:val="28"/>
        </w:rPr>
      </w:pPr>
    </w:p>
    <w:p w14:paraId="61108D85" w14:textId="17F4DDD5" w:rsidR="00E858DE" w:rsidRDefault="00E858DE" w:rsidP="00F326E5">
      <w:pPr>
        <w:pStyle w:val="NoSpacing"/>
        <w:rPr>
          <w:rFonts w:ascii="Arial Black" w:hAnsi="Arial Black"/>
          <w:sz w:val="28"/>
          <w:szCs w:val="28"/>
        </w:rPr>
      </w:pPr>
      <w:r>
        <w:rPr>
          <w:rFonts w:ascii="Arial Black" w:hAnsi="Arial Black"/>
          <w:sz w:val="28"/>
          <w:szCs w:val="28"/>
        </w:rPr>
        <w:t>3-6</w:t>
      </w:r>
      <w:r w:rsidR="00ED4EAF">
        <w:rPr>
          <w:rFonts w:ascii="Arial Black" w:hAnsi="Arial Black"/>
          <w:sz w:val="28"/>
          <w:szCs w:val="28"/>
        </w:rPr>
        <w:t>3</w:t>
      </w:r>
    </w:p>
    <w:p w14:paraId="1D109C5F" w14:textId="77777777" w:rsidR="00E75F2A" w:rsidRDefault="00E75F2A" w:rsidP="00E75F2A">
      <w:pPr>
        <w:pStyle w:val="NormalWeb"/>
        <w:rPr>
          <w:rFonts w:ascii="Arial Black" w:hAnsi="Arial Black"/>
          <w:sz w:val="28"/>
          <w:szCs w:val="28"/>
        </w:rPr>
      </w:pPr>
      <w:r>
        <w:rPr>
          <w:rFonts w:ascii="Arial Black" w:hAnsi="Arial Black"/>
          <w:sz w:val="28"/>
          <w:szCs w:val="28"/>
        </w:rPr>
        <w:t>U.S. SUP. CT:  PARKLAND SHOOTING – NRA CAN SUE STATE OF NY – 1</w:t>
      </w:r>
      <w:r w:rsidRPr="00EC6994">
        <w:rPr>
          <w:rFonts w:ascii="Arial Black" w:hAnsi="Arial Black"/>
          <w:sz w:val="28"/>
          <w:szCs w:val="28"/>
          <w:vertAlign w:val="superscript"/>
        </w:rPr>
        <w:t>st</w:t>
      </w:r>
      <w:r>
        <w:rPr>
          <w:rFonts w:ascii="Arial Black" w:hAnsi="Arial Black"/>
          <w:sz w:val="28"/>
          <w:szCs w:val="28"/>
        </w:rPr>
        <w:t xml:space="preserve"> AMEND – TOLD INSUR. COMPANYS DROP NRA </w:t>
      </w:r>
    </w:p>
    <w:p w14:paraId="5657AEBD" w14:textId="77777777" w:rsidR="009334CD" w:rsidRDefault="00E75F2A" w:rsidP="00E75F2A">
      <w:pPr>
        <w:pStyle w:val="NormalWeb"/>
      </w:pPr>
      <w:r>
        <w:t xml:space="preserve">On May 30, 2024, </w:t>
      </w:r>
      <w:r w:rsidRPr="0021798A">
        <w:rPr>
          <w:u w:val="single"/>
        </w:rPr>
        <w:t>in National Rifle Association v.  Vullo</w:t>
      </w:r>
      <w:r>
        <w:t xml:space="preserve"> (Maria Vullo, former Superintendent of the New York Department of Financial Services), the U.S. Supreme Court held (9 to 0) that NRA’s lawsuit for alleged violation of First Amendment shall be reinstated and proceed to pre-trial discovery, thereby reversing U.S. Court of Appeals for 2</w:t>
      </w:r>
      <w:r w:rsidRPr="008820A5">
        <w:rPr>
          <w:vertAlign w:val="superscript"/>
        </w:rPr>
        <w:t>nd</w:t>
      </w:r>
      <w:r>
        <w:t xml:space="preserve"> Circuit which had ordered case dismissed.  In 2017, a gun-control advocacy group had advised Vullo that insurance companies in New York were illegally insuring NRA members who purchased “Carry Guard” that they would be insured even for intentional criminal acts; Vullo opened an investigation of two insurance companies (who were fined and cancelled their policies).  On Feb. 14, 2018, February 14, 2018, a gunman opened fire at Marjory Stoneman Douglas High School, murdering 17 students and staff members.  The Governor and Vullo then started warning NY insurance companies to not insure NRA, including a “private meeting” by Vullo with insurance executives.  </w:t>
      </w:r>
    </w:p>
    <w:p w14:paraId="6CB42823" w14:textId="68350D17" w:rsidR="009334CD" w:rsidRDefault="009334CD" w:rsidP="00E75F2A">
      <w:pPr>
        <w:pStyle w:val="NormalWeb"/>
      </w:pPr>
      <w:r>
        <w:t xml:space="preserve">THE COURT HELD: </w:t>
      </w:r>
    </w:p>
    <w:p w14:paraId="7032A1F9" w14:textId="77777777" w:rsidR="00E75F2A" w:rsidRDefault="00E75F2A" w:rsidP="00E75F2A">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506708">
        <w:rPr>
          <w:rFonts w:ascii="Times New Roman" w:hAnsi="Times New Roman"/>
          <w:sz w:val="24"/>
          <w:szCs w:val="24"/>
          <w:shd w:val="clear" w:color="auto" w:fill="FFFFFF"/>
        </w:rPr>
        <w:t>As discussed below, Vullo was free to criticize the NRA</w:t>
      </w:r>
      <w:r>
        <w:rPr>
          <w:rFonts w:ascii="Times New Roman" w:hAnsi="Times New Roman"/>
          <w:sz w:val="24"/>
          <w:szCs w:val="24"/>
          <w:shd w:val="clear" w:color="auto" w:fill="FFFFFF"/>
        </w:rPr>
        <w:t xml:space="preserve"> </w:t>
      </w:r>
      <w:r w:rsidRPr="00506708">
        <w:rPr>
          <w:rFonts w:ascii="Times New Roman" w:hAnsi="Times New Roman"/>
          <w:sz w:val="24"/>
          <w:szCs w:val="24"/>
          <w:shd w:val="clear" w:color="auto" w:fill="FFFFFF"/>
        </w:rPr>
        <w:t>and pursue the conceded violations of New York insurance</w:t>
      </w:r>
      <w:r>
        <w:rPr>
          <w:rFonts w:ascii="Times New Roman" w:hAnsi="Times New Roman"/>
          <w:sz w:val="24"/>
          <w:szCs w:val="24"/>
          <w:shd w:val="clear" w:color="auto" w:fill="FFFFFF"/>
        </w:rPr>
        <w:t xml:space="preserve"> </w:t>
      </w:r>
      <w:r w:rsidRPr="00506708">
        <w:rPr>
          <w:rFonts w:ascii="Times New Roman" w:hAnsi="Times New Roman"/>
          <w:sz w:val="24"/>
          <w:szCs w:val="24"/>
          <w:shd w:val="clear" w:color="auto" w:fill="FFFFFF"/>
        </w:rPr>
        <w:t>law. She could not wield her power, however, to threaten</w:t>
      </w:r>
      <w:r>
        <w:rPr>
          <w:rFonts w:ascii="Times New Roman" w:hAnsi="Times New Roman"/>
          <w:sz w:val="24"/>
          <w:szCs w:val="24"/>
          <w:shd w:val="clear" w:color="auto" w:fill="FFFFFF"/>
        </w:rPr>
        <w:t xml:space="preserve"> </w:t>
      </w:r>
      <w:r w:rsidRPr="00506708">
        <w:rPr>
          <w:rFonts w:ascii="Times New Roman" w:hAnsi="Times New Roman"/>
          <w:sz w:val="24"/>
          <w:szCs w:val="24"/>
          <w:shd w:val="clear" w:color="auto" w:fill="FFFFFF"/>
        </w:rPr>
        <w:t xml:space="preserve">enforcement actions against DFS-regulated entities </w:t>
      </w:r>
      <w:proofErr w:type="gramStart"/>
      <w:r w:rsidRPr="00506708">
        <w:rPr>
          <w:rFonts w:ascii="Times New Roman" w:hAnsi="Times New Roman"/>
          <w:sz w:val="24"/>
          <w:szCs w:val="24"/>
          <w:shd w:val="clear" w:color="auto" w:fill="FFFFFF"/>
        </w:rPr>
        <w:t>in order to</w:t>
      </w:r>
      <w:proofErr w:type="gramEnd"/>
      <w:r w:rsidRPr="00506708">
        <w:rPr>
          <w:rFonts w:ascii="Times New Roman" w:hAnsi="Times New Roman"/>
          <w:sz w:val="24"/>
          <w:szCs w:val="24"/>
          <w:shd w:val="clear" w:color="auto" w:fill="FFFFFF"/>
        </w:rPr>
        <w:t xml:space="preserve"> punish or suppress the NRA’s gun-promotion advocacy. Because the complaint plausibly alleges that Vullo</w:t>
      </w:r>
      <w:r>
        <w:rPr>
          <w:rFonts w:ascii="Times New Roman" w:hAnsi="Times New Roman"/>
          <w:sz w:val="24"/>
          <w:szCs w:val="24"/>
          <w:shd w:val="clear" w:color="auto" w:fill="FFFFFF"/>
        </w:rPr>
        <w:t xml:space="preserve"> </w:t>
      </w:r>
      <w:r w:rsidRPr="00506708">
        <w:rPr>
          <w:rFonts w:ascii="Times New Roman" w:hAnsi="Times New Roman"/>
          <w:sz w:val="24"/>
          <w:szCs w:val="24"/>
          <w:shd w:val="clear" w:color="auto" w:fill="FFFFFF"/>
        </w:rPr>
        <w:t>did just that, the Court holds that the NRA stated a First</w:t>
      </w:r>
      <w:r>
        <w:rPr>
          <w:rFonts w:ascii="Times New Roman" w:hAnsi="Times New Roman"/>
          <w:sz w:val="24"/>
          <w:szCs w:val="24"/>
          <w:shd w:val="clear" w:color="auto" w:fill="FFFFFF"/>
        </w:rPr>
        <w:t xml:space="preserve"> </w:t>
      </w:r>
      <w:r w:rsidRPr="00506708">
        <w:rPr>
          <w:rFonts w:ascii="Times New Roman" w:hAnsi="Times New Roman"/>
          <w:sz w:val="24"/>
          <w:szCs w:val="24"/>
          <w:shd w:val="clear" w:color="auto" w:fill="FFFFFF"/>
        </w:rPr>
        <w:t>Amendment violation.</w:t>
      </w:r>
    </w:p>
    <w:p w14:paraId="617CB12F" w14:textId="77777777" w:rsidR="00E75F2A" w:rsidRDefault="00E75F2A" w:rsidP="00E75F2A">
      <w:pPr>
        <w:pStyle w:val="NoSpacing"/>
        <w:rPr>
          <w:rFonts w:ascii="Times New Roman" w:hAnsi="Times New Roman"/>
          <w:sz w:val="24"/>
          <w:szCs w:val="24"/>
          <w:shd w:val="clear" w:color="auto" w:fill="FFFFFF"/>
        </w:rPr>
      </w:pPr>
    </w:p>
    <w:p w14:paraId="07A64F4A" w14:textId="77777777" w:rsidR="00E75F2A" w:rsidRDefault="00E75F2A" w:rsidP="00E75F2A">
      <w:pPr>
        <w:pStyle w:val="NoSpacing"/>
        <w:ind w:firstLine="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123C7CFD" w14:textId="77777777" w:rsidR="00E75F2A" w:rsidRPr="00DC0294" w:rsidRDefault="00E75F2A" w:rsidP="00E75F2A">
      <w:pPr>
        <w:pStyle w:val="NoSpacing"/>
        <w:ind w:left="720"/>
        <w:rPr>
          <w:rFonts w:ascii="Times New Roman" w:hAnsi="Times New Roman"/>
          <w:sz w:val="24"/>
          <w:szCs w:val="24"/>
          <w:shd w:val="clear" w:color="auto" w:fill="FFFFFF"/>
        </w:rPr>
      </w:pPr>
      <w:r w:rsidRPr="00DC0294">
        <w:rPr>
          <w:rFonts w:ascii="Times New Roman" w:hAnsi="Times New Roman"/>
          <w:sz w:val="24"/>
          <w:szCs w:val="24"/>
          <w:shd w:val="clear" w:color="auto" w:fill="FFFFFF"/>
        </w:rPr>
        <w:t>For the reasons discussed above, the Court holds that the</w:t>
      </w:r>
      <w:r>
        <w:rPr>
          <w:rFonts w:ascii="Times New Roman" w:hAnsi="Times New Roman"/>
          <w:sz w:val="24"/>
          <w:szCs w:val="24"/>
          <w:shd w:val="clear" w:color="auto" w:fill="FFFFFF"/>
        </w:rPr>
        <w:t xml:space="preserve"> </w:t>
      </w:r>
      <w:r w:rsidRPr="00DC0294">
        <w:rPr>
          <w:rFonts w:ascii="Times New Roman" w:hAnsi="Times New Roman"/>
          <w:sz w:val="24"/>
          <w:szCs w:val="24"/>
          <w:shd w:val="clear" w:color="auto" w:fill="FFFFFF"/>
        </w:rPr>
        <w:t xml:space="preserve">NRA plausibly alleged that Vullo violated the First Amendment by coercing DFS-regulated entities to terminate </w:t>
      </w:r>
      <w:proofErr w:type="gramStart"/>
      <w:r w:rsidRPr="00DC0294">
        <w:rPr>
          <w:rFonts w:ascii="Times New Roman" w:hAnsi="Times New Roman"/>
          <w:sz w:val="24"/>
          <w:szCs w:val="24"/>
          <w:shd w:val="clear" w:color="auto" w:fill="FFFFFF"/>
        </w:rPr>
        <w:t>their</w:t>
      </w:r>
      <w:proofErr w:type="gramEnd"/>
    </w:p>
    <w:p w14:paraId="3593A4BE" w14:textId="77777777" w:rsidR="00E75F2A" w:rsidRDefault="00E75F2A" w:rsidP="00E75F2A">
      <w:pPr>
        <w:pStyle w:val="NoSpacing"/>
        <w:ind w:left="720"/>
        <w:rPr>
          <w:rFonts w:ascii="Times New Roman" w:hAnsi="Times New Roman"/>
          <w:sz w:val="24"/>
          <w:szCs w:val="24"/>
          <w:shd w:val="clear" w:color="auto" w:fill="FFFFFF"/>
        </w:rPr>
      </w:pPr>
      <w:r w:rsidRPr="00DC0294">
        <w:rPr>
          <w:rFonts w:ascii="Times New Roman" w:hAnsi="Times New Roman"/>
          <w:sz w:val="24"/>
          <w:szCs w:val="24"/>
          <w:shd w:val="clear" w:color="auto" w:fill="FFFFFF"/>
        </w:rPr>
        <w:t xml:space="preserve">business relationships with the NRA </w:t>
      </w:r>
      <w:proofErr w:type="gramStart"/>
      <w:r w:rsidRPr="00DC0294">
        <w:rPr>
          <w:rFonts w:ascii="Times New Roman" w:hAnsi="Times New Roman"/>
          <w:sz w:val="24"/>
          <w:szCs w:val="24"/>
          <w:shd w:val="clear" w:color="auto" w:fill="FFFFFF"/>
        </w:rPr>
        <w:t>in order to</w:t>
      </w:r>
      <w:proofErr w:type="gramEnd"/>
      <w:r w:rsidRPr="00DC0294">
        <w:rPr>
          <w:rFonts w:ascii="Times New Roman" w:hAnsi="Times New Roman"/>
          <w:sz w:val="24"/>
          <w:szCs w:val="24"/>
          <w:shd w:val="clear" w:color="auto" w:fill="FFFFFF"/>
        </w:rPr>
        <w:t xml:space="preserve"> punish or</w:t>
      </w:r>
      <w:r>
        <w:rPr>
          <w:rFonts w:ascii="Times New Roman" w:hAnsi="Times New Roman"/>
          <w:sz w:val="24"/>
          <w:szCs w:val="24"/>
          <w:shd w:val="clear" w:color="auto" w:fill="FFFFFF"/>
        </w:rPr>
        <w:t xml:space="preserve"> </w:t>
      </w:r>
      <w:r w:rsidRPr="00DC0294">
        <w:rPr>
          <w:rFonts w:ascii="Times New Roman" w:hAnsi="Times New Roman"/>
          <w:sz w:val="24"/>
          <w:szCs w:val="24"/>
          <w:shd w:val="clear" w:color="auto" w:fill="FFFFFF"/>
        </w:rPr>
        <w:t>suppress the NRA’s advocacy.</w:t>
      </w:r>
      <w:r>
        <w:rPr>
          <w:rFonts w:ascii="Times New Roman" w:hAnsi="Times New Roman"/>
          <w:sz w:val="24"/>
          <w:szCs w:val="24"/>
          <w:shd w:val="clear" w:color="auto" w:fill="FFFFFF"/>
        </w:rPr>
        <w:t>”</w:t>
      </w:r>
      <w:r w:rsidRPr="00B8727E">
        <w:t xml:space="preserve"> </w:t>
      </w:r>
      <w:hyperlink r:id="rId702" w:history="1">
        <w:r w:rsidRPr="00220336">
          <w:rPr>
            <w:rStyle w:val="Hyperlink"/>
            <w:rFonts w:ascii="Times New Roman" w:hAnsi="Times New Roman"/>
            <w:sz w:val="24"/>
            <w:szCs w:val="24"/>
            <w:shd w:val="clear" w:color="auto" w:fill="FFFFFF"/>
          </w:rPr>
          <w:t>https://www.supremecourt.gov/opinions/23pdf/22-842_6kg7.pdf</w:t>
        </w:r>
      </w:hyperlink>
      <w:r>
        <w:rPr>
          <w:rFonts w:ascii="Times New Roman" w:hAnsi="Times New Roman"/>
          <w:sz w:val="24"/>
          <w:szCs w:val="24"/>
          <w:shd w:val="clear" w:color="auto" w:fill="FFFFFF"/>
        </w:rPr>
        <w:t xml:space="preserve"> </w:t>
      </w:r>
    </w:p>
    <w:p w14:paraId="047BD114" w14:textId="77777777" w:rsidR="00E75F2A" w:rsidRDefault="00E75F2A" w:rsidP="00F326E5">
      <w:pPr>
        <w:pStyle w:val="NoSpacing"/>
        <w:rPr>
          <w:rFonts w:ascii="Arial Black" w:hAnsi="Arial Black"/>
          <w:sz w:val="28"/>
          <w:szCs w:val="28"/>
        </w:rPr>
      </w:pPr>
    </w:p>
    <w:p w14:paraId="099758B6" w14:textId="77777777" w:rsidR="003F14B8" w:rsidRPr="00A63606" w:rsidRDefault="003F14B8" w:rsidP="003F14B8">
      <w:pPr>
        <w:pStyle w:val="NoSpacing"/>
        <w:rPr>
          <w:rFonts w:ascii="Times New Roman" w:hAnsi="Times New Roman"/>
          <w:b/>
          <w:bCs/>
          <w:sz w:val="24"/>
          <w:szCs w:val="24"/>
          <w:shd w:val="clear" w:color="auto" w:fill="FFFFFF"/>
        </w:rPr>
      </w:pPr>
      <w:r w:rsidRPr="00A63606">
        <w:rPr>
          <w:rFonts w:ascii="Times New Roman" w:hAnsi="Times New Roman"/>
          <w:b/>
          <w:bCs/>
          <w:sz w:val="24"/>
          <w:szCs w:val="24"/>
          <w:shd w:val="clear" w:color="auto" w:fill="FFFFFF"/>
        </w:rPr>
        <w:t>Legal Lesson Learned:</w:t>
      </w:r>
      <w:r>
        <w:rPr>
          <w:rFonts w:ascii="Times New Roman" w:hAnsi="Times New Roman"/>
          <w:b/>
          <w:bCs/>
          <w:sz w:val="24"/>
          <w:szCs w:val="24"/>
          <w:shd w:val="clear" w:color="auto" w:fill="FFFFFF"/>
        </w:rPr>
        <w:t xml:space="preserve"> This unanimous First Amendment decision will undoubtedly lead to other cases against government officials; fire code enforcers should use great care in publicly discussing targets of investigation. </w:t>
      </w:r>
    </w:p>
    <w:p w14:paraId="79271AA2" w14:textId="77777777" w:rsidR="00E858DE" w:rsidRDefault="00E858DE" w:rsidP="00F326E5">
      <w:pPr>
        <w:pStyle w:val="NoSpacing"/>
        <w:rPr>
          <w:rFonts w:ascii="Arial Black" w:hAnsi="Arial Black"/>
          <w:sz w:val="28"/>
          <w:szCs w:val="28"/>
        </w:rPr>
      </w:pPr>
    </w:p>
    <w:p w14:paraId="63F500A9" w14:textId="77777777" w:rsidR="00E858DE" w:rsidRDefault="00E858DE" w:rsidP="00F326E5">
      <w:pPr>
        <w:pStyle w:val="NoSpacing"/>
        <w:rPr>
          <w:rFonts w:ascii="Arial Black" w:hAnsi="Arial Black"/>
          <w:sz w:val="28"/>
          <w:szCs w:val="28"/>
        </w:rPr>
      </w:pPr>
    </w:p>
    <w:p w14:paraId="03437754" w14:textId="77777777" w:rsidR="00E858DE" w:rsidRDefault="00E858DE" w:rsidP="00F326E5">
      <w:pPr>
        <w:pStyle w:val="NoSpacing"/>
        <w:rPr>
          <w:rFonts w:ascii="Arial Black" w:hAnsi="Arial Black"/>
          <w:sz w:val="28"/>
          <w:szCs w:val="28"/>
        </w:rPr>
      </w:pPr>
    </w:p>
    <w:p w14:paraId="29BCA901" w14:textId="742F2452" w:rsidR="00683F2A" w:rsidRDefault="00683F2A" w:rsidP="00F326E5">
      <w:pPr>
        <w:pStyle w:val="NoSpacing"/>
        <w:rPr>
          <w:rFonts w:ascii="Arial Black" w:hAnsi="Arial Black"/>
          <w:sz w:val="28"/>
          <w:szCs w:val="28"/>
        </w:rPr>
      </w:pPr>
      <w:r>
        <w:rPr>
          <w:rFonts w:ascii="Arial Black" w:hAnsi="Arial Black"/>
          <w:sz w:val="28"/>
          <w:szCs w:val="28"/>
        </w:rPr>
        <w:t>3-6</w:t>
      </w:r>
      <w:r w:rsidR="00ED4EAF">
        <w:rPr>
          <w:rFonts w:ascii="Arial Black" w:hAnsi="Arial Black"/>
          <w:sz w:val="28"/>
          <w:szCs w:val="28"/>
        </w:rPr>
        <w:t>2</w:t>
      </w:r>
    </w:p>
    <w:p w14:paraId="780A2029" w14:textId="77777777" w:rsidR="00E858DE" w:rsidRDefault="00E858DE" w:rsidP="00683F2A">
      <w:pPr>
        <w:pStyle w:val="NormalWeb"/>
        <w:spacing w:before="0" w:beforeAutospacing="0"/>
        <w:rPr>
          <w:rFonts w:ascii="Arial Black" w:hAnsi="Arial Black"/>
          <w:b/>
          <w:bCs/>
          <w:color w:val="454545"/>
          <w:sz w:val="28"/>
          <w:szCs w:val="28"/>
          <w:shd w:val="clear" w:color="auto" w:fill="FFFFFF"/>
        </w:rPr>
      </w:pPr>
    </w:p>
    <w:p w14:paraId="68C07340" w14:textId="54FFE53C" w:rsidR="00683F2A" w:rsidRDefault="00683F2A" w:rsidP="00683F2A">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lastRenderedPageBreak/>
        <w:t xml:space="preserve">DC:  RETIRED NY COP - TRUMP RALLY /  U.S. CAPITOL - ATTACKED PD – WORE BODY ARMOR - 10-YRS PRISON </w:t>
      </w:r>
    </w:p>
    <w:p w14:paraId="3A124D12" w14:textId="77777777" w:rsidR="00683F2A" w:rsidRDefault="00683F2A" w:rsidP="00683F2A">
      <w:pPr>
        <w:pStyle w:val="NormalWeb"/>
        <w:spacing w:before="0" w:beforeAutospacing="0"/>
        <w:rPr>
          <w:color w:val="454545"/>
          <w:shd w:val="clear" w:color="auto" w:fill="FFFFFF"/>
        </w:rPr>
      </w:pPr>
      <w:r w:rsidRPr="00C01682">
        <w:rPr>
          <w:color w:val="454545"/>
          <w:shd w:val="clear" w:color="auto" w:fill="FFFFFF"/>
        </w:rPr>
        <w:t xml:space="preserve">On May 28, 2024, in </w:t>
      </w:r>
      <w:r w:rsidRPr="00C01682">
        <w:rPr>
          <w:color w:val="454545"/>
          <w:u w:val="single"/>
          <w:shd w:val="clear" w:color="auto" w:fill="FFFFFF"/>
        </w:rPr>
        <w:t>United States of America v. Thomas Webster</w:t>
      </w:r>
      <w:r w:rsidRPr="00C01682">
        <w:rPr>
          <w:color w:val="454545"/>
          <w:shd w:val="clear" w:color="auto" w:fill="FFFFFF"/>
        </w:rPr>
        <w:t xml:space="preserve">, </w:t>
      </w:r>
      <w:r>
        <w:rPr>
          <w:color w:val="454545"/>
          <w:shd w:val="clear" w:color="auto" w:fill="FFFFFF"/>
        </w:rPr>
        <w:t>the U.S. Court of Appeals for the District of Columbia Circuit held (3 to 0) that jury conviction of five felonies, and judge’s sentence of 10 years in prison, is confirmed. The Court held:</w:t>
      </w:r>
    </w:p>
    <w:p w14:paraId="6B2377D0" w14:textId="77777777" w:rsidR="00683F2A" w:rsidRDefault="00683F2A" w:rsidP="00683F2A">
      <w:pPr>
        <w:pStyle w:val="NormalWeb"/>
        <w:spacing w:before="0" w:beforeAutospacing="0"/>
        <w:ind w:left="720" w:firstLine="60"/>
      </w:pPr>
      <w:r>
        <w:rPr>
          <w:color w:val="454545"/>
          <w:shd w:val="clear" w:color="auto" w:fill="FFFFFF"/>
        </w:rPr>
        <w:t>“</w:t>
      </w:r>
      <w:r>
        <w:t xml:space="preserve">Thomas Webster attended former-President Trump's rally on January 6, 2021, and then went to the Capitol. Upon arriving, Webster confronted a line of police officers and violently assaulted Officer Rathbun of the Metropolitan Police Department. A jury convicted Webster of five felonies and one misdemeanor offense. The district court imposed a ten-year prison sentence. Webster appeals, raising challenges both to his convictions and his sentence. We have considered each of Webster's challenges and, because none of them succeed, we affirm his convictions and sentence. … Turning to Webster's sentence, he challenges the district court's inclusion of a four-level, use-of-body-armor enhancement. He also argues that the length of his sentence was substantively unreasonable as compared to other January 6th defendants. Neither of those arguments succeeds.” </w:t>
      </w:r>
      <w:hyperlink r:id="rId703" w:history="1">
        <w:r w:rsidRPr="00F80308">
          <w:rPr>
            <w:rStyle w:val="Hyperlink"/>
          </w:rPr>
          <w:t>https://cases.justia.com/federal/appellate-courts/cadc/22-3064/22-3064-2024-05-28.pdf?ts=1716910338</w:t>
        </w:r>
      </w:hyperlink>
      <w:r>
        <w:t xml:space="preserve"> </w:t>
      </w:r>
    </w:p>
    <w:p w14:paraId="3E8B7F5C" w14:textId="77777777" w:rsidR="00E858DE" w:rsidRPr="00A474FA" w:rsidRDefault="00E858DE" w:rsidP="00E858DE">
      <w:pPr>
        <w:pStyle w:val="NormalWeb"/>
        <w:rPr>
          <w:b/>
          <w:bCs/>
        </w:rPr>
      </w:pPr>
      <w:r>
        <w:rPr>
          <w:b/>
          <w:bCs/>
        </w:rPr>
        <w:t xml:space="preserve">Legal Lesson Learned:  Federal Sentencing Guidelines authorizes an enhanced sentence for defendants who wear body armor. </w:t>
      </w:r>
    </w:p>
    <w:p w14:paraId="04A16425" w14:textId="77777777" w:rsidR="00E858DE" w:rsidRDefault="00E858DE" w:rsidP="00683F2A">
      <w:pPr>
        <w:pStyle w:val="NormalWeb"/>
        <w:spacing w:before="0" w:beforeAutospacing="0"/>
        <w:ind w:left="720" w:firstLine="60"/>
      </w:pPr>
    </w:p>
    <w:p w14:paraId="60C9C348" w14:textId="77777777" w:rsidR="00683F2A" w:rsidRDefault="00683F2A" w:rsidP="00F326E5">
      <w:pPr>
        <w:pStyle w:val="NoSpacing"/>
        <w:rPr>
          <w:rFonts w:ascii="Arial Black" w:hAnsi="Arial Black"/>
          <w:sz w:val="28"/>
          <w:szCs w:val="28"/>
        </w:rPr>
      </w:pPr>
    </w:p>
    <w:p w14:paraId="7EE4ADE4" w14:textId="77777777" w:rsidR="00683F2A" w:rsidRDefault="00683F2A" w:rsidP="00F326E5">
      <w:pPr>
        <w:pStyle w:val="NoSpacing"/>
        <w:rPr>
          <w:rFonts w:ascii="Arial Black" w:hAnsi="Arial Black"/>
          <w:sz w:val="28"/>
          <w:szCs w:val="28"/>
        </w:rPr>
      </w:pPr>
    </w:p>
    <w:p w14:paraId="02F18301" w14:textId="77777777" w:rsidR="00683F2A" w:rsidRDefault="00683F2A" w:rsidP="00F326E5">
      <w:pPr>
        <w:pStyle w:val="NoSpacing"/>
        <w:rPr>
          <w:rFonts w:ascii="Arial Black" w:hAnsi="Arial Black"/>
          <w:sz w:val="28"/>
          <w:szCs w:val="28"/>
        </w:rPr>
      </w:pPr>
    </w:p>
    <w:p w14:paraId="3008E96E" w14:textId="77777777" w:rsidR="00683F2A" w:rsidRDefault="00683F2A" w:rsidP="00F326E5">
      <w:pPr>
        <w:pStyle w:val="NoSpacing"/>
        <w:rPr>
          <w:rFonts w:ascii="Arial Black" w:hAnsi="Arial Black"/>
          <w:sz w:val="28"/>
          <w:szCs w:val="28"/>
        </w:rPr>
      </w:pPr>
    </w:p>
    <w:p w14:paraId="3F7C0957" w14:textId="06AB0F98" w:rsidR="005B72EF" w:rsidRDefault="005B72EF" w:rsidP="00F326E5">
      <w:pPr>
        <w:pStyle w:val="NoSpacing"/>
        <w:rPr>
          <w:rFonts w:ascii="Arial Black" w:hAnsi="Arial Black"/>
          <w:sz w:val="28"/>
          <w:szCs w:val="28"/>
        </w:rPr>
      </w:pPr>
      <w:r>
        <w:rPr>
          <w:rFonts w:ascii="Arial Black" w:hAnsi="Arial Black"/>
          <w:sz w:val="28"/>
          <w:szCs w:val="28"/>
        </w:rPr>
        <w:t>3-6</w:t>
      </w:r>
      <w:r w:rsidR="00ED4EAF">
        <w:rPr>
          <w:rFonts w:ascii="Arial Black" w:hAnsi="Arial Black"/>
          <w:sz w:val="28"/>
          <w:szCs w:val="28"/>
        </w:rPr>
        <w:t>1</w:t>
      </w:r>
    </w:p>
    <w:p w14:paraId="42D5DB61" w14:textId="77777777" w:rsidR="005B72EF" w:rsidRDefault="005B72EF" w:rsidP="00F326E5">
      <w:pPr>
        <w:pStyle w:val="NoSpacing"/>
        <w:rPr>
          <w:rFonts w:ascii="Arial Black" w:hAnsi="Arial Black"/>
          <w:sz w:val="28"/>
          <w:szCs w:val="28"/>
        </w:rPr>
      </w:pPr>
    </w:p>
    <w:p w14:paraId="38428E1A" w14:textId="77777777" w:rsidR="00C2103A" w:rsidRPr="005E3F54" w:rsidRDefault="00C2103A" w:rsidP="00C2103A">
      <w:pPr>
        <w:rPr>
          <w:rFonts w:ascii="Arial Black" w:hAnsi="Arial Black"/>
          <w:sz w:val="28"/>
          <w:szCs w:val="28"/>
        </w:rPr>
      </w:pPr>
      <w:r>
        <w:rPr>
          <w:rFonts w:ascii="Arial Black" w:hAnsi="Arial Black"/>
          <w:sz w:val="28"/>
          <w:szCs w:val="28"/>
        </w:rPr>
        <w:t>MA: FIREBOMB – CO</w:t>
      </w:r>
      <w:r>
        <w:rPr>
          <w:rFonts w:ascii="Arial Black" w:hAnsi="Arial Black"/>
          <w:sz w:val="28"/>
        </w:rPr>
        <w:t>N</w:t>
      </w:r>
      <w:r>
        <w:rPr>
          <w:rFonts w:ascii="Arial Black" w:hAnsi="Arial Black"/>
          <w:sz w:val="28"/>
          <w:szCs w:val="28"/>
        </w:rPr>
        <w:t>VICTION - GAS CAN NEAR JEWISH CENTER – BLOOD ON CAN / WICK / CHRISTIAN PAMPHLET</w:t>
      </w:r>
    </w:p>
    <w:p w14:paraId="40C36554" w14:textId="65CD2541" w:rsidR="005B72EF" w:rsidRDefault="005B72EF" w:rsidP="005B72EF">
      <w:pPr>
        <w:pStyle w:val="NormalWeb"/>
        <w:spacing w:before="0" w:beforeAutospacing="0"/>
      </w:pPr>
      <w:r>
        <w:t xml:space="preserve">On April 5, 2024, in </w:t>
      </w:r>
      <w:r w:rsidRPr="003E6799">
        <w:rPr>
          <w:u w:val="single"/>
        </w:rPr>
        <w:t>United States of America v. John Michael Rathbun</w:t>
      </w:r>
      <w:r>
        <w:t>, the U.S. Court of Appeals for the 1</w:t>
      </w:r>
      <w:r w:rsidRPr="003E6799">
        <w:rPr>
          <w:vertAlign w:val="superscript"/>
        </w:rPr>
        <w:t>st</w:t>
      </w:r>
      <w:r>
        <w:t xml:space="preserve"> District (Boston) held (3 to 0) reject his appeal from jury convictions, after two separate trials arising out of the bomb's discovery.  The defendant took the stand and testified – jury rejected his alibi. </w:t>
      </w:r>
      <w:hyperlink r:id="rId704" w:history="1">
        <w:r w:rsidRPr="0076603B">
          <w:rPr>
            <w:rStyle w:val="Hyperlink"/>
          </w:rPr>
          <w:t>https://caselaw.findlaw.com/court/us-1st-circuit/116020600.html</w:t>
        </w:r>
      </w:hyperlink>
      <w:r>
        <w:t xml:space="preserve"> </w:t>
      </w:r>
    </w:p>
    <w:p w14:paraId="23131478" w14:textId="77777777" w:rsidR="005B72EF" w:rsidRDefault="005B72EF" w:rsidP="005B72EF">
      <w:pPr>
        <w:pStyle w:val="NormalWeb"/>
        <w:spacing w:before="0" w:beforeAutospacing="0"/>
      </w:pPr>
      <w:r>
        <w:t>THE COURT HELD:</w:t>
      </w:r>
    </w:p>
    <w:p w14:paraId="2E0507FA" w14:textId="77777777" w:rsidR="005B72EF" w:rsidRDefault="005B72EF" w:rsidP="005B72EF">
      <w:pPr>
        <w:pStyle w:val="NormalWeb"/>
        <w:ind w:left="720"/>
      </w:pPr>
      <w:r>
        <w:t xml:space="preserve">“Contrary to Rathbun's protestations, the record shows that abundant evidence incriminated him, making the government's case against Rathbun quite strong. The government presented evidence, inter alia, about the fuel container itself and the recorded incriminating statements Rathbun made to his mother acknowledging his possession of it, Rathbun's cell phone location data on the date of the incident, Rathbun's DNA evidence from the fuel container and wick, and Rathbun's inculpatory admissions to investigators. The government also presented circumstantial evidence demonstrating Rathbun's access to the Steps to Peace with God tract and evidence that contradicted multiple statements Rathbun made during his interview with Agent McGonigle. Therefore, taking ‘the strength </w:t>
      </w:r>
      <w:r>
        <w:rPr>
          <w:rFonts w:ascii="Cambria Math" w:hAnsi="Cambria Math" w:cs="Cambria Math"/>
        </w:rPr>
        <w:t>․</w:t>
      </w:r>
      <w:r>
        <w:t xml:space="preserve"> of the government's </w:t>
      </w:r>
      <w:r>
        <w:lastRenderedPageBreak/>
        <w:t>evidence of guilt’ less the evidence of Rathbun's behavior at the Motel, we conclude that the admission of the evidence, even if error, was harmless.”</w:t>
      </w:r>
    </w:p>
    <w:p w14:paraId="622D7386" w14:textId="77777777" w:rsidR="005B72EF" w:rsidRDefault="005B72EF" w:rsidP="005B72EF">
      <w:pPr>
        <w:pStyle w:val="NormalWeb"/>
        <w:rPr>
          <w:b/>
          <w:bCs/>
        </w:rPr>
      </w:pPr>
      <w:r w:rsidRPr="00E9724E">
        <w:rPr>
          <w:b/>
          <w:bCs/>
        </w:rPr>
        <w:t>Legal Lesson Learned:</w:t>
      </w:r>
      <w:r>
        <w:rPr>
          <w:b/>
          <w:bCs/>
        </w:rPr>
        <w:t xml:space="preserve"> DNA evidence is very persuasive to a jury.</w:t>
      </w:r>
    </w:p>
    <w:p w14:paraId="04B5B659" w14:textId="77777777" w:rsidR="005B72EF" w:rsidRPr="00B80913" w:rsidRDefault="005B72EF" w:rsidP="005B72EF">
      <w:pPr>
        <w:pStyle w:val="NormalWeb"/>
      </w:pPr>
      <w:r>
        <w:rPr>
          <w:b/>
          <w:bCs/>
        </w:rPr>
        <w:tab/>
      </w:r>
      <w:r>
        <w:t xml:space="preserve">Note: The jury rejected the defendant’s alibi.  </w:t>
      </w:r>
    </w:p>
    <w:p w14:paraId="4A213691" w14:textId="77777777" w:rsidR="005B72EF" w:rsidRDefault="005B72EF" w:rsidP="005B72EF">
      <w:pPr>
        <w:pStyle w:val="NormalWeb"/>
        <w:ind w:left="720"/>
      </w:pPr>
      <w:r>
        <w:t>“Footnote 24: When opting to testify, in his own defense, Rathbun eventually acknowledged that he had earlier and likely found the yellow canister used to make the bomb at a job ‘cleanout’ in Chicopee, Massachusetts. At that job site, he had cut his hand on a metal shard, which explains the presence of his blood on the container. He contended that he (and an acquaintance) had illegally dumped the cleanout debris at a dumpster on Converse Street some days before the bomb was found. As for the bloody tract, he theorized that blood from his cut must have somehow transferred to a pamphlet he speculates his mother must have had in her car's cup holder, and that the pamphlet must have gotten jettisoned to the dumpster along with the fuel canister and other random debris. Continuing, he postulates some random third person -- someone very careful not to leave fingerprints, but crafty enough to leave incriminating blood evidence -- must have come along and fished the canister and the pamphlet out of the dumpster and used it to craft the destructive firebomb at the heart of this prosecution. As we said, this alternative explanation was seemingly a non-starter for the jury.”</w:t>
      </w:r>
    </w:p>
    <w:p w14:paraId="439AD9FA" w14:textId="77777777" w:rsidR="005B72EF" w:rsidRDefault="005B72EF" w:rsidP="00F326E5">
      <w:pPr>
        <w:pStyle w:val="NoSpacing"/>
        <w:rPr>
          <w:rFonts w:ascii="Arial Black" w:hAnsi="Arial Black"/>
          <w:sz w:val="28"/>
          <w:szCs w:val="28"/>
        </w:rPr>
      </w:pPr>
    </w:p>
    <w:p w14:paraId="6B4B4596" w14:textId="77777777" w:rsidR="005B72EF" w:rsidRDefault="005B72EF" w:rsidP="00F326E5">
      <w:pPr>
        <w:pStyle w:val="NoSpacing"/>
        <w:rPr>
          <w:rFonts w:ascii="Arial Black" w:hAnsi="Arial Black"/>
          <w:sz w:val="28"/>
          <w:szCs w:val="28"/>
        </w:rPr>
      </w:pPr>
    </w:p>
    <w:p w14:paraId="133B27B1" w14:textId="7FC16D0A" w:rsidR="00CB0F04" w:rsidRDefault="00CB0F04" w:rsidP="00F326E5">
      <w:pPr>
        <w:pStyle w:val="NoSpacing"/>
        <w:rPr>
          <w:rFonts w:ascii="Arial Black" w:hAnsi="Arial Black"/>
          <w:sz w:val="28"/>
          <w:szCs w:val="28"/>
        </w:rPr>
      </w:pPr>
      <w:r>
        <w:rPr>
          <w:rFonts w:ascii="Arial Black" w:hAnsi="Arial Black"/>
          <w:sz w:val="28"/>
          <w:szCs w:val="28"/>
        </w:rPr>
        <w:t>3-6</w:t>
      </w:r>
      <w:r w:rsidR="00ED4EAF">
        <w:rPr>
          <w:rFonts w:ascii="Arial Black" w:hAnsi="Arial Black"/>
          <w:sz w:val="28"/>
          <w:szCs w:val="28"/>
        </w:rPr>
        <w:t>0</w:t>
      </w:r>
    </w:p>
    <w:p w14:paraId="2C9A0879" w14:textId="77777777" w:rsidR="005B72EF" w:rsidRDefault="005B72EF" w:rsidP="00CB0F04">
      <w:pPr>
        <w:pStyle w:val="NormalWeb"/>
        <w:spacing w:before="0" w:beforeAutospacing="0"/>
        <w:rPr>
          <w:rFonts w:ascii="Arial Black" w:hAnsi="Arial Black"/>
          <w:b/>
          <w:bCs/>
          <w:color w:val="454545"/>
          <w:sz w:val="28"/>
          <w:szCs w:val="28"/>
          <w:shd w:val="clear" w:color="auto" w:fill="FFFFFF"/>
        </w:rPr>
      </w:pPr>
    </w:p>
    <w:p w14:paraId="3DFCB24E" w14:textId="35A240BB" w:rsidR="00CB0F04" w:rsidRDefault="00CB0F04" w:rsidP="00CB0F04">
      <w:pPr>
        <w:pStyle w:val="NormalWeb"/>
        <w:spacing w:before="0" w:beforeAutospacing="0"/>
        <w:rPr>
          <w:shd w:val="clear" w:color="auto" w:fill="FFFFFF"/>
        </w:rPr>
      </w:pPr>
      <w:r>
        <w:rPr>
          <w:rFonts w:ascii="Arial Black" w:hAnsi="Arial Black"/>
          <w:b/>
          <w:bCs/>
          <w:color w:val="454545"/>
          <w:sz w:val="28"/>
          <w:szCs w:val="28"/>
          <w:shd w:val="clear" w:color="auto" w:fill="FFFFFF"/>
        </w:rPr>
        <w:t xml:space="preserve">U.S. SUP. CT: MUSLIM REFUSED TO BE FBI INFORMANT – PLACED ON “NO-FLY LIST” – CASE MAY PROCEED </w:t>
      </w:r>
    </w:p>
    <w:p w14:paraId="565DEF49" w14:textId="77777777" w:rsidR="000A2B47" w:rsidRDefault="00CB0F04" w:rsidP="000A2B47">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 xml:space="preserve">On March 19, 2024, in </w:t>
      </w:r>
      <w:r w:rsidRPr="006177DC">
        <w:rPr>
          <w:rFonts w:ascii="Times New Roman" w:hAnsi="Times New Roman"/>
          <w:sz w:val="24"/>
          <w:szCs w:val="24"/>
          <w:u w:val="single"/>
          <w:shd w:val="clear" w:color="auto" w:fill="FFFFFF"/>
        </w:rPr>
        <w:t>Federal Bureau of Investigations v. Yonas Fikre</w:t>
      </w:r>
      <w:r>
        <w:rPr>
          <w:rFonts w:ascii="Times New Roman" w:hAnsi="Times New Roman"/>
          <w:sz w:val="24"/>
          <w:szCs w:val="24"/>
          <w:shd w:val="clear" w:color="auto" w:fill="FFFFFF"/>
        </w:rPr>
        <w:t xml:space="preserve">, the U.S. Supreme Court held (9 to 0) that case is not moot just because he has been removed from No-Fly List; he still risks being placed back on the list at any time. </w:t>
      </w:r>
      <w:hyperlink r:id="rId705" w:history="1">
        <w:r w:rsidR="000A2B47" w:rsidRPr="00CD1DB0">
          <w:rPr>
            <w:rStyle w:val="Hyperlink"/>
            <w:rFonts w:ascii="Times New Roman" w:hAnsi="Times New Roman"/>
            <w:sz w:val="24"/>
            <w:szCs w:val="24"/>
            <w:shd w:val="clear" w:color="auto" w:fill="FFFFFF"/>
          </w:rPr>
          <w:t>https://www.supremecourt.gov/opinions/23pdf/22-1178_p8k0.pdf</w:t>
        </w:r>
      </w:hyperlink>
      <w:r w:rsidR="000A2B47">
        <w:rPr>
          <w:rFonts w:ascii="Times New Roman" w:hAnsi="Times New Roman"/>
          <w:sz w:val="24"/>
          <w:szCs w:val="24"/>
          <w:shd w:val="clear" w:color="auto" w:fill="FFFFFF"/>
        </w:rPr>
        <w:t xml:space="preserve"> </w:t>
      </w:r>
    </w:p>
    <w:p w14:paraId="225126C4" w14:textId="6CB1A573" w:rsidR="00CB0F04" w:rsidRDefault="00CB0F04" w:rsidP="00CB0F04">
      <w:pPr>
        <w:pStyle w:val="NoSpacing"/>
        <w:rPr>
          <w:rFonts w:ascii="Times New Roman" w:hAnsi="Times New Roman"/>
          <w:sz w:val="24"/>
          <w:szCs w:val="24"/>
          <w:shd w:val="clear" w:color="auto" w:fill="FFFFFF"/>
        </w:rPr>
      </w:pPr>
    </w:p>
    <w:p w14:paraId="0742F3A0" w14:textId="77777777" w:rsidR="003956F7" w:rsidRDefault="003956F7" w:rsidP="003956F7">
      <w:pPr>
        <w:pStyle w:val="NoSpacing"/>
        <w:rPr>
          <w:rFonts w:ascii="Times New Roman" w:hAnsi="Times New Roman"/>
          <w:sz w:val="24"/>
          <w:szCs w:val="24"/>
          <w:shd w:val="clear" w:color="auto" w:fill="FFFFFF"/>
        </w:rPr>
      </w:pPr>
    </w:p>
    <w:p w14:paraId="70BE32CB" w14:textId="0B0CDB3A"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08CB310" w14:textId="77777777" w:rsidR="003956F7" w:rsidRDefault="003956F7" w:rsidP="00CB0F04">
      <w:pPr>
        <w:pStyle w:val="NoSpacing"/>
        <w:rPr>
          <w:rFonts w:ascii="Times New Roman" w:hAnsi="Times New Roman"/>
          <w:sz w:val="24"/>
          <w:szCs w:val="24"/>
          <w:shd w:val="clear" w:color="auto" w:fill="FFFFFF"/>
        </w:rPr>
      </w:pPr>
    </w:p>
    <w:p w14:paraId="6E72B2C6" w14:textId="2E77E526" w:rsidR="00CB0F04" w:rsidRDefault="00CB0F04" w:rsidP="00CB0F04">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Justice Gorsuch wrote opinion:  “</w:t>
      </w:r>
      <w:r w:rsidRPr="002D2359">
        <w:rPr>
          <w:rFonts w:ascii="Times New Roman" w:hAnsi="Times New Roman"/>
          <w:sz w:val="24"/>
          <w:szCs w:val="24"/>
          <w:shd w:val="clear" w:color="auto" w:fill="FFFFFF"/>
        </w:rPr>
        <w:t xml:space="preserve">Yonas Fikre, a U. S. citizen, </w:t>
      </w:r>
      <w:proofErr w:type="gramStart"/>
      <w:r w:rsidRPr="002D2359">
        <w:rPr>
          <w:rFonts w:ascii="Times New Roman" w:hAnsi="Times New Roman"/>
          <w:sz w:val="24"/>
          <w:szCs w:val="24"/>
          <w:shd w:val="clear" w:color="auto" w:fill="FFFFFF"/>
        </w:rPr>
        <w:t>brought</w:t>
      </w:r>
      <w:r w:rsidR="007E2431">
        <w:rPr>
          <w:rFonts w:ascii="Times New Roman" w:hAnsi="Times New Roman"/>
          <w:sz w:val="24"/>
          <w:szCs w:val="24"/>
          <w:shd w:val="clear" w:color="auto" w:fill="FFFFFF"/>
        </w:rPr>
        <w:t xml:space="preserve"> </w:t>
      </w:r>
      <w:r w:rsidRPr="002D2359">
        <w:rPr>
          <w:rFonts w:ascii="Times New Roman" w:hAnsi="Times New Roman"/>
          <w:sz w:val="24"/>
          <w:szCs w:val="24"/>
          <w:shd w:val="clear" w:color="auto" w:fill="FFFFFF"/>
        </w:rPr>
        <w:t>suit</w:t>
      </w:r>
      <w:proofErr w:type="gramEnd"/>
      <w:r w:rsidRPr="002D2359">
        <w:rPr>
          <w:rFonts w:ascii="Times New Roman" w:hAnsi="Times New Roman"/>
          <w:sz w:val="24"/>
          <w:szCs w:val="24"/>
          <w:shd w:val="clear" w:color="auto" w:fill="FFFFFF"/>
        </w:rPr>
        <w:t xml:space="preserve"> alleging that the</w:t>
      </w:r>
      <w:r>
        <w:rPr>
          <w:rFonts w:ascii="Times New Roman" w:hAnsi="Times New Roman"/>
          <w:sz w:val="24"/>
          <w:szCs w:val="24"/>
          <w:shd w:val="clear" w:color="auto" w:fill="FFFFFF"/>
        </w:rPr>
        <w:t xml:space="preserve"> </w:t>
      </w:r>
      <w:r w:rsidRPr="002D2359">
        <w:rPr>
          <w:rFonts w:ascii="Times New Roman" w:hAnsi="Times New Roman"/>
          <w:sz w:val="24"/>
          <w:szCs w:val="24"/>
          <w:shd w:val="clear" w:color="auto" w:fill="FFFFFF"/>
        </w:rPr>
        <w:t>government placed him on the No</w:t>
      </w:r>
      <w:r>
        <w:rPr>
          <w:rFonts w:ascii="Times New Roman" w:hAnsi="Times New Roman"/>
          <w:sz w:val="24"/>
          <w:szCs w:val="24"/>
          <w:shd w:val="clear" w:color="auto" w:fill="FFFFFF"/>
        </w:rPr>
        <w:t>-</w:t>
      </w:r>
      <w:r w:rsidRPr="002D2359">
        <w:rPr>
          <w:rFonts w:ascii="Times New Roman" w:hAnsi="Times New Roman"/>
          <w:sz w:val="24"/>
          <w:szCs w:val="24"/>
          <w:shd w:val="clear" w:color="auto" w:fill="FFFFFF"/>
        </w:rPr>
        <w:t>Fly List unlawfully.</w:t>
      </w:r>
      <w:r>
        <w:rPr>
          <w:rFonts w:ascii="Times New Roman" w:hAnsi="Times New Roman"/>
          <w:sz w:val="24"/>
          <w:szCs w:val="24"/>
          <w:shd w:val="clear" w:color="auto" w:fill="FFFFFF"/>
        </w:rPr>
        <w:t xml:space="preserve"> </w:t>
      </w:r>
      <w:r w:rsidRPr="002D2359">
        <w:rPr>
          <w:rFonts w:ascii="Times New Roman" w:hAnsi="Times New Roman"/>
          <w:sz w:val="24"/>
          <w:szCs w:val="24"/>
          <w:shd w:val="clear" w:color="auto" w:fill="FFFFFF"/>
        </w:rPr>
        <w:t>Later, the government removed him from the list. The only</w:t>
      </w:r>
      <w:r>
        <w:rPr>
          <w:rFonts w:ascii="Times New Roman" w:hAnsi="Times New Roman"/>
          <w:sz w:val="24"/>
          <w:szCs w:val="24"/>
          <w:shd w:val="clear" w:color="auto" w:fill="FFFFFF"/>
        </w:rPr>
        <w:t xml:space="preserve"> </w:t>
      </w:r>
      <w:r w:rsidRPr="002D2359">
        <w:rPr>
          <w:rFonts w:ascii="Times New Roman" w:hAnsi="Times New Roman"/>
          <w:sz w:val="24"/>
          <w:szCs w:val="24"/>
          <w:shd w:val="clear" w:color="auto" w:fill="FFFFFF"/>
        </w:rPr>
        <w:t>question we are asked to decide is whether the government’s action suffices to render Mr. Fikre’s claims moot</w:t>
      </w:r>
      <w:r>
        <w:rPr>
          <w:rFonts w:ascii="Times New Roman" w:hAnsi="Times New Roman"/>
          <w:sz w:val="24"/>
          <w:szCs w:val="24"/>
          <w:shd w:val="clear" w:color="auto" w:fill="FFFFFF"/>
        </w:rPr>
        <w:t xml:space="preserve">. </w:t>
      </w:r>
    </w:p>
    <w:p w14:paraId="4141542F" w14:textId="77777777" w:rsidR="00CB0F04" w:rsidRDefault="00CB0F04" w:rsidP="00CB0F04">
      <w:pPr>
        <w:pStyle w:val="NoSpacing"/>
        <w:ind w:left="720"/>
        <w:rPr>
          <w:rFonts w:ascii="Times New Roman" w:hAnsi="Times New Roman"/>
          <w:sz w:val="24"/>
          <w:szCs w:val="24"/>
          <w:shd w:val="clear" w:color="auto" w:fill="FFFFFF"/>
        </w:rPr>
      </w:pPr>
    </w:p>
    <w:p w14:paraId="02476B77" w14:textId="77777777" w:rsidR="00CB0F04" w:rsidRDefault="00CB0F04" w:rsidP="00CB0F04">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08F26649" w14:textId="77777777" w:rsidR="00CB0F04" w:rsidRPr="00174C60" w:rsidRDefault="00CB0F04" w:rsidP="00CB0F04">
      <w:pPr>
        <w:pStyle w:val="NoSpacing"/>
        <w:ind w:left="720"/>
        <w:rPr>
          <w:rFonts w:ascii="Times New Roman" w:hAnsi="Times New Roman"/>
          <w:sz w:val="24"/>
          <w:szCs w:val="24"/>
          <w:shd w:val="clear" w:color="auto" w:fill="FFFFFF"/>
        </w:rPr>
      </w:pPr>
      <w:r w:rsidRPr="00174C60">
        <w:rPr>
          <w:rFonts w:ascii="Times New Roman" w:hAnsi="Times New Roman"/>
          <w:sz w:val="24"/>
          <w:szCs w:val="24"/>
          <w:shd w:val="clear" w:color="auto" w:fill="FFFFFF"/>
        </w:rPr>
        <w:t>Viewed in that light, this case is not moot. To appreciate</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why, it is enough to consider one aspect of Mr. Fikre’s complaint. He contends that the government placed him on the</w:t>
      </w:r>
    </w:p>
    <w:p w14:paraId="564ABEE2" w14:textId="77777777" w:rsidR="00CB0F04" w:rsidRDefault="00CB0F04" w:rsidP="00CB0F04">
      <w:pPr>
        <w:pStyle w:val="NoSpacing"/>
        <w:ind w:left="720"/>
        <w:rPr>
          <w:rFonts w:ascii="Times New Roman" w:hAnsi="Times New Roman"/>
          <w:sz w:val="24"/>
          <w:szCs w:val="24"/>
          <w:shd w:val="clear" w:color="auto" w:fill="FFFFFF"/>
        </w:rPr>
      </w:pPr>
      <w:r w:rsidRPr="00174C60">
        <w:rPr>
          <w:rFonts w:ascii="Times New Roman" w:hAnsi="Times New Roman"/>
          <w:sz w:val="24"/>
          <w:szCs w:val="24"/>
          <w:shd w:val="clear" w:color="auto" w:fill="FFFFFF"/>
        </w:rPr>
        <w:t xml:space="preserve">No Fly List for constitutionally impermissible reasons, including his religious beliefs. In support of his claim, </w:t>
      </w:r>
      <w:proofErr w:type="spellStart"/>
      <w:r w:rsidRPr="00174C60">
        <w:rPr>
          <w:rFonts w:ascii="Times New Roman" w:hAnsi="Times New Roman"/>
          <w:sz w:val="24"/>
          <w:szCs w:val="24"/>
          <w:shd w:val="clear" w:color="auto" w:fill="FFFFFF"/>
        </w:rPr>
        <w:t>Mr.Fikre</w:t>
      </w:r>
      <w:proofErr w:type="spellEnd"/>
      <w:r w:rsidRPr="00174C60">
        <w:rPr>
          <w:rFonts w:ascii="Times New Roman" w:hAnsi="Times New Roman"/>
          <w:sz w:val="24"/>
          <w:szCs w:val="24"/>
          <w:shd w:val="clear" w:color="auto" w:fill="FFFFFF"/>
        </w:rPr>
        <w:t xml:space="preserve"> alleges (among other things) that FBI agents interrogated him about a mosque in Portland he once attended and</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 xml:space="preserve">threatened to keep him on the </w:t>
      </w:r>
      <w:proofErr w:type="gramStart"/>
      <w:r w:rsidRPr="00174C60">
        <w:rPr>
          <w:rFonts w:ascii="Times New Roman" w:hAnsi="Times New Roman"/>
          <w:sz w:val="24"/>
          <w:szCs w:val="24"/>
          <w:shd w:val="clear" w:color="auto" w:fill="FFFFFF"/>
        </w:rPr>
        <w:t>No Fly</w:t>
      </w:r>
      <w:proofErr w:type="gramEnd"/>
      <w:r w:rsidRPr="00174C60">
        <w:rPr>
          <w:rFonts w:ascii="Times New Roman" w:hAnsi="Times New Roman"/>
          <w:sz w:val="24"/>
          <w:szCs w:val="24"/>
          <w:shd w:val="clear" w:color="auto" w:fill="FFFFFF"/>
        </w:rPr>
        <w:t xml:space="preserve"> List unless he agreed</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to serve as an informant against his co-religionists. Accepting these as-yet uncontested allegations, the government’s</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 xml:space="preserve">representation that it will not </w:t>
      </w:r>
      <w:proofErr w:type="gramStart"/>
      <w:r w:rsidRPr="00174C60">
        <w:rPr>
          <w:rFonts w:ascii="Times New Roman" w:hAnsi="Times New Roman"/>
          <w:sz w:val="24"/>
          <w:szCs w:val="24"/>
          <w:shd w:val="clear" w:color="auto" w:fill="FFFFFF"/>
        </w:rPr>
        <w:t>relist</w:t>
      </w:r>
      <w:proofErr w:type="gramEnd"/>
      <w:r w:rsidRPr="00174C60">
        <w:rPr>
          <w:rFonts w:ascii="Times New Roman" w:hAnsi="Times New Roman"/>
          <w:sz w:val="24"/>
          <w:szCs w:val="24"/>
          <w:shd w:val="clear" w:color="auto" w:fill="FFFFFF"/>
        </w:rPr>
        <w:t xml:space="preserve"> Mr. Fikre based on</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currently available information</w:t>
      </w:r>
      <w:r>
        <w:rPr>
          <w:rFonts w:ascii="Times New Roman" w:hAnsi="Times New Roman"/>
          <w:sz w:val="24"/>
          <w:szCs w:val="24"/>
          <w:shd w:val="clear" w:color="auto" w:fill="FFFFFF"/>
        </w:rPr>
        <w:t>’</w:t>
      </w:r>
      <w:r w:rsidRPr="00174C60">
        <w:rPr>
          <w:rFonts w:ascii="Times New Roman" w:hAnsi="Times New Roman"/>
          <w:sz w:val="24"/>
          <w:szCs w:val="24"/>
          <w:shd w:val="clear" w:color="auto" w:fill="FFFFFF"/>
        </w:rPr>
        <w:t xml:space="preserve"> may mean that his past</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actions are not enough to warrant his relisting. But, as the</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 xml:space="preserve">court of appeals observed, none of </w:t>
      </w:r>
      <w:r w:rsidRPr="00174C60">
        <w:rPr>
          <w:rFonts w:ascii="Times New Roman" w:hAnsi="Times New Roman"/>
          <w:sz w:val="24"/>
          <w:szCs w:val="24"/>
          <w:shd w:val="clear" w:color="auto" w:fill="FFFFFF"/>
        </w:rPr>
        <w:lastRenderedPageBreak/>
        <w:t>that speaks to whether</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the government might relist him if he does the same or similar things in the future—say, attend a particular mosque</w:t>
      </w:r>
      <w:r>
        <w:rPr>
          <w:rFonts w:ascii="Times New Roman" w:hAnsi="Times New Roman"/>
          <w:sz w:val="24"/>
          <w:szCs w:val="24"/>
          <w:shd w:val="clear" w:color="auto" w:fill="FFFFFF"/>
        </w:rPr>
        <w:t xml:space="preserve"> </w:t>
      </w:r>
      <w:r w:rsidRPr="00174C60">
        <w:rPr>
          <w:rFonts w:ascii="Times New Roman" w:hAnsi="Times New Roman"/>
          <w:sz w:val="24"/>
          <w:szCs w:val="24"/>
          <w:shd w:val="clear" w:color="auto" w:fill="FFFFFF"/>
        </w:rPr>
        <w:t>or refuse renewed overtures to serve as an informant</w:t>
      </w:r>
      <w:r>
        <w:rPr>
          <w:rFonts w:ascii="Times New Roman" w:hAnsi="Times New Roman"/>
          <w:sz w:val="24"/>
          <w:szCs w:val="24"/>
          <w:shd w:val="clear" w:color="auto" w:fill="FFFFFF"/>
        </w:rPr>
        <w:t xml:space="preserve">.” </w:t>
      </w:r>
      <w:hyperlink r:id="rId706" w:history="1">
        <w:r w:rsidRPr="00CD1DB0">
          <w:rPr>
            <w:rStyle w:val="Hyperlink"/>
            <w:rFonts w:ascii="Times New Roman" w:hAnsi="Times New Roman"/>
            <w:sz w:val="24"/>
            <w:szCs w:val="24"/>
            <w:shd w:val="clear" w:color="auto" w:fill="FFFFFF"/>
          </w:rPr>
          <w:t>https://www.supremecourt.gov/opinions/23pdf/22-1178_p8k0.pdf</w:t>
        </w:r>
      </w:hyperlink>
      <w:r>
        <w:rPr>
          <w:rFonts w:ascii="Times New Roman" w:hAnsi="Times New Roman"/>
          <w:sz w:val="24"/>
          <w:szCs w:val="24"/>
          <w:shd w:val="clear" w:color="auto" w:fill="FFFFFF"/>
        </w:rPr>
        <w:t xml:space="preserve"> </w:t>
      </w:r>
    </w:p>
    <w:p w14:paraId="0C89D610" w14:textId="77777777" w:rsidR="00CB0F04" w:rsidRDefault="00CB0F04" w:rsidP="00CB0F04">
      <w:pPr>
        <w:pStyle w:val="NoSpacing"/>
        <w:jc w:val="center"/>
      </w:pPr>
    </w:p>
    <w:p w14:paraId="63A0CD0F" w14:textId="77777777" w:rsidR="00CB0F04" w:rsidRDefault="00CB0F04" w:rsidP="00CB0F04">
      <w:pPr>
        <w:pStyle w:val="NoSpacing"/>
        <w:ind w:left="720"/>
        <w:rPr>
          <w:rFonts w:ascii="Times New Roman" w:hAnsi="Times New Roman"/>
          <w:sz w:val="24"/>
          <w:szCs w:val="24"/>
        </w:rPr>
      </w:pPr>
    </w:p>
    <w:p w14:paraId="2AE79297" w14:textId="70895D52" w:rsidR="00CB0F04" w:rsidRPr="00760B23" w:rsidRDefault="00CB0F04" w:rsidP="00CB0F04">
      <w:pPr>
        <w:pStyle w:val="NoSpacing"/>
        <w:rPr>
          <w:rFonts w:ascii="Times New Roman" w:hAnsi="Times New Roman"/>
          <w:b/>
          <w:bCs/>
          <w:sz w:val="24"/>
          <w:szCs w:val="24"/>
        </w:rPr>
      </w:pPr>
      <w:r w:rsidRPr="00760B23">
        <w:rPr>
          <w:rFonts w:ascii="Times New Roman" w:hAnsi="Times New Roman"/>
          <w:b/>
          <w:bCs/>
          <w:sz w:val="24"/>
          <w:szCs w:val="24"/>
        </w:rPr>
        <w:t xml:space="preserve">Legal Lesson Learned: </w:t>
      </w:r>
      <w:r w:rsidR="004C1440">
        <w:rPr>
          <w:rFonts w:ascii="Times New Roman" w:hAnsi="Times New Roman"/>
          <w:b/>
          <w:bCs/>
          <w:sz w:val="24"/>
          <w:szCs w:val="24"/>
        </w:rPr>
        <w:t>Lawsuit may now proceed; c</w:t>
      </w:r>
      <w:r>
        <w:rPr>
          <w:rFonts w:ascii="Times New Roman" w:hAnsi="Times New Roman"/>
          <w:b/>
          <w:bCs/>
          <w:sz w:val="24"/>
          <w:szCs w:val="24"/>
        </w:rPr>
        <w:t xml:space="preserve">ase is not moot since he risks being placed back on </w:t>
      </w:r>
      <w:proofErr w:type="gramStart"/>
      <w:r>
        <w:rPr>
          <w:rFonts w:ascii="Times New Roman" w:hAnsi="Times New Roman"/>
          <w:b/>
          <w:bCs/>
          <w:sz w:val="24"/>
          <w:szCs w:val="24"/>
        </w:rPr>
        <w:t>No Fly</w:t>
      </w:r>
      <w:proofErr w:type="gramEnd"/>
      <w:r>
        <w:rPr>
          <w:rFonts w:ascii="Times New Roman" w:hAnsi="Times New Roman"/>
          <w:b/>
          <w:bCs/>
          <w:sz w:val="24"/>
          <w:szCs w:val="24"/>
        </w:rPr>
        <w:t xml:space="preserve"> List. </w:t>
      </w:r>
    </w:p>
    <w:p w14:paraId="02D665DA" w14:textId="77777777" w:rsidR="00CB0F04" w:rsidRDefault="00CB0F04" w:rsidP="00F326E5">
      <w:pPr>
        <w:pStyle w:val="NoSpacing"/>
        <w:rPr>
          <w:rFonts w:ascii="Arial Black" w:hAnsi="Arial Black"/>
          <w:sz w:val="28"/>
          <w:szCs w:val="28"/>
        </w:rPr>
      </w:pPr>
    </w:p>
    <w:p w14:paraId="12C15F14" w14:textId="77777777" w:rsidR="00CB0F04" w:rsidRDefault="00CB0F04" w:rsidP="00F326E5">
      <w:pPr>
        <w:pStyle w:val="NoSpacing"/>
        <w:rPr>
          <w:rFonts w:ascii="Arial Black" w:hAnsi="Arial Black"/>
          <w:sz w:val="28"/>
          <w:szCs w:val="28"/>
        </w:rPr>
      </w:pPr>
    </w:p>
    <w:p w14:paraId="7A228738" w14:textId="69091567" w:rsidR="002E2535" w:rsidRDefault="002E2535" w:rsidP="00F326E5">
      <w:pPr>
        <w:pStyle w:val="NoSpacing"/>
        <w:rPr>
          <w:rFonts w:ascii="Arial Black" w:hAnsi="Arial Black"/>
          <w:sz w:val="28"/>
          <w:szCs w:val="28"/>
        </w:rPr>
      </w:pPr>
      <w:r>
        <w:rPr>
          <w:rFonts w:ascii="Arial Black" w:hAnsi="Arial Black"/>
          <w:sz w:val="28"/>
          <w:szCs w:val="28"/>
        </w:rPr>
        <w:t>3-</w:t>
      </w:r>
      <w:r w:rsidR="00ED4EAF">
        <w:rPr>
          <w:rFonts w:ascii="Arial Black" w:hAnsi="Arial Black"/>
          <w:sz w:val="28"/>
          <w:szCs w:val="28"/>
        </w:rPr>
        <w:t>59</w:t>
      </w:r>
    </w:p>
    <w:p w14:paraId="26053B3B" w14:textId="730D153B" w:rsidR="00274E82" w:rsidRPr="00D10261" w:rsidRDefault="00274E82" w:rsidP="00274E82">
      <w:pPr>
        <w:pStyle w:val="NormalWeb"/>
        <w:rPr>
          <w:rFonts w:ascii="Arial Black" w:hAnsi="Arial Black"/>
          <w:sz w:val="28"/>
          <w:szCs w:val="28"/>
        </w:rPr>
      </w:pPr>
      <w:r>
        <w:rPr>
          <w:rFonts w:ascii="Arial Black" w:hAnsi="Arial Black"/>
          <w:sz w:val="28"/>
          <w:szCs w:val="28"/>
        </w:rPr>
        <w:t>DC: U.S. CAPITOL INVASION - RET. AIR FORCE LT. COL.  2 YRS PRISON – MUST BE RESENTENCED, IMPACT OTHERS</w:t>
      </w:r>
    </w:p>
    <w:p w14:paraId="31BE1423" w14:textId="77777777" w:rsidR="00274E82" w:rsidRDefault="00274E82" w:rsidP="00274E82">
      <w:pPr>
        <w:pStyle w:val="NormalWeb"/>
      </w:pPr>
      <w:r w:rsidRPr="007E58D8">
        <w:t xml:space="preserve">On </w:t>
      </w:r>
      <w:r>
        <w:t xml:space="preserve">March 1, 2024, in </w:t>
      </w:r>
      <w:r w:rsidRPr="00E834B6">
        <w:rPr>
          <w:u w:val="single"/>
        </w:rPr>
        <w:t>United States of America v. Larry Rendall Brock</w:t>
      </w:r>
      <w:r>
        <w:t xml:space="preserve">, the U.S. Court of Appeals for the District of Columbia upheld his </w:t>
      </w:r>
      <w:proofErr w:type="gramStart"/>
      <w:r>
        <w:t>conviction, but</w:t>
      </w:r>
      <w:proofErr w:type="gramEnd"/>
      <w:r>
        <w:t xml:space="preserve"> required him to be re-sentenced since he received more prison time for interference with </w:t>
      </w:r>
      <w:r w:rsidRPr="00D11362">
        <w:t xml:space="preserve">“administration of justice” </w:t>
      </w:r>
      <w:r>
        <w:t xml:space="preserve">which does </w:t>
      </w:r>
      <w:r w:rsidRPr="00D11362">
        <w:t>not</w:t>
      </w:r>
      <w:r>
        <w:t xml:space="preserve"> </w:t>
      </w:r>
      <w:r w:rsidRPr="00D11362">
        <w:t>apply to interference with the legislative process of certifying</w:t>
      </w:r>
      <w:r>
        <w:t xml:space="preserve"> </w:t>
      </w:r>
      <w:r w:rsidRPr="00D11362">
        <w:t>electoral votes.</w:t>
      </w:r>
      <w:r>
        <w:t xml:space="preserve">  He is from </w:t>
      </w:r>
      <w:proofErr w:type="gramStart"/>
      <w:r>
        <w:t>Texas, and</w:t>
      </w:r>
      <w:proofErr w:type="gramEnd"/>
      <w:r>
        <w:t xml:space="preserve"> is now serving his 2-year sentence in a federal facility in Missouri. </w:t>
      </w:r>
    </w:p>
    <w:p w14:paraId="6417440D" w14:textId="77777777" w:rsidR="00274E82" w:rsidRDefault="00274E82" w:rsidP="00274E82">
      <w:pPr>
        <w:pStyle w:val="NoSpacing"/>
        <w:rPr>
          <w:rFonts w:ascii="Times New Roman" w:hAnsi="Times New Roman"/>
          <w:sz w:val="24"/>
          <w:szCs w:val="24"/>
        </w:rPr>
      </w:pPr>
      <w:r>
        <w:rPr>
          <w:rFonts w:ascii="Times New Roman" w:hAnsi="Times New Roman"/>
          <w:sz w:val="24"/>
          <w:szCs w:val="24"/>
        </w:rPr>
        <w:t xml:space="preserve">Court held (3 to 1): </w:t>
      </w:r>
    </w:p>
    <w:p w14:paraId="6B9A8F8C" w14:textId="77777777" w:rsidR="00274E82" w:rsidRDefault="00274E82" w:rsidP="00274E82">
      <w:pPr>
        <w:pStyle w:val="NoSpacing"/>
        <w:rPr>
          <w:rFonts w:ascii="Times New Roman" w:hAnsi="Times New Roman"/>
          <w:sz w:val="24"/>
          <w:szCs w:val="24"/>
        </w:rPr>
      </w:pPr>
    </w:p>
    <w:p w14:paraId="2381CC1F" w14:textId="77777777" w:rsidR="00274E82" w:rsidRPr="00D11362" w:rsidRDefault="00274E82" w:rsidP="00274E82">
      <w:pPr>
        <w:pStyle w:val="NoSpacing"/>
        <w:ind w:left="720"/>
        <w:rPr>
          <w:rFonts w:ascii="Times New Roman" w:hAnsi="Times New Roman"/>
          <w:sz w:val="24"/>
          <w:szCs w:val="24"/>
        </w:rPr>
      </w:pPr>
      <w:r>
        <w:rPr>
          <w:rFonts w:ascii="Times New Roman" w:hAnsi="Times New Roman"/>
          <w:sz w:val="24"/>
          <w:szCs w:val="24"/>
        </w:rPr>
        <w:t>“</w:t>
      </w:r>
      <w:r w:rsidRPr="00D11362">
        <w:rPr>
          <w:rFonts w:ascii="Times New Roman" w:hAnsi="Times New Roman"/>
          <w:sz w:val="24"/>
          <w:szCs w:val="24"/>
        </w:rPr>
        <w:t>Because the law and the record in this case foreclose</w:t>
      </w:r>
      <w:r>
        <w:rPr>
          <w:rFonts w:ascii="Times New Roman" w:hAnsi="Times New Roman"/>
          <w:sz w:val="24"/>
          <w:szCs w:val="24"/>
        </w:rPr>
        <w:t xml:space="preserve"> </w:t>
      </w:r>
      <w:r w:rsidRPr="00D11362">
        <w:rPr>
          <w:rFonts w:ascii="Times New Roman" w:hAnsi="Times New Roman"/>
          <w:sz w:val="24"/>
          <w:szCs w:val="24"/>
        </w:rPr>
        <w:t>Brock’s legal and sufficiency challenges, we affirm Brock’s</w:t>
      </w:r>
      <w:r>
        <w:rPr>
          <w:rFonts w:ascii="Times New Roman" w:hAnsi="Times New Roman"/>
          <w:sz w:val="24"/>
          <w:szCs w:val="24"/>
        </w:rPr>
        <w:t xml:space="preserve"> </w:t>
      </w:r>
      <w:r w:rsidRPr="00D11362">
        <w:rPr>
          <w:rFonts w:ascii="Times New Roman" w:hAnsi="Times New Roman"/>
          <w:sz w:val="24"/>
          <w:szCs w:val="24"/>
        </w:rPr>
        <w:t>Section 1512(c)(2) conviction. As for Brock’s sentence, we</w:t>
      </w:r>
      <w:r>
        <w:rPr>
          <w:rFonts w:ascii="Times New Roman" w:hAnsi="Times New Roman"/>
          <w:sz w:val="24"/>
          <w:szCs w:val="24"/>
        </w:rPr>
        <w:t xml:space="preserve"> </w:t>
      </w:r>
      <w:r w:rsidRPr="00D11362">
        <w:rPr>
          <w:rFonts w:ascii="Times New Roman" w:hAnsi="Times New Roman"/>
          <w:sz w:val="24"/>
          <w:szCs w:val="24"/>
        </w:rPr>
        <w:t>hold that the “administration of justice” enhancement does not</w:t>
      </w:r>
      <w:r>
        <w:rPr>
          <w:rFonts w:ascii="Times New Roman" w:hAnsi="Times New Roman"/>
          <w:sz w:val="24"/>
          <w:szCs w:val="24"/>
        </w:rPr>
        <w:t xml:space="preserve"> </w:t>
      </w:r>
      <w:r w:rsidRPr="00D11362">
        <w:rPr>
          <w:rFonts w:ascii="Times New Roman" w:hAnsi="Times New Roman"/>
          <w:sz w:val="24"/>
          <w:szCs w:val="24"/>
        </w:rPr>
        <w:t>apply to interference with the legislative process of certifying</w:t>
      </w:r>
      <w:r>
        <w:rPr>
          <w:rFonts w:ascii="Times New Roman" w:hAnsi="Times New Roman"/>
          <w:sz w:val="24"/>
          <w:szCs w:val="24"/>
        </w:rPr>
        <w:t xml:space="preserve"> </w:t>
      </w:r>
      <w:r w:rsidRPr="00D11362">
        <w:rPr>
          <w:rFonts w:ascii="Times New Roman" w:hAnsi="Times New Roman"/>
          <w:sz w:val="24"/>
          <w:szCs w:val="24"/>
        </w:rPr>
        <w:t>electoral votes. For that reason, we vacate Brock’s sentence</w:t>
      </w:r>
      <w:r>
        <w:rPr>
          <w:rFonts w:ascii="Times New Roman" w:hAnsi="Times New Roman"/>
          <w:sz w:val="24"/>
          <w:szCs w:val="24"/>
        </w:rPr>
        <w:t xml:space="preserve"> </w:t>
      </w:r>
      <w:r w:rsidRPr="00D11362">
        <w:rPr>
          <w:rFonts w:ascii="Times New Roman" w:hAnsi="Times New Roman"/>
          <w:sz w:val="24"/>
          <w:szCs w:val="24"/>
        </w:rPr>
        <w:t>for his Section 1512(c)(2) conviction and remand to the district</w:t>
      </w:r>
      <w:r>
        <w:rPr>
          <w:rFonts w:ascii="Times New Roman" w:hAnsi="Times New Roman"/>
          <w:sz w:val="24"/>
          <w:szCs w:val="24"/>
        </w:rPr>
        <w:t xml:space="preserve"> </w:t>
      </w:r>
      <w:r w:rsidRPr="00D11362">
        <w:rPr>
          <w:rFonts w:ascii="Times New Roman" w:hAnsi="Times New Roman"/>
          <w:sz w:val="24"/>
          <w:szCs w:val="24"/>
        </w:rPr>
        <w:t>court for resentencing.</w:t>
      </w:r>
      <w:r>
        <w:rPr>
          <w:rFonts w:ascii="Times New Roman" w:hAnsi="Times New Roman"/>
          <w:sz w:val="24"/>
          <w:szCs w:val="24"/>
        </w:rPr>
        <w:t xml:space="preserve">” </w:t>
      </w:r>
      <w:hyperlink r:id="rId707" w:history="1">
        <w:r w:rsidRPr="00E64ED3">
          <w:rPr>
            <w:rStyle w:val="Hyperlink"/>
            <w:rFonts w:ascii="Times New Roman" w:hAnsi="Times New Roman"/>
            <w:sz w:val="24"/>
            <w:szCs w:val="24"/>
          </w:rPr>
          <w:t>https://storage.courtlistener.com/recap/gov.uscourts.cadc.39605/gov.uscourts.cadc.39605.1208600933.0.pdf</w:t>
        </w:r>
      </w:hyperlink>
      <w:r>
        <w:rPr>
          <w:rFonts w:ascii="Times New Roman" w:hAnsi="Times New Roman"/>
          <w:sz w:val="24"/>
          <w:szCs w:val="24"/>
        </w:rPr>
        <w:t xml:space="preserve"> </w:t>
      </w:r>
    </w:p>
    <w:p w14:paraId="076649D8" w14:textId="77777777" w:rsidR="00274E82" w:rsidRDefault="00274E82" w:rsidP="00274E82">
      <w:pPr>
        <w:pStyle w:val="NoSpacing"/>
        <w:ind w:left="720"/>
        <w:rPr>
          <w:rFonts w:ascii="Times New Roman" w:hAnsi="Times New Roman"/>
          <w:sz w:val="24"/>
          <w:szCs w:val="24"/>
        </w:rPr>
      </w:pPr>
    </w:p>
    <w:p w14:paraId="7A2BA015" w14:textId="77777777" w:rsidR="00274E82" w:rsidRPr="008900C4" w:rsidRDefault="00274E82" w:rsidP="00274E82">
      <w:pPr>
        <w:pStyle w:val="NoSpacing"/>
        <w:ind w:left="360"/>
        <w:rPr>
          <w:rFonts w:ascii="Times New Roman" w:hAnsi="Times New Roman"/>
          <w:b/>
          <w:bCs/>
          <w:sz w:val="24"/>
          <w:szCs w:val="24"/>
        </w:rPr>
      </w:pPr>
      <w:r w:rsidRPr="008900C4">
        <w:rPr>
          <w:rFonts w:ascii="Times New Roman" w:hAnsi="Times New Roman"/>
          <w:b/>
          <w:bCs/>
          <w:sz w:val="24"/>
          <w:szCs w:val="24"/>
        </w:rPr>
        <w:t>Legal Lesson Learned:</w:t>
      </w:r>
      <w:r>
        <w:rPr>
          <w:rFonts w:ascii="Times New Roman" w:hAnsi="Times New Roman"/>
          <w:b/>
          <w:bCs/>
          <w:sz w:val="24"/>
          <w:szCs w:val="24"/>
        </w:rPr>
        <w:t xml:space="preserve"> Over 100 other convicted for attack on U.S. Capitol on Jan. 6, </w:t>
      </w:r>
      <w:proofErr w:type="gramStart"/>
      <w:r>
        <w:rPr>
          <w:rFonts w:ascii="Times New Roman" w:hAnsi="Times New Roman"/>
          <w:b/>
          <w:bCs/>
          <w:sz w:val="24"/>
          <w:szCs w:val="24"/>
        </w:rPr>
        <w:t>2021</w:t>
      </w:r>
      <w:proofErr w:type="gramEnd"/>
      <w:r>
        <w:rPr>
          <w:rFonts w:ascii="Times New Roman" w:hAnsi="Times New Roman"/>
          <w:b/>
          <w:bCs/>
          <w:sz w:val="24"/>
          <w:szCs w:val="24"/>
        </w:rPr>
        <w:t xml:space="preserve">  may need to be re-sentenced. </w:t>
      </w:r>
    </w:p>
    <w:p w14:paraId="76A943CE" w14:textId="77777777" w:rsidR="00274E82" w:rsidRPr="00134B1F" w:rsidRDefault="00274E82" w:rsidP="00274E82">
      <w:pPr>
        <w:pStyle w:val="Heading1"/>
        <w:ind w:left="720"/>
        <w:rPr>
          <w:b w:val="0"/>
          <w:bCs w:val="0"/>
          <w:sz w:val="24"/>
          <w:szCs w:val="24"/>
        </w:rPr>
      </w:pPr>
      <w:r w:rsidRPr="00134B1F">
        <w:rPr>
          <w:b w:val="0"/>
          <w:bCs w:val="0"/>
          <w:sz w:val="24"/>
          <w:szCs w:val="24"/>
        </w:rPr>
        <w:t xml:space="preserve">Note: See photo of Brock in green army helmet and vest on Senate floor. “Appeals court ruling vacating Capitol rioter’s sentence could impact dozens of Jan. 6 cases.” </w:t>
      </w:r>
      <w:hyperlink r:id="rId708" w:history="1">
        <w:r w:rsidRPr="00134B1F">
          <w:rPr>
            <w:rStyle w:val="Hyperlink"/>
            <w:b w:val="0"/>
            <w:bCs w:val="0"/>
            <w:sz w:val="24"/>
            <w:szCs w:val="24"/>
          </w:rPr>
          <w:t>https://www.newsandsentinel.com/news/local-news/2024/03/appeals-court-ruling-vacating-capitol-rioters-sentence-could-impact-dozens-of-jan-6-cases/</w:t>
        </w:r>
      </w:hyperlink>
      <w:r w:rsidRPr="00134B1F">
        <w:rPr>
          <w:b w:val="0"/>
          <w:bCs w:val="0"/>
          <w:sz w:val="24"/>
          <w:szCs w:val="24"/>
        </w:rPr>
        <w:t xml:space="preserve"> </w:t>
      </w:r>
    </w:p>
    <w:p w14:paraId="3747650F" w14:textId="77777777" w:rsidR="002E2535" w:rsidRDefault="002E2535" w:rsidP="00F326E5">
      <w:pPr>
        <w:pStyle w:val="NoSpacing"/>
        <w:rPr>
          <w:rFonts w:ascii="Arial Black" w:hAnsi="Arial Black"/>
          <w:sz w:val="28"/>
          <w:szCs w:val="28"/>
        </w:rPr>
      </w:pPr>
    </w:p>
    <w:p w14:paraId="21711285" w14:textId="77777777" w:rsidR="002E2535" w:rsidRDefault="002E2535" w:rsidP="00F326E5">
      <w:pPr>
        <w:pStyle w:val="NoSpacing"/>
        <w:rPr>
          <w:rFonts w:ascii="Arial Black" w:hAnsi="Arial Black"/>
          <w:sz w:val="28"/>
          <w:szCs w:val="28"/>
        </w:rPr>
      </w:pPr>
    </w:p>
    <w:p w14:paraId="79083063" w14:textId="77777777" w:rsidR="002E2535" w:rsidRDefault="002E2535" w:rsidP="00F326E5">
      <w:pPr>
        <w:pStyle w:val="NoSpacing"/>
        <w:rPr>
          <w:rFonts w:ascii="Arial Black" w:hAnsi="Arial Black"/>
          <w:sz w:val="28"/>
          <w:szCs w:val="28"/>
        </w:rPr>
      </w:pPr>
    </w:p>
    <w:p w14:paraId="70E2E64E" w14:textId="03BD400C" w:rsidR="001B3B5F" w:rsidRDefault="001B3B5F"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8</w:t>
      </w:r>
    </w:p>
    <w:p w14:paraId="494AEDD8" w14:textId="77777777" w:rsidR="00231839" w:rsidRDefault="00231839" w:rsidP="00231839">
      <w:pPr>
        <w:pStyle w:val="NormalWeb"/>
        <w:rPr>
          <w:rFonts w:ascii="Arial Black" w:hAnsi="Arial Black"/>
          <w:b/>
          <w:bCs/>
          <w:sz w:val="28"/>
          <w:szCs w:val="28"/>
        </w:rPr>
      </w:pPr>
      <w:r>
        <w:rPr>
          <w:rFonts w:ascii="Arial Black" w:hAnsi="Arial Black"/>
          <w:b/>
          <w:bCs/>
          <w:sz w:val="28"/>
          <w:szCs w:val="28"/>
        </w:rPr>
        <w:t>NY: WORLD TRADE CENTER “PRESUMPTION” STATUTE – FF OVERDOSE AFTER KNEE REPLACEMENT – LODD PENSION</w:t>
      </w:r>
    </w:p>
    <w:p w14:paraId="5A935E0B" w14:textId="2DBF6894" w:rsidR="00231839" w:rsidRDefault="00231839" w:rsidP="00231839">
      <w:pPr>
        <w:pStyle w:val="NormalWeb"/>
      </w:pPr>
      <w:r w:rsidRPr="006B064A">
        <w:lastRenderedPageBreak/>
        <w:t xml:space="preserve">On </w:t>
      </w:r>
      <w:r>
        <w:t xml:space="preserve">Jan. 3, 2024, in </w:t>
      </w:r>
      <w:r w:rsidRPr="001A09E1">
        <w:rPr>
          <w:u w:val="single"/>
        </w:rPr>
        <w:t>Michelle Quinn v. The Board of Trustees of the Fire Department of the City of New York Pension Fund</w:t>
      </w:r>
      <w:r>
        <w:t>, Justice Arthur F. Engoron, Superior Court of New York, New York County, held (unpublished decision) that the wife of late Peter A. Quinn is entitled to line-of-duty death benefits, overruling the Pension Fund’s Oct. 26, 2022 denial of benefits.  He di</w:t>
      </w:r>
      <w:r w:rsidR="008749CD">
        <w:t>e</w:t>
      </w:r>
      <w:r>
        <w:t>d of drug overdose on Jan. 21, 2019 (prescribed morphine and oxycodone), two days after being released from hospital for left knee replacement. The wife provided a report from Dr. Richard Stripp, Ph.D, who had found it was not suicide, but an accidental overdose due to poor health status and previous history of respiratory disease and sleep apnea which “</w:t>
      </w:r>
      <w:r>
        <w:rPr>
          <w:rStyle w:val="Emphasis"/>
        </w:rPr>
        <w:t>greatly</w:t>
      </w:r>
      <w:r>
        <w:t xml:space="preserve"> increased the risk of a fatal accidental overdose from opioid analgesics."  </w:t>
      </w:r>
    </w:p>
    <w:p w14:paraId="628BBF62" w14:textId="77777777" w:rsidR="00231839" w:rsidRDefault="00231839" w:rsidP="00231839">
      <w:pPr>
        <w:ind w:left="720"/>
        <w:rPr>
          <w:rFonts w:ascii="Times New Roman" w:hAnsi="Times New Roman"/>
          <w:sz w:val="24"/>
          <w:szCs w:val="24"/>
        </w:rPr>
      </w:pPr>
      <w:r>
        <w:rPr>
          <w:rFonts w:ascii="Times New Roman" w:hAnsi="Times New Roman"/>
          <w:sz w:val="24"/>
          <w:szCs w:val="24"/>
        </w:rPr>
        <w:t>“</w:t>
      </w:r>
      <w:r w:rsidRPr="00C66254">
        <w:rPr>
          <w:rFonts w:ascii="Times New Roman" w:hAnsi="Times New Roman"/>
          <w:sz w:val="24"/>
          <w:szCs w:val="24"/>
        </w:rPr>
        <w:t xml:space="preserve">Pursuant to the WTC Bill, an eligible firefighter's disability or death as a result of a qualifying WTC condition, as defined in Retirement and Social Security Law § 2 (36), is </w:t>
      </w:r>
      <w:r>
        <w:rPr>
          <w:rFonts w:ascii="Times New Roman" w:hAnsi="Times New Roman"/>
          <w:sz w:val="24"/>
          <w:szCs w:val="24"/>
        </w:rPr>
        <w:t>‘</w:t>
      </w:r>
      <w:r w:rsidRPr="00C66254">
        <w:rPr>
          <w:rFonts w:ascii="Times New Roman" w:hAnsi="Times New Roman"/>
          <w:sz w:val="24"/>
          <w:szCs w:val="24"/>
        </w:rPr>
        <w:t>presumptive evidence that it was incurred in the performance and discharge of duty and the natural and proximate result of an accident not caused by such member's own willful negligence, unless the contrary be proved by competent evidence</w:t>
      </w:r>
      <w:r>
        <w:rPr>
          <w:rFonts w:ascii="Times New Roman" w:hAnsi="Times New Roman"/>
          <w:sz w:val="24"/>
          <w:szCs w:val="24"/>
        </w:rPr>
        <w:t>’</w:t>
      </w:r>
      <w:r w:rsidRPr="00C66254">
        <w:rPr>
          <w:rFonts w:ascii="Times New Roman" w:hAnsi="Times New Roman"/>
          <w:sz w:val="24"/>
          <w:szCs w:val="24"/>
        </w:rPr>
        <w:t xml:space="preserve"> (the </w:t>
      </w:r>
      <w:r>
        <w:rPr>
          <w:rFonts w:ascii="Times New Roman" w:hAnsi="Times New Roman"/>
          <w:sz w:val="24"/>
          <w:szCs w:val="24"/>
        </w:rPr>
        <w:t>‘</w:t>
      </w:r>
      <w:r w:rsidRPr="00C66254">
        <w:rPr>
          <w:rFonts w:ascii="Times New Roman" w:hAnsi="Times New Roman"/>
          <w:sz w:val="24"/>
          <w:szCs w:val="24"/>
        </w:rPr>
        <w:t>WTC Presumption</w:t>
      </w:r>
      <w:r>
        <w:rPr>
          <w:rFonts w:ascii="Times New Roman" w:hAnsi="Times New Roman"/>
          <w:sz w:val="24"/>
          <w:szCs w:val="24"/>
        </w:rPr>
        <w:t>’</w:t>
      </w:r>
      <w:r w:rsidRPr="00C66254">
        <w:rPr>
          <w:rFonts w:ascii="Times New Roman" w:hAnsi="Times New Roman"/>
          <w:sz w:val="24"/>
          <w:szCs w:val="24"/>
        </w:rPr>
        <w:t>).</w:t>
      </w:r>
    </w:p>
    <w:p w14:paraId="263A0851" w14:textId="77777777" w:rsidR="00231839" w:rsidRDefault="00231839" w:rsidP="00231839">
      <w:pPr>
        <w:ind w:firstLine="720"/>
        <w:rPr>
          <w:rFonts w:ascii="Times New Roman" w:hAnsi="Times New Roman"/>
          <w:sz w:val="24"/>
          <w:szCs w:val="24"/>
        </w:rPr>
      </w:pPr>
      <w:r>
        <w:rPr>
          <w:rFonts w:ascii="Times New Roman" w:hAnsi="Times New Roman"/>
          <w:sz w:val="24"/>
          <w:szCs w:val="24"/>
        </w:rPr>
        <w:t>***</w:t>
      </w:r>
    </w:p>
    <w:p w14:paraId="13449669" w14:textId="1B5DCC9E" w:rsidR="00231839" w:rsidRDefault="00231839" w:rsidP="00231839">
      <w:pPr>
        <w:pStyle w:val="NoSpacing"/>
        <w:rPr>
          <w:rStyle w:val="Hyperlink"/>
          <w:rFonts w:ascii="Times New Roman" w:hAnsi="Times New Roman"/>
          <w:sz w:val="24"/>
          <w:szCs w:val="24"/>
        </w:rPr>
      </w:pPr>
      <w:r w:rsidRPr="006F1EC0">
        <w:rPr>
          <w:rFonts w:ascii="Times New Roman" w:hAnsi="Times New Roman"/>
          <w:sz w:val="24"/>
          <w:szCs w:val="24"/>
        </w:rPr>
        <w:t>Here, there is no question that Quinn was at the WTC site and disabled as the proximate result of his line-of-duty exposure</w:t>
      </w:r>
      <w:r w:rsidRPr="00297192">
        <w:rPr>
          <w:rFonts w:ascii="Times New Roman" w:hAnsi="Times New Roman"/>
          <w:sz w:val="24"/>
          <w:szCs w:val="24"/>
        </w:rPr>
        <w:t>…. Petitioner, through the report of Dr. Stripp, has made a credible argument supporting the proposition that the accidental overdose cause of death listed on Quinn's autopsy was, in turn, a result of his WTC injuries</w:t>
      </w:r>
      <w:r w:rsidRPr="00744825">
        <w:rPr>
          <w:rFonts w:ascii="Times New Roman" w:hAnsi="Times New Roman"/>
          <w:sz w:val="24"/>
          <w:szCs w:val="24"/>
        </w:rPr>
        <w:t>… That Quinn's qualifying conditions specifically made him susceptible to an accidental overdose is further supported by the HSS doctor's notes and the fact that he was prescribed anti-overdose medications. ***  It</w:t>
      </w:r>
      <w:r w:rsidRPr="0076344F">
        <w:rPr>
          <w:rFonts w:ascii="Times New Roman" w:hAnsi="Times New Roman"/>
          <w:sz w:val="24"/>
          <w:szCs w:val="24"/>
        </w:rPr>
        <w:t xml:space="preserve"> was arbitrary and capricious for respondents to find that Quinn was not entitled to the WTC Presumption, and, therefore, they must rebut that presumption with "credible evidence," which they failed to do. Respondent's conjecture and unsupported suspicion that Quinn's accidental overdose was not ultimately caused by a qualifying WTC condition is insufficient.</w:t>
      </w:r>
      <w:r>
        <w:rPr>
          <w:rFonts w:ascii="Times New Roman" w:hAnsi="Times New Roman"/>
          <w:sz w:val="24"/>
          <w:szCs w:val="24"/>
        </w:rPr>
        <w:t xml:space="preserve"> … </w:t>
      </w:r>
      <w:r w:rsidRPr="00F6495A">
        <w:rPr>
          <w:rFonts w:ascii="Times New Roman" w:hAnsi="Times New Roman"/>
          <w:sz w:val="24"/>
          <w:szCs w:val="24"/>
        </w:rPr>
        <w:t>Therefore, this Court will direct respondent to vacate its prior determination, denying petitioner's application for a line-of-duty death benefit pension pursuant to the WTC Bill</w:t>
      </w:r>
      <w:r>
        <w:rPr>
          <w:rFonts w:ascii="Times New Roman" w:hAnsi="Times New Roman"/>
          <w:sz w:val="24"/>
          <w:szCs w:val="24"/>
        </w:rPr>
        <w:t xml:space="preserve">.” </w:t>
      </w:r>
      <w:hyperlink r:id="rId709" w:history="1">
        <w:r w:rsidRPr="00A46316">
          <w:rPr>
            <w:rStyle w:val="Hyperlink"/>
            <w:rFonts w:ascii="Times New Roman" w:hAnsi="Times New Roman"/>
            <w:sz w:val="24"/>
            <w:szCs w:val="24"/>
          </w:rPr>
          <w:t>https://casetext.com/case/quinn-v-the-bd-of-trs-of-fire-dept-of-city-of-ny-pension-fund</w:t>
        </w:r>
      </w:hyperlink>
    </w:p>
    <w:p w14:paraId="6223B862" w14:textId="77777777" w:rsidR="00233F5D" w:rsidRPr="00B86616" w:rsidRDefault="00233F5D" w:rsidP="00233F5D">
      <w:pPr>
        <w:pStyle w:val="NormalWeb"/>
        <w:rPr>
          <w:b/>
          <w:bCs/>
        </w:rPr>
      </w:pPr>
      <w:r w:rsidRPr="00B86616">
        <w:rPr>
          <w:b/>
          <w:bCs/>
        </w:rPr>
        <w:t>Legal Lesson Learned:</w:t>
      </w:r>
      <w:r>
        <w:rPr>
          <w:b/>
          <w:bCs/>
        </w:rPr>
        <w:t xml:space="preserve"> Excellent decision based on World Trade Center “presumption” law. </w:t>
      </w:r>
    </w:p>
    <w:p w14:paraId="253AF708" w14:textId="77777777" w:rsidR="00233F5D" w:rsidRDefault="00233F5D" w:rsidP="00231839">
      <w:pPr>
        <w:pStyle w:val="NoSpacing"/>
        <w:rPr>
          <w:rFonts w:ascii="Arial Black" w:hAnsi="Arial Black"/>
          <w:sz w:val="28"/>
          <w:szCs w:val="28"/>
        </w:rPr>
      </w:pPr>
    </w:p>
    <w:p w14:paraId="5AE96001" w14:textId="77777777" w:rsidR="001B3B5F" w:rsidRDefault="001B3B5F" w:rsidP="00F326E5">
      <w:pPr>
        <w:pStyle w:val="NoSpacing"/>
        <w:rPr>
          <w:rFonts w:ascii="Arial Black" w:hAnsi="Arial Black"/>
          <w:sz w:val="28"/>
          <w:szCs w:val="28"/>
        </w:rPr>
      </w:pPr>
    </w:p>
    <w:p w14:paraId="2929653B" w14:textId="77777777" w:rsidR="001B3B5F" w:rsidRDefault="001B3B5F" w:rsidP="00F326E5">
      <w:pPr>
        <w:pStyle w:val="NoSpacing"/>
        <w:rPr>
          <w:rFonts w:ascii="Arial Black" w:hAnsi="Arial Black"/>
          <w:sz w:val="28"/>
          <w:szCs w:val="28"/>
        </w:rPr>
      </w:pPr>
    </w:p>
    <w:p w14:paraId="61A13F07" w14:textId="77777777" w:rsidR="001B3B5F" w:rsidRDefault="001B3B5F" w:rsidP="00F326E5">
      <w:pPr>
        <w:pStyle w:val="NoSpacing"/>
        <w:rPr>
          <w:rFonts w:ascii="Arial Black" w:hAnsi="Arial Black"/>
          <w:sz w:val="28"/>
          <w:szCs w:val="28"/>
        </w:rPr>
      </w:pPr>
    </w:p>
    <w:p w14:paraId="243D6616" w14:textId="74D7A948" w:rsidR="009B0593" w:rsidRDefault="0074687D"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7</w:t>
      </w:r>
    </w:p>
    <w:p w14:paraId="7A162F75" w14:textId="77777777" w:rsidR="005D6C9F" w:rsidRPr="005D6C9F" w:rsidRDefault="005D6C9F" w:rsidP="005D6C9F">
      <w:pPr>
        <w:pStyle w:val="Heading2"/>
        <w:rPr>
          <w:rFonts w:ascii="Arial Black" w:hAnsi="Arial Black"/>
          <w:b w:val="0"/>
          <w:bCs w:val="0"/>
          <w:i w:val="0"/>
          <w:iCs w:val="0"/>
        </w:rPr>
      </w:pPr>
      <w:r w:rsidRPr="005D6C9F">
        <w:rPr>
          <w:rFonts w:ascii="Arial Black" w:hAnsi="Arial Black"/>
          <w:b w:val="0"/>
          <w:bCs w:val="0"/>
          <w:i w:val="0"/>
          <w:iCs w:val="0"/>
        </w:rPr>
        <w:t>TX: TIK TOK - GOVERNOR MAY LIMIT USE ON STATE / UNIVERSITY DEVICES – COMPANY BASED IN CHINA</w:t>
      </w:r>
    </w:p>
    <w:p w14:paraId="4790A2E7" w14:textId="77777777" w:rsidR="005D6C9F" w:rsidRDefault="005D6C9F" w:rsidP="005D6C9F">
      <w:pPr>
        <w:pStyle w:val="Heading2"/>
        <w:rPr>
          <w:rFonts w:ascii="Times New Roman" w:hAnsi="Times New Roman"/>
          <w:sz w:val="24"/>
          <w:szCs w:val="24"/>
        </w:rPr>
      </w:pPr>
      <w:r w:rsidRPr="005D6C9F">
        <w:rPr>
          <w:rFonts w:ascii="Times New Roman" w:hAnsi="Times New Roman"/>
          <w:b w:val="0"/>
          <w:bCs w:val="0"/>
          <w:i w:val="0"/>
          <w:iCs w:val="0"/>
          <w:sz w:val="24"/>
          <w:szCs w:val="24"/>
        </w:rPr>
        <w:t xml:space="preserve">On Dec. 11, 2023, in </w:t>
      </w:r>
      <w:r w:rsidRPr="005D6C9F">
        <w:rPr>
          <w:rFonts w:ascii="Times New Roman" w:hAnsi="Times New Roman"/>
          <w:b w:val="0"/>
          <w:bCs w:val="0"/>
          <w:i w:val="0"/>
          <w:iCs w:val="0"/>
          <w:sz w:val="24"/>
          <w:szCs w:val="24"/>
          <w:u w:val="single"/>
        </w:rPr>
        <w:t xml:space="preserve">Coalition </w:t>
      </w:r>
      <w:proofErr w:type="gramStart"/>
      <w:r w:rsidRPr="005D6C9F">
        <w:rPr>
          <w:rFonts w:ascii="Times New Roman" w:hAnsi="Times New Roman"/>
          <w:b w:val="0"/>
          <w:bCs w:val="0"/>
          <w:i w:val="0"/>
          <w:iCs w:val="0"/>
          <w:sz w:val="24"/>
          <w:szCs w:val="24"/>
          <w:u w:val="single"/>
        </w:rPr>
        <w:t>For</w:t>
      </w:r>
      <w:proofErr w:type="gramEnd"/>
      <w:r w:rsidRPr="005D6C9F">
        <w:rPr>
          <w:rFonts w:ascii="Times New Roman" w:hAnsi="Times New Roman"/>
          <w:b w:val="0"/>
          <w:bCs w:val="0"/>
          <w:i w:val="0"/>
          <w:iCs w:val="0"/>
          <w:sz w:val="24"/>
          <w:szCs w:val="24"/>
          <w:u w:val="single"/>
        </w:rPr>
        <w:t xml:space="preserve"> Independent Technology Research v. Gregg Abbott, et al</w:t>
      </w:r>
      <w:r w:rsidRPr="005D6C9F">
        <w:rPr>
          <w:rFonts w:ascii="Times New Roman" w:hAnsi="Times New Roman"/>
          <w:b w:val="0"/>
          <w:bCs w:val="0"/>
          <w:i w:val="0"/>
          <w:iCs w:val="0"/>
          <w:sz w:val="24"/>
          <w:szCs w:val="24"/>
        </w:rPr>
        <w:t xml:space="preserve">., U.S. District Court judge Robert Pitman, U.S. District Court for Western District of Texas, granted defense motion to dismiss the lawsuit.  TikTok is banned in over 30 states in USA; owned by ByteDance Ltd., Beijing, China. The Court wrote: “While the Court recognizes the importance both of protecting academic freedom and supporting public employees' right to free speech, the Court finds that these important ideals do not dictate the appropriate framework for this case. Texas's TikTok ban is not a restraint on public employee speech. Even as applied to public university faculty, who are entitled to special considerations under the law, the Court finds that the ban is </w:t>
      </w:r>
      <w:r w:rsidRPr="005D6C9F">
        <w:rPr>
          <w:rFonts w:ascii="Times New Roman" w:hAnsi="Times New Roman"/>
          <w:b w:val="0"/>
          <w:bCs w:val="0"/>
          <w:i w:val="0"/>
          <w:iCs w:val="0"/>
          <w:sz w:val="24"/>
          <w:szCs w:val="24"/>
        </w:rPr>
        <w:lastRenderedPageBreak/>
        <w:t>not a restraint on speech in a public forum, but rather a restriction on a nonpublic forum motivated by Texas's data protection concerns regarding TikTok, an app owned by a company based in China. (</w:t>
      </w:r>
      <w:proofErr w:type="spellStart"/>
      <w:r w:rsidRPr="005D6C9F">
        <w:rPr>
          <w:rFonts w:ascii="Times New Roman" w:hAnsi="Times New Roman"/>
          <w:b w:val="0"/>
          <w:bCs w:val="0"/>
          <w:i w:val="0"/>
          <w:iCs w:val="0"/>
          <w:sz w:val="24"/>
          <w:szCs w:val="24"/>
        </w:rPr>
        <w:t>Compl</w:t>
      </w:r>
      <w:proofErr w:type="spellEnd"/>
      <w:r w:rsidRPr="005D6C9F">
        <w:rPr>
          <w:rFonts w:ascii="Times New Roman" w:hAnsi="Times New Roman"/>
          <w:b w:val="0"/>
          <w:bCs w:val="0"/>
          <w:i w:val="0"/>
          <w:iCs w:val="0"/>
          <w:sz w:val="24"/>
          <w:szCs w:val="24"/>
        </w:rPr>
        <w:t xml:space="preserve">., </w:t>
      </w:r>
      <w:proofErr w:type="spellStart"/>
      <w:r w:rsidRPr="005D6C9F">
        <w:rPr>
          <w:rFonts w:ascii="Times New Roman" w:hAnsi="Times New Roman"/>
          <w:b w:val="0"/>
          <w:bCs w:val="0"/>
          <w:i w:val="0"/>
          <w:iCs w:val="0"/>
          <w:sz w:val="24"/>
          <w:szCs w:val="24"/>
        </w:rPr>
        <w:t>Dkt</w:t>
      </w:r>
      <w:proofErr w:type="spellEnd"/>
      <w:r w:rsidRPr="005D6C9F">
        <w:rPr>
          <w:rFonts w:ascii="Times New Roman" w:hAnsi="Times New Roman"/>
          <w:b w:val="0"/>
          <w:bCs w:val="0"/>
          <w:i w:val="0"/>
          <w:iCs w:val="0"/>
          <w:sz w:val="24"/>
          <w:szCs w:val="24"/>
        </w:rPr>
        <w:t>. 1, at 2). Texas's TikTok ban is limiting the use of an app on state-provided devices and networks, which is not a blanket prohibition. Public university faculty-and all public employees-are free to use TikTok on their personal devices (</w:t>
      </w:r>
      <w:proofErr w:type="gramStart"/>
      <w:r w:rsidRPr="005D6C9F">
        <w:rPr>
          <w:rFonts w:ascii="Times New Roman" w:hAnsi="Times New Roman"/>
          <w:b w:val="0"/>
          <w:bCs w:val="0"/>
          <w:i w:val="0"/>
          <w:iCs w:val="0"/>
          <w:sz w:val="24"/>
          <w:szCs w:val="24"/>
        </w:rPr>
        <w:t>as long as</w:t>
      </w:r>
      <w:proofErr w:type="gramEnd"/>
      <w:r w:rsidRPr="005D6C9F">
        <w:rPr>
          <w:rFonts w:ascii="Times New Roman" w:hAnsi="Times New Roman"/>
          <w:b w:val="0"/>
          <w:bCs w:val="0"/>
          <w:i w:val="0"/>
          <w:iCs w:val="0"/>
          <w:sz w:val="24"/>
          <w:szCs w:val="24"/>
        </w:rPr>
        <w:t xml:space="preserve"> such devices are not used to access state networks). Therefore, the Court disagrees with Plaintiff's characterization of the ban as falling under the category of public employee speech. The Court finds nonpublic forum analysis to be the proper framework for Plaintiff's challenge, as the ban relates to Texas's regulation of its own governmental </w:t>
      </w:r>
      <w:proofErr w:type="gramStart"/>
      <w:r w:rsidRPr="005D6C9F">
        <w:rPr>
          <w:rFonts w:ascii="Times New Roman" w:hAnsi="Times New Roman"/>
          <w:b w:val="0"/>
          <w:bCs w:val="0"/>
          <w:i w:val="0"/>
          <w:iCs w:val="0"/>
          <w:sz w:val="24"/>
          <w:szCs w:val="24"/>
        </w:rPr>
        <w:t>property.”</w:t>
      </w:r>
      <w:proofErr w:type="gramEnd"/>
      <w:r w:rsidRPr="005D6C9F">
        <w:rPr>
          <w:rFonts w:ascii="Times New Roman" w:hAnsi="Times New Roman"/>
          <w:b w:val="0"/>
          <w:bCs w:val="0"/>
          <w:i w:val="0"/>
          <w:iCs w:val="0"/>
          <w:sz w:val="24"/>
          <w:szCs w:val="24"/>
        </w:rPr>
        <w:t xml:space="preserve"> </w:t>
      </w:r>
      <w:hyperlink r:id="rId710" w:history="1">
        <w:r w:rsidRPr="005D6C9F">
          <w:rPr>
            <w:rStyle w:val="Hyperlink"/>
            <w:rFonts w:ascii="Times New Roman" w:hAnsi="Times New Roman"/>
            <w:b w:val="0"/>
            <w:bCs w:val="0"/>
            <w:i w:val="0"/>
            <w:iCs w:val="0"/>
            <w:sz w:val="24"/>
            <w:szCs w:val="24"/>
          </w:rPr>
          <w:t>https://casetext.com/case/coal-for-indep-tech-research-v-abbott</w:t>
        </w:r>
      </w:hyperlink>
      <w:r>
        <w:rPr>
          <w:rFonts w:ascii="Times New Roman" w:hAnsi="Times New Roman"/>
          <w:sz w:val="24"/>
          <w:szCs w:val="24"/>
        </w:rPr>
        <w:t xml:space="preserve"> </w:t>
      </w:r>
    </w:p>
    <w:p w14:paraId="1EB0DAA1" w14:textId="77777777" w:rsidR="00E66493" w:rsidRPr="002C2A9E" w:rsidRDefault="00E66493" w:rsidP="00E66493">
      <w:pPr>
        <w:pStyle w:val="NormalWeb"/>
        <w:rPr>
          <w:b/>
          <w:bCs/>
        </w:rPr>
      </w:pPr>
      <w:r w:rsidRPr="002C2A9E">
        <w:rPr>
          <w:b/>
          <w:bCs/>
        </w:rPr>
        <w:t>Legal Lesson Learned:</w:t>
      </w:r>
      <w:r>
        <w:rPr>
          <w:b/>
          <w:bCs/>
        </w:rPr>
        <w:t xml:space="preserve"> State employees, including university professors, may still use TikTok on their personal devices. </w:t>
      </w:r>
    </w:p>
    <w:p w14:paraId="01C00B83" w14:textId="77777777" w:rsidR="00E66493" w:rsidRDefault="00E66493" w:rsidP="00E66493">
      <w:pPr>
        <w:pStyle w:val="NormalWeb"/>
        <w:ind w:left="720"/>
        <w:rPr>
          <w:b/>
          <w:bCs/>
        </w:rPr>
      </w:pPr>
      <w:r w:rsidRPr="00186EE2">
        <w:t xml:space="preserve">Note: “Federal interim rule implements TikTok ban on devices used in the performance of </w:t>
      </w:r>
      <w:r>
        <w:t xml:space="preserve"> f</w:t>
      </w:r>
      <w:r w:rsidRPr="00186EE2">
        <w:t xml:space="preserve">ederal contracts. ”July 13, 2023). </w:t>
      </w:r>
      <w:hyperlink r:id="rId711" w:history="1">
        <w:r w:rsidRPr="00186EE2">
          <w:rPr>
            <w:rStyle w:val="Hyperlink"/>
          </w:rPr>
          <w:t>https://research.wisc.edu/uncategorized/2023/07/13/federal-interim-rule-implements-tiktok-ban-on-devices-used-in-the-performance-of-federal-contracts/</w:t>
        </w:r>
      </w:hyperlink>
    </w:p>
    <w:p w14:paraId="0F468033" w14:textId="77777777" w:rsidR="00E66493" w:rsidRPr="00E66493" w:rsidRDefault="00E66493" w:rsidP="00E66493"/>
    <w:p w14:paraId="02DA7725" w14:textId="77777777" w:rsidR="005D6C9F" w:rsidRDefault="005D6C9F" w:rsidP="00F326E5">
      <w:pPr>
        <w:pStyle w:val="NoSpacing"/>
        <w:rPr>
          <w:rFonts w:ascii="Arial Black" w:hAnsi="Arial Black"/>
          <w:sz w:val="28"/>
          <w:szCs w:val="28"/>
        </w:rPr>
      </w:pPr>
    </w:p>
    <w:p w14:paraId="3843676F" w14:textId="77777777" w:rsidR="0074687D" w:rsidRDefault="0074687D" w:rsidP="00F326E5">
      <w:pPr>
        <w:pStyle w:val="NoSpacing"/>
        <w:rPr>
          <w:rFonts w:ascii="Arial Black" w:hAnsi="Arial Black"/>
          <w:sz w:val="28"/>
          <w:szCs w:val="28"/>
        </w:rPr>
      </w:pPr>
    </w:p>
    <w:p w14:paraId="21663E1D" w14:textId="767EF945" w:rsidR="00622D53" w:rsidRDefault="00622D53"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6</w:t>
      </w:r>
    </w:p>
    <w:p w14:paraId="06310C24" w14:textId="77777777" w:rsidR="00622D53" w:rsidRDefault="00622D53" w:rsidP="00622D53">
      <w:pPr>
        <w:spacing w:before="100" w:beforeAutospacing="1" w:after="100" w:afterAutospacing="1" w:line="240" w:lineRule="auto"/>
        <w:outlineLvl w:val="0"/>
        <w:rPr>
          <w:rFonts w:ascii="Arial Black" w:eastAsia="Times New Roman" w:hAnsi="Arial Black"/>
          <w:b/>
          <w:bCs/>
          <w:kern w:val="36"/>
          <w:sz w:val="28"/>
          <w:szCs w:val="28"/>
        </w:rPr>
      </w:pPr>
      <w:r>
        <w:rPr>
          <w:rFonts w:ascii="Arial Black" w:eastAsia="Times New Roman" w:hAnsi="Arial Black"/>
          <w:b/>
          <w:bCs/>
          <w:kern w:val="36"/>
          <w:sz w:val="28"/>
          <w:szCs w:val="28"/>
        </w:rPr>
        <w:t>CA: DEPORTATION – HELD FOR 2-YRS BY ICE – GETS BOND HEARING – WAS CA INMATE “FIRE CAMP” FIREFIGHTER</w:t>
      </w:r>
    </w:p>
    <w:p w14:paraId="22AB7C33" w14:textId="77777777" w:rsidR="00622D53" w:rsidRDefault="00622D53" w:rsidP="00622D53">
      <w:pPr>
        <w:pStyle w:val="Heading3"/>
        <w:rPr>
          <w:rFonts w:ascii="Times New Roman" w:hAnsi="Times New Roman" w:cs="Times New Roman"/>
          <w:color w:val="auto"/>
        </w:rPr>
      </w:pPr>
      <w:r w:rsidRPr="007A756D">
        <w:rPr>
          <w:rFonts w:ascii="Times New Roman" w:eastAsia="Times New Roman" w:hAnsi="Times New Roman" w:cs="Times New Roman"/>
          <w:color w:val="auto"/>
          <w:kern w:val="36"/>
        </w:rPr>
        <w:t xml:space="preserve">On Dec. 1, 2023, in </w:t>
      </w:r>
      <w:r w:rsidRPr="007A756D">
        <w:rPr>
          <w:rFonts w:ascii="Times New Roman" w:eastAsia="Times New Roman" w:hAnsi="Times New Roman" w:cs="Times New Roman"/>
          <w:color w:val="auto"/>
          <w:kern w:val="36"/>
          <w:u w:val="single"/>
        </w:rPr>
        <w:t xml:space="preserve">John Doe v. </w:t>
      </w:r>
      <w:r w:rsidRPr="007A756D">
        <w:rPr>
          <w:rFonts w:ascii="Times New Roman" w:hAnsi="Times New Roman" w:cs="Times New Roman"/>
          <w:color w:val="auto"/>
          <w:u w:val="single"/>
        </w:rPr>
        <w:t>Moises</w:t>
      </w:r>
      <w:r w:rsidRPr="007A756D">
        <w:rPr>
          <w:rFonts w:ascii="Times New Roman" w:hAnsi="Times New Roman" w:cs="Times New Roman"/>
          <w:color w:val="auto"/>
        </w:rPr>
        <w:t xml:space="preserve"> </w:t>
      </w:r>
      <w:r w:rsidRPr="007A756D">
        <w:rPr>
          <w:rFonts w:ascii="Times New Roman" w:eastAsia="Times New Roman" w:hAnsi="Times New Roman" w:cs="Times New Roman"/>
          <w:color w:val="auto"/>
          <w:kern w:val="36"/>
          <w:u w:val="single"/>
        </w:rPr>
        <w:t>Becerra</w:t>
      </w:r>
      <w:r w:rsidRPr="007A756D">
        <w:rPr>
          <w:rFonts w:ascii="Times New Roman" w:eastAsia="Times New Roman" w:hAnsi="Times New Roman" w:cs="Times New Roman"/>
          <w:color w:val="auto"/>
          <w:kern w:val="36"/>
        </w:rPr>
        <w:t xml:space="preserve">, U.S. District Court Judge P [Patrick] Casey Pitts, U.S. District Court Judge for Northern District of California (San Jose) ordered </w:t>
      </w:r>
      <w:r w:rsidRPr="007A756D">
        <w:rPr>
          <w:rFonts w:ascii="Times New Roman" w:hAnsi="Times New Roman" w:cs="Times New Roman"/>
          <w:color w:val="auto"/>
        </w:rPr>
        <w:t xml:space="preserve">U.S. Immigration and Customs Enforcement (ICE) to give the </w:t>
      </w:r>
      <w:r>
        <w:rPr>
          <w:rFonts w:ascii="Times New Roman" w:hAnsi="Times New Roman" w:cs="Times New Roman"/>
          <w:color w:val="auto"/>
        </w:rPr>
        <w:t xml:space="preserve">detainee (“John Doe” </w:t>
      </w:r>
      <w:r w:rsidRPr="005B43B2">
        <w:rPr>
          <w:rFonts w:ascii="Times New Roman" w:hAnsi="Times New Roman" w:cs="Times New Roman"/>
          <w:color w:val="auto"/>
        </w:rPr>
        <w:t xml:space="preserve">- </w:t>
      </w:r>
      <w:r w:rsidRPr="005B43B2">
        <w:rPr>
          <w:rFonts w:ascii="Times New Roman" w:hAnsi="Times New Roman" w:cs="Times New Roman"/>
        </w:rPr>
        <w:t>proceeding under a pseudonym)</w:t>
      </w:r>
      <w:r>
        <w:rPr>
          <w:rFonts w:ascii="Times New Roman" w:hAnsi="Times New Roman" w:cs="Times New Roman"/>
          <w:color w:val="auto"/>
        </w:rPr>
        <w:t xml:space="preserve"> awaiting deportation to Mexico (2 years in ICE custody) a bond hearing before an Immigration judge. </w:t>
      </w:r>
      <w:r w:rsidRPr="007A756D">
        <w:rPr>
          <w:rFonts w:ascii="Times New Roman" w:hAnsi="Times New Roman" w:cs="Times New Roman"/>
          <w:color w:val="auto"/>
        </w:rPr>
        <w:t xml:space="preserve">The Court wrote: “While in state custody, Mr. Doe joined the California Department of Corrections and Rehabilitation Fire Camp program and spent the last three years of his incarceration working as a firefighter. He completed his sentence in September 2021 and is on state parole until September 2024. If he </w:t>
      </w:r>
      <w:proofErr w:type="gramStart"/>
      <w:r w:rsidRPr="007A756D">
        <w:rPr>
          <w:rFonts w:ascii="Times New Roman" w:hAnsi="Times New Roman" w:cs="Times New Roman"/>
          <w:color w:val="auto"/>
        </w:rPr>
        <w:t>is able to</w:t>
      </w:r>
      <w:proofErr w:type="gramEnd"/>
      <w:r w:rsidRPr="007A756D">
        <w:rPr>
          <w:rFonts w:ascii="Times New Roman" w:hAnsi="Times New Roman" w:cs="Times New Roman"/>
          <w:color w:val="auto"/>
        </w:rPr>
        <w:t xml:space="preserve"> remain in the United States, Mr. Doe hopes to take advantage of a new law that enables Fire Camp participants like him to become professional firefighters upon release. *** On September 30, 2021, following his release from state detention, ICE took Mr. Doe into custody and detained him at the Golden State Annex (GSA) in McFarland, California. GSA is a private immigration detention facility operated for profit by GEO under contract with ICE. It is located outside the Northern District.</w:t>
      </w:r>
      <w:r w:rsidRPr="007A756D">
        <w:rPr>
          <w:color w:val="auto"/>
        </w:rPr>
        <w:t xml:space="preserve"> </w:t>
      </w:r>
      <w:r w:rsidRPr="007A756D">
        <w:rPr>
          <w:rFonts w:ascii="Times New Roman" w:hAnsi="Times New Roman" w:cs="Times New Roman"/>
          <w:color w:val="auto"/>
        </w:rPr>
        <w:t xml:space="preserve"> </w:t>
      </w:r>
      <w:hyperlink r:id="rId712" w:history="1">
        <w:r w:rsidRPr="00E359E2">
          <w:rPr>
            <w:rStyle w:val="Hyperlink"/>
            <w:rFonts w:ascii="Times New Roman" w:hAnsi="Times New Roman" w:cs="Times New Roman"/>
          </w:rPr>
          <w:t>https://caselaw.findlaw.com/court/us-dis-crt-n-d-cal/115575640.html</w:t>
        </w:r>
      </w:hyperlink>
      <w:r>
        <w:rPr>
          <w:rFonts w:ascii="Times New Roman" w:hAnsi="Times New Roman" w:cs="Times New Roman"/>
          <w:color w:val="auto"/>
        </w:rPr>
        <w:t xml:space="preserve"> </w:t>
      </w:r>
    </w:p>
    <w:p w14:paraId="70C92F5E" w14:textId="77777777" w:rsidR="0074687D" w:rsidRDefault="0074687D" w:rsidP="0074687D">
      <w:pPr>
        <w:spacing w:before="100" w:beforeAutospacing="1" w:after="100" w:afterAutospacing="1" w:line="240" w:lineRule="auto"/>
        <w:outlineLvl w:val="0"/>
        <w:rPr>
          <w:rFonts w:ascii="Times New Roman" w:hAnsi="Times New Roman"/>
          <w:b/>
          <w:bCs/>
          <w:sz w:val="24"/>
          <w:szCs w:val="24"/>
        </w:rPr>
      </w:pPr>
      <w:r w:rsidRPr="00FC093A">
        <w:rPr>
          <w:rFonts w:ascii="Times New Roman" w:hAnsi="Times New Roman"/>
          <w:b/>
          <w:bCs/>
          <w:sz w:val="24"/>
          <w:szCs w:val="24"/>
        </w:rPr>
        <w:t xml:space="preserve">Legal Lesson Learned: </w:t>
      </w:r>
      <w:r>
        <w:rPr>
          <w:rFonts w:ascii="Times New Roman" w:hAnsi="Times New Roman"/>
          <w:b/>
          <w:bCs/>
          <w:sz w:val="24"/>
          <w:szCs w:val="24"/>
        </w:rPr>
        <w:t xml:space="preserve">Even immigrants in custody for two years awaiting deportation have due process rights to a bond hearing. </w:t>
      </w:r>
    </w:p>
    <w:p w14:paraId="712B0B60" w14:textId="77777777" w:rsidR="0074687D" w:rsidRDefault="0074687D" w:rsidP="0074687D">
      <w:pPr>
        <w:pStyle w:val="Heading1"/>
        <w:ind w:left="720"/>
        <w:rPr>
          <w:b w:val="0"/>
          <w:bCs w:val="0"/>
          <w:kern w:val="0"/>
          <w:sz w:val="24"/>
          <w:szCs w:val="24"/>
        </w:rPr>
      </w:pPr>
      <w:r w:rsidRPr="00824AA4">
        <w:rPr>
          <w:b w:val="0"/>
          <w:bCs w:val="0"/>
          <w:sz w:val="24"/>
          <w:szCs w:val="24"/>
        </w:rPr>
        <w:t xml:space="preserve">Note: </w:t>
      </w:r>
      <w:r>
        <w:rPr>
          <w:b w:val="0"/>
          <w:bCs w:val="0"/>
          <w:sz w:val="24"/>
          <w:szCs w:val="24"/>
        </w:rPr>
        <w:t>“</w:t>
      </w:r>
      <w:r w:rsidRPr="00824AA4">
        <w:rPr>
          <w:b w:val="0"/>
          <w:bCs w:val="0"/>
          <w:sz w:val="24"/>
          <w:szCs w:val="24"/>
        </w:rPr>
        <w:t xml:space="preserve">The History of California’s Inmate Firefighter Program; </w:t>
      </w:r>
      <w:r w:rsidRPr="00824AA4">
        <w:rPr>
          <w:b w:val="0"/>
          <w:bCs w:val="0"/>
          <w:kern w:val="0"/>
          <w:sz w:val="24"/>
          <w:szCs w:val="24"/>
        </w:rPr>
        <w:t>The initiative, which finds prisoners working as first responders and rescuers, dates back to the 1940s</w:t>
      </w:r>
      <w:r>
        <w:rPr>
          <w:b w:val="0"/>
          <w:bCs w:val="0"/>
          <w:kern w:val="0"/>
          <w:sz w:val="24"/>
          <w:szCs w:val="24"/>
        </w:rPr>
        <w:t xml:space="preserve">.”  </w:t>
      </w:r>
      <w:hyperlink r:id="rId713" w:history="1">
        <w:r w:rsidRPr="001075D9">
          <w:rPr>
            <w:rStyle w:val="Hyperlink"/>
            <w:b w:val="0"/>
            <w:bCs w:val="0"/>
            <w:kern w:val="0"/>
            <w:sz w:val="24"/>
            <w:szCs w:val="24"/>
          </w:rPr>
          <w:t>https://www.smithsonianmag.com/history/the-history-of-californias-inmate-firefighter-program-180980662/</w:t>
        </w:r>
      </w:hyperlink>
      <w:r>
        <w:rPr>
          <w:b w:val="0"/>
          <w:bCs w:val="0"/>
          <w:kern w:val="0"/>
          <w:sz w:val="24"/>
          <w:szCs w:val="24"/>
        </w:rPr>
        <w:t xml:space="preserve"> </w:t>
      </w:r>
    </w:p>
    <w:p w14:paraId="1B60672D" w14:textId="77777777" w:rsidR="0074687D" w:rsidRPr="00824AA4" w:rsidRDefault="0074687D" w:rsidP="0074687D">
      <w:pPr>
        <w:pStyle w:val="Heading1"/>
        <w:ind w:left="1440"/>
        <w:rPr>
          <w:b w:val="0"/>
          <w:bCs w:val="0"/>
          <w:kern w:val="0"/>
          <w:sz w:val="24"/>
          <w:szCs w:val="24"/>
        </w:rPr>
      </w:pPr>
      <w:r>
        <w:rPr>
          <w:b w:val="0"/>
          <w:bCs w:val="0"/>
          <w:sz w:val="24"/>
          <w:szCs w:val="24"/>
        </w:rPr>
        <w:lastRenderedPageBreak/>
        <w:t>“</w:t>
      </w:r>
      <w:r w:rsidRPr="001907F8">
        <w:rPr>
          <w:b w:val="0"/>
          <w:bCs w:val="0"/>
          <w:sz w:val="24"/>
          <w:szCs w:val="24"/>
        </w:rPr>
        <w:t xml:space="preserve">Since World War II, California has relied on a unique group of firefighters to battle its conflagrations: </w:t>
      </w:r>
      <w:hyperlink r:id="rId714" w:tgtFrame="_blank" w:history="1">
        <w:r w:rsidRPr="001907F8">
          <w:rPr>
            <w:rStyle w:val="Hyperlink"/>
            <w:b w:val="0"/>
            <w:bCs w:val="0"/>
            <w:sz w:val="24"/>
            <w:szCs w:val="24"/>
          </w:rPr>
          <w:t>inmates</w:t>
        </w:r>
      </w:hyperlink>
      <w:r w:rsidRPr="001907F8">
        <w:rPr>
          <w:b w:val="0"/>
          <w:bCs w:val="0"/>
          <w:sz w:val="24"/>
          <w:szCs w:val="24"/>
        </w:rPr>
        <w:t xml:space="preserve">. Prisoners who want to enter the </w:t>
      </w:r>
      <w:hyperlink r:id="rId715" w:tgtFrame="_blank" w:history="1">
        <w:r w:rsidRPr="001907F8">
          <w:rPr>
            <w:rStyle w:val="Hyperlink"/>
            <w:b w:val="0"/>
            <w:bCs w:val="0"/>
            <w:sz w:val="24"/>
            <w:szCs w:val="24"/>
          </w:rPr>
          <w:t>Conservation Camp Program</w:t>
        </w:r>
      </w:hyperlink>
      <w:r w:rsidRPr="001907F8">
        <w:rPr>
          <w:b w:val="0"/>
          <w:bCs w:val="0"/>
          <w:sz w:val="24"/>
          <w:szCs w:val="24"/>
        </w:rPr>
        <w:t xml:space="preserve"> must meet security requirements and undergo two weeks of training. The all-inmate crews live in so-called </w:t>
      </w:r>
      <w:hyperlink r:id="rId716" w:tgtFrame="_blank" w:history="1">
        <w:r w:rsidRPr="001907F8">
          <w:rPr>
            <w:rStyle w:val="Hyperlink"/>
            <w:b w:val="0"/>
            <w:bCs w:val="0"/>
            <w:sz w:val="24"/>
            <w:szCs w:val="24"/>
          </w:rPr>
          <w:t>fire camps</w:t>
        </w:r>
      </w:hyperlink>
      <w:r w:rsidRPr="001907F8">
        <w:rPr>
          <w:b w:val="0"/>
          <w:bCs w:val="0"/>
          <w:sz w:val="24"/>
          <w:szCs w:val="24"/>
        </w:rPr>
        <w:t xml:space="preserve"> and are led by personnel from the California Department of Forestry and Fire Protection, or Cal Fire. They earn between </w:t>
      </w:r>
      <w:hyperlink r:id="rId717" w:tgtFrame="_blank" w:history="1">
        <w:r w:rsidRPr="001907F8">
          <w:rPr>
            <w:rStyle w:val="Hyperlink"/>
            <w:b w:val="0"/>
            <w:bCs w:val="0"/>
            <w:sz w:val="24"/>
            <w:szCs w:val="24"/>
          </w:rPr>
          <w:t>$2.90</w:t>
        </w:r>
      </w:hyperlink>
      <w:r w:rsidRPr="001907F8">
        <w:rPr>
          <w:b w:val="0"/>
          <w:bCs w:val="0"/>
          <w:sz w:val="24"/>
          <w:szCs w:val="24"/>
        </w:rPr>
        <w:t xml:space="preserve"> and $5 a day depending on their duties—and </w:t>
      </w:r>
      <w:hyperlink r:id="rId718" w:tgtFrame="_blank" w:history="1">
        <w:r w:rsidRPr="001907F8">
          <w:rPr>
            <w:rStyle w:val="Hyperlink"/>
            <w:b w:val="0"/>
            <w:bCs w:val="0"/>
            <w:sz w:val="24"/>
            <w:szCs w:val="24"/>
          </w:rPr>
          <w:t>slightly more</w:t>
        </w:r>
      </w:hyperlink>
      <w:r w:rsidRPr="001907F8">
        <w:rPr>
          <w:b w:val="0"/>
          <w:bCs w:val="0"/>
          <w:sz w:val="24"/>
          <w:szCs w:val="24"/>
        </w:rPr>
        <w:t xml:space="preserve"> when actively fighting a fire. Though their numbers have fluctuated over the years, they have often comprised </w:t>
      </w:r>
      <w:hyperlink r:id="rId719" w:tgtFrame="_blank" w:history="1">
        <w:r w:rsidRPr="001907F8">
          <w:rPr>
            <w:rStyle w:val="Hyperlink"/>
            <w:b w:val="0"/>
            <w:bCs w:val="0"/>
            <w:sz w:val="24"/>
            <w:szCs w:val="24"/>
          </w:rPr>
          <w:t>approximately one-third</w:t>
        </w:r>
      </w:hyperlink>
      <w:r w:rsidRPr="001907F8">
        <w:rPr>
          <w:b w:val="0"/>
          <w:bCs w:val="0"/>
          <w:sz w:val="24"/>
          <w:szCs w:val="24"/>
        </w:rPr>
        <w:t xml:space="preserve"> of California’s firefighting force.</w:t>
      </w:r>
      <w:r>
        <w:rPr>
          <w:b w:val="0"/>
          <w:bCs w:val="0"/>
          <w:sz w:val="24"/>
          <w:szCs w:val="24"/>
        </w:rPr>
        <w:t>”</w:t>
      </w:r>
    </w:p>
    <w:p w14:paraId="5C62E238" w14:textId="77777777" w:rsidR="0074687D" w:rsidRDefault="0074687D" w:rsidP="0074687D">
      <w:pPr>
        <w:pStyle w:val="NormalWeb"/>
        <w:jc w:val="center"/>
        <w:rPr>
          <w:b/>
          <w:bCs/>
        </w:rPr>
      </w:pPr>
    </w:p>
    <w:p w14:paraId="6EEF6381" w14:textId="77777777" w:rsidR="0074687D" w:rsidRPr="0074687D" w:rsidRDefault="0074687D" w:rsidP="0074687D"/>
    <w:p w14:paraId="1D6D53B5" w14:textId="77777777" w:rsidR="00622D53" w:rsidRDefault="00622D53" w:rsidP="00F326E5">
      <w:pPr>
        <w:pStyle w:val="NoSpacing"/>
        <w:rPr>
          <w:rFonts w:ascii="Arial Black" w:hAnsi="Arial Black"/>
          <w:sz w:val="28"/>
          <w:szCs w:val="28"/>
        </w:rPr>
      </w:pPr>
    </w:p>
    <w:p w14:paraId="6F584BA8" w14:textId="77777777" w:rsidR="00622D53" w:rsidRDefault="00622D53" w:rsidP="00F326E5">
      <w:pPr>
        <w:pStyle w:val="NoSpacing"/>
        <w:rPr>
          <w:rFonts w:ascii="Arial Black" w:hAnsi="Arial Black"/>
          <w:sz w:val="28"/>
          <w:szCs w:val="28"/>
        </w:rPr>
      </w:pPr>
    </w:p>
    <w:p w14:paraId="4B68C931" w14:textId="3F74168E" w:rsidR="00BB49C5" w:rsidRDefault="00BB49C5"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5</w:t>
      </w:r>
    </w:p>
    <w:p w14:paraId="0053C179" w14:textId="77777777" w:rsidR="00BB49C5" w:rsidRPr="004735F4" w:rsidRDefault="00BB49C5" w:rsidP="00BB49C5">
      <w:pPr>
        <w:pStyle w:val="NormalWeb"/>
        <w:rPr>
          <w:rFonts w:ascii="Arial Black" w:hAnsi="Arial Black"/>
          <w:b/>
          <w:bCs/>
          <w:sz w:val="28"/>
          <w:szCs w:val="28"/>
        </w:rPr>
      </w:pPr>
      <w:r>
        <w:rPr>
          <w:rFonts w:ascii="Arial Black" w:hAnsi="Arial Black"/>
          <w:b/>
          <w:bCs/>
          <w:sz w:val="28"/>
          <w:szCs w:val="28"/>
        </w:rPr>
        <w:t>TX: TEXAS GOV. ORDER - MIGRANTS NOT BE GIVEN RIDES - IMMIGRANT ADVOCATES CAN’T SUE – FED. INJUNCTION</w:t>
      </w:r>
    </w:p>
    <w:p w14:paraId="2831E47F" w14:textId="77777777" w:rsidR="00BB49C5" w:rsidRDefault="00BB49C5" w:rsidP="00BB49C5">
      <w:pPr>
        <w:pStyle w:val="NormalWeb"/>
      </w:pPr>
      <w:r>
        <w:t xml:space="preserve">On Oct. 27, 2023, in </w:t>
      </w:r>
      <w:r w:rsidRPr="004735F4">
        <w:rPr>
          <w:u w:val="single"/>
        </w:rPr>
        <w:t>United States of America v. Greg Abbott, et al</w:t>
      </w:r>
      <w:r>
        <w:t xml:space="preserve">., the U.S. Court of Appeals for the Fifth Circuit (New Orleans) held (2 to 1) that the U.S. District Court improperly denied the Governor’s motion to dismiss the three non-profits immigration advocates’ Fourth Amendment claims, since the Governor enjoys sovereign immunity from private party lawsuits.  Sovereign immunity forbids suits against a State and its officers in their official capacities. The Court held: “We agree with the Governor that sovereign immunity bars the lawsuit brought by the private plaintiffs. We reverse and remand with instructions to dismiss the suit against the Governor.” However, the Federal Government sued and in Aug. 2021 obtained an injunction against the Governor’s order and that injunction remains in place. </w:t>
      </w:r>
      <w:hyperlink r:id="rId720" w:history="1">
        <w:r w:rsidRPr="0097451D">
          <w:rPr>
            <w:rStyle w:val="Hyperlink"/>
            <w:rFonts w:eastAsiaTheme="majorEastAsia"/>
          </w:rPr>
          <w:t>https://cases.justia.com/federal/appellate-courts/ca5/22-50212/22-50212-2023-10-27.pdf?ts=1698427826</w:t>
        </w:r>
      </w:hyperlink>
      <w:r>
        <w:t xml:space="preserve"> </w:t>
      </w:r>
    </w:p>
    <w:p w14:paraId="40EE6571" w14:textId="77777777" w:rsidR="00BB49C5" w:rsidRPr="00D77256" w:rsidRDefault="00BB49C5" w:rsidP="00BB49C5">
      <w:pPr>
        <w:pStyle w:val="NormalWeb"/>
        <w:rPr>
          <w:b/>
          <w:bCs/>
        </w:rPr>
      </w:pPr>
      <w:r w:rsidRPr="00D77256">
        <w:rPr>
          <w:b/>
          <w:bCs/>
        </w:rPr>
        <w:t xml:space="preserve">Legal Lesson Learned: </w:t>
      </w:r>
      <w:r>
        <w:rPr>
          <w:b/>
          <w:bCs/>
        </w:rPr>
        <w:t xml:space="preserve">The lawsuit by USA will proceed. </w:t>
      </w:r>
    </w:p>
    <w:p w14:paraId="14B67253" w14:textId="77777777" w:rsidR="00BB49C5" w:rsidRPr="003402EF" w:rsidRDefault="00BB49C5" w:rsidP="00BB49C5">
      <w:pPr>
        <w:pStyle w:val="Heading1"/>
        <w:ind w:left="720"/>
        <w:rPr>
          <w:b w:val="0"/>
          <w:bCs w:val="0"/>
          <w:sz w:val="24"/>
          <w:szCs w:val="24"/>
        </w:rPr>
      </w:pPr>
      <w:r w:rsidRPr="003402EF">
        <w:rPr>
          <w:b w:val="0"/>
          <w:bCs w:val="0"/>
          <w:sz w:val="24"/>
          <w:szCs w:val="24"/>
        </w:rPr>
        <w:t xml:space="preserve">Note: The ruling does not affect a similar legal challenge brought by the Biden administration, leaving an August 2021 lower court’s injunction in place. See Oct. 27, </w:t>
      </w:r>
      <w:proofErr w:type="gramStart"/>
      <w:r w:rsidRPr="003402EF">
        <w:rPr>
          <w:b w:val="0"/>
          <w:bCs w:val="0"/>
          <w:sz w:val="24"/>
          <w:szCs w:val="24"/>
        </w:rPr>
        <w:t>2023</w:t>
      </w:r>
      <w:proofErr w:type="gramEnd"/>
      <w:r w:rsidRPr="003402EF">
        <w:rPr>
          <w:b w:val="0"/>
          <w:bCs w:val="0"/>
          <w:sz w:val="24"/>
          <w:szCs w:val="24"/>
        </w:rPr>
        <w:t xml:space="preserve"> article, </w:t>
      </w:r>
      <w:r>
        <w:rPr>
          <w:b w:val="0"/>
          <w:bCs w:val="0"/>
          <w:sz w:val="24"/>
          <w:szCs w:val="24"/>
        </w:rPr>
        <w:t>“</w:t>
      </w:r>
      <w:r w:rsidRPr="003402EF">
        <w:rPr>
          <w:b w:val="0"/>
          <w:bCs w:val="0"/>
          <w:sz w:val="24"/>
          <w:szCs w:val="24"/>
        </w:rPr>
        <w:t>US appeals court tosses lawsuit over Texas migrant transportation restrictions</w:t>
      </w:r>
      <w:r>
        <w:rPr>
          <w:b w:val="0"/>
          <w:bCs w:val="0"/>
          <w:sz w:val="24"/>
          <w:szCs w:val="24"/>
        </w:rPr>
        <w:t xml:space="preserve">.” </w:t>
      </w:r>
      <w:hyperlink r:id="rId721" w:history="1">
        <w:r w:rsidRPr="00956CFD">
          <w:rPr>
            <w:rStyle w:val="Hyperlink"/>
            <w:rFonts w:eastAsiaTheme="majorEastAsia"/>
            <w:b w:val="0"/>
            <w:bCs w:val="0"/>
            <w:sz w:val="24"/>
            <w:szCs w:val="24"/>
          </w:rPr>
          <w:t>https://www.theguardian.com/us-news/2023/oct/27/lawsuit-dismissed-texas-greg-abbott-transport-immigration</w:t>
        </w:r>
      </w:hyperlink>
      <w:r>
        <w:rPr>
          <w:b w:val="0"/>
          <w:bCs w:val="0"/>
          <w:sz w:val="24"/>
          <w:szCs w:val="24"/>
        </w:rPr>
        <w:t xml:space="preserve"> </w:t>
      </w:r>
    </w:p>
    <w:p w14:paraId="56B53233" w14:textId="77777777" w:rsidR="00BB49C5" w:rsidRDefault="00BB49C5" w:rsidP="00F326E5">
      <w:pPr>
        <w:pStyle w:val="NoSpacing"/>
        <w:rPr>
          <w:rFonts w:ascii="Arial Black" w:hAnsi="Arial Black"/>
          <w:sz w:val="28"/>
          <w:szCs w:val="28"/>
        </w:rPr>
      </w:pPr>
    </w:p>
    <w:p w14:paraId="7CBBFD18" w14:textId="77777777" w:rsidR="00BB49C5" w:rsidRDefault="00BB49C5" w:rsidP="00F326E5">
      <w:pPr>
        <w:pStyle w:val="NoSpacing"/>
        <w:rPr>
          <w:rFonts w:ascii="Arial Black" w:hAnsi="Arial Black"/>
          <w:sz w:val="28"/>
          <w:szCs w:val="28"/>
        </w:rPr>
      </w:pPr>
    </w:p>
    <w:p w14:paraId="33A196E0" w14:textId="4363ED55" w:rsidR="009B0593" w:rsidRDefault="009B0593"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4</w:t>
      </w:r>
    </w:p>
    <w:p w14:paraId="36E218C9" w14:textId="77777777" w:rsidR="009B0593" w:rsidRPr="004C7E57" w:rsidRDefault="009B0593" w:rsidP="009B0593">
      <w:pPr>
        <w:pStyle w:val="NormalWeb"/>
        <w:rPr>
          <w:rFonts w:ascii="Arial Black" w:hAnsi="Arial Black"/>
          <w:sz w:val="28"/>
          <w:szCs w:val="28"/>
        </w:rPr>
      </w:pPr>
      <w:r>
        <w:rPr>
          <w:rFonts w:ascii="Arial Black" w:hAnsi="Arial Black"/>
          <w:sz w:val="28"/>
          <w:szCs w:val="28"/>
        </w:rPr>
        <w:t>IL: AFTER TRIAL FBI PAID CONFIDENTIAL SOURCE $50,000 BONUS – COURT HEARING - NO REVERSAL CONVICTIONS</w:t>
      </w:r>
    </w:p>
    <w:p w14:paraId="1ADDBA74" w14:textId="77777777" w:rsidR="009B0593" w:rsidRDefault="009B0593" w:rsidP="009B0593">
      <w:pPr>
        <w:pStyle w:val="NormalWeb"/>
      </w:pPr>
      <w:r>
        <w:t xml:space="preserve">On Aug. 18, 2023, in </w:t>
      </w:r>
      <w:r w:rsidRPr="004C7E57">
        <w:rPr>
          <w:u w:val="single"/>
        </w:rPr>
        <w:t>United States of America v, Joseph D. Jones and Edward Schimenti</w:t>
      </w:r>
      <w:r>
        <w:t>, the U.S. Court of Appeals for 7</w:t>
      </w:r>
      <w:r w:rsidRPr="004C7E57">
        <w:rPr>
          <w:vertAlign w:val="superscript"/>
        </w:rPr>
        <w:t>th</w:t>
      </w:r>
      <w:r>
        <w:t xml:space="preserve"> Circuit (Chicago) held (3 to 0) that trial court properly denied defense motion for a new trial.  The evidence providing material support to the terrorist organization ISIS by two defendants was so strong, the </w:t>
      </w:r>
      <w:r>
        <w:lastRenderedPageBreak/>
        <w:t xml:space="preserve">7th Circuit concluded that the disclosure at trial of the planned or contemplated post-trial bonus payment would not have resulted in the jury acquitting the defendants. </w:t>
      </w:r>
    </w:p>
    <w:p w14:paraId="4746A90A" w14:textId="77777777" w:rsidR="009B0593" w:rsidRDefault="009B0593" w:rsidP="009B0593">
      <w:pPr>
        <w:pStyle w:val="NormalWeb"/>
        <w:ind w:left="720"/>
      </w:pPr>
      <w:r>
        <w:t>The Court of Appeals held: “We likewise agree with the district court's denial of Jones and Schimenti's motion for a new trial based on a revelation that emerged after trial regarding a substantial payment the government made to a confidential source shortly after the jury convicted both defendants. What happened raises many questions, but, like the district court, we cannot conclude an earlier disclosure of a planned or contemplated post-trial payment would have resulted in the jury acquitting Jones or Schimenti. All of this leads us to affirm.”</w:t>
      </w:r>
      <w:hyperlink r:id="rId722" w:history="1">
        <w:r w:rsidRPr="00955A98">
          <w:rPr>
            <w:rStyle w:val="Hyperlink"/>
            <w:rFonts w:eastAsiaTheme="majorEastAsia"/>
          </w:rPr>
          <w:t>https://caselaw.findlaw.com/court/us-7th-circuit/114903686.html</w:t>
        </w:r>
      </w:hyperlink>
      <w:r>
        <w:t xml:space="preserve"> </w:t>
      </w:r>
    </w:p>
    <w:p w14:paraId="3E0D15B0" w14:textId="77777777" w:rsidR="009B0593" w:rsidRPr="006B6BC8" w:rsidRDefault="009B0593" w:rsidP="009B0593">
      <w:pPr>
        <w:pStyle w:val="NormalWeb"/>
        <w:rPr>
          <w:b/>
          <w:bCs/>
        </w:rPr>
      </w:pPr>
      <w:r w:rsidRPr="006B6BC8">
        <w:rPr>
          <w:b/>
          <w:bCs/>
        </w:rPr>
        <w:t xml:space="preserve">Legal Lesson Learned: </w:t>
      </w:r>
      <w:r>
        <w:rPr>
          <w:b/>
          <w:bCs/>
        </w:rPr>
        <w:t xml:space="preserve">Bonus payments to a confidential source after trial can lead to post-trial hearings. </w:t>
      </w:r>
    </w:p>
    <w:p w14:paraId="10F234D9" w14:textId="77777777" w:rsidR="009B0593" w:rsidRDefault="009B0593" w:rsidP="00F326E5">
      <w:pPr>
        <w:pStyle w:val="NoSpacing"/>
        <w:rPr>
          <w:rFonts w:ascii="Arial Black" w:hAnsi="Arial Black"/>
          <w:sz w:val="28"/>
          <w:szCs w:val="28"/>
        </w:rPr>
      </w:pPr>
    </w:p>
    <w:p w14:paraId="1F9E8713" w14:textId="77777777" w:rsidR="009B0593" w:rsidRDefault="009B0593" w:rsidP="00F326E5">
      <w:pPr>
        <w:pStyle w:val="NoSpacing"/>
        <w:rPr>
          <w:rFonts w:ascii="Arial Black" w:hAnsi="Arial Black"/>
          <w:sz w:val="28"/>
          <w:szCs w:val="28"/>
        </w:rPr>
      </w:pPr>
    </w:p>
    <w:p w14:paraId="24E41B73" w14:textId="1B847B0B" w:rsidR="00DC17BF" w:rsidRDefault="00FE60DA"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3</w:t>
      </w:r>
    </w:p>
    <w:p w14:paraId="4CF61886" w14:textId="6E6B7568" w:rsidR="00FE60DA" w:rsidRPr="00DB3ABA" w:rsidRDefault="00FE60DA" w:rsidP="00FE60DA">
      <w:pPr>
        <w:pStyle w:val="NormalWeb"/>
        <w:rPr>
          <w:rFonts w:ascii="Arial Black" w:hAnsi="Arial Black"/>
          <w:sz w:val="28"/>
          <w:szCs w:val="28"/>
        </w:rPr>
      </w:pPr>
      <w:r>
        <w:rPr>
          <w:rFonts w:ascii="Arial Black" w:hAnsi="Arial Black"/>
          <w:sz w:val="28"/>
          <w:szCs w:val="28"/>
        </w:rPr>
        <w:t xml:space="preserve">LA: FED. JUDGE INJUNCTION – FED. GOV’T TRYING </w:t>
      </w:r>
      <w:r w:rsidR="00735F6B">
        <w:rPr>
          <w:rFonts w:ascii="Arial Black" w:hAnsi="Arial Black"/>
          <w:sz w:val="28"/>
          <w:szCs w:val="28"/>
        </w:rPr>
        <w:t xml:space="preserve">GET </w:t>
      </w:r>
      <w:r>
        <w:rPr>
          <w:rFonts w:ascii="Arial Black" w:hAnsi="Arial Black"/>
          <w:sz w:val="28"/>
          <w:szCs w:val="28"/>
        </w:rPr>
        <w:t xml:space="preserve">FACEBOOK, TWITTER TO DELETE POSTS - DOJ APPEALS </w:t>
      </w:r>
    </w:p>
    <w:p w14:paraId="1817A0C1" w14:textId="342A70FD" w:rsidR="00FE60DA" w:rsidRDefault="00FE60DA" w:rsidP="00FE60D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July 4, 2023, in </w:t>
      </w:r>
      <w:r w:rsidRPr="00E83DE8">
        <w:rPr>
          <w:rFonts w:ascii="Times New Roman" w:hAnsi="Times New Roman"/>
          <w:sz w:val="24"/>
          <w:szCs w:val="24"/>
          <w:u w:val="single"/>
        </w:rPr>
        <w:t>State of Missouri, et al. v. Joseph R. Biden, Jr., et al</w:t>
      </w:r>
      <w:r>
        <w:rPr>
          <w:rFonts w:ascii="Times New Roman" w:hAnsi="Times New Roman"/>
          <w:sz w:val="24"/>
          <w:szCs w:val="24"/>
        </w:rPr>
        <w:t>, U.S. District Court Judge Terry A. Doughty, U.S. District Court for Western District of Louisiana, Monroe Division, granted State of Missouri, State of Louisiana, and five individuals a preliminary injunction (but denied class action) concerning Whitehouse efforts to get social media companies to delete posts that opposed Covid-19 vaccinations, and other “hot” topics.  The judge’s 155-page opinion has drawn national attention and promptly appealed by U.S. Department of Justice to the U.S. Court of Appeals for 5</w:t>
      </w:r>
      <w:r w:rsidRPr="00E83DE8">
        <w:rPr>
          <w:rFonts w:ascii="Times New Roman" w:hAnsi="Times New Roman"/>
          <w:sz w:val="24"/>
          <w:szCs w:val="24"/>
          <w:vertAlign w:val="superscript"/>
        </w:rPr>
        <w:t>th</w:t>
      </w:r>
      <w:r>
        <w:rPr>
          <w:rFonts w:ascii="Times New Roman" w:hAnsi="Times New Roman"/>
          <w:sz w:val="24"/>
          <w:szCs w:val="24"/>
        </w:rPr>
        <w:t xml:space="preserve"> Circuit (New Orleans).  </w:t>
      </w:r>
      <w:hyperlink r:id="rId723" w:history="1">
        <w:r w:rsidR="0062739C" w:rsidRPr="00812663">
          <w:rPr>
            <w:rStyle w:val="Hyperlink"/>
          </w:rPr>
          <w:t>https://casetext.com/case/baarbe-v-the-syrian-arab-republic</w:t>
        </w:r>
      </w:hyperlink>
    </w:p>
    <w:p w14:paraId="5D7EB7F2" w14:textId="77777777" w:rsidR="00FE60DA" w:rsidRDefault="00FE60DA" w:rsidP="00FE60D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Judge Doughty (nominated by President Trump in 2017) wrote: “</w:t>
      </w:r>
      <w:r w:rsidRPr="00DB3ABA">
        <w:rPr>
          <w:rFonts w:ascii="Times New Roman" w:hAnsi="Times New Roman"/>
          <w:sz w:val="24"/>
          <w:szCs w:val="24"/>
        </w:rPr>
        <w:t>The Plaintiffs are likely to succeed on the merits in establishing that the Government has</w:t>
      </w:r>
      <w:r>
        <w:rPr>
          <w:rFonts w:ascii="Times New Roman" w:hAnsi="Times New Roman"/>
          <w:sz w:val="24"/>
          <w:szCs w:val="24"/>
        </w:rPr>
        <w:t xml:space="preserve"> </w:t>
      </w:r>
      <w:r w:rsidRPr="00DB3ABA">
        <w:rPr>
          <w:rFonts w:ascii="Times New Roman" w:hAnsi="Times New Roman"/>
          <w:sz w:val="24"/>
          <w:szCs w:val="24"/>
        </w:rPr>
        <w:t>used its power to silence the opposition. Opposition to COVID-19 vaccines; opposition to</w:t>
      </w:r>
      <w:r>
        <w:rPr>
          <w:rFonts w:ascii="Times New Roman" w:hAnsi="Times New Roman"/>
          <w:sz w:val="24"/>
          <w:szCs w:val="24"/>
        </w:rPr>
        <w:t xml:space="preserve"> </w:t>
      </w:r>
      <w:r w:rsidRPr="00DB3ABA">
        <w:rPr>
          <w:rFonts w:ascii="Times New Roman" w:hAnsi="Times New Roman"/>
          <w:sz w:val="24"/>
          <w:szCs w:val="24"/>
        </w:rPr>
        <w:t>COVID-19 masking and lockdowns; opposition to the lab-leak theory of COVID-19; opposition</w:t>
      </w:r>
      <w:r>
        <w:rPr>
          <w:rFonts w:ascii="Times New Roman" w:hAnsi="Times New Roman"/>
          <w:sz w:val="24"/>
          <w:szCs w:val="24"/>
        </w:rPr>
        <w:t xml:space="preserve"> </w:t>
      </w:r>
      <w:r w:rsidRPr="00DB3ABA">
        <w:rPr>
          <w:rFonts w:ascii="Times New Roman" w:hAnsi="Times New Roman"/>
          <w:sz w:val="24"/>
          <w:szCs w:val="24"/>
        </w:rPr>
        <w:t>to the validity of the 2020 election; opposition to President Biden’s policies; statements that the</w:t>
      </w:r>
      <w:r>
        <w:rPr>
          <w:rFonts w:ascii="Times New Roman" w:hAnsi="Times New Roman"/>
          <w:sz w:val="24"/>
          <w:szCs w:val="24"/>
        </w:rPr>
        <w:t xml:space="preserve"> </w:t>
      </w:r>
      <w:r w:rsidRPr="00DB3ABA">
        <w:rPr>
          <w:rFonts w:ascii="Times New Roman" w:hAnsi="Times New Roman"/>
          <w:sz w:val="24"/>
          <w:szCs w:val="24"/>
        </w:rPr>
        <w:t>Hunter Biden laptop story was true; and opposition to policies of the government officials in</w:t>
      </w:r>
      <w:r>
        <w:rPr>
          <w:rFonts w:ascii="Times New Roman" w:hAnsi="Times New Roman"/>
          <w:sz w:val="24"/>
          <w:szCs w:val="24"/>
        </w:rPr>
        <w:t xml:space="preserve"> </w:t>
      </w:r>
      <w:r w:rsidRPr="00DB3ABA">
        <w:rPr>
          <w:rFonts w:ascii="Times New Roman" w:hAnsi="Times New Roman"/>
          <w:sz w:val="24"/>
          <w:szCs w:val="24"/>
        </w:rPr>
        <w:t>power. All were suppressed. It is quite telling that each example or category of suppressed speech</w:t>
      </w:r>
      <w:r>
        <w:rPr>
          <w:rFonts w:ascii="Times New Roman" w:hAnsi="Times New Roman"/>
          <w:sz w:val="24"/>
          <w:szCs w:val="24"/>
        </w:rPr>
        <w:t xml:space="preserve"> </w:t>
      </w:r>
      <w:r w:rsidRPr="00DB3ABA">
        <w:rPr>
          <w:rFonts w:ascii="Times New Roman" w:hAnsi="Times New Roman"/>
          <w:sz w:val="24"/>
          <w:szCs w:val="24"/>
        </w:rPr>
        <w:t>was conservative in nature. This targeted suppression of conservative ideas is a perfect example</w:t>
      </w:r>
      <w:r>
        <w:rPr>
          <w:rFonts w:ascii="Times New Roman" w:hAnsi="Times New Roman"/>
          <w:sz w:val="24"/>
          <w:szCs w:val="24"/>
        </w:rPr>
        <w:t xml:space="preserve"> </w:t>
      </w:r>
      <w:r w:rsidRPr="00DB3ABA">
        <w:rPr>
          <w:rFonts w:ascii="Times New Roman" w:hAnsi="Times New Roman"/>
          <w:sz w:val="24"/>
          <w:szCs w:val="24"/>
        </w:rPr>
        <w:t xml:space="preserve">of viewpoint discrimination </w:t>
      </w:r>
      <w:proofErr w:type="gramStart"/>
      <w:r w:rsidRPr="00DB3ABA">
        <w:rPr>
          <w:rFonts w:ascii="Times New Roman" w:hAnsi="Times New Roman"/>
          <w:sz w:val="24"/>
          <w:szCs w:val="24"/>
        </w:rPr>
        <w:t>of</w:t>
      </w:r>
      <w:proofErr w:type="gramEnd"/>
      <w:r w:rsidRPr="00DB3ABA">
        <w:rPr>
          <w:rFonts w:ascii="Times New Roman" w:hAnsi="Times New Roman"/>
          <w:sz w:val="24"/>
          <w:szCs w:val="24"/>
        </w:rPr>
        <w:t xml:space="preserve"> political speech. American citizens have the right to engage in free</w:t>
      </w:r>
      <w:r>
        <w:rPr>
          <w:rFonts w:ascii="Times New Roman" w:hAnsi="Times New Roman"/>
          <w:sz w:val="24"/>
          <w:szCs w:val="24"/>
        </w:rPr>
        <w:t xml:space="preserve"> </w:t>
      </w:r>
      <w:r w:rsidRPr="00DB3ABA">
        <w:rPr>
          <w:rFonts w:ascii="Times New Roman" w:hAnsi="Times New Roman"/>
          <w:sz w:val="24"/>
          <w:szCs w:val="24"/>
        </w:rPr>
        <w:t>debate about the significant issues affecting the country.</w:t>
      </w:r>
      <w:r>
        <w:rPr>
          <w:rFonts w:ascii="Times New Roman" w:hAnsi="Times New Roman"/>
          <w:sz w:val="24"/>
          <w:szCs w:val="24"/>
        </w:rPr>
        <w:t xml:space="preserve">” </w:t>
      </w:r>
      <w:hyperlink r:id="rId724" w:history="1">
        <w:r w:rsidRPr="00812663">
          <w:rPr>
            <w:rStyle w:val="Hyperlink"/>
            <w:sz w:val="24"/>
            <w:szCs w:val="24"/>
          </w:rPr>
          <w:t>https://ago.mo.gov/docs/default-source/press-releases/missouri-v-biden-ruling.pdf</w:t>
        </w:r>
      </w:hyperlink>
      <w:r>
        <w:rPr>
          <w:rFonts w:ascii="Times New Roman" w:hAnsi="Times New Roman"/>
          <w:sz w:val="24"/>
          <w:szCs w:val="24"/>
        </w:rPr>
        <w:t xml:space="preserve"> </w:t>
      </w:r>
    </w:p>
    <w:p w14:paraId="1C2406DB" w14:textId="77777777" w:rsidR="00523A11" w:rsidRDefault="00FE60DA" w:rsidP="00FE60DA">
      <w:pPr>
        <w:spacing w:before="100" w:beforeAutospacing="1" w:after="100" w:afterAutospacing="1" w:line="240" w:lineRule="auto"/>
        <w:rPr>
          <w:rFonts w:ascii="Times New Roman" w:hAnsi="Times New Roman"/>
          <w:b/>
          <w:bCs/>
          <w:sz w:val="24"/>
          <w:szCs w:val="24"/>
        </w:rPr>
      </w:pPr>
      <w:r w:rsidRPr="00793A6E">
        <w:rPr>
          <w:rFonts w:ascii="Times New Roman" w:hAnsi="Times New Roman"/>
          <w:b/>
          <w:bCs/>
          <w:sz w:val="24"/>
          <w:szCs w:val="24"/>
        </w:rPr>
        <w:t xml:space="preserve">Legal Lesson Learned: </w:t>
      </w:r>
      <w:r>
        <w:rPr>
          <w:rFonts w:ascii="Times New Roman" w:hAnsi="Times New Roman"/>
          <w:b/>
          <w:bCs/>
          <w:sz w:val="24"/>
          <w:szCs w:val="24"/>
        </w:rPr>
        <w:t>U.S. Department of Justice has already filed an appeal with 5</w:t>
      </w:r>
      <w:r w:rsidRPr="001D1578">
        <w:rPr>
          <w:rFonts w:ascii="Times New Roman" w:hAnsi="Times New Roman"/>
          <w:b/>
          <w:bCs/>
          <w:sz w:val="24"/>
          <w:szCs w:val="24"/>
          <w:vertAlign w:val="superscript"/>
        </w:rPr>
        <w:t>th</w:t>
      </w:r>
      <w:r>
        <w:rPr>
          <w:rFonts w:ascii="Times New Roman" w:hAnsi="Times New Roman"/>
          <w:b/>
          <w:bCs/>
          <w:sz w:val="24"/>
          <w:szCs w:val="24"/>
        </w:rPr>
        <w:t xml:space="preserve"> Circuit.</w:t>
      </w:r>
      <w:r w:rsidR="00735F6B">
        <w:rPr>
          <w:rFonts w:ascii="Times New Roman" w:hAnsi="Times New Roman"/>
          <w:b/>
          <w:bCs/>
          <w:sz w:val="24"/>
          <w:szCs w:val="24"/>
        </w:rPr>
        <w:t xml:space="preserve"> </w:t>
      </w:r>
    </w:p>
    <w:p w14:paraId="66401B1F" w14:textId="77777777" w:rsidR="00523A11" w:rsidRDefault="00523A11" w:rsidP="00FE60DA">
      <w:pPr>
        <w:spacing w:before="100" w:beforeAutospacing="1" w:after="100" w:afterAutospacing="1" w:line="240" w:lineRule="auto"/>
        <w:rPr>
          <w:rFonts w:ascii="Times New Roman" w:hAnsi="Times New Roman"/>
          <w:b/>
          <w:bCs/>
          <w:sz w:val="24"/>
          <w:szCs w:val="24"/>
        </w:rPr>
      </w:pPr>
    </w:p>
    <w:p w14:paraId="3B5D4EC9" w14:textId="2D27ADB7" w:rsidR="00FE60DA" w:rsidRDefault="00735F6B" w:rsidP="00FE60DA">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 xml:space="preserve">Here is </w:t>
      </w:r>
      <w:proofErr w:type="gramStart"/>
      <w:r>
        <w:rPr>
          <w:rFonts w:ascii="Times New Roman" w:hAnsi="Times New Roman"/>
          <w:b/>
          <w:bCs/>
          <w:sz w:val="24"/>
          <w:szCs w:val="24"/>
        </w:rPr>
        <w:t>there</w:t>
      </w:r>
      <w:proofErr w:type="gramEnd"/>
      <w:r>
        <w:rPr>
          <w:rFonts w:ascii="Times New Roman" w:hAnsi="Times New Roman"/>
          <w:b/>
          <w:bCs/>
          <w:sz w:val="24"/>
          <w:szCs w:val="24"/>
        </w:rPr>
        <w:t xml:space="preserve"> appeal, </w:t>
      </w:r>
      <w:hyperlink r:id="rId725" w:history="1">
        <w:r w:rsidRPr="00066234">
          <w:rPr>
            <w:rStyle w:val="Hyperlink"/>
            <w:rFonts w:ascii="Times New Roman" w:hAnsi="Times New Roman"/>
            <w:b/>
            <w:bCs/>
            <w:sz w:val="24"/>
            <w:szCs w:val="24"/>
          </w:rPr>
          <w:t>https://www.washingtonpost.com/documents/738465b3-8221-4ba6-8a91-92171f73482b.pdf?itid=lk_interstitial_manual_10</w:t>
        </w:r>
      </w:hyperlink>
    </w:p>
    <w:p w14:paraId="59632E5A" w14:textId="05A439F5" w:rsidR="00FE60DA" w:rsidRPr="00735F6B" w:rsidRDefault="00FE60DA" w:rsidP="00735F6B">
      <w:pPr>
        <w:pStyle w:val="NoSpacing"/>
        <w:ind w:left="720"/>
        <w:rPr>
          <w:rFonts w:ascii="Times New Roman" w:hAnsi="Times New Roman"/>
          <w:sz w:val="24"/>
          <w:szCs w:val="24"/>
        </w:rPr>
      </w:pPr>
      <w:r w:rsidRPr="00735F6B">
        <w:rPr>
          <w:rFonts w:ascii="Times New Roman" w:hAnsi="Times New Roman"/>
          <w:sz w:val="24"/>
          <w:szCs w:val="24"/>
        </w:rPr>
        <w:t xml:space="preserve">Note: See this July 4, </w:t>
      </w:r>
      <w:proofErr w:type="gramStart"/>
      <w:r w:rsidRPr="00735F6B">
        <w:rPr>
          <w:rFonts w:ascii="Times New Roman" w:hAnsi="Times New Roman"/>
          <w:sz w:val="24"/>
          <w:szCs w:val="24"/>
        </w:rPr>
        <w:t>2023</w:t>
      </w:r>
      <w:proofErr w:type="gramEnd"/>
      <w:r w:rsidRPr="00735F6B">
        <w:rPr>
          <w:rFonts w:ascii="Times New Roman" w:hAnsi="Times New Roman"/>
          <w:sz w:val="24"/>
          <w:szCs w:val="24"/>
        </w:rPr>
        <w:t xml:space="preserve"> article on the case. Federal Judge Limits Biden Officials’ Contacts </w:t>
      </w:r>
      <w:proofErr w:type="gramStart"/>
      <w:r w:rsidRPr="00735F6B">
        <w:rPr>
          <w:rFonts w:ascii="Times New Roman" w:hAnsi="Times New Roman"/>
          <w:sz w:val="24"/>
          <w:szCs w:val="24"/>
        </w:rPr>
        <w:t>With</w:t>
      </w:r>
      <w:proofErr w:type="gramEnd"/>
      <w:r w:rsidRPr="00735F6B">
        <w:rPr>
          <w:rFonts w:ascii="Times New Roman" w:hAnsi="Times New Roman"/>
          <w:sz w:val="24"/>
          <w:szCs w:val="24"/>
        </w:rPr>
        <w:t xml:space="preserve"> Social Media Sites. </w:t>
      </w:r>
      <w:hyperlink r:id="rId726" w:history="1">
        <w:r w:rsidRPr="00735F6B">
          <w:rPr>
            <w:rStyle w:val="Hyperlink"/>
            <w:rFonts w:ascii="Times New Roman" w:hAnsi="Times New Roman"/>
            <w:sz w:val="24"/>
            <w:szCs w:val="24"/>
          </w:rPr>
          <w:t>https://www.nytimes.com/2023/07/04/business/federal-judge-biden-social-media.html?campaign_id=60&amp;emc=edit_na_20230704&amp;instance_id=0&amp;nl=breaking-</w:t>
        </w:r>
        <w:r w:rsidRPr="00735F6B">
          <w:rPr>
            <w:rStyle w:val="Hyperlink"/>
            <w:rFonts w:ascii="Times New Roman" w:hAnsi="Times New Roman"/>
            <w:sz w:val="24"/>
            <w:szCs w:val="24"/>
          </w:rPr>
          <w:lastRenderedPageBreak/>
          <w:t>news&amp;ref=cta&amp;regi_id=215376166&amp;segment_id=138360&amp;user_id=c17b05e2b990d0f39049334bb5d3c889</w:t>
        </w:r>
      </w:hyperlink>
    </w:p>
    <w:p w14:paraId="48F030E4" w14:textId="77777777" w:rsidR="00FE60DA" w:rsidRDefault="00FE60DA" w:rsidP="00F326E5">
      <w:pPr>
        <w:pStyle w:val="NoSpacing"/>
        <w:rPr>
          <w:rFonts w:ascii="Arial Black" w:hAnsi="Arial Black"/>
          <w:sz w:val="28"/>
          <w:szCs w:val="28"/>
        </w:rPr>
      </w:pPr>
    </w:p>
    <w:p w14:paraId="5F0C27F4" w14:textId="5578C3C9" w:rsidR="00FE60DA" w:rsidRDefault="00FE60DA"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2</w:t>
      </w:r>
    </w:p>
    <w:p w14:paraId="5E26B22F" w14:textId="77777777" w:rsidR="00FE60DA" w:rsidRDefault="00FE60DA" w:rsidP="00F326E5">
      <w:pPr>
        <w:pStyle w:val="NoSpacing"/>
        <w:rPr>
          <w:rFonts w:ascii="Arial Black" w:hAnsi="Arial Black"/>
          <w:sz w:val="28"/>
          <w:szCs w:val="28"/>
        </w:rPr>
      </w:pPr>
    </w:p>
    <w:p w14:paraId="33100188" w14:textId="77777777" w:rsidR="00FE60DA" w:rsidRDefault="00FE60DA" w:rsidP="00F326E5">
      <w:pPr>
        <w:pStyle w:val="NoSpacing"/>
        <w:rPr>
          <w:rFonts w:ascii="Arial Black" w:hAnsi="Arial Black"/>
          <w:sz w:val="28"/>
          <w:szCs w:val="28"/>
        </w:rPr>
      </w:pPr>
    </w:p>
    <w:p w14:paraId="39DD2D4B" w14:textId="77777777" w:rsidR="00FE60DA" w:rsidRDefault="00FE60DA" w:rsidP="00FE60DA">
      <w:pPr>
        <w:pStyle w:val="NormalWeb"/>
        <w:rPr>
          <w:rFonts w:ascii="Arial Black" w:hAnsi="Arial Black"/>
          <w:sz w:val="28"/>
          <w:szCs w:val="28"/>
        </w:rPr>
      </w:pPr>
      <w:r>
        <w:rPr>
          <w:rFonts w:ascii="Arial Black" w:hAnsi="Arial Black"/>
          <w:sz w:val="28"/>
          <w:szCs w:val="28"/>
        </w:rPr>
        <w:t>NC: SYRIA IS LIABLE IN U.S. TERRORIST MURDERS / INJURIES US CITIZENS - NO SOVEREIGN IMMUNITY</w:t>
      </w:r>
    </w:p>
    <w:p w14:paraId="3758C1FB" w14:textId="77777777" w:rsidR="00523A11" w:rsidRDefault="00FE60DA" w:rsidP="00523A11">
      <w:pPr>
        <w:pStyle w:val="NormalWeb"/>
      </w:pPr>
      <w:r>
        <w:t xml:space="preserve">On May 30, 2023, in </w:t>
      </w:r>
      <w:r w:rsidRPr="00594187">
        <w:rPr>
          <w:u w:val="single"/>
        </w:rPr>
        <w:t xml:space="preserve">Cameron Cain </w:t>
      </w:r>
      <w:proofErr w:type="spellStart"/>
      <w:r w:rsidRPr="00594187">
        <w:rPr>
          <w:u w:val="single"/>
        </w:rPr>
        <w:t>Baarbe</w:t>
      </w:r>
      <w:proofErr w:type="spellEnd"/>
      <w:r w:rsidRPr="00594187">
        <w:rPr>
          <w:u w:val="single"/>
        </w:rPr>
        <w:t>, et al. v. The Syrian Arab Republic</w:t>
      </w:r>
      <w:r>
        <w:t xml:space="preserve">, U.S. District Court Judge Terrence M. Boyle, U.S. District Court for Eastern District of North Carolina, Western Division, held that Syria is liable in damages in this default judgment case for the deaths of four U.S. citizens, and injury to four others in ISIS terrorist attacks </w:t>
      </w:r>
      <w:r w:rsidRPr="00A92E97">
        <w:t>in Istanbul, Paris and Brussels</w:t>
      </w:r>
      <w:r>
        <w:t xml:space="preserve">. </w:t>
      </w:r>
      <w:r w:rsidR="00523A11">
        <w:t xml:space="preserve"> </w:t>
      </w:r>
      <w:hyperlink r:id="rId727" w:history="1">
        <w:r w:rsidR="00523A11" w:rsidRPr="00812663">
          <w:rPr>
            <w:rStyle w:val="Hyperlink"/>
          </w:rPr>
          <w:t>https://casetext.com/case/baarbe-v-the-syrian-arab-republic</w:t>
        </w:r>
      </w:hyperlink>
      <w:r w:rsidR="00523A11">
        <w:t xml:space="preserve"> </w:t>
      </w:r>
    </w:p>
    <w:p w14:paraId="4E3C1A48" w14:textId="77777777" w:rsidR="00FE60DA" w:rsidRDefault="00FE60DA" w:rsidP="00FE60DA">
      <w:pPr>
        <w:pStyle w:val="NormalWeb"/>
      </w:pPr>
      <w:r>
        <w:t>The Court held: “</w:t>
      </w:r>
      <w:r w:rsidRPr="00594187">
        <w:t xml:space="preserve">This is a civil action for damages pursuant to the Foreign Sovereign Immunities Act (“FSIA”) 28 U.S.C. § 1602 </w:t>
      </w:r>
      <w:r w:rsidRPr="00594187">
        <w:rPr>
          <w:rStyle w:val="Emphasis"/>
          <w:rFonts w:eastAsiaTheme="majorEastAsia"/>
        </w:rPr>
        <w:t>et seq</w:t>
      </w:r>
      <w:r w:rsidRPr="00594187">
        <w:t xml:space="preserve">. Plaintiffs are the estate and family of U.S. national Nohemi Gonzalez murdered in a terror attack on November 13, 2015, the family and estate of U.S. national </w:t>
      </w:r>
      <w:proofErr w:type="spellStart"/>
      <w:r w:rsidRPr="00594187">
        <w:t>Abvraham</w:t>
      </w:r>
      <w:proofErr w:type="spellEnd"/>
      <w:r>
        <w:rPr>
          <w:vertAlign w:val="superscript"/>
        </w:rPr>
        <w:t xml:space="preserve"> </w:t>
      </w:r>
      <w:r w:rsidRPr="00594187">
        <w:t xml:space="preserve">Goldman murdered in a terror attack on March 19, 2016, the estate and family of Alexander Pinczowski murdered in a terror attack on March 22, 2016, and the estate and family of U.S. national Erez Orbach murdered in a terror attack on January 8, 2017. Plaintiffs are also the survivors of the terror attacks on March 19, </w:t>
      </w:r>
      <w:proofErr w:type="gramStart"/>
      <w:r w:rsidRPr="00594187">
        <w:t>2016</w:t>
      </w:r>
      <w:proofErr w:type="gramEnd"/>
      <w:r w:rsidRPr="00594187">
        <w:t xml:space="preserve"> and January 8, </w:t>
      </w:r>
      <w:proofErr w:type="gramStart"/>
      <w:r w:rsidRPr="00594187">
        <w:t>2017</w:t>
      </w:r>
      <w:proofErr w:type="gramEnd"/>
      <w:r w:rsidRPr="00594187">
        <w:t xml:space="preserve"> and their families. Plaintiffs filed this action on June 2, </w:t>
      </w:r>
      <w:proofErr w:type="gramStart"/>
      <w:r w:rsidRPr="00594187">
        <w:t>2020</w:t>
      </w:r>
      <w:proofErr w:type="gramEnd"/>
      <w:r w:rsidRPr="00594187">
        <w:t xml:space="preserve"> against Syria. (</w:t>
      </w:r>
      <w:proofErr w:type="spellStart"/>
      <w:r w:rsidRPr="00594187">
        <w:t>Dkt</w:t>
      </w:r>
      <w:proofErr w:type="spellEnd"/>
      <w:r w:rsidRPr="00594187">
        <w:t xml:space="preserve">. 1). </w:t>
      </w:r>
      <w:r>
        <w:t xml:space="preserve">*** </w:t>
      </w:r>
      <w:r w:rsidRPr="00594187">
        <w:t>When a state such as Syria chooses to use terror as a policy tool that state forfeits its sovereign immunity and deserves unadorned condemnation. Barbaric acts like those alleged in this action have no place in civilized society and represent a moral depravity that knows no bounds. In stark contrast to the terrorist thugs and their Syrian sponsors stand the courageous Plaintiffs in this action, who have resolved to fight injustice with whatever tools are at their disposal, and their patient determination in this case is a credit to both them and to the memory of their decedents. This Court hopes that the Plaintiffs may take some measure of solace in this Court's final judgment.</w:t>
      </w:r>
      <w:r>
        <w:t xml:space="preserve">” </w:t>
      </w:r>
      <w:hyperlink r:id="rId728" w:history="1">
        <w:r w:rsidRPr="00812663">
          <w:rPr>
            <w:rStyle w:val="Hyperlink"/>
          </w:rPr>
          <w:t>https://casetext.com/case/baarbe-v-the-syrian-arab-republic</w:t>
        </w:r>
      </w:hyperlink>
      <w:r>
        <w:t xml:space="preserve"> </w:t>
      </w:r>
    </w:p>
    <w:p w14:paraId="7D2BF74B" w14:textId="77777777" w:rsidR="00FE60DA" w:rsidRPr="00A92E97" w:rsidRDefault="00FE60DA" w:rsidP="00FE60DA">
      <w:pPr>
        <w:pStyle w:val="NormalWeb"/>
        <w:rPr>
          <w:b/>
          <w:bCs/>
        </w:rPr>
      </w:pPr>
      <w:r w:rsidRPr="00A92E97">
        <w:rPr>
          <w:b/>
          <w:bCs/>
        </w:rPr>
        <w:t>Legal Lesson Learned: This judgment will then allow plaintiffs to find Syria assets in US that can be seized.</w:t>
      </w:r>
    </w:p>
    <w:p w14:paraId="0AD6EA78" w14:textId="77777777" w:rsidR="00FE60DA" w:rsidRDefault="00FE60DA" w:rsidP="00F326E5">
      <w:pPr>
        <w:pStyle w:val="NoSpacing"/>
        <w:rPr>
          <w:rFonts w:ascii="Arial Black" w:hAnsi="Arial Black"/>
          <w:sz w:val="28"/>
          <w:szCs w:val="28"/>
        </w:rPr>
      </w:pPr>
    </w:p>
    <w:p w14:paraId="06FBA0A4" w14:textId="77777777" w:rsidR="00FE60DA" w:rsidRDefault="00FE60DA" w:rsidP="00F326E5">
      <w:pPr>
        <w:pStyle w:val="NoSpacing"/>
        <w:rPr>
          <w:rFonts w:ascii="Arial Black" w:hAnsi="Arial Black"/>
          <w:sz w:val="28"/>
          <w:szCs w:val="28"/>
        </w:rPr>
      </w:pPr>
    </w:p>
    <w:p w14:paraId="6DD12EBE" w14:textId="52D80842" w:rsidR="00DC17BF" w:rsidRDefault="00DC17BF"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1</w:t>
      </w:r>
    </w:p>
    <w:p w14:paraId="4B79781C" w14:textId="77777777" w:rsidR="00DC17BF" w:rsidRDefault="00DC17BF" w:rsidP="00F326E5">
      <w:pPr>
        <w:pStyle w:val="NoSpacing"/>
        <w:rPr>
          <w:rFonts w:ascii="Arial Black" w:hAnsi="Arial Black"/>
          <w:sz w:val="28"/>
          <w:szCs w:val="28"/>
        </w:rPr>
      </w:pPr>
    </w:p>
    <w:p w14:paraId="72022F65" w14:textId="067E36E9" w:rsidR="00DC17BF" w:rsidRPr="00A10866" w:rsidRDefault="00DC17BF" w:rsidP="00DC17BF">
      <w:pPr>
        <w:pStyle w:val="NormalWeb"/>
        <w:rPr>
          <w:rFonts w:ascii="Arial Black" w:hAnsi="Arial Black"/>
          <w:sz w:val="28"/>
          <w:szCs w:val="28"/>
        </w:rPr>
      </w:pPr>
      <w:bookmarkStart w:id="133" w:name="_Hlk136858863"/>
      <w:r w:rsidRPr="00A10866">
        <w:rPr>
          <w:rFonts w:ascii="Arial Black" w:hAnsi="Arial Black"/>
          <w:sz w:val="28"/>
          <w:szCs w:val="28"/>
        </w:rPr>
        <w:t xml:space="preserve">DC: </w:t>
      </w:r>
      <w:r>
        <w:rPr>
          <w:rFonts w:ascii="Arial Black" w:hAnsi="Arial Black"/>
          <w:sz w:val="28"/>
          <w:szCs w:val="28"/>
        </w:rPr>
        <w:t>U.S. S</w:t>
      </w:r>
      <w:r w:rsidR="00ED4EAF">
        <w:rPr>
          <w:rFonts w:ascii="Arial Black" w:hAnsi="Arial Black"/>
          <w:sz w:val="28"/>
          <w:szCs w:val="28"/>
        </w:rPr>
        <w:t xml:space="preserve">UP. </w:t>
      </w:r>
      <w:r>
        <w:rPr>
          <w:rFonts w:ascii="Arial Black" w:hAnsi="Arial Black"/>
          <w:sz w:val="28"/>
          <w:szCs w:val="28"/>
        </w:rPr>
        <w:t>CT - NIGHTCLUB BOMBING IN TURKEY BY ISIS – FAMILIES CAN’T SUE FACEBOOK, TWITTER, OR GOOGLE</w:t>
      </w:r>
    </w:p>
    <w:bookmarkEnd w:id="133"/>
    <w:p w14:paraId="0FB1B25A" w14:textId="77777777" w:rsidR="00523A11" w:rsidRDefault="00DC17BF" w:rsidP="00523A11">
      <w:pPr>
        <w:pStyle w:val="NormalWeb"/>
        <w:rPr>
          <w:rStyle w:val="markedcontent"/>
        </w:rPr>
      </w:pPr>
      <w:r>
        <w:rPr>
          <w:rStyle w:val="markedcontent"/>
        </w:rPr>
        <w:t xml:space="preserve">On May 18, 2023, in </w:t>
      </w:r>
      <w:r w:rsidRPr="00021EE1">
        <w:rPr>
          <w:rStyle w:val="markedcontent"/>
          <w:u w:val="single"/>
        </w:rPr>
        <w:t xml:space="preserve">Twitter, Inc. v. </w:t>
      </w:r>
      <w:proofErr w:type="spellStart"/>
      <w:r w:rsidRPr="00021EE1">
        <w:rPr>
          <w:rStyle w:val="markedcontent"/>
          <w:u w:val="single"/>
        </w:rPr>
        <w:t>Taamneh</w:t>
      </w:r>
      <w:proofErr w:type="spellEnd"/>
      <w:r w:rsidRPr="00021EE1">
        <w:rPr>
          <w:rStyle w:val="markedcontent"/>
          <w:u w:val="single"/>
        </w:rPr>
        <w:t xml:space="preserve"> et al</w:t>
      </w:r>
      <w:r>
        <w:rPr>
          <w:rStyle w:val="markedcontent"/>
        </w:rPr>
        <w:t>., the U.S. Supreme Court held (9 to 0) in an opinion by Justice Clarence Thomas, that Plaintiffs’ allegations that these social-media companies aided and abetted ISIS in its terrorist attack on the Reina nightclub fail to state</w:t>
      </w:r>
      <w:r w:rsidR="00523A11">
        <w:rPr>
          <w:rStyle w:val="markedcontent"/>
        </w:rPr>
        <w:t xml:space="preserve"> </w:t>
      </w:r>
      <w:r>
        <w:rPr>
          <w:rStyle w:val="markedcontent"/>
        </w:rPr>
        <w:t xml:space="preserve">a claim under 18 U. S. C. §2333(d)(2). </w:t>
      </w:r>
      <w:hyperlink r:id="rId729" w:history="1">
        <w:r w:rsidR="00523A11" w:rsidRPr="00B908DF">
          <w:rPr>
            <w:rStyle w:val="Hyperlink"/>
            <w:rFonts w:eastAsiaTheme="majorEastAsia"/>
          </w:rPr>
          <w:t>https://www.supremecourt.gov/opinions/22pdf/21-1496_d18f.pdf</w:t>
        </w:r>
      </w:hyperlink>
      <w:r w:rsidR="00523A11">
        <w:rPr>
          <w:rStyle w:val="markedcontent"/>
        </w:rPr>
        <w:t xml:space="preserve"> </w:t>
      </w:r>
    </w:p>
    <w:p w14:paraId="58E120EA" w14:textId="679A19EB" w:rsidR="00DC17BF" w:rsidRDefault="00DC17BF" w:rsidP="00DC17BF">
      <w:pPr>
        <w:pStyle w:val="NormalWeb"/>
        <w:rPr>
          <w:rStyle w:val="markedcontent"/>
        </w:rPr>
      </w:pPr>
      <w:r>
        <w:rPr>
          <w:rStyle w:val="markedcontent"/>
        </w:rPr>
        <w:lastRenderedPageBreak/>
        <w:t xml:space="preserve">Justice Thomas wrote: </w:t>
      </w:r>
    </w:p>
    <w:p w14:paraId="4FB88826" w14:textId="77777777" w:rsidR="00DC17BF" w:rsidRDefault="00DC17BF" w:rsidP="00DC17BF">
      <w:pPr>
        <w:pStyle w:val="NormalWeb"/>
        <w:ind w:left="720"/>
        <w:rPr>
          <w:rStyle w:val="markedcontent"/>
        </w:rPr>
      </w:pPr>
      <w:r>
        <w:rPr>
          <w:rStyle w:val="markedcontent"/>
        </w:rPr>
        <w:t xml:space="preserve">“First, the relationship between defendants and the Reina attack is highly attenuated. As noted above, defendants’ platforms are global in scale and allow hundreds of millions (or billions) of people to upload vast quantities of information </w:t>
      </w:r>
      <w:proofErr w:type="gramStart"/>
      <w:r>
        <w:rPr>
          <w:rStyle w:val="markedcontent"/>
        </w:rPr>
        <w:t>on a daily basis</w:t>
      </w:r>
      <w:proofErr w:type="gramEnd"/>
      <w:r>
        <w:rPr>
          <w:rStyle w:val="markedcontent"/>
        </w:rPr>
        <w:t>. Yet, there are no allegations that defendants treated ISIS any differently from anyone else. Rather, defendants’ relationship with ISIS and its supporters appears to have been the same as their relationship with their billion-plus other users: arm’s length, passive, and largely indifferent…. Second, because of the distance between defendants’ acts (or failures to act) and the Reina attack, plaintiffs would need some other very good reason to think that defendants were consciously trying to help or otherwise ‘participate in’ the Reina attack.”</w:t>
      </w:r>
      <w:r w:rsidRPr="00E46EAE">
        <w:t xml:space="preserve"> </w:t>
      </w:r>
      <w:hyperlink r:id="rId730" w:history="1">
        <w:r w:rsidRPr="00B908DF">
          <w:rPr>
            <w:rStyle w:val="Hyperlink"/>
            <w:rFonts w:eastAsiaTheme="majorEastAsia"/>
          </w:rPr>
          <w:t>https://www.supremecourt.gov/opinions/22pdf/21-1496_d18f.pdf</w:t>
        </w:r>
      </w:hyperlink>
      <w:r>
        <w:rPr>
          <w:rStyle w:val="markedcontent"/>
        </w:rPr>
        <w:t xml:space="preserve"> </w:t>
      </w:r>
    </w:p>
    <w:p w14:paraId="3D65002C" w14:textId="77777777" w:rsidR="00DC17BF" w:rsidRPr="00B17836" w:rsidRDefault="00DC17BF" w:rsidP="00DC17BF">
      <w:pPr>
        <w:pStyle w:val="NormalWeb"/>
        <w:rPr>
          <w:rStyle w:val="markedcontent"/>
          <w:b/>
          <w:bCs/>
        </w:rPr>
      </w:pPr>
      <w:r w:rsidRPr="00B17836">
        <w:rPr>
          <w:rStyle w:val="markedcontent"/>
          <w:b/>
          <w:bCs/>
        </w:rPr>
        <w:t xml:space="preserve">Legal Lesson Learned: By unanimous decision, the U.S. Supreme Court held that the social media companies conduct did not constitute aiding or abetting ISIS. </w:t>
      </w:r>
    </w:p>
    <w:p w14:paraId="66C46CA7" w14:textId="77777777" w:rsidR="00DC17BF" w:rsidRDefault="00DC17BF" w:rsidP="00DC17BF">
      <w:pPr>
        <w:pStyle w:val="NormalWeb"/>
        <w:rPr>
          <w:rStyle w:val="markedcontent"/>
        </w:rPr>
      </w:pPr>
    </w:p>
    <w:p w14:paraId="1B2D175F" w14:textId="77777777" w:rsidR="00DC17BF" w:rsidRDefault="00DC17BF" w:rsidP="00F326E5">
      <w:pPr>
        <w:pStyle w:val="NoSpacing"/>
        <w:rPr>
          <w:rFonts w:ascii="Arial Black" w:hAnsi="Arial Black"/>
          <w:sz w:val="28"/>
          <w:szCs w:val="28"/>
        </w:rPr>
      </w:pPr>
    </w:p>
    <w:p w14:paraId="06E5F72F" w14:textId="292C25F4" w:rsidR="003F788B" w:rsidRDefault="003F788B" w:rsidP="00F326E5">
      <w:pPr>
        <w:pStyle w:val="NoSpacing"/>
        <w:rPr>
          <w:rFonts w:ascii="Arial Black" w:hAnsi="Arial Black"/>
          <w:sz w:val="28"/>
          <w:szCs w:val="28"/>
        </w:rPr>
      </w:pPr>
      <w:r>
        <w:rPr>
          <w:rFonts w:ascii="Arial Black" w:hAnsi="Arial Black"/>
          <w:sz w:val="28"/>
          <w:szCs w:val="28"/>
        </w:rPr>
        <w:t>3-5</w:t>
      </w:r>
      <w:r w:rsidR="00ED4EAF">
        <w:rPr>
          <w:rFonts w:ascii="Arial Black" w:hAnsi="Arial Black"/>
          <w:sz w:val="28"/>
          <w:szCs w:val="28"/>
        </w:rPr>
        <w:t>0</w:t>
      </w:r>
    </w:p>
    <w:p w14:paraId="631FF00C" w14:textId="77777777" w:rsidR="003F788B" w:rsidRDefault="003F788B" w:rsidP="003F788B">
      <w:pPr>
        <w:pStyle w:val="NormalWeb"/>
        <w:rPr>
          <w:rFonts w:ascii="Arial Black" w:hAnsi="Arial Black"/>
          <w:sz w:val="28"/>
          <w:szCs w:val="28"/>
        </w:rPr>
      </w:pPr>
      <w:r>
        <w:rPr>
          <w:rFonts w:ascii="Arial Black" w:hAnsi="Arial Black"/>
          <w:sz w:val="28"/>
          <w:szCs w:val="28"/>
        </w:rPr>
        <w:t xml:space="preserve">NY: FDNY FF KILLED ON 9/11 – FAMILY GETS $8.5 MILLION DEFAULT JUDGMENT - ISLAMIC REPUBLIC OF IRAN </w:t>
      </w:r>
    </w:p>
    <w:p w14:paraId="5B48EAF4" w14:textId="77777777" w:rsidR="003F788B" w:rsidRDefault="003F788B" w:rsidP="003F788B">
      <w:pPr>
        <w:pStyle w:val="NormalWeb"/>
      </w:pPr>
      <w:r>
        <w:t xml:space="preserve">On March 28, 2023, in the multidistrict litigation - </w:t>
      </w:r>
      <w:r>
        <w:rPr>
          <w:u w:val="single"/>
        </w:rPr>
        <w:t>In re Terrorist Attacks on September 11, 2001</w:t>
      </w:r>
      <w:r>
        <w:t xml:space="preserve">, in case of </w:t>
      </w:r>
      <w:proofErr w:type="spellStart"/>
      <w:r>
        <w:rPr>
          <w:u w:val="single"/>
        </w:rPr>
        <w:t>Chairnoff</w:t>
      </w:r>
      <w:proofErr w:type="spellEnd"/>
      <w:r>
        <w:rPr>
          <w:u w:val="single"/>
        </w:rPr>
        <w:t xml:space="preserve"> v. Islamic Republic of Iran</w:t>
      </w:r>
      <w:r>
        <w:t xml:space="preserve">, U.S. District Court George B. Daniels, U.S. District Court, Southern District of New York, awarded partial final default judgment to the family of Geoffrey E. Guja, a New York City firefighter who was killed in the terrorist attacks on September 11, 2001. </w:t>
      </w:r>
    </w:p>
    <w:p w14:paraId="176A7061" w14:textId="77777777" w:rsidR="003F788B" w:rsidRDefault="003F788B" w:rsidP="003F788B">
      <w:pPr>
        <w:pStyle w:val="NormalWeb"/>
        <w:ind w:left="720" w:firstLine="60"/>
      </w:pPr>
      <w:r>
        <w:t xml:space="preserve">“Plaintiff now moves for solatium damages on the ground that her close relationship with her stepfather Geoffrey E. Guja, who was killed in the September 11, </w:t>
      </w:r>
      <w:proofErr w:type="gramStart"/>
      <w:r>
        <w:t>2001</w:t>
      </w:r>
      <w:proofErr w:type="gramEnd"/>
      <w:r>
        <w:t xml:space="preserve"> terrorist attacks (‘9/11 Attacks’), merits a finding that she is a functionally equivalent family member of the victim…. Court grant Plaintiffs motion and award Plaintiff $8,500,000 in solatium damages.” </w:t>
      </w:r>
      <w:hyperlink r:id="rId731" w:history="1">
        <w:r>
          <w:rPr>
            <w:rStyle w:val="Hyperlink"/>
          </w:rPr>
          <w:t>https://casetext.com/case/chairnoff-v-islamic-republic-of-iran-in-re-terrorist-attacks</w:t>
        </w:r>
      </w:hyperlink>
      <w:r>
        <w:t xml:space="preserve"> </w:t>
      </w:r>
    </w:p>
    <w:p w14:paraId="6965F5A1" w14:textId="77777777" w:rsidR="003F788B" w:rsidRDefault="003F788B" w:rsidP="003F788B">
      <w:pPr>
        <w:pStyle w:val="paragraph"/>
        <w:ind w:left="720"/>
      </w:pPr>
      <w:r>
        <w:rPr>
          <w:b/>
          <w:bCs/>
        </w:rPr>
        <w:t>“ORDERED</w:t>
      </w:r>
      <w:r>
        <w:t xml:space="preserve"> that Plaintiff Jamie K. Hawkins be awarded $8,500,000 for solatium damages; and it is </w:t>
      </w:r>
    </w:p>
    <w:p w14:paraId="078D0AC4" w14:textId="77777777" w:rsidR="003F788B" w:rsidRDefault="003F788B" w:rsidP="003F788B">
      <w:pPr>
        <w:pStyle w:val="paragraph"/>
        <w:ind w:left="720"/>
      </w:pPr>
      <w:r>
        <w:rPr>
          <w:b/>
          <w:bCs/>
        </w:rPr>
        <w:t>ORDERED</w:t>
      </w:r>
      <w:r>
        <w:t xml:space="preserve"> that prejudgment interest is awarded at a rate of 4.96 percent per annum, all interest compounded annually for the period from September 11, </w:t>
      </w:r>
      <w:proofErr w:type="gramStart"/>
      <w:r>
        <w:t>2001</w:t>
      </w:r>
      <w:proofErr w:type="gramEnd"/>
      <w:r>
        <w:t xml:space="preserve"> until the date of the judgment for damages; and it is </w:t>
      </w:r>
    </w:p>
    <w:p w14:paraId="48E2BC8C" w14:textId="77777777" w:rsidR="003F788B" w:rsidRDefault="003F788B" w:rsidP="003F788B">
      <w:pPr>
        <w:pStyle w:val="paragraph"/>
        <w:ind w:left="720"/>
      </w:pPr>
      <w:r>
        <w:rPr>
          <w:b/>
          <w:bCs/>
        </w:rPr>
        <w:t>ORDERED</w:t>
      </w:r>
      <w:r>
        <w:t xml:space="preserve"> that Plaintiffs not appearing on this motion and who were not previously awarded damages may submit in later stages applications for punitive, economic, and/or other damages awards that may be approved on the same basis as currently approved for this Plaintiff or in prior filings.” </w:t>
      </w:r>
    </w:p>
    <w:p w14:paraId="3D681B4E" w14:textId="77777777" w:rsidR="003F788B" w:rsidRPr="004C17A1" w:rsidRDefault="003F788B" w:rsidP="003F788B">
      <w:pPr>
        <w:pStyle w:val="NormalWeb"/>
        <w:rPr>
          <w:b/>
          <w:bCs/>
        </w:rPr>
      </w:pPr>
      <w:r>
        <w:rPr>
          <w:b/>
          <w:bCs/>
        </w:rPr>
        <w:t xml:space="preserve">Legal Lesson Learned:  Hopefully the family of this fallen firefighter can now find assets of the Islamic Republic of Iran which can be seized to pay off this judgment. </w:t>
      </w:r>
    </w:p>
    <w:p w14:paraId="2D424A0F" w14:textId="77777777" w:rsidR="003F788B" w:rsidRDefault="003F788B" w:rsidP="00F326E5">
      <w:pPr>
        <w:pStyle w:val="NoSpacing"/>
        <w:rPr>
          <w:rFonts w:ascii="Arial Black" w:hAnsi="Arial Black"/>
          <w:sz w:val="28"/>
          <w:szCs w:val="28"/>
        </w:rPr>
      </w:pPr>
    </w:p>
    <w:p w14:paraId="57AE8773" w14:textId="77777777" w:rsidR="003F788B" w:rsidRDefault="003F788B" w:rsidP="00F326E5">
      <w:pPr>
        <w:pStyle w:val="NoSpacing"/>
        <w:rPr>
          <w:rFonts w:ascii="Arial Black" w:hAnsi="Arial Black"/>
          <w:sz w:val="28"/>
          <w:szCs w:val="28"/>
        </w:rPr>
      </w:pPr>
    </w:p>
    <w:p w14:paraId="580851E1" w14:textId="77777777" w:rsidR="003F788B" w:rsidRDefault="003F788B" w:rsidP="00F326E5">
      <w:pPr>
        <w:pStyle w:val="NoSpacing"/>
        <w:rPr>
          <w:rFonts w:ascii="Arial Black" w:hAnsi="Arial Black"/>
          <w:sz w:val="28"/>
          <w:szCs w:val="28"/>
        </w:rPr>
      </w:pPr>
    </w:p>
    <w:p w14:paraId="1616435F" w14:textId="77777777" w:rsidR="003F788B" w:rsidRDefault="003F788B" w:rsidP="00F326E5">
      <w:pPr>
        <w:pStyle w:val="NoSpacing"/>
        <w:rPr>
          <w:rFonts w:ascii="Arial Black" w:hAnsi="Arial Black"/>
          <w:sz w:val="28"/>
          <w:szCs w:val="28"/>
        </w:rPr>
      </w:pPr>
    </w:p>
    <w:p w14:paraId="27DBB88B" w14:textId="16B94DD3" w:rsidR="00AE32D3" w:rsidRDefault="00AB637D" w:rsidP="00F326E5">
      <w:pPr>
        <w:pStyle w:val="NoSpacing"/>
        <w:rPr>
          <w:rFonts w:ascii="Arial Black" w:hAnsi="Arial Black"/>
          <w:sz w:val="28"/>
          <w:szCs w:val="28"/>
        </w:rPr>
      </w:pPr>
      <w:r>
        <w:rPr>
          <w:rFonts w:ascii="Arial Black" w:hAnsi="Arial Black"/>
          <w:sz w:val="28"/>
          <w:szCs w:val="28"/>
        </w:rPr>
        <w:t>3-</w:t>
      </w:r>
      <w:r w:rsidR="00ED4EAF">
        <w:rPr>
          <w:rFonts w:ascii="Arial Black" w:hAnsi="Arial Black"/>
          <w:sz w:val="28"/>
          <w:szCs w:val="28"/>
        </w:rPr>
        <w:t>49</w:t>
      </w:r>
    </w:p>
    <w:p w14:paraId="1B102B84" w14:textId="77777777" w:rsidR="00AB637D" w:rsidRDefault="00AB637D" w:rsidP="00AB637D">
      <w:pPr>
        <w:pStyle w:val="NormalWeb"/>
        <w:rPr>
          <w:rFonts w:ascii="Arial Black" w:hAnsi="Arial Black"/>
          <w:sz w:val="28"/>
          <w:szCs w:val="28"/>
        </w:rPr>
      </w:pPr>
      <w:r>
        <w:rPr>
          <w:rFonts w:ascii="Arial Black" w:hAnsi="Arial Black"/>
          <w:sz w:val="28"/>
          <w:szCs w:val="28"/>
        </w:rPr>
        <w:t>MD: ACTIVE SHOOTER - TEMP EMPLOYEE KILLED 3, INJURED 3 - WAREHOUSE &amp; TEMP CO. NO PRIOR WARNING</w:t>
      </w:r>
    </w:p>
    <w:p w14:paraId="56622F42" w14:textId="77777777" w:rsidR="00AB637D" w:rsidRDefault="00AB637D" w:rsidP="00AB637D">
      <w:pPr>
        <w:pStyle w:val="NormalWeb"/>
      </w:pPr>
      <w:r>
        <w:t xml:space="preserve">On March 2, 2023, in </w:t>
      </w:r>
      <w:proofErr w:type="spellStart"/>
      <w:r w:rsidRPr="00E84230">
        <w:rPr>
          <w:u w:val="single"/>
        </w:rPr>
        <w:t>Haissaun</w:t>
      </w:r>
      <w:proofErr w:type="spellEnd"/>
      <w:r w:rsidRPr="00E84230">
        <w:rPr>
          <w:u w:val="single"/>
        </w:rPr>
        <w:t xml:space="preserve"> Mitchell. </w:t>
      </w:r>
      <w:r>
        <w:rPr>
          <w:u w:val="single"/>
        </w:rPr>
        <w:t>e</w:t>
      </w:r>
      <w:r w:rsidRPr="00E84230">
        <w:rPr>
          <w:u w:val="single"/>
        </w:rPr>
        <w:t>t al. v. Rite Aid of Maryland, et al</w:t>
      </w:r>
      <w:r>
        <w:t>., Court of Special Appeals of Maryland held (3 to 0) that the Rite Aid Distribution Center and the Temp company that hired her had no prior warning that the temp employee, who had only worked eight shifts, was going to be an active shooter when she tried to cut in line to clock in and fellow workers stopped her.  Three co-workers who survived the shooting (all from Mitchell family) were all covered by workers comp. and then sued for damages.  Court ruled: “</w:t>
      </w:r>
      <w:r w:rsidRPr="00D81AE3">
        <w:rPr>
          <w:rStyle w:val="markedcontent"/>
        </w:rPr>
        <w:t xml:space="preserve">It is a somber and sobering fact that the steady increase in the number of </w:t>
      </w:r>
      <w:proofErr w:type="gramStart"/>
      <w:r w:rsidRPr="00D81AE3">
        <w:rPr>
          <w:rStyle w:val="markedcontent"/>
        </w:rPr>
        <w:t>mass</w:t>
      </w:r>
      <w:proofErr w:type="gramEnd"/>
      <w:r>
        <w:rPr>
          <w:rStyle w:val="markedcontent"/>
        </w:rPr>
        <w:t xml:space="preserve"> </w:t>
      </w:r>
      <w:r w:rsidRPr="00D81AE3">
        <w:rPr>
          <w:rStyle w:val="markedcontent"/>
        </w:rPr>
        <w:t>shootings1 has impelled both public and private organizations to begin considering security</w:t>
      </w:r>
      <w:r>
        <w:rPr>
          <w:rStyle w:val="markedcontent"/>
        </w:rPr>
        <w:t xml:space="preserve"> </w:t>
      </w:r>
      <w:r w:rsidRPr="00D81AE3">
        <w:rPr>
          <w:rStyle w:val="markedcontent"/>
        </w:rPr>
        <w:t>measures responsive to that risk.</w:t>
      </w:r>
      <w:r>
        <w:rPr>
          <w:rStyle w:val="markedcontent"/>
        </w:rPr>
        <w:t xml:space="preserve"> </w:t>
      </w:r>
      <w:r w:rsidRPr="00D81AE3">
        <w:rPr>
          <w:rStyle w:val="markedcontent"/>
        </w:rPr>
        <w:t>This appeal arises out of the tragic mass shooting that</w:t>
      </w:r>
      <w:r>
        <w:rPr>
          <w:rStyle w:val="markedcontent"/>
        </w:rPr>
        <w:t xml:space="preserve"> </w:t>
      </w:r>
      <w:r w:rsidRPr="00D81AE3">
        <w:rPr>
          <w:rStyle w:val="markedcontent"/>
        </w:rPr>
        <w:t>occurred on September 20, 2018, at a warehouse facility leased by appellee, Rite Aid of</w:t>
      </w:r>
      <w:r>
        <w:rPr>
          <w:rStyle w:val="markedcontent"/>
        </w:rPr>
        <w:t xml:space="preserve"> </w:t>
      </w:r>
      <w:r w:rsidRPr="00D81AE3">
        <w:rPr>
          <w:rStyle w:val="markedcontent"/>
        </w:rPr>
        <w:t>Maryland, Inc. (</w:t>
      </w:r>
      <w:r>
        <w:rPr>
          <w:rStyle w:val="markedcontent"/>
        </w:rPr>
        <w:t>‘</w:t>
      </w:r>
      <w:r w:rsidRPr="00D81AE3">
        <w:rPr>
          <w:rStyle w:val="markedcontent"/>
        </w:rPr>
        <w:t>Rite Aid</w:t>
      </w:r>
      <w:r>
        <w:rPr>
          <w:rStyle w:val="markedcontent"/>
        </w:rPr>
        <w:t>’</w:t>
      </w:r>
      <w:r w:rsidRPr="00D81AE3">
        <w:rPr>
          <w:rStyle w:val="markedcontent"/>
        </w:rPr>
        <w:t xml:space="preserve">) in Aberdeen, Maryland. The shooter, </w:t>
      </w:r>
      <w:proofErr w:type="spellStart"/>
      <w:r w:rsidRPr="00D81AE3">
        <w:rPr>
          <w:rStyle w:val="markedcontent"/>
        </w:rPr>
        <w:t>Snochia</w:t>
      </w:r>
      <w:proofErr w:type="spellEnd"/>
      <w:r w:rsidRPr="00D81AE3">
        <w:rPr>
          <w:rStyle w:val="markedcontent"/>
        </w:rPr>
        <w:t xml:space="preserve"> </w:t>
      </w:r>
      <w:proofErr w:type="gramStart"/>
      <w:r w:rsidRPr="00D81AE3">
        <w:rPr>
          <w:rStyle w:val="markedcontent"/>
        </w:rPr>
        <w:t>Moseley</w:t>
      </w:r>
      <w:r>
        <w:rPr>
          <w:rStyle w:val="markedcontent"/>
        </w:rPr>
        <w:t xml:space="preserve"> </w:t>
      </w:r>
      <w:r w:rsidRPr="00D81AE3">
        <w:rPr>
          <w:rStyle w:val="markedcontent"/>
        </w:rPr>
        <w:t>(</w:t>
      </w:r>
      <w:r>
        <w:rPr>
          <w:rStyle w:val="markedcontent"/>
        </w:rPr>
        <w:t>‘</w:t>
      </w:r>
      <w:proofErr w:type="gramEnd"/>
      <w:r w:rsidRPr="00D81AE3">
        <w:rPr>
          <w:rStyle w:val="markedcontent"/>
        </w:rPr>
        <w:t>Moseley</w:t>
      </w:r>
      <w:r>
        <w:rPr>
          <w:rStyle w:val="markedcontent"/>
        </w:rPr>
        <w:t>’</w:t>
      </w:r>
      <w:r w:rsidRPr="00D81AE3">
        <w:rPr>
          <w:rStyle w:val="markedcontent"/>
        </w:rPr>
        <w:t xml:space="preserve">), was an employee of appellee, Abacus </w:t>
      </w:r>
      <w:proofErr w:type="gramStart"/>
      <w:r w:rsidRPr="00D81AE3">
        <w:rPr>
          <w:rStyle w:val="markedcontent"/>
        </w:rPr>
        <w:t>Corporation (</w:t>
      </w:r>
      <w:r>
        <w:rPr>
          <w:rStyle w:val="markedcontent"/>
        </w:rPr>
        <w:t>‘</w:t>
      </w:r>
      <w:proofErr w:type="gramEnd"/>
      <w:r w:rsidRPr="00D81AE3">
        <w:rPr>
          <w:rStyle w:val="markedcontent"/>
        </w:rPr>
        <w:t>Abacus</w:t>
      </w:r>
      <w:r>
        <w:rPr>
          <w:rStyle w:val="markedcontent"/>
        </w:rPr>
        <w:t>’</w:t>
      </w:r>
      <w:r w:rsidRPr="00D81AE3">
        <w:rPr>
          <w:rStyle w:val="markedcontent"/>
        </w:rPr>
        <w:t>), temporarily</w:t>
      </w:r>
      <w:r>
        <w:rPr>
          <w:rStyle w:val="markedcontent"/>
        </w:rPr>
        <w:t xml:space="preserve"> </w:t>
      </w:r>
      <w:r w:rsidRPr="00D81AE3">
        <w:rPr>
          <w:rStyle w:val="markedcontent"/>
        </w:rPr>
        <w:t>assigned to work in Rite Aid’s facility. On the day in question, Moseley gained access to the facility using her ID badge and proceeded to open fire on her coworkers, killing three</w:t>
      </w:r>
      <w:r>
        <w:rPr>
          <w:rStyle w:val="markedcontent"/>
        </w:rPr>
        <w:t xml:space="preserve"> </w:t>
      </w:r>
      <w:r w:rsidRPr="00D81AE3">
        <w:rPr>
          <w:rStyle w:val="markedcontent"/>
        </w:rPr>
        <w:t>and wounding three more.</w:t>
      </w:r>
      <w:r>
        <w:rPr>
          <w:rStyle w:val="markedcontent"/>
        </w:rPr>
        <w:t xml:space="preserve"> *** </w:t>
      </w:r>
      <w:r w:rsidRPr="00D81AE3">
        <w:rPr>
          <w:rStyle w:val="markedcontent"/>
        </w:rPr>
        <w:t>We affirm</w:t>
      </w:r>
      <w:r>
        <w:rPr>
          <w:rStyle w:val="markedcontent"/>
        </w:rPr>
        <w:t xml:space="preserve"> … </w:t>
      </w:r>
      <w:r w:rsidRPr="00D81AE3">
        <w:rPr>
          <w:rStyle w:val="markedcontent"/>
        </w:rPr>
        <w:t>the circuit court’s alternative grant of summary judgment in</w:t>
      </w:r>
      <w:r>
        <w:rPr>
          <w:rStyle w:val="markedcontent"/>
        </w:rPr>
        <w:t xml:space="preserve"> </w:t>
      </w:r>
      <w:r w:rsidRPr="00D81AE3">
        <w:rPr>
          <w:rStyle w:val="markedcontent"/>
        </w:rPr>
        <w:t>favor of Rite Aid on the Mitchells’ premises liability claim because the Mitchells failed to present any admissible evidence establishing that Moseley’s tragic shooting spree was</w:t>
      </w:r>
      <w:r>
        <w:rPr>
          <w:rStyle w:val="markedcontent"/>
        </w:rPr>
        <w:t xml:space="preserve"> </w:t>
      </w:r>
      <w:r w:rsidRPr="00D81AE3">
        <w:rPr>
          <w:rStyle w:val="markedcontent"/>
        </w:rPr>
        <w:t>foreseeable.</w:t>
      </w:r>
      <w:r>
        <w:rPr>
          <w:rStyle w:val="markedcontent"/>
        </w:rPr>
        <w:t xml:space="preserve"> *** </w:t>
      </w:r>
      <w:r w:rsidRPr="00F014DB">
        <w:rPr>
          <w:rStyle w:val="markedcontent"/>
        </w:rPr>
        <w:t>We caution that this opinion should not be read to suggest that mass shootings are</w:t>
      </w:r>
      <w:r>
        <w:rPr>
          <w:rStyle w:val="markedcontent"/>
        </w:rPr>
        <w:t xml:space="preserve"> </w:t>
      </w:r>
      <w:r w:rsidRPr="00F014DB">
        <w:rPr>
          <w:rStyle w:val="markedcontent"/>
        </w:rPr>
        <w:t>unforeseeable as a matter of law. As grim statistics and the development of the law in our</w:t>
      </w:r>
      <w:r>
        <w:rPr>
          <w:rStyle w:val="markedcontent"/>
        </w:rPr>
        <w:t xml:space="preserve"> </w:t>
      </w:r>
      <w:r w:rsidRPr="00F014DB">
        <w:rPr>
          <w:rStyle w:val="markedcontent"/>
        </w:rPr>
        <w:t>sister states foreshadow, the standards of care surrounding a business owner’s duty to</w:t>
      </w:r>
      <w:r>
        <w:rPr>
          <w:rStyle w:val="markedcontent"/>
        </w:rPr>
        <w:t xml:space="preserve"> </w:t>
      </w:r>
      <w:r w:rsidRPr="00F014DB">
        <w:rPr>
          <w:rStyle w:val="markedcontent"/>
        </w:rPr>
        <w:t xml:space="preserve">protect invitees from gun violence are not static and will continue to evolve </w:t>
      </w:r>
      <w:proofErr w:type="gramStart"/>
      <w:r w:rsidRPr="00F014DB">
        <w:rPr>
          <w:rStyle w:val="markedcontent"/>
        </w:rPr>
        <w:t>in light of</w:t>
      </w:r>
      <w:proofErr w:type="gramEnd"/>
      <w:r>
        <w:rPr>
          <w:rStyle w:val="markedcontent"/>
        </w:rPr>
        <w:t xml:space="preserve"> ‘</w:t>
      </w:r>
      <w:r w:rsidRPr="00F014DB">
        <w:rPr>
          <w:rStyle w:val="markedcontent"/>
        </w:rPr>
        <w:t>common sense perceptions of the risks created by various conditions and circumstances.</w:t>
      </w:r>
      <w:r>
        <w:rPr>
          <w:rStyle w:val="markedcontent"/>
        </w:rPr>
        <w:t xml:space="preserve">’ </w:t>
      </w:r>
      <w:r w:rsidRPr="00F014DB">
        <w:rPr>
          <w:rStyle w:val="markedcontent"/>
        </w:rPr>
        <w:t>Axelrod v. Cinemark Holdings, Inc., 65 F. Supp. 3d 1093, 1100 (D. Colo. 2014) (quoting</w:t>
      </w:r>
      <w:r>
        <w:rPr>
          <w:rStyle w:val="markedcontent"/>
        </w:rPr>
        <w:t xml:space="preserve"> </w:t>
      </w:r>
      <w:r w:rsidRPr="00F014DB">
        <w:rPr>
          <w:rStyle w:val="markedcontent"/>
        </w:rPr>
        <w:t>Taco Bell, Inc. v. Lannon, 744 P.2d 43, 48 (Colo. 1987)).</w:t>
      </w:r>
      <w:r>
        <w:rPr>
          <w:rStyle w:val="markedcontent"/>
        </w:rPr>
        <w:t xml:space="preserve">” </w:t>
      </w:r>
      <w:hyperlink r:id="rId732" w:history="1">
        <w:r w:rsidRPr="006D212A">
          <w:rPr>
            <w:rStyle w:val="Hyperlink"/>
            <w:rFonts w:eastAsiaTheme="majorEastAsia"/>
          </w:rPr>
          <w:t>https://mdcourts.gov/data/opinions/cosa/2023/0021s22.pdf</w:t>
        </w:r>
      </w:hyperlink>
      <w:r>
        <w:t xml:space="preserve"> </w:t>
      </w:r>
    </w:p>
    <w:p w14:paraId="0FBBDBAF" w14:textId="77777777" w:rsidR="00AB637D" w:rsidRPr="00F014DB" w:rsidRDefault="00AB637D" w:rsidP="00AB637D">
      <w:pPr>
        <w:pStyle w:val="NormalWeb"/>
        <w:ind w:left="720"/>
      </w:pPr>
      <w:r>
        <w:rPr>
          <w:rStyle w:val="markedcontent"/>
        </w:rPr>
        <w:t>“</w:t>
      </w:r>
      <w:proofErr w:type="spellStart"/>
      <w:r w:rsidRPr="00F014DB">
        <w:rPr>
          <w:rStyle w:val="markedcontent"/>
        </w:rPr>
        <w:t>Snochia</w:t>
      </w:r>
      <w:proofErr w:type="spellEnd"/>
      <w:r w:rsidRPr="00F014DB">
        <w:rPr>
          <w:rStyle w:val="markedcontent"/>
        </w:rPr>
        <w:t xml:space="preserve"> Moseley was a temporary worker at the Rite Aid Distribution Center in</w:t>
      </w:r>
      <w:r w:rsidRPr="00F014DB">
        <w:br/>
      </w:r>
      <w:r w:rsidRPr="00F014DB">
        <w:rPr>
          <w:rStyle w:val="markedcontent"/>
        </w:rPr>
        <w:t>Aberdeen, Maryland. Prior to September 20, 2018, she had only worked approximately</w:t>
      </w:r>
      <w:r w:rsidRPr="00F014DB">
        <w:br/>
      </w:r>
      <w:r w:rsidRPr="00F014DB">
        <w:rPr>
          <w:rStyle w:val="markedcontent"/>
        </w:rPr>
        <w:t>eight shifts at the facility. On that fateful September morning, Moseley reportedly agitated</w:t>
      </w:r>
      <w:r>
        <w:rPr>
          <w:rStyle w:val="markedcontent"/>
        </w:rPr>
        <w:t xml:space="preserve"> </w:t>
      </w:r>
      <w:r w:rsidRPr="00F014DB">
        <w:rPr>
          <w:rStyle w:val="markedcontent"/>
        </w:rPr>
        <w:t>other workers when she cut in front of them to check into work. She then left the facility</w:t>
      </w:r>
      <w:r>
        <w:rPr>
          <w:rStyle w:val="markedcontent"/>
        </w:rPr>
        <w:t xml:space="preserve"> </w:t>
      </w:r>
      <w:r w:rsidRPr="00F014DB">
        <w:rPr>
          <w:rStyle w:val="markedcontent"/>
        </w:rPr>
        <w:t>for a brief period and returned with a handgun.</w:t>
      </w:r>
      <w:r>
        <w:rPr>
          <w:rStyle w:val="markedcontent"/>
        </w:rPr>
        <w:t xml:space="preserve"> </w:t>
      </w:r>
      <w:r w:rsidRPr="00F014DB">
        <w:rPr>
          <w:rStyle w:val="markedcontent"/>
        </w:rPr>
        <w:t>At approximately 9:00 a.m., Moseley re-entered the Rite Aid Distribution Center’s</w:t>
      </w:r>
      <w:r>
        <w:rPr>
          <w:rStyle w:val="markedcontent"/>
        </w:rPr>
        <w:t xml:space="preserve"> </w:t>
      </w:r>
      <w:r w:rsidRPr="00F014DB">
        <w:rPr>
          <w:rStyle w:val="markedcontent"/>
        </w:rPr>
        <w:t>perimeter gate using her access badge. After parking her car, she got out and opened fire</w:t>
      </w:r>
      <w:r>
        <w:rPr>
          <w:rStyle w:val="markedcontent"/>
        </w:rPr>
        <w:t xml:space="preserve"> </w:t>
      </w:r>
      <w:r w:rsidRPr="00F014DB">
        <w:rPr>
          <w:rStyle w:val="markedcontent"/>
        </w:rPr>
        <w:t>on a group of workers congregated outside the building. Moseley proceeded to enter the</w:t>
      </w:r>
      <w:r>
        <w:rPr>
          <w:rStyle w:val="markedcontent"/>
        </w:rPr>
        <w:t xml:space="preserve"> </w:t>
      </w:r>
      <w:r w:rsidRPr="00F014DB">
        <w:rPr>
          <w:rStyle w:val="markedcontent"/>
        </w:rPr>
        <w:t xml:space="preserve">building through the front entrance and into the break room, where </w:t>
      </w:r>
      <w:proofErr w:type="spellStart"/>
      <w:r w:rsidRPr="00F014DB">
        <w:rPr>
          <w:rStyle w:val="markedcontent"/>
        </w:rPr>
        <w:t>Haissaun</w:t>
      </w:r>
      <w:proofErr w:type="spellEnd"/>
      <w:r w:rsidRPr="00F014DB">
        <w:rPr>
          <w:rStyle w:val="markedcontent"/>
        </w:rPr>
        <w:t xml:space="preserve"> and Shyheim</w:t>
      </w:r>
      <w:r>
        <w:rPr>
          <w:rStyle w:val="markedcontent"/>
        </w:rPr>
        <w:t xml:space="preserve"> [Mitchell] </w:t>
      </w:r>
      <w:r w:rsidRPr="00F014DB">
        <w:rPr>
          <w:rStyle w:val="markedcontent"/>
        </w:rPr>
        <w:t>were taking their break. *** Moseley’s deadly assault occurred within a span of five minutes. Harford County</w:t>
      </w:r>
      <w:r>
        <w:rPr>
          <w:rStyle w:val="markedcontent"/>
        </w:rPr>
        <w:t xml:space="preserve"> </w:t>
      </w:r>
      <w:r w:rsidRPr="00F014DB">
        <w:rPr>
          <w:rStyle w:val="markedcontent"/>
        </w:rPr>
        <w:t>Sheriff’s Office deputies, Maryland State Police, and EMS personnel began responding to</w:t>
      </w:r>
      <w:r>
        <w:rPr>
          <w:rStyle w:val="markedcontent"/>
        </w:rPr>
        <w:t xml:space="preserve"> </w:t>
      </w:r>
      <w:r w:rsidRPr="00F014DB">
        <w:rPr>
          <w:rStyle w:val="markedcontent"/>
        </w:rPr>
        <w:t>the active shooter situation at 9:11 a.m., but by that time six victims had been shot by</w:t>
      </w:r>
      <w:r>
        <w:rPr>
          <w:rStyle w:val="markedcontent"/>
        </w:rPr>
        <w:t xml:space="preserve"> </w:t>
      </w:r>
      <w:r w:rsidRPr="00F014DB">
        <w:rPr>
          <w:rStyle w:val="markedcontent"/>
        </w:rPr>
        <w:t>Moseley, three of whom ultimately died. Moseley was found at the scene by Harford</w:t>
      </w:r>
      <w:r>
        <w:rPr>
          <w:rStyle w:val="markedcontent"/>
        </w:rPr>
        <w:t xml:space="preserve"> </w:t>
      </w:r>
      <w:r w:rsidRPr="00F014DB">
        <w:rPr>
          <w:rStyle w:val="markedcontent"/>
        </w:rPr>
        <w:t>County law enforcement officers with a self-inflicted gunshot wound to the head.</w:t>
      </w:r>
      <w:r>
        <w:rPr>
          <w:rStyle w:val="markedcontent"/>
        </w:rPr>
        <w:t>”</w:t>
      </w:r>
    </w:p>
    <w:p w14:paraId="34E780D9" w14:textId="77777777" w:rsidR="00AB637D" w:rsidRPr="00CD32F9" w:rsidRDefault="00AB637D" w:rsidP="00AB637D">
      <w:pPr>
        <w:pStyle w:val="NormalWeb"/>
        <w:rPr>
          <w:b/>
          <w:bCs/>
        </w:rPr>
      </w:pPr>
      <w:r w:rsidRPr="00CD32F9">
        <w:rPr>
          <w:b/>
          <w:bCs/>
        </w:rPr>
        <w:t>Legal Lesson Learned:</w:t>
      </w:r>
      <w:r>
        <w:rPr>
          <w:b/>
          <w:bCs/>
        </w:rPr>
        <w:t xml:space="preserve"> The Temp company that hired the shooter wisely had conducted a state &amp; federal criminal history and administered a drug test. </w:t>
      </w:r>
    </w:p>
    <w:p w14:paraId="1541DEE1" w14:textId="77777777" w:rsidR="00AB637D" w:rsidRDefault="00AB637D" w:rsidP="00F326E5">
      <w:pPr>
        <w:pStyle w:val="NoSpacing"/>
        <w:rPr>
          <w:rFonts w:ascii="Arial Black" w:hAnsi="Arial Black"/>
          <w:sz w:val="28"/>
          <w:szCs w:val="28"/>
        </w:rPr>
      </w:pPr>
    </w:p>
    <w:p w14:paraId="42A60440" w14:textId="77777777" w:rsidR="00AB637D" w:rsidRDefault="00AB637D" w:rsidP="00F326E5">
      <w:pPr>
        <w:pStyle w:val="NoSpacing"/>
        <w:rPr>
          <w:rFonts w:ascii="Arial Black" w:hAnsi="Arial Black"/>
          <w:sz w:val="28"/>
          <w:szCs w:val="28"/>
        </w:rPr>
      </w:pPr>
    </w:p>
    <w:p w14:paraId="29362A6D" w14:textId="77777777" w:rsidR="00AB637D" w:rsidRDefault="00AB637D" w:rsidP="00F326E5">
      <w:pPr>
        <w:pStyle w:val="NoSpacing"/>
        <w:rPr>
          <w:rFonts w:ascii="Arial Black" w:hAnsi="Arial Black"/>
          <w:sz w:val="28"/>
          <w:szCs w:val="28"/>
        </w:rPr>
      </w:pPr>
    </w:p>
    <w:p w14:paraId="4A796064" w14:textId="77777777" w:rsidR="007959C9" w:rsidRDefault="007959C9" w:rsidP="00F326E5">
      <w:pPr>
        <w:pStyle w:val="NoSpacing"/>
        <w:rPr>
          <w:rFonts w:ascii="Arial Black" w:hAnsi="Arial Black"/>
          <w:sz w:val="28"/>
          <w:szCs w:val="28"/>
        </w:rPr>
      </w:pPr>
    </w:p>
    <w:p w14:paraId="2BECF44C" w14:textId="3C64D396" w:rsidR="007959C9" w:rsidRDefault="007959C9" w:rsidP="00F326E5">
      <w:pPr>
        <w:pStyle w:val="NoSpacing"/>
        <w:rPr>
          <w:rFonts w:ascii="Arial Black" w:hAnsi="Arial Black"/>
          <w:sz w:val="28"/>
          <w:szCs w:val="28"/>
        </w:rPr>
      </w:pPr>
    </w:p>
    <w:p w14:paraId="03160261" w14:textId="7D073F12" w:rsidR="007959C9" w:rsidRDefault="007959C9" w:rsidP="00F326E5">
      <w:pPr>
        <w:pStyle w:val="NoSpacing"/>
        <w:rPr>
          <w:rFonts w:ascii="Arial Black" w:hAnsi="Arial Black"/>
          <w:sz w:val="28"/>
          <w:szCs w:val="28"/>
        </w:rPr>
      </w:pPr>
      <w:r>
        <w:rPr>
          <w:rFonts w:ascii="Arial Black" w:hAnsi="Arial Black"/>
          <w:sz w:val="28"/>
          <w:szCs w:val="28"/>
        </w:rPr>
        <w:t>3-48</w:t>
      </w:r>
    </w:p>
    <w:p w14:paraId="7D0B38BC" w14:textId="77777777" w:rsidR="007959C9" w:rsidRDefault="007959C9" w:rsidP="00F326E5">
      <w:pPr>
        <w:pStyle w:val="NoSpacing"/>
        <w:rPr>
          <w:rFonts w:ascii="Arial Black" w:hAnsi="Arial Black"/>
          <w:sz w:val="28"/>
          <w:szCs w:val="28"/>
        </w:rPr>
      </w:pPr>
    </w:p>
    <w:p w14:paraId="79D92486" w14:textId="77777777" w:rsidR="007959C9" w:rsidRDefault="007959C9" w:rsidP="007959C9">
      <w:pPr>
        <w:pStyle w:val="Heading1"/>
        <w:rPr>
          <w:rFonts w:ascii="Arial Black" w:hAnsi="Arial Black"/>
          <w:sz w:val="28"/>
          <w:szCs w:val="28"/>
        </w:rPr>
      </w:pPr>
      <w:r>
        <w:rPr>
          <w:rFonts w:ascii="Arial Black" w:hAnsi="Arial Black"/>
          <w:sz w:val="28"/>
          <w:szCs w:val="28"/>
        </w:rPr>
        <w:t>NY: NEW CONCEALED CARRY LAW – U.S. SUP. COURT TEMP. NOT BLOCKING – AWAIT 2</w:t>
      </w:r>
      <w:r w:rsidRPr="00150F15">
        <w:rPr>
          <w:rFonts w:ascii="Arial Black" w:hAnsi="Arial Black"/>
          <w:sz w:val="28"/>
          <w:szCs w:val="28"/>
          <w:vertAlign w:val="superscript"/>
        </w:rPr>
        <w:t>nd</w:t>
      </w:r>
      <w:r>
        <w:rPr>
          <w:rFonts w:ascii="Arial Black" w:hAnsi="Arial Black"/>
          <w:sz w:val="28"/>
          <w:szCs w:val="28"/>
        </w:rPr>
        <w:t xml:space="preserve"> CIRCUIT DECISION</w:t>
      </w:r>
    </w:p>
    <w:p w14:paraId="1A5B0ECF" w14:textId="77777777" w:rsidR="007959C9" w:rsidRDefault="007959C9" w:rsidP="007959C9">
      <w:pPr>
        <w:pStyle w:val="Heading1"/>
        <w:rPr>
          <w:b w:val="0"/>
          <w:bCs w:val="0"/>
          <w:sz w:val="24"/>
          <w:szCs w:val="24"/>
        </w:rPr>
      </w:pPr>
      <w:r w:rsidRPr="00327308">
        <w:rPr>
          <w:b w:val="0"/>
          <w:bCs w:val="0"/>
          <w:sz w:val="24"/>
          <w:szCs w:val="24"/>
        </w:rPr>
        <w:t xml:space="preserve">On </w:t>
      </w:r>
      <w:r>
        <w:rPr>
          <w:b w:val="0"/>
          <w:bCs w:val="0"/>
          <w:sz w:val="24"/>
          <w:szCs w:val="24"/>
        </w:rPr>
        <w:t xml:space="preserve">Jan. 11, 2023, in </w:t>
      </w:r>
      <w:r w:rsidRPr="00327308">
        <w:rPr>
          <w:b w:val="0"/>
          <w:bCs w:val="0"/>
          <w:sz w:val="24"/>
          <w:szCs w:val="24"/>
          <w:u w:val="single"/>
        </w:rPr>
        <w:t>Ivan Antonyuk, et al. v. Steven Nigrelli, In His Official Capacity As Acting Superintendent of New York State Police, et al</w:t>
      </w:r>
      <w:r>
        <w:rPr>
          <w:b w:val="0"/>
          <w:bCs w:val="0"/>
          <w:sz w:val="24"/>
          <w:szCs w:val="24"/>
        </w:rPr>
        <w:t>., the U.S. Supreme Court issued an order that keeps State of New York’s new “Concealed Carry Improvement Act” (July 1, 2022) in effect while the U.S. Court of Appeals for 2</w:t>
      </w:r>
      <w:r w:rsidRPr="00327308">
        <w:rPr>
          <w:b w:val="0"/>
          <w:bCs w:val="0"/>
          <w:sz w:val="24"/>
          <w:szCs w:val="24"/>
          <w:vertAlign w:val="superscript"/>
        </w:rPr>
        <w:t>nd</w:t>
      </w:r>
      <w:r>
        <w:rPr>
          <w:b w:val="0"/>
          <w:bCs w:val="0"/>
          <w:sz w:val="24"/>
          <w:szCs w:val="24"/>
        </w:rPr>
        <w:t xml:space="preserve"> Circuit hears oral argument and issues their opinion. Two Supreme Court Justices have urged the 2</w:t>
      </w:r>
      <w:r w:rsidRPr="00C35467">
        <w:rPr>
          <w:b w:val="0"/>
          <w:bCs w:val="0"/>
          <w:sz w:val="24"/>
          <w:szCs w:val="24"/>
          <w:vertAlign w:val="superscript"/>
        </w:rPr>
        <w:t>nd</w:t>
      </w:r>
      <w:r>
        <w:rPr>
          <w:b w:val="0"/>
          <w:bCs w:val="0"/>
          <w:sz w:val="24"/>
          <w:szCs w:val="24"/>
        </w:rPr>
        <w:t xml:space="preserve"> Circuit to decide the case on an expedited basis; see statement by Justice Samuel Alito, joined by Justice Clarence Thomas. </w:t>
      </w:r>
    </w:p>
    <w:p w14:paraId="3253E4DB" w14:textId="77777777" w:rsidR="007959C9" w:rsidRPr="00AA18FA" w:rsidRDefault="007959C9" w:rsidP="007959C9">
      <w:pPr>
        <w:pStyle w:val="Heading1"/>
        <w:ind w:left="720"/>
        <w:rPr>
          <w:rStyle w:val="markedcontent"/>
          <w:rFonts w:eastAsiaTheme="majorEastAsia"/>
          <w:b w:val="0"/>
          <w:bCs w:val="0"/>
          <w:sz w:val="24"/>
          <w:szCs w:val="24"/>
        </w:rPr>
      </w:pPr>
      <w:r>
        <w:rPr>
          <w:b w:val="0"/>
          <w:bCs w:val="0"/>
          <w:sz w:val="24"/>
          <w:szCs w:val="24"/>
        </w:rPr>
        <w:t>“</w:t>
      </w:r>
      <w:r w:rsidRPr="00AA18FA">
        <w:rPr>
          <w:rStyle w:val="markedcontent"/>
          <w:rFonts w:eastAsiaTheme="majorEastAsia"/>
          <w:b w:val="0"/>
          <w:bCs w:val="0"/>
          <w:sz w:val="24"/>
          <w:szCs w:val="24"/>
        </w:rPr>
        <w:t xml:space="preserve">The New York law at issue in this application presents novel and serious questions under both the First and the Second Amendments. The District Court found, in a thorough opinion, that the applicants were likely to succeed </w:t>
      </w:r>
      <w:proofErr w:type="gramStart"/>
      <w:r w:rsidRPr="00AA18FA">
        <w:rPr>
          <w:rStyle w:val="markedcontent"/>
          <w:rFonts w:eastAsiaTheme="majorEastAsia"/>
          <w:b w:val="0"/>
          <w:bCs w:val="0"/>
          <w:sz w:val="24"/>
          <w:szCs w:val="24"/>
        </w:rPr>
        <w:t>on</w:t>
      </w:r>
      <w:proofErr w:type="gramEnd"/>
      <w:r w:rsidRPr="00AA18FA">
        <w:rPr>
          <w:rStyle w:val="markedcontent"/>
          <w:rFonts w:eastAsiaTheme="majorEastAsia"/>
          <w:b w:val="0"/>
          <w:bCs w:val="0"/>
          <w:sz w:val="24"/>
          <w:szCs w:val="24"/>
        </w:rPr>
        <w:t xml:space="preserve"> </w:t>
      </w:r>
      <w:proofErr w:type="gramStart"/>
      <w:r w:rsidRPr="00AA18FA">
        <w:rPr>
          <w:rStyle w:val="markedcontent"/>
          <w:rFonts w:eastAsiaTheme="majorEastAsia"/>
          <w:b w:val="0"/>
          <w:bCs w:val="0"/>
          <w:sz w:val="24"/>
          <w:szCs w:val="24"/>
        </w:rPr>
        <w:t>a number of</w:t>
      </w:r>
      <w:proofErr w:type="gramEnd"/>
      <w:r w:rsidRPr="00AA18FA">
        <w:rPr>
          <w:rStyle w:val="markedcontent"/>
          <w:rFonts w:eastAsiaTheme="majorEastAsia"/>
          <w:b w:val="0"/>
          <w:bCs w:val="0"/>
          <w:sz w:val="24"/>
          <w:szCs w:val="24"/>
        </w:rPr>
        <w:t xml:space="preserve"> their claims, and it issued a preliminary injunction as to twelve provisions of the challenged law. With</w:t>
      </w:r>
      <w:r w:rsidRPr="00AA18FA">
        <w:rPr>
          <w:b w:val="0"/>
          <w:bCs w:val="0"/>
          <w:sz w:val="24"/>
          <w:szCs w:val="24"/>
        </w:rPr>
        <w:br/>
      </w:r>
      <w:r w:rsidRPr="00AA18FA">
        <w:rPr>
          <w:rStyle w:val="markedcontent"/>
          <w:rFonts w:eastAsiaTheme="majorEastAsia"/>
          <w:b w:val="0"/>
          <w:bCs w:val="0"/>
          <w:sz w:val="24"/>
          <w:szCs w:val="24"/>
        </w:rPr>
        <w:t xml:space="preserve">one exception, the Second Circuit issued a stay of the injunction in full, and in doing so did not provide any explanation for its ruling…. I understand the Court’s denial today to reflect respect for the Second Circuit’s procedures in managing its own docket, rather than expressing any view on the merits of the case. Applicants should not be deterred by today’s order from again seeking relief if the Second Circuit does not, within a reasonable time, provide an explanation for its stay order or expedite consideration of the </w:t>
      </w:r>
      <w:proofErr w:type="gramStart"/>
      <w:r w:rsidRPr="00AA18FA">
        <w:rPr>
          <w:rStyle w:val="markedcontent"/>
          <w:rFonts w:eastAsiaTheme="majorEastAsia"/>
          <w:b w:val="0"/>
          <w:bCs w:val="0"/>
          <w:sz w:val="24"/>
          <w:szCs w:val="24"/>
        </w:rPr>
        <w:t>appeal.”</w:t>
      </w:r>
      <w:proofErr w:type="gramEnd"/>
      <w:r w:rsidRPr="00AA18FA">
        <w:rPr>
          <w:rStyle w:val="markedcontent"/>
          <w:rFonts w:eastAsiaTheme="majorEastAsia"/>
          <w:b w:val="0"/>
          <w:bCs w:val="0"/>
          <w:sz w:val="24"/>
          <w:szCs w:val="24"/>
        </w:rPr>
        <w:t xml:space="preserve"> </w:t>
      </w:r>
      <w:hyperlink r:id="rId733" w:history="1">
        <w:r w:rsidRPr="00AA18FA">
          <w:rPr>
            <w:rStyle w:val="Hyperlink"/>
            <w:sz w:val="24"/>
            <w:szCs w:val="24"/>
          </w:rPr>
          <w:t>https://www.supremecourt.gov/opinions/22pdf/22a557_0pm1.pdf</w:t>
        </w:r>
      </w:hyperlink>
      <w:r w:rsidRPr="00AA18FA">
        <w:rPr>
          <w:rStyle w:val="markedcontent"/>
          <w:rFonts w:eastAsiaTheme="majorEastAsia"/>
          <w:b w:val="0"/>
          <w:bCs w:val="0"/>
          <w:sz w:val="24"/>
          <w:szCs w:val="24"/>
        </w:rPr>
        <w:t xml:space="preserve"> </w:t>
      </w:r>
    </w:p>
    <w:p w14:paraId="577F6E3D" w14:textId="77777777" w:rsidR="007959C9" w:rsidRDefault="007959C9" w:rsidP="007959C9">
      <w:pPr>
        <w:pStyle w:val="Heading1"/>
        <w:rPr>
          <w:b w:val="0"/>
          <w:bCs w:val="0"/>
          <w:sz w:val="24"/>
          <w:szCs w:val="24"/>
        </w:rPr>
      </w:pPr>
      <w:r>
        <w:rPr>
          <w:b w:val="0"/>
          <w:bCs w:val="0"/>
          <w:sz w:val="24"/>
          <w:szCs w:val="24"/>
        </w:rPr>
        <w:t>On Jan. 17, 2023, the City of New York has filed a brief with the 2</w:t>
      </w:r>
      <w:r w:rsidRPr="00761B43">
        <w:rPr>
          <w:b w:val="0"/>
          <w:bCs w:val="0"/>
          <w:sz w:val="24"/>
          <w:szCs w:val="24"/>
          <w:vertAlign w:val="superscript"/>
        </w:rPr>
        <w:t>nd</w:t>
      </w:r>
      <w:r>
        <w:rPr>
          <w:b w:val="0"/>
          <w:bCs w:val="0"/>
          <w:sz w:val="24"/>
          <w:szCs w:val="24"/>
        </w:rPr>
        <w:t xml:space="preserve"> Circuit describing the importance of the State of New York’s new concealed carry law, that prohibits firearms in “sensitive areas” like Times Square and allows licensing officials to consider the mental and criminal history of the applicant. </w:t>
      </w:r>
    </w:p>
    <w:p w14:paraId="4EB4FB57" w14:textId="77777777" w:rsidR="007959C9" w:rsidRPr="00AA18FA" w:rsidRDefault="007959C9" w:rsidP="007959C9">
      <w:pPr>
        <w:pStyle w:val="Heading1"/>
        <w:ind w:left="720"/>
        <w:rPr>
          <w:b w:val="0"/>
          <w:bCs w:val="0"/>
          <w:sz w:val="24"/>
          <w:szCs w:val="24"/>
        </w:rPr>
      </w:pPr>
      <w:r w:rsidRPr="00AA18FA">
        <w:rPr>
          <w:rStyle w:val="markedcontent"/>
          <w:rFonts w:eastAsiaTheme="majorEastAsia"/>
          <w:b w:val="0"/>
          <w:bCs w:val="0"/>
          <w:sz w:val="24"/>
          <w:szCs w:val="24"/>
        </w:rPr>
        <w:t xml:space="preserve">“The CCIA’s licensing standard, which requires an applicant to have the ‘essential temperament’ to possess and carry a firearm safely, is squarely in line with ‘shall-issue’ licensure standards that the Supreme Court said in </w:t>
      </w:r>
      <w:r w:rsidRPr="00AA18FA">
        <w:rPr>
          <w:rStyle w:val="markedcontent"/>
          <w:rFonts w:eastAsiaTheme="majorEastAsia"/>
          <w:b w:val="0"/>
          <w:bCs w:val="0"/>
          <w:sz w:val="24"/>
          <w:szCs w:val="24"/>
          <w:u w:val="single"/>
        </w:rPr>
        <w:t>Bruen [</w:t>
      </w:r>
      <w:r w:rsidRPr="00AA18FA">
        <w:rPr>
          <w:rStyle w:val="markedcontent"/>
          <w:rFonts w:eastAsiaTheme="majorEastAsia"/>
          <w:b w:val="0"/>
          <w:bCs w:val="0"/>
          <w:sz w:val="24"/>
          <w:szCs w:val="24"/>
        </w:rPr>
        <w:t>New York State Rifle &amp;</w:t>
      </w:r>
      <w:r w:rsidRPr="00AA18FA">
        <w:rPr>
          <w:b w:val="0"/>
          <w:bCs w:val="0"/>
          <w:sz w:val="24"/>
          <w:szCs w:val="24"/>
        </w:rPr>
        <w:br/>
      </w:r>
      <w:r w:rsidRPr="00AA18FA">
        <w:rPr>
          <w:rStyle w:val="markedcontent"/>
          <w:rFonts w:eastAsiaTheme="majorEastAsia"/>
          <w:b w:val="0"/>
          <w:bCs w:val="0"/>
          <w:sz w:val="24"/>
          <w:szCs w:val="24"/>
        </w:rPr>
        <w:t xml:space="preserve">Pistol </w:t>
      </w:r>
      <w:proofErr w:type="spellStart"/>
      <w:r w:rsidRPr="00AA18FA">
        <w:rPr>
          <w:rStyle w:val="markedcontent"/>
          <w:rFonts w:eastAsiaTheme="majorEastAsia"/>
          <w:b w:val="0"/>
          <w:bCs w:val="0"/>
          <w:sz w:val="24"/>
          <w:szCs w:val="24"/>
        </w:rPr>
        <w:t>Ass’n</w:t>
      </w:r>
      <w:proofErr w:type="spellEnd"/>
      <w:r w:rsidRPr="00AA18FA">
        <w:rPr>
          <w:rStyle w:val="markedcontent"/>
          <w:rFonts w:eastAsiaTheme="majorEastAsia"/>
          <w:b w:val="0"/>
          <w:bCs w:val="0"/>
          <w:sz w:val="24"/>
          <w:szCs w:val="24"/>
        </w:rPr>
        <w:t>, Inc. v. Bruen, 142 S. Ct. 2111 (2022)] appropriately ensure that only</w:t>
      </w:r>
      <w:r w:rsidRPr="00AA18FA">
        <w:rPr>
          <w:b w:val="0"/>
          <w:bCs w:val="0"/>
          <w:sz w:val="24"/>
          <w:szCs w:val="24"/>
        </w:rPr>
        <w:br/>
      </w:r>
      <w:r w:rsidRPr="00AA18FA">
        <w:rPr>
          <w:rStyle w:val="markedcontent"/>
          <w:rFonts w:eastAsiaTheme="majorEastAsia"/>
          <w:b w:val="0"/>
          <w:bCs w:val="0"/>
          <w:sz w:val="24"/>
          <w:szCs w:val="24"/>
        </w:rPr>
        <w:t xml:space="preserve">such citizens are authorized to carry firearms.” </w:t>
      </w:r>
      <w:hyperlink r:id="rId734" w:history="1">
        <w:r w:rsidRPr="00AA18FA">
          <w:rPr>
            <w:rStyle w:val="Hyperlink"/>
            <w:sz w:val="24"/>
            <w:szCs w:val="24"/>
          </w:rPr>
          <w:t>https://www.nyc.gov/assets/home/downloads/pdf/press-releases/2023/Antonyuk_Amicus_Brief.pdf</w:t>
        </w:r>
      </w:hyperlink>
      <w:r w:rsidRPr="00AA18FA">
        <w:rPr>
          <w:rStyle w:val="markedcontent"/>
          <w:rFonts w:eastAsiaTheme="majorEastAsia"/>
          <w:b w:val="0"/>
          <w:bCs w:val="0"/>
          <w:sz w:val="24"/>
          <w:szCs w:val="24"/>
        </w:rPr>
        <w:t xml:space="preserve"> </w:t>
      </w:r>
    </w:p>
    <w:p w14:paraId="101B2900" w14:textId="77777777" w:rsidR="007959C9" w:rsidRDefault="007959C9" w:rsidP="007959C9">
      <w:pPr>
        <w:pStyle w:val="Heading1"/>
        <w:rPr>
          <w:rStyle w:val="markedcontent"/>
          <w:rFonts w:eastAsiaTheme="majorEastAsia"/>
          <w:b w:val="0"/>
          <w:bCs w:val="0"/>
        </w:rPr>
      </w:pPr>
      <w:r>
        <w:rPr>
          <w:b w:val="0"/>
          <w:bCs w:val="0"/>
          <w:sz w:val="24"/>
          <w:szCs w:val="24"/>
        </w:rPr>
        <w:t xml:space="preserve">In the </w:t>
      </w:r>
      <w:r w:rsidRPr="00761B43">
        <w:rPr>
          <w:b w:val="0"/>
          <w:bCs w:val="0"/>
          <w:sz w:val="24"/>
          <w:szCs w:val="24"/>
          <w:u w:val="single"/>
        </w:rPr>
        <w:t>Bruen</w:t>
      </w:r>
      <w:r>
        <w:rPr>
          <w:b w:val="0"/>
          <w:bCs w:val="0"/>
          <w:sz w:val="24"/>
          <w:szCs w:val="24"/>
        </w:rPr>
        <w:t xml:space="preserve"> case, U.S. Supreme Court on June 23, </w:t>
      </w:r>
      <w:proofErr w:type="gramStart"/>
      <w:r>
        <w:rPr>
          <w:b w:val="0"/>
          <w:bCs w:val="0"/>
          <w:sz w:val="24"/>
          <w:szCs w:val="24"/>
        </w:rPr>
        <w:t>2022</w:t>
      </w:r>
      <w:proofErr w:type="gramEnd"/>
      <w:r>
        <w:rPr>
          <w:b w:val="0"/>
          <w:bCs w:val="0"/>
          <w:sz w:val="24"/>
          <w:szCs w:val="24"/>
        </w:rPr>
        <w:t xml:space="preserve"> declared unconstitutional a prior version of the New York law, that prohibited residents from carrying a handgun in public unless they could prove a “special need for self-protection.”  </w:t>
      </w:r>
      <w:hyperlink r:id="rId735" w:history="1">
        <w:r w:rsidRPr="0090655A">
          <w:rPr>
            <w:rStyle w:val="Hyperlink"/>
            <w:sz w:val="24"/>
            <w:szCs w:val="24"/>
          </w:rPr>
          <w:t>https://www.supremecourt.gov/opinions/21pdf/20-843_7j80.pdf</w:t>
        </w:r>
      </w:hyperlink>
      <w:r>
        <w:rPr>
          <w:b w:val="0"/>
          <w:bCs w:val="0"/>
          <w:sz w:val="24"/>
          <w:szCs w:val="24"/>
        </w:rPr>
        <w:t xml:space="preserve">.  </w:t>
      </w:r>
    </w:p>
    <w:p w14:paraId="7D00AA28" w14:textId="77777777" w:rsidR="007959C9" w:rsidRPr="00AA18FA" w:rsidRDefault="007959C9" w:rsidP="007959C9">
      <w:pPr>
        <w:pStyle w:val="Heading1"/>
        <w:rPr>
          <w:b w:val="0"/>
          <w:bCs w:val="0"/>
          <w:sz w:val="24"/>
          <w:szCs w:val="24"/>
        </w:rPr>
      </w:pPr>
      <w:r w:rsidRPr="00AA18FA">
        <w:rPr>
          <w:b w:val="0"/>
          <w:bCs w:val="0"/>
          <w:sz w:val="24"/>
          <w:szCs w:val="24"/>
        </w:rPr>
        <w:t xml:space="preserve">On Oct. 6, 2022, U.S. District Court </w:t>
      </w:r>
      <w:r w:rsidRPr="00AA18FA">
        <w:rPr>
          <w:rStyle w:val="markedcontent"/>
          <w:rFonts w:eastAsiaTheme="majorEastAsia"/>
          <w:b w:val="0"/>
          <w:bCs w:val="0"/>
          <w:sz w:val="24"/>
          <w:szCs w:val="24"/>
        </w:rPr>
        <w:t xml:space="preserve">Judge Suddaby, Southern District of New York, issued a preliminary injunction against the new State of New York law, focusing on its “good moral character” provision. </w:t>
      </w:r>
    </w:p>
    <w:p w14:paraId="1D8CB379" w14:textId="77777777" w:rsidR="007959C9" w:rsidRPr="00AA18FA" w:rsidRDefault="007959C9" w:rsidP="007959C9">
      <w:pPr>
        <w:pStyle w:val="Heading1"/>
        <w:ind w:left="720"/>
        <w:rPr>
          <w:rStyle w:val="markedcontent"/>
          <w:rFonts w:eastAsiaTheme="majorEastAsia"/>
          <w:b w:val="0"/>
          <w:bCs w:val="0"/>
          <w:sz w:val="24"/>
          <w:szCs w:val="24"/>
        </w:rPr>
      </w:pPr>
      <w:r w:rsidRPr="00AA18FA">
        <w:rPr>
          <w:rStyle w:val="markedcontent"/>
          <w:rFonts w:eastAsiaTheme="majorEastAsia"/>
          <w:b w:val="0"/>
          <w:bCs w:val="0"/>
          <w:sz w:val="24"/>
          <w:szCs w:val="24"/>
        </w:rPr>
        <w:t>“In essence, New York State has replaced its requirement that an applicant show a special need for self-protection with its requirement that the applicant rebut the presumption that he or she is a danger to himself or herself, while retaining (and even expanding) the open-ended discretion afforded to its licensing officers.</w:t>
      </w:r>
    </w:p>
    <w:p w14:paraId="39CDF503" w14:textId="77777777" w:rsidR="007959C9" w:rsidRDefault="007959C9" w:rsidP="007959C9">
      <w:pPr>
        <w:pStyle w:val="Heading1"/>
        <w:ind w:left="720"/>
        <w:rPr>
          <w:rStyle w:val="markedcontent"/>
          <w:rFonts w:eastAsiaTheme="majorEastAsia"/>
          <w:b w:val="0"/>
          <w:bCs w:val="0"/>
        </w:rPr>
      </w:pPr>
      <w:r w:rsidRPr="00AA18FA">
        <w:rPr>
          <w:rStyle w:val="markedcontent"/>
          <w:rFonts w:eastAsiaTheme="majorEastAsia"/>
          <w:b w:val="0"/>
          <w:bCs w:val="0"/>
          <w:sz w:val="24"/>
          <w:szCs w:val="24"/>
        </w:rPr>
        <w:lastRenderedPageBreak/>
        <w:t>Simply stated, instead of moving toward becoming a shall-issue jurisdiction, New York</w:t>
      </w:r>
      <w:r w:rsidRPr="00AA18FA">
        <w:rPr>
          <w:b w:val="0"/>
          <w:bCs w:val="0"/>
          <w:sz w:val="24"/>
          <w:szCs w:val="24"/>
        </w:rPr>
        <w:br/>
      </w:r>
      <w:r w:rsidRPr="00AA18FA">
        <w:rPr>
          <w:rStyle w:val="markedcontent"/>
          <w:rFonts w:eastAsiaTheme="majorEastAsia"/>
          <w:b w:val="0"/>
          <w:bCs w:val="0"/>
          <w:sz w:val="24"/>
          <w:szCs w:val="24"/>
        </w:rPr>
        <w:t xml:space="preserve">State has further entrenched itself as a shall-not-issue jurisdiction. And, by doing so, it has further reduced a first-class constitutional right to bear arms in public for self-defense (which, during the 19th and 18th centuries in America, generally came with an assumption that law-abiding responsible citizens were not a danger to themselves or others unless there was specific ground for a contrary finding) into a mere request (which is burdened with a presumption of dangerousness and the need to show ‘good moral character’).” </w:t>
      </w:r>
      <w:hyperlink r:id="rId736" w:history="1">
        <w:r w:rsidRPr="00AA18FA">
          <w:rPr>
            <w:rStyle w:val="Hyperlink"/>
            <w:sz w:val="24"/>
            <w:szCs w:val="24"/>
          </w:rPr>
          <w:t>https://storage.courtlistener.com/recap/gov.uscourts.nynd.134829/gov.uscourts.nynd.134829.27.0_1.pdf</w:t>
        </w:r>
      </w:hyperlink>
      <w:r>
        <w:rPr>
          <w:rStyle w:val="markedcontent"/>
          <w:rFonts w:eastAsiaTheme="majorEastAsia"/>
          <w:b w:val="0"/>
          <w:bCs w:val="0"/>
        </w:rPr>
        <w:t xml:space="preserve"> </w:t>
      </w:r>
    </w:p>
    <w:p w14:paraId="2D3D3594" w14:textId="77777777" w:rsidR="007959C9" w:rsidRDefault="007959C9" w:rsidP="007959C9">
      <w:pPr>
        <w:pStyle w:val="Heading1"/>
        <w:rPr>
          <w:sz w:val="24"/>
          <w:szCs w:val="24"/>
        </w:rPr>
      </w:pPr>
      <w:r w:rsidRPr="00C35467">
        <w:rPr>
          <w:sz w:val="24"/>
          <w:szCs w:val="24"/>
        </w:rPr>
        <w:t xml:space="preserve">Legal Lesson Learned: </w:t>
      </w:r>
      <w:r>
        <w:rPr>
          <w:sz w:val="24"/>
          <w:szCs w:val="24"/>
        </w:rPr>
        <w:t xml:space="preserve">Gun violence is a growing problem in our Nation, and States and cities are seeking to enact laws that face legal challenges.  </w:t>
      </w:r>
    </w:p>
    <w:p w14:paraId="203D3F2A" w14:textId="77777777" w:rsidR="007959C9" w:rsidRPr="00AA18FA" w:rsidRDefault="007959C9" w:rsidP="007959C9">
      <w:pPr>
        <w:pStyle w:val="Heading1"/>
        <w:ind w:left="720"/>
        <w:rPr>
          <w:b w:val="0"/>
          <w:bCs w:val="0"/>
          <w:sz w:val="24"/>
          <w:szCs w:val="24"/>
        </w:rPr>
      </w:pPr>
      <w:r w:rsidRPr="00C35467">
        <w:rPr>
          <w:b w:val="0"/>
          <w:bCs w:val="0"/>
          <w:sz w:val="24"/>
          <w:szCs w:val="24"/>
        </w:rPr>
        <w:t>Note</w:t>
      </w:r>
      <w:r>
        <w:rPr>
          <w:b w:val="0"/>
          <w:bCs w:val="0"/>
          <w:sz w:val="24"/>
          <w:szCs w:val="24"/>
        </w:rPr>
        <w:t xml:space="preserve">: </w:t>
      </w:r>
      <w:r w:rsidRPr="00AA18FA">
        <w:rPr>
          <w:rStyle w:val="markedcontent"/>
          <w:rFonts w:eastAsiaTheme="majorEastAsia"/>
          <w:b w:val="0"/>
          <w:bCs w:val="0"/>
          <w:sz w:val="24"/>
          <w:szCs w:val="24"/>
        </w:rPr>
        <w:t>Jan. 20, 2023: “</w:t>
      </w:r>
      <w:r w:rsidRPr="00AA18FA">
        <w:rPr>
          <w:b w:val="0"/>
          <w:bCs w:val="0"/>
          <w:sz w:val="24"/>
          <w:szCs w:val="24"/>
        </w:rPr>
        <w:t xml:space="preserve">Columbus gun laws dodge block on enforcement, going into effect soon.” </w:t>
      </w:r>
      <w:hyperlink r:id="rId737" w:history="1">
        <w:r w:rsidRPr="00AA18FA">
          <w:rPr>
            <w:rStyle w:val="Hyperlink"/>
            <w:sz w:val="24"/>
            <w:szCs w:val="24"/>
          </w:rPr>
          <w:t>https://www.nbc4i.com/news/local-news/columbus/columbus-gun-laws-dodge-block-on-enforcement-going-into-effect-soon/</w:t>
        </w:r>
      </w:hyperlink>
      <w:r w:rsidRPr="00AA18FA">
        <w:rPr>
          <w:b w:val="0"/>
          <w:bCs w:val="0"/>
          <w:sz w:val="24"/>
          <w:szCs w:val="24"/>
        </w:rPr>
        <w:t xml:space="preserve"> .“A Fairfield County judge on Friday opened an opportunity for the City of Columbus to enforce its recently passed gun limitations that have been embattled by a lawsuit.”</w:t>
      </w:r>
    </w:p>
    <w:p w14:paraId="68AD0446" w14:textId="77777777" w:rsidR="007959C9" w:rsidRPr="00AA18FA" w:rsidRDefault="007959C9" w:rsidP="007959C9">
      <w:pPr>
        <w:pStyle w:val="Heading1"/>
        <w:ind w:left="720"/>
        <w:rPr>
          <w:b w:val="0"/>
          <w:bCs w:val="0"/>
          <w:sz w:val="24"/>
          <w:szCs w:val="24"/>
        </w:rPr>
      </w:pPr>
      <w:r w:rsidRPr="00AA18FA">
        <w:rPr>
          <w:b w:val="0"/>
          <w:bCs w:val="0"/>
          <w:sz w:val="24"/>
          <w:szCs w:val="24"/>
        </w:rPr>
        <w:t xml:space="preserve">See also: Jan. 20, 2023 - Remarks by Deputy Attorney General of United States, Lisa O. Monaco, at the ATF Academy Graduation, </w:t>
      </w:r>
      <w:proofErr w:type="spellStart"/>
      <w:r w:rsidRPr="00AA18FA">
        <w:rPr>
          <w:b w:val="0"/>
          <w:bCs w:val="0"/>
          <w:sz w:val="24"/>
          <w:szCs w:val="24"/>
        </w:rPr>
        <w:t>Glynco</w:t>
      </w:r>
      <w:proofErr w:type="spellEnd"/>
      <w:r w:rsidRPr="00AA18FA">
        <w:rPr>
          <w:b w:val="0"/>
          <w:bCs w:val="0"/>
          <w:sz w:val="24"/>
          <w:szCs w:val="24"/>
        </w:rPr>
        <w:t xml:space="preserve">, GA. </w:t>
      </w:r>
      <w:hyperlink r:id="rId738" w:history="1">
        <w:r w:rsidRPr="00AA18FA">
          <w:rPr>
            <w:rStyle w:val="Hyperlink"/>
            <w:sz w:val="24"/>
            <w:szCs w:val="24"/>
          </w:rPr>
          <w:t>https://www.justice.gov/opa/speech/deputy-attorney-general-lisa-o-monaco-delivers-remarks-atf-academy-graduation</w:t>
        </w:r>
      </w:hyperlink>
      <w:r w:rsidRPr="00AA18FA">
        <w:rPr>
          <w:b w:val="0"/>
          <w:bCs w:val="0"/>
          <w:sz w:val="24"/>
          <w:szCs w:val="24"/>
        </w:rPr>
        <w:t xml:space="preserve"> </w:t>
      </w:r>
    </w:p>
    <w:p w14:paraId="5089DF59" w14:textId="77777777" w:rsidR="007959C9" w:rsidRDefault="007959C9" w:rsidP="007959C9">
      <w:pPr>
        <w:pStyle w:val="NormalWeb"/>
        <w:ind w:left="1440"/>
        <w:rPr>
          <w:rStyle w:val="markedcontent"/>
          <w:rFonts w:eastAsiaTheme="majorEastAsia"/>
        </w:rPr>
      </w:pPr>
      <w:r>
        <w:t xml:space="preserve">“Just last week, ATF took an important step to enhance public safety when it issued the Stabilizing Brace Rule. This is a rule that ensures all short-barreled rifles, including those created when a qualifying brace is added to a pistol, are subject to applicable law. The rule makes clear that short-barreled rifles must be registered and subject to a background check before any </w:t>
      </w:r>
      <w:proofErr w:type="gramStart"/>
      <w:r>
        <w:t>transfer</w:t>
      </w:r>
      <w:proofErr w:type="gramEnd"/>
      <w:r>
        <w:t xml:space="preserve"> so they don’t end up in the hands of prohibited </w:t>
      </w:r>
      <w:proofErr w:type="gramStart"/>
      <w:r>
        <w:t>persons</w:t>
      </w:r>
      <w:proofErr w:type="gramEnd"/>
      <w:r>
        <w:t>. This rule is about safety. In recent years, mass shootings in Dayton, Ohio, and Boulder, Colorado, were carried out with firearms outfitted with stabilizing braces.”</w:t>
      </w:r>
    </w:p>
    <w:p w14:paraId="544A4514" w14:textId="77777777" w:rsidR="007959C9" w:rsidRDefault="007959C9" w:rsidP="007959C9">
      <w:pPr>
        <w:pStyle w:val="NormalWeb"/>
        <w:jc w:val="center"/>
        <w:rPr>
          <w:b/>
          <w:bCs/>
        </w:rPr>
      </w:pPr>
    </w:p>
    <w:p w14:paraId="76857B53" w14:textId="77777777" w:rsidR="007959C9" w:rsidRDefault="007959C9" w:rsidP="00F326E5">
      <w:pPr>
        <w:pStyle w:val="NoSpacing"/>
        <w:rPr>
          <w:rFonts w:ascii="Arial Black" w:hAnsi="Arial Black"/>
          <w:sz w:val="28"/>
          <w:szCs w:val="28"/>
        </w:rPr>
      </w:pPr>
    </w:p>
    <w:p w14:paraId="09A1CB44" w14:textId="328C8C71" w:rsidR="006C79BE" w:rsidRDefault="006C79BE" w:rsidP="00F326E5">
      <w:pPr>
        <w:pStyle w:val="NoSpacing"/>
        <w:rPr>
          <w:rFonts w:ascii="Arial Black" w:hAnsi="Arial Black"/>
          <w:sz w:val="28"/>
          <w:szCs w:val="28"/>
        </w:rPr>
      </w:pPr>
      <w:r>
        <w:rPr>
          <w:rFonts w:ascii="Arial Black" w:hAnsi="Arial Black"/>
          <w:sz w:val="28"/>
          <w:szCs w:val="28"/>
        </w:rPr>
        <w:t>3-47</w:t>
      </w:r>
    </w:p>
    <w:p w14:paraId="5833C98F" w14:textId="55C85A46" w:rsidR="006C79BE" w:rsidRDefault="006C79BE" w:rsidP="00F326E5">
      <w:pPr>
        <w:pStyle w:val="NoSpacing"/>
        <w:rPr>
          <w:rFonts w:ascii="Arial Black" w:hAnsi="Arial Black"/>
          <w:sz w:val="28"/>
          <w:szCs w:val="28"/>
        </w:rPr>
      </w:pPr>
    </w:p>
    <w:p w14:paraId="7AD973B8" w14:textId="77777777" w:rsidR="006C79BE" w:rsidRPr="00536BE5" w:rsidRDefault="006C79BE" w:rsidP="006C79BE">
      <w:pPr>
        <w:pStyle w:val="NormalWeb"/>
        <w:rPr>
          <w:rFonts w:ascii="Arial Black" w:hAnsi="Arial Black"/>
          <w:b/>
          <w:bCs/>
          <w:sz w:val="28"/>
          <w:szCs w:val="28"/>
        </w:rPr>
      </w:pPr>
      <w:r>
        <w:rPr>
          <w:rFonts w:ascii="Arial Black" w:hAnsi="Arial Black"/>
          <w:b/>
          <w:bCs/>
          <w:sz w:val="28"/>
          <w:szCs w:val="28"/>
        </w:rPr>
        <w:t>U.S. SUP. CT: TITLE 42 PUBLIC HEALTH ORDER REMAIN – IMMIGRANTS SENT BACK - FEB. 2023 ORAL ARGUMENT</w:t>
      </w:r>
    </w:p>
    <w:p w14:paraId="033960DE" w14:textId="77777777" w:rsidR="006C79BE" w:rsidRDefault="006C79BE" w:rsidP="006C79BE">
      <w:pPr>
        <w:pStyle w:val="NormalWeb"/>
        <w:rPr>
          <w:rStyle w:val="markedcontent"/>
        </w:rPr>
      </w:pPr>
      <w:r>
        <w:rPr>
          <w:rStyle w:val="markedcontent"/>
        </w:rPr>
        <w:t xml:space="preserve">On Dec. 27, 2022, in </w:t>
      </w:r>
      <w:r w:rsidRPr="00CE3E6C">
        <w:rPr>
          <w:rStyle w:val="markedcontent"/>
          <w:u w:val="single"/>
        </w:rPr>
        <w:t>Arizona, et al. v. Alejandro Mayorkas, Secretary of Homeland Security</w:t>
      </w:r>
      <w:r>
        <w:rPr>
          <w:rStyle w:val="markedcontent"/>
        </w:rPr>
        <w:t xml:space="preserve">, the Court held (5 to 4) that the Title 42 public health order issued in March 2020 by U.S. Department under President Trump will temporarily remain in place until oral arguments in </w:t>
      </w:r>
      <w:proofErr w:type="gramStart"/>
      <w:r>
        <w:rPr>
          <w:rStyle w:val="markedcontent"/>
        </w:rPr>
        <w:t>February,</w:t>
      </w:r>
      <w:proofErr w:type="gramEnd"/>
      <w:r>
        <w:rPr>
          <w:rStyle w:val="markedcontent"/>
        </w:rPr>
        <w:t xml:space="preserve"> 2023 and full Court decision thereafter.  The Court stayed the Nov. 22, </w:t>
      </w:r>
      <w:proofErr w:type="gramStart"/>
      <w:r>
        <w:rPr>
          <w:rStyle w:val="markedcontent"/>
        </w:rPr>
        <w:t>2022</w:t>
      </w:r>
      <w:proofErr w:type="gramEnd"/>
      <w:r>
        <w:rPr>
          <w:rStyle w:val="markedcontent"/>
        </w:rPr>
        <w:t xml:space="preserve"> decision by U.S. District Court Judge Emmet G. Sullivan, District of Columbia, who ruled that the 2020 public health order (issued under 1893 Federal public health statute) cannot be enforced since it did not consider vaccinations as restrictive measure to protect the public from COVID-19.  Five conservative Supreme Court Justices granted the stay sought by 19 states, including Arizona and Texas.  Therefore, currently migrants can continue to be returned to Mexico or their home nation.  To date the 2020 public health order has been used to expel more than 2 million migrants.  </w:t>
      </w:r>
    </w:p>
    <w:p w14:paraId="4B45E469" w14:textId="77777777" w:rsidR="006C79BE" w:rsidRPr="001D6C7D" w:rsidRDefault="006C79BE" w:rsidP="006C79BE">
      <w:pPr>
        <w:pStyle w:val="NormalWeb"/>
        <w:ind w:left="720"/>
        <w:rPr>
          <w:rStyle w:val="markedcontent"/>
        </w:rPr>
      </w:pPr>
      <w:r w:rsidRPr="001D6C7D">
        <w:rPr>
          <w:rStyle w:val="markedcontent"/>
        </w:rPr>
        <w:lastRenderedPageBreak/>
        <w:t xml:space="preserve">“This stay precludes giving effect to the District Court order setting aside and vacating the Title 42 policy; the stay itself does not prevent the federal government from taking any action with respect to that policy.” </w:t>
      </w:r>
      <w:hyperlink r:id="rId739" w:history="1">
        <w:r w:rsidRPr="001D6C7D">
          <w:rPr>
            <w:rStyle w:val="Hyperlink"/>
            <w:rFonts w:eastAsiaTheme="majorEastAsia"/>
          </w:rPr>
          <w:t>https://www.supremecourt.gov/opinions/22pdf/22a544_n758.pdf</w:t>
        </w:r>
      </w:hyperlink>
      <w:r w:rsidRPr="001D6C7D">
        <w:rPr>
          <w:rStyle w:val="markedcontent"/>
        </w:rPr>
        <w:t xml:space="preserve"> </w:t>
      </w:r>
    </w:p>
    <w:p w14:paraId="53588017" w14:textId="77777777" w:rsidR="006C79BE" w:rsidRDefault="006C79BE" w:rsidP="006C79BE">
      <w:pPr>
        <w:pStyle w:val="NormalWeb"/>
        <w:rPr>
          <w:rStyle w:val="markedcontent"/>
        </w:rPr>
      </w:pPr>
      <w:r>
        <w:rPr>
          <w:rStyle w:val="markedcontent"/>
        </w:rPr>
        <w:t xml:space="preserve">Three liberal justices, plus Justice Neil Gorsuch (nominated by President Trump) dissented.  Justice Gorsuch wrote: </w:t>
      </w:r>
    </w:p>
    <w:p w14:paraId="0536CB13" w14:textId="77777777" w:rsidR="006C79BE" w:rsidRPr="004901C1" w:rsidRDefault="006C79BE" w:rsidP="006C79BE">
      <w:pPr>
        <w:pStyle w:val="NormalWeb"/>
        <w:ind w:left="720"/>
        <w:rPr>
          <w:rStyle w:val="markedcontent"/>
        </w:rPr>
      </w:pPr>
      <w:r w:rsidRPr="004901C1">
        <w:rPr>
          <w:rStyle w:val="markedcontent"/>
        </w:rPr>
        <w:t>“But the current border crisis is not a COVID crisis. And courts should not be in the business of perpetuating administrative edicts designed for one emergency only because elected officials have failed to address a different emergency. We are a court of law, not policymakers of last resort.”</w:t>
      </w:r>
    </w:p>
    <w:p w14:paraId="22194DC7" w14:textId="77777777" w:rsidR="006C79BE" w:rsidRPr="001D6C7D" w:rsidRDefault="006C79BE" w:rsidP="006C79BE">
      <w:pPr>
        <w:pStyle w:val="NormalWeb"/>
        <w:rPr>
          <w:rStyle w:val="markedcontent"/>
          <w:b/>
          <w:bCs/>
        </w:rPr>
      </w:pPr>
      <w:r w:rsidRPr="001D6C7D">
        <w:rPr>
          <w:rStyle w:val="markedcontent"/>
          <w:b/>
          <w:bCs/>
        </w:rPr>
        <w:t>Legal lesson learned: The border crisis demands reform of our immigration laws.</w:t>
      </w:r>
    </w:p>
    <w:tbl>
      <w:tblPr>
        <w:tblW w:w="5000" w:type="pct"/>
        <w:jc w:val="center"/>
        <w:shd w:val="clear" w:color="auto" w:fill="FFFFFF"/>
        <w:tblCellMar>
          <w:left w:w="0" w:type="dxa"/>
          <w:right w:w="0" w:type="dxa"/>
        </w:tblCellMar>
        <w:tblLook w:val="04A0" w:firstRow="1" w:lastRow="0" w:firstColumn="1" w:lastColumn="0" w:noHBand="0" w:noVBand="1"/>
      </w:tblPr>
      <w:tblGrid>
        <w:gridCol w:w="10800"/>
      </w:tblGrid>
      <w:tr w:rsidR="006C79BE" w14:paraId="6BD856CF" w14:textId="77777777" w:rsidTr="006901FD">
        <w:trPr>
          <w:jc w:val="center"/>
        </w:trPr>
        <w:tc>
          <w:tcPr>
            <w:tcW w:w="5000" w:type="pct"/>
            <w:shd w:val="clear" w:color="auto" w:fill="FFFFFF"/>
            <w:tcMar>
              <w:top w:w="75" w:type="dxa"/>
              <w:left w:w="75" w:type="dxa"/>
              <w:bottom w:w="0" w:type="dxa"/>
              <w:right w:w="75" w:type="dxa"/>
            </w:tcMar>
            <w:vAlign w:val="center"/>
          </w:tcPr>
          <w:p w14:paraId="3FC995C6" w14:textId="77777777" w:rsidR="006C79BE" w:rsidRDefault="006C79BE" w:rsidP="006901FD">
            <w:pPr>
              <w:pStyle w:val="paragraph"/>
              <w:spacing w:before="0" w:beforeAutospacing="0" w:after="0" w:afterAutospacing="0"/>
              <w:ind w:left="720"/>
              <w:textAlignment w:val="baseline"/>
              <w:rPr>
                <w:rFonts w:ascii="Book Antiqua" w:hAnsi="Book Antiqua"/>
                <w:color w:val="000000"/>
                <w:sz w:val="23"/>
                <w:szCs w:val="23"/>
              </w:rPr>
            </w:pPr>
            <w:r w:rsidRPr="001D6C7D">
              <w:rPr>
                <w:rStyle w:val="markedcontent"/>
              </w:rPr>
              <w:t>Note:  U.S. Department of Homeland Security issued following Press Release</w:t>
            </w:r>
            <w:r>
              <w:rPr>
                <w:rStyle w:val="markedcontent"/>
              </w:rPr>
              <w:t xml:space="preserve">: </w:t>
            </w:r>
            <w:r>
              <w:rPr>
                <w:rStyle w:val="normaltextrun"/>
                <w:color w:val="000000"/>
              </w:rPr>
              <w:t>“As required by today’s Supreme Court order, the Title 42 public health order will remain in effect and individuals who attempt to enter the United States unlawfully will continue to be expelled to Mexico</w:t>
            </w:r>
            <w:r>
              <w:rPr>
                <w:color w:val="000000"/>
              </w:rPr>
              <w:t xml:space="preserve"> or their home country.  </w:t>
            </w:r>
            <w:r>
              <w:rPr>
                <w:rStyle w:val="normaltextrun"/>
                <w:color w:val="000000"/>
              </w:rPr>
              <w:t>People should not listen to the lies of smugglers who take advantage of vulnerable migrants, putting lives at risk. The border is not open, and we will continue to fully enforce our immigration laws. </w:t>
            </w:r>
            <w:r>
              <w:rPr>
                <w:rStyle w:val="normaltextrun"/>
              </w:rPr>
              <w:t> </w:t>
            </w:r>
            <w:r>
              <w:rPr>
                <w:color w:val="000000"/>
              </w:rPr>
              <w:t> </w:t>
            </w:r>
          </w:p>
          <w:p w14:paraId="33839589" w14:textId="77777777" w:rsidR="006C79BE" w:rsidRDefault="006C79BE" w:rsidP="006901FD">
            <w:pPr>
              <w:pStyle w:val="paragraph"/>
              <w:spacing w:before="0" w:beforeAutospacing="0" w:after="0" w:afterAutospacing="0"/>
              <w:ind w:left="720"/>
              <w:textAlignment w:val="baseline"/>
              <w:rPr>
                <w:rFonts w:ascii="Book Antiqua" w:hAnsi="Book Antiqua"/>
                <w:color w:val="000000"/>
                <w:sz w:val="23"/>
                <w:szCs w:val="23"/>
              </w:rPr>
            </w:pPr>
            <w:r>
              <w:rPr>
                <w:rStyle w:val="normaltextrun"/>
                <w:color w:val="000000"/>
              </w:rPr>
              <w:t xml:space="preserve">We will continue to manage the border, but we do so within the constraints of a decades-old immigration system that everyone agrees is broken. We need Congress to pass the comprehensive immigration reform legislation President Biden proposed the day he took office.” </w:t>
            </w:r>
            <w:hyperlink r:id="rId740" w:history="1">
              <w:r w:rsidRPr="008B2F4A">
                <w:rPr>
                  <w:rStyle w:val="Hyperlink"/>
                  <w:rFonts w:ascii="Book Antiqua" w:eastAsiaTheme="majorEastAsia" w:hAnsi="Book Antiqua"/>
                  <w:sz w:val="23"/>
                  <w:szCs w:val="23"/>
                </w:rPr>
                <w:t>departmentofhomelandsecurity@messages.dhs.gov</w:t>
              </w:r>
            </w:hyperlink>
          </w:p>
          <w:p w14:paraId="5A0C82FB" w14:textId="77777777" w:rsidR="006C79BE" w:rsidRDefault="006C79BE" w:rsidP="006901FD">
            <w:pPr>
              <w:ind w:left="720"/>
              <w:rPr>
                <w:rFonts w:ascii="Times New Roman" w:eastAsia="Times New Roman" w:hAnsi="Times New Roman"/>
                <w:sz w:val="24"/>
                <w:szCs w:val="24"/>
              </w:rPr>
            </w:pPr>
          </w:p>
          <w:p w14:paraId="2D09CBB3" w14:textId="77777777" w:rsidR="006C79BE" w:rsidRPr="008550EA" w:rsidRDefault="006C79BE" w:rsidP="006901FD">
            <w:pPr>
              <w:ind w:left="720"/>
              <w:rPr>
                <w:rFonts w:ascii="Times New Roman" w:eastAsia="Times New Roman" w:hAnsi="Times New Roman"/>
                <w:sz w:val="24"/>
                <w:szCs w:val="24"/>
              </w:rPr>
            </w:pPr>
            <w:r w:rsidRPr="00557022">
              <w:rPr>
                <w:rStyle w:val="markedcontent"/>
                <w:rFonts w:ascii="Times New Roman" w:hAnsi="Times New Roman"/>
                <w:sz w:val="24"/>
                <w:szCs w:val="24"/>
              </w:rPr>
              <w:t xml:space="preserve">Read the Nov. 22, </w:t>
            </w:r>
            <w:proofErr w:type="gramStart"/>
            <w:r w:rsidRPr="00557022">
              <w:rPr>
                <w:rStyle w:val="markedcontent"/>
                <w:rFonts w:ascii="Times New Roman" w:hAnsi="Times New Roman"/>
                <w:sz w:val="24"/>
                <w:szCs w:val="24"/>
              </w:rPr>
              <w:t>2022</w:t>
            </w:r>
            <w:proofErr w:type="gramEnd"/>
            <w:r w:rsidRPr="00557022">
              <w:rPr>
                <w:rStyle w:val="markedcontent"/>
                <w:rFonts w:ascii="Times New Roman" w:hAnsi="Times New Roman"/>
                <w:sz w:val="24"/>
                <w:szCs w:val="24"/>
              </w:rPr>
              <w:t xml:space="preserve"> decision by U.S. District Court Judge Emmet G. Sullivan, District of Columbia, who ruled Title 42 order was illegal and cannot be enforced.  </w:t>
            </w:r>
            <w:hyperlink r:id="rId741" w:history="1">
              <w:r w:rsidRPr="00557022">
                <w:rPr>
                  <w:rStyle w:val="Hyperlink"/>
                  <w:rFonts w:ascii="Times New Roman" w:hAnsi="Times New Roman"/>
                  <w:sz w:val="24"/>
                  <w:szCs w:val="24"/>
                </w:rPr>
                <w:t>https://ecf.dcd.uscourts.gov/cgi-bin/show_public_doc?2021cv0100-165</w:t>
              </w:r>
            </w:hyperlink>
            <w:r>
              <w:rPr>
                <w:rStyle w:val="markedcontent"/>
              </w:rPr>
              <w:t xml:space="preserve">. </w:t>
            </w:r>
            <w:r w:rsidRPr="008550EA">
              <w:rPr>
                <w:rStyle w:val="markedcontent"/>
                <w:rFonts w:ascii="Times New Roman" w:hAnsi="Times New Roman"/>
                <w:sz w:val="24"/>
                <w:szCs w:val="24"/>
              </w:rPr>
              <w:t>“The Court concludes that CDC failed to appropriately</w:t>
            </w:r>
            <w:r>
              <w:rPr>
                <w:rStyle w:val="markedcontent"/>
                <w:rFonts w:ascii="Times New Roman" w:hAnsi="Times New Roman"/>
                <w:sz w:val="24"/>
                <w:szCs w:val="24"/>
              </w:rPr>
              <w:t xml:space="preserve"> </w:t>
            </w:r>
            <w:r w:rsidRPr="008550EA">
              <w:rPr>
                <w:rStyle w:val="markedcontent"/>
                <w:rFonts w:ascii="Times New Roman" w:hAnsi="Times New Roman"/>
                <w:sz w:val="24"/>
                <w:szCs w:val="24"/>
              </w:rPr>
              <w:t>consider the availability of effective therapeutics that</w:t>
            </w:r>
            <w:r>
              <w:rPr>
                <w:rStyle w:val="markedcontent"/>
                <w:rFonts w:ascii="Times New Roman" w:hAnsi="Times New Roman"/>
                <w:sz w:val="24"/>
                <w:szCs w:val="24"/>
              </w:rPr>
              <w:t xml:space="preserve"> </w:t>
            </w:r>
            <w:r w:rsidRPr="008550EA">
              <w:rPr>
                <w:rStyle w:val="markedcontent"/>
                <w:rFonts w:ascii="Times New Roman" w:hAnsi="Times New Roman"/>
                <w:sz w:val="24"/>
                <w:szCs w:val="24"/>
              </w:rPr>
              <w:t>‘reduce[d] the risk of hospitalization’ by approximately 70</w:t>
            </w:r>
            <w:r w:rsidRPr="008550EA">
              <w:rPr>
                <w:rFonts w:ascii="Times New Roman" w:hAnsi="Times New Roman"/>
                <w:sz w:val="24"/>
                <w:szCs w:val="24"/>
              </w:rPr>
              <w:br/>
            </w:r>
            <w:r w:rsidRPr="008550EA">
              <w:rPr>
                <w:rStyle w:val="markedcontent"/>
                <w:rFonts w:ascii="Times New Roman" w:hAnsi="Times New Roman"/>
                <w:sz w:val="24"/>
                <w:szCs w:val="24"/>
              </w:rPr>
              <w:t>percent in its August 2021 Order.”</w:t>
            </w:r>
          </w:p>
        </w:tc>
      </w:tr>
    </w:tbl>
    <w:p w14:paraId="023C1BC8" w14:textId="77777777" w:rsidR="006C79BE" w:rsidRDefault="006C79BE" w:rsidP="00F326E5">
      <w:pPr>
        <w:pStyle w:val="NoSpacing"/>
        <w:rPr>
          <w:rFonts w:ascii="Arial Black" w:hAnsi="Arial Black"/>
          <w:sz w:val="28"/>
          <w:szCs w:val="28"/>
        </w:rPr>
      </w:pPr>
    </w:p>
    <w:p w14:paraId="4E7A8086" w14:textId="77777777" w:rsidR="006C79BE" w:rsidRDefault="006C79BE" w:rsidP="00F326E5">
      <w:pPr>
        <w:pStyle w:val="NoSpacing"/>
        <w:rPr>
          <w:rFonts w:ascii="Arial Black" w:hAnsi="Arial Black"/>
          <w:sz w:val="28"/>
          <w:szCs w:val="28"/>
        </w:rPr>
      </w:pPr>
    </w:p>
    <w:p w14:paraId="3FCD6B31" w14:textId="1EFF9818" w:rsidR="00AE32D3" w:rsidRDefault="00AE32D3" w:rsidP="00F326E5">
      <w:pPr>
        <w:pStyle w:val="NoSpacing"/>
        <w:rPr>
          <w:rFonts w:ascii="Arial Black" w:hAnsi="Arial Black"/>
          <w:sz w:val="28"/>
          <w:szCs w:val="28"/>
        </w:rPr>
      </w:pPr>
      <w:r>
        <w:rPr>
          <w:rFonts w:ascii="Arial Black" w:hAnsi="Arial Black"/>
          <w:sz w:val="28"/>
          <w:szCs w:val="28"/>
        </w:rPr>
        <w:t>3-46</w:t>
      </w:r>
    </w:p>
    <w:p w14:paraId="1A1A31C2" w14:textId="79F3AFF2" w:rsidR="00AE32D3" w:rsidRDefault="00AE32D3" w:rsidP="00F326E5">
      <w:pPr>
        <w:pStyle w:val="NoSpacing"/>
        <w:rPr>
          <w:rFonts w:ascii="Arial Black" w:hAnsi="Arial Black"/>
          <w:sz w:val="28"/>
          <w:szCs w:val="28"/>
        </w:rPr>
      </w:pPr>
    </w:p>
    <w:p w14:paraId="060F2638" w14:textId="77777777" w:rsidR="00AE32D3" w:rsidRPr="00B1155B" w:rsidRDefault="00AE32D3" w:rsidP="00AE32D3">
      <w:pPr>
        <w:pStyle w:val="NoSpacing"/>
        <w:rPr>
          <w:rFonts w:ascii="Arial Black" w:hAnsi="Arial Black"/>
          <w:sz w:val="28"/>
          <w:szCs w:val="28"/>
        </w:rPr>
      </w:pPr>
      <w:r>
        <w:rPr>
          <w:rFonts w:ascii="Arial Black" w:hAnsi="Arial Black"/>
          <w:sz w:val="28"/>
          <w:szCs w:val="28"/>
        </w:rPr>
        <w:t>GA:  11</w:t>
      </w:r>
      <w:r w:rsidRPr="00B1155B">
        <w:rPr>
          <w:rFonts w:ascii="Arial Black" w:hAnsi="Arial Black"/>
          <w:sz w:val="28"/>
          <w:szCs w:val="28"/>
          <w:vertAlign w:val="superscript"/>
        </w:rPr>
        <w:t>th</w:t>
      </w:r>
      <w:r>
        <w:rPr>
          <w:rFonts w:ascii="Arial Black" w:hAnsi="Arial Black"/>
          <w:sz w:val="28"/>
          <w:szCs w:val="28"/>
        </w:rPr>
        <w:t xml:space="preserve"> CIR. – FBI SEIZED DOCS. PRES. TRUMP’S MAR-A-LARGO SEARCH WARRANT – “SPECIAL MASTER” SET ASIDE</w:t>
      </w:r>
    </w:p>
    <w:p w14:paraId="0E39D8B6" w14:textId="77777777" w:rsidR="00AE32D3" w:rsidRDefault="00AE32D3" w:rsidP="00AE32D3">
      <w:pPr>
        <w:pStyle w:val="NoSpacing"/>
        <w:rPr>
          <w:rFonts w:ascii="Times New Roman" w:hAnsi="Times New Roman"/>
          <w:sz w:val="24"/>
          <w:szCs w:val="24"/>
        </w:rPr>
      </w:pPr>
    </w:p>
    <w:p w14:paraId="5C3B7197" w14:textId="77777777" w:rsidR="00AE32D3" w:rsidRDefault="00AE32D3" w:rsidP="00AE32D3">
      <w:pPr>
        <w:pStyle w:val="NoSpacing"/>
        <w:rPr>
          <w:rFonts w:ascii="Times New Roman" w:hAnsi="Times New Roman"/>
          <w:sz w:val="24"/>
          <w:szCs w:val="24"/>
        </w:rPr>
      </w:pPr>
      <w:r>
        <w:rPr>
          <w:rFonts w:ascii="Times New Roman" w:hAnsi="Times New Roman"/>
          <w:sz w:val="24"/>
          <w:szCs w:val="24"/>
        </w:rPr>
        <w:t xml:space="preserve">On Dec. 1, 2022, in </w:t>
      </w:r>
      <w:r w:rsidRPr="00B1155B">
        <w:rPr>
          <w:rFonts w:ascii="Times New Roman" w:hAnsi="Times New Roman"/>
          <w:sz w:val="24"/>
          <w:szCs w:val="24"/>
          <w:u w:val="single"/>
        </w:rPr>
        <w:t>Donald J. Trump v. United States of America</w:t>
      </w:r>
      <w:r>
        <w:rPr>
          <w:rFonts w:ascii="Times New Roman" w:hAnsi="Times New Roman"/>
          <w:sz w:val="24"/>
          <w:szCs w:val="24"/>
        </w:rPr>
        <w:t>, the U.S. Court of Appeals for the 11</w:t>
      </w:r>
      <w:r w:rsidRPr="00B1155B">
        <w:rPr>
          <w:rFonts w:ascii="Times New Roman" w:hAnsi="Times New Roman"/>
          <w:sz w:val="24"/>
          <w:szCs w:val="24"/>
          <w:vertAlign w:val="superscript"/>
        </w:rPr>
        <w:t>th</w:t>
      </w:r>
      <w:r>
        <w:rPr>
          <w:rFonts w:ascii="Times New Roman" w:hAnsi="Times New Roman"/>
          <w:sz w:val="24"/>
          <w:szCs w:val="24"/>
        </w:rPr>
        <w:t xml:space="preserve"> Circuit (Atlanta) held (3 to 0) that U.S. District Court Judge Aileen M. Cannon of Florida had no authority to appoint Judge Raymond J. Dearie of Brooklyn (retired) as a special master to review the documents seized by FBI pursuant to a search warrant by a U.S. Magistrate Judge. President Trump’s arguments are “a sideshow.”</w:t>
      </w:r>
    </w:p>
    <w:p w14:paraId="6F81A5E3" w14:textId="77777777" w:rsidR="00AE32D3" w:rsidRDefault="00AE32D3" w:rsidP="00AE32D3">
      <w:pPr>
        <w:pStyle w:val="NoSpacing"/>
        <w:rPr>
          <w:rFonts w:ascii="Times New Roman" w:hAnsi="Times New Roman"/>
          <w:sz w:val="24"/>
          <w:szCs w:val="24"/>
        </w:rPr>
      </w:pPr>
    </w:p>
    <w:p w14:paraId="5BC5F537" w14:textId="77777777" w:rsidR="00AE32D3" w:rsidRPr="00570272" w:rsidRDefault="00AE32D3" w:rsidP="00AE32D3">
      <w:pPr>
        <w:pStyle w:val="NoSpacing"/>
        <w:ind w:left="720"/>
        <w:rPr>
          <w:rFonts w:ascii="Times New Roman" w:hAnsi="Times New Roman"/>
          <w:sz w:val="24"/>
          <w:szCs w:val="24"/>
        </w:rPr>
      </w:pPr>
      <w:r w:rsidRPr="00570272">
        <w:rPr>
          <w:rFonts w:ascii="Times New Roman" w:hAnsi="Times New Roman"/>
          <w:sz w:val="24"/>
          <w:szCs w:val="24"/>
        </w:rPr>
        <w:t>“This appeal requires us to consider whether the district court had jurisdiction to block the United States from using lawfully seized records in a criminal investigation. The answer is no.</w:t>
      </w:r>
    </w:p>
    <w:p w14:paraId="545D33A5" w14:textId="77777777" w:rsidR="00AE32D3" w:rsidRPr="00570272" w:rsidRDefault="00AE32D3" w:rsidP="00AE32D3">
      <w:pPr>
        <w:pStyle w:val="NoSpacing"/>
        <w:rPr>
          <w:rFonts w:ascii="Times New Roman" w:hAnsi="Times New Roman"/>
          <w:sz w:val="24"/>
          <w:szCs w:val="24"/>
        </w:rPr>
      </w:pPr>
    </w:p>
    <w:p w14:paraId="169313AA" w14:textId="77777777" w:rsidR="00AE32D3" w:rsidRPr="00570272" w:rsidRDefault="00AE32D3" w:rsidP="00AE32D3">
      <w:pPr>
        <w:pStyle w:val="NoSpacing"/>
        <w:ind w:left="720"/>
        <w:rPr>
          <w:rFonts w:ascii="Times New Roman" w:hAnsi="Times New Roman"/>
          <w:sz w:val="24"/>
          <w:szCs w:val="24"/>
        </w:rPr>
      </w:pPr>
      <w:r w:rsidRPr="00570272">
        <w:rPr>
          <w:rFonts w:ascii="Times New Roman" w:hAnsi="Times New Roman"/>
          <w:sz w:val="24"/>
          <w:szCs w:val="24"/>
        </w:rPr>
        <w:lastRenderedPageBreak/>
        <w:t>Former President Donald J. Trump brought a civil action seeking an injunction against the government after it executed a search warrant at his Mar-a-Lago residence. He argues that a court-mandated special master review process is necessary because the government's Privilege Review Team protocols were inadequate, because various seized documents are protected by executive or attorney-client privilege, because he could have declassified documents or designated them as personal rather than presidential records, and—if all that fails—because the government’s appeal was procedurally deficient. The government disagrees with each</w:t>
      </w:r>
      <w:r w:rsidRPr="00570272">
        <w:rPr>
          <w:rFonts w:ascii="Times New Roman" w:hAnsi="Times New Roman"/>
          <w:sz w:val="24"/>
          <w:szCs w:val="24"/>
        </w:rPr>
        <w:br/>
        <w:t>contention.</w:t>
      </w:r>
    </w:p>
    <w:p w14:paraId="2366289E" w14:textId="77777777" w:rsidR="00AE32D3" w:rsidRPr="00570272" w:rsidRDefault="00AE32D3" w:rsidP="00AE32D3">
      <w:pPr>
        <w:rPr>
          <w:rFonts w:ascii="Times New Roman" w:hAnsi="Times New Roman"/>
          <w:sz w:val="24"/>
          <w:szCs w:val="24"/>
        </w:rPr>
      </w:pPr>
    </w:p>
    <w:p w14:paraId="2130F04B" w14:textId="77777777" w:rsidR="00AE32D3" w:rsidRPr="00570272" w:rsidRDefault="00AE32D3" w:rsidP="00AE32D3">
      <w:pPr>
        <w:ind w:firstLine="720"/>
        <w:rPr>
          <w:rFonts w:ascii="Times New Roman" w:hAnsi="Times New Roman"/>
          <w:sz w:val="24"/>
          <w:szCs w:val="24"/>
        </w:rPr>
      </w:pPr>
      <w:r w:rsidRPr="00570272">
        <w:rPr>
          <w:rFonts w:ascii="Times New Roman" w:hAnsi="Times New Roman"/>
          <w:sz w:val="24"/>
          <w:szCs w:val="24"/>
        </w:rPr>
        <w:t>***</w:t>
      </w:r>
    </w:p>
    <w:p w14:paraId="6D7F3E3E" w14:textId="77777777" w:rsidR="00AE32D3" w:rsidRPr="00570272" w:rsidRDefault="00AE32D3" w:rsidP="00AE32D3">
      <w:pPr>
        <w:pStyle w:val="NoSpacing"/>
        <w:ind w:left="720"/>
        <w:rPr>
          <w:rFonts w:ascii="Times New Roman" w:hAnsi="Times New Roman"/>
          <w:sz w:val="24"/>
          <w:szCs w:val="24"/>
        </w:rPr>
      </w:pPr>
      <w:r w:rsidRPr="00570272">
        <w:rPr>
          <w:rFonts w:ascii="Times New Roman" w:hAnsi="Times New Roman"/>
          <w:sz w:val="24"/>
          <w:szCs w:val="24"/>
        </w:rPr>
        <w:t>In considering these arguments, we are faced with a choice: apply our usual test; drastically expand the availability of equitable jurisdiction for every subject of a search warrant; or carve out an unprecedented exception in our law for former presidents. We</w:t>
      </w:r>
      <w:r w:rsidRPr="00570272">
        <w:rPr>
          <w:rFonts w:ascii="Times New Roman" w:hAnsi="Times New Roman"/>
          <w:sz w:val="24"/>
          <w:szCs w:val="24"/>
        </w:rPr>
        <w:br/>
        <w:t xml:space="preserve">choose the first option. </w:t>
      </w:r>
      <w:proofErr w:type="gramStart"/>
      <w:r w:rsidRPr="00570272">
        <w:rPr>
          <w:rFonts w:ascii="Times New Roman" w:hAnsi="Times New Roman"/>
          <w:sz w:val="24"/>
          <w:szCs w:val="24"/>
        </w:rPr>
        <w:t>So</w:t>
      </w:r>
      <w:proofErr w:type="gramEnd"/>
      <w:r w:rsidRPr="00570272">
        <w:rPr>
          <w:rFonts w:ascii="Times New Roman" w:hAnsi="Times New Roman"/>
          <w:sz w:val="24"/>
          <w:szCs w:val="24"/>
        </w:rPr>
        <w:t xml:space="preserve"> the case must be dismissed.</w:t>
      </w:r>
    </w:p>
    <w:p w14:paraId="4583B7ED" w14:textId="77777777" w:rsidR="00AE32D3" w:rsidRPr="00570272" w:rsidRDefault="00AE32D3" w:rsidP="00AE32D3">
      <w:pPr>
        <w:pStyle w:val="NoSpacing"/>
        <w:ind w:left="720"/>
        <w:rPr>
          <w:rFonts w:ascii="Times New Roman" w:hAnsi="Times New Roman"/>
          <w:sz w:val="24"/>
          <w:szCs w:val="24"/>
        </w:rPr>
      </w:pPr>
    </w:p>
    <w:p w14:paraId="6933CC0C" w14:textId="77777777" w:rsidR="00AE32D3" w:rsidRPr="00570272" w:rsidRDefault="00AE32D3" w:rsidP="00AE32D3">
      <w:pPr>
        <w:pStyle w:val="NoSpacing"/>
        <w:ind w:left="720"/>
        <w:rPr>
          <w:rFonts w:ascii="Times New Roman" w:hAnsi="Times New Roman"/>
          <w:sz w:val="24"/>
          <w:szCs w:val="24"/>
        </w:rPr>
      </w:pPr>
      <w:r w:rsidRPr="00570272">
        <w:rPr>
          <w:rFonts w:ascii="Times New Roman" w:hAnsi="Times New Roman"/>
          <w:sz w:val="24"/>
          <w:szCs w:val="24"/>
        </w:rPr>
        <w:t>***</w:t>
      </w:r>
    </w:p>
    <w:p w14:paraId="0327D71C" w14:textId="77777777" w:rsidR="00AE32D3" w:rsidRPr="00570272" w:rsidRDefault="00AE32D3" w:rsidP="00AE32D3">
      <w:pPr>
        <w:pStyle w:val="NoSpacing"/>
        <w:ind w:firstLine="720"/>
        <w:rPr>
          <w:rFonts w:ascii="Times New Roman" w:hAnsi="Times New Roman"/>
          <w:sz w:val="24"/>
          <w:szCs w:val="24"/>
        </w:rPr>
      </w:pPr>
    </w:p>
    <w:p w14:paraId="2A73EC1E" w14:textId="77777777" w:rsidR="00AE32D3" w:rsidRPr="00570272" w:rsidRDefault="00AE32D3" w:rsidP="00AE32D3">
      <w:pPr>
        <w:pStyle w:val="NoSpacing"/>
        <w:ind w:left="720"/>
        <w:rPr>
          <w:rFonts w:ascii="Times New Roman" w:hAnsi="Times New Roman"/>
          <w:sz w:val="24"/>
          <w:szCs w:val="24"/>
        </w:rPr>
      </w:pPr>
      <w:r w:rsidRPr="00570272">
        <w:rPr>
          <w:rFonts w:ascii="Times New Roman" w:hAnsi="Times New Roman"/>
          <w:sz w:val="24"/>
          <w:szCs w:val="24"/>
        </w:rPr>
        <w:t xml:space="preserve">The magistrate judge decided that issue when approving the </w:t>
      </w:r>
      <w:proofErr w:type="gramStart"/>
      <w:r w:rsidRPr="00570272">
        <w:rPr>
          <w:rFonts w:ascii="Times New Roman" w:hAnsi="Times New Roman"/>
          <w:sz w:val="24"/>
          <w:szCs w:val="24"/>
        </w:rPr>
        <w:t>warrant</w:t>
      </w:r>
      <w:proofErr w:type="gramEnd"/>
      <w:r w:rsidRPr="00570272">
        <w:rPr>
          <w:rFonts w:ascii="Times New Roman" w:hAnsi="Times New Roman"/>
          <w:sz w:val="24"/>
          <w:szCs w:val="24"/>
        </w:rPr>
        <w:t>. To the extent that the categorization of these documents has legal relevance in future proceedings, the issue can be raised at that time… All these arguments are a sideshow.</w:t>
      </w:r>
    </w:p>
    <w:p w14:paraId="14B1DA44" w14:textId="6908E85D" w:rsidR="00AE32D3" w:rsidRDefault="00AE32D3" w:rsidP="00AE32D3">
      <w:pPr>
        <w:pStyle w:val="NoSpacing"/>
        <w:ind w:left="720"/>
        <w:rPr>
          <w:rFonts w:ascii="Arial Black" w:hAnsi="Arial Black"/>
          <w:sz w:val="28"/>
          <w:szCs w:val="28"/>
        </w:rPr>
      </w:pPr>
      <w:hyperlink r:id="rId742" w:history="1">
        <w:r w:rsidRPr="00E01337">
          <w:rPr>
            <w:rStyle w:val="Hyperlink"/>
            <w:rFonts w:ascii="Times New Roman" w:hAnsi="Times New Roman"/>
            <w:sz w:val="24"/>
            <w:szCs w:val="24"/>
          </w:rPr>
          <w:t>https://docs-cdn-prod.news-engineering.aws.wapo.pub/publish_document/5c87d9b8-631f-41c7-92e8-129f412d0e0f/published/5c87d9b8-631f-41c7-92e8-129f412d0e0f.pdf</w:t>
        </w:r>
      </w:hyperlink>
    </w:p>
    <w:p w14:paraId="053FFE4F" w14:textId="686110CB" w:rsidR="00AE32D3" w:rsidRDefault="00AE32D3" w:rsidP="00F326E5">
      <w:pPr>
        <w:pStyle w:val="NoSpacing"/>
        <w:rPr>
          <w:rFonts w:ascii="Arial Black" w:hAnsi="Arial Black"/>
          <w:sz w:val="28"/>
          <w:szCs w:val="28"/>
        </w:rPr>
      </w:pPr>
    </w:p>
    <w:p w14:paraId="6ECE34C1" w14:textId="77CAB75D" w:rsidR="00AE32D3" w:rsidRDefault="00AE32D3" w:rsidP="00F326E5">
      <w:pPr>
        <w:pStyle w:val="NoSpacing"/>
        <w:rPr>
          <w:rFonts w:ascii="Arial Black" w:hAnsi="Arial Black"/>
          <w:sz w:val="28"/>
          <w:szCs w:val="28"/>
        </w:rPr>
      </w:pPr>
      <w:r w:rsidRPr="00E664A5">
        <w:rPr>
          <w:rFonts w:ascii="Times New Roman" w:hAnsi="Times New Roman"/>
          <w:b/>
          <w:bCs/>
          <w:sz w:val="24"/>
          <w:szCs w:val="24"/>
        </w:rPr>
        <w:t>Legal Lesson Learned:</w:t>
      </w:r>
      <w:r>
        <w:rPr>
          <w:rFonts w:ascii="Times New Roman" w:hAnsi="Times New Roman"/>
          <w:b/>
          <w:bCs/>
          <w:sz w:val="24"/>
          <w:szCs w:val="24"/>
        </w:rPr>
        <w:t xml:space="preserve"> Documents were seized pursuant to a search warrant issued with probably cause.  Nice to see the 11</w:t>
      </w:r>
      <w:r w:rsidRPr="008033B3">
        <w:rPr>
          <w:rFonts w:ascii="Times New Roman" w:hAnsi="Times New Roman"/>
          <w:b/>
          <w:bCs/>
          <w:sz w:val="24"/>
          <w:szCs w:val="24"/>
          <w:vertAlign w:val="superscript"/>
        </w:rPr>
        <w:t>th</w:t>
      </w:r>
      <w:r>
        <w:rPr>
          <w:rFonts w:ascii="Times New Roman" w:hAnsi="Times New Roman"/>
          <w:b/>
          <w:bCs/>
          <w:sz w:val="24"/>
          <w:szCs w:val="24"/>
        </w:rPr>
        <w:t xml:space="preserve"> Circuit stop the “sideshow.”</w:t>
      </w:r>
    </w:p>
    <w:p w14:paraId="7469C09B" w14:textId="77777777" w:rsidR="00AE32D3" w:rsidRDefault="00AE32D3" w:rsidP="00F326E5">
      <w:pPr>
        <w:pStyle w:val="NoSpacing"/>
        <w:rPr>
          <w:rFonts w:ascii="Arial Black" w:hAnsi="Arial Black"/>
          <w:sz w:val="28"/>
          <w:szCs w:val="28"/>
        </w:rPr>
      </w:pPr>
    </w:p>
    <w:p w14:paraId="7D799E7D" w14:textId="030BBD4C" w:rsidR="006D2C51" w:rsidRDefault="006D2C51" w:rsidP="00F326E5">
      <w:pPr>
        <w:pStyle w:val="NoSpacing"/>
        <w:rPr>
          <w:rFonts w:ascii="Arial Black" w:hAnsi="Arial Black"/>
          <w:sz w:val="28"/>
          <w:szCs w:val="28"/>
        </w:rPr>
      </w:pPr>
      <w:r>
        <w:rPr>
          <w:rFonts w:ascii="Arial Black" w:hAnsi="Arial Black"/>
          <w:sz w:val="28"/>
          <w:szCs w:val="28"/>
        </w:rPr>
        <w:t>3-45</w:t>
      </w:r>
    </w:p>
    <w:p w14:paraId="73FF36D1" w14:textId="77777777" w:rsidR="006D2C51" w:rsidRPr="00A4481C" w:rsidRDefault="006D2C51" w:rsidP="006D2C51">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DC: DRONES – FAA REQUIRES DRONES TO ADMIT SIGNAL – “REMOTE ID” – NOT GOVT “WARRANTLESS SURVEILLANCE”</w:t>
      </w:r>
    </w:p>
    <w:p w14:paraId="20E6E198" w14:textId="77777777" w:rsidR="006D2C51" w:rsidRPr="00A4481C" w:rsidRDefault="006D2C51" w:rsidP="006D2C51">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July 29, 2022, in </w:t>
      </w:r>
      <w:r w:rsidRPr="006C1D0D">
        <w:rPr>
          <w:rFonts w:ascii="Times New Roman" w:eastAsia="Times New Roman" w:hAnsi="Times New Roman"/>
          <w:sz w:val="24"/>
          <w:szCs w:val="24"/>
          <w:u w:val="single"/>
        </w:rPr>
        <w:t xml:space="preserve">Tyler Brennan and </w:t>
      </w:r>
      <w:proofErr w:type="spellStart"/>
      <w:r w:rsidRPr="006C1D0D">
        <w:rPr>
          <w:rFonts w:ascii="Times New Roman" w:eastAsia="Times New Roman" w:hAnsi="Times New Roman"/>
          <w:sz w:val="24"/>
          <w:szCs w:val="24"/>
          <w:u w:val="single"/>
        </w:rPr>
        <w:t>ReaceDayQuads</w:t>
      </w:r>
      <w:proofErr w:type="spellEnd"/>
      <w:r w:rsidRPr="006C1D0D">
        <w:rPr>
          <w:rFonts w:ascii="Times New Roman" w:eastAsia="Times New Roman" w:hAnsi="Times New Roman"/>
          <w:sz w:val="24"/>
          <w:szCs w:val="24"/>
          <w:u w:val="single"/>
        </w:rPr>
        <w:t xml:space="preserve"> LLC v. Stephen Dickson, Administrator and Federal Aviation Administration</w:t>
      </w:r>
      <w:r>
        <w:rPr>
          <w:rFonts w:ascii="Times New Roman" w:eastAsia="Times New Roman" w:hAnsi="Times New Roman"/>
          <w:sz w:val="24"/>
          <w:szCs w:val="24"/>
        </w:rPr>
        <w:t>, the U.S. Court of Appeals for the District of Columbia held (3 to 0) that FAA regulations are lawful. “</w:t>
      </w:r>
      <w:r w:rsidRPr="00A4481C">
        <w:rPr>
          <w:rFonts w:ascii="Times New Roman" w:eastAsia="Times New Roman" w:hAnsi="Times New Roman"/>
          <w:sz w:val="24"/>
          <w:szCs w:val="24"/>
        </w:rPr>
        <w:t xml:space="preserve">Petitioners Tyler Brennan, a drone user, and </w:t>
      </w:r>
      <w:proofErr w:type="spellStart"/>
      <w:r w:rsidRPr="00A4481C">
        <w:rPr>
          <w:rFonts w:ascii="Times New Roman" w:eastAsia="Times New Roman" w:hAnsi="Times New Roman"/>
          <w:sz w:val="24"/>
          <w:szCs w:val="24"/>
        </w:rPr>
        <w:t>RaceDayQuads</w:t>
      </w:r>
      <w:proofErr w:type="spellEnd"/>
      <w:r>
        <w:rPr>
          <w:rFonts w:ascii="Times New Roman" w:eastAsia="Times New Roman" w:hAnsi="Times New Roman"/>
          <w:sz w:val="24"/>
          <w:szCs w:val="24"/>
        </w:rPr>
        <w:t xml:space="preserve"> [</w:t>
      </w:r>
      <w:hyperlink r:id="rId743" w:history="1">
        <w:r w:rsidRPr="00272AA8">
          <w:rPr>
            <w:rStyle w:val="Hyperlink"/>
            <w:rFonts w:ascii="Times New Roman" w:eastAsia="Times New Roman" w:hAnsi="Times New Roman"/>
            <w:sz w:val="24"/>
            <w:szCs w:val="24"/>
          </w:rPr>
          <w:t>https://middlemarketgrowth.org/podcast-tyler-brennan-racedayquads/</w:t>
        </w:r>
      </w:hyperlink>
      <w:r>
        <w:rPr>
          <w:rFonts w:ascii="Times New Roman" w:eastAsia="Times New Roman" w:hAnsi="Times New Roman"/>
          <w:sz w:val="24"/>
          <w:szCs w:val="24"/>
        </w:rPr>
        <w:t xml:space="preserve"> ] </w:t>
      </w:r>
      <w:r w:rsidRPr="00A4481C">
        <w:rPr>
          <w:rFonts w:ascii="Times New Roman" w:eastAsia="Times New Roman" w:hAnsi="Times New Roman"/>
          <w:sz w:val="24"/>
          <w:szCs w:val="24"/>
        </w:rPr>
        <w:t>the drone retailer Brennan owns (referred to jointly as Brennan), want the Rule vacated</w:t>
      </w:r>
      <w:r>
        <w:rPr>
          <w:rFonts w:ascii="Times New Roman" w:eastAsia="Times New Roman" w:hAnsi="Times New Roman"/>
          <w:sz w:val="24"/>
          <w:szCs w:val="24"/>
        </w:rPr>
        <w:t xml:space="preserve">…. </w:t>
      </w:r>
      <w:r w:rsidRPr="00A4481C">
        <w:rPr>
          <w:rFonts w:ascii="Times New Roman" w:eastAsia="Times New Roman" w:hAnsi="Times New Roman"/>
          <w:sz w:val="24"/>
          <w:szCs w:val="24"/>
        </w:rPr>
        <w:t>Brennan asserts that the Rule's Remote ID requirement amounts to constant, warrantless governmental surveillance in violation of the Fourth Amendment.</w:t>
      </w:r>
      <w:r>
        <w:rPr>
          <w:rFonts w:ascii="Times New Roman" w:eastAsia="Times New Roman" w:hAnsi="Times New Roman"/>
          <w:sz w:val="24"/>
          <w:szCs w:val="24"/>
        </w:rPr>
        <w:t xml:space="preserve"> </w:t>
      </w:r>
      <w:r w:rsidRPr="00A4481C">
        <w:rPr>
          <w:rFonts w:ascii="Times New Roman" w:hAnsi="Times New Roman"/>
          <w:sz w:val="24"/>
          <w:szCs w:val="24"/>
        </w:rPr>
        <w:t>His request for vacatur of the Rule, amounting to a facial challenge, must fail because drones are virtually always flown in public. Requiring a drone to show its location and that of its operator while the drone is aloft in the open air violates no reasonable expectation of privacy. Brennan hypothesizes that law enforcement authorities could use Remote ID to carry out continuous surveillance of drone pilots' public locations amounting to a constitutionally cognizable search, or that the Rule could be applied in ways that would reveal an operator's identity and location at a home or in an otherwise private place. But he has not shown that any such uses of Remote ID have either harmed him or imminently will do so, thus he presents no currently justiciable, as-applied challenge.</w:t>
      </w:r>
      <w:r>
        <w:rPr>
          <w:rFonts w:ascii="Times New Roman" w:hAnsi="Times New Roman"/>
          <w:sz w:val="24"/>
          <w:szCs w:val="24"/>
        </w:rPr>
        <w:t xml:space="preserve">” </w:t>
      </w:r>
      <w:hyperlink r:id="rId744" w:history="1">
        <w:r w:rsidRPr="00A4481C">
          <w:rPr>
            <w:rStyle w:val="Hyperlink"/>
            <w:rFonts w:ascii="Times New Roman" w:eastAsia="Times New Roman" w:hAnsi="Times New Roman"/>
            <w:sz w:val="24"/>
            <w:szCs w:val="24"/>
          </w:rPr>
          <w:t>https://www.cadc.uscourts.gov/internet/opinions.nsf/55807FB471B60BB08525888E0051AEA6/$file/21-1087-1956978.pdf</w:t>
        </w:r>
      </w:hyperlink>
      <w:r w:rsidRPr="00A4481C">
        <w:rPr>
          <w:rFonts w:ascii="Times New Roman" w:eastAsia="Times New Roman" w:hAnsi="Times New Roman"/>
          <w:sz w:val="24"/>
          <w:szCs w:val="24"/>
        </w:rPr>
        <w:t xml:space="preserve"> </w:t>
      </w:r>
    </w:p>
    <w:p w14:paraId="1AC96945" w14:textId="77777777" w:rsidR="006D2C51" w:rsidRPr="00C73817" w:rsidRDefault="006D2C51" w:rsidP="006D2C51">
      <w:pPr>
        <w:pStyle w:val="NormalWeb"/>
        <w:rPr>
          <w:b/>
          <w:bCs/>
        </w:rPr>
      </w:pPr>
      <w:r w:rsidRPr="00C73817">
        <w:rPr>
          <w:b/>
          <w:bCs/>
        </w:rPr>
        <w:lastRenderedPageBreak/>
        <w:t xml:space="preserve">Legal Lesson Learned: </w:t>
      </w:r>
      <w:r>
        <w:rPr>
          <w:b/>
          <w:bCs/>
        </w:rPr>
        <w:t xml:space="preserve">Drones can be potential terrorist weapon; Remote ID provides important protection.  </w:t>
      </w:r>
    </w:p>
    <w:p w14:paraId="3BD8310B" w14:textId="77777777" w:rsidR="006D2C51" w:rsidRDefault="006D2C51" w:rsidP="006D2C51">
      <w:pPr>
        <w:pStyle w:val="NormalWeb"/>
        <w:ind w:left="720"/>
      </w:pPr>
      <w:r>
        <w:t xml:space="preserve">Note: The Court referenced terrorist events with drones. </w:t>
      </w:r>
    </w:p>
    <w:p w14:paraId="6FDE3694" w14:textId="77777777" w:rsidR="006D2C51" w:rsidRDefault="006D2C51" w:rsidP="006D2C51">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C73817">
        <w:rPr>
          <w:rFonts w:ascii="Times New Roman" w:hAnsi="Times New Roman"/>
          <w:sz w:val="24"/>
          <w:szCs w:val="24"/>
        </w:rPr>
        <w:t>Extremists have increasingly sought to use drones to carry out violent attacks: Terrorists killed several people by detonating a bomb carried by a drone that flew above a military parade in Yemen…. The Islamic State and other terrorist organizations have reportedly modified commercially available drones so they can carry and release munitions and explosives</w:t>
      </w:r>
      <w:r>
        <w:rPr>
          <w:rFonts w:ascii="Times New Roman" w:hAnsi="Times New Roman"/>
          <w:sz w:val="24"/>
          <w:szCs w:val="24"/>
        </w:rPr>
        <w:t xml:space="preserve">…. </w:t>
      </w:r>
      <w:r w:rsidRPr="00C73817">
        <w:rPr>
          <w:rFonts w:ascii="Times New Roman" w:hAnsi="Times New Roman"/>
          <w:sz w:val="24"/>
          <w:szCs w:val="24"/>
        </w:rPr>
        <w:t>A would-be assassin used a drone to target then-President Nicolas Maduro in Venezuela….And British intelligence agencies uncovered a terrorist plan to fly drones into the engines of commercial airplanes as they took off from airports in the United Kingdom….</w:t>
      </w:r>
    </w:p>
    <w:p w14:paraId="3AE0C5D3" w14:textId="77777777" w:rsidR="006D2C51" w:rsidRPr="001911A7" w:rsidRDefault="006D2C51" w:rsidP="006D2C51">
      <w:pPr>
        <w:pStyle w:val="NormalWeb"/>
        <w:ind w:left="720"/>
      </w:pPr>
      <w:r w:rsidRPr="001911A7">
        <w:t xml:space="preserve">Footnote 1: Citing Scott Gleeson, </w:t>
      </w:r>
      <w:r w:rsidRPr="001911A7">
        <w:rPr>
          <w:rStyle w:val="Emphasis"/>
        </w:rPr>
        <w:t>Juvenile Was Operating the Drone that Flew Over Fenway Park in Red Sox Game, Police Say</w:t>
      </w:r>
      <w:r w:rsidRPr="001911A7">
        <w:t>, USA TODAY (Apr. 13, 2019), https://www.usatoday.com/story/sports/mlb/redsox/2019/04/13/dro ne-</w:t>
      </w:r>
      <w:proofErr w:type="spellStart"/>
      <w:r w:rsidRPr="001911A7">
        <w:t>fenway</w:t>
      </w:r>
      <w:proofErr w:type="spellEnd"/>
      <w:r w:rsidRPr="001911A7">
        <w:t xml:space="preserve">-park-juvenile/3457190002/; Lori Aratani, </w:t>
      </w:r>
      <w:r w:rsidRPr="001911A7">
        <w:rPr>
          <w:rStyle w:val="Emphasis"/>
        </w:rPr>
        <w:t>Drone Activity Halts Air Traffic at Newark Liberty International Airport</w:t>
      </w:r>
      <w:r w:rsidRPr="001911A7">
        <w:t>, WASH. POST (Jan. 22, 2019), https://www.washingtonpost.com/transportation/2019/01/22/drone-activity-halts-air-traffic-newark-liberty-international-airport/.</w:t>
      </w:r>
    </w:p>
    <w:p w14:paraId="5C120572" w14:textId="77777777" w:rsidR="006D2C51" w:rsidRPr="001911A7" w:rsidRDefault="006D2C51" w:rsidP="006D2C51">
      <w:pPr>
        <w:pStyle w:val="NormalWeb"/>
        <w:ind w:left="720"/>
      </w:pPr>
      <w:r w:rsidRPr="001911A7">
        <w:t xml:space="preserve">Footnote 2: Citing </w:t>
      </w:r>
      <w:r w:rsidRPr="001911A7">
        <w:rPr>
          <w:rStyle w:val="Emphasis"/>
        </w:rPr>
        <w:t>Houthi Drones Kill Several at Yemeni Military Parade</w:t>
      </w:r>
      <w:r w:rsidRPr="001911A7">
        <w:t xml:space="preserve">, REUTERS (Jan. 10, 2019), https://www.reuters.com/article/us-yemen-security/houthi-drones-kill-several-at-yemei-military-parade-idUSKCN1P40N9. </w:t>
      </w:r>
    </w:p>
    <w:p w14:paraId="3A67BF6E" w14:textId="77777777" w:rsidR="006D2C51" w:rsidRPr="001911A7" w:rsidRDefault="006D2C51" w:rsidP="006D2C51">
      <w:pPr>
        <w:pStyle w:val="NormalWeb"/>
        <w:ind w:left="720"/>
      </w:pPr>
      <w:r w:rsidRPr="001911A7">
        <w:t xml:space="preserve">Footnote </w:t>
      </w:r>
      <w:r>
        <w:t xml:space="preserve">3: </w:t>
      </w:r>
      <w:r w:rsidRPr="001911A7">
        <w:t xml:space="preserve">Citing Don Rassler, </w:t>
      </w:r>
      <w:r w:rsidRPr="001911A7">
        <w:rPr>
          <w:rStyle w:val="Emphasis"/>
        </w:rPr>
        <w:t>The Islamic State and Drones: Supply, Scale, and Future Threats</w:t>
      </w:r>
      <w:r w:rsidRPr="001911A7">
        <w:t xml:space="preserve">, COMBATING TERRORISM CTR. AT WEST POINT, at iv (July 2018), https://ctc.usma.edu/wp-content/uploads/2018/07/Islamic-State-and-Drones-Release-Version.pdf. </w:t>
      </w:r>
    </w:p>
    <w:p w14:paraId="3927B0B5" w14:textId="77777777" w:rsidR="006D2C51" w:rsidRPr="001911A7" w:rsidRDefault="006D2C51" w:rsidP="006D2C51">
      <w:pPr>
        <w:pStyle w:val="NormalWeb"/>
        <w:ind w:left="720"/>
      </w:pPr>
      <w:r w:rsidRPr="001911A7">
        <w:t xml:space="preserve">Footnote </w:t>
      </w:r>
      <w:r>
        <w:t>4:</w:t>
      </w:r>
      <w:r w:rsidRPr="001911A7">
        <w:rPr>
          <w:vertAlign w:val="superscript"/>
        </w:rPr>
        <w:t xml:space="preserve"> </w:t>
      </w:r>
      <w:r w:rsidRPr="001911A7">
        <w:t xml:space="preserve">Citing </w:t>
      </w:r>
      <w:r w:rsidRPr="001911A7">
        <w:rPr>
          <w:rStyle w:val="Emphasis"/>
        </w:rPr>
        <w:t>Venezuela President Maduro Survives 'Drone Assassination Attempt'</w:t>
      </w:r>
      <w:r w:rsidRPr="001911A7">
        <w:t xml:space="preserve">, BBC (Aug. 5, 2018), https://www.bbc.com/news/world-latin-america-45073385. </w:t>
      </w:r>
    </w:p>
    <w:p w14:paraId="42B2F01D" w14:textId="77777777" w:rsidR="006D2C51" w:rsidRPr="00C73817" w:rsidRDefault="006D2C51" w:rsidP="006D2C51">
      <w:pPr>
        <w:spacing w:before="100" w:beforeAutospacing="1" w:after="100" w:afterAutospacing="1" w:line="240" w:lineRule="auto"/>
        <w:ind w:left="720"/>
        <w:rPr>
          <w:rFonts w:ascii="Times New Roman" w:eastAsia="Times New Roman" w:hAnsi="Times New Roman"/>
          <w:sz w:val="24"/>
          <w:szCs w:val="24"/>
        </w:rPr>
      </w:pPr>
      <w:r w:rsidRPr="001911A7">
        <w:t xml:space="preserve">Footnote </w:t>
      </w:r>
      <w:r>
        <w:t xml:space="preserve">5: </w:t>
      </w:r>
      <w:r w:rsidRPr="001911A7">
        <w:t xml:space="preserve">Citing Patrick Williams, </w:t>
      </w:r>
      <w:r w:rsidRPr="001911A7">
        <w:rPr>
          <w:rStyle w:val="Emphasis"/>
          <w:rFonts w:ascii="Times New Roman" w:hAnsi="Times New Roman"/>
        </w:rPr>
        <w:t>Terror Drone Plot FOILED: Brit Spies Stop Plan to Bring Down AIRLINER</w:t>
      </w:r>
      <w:r w:rsidRPr="001911A7">
        <w:t xml:space="preserve">, DAILY STAR (Aug. 19, 2018), https://www.dailystar.co.uk/news/latest-news/terror-drone-plot-britain-uk-16886096. </w:t>
      </w:r>
      <w:hyperlink r:id="rId745" w:history="1">
        <w:r w:rsidRPr="00272AA8">
          <w:rPr>
            <w:rStyle w:val="Hyperlink"/>
            <w:rFonts w:ascii="Times New Roman" w:eastAsia="Times New Roman" w:hAnsi="Times New Roman"/>
            <w:sz w:val="24"/>
            <w:szCs w:val="24"/>
          </w:rPr>
          <w:t>https://www.cadc.uscourts.gov/internet/opinions.nsf/55807FB471B60BB08525888E0051AEA6/$file/21-1087-1956978.pdf</w:t>
        </w:r>
      </w:hyperlink>
      <w:r w:rsidRPr="00C73817">
        <w:rPr>
          <w:rFonts w:ascii="Times New Roman" w:eastAsia="Times New Roman" w:hAnsi="Times New Roman"/>
          <w:sz w:val="24"/>
          <w:szCs w:val="24"/>
        </w:rPr>
        <w:t xml:space="preserve"> </w:t>
      </w:r>
    </w:p>
    <w:p w14:paraId="65B252A3" w14:textId="77777777" w:rsidR="006D2C51" w:rsidRPr="001911A7" w:rsidRDefault="006D2C51" w:rsidP="006D2C51">
      <w:pPr>
        <w:pStyle w:val="NormalWeb"/>
        <w:ind w:left="720"/>
      </w:pPr>
    </w:p>
    <w:p w14:paraId="46E5ABDE" w14:textId="77777777" w:rsidR="006D2C51" w:rsidRDefault="006D2C51" w:rsidP="00F326E5">
      <w:pPr>
        <w:pStyle w:val="NoSpacing"/>
        <w:rPr>
          <w:rFonts w:ascii="Arial Black" w:hAnsi="Arial Black"/>
          <w:sz w:val="28"/>
          <w:szCs w:val="28"/>
        </w:rPr>
      </w:pPr>
    </w:p>
    <w:p w14:paraId="5BC6F366" w14:textId="77777777" w:rsidR="006D2C51" w:rsidRDefault="006D2C51" w:rsidP="00F326E5">
      <w:pPr>
        <w:pStyle w:val="NoSpacing"/>
        <w:rPr>
          <w:rFonts w:ascii="Arial Black" w:hAnsi="Arial Black"/>
          <w:sz w:val="28"/>
          <w:szCs w:val="28"/>
        </w:rPr>
      </w:pPr>
    </w:p>
    <w:p w14:paraId="73CB57DE" w14:textId="3DC22309" w:rsidR="00AE6CF5" w:rsidRDefault="009A0402" w:rsidP="00F326E5">
      <w:pPr>
        <w:pStyle w:val="NoSpacing"/>
        <w:rPr>
          <w:rFonts w:ascii="Arial Black" w:hAnsi="Arial Black"/>
          <w:sz w:val="28"/>
          <w:szCs w:val="28"/>
        </w:rPr>
      </w:pPr>
      <w:r>
        <w:rPr>
          <w:rFonts w:ascii="Arial Black" w:hAnsi="Arial Black"/>
          <w:sz w:val="28"/>
          <w:szCs w:val="28"/>
        </w:rPr>
        <w:t>3-4</w:t>
      </w:r>
      <w:r w:rsidR="007F3F5A">
        <w:rPr>
          <w:rFonts w:ascii="Arial Black" w:hAnsi="Arial Black"/>
          <w:sz w:val="28"/>
          <w:szCs w:val="28"/>
        </w:rPr>
        <w:t>4</w:t>
      </w:r>
    </w:p>
    <w:p w14:paraId="28100947" w14:textId="77777777" w:rsidR="009A0402" w:rsidRDefault="009A0402" w:rsidP="009A0402">
      <w:pPr>
        <w:spacing w:before="100" w:beforeAutospacing="1" w:after="100" w:afterAutospacing="1" w:line="240" w:lineRule="auto"/>
        <w:rPr>
          <w:rStyle w:val="markedcontent"/>
          <w:rFonts w:ascii="Arial Black" w:hAnsi="Arial Black"/>
          <w:sz w:val="28"/>
          <w:szCs w:val="28"/>
        </w:rPr>
      </w:pPr>
      <w:r>
        <w:rPr>
          <w:rStyle w:val="markedcontent"/>
          <w:rFonts w:ascii="Arial Black" w:hAnsi="Arial Black"/>
          <w:sz w:val="28"/>
          <w:szCs w:val="28"/>
        </w:rPr>
        <w:t>U.S. SUPREME COURT: IMMIGRATION - PRES. BIDEN CAN CANCEL PRES. TRUMP “REMAIN IN MEXICO” PROTOCOLS</w:t>
      </w:r>
    </w:p>
    <w:p w14:paraId="0A40B633" w14:textId="77777777" w:rsidR="009A0402" w:rsidRDefault="009A0402" w:rsidP="009A0402">
      <w:pPr>
        <w:spacing w:before="100" w:beforeAutospacing="1" w:after="100" w:afterAutospacing="1" w:line="240" w:lineRule="auto"/>
        <w:rPr>
          <w:rStyle w:val="markedcontent"/>
          <w:rFonts w:ascii="Times New Roman" w:hAnsi="Times New Roman"/>
          <w:sz w:val="24"/>
          <w:szCs w:val="24"/>
        </w:rPr>
      </w:pPr>
      <w:r>
        <w:rPr>
          <w:rStyle w:val="markedcontent"/>
          <w:rFonts w:ascii="Times New Roman" w:hAnsi="Times New Roman"/>
          <w:sz w:val="24"/>
          <w:szCs w:val="24"/>
        </w:rPr>
        <w:t xml:space="preserve">On June 30, 2022, in </w:t>
      </w:r>
      <w:r>
        <w:rPr>
          <w:rStyle w:val="markedcontent"/>
          <w:rFonts w:ascii="Times New Roman" w:hAnsi="Times New Roman"/>
          <w:sz w:val="24"/>
          <w:szCs w:val="24"/>
          <w:u w:val="single"/>
        </w:rPr>
        <w:t>Biden et al. v. Texas, et al</w:t>
      </w:r>
      <w:r>
        <w:rPr>
          <w:rStyle w:val="markedcontent"/>
          <w:rFonts w:ascii="Times New Roman" w:hAnsi="Times New Roman"/>
          <w:sz w:val="24"/>
          <w:szCs w:val="24"/>
        </w:rPr>
        <w:t xml:space="preserve">., the U.S. Supreme Court held (5 to 4) that President Biden has the “discretionary” authority from Congress to end President’s Trump’s Migrant Protection Protocols (MPP). </w:t>
      </w:r>
      <w:r>
        <w:rPr>
          <w:rStyle w:val="markedcontent"/>
          <w:rFonts w:ascii="Times New Roman" w:hAnsi="Times New Roman"/>
          <w:sz w:val="24"/>
          <w:szCs w:val="24"/>
        </w:rPr>
        <w:lastRenderedPageBreak/>
        <w:t>where because of the “immigration crisis” at the border some non-Mexican immigrants were immediately returned to Mexico to await later processing.  The State of Texas and Missouri filed lawsuit in Federal Court in Dallas and won a nationwide injunction against shutting down the MPP protocols. since the DHS did not issue adequate explanation for their cancellation of MPP as required by the Administrative Procedures Act.  For example, in</w:t>
      </w:r>
      <w:r>
        <w:rPr>
          <w:rFonts w:ascii="Times New Roman" w:hAnsi="Times New Roman"/>
          <w:sz w:val="24"/>
          <w:szCs w:val="24"/>
        </w:rPr>
        <w:t xml:space="preserve"> </w:t>
      </w:r>
      <w:proofErr w:type="gramStart"/>
      <w:r>
        <w:rPr>
          <w:rFonts w:ascii="Times New Roman" w:hAnsi="Times New Roman"/>
          <w:sz w:val="24"/>
          <w:szCs w:val="24"/>
        </w:rPr>
        <w:t>May,</w:t>
      </w:r>
      <w:proofErr w:type="gramEnd"/>
      <w:r>
        <w:rPr>
          <w:rFonts w:ascii="Times New Roman" w:hAnsi="Times New Roman"/>
          <w:sz w:val="24"/>
          <w:szCs w:val="24"/>
        </w:rPr>
        <w:t xml:space="preserve"> 2022, 1,460 migrants were returned to Mexico through MPP, according to DHS figures. [Note: During that same month, more than 100,000 migrants were expelled using Title 42; emergency action to stop communicable diseases, such as Covid.] </w:t>
      </w:r>
      <w:r>
        <w:rPr>
          <w:rStyle w:val="markedcontent"/>
          <w:rFonts w:ascii="Times New Roman" w:hAnsi="Times New Roman"/>
          <w:sz w:val="24"/>
          <w:szCs w:val="24"/>
        </w:rPr>
        <w:t>To comply with APA, on June 1, 2021, DHS Secretary Mayorkas issued a memorandum officially terminating MPP, but the Dallas Federal judge and the Court of Appeals for 5</w:t>
      </w:r>
      <w:r>
        <w:rPr>
          <w:rStyle w:val="markedcontent"/>
          <w:rFonts w:ascii="Times New Roman" w:hAnsi="Times New Roman"/>
          <w:sz w:val="24"/>
          <w:szCs w:val="24"/>
          <w:vertAlign w:val="superscript"/>
        </w:rPr>
        <w:t>th</w:t>
      </w:r>
      <w:r>
        <w:rPr>
          <w:rStyle w:val="markedcontent"/>
          <w:rFonts w:ascii="Times New Roman" w:hAnsi="Times New Roman"/>
          <w:sz w:val="24"/>
          <w:szCs w:val="24"/>
        </w:rPr>
        <w:t xml:space="preserve"> Circuit found it also was inadequate explanation. On October 29, the Secretary of DHS released a four-page memorandum that again announced the termination of MPP, along with a 39-page addendum explaining his reasons for doing so (the October 29 Memoranda).  The Court of Appeals denied government’s appeal, and the U.S. Supreme Court heard the case on an expedited basis.  </w:t>
      </w:r>
      <w:hyperlink r:id="rId746" w:history="1">
        <w:r>
          <w:rPr>
            <w:rStyle w:val="Hyperlink"/>
            <w:sz w:val="24"/>
            <w:szCs w:val="24"/>
          </w:rPr>
          <w:t>https://www.supremecourt.gov/opinions/21pdf/21-954_7l48.pdf</w:t>
        </w:r>
      </w:hyperlink>
      <w:r>
        <w:rPr>
          <w:rStyle w:val="markedcontent"/>
          <w:rFonts w:ascii="Times New Roman" w:hAnsi="Times New Roman"/>
          <w:sz w:val="24"/>
          <w:szCs w:val="24"/>
        </w:rPr>
        <w:t xml:space="preserve"> </w:t>
      </w:r>
    </w:p>
    <w:p w14:paraId="67940738" w14:textId="77777777" w:rsidR="009A0402" w:rsidRDefault="009A0402" w:rsidP="009A0402">
      <w:pPr>
        <w:spacing w:before="100" w:beforeAutospacing="1" w:after="100" w:afterAutospacing="1" w:line="240" w:lineRule="auto"/>
        <w:rPr>
          <w:rStyle w:val="markedcontent"/>
          <w:rFonts w:ascii="Times New Roman" w:hAnsi="Times New Roman"/>
          <w:b/>
          <w:bCs/>
          <w:sz w:val="24"/>
          <w:szCs w:val="24"/>
        </w:rPr>
      </w:pPr>
      <w:r>
        <w:rPr>
          <w:rStyle w:val="markedcontent"/>
          <w:rFonts w:ascii="Times New Roman" w:hAnsi="Times New Roman"/>
          <w:b/>
          <w:bCs/>
          <w:sz w:val="24"/>
          <w:szCs w:val="24"/>
        </w:rPr>
        <w:t xml:space="preserve">Legal Lesson Learned: Immigration and release of immigrants into our nation prior to review by an Immigration administrative law judge is a “hot topic” for the U.S. Supreme Court and our Nation. </w:t>
      </w:r>
    </w:p>
    <w:p w14:paraId="34E5CA88" w14:textId="77777777" w:rsidR="009A0402" w:rsidRPr="009A0402" w:rsidRDefault="009A0402" w:rsidP="009A0402">
      <w:pPr>
        <w:pStyle w:val="Heading2"/>
        <w:ind w:left="720"/>
        <w:rPr>
          <w:rFonts w:ascii="Times New Roman" w:hAnsi="Times New Roman"/>
          <w:b w:val="0"/>
          <w:bCs w:val="0"/>
          <w:i w:val="0"/>
          <w:iCs w:val="0"/>
          <w:sz w:val="24"/>
          <w:szCs w:val="24"/>
        </w:rPr>
      </w:pPr>
      <w:r w:rsidRPr="009A0402">
        <w:rPr>
          <w:rStyle w:val="markedcontent"/>
          <w:rFonts w:ascii="Times New Roman" w:hAnsi="Times New Roman"/>
          <w:b w:val="0"/>
          <w:bCs w:val="0"/>
          <w:i w:val="0"/>
          <w:iCs w:val="0"/>
          <w:sz w:val="24"/>
          <w:szCs w:val="24"/>
        </w:rPr>
        <w:t>Note: See article, “</w:t>
      </w:r>
      <w:r w:rsidRPr="009A0402">
        <w:rPr>
          <w:rFonts w:ascii="Times New Roman" w:hAnsi="Times New Roman"/>
          <w:b w:val="0"/>
          <w:bCs w:val="0"/>
          <w:i w:val="0"/>
          <w:iCs w:val="0"/>
          <w:sz w:val="24"/>
          <w:szCs w:val="24"/>
        </w:rPr>
        <w:t xml:space="preserve">Biden handed big immigration win by Supreme </w:t>
      </w:r>
      <w:proofErr w:type="gramStart"/>
      <w:r w:rsidRPr="009A0402">
        <w:rPr>
          <w:rFonts w:ascii="Times New Roman" w:hAnsi="Times New Roman"/>
          <w:b w:val="0"/>
          <w:bCs w:val="0"/>
          <w:i w:val="0"/>
          <w:iCs w:val="0"/>
          <w:sz w:val="24"/>
          <w:szCs w:val="24"/>
        </w:rPr>
        <w:t>Court</w:t>
      </w:r>
      <w:proofErr w:type="gramEnd"/>
      <w:r w:rsidRPr="009A0402">
        <w:rPr>
          <w:rFonts w:ascii="Times New Roman" w:hAnsi="Times New Roman"/>
          <w:b w:val="0"/>
          <w:bCs w:val="0"/>
          <w:i w:val="0"/>
          <w:iCs w:val="0"/>
          <w:sz w:val="24"/>
          <w:szCs w:val="24"/>
        </w:rPr>
        <w:t xml:space="preserve"> but challenges remain” (June 30, 2022); </w:t>
      </w:r>
      <w:hyperlink r:id="rId747" w:history="1">
        <w:r w:rsidRPr="009A0402">
          <w:rPr>
            <w:rStyle w:val="Hyperlink"/>
            <w:rFonts w:ascii="Times New Roman" w:hAnsi="Times New Roman"/>
            <w:b w:val="0"/>
            <w:bCs w:val="0"/>
            <w:i w:val="0"/>
            <w:iCs w:val="0"/>
            <w:sz w:val="24"/>
            <w:szCs w:val="24"/>
          </w:rPr>
          <w:t>https://www.politico.com/news/2022/06/30/white-house-immigration-supreme-court-win-00043667</w:t>
        </w:r>
      </w:hyperlink>
      <w:r w:rsidRPr="009A0402">
        <w:rPr>
          <w:rFonts w:ascii="Times New Roman" w:hAnsi="Times New Roman"/>
          <w:b w:val="0"/>
          <w:bCs w:val="0"/>
          <w:i w:val="0"/>
          <w:iCs w:val="0"/>
          <w:sz w:val="24"/>
          <w:szCs w:val="24"/>
        </w:rPr>
        <w:t xml:space="preserve"> . </w:t>
      </w:r>
    </w:p>
    <w:p w14:paraId="6E979F6A" w14:textId="77777777" w:rsidR="009A0402" w:rsidRPr="009A0402" w:rsidRDefault="009A0402" w:rsidP="009A0402">
      <w:pPr>
        <w:pStyle w:val="Heading2"/>
        <w:ind w:left="720"/>
        <w:rPr>
          <w:rFonts w:ascii="Times New Roman" w:hAnsi="Times New Roman"/>
          <w:b w:val="0"/>
          <w:bCs w:val="0"/>
          <w:i w:val="0"/>
          <w:iCs w:val="0"/>
          <w:sz w:val="24"/>
          <w:szCs w:val="24"/>
        </w:rPr>
      </w:pPr>
      <w:r w:rsidRPr="009A0402">
        <w:rPr>
          <w:rFonts w:ascii="Times New Roman" w:hAnsi="Times New Roman"/>
          <w:b w:val="0"/>
          <w:bCs w:val="0"/>
          <w:i w:val="0"/>
          <w:iCs w:val="0"/>
          <w:sz w:val="24"/>
          <w:szCs w:val="24"/>
        </w:rPr>
        <w:t>See also: “The Trump Administration used Title 42 to designate hundreds of thousands of migrants for “expulsion,” arguing that allowing these migrants to enter the U.S. may increase the spread of COVID-19.” </w:t>
      </w:r>
      <w:hyperlink r:id="rId748" w:history="1">
        <w:r w:rsidRPr="009A0402">
          <w:rPr>
            <w:rStyle w:val="Hyperlink"/>
            <w:rFonts w:ascii="Times New Roman" w:hAnsi="Times New Roman"/>
            <w:b w:val="0"/>
            <w:bCs w:val="0"/>
            <w:i w:val="0"/>
            <w:iCs w:val="0"/>
            <w:sz w:val="24"/>
            <w:szCs w:val="24"/>
          </w:rPr>
          <w:t>https://puenteaz.org/title42/</w:t>
        </w:r>
      </w:hyperlink>
      <w:r w:rsidRPr="009A0402">
        <w:rPr>
          <w:rFonts w:ascii="Times New Roman" w:hAnsi="Times New Roman"/>
          <w:b w:val="0"/>
          <w:bCs w:val="0"/>
          <w:i w:val="0"/>
          <w:iCs w:val="0"/>
          <w:sz w:val="24"/>
          <w:szCs w:val="24"/>
        </w:rPr>
        <w:t xml:space="preserve"> </w:t>
      </w:r>
    </w:p>
    <w:p w14:paraId="611970FA" w14:textId="77777777" w:rsidR="009A0402" w:rsidRDefault="009A0402" w:rsidP="00F326E5">
      <w:pPr>
        <w:pStyle w:val="NoSpacing"/>
        <w:rPr>
          <w:rFonts w:ascii="Arial Black" w:hAnsi="Arial Black"/>
          <w:sz w:val="28"/>
          <w:szCs w:val="28"/>
        </w:rPr>
      </w:pPr>
    </w:p>
    <w:p w14:paraId="426174DB" w14:textId="258A2217" w:rsidR="009A0402" w:rsidRDefault="007F3F5A" w:rsidP="00F326E5">
      <w:pPr>
        <w:pStyle w:val="NoSpacing"/>
        <w:rPr>
          <w:rFonts w:ascii="Arial Black" w:hAnsi="Arial Black"/>
          <w:sz w:val="28"/>
          <w:szCs w:val="28"/>
        </w:rPr>
      </w:pPr>
      <w:r>
        <w:rPr>
          <w:rFonts w:ascii="Arial Black" w:hAnsi="Arial Black"/>
          <w:sz w:val="28"/>
          <w:szCs w:val="28"/>
        </w:rPr>
        <w:t>3-43</w:t>
      </w:r>
    </w:p>
    <w:p w14:paraId="3F4AA11A" w14:textId="2D1326A2" w:rsidR="007F3F5A" w:rsidRDefault="007F3F5A" w:rsidP="00F326E5">
      <w:pPr>
        <w:pStyle w:val="NoSpacing"/>
        <w:rPr>
          <w:rFonts w:ascii="Arial Black" w:hAnsi="Arial Black"/>
          <w:sz w:val="28"/>
          <w:szCs w:val="28"/>
        </w:rPr>
      </w:pPr>
    </w:p>
    <w:p w14:paraId="576A3CCA" w14:textId="77777777" w:rsidR="007F3F5A" w:rsidRDefault="007F3F5A" w:rsidP="007F3F5A">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DC: JAN. 6, </w:t>
      </w:r>
      <w:proofErr w:type="gramStart"/>
      <w:r>
        <w:rPr>
          <w:rFonts w:ascii="Arial Black" w:eastAsia="Times New Roman" w:hAnsi="Arial Black"/>
          <w:sz w:val="28"/>
          <w:szCs w:val="28"/>
        </w:rPr>
        <w:t>2021</w:t>
      </w:r>
      <w:proofErr w:type="gramEnd"/>
      <w:r>
        <w:rPr>
          <w:rFonts w:ascii="Arial Black" w:eastAsia="Times New Roman" w:hAnsi="Arial Black"/>
          <w:sz w:val="28"/>
          <w:szCs w:val="28"/>
        </w:rPr>
        <w:t xml:space="preserve"> ATTACK ON CAPITOL – DEF. STAND TRIAL “OBSTRUCT, IMPEDED, INTERFERE” WITH POLICE</w:t>
      </w:r>
    </w:p>
    <w:p w14:paraId="21AAE66E" w14:textId="77777777" w:rsidR="007F3F5A" w:rsidRDefault="007F3F5A" w:rsidP="007F3F5A">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June 22, 2022, in </w:t>
      </w:r>
      <w:r>
        <w:rPr>
          <w:rFonts w:ascii="Times New Roman" w:eastAsia="Times New Roman" w:hAnsi="Times New Roman"/>
          <w:sz w:val="24"/>
          <w:szCs w:val="24"/>
          <w:u w:val="single"/>
        </w:rPr>
        <w:t>United States of America v. Riley June Williams</w:t>
      </w:r>
      <w:r>
        <w:rPr>
          <w:rFonts w:ascii="Times New Roman" w:eastAsia="Times New Roman" w:hAnsi="Times New Roman"/>
          <w:sz w:val="24"/>
          <w:szCs w:val="24"/>
        </w:rPr>
        <w:t>, U.S. District Court Judge Amy Berman Jackson, U.S. District Court, District of Columbia, denied the defendant’s motion her eight-count indictment, including charge of obstructing law enforcement officers. “</w:t>
      </w:r>
      <w:r>
        <w:rPr>
          <w:rFonts w:ascii="Times New Roman" w:hAnsi="Times New Roman"/>
          <w:sz w:val="24"/>
          <w:szCs w:val="24"/>
        </w:rPr>
        <w:t xml:space="preserve">This case is one of many arising out of the events at the United States Capitol on January 6, 2021, and all of the legal challenges Williams raises in her motions have been considered and rejected by other courts in this district.”  </w:t>
      </w:r>
      <w:hyperlink r:id="rId749" w:history="1">
        <w:r>
          <w:rPr>
            <w:rStyle w:val="Hyperlink"/>
            <w:sz w:val="24"/>
            <w:szCs w:val="24"/>
          </w:rPr>
          <w:t>https://casetext.com/case/united-states-v-williams-3941</w:t>
        </w:r>
      </w:hyperlink>
      <w:r>
        <w:rPr>
          <w:rFonts w:ascii="Times New Roman" w:hAnsi="Times New Roman"/>
          <w:sz w:val="24"/>
          <w:szCs w:val="24"/>
        </w:rPr>
        <w:t xml:space="preserve"> </w:t>
      </w:r>
    </w:p>
    <w:p w14:paraId="2693A588" w14:textId="77777777" w:rsidR="007F3F5A" w:rsidRDefault="007F3F5A" w:rsidP="007F3F5A">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The defendant will now either go to trial or take a plea agreement. </w:t>
      </w:r>
    </w:p>
    <w:p w14:paraId="0942207C" w14:textId="77777777" w:rsidR="007F3F5A" w:rsidRDefault="007F3F5A" w:rsidP="007F3F5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Note: Defendant has been in news recently (Jan. 18, 2022): “</w:t>
      </w:r>
      <w:r>
        <w:rPr>
          <w:rFonts w:ascii="Times New Roman" w:hAnsi="Times New Roman"/>
          <w:sz w:val="24"/>
          <w:szCs w:val="24"/>
        </w:rPr>
        <w:t xml:space="preserve">January 6 defendant denies boyfriend plotted to shoot up synagogue. Lawyers for Riley Williams, who is accused of stealing Pelosi’s laptop, submit filing acknowledging her partner served prison time but deny it was for alleged mass shooting plan.” </w:t>
      </w:r>
      <w:hyperlink r:id="rId750" w:history="1">
        <w:r>
          <w:rPr>
            <w:rStyle w:val="Hyperlink"/>
            <w:sz w:val="24"/>
            <w:szCs w:val="24"/>
          </w:rPr>
          <w:t>https://www.timesofisrael.com/january-6-defendant-denies-boyfriend-plotted-to-shoot-up-synagogue/</w:t>
        </w:r>
      </w:hyperlink>
      <w:r>
        <w:rPr>
          <w:rFonts w:ascii="Times New Roman" w:eastAsia="Times New Roman" w:hAnsi="Times New Roman"/>
          <w:sz w:val="24"/>
          <w:szCs w:val="24"/>
        </w:rPr>
        <w:t xml:space="preserve"> </w:t>
      </w:r>
    </w:p>
    <w:p w14:paraId="52BDD391" w14:textId="77777777" w:rsidR="007F3F5A" w:rsidRDefault="007F3F5A" w:rsidP="00F326E5">
      <w:pPr>
        <w:pStyle w:val="NoSpacing"/>
        <w:rPr>
          <w:rFonts w:ascii="Arial Black" w:hAnsi="Arial Black"/>
          <w:sz w:val="28"/>
          <w:szCs w:val="28"/>
        </w:rPr>
      </w:pPr>
    </w:p>
    <w:p w14:paraId="61D26FFB" w14:textId="77777777" w:rsidR="009A0402" w:rsidRDefault="009A0402" w:rsidP="00F326E5">
      <w:pPr>
        <w:pStyle w:val="NoSpacing"/>
        <w:rPr>
          <w:rFonts w:ascii="Arial Black" w:hAnsi="Arial Black"/>
          <w:sz w:val="28"/>
          <w:szCs w:val="28"/>
        </w:rPr>
      </w:pPr>
    </w:p>
    <w:p w14:paraId="31314228" w14:textId="2FCCE0A2" w:rsidR="00AE6CF5" w:rsidRDefault="00AE6CF5" w:rsidP="00F326E5">
      <w:pPr>
        <w:pStyle w:val="NoSpacing"/>
        <w:rPr>
          <w:rFonts w:ascii="Arial Black" w:hAnsi="Arial Black"/>
          <w:sz w:val="28"/>
          <w:szCs w:val="28"/>
        </w:rPr>
      </w:pPr>
      <w:r>
        <w:rPr>
          <w:rFonts w:ascii="Arial Black" w:hAnsi="Arial Black"/>
          <w:sz w:val="28"/>
          <w:szCs w:val="28"/>
        </w:rPr>
        <w:t>3-42</w:t>
      </w:r>
    </w:p>
    <w:p w14:paraId="7660F2CA" w14:textId="66809F33" w:rsidR="00AE6CF5" w:rsidRDefault="00AE6CF5" w:rsidP="00AE6CF5">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LA: CIVIL UNREST – OFFICER HIT HEAD WITH CONCRETE -</w:t>
      </w:r>
      <w:r w:rsidR="005F75CC">
        <w:rPr>
          <w:rFonts w:ascii="Arial Black" w:eastAsia="Times New Roman" w:hAnsi="Arial Black"/>
          <w:b/>
          <w:bCs/>
          <w:sz w:val="28"/>
          <w:szCs w:val="28"/>
        </w:rPr>
        <w:t xml:space="preserve"> </w:t>
      </w:r>
      <w:r>
        <w:rPr>
          <w:rFonts w:ascii="Arial Black" w:eastAsia="Times New Roman" w:hAnsi="Arial Black"/>
          <w:b/>
          <w:bCs/>
          <w:sz w:val="28"/>
          <w:szCs w:val="28"/>
        </w:rPr>
        <w:t>CAN SUE “BLM” PROTEST ORGANIZER UNDER STATE LAW</w:t>
      </w:r>
    </w:p>
    <w:p w14:paraId="004F277F" w14:textId="77777777" w:rsidR="00AE6CF5" w:rsidRDefault="00AE6CF5" w:rsidP="00AE6CF5">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March 25, 2022, in </w:t>
      </w:r>
      <w:r w:rsidRPr="006D72A3">
        <w:rPr>
          <w:rFonts w:ascii="Times New Roman" w:eastAsia="Times New Roman" w:hAnsi="Times New Roman"/>
          <w:sz w:val="24"/>
          <w:szCs w:val="24"/>
          <w:u w:val="single"/>
        </w:rPr>
        <w:t>Officer John Doe v. De</w:t>
      </w:r>
      <w:r>
        <w:rPr>
          <w:rFonts w:ascii="Times New Roman" w:eastAsia="Times New Roman" w:hAnsi="Times New Roman"/>
          <w:sz w:val="24"/>
          <w:szCs w:val="24"/>
          <w:u w:val="single"/>
        </w:rPr>
        <w:t>R</w:t>
      </w:r>
      <w:r w:rsidRPr="006D72A3">
        <w:rPr>
          <w:rFonts w:ascii="Times New Roman" w:eastAsia="Times New Roman" w:hAnsi="Times New Roman"/>
          <w:sz w:val="24"/>
          <w:szCs w:val="24"/>
          <w:u w:val="single"/>
        </w:rPr>
        <w:t>ay Mc</w:t>
      </w:r>
      <w:r>
        <w:rPr>
          <w:rFonts w:ascii="Times New Roman" w:eastAsia="Times New Roman" w:hAnsi="Times New Roman"/>
          <w:sz w:val="24"/>
          <w:szCs w:val="24"/>
          <w:u w:val="single"/>
        </w:rPr>
        <w:t>k</w:t>
      </w:r>
      <w:r w:rsidRPr="006D72A3">
        <w:rPr>
          <w:rFonts w:ascii="Times New Roman" w:eastAsia="Times New Roman" w:hAnsi="Times New Roman"/>
          <w:sz w:val="24"/>
          <w:szCs w:val="24"/>
          <w:u w:val="single"/>
        </w:rPr>
        <w:t>esson, et al.</w:t>
      </w:r>
      <w:r>
        <w:rPr>
          <w:rFonts w:ascii="Times New Roman" w:eastAsia="Times New Roman" w:hAnsi="Times New Roman"/>
          <w:sz w:val="24"/>
          <w:szCs w:val="24"/>
        </w:rPr>
        <w:t>, the Louisiana Supreme Court issued an opinion (6 to 1) answering two “Certified Questions” from the U.S. Court of Appeals for the 5</w:t>
      </w:r>
      <w:r w:rsidRPr="006D72A3">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[New Orleans]. First, under state law a City of Baton Rouge police officer who was struck in the head in July, 2016 by a piece of concrete, lost teeth and suffered brain trauma, may sue DeRay Mckesson, co-founder of Black Lives Matter [BLM] who organized the protest, even though the concrete thrower was never identified. Second, the “Professional Rescuer’s Doctrine” [also known as the “Fireman’s Rule”] prohibiting emergency responders from suing for injuries on the job, was set aside by LA Legislature in 1996 and subsequent court decisions.  The 5</w:t>
      </w:r>
      <w:r w:rsidRPr="00816DF1">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must now decide if lawsuit in Federal court may be reinstated and pre-trial discovery commenced. </w:t>
      </w:r>
      <w:hyperlink r:id="rId751" w:history="1">
        <w:r w:rsidRPr="00B25BE6">
          <w:rPr>
            <w:rStyle w:val="Hyperlink"/>
            <w:rFonts w:ascii="Times New Roman" w:eastAsia="Times New Roman" w:hAnsi="Times New Roman"/>
            <w:sz w:val="24"/>
            <w:szCs w:val="24"/>
          </w:rPr>
          <w:t>https://www.lasc.org/opinions/2022/21-0929.CQ.OPN.pdf</w:t>
        </w:r>
      </w:hyperlink>
    </w:p>
    <w:p w14:paraId="77AAED34" w14:textId="77777777" w:rsidR="00AE6CF5" w:rsidRDefault="00AE6CF5" w:rsidP="00AE6CF5">
      <w:pPr>
        <w:pStyle w:val="NormalWeb"/>
        <w:ind w:left="720"/>
      </w:pPr>
      <w:r>
        <w:t>“Accordingly, we answer the Fifth Circuit Court of Appeals' second certified question: In view of the current directive of La. C.C. art. 2323 that ‘[</w:t>
      </w:r>
      <w:proofErr w:type="spellStart"/>
      <w:r>
        <w:t>i</w:t>
      </w:r>
      <w:proofErr w:type="spellEnd"/>
      <w:r>
        <w:t xml:space="preserve">]n </w:t>
      </w:r>
      <w:r>
        <w:rPr>
          <w:rStyle w:val="Emphasis"/>
        </w:rPr>
        <w:t>any</w:t>
      </w:r>
      <w:r>
        <w:t xml:space="preserve"> action for damages where a person suffers injury, death, or loss, the degree or percentage of fault of </w:t>
      </w:r>
      <w:r>
        <w:rPr>
          <w:rStyle w:val="Emphasis"/>
        </w:rPr>
        <w:t>all</w:t>
      </w:r>
      <w:r>
        <w:t xml:space="preserve"> persons </w:t>
      </w:r>
      <w:r>
        <w:rPr>
          <w:rStyle w:val="Emphasis"/>
        </w:rPr>
        <w:t>causing or contributing</w:t>
      </w:r>
      <w:r>
        <w:t xml:space="preserve"> to the injury, death, or loss </w:t>
      </w:r>
      <w:r>
        <w:rPr>
          <w:rStyle w:val="Emphasis"/>
        </w:rPr>
        <w:t>shall</w:t>
      </w:r>
      <w:r>
        <w:t xml:space="preserve"> be determined…’ (emphasis added) and this court's holding in </w:t>
      </w:r>
      <w:r>
        <w:rPr>
          <w:rStyle w:val="Emphasis"/>
        </w:rPr>
        <w:t>Murray v. Ramada Inns, Inc.</w:t>
      </w:r>
      <w:r>
        <w:t xml:space="preserve">, 521 So.2d 1123, 1132 (La. 1988), abrogating assumption of risk, we conclude that the Professional Rescuer's Doctrine has likewise been abrogated in Louisiana both legislatively and jurisprudentially.’” </w:t>
      </w:r>
      <w:hyperlink r:id="rId752" w:history="1">
        <w:r w:rsidRPr="00B25BE6">
          <w:rPr>
            <w:rStyle w:val="Hyperlink"/>
            <w:rFonts w:eastAsiaTheme="majorEastAsia"/>
          </w:rPr>
          <w:t>https://www.lasc.org/opinions/2022/21-0929.CQ.OPN.pdf</w:t>
        </w:r>
      </w:hyperlink>
      <w:r>
        <w:t xml:space="preserve"> </w:t>
      </w:r>
    </w:p>
    <w:p w14:paraId="64F4A14F" w14:textId="33F74D3C" w:rsidR="00AE6CF5" w:rsidRDefault="00AE6CF5" w:rsidP="00AE6CF5">
      <w:pPr>
        <w:spacing w:before="100" w:beforeAutospacing="1" w:after="100" w:afterAutospacing="1" w:line="240" w:lineRule="auto"/>
        <w:rPr>
          <w:rFonts w:ascii="Times New Roman" w:hAnsi="Times New Roman"/>
          <w:b/>
          <w:bCs/>
          <w:sz w:val="24"/>
          <w:szCs w:val="24"/>
        </w:rPr>
      </w:pPr>
      <w:r w:rsidRPr="00B4453F">
        <w:rPr>
          <w:rFonts w:ascii="Times New Roman" w:hAnsi="Times New Roman"/>
          <w:b/>
          <w:bCs/>
          <w:sz w:val="24"/>
          <w:szCs w:val="24"/>
        </w:rPr>
        <w:t>Legal Lesson Learned:</w:t>
      </w:r>
      <w:r>
        <w:rPr>
          <w:rFonts w:ascii="Times New Roman" w:hAnsi="Times New Roman"/>
          <w:b/>
          <w:bCs/>
          <w:sz w:val="24"/>
          <w:szCs w:val="24"/>
        </w:rPr>
        <w:t xml:space="preserve"> 5</w:t>
      </w:r>
      <w:r w:rsidRPr="00B4453F">
        <w:rPr>
          <w:rFonts w:ascii="Times New Roman" w:hAnsi="Times New Roman"/>
          <w:b/>
          <w:bCs/>
          <w:sz w:val="24"/>
          <w:szCs w:val="24"/>
          <w:vertAlign w:val="superscript"/>
        </w:rPr>
        <w:t>th</w:t>
      </w:r>
      <w:r>
        <w:rPr>
          <w:rFonts w:ascii="Times New Roman" w:hAnsi="Times New Roman"/>
          <w:b/>
          <w:bCs/>
          <w:sz w:val="24"/>
          <w:szCs w:val="24"/>
        </w:rPr>
        <w:t xml:space="preserve"> Circuit </w:t>
      </w:r>
      <w:r w:rsidR="00BA2C39">
        <w:rPr>
          <w:rFonts w:ascii="Times New Roman" w:hAnsi="Times New Roman"/>
          <w:b/>
          <w:bCs/>
          <w:sz w:val="24"/>
          <w:szCs w:val="24"/>
        </w:rPr>
        <w:t xml:space="preserve">may </w:t>
      </w:r>
      <w:r>
        <w:rPr>
          <w:rFonts w:ascii="Times New Roman" w:hAnsi="Times New Roman"/>
          <w:b/>
          <w:bCs/>
          <w:sz w:val="24"/>
          <w:szCs w:val="24"/>
        </w:rPr>
        <w:t xml:space="preserve">now remand the case to the U.S. District Court judge and allow pre-trial discovery to be held.  </w:t>
      </w:r>
    </w:p>
    <w:p w14:paraId="17DD4704" w14:textId="77777777" w:rsidR="00AE6CF5" w:rsidRPr="00C665DD" w:rsidRDefault="00AE6CF5" w:rsidP="00AE6CF5">
      <w:pPr>
        <w:spacing w:before="100" w:beforeAutospacing="1" w:after="100" w:afterAutospacing="1" w:line="240" w:lineRule="auto"/>
        <w:ind w:left="720"/>
        <w:rPr>
          <w:rFonts w:ascii="Times New Roman" w:eastAsia="Times New Roman" w:hAnsi="Times New Roman"/>
          <w:sz w:val="24"/>
          <w:szCs w:val="24"/>
        </w:rPr>
      </w:pPr>
      <w:r w:rsidRPr="00C665DD">
        <w:rPr>
          <w:rFonts w:ascii="Times New Roman" w:hAnsi="Times New Roman"/>
          <w:sz w:val="24"/>
          <w:szCs w:val="24"/>
        </w:rPr>
        <w:t xml:space="preserve">Note: </w:t>
      </w:r>
      <w:r>
        <w:rPr>
          <w:rFonts w:ascii="Times New Roman" w:hAnsi="Times New Roman"/>
          <w:sz w:val="24"/>
          <w:szCs w:val="24"/>
        </w:rPr>
        <w:t xml:space="preserve">Lots of judges have now reviewed this case; unclear if it will ever be tried.  </w:t>
      </w:r>
      <w:r w:rsidRPr="00C665DD">
        <w:rPr>
          <w:rFonts w:ascii="Times New Roman" w:eastAsia="Times New Roman" w:hAnsi="Times New Roman"/>
          <w:sz w:val="24"/>
          <w:szCs w:val="24"/>
        </w:rPr>
        <w:t>The lawsuit was originally dismissed by a U.S. District Court judge prior to any discovery based on the First Amendment right to organize protests; the 5</w:t>
      </w:r>
      <w:r w:rsidRPr="00C665DD">
        <w:rPr>
          <w:rFonts w:ascii="Times New Roman" w:eastAsia="Times New Roman" w:hAnsi="Times New Roman"/>
          <w:sz w:val="24"/>
          <w:szCs w:val="24"/>
          <w:vertAlign w:val="superscript"/>
        </w:rPr>
        <w:t>th</w:t>
      </w:r>
      <w:r w:rsidRPr="00C665DD">
        <w:rPr>
          <w:rFonts w:ascii="Times New Roman" w:eastAsia="Times New Roman" w:hAnsi="Times New Roman"/>
          <w:sz w:val="24"/>
          <w:szCs w:val="24"/>
        </w:rPr>
        <w:t xml:space="preserve"> Circuit (2 to 1) reversed, </w:t>
      </w:r>
      <w:r w:rsidRPr="00C665DD">
        <w:rPr>
          <w:rStyle w:val="Emphasis"/>
          <w:rFonts w:ascii="Times New Roman" w:hAnsi="Times New Roman"/>
          <w:sz w:val="24"/>
          <w:szCs w:val="24"/>
        </w:rPr>
        <w:t>Doe v. Mckesson</w:t>
      </w:r>
      <w:r w:rsidRPr="00C665DD">
        <w:rPr>
          <w:rFonts w:ascii="Times New Roman" w:hAnsi="Times New Roman"/>
          <w:sz w:val="24"/>
          <w:szCs w:val="24"/>
        </w:rPr>
        <w:t xml:space="preserve">, 945 F.3d 818 (5th Cir. 2019) </w:t>
      </w:r>
      <w:r>
        <w:rPr>
          <w:rFonts w:ascii="Times New Roman" w:hAnsi="Times New Roman"/>
          <w:sz w:val="24"/>
          <w:szCs w:val="24"/>
        </w:rPr>
        <w:t xml:space="preserve">holding that </w:t>
      </w:r>
      <w:r w:rsidRPr="00C665DD">
        <w:rPr>
          <w:rFonts w:ascii="Times New Roman" w:hAnsi="Times New Roman"/>
          <w:sz w:val="24"/>
          <w:szCs w:val="24"/>
        </w:rPr>
        <w:t>a j</w:t>
      </w:r>
      <w:r w:rsidRPr="00C665DD">
        <w:rPr>
          <w:rStyle w:val="markedcontent"/>
          <w:sz w:val="24"/>
          <w:szCs w:val="24"/>
        </w:rPr>
        <w:t>ury could plausibly find that Mckesson breached his “duty not to negligently precipitate the crime</w:t>
      </w:r>
      <w:r w:rsidRPr="00C665DD">
        <w:rPr>
          <w:rFonts w:ascii="Times New Roman" w:hAnsi="Times New Roman"/>
          <w:sz w:val="24"/>
          <w:szCs w:val="24"/>
        </w:rPr>
        <w:br/>
      </w:r>
      <w:r w:rsidRPr="00C665DD">
        <w:rPr>
          <w:rStyle w:val="markedcontent"/>
          <w:sz w:val="24"/>
          <w:szCs w:val="24"/>
        </w:rPr>
        <w:t>of a third party” because “a violent confrontation with a police officer was a foreseeable effect of negligently directing a protest” onto the highway. 945 F. 3d, at 82. The Fifth Circuit subsequently deadlocked 8 to 8 on</w:t>
      </w:r>
      <w:r>
        <w:rPr>
          <w:rStyle w:val="markedcontent"/>
          <w:sz w:val="24"/>
          <w:szCs w:val="24"/>
        </w:rPr>
        <w:t xml:space="preserve"> </w:t>
      </w:r>
      <w:r w:rsidRPr="00C665DD">
        <w:rPr>
          <w:rStyle w:val="markedcontent"/>
          <w:sz w:val="24"/>
          <w:szCs w:val="24"/>
        </w:rPr>
        <w:t xml:space="preserve">Mckesson’s petition for rehearing </w:t>
      </w:r>
      <w:proofErr w:type="spellStart"/>
      <w:r w:rsidRPr="00C665DD">
        <w:rPr>
          <w:rStyle w:val="markedcontent"/>
          <w:sz w:val="24"/>
          <w:szCs w:val="24"/>
        </w:rPr>
        <w:t>en</w:t>
      </w:r>
      <w:proofErr w:type="spellEnd"/>
      <w:r w:rsidRPr="00C665DD">
        <w:rPr>
          <w:rStyle w:val="markedcontent"/>
          <w:sz w:val="24"/>
          <w:szCs w:val="24"/>
        </w:rPr>
        <w:t xml:space="preserve"> banc [all the active judges on the 5</w:t>
      </w:r>
      <w:r w:rsidRPr="00C665DD">
        <w:rPr>
          <w:rStyle w:val="markedcontent"/>
          <w:sz w:val="24"/>
          <w:szCs w:val="24"/>
          <w:vertAlign w:val="superscript"/>
        </w:rPr>
        <w:t>th</w:t>
      </w:r>
      <w:r w:rsidRPr="00C665DD">
        <w:rPr>
          <w:rStyle w:val="markedcontent"/>
          <w:sz w:val="24"/>
          <w:szCs w:val="24"/>
        </w:rPr>
        <w:t xml:space="preserve"> Circuit]. 947 F. 3d 874, 875 (2020) (per curiam). T</w:t>
      </w:r>
      <w:r w:rsidRPr="00C665DD">
        <w:rPr>
          <w:rFonts w:ascii="Times New Roman" w:eastAsia="Times New Roman" w:hAnsi="Times New Roman"/>
          <w:sz w:val="24"/>
          <w:szCs w:val="24"/>
        </w:rPr>
        <w:t xml:space="preserve">he U.S. Supreme Court </w:t>
      </w:r>
      <w:r>
        <w:rPr>
          <w:rFonts w:ascii="Times New Roman" w:eastAsia="Times New Roman" w:hAnsi="Times New Roman"/>
          <w:sz w:val="24"/>
          <w:szCs w:val="24"/>
        </w:rPr>
        <w:t xml:space="preserve">agreed to review the case, </w:t>
      </w:r>
      <w:r w:rsidRPr="00C665DD">
        <w:rPr>
          <w:rFonts w:ascii="Times New Roman" w:eastAsia="Times New Roman" w:hAnsi="Times New Roman"/>
          <w:sz w:val="24"/>
          <w:szCs w:val="24"/>
        </w:rPr>
        <w:t xml:space="preserve">and in 2020 </w:t>
      </w:r>
      <w:r>
        <w:rPr>
          <w:rFonts w:ascii="Times New Roman" w:eastAsia="Times New Roman" w:hAnsi="Times New Roman"/>
          <w:sz w:val="24"/>
          <w:szCs w:val="24"/>
        </w:rPr>
        <w:t xml:space="preserve">in a Per Curiam order [not a decision issued by a particular Justice) and </w:t>
      </w:r>
      <w:r w:rsidRPr="00C665DD">
        <w:rPr>
          <w:rFonts w:ascii="Times New Roman" w:eastAsia="Times New Roman" w:hAnsi="Times New Roman"/>
          <w:sz w:val="24"/>
          <w:szCs w:val="24"/>
        </w:rPr>
        <w:t xml:space="preserve">vacated </w:t>
      </w:r>
      <w:r>
        <w:rPr>
          <w:rFonts w:ascii="Times New Roman" w:eastAsia="Times New Roman" w:hAnsi="Times New Roman"/>
          <w:sz w:val="24"/>
          <w:szCs w:val="24"/>
        </w:rPr>
        <w:t>5</w:t>
      </w:r>
      <w:r w:rsidRPr="00C665DD">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(3-judge panel) decision, </w:t>
      </w:r>
      <w:r w:rsidRPr="00C665DD">
        <w:rPr>
          <w:rFonts w:ascii="Times New Roman" w:eastAsia="Times New Roman" w:hAnsi="Times New Roman"/>
          <w:sz w:val="24"/>
          <w:szCs w:val="24"/>
        </w:rPr>
        <w:t>remanded case back to 5</w:t>
      </w:r>
      <w:r w:rsidRPr="00C665DD">
        <w:rPr>
          <w:rFonts w:ascii="Times New Roman" w:eastAsia="Times New Roman" w:hAnsi="Times New Roman"/>
          <w:sz w:val="24"/>
          <w:szCs w:val="24"/>
          <w:vertAlign w:val="superscript"/>
        </w:rPr>
        <w:t>th</w:t>
      </w:r>
      <w:r w:rsidRPr="00C665DD">
        <w:rPr>
          <w:rFonts w:ascii="Times New Roman" w:eastAsia="Times New Roman" w:hAnsi="Times New Roman"/>
          <w:sz w:val="24"/>
          <w:szCs w:val="24"/>
        </w:rPr>
        <w:t xml:space="preserve"> Circuit</w:t>
      </w:r>
      <w:r>
        <w:rPr>
          <w:rFonts w:ascii="Times New Roman" w:eastAsia="Times New Roman" w:hAnsi="Times New Roman"/>
          <w:sz w:val="24"/>
          <w:szCs w:val="24"/>
        </w:rPr>
        <w:t xml:space="preserve">. </w:t>
      </w:r>
      <w:r w:rsidRPr="00C665DD">
        <w:rPr>
          <w:rFonts w:ascii="Times New Roman" w:eastAsia="Times New Roman" w:hAnsi="Times New Roman"/>
          <w:sz w:val="24"/>
          <w:szCs w:val="24"/>
        </w:rPr>
        <w:t xml:space="preserve"> </w:t>
      </w:r>
    </w:p>
    <w:p w14:paraId="1EFA2CD6" w14:textId="77777777" w:rsidR="00AE6CF5" w:rsidRPr="00816DF1" w:rsidRDefault="00AE6CF5" w:rsidP="00AE6CF5">
      <w:pPr>
        <w:spacing w:before="100" w:beforeAutospacing="1" w:after="100" w:afterAutospacing="1" w:line="240" w:lineRule="auto"/>
        <w:ind w:left="1440"/>
        <w:rPr>
          <w:rFonts w:ascii="Times New Roman" w:eastAsia="Times New Roman" w:hAnsi="Times New Roman"/>
          <w:sz w:val="24"/>
          <w:szCs w:val="24"/>
        </w:rPr>
      </w:pPr>
      <w:r>
        <w:rPr>
          <w:rStyle w:val="markedcontent"/>
          <w:sz w:val="24"/>
          <w:szCs w:val="24"/>
        </w:rPr>
        <w:t>“</w:t>
      </w:r>
      <w:r w:rsidRPr="00C665DD">
        <w:rPr>
          <w:rStyle w:val="markedcontent"/>
          <w:sz w:val="24"/>
          <w:szCs w:val="24"/>
        </w:rPr>
        <w:t>We think that the Fifth Circuit’s interpretation of state</w:t>
      </w:r>
      <w:r>
        <w:rPr>
          <w:rStyle w:val="markedcontent"/>
          <w:sz w:val="24"/>
          <w:szCs w:val="24"/>
        </w:rPr>
        <w:t xml:space="preserve"> </w:t>
      </w:r>
      <w:r w:rsidRPr="00C665DD">
        <w:rPr>
          <w:rStyle w:val="markedcontent"/>
          <w:sz w:val="24"/>
          <w:szCs w:val="24"/>
        </w:rPr>
        <w:t xml:space="preserve">law is too uncertain a premise on which to address the </w:t>
      </w:r>
      <w:proofErr w:type="spellStart"/>
      <w:r w:rsidRPr="00C665DD">
        <w:rPr>
          <w:rStyle w:val="markedcontent"/>
          <w:sz w:val="24"/>
          <w:szCs w:val="24"/>
        </w:rPr>
        <w:t>ques</w:t>
      </w:r>
      <w:proofErr w:type="spellEnd"/>
      <w:r>
        <w:rPr>
          <w:rStyle w:val="markedcontent"/>
          <w:sz w:val="24"/>
          <w:szCs w:val="24"/>
        </w:rPr>
        <w:t xml:space="preserve"> </w:t>
      </w:r>
      <w:proofErr w:type="spellStart"/>
      <w:r w:rsidRPr="00C665DD">
        <w:rPr>
          <w:rStyle w:val="markedcontent"/>
          <w:sz w:val="24"/>
          <w:szCs w:val="24"/>
        </w:rPr>
        <w:t>tion</w:t>
      </w:r>
      <w:proofErr w:type="spellEnd"/>
      <w:r w:rsidRPr="00C665DD">
        <w:rPr>
          <w:rStyle w:val="markedcontent"/>
          <w:sz w:val="24"/>
          <w:szCs w:val="24"/>
        </w:rPr>
        <w:t xml:space="preserve"> presented. The constitutional issue, though undeniably important, is implicated only if Louisiana law permits</w:t>
      </w:r>
      <w:r w:rsidRPr="00C665DD">
        <w:rPr>
          <w:rFonts w:ascii="Times New Roman" w:hAnsi="Times New Roman"/>
          <w:sz w:val="24"/>
          <w:szCs w:val="24"/>
        </w:rPr>
        <w:br/>
      </w:r>
      <w:r w:rsidRPr="00C665DD">
        <w:rPr>
          <w:rStyle w:val="markedcontent"/>
          <w:sz w:val="24"/>
          <w:szCs w:val="24"/>
        </w:rPr>
        <w:t>recovery under these circumstances in the first place. The</w:t>
      </w:r>
      <w:r>
        <w:rPr>
          <w:rStyle w:val="markedcontent"/>
          <w:sz w:val="24"/>
          <w:szCs w:val="24"/>
        </w:rPr>
        <w:t xml:space="preserve"> </w:t>
      </w:r>
      <w:r w:rsidRPr="00C665DD">
        <w:rPr>
          <w:rStyle w:val="markedcontent"/>
          <w:sz w:val="24"/>
          <w:szCs w:val="24"/>
        </w:rPr>
        <w:t xml:space="preserve">dispute thus could be </w:t>
      </w:r>
      <w:r>
        <w:rPr>
          <w:rStyle w:val="markedcontent"/>
          <w:sz w:val="24"/>
          <w:szCs w:val="24"/>
        </w:rPr>
        <w:t>‘</w:t>
      </w:r>
      <w:r w:rsidRPr="00C665DD">
        <w:rPr>
          <w:rStyle w:val="markedcontent"/>
          <w:sz w:val="24"/>
          <w:szCs w:val="24"/>
        </w:rPr>
        <w:t xml:space="preserve">greatly </w:t>
      </w:r>
      <w:proofErr w:type="spellStart"/>
      <w:proofErr w:type="gramStart"/>
      <w:r w:rsidRPr="00C665DD">
        <w:rPr>
          <w:rStyle w:val="markedcontent"/>
          <w:sz w:val="24"/>
          <w:szCs w:val="24"/>
        </w:rPr>
        <w:t>simplifie</w:t>
      </w:r>
      <w:proofErr w:type="spellEnd"/>
      <w:r w:rsidRPr="00C665DD">
        <w:rPr>
          <w:rStyle w:val="markedcontent"/>
          <w:sz w:val="24"/>
          <w:szCs w:val="24"/>
        </w:rPr>
        <w:t>[d]</w:t>
      </w:r>
      <w:r>
        <w:rPr>
          <w:rStyle w:val="markedcontent"/>
          <w:sz w:val="24"/>
          <w:szCs w:val="24"/>
        </w:rPr>
        <w:t>’</w:t>
      </w:r>
      <w:proofErr w:type="gramEnd"/>
      <w:r w:rsidRPr="00C665DD">
        <w:rPr>
          <w:rStyle w:val="markedcontent"/>
          <w:sz w:val="24"/>
          <w:szCs w:val="24"/>
        </w:rPr>
        <w:t xml:space="preserve"> by guidance</w:t>
      </w:r>
      <w:r>
        <w:rPr>
          <w:rStyle w:val="markedcontent"/>
          <w:sz w:val="24"/>
          <w:szCs w:val="24"/>
        </w:rPr>
        <w:t xml:space="preserve"> </w:t>
      </w:r>
      <w:r w:rsidRPr="00C665DD">
        <w:rPr>
          <w:rStyle w:val="markedcontent"/>
          <w:sz w:val="24"/>
          <w:szCs w:val="24"/>
        </w:rPr>
        <w:t xml:space="preserve">from the Louisiana Supreme Court on the meaning of Louisiana </w:t>
      </w:r>
      <w:proofErr w:type="gramStart"/>
      <w:r w:rsidRPr="00C665DD">
        <w:rPr>
          <w:rStyle w:val="markedcontent"/>
          <w:sz w:val="24"/>
          <w:szCs w:val="24"/>
        </w:rPr>
        <w:t>law.</w:t>
      </w:r>
      <w:r>
        <w:rPr>
          <w:rStyle w:val="markedcontent"/>
          <w:sz w:val="24"/>
          <w:szCs w:val="24"/>
        </w:rPr>
        <w:t>”</w:t>
      </w:r>
      <w:proofErr w:type="gramEnd"/>
      <w:r>
        <w:rPr>
          <w:rFonts w:ascii="Times New Roman" w:eastAsia="Times New Roman" w:hAnsi="Times New Roman"/>
          <w:sz w:val="24"/>
          <w:szCs w:val="24"/>
        </w:rPr>
        <w:t xml:space="preserve"> </w:t>
      </w:r>
      <w:hyperlink r:id="rId753" w:history="1">
        <w:r w:rsidRPr="00CD0640">
          <w:rPr>
            <w:rStyle w:val="Hyperlink"/>
            <w:rFonts w:ascii="Times New Roman" w:hAnsi="Times New Roman"/>
            <w:sz w:val="24"/>
            <w:szCs w:val="24"/>
          </w:rPr>
          <w:t>https://www.supremecourt.gov/opinions/20pdf/19-1108_8n5a.pdf</w:t>
        </w:r>
      </w:hyperlink>
      <w:r w:rsidRPr="00816DF1">
        <w:rPr>
          <w:rStyle w:val="markedcontent"/>
          <w:sz w:val="24"/>
          <w:szCs w:val="24"/>
        </w:rPr>
        <w:t xml:space="preserve"> </w:t>
      </w:r>
    </w:p>
    <w:p w14:paraId="77FA3D39" w14:textId="77777777" w:rsidR="00AE6CF5" w:rsidRDefault="00AE6CF5" w:rsidP="00F326E5">
      <w:pPr>
        <w:pStyle w:val="NoSpacing"/>
        <w:rPr>
          <w:rFonts w:ascii="Arial Black" w:hAnsi="Arial Black"/>
          <w:sz w:val="28"/>
          <w:szCs w:val="28"/>
        </w:rPr>
      </w:pPr>
    </w:p>
    <w:p w14:paraId="1B0757B3" w14:textId="77777777" w:rsidR="00AE6CF5" w:rsidRDefault="00AE6CF5" w:rsidP="00F326E5">
      <w:pPr>
        <w:pStyle w:val="NoSpacing"/>
        <w:rPr>
          <w:rFonts w:ascii="Arial Black" w:hAnsi="Arial Black"/>
          <w:sz w:val="28"/>
          <w:szCs w:val="28"/>
        </w:rPr>
      </w:pPr>
    </w:p>
    <w:p w14:paraId="4A94EFC6" w14:textId="560BBABA" w:rsidR="00AE6CF5" w:rsidRDefault="00AE6CF5" w:rsidP="00F326E5">
      <w:pPr>
        <w:pStyle w:val="NoSpacing"/>
        <w:rPr>
          <w:rFonts w:ascii="Arial Black" w:hAnsi="Arial Black"/>
          <w:sz w:val="28"/>
          <w:szCs w:val="28"/>
        </w:rPr>
      </w:pPr>
      <w:r>
        <w:rPr>
          <w:rFonts w:ascii="Arial Black" w:hAnsi="Arial Black"/>
          <w:sz w:val="28"/>
          <w:szCs w:val="28"/>
        </w:rPr>
        <w:lastRenderedPageBreak/>
        <w:t>3-41</w:t>
      </w:r>
    </w:p>
    <w:p w14:paraId="6CEAC9C7" w14:textId="064BCC1C" w:rsidR="00AE6CF5" w:rsidRDefault="00AE6CF5" w:rsidP="00F326E5">
      <w:pPr>
        <w:pStyle w:val="NoSpacing"/>
        <w:rPr>
          <w:rFonts w:ascii="Arial Black" w:hAnsi="Arial Black"/>
          <w:sz w:val="28"/>
          <w:szCs w:val="28"/>
        </w:rPr>
      </w:pPr>
    </w:p>
    <w:p w14:paraId="28AE1371" w14:textId="77777777" w:rsidR="00AE6CF5" w:rsidRPr="003564FE" w:rsidRDefault="00AE6CF5" w:rsidP="00AE6CF5">
      <w:pPr>
        <w:pStyle w:val="Heading1"/>
        <w:rPr>
          <w:rFonts w:ascii="Arial Black" w:hAnsi="Arial Black"/>
          <w:b w:val="0"/>
          <w:bCs w:val="0"/>
          <w:sz w:val="28"/>
          <w:szCs w:val="28"/>
        </w:rPr>
      </w:pPr>
      <w:r>
        <w:rPr>
          <w:rFonts w:ascii="Arial Black" w:hAnsi="Arial Black"/>
          <w:b w:val="0"/>
          <w:bCs w:val="0"/>
          <w:sz w:val="28"/>
          <w:szCs w:val="28"/>
        </w:rPr>
        <w:t>U.S. SUP. COURT: NAVY SEALS MUST GET COVID VACCINATED – MILITARY OPERATIONAL DECISION</w:t>
      </w:r>
    </w:p>
    <w:p w14:paraId="392CA7F3" w14:textId="77777777" w:rsidR="00AE6CF5" w:rsidRDefault="00AE6CF5" w:rsidP="00AE6CF5">
      <w:pPr>
        <w:pStyle w:val="Heading1"/>
        <w:rPr>
          <w:rStyle w:val="Hyperlink"/>
          <w:rFonts w:eastAsiaTheme="majorEastAsia"/>
          <w:b w:val="0"/>
          <w:bCs w:val="0"/>
          <w:sz w:val="24"/>
          <w:szCs w:val="24"/>
        </w:rPr>
      </w:pPr>
      <w:r>
        <w:rPr>
          <w:b w:val="0"/>
          <w:bCs w:val="0"/>
          <w:sz w:val="24"/>
          <w:szCs w:val="24"/>
        </w:rPr>
        <w:t xml:space="preserve">On March 25, 2022, in </w:t>
      </w:r>
      <w:r w:rsidRPr="003564FE">
        <w:rPr>
          <w:b w:val="0"/>
          <w:bCs w:val="0"/>
          <w:sz w:val="24"/>
          <w:szCs w:val="24"/>
          <w:u w:val="single"/>
        </w:rPr>
        <w:t>Lloyd J. Austin, II, Secretary of Defense v. U.S. Navy Seals, et al.,</w:t>
      </w:r>
      <w:r>
        <w:rPr>
          <w:b w:val="0"/>
          <w:bCs w:val="0"/>
          <w:sz w:val="24"/>
          <w:szCs w:val="24"/>
        </w:rPr>
        <w:t xml:space="preserve">  the U.S. Supreme Court issued order (6 to 3) granting the U.S. Government’s motion for a partial stay of the decisions by both the 5</w:t>
      </w:r>
      <w:r w:rsidRPr="00677D67">
        <w:rPr>
          <w:b w:val="0"/>
          <w:bCs w:val="0"/>
          <w:sz w:val="24"/>
          <w:szCs w:val="24"/>
          <w:vertAlign w:val="superscript"/>
        </w:rPr>
        <w:t>th</w:t>
      </w:r>
      <w:r>
        <w:rPr>
          <w:b w:val="0"/>
          <w:bCs w:val="0"/>
          <w:sz w:val="24"/>
          <w:szCs w:val="24"/>
        </w:rPr>
        <w:t xml:space="preserve"> Circuit and a U.S. District Court judge in Texas regarding 35 Navy seals.  </w:t>
      </w:r>
      <w:hyperlink r:id="rId754" w:history="1">
        <w:r w:rsidRPr="00EF2641">
          <w:rPr>
            <w:rStyle w:val="Hyperlink"/>
            <w:rFonts w:eastAsiaTheme="majorEastAsia"/>
            <w:b w:val="0"/>
            <w:bCs w:val="0"/>
            <w:sz w:val="24"/>
            <w:szCs w:val="24"/>
          </w:rPr>
          <w:t>https://www.supremecourt.gov/opinions/21pdf/21a477_1bo2.pdf</w:t>
        </w:r>
      </w:hyperlink>
    </w:p>
    <w:p w14:paraId="0133DD36" w14:textId="77777777" w:rsidR="00AE6CF5" w:rsidRPr="005925FA" w:rsidRDefault="00AE6CF5" w:rsidP="00AE6CF5">
      <w:pPr>
        <w:pStyle w:val="Heading1"/>
        <w:ind w:left="720"/>
        <w:rPr>
          <w:rStyle w:val="Hyperlink"/>
          <w:rFonts w:eastAsiaTheme="majorEastAsia"/>
          <w:b w:val="0"/>
          <w:bCs w:val="0"/>
          <w:sz w:val="24"/>
          <w:szCs w:val="24"/>
        </w:rPr>
      </w:pPr>
      <w:r w:rsidRPr="005925FA">
        <w:rPr>
          <w:rStyle w:val="markedcontent"/>
          <w:b w:val="0"/>
          <w:bCs w:val="0"/>
          <w:sz w:val="24"/>
          <w:szCs w:val="24"/>
        </w:rPr>
        <w:t xml:space="preserve">“The district court’s January 3, 2022 order, insofar as it precludes the Navy from considering respondents’ vaccination status in making deployment, assignment, and other operational decisions, is stayed pending disposition of the appeal in the United States Court of Appeals for the Fifth Circuit and disposition of the petition for a writ of certiorari, if such writ is timely sought.” </w:t>
      </w:r>
      <w:hyperlink r:id="rId755" w:history="1">
        <w:r w:rsidRPr="005925FA">
          <w:rPr>
            <w:rStyle w:val="Hyperlink"/>
            <w:rFonts w:eastAsiaTheme="majorEastAsia"/>
            <w:b w:val="0"/>
            <w:bCs w:val="0"/>
            <w:sz w:val="24"/>
            <w:szCs w:val="24"/>
          </w:rPr>
          <w:t>https://www.supremecourt.gov/opinions/21pdf/21a477_1bo2.pdf</w:t>
        </w:r>
      </w:hyperlink>
    </w:p>
    <w:p w14:paraId="3DBA227B" w14:textId="77777777" w:rsidR="00AE6CF5" w:rsidRPr="005925FA" w:rsidRDefault="00AE6CF5" w:rsidP="00AE6CF5">
      <w:pPr>
        <w:pStyle w:val="Heading1"/>
        <w:rPr>
          <w:rStyle w:val="markedcontent"/>
          <w:b w:val="0"/>
          <w:bCs w:val="0"/>
          <w:sz w:val="24"/>
          <w:szCs w:val="24"/>
        </w:rPr>
      </w:pPr>
      <w:r w:rsidRPr="005925FA">
        <w:rPr>
          <w:rStyle w:val="markedcontent"/>
          <w:b w:val="0"/>
          <w:bCs w:val="0"/>
          <w:sz w:val="24"/>
          <w:szCs w:val="24"/>
        </w:rPr>
        <w:t>Concurring Opinion:</w:t>
      </w:r>
    </w:p>
    <w:p w14:paraId="28C99590" w14:textId="77777777" w:rsidR="00AE6CF5" w:rsidRPr="005925FA" w:rsidRDefault="00AE6CF5" w:rsidP="00AE6CF5">
      <w:pPr>
        <w:pStyle w:val="Heading1"/>
        <w:ind w:left="720"/>
        <w:rPr>
          <w:rStyle w:val="markedcontent"/>
          <w:b w:val="0"/>
          <w:bCs w:val="0"/>
          <w:sz w:val="24"/>
          <w:szCs w:val="24"/>
        </w:rPr>
      </w:pPr>
      <w:r w:rsidRPr="005925FA">
        <w:rPr>
          <w:rStyle w:val="markedcontent"/>
          <w:b w:val="0"/>
          <w:bCs w:val="0"/>
          <w:sz w:val="24"/>
          <w:szCs w:val="24"/>
        </w:rPr>
        <w:t xml:space="preserve">Justice Kavanaugh in a concurring decision wrote: </w:t>
      </w:r>
    </w:p>
    <w:p w14:paraId="587B8230" w14:textId="77777777" w:rsidR="00AE6CF5" w:rsidRPr="005925FA" w:rsidRDefault="00AE6CF5" w:rsidP="00AE6CF5">
      <w:pPr>
        <w:pStyle w:val="Heading1"/>
        <w:ind w:left="1440"/>
        <w:rPr>
          <w:rStyle w:val="markedcontent"/>
          <w:b w:val="0"/>
          <w:bCs w:val="0"/>
          <w:sz w:val="24"/>
          <w:szCs w:val="24"/>
        </w:rPr>
      </w:pPr>
      <w:r w:rsidRPr="005925FA">
        <w:rPr>
          <w:rStyle w:val="markedcontent"/>
          <w:b w:val="0"/>
          <w:bCs w:val="0"/>
          <w:sz w:val="24"/>
          <w:szCs w:val="24"/>
        </w:rPr>
        <w:t>“As the Court has long emphasized, moreover, the ‘complex, subtle, and professional decisions as to the composition, training, equipping, and control of a</w:t>
      </w:r>
      <w:r w:rsidRPr="005925FA">
        <w:rPr>
          <w:b w:val="0"/>
          <w:bCs w:val="0"/>
          <w:sz w:val="24"/>
          <w:szCs w:val="24"/>
        </w:rPr>
        <w:br/>
      </w:r>
      <w:r w:rsidRPr="005925FA">
        <w:rPr>
          <w:rStyle w:val="markedcontent"/>
          <w:b w:val="0"/>
          <w:bCs w:val="0"/>
          <w:sz w:val="24"/>
          <w:szCs w:val="24"/>
        </w:rPr>
        <w:t>military force are essentially professional military judgments.’ Gilligan v. Morgan, 413 U. S. 1, 10 (1973). Therefore, it is ‘difficult to conceive of an area of governmental activity in which the courts have less competence.’</w:t>
      </w:r>
    </w:p>
    <w:p w14:paraId="153E5337" w14:textId="77777777" w:rsidR="00AE6CF5" w:rsidRPr="005925FA" w:rsidRDefault="00AE6CF5" w:rsidP="00AE6CF5">
      <w:pPr>
        <w:pStyle w:val="Heading1"/>
        <w:ind w:left="1440"/>
        <w:rPr>
          <w:rStyle w:val="markedcontent"/>
          <w:b w:val="0"/>
          <w:bCs w:val="0"/>
          <w:sz w:val="24"/>
          <w:szCs w:val="24"/>
        </w:rPr>
      </w:pPr>
      <w:r w:rsidRPr="005925FA">
        <w:rPr>
          <w:rStyle w:val="markedcontent"/>
          <w:b w:val="0"/>
          <w:bCs w:val="0"/>
          <w:sz w:val="24"/>
          <w:szCs w:val="24"/>
        </w:rPr>
        <w:t>***</w:t>
      </w:r>
    </w:p>
    <w:p w14:paraId="130B2E6A" w14:textId="77777777" w:rsidR="00AE6CF5" w:rsidRPr="005925FA" w:rsidRDefault="00AE6CF5" w:rsidP="00AE6CF5">
      <w:pPr>
        <w:pStyle w:val="Heading1"/>
        <w:ind w:left="1440"/>
        <w:rPr>
          <w:rStyle w:val="markedcontent"/>
          <w:b w:val="0"/>
          <w:bCs w:val="0"/>
          <w:sz w:val="24"/>
          <w:szCs w:val="24"/>
        </w:rPr>
      </w:pPr>
      <w:r w:rsidRPr="005925FA">
        <w:rPr>
          <w:rStyle w:val="markedcontent"/>
          <w:b w:val="0"/>
          <w:bCs w:val="0"/>
          <w:sz w:val="24"/>
          <w:szCs w:val="24"/>
        </w:rPr>
        <w:t xml:space="preserve">As Admiral William Lescher, Vice Chief of Naval Operations, explained: ‘Sending ships into combat without maximizing the crew’s odds of success, such as would be the case with ship deficiencies in ordnance, radar, working weapons or the means to reliably accomplish the mission, is dereliction of duty. The same applies to ordering unvaccinated personnel into an environment in which they endanger their lives, the lives of others and compromise accomplishment of </w:t>
      </w:r>
      <w:r w:rsidRPr="005925FA">
        <w:rPr>
          <w:b w:val="0"/>
          <w:bCs w:val="0"/>
          <w:sz w:val="24"/>
          <w:szCs w:val="24"/>
        </w:rPr>
        <w:br/>
      </w:r>
      <w:r w:rsidRPr="005925FA">
        <w:rPr>
          <w:rStyle w:val="markedcontent"/>
          <w:b w:val="0"/>
          <w:bCs w:val="0"/>
          <w:sz w:val="24"/>
          <w:szCs w:val="24"/>
        </w:rPr>
        <w:t>essential missions.”</w:t>
      </w:r>
    </w:p>
    <w:p w14:paraId="2F004C49" w14:textId="77777777" w:rsidR="00AE6CF5" w:rsidRPr="0088598C" w:rsidRDefault="00AE6CF5" w:rsidP="00AE6CF5">
      <w:pPr>
        <w:pStyle w:val="Heading1"/>
        <w:rPr>
          <w:rStyle w:val="markedcontent"/>
          <w:b w:val="0"/>
          <w:bCs w:val="0"/>
          <w:sz w:val="24"/>
          <w:szCs w:val="24"/>
        </w:rPr>
      </w:pPr>
      <w:r w:rsidRPr="00EF2641">
        <w:rPr>
          <w:rStyle w:val="markedcontent"/>
          <w:sz w:val="24"/>
          <w:szCs w:val="24"/>
        </w:rPr>
        <w:t xml:space="preserve">Legal Lesson Learned: </w:t>
      </w:r>
      <w:r>
        <w:rPr>
          <w:rStyle w:val="markedcontent"/>
          <w:sz w:val="24"/>
          <w:szCs w:val="24"/>
        </w:rPr>
        <w:t xml:space="preserve"> The U.S. Supreme Court majority clearly decided to not interfere with U.S. military command decisions regarding deployment eligibility of personnel. </w:t>
      </w:r>
    </w:p>
    <w:p w14:paraId="397B53B4" w14:textId="77777777" w:rsidR="00AE6CF5" w:rsidRPr="00ED08CC" w:rsidRDefault="00AE6CF5" w:rsidP="00AE6CF5">
      <w:pPr>
        <w:pStyle w:val="Heading1"/>
        <w:ind w:left="720"/>
        <w:rPr>
          <w:rStyle w:val="markedcontent"/>
          <w:b w:val="0"/>
          <w:bCs w:val="0"/>
          <w:sz w:val="24"/>
          <w:szCs w:val="24"/>
        </w:rPr>
      </w:pPr>
      <w:r>
        <w:rPr>
          <w:b w:val="0"/>
          <w:bCs w:val="0"/>
          <w:sz w:val="24"/>
          <w:szCs w:val="24"/>
        </w:rPr>
        <w:t>Note: On Feb. 26, 2022, the 5</w:t>
      </w:r>
      <w:r w:rsidRPr="00822DF0">
        <w:rPr>
          <w:b w:val="0"/>
          <w:bCs w:val="0"/>
          <w:sz w:val="24"/>
          <w:szCs w:val="24"/>
          <w:vertAlign w:val="superscript"/>
        </w:rPr>
        <w:t>th</w:t>
      </w:r>
      <w:r>
        <w:rPr>
          <w:b w:val="0"/>
          <w:bCs w:val="0"/>
          <w:sz w:val="24"/>
          <w:szCs w:val="24"/>
        </w:rPr>
        <w:t xml:space="preserve"> Circuit (New Orleans) upheld the District Court judge, holding (3 to 0):</w:t>
      </w:r>
      <w:r w:rsidRPr="0088598C">
        <w:t xml:space="preserve"> </w:t>
      </w:r>
      <w:hyperlink r:id="rId756" w:history="1">
        <w:r w:rsidRPr="005C3AB1">
          <w:rPr>
            <w:rStyle w:val="Hyperlink"/>
            <w:rFonts w:eastAsiaTheme="majorEastAsia"/>
            <w:b w:val="0"/>
            <w:bCs w:val="0"/>
            <w:sz w:val="24"/>
            <w:szCs w:val="24"/>
          </w:rPr>
          <w:t>https://www.ca5.uscourts.gov/opinions/pub/22/22-10077-CV0.pdf</w:t>
        </w:r>
      </w:hyperlink>
    </w:p>
    <w:p w14:paraId="4B46E94C" w14:textId="77777777" w:rsidR="00AE6CF5" w:rsidRPr="00B81AFF" w:rsidRDefault="00AE6CF5" w:rsidP="00AE6CF5">
      <w:pPr>
        <w:pStyle w:val="Heading1"/>
        <w:ind w:left="1440"/>
        <w:rPr>
          <w:rStyle w:val="markedcontent"/>
          <w:b w:val="0"/>
          <w:bCs w:val="0"/>
          <w:sz w:val="24"/>
          <w:szCs w:val="24"/>
        </w:rPr>
      </w:pPr>
      <w:r w:rsidRPr="00B81AFF">
        <w:rPr>
          <w:rStyle w:val="markedcontent"/>
          <w:b w:val="0"/>
          <w:bCs w:val="0"/>
          <w:sz w:val="24"/>
          <w:szCs w:val="24"/>
        </w:rPr>
        <w:t>“The Navy has granted hundreds of medical exemptions from vaccination requirements, allowing those service members to seek medical waivers and become deployable. But it has not accommodated any religious objection to any vaccine in seven years, preventing those seeking such accommodations from even being considered for medical waivers. We DENY Defendants’ motion.”</w:t>
      </w:r>
    </w:p>
    <w:p w14:paraId="24E2088B" w14:textId="77777777" w:rsidR="00AE6CF5" w:rsidRDefault="00AE6CF5" w:rsidP="00F326E5">
      <w:pPr>
        <w:pStyle w:val="NoSpacing"/>
        <w:rPr>
          <w:rFonts w:ascii="Arial Black" w:hAnsi="Arial Black"/>
          <w:sz w:val="28"/>
          <w:szCs w:val="28"/>
        </w:rPr>
      </w:pPr>
    </w:p>
    <w:p w14:paraId="1EE561EC" w14:textId="77777777" w:rsidR="00AE6CF5" w:rsidRDefault="00AE6CF5" w:rsidP="00F326E5">
      <w:pPr>
        <w:pStyle w:val="NoSpacing"/>
        <w:rPr>
          <w:rFonts w:ascii="Arial Black" w:hAnsi="Arial Black"/>
          <w:sz w:val="28"/>
          <w:szCs w:val="28"/>
        </w:rPr>
      </w:pPr>
    </w:p>
    <w:p w14:paraId="17572456" w14:textId="77777777" w:rsidR="00AE6CF5" w:rsidRDefault="00AE6CF5" w:rsidP="00F326E5">
      <w:pPr>
        <w:pStyle w:val="NoSpacing"/>
        <w:rPr>
          <w:rFonts w:ascii="Arial Black" w:hAnsi="Arial Black"/>
          <w:sz w:val="28"/>
          <w:szCs w:val="28"/>
        </w:rPr>
      </w:pPr>
    </w:p>
    <w:p w14:paraId="16FA83F2" w14:textId="60EA4B49" w:rsidR="0082055F" w:rsidRDefault="00A20CA7" w:rsidP="00F326E5">
      <w:pPr>
        <w:pStyle w:val="NoSpacing"/>
        <w:rPr>
          <w:rFonts w:ascii="Arial Black" w:hAnsi="Arial Black"/>
          <w:sz w:val="28"/>
          <w:szCs w:val="28"/>
        </w:rPr>
      </w:pPr>
      <w:r>
        <w:rPr>
          <w:rFonts w:ascii="Arial Black" w:hAnsi="Arial Black"/>
          <w:sz w:val="28"/>
          <w:szCs w:val="28"/>
        </w:rPr>
        <w:t>3-40</w:t>
      </w:r>
    </w:p>
    <w:p w14:paraId="1519126D" w14:textId="77777777" w:rsidR="00A20CA7" w:rsidRDefault="00A20CA7" w:rsidP="00A20CA7">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PA: TREE OF LIFE SYNAGOGUE – SHOOTER’S STATEMENTS TO SWAT ADMISSIBLE – PUBLIC SAFETY EXCEPTION</w:t>
      </w:r>
    </w:p>
    <w:p w14:paraId="7DE491CC" w14:textId="77777777" w:rsidR="00A20CA7" w:rsidRDefault="00A20CA7" w:rsidP="00A20CA7">
      <w:pPr>
        <w:pStyle w:val="NormalWeb"/>
      </w:pPr>
      <w:r>
        <w:t xml:space="preserve">On Jan. 20, 2022, in </w:t>
      </w:r>
      <w:r w:rsidRPr="00904325">
        <w:rPr>
          <w:u w:val="single"/>
        </w:rPr>
        <w:t>United States of America v. Robert Bowers</w:t>
      </w:r>
      <w:r>
        <w:t>, Senior U.S. District Court Judge D</w:t>
      </w:r>
      <w:r w:rsidRPr="00904325">
        <w:t>onetta</w:t>
      </w:r>
      <w:r>
        <w:t xml:space="preserve"> Ambrose, U.S. District Court for Western District of Pennsylvania, denied the defendant’s motion to suppress statements made to police at that scene prior to being given Miranda warning, based on the “public safety exception.”  The defendant was armed </w:t>
      </w:r>
      <w:r w:rsidRPr="002A0ACB">
        <w:t xml:space="preserve">with an AR-15-style assault rifle and at least three handguns, </w:t>
      </w:r>
      <w:r>
        <w:t xml:space="preserve">shouted </w:t>
      </w:r>
      <w:r w:rsidRPr="002A0ACB">
        <w:t xml:space="preserve">anti-Semitic slurs </w:t>
      </w:r>
      <w:r>
        <w:t xml:space="preserve">and killed </w:t>
      </w:r>
      <w:r w:rsidRPr="002A0ACB">
        <w:t>11 congregants and wound</w:t>
      </w:r>
      <w:r>
        <w:t>ed</w:t>
      </w:r>
      <w:r w:rsidRPr="002A0ACB">
        <w:t xml:space="preserve"> four police officers</w:t>
      </w:r>
      <w:r>
        <w:t xml:space="preserve">.  </w:t>
      </w:r>
      <w:hyperlink r:id="rId757" w:history="1">
        <w:r w:rsidRPr="00A07B51">
          <w:rPr>
            <w:rStyle w:val="Hyperlink"/>
            <w:rFonts w:eastAsiaTheme="majorEastAsia"/>
          </w:rPr>
          <w:t>https://public.fastcase.com/9SKwsfNqTc6OieYDhNMyMwgnH2rEWQiRpx4SwB8tOsl9D8EiwJnekd530roHqTrENez3wWnOYZMVTxSfKTsOEtbG3zaICMf20ttzqQEEaDo</w:t>
        </w:r>
      </w:hyperlink>
    </w:p>
    <w:p w14:paraId="1C0AB4BE" w14:textId="77777777" w:rsidR="009A3D9F" w:rsidRPr="00F35AD1" w:rsidRDefault="009A3D9F" w:rsidP="009A3D9F">
      <w:pPr>
        <w:pStyle w:val="NormalWeb"/>
        <w:rPr>
          <w:b/>
          <w:bCs/>
        </w:rPr>
      </w:pPr>
      <w:r w:rsidRPr="00BA5395">
        <w:rPr>
          <w:b/>
          <w:bCs/>
        </w:rPr>
        <w:t>Legal Lesson Learned:</w:t>
      </w:r>
      <w:r>
        <w:rPr>
          <w:b/>
          <w:bCs/>
        </w:rPr>
        <w:t xml:space="preserve"> The “public safety exception” to Miranda ruling allows into evidence statements of defendants in response to police questioning in situations where there is a threat to public safety. </w:t>
      </w:r>
    </w:p>
    <w:p w14:paraId="07925D7C" w14:textId="77777777" w:rsidR="00A20CA7" w:rsidRDefault="00A20CA7" w:rsidP="00F326E5">
      <w:pPr>
        <w:pStyle w:val="NoSpacing"/>
        <w:rPr>
          <w:rFonts w:ascii="Arial Black" w:hAnsi="Arial Black"/>
          <w:sz w:val="28"/>
          <w:szCs w:val="28"/>
        </w:rPr>
      </w:pPr>
    </w:p>
    <w:p w14:paraId="78DAC4EE" w14:textId="77777777" w:rsidR="00A20CA7" w:rsidRDefault="00A20CA7" w:rsidP="00F326E5">
      <w:pPr>
        <w:pStyle w:val="NoSpacing"/>
        <w:rPr>
          <w:rFonts w:ascii="Arial Black" w:hAnsi="Arial Black"/>
          <w:sz w:val="28"/>
          <w:szCs w:val="28"/>
        </w:rPr>
      </w:pPr>
    </w:p>
    <w:p w14:paraId="6B4EA7EA" w14:textId="4941B572" w:rsidR="00954D68" w:rsidRDefault="00954D68" w:rsidP="00F326E5">
      <w:pPr>
        <w:pStyle w:val="NoSpacing"/>
        <w:rPr>
          <w:rFonts w:ascii="Arial Black" w:hAnsi="Arial Black"/>
          <w:sz w:val="28"/>
          <w:szCs w:val="28"/>
        </w:rPr>
      </w:pPr>
      <w:r>
        <w:rPr>
          <w:rFonts w:ascii="Arial Black" w:hAnsi="Arial Black"/>
          <w:sz w:val="28"/>
          <w:szCs w:val="28"/>
        </w:rPr>
        <w:t>3-39</w:t>
      </w:r>
    </w:p>
    <w:p w14:paraId="02170FAF" w14:textId="77777777" w:rsidR="00954D68" w:rsidRDefault="00954D68" w:rsidP="00954D68">
      <w:pPr>
        <w:spacing w:before="100" w:beforeAutospacing="1" w:after="100" w:afterAutospacing="1" w:line="240" w:lineRule="auto"/>
        <w:rPr>
          <w:rFonts w:ascii="Arial Black" w:eastAsia="Times New Roman" w:hAnsi="Arial Black"/>
          <w:b/>
          <w:bCs/>
          <w:sz w:val="28"/>
          <w:szCs w:val="28"/>
        </w:rPr>
      </w:pPr>
      <w:bookmarkStart w:id="134" w:name="_Hlk92113429"/>
      <w:r>
        <w:rPr>
          <w:rFonts w:ascii="Arial Black" w:eastAsia="Times New Roman" w:hAnsi="Arial Black"/>
          <w:b/>
          <w:bCs/>
          <w:sz w:val="28"/>
          <w:szCs w:val="28"/>
        </w:rPr>
        <w:t>MI: TERRORIST CONFESSION TO FBI - MIRANDA WARNINGS GIVEN BY FBI DURING C-17 FLIGHT TO U.S. - ADMISSIBLE</w:t>
      </w:r>
    </w:p>
    <w:bookmarkEnd w:id="134"/>
    <w:p w14:paraId="49C16A3D" w14:textId="77777777" w:rsidR="00954D68" w:rsidRDefault="00954D68" w:rsidP="00954D68">
      <w:pPr>
        <w:spacing w:before="100" w:beforeAutospacing="1" w:after="100" w:afterAutospacing="1" w:line="240" w:lineRule="auto"/>
        <w:rPr>
          <w:rFonts w:ascii="Times New Roman" w:eastAsia="Times New Roman" w:hAnsi="Times New Roman"/>
          <w:sz w:val="24"/>
          <w:szCs w:val="24"/>
        </w:rPr>
      </w:pPr>
      <w:r w:rsidRPr="000B5148">
        <w:rPr>
          <w:rFonts w:ascii="Times New Roman" w:eastAsia="Times New Roman" w:hAnsi="Times New Roman"/>
          <w:sz w:val="24"/>
          <w:szCs w:val="24"/>
        </w:rPr>
        <w:t xml:space="preserve">On </w:t>
      </w:r>
      <w:r>
        <w:rPr>
          <w:rFonts w:ascii="Times New Roman" w:eastAsia="Times New Roman" w:hAnsi="Times New Roman"/>
          <w:sz w:val="24"/>
          <w:szCs w:val="24"/>
        </w:rPr>
        <w:t xml:space="preserve">Dec. 13, 2021, in </w:t>
      </w:r>
      <w:r w:rsidRPr="000B5148">
        <w:rPr>
          <w:rFonts w:ascii="Times New Roman" w:eastAsia="Times New Roman" w:hAnsi="Times New Roman"/>
          <w:sz w:val="24"/>
          <w:szCs w:val="24"/>
          <w:u w:val="single"/>
        </w:rPr>
        <w:t>United States of America v. Ibraheem Izzy Musaibi</w:t>
      </w:r>
      <w:r>
        <w:rPr>
          <w:rFonts w:ascii="Times New Roman" w:eastAsia="Times New Roman" w:hAnsi="Times New Roman"/>
          <w:sz w:val="24"/>
          <w:szCs w:val="24"/>
        </w:rPr>
        <w:t xml:space="preserve">, U.S. District Court Judge David Lawson, U.S. District Court for Eastern District of Michigan (Southern Division) denied the defense motion to suppress his statements; the FBI gave him clear </w:t>
      </w:r>
      <w:r w:rsidRPr="000B5148">
        <w:rPr>
          <w:rFonts w:ascii="Times New Roman" w:eastAsia="Times New Roman" w:hAnsi="Times New Roman"/>
          <w:i/>
          <w:iCs/>
          <w:sz w:val="24"/>
          <w:szCs w:val="24"/>
        </w:rPr>
        <w:t>Miranda</w:t>
      </w:r>
      <w:r>
        <w:rPr>
          <w:rFonts w:ascii="Times New Roman" w:eastAsia="Times New Roman" w:hAnsi="Times New Roman"/>
          <w:sz w:val="24"/>
          <w:szCs w:val="24"/>
        </w:rPr>
        <w:t xml:space="preserve"> warnings. </w:t>
      </w:r>
    </w:p>
    <w:p w14:paraId="1C1592D0" w14:textId="77777777" w:rsidR="00954D68" w:rsidRPr="006A0973" w:rsidRDefault="00954D68" w:rsidP="00954D68">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623CC0">
        <w:rPr>
          <w:rFonts w:ascii="Times New Roman" w:hAnsi="Times New Roman"/>
          <w:sz w:val="24"/>
          <w:szCs w:val="24"/>
        </w:rPr>
        <w:t>The evidence adduced at the evidentiary hearing establishes that the statements the defendant made while in the custody of the agents on the flight from the Middle East to the United States were voluntary and preceded by the appropriate advice of constitutional rights and warnings, and the defendant's waiver of those rights was knowing and voluntary. The statements the defendant made in text messages with FBI agent Kerner were voluntary and not the product of coercion by the government agent. There is no valid reason to suppress the statements or the text messages.</w:t>
      </w:r>
      <w:r>
        <w:rPr>
          <w:rFonts w:ascii="Times New Roman" w:hAnsi="Times New Roman"/>
          <w:sz w:val="24"/>
          <w:szCs w:val="24"/>
        </w:rPr>
        <w:t>”</w:t>
      </w:r>
      <w:r w:rsidRPr="00623CC0">
        <w:rPr>
          <w:rFonts w:ascii="Times New Roman" w:eastAsia="Times New Roman" w:hAnsi="Times New Roman"/>
          <w:sz w:val="24"/>
          <w:szCs w:val="24"/>
        </w:rPr>
        <w:t xml:space="preserve"> </w:t>
      </w:r>
      <w:hyperlink r:id="rId758" w:history="1">
        <w:r w:rsidRPr="00EC5853">
          <w:rPr>
            <w:rStyle w:val="Hyperlink"/>
            <w:rFonts w:ascii="Times New Roman" w:eastAsia="Times New Roman" w:hAnsi="Times New Roman"/>
            <w:sz w:val="24"/>
            <w:szCs w:val="24"/>
          </w:rPr>
          <w:t>https://casetext.com/case/united-states-v-musaibli-1</w:t>
        </w:r>
      </w:hyperlink>
      <w:r>
        <w:rPr>
          <w:rFonts w:ascii="Times New Roman" w:eastAsia="Times New Roman" w:hAnsi="Times New Roman"/>
          <w:sz w:val="24"/>
          <w:szCs w:val="24"/>
        </w:rPr>
        <w:t xml:space="preserve"> </w:t>
      </w:r>
    </w:p>
    <w:p w14:paraId="28993D92" w14:textId="77777777" w:rsidR="00954D68" w:rsidRPr="00623CC0" w:rsidRDefault="00954D68" w:rsidP="00954D68">
      <w:pPr>
        <w:spacing w:before="100" w:beforeAutospacing="1" w:after="100" w:afterAutospacing="1" w:line="240" w:lineRule="auto"/>
        <w:rPr>
          <w:rFonts w:ascii="Times New Roman" w:hAnsi="Times New Roman"/>
          <w:b/>
          <w:bCs/>
          <w:sz w:val="24"/>
          <w:szCs w:val="24"/>
        </w:rPr>
      </w:pPr>
      <w:r w:rsidRPr="00623CC0">
        <w:rPr>
          <w:rFonts w:ascii="Times New Roman" w:hAnsi="Times New Roman"/>
          <w:b/>
          <w:bCs/>
          <w:sz w:val="24"/>
          <w:szCs w:val="24"/>
        </w:rPr>
        <w:t>Legal Lesson Learned:</w:t>
      </w:r>
      <w:r>
        <w:rPr>
          <w:rFonts w:ascii="Times New Roman" w:hAnsi="Times New Roman"/>
          <w:b/>
          <w:bCs/>
          <w:sz w:val="24"/>
          <w:szCs w:val="24"/>
        </w:rPr>
        <w:t xml:space="preserve"> The post-Miranda warning 5-hour interrogation during C-17 flight, and 2-hours upon arrival in U.S. were lawful.  </w:t>
      </w:r>
    </w:p>
    <w:p w14:paraId="080661FD" w14:textId="77777777" w:rsidR="00954D68" w:rsidRPr="00954D68" w:rsidRDefault="00954D68" w:rsidP="00F326E5">
      <w:pPr>
        <w:pStyle w:val="NoSpacing"/>
      </w:pPr>
    </w:p>
    <w:p w14:paraId="2908668C" w14:textId="77777777" w:rsidR="00954D68" w:rsidRDefault="00954D68" w:rsidP="00F326E5">
      <w:pPr>
        <w:pStyle w:val="NoSpacing"/>
        <w:rPr>
          <w:rFonts w:ascii="Arial Black" w:hAnsi="Arial Black"/>
          <w:sz w:val="28"/>
          <w:szCs w:val="28"/>
        </w:rPr>
      </w:pPr>
    </w:p>
    <w:p w14:paraId="7F58718F" w14:textId="76D373A5" w:rsidR="0082055F" w:rsidRDefault="0082055F" w:rsidP="00F326E5">
      <w:pPr>
        <w:pStyle w:val="NoSpacing"/>
        <w:rPr>
          <w:rFonts w:ascii="Arial Black" w:hAnsi="Arial Black"/>
          <w:sz w:val="28"/>
          <w:szCs w:val="28"/>
        </w:rPr>
      </w:pPr>
      <w:r>
        <w:rPr>
          <w:rFonts w:ascii="Arial Black" w:hAnsi="Arial Black"/>
          <w:sz w:val="28"/>
          <w:szCs w:val="28"/>
        </w:rPr>
        <w:t>3-38</w:t>
      </w:r>
    </w:p>
    <w:p w14:paraId="1860943B" w14:textId="77777777" w:rsidR="0082055F" w:rsidRPr="00964118" w:rsidRDefault="0082055F" w:rsidP="0082055F">
      <w:pPr>
        <w:pStyle w:val="Heading1"/>
        <w:rPr>
          <w:rFonts w:ascii="Arial Black" w:hAnsi="Arial Black"/>
          <w:sz w:val="28"/>
          <w:szCs w:val="28"/>
        </w:rPr>
      </w:pPr>
      <w:r>
        <w:rPr>
          <w:rFonts w:ascii="Arial Black" w:hAnsi="Arial Black"/>
          <w:sz w:val="28"/>
          <w:szCs w:val="28"/>
        </w:rPr>
        <w:lastRenderedPageBreak/>
        <w:t>MD: ISIS SENTENCED 20 YEARS – OBTAINED FUNDS MAKE “ATTACK IN USA” – PLEA DEAL, JUDGE SET THE SENTENCE</w:t>
      </w:r>
    </w:p>
    <w:p w14:paraId="4C236ADB" w14:textId="77777777" w:rsidR="0082055F" w:rsidRPr="00284B77" w:rsidRDefault="0082055F" w:rsidP="0082055F">
      <w:pPr>
        <w:pStyle w:val="Heading1"/>
        <w:rPr>
          <w:b w:val="0"/>
          <w:bCs w:val="0"/>
          <w:sz w:val="24"/>
          <w:szCs w:val="24"/>
        </w:rPr>
      </w:pPr>
      <w:r>
        <w:rPr>
          <w:b w:val="0"/>
          <w:bCs w:val="0"/>
          <w:sz w:val="24"/>
          <w:szCs w:val="24"/>
        </w:rPr>
        <w:t xml:space="preserve">On Oct. 14, 2021, in </w:t>
      </w:r>
      <w:r w:rsidRPr="00964118">
        <w:rPr>
          <w:b w:val="0"/>
          <w:bCs w:val="0"/>
          <w:sz w:val="24"/>
          <w:szCs w:val="24"/>
          <w:u w:val="single"/>
        </w:rPr>
        <w:t xml:space="preserve">Mohamed Y. </w:t>
      </w:r>
      <w:proofErr w:type="spellStart"/>
      <w:r w:rsidRPr="00964118">
        <w:rPr>
          <w:b w:val="0"/>
          <w:bCs w:val="0"/>
          <w:sz w:val="24"/>
          <w:szCs w:val="24"/>
          <w:u w:val="single"/>
        </w:rPr>
        <w:t>Elshinawy</w:t>
      </w:r>
      <w:proofErr w:type="spellEnd"/>
      <w:r w:rsidRPr="00964118">
        <w:rPr>
          <w:b w:val="0"/>
          <w:bCs w:val="0"/>
          <w:sz w:val="24"/>
          <w:szCs w:val="24"/>
          <w:u w:val="single"/>
        </w:rPr>
        <w:t xml:space="preserve"> v. United States of America</w:t>
      </w:r>
      <w:r>
        <w:rPr>
          <w:b w:val="0"/>
          <w:bCs w:val="0"/>
          <w:sz w:val="24"/>
          <w:szCs w:val="24"/>
        </w:rPr>
        <w:t>, U.S. District Court Judge Ellen L. Hollander, U.S. District Court for District of Maryland, denied the defendant’s post-conviction petition to be given a trial; when he was sentenced the Judge informed him of maximum possible sentence of 68 years.  Serious charges, including: “</w:t>
      </w:r>
      <w:r w:rsidRPr="00284B77">
        <w:rPr>
          <w:b w:val="0"/>
          <w:bCs w:val="0"/>
          <w:sz w:val="24"/>
          <w:szCs w:val="24"/>
        </w:rPr>
        <w:t>Beginning in March 2015, Petitioner received money transfers from a foreign entity based in Wales, United Kingdom, and Dhaka, Bangladesh</w:t>
      </w:r>
      <w:r>
        <w:rPr>
          <w:b w:val="0"/>
          <w:bCs w:val="0"/>
          <w:sz w:val="24"/>
          <w:szCs w:val="24"/>
        </w:rPr>
        <w:t>…</w:t>
      </w:r>
      <w:r w:rsidRPr="00284B77">
        <w:rPr>
          <w:rStyle w:val="Emphasis"/>
          <w:b w:val="0"/>
          <w:bCs w:val="0"/>
          <w:sz w:val="24"/>
          <w:szCs w:val="24"/>
        </w:rPr>
        <w:t>.</w:t>
      </w:r>
      <w:r w:rsidRPr="00284B77">
        <w:rPr>
          <w:b w:val="0"/>
          <w:bCs w:val="0"/>
          <w:sz w:val="24"/>
          <w:szCs w:val="24"/>
        </w:rPr>
        <w:t xml:space="preserve"> The funds were “to be used to fund a terrorist attack in the United States.” </w:t>
      </w:r>
    </w:p>
    <w:p w14:paraId="05C74215" w14:textId="77777777" w:rsidR="0082055F" w:rsidRDefault="0082055F" w:rsidP="0082055F">
      <w:pPr>
        <w:pStyle w:val="Heading1"/>
        <w:ind w:left="720"/>
        <w:rPr>
          <w:b w:val="0"/>
          <w:bCs w:val="0"/>
          <w:sz w:val="24"/>
          <w:szCs w:val="24"/>
        </w:rPr>
      </w:pPr>
      <w:r w:rsidRPr="00964118">
        <w:rPr>
          <w:b w:val="0"/>
          <w:bCs w:val="0"/>
          <w:sz w:val="24"/>
          <w:szCs w:val="24"/>
        </w:rPr>
        <w:t>“Petitioner also alleges that he would have gone to trial if he knew that he would be exposed to a sentence of sixty-eight years in the Plea Agreement</w:t>
      </w:r>
      <w:r>
        <w:rPr>
          <w:b w:val="0"/>
          <w:bCs w:val="0"/>
          <w:sz w:val="24"/>
          <w:szCs w:val="24"/>
        </w:rPr>
        <w:t xml:space="preserve">…. </w:t>
      </w:r>
      <w:r w:rsidRPr="00964118">
        <w:rPr>
          <w:b w:val="0"/>
          <w:bCs w:val="0"/>
          <w:sz w:val="24"/>
          <w:szCs w:val="24"/>
        </w:rPr>
        <w:t>There is no merit to this claim, as the Plea Agreement explicitly outlines the maximum sentence available</w:t>
      </w:r>
      <w:r>
        <w:rPr>
          <w:b w:val="0"/>
          <w:bCs w:val="0"/>
          <w:sz w:val="24"/>
          <w:szCs w:val="24"/>
        </w:rPr>
        <w:t>….</w:t>
      </w:r>
      <w:r w:rsidRPr="00964118">
        <w:rPr>
          <w:b w:val="0"/>
          <w:bCs w:val="0"/>
          <w:sz w:val="24"/>
          <w:szCs w:val="24"/>
        </w:rPr>
        <w:t xml:space="preserve"> Furthermore, petitioner explicitly acknowledged on the record that he had read and understood the Agreement</w:t>
      </w:r>
      <w:r>
        <w:rPr>
          <w:b w:val="0"/>
          <w:bCs w:val="0"/>
          <w:sz w:val="24"/>
          <w:szCs w:val="24"/>
        </w:rPr>
        <w:t xml:space="preserve">…. </w:t>
      </w:r>
      <w:r w:rsidRPr="00964118">
        <w:rPr>
          <w:b w:val="0"/>
          <w:bCs w:val="0"/>
          <w:sz w:val="24"/>
          <w:szCs w:val="24"/>
        </w:rPr>
        <w:t xml:space="preserve">And, the Supreme Court has explained that a reviewing court may presume that competent counsel explained a plea and its consequences to a defendant. </w:t>
      </w:r>
      <w:r w:rsidRPr="00964118">
        <w:rPr>
          <w:rStyle w:val="Emphasis"/>
          <w:b w:val="0"/>
          <w:bCs w:val="0"/>
          <w:sz w:val="24"/>
          <w:szCs w:val="24"/>
        </w:rPr>
        <w:t>Marshall</w:t>
      </w:r>
      <w:r w:rsidRPr="00964118">
        <w:rPr>
          <w:b w:val="0"/>
          <w:bCs w:val="0"/>
          <w:sz w:val="24"/>
          <w:szCs w:val="24"/>
        </w:rPr>
        <w:t xml:space="preserve">, 459 U.S. at 436 (quoting </w:t>
      </w:r>
      <w:r w:rsidRPr="00964118">
        <w:rPr>
          <w:rStyle w:val="Emphasis"/>
          <w:b w:val="0"/>
          <w:bCs w:val="0"/>
          <w:sz w:val="24"/>
          <w:szCs w:val="24"/>
        </w:rPr>
        <w:t>Henderson</w:t>
      </w:r>
      <w:r w:rsidRPr="00964118">
        <w:rPr>
          <w:b w:val="0"/>
          <w:bCs w:val="0"/>
          <w:sz w:val="24"/>
          <w:szCs w:val="24"/>
        </w:rPr>
        <w:t>, 426 U.S. at 647).</w:t>
      </w:r>
      <w:r>
        <w:rPr>
          <w:b w:val="0"/>
          <w:bCs w:val="0"/>
          <w:sz w:val="24"/>
          <w:szCs w:val="24"/>
        </w:rPr>
        <w:t xml:space="preserve">” </w:t>
      </w:r>
    </w:p>
    <w:p w14:paraId="483ED008" w14:textId="77777777" w:rsidR="0082055F" w:rsidRDefault="0082055F" w:rsidP="0082055F">
      <w:pPr>
        <w:pStyle w:val="Heading1"/>
        <w:ind w:left="240" w:firstLine="480"/>
        <w:rPr>
          <w:b w:val="0"/>
          <w:bCs w:val="0"/>
          <w:sz w:val="24"/>
          <w:szCs w:val="24"/>
        </w:rPr>
      </w:pPr>
      <w:r>
        <w:rPr>
          <w:b w:val="0"/>
          <w:bCs w:val="0"/>
          <w:sz w:val="24"/>
          <w:szCs w:val="24"/>
        </w:rPr>
        <w:t>***</w:t>
      </w:r>
    </w:p>
    <w:p w14:paraId="2CBFA9C9" w14:textId="77777777" w:rsidR="0082055F" w:rsidRPr="00964118" w:rsidRDefault="0082055F" w:rsidP="0082055F">
      <w:pPr>
        <w:pStyle w:val="Heading1"/>
        <w:ind w:left="720"/>
        <w:rPr>
          <w:b w:val="0"/>
          <w:bCs w:val="0"/>
          <w:sz w:val="24"/>
          <w:szCs w:val="24"/>
        </w:rPr>
      </w:pPr>
      <w:r w:rsidRPr="00964118">
        <w:rPr>
          <w:b w:val="0"/>
          <w:bCs w:val="0"/>
          <w:sz w:val="24"/>
          <w:szCs w:val="24"/>
        </w:rPr>
        <w:t>Perhaps most telling here is that petitioner voluntarily and knowingly pled guilty on all counts, which renders baseless his claim of ineffective assistance of counsel claim based on the waiver of preliminary hearing</w:t>
      </w:r>
      <w:r>
        <w:rPr>
          <w:b w:val="0"/>
          <w:bCs w:val="0"/>
          <w:sz w:val="24"/>
          <w:szCs w:val="24"/>
        </w:rPr>
        <w:t xml:space="preserve">…. </w:t>
      </w:r>
      <w:r w:rsidRPr="00964118">
        <w:rPr>
          <w:b w:val="0"/>
          <w:bCs w:val="0"/>
          <w:sz w:val="24"/>
          <w:szCs w:val="24"/>
        </w:rPr>
        <w:t xml:space="preserve">Moreover, the government notes that the facts establishing probable cause were clearly outlined in the criminal complaint, suggesting that it was reasonable for counsel to waive the preliminary </w:t>
      </w:r>
      <w:proofErr w:type="gramStart"/>
      <w:r w:rsidRPr="00964118">
        <w:rPr>
          <w:b w:val="0"/>
          <w:bCs w:val="0"/>
          <w:sz w:val="24"/>
          <w:szCs w:val="24"/>
        </w:rPr>
        <w:t>hearin</w:t>
      </w:r>
      <w:r>
        <w:rPr>
          <w:b w:val="0"/>
          <w:bCs w:val="0"/>
          <w:sz w:val="24"/>
          <w:szCs w:val="24"/>
        </w:rPr>
        <w:t>g.”</w:t>
      </w:r>
      <w:proofErr w:type="gramEnd"/>
      <w:r>
        <w:rPr>
          <w:b w:val="0"/>
          <w:bCs w:val="0"/>
          <w:sz w:val="24"/>
          <w:szCs w:val="24"/>
        </w:rPr>
        <w:t xml:space="preserve"> </w:t>
      </w:r>
      <w:hyperlink r:id="rId759" w:history="1">
        <w:r w:rsidRPr="00203260">
          <w:rPr>
            <w:rStyle w:val="Hyperlink"/>
            <w:sz w:val="24"/>
            <w:szCs w:val="24"/>
          </w:rPr>
          <w:t>https://casetext.com/case/elshinawy-v-united-states-1</w:t>
        </w:r>
      </w:hyperlink>
      <w:r>
        <w:rPr>
          <w:b w:val="0"/>
          <w:bCs w:val="0"/>
          <w:sz w:val="24"/>
          <w:szCs w:val="24"/>
        </w:rPr>
        <w:t xml:space="preserve"> </w:t>
      </w:r>
    </w:p>
    <w:p w14:paraId="218681D7" w14:textId="77777777" w:rsidR="0082055F" w:rsidRPr="000A14D9" w:rsidRDefault="0082055F" w:rsidP="0082055F">
      <w:pPr>
        <w:spacing w:before="100" w:beforeAutospacing="1" w:after="100" w:afterAutospacing="1" w:line="240" w:lineRule="auto"/>
        <w:rPr>
          <w:rFonts w:ascii="Times New Roman" w:eastAsia="Times New Roman" w:hAnsi="Times New Roman"/>
          <w:b/>
          <w:bCs/>
          <w:sz w:val="24"/>
          <w:szCs w:val="24"/>
        </w:rPr>
      </w:pPr>
      <w:r w:rsidRPr="00284B77">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Plea Agreement with this terrorist clearly left the sentencing decision to the judge, and he was informed by the judge that his maximum sentence of sixty-eight years. </w:t>
      </w:r>
    </w:p>
    <w:p w14:paraId="580379B2" w14:textId="77777777" w:rsidR="0082055F" w:rsidRDefault="0082055F" w:rsidP="00F326E5">
      <w:pPr>
        <w:pStyle w:val="NoSpacing"/>
        <w:rPr>
          <w:rFonts w:ascii="Arial Black" w:hAnsi="Arial Black"/>
          <w:sz w:val="28"/>
          <w:szCs w:val="28"/>
        </w:rPr>
      </w:pPr>
    </w:p>
    <w:p w14:paraId="2A5052B5" w14:textId="77777777" w:rsidR="0082055F" w:rsidRDefault="0082055F" w:rsidP="00F326E5">
      <w:pPr>
        <w:pStyle w:val="NoSpacing"/>
        <w:rPr>
          <w:rFonts w:ascii="Arial Black" w:hAnsi="Arial Black"/>
          <w:sz w:val="28"/>
          <w:szCs w:val="28"/>
        </w:rPr>
      </w:pPr>
    </w:p>
    <w:p w14:paraId="1B506EDC" w14:textId="77777777" w:rsidR="0082055F" w:rsidRDefault="0082055F" w:rsidP="00F326E5">
      <w:pPr>
        <w:pStyle w:val="NoSpacing"/>
        <w:rPr>
          <w:rFonts w:ascii="Arial Black" w:hAnsi="Arial Black"/>
          <w:sz w:val="28"/>
          <w:szCs w:val="28"/>
        </w:rPr>
      </w:pPr>
    </w:p>
    <w:p w14:paraId="282F4F31" w14:textId="77777777" w:rsidR="0082055F" w:rsidRDefault="0082055F" w:rsidP="00F326E5">
      <w:pPr>
        <w:pStyle w:val="NoSpacing"/>
        <w:rPr>
          <w:rFonts w:ascii="Arial Black" w:hAnsi="Arial Black"/>
          <w:sz w:val="28"/>
          <w:szCs w:val="28"/>
        </w:rPr>
      </w:pPr>
    </w:p>
    <w:p w14:paraId="77D2D010" w14:textId="77B9A657" w:rsidR="00382F02" w:rsidRDefault="00382F02" w:rsidP="00F326E5">
      <w:pPr>
        <w:pStyle w:val="NoSpacing"/>
        <w:rPr>
          <w:rFonts w:ascii="Arial Black" w:hAnsi="Arial Black"/>
          <w:sz w:val="28"/>
          <w:szCs w:val="28"/>
        </w:rPr>
      </w:pPr>
      <w:r>
        <w:rPr>
          <w:rFonts w:ascii="Arial Black" w:hAnsi="Arial Black"/>
          <w:sz w:val="28"/>
          <w:szCs w:val="28"/>
        </w:rPr>
        <w:t>3-37</w:t>
      </w:r>
    </w:p>
    <w:p w14:paraId="413B0D5A" w14:textId="77777777" w:rsidR="00382F02" w:rsidRPr="00E65FCE" w:rsidRDefault="00382F02" w:rsidP="00382F02">
      <w:pPr>
        <w:pStyle w:val="Heading1"/>
        <w:rPr>
          <w:rFonts w:ascii="Arial Black" w:hAnsi="Arial Black"/>
          <w:sz w:val="28"/>
          <w:szCs w:val="28"/>
        </w:rPr>
      </w:pPr>
      <w:bookmarkStart w:id="135" w:name="_Hlk81841424"/>
      <w:r w:rsidRPr="00E65FCE">
        <w:rPr>
          <w:rFonts w:ascii="Arial Black" w:hAnsi="Arial Black"/>
          <w:sz w:val="28"/>
          <w:szCs w:val="28"/>
        </w:rPr>
        <w:t>SC</w:t>
      </w:r>
      <w:r>
        <w:rPr>
          <w:rFonts w:ascii="Arial Black" w:hAnsi="Arial Black"/>
          <w:sz w:val="28"/>
          <w:szCs w:val="28"/>
        </w:rPr>
        <w:t>: MASS KILLING OF 9 AT CHARLESTON CHURCH – DEATH PENALTY – DOMESTIC TERROIST- NO INSANITY DEFENSE</w:t>
      </w:r>
    </w:p>
    <w:bookmarkEnd w:id="135"/>
    <w:p w14:paraId="5E72B7B1" w14:textId="5DDD8EA0" w:rsidR="00382F02" w:rsidRPr="00FA5F45" w:rsidRDefault="00382F02" w:rsidP="00A62433">
      <w:pPr>
        <w:pStyle w:val="Heading1"/>
        <w:rPr>
          <w:b w:val="0"/>
          <w:bCs w:val="0"/>
          <w:sz w:val="24"/>
          <w:szCs w:val="24"/>
        </w:rPr>
      </w:pPr>
      <w:r>
        <w:rPr>
          <w:b w:val="0"/>
          <w:bCs w:val="0"/>
          <w:sz w:val="24"/>
          <w:szCs w:val="24"/>
        </w:rPr>
        <w:t xml:space="preserve">On Aug. 25, 2021, in </w:t>
      </w:r>
      <w:r w:rsidRPr="00FA5F45">
        <w:rPr>
          <w:b w:val="0"/>
          <w:bCs w:val="0"/>
          <w:sz w:val="24"/>
          <w:szCs w:val="24"/>
          <w:u w:val="single"/>
        </w:rPr>
        <w:t>United States of America v. Dylann Storm Roof</w:t>
      </w:r>
      <w:r>
        <w:rPr>
          <w:b w:val="0"/>
          <w:bCs w:val="0"/>
          <w:sz w:val="24"/>
          <w:szCs w:val="24"/>
        </w:rPr>
        <w:t>, three judges sitting on 4</w:t>
      </w:r>
      <w:r w:rsidRPr="00FA5F45">
        <w:rPr>
          <w:b w:val="0"/>
          <w:bCs w:val="0"/>
          <w:sz w:val="24"/>
          <w:szCs w:val="24"/>
          <w:vertAlign w:val="superscript"/>
        </w:rPr>
        <w:t>th</w:t>
      </w:r>
      <w:r>
        <w:rPr>
          <w:b w:val="0"/>
          <w:bCs w:val="0"/>
          <w:sz w:val="24"/>
          <w:szCs w:val="24"/>
        </w:rPr>
        <w:t xml:space="preserve"> Circuit panel </w:t>
      </w:r>
      <w:r w:rsidRPr="00FA5F45">
        <w:rPr>
          <w:b w:val="0"/>
          <w:bCs w:val="0"/>
          <w:sz w:val="24"/>
          <w:szCs w:val="24"/>
        </w:rPr>
        <w:t>[</w:t>
      </w:r>
      <w:r>
        <w:rPr>
          <w:b w:val="0"/>
          <w:bCs w:val="0"/>
          <w:sz w:val="24"/>
          <w:szCs w:val="24"/>
        </w:rPr>
        <w:t>lead prosecutor in case is now 4</w:t>
      </w:r>
      <w:r w:rsidRPr="00FA5F45">
        <w:rPr>
          <w:b w:val="0"/>
          <w:bCs w:val="0"/>
          <w:sz w:val="24"/>
          <w:szCs w:val="24"/>
          <w:vertAlign w:val="superscript"/>
        </w:rPr>
        <w:t>th</w:t>
      </w:r>
      <w:r>
        <w:rPr>
          <w:b w:val="0"/>
          <w:bCs w:val="0"/>
          <w:sz w:val="24"/>
          <w:szCs w:val="24"/>
        </w:rPr>
        <w:t xml:space="preserve"> Circuit judge, so judges from three other Circuit heard the appeal: </w:t>
      </w:r>
      <w:r w:rsidRPr="00E65FCE">
        <w:rPr>
          <w:b w:val="0"/>
          <w:bCs w:val="0"/>
          <w:sz w:val="24"/>
          <w:szCs w:val="24"/>
        </w:rPr>
        <w:t>8th Circuit Judge Duane Benton, Sixth Circuit Judge Ronald Lee Gilman and Third Circuit Judge Kent Jordan</w:t>
      </w:r>
      <w:r w:rsidRPr="00FA5F45">
        <w:rPr>
          <w:b w:val="0"/>
          <w:bCs w:val="0"/>
          <w:sz w:val="24"/>
          <w:szCs w:val="24"/>
        </w:rPr>
        <w:t>]</w:t>
      </w:r>
      <w:r>
        <w:rPr>
          <w:b w:val="0"/>
          <w:bCs w:val="0"/>
          <w:sz w:val="24"/>
          <w:szCs w:val="24"/>
        </w:rPr>
        <w:t xml:space="preserve"> held 3 to 0 (Per Curiam 149-page decision; not signed by one judge) that his conviction and death sentence is affirmed. </w:t>
      </w:r>
      <w:r w:rsidRPr="00E42CB0">
        <w:rPr>
          <w:rStyle w:val="markedcontent"/>
          <w:b w:val="0"/>
          <w:bCs w:val="0"/>
          <w:sz w:val="24"/>
          <w:szCs w:val="24"/>
        </w:rPr>
        <w:t>Dr.</w:t>
      </w:r>
      <w:r>
        <w:rPr>
          <w:rStyle w:val="markedcontent"/>
          <w:b w:val="0"/>
          <w:bCs w:val="0"/>
          <w:sz w:val="24"/>
          <w:szCs w:val="24"/>
        </w:rPr>
        <w:t xml:space="preserve"> </w:t>
      </w:r>
      <w:r w:rsidRPr="00E42CB0">
        <w:rPr>
          <w:rStyle w:val="markedcontent"/>
          <w:b w:val="0"/>
          <w:bCs w:val="0"/>
          <w:sz w:val="24"/>
          <w:szCs w:val="24"/>
        </w:rPr>
        <w:t xml:space="preserve">Ballenger </w:t>
      </w:r>
      <w:r w:rsidRPr="00E42CB0">
        <w:rPr>
          <w:b w:val="0"/>
          <w:bCs w:val="0"/>
          <w:sz w:val="24"/>
          <w:szCs w:val="24"/>
        </w:rPr>
        <w:t xml:space="preserve">[Court appointed psychiatrist] </w:t>
      </w:r>
      <w:r w:rsidRPr="00E42CB0">
        <w:rPr>
          <w:rStyle w:val="markedcontent"/>
          <w:b w:val="0"/>
          <w:bCs w:val="0"/>
          <w:sz w:val="24"/>
          <w:szCs w:val="24"/>
        </w:rPr>
        <w:t xml:space="preserve">noted that Roof compared himself to a terrorist who successfully murdered people as a </w:t>
      </w:r>
      <w:r>
        <w:rPr>
          <w:rStyle w:val="markedcontent"/>
          <w:b w:val="0"/>
          <w:bCs w:val="0"/>
          <w:sz w:val="24"/>
          <w:szCs w:val="24"/>
        </w:rPr>
        <w:t>‘</w:t>
      </w:r>
      <w:r w:rsidRPr="00E42CB0">
        <w:rPr>
          <w:rStyle w:val="markedcontent"/>
          <w:b w:val="0"/>
          <w:bCs w:val="0"/>
          <w:sz w:val="24"/>
          <w:szCs w:val="24"/>
        </w:rPr>
        <w:t>purely political act.”</w:t>
      </w:r>
      <w:r>
        <w:rPr>
          <w:rStyle w:val="markedcontent"/>
          <w:b w:val="0"/>
          <w:bCs w:val="0"/>
          <w:sz w:val="24"/>
          <w:szCs w:val="24"/>
        </w:rPr>
        <w:t xml:space="preserve">  </w:t>
      </w:r>
      <w:r>
        <w:rPr>
          <w:b w:val="0"/>
          <w:bCs w:val="0"/>
          <w:sz w:val="24"/>
          <w:szCs w:val="24"/>
        </w:rPr>
        <w:t xml:space="preserve">The psychiatrist found that Roof was competent to stand trial [with full IQ of 125] even if he did have some level of autism.  Roof fired his court-appointed attorneys and represented himself at the trial and at the sentencing hearing. </w:t>
      </w:r>
      <w:r w:rsidR="0049457B">
        <w:rPr>
          <w:b w:val="0"/>
          <w:bCs w:val="0"/>
          <w:sz w:val="24"/>
          <w:szCs w:val="24"/>
        </w:rPr>
        <w:t xml:space="preserve">The Court held: </w:t>
      </w:r>
      <w:r w:rsidRPr="00A62433">
        <w:rPr>
          <w:rStyle w:val="markedcontent"/>
          <w:b w:val="0"/>
          <w:bCs w:val="0"/>
          <w:sz w:val="24"/>
          <w:szCs w:val="24"/>
        </w:rPr>
        <w:t xml:space="preserve">“No cold record or careful parsing of statutes and precedents can capture the full horror of what Roof did. His crimes qualify him for the harshest penalty that a just society can impose. We have reached that conclusion not as a product of emotion but through a thorough analytical process, which we have endeavored to detail here. In this, we have followed the example </w:t>
      </w:r>
      <w:r w:rsidRPr="00A62433">
        <w:rPr>
          <w:rStyle w:val="markedcontent"/>
          <w:b w:val="0"/>
          <w:bCs w:val="0"/>
          <w:sz w:val="24"/>
          <w:szCs w:val="24"/>
        </w:rPr>
        <w:lastRenderedPageBreak/>
        <w:t xml:space="preserve">of the trial judge, who managed this difficult case with skill and compassion for all concerned, including Roof himself. For the reasons given, we will affirm.”  </w:t>
      </w:r>
      <w:hyperlink r:id="rId760" w:history="1">
        <w:r w:rsidRPr="00A62433">
          <w:rPr>
            <w:rStyle w:val="Hyperlink"/>
            <w:b w:val="0"/>
            <w:bCs w:val="0"/>
            <w:sz w:val="24"/>
            <w:szCs w:val="24"/>
          </w:rPr>
          <w:t>https://www.ca4.uscourts.gov/opinions/173.P.pdf</w:t>
        </w:r>
      </w:hyperlink>
      <w:r>
        <w:rPr>
          <w:rStyle w:val="markedcontent"/>
          <w:sz w:val="24"/>
          <w:szCs w:val="24"/>
        </w:rPr>
        <w:t xml:space="preserve"> </w:t>
      </w:r>
    </w:p>
    <w:p w14:paraId="38561F96" w14:textId="77777777" w:rsidR="00382F02" w:rsidRDefault="00382F02" w:rsidP="00382F02">
      <w:pPr>
        <w:pStyle w:val="Heading1"/>
        <w:rPr>
          <w:rStyle w:val="markedcontent"/>
          <w:sz w:val="24"/>
          <w:szCs w:val="24"/>
        </w:rPr>
      </w:pPr>
      <w:r w:rsidRPr="001D2B6C">
        <w:rPr>
          <w:rStyle w:val="markedcontent"/>
          <w:sz w:val="24"/>
          <w:szCs w:val="24"/>
        </w:rPr>
        <w:t>Legal Lesson Learned:</w:t>
      </w:r>
      <w:r>
        <w:rPr>
          <w:rStyle w:val="markedcontent"/>
          <w:sz w:val="24"/>
          <w:szCs w:val="24"/>
        </w:rPr>
        <w:t xml:space="preserve"> The defendant is first person in U.S. ever sentenced to death by a federal jury for a federal hate crime. </w:t>
      </w:r>
    </w:p>
    <w:p w14:paraId="5B0682F3" w14:textId="77777777" w:rsidR="00382F02" w:rsidRDefault="00382F02" w:rsidP="00382F02">
      <w:pPr>
        <w:ind w:left="720"/>
        <w:rPr>
          <w:rFonts w:ascii="Times New Roman" w:hAnsi="Times New Roman"/>
          <w:sz w:val="24"/>
          <w:szCs w:val="24"/>
        </w:rPr>
      </w:pPr>
      <w:r w:rsidRPr="000B0403">
        <w:rPr>
          <w:rStyle w:val="markedcontent"/>
          <w:rFonts w:ascii="Times New Roman" w:hAnsi="Times New Roman"/>
          <w:sz w:val="24"/>
          <w:szCs w:val="24"/>
        </w:rPr>
        <w:t xml:space="preserve">Note:  </w:t>
      </w:r>
      <w:r w:rsidRPr="000B0403">
        <w:rPr>
          <w:rFonts w:ascii="Times New Roman" w:hAnsi="Times New Roman"/>
          <w:sz w:val="24"/>
          <w:szCs w:val="24"/>
        </w:rPr>
        <w:t xml:space="preserve">Watch his videotaped confession to FBI agents (6/18/2015): </w:t>
      </w:r>
      <w:hyperlink r:id="rId761" w:history="1">
        <w:r w:rsidRPr="007529FC">
          <w:rPr>
            <w:rStyle w:val="Hyperlink"/>
            <w:sz w:val="24"/>
            <w:szCs w:val="24"/>
          </w:rPr>
          <w:t>https://www.thestate.com/news/local/crime/article120075733.html</w:t>
        </w:r>
      </w:hyperlink>
    </w:p>
    <w:p w14:paraId="23DA8CBB" w14:textId="77777777" w:rsidR="00382F02" w:rsidRPr="00466756" w:rsidRDefault="00382F02" w:rsidP="00382F02">
      <w:pPr>
        <w:pStyle w:val="Heading1"/>
        <w:ind w:left="720"/>
        <w:rPr>
          <w:b w:val="0"/>
          <w:bCs w:val="0"/>
          <w:sz w:val="24"/>
          <w:szCs w:val="24"/>
        </w:rPr>
      </w:pPr>
      <w:r w:rsidRPr="00466756">
        <w:rPr>
          <w:b w:val="0"/>
          <w:bCs w:val="0"/>
          <w:sz w:val="24"/>
          <w:szCs w:val="24"/>
        </w:rPr>
        <w:t xml:space="preserve">See Aug. 26, </w:t>
      </w:r>
      <w:proofErr w:type="gramStart"/>
      <w:r w:rsidRPr="00466756">
        <w:rPr>
          <w:b w:val="0"/>
          <w:bCs w:val="0"/>
          <w:sz w:val="24"/>
          <w:szCs w:val="24"/>
        </w:rPr>
        <w:t>2021</w:t>
      </w:r>
      <w:proofErr w:type="gramEnd"/>
      <w:r w:rsidRPr="00466756">
        <w:rPr>
          <w:b w:val="0"/>
          <w:bCs w:val="0"/>
          <w:sz w:val="24"/>
          <w:szCs w:val="24"/>
        </w:rPr>
        <w:t xml:space="preserve"> article on the decision: “Charleston killer Dylann Roof’s death penalty upheld by federal appeals court.” </w:t>
      </w:r>
      <w:hyperlink r:id="rId762" w:history="1">
        <w:r w:rsidRPr="00466756">
          <w:rPr>
            <w:rStyle w:val="Hyperlink"/>
            <w:sz w:val="24"/>
            <w:szCs w:val="24"/>
          </w:rPr>
          <w:t>https://www.thestate.com/news/local/crime/article253733108.html</w:t>
        </w:r>
      </w:hyperlink>
      <w:r w:rsidRPr="00466756">
        <w:rPr>
          <w:b w:val="0"/>
          <w:bCs w:val="0"/>
          <w:sz w:val="24"/>
          <w:szCs w:val="24"/>
        </w:rPr>
        <w:t xml:space="preserve"> </w:t>
      </w:r>
    </w:p>
    <w:p w14:paraId="12559D5B" w14:textId="77777777" w:rsidR="00382F02" w:rsidRDefault="00382F02" w:rsidP="00382F02">
      <w:pPr>
        <w:ind w:left="720"/>
        <w:rPr>
          <w:rStyle w:val="markedcontent"/>
          <w:rFonts w:ascii="Times New Roman" w:hAnsi="Times New Roman"/>
          <w:sz w:val="24"/>
          <w:szCs w:val="24"/>
        </w:rPr>
      </w:pPr>
      <w:r>
        <w:rPr>
          <w:rFonts w:ascii="Arial" w:hAnsi="Arial" w:cs="Arial"/>
          <w:color w:val="000000"/>
          <w:sz w:val="20"/>
          <w:szCs w:val="20"/>
        </w:rPr>
        <w:br/>
      </w:r>
      <w:r>
        <w:rPr>
          <w:rStyle w:val="markedcontent"/>
          <w:rFonts w:ascii="Times New Roman" w:hAnsi="Times New Roman"/>
          <w:sz w:val="24"/>
          <w:szCs w:val="24"/>
        </w:rPr>
        <w:t xml:space="preserve">Federal Hate Crime: </w:t>
      </w:r>
      <w:r w:rsidRPr="000B0403">
        <w:rPr>
          <w:rStyle w:val="markedcontent"/>
          <w:rFonts w:ascii="Times New Roman" w:hAnsi="Times New Roman"/>
          <w:sz w:val="24"/>
          <w:szCs w:val="24"/>
        </w:rPr>
        <w:t>18 U.S.C. § 249(a)(1) provides:</w:t>
      </w:r>
    </w:p>
    <w:p w14:paraId="7982611B" w14:textId="77777777" w:rsidR="00382F02" w:rsidRPr="000B0403" w:rsidRDefault="00382F02" w:rsidP="00382F02">
      <w:pPr>
        <w:ind w:left="720" w:firstLine="60"/>
        <w:rPr>
          <w:rFonts w:ascii="Times New Roman" w:hAnsi="Times New Roman"/>
          <w:sz w:val="24"/>
          <w:szCs w:val="24"/>
        </w:rPr>
      </w:pPr>
      <w:r w:rsidRPr="000B0403">
        <w:rPr>
          <w:rStyle w:val="num"/>
          <w:rFonts w:ascii="Times New Roman" w:hAnsi="Times New Roman"/>
          <w:sz w:val="24"/>
          <w:szCs w:val="24"/>
        </w:rPr>
        <w:t>(1)</w:t>
      </w:r>
      <w:r w:rsidRPr="000B0403">
        <w:rPr>
          <w:rStyle w:val="heading"/>
          <w:rFonts w:ascii="Times New Roman" w:hAnsi="Times New Roman"/>
          <w:sz w:val="24"/>
          <w:szCs w:val="24"/>
        </w:rPr>
        <w:t xml:space="preserve"> Offenses involving actual or perceived race, color, religion, or national origin.—</w:t>
      </w:r>
      <w:r w:rsidRPr="000B0403">
        <w:rPr>
          <w:rStyle w:val="chapeau"/>
          <w:rFonts w:ascii="Times New Roman" w:hAnsi="Times New Roman"/>
          <w:sz w:val="24"/>
          <w:szCs w:val="24"/>
        </w:rPr>
        <w:t xml:space="preserve">Whoever, whether or not acting under color of law, willfully causes </w:t>
      </w:r>
      <w:hyperlink r:id="rId763" w:history="1">
        <w:r w:rsidRPr="000B0403">
          <w:rPr>
            <w:rStyle w:val="Hyperlink"/>
            <w:sz w:val="24"/>
            <w:szCs w:val="24"/>
          </w:rPr>
          <w:t>bodily injury</w:t>
        </w:r>
      </w:hyperlink>
      <w:r w:rsidRPr="000B0403">
        <w:rPr>
          <w:rStyle w:val="chapeau"/>
          <w:rFonts w:ascii="Times New Roman" w:hAnsi="Times New Roman"/>
          <w:sz w:val="24"/>
          <w:szCs w:val="24"/>
        </w:rPr>
        <w:t xml:space="preserve"> to any person or, through the use of fire, a</w:t>
      </w:r>
      <w:hyperlink r:id="rId764" w:history="1">
        <w:r w:rsidRPr="000B0403">
          <w:rPr>
            <w:rStyle w:val="Hyperlink"/>
            <w:sz w:val="24"/>
            <w:szCs w:val="24"/>
          </w:rPr>
          <w:t xml:space="preserve"> firearm,</w:t>
        </w:r>
      </w:hyperlink>
      <w:r w:rsidRPr="000B0403">
        <w:rPr>
          <w:rStyle w:val="chapeau"/>
          <w:rFonts w:ascii="Times New Roman" w:hAnsi="Times New Roman"/>
          <w:sz w:val="24"/>
          <w:szCs w:val="24"/>
        </w:rPr>
        <w:t xml:space="preserve"> a dangerous weapon, or an </w:t>
      </w:r>
      <w:hyperlink r:id="rId765" w:history="1">
        <w:r w:rsidRPr="000B0403">
          <w:rPr>
            <w:rStyle w:val="Hyperlink"/>
            <w:sz w:val="24"/>
            <w:szCs w:val="24"/>
          </w:rPr>
          <w:t>explosive or incendiary device</w:t>
        </w:r>
      </w:hyperlink>
      <w:r w:rsidRPr="000B0403">
        <w:rPr>
          <w:rStyle w:val="chapeau"/>
          <w:rFonts w:ascii="Times New Roman" w:hAnsi="Times New Roman"/>
          <w:sz w:val="24"/>
          <w:szCs w:val="24"/>
        </w:rPr>
        <w:t>, attempts to cause</w:t>
      </w:r>
      <w:hyperlink r:id="rId766" w:history="1">
        <w:r w:rsidRPr="000B0403">
          <w:rPr>
            <w:rStyle w:val="Hyperlink"/>
            <w:sz w:val="24"/>
            <w:szCs w:val="24"/>
          </w:rPr>
          <w:t xml:space="preserve"> bodily injury </w:t>
        </w:r>
      </w:hyperlink>
      <w:r w:rsidRPr="000B0403">
        <w:rPr>
          <w:rStyle w:val="chapeau"/>
          <w:rFonts w:ascii="Times New Roman" w:hAnsi="Times New Roman"/>
          <w:sz w:val="24"/>
          <w:szCs w:val="24"/>
        </w:rPr>
        <w:t>to any person, because of the actual or perceived race, color, religion, or national origin of any person—</w:t>
      </w:r>
      <w:r w:rsidRPr="000B0403">
        <w:rPr>
          <w:rFonts w:ascii="Times New Roman" w:hAnsi="Times New Roman"/>
          <w:sz w:val="24"/>
          <w:szCs w:val="24"/>
        </w:rPr>
        <w:t xml:space="preserve"> </w:t>
      </w:r>
    </w:p>
    <w:p w14:paraId="19D439BA" w14:textId="77777777" w:rsidR="00382F02" w:rsidRPr="000B0403" w:rsidRDefault="00382F02" w:rsidP="00382F02">
      <w:pPr>
        <w:ind w:firstLine="720"/>
        <w:rPr>
          <w:rFonts w:ascii="Times New Roman" w:hAnsi="Times New Roman"/>
          <w:sz w:val="24"/>
          <w:szCs w:val="24"/>
        </w:rPr>
      </w:pPr>
      <w:bookmarkStart w:id="136" w:name="a_1_A"/>
      <w:bookmarkEnd w:id="136"/>
      <w:r w:rsidRPr="000B0403">
        <w:rPr>
          <w:rStyle w:val="num"/>
          <w:rFonts w:ascii="Times New Roman" w:hAnsi="Times New Roman"/>
          <w:sz w:val="24"/>
          <w:szCs w:val="24"/>
        </w:rPr>
        <w:t>(A)</w:t>
      </w:r>
      <w:r w:rsidRPr="000B0403">
        <w:rPr>
          <w:rFonts w:ascii="Times New Roman" w:hAnsi="Times New Roman"/>
          <w:sz w:val="24"/>
          <w:szCs w:val="24"/>
        </w:rPr>
        <w:t xml:space="preserve"> </w:t>
      </w:r>
    </w:p>
    <w:p w14:paraId="7DB76437" w14:textId="77777777" w:rsidR="00382F02" w:rsidRPr="000B0403" w:rsidRDefault="00382F02" w:rsidP="00382F02">
      <w:pPr>
        <w:ind w:left="720"/>
        <w:rPr>
          <w:rFonts w:ascii="Times New Roman" w:hAnsi="Times New Roman"/>
          <w:sz w:val="24"/>
          <w:szCs w:val="24"/>
        </w:rPr>
      </w:pPr>
      <w:r w:rsidRPr="000B0403">
        <w:rPr>
          <w:rFonts w:ascii="Times New Roman" w:hAnsi="Times New Roman"/>
          <w:sz w:val="24"/>
          <w:szCs w:val="24"/>
        </w:rPr>
        <w:t>shall be imprisoned not more than 10 years, fined in accordance with this title, or both; and</w:t>
      </w:r>
    </w:p>
    <w:p w14:paraId="7F8C9567" w14:textId="77777777" w:rsidR="00382F02" w:rsidRPr="000B0403" w:rsidRDefault="00382F02" w:rsidP="00382F02">
      <w:pPr>
        <w:ind w:left="720"/>
        <w:rPr>
          <w:rFonts w:ascii="Times New Roman" w:hAnsi="Times New Roman"/>
          <w:sz w:val="24"/>
          <w:szCs w:val="24"/>
        </w:rPr>
      </w:pPr>
      <w:bookmarkStart w:id="137" w:name="a_1_B"/>
      <w:bookmarkEnd w:id="137"/>
      <w:r w:rsidRPr="000B0403">
        <w:rPr>
          <w:rStyle w:val="num"/>
          <w:rFonts w:ascii="Times New Roman" w:hAnsi="Times New Roman"/>
          <w:sz w:val="24"/>
          <w:szCs w:val="24"/>
        </w:rPr>
        <w:t>(B)</w:t>
      </w:r>
      <w:r w:rsidRPr="000B0403">
        <w:rPr>
          <w:rStyle w:val="chapeau"/>
          <w:rFonts w:ascii="Times New Roman" w:hAnsi="Times New Roman"/>
          <w:sz w:val="24"/>
          <w:szCs w:val="24"/>
        </w:rPr>
        <w:t xml:space="preserve"> shall be imprisoned for any term of </w:t>
      </w:r>
      <w:proofErr w:type="gramStart"/>
      <w:r w:rsidRPr="000B0403">
        <w:rPr>
          <w:rStyle w:val="chapeau"/>
          <w:rFonts w:ascii="Times New Roman" w:hAnsi="Times New Roman"/>
          <w:sz w:val="24"/>
          <w:szCs w:val="24"/>
        </w:rPr>
        <w:t>years</w:t>
      </w:r>
      <w:proofErr w:type="gramEnd"/>
      <w:r w:rsidRPr="000B0403">
        <w:rPr>
          <w:rStyle w:val="chapeau"/>
          <w:rFonts w:ascii="Times New Roman" w:hAnsi="Times New Roman"/>
          <w:sz w:val="24"/>
          <w:szCs w:val="24"/>
        </w:rPr>
        <w:t xml:space="preserve"> or for life, fined in accordance with this title, or both, if—</w:t>
      </w:r>
      <w:r w:rsidRPr="000B0403">
        <w:rPr>
          <w:rFonts w:ascii="Times New Roman" w:hAnsi="Times New Roman"/>
          <w:sz w:val="24"/>
          <w:szCs w:val="24"/>
        </w:rPr>
        <w:t xml:space="preserve"> </w:t>
      </w:r>
    </w:p>
    <w:p w14:paraId="4F4C8156" w14:textId="77777777" w:rsidR="00382F02" w:rsidRPr="000B0403" w:rsidRDefault="00382F02" w:rsidP="00382F02">
      <w:pPr>
        <w:ind w:firstLine="720"/>
        <w:rPr>
          <w:rFonts w:ascii="Times New Roman" w:hAnsi="Times New Roman"/>
          <w:sz w:val="24"/>
          <w:szCs w:val="24"/>
        </w:rPr>
      </w:pPr>
      <w:bookmarkStart w:id="138" w:name="a_1_B_i"/>
      <w:bookmarkEnd w:id="138"/>
      <w:r w:rsidRPr="000B0403">
        <w:rPr>
          <w:rStyle w:val="num"/>
          <w:rFonts w:ascii="Times New Roman" w:hAnsi="Times New Roman"/>
          <w:sz w:val="24"/>
          <w:szCs w:val="24"/>
        </w:rPr>
        <w:t>(</w:t>
      </w:r>
      <w:proofErr w:type="spellStart"/>
      <w:r w:rsidRPr="000B0403">
        <w:rPr>
          <w:rStyle w:val="num"/>
          <w:rFonts w:ascii="Times New Roman" w:hAnsi="Times New Roman"/>
          <w:sz w:val="24"/>
          <w:szCs w:val="24"/>
        </w:rPr>
        <w:t>i</w:t>
      </w:r>
      <w:proofErr w:type="spellEnd"/>
      <w:r w:rsidRPr="000B0403">
        <w:rPr>
          <w:rStyle w:val="num"/>
          <w:rFonts w:ascii="Times New Roman" w:hAnsi="Times New Roman"/>
          <w:sz w:val="24"/>
          <w:szCs w:val="24"/>
        </w:rPr>
        <w:t>)</w:t>
      </w:r>
      <w:r w:rsidRPr="000B0403">
        <w:rPr>
          <w:rFonts w:ascii="Times New Roman" w:hAnsi="Times New Roman"/>
          <w:sz w:val="24"/>
          <w:szCs w:val="24"/>
        </w:rPr>
        <w:t xml:space="preserve"> </w:t>
      </w:r>
    </w:p>
    <w:p w14:paraId="450A8FE4" w14:textId="77777777" w:rsidR="00382F02" w:rsidRPr="000B0403" w:rsidRDefault="00382F02" w:rsidP="00382F02">
      <w:pPr>
        <w:ind w:firstLine="720"/>
        <w:rPr>
          <w:rFonts w:ascii="Times New Roman" w:hAnsi="Times New Roman"/>
          <w:sz w:val="24"/>
          <w:szCs w:val="24"/>
        </w:rPr>
      </w:pPr>
      <w:r w:rsidRPr="000B0403">
        <w:rPr>
          <w:rFonts w:ascii="Times New Roman" w:hAnsi="Times New Roman"/>
          <w:sz w:val="24"/>
          <w:szCs w:val="24"/>
        </w:rPr>
        <w:t>death results from the offense; or</w:t>
      </w:r>
    </w:p>
    <w:p w14:paraId="413EFAE4" w14:textId="77777777" w:rsidR="00382F02" w:rsidRPr="000B0403" w:rsidRDefault="00382F02" w:rsidP="00382F02">
      <w:pPr>
        <w:ind w:firstLine="720"/>
        <w:rPr>
          <w:rFonts w:ascii="Times New Roman" w:hAnsi="Times New Roman"/>
          <w:sz w:val="24"/>
          <w:szCs w:val="24"/>
        </w:rPr>
      </w:pPr>
      <w:bookmarkStart w:id="139" w:name="a_1_B_ii"/>
      <w:bookmarkEnd w:id="139"/>
      <w:r w:rsidRPr="000B0403">
        <w:rPr>
          <w:rStyle w:val="num"/>
          <w:rFonts w:ascii="Times New Roman" w:hAnsi="Times New Roman"/>
          <w:sz w:val="24"/>
          <w:szCs w:val="24"/>
        </w:rPr>
        <w:t>(ii)</w:t>
      </w:r>
      <w:r w:rsidRPr="000B0403">
        <w:rPr>
          <w:rFonts w:ascii="Times New Roman" w:hAnsi="Times New Roman"/>
          <w:sz w:val="24"/>
          <w:szCs w:val="24"/>
        </w:rPr>
        <w:t xml:space="preserve"> </w:t>
      </w:r>
    </w:p>
    <w:p w14:paraId="282BC73C" w14:textId="77777777" w:rsidR="00382F02" w:rsidRPr="000B0403" w:rsidRDefault="00382F02" w:rsidP="00382F02">
      <w:pPr>
        <w:ind w:left="720"/>
        <w:rPr>
          <w:rFonts w:ascii="Times New Roman" w:hAnsi="Times New Roman"/>
          <w:sz w:val="24"/>
          <w:szCs w:val="24"/>
        </w:rPr>
      </w:pPr>
      <w:r w:rsidRPr="000B0403">
        <w:rPr>
          <w:rFonts w:ascii="Times New Roman" w:hAnsi="Times New Roman"/>
          <w:sz w:val="24"/>
          <w:szCs w:val="24"/>
        </w:rPr>
        <w:t>the offense includes kidnapping or an attempt to kidnap, aggravated sexual abuse or an attempt to commit aggravated sexual abuse, or an attempt to kill.</w:t>
      </w:r>
      <w:r>
        <w:rPr>
          <w:rFonts w:ascii="Times New Roman" w:hAnsi="Times New Roman"/>
          <w:sz w:val="24"/>
          <w:szCs w:val="24"/>
        </w:rPr>
        <w:t xml:space="preserve"> </w:t>
      </w:r>
      <w:hyperlink r:id="rId767" w:history="1">
        <w:r w:rsidRPr="007529FC">
          <w:rPr>
            <w:rStyle w:val="Hyperlink"/>
            <w:sz w:val="24"/>
            <w:szCs w:val="24"/>
          </w:rPr>
          <w:t>https://www.law.cornell.edu/uscode/text/18/249</w:t>
        </w:r>
      </w:hyperlink>
      <w:r>
        <w:rPr>
          <w:rFonts w:ascii="Times New Roman" w:hAnsi="Times New Roman"/>
          <w:sz w:val="24"/>
          <w:szCs w:val="24"/>
        </w:rPr>
        <w:t xml:space="preserve"> </w:t>
      </w:r>
    </w:p>
    <w:p w14:paraId="2174427A" w14:textId="77777777" w:rsidR="00382F02" w:rsidRDefault="00382F02" w:rsidP="00F326E5">
      <w:pPr>
        <w:pStyle w:val="NoSpacing"/>
        <w:rPr>
          <w:rFonts w:ascii="Arial Black" w:hAnsi="Arial Black"/>
          <w:sz w:val="28"/>
          <w:szCs w:val="28"/>
        </w:rPr>
      </w:pPr>
    </w:p>
    <w:p w14:paraId="690EBDFB" w14:textId="77777777" w:rsidR="00382F02" w:rsidRDefault="00382F02" w:rsidP="00F326E5">
      <w:pPr>
        <w:pStyle w:val="NoSpacing"/>
        <w:rPr>
          <w:rFonts w:ascii="Arial Black" w:hAnsi="Arial Black"/>
          <w:sz w:val="28"/>
          <w:szCs w:val="28"/>
        </w:rPr>
      </w:pPr>
    </w:p>
    <w:p w14:paraId="72E98395" w14:textId="04270C47" w:rsidR="005217D5" w:rsidRDefault="005217D5" w:rsidP="00F326E5">
      <w:pPr>
        <w:pStyle w:val="NoSpacing"/>
        <w:rPr>
          <w:rFonts w:ascii="Arial Black" w:hAnsi="Arial Black"/>
          <w:sz w:val="28"/>
          <w:szCs w:val="28"/>
        </w:rPr>
      </w:pPr>
      <w:r>
        <w:rPr>
          <w:rFonts w:ascii="Arial Black" w:hAnsi="Arial Black"/>
          <w:sz w:val="28"/>
          <w:szCs w:val="28"/>
        </w:rPr>
        <w:t>3-36</w:t>
      </w:r>
    </w:p>
    <w:p w14:paraId="2B61566C" w14:textId="503D3491" w:rsidR="005217D5" w:rsidRDefault="005217D5" w:rsidP="00F326E5">
      <w:pPr>
        <w:pStyle w:val="NoSpacing"/>
        <w:rPr>
          <w:rFonts w:ascii="Arial Black" w:hAnsi="Arial Black"/>
          <w:sz w:val="28"/>
          <w:szCs w:val="28"/>
        </w:rPr>
      </w:pPr>
    </w:p>
    <w:p w14:paraId="13A736CD" w14:textId="77777777" w:rsidR="005217D5" w:rsidRPr="00C04DE5" w:rsidRDefault="005217D5" w:rsidP="005217D5">
      <w:pPr>
        <w:rPr>
          <w:rStyle w:val="markedcontent"/>
          <w:rFonts w:ascii="Arial Black" w:hAnsi="Arial Black"/>
          <w:sz w:val="28"/>
          <w:szCs w:val="28"/>
        </w:rPr>
      </w:pPr>
      <w:r>
        <w:rPr>
          <w:rStyle w:val="markedcontent"/>
          <w:rFonts w:ascii="Arial Black" w:hAnsi="Arial Black"/>
          <w:sz w:val="28"/>
          <w:szCs w:val="28"/>
        </w:rPr>
        <w:t>VA: GUN CONTROL - 4</w:t>
      </w:r>
      <w:r w:rsidRPr="002E2552">
        <w:rPr>
          <w:rStyle w:val="markedcontent"/>
          <w:rFonts w:ascii="Arial Black" w:hAnsi="Arial Black"/>
          <w:sz w:val="28"/>
          <w:szCs w:val="28"/>
          <w:vertAlign w:val="superscript"/>
        </w:rPr>
        <w:t>th</w:t>
      </w:r>
      <w:r>
        <w:rPr>
          <w:rStyle w:val="markedcontent"/>
          <w:rFonts w:ascii="Arial Black" w:hAnsi="Arial Black"/>
          <w:sz w:val="28"/>
          <w:szCs w:val="28"/>
        </w:rPr>
        <w:t xml:space="preserve"> CIRCUIT - 18-20 YEAR OLDS HAVE RIGHT TO BUY HANDGUNS FROM LICENSED GUN DEALERS</w:t>
      </w:r>
    </w:p>
    <w:p w14:paraId="10EE14E4" w14:textId="77777777" w:rsidR="005217D5" w:rsidRPr="007921A4" w:rsidRDefault="005217D5" w:rsidP="005217D5">
      <w:pPr>
        <w:spacing w:before="100" w:beforeAutospacing="1" w:after="100" w:afterAutospacing="1" w:line="240" w:lineRule="auto"/>
        <w:rPr>
          <w:rStyle w:val="markedcontent"/>
          <w:rFonts w:ascii="Times New Roman" w:hAnsi="Times New Roman"/>
          <w:sz w:val="24"/>
          <w:szCs w:val="24"/>
        </w:rPr>
      </w:pPr>
      <w:r>
        <w:rPr>
          <w:rStyle w:val="markedcontent"/>
          <w:rFonts w:ascii="Times New Roman" w:hAnsi="Times New Roman"/>
          <w:sz w:val="24"/>
          <w:szCs w:val="24"/>
        </w:rPr>
        <w:t xml:space="preserve">On July 15, 2021, in </w:t>
      </w:r>
      <w:r w:rsidRPr="00FD0DBE">
        <w:rPr>
          <w:rStyle w:val="markedcontent"/>
          <w:rFonts w:ascii="Times New Roman" w:hAnsi="Times New Roman"/>
          <w:sz w:val="24"/>
          <w:szCs w:val="24"/>
          <w:u w:val="single"/>
        </w:rPr>
        <w:t>Tanner Hirschfeld; Natalia Marshall v. Bureau of Alcohol, Firearms, Tobacco &amp; Explosives</w:t>
      </w:r>
      <w:r>
        <w:rPr>
          <w:rStyle w:val="markedcontent"/>
          <w:rFonts w:ascii="Times New Roman" w:hAnsi="Times New Roman"/>
          <w:sz w:val="24"/>
          <w:szCs w:val="24"/>
        </w:rPr>
        <w:t>, the U.S. Court of Appeals for the 4</w:t>
      </w:r>
      <w:r w:rsidRPr="00FD0DBE">
        <w:rPr>
          <w:rStyle w:val="markedcontent"/>
          <w:rFonts w:ascii="Times New Roman" w:hAnsi="Times New Roman"/>
          <w:sz w:val="24"/>
          <w:szCs w:val="24"/>
          <w:vertAlign w:val="superscript"/>
        </w:rPr>
        <w:t>th</w:t>
      </w:r>
      <w:r>
        <w:rPr>
          <w:rStyle w:val="markedcontent"/>
          <w:rFonts w:ascii="Times New Roman" w:hAnsi="Times New Roman"/>
          <w:sz w:val="24"/>
          <w:szCs w:val="24"/>
        </w:rPr>
        <w:t xml:space="preserve"> Circuit (Richmond, VA) held (2 to 1) that Congress in passing the </w:t>
      </w:r>
      <w:r w:rsidRPr="00FD0DBE">
        <w:rPr>
          <w:rStyle w:val="markedcontent"/>
          <w:rFonts w:ascii="Times New Roman" w:hAnsi="Times New Roman"/>
          <w:sz w:val="24"/>
          <w:szCs w:val="24"/>
        </w:rPr>
        <w:t>Omnibus Crime Control and Safe Streets Act of 1968</w:t>
      </w:r>
      <w:r>
        <w:rPr>
          <w:rStyle w:val="markedcontent"/>
          <w:rFonts w:ascii="Times New Roman" w:hAnsi="Times New Roman"/>
          <w:sz w:val="24"/>
          <w:szCs w:val="24"/>
        </w:rPr>
        <w:t xml:space="preserve"> violated the 2</w:t>
      </w:r>
      <w:r w:rsidRPr="002A4D97">
        <w:rPr>
          <w:rStyle w:val="markedcontent"/>
          <w:rFonts w:ascii="Times New Roman" w:hAnsi="Times New Roman"/>
          <w:sz w:val="24"/>
          <w:szCs w:val="24"/>
          <w:vertAlign w:val="superscript"/>
        </w:rPr>
        <w:t>nd</w:t>
      </w:r>
      <w:r>
        <w:rPr>
          <w:rStyle w:val="markedcontent"/>
          <w:rFonts w:ascii="Times New Roman" w:hAnsi="Times New Roman"/>
          <w:sz w:val="24"/>
          <w:szCs w:val="24"/>
        </w:rPr>
        <w:t xml:space="preserve"> Amendment rights of 18-20 year olds to purchase handguns or ammunition from federally licensed gun dealers.  The Court reviewed the history of the Bill of Rights; in 1791 when the first 10 Amendments were ratified by </w:t>
      </w:r>
      <w:proofErr w:type="gramStart"/>
      <w:r>
        <w:rPr>
          <w:rStyle w:val="markedcontent"/>
          <w:rFonts w:ascii="Times New Roman" w:hAnsi="Times New Roman"/>
          <w:sz w:val="24"/>
          <w:szCs w:val="24"/>
        </w:rPr>
        <w:t>states,</w:t>
      </w:r>
      <w:proofErr w:type="gramEnd"/>
      <w:r>
        <w:rPr>
          <w:rStyle w:val="markedcontent"/>
          <w:rFonts w:ascii="Times New Roman" w:hAnsi="Times New Roman"/>
          <w:sz w:val="24"/>
          <w:szCs w:val="24"/>
        </w:rPr>
        <w:t xml:space="preserve"> all 14 states </w:t>
      </w:r>
      <w:r w:rsidRPr="00595382">
        <w:rPr>
          <w:rStyle w:val="markedcontent"/>
          <w:rFonts w:ascii="Times New Roman" w:hAnsi="Times New Roman"/>
          <w:sz w:val="24"/>
          <w:szCs w:val="24"/>
        </w:rPr>
        <w:t xml:space="preserve">uniformly required </w:t>
      </w:r>
      <w:r>
        <w:rPr>
          <w:rStyle w:val="markedcontent"/>
          <w:rFonts w:ascii="Times New Roman" w:hAnsi="Times New Roman"/>
          <w:sz w:val="24"/>
          <w:szCs w:val="24"/>
        </w:rPr>
        <w:t xml:space="preserve">all </w:t>
      </w:r>
      <w:r>
        <w:rPr>
          <w:rStyle w:val="markedcontent"/>
          <w:rFonts w:ascii="Times New Roman" w:hAnsi="Times New Roman"/>
          <w:sz w:val="24"/>
          <w:szCs w:val="24"/>
        </w:rPr>
        <w:lastRenderedPageBreak/>
        <w:t>males 1</w:t>
      </w:r>
      <w:r w:rsidRPr="00595382">
        <w:rPr>
          <w:rStyle w:val="markedcontent"/>
          <w:rFonts w:ascii="Times New Roman" w:hAnsi="Times New Roman"/>
          <w:sz w:val="24"/>
          <w:szCs w:val="24"/>
        </w:rPr>
        <w:t xml:space="preserve">8 and older to join the </w:t>
      </w:r>
      <w:r>
        <w:rPr>
          <w:rStyle w:val="markedcontent"/>
          <w:rFonts w:ascii="Times New Roman" w:hAnsi="Times New Roman"/>
          <w:sz w:val="24"/>
          <w:szCs w:val="24"/>
        </w:rPr>
        <w:t xml:space="preserve">state </w:t>
      </w:r>
      <w:r w:rsidRPr="00595382">
        <w:rPr>
          <w:rStyle w:val="markedcontent"/>
          <w:rFonts w:ascii="Times New Roman" w:hAnsi="Times New Roman"/>
          <w:sz w:val="24"/>
          <w:szCs w:val="24"/>
        </w:rPr>
        <w:t xml:space="preserve">militia </w:t>
      </w:r>
      <w:r>
        <w:rPr>
          <w:rStyle w:val="markedcontent"/>
          <w:rFonts w:ascii="Times New Roman" w:hAnsi="Times New Roman"/>
          <w:sz w:val="24"/>
          <w:szCs w:val="24"/>
        </w:rPr>
        <w:t xml:space="preserve">and to have </w:t>
      </w:r>
      <w:r w:rsidRPr="00595382">
        <w:rPr>
          <w:rStyle w:val="markedcontent"/>
          <w:rFonts w:ascii="Times New Roman" w:hAnsi="Times New Roman"/>
          <w:sz w:val="24"/>
          <w:szCs w:val="24"/>
        </w:rPr>
        <w:t xml:space="preserve">their own </w:t>
      </w:r>
      <w:r>
        <w:rPr>
          <w:rStyle w:val="markedcontent"/>
          <w:rFonts w:ascii="Times New Roman" w:hAnsi="Times New Roman"/>
          <w:sz w:val="24"/>
          <w:szCs w:val="24"/>
        </w:rPr>
        <w:t>fire</w:t>
      </w:r>
      <w:r w:rsidRPr="00595382">
        <w:rPr>
          <w:rStyle w:val="markedcontent"/>
          <w:rFonts w:ascii="Times New Roman" w:hAnsi="Times New Roman"/>
          <w:sz w:val="24"/>
          <w:szCs w:val="24"/>
        </w:rPr>
        <w:t>arms.</w:t>
      </w:r>
      <w:r>
        <w:rPr>
          <w:rStyle w:val="markedcontent"/>
          <w:rFonts w:ascii="Times New Roman" w:hAnsi="Times New Roman"/>
          <w:sz w:val="24"/>
          <w:szCs w:val="24"/>
        </w:rPr>
        <w:t xml:space="preserve"> Recognizing violent crime by youth is an important societal issue, </w:t>
      </w:r>
      <w:r>
        <w:rPr>
          <w:rFonts w:ascii="Times New Roman" w:hAnsi="Times New Roman"/>
          <w:sz w:val="24"/>
          <w:szCs w:val="24"/>
        </w:rPr>
        <w:t xml:space="preserve">less than </w:t>
      </w:r>
      <w:r w:rsidRPr="007921A4">
        <w:rPr>
          <w:rFonts w:ascii="Times New Roman" w:hAnsi="Times New Roman"/>
          <w:sz w:val="24"/>
          <w:szCs w:val="24"/>
        </w:rPr>
        <w:t xml:space="preserve">1% </w:t>
      </w:r>
      <w:r>
        <w:rPr>
          <w:rFonts w:ascii="Times New Roman" w:hAnsi="Times New Roman"/>
          <w:sz w:val="24"/>
          <w:szCs w:val="24"/>
        </w:rPr>
        <w:t xml:space="preserve">of those under 21 </w:t>
      </w:r>
      <w:r w:rsidRPr="007921A4">
        <w:rPr>
          <w:rFonts w:ascii="Times New Roman" w:hAnsi="Times New Roman"/>
          <w:sz w:val="24"/>
          <w:szCs w:val="24"/>
        </w:rPr>
        <w:t>commit violent crime</w:t>
      </w:r>
      <w:r>
        <w:rPr>
          <w:rFonts w:ascii="Times New Roman" w:hAnsi="Times New Roman"/>
          <w:sz w:val="24"/>
          <w:szCs w:val="24"/>
        </w:rPr>
        <w:t xml:space="preserve">s. </w:t>
      </w:r>
    </w:p>
    <w:p w14:paraId="18A42E12" w14:textId="77777777" w:rsidR="005217D5" w:rsidRDefault="005217D5" w:rsidP="005217D5">
      <w:pPr>
        <w:spacing w:before="100" w:beforeAutospacing="1" w:after="100" w:afterAutospacing="1" w:line="240" w:lineRule="auto"/>
        <w:rPr>
          <w:rStyle w:val="markedcontent"/>
          <w:rFonts w:ascii="Times New Roman" w:hAnsi="Times New Roman"/>
          <w:sz w:val="24"/>
          <w:szCs w:val="24"/>
        </w:rPr>
      </w:pPr>
      <w:r>
        <w:rPr>
          <w:rStyle w:val="markedcontent"/>
          <w:rFonts w:ascii="Times New Roman" w:hAnsi="Times New Roman"/>
          <w:sz w:val="24"/>
          <w:szCs w:val="24"/>
        </w:rPr>
        <w:t>4</w:t>
      </w:r>
      <w:r w:rsidRPr="0086321E">
        <w:rPr>
          <w:rStyle w:val="markedcontent"/>
          <w:rFonts w:ascii="Times New Roman" w:hAnsi="Times New Roman"/>
          <w:sz w:val="24"/>
          <w:szCs w:val="24"/>
          <w:vertAlign w:val="superscript"/>
        </w:rPr>
        <w:t>th</w:t>
      </w:r>
      <w:r>
        <w:rPr>
          <w:rStyle w:val="markedcontent"/>
          <w:rFonts w:ascii="Times New Roman" w:hAnsi="Times New Roman"/>
          <w:sz w:val="24"/>
          <w:szCs w:val="24"/>
        </w:rPr>
        <w:t xml:space="preserve"> Circuit [opinion by Circuit Judge Julus N. Richardson].</w:t>
      </w:r>
    </w:p>
    <w:p w14:paraId="6D8827B3" w14:textId="77777777" w:rsidR="005217D5" w:rsidRDefault="005217D5" w:rsidP="005217D5">
      <w:pPr>
        <w:spacing w:before="100" w:beforeAutospacing="1" w:after="100" w:afterAutospacing="1" w:line="240" w:lineRule="auto"/>
        <w:ind w:left="720"/>
        <w:rPr>
          <w:rStyle w:val="markedcontent"/>
          <w:rFonts w:ascii="Times New Roman" w:hAnsi="Times New Roman"/>
          <w:sz w:val="24"/>
          <w:szCs w:val="24"/>
        </w:rPr>
      </w:pPr>
      <w:r>
        <w:rPr>
          <w:rStyle w:val="markedcontent"/>
          <w:rFonts w:ascii="Times New Roman" w:hAnsi="Times New Roman"/>
          <w:sz w:val="24"/>
          <w:szCs w:val="24"/>
        </w:rPr>
        <w:t>“</w:t>
      </w:r>
      <w:r w:rsidRPr="002E2552">
        <w:rPr>
          <w:rStyle w:val="markedcontent"/>
          <w:rFonts w:ascii="Times New Roman" w:hAnsi="Times New Roman"/>
          <w:sz w:val="24"/>
          <w:szCs w:val="24"/>
        </w:rPr>
        <w:t>Despite the weighty interest in reducing crime and violence, we refuse to relegate either the Second Amendment or 18- to 20-year-olds to a second-class statu</w:t>
      </w:r>
      <w:r>
        <w:rPr>
          <w:rStyle w:val="markedcontent"/>
          <w:rFonts w:ascii="Times New Roman" w:hAnsi="Times New Roman"/>
          <w:sz w:val="24"/>
          <w:szCs w:val="24"/>
        </w:rPr>
        <w:t>s.</w:t>
      </w:r>
    </w:p>
    <w:p w14:paraId="1B6802F4" w14:textId="77777777" w:rsidR="005217D5" w:rsidRDefault="005217D5" w:rsidP="005217D5">
      <w:pPr>
        <w:spacing w:before="100" w:beforeAutospacing="1" w:after="100" w:afterAutospacing="1" w:line="240" w:lineRule="auto"/>
        <w:ind w:left="720"/>
        <w:rPr>
          <w:rStyle w:val="markedcontent"/>
          <w:rFonts w:ascii="Times New Roman" w:hAnsi="Times New Roman"/>
          <w:sz w:val="24"/>
          <w:szCs w:val="24"/>
        </w:rPr>
      </w:pPr>
      <w:r>
        <w:rPr>
          <w:rStyle w:val="markedcontent"/>
          <w:rFonts w:ascii="Times New Roman" w:hAnsi="Times New Roman"/>
          <w:sz w:val="24"/>
          <w:szCs w:val="24"/>
        </w:rPr>
        <w:t>***</w:t>
      </w:r>
    </w:p>
    <w:p w14:paraId="0046071D" w14:textId="77777777" w:rsidR="005217D5" w:rsidRDefault="005217D5" w:rsidP="005217D5">
      <w:pPr>
        <w:spacing w:before="100" w:beforeAutospacing="1" w:after="100" w:afterAutospacing="1" w:line="240" w:lineRule="auto"/>
        <w:ind w:left="720"/>
        <w:rPr>
          <w:rStyle w:val="markedcontent"/>
          <w:rFonts w:ascii="Times New Roman" w:hAnsi="Times New Roman"/>
          <w:sz w:val="24"/>
          <w:szCs w:val="24"/>
        </w:rPr>
      </w:pPr>
      <w:proofErr w:type="gramStart"/>
      <w:r w:rsidRPr="00420E30">
        <w:rPr>
          <w:rStyle w:val="markedcontent"/>
          <w:rFonts w:ascii="Times New Roman" w:hAnsi="Times New Roman"/>
          <w:sz w:val="24"/>
          <w:szCs w:val="24"/>
        </w:rPr>
        <w:t>So</w:t>
      </w:r>
      <w:proofErr w:type="gramEnd"/>
      <w:r w:rsidRPr="00420E30">
        <w:rPr>
          <w:rStyle w:val="markedcontent"/>
          <w:rFonts w:ascii="Times New Roman" w:hAnsi="Times New Roman"/>
          <w:sz w:val="24"/>
          <w:szCs w:val="24"/>
        </w:rPr>
        <w:t xml:space="preserve"> while 18- to 20-year-olds may commit a disproportionate share of violent crime, an exceedingly small percentage, around 0.3% and definitely </w:t>
      </w:r>
      <w:proofErr w:type="gramStart"/>
      <w:r w:rsidRPr="00420E30">
        <w:rPr>
          <w:rStyle w:val="markedcontent"/>
          <w:rFonts w:ascii="Times New Roman" w:hAnsi="Times New Roman"/>
          <w:sz w:val="24"/>
          <w:szCs w:val="24"/>
        </w:rPr>
        <w:t>less than 1%,</w:t>
      </w:r>
      <w:proofErr w:type="gramEnd"/>
      <w:r w:rsidRPr="00420E30">
        <w:rPr>
          <w:rStyle w:val="markedcontent"/>
          <w:rFonts w:ascii="Times New Roman" w:hAnsi="Times New Roman"/>
          <w:sz w:val="24"/>
          <w:szCs w:val="24"/>
        </w:rPr>
        <w:t xml:space="preserve"> of the 13 million young adults in this group commit those crimes.</w:t>
      </w:r>
      <w:r>
        <w:rPr>
          <w:rStyle w:val="markedcontent"/>
          <w:rFonts w:ascii="Times New Roman" w:hAnsi="Times New Roman"/>
          <w:sz w:val="24"/>
          <w:szCs w:val="24"/>
        </w:rPr>
        <w:t xml:space="preserve"> </w:t>
      </w:r>
      <w:r w:rsidRPr="00420E30">
        <w:rPr>
          <w:rStyle w:val="markedcontent"/>
          <w:rFonts w:ascii="Times New Roman" w:hAnsi="Times New Roman"/>
          <w:sz w:val="24"/>
          <w:szCs w:val="24"/>
        </w:rPr>
        <w:t>This alone cannot justify restricting the entire group’s rights.</w:t>
      </w:r>
    </w:p>
    <w:p w14:paraId="198B870E" w14:textId="77777777" w:rsidR="005217D5" w:rsidRDefault="005217D5" w:rsidP="005217D5">
      <w:pPr>
        <w:spacing w:before="100" w:beforeAutospacing="1" w:after="100" w:afterAutospacing="1" w:line="240" w:lineRule="auto"/>
        <w:ind w:left="720"/>
        <w:rPr>
          <w:rStyle w:val="markedcontent"/>
          <w:rFonts w:ascii="Times New Roman" w:hAnsi="Times New Roman"/>
          <w:sz w:val="24"/>
          <w:szCs w:val="24"/>
        </w:rPr>
      </w:pPr>
      <w:r>
        <w:rPr>
          <w:rStyle w:val="markedcontent"/>
          <w:rFonts w:ascii="Times New Roman" w:hAnsi="Times New Roman"/>
          <w:sz w:val="24"/>
          <w:szCs w:val="24"/>
        </w:rPr>
        <w:t>***</w:t>
      </w:r>
    </w:p>
    <w:p w14:paraId="18C8DB50" w14:textId="77777777" w:rsidR="005217D5" w:rsidRDefault="005217D5" w:rsidP="005217D5">
      <w:pPr>
        <w:spacing w:before="100" w:beforeAutospacing="1" w:after="100" w:afterAutospacing="1" w:line="240" w:lineRule="auto"/>
        <w:ind w:left="720"/>
        <w:rPr>
          <w:rFonts w:ascii="Times New Roman" w:eastAsia="Times New Roman" w:hAnsi="Times New Roman"/>
          <w:b/>
          <w:bCs/>
          <w:sz w:val="24"/>
          <w:szCs w:val="24"/>
        </w:rPr>
      </w:pPr>
      <w:r w:rsidRPr="002A4D97">
        <w:rPr>
          <w:rStyle w:val="markedcontent"/>
          <w:rFonts w:ascii="Times New Roman" w:hAnsi="Times New Roman"/>
          <w:sz w:val="24"/>
          <w:szCs w:val="24"/>
        </w:rPr>
        <w:t xml:space="preserve">The </w:t>
      </w:r>
      <w:r>
        <w:rPr>
          <w:rStyle w:val="markedcontent"/>
          <w:rFonts w:ascii="Times New Roman" w:hAnsi="Times New Roman"/>
          <w:sz w:val="24"/>
          <w:szCs w:val="24"/>
        </w:rPr>
        <w:t xml:space="preserve">[Founding] </w:t>
      </w:r>
      <w:r w:rsidRPr="002A4D97">
        <w:rPr>
          <w:rStyle w:val="markedcontent"/>
          <w:rFonts w:ascii="Times New Roman" w:hAnsi="Times New Roman"/>
          <w:sz w:val="24"/>
          <w:szCs w:val="24"/>
        </w:rPr>
        <w:t>Founders set age requirements for Congress and the Presidency, but they did not limit any rights protected by the Bill of Rights to those of a certain age. See U.S. Const. art. I, § 2 (age 25 for the House); id. art. I, § 3 (age 30 for the Senate); id. art. II, § 1 (age 35 for the President); cf. id. amend. XXVI (setting voting age at 18). In other words, the Founders considered age and knew how to set age requirements but placed no such restrictions on rights, including those protected by the Second Amendment.</w:t>
      </w:r>
      <w:r>
        <w:rPr>
          <w:rStyle w:val="markedcontent"/>
          <w:rFonts w:ascii="Times New Roman" w:hAnsi="Times New Roman"/>
          <w:sz w:val="24"/>
          <w:szCs w:val="24"/>
        </w:rPr>
        <w:t xml:space="preserve">” </w:t>
      </w:r>
      <w:hyperlink r:id="rId768" w:history="1">
        <w:r w:rsidRPr="00814A02">
          <w:rPr>
            <w:rStyle w:val="Hyperlink"/>
            <w:sz w:val="24"/>
            <w:szCs w:val="24"/>
          </w:rPr>
          <w:t>https://www.ca4.uscourts.gov/opinions/192250.P.pdf</w:t>
        </w:r>
      </w:hyperlink>
      <w:r w:rsidRPr="002E2552">
        <w:rPr>
          <w:rFonts w:ascii="Times New Roman" w:eastAsia="Times New Roman" w:hAnsi="Times New Roman"/>
          <w:sz w:val="24"/>
          <w:szCs w:val="24"/>
        </w:rPr>
        <w:t xml:space="preserve"> </w:t>
      </w:r>
    </w:p>
    <w:p w14:paraId="4F991733" w14:textId="77777777" w:rsidR="005217D5" w:rsidRDefault="005217D5" w:rsidP="005217D5">
      <w:pPr>
        <w:spacing w:before="100" w:beforeAutospacing="1" w:after="100" w:afterAutospacing="1" w:line="240" w:lineRule="auto"/>
        <w:rPr>
          <w:rStyle w:val="markedcontent"/>
          <w:rFonts w:ascii="Times New Roman" w:hAnsi="Times New Roman"/>
          <w:b/>
          <w:bCs/>
          <w:sz w:val="24"/>
          <w:szCs w:val="24"/>
        </w:rPr>
      </w:pPr>
      <w:r w:rsidRPr="002A4D97">
        <w:rPr>
          <w:rStyle w:val="markedcontent"/>
          <w:rFonts w:ascii="Times New Roman" w:hAnsi="Times New Roman"/>
          <w:b/>
          <w:bCs/>
          <w:sz w:val="24"/>
          <w:szCs w:val="24"/>
        </w:rPr>
        <w:t xml:space="preserve">Legal Lesson Learned: </w:t>
      </w:r>
      <w:r>
        <w:rPr>
          <w:rStyle w:val="markedcontent"/>
          <w:rFonts w:ascii="Times New Roman" w:hAnsi="Times New Roman"/>
          <w:b/>
          <w:bCs/>
          <w:sz w:val="24"/>
          <w:szCs w:val="24"/>
        </w:rPr>
        <w:t xml:space="preserve"> This decision does not restrict Fire &amp; EMS Departments from banning firearms on their property or apparatus. </w:t>
      </w:r>
      <w:r w:rsidRPr="002A4D97">
        <w:rPr>
          <w:rStyle w:val="markedcontent"/>
          <w:rFonts w:ascii="Times New Roman" w:hAnsi="Times New Roman"/>
          <w:b/>
          <w:bCs/>
          <w:sz w:val="24"/>
          <w:szCs w:val="24"/>
        </w:rPr>
        <w:t xml:space="preserve">It is highly likely the U.S. Department of Justice will ask all </w:t>
      </w:r>
      <w:r>
        <w:rPr>
          <w:rStyle w:val="markedcontent"/>
          <w:rFonts w:ascii="Times New Roman" w:hAnsi="Times New Roman"/>
          <w:b/>
          <w:bCs/>
          <w:sz w:val="24"/>
          <w:szCs w:val="24"/>
        </w:rPr>
        <w:t xml:space="preserve">15 of </w:t>
      </w:r>
      <w:r w:rsidRPr="002A4D97">
        <w:rPr>
          <w:rStyle w:val="markedcontent"/>
          <w:rFonts w:ascii="Times New Roman" w:hAnsi="Times New Roman"/>
          <w:b/>
          <w:bCs/>
          <w:sz w:val="24"/>
          <w:szCs w:val="24"/>
        </w:rPr>
        <w:t>the judges</w:t>
      </w:r>
      <w:r>
        <w:rPr>
          <w:rStyle w:val="markedcontent"/>
          <w:rFonts w:ascii="Times New Roman" w:hAnsi="Times New Roman"/>
          <w:b/>
          <w:bCs/>
          <w:sz w:val="24"/>
          <w:szCs w:val="24"/>
        </w:rPr>
        <w:t xml:space="preserve"> </w:t>
      </w:r>
      <w:r w:rsidRPr="002A4D97">
        <w:rPr>
          <w:rStyle w:val="markedcontent"/>
          <w:rFonts w:ascii="Times New Roman" w:hAnsi="Times New Roman"/>
          <w:b/>
          <w:bCs/>
          <w:sz w:val="24"/>
          <w:szCs w:val="24"/>
        </w:rPr>
        <w:t>on the 4</w:t>
      </w:r>
      <w:r w:rsidRPr="002A4D97">
        <w:rPr>
          <w:rStyle w:val="markedcontent"/>
          <w:rFonts w:ascii="Times New Roman" w:hAnsi="Times New Roman"/>
          <w:b/>
          <w:bCs/>
          <w:sz w:val="24"/>
          <w:szCs w:val="24"/>
          <w:vertAlign w:val="superscript"/>
        </w:rPr>
        <w:t>th</w:t>
      </w:r>
      <w:r w:rsidRPr="002A4D97">
        <w:rPr>
          <w:rStyle w:val="markedcontent"/>
          <w:rFonts w:ascii="Times New Roman" w:hAnsi="Times New Roman"/>
          <w:b/>
          <w:bCs/>
          <w:sz w:val="24"/>
          <w:szCs w:val="24"/>
        </w:rPr>
        <w:t xml:space="preserve"> Circuit to reconsider the decision </w:t>
      </w:r>
      <w:r>
        <w:rPr>
          <w:rStyle w:val="markedcontent"/>
          <w:rFonts w:ascii="Times New Roman" w:hAnsi="Times New Roman"/>
          <w:b/>
          <w:bCs/>
          <w:sz w:val="24"/>
          <w:szCs w:val="24"/>
        </w:rPr>
        <w:t>(</w:t>
      </w:r>
      <w:proofErr w:type="spellStart"/>
      <w:r>
        <w:rPr>
          <w:rStyle w:val="markedcontent"/>
          <w:rFonts w:ascii="Times New Roman" w:hAnsi="Times New Roman"/>
          <w:b/>
          <w:bCs/>
          <w:sz w:val="24"/>
          <w:szCs w:val="24"/>
        </w:rPr>
        <w:t>en</w:t>
      </w:r>
      <w:proofErr w:type="spellEnd"/>
      <w:r>
        <w:rPr>
          <w:rStyle w:val="markedcontent"/>
          <w:rFonts w:ascii="Times New Roman" w:hAnsi="Times New Roman"/>
          <w:b/>
          <w:bCs/>
          <w:sz w:val="24"/>
          <w:szCs w:val="24"/>
        </w:rPr>
        <w:t xml:space="preserve"> banc decision)</w:t>
      </w:r>
      <w:r w:rsidRPr="002A4D97">
        <w:rPr>
          <w:rStyle w:val="markedcontent"/>
          <w:rFonts w:ascii="Times New Roman" w:hAnsi="Times New Roman"/>
          <w:b/>
          <w:bCs/>
          <w:sz w:val="24"/>
          <w:szCs w:val="24"/>
        </w:rPr>
        <w:t xml:space="preserve"> </w:t>
      </w:r>
      <w:r>
        <w:rPr>
          <w:rStyle w:val="markedcontent"/>
          <w:rFonts w:ascii="Times New Roman" w:hAnsi="Times New Roman"/>
          <w:b/>
          <w:bCs/>
          <w:sz w:val="24"/>
          <w:szCs w:val="24"/>
        </w:rPr>
        <w:t>since the 5</w:t>
      </w:r>
      <w:r w:rsidRPr="00111EF6">
        <w:rPr>
          <w:rStyle w:val="markedcontent"/>
          <w:rFonts w:ascii="Times New Roman" w:hAnsi="Times New Roman"/>
          <w:b/>
          <w:bCs/>
          <w:sz w:val="24"/>
          <w:szCs w:val="24"/>
          <w:vertAlign w:val="superscript"/>
        </w:rPr>
        <w:t>th</w:t>
      </w:r>
      <w:r>
        <w:rPr>
          <w:rStyle w:val="markedcontent"/>
          <w:rFonts w:ascii="Times New Roman" w:hAnsi="Times New Roman"/>
          <w:b/>
          <w:bCs/>
          <w:sz w:val="24"/>
          <w:szCs w:val="24"/>
        </w:rPr>
        <w:t xml:space="preserve"> Circuit and lower courts have upheld the ban. </w:t>
      </w:r>
    </w:p>
    <w:p w14:paraId="3F1BF04B" w14:textId="77777777" w:rsidR="005217D5" w:rsidRDefault="005217D5" w:rsidP="005217D5">
      <w:pPr>
        <w:spacing w:before="100" w:beforeAutospacing="1" w:after="100" w:afterAutospacing="1" w:line="240" w:lineRule="auto"/>
        <w:ind w:left="720"/>
        <w:rPr>
          <w:rFonts w:ascii="Times New Roman" w:hAnsi="Times New Roman"/>
          <w:sz w:val="24"/>
          <w:szCs w:val="24"/>
        </w:rPr>
      </w:pPr>
      <w:r w:rsidRPr="007921A4">
        <w:rPr>
          <w:rStyle w:val="markedcontent"/>
          <w:rFonts w:ascii="Times New Roman" w:hAnsi="Times New Roman"/>
          <w:sz w:val="24"/>
          <w:szCs w:val="24"/>
        </w:rPr>
        <w:t>Note: See article on the decision: “</w:t>
      </w:r>
      <w:r w:rsidRPr="007921A4">
        <w:rPr>
          <w:rFonts w:ascii="Times New Roman" w:hAnsi="Times New Roman"/>
          <w:sz w:val="24"/>
          <w:szCs w:val="24"/>
        </w:rPr>
        <w:t>Handgun sale ban to under 21-year-olds is unconstitutional, appeals court says</w:t>
      </w:r>
      <w:r>
        <w:rPr>
          <w:rFonts w:ascii="Times New Roman" w:hAnsi="Times New Roman"/>
          <w:sz w:val="24"/>
          <w:szCs w:val="24"/>
        </w:rPr>
        <w:t xml:space="preserve">.”  (July 13, 2021.)  </w:t>
      </w:r>
    </w:p>
    <w:p w14:paraId="2DDE553F" w14:textId="77777777" w:rsidR="005217D5" w:rsidRDefault="005217D5" w:rsidP="005217D5">
      <w:pPr>
        <w:spacing w:before="100" w:beforeAutospacing="1" w:after="100" w:afterAutospacing="1" w:line="240" w:lineRule="auto"/>
        <w:ind w:left="1440"/>
        <w:rPr>
          <w:rFonts w:ascii="Times New Roman" w:hAnsi="Times New Roman"/>
          <w:sz w:val="24"/>
          <w:szCs w:val="24"/>
        </w:rPr>
      </w:pPr>
      <w:r>
        <w:rPr>
          <w:rFonts w:ascii="Times New Roman" w:hAnsi="Times New Roman"/>
          <w:sz w:val="24"/>
          <w:szCs w:val="24"/>
        </w:rPr>
        <w:t>“</w:t>
      </w:r>
      <w:r w:rsidRPr="00111EF6">
        <w:rPr>
          <w:rFonts w:ascii="Times New Roman" w:hAnsi="Times New Roman"/>
          <w:sz w:val="24"/>
          <w:szCs w:val="24"/>
        </w:rPr>
        <w:t>Other courts had previously upheld the federal age minimums, as well as more expansive age limits that have been passed by states. Just last month, a federal judge upheld Florida's ban on firearm sales to those under 21.”</w:t>
      </w:r>
      <w:r>
        <w:rPr>
          <w:rFonts w:ascii="Times New Roman" w:hAnsi="Times New Roman"/>
          <w:sz w:val="24"/>
          <w:szCs w:val="24"/>
        </w:rPr>
        <w:t xml:space="preserve"> </w:t>
      </w:r>
      <w:hyperlink r:id="rId769" w:history="1">
        <w:r w:rsidRPr="00814A02">
          <w:rPr>
            <w:rStyle w:val="Hyperlink"/>
            <w:sz w:val="24"/>
            <w:szCs w:val="24"/>
          </w:rPr>
          <w:t>https://www.cnn.com/2021/07/13/politics/handgun-appeals-court/index.html?utm_term=link&amp;utm_content=2021-07-13T19%3A12%3A10&amp;utm_source=twcnnbrk&amp;utm_medium=social</w:t>
        </w:r>
      </w:hyperlink>
      <w:r>
        <w:rPr>
          <w:rFonts w:ascii="Times New Roman" w:hAnsi="Times New Roman"/>
          <w:sz w:val="24"/>
          <w:szCs w:val="24"/>
        </w:rPr>
        <w:t xml:space="preserve"> </w:t>
      </w:r>
    </w:p>
    <w:p w14:paraId="45793039" w14:textId="77777777" w:rsidR="005217D5" w:rsidRPr="00150169" w:rsidRDefault="005217D5" w:rsidP="005217D5">
      <w:pPr>
        <w:spacing w:before="100" w:beforeAutospacing="1" w:after="100" w:afterAutospacing="1" w:line="240" w:lineRule="auto"/>
        <w:jc w:val="center"/>
        <w:rPr>
          <w:rFonts w:ascii="Times New Roman" w:eastAsia="Times New Roman" w:hAnsi="Times New Roman"/>
          <w:sz w:val="24"/>
          <w:szCs w:val="24"/>
        </w:rPr>
      </w:pPr>
    </w:p>
    <w:p w14:paraId="553BC87B" w14:textId="77777777" w:rsidR="005217D5" w:rsidRDefault="005217D5" w:rsidP="005217D5">
      <w:pPr>
        <w:pStyle w:val="Heading1"/>
        <w:ind w:left="720"/>
        <w:rPr>
          <w:b w:val="0"/>
          <w:bCs w:val="0"/>
          <w:sz w:val="24"/>
          <w:szCs w:val="24"/>
        </w:rPr>
      </w:pPr>
      <w:r w:rsidRPr="00150169">
        <w:rPr>
          <w:b w:val="0"/>
          <w:bCs w:val="0"/>
          <w:sz w:val="24"/>
          <w:szCs w:val="24"/>
        </w:rPr>
        <w:t>July 18, 2021: “</w:t>
      </w:r>
      <w:r w:rsidRPr="00150169">
        <w:rPr>
          <w:rStyle w:val="gold"/>
          <w:rFonts w:eastAsiaTheme="majorEastAsia"/>
          <w:b w:val="0"/>
          <w:bCs w:val="0"/>
          <w:sz w:val="24"/>
          <w:szCs w:val="24"/>
        </w:rPr>
        <w:t xml:space="preserve">Opinion: </w:t>
      </w:r>
      <w:r w:rsidRPr="00150169">
        <w:rPr>
          <w:b w:val="0"/>
          <w:bCs w:val="0"/>
          <w:sz w:val="24"/>
          <w:szCs w:val="24"/>
        </w:rPr>
        <w:t xml:space="preserve">A federal appeals court decision on handguns opens the door to more violence.” </w:t>
      </w:r>
    </w:p>
    <w:p w14:paraId="7187055A" w14:textId="77777777" w:rsidR="005217D5" w:rsidRDefault="005217D5" w:rsidP="005217D5">
      <w:pPr>
        <w:pStyle w:val="Heading1"/>
        <w:ind w:left="1440"/>
        <w:rPr>
          <w:b w:val="0"/>
          <w:bCs w:val="0"/>
          <w:sz w:val="24"/>
          <w:szCs w:val="24"/>
        </w:rPr>
      </w:pPr>
      <w:r>
        <w:rPr>
          <w:b w:val="0"/>
          <w:bCs w:val="0"/>
          <w:sz w:val="24"/>
          <w:szCs w:val="24"/>
        </w:rPr>
        <w:t>“</w:t>
      </w:r>
      <w:r w:rsidRPr="0053535C">
        <w:rPr>
          <w:b w:val="0"/>
          <w:bCs w:val="0"/>
          <w:sz w:val="24"/>
          <w:szCs w:val="24"/>
        </w:rPr>
        <w:t>That act of judicial arrogance, if affirmed on appeal, would likely accelerate the current spike in homicides, many of them committed with handguns by individuals under the age of 21. And it comes as Americans are embarked on a record-setting</w:t>
      </w:r>
      <w:hyperlink r:id="rId770" w:tgtFrame="_blank" w:history="1">
        <w:r w:rsidRPr="0053535C">
          <w:rPr>
            <w:rStyle w:val="Hyperlink"/>
            <w:sz w:val="24"/>
            <w:szCs w:val="24"/>
          </w:rPr>
          <w:t xml:space="preserve"> gun-buying spree</w:t>
        </w:r>
      </w:hyperlink>
      <w:r w:rsidRPr="0053535C">
        <w:rPr>
          <w:b w:val="0"/>
          <w:bCs w:val="0"/>
          <w:sz w:val="24"/>
          <w:szCs w:val="24"/>
        </w:rPr>
        <w:t>, which began during the pandemic and shows no sign of waning.</w:t>
      </w:r>
      <w:r>
        <w:rPr>
          <w:b w:val="0"/>
          <w:bCs w:val="0"/>
          <w:sz w:val="24"/>
          <w:szCs w:val="24"/>
        </w:rPr>
        <w:t xml:space="preserve">” </w:t>
      </w:r>
      <w:hyperlink r:id="rId771" w:history="1">
        <w:r w:rsidRPr="004A379F">
          <w:rPr>
            <w:rStyle w:val="Hyperlink"/>
            <w:sz w:val="24"/>
            <w:szCs w:val="24"/>
          </w:rPr>
          <w:t>https://www.washingtonpost.com/opinions/2021/07/18/federal-appeals-court-decisions-handguns-opens-door-more-violence/?utm_campaign=wp_todays_headlines&amp;utm_medium=email&amp;utm_source=newsletter&amp;wpisrc=nl_headlines&amp;carta-url=https%3A%2F%2Fs2.washingtonpost.com%2Fcar-ln-</w:t>
        </w:r>
        <w:r w:rsidRPr="004A379F">
          <w:rPr>
            <w:rStyle w:val="Hyperlink"/>
            <w:sz w:val="24"/>
            <w:szCs w:val="24"/>
          </w:rPr>
          <w:lastRenderedPageBreak/>
          <w:t>tr%2F342e6a3%2F60f54d379d2fda945a0c336b%2F59731235ade4e21a848a56ed%2F42%2F67%2F60f54d379d2fda945a0c336b</w:t>
        </w:r>
      </w:hyperlink>
      <w:r w:rsidRPr="00150169">
        <w:rPr>
          <w:b w:val="0"/>
          <w:bCs w:val="0"/>
          <w:sz w:val="24"/>
          <w:szCs w:val="24"/>
        </w:rPr>
        <w:t xml:space="preserve"> </w:t>
      </w:r>
    </w:p>
    <w:p w14:paraId="63E53266" w14:textId="77777777" w:rsidR="005217D5" w:rsidRPr="00231A9A" w:rsidRDefault="005217D5" w:rsidP="005217D5">
      <w:pPr>
        <w:pStyle w:val="Heading1"/>
        <w:ind w:left="720"/>
        <w:rPr>
          <w:b w:val="0"/>
          <w:bCs w:val="0"/>
          <w:sz w:val="24"/>
          <w:szCs w:val="24"/>
        </w:rPr>
      </w:pPr>
      <w:r w:rsidRPr="00231A9A">
        <w:rPr>
          <w:b w:val="0"/>
          <w:bCs w:val="0"/>
          <w:sz w:val="24"/>
          <w:szCs w:val="24"/>
        </w:rPr>
        <w:t>Aug. 2, 2021:   'Something has to be done.' Lawsuit filed against maker of 100-round magazine used in Dayton mass shooting</w:t>
      </w:r>
      <w:r>
        <w:rPr>
          <w:b w:val="0"/>
          <w:bCs w:val="0"/>
          <w:sz w:val="24"/>
          <w:szCs w:val="24"/>
        </w:rPr>
        <w:t xml:space="preserve">.” </w:t>
      </w:r>
    </w:p>
    <w:p w14:paraId="6ACB51B0" w14:textId="77777777" w:rsidR="005217D5" w:rsidRPr="0053535C" w:rsidRDefault="005217D5" w:rsidP="005217D5">
      <w:pPr>
        <w:pStyle w:val="Heading1"/>
        <w:ind w:left="1440"/>
        <w:rPr>
          <w:b w:val="0"/>
          <w:bCs w:val="0"/>
          <w:sz w:val="24"/>
          <w:szCs w:val="24"/>
        </w:rPr>
      </w:pPr>
      <w:r w:rsidRPr="0053535C">
        <w:rPr>
          <w:b w:val="0"/>
          <w:bCs w:val="0"/>
          <w:sz w:val="24"/>
          <w:szCs w:val="24"/>
        </w:rPr>
        <w:t xml:space="preserve">“Two years ago, Connor Betts used a high-powered rifle </w:t>
      </w:r>
      <w:hyperlink r:id="rId772" w:tgtFrame="_blank" w:history="1">
        <w:r w:rsidRPr="0053535C">
          <w:rPr>
            <w:rStyle w:val="Hyperlink"/>
            <w:sz w:val="24"/>
            <w:szCs w:val="24"/>
          </w:rPr>
          <w:t>to kill nine people and wound many others</w:t>
        </w:r>
      </w:hyperlink>
      <w:r w:rsidRPr="0053535C">
        <w:rPr>
          <w:b w:val="0"/>
          <w:bCs w:val="0"/>
          <w:sz w:val="24"/>
          <w:szCs w:val="24"/>
        </w:rPr>
        <w:t xml:space="preserve"> in a crowded entertainment district in Dayton, Ohio. </w:t>
      </w:r>
      <w:hyperlink r:id="rId773" w:tgtFrame="_blank" w:history="1">
        <w:r w:rsidRPr="0053535C">
          <w:rPr>
            <w:rStyle w:val="Hyperlink"/>
            <w:sz w:val="24"/>
            <w:szCs w:val="24"/>
          </w:rPr>
          <w:t>The tragedy unfolded in about 30 seconds</w:t>
        </w:r>
      </w:hyperlink>
      <w:r w:rsidRPr="0053535C">
        <w:rPr>
          <w:b w:val="0"/>
          <w:bCs w:val="0"/>
          <w:sz w:val="24"/>
          <w:szCs w:val="24"/>
        </w:rPr>
        <w:t>. The 24-year-old used an assault-style rifle that had a 100-round, double-drum magazine attached, allowing him to fire multiple rounds without reloading. Attorneys for several of the families of those killed are suing the company that manufactured the double-drum magazine, saying it has no real protocols or oversight in place to ensure that its product isn't used in a mass shooting. *** The lawsuit was filed in Nevada state court against Nevada-based Kyung Chang Industry USA and its related South Korean company.”  </w:t>
      </w:r>
      <w:hyperlink r:id="rId774" w:history="1">
        <w:r w:rsidRPr="0053535C">
          <w:rPr>
            <w:rStyle w:val="Hyperlink"/>
            <w:sz w:val="24"/>
            <w:szCs w:val="24"/>
          </w:rPr>
          <w:t>https://www.cincinnati.com/story/news/2021/08/02/attorney-maker-double-drum-magazine-enabled-dayton-mass-shooting/5455812001/</w:t>
        </w:r>
      </w:hyperlink>
    </w:p>
    <w:p w14:paraId="57167584" w14:textId="77777777" w:rsidR="005217D5" w:rsidRDefault="005217D5" w:rsidP="00F326E5">
      <w:pPr>
        <w:pStyle w:val="NoSpacing"/>
        <w:rPr>
          <w:rFonts w:ascii="Arial Black" w:hAnsi="Arial Black"/>
          <w:sz w:val="28"/>
          <w:szCs w:val="28"/>
        </w:rPr>
      </w:pPr>
    </w:p>
    <w:p w14:paraId="0E84CF83" w14:textId="77777777" w:rsidR="005217D5" w:rsidRDefault="005217D5" w:rsidP="00F326E5">
      <w:pPr>
        <w:pStyle w:val="NoSpacing"/>
        <w:rPr>
          <w:rFonts w:ascii="Arial Black" w:hAnsi="Arial Black"/>
          <w:sz w:val="28"/>
          <w:szCs w:val="28"/>
        </w:rPr>
      </w:pPr>
    </w:p>
    <w:p w14:paraId="28549107" w14:textId="77777777" w:rsidR="005217D5" w:rsidRDefault="005217D5" w:rsidP="00F326E5">
      <w:pPr>
        <w:pStyle w:val="NoSpacing"/>
        <w:rPr>
          <w:rFonts w:ascii="Arial Black" w:hAnsi="Arial Black"/>
          <w:sz w:val="28"/>
          <w:szCs w:val="28"/>
        </w:rPr>
      </w:pPr>
    </w:p>
    <w:p w14:paraId="0B1F9D61" w14:textId="18199422" w:rsidR="000915C1" w:rsidRDefault="00A82898" w:rsidP="00F326E5">
      <w:pPr>
        <w:pStyle w:val="NoSpacing"/>
        <w:rPr>
          <w:rFonts w:ascii="Arial Black" w:hAnsi="Arial Black"/>
          <w:sz w:val="28"/>
          <w:szCs w:val="28"/>
        </w:rPr>
      </w:pPr>
      <w:r>
        <w:rPr>
          <w:rFonts w:ascii="Arial Black" w:hAnsi="Arial Black"/>
          <w:sz w:val="28"/>
          <w:szCs w:val="28"/>
        </w:rPr>
        <w:t>3-35</w:t>
      </w:r>
    </w:p>
    <w:p w14:paraId="2634E8EF" w14:textId="56D8D3B7" w:rsidR="00A82898" w:rsidRDefault="00A82898" w:rsidP="00F326E5">
      <w:pPr>
        <w:pStyle w:val="NoSpacing"/>
        <w:rPr>
          <w:rFonts w:ascii="Arial Black" w:hAnsi="Arial Black"/>
          <w:sz w:val="28"/>
          <w:szCs w:val="28"/>
        </w:rPr>
      </w:pPr>
    </w:p>
    <w:p w14:paraId="288FC182" w14:textId="77777777" w:rsidR="00A82898" w:rsidRDefault="00A82898" w:rsidP="00A82898">
      <w:pPr>
        <w:pStyle w:val="NormalWeb"/>
        <w:spacing w:before="0" w:beforeAutospacing="0" w:after="0" w:afterAutospacing="0" w:line="255" w:lineRule="atLeast"/>
        <w:rPr>
          <w:rStyle w:val="markedcontent"/>
          <w:rFonts w:ascii="Arial Black" w:hAnsi="Arial Black"/>
          <w:sz w:val="28"/>
          <w:szCs w:val="28"/>
        </w:rPr>
      </w:pPr>
      <w:r>
        <w:rPr>
          <w:rStyle w:val="markedcontent"/>
          <w:rFonts w:ascii="Arial Black" w:hAnsi="Arial Black"/>
          <w:sz w:val="28"/>
          <w:szCs w:val="28"/>
        </w:rPr>
        <w:t xml:space="preserve">CA: FALSE CREDIT RECORDS – AFTER 9/11, CO. OFFERED “POTENTIAL MATCH” U.S. TREASURY LIST TERRORISTS </w:t>
      </w:r>
    </w:p>
    <w:p w14:paraId="2DFF652E" w14:textId="77777777" w:rsidR="00A82898" w:rsidRDefault="00A82898" w:rsidP="00A82898">
      <w:pPr>
        <w:pStyle w:val="NormalWeb"/>
        <w:spacing w:before="0" w:beforeAutospacing="0" w:after="0" w:afterAutospacing="0" w:line="255" w:lineRule="atLeast"/>
        <w:rPr>
          <w:rStyle w:val="markedcontent"/>
          <w:rFonts w:ascii="Arial Black" w:hAnsi="Arial Black"/>
          <w:sz w:val="28"/>
          <w:szCs w:val="28"/>
        </w:rPr>
      </w:pPr>
    </w:p>
    <w:p w14:paraId="39D95E18" w14:textId="77777777" w:rsidR="00A82898" w:rsidRDefault="00A82898" w:rsidP="00A82898">
      <w:pPr>
        <w:pStyle w:val="NormalWeb"/>
        <w:spacing w:before="0" w:beforeAutospacing="0" w:after="0" w:afterAutospacing="0" w:line="255" w:lineRule="atLeast"/>
        <w:rPr>
          <w:rStyle w:val="markedcontent"/>
        </w:rPr>
      </w:pPr>
      <w:r w:rsidRPr="00130D09">
        <w:rPr>
          <w:rStyle w:val="markedcontent"/>
        </w:rPr>
        <w:t xml:space="preserve">On June 25, 2021, in </w:t>
      </w:r>
      <w:r w:rsidRPr="00130D09">
        <w:rPr>
          <w:rStyle w:val="markedcontent"/>
          <w:u w:val="single"/>
        </w:rPr>
        <w:t>TransUnion LLC v. Sergio Ramirez, et al</w:t>
      </w:r>
      <w:r w:rsidRPr="00130D09">
        <w:rPr>
          <w:rStyle w:val="markedcontent"/>
        </w:rPr>
        <w:t xml:space="preserve">., the U.S. Supreme Court held (5 to 4) that </w:t>
      </w:r>
      <w:r>
        <w:rPr>
          <w:rStyle w:val="markedcontent"/>
        </w:rPr>
        <w:t xml:space="preserve">only individuals who could prove they </w:t>
      </w:r>
      <w:r w:rsidRPr="00130D09">
        <w:rPr>
          <w:rStyle w:val="markedcontent"/>
        </w:rPr>
        <w:t xml:space="preserve">suffered “concrete harm” </w:t>
      </w:r>
      <w:r>
        <w:rPr>
          <w:rStyle w:val="markedcontent"/>
        </w:rPr>
        <w:t>can sue TransUnion for violation of federal Fair Credit Reporting Act when they are falsely identified as matching someone with same fire &amp; last name on U.S. Treasury “Specially Designated Nationals” list of terrorists, and narcotics traffickers.  After the attacks on 9/11, TransUnion began selling to banks, auto dealers and other businesses a “potential match” to a name on the U.S. Treasury’s</w:t>
      </w:r>
      <w:r>
        <w:t xml:space="preserve"> list. </w:t>
      </w:r>
      <w:r w:rsidRPr="00A53168">
        <w:rPr>
          <w:rStyle w:val="markedcontent"/>
        </w:rPr>
        <w:t>TransUnion did not compare birth dates, middle initials, Social Security numbers, or any other available identifier routinely used to collect and verify credit-report data.</w:t>
      </w:r>
      <w:r>
        <w:rPr>
          <w:rStyle w:val="markedcontent"/>
        </w:rPr>
        <w:t xml:space="preserve">  After 6-day trial, the jury found a willful violation of Fair Credit Reporting Act and </w:t>
      </w:r>
      <w:r w:rsidRPr="00D61134">
        <w:rPr>
          <w:rStyle w:val="markedcontent"/>
        </w:rPr>
        <w:t>awarded each class</w:t>
      </w:r>
      <w:r>
        <w:rPr>
          <w:rStyle w:val="markedcontent"/>
        </w:rPr>
        <w:t xml:space="preserve"> </w:t>
      </w:r>
      <w:r w:rsidRPr="00D61134">
        <w:rPr>
          <w:rStyle w:val="markedcontent"/>
        </w:rPr>
        <w:t>member</w:t>
      </w:r>
      <w:r>
        <w:rPr>
          <w:rStyle w:val="markedcontent"/>
        </w:rPr>
        <w:t xml:space="preserve"> (</w:t>
      </w:r>
      <w:r>
        <w:rPr>
          <w:rStyle w:val="markedcontent"/>
          <w:sz w:val="27"/>
          <w:szCs w:val="27"/>
        </w:rPr>
        <w:t xml:space="preserve">8,185 </w:t>
      </w:r>
      <w:r>
        <w:rPr>
          <w:rStyle w:val="markedcontent"/>
        </w:rPr>
        <w:t xml:space="preserve">class members), </w:t>
      </w:r>
      <w:r w:rsidRPr="00D61134">
        <w:rPr>
          <w:rStyle w:val="markedcontent"/>
        </w:rPr>
        <w:t>$984.22 in statutory damages (about $8 million total) and $6,353.08 in punitive damages (about $52 million</w:t>
      </w:r>
      <w:r>
        <w:rPr>
          <w:rStyle w:val="markedcontent"/>
        </w:rPr>
        <w:t xml:space="preserve"> </w:t>
      </w:r>
      <w:r w:rsidRPr="00D61134">
        <w:rPr>
          <w:rStyle w:val="markedcontent"/>
        </w:rPr>
        <w:t>total).</w:t>
      </w:r>
      <w:r>
        <w:rPr>
          <w:rStyle w:val="markedcontent"/>
        </w:rPr>
        <w:t xml:space="preserve">  The Court majority set aside the verdict, and remanded case – only Plaintiff, who was denied an auto loan, and others who can prove a “concrete harm” are entitled to damages.  </w:t>
      </w:r>
    </w:p>
    <w:p w14:paraId="62FB8407" w14:textId="77777777" w:rsidR="00A82898" w:rsidRDefault="00A82898" w:rsidP="00A82898">
      <w:pPr>
        <w:pStyle w:val="NormalWeb"/>
        <w:spacing w:before="0" w:beforeAutospacing="0" w:after="0" w:afterAutospacing="0" w:line="255" w:lineRule="atLeast"/>
        <w:rPr>
          <w:rStyle w:val="markedcontent"/>
        </w:rPr>
      </w:pPr>
    </w:p>
    <w:p w14:paraId="6604DB0E" w14:textId="77777777" w:rsidR="00A82898" w:rsidRDefault="00A82898" w:rsidP="00A82898">
      <w:pPr>
        <w:pStyle w:val="NormalWeb"/>
        <w:spacing w:before="0" w:beforeAutospacing="0" w:after="0" w:afterAutospacing="0" w:line="255" w:lineRule="atLeast"/>
        <w:rPr>
          <w:rStyle w:val="markedcontent"/>
        </w:rPr>
      </w:pPr>
      <w:r>
        <w:rPr>
          <w:rStyle w:val="markedcontent"/>
        </w:rPr>
        <w:t xml:space="preserve">Note: This case was reviewed since employers, including Fire &amp; EMS conducting background checks on applicants, must be cautious of credit reports and give applicants time to correct errors. </w:t>
      </w:r>
    </w:p>
    <w:p w14:paraId="6354921C" w14:textId="77777777" w:rsidR="00A82898" w:rsidRDefault="00A82898" w:rsidP="00A82898">
      <w:pPr>
        <w:pStyle w:val="NormalWeb"/>
        <w:spacing w:before="0" w:beforeAutospacing="0" w:after="0" w:afterAutospacing="0" w:line="255" w:lineRule="atLeast"/>
        <w:rPr>
          <w:rStyle w:val="markedcontent"/>
        </w:rPr>
      </w:pPr>
    </w:p>
    <w:p w14:paraId="3E7616D6" w14:textId="77777777" w:rsidR="00A82898" w:rsidRDefault="00A82898" w:rsidP="00A82898">
      <w:pPr>
        <w:pStyle w:val="NormalWeb"/>
        <w:spacing w:before="0" w:beforeAutospacing="0" w:after="0" w:afterAutospacing="0" w:line="255" w:lineRule="atLeast"/>
        <w:rPr>
          <w:rStyle w:val="markedcontent"/>
        </w:rPr>
      </w:pPr>
    </w:p>
    <w:p w14:paraId="5356E157" w14:textId="77777777" w:rsidR="00A82898" w:rsidRDefault="00A82898" w:rsidP="00A82898">
      <w:pPr>
        <w:pStyle w:val="NormalWeb"/>
        <w:spacing w:before="0" w:beforeAutospacing="0" w:after="0" w:afterAutospacing="0" w:line="255" w:lineRule="atLeast"/>
        <w:rPr>
          <w:rStyle w:val="markedcontent"/>
        </w:rPr>
      </w:pPr>
      <w:r>
        <w:rPr>
          <w:rStyle w:val="markedcontent"/>
        </w:rPr>
        <w:t xml:space="preserve">Justice Brett Kavanaugh wrote the majority opinion: </w:t>
      </w:r>
    </w:p>
    <w:p w14:paraId="470F9907" w14:textId="77777777" w:rsidR="00A82898" w:rsidRDefault="00A82898" w:rsidP="00A82898">
      <w:pPr>
        <w:pStyle w:val="NormalWeb"/>
        <w:spacing w:before="0" w:beforeAutospacing="0" w:after="0" w:afterAutospacing="0" w:line="255" w:lineRule="atLeast"/>
        <w:rPr>
          <w:rStyle w:val="markedcontent"/>
        </w:rPr>
      </w:pPr>
    </w:p>
    <w:p w14:paraId="3C6E73E4" w14:textId="77777777" w:rsidR="00A82898" w:rsidRPr="00B92CD8" w:rsidRDefault="00A82898" w:rsidP="00A82898">
      <w:pPr>
        <w:pStyle w:val="NormalWeb"/>
        <w:spacing w:before="0" w:beforeAutospacing="0" w:after="0" w:afterAutospacing="0" w:line="255" w:lineRule="atLeast"/>
        <w:ind w:left="720"/>
        <w:rPr>
          <w:rStyle w:val="markedcontent"/>
        </w:rPr>
      </w:pPr>
      <w:r w:rsidRPr="00B92CD8">
        <w:rPr>
          <w:rStyle w:val="markedcontent"/>
        </w:rPr>
        <w:t xml:space="preserve">“When this litigation arose, Name Screen worked in the following way: When a business opted into the Name Screen service, TransUnion would conduct its ordinary credit check of the consumer, and it would also use third-party software to compare the consumer’s name against the OFAC [U.S. Treasury’s Office of Foreign Assets Control] list. If the consumer’s first and last name matched the first and last name of an individual on OFAC’s list, then TransUnion would place an alert on the credit report </w:t>
      </w:r>
      <w:r w:rsidRPr="00B92CD8">
        <w:rPr>
          <w:rStyle w:val="markedcontent"/>
        </w:rPr>
        <w:lastRenderedPageBreak/>
        <w:t>indicating that the consumer’s name was a “potential match” to a name on the OFAC list. TransUnion did not compare any data other than first and last names. Unsurprisingly, TransUnion’s Name Screen product generated many false positives. Thousands of law-abiding Americans happen to share a first and last name with one of the terrorists, drug traffickers, or serious criminals on OFAC’s list of specially designated nationals.</w:t>
      </w:r>
    </w:p>
    <w:p w14:paraId="7460BD34" w14:textId="77777777" w:rsidR="00A82898" w:rsidRPr="00B92CD8" w:rsidRDefault="00A82898" w:rsidP="00A82898">
      <w:pPr>
        <w:pStyle w:val="NormalWeb"/>
        <w:spacing w:before="0" w:beforeAutospacing="0" w:after="0" w:afterAutospacing="0" w:line="255" w:lineRule="atLeast"/>
        <w:ind w:left="720"/>
        <w:rPr>
          <w:rStyle w:val="markedcontent"/>
        </w:rPr>
      </w:pPr>
    </w:p>
    <w:p w14:paraId="3E4769C1" w14:textId="77777777" w:rsidR="00A82898" w:rsidRPr="00B92CD8" w:rsidRDefault="00A82898" w:rsidP="00A82898">
      <w:pPr>
        <w:pStyle w:val="NormalWeb"/>
        <w:spacing w:before="0" w:beforeAutospacing="0" w:after="0" w:afterAutospacing="0" w:line="255" w:lineRule="atLeast"/>
        <w:ind w:left="720"/>
        <w:rPr>
          <w:rStyle w:val="markedcontent"/>
        </w:rPr>
      </w:pPr>
      <w:r w:rsidRPr="00B92CD8">
        <w:rPr>
          <w:rStyle w:val="markedcontent"/>
        </w:rPr>
        <w:t>***</w:t>
      </w:r>
    </w:p>
    <w:p w14:paraId="54B0E050" w14:textId="77777777" w:rsidR="00A82898" w:rsidRPr="00B92CD8" w:rsidRDefault="00A82898" w:rsidP="00A82898">
      <w:pPr>
        <w:pStyle w:val="NormalWeb"/>
        <w:spacing w:before="0" w:beforeAutospacing="0" w:after="0" w:afterAutospacing="0" w:line="255" w:lineRule="atLeast"/>
        <w:ind w:left="720"/>
        <w:rPr>
          <w:rStyle w:val="markedcontent"/>
        </w:rPr>
      </w:pPr>
    </w:p>
    <w:p w14:paraId="209A36AE" w14:textId="77777777" w:rsidR="00A82898" w:rsidRPr="00581681" w:rsidRDefault="00A82898" w:rsidP="00A82898">
      <w:pPr>
        <w:pStyle w:val="NormalWeb"/>
        <w:spacing w:before="0" w:beforeAutospacing="0" w:after="0" w:afterAutospacing="0" w:line="255" w:lineRule="atLeast"/>
        <w:ind w:left="720"/>
        <w:rPr>
          <w:rStyle w:val="markedcontent"/>
        </w:rPr>
      </w:pPr>
      <w:r w:rsidRPr="00581681">
        <w:rPr>
          <w:rStyle w:val="markedcontent"/>
        </w:rPr>
        <w:t xml:space="preserve">Sergio Ramirez learned the hard way that he is one such individual. On February 27, 2011, Ramirez visited a Nissan dealership in Dublin, California, seeking to buy a Nissan Maxima. Ramirez was accompanied by his wife and his father-in-law. After Ramirez and his wife selected a color and negotiated a price, the dealership ran a credit check on both Ramirez and his wife. Ramirez’s credit report, produced by TransUnion, contained the following </w:t>
      </w:r>
      <w:proofErr w:type="gramStart"/>
      <w:r w:rsidRPr="00581681">
        <w:rPr>
          <w:rStyle w:val="markedcontent"/>
        </w:rPr>
        <w:t xml:space="preserve">alert: </w:t>
      </w:r>
      <w:r>
        <w:rPr>
          <w:rStyle w:val="markedcontent"/>
        </w:rPr>
        <w:t>‘</w:t>
      </w:r>
      <w:proofErr w:type="gramEnd"/>
      <w:r w:rsidRPr="00581681">
        <w:rPr>
          <w:rStyle w:val="markedcontent"/>
        </w:rPr>
        <w:t>***OFAC ADVISOR ALERT - INPUT NAME MATCHES NAME ON THE OFAC DATABASE.</w:t>
      </w:r>
      <w:r>
        <w:rPr>
          <w:rStyle w:val="markedcontent"/>
        </w:rPr>
        <w:t xml:space="preserve">’ </w:t>
      </w:r>
      <w:r w:rsidRPr="00581681">
        <w:rPr>
          <w:rStyle w:val="markedcontent"/>
        </w:rPr>
        <w:t xml:space="preserve">App. 84. A Nissan salesman told Ramirez that Nissan would not sell the car to him because his name was on a </w:t>
      </w:r>
      <w:r>
        <w:rPr>
          <w:rStyle w:val="markedcontent"/>
        </w:rPr>
        <w:t>‘</w:t>
      </w:r>
      <w:r w:rsidRPr="00581681">
        <w:rPr>
          <w:rStyle w:val="markedcontent"/>
        </w:rPr>
        <w:t xml:space="preserve">terrorist </w:t>
      </w:r>
      <w:proofErr w:type="spellStart"/>
      <w:r w:rsidRPr="00581681">
        <w:rPr>
          <w:rStyle w:val="markedcontent"/>
        </w:rPr>
        <w:t>list.</w:t>
      </w:r>
      <w:r>
        <w:rPr>
          <w:rStyle w:val="markedcontent"/>
        </w:rPr>
        <w:t>’</w:t>
      </w:r>
      <w:r w:rsidRPr="00581681">
        <w:rPr>
          <w:rStyle w:val="markedcontent"/>
        </w:rPr>
        <w:t>Id</w:t>
      </w:r>
      <w:proofErr w:type="spellEnd"/>
      <w:r w:rsidRPr="00581681">
        <w:rPr>
          <w:rStyle w:val="markedcontent"/>
        </w:rPr>
        <w:t xml:space="preserve">., at 333. Ramirez’s wife had to purchase the car </w:t>
      </w:r>
      <w:proofErr w:type="gramStart"/>
      <w:r w:rsidRPr="00581681">
        <w:rPr>
          <w:rStyle w:val="markedcontent"/>
        </w:rPr>
        <w:t>in</w:t>
      </w:r>
      <w:proofErr w:type="gramEnd"/>
      <w:r w:rsidRPr="00581681">
        <w:rPr>
          <w:rStyle w:val="markedcontent"/>
        </w:rPr>
        <w:t xml:space="preserve"> her own name.</w:t>
      </w:r>
    </w:p>
    <w:p w14:paraId="57306DFA" w14:textId="77777777" w:rsidR="00A82898" w:rsidRDefault="00A82898" w:rsidP="00A82898">
      <w:pPr>
        <w:pStyle w:val="NormalWeb"/>
        <w:spacing w:before="0" w:beforeAutospacing="0" w:after="0" w:afterAutospacing="0" w:line="255" w:lineRule="atLeast"/>
        <w:ind w:left="720"/>
        <w:rPr>
          <w:rStyle w:val="markedcontent"/>
        </w:rPr>
      </w:pPr>
    </w:p>
    <w:p w14:paraId="77F7F592" w14:textId="77777777" w:rsidR="00A82898" w:rsidRDefault="00A82898" w:rsidP="00A82898">
      <w:pPr>
        <w:pStyle w:val="NormalWeb"/>
        <w:spacing w:before="0" w:beforeAutospacing="0" w:after="0" w:afterAutospacing="0" w:line="255" w:lineRule="atLeast"/>
        <w:ind w:left="720"/>
        <w:rPr>
          <w:rStyle w:val="markedcontent"/>
        </w:rPr>
      </w:pPr>
      <w:r>
        <w:rPr>
          <w:rStyle w:val="markedcontent"/>
        </w:rPr>
        <w:t>***</w:t>
      </w:r>
    </w:p>
    <w:p w14:paraId="7E94D580" w14:textId="77777777" w:rsidR="00A82898" w:rsidRPr="00B92CD8" w:rsidRDefault="00A82898" w:rsidP="00A82898">
      <w:pPr>
        <w:pStyle w:val="NormalWeb"/>
        <w:spacing w:before="0" w:beforeAutospacing="0" w:after="0" w:afterAutospacing="0" w:line="255" w:lineRule="atLeast"/>
        <w:ind w:left="720"/>
        <w:rPr>
          <w:rStyle w:val="markedcontent"/>
        </w:rPr>
      </w:pPr>
      <w:r w:rsidRPr="00B92CD8">
        <w:rPr>
          <w:rStyle w:val="markedcontent"/>
        </w:rPr>
        <w:t>For 1,853 of the class members, TransUnion provided misleading credit reports to third-party businesses. We conclude that those 1,853 class members have demonstrated concrete reputational harm and thus have Article III standing to sue on the reasonable-procedures claim</w:t>
      </w:r>
      <w:r>
        <w:rPr>
          <w:rStyle w:val="markedcontent"/>
        </w:rPr>
        <w:t xml:space="preserve">. </w:t>
      </w:r>
      <w:r w:rsidRPr="00B92CD8">
        <w:rPr>
          <w:rStyle w:val="markedcontent"/>
        </w:rPr>
        <w:t xml:space="preserve"> The internal credit files of the other 6,332 class members were not provided to third-party businesses during the relevant </w:t>
      </w:r>
      <w:proofErr w:type="gramStart"/>
      <w:r w:rsidRPr="00B92CD8">
        <w:rPr>
          <w:rStyle w:val="markedcontent"/>
        </w:rPr>
        <w:t>time period</w:t>
      </w:r>
      <w:proofErr w:type="gramEnd"/>
      <w:r w:rsidRPr="00B92CD8">
        <w:rPr>
          <w:rStyle w:val="markedcontent"/>
        </w:rPr>
        <w:t>. We conclude that those 6,332 class members have not demonstrated concrete harm and thus lack Article III standing to sue on the reasonable-procedures claim.”</w:t>
      </w:r>
    </w:p>
    <w:p w14:paraId="2ECF8C42" w14:textId="77777777" w:rsidR="00A82898" w:rsidRPr="00B92CD8" w:rsidRDefault="00A82898" w:rsidP="00A82898">
      <w:pPr>
        <w:pStyle w:val="NormalWeb"/>
        <w:spacing w:before="0" w:beforeAutospacing="0" w:after="0" w:afterAutospacing="0" w:line="255" w:lineRule="atLeast"/>
        <w:ind w:firstLine="720"/>
        <w:rPr>
          <w:rStyle w:val="markedcontent"/>
        </w:rPr>
      </w:pPr>
      <w:hyperlink r:id="rId775" w:history="1">
        <w:r w:rsidRPr="00B92CD8">
          <w:rPr>
            <w:rStyle w:val="Hyperlink"/>
          </w:rPr>
          <w:t>https://www.supremecourt.gov/opinions/20pdf/20-297_4g25.pdf</w:t>
        </w:r>
      </w:hyperlink>
      <w:r w:rsidRPr="00B92CD8">
        <w:rPr>
          <w:rStyle w:val="markedcontent"/>
        </w:rPr>
        <w:t xml:space="preserve"> </w:t>
      </w:r>
    </w:p>
    <w:p w14:paraId="573F0AD7" w14:textId="3EC47492" w:rsidR="00A82898" w:rsidRDefault="00A82898" w:rsidP="00F326E5">
      <w:pPr>
        <w:pStyle w:val="NoSpacing"/>
        <w:rPr>
          <w:rFonts w:ascii="Arial Black" w:hAnsi="Arial Black"/>
          <w:sz w:val="28"/>
          <w:szCs w:val="28"/>
        </w:rPr>
      </w:pPr>
    </w:p>
    <w:p w14:paraId="7AB021E7" w14:textId="77777777" w:rsidR="00A82898" w:rsidRPr="008F342C" w:rsidRDefault="00A82898" w:rsidP="00A82898">
      <w:pPr>
        <w:pStyle w:val="NormalWeb"/>
        <w:spacing w:before="0" w:beforeAutospacing="0" w:after="0" w:afterAutospacing="0" w:line="255" w:lineRule="atLeast"/>
        <w:rPr>
          <w:rStyle w:val="markedcontent"/>
          <w:b/>
          <w:bCs/>
        </w:rPr>
      </w:pPr>
      <w:r w:rsidRPr="008F342C">
        <w:rPr>
          <w:rStyle w:val="markedcontent"/>
          <w:b/>
          <w:bCs/>
        </w:rPr>
        <w:t xml:space="preserve">Legal Lesson Learned: </w:t>
      </w:r>
      <w:r>
        <w:rPr>
          <w:rStyle w:val="markedcontent"/>
          <w:b/>
          <w:bCs/>
        </w:rPr>
        <w:t xml:space="preserve">Credit reporting companies need to improve their process of confirming that an individual is the same person as U.S. Treasury list.  Likewise, Fire &amp; EMS should give applicants adequate opportunity to correct any false information on their credit records. </w:t>
      </w:r>
    </w:p>
    <w:p w14:paraId="5211822B" w14:textId="77777777" w:rsidR="00A82898" w:rsidRDefault="00A82898" w:rsidP="00A82898">
      <w:pPr>
        <w:pStyle w:val="NormalWeb"/>
        <w:spacing w:before="0" w:beforeAutospacing="0" w:after="0" w:afterAutospacing="0" w:line="255" w:lineRule="atLeast"/>
        <w:rPr>
          <w:rStyle w:val="markedcontent"/>
        </w:rPr>
      </w:pPr>
    </w:p>
    <w:p w14:paraId="04BB9127" w14:textId="77777777" w:rsidR="00A82898" w:rsidRDefault="00A82898" w:rsidP="00A82898">
      <w:pPr>
        <w:pStyle w:val="NormalWeb"/>
        <w:spacing w:before="0" w:beforeAutospacing="0" w:after="0" w:afterAutospacing="0" w:line="255" w:lineRule="atLeast"/>
        <w:rPr>
          <w:rStyle w:val="markedcontent"/>
        </w:rPr>
      </w:pPr>
    </w:p>
    <w:p w14:paraId="2ABC3D5E" w14:textId="77777777" w:rsidR="00A82898" w:rsidRDefault="00A82898" w:rsidP="00A82898">
      <w:pPr>
        <w:pStyle w:val="NormalWeb"/>
        <w:spacing w:before="0" w:beforeAutospacing="0" w:after="0" w:afterAutospacing="0" w:line="255" w:lineRule="atLeast"/>
        <w:ind w:left="720"/>
        <w:rPr>
          <w:rStyle w:val="markedcontent"/>
        </w:rPr>
      </w:pPr>
      <w:r>
        <w:rPr>
          <w:rStyle w:val="markedcontent"/>
        </w:rPr>
        <w:t xml:space="preserve">See U.S. Treasury list: </w:t>
      </w:r>
      <w:hyperlink r:id="rId776" w:history="1">
        <w:r w:rsidRPr="0071610B">
          <w:rPr>
            <w:rStyle w:val="Hyperlink"/>
          </w:rPr>
          <w:t>https://home.treasury.gov/policy-issues/financial-sanctions/specially-designated-nationals-and-blocked-persons-list-sdn-human-readable-lists</w:t>
        </w:r>
      </w:hyperlink>
      <w:r>
        <w:rPr>
          <w:rStyle w:val="markedcontent"/>
        </w:rPr>
        <w:t xml:space="preserve"> </w:t>
      </w:r>
    </w:p>
    <w:p w14:paraId="128AFB78" w14:textId="77777777" w:rsidR="00A82898" w:rsidRDefault="00A82898" w:rsidP="00A82898">
      <w:pPr>
        <w:pStyle w:val="NormalWeb"/>
        <w:spacing w:before="0" w:beforeAutospacing="0" w:after="0" w:afterAutospacing="0" w:line="255" w:lineRule="atLeast"/>
        <w:ind w:left="720"/>
      </w:pPr>
    </w:p>
    <w:p w14:paraId="78DDE689" w14:textId="77777777" w:rsidR="00A82898" w:rsidRDefault="00A82898" w:rsidP="00A82898">
      <w:pPr>
        <w:pStyle w:val="NormalWeb"/>
        <w:spacing w:before="0" w:beforeAutospacing="0" w:after="0" w:afterAutospacing="0" w:line="255" w:lineRule="atLeast"/>
        <w:ind w:left="720"/>
      </w:pPr>
      <w:r>
        <w:t xml:space="preserve">“As part of its enforcement efforts, OFAC publishes a list of individuals and companies owned or controlled by, or acting for or on behalf of, targeted countries. It also lists individuals, groups, and entities, such as terrorists and narcotics traffickers designated under programs that are not </w:t>
      </w:r>
      <w:proofErr w:type="gramStart"/>
      <w:r>
        <w:t>country-specific</w:t>
      </w:r>
      <w:proofErr w:type="gramEnd"/>
      <w:r>
        <w:t xml:space="preserve">. Collectively, such individuals and companies are called "Specially Designated Nationals" or "SDNs." Their assets are blocked and U.S. persons are generally prohibited from dealing with them.  View more information on </w:t>
      </w:r>
      <w:hyperlink r:id="rId777" w:history="1">
        <w:r>
          <w:rPr>
            <w:rStyle w:val="Hyperlink"/>
          </w:rPr>
          <w:t>Treasury's Sanctions Programs</w:t>
        </w:r>
      </w:hyperlink>
      <w:r>
        <w:t>. </w:t>
      </w:r>
    </w:p>
    <w:p w14:paraId="73E1FB98" w14:textId="77777777" w:rsidR="00A82898" w:rsidRDefault="00A82898" w:rsidP="00A82898">
      <w:pPr>
        <w:pStyle w:val="NormalWeb"/>
        <w:spacing w:before="0" w:beforeAutospacing="0" w:after="0" w:afterAutospacing="0" w:line="255" w:lineRule="atLeast"/>
        <w:ind w:left="720"/>
      </w:pPr>
    </w:p>
    <w:p w14:paraId="3F7DF0BA" w14:textId="77777777" w:rsidR="00A82898" w:rsidRDefault="00A82898" w:rsidP="00A82898">
      <w:pPr>
        <w:ind w:firstLine="720"/>
      </w:pPr>
      <w:r>
        <w:rPr>
          <w:rStyle w:val="Strong"/>
        </w:rPr>
        <w:t xml:space="preserve">71. How Can I Get </w:t>
      </w:r>
      <w:proofErr w:type="gramStart"/>
      <w:r>
        <w:rPr>
          <w:rStyle w:val="Strong"/>
        </w:rPr>
        <w:t>The</w:t>
      </w:r>
      <w:proofErr w:type="gramEnd"/>
      <w:r>
        <w:rPr>
          <w:rStyle w:val="Strong"/>
        </w:rPr>
        <w:t xml:space="preserve"> OFAC Alert Off My Credit Report? </w:t>
      </w:r>
    </w:p>
    <w:p w14:paraId="5D88E8CF" w14:textId="77777777" w:rsidR="00A82898" w:rsidRDefault="00A82898" w:rsidP="00A82898">
      <w:pPr>
        <w:ind w:firstLine="720"/>
      </w:pPr>
      <w:r>
        <w:t>Answer</w:t>
      </w:r>
    </w:p>
    <w:p w14:paraId="685833D9" w14:textId="77777777" w:rsidR="00A82898" w:rsidRDefault="00A82898" w:rsidP="00A82898">
      <w:pPr>
        <w:pStyle w:val="NormalWeb"/>
        <w:ind w:left="720"/>
      </w:pPr>
      <w:r>
        <w:t xml:space="preserve">A consumer has the right under the Fair Credit Reporting Act (FCRA), 15 U.S.C. 1681 et seq., to request the removal of incorrect information on his/her credit report. To accomplish this, consumers should contact the credit reporting agency or bureau that issued the credit report. For more information on consumers' rights under the FCRA, visit the </w:t>
      </w:r>
      <w:hyperlink r:id="rId778" w:history="1">
        <w:r>
          <w:rPr>
            <w:rStyle w:val="Hyperlink"/>
          </w:rPr>
          <w:t>Federal Trade Commission's website</w:t>
        </w:r>
      </w:hyperlink>
      <w:r>
        <w:t xml:space="preserve"> or the Consumer Financial Protection Bureau at 855-411-2372.</w:t>
      </w:r>
    </w:p>
    <w:p w14:paraId="1ACA0631" w14:textId="77777777" w:rsidR="00A82898" w:rsidRDefault="00A82898" w:rsidP="00A82898">
      <w:pPr>
        <w:pStyle w:val="NormalWeb"/>
        <w:spacing w:before="0" w:beforeAutospacing="0" w:after="0" w:afterAutospacing="0" w:line="255" w:lineRule="atLeast"/>
        <w:rPr>
          <w:rStyle w:val="markedcontent"/>
        </w:rPr>
      </w:pPr>
    </w:p>
    <w:p w14:paraId="535C5107" w14:textId="77777777" w:rsidR="00A82898" w:rsidRDefault="00A82898" w:rsidP="00A82898">
      <w:pPr>
        <w:pStyle w:val="NormalWeb"/>
        <w:spacing w:before="0" w:beforeAutospacing="0" w:after="0" w:afterAutospacing="0" w:line="255" w:lineRule="atLeast"/>
        <w:rPr>
          <w:rStyle w:val="markedcontent"/>
        </w:rPr>
      </w:pPr>
    </w:p>
    <w:p w14:paraId="11B8D42B" w14:textId="77777777" w:rsidR="00A82898" w:rsidRDefault="00A82898" w:rsidP="00F326E5">
      <w:pPr>
        <w:pStyle w:val="NoSpacing"/>
        <w:rPr>
          <w:rFonts w:ascii="Arial Black" w:hAnsi="Arial Black"/>
          <w:sz w:val="28"/>
          <w:szCs w:val="28"/>
        </w:rPr>
      </w:pPr>
    </w:p>
    <w:p w14:paraId="71EAA3F8" w14:textId="77777777" w:rsidR="00A82898" w:rsidRDefault="00A82898" w:rsidP="00F326E5">
      <w:pPr>
        <w:pStyle w:val="NoSpacing"/>
        <w:rPr>
          <w:rFonts w:ascii="Arial Black" w:hAnsi="Arial Black"/>
          <w:sz w:val="28"/>
          <w:szCs w:val="28"/>
        </w:rPr>
      </w:pPr>
    </w:p>
    <w:p w14:paraId="33F6B6C6" w14:textId="77777777" w:rsidR="00A82898" w:rsidRDefault="00A82898" w:rsidP="00F326E5">
      <w:pPr>
        <w:pStyle w:val="NoSpacing"/>
        <w:rPr>
          <w:rFonts w:ascii="Arial Black" w:hAnsi="Arial Black"/>
          <w:sz w:val="28"/>
          <w:szCs w:val="28"/>
        </w:rPr>
      </w:pPr>
    </w:p>
    <w:p w14:paraId="7DB6B032" w14:textId="51A14C3E" w:rsidR="00F27CD5" w:rsidRDefault="00F27CD5" w:rsidP="00F326E5">
      <w:pPr>
        <w:pStyle w:val="NoSpacing"/>
        <w:rPr>
          <w:rFonts w:ascii="Arial Black" w:hAnsi="Arial Black"/>
          <w:sz w:val="28"/>
          <w:szCs w:val="28"/>
        </w:rPr>
      </w:pPr>
      <w:r>
        <w:rPr>
          <w:rFonts w:ascii="Arial Black" w:hAnsi="Arial Black"/>
          <w:sz w:val="28"/>
          <w:szCs w:val="28"/>
        </w:rPr>
        <w:t>3-34</w:t>
      </w:r>
    </w:p>
    <w:p w14:paraId="69554B1C" w14:textId="77777777" w:rsidR="00F27CD5" w:rsidRDefault="00F27CD5" w:rsidP="00F27CD5">
      <w:pPr>
        <w:pStyle w:val="Heading1"/>
        <w:rPr>
          <w:rFonts w:ascii="Arial Black" w:hAnsi="Arial Black"/>
          <w:sz w:val="28"/>
          <w:szCs w:val="28"/>
        </w:rPr>
      </w:pPr>
      <w:r>
        <w:rPr>
          <w:rFonts w:ascii="Arial Black" w:hAnsi="Arial Black"/>
          <w:sz w:val="28"/>
          <w:szCs w:val="28"/>
        </w:rPr>
        <w:t xml:space="preserve">U.S. SUP. CT – ALIEN IN US 8 YEARS, 3 KIDS – INS “STOP THE CLOCK” 10-YR STAT. – SINGLE NOTICE, HEARING DATE </w:t>
      </w:r>
    </w:p>
    <w:p w14:paraId="082F5B20" w14:textId="77777777" w:rsidR="00F27CD5" w:rsidRPr="000E0414" w:rsidRDefault="00F27CD5" w:rsidP="00F27CD5">
      <w:pPr>
        <w:pStyle w:val="Heading1"/>
        <w:rPr>
          <w:b w:val="0"/>
          <w:bCs w:val="0"/>
          <w:sz w:val="24"/>
          <w:szCs w:val="24"/>
        </w:rPr>
      </w:pPr>
      <w:r w:rsidRPr="000E0414">
        <w:rPr>
          <w:b w:val="0"/>
          <w:bCs w:val="0"/>
          <w:sz w:val="24"/>
          <w:szCs w:val="24"/>
        </w:rPr>
        <w:t xml:space="preserve">On April 29, 2021, in </w:t>
      </w:r>
      <w:r w:rsidRPr="000E0414">
        <w:rPr>
          <w:b w:val="0"/>
          <w:bCs w:val="0"/>
          <w:sz w:val="24"/>
          <w:szCs w:val="24"/>
          <w:u w:val="single"/>
        </w:rPr>
        <w:t>Agusto Niz-Chavez v. Garland, Attorney General</w:t>
      </w:r>
      <w:r w:rsidRPr="000E0414">
        <w:rPr>
          <w:b w:val="0"/>
          <w:bCs w:val="0"/>
          <w:sz w:val="24"/>
          <w:szCs w:val="24"/>
        </w:rPr>
        <w:t xml:space="preserve">, the U.S. Supreme Court (6 to 3; majority opinion by Justice Neil Gorsuch), held that the Immigration and Naturalization Service is required by statute to issue a </w:t>
      </w:r>
      <w:r w:rsidRPr="000E0414">
        <w:rPr>
          <w:b w:val="0"/>
          <w:bCs w:val="0"/>
          <w:sz w:val="24"/>
          <w:szCs w:val="24"/>
          <w:u w:val="single"/>
        </w:rPr>
        <w:t>single</w:t>
      </w:r>
      <w:r w:rsidRPr="000E0414">
        <w:rPr>
          <w:b w:val="0"/>
          <w:bCs w:val="0"/>
          <w:sz w:val="24"/>
          <w:szCs w:val="24"/>
        </w:rPr>
        <w:t xml:space="preserve"> Notice of Removal that includes date / location of removal hearing before an Immigration Judge.  Mr. Niz-Chavez </w:t>
      </w:r>
      <w:proofErr w:type="gramStart"/>
      <w:r w:rsidRPr="000E0414">
        <w:rPr>
          <w:b w:val="0"/>
          <w:bCs w:val="0"/>
          <w:sz w:val="24"/>
          <w:szCs w:val="24"/>
        </w:rPr>
        <w:t>deportation cancelled</w:t>
      </w:r>
      <w:proofErr w:type="gramEnd"/>
      <w:r w:rsidRPr="000E0414">
        <w:rPr>
          <w:b w:val="0"/>
          <w:bCs w:val="0"/>
          <w:sz w:val="24"/>
          <w:szCs w:val="24"/>
        </w:rPr>
        <w:t xml:space="preserve">; now has another hearing before Immigration Judge.  Aliens residing in U.S. for 10 or more years may seek “Cancellation of removal” under 8 U.S. Code 1229b, if they have been of good moral character and they can establishes that removal would result in exceptional and extremely unusual hardship to the </w:t>
      </w:r>
      <w:hyperlink r:id="rId779" w:history="1">
        <w:r w:rsidRPr="000E0414">
          <w:rPr>
            <w:rStyle w:val="Hyperlink"/>
            <w:sz w:val="24"/>
            <w:szCs w:val="24"/>
          </w:rPr>
          <w:t>alien</w:t>
        </w:r>
      </w:hyperlink>
      <w:r w:rsidRPr="000E0414">
        <w:rPr>
          <w:b w:val="0"/>
          <w:bCs w:val="0"/>
          <w:sz w:val="24"/>
          <w:szCs w:val="24"/>
        </w:rPr>
        <w:t xml:space="preserve">’s spouse, parent, or child, who is a citizen of the </w:t>
      </w:r>
      <w:hyperlink r:id="rId780" w:history="1">
        <w:r w:rsidRPr="000E0414">
          <w:rPr>
            <w:rStyle w:val="Hyperlink"/>
            <w:sz w:val="24"/>
            <w:szCs w:val="24"/>
          </w:rPr>
          <w:t>United States</w:t>
        </w:r>
      </w:hyperlink>
      <w:r w:rsidRPr="000E0414">
        <w:rPr>
          <w:b w:val="0"/>
          <w:bCs w:val="0"/>
          <w:sz w:val="24"/>
          <w:szCs w:val="24"/>
        </w:rPr>
        <w:t xml:space="preserve"> or an</w:t>
      </w:r>
      <w:hyperlink r:id="rId781" w:history="1">
        <w:r w:rsidRPr="000E0414">
          <w:rPr>
            <w:rStyle w:val="Hyperlink"/>
            <w:sz w:val="24"/>
            <w:szCs w:val="24"/>
          </w:rPr>
          <w:t xml:space="preserve"> alien </w:t>
        </w:r>
      </w:hyperlink>
      <w:hyperlink r:id="rId782" w:history="1">
        <w:r w:rsidRPr="000E0414">
          <w:rPr>
            <w:rStyle w:val="Hyperlink"/>
            <w:sz w:val="24"/>
            <w:szCs w:val="24"/>
          </w:rPr>
          <w:t>lawfully admitted for permanent residence</w:t>
        </w:r>
      </w:hyperlink>
      <w:r w:rsidRPr="000E0414">
        <w:rPr>
          <w:rStyle w:val="Hyperlink"/>
          <w:sz w:val="24"/>
          <w:szCs w:val="24"/>
        </w:rPr>
        <w:t>.  Mr. Niz-Chavez</w:t>
      </w:r>
      <w:r w:rsidRPr="000E0414">
        <w:rPr>
          <w:b w:val="0"/>
          <w:bCs w:val="0"/>
          <w:sz w:val="24"/>
          <w:szCs w:val="24"/>
        </w:rPr>
        <w:t xml:space="preserve"> is a citizen of Guatemala who in 2005 unlawfully entered the United States through the southern </w:t>
      </w:r>
      <w:proofErr w:type="gramStart"/>
      <w:r w:rsidRPr="000E0414">
        <w:rPr>
          <w:b w:val="0"/>
          <w:bCs w:val="0"/>
          <w:sz w:val="24"/>
          <w:szCs w:val="24"/>
        </w:rPr>
        <w:t>border, and</w:t>
      </w:r>
      <w:proofErr w:type="gramEnd"/>
      <w:r w:rsidRPr="000E0414">
        <w:rPr>
          <w:b w:val="0"/>
          <w:bCs w:val="0"/>
          <w:sz w:val="24"/>
          <w:szCs w:val="24"/>
        </w:rPr>
        <w:t xml:space="preserve"> eventually settled in Detroit. INS sent him two Notices of Removal - first notice of Removal, 8 years after he arrived in U.S. (March 26, 2013) did not specify the date of his removal hearing in Detroit.  The second Notice (May 29, 2013) did specify the hearing date (June 25, 2013; then rescheduled 4 years later, Sept. 13, 2017; ordered deported Nov. 8, 2017). </w:t>
      </w:r>
    </w:p>
    <w:p w14:paraId="1BC787F6" w14:textId="77777777" w:rsidR="00F27CD5" w:rsidRDefault="00F27CD5" w:rsidP="00F27CD5">
      <w:pPr>
        <w:ind w:left="720"/>
        <w:rPr>
          <w:rFonts w:ascii="Times New Roman" w:hAnsi="Times New Roman"/>
          <w:sz w:val="24"/>
          <w:szCs w:val="24"/>
        </w:rPr>
      </w:pPr>
      <w:r>
        <w:rPr>
          <w:rFonts w:ascii="Times New Roman" w:hAnsi="Times New Roman"/>
          <w:sz w:val="24"/>
          <w:szCs w:val="24"/>
        </w:rPr>
        <w:t>“</w:t>
      </w:r>
      <w:r w:rsidRPr="002E6393">
        <w:rPr>
          <w:rFonts w:ascii="Times New Roman" w:hAnsi="Times New Roman"/>
          <w:sz w:val="24"/>
          <w:szCs w:val="24"/>
        </w:rPr>
        <w:t>Anyone who has applied for a passport, filed for Social Security benefits, or sought a license understands the government’s affinity for forms. Make a mistake or skip a</w:t>
      </w:r>
      <w:r>
        <w:rPr>
          <w:rFonts w:ascii="Times New Roman" w:hAnsi="Times New Roman"/>
          <w:sz w:val="24"/>
          <w:szCs w:val="24"/>
        </w:rPr>
        <w:t xml:space="preserve"> </w:t>
      </w:r>
      <w:r w:rsidRPr="002E6393">
        <w:rPr>
          <w:rFonts w:ascii="Times New Roman" w:hAnsi="Times New Roman"/>
          <w:sz w:val="24"/>
          <w:szCs w:val="24"/>
        </w:rPr>
        <w:t>page? Go back and try again, sometimes with a penalty for the trouble. But it turns out the federal government finds</w:t>
      </w:r>
      <w:r>
        <w:rPr>
          <w:rFonts w:ascii="Times New Roman" w:hAnsi="Times New Roman"/>
          <w:sz w:val="24"/>
          <w:szCs w:val="24"/>
        </w:rPr>
        <w:t xml:space="preserve"> </w:t>
      </w:r>
      <w:r w:rsidRPr="002E6393">
        <w:rPr>
          <w:rFonts w:ascii="Times New Roman" w:hAnsi="Times New Roman"/>
          <w:sz w:val="24"/>
          <w:szCs w:val="24"/>
        </w:rPr>
        <w:t>some of its forms frustrating too. The Illegal Immigration</w:t>
      </w:r>
      <w:r>
        <w:rPr>
          <w:rFonts w:ascii="Times New Roman" w:hAnsi="Times New Roman"/>
          <w:sz w:val="24"/>
          <w:szCs w:val="24"/>
        </w:rPr>
        <w:t xml:space="preserve"> </w:t>
      </w:r>
      <w:r w:rsidRPr="002E6393">
        <w:rPr>
          <w:rFonts w:ascii="Times New Roman" w:hAnsi="Times New Roman"/>
          <w:sz w:val="24"/>
          <w:szCs w:val="24"/>
        </w:rPr>
        <w:t xml:space="preserve">Reform and Immigrant Responsibility Act of 1996 (IIRIRA),110 Stat. 3009–546, requires the government to serve </w:t>
      </w:r>
      <w:r>
        <w:rPr>
          <w:rFonts w:ascii="Times New Roman" w:hAnsi="Times New Roman"/>
          <w:sz w:val="24"/>
          <w:szCs w:val="24"/>
        </w:rPr>
        <w:t>‘</w:t>
      </w:r>
      <w:r w:rsidRPr="002E6393">
        <w:rPr>
          <w:rFonts w:ascii="Times New Roman" w:hAnsi="Times New Roman"/>
          <w:sz w:val="24"/>
          <w:szCs w:val="24"/>
        </w:rPr>
        <w:t>a notice to appear</w:t>
      </w:r>
      <w:r>
        <w:rPr>
          <w:rFonts w:ascii="Times New Roman" w:hAnsi="Times New Roman"/>
          <w:sz w:val="24"/>
          <w:szCs w:val="24"/>
        </w:rPr>
        <w:t>’</w:t>
      </w:r>
      <w:r w:rsidRPr="002E6393">
        <w:rPr>
          <w:rFonts w:ascii="Times New Roman" w:hAnsi="Times New Roman"/>
          <w:sz w:val="24"/>
          <w:szCs w:val="24"/>
        </w:rPr>
        <w:t xml:space="preserve"> on individuals it wishes to remove from this country. At first blush, a notice </w:t>
      </w:r>
      <w:proofErr w:type="gramStart"/>
      <w:r w:rsidRPr="002E6393">
        <w:rPr>
          <w:rFonts w:ascii="Times New Roman" w:hAnsi="Times New Roman"/>
          <w:sz w:val="24"/>
          <w:szCs w:val="24"/>
        </w:rPr>
        <w:t>to appear</w:t>
      </w:r>
      <w:proofErr w:type="gramEnd"/>
      <w:r w:rsidRPr="002E6393">
        <w:rPr>
          <w:rFonts w:ascii="Times New Roman" w:hAnsi="Times New Roman"/>
          <w:sz w:val="24"/>
          <w:szCs w:val="24"/>
        </w:rPr>
        <w:t xml:space="preserve"> might seem to be just that—a single document containing all the information an individual needs to know about his removal hearing.</w:t>
      </w:r>
      <w:r>
        <w:rPr>
          <w:rFonts w:ascii="Times New Roman" w:hAnsi="Times New Roman"/>
          <w:sz w:val="24"/>
          <w:szCs w:val="24"/>
        </w:rPr>
        <w:t xml:space="preserve"> </w:t>
      </w:r>
      <w:r w:rsidRPr="002E6393">
        <w:rPr>
          <w:rFonts w:ascii="Times New Roman" w:hAnsi="Times New Roman"/>
          <w:sz w:val="24"/>
          <w:szCs w:val="24"/>
        </w:rPr>
        <w:t>But, the government says, supplying so much information</w:t>
      </w:r>
      <w:r>
        <w:rPr>
          <w:rFonts w:ascii="Times New Roman" w:hAnsi="Times New Roman"/>
          <w:sz w:val="24"/>
          <w:szCs w:val="24"/>
        </w:rPr>
        <w:t xml:space="preserve"> </w:t>
      </w:r>
      <w:r w:rsidRPr="002E6393">
        <w:rPr>
          <w:rFonts w:ascii="Times New Roman" w:hAnsi="Times New Roman"/>
          <w:sz w:val="24"/>
          <w:szCs w:val="24"/>
        </w:rPr>
        <w:t>in a single form is too taxing. It needs more flexibility, allowing its officials to provide information in separate mailings (as many as they wish) over time (</w:t>
      </w:r>
      <w:proofErr w:type="gramStart"/>
      <w:r w:rsidRPr="002E6393">
        <w:rPr>
          <w:rFonts w:ascii="Times New Roman" w:hAnsi="Times New Roman"/>
          <w:sz w:val="24"/>
          <w:szCs w:val="24"/>
        </w:rPr>
        <w:t>as long as</w:t>
      </w:r>
      <w:proofErr w:type="gramEnd"/>
      <w:r w:rsidRPr="002E6393">
        <w:rPr>
          <w:rFonts w:ascii="Times New Roman" w:hAnsi="Times New Roman"/>
          <w:sz w:val="24"/>
          <w:szCs w:val="24"/>
        </w:rPr>
        <w:t xml:space="preserve"> they </w:t>
      </w:r>
      <w:proofErr w:type="gramStart"/>
      <w:r w:rsidRPr="002E6393">
        <w:rPr>
          <w:rFonts w:ascii="Times New Roman" w:hAnsi="Times New Roman"/>
          <w:sz w:val="24"/>
          <w:szCs w:val="24"/>
        </w:rPr>
        <w:t>find</w:t>
      </w:r>
      <w:proofErr w:type="gramEnd"/>
      <w:r w:rsidRPr="002E6393">
        <w:rPr>
          <w:rFonts w:ascii="Times New Roman" w:hAnsi="Times New Roman"/>
          <w:sz w:val="24"/>
          <w:szCs w:val="24"/>
        </w:rPr>
        <w:t xml:space="preserve"> convenient). The question for us is whether the law Congress adopted tolerates the government’s preferred practice.</w:t>
      </w:r>
    </w:p>
    <w:p w14:paraId="50B797B9" w14:textId="77777777" w:rsidR="00F27CD5" w:rsidRDefault="00F27CD5" w:rsidP="00F27CD5">
      <w:pPr>
        <w:ind w:left="720"/>
        <w:rPr>
          <w:rFonts w:ascii="Times New Roman" w:hAnsi="Times New Roman"/>
          <w:sz w:val="24"/>
          <w:szCs w:val="24"/>
        </w:rPr>
      </w:pPr>
    </w:p>
    <w:p w14:paraId="2E446641" w14:textId="77777777" w:rsidR="00F27CD5" w:rsidRDefault="00F27CD5" w:rsidP="00F27CD5">
      <w:pPr>
        <w:ind w:left="720"/>
        <w:rPr>
          <w:rFonts w:ascii="Times New Roman" w:hAnsi="Times New Roman"/>
          <w:sz w:val="24"/>
          <w:szCs w:val="24"/>
        </w:rPr>
      </w:pPr>
      <w:r>
        <w:rPr>
          <w:rFonts w:ascii="Times New Roman" w:hAnsi="Times New Roman"/>
          <w:sz w:val="24"/>
          <w:szCs w:val="24"/>
        </w:rPr>
        <w:t>***</w:t>
      </w:r>
    </w:p>
    <w:p w14:paraId="1113A17C" w14:textId="77777777" w:rsidR="00F27CD5" w:rsidRPr="00892BE0" w:rsidRDefault="00F27CD5" w:rsidP="00F27CD5">
      <w:pPr>
        <w:ind w:left="720"/>
        <w:rPr>
          <w:rFonts w:ascii="Times New Roman" w:hAnsi="Times New Roman"/>
          <w:sz w:val="24"/>
          <w:szCs w:val="24"/>
        </w:rPr>
      </w:pPr>
      <w:r w:rsidRPr="00892BE0">
        <w:rPr>
          <w:rFonts w:ascii="Times New Roman" w:hAnsi="Times New Roman"/>
          <w:sz w:val="24"/>
          <w:szCs w:val="24"/>
        </w:rPr>
        <w:t>Our only job today is to give</w:t>
      </w:r>
      <w:r>
        <w:rPr>
          <w:rFonts w:ascii="Times New Roman" w:hAnsi="Times New Roman"/>
          <w:sz w:val="24"/>
          <w:szCs w:val="24"/>
        </w:rPr>
        <w:t xml:space="preserve"> </w:t>
      </w:r>
      <w:r w:rsidRPr="00892BE0">
        <w:rPr>
          <w:rFonts w:ascii="Times New Roman" w:hAnsi="Times New Roman"/>
          <w:sz w:val="24"/>
          <w:szCs w:val="24"/>
        </w:rPr>
        <w:t xml:space="preserve">the law’s terms their ordinary meaning and, in that small way, ensure the federal government does not exceed its statutory license. Interpreting the phrase </w:t>
      </w:r>
      <w:r>
        <w:rPr>
          <w:rFonts w:ascii="Times New Roman" w:hAnsi="Times New Roman"/>
          <w:sz w:val="24"/>
          <w:szCs w:val="24"/>
        </w:rPr>
        <w:t>‘</w:t>
      </w:r>
      <w:r w:rsidRPr="00892BE0">
        <w:rPr>
          <w:rFonts w:ascii="Times New Roman" w:hAnsi="Times New Roman"/>
          <w:sz w:val="24"/>
          <w:szCs w:val="24"/>
        </w:rPr>
        <w:t>a notice to appear</w:t>
      </w:r>
      <w:r>
        <w:rPr>
          <w:rFonts w:ascii="Times New Roman" w:hAnsi="Times New Roman"/>
          <w:sz w:val="24"/>
          <w:szCs w:val="24"/>
        </w:rPr>
        <w:t>’</w:t>
      </w:r>
      <w:r w:rsidRPr="00892BE0">
        <w:rPr>
          <w:rFonts w:ascii="Times New Roman" w:hAnsi="Times New Roman"/>
          <w:sz w:val="24"/>
          <w:szCs w:val="24"/>
        </w:rPr>
        <w:t xml:space="preserve"> to require a single notice—rather than 2 or 20 documents—does just that</w:t>
      </w:r>
      <w:r>
        <w:rPr>
          <w:rFonts w:ascii="Times New Roman" w:hAnsi="Times New Roman"/>
          <w:sz w:val="24"/>
          <w:szCs w:val="24"/>
        </w:rPr>
        <w:t xml:space="preserve">…. </w:t>
      </w:r>
      <w:r w:rsidRPr="00892BE0">
        <w:rPr>
          <w:rFonts w:ascii="Times New Roman" w:hAnsi="Times New Roman"/>
          <w:sz w:val="24"/>
          <w:szCs w:val="24"/>
        </w:rPr>
        <w:t xml:space="preserve">At one level, today’s dispute may seem semantic, focused on a single word, a small one at that. But words are how the law constrains power. In this case, the law’s terms ensure that, when the federal government seeks a procedural advantage against an individual, it will at least supply him with a single and reasonably comprehensive statement of the nature of the proceedings against him. If men must turn square corners when they deal </w:t>
      </w:r>
      <w:r w:rsidRPr="00892BE0">
        <w:rPr>
          <w:rFonts w:ascii="Times New Roman" w:hAnsi="Times New Roman"/>
          <w:sz w:val="24"/>
          <w:szCs w:val="24"/>
        </w:rPr>
        <w:lastRenderedPageBreak/>
        <w:t>with the government, it cannot be too much to expect the government to turn square corners when it deals with them.</w:t>
      </w:r>
      <w:r>
        <w:rPr>
          <w:rFonts w:ascii="Times New Roman" w:hAnsi="Times New Roman"/>
          <w:sz w:val="24"/>
          <w:szCs w:val="24"/>
        </w:rPr>
        <w:t xml:space="preserve">” </w:t>
      </w:r>
      <w:hyperlink r:id="rId783" w:history="1">
        <w:r w:rsidRPr="001969BB">
          <w:rPr>
            <w:rStyle w:val="Hyperlink"/>
            <w:sz w:val="24"/>
            <w:szCs w:val="24"/>
          </w:rPr>
          <w:t>https://www.supremecourt.gov/opinions/20pdf/19-863_6jgm.pdf</w:t>
        </w:r>
      </w:hyperlink>
      <w:r>
        <w:rPr>
          <w:rFonts w:ascii="Times New Roman" w:hAnsi="Times New Roman"/>
          <w:sz w:val="24"/>
          <w:szCs w:val="24"/>
        </w:rPr>
        <w:t xml:space="preserve"> </w:t>
      </w:r>
    </w:p>
    <w:p w14:paraId="20716139" w14:textId="77777777" w:rsidR="00F27CD5" w:rsidRPr="00CB33A6" w:rsidRDefault="00F27CD5" w:rsidP="00F27CD5">
      <w:pPr>
        <w:rPr>
          <w:rFonts w:ascii="Times New Roman" w:hAnsi="Times New Roman"/>
          <w:b/>
          <w:bCs/>
          <w:sz w:val="24"/>
          <w:szCs w:val="24"/>
        </w:rPr>
      </w:pPr>
      <w:r w:rsidRPr="00CB33A6">
        <w:rPr>
          <w:rFonts w:ascii="Times New Roman" w:hAnsi="Times New Roman"/>
          <w:b/>
          <w:bCs/>
          <w:sz w:val="24"/>
          <w:szCs w:val="24"/>
        </w:rPr>
        <w:t xml:space="preserve">Legal Lesson Learned: </w:t>
      </w:r>
      <w:r>
        <w:rPr>
          <w:rFonts w:ascii="Times New Roman" w:hAnsi="Times New Roman"/>
          <w:b/>
          <w:bCs/>
          <w:sz w:val="24"/>
          <w:szCs w:val="24"/>
        </w:rPr>
        <w:t xml:space="preserve">The majority opinion is now the law of the land; INS can  “stop the clock” on the 10-year “Cancellation of Removal” statute, only when they provide a single Notice that includes the date / place of removal hearing. </w:t>
      </w:r>
    </w:p>
    <w:p w14:paraId="38AB7FAE" w14:textId="77777777" w:rsidR="00F27CD5" w:rsidRDefault="00F27CD5" w:rsidP="00F27CD5">
      <w:pPr>
        <w:ind w:left="720"/>
        <w:rPr>
          <w:rFonts w:ascii="Times New Roman" w:hAnsi="Times New Roman"/>
          <w:sz w:val="24"/>
          <w:szCs w:val="24"/>
        </w:rPr>
      </w:pPr>
    </w:p>
    <w:p w14:paraId="264E03FD" w14:textId="77777777" w:rsidR="00F27CD5" w:rsidRPr="00BC2B99" w:rsidRDefault="00F27CD5" w:rsidP="00F27CD5">
      <w:pPr>
        <w:pStyle w:val="NoSpacing"/>
        <w:ind w:left="720"/>
        <w:rPr>
          <w:rFonts w:ascii="Times New Roman" w:hAnsi="Times New Roman"/>
          <w:sz w:val="24"/>
          <w:szCs w:val="24"/>
        </w:rPr>
      </w:pPr>
      <w:r w:rsidRPr="00BC2B99">
        <w:rPr>
          <w:rFonts w:ascii="Times New Roman" w:hAnsi="Times New Roman"/>
          <w:sz w:val="24"/>
          <w:szCs w:val="24"/>
        </w:rPr>
        <w:t xml:space="preserve">Note:  </w:t>
      </w:r>
    </w:p>
    <w:p w14:paraId="19FBC938" w14:textId="77777777" w:rsidR="00F27CD5" w:rsidRPr="004D18E0" w:rsidRDefault="00F27CD5" w:rsidP="00F27CD5">
      <w:pPr>
        <w:pStyle w:val="Heading1"/>
        <w:ind w:left="720"/>
        <w:rPr>
          <w:b w:val="0"/>
          <w:bCs w:val="0"/>
          <w:sz w:val="24"/>
          <w:szCs w:val="24"/>
        </w:rPr>
      </w:pPr>
      <w:r w:rsidRPr="004D18E0">
        <w:rPr>
          <w:sz w:val="24"/>
          <w:szCs w:val="24"/>
        </w:rPr>
        <w:t>8 U.S. Code § 1229b - Cancellation of removal; adjustment of status</w:t>
      </w:r>
      <w:r>
        <w:rPr>
          <w:sz w:val="24"/>
          <w:szCs w:val="24"/>
        </w:rPr>
        <w:t xml:space="preserve">: </w:t>
      </w:r>
      <w:hyperlink r:id="rId784" w:history="1">
        <w:r w:rsidRPr="001969BB">
          <w:rPr>
            <w:rStyle w:val="Hyperlink"/>
            <w:sz w:val="24"/>
            <w:szCs w:val="24"/>
          </w:rPr>
          <w:t>https://www.law.cornell.edu/uscode/text/8/1229b</w:t>
        </w:r>
      </w:hyperlink>
      <w:r>
        <w:rPr>
          <w:sz w:val="24"/>
          <w:szCs w:val="24"/>
        </w:rPr>
        <w:t xml:space="preserve"> </w:t>
      </w:r>
    </w:p>
    <w:p w14:paraId="6B6327AF" w14:textId="77777777" w:rsidR="00F27CD5" w:rsidRPr="004D18E0" w:rsidRDefault="00F27CD5" w:rsidP="00F27CD5">
      <w:pPr>
        <w:ind w:left="1440"/>
        <w:rPr>
          <w:rFonts w:ascii="Times New Roman" w:hAnsi="Times New Roman"/>
          <w:sz w:val="24"/>
          <w:szCs w:val="24"/>
        </w:rPr>
      </w:pPr>
      <w:r w:rsidRPr="004D18E0">
        <w:rPr>
          <w:rStyle w:val="num"/>
          <w:rFonts w:ascii="Times New Roman" w:hAnsi="Times New Roman"/>
          <w:sz w:val="24"/>
          <w:szCs w:val="24"/>
        </w:rPr>
        <w:t>(b)</w:t>
      </w:r>
      <w:r w:rsidRPr="004D18E0">
        <w:rPr>
          <w:rStyle w:val="heading"/>
          <w:rFonts w:ascii="Times New Roman" w:hAnsi="Times New Roman"/>
          <w:sz w:val="24"/>
          <w:szCs w:val="24"/>
        </w:rPr>
        <w:t xml:space="preserve"> Cancellation of removal and adjustment of status for certain nonpermanent residents</w:t>
      </w:r>
      <w:r w:rsidRPr="004D18E0">
        <w:rPr>
          <w:rFonts w:ascii="Times New Roman" w:hAnsi="Times New Roman"/>
          <w:sz w:val="24"/>
          <w:szCs w:val="24"/>
        </w:rPr>
        <w:t xml:space="preserve"> </w:t>
      </w:r>
    </w:p>
    <w:p w14:paraId="55F64335" w14:textId="77777777" w:rsidR="00F27CD5" w:rsidRDefault="00F27CD5" w:rsidP="00F27CD5">
      <w:pPr>
        <w:ind w:left="720" w:firstLine="720"/>
        <w:rPr>
          <w:rStyle w:val="heading"/>
          <w:rFonts w:ascii="Times New Roman" w:hAnsi="Times New Roman"/>
          <w:sz w:val="24"/>
          <w:szCs w:val="24"/>
        </w:rPr>
      </w:pPr>
      <w:r w:rsidRPr="004D18E0">
        <w:rPr>
          <w:rStyle w:val="num"/>
          <w:rFonts w:ascii="Times New Roman" w:hAnsi="Times New Roman"/>
          <w:sz w:val="24"/>
          <w:szCs w:val="24"/>
        </w:rPr>
        <w:t>(1)</w:t>
      </w:r>
      <w:r w:rsidRPr="004D18E0">
        <w:rPr>
          <w:rStyle w:val="heading"/>
          <w:rFonts w:ascii="Times New Roman" w:hAnsi="Times New Roman"/>
          <w:sz w:val="24"/>
          <w:szCs w:val="24"/>
        </w:rPr>
        <w:t xml:space="preserve"> In general</w:t>
      </w:r>
    </w:p>
    <w:p w14:paraId="637D31FA" w14:textId="77777777" w:rsidR="00F27CD5" w:rsidRPr="004D18E0" w:rsidRDefault="00F27CD5" w:rsidP="00F27CD5">
      <w:pPr>
        <w:ind w:left="1440"/>
        <w:rPr>
          <w:rFonts w:ascii="Times New Roman" w:hAnsi="Times New Roman"/>
          <w:sz w:val="24"/>
          <w:szCs w:val="24"/>
        </w:rPr>
      </w:pPr>
      <w:r w:rsidRPr="004D18E0">
        <w:rPr>
          <w:rStyle w:val="chapeau"/>
          <w:rFonts w:ascii="Times New Roman" w:hAnsi="Times New Roman"/>
          <w:sz w:val="24"/>
          <w:szCs w:val="24"/>
        </w:rPr>
        <w:t xml:space="preserve">The </w:t>
      </w:r>
      <w:hyperlink r:id="rId785" w:history="1">
        <w:r w:rsidRPr="004D18E0">
          <w:rPr>
            <w:rStyle w:val="Hyperlink"/>
            <w:sz w:val="24"/>
            <w:szCs w:val="24"/>
          </w:rPr>
          <w:t>Attorney General</w:t>
        </w:r>
      </w:hyperlink>
      <w:r w:rsidRPr="004D18E0">
        <w:rPr>
          <w:rStyle w:val="chapeau"/>
          <w:rFonts w:ascii="Times New Roman" w:hAnsi="Times New Roman"/>
          <w:sz w:val="24"/>
          <w:szCs w:val="24"/>
        </w:rPr>
        <w:t xml:space="preserve"> may cancel removal of, and adjust to the status of an</w:t>
      </w:r>
      <w:hyperlink r:id="rId786" w:history="1">
        <w:r w:rsidRPr="004D18E0">
          <w:rPr>
            <w:rStyle w:val="Hyperlink"/>
            <w:sz w:val="24"/>
            <w:szCs w:val="24"/>
          </w:rPr>
          <w:t xml:space="preserve"> alien </w:t>
        </w:r>
      </w:hyperlink>
      <w:hyperlink r:id="rId787" w:history="1">
        <w:r w:rsidRPr="004D18E0">
          <w:rPr>
            <w:rStyle w:val="Hyperlink"/>
            <w:sz w:val="24"/>
            <w:szCs w:val="24"/>
          </w:rPr>
          <w:t>lawfully admitted for permanent residence</w:t>
        </w:r>
      </w:hyperlink>
      <w:r w:rsidRPr="004D18E0">
        <w:rPr>
          <w:rStyle w:val="chapeau"/>
          <w:rFonts w:ascii="Times New Roman" w:hAnsi="Times New Roman"/>
          <w:sz w:val="24"/>
          <w:szCs w:val="24"/>
        </w:rPr>
        <w:t>, an</w:t>
      </w:r>
      <w:hyperlink r:id="rId788" w:history="1">
        <w:r w:rsidRPr="004D18E0">
          <w:rPr>
            <w:rStyle w:val="Hyperlink"/>
            <w:sz w:val="24"/>
            <w:szCs w:val="24"/>
          </w:rPr>
          <w:t xml:space="preserve"> alien </w:t>
        </w:r>
      </w:hyperlink>
      <w:r w:rsidRPr="004D18E0">
        <w:rPr>
          <w:rStyle w:val="chapeau"/>
          <w:rFonts w:ascii="Times New Roman" w:hAnsi="Times New Roman"/>
          <w:sz w:val="24"/>
          <w:szCs w:val="24"/>
        </w:rPr>
        <w:t>who is inadmissible or deportable from the</w:t>
      </w:r>
      <w:hyperlink r:id="rId789" w:history="1">
        <w:r w:rsidRPr="004D18E0">
          <w:rPr>
            <w:rStyle w:val="Hyperlink"/>
            <w:sz w:val="24"/>
            <w:szCs w:val="24"/>
          </w:rPr>
          <w:t xml:space="preserve"> United States </w:t>
        </w:r>
      </w:hyperlink>
      <w:r w:rsidRPr="004D18E0">
        <w:rPr>
          <w:rStyle w:val="chapeau"/>
          <w:rFonts w:ascii="Times New Roman" w:hAnsi="Times New Roman"/>
          <w:sz w:val="24"/>
          <w:szCs w:val="24"/>
        </w:rPr>
        <w:t>if the</w:t>
      </w:r>
      <w:hyperlink r:id="rId790" w:history="1">
        <w:r w:rsidRPr="004D18E0">
          <w:rPr>
            <w:rStyle w:val="Hyperlink"/>
            <w:sz w:val="24"/>
            <w:szCs w:val="24"/>
          </w:rPr>
          <w:t xml:space="preserve"> alien—</w:t>
        </w:r>
      </w:hyperlink>
      <w:r w:rsidRPr="004D18E0">
        <w:rPr>
          <w:rFonts w:ascii="Times New Roman" w:hAnsi="Times New Roman"/>
          <w:sz w:val="24"/>
          <w:szCs w:val="24"/>
        </w:rPr>
        <w:t xml:space="preserve"> </w:t>
      </w:r>
    </w:p>
    <w:p w14:paraId="54F328F9" w14:textId="77777777" w:rsidR="00F27CD5" w:rsidRPr="004D18E0" w:rsidRDefault="00F27CD5" w:rsidP="00F27CD5">
      <w:pPr>
        <w:ind w:left="720" w:firstLine="720"/>
        <w:rPr>
          <w:rFonts w:ascii="Times New Roman" w:hAnsi="Times New Roman"/>
          <w:sz w:val="24"/>
          <w:szCs w:val="24"/>
        </w:rPr>
      </w:pPr>
      <w:r w:rsidRPr="004D18E0">
        <w:rPr>
          <w:rStyle w:val="num"/>
          <w:rFonts w:ascii="Times New Roman" w:hAnsi="Times New Roman"/>
          <w:sz w:val="24"/>
          <w:szCs w:val="24"/>
        </w:rPr>
        <w:t>(A)</w:t>
      </w:r>
    </w:p>
    <w:p w14:paraId="0F77BA8B" w14:textId="77777777" w:rsidR="00F27CD5" w:rsidRPr="004D18E0" w:rsidRDefault="00F27CD5" w:rsidP="00F27CD5">
      <w:pPr>
        <w:ind w:left="1440"/>
        <w:rPr>
          <w:rFonts w:ascii="Times New Roman" w:hAnsi="Times New Roman"/>
          <w:sz w:val="24"/>
          <w:szCs w:val="24"/>
        </w:rPr>
      </w:pPr>
      <w:r w:rsidRPr="004D18E0">
        <w:rPr>
          <w:rFonts w:ascii="Times New Roman" w:hAnsi="Times New Roman"/>
          <w:sz w:val="24"/>
          <w:szCs w:val="24"/>
        </w:rPr>
        <w:t xml:space="preserve">has been physically present in the </w:t>
      </w:r>
      <w:hyperlink r:id="rId791" w:history="1">
        <w:r w:rsidRPr="004D18E0">
          <w:rPr>
            <w:rStyle w:val="Hyperlink"/>
            <w:sz w:val="24"/>
            <w:szCs w:val="24"/>
          </w:rPr>
          <w:t>United States</w:t>
        </w:r>
      </w:hyperlink>
      <w:r w:rsidRPr="004D18E0">
        <w:rPr>
          <w:rFonts w:ascii="Times New Roman" w:hAnsi="Times New Roman"/>
          <w:sz w:val="24"/>
          <w:szCs w:val="24"/>
        </w:rPr>
        <w:t xml:space="preserve"> for a continuous period of not less than 10 years immediately preceding the date of such application;</w:t>
      </w:r>
    </w:p>
    <w:p w14:paraId="7F3C110D" w14:textId="77777777" w:rsidR="00F27CD5" w:rsidRPr="004D18E0" w:rsidRDefault="00F27CD5" w:rsidP="00F27CD5">
      <w:pPr>
        <w:ind w:left="720" w:firstLine="720"/>
        <w:rPr>
          <w:rFonts w:ascii="Times New Roman" w:hAnsi="Times New Roman"/>
          <w:sz w:val="24"/>
          <w:szCs w:val="24"/>
        </w:rPr>
      </w:pPr>
      <w:r w:rsidRPr="004D18E0">
        <w:rPr>
          <w:rStyle w:val="num"/>
          <w:rFonts w:ascii="Times New Roman" w:hAnsi="Times New Roman"/>
          <w:sz w:val="24"/>
          <w:szCs w:val="24"/>
        </w:rPr>
        <w:t>(B)</w:t>
      </w:r>
      <w:r w:rsidRPr="004D18E0">
        <w:rPr>
          <w:rFonts w:ascii="Times New Roman" w:hAnsi="Times New Roman"/>
          <w:sz w:val="24"/>
          <w:szCs w:val="24"/>
        </w:rPr>
        <w:t xml:space="preserve"> </w:t>
      </w:r>
    </w:p>
    <w:p w14:paraId="3E672685" w14:textId="77777777" w:rsidR="00F27CD5" w:rsidRPr="004D18E0" w:rsidRDefault="00F27CD5" w:rsidP="00F27CD5">
      <w:pPr>
        <w:ind w:left="720" w:firstLine="720"/>
        <w:rPr>
          <w:rFonts w:ascii="Times New Roman" w:hAnsi="Times New Roman"/>
          <w:sz w:val="24"/>
          <w:szCs w:val="24"/>
        </w:rPr>
      </w:pPr>
      <w:r w:rsidRPr="004D18E0">
        <w:rPr>
          <w:rFonts w:ascii="Times New Roman" w:hAnsi="Times New Roman"/>
          <w:sz w:val="24"/>
          <w:szCs w:val="24"/>
        </w:rPr>
        <w:t>has been a person of good moral character during such period;</w:t>
      </w:r>
    </w:p>
    <w:p w14:paraId="163D8D77" w14:textId="77777777" w:rsidR="00F27CD5" w:rsidRPr="004D18E0" w:rsidRDefault="00F27CD5" w:rsidP="00F27CD5">
      <w:pPr>
        <w:ind w:left="720" w:firstLine="720"/>
        <w:rPr>
          <w:rFonts w:ascii="Times New Roman" w:hAnsi="Times New Roman"/>
          <w:sz w:val="24"/>
          <w:szCs w:val="24"/>
        </w:rPr>
      </w:pPr>
      <w:r w:rsidRPr="004D18E0">
        <w:rPr>
          <w:rStyle w:val="num"/>
          <w:rFonts w:ascii="Times New Roman" w:hAnsi="Times New Roman"/>
          <w:sz w:val="24"/>
          <w:szCs w:val="24"/>
        </w:rPr>
        <w:t>(C)</w:t>
      </w:r>
    </w:p>
    <w:p w14:paraId="5268DD34" w14:textId="77777777" w:rsidR="00F27CD5" w:rsidRPr="004D18E0" w:rsidRDefault="00F27CD5" w:rsidP="00F27CD5">
      <w:pPr>
        <w:ind w:left="1440"/>
        <w:rPr>
          <w:rFonts w:ascii="Times New Roman" w:hAnsi="Times New Roman"/>
          <w:sz w:val="24"/>
          <w:szCs w:val="24"/>
        </w:rPr>
      </w:pPr>
      <w:r w:rsidRPr="004D18E0">
        <w:rPr>
          <w:rFonts w:ascii="Times New Roman" w:hAnsi="Times New Roman"/>
          <w:sz w:val="24"/>
          <w:szCs w:val="24"/>
        </w:rPr>
        <w:t xml:space="preserve">has not been convicted of an offense under section </w:t>
      </w:r>
      <w:hyperlink r:id="rId792" w:anchor="a_2" w:history="1">
        <w:r w:rsidRPr="004D18E0">
          <w:rPr>
            <w:rStyle w:val="Hyperlink"/>
            <w:sz w:val="24"/>
            <w:szCs w:val="24"/>
          </w:rPr>
          <w:t>1182(a)(2)</w:t>
        </w:r>
      </w:hyperlink>
      <w:r w:rsidRPr="004D18E0">
        <w:rPr>
          <w:rFonts w:ascii="Times New Roman" w:hAnsi="Times New Roman"/>
          <w:sz w:val="24"/>
          <w:szCs w:val="24"/>
        </w:rPr>
        <w:t xml:space="preserve">, </w:t>
      </w:r>
      <w:hyperlink r:id="rId793" w:anchor="a_2" w:history="1">
        <w:r w:rsidRPr="004D18E0">
          <w:rPr>
            <w:rStyle w:val="Hyperlink"/>
            <w:sz w:val="24"/>
            <w:szCs w:val="24"/>
          </w:rPr>
          <w:t>1227(a)(2)</w:t>
        </w:r>
      </w:hyperlink>
      <w:r w:rsidRPr="004D18E0">
        <w:rPr>
          <w:rFonts w:ascii="Times New Roman" w:hAnsi="Times New Roman"/>
          <w:sz w:val="24"/>
          <w:szCs w:val="24"/>
        </w:rPr>
        <w:t xml:space="preserve">, or </w:t>
      </w:r>
      <w:hyperlink r:id="rId794" w:anchor="a_3" w:history="1">
        <w:r w:rsidRPr="004D18E0">
          <w:rPr>
            <w:rStyle w:val="Hyperlink"/>
            <w:sz w:val="24"/>
            <w:szCs w:val="24"/>
          </w:rPr>
          <w:t>1227(a)(3)</w:t>
        </w:r>
      </w:hyperlink>
      <w:r w:rsidRPr="004D18E0">
        <w:rPr>
          <w:rFonts w:ascii="Times New Roman" w:hAnsi="Times New Roman"/>
          <w:sz w:val="24"/>
          <w:szCs w:val="24"/>
        </w:rPr>
        <w:t xml:space="preserve"> of this title, subject to paragraph (5); and</w:t>
      </w:r>
    </w:p>
    <w:p w14:paraId="1BFAFEF7" w14:textId="77777777" w:rsidR="00F27CD5" w:rsidRDefault="00F27CD5" w:rsidP="00F27CD5">
      <w:pPr>
        <w:ind w:left="720" w:firstLine="720"/>
        <w:rPr>
          <w:rFonts w:ascii="Times New Roman" w:hAnsi="Times New Roman"/>
          <w:sz w:val="24"/>
          <w:szCs w:val="24"/>
        </w:rPr>
      </w:pPr>
      <w:r w:rsidRPr="004D18E0">
        <w:rPr>
          <w:rStyle w:val="num"/>
          <w:rFonts w:ascii="Times New Roman" w:hAnsi="Times New Roman"/>
          <w:sz w:val="24"/>
          <w:szCs w:val="24"/>
        </w:rPr>
        <w:t>(D)</w:t>
      </w:r>
      <w:r w:rsidRPr="004D18E0">
        <w:rPr>
          <w:rFonts w:ascii="Times New Roman" w:hAnsi="Times New Roman"/>
          <w:sz w:val="24"/>
          <w:szCs w:val="24"/>
        </w:rPr>
        <w:t xml:space="preserve"> </w:t>
      </w:r>
    </w:p>
    <w:p w14:paraId="071412DD" w14:textId="77777777" w:rsidR="00F27CD5" w:rsidRPr="004D18E0" w:rsidRDefault="00F27CD5" w:rsidP="00F27CD5">
      <w:pPr>
        <w:ind w:left="1440"/>
        <w:rPr>
          <w:rFonts w:ascii="Times New Roman" w:hAnsi="Times New Roman"/>
          <w:sz w:val="24"/>
          <w:szCs w:val="24"/>
        </w:rPr>
      </w:pPr>
      <w:r w:rsidRPr="004D18E0">
        <w:rPr>
          <w:rFonts w:ascii="Times New Roman" w:hAnsi="Times New Roman"/>
          <w:sz w:val="24"/>
          <w:szCs w:val="24"/>
        </w:rPr>
        <w:t xml:space="preserve">establishes that removal would result in exceptional and extremely unusual hardship to the </w:t>
      </w:r>
      <w:hyperlink r:id="rId795" w:history="1">
        <w:r w:rsidRPr="004D18E0">
          <w:rPr>
            <w:rStyle w:val="Hyperlink"/>
            <w:sz w:val="24"/>
            <w:szCs w:val="24"/>
          </w:rPr>
          <w:t>alien</w:t>
        </w:r>
      </w:hyperlink>
      <w:r w:rsidRPr="004D18E0">
        <w:rPr>
          <w:rFonts w:ascii="Times New Roman" w:hAnsi="Times New Roman"/>
          <w:sz w:val="24"/>
          <w:szCs w:val="24"/>
        </w:rPr>
        <w:t xml:space="preserve">’s spouse, parent, or child, who is a citizen of the </w:t>
      </w:r>
      <w:hyperlink r:id="rId796" w:history="1">
        <w:r w:rsidRPr="004D18E0">
          <w:rPr>
            <w:rStyle w:val="Hyperlink"/>
            <w:sz w:val="24"/>
            <w:szCs w:val="24"/>
          </w:rPr>
          <w:t>United States</w:t>
        </w:r>
      </w:hyperlink>
      <w:r w:rsidRPr="004D18E0">
        <w:rPr>
          <w:rFonts w:ascii="Times New Roman" w:hAnsi="Times New Roman"/>
          <w:sz w:val="24"/>
          <w:szCs w:val="24"/>
        </w:rPr>
        <w:t xml:space="preserve"> or an</w:t>
      </w:r>
      <w:hyperlink r:id="rId797" w:history="1">
        <w:r w:rsidRPr="004D18E0">
          <w:rPr>
            <w:rStyle w:val="Hyperlink"/>
            <w:sz w:val="24"/>
            <w:szCs w:val="24"/>
          </w:rPr>
          <w:t xml:space="preserve"> alien </w:t>
        </w:r>
      </w:hyperlink>
      <w:hyperlink r:id="rId798" w:history="1">
        <w:r w:rsidRPr="004D18E0">
          <w:rPr>
            <w:rStyle w:val="Hyperlink"/>
            <w:sz w:val="24"/>
            <w:szCs w:val="24"/>
          </w:rPr>
          <w:t>lawfully admitted for permanent residence</w:t>
        </w:r>
      </w:hyperlink>
      <w:r w:rsidRPr="004D18E0">
        <w:rPr>
          <w:rFonts w:ascii="Times New Roman" w:hAnsi="Times New Roman"/>
          <w:sz w:val="24"/>
          <w:szCs w:val="24"/>
        </w:rPr>
        <w:t>.</w:t>
      </w:r>
    </w:p>
    <w:p w14:paraId="2824668D" w14:textId="77777777" w:rsidR="00F27CD5" w:rsidRDefault="00F27CD5" w:rsidP="00F27CD5">
      <w:pPr>
        <w:pStyle w:val="NoSpacing"/>
        <w:ind w:left="720"/>
        <w:rPr>
          <w:rFonts w:ascii="Times New Roman" w:hAnsi="Times New Roman"/>
          <w:sz w:val="24"/>
          <w:szCs w:val="24"/>
        </w:rPr>
      </w:pPr>
    </w:p>
    <w:p w14:paraId="177F06E4" w14:textId="77777777" w:rsidR="00F27CD5" w:rsidRPr="00CB33A6" w:rsidRDefault="00F27CD5" w:rsidP="00F27CD5">
      <w:pPr>
        <w:pStyle w:val="NoSpacing"/>
        <w:ind w:left="720"/>
        <w:rPr>
          <w:rFonts w:ascii="Times New Roman" w:hAnsi="Times New Roman"/>
          <w:b/>
          <w:bCs/>
          <w:sz w:val="24"/>
          <w:szCs w:val="24"/>
        </w:rPr>
      </w:pPr>
      <w:r w:rsidRPr="00CB33A6">
        <w:rPr>
          <w:rFonts w:ascii="Times New Roman" w:hAnsi="Times New Roman"/>
          <w:b/>
          <w:bCs/>
          <w:sz w:val="24"/>
          <w:szCs w:val="24"/>
        </w:rPr>
        <w:t>Convention Against Torture:</w:t>
      </w:r>
    </w:p>
    <w:p w14:paraId="7F38203B" w14:textId="77777777" w:rsidR="00F27CD5" w:rsidRDefault="00F27CD5" w:rsidP="00F27CD5">
      <w:pPr>
        <w:pStyle w:val="NoSpacing"/>
        <w:ind w:left="720"/>
        <w:rPr>
          <w:rFonts w:ascii="Times New Roman" w:hAnsi="Times New Roman"/>
          <w:sz w:val="24"/>
          <w:szCs w:val="24"/>
        </w:rPr>
      </w:pPr>
    </w:p>
    <w:p w14:paraId="27397B9C" w14:textId="77777777" w:rsidR="00F27CD5" w:rsidRPr="002E6393" w:rsidRDefault="00F27CD5" w:rsidP="00F27CD5">
      <w:pPr>
        <w:pStyle w:val="NoSpacing"/>
        <w:ind w:left="1440"/>
        <w:rPr>
          <w:rFonts w:ascii="Times New Roman" w:hAnsi="Times New Roman"/>
          <w:sz w:val="24"/>
          <w:szCs w:val="24"/>
        </w:rPr>
      </w:pPr>
      <w:r w:rsidRPr="002E6393">
        <w:rPr>
          <w:rFonts w:ascii="Times New Roman" w:hAnsi="Times New Roman"/>
          <w:sz w:val="24"/>
          <w:szCs w:val="24"/>
        </w:rPr>
        <w:t>1984 – UN Convention against Torture and Other Cruel,</w:t>
      </w:r>
      <w:r>
        <w:rPr>
          <w:rFonts w:ascii="Times New Roman" w:hAnsi="Times New Roman"/>
          <w:sz w:val="24"/>
          <w:szCs w:val="24"/>
        </w:rPr>
        <w:t xml:space="preserve"> </w:t>
      </w:r>
      <w:r w:rsidRPr="002E6393">
        <w:rPr>
          <w:rFonts w:ascii="Times New Roman" w:hAnsi="Times New Roman"/>
          <w:sz w:val="24"/>
          <w:szCs w:val="24"/>
        </w:rPr>
        <w:t>Inhuman or Degrading Treatment or Punishment</w:t>
      </w:r>
      <w:r>
        <w:rPr>
          <w:rFonts w:ascii="Times New Roman" w:hAnsi="Times New Roman"/>
          <w:sz w:val="24"/>
          <w:szCs w:val="24"/>
        </w:rPr>
        <w:t>:</w:t>
      </w:r>
      <w:r w:rsidRPr="002E6393">
        <w:rPr>
          <w:rFonts w:ascii="Times New Roman" w:hAnsi="Times New Roman"/>
          <w:sz w:val="24"/>
          <w:szCs w:val="24"/>
        </w:rPr>
        <w:t xml:space="preserve"> </w:t>
      </w:r>
      <w:hyperlink r:id="rId799" w:history="1">
        <w:r w:rsidRPr="001969BB">
          <w:rPr>
            <w:rStyle w:val="Hyperlink"/>
            <w:sz w:val="24"/>
            <w:szCs w:val="24"/>
          </w:rPr>
          <w:t>https://www.ohchr.org/en/professionalinterest/pages/cat.aspx</w:t>
        </w:r>
      </w:hyperlink>
      <w:r w:rsidRPr="002E6393">
        <w:rPr>
          <w:rFonts w:ascii="Times New Roman" w:hAnsi="Times New Roman"/>
          <w:sz w:val="24"/>
          <w:szCs w:val="24"/>
        </w:rPr>
        <w:t xml:space="preserve"> </w:t>
      </w:r>
      <w:r>
        <w:rPr>
          <w:rFonts w:ascii="Times New Roman" w:hAnsi="Times New Roman"/>
          <w:sz w:val="24"/>
          <w:szCs w:val="24"/>
        </w:rPr>
        <w:t>Ratified by U.S. in 1994.</w:t>
      </w:r>
      <w:r w:rsidRPr="002E6393">
        <w:t xml:space="preserve"> </w:t>
      </w:r>
      <w:hyperlink r:id="rId800" w:history="1">
        <w:r w:rsidRPr="001969BB">
          <w:rPr>
            <w:rStyle w:val="Hyperlink"/>
            <w:sz w:val="24"/>
            <w:szCs w:val="24"/>
          </w:rPr>
          <w:t>https://fas.org/sgp/crs/intel/RL32276.pdf</w:t>
        </w:r>
      </w:hyperlink>
    </w:p>
    <w:p w14:paraId="6347D308" w14:textId="77777777" w:rsidR="00F27CD5" w:rsidRDefault="00F27CD5" w:rsidP="00F27CD5">
      <w:pPr>
        <w:pStyle w:val="Heading2"/>
        <w:rPr>
          <w:rFonts w:ascii="Times New Roman" w:hAnsi="Times New Roman"/>
          <w:sz w:val="24"/>
          <w:szCs w:val="24"/>
        </w:rPr>
      </w:pPr>
    </w:p>
    <w:p w14:paraId="5577BF0F" w14:textId="5BEE1921" w:rsidR="00F27CD5" w:rsidRPr="00F27CD5" w:rsidRDefault="00F27CD5" w:rsidP="00F27CD5">
      <w:pPr>
        <w:pStyle w:val="Heading2"/>
        <w:ind w:left="720"/>
        <w:rPr>
          <w:rFonts w:ascii="Times New Roman" w:hAnsi="Times New Roman"/>
          <w:i w:val="0"/>
          <w:iCs w:val="0"/>
          <w:sz w:val="24"/>
          <w:szCs w:val="24"/>
        </w:rPr>
      </w:pPr>
      <w:r w:rsidRPr="00F27CD5">
        <w:rPr>
          <w:rFonts w:ascii="Times New Roman" w:hAnsi="Times New Roman"/>
          <w:i w:val="0"/>
          <w:iCs w:val="0"/>
          <w:sz w:val="24"/>
          <w:szCs w:val="24"/>
        </w:rPr>
        <w:t xml:space="preserve">Asylum Manual - Relief Under CAT: </w:t>
      </w:r>
      <w:hyperlink r:id="rId801" w:history="1">
        <w:r w:rsidRPr="008B44BD">
          <w:rPr>
            <w:rStyle w:val="Hyperlink"/>
            <w:rFonts w:ascii="Times New Roman" w:hAnsi="Times New Roman"/>
            <w:i w:val="0"/>
            <w:iCs w:val="0"/>
            <w:sz w:val="24"/>
            <w:szCs w:val="24"/>
          </w:rPr>
          <w:t>https://immigrationequality.org/asylum/asylum-manual/immigration-basics-relief-under-cat/</w:t>
        </w:r>
      </w:hyperlink>
      <w:r w:rsidRPr="00F27CD5">
        <w:rPr>
          <w:rFonts w:ascii="Times New Roman" w:hAnsi="Times New Roman"/>
          <w:i w:val="0"/>
          <w:iCs w:val="0"/>
          <w:sz w:val="24"/>
          <w:szCs w:val="24"/>
        </w:rPr>
        <w:t xml:space="preserve"> </w:t>
      </w:r>
    </w:p>
    <w:p w14:paraId="6DE98487" w14:textId="77777777" w:rsidR="00F27CD5" w:rsidRPr="00BC2B99" w:rsidRDefault="00F27CD5" w:rsidP="00F27CD5">
      <w:pPr>
        <w:pStyle w:val="NormalWeb"/>
        <w:ind w:left="1440"/>
      </w:pPr>
      <w:r>
        <w:t>“</w:t>
      </w:r>
      <w:r w:rsidRPr="00BC2B99">
        <w:t>Relief under the Convention Against Torture (CAT) is the third form of relief an individual fearing persecution can seek. Like withholding of removal, it can only be granted by an Immigration Judge (IJ), and not by an Asylum Officer.</w:t>
      </w:r>
    </w:p>
    <w:p w14:paraId="328E2654" w14:textId="77777777" w:rsidR="00F27CD5" w:rsidRPr="00BC2B99" w:rsidRDefault="00F27CD5" w:rsidP="00F27CD5">
      <w:pPr>
        <w:pStyle w:val="NormalWeb"/>
        <w:ind w:left="1440"/>
      </w:pPr>
      <w:r w:rsidRPr="00BC2B99">
        <w:t xml:space="preserve">An applicant bears the burden of demonstrating that it is more likely than not that they will be tortured if removed to their country of origin.  The Board of Immigration Appeals (BIA) has found that torture </w:t>
      </w:r>
      <w:r>
        <w:t>‘</w:t>
      </w:r>
      <w:r w:rsidRPr="00BC2B99">
        <w:t>must be an extreme form of cruel and inhuman punishment</w:t>
      </w:r>
      <w:r>
        <w:t>’</w:t>
      </w:r>
      <w:r w:rsidRPr="00BC2B99">
        <w:t xml:space="preserve"> that </w:t>
      </w:r>
      <w:r>
        <w:t>‘</w:t>
      </w:r>
      <w:r w:rsidRPr="00BC2B99">
        <w:t>must cause severe pain or suffering.</w:t>
      </w:r>
      <w:r>
        <w:t>’</w:t>
      </w:r>
      <w:r w:rsidRPr="00BC2B99">
        <w:t> There are no bars to eligibility for relief under CAT.</w:t>
      </w:r>
    </w:p>
    <w:p w14:paraId="126144F4" w14:textId="77777777" w:rsidR="00F27CD5" w:rsidRDefault="00F27CD5" w:rsidP="00F27CD5">
      <w:pPr>
        <w:pStyle w:val="NormalWeb"/>
        <w:ind w:left="1440"/>
        <w:rPr>
          <w:b/>
          <w:sz w:val="20"/>
          <w:szCs w:val="20"/>
        </w:rPr>
      </w:pPr>
      <w:r w:rsidRPr="00BC2B99">
        <w:t>The advantage of CAT is that there are no bars to eligibility. Therefore, since the treaty itself does not contain any bars to its mandate of non-return, aggravated felons can make claims for relief if they fear torture. Additionally, applicants are not required to establish that their fear of torture is on account of race, religion, nationality, political opinion, or membership in a particular social group.</w:t>
      </w:r>
      <w:r>
        <w:t>”</w:t>
      </w:r>
    </w:p>
    <w:p w14:paraId="62D6E67E" w14:textId="77777777" w:rsidR="00F27CD5" w:rsidRDefault="00F27CD5" w:rsidP="00F326E5">
      <w:pPr>
        <w:pStyle w:val="NoSpacing"/>
        <w:rPr>
          <w:rFonts w:ascii="Arial Black" w:hAnsi="Arial Black"/>
          <w:sz w:val="28"/>
          <w:szCs w:val="28"/>
        </w:rPr>
      </w:pPr>
    </w:p>
    <w:p w14:paraId="61CEB03D" w14:textId="77777777" w:rsidR="00F27CD5" w:rsidRDefault="00F27CD5" w:rsidP="00F326E5">
      <w:pPr>
        <w:pStyle w:val="NoSpacing"/>
        <w:rPr>
          <w:rFonts w:ascii="Arial Black" w:hAnsi="Arial Black"/>
          <w:sz w:val="28"/>
          <w:szCs w:val="28"/>
        </w:rPr>
      </w:pPr>
    </w:p>
    <w:p w14:paraId="67DFC7B6" w14:textId="6492763B" w:rsidR="000915C1" w:rsidRDefault="000915C1" w:rsidP="00F326E5">
      <w:pPr>
        <w:pStyle w:val="NoSpacing"/>
        <w:rPr>
          <w:rFonts w:ascii="Arial Black" w:hAnsi="Arial Black"/>
          <w:sz w:val="28"/>
          <w:szCs w:val="28"/>
        </w:rPr>
      </w:pPr>
      <w:r>
        <w:rPr>
          <w:rFonts w:ascii="Arial Black" w:hAnsi="Arial Black"/>
          <w:sz w:val="28"/>
          <w:szCs w:val="28"/>
        </w:rPr>
        <w:t>3-33</w:t>
      </w:r>
    </w:p>
    <w:p w14:paraId="49E60C43" w14:textId="19713F22" w:rsidR="000915C1" w:rsidRDefault="000915C1" w:rsidP="00F326E5">
      <w:pPr>
        <w:pStyle w:val="NoSpacing"/>
        <w:rPr>
          <w:rFonts w:ascii="Arial Black" w:hAnsi="Arial Black"/>
          <w:sz w:val="28"/>
          <w:szCs w:val="28"/>
        </w:rPr>
      </w:pPr>
    </w:p>
    <w:p w14:paraId="2C9A1C86" w14:textId="77777777" w:rsidR="000915C1" w:rsidRPr="001563B3" w:rsidRDefault="000915C1" w:rsidP="000915C1">
      <w:pPr>
        <w:pStyle w:val="NoSpacing"/>
        <w:rPr>
          <w:rFonts w:ascii="Times New Roman" w:eastAsia="Times New Roman" w:hAnsi="Times New Roman"/>
          <w:sz w:val="24"/>
          <w:szCs w:val="24"/>
          <w:u w:val="single"/>
        </w:rPr>
      </w:pPr>
      <w:r>
        <w:rPr>
          <w:rFonts w:ascii="Arial Black" w:hAnsi="Arial Black"/>
          <w:sz w:val="28"/>
          <w:szCs w:val="28"/>
        </w:rPr>
        <w:t xml:space="preserve">NY:  TERRORIST 1993 WORLD TRADE - HUNGER STRIKE FED. MAX PRISON, FORCED FEEDING – EMPLOYEE PRIVACY </w:t>
      </w:r>
    </w:p>
    <w:p w14:paraId="2F4509A9" w14:textId="77777777" w:rsidR="000915C1" w:rsidRDefault="000915C1" w:rsidP="000915C1">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u w:val="single"/>
        </w:rPr>
        <w:t xml:space="preserve">Aviva Stahl v. Department of Justice and Federal Bureau </w:t>
      </w:r>
      <w:r w:rsidRPr="001563B3">
        <w:rPr>
          <w:rFonts w:ascii="Times New Roman" w:eastAsia="Times New Roman" w:hAnsi="Times New Roman"/>
          <w:sz w:val="24"/>
          <w:szCs w:val="24"/>
          <w:u w:val="single"/>
        </w:rPr>
        <w:t>of Prisons</w:t>
      </w:r>
      <w:r>
        <w:rPr>
          <w:rFonts w:ascii="Times New Roman" w:eastAsia="Times New Roman" w:hAnsi="Times New Roman"/>
          <w:sz w:val="24"/>
          <w:szCs w:val="24"/>
        </w:rPr>
        <w:t xml:space="preserve">, U.S. District Court Judge Brian M. Cogan, U.S. District Court for the Eastern District of New York (Brooklyn), an investigative journalist, Aviva Stahl, filed a Freedom of Information Act lawsuit for the videotaped of the “forced feedings.”  Judge Cogan held that segments of the video are protected from disclosure under FOIA, including the names / faces of the medical staff who participated in the procedures.   </w:t>
      </w:r>
    </w:p>
    <w:p w14:paraId="06906F17" w14:textId="77777777" w:rsidR="000915C1" w:rsidRPr="001563B3" w:rsidRDefault="000915C1" w:rsidP="000915C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1563B3">
        <w:rPr>
          <w:rFonts w:ascii="Times New Roman" w:eastAsia="Times New Roman" w:hAnsi="Times New Roman"/>
          <w:sz w:val="24"/>
          <w:szCs w:val="24"/>
        </w:rPr>
        <w:t>Convicted for his role in the 1993 terrorist attacks on the World Trade Center, Mohammad Salameh was incarcerated at the United States Penitentiary, Administrative Maximum Facility in Florence, Colorado ("Florence ADX"). During his time there, Salameh went on several hunger strikes. The last one ended in procedures whereby Salameh received food and rehydration through intravenous therapy and a nasogastric tube. An investigative journalist, plaintiff Aviva Stahl, now seeks access to those videos under the Freedom of Information Act. She has sued the Bureau of Prisons and the Department of Justice, and before me are the parties' cross-motions for summary judgment.</w:t>
      </w:r>
    </w:p>
    <w:p w14:paraId="6E027EE6" w14:textId="77777777" w:rsidR="000915C1" w:rsidRDefault="000915C1" w:rsidP="000915C1">
      <w:pPr>
        <w:spacing w:before="100" w:beforeAutospacing="1" w:after="100" w:afterAutospacing="1" w:line="240" w:lineRule="auto"/>
        <w:ind w:left="720"/>
        <w:rPr>
          <w:rFonts w:ascii="Times New Roman" w:eastAsia="Times New Roman" w:hAnsi="Times New Roman"/>
          <w:sz w:val="24"/>
          <w:szCs w:val="24"/>
        </w:rPr>
      </w:pPr>
      <w:r w:rsidRPr="001563B3">
        <w:rPr>
          <w:rFonts w:ascii="Times New Roman" w:eastAsia="Times New Roman" w:hAnsi="Times New Roman"/>
          <w:sz w:val="24"/>
          <w:szCs w:val="24"/>
        </w:rPr>
        <w:t>I conclude that certain segments of the videos fall within FOIA exemptions. As to these segments, defendants' motion is granted and plaintiff's motion is denied. For the remainder of the videos, however, the record lacks sufficient information to show whether the exempt information is reasonably segregable from the non-exempt information. As to these segments, I reserve judgment on the parties' motions. The parties shall submit supplemental memoranda and evidence addressing the remaining portion of the videos as set forth below.</w:t>
      </w:r>
    </w:p>
    <w:p w14:paraId="70CB2A93" w14:textId="77777777" w:rsidR="000915C1" w:rsidRDefault="000915C1" w:rsidP="000915C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3D2D2E55" w14:textId="77777777" w:rsidR="000915C1" w:rsidRDefault="000915C1" w:rsidP="000915C1">
      <w:pPr>
        <w:pStyle w:val="NoSpacing"/>
        <w:ind w:left="720"/>
        <w:rPr>
          <w:rFonts w:ascii="Times New Roman" w:hAnsi="Times New Roman"/>
          <w:sz w:val="24"/>
          <w:szCs w:val="24"/>
        </w:rPr>
      </w:pPr>
      <w:r w:rsidRPr="00613B5B">
        <w:rPr>
          <w:rFonts w:ascii="Times New Roman" w:hAnsi="Times New Roman"/>
          <w:sz w:val="24"/>
          <w:szCs w:val="24"/>
        </w:rPr>
        <w:lastRenderedPageBreak/>
        <w:t>Although plaintiff stresses that defendants disclosed the names of the medical staff who participated in the procedures when defendants released Salameh's medical records, I conclude that the staff still have a privacy interest in the visual depictions of them performing the procedures.</w:t>
      </w:r>
      <w:r>
        <w:rPr>
          <w:rFonts w:ascii="Times New Roman" w:hAnsi="Times New Roman"/>
          <w:sz w:val="24"/>
          <w:szCs w:val="24"/>
        </w:rPr>
        <w:t xml:space="preserve">”  </w:t>
      </w:r>
      <w:hyperlink r:id="rId802" w:history="1">
        <w:r w:rsidRPr="00B568EC">
          <w:rPr>
            <w:rStyle w:val="Hyperlink"/>
            <w:rFonts w:ascii="Times New Roman" w:hAnsi="Times New Roman"/>
            <w:sz w:val="24"/>
            <w:szCs w:val="24"/>
          </w:rPr>
          <w:t>https://casetext.com/case/stahl-v-dept-of-justice</w:t>
        </w:r>
      </w:hyperlink>
      <w:r>
        <w:rPr>
          <w:rFonts w:ascii="Times New Roman" w:hAnsi="Times New Roman"/>
          <w:sz w:val="24"/>
          <w:szCs w:val="24"/>
        </w:rPr>
        <w:t xml:space="preserve"> </w:t>
      </w:r>
    </w:p>
    <w:p w14:paraId="3C7F4FFC" w14:textId="77777777" w:rsidR="000915C1" w:rsidRPr="00E44EF4" w:rsidRDefault="000915C1" w:rsidP="000915C1">
      <w:pPr>
        <w:spacing w:before="100" w:beforeAutospacing="1" w:after="100" w:afterAutospacing="1" w:line="240" w:lineRule="auto"/>
        <w:rPr>
          <w:rFonts w:ascii="Times New Roman" w:eastAsia="Times New Roman" w:hAnsi="Times New Roman"/>
          <w:b/>
          <w:bCs/>
          <w:sz w:val="24"/>
          <w:szCs w:val="24"/>
        </w:rPr>
      </w:pPr>
      <w:r w:rsidRPr="00E44EF4">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 privacy of </w:t>
      </w:r>
      <w:proofErr w:type="gramStart"/>
      <w:r>
        <w:rPr>
          <w:rFonts w:ascii="Times New Roman" w:eastAsia="Times New Roman" w:hAnsi="Times New Roman"/>
          <w:b/>
          <w:bCs/>
          <w:sz w:val="24"/>
          <w:szCs w:val="24"/>
        </w:rPr>
        <w:t>Medical</w:t>
      </w:r>
      <w:proofErr w:type="gramEnd"/>
      <w:r>
        <w:rPr>
          <w:rFonts w:ascii="Times New Roman" w:eastAsia="Times New Roman" w:hAnsi="Times New Roman"/>
          <w:b/>
          <w:bCs/>
          <w:sz w:val="24"/>
          <w:szCs w:val="24"/>
        </w:rPr>
        <w:t xml:space="preserve"> personnel participating in the videotaped “forced feedings” has been protected. </w:t>
      </w:r>
    </w:p>
    <w:p w14:paraId="6A398A66" w14:textId="77777777" w:rsidR="000915C1" w:rsidRDefault="000915C1" w:rsidP="00F326E5">
      <w:pPr>
        <w:pStyle w:val="NoSpacing"/>
        <w:rPr>
          <w:rFonts w:ascii="Arial Black" w:hAnsi="Arial Black"/>
          <w:sz w:val="28"/>
          <w:szCs w:val="28"/>
        </w:rPr>
      </w:pPr>
    </w:p>
    <w:p w14:paraId="2BC9217F" w14:textId="77777777" w:rsidR="000915C1" w:rsidRDefault="000915C1" w:rsidP="00F326E5">
      <w:pPr>
        <w:pStyle w:val="NoSpacing"/>
        <w:rPr>
          <w:rFonts w:ascii="Arial Black" w:hAnsi="Arial Black"/>
          <w:sz w:val="28"/>
          <w:szCs w:val="28"/>
        </w:rPr>
      </w:pPr>
    </w:p>
    <w:p w14:paraId="2AC8F8C9" w14:textId="77777777" w:rsidR="000915C1" w:rsidRDefault="000915C1" w:rsidP="00F326E5">
      <w:pPr>
        <w:pStyle w:val="NoSpacing"/>
        <w:rPr>
          <w:rFonts w:ascii="Arial Black" w:hAnsi="Arial Black"/>
          <w:sz w:val="28"/>
          <w:szCs w:val="28"/>
        </w:rPr>
      </w:pPr>
    </w:p>
    <w:p w14:paraId="5F563CF0" w14:textId="5E16C679" w:rsidR="000915C1" w:rsidRDefault="000915C1" w:rsidP="00F326E5">
      <w:pPr>
        <w:pStyle w:val="NoSpacing"/>
        <w:rPr>
          <w:rFonts w:ascii="Arial Black" w:hAnsi="Arial Black"/>
          <w:sz w:val="28"/>
          <w:szCs w:val="28"/>
        </w:rPr>
      </w:pPr>
      <w:r>
        <w:rPr>
          <w:rFonts w:ascii="Arial Black" w:hAnsi="Arial Black"/>
          <w:sz w:val="28"/>
          <w:szCs w:val="28"/>
        </w:rPr>
        <w:t>3-32</w:t>
      </w:r>
    </w:p>
    <w:p w14:paraId="68755BAB" w14:textId="794AAE45" w:rsidR="000915C1" w:rsidRDefault="000915C1" w:rsidP="00F326E5">
      <w:pPr>
        <w:pStyle w:val="NoSpacing"/>
        <w:rPr>
          <w:rFonts w:ascii="Arial Black" w:hAnsi="Arial Black"/>
          <w:sz w:val="28"/>
          <w:szCs w:val="28"/>
        </w:rPr>
      </w:pPr>
    </w:p>
    <w:p w14:paraId="231D26E8" w14:textId="53834A67" w:rsidR="000915C1" w:rsidRPr="00BE2CAC" w:rsidRDefault="000915C1" w:rsidP="000915C1">
      <w:pPr>
        <w:pStyle w:val="NoSpacing"/>
        <w:rPr>
          <w:rFonts w:ascii="Arial Black" w:hAnsi="Arial Black"/>
          <w:sz w:val="28"/>
          <w:szCs w:val="28"/>
        </w:rPr>
      </w:pPr>
      <w:r>
        <w:rPr>
          <w:rFonts w:ascii="Arial Black" w:hAnsi="Arial Black"/>
          <w:sz w:val="28"/>
          <w:szCs w:val="28"/>
        </w:rPr>
        <w:t>VA: 4</w:t>
      </w:r>
      <w:r w:rsidRPr="00BE2CAC">
        <w:rPr>
          <w:rFonts w:ascii="Arial Black" w:hAnsi="Arial Black"/>
          <w:sz w:val="28"/>
          <w:szCs w:val="28"/>
          <w:vertAlign w:val="superscript"/>
        </w:rPr>
        <w:t>th</w:t>
      </w:r>
      <w:r>
        <w:rPr>
          <w:rFonts w:ascii="Arial Black" w:hAnsi="Arial Black"/>
          <w:sz w:val="28"/>
          <w:szCs w:val="28"/>
        </w:rPr>
        <w:t xml:space="preserve"> CIRCUIT UPHOLDS FBI TERRORIST “WATCHLIST” -</w:t>
      </w:r>
      <w:r w:rsidR="00F82922">
        <w:rPr>
          <w:rFonts w:ascii="Arial Black" w:hAnsi="Arial Black"/>
          <w:sz w:val="28"/>
          <w:szCs w:val="28"/>
        </w:rPr>
        <w:t xml:space="preserve"> </w:t>
      </w:r>
      <w:r>
        <w:rPr>
          <w:rFonts w:ascii="Arial Black" w:hAnsi="Arial Black"/>
          <w:sz w:val="28"/>
          <w:szCs w:val="28"/>
        </w:rPr>
        <w:t>DUE PROCESS, SEEK REMOVAL BY FBI OR GO TO COURT</w:t>
      </w:r>
    </w:p>
    <w:p w14:paraId="306A56B1" w14:textId="77777777" w:rsidR="000915C1" w:rsidRDefault="000915C1" w:rsidP="000915C1">
      <w:pPr>
        <w:pStyle w:val="NoSpacing"/>
        <w:rPr>
          <w:rFonts w:ascii="Times New Roman" w:hAnsi="Times New Roman"/>
          <w:sz w:val="24"/>
          <w:szCs w:val="24"/>
        </w:rPr>
      </w:pPr>
    </w:p>
    <w:p w14:paraId="7A8C97EB" w14:textId="77777777" w:rsidR="000915C1" w:rsidRDefault="000915C1" w:rsidP="000915C1">
      <w:pPr>
        <w:pStyle w:val="NoSpacing"/>
        <w:rPr>
          <w:rFonts w:ascii="Times New Roman" w:hAnsi="Times New Roman"/>
          <w:sz w:val="24"/>
          <w:szCs w:val="24"/>
        </w:rPr>
      </w:pPr>
      <w:r>
        <w:rPr>
          <w:rFonts w:ascii="Times New Roman" w:hAnsi="Times New Roman"/>
          <w:sz w:val="24"/>
          <w:szCs w:val="24"/>
        </w:rPr>
        <w:t xml:space="preserve">On March 30, 2021, in </w:t>
      </w:r>
      <w:r w:rsidRPr="00BE2CAC">
        <w:rPr>
          <w:rFonts w:ascii="Times New Roman" w:hAnsi="Times New Roman"/>
          <w:sz w:val="24"/>
          <w:szCs w:val="24"/>
          <w:u w:val="single"/>
        </w:rPr>
        <w:t>Anas Elhady, et al. v. Charles H. Kable, Director of the Terrorist Screen Center, et al</w:t>
      </w:r>
      <w:r>
        <w:rPr>
          <w:rFonts w:ascii="Times New Roman" w:hAnsi="Times New Roman"/>
          <w:sz w:val="24"/>
          <w:szCs w:val="24"/>
        </w:rPr>
        <w:t>., the U.S. Court of Appeals for the 4</w:t>
      </w:r>
      <w:r w:rsidRPr="00BE2CAC">
        <w:rPr>
          <w:rFonts w:ascii="Times New Roman" w:hAnsi="Times New Roman"/>
          <w:sz w:val="24"/>
          <w:szCs w:val="24"/>
          <w:vertAlign w:val="superscript"/>
        </w:rPr>
        <w:t>th</w:t>
      </w:r>
      <w:r>
        <w:rPr>
          <w:rFonts w:ascii="Times New Roman" w:hAnsi="Times New Roman"/>
          <w:sz w:val="24"/>
          <w:szCs w:val="24"/>
        </w:rPr>
        <w:t xml:space="preserve"> Circuit (Richmond, VA), held (3 to 0) that the Terrorist Screening Database provides adequate due process protection for those seeking to get removed from the list. There are 1,160,000 individuals currently on the list, including about 4,600 U.S. citizens. Plaintiffs are 23 individuals complaining about their disruptions at airports; none have been barred from taking flights [not therefore are on the </w:t>
      </w:r>
      <w:proofErr w:type="gramStart"/>
      <w:r>
        <w:rPr>
          <w:rFonts w:ascii="Times New Roman" w:hAnsi="Times New Roman"/>
          <w:sz w:val="24"/>
          <w:szCs w:val="24"/>
        </w:rPr>
        <w:t>No Fly</w:t>
      </w:r>
      <w:proofErr w:type="gramEnd"/>
      <w:r>
        <w:rPr>
          <w:rFonts w:ascii="Times New Roman" w:hAnsi="Times New Roman"/>
          <w:sz w:val="24"/>
          <w:szCs w:val="24"/>
        </w:rPr>
        <w:t xml:space="preserve"> List] or when crossing the border into Mexico or Canada.  The Court reversed a U.S. District Court judge; two other Circuits have also upheld the watchlist due process procedures.</w:t>
      </w:r>
    </w:p>
    <w:p w14:paraId="7EAD077B" w14:textId="77777777" w:rsidR="000915C1" w:rsidRDefault="000915C1" w:rsidP="000915C1">
      <w:pPr>
        <w:pStyle w:val="NoSpacing"/>
        <w:rPr>
          <w:rFonts w:ascii="Times New Roman" w:hAnsi="Times New Roman"/>
          <w:sz w:val="24"/>
          <w:szCs w:val="24"/>
        </w:rPr>
      </w:pPr>
    </w:p>
    <w:p w14:paraId="4F04F64A" w14:textId="77777777" w:rsidR="000915C1" w:rsidRPr="00BE2CAC" w:rsidRDefault="000915C1" w:rsidP="000915C1">
      <w:pPr>
        <w:pStyle w:val="NoSpacing"/>
        <w:ind w:left="720"/>
        <w:rPr>
          <w:rFonts w:ascii="Times New Roman" w:eastAsia="Times New Roman" w:hAnsi="Times New Roman"/>
          <w:b/>
          <w:bCs/>
          <w:sz w:val="24"/>
          <w:szCs w:val="24"/>
        </w:rPr>
      </w:pPr>
      <w:r>
        <w:rPr>
          <w:rFonts w:ascii="Times New Roman" w:hAnsi="Times New Roman"/>
          <w:sz w:val="24"/>
          <w:szCs w:val="24"/>
        </w:rPr>
        <w:t>“</w:t>
      </w:r>
      <w:r w:rsidRPr="00BE2CAC">
        <w:rPr>
          <w:rFonts w:ascii="Times New Roman" w:hAnsi="Times New Roman"/>
          <w:sz w:val="24"/>
          <w:szCs w:val="24"/>
        </w:rPr>
        <w:t xml:space="preserve">The term </w:t>
      </w:r>
      <w:r>
        <w:rPr>
          <w:rFonts w:ascii="Times New Roman" w:hAnsi="Times New Roman"/>
          <w:sz w:val="24"/>
          <w:szCs w:val="24"/>
        </w:rPr>
        <w:t>‘</w:t>
      </w:r>
      <w:r w:rsidRPr="00BE2CAC">
        <w:rPr>
          <w:rFonts w:ascii="Times New Roman" w:hAnsi="Times New Roman"/>
          <w:sz w:val="24"/>
          <w:szCs w:val="24"/>
        </w:rPr>
        <w:t>national security</w:t>
      </w:r>
      <w:r>
        <w:rPr>
          <w:rFonts w:ascii="Times New Roman" w:hAnsi="Times New Roman"/>
          <w:sz w:val="24"/>
          <w:szCs w:val="24"/>
        </w:rPr>
        <w:t>’</w:t>
      </w:r>
      <w:r w:rsidRPr="00BE2CAC">
        <w:rPr>
          <w:rFonts w:ascii="Times New Roman" w:hAnsi="Times New Roman"/>
          <w:sz w:val="24"/>
          <w:szCs w:val="24"/>
        </w:rPr>
        <w:t xml:space="preserve"> is too often bandied loosely and carelessly about, but this is no program of marginal consequence. It lies at the very heart of our country’s effort to identify those who would inflict upon the public irretrievable loss and irreparable mass </w:t>
      </w:r>
      <w:proofErr w:type="gramStart"/>
      <w:r w:rsidRPr="00BE2CAC">
        <w:rPr>
          <w:rFonts w:ascii="Times New Roman" w:hAnsi="Times New Roman"/>
          <w:sz w:val="24"/>
          <w:szCs w:val="24"/>
        </w:rPr>
        <w:t>harms</w:t>
      </w:r>
      <w:proofErr w:type="gramEnd"/>
      <w:r w:rsidRPr="00BE2CAC">
        <w:rPr>
          <w:rFonts w:ascii="Times New Roman" w:hAnsi="Times New Roman"/>
          <w:sz w:val="24"/>
          <w:szCs w:val="24"/>
        </w:rPr>
        <w:t>. By bringing this across-the-board attack on a system vital to public safety—rather</w:t>
      </w:r>
      <w:r>
        <w:rPr>
          <w:rFonts w:ascii="Times New Roman" w:hAnsi="Times New Roman"/>
          <w:sz w:val="24"/>
          <w:szCs w:val="24"/>
        </w:rPr>
        <w:t xml:space="preserve"> </w:t>
      </w:r>
      <w:r w:rsidRPr="00BE2CAC">
        <w:rPr>
          <w:rFonts w:ascii="Times New Roman" w:hAnsi="Times New Roman"/>
          <w:sz w:val="24"/>
          <w:szCs w:val="24"/>
        </w:rPr>
        <w:t xml:space="preserve">than more focused individual challenges to </w:t>
      </w:r>
      <w:proofErr w:type="gramStart"/>
      <w:r w:rsidRPr="00BE2CAC">
        <w:rPr>
          <w:rFonts w:ascii="Times New Roman" w:hAnsi="Times New Roman"/>
          <w:sz w:val="24"/>
          <w:szCs w:val="24"/>
        </w:rPr>
        <w:t>particular law</w:t>
      </w:r>
      <w:proofErr w:type="gramEnd"/>
      <w:r w:rsidRPr="00BE2CAC">
        <w:rPr>
          <w:rFonts w:ascii="Times New Roman" w:hAnsi="Times New Roman"/>
          <w:sz w:val="24"/>
          <w:szCs w:val="24"/>
        </w:rPr>
        <w:t xml:space="preserve"> enforcement actions—plaintiffs</w:t>
      </w:r>
      <w:r>
        <w:rPr>
          <w:rFonts w:ascii="Times New Roman" w:hAnsi="Times New Roman"/>
          <w:sz w:val="24"/>
          <w:szCs w:val="24"/>
        </w:rPr>
        <w:t xml:space="preserve"> </w:t>
      </w:r>
      <w:r w:rsidRPr="00BE2CAC">
        <w:rPr>
          <w:rFonts w:ascii="Times New Roman" w:hAnsi="Times New Roman"/>
          <w:sz w:val="24"/>
          <w:szCs w:val="24"/>
        </w:rPr>
        <w:t>face a demanding legal standard. Procedural due process claims require showing that the government violated constitutionally protected liberty interests. Plaintiffs cannot meet that burden. The government has had authority to regulate travel and control the border since the beginning of the nation. Indeed, this authority is a core attribute of sovereignty. The delays and burdens experienced by plaintiffs at the border and in airports, although regrettable, do not mandate a complete overhaul of the TSDB.</w:t>
      </w:r>
      <w:r>
        <w:rPr>
          <w:rFonts w:ascii="Times New Roman" w:hAnsi="Times New Roman"/>
          <w:sz w:val="24"/>
          <w:szCs w:val="24"/>
        </w:rPr>
        <w:t xml:space="preserve">” </w:t>
      </w:r>
      <w:hyperlink r:id="rId803" w:history="1">
        <w:r w:rsidRPr="001A09F3">
          <w:rPr>
            <w:rStyle w:val="Hyperlink"/>
            <w:rFonts w:ascii="Times New Roman" w:hAnsi="Times New Roman"/>
            <w:sz w:val="24"/>
            <w:szCs w:val="24"/>
          </w:rPr>
          <w:t>https://www.ca4.uscourts.gov/opinions/201119.P.pdf</w:t>
        </w:r>
      </w:hyperlink>
      <w:r>
        <w:rPr>
          <w:rFonts w:ascii="Times New Roman" w:hAnsi="Times New Roman"/>
          <w:sz w:val="24"/>
          <w:szCs w:val="24"/>
        </w:rPr>
        <w:t xml:space="preserve"> </w:t>
      </w:r>
    </w:p>
    <w:p w14:paraId="410C96A3" w14:textId="5B6B2959" w:rsidR="000915C1" w:rsidRDefault="000915C1" w:rsidP="00F326E5">
      <w:pPr>
        <w:pStyle w:val="NoSpacing"/>
        <w:rPr>
          <w:rFonts w:ascii="Arial Black" w:hAnsi="Arial Black"/>
          <w:sz w:val="28"/>
          <w:szCs w:val="28"/>
        </w:rPr>
      </w:pPr>
    </w:p>
    <w:p w14:paraId="535B3C6E" w14:textId="620EEB3B" w:rsidR="000915C1" w:rsidRPr="008C2C03" w:rsidRDefault="000915C1" w:rsidP="000915C1">
      <w:pPr>
        <w:pStyle w:val="NoSpacing"/>
        <w:rPr>
          <w:rFonts w:ascii="Times New Roman" w:hAnsi="Times New Roman"/>
          <w:b/>
          <w:bCs/>
          <w:sz w:val="24"/>
          <w:szCs w:val="24"/>
        </w:rPr>
      </w:pPr>
      <w:r w:rsidRPr="008C2C03">
        <w:rPr>
          <w:rFonts w:ascii="Times New Roman" w:hAnsi="Times New Roman"/>
          <w:b/>
          <w:bCs/>
          <w:sz w:val="24"/>
          <w:szCs w:val="24"/>
        </w:rPr>
        <w:t>Legal Lesson Learned:</w:t>
      </w:r>
      <w:r>
        <w:rPr>
          <w:rFonts w:ascii="Times New Roman" w:hAnsi="Times New Roman"/>
          <w:b/>
          <w:bCs/>
          <w:sz w:val="24"/>
          <w:szCs w:val="24"/>
        </w:rPr>
        <w:t xml:space="preserve">  The 4</w:t>
      </w:r>
      <w:r w:rsidRPr="008C2C03">
        <w:rPr>
          <w:rFonts w:ascii="Times New Roman" w:hAnsi="Times New Roman"/>
          <w:b/>
          <w:bCs/>
          <w:sz w:val="24"/>
          <w:szCs w:val="24"/>
          <w:vertAlign w:val="superscript"/>
        </w:rPr>
        <w:t>th</w:t>
      </w:r>
      <w:r>
        <w:rPr>
          <w:rFonts w:ascii="Times New Roman" w:hAnsi="Times New Roman"/>
          <w:b/>
          <w:bCs/>
          <w:sz w:val="24"/>
          <w:szCs w:val="24"/>
        </w:rPr>
        <w:t xml:space="preserve"> Circuit, like the 6</w:t>
      </w:r>
      <w:r w:rsidRPr="008C2C03">
        <w:rPr>
          <w:rFonts w:ascii="Times New Roman" w:hAnsi="Times New Roman"/>
          <w:b/>
          <w:bCs/>
          <w:sz w:val="24"/>
          <w:szCs w:val="24"/>
          <w:vertAlign w:val="superscript"/>
        </w:rPr>
        <w:t>th</w:t>
      </w:r>
      <w:r>
        <w:rPr>
          <w:rFonts w:ascii="Times New Roman" w:hAnsi="Times New Roman"/>
          <w:b/>
          <w:bCs/>
          <w:sz w:val="24"/>
          <w:szCs w:val="24"/>
        </w:rPr>
        <w:t xml:space="preserve"> and 10</w:t>
      </w:r>
      <w:r w:rsidRPr="008C2C03">
        <w:rPr>
          <w:rFonts w:ascii="Times New Roman" w:hAnsi="Times New Roman"/>
          <w:b/>
          <w:bCs/>
          <w:sz w:val="24"/>
          <w:szCs w:val="24"/>
          <w:vertAlign w:val="superscript"/>
        </w:rPr>
        <w:t>th</w:t>
      </w:r>
      <w:r>
        <w:rPr>
          <w:rFonts w:ascii="Times New Roman" w:hAnsi="Times New Roman"/>
          <w:b/>
          <w:bCs/>
          <w:sz w:val="24"/>
          <w:szCs w:val="24"/>
        </w:rPr>
        <w:t xml:space="preserve"> Circuits, has upheld the watchlist program to protect our nation’s security. </w:t>
      </w:r>
    </w:p>
    <w:p w14:paraId="391E1D6A" w14:textId="77777777" w:rsidR="000915C1" w:rsidRDefault="000915C1" w:rsidP="00F326E5">
      <w:pPr>
        <w:pStyle w:val="NoSpacing"/>
        <w:rPr>
          <w:rFonts w:ascii="Arial Black" w:hAnsi="Arial Black"/>
          <w:sz w:val="28"/>
          <w:szCs w:val="28"/>
        </w:rPr>
      </w:pPr>
    </w:p>
    <w:p w14:paraId="0391AA10" w14:textId="77777777" w:rsidR="000915C1" w:rsidRDefault="000915C1" w:rsidP="00F326E5">
      <w:pPr>
        <w:pStyle w:val="NoSpacing"/>
        <w:rPr>
          <w:rFonts w:ascii="Arial Black" w:hAnsi="Arial Black"/>
          <w:sz w:val="28"/>
          <w:szCs w:val="28"/>
        </w:rPr>
      </w:pPr>
    </w:p>
    <w:p w14:paraId="34403432" w14:textId="0A6C9B62" w:rsidR="000915C1" w:rsidRDefault="000915C1" w:rsidP="00F326E5">
      <w:pPr>
        <w:pStyle w:val="NoSpacing"/>
        <w:rPr>
          <w:rFonts w:ascii="Arial Black" w:hAnsi="Arial Black"/>
          <w:sz w:val="28"/>
          <w:szCs w:val="28"/>
        </w:rPr>
      </w:pPr>
      <w:r>
        <w:rPr>
          <w:rFonts w:ascii="Arial Black" w:hAnsi="Arial Black"/>
          <w:sz w:val="28"/>
          <w:szCs w:val="28"/>
        </w:rPr>
        <w:t>3-31</w:t>
      </w:r>
    </w:p>
    <w:p w14:paraId="4FCEACC7" w14:textId="46C731CC" w:rsidR="000915C1" w:rsidRDefault="000915C1" w:rsidP="00F326E5">
      <w:pPr>
        <w:pStyle w:val="NoSpacing"/>
        <w:rPr>
          <w:rFonts w:ascii="Arial Black" w:hAnsi="Arial Black"/>
          <w:sz w:val="28"/>
          <w:szCs w:val="28"/>
        </w:rPr>
      </w:pPr>
    </w:p>
    <w:p w14:paraId="2F8EC9CC" w14:textId="77777777" w:rsidR="000915C1" w:rsidRPr="002F56FE" w:rsidRDefault="000915C1" w:rsidP="000915C1">
      <w:pPr>
        <w:pStyle w:val="NoSpacing"/>
        <w:rPr>
          <w:rFonts w:ascii="Arial Black" w:hAnsi="Arial Black"/>
          <w:sz w:val="28"/>
          <w:szCs w:val="28"/>
        </w:rPr>
      </w:pPr>
      <w:r>
        <w:rPr>
          <w:rFonts w:ascii="Arial Black" w:hAnsi="Arial Black"/>
          <w:sz w:val="28"/>
          <w:szCs w:val="28"/>
        </w:rPr>
        <w:t>U.S. SUPREME COURT: MEXICAN CITIZEN IN U.S. 25 YEARS – CAN BE DEPORTED – USED FAKE SOCIAL SECURITY CARD</w:t>
      </w:r>
    </w:p>
    <w:p w14:paraId="13E06B1B" w14:textId="12D54FA8" w:rsidR="000915C1" w:rsidRDefault="000915C1" w:rsidP="000915C1">
      <w:pPr>
        <w:spacing w:before="100" w:beforeAutospacing="1" w:after="100" w:afterAutospacing="1" w:line="240" w:lineRule="auto"/>
        <w:rPr>
          <w:rFonts w:ascii="Times New Roman" w:hAnsi="Times New Roman"/>
          <w:sz w:val="24"/>
          <w:szCs w:val="24"/>
        </w:rPr>
      </w:pPr>
      <w:r w:rsidRPr="002F56FE">
        <w:rPr>
          <w:rFonts w:ascii="Times New Roman" w:hAnsi="Times New Roman"/>
          <w:sz w:val="24"/>
          <w:szCs w:val="24"/>
        </w:rPr>
        <w:t xml:space="preserve">On March 4, 2021, in </w:t>
      </w:r>
      <w:r w:rsidRPr="00F3033E">
        <w:rPr>
          <w:rFonts w:ascii="Times New Roman" w:hAnsi="Times New Roman"/>
          <w:sz w:val="24"/>
          <w:szCs w:val="24"/>
          <w:u w:val="single"/>
        </w:rPr>
        <w:t>Avelino Pereida v. Monty Wilkinson, Acting Attorney General</w:t>
      </w:r>
      <w:r w:rsidRPr="002F56FE">
        <w:rPr>
          <w:rFonts w:ascii="Times New Roman" w:hAnsi="Times New Roman"/>
          <w:sz w:val="24"/>
          <w:szCs w:val="24"/>
        </w:rPr>
        <w:t xml:space="preserve">, </w:t>
      </w:r>
      <w:r>
        <w:rPr>
          <w:rFonts w:ascii="Times New Roman" w:hAnsi="Times New Roman"/>
          <w:sz w:val="24"/>
          <w:szCs w:val="24"/>
        </w:rPr>
        <w:t xml:space="preserve">the U.S. Supreme Court held (5 to 3) that Mr. Pereida, a </w:t>
      </w:r>
      <w:r w:rsidRPr="00F3033E">
        <w:rPr>
          <w:rFonts w:ascii="Times New Roman" w:hAnsi="Times New Roman"/>
          <w:sz w:val="24"/>
          <w:szCs w:val="24"/>
        </w:rPr>
        <w:t xml:space="preserve">nonpermanent alien </w:t>
      </w:r>
      <w:r>
        <w:rPr>
          <w:rFonts w:ascii="Times New Roman" w:hAnsi="Times New Roman"/>
          <w:sz w:val="24"/>
          <w:szCs w:val="24"/>
        </w:rPr>
        <w:t xml:space="preserve">in the U.S. for 25 years, and he and his wife raised three </w:t>
      </w:r>
      <w:r>
        <w:rPr>
          <w:rFonts w:ascii="Times New Roman" w:hAnsi="Times New Roman"/>
          <w:sz w:val="24"/>
          <w:szCs w:val="24"/>
        </w:rPr>
        <w:lastRenderedPageBreak/>
        <w:t xml:space="preserve">children, sought </w:t>
      </w:r>
      <w:r w:rsidRPr="00F3033E">
        <w:rPr>
          <w:rFonts w:ascii="Times New Roman" w:hAnsi="Times New Roman"/>
          <w:sz w:val="24"/>
          <w:szCs w:val="24"/>
        </w:rPr>
        <w:t>to cancel a lawful removal order must prove that they have not been convicted of a disqualifying crime</w:t>
      </w:r>
      <w:r>
        <w:rPr>
          <w:rFonts w:ascii="Times New Roman" w:hAnsi="Times New Roman"/>
          <w:sz w:val="24"/>
          <w:szCs w:val="24"/>
        </w:rPr>
        <w:t xml:space="preserve"> (crime of “moral turpitude”)</w:t>
      </w:r>
      <w:r w:rsidRPr="00F3033E">
        <w:rPr>
          <w:rFonts w:ascii="Times New Roman" w:hAnsi="Times New Roman"/>
          <w:sz w:val="24"/>
          <w:szCs w:val="24"/>
        </w:rPr>
        <w:t xml:space="preserve">. </w:t>
      </w:r>
      <w:r>
        <w:rPr>
          <w:rFonts w:ascii="Times New Roman" w:hAnsi="Times New Roman"/>
          <w:sz w:val="24"/>
          <w:szCs w:val="24"/>
        </w:rPr>
        <w:t xml:space="preserve"> In 2010, he was charge</w:t>
      </w:r>
      <w:r w:rsidR="006F4E6C">
        <w:rPr>
          <w:rFonts w:ascii="Times New Roman" w:hAnsi="Times New Roman"/>
          <w:sz w:val="24"/>
          <w:szCs w:val="24"/>
        </w:rPr>
        <w:t>d</w:t>
      </w:r>
      <w:r>
        <w:rPr>
          <w:rFonts w:ascii="Times New Roman" w:hAnsi="Times New Roman"/>
          <w:sz w:val="24"/>
          <w:szCs w:val="24"/>
        </w:rPr>
        <w:t xml:space="preserve"> in Nebraska with the crime of using a false Social Security Card to get employment as a janitor, plead nolo </w:t>
      </w:r>
      <w:r w:rsidRPr="00F3033E">
        <w:rPr>
          <w:rFonts w:ascii="Times New Roman" w:hAnsi="Times New Roman"/>
          <w:sz w:val="24"/>
          <w:szCs w:val="24"/>
        </w:rPr>
        <w:t>contendere</w:t>
      </w:r>
      <w:r>
        <w:rPr>
          <w:rFonts w:ascii="Times New Roman" w:hAnsi="Times New Roman"/>
          <w:sz w:val="24"/>
          <w:szCs w:val="24"/>
        </w:rPr>
        <w:t xml:space="preserve"> [no contest] and was fined $100. </w:t>
      </w:r>
    </w:p>
    <w:p w14:paraId="2379B60A" w14:textId="1C5D92C3" w:rsidR="000915C1" w:rsidRPr="000915C1" w:rsidRDefault="000915C1" w:rsidP="000915C1">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F3033E">
        <w:rPr>
          <w:rFonts w:ascii="Times New Roman" w:hAnsi="Times New Roman"/>
          <w:sz w:val="24"/>
          <w:szCs w:val="24"/>
        </w:rPr>
        <w:t>Under the INA</w:t>
      </w:r>
      <w:r>
        <w:rPr>
          <w:rFonts w:ascii="Times New Roman" w:hAnsi="Times New Roman"/>
          <w:sz w:val="24"/>
          <w:szCs w:val="24"/>
        </w:rPr>
        <w:t xml:space="preserve"> </w:t>
      </w:r>
      <w:r w:rsidRPr="00BD63A2">
        <w:rPr>
          <w:rFonts w:ascii="Times New Roman" w:hAnsi="Times New Roman"/>
          <w:sz w:val="24"/>
          <w:szCs w:val="24"/>
        </w:rPr>
        <w:t>[Immigration and Nationality Act]</w:t>
      </w:r>
      <w:r>
        <w:rPr>
          <w:rFonts w:ascii="Times New Roman" w:hAnsi="Times New Roman"/>
          <w:sz w:val="24"/>
          <w:szCs w:val="24"/>
        </w:rPr>
        <w:t xml:space="preserve">, </w:t>
      </w:r>
      <w:r w:rsidRPr="00F3033E">
        <w:rPr>
          <w:rFonts w:ascii="Times New Roman" w:hAnsi="Times New Roman"/>
          <w:sz w:val="24"/>
          <w:szCs w:val="24"/>
        </w:rPr>
        <w:t>certain nonpermanent aliens seeking to</w:t>
      </w:r>
      <w:r w:rsidR="006F4E6C">
        <w:rPr>
          <w:rFonts w:ascii="Times New Roman" w:hAnsi="Times New Roman"/>
          <w:sz w:val="24"/>
          <w:szCs w:val="24"/>
        </w:rPr>
        <w:t xml:space="preserve"> </w:t>
      </w:r>
      <w:r w:rsidRPr="00F3033E">
        <w:rPr>
          <w:rFonts w:ascii="Times New Roman" w:hAnsi="Times New Roman"/>
          <w:sz w:val="24"/>
          <w:szCs w:val="24"/>
        </w:rPr>
        <w:t>cancel a lawful removal order must prove that they have</w:t>
      </w:r>
      <w:r>
        <w:rPr>
          <w:rFonts w:ascii="Times New Roman" w:hAnsi="Times New Roman"/>
          <w:sz w:val="24"/>
          <w:szCs w:val="24"/>
        </w:rPr>
        <w:t xml:space="preserve"> </w:t>
      </w:r>
      <w:r w:rsidRPr="00F3033E">
        <w:rPr>
          <w:rFonts w:ascii="Times New Roman" w:hAnsi="Times New Roman"/>
          <w:sz w:val="24"/>
          <w:szCs w:val="24"/>
        </w:rPr>
        <w:t>not been convicted of a disqualifying crime. The Eighth Circuit correctly held that Mr. Pereida failed to carry this burden. Its judgment is Affirmed</w:t>
      </w:r>
      <w:r>
        <w:rPr>
          <w:rFonts w:ascii="Times New Roman" w:hAnsi="Times New Roman"/>
          <w:sz w:val="24"/>
          <w:szCs w:val="24"/>
        </w:rPr>
        <w:t xml:space="preserve">.” </w:t>
      </w:r>
      <w:hyperlink r:id="rId804" w:history="1">
        <w:r w:rsidRPr="000915C1">
          <w:rPr>
            <w:rStyle w:val="Hyperlink"/>
            <w:rFonts w:ascii="Times New Roman" w:hAnsi="Times New Roman"/>
            <w:sz w:val="24"/>
            <w:szCs w:val="24"/>
          </w:rPr>
          <w:t>https://www.supremecourt.gov/opinions/20pdf/19-438_j4el.pdf</w:t>
        </w:r>
      </w:hyperlink>
      <w:r w:rsidRPr="000915C1">
        <w:rPr>
          <w:rFonts w:ascii="Times New Roman" w:hAnsi="Times New Roman"/>
          <w:sz w:val="24"/>
          <w:szCs w:val="24"/>
        </w:rPr>
        <w:t xml:space="preserve"> </w:t>
      </w:r>
    </w:p>
    <w:p w14:paraId="266D7F92" w14:textId="77777777" w:rsidR="000915C1" w:rsidRPr="00BD63A2" w:rsidRDefault="000915C1" w:rsidP="000915C1">
      <w:pPr>
        <w:spacing w:before="100" w:beforeAutospacing="1" w:after="100" w:afterAutospacing="1" w:line="240" w:lineRule="auto"/>
        <w:rPr>
          <w:rFonts w:ascii="Times New Roman" w:hAnsi="Times New Roman"/>
          <w:b/>
          <w:bCs/>
          <w:sz w:val="24"/>
          <w:szCs w:val="24"/>
        </w:rPr>
      </w:pPr>
      <w:r w:rsidRPr="00BD63A2">
        <w:rPr>
          <w:rFonts w:ascii="Times New Roman" w:hAnsi="Times New Roman"/>
          <w:b/>
          <w:bCs/>
          <w:sz w:val="24"/>
          <w:szCs w:val="24"/>
        </w:rPr>
        <w:t>Legal Lesson Learned:</w:t>
      </w:r>
      <w:r>
        <w:rPr>
          <w:rFonts w:ascii="Times New Roman" w:hAnsi="Times New Roman"/>
          <w:b/>
          <w:bCs/>
          <w:sz w:val="24"/>
          <w:szCs w:val="24"/>
        </w:rPr>
        <w:t xml:space="preserve"> This U.S. Supreme Court decision sets precedence for other deportation cases.  </w:t>
      </w:r>
    </w:p>
    <w:p w14:paraId="51C3B8A3" w14:textId="77777777" w:rsidR="000915C1" w:rsidRDefault="000915C1" w:rsidP="000915C1">
      <w:pPr>
        <w:spacing w:before="100" w:beforeAutospacing="1" w:after="100" w:afterAutospacing="1" w:line="240" w:lineRule="auto"/>
        <w:ind w:left="720"/>
        <w:rPr>
          <w:rFonts w:ascii="Times New Roman" w:eastAsia="Times New Roman" w:hAnsi="Times New Roman"/>
          <w:kern w:val="36"/>
          <w:sz w:val="24"/>
          <w:szCs w:val="24"/>
        </w:rPr>
      </w:pPr>
      <w:r>
        <w:rPr>
          <w:rFonts w:ascii="Times New Roman" w:hAnsi="Times New Roman"/>
          <w:sz w:val="24"/>
          <w:szCs w:val="24"/>
        </w:rPr>
        <w:t>Note: See article – “</w:t>
      </w:r>
      <w:r w:rsidRPr="00BD63A2">
        <w:rPr>
          <w:rFonts w:ascii="Times New Roman" w:eastAsia="Times New Roman" w:hAnsi="Times New Roman"/>
          <w:kern w:val="36"/>
          <w:sz w:val="24"/>
          <w:szCs w:val="24"/>
        </w:rPr>
        <w:t xml:space="preserve">Supreme Court Makes It Harder </w:t>
      </w:r>
      <w:proofErr w:type="gramStart"/>
      <w:r w:rsidRPr="00BD63A2">
        <w:rPr>
          <w:rFonts w:ascii="Times New Roman" w:eastAsia="Times New Roman" w:hAnsi="Times New Roman"/>
          <w:kern w:val="36"/>
          <w:sz w:val="24"/>
          <w:szCs w:val="24"/>
        </w:rPr>
        <w:t>For</w:t>
      </w:r>
      <w:proofErr w:type="gramEnd"/>
      <w:r w:rsidRPr="00BD63A2">
        <w:rPr>
          <w:rFonts w:ascii="Times New Roman" w:eastAsia="Times New Roman" w:hAnsi="Times New Roman"/>
          <w:kern w:val="36"/>
          <w:sz w:val="24"/>
          <w:szCs w:val="24"/>
        </w:rPr>
        <w:t xml:space="preserve"> Undocumented Immigrants </w:t>
      </w:r>
      <w:proofErr w:type="gramStart"/>
      <w:r w:rsidRPr="00BD63A2">
        <w:rPr>
          <w:rFonts w:ascii="Times New Roman" w:eastAsia="Times New Roman" w:hAnsi="Times New Roman"/>
          <w:kern w:val="36"/>
          <w:sz w:val="24"/>
          <w:szCs w:val="24"/>
        </w:rPr>
        <w:t>To</w:t>
      </w:r>
      <w:proofErr w:type="gramEnd"/>
      <w:r w:rsidRPr="00BD63A2">
        <w:rPr>
          <w:rFonts w:ascii="Times New Roman" w:eastAsia="Times New Roman" w:hAnsi="Times New Roman"/>
          <w:kern w:val="36"/>
          <w:sz w:val="24"/>
          <w:szCs w:val="24"/>
        </w:rPr>
        <w:t xml:space="preserve"> Fight Deportation</w:t>
      </w:r>
      <w:r>
        <w:rPr>
          <w:rFonts w:ascii="Times New Roman" w:eastAsia="Times New Roman" w:hAnsi="Times New Roman"/>
          <w:kern w:val="36"/>
          <w:sz w:val="24"/>
          <w:szCs w:val="24"/>
        </w:rPr>
        <w:t xml:space="preserve">,” March 4, 2021: </w:t>
      </w:r>
      <w:hyperlink r:id="rId805" w:history="1">
        <w:r w:rsidRPr="00916B19">
          <w:rPr>
            <w:rStyle w:val="Hyperlink"/>
            <w:sz w:val="24"/>
            <w:szCs w:val="24"/>
          </w:rPr>
          <w:t>https://www.npr.org/2021/03/04/973658292/supreme-court-makes-it-harder-for-undocumented-immigrants-to-fight-deportation</w:t>
        </w:r>
      </w:hyperlink>
      <w:r>
        <w:rPr>
          <w:rFonts w:ascii="Times New Roman" w:eastAsia="Times New Roman" w:hAnsi="Times New Roman"/>
          <w:kern w:val="36"/>
          <w:sz w:val="24"/>
          <w:szCs w:val="24"/>
        </w:rPr>
        <w:t xml:space="preserve"> </w:t>
      </w:r>
    </w:p>
    <w:p w14:paraId="30535845" w14:textId="4F25AA40" w:rsidR="000915C1" w:rsidRDefault="000915C1" w:rsidP="00F326E5">
      <w:pPr>
        <w:pStyle w:val="NoSpacing"/>
        <w:rPr>
          <w:rFonts w:ascii="Arial Black" w:hAnsi="Arial Black"/>
          <w:sz w:val="28"/>
          <w:szCs w:val="28"/>
        </w:rPr>
      </w:pPr>
    </w:p>
    <w:p w14:paraId="73014751" w14:textId="1319E81D" w:rsidR="000915C1" w:rsidRDefault="000915C1" w:rsidP="00F326E5">
      <w:pPr>
        <w:pStyle w:val="NoSpacing"/>
        <w:rPr>
          <w:rFonts w:ascii="Arial Black" w:hAnsi="Arial Black"/>
          <w:sz w:val="28"/>
          <w:szCs w:val="28"/>
        </w:rPr>
      </w:pPr>
    </w:p>
    <w:p w14:paraId="63EA5369" w14:textId="77777777" w:rsidR="000915C1" w:rsidRDefault="000915C1" w:rsidP="00F326E5">
      <w:pPr>
        <w:pStyle w:val="NoSpacing"/>
        <w:rPr>
          <w:rFonts w:ascii="Arial Black" w:hAnsi="Arial Black"/>
          <w:sz w:val="28"/>
          <w:szCs w:val="28"/>
        </w:rPr>
      </w:pPr>
    </w:p>
    <w:p w14:paraId="0843707D" w14:textId="1E1F42D3" w:rsidR="005E132A" w:rsidRDefault="00CD5950" w:rsidP="00F326E5">
      <w:pPr>
        <w:pStyle w:val="NoSpacing"/>
        <w:rPr>
          <w:rFonts w:ascii="Arial Black" w:hAnsi="Arial Black"/>
          <w:sz w:val="28"/>
          <w:szCs w:val="28"/>
        </w:rPr>
      </w:pPr>
      <w:r>
        <w:rPr>
          <w:rFonts w:ascii="Arial Black" w:hAnsi="Arial Black"/>
          <w:sz w:val="28"/>
          <w:szCs w:val="28"/>
        </w:rPr>
        <w:t>3-30</w:t>
      </w:r>
    </w:p>
    <w:p w14:paraId="386C35F8" w14:textId="77777777" w:rsidR="00CD5950" w:rsidRDefault="00CD5950" w:rsidP="00CD5950">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IL: FBI 2-YEAR INVESTIGATION – USED “CONFIDENTIAL HUMAN SOURCE” – JURY CONVICTION </w:t>
      </w:r>
    </w:p>
    <w:p w14:paraId="31756B32" w14:textId="32FCE251" w:rsidR="00CD5950" w:rsidRDefault="00CD5950" w:rsidP="00CD5950">
      <w:pPr>
        <w:spacing w:before="100" w:beforeAutospacing="1" w:after="100" w:afterAutospacing="1" w:line="240" w:lineRule="auto"/>
        <w:rPr>
          <w:rFonts w:ascii="Times New Roman" w:hAnsi="Times New Roman"/>
          <w:sz w:val="24"/>
          <w:szCs w:val="24"/>
        </w:rPr>
      </w:pPr>
      <w:r w:rsidRPr="00BC6E6A">
        <w:rPr>
          <w:rFonts w:ascii="Times New Roman" w:eastAsia="Times New Roman" w:hAnsi="Times New Roman"/>
          <w:sz w:val="24"/>
          <w:szCs w:val="24"/>
        </w:rPr>
        <w:t xml:space="preserve">On Feb. 18, 2021, in </w:t>
      </w:r>
      <w:r w:rsidRPr="00D2057B">
        <w:rPr>
          <w:rFonts w:ascii="Times New Roman" w:eastAsia="Times New Roman" w:hAnsi="Times New Roman"/>
          <w:sz w:val="24"/>
          <w:szCs w:val="24"/>
          <w:u w:val="single"/>
        </w:rPr>
        <w:t>United States of America v. Joseph D. Jones and Edward Schimenti</w:t>
      </w:r>
      <w:r>
        <w:rPr>
          <w:rFonts w:ascii="Times New Roman" w:eastAsia="Times New Roman" w:hAnsi="Times New Roman"/>
          <w:sz w:val="24"/>
          <w:szCs w:val="24"/>
        </w:rPr>
        <w:t xml:space="preserve">, U.S. District Court Judge </w:t>
      </w:r>
      <w:r w:rsidRPr="00D2057B">
        <w:rPr>
          <w:rFonts w:ascii="Times New Roman" w:hAnsi="Times New Roman"/>
          <w:sz w:val="24"/>
          <w:szCs w:val="24"/>
        </w:rPr>
        <w:t>Andrea R. Wood</w:t>
      </w:r>
      <w:r>
        <w:rPr>
          <w:rFonts w:ascii="Times New Roman" w:hAnsi="Times New Roman"/>
          <w:sz w:val="24"/>
          <w:szCs w:val="24"/>
        </w:rPr>
        <w:t xml:space="preserve">, U.S. District Court for the Northern District of Illinois (Eastern Division) denied the defendants’ motion for judgment of acquittal or alternatively for a new trial.  The FBI investigation started based on internet posts by the two defendants and lasted for two years with both undercover FBI agents and a “confidential human source” tape recording their conversations with the defendants.  The FBI paid the source for expenses, and after the trial obtained FBI Headquarters permission to pay him $50,000.  </w:t>
      </w:r>
    </w:p>
    <w:p w14:paraId="009E22ED" w14:textId="77777777" w:rsidR="00CD5950" w:rsidRDefault="00CD5950" w:rsidP="00CD5950">
      <w:pPr>
        <w:pStyle w:val="NormalWeb"/>
        <w:ind w:left="1440"/>
      </w:pPr>
      <w:r>
        <w:t xml:space="preserve">“Muhamed [the confidential </w:t>
      </w:r>
      <w:proofErr w:type="spellStart"/>
      <w:r>
        <w:t>himan</w:t>
      </w:r>
      <w:proofErr w:type="spellEnd"/>
      <w:r>
        <w:t xml:space="preserve"> source] also testified at trial. He explained that he was born in Iraq and had worked for the United States Department of Defense in Iraq between 2004 and 2009. (Tr. 1220-22.) He moved to the United States in 2014 as a refugee. (Tr. 1221.) Muhamed testified that he first spoke to the FBI in the summer of 2016 when FBI agents came to his home to interview him about a report that he had an ISIS flag on his car. (Tr. 1223.) Subsequently, Muhamed followed up with the FBI, told an FBI supervisor that he loved to work with the government and was a law enforcement supporter, interviewed with the FBI, and began working as a confidential human source. (Tr. 1224-25.) Muhamed further testified that he never asked the FBI for anything in exchange for his cooperation, the FBI never offered him anything in exchange for his cooperation, and he did not expect to get anything for his cooperation. (Tr. 1225.) According to Muhamed, the FBI had given him some money but only for fuel, a cheap car, parking, and moving out from his old apartment after the case. (Tr. 1226.)</w:t>
      </w:r>
    </w:p>
    <w:p w14:paraId="4DAE95B2" w14:textId="77777777" w:rsidR="00CD5950" w:rsidRDefault="00CD5950" w:rsidP="00CD5950">
      <w:pPr>
        <w:pStyle w:val="NormalWeb"/>
        <w:ind w:left="1440"/>
      </w:pPr>
      <w:r>
        <w:t>***</w:t>
      </w:r>
    </w:p>
    <w:p w14:paraId="3DB19EF7" w14:textId="77777777" w:rsidR="00CD5950" w:rsidRPr="00E41266" w:rsidRDefault="00CD5950" w:rsidP="00CD5950">
      <w:pPr>
        <w:spacing w:before="100" w:beforeAutospacing="1" w:after="100" w:afterAutospacing="1" w:line="240" w:lineRule="auto"/>
        <w:ind w:left="1440"/>
        <w:rPr>
          <w:rFonts w:ascii="Times New Roman" w:eastAsia="Times New Roman" w:hAnsi="Times New Roman"/>
          <w:sz w:val="24"/>
          <w:szCs w:val="24"/>
        </w:rPr>
      </w:pPr>
      <w:r w:rsidRPr="00E41266">
        <w:rPr>
          <w:rFonts w:ascii="Times New Roman" w:eastAsia="Times New Roman" w:hAnsi="Times New Roman"/>
          <w:sz w:val="24"/>
          <w:szCs w:val="24"/>
        </w:rPr>
        <w:t xml:space="preserve">But Defendants have not identified any </w:t>
      </w:r>
      <w:proofErr w:type="gramStart"/>
      <w:r w:rsidRPr="00E41266">
        <w:rPr>
          <w:rFonts w:ascii="Times New Roman" w:eastAsia="Times New Roman" w:hAnsi="Times New Roman"/>
          <w:sz w:val="24"/>
          <w:szCs w:val="24"/>
        </w:rPr>
        <w:t>particular testimony</w:t>
      </w:r>
      <w:proofErr w:type="gramEnd"/>
      <w:r w:rsidRPr="00E41266">
        <w:rPr>
          <w:rFonts w:ascii="Times New Roman" w:eastAsia="Times New Roman" w:hAnsi="Times New Roman"/>
          <w:sz w:val="24"/>
          <w:szCs w:val="24"/>
        </w:rPr>
        <w:t xml:space="preserve"> given by Muhamed that they claim was exaggerated or outright false—other than his motives for testifying. Given that the jury did hear evidence regarding pretrial payments to Muhamed, even if some of the detail may have </w:t>
      </w:r>
      <w:r w:rsidRPr="00E41266">
        <w:rPr>
          <w:rFonts w:ascii="Times New Roman" w:eastAsia="Times New Roman" w:hAnsi="Times New Roman"/>
          <w:sz w:val="24"/>
          <w:szCs w:val="24"/>
        </w:rPr>
        <w:lastRenderedPageBreak/>
        <w:t>been omitted to inaccurate, and the speculative nature at least at the time of trial, of any post-trial request for payment to Muhamed, the Court cannot conclude that the additional information would have been material and not cumulative.</w:t>
      </w:r>
      <w:r>
        <w:t xml:space="preserve"> </w:t>
      </w:r>
      <w:hyperlink r:id="rId806" w:history="1">
        <w:r w:rsidRPr="002A3A0C">
          <w:rPr>
            <w:rStyle w:val="Hyperlink"/>
            <w:rFonts w:ascii="Times New Roman" w:eastAsia="Times New Roman" w:hAnsi="Times New Roman"/>
            <w:sz w:val="24"/>
            <w:szCs w:val="24"/>
          </w:rPr>
          <w:t>https://public.fastcase.com/Wl%2B2t%2BeVuI35%2FN70vAMFZt9ItawWnHyT6tQhkduyZ%2FXLPY%2FAAJ%2BlLBDJZfxklyiH</w:t>
        </w:r>
      </w:hyperlink>
      <w:r>
        <w:rPr>
          <w:rFonts w:ascii="Times New Roman" w:eastAsia="Times New Roman" w:hAnsi="Times New Roman"/>
          <w:sz w:val="24"/>
          <w:szCs w:val="24"/>
        </w:rPr>
        <w:t xml:space="preserve"> </w:t>
      </w:r>
    </w:p>
    <w:p w14:paraId="451BAF8D" w14:textId="77777777" w:rsidR="00CD5950" w:rsidRPr="00E73800" w:rsidRDefault="00CD5950" w:rsidP="00CD5950">
      <w:pPr>
        <w:spacing w:before="100" w:beforeAutospacing="1" w:after="100" w:afterAutospacing="1" w:line="240" w:lineRule="auto"/>
        <w:rPr>
          <w:rFonts w:ascii="Times New Roman" w:eastAsia="Times New Roman" w:hAnsi="Times New Roman"/>
          <w:b/>
          <w:bCs/>
          <w:sz w:val="24"/>
          <w:szCs w:val="24"/>
        </w:rPr>
      </w:pPr>
      <w:r w:rsidRPr="00E73800">
        <w:rPr>
          <w:rFonts w:ascii="Times New Roman" w:hAnsi="Times New Roman"/>
          <w:b/>
          <w:bCs/>
          <w:sz w:val="24"/>
          <w:szCs w:val="24"/>
        </w:rPr>
        <w:t>Legal Lesson Learned:</w:t>
      </w:r>
      <w:r>
        <w:rPr>
          <w:rFonts w:ascii="Times New Roman" w:hAnsi="Times New Roman"/>
          <w:b/>
          <w:bCs/>
          <w:sz w:val="24"/>
          <w:szCs w:val="24"/>
        </w:rPr>
        <w:t xml:space="preserve"> The Court’s decision gives great insight </w:t>
      </w:r>
      <w:proofErr w:type="gramStart"/>
      <w:r>
        <w:rPr>
          <w:rFonts w:ascii="Times New Roman" w:hAnsi="Times New Roman"/>
          <w:b/>
          <w:bCs/>
          <w:sz w:val="24"/>
          <w:szCs w:val="24"/>
        </w:rPr>
        <w:t>on</w:t>
      </w:r>
      <w:proofErr w:type="gramEnd"/>
      <w:r>
        <w:rPr>
          <w:rFonts w:ascii="Times New Roman" w:hAnsi="Times New Roman"/>
          <w:b/>
          <w:bCs/>
          <w:sz w:val="24"/>
          <w:szCs w:val="24"/>
        </w:rPr>
        <w:t xml:space="preserve"> how FBI conducted their two year </w:t>
      </w:r>
      <w:proofErr w:type="gramStart"/>
      <w:r>
        <w:rPr>
          <w:rFonts w:ascii="Times New Roman" w:hAnsi="Times New Roman"/>
          <w:b/>
          <w:bCs/>
          <w:sz w:val="24"/>
          <w:szCs w:val="24"/>
        </w:rPr>
        <w:t>investigation, and</w:t>
      </w:r>
      <w:proofErr w:type="gramEnd"/>
      <w:r>
        <w:rPr>
          <w:rFonts w:ascii="Times New Roman" w:hAnsi="Times New Roman"/>
          <w:b/>
          <w:bCs/>
          <w:sz w:val="24"/>
          <w:szCs w:val="24"/>
        </w:rPr>
        <w:t xml:space="preserve"> used a confidential human source.</w:t>
      </w:r>
    </w:p>
    <w:p w14:paraId="522A9EEB" w14:textId="77777777" w:rsidR="00CD5950" w:rsidRPr="00771E4E" w:rsidRDefault="00CD5950" w:rsidP="00CD5950">
      <w:pPr>
        <w:spacing w:before="100" w:beforeAutospacing="1" w:after="100" w:afterAutospacing="1" w:line="240" w:lineRule="auto"/>
        <w:ind w:left="720"/>
        <w:rPr>
          <w:rFonts w:ascii="Times New Roman" w:hAnsi="Times New Roman"/>
          <w:sz w:val="24"/>
          <w:szCs w:val="24"/>
        </w:rPr>
      </w:pPr>
      <w:r w:rsidRPr="00771E4E">
        <w:rPr>
          <w:rFonts w:ascii="Times New Roman" w:hAnsi="Times New Roman"/>
          <w:sz w:val="24"/>
          <w:szCs w:val="24"/>
        </w:rPr>
        <w:t xml:space="preserve">Note: See </w:t>
      </w:r>
      <w:proofErr w:type="spellStart"/>
      <w:r w:rsidRPr="00771E4E">
        <w:rPr>
          <w:rFonts w:ascii="Times New Roman" w:hAnsi="Times New Roman"/>
          <w:sz w:val="24"/>
          <w:szCs w:val="24"/>
        </w:rPr>
        <w:t>DoJ</w:t>
      </w:r>
      <w:proofErr w:type="spellEnd"/>
      <w:r w:rsidRPr="00771E4E">
        <w:rPr>
          <w:rFonts w:ascii="Times New Roman" w:hAnsi="Times New Roman"/>
          <w:sz w:val="24"/>
          <w:szCs w:val="24"/>
        </w:rPr>
        <w:t xml:space="preserve"> Press Release after jury conviction (June 21, 2019): “Two Suburban Chicago Men Convicted of Conspiring to Provide Material Support to ISIS.” </w:t>
      </w:r>
      <w:hyperlink r:id="rId807" w:history="1">
        <w:r w:rsidRPr="00771E4E">
          <w:rPr>
            <w:rStyle w:val="Hyperlink"/>
            <w:rFonts w:ascii="Times New Roman" w:hAnsi="Times New Roman"/>
            <w:sz w:val="24"/>
            <w:szCs w:val="24"/>
          </w:rPr>
          <w:t>https://www.justice.gov/opa/pr/two-suburban-chicago-men-convicted-conspiring-provide-material-support-isis</w:t>
        </w:r>
      </w:hyperlink>
      <w:r w:rsidRPr="00771E4E">
        <w:rPr>
          <w:rFonts w:ascii="Times New Roman" w:hAnsi="Times New Roman"/>
          <w:sz w:val="24"/>
          <w:szCs w:val="24"/>
        </w:rPr>
        <w:t xml:space="preserve"> </w:t>
      </w:r>
    </w:p>
    <w:p w14:paraId="3B968CFD" w14:textId="19ABA034" w:rsidR="00CD5950" w:rsidRDefault="00CD5950" w:rsidP="00F326E5">
      <w:pPr>
        <w:pStyle w:val="NoSpacing"/>
        <w:rPr>
          <w:rFonts w:ascii="Arial Black" w:hAnsi="Arial Black"/>
          <w:sz w:val="28"/>
          <w:szCs w:val="28"/>
        </w:rPr>
      </w:pPr>
    </w:p>
    <w:p w14:paraId="682D99A5" w14:textId="77777777" w:rsidR="00CD5950" w:rsidRDefault="00CD5950" w:rsidP="00F326E5">
      <w:pPr>
        <w:pStyle w:val="NoSpacing"/>
        <w:rPr>
          <w:rFonts w:ascii="Arial Black" w:hAnsi="Arial Black"/>
          <w:sz w:val="28"/>
          <w:szCs w:val="28"/>
        </w:rPr>
      </w:pPr>
    </w:p>
    <w:p w14:paraId="79A458B3" w14:textId="269C570A" w:rsidR="005E132A" w:rsidRDefault="005E132A" w:rsidP="00F326E5">
      <w:pPr>
        <w:pStyle w:val="NoSpacing"/>
        <w:rPr>
          <w:rFonts w:ascii="Arial Black" w:hAnsi="Arial Black"/>
          <w:sz w:val="28"/>
          <w:szCs w:val="28"/>
        </w:rPr>
      </w:pPr>
      <w:r>
        <w:rPr>
          <w:rFonts w:ascii="Arial Black" w:hAnsi="Arial Black"/>
          <w:sz w:val="28"/>
          <w:szCs w:val="28"/>
        </w:rPr>
        <w:t>3-29</w:t>
      </w:r>
    </w:p>
    <w:p w14:paraId="6B1DEB7C" w14:textId="77777777" w:rsidR="005E132A" w:rsidRDefault="005E132A" w:rsidP="005E132A">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DC: FEDERAL GRANT RECEPIENTS – SOME CHINESE TELECOMMUNICATION EQUIPMENT PROHIBITED</w:t>
      </w:r>
    </w:p>
    <w:p w14:paraId="75DFD753" w14:textId="7CF58C14" w:rsidR="005E132A" w:rsidRDefault="005E132A" w:rsidP="005E132A">
      <w:pPr>
        <w:pStyle w:val="xxxxmsonormal"/>
        <w:rPr>
          <w:rFonts w:ascii="Times New Roman" w:hAnsi="Times New Roman" w:cs="Times New Roman"/>
          <w:sz w:val="24"/>
          <w:szCs w:val="24"/>
        </w:rPr>
      </w:pPr>
      <w:r>
        <w:rPr>
          <w:rFonts w:ascii="Times New Roman" w:hAnsi="Times New Roman" w:cs="Times New Roman"/>
          <w:sz w:val="24"/>
          <w:szCs w:val="24"/>
        </w:rPr>
        <w:t xml:space="preserve">Jan. 2021 Newsletter:  On Aug. 13, 2020, the Office of Management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Budget issued its Guidance for Grants and Agreements, </w:t>
      </w:r>
      <w:proofErr w:type="gramStart"/>
      <w:r>
        <w:rPr>
          <w:rFonts w:ascii="Times New Roman" w:hAnsi="Times New Roman" w:cs="Times New Roman"/>
          <w:sz w:val="24"/>
          <w:szCs w:val="24"/>
        </w:rPr>
        <w:t>implement</w:t>
      </w:r>
      <w:proofErr w:type="gramEnd"/>
      <w:r>
        <w:rPr>
          <w:rFonts w:ascii="Times New Roman" w:hAnsi="Times New Roman" w:cs="Times New Roman"/>
          <w:sz w:val="24"/>
          <w:szCs w:val="24"/>
        </w:rPr>
        <w:t xml:space="preserve"> new Federal Acquisition Regulations (FAR). </w:t>
      </w:r>
      <w:hyperlink r:id="rId808" w:history="1">
        <w:r>
          <w:rPr>
            <w:rStyle w:val="Hyperlink"/>
          </w:rPr>
          <w:t>https://www.govinfo.gov/content/pkg/FR-2020-08-13/pdf/2020-17468.pd</w:t>
        </w:r>
      </w:hyperlink>
      <w:r>
        <w:rPr>
          <w:rFonts w:ascii="Times New Roman" w:hAnsi="Times New Roman" w:cs="Times New Roman"/>
          <w:sz w:val="24"/>
          <w:szCs w:val="24"/>
        </w:rPr>
        <w:t xml:space="preserve"> Federal grant recipients, including Fire &amp; EMS Departments, need to follow these new Federal Acquisition Regulations.   </w:t>
      </w:r>
    </w:p>
    <w:p w14:paraId="27547EEB" w14:textId="77777777" w:rsidR="005E132A" w:rsidRDefault="005E132A" w:rsidP="005E132A">
      <w:pPr>
        <w:pStyle w:val="xxxxmsonormal"/>
        <w:rPr>
          <w:rFonts w:ascii="Times New Roman" w:hAnsi="Times New Roman" w:cs="Times New Roman"/>
          <w:sz w:val="24"/>
          <w:szCs w:val="24"/>
        </w:rPr>
      </w:pPr>
      <w:r>
        <w:rPr>
          <w:rFonts w:ascii="Times New Roman" w:hAnsi="Times New Roman" w:cs="Times New Roman"/>
          <w:sz w:val="24"/>
          <w:szCs w:val="24"/>
        </w:rPr>
        <w:t xml:space="preserve">For example, a </w:t>
      </w:r>
      <w:proofErr w:type="gramStart"/>
      <w:r>
        <w:rPr>
          <w:rFonts w:ascii="Times New Roman" w:hAnsi="Times New Roman" w:cs="Times New Roman"/>
          <w:sz w:val="24"/>
          <w:szCs w:val="24"/>
        </w:rPr>
        <w:t>University</w:t>
      </w:r>
      <w:proofErr w:type="gramEnd"/>
      <w:r>
        <w:rPr>
          <w:rFonts w:ascii="Times New Roman" w:hAnsi="Times New Roman" w:cs="Times New Roman"/>
          <w:sz w:val="24"/>
          <w:szCs w:val="24"/>
        </w:rPr>
        <w:t xml:space="preserve"> recently sent out this notice:    </w:t>
      </w:r>
    </w:p>
    <w:p w14:paraId="6F95C945" w14:textId="77777777" w:rsidR="005E132A" w:rsidRDefault="005E132A" w:rsidP="005E132A">
      <w:pPr>
        <w:pStyle w:val="xxxxmsonormal"/>
        <w:ind w:firstLine="360"/>
        <w:rPr>
          <w:rFonts w:ascii="Times New Roman" w:hAnsi="Times New Roman" w:cs="Times New Roman"/>
          <w:sz w:val="24"/>
          <w:szCs w:val="24"/>
        </w:rPr>
      </w:pPr>
      <w:r>
        <w:rPr>
          <w:rFonts w:ascii="Times New Roman" w:hAnsi="Times New Roman" w:cs="Times New Roman"/>
          <w:sz w:val="24"/>
          <w:szCs w:val="24"/>
        </w:rPr>
        <w:t>Re:  Prohibited Equipment</w:t>
      </w:r>
    </w:p>
    <w:p w14:paraId="60575C58" w14:textId="77777777" w:rsidR="005E132A" w:rsidRDefault="005E132A" w:rsidP="005E132A">
      <w:pPr>
        <w:pStyle w:val="xxxxxmsonormal"/>
        <w:ind w:left="360"/>
        <w:rPr>
          <w:rFonts w:ascii="Times New Roman" w:hAnsi="Times New Roman" w:cs="Times New Roman"/>
          <w:sz w:val="24"/>
          <w:szCs w:val="24"/>
        </w:rPr>
      </w:pPr>
      <w:hyperlink r:id="rId809" w:history="1">
        <w:r w:rsidRPr="006B1421">
          <w:rPr>
            <w:rStyle w:val="Hyperlink"/>
            <w:rFonts w:ascii="Times New Roman" w:hAnsi="Times New Roman" w:cs="Times New Roman"/>
            <w:sz w:val="24"/>
            <w:szCs w:val="24"/>
          </w:rPr>
          <w:t>Federal law</w:t>
        </w:r>
      </w:hyperlink>
      <w:r w:rsidRPr="006B1421">
        <w:rPr>
          <w:rFonts w:ascii="Times New Roman" w:hAnsi="Times New Roman" w:cs="Times New Roman"/>
          <w:sz w:val="24"/>
          <w:szCs w:val="24"/>
        </w:rPr>
        <w:t xml:space="preserve"> * n</w:t>
      </w:r>
      <w:r>
        <w:rPr>
          <w:rFonts w:ascii="Times New Roman" w:hAnsi="Times New Roman" w:cs="Times New Roman"/>
          <w:sz w:val="24"/>
          <w:szCs w:val="24"/>
        </w:rPr>
        <w:t>ow prohibits [University] from purchasing, using or supporting certain telecommunications and video surveillance services or equipment as a condition of receiving federal funds.  Specifically, [University] cannot purchase or use such services or equipment from the following companies (or their associated subsidiaries and affiliates:</w:t>
      </w:r>
    </w:p>
    <w:p w14:paraId="127E749D" w14:textId="77777777" w:rsidR="005E132A" w:rsidRDefault="005E132A" w:rsidP="005E132A">
      <w:pPr>
        <w:pStyle w:val="xxxxmsonormal"/>
        <w:numPr>
          <w:ilvl w:val="0"/>
          <w:numId w:val="7"/>
        </w:numPr>
        <w:spacing w:before="0" w:beforeAutospacing="0" w:after="0" w:afterAutospacing="0"/>
        <w:rPr>
          <w:rFonts w:ascii="Times New Roman" w:eastAsia="Times New Roman" w:hAnsi="Times New Roman" w:cs="Times New Roman"/>
          <w:sz w:val="24"/>
          <w:szCs w:val="24"/>
        </w:rPr>
      </w:pPr>
      <w:r>
        <w:rPr>
          <w:rFonts w:ascii="Times New Roman" w:eastAsia="Times New Roman" w:hAnsi="Times New Roman" w:cs="Times New Roman"/>
          <w:sz w:val="24"/>
          <w:szCs w:val="24"/>
        </w:rPr>
        <w:t>Huawei Technologies Company</w:t>
      </w:r>
    </w:p>
    <w:p w14:paraId="184C59F1" w14:textId="77777777" w:rsidR="005E132A" w:rsidRDefault="005E132A" w:rsidP="005E132A">
      <w:pPr>
        <w:pStyle w:val="xxxxmsonormal"/>
        <w:numPr>
          <w:ilvl w:val="0"/>
          <w:numId w:val="7"/>
        </w:numPr>
        <w:spacing w:before="0" w:beforeAutospacing="0" w:after="0" w:afterAutospacing="0"/>
        <w:rPr>
          <w:rFonts w:ascii="Times New Roman" w:eastAsia="Times New Roman" w:hAnsi="Times New Roman" w:cs="Times New Roman"/>
          <w:sz w:val="24"/>
          <w:szCs w:val="24"/>
        </w:rPr>
      </w:pPr>
      <w:r>
        <w:rPr>
          <w:rFonts w:ascii="Times New Roman" w:eastAsia="Times New Roman" w:hAnsi="Times New Roman" w:cs="Times New Roman"/>
          <w:sz w:val="24"/>
          <w:szCs w:val="24"/>
        </w:rPr>
        <w:t>ZTE Corporation</w:t>
      </w:r>
    </w:p>
    <w:p w14:paraId="44234127" w14:textId="77777777" w:rsidR="005E132A" w:rsidRDefault="005E132A" w:rsidP="005E132A">
      <w:pPr>
        <w:pStyle w:val="xxxxmsonormal"/>
        <w:numPr>
          <w:ilvl w:val="0"/>
          <w:numId w:val="7"/>
        </w:numPr>
        <w:spacing w:before="0" w:beforeAutospacing="0" w:after="0" w:afterAutospacing="0"/>
        <w:rPr>
          <w:rFonts w:ascii="Times New Roman" w:eastAsia="Times New Roman" w:hAnsi="Times New Roman" w:cs="Times New Roman"/>
          <w:sz w:val="24"/>
          <w:szCs w:val="24"/>
        </w:rPr>
      </w:pPr>
      <w:r>
        <w:rPr>
          <w:rFonts w:ascii="Times New Roman" w:eastAsia="Times New Roman" w:hAnsi="Times New Roman" w:cs="Times New Roman"/>
          <w:sz w:val="24"/>
          <w:szCs w:val="24"/>
        </w:rPr>
        <w:t>Hytera Communications Corporation for security or public safety</w:t>
      </w:r>
    </w:p>
    <w:p w14:paraId="17873D67" w14:textId="77777777" w:rsidR="005E132A" w:rsidRDefault="005E132A" w:rsidP="005E132A">
      <w:pPr>
        <w:pStyle w:val="xxxxmsonormal"/>
        <w:numPr>
          <w:ilvl w:val="0"/>
          <w:numId w:val="7"/>
        </w:numPr>
        <w:spacing w:before="0" w:beforeAutospacing="0" w:after="0" w:afterAutospacing="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Hangzhou </w:t>
      </w:r>
      <w:proofErr w:type="spellStart"/>
      <w:r>
        <w:rPr>
          <w:rFonts w:ascii="Times New Roman" w:eastAsia="Times New Roman" w:hAnsi="Times New Roman" w:cs="Times New Roman"/>
          <w:sz w:val="24"/>
          <w:szCs w:val="24"/>
        </w:rPr>
        <w:t>Hikivision</w:t>
      </w:r>
      <w:proofErr w:type="spellEnd"/>
      <w:r>
        <w:rPr>
          <w:rFonts w:ascii="Times New Roman" w:eastAsia="Times New Roman" w:hAnsi="Times New Roman" w:cs="Times New Roman"/>
          <w:sz w:val="24"/>
          <w:szCs w:val="24"/>
        </w:rPr>
        <w:t xml:space="preserve"> Digital Technology Company for security or public safety</w:t>
      </w:r>
    </w:p>
    <w:p w14:paraId="3A4B4FCA" w14:textId="77777777" w:rsidR="005E132A" w:rsidRDefault="005E132A" w:rsidP="005E132A">
      <w:pPr>
        <w:pStyle w:val="xxxxmsonormal"/>
        <w:numPr>
          <w:ilvl w:val="0"/>
          <w:numId w:val="7"/>
        </w:numPr>
        <w:spacing w:before="0" w:beforeAutospacing="0" w:after="0" w:afterAutospacing="0"/>
        <w:rPr>
          <w:rFonts w:ascii="Times New Roman" w:eastAsia="Times New Roman" w:hAnsi="Times New Roman" w:cs="Times New Roman"/>
          <w:sz w:val="24"/>
          <w:szCs w:val="24"/>
        </w:rPr>
      </w:pPr>
      <w:r>
        <w:rPr>
          <w:rFonts w:ascii="Times New Roman" w:eastAsia="Times New Roman" w:hAnsi="Times New Roman" w:cs="Times New Roman"/>
          <w:sz w:val="24"/>
          <w:szCs w:val="24"/>
        </w:rPr>
        <w:t>Dahua Technology Company for security or public safety</w:t>
      </w:r>
    </w:p>
    <w:p w14:paraId="7640DB23" w14:textId="77777777" w:rsidR="005E132A" w:rsidRDefault="005E132A" w:rsidP="005E132A">
      <w:pPr>
        <w:pStyle w:val="xxxxmsonormal"/>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w:t>
      </w:r>
    </w:p>
    <w:p w14:paraId="3123B6FE" w14:textId="77777777" w:rsidR="005E132A" w:rsidRDefault="005E132A" w:rsidP="005E132A">
      <w:pPr>
        <w:pStyle w:val="xxxxmsonormal"/>
        <w:spacing w:before="0" w:beforeAutospacing="0" w:after="0" w:afterAutospacing="0"/>
        <w:ind w:left="360"/>
        <w:rPr>
          <w:rFonts w:ascii="Times New Roman" w:hAnsi="Times New Roman" w:cs="Times New Roman"/>
          <w:sz w:val="24"/>
          <w:szCs w:val="24"/>
        </w:rPr>
      </w:pPr>
      <w:r>
        <w:rPr>
          <w:rFonts w:ascii="Times New Roman" w:hAnsi="Times New Roman" w:cs="Times New Roman"/>
          <w:sz w:val="24"/>
          <w:szCs w:val="24"/>
        </w:rPr>
        <w:t>Further, these technologies may not be connected to [University] network.  If you have personally purchased goods or services from these vendors, you may not use them to do [university] business, regardless of your location, including internationally. You should cease use of these services or equipment immediately.</w:t>
      </w:r>
    </w:p>
    <w:p w14:paraId="422FE9B1" w14:textId="77777777" w:rsidR="005E132A" w:rsidRDefault="005E132A" w:rsidP="005E132A">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w:t>
      </w:r>
      <w:hyperlink r:id="rId810" w:history="1">
        <w:r w:rsidRPr="006B1421">
          <w:rPr>
            <w:rStyle w:val="Hyperlink"/>
            <w:rFonts w:ascii="Times New Roman" w:hAnsi="Times New Roman"/>
            <w:sz w:val="24"/>
            <w:szCs w:val="24"/>
          </w:rPr>
          <w:t>https://www.govinfo.gov/content/pkg/FR-2020-08-13/pdf/2020-17468.pdf</w:t>
        </w:r>
      </w:hyperlink>
      <w:r>
        <w:rPr>
          <w:rFonts w:ascii="Times New Roman" w:eastAsia="Times New Roman" w:hAnsi="Times New Roman"/>
          <w:b/>
          <w:bCs/>
          <w:sz w:val="24"/>
          <w:szCs w:val="24"/>
        </w:rPr>
        <w:t xml:space="preserve"> </w:t>
      </w:r>
    </w:p>
    <w:p w14:paraId="432506B7" w14:textId="77777777" w:rsidR="005E132A" w:rsidRDefault="005E132A" w:rsidP="005E132A">
      <w:pPr>
        <w:pStyle w:val="xxxxmsonormal"/>
        <w:rPr>
          <w:rFonts w:ascii="Times New Roman" w:hAnsi="Times New Roman" w:cs="Times New Roman"/>
          <w:sz w:val="24"/>
          <w:szCs w:val="24"/>
        </w:rPr>
      </w:pPr>
      <w:r>
        <w:rPr>
          <w:rFonts w:ascii="Times New Roman" w:hAnsi="Times New Roman" w:cs="Times New Roman"/>
          <w:sz w:val="24"/>
          <w:szCs w:val="24"/>
        </w:rPr>
        <w:t xml:space="preserve">On Aug. 13, 2018, Congress passed the John S. McCain National Defense Authorization Act </w:t>
      </w:r>
      <w:proofErr w:type="gramStart"/>
      <w:r>
        <w:rPr>
          <w:rFonts w:ascii="Times New Roman" w:hAnsi="Times New Roman" w:cs="Times New Roman"/>
          <w:sz w:val="24"/>
          <w:szCs w:val="24"/>
        </w:rPr>
        <w:t>For</w:t>
      </w:r>
      <w:proofErr w:type="gramEnd"/>
      <w:r>
        <w:rPr>
          <w:rFonts w:ascii="Times New Roman" w:hAnsi="Times New Roman" w:cs="Times New Roman"/>
          <w:sz w:val="24"/>
          <w:szCs w:val="24"/>
        </w:rPr>
        <w:t xml:space="preserve"> Fiscal 2019, </w:t>
      </w:r>
      <w:hyperlink r:id="rId811" w:history="1">
        <w:r w:rsidRPr="006B1421">
          <w:rPr>
            <w:rStyle w:val="Hyperlink"/>
            <w:rFonts w:ascii="Times New Roman" w:hAnsi="Times New Roman" w:cs="Times New Roman"/>
            <w:sz w:val="24"/>
            <w:szCs w:val="24"/>
          </w:rPr>
          <w:t>https://www.congress.gov/115/plaws/publ232/PLAW-115publ232.pdf</w:t>
        </w:r>
      </w:hyperlink>
      <w:r w:rsidRPr="006B1421">
        <w:rPr>
          <w:rFonts w:ascii="Times New Roman" w:hAnsi="Times New Roman" w:cs="Times New Roman"/>
          <w:sz w:val="24"/>
          <w:szCs w:val="24"/>
        </w:rPr>
        <w:t xml:space="preserve">.  </w:t>
      </w:r>
    </w:p>
    <w:p w14:paraId="7E7F6508" w14:textId="77777777" w:rsidR="005E132A" w:rsidRDefault="005E132A" w:rsidP="005E132A">
      <w:pPr>
        <w:pStyle w:val="xxxxmsonormal"/>
        <w:rPr>
          <w:rFonts w:ascii="Times New Roman" w:hAnsi="Times New Roman" w:cs="Times New Roman"/>
          <w:b/>
          <w:bCs/>
          <w:sz w:val="24"/>
          <w:szCs w:val="24"/>
        </w:rPr>
      </w:pPr>
      <w:r w:rsidRPr="006B1421">
        <w:rPr>
          <w:rFonts w:ascii="Times New Roman" w:hAnsi="Times New Roman" w:cs="Times New Roman"/>
          <w:sz w:val="24"/>
          <w:szCs w:val="24"/>
        </w:rPr>
        <w:lastRenderedPageBreak/>
        <w:t>Section 889</w:t>
      </w:r>
      <w:r>
        <w:rPr>
          <w:rFonts w:ascii="Times New Roman" w:hAnsi="Times New Roman" w:cs="Times New Roman"/>
          <w:sz w:val="24"/>
          <w:szCs w:val="24"/>
        </w:rPr>
        <w:t xml:space="preserve">: </w:t>
      </w:r>
      <w:r>
        <w:rPr>
          <w:rFonts w:ascii="Times New Roman" w:hAnsi="Times New Roman" w:cs="Times New Roman"/>
          <w:b/>
          <w:bCs/>
          <w:sz w:val="24"/>
          <w:szCs w:val="24"/>
        </w:rPr>
        <w:t xml:space="preserve">PROHIBITION ON CERTAIN TELECOMMUNICATIONS AND VIDEO SURVEILLANCE SERVICES OR EQUIPMENT.  </w:t>
      </w:r>
      <w:r>
        <w:rPr>
          <w:rFonts w:ascii="Times New Roman" w:hAnsi="Times New Roman" w:cs="Times New Roman"/>
          <w:sz w:val="24"/>
          <w:szCs w:val="24"/>
        </w:rPr>
        <w:t>The statute includes following:</w:t>
      </w:r>
    </w:p>
    <w:p w14:paraId="7853D9D7" w14:textId="77777777" w:rsidR="005E132A" w:rsidRDefault="005E132A" w:rsidP="005E132A">
      <w:pPr>
        <w:pStyle w:val="xxxxmsonormal"/>
        <w:ind w:left="720"/>
        <w:rPr>
          <w:rFonts w:ascii="Times New Roman" w:hAnsi="Times New Roman" w:cs="Times New Roman"/>
          <w:sz w:val="24"/>
          <w:szCs w:val="24"/>
        </w:rPr>
      </w:pPr>
      <w:r>
        <w:rPr>
          <w:rFonts w:ascii="Times New Roman" w:hAnsi="Times New Roman" w:cs="Times New Roman"/>
          <w:sz w:val="24"/>
          <w:szCs w:val="24"/>
        </w:rPr>
        <w:t>(b) PROHIBITION ONLOAN AND GRANT FUNDS. — (1) The head of an executive agency may not obligate or expend loan or grant funds to procure or obtain, extend or renew a contract to procure or obtain, or enter into a contract (or extend or renew a contract) to procure or obtain the equipment, services, or systems described in subsection (a).</w:t>
      </w:r>
    </w:p>
    <w:p w14:paraId="43D909B6" w14:textId="77777777" w:rsidR="005E132A" w:rsidRDefault="005E132A" w:rsidP="005E132A">
      <w:pPr>
        <w:pStyle w:val="xxxxmsonormal"/>
        <w:ind w:firstLine="720"/>
        <w:rPr>
          <w:rFonts w:ascii="Times New Roman" w:hAnsi="Times New Roman" w:cs="Times New Roman"/>
          <w:b/>
          <w:bCs/>
          <w:sz w:val="24"/>
          <w:szCs w:val="24"/>
        </w:rPr>
      </w:pPr>
      <w:r>
        <w:rPr>
          <w:rFonts w:ascii="Times New Roman" w:hAnsi="Times New Roman" w:cs="Times New Roman"/>
          <w:sz w:val="24"/>
          <w:szCs w:val="24"/>
        </w:rPr>
        <w:t xml:space="preserve">*** </w:t>
      </w:r>
    </w:p>
    <w:p w14:paraId="785667A7" w14:textId="77777777" w:rsidR="005E132A" w:rsidRDefault="005E132A" w:rsidP="005E132A">
      <w:pPr>
        <w:pStyle w:val="xxxxmsonormal"/>
        <w:ind w:firstLine="720"/>
        <w:rPr>
          <w:rFonts w:ascii="Times New Roman" w:hAnsi="Times New Roman" w:cs="Times New Roman"/>
          <w:sz w:val="24"/>
          <w:szCs w:val="24"/>
        </w:rPr>
      </w:pPr>
      <w:r>
        <w:rPr>
          <w:rFonts w:ascii="Times New Roman" w:hAnsi="Times New Roman" w:cs="Times New Roman"/>
          <w:sz w:val="24"/>
          <w:szCs w:val="24"/>
        </w:rPr>
        <w:t xml:space="preserve">(3) COVERED TELECOMMUNICATIONS EQUIPMENT OR SERVICES </w:t>
      </w:r>
    </w:p>
    <w:p w14:paraId="25D35806" w14:textId="77777777" w:rsidR="005E132A" w:rsidRDefault="005E132A" w:rsidP="005E132A">
      <w:pPr>
        <w:pStyle w:val="xxxxmsonormal"/>
        <w:ind w:left="720"/>
        <w:rPr>
          <w:rFonts w:ascii="Times New Roman" w:hAnsi="Times New Roman" w:cs="Times New Roman"/>
          <w:sz w:val="24"/>
          <w:szCs w:val="24"/>
        </w:rPr>
      </w:pPr>
      <w:r>
        <w:rPr>
          <w:rFonts w:ascii="Times New Roman" w:hAnsi="Times New Roman" w:cs="Times New Roman"/>
          <w:sz w:val="24"/>
          <w:szCs w:val="24"/>
        </w:rPr>
        <w:t>“The term ‘’covered telecommunications equipment or services’’ means any of the following: (A) Telecommunications equipment produced by Huawei Technologies Company or ZTE Corporation (or any subsidiary or affiliate of such entities). (B) 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 (C) Telecommunications or video surveillance services provided by such entities or using such equipment. (D) Telecommunications or video surveillance equipment or services produced or provided by an entity that the Secretary of Defense, in consultation with the Director of the National Intelligence or the Director of the Federal Bureau of Investigation, reasonably believes to be an entity owned or controlled by, or otherwise connected to, the government of a covered foreign country.”</w:t>
      </w:r>
    </w:p>
    <w:p w14:paraId="37E49674" w14:textId="77777777" w:rsidR="005E132A" w:rsidRDefault="005E132A" w:rsidP="005E132A">
      <w:pPr>
        <w:pStyle w:val="xxxxmsonormal"/>
        <w:tabs>
          <w:tab w:val="left" w:pos="2800"/>
        </w:tabs>
        <w:rPr>
          <w:rFonts w:ascii="Times New Roman" w:hAnsi="Times New Roman" w:cs="Times New Roman"/>
          <w:b/>
          <w:bCs/>
          <w:sz w:val="24"/>
          <w:szCs w:val="24"/>
        </w:rPr>
      </w:pPr>
      <w:r>
        <w:rPr>
          <w:rFonts w:ascii="Times New Roman" w:hAnsi="Times New Roman" w:cs="Times New Roman"/>
          <w:b/>
          <w:bCs/>
          <w:sz w:val="24"/>
          <w:szCs w:val="24"/>
        </w:rPr>
        <w:t xml:space="preserve">Legal Lesson Learned: Fire &amp; EMS Department who receive federal grant recipients need to follow these new regulations.  </w:t>
      </w:r>
    </w:p>
    <w:p w14:paraId="576CA36D" w14:textId="77777777" w:rsidR="005E132A" w:rsidRDefault="005E132A" w:rsidP="005E132A">
      <w:pPr>
        <w:pStyle w:val="Heading1"/>
        <w:ind w:left="720"/>
      </w:pPr>
      <w:r>
        <w:rPr>
          <w:b w:val="0"/>
          <w:bCs w:val="0"/>
          <w:sz w:val="24"/>
          <w:szCs w:val="24"/>
        </w:rPr>
        <w:t xml:space="preserve">Note: See this Aug. 13, </w:t>
      </w:r>
      <w:proofErr w:type="gramStart"/>
      <w:r>
        <w:rPr>
          <w:b w:val="0"/>
          <w:bCs w:val="0"/>
          <w:sz w:val="24"/>
          <w:szCs w:val="24"/>
        </w:rPr>
        <w:t>2020</w:t>
      </w:r>
      <w:proofErr w:type="gramEnd"/>
      <w:r>
        <w:rPr>
          <w:b w:val="0"/>
          <w:bCs w:val="0"/>
          <w:sz w:val="24"/>
          <w:szCs w:val="24"/>
        </w:rPr>
        <w:t xml:space="preserve"> article, “Here’s What NDAA Section 889 Really Means for Federal Grants.” </w:t>
      </w:r>
      <w:hyperlink r:id="rId812" w:history="1">
        <w:r w:rsidRPr="00437CD5">
          <w:rPr>
            <w:rStyle w:val="Hyperlink"/>
            <w:b w:val="0"/>
            <w:bCs w:val="0"/>
            <w:sz w:val="24"/>
            <w:szCs w:val="24"/>
          </w:rPr>
          <w:t>https://www.securityindustry.org/2020/08/13/heres-what-ndaa-section-889-really-means-for-federal-grants/</w:t>
        </w:r>
      </w:hyperlink>
      <w:r w:rsidRPr="00437CD5">
        <w:rPr>
          <w:b w:val="0"/>
          <w:bCs w:val="0"/>
          <w:sz w:val="24"/>
          <w:szCs w:val="24"/>
        </w:rPr>
        <w:t xml:space="preserve"> </w:t>
      </w:r>
      <w:r>
        <w:t xml:space="preserve"> </w:t>
      </w:r>
    </w:p>
    <w:p w14:paraId="25167F49" w14:textId="77777777" w:rsidR="005E132A" w:rsidRDefault="005E132A" w:rsidP="00F326E5">
      <w:pPr>
        <w:pStyle w:val="NoSpacing"/>
        <w:rPr>
          <w:rFonts w:ascii="Arial Black" w:hAnsi="Arial Black"/>
          <w:sz w:val="28"/>
          <w:szCs w:val="28"/>
        </w:rPr>
      </w:pPr>
    </w:p>
    <w:p w14:paraId="5E5105AA" w14:textId="307E6E5D" w:rsidR="005E132A" w:rsidRDefault="005E132A" w:rsidP="00F326E5">
      <w:pPr>
        <w:pStyle w:val="NoSpacing"/>
        <w:rPr>
          <w:rFonts w:ascii="Arial Black" w:hAnsi="Arial Black"/>
          <w:sz w:val="28"/>
          <w:szCs w:val="28"/>
        </w:rPr>
      </w:pPr>
      <w:r>
        <w:rPr>
          <w:rFonts w:ascii="Arial Black" w:hAnsi="Arial Black"/>
          <w:sz w:val="28"/>
          <w:szCs w:val="28"/>
        </w:rPr>
        <w:t>3-28</w:t>
      </w:r>
    </w:p>
    <w:p w14:paraId="7D5CA612" w14:textId="665BFAE5" w:rsidR="005E132A" w:rsidRDefault="005E132A" w:rsidP="00F326E5">
      <w:pPr>
        <w:pStyle w:val="NoSpacing"/>
        <w:rPr>
          <w:rFonts w:ascii="Arial Black" w:hAnsi="Arial Black"/>
          <w:sz w:val="28"/>
          <w:szCs w:val="28"/>
        </w:rPr>
      </w:pPr>
    </w:p>
    <w:p w14:paraId="0D07CF05" w14:textId="77777777" w:rsidR="005E132A" w:rsidRDefault="005E132A" w:rsidP="005E132A">
      <w:pPr>
        <w:rPr>
          <w:rFonts w:ascii="Arial Black" w:hAnsi="Arial Black" w:cstheme="minorBidi"/>
          <w:sz w:val="28"/>
          <w:szCs w:val="28"/>
        </w:rPr>
      </w:pPr>
      <w:r>
        <w:rPr>
          <w:rFonts w:ascii="Arial Black" w:hAnsi="Arial Black"/>
          <w:sz w:val="28"/>
          <w:szCs w:val="28"/>
        </w:rPr>
        <w:t>FL: INDICTMENT NOT DISMISSED - 23-YR OLD AMERICAN – WEAPONS, DRONE, CASING FBI OFFICE - “I WANT TO JOIN ISIS”</w:t>
      </w:r>
    </w:p>
    <w:p w14:paraId="7F9D9E7F" w14:textId="77777777" w:rsidR="005E132A" w:rsidRDefault="005E132A" w:rsidP="005E132A">
      <w:pPr>
        <w:rPr>
          <w:rFonts w:ascii="Times New Roman" w:hAnsi="Times New Roman"/>
          <w:sz w:val="24"/>
          <w:szCs w:val="24"/>
        </w:rPr>
      </w:pPr>
      <w:r>
        <w:rPr>
          <w:rFonts w:ascii="Times New Roman" w:hAnsi="Times New Roman"/>
          <w:sz w:val="24"/>
          <w:szCs w:val="24"/>
        </w:rPr>
        <w:t xml:space="preserve">On Dec. 15, 2020, in </w:t>
      </w:r>
      <w:r>
        <w:rPr>
          <w:rFonts w:ascii="Times New Roman" w:hAnsi="Times New Roman"/>
          <w:sz w:val="24"/>
          <w:szCs w:val="24"/>
          <w:u w:val="single"/>
        </w:rPr>
        <w:t>United States of America v. Muhammed Momtaz Al-Azhari</w:t>
      </w:r>
      <w:r>
        <w:rPr>
          <w:rFonts w:ascii="Times New Roman" w:hAnsi="Times New Roman"/>
          <w:sz w:val="24"/>
          <w:szCs w:val="24"/>
        </w:rPr>
        <w:t xml:space="preserve">, U.S. District Court Judge Tom Barber, U.S. District Court, Middle District of Florida (Tampa Division), denied defense motion to dismiss the indictment.  The indictment adequately charged that he was attempting to provide support to Foreign Terrorist Organization </w:t>
      </w:r>
    </w:p>
    <w:p w14:paraId="5CD66A5E" w14:textId="77777777" w:rsidR="005E132A" w:rsidRDefault="005E132A" w:rsidP="005E132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“In his motion to dismiss the indictment, Defendant argues that Count One fails to state an offense because it does not allege that Defendant attempted to place himself under the FTO's direction and control, which he contends is an essential fact required by 18 U.S.C. § 2339B(h).</w:t>
      </w:r>
    </w:p>
    <w:p w14:paraId="28BB7848" w14:textId="77777777" w:rsidR="005E132A" w:rsidRDefault="005E132A" w:rsidP="005E132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3B023DB8" w14:textId="77777777" w:rsidR="005E132A" w:rsidRDefault="005E132A" w:rsidP="005E132A">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lastRenderedPageBreak/>
        <w:t xml:space="preserve">At least three district courts have considered this issue and have ruled that § 2339B(h) is a definition that is not required to be pled in the indictment. </w:t>
      </w:r>
      <w:r>
        <w:rPr>
          <w:rFonts w:ascii="Times New Roman" w:hAnsi="Times New Roman"/>
          <w:i/>
          <w:iCs/>
          <w:sz w:val="24"/>
          <w:szCs w:val="24"/>
        </w:rPr>
        <w:t>See United States v</w:t>
      </w:r>
      <w:r>
        <w:rPr>
          <w:rFonts w:ascii="Times New Roman" w:hAnsi="Times New Roman"/>
          <w:sz w:val="24"/>
          <w:szCs w:val="24"/>
        </w:rPr>
        <w:t xml:space="preserve">. </w:t>
      </w:r>
      <w:r>
        <w:rPr>
          <w:rFonts w:ascii="Times New Roman" w:hAnsi="Times New Roman"/>
          <w:i/>
          <w:iCs/>
          <w:sz w:val="24"/>
          <w:szCs w:val="24"/>
        </w:rPr>
        <w:t>Ludke</w:t>
      </w:r>
      <w:r>
        <w:rPr>
          <w:rFonts w:ascii="Times New Roman" w:hAnsi="Times New Roman"/>
          <w:sz w:val="24"/>
          <w:szCs w:val="24"/>
        </w:rPr>
        <w:t xml:space="preserve">, No. 16-CR-175, 2018 WL 2059556, at *2 (E.D. Wis. May 2, 2018); </w:t>
      </w:r>
      <w:r>
        <w:rPr>
          <w:rFonts w:ascii="Times New Roman" w:hAnsi="Times New Roman"/>
          <w:i/>
          <w:iCs/>
          <w:sz w:val="24"/>
          <w:szCs w:val="24"/>
        </w:rPr>
        <w:t>United States v</w:t>
      </w:r>
      <w:r>
        <w:rPr>
          <w:rFonts w:ascii="Times New Roman" w:hAnsi="Times New Roman"/>
          <w:sz w:val="24"/>
          <w:szCs w:val="24"/>
        </w:rPr>
        <w:t xml:space="preserve">. </w:t>
      </w:r>
      <w:r>
        <w:rPr>
          <w:rFonts w:ascii="Times New Roman" w:hAnsi="Times New Roman"/>
          <w:i/>
          <w:iCs/>
          <w:sz w:val="24"/>
          <w:szCs w:val="24"/>
        </w:rPr>
        <w:t>Shafi</w:t>
      </w:r>
      <w:r>
        <w:rPr>
          <w:rFonts w:ascii="Times New Roman" w:hAnsi="Times New Roman"/>
          <w:sz w:val="24"/>
          <w:szCs w:val="24"/>
        </w:rPr>
        <w:t xml:space="preserve">, 252 F. Supp. 3d 787, 795 (N.D. Cal. 2017); </w:t>
      </w:r>
      <w:r>
        <w:rPr>
          <w:rFonts w:ascii="Times New Roman" w:hAnsi="Times New Roman"/>
          <w:i/>
          <w:iCs/>
          <w:sz w:val="24"/>
          <w:szCs w:val="24"/>
        </w:rPr>
        <w:t>United States v</w:t>
      </w:r>
      <w:r>
        <w:rPr>
          <w:rFonts w:ascii="Times New Roman" w:hAnsi="Times New Roman"/>
          <w:sz w:val="24"/>
          <w:szCs w:val="24"/>
        </w:rPr>
        <w:t xml:space="preserve">. </w:t>
      </w:r>
      <w:r>
        <w:rPr>
          <w:rFonts w:ascii="Times New Roman" w:hAnsi="Times New Roman"/>
          <w:i/>
          <w:iCs/>
          <w:sz w:val="24"/>
          <w:szCs w:val="24"/>
        </w:rPr>
        <w:t>Pugh</w:t>
      </w:r>
      <w:r>
        <w:rPr>
          <w:rFonts w:ascii="Times New Roman" w:hAnsi="Times New Roman"/>
          <w:sz w:val="24"/>
          <w:szCs w:val="24"/>
        </w:rPr>
        <w:t xml:space="preserve">, No. 15-CR-116 (NGG), 2015 WL 9450598, at *8 (E.D.N.Y. Dec. 21, 2015). Another district court ruled that it is an affirmative defense, which does not need to be pled. </w:t>
      </w:r>
      <w:r>
        <w:rPr>
          <w:rFonts w:ascii="Times New Roman" w:hAnsi="Times New Roman"/>
          <w:i/>
          <w:iCs/>
          <w:sz w:val="24"/>
          <w:szCs w:val="24"/>
        </w:rPr>
        <w:t>See United States v</w:t>
      </w:r>
      <w:r>
        <w:rPr>
          <w:rFonts w:ascii="Times New Roman" w:hAnsi="Times New Roman"/>
          <w:sz w:val="24"/>
          <w:szCs w:val="24"/>
        </w:rPr>
        <w:t xml:space="preserve">. </w:t>
      </w:r>
      <w:r>
        <w:rPr>
          <w:rFonts w:ascii="Times New Roman" w:hAnsi="Times New Roman"/>
          <w:i/>
          <w:iCs/>
          <w:sz w:val="24"/>
          <w:szCs w:val="24"/>
        </w:rPr>
        <w:t>Ahmed</w:t>
      </w:r>
      <w:r>
        <w:rPr>
          <w:rFonts w:ascii="Times New Roman" w:hAnsi="Times New Roman"/>
          <w:sz w:val="24"/>
          <w:szCs w:val="24"/>
        </w:rPr>
        <w:t xml:space="preserve">, No. 15-49 (MJD/FLN), 2015 U.S. Dist. LEXIS 171561 (D. Minn. Sept. 1, 2015). The Court is unaware of any binding or persuasive authority that would require the Government to plead § 2339B(h) as an element of the offense. As such, the motion to dismiss is denied as to this ground.” </w:t>
      </w:r>
      <w:hyperlink r:id="rId813" w:history="1">
        <w:r>
          <w:rPr>
            <w:rStyle w:val="Hyperlink"/>
          </w:rPr>
          <w:t>https://casetext.com/case/united-states-v-al-azhari-2</w:t>
        </w:r>
      </w:hyperlink>
      <w:r>
        <w:rPr>
          <w:rFonts w:ascii="Times New Roman" w:hAnsi="Times New Roman"/>
          <w:sz w:val="24"/>
          <w:szCs w:val="24"/>
        </w:rPr>
        <w:t xml:space="preserve"> </w:t>
      </w:r>
    </w:p>
    <w:p w14:paraId="12194BBB" w14:textId="77777777" w:rsidR="005E132A" w:rsidRDefault="005E132A" w:rsidP="005E132A">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Legal Lesson Learned: Lone-wolf terrorists may be indicted for attempting to provide material support to ISIS.</w:t>
      </w:r>
    </w:p>
    <w:p w14:paraId="6F7AF124" w14:textId="77777777" w:rsidR="005E132A" w:rsidRDefault="005E132A" w:rsidP="005E132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Note: See May 27, 2020, U.S. Department of Justice Press Release on defendant’s arrest. “</w:t>
      </w:r>
      <w:r>
        <w:rPr>
          <w:rFonts w:ascii="Times New Roman" w:eastAsia="Times New Roman" w:hAnsi="Times New Roman"/>
          <w:sz w:val="24"/>
          <w:szCs w:val="24"/>
        </w:rPr>
        <w:t xml:space="preserve">Al-Azhari, who has a criminal history that includes prior terrorism charges in Saudi Arabia, attempted to purchase multiple firearms over the course of the investigation, before acquiring a Glock pistol and a silencer.  He also expressed admiration for Pulse nightclub shooter Omar Mateen and spoke of his desire to carry out a similar mass casualty shooting.  Additionally, Al-Azhari researched and scouted potential targets in the Tampa area, including Honeymoon Island.  He also rehearsed portions of an attack and the statements that he would make during or in connection with such an attack. FBI agents arrested Al-Azhari on May 24, 2020, after he took possession of weapons to be used in an attack.”  </w:t>
      </w:r>
      <w:hyperlink r:id="rId814" w:history="1">
        <w:r>
          <w:rPr>
            <w:rStyle w:val="Hyperlink"/>
          </w:rPr>
          <w:t>https://www.justice.gov/opa/pr/tampa-man-charged-attempting-provide-material-support-isis</w:t>
        </w:r>
      </w:hyperlink>
      <w:r>
        <w:rPr>
          <w:rFonts w:ascii="Times New Roman" w:hAnsi="Times New Roman"/>
          <w:sz w:val="24"/>
          <w:szCs w:val="24"/>
        </w:rPr>
        <w:t xml:space="preserve"> </w:t>
      </w:r>
    </w:p>
    <w:p w14:paraId="71B514DB" w14:textId="77777777" w:rsidR="005E132A" w:rsidRDefault="005E132A" w:rsidP="00F326E5">
      <w:pPr>
        <w:pStyle w:val="NoSpacing"/>
        <w:rPr>
          <w:rFonts w:ascii="Arial Black" w:hAnsi="Arial Black"/>
          <w:sz w:val="28"/>
          <w:szCs w:val="28"/>
        </w:rPr>
      </w:pPr>
    </w:p>
    <w:p w14:paraId="457E476A" w14:textId="77777777" w:rsidR="005E132A" w:rsidRDefault="005E132A" w:rsidP="00F326E5">
      <w:pPr>
        <w:pStyle w:val="NoSpacing"/>
        <w:rPr>
          <w:rFonts w:ascii="Arial Black" w:hAnsi="Arial Black"/>
          <w:sz w:val="28"/>
          <w:szCs w:val="28"/>
        </w:rPr>
      </w:pPr>
    </w:p>
    <w:p w14:paraId="331C7FF5" w14:textId="65533DFF" w:rsidR="00A06387" w:rsidRDefault="007D178F" w:rsidP="00F326E5">
      <w:pPr>
        <w:pStyle w:val="NoSpacing"/>
        <w:rPr>
          <w:rFonts w:ascii="Arial Black" w:hAnsi="Arial Black"/>
          <w:sz w:val="28"/>
          <w:szCs w:val="28"/>
        </w:rPr>
      </w:pPr>
      <w:r>
        <w:rPr>
          <w:rFonts w:ascii="Arial Black" w:hAnsi="Arial Black"/>
          <w:sz w:val="28"/>
          <w:szCs w:val="28"/>
        </w:rPr>
        <w:t>3-27</w:t>
      </w:r>
    </w:p>
    <w:p w14:paraId="020CEDF7" w14:textId="77777777" w:rsidR="007D178F" w:rsidRPr="00D82E7C" w:rsidRDefault="007D178F" w:rsidP="007D178F">
      <w:pPr>
        <w:pStyle w:val="NoSpacing"/>
        <w:rPr>
          <w:rFonts w:ascii="Arial Black" w:hAnsi="Arial Black"/>
          <w:sz w:val="28"/>
          <w:szCs w:val="28"/>
        </w:rPr>
      </w:pPr>
      <w:r>
        <w:rPr>
          <w:rFonts w:ascii="Arial Black" w:hAnsi="Arial Black"/>
          <w:sz w:val="28"/>
          <w:szCs w:val="28"/>
        </w:rPr>
        <w:t xml:space="preserve">IL:  EXTRADICTION - U.S. CITIZEN TO BE RETURNED TO IRELAND – LEFT IRISH BAR, CRASHED LEXUS KILLED TWO </w:t>
      </w:r>
    </w:p>
    <w:p w14:paraId="4511D633" w14:textId="77777777" w:rsidR="007D178F" w:rsidRDefault="007D178F" w:rsidP="007D178F">
      <w:pPr>
        <w:pStyle w:val="NoSpacing"/>
        <w:rPr>
          <w:rFonts w:ascii="Times New Roman" w:hAnsi="Times New Roman"/>
          <w:sz w:val="24"/>
          <w:szCs w:val="24"/>
        </w:rPr>
      </w:pPr>
    </w:p>
    <w:p w14:paraId="58534895" w14:textId="77777777" w:rsidR="007D178F" w:rsidRDefault="007D178F" w:rsidP="007D178F">
      <w:pPr>
        <w:pStyle w:val="NoSpacing"/>
        <w:rPr>
          <w:rFonts w:ascii="Times New Roman" w:hAnsi="Times New Roman"/>
          <w:sz w:val="24"/>
          <w:szCs w:val="24"/>
        </w:rPr>
      </w:pPr>
      <w:r>
        <w:rPr>
          <w:rFonts w:ascii="Times New Roman" w:hAnsi="Times New Roman"/>
          <w:sz w:val="24"/>
          <w:szCs w:val="24"/>
        </w:rPr>
        <w:t>On Nov. 3, 2020</w:t>
      </w:r>
      <w:r w:rsidRPr="00566D06">
        <w:rPr>
          <w:rFonts w:ascii="Times New Roman" w:hAnsi="Times New Roman"/>
          <w:sz w:val="24"/>
          <w:szCs w:val="24"/>
          <w:u w:val="single"/>
        </w:rPr>
        <w:t>,</w:t>
      </w:r>
      <w:r w:rsidRPr="003B0090">
        <w:rPr>
          <w:rFonts w:ascii="Times New Roman" w:hAnsi="Times New Roman"/>
          <w:sz w:val="24"/>
          <w:szCs w:val="24"/>
        </w:rPr>
        <w:t xml:space="preserve"> </w:t>
      </w:r>
      <w:r w:rsidRPr="00566D06">
        <w:rPr>
          <w:rFonts w:ascii="Times New Roman" w:hAnsi="Times New Roman"/>
          <w:sz w:val="24"/>
          <w:szCs w:val="24"/>
          <w:u w:val="single"/>
        </w:rPr>
        <w:t xml:space="preserve">In </w:t>
      </w:r>
      <w:proofErr w:type="gramStart"/>
      <w:r w:rsidRPr="00566D06">
        <w:rPr>
          <w:rFonts w:ascii="Times New Roman" w:hAnsi="Times New Roman"/>
          <w:sz w:val="24"/>
          <w:szCs w:val="24"/>
          <w:u w:val="single"/>
        </w:rPr>
        <w:t>The</w:t>
      </w:r>
      <w:proofErr w:type="gramEnd"/>
      <w:r w:rsidRPr="00566D06">
        <w:rPr>
          <w:rFonts w:ascii="Times New Roman" w:hAnsi="Times New Roman"/>
          <w:sz w:val="24"/>
          <w:szCs w:val="24"/>
          <w:u w:val="single"/>
        </w:rPr>
        <w:t xml:space="preserve"> Matter </w:t>
      </w:r>
      <w:proofErr w:type="gramStart"/>
      <w:r w:rsidRPr="00566D06">
        <w:rPr>
          <w:rFonts w:ascii="Times New Roman" w:hAnsi="Times New Roman"/>
          <w:sz w:val="24"/>
          <w:szCs w:val="24"/>
          <w:u w:val="single"/>
        </w:rPr>
        <w:t>Of</w:t>
      </w:r>
      <w:proofErr w:type="gramEnd"/>
      <w:r w:rsidRPr="00566D06">
        <w:rPr>
          <w:rFonts w:ascii="Times New Roman" w:hAnsi="Times New Roman"/>
          <w:sz w:val="24"/>
          <w:szCs w:val="24"/>
          <w:u w:val="single"/>
        </w:rPr>
        <w:t xml:space="preserve"> </w:t>
      </w:r>
      <w:proofErr w:type="gramStart"/>
      <w:r w:rsidRPr="00566D06">
        <w:rPr>
          <w:rFonts w:ascii="Times New Roman" w:hAnsi="Times New Roman"/>
          <w:sz w:val="24"/>
          <w:szCs w:val="24"/>
          <w:u w:val="single"/>
        </w:rPr>
        <w:t>The</w:t>
      </w:r>
      <w:proofErr w:type="gramEnd"/>
      <w:r w:rsidRPr="00566D06">
        <w:rPr>
          <w:rFonts w:ascii="Times New Roman" w:hAnsi="Times New Roman"/>
          <w:sz w:val="24"/>
          <w:szCs w:val="24"/>
          <w:u w:val="single"/>
        </w:rPr>
        <w:t xml:space="preserve"> Extradition </w:t>
      </w:r>
      <w:proofErr w:type="gramStart"/>
      <w:r w:rsidRPr="00566D06">
        <w:rPr>
          <w:rFonts w:ascii="Times New Roman" w:hAnsi="Times New Roman"/>
          <w:sz w:val="24"/>
          <w:szCs w:val="24"/>
          <w:u w:val="single"/>
        </w:rPr>
        <w:t>Of</w:t>
      </w:r>
      <w:proofErr w:type="gramEnd"/>
      <w:r w:rsidRPr="00566D06">
        <w:rPr>
          <w:rFonts w:ascii="Times New Roman" w:hAnsi="Times New Roman"/>
          <w:sz w:val="24"/>
          <w:szCs w:val="24"/>
          <w:u w:val="single"/>
        </w:rPr>
        <w:t xml:space="preserve"> Francis Carr</w:t>
      </w:r>
      <w:r>
        <w:rPr>
          <w:rFonts w:ascii="Times New Roman" w:hAnsi="Times New Roman"/>
          <w:sz w:val="24"/>
          <w:szCs w:val="24"/>
        </w:rPr>
        <w:t xml:space="preserve">, U.S. Magistrate Judge Beth W. Zantz, orders that Mr. Carr, who is held without bail in Chicago jail, may be extradited back to Ireland to face felony charges.   The 1984 treaty between US and Ireland allows for extradition if the conduct is a felony [punishable more than one year] in both countries, even if in U.S. there must be proof of “gross negligence” for involuntary manslaughter or reckless homicide and in Ireland just ordinary negligence. </w:t>
      </w:r>
    </w:p>
    <w:p w14:paraId="0E1455BF" w14:textId="77777777" w:rsidR="007D178F" w:rsidRDefault="007D178F" w:rsidP="007D178F">
      <w:pPr>
        <w:pStyle w:val="NoSpacing"/>
        <w:ind w:left="720"/>
        <w:rPr>
          <w:rFonts w:ascii="Times New Roman" w:hAnsi="Times New Roman"/>
          <w:sz w:val="24"/>
          <w:szCs w:val="24"/>
        </w:rPr>
      </w:pPr>
      <w:r>
        <w:rPr>
          <w:rFonts w:ascii="Times New Roman" w:hAnsi="Times New Roman"/>
          <w:sz w:val="24"/>
          <w:szCs w:val="24"/>
        </w:rPr>
        <w:br/>
        <w:t>“</w:t>
      </w:r>
      <w:r w:rsidRPr="00566D06">
        <w:rPr>
          <w:rFonts w:ascii="Times New Roman" w:hAnsi="Times New Roman"/>
          <w:sz w:val="24"/>
          <w:szCs w:val="24"/>
        </w:rPr>
        <w:t xml:space="preserve">For </w:t>
      </w:r>
      <w:proofErr w:type="gramStart"/>
      <w:r w:rsidRPr="00566D06">
        <w:rPr>
          <w:rFonts w:ascii="Times New Roman" w:hAnsi="Times New Roman"/>
          <w:sz w:val="24"/>
          <w:szCs w:val="24"/>
        </w:rPr>
        <w:t>all of</w:t>
      </w:r>
      <w:proofErr w:type="gramEnd"/>
      <w:r w:rsidRPr="00566D06">
        <w:rPr>
          <w:rFonts w:ascii="Times New Roman" w:hAnsi="Times New Roman"/>
          <w:sz w:val="24"/>
          <w:szCs w:val="24"/>
        </w:rPr>
        <w:t xml:space="preserve"> the reasons above, the Court therefore determines that the United States-Ireland treaty requires only dual criminality for an offense to be extraditable, meaning that just the </w:t>
      </w:r>
      <w:r w:rsidRPr="00566D06">
        <w:rPr>
          <w:rFonts w:ascii="Times New Roman" w:hAnsi="Times New Roman"/>
          <w:b/>
          <w:bCs/>
          <w:i/>
          <w:iCs/>
          <w:sz w:val="24"/>
          <w:szCs w:val="24"/>
        </w:rPr>
        <w:t>charged conduct</w:t>
      </w:r>
      <w:r w:rsidRPr="00566D06">
        <w:rPr>
          <w:rFonts w:ascii="Times New Roman" w:hAnsi="Times New Roman"/>
          <w:sz w:val="24"/>
          <w:szCs w:val="24"/>
        </w:rPr>
        <w:t xml:space="preserve"> must be criminal and punishable by a year or more in prison in both jurisdictions.</w:t>
      </w:r>
    </w:p>
    <w:p w14:paraId="3D2A3D27" w14:textId="77777777" w:rsidR="007D178F" w:rsidRPr="00566D06" w:rsidRDefault="007D178F" w:rsidP="007D178F">
      <w:pPr>
        <w:pStyle w:val="NoSpacing"/>
        <w:ind w:left="720"/>
        <w:rPr>
          <w:rFonts w:ascii="Times New Roman" w:hAnsi="Times New Roman"/>
          <w:sz w:val="24"/>
          <w:szCs w:val="24"/>
        </w:rPr>
      </w:pPr>
    </w:p>
    <w:p w14:paraId="1878E6EC" w14:textId="77777777" w:rsidR="007D178F" w:rsidRDefault="007D178F" w:rsidP="007D178F">
      <w:pPr>
        <w:pStyle w:val="NoSpacing"/>
        <w:ind w:left="720"/>
        <w:rPr>
          <w:rFonts w:ascii="Times New Roman" w:hAnsi="Times New Roman"/>
          <w:sz w:val="24"/>
          <w:szCs w:val="24"/>
        </w:rPr>
      </w:pPr>
      <w:r w:rsidRPr="00566D06">
        <w:rPr>
          <w:rFonts w:ascii="Times New Roman" w:hAnsi="Times New Roman"/>
          <w:sz w:val="24"/>
          <w:szCs w:val="24"/>
        </w:rPr>
        <w:t>Here, that requirement is met, as Carr concedes</w:t>
      </w:r>
      <w:r>
        <w:rPr>
          <w:rFonts w:ascii="Times New Roman" w:hAnsi="Times New Roman"/>
          <w:sz w:val="24"/>
          <w:szCs w:val="24"/>
        </w:rPr>
        <w:t xml:space="preserve"> ….</w:t>
      </w:r>
      <w:r w:rsidRPr="00566D06">
        <w:rPr>
          <w:rFonts w:ascii="Times New Roman" w:hAnsi="Times New Roman"/>
          <w:sz w:val="24"/>
          <w:szCs w:val="24"/>
        </w:rPr>
        <w:t xml:space="preserve"> Carr allegedly drove in such a grossly negligent manner—at a high rate of speed and doing donuts—that he caused a crash and the deaths of his two passengers</w:t>
      </w:r>
      <w:r>
        <w:rPr>
          <w:rFonts w:ascii="Times New Roman" w:hAnsi="Times New Roman"/>
          <w:sz w:val="24"/>
          <w:szCs w:val="24"/>
        </w:rPr>
        <w:t>….</w:t>
      </w:r>
      <w:r w:rsidRPr="00566D06">
        <w:rPr>
          <w:rFonts w:ascii="Times New Roman" w:hAnsi="Times New Roman"/>
          <w:sz w:val="24"/>
          <w:szCs w:val="24"/>
        </w:rPr>
        <w:t xml:space="preserve"> In Ireland, the offense of dangerous driving causing death of two victims is punishable by up to 10 years in prison</w:t>
      </w:r>
      <w:r>
        <w:rPr>
          <w:rFonts w:ascii="Times New Roman" w:hAnsi="Times New Roman"/>
          <w:sz w:val="24"/>
          <w:szCs w:val="24"/>
        </w:rPr>
        <w:t>….</w:t>
      </w:r>
      <w:r w:rsidRPr="00566D06">
        <w:rPr>
          <w:rFonts w:ascii="Times New Roman" w:hAnsi="Times New Roman"/>
          <w:sz w:val="24"/>
          <w:szCs w:val="24"/>
        </w:rPr>
        <w:t xml:space="preserve"> And in the United States, Carr's conduct could be charged as a felony under United States federal or Illinois state law, as involuntary manslaughter under 18 U.S.C. §1112 (maximum penalty of </w:t>
      </w:r>
    </w:p>
    <w:p w14:paraId="713FB8D5" w14:textId="77777777" w:rsidR="007D178F" w:rsidRDefault="007D178F" w:rsidP="007D178F">
      <w:pPr>
        <w:pStyle w:val="NoSpacing"/>
        <w:ind w:left="720"/>
        <w:rPr>
          <w:rFonts w:ascii="Times New Roman" w:hAnsi="Times New Roman"/>
          <w:sz w:val="24"/>
          <w:szCs w:val="24"/>
        </w:rPr>
      </w:pPr>
      <w:r w:rsidRPr="00566D06">
        <w:rPr>
          <w:rFonts w:ascii="Times New Roman" w:hAnsi="Times New Roman"/>
          <w:sz w:val="24"/>
          <w:szCs w:val="24"/>
        </w:rPr>
        <w:t>8 years in prison), or as reckless homicide while driving a motor vehicle, 720 ILCS 5/9-3(a); 730 ILCS 5/5-4.5-40(a) (maximum penalty of 5 years in prison), respectively.</w:t>
      </w:r>
      <w:r>
        <w:rPr>
          <w:rFonts w:ascii="Times New Roman" w:hAnsi="Times New Roman"/>
          <w:sz w:val="24"/>
          <w:szCs w:val="24"/>
        </w:rPr>
        <w:t>”</w:t>
      </w:r>
    </w:p>
    <w:p w14:paraId="34A2C010" w14:textId="77777777" w:rsidR="007D178F" w:rsidRPr="00566D06" w:rsidRDefault="007D178F" w:rsidP="007D178F">
      <w:pPr>
        <w:pStyle w:val="NoSpacing"/>
        <w:ind w:firstLine="720"/>
        <w:rPr>
          <w:rFonts w:ascii="Times New Roman" w:hAnsi="Times New Roman"/>
          <w:sz w:val="24"/>
          <w:szCs w:val="24"/>
        </w:rPr>
      </w:pPr>
      <w:hyperlink r:id="rId815" w:history="1">
        <w:r w:rsidRPr="00BA14DC">
          <w:rPr>
            <w:rStyle w:val="Hyperlink"/>
            <w:rFonts w:ascii="Times New Roman" w:hAnsi="Times New Roman"/>
            <w:sz w:val="24"/>
            <w:szCs w:val="24"/>
          </w:rPr>
          <w:t>https://www.casemine.com/judgement/us/5fa3a7514653d0732d5bedb1</w:t>
        </w:r>
      </w:hyperlink>
      <w:r>
        <w:rPr>
          <w:rFonts w:ascii="Times New Roman" w:hAnsi="Times New Roman"/>
          <w:sz w:val="24"/>
          <w:szCs w:val="24"/>
        </w:rPr>
        <w:t xml:space="preserve"> </w:t>
      </w:r>
    </w:p>
    <w:p w14:paraId="62AEE2E1" w14:textId="77777777" w:rsidR="007D178F" w:rsidRDefault="007D178F" w:rsidP="007D178F">
      <w:pPr>
        <w:pStyle w:val="NoSpacing"/>
      </w:pPr>
    </w:p>
    <w:p w14:paraId="2274161C" w14:textId="77777777" w:rsidR="007D178F" w:rsidRPr="003B0090" w:rsidRDefault="007D178F" w:rsidP="007D178F">
      <w:pPr>
        <w:spacing w:before="100" w:beforeAutospacing="1" w:after="100" w:afterAutospacing="1" w:line="240" w:lineRule="auto"/>
        <w:rPr>
          <w:rFonts w:ascii="Times New Roman" w:eastAsia="Times New Roman" w:hAnsi="Times New Roman"/>
          <w:b/>
          <w:bCs/>
          <w:sz w:val="24"/>
          <w:szCs w:val="24"/>
        </w:rPr>
      </w:pPr>
      <w:r w:rsidRPr="003B0090">
        <w:rPr>
          <w:rFonts w:ascii="Times New Roman" w:eastAsia="Times New Roman" w:hAnsi="Times New Roman"/>
          <w:b/>
          <w:bCs/>
          <w:sz w:val="24"/>
          <w:szCs w:val="24"/>
        </w:rPr>
        <w:lastRenderedPageBreak/>
        <w:t>Legal Lesson Learned</w:t>
      </w:r>
      <w:r>
        <w:rPr>
          <w:rFonts w:ascii="Times New Roman" w:eastAsia="Times New Roman" w:hAnsi="Times New Roman"/>
          <w:b/>
          <w:bCs/>
          <w:sz w:val="24"/>
          <w:szCs w:val="24"/>
        </w:rPr>
        <w:t xml:space="preserve">: Treaties are to be interpreted liberally; defendant remains in jail until extradited back to Ireland. </w:t>
      </w:r>
    </w:p>
    <w:p w14:paraId="56A7E51A" w14:textId="77777777" w:rsidR="007D178F" w:rsidRDefault="007D178F" w:rsidP="00F326E5">
      <w:pPr>
        <w:pStyle w:val="NoSpacing"/>
        <w:rPr>
          <w:rFonts w:ascii="Arial Black" w:hAnsi="Arial Black"/>
          <w:sz w:val="28"/>
          <w:szCs w:val="28"/>
        </w:rPr>
      </w:pPr>
    </w:p>
    <w:p w14:paraId="0024B941" w14:textId="77777777" w:rsidR="007D178F" w:rsidRDefault="007D178F" w:rsidP="00F326E5">
      <w:pPr>
        <w:pStyle w:val="NoSpacing"/>
        <w:rPr>
          <w:rFonts w:ascii="Arial Black" w:hAnsi="Arial Black"/>
          <w:sz w:val="28"/>
          <w:szCs w:val="28"/>
        </w:rPr>
      </w:pPr>
    </w:p>
    <w:p w14:paraId="0881455C" w14:textId="77777777" w:rsidR="007D178F" w:rsidRDefault="007D178F" w:rsidP="00F326E5">
      <w:pPr>
        <w:pStyle w:val="NoSpacing"/>
        <w:rPr>
          <w:rFonts w:ascii="Arial Black" w:hAnsi="Arial Black"/>
          <w:sz w:val="28"/>
          <w:szCs w:val="28"/>
        </w:rPr>
      </w:pPr>
    </w:p>
    <w:p w14:paraId="79B50D16" w14:textId="77777777" w:rsidR="007D178F" w:rsidRDefault="007D178F" w:rsidP="00F326E5">
      <w:pPr>
        <w:pStyle w:val="NoSpacing"/>
        <w:rPr>
          <w:rFonts w:ascii="Arial Black" w:hAnsi="Arial Black"/>
          <w:sz w:val="28"/>
          <w:szCs w:val="28"/>
        </w:rPr>
      </w:pPr>
    </w:p>
    <w:p w14:paraId="269799DA" w14:textId="624E879A" w:rsidR="00F824FE" w:rsidRDefault="00F824FE" w:rsidP="00F326E5">
      <w:pPr>
        <w:pStyle w:val="NoSpacing"/>
        <w:rPr>
          <w:rFonts w:ascii="Arial Black" w:hAnsi="Arial Black"/>
          <w:sz w:val="28"/>
          <w:szCs w:val="28"/>
        </w:rPr>
      </w:pPr>
      <w:r>
        <w:rPr>
          <w:rFonts w:ascii="Arial Black" w:hAnsi="Arial Black"/>
          <w:sz w:val="28"/>
          <w:szCs w:val="28"/>
        </w:rPr>
        <w:t>3-26</w:t>
      </w:r>
    </w:p>
    <w:p w14:paraId="1B5094F9" w14:textId="7D6FE78D" w:rsidR="00F824FE" w:rsidRDefault="00F824FE" w:rsidP="00F326E5">
      <w:pPr>
        <w:pStyle w:val="NoSpacing"/>
        <w:rPr>
          <w:rFonts w:ascii="Arial Black" w:hAnsi="Arial Black"/>
          <w:sz w:val="28"/>
          <w:szCs w:val="28"/>
        </w:rPr>
      </w:pPr>
    </w:p>
    <w:p w14:paraId="77978862" w14:textId="77777777" w:rsidR="00F824FE" w:rsidRPr="00207F8D" w:rsidRDefault="00F824FE" w:rsidP="00F824FE">
      <w:pPr>
        <w:pStyle w:val="Heading1"/>
        <w:rPr>
          <w:rFonts w:ascii="Arial Black" w:hAnsi="Arial Black"/>
          <w:sz w:val="28"/>
          <w:szCs w:val="28"/>
        </w:rPr>
      </w:pPr>
      <w:r>
        <w:rPr>
          <w:rFonts w:ascii="Arial Black" w:hAnsi="Arial Black"/>
          <w:sz w:val="28"/>
          <w:szCs w:val="28"/>
        </w:rPr>
        <w:t>NY:  911 CLEAN UP - 124 WORKERS CLEANUP AT STUYVESANT HIGH – LAWSUIT PROPERLY DISMISSED, ACCEPTED PRIOR SETTLEMENT</w:t>
      </w:r>
    </w:p>
    <w:p w14:paraId="0B5810D7" w14:textId="77777777" w:rsidR="00F824FE" w:rsidRPr="004D26C3" w:rsidRDefault="00F824FE" w:rsidP="00F824FE">
      <w:pPr>
        <w:rPr>
          <w:rFonts w:ascii="Times New Roman" w:hAnsi="Times New Roman"/>
          <w:sz w:val="24"/>
          <w:szCs w:val="24"/>
        </w:rPr>
      </w:pPr>
      <w:r w:rsidRPr="00E15C67">
        <w:rPr>
          <w:rFonts w:ascii="Times New Roman" w:hAnsi="Times New Roman"/>
          <w:sz w:val="24"/>
          <w:szCs w:val="24"/>
        </w:rPr>
        <w:t xml:space="preserve">On Sept. 28, 2020, in </w:t>
      </w:r>
      <w:r w:rsidRPr="00E15C67">
        <w:rPr>
          <w:rFonts w:ascii="Times New Roman" w:hAnsi="Times New Roman"/>
          <w:sz w:val="24"/>
          <w:szCs w:val="24"/>
          <w:u w:val="single"/>
        </w:rPr>
        <w:t>In</w:t>
      </w:r>
      <w:r w:rsidRPr="004D26C3">
        <w:rPr>
          <w:rFonts w:ascii="Times New Roman" w:hAnsi="Times New Roman"/>
          <w:sz w:val="24"/>
          <w:szCs w:val="24"/>
          <w:u w:val="single"/>
        </w:rPr>
        <w:t xml:space="preserve"> re: World Trade Center Lower Manhattan Disaster Site Litigation</w:t>
      </w:r>
      <w:r w:rsidRPr="004D26C3">
        <w:rPr>
          <w:rFonts w:ascii="Times New Roman" w:hAnsi="Times New Roman"/>
          <w:sz w:val="24"/>
          <w:szCs w:val="24"/>
        </w:rPr>
        <w:t xml:space="preserve">, the U.S. Court of Appeals for Second District (New York City) held in a Summary Order (3 to 0) that U.S. District Court Judge Alvin K. Hellerstein properly dismissed their lawsuit in 2019 since it was moot; they are covered by settlement agreements with the City of New York and the WTC Captive by entering into the 2010 Final Settlement Agreement ("FSA").  Judge Hellerstein on Aug. 30, </w:t>
      </w:r>
      <w:proofErr w:type="gramStart"/>
      <w:r w:rsidRPr="004D26C3">
        <w:rPr>
          <w:rFonts w:ascii="Times New Roman" w:hAnsi="Times New Roman"/>
          <w:sz w:val="24"/>
          <w:szCs w:val="24"/>
        </w:rPr>
        <w:t>2019</w:t>
      </w:r>
      <w:proofErr w:type="gramEnd"/>
      <w:r w:rsidRPr="004D26C3">
        <w:rPr>
          <w:rFonts w:ascii="Times New Roman" w:hAnsi="Times New Roman"/>
          <w:sz w:val="24"/>
          <w:szCs w:val="24"/>
        </w:rPr>
        <w:t xml:space="preserve"> held that “All of the present plaintiffs, among a group of plaintiffs that at one time numbered around 11,000, had settled previously with the WTC Captive and its insureds, including the City of New York.” </w:t>
      </w:r>
      <w:hyperlink r:id="rId816" w:history="1">
        <w:r w:rsidRPr="004D26C3">
          <w:rPr>
            <w:rStyle w:val="Hyperlink"/>
            <w:rFonts w:ascii="Times New Roman" w:hAnsi="Times New Roman"/>
            <w:sz w:val="24"/>
            <w:szCs w:val="24"/>
          </w:rPr>
          <w:t>https://casetext.com/case/in-re-world-trade-ctr-lower-manhattan-disaster-site-litig-8</w:t>
        </w:r>
      </w:hyperlink>
      <w:r w:rsidRPr="004D26C3">
        <w:rPr>
          <w:rFonts w:ascii="Times New Roman" w:hAnsi="Times New Roman"/>
          <w:sz w:val="24"/>
          <w:szCs w:val="24"/>
        </w:rPr>
        <w:t xml:space="preserve"> </w:t>
      </w:r>
    </w:p>
    <w:p w14:paraId="4C8AB7AF" w14:textId="77777777" w:rsidR="00F824FE" w:rsidRPr="00482AE8" w:rsidRDefault="00F824FE" w:rsidP="00F824FE">
      <w:pPr>
        <w:pStyle w:val="Heading1"/>
        <w:ind w:left="720"/>
        <w:rPr>
          <w:b w:val="0"/>
          <w:bCs w:val="0"/>
          <w:sz w:val="24"/>
          <w:szCs w:val="24"/>
        </w:rPr>
      </w:pPr>
      <w:r>
        <w:rPr>
          <w:b w:val="0"/>
          <w:bCs w:val="0"/>
          <w:sz w:val="24"/>
          <w:szCs w:val="24"/>
        </w:rPr>
        <w:t>“</w:t>
      </w:r>
      <w:r w:rsidRPr="00482AE8">
        <w:rPr>
          <w:b w:val="0"/>
          <w:bCs w:val="0"/>
          <w:sz w:val="24"/>
          <w:szCs w:val="24"/>
        </w:rPr>
        <w:t xml:space="preserve">Here, the district court properly held that Appellants’ 2010 settlement agreement with the WTC Captive and its insureds (the World Trade Center Litigation Final Settlement Agreement, or </w:t>
      </w:r>
      <w:r>
        <w:rPr>
          <w:b w:val="0"/>
          <w:bCs w:val="0"/>
          <w:sz w:val="24"/>
          <w:szCs w:val="24"/>
        </w:rPr>
        <w:t>‘</w:t>
      </w:r>
      <w:r w:rsidRPr="00482AE8">
        <w:rPr>
          <w:b w:val="0"/>
          <w:bCs w:val="0"/>
          <w:sz w:val="24"/>
          <w:szCs w:val="24"/>
        </w:rPr>
        <w:t>FSA</w:t>
      </w:r>
      <w:r>
        <w:rPr>
          <w:b w:val="0"/>
          <w:bCs w:val="0"/>
          <w:sz w:val="24"/>
          <w:szCs w:val="24"/>
        </w:rPr>
        <w:t>’</w:t>
      </w:r>
      <w:r w:rsidRPr="00482AE8">
        <w:rPr>
          <w:b w:val="0"/>
          <w:bCs w:val="0"/>
          <w:sz w:val="24"/>
          <w:szCs w:val="24"/>
        </w:rPr>
        <w:t>) reduced their potential recovery in these proceedings to zero, and that, accordingly, their claims are moot.</w:t>
      </w:r>
      <w:r>
        <w:rPr>
          <w:b w:val="0"/>
          <w:bCs w:val="0"/>
          <w:sz w:val="24"/>
          <w:szCs w:val="24"/>
        </w:rPr>
        <w:t xml:space="preserve">” </w:t>
      </w:r>
      <w:hyperlink r:id="rId817" w:anchor="xml=https://www.ca2.uscourts.gov/decisions/isysquery/d1288cae-9c73-4842-93cb-329cdd38edc3/3/hilite/" w:history="1">
        <w:r w:rsidRPr="009A4D3D">
          <w:rPr>
            <w:rStyle w:val="Hyperlink"/>
            <w:b w:val="0"/>
            <w:bCs w:val="0"/>
            <w:sz w:val="24"/>
            <w:szCs w:val="24"/>
          </w:rPr>
          <w:t>https://www.ca2.uscourts.gov/decisions/isysquery/d1288cae-9c73-4842-93cb-329cdd38edc3/3/doc/19-2934_so.pdf#xml=https://www.ca2.uscourts.gov/decisions/isysquery/d1288cae-9c73-4842-93cb-329cdd38edc3/3/hilite/</w:t>
        </w:r>
      </w:hyperlink>
      <w:r>
        <w:rPr>
          <w:b w:val="0"/>
          <w:bCs w:val="0"/>
          <w:sz w:val="24"/>
          <w:szCs w:val="24"/>
        </w:rPr>
        <w:t xml:space="preserve"> </w:t>
      </w:r>
    </w:p>
    <w:p w14:paraId="3336A63A" w14:textId="77777777" w:rsidR="00F824FE" w:rsidRDefault="00F824FE" w:rsidP="00F824FE">
      <w:pPr>
        <w:pStyle w:val="Heading1"/>
        <w:rPr>
          <w:sz w:val="24"/>
          <w:szCs w:val="24"/>
        </w:rPr>
      </w:pPr>
      <w:r w:rsidRPr="007042F0">
        <w:rPr>
          <w:sz w:val="24"/>
          <w:szCs w:val="24"/>
        </w:rPr>
        <w:t>Legal Lessons Learned:</w:t>
      </w:r>
      <w:r>
        <w:rPr>
          <w:sz w:val="24"/>
          <w:szCs w:val="24"/>
        </w:rPr>
        <w:t xml:space="preserve"> When you </w:t>
      </w:r>
      <w:proofErr w:type="gramStart"/>
      <w:r>
        <w:rPr>
          <w:sz w:val="24"/>
          <w:szCs w:val="24"/>
        </w:rPr>
        <w:t>enter into</w:t>
      </w:r>
      <w:proofErr w:type="gramEnd"/>
      <w:r>
        <w:rPr>
          <w:sz w:val="24"/>
          <w:szCs w:val="24"/>
        </w:rPr>
        <w:t xml:space="preserve"> a “global settlement” and accept the settlement money, it is designed to avoid future litigation such as this case.  </w:t>
      </w:r>
    </w:p>
    <w:p w14:paraId="4912F6EC" w14:textId="5293D5C3" w:rsidR="00F824FE" w:rsidRDefault="00F824FE" w:rsidP="00F824FE">
      <w:pPr>
        <w:pStyle w:val="NoSpacing"/>
        <w:ind w:left="720"/>
        <w:rPr>
          <w:rFonts w:ascii="Arial Black" w:hAnsi="Arial Black"/>
          <w:sz w:val="28"/>
          <w:szCs w:val="28"/>
        </w:rPr>
      </w:pPr>
      <w:r w:rsidRPr="007042F0">
        <w:rPr>
          <w:sz w:val="24"/>
          <w:szCs w:val="24"/>
        </w:rPr>
        <w:t>Note</w:t>
      </w:r>
      <w:r>
        <w:rPr>
          <w:sz w:val="24"/>
          <w:szCs w:val="24"/>
        </w:rPr>
        <w:t xml:space="preserve">:   See </w:t>
      </w:r>
      <w:r w:rsidRPr="007042F0">
        <w:rPr>
          <w:sz w:val="24"/>
          <w:szCs w:val="24"/>
        </w:rPr>
        <w:t xml:space="preserve">Nov. 19, </w:t>
      </w:r>
      <w:proofErr w:type="gramStart"/>
      <w:r w:rsidRPr="007042F0">
        <w:rPr>
          <w:sz w:val="24"/>
          <w:szCs w:val="24"/>
        </w:rPr>
        <w:t>2010</w:t>
      </w:r>
      <w:proofErr w:type="gramEnd"/>
      <w:r>
        <w:rPr>
          <w:sz w:val="24"/>
          <w:szCs w:val="24"/>
        </w:rPr>
        <w:t xml:space="preserve"> article,</w:t>
      </w:r>
      <w:r w:rsidRPr="007042F0">
        <w:rPr>
          <w:sz w:val="24"/>
          <w:szCs w:val="24"/>
        </w:rPr>
        <w:t xml:space="preserve"> “Over 95% of Plaintiffs Accept World Trade Center Settlement.” </w:t>
      </w:r>
      <w:r>
        <w:rPr>
          <w:sz w:val="24"/>
          <w:szCs w:val="24"/>
        </w:rPr>
        <w:t>“</w:t>
      </w:r>
      <w:r w:rsidRPr="007042F0">
        <w:rPr>
          <w:sz w:val="24"/>
          <w:szCs w:val="24"/>
        </w:rPr>
        <w:t>10,043 plaintiffs signed releases accepting settlement terms, according to the Allocation Neutral's report to the Court, with 98% of those claiming some of the most severe injuries signing on.</w:t>
      </w:r>
      <w:r>
        <w:rPr>
          <w:sz w:val="24"/>
          <w:szCs w:val="24"/>
        </w:rPr>
        <w:t xml:space="preserve"> *** </w:t>
      </w:r>
      <w:r w:rsidRPr="004D26C3">
        <w:rPr>
          <w:sz w:val="24"/>
          <w:szCs w:val="24"/>
        </w:rPr>
        <w:t>The WTC Captive Insurance Company confirms the 95% participation threshold of eligible plaintiffs has been reached.</w:t>
      </w:r>
      <w:r>
        <w:rPr>
          <w:sz w:val="24"/>
          <w:szCs w:val="24"/>
        </w:rPr>
        <w:t xml:space="preserve">” </w:t>
      </w:r>
      <w:r w:rsidRPr="004D26C3">
        <w:rPr>
          <w:sz w:val="24"/>
          <w:szCs w:val="24"/>
        </w:rPr>
        <w:t xml:space="preserve"> </w:t>
      </w:r>
      <w:hyperlink r:id="rId818" w:history="1">
        <w:r w:rsidRPr="004D26C3">
          <w:rPr>
            <w:rStyle w:val="Hyperlink"/>
            <w:sz w:val="24"/>
            <w:szCs w:val="24"/>
          </w:rPr>
          <w:t>https://www.prnewswire.com/news-releases/over-95-of-plaintiffs-accept-world-trade-center-settlement-109252704.html</w:t>
        </w:r>
      </w:hyperlink>
    </w:p>
    <w:p w14:paraId="1C5D1C6D" w14:textId="77777777" w:rsidR="00F824FE" w:rsidRDefault="00F824FE" w:rsidP="00F326E5">
      <w:pPr>
        <w:pStyle w:val="NoSpacing"/>
        <w:rPr>
          <w:rFonts w:ascii="Arial Black" w:hAnsi="Arial Black"/>
          <w:sz w:val="28"/>
          <w:szCs w:val="28"/>
        </w:rPr>
      </w:pPr>
    </w:p>
    <w:p w14:paraId="2DEF0697" w14:textId="77777777" w:rsidR="00F824FE" w:rsidRDefault="00F824FE" w:rsidP="00F326E5">
      <w:pPr>
        <w:pStyle w:val="NoSpacing"/>
        <w:rPr>
          <w:rFonts w:ascii="Arial Black" w:hAnsi="Arial Black"/>
          <w:sz w:val="28"/>
          <w:szCs w:val="28"/>
        </w:rPr>
      </w:pPr>
    </w:p>
    <w:p w14:paraId="16BAF71E" w14:textId="3B184A81" w:rsidR="00A672EE" w:rsidRDefault="00A672EE" w:rsidP="00F326E5">
      <w:pPr>
        <w:pStyle w:val="NoSpacing"/>
        <w:rPr>
          <w:rFonts w:ascii="Arial Black" w:hAnsi="Arial Black"/>
          <w:sz w:val="28"/>
          <w:szCs w:val="28"/>
        </w:rPr>
      </w:pPr>
      <w:r>
        <w:rPr>
          <w:rFonts w:ascii="Arial Black" w:hAnsi="Arial Black"/>
          <w:sz w:val="28"/>
          <w:szCs w:val="28"/>
        </w:rPr>
        <w:t>3-25</w:t>
      </w:r>
    </w:p>
    <w:p w14:paraId="1D7675DA" w14:textId="6493E5AA" w:rsidR="00A672EE" w:rsidRDefault="00A672EE" w:rsidP="00F326E5">
      <w:pPr>
        <w:pStyle w:val="NoSpacing"/>
        <w:rPr>
          <w:rFonts w:ascii="Arial Black" w:hAnsi="Arial Black"/>
          <w:sz w:val="28"/>
          <w:szCs w:val="28"/>
        </w:rPr>
      </w:pPr>
    </w:p>
    <w:p w14:paraId="2D663E2D" w14:textId="4A1D7A14" w:rsidR="00A672EE" w:rsidRPr="0043496E" w:rsidRDefault="00A672EE" w:rsidP="00A672EE">
      <w:pPr>
        <w:pStyle w:val="NoSpacing"/>
        <w:rPr>
          <w:rFonts w:ascii="Arial Black" w:hAnsi="Arial Black"/>
          <w:sz w:val="28"/>
          <w:szCs w:val="28"/>
        </w:rPr>
      </w:pPr>
      <w:bookmarkStart w:id="140" w:name="_Hlk66942447"/>
      <w:r w:rsidRPr="0043496E">
        <w:rPr>
          <w:rFonts w:ascii="Arial Black" w:hAnsi="Arial Black"/>
          <w:sz w:val="28"/>
          <w:szCs w:val="28"/>
        </w:rPr>
        <w:lastRenderedPageBreak/>
        <w:t xml:space="preserve">FL: </w:t>
      </w:r>
      <w:r>
        <w:rPr>
          <w:rFonts w:ascii="Arial Black" w:hAnsi="Arial Black"/>
          <w:sz w:val="28"/>
          <w:szCs w:val="28"/>
        </w:rPr>
        <w:t xml:space="preserve">“LONE WOLF” DEFENDANT HELD WITHOUT BOND - 23-YR-OLD – PISTOL, SILENCER, DRONE - WANTED TO KILL AT LEAST 50  </w:t>
      </w:r>
    </w:p>
    <w:p w14:paraId="466C0A2E" w14:textId="1E9ED013" w:rsidR="00A672EE" w:rsidRDefault="00A672EE" w:rsidP="00A672EE">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July 1, 2020, in </w:t>
      </w:r>
      <w:r w:rsidRPr="00A95773">
        <w:rPr>
          <w:rFonts w:ascii="Times New Roman" w:eastAsia="Times New Roman" w:hAnsi="Times New Roman"/>
          <w:sz w:val="24"/>
          <w:szCs w:val="24"/>
          <w:u w:val="single"/>
        </w:rPr>
        <w:t>United States of America v. Muhammed Momtaz Al-Azhari</w:t>
      </w:r>
      <w:r>
        <w:rPr>
          <w:rFonts w:ascii="Times New Roman" w:eastAsia="Times New Roman" w:hAnsi="Times New Roman"/>
          <w:sz w:val="24"/>
          <w:szCs w:val="24"/>
        </w:rPr>
        <w:t>, U.S. District Court Judge Tom Barber, Middle District of Florida (Tampa Division), upheld the decision of U.S. Magistrate Judge denying defendant’s motion to revoke detention order. The Court wrote: “</w:t>
      </w:r>
      <w:r w:rsidRPr="0043496E">
        <w:rPr>
          <w:rFonts w:ascii="Times New Roman" w:eastAsia="Times New Roman" w:hAnsi="Times New Roman"/>
          <w:sz w:val="24"/>
          <w:szCs w:val="24"/>
        </w:rPr>
        <w:t xml:space="preserve">According to the </w:t>
      </w:r>
      <w:r>
        <w:rPr>
          <w:rFonts w:ascii="Times New Roman" w:eastAsia="Times New Roman" w:hAnsi="Times New Roman"/>
          <w:sz w:val="24"/>
          <w:szCs w:val="24"/>
        </w:rPr>
        <w:t xml:space="preserve">[FBI] </w:t>
      </w:r>
      <w:r w:rsidRPr="0043496E">
        <w:rPr>
          <w:rFonts w:ascii="Times New Roman" w:eastAsia="Times New Roman" w:hAnsi="Times New Roman"/>
          <w:sz w:val="24"/>
          <w:szCs w:val="24"/>
        </w:rPr>
        <w:t>complaint, Defendant was preparing himself for a deadly attack in support of ISIS by obtaining weapons and tactical gear. He scouted potential targets, including a local beach and law enforcement buildings. He told a confidential</w:t>
      </w:r>
      <w:r>
        <w:rPr>
          <w:rFonts w:ascii="Times New Roman" w:eastAsia="Times New Roman" w:hAnsi="Times New Roman"/>
          <w:sz w:val="24"/>
          <w:szCs w:val="24"/>
        </w:rPr>
        <w:t xml:space="preserve"> </w:t>
      </w:r>
      <w:r w:rsidRPr="0043496E">
        <w:rPr>
          <w:rFonts w:ascii="Times New Roman" w:eastAsia="Times New Roman" w:hAnsi="Times New Roman"/>
          <w:sz w:val="24"/>
          <w:szCs w:val="24"/>
        </w:rPr>
        <w:t xml:space="preserve">informant that he did not want to kill just four or five people, but at least fifty. These allegations, and the evidence supporting the allegations, weigh heavily in favor of </w:t>
      </w:r>
      <w:proofErr w:type="gramStart"/>
      <w:r w:rsidRPr="0043496E">
        <w:rPr>
          <w:rFonts w:ascii="Times New Roman" w:eastAsia="Times New Roman" w:hAnsi="Times New Roman"/>
          <w:sz w:val="24"/>
          <w:szCs w:val="24"/>
        </w:rPr>
        <w:t>detention.</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hyperlink r:id="rId819" w:history="1">
        <w:r w:rsidRPr="00DE6B93">
          <w:rPr>
            <w:rStyle w:val="Hyperlink"/>
            <w:rFonts w:ascii="Times New Roman" w:eastAsia="Times New Roman" w:hAnsi="Times New Roman"/>
            <w:sz w:val="24"/>
            <w:szCs w:val="24"/>
          </w:rPr>
          <w:t>https://public.fastcase.com/Wl%2B2t%2BeVuI35%2FN70vAMFZjEZMJsNZYCv20xfss0VwbYGceb09nWBJue7evWvO5N%2B</w:t>
        </w:r>
      </w:hyperlink>
      <w:bookmarkEnd w:id="140"/>
      <w:r>
        <w:rPr>
          <w:rFonts w:ascii="Times New Roman" w:eastAsia="Times New Roman" w:hAnsi="Times New Roman"/>
          <w:sz w:val="24"/>
          <w:szCs w:val="24"/>
        </w:rPr>
        <w:t xml:space="preserve"> </w:t>
      </w:r>
    </w:p>
    <w:p w14:paraId="4DA133E8" w14:textId="45A4616E" w:rsidR="00823634" w:rsidRPr="00823634" w:rsidRDefault="00823634" w:rsidP="00A672EE">
      <w:pPr>
        <w:spacing w:before="100" w:beforeAutospacing="1" w:after="100" w:afterAutospacing="1" w:line="240" w:lineRule="auto"/>
        <w:rPr>
          <w:rFonts w:ascii="Times New Roman" w:eastAsia="Times New Roman" w:hAnsi="Times New Roman"/>
          <w:b/>
          <w:bCs/>
          <w:sz w:val="24"/>
          <w:szCs w:val="24"/>
        </w:rPr>
      </w:pPr>
      <w:bookmarkStart w:id="141" w:name="_Hlk66942546"/>
      <w:r w:rsidRPr="00823634">
        <w:rPr>
          <w:rFonts w:ascii="Times New Roman" w:eastAsia="Times New Roman" w:hAnsi="Times New Roman"/>
          <w:b/>
          <w:bCs/>
          <w:sz w:val="24"/>
          <w:szCs w:val="24"/>
        </w:rPr>
        <w:t xml:space="preserve">Legal Lesson Learned: “Lone Wolf” domestic terrorist is a growing problem. </w:t>
      </w:r>
    </w:p>
    <w:bookmarkEnd w:id="141"/>
    <w:p w14:paraId="18DE90D0" w14:textId="77777777" w:rsidR="00A672EE" w:rsidRDefault="00A672EE" w:rsidP="00F326E5">
      <w:pPr>
        <w:pStyle w:val="NoSpacing"/>
        <w:rPr>
          <w:rFonts w:ascii="Arial Black" w:hAnsi="Arial Black"/>
          <w:sz w:val="28"/>
          <w:szCs w:val="28"/>
        </w:rPr>
      </w:pPr>
    </w:p>
    <w:p w14:paraId="48957C28" w14:textId="1DA6ED01" w:rsidR="0020758F" w:rsidRDefault="00A672EE" w:rsidP="00F326E5">
      <w:pPr>
        <w:pStyle w:val="NoSpacing"/>
        <w:rPr>
          <w:rFonts w:ascii="Arial Black" w:hAnsi="Arial Black"/>
          <w:sz w:val="28"/>
          <w:szCs w:val="28"/>
        </w:rPr>
      </w:pPr>
      <w:r>
        <w:rPr>
          <w:rFonts w:ascii="Arial Black" w:hAnsi="Arial Black"/>
          <w:sz w:val="28"/>
          <w:szCs w:val="28"/>
        </w:rPr>
        <w:br/>
      </w:r>
      <w:r w:rsidR="0020758F">
        <w:rPr>
          <w:rFonts w:ascii="Arial Black" w:hAnsi="Arial Black"/>
          <w:sz w:val="28"/>
          <w:szCs w:val="28"/>
        </w:rPr>
        <w:t>3-24</w:t>
      </w:r>
    </w:p>
    <w:p w14:paraId="1713C62A" w14:textId="6CA5F426" w:rsidR="0020758F" w:rsidRDefault="0020758F" w:rsidP="00F326E5">
      <w:pPr>
        <w:pStyle w:val="NoSpacing"/>
        <w:rPr>
          <w:rFonts w:ascii="Arial Black" w:hAnsi="Arial Black"/>
          <w:sz w:val="28"/>
          <w:szCs w:val="28"/>
        </w:rPr>
      </w:pPr>
    </w:p>
    <w:p w14:paraId="6C1CB65A" w14:textId="77777777" w:rsidR="007105B3" w:rsidRPr="008932A8" w:rsidRDefault="007105B3" w:rsidP="007105B3">
      <w:pPr>
        <w:rPr>
          <w:rFonts w:ascii="Arial Black" w:eastAsia="Times New Roman" w:hAnsi="Arial Black" w:cs="Tahoma"/>
          <w:b/>
          <w:bCs/>
          <w:sz w:val="28"/>
          <w:szCs w:val="28"/>
        </w:rPr>
      </w:pPr>
      <w:r w:rsidRPr="008932A8">
        <w:rPr>
          <w:rFonts w:ascii="Arial Black" w:eastAsia="Times New Roman" w:hAnsi="Arial Black" w:cs="Tahoma"/>
          <w:b/>
          <w:bCs/>
          <w:sz w:val="28"/>
          <w:szCs w:val="28"/>
        </w:rPr>
        <w:t>U.S. SUPREME COURT: FAST-TRACK DEPORTATION OF IMMIGRANTS CROSSING BORDER UPHELD</w:t>
      </w:r>
    </w:p>
    <w:p w14:paraId="248C798E" w14:textId="77777777" w:rsidR="007105B3" w:rsidRPr="00851091" w:rsidRDefault="007105B3" w:rsidP="007105B3">
      <w:pPr>
        <w:rPr>
          <w:rFonts w:ascii="Times New Roman" w:hAnsi="Times New Roman"/>
          <w:sz w:val="24"/>
          <w:szCs w:val="24"/>
        </w:rPr>
      </w:pPr>
      <w:r w:rsidRPr="002730DF">
        <w:rPr>
          <w:rFonts w:ascii="Times New Roman" w:eastAsia="Times New Roman" w:hAnsi="Times New Roman"/>
          <w:color w:val="36495F"/>
          <w:sz w:val="24"/>
          <w:szCs w:val="24"/>
        </w:rPr>
        <w:t>On June 25, 2020, in</w:t>
      </w:r>
      <w:r>
        <w:rPr>
          <w:rFonts w:ascii="Times New Roman" w:eastAsia="Times New Roman" w:hAnsi="Times New Roman"/>
          <w:color w:val="36495F"/>
          <w:sz w:val="24"/>
          <w:szCs w:val="24"/>
        </w:rPr>
        <w:t xml:space="preserve"> </w:t>
      </w:r>
      <w:r w:rsidRPr="002730DF">
        <w:rPr>
          <w:rFonts w:ascii="Times New Roman" w:eastAsia="Times New Roman" w:hAnsi="Times New Roman"/>
          <w:color w:val="36495F"/>
          <w:sz w:val="24"/>
          <w:szCs w:val="24"/>
          <w:u w:val="single"/>
        </w:rPr>
        <w:t xml:space="preserve">Department of Homeland Security, et al. v. </w:t>
      </w:r>
      <w:r w:rsidRPr="002730DF">
        <w:rPr>
          <w:rFonts w:ascii="Times New Roman" w:hAnsi="Times New Roman"/>
          <w:sz w:val="24"/>
          <w:szCs w:val="24"/>
          <w:u w:val="single"/>
        </w:rPr>
        <w:t>Vijayakumar Thuraissigiam</w:t>
      </w:r>
      <w:r>
        <w:rPr>
          <w:rFonts w:ascii="Times New Roman" w:hAnsi="Times New Roman"/>
          <w:sz w:val="24"/>
          <w:szCs w:val="24"/>
        </w:rPr>
        <w:t>, the U.S. Supreme Court held (7 to 2) that Congress properly established a system of rapid deportation of aliens caught at the border, unless they can convince an immigration judge they had credible fear of persecution if returned to their home country. In this case, a Sri Lanka farmer was caught by Border Patrol crossing the border at 11 pm; he claimed he had been abducted and beaten in Sri Lanka by unknown men in a white van while working in his fields. One month after his arrest at the border he had a 13-minute hearing before an immigration judge and was ordered deported.  He sought a writ of habeas corpus and hearing before a U.S. District Court Judge, which was denied, but U.S. Court of Appeals for 9</w:t>
      </w:r>
      <w:r w:rsidRPr="003E07F5">
        <w:rPr>
          <w:rFonts w:ascii="Times New Roman" w:hAnsi="Times New Roman"/>
          <w:sz w:val="24"/>
          <w:szCs w:val="24"/>
          <w:vertAlign w:val="superscript"/>
        </w:rPr>
        <w:t>th</w:t>
      </w:r>
      <w:r>
        <w:rPr>
          <w:rFonts w:ascii="Times New Roman" w:hAnsi="Times New Roman"/>
          <w:sz w:val="24"/>
          <w:szCs w:val="24"/>
        </w:rPr>
        <w:t xml:space="preserve"> Circuit (San Francisco) reversed.   </w:t>
      </w:r>
      <w:r w:rsidRPr="00476D74">
        <w:rPr>
          <w:rFonts w:ascii="Times New Roman" w:hAnsi="Times New Roman"/>
          <w:sz w:val="24"/>
          <w:szCs w:val="24"/>
        </w:rPr>
        <w:t xml:space="preserve">Justice Samuel Alito </w:t>
      </w:r>
      <w:r>
        <w:rPr>
          <w:rFonts w:ascii="Times New Roman" w:hAnsi="Times New Roman"/>
          <w:sz w:val="24"/>
          <w:szCs w:val="24"/>
        </w:rPr>
        <w:t xml:space="preserve">wrote majority opinion: </w:t>
      </w:r>
      <w:r>
        <w:rPr>
          <w:rFonts w:ascii="&quot;Times New Roman" w:eastAsia="Times New Roman" w:hAnsi="&quot;Times New Roman"/>
          <w:color w:val="36495F"/>
          <w:sz w:val="24"/>
          <w:szCs w:val="24"/>
        </w:rPr>
        <w:t>“</w:t>
      </w:r>
      <w:r w:rsidRPr="00476D74">
        <w:rPr>
          <w:rFonts w:ascii="Times New Roman" w:hAnsi="Times New Roman"/>
          <w:sz w:val="24"/>
          <w:szCs w:val="24"/>
        </w:rPr>
        <w:t xml:space="preserve">Every year, hundreds of thousands of aliens are apprehended at or near the border attempting to enter this country illegally. Many ask for asylum, claiming that they would be persecuted if returned to their home countries. Some of these claims are valid, and by granting asylum, the United States lives up to its ideals and its treaty obligations. </w:t>
      </w:r>
      <w:r>
        <w:rPr>
          <w:rFonts w:ascii="Times New Roman" w:hAnsi="Times New Roman"/>
          <w:sz w:val="24"/>
          <w:szCs w:val="24"/>
        </w:rPr>
        <w:t xml:space="preserve"> </w:t>
      </w:r>
      <w:r w:rsidRPr="00476D74">
        <w:rPr>
          <w:rFonts w:ascii="Times New Roman" w:hAnsi="Times New Roman"/>
          <w:sz w:val="24"/>
          <w:szCs w:val="24"/>
        </w:rPr>
        <w:t>Most asylum claims, however, ultimately fail, and some are fraudulent. In 1996, when Congress enacted the</w:t>
      </w:r>
      <w:r>
        <w:rPr>
          <w:rFonts w:ascii="Times New Roman" w:hAnsi="Times New Roman"/>
          <w:sz w:val="24"/>
          <w:szCs w:val="24"/>
        </w:rPr>
        <w:t xml:space="preserve"> </w:t>
      </w:r>
      <w:r w:rsidRPr="00476D74">
        <w:rPr>
          <w:rFonts w:ascii="Times New Roman" w:hAnsi="Times New Roman"/>
          <w:sz w:val="24"/>
          <w:szCs w:val="24"/>
        </w:rPr>
        <w:t>Illegal Immigration Reform and Immigrant Responsibility Act (IIRIRA), 110 Stat. 3009–546, it crafted a system for weeding out patently meritless claims and expeditiously removing the aliens making such claims from the country. It was Congress’s judgment that detaining all asylum seekers</w:t>
      </w:r>
      <w:r>
        <w:rPr>
          <w:rFonts w:ascii="Times New Roman" w:hAnsi="Times New Roman"/>
          <w:sz w:val="24"/>
          <w:szCs w:val="24"/>
        </w:rPr>
        <w:t xml:space="preserve"> </w:t>
      </w:r>
      <w:r w:rsidRPr="00476D74">
        <w:rPr>
          <w:rFonts w:ascii="Times New Roman" w:hAnsi="Times New Roman"/>
          <w:sz w:val="24"/>
          <w:szCs w:val="24"/>
        </w:rPr>
        <w:t>until the full-blown removal process is completed would</w:t>
      </w:r>
      <w:r>
        <w:rPr>
          <w:rFonts w:ascii="Times New Roman" w:hAnsi="Times New Roman"/>
          <w:sz w:val="24"/>
          <w:szCs w:val="24"/>
        </w:rPr>
        <w:t xml:space="preserve"> </w:t>
      </w:r>
      <w:r w:rsidRPr="00476D74">
        <w:rPr>
          <w:rFonts w:ascii="Times New Roman" w:hAnsi="Times New Roman"/>
          <w:sz w:val="24"/>
          <w:szCs w:val="24"/>
        </w:rPr>
        <w:t>place an unacceptable burden on our immigration system and that releasing them would present an undue risk that they would fail to appear for removal proceedings.</w:t>
      </w:r>
      <w:r>
        <w:rPr>
          <w:rFonts w:ascii="Times New Roman" w:hAnsi="Times New Roman"/>
          <w:sz w:val="24"/>
          <w:szCs w:val="24"/>
        </w:rPr>
        <w:t xml:space="preserve"> </w:t>
      </w:r>
      <w:hyperlink r:id="rId820" w:history="1">
        <w:r w:rsidRPr="00476D74">
          <w:rPr>
            <w:rStyle w:val="Hyperlink"/>
            <w:rFonts w:ascii="Times New Roman" w:hAnsi="Times New Roman"/>
            <w:sz w:val="24"/>
            <w:szCs w:val="24"/>
          </w:rPr>
          <w:t>https://www.supremecourt.gov/opinions/19pdf/19-161_g314.pdf</w:t>
        </w:r>
      </w:hyperlink>
      <w:r>
        <w:rPr>
          <w:rFonts w:ascii="Times New Roman" w:hAnsi="Times New Roman"/>
          <w:sz w:val="24"/>
          <w:szCs w:val="24"/>
        </w:rPr>
        <w:t xml:space="preserve"> </w:t>
      </w:r>
    </w:p>
    <w:p w14:paraId="022FC5CE" w14:textId="77777777" w:rsidR="007105B3" w:rsidRPr="00851091" w:rsidRDefault="007105B3" w:rsidP="007105B3">
      <w:pPr>
        <w:pStyle w:val="NoSpacing"/>
        <w:rPr>
          <w:rFonts w:ascii="Times New Roman" w:hAnsi="Times New Roman"/>
          <w:sz w:val="24"/>
          <w:szCs w:val="24"/>
        </w:rPr>
      </w:pPr>
      <w:r w:rsidRPr="00C0046A">
        <w:rPr>
          <w:rFonts w:ascii="Times New Roman" w:hAnsi="Times New Roman"/>
          <w:b/>
          <w:bCs/>
          <w:sz w:val="24"/>
          <w:szCs w:val="24"/>
        </w:rPr>
        <w:t xml:space="preserve">Legal Lessons Learned: </w:t>
      </w:r>
      <w:r>
        <w:rPr>
          <w:rFonts w:ascii="Times New Roman" w:hAnsi="Times New Roman"/>
          <w:b/>
          <w:bCs/>
          <w:sz w:val="24"/>
          <w:szCs w:val="24"/>
        </w:rPr>
        <w:t xml:space="preserve">The seven Justices found that the current system of immigration judges provides due process.  </w:t>
      </w:r>
    </w:p>
    <w:p w14:paraId="7DC424E2" w14:textId="77777777" w:rsidR="007105B3" w:rsidRPr="00C0046A" w:rsidRDefault="007105B3" w:rsidP="007105B3">
      <w:pPr>
        <w:pStyle w:val="NoSpacing"/>
        <w:rPr>
          <w:rFonts w:ascii="Times New Roman" w:hAnsi="Times New Roman"/>
          <w:b/>
          <w:bCs/>
          <w:sz w:val="24"/>
          <w:szCs w:val="24"/>
        </w:rPr>
      </w:pPr>
    </w:p>
    <w:p w14:paraId="68C7E305" w14:textId="77777777" w:rsidR="007105B3" w:rsidRPr="00C0046A" w:rsidRDefault="007105B3" w:rsidP="007105B3">
      <w:pPr>
        <w:pStyle w:val="NoSpacing"/>
        <w:ind w:left="720"/>
        <w:rPr>
          <w:rFonts w:ascii="Times New Roman" w:hAnsi="Times New Roman"/>
          <w:sz w:val="24"/>
          <w:szCs w:val="24"/>
        </w:rPr>
      </w:pPr>
      <w:r w:rsidRPr="00C0046A">
        <w:rPr>
          <w:rFonts w:ascii="Times New Roman" w:hAnsi="Times New Roman"/>
          <w:sz w:val="24"/>
          <w:szCs w:val="24"/>
        </w:rPr>
        <w:lastRenderedPageBreak/>
        <w:t xml:space="preserve">Note: See June 25, </w:t>
      </w:r>
      <w:proofErr w:type="gramStart"/>
      <w:r w:rsidRPr="00C0046A">
        <w:rPr>
          <w:rFonts w:ascii="Times New Roman" w:hAnsi="Times New Roman"/>
          <w:sz w:val="24"/>
          <w:szCs w:val="24"/>
        </w:rPr>
        <w:t>2019</w:t>
      </w:r>
      <w:proofErr w:type="gramEnd"/>
      <w:r w:rsidRPr="00C0046A">
        <w:rPr>
          <w:rFonts w:ascii="Times New Roman" w:hAnsi="Times New Roman"/>
          <w:sz w:val="24"/>
          <w:szCs w:val="24"/>
        </w:rPr>
        <w:t xml:space="preserve"> article, “Supreme Court Sides </w:t>
      </w:r>
      <w:proofErr w:type="gramStart"/>
      <w:r w:rsidRPr="00C0046A">
        <w:rPr>
          <w:rFonts w:ascii="Times New Roman" w:hAnsi="Times New Roman"/>
          <w:sz w:val="24"/>
          <w:szCs w:val="24"/>
        </w:rPr>
        <w:t>With</w:t>
      </w:r>
      <w:proofErr w:type="gramEnd"/>
      <w:r w:rsidRPr="00C0046A">
        <w:rPr>
          <w:rFonts w:ascii="Times New Roman" w:hAnsi="Times New Roman"/>
          <w:sz w:val="24"/>
          <w:szCs w:val="24"/>
        </w:rPr>
        <w:t xml:space="preserve"> Trump Administration </w:t>
      </w:r>
      <w:proofErr w:type="gramStart"/>
      <w:r w:rsidRPr="00C0046A">
        <w:rPr>
          <w:rFonts w:ascii="Times New Roman" w:hAnsi="Times New Roman"/>
          <w:sz w:val="24"/>
          <w:szCs w:val="24"/>
        </w:rPr>
        <w:t>In</w:t>
      </w:r>
      <w:proofErr w:type="gramEnd"/>
      <w:r w:rsidRPr="00C0046A">
        <w:rPr>
          <w:rFonts w:ascii="Times New Roman" w:hAnsi="Times New Roman"/>
          <w:sz w:val="24"/>
          <w:szCs w:val="24"/>
        </w:rPr>
        <w:t xml:space="preserve"> Asylum Cases,” </w:t>
      </w:r>
      <w:hyperlink r:id="rId821" w:history="1">
        <w:r w:rsidRPr="00C0046A">
          <w:rPr>
            <w:rStyle w:val="Hyperlink"/>
            <w:rFonts w:ascii="Times New Roman" w:hAnsi="Times New Roman"/>
            <w:sz w:val="24"/>
            <w:szCs w:val="24"/>
          </w:rPr>
          <w:t>https://www.npr.org/2020/06/25/883312496/supreme-court-sides-with-trump-administration-in-deportation-case</w:t>
        </w:r>
      </w:hyperlink>
      <w:r w:rsidRPr="00C0046A">
        <w:rPr>
          <w:rFonts w:ascii="Times New Roman" w:hAnsi="Times New Roman"/>
          <w:sz w:val="24"/>
          <w:szCs w:val="24"/>
        </w:rPr>
        <w:t xml:space="preserve"> </w:t>
      </w:r>
    </w:p>
    <w:p w14:paraId="575D1D64" w14:textId="77777777" w:rsidR="007105B3" w:rsidRPr="00C0046A" w:rsidRDefault="007105B3" w:rsidP="007105B3">
      <w:pPr>
        <w:pStyle w:val="NoSpacing"/>
        <w:rPr>
          <w:rFonts w:ascii="Times New Roman" w:hAnsi="Times New Roman"/>
          <w:sz w:val="24"/>
          <w:szCs w:val="24"/>
        </w:rPr>
      </w:pPr>
    </w:p>
    <w:p w14:paraId="35944D2B" w14:textId="77777777" w:rsidR="0020758F" w:rsidRDefault="0020758F" w:rsidP="00F326E5">
      <w:pPr>
        <w:pStyle w:val="NoSpacing"/>
        <w:rPr>
          <w:rFonts w:ascii="Arial Black" w:hAnsi="Arial Black"/>
          <w:sz w:val="28"/>
          <w:szCs w:val="28"/>
        </w:rPr>
      </w:pPr>
    </w:p>
    <w:p w14:paraId="1B91BAD1" w14:textId="77777777" w:rsidR="0020758F" w:rsidRDefault="0020758F" w:rsidP="00F326E5">
      <w:pPr>
        <w:pStyle w:val="NoSpacing"/>
        <w:rPr>
          <w:rFonts w:ascii="Arial Black" w:hAnsi="Arial Black"/>
          <w:sz w:val="28"/>
          <w:szCs w:val="28"/>
        </w:rPr>
      </w:pPr>
    </w:p>
    <w:p w14:paraId="03CEC504" w14:textId="77777777" w:rsidR="0020758F" w:rsidRDefault="0020758F" w:rsidP="00F326E5">
      <w:pPr>
        <w:pStyle w:val="NoSpacing"/>
        <w:rPr>
          <w:rFonts w:ascii="Arial Black" w:hAnsi="Arial Black"/>
          <w:sz w:val="28"/>
          <w:szCs w:val="28"/>
        </w:rPr>
      </w:pPr>
    </w:p>
    <w:p w14:paraId="146984B3" w14:textId="40B8923B" w:rsidR="0020758F" w:rsidRDefault="0020758F" w:rsidP="00F326E5">
      <w:pPr>
        <w:pStyle w:val="NoSpacing"/>
        <w:rPr>
          <w:rFonts w:ascii="Arial Black" w:hAnsi="Arial Black"/>
          <w:sz w:val="28"/>
          <w:szCs w:val="28"/>
        </w:rPr>
      </w:pPr>
      <w:r>
        <w:rPr>
          <w:rFonts w:ascii="Arial Black" w:hAnsi="Arial Black"/>
          <w:sz w:val="28"/>
          <w:szCs w:val="28"/>
        </w:rPr>
        <w:t>3-23</w:t>
      </w:r>
    </w:p>
    <w:p w14:paraId="1E6F770F" w14:textId="77777777" w:rsidR="0020758F" w:rsidRPr="008900B0" w:rsidRDefault="0020758F" w:rsidP="0020758F">
      <w:pPr>
        <w:pStyle w:val="NormalWeb"/>
        <w:tabs>
          <w:tab w:val="left" w:pos="4200"/>
        </w:tabs>
        <w:rPr>
          <w:rFonts w:ascii="Arial Black" w:hAnsi="Arial Black"/>
          <w:sz w:val="28"/>
          <w:szCs w:val="28"/>
        </w:rPr>
      </w:pPr>
      <w:r w:rsidRPr="008900B0">
        <w:rPr>
          <w:rFonts w:ascii="Arial Black" w:hAnsi="Arial Black"/>
          <w:sz w:val="28"/>
          <w:szCs w:val="28"/>
        </w:rPr>
        <w:t xml:space="preserve">U.S. SUPREME COURT: </w:t>
      </w:r>
      <w:r>
        <w:rPr>
          <w:rFonts w:ascii="Arial Black" w:hAnsi="Arial Black"/>
          <w:sz w:val="28"/>
          <w:szCs w:val="28"/>
        </w:rPr>
        <w:t xml:space="preserve"> DACA PROGRAM MAY NOT BE TERMINATED UNTIL DHS FOLLOWS APA – 700,000 ALIENS</w:t>
      </w:r>
    </w:p>
    <w:p w14:paraId="353737F7" w14:textId="77777777" w:rsidR="0020758F" w:rsidRDefault="0020758F" w:rsidP="0020758F">
      <w:pPr>
        <w:pStyle w:val="NormalWeb"/>
      </w:pPr>
      <w:r>
        <w:rPr>
          <w:sz w:val="27"/>
          <w:szCs w:val="27"/>
        </w:rPr>
        <w:t xml:space="preserve">On June 18, 2020, in </w:t>
      </w:r>
      <w:r w:rsidRPr="008900B0">
        <w:rPr>
          <w:u w:val="single"/>
        </w:rPr>
        <w:t>Department of Homeland Security v. Regents of the University of California, et al.</w:t>
      </w:r>
      <w:r>
        <w:rPr>
          <w:sz w:val="27"/>
          <w:szCs w:val="27"/>
        </w:rPr>
        <w:t xml:space="preserve">, the U.S. Supreme Court held (5 to 4) in an opinion by Chief Justice John Roberts, that the Trump Administration has not complied with the Administrative Procedures Act [notice of planned action, administrative hearings] in terminating the 2012 U.S. Department of Homeland Security program, established by President Obama.  DACA [Deferred Action for Childhood Arrivals] has allowed 700,000 children of aliens to remain in the United States, request work authorization and be eligible for Social Security and Medicare.   Chief Justice Roberts wrote: “We do not decide whether DACA or its rescission are sound policies…. We address only whether the agency complied with the procedural requirement that it provide a reasoned explanation for its action. Here the agency failed to consider the conspicuous issues of whether to retain forbearance and what if anything to do about the hardship to DACA recipients. That dual failure raises doubts about whether the agency appreciated the scope of its discretion or exercised that discretion in a reasonable manner. The appropriate recourse is therefore to remand to DHS so that it may consider the problem </w:t>
      </w:r>
      <w:proofErr w:type="gramStart"/>
      <w:r>
        <w:rPr>
          <w:sz w:val="27"/>
          <w:szCs w:val="27"/>
        </w:rPr>
        <w:t>anew.”</w:t>
      </w:r>
      <w:proofErr w:type="gramEnd"/>
      <w:r w:rsidRPr="00120207">
        <w:t xml:space="preserve"> </w:t>
      </w:r>
      <w:hyperlink r:id="rId822" w:history="1">
        <w:r w:rsidRPr="0037669D">
          <w:rPr>
            <w:rStyle w:val="Hyperlink"/>
            <w:sz w:val="27"/>
            <w:szCs w:val="27"/>
          </w:rPr>
          <w:t>https://www.supremecourt.gov/opinions/19pdf/18-587_5ifl.pdf</w:t>
        </w:r>
      </w:hyperlink>
      <w:r>
        <w:rPr>
          <w:sz w:val="27"/>
          <w:szCs w:val="27"/>
        </w:rPr>
        <w:t xml:space="preserve"> </w:t>
      </w:r>
    </w:p>
    <w:p w14:paraId="2B5E8E50" w14:textId="77777777" w:rsidR="0020758F" w:rsidRDefault="0020758F" w:rsidP="0020758F">
      <w:pPr>
        <w:pStyle w:val="NormalWeb"/>
        <w:rPr>
          <w:b/>
          <w:bCs/>
        </w:rPr>
      </w:pPr>
      <w:r w:rsidRPr="00120207">
        <w:rPr>
          <w:b/>
          <w:bCs/>
        </w:rPr>
        <w:t>Legal Lessons Learned:</w:t>
      </w:r>
      <w:r>
        <w:rPr>
          <w:b/>
          <w:bCs/>
        </w:rPr>
        <w:t xml:space="preserve">  This is a very “hot topic” that may in the future again be reviewed by the U.S. Supreme Court. </w:t>
      </w:r>
    </w:p>
    <w:p w14:paraId="6586675B" w14:textId="77777777" w:rsidR="0020758F" w:rsidRDefault="0020758F" w:rsidP="0020758F">
      <w:pPr>
        <w:pStyle w:val="NormalWeb"/>
        <w:ind w:left="720"/>
      </w:pPr>
      <w:r w:rsidRPr="004F5401">
        <w:t xml:space="preserve">Note: </w:t>
      </w:r>
      <w:r>
        <w:t xml:space="preserve"> See June 18, </w:t>
      </w:r>
      <w:proofErr w:type="gramStart"/>
      <w:r>
        <w:t>2020</w:t>
      </w:r>
      <w:proofErr w:type="gramEnd"/>
      <w:r>
        <w:t xml:space="preserve"> DHS statement: </w:t>
      </w:r>
    </w:p>
    <w:tbl>
      <w:tblPr>
        <w:tblW w:w="0" w:type="auto"/>
        <w:tblCellSpacing w:w="15" w:type="dxa"/>
        <w:tblLook w:val="04A0" w:firstRow="1" w:lastRow="0" w:firstColumn="1" w:lastColumn="0" w:noHBand="0" w:noVBand="1"/>
      </w:tblPr>
      <w:tblGrid>
        <w:gridCol w:w="96"/>
      </w:tblGrid>
      <w:tr w:rsidR="0020758F" w14:paraId="2DC4FD56" w14:textId="77777777" w:rsidTr="0020758F">
        <w:trPr>
          <w:tblCellSpacing w:w="15" w:type="dxa"/>
        </w:trPr>
        <w:tc>
          <w:tcPr>
            <w:tcW w:w="0" w:type="auto"/>
            <w:tcMar>
              <w:top w:w="15" w:type="dxa"/>
              <w:left w:w="15" w:type="dxa"/>
              <w:bottom w:w="15" w:type="dxa"/>
              <w:right w:w="15" w:type="dxa"/>
            </w:tcMar>
            <w:vAlign w:val="center"/>
            <w:hideMark/>
          </w:tcPr>
          <w:p w14:paraId="7037F528" w14:textId="77777777" w:rsidR="0020758F" w:rsidRDefault="0020758F" w:rsidP="0020758F">
            <w:bookmarkStart w:id="142" w:name="gd_top"/>
          </w:p>
        </w:tc>
      </w:tr>
      <w:bookmarkEnd w:id="142"/>
    </w:tbl>
    <w:p w14:paraId="7937A52E" w14:textId="77777777" w:rsidR="0020758F" w:rsidRDefault="0020758F" w:rsidP="0020758F">
      <w:pPr>
        <w:rPr>
          <w:rFonts w:eastAsia="Times New Roman" w:cs="Calibri"/>
          <w:vanish/>
          <w:lang w:val="en"/>
        </w:rPr>
      </w:pPr>
    </w:p>
    <w:tbl>
      <w:tblPr>
        <w:tblW w:w="5000" w:type="pct"/>
        <w:jc w:val="center"/>
        <w:shd w:val="clear" w:color="auto" w:fill="FFFFFF"/>
        <w:tblCellMar>
          <w:left w:w="0" w:type="dxa"/>
          <w:right w:w="0" w:type="dxa"/>
        </w:tblCellMar>
        <w:tblLook w:val="04A0" w:firstRow="1" w:lastRow="0" w:firstColumn="1" w:lastColumn="0" w:noHBand="0" w:noVBand="1"/>
      </w:tblPr>
      <w:tblGrid>
        <w:gridCol w:w="10800"/>
      </w:tblGrid>
      <w:tr w:rsidR="0020758F" w14:paraId="6E5EAE02" w14:textId="77777777" w:rsidTr="0020758F">
        <w:trPr>
          <w:jc w:val="center"/>
        </w:trPr>
        <w:tc>
          <w:tcPr>
            <w:tcW w:w="5000" w:type="pct"/>
            <w:shd w:val="clear" w:color="auto" w:fill="FFFFFF"/>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20758F" w14:paraId="64C728E2" w14:textId="77777777" w:rsidTr="0020758F">
              <w:trPr>
                <w:jc w:val="center"/>
              </w:trPr>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9000"/>
                  </w:tblGrid>
                  <w:tr w:rsidR="0020758F" w14:paraId="0FDAF4DB" w14:textId="77777777" w:rsidTr="0020758F">
                    <w:trPr>
                      <w:jc w:val="center"/>
                    </w:trPr>
                    <w:tc>
                      <w:tcPr>
                        <w:tcW w:w="0" w:type="auto"/>
                        <w:vAlign w:val="center"/>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9000"/>
                        </w:tblGrid>
                        <w:tr w:rsidR="0020758F" w14:paraId="4CB81432" w14:textId="77777777" w:rsidTr="0020758F">
                          <w:trPr>
                            <w:jc w:val="center"/>
                          </w:trPr>
                          <w:tc>
                            <w:tcPr>
                              <w:tcW w:w="5000" w:type="pct"/>
                              <w:shd w:val="clear" w:color="auto" w:fill="FFFFFF"/>
                              <w:tcMar>
                                <w:top w:w="75" w:type="dxa"/>
                                <w:left w:w="75" w:type="dxa"/>
                                <w:bottom w:w="0" w:type="dxa"/>
                                <w:right w:w="75" w:type="dxa"/>
                              </w:tcMar>
                              <w:vAlign w:val="center"/>
                              <w:hideMark/>
                            </w:tcPr>
                            <w:p w14:paraId="66C8C6DA" w14:textId="77777777" w:rsidR="0020758F" w:rsidRDefault="0020758F" w:rsidP="0020758F">
                              <w:pPr>
                                <w:pStyle w:val="gdp"/>
                                <w:spacing w:before="150" w:beforeAutospacing="0" w:after="150" w:afterAutospacing="0"/>
                                <w:jc w:val="center"/>
                                <w:rPr>
                                  <w:rFonts w:ascii="Book Antiqua" w:hAnsi="Book Antiqua"/>
                                  <w:color w:val="000000"/>
                                  <w:sz w:val="23"/>
                                  <w:szCs w:val="23"/>
                                </w:rPr>
                              </w:pPr>
                              <w:r>
                                <w:rPr>
                                  <w:rFonts w:ascii="Book Antiqua" w:hAnsi="Book Antiqua"/>
                                  <w:color w:val="000000"/>
                                  <w:sz w:val="23"/>
                                  <w:szCs w:val="23"/>
                                </w:rPr>
                                <w:t>U.S. DEPARTMENT OF HOMELAND SECURITY</w:t>
                              </w:r>
                            </w:p>
                            <w:p w14:paraId="3F817DD3" w14:textId="77777777" w:rsidR="0020758F" w:rsidRDefault="0020758F" w:rsidP="0020758F">
                              <w:pPr>
                                <w:pStyle w:val="gdp"/>
                                <w:spacing w:before="150" w:beforeAutospacing="0" w:after="150" w:afterAutospacing="0"/>
                                <w:jc w:val="center"/>
                                <w:rPr>
                                  <w:rFonts w:ascii="Book Antiqua" w:hAnsi="Book Antiqua"/>
                                  <w:color w:val="000000"/>
                                  <w:sz w:val="23"/>
                                  <w:szCs w:val="23"/>
                                </w:rPr>
                              </w:pPr>
                              <w:r>
                                <w:rPr>
                                  <w:rFonts w:ascii="Book Antiqua" w:hAnsi="Book Antiqua"/>
                                  <w:color w:val="000000"/>
                                  <w:sz w:val="23"/>
                                  <w:szCs w:val="23"/>
                                </w:rPr>
                                <w:t>Office of Public Affairs</w:t>
                              </w:r>
                            </w:p>
                            <w:p w14:paraId="65C4DF51" w14:textId="77777777" w:rsidR="0020758F" w:rsidRDefault="00A95634" w:rsidP="0020758F">
                              <w:pPr>
                                <w:jc w:val="center"/>
                                <w:rPr>
                                  <w:rFonts w:eastAsia="Times New Roman"/>
                                </w:rPr>
                              </w:pPr>
                              <w:r>
                                <w:rPr>
                                  <w:rFonts w:eastAsia="Times New Roman"/>
                                </w:rPr>
                                <w:pict w14:anchorId="4F131D79">
                                  <v:rect id="_x0000_i1025" style="width:468pt;height:1pt" o:hralign="center" o:hrstd="t" o:hr="t" fillcolor="#a0a0a0" stroked="f"/>
                                </w:pict>
                              </w:r>
                            </w:p>
                          </w:tc>
                        </w:tr>
                        <w:tr w:rsidR="0020758F" w14:paraId="0664FD2F" w14:textId="77777777" w:rsidTr="0020758F">
                          <w:trPr>
                            <w:jc w:val="center"/>
                          </w:trPr>
                          <w:tc>
                            <w:tcPr>
                              <w:tcW w:w="5000" w:type="pct"/>
                              <w:shd w:val="clear" w:color="auto" w:fill="FFFFFF"/>
                              <w:tcMar>
                                <w:top w:w="0" w:type="dxa"/>
                                <w:left w:w="75" w:type="dxa"/>
                                <w:bottom w:w="75" w:type="dxa"/>
                                <w:right w:w="75" w:type="dxa"/>
                              </w:tcMar>
                              <w:vAlign w:val="center"/>
                              <w:hideMark/>
                            </w:tcPr>
                            <w:p w14:paraId="4CEB9FF9" w14:textId="77777777" w:rsidR="0020758F" w:rsidRDefault="0020758F" w:rsidP="0020758F">
                              <w:pPr>
                                <w:pStyle w:val="NormalWeb"/>
                                <w:spacing w:before="0" w:beforeAutospacing="0" w:after="0" w:afterAutospacing="0"/>
                                <w:jc w:val="center"/>
                                <w:rPr>
                                  <w:rFonts w:eastAsiaTheme="minorHAnsi"/>
                                </w:rPr>
                              </w:pPr>
                              <w:r>
                                <w:rPr>
                                  <w:rStyle w:val="Strong"/>
                                </w:rPr>
                                <w:t xml:space="preserve">DHS Statement </w:t>
                              </w:r>
                              <w:proofErr w:type="gramStart"/>
                              <w:r>
                                <w:rPr>
                                  <w:rStyle w:val="Strong"/>
                                </w:rPr>
                                <w:t>On</w:t>
                              </w:r>
                              <w:proofErr w:type="gramEnd"/>
                              <w:r>
                                <w:rPr>
                                  <w:rStyle w:val="Strong"/>
                                </w:rPr>
                                <w:t xml:space="preserve"> Supreme Court Decision on DACA</w:t>
                              </w:r>
                            </w:p>
                          </w:tc>
                        </w:tr>
                        <w:tr w:rsidR="0020758F" w14:paraId="447CB144" w14:textId="77777777" w:rsidTr="0020758F">
                          <w:trPr>
                            <w:jc w:val="center"/>
                          </w:trPr>
                          <w:tc>
                            <w:tcPr>
                              <w:tcW w:w="5000" w:type="pct"/>
                              <w:shd w:val="clear" w:color="auto" w:fill="FFFFFF"/>
                              <w:tcMar>
                                <w:top w:w="75" w:type="dxa"/>
                                <w:left w:w="75" w:type="dxa"/>
                                <w:bottom w:w="75" w:type="dxa"/>
                                <w:right w:w="75" w:type="dxa"/>
                              </w:tcMar>
                              <w:vAlign w:val="center"/>
                              <w:hideMark/>
                            </w:tcPr>
                            <w:p w14:paraId="6B51B2DD" w14:textId="77777777" w:rsidR="0020758F" w:rsidRDefault="0020758F" w:rsidP="0020758F">
                              <w:pPr>
                                <w:pStyle w:val="NormalWeb"/>
                                <w:spacing w:before="0" w:beforeAutospacing="0" w:after="0" w:afterAutospacing="0"/>
                                <w:rPr>
                                  <w:rFonts w:ascii="Book Antiqua" w:hAnsi="Book Antiqua"/>
                                  <w:color w:val="000000"/>
                                  <w:sz w:val="23"/>
                                  <w:szCs w:val="23"/>
                                </w:rPr>
                              </w:pPr>
                              <w:r>
                                <w:rPr>
                                  <w:color w:val="000000"/>
                                </w:rPr>
                                <w:t>WASHINGTON- The Department of Homeland Security released the following statements regarding the Supreme Court decision on DACA.</w:t>
                              </w:r>
                            </w:p>
                            <w:p w14:paraId="3847AA5E" w14:textId="77777777" w:rsidR="0020758F" w:rsidRDefault="0020758F" w:rsidP="0020758F">
                              <w:pPr>
                                <w:pStyle w:val="NormalWeb"/>
                                <w:spacing w:before="0" w:beforeAutospacing="0" w:after="0" w:afterAutospacing="0"/>
                                <w:rPr>
                                  <w:rFonts w:ascii="Book Antiqua" w:hAnsi="Book Antiqua"/>
                                  <w:color w:val="000000"/>
                                  <w:sz w:val="23"/>
                                  <w:szCs w:val="23"/>
                                </w:rPr>
                              </w:pPr>
                              <w:r>
                                <w:rPr>
                                  <w:color w:val="000000"/>
                                </w:rPr>
                                <w:t> </w:t>
                              </w:r>
                            </w:p>
                            <w:p w14:paraId="305FA926" w14:textId="77777777" w:rsidR="0020758F" w:rsidRDefault="0020758F" w:rsidP="0020758F">
                              <w:pPr>
                                <w:pStyle w:val="NormalWeb"/>
                                <w:spacing w:before="0" w:beforeAutospacing="0" w:after="0" w:afterAutospacing="0"/>
                                <w:rPr>
                                  <w:rFonts w:ascii="Book Antiqua" w:hAnsi="Book Antiqua"/>
                                  <w:color w:val="000000"/>
                                  <w:sz w:val="23"/>
                                  <w:szCs w:val="23"/>
                                </w:rPr>
                              </w:pPr>
                              <w:r>
                                <w:rPr>
                                  <w:color w:val="000000"/>
                                </w:rPr>
                                <w:t xml:space="preserve">Acting Secretary Chad Wolf: “DACA recipients deserve closure and finality surrounding their status here in the U.S. Unfortunately, today’s Supreme Court decision fails to provide that certainty. The DACA program was created out of thin air and implemented illegally. The American people deserve to have the Nation’s laws faithfully executed as written by </w:t>
                              </w:r>
                              <w:r>
                                <w:rPr>
                                  <w:color w:val="000000"/>
                                </w:rPr>
                                <w:lastRenderedPageBreak/>
                                <w:t xml:space="preserve">their representatives in Congress—not based on the arbitrary decisions of a past Administration. This ruling usurps the clear authority of the Executive Branch to end unlawful programs.” </w:t>
                              </w:r>
                            </w:p>
                            <w:p w14:paraId="60E8D7D7" w14:textId="77777777" w:rsidR="0020758F" w:rsidRDefault="0020758F" w:rsidP="0020758F">
                              <w:pPr>
                                <w:pStyle w:val="NormalWeb"/>
                                <w:spacing w:before="0" w:beforeAutospacing="0" w:after="0" w:afterAutospacing="0"/>
                                <w:rPr>
                                  <w:rFonts w:ascii="Book Antiqua" w:hAnsi="Book Antiqua"/>
                                  <w:color w:val="000000"/>
                                  <w:sz w:val="23"/>
                                  <w:szCs w:val="23"/>
                                </w:rPr>
                              </w:pPr>
                              <w:r>
                                <w:rPr>
                                  <w:color w:val="000000"/>
                                </w:rPr>
                                <w:t> </w:t>
                              </w:r>
                            </w:p>
                            <w:p w14:paraId="5FAD466B" w14:textId="77777777" w:rsidR="0020758F" w:rsidRDefault="0020758F" w:rsidP="0020758F">
                              <w:pPr>
                                <w:pStyle w:val="NormalWeb"/>
                                <w:spacing w:before="0" w:beforeAutospacing="0" w:after="0" w:afterAutospacing="0"/>
                                <w:rPr>
                                  <w:color w:val="000000"/>
                                </w:rPr>
                              </w:pPr>
                              <w:r>
                                <w:rPr>
                                  <w:color w:val="000000"/>
                                </w:rPr>
                                <w:t xml:space="preserve">Acting Deputy Secretary Ken Cuccinelli: “The Supreme Court’s decision is an affront to the rule of law and gives </w:t>
                              </w:r>
                              <w:proofErr w:type="gramStart"/>
                              <w:r>
                                <w:rPr>
                                  <w:color w:val="000000"/>
                                </w:rPr>
                                <w:t>Presidents</w:t>
                              </w:r>
                              <w:proofErr w:type="gramEnd"/>
                              <w:r>
                                <w:rPr>
                                  <w:color w:val="000000"/>
                                </w:rPr>
                                <w:t xml:space="preserve"> power to extend discretionary policies into future Administrations. No Justice will say that the DACA program is lawful, and that should be enough reason to end it.  Justice Clarence Thomas had it right in dissent: ‘Such timidity [by SCOTUS] forsakes the Court’s duty to apply the law according to neutral principles and the ripple effects of the majority’s error will be felt throughout our system of self-government.’”</w:t>
                              </w:r>
                            </w:p>
                            <w:p w14:paraId="1573659E" w14:textId="77777777" w:rsidR="0020758F" w:rsidRDefault="0020758F" w:rsidP="0020758F">
                              <w:pPr>
                                <w:pStyle w:val="NormalWeb"/>
                                <w:spacing w:before="0" w:beforeAutospacing="0" w:after="0" w:afterAutospacing="0"/>
                                <w:rPr>
                                  <w:color w:val="000000"/>
                                </w:rPr>
                              </w:pPr>
                            </w:p>
                            <w:p w14:paraId="070E23B6" w14:textId="77777777" w:rsidR="0020758F" w:rsidRDefault="0020758F" w:rsidP="0020758F">
                              <w:pPr>
                                <w:pStyle w:val="NormalWeb"/>
                                <w:spacing w:before="0" w:beforeAutospacing="0" w:after="0" w:afterAutospacing="0"/>
                                <w:rPr>
                                  <w:rFonts w:ascii="Book Antiqua" w:hAnsi="Book Antiqua"/>
                                  <w:color w:val="000000"/>
                                  <w:sz w:val="23"/>
                                  <w:szCs w:val="23"/>
                                </w:rPr>
                              </w:pPr>
                              <w:hyperlink r:id="rId823" w:history="1">
                                <w:r w:rsidRPr="0037669D">
                                  <w:rPr>
                                    <w:rStyle w:val="Hyperlink"/>
                                  </w:rPr>
                                  <w:t>https://www.dhs.gov/news/2020/06/18/dhs-statement-supreme-court-decision-daca</w:t>
                                </w:r>
                              </w:hyperlink>
                            </w:p>
                          </w:tc>
                        </w:tr>
                        <w:tr w:rsidR="0020758F" w14:paraId="43FD253C" w14:textId="77777777" w:rsidTr="0020758F">
                          <w:trPr>
                            <w:jc w:val="center"/>
                          </w:trPr>
                          <w:tc>
                            <w:tcPr>
                              <w:tcW w:w="5000" w:type="pct"/>
                              <w:shd w:val="clear" w:color="auto" w:fill="FFFFFF"/>
                              <w:vAlign w:val="center"/>
                              <w:hideMark/>
                            </w:tcPr>
                            <w:p w14:paraId="7EA967B9" w14:textId="77777777" w:rsidR="0020758F" w:rsidRDefault="0020758F" w:rsidP="0020758F">
                              <w:pPr>
                                <w:pStyle w:val="gdp"/>
                                <w:spacing w:before="150" w:beforeAutospacing="0" w:after="150" w:afterAutospacing="0"/>
                                <w:jc w:val="center"/>
                                <w:rPr>
                                  <w:rFonts w:ascii="Book Antiqua" w:hAnsi="Book Antiqua"/>
                                  <w:sz w:val="23"/>
                                  <w:szCs w:val="23"/>
                                </w:rPr>
                              </w:pPr>
                            </w:p>
                          </w:tc>
                        </w:tr>
                      </w:tbl>
                      <w:p w14:paraId="618A408B" w14:textId="77777777" w:rsidR="0020758F" w:rsidRDefault="0020758F" w:rsidP="0020758F">
                        <w:pPr>
                          <w:jc w:val="center"/>
                          <w:rPr>
                            <w:rFonts w:ascii="Times New Roman" w:eastAsia="Times New Roman" w:hAnsi="Times New Roman"/>
                            <w:sz w:val="20"/>
                            <w:szCs w:val="20"/>
                          </w:rPr>
                        </w:pPr>
                      </w:p>
                    </w:tc>
                  </w:tr>
                </w:tbl>
                <w:p w14:paraId="5DF03FA9" w14:textId="77777777" w:rsidR="0020758F" w:rsidRDefault="0020758F" w:rsidP="0020758F">
                  <w:pPr>
                    <w:jc w:val="center"/>
                    <w:rPr>
                      <w:rFonts w:ascii="Times New Roman" w:eastAsia="Times New Roman" w:hAnsi="Times New Roman"/>
                      <w:sz w:val="20"/>
                      <w:szCs w:val="20"/>
                    </w:rPr>
                  </w:pPr>
                </w:p>
              </w:tc>
            </w:tr>
          </w:tbl>
          <w:p w14:paraId="477854EC" w14:textId="77777777" w:rsidR="0020758F" w:rsidRDefault="0020758F" w:rsidP="0020758F">
            <w:pPr>
              <w:jc w:val="center"/>
              <w:rPr>
                <w:rFonts w:ascii="Times New Roman" w:eastAsia="Times New Roman" w:hAnsi="Times New Roman"/>
                <w:sz w:val="20"/>
                <w:szCs w:val="20"/>
              </w:rPr>
            </w:pPr>
          </w:p>
        </w:tc>
      </w:tr>
    </w:tbl>
    <w:p w14:paraId="423FA37B" w14:textId="77777777" w:rsidR="0020758F" w:rsidRDefault="0020758F" w:rsidP="00F326E5">
      <w:pPr>
        <w:pStyle w:val="NoSpacing"/>
        <w:rPr>
          <w:rFonts w:ascii="Arial Black" w:hAnsi="Arial Black"/>
          <w:sz w:val="28"/>
          <w:szCs w:val="28"/>
        </w:rPr>
      </w:pPr>
    </w:p>
    <w:p w14:paraId="4044D1AE" w14:textId="77777777" w:rsidR="0020758F" w:rsidRDefault="0020758F" w:rsidP="00F326E5">
      <w:pPr>
        <w:pStyle w:val="NoSpacing"/>
        <w:rPr>
          <w:rFonts w:ascii="Arial Black" w:hAnsi="Arial Black"/>
          <w:sz w:val="28"/>
          <w:szCs w:val="28"/>
        </w:rPr>
      </w:pPr>
    </w:p>
    <w:p w14:paraId="746802DD" w14:textId="77777777" w:rsidR="0020758F" w:rsidRDefault="0020758F" w:rsidP="00F326E5">
      <w:pPr>
        <w:pStyle w:val="NoSpacing"/>
        <w:rPr>
          <w:rFonts w:ascii="Arial Black" w:hAnsi="Arial Black"/>
          <w:sz w:val="28"/>
          <w:szCs w:val="28"/>
        </w:rPr>
      </w:pPr>
    </w:p>
    <w:p w14:paraId="7F21F478" w14:textId="77777777" w:rsidR="0020758F" w:rsidRDefault="0020758F" w:rsidP="00F326E5">
      <w:pPr>
        <w:pStyle w:val="NoSpacing"/>
        <w:rPr>
          <w:rFonts w:ascii="Arial Black" w:hAnsi="Arial Black"/>
          <w:sz w:val="28"/>
          <w:szCs w:val="28"/>
        </w:rPr>
      </w:pPr>
    </w:p>
    <w:p w14:paraId="7A1B8250" w14:textId="5542CF92" w:rsidR="005F0E6D" w:rsidRDefault="005F0E6D" w:rsidP="00F326E5">
      <w:pPr>
        <w:pStyle w:val="NoSpacing"/>
        <w:rPr>
          <w:rFonts w:ascii="Arial Black" w:hAnsi="Arial Black"/>
          <w:sz w:val="28"/>
          <w:szCs w:val="28"/>
        </w:rPr>
      </w:pPr>
      <w:r>
        <w:rPr>
          <w:rFonts w:ascii="Arial Black" w:hAnsi="Arial Black"/>
          <w:sz w:val="28"/>
          <w:szCs w:val="28"/>
        </w:rPr>
        <w:t>3-22</w:t>
      </w:r>
    </w:p>
    <w:p w14:paraId="51F0840B" w14:textId="25D069EA" w:rsidR="005F0E6D" w:rsidRDefault="005F0E6D" w:rsidP="00F326E5">
      <w:pPr>
        <w:pStyle w:val="NoSpacing"/>
        <w:rPr>
          <w:rFonts w:ascii="Arial Black" w:hAnsi="Arial Black"/>
          <w:sz w:val="28"/>
          <w:szCs w:val="28"/>
        </w:rPr>
      </w:pPr>
    </w:p>
    <w:p w14:paraId="7CDAB09D" w14:textId="77777777" w:rsidR="005F0E6D" w:rsidRPr="00F366B7" w:rsidRDefault="005F0E6D" w:rsidP="005F0E6D">
      <w:pPr>
        <w:pStyle w:val="NoSpacing"/>
        <w:rPr>
          <w:rFonts w:ascii="Arial Black" w:hAnsi="Arial Black"/>
          <w:b/>
          <w:bCs/>
          <w:sz w:val="28"/>
          <w:szCs w:val="28"/>
        </w:rPr>
      </w:pPr>
      <w:r w:rsidRPr="00F366B7">
        <w:rPr>
          <w:rFonts w:ascii="Arial Black" w:hAnsi="Arial Black"/>
          <w:bCs/>
          <w:sz w:val="28"/>
          <w:szCs w:val="28"/>
        </w:rPr>
        <w:t>NY:</w:t>
      </w:r>
      <w:r>
        <w:rPr>
          <w:rFonts w:ascii="Arial Black" w:hAnsi="Arial Black"/>
          <w:bCs/>
          <w:sz w:val="28"/>
          <w:szCs w:val="28"/>
        </w:rPr>
        <w:t xml:space="preserve"> TERRORIST – FINGERPRINTS ON BOMB’S PACKING TAPE – CROSS EXAM. FBI EXAMINER NOT ON SPAIN CASE</w:t>
      </w:r>
    </w:p>
    <w:p w14:paraId="6CB67344" w14:textId="77777777" w:rsidR="005F0E6D" w:rsidRPr="00F366B7" w:rsidRDefault="005F0E6D" w:rsidP="005F0E6D">
      <w:pPr>
        <w:pStyle w:val="NoSpacing"/>
        <w:ind w:left="720"/>
        <w:rPr>
          <w:rFonts w:ascii="NYArial Black" w:hAnsi="NYArial Black"/>
          <w:b/>
          <w:bCs/>
          <w:sz w:val="28"/>
          <w:szCs w:val="28"/>
        </w:rPr>
      </w:pPr>
    </w:p>
    <w:p w14:paraId="53EF50B2" w14:textId="23365003" w:rsidR="005F0E6D" w:rsidRDefault="005F0E6D" w:rsidP="005F0E6D">
      <w:pPr>
        <w:pStyle w:val="NoSpacing"/>
        <w:rPr>
          <w:rFonts w:ascii="Times New Roman" w:hAnsi="Times New Roman"/>
          <w:bCs/>
          <w:sz w:val="24"/>
          <w:szCs w:val="24"/>
        </w:rPr>
      </w:pPr>
      <w:r w:rsidRPr="000A5D76">
        <w:rPr>
          <w:rFonts w:ascii="Times New Roman" w:hAnsi="Times New Roman"/>
          <w:bCs/>
          <w:sz w:val="24"/>
          <w:szCs w:val="24"/>
        </w:rPr>
        <w:t xml:space="preserve">On April 16, 2020, in </w:t>
      </w:r>
      <w:r w:rsidRPr="000A5D76">
        <w:rPr>
          <w:rFonts w:ascii="Times New Roman" w:hAnsi="Times New Roman"/>
          <w:bCs/>
          <w:sz w:val="24"/>
          <w:szCs w:val="24"/>
          <w:u w:val="single"/>
        </w:rPr>
        <w:t>United States of America v. Muhanad Mahmoud Al Farekh</w:t>
      </w:r>
      <w:r w:rsidRPr="000A5D76">
        <w:rPr>
          <w:rFonts w:ascii="Times New Roman" w:hAnsi="Times New Roman"/>
          <w:bCs/>
          <w:sz w:val="24"/>
          <w:szCs w:val="24"/>
        </w:rPr>
        <w:t xml:space="preserve">, the U.S. Court of Appeals for Second Circuit (New York) held (3 to 0) that trial judge properly reviewed FBI classified documents </w:t>
      </w:r>
      <w:r w:rsidRPr="000A5D76">
        <w:rPr>
          <w:rFonts w:ascii="Times New Roman" w:hAnsi="Times New Roman"/>
          <w:bCs/>
          <w:i/>
          <w:iCs/>
          <w:sz w:val="24"/>
          <w:szCs w:val="24"/>
        </w:rPr>
        <w:t xml:space="preserve">ex </w:t>
      </w:r>
      <w:proofErr w:type="spellStart"/>
      <w:r w:rsidRPr="000A5D76">
        <w:rPr>
          <w:rFonts w:ascii="Times New Roman" w:hAnsi="Times New Roman"/>
          <w:bCs/>
          <w:i/>
          <w:iCs/>
          <w:sz w:val="24"/>
          <w:szCs w:val="24"/>
        </w:rPr>
        <w:t>parte</w:t>
      </w:r>
      <w:proofErr w:type="spellEnd"/>
      <w:r w:rsidRPr="000A5D76">
        <w:rPr>
          <w:rFonts w:ascii="Times New Roman" w:hAnsi="Times New Roman"/>
          <w:bCs/>
          <w:sz w:val="24"/>
          <w:szCs w:val="24"/>
        </w:rPr>
        <w:t xml:space="preserve"> (without defense counsel), and properly prohibited defense counsel to cross-examination of FBI fingerprint examiner about another FBI fingerprint case 16 years earlier involving attacks on commuter trains in Madrid, Spain.   [Note: In </w:t>
      </w:r>
      <w:proofErr w:type="gramStart"/>
      <w:r w:rsidRPr="000A5D76">
        <w:rPr>
          <w:rFonts w:ascii="Times New Roman" w:hAnsi="Times New Roman"/>
          <w:bCs/>
          <w:sz w:val="24"/>
          <w:szCs w:val="24"/>
        </w:rPr>
        <w:t>May,</w:t>
      </w:r>
      <w:proofErr w:type="gramEnd"/>
      <w:r w:rsidRPr="000A5D76">
        <w:rPr>
          <w:rFonts w:ascii="Times New Roman" w:hAnsi="Times New Roman"/>
          <w:bCs/>
          <w:sz w:val="24"/>
          <w:szCs w:val="24"/>
        </w:rPr>
        <w:t xml:space="preserve"> 2004, the FBI arrested Brandon Mayfield, </w:t>
      </w:r>
      <w:proofErr w:type="gramStart"/>
      <w:r w:rsidRPr="000A5D76">
        <w:rPr>
          <w:rFonts w:ascii="Times New Roman" w:hAnsi="Times New Roman"/>
          <w:bCs/>
          <w:sz w:val="24"/>
          <w:szCs w:val="24"/>
        </w:rPr>
        <w:t>a</w:t>
      </w:r>
      <w:proofErr w:type="gramEnd"/>
      <w:r w:rsidRPr="000A5D76">
        <w:rPr>
          <w:rFonts w:ascii="Times New Roman" w:hAnsi="Times New Roman"/>
          <w:bCs/>
          <w:sz w:val="24"/>
          <w:szCs w:val="24"/>
        </w:rPr>
        <w:t xml:space="preserve"> Oregon attorney, as a material witness in an investigation of the terrorist attacks on commuter trains in Madrid, Spain in </w:t>
      </w:r>
      <w:proofErr w:type="gramStart"/>
      <w:r w:rsidRPr="000A5D76">
        <w:rPr>
          <w:rFonts w:ascii="Times New Roman" w:hAnsi="Times New Roman"/>
          <w:bCs/>
          <w:sz w:val="24"/>
          <w:szCs w:val="24"/>
        </w:rPr>
        <w:t>March,</w:t>
      </w:r>
      <w:proofErr w:type="gramEnd"/>
      <w:r w:rsidRPr="000A5D76">
        <w:rPr>
          <w:rFonts w:ascii="Times New Roman" w:hAnsi="Times New Roman"/>
          <w:bCs/>
          <w:sz w:val="24"/>
          <w:szCs w:val="24"/>
        </w:rPr>
        <w:t xml:space="preserve"> 2004.  The FBI Laboratory </w:t>
      </w:r>
    </w:p>
    <w:p w14:paraId="1EF7A63E" w14:textId="77777777" w:rsidR="005F0E6D" w:rsidRPr="000A5D76" w:rsidRDefault="005F0E6D" w:rsidP="005F0E6D">
      <w:pPr>
        <w:pStyle w:val="NoSpacing"/>
        <w:rPr>
          <w:rFonts w:ascii="Times New Roman" w:hAnsi="Times New Roman"/>
          <w:b/>
          <w:bCs/>
          <w:sz w:val="24"/>
          <w:szCs w:val="24"/>
        </w:rPr>
      </w:pPr>
      <w:proofErr w:type="gramStart"/>
      <w:r w:rsidRPr="000A5D76">
        <w:rPr>
          <w:rFonts w:ascii="Times New Roman" w:hAnsi="Times New Roman"/>
          <w:bCs/>
          <w:sz w:val="24"/>
          <w:szCs w:val="24"/>
        </w:rPr>
        <w:t>identified Mayfield’s</w:t>
      </w:r>
      <w:proofErr w:type="gramEnd"/>
      <w:r w:rsidRPr="000A5D76">
        <w:rPr>
          <w:rFonts w:ascii="Times New Roman" w:hAnsi="Times New Roman"/>
          <w:bCs/>
          <w:sz w:val="24"/>
          <w:szCs w:val="24"/>
        </w:rPr>
        <w:t xml:space="preserve"> </w:t>
      </w:r>
      <w:proofErr w:type="gramStart"/>
      <w:r w:rsidRPr="000A5D76">
        <w:rPr>
          <w:rFonts w:ascii="Times New Roman" w:hAnsi="Times New Roman"/>
          <w:bCs/>
          <w:sz w:val="24"/>
          <w:szCs w:val="24"/>
        </w:rPr>
        <w:t>fingerprint</w:t>
      </w:r>
      <w:proofErr w:type="gramEnd"/>
      <w:r w:rsidRPr="000A5D76">
        <w:rPr>
          <w:rFonts w:ascii="Times New Roman" w:hAnsi="Times New Roman"/>
          <w:bCs/>
          <w:sz w:val="24"/>
          <w:szCs w:val="24"/>
        </w:rPr>
        <w:t xml:space="preserve"> on a bag of detonators in Madrid.  Two weeks after Mayfield’s arrest, the Spanish National Police identified an Algerian as the source of the fingerprint, and Mayfield was released from custody.]</w:t>
      </w:r>
    </w:p>
    <w:p w14:paraId="1DB14961" w14:textId="77777777" w:rsidR="005F0E6D" w:rsidRPr="000A5D76" w:rsidRDefault="005F0E6D" w:rsidP="005F0E6D">
      <w:pPr>
        <w:pStyle w:val="NoSpacing"/>
        <w:ind w:left="720"/>
        <w:rPr>
          <w:rFonts w:ascii="Times New Roman" w:hAnsi="Times New Roman"/>
          <w:b/>
          <w:bCs/>
          <w:sz w:val="24"/>
          <w:szCs w:val="24"/>
        </w:rPr>
      </w:pPr>
    </w:p>
    <w:p w14:paraId="477C0BBA" w14:textId="3558D233" w:rsidR="005F0E6D" w:rsidRDefault="005F0E6D" w:rsidP="005F0E6D">
      <w:pPr>
        <w:pStyle w:val="NoSpacing"/>
        <w:ind w:left="720"/>
        <w:rPr>
          <w:rFonts w:ascii="Arial Black" w:hAnsi="Arial Black"/>
          <w:sz w:val="28"/>
          <w:szCs w:val="28"/>
        </w:rPr>
      </w:pPr>
      <w:r w:rsidRPr="000A5D76">
        <w:rPr>
          <w:rFonts w:ascii="Times New Roman" w:hAnsi="Times New Roman"/>
          <w:bCs/>
          <w:sz w:val="24"/>
          <w:szCs w:val="24"/>
        </w:rPr>
        <w:t>“[T]he District Court did not preclude Al-</w:t>
      </w:r>
      <w:proofErr w:type="spellStart"/>
      <w:r w:rsidRPr="000A5D76">
        <w:rPr>
          <w:rFonts w:ascii="Times New Roman" w:hAnsi="Times New Roman"/>
          <w:bCs/>
          <w:sz w:val="24"/>
          <w:szCs w:val="24"/>
        </w:rPr>
        <w:t>Farekh</w:t>
      </w:r>
      <w:proofErr w:type="spellEnd"/>
      <w:r w:rsidRPr="000A5D76">
        <w:rPr>
          <w:rFonts w:ascii="Times New Roman" w:hAnsi="Times New Roman"/>
          <w:bCs/>
          <w:sz w:val="24"/>
          <w:szCs w:val="24"/>
        </w:rPr>
        <w:t xml:space="preserve"> from highlighting the possible subjectivity of, and potential flaws in, fingerprint evidence through his cross-examination of Sibley. </w:t>
      </w:r>
      <w:proofErr w:type="gramStart"/>
      <w:r w:rsidRPr="000A5D76">
        <w:rPr>
          <w:rFonts w:ascii="Times New Roman" w:hAnsi="Times New Roman"/>
          <w:bCs/>
          <w:sz w:val="24"/>
          <w:szCs w:val="24"/>
        </w:rPr>
        <w:t>To</w:t>
      </w:r>
      <w:proofErr w:type="gramEnd"/>
      <w:r w:rsidRPr="000A5D76">
        <w:rPr>
          <w:rFonts w:ascii="Times New Roman" w:hAnsi="Times New Roman"/>
          <w:bCs/>
          <w:sz w:val="24"/>
          <w:szCs w:val="24"/>
        </w:rPr>
        <w:t xml:space="preserve"> the contrary, Al-</w:t>
      </w:r>
      <w:proofErr w:type="spellStart"/>
      <w:r w:rsidRPr="000A5D76">
        <w:rPr>
          <w:rFonts w:ascii="Times New Roman" w:hAnsi="Times New Roman"/>
          <w:bCs/>
          <w:sz w:val="24"/>
          <w:szCs w:val="24"/>
        </w:rPr>
        <w:t>Farekh</w:t>
      </w:r>
      <w:proofErr w:type="spellEnd"/>
      <w:r w:rsidRPr="000A5D76">
        <w:rPr>
          <w:rFonts w:ascii="Times New Roman" w:hAnsi="Times New Roman"/>
          <w:bCs/>
          <w:sz w:val="24"/>
          <w:szCs w:val="24"/>
        </w:rPr>
        <w:t xml:space="preserve"> had the opportunity to do just that. Sibley testified, for example, about the ‘level of subjectivity in latent print comparisons’ and about the potential for mistakes by examiners in making false positive identifications. Other than being unable to rely on the Mayfield case and the report of the Department of Justice’s Office of Inspector General prepared on that case, Al-</w:t>
      </w:r>
      <w:proofErr w:type="spellStart"/>
      <w:r w:rsidRPr="000A5D76">
        <w:rPr>
          <w:rFonts w:ascii="Times New Roman" w:hAnsi="Times New Roman"/>
          <w:bCs/>
          <w:sz w:val="24"/>
          <w:szCs w:val="24"/>
        </w:rPr>
        <w:t>Farekh</w:t>
      </w:r>
      <w:proofErr w:type="spellEnd"/>
      <w:r w:rsidRPr="000A5D76">
        <w:rPr>
          <w:rFonts w:ascii="Times New Roman" w:hAnsi="Times New Roman"/>
          <w:bCs/>
          <w:sz w:val="24"/>
          <w:szCs w:val="24"/>
        </w:rPr>
        <w:t xml:space="preserve"> was free to attack Sibley’s methodology and fingerprint examinations as a type of evidence.” </w:t>
      </w:r>
      <w:hyperlink r:id="rId824" w:anchor="xml=http://www.ca2.uscourts.gov/decisions/isysquery/d136f88b-cd40-4720-ac80-979ab5d9e37d/2/hilite/" w:history="1">
        <w:r w:rsidRPr="000A5D76">
          <w:rPr>
            <w:rStyle w:val="Hyperlink"/>
            <w:rFonts w:ascii="Times New Roman" w:hAnsi="Times New Roman"/>
            <w:b/>
            <w:sz w:val="24"/>
            <w:szCs w:val="24"/>
          </w:rPr>
          <w:t>http://www.ca2.uscourts.gov/decisions/isysquery/d136f88b-cd40-4720-ac80-979ab5d9e37d/2/doc/18-943_opn.pdf#xml=http://www.ca2.uscourts.gov/decisions/isysquery/d136f88b-cd40-4720-ac80-979ab5d9e37d/2/hilite/</w:t>
        </w:r>
      </w:hyperlink>
    </w:p>
    <w:p w14:paraId="7A34C34C" w14:textId="73447424" w:rsidR="005F0E6D" w:rsidRDefault="005F0E6D" w:rsidP="00F326E5">
      <w:pPr>
        <w:pStyle w:val="NoSpacing"/>
        <w:rPr>
          <w:rFonts w:ascii="Arial Black" w:hAnsi="Arial Black"/>
          <w:sz w:val="28"/>
          <w:szCs w:val="28"/>
        </w:rPr>
      </w:pPr>
    </w:p>
    <w:p w14:paraId="4FC37C09" w14:textId="77777777" w:rsidR="005F0E6D" w:rsidRPr="000A5D76" w:rsidRDefault="005F0E6D" w:rsidP="005F0E6D">
      <w:pPr>
        <w:pStyle w:val="NoSpacing"/>
        <w:rPr>
          <w:rFonts w:ascii="Times New Roman" w:hAnsi="Times New Roman"/>
          <w:b/>
          <w:bCs/>
          <w:sz w:val="24"/>
          <w:szCs w:val="24"/>
        </w:rPr>
      </w:pPr>
      <w:bookmarkStart w:id="143" w:name="_Hlk40509099"/>
      <w:r w:rsidRPr="000A5D76">
        <w:rPr>
          <w:rFonts w:ascii="Times New Roman" w:hAnsi="Times New Roman"/>
          <w:b/>
          <w:bCs/>
          <w:sz w:val="24"/>
          <w:szCs w:val="24"/>
        </w:rPr>
        <w:t xml:space="preserve">Legal Lessons Learned:  Congress enacted the Classified Information Procedures Act to authorize federal judges to protect from public disclosure classified information. Regarding fingerprint </w:t>
      </w:r>
      <w:r w:rsidRPr="000A5D76">
        <w:rPr>
          <w:rFonts w:ascii="Times New Roman" w:hAnsi="Times New Roman"/>
          <w:b/>
          <w:bCs/>
          <w:sz w:val="24"/>
          <w:szCs w:val="24"/>
        </w:rPr>
        <w:lastRenderedPageBreak/>
        <w:t>examination, defense counsel may vigorously cross-exam expert witnesses, but not on a mistake by other FBI examiners that occurred 16 years prior.</w:t>
      </w:r>
    </w:p>
    <w:p w14:paraId="197A4BA0" w14:textId="77777777" w:rsidR="005F0E6D" w:rsidRPr="000A5D76" w:rsidRDefault="005F0E6D" w:rsidP="005F0E6D">
      <w:pPr>
        <w:pStyle w:val="NoSpacing"/>
        <w:rPr>
          <w:rFonts w:ascii="Times New Roman" w:hAnsi="Times New Roman"/>
          <w:sz w:val="24"/>
          <w:szCs w:val="24"/>
        </w:rPr>
      </w:pPr>
    </w:p>
    <w:p w14:paraId="03B3F140" w14:textId="77777777" w:rsidR="005F0E6D" w:rsidRPr="000A5D76" w:rsidRDefault="005F0E6D" w:rsidP="005F0E6D">
      <w:pPr>
        <w:pStyle w:val="NoSpacing"/>
        <w:ind w:left="720"/>
        <w:rPr>
          <w:rFonts w:ascii="Times New Roman" w:hAnsi="Times New Roman"/>
          <w:b/>
          <w:bCs/>
          <w:sz w:val="24"/>
          <w:szCs w:val="24"/>
        </w:rPr>
      </w:pPr>
      <w:r w:rsidRPr="000A5D76">
        <w:rPr>
          <w:rFonts w:ascii="Times New Roman" w:hAnsi="Times New Roman"/>
          <w:bCs/>
          <w:sz w:val="24"/>
          <w:szCs w:val="24"/>
        </w:rPr>
        <w:t xml:space="preserve">Note:  See  </w:t>
      </w:r>
      <w:proofErr w:type="spellStart"/>
      <w:r w:rsidRPr="000A5D76">
        <w:rPr>
          <w:rFonts w:ascii="Times New Roman" w:hAnsi="Times New Roman"/>
          <w:bCs/>
          <w:sz w:val="24"/>
          <w:szCs w:val="24"/>
        </w:rPr>
        <w:t>DoJ</w:t>
      </w:r>
      <w:proofErr w:type="spellEnd"/>
      <w:r w:rsidRPr="000A5D76">
        <w:rPr>
          <w:rFonts w:ascii="Times New Roman" w:hAnsi="Times New Roman"/>
          <w:bCs/>
          <w:sz w:val="24"/>
          <w:szCs w:val="24"/>
        </w:rPr>
        <w:t xml:space="preserve">, Inspector General report on the Spanish investigation: </w:t>
      </w:r>
      <w:hyperlink r:id="rId825" w:history="1">
        <w:r w:rsidRPr="000A5D76">
          <w:rPr>
            <w:rStyle w:val="Hyperlink"/>
            <w:rFonts w:ascii="Times New Roman" w:hAnsi="Times New Roman"/>
            <w:b/>
            <w:sz w:val="24"/>
            <w:szCs w:val="24"/>
          </w:rPr>
          <w:t>https://oig.justice.gov/special/s0601/final.pdf</w:t>
        </w:r>
      </w:hyperlink>
      <w:r w:rsidRPr="000A5D76">
        <w:rPr>
          <w:rFonts w:ascii="Times New Roman" w:hAnsi="Times New Roman"/>
          <w:bCs/>
          <w:sz w:val="24"/>
          <w:szCs w:val="24"/>
        </w:rPr>
        <w:t xml:space="preserve"> </w:t>
      </w:r>
    </w:p>
    <w:bookmarkEnd w:id="143"/>
    <w:p w14:paraId="293AD99A" w14:textId="77777777" w:rsidR="005F0E6D" w:rsidRPr="000A5D76" w:rsidRDefault="005F0E6D" w:rsidP="005F0E6D">
      <w:pPr>
        <w:pStyle w:val="NoSpacing"/>
        <w:rPr>
          <w:rFonts w:ascii="Times New Roman" w:hAnsi="Times New Roman"/>
          <w:sz w:val="24"/>
          <w:szCs w:val="24"/>
        </w:rPr>
      </w:pPr>
    </w:p>
    <w:p w14:paraId="24286BB0" w14:textId="3DB7F3EA" w:rsidR="005F0E6D" w:rsidRDefault="005F0E6D" w:rsidP="00F326E5">
      <w:pPr>
        <w:pStyle w:val="NoSpacing"/>
        <w:rPr>
          <w:rFonts w:ascii="Arial Black" w:hAnsi="Arial Black"/>
          <w:sz w:val="28"/>
          <w:szCs w:val="28"/>
        </w:rPr>
      </w:pPr>
    </w:p>
    <w:p w14:paraId="55151B98" w14:textId="77777777" w:rsidR="005F0E6D" w:rsidRDefault="005F0E6D" w:rsidP="00F326E5">
      <w:pPr>
        <w:pStyle w:val="NoSpacing"/>
        <w:rPr>
          <w:rFonts w:ascii="Arial Black" w:hAnsi="Arial Black"/>
          <w:sz w:val="28"/>
          <w:szCs w:val="28"/>
        </w:rPr>
      </w:pPr>
    </w:p>
    <w:p w14:paraId="5BD6C40F" w14:textId="130677F6" w:rsidR="005F0E6D" w:rsidRDefault="005F0E6D" w:rsidP="00F326E5">
      <w:pPr>
        <w:pStyle w:val="NoSpacing"/>
        <w:rPr>
          <w:rFonts w:ascii="Arial Black" w:hAnsi="Arial Black"/>
          <w:sz w:val="28"/>
          <w:szCs w:val="28"/>
        </w:rPr>
      </w:pPr>
      <w:r>
        <w:rPr>
          <w:rFonts w:ascii="Arial Black" w:hAnsi="Arial Black"/>
          <w:sz w:val="28"/>
          <w:szCs w:val="28"/>
        </w:rPr>
        <w:t>3-21</w:t>
      </w:r>
    </w:p>
    <w:p w14:paraId="66090080" w14:textId="026526EA" w:rsidR="005F0E6D" w:rsidRDefault="005F0E6D" w:rsidP="00F326E5">
      <w:pPr>
        <w:pStyle w:val="NoSpacing"/>
        <w:rPr>
          <w:rFonts w:ascii="Arial Black" w:hAnsi="Arial Black"/>
          <w:sz w:val="28"/>
          <w:szCs w:val="28"/>
        </w:rPr>
      </w:pPr>
    </w:p>
    <w:p w14:paraId="7A721792" w14:textId="77777777" w:rsidR="005F0E6D" w:rsidRPr="00817615" w:rsidRDefault="005F0E6D" w:rsidP="005F0E6D">
      <w:pPr>
        <w:pStyle w:val="NoSpacing"/>
        <w:rPr>
          <w:rFonts w:ascii="Arial Black" w:hAnsi="Arial Black"/>
          <w:b/>
          <w:bCs/>
          <w:sz w:val="28"/>
          <w:szCs w:val="28"/>
        </w:rPr>
      </w:pPr>
      <w:r>
        <w:rPr>
          <w:rFonts w:ascii="Arial Black" w:hAnsi="Arial Black"/>
          <w:bCs/>
          <w:sz w:val="28"/>
          <w:szCs w:val="28"/>
        </w:rPr>
        <w:t>MD: CIA / DOD – FORMER EMPLOYEES MUST HAVE “PRE-PUBLICATION REVIEWS” – LAWFUL, EVEN IF SLOW</w:t>
      </w:r>
    </w:p>
    <w:p w14:paraId="05FF4709" w14:textId="77777777" w:rsidR="005F0E6D" w:rsidRDefault="005F0E6D" w:rsidP="005F0E6D">
      <w:pPr>
        <w:pStyle w:val="NoSpacing"/>
        <w:ind w:left="720"/>
        <w:rPr>
          <w:b/>
          <w:bCs/>
          <w:sz w:val="24"/>
          <w:szCs w:val="24"/>
        </w:rPr>
      </w:pPr>
    </w:p>
    <w:p w14:paraId="2D54D5A6" w14:textId="77777777" w:rsidR="005F0E6D" w:rsidRPr="000A5D76" w:rsidRDefault="005F0E6D" w:rsidP="005F0E6D">
      <w:pPr>
        <w:pStyle w:val="NoSpacing"/>
        <w:rPr>
          <w:rStyle w:val="headertext"/>
          <w:rFonts w:ascii="Times New Roman" w:hAnsi="Times New Roman"/>
          <w:b/>
          <w:bCs/>
          <w:sz w:val="24"/>
          <w:szCs w:val="24"/>
        </w:rPr>
      </w:pPr>
      <w:r w:rsidRPr="000A5D76">
        <w:rPr>
          <w:rFonts w:ascii="Times New Roman" w:hAnsi="Times New Roman"/>
          <w:bCs/>
          <w:sz w:val="24"/>
          <w:szCs w:val="24"/>
        </w:rPr>
        <w:t xml:space="preserve">On April 15, 2020, in </w:t>
      </w:r>
      <w:r w:rsidRPr="000A5D76">
        <w:rPr>
          <w:rFonts w:ascii="Times New Roman" w:hAnsi="Times New Roman"/>
          <w:bCs/>
          <w:sz w:val="24"/>
          <w:szCs w:val="24"/>
          <w:u w:val="single"/>
        </w:rPr>
        <w:t>Timothy H. Edgar, et al. v. Daniel Coats, et al</w:t>
      </w:r>
      <w:r w:rsidRPr="000A5D76">
        <w:rPr>
          <w:rFonts w:ascii="Times New Roman" w:hAnsi="Times New Roman"/>
          <w:bCs/>
          <w:sz w:val="24"/>
          <w:szCs w:val="24"/>
        </w:rPr>
        <w:t xml:space="preserve">., U.S. District Court Judge George J. Hazel, in a 57-page decision, granted the U.S. Government’s motion to dismiss.  Each the five plaintiffs signed agency security agreements, requiring when the left government a prepublication review (“PRR”) of their books and other future publications.  They each complained that CIA and other agencies took too long to conduct the </w:t>
      </w:r>
      <w:proofErr w:type="gramStart"/>
      <w:r w:rsidRPr="000A5D76">
        <w:rPr>
          <w:rFonts w:ascii="Times New Roman" w:hAnsi="Times New Roman"/>
          <w:bCs/>
          <w:sz w:val="24"/>
          <w:szCs w:val="24"/>
        </w:rPr>
        <w:t>reviews, and</w:t>
      </w:r>
      <w:proofErr w:type="gramEnd"/>
      <w:r w:rsidRPr="000A5D76">
        <w:rPr>
          <w:rFonts w:ascii="Times New Roman" w:hAnsi="Times New Roman"/>
          <w:bCs/>
          <w:sz w:val="24"/>
          <w:szCs w:val="24"/>
        </w:rPr>
        <w:t xml:space="preserve"> deleted too much information that may have been embarrassing to the government but was not classified.   Judge Hazel followed the U.S. Supreme Court’s precedent in </w:t>
      </w:r>
      <w:proofErr w:type="spellStart"/>
      <w:r w:rsidRPr="000A5D76">
        <w:rPr>
          <w:rFonts w:ascii="Times New Roman" w:hAnsi="Times New Roman"/>
          <w:bCs/>
          <w:sz w:val="24"/>
          <w:szCs w:val="24"/>
          <w:u w:val="single"/>
        </w:rPr>
        <w:t>Snepp</w:t>
      </w:r>
      <w:proofErr w:type="spellEnd"/>
      <w:r w:rsidRPr="000A5D76">
        <w:rPr>
          <w:rFonts w:ascii="Times New Roman" w:hAnsi="Times New Roman"/>
          <w:bCs/>
          <w:sz w:val="24"/>
          <w:szCs w:val="24"/>
          <w:u w:val="single"/>
        </w:rPr>
        <w:t xml:space="preserve"> v. United States</w:t>
      </w:r>
      <w:r w:rsidRPr="000A5D76">
        <w:rPr>
          <w:rFonts w:ascii="Times New Roman" w:hAnsi="Times New Roman"/>
          <w:bCs/>
          <w:sz w:val="24"/>
          <w:szCs w:val="24"/>
        </w:rPr>
        <w:t xml:space="preserve">, 444 U.S. 507 (1980), where Frank Sneep, a former CIA analyst in Saigon wrote a book in 1977 about the fall of Saigon, “Decent Interval” without getting prior clearance, and was ordered to turn over all proceeds from the book. </w:t>
      </w:r>
    </w:p>
    <w:p w14:paraId="2A950FAE" w14:textId="77777777" w:rsidR="005F0E6D" w:rsidRPr="000A5D76" w:rsidRDefault="005F0E6D" w:rsidP="005F0E6D">
      <w:pPr>
        <w:pStyle w:val="NoSpacing"/>
        <w:ind w:left="720"/>
        <w:rPr>
          <w:rStyle w:val="headertext"/>
          <w:rFonts w:ascii="Times New Roman" w:hAnsi="Times New Roman"/>
          <w:b/>
          <w:bCs/>
          <w:sz w:val="24"/>
          <w:szCs w:val="24"/>
        </w:rPr>
      </w:pPr>
    </w:p>
    <w:p w14:paraId="33875FE7" w14:textId="77777777" w:rsidR="005F0E6D" w:rsidRPr="000A5D76" w:rsidRDefault="005F0E6D" w:rsidP="005F0E6D">
      <w:pPr>
        <w:pStyle w:val="NoSpacing"/>
        <w:ind w:left="720"/>
        <w:rPr>
          <w:rFonts w:ascii="Times New Roman" w:hAnsi="Times New Roman"/>
          <w:b/>
          <w:bCs/>
          <w:sz w:val="24"/>
          <w:szCs w:val="24"/>
          <w:vertAlign w:val="superscript"/>
        </w:rPr>
      </w:pPr>
      <w:r w:rsidRPr="000A5D76">
        <w:rPr>
          <w:rFonts w:ascii="Times New Roman" w:hAnsi="Times New Roman"/>
          <w:bCs/>
          <w:sz w:val="24"/>
          <w:szCs w:val="24"/>
        </w:rPr>
        <w:t xml:space="preserve">“While the allegations Plaintiffs have made about the inadequacies and breadth of the challenged PPR regimes do not appear inaccurate or implausible, </w:t>
      </w:r>
      <w:proofErr w:type="spellStart"/>
      <w:r w:rsidRPr="000A5D76">
        <w:rPr>
          <w:rFonts w:ascii="Times New Roman" w:hAnsi="Times New Roman"/>
          <w:bCs/>
          <w:i/>
          <w:iCs/>
          <w:sz w:val="24"/>
          <w:szCs w:val="24"/>
        </w:rPr>
        <w:t>Snepp</w:t>
      </w:r>
      <w:proofErr w:type="spellEnd"/>
      <w:r w:rsidRPr="000A5D76">
        <w:rPr>
          <w:rFonts w:ascii="Times New Roman" w:hAnsi="Times New Roman"/>
          <w:bCs/>
          <w:sz w:val="24"/>
          <w:szCs w:val="24"/>
        </w:rPr>
        <w:t xml:space="preserve"> remains the precedent governing the Court's evaluation of Plaintiffs' First Amendment claim, and Plaintiffs have failed to demonstrate that the regimes do not meet its low threshold of reasonableness. Accordingly, Plaintiffs' First Amendment claim will be dismissed.</w:t>
      </w:r>
      <w:r w:rsidRPr="000A5D76">
        <w:rPr>
          <w:rFonts w:ascii="Times New Roman" w:hAnsi="Times New Roman"/>
          <w:bCs/>
          <w:sz w:val="24"/>
          <w:szCs w:val="24"/>
          <w:vertAlign w:val="superscript"/>
        </w:rPr>
        <w:t>10</w:t>
      </w:r>
    </w:p>
    <w:p w14:paraId="6B76E4A7" w14:textId="77777777" w:rsidR="005F0E6D" w:rsidRPr="000A5D76" w:rsidRDefault="005F0E6D" w:rsidP="005F0E6D">
      <w:pPr>
        <w:pStyle w:val="NoSpacing"/>
        <w:ind w:left="720"/>
        <w:rPr>
          <w:rFonts w:ascii="Times New Roman" w:hAnsi="Times New Roman"/>
          <w:b/>
          <w:bCs/>
          <w:sz w:val="24"/>
          <w:szCs w:val="24"/>
        </w:rPr>
      </w:pPr>
      <w:bookmarkStart w:id="144" w:name="fr10"/>
      <w:r w:rsidRPr="000A5D76">
        <w:rPr>
          <w:rFonts w:ascii="Times New Roman" w:hAnsi="Times New Roman"/>
          <w:bCs/>
          <w:sz w:val="24"/>
          <w:szCs w:val="24"/>
        </w:rPr>
        <w:t xml:space="preserve">***   Footnote 10. </w:t>
      </w:r>
      <w:bookmarkEnd w:id="144"/>
      <w:r w:rsidRPr="000A5D76">
        <w:rPr>
          <w:rFonts w:ascii="Times New Roman" w:hAnsi="Times New Roman"/>
          <w:bCs/>
          <w:sz w:val="24"/>
          <w:szCs w:val="24"/>
        </w:rPr>
        <w:t xml:space="preserve">It also bears mention that the wholesale reforms to PPR that Plaintiffs seek to obtain from the Court in this claim strain at the limits of the judiciary's role, particularly given the national security context. See Egan, 484 U.S. at 530 (1988). Both that concern and the Court's inability to sidestep </w:t>
      </w:r>
      <w:proofErr w:type="spellStart"/>
      <w:r w:rsidRPr="000A5D76">
        <w:rPr>
          <w:rFonts w:ascii="Times New Roman" w:hAnsi="Times New Roman"/>
          <w:bCs/>
          <w:i/>
          <w:iCs/>
          <w:sz w:val="24"/>
          <w:szCs w:val="24"/>
        </w:rPr>
        <w:t>Snepp</w:t>
      </w:r>
      <w:proofErr w:type="spellEnd"/>
      <w:r w:rsidRPr="000A5D76">
        <w:rPr>
          <w:rFonts w:ascii="Times New Roman" w:hAnsi="Times New Roman"/>
          <w:bCs/>
          <w:i/>
          <w:iCs/>
          <w:sz w:val="24"/>
          <w:szCs w:val="24"/>
        </w:rPr>
        <w:t xml:space="preserve"> </w:t>
      </w:r>
      <w:r w:rsidRPr="000A5D76">
        <w:rPr>
          <w:rFonts w:ascii="Times New Roman" w:hAnsi="Times New Roman"/>
          <w:bCs/>
          <w:sz w:val="24"/>
          <w:szCs w:val="24"/>
        </w:rPr>
        <w:t xml:space="preserve">limit the force of arguments made in the amicus brief submitted by CERL, which describes how lengthy PPR delays chill contributions to public discourse by former officials and discourage national security experts from entering the government…. Whatever the merits of these assertions, they are more properly directed to the branches of government empowered to create and execute public policy rather than to simply evaluate its consistency with the Constitution.” </w:t>
      </w:r>
      <w:hyperlink r:id="rId826" w:history="1">
        <w:r w:rsidRPr="000A5D76">
          <w:rPr>
            <w:rStyle w:val="Hyperlink"/>
            <w:rFonts w:ascii="Times New Roman" w:hAnsi="Times New Roman"/>
            <w:b/>
            <w:sz w:val="24"/>
            <w:szCs w:val="24"/>
          </w:rPr>
          <w:t>https://public.fastcase.com/Wl%2B2t%2BeVuI35%2FN70vAMFZkKd%2BuUeGYT9r22oA9ty28Exj1jRAAAURPUljfVU2169</w:t>
        </w:r>
      </w:hyperlink>
      <w:r w:rsidRPr="000A5D76">
        <w:rPr>
          <w:rFonts w:ascii="Times New Roman" w:hAnsi="Times New Roman"/>
          <w:bCs/>
          <w:sz w:val="24"/>
          <w:szCs w:val="24"/>
        </w:rPr>
        <w:t xml:space="preserve"> </w:t>
      </w:r>
    </w:p>
    <w:p w14:paraId="1C489BE7" w14:textId="77777777" w:rsidR="005F0E6D" w:rsidRDefault="005F0E6D" w:rsidP="005F0E6D">
      <w:pPr>
        <w:pStyle w:val="NoSpacing"/>
        <w:rPr>
          <w:rFonts w:ascii="Times New Roman" w:hAnsi="Times New Roman"/>
          <w:b/>
          <w:bCs/>
          <w:sz w:val="24"/>
          <w:szCs w:val="24"/>
        </w:rPr>
      </w:pPr>
    </w:p>
    <w:p w14:paraId="01F9C96A" w14:textId="52297A60" w:rsidR="005F0E6D" w:rsidRPr="000A5D76" w:rsidRDefault="005F0E6D" w:rsidP="005F0E6D">
      <w:pPr>
        <w:pStyle w:val="NoSpacing"/>
        <w:rPr>
          <w:rFonts w:ascii="Times New Roman" w:hAnsi="Times New Roman"/>
          <w:b/>
          <w:bCs/>
          <w:sz w:val="24"/>
          <w:szCs w:val="24"/>
        </w:rPr>
      </w:pPr>
      <w:r w:rsidRPr="000A5D76">
        <w:rPr>
          <w:rFonts w:ascii="Times New Roman" w:hAnsi="Times New Roman"/>
          <w:b/>
          <w:bCs/>
          <w:sz w:val="24"/>
          <w:szCs w:val="24"/>
        </w:rPr>
        <w:t xml:space="preserve">Legal Lessons Learned:  Prepublication reviews are enforceable. per U.S. Supreme Court’s decision in in </w:t>
      </w:r>
      <w:proofErr w:type="spellStart"/>
      <w:r w:rsidRPr="000A5D76">
        <w:rPr>
          <w:rFonts w:ascii="Times New Roman" w:hAnsi="Times New Roman"/>
          <w:b/>
          <w:bCs/>
          <w:sz w:val="24"/>
          <w:szCs w:val="24"/>
          <w:u w:val="single"/>
        </w:rPr>
        <w:t>Snepp</w:t>
      </w:r>
      <w:proofErr w:type="spellEnd"/>
      <w:r w:rsidRPr="000A5D76">
        <w:rPr>
          <w:rFonts w:ascii="Times New Roman" w:hAnsi="Times New Roman"/>
          <w:b/>
          <w:bCs/>
          <w:sz w:val="24"/>
          <w:szCs w:val="24"/>
          <w:u w:val="single"/>
        </w:rPr>
        <w:t xml:space="preserve"> v. United States</w:t>
      </w:r>
      <w:r w:rsidRPr="000A5D76">
        <w:rPr>
          <w:rFonts w:ascii="Times New Roman" w:hAnsi="Times New Roman"/>
          <w:b/>
          <w:bCs/>
          <w:sz w:val="24"/>
          <w:szCs w:val="24"/>
        </w:rPr>
        <w:t xml:space="preserve">, 444 U.S. 507 (1980). </w:t>
      </w:r>
    </w:p>
    <w:p w14:paraId="66B08EFE" w14:textId="77777777" w:rsidR="005F0E6D" w:rsidRPr="000A5D76" w:rsidRDefault="005F0E6D" w:rsidP="005F0E6D">
      <w:pPr>
        <w:pStyle w:val="NoSpacing"/>
        <w:ind w:left="720"/>
        <w:rPr>
          <w:rFonts w:ascii="Times New Roman" w:hAnsi="Times New Roman"/>
          <w:b/>
          <w:bCs/>
          <w:sz w:val="24"/>
          <w:szCs w:val="24"/>
        </w:rPr>
      </w:pPr>
    </w:p>
    <w:p w14:paraId="1E6A9BEA" w14:textId="77777777" w:rsidR="005F0E6D" w:rsidRPr="000A5D76" w:rsidRDefault="005F0E6D" w:rsidP="005F0E6D">
      <w:pPr>
        <w:pStyle w:val="NoSpacing"/>
        <w:ind w:left="720"/>
        <w:rPr>
          <w:rFonts w:ascii="Times New Roman" w:hAnsi="Times New Roman"/>
          <w:sz w:val="24"/>
          <w:szCs w:val="24"/>
        </w:rPr>
      </w:pPr>
      <w:r w:rsidRPr="000A5D76">
        <w:rPr>
          <w:rFonts w:ascii="Times New Roman" w:hAnsi="Times New Roman"/>
          <w:bCs/>
          <w:sz w:val="24"/>
          <w:szCs w:val="24"/>
        </w:rPr>
        <w:t>Note:</w:t>
      </w:r>
      <w:r w:rsidRPr="000A5D76">
        <w:rPr>
          <w:rFonts w:ascii="Times New Roman" w:hAnsi="Times New Roman"/>
          <w:sz w:val="24"/>
          <w:szCs w:val="24"/>
        </w:rPr>
        <w:t xml:space="preserve"> </w:t>
      </w:r>
      <w:r w:rsidRPr="000A5D76">
        <w:rPr>
          <w:rFonts w:ascii="Times New Roman" w:hAnsi="Times New Roman"/>
          <w:bCs/>
          <w:sz w:val="24"/>
          <w:szCs w:val="24"/>
        </w:rPr>
        <w:t>When Frank Snepp was sued, he had already received about $60,000 in advance payments from his publisher.  The U.S. Supreme Court held (6 to 3), “</w:t>
      </w:r>
      <w:r w:rsidRPr="000A5D76">
        <w:rPr>
          <w:rStyle w:val="headertext"/>
          <w:rFonts w:ascii="Times New Roman" w:hAnsi="Times New Roman"/>
          <w:bCs/>
          <w:sz w:val="24"/>
          <w:szCs w:val="24"/>
        </w:rPr>
        <w:t xml:space="preserve">We agree with the Court of Appeals that </w:t>
      </w:r>
      <w:proofErr w:type="spellStart"/>
      <w:r w:rsidRPr="000A5D76">
        <w:rPr>
          <w:rStyle w:val="headertext"/>
          <w:rFonts w:ascii="Times New Roman" w:hAnsi="Times New Roman"/>
          <w:bCs/>
          <w:sz w:val="24"/>
          <w:szCs w:val="24"/>
        </w:rPr>
        <w:t>Snepp's</w:t>
      </w:r>
      <w:proofErr w:type="spellEnd"/>
      <w:r w:rsidRPr="000A5D76">
        <w:rPr>
          <w:rStyle w:val="headertext"/>
          <w:rFonts w:ascii="Times New Roman" w:hAnsi="Times New Roman"/>
          <w:bCs/>
          <w:sz w:val="24"/>
          <w:szCs w:val="24"/>
        </w:rPr>
        <w:t xml:space="preserve"> agreement is an ‘entirely appropriate’ exercise of the CIA Director's statutory mandate to ‘</w:t>
      </w:r>
      <w:proofErr w:type="spellStart"/>
      <w:r w:rsidRPr="000A5D76">
        <w:rPr>
          <w:rStyle w:val="headertext"/>
          <w:rFonts w:ascii="Times New Roman" w:hAnsi="Times New Roman"/>
          <w:bCs/>
          <w:sz w:val="24"/>
          <w:szCs w:val="24"/>
        </w:rPr>
        <w:t>protec</w:t>
      </w:r>
      <w:proofErr w:type="spellEnd"/>
      <w:r w:rsidRPr="000A5D76">
        <w:rPr>
          <w:rStyle w:val="headertext"/>
          <w:rFonts w:ascii="Times New Roman" w:hAnsi="Times New Roman"/>
          <w:bCs/>
          <w:sz w:val="24"/>
          <w:szCs w:val="24"/>
        </w:rPr>
        <w:t xml:space="preserve">[t] intelligence sources and methods from unauthorized disclosure,’ 50 U.S.C. § 403(d)(3). 595 F.2d at 932.” </w:t>
      </w:r>
      <w:hyperlink r:id="rId827" w:anchor="tab-opinion-1953393" w:history="1">
        <w:r w:rsidRPr="000A5D76">
          <w:rPr>
            <w:rStyle w:val="Hyperlink"/>
            <w:rFonts w:ascii="Times New Roman" w:hAnsi="Times New Roman"/>
            <w:sz w:val="24"/>
            <w:szCs w:val="24"/>
          </w:rPr>
          <w:t>https://supreme.justia.com/cases/federal/us/444/507/#tab-opinion-1953393</w:t>
        </w:r>
      </w:hyperlink>
      <w:r w:rsidRPr="000A5D76">
        <w:rPr>
          <w:rFonts w:ascii="Times New Roman" w:hAnsi="Times New Roman"/>
          <w:sz w:val="24"/>
          <w:szCs w:val="24"/>
        </w:rPr>
        <w:t xml:space="preserve"> </w:t>
      </w:r>
    </w:p>
    <w:p w14:paraId="7AEC313A" w14:textId="77777777" w:rsidR="005F0E6D" w:rsidRPr="000A5D76" w:rsidRDefault="005F0E6D" w:rsidP="005F0E6D">
      <w:pPr>
        <w:spacing w:before="100" w:beforeAutospacing="1" w:after="100" w:afterAutospacing="1" w:line="240" w:lineRule="auto"/>
        <w:jc w:val="center"/>
        <w:rPr>
          <w:rFonts w:ascii="Times New Roman" w:eastAsia="Times New Roman" w:hAnsi="Times New Roman"/>
          <w:b/>
          <w:bCs/>
          <w:sz w:val="24"/>
          <w:szCs w:val="24"/>
        </w:rPr>
      </w:pPr>
    </w:p>
    <w:p w14:paraId="7D928E82" w14:textId="77777777" w:rsidR="005F0E6D" w:rsidRDefault="005F0E6D" w:rsidP="00F326E5">
      <w:pPr>
        <w:pStyle w:val="NoSpacing"/>
        <w:rPr>
          <w:rFonts w:ascii="Arial Black" w:hAnsi="Arial Black"/>
          <w:sz w:val="28"/>
          <w:szCs w:val="28"/>
        </w:rPr>
      </w:pPr>
    </w:p>
    <w:p w14:paraId="16C2BD59" w14:textId="77777777" w:rsidR="005F0E6D" w:rsidRDefault="005F0E6D" w:rsidP="00F326E5">
      <w:pPr>
        <w:pStyle w:val="NoSpacing"/>
        <w:rPr>
          <w:rFonts w:ascii="Arial Black" w:hAnsi="Arial Black"/>
          <w:sz w:val="28"/>
          <w:szCs w:val="28"/>
        </w:rPr>
      </w:pPr>
    </w:p>
    <w:p w14:paraId="77E246D1" w14:textId="77777777" w:rsidR="005F0E6D" w:rsidRDefault="005F0E6D" w:rsidP="00F326E5">
      <w:pPr>
        <w:pStyle w:val="NoSpacing"/>
        <w:rPr>
          <w:rFonts w:ascii="Arial Black" w:hAnsi="Arial Black"/>
          <w:sz w:val="28"/>
          <w:szCs w:val="28"/>
        </w:rPr>
      </w:pPr>
    </w:p>
    <w:p w14:paraId="48E89B53" w14:textId="47E6AF5C" w:rsidR="005F0E6D" w:rsidRDefault="005F0E6D" w:rsidP="00F326E5">
      <w:pPr>
        <w:pStyle w:val="NoSpacing"/>
        <w:rPr>
          <w:rFonts w:ascii="Arial Black" w:hAnsi="Arial Black"/>
          <w:sz w:val="28"/>
          <w:szCs w:val="28"/>
        </w:rPr>
      </w:pPr>
      <w:r>
        <w:rPr>
          <w:rFonts w:ascii="Arial Black" w:hAnsi="Arial Black"/>
          <w:sz w:val="28"/>
          <w:szCs w:val="28"/>
        </w:rPr>
        <w:t>3-20</w:t>
      </w:r>
    </w:p>
    <w:p w14:paraId="78FF3ECA" w14:textId="77777777" w:rsidR="00823634" w:rsidRDefault="00823634" w:rsidP="005F0E6D">
      <w:pPr>
        <w:pStyle w:val="NoSpacing"/>
        <w:rPr>
          <w:rFonts w:ascii="Arial Black" w:hAnsi="Arial Black"/>
          <w:sz w:val="28"/>
          <w:szCs w:val="28"/>
        </w:rPr>
      </w:pPr>
    </w:p>
    <w:p w14:paraId="1FA5F140" w14:textId="64785FC7" w:rsidR="005F0E6D" w:rsidRPr="00B2674B" w:rsidRDefault="005F0E6D" w:rsidP="005F0E6D">
      <w:pPr>
        <w:pStyle w:val="NoSpacing"/>
        <w:rPr>
          <w:rFonts w:ascii="Arial Black" w:hAnsi="Arial Black"/>
          <w:b/>
          <w:bCs/>
          <w:sz w:val="28"/>
          <w:szCs w:val="28"/>
        </w:rPr>
      </w:pPr>
      <w:bookmarkStart w:id="145" w:name="_Hlk66942614"/>
      <w:r w:rsidRPr="00E9037E">
        <w:rPr>
          <w:rFonts w:ascii="Arial Black" w:hAnsi="Arial Black"/>
          <w:sz w:val="28"/>
          <w:szCs w:val="28"/>
        </w:rPr>
        <w:t>FL</w:t>
      </w:r>
      <w:r>
        <w:rPr>
          <w:rFonts w:ascii="Arial Black" w:hAnsi="Arial Black"/>
          <w:bCs/>
          <w:sz w:val="28"/>
          <w:szCs w:val="28"/>
        </w:rPr>
        <w:t xml:space="preserve">: ACTIVE SHOOTER - PULSE NIGHTCLUB – 49 KILLED, 53 INJURED – CAN’T SUE THE SECURITY GUARD COMPANY WHERE HE WORKED </w:t>
      </w:r>
    </w:p>
    <w:p w14:paraId="7AF91925" w14:textId="1153C1EC" w:rsidR="00587311" w:rsidRPr="00823634" w:rsidRDefault="005F0E6D" w:rsidP="00881475">
      <w:pPr>
        <w:pStyle w:val="Heading1"/>
        <w:rPr>
          <w:b w:val="0"/>
          <w:bCs w:val="0"/>
          <w:sz w:val="24"/>
          <w:szCs w:val="24"/>
        </w:rPr>
      </w:pPr>
      <w:r w:rsidRPr="000A5D76">
        <w:rPr>
          <w:b w:val="0"/>
          <w:bCs w:val="0"/>
          <w:sz w:val="24"/>
          <w:szCs w:val="24"/>
        </w:rPr>
        <w:t xml:space="preserve">On </w:t>
      </w:r>
      <w:bookmarkStart w:id="146" w:name="_Hlk39823138"/>
      <w:r w:rsidRPr="000A5D76">
        <w:rPr>
          <w:b w:val="0"/>
          <w:bCs w:val="0"/>
          <w:sz w:val="24"/>
          <w:szCs w:val="24"/>
        </w:rPr>
        <w:t xml:space="preserve">April 1, 2020, in </w:t>
      </w:r>
      <w:r w:rsidRPr="000A5D76">
        <w:rPr>
          <w:b w:val="0"/>
          <w:bCs w:val="0"/>
          <w:sz w:val="24"/>
          <w:szCs w:val="24"/>
          <w:u w:val="single"/>
        </w:rPr>
        <w:t>Asael Abrad, et al. v. G4S Secure Solution (USA), Inc.</w:t>
      </w:r>
      <w:r w:rsidRPr="000A5D76">
        <w:rPr>
          <w:b w:val="0"/>
          <w:bCs w:val="0"/>
          <w:sz w:val="24"/>
          <w:szCs w:val="24"/>
        </w:rPr>
        <w:t xml:space="preserve">, </w:t>
      </w:r>
      <w:bookmarkEnd w:id="146"/>
      <w:r w:rsidRPr="000A5D76">
        <w:rPr>
          <w:b w:val="0"/>
          <w:bCs w:val="0"/>
          <w:sz w:val="24"/>
          <w:szCs w:val="24"/>
        </w:rPr>
        <w:t xml:space="preserve">the District Court of Appeal of Florida (Fourth District), held (3 to 0) that the trial court properly granted the security company’s motion to dismiss; the shooter worked for the security company for 10 years, and plaintiffs alleged that the company knew he expressed a desire to commit acts of mass murder against members of the general public, particularly against members of the lesbian, gay, bisexual and transgender community.  The lawsuit was dismissed since plaintiffs did not “sufficiently allege a legal duty owed by G4S.” </w:t>
      </w:r>
      <w:r w:rsidR="00587311">
        <w:rPr>
          <w:b w:val="0"/>
          <w:bCs w:val="0"/>
          <w:sz w:val="24"/>
          <w:szCs w:val="24"/>
        </w:rPr>
        <w:t xml:space="preserve"> </w:t>
      </w:r>
      <w:hyperlink r:id="rId828" w:history="1">
        <w:r w:rsidR="00587311" w:rsidRPr="00823634">
          <w:rPr>
            <w:rStyle w:val="Hyperlink"/>
            <w:sz w:val="24"/>
            <w:szCs w:val="24"/>
          </w:rPr>
          <w:t>https://www.courthousenews.com/wp-content/uploads/2020/04/G4S.pdf</w:t>
        </w:r>
      </w:hyperlink>
      <w:r w:rsidR="00587311" w:rsidRPr="00823634">
        <w:rPr>
          <w:sz w:val="24"/>
          <w:szCs w:val="24"/>
        </w:rPr>
        <w:t xml:space="preserve"> </w:t>
      </w:r>
    </w:p>
    <w:p w14:paraId="182DC31B" w14:textId="77777777" w:rsidR="00587311" w:rsidRPr="000A5D76" w:rsidRDefault="00587311" w:rsidP="005F0E6D">
      <w:pPr>
        <w:pStyle w:val="Heading1"/>
        <w:rPr>
          <w:b w:val="0"/>
          <w:bCs w:val="0"/>
          <w:sz w:val="24"/>
          <w:szCs w:val="24"/>
        </w:rPr>
      </w:pPr>
    </w:p>
    <w:bookmarkEnd w:id="145"/>
    <w:p w14:paraId="75AE0834" w14:textId="7BDDB217" w:rsidR="005F0E6D" w:rsidRDefault="005F0E6D" w:rsidP="005F0E6D">
      <w:pPr>
        <w:pStyle w:val="NoSpacing"/>
        <w:ind w:left="720"/>
        <w:rPr>
          <w:rFonts w:ascii="Times New Roman" w:hAnsi="Times New Roman"/>
          <w:bCs/>
          <w:sz w:val="24"/>
          <w:szCs w:val="24"/>
        </w:rPr>
      </w:pPr>
      <w:r w:rsidRPr="000A5D76">
        <w:rPr>
          <w:rFonts w:ascii="Times New Roman" w:hAnsi="Times New Roman"/>
          <w:bCs/>
          <w:sz w:val="24"/>
          <w:szCs w:val="24"/>
        </w:rPr>
        <w:t xml:space="preserve">“Appellants also concede that Mateen did not use weapons owned or controlled by G4S, but instead, weapons purchased by him on his private time. Appellants’ argument that by fraudulently assisting Mateen in obtaining a Class G license—which in turn was helpful in purchasing the weapons used—is legally irrelevant…. Finally, Appellants’ duty arguments fail for one more important reason: Appellants fail to provide any sort of limitation on the legal duty they seek to impose. Failing to provide any sort of boundary for the employer would have severe public policy implications. As both G4S and the trial court noted, Appellants’ failure to provide any sort of spatial or temporal limits in the articulation of their concept of duty would essentially result in G4S </w:t>
      </w:r>
      <w:proofErr w:type="gramStart"/>
      <w:r w:rsidRPr="000A5D76">
        <w:rPr>
          <w:rFonts w:ascii="Times New Roman" w:hAnsi="Times New Roman"/>
          <w:bCs/>
          <w:sz w:val="24"/>
          <w:szCs w:val="24"/>
        </w:rPr>
        <w:t>being strictly liable and an absolute guarantor of Mateen’s behavior while off duty at all times</w:t>
      </w:r>
      <w:proofErr w:type="gramEnd"/>
      <w:r w:rsidRPr="000A5D76">
        <w:rPr>
          <w:rFonts w:ascii="Times New Roman" w:hAnsi="Times New Roman"/>
          <w:bCs/>
          <w:sz w:val="24"/>
          <w:szCs w:val="24"/>
        </w:rPr>
        <w:t xml:space="preserve">. See Garcia v. Duffy, 492 So. 2d 435, 439 (Fla. 2d DCA 1986) (‘Once liability began to be imposed on employers for acts of their employees outside the scope of employment, the courts were faced with the necessity of finding some rational basis for limiting the boundaries of that liability; otherwise, an employer would be an absolute guarantor and strictly liable for any acts committed by his employee against </w:t>
      </w:r>
    </w:p>
    <w:p w14:paraId="307DAEC0" w14:textId="77777777" w:rsidR="005F0E6D" w:rsidRPr="000A5D76" w:rsidRDefault="005F0E6D" w:rsidP="005F0E6D">
      <w:pPr>
        <w:pStyle w:val="NoSpacing"/>
        <w:ind w:left="720"/>
        <w:rPr>
          <w:rFonts w:ascii="Times New Roman" w:hAnsi="Times New Roman"/>
          <w:b/>
          <w:bCs/>
          <w:sz w:val="24"/>
          <w:szCs w:val="24"/>
        </w:rPr>
      </w:pPr>
      <w:r w:rsidRPr="000A5D76">
        <w:rPr>
          <w:rFonts w:ascii="Times New Roman" w:hAnsi="Times New Roman"/>
          <w:bCs/>
          <w:sz w:val="24"/>
          <w:szCs w:val="24"/>
        </w:rPr>
        <w:t xml:space="preserve">any person under any circumstances. Such unrestricted liability would be an intolerable and unfair burden on employers.’). </w:t>
      </w:r>
    </w:p>
    <w:bookmarkStart w:id="147" w:name="_Hlk39823157"/>
    <w:bookmarkStart w:id="148" w:name="_Hlk66942680"/>
    <w:p w14:paraId="60A5B8F7" w14:textId="77777777" w:rsidR="005F0E6D" w:rsidRPr="00823634" w:rsidRDefault="00F2621E" w:rsidP="005F0E6D">
      <w:pPr>
        <w:pStyle w:val="NoSpacing"/>
        <w:ind w:left="720"/>
        <w:rPr>
          <w:rFonts w:ascii="Times New Roman" w:hAnsi="Times New Roman"/>
          <w:b/>
          <w:bCs/>
          <w:sz w:val="24"/>
          <w:szCs w:val="24"/>
        </w:rPr>
      </w:pPr>
      <w:r w:rsidRPr="00823634">
        <w:fldChar w:fldCharType="begin"/>
      </w:r>
      <w:r w:rsidRPr="00823634">
        <w:rPr>
          <w:rFonts w:ascii="Times New Roman" w:hAnsi="Times New Roman"/>
          <w:sz w:val="24"/>
          <w:szCs w:val="24"/>
        </w:rPr>
        <w:instrText xml:space="preserve"> HYPERLINK "https://www.courthousenews.com/wp-content/uploads/2020/04/G4S.pdf" </w:instrText>
      </w:r>
      <w:r w:rsidRPr="00823634">
        <w:fldChar w:fldCharType="separate"/>
      </w:r>
      <w:r w:rsidR="005F0E6D" w:rsidRPr="00823634">
        <w:rPr>
          <w:rStyle w:val="Hyperlink"/>
          <w:rFonts w:ascii="Times New Roman" w:hAnsi="Times New Roman"/>
          <w:b/>
          <w:sz w:val="24"/>
          <w:szCs w:val="24"/>
        </w:rPr>
        <w:t>https://www.courthousenews.com/wp-content/uploads/2020/04/G4S.pdf</w:t>
      </w:r>
      <w:r w:rsidRPr="00823634">
        <w:rPr>
          <w:rStyle w:val="Hyperlink"/>
          <w:rFonts w:ascii="Times New Roman" w:hAnsi="Times New Roman"/>
          <w:b/>
          <w:sz w:val="24"/>
          <w:szCs w:val="24"/>
        </w:rPr>
        <w:fldChar w:fldCharType="end"/>
      </w:r>
      <w:r w:rsidR="005F0E6D" w:rsidRPr="00823634">
        <w:rPr>
          <w:rFonts w:ascii="Times New Roman" w:hAnsi="Times New Roman"/>
          <w:bCs/>
          <w:sz w:val="24"/>
          <w:szCs w:val="24"/>
        </w:rPr>
        <w:t xml:space="preserve"> </w:t>
      </w:r>
    </w:p>
    <w:p w14:paraId="1AC7BF9D" w14:textId="77777777" w:rsidR="005F0E6D" w:rsidRPr="000A5D76" w:rsidRDefault="005F0E6D" w:rsidP="005F0E6D">
      <w:pPr>
        <w:pStyle w:val="Heading1"/>
        <w:rPr>
          <w:sz w:val="24"/>
          <w:szCs w:val="24"/>
        </w:rPr>
      </w:pPr>
      <w:bookmarkStart w:id="149" w:name="_Hlk40509204"/>
      <w:bookmarkEnd w:id="147"/>
      <w:r w:rsidRPr="000A5D76">
        <w:rPr>
          <w:sz w:val="24"/>
          <w:szCs w:val="24"/>
        </w:rPr>
        <w:t>Legal Lessons Learned: Tragic event, but very difficult to hold employer liable for off-duty conduct of shooter.</w:t>
      </w:r>
    </w:p>
    <w:bookmarkEnd w:id="148"/>
    <w:bookmarkEnd w:id="149"/>
    <w:p w14:paraId="5082EE61" w14:textId="77777777" w:rsidR="005F0E6D" w:rsidRDefault="005F0E6D" w:rsidP="00F326E5">
      <w:pPr>
        <w:pStyle w:val="NoSpacing"/>
        <w:rPr>
          <w:rFonts w:ascii="Arial Black" w:hAnsi="Arial Black"/>
          <w:sz w:val="28"/>
          <w:szCs w:val="28"/>
        </w:rPr>
      </w:pPr>
    </w:p>
    <w:p w14:paraId="76FE2885" w14:textId="77777777" w:rsidR="005F0E6D" w:rsidRDefault="005F0E6D" w:rsidP="00F326E5">
      <w:pPr>
        <w:pStyle w:val="NoSpacing"/>
        <w:rPr>
          <w:rFonts w:ascii="Arial Black" w:hAnsi="Arial Black"/>
          <w:sz w:val="28"/>
          <w:szCs w:val="28"/>
        </w:rPr>
      </w:pPr>
    </w:p>
    <w:p w14:paraId="5CDDCB1E" w14:textId="49FFD794" w:rsidR="00663160" w:rsidRDefault="00663160" w:rsidP="00F326E5">
      <w:pPr>
        <w:pStyle w:val="NoSpacing"/>
        <w:rPr>
          <w:rFonts w:ascii="Arial Black" w:hAnsi="Arial Black"/>
          <w:sz w:val="28"/>
          <w:szCs w:val="28"/>
        </w:rPr>
      </w:pPr>
      <w:r>
        <w:rPr>
          <w:rFonts w:ascii="Arial Black" w:hAnsi="Arial Black"/>
          <w:sz w:val="28"/>
          <w:szCs w:val="28"/>
        </w:rPr>
        <w:t>3-19</w:t>
      </w:r>
    </w:p>
    <w:p w14:paraId="1F7D701C" w14:textId="2A42A1B6" w:rsidR="00663160" w:rsidRDefault="00663160" w:rsidP="00F326E5">
      <w:pPr>
        <w:pStyle w:val="NoSpacing"/>
        <w:rPr>
          <w:rFonts w:ascii="Arial Black" w:hAnsi="Arial Black"/>
          <w:sz w:val="28"/>
          <w:szCs w:val="28"/>
        </w:rPr>
      </w:pPr>
    </w:p>
    <w:p w14:paraId="29F24EA5" w14:textId="77777777" w:rsidR="00663160" w:rsidRPr="00D31CF5" w:rsidRDefault="00663160" w:rsidP="00663160">
      <w:pPr>
        <w:pStyle w:val="NoSpacing"/>
        <w:rPr>
          <w:rFonts w:ascii="Arial Black" w:hAnsi="Arial Black"/>
          <w:sz w:val="28"/>
          <w:szCs w:val="28"/>
        </w:rPr>
      </w:pPr>
      <w:r w:rsidRPr="00D31CF5">
        <w:rPr>
          <w:rFonts w:ascii="Arial Black" w:hAnsi="Arial Black"/>
          <w:sz w:val="28"/>
          <w:szCs w:val="28"/>
        </w:rPr>
        <w:t>CA:</w:t>
      </w:r>
      <w:r>
        <w:rPr>
          <w:rFonts w:ascii="Arial Black" w:hAnsi="Arial Black"/>
          <w:sz w:val="28"/>
          <w:szCs w:val="28"/>
        </w:rPr>
        <w:t xml:space="preserve"> ILLEGAL IMMIGRANTS CROSSING US BORDER - SENT BACK TO MEXICO – INJUNCTION AGAINST FED. PROGRAM UPHELD BY 9</w:t>
      </w:r>
      <w:r w:rsidRPr="00EB465E">
        <w:rPr>
          <w:rFonts w:ascii="Arial Black" w:hAnsi="Arial Black"/>
          <w:sz w:val="28"/>
          <w:szCs w:val="28"/>
          <w:vertAlign w:val="superscript"/>
        </w:rPr>
        <w:t>th</w:t>
      </w:r>
      <w:r>
        <w:rPr>
          <w:rFonts w:ascii="Arial Black" w:hAnsi="Arial Black"/>
          <w:sz w:val="28"/>
          <w:szCs w:val="28"/>
        </w:rPr>
        <w:t xml:space="preserve"> CIR. </w:t>
      </w:r>
    </w:p>
    <w:p w14:paraId="4FBFD241" w14:textId="77777777" w:rsidR="00663160" w:rsidRDefault="00663160" w:rsidP="00663160">
      <w:pPr>
        <w:spacing w:after="0" w:line="240" w:lineRule="auto"/>
        <w:rPr>
          <w:sz w:val="30"/>
          <w:szCs w:val="30"/>
        </w:rPr>
      </w:pPr>
    </w:p>
    <w:p w14:paraId="0CF1D7F1" w14:textId="77777777" w:rsidR="00663160" w:rsidRPr="00465FB3" w:rsidRDefault="00663160" w:rsidP="00663160">
      <w:pPr>
        <w:spacing w:after="0" w:line="240" w:lineRule="auto"/>
        <w:rPr>
          <w:rFonts w:ascii="Times New Roman" w:hAnsi="Times New Roman"/>
          <w:sz w:val="24"/>
          <w:szCs w:val="24"/>
        </w:rPr>
      </w:pPr>
      <w:r w:rsidRPr="00465FB3">
        <w:rPr>
          <w:rFonts w:ascii="Times New Roman" w:hAnsi="Times New Roman"/>
          <w:sz w:val="24"/>
          <w:szCs w:val="24"/>
        </w:rPr>
        <w:lastRenderedPageBreak/>
        <w:t xml:space="preserve">On Feb. 28, 2020, in </w:t>
      </w:r>
      <w:r w:rsidRPr="00465FB3">
        <w:rPr>
          <w:rFonts w:ascii="Times New Roman" w:hAnsi="Times New Roman"/>
          <w:sz w:val="24"/>
          <w:szCs w:val="24"/>
          <w:u w:val="single"/>
        </w:rPr>
        <w:t>Innovation Law Lab v. Chad Wolf, Acting Secretary of Homeland Security</w:t>
      </w:r>
      <w:r w:rsidRPr="00465FB3">
        <w:rPr>
          <w:rFonts w:ascii="Times New Roman" w:hAnsi="Times New Roman"/>
          <w:sz w:val="24"/>
          <w:szCs w:val="24"/>
        </w:rPr>
        <w:t>, the U.S. Court of Appeals for the 9</w:t>
      </w:r>
      <w:r w:rsidRPr="00465FB3">
        <w:rPr>
          <w:rFonts w:ascii="Times New Roman" w:hAnsi="Times New Roman"/>
          <w:sz w:val="24"/>
          <w:szCs w:val="24"/>
          <w:vertAlign w:val="superscript"/>
        </w:rPr>
        <w:t>th</w:t>
      </w:r>
      <w:r w:rsidRPr="00465FB3">
        <w:rPr>
          <w:rFonts w:ascii="Times New Roman" w:hAnsi="Times New Roman"/>
          <w:sz w:val="24"/>
          <w:szCs w:val="24"/>
        </w:rPr>
        <w:t xml:space="preserve"> Circuit (San Francisco) held (2 to 1) that the nationwide preliminary injunction issued by a U.S. District Court judge, against the Federal Government’s new Migrant Protection Protocols (“MPP”), will remain in place. </w:t>
      </w:r>
    </w:p>
    <w:p w14:paraId="34F5E13D" w14:textId="77777777" w:rsidR="00663160" w:rsidRPr="00465FB3" w:rsidRDefault="00663160" w:rsidP="00663160">
      <w:pPr>
        <w:spacing w:after="0" w:line="240" w:lineRule="auto"/>
        <w:rPr>
          <w:rFonts w:ascii="Times New Roman" w:hAnsi="Times New Roman"/>
          <w:sz w:val="24"/>
          <w:szCs w:val="24"/>
        </w:rPr>
      </w:pPr>
    </w:p>
    <w:p w14:paraId="57CEACD6" w14:textId="77777777" w:rsidR="00663160" w:rsidRPr="00465FB3" w:rsidRDefault="00663160" w:rsidP="00663160">
      <w:pPr>
        <w:spacing w:after="0" w:line="240" w:lineRule="auto"/>
        <w:ind w:left="720"/>
        <w:rPr>
          <w:rFonts w:ascii="Times New Roman" w:hAnsi="Times New Roman"/>
          <w:sz w:val="24"/>
          <w:szCs w:val="24"/>
        </w:rPr>
      </w:pPr>
      <w:r w:rsidRPr="00465FB3">
        <w:rPr>
          <w:rFonts w:ascii="Times New Roman" w:hAnsi="Times New Roman"/>
          <w:sz w:val="24"/>
          <w:szCs w:val="24"/>
        </w:rPr>
        <w:t xml:space="preserve">“The MPP has had serious adverse consequences for the individual plaintiffs. Plaintiffs presented evidence in the district court that they, as well as others returned to Mexico under the MPP, face targeted discrimination, physical violence, sexual assault, overwhelmed and corrupt law enforcement, lack of food and shelter, and practical obstacles to participation in court proceedings in the United States. The hardship and danger to individuals returned to Mexico under the MPP have been repeatedly confirmed by reliable news reports.” </w:t>
      </w:r>
      <w:hyperlink r:id="rId829" w:history="1">
        <w:r w:rsidRPr="00465FB3">
          <w:rPr>
            <w:rStyle w:val="Hyperlink"/>
            <w:rFonts w:ascii="Times New Roman" w:hAnsi="Times New Roman"/>
            <w:sz w:val="24"/>
            <w:szCs w:val="24"/>
          </w:rPr>
          <w:t>https://cdn.ca9.uscourts.gov/datastore/opinions/2020/02/28/19-15716.pdf</w:t>
        </w:r>
      </w:hyperlink>
      <w:r w:rsidRPr="00465FB3">
        <w:rPr>
          <w:rFonts w:ascii="Times New Roman" w:hAnsi="Times New Roman"/>
          <w:sz w:val="24"/>
          <w:szCs w:val="24"/>
        </w:rPr>
        <w:t xml:space="preserve"> </w:t>
      </w:r>
    </w:p>
    <w:p w14:paraId="2EC9791E" w14:textId="77777777" w:rsidR="00663160" w:rsidRPr="00465FB3" w:rsidRDefault="00663160" w:rsidP="00663160">
      <w:pPr>
        <w:spacing w:after="0" w:line="240" w:lineRule="auto"/>
        <w:rPr>
          <w:rFonts w:ascii="Times New Roman" w:hAnsi="Times New Roman"/>
          <w:sz w:val="24"/>
          <w:szCs w:val="24"/>
        </w:rPr>
      </w:pPr>
    </w:p>
    <w:p w14:paraId="7898F8F5" w14:textId="68CF51D2" w:rsidR="00663160" w:rsidRPr="00465FB3" w:rsidRDefault="00663160" w:rsidP="00663160">
      <w:pPr>
        <w:spacing w:after="0" w:line="240" w:lineRule="auto"/>
        <w:rPr>
          <w:rFonts w:ascii="Times New Roman" w:hAnsi="Times New Roman"/>
          <w:b/>
          <w:bCs/>
          <w:sz w:val="24"/>
          <w:szCs w:val="24"/>
        </w:rPr>
      </w:pPr>
      <w:r w:rsidRPr="00465FB3">
        <w:rPr>
          <w:rFonts w:ascii="Times New Roman" w:hAnsi="Times New Roman"/>
          <w:b/>
          <w:bCs/>
          <w:sz w:val="24"/>
          <w:szCs w:val="24"/>
        </w:rPr>
        <w:t>Legal Lessons Learned:  The Federal Government may now ask for all the judges on the 9</w:t>
      </w:r>
      <w:r w:rsidRPr="00465FB3">
        <w:rPr>
          <w:rFonts w:ascii="Times New Roman" w:hAnsi="Times New Roman"/>
          <w:b/>
          <w:bCs/>
          <w:sz w:val="24"/>
          <w:szCs w:val="24"/>
          <w:vertAlign w:val="superscript"/>
        </w:rPr>
        <w:t>th</w:t>
      </w:r>
      <w:r w:rsidRPr="00465FB3">
        <w:rPr>
          <w:rFonts w:ascii="Times New Roman" w:hAnsi="Times New Roman"/>
          <w:b/>
          <w:bCs/>
          <w:sz w:val="24"/>
          <w:szCs w:val="24"/>
        </w:rPr>
        <w:t xml:space="preserve"> Circuit (“</w:t>
      </w:r>
      <w:proofErr w:type="spellStart"/>
      <w:r w:rsidRPr="00465FB3">
        <w:rPr>
          <w:rFonts w:ascii="Times New Roman" w:hAnsi="Times New Roman"/>
          <w:b/>
          <w:bCs/>
          <w:sz w:val="24"/>
          <w:szCs w:val="24"/>
        </w:rPr>
        <w:t>en</w:t>
      </w:r>
      <w:proofErr w:type="spellEnd"/>
      <w:r w:rsidRPr="00465FB3">
        <w:rPr>
          <w:rFonts w:ascii="Times New Roman" w:hAnsi="Times New Roman"/>
          <w:b/>
          <w:bCs/>
          <w:sz w:val="24"/>
          <w:szCs w:val="24"/>
        </w:rPr>
        <w:t xml:space="preserve"> banc”) </w:t>
      </w:r>
      <w:r w:rsidR="00965872">
        <w:rPr>
          <w:rFonts w:ascii="Times New Roman" w:hAnsi="Times New Roman"/>
          <w:b/>
          <w:bCs/>
          <w:sz w:val="24"/>
          <w:szCs w:val="24"/>
        </w:rPr>
        <w:t xml:space="preserve">to hear </w:t>
      </w:r>
      <w:r w:rsidRPr="00465FB3">
        <w:rPr>
          <w:rFonts w:ascii="Times New Roman" w:hAnsi="Times New Roman"/>
          <w:b/>
          <w:bCs/>
          <w:sz w:val="24"/>
          <w:szCs w:val="24"/>
        </w:rPr>
        <w:t xml:space="preserve">their </w:t>
      </w:r>
      <w:proofErr w:type="gramStart"/>
      <w:r w:rsidRPr="00465FB3">
        <w:rPr>
          <w:rFonts w:ascii="Times New Roman" w:hAnsi="Times New Roman"/>
          <w:b/>
          <w:bCs/>
          <w:sz w:val="24"/>
          <w:szCs w:val="24"/>
        </w:rPr>
        <w:t>appeal, or</w:t>
      </w:r>
      <w:proofErr w:type="gramEnd"/>
      <w:r w:rsidRPr="00465FB3">
        <w:rPr>
          <w:rFonts w:ascii="Times New Roman" w:hAnsi="Times New Roman"/>
          <w:b/>
          <w:bCs/>
          <w:sz w:val="24"/>
          <w:szCs w:val="24"/>
        </w:rPr>
        <w:t xml:space="preserve"> seek an appeal to the U.S. Supreme Court (requires vote of 4 of 9 Justices to take the case).  </w:t>
      </w:r>
    </w:p>
    <w:p w14:paraId="59429E27" w14:textId="77777777" w:rsidR="00663160" w:rsidRDefault="00663160" w:rsidP="00F326E5">
      <w:pPr>
        <w:pStyle w:val="NoSpacing"/>
        <w:rPr>
          <w:rFonts w:ascii="Arial Black" w:hAnsi="Arial Black"/>
          <w:sz w:val="28"/>
          <w:szCs w:val="28"/>
        </w:rPr>
      </w:pPr>
    </w:p>
    <w:p w14:paraId="247D7D52" w14:textId="77777777" w:rsidR="00663160" w:rsidRDefault="00663160" w:rsidP="00F326E5">
      <w:pPr>
        <w:pStyle w:val="NoSpacing"/>
        <w:rPr>
          <w:rFonts w:ascii="Arial Black" w:hAnsi="Arial Black"/>
          <w:sz w:val="28"/>
          <w:szCs w:val="28"/>
        </w:rPr>
      </w:pPr>
    </w:p>
    <w:p w14:paraId="3BC4BF9F" w14:textId="77777777" w:rsidR="00663160" w:rsidRDefault="00663160" w:rsidP="00F326E5">
      <w:pPr>
        <w:pStyle w:val="NoSpacing"/>
        <w:rPr>
          <w:rFonts w:ascii="Arial Black" w:hAnsi="Arial Black"/>
          <w:sz w:val="28"/>
          <w:szCs w:val="28"/>
        </w:rPr>
      </w:pPr>
    </w:p>
    <w:p w14:paraId="15B6573F" w14:textId="77777777" w:rsidR="00663160" w:rsidRDefault="00663160" w:rsidP="00F326E5">
      <w:pPr>
        <w:pStyle w:val="NoSpacing"/>
        <w:rPr>
          <w:rFonts w:ascii="Arial Black" w:hAnsi="Arial Black"/>
          <w:sz w:val="28"/>
          <w:szCs w:val="28"/>
        </w:rPr>
      </w:pPr>
    </w:p>
    <w:p w14:paraId="092CA3D7" w14:textId="05F7FD20" w:rsidR="00663160" w:rsidRDefault="00663160" w:rsidP="00F326E5">
      <w:pPr>
        <w:pStyle w:val="NoSpacing"/>
        <w:rPr>
          <w:rFonts w:ascii="Arial Black" w:hAnsi="Arial Black"/>
          <w:sz w:val="28"/>
          <w:szCs w:val="28"/>
        </w:rPr>
      </w:pPr>
      <w:r>
        <w:rPr>
          <w:rFonts w:ascii="Arial Black" w:hAnsi="Arial Black"/>
          <w:sz w:val="28"/>
          <w:szCs w:val="28"/>
        </w:rPr>
        <w:t>3-18</w:t>
      </w:r>
    </w:p>
    <w:p w14:paraId="171DDD7B" w14:textId="6FC67F50" w:rsidR="00663160" w:rsidRDefault="00663160" w:rsidP="00F326E5">
      <w:pPr>
        <w:pStyle w:val="NoSpacing"/>
        <w:rPr>
          <w:rFonts w:ascii="Arial Black" w:hAnsi="Arial Black"/>
          <w:sz w:val="28"/>
          <w:szCs w:val="28"/>
        </w:rPr>
      </w:pPr>
    </w:p>
    <w:p w14:paraId="365039BB" w14:textId="77777777" w:rsidR="00663160" w:rsidRPr="00625E48" w:rsidRDefault="00663160" w:rsidP="00663160">
      <w:pPr>
        <w:rPr>
          <w:rFonts w:ascii="Arial Black" w:hAnsi="Arial Black"/>
          <w:sz w:val="28"/>
          <w:szCs w:val="28"/>
        </w:rPr>
      </w:pPr>
      <w:bookmarkStart w:id="150" w:name="_Hlk39818246"/>
      <w:r w:rsidRPr="00625E48">
        <w:rPr>
          <w:rFonts w:ascii="Arial Black" w:hAnsi="Arial Black"/>
          <w:sz w:val="28"/>
          <w:szCs w:val="28"/>
        </w:rPr>
        <w:t xml:space="preserve">NY: </w:t>
      </w:r>
      <w:r>
        <w:rPr>
          <w:rFonts w:ascii="Arial Black" w:hAnsi="Arial Black"/>
          <w:sz w:val="28"/>
          <w:szCs w:val="28"/>
        </w:rPr>
        <w:t>SANCTUARY CITIES –- 2</w:t>
      </w:r>
      <w:r w:rsidRPr="00FD157C">
        <w:rPr>
          <w:rFonts w:ascii="Arial Black" w:hAnsi="Arial Black"/>
          <w:sz w:val="28"/>
          <w:szCs w:val="28"/>
          <w:vertAlign w:val="superscript"/>
        </w:rPr>
        <w:t>nd</w:t>
      </w:r>
      <w:r>
        <w:rPr>
          <w:rFonts w:ascii="Arial Black" w:hAnsi="Arial Black"/>
          <w:sz w:val="28"/>
          <w:szCs w:val="28"/>
        </w:rPr>
        <w:t xml:space="preserve"> CIRCUIT UPHOLDS FED. GOV’T RIGHT TO DENY GRANTS TO STATES / CITIES </w:t>
      </w:r>
    </w:p>
    <w:p w14:paraId="3EC381D1" w14:textId="77777777" w:rsidR="00663160" w:rsidRPr="00465FB3" w:rsidRDefault="00663160" w:rsidP="00663160">
      <w:pPr>
        <w:pStyle w:val="NoSpacing"/>
        <w:rPr>
          <w:rFonts w:ascii="Times New Roman" w:hAnsi="Times New Roman"/>
          <w:b/>
          <w:bCs/>
          <w:sz w:val="24"/>
          <w:szCs w:val="24"/>
        </w:rPr>
      </w:pPr>
      <w:r w:rsidRPr="00465FB3">
        <w:rPr>
          <w:rFonts w:ascii="Times New Roman" w:hAnsi="Times New Roman"/>
          <w:bCs/>
          <w:sz w:val="24"/>
          <w:szCs w:val="24"/>
        </w:rPr>
        <w:t xml:space="preserve">On Feb. 26, 2020, in </w:t>
      </w:r>
      <w:bookmarkStart w:id="151" w:name="_Hlk39823423"/>
      <w:r w:rsidRPr="00465FB3">
        <w:rPr>
          <w:rFonts w:ascii="Times New Roman" w:hAnsi="Times New Roman"/>
          <w:bCs/>
          <w:sz w:val="24"/>
          <w:szCs w:val="24"/>
          <w:u w:val="single"/>
        </w:rPr>
        <w:t>The State of New York, Connecticut, New Jersey, Washington, Massachusetts, Virginia, Rhode Island, and City of New York v. United States Department of Justice</w:t>
      </w:r>
      <w:r w:rsidRPr="00465FB3">
        <w:rPr>
          <w:rFonts w:ascii="Times New Roman" w:hAnsi="Times New Roman"/>
          <w:bCs/>
          <w:sz w:val="24"/>
          <w:szCs w:val="24"/>
        </w:rPr>
        <w:t xml:space="preserve">, the U.S. Court of Appeals for the Second Circuit (New York), </w:t>
      </w:r>
      <w:bookmarkEnd w:id="151"/>
      <w:r w:rsidRPr="00465FB3">
        <w:rPr>
          <w:rFonts w:ascii="Times New Roman" w:hAnsi="Times New Roman"/>
          <w:bCs/>
          <w:sz w:val="24"/>
          <w:szCs w:val="24"/>
        </w:rPr>
        <w:t xml:space="preserve">held (3 to 0) that the Federal Government has the statutory right to withhold Edward Byrne Memorial Program* Criminal Justice Assistance grants from sanctuary states and municipalities, setting aside an injunction issued in 2018 by a U.S. District Court judge.  [*Court in its decision, Footnote 2: “The Byrne Program is named for New York City Police Officer Edward Byrne who, at age 22, was shot to death [Feb. 26, 1988] while guarding the home of a Guyanese immigrant cooperating with authorities investigating drug trafficking. </w:t>
      </w:r>
      <w:proofErr w:type="gramStart"/>
      <w:r w:rsidRPr="00465FB3">
        <w:rPr>
          <w:rFonts w:ascii="Times New Roman" w:hAnsi="Times New Roman"/>
          <w:bCs/>
          <w:sz w:val="24"/>
          <w:szCs w:val="24"/>
        </w:rPr>
        <w:t>The</w:t>
      </w:r>
      <w:proofErr w:type="gramEnd"/>
      <w:r w:rsidRPr="00465FB3">
        <w:rPr>
          <w:rFonts w:ascii="Times New Roman" w:hAnsi="Times New Roman"/>
          <w:bCs/>
          <w:sz w:val="24"/>
          <w:szCs w:val="24"/>
        </w:rPr>
        <w:t xml:space="preserve"> case is well known in this circuit, where five </w:t>
      </w:r>
      <w:proofErr w:type="gramStart"/>
      <w:r w:rsidRPr="00465FB3">
        <w:rPr>
          <w:rFonts w:ascii="Times New Roman" w:hAnsi="Times New Roman"/>
          <w:bCs/>
          <w:sz w:val="24"/>
          <w:szCs w:val="24"/>
        </w:rPr>
        <w:t>persons</w:t>
      </w:r>
      <w:proofErr w:type="gramEnd"/>
      <w:r w:rsidRPr="00465FB3">
        <w:rPr>
          <w:rFonts w:ascii="Times New Roman" w:hAnsi="Times New Roman"/>
          <w:bCs/>
          <w:sz w:val="24"/>
          <w:szCs w:val="24"/>
        </w:rPr>
        <w:t xml:space="preserve"> were convicted in the Eastern District of New York for their roles in Byrne’s murder. Among these was Howard ‘Pappy’ Mason, a drug dealer who, from his New York State prison cell, ordered subordinates to kill a police officer in retaliation for Mason’s own incarceration.”]</w:t>
      </w:r>
    </w:p>
    <w:p w14:paraId="6D580252" w14:textId="77777777" w:rsidR="00663160" w:rsidRPr="00465FB3" w:rsidRDefault="00663160" w:rsidP="00663160">
      <w:pPr>
        <w:pStyle w:val="NoSpacing"/>
        <w:rPr>
          <w:rFonts w:ascii="Times New Roman" w:hAnsi="Times New Roman"/>
          <w:b/>
          <w:bCs/>
          <w:sz w:val="24"/>
          <w:szCs w:val="24"/>
        </w:rPr>
      </w:pPr>
    </w:p>
    <w:p w14:paraId="2D0F12C7" w14:textId="0DA795FE" w:rsidR="00663160" w:rsidRDefault="00663160" w:rsidP="00965872">
      <w:pPr>
        <w:pStyle w:val="NoSpacing"/>
        <w:ind w:left="720"/>
        <w:rPr>
          <w:rStyle w:val="Hyperlink"/>
          <w:rFonts w:ascii="Times New Roman" w:hAnsi="Times New Roman"/>
          <w:bCs/>
          <w:sz w:val="24"/>
          <w:szCs w:val="24"/>
        </w:rPr>
      </w:pPr>
      <w:r w:rsidRPr="00465FB3">
        <w:rPr>
          <w:rFonts w:ascii="Times New Roman" w:hAnsi="Times New Roman"/>
          <w:bCs/>
          <w:sz w:val="24"/>
          <w:szCs w:val="24"/>
        </w:rPr>
        <w:t xml:space="preserve">“The principal legal question presented in this appeal is whether the federal government may deny grants of money to State and local governments that would be eligible for such awards but for their refusal to comply with three immigration‐related conditions imposed by the Attorney General of the United States. Those conditions require grant applicants to certify that they will (1) comply with federal law prohibiting any restrictions on the communication of citizenship and alien status information with federal immigration authorities, see 8U.S.C.§1373; (2) provide federal authorities, upon request, with the release dates of incarcerated illegal aliens; and (3) afford federal immigration officers access to incarcerated illegal aliens. *** For reasons explained in this opinion, we conclude that the plain language of the relevant statutes authorizes the Attorney General to impose the challenged conditions.  </w:t>
      </w:r>
      <w:bookmarkStart w:id="152" w:name="_Hlk39823517"/>
      <w:r w:rsidR="00F2621E">
        <w:fldChar w:fldCharType="begin"/>
      </w:r>
      <w:r w:rsidR="00F2621E">
        <w:instrText xml:space="preserve"> HYPERLINK "http://www.ca2.uscourts.gov/decisions/isysquery/77aa9bb2-f2fe-443d-984f-9afcae6dd25e/1/doc/19-267_opn.pdf" \l "xml=http://www.ca2.uscourts.gov/decisions/isysquery/77aa9bb2-f2fe-443d-984f-9afcae6dd25e/1/hilite/" </w:instrText>
      </w:r>
      <w:r w:rsidR="00F2621E">
        <w:fldChar w:fldCharType="separate"/>
      </w:r>
      <w:r w:rsidRPr="00465FB3">
        <w:rPr>
          <w:rStyle w:val="Hyperlink"/>
          <w:rFonts w:ascii="Times New Roman" w:hAnsi="Times New Roman"/>
          <w:bCs/>
          <w:sz w:val="24"/>
          <w:szCs w:val="24"/>
        </w:rPr>
        <w:t>http://www.ca2.uscourts.gov/decisions/isysquery/77aa9bb2-f2fe-443d-984f-9afcae6dd25e/1/doc/19-267_opn.pdf#xml=http://www.ca2.uscourts.gov/decisions/isysquery/77aa9bb2-f2fe-443d-984f-9afcae6dd25e/1/hilite/</w:t>
      </w:r>
      <w:r w:rsidR="00F2621E">
        <w:rPr>
          <w:rStyle w:val="Hyperlink"/>
          <w:rFonts w:ascii="Times New Roman" w:hAnsi="Times New Roman"/>
          <w:bCs/>
          <w:sz w:val="24"/>
          <w:szCs w:val="24"/>
        </w:rPr>
        <w:fldChar w:fldCharType="end"/>
      </w:r>
      <w:bookmarkEnd w:id="152"/>
    </w:p>
    <w:bookmarkEnd w:id="150"/>
    <w:p w14:paraId="7131F8FA" w14:textId="0421C127" w:rsidR="00663160" w:rsidRDefault="00663160" w:rsidP="00663160">
      <w:pPr>
        <w:pStyle w:val="NoSpacing"/>
        <w:rPr>
          <w:rFonts w:ascii="Arial Black" w:hAnsi="Arial Black"/>
          <w:sz w:val="28"/>
          <w:szCs w:val="28"/>
        </w:rPr>
      </w:pPr>
    </w:p>
    <w:p w14:paraId="57D29285" w14:textId="77777777" w:rsidR="00663160" w:rsidRPr="00465FB3" w:rsidRDefault="00663160" w:rsidP="00663160">
      <w:pPr>
        <w:pStyle w:val="NoSpacing"/>
        <w:tabs>
          <w:tab w:val="left" w:pos="2890"/>
        </w:tabs>
        <w:rPr>
          <w:rFonts w:ascii="Times New Roman" w:hAnsi="Times New Roman"/>
          <w:b/>
          <w:bCs/>
          <w:sz w:val="24"/>
          <w:szCs w:val="24"/>
        </w:rPr>
      </w:pPr>
      <w:bookmarkStart w:id="153" w:name="_Hlk40509288"/>
      <w:r w:rsidRPr="00465FB3">
        <w:rPr>
          <w:rFonts w:ascii="Times New Roman" w:hAnsi="Times New Roman"/>
          <w:b/>
          <w:bCs/>
          <w:sz w:val="24"/>
          <w:szCs w:val="24"/>
        </w:rPr>
        <w:t xml:space="preserve">Legal Lessons Learned: Sanctuary cities are a “hot” political issue; the states who brought this lawsuit may now request U.S. Supreme Court to hear their appeal (requires vote of 4 of 9 justices for the Court to hear an appeal).   Federal appeals courts in Philadelphia, Chicago and San Francisco have upheld injunctions against these federal restrictions. </w:t>
      </w:r>
    </w:p>
    <w:p w14:paraId="6345F829" w14:textId="7729104C" w:rsidR="00025B22" w:rsidRDefault="00663160" w:rsidP="009E7672">
      <w:pPr>
        <w:pStyle w:val="NoSpacing"/>
        <w:rPr>
          <w:rFonts w:ascii="Times New Roman" w:hAnsi="Times New Roman"/>
          <w:b/>
          <w:bCs/>
          <w:sz w:val="24"/>
          <w:szCs w:val="24"/>
        </w:rPr>
      </w:pPr>
      <w:bookmarkStart w:id="154" w:name="_Hlk39823343"/>
      <w:r w:rsidRPr="00025B22">
        <w:rPr>
          <w:rFonts w:ascii="Times New Roman" w:hAnsi="Times New Roman"/>
          <w:sz w:val="24"/>
          <w:szCs w:val="24"/>
        </w:rPr>
        <w:t xml:space="preserve">See </w:t>
      </w:r>
      <w:r w:rsidR="00025B22" w:rsidRPr="00025B22">
        <w:rPr>
          <w:rFonts w:ascii="Times New Roman" w:hAnsi="Times New Roman"/>
          <w:sz w:val="24"/>
          <w:szCs w:val="24"/>
        </w:rPr>
        <w:t xml:space="preserve">Feb. 26, </w:t>
      </w:r>
      <w:proofErr w:type="gramStart"/>
      <w:r w:rsidR="00025B22" w:rsidRPr="00025B22">
        <w:rPr>
          <w:rFonts w:ascii="Times New Roman" w:hAnsi="Times New Roman"/>
          <w:sz w:val="24"/>
          <w:szCs w:val="24"/>
        </w:rPr>
        <w:t>2020</w:t>
      </w:r>
      <w:proofErr w:type="gramEnd"/>
      <w:r w:rsidR="00025B22" w:rsidRPr="00025B22">
        <w:rPr>
          <w:rFonts w:ascii="Times New Roman" w:hAnsi="Times New Roman"/>
          <w:sz w:val="24"/>
          <w:szCs w:val="24"/>
        </w:rPr>
        <w:t xml:space="preserve"> </w:t>
      </w:r>
      <w:r w:rsidRPr="00025B22">
        <w:rPr>
          <w:rFonts w:ascii="Times New Roman" w:hAnsi="Times New Roman"/>
          <w:sz w:val="24"/>
          <w:szCs w:val="24"/>
        </w:rPr>
        <w:t>article on the decision:</w:t>
      </w:r>
      <w:r w:rsidRPr="00465FB3">
        <w:rPr>
          <w:rFonts w:ascii="Times New Roman" w:hAnsi="Times New Roman"/>
          <w:b/>
          <w:bCs/>
          <w:sz w:val="24"/>
          <w:szCs w:val="24"/>
        </w:rPr>
        <w:t xml:space="preserve"> </w:t>
      </w:r>
      <w:r w:rsidR="00025B22" w:rsidRPr="00025B22">
        <w:rPr>
          <w:rFonts w:ascii="Times New Roman" w:hAnsi="Times New Roman"/>
          <w:sz w:val="24"/>
          <w:szCs w:val="24"/>
        </w:rPr>
        <w:t>Trump Administration May Withhold Federal Grants Over Sanctuary Policies, 2nd Circuit Rules</w:t>
      </w:r>
      <w:r w:rsidR="00025B22">
        <w:rPr>
          <w:rFonts w:ascii="Times New Roman" w:hAnsi="Times New Roman"/>
          <w:sz w:val="24"/>
          <w:szCs w:val="24"/>
        </w:rPr>
        <w:t xml:space="preserve">,” </w:t>
      </w:r>
    </w:p>
    <w:p w14:paraId="444BEB8E" w14:textId="05A41F0F" w:rsidR="00663160" w:rsidRPr="00465FB3" w:rsidRDefault="00025B22" w:rsidP="00663160">
      <w:pPr>
        <w:pStyle w:val="NoSpacing"/>
        <w:tabs>
          <w:tab w:val="left" w:pos="2890"/>
        </w:tabs>
        <w:rPr>
          <w:rFonts w:ascii="Times New Roman" w:hAnsi="Times New Roman"/>
          <w:sz w:val="24"/>
          <w:szCs w:val="24"/>
        </w:rPr>
      </w:pPr>
      <w:hyperlink r:id="rId830" w:history="1">
        <w:r w:rsidRPr="00751ACF">
          <w:rPr>
            <w:rStyle w:val="Hyperlink"/>
            <w:rFonts w:ascii="Times New Roman" w:hAnsi="Times New Roman"/>
            <w:b/>
            <w:bCs/>
            <w:sz w:val="24"/>
            <w:szCs w:val="24"/>
          </w:rPr>
          <w:t>https://www.law.com/newyorklawjournal/2020/02/26/trump-administration-may-withhold-federal-grants-over-sanctuary-policies-2nd-circuit-rules/</w:t>
        </w:r>
      </w:hyperlink>
      <w:r w:rsidR="00663160" w:rsidRPr="00465FB3">
        <w:rPr>
          <w:rFonts w:ascii="Times New Roman" w:hAnsi="Times New Roman"/>
          <w:sz w:val="24"/>
          <w:szCs w:val="24"/>
        </w:rPr>
        <w:t xml:space="preserve"> </w:t>
      </w:r>
      <w:bookmarkEnd w:id="153"/>
    </w:p>
    <w:bookmarkEnd w:id="154"/>
    <w:p w14:paraId="1DFB96BD" w14:textId="2F988E5D" w:rsidR="00663160" w:rsidRDefault="00663160" w:rsidP="00663160">
      <w:pPr>
        <w:pStyle w:val="NoSpacing"/>
        <w:rPr>
          <w:rFonts w:ascii="Arial Black" w:hAnsi="Arial Black"/>
          <w:sz w:val="28"/>
          <w:szCs w:val="28"/>
        </w:rPr>
      </w:pPr>
      <w:r>
        <w:rPr>
          <w:rFonts w:ascii="Arial Black" w:hAnsi="Arial Black"/>
          <w:sz w:val="28"/>
          <w:szCs w:val="28"/>
        </w:rPr>
        <w:t xml:space="preserve"> </w:t>
      </w:r>
    </w:p>
    <w:p w14:paraId="6AF8BCF4" w14:textId="77777777" w:rsidR="00663160" w:rsidRDefault="00663160" w:rsidP="00F326E5">
      <w:pPr>
        <w:pStyle w:val="NoSpacing"/>
        <w:rPr>
          <w:rFonts w:ascii="Arial Black" w:hAnsi="Arial Black"/>
          <w:sz w:val="28"/>
          <w:szCs w:val="28"/>
        </w:rPr>
      </w:pPr>
    </w:p>
    <w:p w14:paraId="397E350C" w14:textId="77777777" w:rsidR="00663160" w:rsidRDefault="00663160" w:rsidP="00F326E5">
      <w:pPr>
        <w:pStyle w:val="NoSpacing"/>
        <w:rPr>
          <w:rFonts w:ascii="Arial Black" w:hAnsi="Arial Black"/>
          <w:sz w:val="28"/>
          <w:szCs w:val="28"/>
        </w:rPr>
      </w:pPr>
    </w:p>
    <w:p w14:paraId="3BF95380" w14:textId="6375CE74" w:rsidR="007C6FEF" w:rsidRDefault="007C6FEF" w:rsidP="00F326E5">
      <w:pPr>
        <w:pStyle w:val="NoSpacing"/>
        <w:rPr>
          <w:rFonts w:ascii="Arial Black" w:hAnsi="Arial Black"/>
          <w:sz w:val="28"/>
          <w:szCs w:val="28"/>
        </w:rPr>
      </w:pPr>
      <w:r>
        <w:rPr>
          <w:rFonts w:ascii="Arial Black" w:hAnsi="Arial Black"/>
          <w:sz w:val="28"/>
          <w:szCs w:val="28"/>
        </w:rPr>
        <w:t>3-17</w:t>
      </w:r>
    </w:p>
    <w:p w14:paraId="7B72F072" w14:textId="31E31B1A" w:rsidR="007C6FEF" w:rsidRDefault="007C6FEF" w:rsidP="007C6FEF">
      <w:pPr>
        <w:spacing w:before="100" w:beforeAutospacing="1" w:after="100" w:afterAutospacing="1" w:line="240" w:lineRule="auto"/>
        <w:rPr>
          <w:rFonts w:ascii="Arial Black" w:hAnsi="Arial Black"/>
          <w:sz w:val="28"/>
          <w:szCs w:val="28"/>
        </w:rPr>
      </w:pPr>
      <w:r w:rsidRPr="00E0167A">
        <w:rPr>
          <w:rFonts w:ascii="Arial Black" w:hAnsi="Arial Black"/>
          <w:sz w:val="28"/>
          <w:szCs w:val="28"/>
        </w:rPr>
        <w:t>NY:</w:t>
      </w:r>
      <w:r>
        <w:rPr>
          <w:rFonts w:ascii="Arial Black" w:hAnsi="Arial Black"/>
          <w:sz w:val="28"/>
          <w:szCs w:val="28"/>
        </w:rPr>
        <w:t xml:space="preserve">  TERRORIST – ATTACKED FBI AGENT, 8-INCH KNIFE – PLED GUITY – 2</w:t>
      </w:r>
      <w:r w:rsidRPr="00E62FA3">
        <w:rPr>
          <w:rFonts w:ascii="Arial Black" w:hAnsi="Arial Black"/>
          <w:sz w:val="28"/>
          <w:szCs w:val="28"/>
          <w:vertAlign w:val="superscript"/>
        </w:rPr>
        <w:t>nd</w:t>
      </w:r>
      <w:r>
        <w:rPr>
          <w:rFonts w:ascii="Arial Black" w:hAnsi="Arial Black"/>
          <w:sz w:val="28"/>
          <w:szCs w:val="28"/>
        </w:rPr>
        <w:t xml:space="preserve"> Cir: 17 YRS IN PRISON NOT ENOUGH </w:t>
      </w:r>
    </w:p>
    <w:p w14:paraId="037F3549" w14:textId="77777777" w:rsidR="007C6FEF" w:rsidRDefault="007C6FEF" w:rsidP="007C6FEF">
      <w:pPr>
        <w:spacing w:before="100" w:beforeAutospacing="1" w:after="100" w:afterAutospacing="1" w:line="240" w:lineRule="auto"/>
        <w:rPr>
          <w:rFonts w:ascii="OnTimes New Roman" w:hAnsi="OnTimes New Roman"/>
          <w:sz w:val="24"/>
          <w:szCs w:val="24"/>
        </w:rPr>
      </w:pPr>
      <w:r>
        <w:rPr>
          <w:rFonts w:ascii="OnTimes New Roman" w:hAnsi="OnTimes New Roman"/>
          <w:sz w:val="24"/>
          <w:szCs w:val="24"/>
        </w:rPr>
        <w:t xml:space="preserve">On Dec. 27, 2019, in </w:t>
      </w:r>
      <w:r w:rsidRPr="00E0167A">
        <w:rPr>
          <w:rFonts w:ascii="Times New Roman" w:hAnsi="Times New Roman"/>
          <w:sz w:val="24"/>
          <w:szCs w:val="24"/>
          <w:u w:val="single"/>
        </w:rPr>
        <w:t>United States of America v. Fareed Mumuni</w:t>
      </w:r>
      <w:r>
        <w:rPr>
          <w:rFonts w:ascii="OnTimes New Roman" w:hAnsi="OnTimes New Roman"/>
          <w:sz w:val="24"/>
          <w:szCs w:val="24"/>
        </w:rPr>
        <w:t xml:space="preserve">, the U.S. Court of Appeals for Second Circuit (NYC), held 2 to 1 that U.S. District Court judge must re-sentence the convicted terrorist. </w:t>
      </w:r>
    </w:p>
    <w:p w14:paraId="422BEC57" w14:textId="77777777" w:rsidR="007C6FEF" w:rsidRDefault="007C6FEF" w:rsidP="007C6FEF">
      <w:pPr>
        <w:spacing w:before="100" w:beforeAutospacing="1" w:after="100" w:afterAutospacing="1" w:line="240" w:lineRule="auto"/>
        <w:ind w:left="720"/>
        <w:rPr>
          <w:rFonts w:ascii="Times New Roman" w:hAnsi="Times New Roman"/>
          <w:sz w:val="24"/>
          <w:szCs w:val="24"/>
        </w:rPr>
      </w:pPr>
      <w:r w:rsidRPr="00E0167A">
        <w:rPr>
          <w:rFonts w:ascii="Times New Roman" w:hAnsi="Times New Roman"/>
          <w:sz w:val="24"/>
          <w:szCs w:val="24"/>
        </w:rPr>
        <w:t>“In</w:t>
      </w:r>
      <w:r>
        <w:rPr>
          <w:rFonts w:ascii="Times New Roman" w:hAnsi="Times New Roman"/>
          <w:sz w:val="24"/>
          <w:szCs w:val="24"/>
        </w:rPr>
        <w:t xml:space="preserve"> </w:t>
      </w:r>
      <w:r w:rsidRPr="00E0167A">
        <w:rPr>
          <w:rFonts w:ascii="Times New Roman" w:hAnsi="Times New Roman"/>
          <w:sz w:val="24"/>
          <w:szCs w:val="24"/>
        </w:rPr>
        <w:t>this</w:t>
      </w:r>
      <w:r>
        <w:rPr>
          <w:rFonts w:ascii="Times New Roman" w:hAnsi="Times New Roman"/>
          <w:sz w:val="24"/>
          <w:szCs w:val="24"/>
        </w:rPr>
        <w:t xml:space="preserve"> </w:t>
      </w:r>
      <w:r w:rsidRPr="00E0167A">
        <w:rPr>
          <w:rFonts w:ascii="Times New Roman" w:hAnsi="Times New Roman"/>
          <w:sz w:val="24"/>
          <w:szCs w:val="24"/>
        </w:rPr>
        <w:t>terrorism</w:t>
      </w:r>
      <w:r>
        <w:rPr>
          <w:rFonts w:ascii="Times New Roman" w:hAnsi="Times New Roman"/>
          <w:sz w:val="24"/>
          <w:szCs w:val="24"/>
        </w:rPr>
        <w:t xml:space="preserve"> </w:t>
      </w:r>
      <w:r w:rsidRPr="00E0167A">
        <w:rPr>
          <w:rFonts w:ascii="Times New Roman" w:hAnsi="Times New Roman"/>
          <w:sz w:val="24"/>
          <w:szCs w:val="24"/>
        </w:rPr>
        <w:t>case,</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Government</w:t>
      </w:r>
      <w:r>
        <w:rPr>
          <w:rFonts w:ascii="Times New Roman" w:hAnsi="Times New Roman"/>
          <w:sz w:val="24"/>
          <w:szCs w:val="24"/>
        </w:rPr>
        <w:t xml:space="preserve"> </w:t>
      </w:r>
      <w:r w:rsidRPr="00E0167A">
        <w:rPr>
          <w:rFonts w:ascii="Times New Roman" w:hAnsi="Times New Roman"/>
          <w:sz w:val="24"/>
          <w:szCs w:val="24"/>
        </w:rPr>
        <w:t>appeals</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substantive </w:t>
      </w:r>
      <w:r w:rsidRPr="00E0167A">
        <w:rPr>
          <w:rFonts w:ascii="Times New Roman" w:hAnsi="Times New Roman"/>
          <w:sz w:val="24"/>
          <w:szCs w:val="24"/>
        </w:rPr>
        <w:t>reasonableness</w:t>
      </w:r>
      <w:r>
        <w:rPr>
          <w:rFonts w:ascii="Times New Roman" w:hAnsi="Times New Roman"/>
          <w:sz w:val="24"/>
          <w:szCs w:val="24"/>
        </w:rPr>
        <w:t xml:space="preserve"> </w:t>
      </w:r>
      <w:r w:rsidRPr="00E0167A">
        <w:rPr>
          <w:rFonts w:ascii="Times New Roman" w:hAnsi="Times New Roman"/>
          <w:sz w:val="24"/>
          <w:szCs w:val="24"/>
        </w:rPr>
        <w:t>of</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sentence</w:t>
      </w:r>
      <w:r>
        <w:rPr>
          <w:rFonts w:ascii="Times New Roman" w:hAnsi="Times New Roman"/>
          <w:sz w:val="24"/>
          <w:szCs w:val="24"/>
        </w:rPr>
        <w:t xml:space="preserve"> </w:t>
      </w:r>
      <w:r w:rsidRPr="00E0167A">
        <w:rPr>
          <w:rFonts w:ascii="Times New Roman" w:hAnsi="Times New Roman"/>
          <w:sz w:val="24"/>
          <w:szCs w:val="24"/>
        </w:rPr>
        <w:t>imposed</w:t>
      </w:r>
      <w:r>
        <w:rPr>
          <w:rFonts w:ascii="Times New Roman" w:hAnsi="Times New Roman"/>
          <w:sz w:val="24"/>
          <w:szCs w:val="24"/>
        </w:rPr>
        <w:t xml:space="preserve"> </w:t>
      </w:r>
      <w:r w:rsidRPr="00E0167A">
        <w:rPr>
          <w:rFonts w:ascii="Times New Roman" w:hAnsi="Times New Roman"/>
          <w:sz w:val="24"/>
          <w:szCs w:val="24"/>
        </w:rPr>
        <w:t>on</w:t>
      </w:r>
      <w:r>
        <w:rPr>
          <w:rFonts w:ascii="Times New Roman" w:hAnsi="Times New Roman"/>
          <w:sz w:val="24"/>
          <w:szCs w:val="24"/>
        </w:rPr>
        <w:t xml:space="preserve"> </w:t>
      </w:r>
      <w:r w:rsidRPr="00E0167A">
        <w:rPr>
          <w:rFonts w:ascii="Times New Roman" w:hAnsi="Times New Roman"/>
          <w:sz w:val="24"/>
          <w:szCs w:val="24"/>
        </w:rPr>
        <w:t>Defendant‐</w:t>
      </w:r>
      <w:r>
        <w:rPr>
          <w:rFonts w:ascii="Times New Roman" w:hAnsi="Times New Roman"/>
          <w:sz w:val="24"/>
          <w:szCs w:val="24"/>
        </w:rPr>
        <w:t>A</w:t>
      </w:r>
      <w:r w:rsidRPr="00E0167A">
        <w:rPr>
          <w:rFonts w:ascii="Times New Roman" w:hAnsi="Times New Roman"/>
          <w:sz w:val="24"/>
          <w:szCs w:val="24"/>
        </w:rPr>
        <w:t>ppellee</w:t>
      </w:r>
      <w:r>
        <w:rPr>
          <w:rFonts w:ascii="Times New Roman" w:hAnsi="Times New Roman"/>
          <w:sz w:val="24"/>
          <w:szCs w:val="24"/>
        </w:rPr>
        <w:t xml:space="preserve"> </w:t>
      </w:r>
      <w:r w:rsidRPr="00E0167A">
        <w:rPr>
          <w:rFonts w:ascii="Times New Roman" w:hAnsi="Times New Roman"/>
          <w:sz w:val="24"/>
          <w:szCs w:val="24"/>
        </w:rPr>
        <w:t>Fareed</w:t>
      </w:r>
      <w:r>
        <w:rPr>
          <w:rFonts w:ascii="Times New Roman" w:hAnsi="Times New Roman"/>
          <w:sz w:val="24"/>
          <w:szCs w:val="24"/>
        </w:rPr>
        <w:t xml:space="preserve"> </w:t>
      </w:r>
      <w:r w:rsidRPr="00E0167A">
        <w:rPr>
          <w:rFonts w:ascii="Times New Roman" w:hAnsi="Times New Roman"/>
          <w:sz w:val="24"/>
          <w:szCs w:val="24"/>
        </w:rPr>
        <w:t>Mumuni</w:t>
      </w:r>
      <w:r>
        <w:rPr>
          <w:rFonts w:ascii="Times New Roman" w:hAnsi="Times New Roman"/>
          <w:sz w:val="24"/>
          <w:szCs w:val="24"/>
        </w:rPr>
        <w:t xml:space="preserve"> </w:t>
      </w:r>
      <w:r w:rsidRPr="00E0167A">
        <w:rPr>
          <w:rFonts w:ascii="Times New Roman" w:hAnsi="Times New Roman"/>
          <w:sz w:val="24"/>
          <w:szCs w:val="24"/>
        </w:rPr>
        <w:t>(</w:t>
      </w:r>
      <w:r>
        <w:rPr>
          <w:rFonts w:ascii="Times New Roman" w:hAnsi="Times New Roman"/>
          <w:sz w:val="24"/>
          <w:szCs w:val="24"/>
        </w:rPr>
        <w:t>‘</w:t>
      </w:r>
      <w:r w:rsidRPr="00E0167A">
        <w:rPr>
          <w:rFonts w:ascii="Times New Roman" w:hAnsi="Times New Roman"/>
          <w:sz w:val="24"/>
          <w:szCs w:val="24"/>
        </w:rPr>
        <w:t>Mumuni</w:t>
      </w:r>
      <w:r>
        <w:rPr>
          <w:rFonts w:ascii="Times New Roman" w:hAnsi="Times New Roman"/>
          <w:sz w:val="24"/>
          <w:szCs w:val="24"/>
        </w:rPr>
        <w:t>’</w:t>
      </w:r>
      <w:r w:rsidRPr="00E0167A">
        <w:rPr>
          <w:rFonts w:ascii="Times New Roman" w:hAnsi="Times New Roman"/>
          <w:sz w:val="24"/>
          <w:szCs w:val="24"/>
        </w:rPr>
        <w:t>).</w:t>
      </w:r>
      <w:r>
        <w:rPr>
          <w:rFonts w:ascii="Times New Roman" w:hAnsi="Times New Roman"/>
          <w:sz w:val="24"/>
          <w:szCs w:val="24"/>
        </w:rPr>
        <w:t xml:space="preserve"> </w:t>
      </w:r>
      <w:r w:rsidRPr="00E0167A">
        <w:rPr>
          <w:rFonts w:ascii="Times New Roman" w:hAnsi="Times New Roman"/>
          <w:sz w:val="24"/>
          <w:szCs w:val="24"/>
        </w:rPr>
        <w:t>He</w:t>
      </w:r>
      <w:r>
        <w:rPr>
          <w:rFonts w:ascii="Times New Roman" w:hAnsi="Times New Roman"/>
          <w:sz w:val="24"/>
          <w:szCs w:val="24"/>
        </w:rPr>
        <w:t xml:space="preserve"> </w:t>
      </w:r>
      <w:r w:rsidRPr="00E0167A">
        <w:rPr>
          <w:rFonts w:ascii="Times New Roman" w:hAnsi="Times New Roman"/>
          <w:sz w:val="24"/>
          <w:szCs w:val="24"/>
        </w:rPr>
        <w:t>was</w:t>
      </w:r>
      <w:r>
        <w:rPr>
          <w:rFonts w:ascii="Times New Roman" w:hAnsi="Times New Roman"/>
          <w:sz w:val="24"/>
          <w:szCs w:val="24"/>
        </w:rPr>
        <w:t xml:space="preserve"> </w:t>
      </w:r>
      <w:r w:rsidRPr="00E0167A">
        <w:rPr>
          <w:rFonts w:ascii="Times New Roman" w:hAnsi="Times New Roman"/>
          <w:sz w:val="24"/>
          <w:szCs w:val="24"/>
        </w:rPr>
        <w:t>convicted</w:t>
      </w:r>
      <w:r>
        <w:rPr>
          <w:rFonts w:ascii="Times New Roman" w:hAnsi="Times New Roman"/>
          <w:sz w:val="24"/>
          <w:szCs w:val="24"/>
        </w:rPr>
        <w:t xml:space="preserve"> </w:t>
      </w:r>
      <w:r w:rsidRPr="00E0167A">
        <w:rPr>
          <w:rFonts w:ascii="Times New Roman" w:hAnsi="Times New Roman"/>
          <w:sz w:val="24"/>
          <w:szCs w:val="24"/>
        </w:rPr>
        <w:t>of,</w:t>
      </w:r>
      <w:r>
        <w:rPr>
          <w:rFonts w:ascii="Times New Roman" w:hAnsi="Times New Roman"/>
          <w:sz w:val="24"/>
          <w:szCs w:val="24"/>
        </w:rPr>
        <w:t xml:space="preserve"> </w:t>
      </w:r>
      <w:r w:rsidRPr="00E0167A">
        <w:rPr>
          <w:rFonts w:ascii="Times New Roman" w:hAnsi="Times New Roman"/>
          <w:sz w:val="24"/>
          <w:szCs w:val="24"/>
        </w:rPr>
        <w:t>inter</w:t>
      </w:r>
      <w:r>
        <w:rPr>
          <w:rFonts w:ascii="Times New Roman" w:hAnsi="Times New Roman"/>
          <w:sz w:val="24"/>
          <w:szCs w:val="24"/>
        </w:rPr>
        <w:t xml:space="preserve"> </w:t>
      </w:r>
      <w:r w:rsidRPr="00E0167A">
        <w:rPr>
          <w:rFonts w:ascii="Times New Roman" w:hAnsi="Times New Roman"/>
          <w:sz w:val="24"/>
          <w:szCs w:val="24"/>
        </w:rPr>
        <w:t>alia,</w:t>
      </w:r>
      <w:r>
        <w:rPr>
          <w:rFonts w:ascii="Times New Roman" w:hAnsi="Times New Roman"/>
          <w:sz w:val="24"/>
          <w:szCs w:val="24"/>
        </w:rPr>
        <w:t xml:space="preserve"> </w:t>
      </w:r>
      <w:r w:rsidRPr="00E0167A">
        <w:rPr>
          <w:rFonts w:ascii="Times New Roman" w:hAnsi="Times New Roman"/>
          <w:sz w:val="24"/>
          <w:szCs w:val="24"/>
        </w:rPr>
        <w:t>conspiring</w:t>
      </w:r>
      <w:r>
        <w:rPr>
          <w:rFonts w:ascii="Times New Roman" w:hAnsi="Times New Roman"/>
          <w:sz w:val="24"/>
          <w:szCs w:val="24"/>
        </w:rPr>
        <w:t xml:space="preserve"> </w:t>
      </w:r>
      <w:r w:rsidRPr="00E0167A">
        <w:rPr>
          <w:rFonts w:ascii="Times New Roman" w:hAnsi="Times New Roman"/>
          <w:sz w:val="24"/>
          <w:szCs w:val="24"/>
        </w:rPr>
        <w:t>to</w:t>
      </w:r>
      <w:r>
        <w:rPr>
          <w:rFonts w:ascii="Times New Roman" w:hAnsi="Times New Roman"/>
          <w:sz w:val="24"/>
          <w:szCs w:val="24"/>
        </w:rPr>
        <w:t xml:space="preserve"> </w:t>
      </w:r>
      <w:r w:rsidRPr="00E0167A">
        <w:rPr>
          <w:rFonts w:ascii="Times New Roman" w:hAnsi="Times New Roman"/>
          <w:sz w:val="24"/>
          <w:szCs w:val="24"/>
        </w:rPr>
        <w:t>provide</w:t>
      </w:r>
      <w:r>
        <w:rPr>
          <w:rFonts w:ascii="Times New Roman" w:hAnsi="Times New Roman"/>
          <w:sz w:val="24"/>
          <w:szCs w:val="24"/>
        </w:rPr>
        <w:t xml:space="preserve"> </w:t>
      </w:r>
      <w:r w:rsidRPr="00E0167A">
        <w:rPr>
          <w:rFonts w:ascii="Times New Roman" w:hAnsi="Times New Roman"/>
          <w:sz w:val="24"/>
          <w:szCs w:val="24"/>
        </w:rPr>
        <w:t>material</w:t>
      </w:r>
      <w:r>
        <w:rPr>
          <w:rFonts w:ascii="Times New Roman" w:hAnsi="Times New Roman"/>
          <w:sz w:val="24"/>
          <w:szCs w:val="24"/>
        </w:rPr>
        <w:t xml:space="preserve"> </w:t>
      </w:r>
      <w:r w:rsidRPr="00E0167A">
        <w:rPr>
          <w:rFonts w:ascii="Times New Roman" w:hAnsi="Times New Roman"/>
          <w:sz w:val="24"/>
          <w:szCs w:val="24"/>
        </w:rPr>
        <w:t>support</w:t>
      </w:r>
      <w:r>
        <w:rPr>
          <w:rFonts w:ascii="Times New Roman" w:hAnsi="Times New Roman"/>
          <w:sz w:val="24"/>
          <w:szCs w:val="24"/>
        </w:rPr>
        <w:t xml:space="preserve"> </w:t>
      </w:r>
      <w:r w:rsidRPr="00E0167A">
        <w:rPr>
          <w:rFonts w:ascii="Times New Roman" w:hAnsi="Times New Roman"/>
          <w:sz w:val="24"/>
          <w:szCs w:val="24"/>
        </w:rPr>
        <w:t>to</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Islamic</w:t>
      </w:r>
      <w:r>
        <w:rPr>
          <w:rFonts w:ascii="Times New Roman" w:hAnsi="Times New Roman"/>
          <w:sz w:val="24"/>
          <w:szCs w:val="24"/>
        </w:rPr>
        <w:t xml:space="preserve"> </w:t>
      </w:r>
      <w:r w:rsidRPr="00E0167A">
        <w:rPr>
          <w:rFonts w:ascii="Times New Roman" w:hAnsi="Times New Roman"/>
          <w:sz w:val="24"/>
          <w:szCs w:val="24"/>
        </w:rPr>
        <w:t>State</w:t>
      </w:r>
      <w:r>
        <w:rPr>
          <w:rFonts w:ascii="Times New Roman" w:hAnsi="Times New Roman"/>
          <w:sz w:val="24"/>
          <w:szCs w:val="24"/>
        </w:rPr>
        <w:t xml:space="preserve"> </w:t>
      </w:r>
      <w:r w:rsidRPr="00E0167A">
        <w:rPr>
          <w:rFonts w:ascii="Times New Roman" w:hAnsi="Times New Roman"/>
          <w:sz w:val="24"/>
          <w:szCs w:val="24"/>
        </w:rPr>
        <w:t>of</w:t>
      </w:r>
      <w:r>
        <w:rPr>
          <w:rFonts w:ascii="Times New Roman" w:hAnsi="Times New Roman"/>
          <w:sz w:val="24"/>
          <w:szCs w:val="24"/>
        </w:rPr>
        <w:t xml:space="preserve"> </w:t>
      </w:r>
      <w:r w:rsidRPr="00E0167A">
        <w:rPr>
          <w:rFonts w:ascii="Times New Roman" w:hAnsi="Times New Roman"/>
          <w:sz w:val="24"/>
          <w:szCs w:val="24"/>
        </w:rPr>
        <w:t>Iraq</w:t>
      </w:r>
      <w:r>
        <w:rPr>
          <w:rFonts w:ascii="Times New Roman" w:hAnsi="Times New Roman"/>
          <w:sz w:val="24"/>
          <w:szCs w:val="24"/>
        </w:rPr>
        <w:t xml:space="preserve"> </w:t>
      </w:r>
      <w:r w:rsidRPr="00E0167A">
        <w:rPr>
          <w:rFonts w:ascii="Times New Roman" w:hAnsi="Times New Roman"/>
          <w:sz w:val="24"/>
          <w:szCs w:val="24"/>
        </w:rPr>
        <w:t>and</w:t>
      </w:r>
      <w:r>
        <w:rPr>
          <w:rFonts w:ascii="Times New Roman" w:hAnsi="Times New Roman"/>
          <w:sz w:val="24"/>
          <w:szCs w:val="24"/>
        </w:rPr>
        <w:t xml:space="preserve"> </w:t>
      </w:r>
      <w:r w:rsidRPr="00E0167A">
        <w:rPr>
          <w:rFonts w:ascii="Times New Roman" w:hAnsi="Times New Roman"/>
          <w:sz w:val="24"/>
          <w:szCs w:val="24"/>
        </w:rPr>
        <w:t>al‐Sham</w:t>
      </w:r>
      <w:r>
        <w:rPr>
          <w:rFonts w:ascii="Times New Roman" w:hAnsi="Times New Roman"/>
          <w:sz w:val="24"/>
          <w:szCs w:val="24"/>
        </w:rPr>
        <w:t xml:space="preserve"> </w:t>
      </w:r>
      <w:r w:rsidRPr="00E0167A">
        <w:rPr>
          <w:rFonts w:ascii="Times New Roman" w:hAnsi="Times New Roman"/>
          <w:sz w:val="24"/>
          <w:szCs w:val="24"/>
        </w:rPr>
        <w:t>(</w:t>
      </w:r>
      <w:r>
        <w:rPr>
          <w:rFonts w:ascii="Times New Roman" w:hAnsi="Times New Roman"/>
          <w:sz w:val="24"/>
          <w:szCs w:val="24"/>
        </w:rPr>
        <w:t>‘</w:t>
      </w:r>
      <w:r w:rsidRPr="00E0167A">
        <w:rPr>
          <w:rFonts w:ascii="Times New Roman" w:hAnsi="Times New Roman"/>
          <w:sz w:val="24"/>
          <w:szCs w:val="24"/>
        </w:rPr>
        <w:t>ISIS</w:t>
      </w:r>
      <w:r>
        <w:rPr>
          <w:rFonts w:ascii="Times New Roman" w:hAnsi="Times New Roman"/>
          <w:sz w:val="24"/>
          <w:szCs w:val="24"/>
        </w:rPr>
        <w:t>’</w:t>
      </w:r>
      <w:r w:rsidRPr="00E0167A">
        <w:rPr>
          <w:rFonts w:ascii="Times New Roman" w:hAnsi="Times New Roman"/>
          <w:sz w:val="24"/>
          <w:szCs w:val="24"/>
        </w:rPr>
        <w:t>)</w:t>
      </w:r>
      <w:r>
        <w:rPr>
          <w:rFonts w:ascii="Times New Roman" w:hAnsi="Times New Roman"/>
          <w:sz w:val="24"/>
          <w:szCs w:val="24"/>
        </w:rPr>
        <w:t xml:space="preserve"> </w:t>
      </w:r>
      <w:r w:rsidRPr="00E0167A">
        <w:rPr>
          <w:rFonts w:ascii="Times New Roman" w:hAnsi="Times New Roman"/>
          <w:sz w:val="24"/>
          <w:szCs w:val="24"/>
        </w:rPr>
        <w:t>and</w:t>
      </w:r>
      <w:r>
        <w:rPr>
          <w:rFonts w:ascii="Times New Roman" w:hAnsi="Times New Roman"/>
          <w:sz w:val="24"/>
          <w:szCs w:val="24"/>
        </w:rPr>
        <w:t xml:space="preserve"> </w:t>
      </w:r>
      <w:r w:rsidRPr="00E0167A">
        <w:rPr>
          <w:rFonts w:ascii="Times New Roman" w:hAnsi="Times New Roman"/>
          <w:sz w:val="24"/>
          <w:szCs w:val="24"/>
        </w:rPr>
        <w:t>attempting</w:t>
      </w:r>
      <w:r>
        <w:rPr>
          <w:rFonts w:ascii="Times New Roman" w:hAnsi="Times New Roman"/>
          <w:sz w:val="24"/>
          <w:szCs w:val="24"/>
        </w:rPr>
        <w:t xml:space="preserve"> </w:t>
      </w:r>
      <w:r w:rsidRPr="00E0167A">
        <w:rPr>
          <w:rFonts w:ascii="Times New Roman" w:hAnsi="Times New Roman"/>
          <w:sz w:val="24"/>
          <w:szCs w:val="24"/>
        </w:rPr>
        <w:t>to</w:t>
      </w:r>
      <w:r>
        <w:rPr>
          <w:rFonts w:ascii="Times New Roman" w:hAnsi="Times New Roman"/>
          <w:sz w:val="24"/>
          <w:szCs w:val="24"/>
        </w:rPr>
        <w:t xml:space="preserve"> </w:t>
      </w:r>
      <w:r w:rsidRPr="00E0167A">
        <w:rPr>
          <w:rFonts w:ascii="Times New Roman" w:hAnsi="Times New Roman"/>
          <w:sz w:val="24"/>
          <w:szCs w:val="24"/>
        </w:rPr>
        <w:t>murder</w:t>
      </w:r>
      <w:r>
        <w:rPr>
          <w:rFonts w:ascii="Times New Roman" w:hAnsi="Times New Roman"/>
          <w:sz w:val="24"/>
          <w:szCs w:val="24"/>
        </w:rPr>
        <w:t xml:space="preserve"> </w:t>
      </w:r>
      <w:r w:rsidRPr="00E0167A">
        <w:rPr>
          <w:rFonts w:ascii="Times New Roman" w:hAnsi="Times New Roman"/>
          <w:sz w:val="24"/>
          <w:szCs w:val="24"/>
        </w:rPr>
        <w:t>a</w:t>
      </w:r>
      <w:r>
        <w:rPr>
          <w:rFonts w:ascii="Times New Roman" w:hAnsi="Times New Roman"/>
          <w:sz w:val="24"/>
          <w:szCs w:val="24"/>
        </w:rPr>
        <w:t xml:space="preserve"> </w:t>
      </w:r>
      <w:r w:rsidRPr="00E0167A">
        <w:rPr>
          <w:rFonts w:ascii="Times New Roman" w:hAnsi="Times New Roman"/>
          <w:sz w:val="24"/>
          <w:szCs w:val="24"/>
        </w:rPr>
        <w:t>federal</w:t>
      </w:r>
      <w:r>
        <w:rPr>
          <w:rFonts w:ascii="Times New Roman" w:hAnsi="Times New Roman"/>
          <w:sz w:val="24"/>
          <w:szCs w:val="24"/>
        </w:rPr>
        <w:t xml:space="preserve"> </w:t>
      </w:r>
      <w:r w:rsidRPr="00E0167A">
        <w:rPr>
          <w:rFonts w:ascii="Times New Roman" w:hAnsi="Times New Roman"/>
          <w:sz w:val="24"/>
          <w:szCs w:val="24"/>
        </w:rPr>
        <w:t>agent</w:t>
      </w:r>
      <w:r>
        <w:rPr>
          <w:rFonts w:ascii="Times New Roman" w:hAnsi="Times New Roman"/>
          <w:sz w:val="24"/>
          <w:szCs w:val="24"/>
        </w:rPr>
        <w:t xml:space="preserve"> </w:t>
      </w:r>
      <w:r w:rsidRPr="00E0167A">
        <w:rPr>
          <w:rFonts w:ascii="Times New Roman" w:hAnsi="Times New Roman"/>
          <w:sz w:val="24"/>
          <w:szCs w:val="24"/>
        </w:rPr>
        <w:t>in</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name</w:t>
      </w:r>
      <w:r>
        <w:rPr>
          <w:rFonts w:ascii="Times New Roman" w:hAnsi="Times New Roman"/>
          <w:sz w:val="24"/>
          <w:szCs w:val="24"/>
        </w:rPr>
        <w:t xml:space="preserve"> </w:t>
      </w:r>
      <w:r w:rsidRPr="00E0167A">
        <w:rPr>
          <w:rFonts w:ascii="Times New Roman" w:hAnsi="Times New Roman"/>
          <w:sz w:val="24"/>
          <w:szCs w:val="24"/>
        </w:rPr>
        <w:t>of</w:t>
      </w:r>
      <w:r>
        <w:rPr>
          <w:rFonts w:ascii="Times New Roman" w:hAnsi="Times New Roman"/>
          <w:sz w:val="24"/>
          <w:szCs w:val="24"/>
        </w:rPr>
        <w:t xml:space="preserve"> </w:t>
      </w:r>
      <w:r w:rsidRPr="00E0167A">
        <w:rPr>
          <w:rFonts w:ascii="Times New Roman" w:hAnsi="Times New Roman"/>
          <w:sz w:val="24"/>
          <w:szCs w:val="24"/>
        </w:rPr>
        <w:t>ISIS.</w:t>
      </w:r>
      <w:r>
        <w:rPr>
          <w:rFonts w:ascii="Times New Roman" w:hAnsi="Times New Roman"/>
          <w:sz w:val="24"/>
          <w:szCs w:val="24"/>
        </w:rPr>
        <w:t xml:space="preserve"> </w:t>
      </w:r>
      <w:r w:rsidRPr="00E0167A">
        <w:rPr>
          <w:rFonts w:ascii="Times New Roman" w:hAnsi="Times New Roman"/>
          <w:sz w:val="24"/>
          <w:szCs w:val="24"/>
        </w:rPr>
        <w:t>His</w:t>
      </w:r>
      <w:r>
        <w:rPr>
          <w:rFonts w:ascii="Times New Roman" w:hAnsi="Times New Roman"/>
          <w:sz w:val="24"/>
          <w:szCs w:val="24"/>
        </w:rPr>
        <w:t xml:space="preserve"> </w:t>
      </w:r>
      <w:r w:rsidRPr="00E0167A">
        <w:rPr>
          <w:rFonts w:ascii="Times New Roman" w:hAnsi="Times New Roman"/>
          <w:sz w:val="24"/>
          <w:szCs w:val="24"/>
        </w:rPr>
        <w:t>advisory</w:t>
      </w:r>
      <w:r>
        <w:rPr>
          <w:rFonts w:ascii="Times New Roman" w:hAnsi="Times New Roman"/>
          <w:sz w:val="24"/>
          <w:szCs w:val="24"/>
        </w:rPr>
        <w:t xml:space="preserve"> </w:t>
      </w:r>
      <w:r w:rsidRPr="00E0167A">
        <w:rPr>
          <w:rFonts w:ascii="Times New Roman" w:hAnsi="Times New Roman"/>
          <w:sz w:val="24"/>
          <w:szCs w:val="24"/>
        </w:rPr>
        <w:t>sentence</w:t>
      </w:r>
      <w:r>
        <w:rPr>
          <w:rFonts w:ascii="Times New Roman" w:hAnsi="Times New Roman"/>
          <w:sz w:val="24"/>
          <w:szCs w:val="24"/>
        </w:rPr>
        <w:t xml:space="preserve"> </w:t>
      </w:r>
      <w:r w:rsidRPr="00E0167A">
        <w:rPr>
          <w:rFonts w:ascii="Times New Roman" w:hAnsi="Times New Roman"/>
          <w:sz w:val="24"/>
          <w:szCs w:val="24"/>
        </w:rPr>
        <w:t>under</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United</w:t>
      </w:r>
      <w:r>
        <w:rPr>
          <w:rFonts w:ascii="Times New Roman" w:hAnsi="Times New Roman"/>
          <w:sz w:val="24"/>
          <w:szCs w:val="24"/>
        </w:rPr>
        <w:t xml:space="preserve"> </w:t>
      </w:r>
      <w:r w:rsidRPr="00E0167A">
        <w:rPr>
          <w:rFonts w:ascii="Times New Roman" w:hAnsi="Times New Roman"/>
          <w:sz w:val="24"/>
          <w:szCs w:val="24"/>
        </w:rPr>
        <w:t>States</w:t>
      </w:r>
      <w:r>
        <w:rPr>
          <w:rFonts w:ascii="Times New Roman" w:hAnsi="Times New Roman"/>
          <w:sz w:val="24"/>
          <w:szCs w:val="24"/>
        </w:rPr>
        <w:t xml:space="preserve"> </w:t>
      </w:r>
      <w:r w:rsidRPr="00E0167A">
        <w:rPr>
          <w:rFonts w:ascii="Times New Roman" w:hAnsi="Times New Roman"/>
          <w:sz w:val="24"/>
          <w:szCs w:val="24"/>
        </w:rPr>
        <w:t>Sentencing</w:t>
      </w:r>
      <w:r>
        <w:rPr>
          <w:rFonts w:ascii="Times New Roman" w:hAnsi="Times New Roman"/>
          <w:sz w:val="24"/>
          <w:szCs w:val="24"/>
        </w:rPr>
        <w:t xml:space="preserve"> </w:t>
      </w:r>
      <w:r w:rsidRPr="00E0167A">
        <w:rPr>
          <w:rFonts w:ascii="Times New Roman" w:hAnsi="Times New Roman"/>
          <w:sz w:val="24"/>
          <w:szCs w:val="24"/>
        </w:rPr>
        <w:t>Guidelines</w:t>
      </w:r>
      <w:r>
        <w:rPr>
          <w:rFonts w:ascii="Times New Roman" w:hAnsi="Times New Roman"/>
          <w:sz w:val="24"/>
          <w:szCs w:val="24"/>
        </w:rPr>
        <w:t xml:space="preserve"> </w:t>
      </w:r>
      <w:r w:rsidRPr="00E0167A">
        <w:rPr>
          <w:rFonts w:ascii="Times New Roman" w:hAnsi="Times New Roman"/>
          <w:sz w:val="24"/>
          <w:szCs w:val="24"/>
        </w:rPr>
        <w:t>(</w:t>
      </w:r>
      <w:r>
        <w:rPr>
          <w:rFonts w:ascii="Times New Roman" w:hAnsi="Times New Roman"/>
          <w:sz w:val="24"/>
          <w:szCs w:val="24"/>
        </w:rPr>
        <w:t>‘</w:t>
      </w:r>
      <w:r w:rsidRPr="00E0167A">
        <w:rPr>
          <w:rFonts w:ascii="Times New Roman" w:hAnsi="Times New Roman"/>
          <w:sz w:val="24"/>
          <w:szCs w:val="24"/>
        </w:rPr>
        <w:t>Guidelines</w:t>
      </w:r>
      <w:r>
        <w:rPr>
          <w:rFonts w:ascii="Times New Roman" w:hAnsi="Times New Roman"/>
          <w:sz w:val="24"/>
          <w:szCs w:val="24"/>
        </w:rPr>
        <w:t xml:space="preserve">’ </w:t>
      </w:r>
      <w:r w:rsidRPr="00E0167A">
        <w:rPr>
          <w:rFonts w:ascii="Times New Roman" w:hAnsi="Times New Roman"/>
          <w:sz w:val="24"/>
          <w:szCs w:val="24"/>
        </w:rPr>
        <w:t>or</w:t>
      </w:r>
      <w:r>
        <w:rPr>
          <w:rFonts w:ascii="Times New Roman" w:hAnsi="Times New Roman"/>
          <w:sz w:val="24"/>
          <w:szCs w:val="24"/>
        </w:rPr>
        <w:t xml:space="preserve"> ‘</w:t>
      </w:r>
      <w:r w:rsidRPr="00E0167A">
        <w:rPr>
          <w:rFonts w:ascii="Times New Roman" w:hAnsi="Times New Roman"/>
          <w:sz w:val="24"/>
          <w:szCs w:val="24"/>
        </w:rPr>
        <w:t>U.S.S.G.</w:t>
      </w:r>
      <w:r>
        <w:rPr>
          <w:rFonts w:ascii="Times New Roman" w:hAnsi="Times New Roman"/>
          <w:sz w:val="24"/>
          <w:szCs w:val="24"/>
        </w:rPr>
        <w:t>’</w:t>
      </w:r>
      <w:r w:rsidRPr="00E0167A">
        <w:rPr>
          <w:rFonts w:ascii="Times New Roman" w:hAnsi="Times New Roman"/>
          <w:sz w:val="24"/>
          <w:szCs w:val="24"/>
        </w:rPr>
        <w:t>)</w:t>
      </w:r>
      <w:r>
        <w:rPr>
          <w:rFonts w:ascii="Times New Roman" w:hAnsi="Times New Roman"/>
          <w:sz w:val="24"/>
          <w:szCs w:val="24"/>
        </w:rPr>
        <w:t xml:space="preserve"> </w:t>
      </w:r>
      <w:r w:rsidRPr="00E0167A">
        <w:rPr>
          <w:rFonts w:ascii="Times New Roman" w:hAnsi="Times New Roman"/>
          <w:sz w:val="24"/>
          <w:szCs w:val="24"/>
        </w:rPr>
        <w:t>was</w:t>
      </w:r>
      <w:r>
        <w:rPr>
          <w:rFonts w:ascii="Times New Roman" w:hAnsi="Times New Roman"/>
          <w:sz w:val="24"/>
          <w:szCs w:val="24"/>
        </w:rPr>
        <w:t xml:space="preserve"> </w:t>
      </w:r>
      <w:r w:rsidRPr="00E0167A">
        <w:rPr>
          <w:rFonts w:ascii="Times New Roman" w:hAnsi="Times New Roman"/>
          <w:sz w:val="24"/>
          <w:szCs w:val="24"/>
        </w:rPr>
        <w:t>85</w:t>
      </w:r>
      <w:r>
        <w:rPr>
          <w:rFonts w:ascii="Times New Roman" w:hAnsi="Times New Roman"/>
          <w:sz w:val="24"/>
          <w:szCs w:val="24"/>
        </w:rPr>
        <w:t xml:space="preserve"> </w:t>
      </w:r>
      <w:r w:rsidRPr="00E0167A">
        <w:rPr>
          <w:rFonts w:ascii="Times New Roman" w:hAnsi="Times New Roman"/>
          <w:sz w:val="24"/>
          <w:szCs w:val="24"/>
        </w:rPr>
        <w:t>years’</w:t>
      </w:r>
      <w:r>
        <w:rPr>
          <w:rFonts w:ascii="Times New Roman" w:hAnsi="Times New Roman"/>
          <w:sz w:val="24"/>
          <w:szCs w:val="24"/>
        </w:rPr>
        <w:t xml:space="preserve"> </w:t>
      </w:r>
      <w:r w:rsidRPr="00E0167A">
        <w:rPr>
          <w:rFonts w:ascii="Times New Roman" w:hAnsi="Times New Roman"/>
          <w:sz w:val="24"/>
          <w:szCs w:val="24"/>
        </w:rPr>
        <w:t>imprisonment.</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sole</w:t>
      </w:r>
      <w:r>
        <w:rPr>
          <w:rFonts w:ascii="Times New Roman" w:hAnsi="Times New Roman"/>
          <w:sz w:val="24"/>
          <w:szCs w:val="24"/>
        </w:rPr>
        <w:t xml:space="preserve"> </w:t>
      </w:r>
      <w:r w:rsidRPr="00E0167A">
        <w:rPr>
          <w:rFonts w:ascii="Times New Roman" w:hAnsi="Times New Roman"/>
          <w:sz w:val="24"/>
          <w:szCs w:val="24"/>
        </w:rPr>
        <w:t>question</w:t>
      </w:r>
      <w:r>
        <w:rPr>
          <w:rFonts w:ascii="Times New Roman" w:hAnsi="Times New Roman"/>
          <w:sz w:val="24"/>
          <w:szCs w:val="24"/>
        </w:rPr>
        <w:t xml:space="preserve"> </w:t>
      </w:r>
      <w:r w:rsidRPr="00E0167A">
        <w:rPr>
          <w:rFonts w:ascii="Times New Roman" w:hAnsi="Times New Roman"/>
          <w:sz w:val="24"/>
          <w:szCs w:val="24"/>
        </w:rPr>
        <w:t>on</w:t>
      </w:r>
      <w:r>
        <w:rPr>
          <w:rFonts w:ascii="Times New Roman" w:hAnsi="Times New Roman"/>
          <w:sz w:val="24"/>
          <w:szCs w:val="24"/>
        </w:rPr>
        <w:t xml:space="preserve"> </w:t>
      </w:r>
      <w:r w:rsidRPr="00E0167A">
        <w:rPr>
          <w:rFonts w:ascii="Times New Roman" w:hAnsi="Times New Roman"/>
          <w:sz w:val="24"/>
          <w:szCs w:val="24"/>
        </w:rPr>
        <w:t>appeal</w:t>
      </w:r>
      <w:r>
        <w:rPr>
          <w:rFonts w:ascii="Times New Roman" w:hAnsi="Times New Roman"/>
          <w:sz w:val="24"/>
          <w:szCs w:val="24"/>
        </w:rPr>
        <w:t xml:space="preserve"> </w:t>
      </w:r>
      <w:r w:rsidRPr="00E0167A">
        <w:rPr>
          <w:rFonts w:ascii="Times New Roman" w:hAnsi="Times New Roman"/>
          <w:sz w:val="24"/>
          <w:szCs w:val="24"/>
        </w:rPr>
        <w:t>is</w:t>
      </w:r>
      <w:r>
        <w:rPr>
          <w:rFonts w:ascii="Times New Roman" w:hAnsi="Times New Roman"/>
          <w:sz w:val="24"/>
          <w:szCs w:val="24"/>
        </w:rPr>
        <w:t xml:space="preserve"> </w:t>
      </w:r>
      <w:r w:rsidRPr="00E0167A">
        <w:rPr>
          <w:rFonts w:ascii="Times New Roman" w:hAnsi="Times New Roman"/>
          <w:sz w:val="24"/>
          <w:szCs w:val="24"/>
        </w:rPr>
        <w:t>whether</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United</w:t>
      </w:r>
      <w:r>
        <w:rPr>
          <w:rFonts w:ascii="Times New Roman" w:hAnsi="Times New Roman"/>
          <w:sz w:val="24"/>
          <w:szCs w:val="24"/>
        </w:rPr>
        <w:t xml:space="preserve"> </w:t>
      </w:r>
      <w:r w:rsidRPr="00E0167A">
        <w:rPr>
          <w:rFonts w:ascii="Times New Roman" w:hAnsi="Times New Roman"/>
          <w:sz w:val="24"/>
          <w:szCs w:val="24"/>
        </w:rPr>
        <w:t>States</w:t>
      </w:r>
      <w:r>
        <w:rPr>
          <w:rFonts w:ascii="Times New Roman" w:hAnsi="Times New Roman"/>
          <w:sz w:val="24"/>
          <w:szCs w:val="24"/>
        </w:rPr>
        <w:t xml:space="preserve"> </w:t>
      </w:r>
      <w:r w:rsidRPr="00E0167A">
        <w:rPr>
          <w:rFonts w:ascii="Times New Roman" w:hAnsi="Times New Roman"/>
          <w:sz w:val="24"/>
          <w:szCs w:val="24"/>
        </w:rPr>
        <w:t>District</w:t>
      </w:r>
      <w:r>
        <w:rPr>
          <w:rFonts w:ascii="Times New Roman" w:hAnsi="Times New Roman"/>
          <w:sz w:val="24"/>
          <w:szCs w:val="24"/>
        </w:rPr>
        <w:t xml:space="preserve"> </w:t>
      </w:r>
      <w:r w:rsidRPr="00E0167A">
        <w:rPr>
          <w:rFonts w:ascii="Times New Roman" w:hAnsi="Times New Roman"/>
          <w:sz w:val="24"/>
          <w:szCs w:val="24"/>
        </w:rPr>
        <w:t>Court</w:t>
      </w:r>
      <w:r>
        <w:rPr>
          <w:rFonts w:ascii="Times New Roman" w:hAnsi="Times New Roman"/>
          <w:sz w:val="24"/>
          <w:szCs w:val="24"/>
        </w:rPr>
        <w:t xml:space="preserve"> </w:t>
      </w:r>
      <w:r w:rsidRPr="00E0167A">
        <w:rPr>
          <w:rFonts w:ascii="Times New Roman" w:hAnsi="Times New Roman"/>
          <w:sz w:val="24"/>
          <w:szCs w:val="24"/>
        </w:rPr>
        <w:t>for</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Eastern</w:t>
      </w:r>
      <w:r>
        <w:rPr>
          <w:rFonts w:ascii="Times New Roman" w:hAnsi="Times New Roman"/>
          <w:sz w:val="24"/>
          <w:szCs w:val="24"/>
        </w:rPr>
        <w:t xml:space="preserve"> </w:t>
      </w:r>
      <w:r w:rsidRPr="00E0167A">
        <w:rPr>
          <w:rFonts w:ascii="Times New Roman" w:hAnsi="Times New Roman"/>
          <w:sz w:val="24"/>
          <w:szCs w:val="24"/>
        </w:rPr>
        <w:t>District</w:t>
      </w:r>
      <w:r>
        <w:rPr>
          <w:rFonts w:ascii="Times New Roman" w:hAnsi="Times New Roman"/>
          <w:sz w:val="24"/>
          <w:szCs w:val="24"/>
        </w:rPr>
        <w:t xml:space="preserve"> </w:t>
      </w:r>
      <w:r w:rsidRPr="00E0167A">
        <w:rPr>
          <w:rFonts w:ascii="Times New Roman" w:hAnsi="Times New Roman"/>
          <w:sz w:val="24"/>
          <w:szCs w:val="24"/>
        </w:rPr>
        <w:t>of</w:t>
      </w:r>
      <w:r>
        <w:rPr>
          <w:rFonts w:ascii="Times New Roman" w:hAnsi="Times New Roman"/>
          <w:sz w:val="24"/>
          <w:szCs w:val="24"/>
        </w:rPr>
        <w:t xml:space="preserve"> </w:t>
      </w:r>
      <w:r w:rsidRPr="00E0167A">
        <w:rPr>
          <w:rFonts w:ascii="Times New Roman" w:hAnsi="Times New Roman"/>
          <w:sz w:val="24"/>
          <w:szCs w:val="24"/>
        </w:rPr>
        <w:t>New</w:t>
      </w:r>
      <w:r>
        <w:rPr>
          <w:rFonts w:ascii="Times New Roman" w:hAnsi="Times New Roman"/>
          <w:sz w:val="24"/>
          <w:szCs w:val="24"/>
        </w:rPr>
        <w:t xml:space="preserve"> </w:t>
      </w:r>
      <w:r w:rsidRPr="00E0167A">
        <w:rPr>
          <w:rFonts w:ascii="Times New Roman" w:hAnsi="Times New Roman"/>
          <w:sz w:val="24"/>
          <w:szCs w:val="24"/>
        </w:rPr>
        <w:t>York</w:t>
      </w:r>
      <w:r>
        <w:rPr>
          <w:rFonts w:ascii="Times New Roman" w:hAnsi="Times New Roman"/>
          <w:sz w:val="24"/>
          <w:szCs w:val="24"/>
        </w:rPr>
        <w:t xml:space="preserve"> </w:t>
      </w:r>
      <w:r w:rsidRPr="00E0167A">
        <w:rPr>
          <w:rFonts w:ascii="Times New Roman" w:hAnsi="Times New Roman"/>
          <w:sz w:val="24"/>
          <w:szCs w:val="24"/>
        </w:rPr>
        <w:t>(Margo</w:t>
      </w:r>
      <w:r>
        <w:rPr>
          <w:rFonts w:ascii="Times New Roman" w:hAnsi="Times New Roman"/>
          <w:sz w:val="24"/>
          <w:szCs w:val="24"/>
        </w:rPr>
        <w:t xml:space="preserve"> </w:t>
      </w:r>
      <w:r w:rsidRPr="00E0167A">
        <w:rPr>
          <w:rFonts w:ascii="Times New Roman" w:hAnsi="Times New Roman"/>
          <w:sz w:val="24"/>
          <w:szCs w:val="24"/>
        </w:rPr>
        <w:t>K.</w:t>
      </w:r>
      <w:r>
        <w:rPr>
          <w:rFonts w:ascii="Times New Roman" w:hAnsi="Times New Roman"/>
          <w:sz w:val="24"/>
          <w:szCs w:val="24"/>
        </w:rPr>
        <w:t xml:space="preserve"> </w:t>
      </w:r>
      <w:r w:rsidRPr="00E0167A">
        <w:rPr>
          <w:rFonts w:ascii="Times New Roman" w:hAnsi="Times New Roman"/>
          <w:sz w:val="24"/>
          <w:szCs w:val="24"/>
        </w:rPr>
        <w:t>Brodie,</w:t>
      </w:r>
      <w:r>
        <w:rPr>
          <w:rFonts w:ascii="Times New Roman" w:hAnsi="Times New Roman"/>
          <w:sz w:val="24"/>
          <w:szCs w:val="24"/>
        </w:rPr>
        <w:t xml:space="preserve"> </w:t>
      </w:r>
      <w:r w:rsidRPr="00E0167A">
        <w:rPr>
          <w:rFonts w:ascii="Times New Roman" w:hAnsi="Times New Roman"/>
          <w:sz w:val="24"/>
          <w:szCs w:val="24"/>
        </w:rPr>
        <w:t>Judge)</w:t>
      </w:r>
      <w:r>
        <w:rPr>
          <w:rFonts w:ascii="Times New Roman" w:hAnsi="Times New Roman"/>
          <w:sz w:val="24"/>
          <w:szCs w:val="24"/>
        </w:rPr>
        <w:t xml:space="preserve"> </w:t>
      </w:r>
      <w:r w:rsidRPr="00E0167A">
        <w:rPr>
          <w:rFonts w:ascii="Times New Roman" w:hAnsi="Times New Roman"/>
          <w:sz w:val="24"/>
          <w:szCs w:val="24"/>
        </w:rPr>
        <w:t>erred—or</w:t>
      </w:r>
      <w:r>
        <w:rPr>
          <w:rFonts w:ascii="Times New Roman" w:hAnsi="Times New Roman"/>
          <w:sz w:val="24"/>
          <w:szCs w:val="24"/>
        </w:rPr>
        <w:t xml:space="preserve"> ‘</w:t>
      </w:r>
      <w:r w:rsidRPr="00E0167A">
        <w:rPr>
          <w:rFonts w:ascii="Times New Roman" w:hAnsi="Times New Roman"/>
          <w:sz w:val="24"/>
          <w:szCs w:val="24"/>
        </w:rPr>
        <w:t>abuse</w:t>
      </w:r>
      <w:r>
        <w:rPr>
          <w:rFonts w:ascii="Times New Roman" w:hAnsi="Times New Roman"/>
          <w:sz w:val="24"/>
          <w:szCs w:val="24"/>
        </w:rPr>
        <w:t xml:space="preserve">d its </w:t>
      </w:r>
      <w:r w:rsidRPr="00E0167A">
        <w:rPr>
          <w:rFonts w:ascii="Times New Roman" w:hAnsi="Times New Roman"/>
          <w:sz w:val="24"/>
          <w:szCs w:val="24"/>
        </w:rPr>
        <w:t>discretion</w:t>
      </w:r>
      <w:r>
        <w:rPr>
          <w:rFonts w:ascii="Times New Roman" w:hAnsi="Times New Roman"/>
          <w:sz w:val="24"/>
          <w:szCs w:val="24"/>
        </w:rPr>
        <w:t>’</w:t>
      </w:r>
      <w:r w:rsidRPr="00E0167A">
        <w:rPr>
          <w:rFonts w:ascii="Times New Roman" w:hAnsi="Times New Roman"/>
          <w:sz w:val="24"/>
          <w:szCs w:val="24"/>
        </w:rPr>
        <w:t>—by</w:t>
      </w:r>
      <w:r>
        <w:rPr>
          <w:rFonts w:ascii="Times New Roman" w:hAnsi="Times New Roman"/>
          <w:sz w:val="24"/>
          <w:szCs w:val="24"/>
        </w:rPr>
        <w:t xml:space="preserve"> </w:t>
      </w:r>
      <w:r w:rsidRPr="00E0167A">
        <w:rPr>
          <w:rFonts w:ascii="Times New Roman" w:hAnsi="Times New Roman"/>
          <w:sz w:val="24"/>
          <w:szCs w:val="24"/>
        </w:rPr>
        <w:t>imposing</w:t>
      </w:r>
      <w:r>
        <w:rPr>
          <w:rFonts w:ascii="Times New Roman" w:hAnsi="Times New Roman"/>
          <w:sz w:val="24"/>
          <w:szCs w:val="24"/>
        </w:rPr>
        <w:t xml:space="preserve"> </w:t>
      </w:r>
      <w:r w:rsidRPr="00E0167A">
        <w:rPr>
          <w:rFonts w:ascii="Times New Roman" w:hAnsi="Times New Roman"/>
          <w:sz w:val="24"/>
          <w:szCs w:val="24"/>
        </w:rPr>
        <w:t>a17‐</w:t>
      </w:r>
      <w:r>
        <w:rPr>
          <w:rFonts w:ascii="Times New Roman" w:hAnsi="Times New Roman"/>
          <w:sz w:val="24"/>
          <w:szCs w:val="24"/>
        </w:rPr>
        <w:t>y</w:t>
      </w:r>
      <w:r w:rsidRPr="00E0167A">
        <w:rPr>
          <w:rFonts w:ascii="Times New Roman" w:hAnsi="Times New Roman"/>
          <w:sz w:val="24"/>
          <w:szCs w:val="24"/>
        </w:rPr>
        <w:t>ear</w:t>
      </w:r>
      <w:r>
        <w:rPr>
          <w:rFonts w:ascii="Times New Roman" w:hAnsi="Times New Roman"/>
          <w:sz w:val="24"/>
          <w:szCs w:val="24"/>
        </w:rPr>
        <w:t xml:space="preserve"> </w:t>
      </w:r>
      <w:r w:rsidRPr="00E0167A">
        <w:rPr>
          <w:rFonts w:ascii="Times New Roman" w:hAnsi="Times New Roman"/>
          <w:sz w:val="24"/>
          <w:szCs w:val="24"/>
        </w:rPr>
        <w:t>sentence,</w:t>
      </w:r>
      <w:r>
        <w:rPr>
          <w:rFonts w:ascii="Times New Roman" w:hAnsi="Times New Roman"/>
          <w:sz w:val="24"/>
          <w:szCs w:val="24"/>
        </w:rPr>
        <w:t xml:space="preserve"> </w:t>
      </w:r>
      <w:r w:rsidRPr="00E0167A">
        <w:rPr>
          <w:rFonts w:ascii="Times New Roman" w:hAnsi="Times New Roman"/>
          <w:sz w:val="24"/>
          <w:szCs w:val="24"/>
        </w:rPr>
        <w:t>which</w:t>
      </w:r>
      <w:r>
        <w:rPr>
          <w:rFonts w:ascii="Times New Roman" w:hAnsi="Times New Roman"/>
          <w:sz w:val="24"/>
          <w:szCs w:val="24"/>
        </w:rPr>
        <w:t xml:space="preserve"> </w:t>
      </w:r>
      <w:r w:rsidRPr="00E0167A">
        <w:rPr>
          <w:rFonts w:ascii="Times New Roman" w:hAnsi="Times New Roman"/>
          <w:sz w:val="24"/>
          <w:szCs w:val="24"/>
        </w:rPr>
        <w:t>constitutes</w:t>
      </w:r>
      <w:r>
        <w:rPr>
          <w:rFonts w:ascii="Times New Roman" w:hAnsi="Times New Roman"/>
          <w:sz w:val="24"/>
          <w:szCs w:val="24"/>
        </w:rPr>
        <w:t xml:space="preserve"> </w:t>
      </w:r>
      <w:r w:rsidRPr="00E0167A">
        <w:rPr>
          <w:rFonts w:ascii="Times New Roman" w:hAnsi="Times New Roman"/>
          <w:sz w:val="24"/>
          <w:szCs w:val="24"/>
        </w:rPr>
        <w:t>an</w:t>
      </w:r>
      <w:r>
        <w:rPr>
          <w:rFonts w:ascii="Times New Roman" w:hAnsi="Times New Roman"/>
          <w:sz w:val="24"/>
          <w:szCs w:val="24"/>
        </w:rPr>
        <w:t xml:space="preserve"> </w:t>
      </w:r>
      <w:r w:rsidRPr="00E0167A">
        <w:rPr>
          <w:rFonts w:ascii="Times New Roman" w:hAnsi="Times New Roman"/>
          <w:sz w:val="24"/>
          <w:szCs w:val="24"/>
        </w:rPr>
        <w:t>80%</w:t>
      </w:r>
      <w:r>
        <w:rPr>
          <w:rFonts w:ascii="Times New Roman" w:hAnsi="Times New Roman"/>
          <w:sz w:val="24"/>
          <w:szCs w:val="24"/>
        </w:rPr>
        <w:t xml:space="preserve"> </w:t>
      </w:r>
      <w:r w:rsidRPr="00E0167A">
        <w:rPr>
          <w:rFonts w:ascii="Times New Roman" w:hAnsi="Times New Roman"/>
          <w:sz w:val="24"/>
          <w:szCs w:val="24"/>
        </w:rPr>
        <w:t>downward</w:t>
      </w:r>
      <w:r>
        <w:rPr>
          <w:rFonts w:ascii="Times New Roman" w:hAnsi="Times New Roman"/>
          <w:sz w:val="24"/>
          <w:szCs w:val="24"/>
        </w:rPr>
        <w:t xml:space="preserve"> </w:t>
      </w:r>
      <w:r w:rsidRPr="00E0167A">
        <w:rPr>
          <w:rFonts w:ascii="Times New Roman" w:hAnsi="Times New Roman"/>
          <w:sz w:val="24"/>
          <w:szCs w:val="24"/>
        </w:rPr>
        <w:t>variance</w:t>
      </w:r>
      <w:r>
        <w:rPr>
          <w:rFonts w:ascii="Times New Roman" w:hAnsi="Times New Roman"/>
          <w:sz w:val="24"/>
          <w:szCs w:val="24"/>
        </w:rPr>
        <w:t xml:space="preserve"> </w:t>
      </w:r>
      <w:r w:rsidRPr="00E0167A">
        <w:rPr>
          <w:rFonts w:ascii="Times New Roman" w:hAnsi="Times New Roman"/>
          <w:sz w:val="24"/>
          <w:szCs w:val="24"/>
        </w:rPr>
        <w:t>from</w:t>
      </w:r>
      <w:r>
        <w:rPr>
          <w:rFonts w:ascii="Times New Roman" w:hAnsi="Times New Roman"/>
          <w:sz w:val="24"/>
          <w:szCs w:val="24"/>
        </w:rPr>
        <w:t xml:space="preserve"> </w:t>
      </w:r>
      <w:r w:rsidRPr="00E0167A">
        <w:rPr>
          <w:rFonts w:ascii="Times New Roman" w:hAnsi="Times New Roman"/>
          <w:sz w:val="24"/>
          <w:szCs w:val="24"/>
        </w:rPr>
        <w:t>Mumuni’s</w:t>
      </w:r>
      <w:r>
        <w:rPr>
          <w:rFonts w:ascii="Times New Roman" w:hAnsi="Times New Roman"/>
          <w:sz w:val="24"/>
          <w:szCs w:val="24"/>
        </w:rPr>
        <w:t xml:space="preserve"> </w:t>
      </w:r>
      <w:r w:rsidRPr="00E0167A">
        <w:rPr>
          <w:rFonts w:ascii="Times New Roman" w:hAnsi="Times New Roman"/>
          <w:sz w:val="24"/>
          <w:szCs w:val="24"/>
        </w:rPr>
        <w:t>advisory</w:t>
      </w:r>
      <w:r>
        <w:rPr>
          <w:rFonts w:ascii="Times New Roman" w:hAnsi="Times New Roman"/>
          <w:sz w:val="24"/>
          <w:szCs w:val="24"/>
        </w:rPr>
        <w:t xml:space="preserve"> </w:t>
      </w:r>
      <w:r w:rsidRPr="00E0167A">
        <w:rPr>
          <w:rFonts w:ascii="Times New Roman" w:hAnsi="Times New Roman"/>
          <w:sz w:val="24"/>
          <w:szCs w:val="24"/>
        </w:rPr>
        <w:t>Guidelines</w:t>
      </w:r>
      <w:r>
        <w:rPr>
          <w:rFonts w:ascii="Times New Roman" w:hAnsi="Times New Roman"/>
          <w:sz w:val="24"/>
          <w:szCs w:val="24"/>
        </w:rPr>
        <w:t xml:space="preserve"> </w:t>
      </w:r>
      <w:r w:rsidRPr="00E0167A">
        <w:rPr>
          <w:rFonts w:ascii="Times New Roman" w:hAnsi="Times New Roman"/>
          <w:sz w:val="24"/>
          <w:szCs w:val="24"/>
        </w:rPr>
        <w:t>range.</w:t>
      </w:r>
      <w:r>
        <w:rPr>
          <w:rFonts w:ascii="Times New Roman" w:hAnsi="Times New Roman"/>
          <w:sz w:val="24"/>
          <w:szCs w:val="24"/>
        </w:rPr>
        <w:t xml:space="preserve"> </w:t>
      </w:r>
      <w:r w:rsidRPr="00E0167A">
        <w:rPr>
          <w:rFonts w:ascii="Times New Roman" w:hAnsi="Times New Roman"/>
          <w:sz w:val="24"/>
          <w:szCs w:val="24"/>
        </w:rPr>
        <w:t>We</w:t>
      </w:r>
      <w:r>
        <w:rPr>
          <w:rFonts w:ascii="Times New Roman" w:hAnsi="Times New Roman"/>
          <w:sz w:val="24"/>
          <w:szCs w:val="24"/>
        </w:rPr>
        <w:t xml:space="preserve"> </w:t>
      </w:r>
      <w:r w:rsidRPr="00E0167A">
        <w:rPr>
          <w:rFonts w:ascii="Times New Roman" w:hAnsi="Times New Roman"/>
          <w:sz w:val="24"/>
          <w:szCs w:val="24"/>
        </w:rPr>
        <w:t>conclude</w:t>
      </w:r>
      <w:r>
        <w:rPr>
          <w:rFonts w:ascii="Times New Roman" w:hAnsi="Times New Roman"/>
          <w:sz w:val="24"/>
          <w:szCs w:val="24"/>
        </w:rPr>
        <w:t xml:space="preserve"> </w:t>
      </w:r>
      <w:r w:rsidRPr="00E0167A">
        <w:rPr>
          <w:rFonts w:ascii="Times New Roman" w:hAnsi="Times New Roman"/>
          <w:sz w:val="24"/>
          <w:szCs w:val="24"/>
        </w:rPr>
        <w:t>that</w:t>
      </w:r>
      <w:r>
        <w:rPr>
          <w:rFonts w:ascii="Times New Roman" w:hAnsi="Times New Roman"/>
          <w:sz w:val="24"/>
          <w:szCs w:val="24"/>
        </w:rPr>
        <w:t xml:space="preserve"> </w:t>
      </w:r>
      <w:r w:rsidRPr="00E0167A">
        <w:rPr>
          <w:rFonts w:ascii="Times New Roman" w:hAnsi="Times New Roman"/>
          <w:sz w:val="24"/>
          <w:szCs w:val="24"/>
        </w:rPr>
        <w:t>it</w:t>
      </w:r>
      <w:r>
        <w:rPr>
          <w:rFonts w:ascii="Times New Roman" w:hAnsi="Times New Roman"/>
          <w:sz w:val="24"/>
          <w:szCs w:val="24"/>
        </w:rPr>
        <w:t xml:space="preserve"> </w:t>
      </w:r>
      <w:r w:rsidRPr="00E0167A">
        <w:rPr>
          <w:rFonts w:ascii="Times New Roman" w:hAnsi="Times New Roman"/>
          <w:sz w:val="24"/>
          <w:szCs w:val="24"/>
        </w:rPr>
        <w:t>did.</w:t>
      </w:r>
      <w:r>
        <w:rPr>
          <w:rFonts w:ascii="Times New Roman" w:hAnsi="Times New Roman"/>
          <w:sz w:val="24"/>
          <w:szCs w:val="24"/>
        </w:rPr>
        <w:t xml:space="preserve"> </w:t>
      </w:r>
      <w:r w:rsidRPr="00E0167A">
        <w:rPr>
          <w:rFonts w:ascii="Times New Roman" w:hAnsi="Times New Roman"/>
          <w:sz w:val="24"/>
          <w:szCs w:val="24"/>
        </w:rPr>
        <w:t>Accordingly,</w:t>
      </w:r>
      <w:r>
        <w:rPr>
          <w:rFonts w:ascii="Times New Roman" w:hAnsi="Times New Roman"/>
          <w:sz w:val="24"/>
          <w:szCs w:val="24"/>
        </w:rPr>
        <w:t xml:space="preserve"> </w:t>
      </w:r>
      <w:r w:rsidRPr="00E0167A">
        <w:rPr>
          <w:rFonts w:ascii="Times New Roman" w:hAnsi="Times New Roman"/>
          <w:sz w:val="24"/>
          <w:szCs w:val="24"/>
        </w:rPr>
        <w:t>we</w:t>
      </w:r>
      <w:r>
        <w:rPr>
          <w:rFonts w:ascii="Times New Roman" w:hAnsi="Times New Roman"/>
          <w:sz w:val="24"/>
          <w:szCs w:val="24"/>
        </w:rPr>
        <w:t xml:space="preserve"> </w:t>
      </w:r>
      <w:r w:rsidRPr="00E0167A">
        <w:rPr>
          <w:rFonts w:ascii="Times New Roman" w:hAnsi="Times New Roman"/>
          <w:sz w:val="24"/>
          <w:szCs w:val="24"/>
        </w:rPr>
        <w:t>REMAND</w:t>
      </w:r>
      <w:r>
        <w:rPr>
          <w:rFonts w:ascii="Times New Roman" w:hAnsi="Times New Roman"/>
          <w:sz w:val="24"/>
          <w:szCs w:val="24"/>
        </w:rPr>
        <w:t xml:space="preserve"> </w:t>
      </w:r>
      <w:r w:rsidRPr="00E0167A">
        <w:rPr>
          <w:rFonts w:ascii="Times New Roman" w:hAnsi="Times New Roman"/>
          <w:sz w:val="24"/>
          <w:szCs w:val="24"/>
        </w:rPr>
        <w:t>the</w:t>
      </w:r>
      <w:r>
        <w:rPr>
          <w:rFonts w:ascii="Times New Roman" w:hAnsi="Times New Roman"/>
          <w:sz w:val="24"/>
          <w:szCs w:val="24"/>
        </w:rPr>
        <w:t xml:space="preserve"> </w:t>
      </w:r>
      <w:r w:rsidRPr="00E0167A">
        <w:rPr>
          <w:rFonts w:ascii="Times New Roman" w:hAnsi="Times New Roman"/>
          <w:sz w:val="24"/>
          <w:szCs w:val="24"/>
        </w:rPr>
        <w:t>cause</w:t>
      </w:r>
      <w:r>
        <w:rPr>
          <w:rFonts w:ascii="Times New Roman" w:hAnsi="Times New Roman"/>
          <w:sz w:val="24"/>
          <w:szCs w:val="24"/>
        </w:rPr>
        <w:t xml:space="preserve"> </w:t>
      </w:r>
      <w:r w:rsidRPr="00E0167A">
        <w:rPr>
          <w:rFonts w:ascii="Times New Roman" w:hAnsi="Times New Roman"/>
          <w:sz w:val="24"/>
          <w:szCs w:val="24"/>
        </w:rPr>
        <w:t>for</w:t>
      </w:r>
      <w:r>
        <w:rPr>
          <w:rFonts w:ascii="Times New Roman" w:hAnsi="Times New Roman"/>
          <w:sz w:val="24"/>
          <w:szCs w:val="24"/>
        </w:rPr>
        <w:t xml:space="preserve"> </w:t>
      </w:r>
      <w:r w:rsidRPr="00E0167A">
        <w:rPr>
          <w:rFonts w:ascii="Times New Roman" w:hAnsi="Times New Roman"/>
          <w:sz w:val="24"/>
          <w:szCs w:val="24"/>
        </w:rPr>
        <w:t>resentencing</w:t>
      </w:r>
      <w:r>
        <w:rPr>
          <w:rFonts w:ascii="Times New Roman" w:hAnsi="Times New Roman"/>
          <w:sz w:val="24"/>
          <w:szCs w:val="24"/>
        </w:rPr>
        <w:t xml:space="preserve"> </w:t>
      </w:r>
      <w:r w:rsidRPr="00E0167A">
        <w:rPr>
          <w:rFonts w:ascii="Times New Roman" w:hAnsi="Times New Roman"/>
          <w:sz w:val="24"/>
          <w:szCs w:val="24"/>
        </w:rPr>
        <w:t>consistent</w:t>
      </w:r>
      <w:r>
        <w:rPr>
          <w:rFonts w:ascii="Times New Roman" w:hAnsi="Times New Roman"/>
          <w:sz w:val="24"/>
          <w:szCs w:val="24"/>
        </w:rPr>
        <w:t xml:space="preserve"> </w:t>
      </w:r>
      <w:r w:rsidRPr="00E0167A">
        <w:rPr>
          <w:rFonts w:ascii="Times New Roman" w:hAnsi="Times New Roman"/>
          <w:sz w:val="24"/>
          <w:szCs w:val="24"/>
        </w:rPr>
        <w:t>with</w:t>
      </w:r>
      <w:r>
        <w:rPr>
          <w:rFonts w:ascii="Times New Roman" w:hAnsi="Times New Roman"/>
          <w:sz w:val="24"/>
          <w:szCs w:val="24"/>
        </w:rPr>
        <w:t xml:space="preserve"> </w:t>
      </w:r>
      <w:r w:rsidRPr="00E0167A">
        <w:rPr>
          <w:rFonts w:ascii="Times New Roman" w:hAnsi="Times New Roman"/>
          <w:sz w:val="24"/>
          <w:szCs w:val="24"/>
        </w:rPr>
        <w:t>this</w:t>
      </w:r>
      <w:r>
        <w:rPr>
          <w:rFonts w:ascii="Times New Roman" w:hAnsi="Times New Roman"/>
          <w:sz w:val="24"/>
          <w:szCs w:val="24"/>
        </w:rPr>
        <w:t xml:space="preserve"> </w:t>
      </w:r>
      <w:r w:rsidRPr="00E0167A">
        <w:rPr>
          <w:rFonts w:ascii="Times New Roman" w:hAnsi="Times New Roman"/>
          <w:sz w:val="24"/>
          <w:szCs w:val="24"/>
        </w:rPr>
        <w:t>opinion.</w:t>
      </w:r>
      <w:r>
        <w:rPr>
          <w:rFonts w:ascii="Times New Roman" w:hAnsi="Times New Roman"/>
          <w:sz w:val="24"/>
          <w:szCs w:val="24"/>
        </w:rPr>
        <w:t>”</w:t>
      </w:r>
      <w:r w:rsidRPr="003F74E4">
        <w:t xml:space="preserve"> </w:t>
      </w:r>
      <w:hyperlink r:id="rId831" w:anchor="xml=http://www.ca2.uscourts.gov/decisions/isysquery/67a05b34-20ad-4c39-bc1a-260008502d15/1/hilite/" w:history="1">
        <w:r w:rsidRPr="00F25DB3">
          <w:rPr>
            <w:rStyle w:val="Hyperlink"/>
            <w:rFonts w:ascii="Times New Roman" w:hAnsi="Times New Roman"/>
            <w:sz w:val="24"/>
            <w:szCs w:val="24"/>
          </w:rPr>
          <w:t>http://www.ca2.uscourts.gov/decisions/isysquery/67a05b34-20ad-4c39-bc1a-260008502d15/1/doc/18-1604_complete_opn.pdf#xml=http://www.ca2.uscourts.gov/decisions/isysquery/67a05b34-20ad-4c39-bc1a-260008502d15/1/hilite/</w:t>
        </w:r>
      </w:hyperlink>
      <w:r>
        <w:rPr>
          <w:rFonts w:ascii="Times New Roman" w:hAnsi="Times New Roman"/>
          <w:sz w:val="24"/>
          <w:szCs w:val="24"/>
        </w:rPr>
        <w:t xml:space="preserve"> </w:t>
      </w:r>
    </w:p>
    <w:p w14:paraId="4AB9FF04" w14:textId="0C05CC1E" w:rsidR="007C6FEF" w:rsidRPr="009C4A80" w:rsidRDefault="009C4A80" w:rsidP="00F326E5">
      <w:pPr>
        <w:pStyle w:val="NoSpacing"/>
        <w:rPr>
          <w:rFonts w:ascii="Times New Roman" w:hAnsi="Times New Roman"/>
          <w:b/>
          <w:bCs/>
          <w:sz w:val="24"/>
          <w:szCs w:val="24"/>
        </w:rPr>
      </w:pPr>
      <w:r w:rsidRPr="009C4A80">
        <w:rPr>
          <w:rFonts w:ascii="Times New Roman" w:hAnsi="Times New Roman"/>
          <w:b/>
          <w:bCs/>
          <w:sz w:val="24"/>
          <w:szCs w:val="24"/>
        </w:rPr>
        <w:t>Legal Lessons Learned: Very important decision that will hopefully influence other Federal sentencing judges nationwide.</w:t>
      </w:r>
    </w:p>
    <w:p w14:paraId="5B4B0045" w14:textId="77777777" w:rsidR="007C6FEF" w:rsidRDefault="007C6FEF" w:rsidP="00F326E5">
      <w:pPr>
        <w:pStyle w:val="NoSpacing"/>
        <w:rPr>
          <w:rFonts w:ascii="Arial Black" w:hAnsi="Arial Black"/>
          <w:sz w:val="28"/>
          <w:szCs w:val="28"/>
        </w:rPr>
      </w:pPr>
    </w:p>
    <w:p w14:paraId="70AA856F" w14:textId="77777777" w:rsidR="007C6FEF" w:rsidRDefault="007C6FEF" w:rsidP="00F326E5">
      <w:pPr>
        <w:pStyle w:val="NoSpacing"/>
        <w:rPr>
          <w:rFonts w:ascii="Arial Black" w:hAnsi="Arial Black"/>
          <w:sz w:val="28"/>
          <w:szCs w:val="28"/>
        </w:rPr>
      </w:pPr>
    </w:p>
    <w:p w14:paraId="3F5A8901" w14:textId="77777777" w:rsidR="00980EAD" w:rsidRDefault="00980EAD" w:rsidP="00F326E5">
      <w:pPr>
        <w:pStyle w:val="NoSpacing"/>
        <w:rPr>
          <w:rFonts w:ascii="Arial Black" w:hAnsi="Arial Black"/>
          <w:sz w:val="28"/>
          <w:szCs w:val="28"/>
        </w:rPr>
      </w:pPr>
    </w:p>
    <w:p w14:paraId="447A6E16" w14:textId="5EDE9938" w:rsidR="00A06387" w:rsidRDefault="00A06387" w:rsidP="00F326E5">
      <w:pPr>
        <w:pStyle w:val="NoSpacing"/>
        <w:rPr>
          <w:rFonts w:ascii="Arial Black" w:hAnsi="Arial Black"/>
          <w:sz w:val="28"/>
          <w:szCs w:val="28"/>
        </w:rPr>
      </w:pPr>
      <w:r>
        <w:rPr>
          <w:rFonts w:ascii="Arial Black" w:hAnsi="Arial Black"/>
          <w:sz w:val="28"/>
          <w:szCs w:val="28"/>
        </w:rPr>
        <w:t>3-1</w:t>
      </w:r>
      <w:r w:rsidR="00A247E4">
        <w:rPr>
          <w:rFonts w:ascii="Arial Black" w:hAnsi="Arial Black"/>
          <w:sz w:val="28"/>
          <w:szCs w:val="28"/>
        </w:rPr>
        <w:t>6</w:t>
      </w:r>
    </w:p>
    <w:p w14:paraId="0FF14E6D" w14:textId="375A6CDC" w:rsidR="00A06387" w:rsidRDefault="00A06387" w:rsidP="00F326E5">
      <w:pPr>
        <w:pStyle w:val="NoSpacing"/>
        <w:rPr>
          <w:rFonts w:ascii="Arial Black" w:hAnsi="Arial Black"/>
          <w:sz w:val="28"/>
          <w:szCs w:val="28"/>
        </w:rPr>
      </w:pPr>
    </w:p>
    <w:p w14:paraId="14C355AD" w14:textId="77777777" w:rsidR="00A06387" w:rsidRPr="00656FC7" w:rsidRDefault="00A06387" w:rsidP="00A06387">
      <w:pPr>
        <w:pStyle w:val="NoSpacing"/>
        <w:rPr>
          <w:rFonts w:ascii="Arial Black" w:hAnsi="Arial Black"/>
          <w:sz w:val="28"/>
          <w:szCs w:val="28"/>
        </w:rPr>
      </w:pPr>
      <w:r w:rsidRPr="00656FC7">
        <w:rPr>
          <w:rFonts w:ascii="Arial Black" w:hAnsi="Arial Black"/>
          <w:sz w:val="28"/>
          <w:szCs w:val="28"/>
        </w:rPr>
        <w:t>CA: NO FLY LIST – FOUR U.S. CITIZENS ON THE LIST -  TSA’s ANTI-TERRORIST PROGRAM PROVIDES DUE PROCESS RIGHTS</w:t>
      </w:r>
    </w:p>
    <w:p w14:paraId="24BA9448" w14:textId="77777777" w:rsidR="00A06387" w:rsidRPr="00A301F0" w:rsidRDefault="00A06387" w:rsidP="00A06387">
      <w:pPr>
        <w:pStyle w:val="NoSpacing"/>
        <w:rPr>
          <w:b/>
          <w:bCs/>
          <w:sz w:val="28"/>
          <w:szCs w:val="28"/>
        </w:rPr>
      </w:pPr>
    </w:p>
    <w:p w14:paraId="24D75E1B" w14:textId="77777777" w:rsidR="00A06387" w:rsidRPr="009C4A80" w:rsidRDefault="00A06387" w:rsidP="00A06387">
      <w:pPr>
        <w:pStyle w:val="NoSpacing"/>
        <w:rPr>
          <w:rFonts w:ascii="Times New Roman" w:hAnsi="Times New Roman"/>
          <w:b/>
          <w:bCs/>
          <w:sz w:val="24"/>
          <w:szCs w:val="24"/>
        </w:rPr>
      </w:pPr>
      <w:r w:rsidRPr="009C4A80">
        <w:rPr>
          <w:rFonts w:ascii="Times New Roman" w:hAnsi="Times New Roman"/>
          <w:bCs/>
          <w:sz w:val="24"/>
          <w:szCs w:val="24"/>
        </w:rPr>
        <w:lastRenderedPageBreak/>
        <w:t xml:space="preserve">On Oct. 21, 2019, in </w:t>
      </w:r>
      <w:r w:rsidRPr="009C4A80">
        <w:rPr>
          <w:rFonts w:ascii="Times New Roman" w:hAnsi="Times New Roman"/>
          <w:bCs/>
          <w:sz w:val="24"/>
          <w:szCs w:val="24"/>
          <w:u w:val="single"/>
        </w:rPr>
        <w:t>Faisal Nabin Kashem; Raymond Earl Knaeble IV; Amir Meshal; Stephen Durga Persuad v. William Barr, Attorney General</w:t>
      </w:r>
      <w:r w:rsidRPr="009C4A80">
        <w:rPr>
          <w:rFonts w:ascii="Times New Roman" w:hAnsi="Times New Roman"/>
          <w:bCs/>
          <w:sz w:val="24"/>
          <w:szCs w:val="24"/>
        </w:rPr>
        <w:t>, the U.S. Court of Appeals for the 9</w:t>
      </w:r>
      <w:r w:rsidRPr="009C4A80">
        <w:rPr>
          <w:rFonts w:ascii="Times New Roman" w:hAnsi="Times New Roman"/>
          <w:bCs/>
          <w:sz w:val="24"/>
          <w:szCs w:val="24"/>
          <w:vertAlign w:val="superscript"/>
        </w:rPr>
        <w:t>th</w:t>
      </w:r>
      <w:r w:rsidRPr="009C4A80">
        <w:rPr>
          <w:rFonts w:ascii="Times New Roman" w:hAnsi="Times New Roman"/>
          <w:bCs/>
          <w:sz w:val="24"/>
          <w:szCs w:val="24"/>
        </w:rPr>
        <w:t xml:space="preserve"> Circuit (San Francisco), upheld (3 to 0) the </w:t>
      </w:r>
      <w:proofErr w:type="gramStart"/>
      <w:r w:rsidRPr="009C4A80">
        <w:rPr>
          <w:rFonts w:ascii="Times New Roman" w:hAnsi="Times New Roman"/>
          <w:bCs/>
          <w:sz w:val="24"/>
          <w:szCs w:val="24"/>
        </w:rPr>
        <w:t>No Fly</w:t>
      </w:r>
      <w:proofErr w:type="gramEnd"/>
      <w:r w:rsidRPr="009C4A80">
        <w:rPr>
          <w:rFonts w:ascii="Times New Roman" w:hAnsi="Times New Roman"/>
          <w:bCs/>
          <w:sz w:val="24"/>
          <w:szCs w:val="24"/>
        </w:rPr>
        <w:t xml:space="preserve"> List. </w:t>
      </w:r>
    </w:p>
    <w:p w14:paraId="75420460" w14:textId="77777777" w:rsidR="00A06387" w:rsidRPr="009C4A80" w:rsidRDefault="00A06387" w:rsidP="00A06387">
      <w:pPr>
        <w:pStyle w:val="NoSpacing"/>
        <w:rPr>
          <w:rFonts w:ascii="Times New Roman" w:hAnsi="Times New Roman"/>
          <w:b/>
          <w:bCs/>
          <w:sz w:val="24"/>
          <w:szCs w:val="24"/>
        </w:rPr>
      </w:pPr>
    </w:p>
    <w:p w14:paraId="00AEDD86" w14:textId="77777777" w:rsidR="00A06387" w:rsidRPr="009C4A80" w:rsidRDefault="00A06387" w:rsidP="00A06387">
      <w:pPr>
        <w:pStyle w:val="NoSpacing"/>
        <w:ind w:left="720"/>
        <w:rPr>
          <w:rFonts w:ascii="Times New Roman" w:hAnsi="Times New Roman"/>
          <w:b/>
          <w:bCs/>
          <w:sz w:val="24"/>
          <w:szCs w:val="24"/>
        </w:rPr>
      </w:pPr>
      <w:r w:rsidRPr="009C4A80">
        <w:rPr>
          <w:rFonts w:ascii="Times New Roman" w:hAnsi="Times New Roman"/>
          <w:bCs/>
          <w:sz w:val="24"/>
          <w:szCs w:val="24"/>
        </w:rPr>
        <w:t xml:space="preserve">“The plaintiffs are on the </w:t>
      </w:r>
      <w:proofErr w:type="gramStart"/>
      <w:r w:rsidRPr="009C4A80">
        <w:rPr>
          <w:rFonts w:ascii="Times New Roman" w:hAnsi="Times New Roman"/>
          <w:bCs/>
          <w:sz w:val="24"/>
          <w:szCs w:val="24"/>
        </w:rPr>
        <w:t>No Fly</w:t>
      </w:r>
      <w:proofErr w:type="gramEnd"/>
      <w:r w:rsidRPr="009C4A80">
        <w:rPr>
          <w:rFonts w:ascii="Times New Roman" w:hAnsi="Times New Roman"/>
          <w:bCs/>
          <w:sz w:val="24"/>
          <w:szCs w:val="24"/>
        </w:rPr>
        <w:t xml:space="preserve"> List, which prohibits them from boarding commercial aircraft flying to, from or within the United States or through United States airspace. They challenge, under the Due Process Clause of the Fifth Amendment to the United States Constitution, both their inclusion on the </w:t>
      </w:r>
      <w:proofErr w:type="gramStart"/>
      <w:r w:rsidRPr="009C4A80">
        <w:rPr>
          <w:rFonts w:ascii="Times New Roman" w:hAnsi="Times New Roman"/>
          <w:bCs/>
          <w:sz w:val="24"/>
          <w:szCs w:val="24"/>
        </w:rPr>
        <w:t>No Fly</w:t>
      </w:r>
      <w:proofErr w:type="gramEnd"/>
      <w:r w:rsidRPr="009C4A80">
        <w:rPr>
          <w:rFonts w:ascii="Times New Roman" w:hAnsi="Times New Roman"/>
          <w:bCs/>
          <w:sz w:val="24"/>
          <w:szCs w:val="24"/>
        </w:rPr>
        <w:t xml:space="preserve"> List and the sufficiency of the procedures available for contesting their inclusion on the list. Specifically, the plaintiffs argue (1) the criteria for inclusion on the </w:t>
      </w:r>
      <w:proofErr w:type="gramStart"/>
      <w:r w:rsidRPr="009C4A80">
        <w:rPr>
          <w:rFonts w:ascii="Times New Roman" w:hAnsi="Times New Roman"/>
          <w:bCs/>
          <w:sz w:val="24"/>
          <w:szCs w:val="24"/>
        </w:rPr>
        <w:t>No Fly</w:t>
      </w:r>
      <w:proofErr w:type="gramEnd"/>
      <w:r w:rsidRPr="009C4A80">
        <w:rPr>
          <w:rFonts w:ascii="Times New Roman" w:hAnsi="Times New Roman"/>
          <w:bCs/>
          <w:sz w:val="24"/>
          <w:szCs w:val="24"/>
        </w:rPr>
        <w:t xml:space="preserve"> List are unconstitutionally vague; (2) the procedures for challenging inclusion on the list fail to satisfy procedural due process; and (3) their inclusion on the list violates their substantive due process rights. The district court granted summary judgment to the government on the vagueness and procedural due process claims and dismissed the substantive due process claims for lack of jurisdiction under 49 U.S.C. § 46110. We affirm.”</w:t>
      </w:r>
    </w:p>
    <w:p w14:paraId="4F7520E4" w14:textId="77777777" w:rsidR="00A06387" w:rsidRPr="009C4A80" w:rsidRDefault="00A06387" w:rsidP="00A06387">
      <w:pPr>
        <w:pStyle w:val="NoSpacing"/>
        <w:ind w:left="720"/>
        <w:rPr>
          <w:rFonts w:ascii="Times New Roman" w:hAnsi="Times New Roman"/>
          <w:b/>
          <w:bCs/>
          <w:sz w:val="24"/>
          <w:szCs w:val="24"/>
        </w:rPr>
      </w:pPr>
      <w:hyperlink r:id="rId832" w:history="1">
        <w:r w:rsidRPr="009C4A80">
          <w:rPr>
            <w:rStyle w:val="Hyperlink"/>
            <w:rFonts w:ascii="Times New Roman" w:hAnsi="Times New Roman"/>
            <w:bCs/>
            <w:sz w:val="24"/>
            <w:szCs w:val="24"/>
          </w:rPr>
          <w:t>https://cases.justia.com/federal/appellate-courts/ca9/17-35634/17-35634-2019-10-21.pdf?ts=1571677280</w:t>
        </w:r>
      </w:hyperlink>
      <w:r w:rsidRPr="009C4A80">
        <w:rPr>
          <w:rFonts w:ascii="Times New Roman" w:hAnsi="Times New Roman"/>
          <w:bCs/>
          <w:sz w:val="24"/>
          <w:szCs w:val="24"/>
        </w:rPr>
        <w:t xml:space="preserve"> </w:t>
      </w:r>
    </w:p>
    <w:p w14:paraId="5B7BA20B" w14:textId="77777777" w:rsidR="00A06387" w:rsidRPr="009C4A80" w:rsidRDefault="00A06387" w:rsidP="00A06387">
      <w:pPr>
        <w:pStyle w:val="NoSpacing"/>
        <w:ind w:left="720"/>
        <w:rPr>
          <w:rFonts w:ascii="Times New Roman" w:hAnsi="Times New Roman"/>
          <w:b/>
          <w:bCs/>
          <w:sz w:val="24"/>
          <w:szCs w:val="24"/>
        </w:rPr>
      </w:pPr>
    </w:p>
    <w:p w14:paraId="1327682E" w14:textId="77777777" w:rsidR="00A06387" w:rsidRPr="009C4A80" w:rsidRDefault="00A06387" w:rsidP="00A06387">
      <w:pPr>
        <w:pStyle w:val="NoSpacing"/>
        <w:rPr>
          <w:rFonts w:ascii="Times New Roman" w:hAnsi="Times New Roman"/>
          <w:b/>
          <w:bCs/>
          <w:sz w:val="24"/>
          <w:szCs w:val="24"/>
        </w:rPr>
      </w:pPr>
      <w:r w:rsidRPr="009C4A80">
        <w:rPr>
          <w:rFonts w:ascii="Times New Roman" w:hAnsi="Times New Roman"/>
          <w:b/>
          <w:bCs/>
          <w:sz w:val="24"/>
          <w:szCs w:val="24"/>
        </w:rPr>
        <w:t xml:space="preserve">Legal Lessons Learned: The TSA program provides written notice to individuals why they are on the </w:t>
      </w:r>
      <w:proofErr w:type="gramStart"/>
      <w:r w:rsidRPr="009C4A80">
        <w:rPr>
          <w:rFonts w:ascii="Times New Roman" w:hAnsi="Times New Roman"/>
          <w:b/>
          <w:bCs/>
          <w:sz w:val="24"/>
          <w:szCs w:val="24"/>
        </w:rPr>
        <w:t>No Fly</w:t>
      </w:r>
      <w:proofErr w:type="gramEnd"/>
      <w:r w:rsidRPr="009C4A80">
        <w:rPr>
          <w:rFonts w:ascii="Times New Roman" w:hAnsi="Times New Roman"/>
          <w:b/>
          <w:bCs/>
          <w:sz w:val="24"/>
          <w:szCs w:val="24"/>
        </w:rPr>
        <w:t xml:space="preserve"> list, and an administrative and judicial appeal process. </w:t>
      </w:r>
    </w:p>
    <w:p w14:paraId="230F15C8" w14:textId="36E61BD6" w:rsidR="00A06387" w:rsidRDefault="00A06387" w:rsidP="00F326E5">
      <w:pPr>
        <w:pStyle w:val="NoSpacing"/>
        <w:rPr>
          <w:rFonts w:ascii="Arial Black" w:hAnsi="Arial Black"/>
          <w:sz w:val="28"/>
          <w:szCs w:val="28"/>
        </w:rPr>
      </w:pPr>
    </w:p>
    <w:p w14:paraId="11906D04" w14:textId="77777777" w:rsidR="00A06387" w:rsidRDefault="00A06387" w:rsidP="00F326E5">
      <w:pPr>
        <w:pStyle w:val="NoSpacing"/>
        <w:rPr>
          <w:rFonts w:ascii="Arial Black" w:hAnsi="Arial Black"/>
          <w:sz w:val="28"/>
          <w:szCs w:val="28"/>
        </w:rPr>
      </w:pPr>
    </w:p>
    <w:p w14:paraId="36298768" w14:textId="77777777" w:rsidR="009C4A80" w:rsidRDefault="009C4A80" w:rsidP="00F326E5">
      <w:pPr>
        <w:pStyle w:val="NoSpacing"/>
        <w:rPr>
          <w:rFonts w:ascii="Arial Black" w:hAnsi="Arial Black"/>
          <w:sz w:val="28"/>
          <w:szCs w:val="28"/>
        </w:rPr>
      </w:pPr>
    </w:p>
    <w:p w14:paraId="167DC8D3" w14:textId="77777777" w:rsidR="009C4A80" w:rsidRDefault="009C4A80" w:rsidP="00F326E5">
      <w:pPr>
        <w:pStyle w:val="NoSpacing"/>
        <w:rPr>
          <w:rFonts w:ascii="Arial Black" w:hAnsi="Arial Black"/>
          <w:sz w:val="28"/>
          <w:szCs w:val="28"/>
        </w:rPr>
      </w:pPr>
    </w:p>
    <w:p w14:paraId="4E7F6CDC" w14:textId="7FE5C9DE" w:rsidR="00EF1133" w:rsidRDefault="00853142" w:rsidP="00F326E5">
      <w:pPr>
        <w:pStyle w:val="NoSpacing"/>
        <w:rPr>
          <w:rFonts w:ascii="Arial Black" w:hAnsi="Arial Black"/>
          <w:sz w:val="28"/>
          <w:szCs w:val="28"/>
        </w:rPr>
      </w:pPr>
      <w:r>
        <w:rPr>
          <w:rFonts w:ascii="Arial Black" w:hAnsi="Arial Black"/>
          <w:sz w:val="28"/>
          <w:szCs w:val="28"/>
        </w:rPr>
        <w:t>3-1</w:t>
      </w:r>
      <w:r w:rsidR="00A247E4">
        <w:rPr>
          <w:rFonts w:ascii="Arial Black" w:hAnsi="Arial Black"/>
          <w:sz w:val="28"/>
          <w:szCs w:val="28"/>
        </w:rPr>
        <w:t>5</w:t>
      </w:r>
    </w:p>
    <w:p w14:paraId="2774FCBA" w14:textId="77777777" w:rsidR="00853142" w:rsidRDefault="00853142" w:rsidP="00F326E5">
      <w:pPr>
        <w:pStyle w:val="NoSpacing"/>
        <w:rPr>
          <w:rFonts w:ascii="Arial Black" w:hAnsi="Arial Black"/>
          <w:sz w:val="28"/>
          <w:szCs w:val="28"/>
        </w:rPr>
      </w:pPr>
    </w:p>
    <w:p w14:paraId="63576EDC" w14:textId="77777777" w:rsidR="00853142" w:rsidRPr="00E7448E" w:rsidRDefault="00853142" w:rsidP="00853142">
      <w:pPr>
        <w:pStyle w:val="NoSpacing"/>
        <w:rPr>
          <w:rFonts w:ascii="Arial Black" w:hAnsi="Arial Black"/>
          <w:sz w:val="28"/>
          <w:szCs w:val="28"/>
        </w:rPr>
      </w:pPr>
      <w:r w:rsidRPr="00E7448E">
        <w:rPr>
          <w:rFonts w:ascii="Arial Black" w:hAnsi="Arial Black"/>
          <w:sz w:val="28"/>
          <w:szCs w:val="28"/>
        </w:rPr>
        <w:t>CO:</w:t>
      </w:r>
      <w:r>
        <w:rPr>
          <w:rFonts w:ascii="Arial Black" w:hAnsi="Arial Black"/>
          <w:sz w:val="28"/>
          <w:szCs w:val="28"/>
        </w:rPr>
        <w:t xml:space="preserve">  TERRORIST SENTENCED LIFE FED. MAX PRISON – TRIED BLOW UP PLANE IN DETROIT – COMPLAINTS ABOUT PRISON DISMISSED</w:t>
      </w:r>
    </w:p>
    <w:p w14:paraId="2C44DD91" w14:textId="77777777" w:rsidR="00853142" w:rsidRDefault="00853142" w:rsidP="00853142">
      <w:pPr>
        <w:pStyle w:val="NoSpacing"/>
        <w:rPr>
          <w:rFonts w:ascii="Times New Roman" w:hAnsi="Times New Roman"/>
          <w:sz w:val="24"/>
          <w:szCs w:val="24"/>
        </w:rPr>
      </w:pPr>
    </w:p>
    <w:p w14:paraId="68F4CFE0" w14:textId="77777777" w:rsidR="00853142" w:rsidRPr="00314B5D" w:rsidRDefault="00853142" w:rsidP="00853142">
      <w:pPr>
        <w:pStyle w:val="NoSpacing"/>
        <w:rPr>
          <w:rFonts w:ascii="Times New Roman" w:hAnsi="Times New Roman"/>
          <w:sz w:val="24"/>
          <w:szCs w:val="24"/>
        </w:rPr>
      </w:pPr>
      <w:r w:rsidRPr="00314B5D">
        <w:rPr>
          <w:rFonts w:ascii="Times New Roman" w:hAnsi="Times New Roman"/>
          <w:sz w:val="24"/>
          <w:szCs w:val="24"/>
        </w:rPr>
        <w:t xml:space="preserve">On Sept. 18, 2019, in </w:t>
      </w:r>
      <w:r w:rsidRPr="00314B5D">
        <w:rPr>
          <w:rFonts w:ascii="Times New Roman" w:hAnsi="Times New Roman"/>
          <w:sz w:val="24"/>
          <w:szCs w:val="24"/>
          <w:u w:val="single"/>
        </w:rPr>
        <w:t>Umar Farouk Abdulmutallab v. William Barr, Attorney General of the United States</w:t>
      </w:r>
      <w:r w:rsidRPr="00314B5D">
        <w:rPr>
          <w:rFonts w:ascii="Times New Roman" w:hAnsi="Times New Roman"/>
          <w:sz w:val="24"/>
          <w:szCs w:val="24"/>
        </w:rPr>
        <w:t xml:space="preserve">, </w:t>
      </w:r>
      <w:r>
        <w:rPr>
          <w:rFonts w:ascii="Times New Roman" w:hAnsi="Times New Roman"/>
          <w:sz w:val="24"/>
          <w:szCs w:val="24"/>
        </w:rPr>
        <w:t xml:space="preserve">U.S. District Court Judge Raymond P. Moore, United States District Court of Colorado, upheld the recommendations of U.S. Magistrate Judge that the prisoner’s claims should be dismissed for failure to exhaust his U.S. Bureau of Prisons administrative remedies.  </w:t>
      </w:r>
      <w:hyperlink r:id="rId833" w:history="1">
        <w:r w:rsidRPr="00DB571D">
          <w:rPr>
            <w:rStyle w:val="Hyperlink"/>
            <w:rFonts w:ascii="Times New Roman" w:hAnsi="Times New Roman"/>
            <w:sz w:val="24"/>
            <w:szCs w:val="24"/>
          </w:rPr>
          <w:t>https://www.leagle.com/decision/infdco20190919804</w:t>
        </w:r>
      </w:hyperlink>
      <w:r>
        <w:rPr>
          <w:rFonts w:ascii="Times New Roman" w:hAnsi="Times New Roman"/>
          <w:sz w:val="24"/>
          <w:szCs w:val="24"/>
        </w:rPr>
        <w:t xml:space="preserve"> </w:t>
      </w:r>
    </w:p>
    <w:p w14:paraId="12D7BA2A" w14:textId="77777777" w:rsidR="00853142" w:rsidRDefault="00853142" w:rsidP="00853142">
      <w:pPr>
        <w:pStyle w:val="NoSpacing"/>
      </w:pPr>
    </w:p>
    <w:p w14:paraId="790DA569" w14:textId="77777777" w:rsidR="00853142" w:rsidRPr="00314B5D" w:rsidRDefault="00853142" w:rsidP="00853142">
      <w:pPr>
        <w:pStyle w:val="NoSpacing"/>
        <w:rPr>
          <w:rFonts w:ascii="Times New Roman" w:hAnsi="Times New Roman"/>
          <w:sz w:val="24"/>
          <w:szCs w:val="24"/>
        </w:rPr>
      </w:pPr>
      <w:r>
        <w:tab/>
      </w:r>
      <w:r w:rsidRPr="00314B5D">
        <w:rPr>
          <w:rFonts w:ascii="Times New Roman" w:hAnsi="Times New Roman"/>
          <w:sz w:val="24"/>
          <w:szCs w:val="24"/>
        </w:rPr>
        <w:t>Judge Moore wrote:</w:t>
      </w:r>
    </w:p>
    <w:p w14:paraId="1B8FAA47" w14:textId="77777777" w:rsidR="00853142" w:rsidRDefault="00853142" w:rsidP="00853142">
      <w:pPr>
        <w:pStyle w:val="NoSpacing"/>
      </w:pPr>
    </w:p>
    <w:p w14:paraId="71842674" w14:textId="77777777" w:rsidR="00853142" w:rsidRDefault="00853142" w:rsidP="00853142">
      <w:pPr>
        <w:pStyle w:val="NoSpacing"/>
        <w:ind w:left="720"/>
        <w:rPr>
          <w:rFonts w:ascii="Times New Roman" w:hAnsi="Times New Roman"/>
          <w:sz w:val="24"/>
          <w:szCs w:val="24"/>
        </w:rPr>
      </w:pPr>
      <w:r>
        <w:rPr>
          <w:rFonts w:ascii="Times New Roman" w:hAnsi="Times New Roman"/>
          <w:sz w:val="24"/>
          <w:szCs w:val="24"/>
        </w:rPr>
        <w:t>“</w:t>
      </w:r>
      <w:r w:rsidRPr="00314B5D">
        <w:rPr>
          <w:rFonts w:ascii="Times New Roman" w:hAnsi="Times New Roman"/>
          <w:sz w:val="24"/>
          <w:szCs w:val="24"/>
        </w:rPr>
        <w:t>Plaintiff was convicted for the attempted use of a weapon of mass destruction on a commercial airliner that landed in Detroit, Michigan, and the attempted murder of the 289 people on board. Plaintiff is from Nigeria and a Muslim. Plaintiff is housed at the United States Penitentiary-Administrative Maximum (</w:t>
      </w:r>
      <w:r>
        <w:rPr>
          <w:rFonts w:ascii="Times New Roman" w:hAnsi="Times New Roman"/>
          <w:sz w:val="24"/>
          <w:szCs w:val="24"/>
        </w:rPr>
        <w:t>‘</w:t>
      </w:r>
      <w:r w:rsidRPr="00314B5D">
        <w:rPr>
          <w:rFonts w:ascii="Times New Roman" w:hAnsi="Times New Roman"/>
          <w:sz w:val="24"/>
          <w:szCs w:val="24"/>
        </w:rPr>
        <w:t>ADX</w:t>
      </w:r>
      <w:r>
        <w:rPr>
          <w:rFonts w:ascii="Times New Roman" w:hAnsi="Times New Roman"/>
          <w:sz w:val="24"/>
          <w:szCs w:val="24"/>
        </w:rPr>
        <w:t>’</w:t>
      </w:r>
      <w:r w:rsidRPr="00314B5D">
        <w:rPr>
          <w:rFonts w:ascii="Times New Roman" w:hAnsi="Times New Roman"/>
          <w:sz w:val="24"/>
          <w:szCs w:val="24"/>
        </w:rPr>
        <w:t>) in Florence, Colorado, and serving four terms of life imprisonment plus 50 years for his convictions. Prior to Plaintiff's transfer to ADX, in March 2012, the United States government placed Plaintiff under Special Administrative Measures (</w:t>
      </w:r>
      <w:r>
        <w:rPr>
          <w:rFonts w:ascii="Times New Roman" w:hAnsi="Times New Roman"/>
          <w:sz w:val="24"/>
          <w:szCs w:val="24"/>
        </w:rPr>
        <w:t>‘</w:t>
      </w:r>
      <w:r w:rsidRPr="00314B5D">
        <w:rPr>
          <w:rFonts w:ascii="Times New Roman" w:hAnsi="Times New Roman"/>
          <w:sz w:val="24"/>
          <w:szCs w:val="24"/>
        </w:rPr>
        <w:t>SAMs</w:t>
      </w:r>
      <w:r>
        <w:rPr>
          <w:rFonts w:ascii="Times New Roman" w:hAnsi="Times New Roman"/>
          <w:sz w:val="24"/>
          <w:szCs w:val="24"/>
        </w:rPr>
        <w:t>’</w:t>
      </w:r>
      <w:r w:rsidRPr="00314B5D">
        <w:rPr>
          <w:rFonts w:ascii="Times New Roman" w:hAnsi="Times New Roman"/>
          <w:sz w:val="24"/>
          <w:szCs w:val="24"/>
        </w:rPr>
        <w:t>). The SAMs have been renewed every year, with some modifications.</w:t>
      </w:r>
    </w:p>
    <w:p w14:paraId="75C426F9" w14:textId="77777777" w:rsidR="00853142" w:rsidRDefault="00853142" w:rsidP="00853142">
      <w:pPr>
        <w:pStyle w:val="NoSpacing"/>
        <w:ind w:left="720"/>
        <w:rPr>
          <w:rFonts w:ascii="Times New Roman" w:hAnsi="Times New Roman"/>
          <w:sz w:val="24"/>
          <w:szCs w:val="24"/>
        </w:rPr>
      </w:pPr>
    </w:p>
    <w:p w14:paraId="219B77A1" w14:textId="77777777" w:rsidR="00853142" w:rsidRPr="00314B5D" w:rsidRDefault="00853142" w:rsidP="00853142">
      <w:pPr>
        <w:pStyle w:val="NoSpacing"/>
        <w:ind w:left="720"/>
        <w:rPr>
          <w:rFonts w:ascii="Times New Roman" w:hAnsi="Times New Roman"/>
          <w:sz w:val="24"/>
          <w:szCs w:val="24"/>
        </w:rPr>
      </w:pPr>
      <w:r>
        <w:rPr>
          <w:rFonts w:ascii="Times New Roman" w:hAnsi="Times New Roman"/>
          <w:sz w:val="24"/>
          <w:szCs w:val="24"/>
        </w:rPr>
        <w:t>***</w:t>
      </w:r>
    </w:p>
    <w:p w14:paraId="64491B37" w14:textId="77777777" w:rsidR="00853142" w:rsidRPr="00314B5D" w:rsidRDefault="00853142" w:rsidP="00853142">
      <w:pPr>
        <w:pStyle w:val="NoSpacing"/>
        <w:rPr>
          <w:rFonts w:ascii="Times New Roman" w:hAnsi="Times New Roman"/>
          <w:sz w:val="24"/>
          <w:szCs w:val="24"/>
        </w:rPr>
      </w:pPr>
    </w:p>
    <w:p w14:paraId="1CE33610" w14:textId="131D1F38" w:rsidR="00853142" w:rsidRDefault="00853142" w:rsidP="00853142">
      <w:pPr>
        <w:pStyle w:val="NoSpacing"/>
        <w:ind w:left="720"/>
        <w:rPr>
          <w:rFonts w:ascii="Times New Roman" w:hAnsi="Times New Roman"/>
          <w:sz w:val="24"/>
          <w:szCs w:val="24"/>
        </w:rPr>
      </w:pPr>
      <w:r>
        <w:rPr>
          <w:rFonts w:ascii="Times New Roman" w:hAnsi="Times New Roman"/>
          <w:sz w:val="24"/>
          <w:szCs w:val="24"/>
        </w:rPr>
        <w:t>“</w:t>
      </w:r>
      <w:r w:rsidRPr="00314B5D">
        <w:rPr>
          <w:rFonts w:ascii="Times New Roman" w:hAnsi="Times New Roman"/>
          <w:sz w:val="24"/>
          <w:szCs w:val="24"/>
        </w:rPr>
        <w:t xml:space="preserve">As Plaintiff acknowledges, </w:t>
      </w:r>
      <w:r>
        <w:rPr>
          <w:rFonts w:ascii="Times New Roman" w:hAnsi="Times New Roman"/>
          <w:sz w:val="24"/>
          <w:szCs w:val="24"/>
        </w:rPr>
        <w:t>‘</w:t>
      </w:r>
      <w:r w:rsidRPr="00314B5D">
        <w:rPr>
          <w:rFonts w:ascii="Times New Roman" w:hAnsi="Times New Roman"/>
          <w:sz w:val="24"/>
          <w:szCs w:val="24"/>
        </w:rPr>
        <w:t>[t]he primary purpose of a grievance is to alert the prison to a problem and facilitate its resolution.'</w:t>
      </w:r>
      <w:r>
        <w:rPr>
          <w:rFonts w:ascii="Times New Roman" w:hAnsi="Times New Roman"/>
          <w:sz w:val="24"/>
          <w:szCs w:val="24"/>
        </w:rPr>
        <w:t xml:space="preserve"> </w:t>
      </w:r>
      <w:r w:rsidRPr="00314B5D">
        <w:rPr>
          <w:rFonts w:ascii="Times New Roman" w:hAnsi="Times New Roman"/>
          <w:sz w:val="24"/>
          <w:szCs w:val="24"/>
        </w:rPr>
        <w:t xml:space="preserve">(ECF No. 128, p. 5 (quoting </w:t>
      </w:r>
      <w:r w:rsidRPr="00314B5D">
        <w:rPr>
          <w:rFonts w:ascii="Times New Roman" w:hAnsi="Times New Roman"/>
          <w:i/>
          <w:iCs/>
          <w:sz w:val="24"/>
          <w:szCs w:val="24"/>
        </w:rPr>
        <w:t>Griffin v. Arpaio,</w:t>
      </w:r>
      <w:r w:rsidRPr="00314B5D">
        <w:rPr>
          <w:rFonts w:ascii="Times New Roman" w:hAnsi="Times New Roman"/>
          <w:sz w:val="24"/>
          <w:szCs w:val="24"/>
        </w:rPr>
        <w:t> </w:t>
      </w:r>
      <w:hyperlink r:id="rId834" w:history="1">
        <w:r w:rsidRPr="00314B5D">
          <w:rPr>
            <w:rStyle w:val="Hyperlink"/>
            <w:rFonts w:ascii="Times New Roman" w:hAnsi="Times New Roman"/>
            <w:sz w:val="24"/>
            <w:szCs w:val="24"/>
          </w:rPr>
          <w:t>557 F.3d 1117</w:t>
        </w:r>
      </w:hyperlink>
      <w:r w:rsidRPr="00314B5D">
        <w:rPr>
          <w:rFonts w:ascii="Times New Roman" w:hAnsi="Times New Roman"/>
          <w:sz w:val="24"/>
          <w:szCs w:val="24"/>
        </w:rPr>
        <w:t xml:space="preserve">, 1120 (9th Cir. 2009).) Thus, in the absence of a prisoner alerting a prison of the problem which he alleges in his </w:t>
      </w:r>
      <w:r w:rsidRPr="00314B5D">
        <w:rPr>
          <w:rFonts w:ascii="Times New Roman" w:hAnsi="Times New Roman"/>
          <w:sz w:val="24"/>
          <w:szCs w:val="24"/>
        </w:rPr>
        <w:lastRenderedPageBreak/>
        <w:t xml:space="preserve">complaint, such allegation is not exhausted and cannot serve to support the prisoner's claim or claims. As applied to the recommendation of dismissal here, this objection is </w:t>
      </w:r>
      <w:proofErr w:type="gramStart"/>
      <w:r w:rsidRPr="00314B5D">
        <w:rPr>
          <w:rFonts w:ascii="Times New Roman" w:hAnsi="Times New Roman"/>
          <w:sz w:val="24"/>
          <w:szCs w:val="24"/>
        </w:rPr>
        <w:t>overruled.</w:t>
      </w:r>
      <w:r>
        <w:rPr>
          <w:rFonts w:ascii="Times New Roman" w:hAnsi="Times New Roman"/>
          <w:sz w:val="24"/>
          <w:szCs w:val="24"/>
        </w:rPr>
        <w:t>”</w:t>
      </w:r>
      <w:proofErr w:type="gramEnd"/>
    </w:p>
    <w:p w14:paraId="26B84FA6" w14:textId="77777777" w:rsidR="00853142" w:rsidRDefault="00853142" w:rsidP="00853142">
      <w:pPr>
        <w:pStyle w:val="NoSpacing"/>
        <w:ind w:left="720"/>
        <w:rPr>
          <w:rFonts w:ascii="Times New Roman" w:hAnsi="Times New Roman"/>
          <w:sz w:val="24"/>
          <w:szCs w:val="24"/>
        </w:rPr>
      </w:pPr>
    </w:p>
    <w:p w14:paraId="539DCA3F" w14:textId="3602DBD5" w:rsidR="00853142" w:rsidRDefault="00853142" w:rsidP="00853142">
      <w:pPr>
        <w:pStyle w:val="NoSpacing"/>
        <w:ind w:left="90"/>
        <w:rPr>
          <w:rFonts w:ascii="Times New Roman" w:hAnsi="Times New Roman"/>
          <w:b/>
          <w:bCs/>
          <w:sz w:val="24"/>
          <w:szCs w:val="24"/>
        </w:rPr>
      </w:pPr>
      <w:r w:rsidRPr="008F1B21">
        <w:rPr>
          <w:rFonts w:ascii="Times New Roman" w:hAnsi="Times New Roman"/>
          <w:b/>
          <w:bCs/>
          <w:sz w:val="24"/>
          <w:szCs w:val="24"/>
        </w:rPr>
        <w:t>Legal Lessons Learned:</w:t>
      </w:r>
      <w:r>
        <w:rPr>
          <w:rFonts w:ascii="Times New Roman" w:hAnsi="Times New Roman"/>
          <w:b/>
          <w:bCs/>
          <w:sz w:val="24"/>
          <w:szCs w:val="24"/>
        </w:rPr>
        <w:t xml:space="preserve">  Nice to read about a life sentence of this terrorist to the Federal max prison. </w:t>
      </w:r>
    </w:p>
    <w:p w14:paraId="6764A2D5" w14:textId="77777777" w:rsidR="00853142" w:rsidRDefault="00853142" w:rsidP="00853142">
      <w:pPr>
        <w:pStyle w:val="NoSpacing"/>
        <w:ind w:left="720"/>
        <w:rPr>
          <w:rFonts w:ascii="Times New Roman" w:hAnsi="Times New Roman"/>
          <w:b/>
          <w:bCs/>
          <w:sz w:val="24"/>
          <w:szCs w:val="24"/>
        </w:rPr>
      </w:pPr>
    </w:p>
    <w:p w14:paraId="1AC7BE51" w14:textId="77777777" w:rsidR="00853142" w:rsidRDefault="00853142" w:rsidP="00853142">
      <w:pPr>
        <w:spacing w:after="0" w:line="240" w:lineRule="auto"/>
        <w:rPr>
          <w:rFonts w:ascii="Times New Roman" w:hAnsi="Times New Roman"/>
          <w:sz w:val="24"/>
          <w:szCs w:val="24"/>
        </w:rPr>
      </w:pPr>
    </w:p>
    <w:p w14:paraId="4AE71F7D" w14:textId="77777777" w:rsidR="009C4A80" w:rsidRDefault="009C4A80" w:rsidP="00EF1133">
      <w:pPr>
        <w:rPr>
          <w:rFonts w:ascii="Arial Black" w:hAnsi="Arial Black"/>
          <w:color w:val="4A4A4A"/>
          <w:sz w:val="24"/>
          <w:szCs w:val="24"/>
          <w:lang w:val="en"/>
        </w:rPr>
      </w:pPr>
    </w:p>
    <w:p w14:paraId="432F9342" w14:textId="372A8A85" w:rsidR="009F0F05" w:rsidRDefault="009F0F05" w:rsidP="00EF1133">
      <w:pPr>
        <w:rPr>
          <w:rFonts w:ascii="Arial Black" w:hAnsi="Arial Black"/>
          <w:color w:val="4A4A4A"/>
          <w:sz w:val="24"/>
          <w:szCs w:val="24"/>
          <w:lang w:val="en"/>
        </w:rPr>
      </w:pPr>
      <w:r>
        <w:rPr>
          <w:rFonts w:ascii="Arial Black" w:hAnsi="Arial Black"/>
          <w:color w:val="4A4A4A"/>
          <w:sz w:val="24"/>
          <w:szCs w:val="24"/>
          <w:lang w:val="en"/>
        </w:rPr>
        <w:t>3-1</w:t>
      </w:r>
      <w:r w:rsidR="00A247E4">
        <w:rPr>
          <w:rFonts w:ascii="Arial Black" w:hAnsi="Arial Black"/>
          <w:color w:val="4A4A4A"/>
          <w:sz w:val="24"/>
          <w:szCs w:val="24"/>
          <w:lang w:val="en"/>
        </w:rPr>
        <w:t>4</w:t>
      </w:r>
    </w:p>
    <w:p w14:paraId="406BB252" w14:textId="7D63196F" w:rsidR="009F0F05" w:rsidRDefault="000010F2" w:rsidP="009F0F05">
      <w:pPr>
        <w:rPr>
          <w:rFonts w:ascii="Arial Black" w:hAnsi="Arial Black"/>
          <w:sz w:val="28"/>
          <w:szCs w:val="28"/>
        </w:rPr>
      </w:pPr>
      <w:r>
        <w:rPr>
          <w:rFonts w:ascii="Arial Black" w:hAnsi="Arial Black"/>
          <w:sz w:val="28"/>
          <w:szCs w:val="28"/>
        </w:rPr>
        <w:t>U.S. SUPREME CT:  NEW U.S. GOV’T ASYLUM RULES REMAIN IN EFFECT – REFUGES FIRST APPLY TO MEXICO</w:t>
      </w:r>
      <w:r w:rsidR="009C4A80">
        <w:rPr>
          <w:rFonts w:ascii="Arial Black" w:hAnsi="Arial Black"/>
          <w:sz w:val="28"/>
          <w:szCs w:val="28"/>
        </w:rPr>
        <w:t xml:space="preserve"> </w:t>
      </w:r>
      <w:r>
        <w:rPr>
          <w:rFonts w:ascii="Arial Black" w:hAnsi="Arial Black"/>
          <w:sz w:val="28"/>
          <w:szCs w:val="28"/>
        </w:rPr>
        <w:t xml:space="preserve">– NO INJUNCTION </w:t>
      </w:r>
    </w:p>
    <w:p w14:paraId="7EA4B918" w14:textId="77777777" w:rsidR="009F0F05" w:rsidRDefault="009F0F05" w:rsidP="009F0F05">
      <w:pPr>
        <w:rPr>
          <w:rFonts w:ascii="Times New Roman" w:hAnsi="Times New Roman"/>
          <w:sz w:val="24"/>
          <w:szCs w:val="24"/>
        </w:rPr>
      </w:pPr>
      <w:r>
        <w:rPr>
          <w:rFonts w:ascii="Times New Roman" w:hAnsi="Times New Roman"/>
          <w:sz w:val="24"/>
          <w:szCs w:val="24"/>
        </w:rPr>
        <w:t xml:space="preserve">On Sept. 11, 2019, in </w:t>
      </w:r>
      <w:bookmarkStart w:id="155" w:name="_Hlk39823785"/>
      <w:r w:rsidRPr="00DF0E56">
        <w:rPr>
          <w:rFonts w:ascii="Times New Roman" w:hAnsi="Times New Roman"/>
          <w:sz w:val="24"/>
          <w:szCs w:val="24"/>
          <w:u w:val="single"/>
        </w:rPr>
        <w:t>William Barr, Attorney General v. East Bay Sanctuary Covenant</w:t>
      </w:r>
      <w:bookmarkEnd w:id="155"/>
      <w:r>
        <w:rPr>
          <w:rFonts w:ascii="Times New Roman" w:hAnsi="Times New Roman"/>
          <w:sz w:val="24"/>
          <w:szCs w:val="24"/>
        </w:rPr>
        <w:t xml:space="preserve">, the majority of Justices (7 to 2) issued an Order granting U.S. Government’s request for a stay of a nationwide injunction issued by U.S. District Court judge </w:t>
      </w:r>
      <w:r w:rsidRPr="004161DB">
        <w:rPr>
          <w:rFonts w:ascii="Times New Roman" w:hAnsi="Times New Roman"/>
          <w:sz w:val="24"/>
          <w:szCs w:val="24"/>
        </w:rPr>
        <w:t>Jon Tigar</w:t>
      </w:r>
      <w:r>
        <w:rPr>
          <w:rFonts w:ascii="Times New Roman" w:hAnsi="Times New Roman"/>
          <w:sz w:val="24"/>
          <w:szCs w:val="24"/>
        </w:rPr>
        <w:t xml:space="preserve"> </w:t>
      </w:r>
      <w:r w:rsidRPr="004161DB">
        <w:rPr>
          <w:rFonts w:ascii="Times New Roman" w:hAnsi="Times New Roman"/>
          <w:sz w:val="24"/>
          <w:szCs w:val="24"/>
        </w:rPr>
        <w:t>in</w:t>
      </w:r>
      <w:r>
        <w:rPr>
          <w:rFonts w:ascii="Times New Roman" w:hAnsi="Times New Roman"/>
          <w:sz w:val="24"/>
          <w:szCs w:val="24"/>
        </w:rPr>
        <w:t xml:space="preserve"> San Francisco, after the injunction was modified to only apply to California &amp; Arizona, by a 3-judge panel the U.S. Court of Appeals for 9</w:t>
      </w:r>
      <w:r w:rsidRPr="008E1D0B">
        <w:rPr>
          <w:rFonts w:ascii="Times New Roman" w:hAnsi="Times New Roman"/>
          <w:sz w:val="24"/>
          <w:szCs w:val="24"/>
          <w:vertAlign w:val="superscript"/>
        </w:rPr>
        <w:t>th</w:t>
      </w:r>
      <w:r>
        <w:rPr>
          <w:rFonts w:ascii="Times New Roman" w:hAnsi="Times New Roman"/>
          <w:sz w:val="24"/>
          <w:szCs w:val="24"/>
        </w:rPr>
        <w:t xml:space="preserve"> Circuit (San Francisco).  </w:t>
      </w:r>
      <w:bookmarkStart w:id="156" w:name="_Hlk39823820"/>
      <w:r w:rsidR="00F2621E">
        <w:fldChar w:fldCharType="begin"/>
      </w:r>
      <w:r w:rsidR="00F2621E">
        <w:instrText xml:space="preserve"> HYPERLINK "https://www.supremecourt.gov/opinions/18pdf/19a230_k53l.pdf" </w:instrText>
      </w:r>
      <w:r w:rsidR="00F2621E">
        <w:fldChar w:fldCharType="separate"/>
      </w:r>
      <w:r w:rsidRPr="00DD407F">
        <w:rPr>
          <w:rStyle w:val="Hyperlink"/>
          <w:rFonts w:ascii="Times New Roman" w:hAnsi="Times New Roman"/>
          <w:sz w:val="24"/>
          <w:szCs w:val="24"/>
        </w:rPr>
        <w:t>https://www.supremecourt.gov/opinions/18pdf/19a230_k53l.pdf</w:t>
      </w:r>
      <w:r w:rsidR="00F2621E">
        <w:rPr>
          <w:rStyle w:val="Hyperlink"/>
          <w:rFonts w:ascii="Times New Roman" w:hAnsi="Times New Roman"/>
          <w:sz w:val="24"/>
          <w:szCs w:val="24"/>
        </w:rPr>
        <w:fldChar w:fldCharType="end"/>
      </w:r>
      <w:r>
        <w:rPr>
          <w:rFonts w:ascii="Times New Roman" w:hAnsi="Times New Roman"/>
          <w:sz w:val="24"/>
          <w:szCs w:val="24"/>
        </w:rPr>
        <w:t xml:space="preserve"> </w:t>
      </w:r>
    </w:p>
    <w:bookmarkEnd w:id="156"/>
    <w:p w14:paraId="105DCE99" w14:textId="77777777" w:rsidR="009F0F05" w:rsidRDefault="009F0F05" w:rsidP="009F0F05">
      <w:pPr>
        <w:pStyle w:val="NoSpacing"/>
        <w:ind w:left="720"/>
        <w:rPr>
          <w:rFonts w:ascii="Times New Roman" w:hAnsi="Times New Roman"/>
          <w:sz w:val="24"/>
          <w:szCs w:val="24"/>
        </w:rPr>
      </w:pPr>
      <w:r w:rsidRPr="000C52EB">
        <w:rPr>
          <w:rFonts w:ascii="Times New Roman" w:hAnsi="Times New Roman"/>
          <w:sz w:val="24"/>
          <w:szCs w:val="24"/>
        </w:rPr>
        <w:t>“The district court’s July 24, 2019 order granting a preliminary injunction and</w:t>
      </w:r>
      <w:r>
        <w:rPr>
          <w:rFonts w:ascii="Times New Roman" w:hAnsi="Times New Roman"/>
          <w:sz w:val="24"/>
          <w:szCs w:val="24"/>
        </w:rPr>
        <w:t xml:space="preserve"> </w:t>
      </w:r>
      <w:r w:rsidRPr="000C52EB">
        <w:rPr>
          <w:rFonts w:ascii="Times New Roman" w:hAnsi="Times New Roman"/>
          <w:sz w:val="24"/>
          <w:szCs w:val="24"/>
        </w:rPr>
        <w:t>September 9, 2019 order restoring the nationwide scope of the injunction are stayed in full pending disposition of the Government’s appeal in the United States Court of Appeals for the Ninth Circuit and disposition of the Government’s</w:t>
      </w:r>
      <w:r>
        <w:rPr>
          <w:rFonts w:ascii="Times New Roman" w:hAnsi="Times New Roman"/>
          <w:sz w:val="24"/>
          <w:szCs w:val="24"/>
        </w:rPr>
        <w:t xml:space="preserve"> </w:t>
      </w:r>
      <w:r w:rsidRPr="000C52EB">
        <w:rPr>
          <w:rFonts w:ascii="Times New Roman" w:hAnsi="Times New Roman"/>
          <w:sz w:val="24"/>
          <w:szCs w:val="24"/>
        </w:rPr>
        <w:t>petition for a writ of certiorari, if such writ is sought</w:t>
      </w:r>
      <w:r>
        <w:rPr>
          <w:rFonts w:ascii="Times New Roman" w:hAnsi="Times New Roman"/>
          <w:sz w:val="24"/>
          <w:szCs w:val="24"/>
        </w:rPr>
        <w:t>.”</w:t>
      </w:r>
    </w:p>
    <w:p w14:paraId="79CB873D" w14:textId="77777777" w:rsidR="009F0F05" w:rsidRDefault="009F0F05" w:rsidP="009F0F05">
      <w:pPr>
        <w:pStyle w:val="NoSpacing"/>
        <w:ind w:left="720"/>
        <w:rPr>
          <w:rFonts w:ascii="Times New Roman" w:hAnsi="Times New Roman"/>
          <w:sz w:val="24"/>
          <w:szCs w:val="24"/>
        </w:rPr>
      </w:pPr>
    </w:p>
    <w:p w14:paraId="623B4616" w14:textId="77777777" w:rsidR="009F0F05" w:rsidRDefault="009F0F05" w:rsidP="009F0F05">
      <w:pPr>
        <w:pStyle w:val="NoSpacing"/>
        <w:rPr>
          <w:rFonts w:ascii="Times New Roman" w:hAnsi="Times New Roman"/>
          <w:b/>
          <w:bCs/>
          <w:sz w:val="24"/>
          <w:szCs w:val="24"/>
        </w:rPr>
      </w:pPr>
      <w:r w:rsidRPr="004A1236">
        <w:rPr>
          <w:rFonts w:ascii="Times New Roman" w:hAnsi="Times New Roman"/>
          <w:b/>
          <w:bCs/>
          <w:sz w:val="24"/>
          <w:szCs w:val="24"/>
        </w:rPr>
        <w:t xml:space="preserve">Legal Lessons Learned: </w:t>
      </w:r>
      <w:r>
        <w:rPr>
          <w:rFonts w:ascii="Times New Roman" w:hAnsi="Times New Roman"/>
          <w:b/>
          <w:bCs/>
          <w:sz w:val="24"/>
          <w:szCs w:val="24"/>
        </w:rPr>
        <w:t>The case, now pending before a Federal Judge in California, will most likely then go to the 9</w:t>
      </w:r>
      <w:r w:rsidRPr="00273073">
        <w:rPr>
          <w:rFonts w:ascii="Times New Roman" w:hAnsi="Times New Roman"/>
          <w:b/>
          <w:bCs/>
          <w:sz w:val="24"/>
          <w:szCs w:val="24"/>
          <w:vertAlign w:val="superscript"/>
        </w:rPr>
        <w:t>th</w:t>
      </w:r>
      <w:r>
        <w:rPr>
          <w:rFonts w:ascii="Times New Roman" w:hAnsi="Times New Roman"/>
          <w:b/>
          <w:bCs/>
          <w:sz w:val="24"/>
          <w:szCs w:val="24"/>
        </w:rPr>
        <w:t xml:space="preserve"> Circuit, and eventually then reach the U.S. Supreme Court. </w:t>
      </w:r>
    </w:p>
    <w:p w14:paraId="16FCA8D0" w14:textId="77777777" w:rsidR="009F0F05" w:rsidRDefault="009F0F05" w:rsidP="009F0F05">
      <w:pPr>
        <w:pStyle w:val="NoSpacing"/>
        <w:rPr>
          <w:rFonts w:ascii="Times New Roman" w:hAnsi="Times New Roman"/>
          <w:sz w:val="24"/>
          <w:szCs w:val="24"/>
        </w:rPr>
      </w:pPr>
    </w:p>
    <w:p w14:paraId="75E4FFD6" w14:textId="4FF75B48" w:rsidR="009F0F05" w:rsidRPr="00715CF2" w:rsidRDefault="009F0F05" w:rsidP="00715CF2">
      <w:pPr>
        <w:pStyle w:val="NoSpacing"/>
        <w:ind w:left="720"/>
        <w:rPr>
          <w:rFonts w:ascii="Times New Roman" w:hAnsi="Times New Roman"/>
          <w:sz w:val="24"/>
          <w:szCs w:val="24"/>
        </w:rPr>
      </w:pPr>
      <w:bookmarkStart w:id="157" w:name="_Hlk39823692"/>
      <w:r w:rsidRPr="00715CF2">
        <w:rPr>
          <w:rFonts w:ascii="Times New Roman" w:hAnsi="Times New Roman"/>
          <w:sz w:val="24"/>
          <w:szCs w:val="24"/>
        </w:rPr>
        <w:t xml:space="preserve">See </w:t>
      </w:r>
      <w:r w:rsidR="009E7672">
        <w:rPr>
          <w:rFonts w:ascii="Times New Roman" w:hAnsi="Times New Roman"/>
          <w:sz w:val="24"/>
          <w:szCs w:val="24"/>
        </w:rPr>
        <w:t xml:space="preserve">Sept. 11, </w:t>
      </w:r>
      <w:proofErr w:type="gramStart"/>
      <w:r w:rsidR="009E7672">
        <w:rPr>
          <w:rFonts w:ascii="Times New Roman" w:hAnsi="Times New Roman"/>
          <w:sz w:val="24"/>
          <w:szCs w:val="24"/>
        </w:rPr>
        <w:t>2019</w:t>
      </w:r>
      <w:proofErr w:type="gramEnd"/>
      <w:r w:rsidR="009E7672">
        <w:rPr>
          <w:rFonts w:ascii="Times New Roman" w:hAnsi="Times New Roman"/>
          <w:sz w:val="24"/>
          <w:szCs w:val="24"/>
        </w:rPr>
        <w:t xml:space="preserve"> article: </w:t>
      </w:r>
      <w:r w:rsidRPr="00715CF2">
        <w:rPr>
          <w:rFonts w:ascii="Times New Roman" w:hAnsi="Times New Roman"/>
          <w:sz w:val="24"/>
          <w:szCs w:val="24"/>
        </w:rPr>
        <w:t xml:space="preserve">“President Trump tweeted that the ruling was a "BIG United States Supreme Court WIN for the Border on Asylum!" The administration </w:t>
      </w:r>
      <w:hyperlink r:id="rId835" w:tgtFrame="_blank" w:history="1">
        <w:r w:rsidRPr="00715CF2">
          <w:rPr>
            <w:rStyle w:val="Hyperlink"/>
            <w:rFonts w:ascii="Times New Roman" w:hAnsi="Times New Roman"/>
            <w:sz w:val="24"/>
            <w:szCs w:val="24"/>
          </w:rPr>
          <w:t>had argued in a brief to the Supreme Court</w:t>
        </w:r>
      </w:hyperlink>
      <w:r w:rsidRPr="00715CF2">
        <w:rPr>
          <w:rFonts w:ascii="Times New Roman" w:hAnsi="Times New Roman"/>
          <w:sz w:val="24"/>
          <w:szCs w:val="24"/>
        </w:rPr>
        <w:t xml:space="preserve"> that unless the injunctions were totally lifted everywhere, it ‘would severely disrupt the orderly administration of an already overburdened asylum system.’”  </w:t>
      </w:r>
      <w:hyperlink r:id="rId836" w:history="1">
        <w:r w:rsidRPr="00715CF2">
          <w:rPr>
            <w:rStyle w:val="Hyperlink"/>
            <w:rFonts w:ascii="Times New Roman" w:hAnsi="Times New Roman"/>
            <w:sz w:val="24"/>
            <w:szCs w:val="24"/>
          </w:rPr>
          <w:t>https://www.foxnews.com/politics/supreme-court-green-lights-trumps-immigration-asylum-ban</w:t>
        </w:r>
      </w:hyperlink>
      <w:r w:rsidRPr="00715CF2">
        <w:rPr>
          <w:rFonts w:ascii="Times New Roman" w:hAnsi="Times New Roman"/>
          <w:sz w:val="24"/>
          <w:szCs w:val="24"/>
        </w:rPr>
        <w:t xml:space="preserve"> </w:t>
      </w:r>
    </w:p>
    <w:bookmarkEnd w:id="157"/>
    <w:p w14:paraId="2B0CF987" w14:textId="2BCD77C0" w:rsidR="00E26EA8" w:rsidRDefault="00E26EA8" w:rsidP="009F0F05">
      <w:pPr>
        <w:pStyle w:val="NoSpacing"/>
        <w:rPr>
          <w:rFonts w:ascii="Times New Roman" w:hAnsi="Times New Roman"/>
          <w:b/>
          <w:bCs/>
          <w:sz w:val="24"/>
          <w:szCs w:val="24"/>
        </w:rPr>
      </w:pPr>
    </w:p>
    <w:p w14:paraId="17B60ABE" w14:textId="77777777" w:rsidR="00715CF2" w:rsidRDefault="00715CF2" w:rsidP="00EF1133">
      <w:pPr>
        <w:rPr>
          <w:rFonts w:ascii="Arial Black" w:hAnsi="Arial Black"/>
          <w:color w:val="4A4A4A"/>
          <w:sz w:val="24"/>
          <w:szCs w:val="24"/>
          <w:lang w:val="en"/>
        </w:rPr>
      </w:pPr>
    </w:p>
    <w:p w14:paraId="2E12D163" w14:textId="2257860F" w:rsidR="00715CF2" w:rsidRDefault="00715CF2" w:rsidP="00EF1133">
      <w:pPr>
        <w:rPr>
          <w:rFonts w:ascii="Arial Black" w:hAnsi="Arial Black"/>
          <w:color w:val="4A4A4A"/>
          <w:sz w:val="24"/>
          <w:szCs w:val="24"/>
          <w:lang w:val="en"/>
        </w:rPr>
      </w:pPr>
      <w:r>
        <w:rPr>
          <w:rFonts w:ascii="Arial Black" w:hAnsi="Arial Black"/>
          <w:color w:val="4A4A4A"/>
          <w:sz w:val="24"/>
          <w:szCs w:val="24"/>
          <w:lang w:val="en"/>
        </w:rPr>
        <w:t>3-1</w:t>
      </w:r>
      <w:r w:rsidR="00A247E4">
        <w:rPr>
          <w:rFonts w:ascii="Arial Black" w:hAnsi="Arial Black"/>
          <w:color w:val="4A4A4A"/>
          <w:sz w:val="24"/>
          <w:szCs w:val="24"/>
          <w:lang w:val="en"/>
        </w:rPr>
        <w:t>3</w:t>
      </w:r>
    </w:p>
    <w:p w14:paraId="105D5C86" w14:textId="77777777" w:rsidR="00715CF2" w:rsidRPr="0022436C" w:rsidRDefault="00715CF2" w:rsidP="00715CF2">
      <w:pPr>
        <w:rPr>
          <w:rFonts w:ascii="Arial Black" w:hAnsi="Arial Black"/>
          <w:sz w:val="28"/>
          <w:szCs w:val="28"/>
        </w:rPr>
      </w:pPr>
      <w:bookmarkStart w:id="158" w:name="_Hlk25925471"/>
      <w:r w:rsidRPr="0022436C">
        <w:rPr>
          <w:rFonts w:ascii="Arial Black" w:hAnsi="Arial Black"/>
          <w:sz w:val="28"/>
          <w:szCs w:val="28"/>
        </w:rPr>
        <w:t xml:space="preserve">PA: </w:t>
      </w:r>
      <w:r>
        <w:rPr>
          <w:rFonts w:ascii="Arial Black" w:hAnsi="Arial Black"/>
          <w:sz w:val="28"/>
          <w:szCs w:val="28"/>
        </w:rPr>
        <w:t>HIGH SCHOOL STUDENT EXPELLED – THREATING COMMENT – “BEAT RECORD OF 19” OF PARKLAND, FL</w:t>
      </w:r>
    </w:p>
    <w:p w14:paraId="68B34862" w14:textId="2765649B" w:rsidR="00715CF2" w:rsidRDefault="00715CF2" w:rsidP="00715CF2">
      <w:pPr>
        <w:rPr>
          <w:rFonts w:ascii="Times New Roman" w:hAnsi="Times New Roman"/>
          <w:sz w:val="24"/>
          <w:szCs w:val="24"/>
        </w:rPr>
      </w:pPr>
      <w:r w:rsidRPr="007B6BCD">
        <w:rPr>
          <w:rFonts w:ascii="Times New Roman" w:hAnsi="Times New Roman"/>
          <w:sz w:val="24"/>
          <w:szCs w:val="24"/>
        </w:rPr>
        <w:t xml:space="preserve">On Sept. 10, 2019, in </w:t>
      </w:r>
      <w:r w:rsidRPr="007B6BCD">
        <w:rPr>
          <w:rFonts w:ascii="Times New Roman" w:hAnsi="Times New Roman"/>
          <w:sz w:val="24"/>
          <w:szCs w:val="24"/>
          <w:u w:val="single"/>
        </w:rPr>
        <w:t xml:space="preserve">In </w:t>
      </w:r>
      <w:proofErr w:type="gramStart"/>
      <w:r w:rsidRPr="007B6BCD">
        <w:rPr>
          <w:rFonts w:ascii="Times New Roman" w:hAnsi="Times New Roman"/>
          <w:sz w:val="24"/>
          <w:szCs w:val="24"/>
          <w:u w:val="single"/>
        </w:rPr>
        <w:t>The</w:t>
      </w:r>
      <w:proofErr w:type="gramEnd"/>
      <w:r>
        <w:rPr>
          <w:rFonts w:ascii="Times New Roman" w:hAnsi="Times New Roman"/>
          <w:sz w:val="24"/>
          <w:szCs w:val="24"/>
          <w:u w:val="single"/>
        </w:rPr>
        <w:t xml:space="preserve"> </w:t>
      </w:r>
      <w:r w:rsidRPr="007B6BCD">
        <w:rPr>
          <w:rFonts w:ascii="Times New Roman" w:hAnsi="Times New Roman"/>
          <w:sz w:val="24"/>
          <w:szCs w:val="24"/>
          <w:u w:val="single"/>
        </w:rPr>
        <w:t>Interest Of: J.J.M, A Minor</w:t>
      </w:r>
      <w:r w:rsidRPr="007B6BCD">
        <w:rPr>
          <w:rFonts w:ascii="Times New Roman" w:hAnsi="Times New Roman"/>
          <w:sz w:val="24"/>
          <w:szCs w:val="24"/>
        </w:rPr>
        <w:t xml:space="preserve">, </w:t>
      </w:r>
      <w:r>
        <w:rPr>
          <w:rFonts w:ascii="Times New Roman" w:hAnsi="Times New Roman"/>
          <w:sz w:val="24"/>
          <w:szCs w:val="24"/>
        </w:rPr>
        <w:t xml:space="preserve">the Superior Court of Pennsylvania, </w:t>
      </w:r>
      <w:r w:rsidRPr="007B6BCD">
        <w:rPr>
          <w:rFonts w:ascii="Times New Roman" w:hAnsi="Times New Roman"/>
          <w:sz w:val="24"/>
          <w:szCs w:val="24"/>
        </w:rPr>
        <w:t>2019 PA Super 277</w:t>
      </w:r>
      <w:r>
        <w:rPr>
          <w:rFonts w:ascii="Times New Roman" w:hAnsi="Times New Roman"/>
          <w:sz w:val="24"/>
          <w:szCs w:val="24"/>
        </w:rPr>
        <w:t xml:space="preserve">, upheld (3 to 0) the Juvenile Court judge’s finding of “delinquency adjudication for terrorist threats.”  </w:t>
      </w:r>
    </w:p>
    <w:p w14:paraId="40ECD149" w14:textId="77777777" w:rsidR="00715CF2" w:rsidRPr="007B6BCD" w:rsidRDefault="00715CF2" w:rsidP="00715CF2">
      <w:pPr>
        <w:rPr>
          <w:rFonts w:ascii="Times New Roman" w:hAnsi="Times New Roman"/>
          <w:sz w:val="24"/>
          <w:szCs w:val="24"/>
        </w:rPr>
      </w:pPr>
      <w:r>
        <w:tab/>
      </w:r>
      <w:r w:rsidRPr="007B6BCD">
        <w:rPr>
          <w:rFonts w:ascii="Times New Roman" w:hAnsi="Times New Roman"/>
          <w:sz w:val="24"/>
          <w:szCs w:val="24"/>
        </w:rPr>
        <w:t xml:space="preserve">Judge Mary Jane Bowles wrote: </w:t>
      </w:r>
    </w:p>
    <w:p w14:paraId="3692971E" w14:textId="0665E884" w:rsidR="00A247E4" w:rsidRPr="007B6BCD" w:rsidRDefault="00715CF2" w:rsidP="00715CF2">
      <w:pPr>
        <w:ind w:left="1440"/>
        <w:rPr>
          <w:rFonts w:ascii="Times New Roman" w:hAnsi="Times New Roman"/>
          <w:sz w:val="24"/>
          <w:szCs w:val="24"/>
        </w:rPr>
      </w:pPr>
      <w:r>
        <w:rPr>
          <w:rFonts w:ascii="Times New Roman" w:hAnsi="Times New Roman"/>
          <w:sz w:val="24"/>
          <w:szCs w:val="24"/>
        </w:rPr>
        <w:t>“</w:t>
      </w:r>
      <w:r w:rsidRPr="007B6BCD">
        <w:rPr>
          <w:rFonts w:ascii="Times New Roman" w:hAnsi="Times New Roman"/>
          <w:sz w:val="24"/>
          <w:szCs w:val="24"/>
        </w:rPr>
        <w:t xml:space="preserve">Appellant’s statement was uttered six days after seventeen victims were killed at Marjory Stoneman Douglas High School in Parkland, Florida, eclipsing the Columbine High School shooting as the </w:t>
      </w:r>
      <w:proofErr w:type="gramStart"/>
      <w:r w:rsidRPr="007B6BCD">
        <w:rPr>
          <w:rFonts w:ascii="Times New Roman" w:hAnsi="Times New Roman"/>
          <w:sz w:val="24"/>
          <w:szCs w:val="24"/>
        </w:rPr>
        <w:t>most</w:t>
      </w:r>
      <w:r>
        <w:rPr>
          <w:rFonts w:ascii="Times New Roman" w:hAnsi="Times New Roman"/>
          <w:sz w:val="24"/>
          <w:szCs w:val="24"/>
        </w:rPr>
        <w:t xml:space="preserve"> </w:t>
      </w:r>
      <w:r w:rsidRPr="007B6BCD">
        <w:rPr>
          <w:rFonts w:ascii="Times New Roman" w:hAnsi="Times New Roman"/>
          <w:sz w:val="24"/>
          <w:szCs w:val="24"/>
        </w:rPr>
        <w:t>deadly</w:t>
      </w:r>
      <w:proofErr w:type="gramEnd"/>
      <w:r w:rsidRPr="007B6BCD">
        <w:rPr>
          <w:rFonts w:ascii="Times New Roman" w:hAnsi="Times New Roman"/>
          <w:sz w:val="24"/>
          <w:szCs w:val="24"/>
        </w:rPr>
        <w:t xml:space="preserve"> high school shooting in United States history.</w:t>
      </w:r>
      <w:r w:rsidR="00A247E4">
        <w:rPr>
          <w:rFonts w:ascii="Times New Roman" w:hAnsi="Times New Roman"/>
          <w:sz w:val="24"/>
          <w:szCs w:val="24"/>
        </w:rPr>
        <w:t xml:space="preserve"> *** </w:t>
      </w:r>
      <w:r w:rsidRPr="007B6BCD">
        <w:rPr>
          <w:rFonts w:ascii="Times New Roman" w:hAnsi="Times New Roman"/>
          <w:sz w:val="24"/>
          <w:szCs w:val="24"/>
        </w:rPr>
        <w:t xml:space="preserve">Further, we </w:t>
      </w:r>
      <w:r w:rsidRPr="007B6BCD">
        <w:rPr>
          <w:rFonts w:ascii="Times New Roman" w:hAnsi="Times New Roman"/>
          <w:sz w:val="24"/>
          <w:szCs w:val="24"/>
        </w:rPr>
        <w:lastRenderedPageBreak/>
        <w:t>conclude that the evidence sufficiently established that Appellant made his threat with reckless disregard for the risk that it would cause</w:t>
      </w:r>
      <w:r>
        <w:rPr>
          <w:rFonts w:ascii="Times New Roman" w:hAnsi="Times New Roman"/>
          <w:sz w:val="24"/>
          <w:szCs w:val="24"/>
        </w:rPr>
        <w:t xml:space="preserve"> </w:t>
      </w:r>
      <w:r w:rsidRPr="007B6BCD">
        <w:rPr>
          <w:rFonts w:ascii="Times New Roman" w:hAnsi="Times New Roman"/>
          <w:sz w:val="24"/>
          <w:szCs w:val="24"/>
        </w:rPr>
        <w:t>terror. Again, the facts are that, while the news was dominated by the deadliest high</w:t>
      </w:r>
      <w:r>
        <w:rPr>
          <w:rFonts w:ascii="Times New Roman" w:hAnsi="Times New Roman"/>
          <w:sz w:val="24"/>
          <w:szCs w:val="24"/>
        </w:rPr>
        <w:t xml:space="preserve"> </w:t>
      </w:r>
      <w:r w:rsidRPr="007B6BCD">
        <w:rPr>
          <w:rFonts w:ascii="Times New Roman" w:hAnsi="Times New Roman"/>
          <w:sz w:val="24"/>
          <w:szCs w:val="24"/>
        </w:rPr>
        <w:t>school shooting in this country’s history, Appellant proclaimed</w:t>
      </w:r>
      <w:r>
        <w:rPr>
          <w:rFonts w:ascii="Times New Roman" w:hAnsi="Times New Roman"/>
          <w:sz w:val="24"/>
          <w:szCs w:val="24"/>
        </w:rPr>
        <w:t xml:space="preserve"> </w:t>
      </w:r>
      <w:r w:rsidRPr="007B6BCD">
        <w:rPr>
          <w:rFonts w:ascii="Times New Roman" w:hAnsi="Times New Roman"/>
          <w:sz w:val="24"/>
          <w:szCs w:val="24"/>
        </w:rPr>
        <w:t xml:space="preserve">in a high school hallway, between classes, loud enough for other students to hear, that he wanted to </w:t>
      </w:r>
      <w:r>
        <w:rPr>
          <w:rFonts w:ascii="Times New Roman" w:hAnsi="Times New Roman"/>
          <w:sz w:val="24"/>
          <w:szCs w:val="24"/>
        </w:rPr>
        <w:t>‘</w:t>
      </w:r>
      <w:r w:rsidRPr="007B6BCD">
        <w:rPr>
          <w:rFonts w:ascii="Times New Roman" w:hAnsi="Times New Roman"/>
          <w:sz w:val="24"/>
          <w:szCs w:val="24"/>
        </w:rPr>
        <w:t xml:space="preserve">beat the record </w:t>
      </w:r>
      <w:r w:rsidRPr="007B6BCD">
        <w:rPr>
          <w:rStyle w:val="highlight"/>
          <w:rFonts w:ascii="Times New Roman" w:hAnsi="Times New Roman"/>
          <w:sz w:val="24"/>
          <w:szCs w:val="24"/>
        </w:rPr>
        <w:t>of</w:t>
      </w:r>
      <w:r w:rsidRPr="007B6BCD">
        <w:rPr>
          <w:rFonts w:ascii="Times New Roman" w:hAnsi="Times New Roman"/>
          <w:sz w:val="24"/>
          <w:szCs w:val="24"/>
        </w:rPr>
        <w:t xml:space="preserve"> 19.</w:t>
      </w:r>
      <w:r>
        <w:rPr>
          <w:rFonts w:ascii="Times New Roman" w:hAnsi="Times New Roman"/>
          <w:sz w:val="24"/>
          <w:szCs w:val="24"/>
        </w:rPr>
        <w:t xml:space="preserve">’ </w:t>
      </w:r>
      <w:r w:rsidRPr="007B6BCD">
        <w:rPr>
          <w:rFonts w:ascii="Times New Roman" w:hAnsi="Times New Roman"/>
          <w:sz w:val="24"/>
          <w:szCs w:val="24"/>
        </w:rPr>
        <w:t xml:space="preserve">We do not hesitate to conclude that Appellant consciously disregarded a substantial and unjustifiable risk that his threat would terrorize his fellow students. See18 </w:t>
      </w:r>
      <w:proofErr w:type="spellStart"/>
      <w:r w:rsidRPr="007B6BCD">
        <w:rPr>
          <w:rFonts w:ascii="Times New Roman" w:hAnsi="Times New Roman"/>
          <w:sz w:val="24"/>
          <w:szCs w:val="24"/>
        </w:rPr>
        <w:t>Pa.C.S</w:t>
      </w:r>
      <w:proofErr w:type="spellEnd"/>
      <w:r w:rsidRPr="007B6BCD">
        <w:rPr>
          <w:rFonts w:ascii="Times New Roman" w:hAnsi="Times New Roman"/>
          <w:sz w:val="24"/>
          <w:szCs w:val="24"/>
        </w:rPr>
        <w:t>. §302(a)(3) (defining recklessness).</w:t>
      </w:r>
      <w:r>
        <w:rPr>
          <w:rFonts w:ascii="Times New Roman" w:hAnsi="Times New Roman"/>
          <w:sz w:val="24"/>
          <w:szCs w:val="24"/>
        </w:rPr>
        <w:t>”</w:t>
      </w:r>
      <w:r w:rsidR="00A247E4">
        <w:rPr>
          <w:rFonts w:ascii="Times New Roman" w:hAnsi="Times New Roman"/>
          <w:sz w:val="24"/>
          <w:szCs w:val="24"/>
        </w:rPr>
        <w:t xml:space="preserve"> </w:t>
      </w:r>
      <w:hyperlink r:id="rId837" w:anchor="search=%22Interest%20of%20J.M.%22" w:history="1">
        <w:r w:rsidR="00A247E4" w:rsidRPr="00231BDB">
          <w:rPr>
            <w:rStyle w:val="Hyperlink"/>
            <w:rFonts w:ascii="Times New Roman" w:hAnsi="Times New Roman"/>
            <w:sz w:val="24"/>
            <w:szCs w:val="24"/>
          </w:rPr>
          <w:t>http://www.pacourts.us/assets/opinions/Superior/out/j-s12006-19o%20-%2010413599977313050.pdf#search=%22Interest%20of%20J.M.%22</w:t>
        </w:r>
      </w:hyperlink>
    </w:p>
    <w:p w14:paraId="485E49DB" w14:textId="77777777" w:rsidR="00715CF2" w:rsidRPr="007B6BCD" w:rsidRDefault="00715CF2" w:rsidP="00715CF2">
      <w:pPr>
        <w:pStyle w:val="NoSpacing"/>
        <w:rPr>
          <w:rFonts w:ascii="Times New Roman" w:hAnsi="Times New Roman"/>
          <w:sz w:val="24"/>
          <w:szCs w:val="24"/>
        </w:rPr>
      </w:pPr>
    </w:p>
    <w:p w14:paraId="64442DEC" w14:textId="77777777" w:rsidR="00715CF2" w:rsidRPr="009D3D13" w:rsidRDefault="00715CF2" w:rsidP="00715CF2">
      <w:pPr>
        <w:pStyle w:val="NoSpacing"/>
      </w:pPr>
      <w:r w:rsidRPr="00CA0C9B">
        <w:rPr>
          <w:rFonts w:ascii="Times New Roman" w:hAnsi="Times New Roman"/>
          <w:b/>
          <w:bCs/>
          <w:sz w:val="24"/>
          <w:szCs w:val="24"/>
        </w:rPr>
        <w:t xml:space="preserve">Legal Lessons Learned:  Great decision – school administrators need to repeatedly remind students to report any threatening behavior.  See 9/12.2019 article on this case: “Court: Student's Claim to Want to 'Beat the Record' Following Parkland Shooting Was Terroristic Threat.” </w:t>
      </w:r>
      <w:hyperlink r:id="rId838" w:history="1">
        <w:r w:rsidRPr="00C512BA">
          <w:rPr>
            <w:rStyle w:val="Hyperlink"/>
          </w:rPr>
          <w:t>https://www.law.com/thelegalintelligencer/2019/09/12/court-students-claim-to-want-to-beat-the-record-following-parkland-shooting-was-terroristic-threat/</w:t>
        </w:r>
      </w:hyperlink>
    </w:p>
    <w:p w14:paraId="26A2AEFF" w14:textId="77777777" w:rsidR="00715CF2" w:rsidRDefault="00715CF2" w:rsidP="00715CF2">
      <w:pPr>
        <w:rPr>
          <w:rFonts w:ascii="Arial Black" w:hAnsi="Arial Black"/>
          <w:color w:val="4A4A4A"/>
          <w:sz w:val="24"/>
          <w:szCs w:val="24"/>
          <w:lang w:val="en"/>
        </w:rPr>
      </w:pPr>
    </w:p>
    <w:bookmarkEnd w:id="158"/>
    <w:p w14:paraId="1AE2F854" w14:textId="77777777" w:rsidR="00715CF2" w:rsidRDefault="00715CF2" w:rsidP="00EF1133">
      <w:pPr>
        <w:rPr>
          <w:rFonts w:ascii="Arial Black" w:hAnsi="Arial Black"/>
          <w:color w:val="4A4A4A"/>
          <w:sz w:val="24"/>
          <w:szCs w:val="24"/>
          <w:lang w:val="en"/>
        </w:rPr>
      </w:pPr>
    </w:p>
    <w:p w14:paraId="5F193AB3" w14:textId="41CC64B7" w:rsidR="009F0F05" w:rsidRDefault="00D07E6E" w:rsidP="00EF1133">
      <w:pPr>
        <w:rPr>
          <w:rFonts w:ascii="Arial Black" w:hAnsi="Arial Black"/>
          <w:color w:val="4A4A4A"/>
          <w:sz w:val="24"/>
          <w:szCs w:val="24"/>
          <w:lang w:val="en"/>
        </w:rPr>
      </w:pPr>
      <w:r>
        <w:rPr>
          <w:rFonts w:ascii="Arial Black" w:hAnsi="Arial Black"/>
          <w:color w:val="4A4A4A"/>
          <w:sz w:val="24"/>
          <w:szCs w:val="24"/>
          <w:lang w:val="en"/>
        </w:rPr>
        <w:t>3-1</w:t>
      </w:r>
      <w:r w:rsidR="00A247E4">
        <w:rPr>
          <w:rFonts w:ascii="Arial Black" w:hAnsi="Arial Black"/>
          <w:color w:val="4A4A4A"/>
          <w:sz w:val="24"/>
          <w:szCs w:val="24"/>
          <w:lang w:val="en"/>
        </w:rPr>
        <w:t>2</w:t>
      </w:r>
    </w:p>
    <w:p w14:paraId="0F46A8EB" w14:textId="77777777" w:rsidR="00660046" w:rsidRPr="00660046" w:rsidRDefault="00660046" w:rsidP="00EF1133">
      <w:pPr>
        <w:rPr>
          <w:rFonts w:ascii="Arial Black" w:hAnsi="Arial Black" w:cs="Arial"/>
          <w:sz w:val="28"/>
          <w:szCs w:val="28"/>
        </w:rPr>
      </w:pPr>
      <w:bookmarkStart w:id="159" w:name="_Hlk25925579"/>
      <w:r w:rsidRPr="00660046">
        <w:rPr>
          <w:rFonts w:ascii="Arial Black" w:hAnsi="Arial Black" w:cs="Arial"/>
          <w:sz w:val="28"/>
          <w:szCs w:val="28"/>
        </w:rPr>
        <w:t>NY: 2nd CIRCUIT – DEPORTATION OF OUTSPOKEN ACTIVIST SUSPENDED - “OUTRAGEOUS COMMENTS” BY ICE DIRECTOR</w:t>
      </w:r>
    </w:p>
    <w:p w14:paraId="7001B6D0" w14:textId="01E95A19" w:rsidR="009F0F05" w:rsidRPr="0036327D" w:rsidRDefault="00660046" w:rsidP="00EF1133">
      <w:pPr>
        <w:rPr>
          <w:rFonts w:ascii="Times New Roman" w:hAnsi="Times New Roman"/>
          <w:color w:val="4A4A4A"/>
          <w:sz w:val="24"/>
          <w:szCs w:val="24"/>
          <w:lang w:val="en"/>
        </w:rPr>
      </w:pPr>
      <w:r w:rsidRPr="0036327D">
        <w:rPr>
          <w:rFonts w:ascii="Times New Roman" w:hAnsi="Times New Roman"/>
          <w:sz w:val="24"/>
          <w:szCs w:val="24"/>
        </w:rPr>
        <w:t xml:space="preserve">On April 25, 2019, in </w:t>
      </w:r>
      <w:proofErr w:type="spellStart"/>
      <w:r w:rsidRPr="0036327D">
        <w:rPr>
          <w:rFonts w:ascii="Times New Roman" w:hAnsi="Times New Roman"/>
          <w:sz w:val="24"/>
          <w:szCs w:val="24"/>
        </w:rPr>
        <w:t>Ravidath</w:t>
      </w:r>
      <w:proofErr w:type="spellEnd"/>
      <w:r w:rsidRPr="0036327D">
        <w:rPr>
          <w:rFonts w:ascii="Times New Roman" w:hAnsi="Times New Roman"/>
          <w:sz w:val="24"/>
          <w:szCs w:val="24"/>
        </w:rPr>
        <w:t xml:space="preserve"> Ragbir v. Thomas D. Homan, Director of ICE, the U.S. Court of Appeals for 2ndCircuit, held (2 to 1) that deportation order is suspended of the outspoken Executive Director of the New Sanctuary Coalition (which works to protect New York immigrant families from deportation). Congress cannot deprive federal courts of power to hold habeas corpus hearings when there is alleged violation of free speech under First Amendment. “To allow this retaliatory conduct to proceed would broadly chill protected speech, among not only activists subject to final orders of deportation but also those citizens and other residents who would fear retaliation against others. In short, the Government’s alleged conduct plausibly fits within the ‘outrageous [ness]’ exception to AADC.” </w:t>
      </w:r>
      <w:hyperlink r:id="rId839" w:history="1">
        <w:r w:rsidRPr="0036327D">
          <w:rPr>
            <w:rStyle w:val="Hyperlink"/>
            <w:rFonts w:ascii="Times New Roman" w:hAnsi="Times New Roman"/>
            <w:sz w:val="24"/>
            <w:szCs w:val="24"/>
          </w:rPr>
          <w:t>https://cases.justia.com/federal/appellate-courts/ca2/18-1597/18-1597-2019-04-25.pdf?ts=1556202606</w:t>
        </w:r>
      </w:hyperlink>
      <w:r w:rsidRPr="0036327D">
        <w:rPr>
          <w:rFonts w:ascii="Times New Roman" w:hAnsi="Times New Roman"/>
          <w:sz w:val="24"/>
          <w:szCs w:val="24"/>
        </w:rPr>
        <w:t xml:space="preserve"> </w:t>
      </w:r>
    </w:p>
    <w:p w14:paraId="2D3B4CAA" w14:textId="77777777" w:rsidR="00660046" w:rsidRPr="0036327D" w:rsidRDefault="00660046" w:rsidP="00EF1133">
      <w:pPr>
        <w:rPr>
          <w:rFonts w:ascii="Times New Roman" w:hAnsi="Times New Roman"/>
          <w:b/>
          <w:bCs/>
          <w:sz w:val="24"/>
          <w:szCs w:val="24"/>
        </w:rPr>
      </w:pPr>
      <w:r w:rsidRPr="0036327D">
        <w:rPr>
          <w:rFonts w:ascii="Times New Roman" w:hAnsi="Times New Roman"/>
          <w:b/>
          <w:bCs/>
          <w:sz w:val="24"/>
          <w:szCs w:val="24"/>
        </w:rPr>
        <w:t xml:space="preserve">Legal Lessons Learned: Inappropriate comments by governmental officials can be viewed as deprivation of Constitutional rights of individuals. </w:t>
      </w:r>
    </w:p>
    <w:p w14:paraId="6FDE3292" w14:textId="619011AE" w:rsidR="00660046" w:rsidRPr="0036327D" w:rsidRDefault="00660046" w:rsidP="00715CF2">
      <w:pPr>
        <w:ind w:left="720"/>
        <w:rPr>
          <w:rFonts w:ascii="Times New Roman" w:hAnsi="Times New Roman"/>
          <w:color w:val="4A4A4A"/>
          <w:sz w:val="24"/>
          <w:szCs w:val="24"/>
          <w:lang w:val="en"/>
        </w:rPr>
      </w:pPr>
      <w:r w:rsidRPr="0036327D">
        <w:rPr>
          <w:rFonts w:ascii="Times New Roman" w:hAnsi="Times New Roman"/>
          <w:sz w:val="24"/>
          <w:szCs w:val="24"/>
        </w:rPr>
        <w:t xml:space="preserve">See article about the decision: “Split 2nd Circuit Panel Finds ‘Outrageous’ ICE Conduct Revives Activist’s Removal Suit.” </w:t>
      </w:r>
      <w:hyperlink r:id="rId840" w:history="1">
        <w:r w:rsidRPr="0036327D">
          <w:rPr>
            <w:rStyle w:val="Hyperlink"/>
            <w:rFonts w:ascii="Times New Roman" w:hAnsi="Times New Roman"/>
            <w:sz w:val="24"/>
            <w:szCs w:val="24"/>
          </w:rPr>
          <w:t>https://www.law.com/newyorklawjournal/2019/04/25/split-2nd-circuit-panel-finds-outrageous-ice-conduct-revives-activists-removal-suit/</w:t>
        </w:r>
      </w:hyperlink>
      <w:r w:rsidRPr="0036327D">
        <w:rPr>
          <w:rFonts w:ascii="Times New Roman" w:hAnsi="Times New Roman"/>
          <w:sz w:val="24"/>
          <w:szCs w:val="24"/>
        </w:rPr>
        <w:t xml:space="preserve"> </w:t>
      </w:r>
    </w:p>
    <w:bookmarkEnd w:id="159"/>
    <w:p w14:paraId="28D7E50B" w14:textId="77777777" w:rsidR="00660046" w:rsidRDefault="00660046" w:rsidP="00EF1133">
      <w:pPr>
        <w:rPr>
          <w:rFonts w:ascii="Arial Black" w:hAnsi="Arial Black"/>
          <w:color w:val="4A4A4A"/>
          <w:sz w:val="24"/>
          <w:szCs w:val="24"/>
          <w:lang w:val="en"/>
        </w:rPr>
      </w:pPr>
    </w:p>
    <w:p w14:paraId="3B4CB980" w14:textId="58F5464E" w:rsidR="00660046" w:rsidRDefault="00660046" w:rsidP="00EF1133">
      <w:pPr>
        <w:rPr>
          <w:rFonts w:ascii="Arial Black" w:hAnsi="Arial Black"/>
          <w:color w:val="4A4A4A"/>
          <w:sz w:val="24"/>
          <w:szCs w:val="24"/>
          <w:lang w:val="en"/>
        </w:rPr>
      </w:pPr>
      <w:r>
        <w:rPr>
          <w:rFonts w:ascii="Arial Black" w:hAnsi="Arial Black"/>
          <w:color w:val="4A4A4A"/>
          <w:sz w:val="24"/>
          <w:szCs w:val="24"/>
          <w:lang w:val="en"/>
        </w:rPr>
        <w:t>3-1</w:t>
      </w:r>
      <w:r w:rsidR="00A247E4">
        <w:rPr>
          <w:rFonts w:ascii="Arial Black" w:hAnsi="Arial Black"/>
          <w:color w:val="4A4A4A"/>
          <w:sz w:val="24"/>
          <w:szCs w:val="24"/>
          <w:lang w:val="en"/>
        </w:rPr>
        <w:t>1</w:t>
      </w:r>
    </w:p>
    <w:p w14:paraId="7D02F5E3" w14:textId="77777777" w:rsidR="00660046" w:rsidRPr="00660046" w:rsidRDefault="00660046" w:rsidP="00EF1133">
      <w:pPr>
        <w:rPr>
          <w:rFonts w:ascii="Arial Black" w:hAnsi="Arial Black" w:cs="Arial"/>
          <w:sz w:val="28"/>
          <w:szCs w:val="28"/>
        </w:rPr>
      </w:pPr>
      <w:bookmarkStart w:id="160" w:name="_Hlk25925648"/>
      <w:r w:rsidRPr="00660046">
        <w:rPr>
          <w:rFonts w:ascii="Arial Black" w:hAnsi="Arial Black" w:cs="Arial"/>
          <w:sz w:val="28"/>
          <w:szCs w:val="28"/>
        </w:rPr>
        <w:lastRenderedPageBreak/>
        <w:t xml:space="preserve">CT: WIDOW OF 9/11 VICTIM AT WORLD TRADE CENTER – $1.2 MILLIONFED. FUNDS DAUGHTER – WIDOW CONTROLS – NOT PROBATE COURT </w:t>
      </w:r>
    </w:p>
    <w:p w14:paraId="6E102EB2" w14:textId="7ECC8D92" w:rsidR="00660046" w:rsidRPr="0036327D" w:rsidRDefault="00660046" w:rsidP="00EF1133">
      <w:pPr>
        <w:rPr>
          <w:rFonts w:ascii="Times New Roman" w:hAnsi="Times New Roman"/>
          <w:color w:val="4A4A4A"/>
          <w:sz w:val="24"/>
          <w:szCs w:val="24"/>
          <w:lang w:val="en"/>
        </w:rPr>
      </w:pPr>
      <w:r w:rsidRPr="0036327D">
        <w:rPr>
          <w:rFonts w:ascii="Times New Roman" w:hAnsi="Times New Roman"/>
          <w:sz w:val="24"/>
          <w:szCs w:val="24"/>
        </w:rPr>
        <w:t xml:space="preserve">On April 16, 2019, in Carolyne Y. Hynes v. Sharon M. Jones, the Connecticut Supreme Court (7 to 0) held that the widow had full control of the federal dollars paid to her daughter, and did not need Probate Court guardian ad litem approval for spending of these </w:t>
      </w:r>
      <w:proofErr w:type="spellStart"/>
      <w:r w:rsidRPr="0036327D">
        <w:rPr>
          <w:rFonts w:ascii="Times New Roman" w:hAnsi="Times New Roman"/>
          <w:sz w:val="24"/>
          <w:szCs w:val="24"/>
        </w:rPr>
        <w:t>funds.“We</w:t>
      </w:r>
      <w:proofErr w:type="spellEnd"/>
      <w:r w:rsidRPr="0036327D">
        <w:rPr>
          <w:rFonts w:ascii="Times New Roman" w:hAnsi="Times New Roman"/>
          <w:sz w:val="24"/>
          <w:szCs w:val="24"/>
        </w:rPr>
        <w:t xml:space="preserve"> conclude that our state statutes did not grant the Probate Court jurisdiction to monitor the plaintiff’s use of the fund award or to prohibit the plaintiff from using that award in the absence of that court’s approval.” </w:t>
      </w:r>
      <w:hyperlink r:id="rId841" w:history="1">
        <w:r w:rsidRPr="0036327D">
          <w:rPr>
            <w:rStyle w:val="Hyperlink"/>
            <w:rFonts w:ascii="Times New Roman" w:hAnsi="Times New Roman"/>
            <w:sz w:val="24"/>
            <w:szCs w:val="24"/>
          </w:rPr>
          <w:t>https://cases.justia.com/connecticut/supreme-court/2019-sc20009.pdf?ts=1554984045</w:t>
        </w:r>
      </w:hyperlink>
      <w:r w:rsidRPr="0036327D">
        <w:rPr>
          <w:rFonts w:ascii="Times New Roman" w:hAnsi="Times New Roman"/>
          <w:sz w:val="24"/>
          <w:szCs w:val="24"/>
        </w:rPr>
        <w:t xml:space="preserve"> </w:t>
      </w:r>
    </w:p>
    <w:p w14:paraId="20CBFBC7" w14:textId="6D5D11AA" w:rsidR="00660046" w:rsidRPr="0036327D" w:rsidRDefault="00660046" w:rsidP="00EF1133">
      <w:pPr>
        <w:rPr>
          <w:rFonts w:ascii="Times New Roman" w:hAnsi="Times New Roman"/>
          <w:b/>
          <w:bCs/>
          <w:color w:val="4A4A4A"/>
          <w:sz w:val="24"/>
          <w:szCs w:val="24"/>
          <w:lang w:val="en"/>
        </w:rPr>
      </w:pPr>
      <w:r w:rsidRPr="0036327D">
        <w:rPr>
          <w:rFonts w:ascii="Times New Roman" w:hAnsi="Times New Roman"/>
          <w:b/>
          <w:bCs/>
          <w:sz w:val="24"/>
          <w:szCs w:val="24"/>
        </w:rPr>
        <w:t xml:space="preserve">Legal Lessons Learned: Widow now has full discretion on how to spend funds granted to her minor child. </w:t>
      </w:r>
    </w:p>
    <w:bookmarkEnd w:id="160"/>
    <w:p w14:paraId="7F20CE4D" w14:textId="0C047440" w:rsidR="00660046" w:rsidRDefault="00660046" w:rsidP="00EF1133">
      <w:pPr>
        <w:rPr>
          <w:rFonts w:ascii="Arial Black" w:hAnsi="Arial Black"/>
          <w:color w:val="4A4A4A"/>
          <w:sz w:val="24"/>
          <w:szCs w:val="24"/>
          <w:lang w:val="en"/>
        </w:rPr>
      </w:pPr>
    </w:p>
    <w:p w14:paraId="21EC686F" w14:textId="77777777" w:rsidR="009C4A80" w:rsidRDefault="009C4A80" w:rsidP="00EF1133">
      <w:pPr>
        <w:rPr>
          <w:rFonts w:ascii="Arial Black" w:hAnsi="Arial Black"/>
          <w:color w:val="4A4A4A"/>
          <w:sz w:val="24"/>
          <w:szCs w:val="24"/>
          <w:lang w:val="en"/>
        </w:rPr>
      </w:pPr>
    </w:p>
    <w:p w14:paraId="0F29F433" w14:textId="43058EAB" w:rsidR="00EF1133" w:rsidRDefault="00EF1133" w:rsidP="00EF1133">
      <w:pPr>
        <w:rPr>
          <w:rFonts w:ascii="Arial Black" w:hAnsi="Arial Black"/>
          <w:sz w:val="28"/>
          <w:szCs w:val="28"/>
        </w:rPr>
      </w:pPr>
      <w:r w:rsidRPr="00EF1133">
        <w:rPr>
          <w:rFonts w:ascii="Arial Black" w:hAnsi="Arial Black"/>
          <w:color w:val="4A4A4A"/>
          <w:sz w:val="24"/>
          <w:szCs w:val="24"/>
          <w:lang w:val="en"/>
        </w:rPr>
        <w:t>3-</w:t>
      </w:r>
      <w:r w:rsidR="00A247E4">
        <w:rPr>
          <w:rFonts w:ascii="Arial Black" w:hAnsi="Arial Black"/>
          <w:color w:val="4A4A4A"/>
          <w:sz w:val="24"/>
          <w:szCs w:val="24"/>
          <w:lang w:val="en"/>
        </w:rPr>
        <w:t>10</w:t>
      </w:r>
    </w:p>
    <w:p w14:paraId="00D56E3E" w14:textId="09800419" w:rsidR="00F326E5" w:rsidRDefault="00F326E5" w:rsidP="00F326E5">
      <w:pPr>
        <w:pStyle w:val="NoSpacing"/>
        <w:rPr>
          <w:rFonts w:ascii="OnTimes New Roman" w:hAnsi="OnTimes New Roman"/>
          <w:sz w:val="24"/>
          <w:szCs w:val="24"/>
        </w:rPr>
      </w:pPr>
      <w:bookmarkStart w:id="161" w:name="_Hlk25926365"/>
      <w:r w:rsidRPr="00CA1140">
        <w:rPr>
          <w:rFonts w:ascii="Arial Black" w:hAnsi="Arial Black"/>
          <w:sz w:val="28"/>
          <w:szCs w:val="28"/>
        </w:rPr>
        <w:t xml:space="preserve">CT: </w:t>
      </w:r>
      <w:r>
        <w:rPr>
          <w:rFonts w:ascii="Arial Black" w:hAnsi="Arial Black"/>
          <w:sz w:val="28"/>
          <w:szCs w:val="28"/>
        </w:rPr>
        <w:t xml:space="preserve">SANDY HOOK ELEMENTARY SCHOOL - LAWSUITS MAY PROCEED / VIOLENT ADS BY GUN MFG. </w:t>
      </w:r>
    </w:p>
    <w:p w14:paraId="6A60DF8D" w14:textId="77777777" w:rsidR="009C4A80" w:rsidRDefault="00F326E5" w:rsidP="00F326E5">
      <w:pPr>
        <w:pStyle w:val="NoSpacing"/>
        <w:rPr>
          <w:rFonts w:ascii="Times New Roman" w:hAnsi="Times New Roman"/>
          <w:sz w:val="24"/>
          <w:szCs w:val="24"/>
        </w:rPr>
      </w:pPr>
      <w:r w:rsidRPr="0036327D">
        <w:rPr>
          <w:rFonts w:ascii="Times New Roman" w:hAnsi="Times New Roman"/>
          <w:sz w:val="24"/>
          <w:szCs w:val="24"/>
        </w:rPr>
        <w:t xml:space="preserve">On March 14, </w:t>
      </w:r>
      <w:proofErr w:type="gramStart"/>
      <w:r w:rsidRPr="0036327D">
        <w:rPr>
          <w:rFonts w:ascii="Times New Roman" w:hAnsi="Times New Roman"/>
          <w:sz w:val="24"/>
          <w:szCs w:val="24"/>
        </w:rPr>
        <w:t>2019</w:t>
      </w:r>
      <w:proofErr w:type="gramEnd"/>
      <w:r w:rsidRPr="0036327D">
        <w:rPr>
          <w:rFonts w:ascii="Times New Roman" w:hAnsi="Times New Roman"/>
          <w:sz w:val="24"/>
          <w:szCs w:val="24"/>
        </w:rPr>
        <w:t xml:space="preserve"> in </w:t>
      </w:r>
      <w:r w:rsidRPr="0036327D">
        <w:rPr>
          <w:rFonts w:ascii="Times New Roman" w:hAnsi="Times New Roman"/>
          <w:sz w:val="24"/>
          <w:szCs w:val="24"/>
          <w:u w:val="single"/>
        </w:rPr>
        <w:t>Donna L. Soto, Administratrix (Estate of Victoria L. Soto), et al. v. Bushmaster Firearms International, et al</w:t>
      </w:r>
      <w:r w:rsidRPr="0036327D">
        <w:rPr>
          <w:rFonts w:ascii="Times New Roman" w:hAnsi="Times New Roman"/>
          <w:sz w:val="24"/>
          <w:szCs w:val="24"/>
        </w:rPr>
        <w:t xml:space="preserve">., the Connecticut Supreme Court (4 to 3) reinstated the lawsuit brought by families of nine of the 20 children and six adults killed in the elementary school.  The Court held: </w:t>
      </w:r>
    </w:p>
    <w:p w14:paraId="71B3EB6F" w14:textId="77777777" w:rsidR="009C4A80" w:rsidRDefault="009C4A80" w:rsidP="00F326E5">
      <w:pPr>
        <w:pStyle w:val="NoSpacing"/>
        <w:rPr>
          <w:rFonts w:ascii="Times New Roman" w:hAnsi="Times New Roman"/>
          <w:sz w:val="24"/>
          <w:szCs w:val="24"/>
        </w:rPr>
      </w:pPr>
    </w:p>
    <w:p w14:paraId="7EE3F410" w14:textId="7674AA65" w:rsidR="00F326E5" w:rsidRPr="0036327D" w:rsidRDefault="00F326E5" w:rsidP="009C4A80">
      <w:pPr>
        <w:pStyle w:val="NoSpacing"/>
        <w:ind w:left="720"/>
        <w:rPr>
          <w:rStyle w:val="Hyperlink"/>
          <w:rFonts w:ascii="Times New Roman" w:hAnsi="Times New Roman"/>
          <w:sz w:val="24"/>
          <w:szCs w:val="24"/>
        </w:rPr>
      </w:pPr>
      <w:r w:rsidRPr="0036327D">
        <w:rPr>
          <w:rFonts w:ascii="Times New Roman" w:hAnsi="Times New Roman"/>
          <w:sz w:val="24"/>
          <w:szCs w:val="24"/>
        </w:rPr>
        <w:t xml:space="preserve">“The plaintiffs have offered one narrow legal theory, however, that is recognized under established Connecticut law. Specifically, they allege that the defendants knowingly marketed, advertised, and promoted the XM15-E2S for </w:t>
      </w:r>
      <w:proofErr w:type="gramStart"/>
      <w:r w:rsidRPr="0036327D">
        <w:rPr>
          <w:rFonts w:ascii="Times New Roman" w:hAnsi="Times New Roman"/>
          <w:sz w:val="24"/>
          <w:szCs w:val="24"/>
        </w:rPr>
        <w:t>civilians to use</w:t>
      </w:r>
      <w:proofErr w:type="gramEnd"/>
      <w:r w:rsidRPr="0036327D">
        <w:rPr>
          <w:rFonts w:ascii="Times New Roman" w:hAnsi="Times New Roman"/>
          <w:sz w:val="24"/>
          <w:szCs w:val="24"/>
        </w:rPr>
        <w:t xml:space="preserve"> to carry out offensive, military style combat missions against their perceived enemies. Such use of the XM15-E2S, or any weapon for that matter, would be illegal, and Connecticut law does not permit advertisements that promote or encourage violent, criminal </w:t>
      </w:r>
      <w:proofErr w:type="gramStart"/>
      <w:r w:rsidRPr="0036327D">
        <w:rPr>
          <w:rFonts w:ascii="Times New Roman" w:hAnsi="Times New Roman"/>
          <w:sz w:val="24"/>
          <w:szCs w:val="24"/>
        </w:rPr>
        <w:t>behavior.”</w:t>
      </w:r>
      <w:proofErr w:type="gramEnd"/>
      <w:r w:rsidRPr="0036327D">
        <w:rPr>
          <w:rFonts w:ascii="Times New Roman" w:hAnsi="Times New Roman"/>
          <w:sz w:val="24"/>
          <w:szCs w:val="24"/>
        </w:rPr>
        <w:t xml:space="preserve"> </w:t>
      </w:r>
      <w:hyperlink r:id="rId842" w:history="1">
        <w:r w:rsidRPr="0036327D">
          <w:rPr>
            <w:rStyle w:val="Hyperlink"/>
            <w:rFonts w:ascii="Times New Roman" w:hAnsi="Times New Roman"/>
            <w:sz w:val="24"/>
            <w:szCs w:val="24"/>
          </w:rPr>
          <w:t>file:///C:/Users/lawre/AppData/Local/Microsoft/Windows/INetCache/Content.Outlook/YEHISW7P/331CR865.pdf</w:t>
        </w:r>
      </w:hyperlink>
    </w:p>
    <w:p w14:paraId="13ADBD91" w14:textId="77777777" w:rsidR="009C4A80" w:rsidRDefault="009C4A80" w:rsidP="00F326E5">
      <w:pPr>
        <w:pStyle w:val="NoSpacing"/>
        <w:rPr>
          <w:rFonts w:ascii="Times New Roman" w:hAnsi="Times New Roman"/>
          <w:b/>
          <w:bCs/>
          <w:sz w:val="24"/>
          <w:szCs w:val="24"/>
        </w:rPr>
      </w:pPr>
    </w:p>
    <w:p w14:paraId="2013B689" w14:textId="4757F062" w:rsidR="005F7D6B" w:rsidRPr="0036327D" w:rsidRDefault="005F7D6B" w:rsidP="00F326E5">
      <w:pPr>
        <w:pStyle w:val="NoSpacing"/>
        <w:rPr>
          <w:rFonts w:ascii="Times New Roman" w:hAnsi="Times New Roman"/>
          <w:b/>
          <w:bCs/>
          <w:sz w:val="24"/>
          <w:szCs w:val="24"/>
        </w:rPr>
      </w:pPr>
      <w:r w:rsidRPr="0036327D">
        <w:rPr>
          <w:rFonts w:ascii="Times New Roman" w:hAnsi="Times New Roman"/>
          <w:b/>
          <w:bCs/>
          <w:sz w:val="24"/>
          <w:szCs w:val="24"/>
        </w:rPr>
        <w:t>Legal Lessons Learned: The case will not be sent back for trial or settlement by Remington Arms Co. LLC and its “daughter company” Bushmaster Firearms International LLC.</w:t>
      </w:r>
    </w:p>
    <w:p w14:paraId="6DF31E56" w14:textId="77777777" w:rsidR="005F7D6B" w:rsidRPr="0036327D" w:rsidRDefault="005F7D6B" w:rsidP="00F326E5">
      <w:pPr>
        <w:pStyle w:val="NoSpacing"/>
        <w:rPr>
          <w:rFonts w:ascii="Times New Roman" w:hAnsi="Times New Roman"/>
          <w:bCs/>
          <w:sz w:val="24"/>
          <w:szCs w:val="24"/>
        </w:rPr>
      </w:pPr>
    </w:p>
    <w:bookmarkEnd w:id="132"/>
    <w:bookmarkEnd w:id="161"/>
    <w:p w14:paraId="0A16F813" w14:textId="0B4E0E9D" w:rsidR="00F326E5" w:rsidRPr="0036327D" w:rsidRDefault="00F326E5" w:rsidP="00F326E5">
      <w:pPr>
        <w:pStyle w:val="NoSpacing"/>
        <w:rPr>
          <w:rFonts w:ascii="Times New Roman" w:hAnsi="Times New Roman"/>
          <w:bCs/>
          <w:sz w:val="24"/>
          <w:szCs w:val="24"/>
        </w:rPr>
      </w:pPr>
    </w:p>
    <w:p w14:paraId="2E379C23" w14:textId="4680C237" w:rsidR="00F326E5" w:rsidRPr="0036327D" w:rsidRDefault="00F326E5" w:rsidP="00F326E5">
      <w:pPr>
        <w:rPr>
          <w:rFonts w:ascii="Times New Roman" w:hAnsi="Times New Roman"/>
          <w:sz w:val="24"/>
          <w:szCs w:val="24"/>
        </w:rPr>
      </w:pPr>
    </w:p>
    <w:p w14:paraId="54A79544" w14:textId="3B5271B1" w:rsidR="00EF1133" w:rsidRDefault="00EF1133" w:rsidP="00F326E5">
      <w:pPr>
        <w:rPr>
          <w:rFonts w:ascii="Arial Black" w:hAnsi="Arial Black"/>
          <w:sz w:val="40"/>
          <w:szCs w:val="40"/>
        </w:rPr>
      </w:pPr>
      <w:r w:rsidRPr="00EF1133">
        <w:rPr>
          <w:rFonts w:ascii="Arial Black" w:hAnsi="Arial Black"/>
          <w:color w:val="4A4A4A"/>
          <w:sz w:val="24"/>
          <w:szCs w:val="24"/>
          <w:lang w:val="en"/>
        </w:rPr>
        <w:t>3-</w:t>
      </w:r>
      <w:r w:rsidR="00A247E4">
        <w:rPr>
          <w:rFonts w:ascii="Arial Black" w:hAnsi="Arial Black"/>
          <w:color w:val="4A4A4A"/>
          <w:sz w:val="24"/>
          <w:szCs w:val="24"/>
          <w:lang w:val="en"/>
        </w:rPr>
        <w:t>9</w:t>
      </w:r>
    </w:p>
    <w:p w14:paraId="266DBD23" w14:textId="54875327" w:rsidR="00F326E5" w:rsidRDefault="00F326E5" w:rsidP="00F326E5">
      <w:pPr>
        <w:pStyle w:val="NoSpacing"/>
        <w:rPr>
          <w:rFonts w:ascii="Arial Black" w:hAnsi="Arial Black"/>
          <w:sz w:val="28"/>
          <w:szCs w:val="28"/>
        </w:rPr>
      </w:pPr>
      <w:bookmarkStart w:id="162" w:name="_Hlk25926509"/>
      <w:bookmarkStart w:id="163" w:name="_Hlk7341421"/>
      <w:r w:rsidRPr="000561E4">
        <w:rPr>
          <w:rFonts w:ascii="Arial Black" w:hAnsi="Arial Black"/>
          <w:sz w:val="28"/>
          <w:szCs w:val="28"/>
        </w:rPr>
        <w:t xml:space="preserve">PA: </w:t>
      </w:r>
      <w:r>
        <w:rPr>
          <w:rFonts w:ascii="Arial Black" w:hAnsi="Arial Black"/>
          <w:sz w:val="28"/>
          <w:szCs w:val="28"/>
        </w:rPr>
        <w:t>SANCTUARY CITY / ICE - 3</w:t>
      </w:r>
      <w:r w:rsidRPr="000561E4">
        <w:rPr>
          <w:rFonts w:ascii="Arial Black" w:hAnsi="Arial Black"/>
          <w:sz w:val="28"/>
          <w:szCs w:val="28"/>
          <w:vertAlign w:val="superscript"/>
        </w:rPr>
        <w:t>rd</w:t>
      </w:r>
      <w:r>
        <w:rPr>
          <w:rFonts w:ascii="Arial Black" w:hAnsi="Arial Black"/>
          <w:sz w:val="28"/>
          <w:szCs w:val="28"/>
        </w:rPr>
        <w:t xml:space="preserve"> CIRCUIT HOLDS FED. GOVT CANNOT WITHHOLD FORMULA GRANT </w:t>
      </w:r>
    </w:p>
    <w:p w14:paraId="7325FE78" w14:textId="77777777" w:rsidR="009C4A80" w:rsidRDefault="00F326E5" w:rsidP="00F326E5">
      <w:pPr>
        <w:pStyle w:val="NoSpacing"/>
        <w:rPr>
          <w:rFonts w:ascii="Times New Roman" w:hAnsi="Times New Roman"/>
          <w:sz w:val="24"/>
          <w:szCs w:val="24"/>
        </w:rPr>
      </w:pPr>
      <w:r w:rsidRPr="0036327D">
        <w:rPr>
          <w:rFonts w:ascii="Times New Roman" w:hAnsi="Times New Roman"/>
          <w:sz w:val="24"/>
          <w:szCs w:val="24"/>
        </w:rPr>
        <w:t xml:space="preserve">On Feb. 15, 2019, in </w:t>
      </w:r>
      <w:r w:rsidRPr="0036327D">
        <w:rPr>
          <w:rFonts w:ascii="Times New Roman" w:hAnsi="Times New Roman"/>
          <w:sz w:val="24"/>
          <w:szCs w:val="24"/>
          <w:u w:val="single"/>
        </w:rPr>
        <w:t xml:space="preserve">City of Philadelphia v. Attorney General </w:t>
      </w:r>
      <w:proofErr w:type="gramStart"/>
      <w:r w:rsidRPr="0036327D">
        <w:rPr>
          <w:rFonts w:ascii="Times New Roman" w:hAnsi="Times New Roman"/>
          <w:sz w:val="24"/>
          <w:szCs w:val="24"/>
          <w:u w:val="single"/>
        </w:rPr>
        <w:t>Of</w:t>
      </w:r>
      <w:proofErr w:type="gramEnd"/>
      <w:r w:rsidRPr="0036327D">
        <w:rPr>
          <w:rFonts w:ascii="Times New Roman" w:hAnsi="Times New Roman"/>
          <w:sz w:val="24"/>
          <w:szCs w:val="24"/>
          <w:u w:val="single"/>
        </w:rPr>
        <w:t xml:space="preserve"> </w:t>
      </w:r>
      <w:proofErr w:type="gramStart"/>
      <w:r w:rsidRPr="0036327D">
        <w:rPr>
          <w:rFonts w:ascii="Times New Roman" w:hAnsi="Times New Roman"/>
          <w:sz w:val="24"/>
          <w:szCs w:val="24"/>
          <w:u w:val="single"/>
        </w:rPr>
        <w:t>The</w:t>
      </w:r>
      <w:proofErr w:type="gramEnd"/>
      <w:r w:rsidRPr="0036327D">
        <w:rPr>
          <w:rFonts w:ascii="Times New Roman" w:hAnsi="Times New Roman"/>
          <w:sz w:val="24"/>
          <w:szCs w:val="24"/>
          <w:u w:val="single"/>
        </w:rPr>
        <w:t xml:space="preserve"> United States </w:t>
      </w:r>
      <w:proofErr w:type="gramStart"/>
      <w:r w:rsidRPr="0036327D">
        <w:rPr>
          <w:rFonts w:ascii="Times New Roman" w:hAnsi="Times New Roman"/>
          <w:sz w:val="24"/>
          <w:szCs w:val="24"/>
          <w:u w:val="single"/>
        </w:rPr>
        <w:t>Of</w:t>
      </w:r>
      <w:proofErr w:type="gramEnd"/>
      <w:r w:rsidRPr="0036327D">
        <w:rPr>
          <w:rFonts w:ascii="Times New Roman" w:hAnsi="Times New Roman"/>
          <w:sz w:val="24"/>
          <w:szCs w:val="24"/>
          <w:u w:val="single"/>
        </w:rPr>
        <w:t xml:space="preserve"> America</w:t>
      </w:r>
      <w:r w:rsidRPr="0036327D">
        <w:rPr>
          <w:rFonts w:ascii="Times New Roman" w:hAnsi="Times New Roman"/>
          <w:sz w:val="24"/>
          <w:szCs w:val="24"/>
        </w:rPr>
        <w:t xml:space="preserve">, the U.S. Court of Appeals held (3 to 0), </w:t>
      </w:r>
    </w:p>
    <w:p w14:paraId="05488087" w14:textId="77777777" w:rsidR="009C4A80" w:rsidRDefault="009C4A80" w:rsidP="00F326E5">
      <w:pPr>
        <w:pStyle w:val="NoSpacing"/>
        <w:rPr>
          <w:rFonts w:ascii="Times New Roman" w:hAnsi="Times New Roman"/>
          <w:sz w:val="24"/>
          <w:szCs w:val="24"/>
        </w:rPr>
      </w:pPr>
    </w:p>
    <w:p w14:paraId="5AFDBA0F" w14:textId="13A03CC8" w:rsidR="00F326E5" w:rsidRPr="0036327D" w:rsidRDefault="00F326E5" w:rsidP="009C4A80">
      <w:pPr>
        <w:pStyle w:val="NoSpacing"/>
        <w:ind w:left="720"/>
        <w:rPr>
          <w:rFonts w:ascii="Times New Roman" w:hAnsi="Times New Roman"/>
          <w:sz w:val="24"/>
          <w:szCs w:val="24"/>
        </w:rPr>
      </w:pPr>
      <w:r w:rsidRPr="0036327D">
        <w:rPr>
          <w:rFonts w:ascii="Times New Roman" w:hAnsi="Times New Roman"/>
          <w:sz w:val="24"/>
          <w:szCs w:val="24"/>
        </w:rPr>
        <w:t xml:space="preserve">“Concluding that Congress did not grant the Attorney General this authority, we hold that the Challenged Conditions were unlawfully imposed.  Therefore, we will affirm the District Court’s order to the extent that it enjoins enforcement of the Challenged Conditions against the City of Philadelphia.  We will vacate part of the order, however, to the extent that it exceeds the bounds of this </w:t>
      </w:r>
      <w:proofErr w:type="gramStart"/>
      <w:r w:rsidRPr="0036327D">
        <w:rPr>
          <w:rFonts w:ascii="Times New Roman" w:hAnsi="Times New Roman"/>
          <w:sz w:val="24"/>
          <w:szCs w:val="24"/>
        </w:rPr>
        <w:t>controversy.”</w:t>
      </w:r>
      <w:proofErr w:type="gramEnd"/>
      <w:r w:rsidRPr="0036327D">
        <w:rPr>
          <w:rFonts w:ascii="Times New Roman" w:hAnsi="Times New Roman"/>
          <w:sz w:val="24"/>
          <w:szCs w:val="24"/>
        </w:rPr>
        <w:t xml:space="preserve"> </w:t>
      </w:r>
      <w:hyperlink r:id="rId843" w:history="1">
        <w:r w:rsidRPr="0036327D">
          <w:rPr>
            <w:rStyle w:val="Hyperlink"/>
            <w:rFonts w:ascii="Times New Roman" w:hAnsi="Times New Roman"/>
            <w:sz w:val="24"/>
            <w:szCs w:val="24"/>
          </w:rPr>
          <w:t>https://www2.ca3.uscourts.gov/opinarch/182648p.pdf</w:t>
        </w:r>
      </w:hyperlink>
      <w:r w:rsidRPr="0036327D">
        <w:rPr>
          <w:rFonts w:ascii="Times New Roman" w:hAnsi="Times New Roman"/>
          <w:sz w:val="24"/>
          <w:szCs w:val="24"/>
        </w:rPr>
        <w:t xml:space="preserve"> </w:t>
      </w:r>
    </w:p>
    <w:p w14:paraId="4AFA5DF5" w14:textId="77777777" w:rsidR="009C4A80" w:rsidRDefault="009C4A80" w:rsidP="00F326E5">
      <w:pPr>
        <w:pStyle w:val="NoSpacing"/>
        <w:rPr>
          <w:rFonts w:ascii="Times New Roman" w:hAnsi="Times New Roman"/>
          <w:b/>
          <w:sz w:val="24"/>
          <w:szCs w:val="24"/>
        </w:rPr>
      </w:pPr>
      <w:bookmarkStart w:id="164" w:name="_Hlk7174020"/>
    </w:p>
    <w:p w14:paraId="52D7C331" w14:textId="4C935395" w:rsidR="00F326E5" w:rsidRPr="0036327D" w:rsidRDefault="00F326E5" w:rsidP="00F326E5">
      <w:pPr>
        <w:pStyle w:val="NoSpacing"/>
        <w:rPr>
          <w:rFonts w:ascii="Times New Roman" w:hAnsi="Times New Roman"/>
          <w:b/>
          <w:sz w:val="24"/>
          <w:szCs w:val="24"/>
        </w:rPr>
      </w:pPr>
      <w:r w:rsidRPr="0036327D">
        <w:rPr>
          <w:rFonts w:ascii="Times New Roman" w:hAnsi="Times New Roman"/>
          <w:b/>
          <w:sz w:val="24"/>
          <w:szCs w:val="24"/>
        </w:rPr>
        <w:t xml:space="preserve">Legal Lessons Learned: The </w:t>
      </w:r>
      <w:proofErr w:type="spellStart"/>
      <w:r w:rsidRPr="0036327D">
        <w:rPr>
          <w:rFonts w:ascii="Times New Roman" w:hAnsi="Times New Roman"/>
          <w:b/>
          <w:sz w:val="24"/>
          <w:szCs w:val="24"/>
        </w:rPr>
        <w:t>DoJ</w:t>
      </w:r>
      <w:proofErr w:type="spellEnd"/>
      <w:r w:rsidRPr="0036327D">
        <w:rPr>
          <w:rFonts w:ascii="Times New Roman" w:hAnsi="Times New Roman"/>
          <w:b/>
          <w:sz w:val="24"/>
          <w:szCs w:val="24"/>
        </w:rPr>
        <w:t xml:space="preserve"> is likely to seek review by U.S. Supreme Court. </w:t>
      </w:r>
    </w:p>
    <w:bookmarkEnd w:id="162"/>
    <w:bookmarkEnd w:id="164"/>
    <w:p w14:paraId="3A67FE4D" w14:textId="4977738A" w:rsidR="00F326E5" w:rsidRPr="00AF41DF" w:rsidRDefault="00F326E5" w:rsidP="00F326E5">
      <w:pPr>
        <w:pStyle w:val="NoSpacing"/>
        <w:rPr>
          <w:b/>
          <w:sz w:val="24"/>
          <w:szCs w:val="24"/>
        </w:rPr>
      </w:pPr>
    </w:p>
    <w:bookmarkEnd w:id="163"/>
    <w:p w14:paraId="42939F19" w14:textId="77777777" w:rsidR="00F326E5" w:rsidRDefault="00F326E5" w:rsidP="00F326E5">
      <w:pPr>
        <w:rPr>
          <w:rFonts w:ascii="Arial Black" w:hAnsi="Arial Black"/>
          <w:sz w:val="40"/>
          <w:szCs w:val="40"/>
        </w:rPr>
      </w:pPr>
    </w:p>
    <w:p w14:paraId="1B7A0EAB" w14:textId="119D5F5A" w:rsidR="00EF1133" w:rsidRPr="00EF1133" w:rsidRDefault="00EF1133" w:rsidP="00EF1133">
      <w:pPr>
        <w:rPr>
          <w:rFonts w:ascii="Arial Black" w:hAnsi="Arial Black"/>
          <w:color w:val="4A4A4A"/>
          <w:sz w:val="24"/>
          <w:szCs w:val="24"/>
          <w:lang w:val="en"/>
        </w:rPr>
      </w:pPr>
      <w:r w:rsidRPr="00EF1133">
        <w:rPr>
          <w:rFonts w:ascii="Arial Black" w:hAnsi="Arial Black"/>
          <w:color w:val="4A4A4A"/>
          <w:sz w:val="24"/>
          <w:szCs w:val="24"/>
          <w:lang w:val="en"/>
        </w:rPr>
        <w:t>3-</w:t>
      </w:r>
      <w:r w:rsidR="00A247E4">
        <w:rPr>
          <w:rFonts w:ascii="Arial Black" w:hAnsi="Arial Black"/>
          <w:color w:val="4A4A4A"/>
          <w:sz w:val="24"/>
          <w:szCs w:val="24"/>
          <w:lang w:val="en"/>
        </w:rPr>
        <w:t>8</w:t>
      </w:r>
    </w:p>
    <w:p w14:paraId="48FE4AD2" w14:textId="77777777" w:rsidR="00F326E5" w:rsidRDefault="00F326E5" w:rsidP="00F326E5">
      <w:pPr>
        <w:pStyle w:val="NoSpacing"/>
        <w:rPr>
          <w:bCs/>
          <w:sz w:val="24"/>
          <w:szCs w:val="24"/>
        </w:rPr>
      </w:pPr>
    </w:p>
    <w:p w14:paraId="5E893FAA" w14:textId="668DD196" w:rsidR="00F326E5" w:rsidRDefault="00F326E5" w:rsidP="00F326E5">
      <w:pPr>
        <w:pStyle w:val="NoSpacing"/>
        <w:rPr>
          <w:rFonts w:ascii="Arial Black" w:hAnsi="Arial Black"/>
          <w:b/>
          <w:bCs/>
          <w:sz w:val="24"/>
          <w:szCs w:val="24"/>
        </w:rPr>
      </w:pPr>
      <w:bookmarkStart w:id="165" w:name="_Hlk7341624"/>
      <w:r w:rsidRPr="004445C3">
        <w:rPr>
          <w:rFonts w:ascii="Arial Black" w:hAnsi="Arial Black"/>
          <w:b/>
          <w:bCs/>
          <w:sz w:val="28"/>
          <w:szCs w:val="28"/>
        </w:rPr>
        <w:t xml:space="preserve">NY: </w:t>
      </w:r>
      <w:r>
        <w:rPr>
          <w:rFonts w:ascii="Arial Black" w:hAnsi="Arial Black"/>
          <w:b/>
          <w:bCs/>
          <w:sz w:val="28"/>
          <w:szCs w:val="28"/>
        </w:rPr>
        <w:t>JUVENILE TERRORIST – CAN’T DEPORT, BECAME U.S. CITIZEN WHEN FATHER BECAME CITIZEN</w:t>
      </w:r>
    </w:p>
    <w:p w14:paraId="525C53BE" w14:textId="77777777" w:rsidR="00F326E5" w:rsidRPr="0036327D" w:rsidRDefault="00F326E5" w:rsidP="00F326E5">
      <w:pPr>
        <w:rPr>
          <w:rFonts w:ascii="Times New Roman" w:eastAsia="Times New Roman" w:hAnsi="Times New Roman"/>
          <w:sz w:val="24"/>
          <w:szCs w:val="24"/>
        </w:rPr>
      </w:pPr>
      <w:r w:rsidRPr="0036327D">
        <w:rPr>
          <w:rFonts w:ascii="Times New Roman" w:eastAsia="Times New Roman" w:hAnsi="Times New Roman"/>
          <w:sz w:val="24"/>
          <w:szCs w:val="24"/>
        </w:rPr>
        <w:t xml:space="preserve">On Sept. 13, 2018, in </w:t>
      </w:r>
      <w:r w:rsidRPr="0036327D">
        <w:rPr>
          <w:rFonts w:ascii="Times New Roman" w:eastAsia="Times New Roman" w:hAnsi="Times New Roman"/>
          <w:sz w:val="24"/>
          <w:szCs w:val="24"/>
          <w:u w:val="single"/>
        </w:rPr>
        <w:t>Mohammed Khalid v. Jefferson Sessions, U.S. Attorney General</w:t>
      </w:r>
      <w:r w:rsidRPr="0036327D">
        <w:rPr>
          <w:rFonts w:ascii="Times New Roman" w:eastAsia="Times New Roman" w:hAnsi="Times New Roman"/>
          <w:sz w:val="24"/>
          <w:szCs w:val="24"/>
        </w:rPr>
        <w:t xml:space="preserve">, the U.S. Court of Appeals for Second Circuit [N.Y.], held (3 to 0): “We hold that the short, temporary physical separation caused by Khalid’s time in federal pretrial juvenile detention did not strip Khalid’s father of his ‘physical custody’ of Khalid as that term is used in 8 U.S.C. §1431(a), and that consequently, Khalid is a U.S. citizen. </w:t>
      </w:r>
      <w:hyperlink r:id="rId844" w:history="1">
        <w:r w:rsidRPr="0036327D">
          <w:rPr>
            <w:rStyle w:val="Hyperlink"/>
            <w:rFonts w:ascii="Times New Roman" w:hAnsi="Times New Roman"/>
            <w:sz w:val="24"/>
            <w:szCs w:val="24"/>
          </w:rPr>
          <w:t>https://ij.org/wp-content/uploads/2018/09/16-3480_complete_opn.pdf</w:t>
        </w:r>
      </w:hyperlink>
      <w:r w:rsidRPr="0036327D">
        <w:rPr>
          <w:rFonts w:ascii="Times New Roman" w:eastAsia="Times New Roman" w:hAnsi="Times New Roman"/>
          <w:sz w:val="24"/>
          <w:szCs w:val="24"/>
        </w:rPr>
        <w:t xml:space="preserve"> </w:t>
      </w:r>
    </w:p>
    <w:p w14:paraId="3B058AF2" w14:textId="77777777" w:rsidR="00F326E5" w:rsidRPr="0036327D" w:rsidRDefault="00F326E5" w:rsidP="00F326E5">
      <w:pPr>
        <w:rPr>
          <w:rFonts w:ascii="Times New Roman" w:eastAsia="Times New Roman" w:hAnsi="Times New Roman"/>
          <w:b/>
          <w:sz w:val="24"/>
          <w:szCs w:val="24"/>
        </w:rPr>
      </w:pPr>
      <w:r w:rsidRPr="0036327D">
        <w:rPr>
          <w:rFonts w:ascii="Times New Roman" w:eastAsia="Times New Roman" w:hAnsi="Times New Roman"/>
          <w:b/>
          <w:sz w:val="24"/>
          <w:szCs w:val="24"/>
        </w:rPr>
        <w:t xml:space="preserve">Legal Lessons Learned:  Citizenship is a great privilege.  Congress needs to consider revising the Immigration laws so that those convicted of terrorism are not automatically granted citizenship when their parent becomes a citizen. </w:t>
      </w:r>
    </w:p>
    <w:p w14:paraId="5EB04778" w14:textId="77777777" w:rsidR="00F326E5" w:rsidRPr="0036327D" w:rsidRDefault="00F326E5" w:rsidP="00F326E5">
      <w:pPr>
        <w:ind w:left="720"/>
        <w:rPr>
          <w:rFonts w:ascii="Times New Roman" w:eastAsia="Times New Roman" w:hAnsi="Times New Roman"/>
          <w:sz w:val="24"/>
          <w:szCs w:val="24"/>
        </w:rPr>
      </w:pPr>
      <w:r w:rsidRPr="0036327D">
        <w:rPr>
          <w:rFonts w:ascii="Times New Roman" w:eastAsia="Times New Roman" w:hAnsi="Times New Roman"/>
          <w:sz w:val="24"/>
          <w:szCs w:val="24"/>
        </w:rPr>
        <w:t>See article, “</w:t>
      </w:r>
      <w:r w:rsidRPr="0036327D">
        <w:rPr>
          <w:rFonts w:ascii="Times New Roman" w:hAnsi="Times New Roman"/>
          <w:sz w:val="24"/>
          <w:szCs w:val="24"/>
        </w:rPr>
        <w:t xml:space="preserve">Mohammad Hassan Khalid given five years in jail for his part in jihadist plot,” Khalid, the youngest person at 15 to be prosecuted for terrorism in the US, found guilty of involvement in conspiracy by 'Jihad Jane' to kill Swedish artist.  Khalid, a Pakistani migrant living in Maryland, was 15 years old when he first began chatting on the internet with Colleen LaRose, the Philadelphia housewife who called herself “Jihad Jane”. LaRose, who is serving a 10-year prison sentence for her part in the conspiracy, drew him into a plan to kill the Swedish artist Lars Vilks, who had drawn the head of the prophet Muhammad on the body of a dog. </w:t>
      </w:r>
      <w:hyperlink r:id="rId845" w:history="1">
        <w:r w:rsidRPr="0036327D">
          <w:rPr>
            <w:rStyle w:val="Hyperlink"/>
            <w:rFonts w:ascii="Times New Roman" w:hAnsi="Times New Roman"/>
            <w:sz w:val="24"/>
            <w:szCs w:val="24"/>
          </w:rPr>
          <w:t>https://www.theguardian.com/world/2014/apr/17/mohammad-hassan-khalid-sentence-five-years-jail-jihad-jane-plot</w:t>
        </w:r>
      </w:hyperlink>
      <w:r w:rsidRPr="0036327D">
        <w:rPr>
          <w:rFonts w:ascii="Times New Roman" w:hAnsi="Times New Roman"/>
          <w:sz w:val="24"/>
          <w:szCs w:val="24"/>
        </w:rPr>
        <w:t xml:space="preserve"> </w:t>
      </w:r>
    </w:p>
    <w:bookmarkEnd w:id="165"/>
    <w:p w14:paraId="26F2E2C0" w14:textId="75AFD2C1" w:rsidR="00EF1133" w:rsidRPr="00EF1133" w:rsidRDefault="00EF1133" w:rsidP="00EF1133">
      <w:pPr>
        <w:rPr>
          <w:rFonts w:ascii="Arial Black" w:hAnsi="Arial Black"/>
          <w:color w:val="4A4A4A"/>
          <w:sz w:val="24"/>
          <w:szCs w:val="24"/>
          <w:lang w:val="en"/>
        </w:rPr>
      </w:pPr>
      <w:r w:rsidRPr="00EF1133">
        <w:rPr>
          <w:rFonts w:ascii="Arial Black" w:hAnsi="Arial Black"/>
          <w:color w:val="4A4A4A"/>
          <w:sz w:val="24"/>
          <w:szCs w:val="24"/>
          <w:lang w:val="en"/>
        </w:rPr>
        <w:t>3-</w:t>
      </w:r>
      <w:r w:rsidR="00A247E4">
        <w:rPr>
          <w:rFonts w:ascii="Arial Black" w:hAnsi="Arial Black"/>
          <w:color w:val="4A4A4A"/>
          <w:sz w:val="24"/>
          <w:szCs w:val="24"/>
          <w:lang w:val="en"/>
        </w:rPr>
        <w:t>7</w:t>
      </w:r>
    </w:p>
    <w:p w14:paraId="019BB327" w14:textId="69AE6033" w:rsidR="00F326E5" w:rsidRPr="004445C3" w:rsidRDefault="00F326E5" w:rsidP="00F326E5">
      <w:pPr>
        <w:pStyle w:val="NoSpacing"/>
        <w:rPr>
          <w:rFonts w:ascii="Arial Black" w:hAnsi="Arial Black"/>
          <w:b/>
          <w:sz w:val="28"/>
          <w:szCs w:val="28"/>
        </w:rPr>
      </w:pPr>
      <w:bookmarkStart w:id="166" w:name="_Hlk7341723"/>
      <w:r w:rsidRPr="004445C3">
        <w:rPr>
          <w:rFonts w:ascii="Arial Black" w:hAnsi="Arial Black"/>
          <w:b/>
          <w:sz w:val="28"/>
          <w:szCs w:val="28"/>
        </w:rPr>
        <w:t>U.S. S</w:t>
      </w:r>
      <w:r>
        <w:rPr>
          <w:rFonts w:ascii="Arial Black" w:hAnsi="Arial Black"/>
          <w:b/>
          <w:sz w:val="28"/>
          <w:szCs w:val="28"/>
        </w:rPr>
        <w:t xml:space="preserve">UPREME COURT: PRESIDENT TRUMP’S “TRAVEL BAN” ON 8 NATIONS LAWFUL </w:t>
      </w:r>
    </w:p>
    <w:p w14:paraId="4D348741" w14:textId="77777777" w:rsidR="00F326E5" w:rsidRPr="0036327D" w:rsidRDefault="00F326E5" w:rsidP="00F326E5">
      <w:pPr>
        <w:rPr>
          <w:rFonts w:ascii="Times New Roman" w:eastAsia="Times New Roman" w:hAnsi="Times New Roman"/>
          <w:b/>
          <w:sz w:val="24"/>
          <w:szCs w:val="24"/>
        </w:rPr>
      </w:pPr>
      <w:r w:rsidRPr="0036327D">
        <w:rPr>
          <w:rFonts w:ascii="Times New Roman" w:hAnsi="Times New Roman"/>
          <w:sz w:val="24"/>
          <w:szCs w:val="24"/>
        </w:rPr>
        <w:t xml:space="preserve">On June 26, 2018, in </w:t>
      </w:r>
      <w:r w:rsidRPr="0036327D">
        <w:rPr>
          <w:rFonts w:ascii="Times New Roman" w:hAnsi="Times New Roman"/>
          <w:sz w:val="24"/>
          <w:szCs w:val="24"/>
          <w:u w:val="single"/>
        </w:rPr>
        <w:t>Trump, President Of The United States v. Hawaii, et al</w:t>
      </w:r>
      <w:r w:rsidRPr="0036327D">
        <w:rPr>
          <w:rFonts w:ascii="Times New Roman" w:hAnsi="Times New Roman"/>
          <w:sz w:val="24"/>
          <w:szCs w:val="24"/>
        </w:rPr>
        <w:t xml:space="preserve">., the U.S. Supreme Court (5 to 4), in decision by Chief Justice Roberts, held that President has the authority under federal statutes to ban travel to USA of citizens from 8 countries with weak travel clearance processes: </w:t>
      </w:r>
      <w:r w:rsidRPr="0036327D">
        <w:rPr>
          <w:rFonts w:ascii="Times New Roman" w:eastAsia="Times New Roman" w:hAnsi="Times New Roman"/>
          <w:sz w:val="24"/>
          <w:szCs w:val="24"/>
        </w:rPr>
        <w:t>Chad, Iran, Iraq, Libya, North Korea, Syria, Venezuela, and Yemen.</w:t>
      </w:r>
    </w:p>
    <w:p w14:paraId="6CABAD81" w14:textId="1BDB3AFA" w:rsidR="00F326E5" w:rsidRPr="0036327D" w:rsidRDefault="00F326E5" w:rsidP="00F326E5">
      <w:pPr>
        <w:ind w:left="720"/>
        <w:rPr>
          <w:rFonts w:ascii="Times New Roman" w:eastAsia="Times New Roman" w:hAnsi="Times New Roman"/>
          <w:sz w:val="24"/>
          <w:szCs w:val="24"/>
          <w:u w:val="single"/>
        </w:rPr>
      </w:pPr>
      <w:r w:rsidRPr="0036327D">
        <w:rPr>
          <w:rFonts w:ascii="Times New Roman" w:eastAsia="Times New Roman" w:hAnsi="Times New Roman"/>
          <w:b/>
          <w:sz w:val="24"/>
          <w:szCs w:val="24"/>
        </w:rPr>
        <w:lastRenderedPageBreak/>
        <w:t>“</w:t>
      </w:r>
      <w:r w:rsidRPr="0036327D">
        <w:rPr>
          <w:rFonts w:ascii="Times New Roman" w:eastAsia="Times New Roman" w:hAnsi="Times New Roman"/>
          <w:sz w:val="24"/>
          <w:szCs w:val="24"/>
        </w:rPr>
        <w:t xml:space="preserve">By its plain language, §1182(f) grants the President broad discretion to suspend the entry of aliens into the United States. The President lawfully exercised that discretion based on his findings—following a worldwide, multi-agency review—that entry of the covered aliens would be detrimental to the national interest. And plaintiffs’ attempts to identify a conflict with other provisions in the INA, and their appeal to the statute’s purposes and legislative history, fail to overcome the clear statutory </w:t>
      </w:r>
      <w:proofErr w:type="gramStart"/>
      <w:r w:rsidRPr="0036327D">
        <w:rPr>
          <w:rFonts w:ascii="Times New Roman" w:eastAsia="Times New Roman" w:hAnsi="Times New Roman"/>
          <w:sz w:val="24"/>
          <w:szCs w:val="24"/>
        </w:rPr>
        <w:t>language.”</w:t>
      </w:r>
      <w:proofErr w:type="gramEnd"/>
      <w:r w:rsidR="009C4A80">
        <w:rPr>
          <w:rFonts w:ascii="Times New Roman" w:eastAsia="Times New Roman" w:hAnsi="Times New Roman"/>
          <w:sz w:val="24"/>
          <w:szCs w:val="24"/>
        </w:rPr>
        <w:t xml:space="preserve"> </w:t>
      </w:r>
      <w:hyperlink r:id="rId846" w:history="1">
        <w:r w:rsidRPr="0036327D">
          <w:rPr>
            <w:rStyle w:val="Hyperlink"/>
            <w:rFonts w:ascii="Times New Roman" w:hAnsi="Times New Roman"/>
            <w:sz w:val="24"/>
            <w:szCs w:val="24"/>
          </w:rPr>
          <w:t>https://www.supremecourt.gov/opinions/17pdf/17-965_h315.pdf</w:t>
        </w:r>
      </w:hyperlink>
      <w:r w:rsidRPr="0036327D">
        <w:rPr>
          <w:rFonts w:ascii="Times New Roman" w:eastAsia="Times New Roman" w:hAnsi="Times New Roman"/>
          <w:sz w:val="24"/>
          <w:szCs w:val="24"/>
          <w:u w:val="single"/>
        </w:rPr>
        <w:t xml:space="preserve"> </w:t>
      </w:r>
    </w:p>
    <w:p w14:paraId="112C2E5E" w14:textId="77777777" w:rsidR="00F326E5" w:rsidRPr="0036327D" w:rsidRDefault="00F326E5" w:rsidP="00F326E5">
      <w:pPr>
        <w:rPr>
          <w:rFonts w:ascii="Times New Roman" w:eastAsia="Times New Roman" w:hAnsi="Times New Roman"/>
          <w:b/>
          <w:sz w:val="24"/>
          <w:szCs w:val="24"/>
        </w:rPr>
      </w:pPr>
      <w:r w:rsidRPr="0036327D">
        <w:rPr>
          <w:rFonts w:ascii="Times New Roman" w:eastAsia="Times New Roman" w:hAnsi="Times New Roman"/>
          <w:b/>
          <w:sz w:val="24"/>
          <w:szCs w:val="24"/>
        </w:rPr>
        <w:t>Legal Lessons Learned:  The Congress has granted President great powers to protect our national security.</w:t>
      </w:r>
    </w:p>
    <w:bookmarkEnd w:id="166"/>
    <w:p w14:paraId="0AD9C211" w14:textId="11FA162C" w:rsidR="007A61C9" w:rsidRDefault="007A61C9" w:rsidP="00F326E5">
      <w:pPr>
        <w:rPr>
          <w:rFonts w:ascii="Arial Black" w:hAnsi="Arial Black"/>
          <w:color w:val="4A4A4A"/>
          <w:sz w:val="24"/>
          <w:szCs w:val="24"/>
          <w:lang w:val="en"/>
        </w:rPr>
      </w:pPr>
      <w:r>
        <w:rPr>
          <w:rFonts w:ascii="Arial Black" w:hAnsi="Arial Black"/>
          <w:color w:val="4A4A4A"/>
          <w:sz w:val="24"/>
          <w:szCs w:val="24"/>
          <w:lang w:val="en"/>
        </w:rPr>
        <w:t>3-6</w:t>
      </w:r>
    </w:p>
    <w:p w14:paraId="68C80CA1" w14:textId="58FC1CFB" w:rsidR="007A61C9" w:rsidRPr="007A61C9" w:rsidRDefault="007A61C9" w:rsidP="007A61C9">
      <w:pPr>
        <w:pStyle w:val="NoSpacing"/>
        <w:rPr>
          <w:rFonts w:ascii="Arial Black" w:hAnsi="Arial Black"/>
          <w:sz w:val="28"/>
          <w:szCs w:val="28"/>
        </w:rPr>
      </w:pPr>
      <w:r w:rsidRPr="007A61C9">
        <w:rPr>
          <w:rFonts w:ascii="Arial Black" w:hAnsi="Arial Black"/>
          <w:sz w:val="28"/>
          <w:szCs w:val="28"/>
        </w:rPr>
        <w:t xml:space="preserve">U.S. SUPREME COURT </w:t>
      </w:r>
      <w:r>
        <w:rPr>
          <w:rFonts w:ascii="Arial Black" w:hAnsi="Arial Black"/>
          <w:sz w:val="28"/>
          <w:szCs w:val="28"/>
        </w:rPr>
        <w:t>–</w:t>
      </w:r>
      <w:r w:rsidRPr="007A61C9">
        <w:rPr>
          <w:rFonts w:ascii="Arial Black" w:hAnsi="Arial Black"/>
          <w:sz w:val="28"/>
          <w:szCs w:val="28"/>
        </w:rPr>
        <w:t xml:space="preserve"> </w:t>
      </w:r>
      <w:r>
        <w:rPr>
          <w:rFonts w:ascii="Arial Black" w:hAnsi="Arial Black"/>
          <w:sz w:val="28"/>
          <w:szCs w:val="28"/>
        </w:rPr>
        <w:t xml:space="preserve">TO </w:t>
      </w:r>
      <w:r w:rsidR="00E63D2F">
        <w:rPr>
          <w:rFonts w:ascii="Arial Black" w:hAnsi="Arial Black"/>
          <w:sz w:val="28"/>
          <w:szCs w:val="28"/>
        </w:rPr>
        <w:t>OBTAIN CELL PHONE DATA ON SUSPECT, NEED “PROBABLE CAUSE” – EXCEPTION FOR EMERGENCIES</w:t>
      </w:r>
    </w:p>
    <w:p w14:paraId="3613110F" w14:textId="77777777" w:rsidR="00E63D2F" w:rsidRDefault="00E63D2F" w:rsidP="007A61C9">
      <w:pPr>
        <w:pStyle w:val="NoSpacing"/>
        <w:rPr>
          <w:rFonts w:ascii="Times New Roman" w:hAnsi="Times New Roman"/>
          <w:sz w:val="24"/>
          <w:szCs w:val="24"/>
        </w:rPr>
      </w:pPr>
    </w:p>
    <w:p w14:paraId="641226D1" w14:textId="6DD97E8B" w:rsidR="007A61C9" w:rsidRPr="00563EC5" w:rsidRDefault="00E63D2F" w:rsidP="007A61C9">
      <w:pPr>
        <w:pStyle w:val="NoSpacing"/>
        <w:rPr>
          <w:rFonts w:ascii="Times New Roman" w:hAnsi="Times New Roman"/>
          <w:sz w:val="24"/>
          <w:szCs w:val="24"/>
        </w:rPr>
      </w:pPr>
      <w:r>
        <w:rPr>
          <w:rFonts w:ascii="Times New Roman" w:hAnsi="Times New Roman"/>
          <w:sz w:val="24"/>
          <w:szCs w:val="24"/>
        </w:rPr>
        <w:t xml:space="preserve">On June 22, 2018, in </w:t>
      </w:r>
      <w:r w:rsidRPr="00E63D2F">
        <w:rPr>
          <w:rFonts w:ascii="Times New Roman" w:hAnsi="Times New Roman"/>
          <w:sz w:val="24"/>
          <w:szCs w:val="24"/>
          <w:u w:val="single"/>
        </w:rPr>
        <w:t>Timothy Carpenter v. United States</w:t>
      </w:r>
      <w:r>
        <w:rPr>
          <w:rFonts w:ascii="Times New Roman" w:hAnsi="Times New Roman"/>
          <w:sz w:val="24"/>
          <w:szCs w:val="24"/>
        </w:rPr>
        <w:t xml:space="preserve">, the U.S. Supreme Court (5 to 4) held that </w:t>
      </w:r>
      <w:r w:rsidR="00563EC5">
        <w:rPr>
          <w:rFonts w:ascii="Times New Roman" w:hAnsi="Times New Roman"/>
          <w:sz w:val="24"/>
          <w:szCs w:val="24"/>
        </w:rPr>
        <w:t xml:space="preserve">a </w:t>
      </w:r>
      <w:r>
        <w:rPr>
          <w:rFonts w:ascii="Times New Roman" w:hAnsi="Times New Roman"/>
          <w:sz w:val="24"/>
          <w:szCs w:val="24"/>
        </w:rPr>
        <w:t>U.S. Magistrate improperly issued a</w:t>
      </w:r>
      <w:r w:rsidR="00563EC5">
        <w:rPr>
          <w:rFonts w:ascii="Times New Roman" w:hAnsi="Times New Roman"/>
          <w:sz w:val="24"/>
          <w:szCs w:val="24"/>
        </w:rPr>
        <w:t xml:space="preserve">n order to two cell phone companies under the </w:t>
      </w:r>
      <w:r w:rsidR="00563EC5" w:rsidRPr="007A61C9">
        <w:rPr>
          <w:rFonts w:ascii="Times New Roman" w:hAnsi="Times New Roman"/>
          <w:sz w:val="24"/>
          <w:szCs w:val="24"/>
        </w:rPr>
        <w:t>Stored Communications Act</w:t>
      </w:r>
      <w:r w:rsidR="00563EC5">
        <w:rPr>
          <w:rFonts w:ascii="Times New Roman" w:hAnsi="Times New Roman"/>
          <w:sz w:val="24"/>
          <w:szCs w:val="24"/>
        </w:rPr>
        <w:t>;</w:t>
      </w:r>
      <w:r>
        <w:rPr>
          <w:rFonts w:ascii="Times New Roman" w:hAnsi="Times New Roman"/>
          <w:sz w:val="24"/>
          <w:szCs w:val="24"/>
        </w:rPr>
        <w:t xml:space="preserve"> </w:t>
      </w:r>
      <w:r w:rsidR="00563EC5">
        <w:rPr>
          <w:rFonts w:ascii="Times New Roman" w:hAnsi="Times New Roman"/>
          <w:sz w:val="24"/>
          <w:szCs w:val="24"/>
        </w:rPr>
        <w:t xml:space="preserve">the FBI was investigating a series of armed robberies in Michigan and Ohio, and </w:t>
      </w:r>
      <w:r w:rsidR="00EC7466">
        <w:rPr>
          <w:rFonts w:ascii="Times New Roman" w:hAnsi="Times New Roman"/>
          <w:sz w:val="24"/>
          <w:szCs w:val="24"/>
        </w:rPr>
        <w:t>obtained 127 days of</w:t>
      </w:r>
      <w:r w:rsidR="00563EC5">
        <w:rPr>
          <w:rFonts w:ascii="Times New Roman" w:hAnsi="Times New Roman"/>
          <w:sz w:val="24"/>
          <w:szCs w:val="24"/>
        </w:rPr>
        <w:t xml:space="preserve"> cell-site location information (C</w:t>
      </w:r>
      <w:r w:rsidR="00EC7466">
        <w:rPr>
          <w:rFonts w:ascii="Times New Roman" w:hAnsi="Times New Roman"/>
          <w:sz w:val="24"/>
          <w:szCs w:val="24"/>
        </w:rPr>
        <w:t xml:space="preserve">SLI) </w:t>
      </w:r>
      <w:r w:rsidR="00563EC5">
        <w:rPr>
          <w:rFonts w:ascii="Times New Roman" w:hAnsi="Times New Roman"/>
          <w:sz w:val="24"/>
          <w:szCs w:val="24"/>
        </w:rPr>
        <w:t xml:space="preserve">on the lead suspect.  </w:t>
      </w:r>
      <w:r w:rsidR="00EC7466">
        <w:rPr>
          <w:rFonts w:ascii="Times New Roman" w:hAnsi="Times New Roman"/>
          <w:sz w:val="24"/>
          <w:szCs w:val="24"/>
        </w:rPr>
        <w:t xml:space="preserve">Court majority held that the FBI agents should have sought a search warrant, which </w:t>
      </w:r>
      <w:proofErr w:type="gramStart"/>
      <w:r w:rsidR="00EC7466">
        <w:rPr>
          <w:rFonts w:ascii="Times New Roman" w:hAnsi="Times New Roman"/>
          <w:sz w:val="24"/>
          <w:szCs w:val="24"/>
        </w:rPr>
        <w:t>have required</w:t>
      </w:r>
      <w:proofErr w:type="gramEnd"/>
      <w:r w:rsidR="00EC7466">
        <w:rPr>
          <w:rFonts w:ascii="Times New Roman" w:hAnsi="Times New Roman"/>
          <w:sz w:val="24"/>
          <w:szCs w:val="24"/>
        </w:rPr>
        <w:t xml:space="preserve"> an affidavit showing probable cause. “</w:t>
      </w:r>
      <w:r w:rsidR="00EC7466" w:rsidRPr="00EC7466">
        <w:rPr>
          <w:rFonts w:ascii="Times New Roman" w:hAnsi="Times New Roman"/>
          <w:sz w:val="24"/>
          <w:szCs w:val="24"/>
        </w:rPr>
        <w:t>Having found that the acquisition of Carpenter’s CSLI</w:t>
      </w:r>
      <w:r w:rsidR="00EC7466">
        <w:rPr>
          <w:rFonts w:ascii="Times New Roman" w:hAnsi="Times New Roman"/>
          <w:sz w:val="24"/>
          <w:szCs w:val="24"/>
        </w:rPr>
        <w:t xml:space="preserve"> </w:t>
      </w:r>
      <w:r w:rsidR="00EC7466" w:rsidRPr="00EC7466">
        <w:rPr>
          <w:rFonts w:ascii="Times New Roman" w:hAnsi="Times New Roman"/>
          <w:sz w:val="24"/>
          <w:szCs w:val="24"/>
        </w:rPr>
        <w:t>was a search, we also conclude that the Government must generally obtain a warrant supported by probable cause before acquiring such records.</w:t>
      </w:r>
      <w:r w:rsidR="00EC7466">
        <w:rPr>
          <w:rFonts w:ascii="Times New Roman" w:hAnsi="Times New Roman"/>
          <w:sz w:val="24"/>
          <w:szCs w:val="24"/>
        </w:rPr>
        <w:t xml:space="preserve">” </w:t>
      </w:r>
      <w:r w:rsidR="00563EC5" w:rsidRPr="00563EC5">
        <w:rPr>
          <w:rFonts w:ascii="Times New Roman" w:hAnsi="Times New Roman"/>
          <w:sz w:val="24"/>
          <w:szCs w:val="24"/>
        </w:rPr>
        <w:t>Carpenter was convicted on all</w:t>
      </w:r>
      <w:r w:rsidR="00563EC5">
        <w:rPr>
          <w:rFonts w:ascii="Times New Roman" w:hAnsi="Times New Roman"/>
          <w:sz w:val="24"/>
          <w:szCs w:val="24"/>
        </w:rPr>
        <w:t xml:space="preserve"> </w:t>
      </w:r>
      <w:r w:rsidR="00563EC5" w:rsidRPr="00563EC5">
        <w:rPr>
          <w:rFonts w:ascii="Times New Roman" w:hAnsi="Times New Roman"/>
          <w:sz w:val="24"/>
          <w:szCs w:val="24"/>
        </w:rPr>
        <w:t xml:space="preserve">but one of the </w:t>
      </w:r>
      <w:proofErr w:type="gramStart"/>
      <w:r w:rsidR="00563EC5" w:rsidRPr="00563EC5">
        <w:rPr>
          <w:rFonts w:ascii="Times New Roman" w:hAnsi="Times New Roman"/>
          <w:sz w:val="24"/>
          <w:szCs w:val="24"/>
        </w:rPr>
        <w:t>firearm</w:t>
      </w:r>
      <w:proofErr w:type="gramEnd"/>
      <w:r w:rsidR="00563EC5" w:rsidRPr="00563EC5">
        <w:rPr>
          <w:rFonts w:ascii="Times New Roman" w:hAnsi="Times New Roman"/>
          <w:sz w:val="24"/>
          <w:szCs w:val="24"/>
        </w:rPr>
        <w:t xml:space="preserve"> counts and sentenced to more than 100 years in prison.</w:t>
      </w:r>
      <w:r w:rsidR="00563EC5">
        <w:rPr>
          <w:rFonts w:ascii="Times New Roman" w:hAnsi="Times New Roman"/>
          <w:sz w:val="24"/>
          <w:szCs w:val="24"/>
        </w:rPr>
        <w:t xml:space="preserve"> [Conviction reversed.]</w:t>
      </w:r>
    </w:p>
    <w:p w14:paraId="5D123938" w14:textId="1F29F6C8" w:rsidR="00E63D2F" w:rsidRDefault="00E63D2F" w:rsidP="007A61C9">
      <w:pPr>
        <w:pStyle w:val="NoSpacing"/>
        <w:rPr>
          <w:rFonts w:ascii="Times New Roman" w:hAnsi="Times New Roman"/>
          <w:sz w:val="24"/>
          <w:szCs w:val="24"/>
        </w:rPr>
      </w:pPr>
    </w:p>
    <w:p w14:paraId="27ED1D8A" w14:textId="77777777" w:rsidR="00E63D2F" w:rsidRDefault="00E63D2F" w:rsidP="007A61C9">
      <w:pPr>
        <w:pStyle w:val="NoSpacing"/>
        <w:rPr>
          <w:rFonts w:ascii="Times New Roman" w:hAnsi="Times New Roman"/>
          <w:sz w:val="24"/>
          <w:szCs w:val="24"/>
        </w:rPr>
      </w:pPr>
    </w:p>
    <w:p w14:paraId="3AEFB889" w14:textId="540EAD2A" w:rsidR="00563EC5" w:rsidRPr="00563EC5" w:rsidRDefault="00E63D2F" w:rsidP="00E63D2F">
      <w:pPr>
        <w:pStyle w:val="NoSpacing"/>
        <w:ind w:left="720"/>
        <w:rPr>
          <w:rFonts w:ascii="Times New Roman" w:hAnsi="Times New Roman"/>
          <w:sz w:val="24"/>
          <w:szCs w:val="24"/>
        </w:rPr>
      </w:pPr>
      <w:r>
        <w:rPr>
          <w:rFonts w:ascii="Times New Roman" w:hAnsi="Times New Roman"/>
          <w:sz w:val="24"/>
          <w:szCs w:val="24"/>
        </w:rPr>
        <w:t>“</w:t>
      </w:r>
      <w:r w:rsidR="007A61C9" w:rsidRPr="007A61C9">
        <w:rPr>
          <w:rFonts w:ascii="Times New Roman" w:hAnsi="Times New Roman"/>
          <w:sz w:val="24"/>
          <w:szCs w:val="24"/>
        </w:rPr>
        <w:t>In 2011, police officers arrested four men suspected of</w:t>
      </w:r>
      <w:r>
        <w:rPr>
          <w:rFonts w:ascii="Times New Roman" w:hAnsi="Times New Roman"/>
          <w:sz w:val="24"/>
          <w:szCs w:val="24"/>
        </w:rPr>
        <w:t xml:space="preserve"> </w:t>
      </w:r>
      <w:r w:rsidR="007A61C9" w:rsidRPr="007A61C9">
        <w:rPr>
          <w:rFonts w:ascii="Times New Roman" w:hAnsi="Times New Roman"/>
          <w:sz w:val="24"/>
          <w:szCs w:val="24"/>
        </w:rPr>
        <w:t>robbing a series of Radio Shack and (ironically enough) T-Mobile stores in Detroit. One of the men confessed that, over the previous four months, the group (along with a rotating cast of getaway drivers and lookouts) had robbed</w:t>
      </w:r>
      <w:r>
        <w:rPr>
          <w:rFonts w:ascii="Times New Roman" w:hAnsi="Times New Roman"/>
          <w:sz w:val="24"/>
          <w:szCs w:val="24"/>
        </w:rPr>
        <w:t xml:space="preserve"> </w:t>
      </w:r>
      <w:r w:rsidR="007A61C9" w:rsidRPr="007A61C9">
        <w:rPr>
          <w:rFonts w:ascii="Times New Roman" w:hAnsi="Times New Roman"/>
          <w:sz w:val="24"/>
          <w:szCs w:val="24"/>
        </w:rPr>
        <w:t>nine different stores in Michigan and Ohio. The suspect</w:t>
      </w:r>
      <w:r>
        <w:rPr>
          <w:rFonts w:ascii="Times New Roman" w:hAnsi="Times New Roman"/>
          <w:sz w:val="24"/>
          <w:szCs w:val="24"/>
        </w:rPr>
        <w:t xml:space="preserve"> </w:t>
      </w:r>
      <w:r w:rsidR="007A61C9" w:rsidRPr="007A61C9">
        <w:rPr>
          <w:rFonts w:ascii="Times New Roman" w:hAnsi="Times New Roman"/>
          <w:sz w:val="24"/>
          <w:szCs w:val="24"/>
        </w:rPr>
        <w:t>identified 15 accomplices who had participated in the heists and gave the FBI some of their cell phone numbers;</w:t>
      </w:r>
      <w:r>
        <w:rPr>
          <w:rFonts w:ascii="Times New Roman" w:hAnsi="Times New Roman"/>
          <w:sz w:val="24"/>
          <w:szCs w:val="24"/>
        </w:rPr>
        <w:t xml:space="preserve"> </w:t>
      </w:r>
      <w:r w:rsidR="007A61C9" w:rsidRPr="007A61C9">
        <w:rPr>
          <w:rFonts w:ascii="Times New Roman" w:hAnsi="Times New Roman"/>
          <w:sz w:val="24"/>
          <w:szCs w:val="24"/>
        </w:rPr>
        <w:t>the FBI then reviewed his call records to identify additional numbers that he had called around the time of the robberies. *** Federal Magistrate Judges issued two</w:t>
      </w:r>
      <w:r>
        <w:rPr>
          <w:rFonts w:ascii="Times New Roman" w:hAnsi="Times New Roman"/>
          <w:sz w:val="24"/>
          <w:szCs w:val="24"/>
        </w:rPr>
        <w:t xml:space="preserve"> </w:t>
      </w:r>
      <w:r w:rsidR="007A61C9" w:rsidRPr="007A61C9">
        <w:rPr>
          <w:rFonts w:ascii="Times New Roman" w:hAnsi="Times New Roman"/>
          <w:sz w:val="24"/>
          <w:szCs w:val="24"/>
        </w:rPr>
        <w:t>orders directing Carpenter’s wireless carriers—Metro</w:t>
      </w:r>
      <w:r w:rsidR="00563EC5">
        <w:rPr>
          <w:rFonts w:ascii="Times New Roman" w:hAnsi="Times New Roman"/>
          <w:sz w:val="24"/>
          <w:szCs w:val="24"/>
        </w:rPr>
        <w:t xml:space="preserve"> </w:t>
      </w:r>
      <w:r w:rsidR="007A61C9" w:rsidRPr="007A61C9">
        <w:rPr>
          <w:rFonts w:ascii="Times New Roman" w:hAnsi="Times New Roman"/>
          <w:sz w:val="24"/>
          <w:szCs w:val="24"/>
        </w:rPr>
        <w:t>PCS</w:t>
      </w:r>
      <w:r w:rsidR="00563EC5">
        <w:rPr>
          <w:rFonts w:ascii="Times New Roman" w:hAnsi="Times New Roman"/>
          <w:sz w:val="24"/>
          <w:szCs w:val="24"/>
        </w:rPr>
        <w:t xml:space="preserve"> </w:t>
      </w:r>
      <w:r w:rsidR="007A61C9" w:rsidRPr="007A61C9">
        <w:rPr>
          <w:rFonts w:ascii="Times New Roman" w:hAnsi="Times New Roman"/>
          <w:sz w:val="24"/>
          <w:szCs w:val="24"/>
        </w:rPr>
        <w:t xml:space="preserve">and Sprint—to disclose </w:t>
      </w:r>
      <w:r w:rsidR="00563EC5">
        <w:rPr>
          <w:rFonts w:ascii="Times New Roman" w:hAnsi="Times New Roman"/>
          <w:sz w:val="24"/>
          <w:szCs w:val="24"/>
        </w:rPr>
        <w:t>‘</w:t>
      </w:r>
      <w:r w:rsidR="007A61C9" w:rsidRPr="007A61C9">
        <w:rPr>
          <w:rFonts w:ascii="Times New Roman" w:hAnsi="Times New Roman"/>
          <w:sz w:val="24"/>
          <w:szCs w:val="24"/>
        </w:rPr>
        <w:t>cell/site sector [information] for [Carpenter’s] telephone[ ] at call origination and at call</w:t>
      </w:r>
      <w:r w:rsidR="00563EC5">
        <w:rPr>
          <w:rFonts w:ascii="Times New Roman" w:hAnsi="Times New Roman"/>
          <w:sz w:val="24"/>
          <w:szCs w:val="24"/>
        </w:rPr>
        <w:t xml:space="preserve"> </w:t>
      </w:r>
      <w:r w:rsidR="007A61C9" w:rsidRPr="007A61C9">
        <w:rPr>
          <w:rFonts w:ascii="Times New Roman" w:hAnsi="Times New Roman"/>
          <w:sz w:val="24"/>
          <w:szCs w:val="24"/>
        </w:rPr>
        <w:t>termination for incoming and outgoing calls</w:t>
      </w:r>
      <w:r w:rsidR="00563EC5">
        <w:rPr>
          <w:rFonts w:ascii="Times New Roman" w:hAnsi="Times New Roman"/>
          <w:sz w:val="24"/>
          <w:szCs w:val="24"/>
        </w:rPr>
        <w:t>’</w:t>
      </w:r>
      <w:r w:rsidR="007A61C9" w:rsidRPr="007A61C9">
        <w:rPr>
          <w:rFonts w:ascii="Times New Roman" w:hAnsi="Times New Roman"/>
          <w:sz w:val="24"/>
          <w:szCs w:val="24"/>
        </w:rPr>
        <w:t xml:space="preserve"> during the</w:t>
      </w:r>
      <w:r w:rsidR="00563EC5">
        <w:rPr>
          <w:rFonts w:ascii="Times New Roman" w:hAnsi="Times New Roman"/>
          <w:sz w:val="24"/>
          <w:szCs w:val="24"/>
        </w:rPr>
        <w:t xml:space="preserve"> </w:t>
      </w:r>
      <w:r w:rsidR="007A61C9" w:rsidRPr="007A61C9">
        <w:rPr>
          <w:rFonts w:ascii="Times New Roman" w:hAnsi="Times New Roman"/>
          <w:sz w:val="24"/>
          <w:szCs w:val="24"/>
        </w:rPr>
        <w:t>four-month period when the string of robberies occurred</w:t>
      </w:r>
      <w:r w:rsidR="00563EC5">
        <w:rPr>
          <w:rFonts w:ascii="Times New Roman" w:hAnsi="Times New Roman"/>
          <w:sz w:val="24"/>
          <w:szCs w:val="24"/>
        </w:rPr>
        <w:t xml:space="preserve">…. </w:t>
      </w:r>
      <w:r w:rsidR="007A61C9" w:rsidRPr="007A61C9">
        <w:rPr>
          <w:rFonts w:ascii="Times New Roman" w:hAnsi="Times New Roman"/>
          <w:sz w:val="24"/>
          <w:szCs w:val="24"/>
        </w:rPr>
        <w:t>The first order sought 152days of cell-site records from MetroPCS, which produced</w:t>
      </w:r>
      <w:r w:rsidR="00563EC5">
        <w:rPr>
          <w:rFonts w:ascii="Times New Roman" w:hAnsi="Times New Roman"/>
          <w:sz w:val="24"/>
          <w:szCs w:val="24"/>
        </w:rPr>
        <w:t xml:space="preserve"> </w:t>
      </w:r>
      <w:r w:rsidR="007A61C9" w:rsidRPr="007A61C9">
        <w:rPr>
          <w:rFonts w:ascii="Times New Roman" w:hAnsi="Times New Roman"/>
          <w:sz w:val="24"/>
          <w:szCs w:val="24"/>
        </w:rPr>
        <w:t>records spanning 127 days. The second order requested seven days of CSLI from Sprint, which produced two days</w:t>
      </w:r>
      <w:r w:rsidR="00563EC5">
        <w:rPr>
          <w:rFonts w:ascii="Times New Roman" w:hAnsi="Times New Roman"/>
          <w:sz w:val="24"/>
          <w:szCs w:val="24"/>
        </w:rPr>
        <w:t xml:space="preserve"> </w:t>
      </w:r>
      <w:r w:rsidR="007A61C9" w:rsidRPr="007A61C9">
        <w:rPr>
          <w:rFonts w:ascii="Times New Roman" w:hAnsi="Times New Roman"/>
          <w:sz w:val="24"/>
          <w:szCs w:val="24"/>
        </w:rPr>
        <w:t xml:space="preserve">of records covering the period when Carpenter’s phone was </w:t>
      </w:r>
      <w:r w:rsidR="00563EC5">
        <w:rPr>
          <w:rFonts w:ascii="Times New Roman" w:hAnsi="Times New Roman"/>
          <w:sz w:val="24"/>
          <w:szCs w:val="24"/>
        </w:rPr>
        <w:t>‘</w:t>
      </w:r>
      <w:r w:rsidR="007A61C9" w:rsidRPr="007A61C9">
        <w:rPr>
          <w:rFonts w:ascii="Times New Roman" w:hAnsi="Times New Roman"/>
          <w:sz w:val="24"/>
          <w:szCs w:val="24"/>
        </w:rPr>
        <w:t>roaming</w:t>
      </w:r>
      <w:r w:rsidR="00563EC5">
        <w:rPr>
          <w:rFonts w:ascii="Times New Roman" w:hAnsi="Times New Roman"/>
          <w:sz w:val="24"/>
          <w:szCs w:val="24"/>
        </w:rPr>
        <w:t>’</w:t>
      </w:r>
      <w:r w:rsidR="007A61C9" w:rsidRPr="007A61C9">
        <w:rPr>
          <w:rFonts w:ascii="Times New Roman" w:hAnsi="Times New Roman"/>
          <w:sz w:val="24"/>
          <w:szCs w:val="24"/>
        </w:rPr>
        <w:t xml:space="preserve"> in northeastern Ohio. Altogether the Government obtained 12,898 location points cataloging Carpenter’s </w:t>
      </w:r>
      <w:proofErr w:type="gramStart"/>
      <w:r w:rsidR="007A61C9" w:rsidRPr="007A61C9">
        <w:rPr>
          <w:rFonts w:ascii="Times New Roman" w:hAnsi="Times New Roman"/>
          <w:sz w:val="24"/>
          <w:szCs w:val="24"/>
        </w:rPr>
        <w:t>movements—</w:t>
      </w:r>
      <w:proofErr w:type="gramEnd"/>
      <w:r w:rsidR="007A61C9" w:rsidRPr="007A61C9">
        <w:rPr>
          <w:rFonts w:ascii="Times New Roman" w:hAnsi="Times New Roman"/>
          <w:sz w:val="24"/>
          <w:szCs w:val="24"/>
        </w:rPr>
        <w:t>an average of 101 data points per day. *** The Government acquired the cell-site records pursuant</w:t>
      </w:r>
      <w:r w:rsidR="00563EC5">
        <w:rPr>
          <w:rFonts w:ascii="Times New Roman" w:hAnsi="Times New Roman"/>
          <w:sz w:val="24"/>
          <w:szCs w:val="24"/>
        </w:rPr>
        <w:t xml:space="preserve"> </w:t>
      </w:r>
      <w:r w:rsidR="007A61C9" w:rsidRPr="007A61C9">
        <w:rPr>
          <w:rFonts w:ascii="Times New Roman" w:hAnsi="Times New Roman"/>
          <w:sz w:val="24"/>
          <w:szCs w:val="24"/>
        </w:rPr>
        <w:t xml:space="preserve">to a court order issued under the Stored Communications Act, which required the Government to show </w:t>
      </w:r>
      <w:r w:rsidR="00563EC5">
        <w:rPr>
          <w:rFonts w:ascii="Times New Roman" w:hAnsi="Times New Roman"/>
          <w:sz w:val="24"/>
          <w:szCs w:val="24"/>
        </w:rPr>
        <w:t>‘</w:t>
      </w:r>
      <w:r w:rsidR="007A61C9" w:rsidRPr="007A61C9">
        <w:rPr>
          <w:rFonts w:ascii="Times New Roman" w:hAnsi="Times New Roman"/>
          <w:sz w:val="24"/>
          <w:szCs w:val="24"/>
        </w:rPr>
        <w:t>reasonable grounds</w:t>
      </w:r>
      <w:r w:rsidR="00563EC5">
        <w:rPr>
          <w:rFonts w:ascii="Times New Roman" w:hAnsi="Times New Roman"/>
          <w:sz w:val="24"/>
          <w:szCs w:val="24"/>
        </w:rPr>
        <w:t>’</w:t>
      </w:r>
      <w:r w:rsidR="007A61C9" w:rsidRPr="007A61C9">
        <w:rPr>
          <w:rFonts w:ascii="Times New Roman" w:hAnsi="Times New Roman"/>
          <w:sz w:val="24"/>
          <w:szCs w:val="24"/>
        </w:rPr>
        <w:t xml:space="preserve"> for believing that the records were “relevant and material to an ongoing investigation.” 18 U. S. C. §2703(d). That showing falls well short of the probable cause required for a warrant.</w:t>
      </w:r>
      <w:r w:rsidR="00563EC5">
        <w:rPr>
          <w:rFonts w:ascii="Times New Roman" w:hAnsi="Times New Roman"/>
          <w:sz w:val="24"/>
          <w:szCs w:val="24"/>
        </w:rPr>
        <w:t xml:space="preserve"> *** </w:t>
      </w:r>
      <w:r w:rsidR="00563EC5" w:rsidRPr="00563EC5">
        <w:rPr>
          <w:rFonts w:ascii="Times New Roman" w:hAnsi="Times New Roman"/>
          <w:sz w:val="24"/>
          <w:szCs w:val="24"/>
        </w:rPr>
        <w:t>Consequently, an order issued under Section 2703(d) of the Act is not a</w:t>
      </w:r>
      <w:r w:rsidR="00563EC5">
        <w:rPr>
          <w:rFonts w:ascii="Times New Roman" w:hAnsi="Times New Roman"/>
          <w:sz w:val="24"/>
          <w:szCs w:val="24"/>
        </w:rPr>
        <w:t xml:space="preserve"> </w:t>
      </w:r>
      <w:r w:rsidR="00563EC5" w:rsidRPr="00563EC5">
        <w:rPr>
          <w:rFonts w:ascii="Times New Roman" w:hAnsi="Times New Roman"/>
          <w:sz w:val="24"/>
          <w:szCs w:val="24"/>
        </w:rPr>
        <w:t>permissible mechanism for accessing historical cell-site</w:t>
      </w:r>
      <w:r w:rsidR="00563EC5">
        <w:rPr>
          <w:rFonts w:ascii="Times New Roman" w:hAnsi="Times New Roman"/>
          <w:sz w:val="24"/>
          <w:szCs w:val="24"/>
        </w:rPr>
        <w:t xml:space="preserve"> </w:t>
      </w:r>
      <w:r w:rsidR="00563EC5" w:rsidRPr="00563EC5">
        <w:rPr>
          <w:rFonts w:ascii="Times New Roman" w:hAnsi="Times New Roman"/>
          <w:sz w:val="24"/>
          <w:szCs w:val="24"/>
        </w:rPr>
        <w:t>records. Before compelling a wireless carrier to turn over</w:t>
      </w:r>
      <w:r w:rsidR="00563EC5">
        <w:rPr>
          <w:rFonts w:ascii="Times New Roman" w:hAnsi="Times New Roman"/>
          <w:sz w:val="24"/>
          <w:szCs w:val="24"/>
        </w:rPr>
        <w:t xml:space="preserve"> </w:t>
      </w:r>
      <w:r w:rsidR="00563EC5" w:rsidRPr="00563EC5">
        <w:rPr>
          <w:rFonts w:ascii="Times New Roman" w:hAnsi="Times New Roman"/>
          <w:sz w:val="24"/>
          <w:szCs w:val="24"/>
        </w:rPr>
        <w:t>a subscriber’s CSLI, the Government’s obligation is a familiar one—get a warrant.</w:t>
      </w:r>
      <w:r w:rsidR="00563EC5">
        <w:rPr>
          <w:rFonts w:ascii="Times New Roman" w:hAnsi="Times New Roman"/>
          <w:sz w:val="24"/>
          <w:szCs w:val="24"/>
        </w:rPr>
        <w:t>”</w:t>
      </w:r>
    </w:p>
    <w:p w14:paraId="0AC10B06" w14:textId="2BBE3478" w:rsidR="007A61C9" w:rsidRPr="007A61C9" w:rsidRDefault="00563EC5" w:rsidP="00E63D2F">
      <w:pPr>
        <w:pStyle w:val="NoSpacing"/>
        <w:ind w:left="720"/>
        <w:rPr>
          <w:rFonts w:ascii="Times New Roman" w:hAnsi="Times New Roman"/>
          <w:sz w:val="24"/>
          <w:szCs w:val="24"/>
        </w:rPr>
      </w:pPr>
      <w:r>
        <w:rPr>
          <w:rFonts w:ascii="Times New Roman" w:hAnsi="Times New Roman"/>
          <w:sz w:val="24"/>
          <w:szCs w:val="24"/>
        </w:rPr>
        <w:t xml:space="preserve"> </w:t>
      </w:r>
      <w:hyperlink r:id="rId847" w:history="1">
        <w:r w:rsidRPr="00CE69EB">
          <w:rPr>
            <w:rStyle w:val="Hyperlink"/>
            <w:rFonts w:ascii="Times New Roman" w:hAnsi="Times New Roman"/>
            <w:sz w:val="24"/>
            <w:szCs w:val="24"/>
          </w:rPr>
          <w:t>https://www.supremecourt.gov/opinions/17pdf/16-402_h315.pdf</w:t>
        </w:r>
      </w:hyperlink>
      <w:r>
        <w:rPr>
          <w:rFonts w:ascii="Times New Roman" w:hAnsi="Times New Roman"/>
          <w:sz w:val="24"/>
          <w:szCs w:val="24"/>
        </w:rPr>
        <w:t xml:space="preserve"> </w:t>
      </w:r>
    </w:p>
    <w:p w14:paraId="1E5B8DEC" w14:textId="3960500E" w:rsidR="007A61C9" w:rsidRPr="007A61C9" w:rsidRDefault="007A61C9" w:rsidP="007A61C9">
      <w:pPr>
        <w:pStyle w:val="NoSpacing"/>
        <w:rPr>
          <w:rFonts w:ascii="Times New Roman" w:hAnsi="Times New Roman"/>
          <w:sz w:val="24"/>
          <w:szCs w:val="24"/>
        </w:rPr>
      </w:pPr>
    </w:p>
    <w:p w14:paraId="62CB4E78" w14:textId="41AF97EA" w:rsidR="007A61C9" w:rsidRPr="00563EC5" w:rsidRDefault="00563EC5" w:rsidP="007A61C9">
      <w:pPr>
        <w:pStyle w:val="NoSpacing"/>
        <w:rPr>
          <w:rFonts w:ascii="Times New Roman" w:hAnsi="Times New Roman"/>
          <w:b/>
          <w:bCs/>
          <w:sz w:val="24"/>
          <w:szCs w:val="24"/>
        </w:rPr>
      </w:pPr>
      <w:r w:rsidRPr="00563EC5">
        <w:rPr>
          <w:rFonts w:ascii="Times New Roman" w:hAnsi="Times New Roman"/>
          <w:b/>
          <w:bCs/>
          <w:sz w:val="24"/>
          <w:szCs w:val="24"/>
        </w:rPr>
        <w:t>Legal Lessons Learned: The Court recognized an exception for emergencies</w:t>
      </w:r>
      <w:r w:rsidR="00EC7466">
        <w:rPr>
          <w:rFonts w:ascii="Times New Roman" w:hAnsi="Times New Roman"/>
          <w:b/>
          <w:bCs/>
          <w:sz w:val="24"/>
          <w:szCs w:val="24"/>
        </w:rPr>
        <w:t>; bomb threats</w:t>
      </w:r>
      <w:r w:rsidR="00A247E4">
        <w:rPr>
          <w:rFonts w:ascii="Times New Roman" w:hAnsi="Times New Roman"/>
          <w:b/>
          <w:bCs/>
          <w:sz w:val="24"/>
          <w:szCs w:val="24"/>
        </w:rPr>
        <w:t xml:space="preserve">; active shootings; child abductions. </w:t>
      </w:r>
      <w:r w:rsidRPr="00563EC5">
        <w:rPr>
          <w:rFonts w:ascii="Times New Roman" w:hAnsi="Times New Roman"/>
          <w:b/>
          <w:bCs/>
          <w:sz w:val="24"/>
          <w:szCs w:val="24"/>
        </w:rPr>
        <w:t>“</w:t>
      </w:r>
      <w:r w:rsidR="007A61C9" w:rsidRPr="00563EC5">
        <w:rPr>
          <w:rFonts w:ascii="Times New Roman" w:hAnsi="Times New Roman"/>
          <w:b/>
          <w:bCs/>
          <w:sz w:val="24"/>
          <w:szCs w:val="24"/>
        </w:rPr>
        <w:t xml:space="preserve">As a result, if law enforcement is confronted with an urgent situation, such fact-specific threats will likely justify the warrantless collection of CSLI. Lower courts, for instance, have </w:t>
      </w:r>
      <w:r w:rsidR="007A61C9" w:rsidRPr="00563EC5">
        <w:rPr>
          <w:rFonts w:ascii="Times New Roman" w:hAnsi="Times New Roman"/>
          <w:b/>
          <w:bCs/>
          <w:sz w:val="24"/>
          <w:szCs w:val="24"/>
        </w:rPr>
        <w:lastRenderedPageBreak/>
        <w:t>approved warrantless searches related to bomb threats, active shootings, and child abductions. Our decision today does not call into doubt warrantless access to CSLI in such circumstances. While police must</w:t>
      </w:r>
      <w:r w:rsidRPr="00563EC5">
        <w:rPr>
          <w:rFonts w:ascii="Times New Roman" w:hAnsi="Times New Roman"/>
          <w:b/>
          <w:bCs/>
          <w:sz w:val="24"/>
          <w:szCs w:val="24"/>
        </w:rPr>
        <w:t xml:space="preserve"> </w:t>
      </w:r>
      <w:r w:rsidR="007A61C9" w:rsidRPr="00563EC5">
        <w:rPr>
          <w:rFonts w:ascii="Times New Roman" w:hAnsi="Times New Roman"/>
          <w:b/>
          <w:bCs/>
          <w:sz w:val="24"/>
          <w:szCs w:val="24"/>
        </w:rPr>
        <w:t>get a warrant when collecting CSLI to assist in the mine</w:t>
      </w:r>
      <w:r w:rsidRPr="00563EC5">
        <w:rPr>
          <w:rFonts w:ascii="Times New Roman" w:hAnsi="Times New Roman"/>
          <w:b/>
          <w:bCs/>
          <w:sz w:val="24"/>
          <w:szCs w:val="24"/>
        </w:rPr>
        <w:t>-</w:t>
      </w:r>
      <w:r w:rsidR="007A61C9" w:rsidRPr="00563EC5">
        <w:rPr>
          <w:rFonts w:ascii="Times New Roman" w:hAnsi="Times New Roman"/>
          <w:b/>
          <w:bCs/>
          <w:sz w:val="24"/>
          <w:szCs w:val="24"/>
        </w:rPr>
        <w:t>run criminal investigation, the rule we set forth does not</w:t>
      </w:r>
      <w:r w:rsidRPr="00563EC5">
        <w:rPr>
          <w:rFonts w:ascii="Times New Roman" w:hAnsi="Times New Roman"/>
          <w:b/>
          <w:bCs/>
          <w:sz w:val="24"/>
          <w:szCs w:val="24"/>
        </w:rPr>
        <w:t xml:space="preserve"> </w:t>
      </w:r>
      <w:r w:rsidR="007A61C9" w:rsidRPr="00563EC5">
        <w:rPr>
          <w:rFonts w:ascii="Times New Roman" w:hAnsi="Times New Roman"/>
          <w:b/>
          <w:bCs/>
          <w:sz w:val="24"/>
          <w:szCs w:val="24"/>
        </w:rPr>
        <w:t>limit their ability to respond to an ongoing emergency.</w:t>
      </w:r>
      <w:r w:rsidRPr="00563EC5">
        <w:rPr>
          <w:rFonts w:ascii="Times New Roman" w:hAnsi="Times New Roman"/>
          <w:b/>
          <w:bCs/>
          <w:sz w:val="24"/>
          <w:szCs w:val="24"/>
        </w:rPr>
        <w:t>”</w:t>
      </w:r>
    </w:p>
    <w:p w14:paraId="62CAEAA1" w14:textId="77777777" w:rsidR="00A247E4" w:rsidRDefault="00A247E4" w:rsidP="00A247E4">
      <w:pPr>
        <w:pStyle w:val="NoSpacing"/>
        <w:rPr>
          <w:rFonts w:ascii="Times New Roman" w:hAnsi="Times New Roman"/>
          <w:color w:val="4A4A4A"/>
          <w:sz w:val="24"/>
          <w:szCs w:val="24"/>
          <w:lang w:val="en"/>
        </w:rPr>
      </w:pPr>
    </w:p>
    <w:p w14:paraId="63844815" w14:textId="5C983E81" w:rsidR="00A247E4" w:rsidRPr="00A247E4" w:rsidRDefault="00A247E4" w:rsidP="00A247E4">
      <w:pPr>
        <w:pStyle w:val="NoSpacing"/>
        <w:ind w:left="720"/>
        <w:rPr>
          <w:rFonts w:ascii="Times New Roman" w:hAnsi="Times New Roman"/>
          <w:sz w:val="24"/>
          <w:szCs w:val="24"/>
        </w:rPr>
      </w:pPr>
      <w:r w:rsidRPr="00A247E4">
        <w:rPr>
          <w:rFonts w:ascii="Times New Roman" w:hAnsi="Times New Roman"/>
          <w:color w:val="4A4A4A"/>
          <w:sz w:val="24"/>
          <w:szCs w:val="24"/>
          <w:lang w:val="en"/>
        </w:rPr>
        <w:t xml:space="preserve">See article on this “landmark” case: </w:t>
      </w:r>
      <w:r>
        <w:rPr>
          <w:rFonts w:ascii="Times New Roman" w:hAnsi="Times New Roman"/>
          <w:color w:val="4A4A4A"/>
          <w:sz w:val="24"/>
          <w:szCs w:val="24"/>
          <w:lang w:val="en"/>
        </w:rPr>
        <w:t>“</w:t>
      </w:r>
      <w:r w:rsidRPr="00A247E4">
        <w:rPr>
          <w:rStyle w:val="balancedheadline"/>
          <w:rFonts w:ascii="Times New Roman" w:hAnsi="Times New Roman"/>
          <w:sz w:val="24"/>
          <w:szCs w:val="24"/>
        </w:rPr>
        <w:t>In Ruling on Cellphone Location Data, Supreme Court Makes Statement on Digital Privacy</w:t>
      </w:r>
      <w:r>
        <w:rPr>
          <w:rStyle w:val="balancedheadline"/>
          <w:rFonts w:ascii="Times New Roman" w:hAnsi="Times New Roman"/>
          <w:sz w:val="24"/>
          <w:szCs w:val="24"/>
        </w:rPr>
        <w:t>”;</w:t>
      </w:r>
      <w:r w:rsidRPr="00A247E4">
        <w:rPr>
          <w:rStyle w:val="balancedheadline"/>
          <w:rFonts w:ascii="Times New Roman" w:hAnsi="Times New Roman"/>
          <w:sz w:val="24"/>
          <w:szCs w:val="24"/>
        </w:rPr>
        <w:t xml:space="preserve"> </w:t>
      </w:r>
      <w:hyperlink r:id="rId848" w:history="1">
        <w:r w:rsidRPr="00A247E4">
          <w:rPr>
            <w:rStyle w:val="Hyperlink"/>
            <w:rFonts w:ascii="Times New Roman" w:hAnsi="Times New Roman"/>
            <w:sz w:val="24"/>
            <w:szCs w:val="24"/>
          </w:rPr>
          <w:t>https://www.nytimes.com/2018/06/22/us/politics/supreme-court-warrants-cell-phone-privacy.html</w:t>
        </w:r>
      </w:hyperlink>
      <w:r w:rsidRPr="00A247E4">
        <w:rPr>
          <w:rStyle w:val="balancedheadline"/>
          <w:rFonts w:ascii="Times New Roman" w:hAnsi="Times New Roman"/>
          <w:sz w:val="24"/>
          <w:szCs w:val="24"/>
        </w:rPr>
        <w:t xml:space="preserve"> </w:t>
      </w:r>
    </w:p>
    <w:p w14:paraId="10D2DDFF" w14:textId="64CE3D58" w:rsidR="007A61C9" w:rsidRPr="00A247E4" w:rsidRDefault="007A61C9" w:rsidP="00A247E4">
      <w:pPr>
        <w:ind w:left="720"/>
        <w:rPr>
          <w:rFonts w:ascii="SeeTimes New Roman" w:hAnsi="SeeTimes New Roman"/>
          <w:color w:val="4A4A4A"/>
          <w:sz w:val="24"/>
          <w:szCs w:val="24"/>
          <w:lang w:val="en"/>
        </w:rPr>
      </w:pPr>
    </w:p>
    <w:p w14:paraId="1FA30891" w14:textId="77777777" w:rsidR="007A61C9" w:rsidRDefault="007A61C9" w:rsidP="00F326E5">
      <w:pPr>
        <w:rPr>
          <w:rFonts w:ascii="Arial Black" w:hAnsi="Arial Black"/>
          <w:color w:val="4A4A4A"/>
          <w:sz w:val="24"/>
          <w:szCs w:val="24"/>
          <w:lang w:val="en"/>
        </w:rPr>
      </w:pPr>
    </w:p>
    <w:p w14:paraId="5C52CCA7" w14:textId="4AFE7A34" w:rsidR="00F326E5" w:rsidRPr="00573BE0" w:rsidRDefault="00EF1133" w:rsidP="00F326E5">
      <w:pPr>
        <w:rPr>
          <w:rFonts w:eastAsia="Times New Roman"/>
        </w:rPr>
      </w:pPr>
      <w:r w:rsidRPr="00EF1133">
        <w:rPr>
          <w:rFonts w:ascii="Arial Black" w:hAnsi="Arial Black"/>
          <w:color w:val="4A4A4A"/>
          <w:sz w:val="24"/>
          <w:szCs w:val="24"/>
          <w:lang w:val="en"/>
        </w:rPr>
        <w:t>3-</w:t>
      </w:r>
      <w:r>
        <w:rPr>
          <w:rFonts w:ascii="Arial Black" w:hAnsi="Arial Black"/>
          <w:color w:val="4A4A4A"/>
          <w:sz w:val="24"/>
          <w:szCs w:val="24"/>
          <w:lang w:val="en"/>
        </w:rPr>
        <w:t>5</w:t>
      </w:r>
    </w:p>
    <w:p w14:paraId="6F8214A2" w14:textId="61AD7644" w:rsidR="00F326E5" w:rsidRDefault="00F326E5" w:rsidP="00F326E5">
      <w:pPr>
        <w:pStyle w:val="NoSpacing"/>
        <w:rPr>
          <w:rFonts w:ascii="Arial Black" w:hAnsi="Arial Black"/>
          <w:b/>
          <w:sz w:val="28"/>
          <w:szCs w:val="28"/>
        </w:rPr>
      </w:pPr>
      <w:bookmarkStart w:id="167" w:name="_Hlk7341789"/>
      <w:r w:rsidRPr="009C2749">
        <w:rPr>
          <w:rFonts w:ascii="Arial Black" w:hAnsi="Arial Black"/>
          <w:b/>
          <w:sz w:val="28"/>
          <w:szCs w:val="28"/>
        </w:rPr>
        <w:t>NY</w:t>
      </w:r>
      <w:r>
        <w:rPr>
          <w:rFonts w:ascii="Arial Black" w:hAnsi="Arial Black"/>
          <w:b/>
          <w:sz w:val="28"/>
          <w:szCs w:val="28"/>
        </w:rPr>
        <w:t xml:space="preserve">: EMPLOYEES OF BATTERY PARK CITY AUTHORITY MAY SUE BUILDING OWNER FOR </w:t>
      </w:r>
      <w:r w:rsidRPr="009C2749">
        <w:rPr>
          <w:rFonts w:ascii="Arial Black" w:hAnsi="Arial Black"/>
          <w:b/>
          <w:sz w:val="28"/>
          <w:szCs w:val="28"/>
        </w:rPr>
        <w:t xml:space="preserve">9/11 </w:t>
      </w:r>
      <w:r>
        <w:rPr>
          <w:rFonts w:ascii="Arial Black" w:hAnsi="Arial Black"/>
          <w:b/>
          <w:sz w:val="28"/>
          <w:szCs w:val="28"/>
        </w:rPr>
        <w:t xml:space="preserve">INJURIES </w:t>
      </w:r>
    </w:p>
    <w:p w14:paraId="6C5E6F41" w14:textId="77777777" w:rsidR="00F326E5" w:rsidRPr="0036327D" w:rsidRDefault="00F326E5" w:rsidP="00F326E5">
      <w:pPr>
        <w:pStyle w:val="NoSpacing"/>
        <w:rPr>
          <w:rFonts w:ascii="Times New Roman" w:hAnsi="Times New Roman"/>
          <w:sz w:val="24"/>
          <w:szCs w:val="24"/>
        </w:rPr>
      </w:pPr>
      <w:r w:rsidRPr="0036327D">
        <w:rPr>
          <w:rFonts w:ascii="Times New Roman" w:hAnsi="Times New Roman"/>
          <w:sz w:val="24"/>
          <w:szCs w:val="24"/>
        </w:rPr>
        <w:t xml:space="preserve">On June 6, 2018, in </w:t>
      </w:r>
      <w:r w:rsidRPr="0036327D">
        <w:rPr>
          <w:rFonts w:ascii="Times New Roman" w:hAnsi="Times New Roman"/>
          <w:sz w:val="24"/>
          <w:szCs w:val="24"/>
          <w:u w:val="single"/>
        </w:rPr>
        <w:t>In Re: World Trade Center, Lower Manhattan Disaster Site Litigation</w:t>
      </w:r>
      <w:r w:rsidRPr="0036327D">
        <w:rPr>
          <w:rFonts w:ascii="Times New Roman" w:hAnsi="Times New Roman"/>
          <w:sz w:val="24"/>
          <w:szCs w:val="24"/>
        </w:rPr>
        <w:t>, the U.S. Court of Appeals for Second Circuit held (3 to 0) that 18 workers who became sick as a result of working in lower Manhattan after the Sept. 11 terrorist attacks may proceed with their lawsuit against building owner, the public benefit corporation Battery Park City Authority. The 2</w:t>
      </w:r>
      <w:r w:rsidRPr="0036327D">
        <w:rPr>
          <w:rFonts w:ascii="Times New Roman" w:hAnsi="Times New Roman"/>
          <w:sz w:val="24"/>
          <w:szCs w:val="24"/>
          <w:vertAlign w:val="superscript"/>
        </w:rPr>
        <w:t>nd</w:t>
      </w:r>
      <w:r w:rsidRPr="0036327D">
        <w:rPr>
          <w:rFonts w:ascii="Times New Roman" w:hAnsi="Times New Roman"/>
          <w:sz w:val="24"/>
          <w:szCs w:val="24"/>
        </w:rPr>
        <w:t xml:space="preserve"> Circuit decision followed confirmation by State of New York’s highest court (NY Court of Appeals) that the 2009 “Jimmy Nolan” statute (named after recovery worker) allowing time-barred lawsuits for one additional year against public benefit corporations was lawful. </w:t>
      </w:r>
      <w:hyperlink r:id="rId849" w:anchor="xml=http://www.ca2.uscourts.gov/decisions/isysquery/8c537d01-8133-4435-b4f6-e87aa585d8e4/1/hilite/" w:history="1">
        <w:r w:rsidRPr="0036327D">
          <w:rPr>
            <w:rStyle w:val="Hyperlink"/>
            <w:rFonts w:ascii="Times New Roman" w:hAnsi="Times New Roman"/>
            <w:sz w:val="24"/>
            <w:szCs w:val="24"/>
          </w:rPr>
          <w:t>http://www.ca2.uscourts.gov/decisions/isysquery/8c537d01-8133-4435-b4f6-e87aa585d8e4/1/doc/15-2181_opn_2.pdf#xml=http://www.ca2.uscourts.gov/decisions/isysquery/8c537d01-8133-4435-b4f6-e87aa585d8e4/1/hilite/</w:t>
        </w:r>
      </w:hyperlink>
    </w:p>
    <w:p w14:paraId="6F856A00" w14:textId="77777777" w:rsidR="009C4A80" w:rsidRDefault="009C4A80" w:rsidP="00F326E5">
      <w:pPr>
        <w:rPr>
          <w:rFonts w:ascii="Times New Roman" w:eastAsia="Times New Roman" w:hAnsi="Times New Roman"/>
          <w:b/>
          <w:sz w:val="24"/>
          <w:szCs w:val="24"/>
        </w:rPr>
      </w:pPr>
    </w:p>
    <w:p w14:paraId="7DDEF9BC" w14:textId="70746B1B" w:rsidR="00F326E5" w:rsidRPr="0036327D" w:rsidRDefault="00F326E5" w:rsidP="00F326E5">
      <w:pPr>
        <w:rPr>
          <w:rFonts w:ascii="Times New Roman" w:eastAsia="Times New Roman" w:hAnsi="Times New Roman"/>
          <w:b/>
          <w:sz w:val="24"/>
          <w:szCs w:val="24"/>
        </w:rPr>
      </w:pPr>
      <w:r w:rsidRPr="0036327D">
        <w:rPr>
          <w:rFonts w:ascii="Times New Roman" w:eastAsia="Times New Roman" w:hAnsi="Times New Roman"/>
          <w:b/>
          <w:sz w:val="24"/>
          <w:szCs w:val="24"/>
        </w:rPr>
        <w:t xml:space="preserve">Legal Lessons Learned: The 18 workers will finally get their day in </w:t>
      </w:r>
      <w:proofErr w:type="gramStart"/>
      <w:r w:rsidRPr="0036327D">
        <w:rPr>
          <w:rFonts w:ascii="Times New Roman" w:eastAsia="Times New Roman" w:hAnsi="Times New Roman"/>
          <w:b/>
          <w:sz w:val="24"/>
          <w:szCs w:val="24"/>
        </w:rPr>
        <w:t>court,</w:t>
      </w:r>
      <w:r w:rsidR="009C4A80">
        <w:rPr>
          <w:rFonts w:ascii="Times New Roman" w:eastAsia="Times New Roman" w:hAnsi="Times New Roman"/>
          <w:b/>
          <w:sz w:val="24"/>
          <w:szCs w:val="24"/>
        </w:rPr>
        <w:t xml:space="preserve"> </w:t>
      </w:r>
      <w:r w:rsidRPr="0036327D">
        <w:rPr>
          <w:rFonts w:ascii="Times New Roman" w:eastAsia="Times New Roman" w:hAnsi="Times New Roman"/>
          <w:b/>
          <w:sz w:val="24"/>
          <w:szCs w:val="24"/>
        </w:rPr>
        <w:t>or</w:t>
      </w:r>
      <w:proofErr w:type="gramEnd"/>
      <w:r w:rsidRPr="0036327D">
        <w:rPr>
          <w:rFonts w:ascii="Times New Roman" w:eastAsia="Times New Roman" w:hAnsi="Times New Roman"/>
          <w:b/>
          <w:sz w:val="24"/>
          <w:szCs w:val="24"/>
        </w:rPr>
        <w:t xml:space="preserve"> will negotiate a settlement.  There reportedly have been 12,000 claims settled against various defendants.</w:t>
      </w:r>
      <w:r w:rsidRPr="0036327D">
        <w:rPr>
          <w:rFonts w:ascii="Times New Roman" w:eastAsia="Times New Roman" w:hAnsi="Times New Roman"/>
          <w:sz w:val="24"/>
          <w:szCs w:val="24"/>
        </w:rPr>
        <w:t xml:space="preserve">  </w:t>
      </w:r>
      <w:hyperlink r:id="rId850" w:history="1">
        <w:r w:rsidRPr="0036327D">
          <w:rPr>
            <w:rStyle w:val="Hyperlink"/>
            <w:rFonts w:ascii="Times New Roman" w:hAnsi="Times New Roman"/>
            <w:sz w:val="24"/>
            <w:szCs w:val="24"/>
          </w:rPr>
          <w:t>https://www.law.com/newyorklawjournal/2018/06/06/2nd-circuit-revives-911-workers-suit-against-battery-park-city-authority/</w:t>
        </w:r>
      </w:hyperlink>
      <w:r w:rsidRPr="0036327D">
        <w:rPr>
          <w:rFonts w:ascii="Times New Roman" w:eastAsia="Times New Roman" w:hAnsi="Times New Roman"/>
          <w:sz w:val="24"/>
          <w:szCs w:val="24"/>
        </w:rPr>
        <w:t xml:space="preserve"> </w:t>
      </w:r>
    </w:p>
    <w:bookmarkEnd w:id="167"/>
    <w:p w14:paraId="6E1F9B81" w14:textId="72FE1C19" w:rsidR="00F326E5" w:rsidRDefault="00F326E5" w:rsidP="00F326E5">
      <w:pPr>
        <w:rPr>
          <w:rFonts w:eastAsia="Times New Roman"/>
          <w:b/>
          <w:sz w:val="24"/>
          <w:szCs w:val="24"/>
        </w:rPr>
      </w:pPr>
    </w:p>
    <w:p w14:paraId="4D9D8798" w14:textId="448A57F0" w:rsidR="00F326E5" w:rsidRDefault="00EF1133" w:rsidP="00EF1133">
      <w:pPr>
        <w:rPr>
          <w:rFonts w:ascii="Arial Black" w:hAnsi="Arial Black"/>
          <w:b/>
          <w:sz w:val="24"/>
          <w:szCs w:val="24"/>
        </w:rPr>
      </w:pPr>
      <w:r w:rsidRPr="00EF1133">
        <w:rPr>
          <w:rFonts w:ascii="Arial Black" w:hAnsi="Arial Black"/>
          <w:color w:val="4A4A4A"/>
          <w:sz w:val="24"/>
          <w:szCs w:val="24"/>
          <w:lang w:val="en"/>
        </w:rPr>
        <w:t>3-</w:t>
      </w:r>
      <w:r>
        <w:rPr>
          <w:rFonts w:ascii="Arial Black" w:hAnsi="Arial Black"/>
          <w:color w:val="4A4A4A"/>
          <w:sz w:val="24"/>
          <w:szCs w:val="24"/>
          <w:lang w:val="en"/>
        </w:rPr>
        <w:t>4</w:t>
      </w:r>
    </w:p>
    <w:p w14:paraId="2F67A311" w14:textId="569F0490" w:rsidR="00F326E5" w:rsidRDefault="00F326E5" w:rsidP="00F326E5">
      <w:pPr>
        <w:pStyle w:val="NoSpacing"/>
        <w:rPr>
          <w:rFonts w:ascii="Arial Black" w:hAnsi="Arial Black"/>
          <w:b/>
          <w:sz w:val="28"/>
          <w:szCs w:val="28"/>
        </w:rPr>
      </w:pPr>
      <w:bookmarkStart w:id="168" w:name="_Hlk7341912"/>
      <w:r w:rsidRPr="009C2749">
        <w:rPr>
          <w:rFonts w:ascii="Arial Black" w:hAnsi="Arial Black"/>
          <w:b/>
          <w:sz w:val="28"/>
          <w:szCs w:val="28"/>
        </w:rPr>
        <w:t>PA</w:t>
      </w:r>
      <w:r>
        <w:rPr>
          <w:rFonts w:ascii="Arial Black" w:hAnsi="Arial Black"/>
          <w:b/>
          <w:sz w:val="28"/>
          <w:szCs w:val="28"/>
        </w:rPr>
        <w:t xml:space="preserve">: PHILADELPHIA IS “SANTUARY CITY” - WINS INJUNCTION – ENTITLED FED. POLICE GRANT </w:t>
      </w:r>
    </w:p>
    <w:p w14:paraId="35E79CA4" w14:textId="77777777" w:rsidR="00F326E5" w:rsidRPr="0036327D" w:rsidRDefault="00F326E5" w:rsidP="00F326E5">
      <w:pPr>
        <w:rPr>
          <w:rFonts w:ascii="Times New Roman" w:eastAsia="Times New Roman" w:hAnsi="Times New Roman"/>
          <w:sz w:val="24"/>
          <w:szCs w:val="24"/>
        </w:rPr>
      </w:pPr>
      <w:r w:rsidRPr="0036327D">
        <w:rPr>
          <w:rFonts w:ascii="Times New Roman" w:eastAsia="Times New Roman" w:hAnsi="Times New Roman"/>
          <w:sz w:val="24"/>
          <w:szCs w:val="24"/>
        </w:rPr>
        <w:t xml:space="preserve">On June 6, 2018, in </w:t>
      </w:r>
      <w:r w:rsidRPr="0036327D">
        <w:rPr>
          <w:rFonts w:ascii="Times New Roman" w:eastAsia="Times New Roman" w:hAnsi="Times New Roman"/>
          <w:sz w:val="24"/>
          <w:szCs w:val="24"/>
          <w:u w:val="single"/>
        </w:rPr>
        <w:t>The City of Philadelphia v. Attorney General of United States</w:t>
      </w:r>
      <w:r w:rsidRPr="0036327D">
        <w:rPr>
          <w:rFonts w:ascii="Times New Roman" w:eastAsia="Times New Roman" w:hAnsi="Times New Roman"/>
          <w:sz w:val="24"/>
          <w:szCs w:val="24"/>
        </w:rPr>
        <w:t xml:space="preserve">, a federal judge has issued an 89-page opinion holding that $1.6 million in police grant funds may not be withheld.  </w:t>
      </w:r>
      <w:hyperlink r:id="rId851" w:history="1">
        <w:r w:rsidRPr="0036327D">
          <w:rPr>
            <w:rStyle w:val="Hyperlink"/>
            <w:rFonts w:ascii="Times New Roman" w:hAnsi="Times New Roman"/>
            <w:sz w:val="24"/>
            <w:szCs w:val="24"/>
          </w:rPr>
          <w:t>http://www.paed.uscourts.gov/documents/opinions/18D0391P.pdf</w:t>
        </w:r>
      </w:hyperlink>
      <w:r w:rsidRPr="0036327D">
        <w:rPr>
          <w:rFonts w:ascii="Times New Roman" w:eastAsia="Times New Roman" w:hAnsi="Times New Roman"/>
          <w:sz w:val="24"/>
          <w:szCs w:val="24"/>
        </w:rPr>
        <w:t xml:space="preserve"> </w:t>
      </w:r>
    </w:p>
    <w:p w14:paraId="117114C6" w14:textId="77777777" w:rsidR="00F326E5" w:rsidRPr="0036327D" w:rsidRDefault="00F326E5" w:rsidP="00F326E5">
      <w:pPr>
        <w:rPr>
          <w:rFonts w:ascii="Times New Roman" w:eastAsia="Times New Roman" w:hAnsi="Times New Roman"/>
          <w:b/>
          <w:sz w:val="24"/>
          <w:szCs w:val="24"/>
        </w:rPr>
      </w:pPr>
      <w:r w:rsidRPr="0036327D">
        <w:rPr>
          <w:rFonts w:ascii="Times New Roman" w:eastAsia="Times New Roman" w:hAnsi="Times New Roman"/>
          <w:b/>
          <w:sz w:val="24"/>
          <w:szCs w:val="24"/>
        </w:rPr>
        <w:t>Legal Lessons Learned:  The U.S. Department of Justice will likely appeal this decision to the 3</w:t>
      </w:r>
      <w:r w:rsidRPr="0036327D">
        <w:rPr>
          <w:rFonts w:ascii="Times New Roman" w:eastAsia="Times New Roman" w:hAnsi="Times New Roman"/>
          <w:b/>
          <w:sz w:val="24"/>
          <w:szCs w:val="24"/>
          <w:vertAlign w:val="superscript"/>
        </w:rPr>
        <w:t>rd</w:t>
      </w:r>
      <w:r w:rsidRPr="0036327D">
        <w:rPr>
          <w:rFonts w:ascii="Times New Roman" w:eastAsia="Times New Roman" w:hAnsi="Times New Roman"/>
          <w:b/>
          <w:sz w:val="24"/>
          <w:szCs w:val="24"/>
        </w:rPr>
        <w:t xml:space="preserve"> Circuit.   Fire &amp; EMS must likewise deal with aliens, and Congress needs to enact legislation concerning 11 million undocumented aliens.</w:t>
      </w:r>
    </w:p>
    <w:bookmarkEnd w:id="168"/>
    <w:p w14:paraId="3A36B790" w14:textId="77777777" w:rsidR="00F326E5" w:rsidRDefault="00F326E5" w:rsidP="00F326E5">
      <w:pPr>
        <w:rPr>
          <w:rFonts w:eastAsia="Times New Roman"/>
          <w:b/>
          <w:sz w:val="24"/>
          <w:szCs w:val="24"/>
        </w:rPr>
      </w:pPr>
    </w:p>
    <w:p w14:paraId="602CDBAA" w14:textId="77777777" w:rsidR="00F326E5" w:rsidRDefault="00F326E5" w:rsidP="00F326E5">
      <w:pPr>
        <w:pStyle w:val="NoSpacing"/>
        <w:rPr>
          <w:sz w:val="24"/>
          <w:szCs w:val="24"/>
        </w:rPr>
      </w:pPr>
      <w:bookmarkStart w:id="169" w:name="_Hlk7189409"/>
    </w:p>
    <w:p w14:paraId="33F3E61F" w14:textId="4F61B8DF" w:rsidR="00F326E5" w:rsidRDefault="00EF1133" w:rsidP="00EF1133">
      <w:pPr>
        <w:rPr>
          <w:sz w:val="24"/>
          <w:szCs w:val="24"/>
        </w:rPr>
      </w:pPr>
      <w:r w:rsidRPr="00EF1133">
        <w:rPr>
          <w:rFonts w:ascii="Arial Black" w:hAnsi="Arial Black"/>
          <w:color w:val="4A4A4A"/>
          <w:sz w:val="24"/>
          <w:szCs w:val="24"/>
          <w:lang w:val="en"/>
        </w:rPr>
        <w:lastRenderedPageBreak/>
        <w:t>3-</w:t>
      </w:r>
      <w:r>
        <w:rPr>
          <w:rFonts w:ascii="Arial Black" w:hAnsi="Arial Black"/>
          <w:color w:val="4A4A4A"/>
          <w:sz w:val="24"/>
          <w:szCs w:val="24"/>
          <w:lang w:val="en"/>
        </w:rPr>
        <w:t>3</w:t>
      </w:r>
    </w:p>
    <w:p w14:paraId="2ECFF32D" w14:textId="77777777" w:rsidR="00F326E5" w:rsidRDefault="00F326E5" w:rsidP="00F326E5">
      <w:pPr>
        <w:pStyle w:val="NoSpacing"/>
        <w:rPr>
          <w:sz w:val="24"/>
          <w:szCs w:val="24"/>
        </w:rPr>
      </w:pPr>
    </w:p>
    <w:p w14:paraId="7AB0DCDC" w14:textId="2D7EFDCD" w:rsidR="00F326E5" w:rsidRDefault="00F326E5" w:rsidP="00F326E5">
      <w:pPr>
        <w:pStyle w:val="NoSpacing"/>
        <w:rPr>
          <w:rFonts w:ascii="Arial Black" w:hAnsi="Arial Black"/>
          <w:b/>
          <w:sz w:val="28"/>
          <w:szCs w:val="28"/>
        </w:rPr>
      </w:pPr>
      <w:bookmarkStart w:id="170" w:name="_Hlk7341970"/>
      <w:r>
        <w:rPr>
          <w:rFonts w:ascii="Arial Black" w:hAnsi="Arial Black"/>
          <w:b/>
          <w:sz w:val="28"/>
          <w:szCs w:val="28"/>
        </w:rPr>
        <w:t>U.S. SUP. COURT: DRUG DEALER E-MAILS STORED BY MICROSOFT IN IRELAND – CASE MOOT</w:t>
      </w:r>
    </w:p>
    <w:p w14:paraId="6E15EA1E" w14:textId="77777777" w:rsidR="00F326E5" w:rsidRPr="0036327D" w:rsidRDefault="00F326E5" w:rsidP="00F326E5">
      <w:pPr>
        <w:rPr>
          <w:rFonts w:ascii="Times New Roman" w:hAnsi="Times New Roman"/>
          <w:sz w:val="24"/>
          <w:szCs w:val="24"/>
          <w:lang w:val="en"/>
        </w:rPr>
      </w:pPr>
      <w:r w:rsidRPr="0036327D">
        <w:rPr>
          <w:rFonts w:ascii="Times New Roman" w:hAnsi="Times New Roman"/>
          <w:sz w:val="24"/>
          <w:szCs w:val="24"/>
          <w:lang w:val="en"/>
        </w:rPr>
        <w:t xml:space="preserve">On March 30, 2018, in </w:t>
      </w:r>
      <w:r w:rsidRPr="0036327D">
        <w:rPr>
          <w:rFonts w:ascii="Times New Roman" w:hAnsi="Times New Roman"/>
          <w:sz w:val="24"/>
          <w:szCs w:val="24"/>
          <w:u w:val="single"/>
          <w:lang w:val="en"/>
        </w:rPr>
        <w:t>Microsoft Corp. v. United States</w:t>
      </w:r>
      <w:r w:rsidRPr="0036327D">
        <w:rPr>
          <w:rFonts w:ascii="Times New Roman" w:hAnsi="Times New Roman"/>
          <w:sz w:val="24"/>
          <w:szCs w:val="24"/>
          <w:lang w:val="en"/>
        </w:rPr>
        <w:t xml:space="preserve">, the U.S. Solicitor General has filed a motion asking the Court to dismiss the case as </w:t>
      </w:r>
      <w:proofErr w:type="gramStart"/>
      <w:r w:rsidRPr="0036327D">
        <w:rPr>
          <w:rFonts w:ascii="Times New Roman" w:hAnsi="Times New Roman"/>
          <w:sz w:val="24"/>
          <w:szCs w:val="24"/>
          <w:lang w:val="en"/>
        </w:rPr>
        <w:t>moot,  and</w:t>
      </w:r>
      <w:proofErr w:type="gramEnd"/>
      <w:r w:rsidRPr="0036327D">
        <w:rPr>
          <w:rFonts w:ascii="Times New Roman" w:hAnsi="Times New Roman"/>
          <w:sz w:val="24"/>
          <w:szCs w:val="24"/>
          <w:lang w:val="en"/>
        </w:rPr>
        <w:t xml:space="preserve"> advised the Court that </w:t>
      </w:r>
      <w:proofErr w:type="spellStart"/>
      <w:r w:rsidRPr="0036327D">
        <w:rPr>
          <w:rFonts w:ascii="Times New Roman" w:hAnsi="Times New Roman"/>
          <w:sz w:val="24"/>
          <w:szCs w:val="24"/>
          <w:lang w:val="en"/>
        </w:rPr>
        <w:t>DoJ</w:t>
      </w:r>
      <w:proofErr w:type="spellEnd"/>
      <w:r w:rsidRPr="0036327D">
        <w:rPr>
          <w:rFonts w:ascii="Times New Roman" w:hAnsi="Times New Roman"/>
          <w:sz w:val="24"/>
          <w:szCs w:val="24"/>
          <w:lang w:val="en"/>
        </w:rPr>
        <w:t xml:space="preserve"> has obtained a new search warrant against Microsoft for e-mails stored in their facility in Ireland under the new “Cloud Act.”  The Solicitor General wrote, “The CLOUD Act resolves the question presented by specifying that a service provider responding to a Section 2703 order must produce information within its ‘possession, custody, or control, regardless of whether such  * * *  information is located within or outside of the United States.’  CLOUD Act § 103(a).  The United States has obtained a new warrant under the CLOUD Act, and Microsoft’s sole objection—that the prior warrant was impermissibly extraterritorial—no longer applies. The United States respectfully submits that this case is now moot.”</w:t>
      </w:r>
    </w:p>
    <w:p w14:paraId="59C36706" w14:textId="77777777" w:rsidR="00F326E5" w:rsidRPr="0036327D" w:rsidRDefault="00F326E5" w:rsidP="00F326E5">
      <w:pPr>
        <w:rPr>
          <w:rFonts w:ascii="Times New Roman" w:hAnsi="Times New Roman"/>
          <w:sz w:val="24"/>
          <w:szCs w:val="24"/>
          <w:lang w:val="en"/>
        </w:rPr>
      </w:pPr>
      <w:hyperlink r:id="rId852" w:history="1">
        <w:r w:rsidRPr="0036327D">
          <w:rPr>
            <w:rStyle w:val="Hyperlink"/>
            <w:rFonts w:ascii="Times New Roman" w:hAnsi="Times New Roman"/>
            <w:color w:val="auto"/>
            <w:sz w:val="24"/>
            <w:szCs w:val="24"/>
            <w:lang w:val="en"/>
          </w:rPr>
          <w:t>https://supreme.justia.com/cases/federal/us/584/17-2/</w:t>
        </w:r>
      </w:hyperlink>
      <w:r w:rsidRPr="0036327D">
        <w:rPr>
          <w:rFonts w:ascii="Times New Roman" w:hAnsi="Times New Roman"/>
          <w:sz w:val="24"/>
          <w:szCs w:val="24"/>
          <w:lang w:val="en"/>
        </w:rPr>
        <w:t xml:space="preserve"> </w:t>
      </w:r>
    </w:p>
    <w:p w14:paraId="38544133" w14:textId="77777777" w:rsidR="00F326E5" w:rsidRPr="00BA3B84" w:rsidRDefault="00F326E5" w:rsidP="00F326E5">
      <w:pPr>
        <w:rPr>
          <w:b/>
          <w:color w:val="4A4A4A"/>
          <w:sz w:val="24"/>
          <w:szCs w:val="24"/>
          <w:lang w:val="en"/>
        </w:rPr>
      </w:pPr>
      <w:r w:rsidRPr="0036327D">
        <w:rPr>
          <w:rFonts w:ascii="Times New Roman" w:hAnsi="Times New Roman"/>
          <w:b/>
          <w:sz w:val="24"/>
          <w:szCs w:val="24"/>
          <w:lang w:val="en"/>
        </w:rPr>
        <w:t xml:space="preserve">LEGAL LESSONS LEARNED:  Congress has enacted the “Cloud Act” so that search warrants on Microsoft and other companies must be honored, even if the e-mail information is stored in a facility outside the USA.   In some </w:t>
      </w:r>
      <w:proofErr w:type="gramStart"/>
      <w:r w:rsidRPr="0036327D">
        <w:rPr>
          <w:rFonts w:ascii="Times New Roman" w:hAnsi="Times New Roman"/>
          <w:b/>
          <w:sz w:val="24"/>
          <w:szCs w:val="24"/>
          <w:lang w:val="en"/>
        </w:rPr>
        <w:t>case</w:t>
      </w:r>
      <w:proofErr w:type="gramEnd"/>
      <w:r w:rsidRPr="0036327D">
        <w:rPr>
          <w:rFonts w:ascii="Times New Roman" w:hAnsi="Times New Roman"/>
          <w:b/>
          <w:sz w:val="24"/>
          <w:szCs w:val="24"/>
          <w:lang w:val="en"/>
        </w:rPr>
        <w:t>, our national security demands access to this information</w:t>
      </w:r>
      <w:r w:rsidRPr="00BA3B84">
        <w:rPr>
          <w:b/>
          <w:color w:val="4A4A4A"/>
          <w:sz w:val="24"/>
          <w:szCs w:val="24"/>
          <w:lang w:val="en"/>
        </w:rPr>
        <w:t xml:space="preserve">. </w:t>
      </w:r>
    </w:p>
    <w:bookmarkEnd w:id="169"/>
    <w:bookmarkEnd w:id="170"/>
    <w:p w14:paraId="13560A36" w14:textId="77777777" w:rsidR="00F326E5" w:rsidRDefault="00F326E5" w:rsidP="00F326E5">
      <w:pPr>
        <w:rPr>
          <w:rFonts w:ascii="Arial Black" w:hAnsi="Arial Black"/>
          <w:b/>
          <w:sz w:val="40"/>
          <w:szCs w:val="40"/>
        </w:rPr>
      </w:pPr>
    </w:p>
    <w:p w14:paraId="218F04BD" w14:textId="01005CD8" w:rsidR="00EF1133" w:rsidRDefault="00EF1133" w:rsidP="00EF1133">
      <w:pPr>
        <w:rPr>
          <w:rFonts w:ascii="Arial Black" w:hAnsi="Arial Black"/>
          <w:b/>
          <w:sz w:val="28"/>
          <w:szCs w:val="28"/>
        </w:rPr>
      </w:pPr>
      <w:bookmarkStart w:id="171" w:name="_Hlk7342019"/>
      <w:r w:rsidRPr="00EF1133">
        <w:rPr>
          <w:rFonts w:ascii="Arial Black" w:hAnsi="Arial Black"/>
          <w:color w:val="4A4A4A"/>
          <w:sz w:val="24"/>
          <w:szCs w:val="24"/>
          <w:lang w:val="en"/>
        </w:rPr>
        <w:t>3-</w:t>
      </w:r>
      <w:r>
        <w:rPr>
          <w:rFonts w:ascii="Arial Black" w:hAnsi="Arial Black"/>
          <w:color w:val="4A4A4A"/>
          <w:sz w:val="24"/>
          <w:szCs w:val="24"/>
          <w:lang w:val="en"/>
        </w:rPr>
        <w:t>2</w:t>
      </w:r>
    </w:p>
    <w:p w14:paraId="66D2746F" w14:textId="39E1ABF7" w:rsidR="00F326E5" w:rsidRDefault="00F326E5" w:rsidP="00F326E5">
      <w:pPr>
        <w:pStyle w:val="NoSpacing"/>
        <w:rPr>
          <w:rFonts w:ascii="Arial Black" w:hAnsi="Arial Black"/>
          <w:b/>
          <w:sz w:val="28"/>
          <w:szCs w:val="28"/>
        </w:rPr>
      </w:pPr>
      <w:r>
        <w:rPr>
          <w:rFonts w:ascii="Arial Black" w:hAnsi="Arial Black"/>
          <w:b/>
          <w:sz w:val="28"/>
          <w:szCs w:val="28"/>
        </w:rPr>
        <w:t>NY: NYPD SURVEILLANCE OF MUSLIMS – FOIA - DO NOT NEED TO EVEN DISCLOSE RECORDS EXIST</w:t>
      </w:r>
    </w:p>
    <w:p w14:paraId="0BA16183" w14:textId="77777777" w:rsidR="009C4A80" w:rsidRDefault="00F326E5" w:rsidP="00F326E5">
      <w:pPr>
        <w:rPr>
          <w:rFonts w:ascii="Times New Roman" w:hAnsi="Times New Roman"/>
          <w:sz w:val="24"/>
          <w:szCs w:val="24"/>
        </w:rPr>
      </w:pPr>
      <w:r w:rsidRPr="0036327D">
        <w:rPr>
          <w:rFonts w:ascii="Times New Roman" w:hAnsi="Times New Roman"/>
          <w:sz w:val="24"/>
          <w:szCs w:val="24"/>
        </w:rPr>
        <w:t xml:space="preserve">On March 29, 2018, In the </w:t>
      </w:r>
      <w:r w:rsidRPr="0036327D">
        <w:rPr>
          <w:rFonts w:ascii="Times New Roman" w:hAnsi="Times New Roman"/>
          <w:sz w:val="24"/>
          <w:szCs w:val="24"/>
          <w:u w:val="single"/>
        </w:rPr>
        <w:t>Matter of Talib W.  Abdur-Rashid and Samir Hashmi v. New York City Police Department, et al.</w:t>
      </w:r>
      <w:r w:rsidRPr="0036327D">
        <w:rPr>
          <w:rFonts w:ascii="Times New Roman" w:hAnsi="Times New Roman"/>
          <w:sz w:val="24"/>
          <w:szCs w:val="24"/>
        </w:rPr>
        <w:t xml:space="preserve">, the State of New York Court of Appeals held (4 to 3): </w:t>
      </w:r>
    </w:p>
    <w:p w14:paraId="32C9B6B8" w14:textId="6D8E5139" w:rsidR="00F326E5" w:rsidRPr="0036327D" w:rsidRDefault="00F326E5" w:rsidP="009C4A80">
      <w:pPr>
        <w:ind w:left="720"/>
        <w:rPr>
          <w:rFonts w:ascii="Times New Roman" w:hAnsi="Times New Roman"/>
          <w:sz w:val="24"/>
          <w:szCs w:val="24"/>
        </w:rPr>
      </w:pPr>
      <w:r w:rsidRPr="0036327D">
        <w:rPr>
          <w:rFonts w:ascii="Times New Roman" w:hAnsi="Times New Roman"/>
          <w:sz w:val="24"/>
          <w:szCs w:val="24"/>
        </w:rPr>
        <w:t xml:space="preserve">“The issue presented is whether an agency may decline to acknowledge that requested records exist in response to a Freedom of Information Law request … when necessary to safeguard statutorily exempted information.  Under these circumstances, we hold that it may and therefore affirm the Appellate Division order, which reached the same conclusion.” </w:t>
      </w:r>
      <w:hyperlink r:id="rId853" w:history="1">
        <w:r w:rsidRPr="0036327D">
          <w:rPr>
            <w:rStyle w:val="Hyperlink"/>
            <w:rFonts w:ascii="Times New Roman" w:hAnsi="Times New Roman"/>
            <w:sz w:val="24"/>
            <w:szCs w:val="24"/>
          </w:rPr>
          <w:t>file:///C:/Users/lawre/AppData/Local/Microsoft/Windows/INetCache/IE/XO250S7T/Glomar-decision.pdf</w:t>
        </w:r>
      </w:hyperlink>
      <w:r w:rsidRPr="0036327D">
        <w:rPr>
          <w:rFonts w:ascii="Times New Roman" w:hAnsi="Times New Roman"/>
          <w:sz w:val="24"/>
          <w:szCs w:val="24"/>
        </w:rPr>
        <w:t xml:space="preserve">      </w:t>
      </w:r>
    </w:p>
    <w:p w14:paraId="7F737600" w14:textId="77777777" w:rsidR="00F326E5" w:rsidRPr="0036327D" w:rsidRDefault="00F326E5" w:rsidP="00F326E5">
      <w:pPr>
        <w:rPr>
          <w:rFonts w:ascii="Times New Roman" w:hAnsi="Times New Roman"/>
          <w:b/>
          <w:sz w:val="24"/>
          <w:szCs w:val="24"/>
        </w:rPr>
      </w:pPr>
      <w:r w:rsidRPr="0036327D">
        <w:rPr>
          <w:rFonts w:ascii="Times New Roman" w:hAnsi="Times New Roman"/>
          <w:b/>
          <w:sz w:val="24"/>
          <w:szCs w:val="24"/>
        </w:rPr>
        <w:t xml:space="preserve">LEGAL LESSONS LEARNED:  Surveillance records are protected from disclosure; don’t need to even confirm existence of intelligence records. </w:t>
      </w:r>
    </w:p>
    <w:p w14:paraId="0B82D0F2" w14:textId="77777777" w:rsidR="00F326E5" w:rsidRPr="0036327D" w:rsidRDefault="00F326E5" w:rsidP="00F326E5">
      <w:pPr>
        <w:ind w:left="720"/>
        <w:rPr>
          <w:rFonts w:ascii="Times New Roman" w:hAnsi="Times New Roman"/>
          <w:sz w:val="24"/>
          <w:szCs w:val="24"/>
        </w:rPr>
      </w:pPr>
      <w:r w:rsidRPr="0036327D">
        <w:rPr>
          <w:rFonts w:ascii="Times New Roman" w:hAnsi="Times New Roman"/>
          <w:sz w:val="24"/>
          <w:szCs w:val="24"/>
        </w:rPr>
        <w:t xml:space="preserve">See article on this decision: </w:t>
      </w:r>
      <w:hyperlink r:id="rId854" w:history="1">
        <w:r w:rsidRPr="0036327D">
          <w:rPr>
            <w:rStyle w:val="Hyperlink"/>
            <w:rFonts w:ascii="Times New Roman" w:hAnsi="Times New Roman"/>
            <w:sz w:val="24"/>
            <w:szCs w:val="24"/>
          </w:rPr>
          <w:t>https://www.law.com/newyorklawjournal/2018/03/29/ny-high-court-allows-nypd-to-evade-giving-foil-requested-information-about-muslim-surveillance/</w:t>
        </w:r>
      </w:hyperlink>
    </w:p>
    <w:bookmarkEnd w:id="171"/>
    <w:p w14:paraId="3496799B" w14:textId="77777777" w:rsidR="00F326E5" w:rsidRPr="00150349" w:rsidRDefault="00F326E5" w:rsidP="00F326E5">
      <w:pPr>
        <w:pStyle w:val="NoSpacing"/>
        <w:rPr>
          <w:b/>
          <w:sz w:val="24"/>
          <w:szCs w:val="24"/>
        </w:rPr>
      </w:pPr>
    </w:p>
    <w:p w14:paraId="0BC3F0CD" w14:textId="48C4A3B5" w:rsidR="00F326E5" w:rsidRPr="00EF1133" w:rsidRDefault="00EF1133" w:rsidP="00F326E5">
      <w:pPr>
        <w:rPr>
          <w:rFonts w:ascii="Arial Black" w:hAnsi="Arial Black"/>
          <w:color w:val="4A4A4A"/>
          <w:sz w:val="24"/>
          <w:szCs w:val="24"/>
          <w:lang w:val="en"/>
        </w:rPr>
      </w:pPr>
      <w:r w:rsidRPr="00EF1133">
        <w:rPr>
          <w:rFonts w:ascii="Arial Black" w:hAnsi="Arial Black"/>
          <w:color w:val="4A4A4A"/>
          <w:sz w:val="24"/>
          <w:szCs w:val="24"/>
          <w:lang w:val="en"/>
        </w:rPr>
        <w:t>3-1</w:t>
      </w:r>
    </w:p>
    <w:p w14:paraId="76F99281" w14:textId="2D028A27" w:rsidR="00F326E5" w:rsidRDefault="00F326E5" w:rsidP="00F326E5">
      <w:pPr>
        <w:rPr>
          <w:rFonts w:ascii="Arial Black" w:hAnsi="Arial Black"/>
          <w:b/>
          <w:color w:val="4A4A4A"/>
          <w:sz w:val="28"/>
          <w:szCs w:val="28"/>
          <w:lang w:val="en"/>
        </w:rPr>
      </w:pPr>
      <w:bookmarkStart w:id="172" w:name="_Hlk7342091"/>
      <w:r w:rsidRPr="00391684">
        <w:rPr>
          <w:rFonts w:ascii="Arial Black" w:hAnsi="Arial Black"/>
          <w:b/>
          <w:color w:val="4A4A4A"/>
          <w:sz w:val="28"/>
          <w:szCs w:val="28"/>
          <w:lang w:val="en"/>
        </w:rPr>
        <w:lastRenderedPageBreak/>
        <w:t>U.S. SUP</w:t>
      </w:r>
      <w:r>
        <w:rPr>
          <w:rFonts w:ascii="Arial Black" w:hAnsi="Arial Black"/>
          <w:b/>
          <w:color w:val="4A4A4A"/>
          <w:sz w:val="28"/>
          <w:szCs w:val="28"/>
          <w:lang w:val="en"/>
        </w:rPr>
        <w:t>. C</w:t>
      </w:r>
      <w:r w:rsidRPr="00391684">
        <w:rPr>
          <w:rFonts w:ascii="Arial Black" w:hAnsi="Arial Black"/>
          <w:b/>
          <w:color w:val="4A4A4A"/>
          <w:sz w:val="28"/>
          <w:szCs w:val="28"/>
          <w:lang w:val="en"/>
        </w:rPr>
        <w:t>OURT</w:t>
      </w:r>
      <w:r>
        <w:rPr>
          <w:rFonts w:ascii="Arial Black" w:hAnsi="Arial Black"/>
          <w:b/>
          <w:color w:val="4A4A4A"/>
          <w:sz w:val="28"/>
          <w:szCs w:val="28"/>
          <w:lang w:val="en"/>
        </w:rPr>
        <w:t>: HAMAS BOMBINGS IN ISRAEL – CAN’T SEIZE ANCIENT IRANIAN TABLETS IN CHICAGO</w:t>
      </w:r>
    </w:p>
    <w:p w14:paraId="691A3832" w14:textId="77777777" w:rsidR="009C4A80" w:rsidRDefault="00F326E5" w:rsidP="00F326E5">
      <w:pPr>
        <w:rPr>
          <w:rFonts w:ascii="Times New Roman" w:hAnsi="Times New Roman"/>
          <w:color w:val="4A4A4A"/>
          <w:sz w:val="24"/>
          <w:szCs w:val="24"/>
          <w:lang w:val="en"/>
        </w:rPr>
      </w:pPr>
      <w:r w:rsidRPr="0036327D">
        <w:rPr>
          <w:rFonts w:ascii="Times New Roman" w:hAnsi="Times New Roman"/>
          <w:color w:val="4A4A4A"/>
          <w:sz w:val="24"/>
          <w:szCs w:val="24"/>
          <w:lang w:val="en"/>
        </w:rPr>
        <w:t xml:space="preserve">On Feb. 21, 2018, in </w:t>
      </w:r>
      <w:r w:rsidRPr="0036327D">
        <w:rPr>
          <w:rFonts w:ascii="Times New Roman" w:hAnsi="Times New Roman"/>
          <w:color w:val="4A4A4A"/>
          <w:sz w:val="24"/>
          <w:szCs w:val="24"/>
          <w:u w:val="single"/>
          <w:lang w:val="en"/>
        </w:rPr>
        <w:t>Rubin v. Islamic Republic of Iran</w:t>
      </w:r>
      <w:r w:rsidRPr="0036327D">
        <w:rPr>
          <w:rFonts w:ascii="Times New Roman" w:hAnsi="Times New Roman"/>
          <w:color w:val="4A4A4A"/>
          <w:sz w:val="24"/>
          <w:szCs w:val="24"/>
          <w:lang w:val="en"/>
        </w:rPr>
        <w:t xml:space="preserve">, the U.S. Supreme Court held (8 to 0; Justice Kegan did not participate) that 30,000 ancient clay tablets held at University of Chicago cannot be seized to pay $71.5 million judgement against Iran.  Justice Sotomayor wrote, </w:t>
      </w:r>
    </w:p>
    <w:p w14:paraId="5F765B3E" w14:textId="5AC1A1AD" w:rsidR="00F326E5" w:rsidRPr="0036327D" w:rsidRDefault="00F326E5" w:rsidP="009C4A80">
      <w:pPr>
        <w:ind w:left="720"/>
        <w:rPr>
          <w:rFonts w:ascii="Times New Roman" w:hAnsi="Times New Roman"/>
          <w:color w:val="4A4A4A"/>
          <w:sz w:val="24"/>
          <w:szCs w:val="24"/>
          <w:lang w:val="en"/>
        </w:rPr>
      </w:pPr>
      <w:r w:rsidRPr="0036327D">
        <w:rPr>
          <w:rFonts w:ascii="Times New Roman" w:hAnsi="Times New Roman"/>
          <w:color w:val="4A4A4A"/>
          <w:sz w:val="24"/>
          <w:szCs w:val="24"/>
          <w:lang w:val="en"/>
        </w:rPr>
        <w:t xml:space="preserve">“Where the FSIA goes so far as to divest a foreign state or property of immunity in relation to terrorism related judgments, however, it does so expressly.  See §§1605A, 1610(a)(7), (b)(3), (f)(1)(A); §201(a) of the TRIA. Out of respect for the delicate balance that Congress struck in enacting the FSIA, we decline to read into the statute a blanket abrogation of attachment and execution immunity for §1605A judgment holders absent a clearer indication of Congress’ intent.” </w:t>
      </w:r>
      <w:hyperlink r:id="rId855" w:history="1">
        <w:r w:rsidRPr="0036327D">
          <w:rPr>
            <w:rStyle w:val="Hyperlink"/>
            <w:rFonts w:ascii="Times New Roman" w:hAnsi="Times New Roman"/>
            <w:sz w:val="24"/>
            <w:szCs w:val="24"/>
            <w:lang w:val="en"/>
          </w:rPr>
          <w:t>file:///C:/Users/lawre/AppData/Local/Microsoft/Windows/INetCache/IE/XO250S7T/16-534_6jfm.pdf</w:t>
        </w:r>
      </w:hyperlink>
      <w:r w:rsidRPr="0036327D">
        <w:rPr>
          <w:rFonts w:ascii="Times New Roman" w:hAnsi="Times New Roman"/>
          <w:color w:val="4A4A4A"/>
          <w:sz w:val="24"/>
          <w:szCs w:val="24"/>
          <w:lang w:val="en"/>
        </w:rPr>
        <w:t xml:space="preserve"> </w:t>
      </w:r>
    </w:p>
    <w:p w14:paraId="5A974771" w14:textId="77777777" w:rsidR="00F326E5" w:rsidRPr="0036327D" w:rsidRDefault="00F326E5" w:rsidP="00F326E5">
      <w:pPr>
        <w:rPr>
          <w:rFonts w:ascii="Times New Roman" w:hAnsi="Times New Roman"/>
          <w:b/>
          <w:color w:val="4A4A4A"/>
          <w:sz w:val="24"/>
          <w:szCs w:val="24"/>
          <w:lang w:val="en"/>
        </w:rPr>
      </w:pPr>
      <w:r w:rsidRPr="0036327D">
        <w:rPr>
          <w:rFonts w:ascii="Times New Roman" w:hAnsi="Times New Roman"/>
          <w:b/>
          <w:color w:val="4A4A4A"/>
          <w:sz w:val="24"/>
          <w:szCs w:val="24"/>
          <w:lang w:val="en"/>
        </w:rPr>
        <w:t xml:space="preserve">LEGAL LESSONS LEARNED: Congress can amend FSIA to clarify that Iran is a sponsor of terrorists, and their property in USA can be subject to seizure.  </w:t>
      </w:r>
    </w:p>
    <w:p w14:paraId="60CCDAD5" w14:textId="3148EDBF" w:rsidR="00F326E5" w:rsidRDefault="00F326E5" w:rsidP="0005503D">
      <w:pPr>
        <w:ind w:left="720"/>
        <w:rPr>
          <w:rFonts w:ascii="Arial Black" w:hAnsi="Arial Black"/>
          <w:b/>
          <w:sz w:val="40"/>
          <w:szCs w:val="40"/>
        </w:rPr>
      </w:pPr>
      <w:r w:rsidRPr="0036327D">
        <w:rPr>
          <w:rFonts w:ascii="Times New Roman" w:hAnsi="Times New Roman"/>
          <w:color w:val="4A4A4A"/>
          <w:sz w:val="24"/>
          <w:szCs w:val="24"/>
          <w:lang w:val="en"/>
        </w:rPr>
        <w:t>See article on the decision:  “</w:t>
      </w:r>
      <w:r w:rsidRPr="0036327D">
        <w:rPr>
          <w:rFonts w:ascii="Times New Roman" w:hAnsi="Times New Roman"/>
          <w:sz w:val="24"/>
          <w:szCs w:val="24"/>
          <w:lang w:val="en"/>
        </w:rPr>
        <w:t xml:space="preserve">Wednesday’s ruling is also likely to dictate the outcome of a similar dispute pending before the justices in which four different groups of plaintiffs representing those injured in other allegedly Iran-backed attacks are seeking to enforce court judgments by seizing $17.6 million in assets held by Iranian government-owned Bank Melli.” </w:t>
      </w:r>
      <w:hyperlink r:id="rId856" w:history="1">
        <w:r w:rsidRPr="0036327D">
          <w:rPr>
            <w:rStyle w:val="Hyperlink"/>
            <w:rFonts w:ascii="Times New Roman" w:hAnsi="Times New Roman"/>
            <w:sz w:val="24"/>
            <w:szCs w:val="24"/>
            <w:lang w:val="en"/>
          </w:rPr>
          <w:t>https://in.reuters.com/article/usa-court-iran/u-s-top-court-forbids-seizure-of-ancient-persian-artifacts-idINKCN1G51ZY</w:t>
        </w:r>
      </w:hyperlink>
      <w:r w:rsidRPr="0036327D">
        <w:rPr>
          <w:rFonts w:ascii="Times New Roman" w:hAnsi="Times New Roman"/>
          <w:color w:val="4A4A4A"/>
          <w:sz w:val="24"/>
          <w:szCs w:val="24"/>
          <w:lang w:val="en"/>
        </w:rPr>
        <w:t xml:space="preserve"> </w:t>
      </w:r>
      <w:bookmarkEnd w:id="172"/>
      <w:r>
        <w:rPr>
          <w:rFonts w:ascii="Arial Black" w:hAnsi="Arial Black"/>
          <w:b/>
          <w:sz w:val="40"/>
          <w:szCs w:val="40"/>
        </w:rPr>
        <w:br w:type="page"/>
      </w:r>
    </w:p>
    <w:p w14:paraId="234826B4" w14:textId="77777777" w:rsidR="00680234" w:rsidRDefault="00680234" w:rsidP="00F326E5">
      <w:pPr>
        <w:pStyle w:val="NoSpacing"/>
        <w:rPr>
          <w:rFonts w:ascii="Arial Black" w:hAnsi="Arial Black"/>
          <w:sz w:val="40"/>
          <w:szCs w:val="40"/>
        </w:rPr>
      </w:pPr>
    </w:p>
    <w:p w14:paraId="31A4BC5A" w14:textId="77777777" w:rsidR="00680234" w:rsidRDefault="00680234" w:rsidP="00F326E5">
      <w:pPr>
        <w:pStyle w:val="NoSpacing"/>
        <w:rPr>
          <w:rFonts w:ascii="Arial Black" w:hAnsi="Arial Black"/>
          <w:sz w:val="40"/>
          <w:szCs w:val="40"/>
        </w:rPr>
      </w:pPr>
    </w:p>
    <w:p w14:paraId="368696E1" w14:textId="77777777" w:rsidR="00680234" w:rsidRDefault="00680234" w:rsidP="00F326E5">
      <w:pPr>
        <w:pStyle w:val="NoSpacing"/>
        <w:rPr>
          <w:rFonts w:ascii="Arial Black" w:hAnsi="Arial Black"/>
          <w:sz w:val="40"/>
          <w:szCs w:val="40"/>
        </w:rPr>
      </w:pPr>
    </w:p>
    <w:p w14:paraId="77AA98B7" w14:textId="77777777" w:rsidR="00680234" w:rsidRDefault="00680234" w:rsidP="00F326E5">
      <w:pPr>
        <w:pStyle w:val="NoSpacing"/>
        <w:rPr>
          <w:rFonts w:ascii="Arial Black" w:hAnsi="Arial Black"/>
          <w:sz w:val="40"/>
          <w:szCs w:val="40"/>
        </w:rPr>
      </w:pPr>
    </w:p>
    <w:p w14:paraId="46CB6D8C" w14:textId="77777777" w:rsidR="00680234" w:rsidRDefault="00680234" w:rsidP="00F326E5">
      <w:pPr>
        <w:pStyle w:val="NoSpacing"/>
        <w:rPr>
          <w:rFonts w:ascii="Arial Black" w:hAnsi="Arial Black"/>
          <w:sz w:val="40"/>
          <w:szCs w:val="40"/>
        </w:rPr>
      </w:pPr>
    </w:p>
    <w:p w14:paraId="14071E9C" w14:textId="77777777" w:rsidR="00680234" w:rsidRDefault="00680234" w:rsidP="00F326E5">
      <w:pPr>
        <w:pStyle w:val="NoSpacing"/>
        <w:rPr>
          <w:rFonts w:ascii="Arial Black" w:hAnsi="Arial Black"/>
          <w:sz w:val="40"/>
          <w:szCs w:val="40"/>
        </w:rPr>
      </w:pPr>
    </w:p>
    <w:p w14:paraId="2D6406AE" w14:textId="77777777" w:rsidR="00680234" w:rsidRDefault="00680234" w:rsidP="00F326E5">
      <w:pPr>
        <w:pStyle w:val="NoSpacing"/>
        <w:rPr>
          <w:rFonts w:ascii="Arial Black" w:hAnsi="Arial Black"/>
          <w:sz w:val="40"/>
          <w:szCs w:val="40"/>
        </w:rPr>
      </w:pPr>
    </w:p>
    <w:p w14:paraId="3130033F" w14:textId="77777777" w:rsidR="00680234" w:rsidRDefault="00680234" w:rsidP="00F326E5">
      <w:pPr>
        <w:pStyle w:val="NoSpacing"/>
        <w:rPr>
          <w:rFonts w:ascii="Arial Black" w:hAnsi="Arial Black"/>
          <w:sz w:val="40"/>
          <w:szCs w:val="40"/>
        </w:rPr>
      </w:pPr>
    </w:p>
    <w:p w14:paraId="0D9FFFD5" w14:textId="77777777" w:rsidR="00680234" w:rsidRDefault="00680234" w:rsidP="00F326E5">
      <w:pPr>
        <w:pStyle w:val="NoSpacing"/>
        <w:rPr>
          <w:rFonts w:ascii="Arial Black" w:hAnsi="Arial Black"/>
          <w:sz w:val="40"/>
          <w:szCs w:val="40"/>
        </w:rPr>
      </w:pPr>
    </w:p>
    <w:p w14:paraId="3028D8A8" w14:textId="77777777" w:rsidR="00680234" w:rsidRDefault="00680234" w:rsidP="00F326E5">
      <w:pPr>
        <w:pStyle w:val="NoSpacing"/>
        <w:rPr>
          <w:rFonts w:ascii="Arial Black" w:hAnsi="Arial Black"/>
          <w:sz w:val="40"/>
          <w:szCs w:val="40"/>
        </w:rPr>
      </w:pPr>
    </w:p>
    <w:p w14:paraId="3D187AED" w14:textId="77777777" w:rsidR="00680234" w:rsidRDefault="00680234" w:rsidP="00F326E5">
      <w:pPr>
        <w:pStyle w:val="NoSpacing"/>
        <w:rPr>
          <w:rFonts w:ascii="Arial Black" w:hAnsi="Arial Black"/>
          <w:sz w:val="40"/>
          <w:szCs w:val="40"/>
        </w:rPr>
      </w:pPr>
    </w:p>
    <w:p w14:paraId="3739BA1F" w14:textId="77777777" w:rsidR="00680234" w:rsidRDefault="00680234" w:rsidP="00F326E5">
      <w:pPr>
        <w:pStyle w:val="NoSpacing"/>
        <w:rPr>
          <w:rFonts w:ascii="Arial Black" w:hAnsi="Arial Black"/>
          <w:sz w:val="40"/>
          <w:szCs w:val="40"/>
        </w:rPr>
      </w:pPr>
    </w:p>
    <w:p w14:paraId="4AA2DBD7" w14:textId="77777777" w:rsidR="00680234" w:rsidRDefault="00680234" w:rsidP="00F326E5">
      <w:pPr>
        <w:pStyle w:val="NoSpacing"/>
        <w:rPr>
          <w:rFonts w:ascii="Arial Black" w:hAnsi="Arial Black"/>
          <w:sz w:val="40"/>
          <w:szCs w:val="40"/>
        </w:rPr>
      </w:pPr>
    </w:p>
    <w:p w14:paraId="6649EE15" w14:textId="77777777" w:rsidR="00680234" w:rsidRDefault="00680234" w:rsidP="00F326E5">
      <w:pPr>
        <w:pStyle w:val="NoSpacing"/>
        <w:rPr>
          <w:rFonts w:ascii="Arial Black" w:hAnsi="Arial Black"/>
          <w:sz w:val="40"/>
          <w:szCs w:val="40"/>
        </w:rPr>
      </w:pPr>
    </w:p>
    <w:p w14:paraId="4AE59C16" w14:textId="77777777" w:rsidR="00680234" w:rsidRDefault="00680234" w:rsidP="00F326E5">
      <w:pPr>
        <w:pStyle w:val="NoSpacing"/>
        <w:rPr>
          <w:rFonts w:ascii="Arial Black" w:hAnsi="Arial Black"/>
          <w:sz w:val="40"/>
          <w:szCs w:val="40"/>
        </w:rPr>
      </w:pPr>
    </w:p>
    <w:p w14:paraId="0DC1D59F" w14:textId="77777777" w:rsidR="00680234" w:rsidRDefault="00680234" w:rsidP="00F326E5">
      <w:pPr>
        <w:pStyle w:val="NoSpacing"/>
        <w:rPr>
          <w:rFonts w:ascii="Arial Black" w:hAnsi="Arial Black"/>
          <w:sz w:val="40"/>
          <w:szCs w:val="40"/>
        </w:rPr>
      </w:pPr>
    </w:p>
    <w:p w14:paraId="35ED3CCC" w14:textId="77777777" w:rsidR="00680234" w:rsidRDefault="00680234" w:rsidP="00F326E5">
      <w:pPr>
        <w:pStyle w:val="NoSpacing"/>
        <w:rPr>
          <w:rFonts w:ascii="Arial Black" w:hAnsi="Arial Black"/>
          <w:sz w:val="40"/>
          <w:szCs w:val="40"/>
        </w:rPr>
      </w:pPr>
    </w:p>
    <w:p w14:paraId="2D26EE6A" w14:textId="77777777" w:rsidR="00680234" w:rsidRDefault="00680234" w:rsidP="00F326E5">
      <w:pPr>
        <w:pStyle w:val="NoSpacing"/>
        <w:rPr>
          <w:rFonts w:ascii="Arial Black" w:hAnsi="Arial Black"/>
          <w:sz w:val="40"/>
          <w:szCs w:val="40"/>
        </w:rPr>
      </w:pPr>
    </w:p>
    <w:p w14:paraId="7B23D8BA" w14:textId="77777777" w:rsidR="00680234" w:rsidRDefault="00680234" w:rsidP="00F326E5">
      <w:pPr>
        <w:pStyle w:val="NoSpacing"/>
        <w:rPr>
          <w:rFonts w:ascii="Arial Black" w:hAnsi="Arial Black"/>
          <w:sz w:val="40"/>
          <w:szCs w:val="40"/>
        </w:rPr>
      </w:pPr>
    </w:p>
    <w:p w14:paraId="554774DE" w14:textId="77777777" w:rsidR="00680234" w:rsidRDefault="00680234" w:rsidP="00F326E5">
      <w:pPr>
        <w:pStyle w:val="NoSpacing"/>
        <w:rPr>
          <w:rFonts w:ascii="Arial Black" w:hAnsi="Arial Black"/>
          <w:sz w:val="40"/>
          <w:szCs w:val="40"/>
        </w:rPr>
      </w:pPr>
    </w:p>
    <w:p w14:paraId="1873C028" w14:textId="77777777" w:rsidR="00680234" w:rsidRDefault="00680234" w:rsidP="00F326E5">
      <w:pPr>
        <w:pStyle w:val="NoSpacing"/>
        <w:rPr>
          <w:rFonts w:ascii="Arial Black" w:hAnsi="Arial Black"/>
          <w:sz w:val="40"/>
          <w:szCs w:val="40"/>
        </w:rPr>
      </w:pPr>
    </w:p>
    <w:p w14:paraId="22A87D14" w14:textId="77777777" w:rsidR="00680234" w:rsidRDefault="00680234" w:rsidP="00F326E5">
      <w:pPr>
        <w:pStyle w:val="NoSpacing"/>
        <w:rPr>
          <w:rFonts w:ascii="Arial Black" w:hAnsi="Arial Black"/>
          <w:sz w:val="40"/>
          <w:szCs w:val="40"/>
        </w:rPr>
      </w:pPr>
    </w:p>
    <w:p w14:paraId="21DEF991" w14:textId="77777777" w:rsidR="00680234" w:rsidRDefault="00680234" w:rsidP="00F326E5">
      <w:pPr>
        <w:pStyle w:val="NoSpacing"/>
        <w:rPr>
          <w:rFonts w:ascii="Arial Black" w:hAnsi="Arial Black"/>
          <w:sz w:val="40"/>
          <w:szCs w:val="40"/>
        </w:rPr>
      </w:pPr>
    </w:p>
    <w:p w14:paraId="14DF8684" w14:textId="77777777" w:rsidR="00680234" w:rsidRDefault="00680234" w:rsidP="00F326E5">
      <w:pPr>
        <w:pStyle w:val="NoSpacing"/>
        <w:rPr>
          <w:rFonts w:ascii="Arial Black" w:hAnsi="Arial Black"/>
          <w:sz w:val="40"/>
          <w:szCs w:val="40"/>
        </w:rPr>
      </w:pPr>
    </w:p>
    <w:p w14:paraId="2EB685D0" w14:textId="77777777" w:rsidR="00680234" w:rsidRDefault="00680234" w:rsidP="00F326E5">
      <w:pPr>
        <w:pStyle w:val="NoSpacing"/>
        <w:rPr>
          <w:rFonts w:ascii="Arial Black" w:hAnsi="Arial Black"/>
          <w:sz w:val="40"/>
          <w:szCs w:val="40"/>
        </w:rPr>
      </w:pPr>
    </w:p>
    <w:p w14:paraId="2DF3FF63" w14:textId="5E383E2F" w:rsidR="00F326E5" w:rsidRDefault="00F326E5" w:rsidP="00F326E5">
      <w:pPr>
        <w:pStyle w:val="NoSpacing"/>
        <w:rPr>
          <w:rFonts w:ascii="Arial Black" w:hAnsi="Arial Black"/>
          <w:sz w:val="40"/>
          <w:szCs w:val="40"/>
        </w:rPr>
      </w:pPr>
      <w:r w:rsidRPr="007732FA">
        <w:rPr>
          <w:rFonts w:ascii="Arial Black" w:hAnsi="Arial Black"/>
          <w:sz w:val="40"/>
          <w:szCs w:val="40"/>
        </w:rPr>
        <w:lastRenderedPageBreak/>
        <w:t>Chap. 4</w:t>
      </w:r>
      <w:r w:rsidRPr="007732FA">
        <w:rPr>
          <w:rFonts w:ascii="Arial Black" w:hAnsi="Arial Black"/>
          <w:sz w:val="40"/>
          <w:szCs w:val="40"/>
        </w:rPr>
        <w:tab/>
        <w:t>Incident Command</w:t>
      </w:r>
      <w:r w:rsidR="003F660F">
        <w:rPr>
          <w:rFonts w:ascii="Arial Black" w:hAnsi="Arial Black"/>
          <w:sz w:val="40"/>
          <w:szCs w:val="40"/>
        </w:rPr>
        <w:t>, including T</w:t>
      </w:r>
      <w:r w:rsidRPr="007732FA">
        <w:rPr>
          <w:rFonts w:ascii="Arial Black" w:hAnsi="Arial Black"/>
          <w:sz w:val="40"/>
          <w:szCs w:val="40"/>
        </w:rPr>
        <w:t>raining</w:t>
      </w:r>
      <w:r w:rsidR="003F660F">
        <w:rPr>
          <w:rFonts w:ascii="Arial Black" w:hAnsi="Arial Black"/>
          <w:sz w:val="40"/>
          <w:szCs w:val="40"/>
        </w:rPr>
        <w:t xml:space="preserve">, </w:t>
      </w:r>
      <w:r w:rsidRPr="007732FA">
        <w:rPr>
          <w:rFonts w:ascii="Arial Black" w:hAnsi="Arial Black"/>
          <w:sz w:val="40"/>
          <w:szCs w:val="40"/>
        </w:rPr>
        <w:t>Drones</w:t>
      </w:r>
    </w:p>
    <w:p w14:paraId="049942EC" w14:textId="77777777" w:rsidR="00F326E5" w:rsidRDefault="00F326E5" w:rsidP="00F326E5">
      <w:pPr>
        <w:pStyle w:val="NoSpacing"/>
        <w:rPr>
          <w:b/>
          <w:sz w:val="24"/>
          <w:szCs w:val="24"/>
        </w:rPr>
      </w:pPr>
    </w:p>
    <w:p w14:paraId="15EA55E9" w14:textId="20A7796A" w:rsidR="003E2FC8" w:rsidRDefault="003E2FC8" w:rsidP="000636AB">
      <w:pPr>
        <w:rPr>
          <w:rStyle w:val="Hyperlink"/>
          <w:rFonts w:ascii="Arial Black" w:hAnsi="Arial Black"/>
          <w:b/>
          <w:color w:val="auto"/>
          <w:sz w:val="24"/>
          <w:szCs w:val="24"/>
          <w:u w:val="none"/>
        </w:rPr>
      </w:pPr>
      <w:bookmarkStart w:id="173" w:name="_Hlk7342420"/>
      <w:r>
        <w:rPr>
          <w:rStyle w:val="Hyperlink"/>
          <w:rFonts w:ascii="Arial Black" w:hAnsi="Arial Black"/>
          <w:b/>
          <w:color w:val="auto"/>
          <w:sz w:val="24"/>
          <w:szCs w:val="24"/>
          <w:u w:val="none"/>
        </w:rPr>
        <w:t>4-57</w:t>
      </w:r>
    </w:p>
    <w:p w14:paraId="315DFCB0" w14:textId="77777777" w:rsidR="003E2FC8" w:rsidRPr="00E51C17" w:rsidRDefault="003E2FC8" w:rsidP="003E2FC8">
      <w:pPr>
        <w:pStyle w:val="NoSpacing"/>
        <w:rPr>
          <w:rFonts w:ascii="Arial Black" w:hAnsi="Arial Black"/>
          <w:b/>
          <w:sz w:val="28"/>
          <w:szCs w:val="28"/>
        </w:rPr>
      </w:pPr>
      <w:r>
        <w:rPr>
          <w:rFonts w:ascii="Arial Black" w:hAnsi="Arial Black"/>
          <w:b/>
          <w:sz w:val="28"/>
          <w:szCs w:val="28"/>
        </w:rPr>
        <w:t>NJ: PROM EXAM QUEST - 2</w:t>
      </w:r>
      <w:r w:rsidRPr="009E1C40">
        <w:rPr>
          <w:rFonts w:ascii="Arial Black" w:hAnsi="Arial Black"/>
          <w:b/>
          <w:sz w:val="28"/>
          <w:szCs w:val="28"/>
          <w:vertAlign w:val="superscript"/>
        </w:rPr>
        <w:t>nd</w:t>
      </w:r>
      <w:r>
        <w:rPr>
          <w:rFonts w:ascii="Arial Black" w:hAnsi="Arial Black"/>
          <w:b/>
          <w:sz w:val="28"/>
          <w:szCs w:val="28"/>
        </w:rPr>
        <w:t xml:space="preserve"> FL DORM FIRE – GRADED FAIR</w:t>
      </w:r>
    </w:p>
    <w:p w14:paraId="7DB3ADCC" w14:textId="77777777" w:rsidR="003E2FC8" w:rsidRDefault="003E2FC8" w:rsidP="003E2FC8">
      <w:pPr>
        <w:pStyle w:val="NoSpacing"/>
        <w:rPr>
          <w:b/>
        </w:rPr>
      </w:pPr>
    </w:p>
    <w:p w14:paraId="711F5E59" w14:textId="77777777" w:rsidR="003E2FC8" w:rsidRDefault="003E2FC8" w:rsidP="003E2FC8">
      <w:pPr>
        <w:pStyle w:val="NoSpacing"/>
        <w:rPr>
          <w:bCs/>
        </w:rPr>
      </w:pPr>
      <w:r>
        <w:t xml:space="preserve">On July 21, 2026, </w:t>
      </w:r>
      <w:r w:rsidRPr="00E86F11">
        <w:rPr>
          <w:u w:val="single"/>
        </w:rPr>
        <w:t xml:space="preserve">In </w:t>
      </w:r>
      <w:proofErr w:type="gramStart"/>
      <w:r w:rsidRPr="00E86F11">
        <w:rPr>
          <w:u w:val="single"/>
        </w:rPr>
        <w:t>The</w:t>
      </w:r>
      <w:proofErr w:type="gramEnd"/>
      <w:r w:rsidRPr="00E86F11">
        <w:rPr>
          <w:u w:val="single"/>
        </w:rPr>
        <w:t xml:space="preserve"> Matter </w:t>
      </w:r>
      <w:proofErr w:type="gramStart"/>
      <w:r w:rsidRPr="00E86F11">
        <w:rPr>
          <w:u w:val="single"/>
        </w:rPr>
        <w:t>Of</w:t>
      </w:r>
      <w:proofErr w:type="gramEnd"/>
      <w:r w:rsidRPr="00E86F11">
        <w:rPr>
          <w:u w:val="single"/>
        </w:rPr>
        <w:t xml:space="preserve"> Brian S. Morton, Fire Officer, North Hudson Fire </w:t>
      </w:r>
      <w:proofErr w:type="gramStart"/>
      <w:r w:rsidRPr="00E86F11">
        <w:rPr>
          <w:u w:val="single"/>
        </w:rPr>
        <w:t>And</w:t>
      </w:r>
      <w:proofErr w:type="gramEnd"/>
      <w:r w:rsidRPr="00E86F11">
        <w:rPr>
          <w:u w:val="single"/>
        </w:rPr>
        <w:t xml:space="preserve"> Rescue</w:t>
      </w:r>
      <w:r>
        <w:t xml:space="preserve">, the Superior Court of New Jersey, Appellate Division, held (2 to 0; unpublished opinion) that court upholds the New Jersey Civil Service Commission ruling denying the fire fighters appeal about the scoring of his promotional examination. </w:t>
      </w:r>
      <w:r w:rsidRPr="00FC44A7">
        <w:t>In 2022, Morton completed the promotional examination for Fire Officer 1,</w:t>
      </w:r>
      <w:r>
        <w:t xml:space="preserve"> </w:t>
      </w:r>
      <w:r w:rsidRPr="00FC44A7">
        <w:t>which consisted of a written and oral examination. Morton passed with a</w:t>
      </w:r>
      <w:r>
        <w:t xml:space="preserve"> </w:t>
      </w:r>
      <w:r w:rsidRPr="00FC44A7">
        <w:t>combined score of 87.680, ranking thirty-first on the promotion list.</w:t>
      </w:r>
      <w:r>
        <w:t xml:space="preserve"> </w:t>
      </w:r>
      <w:r w:rsidRPr="00627C17">
        <w:t>Morton argued he received an erroneous score of two on</w:t>
      </w:r>
      <w:r>
        <w:t xml:space="preserve"> </w:t>
      </w:r>
      <w:r w:rsidRPr="00627C17">
        <w:t>the technical component of the "evolving scenario" section of the oral</w:t>
      </w:r>
      <w:r>
        <w:t xml:space="preserve"> </w:t>
      </w:r>
      <w:r w:rsidRPr="00627C17">
        <w:t>examination</w:t>
      </w:r>
      <w:r>
        <w:t xml:space="preserve"> - </w:t>
      </w:r>
      <w:r w:rsidRPr="00EB490C">
        <w:t>hypothetical fire on the second floor of a college dormitory with the candidate</w:t>
      </w:r>
      <w:r>
        <w:t xml:space="preserve"> </w:t>
      </w:r>
      <w:r w:rsidRPr="00EB490C">
        <w:t>serving as the first-level supervisor of the first arriving engine company</w:t>
      </w:r>
      <w:r>
        <w:t xml:space="preserve">.   </w:t>
      </w:r>
      <w:hyperlink r:id="rId857" w:history="1">
        <w:r w:rsidRPr="0044034D">
          <w:rPr>
            <w:rStyle w:val="Hyperlink"/>
          </w:rPr>
          <w:t>https://www.njcourts.gov/system/files/court-opinions/2026/a0803-24.pdf</w:t>
        </w:r>
      </w:hyperlink>
      <w:r>
        <w:t xml:space="preserve"> </w:t>
      </w:r>
    </w:p>
    <w:p w14:paraId="5B736442" w14:textId="77777777" w:rsidR="003E2FC8" w:rsidRDefault="003E2FC8" w:rsidP="003E2FC8">
      <w:pPr>
        <w:pStyle w:val="NoSpacing"/>
        <w:rPr>
          <w:bCs/>
        </w:rPr>
      </w:pPr>
    </w:p>
    <w:p w14:paraId="74DA0F6A" w14:textId="77777777" w:rsidR="003E2FC8" w:rsidRDefault="003E2FC8" w:rsidP="003E2FC8">
      <w:pPr>
        <w:pStyle w:val="NoSpacing"/>
        <w:rPr>
          <w:bCs/>
        </w:rPr>
      </w:pPr>
      <w:r>
        <w:t>THE COURT WROTE:</w:t>
      </w:r>
    </w:p>
    <w:p w14:paraId="6C8E54BC" w14:textId="77777777" w:rsidR="003E2FC8" w:rsidRDefault="003E2FC8" w:rsidP="003E2FC8">
      <w:pPr>
        <w:pStyle w:val="NoSpacing"/>
        <w:rPr>
          <w:bCs/>
        </w:rPr>
      </w:pPr>
    </w:p>
    <w:p w14:paraId="2B559A9F" w14:textId="77777777" w:rsidR="003E2FC8" w:rsidRPr="002D4B7E" w:rsidRDefault="003E2FC8" w:rsidP="003E2FC8">
      <w:pPr>
        <w:pStyle w:val="NoSpacing"/>
        <w:rPr>
          <w:bCs/>
        </w:rPr>
      </w:pPr>
      <w:r>
        <w:t>“</w:t>
      </w:r>
      <w:r w:rsidRPr="001A4039">
        <w:t xml:space="preserve">The SME awarded Morton a two for </w:t>
      </w:r>
      <w:r>
        <w:t>‘</w:t>
      </w:r>
      <w:r w:rsidRPr="001A4039">
        <w:t>fail[</w:t>
      </w:r>
      <w:proofErr w:type="spellStart"/>
      <w:r w:rsidRPr="001A4039">
        <w:t>ing</w:t>
      </w:r>
      <w:proofErr w:type="spellEnd"/>
      <w:r w:rsidRPr="001A4039">
        <w:t>] to perform the mandatory</w:t>
      </w:r>
      <w:r>
        <w:t xml:space="preserve"> </w:t>
      </w:r>
      <w:r w:rsidRPr="001A4039">
        <w:t>action of ordering the fire department connection (FDC) standpipe/sprinklers to</w:t>
      </w:r>
      <w:r>
        <w:t xml:space="preserve"> </w:t>
      </w:r>
      <w:r w:rsidRPr="001A4039">
        <w:t>be fed and miss[</w:t>
      </w:r>
      <w:proofErr w:type="spellStart"/>
      <w:r w:rsidRPr="001A4039">
        <w:t>ing</w:t>
      </w:r>
      <w:proofErr w:type="spellEnd"/>
      <w:r w:rsidRPr="001A4039">
        <w:t>] a number of additional opportunities, including, in part, the</w:t>
      </w:r>
      <w:r>
        <w:t xml:space="preserve"> </w:t>
      </w:r>
      <w:r w:rsidRPr="001A4039">
        <w:t>opportunity to ensure fire doors are properly controlled.</w:t>
      </w:r>
      <w:r>
        <w:t xml:space="preserve">’ … </w:t>
      </w:r>
      <w:r w:rsidRPr="002D4B7E">
        <w:t xml:space="preserve">In challenging his score, Morton disputed the validity of </w:t>
      </w:r>
      <w:r>
        <w:t>‘</w:t>
      </w:r>
      <w:r w:rsidRPr="002D4B7E">
        <w:t>requiring the</w:t>
      </w:r>
    </w:p>
    <w:p w14:paraId="0E199603" w14:textId="77777777" w:rsidR="003E2FC8" w:rsidRDefault="003E2FC8" w:rsidP="003E2FC8">
      <w:pPr>
        <w:pStyle w:val="NoSpacing"/>
        <w:rPr>
          <w:bCs/>
        </w:rPr>
      </w:pPr>
      <w:r w:rsidRPr="002D4B7E">
        <w:t>first due engine to always feed the FDC as a mandatory response.</w:t>
      </w:r>
      <w:r>
        <w:t xml:space="preserve">’ … </w:t>
      </w:r>
      <w:r w:rsidRPr="00227F13">
        <w:t>We discern no due process violation in the</w:t>
      </w:r>
      <w:r>
        <w:t xml:space="preserve"> </w:t>
      </w:r>
      <w:r w:rsidRPr="00227F13">
        <w:t>Commission's not entertaining oral argument</w:t>
      </w:r>
      <w:r>
        <w:t xml:space="preserve">…. </w:t>
      </w:r>
      <w:r w:rsidRPr="003120EB">
        <w:t>Here, Morton does not dispute he had the ability to review his oral</w:t>
      </w:r>
      <w:r>
        <w:t xml:space="preserve"> </w:t>
      </w:r>
      <w:r w:rsidRPr="003120EB">
        <w:t>examination. Additionally, both Morton's merits brief and the Commission's</w:t>
      </w:r>
      <w:r>
        <w:t xml:space="preserve"> </w:t>
      </w:r>
      <w:r w:rsidRPr="003120EB">
        <w:t>written decision refer extensively to Morton's responses and the PCAs he</w:t>
      </w:r>
      <w:r>
        <w:t xml:space="preserve"> </w:t>
      </w:r>
      <w:r w:rsidRPr="003120EB">
        <w:t>missed. We perceive no basis to conclude Morton was denied adequate</w:t>
      </w:r>
      <w:r>
        <w:t xml:space="preserve"> </w:t>
      </w:r>
      <w:r w:rsidRPr="003120EB">
        <w:t>opportunity to review his oral examination results prior to his appeal.</w:t>
      </w:r>
      <w:r>
        <w:t>”</w:t>
      </w:r>
    </w:p>
    <w:p w14:paraId="069CB92D" w14:textId="77777777" w:rsidR="003E2FC8" w:rsidRDefault="003E2FC8" w:rsidP="003E2FC8">
      <w:pPr>
        <w:pStyle w:val="NoSpacing"/>
        <w:rPr>
          <w:bCs/>
        </w:rPr>
      </w:pPr>
    </w:p>
    <w:p w14:paraId="45789CC8" w14:textId="77777777" w:rsidR="003E2FC8" w:rsidRPr="00B022EF" w:rsidRDefault="003E2FC8" w:rsidP="003E2FC8">
      <w:pPr>
        <w:pStyle w:val="NoSpacing"/>
        <w:rPr>
          <w:b/>
        </w:rPr>
      </w:pPr>
      <w:r w:rsidRPr="00B022EF">
        <w:rPr>
          <w:b/>
        </w:rPr>
        <w:t xml:space="preserve">Legal lesson learned: </w:t>
      </w:r>
      <w:r>
        <w:rPr>
          <w:b/>
        </w:rPr>
        <w:t xml:space="preserve">The Civil Service Commission can </w:t>
      </w:r>
      <w:proofErr w:type="gramStart"/>
      <w:r>
        <w:rPr>
          <w:b/>
        </w:rPr>
        <w:t>decided</w:t>
      </w:r>
      <w:proofErr w:type="gramEnd"/>
      <w:r>
        <w:rPr>
          <w:b/>
        </w:rPr>
        <w:t xml:space="preserve"> an appeal based on the administrative record; no right to appear before the Commission for oral argument. </w:t>
      </w:r>
    </w:p>
    <w:p w14:paraId="3F238FA7" w14:textId="77777777" w:rsidR="003E2FC8" w:rsidRDefault="003E2FC8" w:rsidP="003E2FC8">
      <w:pPr>
        <w:pStyle w:val="NoSpacing"/>
        <w:rPr>
          <w:b/>
          <w:sz w:val="20"/>
          <w:szCs w:val="20"/>
        </w:rPr>
      </w:pPr>
    </w:p>
    <w:p w14:paraId="524AE231" w14:textId="77777777" w:rsidR="003E2FC8" w:rsidRDefault="003E2FC8" w:rsidP="003E2FC8">
      <w:pPr>
        <w:pStyle w:val="NoSpacing"/>
        <w:rPr>
          <w:b/>
          <w:sz w:val="20"/>
          <w:szCs w:val="20"/>
        </w:rPr>
      </w:pPr>
    </w:p>
    <w:p w14:paraId="2F7B23D2" w14:textId="77777777" w:rsidR="003E2FC8" w:rsidRDefault="003E2FC8" w:rsidP="000636AB">
      <w:pPr>
        <w:rPr>
          <w:rStyle w:val="Hyperlink"/>
          <w:rFonts w:ascii="Arial Black" w:hAnsi="Arial Black"/>
          <w:b/>
          <w:color w:val="auto"/>
          <w:sz w:val="24"/>
          <w:szCs w:val="24"/>
          <w:u w:val="none"/>
        </w:rPr>
      </w:pPr>
    </w:p>
    <w:p w14:paraId="59AC81E1" w14:textId="77777777" w:rsidR="003E2FC8" w:rsidRDefault="003E2FC8" w:rsidP="000636AB">
      <w:pPr>
        <w:rPr>
          <w:rStyle w:val="Hyperlink"/>
          <w:rFonts w:ascii="Arial Black" w:hAnsi="Arial Black"/>
          <w:b/>
          <w:color w:val="auto"/>
          <w:sz w:val="24"/>
          <w:szCs w:val="24"/>
          <w:u w:val="none"/>
        </w:rPr>
      </w:pPr>
    </w:p>
    <w:p w14:paraId="66E319B4" w14:textId="77777777" w:rsidR="003E2FC8" w:rsidRDefault="003E2FC8" w:rsidP="000636AB">
      <w:pPr>
        <w:rPr>
          <w:rStyle w:val="Hyperlink"/>
          <w:rFonts w:ascii="Arial Black" w:hAnsi="Arial Black"/>
          <w:b/>
          <w:color w:val="auto"/>
          <w:sz w:val="24"/>
          <w:szCs w:val="24"/>
          <w:u w:val="none"/>
        </w:rPr>
      </w:pPr>
    </w:p>
    <w:p w14:paraId="0CF9B3D9" w14:textId="49FF6C1B" w:rsidR="009851F6" w:rsidRDefault="00B77E9E"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4-56</w:t>
      </w:r>
    </w:p>
    <w:p w14:paraId="740D796D" w14:textId="77777777" w:rsidR="009851F6" w:rsidRDefault="009851F6" w:rsidP="009851F6">
      <w:pPr>
        <w:pStyle w:val="NoSpacing"/>
        <w:rPr>
          <w:rFonts w:ascii="Arial Black" w:hAnsi="Arial Black"/>
          <w:bCs/>
          <w:sz w:val="28"/>
          <w:szCs w:val="28"/>
        </w:rPr>
      </w:pPr>
      <w:r>
        <w:rPr>
          <w:rFonts w:ascii="Arial Black" w:hAnsi="Arial Black"/>
          <w:sz w:val="28"/>
          <w:szCs w:val="28"/>
        </w:rPr>
        <w:t>WA: 911 DISPATCH – DELAYED NOTIFYING PD</w:t>
      </w:r>
      <w:r>
        <w:rPr>
          <w:rFonts w:ascii="Arial Black" w:hAnsi="Arial Black"/>
          <w:bCs/>
          <w:sz w:val="28"/>
          <w:szCs w:val="28"/>
        </w:rPr>
        <w:t xml:space="preserve"> / VICTIM DIED </w:t>
      </w:r>
    </w:p>
    <w:p w14:paraId="43F83585" w14:textId="77777777" w:rsidR="009851F6" w:rsidRDefault="009851F6" w:rsidP="009851F6">
      <w:pPr>
        <w:pStyle w:val="NoSpacing"/>
        <w:rPr>
          <w:bCs/>
        </w:rPr>
      </w:pPr>
    </w:p>
    <w:p w14:paraId="242A10F3" w14:textId="77777777" w:rsidR="009851F6" w:rsidRDefault="009851F6" w:rsidP="009851F6">
      <w:r>
        <w:t xml:space="preserve">On June 1, 2026, in </w:t>
      </w:r>
      <w:r w:rsidRPr="00DF323C">
        <w:rPr>
          <w:u w:val="single"/>
        </w:rPr>
        <w:t>Tricia Keith Bartlett, as the Personal Representative of the Estate of Amber Mary Keith Tricia v. Valley Communications Center</w:t>
      </w:r>
      <w:r>
        <w:t>, the Court of Appeals of Washington, Division 1 held (3 to 0) that trial court improperly dismissed the estate’s lawsuit. The Court wrote: “</w:t>
      </w:r>
      <w:r w:rsidRPr="00B5497E">
        <w:t>Because the allegations in the complaint are legally sufficient to establish that the special relationship exception to the public duty doctrine applied, the trial court erred in dismissing the Estate's negligence claim.</w:t>
      </w:r>
      <w:r>
        <w:t xml:space="preserve">” </w:t>
      </w:r>
      <w:hyperlink r:id="rId858" w:history="1">
        <w:r w:rsidRPr="00971037">
          <w:rPr>
            <w:rStyle w:val="Hyperlink"/>
          </w:rPr>
          <w:t>https://cases.justia.com/washington/court-of-appeals-division-i/2026-87600-7.pdf?ts=1780339477</w:t>
        </w:r>
      </w:hyperlink>
      <w:r>
        <w:t xml:space="preserve"> </w:t>
      </w:r>
    </w:p>
    <w:p w14:paraId="7CD907C0" w14:textId="77777777" w:rsidR="009851F6" w:rsidRDefault="009851F6" w:rsidP="009851F6">
      <w:pPr>
        <w:rPr>
          <w:b/>
          <w:bCs/>
        </w:rPr>
      </w:pPr>
      <w:r w:rsidRPr="00B5497E">
        <w:rPr>
          <w:b/>
        </w:rPr>
        <w:lastRenderedPageBreak/>
        <w:t>FACTS:</w:t>
      </w:r>
    </w:p>
    <w:p w14:paraId="2D0B49E9" w14:textId="77777777" w:rsidR="009851F6" w:rsidRPr="00B5497E" w:rsidRDefault="009851F6" w:rsidP="009851F6">
      <w:pPr>
        <w:pStyle w:val="NoSpacing"/>
        <w:rPr>
          <w:bCs/>
        </w:rPr>
      </w:pPr>
      <w:r>
        <w:t>“</w:t>
      </w:r>
      <w:r w:rsidRPr="00B5497E">
        <w:t xml:space="preserve">Tricia Keith Bartlett, individually and as the personal representative of Amber Keith's estate, Dean Bartlett, and Jesse Keith (collectively, the Estate) sued Valley Communications Center (VCC) alleging that VCC employees negligently classified the 911 calls from the Ramada Inn, which reported sounds of murder and a violent struggle as a lower priority, placing the call into a </w:t>
      </w:r>
      <w:r>
        <w:t>‘</w:t>
      </w:r>
      <w:r w:rsidRPr="00B5497E">
        <w:t>hold</w:t>
      </w:r>
      <w:r>
        <w:t>’</w:t>
      </w:r>
      <w:r w:rsidRPr="00B5497E">
        <w:t xml:space="preserve"> status and resulting in a delayed emergency response and Keith's death. The Estate asserted a negligence claim and a negligent supervision and training claim. The trial court dismissed the complaint under CR 12(b)(6), and the Estate appeals. </w:t>
      </w:r>
    </w:p>
    <w:p w14:paraId="251F3E8C" w14:textId="77777777" w:rsidR="009851F6" w:rsidRDefault="009851F6" w:rsidP="009851F6">
      <w:pPr>
        <w:pStyle w:val="NoSpacing"/>
        <w:rPr>
          <w:bCs/>
        </w:rPr>
      </w:pPr>
    </w:p>
    <w:p w14:paraId="3AAF3E9A" w14:textId="77777777" w:rsidR="009851F6" w:rsidRDefault="009851F6" w:rsidP="009851F6">
      <w:pPr>
        <w:pStyle w:val="NoSpacing"/>
        <w:rPr>
          <w:bCs/>
        </w:rPr>
      </w:pPr>
      <w:r>
        <w:t>***</w:t>
      </w:r>
    </w:p>
    <w:p w14:paraId="70016732" w14:textId="77777777" w:rsidR="009851F6" w:rsidRPr="00AE62E6" w:rsidRDefault="009851F6" w:rsidP="009851F6">
      <w:pPr>
        <w:pStyle w:val="NoSpacing"/>
        <w:rPr>
          <w:bCs/>
        </w:rPr>
      </w:pPr>
      <w:r w:rsidRPr="00AE62E6">
        <w:t xml:space="preserve">On June 14, 2021, Keith was the sole registered occupant in room 214 at the Ramada Inn in Kent, Washington. At around 10:30 a.m., the hotel's housekeeper Rosa Yolanda Diaz Pacheco was cleaning room 212 when she heard sounds of a violent struggle from room 214. Other occupants on the floor also heard disturbing and violent sounds coming from room 214. </w:t>
      </w:r>
    </w:p>
    <w:p w14:paraId="00E0CD6C" w14:textId="77777777" w:rsidR="009851F6" w:rsidRDefault="009851F6" w:rsidP="009851F6">
      <w:pPr>
        <w:pStyle w:val="NoSpacing"/>
        <w:rPr>
          <w:bCs/>
        </w:rPr>
      </w:pPr>
      <w:r w:rsidRPr="00AE62E6">
        <w:t>         </w:t>
      </w:r>
    </w:p>
    <w:p w14:paraId="4B355D35" w14:textId="77777777" w:rsidR="009851F6" w:rsidRPr="00AE62E6" w:rsidRDefault="009851F6" w:rsidP="009851F6">
      <w:pPr>
        <w:pStyle w:val="NoSpacing"/>
        <w:rPr>
          <w:bCs/>
        </w:rPr>
      </w:pPr>
      <w:r w:rsidRPr="00AE62E6">
        <w:t xml:space="preserve">Pacheco ran to the front desk to alert security officer Phillip Eugene Roush. Roush's job was to provide security services for the employees and guests at the Ramada Inn. The area had been plagued with violence and crime. </w:t>
      </w:r>
    </w:p>
    <w:p w14:paraId="5945A434" w14:textId="77777777" w:rsidR="009851F6" w:rsidRDefault="009851F6" w:rsidP="009851F6">
      <w:pPr>
        <w:pStyle w:val="NoSpacing"/>
        <w:rPr>
          <w:bCs/>
        </w:rPr>
      </w:pPr>
      <w:r w:rsidRPr="00AE62E6">
        <w:t>        </w:t>
      </w:r>
    </w:p>
    <w:p w14:paraId="5FB93E0C" w14:textId="77777777" w:rsidR="009851F6" w:rsidRDefault="009851F6" w:rsidP="009851F6">
      <w:pPr>
        <w:pStyle w:val="NoSpacing"/>
        <w:rPr>
          <w:bCs/>
        </w:rPr>
      </w:pPr>
      <w:r w:rsidRPr="00AE62E6">
        <w:t xml:space="preserve"> Roush arrived </w:t>
      </w:r>
      <w:proofErr w:type="gramStart"/>
      <w:r w:rsidRPr="00AE62E6">
        <w:t>at</w:t>
      </w:r>
      <w:proofErr w:type="gramEnd"/>
      <w:r w:rsidRPr="00AE62E6">
        <w:t xml:space="preserve"> room 214 and heard screaming and things breaking. Roush heard a female in the room screaming </w:t>
      </w:r>
      <w:r>
        <w:t>‘</w:t>
      </w:r>
      <w:r w:rsidRPr="00AE62E6">
        <w:t>stop choking me,</w:t>
      </w:r>
      <w:r>
        <w:t>’</w:t>
      </w:r>
      <w:r w:rsidRPr="00AE62E6">
        <w:t xml:space="preserve"> </w:t>
      </w:r>
      <w:r>
        <w:t>‘</w:t>
      </w:r>
      <w:r w:rsidRPr="00AE62E6">
        <w:t>stop pushing me,</w:t>
      </w:r>
      <w:r>
        <w:t>’</w:t>
      </w:r>
      <w:r w:rsidRPr="00AE62E6">
        <w:t xml:space="preserve"> and </w:t>
      </w:r>
      <w:r>
        <w:t>‘</w:t>
      </w:r>
      <w:r w:rsidRPr="00AE62E6">
        <w:t>leave me alone.</w:t>
      </w:r>
    </w:p>
    <w:p w14:paraId="608E466C" w14:textId="77777777" w:rsidR="009851F6" w:rsidRPr="00AE62E6" w:rsidRDefault="009851F6" w:rsidP="009851F6">
      <w:pPr>
        <w:pStyle w:val="NoSpacing"/>
        <w:rPr>
          <w:bCs/>
        </w:rPr>
      </w:pPr>
      <w:r w:rsidRPr="00AE62E6">
        <w:t xml:space="preserve"> </w:t>
      </w:r>
    </w:p>
    <w:p w14:paraId="4D3084EF" w14:textId="77777777" w:rsidR="009851F6" w:rsidRDefault="009851F6" w:rsidP="009851F6">
      <w:pPr>
        <w:pStyle w:val="NoSpacing"/>
        <w:rPr>
          <w:bCs/>
        </w:rPr>
      </w:pPr>
      <w:r w:rsidRPr="00AE62E6">
        <w:t xml:space="preserve">After a few minutes, at 10:56 a.m., Roush called the Kent </w:t>
      </w:r>
      <w:proofErr w:type="gramStart"/>
      <w:r w:rsidRPr="00AE62E6">
        <w:t>police</w:t>
      </w:r>
      <w:proofErr w:type="gramEnd"/>
      <w:r w:rsidRPr="00AE62E6">
        <w:t xml:space="preserve"> nonemergency phone number. This connected him with an employee of VCC (VCC Employee 1). Roush told VCC Employee 1 that it sounded like someone </w:t>
      </w:r>
      <w:proofErr w:type="gramStart"/>
      <w:r w:rsidRPr="00AE62E6">
        <w:t>was getting</w:t>
      </w:r>
      <w:proofErr w:type="gramEnd"/>
      <w:r w:rsidRPr="00AE62E6">
        <w:t xml:space="preserve"> murdered in room 214, and he provided the address. Roush said it was violent, like a 911 situation, and said, </w:t>
      </w:r>
      <w:r>
        <w:t>‘</w:t>
      </w:r>
      <w:r w:rsidRPr="00AE62E6">
        <w:t>ASAP</w:t>
      </w:r>
      <w:proofErr w:type="gramStart"/>
      <w:r w:rsidRPr="00AE62E6">
        <w:t>.</w:t>
      </w:r>
      <w:proofErr w:type="gramEnd"/>
      <w:r w:rsidRPr="00AE62E6">
        <w:t xml:space="preserve"> ASAP. Cause somebody's getting murdered over here.</w:t>
      </w:r>
      <w:r>
        <w:t>’</w:t>
      </w:r>
      <w:r w:rsidRPr="00AE62E6">
        <w:t xml:space="preserve"> Roush stated that he did not know who was in the room, but there had been a </w:t>
      </w:r>
      <w:r>
        <w:t>‘</w:t>
      </w:r>
      <w:r w:rsidRPr="00AE62E6">
        <w:t xml:space="preserve">bunch of </w:t>
      </w:r>
      <w:proofErr w:type="gramStart"/>
      <w:r w:rsidRPr="00AE62E6">
        <w:t>transients</w:t>
      </w:r>
      <w:r>
        <w:t>’</w:t>
      </w:r>
      <w:proofErr w:type="gramEnd"/>
      <w:r w:rsidRPr="00AE62E6">
        <w:t xml:space="preserve"> coming into the hotel. </w:t>
      </w:r>
    </w:p>
    <w:p w14:paraId="5968ADA6" w14:textId="77777777" w:rsidR="009851F6" w:rsidRDefault="009851F6" w:rsidP="009851F6">
      <w:pPr>
        <w:pStyle w:val="NoSpacing"/>
        <w:rPr>
          <w:bCs/>
        </w:rPr>
      </w:pPr>
    </w:p>
    <w:p w14:paraId="1FDA9791" w14:textId="77777777" w:rsidR="009851F6" w:rsidRPr="00135DF5" w:rsidRDefault="009851F6" w:rsidP="009851F6">
      <w:pPr>
        <w:pStyle w:val="NoSpacing"/>
        <w:rPr>
          <w:bCs/>
        </w:rPr>
      </w:pPr>
      <w:r w:rsidRPr="00135DF5">
        <w:t xml:space="preserve">VCC Employee 1 said that they were dispatching help and that they would get there as quickly as they can. VCC Employee 1 </w:t>
      </w:r>
      <w:proofErr w:type="gramStart"/>
      <w:r w:rsidRPr="00135DF5">
        <w:t>entered into</w:t>
      </w:r>
      <w:proofErr w:type="gramEnd"/>
      <w:r w:rsidRPr="00135DF5">
        <w:t xml:space="preserve"> CAD that Roush reported sounds of domestic violence, assigned it a priority level 2, and noted that Roush thinks transients are in the room and that there were no weapons. Unknown to Roush, the call was placed into a </w:t>
      </w:r>
      <w:r>
        <w:t>‘</w:t>
      </w:r>
      <w:r w:rsidRPr="00135DF5">
        <w:t>hold</w:t>
      </w:r>
      <w:r>
        <w:t>’</w:t>
      </w:r>
      <w:r w:rsidRPr="00135DF5">
        <w:t xml:space="preserve"> status. </w:t>
      </w:r>
    </w:p>
    <w:p w14:paraId="1FF55C7C" w14:textId="77777777" w:rsidR="009851F6" w:rsidRDefault="009851F6" w:rsidP="009851F6">
      <w:pPr>
        <w:pStyle w:val="NoSpacing"/>
        <w:rPr>
          <w:bCs/>
        </w:rPr>
      </w:pPr>
      <w:r w:rsidRPr="00135DF5">
        <w:t>        </w:t>
      </w:r>
    </w:p>
    <w:p w14:paraId="22E9CD7A" w14:textId="77777777" w:rsidR="009851F6" w:rsidRPr="00135DF5" w:rsidRDefault="009851F6" w:rsidP="009851F6">
      <w:pPr>
        <w:pStyle w:val="NoSpacing"/>
        <w:rPr>
          <w:bCs/>
        </w:rPr>
      </w:pPr>
      <w:r w:rsidRPr="00135DF5">
        <w:t xml:space="preserve">At 11:16 a.m., Roush called the nonemergency line once again, but it never connected, so he hung up. At 11:26 a.m., Roush heard more concerning noises and called the nonemergency line for a third time. </w:t>
      </w:r>
    </w:p>
    <w:p w14:paraId="7E7C7F48" w14:textId="77777777" w:rsidR="009851F6" w:rsidRDefault="009851F6" w:rsidP="009851F6">
      <w:pPr>
        <w:pStyle w:val="NoSpacing"/>
        <w:rPr>
          <w:bCs/>
        </w:rPr>
      </w:pPr>
      <w:r w:rsidRPr="00135DF5">
        <w:t>         </w:t>
      </w:r>
    </w:p>
    <w:p w14:paraId="092BF5AE" w14:textId="77777777" w:rsidR="009851F6" w:rsidRPr="00135DF5" w:rsidRDefault="009851F6" w:rsidP="009851F6">
      <w:pPr>
        <w:pStyle w:val="NoSpacing"/>
        <w:rPr>
          <w:bCs/>
        </w:rPr>
      </w:pPr>
      <w:r w:rsidRPr="00135DF5">
        <w:t xml:space="preserve">The third call was answered by another employee (VCC Employee 2). Roush referred to the incident as domestic violence and said he heard heavy breathing and that it was very bad and that he never heard anything like it. VCC Employee 2 said she would let them know that he called back about the time delay and </w:t>
      </w:r>
      <w:proofErr w:type="gramStart"/>
      <w:r w:rsidRPr="00135DF5">
        <w:t>provide</w:t>
      </w:r>
      <w:proofErr w:type="gramEnd"/>
      <w:r w:rsidRPr="00135DF5">
        <w:t xml:space="preserve"> an update. </w:t>
      </w:r>
    </w:p>
    <w:p w14:paraId="767CC5E3" w14:textId="77777777" w:rsidR="009851F6" w:rsidRDefault="009851F6" w:rsidP="009851F6">
      <w:pPr>
        <w:pStyle w:val="NoSpacing"/>
        <w:rPr>
          <w:bCs/>
        </w:rPr>
      </w:pPr>
      <w:r w:rsidRPr="00135DF5">
        <w:t>        </w:t>
      </w:r>
    </w:p>
    <w:p w14:paraId="2BC07FB7" w14:textId="77777777" w:rsidR="009851F6" w:rsidRDefault="009851F6" w:rsidP="009851F6">
      <w:pPr>
        <w:pStyle w:val="NoSpacing"/>
        <w:rPr>
          <w:bCs/>
        </w:rPr>
      </w:pPr>
      <w:r w:rsidRPr="00135DF5">
        <w:t xml:space="preserve"> A VCC employee then contacted the Kent police over radio requesting that they </w:t>
      </w:r>
      <w:proofErr w:type="gramStart"/>
      <w:r w:rsidRPr="00135DF5">
        <w:t>look into</w:t>
      </w:r>
      <w:proofErr w:type="gramEnd"/>
      <w:r w:rsidRPr="00135DF5">
        <w:t xml:space="preserve"> the holding calls to see if they could provide an anticipated reporting time. This employee told the officer that Roush reported domestic violence among transients in the room. The officer asked if the room was vacant, and the employee said it sounds like it. Meanwhile, Roush heard shallow breathing and then silence. </w:t>
      </w:r>
    </w:p>
    <w:p w14:paraId="12F058D7" w14:textId="77777777" w:rsidR="009851F6" w:rsidRDefault="009851F6" w:rsidP="009851F6">
      <w:pPr>
        <w:pStyle w:val="NoSpacing"/>
        <w:rPr>
          <w:bCs/>
        </w:rPr>
      </w:pPr>
    </w:p>
    <w:p w14:paraId="298CDCEA" w14:textId="77777777" w:rsidR="009851F6" w:rsidRDefault="009851F6" w:rsidP="009851F6">
      <w:pPr>
        <w:pStyle w:val="NoSpacing"/>
        <w:rPr>
          <w:bCs/>
        </w:rPr>
      </w:pPr>
      <w:r w:rsidRPr="001F622F">
        <w:t xml:space="preserve">At 11:43 a.m., Philip Lopez placed a call to 911 and was connected to VCC. Lopez was the one in the room with Keith. Lopez stated that he needed an ambulance because his fiancé overdosed on drugs and was not breathing. VCC placed this call into CAD as priority 1. </w:t>
      </w:r>
    </w:p>
    <w:p w14:paraId="1C03C850" w14:textId="77777777" w:rsidR="009851F6" w:rsidRDefault="009851F6" w:rsidP="009851F6">
      <w:pPr>
        <w:pStyle w:val="NoSpacing"/>
        <w:rPr>
          <w:bCs/>
        </w:rPr>
      </w:pPr>
    </w:p>
    <w:p w14:paraId="58286D98" w14:textId="77777777" w:rsidR="009851F6" w:rsidRDefault="009851F6" w:rsidP="009851F6">
      <w:pPr>
        <w:pStyle w:val="NoSpacing"/>
      </w:pPr>
      <w:r w:rsidRPr="007A7AC0">
        <w:t> Within minutes, emergency personnel and officers arrived on the scene and began life saving measures. Keith was pronounced dead. Lopez was arrested and charged with the assault and murder of Keith.</w:t>
      </w:r>
      <w:r>
        <w:t>”</w:t>
      </w:r>
    </w:p>
    <w:p w14:paraId="22013377" w14:textId="77777777" w:rsidR="009851F6" w:rsidRDefault="009851F6" w:rsidP="009851F6">
      <w:pPr>
        <w:pStyle w:val="NoSpacing"/>
      </w:pPr>
    </w:p>
    <w:p w14:paraId="23202E81" w14:textId="77777777" w:rsidR="009851F6" w:rsidRDefault="009851F6" w:rsidP="009851F6">
      <w:pPr>
        <w:pStyle w:val="NoSpacing"/>
        <w:rPr>
          <w:b/>
          <w:bCs/>
        </w:rPr>
      </w:pPr>
      <w:r w:rsidRPr="007A7AC0">
        <w:rPr>
          <w:b/>
        </w:rPr>
        <w:t>COURT HELD:</w:t>
      </w:r>
    </w:p>
    <w:p w14:paraId="24A4CF46" w14:textId="77777777" w:rsidR="009851F6" w:rsidRDefault="009851F6" w:rsidP="009851F6">
      <w:pPr>
        <w:pStyle w:val="NoSpacing"/>
        <w:rPr>
          <w:b/>
          <w:bCs/>
        </w:rPr>
      </w:pPr>
    </w:p>
    <w:p w14:paraId="61B0840C" w14:textId="77777777" w:rsidR="009851F6" w:rsidRDefault="009851F6" w:rsidP="009851F6">
      <w:pPr>
        <w:pStyle w:val="NoSpacing"/>
      </w:pPr>
      <w:r>
        <w:lastRenderedPageBreak/>
        <w:t>“</w:t>
      </w:r>
      <w:r w:rsidRPr="00B966F3">
        <w:t>The Estate argues that it pleaded sufficient facts to establish that the special relationship exception is applicable and met. We agree.</w:t>
      </w:r>
    </w:p>
    <w:p w14:paraId="4BC6B579" w14:textId="77777777" w:rsidR="009851F6" w:rsidRDefault="009851F6" w:rsidP="009851F6">
      <w:pPr>
        <w:pStyle w:val="NoSpacing"/>
      </w:pPr>
    </w:p>
    <w:p w14:paraId="212CB920" w14:textId="77777777" w:rsidR="009851F6" w:rsidRDefault="009851F6" w:rsidP="009851F6">
      <w:pPr>
        <w:pStyle w:val="NoSpacing"/>
      </w:pPr>
      <w:r w:rsidRPr="00857E0B">
        <w:t xml:space="preserve">The special relationship exception allows tort actions for the negligent performance of public duties if the plaintiff can prove that there are circumstances setting their relationship with the government apart from the </w:t>
      </w:r>
      <w:proofErr w:type="gramStart"/>
      <w:r w:rsidRPr="00857E0B">
        <w:t>general public</w:t>
      </w:r>
      <w:proofErr w:type="gramEnd"/>
      <w:r w:rsidRPr="00857E0B">
        <w:t xml:space="preserve">. </w:t>
      </w:r>
      <w:r w:rsidRPr="00857E0B">
        <w:rPr>
          <w:i/>
          <w:iCs/>
        </w:rPr>
        <w:t>Cummins v. Lewis County</w:t>
      </w:r>
      <w:r w:rsidRPr="00857E0B">
        <w:t xml:space="preserve">, 156 Wn.2d 844, 854, 133 P.3d 458 (2006). A special relationship imposing an actionable duty to perform arises between the plaintiff and a government entity when "'(1) there is a direct contact or privity between the public official and the injured plaintiff which sets the latter apart from the general public, and (2) there are express assurances given by a public official, which (3) gives rise to justifiable reliance on the part of the plaintiff.'" </w:t>
      </w:r>
      <w:r w:rsidRPr="00857E0B">
        <w:rPr>
          <w:i/>
          <w:iCs/>
        </w:rPr>
        <w:t>Cummins</w:t>
      </w:r>
      <w:r w:rsidRPr="00857E0B">
        <w:t xml:space="preserve">, 156 Wn.2d at 854 (internal quotation marks omitted) (quoting </w:t>
      </w:r>
      <w:r w:rsidRPr="00857E0B">
        <w:rPr>
          <w:i/>
          <w:iCs/>
        </w:rPr>
        <w:t>Beal v. City of Seattle</w:t>
      </w:r>
      <w:r w:rsidRPr="00857E0B">
        <w:t>, 134 Wn.2d 769, 785, 954 P.2d 237 (1998)).</w:t>
      </w:r>
    </w:p>
    <w:p w14:paraId="4BC6D61E" w14:textId="77777777" w:rsidR="009851F6" w:rsidRDefault="009851F6" w:rsidP="009851F6">
      <w:pPr>
        <w:pStyle w:val="NoSpacing"/>
      </w:pPr>
    </w:p>
    <w:p w14:paraId="26112068" w14:textId="77777777" w:rsidR="009851F6" w:rsidRDefault="009851F6" w:rsidP="009851F6">
      <w:pPr>
        <w:pStyle w:val="NoSpacing"/>
      </w:pPr>
      <w:r>
        <w:t>***</w:t>
      </w:r>
    </w:p>
    <w:p w14:paraId="7A14F1A5" w14:textId="77777777" w:rsidR="009851F6" w:rsidRPr="00933C46" w:rsidRDefault="009851F6" w:rsidP="009851F6">
      <w:pPr>
        <w:pStyle w:val="NoSpacing"/>
      </w:pPr>
      <w:r w:rsidRPr="00933C46">
        <w:t xml:space="preserve">Here, Roush called VCC two times after the first call when police still had not arrived and he still heard violent sounds from the room. Roush kept his ear up against the door because </w:t>
      </w:r>
      <w:r>
        <w:t>‘</w:t>
      </w:r>
      <w:r w:rsidRPr="00933C46">
        <w:t>he was trying to save Ms. Keith's life.</w:t>
      </w:r>
      <w:r>
        <w:t>’</w:t>
      </w:r>
      <w:r w:rsidRPr="00933C46">
        <w:t xml:space="preserve"> It is also hypothetically conceivable that Roush did not take other action because he believed that emergency assistance was on the way or that Roush informed Keith that help was coming or induced other people not to call 911 because they were on the way. We hold that a plaintiff must prove that justifiable reliance existed by the person to whom the express assurance was given. Therefore, in this case, it was sufficient for the Estate to demonstrate that Roush relied on VCC's express assurance. </w:t>
      </w:r>
    </w:p>
    <w:p w14:paraId="10874C2B" w14:textId="77777777" w:rsidR="009851F6" w:rsidRDefault="009851F6" w:rsidP="009851F6">
      <w:pPr>
        <w:pStyle w:val="NoSpacing"/>
      </w:pPr>
      <w:r w:rsidRPr="00933C46">
        <w:t>         </w:t>
      </w:r>
    </w:p>
    <w:p w14:paraId="3181BF99" w14:textId="77777777" w:rsidR="009851F6" w:rsidRDefault="009851F6" w:rsidP="009851F6">
      <w:pPr>
        <w:pStyle w:val="NoSpacing"/>
      </w:pPr>
      <w:r w:rsidRPr="00933C46">
        <w:t>For these reasons, we reverse the trial court's dismissal of the Estate's negligence claim.</w:t>
      </w:r>
      <w:r>
        <w:t>”</w:t>
      </w:r>
    </w:p>
    <w:p w14:paraId="59A03057" w14:textId="77777777" w:rsidR="009851F6" w:rsidRDefault="009851F6" w:rsidP="009851F6">
      <w:pPr>
        <w:pStyle w:val="NoSpacing"/>
      </w:pPr>
    </w:p>
    <w:p w14:paraId="716B58B0" w14:textId="77777777" w:rsidR="009851F6" w:rsidRPr="00C34465" w:rsidRDefault="009851F6" w:rsidP="009851F6">
      <w:pPr>
        <w:pStyle w:val="NoSpacing"/>
        <w:rPr>
          <w:b/>
          <w:bCs/>
        </w:rPr>
      </w:pPr>
      <w:r w:rsidRPr="00C34465">
        <w:rPr>
          <w:b/>
        </w:rPr>
        <w:t xml:space="preserve">Legal lesson learned: </w:t>
      </w:r>
      <w:r>
        <w:rPr>
          <w:b/>
        </w:rPr>
        <w:t xml:space="preserve">The case will now proceed; unfortunate dispatch error. </w:t>
      </w:r>
    </w:p>
    <w:p w14:paraId="3E364509" w14:textId="77777777" w:rsidR="009851F6" w:rsidRPr="00B966F3" w:rsidRDefault="009851F6" w:rsidP="009851F6">
      <w:pPr>
        <w:pStyle w:val="NoSpacing"/>
      </w:pPr>
    </w:p>
    <w:p w14:paraId="456F7DDD" w14:textId="77777777" w:rsidR="009851F6" w:rsidRDefault="009851F6" w:rsidP="000636AB">
      <w:pPr>
        <w:rPr>
          <w:rStyle w:val="Hyperlink"/>
          <w:rFonts w:ascii="Arial Black" w:hAnsi="Arial Black"/>
          <w:b/>
          <w:color w:val="auto"/>
          <w:sz w:val="24"/>
          <w:szCs w:val="24"/>
          <w:u w:val="none"/>
        </w:rPr>
      </w:pPr>
    </w:p>
    <w:p w14:paraId="66696325" w14:textId="77777777" w:rsidR="009851F6" w:rsidRDefault="009851F6" w:rsidP="000636AB">
      <w:pPr>
        <w:rPr>
          <w:rStyle w:val="Hyperlink"/>
          <w:rFonts w:ascii="Arial Black" w:hAnsi="Arial Black"/>
          <w:b/>
          <w:color w:val="auto"/>
          <w:sz w:val="24"/>
          <w:szCs w:val="24"/>
          <w:u w:val="none"/>
        </w:rPr>
      </w:pPr>
    </w:p>
    <w:p w14:paraId="096A9889" w14:textId="613C6E89" w:rsidR="001E2F50" w:rsidRDefault="00460471"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4-55</w:t>
      </w:r>
    </w:p>
    <w:p w14:paraId="1FB97022" w14:textId="77777777" w:rsidR="001E2F50" w:rsidRPr="00EA06B7" w:rsidRDefault="001E2F50" w:rsidP="001E2F50">
      <w:pPr>
        <w:rPr>
          <w:rFonts w:ascii="Arial Black" w:hAnsi="Arial Black"/>
          <w:b/>
          <w:sz w:val="28"/>
          <w:szCs w:val="28"/>
        </w:rPr>
      </w:pPr>
      <w:r>
        <w:rPr>
          <w:rFonts w:ascii="Arial Black" w:hAnsi="Arial Black"/>
          <w:b/>
          <w:sz w:val="28"/>
          <w:szCs w:val="28"/>
        </w:rPr>
        <w:t xml:space="preserve">CT: WIRES CAR – STATE: ELEC. CO. 1-HR RESP TOO SLOW </w:t>
      </w:r>
    </w:p>
    <w:p w14:paraId="280F8B30" w14:textId="77777777" w:rsidR="001E2F50" w:rsidRDefault="001E2F50" w:rsidP="001E2F50">
      <w:pPr>
        <w:pStyle w:val="NoSpacing"/>
      </w:pPr>
      <w:r>
        <w:t xml:space="preserve">On April 28, 2026, in </w:t>
      </w:r>
      <w:r w:rsidRPr="00750929">
        <w:rPr>
          <w:u w:val="single"/>
        </w:rPr>
        <w:t>The Connecticut Light and Power Company v. Public Utilities Regulatory</w:t>
      </w:r>
      <w:r w:rsidRPr="00E1278D">
        <w:rPr>
          <w:u w:val="single"/>
        </w:rPr>
        <w:t xml:space="preserve"> Authority</w:t>
      </w:r>
      <w:r>
        <w:t xml:space="preserve">, the Supreme Court of Connecticut held (7 to 0) that trial court properly dismissed the </w:t>
      </w:r>
    </w:p>
    <w:p w14:paraId="775B8B2C" w14:textId="77777777" w:rsidR="001E2F50" w:rsidRDefault="001E2F50" w:rsidP="001E2F50">
      <w:pPr>
        <w:pStyle w:val="NoSpacing"/>
        <w:rPr>
          <w:b/>
        </w:rPr>
      </w:pPr>
      <w:r>
        <w:t xml:space="preserve">Power Company’s appeal from PURA order that when responding to Priority 1 calls to shut off power, they must shorten response target time from 60 minutes to 30 minutes.  Jan. 17, </w:t>
      </w:r>
      <w:proofErr w:type="gramStart"/>
      <w:r>
        <w:t>2021</w:t>
      </w:r>
      <w:proofErr w:type="gramEnd"/>
      <w:r>
        <w:t xml:space="preserve"> entrapment;  power company notified at </w:t>
      </w:r>
      <w:r w:rsidRPr="008B23AE">
        <w:t xml:space="preserve">2:21 </w:t>
      </w:r>
      <w:proofErr w:type="spellStart"/>
      <w:r w:rsidRPr="008B23AE">
        <w:t>p.m</w:t>
      </w:r>
      <w:proofErr w:type="spellEnd"/>
      <w:r>
        <w:t xml:space="preserve">; power de-energized at 3:31 pm, and two elderly extricated and transported to trauma center. THE COURT WROTE: “In the present case, PURA exercised its supervisory authority under § 16-11 after determining that changes to the plaintiff’s operational practices were necessary in the public interest. In imposing the directive, PURA concluded that the plaintiff’s existing, </w:t>
      </w:r>
      <w:proofErr w:type="gramStart"/>
      <w:r>
        <w:t>sixty minute</w:t>
      </w:r>
      <w:proofErr w:type="gramEnd"/>
      <w:r>
        <w:t xml:space="preserve"> response target was insufficient, reasoning that, although it ‘understands the [plaintiff’s] hesitation with imposing response deadlines, [p]</w:t>
      </w:r>
      <w:proofErr w:type="spellStart"/>
      <w:r>
        <w:t>riority</w:t>
      </w:r>
      <w:proofErr w:type="spellEnd"/>
      <w:r>
        <w:t xml:space="preserve"> 1 events are life-threatening events that require the [plaintiff’s] immediate response . . . .’ Based on the evidence in the record, including the plaintiff’s response time data and the timeline of its response to the Norfolk accident, PURA determined that a response time target of thirty minutes for priority 1 calls was ‘reasonable and appropriate to better protect public safety.’” </w:t>
      </w:r>
    </w:p>
    <w:p w14:paraId="0DF715EB" w14:textId="77777777" w:rsidR="001E2F50" w:rsidRDefault="001E2F50" w:rsidP="001E2F50">
      <w:pPr>
        <w:pStyle w:val="NoSpacing"/>
      </w:pPr>
      <w:r>
        <w:t xml:space="preserve"> </w:t>
      </w:r>
      <w:hyperlink r:id="rId859" w:history="1">
        <w:r w:rsidRPr="007E383F">
          <w:rPr>
            <w:rStyle w:val="Hyperlink"/>
          </w:rPr>
          <w:t>https://www.jud.ct.gov/external/supapp/Cases/AROcr/CR354/CR354.35.pdf</w:t>
        </w:r>
      </w:hyperlink>
    </w:p>
    <w:p w14:paraId="5B108075" w14:textId="77777777" w:rsidR="001E2F50" w:rsidRDefault="001E2F50" w:rsidP="001E2F50">
      <w:pPr>
        <w:pStyle w:val="NoSpacing"/>
      </w:pPr>
    </w:p>
    <w:p w14:paraId="231CE92A" w14:textId="77777777" w:rsidR="001E2F50" w:rsidRDefault="001E2F50" w:rsidP="001E2F50">
      <w:pPr>
        <w:pStyle w:val="NoSpacing"/>
      </w:pPr>
      <w:r>
        <w:t>THE COURT HELD:</w:t>
      </w:r>
    </w:p>
    <w:p w14:paraId="2729AFE0" w14:textId="77777777" w:rsidR="001E2F50" w:rsidRDefault="001E2F50" w:rsidP="001E2F50">
      <w:pPr>
        <w:pStyle w:val="NoSpacing"/>
      </w:pPr>
    </w:p>
    <w:p w14:paraId="054CE006" w14:textId="77777777" w:rsidR="001E2F50" w:rsidRDefault="001E2F50" w:rsidP="001E2F50">
      <w:pPr>
        <w:pStyle w:val="NoSpacing"/>
        <w:ind w:left="720"/>
      </w:pPr>
      <w:r>
        <w:t>“</w:t>
      </w:r>
      <w:r w:rsidRPr="008B23AE">
        <w:t>The record reveals the following relevant facts and procedural history. On January 17, 2023, at approximately</w:t>
      </w:r>
      <w:r>
        <w:t xml:space="preserve"> </w:t>
      </w:r>
      <w:r w:rsidRPr="008B23AE">
        <w:t>2:21 p.m., municipal first responders were dispatched</w:t>
      </w:r>
      <w:r>
        <w:t xml:space="preserve"> </w:t>
      </w:r>
      <w:r w:rsidRPr="008B23AE">
        <w:t>to 599 East Greenwoods Road in Norfolk to respond to</w:t>
      </w:r>
      <w:r>
        <w:t xml:space="preserve"> </w:t>
      </w:r>
      <w:r w:rsidRPr="008B23AE">
        <w:t>a motor vehicle accident (Norfolk accident). The motor</w:t>
      </w:r>
      <w:r>
        <w:t xml:space="preserve"> </w:t>
      </w:r>
      <w:r w:rsidRPr="008B23AE">
        <w:t>vehicle left the roadway and struck a utility pole owned</w:t>
      </w:r>
      <w:r>
        <w:t xml:space="preserve"> </w:t>
      </w:r>
      <w:r w:rsidRPr="008B23AE">
        <w:lastRenderedPageBreak/>
        <w:t>and maintained by the plaintiff. The collision caused the</w:t>
      </w:r>
      <w:r>
        <w:t xml:space="preserve"> </w:t>
      </w:r>
      <w:r w:rsidRPr="008B23AE">
        <w:t>utility pole to break and resulted in downed electrical</w:t>
      </w:r>
      <w:r>
        <w:t xml:space="preserve"> </w:t>
      </w:r>
      <w:r w:rsidRPr="008B23AE">
        <w:t>conductors in the vicinity of the vehicle, entrapping the</w:t>
      </w:r>
      <w:r>
        <w:t xml:space="preserve"> </w:t>
      </w:r>
      <w:r w:rsidRPr="008B23AE">
        <w:t>two elderly occupants of the vehicle. First responders</w:t>
      </w:r>
      <w:r>
        <w:t xml:space="preserve"> arrived at the scene but did not approach the vehicle to extricate the occupants due to the fallen electrical wires. At approximately 2:23 p.m., the plaintiff’s System Operations Center (SOC) received a call on the E-911 municipal emergency line from Litchfield County dispatch notifying the SOC about the accident. This call was designated a priority 1 call and lasted approximately seven minutes. During and immediately after the call, an SOC operator worked to de-energize the area through</w:t>
      </w:r>
    </w:p>
    <w:p w14:paraId="713AE9C5" w14:textId="77777777" w:rsidR="001E2F50" w:rsidRDefault="001E2F50" w:rsidP="001E2F50">
      <w:pPr>
        <w:pStyle w:val="NoSpacing"/>
        <w:ind w:left="720"/>
      </w:pPr>
      <w:r>
        <w:t>remote operation. Once remote de-energization was achieved, the SOC notified Litchfield County dispatch that the area should be de-energized but must nevertheless be treated as energized until one of the plaintiff’s response specialists arrived at the scene and manually tested the wires.</w:t>
      </w:r>
    </w:p>
    <w:p w14:paraId="7C270F1E" w14:textId="77777777" w:rsidR="001E2F50" w:rsidRDefault="001E2F50" w:rsidP="001E2F50">
      <w:pPr>
        <w:pStyle w:val="NoSpacing"/>
      </w:pPr>
    </w:p>
    <w:p w14:paraId="017BE91D" w14:textId="77777777" w:rsidR="001E2F50" w:rsidRDefault="001E2F50" w:rsidP="001E2F50">
      <w:pPr>
        <w:pStyle w:val="NoSpacing"/>
        <w:ind w:left="720"/>
      </w:pPr>
      <w:r>
        <w:t>At the time of the priority 1 call, the plaintiff had four response specialists on duty in its zone encompassing the town of Norfolk. At 2:31 p.m., SOC assigned a response specialist who was located approximately twenty-six miles away from the accident. That specialist acknowledged the dispatch at 2:32 p.m., departed for Norfolk, and arrived at the scene of the accident at 3:17 p.m.  Between 3:17 and 3:30 p.m., the specialist worked with the SOC to successfully identify and de-energize the involved wires. At  approximately 3:31 p.m., the Norfolk Volunteer Fire Department, Inc., began extrication efforts and removed the occupants from the vehicle at approximately 3:44 and 3:47 p.m., respectively. The occupants were then transported to trauma centers.</w:t>
      </w:r>
    </w:p>
    <w:p w14:paraId="09AAB0B7" w14:textId="77777777" w:rsidR="001E2F50" w:rsidRDefault="001E2F50" w:rsidP="001E2F50">
      <w:pPr>
        <w:pStyle w:val="NoSpacing"/>
        <w:ind w:left="720"/>
      </w:pPr>
    </w:p>
    <w:p w14:paraId="744A1247" w14:textId="77777777" w:rsidR="001E2F50" w:rsidRDefault="001E2F50" w:rsidP="001E2F50">
      <w:pPr>
        <w:pStyle w:val="NoSpacing"/>
        <w:ind w:left="720"/>
      </w:pPr>
      <w:r>
        <w:t>***</w:t>
      </w:r>
    </w:p>
    <w:p w14:paraId="58AC232B" w14:textId="77777777" w:rsidR="001E2F50" w:rsidRDefault="001E2F50" w:rsidP="001E2F50">
      <w:pPr>
        <w:pStyle w:val="NoSpacing"/>
        <w:ind w:left="720"/>
      </w:pPr>
      <w:r w:rsidRPr="00027FAC">
        <w:t>Subsequently, on April 6, 2023, PURA conducted a</w:t>
      </w:r>
      <w:r>
        <w:t xml:space="preserve"> </w:t>
      </w:r>
      <w:r w:rsidRPr="00027FAC">
        <w:t>remote evidentiary hearing in which the plaintiff participated</w:t>
      </w:r>
      <w:r>
        <w:t xml:space="preserve">…. On August 9, 2023, PURA issued its final decision, finding that the plaintiff’s actions in response to the Norfolk accident were ‘imprudent’ and resulted in a delayed response. As a result of these findings, PURA directed the plaintiff to adopt a response time target of thirty minutes for all priority 1 calls and to review and revise its accident response and reporting procedures to ensure compliance with state </w:t>
      </w:r>
      <w:proofErr w:type="gramStart"/>
      <w:r>
        <w:t>law.”</w:t>
      </w:r>
      <w:proofErr w:type="gramEnd"/>
    </w:p>
    <w:p w14:paraId="5ECE041B" w14:textId="77777777" w:rsidR="001E2F50" w:rsidRDefault="001E2F50" w:rsidP="001E2F50">
      <w:pPr>
        <w:pStyle w:val="NoSpacing"/>
        <w:ind w:left="720"/>
      </w:pPr>
    </w:p>
    <w:p w14:paraId="208077B2" w14:textId="77777777" w:rsidR="001E2F50" w:rsidRDefault="001E2F50" w:rsidP="001E2F50">
      <w:pPr>
        <w:pStyle w:val="NoSpacing"/>
        <w:rPr>
          <w:b/>
          <w:bCs/>
        </w:rPr>
      </w:pPr>
      <w:r>
        <w:rPr>
          <w:b/>
        </w:rPr>
        <w:t xml:space="preserve">Legal lesson learned: If your local power company has slow response to Priority 1 calls, invite them to present at meeting of FDs; if </w:t>
      </w:r>
      <w:proofErr w:type="gramStart"/>
      <w:r>
        <w:rPr>
          <w:b/>
        </w:rPr>
        <w:t>no</w:t>
      </w:r>
      <w:proofErr w:type="gramEnd"/>
      <w:r>
        <w:rPr>
          <w:b/>
        </w:rPr>
        <w:t xml:space="preserve"> improvement, consider contacting your state utility agency.</w:t>
      </w:r>
    </w:p>
    <w:p w14:paraId="7B7CB31D" w14:textId="77777777" w:rsidR="001E2F50" w:rsidRDefault="001E2F50" w:rsidP="001E2F50">
      <w:pPr>
        <w:pStyle w:val="NoSpacing"/>
        <w:rPr>
          <w:b/>
          <w:bCs/>
        </w:rPr>
      </w:pPr>
    </w:p>
    <w:p w14:paraId="63279151" w14:textId="77777777" w:rsidR="001E2F50" w:rsidRDefault="001E2F50" w:rsidP="000636AB">
      <w:pPr>
        <w:rPr>
          <w:rStyle w:val="Hyperlink"/>
          <w:rFonts w:ascii="Arial Black" w:hAnsi="Arial Black"/>
          <w:b/>
          <w:color w:val="auto"/>
          <w:sz w:val="24"/>
          <w:szCs w:val="24"/>
          <w:u w:val="none"/>
        </w:rPr>
      </w:pPr>
    </w:p>
    <w:p w14:paraId="6A54E7AA" w14:textId="77777777" w:rsidR="001E2F50" w:rsidRDefault="001E2F50" w:rsidP="000636AB">
      <w:pPr>
        <w:rPr>
          <w:rStyle w:val="Hyperlink"/>
          <w:rFonts w:ascii="Arial Black" w:hAnsi="Arial Black"/>
          <w:b/>
          <w:color w:val="auto"/>
          <w:sz w:val="24"/>
          <w:szCs w:val="24"/>
          <w:u w:val="none"/>
        </w:rPr>
      </w:pPr>
    </w:p>
    <w:p w14:paraId="2D653BF2" w14:textId="77777777" w:rsidR="001E2F50" w:rsidRDefault="001E2F50" w:rsidP="000636AB">
      <w:pPr>
        <w:rPr>
          <w:rStyle w:val="Hyperlink"/>
          <w:rFonts w:ascii="Arial Black" w:hAnsi="Arial Black"/>
          <w:b/>
          <w:color w:val="auto"/>
          <w:sz w:val="24"/>
          <w:szCs w:val="24"/>
          <w:u w:val="none"/>
        </w:rPr>
      </w:pPr>
    </w:p>
    <w:p w14:paraId="5AE6CCA6" w14:textId="564843FE" w:rsidR="00440081" w:rsidRDefault="00440081"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4-54</w:t>
      </w:r>
    </w:p>
    <w:p w14:paraId="4B965CEA" w14:textId="77777777" w:rsidR="00CA14CD" w:rsidRDefault="00CA14CD" w:rsidP="00CA14CD">
      <w:pPr>
        <w:pStyle w:val="NoSpacing"/>
        <w:rPr>
          <w:rFonts w:ascii="Arial Black" w:hAnsi="Arial Black"/>
          <w:sz w:val="28"/>
          <w:szCs w:val="28"/>
        </w:rPr>
      </w:pPr>
      <w:r>
        <w:rPr>
          <w:rFonts w:ascii="Arial Black" w:hAnsi="Arial Black"/>
          <w:sz w:val="28"/>
          <w:szCs w:val="28"/>
        </w:rPr>
        <w:t xml:space="preserve">NC: DIESEL SPILL – TRUCKING CO. NOT TOLD TO CLEAN UP </w:t>
      </w:r>
    </w:p>
    <w:p w14:paraId="627760F6" w14:textId="77777777" w:rsidR="00CA14CD" w:rsidRDefault="00CA14CD" w:rsidP="00CA14CD">
      <w:pPr>
        <w:pStyle w:val="NoSpacing"/>
      </w:pPr>
    </w:p>
    <w:p w14:paraId="18CFA30C" w14:textId="77777777" w:rsidR="00CA14CD" w:rsidRDefault="00CA14CD" w:rsidP="00CA14CD">
      <w:pPr>
        <w:pStyle w:val="NoSpacing"/>
      </w:pPr>
      <w:r>
        <w:t xml:space="preserve">On March 18, 2026, in </w:t>
      </w:r>
      <w:r w:rsidRPr="00C80146">
        <w:rPr>
          <w:u w:val="single"/>
        </w:rPr>
        <w:t>William Fulp Wrecker Service, Inc. v. Fishline Trucking, L.L.C</w:t>
      </w:r>
      <w:r>
        <w:t xml:space="preserve">., the </w:t>
      </w:r>
      <w:r w:rsidRPr="001B06FF">
        <w:t>Court of Appeals of North Carolina</w:t>
      </w:r>
      <w:r>
        <w:t xml:space="preserve"> held (3 to 0) that trial court judge properly granted summary judgment to the trucking company; they were billed </w:t>
      </w:r>
      <w:r w:rsidRPr="00DA0AA4">
        <w:t>$289,707.00</w:t>
      </w:r>
      <w:r>
        <w:t xml:space="preserve">by the wrecker service for the </w:t>
      </w:r>
      <w:proofErr w:type="spellStart"/>
      <w:r>
        <w:t>clean up</w:t>
      </w:r>
      <w:proofErr w:type="spellEnd"/>
      <w:r>
        <w:t>, but the plaintiff “performed the remediation at the direction of government agencies,</w:t>
      </w:r>
    </w:p>
    <w:p w14:paraId="70AEC97D" w14:textId="77777777" w:rsidR="00CA14CD" w:rsidRDefault="00CA14CD" w:rsidP="00CA14CD">
      <w:pPr>
        <w:pStyle w:val="NoSpacing"/>
      </w:pPr>
      <w:r>
        <w:t>and the evidence does not indicate defendant requested, authorized, or knowingly accepted the benefit” and the County’s attempts to impose liability for hazardous material spills</w:t>
      </w:r>
    </w:p>
    <w:p w14:paraId="7C74C135" w14:textId="77777777" w:rsidR="00CA14CD" w:rsidRDefault="00CA14CD" w:rsidP="00CA14CD">
      <w:pPr>
        <w:pStyle w:val="NoSpacing"/>
        <w:rPr>
          <w:b/>
        </w:rPr>
      </w:pPr>
      <w:r>
        <w:t xml:space="preserve">from transportation accidents, it exceeds the county’s regulatory authority (only regulates “nonhazardous solid waste”).  </w:t>
      </w:r>
      <w:hyperlink r:id="rId860" w:history="1">
        <w:r w:rsidRPr="001F11D0">
          <w:rPr>
            <w:rStyle w:val="Hyperlink"/>
            <w:b/>
          </w:rPr>
          <w:t>https://appellate.nccourts.org/opinions/?c=2&amp;pdf=44475</w:t>
        </w:r>
      </w:hyperlink>
      <w:r>
        <w:rPr>
          <w:b/>
        </w:rPr>
        <w:t xml:space="preserve"> </w:t>
      </w:r>
    </w:p>
    <w:p w14:paraId="262517C0" w14:textId="77777777" w:rsidR="00CA14CD" w:rsidRDefault="00CA14CD" w:rsidP="00CA14CD">
      <w:pPr>
        <w:pStyle w:val="NoSpacing"/>
      </w:pPr>
    </w:p>
    <w:p w14:paraId="780CE036" w14:textId="77777777" w:rsidR="00CA14CD" w:rsidRPr="00250277" w:rsidRDefault="00CA14CD" w:rsidP="00CA14CD">
      <w:pPr>
        <w:pStyle w:val="NoSpacing"/>
      </w:pPr>
      <w:r>
        <w:t>THE COURT HELD:  “</w:t>
      </w:r>
      <w:r w:rsidRPr="00250277">
        <w:t xml:space="preserve">On 22 August 2017, a tractor-trailer owned by defendant </w:t>
      </w:r>
      <w:proofErr w:type="spellStart"/>
      <w:r w:rsidRPr="00250277">
        <w:t>Finishline</w:t>
      </w:r>
      <w:proofErr w:type="spellEnd"/>
      <w:r w:rsidRPr="00250277">
        <w:t xml:space="preserve"> Trucking,</w:t>
      </w:r>
      <w:r>
        <w:t xml:space="preserve"> </w:t>
      </w:r>
      <w:r w:rsidRPr="00250277">
        <w:t>L.L.C., overturned in Davie County, North Carolina, resulting in a fire and the</w:t>
      </w:r>
    </w:p>
    <w:p w14:paraId="2102720D" w14:textId="77777777" w:rsidR="00CA14CD" w:rsidRPr="00250277" w:rsidRDefault="00CA14CD" w:rsidP="00CA14CD">
      <w:pPr>
        <w:pStyle w:val="NoSpacing"/>
      </w:pPr>
      <w:r w:rsidRPr="00250277">
        <w:t>release of diesel fuel and other automotive fluids. Emergency responders, including</w:t>
      </w:r>
    </w:p>
    <w:p w14:paraId="75DE2F11" w14:textId="77777777" w:rsidR="00CA14CD" w:rsidRDefault="00CA14CD" w:rsidP="00CA14CD">
      <w:pPr>
        <w:pStyle w:val="NoSpacing"/>
      </w:pPr>
      <w:r w:rsidRPr="00250277">
        <w:lastRenderedPageBreak/>
        <w:t xml:space="preserve">the Davie County Fire Marshal’s Office and Emergency Management </w:t>
      </w:r>
      <w:proofErr w:type="gramStart"/>
      <w:r w:rsidRPr="00250277">
        <w:t>Services</w:t>
      </w:r>
      <w:r>
        <w:t xml:space="preserve"> </w:t>
      </w:r>
      <w:r w:rsidRPr="00250277">
        <w:t>(</w:t>
      </w:r>
      <w:r>
        <w:t>‘</w:t>
      </w:r>
      <w:r w:rsidRPr="00250277">
        <w:t>EMS</w:t>
      </w:r>
      <w:r>
        <w:t>’</w:t>
      </w:r>
      <w:r w:rsidRPr="00250277">
        <w:t>)</w:t>
      </w:r>
      <w:proofErr w:type="gramEnd"/>
      <w:r w:rsidRPr="00250277">
        <w:t>, arrived at the scene. Fire Marshal Jerry Myers determined a cleanup was</w:t>
      </w:r>
      <w:r>
        <w:t xml:space="preserve"> </w:t>
      </w:r>
      <w:r w:rsidRPr="00250277">
        <w:t>necessary and contacted plaintiff William Fulp Wrecker Service, Inc. to assist in</w:t>
      </w:r>
      <w:r>
        <w:t xml:space="preserve"> </w:t>
      </w:r>
      <w:r w:rsidRPr="00250277">
        <w:t>containing and remediating the spill. Plaintiff’s work spanned nine days, involving</w:t>
      </w:r>
      <w:r>
        <w:t xml:space="preserve"> </w:t>
      </w:r>
      <w:r w:rsidRPr="00250277">
        <w:t>personnel, equipment, and oversight from the North Carolina Department of</w:t>
      </w:r>
      <w:r>
        <w:t xml:space="preserve"> </w:t>
      </w:r>
      <w:r w:rsidRPr="00250277">
        <w:t xml:space="preserve">Environmental </w:t>
      </w:r>
      <w:proofErr w:type="gramStart"/>
      <w:r w:rsidRPr="00250277">
        <w:t>Quality</w:t>
      </w:r>
      <w:r>
        <w:t xml:space="preserve"> </w:t>
      </w:r>
      <w:r w:rsidRPr="00250277">
        <w:t>(</w:t>
      </w:r>
      <w:r>
        <w:t>‘</w:t>
      </w:r>
      <w:proofErr w:type="gramEnd"/>
      <w:r w:rsidRPr="00250277">
        <w:t>NCDEQ</w:t>
      </w:r>
      <w:r>
        <w:t>’</w:t>
      </w:r>
      <w:r w:rsidRPr="00250277">
        <w:t>) and a geologist who conducted soil and water</w:t>
      </w:r>
      <w:r>
        <w:t xml:space="preserve"> t</w:t>
      </w:r>
      <w:r w:rsidRPr="00250277">
        <w:t>esting</w:t>
      </w:r>
      <w:r>
        <w:t>.</w:t>
      </w:r>
    </w:p>
    <w:p w14:paraId="67C090EA" w14:textId="77777777" w:rsidR="00CA14CD" w:rsidRDefault="00CA14CD" w:rsidP="00CA14CD">
      <w:pPr>
        <w:pStyle w:val="NoSpacing"/>
      </w:pPr>
    </w:p>
    <w:p w14:paraId="61845705" w14:textId="77777777" w:rsidR="00CA14CD" w:rsidRDefault="00CA14CD" w:rsidP="00CA14CD">
      <w:pPr>
        <w:pStyle w:val="NoSpacing"/>
      </w:pPr>
      <w:r>
        <w:t>***</w:t>
      </w:r>
    </w:p>
    <w:p w14:paraId="2D0B37E1" w14:textId="77777777" w:rsidR="00CA14CD" w:rsidRDefault="00CA14CD" w:rsidP="00CA14CD">
      <w:pPr>
        <w:pStyle w:val="NoSpacing"/>
      </w:pPr>
    </w:p>
    <w:p w14:paraId="226B7D25" w14:textId="77777777" w:rsidR="00CA14CD" w:rsidRDefault="00CA14CD" w:rsidP="00CA14CD">
      <w:pPr>
        <w:pStyle w:val="NoSpacing"/>
      </w:pPr>
      <w:r>
        <w:t xml:space="preserve">Plaintiff contends defendant was aware of and accepted the benefit of the cleanup, citing communications between Kent Fulp, plaintiff’s vice president, and an individual he believed to be Edward Garcia, </w:t>
      </w:r>
      <w:proofErr w:type="spellStart"/>
      <w:r>
        <w:t>Finishline’s</w:t>
      </w:r>
      <w:proofErr w:type="spellEnd"/>
      <w:r>
        <w:t xml:space="preserve"> owner. Plaintiff further states defendant’s representative provided insurance details, indicating an expectation that coverage would apply. Plaintiff sent defendant an invoice for </w:t>
      </w:r>
      <w:r w:rsidRPr="0058656B">
        <w:t xml:space="preserve">$289,707.00 on 14 September 2017 but received no </w:t>
      </w:r>
      <w:proofErr w:type="gramStart"/>
      <w:r w:rsidRPr="0058656B">
        <w:t>payment.</w:t>
      </w:r>
      <w:r>
        <w:t>”</w:t>
      </w:r>
      <w:proofErr w:type="gramEnd"/>
    </w:p>
    <w:p w14:paraId="10ACB615" w14:textId="77777777" w:rsidR="00CA14CD" w:rsidRDefault="00CA14CD" w:rsidP="00CA14CD">
      <w:pPr>
        <w:pStyle w:val="NoSpacing"/>
      </w:pPr>
    </w:p>
    <w:p w14:paraId="4CD1FB9A" w14:textId="77777777" w:rsidR="00CA14CD" w:rsidRPr="003A2413" w:rsidRDefault="00CA14CD" w:rsidP="00CA14CD">
      <w:pPr>
        <w:pStyle w:val="NoSpacing"/>
        <w:rPr>
          <w:b/>
          <w:bCs/>
        </w:rPr>
      </w:pPr>
      <w:r w:rsidRPr="003A2413">
        <w:rPr>
          <w:b/>
        </w:rPr>
        <w:t xml:space="preserve">Legal </w:t>
      </w:r>
      <w:proofErr w:type="gramStart"/>
      <w:r w:rsidRPr="003A2413">
        <w:rPr>
          <w:b/>
        </w:rPr>
        <w:t>lesson</w:t>
      </w:r>
      <w:proofErr w:type="gramEnd"/>
      <w:r w:rsidRPr="003A2413">
        <w:rPr>
          <w:b/>
        </w:rPr>
        <w:t xml:space="preserve"> learned: </w:t>
      </w:r>
      <w:r>
        <w:rPr>
          <w:b/>
        </w:rPr>
        <w:t xml:space="preserve">Incident Commander or other government official should directly contact trucking </w:t>
      </w:r>
      <w:proofErr w:type="gramStart"/>
      <w:r>
        <w:rPr>
          <w:b/>
        </w:rPr>
        <w:t>company</w:t>
      </w:r>
      <w:proofErr w:type="gramEnd"/>
      <w:r>
        <w:rPr>
          <w:b/>
        </w:rPr>
        <w:t xml:space="preserve"> and direct them to start clean-up immediately, with the </w:t>
      </w:r>
      <w:r>
        <w:rPr>
          <w:b/>
          <w:bCs/>
        </w:rPr>
        <w:t xml:space="preserve">certified </w:t>
      </w:r>
      <w:r>
        <w:rPr>
          <w:b/>
        </w:rPr>
        <w:t xml:space="preserve">clean-up company of their choice. </w:t>
      </w:r>
    </w:p>
    <w:p w14:paraId="2EAE10B9" w14:textId="77777777" w:rsidR="00CA14CD" w:rsidRDefault="00CA14CD" w:rsidP="00CA14CD">
      <w:pPr>
        <w:pStyle w:val="NoSpacing"/>
        <w:rPr>
          <w:b/>
        </w:rPr>
      </w:pPr>
    </w:p>
    <w:p w14:paraId="2C02F98D" w14:textId="77777777" w:rsidR="00440081" w:rsidRDefault="00440081" w:rsidP="000636AB">
      <w:pPr>
        <w:rPr>
          <w:rStyle w:val="Hyperlink"/>
          <w:rFonts w:ascii="Arial Black" w:hAnsi="Arial Black"/>
          <w:b/>
          <w:color w:val="auto"/>
          <w:sz w:val="24"/>
          <w:szCs w:val="24"/>
          <w:u w:val="none"/>
        </w:rPr>
      </w:pPr>
    </w:p>
    <w:p w14:paraId="0854E534" w14:textId="77777777" w:rsidR="00440081" w:rsidRDefault="00440081" w:rsidP="000636AB">
      <w:pPr>
        <w:rPr>
          <w:rStyle w:val="Hyperlink"/>
          <w:rFonts w:ascii="Arial Black" w:hAnsi="Arial Black"/>
          <w:b/>
          <w:color w:val="auto"/>
          <w:sz w:val="24"/>
          <w:szCs w:val="24"/>
          <w:u w:val="none"/>
        </w:rPr>
      </w:pPr>
    </w:p>
    <w:p w14:paraId="1115E283" w14:textId="77777777" w:rsidR="00440081" w:rsidRDefault="00440081" w:rsidP="000636AB">
      <w:pPr>
        <w:rPr>
          <w:rStyle w:val="Hyperlink"/>
          <w:rFonts w:ascii="Arial Black" w:hAnsi="Arial Black"/>
          <w:b/>
          <w:color w:val="auto"/>
          <w:sz w:val="24"/>
          <w:szCs w:val="24"/>
          <w:u w:val="none"/>
        </w:rPr>
      </w:pPr>
    </w:p>
    <w:p w14:paraId="3332DC0D" w14:textId="3BE9BD74" w:rsidR="00A221FA" w:rsidRDefault="00A221FA"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4-53</w:t>
      </w:r>
    </w:p>
    <w:p w14:paraId="7EEEADF6" w14:textId="77777777" w:rsidR="00A221FA" w:rsidRPr="00627240" w:rsidRDefault="00A221FA" w:rsidP="00A221FA">
      <w:pPr>
        <w:pStyle w:val="NoSpacing"/>
        <w:rPr>
          <w:rFonts w:ascii="Arial Black" w:hAnsi="Arial Black"/>
          <w:b/>
          <w:sz w:val="28"/>
          <w:szCs w:val="28"/>
        </w:rPr>
      </w:pPr>
      <w:r>
        <w:rPr>
          <w:rFonts w:ascii="Arial Black" w:hAnsi="Arial Black"/>
          <w:b/>
          <w:sz w:val="28"/>
          <w:szCs w:val="28"/>
        </w:rPr>
        <w:t>OR: BEACHIE CREEK FIRE – HELICOPTERS – GOV IMMUNITY</w:t>
      </w:r>
    </w:p>
    <w:p w14:paraId="2594C568" w14:textId="77777777" w:rsidR="00A221FA" w:rsidRDefault="00A221FA" w:rsidP="00A221FA">
      <w:pPr>
        <w:pStyle w:val="NoSpacing"/>
        <w:rPr>
          <w:b/>
        </w:rPr>
      </w:pPr>
    </w:p>
    <w:p w14:paraId="5765F72E" w14:textId="77777777" w:rsidR="00A221FA" w:rsidRDefault="00A221FA" w:rsidP="00A221FA">
      <w:pPr>
        <w:pStyle w:val="NoSpacing"/>
        <w:rPr>
          <w:b/>
        </w:rPr>
      </w:pPr>
      <w:r w:rsidRPr="00AC25BF">
        <w:t xml:space="preserve">On February 9, 2026, in </w:t>
      </w:r>
      <w:r w:rsidRPr="00935D72">
        <w:rPr>
          <w:u w:val="single"/>
        </w:rPr>
        <w:t>Freres Timber, Inc., et al. v. United States of America</w:t>
      </w:r>
      <w:r>
        <w:t xml:space="preserve">, </w:t>
      </w:r>
      <w:r w:rsidRPr="00935D72">
        <w:t>United States Court of Appeals for the Ninth Circuit (San Francisco) held (3 to 0</w:t>
      </w:r>
      <w:r>
        <w:t>; unpublished opinion</w:t>
      </w:r>
      <w:r w:rsidRPr="00935D72">
        <w:t>)</w:t>
      </w:r>
      <w:r>
        <w:t xml:space="preserve"> the Forest Service incident commanders have discretion </w:t>
      </w:r>
      <w:r w:rsidRPr="0016057A">
        <w:t>regarding how to use helicopters and how to mount an attack to fight the Beachie Creek fire</w:t>
      </w:r>
      <w:r>
        <w:t xml:space="preserve"> and Forest Service is immune from liability.  </w:t>
      </w:r>
    </w:p>
    <w:p w14:paraId="7DC875BA" w14:textId="77777777" w:rsidR="00A221FA" w:rsidRDefault="00A221FA" w:rsidP="00A221FA">
      <w:pPr>
        <w:pStyle w:val="NoSpacing"/>
        <w:rPr>
          <w:bCs/>
        </w:rPr>
      </w:pPr>
      <w:r w:rsidRPr="00627240">
        <w:t xml:space="preserve">The Beachie Creek Fire began Aug. 16, </w:t>
      </w:r>
      <w:proofErr w:type="gramStart"/>
      <w:r w:rsidRPr="00627240">
        <w:t>2020</w:t>
      </w:r>
      <w:proofErr w:type="gramEnd"/>
      <w:r>
        <w:t xml:space="preserve"> in the</w:t>
      </w:r>
      <w:r w:rsidRPr="00627240">
        <w:t xml:space="preserve"> Willamette National Forest</w:t>
      </w:r>
      <w:r>
        <w:t>, and a “</w:t>
      </w:r>
      <w:r w:rsidRPr="00627240">
        <w:t>historic windstorm</w:t>
      </w:r>
      <w:r>
        <w:t>”</w:t>
      </w:r>
      <w:r w:rsidRPr="00627240">
        <w:t xml:space="preserve"> on Monday, Sept. 7 caused rapid spread west through the Willamette and Mt. Hood National Forests, and adjacent private lands and communities. </w:t>
      </w:r>
      <w:hyperlink r:id="rId861" w:history="1">
        <w:r w:rsidRPr="00627240">
          <w:rPr>
            <w:rStyle w:val="Hyperlink"/>
          </w:rPr>
          <w:t>https://www.fs.usda.gov/r06/willamette/fire/info/beachie-creek-fire</w:t>
        </w:r>
      </w:hyperlink>
      <w:r w:rsidRPr="00627240">
        <w:t xml:space="preserve"> </w:t>
      </w:r>
    </w:p>
    <w:p w14:paraId="0E594E7E" w14:textId="77777777" w:rsidR="00A221FA" w:rsidRDefault="00A221FA" w:rsidP="00A221FA">
      <w:pPr>
        <w:pStyle w:val="NoSpacing"/>
        <w:rPr>
          <w:bCs/>
        </w:rPr>
      </w:pPr>
    </w:p>
    <w:p w14:paraId="1324FD3C" w14:textId="77777777" w:rsidR="00A221FA" w:rsidRDefault="00A221FA" w:rsidP="00A221FA">
      <w:pPr>
        <w:pStyle w:val="NoSpacing"/>
      </w:pPr>
      <w:r>
        <w:t>THE COURT HELD:  “</w:t>
      </w:r>
      <w:r w:rsidRPr="00CA4832">
        <w:t>Freres Timber, Inc. and Freres Lumber Co., Inc. (</w:t>
      </w:r>
      <w:r>
        <w:t>‘</w:t>
      </w:r>
      <w:r w:rsidRPr="00CA4832">
        <w:t>Freres</w:t>
      </w:r>
      <w:r>
        <w:t>’</w:t>
      </w:r>
      <w:r w:rsidRPr="00CA4832">
        <w:t>) appeal the district court's dismissal of their lawsuit asserting Federal Tort Claims Act (</w:t>
      </w:r>
      <w:r>
        <w:t>‘</w:t>
      </w:r>
      <w:r w:rsidRPr="00CA4832">
        <w:t>FTCA</w:t>
      </w:r>
      <w:r>
        <w:t>’</w:t>
      </w:r>
      <w:r w:rsidRPr="00CA4832">
        <w:t>) claims against the United States Forest Service (</w:t>
      </w:r>
      <w:r>
        <w:t>‘</w:t>
      </w:r>
      <w:r w:rsidRPr="00CA4832">
        <w:t>Forest Service</w:t>
      </w:r>
      <w:r>
        <w:t>’</w:t>
      </w:r>
      <w:r w:rsidRPr="00CA4832">
        <w:t xml:space="preserve">) for its negligent handling of the Beachie Creek fire. Freres also appeals the district court's denial of </w:t>
      </w:r>
      <w:proofErr w:type="spellStart"/>
      <w:r w:rsidRPr="00CA4832">
        <w:t>Freres's</w:t>
      </w:r>
      <w:proofErr w:type="spellEnd"/>
      <w:r w:rsidRPr="00CA4832">
        <w:t xml:space="preserve"> request for jurisdictional discovery. We have jurisdiction under 28 U.S.C. § 1291. We affirm.</w:t>
      </w:r>
      <w:r>
        <w:t xml:space="preserve"> ***  [T]he </w:t>
      </w:r>
    </w:p>
    <w:p w14:paraId="0D13A8E3" w14:textId="77777777" w:rsidR="00A221FA" w:rsidRDefault="00A221FA" w:rsidP="00A221FA">
      <w:pPr>
        <w:pStyle w:val="NoSpacing"/>
      </w:pPr>
      <w:r w:rsidRPr="0016057A">
        <w:t xml:space="preserve">Forest Service's decisions regarding how to use helicopters and how to mount an attack to fight the Beachie Creek fire were discretionary because they involved </w:t>
      </w:r>
      <w:r>
        <w:t>‘</w:t>
      </w:r>
      <w:r w:rsidRPr="0016057A">
        <w:t>an element of judgment or choice.</w:t>
      </w:r>
      <w:r>
        <w:t xml:space="preserve">’ … </w:t>
      </w:r>
      <w:r w:rsidRPr="0016057A">
        <w:t xml:space="preserve">The Forest Service Manual gives broad discretion to the Forest Service to make decisions based on the circumstances of each fire. And Freres does not point to any </w:t>
      </w:r>
      <w:r>
        <w:t>‘</w:t>
      </w:r>
      <w:r w:rsidRPr="0016057A">
        <w:t>federal statute, regulation, or policy [that] specifically prescribes a course of action</w:t>
      </w:r>
      <w:r>
        <w:t>’</w:t>
      </w:r>
      <w:r w:rsidRPr="0016057A">
        <w:t xml:space="preserve"> that the Forest Service must adhere to when fighting a forest fire</w:t>
      </w:r>
      <w:r>
        <w:t xml:space="preserve">…. </w:t>
      </w:r>
      <w:r w:rsidRPr="0016057A">
        <w:t xml:space="preserve">Therefore, determining a fire suppression plan and utilizing available resources inherently involves </w:t>
      </w:r>
      <w:proofErr w:type="gramStart"/>
      <w:r w:rsidRPr="0016057A">
        <w:t>discretion.</w:t>
      </w:r>
      <w:r>
        <w:t>”</w:t>
      </w:r>
      <w:proofErr w:type="gramEnd"/>
    </w:p>
    <w:p w14:paraId="4642C7E2" w14:textId="77777777" w:rsidR="00A221FA" w:rsidRDefault="00A221FA" w:rsidP="00A221FA">
      <w:pPr>
        <w:pStyle w:val="NoSpacing"/>
      </w:pPr>
    </w:p>
    <w:p w14:paraId="0AFB0485" w14:textId="77777777" w:rsidR="00A221FA" w:rsidRPr="00836C0E" w:rsidRDefault="00A221FA" w:rsidP="00A221FA">
      <w:pPr>
        <w:pStyle w:val="NoSpacing"/>
        <w:rPr>
          <w:b/>
          <w:bCs/>
        </w:rPr>
      </w:pPr>
      <w:r>
        <w:rPr>
          <w:b/>
        </w:rPr>
        <w:t>Legal lesson learned: Governmental immunity for discretionary decisions by Forest Service incident commanders.</w:t>
      </w:r>
    </w:p>
    <w:p w14:paraId="5AE90681" w14:textId="77777777" w:rsidR="00A221FA" w:rsidRDefault="00A221FA" w:rsidP="00A221FA">
      <w:pPr>
        <w:pStyle w:val="NoSpacing"/>
        <w:rPr>
          <w:b/>
        </w:rPr>
      </w:pPr>
    </w:p>
    <w:p w14:paraId="38AB78CD" w14:textId="77777777" w:rsidR="00A221FA" w:rsidRDefault="00A221FA" w:rsidP="00A221FA">
      <w:pPr>
        <w:pStyle w:val="NoSpacing"/>
        <w:ind w:left="720"/>
        <w:rPr>
          <w:b/>
        </w:rPr>
      </w:pPr>
      <w:r w:rsidRPr="00E838D0">
        <w:t xml:space="preserve">Note: See </w:t>
      </w:r>
      <w:r>
        <w:t xml:space="preserve">Forest Service </w:t>
      </w:r>
      <w:r w:rsidRPr="00E838D0">
        <w:t>pictures of the fire.</w:t>
      </w:r>
      <w:r>
        <w:rPr>
          <w:b/>
        </w:rPr>
        <w:t xml:space="preserve"> </w:t>
      </w:r>
      <w:hyperlink r:id="rId862" w:history="1">
        <w:r w:rsidRPr="00C72C21">
          <w:rPr>
            <w:rStyle w:val="Hyperlink"/>
            <w:b/>
          </w:rPr>
          <w:t>https://www.fs.usda.gov/r06/willamette/fire/info/beachie-creek-fire</w:t>
        </w:r>
      </w:hyperlink>
      <w:r>
        <w:rPr>
          <w:b/>
        </w:rPr>
        <w:t xml:space="preserve"> </w:t>
      </w:r>
    </w:p>
    <w:p w14:paraId="06AB9137" w14:textId="77777777" w:rsidR="00A221FA" w:rsidRDefault="00A221FA" w:rsidP="000636AB">
      <w:pPr>
        <w:rPr>
          <w:rStyle w:val="Hyperlink"/>
          <w:rFonts w:ascii="Arial Black" w:hAnsi="Arial Black"/>
          <w:b/>
          <w:color w:val="auto"/>
          <w:sz w:val="24"/>
          <w:szCs w:val="24"/>
          <w:u w:val="none"/>
        </w:rPr>
      </w:pPr>
    </w:p>
    <w:p w14:paraId="03E06C9A" w14:textId="77777777" w:rsidR="00A221FA" w:rsidRDefault="00A221FA" w:rsidP="000636AB">
      <w:pPr>
        <w:rPr>
          <w:rStyle w:val="Hyperlink"/>
          <w:rFonts w:ascii="Arial Black" w:hAnsi="Arial Black"/>
          <w:b/>
          <w:color w:val="auto"/>
          <w:sz w:val="24"/>
          <w:szCs w:val="24"/>
          <w:u w:val="none"/>
        </w:rPr>
      </w:pPr>
    </w:p>
    <w:p w14:paraId="1651EF81" w14:textId="77777777" w:rsidR="00A221FA" w:rsidRDefault="00A221FA" w:rsidP="000636AB">
      <w:pPr>
        <w:rPr>
          <w:rStyle w:val="Hyperlink"/>
          <w:rFonts w:ascii="Arial Black" w:hAnsi="Arial Black"/>
          <w:b/>
          <w:color w:val="auto"/>
          <w:sz w:val="24"/>
          <w:szCs w:val="24"/>
          <w:u w:val="none"/>
        </w:rPr>
      </w:pPr>
    </w:p>
    <w:p w14:paraId="787A6B5C" w14:textId="53B3084A" w:rsidR="00EE4CA4" w:rsidRDefault="00EE4CA4"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4-52</w:t>
      </w:r>
    </w:p>
    <w:p w14:paraId="24AF8A65" w14:textId="77777777" w:rsidR="00EE4CA4" w:rsidRPr="00456B6D" w:rsidRDefault="00EE4CA4" w:rsidP="00EE4CA4">
      <w:pPr>
        <w:rPr>
          <w:rFonts w:ascii="Arial Black" w:hAnsi="Arial Black"/>
          <w:sz w:val="28"/>
          <w:szCs w:val="28"/>
        </w:rPr>
      </w:pPr>
      <w:r>
        <w:rPr>
          <w:rFonts w:ascii="Arial Black" w:hAnsi="Arial Black"/>
          <w:sz w:val="28"/>
          <w:szCs w:val="28"/>
        </w:rPr>
        <w:t>MA: CPT NOT PROMOTED – POOR INTERVIEW / DECK GUN</w:t>
      </w:r>
    </w:p>
    <w:p w14:paraId="7D5D031A" w14:textId="77777777" w:rsidR="00EE4CA4" w:rsidRPr="008024F1" w:rsidRDefault="00EE4CA4" w:rsidP="00EE4CA4">
      <w:pPr>
        <w:rPr>
          <w:bCs/>
        </w:rPr>
      </w:pPr>
      <w:r>
        <w:t xml:space="preserve">On November 25, 2025, in </w:t>
      </w:r>
      <w:r w:rsidRPr="002E05C9">
        <w:rPr>
          <w:u w:val="single"/>
        </w:rPr>
        <w:t>Pierre Grenier v. City of Springfield, et al</w:t>
      </w:r>
      <w:r>
        <w:t xml:space="preserve">., U.S. Magistrate Judge Katherine A. Robertson, United State District Court for the District of Massachusetts, granted summary judgment to the City and Fire Commissioner.  Captain Grenier was one of 6 candidates for 5 District Chief positions – promotion interview panel on Jan. 7, </w:t>
      </w:r>
      <w:proofErr w:type="gramStart"/>
      <w:r>
        <w:t>2020</w:t>
      </w:r>
      <w:proofErr w:type="gramEnd"/>
      <w:r>
        <w:t xml:space="preserve">  rated him lowest. The </w:t>
      </w:r>
      <w:proofErr w:type="gramStart"/>
      <w:r>
        <w:t>Captain</w:t>
      </w:r>
      <w:proofErr w:type="gramEnd"/>
      <w:r>
        <w:t xml:space="preserve"> claimed he was not promoted because of his PTSD from three Marine Corps deployments and because of his age (55). THE COURT WROTE: “</w:t>
      </w:r>
      <w:r w:rsidRPr="00107A41">
        <w:t xml:space="preserve">Plaintiff has not pointed to evidence from which a reasonable jury could infer that Plaintiff's disability was a determinative factor in </w:t>
      </w:r>
      <w:r>
        <w:t xml:space="preserve">[Fire Commissioner] </w:t>
      </w:r>
      <w:r w:rsidRPr="00107A41">
        <w:t>Calvi's decision to bypass him for promotion.</w:t>
      </w:r>
      <w:r>
        <w:t xml:space="preserve"> *** </w:t>
      </w:r>
      <w:r w:rsidRPr="00201B47">
        <w:t>Of the six candidates who were interviewed</w:t>
      </w:r>
      <w:r>
        <w:t xml:space="preserve">. </w:t>
      </w:r>
      <w:r w:rsidRPr="00201B47">
        <w:t xml:space="preserve"> Plaintiff received the lowest numerical score (204). </w:t>
      </w:r>
      <w:r>
        <w:t xml:space="preserve"> </w:t>
      </w:r>
      <w:r w:rsidRPr="00201B47">
        <w:t>All the interviewers were consistent in this judgment</w:t>
      </w:r>
      <w:proofErr w:type="gramStart"/>
      <w:r w:rsidRPr="00201B47">
        <w:t>.</w:t>
      </w:r>
      <w:r>
        <w:t>…</w:t>
      </w:r>
      <w:proofErr w:type="gramEnd"/>
      <w:r>
        <w:t xml:space="preserve"> </w:t>
      </w:r>
      <w:r w:rsidRPr="00201B47">
        <w:t>As to the hypothetical fire scene, Plaintiff's answer received a low score from</w:t>
      </w:r>
      <w:r>
        <w:t xml:space="preserve"> [Fire Commissioner]</w:t>
      </w:r>
      <w:r w:rsidRPr="00201B47">
        <w:t xml:space="preserve"> Calvi and the other firefighters on the interview panel</w:t>
      </w:r>
      <w:r>
        <w:t xml:space="preserve">. *** </w:t>
      </w:r>
      <w:r w:rsidRPr="00415CE8">
        <w:t>Plaintiff answered that he would order a deck gun (mainstream) attack from outside the building, a search inside the building from the B and C sides, and the use of hand lines while searching the interior</w:t>
      </w:r>
      <w:r>
        <w:t xml:space="preserve">. </w:t>
      </w:r>
      <w:r w:rsidRPr="00415CE8">
        <w:t>Plaintiff's proposal to use the mainstream repeated the scenario that Calvi had countermanded when he arrived at the Crystal Avenue fire scene</w:t>
      </w:r>
      <w:r>
        <w:t xml:space="preserve"> [</w:t>
      </w:r>
      <w:r w:rsidRPr="00BE736A">
        <w:t>November 5, 2019</w:t>
      </w:r>
      <w:r>
        <w:t xml:space="preserve">]…. </w:t>
      </w:r>
      <w:r w:rsidRPr="00201B47">
        <w:t>Calvi was concerned because Plaintiff's response described the same scenario that worried Calvi when Calvi arrived at the Crystal Avenue fire. Calvi was particularly troubled by Plaintiff's repetition of the dangerous mistake he made at the Crystal Avenue fire, his failure to learn from the coaching that Calvi provided, and the lack of critical thinking skills Plaintiff had displayed during his interview</w:t>
      </w:r>
      <w:r>
        <w:t>….”</w:t>
      </w:r>
      <w:r w:rsidRPr="00201B47">
        <w:t xml:space="preserve"> </w:t>
      </w:r>
      <w:hyperlink r:id="rId863" w:history="1">
        <w:r w:rsidRPr="008024F1">
          <w:rPr>
            <w:rStyle w:val="Hyperlink"/>
          </w:rPr>
          <w:t>https://app.midpage.ai/document/pierre-grenier-v-city-of-11209117?refG=true</w:t>
        </w:r>
      </w:hyperlink>
      <w:r w:rsidRPr="008024F1">
        <w:t xml:space="preserve"> </w:t>
      </w:r>
    </w:p>
    <w:p w14:paraId="744D0869" w14:textId="77777777" w:rsidR="00EE4CA4" w:rsidRDefault="00EE4CA4" w:rsidP="00EE4CA4">
      <w:r>
        <w:t xml:space="preserve"> THE COURT HELD:</w:t>
      </w:r>
    </w:p>
    <w:p w14:paraId="4A4889AC" w14:textId="77777777" w:rsidR="00EE4CA4" w:rsidRDefault="00EE4CA4" w:rsidP="00EE4CA4">
      <w:pPr>
        <w:ind w:left="720"/>
      </w:pPr>
      <w:r>
        <w:t>“</w:t>
      </w:r>
      <w:r w:rsidRPr="0073126F">
        <w:t>Plaintiff appealed Calvi's bypass decision to the Civil Service Commission (</w:t>
      </w:r>
      <w:r>
        <w:t>‘</w:t>
      </w:r>
      <w:r w:rsidRPr="0073126F">
        <w:t>CSC</w:t>
      </w:r>
      <w:r>
        <w:t>’</w:t>
      </w:r>
      <w:r w:rsidRPr="0073126F">
        <w:t>)</w:t>
      </w:r>
      <w:r>
        <w:t xml:space="preserve"> ….</w:t>
      </w:r>
      <w:r w:rsidRPr="0073126F">
        <w:t xml:space="preserve"> The CSC upheld Calvi's decision</w:t>
      </w:r>
      <w:r>
        <w:t xml:space="preserve"> … </w:t>
      </w:r>
      <w:r w:rsidRPr="0073126F">
        <w:t>The Hampden County Superior Court affirmed the CSC's decision; in turn, the Massachusetts Appeals Court affirmed the Superior Court decision</w:t>
      </w:r>
      <w:r>
        <w:t>.</w:t>
      </w:r>
    </w:p>
    <w:p w14:paraId="5BD66A1E" w14:textId="77777777" w:rsidR="00EE4CA4" w:rsidRDefault="00EE4CA4" w:rsidP="00EE4CA4">
      <w:pPr>
        <w:ind w:left="720"/>
      </w:pPr>
      <w:r>
        <w:t>***</w:t>
      </w:r>
    </w:p>
    <w:p w14:paraId="4BB1EA8C" w14:textId="77777777" w:rsidR="00EE4CA4" w:rsidRDefault="00EE4CA4" w:rsidP="00EE4CA4">
      <w:pPr>
        <w:ind w:left="720"/>
      </w:pPr>
      <w:r w:rsidRPr="008A1F2A">
        <w:t>Three candidates who ranked lower than Plaintiff on the Civil Service list - Daley, Marcellin, and Tetreault - bypassed Plaintiff and were promoted</w:t>
      </w:r>
      <w:r>
        <w:t xml:space="preserve">… </w:t>
      </w:r>
      <w:r w:rsidRPr="008A1F2A">
        <w:t>Calvi's January 29, 2020, letter to Plaintiff gave three reasons for the bypass</w:t>
      </w:r>
      <w:r>
        <w:t xml:space="preserve"> … </w:t>
      </w:r>
      <w:r w:rsidRPr="008A1F2A">
        <w:t>that Plaintiff's continuing education was limited to furthering his side job as an electrician</w:t>
      </w:r>
      <w:r>
        <w:t xml:space="preserve"> …</w:t>
      </w:r>
      <w:r w:rsidRPr="008A1F2A">
        <w:t>; that his answer to the hypothetical fire scenario showed his failure to apply his real life experience and the coaching Calvi gave him at the Crystal Avenue fire</w:t>
      </w:r>
      <w:r>
        <w:t xml:space="preserve"> … </w:t>
      </w:r>
      <w:r w:rsidRPr="008A1F2A">
        <w:t>and that Plaintiff's vision for the future of the SFD - no changes necessary - showed a lack of understanding of the department and the ever-changing fire industry</w:t>
      </w:r>
      <w:r>
        <w:t>.”</w:t>
      </w:r>
    </w:p>
    <w:p w14:paraId="037FDB0C" w14:textId="77777777" w:rsidR="00EE4CA4" w:rsidRDefault="00EE4CA4" w:rsidP="00EE4CA4">
      <w:pPr>
        <w:ind w:left="720"/>
      </w:pPr>
      <w:r>
        <w:t>***</w:t>
      </w:r>
    </w:p>
    <w:p w14:paraId="5B031B32" w14:textId="77777777" w:rsidR="00EE4CA4" w:rsidRDefault="00EE4CA4" w:rsidP="00EE4CA4">
      <w:pPr>
        <w:ind w:left="720"/>
      </w:pPr>
      <w:r>
        <w:t>[</w:t>
      </w:r>
      <w:r w:rsidRPr="00415CE8">
        <w:t>C</w:t>
      </w:r>
      <w:r>
        <w:t xml:space="preserve">RYSTAL AVENUE FIRE.] </w:t>
      </w:r>
      <w:r w:rsidRPr="00487D3F">
        <w:t>On November 5, 2019, Plaintiff was acting as a district fire chief when the SFD responded to a house fire at 51 Crystal Avenue</w:t>
      </w:r>
      <w:r>
        <w:t xml:space="preserve">…. </w:t>
      </w:r>
      <w:r w:rsidRPr="00487D3F">
        <w:t>Captain Brian Tetreault, the first ranking officer to arrive at the scene, was in command when Plaintiff arrived</w:t>
      </w:r>
      <w:r>
        <w:t xml:space="preserve"> … </w:t>
      </w:r>
      <w:r w:rsidRPr="00487D3F">
        <w:t xml:space="preserve"> SFD policy directed that an officer who intended to assume command of a fire scene first have a radio or face-to-face conversation with the officer he was relieving before announcing over the radio that he was assuming command</w:t>
      </w:r>
      <w:r>
        <w:t xml:space="preserve"> …. </w:t>
      </w:r>
      <w:r w:rsidRPr="00487D3F">
        <w:t>Plaintiff broadcast that he was in command without speaking to Tetreault in person</w:t>
      </w:r>
      <w:r>
        <w:t xml:space="preserve"> …. </w:t>
      </w:r>
      <w:r w:rsidRPr="00487D3F">
        <w:t xml:space="preserve">As a result, Plaintiff was confused as to whether he or Tetreault was </w:t>
      </w:r>
      <w:r w:rsidRPr="00487D3F">
        <w:lastRenderedPageBreak/>
        <w:t>in command</w:t>
      </w:r>
      <w:r>
        <w:t xml:space="preserve"> …. </w:t>
      </w:r>
      <w:r w:rsidRPr="00487D3F">
        <w:t> Calvi heard about the fire on the radio and responded to Crystal Avenue</w:t>
      </w:r>
      <w:r>
        <w:t xml:space="preserve"> …. </w:t>
      </w:r>
      <w:r w:rsidRPr="00487D3F">
        <w:t xml:space="preserve"> While </w:t>
      </w:r>
      <w:proofErr w:type="spellStart"/>
      <w:r w:rsidRPr="00487D3F">
        <w:t>en</w:t>
      </w:r>
      <w:proofErr w:type="spellEnd"/>
      <w:r w:rsidRPr="00487D3F">
        <w:t xml:space="preserve"> route, Calvi heard Plaintiff's radio announcement that he was at the scene and was taking command</w:t>
      </w:r>
      <w:r>
        <w:t>….</w:t>
      </w:r>
      <w:r w:rsidRPr="00487D3F">
        <w:t xml:space="preserve"> When Calvi arrived, he observed water from the mainstream being sprayed on the fire from outside</w:t>
      </w:r>
      <w:r>
        <w:t xml:space="preserve"> …. </w:t>
      </w:r>
      <w:r w:rsidRPr="00487D3F">
        <w:t xml:space="preserve"> The mainstream water spray posed a danger to firefighters who were entering the building </w:t>
      </w:r>
      <w:r>
        <w:t>….</w:t>
      </w:r>
      <w:r w:rsidRPr="00487D3F">
        <w:t xml:space="preserve"> Calvi approached Plaintiff, asked why the mainstream was being used while firefighters were entering the building, and ordered the mainstream to be shut off</w:t>
      </w:r>
      <w:r>
        <w:t>.</w:t>
      </w:r>
    </w:p>
    <w:p w14:paraId="21374414" w14:textId="77777777" w:rsidR="00EE4CA4" w:rsidRDefault="00EE4CA4" w:rsidP="00EE4CA4">
      <w:pPr>
        <w:ind w:left="720"/>
      </w:pPr>
      <w:r>
        <w:t>***</w:t>
      </w:r>
    </w:p>
    <w:p w14:paraId="603B70DB" w14:textId="77777777" w:rsidR="00EE4CA4" w:rsidRDefault="00EE4CA4" w:rsidP="00EE4CA4">
      <w:pPr>
        <w:ind w:left="720"/>
      </w:pPr>
      <w:r>
        <w:t>[No Age Discrimination.] “</w:t>
      </w:r>
      <w:r w:rsidRPr="00833E05">
        <w:t xml:space="preserve">The </w:t>
      </w:r>
      <w:proofErr w:type="gramStart"/>
      <w:r w:rsidRPr="00833E05">
        <w:t>City</w:t>
      </w:r>
      <w:proofErr w:type="gramEnd"/>
      <w:r w:rsidRPr="00833E05">
        <w:t xml:space="preserve"> argues that it did not fill the position with a younger person because two of the five candidates who were promoted are older than Plaintiff</w:t>
      </w:r>
      <w:r>
        <w:t xml:space="preserve">.… </w:t>
      </w:r>
      <w:r w:rsidRPr="00990CF9">
        <w:t xml:space="preserve">The </w:t>
      </w:r>
      <w:proofErr w:type="gramStart"/>
      <w:r w:rsidRPr="00990CF9">
        <w:t>City</w:t>
      </w:r>
      <w:proofErr w:type="gramEnd"/>
      <w:r w:rsidRPr="00990CF9">
        <w:t xml:space="preserve"> has proffered indicia of admissible evidence showing that Plaintiff's interview performance was a legitimate, nondiscriminatory reason for bypassing him for promotion to district fire chief. Plaintiff has failed to marshal evidence that would justify a reasonable jury in concluding that the City's stated reasons for bypassing him were a pretext for age discrimination.</w:t>
      </w:r>
      <w:r>
        <w:t>”</w:t>
      </w:r>
    </w:p>
    <w:p w14:paraId="6365673C" w14:textId="77777777" w:rsidR="00EE4CA4" w:rsidRDefault="00EE4CA4" w:rsidP="00EE4CA4">
      <w:pPr>
        <w:rPr>
          <w:b/>
          <w:bCs/>
        </w:rPr>
      </w:pPr>
      <w:r>
        <w:rPr>
          <w:b/>
        </w:rPr>
        <w:t xml:space="preserve">Legal lesson learned: The City articulated legitimate nondiscriminatory reasons for not promoting the </w:t>
      </w:r>
      <w:proofErr w:type="gramStart"/>
      <w:r>
        <w:rPr>
          <w:b/>
        </w:rPr>
        <w:t>Captain</w:t>
      </w:r>
      <w:proofErr w:type="gramEnd"/>
      <w:r>
        <w:rPr>
          <w:b/>
        </w:rPr>
        <w:t xml:space="preserve">; and the Fire Commissioner documented those reasons in a timely letter to the </w:t>
      </w:r>
      <w:proofErr w:type="gramStart"/>
      <w:r>
        <w:rPr>
          <w:b/>
        </w:rPr>
        <w:t>Captain</w:t>
      </w:r>
      <w:proofErr w:type="gramEnd"/>
      <w:r>
        <w:rPr>
          <w:b/>
        </w:rPr>
        <w:t xml:space="preserve">. </w:t>
      </w:r>
    </w:p>
    <w:p w14:paraId="1FB443A7" w14:textId="77777777" w:rsidR="00EE4CA4" w:rsidRDefault="00EE4CA4" w:rsidP="000636AB">
      <w:pPr>
        <w:rPr>
          <w:rStyle w:val="Hyperlink"/>
          <w:rFonts w:ascii="Arial Black" w:hAnsi="Arial Black"/>
          <w:b/>
          <w:color w:val="auto"/>
          <w:sz w:val="24"/>
          <w:szCs w:val="24"/>
          <w:u w:val="none"/>
        </w:rPr>
      </w:pPr>
    </w:p>
    <w:p w14:paraId="08A4A724" w14:textId="77777777" w:rsidR="00EE4CA4" w:rsidRDefault="00EE4CA4" w:rsidP="000636AB">
      <w:pPr>
        <w:rPr>
          <w:rStyle w:val="Hyperlink"/>
          <w:rFonts w:ascii="Arial Black" w:hAnsi="Arial Black"/>
          <w:b/>
          <w:color w:val="auto"/>
          <w:sz w:val="24"/>
          <w:szCs w:val="24"/>
          <w:u w:val="none"/>
        </w:rPr>
      </w:pPr>
    </w:p>
    <w:p w14:paraId="670FF0AE" w14:textId="2137E5DF" w:rsidR="00BF588C" w:rsidRDefault="00BF588C"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4-51</w:t>
      </w:r>
    </w:p>
    <w:p w14:paraId="5BD3C4D9" w14:textId="77777777" w:rsidR="00BF588C" w:rsidRPr="00CD4E8D" w:rsidRDefault="00BF588C" w:rsidP="00BF588C">
      <w:pPr>
        <w:rPr>
          <w:rFonts w:ascii="Arial Black" w:hAnsi="Arial Black"/>
          <w:b/>
          <w:sz w:val="28"/>
          <w:szCs w:val="28"/>
        </w:rPr>
      </w:pPr>
      <w:r>
        <w:rPr>
          <w:rFonts w:ascii="Arial Black" w:hAnsi="Arial Black"/>
          <w:b/>
          <w:sz w:val="28"/>
          <w:szCs w:val="28"/>
        </w:rPr>
        <w:t xml:space="preserve">MT: INCIDENT COMM – WILDFIRE – HOMES AT RISK  </w:t>
      </w:r>
    </w:p>
    <w:p w14:paraId="66338D46" w14:textId="77777777" w:rsidR="00BF588C" w:rsidRDefault="00BF588C" w:rsidP="00BF588C">
      <w:pPr>
        <w:pStyle w:val="NoSpacing"/>
        <w:rPr>
          <w:bCs/>
        </w:rPr>
      </w:pPr>
      <w:r>
        <w:t xml:space="preserve">On Sept. 11, 2025, in </w:t>
      </w:r>
      <w:r w:rsidRPr="009F457C">
        <w:rPr>
          <w:u w:val="single"/>
        </w:rPr>
        <w:t>McDonough Family Land, LP, et al. v. The United States of America</w:t>
      </w:r>
      <w:r>
        <w:t>, Judge Elaine D. Kaplan, United States Court of Federal Claims held, after a</w:t>
      </w:r>
      <w:r w:rsidRPr="000A78CF">
        <w:t xml:space="preserve"> four-day trial on liability in Missoula, Montana in December 2024</w:t>
      </w:r>
      <w:r>
        <w:t xml:space="preserve">, that the government not liable to ranchers for loss of timber and other property.  Massive fire; could not allow it to just burn. </w:t>
      </w:r>
    </w:p>
    <w:p w14:paraId="62BFAB77" w14:textId="77777777" w:rsidR="00BF588C" w:rsidRDefault="00BF588C" w:rsidP="00BF588C">
      <w:pPr>
        <w:pStyle w:val="NoSpacing"/>
        <w:rPr>
          <w:bCs/>
        </w:rPr>
      </w:pPr>
    </w:p>
    <w:p w14:paraId="6E21E9CA" w14:textId="77777777" w:rsidR="00BF588C" w:rsidRDefault="00BF588C" w:rsidP="00BF588C">
      <w:pPr>
        <w:pStyle w:val="NoSpacing"/>
      </w:pPr>
      <w:r w:rsidRPr="007056A2">
        <w:rPr>
          <w:b/>
        </w:rPr>
        <w:t>THE COURT HELD:</w:t>
      </w:r>
      <w:r>
        <w:t xml:space="preserve"> “</w:t>
      </w:r>
      <w:r w:rsidRPr="00CD4E8D">
        <w:t>The Court concludes that the Ranches failed to show that had the government just allowed the fire to take its natural course, their property would not have burned. In fact, both the evidence and common sense are to the contrary.</w:t>
      </w:r>
      <w:r>
        <w:t xml:space="preserve"> </w:t>
      </w:r>
      <w:r w:rsidRPr="00D0042C">
        <w:t xml:space="preserve">The Alice Creek Fire was ignited by a lightning strike. It is indisputable that had there been no firefighting response at all, it would have spread naturally based on the available fuel, weather conditions, and topography. The evidence shows that at the end of August and beginning of September 2017, Montana was experiencing extreme drought conditions. It further shows that the </w:t>
      </w:r>
      <w:proofErr w:type="gramStart"/>
      <w:r w:rsidRPr="00D0042C">
        <w:t>fuels</w:t>
      </w:r>
      <w:proofErr w:type="gramEnd"/>
      <w:r w:rsidRPr="00D0042C">
        <w:t xml:space="preserve"> in the area were dry. There were a series of red flag warning days marked by gusty winds. There were reasons to fear that the winds would cause the fire to spread to the east toward homes and infrastructure, threatening the community of Augusta, Montana</w:t>
      </w:r>
      <w:r>
        <w:t xml:space="preserve">…. </w:t>
      </w:r>
      <w:r w:rsidRPr="00D86C0B">
        <w:t> </w:t>
      </w:r>
      <w:proofErr w:type="gramStart"/>
      <w:r w:rsidRPr="00D86C0B">
        <w:t>On the basis of</w:t>
      </w:r>
      <w:proofErr w:type="gramEnd"/>
      <w:r w:rsidRPr="00D86C0B">
        <w:t xml:space="preserve"> the foregoing, the Clerk is directed to enter judgment for the government.</w:t>
      </w:r>
      <w:r>
        <w:t xml:space="preserve">” </w:t>
      </w:r>
      <w:hyperlink r:id="rId864" w:history="1">
        <w:r w:rsidRPr="008D04E3">
          <w:rPr>
            <w:rStyle w:val="Hyperlink"/>
          </w:rPr>
          <w:t>https://cases.justia.com/federal/district-courts/federal-claims/cofce/1:2020cv00368/40658/107/0.pdf?ts=1757681305</w:t>
        </w:r>
      </w:hyperlink>
      <w:r>
        <w:t xml:space="preserve"> </w:t>
      </w:r>
    </w:p>
    <w:p w14:paraId="2612EA5D" w14:textId="77777777" w:rsidR="00BF588C" w:rsidRDefault="00BF588C" w:rsidP="00BF588C">
      <w:pPr>
        <w:rPr>
          <w:bCs/>
        </w:rPr>
      </w:pPr>
    </w:p>
    <w:p w14:paraId="3EB5AE8D" w14:textId="77777777" w:rsidR="00BF588C" w:rsidRDefault="00BF588C" w:rsidP="00BF588C">
      <w:pPr>
        <w:rPr>
          <w:b/>
        </w:rPr>
      </w:pPr>
      <w:r w:rsidRPr="007056A2">
        <w:rPr>
          <w:b/>
        </w:rPr>
        <w:t xml:space="preserve">KEY FACTS: </w:t>
      </w:r>
    </w:p>
    <w:p w14:paraId="5AF63CF9" w14:textId="77777777" w:rsidR="00BF588C" w:rsidRDefault="00BF588C" w:rsidP="00BF588C">
      <w:pPr>
        <w:pStyle w:val="NoSpacing"/>
        <w:ind w:left="720"/>
      </w:pPr>
      <w:r>
        <w:t>“</w:t>
      </w:r>
      <w:r w:rsidRPr="00AD7913">
        <w:t>Plaintiffs, McDonough Family Land, LP, and Ingersoll Ranch, FLP, (“the Ranches”) own</w:t>
      </w:r>
      <w:r>
        <w:t xml:space="preserve"> </w:t>
      </w:r>
      <w:r w:rsidRPr="00AD7913">
        <w:t>real and personal property in Wolf Creek, Montana. They brought this action under the Fifth</w:t>
      </w:r>
      <w:r>
        <w:t xml:space="preserve"> </w:t>
      </w:r>
      <w:r w:rsidRPr="00AD7913">
        <w:t>Amendment’s Takings Clause to secure compensation for the appropriation of certain range</w:t>
      </w:r>
      <w:r>
        <w:t xml:space="preserve"> </w:t>
      </w:r>
      <w:r w:rsidRPr="00AD7913">
        <w:t>forage and timber, which the government used as fuel to conduct firing operations in response to</w:t>
      </w:r>
      <w:r>
        <w:t xml:space="preserve"> </w:t>
      </w:r>
      <w:r w:rsidRPr="00AD7913">
        <w:t xml:space="preserve">the 2017 Alice Creek Fire. See generally Am. </w:t>
      </w:r>
      <w:proofErr w:type="spellStart"/>
      <w:r w:rsidRPr="00AD7913">
        <w:t>Compl</w:t>
      </w:r>
      <w:proofErr w:type="spellEnd"/>
      <w:r w:rsidRPr="00AD7913">
        <w:t>., ECF No. 36.</w:t>
      </w:r>
    </w:p>
    <w:p w14:paraId="338E0FEC" w14:textId="77777777" w:rsidR="00BF588C" w:rsidRDefault="00BF588C" w:rsidP="00BF588C">
      <w:pPr>
        <w:rPr>
          <w:b/>
        </w:rPr>
      </w:pPr>
    </w:p>
    <w:p w14:paraId="6C05A70D" w14:textId="77777777" w:rsidR="00BF588C" w:rsidRPr="0053239C" w:rsidRDefault="00BF588C" w:rsidP="00BF588C">
      <w:pPr>
        <w:pStyle w:val="NoSpacing"/>
      </w:pPr>
      <w:r>
        <w:lastRenderedPageBreak/>
        <w:tab/>
      </w:r>
      <w:r w:rsidRPr="0053239C">
        <w:t>The firing operations (“intentional burns”) were conducted by the Silver City Hotshots</w:t>
      </w:r>
    </w:p>
    <w:p w14:paraId="2FE68127" w14:textId="77777777" w:rsidR="00BF588C" w:rsidRDefault="00BF588C" w:rsidP="00BF588C">
      <w:pPr>
        <w:pStyle w:val="NoSpacing"/>
        <w:ind w:left="720"/>
      </w:pPr>
      <w:r>
        <w:t>(‘</w:t>
      </w:r>
      <w:r w:rsidRPr="0053239C">
        <w:t>the Hotshots</w:t>
      </w:r>
      <w:r>
        <w:t>’</w:t>
      </w:r>
      <w:r w:rsidRPr="0053239C">
        <w:t>), a highly trained and experienced hand crew that uses intentional burns, among</w:t>
      </w:r>
      <w:r>
        <w:t xml:space="preserve"> </w:t>
      </w:r>
      <w:r w:rsidRPr="0053239C">
        <w:t>other techniques, to suppress the spread of wildfires. The Hotshots were called on to the scene at</w:t>
      </w:r>
      <w:r>
        <w:t xml:space="preserve"> </w:t>
      </w:r>
      <w:r w:rsidRPr="0053239C">
        <w:t>the direction of an incident management team led by Russell (</w:t>
      </w:r>
      <w:r>
        <w:t>‘</w:t>
      </w:r>
      <w:r w:rsidRPr="0053239C">
        <w:t>Russ</w:t>
      </w:r>
      <w:r>
        <w:t>’</w:t>
      </w:r>
      <w:r w:rsidRPr="0053239C">
        <w:t>) Bird, an employee of the</w:t>
      </w:r>
      <w:r>
        <w:t xml:space="preserve"> </w:t>
      </w:r>
      <w:r w:rsidRPr="0053239C">
        <w:t>United States Forest Service (</w:t>
      </w:r>
      <w:r>
        <w:t>‘</w:t>
      </w:r>
      <w:r w:rsidRPr="0053239C">
        <w:t>USFS</w:t>
      </w:r>
      <w:r>
        <w:t>’</w:t>
      </w:r>
      <w:r w:rsidRPr="0053239C">
        <w:t>). See McDonough Fam. Land, LP v. United States, 172</w:t>
      </w:r>
      <w:r>
        <w:t xml:space="preserve"> </w:t>
      </w:r>
      <w:r w:rsidRPr="0053239C">
        <w:t>Fed. Cl. 414, 421 (2024) (</w:t>
      </w:r>
      <w:r>
        <w:t>‘</w:t>
      </w:r>
      <w:r w:rsidRPr="0053239C">
        <w:t>McDonough I</w:t>
      </w:r>
      <w:r>
        <w:t>’</w:t>
      </w:r>
      <w:r w:rsidRPr="0053239C">
        <w:t>) (describing role of incident management team and</w:t>
      </w:r>
      <w:r>
        <w:t xml:space="preserve"> </w:t>
      </w:r>
      <w:r w:rsidRPr="0053239C">
        <w:t>USFS in directing the actions alleged to constitute a taking in this case).</w:t>
      </w:r>
    </w:p>
    <w:p w14:paraId="38F59082" w14:textId="77777777" w:rsidR="00BF588C" w:rsidRDefault="00BF588C" w:rsidP="00BF588C">
      <w:pPr>
        <w:pStyle w:val="NoSpacing"/>
        <w:ind w:left="720"/>
      </w:pPr>
    </w:p>
    <w:p w14:paraId="3FB58ED0" w14:textId="77777777" w:rsidR="00BF588C" w:rsidRDefault="00BF588C" w:rsidP="00BF588C">
      <w:pPr>
        <w:pStyle w:val="NoSpacing"/>
        <w:ind w:left="720"/>
      </w:pPr>
      <w:r>
        <w:t>***</w:t>
      </w:r>
    </w:p>
    <w:p w14:paraId="33349542" w14:textId="77777777" w:rsidR="00BF588C" w:rsidRDefault="00BF588C" w:rsidP="00BF588C">
      <w:pPr>
        <w:pStyle w:val="NoSpacing"/>
        <w:ind w:left="720"/>
      </w:pPr>
      <w:r>
        <w:t>On or around July 22, 2017, a lightning strike ignited the Alice Creek Fire in the Helena-</w:t>
      </w:r>
    </w:p>
    <w:p w14:paraId="034EDAB3" w14:textId="77777777" w:rsidR="00BF588C" w:rsidRDefault="00BF588C" w:rsidP="00BF588C">
      <w:pPr>
        <w:pStyle w:val="NoSpacing"/>
        <w:ind w:left="720"/>
      </w:pPr>
      <w:r>
        <w:t xml:space="preserve">Lewis and Clark National Forest, sixteen miles northeast of Lincoln, Montana. Am. Joint Stip. Of </w:t>
      </w:r>
      <w:proofErr w:type="gramStart"/>
      <w:r>
        <w:t>Facts (‘</w:t>
      </w:r>
      <w:proofErr w:type="gramEnd"/>
      <w:r>
        <w:t>SOF’) ¶ 1, ECF No. 79. The fire was fueled by the severe drought conditions that prevailed in the region that summer. There were also ‘[s]</w:t>
      </w:r>
      <w:proofErr w:type="spellStart"/>
      <w:r>
        <w:t>ignificant</w:t>
      </w:r>
      <w:proofErr w:type="spellEnd"/>
      <w:r>
        <w:t xml:space="preserve"> fuel accumulations from dead </w:t>
      </w:r>
      <w:proofErr w:type="gramStart"/>
      <w:r>
        <w:t>trees’</w:t>
      </w:r>
      <w:proofErr w:type="gramEnd"/>
      <w:r>
        <w:t xml:space="preserve"> which were ‘drier than normal for [that] time of year.’ JX29, at 9, ECF No. 99-27 (Wildland Fire Decision Support System (“WFDSS”) Incident Decision, August 25, 2017).</w:t>
      </w:r>
    </w:p>
    <w:p w14:paraId="0328B0B7" w14:textId="77777777" w:rsidR="00BF588C" w:rsidRDefault="00BF588C" w:rsidP="00BF588C">
      <w:pPr>
        <w:pStyle w:val="NoSpacing"/>
        <w:ind w:left="720"/>
      </w:pPr>
    </w:p>
    <w:p w14:paraId="4B100BFD" w14:textId="77777777" w:rsidR="00BF588C" w:rsidRDefault="00BF588C" w:rsidP="00BF588C">
      <w:pPr>
        <w:pStyle w:val="NoSpacing"/>
        <w:ind w:left="720"/>
      </w:pPr>
      <w:r>
        <w:t>***</w:t>
      </w:r>
    </w:p>
    <w:p w14:paraId="41A8B987" w14:textId="77777777" w:rsidR="00BF588C" w:rsidRDefault="00BF588C" w:rsidP="00BF588C">
      <w:pPr>
        <w:pStyle w:val="NoSpacing"/>
        <w:ind w:left="720"/>
      </w:pPr>
      <w:r>
        <w:t>By September 2, the fire had grown to 11,500 acres, with fire and weather conditions</w:t>
      </w:r>
    </w:p>
    <w:p w14:paraId="00E25354" w14:textId="77777777" w:rsidR="00BF588C" w:rsidRDefault="00BF588C" w:rsidP="00BF588C">
      <w:pPr>
        <w:pStyle w:val="NoSpacing"/>
        <w:ind w:left="720"/>
      </w:pPr>
      <w:r>
        <w:t xml:space="preserve">producing an increased risk of fire danger. SOF ¶¶ 23, 24. Dry strong winds from the west were expected to move the main fire east, JX11, at 5, ECF No. 99-11; spot fires persisted as a concern for additional spread, Tr. 767:22–768:2 (Cornwell). The fire behavior forecast predicted even ‘more active’ fire behavior, with ‘stronger </w:t>
      </w:r>
      <w:proofErr w:type="gramStart"/>
      <w:r>
        <w:t>winds’</w:t>
      </w:r>
      <w:proofErr w:type="gramEnd"/>
      <w:r>
        <w:t xml:space="preserve"> potentially driving even farther spot fire ignitions. JX11, at 5.”</w:t>
      </w:r>
    </w:p>
    <w:p w14:paraId="05A3647B" w14:textId="77777777" w:rsidR="00BF588C" w:rsidRPr="007056A2" w:rsidRDefault="00BF588C" w:rsidP="00BF588C">
      <w:pPr>
        <w:rPr>
          <w:b/>
        </w:rPr>
      </w:pPr>
    </w:p>
    <w:p w14:paraId="6852878B" w14:textId="77777777" w:rsidR="00BF588C" w:rsidRPr="00781F8D" w:rsidRDefault="00BF588C" w:rsidP="00BF588C">
      <w:pPr>
        <w:pStyle w:val="NoSpacing"/>
        <w:rPr>
          <w:b/>
          <w:bCs/>
        </w:rPr>
      </w:pPr>
      <w:r>
        <w:rPr>
          <w:b/>
        </w:rPr>
        <w:t>Legal lesson learned:  Incident commanders with U.S. Forest Service kept detailed records of fire growth, and their efforts to save property.</w:t>
      </w:r>
    </w:p>
    <w:p w14:paraId="4126C20F" w14:textId="77777777" w:rsidR="00BF588C" w:rsidRDefault="00BF588C" w:rsidP="00BF588C">
      <w:pPr>
        <w:rPr>
          <w:b/>
        </w:rPr>
      </w:pPr>
    </w:p>
    <w:p w14:paraId="67D05838" w14:textId="170E8675" w:rsidR="008843BB" w:rsidRDefault="008843BB"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4-50</w:t>
      </w:r>
    </w:p>
    <w:p w14:paraId="03E261C2" w14:textId="77777777" w:rsidR="008843BB" w:rsidRPr="000E3803" w:rsidRDefault="008843BB" w:rsidP="008843BB">
      <w:pPr>
        <w:pStyle w:val="NoSpacing"/>
        <w:rPr>
          <w:rFonts w:ascii="Arial Black" w:hAnsi="Arial Black"/>
          <w:bCs/>
          <w:sz w:val="28"/>
          <w:szCs w:val="28"/>
        </w:rPr>
      </w:pPr>
      <w:r>
        <w:rPr>
          <w:rFonts w:ascii="Arial Black" w:hAnsi="Arial Black"/>
          <w:sz w:val="28"/>
          <w:szCs w:val="28"/>
        </w:rPr>
        <w:t xml:space="preserve">MO:  CHIMNEY FIRE – FF RIGHT TO ENTER / CUT THE ROOF </w:t>
      </w:r>
    </w:p>
    <w:p w14:paraId="1ECCFBE9" w14:textId="77777777" w:rsidR="008843BB" w:rsidRDefault="008843BB" w:rsidP="008843BB">
      <w:pPr>
        <w:pStyle w:val="NoSpacing"/>
        <w:rPr>
          <w:bCs/>
        </w:rPr>
      </w:pPr>
    </w:p>
    <w:p w14:paraId="38E8E878" w14:textId="77777777" w:rsidR="008843BB" w:rsidRPr="003F3B30" w:rsidRDefault="008843BB" w:rsidP="008843BB">
      <w:pPr>
        <w:pStyle w:val="NoSpacing"/>
        <w:rPr>
          <w:rFonts w:ascii="Times New Roman" w:hAnsi="Times New Roman"/>
          <w:bCs/>
          <w:sz w:val="24"/>
          <w:szCs w:val="24"/>
        </w:rPr>
      </w:pPr>
      <w:r w:rsidRPr="003F3B30">
        <w:rPr>
          <w:rFonts w:ascii="Times New Roman" w:hAnsi="Times New Roman"/>
          <w:sz w:val="24"/>
          <w:szCs w:val="24"/>
        </w:rPr>
        <w:t xml:space="preserve">On July 25, 2025, in </w:t>
      </w:r>
      <w:r w:rsidRPr="003F3B30">
        <w:rPr>
          <w:rFonts w:ascii="Times New Roman" w:hAnsi="Times New Roman"/>
          <w:sz w:val="24"/>
          <w:szCs w:val="24"/>
          <w:u w:val="single"/>
        </w:rPr>
        <w:t>Gary Gibbs v. City of Sikeston, et al</w:t>
      </w:r>
      <w:r w:rsidRPr="003F3B30">
        <w:rPr>
          <w:rFonts w:ascii="Times New Roman" w:hAnsi="Times New Roman"/>
          <w:sz w:val="24"/>
          <w:szCs w:val="24"/>
        </w:rPr>
        <w:t xml:space="preserve">., Senior U.S. District Court Judge Stephen N. Limbach, Jr., United States District Court for Eastern District of Missouri, granted defense motion to dismiss the lawsuit filed pro se 9no attorney) by the homeowner.  During the morning of Jan. 8, 2021, the homeowner lit a fire in his fireplace and tan began a Zoom call with his employer.  An hour later a neighbor told him his chimney was smoking; Gibbs got a water hose and extinguished fire.  Someone called 911; he told police officer to cancel the fire department and leave his property; the officer refused, ordered him out of his home and fire department made entry over his objections.  THE COURT HELD: “Even if there was no ‘visible’ fire when the first responders arrived after the 911 call, they had a duty to investigate for the public's safety.” </w:t>
      </w:r>
      <w:hyperlink r:id="rId865" w:history="1">
        <w:r w:rsidRPr="003F3B30">
          <w:rPr>
            <w:rStyle w:val="Hyperlink"/>
            <w:rFonts w:ascii="Times New Roman" w:hAnsi="Times New Roman"/>
            <w:sz w:val="24"/>
            <w:szCs w:val="24"/>
          </w:rPr>
          <w:t>https://public.fastcase.com/jaEE2PXzRXmZ99jOLMt1IjaUc7vARjVQ5RdI8he5wvr8CafQJWJ892rNp3h%2B5maD?utm_medium=email&amp;_hsenc=p2ANqtz-9yeYIX9OvUysaWxw5S4NvX23y7n2bM1DKt1TGid5472BDGnDkJHyEbdkJMIqnakyd6KQCi4nGEAs4FOkTAkAKzxnAO3A&amp;_hsmi=226712652&amp;utm_content=226712652&amp;utm_source=hs_email</w:t>
        </w:r>
      </w:hyperlink>
      <w:r w:rsidRPr="003F3B30">
        <w:rPr>
          <w:rFonts w:ascii="Times New Roman" w:hAnsi="Times New Roman"/>
          <w:sz w:val="24"/>
          <w:szCs w:val="24"/>
        </w:rPr>
        <w:t xml:space="preserve"> </w:t>
      </w:r>
    </w:p>
    <w:p w14:paraId="755836D8" w14:textId="77777777" w:rsidR="00D77D85" w:rsidRDefault="00D77D85" w:rsidP="003F3B30">
      <w:pPr>
        <w:pStyle w:val="NoSpacing"/>
        <w:rPr>
          <w:rFonts w:ascii="Times New Roman" w:hAnsi="Times New Roman"/>
          <w:b/>
          <w:sz w:val="24"/>
          <w:szCs w:val="24"/>
        </w:rPr>
      </w:pPr>
    </w:p>
    <w:p w14:paraId="70382C54" w14:textId="27940A34" w:rsidR="003F3B30" w:rsidRPr="003F3B30" w:rsidRDefault="003F3B30" w:rsidP="003F3B30">
      <w:pPr>
        <w:pStyle w:val="NoSpacing"/>
        <w:rPr>
          <w:rFonts w:ascii="Times New Roman" w:hAnsi="Times New Roman"/>
          <w:b/>
          <w:sz w:val="24"/>
          <w:szCs w:val="24"/>
        </w:rPr>
      </w:pPr>
      <w:r w:rsidRPr="003F3B30">
        <w:rPr>
          <w:rFonts w:ascii="Times New Roman" w:hAnsi="Times New Roman"/>
          <w:b/>
          <w:sz w:val="24"/>
          <w:szCs w:val="24"/>
        </w:rPr>
        <w:t xml:space="preserve">Legal lesson learned:  Fire Department had lawful right to enter property, cut roof looking for extension of fire and prevent rekindle. </w:t>
      </w:r>
    </w:p>
    <w:p w14:paraId="36097A71" w14:textId="77777777" w:rsidR="003F3B30" w:rsidRPr="003F3B30" w:rsidRDefault="003F3B30" w:rsidP="003F3B30">
      <w:pPr>
        <w:pStyle w:val="NoSpacing"/>
        <w:rPr>
          <w:rFonts w:ascii="Times New Roman" w:hAnsi="Times New Roman"/>
          <w:b/>
          <w:sz w:val="24"/>
          <w:szCs w:val="24"/>
        </w:rPr>
      </w:pPr>
    </w:p>
    <w:p w14:paraId="24AB187E" w14:textId="77777777" w:rsidR="003F3B30" w:rsidRPr="003F3B30" w:rsidRDefault="003F3B30" w:rsidP="003F3B30">
      <w:pPr>
        <w:pStyle w:val="NoSpacing"/>
        <w:ind w:left="720"/>
        <w:rPr>
          <w:rFonts w:ascii="Times New Roman" w:hAnsi="Times New Roman"/>
          <w:bCs/>
          <w:sz w:val="24"/>
          <w:szCs w:val="24"/>
        </w:rPr>
      </w:pPr>
      <w:r w:rsidRPr="003F3B30">
        <w:rPr>
          <w:rFonts w:ascii="Times New Roman" w:hAnsi="Times New Roman"/>
          <w:sz w:val="24"/>
          <w:szCs w:val="24"/>
        </w:rPr>
        <w:t xml:space="preserve">Note:  Read the U.S. Supreme Court decision in </w:t>
      </w:r>
      <w:r w:rsidRPr="003F3B30">
        <w:rPr>
          <w:rFonts w:ascii="Times New Roman" w:hAnsi="Times New Roman"/>
          <w:sz w:val="24"/>
          <w:szCs w:val="24"/>
          <w:u w:val="single"/>
        </w:rPr>
        <w:t>Michigan v. Clifford</w:t>
      </w:r>
      <w:r w:rsidRPr="003F3B30">
        <w:rPr>
          <w:rFonts w:ascii="Times New Roman" w:hAnsi="Times New Roman"/>
          <w:sz w:val="24"/>
          <w:szCs w:val="24"/>
        </w:rPr>
        <w:t xml:space="preserve"> (1984).  </w:t>
      </w:r>
      <w:hyperlink r:id="rId866" w:history="1">
        <w:r w:rsidRPr="003F3B30">
          <w:rPr>
            <w:rStyle w:val="Hyperlink"/>
            <w:rFonts w:ascii="Times New Roman" w:hAnsi="Times New Roman"/>
            <w:sz w:val="24"/>
            <w:szCs w:val="24"/>
          </w:rPr>
          <w:t>https://supreme.justia.com/cases/federal/us/464/287/</w:t>
        </w:r>
      </w:hyperlink>
      <w:r w:rsidRPr="003F3B30">
        <w:rPr>
          <w:rFonts w:ascii="Times New Roman" w:hAnsi="Times New Roman"/>
          <w:sz w:val="24"/>
          <w:szCs w:val="24"/>
        </w:rPr>
        <w:t xml:space="preserve"> </w:t>
      </w:r>
    </w:p>
    <w:p w14:paraId="52D772A3" w14:textId="77777777" w:rsidR="003F3B30" w:rsidRPr="003F3B30" w:rsidRDefault="003F3B30" w:rsidP="003F3B30">
      <w:pPr>
        <w:pStyle w:val="NoSpacing"/>
        <w:ind w:left="720"/>
        <w:rPr>
          <w:rFonts w:ascii="Times New Roman" w:hAnsi="Times New Roman"/>
          <w:bCs/>
          <w:sz w:val="24"/>
          <w:szCs w:val="24"/>
        </w:rPr>
      </w:pPr>
    </w:p>
    <w:p w14:paraId="2E55C164" w14:textId="77777777" w:rsidR="003F3B30" w:rsidRPr="003F3B30" w:rsidRDefault="003F3B30" w:rsidP="003F3B30">
      <w:pPr>
        <w:pStyle w:val="NoSpacing"/>
        <w:ind w:left="720"/>
        <w:rPr>
          <w:rFonts w:ascii="Times New Roman" w:hAnsi="Times New Roman"/>
          <w:sz w:val="24"/>
          <w:szCs w:val="24"/>
        </w:rPr>
      </w:pPr>
      <w:r w:rsidRPr="003F3B30">
        <w:rPr>
          <w:rFonts w:ascii="Times New Roman" w:hAnsi="Times New Roman"/>
          <w:sz w:val="24"/>
          <w:szCs w:val="24"/>
        </w:rPr>
        <w:t xml:space="preserve">“A burning building of course creates an exigency that justifies a warrantless entry by fire officials to fight the blaze. Moreover, in </w:t>
      </w:r>
      <w:r w:rsidRPr="003F3B30">
        <w:rPr>
          <w:rFonts w:ascii="Times New Roman" w:hAnsi="Times New Roman"/>
          <w:i/>
          <w:iCs/>
          <w:sz w:val="24"/>
          <w:szCs w:val="24"/>
        </w:rPr>
        <w:t>Tyler,</w:t>
      </w:r>
      <w:r w:rsidRPr="003F3B30">
        <w:rPr>
          <w:rFonts w:ascii="Times New Roman" w:hAnsi="Times New Roman"/>
          <w:sz w:val="24"/>
          <w:szCs w:val="24"/>
        </w:rPr>
        <w:t xml:space="preserve"> we held that, once in the building, officials need no warrant to </w:t>
      </w:r>
      <w:r w:rsidRPr="003F3B30">
        <w:rPr>
          <w:rFonts w:ascii="Times New Roman" w:hAnsi="Times New Roman"/>
          <w:sz w:val="24"/>
          <w:szCs w:val="24"/>
        </w:rPr>
        <w:lastRenderedPageBreak/>
        <w:t>remain …for ‘a reasonable time to investigate the cause of a blaze after it has been extinguished.’ … however, reasonable expectations of privacy remain in the fire-damaged property, additional investigations begun after the fire has been extinguished and fire and police officials have left the scene generally must be made pursuant to a warrant or the identification of some new exigency. The aftermath of a fire often presents exigencies that will not tolerate the delay necessary to obtain a warrant or to secure the owner's consent to inspect fire-damaged premises….Because determining the cause and origin of a fire serves a compelling public interest, the warrant requirement does not apply in such cases.</w:t>
      </w:r>
    </w:p>
    <w:p w14:paraId="2AE8DB91" w14:textId="77777777" w:rsidR="003F3B30" w:rsidRDefault="003F3B30" w:rsidP="003F3B30">
      <w:pPr>
        <w:pStyle w:val="NoSpacing"/>
      </w:pPr>
    </w:p>
    <w:p w14:paraId="72ACC0F3" w14:textId="77777777" w:rsidR="008843BB" w:rsidRDefault="008843BB" w:rsidP="000636AB">
      <w:pPr>
        <w:rPr>
          <w:rStyle w:val="Hyperlink"/>
          <w:rFonts w:ascii="Arial Black" w:hAnsi="Arial Black"/>
          <w:b/>
          <w:color w:val="auto"/>
          <w:sz w:val="24"/>
          <w:szCs w:val="24"/>
          <w:u w:val="none"/>
        </w:rPr>
      </w:pPr>
    </w:p>
    <w:p w14:paraId="5F6B1779" w14:textId="114A83BE" w:rsidR="000636AB" w:rsidRDefault="000636AB"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4-49</w:t>
      </w:r>
    </w:p>
    <w:p w14:paraId="08856BD0" w14:textId="4C008D2C" w:rsidR="000B78DC" w:rsidRDefault="000B78DC" w:rsidP="000B78DC">
      <w:pPr>
        <w:pStyle w:val="NoSpacing"/>
        <w:rPr>
          <w:rFonts w:ascii="Arial Black" w:hAnsi="Arial Black"/>
          <w:sz w:val="28"/>
          <w:szCs w:val="28"/>
        </w:rPr>
      </w:pPr>
      <w:r>
        <w:rPr>
          <w:rFonts w:ascii="Arial Black" w:hAnsi="Arial Black"/>
          <w:sz w:val="28"/>
          <w:szCs w:val="28"/>
        </w:rPr>
        <w:t xml:space="preserve">U.S. SUP. CT: FBI SWAT / WRONG HOUSE – NO </w:t>
      </w:r>
      <w:r w:rsidR="00064669">
        <w:rPr>
          <w:rFonts w:ascii="Arial Black" w:hAnsi="Arial Black"/>
          <w:sz w:val="28"/>
          <w:szCs w:val="28"/>
        </w:rPr>
        <w:t xml:space="preserve">QUAL. </w:t>
      </w:r>
      <w:r>
        <w:rPr>
          <w:rFonts w:ascii="Arial Black" w:hAnsi="Arial Black"/>
          <w:sz w:val="28"/>
          <w:szCs w:val="28"/>
        </w:rPr>
        <w:t xml:space="preserve">IMMUNITY </w:t>
      </w:r>
    </w:p>
    <w:p w14:paraId="665E5BF1" w14:textId="77777777" w:rsidR="00FB1248" w:rsidRDefault="00FB1248" w:rsidP="000B78DC">
      <w:pPr>
        <w:pStyle w:val="NoSpacing"/>
        <w:rPr>
          <w:rFonts w:ascii="Times New Roman" w:hAnsi="Times New Roman"/>
          <w:sz w:val="24"/>
          <w:szCs w:val="24"/>
        </w:rPr>
      </w:pPr>
    </w:p>
    <w:p w14:paraId="0143098B" w14:textId="16D0E142" w:rsidR="000B78DC" w:rsidRPr="00597590" w:rsidRDefault="000B78DC" w:rsidP="000B78DC">
      <w:pPr>
        <w:pStyle w:val="NoSpacing"/>
        <w:rPr>
          <w:rFonts w:ascii="Times New Roman" w:hAnsi="Times New Roman"/>
          <w:sz w:val="24"/>
          <w:szCs w:val="24"/>
        </w:rPr>
      </w:pPr>
      <w:r w:rsidRPr="00597590">
        <w:rPr>
          <w:rFonts w:ascii="Times New Roman" w:hAnsi="Times New Roman"/>
          <w:sz w:val="24"/>
          <w:szCs w:val="24"/>
        </w:rPr>
        <w:t xml:space="preserve">On June 12, 2025, in </w:t>
      </w:r>
      <w:r w:rsidRPr="00597590">
        <w:rPr>
          <w:rFonts w:ascii="Times New Roman" w:hAnsi="Times New Roman"/>
          <w:sz w:val="24"/>
          <w:szCs w:val="24"/>
          <w:u w:val="single"/>
        </w:rPr>
        <w:t>Curtina Martin, individually and next friend of G.W., a minor, et al. v. United States, et al.,</w:t>
      </w:r>
      <w:r w:rsidRPr="00597590">
        <w:rPr>
          <w:rFonts w:ascii="Times New Roman" w:hAnsi="Times New Roman"/>
          <w:sz w:val="24"/>
          <w:szCs w:val="24"/>
        </w:rPr>
        <w:t xml:space="preserve"> the United States Supreme Court held (9 to 0) that lawsuit should be reinstated to allow plaintiffs to sue the Federal government if there is proof of “intentional tort” by the FBI in the October 18, 2017 FBI / SWAT Team raid on wrong house.  The U.S. District Court judge and the 11</w:t>
      </w:r>
      <w:r w:rsidRPr="00597590">
        <w:rPr>
          <w:rFonts w:ascii="Times New Roman" w:hAnsi="Times New Roman"/>
          <w:sz w:val="24"/>
          <w:szCs w:val="24"/>
          <w:vertAlign w:val="superscript"/>
        </w:rPr>
        <w:t>th</w:t>
      </w:r>
      <w:r w:rsidRPr="00597590">
        <w:rPr>
          <w:rFonts w:ascii="Times New Roman" w:hAnsi="Times New Roman"/>
          <w:sz w:val="24"/>
          <w:szCs w:val="24"/>
        </w:rPr>
        <w:t xml:space="preserve"> Circuit (Atlanta) dismissed the lawsuit on basis of the immunity doctrine of “discretionary function.” The U.S. Supreme Court reviewed legislative history of the Federal Tort Claims Act where Congress in 1974 amended the FTCA because of another “wrong address” raid – April 1973, Herbert and Evelyn Giglotto awoke in their Collinsville, Illinois, townhouse 15 state and federal officers.  The Federal Tort Claims Act was amended by Congress</w:t>
      </w:r>
    </w:p>
    <w:p w14:paraId="03D1D226" w14:textId="77777777" w:rsidR="000B78DC" w:rsidRPr="00597590" w:rsidRDefault="000B78DC" w:rsidP="000B78DC">
      <w:pPr>
        <w:pStyle w:val="NoSpacing"/>
        <w:rPr>
          <w:rFonts w:ascii="Times New Roman" w:hAnsi="Times New Roman"/>
          <w:sz w:val="24"/>
          <w:szCs w:val="24"/>
        </w:rPr>
      </w:pPr>
      <w:r w:rsidRPr="00597590">
        <w:rPr>
          <w:rFonts w:ascii="Times New Roman" w:hAnsi="Times New Roman"/>
          <w:sz w:val="24"/>
          <w:szCs w:val="24"/>
        </w:rPr>
        <w:t xml:space="preserve">by adding the “law enforcement proviso” allowing lawsuits for Federal investigative or law enforcement agents who commit any of six intentional torts, including:  assault, battery, false imprisonment, and false arrest, abuse of process, malicious prosecution.  So long as the officer is acting within the scope of his or her employment at the time the tort arises, the waiver of sovereign immunity applies.  THE COURT HELD: “Where does all that leave the case before us? We can say this much: The plaintiffs’ intentional-tort claims survive their encounter with subsection (h) thanks to the law enforcement proviso, as the Eleventh Circuit recognized. But it remains for that court on remand to consider whether subsection (a)’s discretionary-function exception bars either the plaintiffs’ negligent- or intentional-tort claims.” </w:t>
      </w:r>
      <w:hyperlink r:id="rId867" w:history="1">
        <w:r w:rsidRPr="00597590">
          <w:rPr>
            <w:rStyle w:val="Hyperlink"/>
            <w:rFonts w:ascii="Times New Roman" w:hAnsi="Times New Roman"/>
            <w:sz w:val="24"/>
            <w:szCs w:val="24"/>
          </w:rPr>
          <w:t>https://www.supremecourt.gov/opinions/24pdf/24-362_mjn0.pdf</w:t>
        </w:r>
      </w:hyperlink>
      <w:r w:rsidRPr="00597590">
        <w:rPr>
          <w:rFonts w:ascii="Times New Roman" w:hAnsi="Times New Roman"/>
          <w:sz w:val="24"/>
          <w:szCs w:val="24"/>
        </w:rPr>
        <w:t xml:space="preserve"> </w:t>
      </w:r>
    </w:p>
    <w:p w14:paraId="2377A0B5" w14:textId="77777777" w:rsidR="000B78DC" w:rsidRPr="00597590" w:rsidRDefault="000B78DC" w:rsidP="000B78DC">
      <w:pPr>
        <w:pStyle w:val="NoSpacing"/>
        <w:rPr>
          <w:rFonts w:ascii="Times New Roman" w:hAnsi="Times New Roman"/>
          <w:sz w:val="24"/>
          <w:szCs w:val="24"/>
        </w:rPr>
      </w:pPr>
    </w:p>
    <w:p w14:paraId="1655167C" w14:textId="77777777" w:rsidR="00597590" w:rsidRPr="00597590" w:rsidRDefault="00597590" w:rsidP="00597590">
      <w:pPr>
        <w:pStyle w:val="NoSpacing"/>
        <w:rPr>
          <w:rFonts w:ascii="Times New Roman" w:hAnsi="Times New Roman"/>
          <w:b/>
          <w:bCs/>
          <w:sz w:val="24"/>
          <w:szCs w:val="24"/>
        </w:rPr>
      </w:pPr>
      <w:r w:rsidRPr="00597590">
        <w:rPr>
          <w:rFonts w:ascii="Times New Roman" w:hAnsi="Times New Roman"/>
          <w:b/>
          <w:sz w:val="24"/>
          <w:szCs w:val="24"/>
        </w:rPr>
        <w:t>Legal lesson learned:  Similar to FTCA, many states have statutes waiving their sovereign immunity for “intentional torts” by law enforcement and other public employees.</w:t>
      </w:r>
    </w:p>
    <w:p w14:paraId="594C5B80" w14:textId="77777777" w:rsidR="00597590" w:rsidRPr="00597590" w:rsidRDefault="00597590" w:rsidP="00597590">
      <w:pPr>
        <w:pStyle w:val="NoSpacing"/>
        <w:rPr>
          <w:rFonts w:ascii="Times New Roman" w:hAnsi="Times New Roman"/>
          <w:b/>
          <w:bCs/>
          <w:sz w:val="24"/>
          <w:szCs w:val="24"/>
        </w:rPr>
      </w:pPr>
    </w:p>
    <w:p w14:paraId="615F3023" w14:textId="77777777" w:rsidR="00597590" w:rsidRPr="00597590" w:rsidRDefault="00597590" w:rsidP="00597590">
      <w:pPr>
        <w:pStyle w:val="NoSpacing"/>
        <w:ind w:left="720"/>
        <w:rPr>
          <w:rFonts w:ascii="Times New Roman" w:hAnsi="Times New Roman"/>
          <w:sz w:val="24"/>
          <w:szCs w:val="24"/>
        </w:rPr>
      </w:pPr>
      <w:r w:rsidRPr="00597590">
        <w:rPr>
          <w:rFonts w:ascii="Times New Roman" w:hAnsi="Times New Roman"/>
          <w:sz w:val="24"/>
          <w:szCs w:val="24"/>
        </w:rPr>
        <w:t xml:space="preserve">Note:  See more on the “law enforcement proviso” – “The Federal Tort Claims Act (FTCA): A Legal Overview.” </w:t>
      </w:r>
      <w:hyperlink r:id="rId868" w:history="1">
        <w:r w:rsidRPr="00597590">
          <w:rPr>
            <w:rStyle w:val="Hyperlink"/>
            <w:rFonts w:ascii="Times New Roman" w:hAnsi="Times New Roman"/>
            <w:sz w:val="24"/>
            <w:szCs w:val="24"/>
          </w:rPr>
          <w:t>https://www.congress.gov/crs-product/R45732</w:t>
        </w:r>
      </w:hyperlink>
      <w:r w:rsidRPr="00597590">
        <w:rPr>
          <w:rFonts w:ascii="Times New Roman" w:hAnsi="Times New Roman"/>
          <w:sz w:val="24"/>
          <w:szCs w:val="24"/>
        </w:rPr>
        <w:t xml:space="preserve"> </w:t>
      </w:r>
    </w:p>
    <w:p w14:paraId="2E43B196" w14:textId="77777777" w:rsidR="000B78DC" w:rsidRPr="00597590" w:rsidRDefault="000B78DC" w:rsidP="006528FB">
      <w:pPr>
        <w:rPr>
          <w:rFonts w:ascii="Times New Roman" w:hAnsi="Times New Roman"/>
          <w:b/>
          <w:sz w:val="24"/>
          <w:szCs w:val="24"/>
        </w:rPr>
      </w:pPr>
    </w:p>
    <w:p w14:paraId="0CED1D16" w14:textId="77777777" w:rsidR="000B78DC" w:rsidRDefault="000B78DC" w:rsidP="006528FB">
      <w:pPr>
        <w:rPr>
          <w:rFonts w:ascii="Arial Black" w:hAnsi="Arial Black"/>
          <w:b/>
          <w:sz w:val="28"/>
          <w:szCs w:val="28"/>
        </w:rPr>
      </w:pPr>
    </w:p>
    <w:p w14:paraId="2820AC79" w14:textId="58A86CE7" w:rsidR="000B78DC" w:rsidRDefault="000636AB" w:rsidP="006528FB">
      <w:pPr>
        <w:rPr>
          <w:rFonts w:ascii="Arial Black" w:hAnsi="Arial Black"/>
          <w:b/>
          <w:sz w:val="28"/>
          <w:szCs w:val="28"/>
        </w:rPr>
      </w:pPr>
      <w:r>
        <w:rPr>
          <w:rStyle w:val="Hyperlink"/>
          <w:rFonts w:ascii="Arial Black" w:hAnsi="Arial Black"/>
          <w:b/>
          <w:color w:val="auto"/>
          <w:sz w:val="24"/>
          <w:szCs w:val="24"/>
          <w:u w:val="none"/>
        </w:rPr>
        <w:t>4-48</w:t>
      </w:r>
    </w:p>
    <w:p w14:paraId="2FEEE3D2" w14:textId="7F818D8F" w:rsidR="006528FB" w:rsidRPr="009E79D4" w:rsidRDefault="006528FB" w:rsidP="006528FB">
      <w:pPr>
        <w:rPr>
          <w:rFonts w:ascii="Arial Black" w:hAnsi="Arial Black"/>
          <w:b/>
          <w:sz w:val="28"/>
          <w:szCs w:val="28"/>
        </w:rPr>
      </w:pPr>
      <w:r>
        <w:rPr>
          <w:rFonts w:ascii="Arial Black" w:hAnsi="Arial Black"/>
          <w:b/>
          <w:sz w:val="28"/>
          <w:szCs w:val="28"/>
        </w:rPr>
        <w:t xml:space="preserve">TX: LASER BLINDED POLICE COPTER – 37-MO IN PRISON </w:t>
      </w:r>
    </w:p>
    <w:p w14:paraId="7AA6CCA5" w14:textId="77777777" w:rsidR="006528FB" w:rsidRPr="00C342C1" w:rsidRDefault="006528FB" w:rsidP="006528FB">
      <w:pPr>
        <w:pStyle w:val="NoSpacing"/>
        <w:rPr>
          <w:rFonts w:ascii="Times New Roman" w:hAnsi="Times New Roman"/>
          <w:bCs/>
          <w:sz w:val="24"/>
          <w:szCs w:val="24"/>
        </w:rPr>
      </w:pPr>
      <w:r w:rsidRPr="00C342C1">
        <w:rPr>
          <w:rFonts w:ascii="Times New Roman" w:hAnsi="Times New Roman"/>
          <w:sz w:val="24"/>
          <w:szCs w:val="24"/>
        </w:rPr>
        <w:t xml:space="preserve">On June 5, 2025, in </w:t>
      </w:r>
      <w:r w:rsidRPr="00C342C1">
        <w:rPr>
          <w:rFonts w:ascii="Times New Roman" w:hAnsi="Times New Roman"/>
          <w:sz w:val="24"/>
          <w:szCs w:val="24"/>
          <w:u w:val="single"/>
        </w:rPr>
        <w:t>United States of America v. Sandra Roberson</w:t>
      </w:r>
      <w:r w:rsidRPr="00C342C1">
        <w:rPr>
          <w:rFonts w:ascii="Times New Roman" w:hAnsi="Times New Roman"/>
          <w:sz w:val="24"/>
          <w:szCs w:val="24"/>
        </w:rPr>
        <w:t>, the United States Court of Appeals for the Fifth Circuit (New Orleans) held (3 to 0) that sentence was appropriate; the defendant had plead guilty to Federal offense.  On November 3, 2023, at approximately 10:20 p.m., two San Antonio Police Department officers were travelling via police helicopter</w:t>
      </w:r>
    </w:p>
    <w:p w14:paraId="6C05E294" w14:textId="77777777" w:rsidR="006528FB" w:rsidRPr="00C342C1" w:rsidRDefault="006528FB" w:rsidP="006528FB">
      <w:pPr>
        <w:pStyle w:val="NoSpacing"/>
        <w:rPr>
          <w:rFonts w:ascii="Times New Roman" w:hAnsi="Times New Roman"/>
          <w:bCs/>
          <w:sz w:val="24"/>
          <w:szCs w:val="24"/>
        </w:rPr>
      </w:pPr>
      <w:r w:rsidRPr="00C342C1">
        <w:rPr>
          <w:rFonts w:ascii="Times New Roman" w:hAnsi="Times New Roman"/>
          <w:sz w:val="24"/>
          <w:szCs w:val="24"/>
        </w:rPr>
        <w:lastRenderedPageBreak/>
        <w:t xml:space="preserve">to support other officers responding to a shooting call. In the police helicopter, when an intense green laser began persistently striking the helicopter causing temporary flash blindness.  THE COURT HELD: “In sum, because her arguments are entirely contradicted by the record evidence, we are unconvinced that Roberson was not subjectively aware of the risk posed to the police helicopter when she continuously struck it with a laser for at least five minutes, forcing it to abruptly divert its path.” </w:t>
      </w:r>
      <w:hyperlink r:id="rId869" w:history="1">
        <w:r w:rsidRPr="00C342C1">
          <w:rPr>
            <w:rStyle w:val="Hyperlink"/>
            <w:rFonts w:ascii="Times New Roman" w:hAnsi="Times New Roman"/>
            <w:sz w:val="24"/>
            <w:szCs w:val="24"/>
          </w:rPr>
          <w:t>https://cases.justia.com/federal/appellate-courts/ca5/24-50970/24-50970-2025-06-05.pdf?ts=1749144644</w:t>
        </w:r>
      </w:hyperlink>
      <w:r w:rsidRPr="00C342C1">
        <w:rPr>
          <w:rFonts w:ascii="Times New Roman" w:hAnsi="Times New Roman"/>
          <w:sz w:val="24"/>
          <w:szCs w:val="24"/>
        </w:rPr>
        <w:t xml:space="preserve"> </w:t>
      </w:r>
    </w:p>
    <w:p w14:paraId="38D245B9" w14:textId="77777777" w:rsidR="006528FB" w:rsidRPr="00C342C1" w:rsidRDefault="006528FB" w:rsidP="006528FB">
      <w:pPr>
        <w:pStyle w:val="NoSpacing"/>
        <w:rPr>
          <w:rFonts w:ascii="Times New Roman" w:hAnsi="Times New Roman"/>
          <w:bCs/>
          <w:sz w:val="24"/>
          <w:szCs w:val="24"/>
        </w:rPr>
      </w:pPr>
    </w:p>
    <w:p w14:paraId="75C98AB8" w14:textId="77777777" w:rsidR="006528FB" w:rsidRPr="00C342C1" w:rsidRDefault="006528FB" w:rsidP="006528FB">
      <w:pPr>
        <w:pStyle w:val="NoSpacing"/>
        <w:rPr>
          <w:rFonts w:ascii="Times New Roman" w:hAnsi="Times New Roman"/>
          <w:b/>
          <w:bCs/>
          <w:sz w:val="24"/>
          <w:szCs w:val="24"/>
        </w:rPr>
      </w:pPr>
      <w:r w:rsidRPr="00C342C1">
        <w:rPr>
          <w:rFonts w:ascii="Times New Roman" w:hAnsi="Times New Roman"/>
          <w:b/>
          <w:sz w:val="24"/>
          <w:szCs w:val="24"/>
        </w:rPr>
        <w:t xml:space="preserve">Legal lesson learned: Pointing a laser at a helicopter or other aircraft is incredibly dangerous. </w:t>
      </w:r>
    </w:p>
    <w:p w14:paraId="4FDB9DBE" w14:textId="77777777" w:rsidR="006528FB" w:rsidRPr="00C342C1" w:rsidRDefault="006528FB" w:rsidP="006528FB">
      <w:pPr>
        <w:pStyle w:val="NoSpacing"/>
        <w:rPr>
          <w:rFonts w:ascii="Times New Roman" w:hAnsi="Times New Roman"/>
          <w:b/>
          <w:bCs/>
          <w:sz w:val="24"/>
          <w:szCs w:val="24"/>
        </w:rPr>
      </w:pPr>
    </w:p>
    <w:p w14:paraId="373F6741" w14:textId="77777777" w:rsidR="006528FB" w:rsidRPr="00C342C1" w:rsidRDefault="006528FB" w:rsidP="006528FB">
      <w:pPr>
        <w:pStyle w:val="NoSpacing"/>
        <w:ind w:left="720"/>
        <w:rPr>
          <w:rFonts w:ascii="Times New Roman" w:hAnsi="Times New Roman"/>
          <w:sz w:val="24"/>
          <w:szCs w:val="24"/>
        </w:rPr>
      </w:pPr>
      <w:r w:rsidRPr="00C342C1">
        <w:rPr>
          <w:rFonts w:ascii="Times New Roman" w:hAnsi="Times New Roman"/>
          <w:sz w:val="24"/>
          <w:szCs w:val="24"/>
        </w:rPr>
        <w:t xml:space="preserve">Note: The Court noted that the defendant, </w:t>
      </w:r>
      <w:proofErr w:type="gramStart"/>
      <w:r w:rsidRPr="00C342C1">
        <w:rPr>
          <w:rFonts w:ascii="Times New Roman" w:hAnsi="Times New Roman"/>
          <w:sz w:val="24"/>
          <w:szCs w:val="24"/>
        </w:rPr>
        <w:t>age</w:t>
      </w:r>
      <w:proofErr w:type="gramEnd"/>
      <w:r w:rsidRPr="00C342C1">
        <w:rPr>
          <w:rFonts w:ascii="Times New Roman" w:hAnsi="Times New Roman"/>
          <w:sz w:val="24"/>
          <w:szCs w:val="24"/>
        </w:rPr>
        <w:t xml:space="preserve"> 60 at the time of the offense, had quite a criminal record. </w:t>
      </w:r>
    </w:p>
    <w:p w14:paraId="1668EB4D" w14:textId="77777777" w:rsidR="006528FB" w:rsidRPr="00C342C1" w:rsidRDefault="006528FB" w:rsidP="006528FB">
      <w:pPr>
        <w:pStyle w:val="NoSpacing"/>
        <w:ind w:left="720"/>
        <w:rPr>
          <w:rFonts w:ascii="Times New Roman" w:hAnsi="Times New Roman"/>
          <w:sz w:val="24"/>
          <w:szCs w:val="24"/>
        </w:rPr>
      </w:pPr>
      <w:r w:rsidRPr="00C342C1">
        <w:rPr>
          <w:rFonts w:ascii="Times New Roman" w:hAnsi="Times New Roman"/>
          <w:sz w:val="24"/>
          <w:szCs w:val="24"/>
        </w:rPr>
        <w:t>“As her PSR [</w:t>
      </w:r>
      <w:proofErr w:type="spellStart"/>
      <w:r w:rsidRPr="00C342C1">
        <w:rPr>
          <w:rFonts w:ascii="Times New Roman" w:hAnsi="Times New Roman"/>
          <w:sz w:val="24"/>
          <w:szCs w:val="24"/>
        </w:rPr>
        <w:t>Pre Sentence</w:t>
      </w:r>
      <w:proofErr w:type="spellEnd"/>
      <w:r w:rsidRPr="00C342C1">
        <w:rPr>
          <w:rFonts w:ascii="Times New Roman" w:hAnsi="Times New Roman"/>
          <w:sz w:val="24"/>
          <w:szCs w:val="24"/>
        </w:rPr>
        <w:t xml:space="preserve"> Report] plainly indicates, she has an extensive record of nearly three dozen prior arrests and/or convictions (33 total) spanning four decades (1983–2024), resulting in a staggering criminal history category of V—the second highest available under the Guidelines.”</w:t>
      </w:r>
    </w:p>
    <w:p w14:paraId="5217B5C6" w14:textId="77777777" w:rsidR="006528FB" w:rsidRPr="00C342C1" w:rsidRDefault="006528FB" w:rsidP="006528FB">
      <w:pPr>
        <w:pStyle w:val="NoSpacing"/>
        <w:rPr>
          <w:rFonts w:ascii="Times New Roman" w:hAnsi="Times New Roman"/>
          <w:b/>
          <w:bCs/>
          <w:sz w:val="24"/>
          <w:szCs w:val="24"/>
        </w:rPr>
      </w:pPr>
      <w:r w:rsidRPr="00C342C1">
        <w:rPr>
          <w:rFonts w:ascii="Times New Roman" w:hAnsi="Times New Roman"/>
          <w:b/>
          <w:sz w:val="24"/>
          <w:szCs w:val="24"/>
        </w:rPr>
        <w:t xml:space="preserve">  </w:t>
      </w:r>
    </w:p>
    <w:p w14:paraId="3613C335" w14:textId="72A54DBC" w:rsidR="00680234" w:rsidRDefault="006528FB" w:rsidP="006528FB">
      <w:pPr>
        <w:rPr>
          <w:rStyle w:val="Hyperlink"/>
          <w:rFonts w:ascii="Arial Black" w:hAnsi="Arial Black"/>
          <w:b/>
          <w:color w:val="auto"/>
          <w:sz w:val="24"/>
          <w:szCs w:val="24"/>
          <w:u w:val="none"/>
        </w:rPr>
      </w:pPr>
      <w:r w:rsidRPr="00C342C1">
        <w:rPr>
          <w:rFonts w:ascii="Times New Roman" w:hAnsi="Times New Roman"/>
          <w:sz w:val="24"/>
          <w:szCs w:val="24"/>
        </w:rPr>
        <w:t xml:space="preserve">See also the U.S. Department of Justice Press Release; “San Antonio Woman Sentenced to Prison for Endangering SAPD Helicopter with Laser. </w:t>
      </w:r>
      <w:hyperlink r:id="rId870" w:history="1">
        <w:r w:rsidRPr="00C342C1">
          <w:rPr>
            <w:rStyle w:val="Hyperlink"/>
            <w:rFonts w:ascii="Times New Roman" w:hAnsi="Times New Roman"/>
            <w:sz w:val="24"/>
            <w:szCs w:val="24"/>
          </w:rPr>
          <w:t>https://www.justice.gov/usao-wdtx/pr/san-antonio-woman-sentenced-prison-endangering-sapd-helicopter-laser</w:t>
        </w:r>
      </w:hyperlink>
    </w:p>
    <w:p w14:paraId="1032D04B" w14:textId="77777777" w:rsidR="00680234" w:rsidRDefault="00680234" w:rsidP="002B1283">
      <w:pPr>
        <w:rPr>
          <w:rStyle w:val="Hyperlink"/>
          <w:rFonts w:ascii="Arial Black" w:hAnsi="Arial Black"/>
          <w:b/>
          <w:color w:val="auto"/>
          <w:sz w:val="24"/>
          <w:szCs w:val="24"/>
          <w:u w:val="none"/>
        </w:rPr>
      </w:pPr>
    </w:p>
    <w:p w14:paraId="44FD9D3E" w14:textId="135E85FF" w:rsidR="000636AB" w:rsidRDefault="000636AB" w:rsidP="000636AB">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4-47</w:t>
      </w:r>
    </w:p>
    <w:p w14:paraId="233E432D" w14:textId="77777777" w:rsidR="009B2566" w:rsidRDefault="009B2566" w:rsidP="002B1283">
      <w:pPr>
        <w:rPr>
          <w:rStyle w:val="Hyperlink"/>
          <w:rFonts w:ascii="Arial Black" w:hAnsi="Arial Black"/>
          <w:b/>
          <w:color w:val="auto"/>
          <w:sz w:val="24"/>
          <w:szCs w:val="24"/>
          <w:u w:val="none"/>
        </w:rPr>
      </w:pPr>
    </w:p>
    <w:p w14:paraId="74718506" w14:textId="77777777" w:rsidR="009B2566" w:rsidRDefault="009B2566" w:rsidP="009B2566">
      <w:pPr>
        <w:rPr>
          <w:rFonts w:ascii="Arial Black" w:hAnsi="Arial Black"/>
          <w:b/>
          <w:sz w:val="28"/>
          <w:szCs w:val="28"/>
        </w:rPr>
      </w:pPr>
      <w:r>
        <w:rPr>
          <w:rFonts w:ascii="Arial Black" w:hAnsi="Arial Black"/>
          <w:b/>
          <w:sz w:val="28"/>
          <w:szCs w:val="28"/>
        </w:rPr>
        <w:t>CA: TRAINING CAPT MOVED - $450K / ATTY FEES CUT 30%</w:t>
      </w:r>
    </w:p>
    <w:p w14:paraId="42093463" w14:textId="77777777" w:rsidR="009B2566" w:rsidRPr="000636AB" w:rsidRDefault="009B2566" w:rsidP="009B2566">
      <w:pPr>
        <w:rPr>
          <w:rFonts w:ascii="Times New Roman" w:hAnsi="Times New Roman"/>
          <w:sz w:val="24"/>
          <w:szCs w:val="24"/>
        </w:rPr>
      </w:pPr>
      <w:r w:rsidRPr="000636AB">
        <w:rPr>
          <w:rFonts w:ascii="Times New Roman" w:hAnsi="Times New Roman"/>
          <w:sz w:val="24"/>
          <w:szCs w:val="24"/>
        </w:rPr>
        <w:t xml:space="preserve">On May 30, 2025, in </w:t>
      </w:r>
      <w:r w:rsidRPr="000636AB">
        <w:rPr>
          <w:rFonts w:ascii="Times New Roman" w:hAnsi="Times New Roman"/>
          <w:sz w:val="24"/>
          <w:szCs w:val="24"/>
          <w:u w:val="single"/>
        </w:rPr>
        <w:t>Michael Cash v. County of Los Angeles</w:t>
      </w:r>
      <w:r w:rsidRPr="000636AB">
        <w:rPr>
          <w:rFonts w:ascii="Times New Roman" w:hAnsi="Times New Roman"/>
          <w:sz w:val="24"/>
          <w:szCs w:val="24"/>
        </w:rPr>
        <w:t xml:space="preserve">, the Court of Appeal, Second District, California, held (3 to 0) that after a jury awarded Captain $450,000 when he was removed from the LA County training academy after complaining about female recruit not being terminated, the trial court judge also properly awarded the Captain attorney fees, reduced by 30% when County asserted that the attorneys’ hours were padded.  It took 5 years of litigation, and 20-day jury trial to get to a jury verdict ($705,730 fee request; $455,546 awarded).  THE COURT HELD: “Before a hearing to consider the amount of attorney fees to award, the trial court issued a tentative ruling adopting wholesale the County's across-the-board 30 percent reduction. The trial court did not abuse its discretion in doing so. Under the traditional California standard, across-the-board, percentage-based reductions to a lodestar figure are appropriate so long as the trial court articulates a justifiable reason for the reduction. (Morris, supra, 41 Cal.App.5th at p. 35, fn. 6, 253 Cal.Rptr.3d 592.) Here, the trial court imposed the 30-percent reduction due to padding </w:t>
      </w:r>
      <w:proofErr w:type="gramStart"/>
      <w:r w:rsidRPr="000636AB">
        <w:rPr>
          <w:rFonts w:ascii="Times New Roman" w:hAnsi="Times New Roman"/>
          <w:sz w:val="24"/>
          <w:szCs w:val="24"/>
        </w:rPr>
        <w:t>as a result of</w:t>
      </w:r>
      <w:proofErr w:type="gramEnd"/>
      <w:r w:rsidRPr="000636AB">
        <w:rPr>
          <w:rFonts w:ascii="Times New Roman" w:hAnsi="Times New Roman"/>
          <w:sz w:val="24"/>
          <w:szCs w:val="24"/>
        </w:rPr>
        <w:t xml:space="preserve"> the attorneys’ excessive and duplicative billing.” </w:t>
      </w:r>
      <w:hyperlink r:id="rId871" w:history="1">
        <w:r w:rsidRPr="000636AB">
          <w:rPr>
            <w:rStyle w:val="Hyperlink"/>
            <w:rFonts w:ascii="Times New Roman" w:hAnsi="Times New Roman"/>
            <w:sz w:val="24"/>
            <w:szCs w:val="24"/>
          </w:rPr>
          <w:t>https://caselaw.findlaw.com/court/crt-app-sec-dis-cal-div-fiv/117326152.html</w:t>
        </w:r>
      </w:hyperlink>
      <w:r w:rsidRPr="000636AB">
        <w:rPr>
          <w:rFonts w:ascii="Times New Roman" w:hAnsi="Times New Roman"/>
          <w:sz w:val="24"/>
          <w:szCs w:val="24"/>
        </w:rPr>
        <w:t xml:space="preserve"> </w:t>
      </w:r>
    </w:p>
    <w:p w14:paraId="1804E859" w14:textId="77777777" w:rsidR="00F1458A" w:rsidRPr="000636AB" w:rsidRDefault="00F1458A" w:rsidP="00F1458A">
      <w:pPr>
        <w:pStyle w:val="NoSpacing"/>
        <w:rPr>
          <w:rFonts w:ascii="Times New Roman" w:hAnsi="Times New Roman"/>
          <w:b/>
          <w:sz w:val="24"/>
          <w:szCs w:val="24"/>
        </w:rPr>
      </w:pPr>
      <w:r w:rsidRPr="000636AB">
        <w:rPr>
          <w:rFonts w:ascii="Times New Roman" w:hAnsi="Times New Roman"/>
          <w:b/>
          <w:sz w:val="24"/>
          <w:szCs w:val="24"/>
        </w:rPr>
        <w:t xml:space="preserve">Legal lesson learned: Many states have enacted civil rights statutes allowing courts to award reasonable attorney fees to the winning plaintiff; it is an “incentive” for employment attorneys to pursue often difficult, lengthy cases. </w:t>
      </w:r>
    </w:p>
    <w:p w14:paraId="0F524EF7" w14:textId="77777777" w:rsidR="00F1458A" w:rsidRDefault="00F1458A" w:rsidP="00F1458A">
      <w:pPr>
        <w:pStyle w:val="NoSpacing"/>
        <w:rPr>
          <w:b/>
        </w:rPr>
      </w:pPr>
    </w:p>
    <w:p w14:paraId="10EE10BD" w14:textId="77777777" w:rsidR="00F1458A" w:rsidRDefault="00F1458A" w:rsidP="009B2566">
      <w:pPr>
        <w:rPr>
          <w:bCs/>
        </w:rPr>
      </w:pPr>
    </w:p>
    <w:p w14:paraId="10A18197" w14:textId="086D7BC8" w:rsidR="00B12A0F" w:rsidRDefault="00B12A0F"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4-46</w:t>
      </w:r>
    </w:p>
    <w:p w14:paraId="742CB67C" w14:textId="77777777" w:rsidR="00B12A0F" w:rsidRPr="006F2B87" w:rsidRDefault="00B12A0F" w:rsidP="00B12A0F">
      <w:pPr>
        <w:pStyle w:val="NoSpacing"/>
        <w:rPr>
          <w:rFonts w:ascii="Arial Black" w:hAnsi="Arial Black"/>
          <w:sz w:val="28"/>
          <w:szCs w:val="28"/>
        </w:rPr>
      </w:pPr>
      <w:r w:rsidRPr="006F2B87">
        <w:rPr>
          <w:rFonts w:ascii="Arial Black" w:hAnsi="Arial Black"/>
          <w:sz w:val="28"/>
          <w:szCs w:val="28"/>
        </w:rPr>
        <w:t xml:space="preserve">MI: HOUSE FIRE – 2 BOYS DEAD </w:t>
      </w:r>
      <w:r>
        <w:rPr>
          <w:rFonts w:ascii="Arial Black" w:hAnsi="Arial Black"/>
          <w:sz w:val="28"/>
          <w:szCs w:val="28"/>
        </w:rPr>
        <w:t>–</w:t>
      </w:r>
      <w:r w:rsidRPr="006F2B87">
        <w:rPr>
          <w:rFonts w:ascii="Arial Black" w:hAnsi="Arial Black"/>
          <w:sz w:val="28"/>
          <w:szCs w:val="28"/>
        </w:rPr>
        <w:t xml:space="preserve"> </w:t>
      </w:r>
      <w:r>
        <w:rPr>
          <w:rFonts w:ascii="Arial Black" w:hAnsi="Arial Black"/>
          <w:sz w:val="28"/>
          <w:szCs w:val="28"/>
        </w:rPr>
        <w:t xml:space="preserve">2 </w:t>
      </w:r>
      <w:r w:rsidRPr="006F2B87">
        <w:rPr>
          <w:rFonts w:ascii="Arial Black" w:hAnsi="Arial Black"/>
          <w:sz w:val="28"/>
          <w:szCs w:val="28"/>
        </w:rPr>
        <w:t>FF GROSS NEG.</w:t>
      </w:r>
      <w:r>
        <w:rPr>
          <w:rFonts w:ascii="Arial Black" w:hAnsi="Arial Black"/>
          <w:sz w:val="28"/>
          <w:szCs w:val="28"/>
        </w:rPr>
        <w:t xml:space="preserve"> CASE</w:t>
      </w:r>
    </w:p>
    <w:p w14:paraId="72619C3E" w14:textId="77777777" w:rsidR="00B12A0F" w:rsidRPr="006F2B87" w:rsidRDefault="00B12A0F" w:rsidP="00B12A0F">
      <w:pPr>
        <w:pStyle w:val="NoSpacing"/>
      </w:pPr>
    </w:p>
    <w:p w14:paraId="25B3F7A0" w14:textId="77777777" w:rsidR="00B12A0F" w:rsidRPr="00795A89" w:rsidRDefault="00B12A0F" w:rsidP="00B12A0F">
      <w:pPr>
        <w:pStyle w:val="NoSpacing"/>
        <w:rPr>
          <w:rFonts w:ascii="Times New Roman" w:hAnsi="Times New Roman"/>
          <w:sz w:val="24"/>
          <w:szCs w:val="24"/>
        </w:rPr>
      </w:pPr>
      <w:r w:rsidRPr="00795A89">
        <w:rPr>
          <w:rFonts w:ascii="Times New Roman" w:hAnsi="Times New Roman"/>
          <w:sz w:val="24"/>
          <w:szCs w:val="24"/>
        </w:rPr>
        <w:lastRenderedPageBreak/>
        <w:t xml:space="preserve">On May 14, 2025, in </w:t>
      </w:r>
      <w:r w:rsidRPr="00795A89">
        <w:rPr>
          <w:rFonts w:ascii="Times New Roman" w:hAnsi="Times New Roman"/>
          <w:sz w:val="24"/>
          <w:szCs w:val="24"/>
          <w:u w:val="single"/>
        </w:rPr>
        <w:t>Crystal Cooper, individually and as personal representative of the Estate of Lamar D. Mitchell and the Estate of Zyaire Mitchell v. City of Flint, and Flint Fire Department, and Sergeant Daniel Sniegocki and Firefighter Michael Zlotek</w:t>
      </w:r>
      <w:r w:rsidRPr="00795A89">
        <w:rPr>
          <w:rFonts w:ascii="Times New Roman" w:hAnsi="Times New Roman"/>
          <w:sz w:val="24"/>
          <w:szCs w:val="24"/>
        </w:rPr>
        <w:t xml:space="preserve">, the State of Michigan Court of Appeals held (3 to 0; unpublished decision) that trial court properly refused to dismiss the lawsuit against the two firefighters since there is sufficient evidence for a jury to find gross negligence by two firefighters in their primary search of the house (City and fire department did not part of this appeal).  </w:t>
      </w:r>
    </w:p>
    <w:p w14:paraId="042F8DC5" w14:textId="77777777" w:rsidR="00B12A0F" w:rsidRPr="00795A89" w:rsidRDefault="00B12A0F" w:rsidP="00B12A0F">
      <w:pPr>
        <w:pStyle w:val="NoSpacing"/>
        <w:rPr>
          <w:rFonts w:ascii="Times New Roman" w:hAnsi="Times New Roman"/>
          <w:sz w:val="24"/>
          <w:szCs w:val="24"/>
        </w:rPr>
      </w:pPr>
    </w:p>
    <w:p w14:paraId="549A898E" w14:textId="30FC49AC" w:rsidR="00B12A0F" w:rsidRPr="00795A89" w:rsidRDefault="00B12A0F" w:rsidP="00B12A0F">
      <w:pPr>
        <w:pStyle w:val="NoSpacing"/>
        <w:rPr>
          <w:rFonts w:ascii="Times New Roman" w:hAnsi="Times New Roman"/>
          <w:sz w:val="24"/>
          <w:szCs w:val="24"/>
        </w:rPr>
      </w:pPr>
      <w:r w:rsidRPr="00795A89">
        <w:rPr>
          <w:rFonts w:ascii="Times New Roman" w:hAnsi="Times New Roman"/>
          <w:sz w:val="24"/>
          <w:szCs w:val="24"/>
        </w:rPr>
        <w:t xml:space="preserve">The Court wrote: “This case arose from a house fire that took place in May 2022. Defendants were among the first firefighters who responded to the scene, and they were ordered to perform a primary search of the house. Defendants stated in their respective postfire reports that, before searching the house, they had been informed that there might be </w:t>
      </w:r>
      <w:proofErr w:type="gramStart"/>
      <w:r w:rsidRPr="00795A89">
        <w:rPr>
          <w:rFonts w:ascii="Times New Roman" w:hAnsi="Times New Roman"/>
          <w:sz w:val="24"/>
          <w:szCs w:val="24"/>
        </w:rPr>
        <w:t>persons</w:t>
      </w:r>
      <w:proofErr w:type="gramEnd"/>
      <w:r w:rsidRPr="00795A89">
        <w:rPr>
          <w:rFonts w:ascii="Times New Roman" w:hAnsi="Times New Roman"/>
          <w:sz w:val="24"/>
          <w:szCs w:val="24"/>
        </w:rPr>
        <w:t xml:space="preserve"> trapped inside, but they found no entrapped victims after they searched the first and second floors of the house. Approximately seven minutes after defendants’ search, a second crew was ordered to go</w:t>
      </w:r>
      <w:r w:rsidR="00795A89">
        <w:rPr>
          <w:rFonts w:ascii="Times New Roman" w:hAnsi="Times New Roman"/>
          <w:sz w:val="24"/>
          <w:szCs w:val="24"/>
        </w:rPr>
        <w:t xml:space="preserve"> </w:t>
      </w:r>
      <w:r w:rsidRPr="00795A89">
        <w:rPr>
          <w:rFonts w:ascii="Times New Roman" w:hAnsi="Times New Roman"/>
          <w:sz w:val="24"/>
          <w:szCs w:val="24"/>
        </w:rPr>
        <w:t>to the second floor and open windows, remove an air-conditioning unit, and conduct secondary</w:t>
      </w:r>
    </w:p>
    <w:p w14:paraId="479BFB2E" w14:textId="77777777" w:rsidR="00B12A0F" w:rsidRPr="00795A89" w:rsidRDefault="00B12A0F" w:rsidP="00B12A0F">
      <w:pPr>
        <w:pStyle w:val="NoSpacing"/>
        <w:rPr>
          <w:rFonts w:ascii="Times New Roman" w:hAnsi="Times New Roman"/>
          <w:sz w:val="24"/>
          <w:szCs w:val="24"/>
        </w:rPr>
      </w:pPr>
      <w:r w:rsidRPr="00795A89">
        <w:rPr>
          <w:rFonts w:ascii="Times New Roman" w:hAnsi="Times New Roman"/>
          <w:sz w:val="24"/>
          <w:szCs w:val="24"/>
        </w:rPr>
        <w:t>searches. This crew located Lamar and Zyaire in one of the second-floor bedrooms. Lamar was</w:t>
      </w:r>
    </w:p>
    <w:p w14:paraId="45FFF172" w14:textId="77777777" w:rsidR="00B12A0F" w:rsidRPr="00795A89" w:rsidRDefault="00B12A0F" w:rsidP="00B12A0F">
      <w:pPr>
        <w:pStyle w:val="NoSpacing"/>
        <w:rPr>
          <w:rFonts w:ascii="Times New Roman" w:hAnsi="Times New Roman"/>
          <w:sz w:val="24"/>
          <w:szCs w:val="24"/>
        </w:rPr>
      </w:pPr>
      <w:r w:rsidRPr="00795A89">
        <w:rPr>
          <w:rFonts w:ascii="Times New Roman" w:hAnsi="Times New Roman"/>
          <w:sz w:val="24"/>
          <w:szCs w:val="24"/>
        </w:rPr>
        <w:t>face-down on the floor, and Zyaire was face-down with his body half on a bed. Lamar and Zyaire</w:t>
      </w:r>
    </w:p>
    <w:p w14:paraId="06DE852C" w14:textId="77777777" w:rsidR="00B12A0F" w:rsidRPr="00795A89" w:rsidRDefault="00B12A0F" w:rsidP="00B12A0F">
      <w:pPr>
        <w:pStyle w:val="NoSpacing"/>
        <w:rPr>
          <w:rFonts w:ascii="Times New Roman" w:hAnsi="Times New Roman"/>
          <w:sz w:val="24"/>
          <w:szCs w:val="24"/>
        </w:rPr>
      </w:pPr>
      <w:r w:rsidRPr="00795A89">
        <w:rPr>
          <w:rFonts w:ascii="Times New Roman" w:hAnsi="Times New Roman"/>
          <w:sz w:val="24"/>
          <w:szCs w:val="24"/>
        </w:rPr>
        <w:t xml:space="preserve">were immediately taken to Henry Ford Hospital, where they both died a few days later. The chief of the Flint Fire Department, Raymond Barton, investigated the fire with emphasis on defendants’ performance. He prepared a report that included a statement from the lieutenant who led the crew that discovered the decedents during the secondary search. The lieutenant concluded that defendants could not have entered the bedroom where the decedents were found and missed </w:t>
      </w:r>
      <w:proofErr w:type="gramStart"/>
      <w:r w:rsidRPr="00795A89">
        <w:rPr>
          <w:rFonts w:ascii="Times New Roman" w:hAnsi="Times New Roman"/>
          <w:sz w:val="24"/>
          <w:szCs w:val="24"/>
        </w:rPr>
        <w:t>them, and</w:t>
      </w:r>
      <w:proofErr w:type="gramEnd"/>
      <w:r w:rsidRPr="00795A89">
        <w:rPr>
          <w:rFonts w:ascii="Times New Roman" w:hAnsi="Times New Roman"/>
          <w:sz w:val="24"/>
          <w:szCs w:val="24"/>
        </w:rPr>
        <w:t xml:space="preserve"> determined that defendants provided false statements about their search. After conducting his own independent investigation at the site of the fire and reviewing defendants’ incident write-up reports, Chief Barton likewise concluded that defendants made false</w:t>
      </w:r>
    </w:p>
    <w:p w14:paraId="394BD30C" w14:textId="02FD0C88" w:rsidR="00B12A0F" w:rsidRPr="00795A89" w:rsidRDefault="00B12A0F" w:rsidP="00B12A0F">
      <w:pPr>
        <w:pStyle w:val="NoSpacing"/>
        <w:rPr>
          <w:rFonts w:ascii="Times New Roman" w:hAnsi="Times New Roman"/>
          <w:sz w:val="24"/>
          <w:szCs w:val="24"/>
        </w:rPr>
      </w:pPr>
      <w:r w:rsidRPr="00795A89">
        <w:rPr>
          <w:rFonts w:ascii="Times New Roman" w:hAnsi="Times New Roman"/>
          <w:sz w:val="24"/>
          <w:szCs w:val="24"/>
        </w:rPr>
        <w:t>statements in their reports because, if defendants had searched the second floor in the way they</w:t>
      </w:r>
      <w:r w:rsidR="00795A89">
        <w:rPr>
          <w:rFonts w:ascii="Times New Roman" w:hAnsi="Times New Roman"/>
          <w:sz w:val="24"/>
          <w:szCs w:val="24"/>
        </w:rPr>
        <w:t xml:space="preserve"> </w:t>
      </w:r>
      <w:r w:rsidRPr="00795A89">
        <w:rPr>
          <w:rFonts w:ascii="Times New Roman" w:hAnsi="Times New Roman"/>
          <w:sz w:val="24"/>
          <w:szCs w:val="24"/>
        </w:rPr>
        <w:t>described, they would have found the decedents. The chief determined that, contrary to</w:t>
      </w:r>
      <w:r w:rsidR="00795A89">
        <w:rPr>
          <w:rFonts w:ascii="Times New Roman" w:hAnsi="Times New Roman"/>
          <w:sz w:val="24"/>
          <w:szCs w:val="24"/>
        </w:rPr>
        <w:t xml:space="preserve"> </w:t>
      </w:r>
      <w:r w:rsidRPr="00795A89">
        <w:rPr>
          <w:rFonts w:ascii="Times New Roman" w:hAnsi="Times New Roman"/>
          <w:sz w:val="24"/>
          <w:szCs w:val="24"/>
        </w:rPr>
        <w:t>defendants’ representations, they “neglected to perform the tasks of completing a sweep of the</w:t>
      </w:r>
      <w:r w:rsidR="00795A89">
        <w:rPr>
          <w:rFonts w:ascii="Times New Roman" w:hAnsi="Times New Roman"/>
          <w:sz w:val="24"/>
          <w:szCs w:val="24"/>
        </w:rPr>
        <w:t xml:space="preserve"> </w:t>
      </w:r>
      <w:r w:rsidRPr="00795A89">
        <w:rPr>
          <w:rFonts w:ascii="Times New Roman" w:hAnsi="Times New Roman"/>
          <w:sz w:val="24"/>
          <w:szCs w:val="24"/>
        </w:rPr>
        <w:t xml:space="preserve">second floor,” which led to a delay in finding the decedents. </w:t>
      </w:r>
      <w:proofErr w:type="gramStart"/>
      <w:r w:rsidRPr="00795A89">
        <w:rPr>
          <w:rFonts w:ascii="Times New Roman" w:hAnsi="Times New Roman"/>
          <w:sz w:val="24"/>
          <w:szCs w:val="24"/>
        </w:rPr>
        <w:t>On the basis of</w:t>
      </w:r>
      <w:proofErr w:type="gramEnd"/>
      <w:r w:rsidRPr="00795A89">
        <w:rPr>
          <w:rFonts w:ascii="Times New Roman" w:hAnsi="Times New Roman"/>
          <w:sz w:val="24"/>
          <w:szCs w:val="24"/>
        </w:rPr>
        <w:t xml:space="preserve"> his findings, Chief</w:t>
      </w:r>
      <w:r w:rsidR="00795A89">
        <w:rPr>
          <w:rFonts w:ascii="Times New Roman" w:hAnsi="Times New Roman"/>
          <w:sz w:val="24"/>
          <w:szCs w:val="24"/>
        </w:rPr>
        <w:t xml:space="preserve"> </w:t>
      </w:r>
      <w:r w:rsidRPr="00795A89">
        <w:rPr>
          <w:rFonts w:ascii="Times New Roman" w:hAnsi="Times New Roman"/>
          <w:sz w:val="24"/>
          <w:szCs w:val="24"/>
        </w:rPr>
        <w:t xml:space="preserve">Barton terminated defendants’ employment with the Flint Fire Department. *** Plaintiff’s amended complaint does not allege that defendants had an affirmative duty to protect the decedents from harm but that defendants had a duty to use due care when conducting their search of the second floor of plaintiff’s home. Accordingly, the lack of a special relationship between defendants and the decedents is not dispositive to whether defendants owed a duty to the decedents. Instead, for the reasons explained, we conclude that defendants had a duty to conduct their search of the decedents’ home in a manner that was not grossly negligent. Plaintiff’s amended complaint alleges that defendants breached this duty, and that is sufficient to survive defendants’ motion for summary disposition at this early stage in the litigation.” </w:t>
      </w:r>
      <w:hyperlink r:id="rId872" w:history="1">
        <w:r w:rsidRPr="00795A89">
          <w:rPr>
            <w:rStyle w:val="Hyperlink"/>
            <w:rFonts w:ascii="Times New Roman" w:hAnsi="Times New Roman"/>
            <w:sz w:val="24"/>
            <w:szCs w:val="24"/>
          </w:rPr>
          <w:t>https://cases.justia.com/michigan/court-of-appeals-unpublished/2025-368583.pdf?ts=1747314007</w:t>
        </w:r>
      </w:hyperlink>
      <w:r w:rsidRPr="00795A89">
        <w:rPr>
          <w:rFonts w:ascii="Times New Roman" w:hAnsi="Times New Roman"/>
          <w:sz w:val="24"/>
          <w:szCs w:val="24"/>
        </w:rPr>
        <w:t xml:space="preserve"> </w:t>
      </w:r>
    </w:p>
    <w:p w14:paraId="2CEC4CFA" w14:textId="77777777" w:rsidR="00B12A0F" w:rsidRPr="00795A89" w:rsidRDefault="00B12A0F" w:rsidP="00B12A0F">
      <w:pPr>
        <w:pStyle w:val="NoSpacing"/>
        <w:rPr>
          <w:rFonts w:ascii="Times New Roman" w:hAnsi="Times New Roman"/>
          <w:sz w:val="24"/>
          <w:szCs w:val="24"/>
        </w:rPr>
      </w:pPr>
    </w:p>
    <w:p w14:paraId="762B9C97" w14:textId="77777777" w:rsidR="00744788" w:rsidRPr="00744788" w:rsidRDefault="00744788" w:rsidP="00744788">
      <w:pPr>
        <w:pStyle w:val="NoSpacing"/>
        <w:rPr>
          <w:rFonts w:ascii="Times New Roman" w:hAnsi="Times New Roman"/>
          <w:sz w:val="24"/>
          <w:szCs w:val="24"/>
        </w:rPr>
      </w:pPr>
      <w:r w:rsidRPr="00744788">
        <w:rPr>
          <w:rFonts w:ascii="Times New Roman" w:hAnsi="Times New Roman"/>
          <w:b/>
          <w:sz w:val="24"/>
          <w:szCs w:val="24"/>
        </w:rPr>
        <w:t xml:space="preserve">Legal Lesson Learned: Immunity denied; sufficient evidence of gross negligence for case to go to a jury.  </w:t>
      </w:r>
    </w:p>
    <w:p w14:paraId="022348A4" w14:textId="77777777" w:rsidR="00744788" w:rsidRPr="00744788" w:rsidRDefault="00744788" w:rsidP="00744788">
      <w:pPr>
        <w:pStyle w:val="NoSpacing"/>
        <w:rPr>
          <w:rFonts w:ascii="Times New Roman" w:hAnsi="Times New Roman"/>
          <w:sz w:val="24"/>
          <w:szCs w:val="24"/>
        </w:rPr>
      </w:pPr>
    </w:p>
    <w:p w14:paraId="1EA671C1" w14:textId="77777777" w:rsidR="00744788" w:rsidRPr="00744788" w:rsidRDefault="00744788" w:rsidP="00744788">
      <w:pPr>
        <w:pStyle w:val="NoSpacing"/>
        <w:ind w:left="720"/>
        <w:rPr>
          <w:rFonts w:ascii="Times New Roman" w:hAnsi="Times New Roman"/>
          <w:b/>
          <w:bCs/>
          <w:sz w:val="24"/>
          <w:szCs w:val="24"/>
        </w:rPr>
      </w:pPr>
      <w:r w:rsidRPr="00744788">
        <w:rPr>
          <w:rFonts w:ascii="Times New Roman" w:hAnsi="Times New Roman"/>
          <w:sz w:val="24"/>
          <w:szCs w:val="24"/>
        </w:rPr>
        <w:t xml:space="preserve">Note: See May 15, </w:t>
      </w:r>
      <w:proofErr w:type="gramStart"/>
      <w:r w:rsidRPr="00744788">
        <w:rPr>
          <w:rFonts w:ascii="Times New Roman" w:hAnsi="Times New Roman"/>
          <w:sz w:val="24"/>
          <w:szCs w:val="24"/>
        </w:rPr>
        <w:t>2025</w:t>
      </w:r>
      <w:proofErr w:type="gramEnd"/>
      <w:r w:rsidRPr="00744788">
        <w:rPr>
          <w:rFonts w:ascii="Times New Roman" w:hAnsi="Times New Roman"/>
          <w:sz w:val="24"/>
          <w:szCs w:val="24"/>
        </w:rPr>
        <w:t xml:space="preserve"> article, “Lawsuit Against MI Firefighters Who Issued All-Clear at Fatal Fire Can Continue.” </w:t>
      </w:r>
      <w:hyperlink r:id="rId873" w:history="1">
        <w:r w:rsidRPr="00744788">
          <w:rPr>
            <w:rStyle w:val="Hyperlink"/>
            <w:rFonts w:ascii="Times New Roman" w:hAnsi="Times New Roman"/>
            <w:sz w:val="24"/>
            <w:szCs w:val="24"/>
          </w:rPr>
          <w:t>https://www.fireengineering.com/firefighting/lawsuit-against-mi-firefighters-who-issued-all-clear-at-fatal-fire-can-continue/?utm_source=fe_daily_newsletter&amp;utm_medium=email&amp;utm_campaign</w:t>
        </w:r>
      </w:hyperlink>
    </w:p>
    <w:p w14:paraId="7266B91A" w14:textId="77777777" w:rsidR="00744788" w:rsidRPr="00744788" w:rsidRDefault="00744788" w:rsidP="00744788">
      <w:pPr>
        <w:pStyle w:val="NoSpacing"/>
        <w:rPr>
          <w:rFonts w:ascii="Times New Roman" w:hAnsi="Times New Roman"/>
          <w:bCs/>
          <w:sz w:val="24"/>
          <w:szCs w:val="24"/>
        </w:rPr>
      </w:pPr>
    </w:p>
    <w:p w14:paraId="5A6F2008" w14:textId="77777777" w:rsidR="00B12A0F" w:rsidRDefault="00B12A0F" w:rsidP="002B1283">
      <w:pPr>
        <w:rPr>
          <w:rStyle w:val="Hyperlink"/>
          <w:rFonts w:ascii="Arial Black" w:hAnsi="Arial Black"/>
          <w:b/>
          <w:color w:val="auto"/>
          <w:sz w:val="24"/>
          <w:szCs w:val="24"/>
          <w:u w:val="none"/>
        </w:rPr>
      </w:pPr>
    </w:p>
    <w:p w14:paraId="40E24AFF" w14:textId="77777777" w:rsidR="00B12A0F" w:rsidRDefault="00B12A0F" w:rsidP="002B1283">
      <w:pPr>
        <w:rPr>
          <w:rStyle w:val="Hyperlink"/>
          <w:rFonts w:ascii="Arial Black" w:hAnsi="Arial Black"/>
          <w:b/>
          <w:color w:val="auto"/>
          <w:sz w:val="24"/>
          <w:szCs w:val="24"/>
          <w:u w:val="none"/>
        </w:rPr>
      </w:pPr>
    </w:p>
    <w:p w14:paraId="21C60F9B" w14:textId="1EF53AED" w:rsidR="009B5296" w:rsidRDefault="009B5296"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4-45</w:t>
      </w:r>
    </w:p>
    <w:p w14:paraId="77F8E79C" w14:textId="77777777" w:rsidR="005035FF" w:rsidRPr="00CE29BB" w:rsidRDefault="005035FF" w:rsidP="005035FF">
      <w:pPr>
        <w:rPr>
          <w:rFonts w:ascii="Arial Black" w:hAnsi="Arial Black"/>
          <w:b/>
          <w:sz w:val="28"/>
          <w:szCs w:val="28"/>
        </w:rPr>
      </w:pPr>
      <w:r>
        <w:rPr>
          <w:rFonts w:ascii="Arial Black" w:hAnsi="Arial Black"/>
          <w:b/>
          <w:sz w:val="28"/>
          <w:szCs w:val="28"/>
        </w:rPr>
        <w:t>U.S. SUP. CT: NOT HEAR HOMEOWNER’S APPEAL - SWAT $50K DAMAGE - 5</w:t>
      </w:r>
      <w:r w:rsidRPr="00C05043">
        <w:rPr>
          <w:rFonts w:ascii="Arial Black" w:hAnsi="Arial Black"/>
          <w:b/>
          <w:sz w:val="28"/>
          <w:szCs w:val="28"/>
          <w:vertAlign w:val="superscript"/>
        </w:rPr>
        <w:t>th</w:t>
      </w:r>
      <w:r>
        <w:rPr>
          <w:rFonts w:ascii="Arial Black" w:hAnsi="Arial Black"/>
          <w:b/>
          <w:sz w:val="28"/>
          <w:szCs w:val="28"/>
        </w:rPr>
        <w:t xml:space="preserve"> CIR: CITY NOT LIABLE / “EMERGENCY” </w:t>
      </w:r>
    </w:p>
    <w:p w14:paraId="3B2E8E5D" w14:textId="22DA3FD0" w:rsidR="009B5296" w:rsidRPr="00965945" w:rsidRDefault="005035FF" w:rsidP="005035FF">
      <w:pPr>
        <w:rPr>
          <w:rStyle w:val="Hyperlink"/>
          <w:rFonts w:ascii="Times New Roman" w:hAnsi="Times New Roman"/>
          <w:sz w:val="24"/>
          <w:szCs w:val="24"/>
        </w:rPr>
      </w:pPr>
      <w:r w:rsidRPr="00965945">
        <w:rPr>
          <w:rFonts w:ascii="Times New Roman" w:hAnsi="Times New Roman"/>
          <w:sz w:val="24"/>
          <w:szCs w:val="24"/>
        </w:rPr>
        <w:lastRenderedPageBreak/>
        <w:t xml:space="preserve">On Nov. 25, 2024, in </w:t>
      </w:r>
      <w:r w:rsidRPr="00965945">
        <w:rPr>
          <w:rFonts w:ascii="Times New Roman" w:hAnsi="Times New Roman"/>
          <w:sz w:val="24"/>
          <w:szCs w:val="24"/>
          <w:u w:val="single"/>
        </w:rPr>
        <w:t>Vicki Baker v. City of McKinley, Texas</w:t>
      </w:r>
      <w:r w:rsidRPr="00965945">
        <w:rPr>
          <w:rFonts w:ascii="Times New Roman" w:hAnsi="Times New Roman"/>
          <w:sz w:val="24"/>
          <w:szCs w:val="24"/>
        </w:rPr>
        <w:t>, the U.S. Supreme Court declined to hear the appeal of the homeowner (need at least 4 or 9 Justices to agree to hear case by issuing a Writ of Certiorari).  The homeowner won a jury verdict of about $60,000, but this was reversed by the 5</w:t>
      </w:r>
      <w:r w:rsidRPr="00965945">
        <w:rPr>
          <w:rFonts w:ascii="Times New Roman" w:hAnsi="Times New Roman"/>
          <w:sz w:val="24"/>
          <w:szCs w:val="24"/>
          <w:vertAlign w:val="superscript"/>
        </w:rPr>
        <w:t>th</w:t>
      </w:r>
      <w:r w:rsidRPr="00965945">
        <w:rPr>
          <w:rFonts w:ascii="Times New Roman" w:hAnsi="Times New Roman"/>
          <w:sz w:val="24"/>
          <w:szCs w:val="24"/>
        </w:rPr>
        <w:t xml:space="preserve"> Circuit.  U.S. Supreme Court Justice Sonia Maria Sotomayor, joined by Justice Neil Gorsuch, filed a statement urging the Court to hear the appeal.  The Justice wrote: “By the time the officers gained entry, </w:t>
      </w:r>
      <w:proofErr w:type="gramStart"/>
      <w:r w:rsidRPr="00965945">
        <w:rPr>
          <w:rFonts w:ascii="Times New Roman" w:hAnsi="Times New Roman"/>
          <w:sz w:val="24"/>
          <w:szCs w:val="24"/>
        </w:rPr>
        <w:t>Little</w:t>
      </w:r>
      <w:proofErr w:type="gramEnd"/>
      <w:r w:rsidRPr="00965945">
        <w:rPr>
          <w:rFonts w:ascii="Times New Roman" w:hAnsi="Times New Roman"/>
          <w:sz w:val="24"/>
          <w:szCs w:val="24"/>
        </w:rPr>
        <w:t xml:space="preserve"> had taken his own life.  [Little was a fugitive who had kidnapped 15-year-old girl; he had previously done some construction work at house before Baker fired him.] All agree that the McKinney police acted properly that day and that their actions were necessary to prevent harm to themselves and the public. *** The Court’s denial of certiorari expresses no view on the merits of the decision below. I write separately to emphasize that petitioner raises a serious question: whether the Takings Clause permits the government to destroy private property without paying just compensation, </w:t>
      </w:r>
      <w:proofErr w:type="gramStart"/>
      <w:r w:rsidRPr="00965945">
        <w:rPr>
          <w:rFonts w:ascii="Times New Roman" w:hAnsi="Times New Roman"/>
          <w:sz w:val="24"/>
          <w:szCs w:val="24"/>
        </w:rPr>
        <w:t>as long as</w:t>
      </w:r>
      <w:proofErr w:type="gramEnd"/>
      <w:r w:rsidRPr="00965945">
        <w:rPr>
          <w:rFonts w:ascii="Times New Roman" w:hAnsi="Times New Roman"/>
          <w:sz w:val="24"/>
          <w:szCs w:val="24"/>
        </w:rPr>
        <w:t xml:space="preserve"> the government had no choice but to do so.”  </w:t>
      </w:r>
      <w:hyperlink r:id="rId874" w:history="1">
        <w:r w:rsidRPr="00965945">
          <w:rPr>
            <w:rStyle w:val="Hyperlink"/>
            <w:rFonts w:ascii="Times New Roman" w:hAnsi="Times New Roman"/>
            <w:sz w:val="24"/>
            <w:szCs w:val="24"/>
          </w:rPr>
          <w:t>https://www.supremecourt.gov/opinions/24pdf/23-1363_d1o3.pdf</w:t>
        </w:r>
      </w:hyperlink>
    </w:p>
    <w:p w14:paraId="7E88F895" w14:textId="77777777" w:rsidR="00965945" w:rsidRPr="00965945" w:rsidRDefault="00965945" w:rsidP="00965945">
      <w:pPr>
        <w:pStyle w:val="NoSpacing"/>
        <w:rPr>
          <w:rFonts w:ascii="Times New Roman" w:hAnsi="Times New Roman"/>
          <w:b/>
          <w:bCs/>
          <w:sz w:val="24"/>
          <w:szCs w:val="24"/>
        </w:rPr>
      </w:pPr>
      <w:r w:rsidRPr="00965945">
        <w:rPr>
          <w:rFonts w:ascii="Times New Roman" w:hAnsi="Times New Roman"/>
          <w:b/>
          <w:sz w:val="24"/>
          <w:szCs w:val="24"/>
        </w:rPr>
        <w:t>Legal Lesson Learned: Fire &amp; EMS on occasion may need to force their way into a home.  The 5</w:t>
      </w:r>
      <w:r w:rsidRPr="00965945">
        <w:rPr>
          <w:rFonts w:ascii="Times New Roman" w:hAnsi="Times New Roman"/>
          <w:b/>
          <w:sz w:val="24"/>
          <w:szCs w:val="24"/>
          <w:vertAlign w:val="superscript"/>
        </w:rPr>
        <w:t>th</w:t>
      </w:r>
      <w:r w:rsidRPr="00965945">
        <w:rPr>
          <w:rFonts w:ascii="Times New Roman" w:hAnsi="Times New Roman"/>
          <w:b/>
          <w:sz w:val="24"/>
          <w:szCs w:val="24"/>
        </w:rPr>
        <w:t xml:space="preserve"> Circuit standard of “objectively necessary” may be a precedent that a municipality can cite in refusing to pay for the damage.</w:t>
      </w:r>
    </w:p>
    <w:p w14:paraId="67B55E78" w14:textId="77777777" w:rsidR="00965945" w:rsidRPr="00965945" w:rsidRDefault="00965945" w:rsidP="00965945">
      <w:pPr>
        <w:ind w:left="720"/>
        <w:rPr>
          <w:rFonts w:ascii="Times New Roman" w:hAnsi="Times New Roman"/>
          <w:sz w:val="24"/>
          <w:szCs w:val="24"/>
        </w:rPr>
      </w:pPr>
    </w:p>
    <w:p w14:paraId="33F602A0" w14:textId="77777777" w:rsidR="00965945" w:rsidRPr="00965945" w:rsidRDefault="00965945" w:rsidP="00965945">
      <w:pPr>
        <w:ind w:left="720"/>
        <w:rPr>
          <w:rFonts w:ascii="Times New Roman" w:hAnsi="Times New Roman"/>
          <w:b/>
          <w:sz w:val="24"/>
          <w:szCs w:val="24"/>
        </w:rPr>
      </w:pPr>
      <w:r w:rsidRPr="00965945">
        <w:rPr>
          <w:rFonts w:ascii="Times New Roman" w:hAnsi="Times New Roman"/>
          <w:sz w:val="24"/>
          <w:szCs w:val="24"/>
        </w:rPr>
        <w:t xml:space="preserve">Note: See Nov. 25, </w:t>
      </w:r>
      <w:proofErr w:type="gramStart"/>
      <w:r w:rsidRPr="00965945">
        <w:rPr>
          <w:rFonts w:ascii="Times New Roman" w:hAnsi="Times New Roman"/>
          <w:sz w:val="24"/>
          <w:szCs w:val="24"/>
        </w:rPr>
        <w:t>2024</w:t>
      </w:r>
      <w:proofErr w:type="gramEnd"/>
      <w:r w:rsidRPr="00965945">
        <w:rPr>
          <w:rFonts w:ascii="Times New Roman" w:hAnsi="Times New Roman"/>
          <w:sz w:val="24"/>
          <w:szCs w:val="24"/>
        </w:rPr>
        <w:t xml:space="preserve"> article and photo of house. </w:t>
      </w:r>
      <w:r w:rsidRPr="00965945">
        <w:rPr>
          <w:rFonts w:ascii="Times New Roman" w:hAnsi="Times New Roman"/>
          <w:bCs/>
          <w:sz w:val="24"/>
          <w:szCs w:val="24"/>
        </w:rPr>
        <w:t xml:space="preserve">“Supreme Court won't hear case of woman whose former McKinney home was 'destroyed' by SWAT team during hostage standoff.” </w:t>
      </w:r>
      <w:hyperlink r:id="rId875" w:history="1">
        <w:r w:rsidRPr="00965945">
          <w:rPr>
            <w:rStyle w:val="Hyperlink"/>
            <w:rFonts w:ascii="Times New Roman" w:hAnsi="Times New Roman"/>
            <w:bCs/>
            <w:sz w:val="24"/>
            <w:szCs w:val="24"/>
          </w:rPr>
          <w:t>https://www.wfaa.com/article/news/local/collin-county/supreme-court-declines-case-swat-team-mckinney-hostage-standoff/287-73f00e4e-b131-4285-b541-236c48ef79d0</w:t>
        </w:r>
      </w:hyperlink>
      <w:r w:rsidRPr="00965945">
        <w:rPr>
          <w:rFonts w:ascii="Times New Roman" w:hAnsi="Times New Roman"/>
          <w:b/>
          <w:sz w:val="24"/>
          <w:szCs w:val="24"/>
        </w:rPr>
        <w:t xml:space="preserve"> </w:t>
      </w:r>
    </w:p>
    <w:p w14:paraId="7FCF9694" w14:textId="77777777" w:rsidR="00965945" w:rsidRPr="00965945" w:rsidRDefault="00965945" w:rsidP="00965945">
      <w:pPr>
        <w:pStyle w:val="NoSpacing"/>
        <w:ind w:left="720"/>
        <w:rPr>
          <w:rFonts w:ascii="Times New Roman" w:hAnsi="Times New Roman"/>
          <w:sz w:val="24"/>
          <w:szCs w:val="24"/>
        </w:rPr>
      </w:pPr>
    </w:p>
    <w:p w14:paraId="59D09F87" w14:textId="77777777" w:rsidR="00965945" w:rsidRPr="00965945" w:rsidRDefault="00965945" w:rsidP="00965945">
      <w:pPr>
        <w:pStyle w:val="NoSpacing"/>
        <w:ind w:left="720"/>
        <w:rPr>
          <w:rFonts w:ascii="Times New Roman" w:hAnsi="Times New Roman"/>
          <w:sz w:val="24"/>
          <w:szCs w:val="24"/>
        </w:rPr>
      </w:pPr>
      <w:r w:rsidRPr="00965945">
        <w:rPr>
          <w:rFonts w:ascii="Times New Roman" w:hAnsi="Times New Roman"/>
          <w:sz w:val="24"/>
          <w:szCs w:val="24"/>
        </w:rPr>
        <w:t>See the 5</w:t>
      </w:r>
      <w:r w:rsidRPr="00965945">
        <w:rPr>
          <w:rFonts w:ascii="Times New Roman" w:hAnsi="Times New Roman"/>
          <w:sz w:val="24"/>
          <w:szCs w:val="24"/>
          <w:vertAlign w:val="superscript"/>
        </w:rPr>
        <w:t>th</w:t>
      </w:r>
      <w:r w:rsidRPr="00965945">
        <w:rPr>
          <w:rFonts w:ascii="Times New Roman" w:hAnsi="Times New Roman"/>
          <w:sz w:val="24"/>
          <w:szCs w:val="24"/>
        </w:rPr>
        <w:t xml:space="preserve"> Circuit’s decision, Oct. 11, 2023. </w:t>
      </w:r>
      <w:hyperlink r:id="rId876" w:history="1">
        <w:r w:rsidRPr="00965945">
          <w:rPr>
            <w:rStyle w:val="Hyperlink"/>
            <w:rFonts w:ascii="Times New Roman" w:hAnsi="Times New Roman"/>
            <w:sz w:val="24"/>
            <w:szCs w:val="24"/>
          </w:rPr>
          <w:t>https://www.ca5.uscourts.gov/opinions/pub/22/22-40644-CV0.pdf</w:t>
        </w:r>
      </w:hyperlink>
      <w:r w:rsidRPr="00965945">
        <w:rPr>
          <w:rFonts w:ascii="Times New Roman" w:hAnsi="Times New Roman"/>
          <w:sz w:val="24"/>
          <w:szCs w:val="24"/>
        </w:rPr>
        <w:t xml:space="preserve">  </w:t>
      </w:r>
    </w:p>
    <w:p w14:paraId="3384F04F" w14:textId="77777777" w:rsidR="00965945" w:rsidRPr="00965945" w:rsidRDefault="00965945" w:rsidP="00965945">
      <w:pPr>
        <w:pStyle w:val="NoSpacing"/>
        <w:ind w:left="720"/>
        <w:rPr>
          <w:rFonts w:ascii="Times New Roman" w:hAnsi="Times New Roman"/>
          <w:sz w:val="24"/>
          <w:szCs w:val="24"/>
        </w:rPr>
      </w:pPr>
      <w:r w:rsidRPr="00965945">
        <w:rPr>
          <w:rFonts w:ascii="Times New Roman" w:hAnsi="Times New Roman"/>
          <w:sz w:val="24"/>
          <w:szCs w:val="24"/>
        </w:rPr>
        <w:t xml:space="preserve">“Little somehow ‘communicated to’ police that he ‘had terminal cancer, wasn’t going back to prison, knew he was going to die, was going to shoot it out with the police.’ Police proceeded to use explosive devices, the </w:t>
      </w:r>
      <w:proofErr w:type="spellStart"/>
      <w:r w:rsidRPr="00965945">
        <w:rPr>
          <w:rFonts w:ascii="Times New Roman" w:hAnsi="Times New Roman"/>
          <w:sz w:val="24"/>
          <w:szCs w:val="24"/>
        </w:rPr>
        <w:t>BearCat</w:t>
      </w:r>
      <w:proofErr w:type="spellEnd"/>
      <w:r w:rsidRPr="00965945">
        <w:rPr>
          <w:rFonts w:ascii="Times New Roman" w:hAnsi="Times New Roman"/>
          <w:sz w:val="24"/>
          <w:szCs w:val="24"/>
        </w:rPr>
        <w:t>, a T-Rex (</w:t>
      </w:r>
      <w:proofErr w:type="gramStart"/>
      <w:r w:rsidRPr="00965945">
        <w:rPr>
          <w:rFonts w:ascii="Times New Roman" w:hAnsi="Times New Roman"/>
          <w:sz w:val="24"/>
          <w:szCs w:val="24"/>
        </w:rPr>
        <w:t>similar to</w:t>
      </w:r>
      <w:proofErr w:type="gramEnd"/>
      <w:r w:rsidRPr="00965945">
        <w:rPr>
          <w:rFonts w:ascii="Times New Roman" w:hAnsi="Times New Roman"/>
          <w:sz w:val="24"/>
          <w:szCs w:val="24"/>
        </w:rPr>
        <w:t xml:space="preserve"> the </w:t>
      </w:r>
      <w:proofErr w:type="spellStart"/>
      <w:r w:rsidRPr="00965945">
        <w:rPr>
          <w:rFonts w:ascii="Times New Roman" w:hAnsi="Times New Roman"/>
          <w:sz w:val="24"/>
          <w:szCs w:val="24"/>
        </w:rPr>
        <w:t>BearCat</w:t>
      </w:r>
      <w:proofErr w:type="spellEnd"/>
      <w:r w:rsidRPr="00965945">
        <w:rPr>
          <w:rFonts w:ascii="Times New Roman" w:hAnsi="Times New Roman"/>
          <w:sz w:val="24"/>
          <w:szCs w:val="24"/>
        </w:rPr>
        <w:t>), toxic gas grenades, and a drone to try to resolve the situation. After some time, the drone was able to reach a vantage point to see that Little had taken his own life. *** Nevertheless, the damage to Baker’s home was severe. As the district court explained, quoting Baker’s motion for summary judgment, ‘[m]</w:t>
      </w:r>
      <w:proofErr w:type="spellStart"/>
      <w:r w:rsidRPr="00965945">
        <w:rPr>
          <w:rFonts w:ascii="Times New Roman" w:hAnsi="Times New Roman"/>
          <w:sz w:val="24"/>
          <w:szCs w:val="24"/>
        </w:rPr>
        <w:t>uch</w:t>
      </w:r>
      <w:proofErr w:type="spellEnd"/>
      <w:r w:rsidRPr="00965945">
        <w:rPr>
          <w:rFonts w:ascii="Times New Roman" w:hAnsi="Times New Roman"/>
          <w:sz w:val="24"/>
          <w:szCs w:val="24"/>
        </w:rPr>
        <w:t xml:space="preserve"> of the damage went beyond what could be captured visually.’ Specifically, </w:t>
      </w:r>
      <w:proofErr w:type="gramStart"/>
      <w:r w:rsidRPr="00965945">
        <w:rPr>
          <w:rFonts w:ascii="Times New Roman" w:hAnsi="Times New Roman"/>
          <w:sz w:val="24"/>
          <w:szCs w:val="24"/>
        </w:rPr>
        <w:t>The</w:t>
      </w:r>
      <w:proofErr w:type="gramEnd"/>
      <w:r w:rsidRPr="00965945">
        <w:rPr>
          <w:rFonts w:ascii="Times New Roman" w:hAnsi="Times New Roman"/>
          <w:sz w:val="24"/>
          <w:szCs w:val="24"/>
        </w:rPr>
        <w:t xml:space="preserve"> explosions left Baker’s dog permanently blind and deaf. The toxic gas that permeated the House required the services of a HAZMAT remediation team. Appliances and fabrics were irreparable. Ceiling fans, plumbing, floors (hard surfaces as well as carpet), and bricks needed to be replaced—in addition to the windows, blinds, fence, front door, and garage door. Essentially </w:t>
      </w:r>
      <w:proofErr w:type="gramStart"/>
      <w:r w:rsidRPr="00965945">
        <w:rPr>
          <w:rFonts w:ascii="Times New Roman" w:hAnsi="Times New Roman"/>
          <w:sz w:val="24"/>
          <w:szCs w:val="24"/>
        </w:rPr>
        <w:t>all of</w:t>
      </w:r>
      <w:proofErr w:type="gramEnd"/>
      <w:r w:rsidRPr="00965945">
        <w:rPr>
          <w:rFonts w:ascii="Times New Roman" w:hAnsi="Times New Roman"/>
          <w:sz w:val="24"/>
          <w:szCs w:val="24"/>
        </w:rPr>
        <w:t xml:space="preserve"> the personal property in the House was destroyed, including an antique doll collection left </w:t>
      </w:r>
      <w:proofErr w:type="gramStart"/>
      <w:r w:rsidRPr="00965945">
        <w:rPr>
          <w:rFonts w:ascii="Times New Roman" w:hAnsi="Times New Roman"/>
          <w:sz w:val="24"/>
          <w:szCs w:val="24"/>
        </w:rPr>
        <w:t>to</w:t>
      </w:r>
      <w:proofErr w:type="gramEnd"/>
      <w:r w:rsidRPr="00965945">
        <w:rPr>
          <w:rFonts w:ascii="Times New Roman" w:hAnsi="Times New Roman"/>
          <w:sz w:val="24"/>
          <w:szCs w:val="24"/>
        </w:rPr>
        <w:t xml:space="preserve"> Baker by her mother. In total, the damage . . . was approximately $50,000.”</w:t>
      </w:r>
    </w:p>
    <w:p w14:paraId="5EBFC8D8" w14:textId="77777777" w:rsidR="00965945" w:rsidRDefault="00965945" w:rsidP="005035FF">
      <w:pPr>
        <w:rPr>
          <w:rStyle w:val="Hyperlink"/>
          <w:rFonts w:ascii="Arial Black" w:hAnsi="Arial Black"/>
          <w:b/>
          <w:color w:val="auto"/>
          <w:sz w:val="24"/>
          <w:szCs w:val="24"/>
          <w:u w:val="none"/>
        </w:rPr>
      </w:pPr>
    </w:p>
    <w:p w14:paraId="3669CB2D" w14:textId="77777777" w:rsidR="009B5296" w:rsidRDefault="009B5296" w:rsidP="002B1283">
      <w:pPr>
        <w:rPr>
          <w:rStyle w:val="Hyperlink"/>
          <w:rFonts w:ascii="Arial Black" w:hAnsi="Arial Black"/>
          <w:b/>
          <w:color w:val="auto"/>
          <w:sz w:val="24"/>
          <w:szCs w:val="24"/>
          <w:u w:val="none"/>
        </w:rPr>
      </w:pPr>
    </w:p>
    <w:p w14:paraId="3670EB43" w14:textId="041861BA" w:rsidR="00B34A49" w:rsidRDefault="00B34A49"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w:t>
      </w:r>
      <w:r w:rsidR="0075297C">
        <w:rPr>
          <w:rStyle w:val="Hyperlink"/>
          <w:rFonts w:ascii="Arial Black" w:hAnsi="Arial Black"/>
          <w:b/>
          <w:color w:val="auto"/>
          <w:sz w:val="24"/>
          <w:szCs w:val="24"/>
          <w:u w:val="none"/>
        </w:rPr>
        <w:t>4</w:t>
      </w:r>
    </w:p>
    <w:p w14:paraId="6B96DD16" w14:textId="0874E5D0" w:rsidR="00165A41" w:rsidRPr="005B675E" w:rsidRDefault="00165A41" w:rsidP="00165A41">
      <w:pPr>
        <w:pStyle w:val="NoSpacing"/>
        <w:rPr>
          <w:rFonts w:ascii="Arial Black" w:hAnsi="Arial Black"/>
          <w:b/>
          <w:bCs/>
          <w:sz w:val="28"/>
          <w:szCs w:val="28"/>
        </w:rPr>
      </w:pPr>
      <w:r w:rsidRPr="005B675E">
        <w:rPr>
          <w:rFonts w:ascii="Arial Black" w:hAnsi="Arial Black"/>
          <w:b/>
          <w:bCs/>
          <w:sz w:val="28"/>
          <w:szCs w:val="28"/>
        </w:rPr>
        <w:t>MA: CAPTAIN NOT PROMOTED DC - 5 PROMOTED – POOR ANSWER INCIDENT COMMAND QUESTION / PRIOR FIRE</w:t>
      </w:r>
      <w:r w:rsidR="00607FA6" w:rsidRPr="005B675E">
        <w:rPr>
          <w:rFonts w:ascii="Arial Black" w:hAnsi="Arial Black"/>
          <w:b/>
          <w:bCs/>
          <w:sz w:val="28"/>
          <w:szCs w:val="28"/>
        </w:rPr>
        <w:t xml:space="preserve"> </w:t>
      </w:r>
    </w:p>
    <w:p w14:paraId="15AC8F0E" w14:textId="77777777" w:rsidR="00165A41" w:rsidRPr="00A445BE" w:rsidRDefault="00165A41" w:rsidP="00165A41">
      <w:pPr>
        <w:pStyle w:val="NoSpacing"/>
        <w:rPr>
          <w:rFonts w:ascii="Times New Roman" w:hAnsi="Times New Roman"/>
          <w:sz w:val="24"/>
          <w:szCs w:val="24"/>
        </w:rPr>
      </w:pPr>
    </w:p>
    <w:p w14:paraId="17F8BB85" w14:textId="77777777" w:rsidR="00165A41" w:rsidRPr="00A445BE" w:rsidRDefault="00165A41" w:rsidP="00165A41">
      <w:pPr>
        <w:pStyle w:val="NoSpacing"/>
        <w:rPr>
          <w:rFonts w:ascii="Times New Roman" w:hAnsi="Times New Roman"/>
          <w:sz w:val="24"/>
          <w:szCs w:val="24"/>
        </w:rPr>
      </w:pPr>
      <w:r w:rsidRPr="00A445BE">
        <w:rPr>
          <w:rFonts w:ascii="Times New Roman" w:hAnsi="Times New Roman"/>
          <w:sz w:val="24"/>
          <w:szCs w:val="24"/>
        </w:rPr>
        <w:t xml:space="preserve">On Oct. 11, 2024. in </w:t>
      </w:r>
      <w:r w:rsidRPr="00A445BE">
        <w:rPr>
          <w:rFonts w:ascii="Times New Roman" w:hAnsi="Times New Roman"/>
          <w:sz w:val="24"/>
          <w:szCs w:val="24"/>
          <w:u w:val="single"/>
        </w:rPr>
        <w:t>Pierre Grenier v. Civil Service Commission and City of Springfield</w:t>
      </w:r>
      <w:r w:rsidRPr="00A445BE">
        <w:rPr>
          <w:rFonts w:ascii="Times New Roman" w:hAnsi="Times New Roman"/>
          <w:sz w:val="24"/>
          <w:szCs w:val="24"/>
        </w:rPr>
        <w:t>, the Massachusetts Appeals Court held: “The plaintiff, Pierre Grenier, appeals from an order of a</w:t>
      </w:r>
    </w:p>
    <w:p w14:paraId="3C3E8FF8" w14:textId="77777777" w:rsidR="00165A41" w:rsidRPr="00A445BE" w:rsidRDefault="00165A41" w:rsidP="00165A41">
      <w:pPr>
        <w:pStyle w:val="NoSpacing"/>
        <w:rPr>
          <w:rFonts w:ascii="Times New Roman" w:hAnsi="Times New Roman"/>
          <w:sz w:val="24"/>
          <w:szCs w:val="24"/>
        </w:rPr>
      </w:pPr>
      <w:r w:rsidRPr="00A445BE">
        <w:rPr>
          <w:rFonts w:ascii="Times New Roman" w:hAnsi="Times New Roman"/>
          <w:sz w:val="24"/>
          <w:szCs w:val="24"/>
        </w:rPr>
        <w:lastRenderedPageBreak/>
        <w:t>judge of the Superior Court granting judgment in favor of the defendants, the Civil Service Commission (commission) and the city of Springfield (city). The judge affirmed the decision of</w:t>
      </w:r>
    </w:p>
    <w:p w14:paraId="4725EED7" w14:textId="77777777" w:rsidR="00165A41" w:rsidRPr="00A445BE" w:rsidRDefault="00165A41" w:rsidP="00165A41">
      <w:pPr>
        <w:pStyle w:val="NoSpacing"/>
        <w:rPr>
          <w:rFonts w:ascii="Times New Roman" w:hAnsi="Times New Roman"/>
          <w:sz w:val="24"/>
          <w:szCs w:val="24"/>
        </w:rPr>
      </w:pPr>
      <w:r w:rsidRPr="00A445BE">
        <w:rPr>
          <w:rFonts w:ascii="Times New Roman" w:hAnsi="Times New Roman"/>
          <w:sz w:val="24"/>
          <w:szCs w:val="24"/>
        </w:rPr>
        <w:t xml:space="preserve">the commission that the city had reasonable justification to bypass Grenier for a promotion to district fire chief. We affirm.” </w:t>
      </w:r>
    </w:p>
    <w:p w14:paraId="15488E77" w14:textId="77777777" w:rsidR="00165A41" w:rsidRPr="00A445BE" w:rsidRDefault="00165A41" w:rsidP="00165A41">
      <w:pPr>
        <w:pStyle w:val="NoSpacing"/>
        <w:rPr>
          <w:rFonts w:ascii="Times New Roman" w:hAnsi="Times New Roman"/>
          <w:sz w:val="24"/>
          <w:szCs w:val="24"/>
        </w:rPr>
      </w:pPr>
      <w:hyperlink r:id="rId877" w:history="1">
        <w:r w:rsidRPr="00A445BE">
          <w:rPr>
            <w:rStyle w:val="Hyperlink"/>
            <w:rFonts w:ascii="Times New Roman" w:hAnsi="Times New Roman"/>
            <w:sz w:val="24"/>
            <w:szCs w:val="24"/>
          </w:rPr>
          <w:t>https://www.mass.gov/doc/grenier-pierre-v-springfield-fire-department-related-appeals-court-decision-101124/download</w:t>
        </w:r>
      </w:hyperlink>
      <w:r w:rsidRPr="00A445BE">
        <w:rPr>
          <w:rFonts w:ascii="Times New Roman" w:hAnsi="Times New Roman"/>
          <w:sz w:val="24"/>
          <w:szCs w:val="24"/>
        </w:rPr>
        <w:t xml:space="preserve"> </w:t>
      </w:r>
    </w:p>
    <w:p w14:paraId="4ADCAB31" w14:textId="77777777" w:rsidR="002665B4" w:rsidRPr="00A445BE" w:rsidRDefault="002665B4" w:rsidP="00165A41">
      <w:pPr>
        <w:pStyle w:val="NoSpacing"/>
        <w:rPr>
          <w:rFonts w:ascii="Times New Roman" w:hAnsi="Times New Roman"/>
          <w:sz w:val="24"/>
          <w:szCs w:val="24"/>
        </w:rPr>
      </w:pPr>
    </w:p>
    <w:p w14:paraId="0BF648F7" w14:textId="77777777" w:rsidR="002665B4" w:rsidRPr="00391D9A" w:rsidRDefault="002665B4" w:rsidP="002665B4">
      <w:pPr>
        <w:pStyle w:val="NoSpacing"/>
        <w:rPr>
          <w:b/>
          <w:bCs/>
        </w:rPr>
      </w:pPr>
      <w:r w:rsidRPr="00A445BE">
        <w:rPr>
          <w:rFonts w:ascii="Times New Roman" w:hAnsi="Times New Roman"/>
          <w:b/>
          <w:sz w:val="24"/>
          <w:szCs w:val="24"/>
        </w:rPr>
        <w:t>Legal Lesson Learned:  Use of selection board is an excellent promotion process</w:t>
      </w:r>
      <w:r>
        <w:rPr>
          <w:b/>
        </w:rPr>
        <w:t xml:space="preserve">. </w:t>
      </w:r>
    </w:p>
    <w:p w14:paraId="0259D745" w14:textId="77777777" w:rsidR="002665B4" w:rsidRDefault="002665B4" w:rsidP="002665B4">
      <w:pPr>
        <w:rPr>
          <w:rFonts w:asciiTheme="majorHAnsi" w:hAnsiTheme="majorHAnsi" w:cstheme="minorHAnsi"/>
          <w:sz w:val="28"/>
        </w:rPr>
      </w:pPr>
    </w:p>
    <w:p w14:paraId="3511EE78" w14:textId="77777777" w:rsidR="002665B4" w:rsidRDefault="002665B4" w:rsidP="00165A41">
      <w:pPr>
        <w:pStyle w:val="NoSpacing"/>
      </w:pPr>
    </w:p>
    <w:p w14:paraId="4778837F" w14:textId="77777777" w:rsidR="00B34A49" w:rsidRDefault="00B34A49" w:rsidP="002B1283">
      <w:pPr>
        <w:rPr>
          <w:rStyle w:val="Hyperlink"/>
          <w:rFonts w:ascii="Arial Black" w:hAnsi="Arial Black"/>
          <w:b/>
          <w:color w:val="auto"/>
          <w:sz w:val="24"/>
          <w:szCs w:val="24"/>
          <w:u w:val="none"/>
        </w:rPr>
      </w:pPr>
    </w:p>
    <w:p w14:paraId="579F9EB8" w14:textId="5B023ED2" w:rsidR="00B34A49" w:rsidRDefault="00B34A49"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w:t>
      </w:r>
      <w:r w:rsidR="00306E28">
        <w:rPr>
          <w:rStyle w:val="Hyperlink"/>
          <w:rFonts w:ascii="Arial Black" w:hAnsi="Arial Black"/>
          <w:b/>
          <w:color w:val="auto"/>
          <w:sz w:val="24"/>
          <w:szCs w:val="24"/>
          <w:u w:val="none"/>
        </w:rPr>
        <w:t>3</w:t>
      </w:r>
    </w:p>
    <w:p w14:paraId="4C3E65C3" w14:textId="77777777" w:rsidR="00387D84" w:rsidRPr="005B675E" w:rsidRDefault="00387D84" w:rsidP="00387D84">
      <w:pPr>
        <w:rPr>
          <w:rFonts w:ascii="Arial Black" w:hAnsi="Arial Black"/>
          <w:b/>
          <w:bCs/>
          <w:sz w:val="28"/>
          <w:szCs w:val="28"/>
        </w:rPr>
      </w:pPr>
      <w:r w:rsidRPr="005B675E">
        <w:rPr>
          <w:rFonts w:ascii="Arial Black" w:hAnsi="Arial Black"/>
          <w:b/>
          <w:bCs/>
          <w:sz w:val="28"/>
          <w:szCs w:val="28"/>
        </w:rPr>
        <w:t>CA: WILDLAND FIRE –  BACKFIRES – RANCHER MUST PROVE BACKFIRES NEG. USED DURING “RED FLAG WARNINGS”</w:t>
      </w:r>
    </w:p>
    <w:p w14:paraId="10D2C209" w14:textId="77777777" w:rsidR="00387D84" w:rsidRPr="00124FAD" w:rsidRDefault="00387D84" w:rsidP="00387D84">
      <w:pPr>
        <w:pStyle w:val="NoSpacing"/>
        <w:rPr>
          <w:rFonts w:ascii="Times New Roman" w:hAnsi="Times New Roman"/>
          <w:sz w:val="24"/>
          <w:szCs w:val="24"/>
        </w:rPr>
      </w:pPr>
      <w:r w:rsidRPr="00124FAD">
        <w:rPr>
          <w:rFonts w:ascii="Times New Roman" w:hAnsi="Times New Roman"/>
          <w:sz w:val="24"/>
          <w:szCs w:val="24"/>
        </w:rPr>
        <w:t xml:space="preserve">On Oct. 8, 2024, in </w:t>
      </w:r>
      <w:r w:rsidRPr="00124FAD">
        <w:rPr>
          <w:rFonts w:ascii="Times New Roman" w:hAnsi="Times New Roman"/>
          <w:sz w:val="24"/>
          <w:szCs w:val="24"/>
          <w:u w:val="single"/>
        </w:rPr>
        <w:t>Joe Allen Wixson v. The United States</w:t>
      </w:r>
      <w:r w:rsidRPr="00124FAD">
        <w:rPr>
          <w:rFonts w:ascii="Times New Roman" w:hAnsi="Times New Roman"/>
          <w:sz w:val="24"/>
          <w:szCs w:val="24"/>
        </w:rPr>
        <w:t xml:space="preserve">, the United States Court of Federal Claims [Wahington, D.C.] held: “Joe Allen Wixson alleges that the government took his private property for public use by allowing it to be destroyed by a fire. He alleges that the decisions by the U.S. Forest Service to cancel prescribed burns and employee trainings during the covid-19 pandemic, and then to use defensive firefighting techniques during a windy day, caused the fire to affect his property. *** In sum, the government’s decisions to cancel prescribed burns and firefighter training cannot form the basis for Mr. </w:t>
      </w:r>
      <w:proofErr w:type="gramStart"/>
      <w:r w:rsidRPr="00124FAD">
        <w:rPr>
          <w:rFonts w:ascii="Times New Roman" w:hAnsi="Times New Roman"/>
          <w:sz w:val="24"/>
          <w:szCs w:val="24"/>
        </w:rPr>
        <w:t>Wixson’s takings</w:t>
      </w:r>
      <w:proofErr w:type="gramEnd"/>
      <w:r w:rsidRPr="00124FAD">
        <w:rPr>
          <w:rFonts w:ascii="Times New Roman" w:hAnsi="Times New Roman"/>
          <w:sz w:val="24"/>
          <w:szCs w:val="24"/>
        </w:rPr>
        <w:t xml:space="preserve"> claim or any other claim in this court. *** Because the government did not intend to invade Mr. Wixson’s property, Mr. Wixson must show that the fire on his property was the direct, natural, or probable result of the government’s use of backfires, or controlled burn techniques.” </w:t>
      </w:r>
      <w:hyperlink r:id="rId878" w:history="1">
        <w:r w:rsidRPr="00124FAD">
          <w:rPr>
            <w:rStyle w:val="Hyperlink"/>
            <w:rFonts w:ascii="Times New Roman" w:hAnsi="Times New Roman"/>
            <w:sz w:val="24"/>
            <w:szCs w:val="24"/>
          </w:rPr>
          <w:t>https://cases.justia.com/federal/district-courts/federal-claims/cofce/1:2022cv01201/46126/27/0.pdf?ts=1728477951</w:t>
        </w:r>
      </w:hyperlink>
      <w:r w:rsidRPr="00124FAD">
        <w:rPr>
          <w:rFonts w:ascii="Times New Roman" w:hAnsi="Times New Roman"/>
          <w:sz w:val="24"/>
          <w:szCs w:val="24"/>
        </w:rPr>
        <w:t xml:space="preserve"> </w:t>
      </w:r>
    </w:p>
    <w:p w14:paraId="2552D32E" w14:textId="77777777" w:rsidR="00124FAD" w:rsidRPr="00124FAD" w:rsidRDefault="00124FAD" w:rsidP="00124FAD">
      <w:pPr>
        <w:pStyle w:val="NoSpacing"/>
        <w:rPr>
          <w:rFonts w:ascii="Times New Roman" w:hAnsi="Times New Roman"/>
          <w:b/>
          <w:sz w:val="24"/>
          <w:szCs w:val="24"/>
        </w:rPr>
      </w:pPr>
    </w:p>
    <w:p w14:paraId="4AA38B66" w14:textId="5F8C52D6" w:rsidR="00124FAD" w:rsidRPr="00124FAD" w:rsidRDefault="00124FAD" w:rsidP="00124FAD">
      <w:pPr>
        <w:pStyle w:val="NoSpacing"/>
        <w:rPr>
          <w:rFonts w:ascii="Times New Roman" w:hAnsi="Times New Roman"/>
          <w:b/>
          <w:bCs/>
          <w:sz w:val="24"/>
          <w:szCs w:val="24"/>
        </w:rPr>
      </w:pPr>
      <w:r w:rsidRPr="00124FAD">
        <w:rPr>
          <w:rFonts w:ascii="Times New Roman" w:hAnsi="Times New Roman"/>
          <w:b/>
          <w:sz w:val="24"/>
          <w:szCs w:val="24"/>
        </w:rPr>
        <w:t>Legal Lesson Learned: Property owner will need expert testimony showing backfires were done in a negligent manner during Red Flag warnings.</w:t>
      </w:r>
    </w:p>
    <w:p w14:paraId="7F27B55F" w14:textId="77777777" w:rsidR="00124FAD" w:rsidRDefault="00124FAD" w:rsidP="00124FAD">
      <w:pPr>
        <w:pStyle w:val="NoSpacing"/>
      </w:pPr>
    </w:p>
    <w:p w14:paraId="02BCC860" w14:textId="77777777" w:rsidR="00B34A49" w:rsidRDefault="00B34A49" w:rsidP="002B1283">
      <w:pPr>
        <w:rPr>
          <w:rStyle w:val="Hyperlink"/>
          <w:rFonts w:ascii="Arial Black" w:hAnsi="Arial Black"/>
          <w:b/>
          <w:color w:val="auto"/>
          <w:sz w:val="24"/>
          <w:szCs w:val="24"/>
          <w:u w:val="none"/>
        </w:rPr>
      </w:pPr>
    </w:p>
    <w:p w14:paraId="51ECB432" w14:textId="15C52E71" w:rsidR="00B34A49" w:rsidRDefault="00B34A49"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w:t>
      </w:r>
      <w:r w:rsidR="00306E28">
        <w:rPr>
          <w:rStyle w:val="Hyperlink"/>
          <w:rFonts w:ascii="Arial Black" w:hAnsi="Arial Black"/>
          <w:b/>
          <w:color w:val="auto"/>
          <w:sz w:val="24"/>
          <w:szCs w:val="24"/>
          <w:u w:val="none"/>
        </w:rPr>
        <w:t>2</w:t>
      </w:r>
    </w:p>
    <w:p w14:paraId="491BA4E4" w14:textId="77777777" w:rsidR="00CB542E" w:rsidRPr="005B675E" w:rsidRDefault="00CB542E" w:rsidP="00CB542E">
      <w:pPr>
        <w:pStyle w:val="NoSpacing"/>
        <w:rPr>
          <w:rFonts w:ascii="Arial Black" w:hAnsi="Arial Black"/>
          <w:b/>
          <w:bCs/>
          <w:sz w:val="28"/>
          <w:szCs w:val="28"/>
        </w:rPr>
      </w:pPr>
      <w:r w:rsidRPr="005B675E">
        <w:rPr>
          <w:rFonts w:ascii="Arial Black" w:hAnsi="Arial Black"/>
          <w:b/>
          <w:bCs/>
          <w:sz w:val="28"/>
          <w:szCs w:val="28"/>
        </w:rPr>
        <w:t xml:space="preserve">CA: CAMPERS CALLED 911 – SEE WILDLAND FIRE – TOLD NO DANGER 3-4 DAYS / WILL ADVISE – INJURED – IMMUNITY </w:t>
      </w:r>
    </w:p>
    <w:p w14:paraId="44919140" w14:textId="77777777" w:rsidR="00CB542E" w:rsidRPr="00306E28" w:rsidRDefault="00CB542E" w:rsidP="00CB542E">
      <w:pPr>
        <w:pStyle w:val="NoSpacing"/>
        <w:rPr>
          <w:rFonts w:ascii="Times New Roman" w:hAnsi="Times New Roman"/>
          <w:sz w:val="24"/>
          <w:szCs w:val="24"/>
        </w:rPr>
      </w:pPr>
    </w:p>
    <w:p w14:paraId="1F7E1699" w14:textId="77777777" w:rsidR="00CB542E" w:rsidRPr="00306E28" w:rsidRDefault="00CB542E" w:rsidP="00CB542E">
      <w:pPr>
        <w:pStyle w:val="NoSpacing"/>
        <w:rPr>
          <w:rFonts w:ascii="Times New Roman" w:hAnsi="Times New Roman"/>
          <w:sz w:val="24"/>
          <w:szCs w:val="24"/>
        </w:rPr>
      </w:pPr>
      <w:r w:rsidRPr="00306E28">
        <w:rPr>
          <w:rFonts w:ascii="Times New Roman" w:hAnsi="Times New Roman"/>
          <w:sz w:val="24"/>
          <w:szCs w:val="24"/>
        </w:rPr>
        <w:t xml:space="preserve">On Oct. 8, 2024, in </w:t>
      </w:r>
      <w:r w:rsidRPr="00306E28">
        <w:rPr>
          <w:rFonts w:ascii="Times New Roman" w:hAnsi="Times New Roman"/>
          <w:sz w:val="24"/>
          <w:szCs w:val="24"/>
          <w:u w:val="single"/>
        </w:rPr>
        <w:t>Michelle Portillo, et al. v, Madera County</w:t>
      </w:r>
      <w:r w:rsidRPr="00306E28">
        <w:rPr>
          <w:rFonts w:ascii="Times New Roman" w:hAnsi="Times New Roman"/>
          <w:sz w:val="24"/>
          <w:szCs w:val="24"/>
        </w:rPr>
        <w:t xml:space="preserve">, the California Court of Appeals, Fifth District. Held (3 to 0; unpublished opinion): “Appellants are </w:t>
      </w:r>
      <w:proofErr w:type="gramStart"/>
      <w:r w:rsidRPr="00306E28">
        <w:rPr>
          <w:rFonts w:ascii="Times New Roman" w:hAnsi="Times New Roman"/>
          <w:sz w:val="24"/>
          <w:szCs w:val="24"/>
        </w:rPr>
        <w:t>a number of</w:t>
      </w:r>
      <w:proofErr w:type="gramEnd"/>
      <w:r w:rsidRPr="00306E28">
        <w:rPr>
          <w:rFonts w:ascii="Times New Roman" w:hAnsi="Times New Roman"/>
          <w:sz w:val="24"/>
          <w:szCs w:val="24"/>
        </w:rPr>
        <w:t xml:space="preserve"> campers that were caught in the 2020 Creek Fire. They sued Madera County (County) after they were injured, claiming a County employee negligently advised them about the fire danger and broke a promise to inform them if the danger increased. The trial court dismissed their third amended complaint on demurrer. Appellants challenge this ruling. For the reasons set forth below, we affirm.”</w:t>
      </w:r>
    </w:p>
    <w:p w14:paraId="4335B6F6" w14:textId="77777777" w:rsidR="00CB542E" w:rsidRPr="00306E28" w:rsidRDefault="00CB542E" w:rsidP="00CB542E">
      <w:pPr>
        <w:pStyle w:val="NoSpacing"/>
        <w:rPr>
          <w:rFonts w:ascii="Times New Roman" w:hAnsi="Times New Roman"/>
          <w:sz w:val="24"/>
          <w:szCs w:val="24"/>
        </w:rPr>
      </w:pPr>
      <w:hyperlink r:id="rId879" w:history="1">
        <w:r w:rsidRPr="00306E28">
          <w:rPr>
            <w:rStyle w:val="Hyperlink"/>
            <w:rFonts w:ascii="Times New Roman" w:hAnsi="Times New Roman"/>
            <w:sz w:val="24"/>
            <w:szCs w:val="24"/>
          </w:rPr>
          <w:t>https://casetext.com/case/portillo-v-madera-cnty</w:t>
        </w:r>
      </w:hyperlink>
      <w:r w:rsidRPr="00306E28">
        <w:rPr>
          <w:rFonts w:ascii="Times New Roman" w:hAnsi="Times New Roman"/>
          <w:sz w:val="24"/>
          <w:szCs w:val="24"/>
        </w:rPr>
        <w:t xml:space="preserve"> </w:t>
      </w:r>
    </w:p>
    <w:p w14:paraId="7EB8CADD" w14:textId="77777777" w:rsidR="00CB542E" w:rsidRPr="00306E28" w:rsidRDefault="00CB542E" w:rsidP="00CB542E">
      <w:pPr>
        <w:pStyle w:val="NoSpacing"/>
        <w:rPr>
          <w:rFonts w:ascii="Times New Roman" w:hAnsi="Times New Roman"/>
          <w:sz w:val="24"/>
          <w:szCs w:val="24"/>
        </w:rPr>
      </w:pPr>
    </w:p>
    <w:p w14:paraId="0B2D8DF3" w14:textId="77777777" w:rsidR="00306E28" w:rsidRPr="00306E28" w:rsidRDefault="00306E28" w:rsidP="00306E28">
      <w:pPr>
        <w:pStyle w:val="NoSpacing"/>
        <w:rPr>
          <w:rFonts w:ascii="Times New Roman" w:hAnsi="Times New Roman"/>
          <w:b/>
          <w:bCs/>
          <w:sz w:val="24"/>
          <w:szCs w:val="24"/>
        </w:rPr>
      </w:pPr>
      <w:r w:rsidRPr="00306E28">
        <w:rPr>
          <w:rFonts w:ascii="Times New Roman" w:hAnsi="Times New Roman"/>
          <w:b/>
          <w:sz w:val="24"/>
          <w:szCs w:val="24"/>
        </w:rPr>
        <w:t xml:space="preserve">Legal Lesson Learned: Very difficult for these campers to prove gross negligence. </w:t>
      </w:r>
    </w:p>
    <w:p w14:paraId="59A25CFA" w14:textId="77777777" w:rsidR="00B34A49" w:rsidRDefault="00B34A49" w:rsidP="002B1283">
      <w:pPr>
        <w:rPr>
          <w:rStyle w:val="Hyperlink"/>
          <w:rFonts w:ascii="Arial Black" w:hAnsi="Arial Black"/>
          <w:b/>
          <w:color w:val="auto"/>
          <w:sz w:val="24"/>
          <w:szCs w:val="24"/>
          <w:u w:val="none"/>
        </w:rPr>
      </w:pPr>
    </w:p>
    <w:p w14:paraId="65018BA7" w14:textId="7DDE71CA" w:rsidR="0075297C" w:rsidRDefault="0075297C"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lastRenderedPageBreak/>
        <w:t>4-41</w:t>
      </w:r>
    </w:p>
    <w:p w14:paraId="5376D485" w14:textId="77777777" w:rsidR="00C76B17" w:rsidRPr="005B675E" w:rsidRDefault="00C76B17" w:rsidP="00C76B17">
      <w:pPr>
        <w:pStyle w:val="NoSpacing"/>
        <w:rPr>
          <w:rFonts w:ascii="Arial Black" w:hAnsi="Arial Black"/>
          <w:b/>
          <w:bCs/>
          <w:sz w:val="28"/>
          <w:szCs w:val="28"/>
        </w:rPr>
      </w:pPr>
      <w:r w:rsidRPr="005B675E">
        <w:rPr>
          <w:rFonts w:ascii="Arial Black" w:hAnsi="Arial Black"/>
          <w:b/>
          <w:bCs/>
          <w:sz w:val="28"/>
          <w:szCs w:val="28"/>
        </w:rPr>
        <w:t>CT:  WIRES DOWN ON CAR – 2 TRAPPED FOR 1-HOUR -  – STATE ORDERS UTILITY COMPANY MORE RAPID RESPONSE</w:t>
      </w:r>
    </w:p>
    <w:p w14:paraId="10C3CA83" w14:textId="77777777" w:rsidR="00C76B17" w:rsidRPr="005B675E" w:rsidRDefault="00C76B17" w:rsidP="00C76B17">
      <w:pPr>
        <w:pStyle w:val="NoSpacing"/>
        <w:rPr>
          <w:rFonts w:ascii="Arial Black" w:hAnsi="Arial Black"/>
          <w:sz w:val="28"/>
          <w:szCs w:val="28"/>
        </w:rPr>
      </w:pPr>
    </w:p>
    <w:p w14:paraId="42787C0A" w14:textId="319C35F5" w:rsidR="0075297C" w:rsidRPr="00C833FD" w:rsidRDefault="00C76B17" w:rsidP="00C76B17">
      <w:pPr>
        <w:pStyle w:val="NoSpacing"/>
        <w:rPr>
          <w:rStyle w:val="Hyperlink"/>
          <w:rFonts w:ascii="Times New Roman" w:hAnsi="Times New Roman"/>
          <w:sz w:val="24"/>
          <w:szCs w:val="24"/>
        </w:rPr>
      </w:pPr>
      <w:r w:rsidRPr="00C833FD">
        <w:rPr>
          <w:rFonts w:ascii="Times New Roman" w:hAnsi="Times New Roman"/>
          <w:sz w:val="24"/>
          <w:szCs w:val="24"/>
        </w:rPr>
        <w:t xml:space="preserve">Oct. 2, 2024, in </w:t>
      </w:r>
      <w:r w:rsidRPr="00C833FD">
        <w:rPr>
          <w:rFonts w:ascii="Times New Roman" w:hAnsi="Times New Roman"/>
          <w:sz w:val="24"/>
          <w:szCs w:val="24"/>
          <w:u w:val="single"/>
        </w:rPr>
        <w:t xml:space="preserve">The Connecticut Light &amp; Power Company, d/b/a </w:t>
      </w:r>
      <w:proofErr w:type="spellStart"/>
      <w:r w:rsidRPr="00C833FD">
        <w:rPr>
          <w:rFonts w:ascii="Times New Roman" w:hAnsi="Times New Roman"/>
          <w:sz w:val="24"/>
          <w:szCs w:val="24"/>
          <w:u w:val="single"/>
        </w:rPr>
        <w:t>Eversourse</w:t>
      </w:r>
      <w:proofErr w:type="spellEnd"/>
      <w:r w:rsidRPr="00C833FD">
        <w:rPr>
          <w:rFonts w:ascii="Times New Roman" w:hAnsi="Times New Roman"/>
          <w:sz w:val="24"/>
          <w:szCs w:val="24"/>
          <w:u w:val="single"/>
        </w:rPr>
        <w:t xml:space="preserve"> Energy v. Public Utilities Regulatory Authority</w:t>
      </w:r>
      <w:r w:rsidRPr="00C833FD">
        <w:rPr>
          <w:rFonts w:ascii="Times New Roman" w:hAnsi="Times New Roman"/>
          <w:sz w:val="24"/>
          <w:szCs w:val="24"/>
        </w:rPr>
        <w:t xml:space="preserve">, the Superior Court of Connecticut, Judicial District of New Britain, Tax and Administrative Appeals Division, (Judge Matthew J. Budzik) held: “Because the statutes and regulations cited by Eversource are either inapplicable, or merely permit - - but do not require -- PURA to hold a hearing on the instant investigation, the court grants the motion to dismiss.” </w:t>
      </w:r>
      <w:hyperlink r:id="rId880" w:history="1">
        <w:r w:rsidRPr="00C833FD">
          <w:rPr>
            <w:rStyle w:val="Hyperlink"/>
            <w:rFonts w:ascii="Times New Roman" w:hAnsi="Times New Roman"/>
            <w:sz w:val="24"/>
            <w:szCs w:val="24"/>
          </w:rPr>
          <w:t>https://www.firelawblog.com/wp-content/uploads/sites/19/2024/10/Light-v.-Pub.-Utils.-Regul.-Auth._-2024-Conn.-Super.-LE.pdf</w:t>
        </w:r>
      </w:hyperlink>
    </w:p>
    <w:p w14:paraId="55AFD4BB" w14:textId="77777777" w:rsidR="00C833FD" w:rsidRPr="00C833FD" w:rsidRDefault="00C833FD" w:rsidP="00C76B17">
      <w:pPr>
        <w:pStyle w:val="NoSpacing"/>
        <w:rPr>
          <w:rStyle w:val="Hyperlink"/>
          <w:rFonts w:ascii="Times New Roman" w:hAnsi="Times New Roman"/>
          <w:sz w:val="24"/>
          <w:szCs w:val="24"/>
        </w:rPr>
      </w:pPr>
    </w:p>
    <w:p w14:paraId="07E26062" w14:textId="77777777" w:rsidR="00C833FD" w:rsidRPr="00C833FD" w:rsidRDefault="00C833FD" w:rsidP="00C833FD">
      <w:pPr>
        <w:pStyle w:val="NoSpacing"/>
        <w:rPr>
          <w:rFonts w:ascii="Times New Roman" w:hAnsi="Times New Roman"/>
          <w:b/>
          <w:bCs/>
          <w:sz w:val="24"/>
          <w:szCs w:val="24"/>
        </w:rPr>
      </w:pPr>
      <w:r w:rsidRPr="00C833FD">
        <w:rPr>
          <w:rFonts w:ascii="Times New Roman" w:hAnsi="Times New Roman"/>
          <w:b/>
          <w:sz w:val="24"/>
          <w:szCs w:val="24"/>
        </w:rPr>
        <w:t>Legal Lesson Learned: Nice to see State agency holding utility company’s “feet to the fire</w:t>
      </w:r>
      <w:r w:rsidRPr="00C833FD">
        <w:rPr>
          <w:rFonts w:ascii="Times New Roman" w:hAnsi="Times New Roman"/>
          <w:b/>
          <w:bCs/>
          <w:sz w:val="24"/>
          <w:szCs w:val="24"/>
        </w:rPr>
        <w:t>”</w:t>
      </w:r>
      <w:r w:rsidRPr="00C833FD">
        <w:rPr>
          <w:rFonts w:ascii="Times New Roman" w:hAnsi="Times New Roman"/>
          <w:b/>
          <w:sz w:val="24"/>
          <w:szCs w:val="24"/>
        </w:rPr>
        <w:t xml:space="preserve"> for slow response to wires on occupied vehicle call.</w:t>
      </w:r>
    </w:p>
    <w:p w14:paraId="507A88E4" w14:textId="77777777" w:rsidR="00C833FD" w:rsidRDefault="00C833FD" w:rsidP="00C76B17">
      <w:pPr>
        <w:pStyle w:val="NoSpacing"/>
        <w:rPr>
          <w:rStyle w:val="Hyperlink"/>
          <w:rFonts w:ascii="Arial Black" w:hAnsi="Arial Black"/>
          <w:b/>
          <w:color w:val="auto"/>
          <w:sz w:val="24"/>
          <w:szCs w:val="24"/>
          <w:u w:val="none"/>
        </w:rPr>
      </w:pPr>
    </w:p>
    <w:p w14:paraId="382F4A73" w14:textId="77777777" w:rsidR="0075297C" w:rsidRDefault="0075297C" w:rsidP="002B1283">
      <w:pPr>
        <w:rPr>
          <w:rStyle w:val="Hyperlink"/>
          <w:rFonts w:ascii="Arial Black" w:hAnsi="Arial Black"/>
          <w:b/>
          <w:color w:val="auto"/>
          <w:sz w:val="24"/>
          <w:szCs w:val="24"/>
          <w:u w:val="none"/>
        </w:rPr>
      </w:pPr>
    </w:p>
    <w:p w14:paraId="375B116B" w14:textId="233B621A" w:rsidR="00291569" w:rsidRDefault="0038005B"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4-40</w:t>
      </w:r>
    </w:p>
    <w:p w14:paraId="60385150" w14:textId="77777777" w:rsidR="002E0D85" w:rsidRPr="005B675E" w:rsidRDefault="002E0D85" w:rsidP="002E0D85">
      <w:pPr>
        <w:pStyle w:val="NormalWeb"/>
        <w:rPr>
          <w:rFonts w:ascii="Arial Black" w:hAnsi="Arial Black"/>
          <w:color w:val="454545"/>
          <w:sz w:val="28"/>
          <w:szCs w:val="28"/>
          <w:shd w:val="clear" w:color="auto" w:fill="FFFFFF"/>
        </w:rPr>
      </w:pPr>
      <w:r w:rsidRPr="005B675E">
        <w:rPr>
          <w:rFonts w:ascii="Arial Black" w:hAnsi="Arial Black"/>
          <w:color w:val="454545"/>
          <w:sz w:val="28"/>
          <w:szCs w:val="28"/>
          <w:shd w:val="clear" w:color="auto" w:fill="FFFFFF"/>
        </w:rPr>
        <w:t>UT: TWO FOREST FIRES – IC DECIDED TO LET BURN – HIGH WINDS 100,000 ACRES – BUILDING OWNERS CAN’T SUE</w:t>
      </w:r>
    </w:p>
    <w:p w14:paraId="6B94410D" w14:textId="77777777" w:rsidR="002E0D85" w:rsidRPr="004562D2" w:rsidRDefault="002E0D85" w:rsidP="002E0D85">
      <w:pPr>
        <w:pStyle w:val="NormalWeb"/>
        <w:rPr>
          <w:color w:val="454545"/>
          <w:shd w:val="clear" w:color="auto" w:fill="FFFFFF"/>
        </w:rPr>
      </w:pPr>
      <w:r w:rsidRPr="004562D2">
        <w:rPr>
          <w:color w:val="454545"/>
          <w:shd w:val="clear" w:color="auto" w:fill="FFFFFF"/>
        </w:rPr>
        <w:t xml:space="preserve">On July 30, 2024, in </w:t>
      </w:r>
      <w:r w:rsidRPr="004562D2">
        <w:rPr>
          <w:color w:val="454545"/>
          <w:u w:val="single"/>
          <w:shd w:val="clear" w:color="auto" w:fill="FFFFFF"/>
        </w:rPr>
        <w:t>Strawberry Water Users Association v. United States</w:t>
      </w:r>
      <w:r w:rsidRPr="004562D2">
        <w:rPr>
          <w:color w:val="454545"/>
          <w:shd w:val="clear" w:color="auto" w:fill="FFFFFF"/>
        </w:rPr>
        <w:t>,  the U.S. Court of Appeals for 10</w:t>
      </w:r>
      <w:r w:rsidRPr="004562D2">
        <w:rPr>
          <w:color w:val="454545"/>
          <w:shd w:val="clear" w:color="auto" w:fill="FFFFFF"/>
          <w:vertAlign w:val="superscript"/>
        </w:rPr>
        <w:t>th</w:t>
      </w:r>
      <w:r w:rsidRPr="004562D2">
        <w:rPr>
          <w:color w:val="454545"/>
          <w:shd w:val="clear" w:color="auto" w:fill="FFFFFF"/>
        </w:rPr>
        <w:t xml:space="preserve"> Circuit (Denver) held [3 to 0) that U.S. District Court judge properly dismissed the lawsuit for “lack of jurisdiction.” “[T]he Forest Service undoubtedly acted within the ambit of its authority in allowing the fires to burn. Congress granted the Forest Service the authority to develop and implement wildfire-management policies under dual statutory regimes.”</w:t>
      </w:r>
      <w:r w:rsidRPr="004562D2">
        <w:t xml:space="preserve"> </w:t>
      </w:r>
      <w:hyperlink r:id="rId881" w:history="1">
        <w:r w:rsidRPr="004562D2">
          <w:rPr>
            <w:rStyle w:val="Hyperlink"/>
            <w:shd w:val="clear" w:color="auto" w:fill="FFFFFF"/>
          </w:rPr>
          <w:t>https://caselaw.findlaw.com/court/us-10th-circuit/116433351.html</w:t>
        </w:r>
      </w:hyperlink>
      <w:r w:rsidRPr="004562D2">
        <w:rPr>
          <w:color w:val="454545"/>
          <w:shd w:val="clear" w:color="auto" w:fill="FFFFFF"/>
        </w:rPr>
        <w:t xml:space="preserve"> </w:t>
      </w:r>
    </w:p>
    <w:p w14:paraId="31908B81" w14:textId="77777777" w:rsidR="002E0D85" w:rsidRPr="009C1132" w:rsidRDefault="002E0D85" w:rsidP="002E0D85">
      <w:pPr>
        <w:pStyle w:val="NormalWeb"/>
        <w:rPr>
          <w:color w:val="454545"/>
          <w:shd w:val="clear" w:color="auto" w:fill="FFFFFF"/>
        </w:rPr>
      </w:pPr>
      <w:r w:rsidRPr="009C1132">
        <w:rPr>
          <w:color w:val="454545"/>
          <w:shd w:val="clear" w:color="auto" w:fill="FFFFFF"/>
        </w:rPr>
        <w:t>THE COURT HELD:</w:t>
      </w:r>
    </w:p>
    <w:p w14:paraId="1144B067" w14:textId="77777777" w:rsidR="002E0D85" w:rsidRPr="009C1132" w:rsidRDefault="002E0D85" w:rsidP="002E0D85">
      <w:pPr>
        <w:pStyle w:val="NormalWeb"/>
        <w:ind w:left="720"/>
        <w:rPr>
          <w:color w:val="454545"/>
          <w:shd w:val="clear" w:color="auto" w:fill="FFFFFF"/>
        </w:rPr>
      </w:pPr>
      <w:r w:rsidRPr="009C1132">
        <w:rPr>
          <w:color w:val="454545"/>
          <w:shd w:val="clear" w:color="auto" w:fill="FFFFFF"/>
        </w:rPr>
        <w:t>“The issue on appeal is whether the discretionary-function exception to liability under the Federal Tort Claims Act (FTCA) applies to the United States Forest Service's alleged mismanagement of two wildfires ignited on public lands. The district court held that the exception applied and therefore it was stripped of jurisdiction to hear the claims… Exercising jurisdiction under 28 U.S.C. § 1291, we affirm.”</w:t>
      </w:r>
    </w:p>
    <w:p w14:paraId="602CE19E" w14:textId="77777777" w:rsidR="00DA23FE" w:rsidRPr="0036267D" w:rsidRDefault="00DA23FE" w:rsidP="00DA23FE">
      <w:pPr>
        <w:pStyle w:val="NoSpacing"/>
        <w:rPr>
          <w:rFonts w:ascii="Times New Roman" w:hAnsi="Times New Roman"/>
          <w:b/>
          <w:bCs/>
          <w:sz w:val="24"/>
          <w:szCs w:val="24"/>
          <w:shd w:val="clear" w:color="auto" w:fill="FFFFFF"/>
        </w:rPr>
      </w:pPr>
      <w:r>
        <w:rPr>
          <w:rFonts w:ascii="Times New Roman" w:hAnsi="Times New Roman"/>
          <w:b/>
          <w:bCs/>
          <w:sz w:val="24"/>
          <w:szCs w:val="24"/>
          <w:shd w:val="clear" w:color="auto" w:fill="FFFFFF"/>
        </w:rPr>
        <w:t xml:space="preserve">Legal Lesson Learned: Congress under Federal Tort Claims Act provides immunity for government officials making discretionary decisions. </w:t>
      </w:r>
    </w:p>
    <w:p w14:paraId="1032664C" w14:textId="77777777" w:rsidR="0038005B" w:rsidRDefault="0038005B" w:rsidP="002B1283">
      <w:pPr>
        <w:rPr>
          <w:rStyle w:val="Hyperlink"/>
          <w:rFonts w:ascii="Arial Black" w:hAnsi="Arial Black"/>
          <w:b/>
          <w:color w:val="auto"/>
          <w:sz w:val="24"/>
          <w:szCs w:val="24"/>
          <w:u w:val="none"/>
        </w:rPr>
      </w:pPr>
    </w:p>
    <w:p w14:paraId="1FB8455C" w14:textId="77777777" w:rsidR="00291569" w:rsidRDefault="00291569" w:rsidP="002B1283">
      <w:pPr>
        <w:rPr>
          <w:rStyle w:val="Hyperlink"/>
          <w:rFonts w:ascii="Arial Black" w:hAnsi="Arial Black"/>
          <w:b/>
          <w:color w:val="auto"/>
          <w:sz w:val="24"/>
          <w:szCs w:val="24"/>
          <w:u w:val="none"/>
        </w:rPr>
      </w:pPr>
    </w:p>
    <w:p w14:paraId="5292E2AC" w14:textId="0E802254" w:rsidR="00291569" w:rsidRDefault="00291569"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4-39</w:t>
      </w:r>
    </w:p>
    <w:p w14:paraId="77BA7143" w14:textId="77777777" w:rsidR="00291569" w:rsidRPr="00D961B3" w:rsidRDefault="00291569" w:rsidP="00291569">
      <w:pPr>
        <w:pStyle w:val="NormalWeb"/>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KY: FIRE CHIEF – REFUSED MUTUAL AID 3</w:t>
      </w:r>
      <w:r w:rsidRPr="00E973EF">
        <w:rPr>
          <w:rFonts w:ascii="Arial Black" w:hAnsi="Arial Black"/>
          <w:b/>
          <w:bCs/>
          <w:color w:val="454545"/>
          <w:sz w:val="28"/>
          <w:szCs w:val="28"/>
          <w:shd w:val="clear" w:color="auto" w:fill="FFFFFF"/>
          <w:vertAlign w:val="superscript"/>
        </w:rPr>
        <w:t>rd</w:t>
      </w:r>
      <w:r>
        <w:rPr>
          <w:rFonts w:ascii="Arial Black" w:hAnsi="Arial Black"/>
          <w:b/>
          <w:bCs/>
          <w:color w:val="454545"/>
          <w:sz w:val="28"/>
          <w:szCs w:val="28"/>
          <w:shd w:val="clear" w:color="auto" w:fill="FFFFFF"/>
        </w:rPr>
        <w:t xml:space="preserve"> FD – PRIOR ISSUES 3</w:t>
      </w:r>
      <w:r w:rsidRPr="00CE4862">
        <w:rPr>
          <w:rFonts w:ascii="Arial Black" w:hAnsi="Arial Black"/>
          <w:b/>
          <w:bCs/>
          <w:color w:val="454545"/>
          <w:sz w:val="28"/>
          <w:szCs w:val="28"/>
          <w:shd w:val="clear" w:color="auto" w:fill="FFFFFF"/>
          <w:vertAlign w:val="superscript"/>
        </w:rPr>
        <w:t>rd</w:t>
      </w:r>
      <w:r>
        <w:rPr>
          <w:rFonts w:ascii="Arial Black" w:hAnsi="Arial Black"/>
          <w:b/>
          <w:bCs/>
          <w:color w:val="454545"/>
          <w:sz w:val="28"/>
          <w:szCs w:val="28"/>
          <w:shd w:val="clear" w:color="auto" w:fill="FFFFFF"/>
        </w:rPr>
        <w:t xml:space="preserve"> FD’s INCIDENT COMMAND – QUAL. IMMUNITY </w:t>
      </w:r>
    </w:p>
    <w:p w14:paraId="469821F5" w14:textId="77777777" w:rsidR="00291569" w:rsidRDefault="00291569" w:rsidP="00291569">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 xml:space="preserve">On July 26, 2024, in </w:t>
      </w:r>
      <w:r w:rsidRPr="00A7779F">
        <w:rPr>
          <w:rFonts w:ascii="Times New Roman" w:hAnsi="Times New Roman"/>
          <w:sz w:val="24"/>
          <w:szCs w:val="24"/>
          <w:u w:val="single"/>
          <w:shd w:val="clear" w:color="auto" w:fill="FFFFFF"/>
        </w:rPr>
        <w:t>Lina Combs v. Jackson Fire Chief Chase Deaton</w:t>
      </w:r>
      <w:r>
        <w:rPr>
          <w:rFonts w:ascii="Times New Roman" w:hAnsi="Times New Roman"/>
          <w:sz w:val="24"/>
          <w:szCs w:val="24"/>
          <w:shd w:val="clear" w:color="auto" w:fill="FFFFFF"/>
        </w:rPr>
        <w:t>, the Court of Appeals of Kentucky held (3 to 0) that trial court properly dismissed the lawsuit regarding total loss of a commercial building in 2021.  The Fire Chief enjoys qualified immunity for discretionary duties; he testified that he called in two mutual aid FDs, but rejected offer for 3</w:t>
      </w:r>
      <w:r w:rsidRPr="00FF5775">
        <w:rPr>
          <w:rFonts w:ascii="Times New Roman" w:hAnsi="Times New Roman"/>
          <w:sz w:val="24"/>
          <w:szCs w:val="24"/>
          <w:shd w:val="clear" w:color="auto" w:fill="FFFFFF"/>
          <w:vertAlign w:val="superscript"/>
        </w:rPr>
        <w:t>rd</w:t>
      </w:r>
      <w:r>
        <w:rPr>
          <w:rFonts w:ascii="Times New Roman" w:hAnsi="Times New Roman"/>
          <w:sz w:val="24"/>
          <w:szCs w:val="24"/>
          <w:shd w:val="clear" w:color="auto" w:fill="FFFFFF"/>
        </w:rPr>
        <w:t xml:space="preserve"> FD since he has prior experience with that FD which “</w:t>
      </w:r>
      <w:r w:rsidRPr="007F35C2">
        <w:rPr>
          <w:rFonts w:ascii="Times New Roman" w:hAnsi="Times New Roman"/>
          <w:sz w:val="24"/>
          <w:szCs w:val="24"/>
          <w:shd w:val="clear" w:color="auto" w:fill="FFFFFF"/>
        </w:rPr>
        <w:t>do not fall within</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the incident command structure, will not listen to</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anything anybody tells them to do, which violates all</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National Incident Management System practices</w:t>
      </w:r>
      <w:r>
        <w:rPr>
          <w:rFonts w:ascii="Times New Roman" w:hAnsi="Times New Roman"/>
          <w:sz w:val="24"/>
          <w:szCs w:val="24"/>
          <w:shd w:val="clear" w:color="auto" w:fill="FFFFFF"/>
        </w:rPr>
        <w:t xml:space="preserve">.”  Court also rejected building owner’s argument that FD </w:t>
      </w:r>
      <w:proofErr w:type="gramStart"/>
      <w:r>
        <w:rPr>
          <w:rFonts w:ascii="Times New Roman" w:hAnsi="Times New Roman"/>
          <w:sz w:val="24"/>
          <w:szCs w:val="24"/>
          <w:shd w:val="clear" w:color="auto" w:fill="FFFFFF"/>
        </w:rPr>
        <w:t>liable</w:t>
      </w:r>
      <w:proofErr w:type="gramEnd"/>
      <w:r>
        <w:rPr>
          <w:rFonts w:ascii="Times New Roman" w:hAnsi="Times New Roman"/>
          <w:sz w:val="24"/>
          <w:szCs w:val="24"/>
          <w:shd w:val="clear" w:color="auto" w:fill="FFFFFF"/>
        </w:rPr>
        <w:t xml:space="preserve"> because one hydrant had low flow; hydrants regularly inspected, including in 2020.  </w:t>
      </w:r>
      <w:hyperlink r:id="rId882" w:history="1">
        <w:r w:rsidRPr="00D57CE5">
          <w:rPr>
            <w:rStyle w:val="Hyperlink"/>
            <w:rFonts w:ascii="Times New Roman" w:hAnsi="Times New Roman"/>
            <w:sz w:val="24"/>
            <w:szCs w:val="24"/>
            <w:shd w:val="clear" w:color="auto" w:fill="FFFFFF"/>
          </w:rPr>
          <w:t>https://cases.justia.com/kentucky/court-of-appeals/2024-2023-ca-1204-mr.pdf?ts=1722002681</w:t>
        </w:r>
      </w:hyperlink>
      <w:r>
        <w:rPr>
          <w:rFonts w:ascii="Times New Roman" w:hAnsi="Times New Roman"/>
          <w:sz w:val="24"/>
          <w:szCs w:val="24"/>
          <w:shd w:val="clear" w:color="auto" w:fill="FFFFFF"/>
        </w:rPr>
        <w:t xml:space="preserve"> </w:t>
      </w:r>
    </w:p>
    <w:p w14:paraId="555B8F57" w14:textId="77777777" w:rsidR="00291569" w:rsidRDefault="00291569" w:rsidP="00291569">
      <w:pPr>
        <w:pStyle w:val="NoSpacing"/>
        <w:rPr>
          <w:rFonts w:ascii="Times New Roman" w:hAnsi="Times New Roman"/>
          <w:sz w:val="24"/>
          <w:szCs w:val="24"/>
          <w:shd w:val="clear" w:color="auto" w:fill="FFFFFF"/>
        </w:rPr>
      </w:pPr>
    </w:p>
    <w:p w14:paraId="3496E68E" w14:textId="77777777" w:rsidR="00291569" w:rsidRDefault="00291569" w:rsidP="00291569">
      <w:pPr>
        <w:pStyle w:val="NoSpacing"/>
        <w:rPr>
          <w:rFonts w:ascii="Times New Roman" w:hAnsi="Times New Roman"/>
          <w:sz w:val="24"/>
          <w:szCs w:val="24"/>
          <w:shd w:val="clear" w:color="auto" w:fill="FFFFFF"/>
        </w:rPr>
      </w:pPr>
    </w:p>
    <w:p w14:paraId="1C17A949" w14:textId="77777777" w:rsidR="00291569" w:rsidRDefault="00291569" w:rsidP="00291569">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THE COURT HELD:</w:t>
      </w:r>
    </w:p>
    <w:p w14:paraId="52C604E0" w14:textId="77777777" w:rsidR="00291569" w:rsidRDefault="00291569" w:rsidP="00291569">
      <w:pPr>
        <w:pStyle w:val="NoSpacing"/>
        <w:rPr>
          <w:rFonts w:ascii="Times New Roman" w:hAnsi="Times New Roman"/>
          <w:sz w:val="24"/>
          <w:szCs w:val="24"/>
          <w:shd w:val="clear" w:color="auto" w:fill="FFFFFF"/>
        </w:rPr>
      </w:pPr>
    </w:p>
    <w:p w14:paraId="11B5D76D" w14:textId="77777777" w:rsidR="00291569" w:rsidRDefault="00291569" w:rsidP="00291569">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B13DF8">
        <w:rPr>
          <w:rFonts w:ascii="Times New Roman" w:hAnsi="Times New Roman"/>
          <w:sz w:val="24"/>
          <w:szCs w:val="24"/>
          <w:shd w:val="clear" w:color="auto" w:fill="FFFFFF"/>
        </w:rPr>
        <w:t>Deaton, in his official capacity as fire chief, is also afforded this same</w:t>
      </w:r>
      <w:r>
        <w:rPr>
          <w:rFonts w:ascii="Times New Roman" w:hAnsi="Times New Roman"/>
          <w:sz w:val="24"/>
          <w:szCs w:val="24"/>
          <w:shd w:val="clear" w:color="auto" w:fill="FFFFFF"/>
        </w:rPr>
        <w:t xml:space="preserve"> </w:t>
      </w:r>
      <w:r w:rsidRPr="00B13DF8">
        <w:rPr>
          <w:rFonts w:ascii="Times New Roman" w:hAnsi="Times New Roman"/>
          <w:sz w:val="24"/>
          <w:szCs w:val="24"/>
          <w:shd w:val="clear" w:color="auto" w:fill="FFFFFF"/>
        </w:rPr>
        <w:t>sovereign immunity as the city and the JFD.</w:t>
      </w:r>
    </w:p>
    <w:p w14:paraId="0816201B" w14:textId="77777777" w:rsidR="00291569" w:rsidRDefault="00291569" w:rsidP="00291569">
      <w:pPr>
        <w:pStyle w:val="NoSpacing"/>
        <w:ind w:left="720"/>
        <w:rPr>
          <w:rFonts w:ascii="Times New Roman" w:hAnsi="Times New Roman"/>
          <w:sz w:val="24"/>
          <w:szCs w:val="24"/>
          <w:shd w:val="clear" w:color="auto" w:fill="FFFFFF"/>
        </w:rPr>
      </w:pPr>
    </w:p>
    <w:p w14:paraId="53DA656D" w14:textId="77777777" w:rsidR="00291569" w:rsidRDefault="00291569" w:rsidP="00291569">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7C71FA95" w14:textId="77777777" w:rsidR="00291569" w:rsidRDefault="00291569" w:rsidP="00291569">
      <w:pPr>
        <w:pStyle w:val="NoSpacing"/>
        <w:ind w:left="720"/>
        <w:rPr>
          <w:rFonts w:ascii="Times New Roman" w:hAnsi="Times New Roman"/>
          <w:sz w:val="24"/>
          <w:szCs w:val="24"/>
          <w:shd w:val="clear" w:color="auto" w:fill="FFFFFF"/>
        </w:rPr>
      </w:pPr>
      <w:r w:rsidRPr="007A021B">
        <w:rPr>
          <w:rFonts w:ascii="Times New Roman" w:hAnsi="Times New Roman"/>
          <w:sz w:val="24"/>
          <w:szCs w:val="24"/>
          <w:shd w:val="clear" w:color="auto" w:fill="FFFFFF"/>
        </w:rPr>
        <w:t>We must move to individual capacity liability. Public officers and</w:t>
      </w:r>
      <w:r>
        <w:rPr>
          <w:rFonts w:ascii="Times New Roman" w:hAnsi="Times New Roman"/>
          <w:sz w:val="24"/>
          <w:szCs w:val="24"/>
          <w:shd w:val="clear" w:color="auto" w:fill="FFFFFF"/>
        </w:rPr>
        <w:t xml:space="preserve"> </w:t>
      </w:r>
      <w:r w:rsidRPr="007A021B">
        <w:rPr>
          <w:rFonts w:ascii="Times New Roman" w:hAnsi="Times New Roman"/>
          <w:sz w:val="24"/>
          <w:szCs w:val="24"/>
          <w:shd w:val="clear" w:color="auto" w:fill="FFFFFF"/>
        </w:rPr>
        <w:t>employees are entitled to qualified official immunity for negligent conduct when</w:t>
      </w:r>
      <w:r>
        <w:rPr>
          <w:rFonts w:ascii="Times New Roman" w:hAnsi="Times New Roman"/>
          <w:sz w:val="24"/>
          <w:szCs w:val="24"/>
          <w:shd w:val="clear" w:color="auto" w:fill="FFFFFF"/>
        </w:rPr>
        <w:t xml:space="preserve"> </w:t>
      </w:r>
      <w:r w:rsidRPr="007A021B">
        <w:rPr>
          <w:rFonts w:ascii="Times New Roman" w:hAnsi="Times New Roman"/>
          <w:sz w:val="24"/>
          <w:szCs w:val="24"/>
          <w:shd w:val="clear" w:color="auto" w:fill="FFFFFF"/>
        </w:rPr>
        <w:t>the negligent act or omissions were (1) discretionary acts or functions, that (2)</w:t>
      </w:r>
      <w:r>
        <w:rPr>
          <w:rFonts w:ascii="Times New Roman" w:hAnsi="Times New Roman"/>
          <w:sz w:val="24"/>
          <w:szCs w:val="24"/>
          <w:shd w:val="clear" w:color="auto" w:fill="FFFFFF"/>
        </w:rPr>
        <w:t xml:space="preserve"> </w:t>
      </w:r>
      <w:r w:rsidRPr="007A021B">
        <w:rPr>
          <w:rFonts w:ascii="Times New Roman" w:hAnsi="Times New Roman"/>
          <w:sz w:val="24"/>
          <w:szCs w:val="24"/>
          <w:shd w:val="clear" w:color="auto" w:fill="FFFFFF"/>
        </w:rPr>
        <w:t>were made in good faith (or more to the point not made in bad faith), and (3) were</w:t>
      </w:r>
      <w:r>
        <w:rPr>
          <w:rFonts w:ascii="Times New Roman" w:hAnsi="Times New Roman"/>
          <w:sz w:val="24"/>
          <w:szCs w:val="24"/>
          <w:shd w:val="clear" w:color="auto" w:fill="FFFFFF"/>
        </w:rPr>
        <w:t xml:space="preserve"> </w:t>
      </w:r>
      <w:r w:rsidRPr="007A021B">
        <w:rPr>
          <w:rFonts w:ascii="Times New Roman" w:hAnsi="Times New Roman"/>
          <w:sz w:val="24"/>
          <w:szCs w:val="24"/>
          <w:shd w:val="clear" w:color="auto" w:fill="FFFFFF"/>
        </w:rPr>
        <w:t>within the scope of the employee’s authority.</w:t>
      </w:r>
    </w:p>
    <w:p w14:paraId="3BA72D3A" w14:textId="77777777" w:rsidR="00291569" w:rsidRDefault="00291569" w:rsidP="00291569">
      <w:pPr>
        <w:pStyle w:val="NoSpacing"/>
        <w:ind w:left="720"/>
        <w:rPr>
          <w:rFonts w:ascii="Times New Roman" w:hAnsi="Times New Roman"/>
          <w:sz w:val="24"/>
          <w:szCs w:val="24"/>
          <w:shd w:val="clear" w:color="auto" w:fill="FFFFFF"/>
        </w:rPr>
      </w:pPr>
    </w:p>
    <w:p w14:paraId="177ED0BB" w14:textId="77777777" w:rsidR="00291569" w:rsidRDefault="00291569" w:rsidP="00291569">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771A546C" w14:textId="77777777" w:rsidR="00291569" w:rsidRDefault="00291569" w:rsidP="00291569">
      <w:pPr>
        <w:pStyle w:val="NoSpacing"/>
        <w:rPr>
          <w:rFonts w:ascii="Times New Roman" w:hAnsi="Times New Roman"/>
          <w:sz w:val="24"/>
          <w:szCs w:val="24"/>
          <w:shd w:val="clear" w:color="auto" w:fill="FFFFFF"/>
        </w:rPr>
      </w:pPr>
    </w:p>
    <w:p w14:paraId="48259FCE" w14:textId="77777777" w:rsidR="00291569" w:rsidRPr="00B95DA7" w:rsidRDefault="00291569" w:rsidP="00291569">
      <w:pPr>
        <w:pStyle w:val="NoSpacing"/>
        <w:ind w:firstLine="720"/>
        <w:rPr>
          <w:rFonts w:ascii="Times New Roman" w:hAnsi="Times New Roman"/>
          <w:sz w:val="24"/>
          <w:szCs w:val="24"/>
          <w:shd w:val="clear" w:color="auto" w:fill="FFFFFF"/>
        </w:rPr>
      </w:pPr>
      <w:r>
        <w:rPr>
          <w:rFonts w:ascii="Times New Roman" w:hAnsi="Times New Roman"/>
          <w:sz w:val="24"/>
          <w:szCs w:val="24"/>
          <w:shd w:val="clear" w:color="auto" w:fill="FFFFFF"/>
        </w:rPr>
        <w:t>T</w:t>
      </w:r>
      <w:r w:rsidRPr="00B95DA7">
        <w:rPr>
          <w:rFonts w:ascii="Times New Roman" w:hAnsi="Times New Roman"/>
          <w:sz w:val="24"/>
          <w:szCs w:val="24"/>
          <w:shd w:val="clear" w:color="auto" w:fill="FFFFFF"/>
        </w:rPr>
        <w:t>he</w:t>
      </w:r>
      <w:r>
        <w:rPr>
          <w:rFonts w:ascii="Times New Roman" w:hAnsi="Times New Roman"/>
          <w:sz w:val="24"/>
          <w:szCs w:val="24"/>
          <w:shd w:val="clear" w:color="auto" w:fill="FFFFFF"/>
        </w:rPr>
        <w:t xml:space="preserve"> </w:t>
      </w:r>
      <w:r w:rsidRPr="00B95DA7">
        <w:rPr>
          <w:rFonts w:ascii="Times New Roman" w:hAnsi="Times New Roman"/>
          <w:sz w:val="24"/>
          <w:szCs w:val="24"/>
          <w:shd w:val="clear" w:color="auto" w:fill="FFFFFF"/>
        </w:rPr>
        <w:t>circuit court found that Deaton’s actions in refusing assistance from QFD were</w:t>
      </w:r>
    </w:p>
    <w:p w14:paraId="66708351" w14:textId="77777777" w:rsidR="00291569" w:rsidRPr="00B95DA7" w:rsidRDefault="00291569" w:rsidP="00291569">
      <w:pPr>
        <w:pStyle w:val="NoSpacing"/>
        <w:ind w:firstLine="720"/>
        <w:rPr>
          <w:rFonts w:ascii="Times New Roman" w:hAnsi="Times New Roman"/>
          <w:sz w:val="24"/>
          <w:szCs w:val="24"/>
          <w:shd w:val="clear" w:color="auto" w:fill="FFFFFF"/>
        </w:rPr>
      </w:pPr>
      <w:r w:rsidRPr="00B95DA7">
        <w:rPr>
          <w:rFonts w:ascii="Times New Roman" w:hAnsi="Times New Roman"/>
          <w:sz w:val="24"/>
          <w:szCs w:val="24"/>
          <w:shd w:val="clear" w:color="auto" w:fill="FFFFFF"/>
        </w:rPr>
        <w:t>clearly discretionary. Further, the court found that Combs was unable to meet the</w:t>
      </w:r>
    </w:p>
    <w:p w14:paraId="056AA055" w14:textId="77777777" w:rsidR="00291569" w:rsidRDefault="00291569" w:rsidP="00291569">
      <w:pPr>
        <w:pStyle w:val="NoSpacing"/>
        <w:ind w:left="720"/>
        <w:rPr>
          <w:rFonts w:ascii="Times New Roman" w:hAnsi="Times New Roman"/>
          <w:sz w:val="24"/>
          <w:szCs w:val="24"/>
          <w:shd w:val="clear" w:color="auto" w:fill="FFFFFF"/>
        </w:rPr>
      </w:pPr>
      <w:r w:rsidRPr="00B95DA7">
        <w:rPr>
          <w:rFonts w:ascii="Times New Roman" w:hAnsi="Times New Roman"/>
          <w:sz w:val="24"/>
          <w:szCs w:val="24"/>
          <w:shd w:val="clear" w:color="auto" w:fill="FFFFFF"/>
        </w:rPr>
        <w:t>burden that Deaton had acted in bad faith in making his decisions.</w:t>
      </w:r>
      <w:r>
        <w:rPr>
          <w:rFonts w:ascii="Times New Roman" w:hAnsi="Times New Roman"/>
          <w:sz w:val="24"/>
          <w:szCs w:val="24"/>
          <w:shd w:val="clear" w:color="auto" w:fill="FFFFFF"/>
        </w:rPr>
        <w:t xml:space="preserve"> </w:t>
      </w:r>
    </w:p>
    <w:p w14:paraId="6695918D" w14:textId="77777777" w:rsidR="00291569" w:rsidRDefault="00291569" w:rsidP="00291569">
      <w:pPr>
        <w:pStyle w:val="NoSpacing"/>
        <w:ind w:left="720"/>
        <w:rPr>
          <w:rFonts w:ascii="Times New Roman" w:hAnsi="Times New Roman"/>
          <w:sz w:val="24"/>
          <w:szCs w:val="24"/>
          <w:shd w:val="clear" w:color="auto" w:fill="FFFFFF"/>
        </w:rPr>
      </w:pPr>
    </w:p>
    <w:p w14:paraId="12FDC2AA" w14:textId="77777777" w:rsidR="00291569" w:rsidRDefault="00291569" w:rsidP="00291569">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2C21B193" w14:textId="77777777" w:rsidR="00291569" w:rsidRDefault="00291569" w:rsidP="00291569">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The Fire Chief testified in his deposition:</w:t>
      </w:r>
    </w:p>
    <w:p w14:paraId="23A628A0" w14:textId="77777777" w:rsidR="00291569" w:rsidRDefault="00291569" w:rsidP="00291569">
      <w:pPr>
        <w:pStyle w:val="NoSpacing"/>
        <w:ind w:left="1440"/>
        <w:rPr>
          <w:rFonts w:ascii="Times New Roman" w:hAnsi="Times New Roman"/>
          <w:sz w:val="24"/>
          <w:szCs w:val="24"/>
          <w:shd w:val="clear" w:color="auto" w:fill="FFFFFF"/>
        </w:rPr>
      </w:pPr>
    </w:p>
    <w:p w14:paraId="38713BE5" w14:textId="77777777" w:rsidR="00291569" w:rsidRDefault="00291569" w:rsidP="00291569">
      <w:pPr>
        <w:pStyle w:val="NoSpacing"/>
        <w:ind w:left="1440"/>
        <w:rPr>
          <w:rFonts w:ascii="Times New Roman" w:hAnsi="Times New Roman"/>
          <w:sz w:val="24"/>
          <w:szCs w:val="24"/>
          <w:shd w:val="clear" w:color="auto" w:fill="FFFFFF"/>
        </w:rPr>
      </w:pPr>
      <w:r w:rsidRPr="007F35C2">
        <w:rPr>
          <w:rFonts w:ascii="Times New Roman" w:hAnsi="Times New Roman"/>
          <w:sz w:val="24"/>
          <w:szCs w:val="24"/>
          <w:shd w:val="clear" w:color="auto" w:fill="FFFFFF"/>
        </w:rPr>
        <w:t>The Quicksand Fire Department, we do not feel, was</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capable to fall with the incident command structure and</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keep themselves or somebody else from getting hurt or</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killed on that fire. The fire on Main Street was not your</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average, everyday single-wide trailer fire that you would</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go to. That building, that large with that much smoke</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buildup, and that much fire involvement could easily get</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somebody hurt or killed. With previous experience with</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Quicksand, they have put – and they do not fall within</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the incident command structure, will not listen to</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anything anybody tells them to do, which violates all</w:t>
      </w:r>
      <w:r>
        <w:rPr>
          <w:rFonts w:ascii="Times New Roman" w:hAnsi="Times New Roman"/>
          <w:sz w:val="24"/>
          <w:szCs w:val="24"/>
          <w:shd w:val="clear" w:color="auto" w:fill="FFFFFF"/>
        </w:rPr>
        <w:t xml:space="preserve"> </w:t>
      </w:r>
      <w:r w:rsidRPr="007F35C2">
        <w:rPr>
          <w:rFonts w:ascii="Times New Roman" w:hAnsi="Times New Roman"/>
          <w:sz w:val="24"/>
          <w:szCs w:val="24"/>
          <w:shd w:val="clear" w:color="auto" w:fill="FFFFFF"/>
        </w:rPr>
        <w:t>National Incident Management System practices</w:t>
      </w:r>
      <w:r>
        <w:rPr>
          <w:rFonts w:ascii="Times New Roman" w:hAnsi="Times New Roman"/>
          <w:sz w:val="24"/>
          <w:szCs w:val="24"/>
          <w:shd w:val="clear" w:color="auto" w:fill="FFFFFF"/>
        </w:rPr>
        <w:t>.</w:t>
      </w:r>
    </w:p>
    <w:p w14:paraId="6B139BC0" w14:textId="77777777" w:rsidR="00291569" w:rsidRDefault="00291569" w:rsidP="00291569">
      <w:pPr>
        <w:pStyle w:val="NoSpacing"/>
        <w:ind w:left="1440"/>
        <w:rPr>
          <w:rFonts w:ascii="Times New Roman" w:hAnsi="Times New Roman"/>
          <w:sz w:val="24"/>
          <w:szCs w:val="24"/>
          <w:shd w:val="clear" w:color="auto" w:fill="FFFFFF"/>
        </w:rPr>
      </w:pPr>
    </w:p>
    <w:p w14:paraId="6A4B139A" w14:textId="77777777" w:rsidR="00291569" w:rsidRDefault="00291569" w:rsidP="00291569">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5D3BE8B7" w14:textId="77777777" w:rsidR="00291569" w:rsidRDefault="00291569" w:rsidP="00291569">
      <w:pPr>
        <w:pStyle w:val="NoSpacing"/>
        <w:ind w:left="720"/>
        <w:rPr>
          <w:rFonts w:ascii="Times New Roman" w:hAnsi="Times New Roman"/>
          <w:sz w:val="24"/>
          <w:szCs w:val="24"/>
          <w:shd w:val="clear" w:color="auto" w:fill="FFFFFF"/>
        </w:rPr>
      </w:pPr>
    </w:p>
    <w:p w14:paraId="5E5B924A" w14:textId="77777777" w:rsidR="00291569" w:rsidRDefault="00291569" w:rsidP="00291569">
      <w:pPr>
        <w:pStyle w:val="NoSpacing"/>
        <w:ind w:left="720"/>
        <w:rPr>
          <w:rFonts w:ascii="Times New Roman" w:hAnsi="Times New Roman"/>
          <w:sz w:val="24"/>
          <w:szCs w:val="24"/>
          <w:shd w:val="clear" w:color="auto" w:fill="FFFFFF"/>
        </w:rPr>
      </w:pPr>
      <w:r w:rsidRPr="00897E8C">
        <w:rPr>
          <w:rFonts w:ascii="Times New Roman" w:hAnsi="Times New Roman"/>
          <w:sz w:val="24"/>
          <w:szCs w:val="24"/>
          <w:shd w:val="clear" w:color="auto" w:fill="FFFFFF"/>
        </w:rPr>
        <w:t>Combs was unable to show a breach of any ministerial duty to inspect</w:t>
      </w:r>
      <w:r>
        <w:rPr>
          <w:rFonts w:ascii="Times New Roman" w:hAnsi="Times New Roman"/>
          <w:sz w:val="24"/>
          <w:szCs w:val="24"/>
          <w:shd w:val="clear" w:color="auto" w:fill="FFFFFF"/>
        </w:rPr>
        <w:t xml:space="preserve"> </w:t>
      </w:r>
      <w:r w:rsidRPr="00897E8C">
        <w:rPr>
          <w:rFonts w:ascii="Times New Roman" w:hAnsi="Times New Roman"/>
          <w:sz w:val="24"/>
          <w:szCs w:val="24"/>
          <w:shd w:val="clear" w:color="auto" w:fill="FFFFFF"/>
        </w:rPr>
        <w:t>and maintain the fire hydrants in the city by Deaton in his job of fire chief nor any</w:t>
      </w:r>
      <w:r>
        <w:rPr>
          <w:rFonts w:ascii="Times New Roman" w:hAnsi="Times New Roman"/>
          <w:sz w:val="24"/>
          <w:szCs w:val="24"/>
          <w:shd w:val="clear" w:color="auto" w:fill="FFFFFF"/>
        </w:rPr>
        <w:t xml:space="preserve"> </w:t>
      </w:r>
      <w:r w:rsidRPr="00897E8C">
        <w:rPr>
          <w:rFonts w:ascii="Times New Roman" w:hAnsi="Times New Roman"/>
          <w:sz w:val="24"/>
          <w:szCs w:val="24"/>
          <w:shd w:val="clear" w:color="auto" w:fill="FFFFFF"/>
        </w:rPr>
        <w:t>causation between the water available at the location of the hydrant as compared to</w:t>
      </w:r>
      <w:r>
        <w:rPr>
          <w:rFonts w:ascii="Times New Roman" w:hAnsi="Times New Roman"/>
          <w:sz w:val="24"/>
          <w:szCs w:val="24"/>
          <w:shd w:val="clear" w:color="auto" w:fill="FFFFFF"/>
        </w:rPr>
        <w:t xml:space="preserve"> </w:t>
      </w:r>
      <w:r w:rsidRPr="00897E8C">
        <w:rPr>
          <w:rFonts w:ascii="Times New Roman" w:hAnsi="Times New Roman"/>
          <w:sz w:val="24"/>
          <w:szCs w:val="24"/>
          <w:shd w:val="clear" w:color="auto" w:fill="FFFFFF"/>
        </w:rPr>
        <w:t>other water sources.</w:t>
      </w:r>
      <w:r>
        <w:rPr>
          <w:rFonts w:ascii="Times New Roman" w:hAnsi="Times New Roman"/>
          <w:sz w:val="24"/>
          <w:szCs w:val="24"/>
          <w:shd w:val="clear" w:color="auto" w:fill="FFFFFF"/>
        </w:rPr>
        <w:t>”</w:t>
      </w:r>
    </w:p>
    <w:p w14:paraId="0C496BD5" w14:textId="77777777" w:rsidR="00291569" w:rsidRDefault="00291569" w:rsidP="002B1283">
      <w:pPr>
        <w:rPr>
          <w:rStyle w:val="Hyperlink"/>
          <w:rFonts w:ascii="Arial Black" w:hAnsi="Arial Black"/>
          <w:b/>
          <w:color w:val="auto"/>
          <w:sz w:val="24"/>
          <w:szCs w:val="24"/>
          <w:u w:val="none"/>
        </w:rPr>
      </w:pPr>
    </w:p>
    <w:p w14:paraId="5FDCA7DD" w14:textId="77777777" w:rsidR="0038005B" w:rsidRDefault="0038005B" w:rsidP="0038005B">
      <w:pPr>
        <w:pStyle w:val="NoSpacing"/>
        <w:rPr>
          <w:rFonts w:ascii="Times New Roman" w:hAnsi="Times New Roman"/>
          <w:b/>
          <w:bCs/>
          <w:sz w:val="24"/>
          <w:szCs w:val="24"/>
          <w:shd w:val="clear" w:color="auto" w:fill="FFFFFF"/>
        </w:rPr>
      </w:pPr>
      <w:r w:rsidRPr="00011B41">
        <w:rPr>
          <w:rFonts w:ascii="Times New Roman" w:hAnsi="Times New Roman"/>
          <w:b/>
          <w:bCs/>
          <w:sz w:val="24"/>
          <w:szCs w:val="24"/>
          <w:shd w:val="clear" w:color="auto" w:fill="FFFFFF"/>
        </w:rPr>
        <w:t xml:space="preserve">Legal Lesson Learned: </w:t>
      </w:r>
      <w:r>
        <w:rPr>
          <w:rFonts w:ascii="Times New Roman" w:hAnsi="Times New Roman"/>
          <w:b/>
          <w:bCs/>
          <w:sz w:val="24"/>
          <w:szCs w:val="24"/>
          <w:shd w:val="clear" w:color="auto" w:fill="FFFFFF"/>
        </w:rPr>
        <w:t xml:space="preserve">Fire Chief has qualified immunity in making discretionary decisions in good faith, including rejecting mutual aid from </w:t>
      </w:r>
      <w:proofErr w:type="gramStart"/>
      <w:r>
        <w:rPr>
          <w:rFonts w:ascii="Times New Roman" w:hAnsi="Times New Roman"/>
          <w:b/>
          <w:bCs/>
          <w:sz w:val="24"/>
          <w:szCs w:val="24"/>
          <w:shd w:val="clear" w:color="auto" w:fill="FFFFFF"/>
        </w:rPr>
        <w:t>a FD</w:t>
      </w:r>
      <w:proofErr w:type="gramEnd"/>
      <w:r>
        <w:rPr>
          <w:rFonts w:ascii="Times New Roman" w:hAnsi="Times New Roman"/>
          <w:b/>
          <w:bCs/>
          <w:sz w:val="24"/>
          <w:szCs w:val="24"/>
          <w:shd w:val="clear" w:color="auto" w:fill="FFFFFF"/>
        </w:rPr>
        <w:t xml:space="preserve"> that does not follow incident command. </w:t>
      </w:r>
    </w:p>
    <w:p w14:paraId="135FDE37" w14:textId="77777777" w:rsidR="0038005B" w:rsidRDefault="0038005B" w:rsidP="002B1283">
      <w:pPr>
        <w:rPr>
          <w:rStyle w:val="Hyperlink"/>
          <w:rFonts w:ascii="Arial Black" w:hAnsi="Arial Black"/>
          <w:b/>
          <w:color w:val="auto"/>
          <w:sz w:val="24"/>
          <w:szCs w:val="24"/>
          <w:u w:val="none"/>
        </w:rPr>
      </w:pPr>
    </w:p>
    <w:p w14:paraId="16CCE250" w14:textId="77777777" w:rsidR="00291569" w:rsidRDefault="00291569" w:rsidP="002B1283">
      <w:pPr>
        <w:rPr>
          <w:rStyle w:val="Hyperlink"/>
          <w:rFonts w:ascii="Arial Black" w:hAnsi="Arial Black"/>
          <w:b/>
          <w:color w:val="auto"/>
          <w:sz w:val="24"/>
          <w:szCs w:val="24"/>
          <w:u w:val="none"/>
        </w:rPr>
      </w:pPr>
    </w:p>
    <w:p w14:paraId="56C6B570" w14:textId="680EB1EE" w:rsidR="00DA1A0E" w:rsidRDefault="00DA1A0E"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lastRenderedPageBreak/>
        <w:t>4-38</w:t>
      </w:r>
    </w:p>
    <w:p w14:paraId="6145F2A6" w14:textId="65A93D2E" w:rsidR="004854DD" w:rsidRPr="00346517" w:rsidRDefault="004854DD" w:rsidP="004854DD">
      <w:pPr>
        <w:pStyle w:val="NormalWeb"/>
        <w:rPr>
          <w:rFonts w:ascii="Arial Black" w:hAnsi="Arial Black"/>
          <w:sz w:val="28"/>
          <w:szCs w:val="28"/>
        </w:rPr>
      </w:pPr>
      <w:r>
        <w:rPr>
          <w:rFonts w:ascii="Arial Black" w:hAnsi="Arial Black"/>
          <w:sz w:val="28"/>
          <w:szCs w:val="28"/>
        </w:rPr>
        <w:t>NC: FIRE 2-STORY BLDG – 4 TEENAGERS DIED -  911 “HUNKER DOWN” – $9 MILLION – 2 INSUR. CO. PAY</w:t>
      </w:r>
    </w:p>
    <w:p w14:paraId="537AAA83" w14:textId="77777777" w:rsidR="004854DD" w:rsidRDefault="004854DD" w:rsidP="004854DD">
      <w:pPr>
        <w:pStyle w:val="NormalWeb"/>
      </w:pPr>
      <w:r>
        <w:t xml:space="preserve">On March 13, 2024, </w:t>
      </w:r>
      <w:r w:rsidRPr="009D242E">
        <w:rPr>
          <w:u w:val="single"/>
        </w:rPr>
        <w:t xml:space="preserve">in </w:t>
      </w:r>
      <w:proofErr w:type="spellStart"/>
      <w:r w:rsidRPr="009D242E">
        <w:rPr>
          <w:u w:val="single"/>
        </w:rPr>
        <w:t>Velers</w:t>
      </w:r>
      <w:proofErr w:type="spellEnd"/>
      <w:r w:rsidRPr="009D242E">
        <w:rPr>
          <w:u w:val="single"/>
        </w:rPr>
        <w:t xml:space="preserve"> Indemnity The Travelers Indemnity Company v. American Alternative Insurance Corporation</w:t>
      </w:r>
      <w:r>
        <w:t>, United States District Court Judge Loretta C. Biggs, U.S. District Court for Middle District of North Carolina, held that after Travelers (insured Surry County) settled for policy limit ($9 million), is entitled to $1 million contribution from AAIC (insured Surry County Emergency Services) for the May 20, 2019 fire at two-story apartment building where four teenagers died of smoke inhalation. The 911 Dispatcher advised the caller to “hunker down and shelter in place,” promising that she and the other Victims would be rescued.  Court agreed with Travelers that the 911 Operators were performing operations “incidental to” the emergency services provided by S.C. Emergency Services and are therefore covered by the AAIC policies.</w:t>
      </w:r>
    </w:p>
    <w:p w14:paraId="1EC08086"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23EC461F" w14:textId="77777777" w:rsidR="004854DD" w:rsidRDefault="004854DD" w:rsidP="004854DD">
      <w:pPr>
        <w:pStyle w:val="NormalWeb"/>
        <w:ind w:left="720"/>
      </w:pPr>
      <w:r>
        <w:t>“Plaintiff The Travelers Indemnity Company (‘Travelers’) initiated this action under the Declaratory Judgment Act, 28 U.S.C. § 2201, seeking a declaratory judgment against American Alternative Insurance Corporation (‘AAIC’), alleging that AAIC failed to fulfill its obligation to contribute to the defense and settlement of two underlying state actions involving AAIC's insured, Surry County, and its employees.</w:t>
      </w:r>
    </w:p>
    <w:p w14:paraId="3A4AE7A2" w14:textId="77777777" w:rsidR="004854DD" w:rsidRDefault="004854DD" w:rsidP="004854DD">
      <w:pPr>
        <w:pStyle w:val="NormalWeb"/>
        <w:ind w:left="720"/>
      </w:pPr>
      <w:r>
        <w:t>***</w:t>
      </w:r>
    </w:p>
    <w:p w14:paraId="66A4F98E" w14:textId="77777777" w:rsidR="004854DD" w:rsidRDefault="004854DD" w:rsidP="004854DD">
      <w:pPr>
        <w:pStyle w:val="NormalWeb"/>
        <w:ind w:left="720"/>
      </w:pPr>
      <w:r>
        <w:t>In sum, the Court concludes that AAIC is required to contribute to the settlement of the Underlying Lawsuits with respect to its AAIC General Liability Policy in the amount of $1,000,000.”</w:t>
      </w:r>
    </w:p>
    <w:p w14:paraId="0B608483" w14:textId="77777777" w:rsidR="004854DD" w:rsidRPr="00396FA2" w:rsidRDefault="004854DD" w:rsidP="004854DD">
      <w:pPr>
        <w:pStyle w:val="NormalWeb"/>
        <w:rPr>
          <w:b/>
          <w:bCs/>
        </w:rPr>
      </w:pPr>
      <w:r w:rsidRPr="00396FA2">
        <w:rPr>
          <w:b/>
          <w:bCs/>
        </w:rPr>
        <w:t>Legal Lesson Learned</w:t>
      </w:r>
      <w:r>
        <w:rPr>
          <w:b/>
          <w:bCs/>
        </w:rPr>
        <w:t>: 911 Dispatchers should review their policy regarding advice to victims trapped in 2</w:t>
      </w:r>
      <w:r w:rsidRPr="00396FA2">
        <w:rPr>
          <w:b/>
          <w:bCs/>
          <w:vertAlign w:val="superscript"/>
        </w:rPr>
        <w:t>nd</w:t>
      </w:r>
      <w:r>
        <w:rPr>
          <w:b/>
          <w:bCs/>
        </w:rPr>
        <w:t xml:space="preserve"> floor apartment fire. </w:t>
      </w:r>
    </w:p>
    <w:p w14:paraId="10C85728" w14:textId="77777777" w:rsidR="004854DD" w:rsidRDefault="004854DD" w:rsidP="004854DD">
      <w:pPr>
        <w:pStyle w:val="NormalWeb"/>
        <w:rPr>
          <w:rFonts w:ascii="Arial Black" w:hAnsi="Arial Black"/>
          <w:sz w:val="28"/>
          <w:szCs w:val="28"/>
        </w:rPr>
      </w:pPr>
    </w:p>
    <w:p w14:paraId="4B894895" w14:textId="77777777" w:rsidR="004854DD" w:rsidRDefault="004854DD" w:rsidP="002B1283">
      <w:pPr>
        <w:rPr>
          <w:rStyle w:val="Hyperlink"/>
          <w:rFonts w:ascii="Arial Black" w:hAnsi="Arial Black"/>
          <w:b/>
          <w:color w:val="auto"/>
          <w:sz w:val="24"/>
          <w:szCs w:val="24"/>
          <w:u w:val="none"/>
        </w:rPr>
      </w:pPr>
    </w:p>
    <w:p w14:paraId="670DCF69" w14:textId="77777777" w:rsidR="00DA1A0E" w:rsidRDefault="00DA1A0E" w:rsidP="002B1283">
      <w:pPr>
        <w:rPr>
          <w:rStyle w:val="Hyperlink"/>
          <w:rFonts w:ascii="Arial Black" w:hAnsi="Arial Black"/>
          <w:b/>
          <w:color w:val="auto"/>
          <w:sz w:val="24"/>
          <w:szCs w:val="24"/>
          <w:u w:val="none"/>
        </w:rPr>
      </w:pPr>
    </w:p>
    <w:p w14:paraId="65E445A6" w14:textId="1E4F6621" w:rsidR="005E33B5" w:rsidRDefault="005E33B5"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4-37</w:t>
      </w:r>
    </w:p>
    <w:p w14:paraId="7AB8273E" w14:textId="77777777" w:rsidR="002D4402" w:rsidRPr="00A00DF4" w:rsidRDefault="002D4402" w:rsidP="002D4402">
      <w:pPr>
        <w:pStyle w:val="NormalWeb"/>
        <w:rPr>
          <w:rFonts w:ascii="Arial Black" w:hAnsi="Arial Black"/>
          <w:sz w:val="28"/>
          <w:szCs w:val="28"/>
        </w:rPr>
      </w:pPr>
      <w:r>
        <w:rPr>
          <w:rFonts w:ascii="Arial Black" w:hAnsi="Arial Black"/>
          <w:sz w:val="28"/>
          <w:szCs w:val="28"/>
        </w:rPr>
        <w:t xml:space="preserve">TX: MAN INVADES HOME - POLICE EXPLOSIVE DEVICES, SUICIDE – JURY $60K DAMAGE – REVERSED – EMERGENCY </w:t>
      </w:r>
    </w:p>
    <w:p w14:paraId="05C680D2" w14:textId="3F5B37AF" w:rsidR="002D4402" w:rsidRDefault="002D4402" w:rsidP="002D4402">
      <w:pPr>
        <w:pStyle w:val="NormalWeb"/>
      </w:pPr>
      <w:r>
        <w:t xml:space="preserve">On Feb. 14, 2024, in </w:t>
      </w:r>
      <w:r w:rsidRPr="00001DEA">
        <w:rPr>
          <w:u w:val="single"/>
        </w:rPr>
        <w:t>Vickie Baker v. City of McKinney, Texas</w:t>
      </w:r>
      <w:r>
        <w:t xml:space="preserve">, the U.S. Court of Appeals for Fifth Circuit (New Orleans) refused to re-hear </w:t>
      </w:r>
      <w:proofErr w:type="spellStart"/>
      <w:r>
        <w:t>en</w:t>
      </w:r>
      <w:proofErr w:type="spellEnd"/>
      <w:r>
        <w:t xml:space="preserve"> banc (all the judges; 11 voted against re-hearing; 6 voted for rehearing) the home owner’s appeal to 3-judge panel decision that the City does not need to reimburse her for damage they caused because it was an emergency response to protect the public.  Her homeowner’s insurance also denied coverage under the terms of its policy.  </w:t>
      </w:r>
      <w:hyperlink r:id="rId883" w:history="1">
        <w:r w:rsidR="008D1A90" w:rsidRPr="008D12DC">
          <w:rPr>
            <w:rStyle w:val="Hyperlink"/>
          </w:rPr>
          <w:t>https://caselaw.findlaw.com/court/us-5th-circuit/115838888.html</w:t>
        </w:r>
      </w:hyperlink>
      <w:r w:rsidR="008D1A90">
        <w:t xml:space="preserve"> </w:t>
      </w:r>
    </w:p>
    <w:p w14:paraId="05FB0945" w14:textId="63DFDB24" w:rsidR="00E65362" w:rsidRDefault="00E65362" w:rsidP="002D4402">
      <w:pPr>
        <w:pStyle w:val="NormalWeb"/>
      </w:pPr>
      <w:r w:rsidRPr="00E65362">
        <w:t xml:space="preserve">84 F.4th 378 (5th Cir. 2023), </w:t>
      </w:r>
      <w:r w:rsidRPr="00E65362">
        <w:rPr>
          <w:i/>
          <w:iCs/>
        </w:rPr>
        <w:t>reh’g denied</w:t>
      </w:r>
      <w:r w:rsidRPr="00E65362">
        <w:t>, 93 F.4th 251 (5th Cir. 2024).</w:t>
      </w:r>
    </w:p>
    <w:p w14:paraId="2B489F2E" w14:textId="77777777" w:rsidR="002D4402" w:rsidRDefault="002D4402" w:rsidP="002D4402">
      <w:pPr>
        <w:pStyle w:val="NormalWeb"/>
      </w:pPr>
      <w:r>
        <w:lastRenderedPageBreak/>
        <w:t xml:space="preserve">Three judges’ dissenting opinion: </w:t>
      </w:r>
    </w:p>
    <w:p w14:paraId="1C0F659B" w14:textId="77777777" w:rsidR="002D4402" w:rsidRDefault="002D4402" w:rsidP="002D4402">
      <w:pPr>
        <w:pStyle w:val="NormalWeb"/>
        <w:ind w:left="720"/>
      </w:pPr>
      <w:r>
        <w:t>“</w:t>
      </w:r>
      <w:proofErr w:type="gramStart"/>
      <w:r>
        <w:t>So</w:t>
      </w:r>
      <w:proofErr w:type="gramEnd"/>
      <w:r>
        <w:t xml:space="preserve"> Vicki Baker understandably invoked that [Fifth] Amendment to recover from the City of McKinney the tens of thousands of dollars of property damage she suffered </w:t>
      </w:r>
      <w:proofErr w:type="gramStart"/>
      <w:r>
        <w:t>as a result of</w:t>
      </w:r>
      <w:proofErr w:type="gramEnd"/>
      <w:r>
        <w:t xml:space="preserve"> McKinney police efforts to protect the community from a fugitive that sought cover in her home. The (3-judge) panel expressed ‘sympathy’ for Baker. But it denied her claim based on the novel holding that history and tradition recognize a ‘necessity’ exception to the otherwise broad protections of the Takings Clause. We are unsure whether such a privilege exists. Even if it does, we find the panel's reasoning unsatisfactory—perhaps unsurprisingly because the panel reached its ostensibly originalist conclusion without the benefit of briefing on the historical evidence. We therefore respectfully regret this court's decision to deny rehearing </w:t>
      </w:r>
      <w:proofErr w:type="spellStart"/>
      <w:r>
        <w:t>en</w:t>
      </w:r>
      <w:proofErr w:type="spellEnd"/>
      <w:r>
        <w:t xml:space="preserve"> banc.”</w:t>
      </w:r>
    </w:p>
    <w:p w14:paraId="579E4567" w14:textId="77777777" w:rsidR="002D4402" w:rsidRPr="00E50C20" w:rsidRDefault="002D4402" w:rsidP="002D4402">
      <w:pPr>
        <w:pStyle w:val="NormalWeb"/>
        <w:rPr>
          <w:b/>
          <w:bCs/>
        </w:rPr>
      </w:pPr>
      <w:r w:rsidRPr="00E50C20">
        <w:rPr>
          <w:b/>
          <w:bCs/>
        </w:rPr>
        <w:t xml:space="preserve">Legal Lesson Learned: </w:t>
      </w:r>
      <w:r>
        <w:rPr>
          <w:b/>
          <w:bCs/>
        </w:rPr>
        <w:t xml:space="preserve">Courts have long recognized the emergency exception for municipal  tort liability. </w:t>
      </w:r>
    </w:p>
    <w:p w14:paraId="6DD95CA7" w14:textId="77777777" w:rsidR="002D4402" w:rsidRDefault="002D4402" w:rsidP="002D4402">
      <w:pPr>
        <w:pStyle w:val="NormalWeb"/>
        <w:ind w:left="720"/>
      </w:pPr>
      <w:r>
        <w:t>Note:   The Court in this case referenced history of stooping spread of fires in London by taking down neighboring buildings.</w:t>
      </w:r>
    </w:p>
    <w:p w14:paraId="46C46383" w14:textId="77777777" w:rsidR="002D4402" w:rsidRDefault="002D4402" w:rsidP="002D4402">
      <w:pPr>
        <w:pStyle w:val="NormalWeb"/>
        <w:ind w:left="1440"/>
      </w:pPr>
      <w:r>
        <w:t xml:space="preserve">“The destruction wrought by municipal fires before the rise of modern fire codes was often great, see </w:t>
      </w:r>
      <w:proofErr w:type="spellStart"/>
      <w:r>
        <w:t>Respublica</w:t>
      </w:r>
      <w:proofErr w:type="spellEnd"/>
      <w:r>
        <w:t xml:space="preserve">, 1 U.S. at 363 (noting half of London was burnt in the great fire of 1666), and the razing of buildings was the principal means to stop the spread. But razing buildings </w:t>
      </w:r>
      <w:proofErr w:type="gramStart"/>
      <w:r>
        <w:t>is</w:t>
      </w:r>
      <w:proofErr w:type="gramEnd"/>
      <w:r>
        <w:t xml:space="preserve"> tortious. </w:t>
      </w:r>
      <w:proofErr w:type="gramStart"/>
      <w:r>
        <w:t>So</w:t>
      </w:r>
      <w:proofErr w:type="gramEnd"/>
      <w:r>
        <w:t xml:space="preserve"> absent some privilege, an individual—whether a public official or a private citizen—who razed a building would be individually liable in tort. Obviously, a rule that stuck individuals with liability for interventions taken to halt conflagrations would deter public promoting behavior from all but the most heroic, no matter how much good could have been achieved through a well-calculated intervention. And it would seem unfair to hold people liable for doing what was necessary to cope with an emergency. So common law courts fashioned a rule to allow individuals to tear down property when doing so was reasonably necessary to prevent the spread of a fire. See Field, 39 Iowa at 577– 78 (citing, inter alia, Mouse's Case, 12 Coke Rep. 63 (1608)); see also Bowditch v. Boston, 101 U.S. 16, 25 </w:t>
      </w:r>
      <w:proofErr w:type="spellStart"/>
      <w:r>
        <w:t>L.Ed</w:t>
      </w:r>
      <w:proofErr w:type="spellEnd"/>
      <w:r>
        <w:t>. 980 (1879) (finding a public necessity privilege in Massachusetts law).”</w:t>
      </w:r>
    </w:p>
    <w:p w14:paraId="772A6158" w14:textId="77777777" w:rsidR="002D4402" w:rsidRDefault="002D4402" w:rsidP="002D4402">
      <w:pPr>
        <w:pStyle w:val="NormalWeb"/>
        <w:ind w:left="720"/>
      </w:pPr>
      <w:r>
        <w:t xml:space="preserve">Read the Oct. 11, </w:t>
      </w:r>
      <w:proofErr w:type="gramStart"/>
      <w:r>
        <w:t>2023</w:t>
      </w:r>
      <w:proofErr w:type="gramEnd"/>
      <w:r>
        <w:t xml:space="preserve"> panel decision: </w:t>
      </w:r>
      <w:hyperlink r:id="rId884" w:history="1">
        <w:r w:rsidRPr="00E007C4">
          <w:rPr>
            <w:rStyle w:val="Hyperlink"/>
          </w:rPr>
          <w:t>https://cases.justia.com/federal/appellate-courts/ca5/22-40644/22-40644-2023-10-11.pdf?ts=1697067069</w:t>
        </w:r>
      </w:hyperlink>
      <w:r>
        <w:t xml:space="preserve"> </w:t>
      </w:r>
    </w:p>
    <w:p w14:paraId="2E74A390" w14:textId="2409239F" w:rsidR="002C0E67" w:rsidRDefault="00E66578" w:rsidP="002D4402">
      <w:pPr>
        <w:pStyle w:val="NormalWeb"/>
        <w:ind w:left="720"/>
      </w:pPr>
      <w:r>
        <w:t xml:space="preserve">See Harvard Law School article, June 2024. </w:t>
      </w:r>
      <w:hyperlink r:id="rId885" w:history="1">
        <w:r w:rsidR="00EC5C38" w:rsidRPr="008D12DC">
          <w:rPr>
            <w:rStyle w:val="Hyperlink"/>
          </w:rPr>
          <w:t>https://harvardlawreview.org/print/vol-137/baker-v-city-of-mckinney/</w:t>
        </w:r>
      </w:hyperlink>
      <w:r w:rsidR="00EC5C38">
        <w:t xml:space="preserve"> </w:t>
      </w:r>
    </w:p>
    <w:p w14:paraId="18583D89" w14:textId="2CC5CFDB" w:rsidR="005E33B5" w:rsidRPr="00146711" w:rsidRDefault="00146711" w:rsidP="00146711">
      <w:pPr>
        <w:ind w:left="720"/>
        <w:rPr>
          <w:rStyle w:val="Hyperlink"/>
          <w:rFonts w:ascii="Times New Roman" w:hAnsi="Times New Roman"/>
          <w:bCs/>
          <w:color w:val="auto"/>
          <w:sz w:val="24"/>
          <w:szCs w:val="24"/>
          <w:u w:val="none"/>
        </w:rPr>
      </w:pPr>
      <w:r w:rsidRPr="00146711">
        <w:rPr>
          <w:rStyle w:val="Hyperlink"/>
          <w:rFonts w:ascii="Times New Roman" w:hAnsi="Times New Roman"/>
          <w:bCs/>
          <w:color w:val="auto"/>
          <w:sz w:val="24"/>
          <w:szCs w:val="24"/>
          <w:u w:val="none"/>
        </w:rPr>
        <w:t xml:space="preserve">See amicus brief, Aug. 1, </w:t>
      </w:r>
      <w:proofErr w:type="gramStart"/>
      <w:r w:rsidRPr="00146711">
        <w:rPr>
          <w:rStyle w:val="Hyperlink"/>
          <w:rFonts w:ascii="Times New Roman" w:hAnsi="Times New Roman"/>
          <w:bCs/>
          <w:color w:val="auto"/>
          <w:sz w:val="24"/>
          <w:szCs w:val="24"/>
          <w:u w:val="none"/>
        </w:rPr>
        <w:t>2024</w:t>
      </w:r>
      <w:proofErr w:type="gramEnd"/>
      <w:r w:rsidRPr="00146711">
        <w:rPr>
          <w:rStyle w:val="Hyperlink"/>
          <w:rFonts w:ascii="Times New Roman" w:hAnsi="Times New Roman"/>
          <w:bCs/>
          <w:color w:val="auto"/>
          <w:sz w:val="24"/>
          <w:szCs w:val="24"/>
          <w:u w:val="none"/>
        </w:rPr>
        <w:t xml:space="preserve"> filed with U.S. Supreme Court: </w:t>
      </w:r>
      <w:hyperlink r:id="rId886" w:history="1">
        <w:r w:rsidRPr="008D12DC">
          <w:rPr>
            <w:rStyle w:val="Hyperlink"/>
            <w:rFonts w:ascii="Times New Roman" w:hAnsi="Times New Roman"/>
            <w:bCs/>
            <w:sz w:val="24"/>
            <w:szCs w:val="24"/>
          </w:rPr>
          <w:t>https://www.supremecourt.gov/DocketPDF/23/23-1363/321368/20240801101848884_Baker%20v.%20City%20of%20McKinney_%20Texas%20-%20Amicus%20Brief%20in%20Support%20of%20Petitioner.pdf</w:t>
        </w:r>
      </w:hyperlink>
      <w:r w:rsidRPr="00146711">
        <w:rPr>
          <w:rStyle w:val="Hyperlink"/>
          <w:rFonts w:ascii="Times New Roman" w:hAnsi="Times New Roman"/>
          <w:bCs/>
          <w:color w:val="auto"/>
          <w:sz w:val="24"/>
          <w:szCs w:val="24"/>
          <w:u w:val="none"/>
        </w:rPr>
        <w:t xml:space="preserve"> </w:t>
      </w:r>
    </w:p>
    <w:p w14:paraId="774DBEA4" w14:textId="0CA7B1AF" w:rsidR="00233F5D" w:rsidRDefault="00B83C64"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4-36</w:t>
      </w:r>
    </w:p>
    <w:p w14:paraId="15683429" w14:textId="77777777" w:rsidR="008041EF" w:rsidRPr="00CE417E" w:rsidRDefault="008041EF" w:rsidP="008041EF">
      <w:pPr>
        <w:pStyle w:val="NormalWeb"/>
        <w:rPr>
          <w:rFonts w:ascii="Arial Black" w:hAnsi="Arial Black"/>
          <w:sz w:val="28"/>
          <w:szCs w:val="28"/>
        </w:rPr>
      </w:pPr>
      <w:r>
        <w:rPr>
          <w:rFonts w:ascii="Arial Black" w:hAnsi="Arial Black"/>
          <w:sz w:val="28"/>
          <w:szCs w:val="28"/>
        </w:rPr>
        <w:t>NV: FOREST FIRE – FIRST 11 DAYS FOREST SERVICE ONLY “MONITORED” - 18 PROPERTY OWNERS – CASE DISMISSED</w:t>
      </w:r>
    </w:p>
    <w:p w14:paraId="59A5B480" w14:textId="77777777" w:rsidR="008041EF" w:rsidRDefault="008041EF" w:rsidP="008041EF">
      <w:pPr>
        <w:pStyle w:val="NormalWeb"/>
      </w:pPr>
      <w:r>
        <w:t xml:space="preserve">On Jan. 23, 2024, in </w:t>
      </w:r>
      <w:r w:rsidRPr="00104D81">
        <w:rPr>
          <w:u w:val="single"/>
        </w:rPr>
        <w:t>Tyrone R. Atwater v. The United States of America</w:t>
      </w:r>
      <w:r>
        <w:t xml:space="preserve">, U.S. District Court Judge William B. </w:t>
      </w:r>
      <w:proofErr w:type="spellStart"/>
      <w:r>
        <w:t>Shubb</w:t>
      </w:r>
      <w:proofErr w:type="spellEnd"/>
      <w:r>
        <w:t xml:space="preserve">, U.S. District Court for Eastern District of California, granted the Government’s motion to dismiss.  </w:t>
      </w:r>
      <w:r>
        <w:lastRenderedPageBreak/>
        <w:t xml:space="preserve">Federal Tort Claims Act does not allow claims based on government discretionary decisions, such as “monitoring” a fire in rural area, and only posting one warning on its Facebook page.  </w:t>
      </w:r>
    </w:p>
    <w:p w14:paraId="450A87C3" w14:textId="77777777" w:rsidR="008041EF" w:rsidRDefault="008041EF" w:rsidP="008041EF">
      <w:pPr>
        <w:pStyle w:val="NormalWeb"/>
        <w:ind w:left="720"/>
      </w:pPr>
      <w:r>
        <w:t>“</w:t>
      </w:r>
      <w:r w:rsidRPr="008B4B32">
        <w:t>The decision to adopt the monitoring strategy exudes</w:t>
      </w:r>
      <w:r>
        <w:t xml:space="preserve"> </w:t>
      </w:r>
      <w:r w:rsidRPr="008B4B32">
        <w:t xml:space="preserve">policy deliberations that are </w:t>
      </w:r>
      <w:r>
        <w:t>‘</w:t>
      </w:r>
      <w:r w:rsidRPr="008B4B32">
        <w:t>quintessentially discretionary,</w:t>
      </w:r>
      <w:r>
        <w:t xml:space="preserve">’ </w:t>
      </w:r>
      <w:r w:rsidRPr="008B4B32">
        <w:t>Knezovich, 82 F.4th at 938, and therefore beyond the scrutiny of</w:t>
      </w:r>
      <w:r>
        <w:t xml:space="preserve"> </w:t>
      </w:r>
      <w:r w:rsidRPr="008B4B32">
        <w:t>this court</w:t>
      </w:r>
      <w:r>
        <w:t xml:space="preserve">. </w:t>
      </w:r>
      <w:r w:rsidRPr="008B4B32">
        <w:t>Accordingly, the court will dismiss plaintiffs’</w:t>
      </w:r>
      <w:r>
        <w:t xml:space="preserve"> </w:t>
      </w:r>
      <w:r w:rsidRPr="008B4B32">
        <w:t xml:space="preserve">negligence, negligence per se, and trespass </w:t>
      </w:r>
      <w:proofErr w:type="gramStart"/>
      <w:r w:rsidRPr="008B4B32">
        <w:t>claims.</w:t>
      </w:r>
      <w:r>
        <w:t>”</w:t>
      </w:r>
      <w:proofErr w:type="gramEnd"/>
      <w:r>
        <w:t xml:space="preserve"> </w:t>
      </w:r>
      <w:hyperlink r:id="rId887" w:history="1">
        <w:r w:rsidRPr="00523F27">
          <w:rPr>
            <w:rStyle w:val="Hyperlink"/>
          </w:rPr>
          <w:t>https://cases.justia.com/federal/district-courts/california/caedce/2:2023cv01147/429644/22/0.pdf?ts=1706172863</w:t>
        </w:r>
      </w:hyperlink>
      <w:r>
        <w:t xml:space="preserve"> </w:t>
      </w:r>
    </w:p>
    <w:p w14:paraId="213B2765" w14:textId="77777777" w:rsidR="00AF2973" w:rsidRDefault="00AF2973" w:rsidP="00AF2973">
      <w:pPr>
        <w:pStyle w:val="NormalWeb"/>
        <w:rPr>
          <w:b/>
          <w:bCs/>
        </w:rPr>
      </w:pPr>
      <w:r w:rsidRPr="005B048C">
        <w:rPr>
          <w:b/>
          <w:bCs/>
        </w:rPr>
        <w:t xml:space="preserve">Legal Lesson Learned: </w:t>
      </w:r>
      <w:r>
        <w:rPr>
          <w:b/>
          <w:bCs/>
        </w:rPr>
        <w:t xml:space="preserve">Discretionary decisions on when to let forest fire burn, and what notice to provide to public, are exceptions to Federal Tort Claims Act. </w:t>
      </w:r>
    </w:p>
    <w:p w14:paraId="05D66838" w14:textId="77777777" w:rsidR="00B83C64" w:rsidRDefault="00B83C64" w:rsidP="002B1283">
      <w:pPr>
        <w:rPr>
          <w:rStyle w:val="Hyperlink"/>
          <w:rFonts w:ascii="Arial Black" w:hAnsi="Arial Black"/>
          <w:b/>
          <w:color w:val="auto"/>
          <w:sz w:val="24"/>
          <w:szCs w:val="24"/>
          <w:u w:val="none"/>
        </w:rPr>
      </w:pPr>
    </w:p>
    <w:p w14:paraId="0C340365" w14:textId="77777777" w:rsidR="00B83C64" w:rsidRDefault="00B83C64" w:rsidP="002B1283">
      <w:pPr>
        <w:rPr>
          <w:rStyle w:val="Hyperlink"/>
          <w:rFonts w:ascii="Arial Black" w:hAnsi="Arial Black"/>
          <w:b/>
          <w:color w:val="auto"/>
          <w:sz w:val="24"/>
          <w:szCs w:val="24"/>
          <w:u w:val="none"/>
        </w:rPr>
      </w:pPr>
    </w:p>
    <w:p w14:paraId="5DB72DA1" w14:textId="0D68E55E" w:rsidR="00233F5D" w:rsidRDefault="00233F5D"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4-35</w:t>
      </w:r>
    </w:p>
    <w:p w14:paraId="61A0B5CE" w14:textId="77777777" w:rsidR="002917C5" w:rsidRPr="00EF2302" w:rsidRDefault="002917C5" w:rsidP="002917C5">
      <w:pPr>
        <w:pStyle w:val="NormalWeb"/>
        <w:rPr>
          <w:rFonts w:ascii="Arial Black" w:hAnsi="Arial Black"/>
          <w:sz w:val="28"/>
          <w:szCs w:val="28"/>
        </w:rPr>
      </w:pPr>
      <w:r>
        <w:rPr>
          <w:rFonts w:ascii="Arial Black" w:hAnsi="Arial Black"/>
          <w:sz w:val="28"/>
          <w:szCs w:val="28"/>
        </w:rPr>
        <w:t xml:space="preserve">IN: NEW “BUFFER LAW” UPHELD – POLICE CAN ORDER CITIZENS, INCLUDING WITH CAMERAS - BACK 25 FEET  </w:t>
      </w:r>
    </w:p>
    <w:p w14:paraId="6D6B9120" w14:textId="77777777" w:rsidR="002917C5" w:rsidRDefault="002917C5" w:rsidP="002917C5">
      <w:pPr>
        <w:pStyle w:val="NormalWeb"/>
      </w:pPr>
      <w:r>
        <w:t xml:space="preserve">On Jan. 12, 2024, in </w:t>
      </w:r>
      <w:r w:rsidRPr="00495A00">
        <w:rPr>
          <w:u w:val="single"/>
        </w:rPr>
        <w:t>Donald Nicodemus v. City of South Bend, Indiana</w:t>
      </w:r>
      <w:r>
        <w:t xml:space="preserve">, U.S. District Court Judge Damon R. Leichty, U.S. District Court for the Northern District of Indiana (South Bend Division) denied the Plaintiff’s motion for a permanent injunction and dismissed the lawsuit. The Court also referenced that Indiana has a “perimeter law” where incident commanders at an emergency scene can set up a perimeter safety zone.  </w:t>
      </w:r>
    </w:p>
    <w:p w14:paraId="52AB6B0A" w14:textId="77777777" w:rsidR="002917C5" w:rsidRDefault="002917C5" w:rsidP="002917C5">
      <w:pPr>
        <w:pStyle w:val="NoSpacing"/>
        <w:ind w:left="720"/>
        <w:rPr>
          <w:rFonts w:ascii="Times New Roman" w:hAnsi="Times New Roman"/>
          <w:sz w:val="24"/>
          <w:szCs w:val="24"/>
        </w:rPr>
      </w:pPr>
      <w:r>
        <w:rPr>
          <w:rFonts w:ascii="Times New Roman" w:hAnsi="Times New Roman"/>
          <w:sz w:val="24"/>
          <w:szCs w:val="24"/>
        </w:rPr>
        <w:t>“</w:t>
      </w:r>
      <w:r w:rsidRPr="004F1D80">
        <w:rPr>
          <w:rFonts w:ascii="Times New Roman" w:hAnsi="Times New Roman"/>
          <w:sz w:val="24"/>
          <w:szCs w:val="24"/>
        </w:rPr>
        <w:t>On July 1, 2023, Indiana’s so-called buffer law took effect, criminalizing as a misdemeanor a</w:t>
      </w:r>
      <w:r>
        <w:rPr>
          <w:rFonts w:ascii="Times New Roman" w:hAnsi="Times New Roman"/>
          <w:sz w:val="24"/>
          <w:szCs w:val="24"/>
        </w:rPr>
        <w:t xml:space="preserve"> </w:t>
      </w:r>
      <w:r w:rsidRPr="004F1D80">
        <w:rPr>
          <w:rFonts w:ascii="Times New Roman" w:hAnsi="Times New Roman"/>
          <w:sz w:val="24"/>
          <w:szCs w:val="24"/>
        </w:rPr>
        <w:t>person’s unlawful encroachment on a police officer’s lawful duties. This buffer law prohibits a person</w:t>
      </w:r>
      <w:r>
        <w:rPr>
          <w:rFonts w:ascii="Times New Roman" w:hAnsi="Times New Roman"/>
          <w:sz w:val="24"/>
          <w:szCs w:val="24"/>
        </w:rPr>
        <w:t xml:space="preserve"> </w:t>
      </w:r>
      <w:r w:rsidRPr="004F1D80">
        <w:rPr>
          <w:rFonts w:ascii="Times New Roman" w:hAnsi="Times New Roman"/>
          <w:sz w:val="24"/>
          <w:szCs w:val="24"/>
        </w:rPr>
        <w:t>from knowingly or intentionally approaching within 25 feet of an officer engaged in his or her lawful</w:t>
      </w:r>
      <w:r>
        <w:rPr>
          <w:rFonts w:ascii="Times New Roman" w:hAnsi="Times New Roman"/>
          <w:sz w:val="24"/>
          <w:szCs w:val="24"/>
        </w:rPr>
        <w:t xml:space="preserve"> </w:t>
      </w:r>
      <w:r w:rsidRPr="004F1D80">
        <w:rPr>
          <w:rFonts w:ascii="Times New Roman" w:hAnsi="Times New Roman"/>
          <w:sz w:val="24"/>
          <w:szCs w:val="24"/>
        </w:rPr>
        <w:t>duties after the officer orders the person to stop approaching. See Ind. Code § 35-44.1-2-14.</w:t>
      </w:r>
    </w:p>
    <w:p w14:paraId="15364690" w14:textId="77777777" w:rsidR="002917C5" w:rsidRDefault="002917C5" w:rsidP="002917C5">
      <w:pPr>
        <w:pStyle w:val="NoSpacing"/>
        <w:rPr>
          <w:rFonts w:ascii="Times New Roman" w:hAnsi="Times New Roman"/>
          <w:sz w:val="24"/>
          <w:szCs w:val="24"/>
        </w:rPr>
      </w:pPr>
    </w:p>
    <w:p w14:paraId="5E3DB350" w14:textId="77777777" w:rsidR="002917C5" w:rsidRDefault="002917C5" w:rsidP="002917C5">
      <w:pPr>
        <w:pStyle w:val="NoSpacing"/>
        <w:ind w:left="720"/>
        <w:rPr>
          <w:rFonts w:ascii="Times New Roman" w:hAnsi="Times New Roman"/>
          <w:sz w:val="24"/>
          <w:szCs w:val="24"/>
        </w:rPr>
      </w:pPr>
      <w:r w:rsidRPr="002829E6">
        <w:rPr>
          <w:rFonts w:ascii="Times New Roman" w:hAnsi="Times New Roman"/>
          <w:sz w:val="24"/>
          <w:szCs w:val="24"/>
        </w:rPr>
        <w:t>Law enforcement officers have jobs to do, and often difficult jobs that require decision</w:t>
      </w:r>
      <w:r>
        <w:rPr>
          <w:rFonts w:ascii="Times New Roman" w:hAnsi="Times New Roman"/>
          <w:sz w:val="24"/>
          <w:szCs w:val="24"/>
        </w:rPr>
        <w:t xml:space="preserve"> </w:t>
      </w:r>
      <w:r w:rsidRPr="002829E6">
        <w:rPr>
          <w:rFonts w:ascii="Times New Roman" w:hAnsi="Times New Roman"/>
          <w:sz w:val="24"/>
          <w:szCs w:val="24"/>
        </w:rPr>
        <w:t>making</w:t>
      </w:r>
      <w:r>
        <w:rPr>
          <w:rFonts w:ascii="Times New Roman" w:hAnsi="Times New Roman"/>
          <w:sz w:val="24"/>
          <w:szCs w:val="24"/>
        </w:rPr>
        <w:t xml:space="preserve"> </w:t>
      </w:r>
      <w:r w:rsidRPr="002829E6">
        <w:rPr>
          <w:rFonts w:ascii="Times New Roman" w:hAnsi="Times New Roman"/>
          <w:sz w:val="24"/>
          <w:szCs w:val="24"/>
        </w:rPr>
        <w:t>in tense, uncertain, fluid, and unsafe circumstances. At the same time, the public has a right to record the</w:t>
      </w:r>
      <w:r>
        <w:rPr>
          <w:rFonts w:ascii="Times New Roman" w:hAnsi="Times New Roman"/>
          <w:sz w:val="24"/>
          <w:szCs w:val="24"/>
        </w:rPr>
        <w:t xml:space="preserve"> </w:t>
      </w:r>
      <w:r w:rsidRPr="002829E6">
        <w:rPr>
          <w:rFonts w:ascii="Times New Roman" w:hAnsi="Times New Roman"/>
          <w:sz w:val="24"/>
          <w:szCs w:val="24"/>
        </w:rPr>
        <w:t>police. Audio</w:t>
      </w:r>
      <w:r>
        <w:rPr>
          <w:rFonts w:ascii="Times New Roman" w:hAnsi="Times New Roman"/>
          <w:sz w:val="24"/>
          <w:szCs w:val="24"/>
        </w:rPr>
        <w:t xml:space="preserve"> </w:t>
      </w:r>
      <w:r w:rsidRPr="002829E6">
        <w:rPr>
          <w:rFonts w:ascii="Times New Roman" w:hAnsi="Times New Roman"/>
          <w:sz w:val="24"/>
          <w:szCs w:val="24"/>
        </w:rPr>
        <w:t>visually recording police activity fits within the First Amendment’s guarantee. The right isn’t</w:t>
      </w:r>
      <w:r>
        <w:rPr>
          <w:rFonts w:ascii="Times New Roman" w:hAnsi="Times New Roman"/>
          <w:sz w:val="24"/>
          <w:szCs w:val="24"/>
        </w:rPr>
        <w:t xml:space="preserve"> </w:t>
      </w:r>
      <w:r w:rsidRPr="002829E6">
        <w:rPr>
          <w:rFonts w:ascii="Times New Roman" w:hAnsi="Times New Roman"/>
          <w:sz w:val="24"/>
          <w:szCs w:val="24"/>
        </w:rPr>
        <w:t>unlimited, but robustly it exists to serve important purposes. It facilitates transparency, training, scrutiny</w:t>
      </w:r>
      <w:r>
        <w:rPr>
          <w:rFonts w:ascii="Times New Roman" w:hAnsi="Times New Roman"/>
          <w:sz w:val="24"/>
          <w:szCs w:val="24"/>
        </w:rPr>
        <w:t xml:space="preserve"> </w:t>
      </w:r>
      <w:r w:rsidRPr="002829E6">
        <w:rPr>
          <w:rFonts w:ascii="Times New Roman" w:hAnsi="Times New Roman"/>
          <w:sz w:val="24"/>
          <w:szCs w:val="24"/>
        </w:rPr>
        <w:t>of police misconduct, and the exoneration of officers from unfair charges. Candid critique of our</w:t>
      </w:r>
      <w:r>
        <w:rPr>
          <w:rFonts w:ascii="Times New Roman" w:hAnsi="Times New Roman"/>
          <w:sz w:val="24"/>
          <w:szCs w:val="24"/>
        </w:rPr>
        <w:t xml:space="preserve"> </w:t>
      </w:r>
      <w:r w:rsidRPr="002829E6">
        <w:rPr>
          <w:rFonts w:ascii="Times New Roman" w:hAnsi="Times New Roman"/>
          <w:sz w:val="24"/>
          <w:szCs w:val="24"/>
        </w:rPr>
        <w:t>government and its officials matters in a free society. By shining a light on newsworthy police conduct,</w:t>
      </w:r>
      <w:r>
        <w:rPr>
          <w:rFonts w:ascii="Times New Roman" w:hAnsi="Times New Roman"/>
          <w:sz w:val="24"/>
          <w:szCs w:val="24"/>
        </w:rPr>
        <w:t xml:space="preserve"> </w:t>
      </w:r>
      <w:r w:rsidRPr="002829E6">
        <w:rPr>
          <w:rFonts w:ascii="Times New Roman" w:hAnsi="Times New Roman"/>
          <w:sz w:val="24"/>
          <w:szCs w:val="24"/>
        </w:rPr>
        <w:t>the public’s recordings benefit our citizens and law-abiding officers alike.</w:t>
      </w:r>
    </w:p>
    <w:p w14:paraId="0014FC54" w14:textId="77777777" w:rsidR="002917C5" w:rsidRDefault="002917C5" w:rsidP="002917C5">
      <w:pPr>
        <w:pStyle w:val="NoSpacing"/>
        <w:rPr>
          <w:rFonts w:ascii="Times New Roman" w:hAnsi="Times New Roman"/>
          <w:sz w:val="24"/>
          <w:szCs w:val="24"/>
        </w:rPr>
      </w:pPr>
    </w:p>
    <w:p w14:paraId="4020C415" w14:textId="77777777" w:rsidR="002917C5" w:rsidRDefault="002917C5" w:rsidP="002917C5">
      <w:pPr>
        <w:pStyle w:val="NoSpacing"/>
        <w:ind w:firstLine="720"/>
        <w:rPr>
          <w:rFonts w:ascii="Times New Roman" w:hAnsi="Times New Roman"/>
          <w:sz w:val="24"/>
          <w:szCs w:val="24"/>
        </w:rPr>
      </w:pPr>
      <w:r>
        <w:rPr>
          <w:rFonts w:ascii="Times New Roman" w:hAnsi="Times New Roman"/>
          <w:sz w:val="24"/>
          <w:szCs w:val="24"/>
        </w:rPr>
        <w:t>***</w:t>
      </w:r>
    </w:p>
    <w:p w14:paraId="440F41DB" w14:textId="77777777" w:rsidR="002917C5" w:rsidRPr="004F1D80" w:rsidRDefault="002917C5" w:rsidP="002917C5">
      <w:pPr>
        <w:pStyle w:val="NoSpacing"/>
        <w:rPr>
          <w:rFonts w:ascii="Times New Roman" w:hAnsi="Times New Roman"/>
          <w:sz w:val="24"/>
          <w:szCs w:val="24"/>
        </w:rPr>
      </w:pPr>
    </w:p>
    <w:p w14:paraId="185E4913" w14:textId="77777777" w:rsidR="002917C5" w:rsidRPr="00CB06B1" w:rsidRDefault="002917C5" w:rsidP="002917C5">
      <w:pPr>
        <w:pStyle w:val="NoSpacing"/>
        <w:ind w:left="720"/>
        <w:rPr>
          <w:rFonts w:ascii="Times New Roman" w:hAnsi="Times New Roman"/>
          <w:sz w:val="24"/>
          <w:szCs w:val="24"/>
        </w:rPr>
      </w:pPr>
      <w:r w:rsidRPr="00CB06B1">
        <w:rPr>
          <w:rFonts w:ascii="Times New Roman" w:hAnsi="Times New Roman"/>
          <w:sz w:val="24"/>
          <w:szCs w:val="24"/>
        </w:rPr>
        <w:t>The public has a First Amendment right to record police activity—a critically important right.</w:t>
      </w:r>
      <w:r>
        <w:rPr>
          <w:rFonts w:ascii="Times New Roman" w:hAnsi="Times New Roman"/>
          <w:sz w:val="24"/>
          <w:szCs w:val="24"/>
        </w:rPr>
        <w:t xml:space="preserve"> </w:t>
      </w:r>
      <w:r w:rsidRPr="00CB06B1">
        <w:rPr>
          <w:rFonts w:ascii="Times New Roman" w:hAnsi="Times New Roman"/>
          <w:sz w:val="24"/>
          <w:szCs w:val="24"/>
        </w:rPr>
        <w:t xml:space="preserve">Law enforcement officers have a right to perform their lawful duties </w:t>
      </w:r>
      <w:proofErr w:type="gramStart"/>
      <w:r w:rsidRPr="00CB06B1">
        <w:rPr>
          <w:rFonts w:ascii="Times New Roman" w:hAnsi="Times New Roman"/>
          <w:sz w:val="24"/>
          <w:szCs w:val="24"/>
        </w:rPr>
        <w:t>unimpeded</w:t>
      </w:r>
      <w:proofErr w:type="gramEnd"/>
      <w:r w:rsidRPr="00CB06B1">
        <w:rPr>
          <w:rFonts w:ascii="Times New Roman" w:hAnsi="Times New Roman"/>
          <w:sz w:val="24"/>
          <w:szCs w:val="24"/>
        </w:rPr>
        <w:t>. Indiana’s buffer law has</w:t>
      </w:r>
      <w:r>
        <w:rPr>
          <w:rFonts w:ascii="Times New Roman" w:hAnsi="Times New Roman"/>
          <w:sz w:val="24"/>
          <w:szCs w:val="24"/>
        </w:rPr>
        <w:t xml:space="preserve"> </w:t>
      </w:r>
      <w:r w:rsidRPr="00CB06B1">
        <w:rPr>
          <w:rFonts w:ascii="Times New Roman" w:hAnsi="Times New Roman"/>
          <w:sz w:val="24"/>
          <w:szCs w:val="24"/>
        </w:rPr>
        <w:t xml:space="preserve">many constitutional applications within its plainly legitimate sweep. It </w:t>
      </w:r>
      <w:proofErr w:type="gramStart"/>
      <w:r w:rsidRPr="00CB06B1">
        <w:rPr>
          <w:rFonts w:ascii="Times New Roman" w:hAnsi="Times New Roman"/>
          <w:sz w:val="24"/>
          <w:szCs w:val="24"/>
        </w:rPr>
        <w:t>never once</w:t>
      </w:r>
      <w:proofErr w:type="gramEnd"/>
      <w:r w:rsidRPr="00CB06B1">
        <w:rPr>
          <w:rFonts w:ascii="Times New Roman" w:hAnsi="Times New Roman"/>
          <w:sz w:val="24"/>
          <w:szCs w:val="24"/>
        </w:rPr>
        <w:t xml:space="preserve"> permits an officer to</w:t>
      </w:r>
      <w:r>
        <w:rPr>
          <w:rFonts w:ascii="Times New Roman" w:hAnsi="Times New Roman"/>
          <w:sz w:val="24"/>
          <w:szCs w:val="24"/>
        </w:rPr>
        <w:t xml:space="preserve"> </w:t>
      </w:r>
      <w:r w:rsidRPr="00CB06B1">
        <w:rPr>
          <w:rFonts w:ascii="Times New Roman" w:hAnsi="Times New Roman"/>
          <w:sz w:val="24"/>
          <w:szCs w:val="24"/>
        </w:rPr>
        <w:t>tell a reporter or citizen-journalist to leave altogether or to cease recording police activity. The law is</w:t>
      </w:r>
      <w:r>
        <w:rPr>
          <w:rFonts w:ascii="Times New Roman" w:hAnsi="Times New Roman"/>
          <w:sz w:val="24"/>
          <w:szCs w:val="24"/>
        </w:rPr>
        <w:t xml:space="preserve"> </w:t>
      </w:r>
      <w:r w:rsidRPr="00CB06B1">
        <w:rPr>
          <w:rFonts w:ascii="Times New Roman" w:hAnsi="Times New Roman"/>
          <w:sz w:val="24"/>
          <w:szCs w:val="24"/>
        </w:rPr>
        <w:t>directed toward encroachment on an officer’s lawful duties within 25 feet. It doesn’t target speech. It</w:t>
      </w:r>
      <w:r>
        <w:rPr>
          <w:rFonts w:ascii="Times New Roman" w:hAnsi="Times New Roman"/>
          <w:sz w:val="24"/>
          <w:szCs w:val="24"/>
        </w:rPr>
        <w:t xml:space="preserve"> </w:t>
      </w:r>
      <w:r w:rsidRPr="00CB06B1">
        <w:rPr>
          <w:rFonts w:ascii="Times New Roman" w:hAnsi="Times New Roman"/>
          <w:sz w:val="24"/>
          <w:szCs w:val="24"/>
        </w:rPr>
        <w:t xml:space="preserve">penalizes approaching a </w:t>
      </w:r>
      <w:proofErr w:type="gramStart"/>
      <w:r w:rsidRPr="00CB06B1">
        <w:rPr>
          <w:rFonts w:ascii="Times New Roman" w:hAnsi="Times New Roman"/>
          <w:sz w:val="24"/>
          <w:szCs w:val="24"/>
        </w:rPr>
        <w:t>lawfully-engaged</w:t>
      </w:r>
      <w:proofErr w:type="gramEnd"/>
      <w:r w:rsidRPr="00CB06B1">
        <w:rPr>
          <w:rFonts w:ascii="Times New Roman" w:hAnsi="Times New Roman"/>
          <w:sz w:val="24"/>
          <w:szCs w:val="24"/>
        </w:rPr>
        <w:t xml:space="preserve"> officer (after an order), not recording one. And at 25 feet, in</w:t>
      </w:r>
      <w:r>
        <w:rPr>
          <w:rFonts w:ascii="Times New Roman" w:hAnsi="Times New Roman"/>
          <w:sz w:val="24"/>
          <w:szCs w:val="24"/>
        </w:rPr>
        <w:t xml:space="preserve"> </w:t>
      </w:r>
      <w:r w:rsidRPr="00CB06B1">
        <w:rPr>
          <w:rFonts w:ascii="Times New Roman" w:hAnsi="Times New Roman"/>
          <w:sz w:val="24"/>
          <w:szCs w:val="24"/>
        </w:rPr>
        <w:t>measure small steps from an officer’s work, this law has only an incidental effect on the public’s First</w:t>
      </w:r>
      <w:r>
        <w:rPr>
          <w:rFonts w:ascii="Times New Roman" w:hAnsi="Times New Roman"/>
          <w:sz w:val="24"/>
          <w:szCs w:val="24"/>
        </w:rPr>
        <w:t xml:space="preserve"> </w:t>
      </w:r>
      <w:r w:rsidRPr="00CB06B1">
        <w:rPr>
          <w:rFonts w:ascii="Times New Roman" w:hAnsi="Times New Roman"/>
          <w:sz w:val="24"/>
          <w:szCs w:val="24"/>
        </w:rPr>
        <w:t>Amendment right to capture audio and video and otherwise to scrutinize police conduct. The court denies</w:t>
      </w:r>
      <w:r>
        <w:rPr>
          <w:rFonts w:ascii="Times New Roman" w:hAnsi="Times New Roman"/>
          <w:sz w:val="24"/>
          <w:szCs w:val="24"/>
        </w:rPr>
        <w:t xml:space="preserve"> </w:t>
      </w:r>
      <w:r w:rsidRPr="00CB06B1">
        <w:rPr>
          <w:rFonts w:ascii="Times New Roman" w:hAnsi="Times New Roman"/>
          <w:sz w:val="24"/>
          <w:szCs w:val="24"/>
        </w:rPr>
        <w:t xml:space="preserve">a permanent injunction because Indiana’s buffer law is not </w:t>
      </w:r>
      <w:proofErr w:type="gramStart"/>
      <w:r w:rsidRPr="00CB06B1">
        <w:rPr>
          <w:rFonts w:ascii="Times New Roman" w:hAnsi="Times New Roman"/>
          <w:sz w:val="24"/>
          <w:szCs w:val="24"/>
        </w:rPr>
        <w:t>unconstitutional by virtue</w:t>
      </w:r>
      <w:proofErr w:type="gramEnd"/>
      <w:r w:rsidRPr="00CB06B1">
        <w:rPr>
          <w:rFonts w:ascii="Times New Roman" w:hAnsi="Times New Roman"/>
          <w:sz w:val="24"/>
          <w:szCs w:val="24"/>
        </w:rPr>
        <w:t xml:space="preserve"> of being </w:t>
      </w:r>
      <w:r w:rsidRPr="00CB06B1">
        <w:rPr>
          <w:rFonts w:ascii="Times New Roman" w:hAnsi="Times New Roman"/>
          <w:sz w:val="24"/>
          <w:szCs w:val="24"/>
        </w:rPr>
        <w:lastRenderedPageBreak/>
        <w:t>facially</w:t>
      </w:r>
      <w:r>
        <w:rPr>
          <w:rFonts w:ascii="Times New Roman" w:hAnsi="Times New Roman"/>
          <w:sz w:val="24"/>
          <w:szCs w:val="24"/>
        </w:rPr>
        <w:t xml:space="preserve"> </w:t>
      </w:r>
      <w:r w:rsidRPr="00CB06B1">
        <w:rPr>
          <w:rFonts w:ascii="Times New Roman" w:hAnsi="Times New Roman"/>
          <w:sz w:val="24"/>
          <w:szCs w:val="24"/>
        </w:rPr>
        <w:t>overbroad. A case might be different if an officer enforces this law unconstitutionally in a particular</w:t>
      </w:r>
      <w:r>
        <w:rPr>
          <w:rFonts w:ascii="Times New Roman" w:hAnsi="Times New Roman"/>
          <w:sz w:val="24"/>
          <w:szCs w:val="24"/>
        </w:rPr>
        <w:t xml:space="preserve"> </w:t>
      </w:r>
      <w:r w:rsidRPr="00CB06B1">
        <w:rPr>
          <w:rFonts w:ascii="Times New Roman" w:hAnsi="Times New Roman"/>
          <w:sz w:val="24"/>
          <w:szCs w:val="24"/>
        </w:rPr>
        <w:t>scenario, but the court is not deciding such a case today.</w:t>
      </w:r>
      <w:r>
        <w:rPr>
          <w:rFonts w:ascii="Times New Roman" w:hAnsi="Times New Roman"/>
          <w:sz w:val="24"/>
          <w:szCs w:val="24"/>
        </w:rPr>
        <w:t xml:space="preserve">”  </w:t>
      </w:r>
      <w:hyperlink r:id="rId888" w:history="1">
        <w:r w:rsidRPr="00D10854">
          <w:rPr>
            <w:rStyle w:val="Hyperlink"/>
            <w:rFonts w:ascii="Times New Roman" w:hAnsi="Times New Roman"/>
            <w:sz w:val="24"/>
            <w:szCs w:val="24"/>
          </w:rPr>
          <w:t>https://cases.justia.com/federal/district-courts/indiana/inndce/3:2023cv00744/115782/36/0.pdf?ts=1705163579</w:t>
        </w:r>
      </w:hyperlink>
      <w:r>
        <w:rPr>
          <w:rFonts w:ascii="Times New Roman" w:hAnsi="Times New Roman"/>
          <w:sz w:val="24"/>
          <w:szCs w:val="24"/>
        </w:rPr>
        <w:t xml:space="preserve"> </w:t>
      </w:r>
    </w:p>
    <w:p w14:paraId="589E4FF6" w14:textId="77777777" w:rsidR="00233F5D" w:rsidRDefault="00233F5D" w:rsidP="002B1283">
      <w:pPr>
        <w:rPr>
          <w:rStyle w:val="Hyperlink"/>
          <w:rFonts w:ascii="Arial Black" w:hAnsi="Arial Black"/>
          <w:b/>
          <w:color w:val="auto"/>
          <w:sz w:val="24"/>
          <w:szCs w:val="24"/>
          <w:u w:val="none"/>
        </w:rPr>
      </w:pPr>
    </w:p>
    <w:p w14:paraId="3097F93A" w14:textId="77777777" w:rsidR="00B83C64" w:rsidRPr="007C6C34" w:rsidRDefault="00B83C64" w:rsidP="00B83C64">
      <w:pPr>
        <w:pStyle w:val="NormalWeb"/>
        <w:rPr>
          <w:b/>
          <w:bCs/>
        </w:rPr>
      </w:pPr>
      <w:r w:rsidRPr="007C6C34">
        <w:rPr>
          <w:b/>
          <w:bCs/>
        </w:rPr>
        <w:t>Legal Lesson Learned:</w:t>
      </w:r>
      <w:r>
        <w:rPr>
          <w:b/>
          <w:bCs/>
        </w:rPr>
        <w:t xml:space="preserve"> An excellent “buffer law” that will also help Fire &amp; EMS. </w:t>
      </w:r>
    </w:p>
    <w:p w14:paraId="46909B06" w14:textId="77777777" w:rsidR="00233F5D" w:rsidRDefault="00233F5D" w:rsidP="002B1283">
      <w:pPr>
        <w:rPr>
          <w:rStyle w:val="Hyperlink"/>
          <w:rFonts w:ascii="Arial Black" w:hAnsi="Arial Black"/>
          <w:b/>
          <w:color w:val="auto"/>
          <w:sz w:val="24"/>
          <w:szCs w:val="24"/>
          <w:u w:val="none"/>
        </w:rPr>
      </w:pPr>
    </w:p>
    <w:p w14:paraId="3D5791A8" w14:textId="4C6E827C" w:rsidR="006A67C1" w:rsidRDefault="003E1AD0"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4-34</w:t>
      </w:r>
    </w:p>
    <w:p w14:paraId="3BB11773" w14:textId="77777777" w:rsidR="000B6881" w:rsidRPr="00D77551" w:rsidRDefault="000B6881" w:rsidP="000B6881">
      <w:pPr>
        <w:pStyle w:val="NormalWeb"/>
        <w:rPr>
          <w:rFonts w:ascii="Arial Black" w:hAnsi="Arial Black"/>
          <w:b/>
          <w:bCs/>
          <w:sz w:val="28"/>
          <w:szCs w:val="28"/>
        </w:rPr>
      </w:pPr>
      <w:r>
        <w:rPr>
          <w:rFonts w:ascii="Arial Black" w:hAnsi="Arial Black"/>
          <w:b/>
          <w:bCs/>
          <w:sz w:val="28"/>
          <w:szCs w:val="28"/>
        </w:rPr>
        <w:t xml:space="preserve">CA: PD DRONE VIDEOS – “FIRST IN COUNTRY” FAA PROGRAM – VIDEOS MOUNTAIN LION, WATER LEAK PUBLIC </w:t>
      </w:r>
    </w:p>
    <w:p w14:paraId="13DD7664" w14:textId="77777777" w:rsidR="000B6881" w:rsidRDefault="000B6881" w:rsidP="000B6881">
      <w:pPr>
        <w:pStyle w:val="NormalWeb"/>
      </w:pPr>
      <w:r w:rsidRPr="00416234">
        <w:t xml:space="preserve">On Dec. 27, 2023, in </w:t>
      </w:r>
      <w:r w:rsidRPr="00416234">
        <w:rPr>
          <w:u w:val="single"/>
        </w:rPr>
        <w:t>Arturo Castanares v. The Supervisor Court of San Diego County, and City of Chula Vista,</w:t>
      </w:r>
      <w:r w:rsidRPr="00416234">
        <w:t xml:space="preserve"> </w:t>
      </w:r>
      <w:r>
        <w:t xml:space="preserve">the Court of Appeal, Fourth Appellate District, Division One, Stare of California, held (3 to 0) that trial court judge improperly held that all police videos (370 flights) were exempt from disclosure under CA “catchall” provision protecting police investigations and individual privacy.  The Court </w:t>
      </w:r>
      <w:proofErr w:type="gramStart"/>
      <w:r>
        <w:t>remanded</w:t>
      </w:r>
      <w:proofErr w:type="gramEnd"/>
      <w:r>
        <w:t xml:space="preserve"> the case to trial court judge for further review of videos. The Court wrote: “We agree with Castañares that the superior court erred in determining, as a matter of law, all video footage from the drone program is exempt under section 7923.600, subdivision (a) as records of investigations. However, it might be the case, after further inquiry, consistent with this opinion, that </w:t>
      </w:r>
      <w:proofErr w:type="gramStart"/>
      <w:r>
        <w:t>the majority of</w:t>
      </w:r>
      <w:proofErr w:type="gramEnd"/>
      <w:r>
        <w:t xml:space="preserve"> the video footage is exempt. That said, we cannot make that determination on the record before us. *** For example, a 911 call about a mountain lion roaming a neighborhood, a water leak, or a stranded motorist on the freeway could warrant the use of a drone but do not suggest a crime might have been committed or is in the process of being committed.” </w:t>
      </w:r>
      <w:hyperlink r:id="rId889" w:history="1">
        <w:r w:rsidRPr="0044657D">
          <w:rPr>
            <w:rStyle w:val="Hyperlink"/>
          </w:rPr>
          <w:t>https://www.courts.ca.gov/opinions/documents/D082048.PDF</w:t>
        </w:r>
      </w:hyperlink>
      <w:r>
        <w:t xml:space="preserve"> </w:t>
      </w:r>
    </w:p>
    <w:p w14:paraId="49FBE993" w14:textId="77777777" w:rsidR="00BC204B" w:rsidRDefault="00BC204B" w:rsidP="00BC204B">
      <w:pPr>
        <w:pStyle w:val="NoSpacing"/>
        <w:jc w:val="both"/>
        <w:rPr>
          <w:rFonts w:ascii="Times New Roman" w:hAnsi="Times New Roman"/>
          <w:b/>
          <w:bCs/>
          <w:sz w:val="24"/>
          <w:szCs w:val="24"/>
        </w:rPr>
      </w:pPr>
      <w:r w:rsidRPr="00BA1591">
        <w:rPr>
          <w:rFonts w:ascii="Times New Roman" w:hAnsi="Times New Roman"/>
          <w:b/>
          <w:bCs/>
          <w:sz w:val="24"/>
          <w:szCs w:val="24"/>
        </w:rPr>
        <w:t xml:space="preserve">Legal Lesson Learned: </w:t>
      </w:r>
      <w:r>
        <w:rPr>
          <w:rFonts w:ascii="Times New Roman" w:hAnsi="Times New Roman"/>
          <w:b/>
          <w:bCs/>
          <w:sz w:val="24"/>
          <w:szCs w:val="24"/>
        </w:rPr>
        <w:t xml:space="preserve">New technologies can lead to new legal issues; trial court </w:t>
      </w:r>
      <w:proofErr w:type="gramStart"/>
      <w:r>
        <w:rPr>
          <w:rFonts w:ascii="Times New Roman" w:hAnsi="Times New Roman"/>
          <w:b/>
          <w:bCs/>
          <w:sz w:val="24"/>
          <w:szCs w:val="24"/>
        </w:rPr>
        <w:t>judge</w:t>
      </w:r>
      <w:proofErr w:type="gramEnd"/>
      <w:r>
        <w:rPr>
          <w:rFonts w:ascii="Times New Roman" w:hAnsi="Times New Roman"/>
          <w:b/>
          <w:bCs/>
          <w:sz w:val="24"/>
          <w:szCs w:val="24"/>
        </w:rPr>
        <w:t xml:space="preserve"> may now have to make a disclosure decision on each video. </w:t>
      </w:r>
    </w:p>
    <w:p w14:paraId="2B6271AD" w14:textId="77777777" w:rsidR="003E1AD0" w:rsidRDefault="003E1AD0" w:rsidP="002B1283">
      <w:pPr>
        <w:rPr>
          <w:rStyle w:val="Hyperlink"/>
          <w:rFonts w:ascii="Arial Black" w:hAnsi="Arial Black"/>
          <w:b/>
          <w:color w:val="auto"/>
          <w:sz w:val="24"/>
          <w:szCs w:val="24"/>
          <w:u w:val="none"/>
        </w:rPr>
      </w:pPr>
    </w:p>
    <w:p w14:paraId="45EE7D65" w14:textId="77777777" w:rsidR="003E1AD0" w:rsidRDefault="003E1AD0" w:rsidP="002B1283">
      <w:pPr>
        <w:rPr>
          <w:rStyle w:val="Hyperlink"/>
          <w:rFonts w:ascii="Arial Black" w:hAnsi="Arial Black"/>
          <w:b/>
          <w:color w:val="auto"/>
          <w:sz w:val="24"/>
          <w:szCs w:val="24"/>
          <w:u w:val="none"/>
        </w:rPr>
      </w:pPr>
    </w:p>
    <w:p w14:paraId="187748CE" w14:textId="2F84F9C3" w:rsidR="006A67C1" w:rsidRDefault="006A67C1"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4-33</w:t>
      </w:r>
    </w:p>
    <w:p w14:paraId="0AD76701" w14:textId="77777777" w:rsidR="006A67C1" w:rsidRDefault="006A67C1" w:rsidP="006A67C1">
      <w:pPr>
        <w:pStyle w:val="NormalWeb"/>
        <w:rPr>
          <w:rFonts w:ascii="Arial Black" w:hAnsi="Arial Black"/>
          <w:sz w:val="28"/>
          <w:szCs w:val="28"/>
        </w:rPr>
      </w:pPr>
      <w:r>
        <w:rPr>
          <w:rFonts w:ascii="Arial Black" w:hAnsi="Arial Black"/>
          <w:sz w:val="28"/>
          <w:szCs w:val="28"/>
        </w:rPr>
        <w:t xml:space="preserve">CA: GAS LEAK HOME – CAPTAIN ALLOWED SOLAR PANEL WORKER GET TOOLS - EXPLODED – LAWSUIT PROCEED </w:t>
      </w:r>
    </w:p>
    <w:p w14:paraId="04973AF4" w14:textId="77777777" w:rsidR="006A67C1" w:rsidRDefault="006A67C1" w:rsidP="006A67C1">
      <w:pPr>
        <w:pStyle w:val="NormalWeb"/>
      </w:pPr>
      <w:r>
        <w:t xml:space="preserve">On Nov. 30, 2023, in </w:t>
      </w:r>
      <w:r w:rsidRPr="005C5B17">
        <w:rPr>
          <w:u w:val="single"/>
        </w:rPr>
        <w:t>Anthony Borel v. City of Murrieta</w:t>
      </w:r>
      <w:r>
        <w:t xml:space="preserve">, the California Court of Appeals, Fourth District, Third Division, held (3 to 0; unpublished decision), that trial court judge improperly granted summary judgment to the City.  The Court wrote: “Anthony Borel was on a residential worksite in Murrieta (the </w:t>
      </w:r>
      <w:proofErr w:type="gramStart"/>
      <w:r>
        <w:t>City</w:t>
      </w:r>
      <w:proofErr w:type="gramEnd"/>
      <w:r>
        <w:t xml:space="preserve">) the summer of 2019 when the home exploded due to a natural gas leak. Borel alleged the fire crew that responded to the report of a leak failed to establish a perimeter or evacuation zone around the leak area and allowed people to go in and near the home. He was amongst the people allowed to go near the home to retrieve his tools. While he was doing this, the homeowner asked the captain on the scene if she could enter the house to retrieve some personal items. Shortly after she entered, the home exploded and Borel was seriously injured. He seeks to recover damages for his injuries from, among others, the City of Murrieta. *** In response to Borel's public entity </w:t>
      </w:r>
      <w:r>
        <w:lastRenderedPageBreak/>
        <w:t xml:space="preserve">negligence claim, the City successfully moved for summary judgment, on the ground its firefighters' conduct at the scene was subject to emergency services immunity under Health and Safety Code section 1799.107. Section 1799.107 creates immunity for public entities and emergency rescue personnel for injuries caused when they take action to provide emergency services, so long as the actions are not performed in bad faith or with gross negligence. While we agree the City can invoke section 1799.107, we conclude there is sufficient evidence to create triable issues of material fact as to whether the firefighters acted with gross negligence.” </w:t>
      </w:r>
      <w:hyperlink r:id="rId890" w:history="1">
        <w:r w:rsidRPr="002D5A3E">
          <w:rPr>
            <w:rStyle w:val="Hyperlink"/>
          </w:rPr>
          <w:t>https://casetext.com/case/borel-v-city-of-murrieta</w:t>
        </w:r>
      </w:hyperlink>
      <w:r>
        <w:t xml:space="preserve"> </w:t>
      </w:r>
    </w:p>
    <w:p w14:paraId="1205EA14" w14:textId="77777777" w:rsidR="003E1AD0" w:rsidRPr="00C20F9E" w:rsidRDefault="003E1AD0" w:rsidP="003E1AD0">
      <w:pPr>
        <w:pStyle w:val="NormalWeb"/>
        <w:rPr>
          <w:b/>
          <w:bCs/>
        </w:rPr>
      </w:pPr>
      <w:r w:rsidRPr="00C20F9E">
        <w:rPr>
          <w:b/>
          <w:bCs/>
        </w:rPr>
        <w:t>Legal Lesson Learned:</w:t>
      </w:r>
      <w:r>
        <w:rPr>
          <w:b/>
          <w:bCs/>
        </w:rPr>
        <w:t xml:space="preserve"> The “gross negligence” standard may be difficult to prove, but this may be a case that calls for a settlement rather than a jury trial. </w:t>
      </w:r>
    </w:p>
    <w:p w14:paraId="7A64DF4C" w14:textId="77777777" w:rsidR="006A67C1" w:rsidRDefault="006A67C1" w:rsidP="002B1283">
      <w:pPr>
        <w:rPr>
          <w:rStyle w:val="Hyperlink"/>
          <w:rFonts w:ascii="Arial Black" w:hAnsi="Arial Black"/>
          <w:b/>
          <w:color w:val="auto"/>
          <w:sz w:val="24"/>
          <w:szCs w:val="24"/>
          <w:u w:val="none"/>
        </w:rPr>
      </w:pPr>
    </w:p>
    <w:p w14:paraId="6E5D0CC2" w14:textId="77777777" w:rsidR="006A67C1" w:rsidRDefault="006A67C1" w:rsidP="002B1283">
      <w:pPr>
        <w:rPr>
          <w:rStyle w:val="Hyperlink"/>
          <w:rFonts w:ascii="Arial Black" w:hAnsi="Arial Black"/>
          <w:b/>
          <w:color w:val="auto"/>
          <w:sz w:val="24"/>
          <w:szCs w:val="24"/>
          <w:u w:val="none"/>
        </w:rPr>
      </w:pPr>
    </w:p>
    <w:p w14:paraId="05DCFD47" w14:textId="3330B358" w:rsidR="0056123D" w:rsidRDefault="0056123D"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4-32</w:t>
      </w:r>
    </w:p>
    <w:p w14:paraId="039976A8" w14:textId="056DCF0B" w:rsidR="0056123D" w:rsidRPr="00616758" w:rsidRDefault="0056123D" w:rsidP="0056123D">
      <w:pPr>
        <w:pStyle w:val="NoSpacing"/>
        <w:rPr>
          <w:rFonts w:ascii="Arial Black" w:hAnsi="Arial Black"/>
          <w:sz w:val="28"/>
          <w:szCs w:val="28"/>
        </w:rPr>
      </w:pPr>
      <w:r>
        <w:rPr>
          <w:rFonts w:ascii="Arial Black" w:hAnsi="Arial Black"/>
          <w:sz w:val="28"/>
          <w:szCs w:val="28"/>
        </w:rPr>
        <w:t xml:space="preserve">TX: “FAMILY NIGHT” - INSTRUCTOR SPRAYED STUDENTS 2½ HOSE – GOV’T IMMUNITY – ENGINE NOT USED </w:t>
      </w:r>
      <w:r w:rsidR="00954F48">
        <w:rPr>
          <w:rFonts w:ascii="Arial Black" w:hAnsi="Arial Black"/>
          <w:sz w:val="28"/>
          <w:szCs w:val="28"/>
        </w:rPr>
        <w:t xml:space="preserve">AS </w:t>
      </w:r>
      <w:r>
        <w:rPr>
          <w:rFonts w:ascii="Arial Black" w:hAnsi="Arial Black"/>
          <w:sz w:val="28"/>
          <w:szCs w:val="28"/>
        </w:rPr>
        <w:t>VEHICLE</w:t>
      </w:r>
    </w:p>
    <w:p w14:paraId="6492A561" w14:textId="77777777" w:rsidR="00954F48" w:rsidRDefault="00954F48" w:rsidP="00954F48">
      <w:pPr>
        <w:rPr>
          <w:rFonts w:ascii="Times New Roman" w:hAnsi="Times New Roman"/>
          <w:sz w:val="24"/>
          <w:szCs w:val="24"/>
        </w:rPr>
      </w:pPr>
    </w:p>
    <w:p w14:paraId="54DE1A69" w14:textId="5AE37F2C" w:rsidR="00954F48" w:rsidRDefault="0056123D" w:rsidP="00954F48">
      <w:pPr>
        <w:rPr>
          <w:rStyle w:val="Hyperlink"/>
          <w:rFonts w:ascii="Arial Black" w:hAnsi="Arial Black"/>
          <w:b/>
          <w:color w:val="auto"/>
          <w:sz w:val="24"/>
          <w:szCs w:val="24"/>
          <w:u w:val="none"/>
        </w:rPr>
      </w:pPr>
      <w:r>
        <w:rPr>
          <w:rFonts w:ascii="Times New Roman" w:hAnsi="Times New Roman"/>
          <w:sz w:val="24"/>
          <w:szCs w:val="24"/>
        </w:rPr>
        <w:t xml:space="preserve">On Sept. 21, 2023, </w:t>
      </w:r>
      <w:r w:rsidRPr="00C400FC">
        <w:rPr>
          <w:rFonts w:ascii="Times New Roman" w:hAnsi="Times New Roman"/>
          <w:sz w:val="24"/>
          <w:szCs w:val="24"/>
          <w:u w:val="single"/>
        </w:rPr>
        <w:t>in Koby Rezac v. Navarro College</w:t>
      </w:r>
      <w:r>
        <w:rPr>
          <w:rFonts w:ascii="Times New Roman" w:hAnsi="Times New Roman"/>
          <w:sz w:val="24"/>
          <w:szCs w:val="24"/>
        </w:rPr>
        <w:t xml:space="preserve">, the Texas Tenth Court of Appeals, held (3 to 0) that trial court judge properly dismissed the lawsuit against the College.  Under Texas Tort Claim law, governmental immunity is waved for injuries arising out of the </w:t>
      </w:r>
      <w:r w:rsidRPr="00C400FC">
        <w:rPr>
          <w:rFonts w:ascii="Times New Roman" w:hAnsi="Times New Roman"/>
          <w:sz w:val="24"/>
          <w:szCs w:val="24"/>
        </w:rPr>
        <w:t>"use" or "operation" of a motor vehicle</w:t>
      </w:r>
      <w:r>
        <w:rPr>
          <w:rFonts w:ascii="Times New Roman" w:hAnsi="Times New Roman"/>
          <w:sz w:val="24"/>
          <w:szCs w:val="24"/>
        </w:rPr>
        <w:t xml:space="preserve">.   In this case the Court relied on the affidavit of the instructor – it was  “family night” at the Junior College fire program, the program had concluded with students lined up in formation, the engine no longer running but still connected to the hydrant, when the instructor jokingly sprayed the students with the 2 ½ inch line.   </w:t>
      </w:r>
      <w:hyperlink r:id="rId891" w:history="1">
        <w:r w:rsidR="00954F48" w:rsidRPr="00FF56A3">
          <w:rPr>
            <w:rStyle w:val="Hyperlink"/>
            <w:rFonts w:ascii="Times New Roman" w:hAnsi="Times New Roman"/>
            <w:sz w:val="24"/>
            <w:szCs w:val="24"/>
          </w:rPr>
          <w:t>https://search.txcourts.gov/SearchMedia.aspx?MediaVersionID=0759d8f0-c4e1-4852-8390-4190cacb89f6&amp;coa=coa10&amp;DT=Opinion&amp;MediaID=dc9d0fad-acea-4603-a120-a6519744d885</w:t>
        </w:r>
      </w:hyperlink>
    </w:p>
    <w:p w14:paraId="4308B884" w14:textId="788B519C" w:rsidR="0056123D" w:rsidRDefault="00954F48" w:rsidP="0056123D">
      <w:pPr>
        <w:pStyle w:val="NoSpacing"/>
        <w:rPr>
          <w:rFonts w:ascii="Times New Roman" w:hAnsi="Times New Roman"/>
          <w:sz w:val="24"/>
          <w:szCs w:val="24"/>
        </w:rPr>
      </w:pPr>
      <w:r>
        <w:rPr>
          <w:rFonts w:ascii="Times New Roman" w:hAnsi="Times New Roman"/>
          <w:sz w:val="24"/>
          <w:szCs w:val="24"/>
        </w:rPr>
        <w:t>THE COURT HELD:</w:t>
      </w:r>
    </w:p>
    <w:p w14:paraId="409B7CA4" w14:textId="77777777" w:rsidR="0056123D" w:rsidRDefault="0056123D" w:rsidP="0056123D">
      <w:pPr>
        <w:pStyle w:val="NoSpacing"/>
        <w:rPr>
          <w:rFonts w:ascii="Times New Roman" w:hAnsi="Times New Roman"/>
          <w:sz w:val="24"/>
          <w:szCs w:val="24"/>
        </w:rPr>
      </w:pPr>
    </w:p>
    <w:p w14:paraId="28096D81" w14:textId="77777777" w:rsidR="0056123D" w:rsidRPr="00616758" w:rsidRDefault="0056123D" w:rsidP="0056123D">
      <w:pPr>
        <w:pStyle w:val="NoSpacing"/>
        <w:ind w:firstLine="720"/>
        <w:rPr>
          <w:rFonts w:ascii="Times New Roman" w:hAnsi="Times New Roman"/>
          <w:sz w:val="24"/>
          <w:szCs w:val="24"/>
        </w:rPr>
      </w:pPr>
      <w:r>
        <w:rPr>
          <w:rFonts w:ascii="Times New Roman" w:hAnsi="Times New Roman"/>
          <w:sz w:val="24"/>
          <w:szCs w:val="24"/>
        </w:rPr>
        <w:t>“</w:t>
      </w:r>
      <w:r w:rsidRPr="00616758">
        <w:rPr>
          <w:rFonts w:ascii="Times New Roman" w:hAnsi="Times New Roman"/>
          <w:sz w:val="24"/>
          <w:szCs w:val="24"/>
        </w:rPr>
        <w:t>In this instance, because the fire truck was parked and attached to the hydrant,</w:t>
      </w:r>
    </w:p>
    <w:p w14:paraId="0CBAC41C" w14:textId="77777777" w:rsidR="0056123D" w:rsidRPr="00616758" w:rsidRDefault="0056123D" w:rsidP="0056123D">
      <w:pPr>
        <w:pStyle w:val="NoSpacing"/>
        <w:ind w:left="720"/>
        <w:rPr>
          <w:rFonts w:ascii="Times New Roman" w:hAnsi="Times New Roman"/>
          <w:sz w:val="24"/>
          <w:szCs w:val="24"/>
        </w:rPr>
      </w:pPr>
      <w:r w:rsidRPr="00616758">
        <w:rPr>
          <w:rFonts w:ascii="Times New Roman" w:hAnsi="Times New Roman"/>
          <w:sz w:val="24"/>
          <w:szCs w:val="24"/>
        </w:rPr>
        <w:t>under the facts as alleged by Rezac, whatever use of the fire truck that then occurred was</w:t>
      </w:r>
      <w:r>
        <w:rPr>
          <w:rFonts w:ascii="Times New Roman" w:hAnsi="Times New Roman"/>
          <w:sz w:val="24"/>
          <w:szCs w:val="24"/>
        </w:rPr>
        <w:t xml:space="preserve"> </w:t>
      </w:r>
      <w:r w:rsidRPr="00616758">
        <w:rPr>
          <w:rFonts w:ascii="Times New Roman" w:hAnsi="Times New Roman"/>
          <w:sz w:val="24"/>
          <w:szCs w:val="24"/>
        </w:rPr>
        <w:t>not the use or operation of a motor-driven vehicle. At most, it was the use or operation</w:t>
      </w:r>
    </w:p>
    <w:p w14:paraId="74021C44" w14:textId="77777777" w:rsidR="0056123D" w:rsidRPr="00616758" w:rsidRDefault="0056123D" w:rsidP="0056123D">
      <w:pPr>
        <w:pStyle w:val="NoSpacing"/>
        <w:ind w:firstLine="720"/>
        <w:rPr>
          <w:rFonts w:ascii="Times New Roman" w:hAnsi="Times New Roman"/>
          <w:sz w:val="24"/>
          <w:szCs w:val="24"/>
        </w:rPr>
      </w:pPr>
      <w:r w:rsidRPr="00616758">
        <w:rPr>
          <w:rFonts w:ascii="Times New Roman" w:hAnsi="Times New Roman"/>
          <w:sz w:val="24"/>
          <w:szCs w:val="24"/>
        </w:rPr>
        <w:t>of a pump, which under these facts would only potentially involve the use or operation</w:t>
      </w:r>
    </w:p>
    <w:p w14:paraId="10036274" w14:textId="77777777" w:rsidR="0056123D" w:rsidRPr="00616758" w:rsidRDefault="0056123D" w:rsidP="0056123D">
      <w:pPr>
        <w:pStyle w:val="NoSpacing"/>
        <w:ind w:firstLine="720"/>
        <w:rPr>
          <w:rFonts w:ascii="Times New Roman" w:hAnsi="Times New Roman"/>
          <w:sz w:val="24"/>
          <w:szCs w:val="24"/>
        </w:rPr>
      </w:pPr>
      <w:r w:rsidRPr="00616758">
        <w:rPr>
          <w:rFonts w:ascii="Times New Roman" w:hAnsi="Times New Roman"/>
          <w:sz w:val="24"/>
          <w:szCs w:val="24"/>
        </w:rPr>
        <w:t>of motor-driven equipment, for which immunity has not been waived because the college</w:t>
      </w:r>
    </w:p>
    <w:p w14:paraId="6CE4B875" w14:textId="77777777" w:rsidR="0056123D" w:rsidRPr="00616758" w:rsidRDefault="0056123D" w:rsidP="0056123D">
      <w:pPr>
        <w:pStyle w:val="NoSpacing"/>
        <w:ind w:firstLine="720"/>
        <w:rPr>
          <w:rFonts w:ascii="Times New Roman" w:hAnsi="Times New Roman"/>
          <w:sz w:val="24"/>
          <w:szCs w:val="24"/>
        </w:rPr>
      </w:pPr>
      <w:r w:rsidRPr="00616758">
        <w:rPr>
          <w:rFonts w:ascii="Times New Roman" w:hAnsi="Times New Roman"/>
          <w:sz w:val="24"/>
          <w:szCs w:val="24"/>
        </w:rPr>
        <w:t xml:space="preserve">is a junior college district. See Ryder, 453 S.W.3d at </w:t>
      </w:r>
      <w:proofErr w:type="gramStart"/>
      <w:r w:rsidRPr="00616758">
        <w:rPr>
          <w:rFonts w:ascii="Times New Roman" w:hAnsi="Times New Roman"/>
          <w:sz w:val="24"/>
          <w:szCs w:val="24"/>
        </w:rPr>
        <w:t>927 (</w:t>
      </w:r>
      <w:r>
        <w:rPr>
          <w:rFonts w:ascii="Times New Roman" w:hAnsi="Times New Roman"/>
          <w:sz w:val="24"/>
          <w:szCs w:val="24"/>
        </w:rPr>
        <w:t>‘</w:t>
      </w:r>
      <w:proofErr w:type="gramEnd"/>
      <w:r w:rsidRPr="00616758">
        <w:rPr>
          <w:rFonts w:ascii="Times New Roman" w:hAnsi="Times New Roman"/>
          <w:sz w:val="24"/>
          <w:szCs w:val="24"/>
        </w:rPr>
        <w:t>[T]</w:t>
      </w:r>
      <w:proofErr w:type="gramStart"/>
      <w:r w:rsidRPr="00616758">
        <w:rPr>
          <w:rFonts w:ascii="Times New Roman" w:hAnsi="Times New Roman"/>
          <w:sz w:val="24"/>
          <w:szCs w:val="24"/>
        </w:rPr>
        <w:t>he vehicle</w:t>
      </w:r>
      <w:proofErr w:type="gramEnd"/>
      <w:r w:rsidRPr="00616758">
        <w:rPr>
          <w:rFonts w:ascii="Times New Roman" w:hAnsi="Times New Roman"/>
          <w:sz w:val="24"/>
          <w:szCs w:val="24"/>
        </w:rPr>
        <w:t xml:space="preserve"> must have been</w:t>
      </w:r>
    </w:p>
    <w:p w14:paraId="1D8542D0" w14:textId="77777777" w:rsidR="0056123D" w:rsidRPr="00616758" w:rsidRDefault="0056123D" w:rsidP="0056123D">
      <w:pPr>
        <w:pStyle w:val="NoSpacing"/>
        <w:ind w:firstLine="720"/>
        <w:rPr>
          <w:rFonts w:ascii="Times New Roman" w:hAnsi="Times New Roman"/>
          <w:sz w:val="24"/>
          <w:szCs w:val="24"/>
        </w:rPr>
      </w:pPr>
      <w:r w:rsidRPr="00616758">
        <w:rPr>
          <w:rFonts w:ascii="Times New Roman" w:hAnsi="Times New Roman"/>
          <w:sz w:val="24"/>
          <w:szCs w:val="24"/>
        </w:rPr>
        <w:t>used as a vehicle…</w:t>
      </w:r>
      <w:r>
        <w:rPr>
          <w:rFonts w:ascii="Times New Roman" w:hAnsi="Times New Roman"/>
          <w:sz w:val="24"/>
          <w:szCs w:val="24"/>
        </w:rPr>
        <w:t>’</w:t>
      </w:r>
      <w:r w:rsidRPr="00616758">
        <w:rPr>
          <w:rFonts w:ascii="Times New Roman" w:hAnsi="Times New Roman"/>
          <w:sz w:val="24"/>
          <w:szCs w:val="24"/>
        </w:rPr>
        <w:t>). We find that Rezac has not established a clear and unequivocal</w:t>
      </w:r>
    </w:p>
    <w:p w14:paraId="1C60E507" w14:textId="77777777" w:rsidR="0056123D" w:rsidRDefault="0056123D" w:rsidP="0056123D">
      <w:pPr>
        <w:pStyle w:val="NoSpacing"/>
        <w:ind w:left="720"/>
        <w:rPr>
          <w:rFonts w:ascii="Times New Roman" w:hAnsi="Times New Roman"/>
          <w:sz w:val="24"/>
          <w:szCs w:val="24"/>
        </w:rPr>
      </w:pPr>
      <w:r w:rsidRPr="00616758">
        <w:rPr>
          <w:rFonts w:ascii="Times New Roman" w:hAnsi="Times New Roman"/>
          <w:sz w:val="24"/>
          <w:szCs w:val="24"/>
        </w:rPr>
        <w:t>waiver of the college's governmental immunity under the Tort Claims Act.</w:t>
      </w:r>
    </w:p>
    <w:p w14:paraId="4C3F119D" w14:textId="77777777" w:rsidR="0056123D" w:rsidRDefault="0056123D" w:rsidP="0056123D">
      <w:pPr>
        <w:pStyle w:val="NoSpacing"/>
        <w:ind w:left="720"/>
        <w:rPr>
          <w:rFonts w:ascii="Times New Roman" w:hAnsi="Times New Roman"/>
          <w:sz w:val="24"/>
          <w:szCs w:val="24"/>
        </w:rPr>
      </w:pPr>
    </w:p>
    <w:p w14:paraId="2A93863C"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w:t>
      </w:r>
    </w:p>
    <w:p w14:paraId="7891693C" w14:textId="77777777" w:rsidR="0056123D" w:rsidRPr="00523EAD" w:rsidRDefault="0056123D" w:rsidP="0056123D">
      <w:pPr>
        <w:pStyle w:val="NoSpacing"/>
        <w:ind w:left="720"/>
        <w:rPr>
          <w:rFonts w:ascii="Times New Roman" w:hAnsi="Times New Roman"/>
          <w:sz w:val="24"/>
          <w:szCs w:val="24"/>
        </w:rPr>
      </w:pPr>
      <w:r w:rsidRPr="00523EAD">
        <w:rPr>
          <w:rFonts w:ascii="Times New Roman" w:hAnsi="Times New Roman"/>
          <w:sz w:val="24"/>
          <w:szCs w:val="24"/>
        </w:rPr>
        <w:t>In this instance, because the fire truck was parked and attached to the hydrant,</w:t>
      </w:r>
    </w:p>
    <w:p w14:paraId="7D7F20E6" w14:textId="77777777" w:rsidR="0056123D" w:rsidRPr="00523EAD" w:rsidRDefault="0056123D" w:rsidP="0056123D">
      <w:pPr>
        <w:pStyle w:val="NoSpacing"/>
        <w:ind w:left="720"/>
        <w:rPr>
          <w:rFonts w:ascii="Times New Roman" w:hAnsi="Times New Roman"/>
          <w:sz w:val="24"/>
          <w:szCs w:val="24"/>
        </w:rPr>
      </w:pPr>
      <w:r w:rsidRPr="00523EAD">
        <w:rPr>
          <w:rFonts w:ascii="Times New Roman" w:hAnsi="Times New Roman"/>
          <w:sz w:val="24"/>
          <w:szCs w:val="24"/>
        </w:rPr>
        <w:t>under the facts as alleged by Rezac, whatever use of the fire truck that then occurred was</w:t>
      </w:r>
      <w:r>
        <w:rPr>
          <w:rFonts w:ascii="Times New Roman" w:hAnsi="Times New Roman"/>
          <w:sz w:val="24"/>
          <w:szCs w:val="24"/>
        </w:rPr>
        <w:t xml:space="preserve"> </w:t>
      </w:r>
      <w:r w:rsidRPr="00523EAD">
        <w:rPr>
          <w:rFonts w:ascii="Times New Roman" w:hAnsi="Times New Roman"/>
          <w:sz w:val="24"/>
          <w:szCs w:val="24"/>
        </w:rPr>
        <w:t>not the use or operation of a motor-driven vehicle. At most, it was the use or operation</w:t>
      </w:r>
    </w:p>
    <w:p w14:paraId="111E0C5F" w14:textId="77777777" w:rsidR="0056123D" w:rsidRPr="00523EAD" w:rsidRDefault="0056123D" w:rsidP="0056123D">
      <w:pPr>
        <w:pStyle w:val="NoSpacing"/>
        <w:ind w:left="720"/>
        <w:rPr>
          <w:rFonts w:ascii="Times New Roman" w:hAnsi="Times New Roman"/>
          <w:sz w:val="24"/>
          <w:szCs w:val="24"/>
        </w:rPr>
      </w:pPr>
      <w:r w:rsidRPr="00523EAD">
        <w:rPr>
          <w:rFonts w:ascii="Times New Roman" w:hAnsi="Times New Roman"/>
          <w:sz w:val="24"/>
          <w:szCs w:val="24"/>
        </w:rPr>
        <w:t>of a pump, which under these facts would only potentially involve the use or operation</w:t>
      </w:r>
    </w:p>
    <w:p w14:paraId="48CD52E1" w14:textId="77777777" w:rsidR="0056123D" w:rsidRPr="00523EAD" w:rsidRDefault="0056123D" w:rsidP="0056123D">
      <w:pPr>
        <w:pStyle w:val="NoSpacing"/>
        <w:ind w:left="720"/>
        <w:rPr>
          <w:rFonts w:ascii="Times New Roman" w:hAnsi="Times New Roman"/>
          <w:sz w:val="24"/>
          <w:szCs w:val="24"/>
        </w:rPr>
      </w:pPr>
      <w:r w:rsidRPr="00523EAD">
        <w:rPr>
          <w:rFonts w:ascii="Times New Roman" w:hAnsi="Times New Roman"/>
          <w:sz w:val="24"/>
          <w:szCs w:val="24"/>
        </w:rPr>
        <w:t>of motor-driven equipment, for which immunity has not been waived because the college</w:t>
      </w:r>
    </w:p>
    <w:p w14:paraId="07F16EB0" w14:textId="77777777" w:rsidR="0056123D" w:rsidRDefault="0056123D" w:rsidP="0056123D">
      <w:pPr>
        <w:pStyle w:val="NoSpacing"/>
        <w:ind w:left="720"/>
        <w:rPr>
          <w:rFonts w:ascii="Times New Roman" w:hAnsi="Times New Roman"/>
          <w:sz w:val="24"/>
          <w:szCs w:val="24"/>
        </w:rPr>
      </w:pPr>
      <w:r w:rsidRPr="00523EAD">
        <w:rPr>
          <w:rFonts w:ascii="Times New Roman" w:hAnsi="Times New Roman"/>
          <w:sz w:val="24"/>
          <w:szCs w:val="24"/>
        </w:rPr>
        <w:t>is a junior college district</w:t>
      </w:r>
      <w:r>
        <w:rPr>
          <w:rFonts w:ascii="Times New Roman" w:hAnsi="Times New Roman"/>
          <w:sz w:val="24"/>
          <w:szCs w:val="24"/>
        </w:rPr>
        <w:t>.”</w:t>
      </w:r>
    </w:p>
    <w:p w14:paraId="33093741" w14:textId="755CB144" w:rsidR="0056123D" w:rsidRDefault="0056123D" w:rsidP="0056123D">
      <w:pPr>
        <w:ind w:left="720"/>
        <w:rPr>
          <w:rStyle w:val="Hyperlink"/>
          <w:rFonts w:ascii="Arial Black" w:hAnsi="Arial Black"/>
          <w:b/>
          <w:color w:val="auto"/>
          <w:sz w:val="24"/>
          <w:szCs w:val="24"/>
          <w:u w:val="none"/>
        </w:rPr>
      </w:pPr>
      <w:hyperlink r:id="rId892" w:history="1">
        <w:r w:rsidRPr="00FF56A3">
          <w:rPr>
            <w:rStyle w:val="Hyperlink"/>
            <w:rFonts w:ascii="Times New Roman" w:hAnsi="Times New Roman"/>
            <w:sz w:val="24"/>
            <w:szCs w:val="24"/>
          </w:rPr>
          <w:t>https://search.txcourts.gov/SearchMedia.aspx?MediaVersionID=0759d8f0-c4e1-4852-8390-4190cacb89f6&amp;coa=coa10&amp;DT=Opinion&amp;MediaID=dc9d0fad-acea-4603-a120-a6519744d885</w:t>
        </w:r>
      </w:hyperlink>
    </w:p>
    <w:p w14:paraId="2889ED64" w14:textId="6F63338E" w:rsidR="0056123D" w:rsidRPr="00523EAD" w:rsidRDefault="0056123D" w:rsidP="0056123D">
      <w:pPr>
        <w:pStyle w:val="NoSpacing"/>
        <w:rPr>
          <w:rFonts w:ascii="Times New Roman" w:hAnsi="Times New Roman"/>
          <w:b/>
          <w:bCs/>
          <w:sz w:val="24"/>
          <w:szCs w:val="24"/>
        </w:rPr>
      </w:pPr>
      <w:r w:rsidRPr="00523EAD">
        <w:rPr>
          <w:rFonts w:ascii="Times New Roman" w:hAnsi="Times New Roman"/>
          <w:b/>
          <w:bCs/>
          <w:sz w:val="24"/>
          <w:szCs w:val="24"/>
        </w:rPr>
        <w:t>Legal Lesson Learned:</w:t>
      </w:r>
      <w:r w:rsidR="00D85969">
        <w:rPr>
          <w:rFonts w:ascii="Times New Roman" w:hAnsi="Times New Roman"/>
          <w:b/>
          <w:bCs/>
          <w:sz w:val="24"/>
          <w:szCs w:val="24"/>
        </w:rPr>
        <w:t xml:space="preserve"> U</w:t>
      </w:r>
      <w:r>
        <w:rPr>
          <w:rFonts w:ascii="Times New Roman" w:hAnsi="Times New Roman"/>
          <w:b/>
          <w:bCs/>
          <w:sz w:val="24"/>
          <w:szCs w:val="24"/>
        </w:rPr>
        <w:t xml:space="preserve">nder Texas law the plaintiff must prove by clear and unequivocal evidence that “use” of a government vehicle caused the injury. </w:t>
      </w:r>
    </w:p>
    <w:p w14:paraId="6F40034A" w14:textId="77777777" w:rsidR="0056123D" w:rsidRDefault="0056123D" w:rsidP="002B1283">
      <w:pPr>
        <w:rPr>
          <w:rStyle w:val="Hyperlink"/>
          <w:rFonts w:ascii="Arial Black" w:hAnsi="Arial Black"/>
          <w:b/>
          <w:color w:val="auto"/>
          <w:sz w:val="24"/>
          <w:szCs w:val="24"/>
          <w:u w:val="none"/>
        </w:rPr>
      </w:pPr>
    </w:p>
    <w:p w14:paraId="0ED845B7" w14:textId="0209D2C9" w:rsidR="0056123D" w:rsidRDefault="0056123D"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4-31</w:t>
      </w:r>
    </w:p>
    <w:p w14:paraId="2F5F23A9" w14:textId="77777777" w:rsidR="0056123D" w:rsidRDefault="0056123D" w:rsidP="0056123D">
      <w:pPr>
        <w:pStyle w:val="NoSpacing"/>
        <w:rPr>
          <w:rFonts w:ascii="Arial Black" w:hAnsi="Arial Black"/>
          <w:sz w:val="28"/>
          <w:szCs w:val="28"/>
        </w:rPr>
      </w:pPr>
      <w:r>
        <w:rPr>
          <w:rFonts w:ascii="Arial Black" w:hAnsi="Arial Black"/>
          <w:sz w:val="28"/>
          <w:szCs w:val="28"/>
        </w:rPr>
        <w:t xml:space="preserve">KS: BLACK CAPTAIN – IC AT STRIP MALL FIRE – “SHIT SHOW” – CHIEF DOC. IN PERF. REVIEW - NO DISCRIM. </w:t>
      </w:r>
    </w:p>
    <w:p w14:paraId="6FE7CEA7" w14:textId="77777777" w:rsidR="0056123D" w:rsidRPr="005B52AD" w:rsidRDefault="0056123D" w:rsidP="0056123D">
      <w:pPr>
        <w:pStyle w:val="NoSpacing"/>
        <w:rPr>
          <w:rFonts w:ascii="Times New Roman" w:hAnsi="Times New Roman"/>
          <w:sz w:val="24"/>
          <w:szCs w:val="24"/>
        </w:rPr>
      </w:pPr>
      <w:r w:rsidRPr="005B52AD">
        <w:rPr>
          <w:rFonts w:ascii="Times New Roman" w:hAnsi="Times New Roman"/>
          <w:sz w:val="24"/>
          <w:szCs w:val="24"/>
        </w:rPr>
        <w:t>[also Chap. 4]</w:t>
      </w:r>
    </w:p>
    <w:p w14:paraId="2AEFC8B7" w14:textId="77777777" w:rsidR="0056123D" w:rsidRDefault="0056123D" w:rsidP="0056123D">
      <w:pPr>
        <w:pStyle w:val="NoSpacing"/>
        <w:rPr>
          <w:rFonts w:ascii="Times New Roman" w:hAnsi="Times New Roman"/>
          <w:sz w:val="24"/>
          <w:szCs w:val="24"/>
        </w:rPr>
      </w:pPr>
    </w:p>
    <w:p w14:paraId="4BF3EB9F" w14:textId="77777777" w:rsidR="0056123D" w:rsidRDefault="0056123D" w:rsidP="0056123D">
      <w:pPr>
        <w:pStyle w:val="NoSpacing"/>
        <w:rPr>
          <w:rFonts w:ascii="Times New Roman" w:hAnsi="Times New Roman"/>
          <w:sz w:val="24"/>
          <w:szCs w:val="24"/>
        </w:rPr>
      </w:pPr>
      <w:r>
        <w:rPr>
          <w:rFonts w:ascii="Times New Roman" w:hAnsi="Times New Roman"/>
          <w:sz w:val="24"/>
          <w:szCs w:val="24"/>
        </w:rPr>
        <w:t xml:space="preserve">On Sept. 8, 2023, in </w:t>
      </w:r>
      <w:r w:rsidRPr="009108A0">
        <w:rPr>
          <w:rFonts w:ascii="Times New Roman" w:hAnsi="Times New Roman"/>
          <w:sz w:val="24"/>
          <w:szCs w:val="24"/>
          <w:u w:val="single"/>
        </w:rPr>
        <w:t>Mark Jordan v. City of Wichita, Kansas, et al.</w:t>
      </w:r>
      <w:r>
        <w:rPr>
          <w:rFonts w:ascii="Times New Roman" w:hAnsi="Times New Roman"/>
          <w:sz w:val="24"/>
          <w:szCs w:val="24"/>
        </w:rPr>
        <w:t xml:space="preserve">, U.S. District Court Judge Daniel D. Crabtree, U.S. District Court for the District of Kansas, granted the City’s motion for summary judgment.  The August 2019 strip mall fire went to two alarms; plaintiff arrived on seventh unit and took command because no one has yet become IC. Plaintiff admitted it didn’t go well and in his </w:t>
      </w:r>
      <w:proofErr w:type="gramStart"/>
      <w:r>
        <w:rPr>
          <w:rFonts w:ascii="Times New Roman" w:hAnsi="Times New Roman"/>
          <w:sz w:val="24"/>
          <w:szCs w:val="24"/>
        </w:rPr>
        <w:t>words</w:t>
      </w:r>
      <w:proofErr w:type="gramEnd"/>
      <w:r>
        <w:rPr>
          <w:rFonts w:ascii="Times New Roman" w:hAnsi="Times New Roman"/>
          <w:sz w:val="24"/>
          <w:szCs w:val="24"/>
        </w:rPr>
        <w:t xml:space="preserve"> it was a “shit show.” Fire Chief Tammy Snow arrived at scene and criticized the Acting Battalion Chief, who was on the second arriving unit, for not taking command.  The Fire Chief ordered that the annual performance review of both the plaintiff and the Acting Battalion Chief document performance concerns at that strip mall fire. </w:t>
      </w:r>
    </w:p>
    <w:p w14:paraId="67A3161D" w14:textId="77777777" w:rsidR="0056123D" w:rsidRDefault="0056123D" w:rsidP="0056123D">
      <w:pPr>
        <w:pStyle w:val="NoSpacing"/>
        <w:rPr>
          <w:rFonts w:ascii="Times New Roman" w:hAnsi="Times New Roman"/>
          <w:sz w:val="24"/>
          <w:szCs w:val="24"/>
        </w:rPr>
      </w:pPr>
    </w:p>
    <w:p w14:paraId="76945131" w14:textId="77777777" w:rsidR="0056123D" w:rsidRPr="00497B07" w:rsidRDefault="0056123D" w:rsidP="0056123D">
      <w:pPr>
        <w:pStyle w:val="NoSpacing"/>
        <w:ind w:firstLine="720"/>
        <w:rPr>
          <w:rFonts w:ascii="Times New Roman" w:hAnsi="Times New Roman"/>
          <w:sz w:val="24"/>
          <w:szCs w:val="24"/>
        </w:rPr>
      </w:pPr>
      <w:r>
        <w:rPr>
          <w:rFonts w:ascii="Times New Roman" w:hAnsi="Times New Roman"/>
          <w:sz w:val="24"/>
          <w:szCs w:val="24"/>
        </w:rPr>
        <w:t>“</w:t>
      </w:r>
      <w:r w:rsidRPr="00497B07">
        <w:rPr>
          <w:rFonts w:ascii="Times New Roman" w:hAnsi="Times New Roman"/>
          <w:sz w:val="24"/>
          <w:szCs w:val="24"/>
        </w:rPr>
        <w:t>In August 2019—before the Acting Battalion Chief debacle—a strip mall on south</w:t>
      </w:r>
    </w:p>
    <w:p w14:paraId="32FBABE7" w14:textId="77777777" w:rsidR="0056123D" w:rsidRDefault="0056123D" w:rsidP="0056123D">
      <w:pPr>
        <w:pStyle w:val="NoSpacing"/>
        <w:ind w:left="720"/>
        <w:rPr>
          <w:rFonts w:ascii="Times New Roman" w:hAnsi="Times New Roman"/>
          <w:sz w:val="24"/>
          <w:szCs w:val="24"/>
        </w:rPr>
      </w:pPr>
      <w:r w:rsidRPr="00497B07">
        <w:rPr>
          <w:rFonts w:ascii="Times New Roman" w:hAnsi="Times New Roman"/>
          <w:sz w:val="24"/>
          <w:szCs w:val="24"/>
        </w:rPr>
        <w:t>Seneca Street caught fire. Doc. 81 at 3 (Pretrial Order ¶ 2.a.x.). WFD Policy provides that the</w:t>
      </w:r>
      <w:r>
        <w:rPr>
          <w:rFonts w:ascii="Times New Roman" w:hAnsi="Times New Roman"/>
          <w:sz w:val="24"/>
          <w:szCs w:val="24"/>
        </w:rPr>
        <w:t xml:space="preserve"> </w:t>
      </w:r>
      <w:r w:rsidRPr="00497B07">
        <w:rPr>
          <w:rFonts w:ascii="Times New Roman" w:hAnsi="Times New Roman"/>
          <w:sz w:val="24"/>
          <w:szCs w:val="24"/>
        </w:rPr>
        <w:t>second fire engine to arrive at a scene should assume command</w:t>
      </w:r>
      <w:r>
        <w:rPr>
          <w:rFonts w:ascii="Times New Roman" w:hAnsi="Times New Roman"/>
          <w:sz w:val="24"/>
          <w:szCs w:val="24"/>
        </w:rPr>
        <w:t xml:space="preserve">…. </w:t>
      </w:r>
      <w:r w:rsidRPr="00497B07">
        <w:rPr>
          <w:rFonts w:ascii="Times New Roman" w:hAnsi="Times New Roman"/>
          <w:sz w:val="24"/>
          <w:szCs w:val="24"/>
        </w:rPr>
        <w:t>Plaintiff was on the seventh unit to arrive at the fire, but no one had assumed command. Id.</w:t>
      </w:r>
      <w:r>
        <w:rPr>
          <w:rFonts w:ascii="Times New Roman" w:hAnsi="Times New Roman"/>
          <w:sz w:val="24"/>
          <w:szCs w:val="24"/>
        </w:rPr>
        <w:t xml:space="preserve"> </w:t>
      </w:r>
      <w:r w:rsidRPr="00497B07">
        <w:rPr>
          <w:rFonts w:ascii="Times New Roman" w:hAnsi="Times New Roman"/>
          <w:sz w:val="24"/>
          <w:szCs w:val="24"/>
        </w:rPr>
        <w:t>So, plaintiff assumed command of the Seneca Street fire</w:t>
      </w:r>
      <w:r>
        <w:rPr>
          <w:rFonts w:ascii="Times New Roman" w:hAnsi="Times New Roman"/>
          <w:sz w:val="24"/>
          <w:szCs w:val="24"/>
        </w:rPr>
        <w:t>….</w:t>
      </w:r>
      <w:r w:rsidRPr="00497B07">
        <w:rPr>
          <w:rFonts w:ascii="Times New Roman" w:hAnsi="Times New Roman"/>
          <w:sz w:val="24"/>
          <w:szCs w:val="24"/>
        </w:rPr>
        <w:t xml:space="preserve"> With seven units already at the scene and assigned, plaintiff, as incident commander, had a</w:t>
      </w:r>
      <w:r>
        <w:rPr>
          <w:rFonts w:ascii="Times New Roman" w:hAnsi="Times New Roman"/>
          <w:sz w:val="24"/>
          <w:szCs w:val="24"/>
        </w:rPr>
        <w:t xml:space="preserve"> </w:t>
      </w:r>
      <w:r w:rsidRPr="00497B07">
        <w:rPr>
          <w:rFonts w:ascii="Times New Roman" w:hAnsi="Times New Roman"/>
          <w:sz w:val="24"/>
          <w:szCs w:val="24"/>
        </w:rPr>
        <w:t>lot of catching up to do</w:t>
      </w:r>
      <w:r>
        <w:rPr>
          <w:rFonts w:ascii="Times New Roman" w:hAnsi="Times New Roman"/>
          <w:sz w:val="24"/>
          <w:szCs w:val="24"/>
        </w:rPr>
        <w:t>….</w:t>
      </w:r>
      <w:r w:rsidRPr="00497B07">
        <w:rPr>
          <w:rFonts w:ascii="Times New Roman" w:hAnsi="Times New Roman"/>
          <w:sz w:val="24"/>
          <w:szCs w:val="24"/>
        </w:rPr>
        <w:t>(After Action Report Tr.). Plaintiff described the scene</w:t>
      </w:r>
      <w:r>
        <w:rPr>
          <w:rFonts w:ascii="Times New Roman" w:hAnsi="Times New Roman"/>
          <w:sz w:val="24"/>
          <w:szCs w:val="24"/>
        </w:rPr>
        <w:t xml:space="preserve"> </w:t>
      </w:r>
      <w:r w:rsidRPr="00497B07">
        <w:rPr>
          <w:rFonts w:ascii="Times New Roman" w:hAnsi="Times New Roman"/>
          <w:sz w:val="24"/>
          <w:szCs w:val="24"/>
        </w:rPr>
        <w:t xml:space="preserve">as a </w:t>
      </w:r>
      <w:r>
        <w:rPr>
          <w:rFonts w:ascii="Times New Roman" w:hAnsi="Times New Roman"/>
          <w:sz w:val="24"/>
          <w:szCs w:val="24"/>
        </w:rPr>
        <w:t>‘</w:t>
      </w:r>
      <w:r w:rsidRPr="00497B07">
        <w:rPr>
          <w:rFonts w:ascii="Times New Roman" w:hAnsi="Times New Roman"/>
          <w:sz w:val="24"/>
          <w:szCs w:val="24"/>
        </w:rPr>
        <w:t>shit show.</w:t>
      </w:r>
      <w:r>
        <w:rPr>
          <w:rFonts w:ascii="Times New Roman" w:hAnsi="Times New Roman"/>
          <w:sz w:val="24"/>
          <w:szCs w:val="24"/>
        </w:rPr>
        <w:t>’</w:t>
      </w:r>
      <w:r w:rsidRPr="00497B07">
        <w:rPr>
          <w:rFonts w:ascii="Times New Roman" w:hAnsi="Times New Roman"/>
          <w:sz w:val="24"/>
          <w:szCs w:val="24"/>
        </w:rPr>
        <w:t xml:space="preserve"> Doc. 86-7 at 49 (Pl. Dep. 200:6–13). Plaintiff acknowledged that he struggled</w:t>
      </w:r>
      <w:r>
        <w:rPr>
          <w:rFonts w:ascii="Times New Roman" w:hAnsi="Times New Roman"/>
          <w:sz w:val="24"/>
          <w:szCs w:val="24"/>
        </w:rPr>
        <w:t xml:space="preserve"> </w:t>
      </w:r>
      <w:r w:rsidRPr="00497B07">
        <w:rPr>
          <w:rFonts w:ascii="Times New Roman" w:hAnsi="Times New Roman"/>
          <w:sz w:val="24"/>
          <w:szCs w:val="24"/>
        </w:rPr>
        <w:t xml:space="preserve">at the scene but </w:t>
      </w:r>
      <w:proofErr w:type="gramStart"/>
      <w:r w:rsidRPr="00497B07">
        <w:rPr>
          <w:rFonts w:ascii="Times New Roman" w:hAnsi="Times New Roman"/>
          <w:sz w:val="24"/>
          <w:szCs w:val="24"/>
        </w:rPr>
        <w:t>believes</w:t>
      </w:r>
      <w:proofErr w:type="gramEnd"/>
      <w:r w:rsidRPr="00497B07">
        <w:rPr>
          <w:rFonts w:ascii="Times New Roman" w:hAnsi="Times New Roman"/>
          <w:sz w:val="24"/>
          <w:szCs w:val="24"/>
        </w:rPr>
        <w:t xml:space="preserve"> that anyone in the same situation would have struggled. </w:t>
      </w:r>
    </w:p>
    <w:p w14:paraId="7BFE945B" w14:textId="77777777" w:rsidR="0056123D" w:rsidRDefault="0056123D" w:rsidP="0056123D">
      <w:pPr>
        <w:pStyle w:val="NoSpacing"/>
        <w:ind w:left="720"/>
        <w:rPr>
          <w:rFonts w:ascii="Times New Roman" w:hAnsi="Times New Roman"/>
          <w:sz w:val="24"/>
          <w:szCs w:val="24"/>
        </w:rPr>
      </w:pPr>
    </w:p>
    <w:p w14:paraId="708E6649"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w:t>
      </w:r>
    </w:p>
    <w:p w14:paraId="21F6E8D8" w14:textId="77777777" w:rsidR="0056123D" w:rsidRDefault="0056123D" w:rsidP="0056123D">
      <w:pPr>
        <w:pStyle w:val="NoSpacing"/>
        <w:ind w:left="720"/>
        <w:rPr>
          <w:rFonts w:ascii="Times New Roman" w:hAnsi="Times New Roman"/>
          <w:sz w:val="24"/>
          <w:szCs w:val="24"/>
        </w:rPr>
      </w:pPr>
    </w:p>
    <w:p w14:paraId="184F76B8" w14:textId="77777777" w:rsidR="0056123D" w:rsidRPr="00C20869" w:rsidRDefault="0056123D" w:rsidP="0056123D">
      <w:pPr>
        <w:pStyle w:val="NoSpacing"/>
        <w:ind w:firstLine="720"/>
        <w:rPr>
          <w:rFonts w:ascii="Times New Roman" w:hAnsi="Times New Roman"/>
          <w:sz w:val="24"/>
          <w:szCs w:val="24"/>
        </w:rPr>
      </w:pPr>
      <w:r w:rsidRPr="00C20869">
        <w:rPr>
          <w:rFonts w:ascii="Times New Roman" w:hAnsi="Times New Roman"/>
          <w:sz w:val="24"/>
          <w:szCs w:val="24"/>
        </w:rPr>
        <w:t xml:space="preserve">Here, Chief Snow asked Pavelski to review plaintiff’s second evaluation </w:t>
      </w:r>
      <w:r>
        <w:rPr>
          <w:rFonts w:ascii="Times New Roman" w:hAnsi="Times New Roman"/>
          <w:sz w:val="24"/>
          <w:szCs w:val="24"/>
        </w:rPr>
        <w:t>‘</w:t>
      </w:r>
      <w:r w:rsidRPr="00C20869">
        <w:rPr>
          <w:rFonts w:ascii="Times New Roman" w:hAnsi="Times New Roman"/>
          <w:sz w:val="24"/>
          <w:szCs w:val="24"/>
        </w:rPr>
        <w:t>for accuracy</w:t>
      </w:r>
      <w:r>
        <w:rPr>
          <w:rFonts w:ascii="Times New Roman" w:hAnsi="Times New Roman"/>
          <w:sz w:val="24"/>
          <w:szCs w:val="24"/>
        </w:rPr>
        <w:t>.’</w:t>
      </w:r>
    </w:p>
    <w:p w14:paraId="3B8A38ED" w14:textId="77777777" w:rsidR="0056123D" w:rsidRPr="00C20869" w:rsidRDefault="0056123D" w:rsidP="0056123D">
      <w:pPr>
        <w:pStyle w:val="NoSpacing"/>
        <w:ind w:firstLine="720"/>
        <w:rPr>
          <w:rFonts w:ascii="Times New Roman" w:hAnsi="Times New Roman"/>
          <w:sz w:val="24"/>
          <w:szCs w:val="24"/>
        </w:rPr>
      </w:pPr>
      <w:r w:rsidRPr="00C20869">
        <w:rPr>
          <w:rFonts w:ascii="Times New Roman" w:hAnsi="Times New Roman"/>
          <w:sz w:val="24"/>
          <w:szCs w:val="24"/>
        </w:rPr>
        <w:t xml:space="preserve">Doc. 86-19 (Snow, Aug. 11, </w:t>
      </w:r>
      <w:proofErr w:type="gramStart"/>
      <w:r w:rsidRPr="00C20869">
        <w:rPr>
          <w:rFonts w:ascii="Times New Roman" w:hAnsi="Times New Roman"/>
          <w:sz w:val="24"/>
          <w:szCs w:val="24"/>
        </w:rPr>
        <w:t>2020</w:t>
      </w:r>
      <w:proofErr w:type="gramEnd"/>
      <w:r w:rsidRPr="00C20869">
        <w:rPr>
          <w:rFonts w:ascii="Times New Roman" w:hAnsi="Times New Roman"/>
          <w:sz w:val="24"/>
          <w:szCs w:val="24"/>
        </w:rPr>
        <w:t xml:space="preserve"> Email). Chief Snow wanted Pavelski to add a </w:t>
      </w:r>
      <w:r>
        <w:rPr>
          <w:rFonts w:ascii="Times New Roman" w:hAnsi="Times New Roman"/>
          <w:sz w:val="24"/>
          <w:szCs w:val="24"/>
        </w:rPr>
        <w:t>‘</w:t>
      </w:r>
      <w:r w:rsidRPr="00C20869">
        <w:rPr>
          <w:rFonts w:ascii="Times New Roman" w:hAnsi="Times New Roman"/>
          <w:sz w:val="24"/>
          <w:szCs w:val="24"/>
        </w:rPr>
        <w:t>note of</w:t>
      </w:r>
    </w:p>
    <w:p w14:paraId="40B6ABE6" w14:textId="77777777" w:rsidR="0056123D" w:rsidRDefault="0056123D" w:rsidP="0056123D">
      <w:pPr>
        <w:pStyle w:val="NoSpacing"/>
        <w:ind w:left="720"/>
        <w:rPr>
          <w:rFonts w:ascii="Times New Roman" w:hAnsi="Times New Roman"/>
          <w:sz w:val="24"/>
          <w:szCs w:val="24"/>
        </w:rPr>
      </w:pPr>
      <w:r w:rsidRPr="00C20869">
        <w:rPr>
          <w:rFonts w:ascii="Times New Roman" w:hAnsi="Times New Roman"/>
          <w:sz w:val="24"/>
          <w:szCs w:val="24"/>
        </w:rPr>
        <w:t>Accountability</w:t>
      </w:r>
      <w:r>
        <w:rPr>
          <w:rFonts w:ascii="Times New Roman" w:hAnsi="Times New Roman"/>
          <w:sz w:val="24"/>
          <w:szCs w:val="24"/>
        </w:rPr>
        <w:t>’</w:t>
      </w:r>
      <w:r w:rsidRPr="00C20869">
        <w:rPr>
          <w:rFonts w:ascii="Times New Roman" w:hAnsi="Times New Roman"/>
          <w:sz w:val="24"/>
          <w:szCs w:val="24"/>
        </w:rPr>
        <w:t xml:space="preserve"> about plaintiff’s performance at the Seneca Street Fire. Doc. 86-3 at 19 (Snow</w:t>
      </w:r>
      <w:r>
        <w:rPr>
          <w:rFonts w:ascii="Times New Roman" w:hAnsi="Times New Roman"/>
          <w:sz w:val="24"/>
          <w:szCs w:val="24"/>
        </w:rPr>
        <w:t xml:space="preserve"> </w:t>
      </w:r>
      <w:r w:rsidRPr="00C20869">
        <w:rPr>
          <w:rFonts w:ascii="Times New Roman" w:hAnsi="Times New Roman"/>
          <w:sz w:val="24"/>
          <w:szCs w:val="24"/>
        </w:rPr>
        <w:t>Dep. 58:4–11).</w:t>
      </w:r>
    </w:p>
    <w:p w14:paraId="3AED5B31" w14:textId="77777777" w:rsidR="0056123D" w:rsidRDefault="0056123D" w:rsidP="0056123D">
      <w:pPr>
        <w:pStyle w:val="NoSpacing"/>
        <w:ind w:left="720"/>
        <w:rPr>
          <w:rFonts w:ascii="Times New Roman" w:hAnsi="Times New Roman"/>
          <w:sz w:val="24"/>
          <w:szCs w:val="24"/>
        </w:rPr>
      </w:pPr>
    </w:p>
    <w:p w14:paraId="3ED028F6"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w:t>
      </w:r>
    </w:p>
    <w:p w14:paraId="52C04E1E" w14:textId="77777777" w:rsidR="0056123D" w:rsidRDefault="0056123D" w:rsidP="0056123D">
      <w:pPr>
        <w:pStyle w:val="NoSpacing"/>
        <w:ind w:left="720"/>
        <w:rPr>
          <w:rFonts w:ascii="Times New Roman" w:hAnsi="Times New Roman"/>
          <w:sz w:val="24"/>
          <w:szCs w:val="24"/>
        </w:rPr>
      </w:pPr>
    </w:p>
    <w:p w14:paraId="3681AC31" w14:textId="77777777" w:rsidR="0056123D" w:rsidRPr="00C20869" w:rsidRDefault="0056123D" w:rsidP="0056123D">
      <w:pPr>
        <w:pStyle w:val="NoSpacing"/>
        <w:ind w:firstLine="720"/>
        <w:rPr>
          <w:rFonts w:ascii="Times New Roman" w:hAnsi="Times New Roman"/>
          <w:sz w:val="24"/>
          <w:szCs w:val="24"/>
        </w:rPr>
      </w:pPr>
      <w:r w:rsidRPr="00C20869">
        <w:rPr>
          <w:rFonts w:ascii="Times New Roman" w:hAnsi="Times New Roman"/>
          <w:sz w:val="24"/>
          <w:szCs w:val="24"/>
        </w:rPr>
        <w:t xml:space="preserve">And plaintiff acknowledged that the Seneca Street Fire was a </w:t>
      </w:r>
      <w:r>
        <w:rPr>
          <w:rFonts w:ascii="Times New Roman" w:hAnsi="Times New Roman"/>
          <w:sz w:val="24"/>
          <w:szCs w:val="24"/>
        </w:rPr>
        <w:t>‘</w:t>
      </w:r>
      <w:r w:rsidRPr="00C20869">
        <w:rPr>
          <w:rFonts w:ascii="Times New Roman" w:hAnsi="Times New Roman"/>
          <w:sz w:val="24"/>
          <w:szCs w:val="24"/>
        </w:rPr>
        <w:t>shit show,</w:t>
      </w:r>
      <w:r>
        <w:rPr>
          <w:rFonts w:ascii="Times New Roman" w:hAnsi="Times New Roman"/>
          <w:sz w:val="24"/>
          <w:szCs w:val="24"/>
        </w:rPr>
        <w:t xml:space="preserve">’ </w:t>
      </w:r>
      <w:r w:rsidRPr="00C20869">
        <w:rPr>
          <w:rFonts w:ascii="Times New Roman" w:hAnsi="Times New Roman"/>
          <w:sz w:val="24"/>
          <w:szCs w:val="24"/>
        </w:rPr>
        <w:t>Doc.</w:t>
      </w:r>
    </w:p>
    <w:p w14:paraId="27B79EBB" w14:textId="77777777" w:rsidR="0056123D" w:rsidRDefault="0056123D" w:rsidP="0056123D">
      <w:pPr>
        <w:pStyle w:val="NoSpacing"/>
        <w:ind w:left="720"/>
        <w:rPr>
          <w:rFonts w:ascii="Times New Roman" w:hAnsi="Times New Roman"/>
          <w:sz w:val="24"/>
          <w:szCs w:val="24"/>
        </w:rPr>
      </w:pPr>
      <w:r w:rsidRPr="00C20869">
        <w:rPr>
          <w:rFonts w:ascii="Times New Roman" w:hAnsi="Times New Roman"/>
          <w:sz w:val="24"/>
          <w:szCs w:val="24"/>
        </w:rPr>
        <w:t>86-7 at 49 (Pl. Dep. 200:6–13), and that he struggled at the scene, id. at 50 (Pl. Dep. 202:4–13).</w:t>
      </w:r>
      <w:r>
        <w:rPr>
          <w:rFonts w:ascii="Times New Roman" w:hAnsi="Times New Roman"/>
          <w:sz w:val="24"/>
          <w:szCs w:val="24"/>
        </w:rPr>
        <w:t xml:space="preserve"> </w:t>
      </w:r>
      <w:r w:rsidRPr="00C20869">
        <w:rPr>
          <w:rFonts w:ascii="Times New Roman" w:hAnsi="Times New Roman"/>
          <w:sz w:val="24"/>
          <w:szCs w:val="24"/>
        </w:rPr>
        <w:t>Defendants’ reason for altering plaintiff’s review is not facially prohibited—</w:t>
      </w:r>
      <w:proofErr w:type="gramStart"/>
      <w:r w:rsidRPr="00C20869">
        <w:rPr>
          <w:rFonts w:ascii="Times New Roman" w:hAnsi="Times New Roman"/>
          <w:sz w:val="24"/>
          <w:szCs w:val="24"/>
        </w:rPr>
        <w:t>so,</w:t>
      </w:r>
      <w:proofErr w:type="gramEnd"/>
      <w:r w:rsidRPr="00C20869">
        <w:rPr>
          <w:rFonts w:ascii="Times New Roman" w:hAnsi="Times New Roman"/>
          <w:sz w:val="24"/>
          <w:szCs w:val="24"/>
        </w:rPr>
        <w:t xml:space="preserve"> defendants have</w:t>
      </w:r>
      <w:r>
        <w:rPr>
          <w:rFonts w:ascii="Times New Roman" w:hAnsi="Times New Roman"/>
          <w:sz w:val="24"/>
          <w:szCs w:val="24"/>
        </w:rPr>
        <w:t xml:space="preserve"> </w:t>
      </w:r>
      <w:r w:rsidRPr="00C20869">
        <w:rPr>
          <w:rFonts w:ascii="Times New Roman" w:hAnsi="Times New Roman"/>
          <w:sz w:val="24"/>
          <w:szCs w:val="24"/>
        </w:rPr>
        <w:t>satisfied their burden at this step. Also, plaintiff doesn’t argue that defendants have failed to</w:t>
      </w:r>
      <w:r>
        <w:rPr>
          <w:rFonts w:ascii="Times New Roman" w:hAnsi="Times New Roman"/>
          <w:sz w:val="24"/>
          <w:szCs w:val="24"/>
        </w:rPr>
        <w:t xml:space="preserve"> </w:t>
      </w:r>
      <w:r w:rsidRPr="00C20869">
        <w:rPr>
          <w:rFonts w:ascii="Times New Roman" w:hAnsi="Times New Roman"/>
          <w:sz w:val="24"/>
          <w:szCs w:val="24"/>
        </w:rPr>
        <w:t>proffer a legitimate, non-discriminatory reason for modifying his performance evaluation. See</w:t>
      </w:r>
      <w:r>
        <w:rPr>
          <w:rFonts w:ascii="Times New Roman" w:hAnsi="Times New Roman"/>
          <w:sz w:val="24"/>
          <w:szCs w:val="24"/>
        </w:rPr>
        <w:t xml:space="preserve"> </w:t>
      </w:r>
      <w:r w:rsidRPr="00C20869">
        <w:rPr>
          <w:rFonts w:ascii="Times New Roman" w:hAnsi="Times New Roman"/>
          <w:sz w:val="24"/>
          <w:szCs w:val="24"/>
        </w:rPr>
        <w:t>generally Doc. 91. Defendants simply wanted plaintiff’s performance evaluation to include</w:t>
      </w:r>
      <w:r>
        <w:rPr>
          <w:rFonts w:ascii="Times New Roman" w:hAnsi="Times New Roman"/>
          <w:sz w:val="24"/>
          <w:szCs w:val="24"/>
        </w:rPr>
        <w:t xml:space="preserve"> </w:t>
      </w:r>
      <w:r w:rsidRPr="00C20869">
        <w:rPr>
          <w:rFonts w:ascii="Times New Roman" w:hAnsi="Times New Roman"/>
          <w:sz w:val="24"/>
          <w:szCs w:val="24"/>
        </w:rPr>
        <w:t>information about the Seneca Street Fire. This showing qualifies as a legitimate,</w:t>
      </w:r>
      <w:r>
        <w:rPr>
          <w:rFonts w:ascii="Times New Roman" w:hAnsi="Times New Roman"/>
          <w:sz w:val="24"/>
          <w:szCs w:val="24"/>
        </w:rPr>
        <w:t xml:space="preserve"> </w:t>
      </w:r>
      <w:r w:rsidRPr="00C20869">
        <w:rPr>
          <w:rFonts w:ascii="Times New Roman" w:hAnsi="Times New Roman"/>
          <w:sz w:val="24"/>
          <w:szCs w:val="24"/>
        </w:rPr>
        <w:t>nondiscriminatory reason satisfactory to discharge the City’s burden at step two.</w:t>
      </w:r>
    </w:p>
    <w:p w14:paraId="4A5137FC" w14:textId="77777777" w:rsidR="0056123D" w:rsidRDefault="0056123D" w:rsidP="0056123D">
      <w:pPr>
        <w:pStyle w:val="NoSpacing"/>
        <w:ind w:left="720"/>
        <w:rPr>
          <w:rFonts w:ascii="Times New Roman" w:hAnsi="Times New Roman"/>
          <w:sz w:val="24"/>
          <w:szCs w:val="24"/>
        </w:rPr>
      </w:pPr>
    </w:p>
    <w:p w14:paraId="28DDA666" w14:textId="77777777" w:rsidR="0056123D" w:rsidRDefault="0056123D" w:rsidP="0056123D">
      <w:pPr>
        <w:pStyle w:val="NoSpacing"/>
        <w:ind w:left="720"/>
        <w:rPr>
          <w:rFonts w:ascii="Times New Roman" w:hAnsi="Times New Roman"/>
          <w:sz w:val="24"/>
          <w:szCs w:val="24"/>
        </w:rPr>
      </w:pPr>
      <w:r>
        <w:rPr>
          <w:rFonts w:ascii="Times New Roman" w:hAnsi="Times New Roman"/>
          <w:sz w:val="24"/>
          <w:szCs w:val="24"/>
        </w:rPr>
        <w:t>***</w:t>
      </w:r>
    </w:p>
    <w:p w14:paraId="5A456774" w14:textId="77777777" w:rsidR="0056123D" w:rsidRDefault="0056123D" w:rsidP="0056123D">
      <w:pPr>
        <w:pStyle w:val="NoSpacing"/>
        <w:ind w:firstLine="720"/>
        <w:rPr>
          <w:rFonts w:ascii="Times New Roman" w:hAnsi="Times New Roman"/>
          <w:sz w:val="24"/>
          <w:szCs w:val="24"/>
        </w:rPr>
      </w:pPr>
      <w:r>
        <w:rPr>
          <w:rFonts w:ascii="Times New Roman" w:hAnsi="Times New Roman"/>
          <w:sz w:val="24"/>
          <w:szCs w:val="24"/>
        </w:rPr>
        <w:t>T</w:t>
      </w:r>
      <w:r w:rsidRPr="00C20869">
        <w:rPr>
          <w:rFonts w:ascii="Times New Roman" w:hAnsi="Times New Roman"/>
          <w:sz w:val="24"/>
          <w:szCs w:val="24"/>
        </w:rPr>
        <w:t>he court concludes, instead, that plaintiff has failed to present triable issues of race</w:t>
      </w:r>
    </w:p>
    <w:p w14:paraId="339EA329" w14:textId="77777777" w:rsidR="0056123D" w:rsidRDefault="0056123D" w:rsidP="0056123D">
      <w:pPr>
        <w:pStyle w:val="NoSpacing"/>
        <w:ind w:left="720"/>
        <w:rPr>
          <w:rFonts w:ascii="Times New Roman" w:hAnsi="Times New Roman"/>
          <w:sz w:val="24"/>
          <w:szCs w:val="24"/>
        </w:rPr>
      </w:pPr>
      <w:r w:rsidRPr="00C20869">
        <w:rPr>
          <w:rFonts w:ascii="Times New Roman" w:hAnsi="Times New Roman"/>
          <w:sz w:val="24"/>
          <w:szCs w:val="24"/>
        </w:rPr>
        <w:lastRenderedPageBreak/>
        <w:t>discrimination and retaliation, so it declines to invoke its supplemental jurisdiction over the state</w:t>
      </w:r>
      <w:r>
        <w:rPr>
          <w:rFonts w:ascii="Times New Roman" w:hAnsi="Times New Roman"/>
          <w:sz w:val="24"/>
          <w:szCs w:val="24"/>
        </w:rPr>
        <w:t xml:space="preserve"> </w:t>
      </w:r>
      <w:r w:rsidRPr="00C20869">
        <w:rPr>
          <w:rFonts w:ascii="Times New Roman" w:hAnsi="Times New Roman"/>
          <w:sz w:val="24"/>
          <w:szCs w:val="24"/>
        </w:rPr>
        <w:t>law claims under 28 U.S.C.§ 1367(c)(3).</w:t>
      </w:r>
      <w:r>
        <w:rPr>
          <w:rFonts w:ascii="Times New Roman" w:hAnsi="Times New Roman"/>
          <w:sz w:val="24"/>
          <w:szCs w:val="24"/>
        </w:rPr>
        <w:t xml:space="preserve">”  </w:t>
      </w:r>
      <w:hyperlink r:id="rId893" w:history="1">
        <w:r w:rsidRPr="002833D6">
          <w:rPr>
            <w:rStyle w:val="Hyperlink"/>
            <w:rFonts w:ascii="Times New Roman" w:hAnsi="Times New Roman"/>
            <w:sz w:val="24"/>
            <w:szCs w:val="24"/>
          </w:rPr>
          <w:t>https://cases.justia.com/federal/district-courts/kansas/ksdce/6:2022cv01032/140026/96/0.pdf?ts=1694273736</w:t>
        </w:r>
      </w:hyperlink>
      <w:r>
        <w:rPr>
          <w:rFonts w:ascii="Times New Roman" w:hAnsi="Times New Roman"/>
          <w:sz w:val="24"/>
          <w:szCs w:val="24"/>
        </w:rPr>
        <w:t xml:space="preserve"> </w:t>
      </w:r>
    </w:p>
    <w:p w14:paraId="2E279ACA" w14:textId="77777777" w:rsidR="00AC3E10" w:rsidRDefault="00AC3E10" w:rsidP="00AC3E10">
      <w:pPr>
        <w:pStyle w:val="NoSpacing"/>
        <w:rPr>
          <w:rFonts w:ascii="Times New Roman" w:hAnsi="Times New Roman"/>
          <w:b/>
          <w:bCs/>
          <w:sz w:val="24"/>
          <w:szCs w:val="24"/>
        </w:rPr>
      </w:pPr>
    </w:p>
    <w:p w14:paraId="15C3BA2A" w14:textId="59265213" w:rsidR="00AC3E10" w:rsidRPr="0000521D" w:rsidRDefault="00AC3E10" w:rsidP="00AC3E10">
      <w:pPr>
        <w:pStyle w:val="NoSpacing"/>
        <w:rPr>
          <w:rFonts w:ascii="Times New Roman" w:hAnsi="Times New Roman"/>
          <w:b/>
          <w:bCs/>
          <w:sz w:val="24"/>
          <w:szCs w:val="24"/>
        </w:rPr>
      </w:pPr>
      <w:r w:rsidRPr="0000521D">
        <w:rPr>
          <w:rFonts w:ascii="Times New Roman" w:hAnsi="Times New Roman"/>
          <w:b/>
          <w:bCs/>
          <w:sz w:val="24"/>
          <w:szCs w:val="24"/>
        </w:rPr>
        <w:t>Legal Lesson Learned:</w:t>
      </w:r>
      <w:r>
        <w:rPr>
          <w:rFonts w:ascii="Times New Roman" w:hAnsi="Times New Roman"/>
          <w:b/>
          <w:bCs/>
          <w:sz w:val="24"/>
          <w:szCs w:val="24"/>
        </w:rPr>
        <w:t xml:space="preserve"> Fire Chief properly ordered the annual performance review </w:t>
      </w:r>
      <w:proofErr w:type="gramStart"/>
      <w:r>
        <w:rPr>
          <w:rFonts w:ascii="Times New Roman" w:hAnsi="Times New Roman"/>
          <w:b/>
          <w:bCs/>
          <w:sz w:val="24"/>
          <w:szCs w:val="24"/>
        </w:rPr>
        <w:t>include</w:t>
      </w:r>
      <w:proofErr w:type="gramEnd"/>
      <w:r>
        <w:rPr>
          <w:rFonts w:ascii="Times New Roman" w:hAnsi="Times New Roman"/>
          <w:b/>
          <w:bCs/>
          <w:sz w:val="24"/>
          <w:szCs w:val="24"/>
        </w:rPr>
        <w:t xml:space="preserve"> reference to IC issues at strip mall fire.  </w:t>
      </w:r>
    </w:p>
    <w:p w14:paraId="57C7598F" w14:textId="77777777" w:rsidR="00AC3E10" w:rsidRDefault="00AC3E10" w:rsidP="002B1283">
      <w:pPr>
        <w:rPr>
          <w:rStyle w:val="Hyperlink"/>
          <w:rFonts w:ascii="Arial Black" w:hAnsi="Arial Black"/>
          <w:b/>
          <w:color w:val="auto"/>
          <w:sz w:val="24"/>
          <w:szCs w:val="24"/>
          <w:u w:val="none"/>
        </w:rPr>
      </w:pPr>
    </w:p>
    <w:p w14:paraId="5F45B531" w14:textId="77777777" w:rsidR="0056123D" w:rsidRDefault="0056123D" w:rsidP="002B1283">
      <w:pPr>
        <w:rPr>
          <w:rStyle w:val="Hyperlink"/>
          <w:rFonts w:ascii="Arial Black" w:hAnsi="Arial Black"/>
          <w:b/>
          <w:color w:val="auto"/>
          <w:sz w:val="24"/>
          <w:szCs w:val="24"/>
          <w:u w:val="none"/>
        </w:rPr>
      </w:pPr>
    </w:p>
    <w:p w14:paraId="27E17CB9" w14:textId="05CB31E4" w:rsidR="009B0593" w:rsidRDefault="009B0593"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4-30</w:t>
      </w:r>
    </w:p>
    <w:p w14:paraId="40A8EE8E" w14:textId="77777777" w:rsidR="009B0593" w:rsidRDefault="009B0593" w:rsidP="009B0593">
      <w:pPr>
        <w:pStyle w:val="NormalWeb"/>
        <w:rPr>
          <w:rFonts w:ascii="Arial Black" w:hAnsi="Arial Black"/>
          <w:sz w:val="28"/>
          <w:szCs w:val="28"/>
        </w:rPr>
      </w:pPr>
      <w:r>
        <w:rPr>
          <w:rFonts w:ascii="Arial Black" w:hAnsi="Arial Black"/>
          <w:sz w:val="28"/>
          <w:szCs w:val="28"/>
        </w:rPr>
        <w:t>MD: 46-YR OLD RECRUIT – TERMINATED AT END OF RECRUIT CLASS – POOR PERFORMANCE DOCUMENTED</w:t>
      </w:r>
    </w:p>
    <w:p w14:paraId="2BD489DD" w14:textId="77777777" w:rsidR="009B0593" w:rsidRPr="00BD0E49" w:rsidRDefault="009B0593" w:rsidP="009B0593">
      <w:pPr>
        <w:pStyle w:val="NormalWeb"/>
      </w:pPr>
      <w:r w:rsidRPr="00BD0E49">
        <w:t xml:space="preserve">On Aug. 17, 2023, in </w:t>
      </w:r>
      <w:r w:rsidRPr="00BF2C69">
        <w:rPr>
          <w:u w:val="single"/>
        </w:rPr>
        <w:t>Robert D. Whittaker v. Howard County, Maryland</w:t>
      </w:r>
      <w:r w:rsidRPr="00BD0E49">
        <w:t>, Chief U.S. Magistrate Judge Beth P. Gesner granted summary judgment to the County</w:t>
      </w:r>
      <w:r>
        <w:t xml:space="preserve">, holding that the FD provided detailed training records showing that the </w:t>
      </w:r>
      <w:proofErr w:type="gramStart"/>
      <w:r>
        <w:t>46-year old</w:t>
      </w:r>
      <w:proofErr w:type="gramEnd"/>
      <w:r>
        <w:t xml:space="preserve"> FF was not meeting legitimate performance expectations. The plaintiff failed to prove the FD discriminated against him </w:t>
      </w:r>
      <w:proofErr w:type="gramStart"/>
      <w:r>
        <w:t>on the basis of</w:t>
      </w:r>
      <w:proofErr w:type="gramEnd"/>
      <w:r>
        <w:t xml:space="preserve"> age. </w:t>
      </w:r>
    </w:p>
    <w:p w14:paraId="13B9B9AE" w14:textId="77777777" w:rsidR="009B0593" w:rsidRDefault="009B0593" w:rsidP="009B0593">
      <w:pPr>
        <w:pStyle w:val="NormalWeb"/>
      </w:pPr>
      <w:r>
        <w:tab/>
        <w:t xml:space="preserve">The Magistrate wrote: </w:t>
      </w:r>
    </w:p>
    <w:p w14:paraId="57150C3F" w14:textId="77777777" w:rsidR="009B0593" w:rsidRDefault="009B0593" w:rsidP="009B0593">
      <w:pPr>
        <w:pStyle w:val="NormalWeb"/>
        <w:ind w:left="720"/>
      </w:pPr>
      <w:r>
        <w:t xml:space="preserve">“Defendant, on the other hand, offers Student Counseling/Status Report Forms and contemporaneous email exchanges between Academy trainers as evidence that plaintiff was not meeting the Department's legitimate expectations at the time of his termination. (ECF Nos. 25-8 to 25-18). Specifically, defendant identifies numerous examples of plaintiff's poor performance. </w:t>
      </w:r>
    </w:p>
    <w:p w14:paraId="5D83A407" w14:textId="77777777" w:rsidR="009B0593" w:rsidRDefault="009B0593" w:rsidP="009B0593">
      <w:pPr>
        <w:pStyle w:val="NormalWeb"/>
        <w:ind w:left="720"/>
      </w:pPr>
      <w:r>
        <w:t>***</w:t>
      </w:r>
    </w:p>
    <w:p w14:paraId="1E3883E6" w14:textId="77777777" w:rsidR="009B0593" w:rsidRDefault="009B0593" w:rsidP="009B0593">
      <w:pPr>
        <w:pStyle w:val="NormalWeb"/>
        <w:ind w:left="720"/>
      </w:pPr>
      <w:r>
        <w:t xml:space="preserve">Several members of Academy staff produced recommendations in support of plaintiff's termination based upon plaintiff's deficiencies in </w:t>
      </w:r>
      <w:proofErr w:type="gramStart"/>
      <w:r>
        <w:t>a number of</w:t>
      </w:r>
      <w:proofErr w:type="gramEnd"/>
      <w:r>
        <w:t xml:space="preserve"> areas. (ECF Nos. 25-11 at 3, 25-17, 25-18, 25-19). Plaintiff's own belief that he was performing </w:t>
      </w:r>
      <w:proofErr w:type="gramStart"/>
      <w:r>
        <w:t>effectively</w:t>
      </w:r>
      <w:proofErr w:type="gramEnd"/>
      <w:r>
        <w:t xml:space="preserve"> and the opinion of his fellow trainees are insufficient to call into question defendant's reasons for terminating plaintiff. In sum, plaintiff has failed to establish that his age was the ‘but-for cause’ of his termination and that defendant's stated, non-discriminatory reasons for plaintiff's termination were a pretext for discrimination. </w:t>
      </w:r>
      <w:r>
        <w:rPr>
          <w:i/>
          <w:iCs/>
        </w:rPr>
        <w:t>See Gross,</w:t>
      </w:r>
      <w:r>
        <w:t xml:space="preserve"> </w:t>
      </w:r>
      <w:hyperlink r:id="rId894" w:anchor="p176" w:history="1">
        <w:r>
          <w:rPr>
            <w:rStyle w:val="Hyperlink"/>
            <w:rFonts w:eastAsiaTheme="majorEastAsia"/>
          </w:rPr>
          <w:t>557 U.S. at 176</w:t>
        </w:r>
      </w:hyperlink>
      <w:r>
        <w:t xml:space="preserve"> (plaintiff </w:t>
      </w:r>
      <w:proofErr w:type="gramStart"/>
      <w:r>
        <w:t>has to</w:t>
      </w:r>
      <w:proofErr w:type="gramEnd"/>
      <w:r>
        <w:t xml:space="preserve"> show ‘by a preponderance of the evidence,’ that age was the ‘but-for cause’ of his discharge). Thus, plaintiff has failed to offer evidence to create a genuine factual dispute as to whether his employer discriminated against him </w:t>
      </w:r>
      <w:proofErr w:type="gramStart"/>
      <w:r>
        <w:t>on the basis of</w:t>
      </w:r>
      <w:proofErr w:type="gramEnd"/>
      <w:r>
        <w:t xml:space="preserve"> age.” </w:t>
      </w:r>
      <w:hyperlink r:id="rId895" w:history="1">
        <w:r w:rsidRPr="00CD12AF">
          <w:rPr>
            <w:rStyle w:val="Hyperlink"/>
            <w:rFonts w:eastAsiaTheme="majorEastAsia"/>
          </w:rPr>
          <w:t>https://casetext.com/case/whittaker-v-howard-cnty-md</w:t>
        </w:r>
      </w:hyperlink>
      <w:r>
        <w:t xml:space="preserve"> </w:t>
      </w:r>
    </w:p>
    <w:p w14:paraId="75004E89" w14:textId="77777777" w:rsidR="009B0593" w:rsidRPr="00BF2C69" w:rsidRDefault="009B0593" w:rsidP="009B0593">
      <w:pPr>
        <w:spacing w:before="100" w:beforeAutospacing="1" w:after="100" w:afterAutospacing="1" w:line="240" w:lineRule="auto"/>
        <w:rPr>
          <w:rFonts w:ascii="Times New Roman" w:eastAsia="Times New Roman" w:hAnsi="Times New Roman"/>
          <w:b/>
          <w:bCs/>
          <w:sz w:val="24"/>
          <w:szCs w:val="24"/>
        </w:rPr>
      </w:pPr>
      <w:r w:rsidRPr="00BF2C69">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 The FD thoroughly documented the FF’s training deficiencies. </w:t>
      </w:r>
    </w:p>
    <w:p w14:paraId="624D0AEC" w14:textId="77777777" w:rsidR="009B0593" w:rsidRDefault="009B0593" w:rsidP="002B1283">
      <w:pPr>
        <w:rPr>
          <w:rStyle w:val="Hyperlink"/>
          <w:rFonts w:ascii="Arial Black" w:hAnsi="Arial Black"/>
          <w:b/>
          <w:color w:val="auto"/>
          <w:sz w:val="24"/>
          <w:szCs w:val="24"/>
          <w:u w:val="none"/>
        </w:rPr>
      </w:pPr>
    </w:p>
    <w:p w14:paraId="493A77CB" w14:textId="77777777" w:rsidR="009B0593" w:rsidRDefault="009B0593" w:rsidP="002B1283">
      <w:pPr>
        <w:rPr>
          <w:rStyle w:val="Hyperlink"/>
          <w:rFonts w:ascii="Arial Black" w:hAnsi="Arial Black"/>
          <w:b/>
          <w:color w:val="auto"/>
          <w:sz w:val="24"/>
          <w:szCs w:val="24"/>
          <w:u w:val="none"/>
        </w:rPr>
      </w:pPr>
    </w:p>
    <w:p w14:paraId="0603B8CF" w14:textId="107A91DD" w:rsidR="00DC17BF" w:rsidRDefault="00DC17BF"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4-29</w:t>
      </w:r>
    </w:p>
    <w:p w14:paraId="5B42FE5C" w14:textId="77777777" w:rsidR="00DC17BF" w:rsidRPr="002304C0" w:rsidRDefault="00DC17BF" w:rsidP="00DC17BF">
      <w:pPr>
        <w:pStyle w:val="NormalWeb"/>
        <w:rPr>
          <w:rFonts w:ascii="Arial Black" w:hAnsi="Arial Black"/>
          <w:b/>
          <w:bCs/>
          <w:sz w:val="28"/>
          <w:szCs w:val="28"/>
        </w:rPr>
      </w:pPr>
      <w:bookmarkStart w:id="174" w:name="_Hlk136858989"/>
      <w:r>
        <w:rPr>
          <w:rFonts w:ascii="Arial Black" w:hAnsi="Arial Black"/>
          <w:b/>
          <w:bCs/>
          <w:sz w:val="28"/>
          <w:szCs w:val="28"/>
        </w:rPr>
        <w:lastRenderedPageBreak/>
        <w:t>NY: MENTAL PATIENT – LOCKED IN ROOM - SAWZALL CUT DOOR, MAN GRABBED SAW – LATER DIED – CASE PROCEED</w:t>
      </w:r>
    </w:p>
    <w:bookmarkEnd w:id="174"/>
    <w:p w14:paraId="3425080F" w14:textId="77777777" w:rsidR="00DC17BF" w:rsidRDefault="00DC17BF" w:rsidP="00DC17BF">
      <w:pPr>
        <w:pStyle w:val="NormalWeb"/>
      </w:pPr>
      <w:r w:rsidRPr="002304C0">
        <w:t xml:space="preserve">On May 30, 2023, in </w:t>
      </w:r>
      <w:r w:rsidRPr="002304C0">
        <w:rPr>
          <w:u w:val="single"/>
        </w:rPr>
        <w:t>Anthony Andre Paul, et al. v. The City of New York</w:t>
      </w:r>
      <w:r>
        <w:t xml:space="preserve">, U.S. District Court Judge Vernon S. Broderick, U.S. District Court for Southern District of New York, denied the City’s motion for summary judgment. The judge held that while police had lawful authority to force the door, tase the person, and take him to hospital, use of Sawzall raises jury </w:t>
      </w:r>
      <w:proofErr w:type="gramStart"/>
      <w:r>
        <w:t>question</w:t>
      </w:r>
      <w:proofErr w:type="gramEnd"/>
      <w:r>
        <w:t xml:space="preserve">. </w:t>
      </w:r>
    </w:p>
    <w:p w14:paraId="0BB2EBDD" w14:textId="77777777" w:rsidR="00DC17BF" w:rsidRDefault="00DC17BF" w:rsidP="00DC17BF">
      <w:pPr>
        <w:pStyle w:val="NormalWeb"/>
        <w:ind w:left="720"/>
        <w:rPr>
          <w:b/>
          <w:bCs/>
        </w:rPr>
      </w:pPr>
      <w:r>
        <w:t xml:space="preserve">“Here, there appears to be harmful bodily contact between the saw and Paul as evidenced by, among other things, the injuries Paul sustained to his hands. Further, Plaintiff asserts that the officers used the saw with the intent of harming Paul. Whether or not the evidence supports this assertion is a question of fact for the </w:t>
      </w:r>
      <w:proofErr w:type="gramStart"/>
      <w:r>
        <w:t>jury.”</w:t>
      </w:r>
      <w:proofErr w:type="gramEnd"/>
      <w:r>
        <w:t xml:space="preserve"> </w:t>
      </w:r>
      <w:hyperlink r:id="rId896" w:history="1">
        <w:r w:rsidRPr="00B908DF">
          <w:rPr>
            <w:rStyle w:val="Hyperlink"/>
            <w:rFonts w:eastAsiaTheme="majorEastAsia"/>
          </w:rPr>
          <w:t>https://public.fastcase.com/ZZhmr5v9wN%2FXOe5IsQ%2FqD1CdH2R29LNK8BT0hnz9oKtXR%2FoMxL2xC63e%2BHHuthpWCwncj7bfE4lB3MomO4uqm4E3oXBdMMZD2IWz0SNqHm0%3D?utm_medium=email&amp;_hsmi=226712652&amp;_hsenc=p2ANqtz-_2XBA_cBQDF2xes7gnarhZ-sbkcdxdJUtVuyLwtAqY2WUUI2XYCC6QqVwiuQaE3r8IP3AVZ-ZehQ2YYsnZUf5Qzx_SHw&amp;utm_content=226712652&amp;utm_source=hs_email</w:t>
        </w:r>
      </w:hyperlink>
      <w:r>
        <w:t xml:space="preserve"> </w:t>
      </w:r>
    </w:p>
    <w:p w14:paraId="65D4A063" w14:textId="77777777" w:rsidR="00DC17BF" w:rsidRPr="00CD614F" w:rsidRDefault="00DC17BF" w:rsidP="00DC17BF">
      <w:pPr>
        <w:pStyle w:val="NormalWeb"/>
        <w:rPr>
          <w:b/>
          <w:bCs/>
        </w:rPr>
      </w:pPr>
      <w:r w:rsidRPr="00CD614F">
        <w:rPr>
          <w:b/>
          <w:bCs/>
        </w:rPr>
        <w:t xml:space="preserve">Legal Lesson Learned: </w:t>
      </w:r>
      <w:r>
        <w:rPr>
          <w:b/>
          <w:bCs/>
        </w:rPr>
        <w:t xml:space="preserve">Review your SOP on forced entry and use of power saws. </w:t>
      </w:r>
    </w:p>
    <w:p w14:paraId="592AD7C5" w14:textId="17EBB9EA" w:rsidR="007959C9" w:rsidRDefault="002D64A4"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4-28</w:t>
      </w:r>
    </w:p>
    <w:p w14:paraId="61D55321" w14:textId="77777777" w:rsidR="002D64A4" w:rsidRPr="00835DBE" w:rsidRDefault="002D64A4" w:rsidP="002D64A4">
      <w:pPr>
        <w:pStyle w:val="NormalWeb"/>
        <w:rPr>
          <w:rFonts w:ascii="Arial Black" w:hAnsi="Arial Black"/>
          <w:sz w:val="28"/>
          <w:szCs w:val="28"/>
        </w:rPr>
      </w:pPr>
      <w:r>
        <w:rPr>
          <w:rFonts w:ascii="Arial Black" w:hAnsi="Arial Black"/>
          <w:sz w:val="28"/>
          <w:szCs w:val="28"/>
        </w:rPr>
        <w:t>NB: FF FIRED – SHE CLAIMED CAPTAIN “ABANDONED US” IN FIRE – MAY DEPOSE OUTSIDE ATTY INVESTIGATED CLAIM</w:t>
      </w:r>
    </w:p>
    <w:p w14:paraId="4FE30FE6" w14:textId="77777777" w:rsidR="002D64A4" w:rsidRDefault="002D64A4" w:rsidP="002D64A4">
      <w:pPr>
        <w:spacing w:after="100" w:line="240" w:lineRule="auto"/>
        <w:jc w:val="both"/>
        <w:rPr>
          <w:rFonts w:ascii="Times New Roman" w:hAnsi="Times New Roman"/>
          <w:sz w:val="24"/>
          <w:szCs w:val="24"/>
        </w:rPr>
      </w:pPr>
      <w:r w:rsidRPr="006F5EA9">
        <w:rPr>
          <w:rFonts w:ascii="Times New Roman" w:hAnsi="Times New Roman"/>
          <w:sz w:val="24"/>
          <w:szCs w:val="24"/>
        </w:rPr>
        <w:t xml:space="preserve">On March 1, 2023, in </w:t>
      </w:r>
      <w:r w:rsidRPr="006F5EA9">
        <w:rPr>
          <w:rFonts w:ascii="Times New Roman" w:hAnsi="Times New Roman"/>
          <w:sz w:val="24"/>
          <w:szCs w:val="24"/>
          <w:u w:val="single"/>
        </w:rPr>
        <w:t>Amanda Benson v. City of Lincoln, et al</w:t>
      </w:r>
      <w:r w:rsidRPr="006F5EA9">
        <w:rPr>
          <w:rFonts w:ascii="Times New Roman" w:hAnsi="Times New Roman"/>
          <w:sz w:val="24"/>
          <w:szCs w:val="24"/>
        </w:rPr>
        <w:t xml:space="preserve">., U.S. District Court Judge Brian C. Buescher, District Court of Nebraska, entered an order limiting the topics that plaintiff may ask during the deposition of attorney Torrey Gerdes, who was retained by the City (paid $180,000) to investigated the firefighter’s claims of being endangered by a FD Captain at the warehouse fire.  Judge Buescher ruled that the City did not wave the attorney-client privilege (such as her advice to the City) or attorney work product privilege (such as her investigative notes) when it provided the investigation report to the plaintiff.  </w:t>
      </w:r>
    </w:p>
    <w:p w14:paraId="54E5CE82" w14:textId="77777777" w:rsidR="002D64A4" w:rsidRPr="006F5EA9" w:rsidRDefault="002D64A4" w:rsidP="002D64A4">
      <w:pPr>
        <w:spacing w:after="100" w:line="240" w:lineRule="auto"/>
        <w:jc w:val="both"/>
        <w:rPr>
          <w:rFonts w:ascii="Times New Roman" w:eastAsia="Times New Roman" w:hAnsi="Times New Roman"/>
          <w:sz w:val="24"/>
          <w:szCs w:val="24"/>
        </w:rPr>
      </w:pPr>
      <w:hyperlink r:id="rId897" w:history="1">
        <w:r w:rsidRPr="00C863CC">
          <w:rPr>
            <w:rStyle w:val="Hyperlink"/>
            <w:rFonts w:ascii="Times New Roman" w:hAnsi="Times New Roman"/>
            <w:sz w:val="24"/>
            <w:szCs w:val="24"/>
          </w:rPr>
          <w:t>https://public.fastcase.com/J%2FJP6pdidelsXxEE4k%2BLMku%2FobbeA4O7XFFZreFgRQx%2BWZ7fzC1IhmGay6LSjTfKJi%2F0lJWfruI6T6uwjyLWcTFUlKk%2FJDuh9Eyt0JVbsGk%3D?utm_medium=email&amp;_hsmi=226712652&amp;_hsenc=p2ANqtz-8osvFL3X0gyhLaJKRyW92xrD2GPamYVB-ledl39OimVvrR3SDszthVFmIjtescLBDKIYLBKlOi8FN2nFy4wMQT_YiRlg&amp;utm_content=226712652&amp;utm_source=hs_email</w:t>
        </w:r>
      </w:hyperlink>
      <w:r w:rsidRPr="006F5EA9">
        <w:rPr>
          <w:rFonts w:ascii="Times New Roman" w:hAnsi="Times New Roman"/>
          <w:sz w:val="24"/>
          <w:szCs w:val="24"/>
        </w:rPr>
        <w:t xml:space="preserve">  </w:t>
      </w:r>
    </w:p>
    <w:p w14:paraId="0F3036E8" w14:textId="77777777" w:rsidR="002D64A4" w:rsidRDefault="002D64A4" w:rsidP="002D64A4">
      <w:pPr>
        <w:pStyle w:val="NormalWeb"/>
        <w:ind w:left="720"/>
      </w:pPr>
      <w:r>
        <w:t>“On October 19, 2021, after a [pre-disciplinary] hearing, Chief Engler terminated Benson's employment, concluding:</w:t>
      </w:r>
    </w:p>
    <w:p w14:paraId="47B7286A" w14:textId="77777777" w:rsidR="002D64A4" w:rsidRDefault="002D64A4" w:rsidP="002D64A4">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1D30FE">
        <w:rPr>
          <w:rFonts w:ascii="Times New Roman" w:eastAsia="Times New Roman" w:hAnsi="Times New Roman"/>
          <w:sz w:val="24"/>
          <w:szCs w:val="24"/>
        </w:rPr>
        <w:t xml:space="preserve">The evidence confirms that you made serious false allegations against a fellow firefighter. You reported to Lincoln Fire and Rescue (LF&amp;R) and have continuously stated thereafter that you and your crew were abandoned in a dangerous burning warehouse by Captain Shawn Mahler at the April 26, </w:t>
      </w:r>
      <w:proofErr w:type="gramStart"/>
      <w:r w:rsidRPr="001D30FE">
        <w:rPr>
          <w:rFonts w:ascii="Times New Roman" w:eastAsia="Times New Roman" w:hAnsi="Times New Roman"/>
          <w:sz w:val="24"/>
          <w:szCs w:val="24"/>
        </w:rPr>
        <w:t>2021</w:t>
      </w:r>
      <w:proofErr w:type="gramEnd"/>
      <w:r w:rsidRPr="001D30FE">
        <w:rPr>
          <w:rFonts w:ascii="Times New Roman" w:eastAsia="Times New Roman" w:hAnsi="Times New Roman"/>
          <w:sz w:val="24"/>
          <w:szCs w:val="24"/>
        </w:rPr>
        <w:t xml:space="preserve"> fire scene. You also stated that his behavior </w:t>
      </w:r>
      <w:r>
        <w:rPr>
          <w:rFonts w:ascii="Times New Roman" w:eastAsia="Times New Roman" w:hAnsi="Times New Roman"/>
          <w:sz w:val="24"/>
          <w:szCs w:val="24"/>
        </w:rPr>
        <w:t>‘</w:t>
      </w:r>
      <w:r w:rsidRPr="001D30FE">
        <w:rPr>
          <w:rFonts w:ascii="Times New Roman" w:eastAsia="Times New Roman" w:hAnsi="Times New Roman"/>
          <w:sz w:val="24"/>
          <w:szCs w:val="24"/>
        </w:rPr>
        <w:t>could have injured or killed [you], FAO Roberts, and FF Recruit Hurley.</w:t>
      </w:r>
      <w:r>
        <w:rPr>
          <w:rFonts w:ascii="Times New Roman" w:eastAsia="Times New Roman" w:hAnsi="Times New Roman"/>
          <w:sz w:val="24"/>
          <w:szCs w:val="24"/>
        </w:rPr>
        <w:t>’</w:t>
      </w:r>
      <w:r w:rsidRPr="001D30FE">
        <w:rPr>
          <w:rFonts w:ascii="Times New Roman" w:eastAsia="Times New Roman" w:hAnsi="Times New Roman"/>
          <w:sz w:val="24"/>
          <w:szCs w:val="24"/>
        </w:rPr>
        <w:t xml:space="preserve"> </w:t>
      </w:r>
      <w:r w:rsidRPr="001D30FE">
        <w:rPr>
          <w:rFonts w:ascii="Times New Roman" w:eastAsia="Times New Roman" w:hAnsi="Times New Roman"/>
          <w:i/>
          <w:iCs/>
          <w:sz w:val="24"/>
          <w:szCs w:val="24"/>
        </w:rPr>
        <w:t>See, e.g.</w:t>
      </w:r>
      <w:r w:rsidRPr="001D30FE">
        <w:rPr>
          <w:rFonts w:ascii="Times New Roman" w:eastAsia="Times New Roman" w:hAnsi="Times New Roman"/>
          <w:sz w:val="24"/>
          <w:szCs w:val="24"/>
        </w:rPr>
        <w:t xml:space="preserve">, your June 11, </w:t>
      </w:r>
      <w:proofErr w:type="gramStart"/>
      <w:r w:rsidRPr="001D30FE">
        <w:rPr>
          <w:rFonts w:ascii="Times New Roman" w:eastAsia="Times New Roman" w:hAnsi="Times New Roman"/>
          <w:sz w:val="24"/>
          <w:szCs w:val="24"/>
        </w:rPr>
        <w:t>2021</w:t>
      </w:r>
      <w:proofErr w:type="gramEnd"/>
      <w:r w:rsidRPr="001D30FE">
        <w:rPr>
          <w:rFonts w:ascii="Times New Roman" w:eastAsia="Times New Roman" w:hAnsi="Times New Roman"/>
          <w:sz w:val="24"/>
          <w:szCs w:val="24"/>
        </w:rPr>
        <w:t xml:space="preserve"> sworn statement and incorporated attachments filed in Case No. 4:18CV3127. However, none of the evidence, audio recording/transcript, witness statements, the findings of investigator Torrey Gerdes, or the findings of Judge Kopf lend any credibility to your statements.</w:t>
      </w:r>
      <w:r>
        <w:rPr>
          <w:rFonts w:ascii="Times New Roman" w:eastAsia="Times New Roman" w:hAnsi="Times New Roman"/>
          <w:sz w:val="24"/>
          <w:szCs w:val="24"/>
        </w:rPr>
        <w:t xml:space="preserve">’ </w:t>
      </w:r>
    </w:p>
    <w:p w14:paraId="589644F2" w14:textId="77777777" w:rsidR="002D64A4" w:rsidRDefault="002D64A4" w:rsidP="002D64A4">
      <w:pPr>
        <w:pStyle w:val="NormalWeb"/>
      </w:pPr>
      <w:r>
        <w:lastRenderedPageBreak/>
        <w:t>Judge Buescher set aside a U.S. Magistrate’s less restrictive decision and held:</w:t>
      </w:r>
    </w:p>
    <w:p w14:paraId="17DFDAF9" w14:textId="77777777" w:rsidR="002D64A4" w:rsidRDefault="002D64A4" w:rsidP="002D64A4">
      <w:pPr>
        <w:pStyle w:val="NormalWeb"/>
        <w:ind w:firstLine="720"/>
      </w:pPr>
      <w:r>
        <w:t>“IT IS ORDERED:</w:t>
      </w:r>
    </w:p>
    <w:p w14:paraId="01E03AE2" w14:textId="77777777" w:rsidR="002D64A4" w:rsidRDefault="002D64A4" w:rsidP="002D64A4">
      <w:pPr>
        <w:pStyle w:val="NormalWeb"/>
        <w:ind w:left="720"/>
      </w:pPr>
      <w:r>
        <w:t xml:space="preserve">1. </w:t>
      </w:r>
      <w:proofErr w:type="gramStart"/>
      <w:r>
        <w:t>With regard to</w:t>
      </w:r>
      <w:proofErr w:type="gramEnd"/>
      <w:r>
        <w:t xml:space="preserve"> Gerdes' investigation into the events of April 26, 2021, plaintiff Benson may inquire into the general methods by which Gerdes conducts investigations and into the facts set forth in the Investigation Report … but Benson will not inquire into topics that the Court has determined are privileged;  </w:t>
      </w:r>
    </w:p>
    <w:p w14:paraId="123F9AF7" w14:textId="77777777" w:rsidR="002D64A4" w:rsidRDefault="002D64A4" w:rsidP="002D64A4">
      <w:pPr>
        <w:pStyle w:val="NormalWeb"/>
        <w:ind w:left="720"/>
      </w:pPr>
      <w:r>
        <w:t xml:space="preserve">2. Benson will not inquire into … any other investigation that does not directly involve Benson;  </w:t>
      </w:r>
    </w:p>
    <w:p w14:paraId="2D28A550" w14:textId="77777777" w:rsidR="002D64A4" w:rsidRDefault="002D64A4" w:rsidP="002D64A4">
      <w:pPr>
        <w:pStyle w:val="NormalWeb"/>
        <w:ind w:left="720"/>
      </w:pPr>
      <w:r>
        <w:t xml:space="preserve">3. Benson will not inquire into communications by Gerdes that are attorney-client privileged, including communications with the </w:t>
      </w:r>
      <w:proofErr w:type="gramStart"/>
      <w:r>
        <w:t>City</w:t>
      </w:r>
      <w:proofErr w:type="gramEnd"/>
      <w:r>
        <w:t xml:space="preserve"> or its attorneys or any of Gerdes' other clients.”  </w:t>
      </w:r>
    </w:p>
    <w:p w14:paraId="0B5AC5A8" w14:textId="77777777" w:rsidR="002D64A4" w:rsidRDefault="002D64A4" w:rsidP="002D64A4">
      <w:pPr>
        <w:spacing w:after="100" w:line="240" w:lineRule="auto"/>
        <w:rPr>
          <w:rFonts w:ascii="Times New Roman" w:eastAsia="Times New Roman" w:hAnsi="Times New Roman"/>
          <w:sz w:val="24"/>
          <w:szCs w:val="24"/>
        </w:rPr>
      </w:pPr>
      <w:r w:rsidRPr="00D76867">
        <w:rPr>
          <w:rFonts w:ascii="Times New Roman" w:hAnsi="Times New Roman"/>
          <w:sz w:val="24"/>
          <w:szCs w:val="24"/>
        </w:rPr>
        <w:t>The judge further wrote that while he won’t impose a specific time limit in the deposition: “The Court adds however that it cannot imagine that the deposition would need to run more than four hours.”</w:t>
      </w:r>
      <w:r>
        <w:rPr>
          <w:sz w:val="20"/>
          <w:szCs w:val="20"/>
        </w:rPr>
        <w:t xml:space="preserve">  </w:t>
      </w:r>
    </w:p>
    <w:p w14:paraId="345D7E78" w14:textId="77777777" w:rsidR="002D64A4" w:rsidRPr="001D30FE" w:rsidRDefault="002D64A4" w:rsidP="002D64A4">
      <w:pPr>
        <w:spacing w:after="100" w:line="240" w:lineRule="auto"/>
        <w:rPr>
          <w:rFonts w:ascii="Times New Roman" w:eastAsia="Times New Roman" w:hAnsi="Times New Roman"/>
          <w:b/>
          <w:bCs/>
          <w:sz w:val="24"/>
          <w:szCs w:val="24"/>
        </w:rPr>
      </w:pPr>
      <w:r w:rsidRPr="00E27637">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When a City retains outside legal counsel to investigate a firefighter’s claims</w:t>
      </w:r>
      <w:proofErr w:type="gramStart"/>
      <w:r>
        <w:rPr>
          <w:rFonts w:ascii="Times New Roman" w:eastAsia="Times New Roman" w:hAnsi="Times New Roman"/>
          <w:b/>
          <w:bCs/>
          <w:sz w:val="24"/>
          <w:szCs w:val="24"/>
        </w:rPr>
        <w:t>, providing</w:t>
      </w:r>
      <w:proofErr w:type="gramEnd"/>
      <w:r>
        <w:rPr>
          <w:rFonts w:ascii="Times New Roman" w:eastAsia="Times New Roman" w:hAnsi="Times New Roman"/>
          <w:b/>
          <w:bCs/>
          <w:sz w:val="24"/>
          <w:szCs w:val="24"/>
        </w:rPr>
        <w:t xml:space="preserve"> the investigation report to the firefighter does not waive attorney-client or attorney work-product privilege.  </w:t>
      </w:r>
    </w:p>
    <w:p w14:paraId="2B07B5C7" w14:textId="77777777" w:rsidR="002D64A4" w:rsidRDefault="002D64A4" w:rsidP="002B1283">
      <w:pPr>
        <w:rPr>
          <w:rStyle w:val="Hyperlink"/>
          <w:rFonts w:ascii="Arial Black" w:hAnsi="Arial Black"/>
          <w:b/>
          <w:color w:val="auto"/>
          <w:sz w:val="24"/>
          <w:szCs w:val="24"/>
          <w:u w:val="none"/>
        </w:rPr>
      </w:pPr>
    </w:p>
    <w:p w14:paraId="51126CC7" w14:textId="517B7804" w:rsidR="007959C9" w:rsidRDefault="007959C9"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4-27</w:t>
      </w:r>
    </w:p>
    <w:p w14:paraId="1AB24A19" w14:textId="76A2A418" w:rsidR="007959C9" w:rsidRDefault="007959C9" w:rsidP="007959C9">
      <w:pPr>
        <w:rPr>
          <w:rFonts w:ascii="Arial Black" w:hAnsi="Arial Black"/>
          <w:sz w:val="28"/>
          <w:szCs w:val="28"/>
        </w:rPr>
      </w:pPr>
      <w:r>
        <w:rPr>
          <w:rFonts w:ascii="Arial Black" w:hAnsi="Arial Black"/>
          <w:sz w:val="28"/>
          <w:szCs w:val="28"/>
        </w:rPr>
        <w:t>WV: FIRE CHIEF FIRED – FALSIF</w:t>
      </w:r>
      <w:r w:rsidR="003E054D">
        <w:rPr>
          <w:rFonts w:ascii="Arial Black" w:hAnsi="Arial Black"/>
          <w:sz w:val="28"/>
          <w:szCs w:val="28"/>
        </w:rPr>
        <w:t>IED</w:t>
      </w:r>
      <w:r>
        <w:rPr>
          <w:rFonts w:ascii="Arial Black" w:hAnsi="Arial Black"/>
          <w:sz w:val="28"/>
          <w:szCs w:val="28"/>
        </w:rPr>
        <w:t xml:space="preserve"> HYDRANT &amp; TRAINING RECORDS – NO CIVIL SERVICE PROTECTION</w:t>
      </w:r>
    </w:p>
    <w:p w14:paraId="44D15D79" w14:textId="77777777" w:rsidR="007959C9" w:rsidRDefault="007959C9" w:rsidP="007959C9">
      <w:pPr>
        <w:rPr>
          <w:rFonts w:ascii="Times New Roman" w:hAnsi="Times New Roman"/>
          <w:sz w:val="24"/>
          <w:szCs w:val="24"/>
        </w:rPr>
      </w:pPr>
      <w:r w:rsidRPr="001B1F04">
        <w:rPr>
          <w:rFonts w:ascii="Times New Roman" w:hAnsi="Times New Roman"/>
          <w:sz w:val="24"/>
          <w:szCs w:val="24"/>
        </w:rPr>
        <w:t xml:space="preserve">On Jan. 18, 2023, in </w:t>
      </w:r>
      <w:r w:rsidRPr="001B1F04">
        <w:rPr>
          <w:rFonts w:ascii="Times New Roman" w:hAnsi="Times New Roman"/>
          <w:sz w:val="24"/>
          <w:szCs w:val="24"/>
          <w:u w:val="single"/>
        </w:rPr>
        <w:t>David Crimm v. City of Grafton</w:t>
      </w:r>
      <w:r w:rsidRPr="001B1F04">
        <w:rPr>
          <w:rFonts w:ascii="Times New Roman" w:hAnsi="Times New Roman"/>
          <w:sz w:val="24"/>
          <w:szCs w:val="24"/>
        </w:rPr>
        <w:t xml:space="preserve">, </w:t>
      </w:r>
      <w:r>
        <w:rPr>
          <w:rFonts w:ascii="Times New Roman" w:hAnsi="Times New Roman"/>
          <w:sz w:val="24"/>
          <w:szCs w:val="24"/>
        </w:rPr>
        <w:t xml:space="preserve">the Supreme Court of Appeals of West Virginia held (5 to 0) that the trial court properly dismissed the former Fire Chiefs appeal; the evidence was so clear the Court of Appeals decided this appeal without oral argument. He was fired in </w:t>
      </w:r>
      <w:proofErr w:type="gramStart"/>
      <w:r>
        <w:rPr>
          <w:rFonts w:ascii="Times New Roman" w:hAnsi="Times New Roman"/>
          <w:sz w:val="24"/>
          <w:szCs w:val="24"/>
        </w:rPr>
        <w:t>March,</w:t>
      </w:r>
      <w:proofErr w:type="gramEnd"/>
      <w:r>
        <w:rPr>
          <w:rFonts w:ascii="Times New Roman" w:hAnsi="Times New Roman"/>
          <w:sz w:val="24"/>
          <w:szCs w:val="24"/>
        </w:rPr>
        <w:t xml:space="preserve"> 2018 for </w:t>
      </w:r>
      <w:r w:rsidRPr="00BE4B52">
        <w:rPr>
          <w:rFonts w:ascii="Times New Roman" w:hAnsi="Times New Roman"/>
          <w:sz w:val="24"/>
          <w:szCs w:val="24"/>
        </w:rPr>
        <w:t>"falsification of official city documents</w:t>
      </w:r>
      <w:r>
        <w:rPr>
          <w:rFonts w:ascii="Times New Roman" w:hAnsi="Times New Roman"/>
          <w:sz w:val="24"/>
          <w:szCs w:val="24"/>
        </w:rPr>
        <w:t>.” The city presented documentation to the Circuit Court judge that he had ordered subordinates to falsify the fire hydrant and department training records. The Court found: “</w:t>
      </w:r>
      <w:r w:rsidRPr="002A6C90">
        <w:rPr>
          <w:rStyle w:val="markedcontent"/>
          <w:rFonts w:ascii="Times New Roman" w:hAnsi="Times New Roman"/>
        </w:rPr>
        <w:t>Here, the City ordinance reflects the City’s decision not to place the position of fire chief</w:t>
      </w:r>
      <w:r>
        <w:rPr>
          <w:rStyle w:val="markedcontent"/>
          <w:rFonts w:ascii="Times New Roman" w:hAnsi="Times New Roman"/>
        </w:rPr>
        <w:t xml:space="preserve"> </w:t>
      </w:r>
      <w:r w:rsidRPr="002A6C90">
        <w:rPr>
          <w:rStyle w:val="markedcontent"/>
          <w:rFonts w:ascii="Times New Roman" w:hAnsi="Times New Roman"/>
        </w:rPr>
        <w:t>under the civil service provisions. Because the position was not placed within civil service</w:t>
      </w:r>
      <w:r>
        <w:rPr>
          <w:rStyle w:val="markedcontent"/>
          <w:rFonts w:ascii="Times New Roman" w:hAnsi="Times New Roman"/>
        </w:rPr>
        <w:t xml:space="preserve"> </w:t>
      </w:r>
      <w:r w:rsidRPr="002A6C90">
        <w:rPr>
          <w:rStyle w:val="markedcontent"/>
          <w:rFonts w:ascii="Times New Roman" w:hAnsi="Times New Roman"/>
        </w:rPr>
        <w:t>provisions, he has failed to show that he is entitled to a civil service position within the Grafton</w:t>
      </w:r>
      <w:r>
        <w:rPr>
          <w:rStyle w:val="markedcontent"/>
          <w:rFonts w:ascii="Times New Roman" w:hAnsi="Times New Roman"/>
        </w:rPr>
        <w:t xml:space="preserve"> </w:t>
      </w:r>
      <w:r w:rsidRPr="002A6C90">
        <w:rPr>
          <w:rStyle w:val="markedcontent"/>
          <w:rFonts w:ascii="Times New Roman" w:hAnsi="Times New Roman"/>
        </w:rPr>
        <w:t xml:space="preserve">Fire Department. In addition, contrary to petitioner’s assertions, the </w:t>
      </w:r>
      <w:proofErr w:type="gramStart"/>
      <w:r w:rsidRPr="002A6C90">
        <w:rPr>
          <w:rStyle w:val="markedcontent"/>
          <w:rFonts w:ascii="Times New Roman" w:hAnsi="Times New Roman"/>
        </w:rPr>
        <w:t>City</w:t>
      </w:r>
      <w:proofErr w:type="gramEnd"/>
      <w:r w:rsidRPr="002A6C90">
        <w:rPr>
          <w:rStyle w:val="markedcontent"/>
          <w:rFonts w:ascii="Times New Roman" w:hAnsi="Times New Roman"/>
        </w:rPr>
        <w:t xml:space="preserve"> presented documentary</w:t>
      </w:r>
      <w:r>
        <w:rPr>
          <w:rStyle w:val="markedcontent"/>
          <w:rFonts w:ascii="Times New Roman" w:hAnsi="Times New Roman"/>
        </w:rPr>
        <w:t xml:space="preserve"> </w:t>
      </w:r>
      <w:r w:rsidRPr="002A6C90">
        <w:rPr>
          <w:rStyle w:val="markedcontent"/>
          <w:rFonts w:ascii="Times New Roman" w:hAnsi="Times New Roman"/>
        </w:rPr>
        <w:t>evidence to the circuit court regarding petitioner ordering subordinates to falsify the fire hydrant</w:t>
      </w:r>
      <w:r>
        <w:rPr>
          <w:rStyle w:val="markedcontent"/>
          <w:rFonts w:ascii="Times New Roman" w:hAnsi="Times New Roman"/>
        </w:rPr>
        <w:t xml:space="preserve"> </w:t>
      </w:r>
      <w:r w:rsidRPr="002A6C90">
        <w:rPr>
          <w:rStyle w:val="markedcontent"/>
          <w:rFonts w:ascii="Times New Roman" w:hAnsi="Times New Roman"/>
        </w:rPr>
        <w:t>and department training records for the Grafton Fire Department</w:t>
      </w:r>
      <w:r>
        <w:rPr>
          <w:rStyle w:val="markedcontent"/>
          <w:rFonts w:ascii="Times New Roman" w:hAnsi="Times New Roman"/>
        </w:rPr>
        <w:t xml:space="preserve"> “</w:t>
      </w:r>
      <w:r>
        <w:rPr>
          <w:rFonts w:ascii="Times New Roman" w:hAnsi="Times New Roman"/>
          <w:sz w:val="24"/>
          <w:szCs w:val="24"/>
        </w:rPr>
        <w:t xml:space="preserve"> </w:t>
      </w:r>
      <w:hyperlink r:id="rId898" w:history="1">
        <w:r w:rsidRPr="00F65122">
          <w:rPr>
            <w:rStyle w:val="Hyperlink"/>
            <w:sz w:val="24"/>
            <w:szCs w:val="24"/>
          </w:rPr>
          <w:t>http://www.courtswv.gov/supreme-court/memo-decisions/spring2023/21-0921%20md.pdf</w:t>
        </w:r>
      </w:hyperlink>
      <w:r>
        <w:rPr>
          <w:rFonts w:ascii="Times New Roman" w:hAnsi="Times New Roman"/>
          <w:sz w:val="24"/>
          <w:szCs w:val="24"/>
        </w:rPr>
        <w:t xml:space="preserve"> </w:t>
      </w:r>
    </w:p>
    <w:p w14:paraId="2EFBD43C" w14:textId="77777777" w:rsidR="007959C9" w:rsidRDefault="007959C9" w:rsidP="007959C9">
      <w:pPr>
        <w:ind w:left="720"/>
        <w:rPr>
          <w:rFonts w:ascii="Times New Roman" w:hAnsi="Times New Roman"/>
          <w:sz w:val="24"/>
          <w:szCs w:val="24"/>
        </w:rPr>
      </w:pPr>
      <w:r w:rsidRPr="00BE4B52">
        <w:rPr>
          <w:rFonts w:ascii="Times New Roman" w:hAnsi="Times New Roman"/>
          <w:sz w:val="24"/>
          <w:szCs w:val="24"/>
        </w:rPr>
        <w:t>“That evidence included a June of 2018 letter from the county prosecutor setting forth his belief that petitioner had falsified documents and an April of 2018 letter from a state police sergeant detailing conversations with several individuals, which support the City's contention that petitioner directed subordinates to falsify records. The purported training records, which were reportedly completely fabricated at petitioner's direction, and fire hydrant tests, which were presented as new data despite reusing outdated data from previous years at petitioner's direction, were also produced below and are included in the record before this Court.</w:t>
      </w:r>
    </w:p>
    <w:p w14:paraId="0E09BD25" w14:textId="77777777" w:rsidR="007959C9" w:rsidRDefault="007959C9" w:rsidP="007959C9">
      <w:pPr>
        <w:ind w:left="720"/>
        <w:rPr>
          <w:rFonts w:ascii="Times New Roman" w:hAnsi="Times New Roman"/>
          <w:sz w:val="24"/>
          <w:szCs w:val="24"/>
        </w:rPr>
      </w:pPr>
      <w:r>
        <w:rPr>
          <w:rFonts w:ascii="Times New Roman" w:hAnsi="Times New Roman"/>
          <w:sz w:val="24"/>
          <w:szCs w:val="24"/>
        </w:rPr>
        <w:t>***</w:t>
      </w:r>
    </w:p>
    <w:p w14:paraId="26A9E286" w14:textId="77777777" w:rsidR="007959C9" w:rsidRDefault="007959C9" w:rsidP="007959C9">
      <w:pPr>
        <w:ind w:left="720"/>
        <w:rPr>
          <w:rFonts w:ascii="Times New Roman" w:hAnsi="Times New Roman"/>
          <w:sz w:val="24"/>
          <w:szCs w:val="24"/>
        </w:rPr>
      </w:pPr>
      <w:r w:rsidRPr="00BE4B52">
        <w:rPr>
          <w:rFonts w:ascii="Times New Roman" w:hAnsi="Times New Roman"/>
          <w:sz w:val="24"/>
          <w:szCs w:val="24"/>
        </w:rPr>
        <w:lastRenderedPageBreak/>
        <w:t>Here, the City ordinance reflects the City's decision not to place the position of fire chief under the civil service provisions. Because the position was not placed within civil service provisions, he has failed to show that he is entitled to a civil service position within the Grafton Fire Department.</w:t>
      </w:r>
      <w:r>
        <w:rPr>
          <w:rFonts w:ascii="Times New Roman" w:hAnsi="Times New Roman"/>
          <w:sz w:val="24"/>
          <w:szCs w:val="24"/>
        </w:rPr>
        <w:t>”</w:t>
      </w:r>
    </w:p>
    <w:p w14:paraId="5E63FD5A" w14:textId="77777777" w:rsidR="007959C9" w:rsidRPr="00BE4B52" w:rsidRDefault="007959C9" w:rsidP="007959C9">
      <w:pPr>
        <w:rPr>
          <w:rFonts w:ascii="Times New Roman" w:hAnsi="Times New Roman"/>
          <w:b/>
          <w:bCs/>
          <w:sz w:val="24"/>
          <w:szCs w:val="24"/>
        </w:rPr>
      </w:pPr>
      <w:r w:rsidRPr="00BE4B52">
        <w:rPr>
          <w:rFonts w:ascii="Times New Roman" w:hAnsi="Times New Roman"/>
          <w:b/>
          <w:bCs/>
          <w:sz w:val="24"/>
          <w:szCs w:val="24"/>
        </w:rPr>
        <w:t xml:space="preserve">Legal Lesson Learned: </w:t>
      </w:r>
      <w:r>
        <w:rPr>
          <w:rFonts w:ascii="Times New Roman" w:hAnsi="Times New Roman"/>
          <w:b/>
          <w:bCs/>
          <w:sz w:val="24"/>
          <w:szCs w:val="24"/>
        </w:rPr>
        <w:t xml:space="preserve">Falsifying records is a sure way to get fired. </w:t>
      </w:r>
    </w:p>
    <w:p w14:paraId="08B8200D" w14:textId="77777777" w:rsidR="007959C9" w:rsidRDefault="007959C9" w:rsidP="002B1283">
      <w:pPr>
        <w:rPr>
          <w:rStyle w:val="Hyperlink"/>
          <w:rFonts w:ascii="Arial Black" w:hAnsi="Arial Black"/>
          <w:b/>
          <w:color w:val="auto"/>
          <w:sz w:val="24"/>
          <w:szCs w:val="24"/>
          <w:u w:val="none"/>
        </w:rPr>
      </w:pPr>
    </w:p>
    <w:p w14:paraId="26F39381" w14:textId="77777777" w:rsidR="007959C9" w:rsidRDefault="007959C9" w:rsidP="002B1283">
      <w:pPr>
        <w:rPr>
          <w:rStyle w:val="Hyperlink"/>
          <w:rFonts w:ascii="Arial Black" w:hAnsi="Arial Black"/>
          <w:b/>
          <w:color w:val="auto"/>
          <w:sz w:val="24"/>
          <w:szCs w:val="24"/>
          <w:u w:val="none"/>
        </w:rPr>
      </w:pPr>
    </w:p>
    <w:p w14:paraId="6EECCA3F" w14:textId="4AE3F9D1" w:rsidR="006C79BE" w:rsidRDefault="006C79BE"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4-26</w:t>
      </w:r>
    </w:p>
    <w:p w14:paraId="0C8C4376" w14:textId="77777777" w:rsidR="006C79BE" w:rsidRDefault="006C79BE" w:rsidP="006C79BE">
      <w:pPr>
        <w:pStyle w:val="NormalWeb"/>
        <w:rPr>
          <w:rFonts w:ascii="Arial Black" w:hAnsi="Arial Black"/>
          <w:sz w:val="28"/>
          <w:szCs w:val="28"/>
        </w:rPr>
      </w:pPr>
      <w:r>
        <w:rPr>
          <w:rFonts w:ascii="Arial Black" w:hAnsi="Arial Black"/>
          <w:sz w:val="28"/>
          <w:szCs w:val="28"/>
        </w:rPr>
        <w:t xml:space="preserve">ME: HOUSE FIRE – TOWN IMMUNITY – HOMEOWNER CLAIMS PUMPER USE WAS DELAYED - HOUSE TO BE DEMOLISHED </w:t>
      </w:r>
    </w:p>
    <w:p w14:paraId="7C04BA8A" w14:textId="77777777" w:rsidR="006C79BE" w:rsidRDefault="006C79BE" w:rsidP="006C79BE">
      <w:pPr>
        <w:pStyle w:val="NormalWeb"/>
      </w:pPr>
      <w:r w:rsidRPr="00001B4B">
        <w:t xml:space="preserve">On Oct. 31, 2022, in </w:t>
      </w:r>
      <w:r w:rsidRPr="00001B4B">
        <w:rPr>
          <w:u w:val="single"/>
        </w:rPr>
        <w:t>Seth T. Carey v. Town of Rumford and Rumford Fire Department</w:t>
      </w:r>
      <w:r w:rsidRPr="00001B4B">
        <w:t xml:space="preserve">, </w:t>
      </w:r>
      <w:r>
        <w:t xml:space="preserve">Justice Julia M. Lipez, the Superior Court of Maine (Oxford), granted the Town and Fire Department’s motion to dismiss.  The Oct. 5, </w:t>
      </w:r>
      <w:proofErr w:type="gramStart"/>
      <w:r>
        <w:t>2020</w:t>
      </w:r>
      <w:proofErr w:type="gramEnd"/>
      <w:r>
        <w:t xml:space="preserve"> structure fire damaged the home so extensively. The Town declared the home a "Dangerous Building" and ordered its demolition. Under the Maine immunity statute, governmental entities enjoy sovereign immunity; the exception for negligent acts in use of government vehicles does not apply to alleged delay in use of a fire department pumper. </w:t>
      </w:r>
    </w:p>
    <w:p w14:paraId="5C753492" w14:textId="77777777" w:rsidR="006C79BE" w:rsidRDefault="006C79BE" w:rsidP="006C79BE">
      <w:pPr>
        <w:pStyle w:val="NormalWeb"/>
        <w:ind w:left="720"/>
      </w:pPr>
      <w:r>
        <w:t xml:space="preserve">“Here…the gravamen of the </w:t>
      </w:r>
      <w:proofErr w:type="gramStart"/>
      <w:r>
        <w:t>plaintiffs</w:t>
      </w:r>
      <w:proofErr w:type="gramEnd"/>
      <w:r>
        <w:t xml:space="preserve"> complaint is that ‘the Town made imprudent tactical decisions in the course of fighting the fire</w:t>
      </w:r>
      <w:proofErr w:type="gramStart"/>
      <w:r>
        <w:t>…..</w:t>
      </w:r>
      <w:proofErr w:type="gramEnd"/>
      <w:r>
        <w:t xml:space="preserve">’ He does not allege that he was injured by contact with a negligently operated or maintained fire truck, just that the firefighters did not deploy the truck properly. Thus, even accepting as true the </w:t>
      </w:r>
      <w:proofErr w:type="spellStart"/>
      <w:r>
        <w:t>plaintiffs</w:t>
      </w:r>
      <w:proofErr w:type="spellEnd"/>
      <w:r>
        <w:t xml:space="preserve"> claims that the firefighters acted negligently, the vehicle exception does not apply…. Because section 8104-A(1)'s vehicle exception is inapplicable and the plaintiff makes no claim that any other exception to immunity applies, the court concludes that the Town is immune from the plaintiffs suit pursuant to section 8103(1) of the MTCA.”</w:t>
      </w:r>
      <w:r w:rsidRPr="00B50BB2">
        <w:t xml:space="preserve"> </w:t>
      </w:r>
      <w:hyperlink r:id="rId899" w:history="1">
        <w:r w:rsidRPr="00075859">
          <w:rPr>
            <w:rStyle w:val="Hyperlink"/>
            <w:rFonts w:eastAsiaTheme="majorEastAsia"/>
          </w:rPr>
          <w:t>https://public.fastcase.com/J%2FJP6pdidelsXxEE4k%2BLMunJfhe1gfK2oI8CQbirV8GXkmoWfCiXuebhhRyeFmnHeojCURMbUHUM%2FZVW6TuThcVt2kPCx5ANtZZIjUvq4TI%3D?utm_medium=email&amp;_hsmi=226712652&amp;_hsenc=p2ANqtz-_4xSG7CmaPWZQuwsNXY4RTJcvgg4B9LMx8R4vNTvpvb0PqojZFKwGqm6HPbOxappi5A6b2YgFEujAqOwM5oeHjK0AsxA&amp;utm_content=226712652&amp;utm_source=hs_email</w:t>
        </w:r>
      </w:hyperlink>
      <w:r>
        <w:t xml:space="preserve"> </w:t>
      </w:r>
    </w:p>
    <w:p w14:paraId="176EA95F" w14:textId="77777777" w:rsidR="006C79BE" w:rsidRDefault="006C79BE" w:rsidP="006C79BE">
      <w:pPr>
        <w:pStyle w:val="NormalWeb"/>
        <w:rPr>
          <w:b/>
          <w:bCs/>
        </w:rPr>
      </w:pPr>
      <w:r w:rsidRPr="00B50BB2">
        <w:rPr>
          <w:b/>
          <w:bCs/>
        </w:rPr>
        <w:t>Legal Lesson Learned:</w:t>
      </w:r>
      <w:r>
        <w:rPr>
          <w:b/>
          <w:bCs/>
        </w:rPr>
        <w:t xml:space="preserve"> Sovereign immunity statute protects government entities from liability.</w:t>
      </w:r>
    </w:p>
    <w:p w14:paraId="0B645D4F" w14:textId="77777777" w:rsidR="006C79BE" w:rsidRPr="00B50BB2" w:rsidRDefault="006C79BE" w:rsidP="006C79BE">
      <w:pPr>
        <w:pStyle w:val="NormalWeb"/>
        <w:ind w:left="720"/>
      </w:pPr>
      <w:r>
        <w:t xml:space="preserve">Note: See Nov. 17, </w:t>
      </w:r>
      <w:proofErr w:type="gramStart"/>
      <w:r>
        <w:t>2021</w:t>
      </w:r>
      <w:proofErr w:type="gramEnd"/>
      <w:r>
        <w:t xml:space="preserve"> Court decision. </w:t>
      </w:r>
      <w:hyperlink r:id="rId900" w:history="1">
        <w:r w:rsidRPr="00075859">
          <w:rPr>
            <w:rStyle w:val="Hyperlink"/>
            <w:rFonts w:eastAsiaTheme="majorEastAsia"/>
          </w:rPr>
          <w:t>https://casetext.com/case/carey-v-town-of-rumford</w:t>
        </w:r>
      </w:hyperlink>
      <w:r>
        <w:t xml:space="preserve"> “At the hearing [on homeowner’s appeal of demolition order before the 3 members of Board of Selectpersons], there were over twenty documents admitted as evidence, and testimony was heard from four individuals. (PR 1-2.) One of those individuals, Rumford's fire chief, testified that he classified Carey's residence as a 100% loss once he viewed the premises after the fire was extinguished. (PR 4.) The chiefs opinion was premised upon his thirty years of experience fighting and investigating fires and the extensive structural damage to the building, which included: charred joists and subfloor, structural damage to the roof including two holes for fire ventilation, the complete loss of the staircase which rose from the basement to the first floor, the partial loss of the staircase which rose from the first to the second floor, and damage to the property's plumbing, electrical and heating systems. (PR 5.)”</w:t>
      </w:r>
    </w:p>
    <w:p w14:paraId="631038D6" w14:textId="77777777" w:rsidR="006C79BE" w:rsidRDefault="006C79BE" w:rsidP="002B1283">
      <w:pPr>
        <w:rPr>
          <w:rStyle w:val="Hyperlink"/>
          <w:rFonts w:ascii="Arial Black" w:hAnsi="Arial Black"/>
          <w:b/>
          <w:color w:val="auto"/>
          <w:sz w:val="24"/>
          <w:szCs w:val="24"/>
          <w:u w:val="none"/>
        </w:rPr>
      </w:pPr>
    </w:p>
    <w:p w14:paraId="30E0007B" w14:textId="77777777" w:rsidR="006C79BE" w:rsidRDefault="006C79BE" w:rsidP="002B1283">
      <w:pPr>
        <w:rPr>
          <w:rStyle w:val="Hyperlink"/>
          <w:rFonts w:ascii="Arial Black" w:hAnsi="Arial Black"/>
          <w:b/>
          <w:color w:val="auto"/>
          <w:sz w:val="24"/>
          <w:szCs w:val="24"/>
          <w:u w:val="none"/>
        </w:rPr>
      </w:pPr>
    </w:p>
    <w:p w14:paraId="62F8EE14" w14:textId="006153FF" w:rsidR="00AE32D3" w:rsidRDefault="00AE32D3"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4-25</w:t>
      </w:r>
    </w:p>
    <w:p w14:paraId="52D76E15" w14:textId="77777777" w:rsidR="00AE32D3" w:rsidRPr="00AA0816" w:rsidRDefault="00AE32D3" w:rsidP="00AE32D3">
      <w:pPr>
        <w:pStyle w:val="NormalWeb"/>
        <w:rPr>
          <w:rFonts w:ascii="Arial Black" w:hAnsi="Arial Black"/>
          <w:sz w:val="28"/>
          <w:szCs w:val="28"/>
        </w:rPr>
      </w:pPr>
      <w:r>
        <w:rPr>
          <w:rFonts w:ascii="Arial Black" w:hAnsi="Arial Black"/>
          <w:sz w:val="28"/>
          <w:szCs w:val="28"/>
        </w:rPr>
        <w:t xml:space="preserve">NB: FF FIRED – AFTER SHE CLAIMED CAPT. “ABANDONED” HER </w:t>
      </w:r>
      <w:proofErr w:type="gramStart"/>
      <w:r>
        <w:rPr>
          <w:rFonts w:ascii="Arial Black" w:hAnsi="Arial Black"/>
          <w:sz w:val="28"/>
          <w:szCs w:val="28"/>
        </w:rPr>
        <w:t>IN WAREHOUSE</w:t>
      </w:r>
      <w:proofErr w:type="gramEnd"/>
      <w:r>
        <w:rPr>
          <w:rFonts w:ascii="Arial Black" w:hAnsi="Arial Black"/>
          <w:sz w:val="28"/>
          <w:szCs w:val="28"/>
        </w:rPr>
        <w:t xml:space="preserve"> FIRE – MAY DEPOSE INVEST. ATTY</w:t>
      </w:r>
    </w:p>
    <w:p w14:paraId="2DA6EE9D" w14:textId="77777777" w:rsidR="00AE32D3" w:rsidRDefault="00AE32D3" w:rsidP="00AE32D3">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Nov. 20, 2022, in </w:t>
      </w:r>
      <w:r w:rsidRPr="00AA0816">
        <w:rPr>
          <w:rFonts w:ascii="Times New Roman" w:eastAsia="Times New Roman" w:hAnsi="Times New Roman"/>
          <w:sz w:val="24"/>
          <w:szCs w:val="24"/>
          <w:u w:val="single"/>
        </w:rPr>
        <w:t>Amanda Benson v. City of Lincoln, et al</w:t>
      </w:r>
      <w:r>
        <w:rPr>
          <w:rFonts w:ascii="Times New Roman" w:eastAsia="Times New Roman" w:hAnsi="Times New Roman"/>
          <w:sz w:val="24"/>
          <w:szCs w:val="24"/>
        </w:rPr>
        <w:t xml:space="preserve">., U.S. Magistrate Judge Michael D. Nelson, U.S. District Court for District of Nebraska, held that if the City intends in the defense of this civil suit to call the attorney they retained to conduct the investigation, then the city has waived its attorney-client privilege and the plaintiff, who has been provided the Investigation Report, may now depose that attorney and obtain copies of her investigative notes </w:t>
      </w:r>
    </w:p>
    <w:p w14:paraId="781CCA0F" w14:textId="77777777" w:rsidR="00AE32D3" w:rsidRPr="00161C5B" w:rsidRDefault="00AE32D3" w:rsidP="00AE32D3">
      <w:pPr>
        <w:spacing w:before="100" w:beforeAutospacing="1" w:after="100" w:afterAutospacing="1" w:line="240" w:lineRule="auto"/>
        <w:ind w:left="720"/>
        <w:rPr>
          <w:rFonts w:ascii="Times New Roman" w:hAnsi="Times New Roman"/>
          <w:sz w:val="24"/>
          <w:szCs w:val="24"/>
        </w:rPr>
      </w:pPr>
      <w:r w:rsidRPr="00161C5B">
        <w:rPr>
          <w:rFonts w:ascii="Times New Roman" w:eastAsia="Times New Roman" w:hAnsi="Times New Roman"/>
          <w:sz w:val="24"/>
          <w:szCs w:val="24"/>
        </w:rPr>
        <w:t>“</w:t>
      </w:r>
      <w:r w:rsidRPr="00161C5B">
        <w:rPr>
          <w:rFonts w:ascii="Times New Roman" w:hAnsi="Times New Roman"/>
          <w:sz w:val="24"/>
          <w:szCs w:val="24"/>
        </w:rPr>
        <w:t xml:space="preserve">After review, the Court finds that the City has now waived any claim of privilege in Ms. Gerdes' investigation into the April Warehouse Fire by affirmatively representing that the City intends to offer Ms. Gerdes' Investigation Report as evidence at trial and by representing that the City will rely on Ms. Gerdes' investigation as part of its defense to Plaintiff's claims…. It would be ‘patently unfair’ for the City to present Ms. Gerdes' Investigation Report to a jury without providing Plaintiff with a full opportunity to explore and cross-examine Ms. Gerdes on the investigation.” </w:t>
      </w:r>
      <w:hyperlink r:id="rId901" w:history="1">
        <w:r w:rsidRPr="00161C5B">
          <w:rPr>
            <w:rStyle w:val="Hyperlink"/>
            <w:rFonts w:ascii="Times New Roman" w:hAnsi="Times New Roman"/>
            <w:sz w:val="24"/>
            <w:szCs w:val="24"/>
          </w:rPr>
          <w:t>https://public.fastcase.com/J%2FJP6pdidelsXxEE4k%2BLMn3rhSw89wni4akrGgclH4tY407nVvfTRwhYpyTytqAww5i%2BcjDR8DFfgYYxUNnhOrZ4pPx8rv87OEAaoYdIWaw%3D?utm_medium=email&amp;_hsmi=226712652&amp;_hsenc=p2ANqtz--lPKcQUZ00Y_ImXZh39HMz6UO0kEIbng7bmb6odI7o6fRRwj_-I6PCBlRwjLhuflNpZQs-1Wu84wEID-VmUx_pZGrr8w&amp;utm_content=226712652&amp;utm_source=hs_email</w:t>
        </w:r>
      </w:hyperlink>
      <w:r w:rsidRPr="00161C5B">
        <w:rPr>
          <w:rFonts w:ascii="Times New Roman" w:hAnsi="Times New Roman"/>
          <w:sz w:val="24"/>
          <w:szCs w:val="24"/>
        </w:rPr>
        <w:t xml:space="preserve"> </w:t>
      </w:r>
    </w:p>
    <w:p w14:paraId="74152115" w14:textId="77777777" w:rsidR="00AE32D3" w:rsidRPr="00CC2065" w:rsidRDefault="00AE32D3" w:rsidP="00AE32D3">
      <w:pPr>
        <w:pStyle w:val="NormalWeb"/>
        <w:rPr>
          <w:b/>
          <w:bCs/>
        </w:rPr>
      </w:pPr>
      <w:r w:rsidRPr="00CC2065">
        <w:rPr>
          <w:b/>
          <w:bCs/>
        </w:rPr>
        <w:t>Legal Lesson Learned:</w:t>
      </w:r>
      <w:r>
        <w:rPr>
          <w:b/>
          <w:bCs/>
        </w:rPr>
        <w:t xml:space="preserve"> Attorney-client privilege can be </w:t>
      </w:r>
      <w:proofErr w:type="spellStart"/>
      <w:r>
        <w:rPr>
          <w:b/>
          <w:bCs/>
        </w:rPr>
        <w:t>waved</w:t>
      </w:r>
      <w:proofErr w:type="spellEnd"/>
      <w:r>
        <w:rPr>
          <w:b/>
          <w:bCs/>
        </w:rPr>
        <w:t xml:space="preserve"> by the client calling the attorney as a witness in civil trial. </w:t>
      </w:r>
    </w:p>
    <w:p w14:paraId="12B55DAD" w14:textId="77777777" w:rsidR="00AE32D3" w:rsidRDefault="00AE32D3" w:rsidP="002B1283">
      <w:pPr>
        <w:rPr>
          <w:rStyle w:val="Hyperlink"/>
          <w:rFonts w:ascii="Arial Black" w:hAnsi="Arial Black"/>
          <w:b/>
          <w:color w:val="auto"/>
          <w:sz w:val="24"/>
          <w:szCs w:val="24"/>
          <w:u w:val="none"/>
        </w:rPr>
      </w:pPr>
    </w:p>
    <w:p w14:paraId="59B2EAA9" w14:textId="77777777" w:rsidR="00AE32D3" w:rsidRDefault="00AE32D3" w:rsidP="002B1283">
      <w:pPr>
        <w:rPr>
          <w:rStyle w:val="Hyperlink"/>
          <w:rFonts w:ascii="Arial Black" w:hAnsi="Arial Black"/>
          <w:b/>
          <w:color w:val="auto"/>
          <w:sz w:val="24"/>
          <w:szCs w:val="24"/>
          <w:u w:val="none"/>
        </w:rPr>
      </w:pPr>
    </w:p>
    <w:p w14:paraId="3DC10F41" w14:textId="77777777" w:rsidR="00AE32D3" w:rsidRDefault="00AE32D3" w:rsidP="002B1283">
      <w:pPr>
        <w:rPr>
          <w:rStyle w:val="Hyperlink"/>
          <w:rFonts w:ascii="Arial Black" w:hAnsi="Arial Black"/>
          <w:b/>
          <w:color w:val="auto"/>
          <w:sz w:val="24"/>
          <w:szCs w:val="24"/>
          <w:u w:val="none"/>
        </w:rPr>
      </w:pPr>
    </w:p>
    <w:p w14:paraId="275AB2D0" w14:textId="3FE13528" w:rsidR="006D2C51" w:rsidRDefault="006D2C51"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4-24</w:t>
      </w:r>
    </w:p>
    <w:p w14:paraId="08D680AE" w14:textId="77777777" w:rsidR="006D2C51" w:rsidRPr="00124990" w:rsidRDefault="006D2C51" w:rsidP="006D2C51">
      <w:pPr>
        <w:spacing w:before="100" w:beforeAutospacing="1" w:after="100" w:afterAutospacing="1" w:line="240" w:lineRule="auto"/>
        <w:rPr>
          <w:rFonts w:ascii="Arial Black" w:eastAsia="Times New Roman" w:hAnsi="Arial Black"/>
          <w:sz w:val="28"/>
          <w:szCs w:val="28"/>
        </w:rPr>
      </w:pPr>
      <w:r w:rsidRPr="00124990">
        <w:rPr>
          <w:rFonts w:ascii="Arial Black" w:eastAsia="Times New Roman" w:hAnsi="Arial Black"/>
          <w:sz w:val="28"/>
          <w:szCs w:val="28"/>
        </w:rPr>
        <w:t>CO: FOUR BYSTANDERS VIDEOTAPING POLICE - DUI TRAFFIC STOP – 10</w:t>
      </w:r>
      <w:r w:rsidRPr="00124990">
        <w:rPr>
          <w:rFonts w:ascii="Arial Black" w:eastAsia="Times New Roman" w:hAnsi="Arial Black"/>
          <w:sz w:val="28"/>
          <w:szCs w:val="28"/>
          <w:vertAlign w:val="superscript"/>
        </w:rPr>
        <w:t>th</w:t>
      </w:r>
      <w:r w:rsidRPr="00124990">
        <w:rPr>
          <w:rFonts w:ascii="Arial Black" w:eastAsia="Times New Roman" w:hAnsi="Arial Black"/>
          <w:sz w:val="28"/>
          <w:szCs w:val="28"/>
        </w:rPr>
        <w:t xml:space="preserve"> CIRCUIT LAWFUL – ALSO 7 OTHER CIR. </w:t>
      </w:r>
    </w:p>
    <w:p w14:paraId="28134843" w14:textId="77777777" w:rsidR="006D2C51" w:rsidRPr="00E277BC" w:rsidRDefault="006D2C51" w:rsidP="006D2C51">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sz w:val="24"/>
          <w:szCs w:val="24"/>
        </w:rPr>
        <w:t xml:space="preserve">On July 11, 2022, in </w:t>
      </w:r>
      <w:r w:rsidRPr="0074781E">
        <w:rPr>
          <w:rFonts w:ascii="Times New Roman" w:eastAsia="Times New Roman" w:hAnsi="Times New Roman"/>
          <w:sz w:val="24"/>
          <w:szCs w:val="24"/>
          <w:u w:val="single"/>
        </w:rPr>
        <w:t>Abrade Irizarry v. A, Yehia</w:t>
      </w:r>
      <w:r>
        <w:rPr>
          <w:rFonts w:ascii="Times New Roman" w:eastAsia="Times New Roman" w:hAnsi="Times New Roman"/>
          <w:sz w:val="24"/>
          <w:szCs w:val="24"/>
        </w:rPr>
        <w:t>, the U.S. Court of Appeals for the 10</w:t>
      </w:r>
      <w:r w:rsidRPr="0074781E">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(Denver, CO) held (3 to 0) that U.S. District Court judge improper dismissed the pro se [had no attorney] lawsuit filed by a “</w:t>
      </w:r>
      <w:proofErr w:type="spellStart"/>
      <w:r>
        <w:rPr>
          <w:rFonts w:ascii="Times New Roman" w:eastAsia="Times New Roman" w:hAnsi="Times New Roman"/>
          <w:sz w:val="24"/>
          <w:szCs w:val="24"/>
        </w:rPr>
        <w:t>Youtube</w:t>
      </w:r>
      <w:proofErr w:type="spellEnd"/>
      <w:r>
        <w:rPr>
          <w:rFonts w:ascii="Times New Roman" w:eastAsia="Times New Roman" w:hAnsi="Times New Roman"/>
          <w:sz w:val="24"/>
          <w:szCs w:val="24"/>
        </w:rPr>
        <w:t xml:space="preserve"> journalist” against a City of Lakewood police officer, </w:t>
      </w:r>
      <w:r w:rsidRPr="00B31C59">
        <w:rPr>
          <w:rFonts w:ascii="Times New Roman" w:hAnsi="Times New Roman"/>
          <w:sz w:val="24"/>
          <w:szCs w:val="24"/>
        </w:rPr>
        <w:t>Ahmed Yehia</w:t>
      </w:r>
      <w:r>
        <w:rPr>
          <w:rFonts w:ascii="Times New Roman" w:hAnsi="Times New Roman"/>
          <w:sz w:val="24"/>
          <w:szCs w:val="24"/>
        </w:rPr>
        <w:t>, alleging violation of First Amendment to U.S. Constitution.</w:t>
      </w:r>
      <w:r>
        <w:rPr>
          <w:rFonts w:ascii="Times New Roman" w:eastAsia="Times New Roman" w:hAnsi="Times New Roman"/>
          <w:sz w:val="24"/>
          <w:szCs w:val="24"/>
        </w:rPr>
        <w:t xml:space="preserve">  The lawsuit alleges the officer shinned his flashlight into the camera lens of four males videotaping on their cell phones a DUI traffic stop, positioned himself to block their view, </w:t>
      </w:r>
      <w:proofErr w:type="gramStart"/>
      <w:r>
        <w:rPr>
          <w:rFonts w:ascii="Times New Roman" w:eastAsia="Times New Roman" w:hAnsi="Times New Roman"/>
          <w:sz w:val="24"/>
          <w:szCs w:val="24"/>
        </w:rPr>
        <w:t>and also</w:t>
      </w:r>
      <w:proofErr w:type="gramEnd"/>
      <w:r>
        <w:rPr>
          <w:rFonts w:ascii="Times New Roman" w:eastAsia="Times New Roman" w:hAnsi="Times New Roman"/>
          <w:sz w:val="24"/>
          <w:szCs w:val="24"/>
        </w:rPr>
        <w:t xml:space="preserve"> got back in his cruiser and drove directly at the videographers, turning on his blast horn. The lawsuit against Officer Yehia will now proceed to pre-trial discovery.  </w:t>
      </w:r>
      <w:r w:rsidRPr="00B31C59">
        <w:rPr>
          <w:rFonts w:ascii="Times New Roman" w:hAnsi="Times New Roman"/>
          <w:sz w:val="24"/>
          <w:szCs w:val="24"/>
        </w:rPr>
        <w:t xml:space="preserve">“Mr. Irizarry’s right to film the police falls squarely within the First Amendment’s core purposes to protect free and robust discussion of public affairs, hold </w:t>
      </w:r>
      <w:r w:rsidRPr="00B31C59">
        <w:rPr>
          <w:rFonts w:ascii="Times New Roman" w:hAnsi="Times New Roman"/>
          <w:sz w:val="24"/>
          <w:szCs w:val="24"/>
        </w:rPr>
        <w:lastRenderedPageBreak/>
        <w:t>government officials accountable, and check abuse of power.”</w:t>
      </w:r>
      <w:r>
        <w:rPr>
          <w:rFonts w:ascii="Times New Roman" w:hAnsi="Times New Roman"/>
          <w:sz w:val="24"/>
          <w:szCs w:val="24"/>
        </w:rPr>
        <w:t xml:space="preserve"> </w:t>
      </w:r>
      <w:hyperlink r:id="rId902" w:history="1">
        <w:r w:rsidRPr="00355029">
          <w:rPr>
            <w:rStyle w:val="Hyperlink"/>
            <w:rFonts w:ascii="Times New Roman" w:hAnsi="Times New Roman"/>
            <w:sz w:val="24"/>
            <w:szCs w:val="24"/>
          </w:rPr>
          <w:t>https://www.eff.org/files/2022/07/11/2022-07-11_-_tenth_circuit_-_irizarry_v_yehia.pdf</w:t>
        </w:r>
      </w:hyperlink>
      <w:r>
        <w:rPr>
          <w:rStyle w:val="markedcontent"/>
          <w:rFonts w:ascii="Times New Roman" w:hAnsi="Times New Roman"/>
          <w:sz w:val="24"/>
          <w:szCs w:val="24"/>
        </w:rPr>
        <w:t xml:space="preserve"> </w:t>
      </w:r>
    </w:p>
    <w:p w14:paraId="58292654" w14:textId="77777777" w:rsidR="006D2C51" w:rsidRDefault="006D2C51" w:rsidP="006D2C51">
      <w:pPr>
        <w:spacing w:before="100" w:beforeAutospacing="1" w:after="100" w:afterAutospacing="1" w:line="240" w:lineRule="auto"/>
        <w:rPr>
          <w:rStyle w:val="markedcontent"/>
          <w:rFonts w:ascii="Times New Roman" w:hAnsi="Times New Roman"/>
          <w:b/>
          <w:bCs/>
          <w:sz w:val="24"/>
          <w:szCs w:val="24"/>
        </w:rPr>
      </w:pPr>
      <w:r w:rsidRPr="003E5A4B">
        <w:rPr>
          <w:rStyle w:val="markedcontent"/>
          <w:rFonts w:ascii="Times New Roman" w:hAnsi="Times New Roman"/>
          <w:b/>
          <w:bCs/>
          <w:sz w:val="24"/>
          <w:szCs w:val="24"/>
        </w:rPr>
        <w:t xml:space="preserve">Legal Lesson Learned: </w:t>
      </w:r>
      <w:r>
        <w:rPr>
          <w:rStyle w:val="markedcontent"/>
          <w:rFonts w:ascii="Times New Roman" w:hAnsi="Times New Roman"/>
          <w:b/>
          <w:bCs/>
          <w:sz w:val="24"/>
          <w:szCs w:val="24"/>
        </w:rPr>
        <w:t xml:space="preserve">Fire &amp; EMS likewise cannot prohibit videotaping their conduct at a public location; but you may take reasonable steps to protect the privacy of patients [such as holding up bed sheet when loading into ambulance]. </w:t>
      </w:r>
    </w:p>
    <w:p w14:paraId="3DB0580E" w14:textId="77777777" w:rsidR="006D2C51" w:rsidRPr="008C241B" w:rsidRDefault="006D2C51" w:rsidP="006D2C51">
      <w:pPr>
        <w:spacing w:before="100" w:beforeAutospacing="1" w:after="100" w:afterAutospacing="1" w:line="240" w:lineRule="auto"/>
        <w:ind w:left="720"/>
        <w:rPr>
          <w:rFonts w:ascii="Times New Roman" w:hAnsi="Times New Roman"/>
          <w:sz w:val="24"/>
          <w:szCs w:val="24"/>
        </w:rPr>
      </w:pPr>
      <w:r w:rsidRPr="008C241B">
        <w:rPr>
          <w:rStyle w:val="markedcontent"/>
          <w:rFonts w:ascii="Times New Roman" w:hAnsi="Times New Roman"/>
          <w:sz w:val="24"/>
          <w:szCs w:val="24"/>
        </w:rPr>
        <w:t xml:space="preserve">Note: See </w:t>
      </w:r>
      <w:r>
        <w:rPr>
          <w:rStyle w:val="markedcontent"/>
          <w:rFonts w:ascii="Times New Roman" w:hAnsi="Times New Roman"/>
          <w:sz w:val="24"/>
          <w:szCs w:val="24"/>
        </w:rPr>
        <w:t xml:space="preserve">July 12, </w:t>
      </w:r>
      <w:proofErr w:type="gramStart"/>
      <w:r>
        <w:rPr>
          <w:rStyle w:val="markedcontent"/>
          <w:rFonts w:ascii="Times New Roman" w:hAnsi="Times New Roman"/>
          <w:sz w:val="24"/>
          <w:szCs w:val="24"/>
        </w:rPr>
        <w:t>2022</w:t>
      </w:r>
      <w:proofErr w:type="gramEnd"/>
      <w:r>
        <w:rPr>
          <w:rStyle w:val="markedcontent"/>
          <w:rFonts w:ascii="Times New Roman" w:hAnsi="Times New Roman"/>
          <w:sz w:val="24"/>
          <w:szCs w:val="24"/>
        </w:rPr>
        <w:t xml:space="preserve"> </w:t>
      </w:r>
      <w:r w:rsidRPr="008C241B">
        <w:rPr>
          <w:rStyle w:val="markedcontent"/>
          <w:rFonts w:ascii="Times New Roman" w:hAnsi="Times New Roman"/>
          <w:sz w:val="24"/>
          <w:szCs w:val="24"/>
        </w:rPr>
        <w:t>article on this decision. “</w:t>
      </w:r>
      <w:r w:rsidRPr="008C241B">
        <w:rPr>
          <w:rFonts w:ascii="Times New Roman" w:hAnsi="Times New Roman"/>
          <w:sz w:val="24"/>
          <w:szCs w:val="24"/>
        </w:rPr>
        <w:t xml:space="preserve">10th Circuit Court of Appeals Upholds Public Right to Record Police.” </w:t>
      </w:r>
      <w:hyperlink r:id="rId903" w:history="1">
        <w:r w:rsidRPr="008C241B">
          <w:rPr>
            <w:rStyle w:val="Hyperlink"/>
            <w:rFonts w:ascii="Times New Roman" w:hAnsi="Times New Roman"/>
            <w:sz w:val="24"/>
            <w:szCs w:val="24"/>
          </w:rPr>
          <w:t>https://firstamendmentwatch.org/10th-circuit-court-of-appeals-upholds-public-right-to-record-police/</w:t>
        </w:r>
      </w:hyperlink>
      <w:r w:rsidRPr="008C241B">
        <w:rPr>
          <w:rFonts w:ascii="Times New Roman" w:hAnsi="Times New Roman"/>
          <w:sz w:val="24"/>
          <w:szCs w:val="24"/>
        </w:rPr>
        <w:t xml:space="preserve">.  “The </w:t>
      </w:r>
      <w:hyperlink r:id="rId904" w:tgtFrame="_blank" w:history="1">
        <w:r w:rsidRPr="008C241B">
          <w:rPr>
            <w:rStyle w:val="Hyperlink"/>
            <w:rFonts w:ascii="Times New Roman" w:hAnsi="Times New Roman"/>
            <w:sz w:val="24"/>
            <w:szCs w:val="24"/>
          </w:rPr>
          <w:t>U.S. Court of Appeals for the 10th Circuit</w:t>
        </w:r>
      </w:hyperlink>
      <w:r w:rsidRPr="008C241B">
        <w:rPr>
          <w:rFonts w:ascii="Times New Roman" w:hAnsi="Times New Roman"/>
          <w:sz w:val="24"/>
          <w:szCs w:val="24"/>
        </w:rPr>
        <w:t xml:space="preserve">, based in Denver, became the seventh federal appeals court to affirm there’s a First Amendment right to record the police performing their official duties in public.” </w:t>
      </w:r>
    </w:p>
    <w:p w14:paraId="312EEE5F" w14:textId="77777777" w:rsidR="006D2C51" w:rsidRPr="008C241B" w:rsidRDefault="006D2C51" w:rsidP="006D2C51">
      <w:pPr>
        <w:pStyle w:val="NormalWeb"/>
        <w:ind w:left="720"/>
      </w:pPr>
      <w:r w:rsidRPr="008C241B">
        <w:t xml:space="preserve">See also </w:t>
      </w:r>
      <w:r>
        <w:t xml:space="preserve">July 8, </w:t>
      </w:r>
      <w:proofErr w:type="gramStart"/>
      <w:r>
        <w:t>2022</w:t>
      </w:r>
      <w:proofErr w:type="gramEnd"/>
      <w:r>
        <w:t xml:space="preserve"> article, “</w:t>
      </w:r>
      <w:r w:rsidRPr="008C241B">
        <w:t xml:space="preserve">Arizona Governor Signs Bill to Restrict Recording Police in Public.”  “Arizona Gov. Douglas Ducey signed into law a bill that would make it illegal to photograph or record a police officer in public from </w:t>
      </w:r>
      <w:proofErr w:type="gramStart"/>
      <w:r w:rsidRPr="008C241B">
        <w:t>a distance of eight</w:t>
      </w:r>
      <w:proofErr w:type="gramEnd"/>
      <w:r w:rsidRPr="008C241B">
        <w:t xml:space="preserve"> feet without the officer’s permission. Controversial</w:t>
      </w:r>
      <w:hyperlink r:id="rId905" w:tgtFrame="_blank" w:history="1">
        <w:r w:rsidRPr="008C241B">
          <w:rPr>
            <w:rStyle w:val="Hyperlink"/>
            <w:rFonts w:eastAsiaTheme="majorEastAsia"/>
          </w:rPr>
          <w:t xml:space="preserve"> House Bill 2319</w:t>
        </w:r>
      </w:hyperlink>
      <w:r w:rsidRPr="008C241B">
        <w:t xml:space="preserve"> says if an individual is asked by the police to quit filming but continues to do so would face a Class 3 misdemeanor and up to 30 days in jail.” </w:t>
      </w:r>
      <w:hyperlink r:id="rId906" w:history="1">
        <w:r w:rsidRPr="008C241B">
          <w:rPr>
            <w:rStyle w:val="Hyperlink"/>
            <w:rFonts w:eastAsiaTheme="majorEastAsia"/>
          </w:rPr>
          <w:t>https://firstamendmentwatch.org/arizona-governor-signs-bill-to-restrict-recording-of-police-in-public/</w:t>
        </w:r>
      </w:hyperlink>
      <w:r w:rsidRPr="008C241B">
        <w:t xml:space="preserve">  </w:t>
      </w:r>
    </w:p>
    <w:p w14:paraId="2A138FA3" w14:textId="77777777" w:rsidR="006D2C51" w:rsidRDefault="006D2C51" w:rsidP="002B1283">
      <w:pPr>
        <w:rPr>
          <w:rStyle w:val="Hyperlink"/>
          <w:rFonts w:ascii="Arial Black" w:hAnsi="Arial Black"/>
          <w:b/>
          <w:color w:val="auto"/>
          <w:sz w:val="24"/>
          <w:szCs w:val="24"/>
          <w:u w:val="none"/>
        </w:rPr>
      </w:pPr>
    </w:p>
    <w:p w14:paraId="13F872A8" w14:textId="5D8A9F71" w:rsidR="003F4E70" w:rsidRDefault="003F4E70"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4-23</w:t>
      </w:r>
    </w:p>
    <w:p w14:paraId="2AFA1F86" w14:textId="77777777" w:rsidR="003F4E70" w:rsidRDefault="003F4E70" w:rsidP="003F4E70">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STRUCTURE FIRE – MOTHER DEAD, TWO KIDS STILL TRAPPED – POLICE TACKLED MAN TRYING ENTER HOUSE</w:t>
      </w:r>
    </w:p>
    <w:p w14:paraId="649C31E3" w14:textId="589828AD" w:rsidR="003F4E70" w:rsidRDefault="003F4E70" w:rsidP="003F4E70">
      <w:pPr>
        <w:rPr>
          <w:rStyle w:val="Hyperlink"/>
          <w:rFonts w:ascii="Arial Black" w:hAnsi="Arial Black"/>
          <w:b/>
          <w:color w:val="auto"/>
          <w:sz w:val="24"/>
          <w:szCs w:val="24"/>
          <w:u w:val="none"/>
        </w:rPr>
      </w:pPr>
      <w:r w:rsidRPr="00641E3A">
        <w:rPr>
          <w:rFonts w:ascii="Times New Roman" w:eastAsia="Times New Roman" w:hAnsi="Times New Roman"/>
          <w:sz w:val="24"/>
          <w:szCs w:val="24"/>
        </w:rPr>
        <w:t>On</w:t>
      </w:r>
      <w:r>
        <w:rPr>
          <w:rFonts w:ascii="Times New Roman" w:eastAsia="Times New Roman" w:hAnsi="Times New Roman"/>
          <w:sz w:val="24"/>
          <w:szCs w:val="24"/>
        </w:rPr>
        <w:t xml:space="preserve"> May 6, 2022, in </w:t>
      </w:r>
      <w:r w:rsidRPr="00201F44">
        <w:rPr>
          <w:rFonts w:ascii="Times New Roman" w:eastAsia="Times New Roman" w:hAnsi="Times New Roman"/>
          <w:sz w:val="24"/>
          <w:szCs w:val="24"/>
          <w:u w:val="single"/>
        </w:rPr>
        <w:t>William F. Moss v. Gabe Schimp, et al</w:t>
      </w:r>
      <w:r>
        <w:rPr>
          <w:rFonts w:ascii="Times New Roman" w:eastAsia="Times New Roman" w:hAnsi="Times New Roman"/>
          <w:sz w:val="24"/>
          <w:szCs w:val="24"/>
        </w:rPr>
        <w:t xml:space="preserve">., U.S. Magistrate Judge Mark A. Beatty, U.S. District Court for Southern District of Illinois, held that the police officers who tackled the plaintiff to prevent him from entering the burning house enjoy qualified immunity. The plaintiff intentionally ignored the yellow scene tapes and the police officers command to stop. It is unfortunate that the police tackle led to </w:t>
      </w:r>
      <w:r w:rsidRPr="00201F44">
        <w:rPr>
          <w:rFonts w:ascii="Times New Roman" w:hAnsi="Times New Roman"/>
          <w:sz w:val="24"/>
          <w:szCs w:val="24"/>
        </w:rPr>
        <w:t>a quadriceps tendon tear in Moss's left knee</w:t>
      </w:r>
      <w:r>
        <w:rPr>
          <w:rFonts w:ascii="Times New Roman" w:hAnsi="Times New Roman"/>
          <w:sz w:val="24"/>
          <w:szCs w:val="24"/>
        </w:rPr>
        <w:t xml:space="preserve">, </w:t>
      </w:r>
      <w:r w:rsidRPr="00201F44">
        <w:rPr>
          <w:rFonts w:ascii="Times New Roman" w:hAnsi="Times New Roman"/>
          <w:sz w:val="24"/>
          <w:szCs w:val="24"/>
        </w:rPr>
        <w:t>a rupture of his right patellar tendon</w:t>
      </w:r>
      <w:r>
        <w:rPr>
          <w:rFonts w:ascii="Times New Roman" w:hAnsi="Times New Roman"/>
          <w:sz w:val="24"/>
          <w:szCs w:val="24"/>
        </w:rPr>
        <w:t>,</w:t>
      </w:r>
      <w:r w:rsidRPr="00201F44">
        <w:rPr>
          <w:rFonts w:ascii="Times New Roman" w:hAnsi="Times New Roman"/>
          <w:sz w:val="24"/>
          <w:szCs w:val="24"/>
        </w:rPr>
        <w:t xml:space="preserve"> and a rupture of his left quadriceps tendon</w:t>
      </w:r>
      <w:r>
        <w:rPr>
          <w:rFonts w:ascii="Times New Roman" w:hAnsi="Times New Roman"/>
          <w:sz w:val="24"/>
          <w:szCs w:val="24"/>
        </w:rPr>
        <w:t xml:space="preserve">, but the officers did not use excessive force. </w:t>
      </w:r>
      <w:hyperlink r:id="rId907" w:history="1">
        <w:r w:rsidRPr="00EF6688">
          <w:rPr>
            <w:rStyle w:val="Hyperlink"/>
            <w:rFonts w:ascii="Times New Roman" w:hAnsi="Times New Roman"/>
            <w:sz w:val="24"/>
            <w:szCs w:val="24"/>
          </w:rPr>
          <w:t>https://public.fastcase.com/waZtJvSA54UAurM2rmIZz%2BDBDza2Dcvrp2SE0zpDRm3uGB65hvSCPfK4VjLpx5do7UnCIAIPH2MB5FJFO94Wb3w6W7ePwbFST%2FncfNL0phQ%3D</w:t>
        </w:r>
      </w:hyperlink>
    </w:p>
    <w:p w14:paraId="5CDAC593" w14:textId="77777777" w:rsidR="003F4E70" w:rsidRPr="00641E3A" w:rsidRDefault="003F4E70" w:rsidP="003F4E70">
      <w:pPr>
        <w:spacing w:before="100" w:beforeAutospacing="1" w:after="100" w:afterAutospacing="1" w:line="240" w:lineRule="auto"/>
        <w:rPr>
          <w:rFonts w:ascii="Times New Roman" w:eastAsia="Times New Roman" w:hAnsi="Times New Roman"/>
          <w:b/>
          <w:bCs/>
          <w:sz w:val="24"/>
          <w:szCs w:val="24"/>
        </w:rPr>
      </w:pPr>
      <w:r w:rsidRPr="0069502A">
        <w:rPr>
          <w:rFonts w:ascii="Times New Roman" w:hAnsi="Times New Roman"/>
          <w:b/>
          <w:bCs/>
          <w:sz w:val="24"/>
          <w:szCs w:val="24"/>
        </w:rPr>
        <w:t>Legal Lesson Learned:</w:t>
      </w:r>
      <w:r>
        <w:rPr>
          <w:rFonts w:ascii="Times New Roman" w:hAnsi="Times New Roman"/>
          <w:b/>
          <w:bCs/>
          <w:sz w:val="24"/>
          <w:szCs w:val="24"/>
        </w:rPr>
        <w:t xml:space="preserve"> The police officers acted reasonably to protect the structure fire scene and are entitled to qualified immunity. </w:t>
      </w:r>
    </w:p>
    <w:p w14:paraId="19E2CA18" w14:textId="77777777" w:rsidR="003F4E70" w:rsidRDefault="003F4E70" w:rsidP="002B1283">
      <w:pPr>
        <w:rPr>
          <w:rStyle w:val="Hyperlink"/>
          <w:rFonts w:ascii="Arial Black" w:hAnsi="Arial Black"/>
          <w:b/>
          <w:color w:val="auto"/>
          <w:sz w:val="24"/>
          <w:szCs w:val="24"/>
          <w:u w:val="none"/>
        </w:rPr>
      </w:pPr>
    </w:p>
    <w:p w14:paraId="536F065A" w14:textId="77777777" w:rsidR="003F4E70" w:rsidRDefault="003F4E70" w:rsidP="002B1283">
      <w:pPr>
        <w:rPr>
          <w:rStyle w:val="Hyperlink"/>
          <w:rFonts w:ascii="Arial Black" w:hAnsi="Arial Black"/>
          <w:b/>
          <w:color w:val="auto"/>
          <w:sz w:val="24"/>
          <w:szCs w:val="24"/>
          <w:u w:val="none"/>
        </w:rPr>
      </w:pPr>
    </w:p>
    <w:p w14:paraId="169E00DC" w14:textId="2C6FADE5" w:rsidR="003F4E70" w:rsidRDefault="003F4E70"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4-22</w:t>
      </w:r>
    </w:p>
    <w:p w14:paraId="1D693F9E" w14:textId="77777777" w:rsidR="003F4E70" w:rsidRPr="00990853" w:rsidRDefault="003F4E70" w:rsidP="003F4E70">
      <w:pPr>
        <w:spacing w:before="100" w:beforeAutospacing="1" w:after="100" w:afterAutospacing="1" w:line="240" w:lineRule="auto"/>
        <w:rPr>
          <w:rFonts w:ascii="Arial Black" w:hAnsi="Arial Black"/>
          <w:b/>
          <w:bCs/>
          <w:sz w:val="28"/>
          <w:szCs w:val="28"/>
        </w:rPr>
      </w:pPr>
      <w:r>
        <w:rPr>
          <w:rFonts w:ascii="Arial Black" w:hAnsi="Arial Black"/>
          <w:sz w:val="28"/>
          <w:szCs w:val="28"/>
        </w:rPr>
        <w:t>ME: MENTAL RUNS INTO ICY WATER – DROWNED – PD WAITED FD BOAT - FF “KICK HIS ASS” – NO IMMUNITY</w:t>
      </w:r>
    </w:p>
    <w:p w14:paraId="3CE7ECED" w14:textId="69BA46F2" w:rsidR="003F4E70" w:rsidRDefault="003F4E70" w:rsidP="003F4E70">
      <w:pPr>
        <w:rPr>
          <w:rStyle w:val="Hyperlink"/>
          <w:rFonts w:ascii="Arial Black" w:hAnsi="Arial Black"/>
          <w:b/>
          <w:color w:val="auto"/>
          <w:sz w:val="24"/>
          <w:szCs w:val="24"/>
          <w:u w:val="none"/>
        </w:rPr>
      </w:pPr>
      <w:r>
        <w:rPr>
          <w:rFonts w:ascii="Times New Roman" w:hAnsi="Times New Roman"/>
          <w:sz w:val="24"/>
          <w:szCs w:val="24"/>
        </w:rPr>
        <w:lastRenderedPageBreak/>
        <w:t xml:space="preserve">On May 4, 2022, in </w:t>
      </w:r>
      <w:r w:rsidRPr="00990853">
        <w:rPr>
          <w:rFonts w:ascii="Times New Roman" w:hAnsi="Times New Roman"/>
          <w:sz w:val="24"/>
          <w:szCs w:val="24"/>
          <w:u w:val="single"/>
        </w:rPr>
        <w:t>John Cohen v. City of Portland, et al</w:t>
      </w:r>
      <w:r>
        <w:rPr>
          <w:rFonts w:ascii="Times New Roman" w:hAnsi="Times New Roman"/>
          <w:sz w:val="24"/>
          <w:szCs w:val="24"/>
        </w:rPr>
        <w:t xml:space="preserve">., U.S. District Court Judge Nancy Torresen, U.S. District Court for District of Maine, dismissed all the police officers who waited for a fire boat to assist in rescue of Eric Cohen, 25 (mental issues) who ran naked into the frigid, shallow waters of Back Cover and drowned after 25 minutes, but lawsuit may continue against the City for failure to train when responding to mental patient, and also against firefighter Ronald Giroux.  </w:t>
      </w:r>
      <w:r w:rsidRPr="00DC00A2">
        <w:rPr>
          <w:rFonts w:ascii="Times New Roman" w:hAnsi="Times New Roman"/>
          <w:sz w:val="24"/>
          <w:szCs w:val="24"/>
        </w:rPr>
        <w:t xml:space="preserve">According to the Complaint, Giroux shouted from the shore, “I will kick his ass if he comes out of the water.” </w:t>
      </w:r>
      <w:proofErr w:type="spellStart"/>
      <w:r w:rsidRPr="00DC00A2">
        <w:rPr>
          <w:rFonts w:ascii="Times New Roman" w:hAnsi="Times New Roman"/>
          <w:sz w:val="24"/>
          <w:szCs w:val="24"/>
        </w:rPr>
        <w:t>Compl</w:t>
      </w:r>
      <w:proofErr w:type="spellEnd"/>
      <w:r w:rsidRPr="00DC00A2">
        <w:rPr>
          <w:rFonts w:ascii="Times New Roman" w:hAnsi="Times New Roman"/>
          <w:sz w:val="24"/>
          <w:szCs w:val="24"/>
        </w:rPr>
        <w:t>. ¶ 26.</w:t>
      </w:r>
      <w:r>
        <w:rPr>
          <w:rFonts w:ascii="Times New Roman" w:hAnsi="Times New Roman"/>
          <w:sz w:val="24"/>
          <w:szCs w:val="24"/>
        </w:rPr>
        <w:t xml:space="preserve"> </w:t>
      </w:r>
      <w:r w:rsidRPr="00DC00A2">
        <w:rPr>
          <w:rFonts w:ascii="Times New Roman" w:hAnsi="Times New Roman"/>
          <w:sz w:val="24"/>
          <w:szCs w:val="24"/>
        </w:rPr>
        <w:t>Giroux's affirmative act, yelling a threat, enhanced the danger to Cohen</w:t>
      </w:r>
      <w:r>
        <w:rPr>
          <w:rFonts w:ascii="Times New Roman" w:hAnsi="Times New Roman"/>
          <w:sz w:val="24"/>
          <w:szCs w:val="24"/>
        </w:rPr>
        <w:t xml:space="preserve"> and may have contributed to his refusal to come out of the water.  </w:t>
      </w:r>
      <w:hyperlink r:id="rId908" w:history="1">
        <w:r w:rsidRPr="00600142">
          <w:rPr>
            <w:rStyle w:val="Hyperlink"/>
            <w:rFonts w:ascii="Times New Roman" w:hAnsi="Times New Roman"/>
            <w:sz w:val="24"/>
            <w:szCs w:val="24"/>
          </w:rPr>
          <w:t>https://public.fastcase.com/waZtJvSA54UAurM2rmIZzzd7nmMG05wthWSY4rh3YOX2SQqdjQ2bWm74KVsbZSPmzEoqJnKOxl0hCOa8LdPZAi50MjJV0MwcRqnMVHWnvKI%3D</w:t>
        </w:r>
      </w:hyperlink>
    </w:p>
    <w:p w14:paraId="446454C7" w14:textId="77777777" w:rsidR="003F4E70" w:rsidRDefault="003F4E70" w:rsidP="003F4E70">
      <w:pPr>
        <w:spacing w:before="100" w:beforeAutospacing="1" w:after="100" w:afterAutospacing="1" w:line="240" w:lineRule="auto"/>
        <w:jc w:val="both"/>
        <w:rPr>
          <w:rFonts w:ascii="Times New Roman" w:hAnsi="Times New Roman"/>
          <w:b/>
          <w:bCs/>
          <w:sz w:val="24"/>
          <w:szCs w:val="24"/>
        </w:rPr>
      </w:pPr>
      <w:r w:rsidRPr="00CC11A3">
        <w:rPr>
          <w:rFonts w:ascii="Times New Roman" w:hAnsi="Times New Roman"/>
          <w:b/>
          <w:bCs/>
          <w:sz w:val="24"/>
          <w:szCs w:val="24"/>
        </w:rPr>
        <w:t xml:space="preserve">Legal Lesson Learned: </w:t>
      </w:r>
      <w:r>
        <w:rPr>
          <w:rFonts w:ascii="Times New Roman" w:hAnsi="Times New Roman"/>
          <w:b/>
          <w:bCs/>
          <w:sz w:val="24"/>
          <w:szCs w:val="24"/>
        </w:rPr>
        <w:t xml:space="preserve">Terrible loss of life and the firefighter’s conduct is unacceptable. </w:t>
      </w:r>
    </w:p>
    <w:p w14:paraId="5815203F" w14:textId="77777777" w:rsidR="003F4E70" w:rsidRPr="00CC11A3" w:rsidRDefault="003F4E70" w:rsidP="003F4E70">
      <w:pPr>
        <w:pStyle w:val="Heading1"/>
        <w:ind w:left="720"/>
        <w:rPr>
          <w:b w:val="0"/>
          <w:bCs w:val="0"/>
          <w:sz w:val="24"/>
          <w:szCs w:val="24"/>
        </w:rPr>
      </w:pPr>
      <w:r>
        <w:rPr>
          <w:b w:val="0"/>
          <w:bCs w:val="0"/>
          <w:sz w:val="24"/>
          <w:szCs w:val="24"/>
        </w:rPr>
        <w:t>See negative press: (May 5, 2022) “</w:t>
      </w:r>
      <w:r w:rsidRPr="00CC11A3">
        <w:rPr>
          <w:b w:val="0"/>
          <w:bCs w:val="0"/>
          <w:sz w:val="24"/>
          <w:szCs w:val="24"/>
        </w:rPr>
        <w:t>Federal judge says wrongful death lawsuit against Portland firefighter can move forward</w:t>
      </w:r>
      <w:r>
        <w:rPr>
          <w:b w:val="0"/>
          <w:bCs w:val="0"/>
          <w:sz w:val="24"/>
          <w:szCs w:val="24"/>
        </w:rPr>
        <w:t xml:space="preserve">.” </w:t>
      </w:r>
      <w:hyperlink r:id="rId909" w:history="1">
        <w:r w:rsidRPr="00600142">
          <w:rPr>
            <w:rStyle w:val="Hyperlink"/>
            <w:b w:val="0"/>
            <w:bCs w:val="0"/>
            <w:sz w:val="24"/>
            <w:szCs w:val="24"/>
          </w:rPr>
          <w:t>https://www.newscentermaine.com/article/news/local/portland/judge-dismisses-wrongful-death-lawsuit-against-city-all-but-one-portland-police-officer-portland-mental-health/97-9cb6ef72-b53c-4614-9d60-2360cbcd1702</w:t>
        </w:r>
      </w:hyperlink>
      <w:r>
        <w:rPr>
          <w:b w:val="0"/>
          <w:bCs w:val="0"/>
          <w:sz w:val="24"/>
          <w:szCs w:val="24"/>
        </w:rPr>
        <w:t xml:space="preserve"> </w:t>
      </w:r>
    </w:p>
    <w:p w14:paraId="2D03189F" w14:textId="2DABD10C" w:rsidR="003F4E70" w:rsidRDefault="003F4E70" w:rsidP="002B1283">
      <w:pPr>
        <w:rPr>
          <w:rStyle w:val="Hyperlink"/>
          <w:rFonts w:ascii="Arial Black" w:hAnsi="Arial Black"/>
          <w:b/>
          <w:color w:val="auto"/>
          <w:sz w:val="24"/>
          <w:szCs w:val="24"/>
          <w:u w:val="none"/>
        </w:rPr>
      </w:pPr>
    </w:p>
    <w:p w14:paraId="337F87CF" w14:textId="3E89F0DB" w:rsidR="003F4E70" w:rsidRDefault="003F4E70" w:rsidP="002B1283">
      <w:pPr>
        <w:rPr>
          <w:rStyle w:val="Hyperlink"/>
          <w:rFonts w:ascii="Arial Black" w:hAnsi="Arial Black"/>
          <w:b/>
          <w:color w:val="auto"/>
          <w:sz w:val="24"/>
          <w:szCs w:val="24"/>
          <w:u w:val="none"/>
        </w:rPr>
      </w:pPr>
    </w:p>
    <w:p w14:paraId="4CE9E789" w14:textId="77777777" w:rsidR="003F4E70" w:rsidRDefault="003F4E70" w:rsidP="002B1283">
      <w:pPr>
        <w:rPr>
          <w:rStyle w:val="Hyperlink"/>
          <w:rFonts w:ascii="Arial Black" w:hAnsi="Arial Black"/>
          <w:b/>
          <w:color w:val="auto"/>
          <w:sz w:val="24"/>
          <w:szCs w:val="24"/>
          <w:u w:val="none"/>
        </w:rPr>
      </w:pPr>
    </w:p>
    <w:p w14:paraId="42C80795" w14:textId="4693BE94" w:rsidR="003F4E70" w:rsidRDefault="003F4E70"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4-21</w:t>
      </w:r>
    </w:p>
    <w:p w14:paraId="2370EE82" w14:textId="77777777" w:rsidR="003F4E70" w:rsidRPr="005C6980" w:rsidRDefault="003F4E70" w:rsidP="003F4E70">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CA: U.S. FOREST SERVICE – KINGS CANYON LODGE – IC DISCRETION ON RESOURCES - GOVERNMENTAL IMMUNITY</w:t>
      </w:r>
    </w:p>
    <w:p w14:paraId="3E7AB749" w14:textId="77777777" w:rsidR="003F4E70" w:rsidRDefault="003F4E70" w:rsidP="003F4E70">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April 12, 2022, in </w:t>
      </w:r>
      <w:r w:rsidRPr="005C6980">
        <w:rPr>
          <w:rFonts w:ascii="Times New Roman" w:eastAsia="Times New Roman" w:hAnsi="Times New Roman"/>
          <w:sz w:val="24"/>
          <w:szCs w:val="24"/>
          <w:u w:val="single"/>
        </w:rPr>
        <w:t>Lewis D. Evans and Carla S. Evans v. United States</w:t>
      </w:r>
      <w:r>
        <w:rPr>
          <w:rFonts w:ascii="Times New Roman" w:eastAsia="Times New Roman" w:hAnsi="Times New Roman"/>
          <w:sz w:val="24"/>
          <w:szCs w:val="24"/>
        </w:rPr>
        <w:t xml:space="preserve">, U.S. District Court Judge, Eastern District of California (Fresno), granted defense motion for summary judgment since under the Federal Tort Claims Act the government enjoys immunity for discretionary decisions that implicate public policy concerns, including incident command decisions when fighting forest fires. </w:t>
      </w:r>
      <w:r w:rsidRPr="008C18ED">
        <w:rPr>
          <w:rFonts w:ascii="Times New Roman" w:hAnsi="Times New Roman"/>
          <w:sz w:val="24"/>
          <w:szCs w:val="24"/>
        </w:rPr>
        <w:t xml:space="preserve">The Rough Fire </w:t>
      </w:r>
      <w:r>
        <w:rPr>
          <w:rFonts w:ascii="Times New Roman" w:hAnsi="Times New Roman"/>
          <w:sz w:val="24"/>
          <w:szCs w:val="24"/>
        </w:rPr>
        <w:t xml:space="preserve">started </w:t>
      </w:r>
      <w:r w:rsidRPr="008C18ED">
        <w:rPr>
          <w:rFonts w:ascii="Times New Roman" w:hAnsi="Times New Roman"/>
          <w:sz w:val="24"/>
          <w:szCs w:val="24"/>
        </w:rPr>
        <w:t>in July 2015 in the Sierra National Forest</w:t>
      </w:r>
      <w:r>
        <w:rPr>
          <w:rFonts w:ascii="Times New Roman" w:hAnsi="Times New Roman"/>
          <w:sz w:val="24"/>
          <w:szCs w:val="24"/>
        </w:rPr>
        <w:t>; p</w:t>
      </w:r>
      <w:r w:rsidRPr="008C18ED">
        <w:rPr>
          <w:rFonts w:ascii="Times New Roman" w:hAnsi="Times New Roman"/>
          <w:sz w:val="24"/>
          <w:szCs w:val="24"/>
        </w:rPr>
        <w:t>laintiffs owned the Kings Canyon Lodge in the Sierra National Forest, located at a bend in Highway 180, near the 10-Mile Creek</w:t>
      </w:r>
      <w:r>
        <w:rPr>
          <w:rFonts w:ascii="Times New Roman" w:hAnsi="Times New Roman"/>
          <w:sz w:val="24"/>
          <w:szCs w:val="24"/>
        </w:rPr>
        <w:t xml:space="preserve">; the fire </w:t>
      </w:r>
      <w:r w:rsidRPr="008C18ED">
        <w:rPr>
          <w:rFonts w:ascii="Times New Roman" w:hAnsi="Times New Roman"/>
          <w:sz w:val="24"/>
          <w:szCs w:val="24"/>
        </w:rPr>
        <w:t xml:space="preserve">burned more than 140, 000 acres before it was contained in September 2015. </w:t>
      </w:r>
      <w:hyperlink r:id="rId910" w:history="1">
        <w:r w:rsidRPr="00463170">
          <w:rPr>
            <w:rStyle w:val="Hyperlink"/>
            <w:rFonts w:ascii="Times New Roman" w:hAnsi="Times New Roman"/>
            <w:sz w:val="24"/>
            <w:szCs w:val="24"/>
          </w:rPr>
          <w:t>https://public.fastcase.com/waZtJvSA54UAurM2rmIZz7W%2FsumOmHJRMxx6Xd%2FRMYm%2FGY4cQ9ojWggecoIy6%2FUeVcPjYVPSLOvPb0MEmsZAQF%2FZtsixbezDD9jmkmDKasM%3D</w:t>
        </w:r>
      </w:hyperlink>
      <w:r>
        <w:rPr>
          <w:rFonts w:ascii="Times New Roman" w:hAnsi="Times New Roman"/>
          <w:sz w:val="24"/>
          <w:szCs w:val="24"/>
        </w:rPr>
        <w:t xml:space="preserve"> </w:t>
      </w:r>
    </w:p>
    <w:p w14:paraId="59C2AC64" w14:textId="77777777" w:rsidR="003F4E70" w:rsidRDefault="003F4E70" w:rsidP="003F4E70">
      <w:pPr>
        <w:spacing w:before="100" w:beforeAutospacing="1" w:after="100" w:afterAutospacing="1" w:line="240" w:lineRule="auto"/>
        <w:rPr>
          <w:rFonts w:ascii="Times New Roman" w:hAnsi="Times New Roman"/>
          <w:b/>
          <w:bCs/>
          <w:sz w:val="24"/>
          <w:szCs w:val="24"/>
        </w:rPr>
      </w:pPr>
      <w:r w:rsidRPr="008C18ED">
        <w:rPr>
          <w:rFonts w:ascii="Times New Roman" w:hAnsi="Times New Roman"/>
          <w:b/>
          <w:bCs/>
          <w:sz w:val="24"/>
          <w:szCs w:val="24"/>
        </w:rPr>
        <w:t xml:space="preserve">Legal Lesson Learned: </w:t>
      </w:r>
      <w:r>
        <w:rPr>
          <w:rFonts w:ascii="Times New Roman" w:hAnsi="Times New Roman"/>
          <w:b/>
          <w:bCs/>
          <w:sz w:val="24"/>
          <w:szCs w:val="24"/>
        </w:rPr>
        <w:t xml:space="preserve"> U.S. Government and Forest Service incident commanders enjoy immunity for discretionary decisions. </w:t>
      </w:r>
    </w:p>
    <w:p w14:paraId="1E662092" w14:textId="77777777" w:rsidR="003F4E70" w:rsidRDefault="003F4E70" w:rsidP="002B1283">
      <w:pPr>
        <w:rPr>
          <w:rStyle w:val="Hyperlink"/>
          <w:rFonts w:ascii="Arial Black" w:hAnsi="Arial Black"/>
          <w:b/>
          <w:color w:val="auto"/>
          <w:sz w:val="24"/>
          <w:szCs w:val="24"/>
          <w:u w:val="none"/>
        </w:rPr>
      </w:pPr>
    </w:p>
    <w:p w14:paraId="06C87DC9" w14:textId="77777777" w:rsidR="003F4E70" w:rsidRDefault="003F4E70" w:rsidP="002B1283">
      <w:pPr>
        <w:rPr>
          <w:rStyle w:val="Hyperlink"/>
          <w:rFonts w:ascii="Arial Black" w:hAnsi="Arial Black"/>
          <w:b/>
          <w:color w:val="auto"/>
          <w:sz w:val="24"/>
          <w:szCs w:val="24"/>
          <w:u w:val="none"/>
        </w:rPr>
      </w:pPr>
    </w:p>
    <w:p w14:paraId="30385159" w14:textId="0ED7C5B6" w:rsidR="00B5724A" w:rsidRDefault="00B5724A"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4-20</w:t>
      </w:r>
    </w:p>
    <w:p w14:paraId="485153B7" w14:textId="66084CB3" w:rsidR="00B5724A" w:rsidRPr="00FD7A7A" w:rsidRDefault="00B5724A" w:rsidP="00B5724A">
      <w:pPr>
        <w:spacing w:before="100" w:beforeAutospacing="1" w:after="100" w:afterAutospacing="1" w:line="240" w:lineRule="auto"/>
        <w:rPr>
          <w:rFonts w:ascii="Arial Black" w:hAnsi="Arial Black"/>
          <w:sz w:val="28"/>
          <w:szCs w:val="28"/>
        </w:rPr>
      </w:pPr>
      <w:r>
        <w:rPr>
          <w:rFonts w:ascii="Arial Black" w:hAnsi="Arial Black"/>
          <w:sz w:val="28"/>
          <w:szCs w:val="28"/>
        </w:rPr>
        <w:lastRenderedPageBreak/>
        <w:t xml:space="preserve">MI: INCIDENT COMMANDER IMMUNITY – HOUSE FIRE – BODY </w:t>
      </w:r>
      <w:proofErr w:type="gramStart"/>
      <w:r w:rsidR="003D367F">
        <w:rPr>
          <w:rFonts w:ascii="Arial Black" w:hAnsi="Arial Black"/>
          <w:sz w:val="28"/>
          <w:szCs w:val="28"/>
        </w:rPr>
        <w:t>26-YEAR OLD</w:t>
      </w:r>
      <w:proofErr w:type="gramEnd"/>
      <w:r w:rsidR="003D367F">
        <w:rPr>
          <w:rFonts w:ascii="Arial Black" w:hAnsi="Arial Black"/>
          <w:sz w:val="28"/>
          <w:szCs w:val="28"/>
        </w:rPr>
        <w:t xml:space="preserve"> </w:t>
      </w:r>
      <w:r>
        <w:rPr>
          <w:rFonts w:ascii="Arial Black" w:hAnsi="Arial Black"/>
          <w:sz w:val="28"/>
          <w:szCs w:val="28"/>
        </w:rPr>
        <w:t>NOT FOUND 5 DAYS - NO GROSS NEGLIGENCE</w:t>
      </w:r>
    </w:p>
    <w:p w14:paraId="709D6028" w14:textId="77777777" w:rsidR="00D7606A" w:rsidRPr="00B03BDA" w:rsidRDefault="00B5724A" w:rsidP="00D7606A">
      <w:pPr>
        <w:spacing w:before="100" w:beforeAutospacing="1" w:after="100" w:afterAutospacing="1" w:line="240" w:lineRule="auto"/>
        <w:rPr>
          <w:rFonts w:ascii="Times New Roman" w:hAnsi="Times New Roman"/>
          <w:sz w:val="24"/>
          <w:szCs w:val="24"/>
        </w:rPr>
      </w:pPr>
      <w:r w:rsidRPr="00792FBA">
        <w:rPr>
          <w:rFonts w:ascii="Times New Roman" w:hAnsi="Times New Roman"/>
          <w:sz w:val="24"/>
          <w:szCs w:val="24"/>
        </w:rPr>
        <w:t xml:space="preserve">On Dec. 21, 2021, in </w:t>
      </w:r>
      <w:r w:rsidRPr="00792FBA">
        <w:rPr>
          <w:rFonts w:ascii="Times New Roman" w:hAnsi="Times New Roman"/>
          <w:sz w:val="24"/>
          <w:szCs w:val="24"/>
          <w:u w:val="single"/>
        </w:rPr>
        <w:t>Kelly Dougherty, individually and personal representative of the estate of Kevin McGriff, Jr. v. City of Detroit, Detroit Fire Department and Sergeant Roger Harper</w:t>
      </w:r>
      <w:r w:rsidRPr="00792FBA">
        <w:rPr>
          <w:rFonts w:ascii="Times New Roman" w:hAnsi="Times New Roman"/>
          <w:sz w:val="24"/>
          <w:szCs w:val="24"/>
        </w:rPr>
        <w:t xml:space="preserve">, the Court of Appeals of Michigan held (3 to 0) that trial court should have granted Sergeant Harper’s motion to dismiss under the Michigan Governmental Tort Liability Act (GTLA), since his </w:t>
      </w:r>
      <w:r>
        <w:rPr>
          <w:rFonts w:ascii="Times New Roman" w:hAnsi="Times New Roman"/>
          <w:sz w:val="24"/>
          <w:szCs w:val="24"/>
        </w:rPr>
        <w:t>conduct did not “</w:t>
      </w:r>
      <w:r w:rsidRPr="00EC63CD">
        <w:rPr>
          <w:rFonts w:ascii="Times New Roman" w:hAnsi="Times New Roman"/>
          <w:sz w:val="24"/>
          <w:szCs w:val="24"/>
        </w:rPr>
        <w:t>amount to gross negligence that is the proximate cause of the injury or damage.</w:t>
      </w:r>
      <w:r>
        <w:rPr>
          <w:rFonts w:ascii="Times New Roman" w:hAnsi="Times New Roman"/>
          <w:sz w:val="24"/>
          <w:szCs w:val="24"/>
        </w:rPr>
        <w:t xml:space="preserve">”  The </w:t>
      </w:r>
      <w:proofErr w:type="gramStart"/>
      <w:r>
        <w:rPr>
          <w:rFonts w:ascii="Times New Roman" w:hAnsi="Times New Roman"/>
          <w:sz w:val="24"/>
          <w:szCs w:val="24"/>
        </w:rPr>
        <w:t>City</w:t>
      </w:r>
      <w:proofErr w:type="gramEnd"/>
      <w:r>
        <w:rPr>
          <w:rFonts w:ascii="Times New Roman" w:hAnsi="Times New Roman"/>
          <w:sz w:val="24"/>
          <w:szCs w:val="24"/>
        </w:rPr>
        <w:t xml:space="preserve"> and the FD were previously granted summary judgment under the GTLA. </w:t>
      </w:r>
      <w:hyperlink r:id="rId911" w:history="1">
        <w:r w:rsidR="00D7606A" w:rsidRPr="00EC5853">
          <w:rPr>
            <w:rStyle w:val="Hyperlink"/>
            <w:rFonts w:ascii="Times New Roman" w:hAnsi="Times New Roman"/>
            <w:sz w:val="24"/>
            <w:szCs w:val="24"/>
          </w:rPr>
          <w:t>https://casetext.com/case/dougherty-v-city-of-detroit</w:t>
        </w:r>
      </w:hyperlink>
      <w:r w:rsidR="00D7606A">
        <w:rPr>
          <w:rFonts w:ascii="Times New Roman" w:hAnsi="Times New Roman"/>
          <w:sz w:val="24"/>
          <w:szCs w:val="24"/>
        </w:rPr>
        <w:t xml:space="preserve"> </w:t>
      </w:r>
    </w:p>
    <w:p w14:paraId="73056C31" w14:textId="4D6EFAA9" w:rsidR="00B5724A" w:rsidRPr="00737BB4" w:rsidRDefault="00D7606A" w:rsidP="00B5724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THE COURT HELD:</w:t>
      </w:r>
    </w:p>
    <w:p w14:paraId="32149667" w14:textId="77777777" w:rsidR="00B5724A" w:rsidRPr="00B03BDA" w:rsidRDefault="00B5724A" w:rsidP="00B5724A">
      <w:pPr>
        <w:spacing w:before="100" w:beforeAutospacing="1" w:after="100" w:afterAutospacing="1" w:line="240" w:lineRule="auto"/>
        <w:ind w:left="720"/>
        <w:rPr>
          <w:rFonts w:ascii="Times New Roman" w:hAnsi="Times New Roman"/>
          <w:sz w:val="24"/>
          <w:szCs w:val="24"/>
        </w:rPr>
      </w:pPr>
      <w:r w:rsidRPr="008F73CD">
        <w:rPr>
          <w:rFonts w:ascii="Times New Roman" w:hAnsi="Times New Roman"/>
          <w:sz w:val="24"/>
          <w:szCs w:val="24"/>
        </w:rPr>
        <w:t>“</w:t>
      </w:r>
      <w:r>
        <w:rPr>
          <w:rFonts w:ascii="Times New Roman" w:hAnsi="Times New Roman"/>
          <w:sz w:val="24"/>
          <w:szCs w:val="24"/>
        </w:rPr>
        <w:t>[W]</w:t>
      </w:r>
      <w:r w:rsidRPr="008F73CD">
        <w:rPr>
          <w:rFonts w:ascii="Times New Roman" w:hAnsi="Times New Roman"/>
          <w:sz w:val="24"/>
          <w:szCs w:val="24"/>
        </w:rPr>
        <w:t>we think it is too heavy a burden to impose an affirmative duty on firefighters to ensure the survival of individuals that are unobservable at the scene of a fire</w:t>
      </w:r>
      <w:r>
        <w:rPr>
          <w:rFonts w:ascii="Times New Roman" w:hAnsi="Times New Roman"/>
          <w:sz w:val="24"/>
          <w:szCs w:val="24"/>
        </w:rPr>
        <w:t>….</w:t>
      </w:r>
      <w:r w:rsidRPr="008F73CD">
        <w:rPr>
          <w:rFonts w:ascii="Times New Roman" w:hAnsi="Times New Roman"/>
          <w:sz w:val="24"/>
          <w:szCs w:val="24"/>
        </w:rPr>
        <w:t xml:space="preserve"> As defendant pointed out, imposing such a broad duty that places personal liability on firefighters not only contradicts established law, but could also have a chilling effect on recruitment of firefighters. Similarly, this enhanced burden would alter how long a firefighter must remain in a fire-compromised building, thereby jeopardizing his or her own safety and the safety of his or her crew</w:t>
      </w:r>
      <w:r>
        <w:rPr>
          <w:rFonts w:ascii="Times New Roman" w:hAnsi="Times New Roman"/>
          <w:sz w:val="24"/>
          <w:szCs w:val="24"/>
        </w:rPr>
        <w:t xml:space="preserve">…. </w:t>
      </w:r>
      <w:r w:rsidRPr="008F73CD">
        <w:rPr>
          <w:rFonts w:ascii="Times New Roman" w:hAnsi="Times New Roman"/>
          <w:sz w:val="24"/>
          <w:szCs w:val="24"/>
        </w:rPr>
        <w:t>We see no reason to impose an affirmative duty on firefighters requiring them to ensure the survival of individuals, who firefighters are unaware that exist, and cannot be located despite numerous searches of an area.</w:t>
      </w:r>
      <w:r>
        <w:rPr>
          <w:rFonts w:ascii="Times New Roman" w:hAnsi="Times New Roman"/>
          <w:sz w:val="24"/>
          <w:szCs w:val="24"/>
        </w:rPr>
        <w:t xml:space="preserve">” </w:t>
      </w:r>
      <w:hyperlink r:id="rId912" w:history="1">
        <w:r w:rsidRPr="00EC5853">
          <w:rPr>
            <w:rStyle w:val="Hyperlink"/>
            <w:rFonts w:ascii="Times New Roman" w:hAnsi="Times New Roman"/>
            <w:sz w:val="24"/>
            <w:szCs w:val="24"/>
          </w:rPr>
          <w:t>https://casetext.com/case/dougherty-v-city-of-detroit</w:t>
        </w:r>
      </w:hyperlink>
      <w:r>
        <w:rPr>
          <w:rFonts w:ascii="Times New Roman" w:hAnsi="Times New Roman"/>
          <w:sz w:val="24"/>
          <w:szCs w:val="24"/>
        </w:rPr>
        <w:t xml:space="preserve"> </w:t>
      </w:r>
    </w:p>
    <w:p w14:paraId="33E21782" w14:textId="77777777" w:rsidR="00B5724A" w:rsidRPr="0099025C" w:rsidRDefault="00B5724A" w:rsidP="00B5724A">
      <w:pPr>
        <w:rPr>
          <w:rFonts w:ascii="Times New Roman" w:hAnsi="Times New Roman"/>
          <w:b/>
          <w:bCs/>
          <w:sz w:val="24"/>
          <w:szCs w:val="24"/>
        </w:rPr>
      </w:pPr>
      <w:r w:rsidRPr="0099025C">
        <w:rPr>
          <w:rFonts w:ascii="Times New Roman" w:hAnsi="Times New Roman"/>
          <w:b/>
          <w:bCs/>
          <w:sz w:val="24"/>
          <w:szCs w:val="24"/>
        </w:rPr>
        <w:t xml:space="preserve">Legal Lesson Learned: Michigan governmental tort liability act protects Incident Commanders from personal liability unless proof of gross negligence. </w:t>
      </w:r>
    </w:p>
    <w:p w14:paraId="03ACA62E" w14:textId="77777777" w:rsidR="00B5724A" w:rsidRDefault="00B5724A" w:rsidP="00B5724A">
      <w:pPr>
        <w:spacing w:line="240" w:lineRule="auto"/>
        <w:ind w:left="720"/>
        <w:rPr>
          <w:rFonts w:ascii="Times New Roman" w:hAnsi="Times New Roman"/>
          <w:sz w:val="24"/>
          <w:szCs w:val="24"/>
        </w:rPr>
      </w:pPr>
      <w:r>
        <w:rPr>
          <w:rFonts w:ascii="Times New Roman" w:hAnsi="Times New Roman"/>
          <w:sz w:val="24"/>
          <w:szCs w:val="24"/>
        </w:rPr>
        <w:t xml:space="preserve">Note: </w:t>
      </w:r>
      <w:r w:rsidRPr="00A7354D">
        <w:rPr>
          <w:rFonts w:ascii="Times New Roman" w:hAnsi="Times New Roman"/>
          <w:sz w:val="24"/>
          <w:szCs w:val="24"/>
        </w:rPr>
        <w:t xml:space="preserve">Ohio Revised Code, Section 2744.03, </w:t>
      </w:r>
      <w:r>
        <w:rPr>
          <w:rFonts w:ascii="Times New Roman" w:hAnsi="Times New Roman"/>
          <w:sz w:val="24"/>
          <w:szCs w:val="24"/>
        </w:rPr>
        <w:t xml:space="preserve">Defenses – Immunities, </w:t>
      </w:r>
      <w:hyperlink r:id="rId913" w:history="1">
        <w:r w:rsidRPr="00F9132E">
          <w:rPr>
            <w:rFonts w:ascii="Times New Roman" w:hAnsi="Times New Roman"/>
            <w:sz w:val="24"/>
            <w:szCs w:val="24"/>
          </w:rPr>
          <w:t>https://codes.ohio.gov/ohio-revised-code/section-2744.03</w:t>
        </w:r>
      </w:hyperlink>
      <w:r>
        <w:rPr>
          <w:rFonts w:ascii="Times New Roman" w:hAnsi="Times New Roman"/>
          <w:sz w:val="24"/>
          <w:szCs w:val="24"/>
        </w:rPr>
        <w:t xml:space="preserve">  </w:t>
      </w:r>
    </w:p>
    <w:p w14:paraId="116FDEEC" w14:textId="77777777" w:rsidR="00B5724A" w:rsidRPr="0099025C" w:rsidRDefault="00B5724A" w:rsidP="00B5724A">
      <w:pPr>
        <w:ind w:left="720"/>
        <w:rPr>
          <w:rFonts w:ascii="Times New Roman" w:hAnsi="Times New Roman"/>
          <w:sz w:val="24"/>
          <w:szCs w:val="24"/>
        </w:rPr>
      </w:pPr>
      <w:r w:rsidRPr="0099025C">
        <w:rPr>
          <w:rFonts w:ascii="Times New Roman" w:hAnsi="Times New Roman"/>
          <w:sz w:val="24"/>
          <w:szCs w:val="24"/>
        </w:rPr>
        <w:t xml:space="preserve">“(6) In addition to any immunity or defense referred to in division (A)(7) of this section and in circumstances not covered by that division or sections </w:t>
      </w:r>
      <w:hyperlink r:id="rId914" w:history="1">
        <w:r w:rsidRPr="0099025C">
          <w:rPr>
            <w:rFonts w:ascii="Times New Roman" w:hAnsi="Times New Roman"/>
            <w:sz w:val="24"/>
            <w:szCs w:val="24"/>
          </w:rPr>
          <w:t>3314.07</w:t>
        </w:r>
      </w:hyperlink>
      <w:r w:rsidRPr="0099025C">
        <w:rPr>
          <w:rFonts w:ascii="Times New Roman" w:hAnsi="Times New Roman"/>
          <w:sz w:val="24"/>
          <w:szCs w:val="24"/>
        </w:rPr>
        <w:t xml:space="preserve"> and </w:t>
      </w:r>
      <w:hyperlink r:id="rId915" w:history="1">
        <w:r w:rsidRPr="0099025C">
          <w:rPr>
            <w:rFonts w:ascii="Times New Roman" w:hAnsi="Times New Roman"/>
            <w:sz w:val="24"/>
            <w:szCs w:val="24"/>
          </w:rPr>
          <w:t>3746.24</w:t>
        </w:r>
      </w:hyperlink>
      <w:r w:rsidRPr="0099025C">
        <w:rPr>
          <w:rFonts w:ascii="Times New Roman" w:hAnsi="Times New Roman"/>
          <w:sz w:val="24"/>
          <w:szCs w:val="24"/>
        </w:rPr>
        <w:t xml:space="preserve"> of the Revised Code, the employee is immune from liability unless one of the following applies:</w:t>
      </w:r>
    </w:p>
    <w:p w14:paraId="0BC7BDA8" w14:textId="77777777" w:rsidR="00B5724A" w:rsidRPr="0099025C" w:rsidRDefault="00B5724A" w:rsidP="00B5724A">
      <w:pPr>
        <w:ind w:left="720"/>
        <w:rPr>
          <w:rFonts w:ascii="Times New Roman" w:hAnsi="Times New Roman"/>
          <w:sz w:val="24"/>
          <w:szCs w:val="24"/>
        </w:rPr>
      </w:pPr>
      <w:r w:rsidRPr="0099025C">
        <w:rPr>
          <w:rFonts w:ascii="Times New Roman" w:hAnsi="Times New Roman"/>
          <w:sz w:val="24"/>
          <w:szCs w:val="24"/>
        </w:rPr>
        <w:t>(a) The employee's acts or omissions were manifestly outside the scope of the employee's employment or official responsibilities;</w:t>
      </w:r>
    </w:p>
    <w:p w14:paraId="08C3992C" w14:textId="77777777" w:rsidR="00B5724A" w:rsidRPr="0099025C" w:rsidRDefault="00B5724A" w:rsidP="00B5724A">
      <w:pPr>
        <w:ind w:left="720"/>
        <w:rPr>
          <w:rFonts w:ascii="Times New Roman" w:hAnsi="Times New Roman"/>
          <w:sz w:val="24"/>
          <w:szCs w:val="24"/>
        </w:rPr>
      </w:pPr>
      <w:r w:rsidRPr="0099025C">
        <w:rPr>
          <w:rFonts w:ascii="Times New Roman" w:hAnsi="Times New Roman"/>
          <w:sz w:val="24"/>
          <w:szCs w:val="24"/>
        </w:rPr>
        <w:t>(b) The employee's acts or omissions were with malicious purpose, in bad faith, or in a wanton or reckless manner….”</w:t>
      </w:r>
    </w:p>
    <w:p w14:paraId="17057B21" w14:textId="77777777" w:rsidR="00B5724A" w:rsidRDefault="00B5724A" w:rsidP="002B1283">
      <w:pPr>
        <w:rPr>
          <w:rStyle w:val="Hyperlink"/>
          <w:rFonts w:ascii="Arial Black" w:hAnsi="Arial Black"/>
          <w:b/>
          <w:color w:val="auto"/>
          <w:sz w:val="24"/>
          <w:szCs w:val="24"/>
          <w:u w:val="none"/>
        </w:rPr>
      </w:pPr>
    </w:p>
    <w:p w14:paraId="099D476A" w14:textId="77777777" w:rsidR="00B5724A" w:rsidRDefault="00B5724A" w:rsidP="002B1283">
      <w:pPr>
        <w:rPr>
          <w:rStyle w:val="Hyperlink"/>
          <w:rFonts w:ascii="Arial Black" w:hAnsi="Arial Black"/>
          <w:b/>
          <w:color w:val="auto"/>
          <w:sz w:val="24"/>
          <w:szCs w:val="24"/>
          <w:u w:val="none"/>
        </w:rPr>
      </w:pPr>
    </w:p>
    <w:p w14:paraId="31ADC158" w14:textId="6AFD11B5" w:rsidR="00B5724A" w:rsidRDefault="00B5724A"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4-19</w:t>
      </w:r>
    </w:p>
    <w:p w14:paraId="2845E89E" w14:textId="77777777" w:rsidR="00B5724A" w:rsidRPr="00E771B6" w:rsidRDefault="00B5724A" w:rsidP="00B5724A">
      <w:pPr>
        <w:rPr>
          <w:rFonts w:ascii="Arial Black" w:hAnsi="Arial Black"/>
          <w:sz w:val="28"/>
          <w:szCs w:val="28"/>
        </w:rPr>
      </w:pPr>
      <w:r>
        <w:rPr>
          <w:rFonts w:ascii="Arial Black" w:hAnsi="Arial Black"/>
          <w:sz w:val="28"/>
          <w:szCs w:val="28"/>
        </w:rPr>
        <w:t>WA: FED. GOV’T IMMUNITY - FIRE BREAK, 15 ACRES BURNED OK PROPERTY OWNER / IC DIDN’T PROMISE FOAM</w:t>
      </w:r>
    </w:p>
    <w:p w14:paraId="1CF9AF65" w14:textId="77777777" w:rsidR="00B5724A" w:rsidRPr="002C414E" w:rsidRDefault="00B5724A" w:rsidP="00B5724A">
      <w:pPr>
        <w:rPr>
          <w:rFonts w:ascii="Times New Roman" w:hAnsi="Times New Roman"/>
          <w:sz w:val="24"/>
          <w:szCs w:val="24"/>
        </w:rPr>
      </w:pPr>
      <w:r w:rsidRPr="002C414E">
        <w:rPr>
          <w:rFonts w:ascii="Times New Roman" w:hAnsi="Times New Roman"/>
          <w:sz w:val="24"/>
          <w:szCs w:val="24"/>
        </w:rPr>
        <w:t xml:space="preserve">On Dec. 17, 2021, in </w:t>
      </w:r>
      <w:r w:rsidRPr="002C414E">
        <w:rPr>
          <w:rFonts w:ascii="Times New Roman" w:hAnsi="Times New Roman"/>
          <w:sz w:val="24"/>
          <w:szCs w:val="24"/>
          <w:u w:val="single"/>
        </w:rPr>
        <w:t>Alfred Cruz Esquivel and Donald David Willard v. United State of America,</w:t>
      </w:r>
      <w:r w:rsidRPr="002C414E">
        <w:rPr>
          <w:rFonts w:ascii="Times New Roman" w:hAnsi="Times New Roman"/>
          <w:sz w:val="24"/>
          <w:szCs w:val="24"/>
        </w:rPr>
        <w:t xml:space="preserve"> the U.S. Court of Appeals for the 9</w:t>
      </w:r>
      <w:r w:rsidRPr="002C414E">
        <w:rPr>
          <w:rFonts w:ascii="Times New Roman" w:hAnsi="Times New Roman"/>
          <w:sz w:val="24"/>
          <w:szCs w:val="24"/>
          <w:vertAlign w:val="superscript"/>
        </w:rPr>
        <w:t>th</w:t>
      </w:r>
      <w:r w:rsidRPr="002C414E">
        <w:rPr>
          <w:rFonts w:ascii="Times New Roman" w:hAnsi="Times New Roman"/>
          <w:sz w:val="24"/>
          <w:szCs w:val="24"/>
        </w:rPr>
        <w:t xml:space="preserve"> Circuit (San Francisco) upheld the trial court’s dismissal of the case </w:t>
      </w:r>
      <w:r w:rsidRPr="002C414E">
        <w:rPr>
          <w:rStyle w:val="markedcontent"/>
          <w:rFonts w:ascii="Times New Roman" w:hAnsi="Times New Roman"/>
          <w:sz w:val="24"/>
          <w:szCs w:val="24"/>
        </w:rPr>
        <w:t xml:space="preserve">based on </w:t>
      </w:r>
      <w:r w:rsidRPr="002C414E">
        <w:rPr>
          <w:rStyle w:val="markedcontent"/>
          <w:rFonts w:ascii="Times New Roman" w:hAnsi="Times New Roman"/>
          <w:sz w:val="24"/>
          <w:szCs w:val="24"/>
        </w:rPr>
        <w:lastRenderedPageBreak/>
        <w:t xml:space="preserve">holding that the FTCA [Federal Tort Claims Act] claims fell within the discretionary function exception to the FTCA’s waiver of sovereign immunity, and the FTCA’s misrepresentation exception. </w:t>
      </w:r>
      <w:r w:rsidRPr="002C414E">
        <w:rPr>
          <w:rFonts w:ascii="Times New Roman" w:hAnsi="Times New Roman"/>
          <w:sz w:val="24"/>
          <w:szCs w:val="24"/>
        </w:rPr>
        <w:t xml:space="preserve">The Bureau of Land Management had rejected the property owners’ claim of $5 million for burn of his 15 acres. </w:t>
      </w:r>
    </w:p>
    <w:p w14:paraId="31CA7FCC" w14:textId="77777777" w:rsidR="00B5724A" w:rsidRPr="002C414E" w:rsidRDefault="00B5724A" w:rsidP="00B5724A">
      <w:pPr>
        <w:ind w:left="720"/>
        <w:rPr>
          <w:rFonts w:ascii="Times New Roman" w:hAnsi="Times New Roman"/>
          <w:sz w:val="24"/>
          <w:szCs w:val="24"/>
        </w:rPr>
      </w:pPr>
      <w:r w:rsidRPr="002C414E">
        <w:rPr>
          <w:rFonts w:ascii="Times New Roman" w:hAnsi="Times New Roman"/>
          <w:sz w:val="24"/>
          <w:szCs w:val="24"/>
        </w:rPr>
        <w:t>“</w:t>
      </w:r>
      <w:r w:rsidRPr="002C414E">
        <w:rPr>
          <w:rStyle w:val="markedcontent"/>
          <w:rFonts w:ascii="Times New Roman" w:hAnsi="Times New Roman"/>
          <w:sz w:val="24"/>
          <w:szCs w:val="24"/>
        </w:rPr>
        <w:t xml:space="preserve">Willard later swore that [IC Thomas] McKibbin ‘convinced’ him that the team ‘would protect [the] property and make sure that [the] property would not be excessively burned.’ Willard also declared that when he was old about the foam he thought ‘it would be safe for [him] to leave.’ McKibbin swears he does not recall any discussion of foam in his conversation with Willard. He also states in his declaration before the district court that it would be highly unusual for foam to be used during a burnout because foam is typically used only to contain the advance of a wildfire, while burnouts are performed under controlled conditions and normally do not need to be contained. McKibbin also swears that if ‘Willard had wanted to forego a burnout, [McKibbin] would not have done one.’ ‘That would have put the entire property at extreme risk, but it was [Willard’s] prerogative to take the risk if [Willard] wanted to.’ *** </w:t>
      </w:r>
      <w:r w:rsidRPr="002C414E">
        <w:rPr>
          <w:rFonts w:ascii="Times New Roman" w:hAnsi="Times New Roman"/>
          <w:sz w:val="24"/>
          <w:szCs w:val="24"/>
        </w:rPr>
        <w:t xml:space="preserve">Accepting as true the factual allegations contained in Appellants' complaint, we conclude as a matter of law that McKibbin's communication with Willard was ‘based upon the exercise or performance’ of choosing how to organize and conduct fire suppression operations, which undisputedly requires the exercise of judgment grounded in social, economic, or political policy. We therefore hold that the government has met its burden of establishing that Appellants' claims fall within the scope of the discretionary function exception.” </w:t>
      </w:r>
      <w:hyperlink r:id="rId916" w:history="1">
        <w:r w:rsidRPr="00EC5853">
          <w:rPr>
            <w:rStyle w:val="Hyperlink"/>
            <w:rFonts w:ascii="Times New Roman" w:hAnsi="Times New Roman"/>
            <w:sz w:val="24"/>
            <w:szCs w:val="24"/>
          </w:rPr>
          <w:t>https://cdn.ca9.uscourts.gov/datastore/opinions/2021/12/17/20-35868.pdf</w:t>
        </w:r>
      </w:hyperlink>
      <w:r>
        <w:rPr>
          <w:rFonts w:ascii="Times New Roman" w:hAnsi="Times New Roman"/>
          <w:sz w:val="24"/>
          <w:szCs w:val="24"/>
        </w:rPr>
        <w:t xml:space="preserve"> </w:t>
      </w:r>
    </w:p>
    <w:p w14:paraId="4B82893D" w14:textId="77777777" w:rsidR="00B5724A" w:rsidRPr="004F5123" w:rsidRDefault="00B5724A" w:rsidP="00B5724A">
      <w:pPr>
        <w:spacing w:before="100" w:beforeAutospacing="1" w:after="100" w:afterAutospacing="1" w:line="240" w:lineRule="auto"/>
        <w:rPr>
          <w:rFonts w:ascii="Times New Roman" w:eastAsia="Times New Roman" w:hAnsi="Times New Roman"/>
          <w:b/>
          <w:bCs/>
          <w:sz w:val="24"/>
          <w:szCs w:val="24"/>
        </w:rPr>
      </w:pPr>
      <w:r w:rsidRPr="002C414E">
        <w:rPr>
          <w:rFonts w:ascii="Times New Roman" w:hAnsi="Times New Roman"/>
          <w:b/>
          <w:bCs/>
          <w:sz w:val="24"/>
          <w:szCs w:val="24"/>
        </w:rPr>
        <w:t xml:space="preserve">Legal Lesson Learned: The Federal Tort Claims Act includes exemptions from liability for discretionary decisions </w:t>
      </w:r>
      <w:proofErr w:type="gramStart"/>
      <w:r w:rsidRPr="002C414E">
        <w:rPr>
          <w:rFonts w:ascii="Times New Roman" w:hAnsi="Times New Roman"/>
          <w:b/>
          <w:bCs/>
          <w:sz w:val="24"/>
          <w:szCs w:val="24"/>
        </w:rPr>
        <w:t>and also</w:t>
      </w:r>
      <w:proofErr w:type="gramEnd"/>
      <w:r w:rsidRPr="002C414E">
        <w:rPr>
          <w:rFonts w:ascii="Times New Roman" w:hAnsi="Times New Roman"/>
          <w:b/>
          <w:bCs/>
          <w:sz w:val="24"/>
          <w:szCs w:val="24"/>
        </w:rPr>
        <w:t xml:space="preserve"> for alleged misrepresentations</w:t>
      </w:r>
      <w:r>
        <w:rPr>
          <w:rFonts w:ascii="Times New Roman" w:hAnsi="Times New Roman"/>
          <w:b/>
          <w:bCs/>
          <w:sz w:val="24"/>
          <w:szCs w:val="24"/>
        </w:rPr>
        <w:t xml:space="preserve">. </w:t>
      </w:r>
    </w:p>
    <w:p w14:paraId="037E8877" w14:textId="77777777" w:rsidR="00B5724A" w:rsidRDefault="00B5724A" w:rsidP="002B1283">
      <w:pPr>
        <w:rPr>
          <w:rStyle w:val="Hyperlink"/>
          <w:rFonts w:ascii="Arial Black" w:hAnsi="Arial Black"/>
          <w:b/>
          <w:color w:val="auto"/>
          <w:sz w:val="24"/>
          <w:szCs w:val="24"/>
          <w:u w:val="none"/>
        </w:rPr>
      </w:pPr>
    </w:p>
    <w:p w14:paraId="178D7422" w14:textId="77777777" w:rsidR="00B5724A" w:rsidRDefault="00B5724A" w:rsidP="002B1283">
      <w:pPr>
        <w:rPr>
          <w:rStyle w:val="Hyperlink"/>
          <w:rFonts w:ascii="Arial Black" w:hAnsi="Arial Black"/>
          <w:b/>
          <w:color w:val="auto"/>
          <w:sz w:val="24"/>
          <w:szCs w:val="24"/>
          <w:u w:val="none"/>
        </w:rPr>
      </w:pPr>
    </w:p>
    <w:p w14:paraId="7BBF8755" w14:textId="71DF1DF7" w:rsidR="00365F63" w:rsidRDefault="00365F63"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4-18</w:t>
      </w:r>
    </w:p>
    <w:p w14:paraId="20EA0DC5" w14:textId="77777777" w:rsidR="00365F63" w:rsidRDefault="00365F63" w:rsidP="00365F63">
      <w:pPr>
        <w:spacing w:before="100" w:beforeAutospacing="1" w:after="100" w:afterAutospacing="1" w:line="240" w:lineRule="auto"/>
        <w:rPr>
          <w:rFonts w:ascii="Arial Black" w:hAnsi="Arial Black"/>
          <w:sz w:val="28"/>
          <w:szCs w:val="28"/>
        </w:rPr>
      </w:pPr>
      <w:r>
        <w:rPr>
          <w:rFonts w:ascii="Arial Black" w:hAnsi="Arial Black"/>
          <w:sz w:val="28"/>
          <w:szCs w:val="28"/>
        </w:rPr>
        <w:t>MI: DISPATCH SENT EMS TO “FIREMEN’S ASSOCIATION” INSTEAD OF VOL. FD – CHILD DIED ASTHMA - IMMUNITY</w:t>
      </w:r>
    </w:p>
    <w:p w14:paraId="4E1F0A9E" w14:textId="77777777" w:rsidR="00365F63" w:rsidRDefault="00365F63" w:rsidP="00365F63">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Nov. 15, 2021, in </w:t>
      </w:r>
      <w:r w:rsidRPr="00502AAE">
        <w:rPr>
          <w:rFonts w:ascii="Times New Roman" w:hAnsi="Times New Roman"/>
          <w:sz w:val="24"/>
          <w:szCs w:val="24"/>
          <w:u w:val="single"/>
        </w:rPr>
        <w:t>Jose Reyes, as Personal Representative for the Estate of Bobby Reves, et al. v. Monroe County and Sonya Sampsel</w:t>
      </w:r>
      <w:r>
        <w:rPr>
          <w:rFonts w:ascii="Times New Roman" w:hAnsi="Times New Roman"/>
          <w:sz w:val="24"/>
          <w:szCs w:val="24"/>
        </w:rPr>
        <w:t xml:space="preserve">, U.S. District Court Judge Laurie J. Michelson granted summary judgment to Monroe County and 911 Dispatcher Sonya Sampsel.  Tragic case where a </w:t>
      </w:r>
      <w:proofErr w:type="gramStart"/>
      <w:r>
        <w:rPr>
          <w:rFonts w:ascii="Times New Roman" w:hAnsi="Times New Roman"/>
          <w:sz w:val="24"/>
          <w:szCs w:val="24"/>
        </w:rPr>
        <w:t>14-year old</w:t>
      </w:r>
      <w:proofErr w:type="gramEnd"/>
      <w:r>
        <w:rPr>
          <w:rFonts w:ascii="Times New Roman" w:hAnsi="Times New Roman"/>
          <w:sz w:val="24"/>
          <w:szCs w:val="24"/>
        </w:rPr>
        <w:t xml:space="preserve"> teenager with asthma died when dispatch sent ambulance to the Ash Township Firemen’s Association, instead of to Ash Township Fire Station No. 2.  Judge recognized that the dispatcher had to make a quick decision with a non-breather.  Fed. claim of “state-created-danger” in violation of due process under 14</w:t>
      </w:r>
      <w:r w:rsidRPr="007E302C">
        <w:rPr>
          <w:rFonts w:ascii="Times New Roman" w:hAnsi="Times New Roman"/>
          <w:sz w:val="24"/>
          <w:szCs w:val="24"/>
          <w:vertAlign w:val="superscript"/>
        </w:rPr>
        <w:t>th</w:t>
      </w:r>
      <w:r>
        <w:rPr>
          <w:rFonts w:ascii="Times New Roman" w:hAnsi="Times New Roman"/>
          <w:sz w:val="24"/>
          <w:szCs w:val="24"/>
        </w:rPr>
        <w:t xml:space="preserve"> Amendment of Constitution requires proof of reckless conduct that “shocks the contemporary conscience.” State claim of negligence also dismissed - </w:t>
      </w:r>
      <w:r w:rsidRPr="00AE2C93">
        <w:rPr>
          <w:rFonts w:ascii="Times New Roman" w:hAnsi="Times New Roman"/>
          <w:sz w:val="24"/>
          <w:szCs w:val="24"/>
        </w:rPr>
        <w:t xml:space="preserve">Michigan's Governmental Tort Liability Act shields government </w:t>
      </w:r>
      <w:r>
        <w:rPr>
          <w:rFonts w:ascii="Times New Roman" w:hAnsi="Times New Roman"/>
          <w:sz w:val="24"/>
          <w:szCs w:val="24"/>
        </w:rPr>
        <w:t>employees</w:t>
      </w:r>
      <w:r w:rsidRPr="00AE2C93">
        <w:rPr>
          <w:rFonts w:ascii="Times New Roman" w:hAnsi="Times New Roman"/>
          <w:sz w:val="24"/>
          <w:szCs w:val="24"/>
        </w:rPr>
        <w:t xml:space="preserve"> from claims of negligence unless the</w:t>
      </w:r>
      <w:r>
        <w:rPr>
          <w:rFonts w:ascii="Times New Roman" w:hAnsi="Times New Roman"/>
          <w:sz w:val="24"/>
          <w:szCs w:val="24"/>
        </w:rPr>
        <w:t xml:space="preserve">ir conduct was </w:t>
      </w:r>
      <w:r w:rsidRPr="00AE2C93">
        <w:rPr>
          <w:rFonts w:ascii="Times New Roman" w:hAnsi="Times New Roman"/>
          <w:sz w:val="24"/>
          <w:szCs w:val="24"/>
        </w:rPr>
        <w:t>“so reckless as to demonstrate a substantial lack of concern for whether an injury results.</w:t>
      </w:r>
      <w:r>
        <w:rPr>
          <w:rFonts w:ascii="Times New Roman" w:hAnsi="Times New Roman"/>
          <w:sz w:val="24"/>
          <w:szCs w:val="24"/>
        </w:rPr>
        <w:t xml:space="preserve">”  </w:t>
      </w:r>
    </w:p>
    <w:p w14:paraId="17E73740" w14:textId="77777777" w:rsidR="00365F63" w:rsidRDefault="00365F63" w:rsidP="00365F6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7E302C">
        <w:rPr>
          <w:rFonts w:ascii="Times New Roman" w:hAnsi="Times New Roman"/>
          <w:sz w:val="24"/>
          <w:szCs w:val="24"/>
        </w:rPr>
        <w:t xml:space="preserve">In cases where a state actor was forced to make a quick decision, courts have required a plaintiff to show that the state actor intended to cause harm to establish liability under the Due Process Clause. </w:t>
      </w:r>
      <w:r w:rsidRPr="007E302C">
        <w:rPr>
          <w:rFonts w:ascii="Times New Roman" w:hAnsi="Times New Roman"/>
          <w:i/>
          <w:iCs/>
          <w:sz w:val="24"/>
          <w:szCs w:val="24"/>
        </w:rPr>
        <w:t>See County of Sacramento v. Lewis</w:t>
      </w:r>
      <w:r w:rsidRPr="007E302C">
        <w:rPr>
          <w:rFonts w:ascii="Times New Roman" w:hAnsi="Times New Roman"/>
          <w:sz w:val="24"/>
          <w:szCs w:val="24"/>
        </w:rPr>
        <w:t xml:space="preserve">, </w:t>
      </w:r>
      <w:hyperlink r:id="rId917" w:anchor="p853" w:history="1">
        <w:r w:rsidRPr="007E302C">
          <w:rPr>
            <w:rStyle w:val="Hyperlink"/>
            <w:rFonts w:ascii="Times New Roman" w:hAnsi="Times New Roman"/>
            <w:sz w:val="24"/>
            <w:szCs w:val="24"/>
          </w:rPr>
          <w:t>523 U.S. 833, 853</w:t>
        </w:r>
      </w:hyperlink>
      <w:r w:rsidRPr="007E302C">
        <w:rPr>
          <w:rFonts w:ascii="Times New Roman" w:hAnsi="Times New Roman"/>
          <w:sz w:val="24"/>
          <w:szCs w:val="24"/>
        </w:rPr>
        <w:t xml:space="preserve"> (1998) (providing that </w:t>
      </w:r>
      <w:r>
        <w:rPr>
          <w:rFonts w:ascii="Times New Roman" w:hAnsi="Times New Roman"/>
          <w:sz w:val="24"/>
          <w:szCs w:val="24"/>
        </w:rPr>
        <w:t>‘</w:t>
      </w:r>
      <w:r w:rsidRPr="007E302C">
        <w:rPr>
          <w:rFonts w:ascii="Times New Roman" w:hAnsi="Times New Roman"/>
          <w:sz w:val="24"/>
          <w:szCs w:val="24"/>
        </w:rPr>
        <w:t xml:space="preserve">when unforeseen circumstances demand an officer's instant judgment, </w:t>
      </w:r>
      <w:r>
        <w:rPr>
          <w:rFonts w:ascii="Times New Roman" w:hAnsi="Times New Roman"/>
          <w:sz w:val="24"/>
          <w:szCs w:val="24"/>
        </w:rPr>
        <w:t>‘</w:t>
      </w:r>
      <w:r w:rsidRPr="007E302C">
        <w:rPr>
          <w:rFonts w:ascii="Times New Roman" w:hAnsi="Times New Roman"/>
          <w:sz w:val="24"/>
          <w:szCs w:val="24"/>
        </w:rPr>
        <w:t xml:space="preserve"> even the officer's reckless conduct will not shock </w:t>
      </w:r>
      <w:r w:rsidRPr="007E302C">
        <w:rPr>
          <w:rFonts w:ascii="Times New Roman" w:hAnsi="Times New Roman"/>
          <w:sz w:val="24"/>
          <w:szCs w:val="24"/>
        </w:rPr>
        <w:lastRenderedPageBreak/>
        <w:t xml:space="preserve">the conscious); </w:t>
      </w:r>
      <w:r w:rsidRPr="007E302C">
        <w:rPr>
          <w:rFonts w:ascii="Times New Roman" w:hAnsi="Times New Roman"/>
          <w:i/>
          <w:iCs/>
          <w:sz w:val="24"/>
          <w:szCs w:val="24"/>
        </w:rPr>
        <w:t>Jackson Board of Education</w:t>
      </w:r>
      <w:r w:rsidRPr="007E302C">
        <w:rPr>
          <w:rFonts w:ascii="Times New Roman" w:hAnsi="Times New Roman"/>
          <w:sz w:val="24"/>
          <w:szCs w:val="24"/>
        </w:rPr>
        <w:t xml:space="preserve">, </w:t>
      </w:r>
      <w:hyperlink r:id="rId918" w:anchor="p933" w:history="1">
        <w:r w:rsidRPr="007E302C">
          <w:rPr>
            <w:rStyle w:val="Hyperlink"/>
            <w:rFonts w:ascii="Times New Roman" w:hAnsi="Times New Roman"/>
            <w:sz w:val="24"/>
            <w:szCs w:val="24"/>
          </w:rPr>
          <w:t>954 F.3d at 933</w:t>
        </w:r>
      </w:hyperlink>
      <w:r w:rsidRPr="007E302C">
        <w:rPr>
          <w:rFonts w:ascii="Times New Roman" w:hAnsi="Times New Roman"/>
          <w:sz w:val="24"/>
          <w:szCs w:val="24"/>
        </w:rPr>
        <w:t xml:space="preserve"> (“[The Supreme Court] has added that an actual intent to injure is required when public actors must make hasty decisions, such as during a high-speed chase or a prison riot.</w:t>
      </w:r>
      <w:r>
        <w:rPr>
          <w:rFonts w:ascii="Times New Roman" w:hAnsi="Times New Roman"/>
          <w:sz w:val="24"/>
          <w:szCs w:val="24"/>
        </w:rPr>
        <w:t>’</w:t>
      </w:r>
      <w:r w:rsidRPr="007E302C">
        <w:rPr>
          <w:rFonts w:ascii="Times New Roman" w:hAnsi="Times New Roman"/>
          <w:sz w:val="24"/>
          <w:szCs w:val="24"/>
        </w:rPr>
        <w:t xml:space="preserve">). An intent-to-harm standard makes sense when there is no time to deliberate; after </w:t>
      </w:r>
      <w:proofErr w:type="gramStart"/>
      <w:r w:rsidRPr="007E302C">
        <w:rPr>
          <w:rFonts w:ascii="Times New Roman" w:hAnsi="Times New Roman"/>
          <w:sz w:val="24"/>
          <w:szCs w:val="24"/>
        </w:rPr>
        <w:t xml:space="preserve">all, </w:t>
      </w:r>
      <w:r>
        <w:rPr>
          <w:rFonts w:ascii="Times New Roman" w:hAnsi="Times New Roman"/>
          <w:sz w:val="24"/>
          <w:szCs w:val="24"/>
        </w:rPr>
        <w:t>‘</w:t>
      </w:r>
      <w:proofErr w:type="gramEnd"/>
      <w:r w:rsidRPr="007E302C">
        <w:rPr>
          <w:rFonts w:ascii="Times New Roman" w:hAnsi="Times New Roman"/>
          <w:sz w:val="24"/>
          <w:szCs w:val="24"/>
        </w:rPr>
        <w:t>the [deliberate indifference] standard is sensibly employed only when actual deliberation is practical.</w:t>
      </w:r>
      <w:r>
        <w:rPr>
          <w:rFonts w:ascii="Times New Roman" w:hAnsi="Times New Roman"/>
          <w:sz w:val="24"/>
          <w:szCs w:val="24"/>
        </w:rPr>
        <w:t>’</w:t>
      </w:r>
      <w:r w:rsidRPr="007E302C">
        <w:rPr>
          <w:rFonts w:ascii="Times New Roman" w:hAnsi="Times New Roman"/>
          <w:sz w:val="24"/>
          <w:szCs w:val="24"/>
        </w:rPr>
        <w:t xml:space="preserve"> </w:t>
      </w:r>
      <w:r w:rsidRPr="007E302C">
        <w:rPr>
          <w:rFonts w:ascii="Times New Roman" w:hAnsi="Times New Roman"/>
          <w:i/>
          <w:iCs/>
          <w:sz w:val="24"/>
          <w:szCs w:val="24"/>
        </w:rPr>
        <w:t>Lewis</w:t>
      </w:r>
      <w:r w:rsidRPr="007E302C">
        <w:rPr>
          <w:rFonts w:ascii="Times New Roman" w:hAnsi="Times New Roman"/>
          <w:sz w:val="24"/>
          <w:szCs w:val="24"/>
        </w:rPr>
        <w:t xml:space="preserve">, </w:t>
      </w:r>
      <w:hyperlink r:id="rId919" w:anchor="p851" w:history="1">
        <w:r w:rsidRPr="007E302C">
          <w:rPr>
            <w:rStyle w:val="Hyperlink"/>
            <w:rFonts w:ascii="Times New Roman" w:hAnsi="Times New Roman"/>
            <w:sz w:val="24"/>
            <w:szCs w:val="24"/>
          </w:rPr>
          <w:t>523 U.S. at 851</w:t>
        </w:r>
      </w:hyperlink>
      <w:r w:rsidRPr="007E302C">
        <w:rPr>
          <w:rFonts w:ascii="Times New Roman" w:hAnsi="Times New Roman"/>
          <w:sz w:val="24"/>
          <w:szCs w:val="24"/>
        </w:rPr>
        <w:t>.</w:t>
      </w:r>
    </w:p>
    <w:p w14:paraId="0F1358EA" w14:textId="5765BD3E" w:rsidR="00365F63" w:rsidRDefault="00365F63" w:rsidP="00365F63">
      <w:pPr>
        <w:rPr>
          <w:rStyle w:val="Hyperlink"/>
          <w:rFonts w:ascii="Times New Roman" w:hAnsi="Times New Roman"/>
          <w:sz w:val="24"/>
          <w:szCs w:val="24"/>
        </w:rPr>
      </w:pPr>
      <w:r w:rsidRPr="007E302C">
        <w:rPr>
          <w:rFonts w:ascii="Times New Roman" w:hAnsi="Times New Roman"/>
          <w:sz w:val="24"/>
          <w:szCs w:val="24"/>
        </w:rPr>
        <w:t xml:space="preserve">Here, Sampsel had virtually no time to deliberate. Jones told Sampsel, </w:t>
      </w:r>
      <w:r>
        <w:rPr>
          <w:rFonts w:ascii="Times New Roman" w:hAnsi="Times New Roman"/>
          <w:sz w:val="24"/>
          <w:szCs w:val="24"/>
        </w:rPr>
        <w:t>‘</w:t>
      </w:r>
      <w:r w:rsidRPr="007E302C">
        <w:rPr>
          <w:rFonts w:ascii="Times New Roman" w:hAnsi="Times New Roman"/>
          <w:sz w:val="24"/>
          <w:szCs w:val="24"/>
        </w:rPr>
        <w:t>my son can't breathe.</w:t>
      </w:r>
      <w:r>
        <w:rPr>
          <w:rFonts w:ascii="Times New Roman" w:hAnsi="Times New Roman"/>
          <w:sz w:val="24"/>
          <w:szCs w:val="24"/>
        </w:rPr>
        <w:t>’</w:t>
      </w:r>
      <w:r w:rsidRPr="007E302C">
        <w:rPr>
          <w:rFonts w:ascii="Times New Roman" w:hAnsi="Times New Roman"/>
          <w:sz w:val="24"/>
          <w:szCs w:val="24"/>
        </w:rPr>
        <w:t xml:space="preserve"> Sampsel had to act-and quickly. Thus, for Sampsel to be liable under a state-created-danger theory, it appears that Plaintiffs must show that she acted with intent to harm Reyes. And if that is the requisite standard, not a shred of evidence supports holding Sampsel liable under the Due Process Clause. Sampsel did not intend to harm Reyes; she intended to help Reyes.</w:t>
      </w:r>
      <w:r>
        <w:rPr>
          <w:rFonts w:ascii="Times New Roman" w:hAnsi="Times New Roman"/>
          <w:sz w:val="24"/>
          <w:szCs w:val="24"/>
        </w:rPr>
        <w:t xml:space="preserve">”  </w:t>
      </w:r>
      <w:hyperlink r:id="rId920" w:history="1">
        <w:r w:rsidRPr="004E63E3">
          <w:rPr>
            <w:rStyle w:val="Hyperlink"/>
            <w:rFonts w:ascii="Times New Roman" w:hAnsi="Times New Roman"/>
            <w:sz w:val="24"/>
            <w:szCs w:val="24"/>
          </w:rPr>
          <w:t>https://casetext.com/case/reyes-v-monroe-cnty</w:t>
        </w:r>
      </w:hyperlink>
    </w:p>
    <w:p w14:paraId="6DEF4233" w14:textId="77777777" w:rsidR="00D43015" w:rsidRPr="00E1552C" w:rsidRDefault="00D43015" w:rsidP="00D43015">
      <w:pPr>
        <w:pStyle w:val="paragraph"/>
        <w:rPr>
          <w:b/>
          <w:bCs/>
        </w:rPr>
      </w:pPr>
      <w:r w:rsidRPr="00E1552C">
        <w:rPr>
          <w:b/>
          <w:bCs/>
        </w:rPr>
        <w:t xml:space="preserve">Legal Lesson Learned: Fortunately, dispatchers </w:t>
      </w:r>
      <w:r>
        <w:rPr>
          <w:b/>
          <w:bCs/>
        </w:rPr>
        <w:t xml:space="preserve">and other emergency responders required to make quick decisions </w:t>
      </w:r>
      <w:r w:rsidRPr="00E1552C">
        <w:rPr>
          <w:b/>
          <w:bCs/>
        </w:rPr>
        <w:t xml:space="preserve">enjoy immunity from Federal </w:t>
      </w:r>
      <w:r>
        <w:rPr>
          <w:b/>
          <w:bCs/>
        </w:rPr>
        <w:t xml:space="preserve">and state claims unless conduct is extremely reckless or </w:t>
      </w:r>
      <w:r w:rsidRPr="00200005">
        <w:rPr>
          <w:b/>
          <w:bCs/>
        </w:rPr>
        <w:t xml:space="preserve">deemed to </w:t>
      </w:r>
      <w:r>
        <w:rPr>
          <w:b/>
          <w:bCs/>
        </w:rPr>
        <w:t>“</w:t>
      </w:r>
      <w:r w:rsidRPr="00200005">
        <w:rPr>
          <w:b/>
          <w:bCs/>
        </w:rPr>
        <w:t>shock the contemporary conscience</w:t>
      </w:r>
      <w:r>
        <w:t>.”</w:t>
      </w:r>
    </w:p>
    <w:p w14:paraId="7519DE12" w14:textId="7C693D9D" w:rsidR="00D43015" w:rsidRDefault="00D43015" w:rsidP="00365F63">
      <w:pPr>
        <w:rPr>
          <w:rStyle w:val="Hyperlink"/>
          <w:rFonts w:ascii="Times New Roman" w:hAnsi="Times New Roman"/>
          <w:sz w:val="24"/>
          <w:szCs w:val="24"/>
        </w:rPr>
      </w:pPr>
    </w:p>
    <w:p w14:paraId="6C6DB195" w14:textId="4742A394" w:rsidR="00D43015" w:rsidRDefault="00D43015" w:rsidP="00365F63">
      <w:pPr>
        <w:rPr>
          <w:rStyle w:val="Hyperlink"/>
          <w:rFonts w:ascii="Times New Roman" w:hAnsi="Times New Roman"/>
          <w:sz w:val="24"/>
          <w:szCs w:val="24"/>
        </w:rPr>
      </w:pPr>
    </w:p>
    <w:p w14:paraId="628A47BE" w14:textId="77777777" w:rsidR="00D43015" w:rsidRDefault="00D43015" w:rsidP="00365F63">
      <w:pPr>
        <w:rPr>
          <w:rStyle w:val="Hyperlink"/>
          <w:rFonts w:ascii="Arial Black" w:hAnsi="Arial Black"/>
          <w:b/>
          <w:color w:val="auto"/>
          <w:sz w:val="24"/>
          <w:szCs w:val="24"/>
          <w:u w:val="none"/>
        </w:rPr>
      </w:pPr>
    </w:p>
    <w:p w14:paraId="65B4AA3D" w14:textId="7DB7CBD3" w:rsidR="0082055F" w:rsidRDefault="0082055F"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4-17</w:t>
      </w:r>
    </w:p>
    <w:p w14:paraId="4776FA1F" w14:textId="77777777" w:rsidR="0082055F" w:rsidRPr="00D431D9" w:rsidRDefault="0082055F" w:rsidP="0082055F">
      <w:pPr>
        <w:spacing w:before="100" w:beforeAutospacing="1" w:after="100" w:afterAutospacing="1" w:line="240" w:lineRule="auto"/>
        <w:rPr>
          <w:rFonts w:ascii="Arial Black" w:hAnsi="Arial Black"/>
          <w:sz w:val="28"/>
          <w:szCs w:val="28"/>
        </w:rPr>
      </w:pPr>
      <w:r>
        <w:rPr>
          <w:rFonts w:ascii="Arial Black" w:hAnsi="Arial Black"/>
          <w:sz w:val="28"/>
          <w:szCs w:val="28"/>
        </w:rPr>
        <w:t>U.S. SUPREME CT – UNANIMOUS - “QUALIFIED IMMUNITY” FOR PD - TWO CASES – HIGH RISK EMERGENCY DECISIONS</w:t>
      </w:r>
    </w:p>
    <w:p w14:paraId="3A664483" w14:textId="77777777" w:rsidR="0082055F" w:rsidRPr="002C43B3" w:rsidRDefault="0082055F" w:rsidP="0082055F">
      <w:pPr>
        <w:spacing w:before="100" w:beforeAutospacing="1" w:after="100" w:afterAutospacing="1" w:line="240" w:lineRule="auto"/>
        <w:rPr>
          <w:rFonts w:ascii="Times New Roman" w:hAnsi="Times New Roman"/>
          <w:sz w:val="24"/>
          <w:szCs w:val="24"/>
        </w:rPr>
      </w:pPr>
      <w:r w:rsidRPr="0065616E">
        <w:rPr>
          <w:rFonts w:ascii="Times New Roman" w:hAnsi="Times New Roman"/>
          <w:sz w:val="24"/>
          <w:szCs w:val="24"/>
        </w:rPr>
        <w:t xml:space="preserve">On </w:t>
      </w:r>
      <w:r>
        <w:rPr>
          <w:rFonts w:ascii="Times New Roman" w:hAnsi="Times New Roman"/>
          <w:sz w:val="24"/>
          <w:szCs w:val="24"/>
        </w:rPr>
        <w:t xml:space="preserve">Oct. 18, 2021, the U.S. Supreme Court, issued summary dispositions (9 to 0; two per curiam opinions – not authored by a single Justice) dismissing two lawsuits against police officers </w:t>
      </w:r>
      <w:proofErr w:type="gramStart"/>
      <w:r>
        <w:rPr>
          <w:rFonts w:ascii="Times New Roman" w:hAnsi="Times New Roman"/>
          <w:sz w:val="24"/>
          <w:szCs w:val="24"/>
        </w:rPr>
        <w:t>on the basis of</w:t>
      </w:r>
      <w:proofErr w:type="gramEnd"/>
      <w:r>
        <w:rPr>
          <w:rFonts w:ascii="Times New Roman" w:hAnsi="Times New Roman"/>
          <w:sz w:val="24"/>
          <w:szCs w:val="24"/>
        </w:rPr>
        <w:t xml:space="preserve"> “qualified immunity.” The Court unanimously reversed the 9</w:t>
      </w:r>
      <w:r w:rsidRPr="00D427A9">
        <w:rPr>
          <w:rFonts w:ascii="Times New Roman" w:hAnsi="Times New Roman"/>
          <w:sz w:val="24"/>
          <w:szCs w:val="24"/>
          <w:vertAlign w:val="superscript"/>
        </w:rPr>
        <w:t>th</w:t>
      </w:r>
      <w:r>
        <w:rPr>
          <w:rFonts w:ascii="Times New Roman" w:hAnsi="Times New Roman"/>
          <w:sz w:val="24"/>
          <w:szCs w:val="24"/>
        </w:rPr>
        <w:t xml:space="preserve"> Circuit in one case, and the 10</w:t>
      </w:r>
      <w:r w:rsidRPr="00D427A9">
        <w:rPr>
          <w:rFonts w:ascii="Times New Roman" w:hAnsi="Times New Roman"/>
          <w:sz w:val="24"/>
          <w:szCs w:val="24"/>
          <w:vertAlign w:val="superscript"/>
        </w:rPr>
        <w:t>th</w:t>
      </w:r>
      <w:r>
        <w:rPr>
          <w:rFonts w:ascii="Times New Roman" w:hAnsi="Times New Roman"/>
          <w:sz w:val="24"/>
          <w:szCs w:val="24"/>
        </w:rPr>
        <w:t xml:space="preserve"> Circuit in another, ordering lawsuits against the police officers be dismissed.  “</w:t>
      </w:r>
      <w:r w:rsidRPr="002C43B3">
        <w:rPr>
          <w:rStyle w:val="markedcontent"/>
          <w:rFonts w:ascii="Times New Roman" w:hAnsi="Times New Roman"/>
          <w:sz w:val="24"/>
          <w:szCs w:val="24"/>
        </w:rPr>
        <w:t>The doctrine of qualified immunity shields officers from</w:t>
      </w:r>
      <w:r>
        <w:rPr>
          <w:rStyle w:val="markedcontent"/>
          <w:rFonts w:ascii="Times New Roman" w:hAnsi="Times New Roman"/>
          <w:sz w:val="24"/>
          <w:szCs w:val="24"/>
        </w:rPr>
        <w:t xml:space="preserve"> </w:t>
      </w:r>
      <w:r w:rsidRPr="002C43B3">
        <w:rPr>
          <w:rStyle w:val="markedcontent"/>
          <w:rFonts w:ascii="Times New Roman" w:hAnsi="Times New Roman"/>
          <w:sz w:val="24"/>
          <w:szCs w:val="24"/>
        </w:rPr>
        <w:t xml:space="preserve">civil liability so long as their conduct </w:t>
      </w:r>
      <w:r>
        <w:rPr>
          <w:rStyle w:val="markedcontent"/>
          <w:rFonts w:ascii="Times New Roman" w:hAnsi="Times New Roman"/>
          <w:sz w:val="24"/>
          <w:szCs w:val="24"/>
        </w:rPr>
        <w:t>‘</w:t>
      </w:r>
      <w:r w:rsidRPr="002C43B3">
        <w:rPr>
          <w:rStyle w:val="markedcontent"/>
          <w:rFonts w:ascii="Times New Roman" w:hAnsi="Times New Roman"/>
          <w:sz w:val="24"/>
          <w:szCs w:val="24"/>
        </w:rPr>
        <w:t>does not violate clearly established statutory or constitutional rights of</w:t>
      </w:r>
      <w:r>
        <w:rPr>
          <w:rStyle w:val="markedcontent"/>
          <w:rFonts w:ascii="Times New Roman" w:hAnsi="Times New Roman"/>
          <w:sz w:val="24"/>
          <w:szCs w:val="24"/>
        </w:rPr>
        <w:t xml:space="preserve"> </w:t>
      </w:r>
      <w:r w:rsidRPr="002C43B3">
        <w:rPr>
          <w:rStyle w:val="markedcontent"/>
          <w:rFonts w:ascii="Times New Roman" w:hAnsi="Times New Roman"/>
          <w:sz w:val="24"/>
          <w:szCs w:val="24"/>
        </w:rPr>
        <w:t>which a reasonable person would have known.</w:t>
      </w:r>
      <w:r>
        <w:rPr>
          <w:rStyle w:val="markedcontent"/>
          <w:rFonts w:ascii="Times New Roman" w:hAnsi="Times New Roman"/>
          <w:sz w:val="24"/>
          <w:szCs w:val="24"/>
        </w:rPr>
        <w:t>’</w:t>
      </w:r>
      <w:r w:rsidRPr="002C43B3">
        <w:rPr>
          <w:rStyle w:val="markedcontent"/>
          <w:rFonts w:ascii="Times New Roman" w:hAnsi="Times New Roman"/>
          <w:sz w:val="24"/>
          <w:szCs w:val="24"/>
        </w:rPr>
        <w:t xml:space="preserve"> Pearson v. Callahan, 555 U. S. 223, 231 (2009)</w:t>
      </w:r>
      <w:r>
        <w:rPr>
          <w:rStyle w:val="markedcontent"/>
          <w:rFonts w:ascii="Times New Roman" w:hAnsi="Times New Roman"/>
          <w:sz w:val="24"/>
          <w:szCs w:val="24"/>
        </w:rPr>
        <w:t xml:space="preserve">. </w:t>
      </w:r>
      <w:hyperlink r:id="rId921" w:history="1">
        <w:r w:rsidRPr="00ED2C8C">
          <w:rPr>
            <w:rStyle w:val="Hyperlink"/>
            <w:sz w:val="24"/>
            <w:szCs w:val="24"/>
          </w:rPr>
          <w:t>https://www.supremecourt.gov/opinions/21pdf/20-1668_19m2.pdf</w:t>
        </w:r>
      </w:hyperlink>
      <w:r>
        <w:rPr>
          <w:rStyle w:val="markedcontent"/>
          <w:rFonts w:ascii="Times New Roman" w:hAnsi="Times New Roman"/>
          <w:sz w:val="24"/>
          <w:szCs w:val="24"/>
        </w:rPr>
        <w:t xml:space="preserve"> </w:t>
      </w:r>
    </w:p>
    <w:p w14:paraId="005F39D9" w14:textId="77777777" w:rsidR="0082055F" w:rsidRDefault="0082055F" w:rsidP="0082055F">
      <w:pPr>
        <w:spacing w:before="100" w:beforeAutospacing="1" w:after="100" w:afterAutospacing="1" w:line="240" w:lineRule="auto"/>
        <w:ind w:left="720"/>
        <w:rPr>
          <w:rStyle w:val="markedcontent"/>
          <w:rFonts w:ascii="Times New Roman" w:hAnsi="Times New Roman"/>
          <w:sz w:val="24"/>
          <w:szCs w:val="24"/>
        </w:rPr>
      </w:pPr>
      <w:r w:rsidRPr="002C43B3">
        <w:rPr>
          <w:rStyle w:val="markedcontent"/>
          <w:rFonts w:ascii="Times New Roman" w:hAnsi="Times New Roman"/>
          <w:sz w:val="24"/>
          <w:szCs w:val="24"/>
          <w:u w:val="single"/>
        </w:rPr>
        <w:t>DANIEL RIVAS-VILLEGAS v. RAMON CORTESLUNA</w:t>
      </w:r>
      <w:r w:rsidRPr="003065D4">
        <w:rPr>
          <w:rStyle w:val="markedcontent"/>
          <w:rFonts w:ascii="Times New Roman" w:hAnsi="Times New Roman"/>
          <w:sz w:val="24"/>
          <w:szCs w:val="24"/>
        </w:rPr>
        <w:t xml:space="preserve">: </w:t>
      </w:r>
      <w:hyperlink r:id="rId922" w:history="1">
        <w:r w:rsidRPr="003065D4">
          <w:rPr>
            <w:rStyle w:val="Hyperlink"/>
            <w:sz w:val="24"/>
            <w:szCs w:val="24"/>
          </w:rPr>
          <w:t>https://www.supremecourt.gov/opinions/21pdf/20-1539_09m1.pdf</w:t>
        </w:r>
      </w:hyperlink>
      <w:r w:rsidRPr="003065D4">
        <w:rPr>
          <w:rStyle w:val="markedcontent"/>
          <w:rFonts w:ascii="Times New Roman" w:hAnsi="Times New Roman"/>
          <w:sz w:val="24"/>
          <w:szCs w:val="24"/>
        </w:rPr>
        <w:t xml:space="preserve"> </w:t>
      </w:r>
    </w:p>
    <w:p w14:paraId="603AEEA8" w14:textId="77777777" w:rsidR="0082055F" w:rsidRDefault="0082055F" w:rsidP="0082055F">
      <w:pPr>
        <w:spacing w:before="100" w:beforeAutospacing="1" w:after="100" w:afterAutospacing="1" w:line="240" w:lineRule="auto"/>
        <w:ind w:left="720"/>
        <w:rPr>
          <w:rStyle w:val="markedcontent"/>
          <w:rFonts w:ascii="Times New Roman" w:hAnsi="Times New Roman"/>
          <w:sz w:val="24"/>
          <w:szCs w:val="24"/>
        </w:rPr>
      </w:pPr>
      <w:r>
        <w:rPr>
          <w:rStyle w:val="markedcontent"/>
          <w:rFonts w:ascii="Times New Roman" w:hAnsi="Times New Roman"/>
          <w:sz w:val="24"/>
          <w:szCs w:val="24"/>
        </w:rPr>
        <w:t>“</w:t>
      </w:r>
      <w:r w:rsidRPr="003065D4">
        <w:rPr>
          <w:rStyle w:val="markedcontent"/>
          <w:rFonts w:ascii="Times New Roman" w:hAnsi="Times New Roman"/>
          <w:sz w:val="24"/>
          <w:szCs w:val="24"/>
        </w:rPr>
        <w:t>Plaintiff stopped 10 to 11 feet</w:t>
      </w:r>
      <w:r>
        <w:rPr>
          <w:rStyle w:val="markedcontent"/>
          <w:rFonts w:ascii="Times New Roman" w:hAnsi="Times New Roman"/>
          <w:sz w:val="24"/>
          <w:szCs w:val="24"/>
        </w:rPr>
        <w:t xml:space="preserve"> </w:t>
      </w:r>
      <w:r w:rsidRPr="003065D4">
        <w:rPr>
          <w:rStyle w:val="markedcontent"/>
          <w:rFonts w:ascii="Times New Roman" w:hAnsi="Times New Roman"/>
          <w:sz w:val="24"/>
          <w:szCs w:val="24"/>
        </w:rPr>
        <w:t>from the officers. Another officer then saw a knife sticking</w:t>
      </w:r>
      <w:r>
        <w:rPr>
          <w:rStyle w:val="markedcontent"/>
          <w:rFonts w:ascii="Times New Roman" w:hAnsi="Times New Roman"/>
          <w:sz w:val="24"/>
          <w:szCs w:val="24"/>
        </w:rPr>
        <w:t xml:space="preserve"> </w:t>
      </w:r>
      <w:r w:rsidRPr="003065D4">
        <w:rPr>
          <w:rStyle w:val="markedcontent"/>
          <w:rFonts w:ascii="Times New Roman" w:hAnsi="Times New Roman"/>
          <w:sz w:val="24"/>
          <w:szCs w:val="24"/>
        </w:rPr>
        <w:t xml:space="preserve">out from the front left pocket of </w:t>
      </w:r>
      <w:proofErr w:type="spellStart"/>
      <w:r w:rsidRPr="003065D4">
        <w:rPr>
          <w:rStyle w:val="markedcontent"/>
          <w:rFonts w:ascii="Times New Roman" w:hAnsi="Times New Roman"/>
          <w:sz w:val="24"/>
          <w:szCs w:val="24"/>
        </w:rPr>
        <w:t>Cortesluna’s</w:t>
      </w:r>
      <w:proofErr w:type="spellEnd"/>
      <w:r w:rsidRPr="003065D4">
        <w:rPr>
          <w:rStyle w:val="markedcontent"/>
          <w:rFonts w:ascii="Times New Roman" w:hAnsi="Times New Roman"/>
          <w:sz w:val="24"/>
          <w:szCs w:val="24"/>
        </w:rPr>
        <w:t xml:space="preserve"> pants and</w:t>
      </w:r>
      <w:r>
        <w:rPr>
          <w:rStyle w:val="markedcontent"/>
          <w:rFonts w:ascii="Times New Roman" w:hAnsi="Times New Roman"/>
          <w:sz w:val="24"/>
          <w:szCs w:val="24"/>
        </w:rPr>
        <w:t xml:space="preserve"> </w:t>
      </w:r>
      <w:r w:rsidRPr="003065D4">
        <w:rPr>
          <w:rStyle w:val="markedcontent"/>
          <w:rFonts w:ascii="Times New Roman" w:hAnsi="Times New Roman"/>
          <w:sz w:val="24"/>
          <w:szCs w:val="24"/>
        </w:rPr>
        <w:t xml:space="preserve">shouted, ‘he has a knife in his left pocket, knife in his pocket,’ and directed </w:t>
      </w:r>
      <w:proofErr w:type="spellStart"/>
      <w:r w:rsidRPr="003065D4">
        <w:rPr>
          <w:rStyle w:val="markedcontent"/>
          <w:rFonts w:ascii="Times New Roman" w:hAnsi="Times New Roman"/>
          <w:sz w:val="24"/>
          <w:szCs w:val="24"/>
        </w:rPr>
        <w:t>Cortesluna</w:t>
      </w:r>
      <w:proofErr w:type="spellEnd"/>
      <w:r w:rsidRPr="003065D4">
        <w:rPr>
          <w:rStyle w:val="markedcontent"/>
          <w:rFonts w:ascii="Times New Roman" w:hAnsi="Times New Roman"/>
          <w:sz w:val="24"/>
          <w:szCs w:val="24"/>
        </w:rPr>
        <w:t xml:space="preserve">, ‘don’t put your hands </w:t>
      </w:r>
      <w:r w:rsidRPr="003065D4">
        <w:rPr>
          <w:rFonts w:ascii="Times New Roman" w:hAnsi="Times New Roman"/>
          <w:sz w:val="24"/>
          <w:szCs w:val="24"/>
        </w:rPr>
        <w:br/>
      </w:r>
      <w:r w:rsidRPr="003065D4">
        <w:rPr>
          <w:rStyle w:val="markedcontent"/>
          <w:rFonts w:ascii="Times New Roman" w:hAnsi="Times New Roman"/>
          <w:sz w:val="24"/>
          <w:szCs w:val="24"/>
        </w:rPr>
        <w:t>down,’ ‘hands up</w:t>
      </w:r>
      <w:r>
        <w:rPr>
          <w:rStyle w:val="markedcontent"/>
          <w:rFonts w:ascii="Times New Roman" w:hAnsi="Times New Roman"/>
          <w:sz w:val="24"/>
          <w:szCs w:val="24"/>
        </w:rPr>
        <w:t xml:space="preserve">….’ </w:t>
      </w:r>
      <w:proofErr w:type="spellStart"/>
      <w:r w:rsidRPr="003065D4">
        <w:rPr>
          <w:rStyle w:val="markedcontent"/>
          <w:rFonts w:ascii="Times New Roman" w:hAnsi="Times New Roman"/>
          <w:sz w:val="24"/>
          <w:szCs w:val="24"/>
        </w:rPr>
        <w:t>Cortesluna</w:t>
      </w:r>
      <w:proofErr w:type="spellEnd"/>
      <w:r w:rsidRPr="003065D4">
        <w:rPr>
          <w:rStyle w:val="markedcontent"/>
          <w:rFonts w:ascii="Times New Roman" w:hAnsi="Times New Roman"/>
          <w:sz w:val="24"/>
          <w:szCs w:val="24"/>
        </w:rPr>
        <w:t xml:space="preserve"> turned his head toward the instructing officer but then lowered his head and his hands in contravention of the officer’s orders. Another officer twice shot </w:t>
      </w:r>
      <w:proofErr w:type="spellStart"/>
      <w:r w:rsidRPr="003065D4">
        <w:rPr>
          <w:rStyle w:val="markedcontent"/>
          <w:rFonts w:ascii="Times New Roman" w:hAnsi="Times New Roman"/>
          <w:sz w:val="24"/>
          <w:szCs w:val="24"/>
        </w:rPr>
        <w:t>Cortesluna</w:t>
      </w:r>
      <w:proofErr w:type="spellEnd"/>
      <w:r w:rsidRPr="003065D4">
        <w:rPr>
          <w:rStyle w:val="markedcontent"/>
          <w:rFonts w:ascii="Times New Roman" w:hAnsi="Times New Roman"/>
          <w:sz w:val="24"/>
          <w:szCs w:val="24"/>
        </w:rPr>
        <w:t xml:space="preserve"> with a </w:t>
      </w:r>
      <w:proofErr w:type="gramStart"/>
      <w:r w:rsidRPr="003065D4">
        <w:rPr>
          <w:rStyle w:val="markedcontent"/>
          <w:rFonts w:ascii="Times New Roman" w:hAnsi="Times New Roman"/>
          <w:sz w:val="24"/>
          <w:szCs w:val="24"/>
        </w:rPr>
        <w:t>bean-bag</w:t>
      </w:r>
      <w:proofErr w:type="gramEnd"/>
      <w:r w:rsidRPr="003065D4">
        <w:rPr>
          <w:rStyle w:val="markedcontent"/>
          <w:rFonts w:ascii="Times New Roman" w:hAnsi="Times New Roman"/>
          <w:sz w:val="24"/>
          <w:szCs w:val="24"/>
        </w:rPr>
        <w:t xml:space="preserve"> round from his shotgun, once in the lower stomach and</w:t>
      </w:r>
      <w:r>
        <w:rPr>
          <w:rStyle w:val="markedcontent"/>
          <w:rFonts w:ascii="Times New Roman" w:hAnsi="Times New Roman"/>
          <w:sz w:val="24"/>
          <w:szCs w:val="24"/>
        </w:rPr>
        <w:t xml:space="preserve"> </w:t>
      </w:r>
      <w:r w:rsidRPr="003065D4">
        <w:rPr>
          <w:rStyle w:val="markedcontent"/>
          <w:rFonts w:ascii="Times New Roman" w:hAnsi="Times New Roman"/>
          <w:sz w:val="24"/>
          <w:szCs w:val="24"/>
        </w:rPr>
        <w:t>once in the left hip.</w:t>
      </w:r>
      <w:r>
        <w:rPr>
          <w:rStyle w:val="markedcontent"/>
          <w:rFonts w:ascii="Times New Roman" w:hAnsi="Times New Roman"/>
          <w:sz w:val="24"/>
          <w:szCs w:val="24"/>
        </w:rPr>
        <w:t xml:space="preserve"> </w:t>
      </w:r>
      <w:r w:rsidRPr="002C43B3">
        <w:rPr>
          <w:rStyle w:val="markedcontent"/>
          <w:rFonts w:ascii="Times New Roman" w:hAnsi="Times New Roman"/>
          <w:sz w:val="24"/>
          <w:szCs w:val="24"/>
        </w:rPr>
        <w:t xml:space="preserve">*** </w:t>
      </w:r>
      <w:r>
        <w:rPr>
          <w:rStyle w:val="markedcontent"/>
          <w:rFonts w:ascii="Times New Roman" w:hAnsi="Times New Roman"/>
          <w:sz w:val="24"/>
          <w:szCs w:val="24"/>
        </w:rPr>
        <w:t xml:space="preserve">[Officer] </w:t>
      </w:r>
      <w:r w:rsidRPr="002C43B3">
        <w:rPr>
          <w:rStyle w:val="markedcontent"/>
          <w:rFonts w:ascii="Times New Roman" w:hAnsi="Times New Roman"/>
          <w:sz w:val="24"/>
          <w:szCs w:val="24"/>
        </w:rPr>
        <w:t xml:space="preserve">Rivas-Villegas then straddled </w:t>
      </w:r>
      <w:proofErr w:type="spellStart"/>
      <w:r w:rsidRPr="002C43B3">
        <w:rPr>
          <w:rStyle w:val="markedcontent"/>
          <w:rFonts w:ascii="Times New Roman" w:hAnsi="Times New Roman"/>
          <w:sz w:val="24"/>
          <w:szCs w:val="24"/>
        </w:rPr>
        <w:t>Cortesluna</w:t>
      </w:r>
      <w:proofErr w:type="spellEnd"/>
      <w:r w:rsidRPr="002C43B3">
        <w:rPr>
          <w:rStyle w:val="markedcontent"/>
          <w:rFonts w:ascii="Times New Roman" w:hAnsi="Times New Roman"/>
          <w:sz w:val="24"/>
          <w:szCs w:val="24"/>
        </w:rPr>
        <w:t xml:space="preserve">. He </w:t>
      </w:r>
      <w:r>
        <w:rPr>
          <w:rStyle w:val="markedcontent"/>
          <w:rFonts w:ascii="Times New Roman" w:hAnsi="Times New Roman"/>
          <w:sz w:val="24"/>
          <w:szCs w:val="24"/>
        </w:rPr>
        <w:t>p</w:t>
      </w:r>
      <w:r w:rsidRPr="002C43B3">
        <w:rPr>
          <w:rStyle w:val="markedcontent"/>
          <w:rFonts w:ascii="Times New Roman" w:hAnsi="Times New Roman"/>
          <w:sz w:val="24"/>
          <w:szCs w:val="24"/>
        </w:rPr>
        <w:t xml:space="preserve">laced his right foot on the ground next to </w:t>
      </w:r>
      <w:proofErr w:type="spellStart"/>
      <w:r w:rsidRPr="002C43B3">
        <w:rPr>
          <w:rStyle w:val="markedcontent"/>
          <w:rFonts w:ascii="Times New Roman" w:hAnsi="Times New Roman"/>
          <w:sz w:val="24"/>
          <w:szCs w:val="24"/>
        </w:rPr>
        <w:t>Cortesluna’s</w:t>
      </w:r>
      <w:proofErr w:type="spellEnd"/>
      <w:r>
        <w:rPr>
          <w:rStyle w:val="markedcontent"/>
          <w:rFonts w:ascii="Times New Roman" w:hAnsi="Times New Roman"/>
          <w:sz w:val="24"/>
          <w:szCs w:val="24"/>
        </w:rPr>
        <w:t xml:space="preserve"> </w:t>
      </w:r>
      <w:r w:rsidRPr="002C43B3">
        <w:rPr>
          <w:rStyle w:val="markedcontent"/>
          <w:rFonts w:ascii="Times New Roman" w:hAnsi="Times New Roman"/>
          <w:sz w:val="24"/>
          <w:szCs w:val="24"/>
        </w:rPr>
        <w:t>right side with his right leg bent at the knee. He placed his</w:t>
      </w:r>
      <w:r>
        <w:rPr>
          <w:rStyle w:val="markedcontent"/>
          <w:rFonts w:ascii="Times New Roman" w:hAnsi="Times New Roman"/>
          <w:sz w:val="24"/>
          <w:szCs w:val="24"/>
        </w:rPr>
        <w:t xml:space="preserve"> </w:t>
      </w:r>
      <w:r w:rsidRPr="002C43B3">
        <w:rPr>
          <w:rStyle w:val="markedcontent"/>
          <w:rFonts w:ascii="Times New Roman" w:hAnsi="Times New Roman"/>
          <w:sz w:val="24"/>
          <w:szCs w:val="24"/>
        </w:rPr>
        <w:t xml:space="preserve">left knee on the left side of </w:t>
      </w:r>
      <w:proofErr w:type="spellStart"/>
      <w:r w:rsidRPr="002C43B3">
        <w:rPr>
          <w:rStyle w:val="markedcontent"/>
          <w:rFonts w:ascii="Times New Roman" w:hAnsi="Times New Roman"/>
          <w:sz w:val="24"/>
          <w:szCs w:val="24"/>
        </w:rPr>
        <w:t>Cortesluna’s</w:t>
      </w:r>
      <w:proofErr w:type="spellEnd"/>
      <w:r w:rsidRPr="002C43B3">
        <w:rPr>
          <w:rStyle w:val="markedcontent"/>
          <w:rFonts w:ascii="Times New Roman" w:hAnsi="Times New Roman"/>
          <w:sz w:val="24"/>
          <w:szCs w:val="24"/>
        </w:rPr>
        <w:t xml:space="preserve"> back, near where </w:t>
      </w:r>
      <w:r w:rsidRPr="002C43B3">
        <w:rPr>
          <w:rFonts w:ascii="Times New Roman" w:hAnsi="Times New Roman"/>
          <w:sz w:val="24"/>
          <w:szCs w:val="24"/>
        </w:rPr>
        <w:br/>
      </w:r>
      <w:proofErr w:type="spellStart"/>
      <w:r w:rsidRPr="002C43B3">
        <w:rPr>
          <w:rStyle w:val="markedcontent"/>
          <w:rFonts w:ascii="Times New Roman" w:hAnsi="Times New Roman"/>
          <w:sz w:val="24"/>
          <w:szCs w:val="24"/>
        </w:rPr>
        <w:t>Cortesluna</w:t>
      </w:r>
      <w:proofErr w:type="spellEnd"/>
      <w:r w:rsidRPr="002C43B3">
        <w:rPr>
          <w:rStyle w:val="markedcontent"/>
          <w:rFonts w:ascii="Times New Roman" w:hAnsi="Times New Roman"/>
          <w:sz w:val="24"/>
          <w:szCs w:val="24"/>
        </w:rPr>
        <w:t xml:space="preserve"> had a knife in his pocket. He raised both of </w:t>
      </w:r>
      <w:proofErr w:type="spellStart"/>
      <w:r w:rsidRPr="002C43B3">
        <w:rPr>
          <w:rStyle w:val="markedcontent"/>
          <w:rFonts w:ascii="Times New Roman" w:hAnsi="Times New Roman"/>
          <w:sz w:val="24"/>
          <w:szCs w:val="24"/>
        </w:rPr>
        <w:t>Cortesluna’s</w:t>
      </w:r>
      <w:proofErr w:type="spellEnd"/>
      <w:r w:rsidRPr="002C43B3">
        <w:rPr>
          <w:rStyle w:val="markedcontent"/>
          <w:rFonts w:ascii="Times New Roman" w:hAnsi="Times New Roman"/>
          <w:sz w:val="24"/>
          <w:szCs w:val="24"/>
        </w:rPr>
        <w:t xml:space="preserve"> arms up behind his back. Rivas-Villegas was in</w:t>
      </w:r>
      <w:r>
        <w:rPr>
          <w:rStyle w:val="markedcontent"/>
          <w:rFonts w:ascii="Times New Roman" w:hAnsi="Times New Roman"/>
          <w:sz w:val="24"/>
          <w:szCs w:val="24"/>
        </w:rPr>
        <w:t xml:space="preserve"> </w:t>
      </w:r>
      <w:r w:rsidRPr="002C43B3">
        <w:rPr>
          <w:rStyle w:val="markedcontent"/>
          <w:rFonts w:ascii="Times New Roman" w:hAnsi="Times New Roman"/>
          <w:sz w:val="24"/>
          <w:szCs w:val="24"/>
        </w:rPr>
        <w:t xml:space="preserve">this position for no more than eight seconds before standing </w:t>
      </w:r>
      <w:r w:rsidRPr="002C43B3">
        <w:rPr>
          <w:rFonts w:ascii="Times New Roman" w:hAnsi="Times New Roman"/>
          <w:sz w:val="24"/>
          <w:szCs w:val="24"/>
        </w:rPr>
        <w:br/>
      </w:r>
      <w:r w:rsidRPr="002C43B3">
        <w:rPr>
          <w:rStyle w:val="markedcontent"/>
          <w:rFonts w:ascii="Times New Roman" w:hAnsi="Times New Roman"/>
          <w:sz w:val="24"/>
          <w:szCs w:val="24"/>
        </w:rPr>
        <w:t xml:space="preserve">up while continuing to hold </w:t>
      </w:r>
      <w:proofErr w:type="spellStart"/>
      <w:r w:rsidRPr="002C43B3">
        <w:rPr>
          <w:rStyle w:val="markedcontent"/>
          <w:rFonts w:ascii="Times New Roman" w:hAnsi="Times New Roman"/>
          <w:sz w:val="24"/>
          <w:szCs w:val="24"/>
        </w:rPr>
        <w:t>Cortesluna’s</w:t>
      </w:r>
      <w:proofErr w:type="spellEnd"/>
      <w:r w:rsidRPr="002C43B3">
        <w:rPr>
          <w:rStyle w:val="markedcontent"/>
          <w:rFonts w:ascii="Times New Roman" w:hAnsi="Times New Roman"/>
          <w:sz w:val="24"/>
          <w:szCs w:val="24"/>
        </w:rPr>
        <w:t xml:space="preserve"> arms</w:t>
      </w:r>
      <w:r>
        <w:rPr>
          <w:rStyle w:val="markedcontent"/>
          <w:rFonts w:ascii="Times New Roman" w:hAnsi="Times New Roman"/>
          <w:sz w:val="24"/>
          <w:szCs w:val="24"/>
        </w:rPr>
        <w:t xml:space="preserve">.” </w:t>
      </w:r>
    </w:p>
    <w:p w14:paraId="4FE27F0B" w14:textId="77777777" w:rsidR="0082055F" w:rsidRPr="002C43B3" w:rsidRDefault="0082055F" w:rsidP="0082055F">
      <w:pPr>
        <w:spacing w:before="100" w:beforeAutospacing="1" w:after="100" w:afterAutospacing="1" w:line="240" w:lineRule="auto"/>
        <w:ind w:left="720"/>
        <w:rPr>
          <w:rStyle w:val="markedcontent"/>
          <w:rFonts w:ascii="Times New Roman" w:hAnsi="Times New Roman"/>
          <w:sz w:val="24"/>
          <w:szCs w:val="24"/>
        </w:rPr>
      </w:pPr>
      <w:r>
        <w:rPr>
          <w:rStyle w:val="markedcontent"/>
          <w:rFonts w:ascii="Times New Roman" w:hAnsi="Times New Roman"/>
          <w:sz w:val="24"/>
          <w:szCs w:val="24"/>
        </w:rPr>
        <w:lastRenderedPageBreak/>
        <w:t>Holding reversing 9</w:t>
      </w:r>
      <w:r w:rsidRPr="00D427A9">
        <w:rPr>
          <w:rStyle w:val="markedcontent"/>
          <w:rFonts w:ascii="Times New Roman" w:hAnsi="Times New Roman"/>
          <w:sz w:val="24"/>
          <w:szCs w:val="24"/>
          <w:vertAlign w:val="superscript"/>
        </w:rPr>
        <w:t>th</w:t>
      </w:r>
      <w:r>
        <w:rPr>
          <w:rStyle w:val="markedcontent"/>
          <w:rFonts w:ascii="Times New Roman" w:hAnsi="Times New Roman"/>
          <w:sz w:val="24"/>
          <w:szCs w:val="24"/>
        </w:rPr>
        <w:t xml:space="preserve"> Circuit: “</w:t>
      </w:r>
      <w:r w:rsidRPr="002C43B3">
        <w:rPr>
          <w:rStyle w:val="markedcontent"/>
          <w:rFonts w:ascii="Times New Roman" w:hAnsi="Times New Roman"/>
          <w:sz w:val="24"/>
          <w:szCs w:val="24"/>
        </w:rPr>
        <w:t xml:space="preserve">On the facts of this case, neither </w:t>
      </w:r>
      <w:r w:rsidRPr="002C43B3">
        <w:rPr>
          <w:rStyle w:val="markedcontent"/>
          <w:rFonts w:ascii="Times New Roman" w:hAnsi="Times New Roman"/>
          <w:sz w:val="24"/>
          <w:szCs w:val="24"/>
          <w:u w:val="single"/>
        </w:rPr>
        <w:t>LaLonde</w:t>
      </w:r>
      <w:r w:rsidRPr="002C43B3">
        <w:rPr>
          <w:rStyle w:val="markedcontent"/>
          <w:rFonts w:ascii="Times New Roman" w:hAnsi="Times New Roman"/>
          <w:sz w:val="24"/>
          <w:szCs w:val="24"/>
        </w:rPr>
        <w:t xml:space="preserve"> nor any decision of this Court is sufficiently similar. For that reason, we grant Rivas-Villegas’ petition for certiorari and reverse the Ninth Circuit’s determination that Rivas-Villegas is not entitled to qualified immunity.</w:t>
      </w:r>
      <w:r>
        <w:rPr>
          <w:rStyle w:val="markedcontent"/>
          <w:rFonts w:ascii="Times New Roman" w:hAnsi="Times New Roman"/>
          <w:sz w:val="24"/>
          <w:szCs w:val="24"/>
        </w:rPr>
        <w:t>”</w:t>
      </w:r>
    </w:p>
    <w:p w14:paraId="3F30B352" w14:textId="77777777" w:rsidR="0082055F" w:rsidRPr="003065D4" w:rsidRDefault="0082055F" w:rsidP="0082055F">
      <w:pPr>
        <w:spacing w:before="100" w:beforeAutospacing="1" w:after="100" w:afterAutospacing="1" w:line="240" w:lineRule="auto"/>
        <w:ind w:left="720"/>
        <w:rPr>
          <w:rFonts w:ascii="Times New Roman" w:hAnsi="Times New Roman"/>
          <w:sz w:val="24"/>
          <w:szCs w:val="24"/>
        </w:rPr>
      </w:pPr>
      <w:r w:rsidRPr="002C43B3">
        <w:rPr>
          <w:rStyle w:val="markedcontent"/>
          <w:rFonts w:ascii="Times New Roman" w:hAnsi="Times New Roman"/>
          <w:sz w:val="24"/>
          <w:szCs w:val="24"/>
          <w:u w:val="single"/>
        </w:rPr>
        <w:t xml:space="preserve">CITY OF TAHLEQUAH, OKLAHOMA, ET AL. v. AUSTIN </w:t>
      </w:r>
      <w:r w:rsidRPr="002C43B3">
        <w:rPr>
          <w:rFonts w:ascii="Times New Roman" w:hAnsi="Times New Roman"/>
          <w:sz w:val="24"/>
          <w:szCs w:val="24"/>
          <w:u w:val="single"/>
        </w:rPr>
        <w:br/>
      </w:r>
      <w:r w:rsidRPr="002C43B3">
        <w:rPr>
          <w:rStyle w:val="markedcontent"/>
          <w:rFonts w:ascii="Times New Roman" w:hAnsi="Times New Roman"/>
          <w:sz w:val="24"/>
          <w:szCs w:val="24"/>
          <w:u w:val="single"/>
        </w:rPr>
        <w:t xml:space="preserve">P. BOND, AS SPECIAL ADMINISTRATOR OF THE ESTATE OF </w:t>
      </w:r>
      <w:r w:rsidRPr="002C43B3">
        <w:rPr>
          <w:rFonts w:ascii="Times New Roman" w:hAnsi="Times New Roman"/>
          <w:sz w:val="24"/>
          <w:szCs w:val="24"/>
          <w:u w:val="single"/>
        </w:rPr>
        <w:br/>
      </w:r>
      <w:r w:rsidRPr="002C43B3">
        <w:rPr>
          <w:rStyle w:val="markedcontent"/>
          <w:rFonts w:ascii="Times New Roman" w:hAnsi="Times New Roman"/>
          <w:sz w:val="24"/>
          <w:szCs w:val="24"/>
          <w:u w:val="single"/>
        </w:rPr>
        <w:t>DOMINIC F. ROLLICE, DECEASED</w:t>
      </w:r>
      <w:r w:rsidRPr="003065D4">
        <w:rPr>
          <w:rStyle w:val="markedcontent"/>
          <w:rFonts w:ascii="Times New Roman" w:hAnsi="Times New Roman"/>
          <w:sz w:val="24"/>
          <w:szCs w:val="24"/>
        </w:rPr>
        <w:t xml:space="preserve">: </w:t>
      </w:r>
      <w:hyperlink r:id="rId923" w:history="1">
        <w:r w:rsidRPr="003065D4">
          <w:rPr>
            <w:rStyle w:val="Hyperlink"/>
            <w:sz w:val="24"/>
            <w:szCs w:val="24"/>
          </w:rPr>
          <w:t>https://www.supremecourt.gov/opinions/21pdf/20-1668_19m2.pdf</w:t>
        </w:r>
      </w:hyperlink>
      <w:r w:rsidRPr="003065D4">
        <w:rPr>
          <w:rFonts w:ascii="Times New Roman" w:hAnsi="Times New Roman"/>
          <w:sz w:val="24"/>
          <w:szCs w:val="24"/>
        </w:rPr>
        <w:t xml:space="preserve"> </w:t>
      </w:r>
    </w:p>
    <w:p w14:paraId="4A5C20F6" w14:textId="77777777" w:rsidR="0082055F" w:rsidRDefault="0082055F" w:rsidP="0082055F">
      <w:pPr>
        <w:spacing w:before="100" w:beforeAutospacing="1" w:after="100" w:afterAutospacing="1" w:line="240" w:lineRule="auto"/>
        <w:ind w:left="720"/>
        <w:rPr>
          <w:rStyle w:val="markedcontent"/>
          <w:rFonts w:ascii="Times New Roman" w:hAnsi="Times New Roman"/>
          <w:sz w:val="24"/>
          <w:szCs w:val="24"/>
        </w:rPr>
      </w:pPr>
      <w:r>
        <w:rPr>
          <w:rStyle w:val="markedcontent"/>
          <w:rFonts w:ascii="Times New Roman" w:hAnsi="Times New Roman"/>
          <w:sz w:val="24"/>
          <w:szCs w:val="24"/>
        </w:rPr>
        <w:t>“</w:t>
      </w:r>
      <w:r w:rsidRPr="003065D4">
        <w:rPr>
          <w:rStyle w:val="markedcontent"/>
          <w:rFonts w:ascii="Times New Roman" w:hAnsi="Times New Roman"/>
          <w:sz w:val="24"/>
          <w:szCs w:val="24"/>
        </w:rPr>
        <w:t>At this point the video is no longer</w:t>
      </w:r>
      <w:r>
        <w:rPr>
          <w:rStyle w:val="markedcontent"/>
          <w:rFonts w:ascii="Times New Roman" w:hAnsi="Times New Roman"/>
          <w:sz w:val="24"/>
          <w:szCs w:val="24"/>
        </w:rPr>
        <w:t xml:space="preserve"> </w:t>
      </w:r>
      <w:r w:rsidRPr="003065D4">
        <w:rPr>
          <w:rStyle w:val="markedcontent"/>
          <w:rFonts w:ascii="Times New Roman" w:hAnsi="Times New Roman"/>
          <w:sz w:val="24"/>
          <w:szCs w:val="24"/>
        </w:rPr>
        <w:t xml:space="preserve">silent, and the officers can be heard yelling at </w:t>
      </w:r>
      <w:proofErr w:type="spellStart"/>
      <w:r w:rsidRPr="003065D4">
        <w:rPr>
          <w:rStyle w:val="markedcontent"/>
          <w:rFonts w:ascii="Times New Roman" w:hAnsi="Times New Roman"/>
          <w:sz w:val="24"/>
          <w:szCs w:val="24"/>
        </w:rPr>
        <w:t>Rollice</w:t>
      </w:r>
      <w:proofErr w:type="spellEnd"/>
      <w:r w:rsidRPr="003065D4">
        <w:rPr>
          <w:rStyle w:val="markedcontent"/>
          <w:rFonts w:ascii="Times New Roman" w:hAnsi="Times New Roman"/>
          <w:sz w:val="24"/>
          <w:szCs w:val="24"/>
        </w:rPr>
        <w:t xml:space="preserve"> to drop the hammer.</w:t>
      </w:r>
      <w:r>
        <w:rPr>
          <w:rStyle w:val="markedcontent"/>
          <w:rFonts w:ascii="Times New Roman" w:hAnsi="Times New Roman"/>
          <w:sz w:val="24"/>
          <w:szCs w:val="24"/>
        </w:rPr>
        <w:t xml:space="preserve"> </w:t>
      </w:r>
      <w:r w:rsidRPr="003065D4">
        <w:rPr>
          <w:rStyle w:val="markedcontent"/>
          <w:rFonts w:ascii="Times New Roman" w:hAnsi="Times New Roman"/>
          <w:sz w:val="24"/>
          <w:szCs w:val="24"/>
        </w:rPr>
        <w:t xml:space="preserve">He did not. Instead, </w:t>
      </w:r>
      <w:proofErr w:type="spellStart"/>
      <w:r w:rsidRPr="003065D4">
        <w:rPr>
          <w:rStyle w:val="markedcontent"/>
          <w:rFonts w:ascii="Times New Roman" w:hAnsi="Times New Roman"/>
          <w:sz w:val="24"/>
          <w:szCs w:val="24"/>
        </w:rPr>
        <w:t>Rollice</w:t>
      </w:r>
      <w:proofErr w:type="spellEnd"/>
      <w:r w:rsidRPr="003065D4">
        <w:rPr>
          <w:rStyle w:val="markedcontent"/>
          <w:rFonts w:ascii="Times New Roman" w:hAnsi="Times New Roman"/>
          <w:sz w:val="24"/>
          <w:szCs w:val="24"/>
        </w:rPr>
        <w:t xml:space="preserve"> took a few steps to his right, coming out from behind a piece of furniture so that he had an unobstructed path to Officer Girdner. He then raised the hammer higher back behind his head and took a stance as if he was about to throw the hammer or charge at the officers. In response, Officers Girdner and Vick fired their weapons, killing </w:t>
      </w:r>
      <w:proofErr w:type="spellStart"/>
      <w:r w:rsidRPr="003065D4">
        <w:rPr>
          <w:rStyle w:val="markedcontent"/>
          <w:rFonts w:ascii="Times New Roman" w:hAnsi="Times New Roman"/>
          <w:sz w:val="24"/>
          <w:szCs w:val="24"/>
        </w:rPr>
        <w:t>Rollice</w:t>
      </w:r>
      <w:proofErr w:type="spellEnd"/>
      <w:r w:rsidRPr="003065D4">
        <w:rPr>
          <w:rStyle w:val="markedcontent"/>
          <w:rFonts w:ascii="Times New Roman" w:hAnsi="Times New Roman"/>
          <w:sz w:val="24"/>
          <w:szCs w:val="24"/>
        </w:rPr>
        <w:t>.</w:t>
      </w:r>
      <w:r>
        <w:rPr>
          <w:rStyle w:val="markedcontent"/>
          <w:rFonts w:ascii="Times New Roman" w:hAnsi="Times New Roman"/>
          <w:sz w:val="24"/>
          <w:szCs w:val="24"/>
        </w:rPr>
        <w:t>”</w:t>
      </w:r>
    </w:p>
    <w:p w14:paraId="4B6964D8" w14:textId="77777777" w:rsidR="0082055F" w:rsidRPr="002C43B3" w:rsidRDefault="0082055F" w:rsidP="0082055F">
      <w:pPr>
        <w:spacing w:before="100" w:beforeAutospacing="1" w:after="100" w:afterAutospacing="1" w:line="240" w:lineRule="auto"/>
        <w:ind w:left="720"/>
        <w:rPr>
          <w:rStyle w:val="markedcontent"/>
          <w:rFonts w:ascii="Times New Roman" w:hAnsi="Times New Roman"/>
          <w:sz w:val="24"/>
          <w:szCs w:val="24"/>
        </w:rPr>
      </w:pPr>
      <w:r>
        <w:rPr>
          <w:rStyle w:val="markedcontent"/>
          <w:rFonts w:ascii="Times New Roman" w:hAnsi="Times New Roman"/>
          <w:sz w:val="24"/>
          <w:szCs w:val="24"/>
        </w:rPr>
        <w:t>Holding reversing 10</w:t>
      </w:r>
      <w:r w:rsidRPr="00D427A9">
        <w:rPr>
          <w:rStyle w:val="markedcontent"/>
          <w:rFonts w:ascii="Times New Roman" w:hAnsi="Times New Roman"/>
          <w:sz w:val="24"/>
          <w:szCs w:val="24"/>
          <w:vertAlign w:val="superscript"/>
        </w:rPr>
        <w:t>th</w:t>
      </w:r>
      <w:r>
        <w:rPr>
          <w:rStyle w:val="markedcontent"/>
          <w:rFonts w:ascii="Times New Roman" w:hAnsi="Times New Roman"/>
          <w:sz w:val="24"/>
          <w:szCs w:val="24"/>
        </w:rPr>
        <w:t xml:space="preserve"> Circuit: “</w:t>
      </w:r>
      <w:r w:rsidRPr="002C43B3">
        <w:rPr>
          <w:rStyle w:val="markedcontent"/>
          <w:rFonts w:ascii="Times New Roman" w:hAnsi="Times New Roman"/>
          <w:sz w:val="24"/>
          <w:szCs w:val="24"/>
        </w:rPr>
        <w:t xml:space="preserve">Neither the panel majority </w:t>
      </w:r>
      <w:r>
        <w:rPr>
          <w:rStyle w:val="markedcontent"/>
          <w:rFonts w:ascii="Times New Roman" w:hAnsi="Times New Roman"/>
          <w:sz w:val="24"/>
          <w:szCs w:val="24"/>
        </w:rPr>
        <w:t>[10</w:t>
      </w:r>
      <w:r w:rsidRPr="002C43B3">
        <w:rPr>
          <w:rStyle w:val="markedcontent"/>
          <w:rFonts w:ascii="Times New Roman" w:hAnsi="Times New Roman"/>
          <w:sz w:val="24"/>
          <w:szCs w:val="24"/>
          <w:vertAlign w:val="superscript"/>
        </w:rPr>
        <w:t>th</w:t>
      </w:r>
      <w:r>
        <w:rPr>
          <w:rStyle w:val="markedcontent"/>
          <w:rFonts w:ascii="Times New Roman" w:hAnsi="Times New Roman"/>
          <w:sz w:val="24"/>
          <w:szCs w:val="24"/>
        </w:rPr>
        <w:t xml:space="preserve"> Circuit panel of 3 judges] </w:t>
      </w:r>
      <w:r w:rsidRPr="002C43B3">
        <w:rPr>
          <w:rStyle w:val="markedcontent"/>
          <w:rFonts w:ascii="Times New Roman" w:hAnsi="Times New Roman"/>
          <w:sz w:val="24"/>
          <w:szCs w:val="24"/>
        </w:rPr>
        <w:t>nor the respondent have identified a single precedent finding a Fourth Amendment violation under similar circumstances. The officers were thus entitled to qualified immunity.</w:t>
      </w:r>
      <w:r>
        <w:rPr>
          <w:rStyle w:val="markedcontent"/>
          <w:rFonts w:ascii="Times New Roman" w:hAnsi="Times New Roman"/>
          <w:sz w:val="24"/>
          <w:szCs w:val="24"/>
        </w:rPr>
        <w:t xml:space="preserve"> </w:t>
      </w:r>
      <w:r w:rsidRPr="002C43B3">
        <w:rPr>
          <w:rStyle w:val="markedcontent"/>
          <w:rFonts w:ascii="Times New Roman" w:hAnsi="Times New Roman"/>
          <w:sz w:val="24"/>
          <w:szCs w:val="24"/>
        </w:rPr>
        <w:t>The petition for certiorari and the motions for leave to file briefs amici curiae are granted, and the judgment of the</w:t>
      </w:r>
      <w:r>
        <w:rPr>
          <w:rStyle w:val="markedcontent"/>
          <w:rFonts w:ascii="Times New Roman" w:hAnsi="Times New Roman"/>
          <w:sz w:val="24"/>
          <w:szCs w:val="24"/>
        </w:rPr>
        <w:t xml:space="preserve"> </w:t>
      </w:r>
      <w:r w:rsidRPr="002C43B3">
        <w:rPr>
          <w:rStyle w:val="markedcontent"/>
          <w:rFonts w:ascii="Times New Roman" w:hAnsi="Times New Roman"/>
          <w:sz w:val="24"/>
          <w:szCs w:val="24"/>
        </w:rPr>
        <w:t>Court of Appeals is reversed.</w:t>
      </w:r>
      <w:r>
        <w:rPr>
          <w:rStyle w:val="markedcontent"/>
          <w:rFonts w:ascii="Times New Roman" w:hAnsi="Times New Roman"/>
          <w:sz w:val="24"/>
          <w:szCs w:val="24"/>
        </w:rPr>
        <w:t xml:space="preserve">” </w:t>
      </w:r>
    </w:p>
    <w:p w14:paraId="254E8664" w14:textId="77777777" w:rsidR="0082055F" w:rsidRDefault="0082055F" w:rsidP="0082055F">
      <w:pPr>
        <w:spacing w:before="100" w:beforeAutospacing="1" w:after="100" w:afterAutospacing="1" w:line="240" w:lineRule="auto"/>
        <w:rPr>
          <w:rFonts w:ascii="Times New Roman" w:hAnsi="Times New Roman"/>
          <w:b/>
          <w:bCs/>
          <w:sz w:val="24"/>
          <w:szCs w:val="24"/>
        </w:rPr>
      </w:pPr>
      <w:r w:rsidRPr="002C43B3">
        <w:rPr>
          <w:rFonts w:ascii="Times New Roman" w:hAnsi="Times New Roman"/>
          <w:b/>
          <w:bCs/>
          <w:sz w:val="24"/>
          <w:szCs w:val="24"/>
        </w:rPr>
        <w:t xml:space="preserve">Legal Lesson Learned: </w:t>
      </w:r>
      <w:r>
        <w:rPr>
          <w:rFonts w:ascii="Times New Roman" w:hAnsi="Times New Roman"/>
          <w:b/>
          <w:bCs/>
          <w:sz w:val="24"/>
          <w:szCs w:val="24"/>
        </w:rPr>
        <w:t xml:space="preserve">These unanimous decisions are not only helpful for police officers, but also to Fire &amp; EMS incident commanders are others needing to make rapid decisions. </w:t>
      </w:r>
    </w:p>
    <w:p w14:paraId="50866E96" w14:textId="77777777" w:rsidR="0082055F" w:rsidRPr="00D427A9" w:rsidRDefault="0082055F" w:rsidP="0082055F">
      <w:pPr>
        <w:spacing w:before="100" w:beforeAutospacing="1" w:after="100" w:afterAutospacing="1" w:line="240" w:lineRule="auto"/>
        <w:ind w:left="720"/>
        <w:rPr>
          <w:rFonts w:ascii="Times New Roman" w:eastAsia="Times New Roman" w:hAnsi="Times New Roman"/>
          <w:kern w:val="36"/>
          <w:sz w:val="24"/>
          <w:szCs w:val="24"/>
        </w:rPr>
      </w:pPr>
      <w:r w:rsidRPr="00D427A9">
        <w:rPr>
          <w:rFonts w:ascii="Times New Roman" w:hAnsi="Times New Roman"/>
          <w:sz w:val="24"/>
          <w:szCs w:val="24"/>
        </w:rPr>
        <w:t>Note: See article, Oct. 18, 20</w:t>
      </w:r>
      <w:r>
        <w:rPr>
          <w:rFonts w:ascii="Times New Roman" w:hAnsi="Times New Roman"/>
          <w:sz w:val="24"/>
          <w:szCs w:val="24"/>
        </w:rPr>
        <w:t>21</w:t>
      </w:r>
      <w:r w:rsidRPr="00D427A9">
        <w:rPr>
          <w:rFonts w:ascii="Times New Roman" w:hAnsi="Times New Roman"/>
          <w:sz w:val="24"/>
          <w:szCs w:val="24"/>
        </w:rPr>
        <w:t>, “</w:t>
      </w:r>
      <w:r w:rsidRPr="00D427A9">
        <w:rPr>
          <w:rFonts w:ascii="Times New Roman" w:eastAsia="Times New Roman" w:hAnsi="Times New Roman"/>
          <w:kern w:val="36"/>
          <w:sz w:val="24"/>
          <w:szCs w:val="24"/>
        </w:rPr>
        <w:t xml:space="preserve">The U.S. Supreme Court rules in favor of officers accused of excessive force.” </w:t>
      </w:r>
      <w:hyperlink r:id="rId924" w:history="1">
        <w:r w:rsidRPr="00ED2C8C">
          <w:rPr>
            <w:rStyle w:val="Hyperlink"/>
            <w:sz w:val="24"/>
            <w:szCs w:val="24"/>
          </w:rPr>
          <w:t>https://www.npr.org/2021/10/18/1047085626/supreme-court-police-qualified-immunity-cases</w:t>
        </w:r>
      </w:hyperlink>
      <w:r>
        <w:rPr>
          <w:rFonts w:ascii="Times New Roman" w:eastAsia="Times New Roman" w:hAnsi="Times New Roman"/>
          <w:kern w:val="36"/>
          <w:sz w:val="24"/>
          <w:szCs w:val="24"/>
        </w:rPr>
        <w:t xml:space="preserve"> </w:t>
      </w:r>
      <w:r>
        <w:rPr>
          <w:rFonts w:ascii="Times New Roman" w:hAnsi="Times New Roman"/>
          <w:sz w:val="24"/>
          <w:szCs w:val="24"/>
        </w:rPr>
        <w:t>“</w:t>
      </w:r>
      <w:r w:rsidRPr="00D427A9">
        <w:rPr>
          <w:rFonts w:ascii="Times New Roman" w:hAnsi="Times New Roman"/>
          <w:sz w:val="24"/>
          <w:szCs w:val="24"/>
        </w:rPr>
        <w:t xml:space="preserve">Congressional Democrats have made multiple attempts in recent years to limit qualified immunity, though none has been successful. The George Floyd Justice </w:t>
      </w:r>
      <w:proofErr w:type="gramStart"/>
      <w:r w:rsidRPr="00D427A9">
        <w:rPr>
          <w:rFonts w:ascii="Times New Roman" w:hAnsi="Times New Roman"/>
          <w:sz w:val="24"/>
          <w:szCs w:val="24"/>
        </w:rPr>
        <w:t>In</w:t>
      </w:r>
      <w:proofErr w:type="gramEnd"/>
      <w:r w:rsidRPr="00D427A9">
        <w:rPr>
          <w:rFonts w:ascii="Times New Roman" w:hAnsi="Times New Roman"/>
          <w:sz w:val="24"/>
          <w:szCs w:val="24"/>
        </w:rPr>
        <w:t xml:space="preserve"> Policing Act, which passed the House, would have restricted the defense, but negotiations over a compromise bill petered out earlier this year.</w:t>
      </w:r>
      <w:r>
        <w:rPr>
          <w:rFonts w:ascii="Times New Roman" w:hAnsi="Times New Roman"/>
          <w:sz w:val="24"/>
          <w:szCs w:val="24"/>
        </w:rPr>
        <w:t>”</w:t>
      </w:r>
    </w:p>
    <w:p w14:paraId="3C32BFC4" w14:textId="77777777" w:rsidR="0082055F" w:rsidRDefault="0082055F" w:rsidP="002B1283">
      <w:pPr>
        <w:rPr>
          <w:rStyle w:val="Hyperlink"/>
          <w:rFonts w:ascii="Arial Black" w:hAnsi="Arial Black"/>
          <w:b/>
          <w:color w:val="auto"/>
          <w:sz w:val="24"/>
          <w:szCs w:val="24"/>
          <w:u w:val="none"/>
        </w:rPr>
      </w:pPr>
    </w:p>
    <w:p w14:paraId="543093BB" w14:textId="63D6A2DC" w:rsidR="00382F02" w:rsidRDefault="00382F02"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4-16</w:t>
      </w:r>
    </w:p>
    <w:p w14:paraId="41BF3B7E" w14:textId="77777777" w:rsidR="00382F02" w:rsidRPr="00E05DC9" w:rsidRDefault="00382F02" w:rsidP="00382F02">
      <w:pPr>
        <w:pStyle w:val="Heading1"/>
        <w:rPr>
          <w:rFonts w:ascii="Arial Black" w:hAnsi="Arial Black"/>
          <w:b w:val="0"/>
          <w:bCs w:val="0"/>
          <w:sz w:val="28"/>
          <w:szCs w:val="28"/>
        </w:rPr>
      </w:pPr>
      <w:bookmarkStart w:id="175" w:name="_Hlk81841658"/>
      <w:r w:rsidRPr="00E05DC9">
        <w:rPr>
          <w:rFonts w:ascii="Arial Black" w:hAnsi="Arial Black"/>
          <w:b w:val="0"/>
          <w:bCs w:val="0"/>
          <w:sz w:val="28"/>
          <w:szCs w:val="28"/>
        </w:rPr>
        <w:t xml:space="preserve">NY: </w:t>
      </w:r>
      <w:r>
        <w:rPr>
          <w:rFonts w:ascii="Arial Black" w:hAnsi="Arial Black"/>
          <w:b w:val="0"/>
          <w:bCs w:val="0"/>
          <w:sz w:val="28"/>
          <w:szCs w:val="28"/>
        </w:rPr>
        <w:t>STRUCTURE FIRE, TWO DEAD – INCIDENT COMMANDER NO LIABILITY - NO “SPECIAL DUTY” OWED RESIDENTS</w:t>
      </w:r>
    </w:p>
    <w:bookmarkEnd w:id="175"/>
    <w:p w14:paraId="70136CC0" w14:textId="77777777" w:rsidR="00362EB6" w:rsidRPr="00362EB6" w:rsidRDefault="00382F02" w:rsidP="00362EB6">
      <w:pPr>
        <w:pStyle w:val="Heading1"/>
        <w:rPr>
          <w:b w:val="0"/>
          <w:bCs w:val="0"/>
          <w:sz w:val="24"/>
          <w:szCs w:val="24"/>
        </w:rPr>
      </w:pPr>
      <w:r>
        <w:rPr>
          <w:b w:val="0"/>
          <w:bCs w:val="0"/>
          <w:sz w:val="24"/>
          <w:szCs w:val="24"/>
        </w:rPr>
        <w:t xml:space="preserve">On Aug. 26, 2021, in </w:t>
      </w:r>
      <w:r w:rsidRPr="007029FC">
        <w:rPr>
          <w:b w:val="0"/>
          <w:bCs w:val="0"/>
          <w:sz w:val="24"/>
          <w:szCs w:val="24"/>
          <w:u w:val="single"/>
        </w:rPr>
        <w:t>Christopher M. (Administrator of Estate of Heather M. and T.M.) v. Christopher J. Mineo, Assistant Fire Chief of Yorkville Fire Department, et al</w:t>
      </w:r>
      <w:r>
        <w:rPr>
          <w:b w:val="0"/>
          <w:bCs w:val="0"/>
          <w:sz w:val="24"/>
          <w:szCs w:val="24"/>
        </w:rPr>
        <w:t xml:space="preserve">., the Supreme Court of New York, Fourth Department, held </w:t>
      </w:r>
      <w:r w:rsidRPr="00873015">
        <w:rPr>
          <w:b w:val="0"/>
          <w:bCs w:val="0"/>
          <w:sz w:val="24"/>
          <w:szCs w:val="24"/>
        </w:rPr>
        <w:t>(5 to 0)</w:t>
      </w:r>
      <w:r>
        <w:rPr>
          <w:b w:val="0"/>
          <w:bCs w:val="0"/>
          <w:sz w:val="24"/>
          <w:szCs w:val="24"/>
        </w:rPr>
        <w:t xml:space="preserve"> that the lawsuit was properly dismissed concerning the Jan. 18, </w:t>
      </w:r>
      <w:proofErr w:type="gramStart"/>
      <w:r>
        <w:rPr>
          <w:b w:val="0"/>
          <w:bCs w:val="0"/>
          <w:sz w:val="24"/>
          <w:szCs w:val="24"/>
        </w:rPr>
        <w:t>2018</w:t>
      </w:r>
      <w:proofErr w:type="gramEnd"/>
      <w:r>
        <w:rPr>
          <w:b w:val="0"/>
          <w:bCs w:val="0"/>
          <w:sz w:val="24"/>
          <w:szCs w:val="24"/>
        </w:rPr>
        <w:t xml:space="preserve"> structure fire in upstairs apartment.  Plaintiff alleged the Assistant Chief called other volunteer fire departments but was “grossly negligent” in not seeking mutual aid from the career Utica Fire Department located 6 miles from the scene.</w:t>
      </w:r>
      <w:r w:rsidR="00362EB6">
        <w:rPr>
          <w:b w:val="0"/>
          <w:bCs w:val="0"/>
          <w:sz w:val="24"/>
          <w:szCs w:val="24"/>
        </w:rPr>
        <w:t xml:space="preserve"> </w:t>
      </w:r>
      <w:hyperlink r:id="rId925" w:history="1">
        <w:r w:rsidR="00362EB6" w:rsidRPr="00362EB6">
          <w:rPr>
            <w:rStyle w:val="Hyperlink"/>
            <w:b w:val="0"/>
            <w:bCs w:val="0"/>
            <w:sz w:val="24"/>
            <w:szCs w:val="24"/>
          </w:rPr>
          <w:t>https://public.fastcase.com/9SKwsfNqTc6OieYDhNMyM6VI9jzZ8Wjh0KgpobjMibbiOoRUyOE%2BZu2RC4EQbfMf</w:t>
        </w:r>
      </w:hyperlink>
      <w:r w:rsidR="00362EB6" w:rsidRPr="00362EB6">
        <w:rPr>
          <w:b w:val="0"/>
          <w:bCs w:val="0"/>
          <w:sz w:val="24"/>
          <w:szCs w:val="24"/>
        </w:rPr>
        <w:t xml:space="preserve"> </w:t>
      </w:r>
    </w:p>
    <w:p w14:paraId="605A3194" w14:textId="2C1C0837" w:rsidR="00382F02" w:rsidRDefault="00362EB6" w:rsidP="00382F02">
      <w:pPr>
        <w:pStyle w:val="Heading1"/>
        <w:rPr>
          <w:b w:val="0"/>
          <w:bCs w:val="0"/>
          <w:sz w:val="24"/>
          <w:szCs w:val="24"/>
        </w:rPr>
      </w:pPr>
      <w:r>
        <w:rPr>
          <w:b w:val="0"/>
          <w:bCs w:val="0"/>
          <w:sz w:val="24"/>
          <w:szCs w:val="24"/>
        </w:rPr>
        <w:t>THE COURT HELD:</w:t>
      </w:r>
    </w:p>
    <w:p w14:paraId="6CBCC57E" w14:textId="2931DC80" w:rsidR="006E75ED" w:rsidRPr="00873015" w:rsidRDefault="00382F02" w:rsidP="00382F02">
      <w:pPr>
        <w:pStyle w:val="Heading1"/>
        <w:ind w:left="720"/>
        <w:rPr>
          <w:b w:val="0"/>
          <w:bCs w:val="0"/>
          <w:sz w:val="24"/>
          <w:szCs w:val="24"/>
        </w:rPr>
      </w:pPr>
      <w:r>
        <w:rPr>
          <w:b w:val="0"/>
          <w:bCs w:val="0"/>
          <w:sz w:val="24"/>
          <w:szCs w:val="24"/>
        </w:rPr>
        <w:t>“</w:t>
      </w:r>
      <w:r w:rsidRPr="00873015">
        <w:rPr>
          <w:b w:val="0"/>
          <w:bCs w:val="0"/>
          <w:sz w:val="24"/>
          <w:szCs w:val="24"/>
        </w:rPr>
        <w:t xml:space="preserve">We affirm for reasons stated in the decision at Supreme Court. We write only to note that, inasmuch as plaintiff correctly concedes in his appellate brief that the amended complaint fails to allege the existence </w:t>
      </w:r>
      <w:r w:rsidRPr="00873015">
        <w:rPr>
          <w:b w:val="0"/>
          <w:bCs w:val="0"/>
          <w:sz w:val="24"/>
          <w:szCs w:val="24"/>
        </w:rPr>
        <w:lastRenderedPageBreak/>
        <w:t>of a special duty, the court properly granted those parts of the motions of defendants Nicholas Morosco, individually, and as Assistant Fire Chief of the Yorkville Fire Department, the Yorkville Fire and Hose Company, Inc., and the Village of Yorkville, seeking to dismiss the sixth cause of action, which is against Morosco for gross negligence</w:t>
      </w:r>
      <w:r>
        <w:rPr>
          <w:b w:val="0"/>
          <w:bCs w:val="0"/>
          <w:sz w:val="24"/>
          <w:szCs w:val="24"/>
        </w:rPr>
        <w:t xml:space="preserve">…. </w:t>
      </w:r>
      <w:r w:rsidRPr="00873015">
        <w:rPr>
          <w:b w:val="0"/>
          <w:bCs w:val="0"/>
          <w:sz w:val="24"/>
          <w:szCs w:val="24"/>
        </w:rPr>
        <w:t>"Without a [special] duty running directly to the injured person[, ] there can be no liability in damages, however careless the conduct or foreseeable the harm" (</w:t>
      </w:r>
      <w:r w:rsidRPr="00873015">
        <w:rPr>
          <w:rStyle w:val="Emphasis"/>
          <w:sz w:val="24"/>
          <w:szCs w:val="24"/>
        </w:rPr>
        <w:t>Lauer v City of New York</w:t>
      </w:r>
      <w:r w:rsidRPr="00873015">
        <w:rPr>
          <w:b w:val="0"/>
          <w:bCs w:val="0"/>
          <w:sz w:val="24"/>
          <w:szCs w:val="24"/>
        </w:rPr>
        <w:t>, 95 N.Y.2d 95, 100 [2000]). Thus, contrary to plaintiff's contention, even if we accept as true the allegation that Morosco was grossly negligent and we accord plaintiff the benefit of every possible favorable inference (</w:t>
      </w:r>
      <w:r w:rsidRPr="00873015">
        <w:rPr>
          <w:rStyle w:val="Emphasis"/>
          <w:sz w:val="24"/>
          <w:szCs w:val="24"/>
        </w:rPr>
        <w:t>see Leon v Martinez</w:t>
      </w:r>
      <w:r w:rsidRPr="00873015">
        <w:rPr>
          <w:b w:val="0"/>
          <w:bCs w:val="0"/>
          <w:sz w:val="24"/>
          <w:szCs w:val="24"/>
        </w:rPr>
        <w:t xml:space="preserve">, 84 N.Y.2d 83, 87-88 [1994]), </w:t>
      </w:r>
      <w:r>
        <w:rPr>
          <w:b w:val="0"/>
          <w:bCs w:val="0"/>
          <w:sz w:val="24"/>
          <w:szCs w:val="24"/>
        </w:rPr>
        <w:t>‘</w:t>
      </w:r>
      <w:r w:rsidRPr="00873015">
        <w:rPr>
          <w:b w:val="0"/>
          <w:bCs w:val="0"/>
          <w:sz w:val="24"/>
          <w:szCs w:val="24"/>
        </w:rPr>
        <w:t>in the absence of a special duty there can be no liability</w:t>
      </w:r>
      <w:r>
        <w:rPr>
          <w:b w:val="0"/>
          <w:bCs w:val="0"/>
          <w:sz w:val="24"/>
          <w:szCs w:val="24"/>
        </w:rPr>
        <w:t xml:space="preserve">’ </w:t>
      </w:r>
      <w:r w:rsidRPr="00873015">
        <w:rPr>
          <w:b w:val="0"/>
          <w:bCs w:val="0"/>
          <w:sz w:val="24"/>
          <w:szCs w:val="24"/>
        </w:rPr>
        <w:t>(</w:t>
      </w:r>
      <w:r w:rsidRPr="00873015">
        <w:rPr>
          <w:rStyle w:val="Emphasis"/>
          <w:sz w:val="24"/>
          <w:szCs w:val="24"/>
        </w:rPr>
        <w:t>Rennix v Jackson</w:t>
      </w:r>
      <w:r w:rsidRPr="00873015">
        <w:rPr>
          <w:b w:val="0"/>
          <w:bCs w:val="0"/>
          <w:sz w:val="24"/>
          <w:szCs w:val="24"/>
        </w:rPr>
        <w:t>, 152 A.D.3d 551, 554 [2d Dept 2017]).</w:t>
      </w:r>
      <w:r>
        <w:rPr>
          <w:b w:val="0"/>
          <w:bCs w:val="0"/>
          <w:sz w:val="24"/>
          <w:szCs w:val="24"/>
        </w:rPr>
        <w:t>”</w:t>
      </w:r>
      <w:r w:rsidRPr="00873015">
        <w:t xml:space="preserve"> </w:t>
      </w:r>
      <w:hyperlink r:id="rId926" w:history="1">
        <w:r w:rsidR="006E75ED" w:rsidRPr="00D429FC">
          <w:rPr>
            <w:rStyle w:val="Hyperlink"/>
            <w:b w:val="0"/>
            <w:bCs w:val="0"/>
            <w:sz w:val="24"/>
            <w:szCs w:val="24"/>
          </w:rPr>
          <w:t>https://casetext.com/case/christopher-m-v-mineo</w:t>
        </w:r>
      </w:hyperlink>
      <w:r w:rsidR="006E75ED">
        <w:rPr>
          <w:b w:val="0"/>
          <w:bCs w:val="0"/>
          <w:sz w:val="24"/>
          <w:szCs w:val="24"/>
        </w:rPr>
        <w:t xml:space="preserve"> </w:t>
      </w:r>
    </w:p>
    <w:p w14:paraId="69D214AA" w14:textId="58808FB9" w:rsidR="00BD263B" w:rsidRPr="00873015" w:rsidRDefault="00BD263B" w:rsidP="00BD263B">
      <w:pPr>
        <w:spacing w:before="100" w:beforeAutospacing="1" w:after="100" w:afterAutospacing="1" w:line="240" w:lineRule="auto"/>
        <w:rPr>
          <w:rFonts w:ascii="Times New Roman" w:eastAsia="Times New Roman" w:hAnsi="Times New Roman"/>
          <w:b/>
          <w:bCs/>
          <w:sz w:val="24"/>
          <w:szCs w:val="24"/>
        </w:rPr>
      </w:pPr>
      <w:r w:rsidRPr="00CD5B1A">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In the absence of a “special duty”, the Assistant Fire Chief and his fire department and village enjoy immunity from liability. </w:t>
      </w:r>
    </w:p>
    <w:p w14:paraId="3B6FBDBC" w14:textId="77777777" w:rsidR="00BD263B" w:rsidRDefault="00BD263B" w:rsidP="00BD263B">
      <w:pPr>
        <w:pStyle w:val="NormalWeb"/>
        <w:ind w:left="720"/>
      </w:pPr>
      <w:r>
        <w:t xml:space="preserve">Note: </w:t>
      </w:r>
      <w:r w:rsidRPr="00CD5B1A">
        <w:t>Watch the Oral Argument</w:t>
      </w:r>
      <w:r>
        <w:t xml:space="preserve"> before the Justices </w:t>
      </w:r>
      <w:r w:rsidRPr="00B17D11">
        <w:rPr>
          <w:b/>
          <w:bCs/>
        </w:rPr>
        <w:t>(</w:t>
      </w:r>
      <w:r w:rsidRPr="00B17D11">
        <w:rPr>
          <w:rStyle w:val="Strong"/>
          <w:rFonts w:eastAsiaTheme="majorEastAsia"/>
          <w:b w:val="0"/>
          <w:bCs w:val="0"/>
        </w:rPr>
        <w:t>May 27, 2021):</w:t>
      </w:r>
      <w:r w:rsidRPr="00CD5B1A">
        <w:rPr>
          <w:rStyle w:val="Strong"/>
          <w:rFonts w:eastAsiaTheme="majorEastAsia"/>
        </w:rPr>
        <w:t> </w:t>
      </w:r>
      <w:r w:rsidRPr="00CD5B1A">
        <w:rPr>
          <w:b/>
          <w:bCs/>
        </w:rPr>
        <w:t xml:space="preserve"> </w:t>
      </w:r>
      <w:hyperlink r:id="rId927" w:tgtFrame="_blank" w:history="1">
        <w:r>
          <w:rPr>
            <w:rStyle w:val="Hyperlink"/>
          </w:rPr>
          <w:t>https://ad4.nycourts.gov/njs/term/argument/calendar?date=2021-05-27T00:00:00.000Z&amp;venue=1&amp;calnbr=633</w:t>
        </w:r>
        <w:r>
          <w:rPr>
            <w:rStyle w:val="screenreader-only"/>
            <w:color w:val="0000FF"/>
            <w:u w:val="single"/>
          </w:rPr>
          <w:t> (Links to an external site.)</w:t>
        </w:r>
      </w:hyperlink>
    </w:p>
    <w:p w14:paraId="3EE3BC65" w14:textId="77777777" w:rsidR="00382F02" w:rsidRDefault="00382F02" w:rsidP="002B1283">
      <w:pPr>
        <w:rPr>
          <w:rStyle w:val="Hyperlink"/>
          <w:rFonts w:ascii="Arial Black" w:hAnsi="Arial Black"/>
          <w:b/>
          <w:color w:val="auto"/>
          <w:sz w:val="24"/>
          <w:szCs w:val="24"/>
          <w:u w:val="none"/>
        </w:rPr>
      </w:pPr>
    </w:p>
    <w:p w14:paraId="301DD0B4" w14:textId="77777777" w:rsidR="00382F02" w:rsidRDefault="00382F02" w:rsidP="002B1283">
      <w:pPr>
        <w:rPr>
          <w:rStyle w:val="Hyperlink"/>
          <w:rFonts w:ascii="Arial Black" w:hAnsi="Arial Black"/>
          <w:b/>
          <w:color w:val="auto"/>
          <w:sz w:val="24"/>
          <w:szCs w:val="24"/>
          <w:u w:val="none"/>
        </w:rPr>
      </w:pPr>
    </w:p>
    <w:p w14:paraId="59CC77A4" w14:textId="77777777" w:rsidR="00382F02" w:rsidRDefault="00382F02" w:rsidP="002B1283">
      <w:pPr>
        <w:rPr>
          <w:rStyle w:val="Hyperlink"/>
          <w:rFonts w:ascii="Arial Black" w:hAnsi="Arial Black"/>
          <w:b/>
          <w:color w:val="auto"/>
          <w:sz w:val="24"/>
          <w:szCs w:val="24"/>
          <w:u w:val="none"/>
        </w:rPr>
      </w:pPr>
    </w:p>
    <w:p w14:paraId="26427968" w14:textId="02DC5599" w:rsidR="000915C1" w:rsidRDefault="000915C1"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4-15</w:t>
      </w:r>
    </w:p>
    <w:p w14:paraId="283FDDAE" w14:textId="77777777" w:rsidR="000915C1" w:rsidRPr="00545701" w:rsidRDefault="000915C1" w:rsidP="000915C1">
      <w:pPr>
        <w:pStyle w:val="NoSpacing"/>
        <w:rPr>
          <w:rFonts w:ascii="Arial Black" w:hAnsi="Arial Black"/>
          <w:sz w:val="28"/>
          <w:szCs w:val="28"/>
        </w:rPr>
      </w:pPr>
      <w:r>
        <w:rPr>
          <w:rFonts w:ascii="Arial Black" w:hAnsi="Arial Black"/>
          <w:sz w:val="28"/>
          <w:szCs w:val="28"/>
        </w:rPr>
        <w:t>MI: TOWNSHIP DRONE – PHOTOS JUNKYARD ZONING VIOL - PHOTOS SUPPRESSED – NEED ADMIN. SEARCH WARRANT</w:t>
      </w:r>
    </w:p>
    <w:p w14:paraId="352819F4" w14:textId="77777777" w:rsidR="000915C1" w:rsidRDefault="000915C1" w:rsidP="000915C1">
      <w:pPr>
        <w:spacing w:before="100" w:beforeAutospacing="1" w:after="100" w:afterAutospacing="1" w:line="240" w:lineRule="auto"/>
        <w:rPr>
          <w:rFonts w:ascii="Times New Roman" w:hAnsi="Times New Roman"/>
          <w:sz w:val="24"/>
          <w:szCs w:val="24"/>
        </w:rPr>
      </w:pPr>
      <w:r w:rsidRPr="0038323F">
        <w:rPr>
          <w:rFonts w:ascii="Times New Roman" w:hAnsi="Times New Roman"/>
          <w:sz w:val="24"/>
          <w:szCs w:val="24"/>
        </w:rPr>
        <w:t xml:space="preserve">On </w:t>
      </w:r>
      <w:r>
        <w:rPr>
          <w:rFonts w:ascii="Times New Roman" w:hAnsi="Times New Roman"/>
          <w:sz w:val="24"/>
          <w:szCs w:val="24"/>
        </w:rPr>
        <w:t xml:space="preserve">March 18, 2021, in </w:t>
      </w:r>
      <w:r w:rsidRPr="0038323F">
        <w:rPr>
          <w:rFonts w:ascii="Times New Roman" w:hAnsi="Times New Roman"/>
          <w:sz w:val="24"/>
          <w:szCs w:val="24"/>
          <w:u w:val="single"/>
        </w:rPr>
        <w:t>Long Lake Township v. Todd Maxon and Heather Maxon</w:t>
      </w:r>
      <w:r>
        <w:rPr>
          <w:rFonts w:ascii="Times New Roman" w:hAnsi="Times New Roman"/>
          <w:sz w:val="24"/>
          <w:szCs w:val="24"/>
        </w:rPr>
        <w:t xml:space="preserve">, the State of Michigan Court of Appeals held (2 to 1) that the trial court should have granted the motion to suppress the photos taken by a drone, flying line-of-sight below the </w:t>
      </w:r>
      <w:proofErr w:type="gramStart"/>
      <w:r>
        <w:rPr>
          <w:rFonts w:ascii="Times New Roman" w:hAnsi="Times New Roman"/>
          <w:sz w:val="24"/>
          <w:szCs w:val="24"/>
        </w:rPr>
        <w:t>400 foot</w:t>
      </w:r>
      <w:proofErr w:type="gramEnd"/>
      <w:r>
        <w:rPr>
          <w:rFonts w:ascii="Times New Roman" w:hAnsi="Times New Roman"/>
          <w:sz w:val="24"/>
          <w:szCs w:val="24"/>
        </w:rPr>
        <w:t xml:space="preserve"> FAA limit.   </w:t>
      </w:r>
    </w:p>
    <w:p w14:paraId="5E7872E4" w14:textId="77777777" w:rsidR="000915C1" w:rsidRDefault="000915C1" w:rsidP="000915C1">
      <w:pPr>
        <w:pStyle w:val="NoSpacing"/>
        <w:ind w:left="720"/>
        <w:rPr>
          <w:rFonts w:ascii="Times New Roman" w:hAnsi="Times New Roman"/>
          <w:sz w:val="24"/>
          <w:szCs w:val="24"/>
        </w:rPr>
      </w:pPr>
      <w:r>
        <w:rPr>
          <w:rFonts w:ascii="Times New Roman" w:hAnsi="Times New Roman"/>
          <w:sz w:val="24"/>
          <w:szCs w:val="24"/>
        </w:rPr>
        <w:t>“</w:t>
      </w:r>
      <w:r w:rsidRPr="001441C5">
        <w:rPr>
          <w:rFonts w:ascii="Times New Roman" w:hAnsi="Times New Roman"/>
          <w:sz w:val="24"/>
          <w:szCs w:val="24"/>
        </w:rPr>
        <w:t xml:space="preserve">We conclude that; much like the infrared imaging device discussed in </w:t>
      </w:r>
      <w:r w:rsidRPr="001441C5">
        <w:rPr>
          <w:rFonts w:ascii="Times New Roman" w:hAnsi="Times New Roman"/>
          <w:i/>
          <w:iCs/>
          <w:sz w:val="24"/>
          <w:szCs w:val="24"/>
        </w:rPr>
        <w:t>Kyllo</w:t>
      </w:r>
      <w:r>
        <w:rPr>
          <w:rFonts w:ascii="Times New Roman" w:hAnsi="Times New Roman"/>
          <w:i/>
          <w:iCs/>
          <w:sz w:val="24"/>
          <w:szCs w:val="24"/>
        </w:rPr>
        <w:t xml:space="preserve"> </w:t>
      </w:r>
      <w:r w:rsidRPr="001441C5">
        <w:rPr>
          <w:rFonts w:ascii="Times New Roman" w:hAnsi="Times New Roman"/>
          <w:i/>
          <w:iCs/>
          <w:sz w:val="24"/>
          <w:szCs w:val="24"/>
        </w:rPr>
        <w:t>[Kyllo v United States</w:t>
      </w:r>
      <w:r w:rsidRPr="001441C5">
        <w:rPr>
          <w:rFonts w:ascii="Times New Roman" w:hAnsi="Times New Roman"/>
          <w:sz w:val="24"/>
          <w:szCs w:val="24"/>
        </w:rPr>
        <w:t>, 533 US 27; 121 S Ct 2038; 150 L Ed 2d 94 (2001)]</w:t>
      </w:r>
      <w:r w:rsidRPr="001441C5">
        <w:rPr>
          <w:rFonts w:ascii="Times New Roman" w:hAnsi="Times New Roman"/>
          <w:i/>
          <w:iCs/>
          <w:sz w:val="24"/>
          <w:szCs w:val="24"/>
        </w:rPr>
        <w:t>;</w:t>
      </w:r>
      <w:r w:rsidRPr="001441C5">
        <w:rPr>
          <w:rFonts w:ascii="Times New Roman" w:hAnsi="Times New Roman"/>
          <w:sz w:val="24"/>
          <w:szCs w:val="24"/>
        </w:rPr>
        <w:t xml:space="preserve"> low-altitude, unmanned, specifically-targeted drone surveillance of a private individual's property is qualitatively different from the kinds of human-operated aircraft overflights permitted by </w:t>
      </w:r>
      <w:r w:rsidRPr="001441C5">
        <w:rPr>
          <w:rFonts w:ascii="Times New Roman" w:hAnsi="Times New Roman"/>
          <w:i/>
          <w:iCs/>
          <w:sz w:val="24"/>
          <w:szCs w:val="24"/>
        </w:rPr>
        <w:t>Ciraolo</w:t>
      </w:r>
      <w:r w:rsidRPr="001441C5">
        <w:rPr>
          <w:rFonts w:ascii="Times New Roman" w:hAnsi="Times New Roman"/>
          <w:sz w:val="24"/>
          <w:szCs w:val="24"/>
        </w:rPr>
        <w:t xml:space="preserve"> [</w:t>
      </w:r>
      <w:r w:rsidRPr="001441C5">
        <w:rPr>
          <w:rFonts w:ascii="Times New Roman" w:hAnsi="Times New Roman"/>
          <w:i/>
          <w:iCs/>
          <w:sz w:val="24"/>
          <w:szCs w:val="24"/>
        </w:rPr>
        <w:t>California v Ciraolo</w:t>
      </w:r>
      <w:r w:rsidRPr="001441C5">
        <w:rPr>
          <w:rFonts w:ascii="Times New Roman" w:hAnsi="Times New Roman"/>
          <w:sz w:val="24"/>
          <w:szCs w:val="24"/>
        </w:rPr>
        <w:t>, 475 US 207; 106 S Ct 1809; 90 L Ed 2d 210 (1986)]</w:t>
      </w:r>
      <w:r>
        <w:rPr>
          <w:rFonts w:ascii="Times New Roman" w:hAnsi="Times New Roman"/>
          <w:sz w:val="24"/>
          <w:szCs w:val="24"/>
        </w:rPr>
        <w:t xml:space="preserve"> </w:t>
      </w:r>
      <w:r w:rsidRPr="001441C5">
        <w:rPr>
          <w:rFonts w:ascii="Times New Roman" w:hAnsi="Times New Roman"/>
          <w:sz w:val="24"/>
          <w:szCs w:val="24"/>
        </w:rPr>
        <w:t xml:space="preserve">and </w:t>
      </w:r>
      <w:r w:rsidRPr="001441C5">
        <w:rPr>
          <w:rFonts w:ascii="Times New Roman" w:hAnsi="Times New Roman"/>
          <w:i/>
          <w:iCs/>
          <w:sz w:val="24"/>
          <w:szCs w:val="24"/>
        </w:rPr>
        <w:t>Riley</w:t>
      </w:r>
      <w:r>
        <w:rPr>
          <w:rFonts w:ascii="Times New Roman" w:hAnsi="Times New Roman"/>
          <w:sz w:val="24"/>
          <w:szCs w:val="24"/>
        </w:rPr>
        <w:t xml:space="preserve"> [</w:t>
      </w:r>
      <w:r w:rsidRPr="001441C5">
        <w:rPr>
          <w:rFonts w:ascii="Times New Roman" w:hAnsi="Times New Roman"/>
          <w:i/>
          <w:iCs/>
          <w:sz w:val="24"/>
          <w:szCs w:val="24"/>
        </w:rPr>
        <w:t>Florida v Riley</w:t>
      </w:r>
      <w:r w:rsidRPr="001441C5">
        <w:rPr>
          <w:rFonts w:ascii="Times New Roman" w:hAnsi="Times New Roman"/>
          <w:sz w:val="24"/>
          <w:szCs w:val="24"/>
        </w:rPr>
        <w:t>, 488 US 445; 109 S Ct 693; 102 L Ed 2d 835 (1989)]</w:t>
      </w:r>
      <w:r>
        <w:rPr>
          <w:rFonts w:ascii="Times New Roman" w:hAnsi="Times New Roman"/>
          <w:sz w:val="24"/>
          <w:szCs w:val="24"/>
        </w:rPr>
        <w:t>.</w:t>
      </w:r>
    </w:p>
    <w:p w14:paraId="4DDC7915" w14:textId="77777777" w:rsidR="000915C1" w:rsidRDefault="000915C1" w:rsidP="000915C1">
      <w:pPr>
        <w:pStyle w:val="NoSpacing"/>
        <w:ind w:left="720"/>
        <w:rPr>
          <w:rFonts w:ascii="Times New Roman" w:hAnsi="Times New Roman"/>
          <w:sz w:val="24"/>
          <w:szCs w:val="24"/>
        </w:rPr>
      </w:pPr>
      <w:r w:rsidRPr="001441C5">
        <w:rPr>
          <w:rFonts w:ascii="Times New Roman" w:hAnsi="Times New Roman"/>
          <w:sz w:val="24"/>
          <w:szCs w:val="24"/>
        </w:rPr>
        <w:t xml:space="preserve">We conclude that drone surveillance of this nature intrudes into persons' reasonable expectations of privacy, so such surveillance </w:t>
      </w:r>
      <w:proofErr w:type="gramStart"/>
      <w:r w:rsidRPr="001441C5">
        <w:rPr>
          <w:rFonts w:ascii="Times New Roman" w:hAnsi="Times New Roman"/>
          <w:sz w:val="24"/>
          <w:szCs w:val="24"/>
        </w:rPr>
        <w:t>implicates</w:t>
      </w:r>
      <w:proofErr w:type="gramEnd"/>
      <w:r w:rsidRPr="001441C5">
        <w:rPr>
          <w:rFonts w:ascii="Times New Roman" w:hAnsi="Times New Roman"/>
          <w:sz w:val="24"/>
          <w:szCs w:val="24"/>
        </w:rPr>
        <w:t xml:space="preserve"> the Fourth Amendment and is illegal without a warrant or a traditional exception to the warrant requirement. </w:t>
      </w:r>
    </w:p>
    <w:p w14:paraId="1E1DF5D2" w14:textId="77777777" w:rsidR="000915C1" w:rsidRDefault="000915C1" w:rsidP="000915C1">
      <w:pPr>
        <w:pStyle w:val="NoSpacing"/>
        <w:ind w:left="720"/>
        <w:rPr>
          <w:rFonts w:ascii="Times New Roman" w:hAnsi="Times New Roman"/>
          <w:sz w:val="24"/>
          <w:szCs w:val="24"/>
        </w:rPr>
      </w:pPr>
    </w:p>
    <w:p w14:paraId="7E6C2EEF" w14:textId="77777777" w:rsidR="000915C1" w:rsidRDefault="000915C1" w:rsidP="000915C1">
      <w:pPr>
        <w:pStyle w:val="NoSpacing"/>
        <w:ind w:left="720"/>
        <w:rPr>
          <w:rFonts w:ascii="Times New Roman" w:hAnsi="Times New Roman"/>
          <w:sz w:val="24"/>
          <w:szCs w:val="24"/>
        </w:rPr>
      </w:pPr>
      <w:r>
        <w:rPr>
          <w:rFonts w:ascii="Times New Roman" w:hAnsi="Times New Roman"/>
          <w:sz w:val="24"/>
          <w:szCs w:val="24"/>
        </w:rPr>
        <w:t>***</w:t>
      </w:r>
    </w:p>
    <w:p w14:paraId="17518921" w14:textId="77777777" w:rsidR="000915C1" w:rsidRDefault="000915C1" w:rsidP="000915C1">
      <w:pPr>
        <w:pStyle w:val="NoSpacing"/>
        <w:rPr>
          <w:rFonts w:ascii="Times New Roman" w:hAnsi="Times New Roman"/>
          <w:sz w:val="24"/>
          <w:szCs w:val="24"/>
        </w:rPr>
      </w:pPr>
    </w:p>
    <w:p w14:paraId="2E0665AC" w14:textId="77777777" w:rsidR="000915C1" w:rsidRPr="000915C1" w:rsidRDefault="000915C1" w:rsidP="000915C1">
      <w:pPr>
        <w:pStyle w:val="NoSpacing"/>
        <w:ind w:left="720"/>
        <w:rPr>
          <w:rFonts w:ascii="Times New Roman" w:hAnsi="Times New Roman"/>
          <w:sz w:val="24"/>
          <w:szCs w:val="24"/>
        </w:rPr>
      </w:pPr>
      <w:r w:rsidRPr="0038323F">
        <w:rPr>
          <w:rFonts w:ascii="Times New Roman" w:hAnsi="Times New Roman"/>
          <w:sz w:val="24"/>
          <w:szCs w:val="24"/>
        </w:rPr>
        <w:t>We believe it would be unworkable and futile to try to craft a precise altitude test. Rather, we conclude that persons have a reasonable expectation of privacy in their property against drone surveillance, and therefore a governmental entity seeking to conduct drone surveillance must obtain a warrant or satisfy a traditional exception to the warrant requirement.</w:t>
      </w:r>
      <w:r>
        <w:rPr>
          <w:rFonts w:ascii="Times New Roman" w:hAnsi="Times New Roman"/>
          <w:sz w:val="24"/>
          <w:szCs w:val="24"/>
        </w:rPr>
        <w:t xml:space="preserve">” </w:t>
      </w:r>
      <w:hyperlink r:id="rId928" w:history="1">
        <w:r w:rsidRPr="000915C1">
          <w:rPr>
            <w:rStyle w:val="Hyperlink"/>
            <w:rFonts w:ascii="Times New Roman" w:hAnsi="Times New Roman"/>
            <w:sz w:val="24"/>
            <w:szCs w:val="24"/>
          </w:rPr>
          <w:t>https://casetext.com/case/long-lake-twp-v-maxon</w:t>
        </w:r>
      </w:hyperlink>
      <w:r w:rsidRPr="000915C1">
        <w:rPr>
          <w:rFonts w:ascii="Times New Roman" w:hAnsi="Times New Roman"/>
          <w:sz w:val="24"/>
          <w:szCs w:val="24"/>
        </w:rPr>
        <w:t xml:space="preserve"> </w:t>
      </w:r>
    </w:p>
    <w:p w14:paraId="4677312E" w14:textId="77777777" w:rsidR="000915C1" w:rsidRDefault="000915C1" w:rsidP="000915C1">
      <w:pPr>
        <w:pStyle w:val="NoSpacing"/>
        <w:ind w:left="720"/>
        <w:rPr>
          <w:rFonts w:ascii="Times New Roman" w:hAnsi="Times New Roman"/>
          <w:sz w:val="24"/>
          <w:szCs w:val="24"/>
        </w:rPr>
      </w:pPr>
    </w:p>
    <w:p w14:paraId="65A6864E" w14:textId="77777777" w:rsidR="000915C1" w:rsidRPr="00F94C70" w:rsidRDefault="000915C1" w:rsidP="000915C1">
      <w:pPr>
        <w:pStyle w:val="NoSpacing"/>
        <w:rPr>
          <w:rFonts w:ascii="Times New Roman" w:hAnsi="Times New Roman"/>
          <w:b/>
          <w:bCs/>
          <w:sz w:val="24"/>
          <w:szCs w:val="24"/>
        </w:rPr>
      </w:pPr>
      <w:r w:rsidRPr="00F94C70">
        <w:rPr>
          <w:rFonts w:ascii="Times New Roman" w:hAnsi="Times New Roman"/>
          <w:b/>
          <w:bCs/>
          <w:sz w:val="24"/>
          <w:szCs w:val="24"/>
        </w:rPr>
        <w:lastRenderedPageBreak/>
        <w:t>Legal Lesson Learned:</w:t>
      </w:r>
      <w:r>
        <w:rPr>
          <w:rFonts w:ascii="Times New Roman" w:hAnsi="Times New Roman"/>
          <w:b/>
          <w:bCs/>
          <w:sz w:val="24"/>
          <w:szCs w:val="24"/>
        </w:rPr>
        <w:t xml:space="preserve">  There will undoubtedly be more litigation about use of drones; for fire code enforcement, when possible, first get a search or administrative warrant. </w:t>
      </w:r>
    </w:p>
    <w:p w14:paraId="407B3AF3" w14:textId="77777777" w:rsidR="000915C1" w:rsidRDefault="000915C1" w:rsidP="000915C1">
      <w:pPr>
        <w:pStyle w:val="NoSpacing"/>
        <w:ind w:left="720"/>
        <w:rPr>
          <w:rFonts w:ascii="Times New Roman" w:hAnsi="Times New Roman"/>
          <w:sz w:val="24"/>
          <w:szCs w:val="24"/>
        </w:rPr>
      </w:pPr>
    </w:p>
    <w:p w14:paraId="5291433C" w14:textId="77777777" w:rsidR="000915C1" w:rsidRDefault="000915C1" w:rsidP="000915C1">
      <w:pPr>
        <w:pStyle w:val="NoSpacing"/>
        <w:ind w:left="720"/>
        <w:rPr>
          <w:rFonts w:ascii="Times New Roman" w:hAnsi="Times New Roman"/>
          <w:sz w:val="24"/>
          <w:szCs w:val="24"/>
        </w:rPr>
      </w:pPr>
      <w:r>
        <w:rPr>
          <w:rFonts w:ascii="Times New Roman" w:hAnsi="Times New Roman"/>
          <w:sz w:val="24"/>
          <w:szCs w:val="24"/>
        </w:rPr>
        <w:t>Note: The dissenting opinion by Justice Karen M. Fort Hood.</w:t>
      </w:r>
    </w:p>
    <w:p w14:paraId="29CD2F29" w14:textId="77777777" w:rsidR="000915C1" w:rsidRPr="00F94C70" w:rsidRDefault="000915C1" w:rsidP="000915C1">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F94C70">
        <w:rPr>
          <w:rFonts w:ascii="Times New Roman" w:eastAsia="Times New Roman" w:hAnsi="Times New Roman"/>
          <w:sz w:val="24"/>
          <w:szCs w:val="24"/>
        </w:rPr>
        <w:t xml:space="preserve">With </w:t>
      </w:r>
      <w:proofErr w:type="gramStart"/>
      <w:r w:rsidRPr="00F94C70">
        <w:rPr>
          <w:rFonts w:ascii="Times New Roman" w:eastAsia="Times New Roman" w:hAnsi="Times New Roman"/>
          <w:sz w:val="24"/>
          <w:szCs w:val="24"/>
        </w:rPr>
        <w:t>all of</w:t>
      </w:r>
      <w:proofErr w:type="gramEnd"/>
      <w:r w:rsidRPr="00F94C70">
        <w:rPr>
          <w:rFonts w:ascii="Times New Roman" w:eastAsia="Times New Roman" w:hAnsi="Times New Roman"/>
          <w:sz w:val="24"/>
          <w:szCs w:val="24"/>
        </w:rPr>
        <w:t xml:space="preserve"> the above in mind, again, there is no evidence that the drone in this case was flown in violation of the law or applicable regulations, nor that it contained equipment or was itself technology not readily available or generally used by the public. The fundamental principle from both </w:t>
      </w:r>
      <w:r w:rsidRPr="00F94C70">
        <w:rPr>
          <w:rFonts w:ascii="Times New Roman" w:eastAsia="Times New Roman" w:hAnsi="Times New Roman"/>
          <w:i/>
          <w:iCs/>
          <w:sz w:val="24"/>
          <w:szCs w:val="24"/>
        </w:rPr>
        <w:t>Ciraolo</w:t>
      </w:r>
      <w:r w:rsidRPr="00F94C70">
        <w:rPr>
          <w:rFonts w:ascii="Times New Roman" w:eastAsia="Times New Roman" w:hAnsi="Times New Roman"/>
          <w:sz w:val="24"/>
          <w:szCs w:val="24"/>
        </w:rPr>
        <w:t xml:space="preserve"> and </w:t>
      </w:r>
      <w:r w:rsidRPr="00F94C70">
        <w:rPr>
          <w:rFonts w:ascii="Times New Roman" w:eastAsia="Times New Roman" w:hAnsi="Times New Roman"/>
          <w:i/>
          <w:iCs/>
          <w:sz w:val="24"/>
          <w:szCs w:val="24"/>
        </w:rPr>
        <w:t>Riley</w:t>
      </w:r>
      <w:r w:rsidRPr="00F94C70">
        <w:rPr>
          <w:rFonts w:ascii="Times New Roman" w:eastAsia="Times New Roman" w:hAnsi="Times New Roman"/>
          <w:sz w:val="24"/>
          <w:szCs w:val="24"/>
        </w:rPr>
        <w:t xml:space="preserve"> is that the property observed in those cases was observable by commercial and public aircraft in the publicly navigable airspace, see </w:t>
      </w:r>
      <w:r w:rsidRPr="00F94C70">
        <w:rPr>
          <w:rFonts w:ascii="Times New Roman" w:eastAsia="Times New Roman" w:hAnsi="Times New Roman"/>
          <w:i/>
          <w:iCs/>
          <w:sz w:val="24"/>
          <w:szCs w:val="24"/>
        </w:rPr>
        <w:t>Ciraolo</w:t>
      </w:r>
      <w:r w:rsidRPr="00F94C70">
        <w:rPr>
          <w:rFonts w:ascii="Times New Roman" w:eastAsia="Times New Roman" w:hAnsi="Times New Roman"/>
          <w:sz w:val="24"/>
          <w:szCs w:val="24"/>
        </w:rPr>
        <w:t xml:space="preserve">, 476 US at 215; </w:t>
      </w:r>
      <w:r w:rsidRPr="00F94C70">
        <w:rPr>
          <w:rFonts w:ascii="Times New Roman" w:eastAsia="Times New Roman" w:hAnsi="Times New Roman"/>
          <w:i/>
          <w:iCs/>
          <w:sz w:val="24"/>
          <w:szCs w:val="24"/>
        </w:rPr>
        <w:t>Riley</w:t>
      </w:r>
      <w:r w:rsidRPr="00F94C70">
        <w:rPr>
          <w:rFonts w:ascii="Times New Roman" w:eastAsia="Times New Roman" w:hAnsi="Times New Roman"/>
          <w:sz w:val="24"/>
          <w:szCs w:val="24"/>
        </w:rPr>
        <w:t xml:space="preserve">, 488 US at 450, and the fundamental difference between those two cases and </w:t>
      </w:r>
      <w:r w:rsidRPr="00F94C70">
        <w:rPr>
          <w:rFonts w:ascii="Times New Roman" w:eastAsia="Times New Roman" w:hAnsi="Times New Roman"/>
          <w:i/>
          <w:iCs/>
          <w:sz w:val="24"/>
          <w:szCs w:val="24"/>
        </w:rPr>
        <w:t>Kyllo</w:t>
      </w:r>
      <w:r w:rsidRPr="00F94C70">
        <w:rPr>
          <w:rFonts w:ascii="Times New Roman" w:eastAsia="Times New Roman" w:hAnsi="Times New Roman"/>
          <w:sz w:val="24"/>
          <w:szCs w:val="24"/>
        </w:rPr>
        <w:t xml:space="preserve"> was that the technology in </w:t>
      </w:r>
      <w:r w:rsidRPr="00F94C70">
        <w:rPr>
          <w:rFonts w:ascii="Times New Roman" w:eastAsia="Times New Roman" w:hAnsi="Times New Roman"/>
          <w:i/>
          <w:iCs/>
          <w:sz w:val="24"/>
          <w:szCs w:val="24"/>
        </w:rPr>
        <w:t>Kyllo</w:t>
      </w:r>
      <w:r w:rsidRPr="00F94C70">
        <w:rPr>
          <w:rFonts w:ascii="Times New Roman" w:eastAsia="Times New Roman" w:hAnsi="Times New Roman"/>
          <w:sz w:val="24"/>
          <w:szCs w:val="24"/>
        </w:rPr>
        <w:t xml:space="preserve"> was not something that could be reasonably expected to be employed by members of the public, </w:t>
      </w:r>
      <w:r w:rsidRPr="00F94C70">
        <w:rPr>
          <w:rFonts w:ascii="Times New Roman" w:eastAsia="Times New Roman" w:hAnsi="Times New Roman"/>
          <w:i/>
          <w:iCs/>
          <w:sz w:val="24"/>
          <w:szCs w:val="24"/>
        </w:rPr>
        <w:t>Kyllo</w:t>
      </w:r>
      <w:r w:rsidRPr="00F94C70">
        <w:rPr>
          <w:rFonts w:ascii="Times New Roman" w:eastAsia="Times New Roman" w:hAnsi="Times New Roman"/>
          <w:sz w:val="24"/>
          <w:szCs w:val="24"/>
        </w:rPr>
        <w:t>, 533 US at 34, 40. On that basis, I would conclude that no Fourth-Amendment violation occurred in this case, and I would affirm the trial court's order denying defendants' motion to suppress.</w:t>
      </w:r>
      <w:r>
        <w:rPr>
          <w:rFonts w:ascii="Times New Roman" w:eastAsia="Times New Roman" w:hAnsi="Times New Roman"/>
          <w:sz w:val="24"/>
          <w:szCs w:val="24"/>
        </w:rPr>
        <w:t>”</w:t>
      </w:r>
    </w:p>
    <w:p w14:paraId="3F9713FB" w14:textId="77777777" w:rsidR="000915C1" w:rsidRDefault="000915C1" w:rsidP="000915C1">
      <w:pPr>
        <w:pStyle w:val="NoSpacing"/>
        <w:rPr>
          <w:rFonts w:ascii="Arial Black" w:hAnsi="Arial Black"/>
          <w:sz w:val="28"/>
          <w:szCs w:val="28"/>
        </w:rPr>
      </w:pPr>
    </w:p>
    <w:p w14:paraId="3785EF73" w14:textId="61114992" w:rsidR="000915C1" w:rsidRDefault="000915C1"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4-14</w:t>
      </w:r>
    </w:p>
    <w:p w14:paraId="141DD005" w14:textId="77777777" w:rsidR="000915C1" w:rsidRDefault="000915C1" w:rsidP="000915C1">
      <w:pPr>
        <w:pStyle w:val="NoSpacing"/>
        <w:rPr>
          <w:rFonts w:ascii="Arial Black" w:hAnsi="Arial Black"/>
          <w:sz w:val="28"/>
          <w:szCs w:val="28"/>
        </w:rPr>
      </w:pPr>
      <w:r>
        <w:rPr>
          <w:rFonts w:ascii="Arial Black" w:hAnsi="Arial Black"/>
          <w:sz w:val="28"/>
          <w:szCs w:val="28"/>
        </w:rPr>
        <w:t xml:space="preserve">WA: FF 18 YEARS MARINE SAFETY - “EXPERT WITNESS” UNDER </w:t>
      </w:r>
      <w:r w:rsidRPr="00B23A49">
        <w:rPr>
          <w:rFonts w:ascii="Arial Black" w:hAnsi="Arial Black"/>
          <w:i/>
          <w:iCs/>
          <w:sz w:val="28"/>
          <w:szCs w:val="28"/>
        </w:rPr>
        <w:t>DAUBERT</w:t>
      </w:r>
      <w:r>
        <w:rPr>
          <w:rFonts w:ascii="Arial Black" w:hAnsi="Arial Black"/>
          <w:i/>
          <w:iCs/>
          <w:sz w:val="28"/>
          <w:szCs w:val="28"/>
        </w:rPr>
        <w:t xml:space="preserve"> </w:t>
      </w:r>
      <w:r>
        <w:rPr>
          <w:rFonts w:ascii="Arial Black" w:hAnsi="Arial Black"/>
          <w:sz w:val="28"/>
          <w:szCs w:val="28"/>
        </w:rPr>
        <w:t>STANDARD - BOAT FIRE, OWNER LIABLE</w:t>
      </w:r>
    </w:p>
    <w:p w14:paraId="56C1FC8C" w14:textId="77777777" w:rsidR="000915C1" w:rsidRDefault="000915C1" w:rsidP="000915C1">
      <w:pPr>
        <w:pStyle w:val="NoSpacing"/>
        <w:rPr>
          <w:rFonts w:ascii="Arial Black" w:hAnsi="Arial Black"/>
          <w:sz w:val="28"/>
          <w:szCs w:val="28"/>
        </w:rPr>
      </w:pPr>
    </w:p>
    <w:p w14:paraId="6B02718E" w14:textId="77777777" w:rsidR="000915C1" w:rsidRDefault="000915C1" w:rsidP="000915C1">
      <w:pPr>
        <w:pStyle w:val="NoSpacing"/>
        <w:rPr>
          <w:rFonts w:ascii="Times New Roman" w:hAnsi="Times New Roman"/>
          <w:sz w:val="24"/>
          <w:szCs w:val="24"/>
        </w:rPr>
      </w:pPr>
      <w:r>
        <w:rPr>
          <w:rFonts w:ascii="Times New Roman" w:hAnsi="Times New Roman"/>
          <w:sz w:val="24"/>
          <w:szCs w:val="24"/>
        </w:rPr>
        <w:t xml:space="preserve">On March 18, 2021, in </w:t>
      </w:r>
      <w:r w:rsidRPr="00B23A49">
        <w:rPr>
          <w:rFonts w:ascii="Times New Roman" w:hAnsi="Times New Roman"/>
          <w:sz w:val="24"/>
          <w:szCs w:val="24"/>
          <w:u w:val="single"/>
        </w:rPr>
        <w:t>Michael Schladetzky v, John Doe, et al</w:t>
      </w:r>
      <w:r>
        <w:rPr>
          <w:rFonts w:ascii="Times New Roman" w:hAnsi="Times New Roman"/>
          <w:sz w:val="24"/>
          <w:szCs w:val="24"/>
        </w:rPr>
        <w:t xml:space="preserve">., U.S. District Court Judge James L. Robart held that firefighter Kurt Serwood, with 18 years as Chief of the Kitsap County FD Marine Division, is an “expert” under the U.S. Supreme Court’s “Daubert standard” and Fed. Rules of Evidence: </w:t>
      </w:r>
      <w:r w:rsidRPr="002501FC">
        <w:rPr>
          <w:rFonts w:ascii="Times New Roman" w:hAnsi="Times New Roman"/>
          <w:i/>
          <w:iCs/>
          <w:sz w:val="24"/>
          <w:szCs w:val="24"/>
        </w:rPr>
        <w:t>Daubert v</w:t>
      </w:r>
      <w:r w:rsidRPr="002501FC">
        <w:rPr>
          <w:rFonts w:ascii="Times New Roman" w:hAnsi="Times New Roman"/>
          <w:sz w:val="24"/>
          <w:szCs w:val="24"/>
        </w:rPr>
        <w:t xml:space="preserve">. </w:t>
      </w:r>
      <w:r w:rsidRPr="002501FC">
        <w:rPr>
          <w:rFonts w:ascii="Times New Roman" w:hAnsi="Times New Roman"/>
          <w:i/>
          <w:iCs/>
          <w:sz w:val="24"/>
          <w:szCs w:val="24"/>
        </w:rPr>
        <w:t>Merrell Dow Pharm</w:t>
      </w:r>
      <w:r w:rsidRPr="002501FC">
        <w:rPr>
          <w:rFonts w:ascii="Times New Roman" w:hAnsi="Times New Roman"/>
          <w:sz w:val="24"/>
          <w:szCs w:val="24"/>
        </w:rPr>
        <w:t xml:space="preserve">., </w:t>
      </w:r>
      <w:r w:rsidRPr="002501FC">
        <w:rPr>
          <w:rFonts w:ascii="Times New Roman" w:hAnsi="Times New Roman"/>
          <w:i/>
          <w:iCs/>
          <w:sz w:val="24"/>
          <w:szCs w:val="24"/>
        </w:rPr>
        <w:t>Inc</w:t>
      </w:r>
      <w:r w:rsidRPr="002501FC">
        <w:rPr>
          <w:rFonts w:ascii="Times New Roman" w:hAnsi="Times New Roman"/>
          <w:sz w:val="24"/>
          <w:szCs w:val="24"/>
        </w:rPr>
        <w:t>., 509 U.S. 579, 589-91 (1993); Fed. R. Evid. 702.</w:t>
      </w:r>
      <w:r>
        <w:rPr>
          <w:rFonts w:ascii="Times New Roman" w:hAnsi="Times New Roman"/>
          <w:sz w:val="24"/>
          <w:szCs w:val="24"/>
        </w:rPr>
        <w:t xml:space="preserve">  The Court relied on his expert opinion that the boat fire was caused by the owner’s negligence in not repairing the diesel furnace on the </w:t>
      </w:r>
      <w:r w:rsidRPr="007D17BA">
        <w:rPr>
          <w:rFonts w:ascii="Times New Roman" w:hAnsi="Times New Roman"/>
          <w:sz w:val="24"/>
          <w:szCs w:val="24"/>
        </w:rPr>
        <w:t>boat which blew out thick black smoke and smelled of raw diesel fuel</w:t>
      </w:r>
      <w:r>
        <w:rPr>
          <w:rFonts w:ascii="Times New Roman" w:hAnsi="Times New Roman"/>
          <w:sz w:val="24"/>
          <w:szCs w:val="24"/>
        </w:rPr>
        <w:t xml:space="preserve">.  Given this negligence, the Court held (1) the boat owner, Michael Schladetsky cannot under federal maritime law limit his liability to only the value of his vessel and cargo; and (2)  two claimants who lost property in the boat house are entitled to summary judgment – Douglas McKenzie, owner of a neighboring boat ($23,360, personal property destroyed in boat house); and Jeffrey Bigsby ($12,537.75, personal property also stored in the same boat house).  </w:t>
      </w:r>
    </w:p>
    <w:p w14:paraId="57CB479A" w14:textId="77777777" w:rsidR="000915C1" w:rsidRDefault="000915C1" w:rsidP="000915C1">
      <w:pPr>
        <w:pStyle w:val="NoSpacing"/>
        <w:rPr>
          <w:rFonts w:ascii="Times New Roman" w:hAnsi="Times New Roman"/>
          <w:sz w:val="24"/>
          <w:szCs w:val="24"/>
        </w:rPr>
      </w:pPr>
    </w:p>
    <w:p w14:paraId="2C86B1E4" w14:textId="77777777" w:rsidR="000915C1" w:rsidRDefault="000915C1" w:rsidP="000915C1">
      <w:pPr>
        <w:pStyle w:val="NoSpacing"/>
        <w:ind w:left="720"/>
        <w:rPr>
          <w:rFonts w:ascii="Times New Roman" w:hAnsi="Times New Roman"/>
          <w:sz w:val="24"/>
          <w:szCs w:val="24"/>
        </w:rPr>
      </w:pPr>
      <w:r>
        <w:rPr>
          <w:rFonts w:ascii="Times New Roman" w:hAnsi="Times New Roman"/>
          <w:sz w:val="24"/>
          <w:szCs w:val="24"/>
        </w:rPr>
        <w:t>“[T]h</w:t>
      </w:r>
      <w:r w:rsidRPr="002501FC">
        <w:rPr>
          <w:rFonts w:ascii="Times New Roman" w:hAnsi="Times New Roman"/>
          <w:sz w:val="24"/>
          <w:szCs w:val="24"/>
        </w:rPr>
        <w:t xml:space="preserve">e court finds that Mr. Serwold is qualified as an expert in marine fires and their causes. Under Rule 702, an expert may be qualified by extensive or specialized experience. Fed. R. Evid. 702; </w:t>
      </w:r>
      <w:r w:rsidRPr="002501FC">
        <w:rPr>
          <w:rFonts w:ascii="Times New Roman" w:hAnsi="Times New Roman"/>
          <w:i/>
          <w:iCs/>
          <w:sz w:val="24"/>
          <w:szCs w:val="24"/>
        </w:rPr>
        <w:t>Kumho</w:t>
      </w:r>
      <w:r w:rsidRPr="002501FC">
        <w:rPr>
          <w:rFonts w:ascii="Times New Roman" w:hAnsi="Times New Roman"/>
          <w:sz w:val="24"/>
          <w:szCs w:val="24"/>
        </w:rPr>
        <w:t xml:space="preserve">, 526 U.S. at 156. Mr. Serwold is a </w:t>
      </w:r>
      <w:proofErr w:type="gramStart"/>
      <w:r w:rsidRPr="002501FC">
        <w:rPr>
          <w:rFonts w:ascii="Times New Roman" w:hAnsi="Times New Roman"/>
          <w:sz w:val="24"/>
          <w:szCs w:val="24"/>
        </w:rPr>
        <w:t>fire fighter</w:t>
      </w:r>
      <w:proofErr w:type="gramEnd"/>
      <w:r w:rsidRPr="002501FC">
        <w:rPr>
          <w:rFonts w:ascii="Times New Roman" w:hAnsi="Times New Roman"/>
          <w:sz w:val="24"/>
          <w:szCs w:val="24"/>
        </w:rPr>
        <w:t xml:space="preserve"> with over 20 years' experience, 18 of which he served as chief of the Kitsap County Fire Department's marine division. (Serwold Decl. at 1). During his time in the marine detachment, Mr. Serwold has received specialized training in the causes of marine fires and how to prevent them. (</w:t>
      </w:r>
      <w:r w:rsidRPr="002501FC">
        <w:rPr>
          <w:rFonts w:ascii="Times New Roman" w:hAnsi="Times New Roman"/>
          <w:i/>
          <w:iCs/>
          <w:sz w:val="24"/>
          <w:szCs w:val="24"/>
        </w:rPr>
        <w:t>Id</w:t>
      </w:r>
      <w:r w:rsidRPr="002501FC">
        <w:rPr>
          <w:rFonts w:ascii="Times New Roman" w:hAnsi="Times New Roman"/>
          <w:sz w:val="24"/>
          <w:szCs w:val="24"/>
        </w:rPr>
        <w:t>. at 1-2). Because of his considerable experience and specialized training, the court finds that Mr. Serwold is qualified to offer expert testimony on marine fires and their causes.</w:t>
      </w:r>
      <w:r>
        <w:rPr>
          <w:rFonts w:ascii="Times New Roman" w:hAnsi="Times New Roman"/>
          <w:sz w:val="24"/>
          <w:szCs w:val="24"/>
        </w:rPr>
        <w:t xml:space="preserve">” </w:t>
      </w:r>
    </w:p>
    <w:p w14:paraId="46635497" w14:textId="77777777" w:rsidR="000915C1" w:rsidRPr="000915C1" w:rsidRDefault="000915C1" w:rsidP="000915C1">
      <w:pPr>
        <w:pStyle w:val="NoSpacing"/>
        <w:ind w:left="720"/>
        <w:rPr>
          <w:rFonts w:ascii="Times New Roman" w:hAnsi="Times New Roman"/>
          <w:sz w:val="24"/>
          <w:szCs w:val="24"/>
        </w:rPr>
      </w:pPr>
      <w:hyperlink r:id="rId929" w:history="1">
        <w:r w:rsidRPr="000915C1">
          <w:rPr>
            <w:rStyle w:val="Hyperlink"/>
            <w:rFonts w:ascii="Times New Roman" w:hAnsi="Times New Roman"/>
            <w:sz w:val="24"/>
            <w:szCs w:val="24"/>
          </w:rPr>
          <w:t>https://casetext.com/case/schladetzky-v-doe-1</w:t>
        </w:r>
      </w:hyperlink>
      <w:r w:rsidRPr="000915C1">
        <w:rPr>
          <w:rFonts w:ascii="Times New Roman" w:hAnsi="Times New Roman"/>
          <w:sz w:val="24"/>
          <w:szCs w:val="24"/>
        </w:rPr>
        <w:t xml:space="preserve"> </w:t>
      </w:r>
    </w:p>
    <w:p w14:paraId="4236F916" w14:textId="77777777" w:rsidR="000915C1" w:rsidRDefault="000915C1" w:rsidP="000915C1">
      <w:pPr>
        <w:pStyle w:val="NoSpacing"/>
        <w:rPr>
          <w:rFonts w:ascii="Times New Roman" w:hAnsi="Times New Roman"/>
          <w:b/>
          <w:bCs/>
          <w:sz w:val="24"/>
          <w:szCs w:val="24"/>
        </w:rPr>
      </w:pPr>
    </w:p>
    <w:p w14:paraId="33A7427A" w14:textId="7C32C185" w:rsidR="000915C1" w:rsidRPr="00F57D38" w:rsidRDefault="000915C1" w:rsidP="000915C1">
      <w:pPr>
        <w:pStyle w:val="NoSpacing"/>
        <w:rPr>
          <w:rFonts w:ascii="Times New Roman" w:hAnsi="Times New Roman"/>
          <w:b/>
          <w:bCs/>
          <w:sz w:val="24"/>
          <w:szCs w:val="24"/>
        </w:rPr>
      </w:pPr>
      <w:r w:rsidRPr="00F57D38">
        <w:rPr>
          <w:rFonts w:ascii="Times New Roman" w:hAnsi="Times New Roman"/>
          <w:b/>
          <w:bCs/>
          <w:sz w:val="24"/>
          <w:szCs w:val="24"/>
        </w:rPr>
        <w:t>Legal Lesson Learned:</w:t>
      </w:r>
      <w:r>
        <w:rPr>
          <w:rFonts w:ascii="Times New Roman" w:hAnsi="Times New Roman"/>
          <w:b/>
          <w:bCs/>
          <w:sz w:val="24"/>
          <w:szCs w:val="24"/>
        </w:rPr>
        <w:t xml:space="preserve"> The U.S. Supreme Court’s </w:t>
      </w:r>
      <w:r w:rsidRPr="00F57D38">
        <w:rPr>
          <w:rFonts w:ascii="Times New Roman" w:hAnsi="Times New Roman"/>
          <w:b/>
          <w:bCs/>
          <w:i/>
          <w:iCs/>
          <w:sz w:val="24"/>
          <w:szCs w:val="24"/>
        </w:rPr>
        <w:t>Daubert</w:t>
      </w:r>
      <w:r>
        <w:rPr>
          <w:rFonts w:ascii="Times New Roman" w:hAnsi="Times New Roman"/>
          <w:b/>
          <w:bCs/>
          <w:i/>
          <w:iCs/>
          <w:sz w:val="24"/>
          <w:szCs w:val="24"/>
        </w:rPr>
        <w:t xml:space="preserve"> </w:t>
      </w:r>
      <w:r w:rsidRPr="00A66200">
        <w:rPr>
          <w:rFonts w:ascii="Times New Roman" w:hAnsi="Times New Roman"/>
          <w:b/>
          <w:bCs/>
          <w:sz w:val="24"/>
          <w:szCs w:val="24"/>
        </w:rPr>
        <w:t xml:space="preserve">standard </w:t>
      </w:r>
      <w:r>
        <w:rPr>
          <w:rFonts w:ascii="Times New Roman" w:hAnsi="Times New Roman"/>
          <w:b/>
          <w:bCs/>
          <w:sz w:val="24"/>
          <w:szCs w:val="24"/>
        </w:rPr>
        <w:t xml:space="preserve">and the Federal Rules of Evidence allow federal judges to rely the opinion of “experts” who are qualified based on their knowledge, experience and training. </w:t>
      </w:r>
    </w:p>
    <w:p w14:paraId="32AE181D" w14:textId="77777777" w:rsidR="000915C1" w:rsidRDefault="000915C1" w:rsidP="000915C1">
      <w:pPr>
        <w:spacing w:before="100" w:beforeAutospacing="1" w:after="100" w:afterAutospacing="1" w:line="240" w:lineRule="auto"/>
        <w:ind w:left="1440"/>
        <w:rPr>
          <w:rFonts w:ascii="Times New Roman" w:hAnsi="Times New Roman"/>
          <w:sz w:val="24"/>
          <w:szCs w:val="24"/>
        </w:rPr>
      </w:pPr>
      <w:r w:rsidRPr="00A66200">
        <w:rPr>
          <w:rFonts w:ascii="Times New Roman" w:eastAsia="Times New Roman" w:hAnsi="Times New Roman"/>
          <w:sz w:val="24"/>
          <w:szCs w:val="24"/>
        </w:rPr>
        <w:t xml:space="preserve">Note:   See </w:t>
      </w:r>
      <w:r w:rsidRPr="00A66200">
        <w:rPr>
          <w:rFonts w:ascii="Times New Roman" w:hAnsi="Times New Roman"/>
          <w:sz w:val="24"/>
          <w:szCs w:val="24"/>
        </w:rPr>
        <w:t>Rule 702</w:t>
      </w:r>
      <w:r>
        <w:rPr>
          <w:rFonts w:ascii="Times New Roman" w:hAnsi="Times New Roman"/>
          <w:sz w:val="24"/>
          <w:szCs w:val="24"/>
        </w:rPr>
        <w:t xml:space="preserve">. Federal Rules of Evidence: </w:t>
      </w:r>
      <w:hyperlink r:id="rId930" w:history="1">
        <w:r w:rsidRPr="008F3FAE">
          <w:rPr>
            <w:rStyle w:val="Hyperlink"/>
            <w:sz w:val="24"/>
            <w:szCs w:val="24"/>
          </w:rPr>
          <w:t>https://www.law.cornell.edu/rules/fre/rule_702</w:t>
        </w:r>
      </w:hyperlink>
    </w:p>
    <w:p w14:paraId="5BDFE98C" w14:textId="77777777" w:rsidR="000915C1" w:rsidRPr="00A66200" w:rsidRDefault="000915C1" w:rsidP="000915C1">
      <w:pPr>
        <w:spacing w:before="100" w:beforeAutospacing="1" w:after="100" w:afterAutospacing="1" w:line="240" w:lineRule="auto"/>
        <w:ind w:left="1440"/>
        <w:rPr>
          <w:rFonts w:ascii="Times New Roman" w:hAnsi="Times New Roman"/>
          <w:sz w:val="24"/>
          <w:szCs w:val="24"/>
        </w:rPr>
      </w:pPr>
      <w:r w:rsidRPr="00A66200">
        <w:rPr>
          <w:rFonts w:ascii="Times New Roman" w:hAnsi="Times New Roman"/>
          <w:sz w:val="24"/>
          <w:szCs w:val="24"/>
        </w:rPr>
        <w:t>Testimony by Expert Witnesses</w:t>
      </w:r>
    </w:p>
    <w:p w14:paraId="380F97F8" w14:textId="77777777" w:rsidR="000915C1" w:rsidRPr="00A66200" w:rsidRDefault="000915C1" w:rsidP="000915C1">
      <w:pPr>
        <w:pStyle w:val="statutory-body"/>
        <w:ind w:left="1440"/>
      </w:pPr>
      <w:r w:rsidRPr="00A66200">
        <w:lastRenderedPageBreak/>
        <w:t>A witness who is qualified as an expert by knowledge, skill, experience, training, or education may testify in the form of an opinion or otherwise if:</w:t>
      </w:r>
    </w:p>
    <w:p w14:paraId="4945E574" w14:textId="77777777" w:rsidR="000915C1" w:rsidRPr="00A66200" w:rsidRDefault="000915C1" w:rsidP="000915C1">
      <w:pPr>
        <w:pStyle w:val="statutory-body"/>
        <w:ind w:left="1440"/>
      </w:pPr>
      <w:r w:rsidRPr="00A66200">
        <w:rPr>
          <w:rStyle w:val="Strong"/>
        </w:rPr>
        <w:t>(a)</w:t>
      </w:r>
      <w:r w:rsidRPr="00A66200">
        <w:t xml:space="preserve"> the expert’s scientific, technical, or other specialized knowledge will help the trier of fact to understand the evidence or to determine a fact in issue;</w:t>
      </w:r>
    </w:p>
    <w:p w14:paraId="19805D3F" w14:textId="77777777" w:rsidR="000915C1" w:rsidRPr="00A66200" w:rsidRDefault="000915C1" w:rsidP="000915C1">
      <w:pPr>
        <w:pStyle w:val="statutory-body"/>
        <w:ind w:left="720" w:firstLine="720"/>
      </w:pPr>
      <w:r w:rsidRPr="00A66200">
        <w:rPr>
          <w:rStyle w:val="Strong"/>
        </w:rPr>
        <w:t>(b)</w:t>
      </w:r>
      <w:r w:rsidRPr="00A66200">
        <w:t xml:space="preserve"> the testimony is based on sufficient facts or data;</w:t>
      </w:r>
    </w:p>
    <w:p w14:paraId="6C860603" w14:textId="77777777" w:rsidR="000915C1" w:rsidRPr="00A66200" w:rsidRDefault="000915C1" w:rsidP="000915C1">
      <w:pPr>
        <w:pStyle w:val="statutory-body"/>
        <w:ind w:left="720" w:firstLine="720"/>
      </w:pPr>
      <w:r w:rsidRPr="00A66200">
        <w:rPr>
          <w:rStyle w:val="Strong"/>
        </w:rPr>
        <w:t>(c)</w:t>
      </w:r>
      <w:r w:rsidRPr="00A66200">
        <w:t xml:space="preserve"> the testimony is the product of reliable principles and methods; and</w:t>
      </w:r>
    </w:p>
    <w:p w14:paraId="6CA18FE8" w14:textId="77777777" w:rsidR="000915C1" w:rsidRPr="00A66200" w:rsidRDefault="000915C1" w:rsidP="000915C1">
      <w:pPr>
        <w:pStyle w:val="statutory-body"/>
        <w:ind w:left="1440"/>
      </w:pPr>
      <w:r w:rsidRPr="00A66200">
        <w:rPr>
          <w:rStyle w:val="Strong"/>
        </w:rPr>
        <w:t>(d)</w:t>
      </w:r>
      <w:r w:rsidRPr="00A66200">
        <w:t xml:space="preserve"> the expert has reliably applied the principles and methods to the facts of the case.</w:t>
      </w:r>
    </w:p>
    <w:p w14:paraId="0D1AAA00" w14:textId="77777777" w:rsidR="000915C1" w:rsidRPr="00A66200" w:rsidRDefault="000915C1" w:rsidP="000915C1">
      <w:pPr>
        <w:pStyle w:val="Heading4"/>
        <w:ind w:left="720" w:firstLine="720"/>
        <w:rPr>
          <w:rFonts w:ascii="Times New Roman" w:hAnsi="Times New Roman" w:cs="Times New Roman"/>
          <w:color w:val="auto"/>
          <w:sz w:val="24"/>
          <w:szCs w:val="24"/>
        </w:rPr>
      </w:pPr>
      <w:r w:rsidRPr="00A66200">
        <w:rPr>
          <w:rFonts w:ascii="Times New Roman" w:hAnsi="Times New Roman" w:cs="Times New Roman"/>
          <w:color w:val="auto"/>
          <w:sz w:val="24"/>
          <w:szCs w:val="24"/>
        </w:rPr>
        <w:t>Notes</w:t>
      </w:r>
    </w:p>
    <w:p w14:paraId="52F87912" w14:textId="77777777" w:rsidR="000915C1" w:rsidRPr="00A66200" w:rsidRDefault="000915C1" w:rsidP="000915C1">
      <w:pPr>
        <w:pStyle w:val="source-credit"/>
        <w:ind w:left="1440"/>
      </w:pPr>
      <w:r w:rsidRPr="00A66200">
        <w:t>(Pub. L. 93–595, §1, Jan. 2, 1975, 88 Stat. 1937; Apr. 17, 2000, eff. Dec. 1, 2000; Apr. 26, 2011, eff. Dec. 1, 2011.)</w:t>
      </w:r>
    </w:p>
    <w:p w14:paraId="36609E57" w14:textId="77777777" w:rsidR="000915C1" w:rsidRDefault="000915C1" w:rsidP="002B1283">
      <w:pPr>
        <w:rPr>
          <w:rStyle w:val="Hyperlink"/>
          <w:rFonts w:ascii="Arial Black" w:hAnsi="Arial Black"/>
          <w:b/>
          <w:color w:val="auto"/>
          <w:sz w:val="24"/>
          <w:szCs w:val="24"/>
          <w:u w:val="none"/>
        </w:rPr>
      </w:pPr>
    </w:p>
    <w:p w14:paraId="4DA580C0" w14:textId="10CFD56A" w:rsidR="005E132A" w:rsidRDefault="005E132A"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4-13</w:t>
      </w:r>
    </w:p>
    <w:p w14:paraId="603533A1" w14:textId="77777777" w:rsidR="005E132A" w:rsidRDefault="005E132A" w:rsidP="005E132A">
      <w:pPr>
        <w:rPr>
          <w:rFonts w:ascii="Arial Black" w:eastAsiaTheme="minorHAnsi" w:hAnsi="Arial Black" w:cstheme="minorBidi"/>
          <w:sz w:val="28"/>
          <w:szCs w:val="28"/>
        </w:rPr>
      </w:pPr>
      <w:r>
        <w:rPr>
          <w:rFonts w:ascii="Arial Black" w:hAnsi="Arial Black"/>
          <w:sz w:val="28"/>
          <w:szCs w:val="28"/>
        </w:rPr>
        <w:t xml:space="preserve">OH: STUDENT DIED, VAN SEAT FOLDED ONTO HIM – 911 DISPATCH, PD COULDN’T LOCATE – LAWSUIT PROCEED </w:t>
      </w:r>
    </w:p>
    <w:p w14:paraId="740A9BB3" w14:textId="77777777" w:rsidR="005E132A" w:rsidRDefault="005E132A" w:rsidP="005E132A">
      <w:pPr>
        <w:rPr>
          <w:rFonts w:ascii="Times New Roman" w:hAnsi="Times New Roman"/>
          <w:sz w:val="24"/>
          <w:szCs w:val="24"/>
        </w:rPr>
      </w:pPr>
      <w:r>
        <w:rPr>
          <w:rFonts w:ascii="Times New Roman" w:hAnsi="Times New Roman"/>
          <w:sz w:val="24"/>
          <w:szCs w:val="24"/>
        </w:rPr>
        <w:t xml:space="preserve">On Dec. 16, 2020, in </w:t>
      </w:r>
      <w:r>
        <w:rPr>
          <w:rFonts w:ascii="Times New Roman" w:hAnsi="Times New Roman"/>
          <w:sz w:val="24"/>
          <w:szCs w:val="24"/>
          <w:u w:val="single"/>
        </w:rPr>
        <w:t>Rob Plush, Individually and Administrator of Estate of Kyle Plush, and Jill Plush v. City of Cincinnati, Harry Black, et al</w:t>
      </w:r>
      <w:r>
        <w:rPr>
          <w:rFonts w:ascii="Times New Roman" w:hAnsi="Times New Roman"/>
          <w:sz w:val="24"/>
          <w:szCs w:val="24"/>
        </w:rPr>
        <w:t xml:space="preserve">., the Court of Appeals for First Appellate District (Hamilton County), held (3 to 0) that while the City enjoy governmental immunity, the lawsuit may proceed against former City Manager, dispatchers, and police [1 Dissent on police]. The </w:t>
      </w:r>
      <w:proofErr w:type="gramStart"/>
      <w:r>
        <w:rPr>
          <w:rFonts w:ascii="Times New Roman" w:hAnsi="Times New Roman"/>
          <w:sz w:val="24"/>
          <w:szCs w:val="24"/>
        </w:rPr>
        <w:t>City</w:t>
      </w:r>
      <w:proofErr w:type="gramEnd"/>
      <w:r>
        <w:rPr>
          <w:rFonts w:ascii="Times New Roman" w:hAnsi="Times New Roman"/>
          <w:sz w:val="24"/>
          <w:szCs w:val="24"/>
        </w:rPr>
        <w:t xml:space="preserve"> has confirmed it will defend and indemnify these personnel. </w:t>
      </w:r>
    </w:p>
    <w:p w14:paraId="4CAF9CA4" w14:textId="3A914803" w:rsidR="005E132A" w:rsidRDefault="005E132A" w:rsidP="005E132A">
      <w:pPr>
        <w:rPr>
          <w:rStyle w:val="Hyperlink"/>
        </w:rPr>
      </w:pPr>
      <w:r>
        <w:rPr>
          <w:rFonts w:ascii="Times New Roman" w:hAnsi="Times New Roman"/>
          <w:sz w:val="24"/>
          <w:szCs w:val="24"/>
        </w:rPr>
        <w:t xml:space="preserve">“We find that Ron and Jill Plush’ s … claims squarely attack the city of Cincinnati’s … provision of emergency medical or rescue services, which is shielded by governmental immunity. Therefore, we reverse the denial of appellants’ motion to dismiss as to the city and its employees in their official capacities. However, the complaint sufficiently alleges at least reckless conduct to preclude </w:t>
      </w:r>
      <w:proofErr w:type="gramStart"/>
      <w:r>
        <w:rPr>
          <w:rFonts w:ascii="Times New Roman" w:hAnsi="Times New Roman"/>
          <w:sz w:val="24"/>
          <w:szCs w:val="24"/>
        </w:rPr>
        <w:t>immunity as</w:t>
      </w:r>
      <w:proofErr w:type="gramEnd"/>
      <w:r>
        <w:rPr>
          <w:rFonts w:ascii="Times New Roman" w:hAnsi="Times New Roman"/>
          <w:sz w:val="24"/>
          <w:szCs w:val="24"/>
        </w:rPr>
        <w:t xml:space="preserve"> </w:t>
      </w:r>
      <w:proofErr w:type="gramStart"/>
      <w:r>
        <w:rPr>
          <w:rFonts w:ascii="Times New Roman" w:hAnsi="Times New Roman"/>
          <w:sz w:val="24"/>
          <w:szCs w:val="24"/>
        </w:rPr>
        <w:t>to</w:t>
      </w:r>
      <w:proofErr w:type="gramEnd"/>
      <w:r>
        <w:rPr>
          <w:rFonts w:ascii="Times New Roman" w:hAnsi="Times New Roman"/>
          <w:sz w:val="24"/>
          <w:szCs w:val="24"/>
        </w:rPr>
        <w:t xml:space="preserve"> the individual defendants. Therefore, appellants’ motion to dismiss was properly denied as to Harry Black, Amber Smith, Stephanie Magee, Edsel Osborn, and Brian Brazile, in their individual capacities.”</w:t>
      </w:r>
      <w:r>
        <w:t xml:space="preserve"> </w:t>
      </w:r>
      <w:hyperlink r:id="rId931" w:history="1">
        <w:r>
          <w:rPr>
            <w:rStyle w:val="Hyperlink"/>
          </w:rPr>
          <w:t>https://www.hamiltoncountyohio.gov/UserFiles/Servers/Server_3788196/File/releases/2020/C-200030_12162020.pdf</w:t>
        </w:r>
      </w:hyperlink>
    </w:p>
    <w:p w14:paraId="5B6A7AF5" w14:textId="77777777" w:rsidR="005E132A" w:rsidRDefault="005E132A" w:rsidP="005E132A">
      <w:pPr>
        <w:rPr>
          <w:rFonts w:ascii="Times New Roman" w:hAnsi="Times New Roman"/>
          <w:b/>
          <w:bCs/>
          <w:sz w:val="24"/>
          <w:szCs w:val="24"/>
        </w:rPr>
      </w:pPr>
      <w:r>
        <w:rPr>
          <w:rFonts w:ascii="Times New Roman" w:hAnsi="Times New Roman"/>
          <w:b/>
          <w:bCs/>
          <w:sz w:val="24"/>
          <w:szCs w:val="24"/>
        </w:rPr>
        <w:t>Legal Lesson Learned: Tragic event; hopefully most modern dispatch system can now locate 911 caller within a few feet.</w:t>
      </w:r>
    </w:p>
    <w:p w14:paraId="1EFBF654" w14:textId="77777777" w:rsidR="005E132A" w:rsidRPr="006B1421" w:rsidRDefault="005E132A" w:rsidP="005E132A">
      <w:pPr>
        <w:pStyle w:val="Heading1"/>
        <w:ind w:left="1440"/>
        <w:rPr>
          <w:b w:val="0"/>
          <w:bCs w:val="0"/>
          <w:sz w:val="24"/>
          <w:szCs w:val="24"/>
        </w:rPr>
      </w:pPr>
      <w:r w:rsidRPr="006B1421">
        <w:rPr>
          <w:b w:val="0"/>
          <w:bCs w:val="0"/>
          <w:sz w:val="24"/>
          <w:szCs w:val="24"/>
        </w:rPr>
        <w:t>Note:  See this article.</w:t>
      </w:r>
      <w:r>
        <w:rPr>
          <w:sz w:val="24"/>
          <w:szCs w:val="24"/>
        </w:rPr>
        <w:t xml:space="preserve">  </w:t>
      </w:r>
      <w:r>
        <w:rPr>
          <w:b w:val="0"/>
          <w:bCs w:val="0"/>
          <w:sz w:val="24"/>
          <w:szCs w:val="24"/>
        </w:rPr>
        <w:t xml:space="preserve"> “</w:t>
      </w:r>
      <w:r w:rsidRPr="006B1421">
        <w:rPr>
          <w:b w:val="0"/>
          <w:bCs w:val="0"/>
          <w:sz w:val="24"/>
          <w:szCs w:val="24"/>
        </w:rPr>
        <w:t>How Does Location Work for 911?</w:t>
      </w:r>
      <w:r>
        <w:rPr>
          <w:b w:val="0"/>
          <w:bCs w:val="0"/>
          <w:sz w:val="24"/>
          <w:szCs w:val="24"/>
        </w:rPr>
        <w:t>”</w:t>
      </w:r>
      <w:r w:rsidRPr="006B1421">
        <w:rPr>
          <w:b w:val="0"/>
          <w:bCs w:val="0"/>
          <w:sz w:val="24"/>
          <w:szCs w:val="24"/>
        </w:rPr>
        <w:t xml:space="preserve"> </w:t>
      </w:r>
      <w:hyperlink r:id="rId932" w:history="1">
        <w:r w:rsidRPr="009A2D81">
          <w:rPr>
            <w:rStyle w:val="Hyperlink"/>
            <w:b w:val="0"/>
            <w:bCs w:val="0"/>
            <w:sz w:val="24"/>
            <w:szCs w:val="24"/>
          </w:rPr>
          <w:t>https://www.nct911.org/how-location-works-for-911/</w:t>
        </w:r>
      </w:hyperlink>
      <w:r>
        <w:rPr>
          <w:b w:val="0"/>
          <w:bCs w:val="0"/>
          <w:sz w:val="24"/>
          <w:szCs w:val="24"/>
        </w:rPr>
        <w:t xml:space="preserve"> </w:t>
      </w:r>
    </w:p>
    <w:p w14:paraId="4325A884" w14:textId="1E63C5BA" w:rsidR="005E132A" w:rsidRPr="006B1421" w:rsidRDefault="005E132A" w:rsidP="005E132A">
      <w:pPr>
        <w:ind w:left="1440"/>
        <w:rPr>
          <w:rFonts w:ascii="Times New Roman" w:hAnsi="Times New Roman"/>
          <w:sz w:val="24"/>
          <w:szCs w:val="24"/>
        </w:rPr>
      </w:pPr>
      <w:r w:rsidRPr="006B1421">
        <w:rPr>
          <w:rFonts w:ascii="Times New Roman" w:hAnsi="Times New Roman"/>
          <w:b/>
          <w:bCs/>
          <w:sz w:val="24"/>
          <w:szCs w:val="24"/>
        </w:rPr>
        <w:t>“</w:t>
      </w:r>
      <w:r w:rsidRPr="006B1421">
        <w:rPr>
          <w:rFonts w:ascii="Times New Roman" w:hAnsi="Times New Roman"/>
          <w:sz w:val="24"/>
          <w:szCs w:val="24"/>
        </w:rPr>
        <w:t xml:space="preserve">On an Enhanced 9-1-1 system, calling 9-1-1 on a cell phone can yield different results. This is because the location information is provided by your cell phone carrier and each carrier is different. When you call on a cell phone, your location is determined by a combination of network triangulation and trilateration to gain an approximate location. By approximate location, </w:t>
      </w:r>
      <w:r w:rsidRPr="006B1421">
        <w:rPr>
          <w:rFonts w:ascii="Times New Roman" w:hAnsi="Times New Roman"/>
          <w:sz w:val="24"/>
          <w:szCs w:val="24"/>
        </w:rPr>
        <w:lastRenderedPageBreak/>
        <w:t>we mean within 300 meters of the nearest cell phone tower. That’s about three football fields.</w:t>
      </w:r>
      <w:r>
        <w:rPr>
          <w:rFonts w:ascii="Times New Roman" w:hAnsi="Times New Roman"/>
          <w:sz w:val="24"/>
          <w:szCs w:val="24"/>
        </w:rPr>
        <w:t xml:space="preserve"> </w:t>
      </w:r>
      <w:r w:rsidRPr="006B1421">
        <w:rPr>
          <w:rFonts w:ascii="Times New Roman" w:hAnsi="Times New Roman"/>
          <w:sz w:val="24"/>
          <w:szCs w:val="24"/>
        </w:rPr>
        <w:t xml:space="preserve">If your police department or sheriff’s office is on a Next Generation 9-1-1 network, which emphasizes more modern technology, and if they use device-based hybrid location accuracy, DHL, (technology similar to that used by ride-sharing apps), they may be able to pinpoint your location within 15 meters.” </w:t>
      </w:r>
    </w:p>
    <w:p w14:paraId="16BEAC0B" w14:textId="77777777" w:rsidR="005E132A" w:rsidRPr="006B1421" w:rsidRDefault="005E132A" w:rsidP="005E132A">
      <w:pPr>
        <w:ind w:left="720"/>
        <w:rPr>
          <w:rStyle w:val="Hyperlink"/>
          <w:rFonts w:ascii="Times New Roman" w:hAnsi="Times New Roman"/>
          <w:sz w:val="24"/>
          <w:szCs w:val="24"/>
        </w:rPr>
      </w:pPr>
      <w:hyperlink r:id="rId933" w:history="1">
        <w:r w:rsidRPr="006B1421">
          <w:rPr>
            <w:rStyle w:val="Hyperlink"/>
            <w:rFonts w:ascii="Times New Roman" w:hAnsi="Times New Roman"/>
            <w:sz w:val="24"/>
            <w:szCs w:val="24"/>
          </w:rPr>
          <w:t>https://www.nct911.org/how-location-works-for-911/</w:t>
        </w:r>
      </w:hyperlink>
    </w:p>
    <w:p w14:paraId="7284602C" w14:textId="77777777" w:rsidR="005E132A" w:rsidRDefault="005E132A" w:rsidP="005E132A">
      <w:pPr>
        <w:rPr>
          <w:rStyle w:val="Hyperlink"/>
          <w:rFonts w:ascii="Arial Black" w:hAnsi="Arial Black"/>
          <w:b/>
          <w:color w:val="auto"/>
          <w:sz w:val="24"/>
          <w:szCs w:val="24"/>
          <w:u w:val="none"/>
        </w:rPr>
      </w:pPr>
    </w:p>
    <w:p w14:paraId="45589666" w14:textId="77777777" w:rsidR="005E132A" w:rsidRDefault="005E132A" w:rsidP="002B1283">
      <w:pPr>
        <w:rPr>
          <w:rStyle w:val="Hyperlink"/>
          <w:rFonts w:ascii="Arial Black" w:hAnsi="Arial Black"/>
          <w:b/>
          <w:color w:val="auto"/>
          <w:sz w:val="24"/>
          <w:szCs w:val="24"/>
          <w:u w:val="none"/>
        </w:rPr>
      </w:pPr>
    </w:p>
    <w:p w14:paraId="52AE58BE" w14:textId="08191573" w:rsidR="007D178F" w:rsidRDefault="007D178F"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4-12</w:t>
      </w:r>
    </w:p>
    <w:p w14:paraId="673E86C1" w14:textId="77777777" w:rsidR="007D178F" w:rsidRPr="00075D85" w:rsidRDefault="007D178F" w:rsidP="007D178F">
      <w:pPr>
        <w:pStyle w:val="NoSpacing"/>
        <w:rPr>
          <w:rFonts w:ascii="Arial Black" w:hAnsi="Arial Black"/>
          <w:sz w:val="28"/>
          <w:szCs w:val="28"/>
        </w:rPr>
      </w:pPr>
      <w:r>
        <w:rPr>
          <w:rFonts w:ascii="Arial Black" w:hAnsi="Arial Black"/>
          <w:sz w:val="28"/>
          <w:szCs w:val="28"/>
        </w:rPr>
        <w:t>NY: FDNY TRAINING APARTMENT BLDG BEING REHABED – STILL FEW RESIDENTS, DOORS FORCED OPEN – CASE DISMISSED</w:t>
      </w:r>
    </w:p>
    <w:p w14:paraId="64C49571" w14:textId="77777777" w:rsidR="007D178F" w:rsidRDefault="007D178F" w:rsidP="007D178F">
      <w:pPr>
        <w:pStyle w:val="NormalWeb"/>
      </w:pPr>
      <w:r>
        <w:t xml:space="preserve">On Nov. 25, 2020, in </w:t>
      </w:r>
      <w:r w:rsidRPr="00075D85">
        <w:rPr>
          <w:u w:val="single"/>
        </w:rPr>
        <w:t xml:space="preserve">Henry Brown, et al. v. Fire Department of City of New York, </w:t>
      </w:r>
      <w:r>
        <w:rPr>
          <w:u w:val="single"/>
        </w:rPr>
        <w:t xml:space="preserve">the City of New York, </w:t>
      </w:r>
      <w:r w:rsidRPr="00075D85">
        <w:rPr>
          <w:u w:val="single"/>
        </w:rPr>
        <w:t>et al</w:t>
      </w:r>
      <w:r>
        <w:t>., U.S. District Court Judge Lashann Dearcy Hall, U.S. District Court for Eastern District of New York, granted the City’s motion to dismiss; there was no proof that the City was on notice of any deficiencies in the FDNY’s training conducted April – June, 2016 in the 23-unit apartment building (five plaintiffs still lived in the building). The training exercises included breaking down doors and entering apartments, and led to two incidents of forcible, warrantless entry into Plaintiffs' apartments.</w:t>
      </w:r>
    </w:p>
    <w:p w14:paraId="64A60F80" w14:textId="77777777" w:rsidR="007D178F" w:rsidRDefault="007D178F" w:rsidP="007D178F">
      <w:pPr>
        <w:pStyle w:val="NormalWeb"/>
        <w:ind w:left="720"/>
      </w:pPr>
      <w:r>
        <w:t xml:space="preserve">“Here, Plaintiffs allege that City Defendants failed to train FDNY officers how to ‘properly distinguish occupied from vacant apartments in the context of emergency entry training exercises.’ (Am. </w:t>
      </w:r>
      <w:proofErr w:type="spellStart"/>
      <w:r>
        <w:t>Compl</w:t>
      </w:r>
      <w:proofErr w:type="spellEnd"/>
      <w:r>
        <w:t>. ¶¶ 53, 113.) The complaint contains two allegations of constitutional violations: the warrantless entries by FDNY Officers into Plaintiff Moyer's apartment on May 17, 2016, and Plaintiff Henry Brown's apartment on May 21, 2016.… However, there are no allegations that indicate that City Defendants were on notice that the training of FDNY officers was deficient. Plaintiff Moyer did call the police after the FDNY allegedly entered her home because she thought they had been robbed…. However, there is no plausible inference that her call to the police to report a robbery put the City Defendants on notice that the training of FDNY officers was deficient. Plaintiff Henry Brown filed a complaint at the local fire house and complained to Brooklyn Community Board #8 after the alleged unlawful entrance into his home</w:t>
      </w:r>
      <w:proofErr w:type="gramStart"/>
      <w:r>
        <w:t>…..</w:t>
      </w:r>
      <w:proofErr w:type="gramEnd"/>
      <w:r>
        <w:t xml:space="preserve"> However, any such complaints, which were made after the alleged warrantless entries into Plaintiffs' homes, could not be said to have put the City Defendants on notice of training deficiencies prior to the alleged unconstitutional conduct.” </w:t>
      </w:r>
      <w:hyperlink r:id="rId934" w:history="1">
        <w:r w:rsidRPr="00695F3D">
          <w:rPr>
            <w:rStyle w:val="Hyperlink"/>
          </w:rPr>
          <w:t>https://docs.justia.com/cases/federal/district-courts/new-york/nyedce/1:2019cv02400/432390/46</w:t>
        </w:r>
      </w:hyperlink>
      <w:r>
        <w:t xml:space="preserve"> </w:t>
      </w:r>
    </w:p>
    <w:p w14:paraId="300EC7BA" w14:textId="77777777" w:rsidR="007D178F" w:rsidRPr="005E4BB8" w:rsidRDefault="007D178F" w:rsidP="007D178F">
      <w:pPr>
        <w:pStyle w:val="NormalWeb"/>
        <w:rPr>
          <w:b/>
          <w:bCs/>
        </w:rPr>
      </w:pPr>
      <w:r w:rsidRPr="005E4BB8">
        <w:rPr>
          <w:b/>
          <w:bCs/>
        </w:rPr>
        <w:t>Legal Lesson Learned</w:t>
      </w:r>
      <w:r>
        <w:rPr>
          <w:b/>
          <w:bCs/>
        </w:rPr>
        <w:t xml:space="preserve">: No constitutional violations, but training in a partially occupied apartment building presenting some obvious “challenges” for training officers and the participating firefighters. </w:t>
      </w:r>
    </w:p>
    <w:p w14:paraId="6B12B880" w14:textId="77777777" w:rsidR="007D178F" w:rsidRDefault="007D178F" w:rsidP="002B1283">
      <w:pPr>
        <w:rPr>
          <w:rStyle w:val="Hyperlink"/>
          <w:rFonts w:ascii="Arial Black" w:hAnsi="Arial Black"/>
          <w:b/>
          <w:color w:val="auto"/>
          <w:sz w:val="24"/>
          <w:szCs w:val="24"/>
          <w:u w:val="none"/>
        </w:rPr>
      </w:pPr>
    </w:p>
    <w:p w14:paraId="63155450" w14:textId="77777777" w:rsidR="007D178F" w:rsidRDefault="007D178F" w:rsidP="002B1283">
      <w:pPr>
        <w:rPr>
          <w:rStyle w:val="Hyperlink"/>
          <w:rFonts w:ascii="Arial Black" w:hAnsi="Arial Black"/>
          <w:b/>
          <w:color w:val="auto"/>
          <w:sz w:val="24"/>
          <w:szCs w:val="24"/>
          <w:u w:val="none"/>
        </w:rPr>
      </w:pPr>
    </w:p>
    <w:p w14:paraId="6606C8A5" w14:textId="483CE476" w:rsidR="007D178F" w:rsidRDefault="007D178F"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4-11</w:t>
      </w:r>
    </w:p>
    <w:p w14:paraId="1D24AEDF" w14:textId="77777777" w:rsidR="007D178F" w:rsidRPr="003E0282" w:rsidRDefault="007D178F" w:rsidP="007D178F">
      <w:pPr>
        <w:pStyle w:val="NoSpacing"/>
        <w:rPr>
          <w:rFonts w:ascii="Arial Black" w:hAnsi="Arial Black"/>
          <w:sz w:val="28"/>
          <w:szCs w:val="28"/>
        </w:rPr>
      </w:pPr>
      <w:bookmarkStart w:id="176" w:name="_Hlk66942804"/>
      <w:r>
        <w:rPr>
          <w:rFonts w:ascii="Arial Black" w:hAnsi="Arial Black"/>
          <w:sz w:val="28"/>
          <w:szCs w:val="28"/>
        </w:rPr>
        <w:lastRenderedPageBreak/>
        <w:t>NY: PAPER MILL FIRE – DECK GUN – DISCHARGED OVER TOP OF HYDROELECTRIC FACILITY – NO LIABILITY FOR DAMAGE</w:t>
      </w:r>
    </w:p>
    <w:p w14:paraId="235564E6" w14:textId="77777777" w:rsidR="007D178F" w:rsidRDefault="007D178F" w:rsidP="007D178F">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Nov. 25, 2020, in </w:t>
      </w:r>
      <w:r w:rsidRPr="003E0282">
        <w:rPr>
          <w:rFonts w:ascii="Times New Roman" w:eastAsia="Times New Roman" w:hAnsi="Times New Roman"/>
          <w:sz w:val="24"/>
          <w:szCs w:val="24"/>
          <w:u w:val="single"/>
        </w:rPr>
        <w:t>Stevens &amp; Thompson Paper Company, Inc. v. Middle Falls Fire Department, Inc.</w:t>
      </w:r>
      <w:r>
        <w:rPr>
          <w:rFonts w:ascii="Times New Roman" w:eastAsia="Times New Roman" w:hAnsi="Times New Roman"/>
          <w:sz w:val="24"/>
          <w:szCs w:val="24"/>
          <w:u w:val="single"/>
        </w:rPr>
        <w:t>, et al</w:t>
      </w:r>
      <w:r>
        <w:rPr>
          <w:rFonts w:ascii="Times New Roman" w:eastAsia="Times New Roman" w:hAnsi="Times New Roman"/>
          <w:sz w:val="24"/>
          <w:szCs w:val="24"/>
        </w:rPr>
        <w:t xml:space="preserve">, the Appellate Division of the Supreme Court of the State of New York, held (5 to 0) that the trial court properly granted summary judgment to the FD and the </w:t>
      </w:r>
      <w:r w:rsidRPr="003E0282">
        <w:rPr>
          <w:rFonts w:ascii="Times New Roman" w:eastAsia="Times New Roman" w:hAnsi="Times New Roman"/>
          <w:sz w:val="24"/>
          <w:szCs w:val="24"/>
        </w:rPr>
        <w:t>Village of Greenwich, and the Town of Greenwich</w:t>
      </w:r>
      <w:r>
        <w:rPr>
          <w:rFonts w:ascii="Times New Roman" w:eastAsia="Times New Roman" w:hAnsi="Times New Roman"/>
          <w:sz w:val="24"/>
          <w:szCs w:val="24"/>
        </w:rPr>
        <w:t xml:space="preserve"> under the governmental immunity doctrine.</w:t>
      </w:r>
    </w:p>
    <w:bookmarkEnd w:id="176"/>
    <w:p w14:paraId="1E0C94C3" w14:textId="77777777" w:rsidR="007D178F" w:rsidRDefault="007D178F" w:rsidP="007D178F">
      <w:pPr>
        <w:pStyle w:val="NoSpacing"/>
        <w:ind w:left="720"/>
        <w:rPr>
          <w:rFonts w:ascii="Times New Roman" w:hAnsi="Times New Roman"/>
          <w:sz w:val="24"/>
          <w:szCs w:val="24"/>
        </w:rPr>
      </w:pPr>
      <w:r>
        <w:rPr>
          <w:rFonts w:ascii="Times New Roman" w:hAnsi="Times New Roman"/>
          <w:sz w:val="24"/>
          <w:szCs w:val="24"/>
        </w:rPr>
        <w:t>“</w:t>
      </w:r>
      <w:r w:rsidRPr="00902E58">
        <w:rPr>
          <w:rFonts w:ascii="Times New Roman" w:hAnsi="Times New Roman"/>
          <w:sz w:val="24"/>
          <w:szCs w:val="24"/>
        </w:rPr>
        <w:t xml:space="preserve">The key issue is therefore whether the fire department defendants' purportedly negligent acts — choosing to use the deck gun and aim it in a direction that caused a rain to fall around the powerhouse — were discretionary in that they arose from </w:t>
      </w:r>
      <w:r>
        <w:rPr>
          <w:rFonts w:ascii="Times New Roman" w:hAnsi="Times New Roman"/>
          <w:sz w:val="24"/>
          <w:szCs w:val="24"/>
        </w:rPr>
        <w:t>‘</w:t>
      </w:r>
      <w:r w:rsidRPr="00902E58">
        <w:rPr>
          <w:rFonts w:ascii="Times New Roman" w:hAnsi="Times New Roman"/>
          <w:sz w:val="24"/>
          <w:szCs w:val="24"/>
        </w:rPr>
        <w:t>the exercise of reasoned judgment which could typically produce different acceptable results</w:t>
      </w:r>
      <w:r>
        <w:rPr>
          <w:rFonts w:ascii="Times New Roman" w:hAnsi="Times New Roman"/>
          <w:sz w:val="24"/>
          <w:szCs w:val="24"/>
        </w:rPr>
        <w:t>’</w:t>
      </w:r>
      <w:r w:rsidRPr="00902E58">
        <w:rPr>
          <w:rFonts w:ascii="Times New Roman" w:hAnsi="Times New Roman"/>
          <w:sz w:val="24"/>
          <w:szCs w:val="24"/>
        </w:rPr>
        <w:t xml:space="preserve"> (</w:t>
      </w:r>
      <w:r w:rsidRPr="00902E58">
        <w:rPr>
          <w:rFonts w:ascii="Times New Roman" w:hAnsi="Times New Roman"/>
          <w:i/>
          <w:iCs/>
          <w:sz w:val="24"/>
          <w:szCs w:val="24"/>
        </w:rPr>
        <w:t>Tango v Tulevech</w:t>
      </w:r>
      <w:r w:rsidRPr="00902E58">
        <w:rPr>
          <w:rFonts w:ascii="Times New Roman" w:hAnsi="Times New Roman"/>
          <w:sz w:val="24"/>
          <w:szCs w:val="24"/>
        </w:rPr>
        <w:t xml:space="preserve">, 61 NY2d 34, 4). </w:t>
      </w:r>
    </w:p>
    <w:p w14:paraId="63B3C212" w14:textId="77777777" w:rsidR="007D178F" w:rsidRDefault="007D178F" w:rsidP="007D178F">
      <w:pPr>
        <w:pStyle w:val="NoSpacing"/>
        <w:ind w:left="720"/>
        <w:rPr>
          <w:rFonts w:ascii="Times New Roman" w:hAnsi="Times New Roman"/>
          <w:sz w:val="24"/>
          <w:szCs w:val="24"/>
        </w:rPr>
      </w:pPr>
    </w:p>
    <w:p w14:paraId="02292674" w14:textId="77777777" w:rsidR="007D178F" w:rsidRDefault="007D178F" w:rsidP="007D178F">
      <w:pPr>
        <w:pStyle w:val="NoSpacing"/>
        <w:ind w:left="720"/>
        <w:rPr>
          <w:rFonts w:ascii="Times New Roman" w:hAnsi="Times New Roman"/>
          <w:sz w:val="24"/>
          <w:szCs w:val="24"/>
        </w:rPr>
      </w:pPr>
      <w:r w:rsidRPr="00902E58">
        <w:rPr>
          <w:rFonts w:ascii="Times New Roman" w:hAnsi="Times New Roman"/>
          <w:sz w:val="24"/>
          <w:szCs w:val="24"/>
        </w:rPr>
        <w:t xml:space="preserve">*** </w:t>
      </w:r>
    </w:p>
    <w:p w14:paraId="21999CE5" w14:textId="7FB4D18E" w:rsidR="007D178F" w:rsidRDefault="007D178F" w:rsidP="007D178F">
      <w:pPr>
        <w:rPr>
          <w:rStyle w:val="Hyperlink"/>
          <w:rFonts w:ascii="Arial Black" w:hAnsi="Arial Black"/>
          <w:b/>
          <w:color w:val="auto"/>
          <w:sz w:val="24"/>
          <w:szCs w:val="24"/>
          <w:u w:val="none"/>
        </w:rPr>
      </w:pPr>
      <w:r w:rsidRPr="00902E58">
        <w:rPr>
          <w:rFonts w:ascii="Times New Roman" w:hAnsi="Times New Roman"/>
          <w:sz w:val="24"/>
          <w:szCs w:val="24"/>
        </w:rPr>
        <w:t xml:space="preserve">Moreover, although the selected direction of the deck gun caused </w:t>
      </w:r>
      <w:proofErr w:type="gramStart"/>
      <w:r w:rsidRPr="00902E58">
        <w:rPr>
          <w:rFonts w:ascii="Times New Roman" w:hAnsi="Times New Roman"/>
          <w:sz w:val="24"/>
          <w:szCs w:val="24"/>
        </w:rPr>
        <w:t>a rain</w:t>
      </w:r>
      <w:proofErr w:type="gramEnd"/>
      <w:r w:rsidRPr="00902E58">
        <w:rPr>
          <w:rFonts w:ascii="Times New Roman" w:hAnsi="Times New Roman"/>
          <w:sz w:val="24"/>
          <w:szCs w:val="24"/>
        </w:rPr>
        <w:t xml:space="preserve"> or mist to fall upon the powerhouse when it was in use, the firefighters had no reason to anticipate that this would affect the interior of the powerhouse. A surveillance video of the area shows wet ground, but no flooding, and it appears that </w:t>
      </w:r>
      <w:proofErr w:type="gramStart"/>
      <w:r w:rsidRPr="00902E58">
        <w:rPr>
          <w:rFonts w:ascii="Times New Roman" w:hAnsi="Times New Roman"/>
          <w:sz w:val="24"/>
          <w:szCs w:val="24"/>
        </w:rPr>
        <w:t>water that</w:t>
      </w:r>
      <w:proofErr w:type="gramEnd"/>
      <w:r w:rsidRPr="00902E58">
        <w:rPr>
          <w:rFonts w:ascii="Times New Roman" w:hAnsi="Times New Roman"/>
          <w:sz w:val="24"/>
          <w:szCs w:val="24"/>
        </w:rPr>
        <w:t xml:space="preserve"> drained into an outdoor catch basin as designed then seeped into the powerhouse through a masonry joint. Further, although one could reasonably question the efficacy of the firefighters' efforts to reorient the deck gun once they learned of that problem, the efficacy of those efforts </w:t>
      </w:r>
      <w:proofErr w:type="gramStart"/>
      <w:r w:rsidRPr="00902E58">
        <w:rPr>
          <w:rFonts w:ascii="Times New Roman" w:hAnsi="Times New Roman"/>
          <w:sz w:val="24"/>
          <w:szCs w:val="24"/>
        </w:rPr>
        <w:t>are</w:t>
      </w:r>
      <w:proofErr w:type="gramEnd"/>
      <w:r w:rsidRPr="00902E58">
        <w:rPr>
          <w:rFonts w:ascii="Times New Roman" w:hAnsi="Times New Roman"/>
          <w:sz w:val="24"/>
          <w:szCs w:val="24"/>
        </w:rPr>
        <w:t xml:space="preserve"> irrelevant given that their activities caused no further seepage into the powerhouse</w:t>
      </w:r>
      <w:r>
        <w:rPr>
          <w:rFonts w:ascii="Times New Roman" w:hAnsi="Times New Roman"/>
          <w:sz w:val="24"/>
          <w:szCs w:val="24"/>
        </w:rPr>
        <w:t xml:space="preserve">.” </w:t>
      </w:r>
      <w:bookmarkStart w:id="177" w:name="_Hlk66942827"/>
      <w:r w:rsidR="00F00958">
        <w:fldChar w:fldCharType="begin"/>
      </w:r>
      <w:r w:rsidR="00F00958">
        <w:instrText xml:space="preserve"> HYPERLINK "http://decisions.courts.state.ny.us/ad3/Decisions/2020/529718.pdf" </w:instrText>
      </w:r>
      <w:r w:rsidR="00F00958">
        <w:fldChar w:fldCharType="separate"/>
      </w:r>
      <w:r w:rsidRPr="00695F3D">
        <w:rPr>
          <w:rStyle w:val="Hyperlink"/>
          <w:rFonts w:ascii="Times New Roman" w:hAnsi="Times New Roman"/>
          <w:sz w:val="24"/>
          <w:szCs w:val="24"/>
        </w:rPr>
        <w:t>http://decisions.courts.state.ny.us/ad3/Decisions/2020/529718.pdf</w:t>
      </w:r>
      <w:r w:rsidR="00F00958">
        <w:rPr>
          <w:rStyle w:val="Hyperlink"/>
          <w:rFonts w:ascii="Times New Roman" w:hAnsi="Times New Roman"/>
          <w:sz w:val="24"/>
          <w:szCs w:val="24"/>
        </w:rPr>
        <w:fldChar w:fldCharType="end"/>
      </w:r>
    </w:p>
    <w:p w14:paraId="1FD92A1D" w14:textId="77777777" w:rsidR="007D178F" w:rsidRPr="00902E58" w:rsidRDefault="007D178F" w:rsidP="007D178F">
      <w:pPr>
        <w:pStyle w:val="NoSpacing"/>
        <w:rPr>
          <w:rFonts w:ascii="Times New Roman" w:hAnsi="Times New Roman"/>
          <w:b/>
          <w:bCs/>
          <w:sz w:val="24"/>
          <w:szCs w:val="24"/>
        </w:rPr>
      </w:pPr>
      <w:r w:rsidRPr="00902E58">
        <w:rPr>
          <w:rFonts w:ascii="Times New Roman" w:hAnsi="Times New Roman"/>
          <w:b/>
          <w:bCs/>
          <w:sz w:val="24"/>
          <w:szCs w:val="24"/>
        </w:rPr>
        <w:t xml:space="preserve">Legal Lesson Learned:  Discretionary acts by fire department are protected by governmental immunity. </w:t>
      </w:r>
    </w:p>
    <w:bookmarkEnd w:id="177"/>
    <w:p w14:paraId="69314B50" w14:textId="77777777" w:rsidR="007D178F" w:rsidRDefault="007D178F" w:rsidP="007D178F">
      <w:pPr>
        <w:pStyle w:val="NoSpacing"/>
        <w:rPr>
          <w:rFonts w:ascii="Times New Roman" w:hAnsi="Times New Roman"/>
          <w:sz w:val="24"/>
          <w:szCs w:val="24"/>
        </w:rPr>
      </w:pPr>
    </w:p>
    <w:p w14:paraId="6213E884" w14:textId="77777777" w:rsidR="007D178F" w:rsidRDefault="007D178F" w:rsidP="002B1283">
      <w:pPr>
        <w:rPr>
          <w:rStyle w:val="Hyperlink"/>
          <w:rFonts w:ascii="Arial Black" w:hAnsi="Arial Black"/>
          <w:b/>
          <w:color w:val="auto"/>
          <w:sz w:val="24"/>
          <w:szCs w:val="24"/>
          <w:u w:val="none"/>
        </w:rPr>
      </w:pPr>
    </w:p>
    <w:p w14:paraId="3D84C96F" w14:textId="2D4C4586" w:rsidR="00DD03E3" w:rsidRDefault="00DD03E3"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4-10</w:t>
      </w:r>
    </w:p>
    <w:p w14:paraId="22CD24AA" w14:textId="77777777" w:rsidR="00DD03E3" w:rsidRPr="00E0368C" w:rsidRDefault="00DD03E3" w:rsidP="00DD03E3">
      <w:pPr>
        <w:pStyle w:val="Heading1"/>
        <w:rPr>
          <w:rFonts w:ascii="Arial Black" w:hAnsi="Arial Black"/>
          <w:b w:val="0"/>
          <w:sz w:val="28"/>
          <w:szCs w:val="28"/>
        </w:rPr>
      </w:pPr>
      <w:bookmarkStart w:id="178" w:name="_Hlk66942878"/>
      <w:r>
        <w:rPr>
          <w:rStyle w:val="font-weight-bold"/>
          <w:rFonts w:ascii="Arial Black" w:eastAsiaTheme="majorEastAsia" w:hAnsi="Arial Black"/>
          <w:sz w:val="28"/>
          <w:szCs w:val="28"/>
        </w:rPr>
        <w:t>CA: KOBE BRYANT DEATH – NEW CA STATUTE – CRIME FOR EMERGENCY RESPONDERS TAKE PHOTOS WITH PERSONAL DEVICES</w:t>
      </w:r>
    </w:p>
    <w:p w14:paraId="3304462E" w14:textId="77777777" w:rsidR="00DD03E3" w:rsidRPr="00E0368C" w:rsidRDefault="00DD03E3" w:rsidP="00DD03E3">
      <w:pPr>
        <w:pStyle w:val="NormalWeb"/>
        <w:rPr>
          <w:bCs/>
        </w:rPr>
      </w:pPr>
      <w:r w:rsidRPr="00E0368C">
        <w:rPr>
          <w:bCs/>
        </w:rPr>
        <w:t xml:space="preserve">Sept. 28, 2020: CA - Gov. Newsom Signs New Law Prompted </w:t>
      </w:r>
      <w:proofErr w:type="gramStart"/>
      <w:r w:rsidRPr="00E0368C">
        <w:rPr>
          <w:bCs/>
        </w:rPr>
        <w:t>By</w:t>
      </w:r>
      <w:proofErr w:type="gramEnd"/>
      <w:r w:rsidRPr="00E0368C">
        <w:rPr>
          <w:bCs/>
        </w:rPr>
        <w:t xml:space="preserve"> Photo Scandal </w:t>
      </w:r>
      <w:proofErr w:type="gramStart"/>
      <w:r w:rsidRPr="00E0368C">
        <w:rPr>
          <w:bCs/>
        </w:rPr>
        <w:t>In</w:t>
      </w:r>
      <w:proofErr w:type="gramEnd"/>
      <w:r w:rsidRPr="00E0368C">
        <w:rPr>
          <w:bCs/>
        </w:rPr>
        <w:t xml:space="preserve"> Crash That Killed Kobe Bryant, 8 Others </w:t>
      </w:r>
      <w:proofErr w:type="gramStart"/>
      <w:r w:rsidRPr="00E0368C">
        <w:rPr>
          <w:bCs/>
        </w:rPr>
        <w:t>In</w:t>
      </w:r>
      <w:proofErr w:type="gramEnd"/>
      <w:r w:rsidRPr="00E0368C">
        <w:rPr>
          <w:bCs/>
        </w:rPr>
        <w:t xml:space="preserve"> Calabasas - Gov. Gavin Newsom has approved legislation prompted by the helicopter crash that killed Kobe Bryant and eight others in Calabasas earlier this year. The bill </w:t>
      </w:r>
      <w:proofErr w:type="gramStart"/>
      <w:r w:rsidRPr="00E0368C">
        <w:rPr>
          <w:bCs/>
        </w:rPr>
        <w:t>signed</w:t>
      </w:r>
      <w:proofErr w:type="gramEnd"/>
      <w:r w:rsidRPr="00E0368C">
        <w:rPr>
          <w:bCs/>
        </w:rPr>
        <w:t xml:space="preserve"> Monday makes it a crime for first responders to take unauthorized photos of deceased people at the scene of an accident or crime.  Reports surfaced after the Jan. 26 crash that graphic photos of the victims were being shared by eight deputies.  Los Angeles County Sheriff Alex Villanueva said the department has a policy against taking and sharing crime scene photos, but it does not apply to accident scenes. Vanessa </w:t>
      </w:r>
      <w:hyperlink r:id="rId935" w:history="1">
        <w:r w:rsidRPr="00E0368C">
          <w:rPr>
            <w:rStyle w:val="Hyperlink"/>
            <w:rFonts w:eastAsiaTheme="majorEastAsia"/>
            <w:bCs/>
          </w:rPr>
          <w:t>Bryant has sued the sheriff</w:t>
        </w:r>
      </w:hyperlink>
      <w:r w:rsidRPr="00E0368C">
        <w:rPr>
          <w:bCs/>
        </w:rPr>
        <w:t xml:space="preserve"> in a lawsuit seeking damages for negligence, invasion of privacy and intentional infliction of emotional distress. </w:t>
      </w:r>
      <w:hyperlink r:id="rId936" w:history="1">
        <w:r w:rsidRPr="00E0368C">
          <w:rPr>
            <w:rStyle w:val="Hyperlink"/>
            <w:bCs/>
          </w:rPr>
          <w:t>https://ktla.com/news/local-news/gov-newsom-signs-new-law-prompted-by-photo-scandal-in-crash-that-killed-kobe-bryant-8-others-in-calabasas/</w:t>
        </w:r>
      </w:hyperlink>
      <w:r w:rsidRPr="00E0368C">
        <w:rPr>
          <w:bCs/>
        </w:rPr>
        <w:t xml:space="preserve"> </w:t>
      </w:r>
    </w:p>
    <w:p w14:paraId="460523EF" w14:textId="77777777" w:rsidR="00DD03E3" w:rsidRPr="00E0368C" w:rsidRDefault="00DD03E3" w:rsidP="00DD03E3">
      <w:pPr>
        <w:pStyle w:val="NormalWeb"/>
        <w:ind w:left="720"/>
      </w:pPr>
      <w:r w:rsidRPr="00E0368C">
        <w:t xml:space="preserve">CA Law: 647.9:  (a) A first responder, operating under color of authority, who responds to the scene of an accident or crime and captures the photographic image of a deceased person by any means, including, but not limited to, by use of a personal electronic device or a device belonging to their employing agency, for any purpose other than an official law enforcement purpose or a genuine public interest is guilty of a misdemeanor punishable by a fine not exceeding one thousand dollars ($1,000) per violation. </w:t>
      </w:r>
      <w:hyperlink r:id="rId937" w:history="1">
        <w:r w:rsidRPr="00987F62">
          <w:rPr>
            <w:rStyle w:val="Hyperlink"/>
          </w:rPr>
          <w:t>https://leginfo.legislature.ca.gov/faces/billTextClient.xhtml?bill_id=201920200AB2655</w:t>
        </w:r>
      </w:hyperlink>
      <w:r w:rsidRPr="00E0368C">
        <w:t xml:space="preserve"> </w:t>
      </w:r>
    </w:p>
    <w:p w14:paraId="4E405DC4" w14:textId="77777777" w:rsidR="00DD03E3" w:rsidRDefault="00DD03E3" w:rsidP="00DD03E3">
      <w:pPr>
        <w:spacing w:before="100" w:beforeAutospacing="1" w:after="100" w:afterAutospacing="1" w:line="240" w:lineRule="auto"/>
        <w:rPr>
          <w:rFonts w:ascii="Times New Roman" w:eastAsia="Times New Roman" w:hAnsi="Times New Roman"/>
          <w:b/>
          <w:bCs/>
          <w:sz w:val="24"/>
          <w:szCs w:val="24"/>
        </w:rPr>
      </w:pPr>
      <w:bookmarkStart w:id="179" w:name="_Hlk66942912"/>
      <w:bookmarkEnd w:id="178"/>
      <w:r>
        <w:rPr>
          <w:rFonts w:ascii="Times New Roman" w:eastAsia="Times New Roman" w:hAnsi="Times New Roman"/>
          <w:b/>
          <w:bCs/>
          <w:sz w:val="24"/>
          <w:szCs w:val="24"/>
        </w:rPr>
        <w:lastRenderedPageBreak/>
        <w:t xml:space="preserve">Legal Lesson Learned:  Fire &amp; EMS departments should have a policy or SOG regarding taking photos at scenes. </w:t>
      </w:r>
    </w:p>
    <w:p w14:paraId="4DDC9857" w14:textId="165A0F28" w:rsidR="00DD03E3" w:rsidRPr="00DD03E3" w:rsidRDefault="00DD03E3" w:rsidP="00DD03E3">
      <w:pPr>
        <w:ind w:left="720"/>
        <w:rPr>
          <w:rStyle w:val="Hyperlink"/>
          <w:rFonts w:ascii="Times New Roman" w:hAnsi="Times New Roman"/>
          <w:b/>
          <w:color w:val="auto"/>
          <w:sz w:val="24"/>
          <w:szCs w:val="24"/>
          <w:u w:val="none"/>
        </w:rPr>
      </w:pPr>
      <w:r w:rsidRPr="00DD03E3">
        <w:rPr>
          <w:rFonts w:ascii="Times New Roman" w:hAnsi="Times New Roman"/>
          <w:sz w:val="24"/>
          <w:szCs w:val="24"/>
        </w:rPr>
        <w:t xml:space="preserve">For example, see Yakima County, WA Fire District 12 policy: “All personnel are permitted to photograph an incident scene so long as the photograph is taken with a </w:t>
      </w:r>
      <w:proofErr w:type="gramStart"/>
      <w:r w:rsidRPr="00DD03E3">
        <w:rPr>
          <w:rFonts w:ascii="Times New Roman" w:hAnsi="Times New Roman"/>
          <w:sz w:val="24"/>
          <w:szCs w:val="24"/>
        </w:rPr>
        <w:t>Department</w:t>
      </w:r>
      <w:proofErr w:type="gramEnd"/>
      <w:r w:rsidRPr="00DD03E3">
        <w:rPr>
          <w:rFonts w:ascii="Times New Roman" w:hAnsi="Times New Roman"/>
          <w:sz w:val="24"/>
          <w:szCs w:val="24"/>
        </w:rPr>
        <w:t xml:space="preserve"> issued camera. a. Personal devices: cell phone cameras, video cameras, digital cameras and film cameras are not permitted to take on scene photos at any time by any member.” </w:t>
      </w:r>
      <w:hyperlink r:id="rId938" w:history="1">
        <w:r w:rsidRPr="00DD03E3">
          <w:rPr>
            <w:rStyle w:val="Hyperlink"/>
            <w:rFonts w:ascii="Times New Roman" w:hAnsi="Times New Roman"/>
            <w:sz w:val="24"/>
            <w:szCs w:val="24"/>
          </w:rPr>
          <w:t>http://www.westvalleyfire.com/default.asp?pageid=188&amp;deptid=1</w:t>
        </w:r>
      </w:hyperlink>
    </w:p>
    <w:bookmarkEnd w:id="179"/>
    <w:p w14:paraId="20092EC1" w14:textId="77777777" w:rsidR="00DD03E3" w:rsidRDefault="00DD03E3" w:rsidP="002B1283">
      <w:pPr>
        <w:rPr>
          <w:rStyle w:val="Hyperlink"/>
          <w:rFonts w:ascii="Arial Black" w:hAnsi="Arial Black"/>
          <w:b/>
          <w:color w:val="auto"/>
          <w:sz w:val="24"/>
          <w:szCs w:val="24"/>
          <w:u w:val="none"/>
        </w:rPr>
      </w:pPr>
    </w:p>
    <w:p w14:paraId="68A820C6" w14:textId="77777777" w:rsidR="00DD03E3" w:rsidRDefault="00DD03E3" w:rsidP="002B1283">
      <w:pPr>
        <w:rPr>
          <w:rStyle w:val="Hyperlink"/>
          <w:rFonts w:ascii="Arial Black" w:hAnsi="Arial Black"/>
          <w:b/>
          <w:color w:val="auto"/>
          <w:sz w:val="24"/>
          <w:szCs w:val="24"/>
          <w:u w:val="none"/>
        </w:rPr>
      </w:pPr>
    </w:p>
    <w:p w14:paraId="06E98AA9" w14:textId="1B536075" w:rsidR="00C630E7" w:rsidRDefault="00C630E7"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4-9</w:t>
      </w:r>
    </w:p>
    <w:p w14:paraId="1CD9C302" w14:textId="77777777" w:rsidR="00C630E7" w:rsidRDefault="00C630E7" w:rsidP="00C630E7">
      <w:pPr>
        <w:spacing w:before="100" w:beforeAutospacing="1" w:after="100" w:afterAutospacing="1" w:line="240" w:lineRule="auto"/>
        <w:rPr>
          <w:rFonts w:ascii="Arial Black" w:hAnsi="Arial Black" w:cstheme="minorBidi"/>
          <w:sz w:val="28"/>
          <w:szCs w:val="28"/>
        </w:rPr>
      </w:pPr>
      <w:r>
        <w:rPr>
          <w:rFonts w:ascii="Arial Black" w:hAnsi="Arial Black"/>
          <w:sz w:val="28"/>
          <w:szCs w:val="28"/>
        </w:rPr>
        <w:t>MD: PG COUNTY FIRE CHIEF – BATTALION CHIEFS TO OUTRANK VOLUNTEER CO. CHIEF - AUTHORIZED</w:t>
      </w:r>
    </w:p>
    <w:p w14:paraId="691ADB65" w14:textId="77777777" w:rsidR="00C630E7" w:rsidRDefault="00C630E7" w:rsidP="00C630E7">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Aug. 4, 2020, in Prince George’s Volunteer Fire And Rescue Association, Inc. v. Prince George’s County, Maryland, the Court of Special Appeals of Maryland, held (3 to 0; unreported decision) that the County Fire Chief had the authority in 2016 to issue revised General Order 01-03 that elevated the rank of County Battalion Chiefs, over that of Chiefs of volunteer fire companies.   </w:t>
      </w:r>
    </w:p>
    <w:p w14:paraId="465FB052" w14:textId="77777777" w:rsidR="00C630E7" w:rsidRDefault="00C630E7" w:rsidP="00C630E7">
      <w:pPr>
        <w:spacing w:after="100" w:line="240" w:lineRule="auto"/>
        <w:ind w:left="720"/>
        <w:rPr>
          <w:rFonts w:ascii="Times New Roman" w:eastAsia="Times New Roman" w:hAnsi="Times New Roman"/>
          <w:sz w:val="24"/>
          <w:szCs w:val="24"/>
        </w:rPr>
      </w:pPr>
      <w:r>
        <w:rPr>
          <w:rFonts w:ascii="Times New Roman" w:hAnsi="Times New Roman"/>
          <w:sz w:val="24"/>
          <w:szCs w:val="24"/>
        </w:rPr>
        <w:t xml:space="preserve">“Ultimately, PGCVFRA failed to sufficiently allege that it suffered irreparable injury through the Fire Chief's revision of General Order 01-03 and its amendment of the chain of command. As noted in our discussion on PGCVFRA's governmental </w:t>
      </w:r>
      <w:proofErr w:type="gramStart"/>
      <w:r>
        <w:rPr>
          <w:rFonts w:ascii="Times New Roman" w:hAnsi="Times New Roman"/>
          <w:sz w:val="24"/>
          <w:szCs w:val="24"/>
        </w:rPr>
        <w:t>takings</w:t>
      </w:r>
      <w:proofErr w:type="gramEnd"/>
      <w:r>
        <w:rPr>
          <w:rFonts w:ascii="Times New Roman" w:hAnsi="Times New Roman"/>
          <w:sz w:val="24"/>
          <w:szCs w:val="24"/>
        </w:rPr>
        <w:t xml:space="preserve"> claim, PGCVFRA failed to establish any sort of injury. Its claims regarding potential injury are hypothetical, speculative, and depend on future—uncertain—conduct that PGCVFRA alleges the County may undertake. The speculative nature of these complaints is apparent, and these ‘mere allegations’ are insufficient to ground PGCVFRA's claim for permanent injunctive relief.” </w:t>
      </w:r>
      <w:hyperlink r:id="rId939" w:history="1">
        <w:r>
          <w:rPr>
            <w:rStyle w:val="Hyperlink"/>
            <w:sz w:val="24"/>
            <w:szCs w:val="24"/>
          </w:rPr>
          <w:t>https://www.courts.state.md.us/sites/default/files/unreported-opinions/0614s19.pdf</w:t>
        </w:r>
      </w:hyperlink>
      <w:r>
        <w:rPr>
          <w:rFonts w:ascii="Times New Roman" w:hAnsi="Times New Roman"/>
          <w:sz w:val="24"/>
          <w:szCs w:val="24"/>
        </w:rPr>
        <w:t xml:space="preserve"> </w:t>
      </w:r>
    </w:p>
    <w:p w14:paraId="5456B139" w14:textId="1ACD305B" w:rsidR="00C630E7" w:rsidRDefault="00C630E7" w:rsidP="002B1283">
      <w:pPr>
        <w:rPr>
          <w:rStyle w:val="Hyperlink"/>
          <w:rFonts w:ascii="Arial Black" w:hAnsi="Arial Black"/>
          <w:b/>
          <w:color w:val="auto"/>
          <w:sz w:val="24"/>
          <w:szCs w:val="24"/>
          <w:u w:val="none"/>
        </w:rPr>
      </w:pPr>
    </w:p>
    <w:p w14:paraId="35CD32C0" w14:textId="77777777" w:rsidR="00557CA2" w:rsidRDefault="00557CA2" w:rsidP="00557CA2">
      <w:pPr>
        <w:spacing w:after="10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The County Fire Chief has authority over firefighting and chain of command. </w:t>
      </w:r>
    </w:p>
    <w:p w14:paraId="1C20C1F3" w14:textId="77777777" w:rsidR="00557CA2" w:rsidRDefault="00557CA2" w:rsidP="00557CA2">
      <w:pPr>
        <w:spacing w:after="100" w:line="240" w:lineRule="auto"/>
        <w:rPr>
          <w:rFonts w:ascii="Times New Roman" w:eastAsia="Times New Roman" w:hAnsi="Times New Roman"/>
          <w:b/>
          <w:bCs/>
          <w:sz w:val="24"/>
          <w:szCs w:val="24"/>
        </w:rPr>
      </w:pPr>
    </w:p>
    <w:p w14:paraId="2FBD44B8" w14:textId="77777777" w:rsidR="00557CA2" w:rsidRDefault="00557CA2" w:rsidP="00557CA2">
      <w:pPr>
        <w:spacing w:after="100" w:line="240" w:lineRule="auto"/>
        <w:ind w:left="720"/>
        <w:rPr>
          <w:rFonts w:ascii="Times New Roman" w:eastAsiaTheme="minorHAnsi" w:hAnsi="Times New Roman"/>
          <w:sz w:val="24"/>
          <w:szCs w:val="24"/>
        </w:rPr>
      </w:pPr>
      <w:r>
        <w:rPr>
          <w:rFonts w:ascii="Times New Roman" w:eastAsia="Times New Roman" w:hAnsi="Times New Roman"/>
          <w:sz w:val="24"/>
          <w:szCs w:val="24"/>
        </w:rPr>
        <w:t xml:space="preserve">Note:  </w:t>
      </w:r>
      <w:r>
        <w:rPr>
          <w:rFonts w:ascii="Times New Roman" w:hAnsi="Times New Roman"/>
          <w:sz w:val="24"/>
          <w:szCs w:val="24"/>
        </w:rPr>
        <w:t>Under revised General Order 01-03, the relevant portion of the chain of command reads as follows:</w:t>
      </w:r>
    </w:p>
    <w:p w14:paraId="0B021E97" w14:textId="77777777" w:rsidR="00557CA2" w:rsidRDefault="00557CA2" w:rsidP="00557CA2">
      <w:pPr>
        <w:ind w:left="1440"/>
        <w:rPr>
          <w:rFonts w:ascii="Times New Roman" w:hAnsi="Times New Roman"/>
          <w:sz w:val="24"/>
          <w:szCs w:val="24"/>
        </w:rPr>
      </w:pPr>
      <w:r>
        <w:rPr>
          <w:rFonts w:ascii="Times New Roman" w:hAnsi="Times New Roman"/>
          <w:sz w:val="24"/>
          <w:szCs w:val="24"/>
        </w:rPr>
        <w:t>1. County Fire Chief</w:t>
      </w:r>
      <w:r>
        <w:rPr>
          <w:rFonts w:ascii="Times New Roman" w:hAnsi="Times New Roman"/>
          <w:sz w:val="24"/>
          <w:szCs w:val="24"/>
        </w:rPr>
        <w:br/>
        <w:t>2. Chief Deputy</w:t>
      </w:r>
      <w:r>
        <w:rPr>
          <w:rFonts w:ascii="Times New Roman" w:hAnsi="Times New Roman"/>
          <w:sz w:val="24"/>
          <w:szCs w:val="24"/>
        </w:rPr>
        <w:br/>
        <w:t>3. Deputy Fire Chief</w:t>
      </w:r>
      <w:r>
        <w:rPr>
          <w:rFonts w:ascii="Times New Roman" w:hAnsi="Times New Roman"/>
          <w:sz w:val="24"/>
          <w:szCs w:val="24"/>
        </w:rPr>
        <w:br/>
        <w:t>4. Assistant Fire Chief, Career/Volunteer</w:t>
      </w:r>
      <w:r>
        <w:rPr>
          <w:rFonts w:ascii="Times New Roman" w:hAnsi="Times New Roman"/>
          <w:sz w:val="24"/>
          <w:szCs w:val="24"/>
        </w:rPr>
        <w:br/>
        <w:t>5. Battalion Chief, Career/Volunteer</w:t>
      </w:r>
      <w:r>
        <w:rPr>
          <w:rFonts w:ascii="Times New Roman" w:hAnsi="Times New Roman"/>
          <w:sz w:val="24"/>
          <w:szCs w:val="24"/>
        </w:rPr>
        <w:br/>
        <w:t xml:space="preserve">6. Volunteer Company Chief   </w:t>
      </w:r>
    </w:p>
    <w:p w14:paraId="6B5C2EDD" w14:textId="77777777" w:rsidR="00557CA2" w:rsidRDefault="00557CA2" w:rsidP="00557CA2">
      <w:pPr>
        <w:ind w:left="720"/>
        <w:rPr>
          <w:rFonts w:ascii="Times New Roman" w:hAnsi="Times New Roman"/>
          <w:sz w:val="24"/>
          <w:szCs w:val="24"/>
        </w:rPr>
      </w:pPr>
      <w:r>
        <w:rPr>
          <w:rFonts w:ascii="Times New Roman" w:hAnsi="Times New Roman"/>
          <w:sz w:val="24"/>
          <w:szCs w:val="24"/>
        </w:rPr>
        <w:t xml:space="preserve">[Footnote 8 of the Court’s decision.] </w:t>
      </w:r>
      <w:hyperlink r:id="rId940" w:history="1">
        <w:r>
          <w:rPr>
            <w:rStyle w:val="Hyperlink"/>
            <w:sz w:val="24"/>
            <w:szCs w:val="24"/>
          </w:rPr>
          <w:t>https://www.courts.state.md.us/sites/default/files/unreported-opinions/0614s19.pdf</w:t>
        </w:r>
      </w:hyperlink>
      <w:r>
        <w:rPr>
          <w:rFonts w:ascii="Times New Roman" w:hAnsi="Times New Roman"/>
          <w:sz w:val="24"/>
          <w:szCs w:val="24"/>
        </w:rPr>
        <w:t xml:space="preserve"> </w:t>
      </w:r>
    </w:p>
    <w:p w14:paraId="4CC4D286" w14:textId="77777777" w:rsidR="00557CA2" w:rsidRDefault="00557CA2" w:rsidP="002B1283">
      <w:pPr>
        <w:rPr>
          <w:rStyle w:val="Hyperlink"/>
          <w:rFonts w:ascii="Arial Black" w:hAnsi="Arial Black"/>
          <w:b/>
          <w:color w:val="auto"/>
          <w:sz w:val="24"/>
          <w:szCs w:val="24"/>
          <w:u w:val="none"/>
        </w:rPr>
      </w:pPr>
    </w:p>
    <w:p w14:paraId="6D130E4F" w14:textId="77777777" w:rsidR="00C630E7" w:rsidRDefault="00C630E7" w:rsidP="002B1283">
      <w:pPr>
        <w:rPr>
          <w:rStyle w:val="Hyperlink"/>
          <w:rFonts w:ascii="Arial Black" w:hAnsi="Arial Black"/>
          <w:b/>
          <w:color w:val="auto"/>
          <w:sz w:val="24"/>
          <w:szCs w:val="24"/>
          <w:u w:val="none"/>
        </w:rPr>
      </w:pPr>
    </w:p>
    <w:p w14:paraId="15C2CB92" w14:textId="487935D5" w:rsidR="005F0E6D" w:rsidRDefault="005F0E6D"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4-8</w:t>
      </w:r>
    </w:p>
    <w:p w14:paraId="6C63B4BC" w14:textId="77777777" w:rsidR="005F0E6D" w:rsidRPr="003567B0" w:rsidRDefault="005F0E6D" w:rsidP="005F0E6D">
      <w:pPr>
        <w:pStyle w:val="NoSpacing"/>
        <w:rPr>
          <w:rFonts w:ascii="Arial Black" w:hAnsi="Arial Black"/>
          <w:b/>
          <w:bCs/>
          <w:sz w:val="28"/>
          <w:szCs w:val="28"/>
        </w:rPr>
      </w:pPr>
      <w:r w:rsidRPr="003567B0">
        <w:rPr>
          <w:rFonts w:ascii="Arial Black" w:hAnsi="Arial Black"/>
          <w:bCs/>
          <w:sz w:val="28"/>
          <w:szCs w:val="28"/>
        </w:rPr>
        <w:t>MD:</w:t>
      </w:r>
      <w:r>
        <w:rPr>
          <w:rFonts w:ascii="Arial Black" w:hAnsi="Arial Black"/>
          <w:bCs/>
          <w:sz w:val="28"/>
          <w:szCs w:val="28"/>
        </w:rPr>
        <w:t xml:space="preserve"> FREELANCING – OFF DUTY VOL. FF - STRUCTURE FIRE – FIRED – CAN’T APPEAL TO COUNTY PERSONNEL BOARD</w:t>
      </w:r>
    </w:p>
    <w:p w14:paraId="4819869C" w14:textId="77777777" w:rsidR="005F0E6D" w:rsidRDefault="005F0E6D" w:rsidP="005F0E6D">
      <w:pPr>
        <w:pStyle w:val="NoSpacing"/>
        <w:rPr>
          <w:rFonts w:ascii="Arial Black" w:hAnsi="Arial Black"/>
          <w:b/>
          <w:bCs/>
          <w:sz w:val="28"/>
          <w:szCs w:val="28"/>
        </w:rPr>
      </w:pPr>
    </w:p>
    <w:p w14:paraId="164DE152" w14:textId="77777777" w:rsidR="005F0E6D" w:rsidRPr="000A5D76" w:rsidRDefault="005F0E6D" w:rsidP="005F0E6D">
      <w:pPr>
        <w:pStyle w:val="NoSpacing"/>
        <w:rPr>
          <w:rFonts w:ascii="Times New Roman" w:hAnsi="Times New Roman"/>
          <w:b/>
          <w:bCs/>
          <w:sz w:val="24"/>
          <w:szCs w:val="24"/>
        </w:rPr>
      </w:pPr>
      <w:r w:rsidRPr="000A5D76">
        <w:rPr>
          <w:rFonts w:ascii="Times New Roman" w:hAnsi="Times New Roman"/>
          <w:bCs/>
          <w:sz w:val="24"/>
          <w:szCs w:val="24"/>
        </w:rPr>
        <w:t xml:space="preserve">On </w:t>
      </w:r>
      <w:bookmarkStart w:id="180" w:name="_Hlk39825854"/>
      <w:r w:rsidRPr="000A5D76">
        <w:rPr>
          <w:rFonts w:ascii="Times New Roman" w:hAnsi="Times New Roman"/>
          <w:bCs/>
          <w:sz w:val="24"/>
          <w:szCs w:val="24"/>
        </w:rPr>
        <w:t xml:space="preserve">April 9, 2020, in </w:t>
      </w:r>
      <w:r w:rsidRPr="000A5D76">
        <w:rPr>
          <w:rFonts w:ascii="Times New Roman" w:hAnsi="Times New Roman"/>
          <w:bCs/>
          <w:sz w:val="24"/>
          <w:szCs w:val="24"/>
          <w:u w:val="single"/>
        </w:rPr>
        <w:t xml:space="preserve">Ricardo Hinson v. Personnel Board </w:t>
      </w:r>
      <w:proofErr w:type="gramStart"/>
      <w:r w:rsidRPr="000A5D76">
        <w:rPr>
          <w:rFonts w:ascii="Times New Roman" w:hAnsi="Times New Roman"/>
          <w:bCs/>
          <w:sz w:val="24"/>
          <w:szCs w:val="24"/>
          <w:u w:val="single"/>
        </w:rPr>
        <w:t>Of</w:t>
      </w:r>
      <w:proofErr w:type="gramEnd"/>
      <w:r w:rsidRPr="000A5D76">
        <w:rPr>
          <w:rFonts w:ascii="Times New Roman" w:hAnsi="Times New Roman"/>
          <w:bCs/>
          <w:sz w:val="24"/>
          <w:szCs w:val="24"/>
          <w:u w:val="single"/>
        </w:rPr>
        <w:t xml:space="preserve"> Prince George’s County</w:t>
      </w:r>
      <w:bookmarkEnd w:id="180"/>
      <w:r w:rsidRPr="000A5D76">
        <w:rPr>
          <w:rFonts w:ascii="Times New Roman" w:hAnsi="Times New Roman"/>
          <w:bCs/>
          <w:sz w:val="24"/>
          <w:szCs w:val="24"/>
        </w:rPr>
        <w:t xml:space="preserve">,  the Court of Special Appeals of Maryland, held (3 to 0) in an unpublished opinion that the trial court properly dismissed the volunteer firefighter’s case; volunteers serve at will of FD, </w:t>
      </w:r>
      <w:proofErr w:type="gramStart"/>
      <w:r w:rsidRPr="000A5D76">
        <w:rPr>
          <w:rFonts w:ascii="Times New Roman" w:hAnsi="Times New Roman"/>
          <w:bCs/>
          <w:sz w:val="24"/>
          <w:szCs w:val="24"/>
        </w:rPr>
        <w:t>no right to</w:t>
      </w:r>
      <w:proofErr w:type="gramEnd"/>
      <w:r w:rsidRPr="000A5D76">
        <w:rPr>
          <w:rFonts w:ascii="Times New Roman" w:hAnsi="Times New Roman"/>
          <w:bCs/>
          <w:sz w:val="24"/>
          <w:szCs w:val="24"/>
        </w:rPr>
        <w:t xml:space="preserve"> hearing before County Personnel Board.   </w:t>
      </w:r>
    </w:p>
    <w:p w14:paraId="44C9C7AD" w14:textId="77777777" w:rsidR="005F0E6D" w:rsidRPr="000A5D76" w:rsidRDefault="005F0E6D" w:rsidP="005F0E6D">
      <w:pPr>
        <w:pStyle w:val="NoSpacing"/>
        <w:rPr>
          <w:rFonts w:ascii="Times New Roman" w:hAnsi="Times New Roman"/>
          <w:b/>
          <w:bCs/>
          <w:sz w:val="24"/>
          <w:szCs w:val="24"/>
        </w:rPr>
      </w:pPr>
    </w:p>
    <w:p w14:paraId="0BFE1D3B" w14:textId="77777777" w:rsidR="005F0E6D" w:rsidRPr="000A5D76" w:rsidRDefault="005F0E6D" w:rsidP="005F0E6D">
      <w:pPr>
        <w:pStyle w:val="NoSpacing"/>
        <w:ind w:left="720"/>
        <w:rPr>
          <w:rFonts w:ascii="Times New Roman" w:hAnsi="Times New Roman"/>
          <w:b/>
          <w:bCs/>
          <w:sz w:val="24"/>
          <w:szCs w:val="24"/>
        </w:rPr>
      </w:pPr>
      <w:r w:rsidRPr="000A5D76">
        <w:rPr>
          <w:rFonts w:ascii="Times New Roman" w:hAnsi="Times New Roman"/>
          <w:bCs/>
          <w:sz w:val="24"/>
          <w:szCs w:val="24"/>
        </w:rPr>
        <w:t xml:space="preserve">“The dispositive question in this case is whether the County Code has granted volunteer firefighters the right to appeal disciplinary actions to the Personnel Board. We agree with the County and the Personnel Board that Hinson, as a volunteer firefighter, was not a </w:t>
      </w:r>
      <w:proofErr w:type="gramStart"/>
      <w:r w:rsidRPr="000A5D76">
        <w:rPr>
          <w:rFonts w:ascii="Times New Roman" w:hAnsi="Times New Roman"/>
          <w:bCs/>
          <w:sz w:val="24"/>
          <w:szCs w:val="24"/>
        </w:rPr>
        <w:t>County</w:t>
      </w:r>
      <w:proofErr w:type="gramEnd"/>
      <w:r w:rsidRPr="000A5D76">
        <w:rPr>
          <w:rFonts w:ascii="Times New Roman" w:hAnsi="Times New Roman"/>
          <w:bCs/>
          <w:sz w:val="24"/>
          <w:szCs w:val="24"/>
        </w:rPr>
        <w:t xml:space="preserve"> employee who had the right to appeal a personnel decision to the Personnel Board. Consequently, the Personnel Board did not commit legal error in dismissing Hinson’s appeal.”</w:t>
      </w:r>
    </w:p>
    <w:bookmarkStart w:id="181" w:name="_Hlk39825871"/>
    <w:p w14:paraId="2EB40AB2" w14:textId="77777777" w:rsidR="005F0E6D" w:rsidRPr="000A5D76" w:rsidRDefault="00F2621E" w:rsidP="005F0E6D">
      <w:pPr>
        <w:pStyle w:val="NoSpacing"/>
        <w:ind w:left="720"/>
        <w:rPr>
          <w:rFonts w:ascii="Times New Roman" w:hAnsi="Times New Roman"/>
          <w:b/>
          <w:bCs/>
          <w:sz w:val="24"/>
          <w:szCs w:val="24"/>
        </w:rPr>
      </w:pPr>
      <w:r>
        <w:fldChar w:fldCharType="begin"/>
      </w:r>
      <w:r>
        <w:instrText xml:space="preserve"> HYPERLINK "https://www.courts.state.md.us/sites/default/files/unreported-opinions/1702s17.pdf" </w:instrText>
      </w:r>
      <w:r>
        <w:fldChar w:fldCharType="separate"/>
      </w:r>
      <w:r w:rsidR="005F0E6D" w:rsidRPr="000A5D76">
        <w:rPr>
          <w:rStyle w:val="Hyperlink"/>
          <w:rFonts w:ascii="Times New Roman" w:hAnsi="Times New Roman"/>
          <w:b/>
          <w:sz w:val="24"/>
          <w:szCs w:val="24"/>
        </w:rPr>
        <w:t>https://www.courts.state.md.us/sites/default/files/unreported-opinions/1702s17.pdf</w:t>
      </w:r>
      <w:r>
        <w:rPr>
          <w:rStyle w:val="Hyperlink"/>
          <w:rFonts w:ascii="Times New Roman" w:hAnsi="Times New Roman"/>
          <w:b/>
          <w:sz w:val="24"/>
          <w:szCs w:val="24"/>
        </w:rPr>
        <w:fldChar w:fldCharType="end"/>
      </w:r>
      <w:r w:rsidR="005F0E6D" w:rsidRPr="000A5D76">
        <w:rPr>
          <w:rFonts w:ascii="Times New Roman" w:hAnsi="Times New Roman"/>
          <w:bCs/>
          <w:sz w:val="24"/>
          <w:szCs w:val="24"/>
        </w:rPr>
        <w:t xml:space="preserve"> </w:t>
      </w:r>
    </w:p>
    <w:bookmarkEnd w:id="181"/>
    <w:p w14:paraId="2C7678E7" w14:textId="77777777" w:rsidR="005F0E6D" w:rsidRDefault="005F0E6D" w:rsidP="005F0E6D">
      <w:pPr>
        <w:pStyle w:val="NoSpacing"/>
        <w:rPr>
          <w:rFonts w:ascii="Times New Roman" w:hAnsi="Times New Roman"/>
          <w:b/>
          <w:bCs/>
          <w:sz w:val="24"/>
          <w:szCs w:val="24"/>
        </w:rPr>
      </w:pPr>
    </w:p>
    <w:p w14:paraId="40ED5A38" w14:textId="75D2A0F9" w:rsidR="005F0E6D" w:rsidRPr="000A5D76" w:rsidRDefault="005F0E6D" w:rsidP="005F0E6D">
      <w:pPr>
        <w:pStyle w:val="NoSpacing"/>
        <w:rPr>
          <w:rFonts w:ascii="Times New Roman" w:hAnsi="Times New Roman"/>
          <w:b/>
          <w:bCs/>
          <w:sz w:val="24"/>
          <w:szCs w:val="24"/>
        </w:rPr>
      </w:pPr>
      <w:bookmarkStart w:id="182" w:name="_Hlk40509659"/>
      <w:r w:rsidRPr="000A5D76">
        <w:rPr>
          <w:rFonts w:ascii="Times New Roman" w:hAnsi="Times New Roman"/>
          <w:b/>
          <w:bCs/>
          <w:sz w:val="24"/>
          <w:szCs w:val="24"/>
        </w:rPr>
        <w:t xml:space="preserve">Legal Lessons Learned: Volunteer firefighters serve “at will” in most states, with no right to appeal to a </w:t>
      </w:r>
      <w:proofErr w:type="gramStart"/>
      <w:r w:rsidRPr="000A5D76">
        <w:rPr>
          <w:rFonts w:ascii="Times New Roman" w:hAnsi="Times New Roman"/>
          <w:b/>
          <w:bCs/>
          <w:sz w:val="24"/>
          <w:szCs w:val="24"/>
        </w:rPr>
        <w:t>County</w:t>
      </w:r>
      <w:proofErr w:type="gramEnd"/>
      <w:r w:rsidRPr="000A5D76">
        <w:rPr>
          <w:rFonts w:ascii="Times New Roman" w:hAnsi="Times New Roman"/>
          <w:b/>
          <w:bCs/>
          <w:sz w:val="24"/>
          <w:szCs w:val="24"/>
        </w:rPr>
        <w:t xml:space="preserve"> review board.   “Freelancing” can have deadly results.</w:t>
      </w:r>
    </w:p>
    <w:bookmarkEnd w:id="182"/>
    <w:p w14:paraId="6CAAF700" w14:textId="77777777" w:rsidR="005F0E6D" w:rsidRDefault="005F0E6D" w:rsidP="005F0E6D">
      <w:pPr>
        <w:pStyle w:val="NoSpacing"/>
        <w:rPr>
          <w:b/>
          <w:bCs/>
          <w:sz w:val="24"/>
          <w:szCs w:val="24"/>
        </w:rPr>
      </w:pPr>
    </w:p>
    <w:p w14:paraId="4FB3D489" w14:textId="77777777" w:rsidR="005F0E6D" w:rsidRDefault="005F0E6D" w:rsidP="002B1283">
      <w:pPr>
        <w:rPr>
          <w:rStyle w:val="Hyperlink"/>
          <w:rFonts w:ascii="Arial Black" w:hAnsi="Arial Black"/>
          <w:b/>
          <w:color w:val="auto"/>
          <w:sz w:val="24"/>
          <w:szCs w:val="24"/>
          <w:u w:val="none"/>
        </w:rPr>
      </w:pPr>
    </w:p>
    <w:p w14:paraId="764A4029" w14:textId="77777777" w:rsidR="005F0E6D" w:rsidRDefault="005F0E6D" w:rsidP="002B1283">
      <w:pPr>
        <w:rPr>
          <w:rStyle w:val="Hyperlink"/>
          <w:rFonts w:ascii="Arial Black" w:hAnsi="Arial Black"/>
          <w:b/>
          <w:color w:val="auto"/>
          <w:sz w:val="24"/>
          <w:szCs w:val="24"/>
          <w:u w:val="none"/>
        </w:rPr>
      </w:pPr>
    </w:p>
    <w:p w14:paraId="3A378005" w14:textId="77777777" w:rsidR="005F0E6D" w:rsidRDefault="005F0E6D" w:rsidP="002B1283">
      <w:pPr>
        <w:rPr>
          <w:rStyle w:val="Hyperlink"/>
          <w:rFonts w:ascii="Arial Black" w:hAnsi="Arial Black"/>
          <w:b/>
          <w:color w:val="auto"/>
          <w:sz w:val="24"/>
          <w:szCs w:val="24"/>
          <w:u w:val="none"/>
        </w:rPr>
      </w:pPr>
    </w:p>
    <w:p w14:paraId="00F2972F" w14:textId="198C6626" w:rsidR="005F0E6D" w:rsidRDefault="005F0E6D"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4-7</w:t>
      </w:r>
    </w:p>
    <w:p w14:paraId="5655538D" w14:textId="77777777" w:rsidR="005F0E6D" w:rsidRPr="00A83387" w:rsidRDefault="005F0E6D" w:rsidP="005F0E6D">
      <w:pPr>
        <w:pStyle w:val="NoSpacing"/>
        <w:rPr>
          <w:rFonts w:ascii="Arial Black" w:hAnsi="Arial Black"/>
          <w:sz w:val="28"/>
          <w:szCs w:val="28"/>
        </w:rPr>
      </w:pPr>
      <w:r w:rsidRPr="00A83387">
        <w:rPr>
          <w:rFonts w:ascii="Arial Black" w:hAnsi="Arial Black"/>
          <w:sz w:val="28"/>
          <w:szCs w:val="28"/>
        </w:rPr>
        <w:t xml:space="preserve">NY: </w:t>
      </w:r>
      <w:r>
        <w:rPr>
          <w:rFonts w:ascii="Arial Black" w:hAnsi="Arial Black"/>
          <w:sz w:val="28"/>
          <w:szCs w:val="28"/>
        </w:rPr>
        <w:t>MASSIVE GAS LEAK – FDNY NOT EVACUATE HOUSES - BASEMENT LIGHT SWITCH, EXPLOSION – GOV. IMMUNITY</w:t>
      </w:r>
    </w:p>
    <w:p w14:paraId="22732C1B" w14:textId="77777777" w:rsidR="005F0E6D" w:rsidRDefault="005F0E6D" w:rsidP="005F0E6D">
      <w:pPr>
        <w:pStyle w:val="NoSpacing"/>
        <w:rPr>
          <w:b/>
          <w:bCs/>
          <w:sz w:val="24"/>
          <w:szCs w:val="24"/>
        </w:rPr>
      </w:pPr>
    </w:p>
    <w:p w14:paraId="552B88C9" w14:textId="187F6F44" w:rsidR="005F0E6D" w:rsidRDefault="005F0E6D" w:rsidP="005F0E6D">
      <w:pPr>
        <w:pStyle w:val="NoSpacing"/>
        <w:rPr>
          <w:rFonts w:ascii="Times New Roman" w:hAnsi="Times New Roman"/>
          <w:bCs/>
          <w:sz w:val="24"/>
          <w:szCs w:val="24"/>
        </w:rPr>
      </w:pPr>
      <w:r w:rsidRPr="000A5D76">
        <w:rPr>
          <w:rFonts w:ascii="Times New Roman" w:hAnsi="Times New Roman"/>
          <w:bCs/>
          <w:sz w:val="24"/>
          <w:szCs w:val="24"/>
        </w:rPr>
        <w:t xml:space="preserve">On Feb. 11, 2020, in </w:t>
      </w:r>
      <w:r w:rsidRPr="000A5D76">
        <w:rPr>
          <w:rFonts w:ascii="Times New Roman" w:hAnsi="Times New Roman"/>
          <w:bCs/>
          <w:sz w:val="24"/>
          <w:szCs w:val="24"/>
          <w:u w:val="single"/>
        </w:rPr>
        <w:t>State Farm Fire &amp; Casualty Insurance Company, a/s/o Charles Caccse v.  The Brooklyn Union Gas Company, d/b/a National Grid New York</w:t>
      </w:r>
      <w:r w:rsidRPr="000A5D76">
        <w:rPr>
          <w:rFonts w:ascii="Times New Roman" w:hAnsi="Times New Roman"/>
          <w:bCs/>
          <w:sz w:val="24"/>
          <w:szCs w:val="24"/>
        </w:rPr>
        <w:t xml:space="preserve">, and second lawsuit of </w:t>
      </w:r>
      <w:r w:rsidRPr="000A5D76">
        <w:rPr>
          <w:rFonts w:ascii="Times New Roman" w:hAnsi="Times New Roman"/>
          <w:bCs/>
          <w:sz w:val="24"/>
          <w:szCs w:val="24"/>
          <w:u w:val="single"/>
        </w:rPr>
        <w:t>State Farm v. The City of New York and FDNY</w:t>
      </w:r>
      <w:r w:rsidRPr="000A5D76">
        <w:rPr>
          <w:rFonts w:ascii="Times New Roman" w:hAnsi="Times New Roman"/>
          <w:bCs/>
          <w:sz w:val="24"/>
          <w:szCs w:val="24"/>
        </w:rPr>
        <w:t xml:space="preserve">, </w:t>
      </w:r>
      <w:r w:rsidRPr="000A5D76">
        <w:rPr>
          <w:rFonts w:ascii="Times New Roman" w:eastAsia="Times New Roman" w:hAnsi="Times New Roman"/>
          <w:bCs/>
          <w:sz w:val="24"/>
          <w:szCs w:val="24"/>
        </w:rPr>
        <w:t xml:space="preserve">2020 NY Slip Op 30876(U), </w:t>
      </w:r>
      <w:r w:rsidRPr="000A5D76">
        <w:rPr>
          <w:rFonts w:ascii="Times New Roman" w:hAnsi="Times New Roman"/>
          <w:bCs/>
          <w:sz w:val="24"/>
          <w:szCs w:val="24"/>
        </w:rPr>
        <w:t xml:space="preserve">Judge Tomas P. Aliotta, Supreme Court of New York (County of Richmond), </w:t>
      </w:r>
    </w:p>
    <w:p w14:paraId="022B6116" w14:textId="77777777" w:rsidR="005F0E6D" w:rsidRPr="000A5D76" w:rsidRDefault="005F0E6D" w:rsidP="005F0E6D">
      <w:pPr>
        <w:pStyle w:val="NoSpacing"/>
        <w:rPr>
          <w:rFonts w:ascii="Times New Roman" w:hAnsi="Times New Roman"/>
          <w:b/>
          <w:bCs/>
          <w:sz w:val="24"/>
          <w:szCs w:val="24"/>
        </w:rPr>
      </w:pPr>
      <w:r w:rsidRPr="000A5D76">
        <w:rPr>
          <w:rFonts w:ascii="Times New Roman" w:hAnsi="Times New Roman"/>
          <w:bCs/>
          <w:sz w:val="24"/>
          <w:szCs w:val="24"/>
        </w:rPr>
        <w:t xml:space="preserve">granted the City &amp; FD’s motion to dismiss, since FDNY was performing governmental function involving discretionary judgments, and owed no “special duty” to the injured homeowner.  The lawsuit against the gas company for defective gas mains may proceed. </w:t>
      </w:r>
    </w:p>
    <w:p w14:paraId="55384934" w14:textId="77777777" w:rsidR="005F0E6D" w:rsidRPr="000A5D76" w:rsidRDefault="005F0E6D" w:rsidP="005F0E6D">
      <w:pPr>
        <w:pStyle w:val="NoSpacing"/>
        <w:rPr>
          <w:rFonts w:ascii="Times New Roman" w:hAnsi="Times New Roman"/>
          <w:b/>
          <w:bCs/>
          <w:sz w:val="24"/>
          <w:szCs w:val="24"/>
        </w:rPr>
      </w:pPr>
    </w:p>
    <w:p w14:paraId="6B5D4348" w14:textId="77777777" w:rsidR="005F0E6D" w:rsidRPr="000A5D76" w:rsidRDefault="005F0E6D" w:rsidP="005F0E6D">
      <w:pPr>
        <w:pStyle w:val="NoSpacing"/>
        <w:ind w:left="720"/>
        <w:rPr>
          <w:rFonts w:ascii="Times New Roman" w:hAnsi="Times New Roman"/>
          <w:b/>
          <w:bCs/>
          <w:sz w:val="24"/>
          <w:szCs w:val="24"/>
        </w:rPr>
      </w:pPr>
      <w:r w:rsidRPr="000A5D76">
        <w:rPr>
          <w:rFonts w:ascii="Times New Roman" w:hAnsi="Times New Roman"/>
          <w:bCs/>
          <w:sz w:val="24"/>
          <w:szCs w:val="24"/>
        </w:rPr>
        <w:t xml:space="preserve">“[I]n the opinion of this Court, the City and the FDNY have met their prima facie burden of establishing their right to judgment as a matter of law by submitting satisfactory proof regarding their claim of governmental function immunity and that no special duty existed between them and the plaintiffs. In opposition, plaintiffs have failed to rebut that showing and raise a triable issue of fact (see Zuckerman v. City of New York, 49 NY2d 557 [1980]).  ‘When a negligence claim is asserted against a municipality, the first issue for a court to decide is whether the municipal entity was engaged in a proprietary function </w:t>
      </w:r>
      <w:r w:rsidRPr="000A5D76">
        <w:rPr>
          <w:rFonts w:ascii="Times New Roman" w:hAnsi="Times New Roman"/>
          <w:bCs/>
          <w:sz w:val="24"/>
          <w:szCs w:val="24"/>
        </w:rPr>
        <w:lastRenderedPageBreak/>
        <w:t xml:space="preserve">or acted in a governmental capacity at the time the claim arose’ (Applewhite v. </w:t>
      </w:r>
      <w:proofErr w:type="spellStart"/>
      <w:r w:rsidRPr="000A5D76">
        <w:rPr>
          <w:rFonts w:ascii="Times New Roman" w:hAnsi="Times New Roman"/>
          <w:bCs/>
          <w:sz w:val="24"/>
          <w:szCs w:val="24"/>
        </w:rPr>
        <w:t>Accuhealth</w:t>
      </w:r>
      <w:proofErr w:type="spellEnd"/>
      <w:r w:rsidRPr="000A5D76">
        <w:rPr>
          <w:rFonts w:ascii="Times New Roman" w:hAnsi="Times New Roman"/>
          <w:bCs/>
          <w:sz w:val="24"/>
          <w:szCs w:val="24"/>
        </w:rPr>
        <w:t xml:space="preserve">, Inc., 21 NY3d 420, 425 [2013]). If a municipality was acting in a governmental capacity, then the plaintiff must prove the existence of a special duty (see Applewhite, 21 AD3d at 426). Since police and fire protection are examples of long-recognized, quintessential governmental functions’ (Matter of World Trade Ctr Bombing Litig., 17 NY3d 428 [2011]), plaintiff must plead and prove the existence of a special duty beyond the obligation owed to the public at large (see Valdez v. City of New York, 18 NY3d 69 [2011]). </w:t>
      </w:r>
      <w:hyperlink r:id="rId941" w:history="1">
        <w:r w:rsidRPr="000A5D76">
          <w:rPr>
            <w:rStyle w:val="Hyperlink"/>
            <w:rFonts w:ascii="Times New Roman" w:hAnsi="Times New Roman"/>
            <w:b/>
            <w:sz w:val="24"/>
            <w:szCs w:val="24"/>
          </w:rPr>
          <w:t>https://public.fastcase.com/Wl%2B2t%2BeVuI35%2FN70vAMFZn8FExk2ons8UFiGzSPZ6Ig%2B2pF54RtCKp9IHiewQM23</w:t>
        </w:r>
      </w:hyperlink>
      <w:r w:rsidRPr="000A5D76">
        <w:rPr>
          <w:rFonts w:ascii="Times New Roman" w:hAnsi="Times New Roman"/>
          <w:bCs/>
          <w:sz w:val="24"/>
          <w:szCs w:val="24"/>
        </w:rPr>
        <w:t xml:space="preserve"> </w:t>
      </w:r>
    </w:p>
    <w:p w14:paraId="05606019" w14:textId="77777777" w:rsidR="005F0E6D" w:rsidRPr="000A5D76" w:rsidRDefault="005F0E6D" w:rsidP="005F0E6D">
      <w:pPr>
        <w:spacing w:before="100" w:beforeAutospacing="1" w:after="100" w:afterAutospacing="1" w:line="240" w:lineRule="auto"/>
        <w:rPr>
          <w:rFonts w:ascii="Times New Roman" w:eastAsia="Times New Roman" w:hAnsi="Times New Roman"/>
          <w:b/>
          <w:bCs/>
          <w:sz w:val="24"/>
          <w:szCs w:val="24"/>
        </w:rPr>
      </w:pPr>
      <w:r w:rsidRPr="000A5D76">
        <w:rPr>
          <w:rFonts w:ascii="Times New Roman" w:hAnsi="Times New Roman"/>
          <w:b/>
          <w:bCs/>
          <w:sz w:val="24"/>
          <w:szCs w:val="24"/>
        </w:rPr>
        <w:t>Legal Lessons Learned:</w:t>
      </w:r>
      <w:r w:rsidRPr="000A5D76">
        <w:rPr>
          <w:rFonts w:ascii="Times New Roman" w:eastAsia="Times New Roman" w:hAnsi="Times New Roman"/>
          <w:b/>
          <w:bCs/>
          <w:sz w:val="24"/>
          <w:szCs w:val="24"/>
        </w:rPr>
        <w:t xml:space="preserve"> Governmental immunity for discretionary decisions at an emergency scene is a very important legal doctrine. </w:t>
      </w:r>
    </w:p>
    <w:p w14:paraId="03D7B5A6" w14:textId="77777777" w:rsidR="005F0E6D" w:rsidRDefault="005F0E6D" w:rsidP="002B1283">
      <w:pPr>
        <w:rPr>
          <w:rStyle w:val="Hyperlink"/>
          <w:rFonts w:ascii="Arial Black" w:hAnsi="Arial Black"/>
          <w:b/>
          <w:color w:val="auto"/>
          <w:sz w:val="24"/>
          <w:szCs w:val="24"/>
          <w:u w:val="none"/>
        </w:rPr>
      </w:pPr>
    </w:p>
    <w:p w14:paraId="601F4BC6" w14:textId="77777777" w:rsidR="005F0E6D" w:rsidRDefault="005F0E6D" w:rsidP="002B1283">
      <w:pPr>
        <w:rPr>
          <w:rStyle w:val="Hyperlink"/>
          <w:rFonts w:ascii="Arial Black" w:hAnsi="Arial Black"/>
          <w:b/>
          <w:color w:val="auto"/>
          <w:sz w:val="24"/>
          <w:szCs w:val="24"/>
          <w:u w:val="none"/>
        </w:rPr>
      </w:pPr>
    </w:p>
    <w:p w14:paraId="3E912560" w14:textId="759E974D" w:rsidR="007C6FEF" w:rsidRDefault="007C6FEF"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4-6</w:t>
      </w:r>
    </w:p>
    <w:p w14:paraId="2E311A82" w14:textId="77777777" w:rsidR="007C6FEF" w:rsidRDefault="007C6FEF" w:rsidP="007C6FEF">
      <w:pPr>
        <w:rPr>
          <w:rFonts w:ascii="Arial Black" w:hAnsi="Arial Black"/>
          <w:sz w:val="28"/>
          <w:szCs w:val="28"/>
        </w:rPr>
      </w:pPr>
      <w:r>
        <w:rPr>
          <w:rFonts w:ascii="Arial Black" w:hAnsi="Arial Black"/>
          <w:sz w:val="28"/>
          <w:szCs w:val="28"/>
        </w:rPr>
        <w:t>TN: GREAT SMOKEY MOUNTAIN FIRE – GATLINBURG NOT WARNED - KILLED 14 – LAWSUIT MAY PROCEED</w:t>
      </w:r>
    </w:p>
    <w:p w14:paraId="2CD2C2A5" w14:textId="77777777" w:rsidR="007C6FEF" w:rsidRDefault="007C6FEF" w:rsidP="007C6FEF">
      <w:pPr>
        <w:pStyle w:val="NoSpacing"/>
        <w:rPr>
          <w:rFonts w:ascii="Times New Roman" w:hAnsi="Times New Roman"/>
          <w:sz w:val="24"/>
          <w:szCs w:val="24"/>
        </w:rPr>
      </w:pPr>
      <w:r>
        <w:rPr>
          <w:rFonts w:ascii="Times New Roman" w:hAnsi="Times New Roman"/>
          <w:sz w:val="24"/>
          <w:szCs w:val="24"/>
        </w:rPr>
        <w:t xml:space="preserve">On </w:t>
      </w:r>
      <w:bookmarkStart w:id="183" w:name="_Hlk39824082"/>
      <w:r>
        <w:rPr>
          <w:rFonts w:ascii="Times New Roman" w:hAnsi="Times New Roman"/>
          <w:sz w:val="24"/>
          <w:szCs w:val="24"/>
        </w:rPr>
        <w:t xml:space="preserve">Dec. 9, 2019, in </w:t>
      </w:r>
      <w:r w:rsidRPr="00FA33D8">
        <w:rPr>
          <w:rFonts w:ascii="Times New Roman" w:hAnsi="Times New Roman"/>
          <w:sz w:val="24"/>
          <w:szCs w:val="24"/>
          <w:u w:val="single"/>
        </w:rPr>
        <w:t>Michael Reed v. United States</w:t>
      </w:r>
      <w:r>
        <w:rPr>
          <w:rFonts w:ascii="Times New Roman" w:hAnsi="Times New Roman"/>
          <w:sz w:val="24"/>
          <w:szCs w:val="24"/>
        </w:rPr>
        <w:t xml:space="preserve">, </w:t>
      </w:r>
      <w:bookmarkEnd w:id="183"/>
      <w:r>
        <w:rPr>
          <w:rFonts w:ascii="Times New Roman" w:hAnsi="Times New Roman"/>
          <w:sz w:val="24"/>
          <w:szCs w:val="24"/>
        </w:rPr>
        <w:t xml:space="preserve">Senior U.S. District Court Judge Thomas W. Phillips, Eastern District of Tennessee (Knoxville Division), denied the U.S. Government’s motion to dismiss, since Federal Tort Claims Act allows lawsuit since the National Park Services’ “Fire Management Plan has mandatory mitigation actions to protect life and property (duty to warn).  </w:t>
      </w:r>
    </w:p>
    <w:p w14:paraId="2C82107B" w14:textId="77777777" w:rsidR="007C6FEF" w:rsidRDefault="007C6FEF" w:rsidP="007C6FEF">
      <w:pPr>
        <w:pStyle w:val="NoSpacing"/>
        <w:rPr>
          <w:rFonts w:ascii="Times New Roman" w:hAnsi="Times New Roman"/>
          <w:sz w:val="24"/>
          <w:szCs w:val="24"/>
        </w:rPr>
      </w:pPr>
    </w:p>
    <w:p w14:paraId="14BEFEAD" w14:textId="77777777" w:rsidR="007C6FEF" w:rsidRDefault="007C6FEF" w:rsidP="007C6FEF">
      <w:pPr>
        <w:pStyle w:val="NoSpacing"/>
        <w:ind w:left="720"/>
        <w:rPr>
          <w:rFonts w:ascii="Times New Roman" w:hAnsi="Times New Roman"/>
          <w:sz w:val="24"/>
          <w:szCs w:val="24"/>
        </w:rPr>
      </w:pPr>
      <w:r>
        <w:rPr>
          <w:rFonts w:ascii="Times New Roman" w:hAnsi="Times New Roman"/>
          <w:sz w:val="24"/>
          <w:szCs w:val="24"/>
        </w:rPr>
        <w:t>“</w:t>
      </w:r>
      <w:r w:rsidRPr="00FA33D8">
        <w:rPr>
          <w:rFonts w:ascii="Times New Roman" w:hAnsi="Times New Roman"/>
          <w:sz w:val="24"/>
          <w:szCs w:val="24"/>
        </w:rPr>
        <w:t xml:space="preserve">Section 3.3.2(C) of the FMP </w:t>
      </w:r>
      <w:r>
        <w:rPr>
          <w:rFonts w:ascii="Times New Roman" w:hAnsi="Times New Roman"/>
          <w:sz w:val="24"/>
          <w:szCs w:val="24"/>
        </w:rPr>
        <w:t xml:space="preserve">[Fire Management Plan] </w:t>
      </w:r>
      <w:r w:rsidRPr="00FA33D8">
        <w:rPr>
          <w:rFonts w:ascii="Times New Roman" w:hAnsi="Times New Roman"/>
          <w:sz w:val="24"/>
          <w:szCs w:val="24"/>
        </w:rPr>
        <w:t xml:space="preserve">states that </w:t>
      </w:r>
      <w:r>
        <w:rPr>
          <w:rFonts w:ascii="Times New Roman" w:hAnsi="Times New Roman"/>
          <w:sz w:val="24"/>
          <w:szCs w:val="24"/>
        </w:rPr>
        <w:t>‘</w:t>
      </w:r>
      <w:r w:rsidRPr="00FA33D8">
        <w:rPr>
          <w:rFonts w:ascii="Times New Roman" w:hAnsi="Times New Roman"/>
          <w:sz w:val="24"/>
          <w:szCs w:val="24"/>
        </w:rPr>
        <w:t>[f]</w:t>
      </w:r>
      <w:proofErr w:type="spellStart"/>
      <w:r w:rsidRPr="00FA33D8">
        <w:rPr>
          <w:rFonts w:ascii="Times New Roman" w:hAnsi="Times New Roman"/>
          <w:sz w:val="24"/>
          <w:szCs w:val="24"/>
        </w:rPr>
        <w:t>irefighter</w:t>
      </w:r>
      <w:proofErr w:type="spellEnd"/>
      <w:r w:rsidRPr="00FA33D8">
        <w:rPr>
          <w:rFonts w:ascii="Times New Roman" w:hAnsi="Times New Roman"/>
          <w:sz w:val="24"/>
          <w:szCs w:val="24"/>
        </w:rPr>
        <w:t xml:space="preserve"> and public safety is the first priority in all fire management activities[,]</w:t>
      </w:r>
      <w:r>
        <w:rPr>
          <w:rFonts w:ascii="Times New Roman" w:hAnsi="Times New Roman"/>
          <w:sz w:val="24"/>
          <w:szCs w:val="24"/>
        </w:rPr>
        <w:t>’</w:t>
      </w:r>
      <w:r w:rsidRPr="00FA33D8">
        <w:rPr>
          <w:rFonts w:ascii="Times New Roman" w:hAnsi="Times New Roman"/>
          <w:sz w:val="24"/>
          <w:szCs w:val="24"/>
        </w:rPr>
        <w:t xml:space="preserve"> and specifies that </w:t>
      </w:r>
      <w:r>
        <w:rPr>
          <w:rFonts w:ascii="Times New Roman" w:hAnsi="Times New Roman"/>
          <w:sz w:val="24"/>
          <w:szCs w:val="24"/>
        </w:rPr>
        <w:t>‘</w:t>
      </w:r>
      <w:r w:rsidRPr="00FA33D8">
        <w:rPr>
          <w:rFonts w:ascii="Times New Roman" w:hAnsi="Times New Roman"/>
          <w:sz w:val="24"/>
          <w:szCs w:val="24"/>
        </w:rPr>
        <w:t xml:space="preserve">Park neighbors, Park visitors and local residents </w:t>
      </w:r>
      <w:r w:rsidRPr="00FA33D8">
        <w:rPr>
          <w:rFonts w:ascii="Times New Roman" w:hAnsi="Times New Roman"/>
          <w:i/>
          <w:iCs/>
          <w:sz w:val="24"/>
          <w:szCs w:val="24"/>
        </w:rPr>
        <w:t>will be</w:t>
      </w:r>
      <w:r w:rsidRPr="00FA33D8">
        <w:rPr>
          <w:rFonts w:ascii="Times New Roman" w:hAnsi="Times New Roman"/>
          <w:sz w:val="24"/>
          <w:szCs w:val="24"/>
        </w:rPr>
        <w:t xml:space="preserve"> notified of </w:t>
      </w:r>
      <w:r w:rsidRPr="00FA33D8">
        <w:rPr>
          <w:rFonts w:ascii="Times New Roman" w:hAnsi="Times New Roman"/>
          <w:i/>
          <w:iCs/>
          <w:sz w:val="24"/>
          <w:szCs w:val="24"/>
        </w:rPr>
        <w:t>all</w:t>
      </w:r>
      <w:r w:rsidRPr="00FA33D8">
        <w:rPr>
          <w:rFonts w:ascii="Times New Roman" w:hAnsi="Times New Roman"/>
          <w:sz w:val="24"/>
          <w:szCs w:val="24"/>
        </w:rPr>
        <w:t xml:space="preserve"> planned and unplanned fire management activities that have the potential to impact them.</w:t>
      </w:r>
      <w:r>
        <w:rPr>
          <w:rFonts w:ascii="Times New Roman" w:hAnsi="Times New Roman"/>
          <w:sz w:val="24"/>
          <w:szCs w:val="24"/>
        </w:rPr>
        <w:t xml:space="preserve">’ </w:t>
      </w:r>
      <w:r w:rsidRPr="00FA33D8">
        <w:rPr>
          <w:rFonts w:ascii="Times New Roman" w:hAnsi="Times New Roman"/>
          <w:sz w:val="24"/>
          <w:szCs w:val="24"/>
        </w:rPr>
        <w:t>[</w:t>
      </w:r>
      <w:r w:rsidRPr="00FA33D8">
        <w:rPr>
          <w:rFonts w:ascii="Times New Roman" w:hAnsi="Times New Roman"/>
          <w:i/>
          <w:iCs/>
          <w:sz w:val="24"/>
          <w:szCs w:val="24"/>
        </w:rPr>
        <w:t>Id</w:t>
      </w:r>
      <w:r w:rsidRPr="00FA33D8">
        <w:rPr>
          <w:rFonts w:ascii="Times New Roman" w:hAnsi="Times New Roman"/>
          <w:sz w:val="24"/>
          <w:szCs w:val="24"/>
        </w:rPr>
        <w:t xml:space="preserve">. at 28 (emphasis added)]. Additionally, Section 4.4.2 of the FMP addresses the issue of public safety, and subsection (F) </w:t>
      </w:r>
      <w:r>
        <w:rPr>
          <w:rFonts w:ascii="Times New Roman" w:hAnsi="Times New Roman"/>
          <w:sz w:val="24"/>
          <w:szCs w:val="24"/>
        </w:rPr>
        <w:t>‘</w:t>
      </w:r>
      <w:r w:rsidRPr="00FA33D8">
        <w:rPr>
          <w:rFonts w:ascii="Times New Roman" w:hAnsi="Times New Roman"/>
          <w:sz w:val="24"/>
          <w:szCs w:val="24"/>
        </w:rPr>
        <w:t xml:space="preserve">outline[s] mitigation actions </w:t>
      </w:r>
      <w:r w:rsidRPr="00FA33D8">
        <w:rPr>
          <w:rFonts w:ascii="Times New Roman" w:hAnsi="Times New Roman"/>
          <w:i/>
          <w:iCs/>
          <w:sz w:val="24"/>
          <w:szCs w:val="24"/>
        </w:rPr>
        <w:t>required</w:t>
      </w:r>
      <w:r w:rsidRPr="00FA33D8">
        <w:rPr>
          <w:rFonts w:ascii="Times New Roman" w:hAnsi="Times New Roman"/>
          <w:sz w:val="24"/>
          <w:szCs w:val="24"/>
        </w:rPr>
        <w:t xml:space="preserve"> to protect values at risk and to ensure the safety of park staff and visitors as well as the neighboring public.</w:t>
      </w:r>
      <w:r>
        <w:rPr>
          <w:rFonts w:ascii="Times New Roman" w:hAnsi="Times New Roman"/>
          <w:sz w:val="24"/>
          <w:szCs w:val="24"/>
        </w:rPr>
        <w:t>’</w:t>
      </w:r>
      <w:r w:rsidRPr="00FA33D8">
        <w:rPr>
          <w:rFonts w:ascii="Times New Roman" w:hAnsi="Times New Roman"/>
          <w:sz w:val="24"/>
          <w:szCs w:val="24"/>
        </w:rPr>
        <w:t xml:space="preserve"> [</w:t>
      </w:r>
      <w:r w:rsidRPr="00FA33D8">
        <w:rPr>
          <w:rFonts w:ascii="Times New Roman" w:hAnsi="Times New Roman"/>
          <w:i/>
          <w:iCs/>
          <w:sz w:val="24"/>
          <w:szCs w:val="24"/>
        </w:rPr>
        <w:t>Id</w:t>
      </w:r>
      <w:r w:rsidRPr="00FA33D8">
        <w:rPr>
          <w:rFonts w:ascii="Times New Roman" w:hAnsi="Times New Roman"/>
          <w:sz w:val="24"/>
          <w:szCs w:val="24"/>
        </w:rPr>
        <w:t xml:space="preserve">. at 54-55 (emphasis added)]. Table 13, titled </w:t>
      </w:r>
      <w:r>
        <w:rPr>
          <w:rFonts w:ascii="Times New Roman" w:hAnsi="Times New Roman"/>
          <w:sz w:val="24"/>
          <w:szCs w:val="24"/>
        </w:rPr>
        <w:t>‘</w:t>
      </w:r>
      <w:r w:rsidRPr="00FA33D8">
        <w:rPr>
          <w:rFonts w:ascii="Times New Roman" w:hAnsi="Times New Roman"/>
          <w:sz w:val="24"/>
          <w:szCs w:val="24"/>
        </w:rPr>
        <w:t>Mitigations for Public Safety Issues,</w:t>
      </w:r>
      <w:r>
        <w:rPr>
          <w:rFonts w:ascii="Times New Roman" w:hAnsi="Times New Roman"/>
          <w:sz w:val="24"/>
          <w:szCs w:val="24"/>
        </w:rPr>
        <w:t>’</w:t>
      </w:r>
      <w:r w:rsidRPr="00FA33D8">
        <w:rPr>
          <w:rFonts w:ascii="Times New Roman" w:hAnsi="Times New Roman"/>
          <w:sz w:val="24"/>
          <w:szCs w:val="24"/>
        </w:rPr>
        <w:t xml:space="preserve"> then addresses various actions to be taken to protect various groups and resources. [</w:t>
      </w:r>
      <w:r w:rsidRPr="00FA33D8">
        <w:rPr>
          <w:rFonts w:ascii="Times New Roman" w:hAnsi="Times New Roman"/>
          <w:i/>
          <w:iCs/>
          <w:sz w:val="24"/>
          <w:szCs w:val="24"/>
        </w:rPr>
        <w:t>Id</w:t>
      </w:r>
      <w:r w:rsidRPr="00FA33D8">
        <w:rPr>
          <w:rFonts w:ascii="Times New Roman" w:hAnsi="Times New Roman"/>
          <w:sz w:val="24"/>
          <w:szCs w:val="24"/>
        </w:rPr>
        <w:t xml:space="preserve">. at 55]. *** Plaintiffs have cited mandatory directives to support jurisdiction over their claims based on the failure to warn about the Chimney Tops 2 fire, the Court finds that it has jurisdiction over this matter, and Defendant's motion to dismiss for lack of jurisdiction </w:t>
      </w:r>
      <w:r>
        <w:rPr>
          <w:rFonts w:ascii="Times New Roman" w:hAnsi="Times New Roman"/>
          <w:sz w:val="24"/>
          <w:szCs w:val="24"/>
        </w:rPr>
        <w:t xml:space="preserve">… </w:t>
      </w:r>
      <w:r w:rsidRPr="00FA33D8">
        <w:rPr>
          <w:rFonts w:ascii="Times New Roman" w:hAnsi="Times New Roman"/>
          <w:sz w:val="24"/>
          <w:szCs w:val="24"/>
        </w:rPr>
        <w:t xml:space="preserve">will be denied. </w:t>
      </w:r>
    </w:p>
    <w:bookmarkStart w:id="184" w:name="_Hlk39824099"/>
    <w:p w14:paraId="7E3CEAF7" w14:textId="77777777" w:rsidR="007C6FEF" w:rsidRPr="00FA33D8" w:rsidRDefault="00F2621E" w:rsidP="007C6FEF">
      <w:pPr>
        <w:pStyle w:val="NoSpacing"/>
        <w:ind w:left="720"/>
        <w:rPr>
          <w:rFonts w:ascii="Times New Roman" w:hAnsi="Times New Roman"/>
          <w:sz w:val="24"/>
          <w:szCs w:val="24"/>
        </w:rPr>
      </w:pPr>
      <w:r>
        <w:fldChar w:fldCharType="begin"/>
      </w:r>
      <w:r>
        <w:instrText xml:space="preserve"> HYPERLINK "https://www.nationalparkstraveler.org/sites/default/files/attachments/reed-chimney_tops_2_lawsuit.pdf" </w:instrText>
      </w:r>
      <w:r>
        <w:fldChar w:fldCharType="separate"/>
      </w:r>
      <w:r w:rsidR="007C6FEF" w:rsidRPr="009D5900">
        <w:rPr>
          <w:rStyle w:val="Hyperlink"/>
          <w:rFonts w:ascii="Times New Roman" w:hAnsi="Times New Roman"/>
          <w:sz w:val="24"/>
          <w:szCs w:val="24"/>
        </w:rPr>
        <w:t>https://www.nationalparkstraveler.org/sites/default/files/attachments/reed-chimney_tops_2_lawsuit.pdf</w:t>
      </w:r>
      <w:r>
        <w:rPr>
          <w:rStyle w:val="Hyperlink"/>
          <w:rFonts w:ascii="Times New Roman" w:hAnsi="Times New Roman"/>
          <w:sz w:val="24"/>
          <w:szCs w:val="24"/>
        </w:rPr>
        <w:fldChar w:fldCharType="end"/>
      </w:r>
      <w:bookmarkEnd w:id="184"/>
      <w:r w:rsidR="007C6FEF">
        <w:rPr>
          <w:rFonts w:ascii="Times New Roman" w:hAnsi="Times New Roman"/>
          <w:sz w:val="24"/>
          <w:szCs w:val="24"/>
        </w:rPr>
        <w:t xml:space="preserve"> </w:t>
      </w:r>
    </w:p>
    <w:p w14:paraId="6278688D" w14:textId="77777777" w:rsidR="009C4A80" w:rsidRDefault="009C4A80" w:rsidP="003464C5">
      <w:pPr>
        <w:rPr>
          <w:rFonts w:ascii="Arial" w:hAnsi="Arial" w:cs="Arial"/>
          <w:sz w:val="30"/>
          <w:szCs w:val="30"/>
        </w:rPr>
      </w:pPr>
    </w:p>
    <w:p w14:paraId="5B41531C" w14:textId="13F7125A" w:rsidR="003464C5" w:rsidRPr="009C4A80" w:rsidRDefault="009C4A80" w:rsidP="003464C5">
      <w:pPr>
        <w:rPr>
          <w:rStyle w:val="Hyperlink"/>
          <w:rFonts w:ascii="Times New Roman" w:hAnsi="Times New Roman"/>
          <w:b/>
          <w:bCs/>
          <w:color w:val="auto"/>
          <w:sz w:val="24"/>
          <w:szCs w:val="24"/>
          <w:u w:val="none"/>
        </w:rPr>
      </w:pPr>
      <w:r w:rsidRPr="009C4A80">
        <w:rPr>
          <w:rFonts w:ascii="Times New Roman" w:hAnsi="Times New Roman"/>
          <w:b/>
          <w:bCs/>
          <w:sz w:val="24"/>
          <w:szCs w:val="24"/>
        </w:rPr>
        <w:t>Legal Lessons Learned: “Failure to warn” establishes a cause of action under Federal Tort Claims Act. See also the After Action Report (Dec. 19, 2017): “An After Action Review has been released for the Chimney Tops 2 Fire that spread from Great Smoky Mountains National Park into the city of Gatlinburg, Tennessee a little over a year ago killing 14 people, forcing 14,000 to evacuate, destroying or damaging 2,500 structures, and burning 17,000 acres. The AAR, completed by ABS Group, was commissioned by Gatlinburg and Sevier County.”</w:t>
      </w:r>
    </w:p>
    <w:p w14:paraId="1C004A5B" w14:textId="77777777" w:rsidR="003464C5" w:rsidRDefault="003464C5" w:rsidP="002B1283">
      <w:pPr>
        <w:rPr>
          <w:rStyle w:val="Hyperlink"/>
          <w:rFonts w:ascii="Arial Black" w:hAnsi="Arial Black"/>
          <w:b/>
          <w:color w:val="auto"/>
          <w:sz w:val="24"/>
          <w:szCs w:val="24"/>
          <w:u w:val="none"/>
        </w:rPr>
      </w:pPr>
    </w:p>
    <w:p w14:paraId="1698244A" w14:textId="77777777" w:rsidR="007C6FEF" w:rsidRDefault="007C6FEF" w:rsidP="002B1283">
      <w:pPr>
        <w:rPr>
          <w:rStyle w:val="Hyperlink"/>
          <w:rFonts w:ascii="Arial Black" w:hAnsi="Arial Black"/>
          <w:b/>
          <w:color w:val="auto"/>
          <w:sz w:val="24"/>
          <w:szCs w:val="24"/>
          <w:u w:val="none"/>
        </w:rPr>
      </w:pPr>
    </w:p>
    <w:p w14:paraId="77ED83DA" w14:textId="77A1D5E8" w:rsidR="007471AF" w:rsidRDefault="007471AF"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4-5</w:t>
      </w:r>
    </w:p>
    <w:p w14:paraId="6CA1E87E" w14:textId="4ADF62CE" w:rsidR="007471AF" w:rsidRPr="00706498" w:rsidRDefault="007471AF" w:rsidP="007471AF">
      <w:pPr>
        <w:rPr>
          <w:rFonts w:ascii="Arial Black" w:hAnsi="Arial Black"/>
          <w:sz w:val="28"/>
          <w:szCs w:val="28"/>
        </w:rPr>
      </w:pPr>
      <w:r w:rsidRPr="00706498">
        <w:rPr>
          <w:rFonts w:ascii="Arial Black" w:hAnsi="Arial Black"/>
          <w:sz w:val="28"/>
          <w:szCs w:val="28"/>
        </w:rPr>
        <w:t xml:space="preserve">IN: DRONE – WOMAN FINDS DRONE IN HER YARD – ONBOARD VIDEO SHOWS NEIGHBOR CARRYING DRUGS </w:t>
      </w:r>
      <w:r>
        <w:rPr>
          <w:rFonts w:ascii="Arial Black" w:hAnsi="Arial Black"/>
          <w:sz w:val="28"/>
          <w:szCs w:val="28"/>
        </w:rPr>
        <w:t>[also filed, Chap. 1]</w:t>
      </w:r>
    </w:p>
    <w:p w14:paraId="1A611AD8" w14:textId="77777777" w:rsidR="007471AF" w:rsidRPr="009C4A80" w:rsidRDefault="007471AF" w:rsidP="007471AF">
      <w:pPr>
        <w:pStyle w:val="NoSpacing"/>
        <w:rPr>
          <w:rFonts w:ascii="Times New Roman" w:hAnsi="Times New Roman"/>
          <w:b/>
          <w:bCs/>
          <w:sz w:val="24"/>
          <w:szCs w:val="24"/>
        </w:rPr>
      </w:pPr>
      <w:r w:rsidRPr="009C4A80">
        <w:rPr>
          <w:rFonts w:ascii="Times New Roman" w:hAnsi="Times New Roman"/>
          <w:bCs/>
          <w:sz w:val="24"/>
          <w:szCs w:val="24"/>
        </w:rPr>
        <w:t xml:space="preserve">On Oct. 24, 2019, in </w:t>
      </w:r>
      <w:r w:rsidRPr="009C4A80">
        <w:rPr>
          <w:rFonts w:ascii="Times New Roman" w:hAnsi="Times New Roman"/>
          <w:bCs/>
          <w:sz w:val="24"/>
          <w:szCs w:val="24"/>
          <w:u w:val="single"/>
        </w:rPr>
        <w:t>Galen Byers v. State of Indiana</w:t>
      </w:r>
      <w:r w:rsidRPr="009C4A80">
        <w:rPr>
          <w:rFonts w:ascii="Times New Roman" w:hAnsi="Times New Roman"/>
          <w:bCs/>
          <w:sz w:val="24"/>
          <w:szCs w:val="24"/>
        </w:rPr>
        <w:t xml:space="preserve">, Court of Appeals of Indiana held (3 to 0) that the search warrant was obtained timely, and the trial court properly denied the defendant’s motion to suppress.  Criminal </w:t>
      </w:r>
      <w:proofErr w:type="gramStart"/>
      <w:r w:rsidRPr="009C4A80">
        <w:rPr>
          <w:rFonts w:ascii="Times New Roman" w:hAnsi="Times New Roman"/>
          <w:bCs/>
          <w:sz w:val="24"/>
          <w:szCs w:val="24"/>
        </w:rPr>
        <w:t>case</w:t>
      </w:r>
      <w:proofErr w:type="gramEnd"/>
      <w:r w:rsidRPr="009C4A80">
        <w:rPr>
          <w:rFonts w:ascii="Times New Roman" w:hAnsi="Times New Roman"/>
          <w:bCs/>
          <w:sz w:val="24"/>
          <w:szCs w:val="24"/>
        </w:rPr>
        <w:t xml:space="preserve"> for </w:t>
      </w:r>
      <w:proofErr w:type="gramStart"/>
      <w:r w:rsidRPr="009C4A80">
        <w:rPr>
          <w:rFonts w:ascii="Times New Roman" w:hAnsi="Times New Roman"/>
          <w:bCs/>
          <w:sz w:val="24"/>
          <w:szCs w:val="24"/>
        </w:rPr>
        <w:t>dealing</w:t>
      </w:r>
      <w:proofErr w:type="gramEnd"/>
      <w:r w:rsidRPr="009C4A80">
        <w:rPr>
          <w:rFonts w:ascii="Times New Roman" w:hAnsi="Times New Roman"/>
          <w:bCs/>
          <w:sz w:val="24"/>
          <w:szCs w:val="24"/>
        </w:rPr>
        <w:t xml:space="preserve"> methamphetamine will now be tried, unless the defendant enters a guilty plea.  </w:t>
      </w:r>
    </w:p>
    <w:p w14:paraId="1A4F87B2" w14:textId="77777777" w:rsidR="007471AF" w:rsidRPr="009C4A80" w:rsidRDefault="007471AF" w:rsidP="007471AF">
      <w:pPr>
        <w:pStyle w:val="NoSpacing"/>
        <w:rPr>
          <w:rFonts w:ascii="Times New Roman" w:hAnsi="Times New Roman"/>
          <w:b/>
          <w:bCs/>
          <w:sz w:val="24"/>
          <w:szCs w:val="24"/>
        </w:rPr>
      </w:pPr>
    </w:p>
    <w:p w14:paraId="7815661E" w14:textId="77777777" w:rsidR="007471AF" w:rsidRPr="009C4A80" w:rsidRDefault="007471AF" w:rsidP="007471AF">
      <w:pPr>
        <w:pStyle w:val="NoSpacing"/>
        <w:ind w:left="720"/>
        <w:rPr>
          <w:rFonts w:ascii="Times New Roman" w:hAnsi="Times New Roman"/>
          <w:b/>
          <w:bCs/>
          <w:sz w:val="24"/>
          <w:szCs w:val="24"/>
        </w:rPr>
      </w:pPr>
      <w:r w:rsidRPr="009C4A80">
        <w:rPr>
          <w:rFonts w:ascii="Times New Roman" w:hAnsi="Times New Roman"/>
          <w:bCs/>
          <w:sz w:val="24"/>
          <w:szCs w:val="24"/>
        </w:rPr>
        <w:t xml:space="preserve">“Moreover, while we look at the date of the video footage to determine whether probable cause existed, some lapse can also be accounted for here because [Marcie] </w:t>
      </w:r>
      <w:proofErr w:type="spellStart"/>
      <w:r w:rsidRPr="009C4A80">
        <w:rPr>
          <w:rFonts w:ascii="Times New Roman" w:hAnsi="Times New Roman"/>
          <w:bCs/>
          <w:sz w:val="24"/>
          <w:szCs w:val="24"/>
        </w:rPr>
        <w:t>Vormohr</w:t>
      </w:r>
      <w:proofErr w:type="spellEnd"/>
      <w:r w:rsidRPr="009C4A80">
        <w:rPr>
          <w:rFonts w:ascii="Times New Roman" w:hAnsi="Times New Roman"/>
          <w:bCs/>
          <w:sz w:val="24"/>
          <w:szCs w:val="24"/>
        </w:rPr>
        <w:t xml:space="preserve"> was in possession of the drone for likely at least one of those days. And, although we acknowledge that the woman in the video handled the alleged substances, the video also shows another individual—a man who </w:t>
      </w:r>
      <w:proofErr w:type="spellStart"/>
      <w:r w:rsidRPr="009C4A80">
        <w:rPr>
          <w:rFonts w:ascii="Times New Roman" w:hAnsi="Times New Roman"/>
          <w:bCs/>
          <w:sz w:val="24"/>
          <w:szCs w:val="24"/>
        </w:rPr>
        <w:t>Vormohr</w:t>
      </w:r>
      <w:proofErr w:type="spellEnd"/>
      <w:r w:rsidRPr="009C4A80">
        <w:rPr>
          <w:rFonts w:ascii="Times New Roman" w:hAnsi="Times New Roman"/>
          <w:bCs/>
          <w:sz w:val="24"/>
          <w:szCs w:val="24"/>
        </w:rPr>
        <w:t xml:space="preserve"> testified was Byers—handling the drone moments later in the same and subsequent video recordings. Based on the facts and circumstances before us, we cannot say that a four-day period between the activity and the finding of probable cause renders the warrant constitutionally stale.”</w:t>
      </w:r>
    </w:p>
    <w:p w14:paraId="67FB7E6A" w14:textId="77777777" w:rsidR="007471AF" w:rsidRPr="009C4A80" w:rsidRDefault="007471AF" w:rsidP="007471AF">
      <w:pPr>
        <w:pStyle w:val="NoSpacing"/>
        <w:ind w:left="720"/>
        <w:rPr>
          <w:rFonts w:ascii="Times New Roman" w:hAnsi="Times New Roman"/>
          <w:b/>
          <w:bCs/>
          <w:sz w:val="24"/>
          <w:szCs w:val="24"/>
        </w:rPr>
      </w:pPr>
      <w:hyperlink r:id="rId942" w:history="1">
        <w:r w:rsidRPr="009C4A80">
          <w:rPr>
            <w:rStyle w:val="Hyperlink"/>
            <w:rFonts w:ascii="Times New Roman" w:hAnsi="Times New Roman"/>
            <w:bCs/>
            <w:sz w:val="24"/>
            <w:szCs w:val="24"/>
          </w:rPr>
          <w:t>https://www.in.gov/judiciary/opinions/pdf/10241902eft.pdf</w:t>
        </w:r>
      </w:hyperlink>
      <w:r w:rsidRPr="009C4A80">
        <w:rPr>
          <w:rFonts w:ascii="Times New Roman" w:hAnsi="Times New Roman"/>
          <w:bCs/>
          <w:sz w:val="24"/>
          <w:szCs w:val="24"/>
        </w:rPr>
        <w:t xml:space="preserve"> </w:t>
      </w:r>
    </w:p>
    <w:p w14:paraId="45C8694D" w14:textId="77777777" w:rsidR="009C4A80" w:rsidRDefault="009C4A80" w:rsidP="007471AF">
      <w:pPr>
        <w:pStyle w:val="NoSpacing"/>
        <w:rPr>
          <w:rFonts w:ascii="Times New Roman" w:hAnsi="Times New Roman"/>
          <w:b/>
          <w:bCs/>
          <w:sz w:val="24"/>
          <w:szCs w:val="24"/>
        </w:rPr>
      </w:pPr>
    </w:p>
    <w:p w14:paraId="362D898A" w14:textId="23747565" w:rsidR="007471AF" w:rsidRPr="009C4A80" w:rsidRDefault="007471AF" w:rsidP="007471AF">
      <w:pPr>
        <w:pStyle w:val="NoSpacing"/>
        <w:rPr>
          <w:rFonts w:ascii="Times New Roman" w:hAnsi="Times New Roman"/>
          <w:b/>
          <w:bCs/>
          <w:sz w:val="24"/>
          <w:szCs w:val="24"/>
        </w:rPr>
      </w:pPr>
      <w:r w:rsidRPr="009C4A80">
        <w:rPr>
          <w:rFonts w:ascii="Times New Roman" w:hAnsi="Times New Roman"/>
          <w:b/>
          <w:bCs/>
          <w:sz w:val="24"/>
          <w:szCs w:val="24"/>
        </w:rPr>
        <w:t xml:space="preserve">Legal Lessons Learned:  If you are a drug dealer, be cautious of drones with video cameras. </w:t>
      </w:r>
    </w:p>
    <w:p w14:paraId="0C025598" w14:textId="55D588A2" w:rsidR="007471AF" w:rsidRDefault="007471AF" w:rsidP="007471AF">
      <w:pPr>
        <w:rPr>
          <w:rFonts w:ascii="Arial Black" w:hAnsi="Arial Black"/>
          <w:b/>
          <w:sz w:val="24"/>
          <w:szCs w:val="24"/>
        </w:rPr>
      </w:pPr>
    </w:p>
    <w:p w14:paraId="033989F1" w14:textId="77777777" w:rsidR="007471AF" w:rsidRDefault="007471AF" w:rsidP="002B1283">
      <w:pPr>
        <w:rPr>
          <w:rStyle w:val="Hyperlink"/>
          <w:rFonts w:ascii="Arial Black" w:hAnsi="Arial Black"/>
          <w:b/>
          <w:color w:val="auto"/>
          <w:sz w:val="24"/>
          <w:szCs w:val="24"/>
          <w:u w:val="none"/>
        </w:rPr>
      </w:pPr>
    </w:p>
    <w:p w14:paraId="1254A69A" w14:textId="6DE848B0" w:rsidR="00A06387" w:rsidRDefault="00A06387" w:rsidP="002B1283">
      <w:pPr>
        <w:rPr>
          <w:rStyle w:val="Hyperlink"/>
          <w:rFonts w:ascii="Arial Black" w:hAnsi="Arial Black"/>
          <w:b/>
          <w:color w:val="auto"/>
          <w:sz w:val="24"/>
          <w:szCs w:val="24"/>
          <w:u w:val="none"/>
        </w:rPr>
      </w:pPr>
      <w:r>
        <w:rPr>
          <w:rStyle w:val="Hyperlink"/>
          <w:rFonts w:ascii="Arial Black" w:hAnsi="Arial Black"/>
          <w:b/>
          <w:color w:val="auto"/>
          <w:sz w:val="24"/>
          <w:szCs w:val="24"/>
          <w:u w:val="none"/>
        </w:rPr>
        <w:t>4-4</w:t>
      </w:r>
    </w:p>
    <w:p w14:paraId="5DE28287" w14:textId="77777777" w:rsidR="00A06387" w:rsidRPr="00BA42E2" w:rsidRDefault="00A06387" w:rsidP="00A06387">
      <w:pPr>
        <w:pStyle w:val="NoSpacing"/>
        <w:rPr>
          <w:rFonts w:ascii="Arial Black" w:hAnsi="Arial Black"/>
          <w:b/>
          <w:bCs/>
          <w:sz w:val="28"/>
          <w:szCs w:val="28"/>
        </w:rPr>
      </w:pPr>
      <w:r>
        <w:rPr>
          <w:rFonts w:ascii="Arial Black" w:hAnsi="Arial Black"/>
          <w:bCs/>
          <w:sz w:val="28"/>
          <w:szCs w:val="28"/>
        </w:rPr>
        <w:t>NY:  RE-KINDLE WAREHOUSE FIRE – FD HAD TURNED OFF SPRINKLER SYSTEM – NO GOVERNMENTAL IMMUNITY</w:t>
      </w:r>
    </w:p>
    <w:p w14:paraId="55B6582C" w14:textId="77777777" w:rsidR="00A06387" w:rsidRDefault="00A06387" w:rsidP="00A06387">
      <w:pPr>
        <w:pStyle w:val="NoSpacing"/>
      </w:pPr>
    </w:p>
    <w:p w14:paraId="4F6175BD" w14:textId="37EE9D26" w:rsidR="00A06387" w:rsidRPr="009C4A80" w:rsidRDefault="00A06387" w:rsidP="00A06387">
      <w:pPr>
        <w:pStyle w:val="NoSpacing"/>
        <w:rPr>
          <w:rFonts w:ascii="Times New Roman" w:hAnsi="Times New Roman"/>
          <w:b/>
          <w:bCs/>
          <w:sz w:val="24"/>
          <w:szCs w:val="24"/>
        </w:rPr>
      </w:pPr>
      <w:r w:rsidRPr="009C4A80">
        <w:rPr>
          <w:rFonts w:ascii="Times New Roman" w:hAnsi="Times New Roman"/>
          <w:bCs/>
          <w:sz w:val="24"/>
          <w:szCs w:val="24"/>
        </w:rPr>
        <w:t xml:space="preserve">On </w:t>
      </w:r>
      <w:bookmarkStart w:id="185" w:name="_Hlk39824745"/>
      <w:r w:rsidRPr="009C4A80">
        <w:rPr>
          <w:rFonts w:ascii="Times New Roman" w:hAnsi="Times New Roman"/>
          <w:bCs/>
          <w:sz w:val="24"/>
          <w:szCs w:val="24"/>
        </w:rPr>
        <w:t xml:space="preserve">Oct. 23, 2019, in </w:t>
      </w:r>
      <w:r w:rsidRPr="009C4A80">
        <w:rPr>
          <w:rFonts w:ascii="Times New Roman" w:hAnsi="Times New Roman"/>
          <w:bCs/>
          <w:sz w:val="24"/>
          <w:szCs w:val="24"/>
          <w:u w:val="single"/>
        </w:rPr>
        <w:t>Zurick American Insurance Company v. City of New York</w:t>
      </w:r>
      <w:bookmarkEnd w:id="185"/>
      <w:r w:rsidRPr="009C4A80">
        <w:rPr>
          <w:rFonts w:ascii="Times New Roman" w:hAnsi="Times New Roman"/>
          <w:bCs/>
          <w:sz w:val="24"/>
          <w:szCs w:val="24"/>
        </w:rPr>
        <w:t xml:space="preserve">, the Supreme Court of New York, Appellate Division / Second Judicial Department held (5 to 0) that the insurance company for the warehouse may proceed with the lawsuit against the City of New York.  </w:t>
      </w:r>
    </w:p>
    <w:p w14:paraId="6380CCD4" w14:textId="77777777" w:rsidR="009C4A80" w:rsidRDefault="009C4A80" w:rsidP="00A06387">
      <w:pPr>
        <w:pStyle w:val="NoSpacing"/>
        <w:ind w:left="720"/>
        <w:rPr>
          <w:rFonts w:ascii="Times New Roman" w:hAnsi="Times New Roman"/>
          <w:bCs/>
          <w:sz w:val="24"/>
          <w:szCs w:val="24"/>
        </w:rPr>
      </w:pPr>
    </w:p>
    <w:p w14:paraId="68EEA0C2" w14:textId="288A7A41" w:rsidR="00A06387" w:rsidRPr="009C4A80" w:rsidRDefault="00A06387" w:rsidP="00A06387">
      <w:pPr>
        <w:pStyle w:val="NoSpacing"/>
        <w:ind w:left="720"/>
        <w:rPr>
          <w:rFonts w:ascii="Times New Roman" w:hAnsi="Times New Roman"/>
          <w:b/>
          <w:bCs/>
          <w:sz w:val="24"/>
          <w:szCs w:val="24"/>
        </w:rPr>
      </w:pPr>
      <w:r w:rsidRPr="009C4A80">
        <w:rPr>
          <w:rFonts w:ascii="Times New Roman" w:hAnsi="Times New Roman"/>
          <w:bCs/>
          <w:sz w:val="24"/>
          <w:szCs w:val="24"/>
        </w:rPr>
        <w:t xml:space="preserve">“Here, the plaintiffs' allegations that FDNY personnel, upon arriving at the scene and assuming control over the ongoing fire, shut off the main water supply valve to the warehouse's sprinkler systems, then certified to warehouse employees that it was safe to reenter the building when in fact the fire was still at risk of rekindling—which it did within minutes after FDNY personnel left the premises—are sufficient to establish a special relationship (see Trimble v City of Albany, 144 AD3d 1484; S.C. </w:t>
      </w:r>
      <w:proofErr w:type="spellStart"/>
      <w:r w:rsidRPr="009C4A80">
        <w:rPr>
          <w:rFonts w:ascii="Times New Roman" w:hAnsi="Times New Roman"/>
          <w:bCs/>
          <w:sz w:val="24"/>
          <w:szCs w:val="24"/>
        </w:rPr>
        <w:t>Freidfertig</w:t>
      </w:r>
      <w:proofErr w:type="spellEnd"/>
      <w:r w:rsidRPr="009C4A80">
        <w:rPr>
          <w:rFonts w:ascii="Times New Roman" w:hAnsi="Times New Roman"/>
          <w:bCs/>
          <w:sz w:val="24"/>
          <w:szCs w:val="24"/>
        </w:rPr>
        <w:t xml:space="preserve"> Bldrs. v Spano Plumbing &amp; Heating, Inc., 173 AD2d 454). Therefore, we agree with the Supreme Court's determination denying the defendant's motion to dismiss the complaint.”</w:t>
      </w:r>
    </w:p>
    <w:bookmarkStart w:id="186" w:name="_Hlk39824846"/>
    <w:p w14:paraId="76A2C813" w14:textId="38261899" w:rsidR="00A06387" w:rsidRPr="009C4A80" w:rsidRDefault="00F2621E" w:rsidP="009C4A80">
      <w:pPr>
        <w:ind w:firstLine="720"/>
        <w:rPr>
          <w:rStyle w:val="Hyperlink"/>
          <w:rFonts w:ascii="Times New Roman" w:hAnsi="Times New Roman"/>
          <w:b/>
          <w:color w:val="auto"/>
          <w:sz w:val="24"/>
          <w:szCs w:val="24"/>
          <w:u w:val="none"/>
        </w:rPr>
      </w:pPr>
      <w:r>
        <w:fldChar w:fldCharType="begin"/>
      </w:r>
      <w:r>
        <w:instrText xml:space="preserve"> HYPERLINK "https://law.justia.com/cases/new-york/appellate-division-second-department/2019/2017-08288.html" </w:instrText>
      </w:r>
      <w:r>
        <w:fldChar w:fldCharType="separate"/>
      </w:r>
      <w:r w:rsidR="009C4A80" w:rsidRPr="002F304C">
        <w:rPr>
          <w:rStyle w:val="Hyperlink"/>
          <w:rFonts w:ascii="Times New Roman" w:hAnsi="Times New Roman"/>
          <w:bCs/>
          <w:sz w:val="24"/>
          <w:szCs w:val="24"/>
        </w:rPr>
        <w:t>https://law.justia.com/cases/new-york/appellate-division-second-department/2019/2017-08288.html</w:t>
      </w:r>
      <w:r>
        <w:rPr>
          <w:rStyle w:val="Hyperlink"/>
          <w:rFonts w:ascii="Times New Roman" w:hAnsi="Times New Roman"/>
          <w:bCs/>
          <w:sz w:val="24"/>
          <w:szCs w:val="24"/>
        </w:rPr>
        <w:fldChar w:fldCharType="end"/>
      </w:r>
    </w:p>
    <w:p w14:paraId="5C2F6F78" w14:textId="412CFDA1" w:rsidR="00A06387" w:rsidRPr="009C4A80" w:rsidRDefault="00A06387" w:rsidP="00A06387">
      <w:pPr>
        <w:pStyle w:val="NormalWeb"/>
        <w:rPr>
          <w:b/>
          <w:bCs/>
        </w:rPr>
      </w:pPr>
      <w:bookmarkStart w:id="187" w:name="_Hlk40509731"/>
      <w:bookmarkEnd w:id="186"/>
      <w:r w:rsidRPr="009C4A80">
        <w:rPr>
          <w:b/>
          <w:bCs/>
        </w:rPr>
        <w:t>Legal Lessons Learned: Extreme care must be exercised when a sprinkler system is shut down</w:t>
      </w:r>
      <w:r w:rsidR="005E5044">
        <w:rPr>
          <w:b/>
          <w:bCs/>
        </w:rPr>
        <w:t>.</w:t>
      </w:r>
      <w:r w:rsidRPr="009C4A80">
        <w:rPr>
          <w:b/>
          <w:bCs/>
        </w:rPr>
        <w:t xml:space="preserve"> </w:t>
      </w:r>
    </w:p>
    <w:bookmarkEnd w:id="187"/>
    <w:p w14:paraId="0792F4E8" w14:textId="77777777" w:rsidR="00A06387" w:rsidRDefault="00A06387" w:rsidP="002B1283">
      <w:pPr>
        <w:rPr>
          <w:rStyle w:val="Hyperlink"/>
          <w:rFonts w:ascii="Arial Black" w:hAnsi="Arial Black"/>
          <w:b/>
          <w:color w:val="auto"/>
          <w:sz w:val="24"/>
          <w:szCs w:val="24"/>
          <w:u w:val="none"/>
        </w:rPr>
      </w:pPr>
    </w:p>
    <w:p w14:paraId="01530D47" w14:textId="77777777" w:rsidR="00A06387" w:rsidRDefault="00A06387" w:rsidP="002B1283">
      <w:pPr>
        <w:rPr>
          <w:rStyle w:val="Hyperlink"/>
          <w:rFonts w:ascii="Arial Black" w:hAnsi="Arial Black"/>
          <w:b/>
          <w:color w:val="auto"/>
          <w:sz w:val="24"/>
          <w:szCs w:val="24"/>
          <w:u w:val="none"/>
        </w:rPr>
      </w:pPr>
    </w:p>
    <w:p w14:paraId="072AD8B2" w14:textId="2BCA0C9F" w:rsidR="00EF1133" w:rsidRDefault="00EF1133" w:rsidP="002B1283">
      <w:pPr>
        <w:rPr>
          <w:rFonts w:ascii="Arial Black" w:hAnsi="Arial Black"/>
          <w:sz w:val="28"/>
          <w:szCs w:val="28"/>
        </w:rPr>
      </w:pPr>
      <w:r w:rsidRPr="00EF1133">
        <w:rPr>
          <w:rStyle w:val="Hyperlink"/>
          <w:rFonts w:ascii="Arial Black" w:hAnsi="Arial Black"/>
          <w:b/>
          <w:color w:val="auto"/>
          <w:sz w:val="24"/>
          <w:szCs w:val="24"/>
          <w:u w:val="none"/>
        </w:rPr>
        <w:lastRenderedPageBreak/>
        <w:t>4-</w:t>
      </w:r>
      <w:r>
        <w:rPr>
          <w:rStyle w:val="Hyperlink"/>
          <w:rFonts w:ascii="Arial Black" w:hAnsi="Arial Black"/>
          <w:b/>
          <w:color w:val="auto"/>
          <w:sz w:val="24"/>
          <w:szCs w:val="24"/>
          <w:u w:val="none"/>
        </w:rPr>
        <w:t>3</w:t>
      </w:r>
    </w:p>
    <w:p w14:paraId="40B3C8DD" w14:textId="690BDD04" w:rsidR="002B1283" w:rsidRDefault="002B1283" w:rsidP="002B1283">
      <w:pPr>
        <w:rPr>
          <w:rFonts w:ascii="Arial Black" w:hAnsi="Arial Black"/>
          <w:sz w:val="28"/>
          <w:szCs w:val="28"/>
        </w:rPr>
      </w:pPr>
      <w:bookmarkStart w:id="188" w:name="_Hlk39763888"/>
      <w:r>
        <w:rPr>
          <w:rFonts w:ascii="Arial Black" w:hAnsi="Arial Black"/>
          <w:sz w:val="28"/>
          <w:szCs w:val="28"/>
        </w:rPr>
        <w:t>CA:  WILDLAND FIRE IN NATIONAL FOREST – WATER TRUCK RAN OVER FF SLEEPING AT BASE CAMP – NO AUTOMATIC GOVT IMMUNITY</w:t>
      </w:r>
    </w:p>
    <w:p w14:paraId="4C2D8A8B" w14:textId="77777777" w:rsidR="002B1283" w:rsidRDefault="002B1283" w:rsidP="002B1283">
      <w:pPr>
        <w:rPr>
          <w:rStyle w:val="Hyperlink"/>
        </w:rPr>
      </w:pPr>
      <w:r w:rsidRPr="00AA1593">
        <w:rPr>
          <w:rFonts w:ascii="Times New Roman" w:hAnsi="Times New Roman"/>
          <w:sz w:val="24"/>
          <w:szCs w:val="24"/>
        </w:rPr>
        <w:t xml:space="preserve">On July 15, 2019, in </w:t>
      </w:r>
      <w:r w:rsidRPr="00AA1593">
        <w:rPr>
          <w:rFonts w:ascii="Times New Roman" w:hAnsi="Times New Roman"/>
          <w:sz w:val="24"/>
          <w:szCs w:val="24"/>
          <w:u w:val="single"/>
        </w:rPr>
        <w:t>Rebecca Megan Quigley v. Garden Valley Fire Protection District, et al.</w:t>
      </w:r>
      <w:r w:rsidRPr="00AA1593">
        <w:rPr>
          <w:rFonts w:ascii="Times New Roman" w:hAnsi="Times New Roman"/>
          <w:sz w:val="24"/>
          <w:szCs w:val="24"/>
        </w:rPr>
        <w:t xml:space="preserve">, the Supreme Court of California held (7 to 0), the Court reversed the Court of Appeals </w:t>
      </w:r>
      <w:r>
        <w:rPr>
          <w:rFonts w:ascii="Times New Roman" w:hAnsi="Times New Roman"/>
          <w:sz w:val="24"/>
          <w:szCs w:val="24"/>
        </w:rPr>
        <w:t xml:space="preserve">which had </w:t>
      </w:r>
      <w:r w:rsidRPr="00AA1593">
        <w:rPr>
          <w:rFonts w:ascii="Times New Roman" w:hAnsi="Times New Roman"/>
          <w:sz w:val="24"/>
          <w:szCs w:val="24"/>
        </w:rPr>
        <w:t xml:space="preserve">held </w:t>
      </w:r>
      <w:r>
        <w:rPr>
          <w:rFonts w:ascii="Times New Roman" w:hAnsi="Times New Roman"/>
          <w:sz w:val="24"/>
          <w:szCs w:val="24"/>
        </w:rPr>
        <w:t xml:space="preserve">that </w:t>
      </w:r>
      <w:r w:rsidRPr="00AA1593">
        <w:rPr>
          <w:rFonts w:ascii="Times New Roman" w:hAnsi="Times New Roman"/>
          <w:sz w:val="24"/>
          <w:szCs w:val="24"/>
        </w:rPr>
        <w:t xml:space="preserve">the base camp management team and their Fire Departments were automatically </w:t>
      </w:r>
      <w:r>
        <w:rPr>
          <w:rFonts w:ascii="Times New Roman" w:hAnsi="Times New Roman"/>
          <w:sz w:val="24"/>
          <w:szCs w:val="24"/>
        </w:rPr>
        <w:t xml:space="preserve">protected from liability </w:t>
      </w:r>
      <w:r w:rsidRPr="00AA1593">
        <w:rPr>
          <w:rFonts w:ascii="Times New Roman" w:hAnsi="Times New Roman"/>
          <w:sz w:val="24"/>
          <w:szCs w:val="24"/>
        </w:rPr>
        <w:t xml:space="preserve">by CA governmental immunity statute. </w:t>
      </w:r>
      <w:r>
        <w:rPr>
          <w:rFonts w:ascii="Times New Roman" w:hAnsi="Times New Roman"/>
          <w:sz w:val="24"/>
          <w:szCs w:val="24"/>
        </w:rPr>
        <w:t xml:space="preserve"> </w:t>
      </w:r>
    </w:p>
    <w:p w14:paraId="0A28E28C" w14:textId="77777777" w:rsidR="002B1283" w:rsidRDefault="002B1283" w:rsidP="002B1283">
      <w:pPr>
        <w:pStyle w:val="NoSpacing"/>
        <w:ind w:left="720"/>
        <w:rPr>
          <w:rFonts w:ascii="Times New Roman" w:hAnsi="Times New Roman"/>
          <w:sz w:val="24"/>
          <w:szCs w:val="24"/>
        </w:rPr>
      </w:pPr>
      <w:bookmarkStart w:id="189" w:name="_Hlk39765736"/>
      <w:r>
        <w:rPr>
          <w:rFonts w:ascii="Times New Roman" w:hAnsi="Times New Roman"/>
          <w:sz w:val="24"/>
          <w:szCs w:val="24"/>
        </w:rPr>
        <w:t>“</w:t>
      </w:r>
      <w:r w:rsidRPr="00AA1593">
        <w:rPr>
          <w:rFonts w:ascii="Times New Roman" w:hAnsi="Times New Roman"/>
          <w:sz w:val="24"/>
          <w:szCs w:val="24"/>
        </w:rPr>
        <w:t>If the Court of Appeal determines that section 850.4 immunity was not adequately raised in defendants’ answer, the case should be remanded to permit the trial court to decide whether to exercise its discretion to allow the belated assertion of the defense after the commencement of the trial.</w:t>
      </w:r>
      <w:r>
        <w:rPr>
          <w:rFonts w:ascii="Times New Roman" w:hAnsi="Times New Roman"/>
          <w:sz w:val="24"/>
          <w:szCs w:val="24"/>
        </w:rPr>
        <w:t>”</w:t>
      </w:r>
    </w:p>
    <w:p w14:paraId="5D87C57D" w14:textId="77777777" w:rsidR="002B1283" w:rsidRDefault="002B1283" w:rsidP="002B1283">
      <w:pPr>
        <w:ind w:firstLine="720"/>
      </w:pPr>
      <w:hyperlink r:id="rId943" w:history="1">
        <w:r w:rsidRPr="00455844">
          <w:rPr>
            <w:rStyle w:val="Hyperlink"/>
          </w:rPr>
          <w:t>https://law.justia.com/cases/california/supreme-court/2019/s242250.html</w:t>
        </w:r>
      </w:hyperlink>
      <w:bookmarkEnd w:id="189"/>
    </w:p>
    <w:bookmarkEnd w:id="188"/>
    <w:p w14:paraId="29819BF9" w14:textId="77777777" w:rsidR="002B1283" w:rsidRPr="00AA1593" w:rsidRDefault="002B1283" w:rsidP="002B1283">
      <w:pPr>
        <w:pStyle w:val="NoSpacing"/>
        <w:ind w:left="720"/>
        <w:rPr>
          <w:rFonts w:ascii="Times New Roman" w:hAnsi="Times New Roman"/>
          <w:sz w:val="24"/>
          <w:szCs w:val="24"/>
        </w:rPr>
      </w:pPr>
    </w:p>
    <w:p w14:paraId="6C495F4B" w14:textId="77777777" w:rsidR="002B1283" w:rsidRDefault="002B1283" w:rsidP="002B1283">
      <w:pPr>
        <w:rPr>
          <w:rFonts w:ascii="Times New Roman" w:hAnsi="Times New Roman"/>
          <w:b/>
          <w:bCs/>
          <w:sz w:val="24"/>
          <w:szCs w:val="24"/>
        </w:rPr>
      </w:pPr>
      <w:bookmarkStart w:id="190" w:name="_Hlk40509887"/>
      <w:r>
        <w:rPr>
          <w:rFonts w:ascii="Times New Roman" w:hAnsi="Times New Roman"/>
          <w:b/>
          <w:bCs/>
          <w:sz w:val="24"/>
          <w:szCs w:val="24"/>
        </w:rPr>
        <w:t>Legal Lessons Learned:  The injured Federal firefighter was covered by workers comp, but under CA broad governmental immunity statute, she will have a difficult time obtaining damages from these California commanders or their fire department.</w:t>
      </w:r>
    </w:p>
    <w:p w14:paraId="55D9B728" w14:textId="349B1AA6" w:rsidR="002B1283" w:rsidRDefault="005E5044" w:rsidP="002B1283">
      <w:pPr>
        <w:pStyle w:val="NoSpacing"/>
        <w:ind w:left="720"/>
      </w:pPr>
      <w:r>
        <w:rPr>
          <w:rFonts w:ascii="Times New Roman" w:hAnsi="Times New Roman"/>
          <w:sz w:val="24"/>
          <w:szCs w:val="24"/>
        </w:rPr>
        <w:t xml:space="preserve">Note: </w:t>
      </w:r>
      <w:r w:rsidR="002B1283">
        <w:rPr>
          <w:rFonts w:ascii="Times New Roman" w:hAnsi="Times New Roman"/>
          <w:sz w:val="24"/>
          <w:szCs w:val="24"/>
        </w:rPr>
        <w:t>“</w:t>
      </w:r>
      <w:r w:rsidR="002B1283" w:rsidRPr="003F6F54">
        <w:rPr>
          <w:rFonts w:ascii="Times New Roman" w:hAnsi="Times New Roman"/>
          <w:sz w:val="24"/>
          <w:szCs w:val="24"/>
        </w:rPr>
        <w:t>Government Code section 850.4(section 850.4), the provision at issue in this case,</w:t>
      </w:r>
      <w:r w:rsidR="002B1283">
        <w:rPr>
          <w:rFonts w:ascii="Times New Roman" w:hAnsi="Times New Roman"/>
          <w:sz w:val="24"/>
          <w:szCs w:val="24"/>
        </w:rPr>
        <w:t xml:space="preserve"> </w:t>
      </w:r>
      <w:r w:rsidR="002B1283" w:rsidRPr="003F6F54">
        <w:rPr>
          <w:rFonts w:ascii="Times New Roman" w:hAnsi="Times New Roman"/>
          <w:sz w:val="24"/>
          <w:szCs w:val="24"/>
        </w:rPr>
        <w:t xml:space="preserve">establishes immunity: </w:t>
      </w:r>
      <w:r w:rsidR="002B1283">
        <w:rPr>
          <w:rFonts w:ascii="Times New Roman" w:hAnsi="Times New Roman"/>
          <w:sz w:val="24"/>
          <w:szCs w:val="24"/>
        </w:rPr>
        <w:t>‘</w:t>
      </w:r>
      <w:r w:rsidR="002B1283" w:rsidRPr="003F6F54">
        <w:rPr>
          <w:rFonts w:ascii="Times New Roman" w:hAnsi="Times New Roman"/>
          <w:sz w:val="24"/>
          <w:szCs w:val="24"/>
        </w:rPr>
        <w:t>Neither a public entity, nor a public employee acting in the scope of his employment, is liable for any injury resulting from the condition of fire protection or firefighting equipment or facilities or,</w:t>
      </w:r>
      <w:r w:rsidR="002B1283">
        <w:rPr>
          <w:rFonts w:ascii="Times New Roman" w:hAnsi="Times New Roman"/>
          <w:sz w:val="24"/>
          <w:szCs w:val="24"/>
        </w:rPr>
        <w:t>’</w:t>
      </w:r>
      <w:r w:rsidR="002B1283" w:rsidRPr="003F6F54">
        <w:rPr>
          <w:rFonts w:ascii="Times New Roman" w:hAnsi="Times New Roman"/>
          <w:sz w:val="24"/>
          <w:szCs w:val="24"/>
        </w:rPr>
        <w:t xml:space="preserve"> with the exception of certain motor vehicle accidents, </w:t>
      </w:r>
      <w:r w:rsidR="002B1283">
        <w:rPr>
          <w:rFonts w:ascii="Times New Roman" w:hAnsi="Times New Roman"/>
          <w:sz w:val="24"/>
          <w:szCs w:val="24"/>
        </w:rPr>
        <w:t>‘</w:t>
      </w:r>
      <w:r w:rsidR="002B1283" w:rsidRPr="003F6F54">
        <w:rPr>
          <w:rFonts w:ascii="Times New Roman" w:hAnsi="Times New Roman"/>
          <w:sz w:val="24"/>
          <w:szCs w:val="24"/>
        </w:rPr>
        <w:t>for any injury caused in fighting fires.</w:t>
      </w:r>
      <w:r w:rsidR="002B1283">
        <w:rPr>
          <w:rFonts w:ascii="Times New Roman" w:hAnsi="Times New Roman"/>
          <w:sz w:val="24"/>
          <w:szCs w:val="24"/>
        </w:rPr>
        <w:t>’</w:t>
      </w:r>
      <w:r w:rsidR="002B1283" w:rsidRPr="003F6F54">
        <w:rPr>
          <w:rFonts w:ascii="Times New Roman" w:hAnsi="Times New Roman"/>
          <w:sz w:val="24"/>
          <w:szCs w:val="24"/>
        </w:rPr>
        <w:t xml:space="preserve"> Section 850.4 was enacted at the recommendation of the Law Revision</w:t>
      </w:r>
      <w:r w:rsidR="002B1283">
        <w:rPr>
          <w:rFonts w:ascii="Times New Roman" w:hAnsi="Times New Roman"/>
          <w:sz w:val="24"/>
          <w:szCs w:val="24"/>
        </w:rPr>
        <w:t xml:space="preserve"> </w:t>
      </w:r>
      <w:r w:rsidR="002B1283" w:rsidRPr="003F6F54">
        <w:rPr>
          <w:rFonts w:ascii="Times New Roman" w:hAnsi="Times New Roman"/>
          <w:sz w:val="24"/>
          <w:szCs w:val="24"/>
        </w:rPr>
        <w:t>Commission.</w:t>
      </w:r>
      <w:r w:rsidR="002B1283">
        <w:rPr>
          <w:rFonts w:ascii="Times New Roman" w:hAnsi="Times New Roman"/>
          <w:sz w:val="24"/>
          <w:szCs w:val="24"/>
        </w:rPr>
        <w:t xml:space="preserve"> </w:t>
      </w:r>
      <w:r w:rsidR="002B1283" w:rsidRPr="003F6F54">
        <w:rPr>
          <w:rFonts w:ascii="Times New Roman" w:hAnsi="Times New Roman"/>
          <w:sz w:val="24"/>
          <w:szCs w:val="24"/>
        </w:rPr>
        <w:t>The commission’s report to the Legislature explained</w:t>
      </w:r>
      <w:r w:rsidR="002B1283">
        <w:rPr>
          <w:rFonts w:ascii="Times New Roman" w:hAnsi="Times New Roman"/>
          <w:sz w:val="24"/>
          <w:szCs w:val="24"/>
        </w:rPr>
        <w:t xml:space="preserve"> </w:t>
      </w:r>
      <w:r w:rsidR="002B1283" w:rsidRPr="003F6F54">
        <w:rPr>
          <w:rFonts w:ascii="Times New Roman" w:hAnsi="Times New Roman"/>
          <w:sz w:val="24"/>
          <w:szCs w:val="24"/>
        </w:rPr>
        <w:t xml:space="preserve">section 850.4’s purpose as follows: </w:t>
      </w:r>
      <w:r w:rsidR="002B1283">
        <w:rPr>
          <w:rFonts w:ascii="Times New Roman" w:hAnsi="Times New Roman"/>
          <w:sz w:val="24"/>
          <w:szCs w:val="24"/>
        </w:rPr>
        <w:t>‘</w:t>
      </w:r>
      <w:r w:rsidR="002B1283" w:rsidRPr="003F6F54">
        <w:rPr>
          <w:rFonts w:ascii="Times New Roman" w:hAnsi="Times New Roman"/>
          <w:sz w:val="24"/>
          <w:szCs w:val="24"/>
        </w:rPr>
        <w:t>There are adequate incentives to careful maintenance of fire equipment without imposing tort liability; and firemen should not be deterred from any action they may</w:t>
      </w:r>
      <w:r w:rsidR="002B1283">
        <w:rPr>
          <w:rFonts w:ascii="Times New Roman" w:hAnsi="Times New Roman"/>
          <w:sz w:val="24"/>
          <w:szCs w:val="24"/>
        </w:rPr>
        <w:t xml:space="preserve"> </w:t>
      </w:r>
      <w:r w:rsidR="002B1283" w:rsidRPr="003F6F54">
        <w:rPr>
          <w:rFonts w:ascii="Times New Roman" w:hAnsi="Times New Roman"/>
          <w:sz w:val="24"/>
          <w:szCs w:val="24"/>
        </w:rPr>
        <w:t>desire to take in combatting fires by a fear that liability might be imposed if a jury believes such action to be unreasonable.</w:t>
      </w:r>
      <w:r w:rsidR="002B1283">
        <w:rPr>
          <w:rFonts w:ascii="Times New Roman" w:hAnsi="Times New Roman"/>
          <w:sz w:val="24"/>
          <w:szCs w:val="24"/>
        </w:rPr>
        <w:t>’”</w:t>
      </w:r>
    </w:p>
    <w:p w14:paraId="1C545D90" w14:textId="77777777" w:rsidR="002B1283" w:rsidRDefault="002B1283" w:rsidP="002B1283">
      <w:pPr>
        <w:ind w:firstLine="720"/>
      </w:pPr>
      <w:hyperlink r:id="rId944" w:history="1">
        <w:r w:rsidRPr="0000752C">
          <w:rPr>
            <w:rStyle w:val="Hyperlink"/>
          </w:rPr>
          <w:t>https://law.justia.com/cases/california/supreme-court/2019/s242250.html</w:t>
        </w:r>
      </w:hyperlink>
      <w:r>
        <w:t xml:space="preserve"> </w:t>
      </w:r>
    </w:p>
    <w:bookmarkEnd w:id="190"/>
    <w:p w14:paraId="71E386B5" w14:textId="77777777" w:rsidR="002B1283" w:rsidRDefault="002B1283" w:rsidP="00F326E5">
      <w:pPr>
        <w:pStyle w:val="NoSpacing"/>
        <w:rPr>
          <w:sz w:val="24"/>
          <w:szCs w:val="24"/>
        </w:rPr>
      </w:pPr>
    </w:p>
    <w:p w14:paraId="0B2ADBAF" w14:textId="344C2A9F" w:rsidR="00EF1133" w:rsidRDefault="00EF1133" w:rsidP="00EF1133">
      <w:pPr>
        <w:rPr>
          <w:rFonts w:ascii="Arial Black" w:hAnsi="Arial Black"/>
          <w:sz w:val="28"/>
          <w:szCs w:val="28"/>
        </w:rPr>
      </w:pPr>
      <w:r w:rsidRPr="00EF1133">
        <w:rPr>
          <w:rStyle w:val="Hyperlink"/>
          <w:rFonts w:ascii="Arial Black" w:hAnsi="Arial Black"/>
          <w:b/>
          <w:color w:val="auto"/>
          <w:sz w:val="24"/>
          <w:szCs w:val="24"/>
          <w:u w:val="none"/>
        </w:rPr>
        <w:t>4-</w:t>
      </w:r>
      <w:r>
        <w:rPr>
          <w:rStyle w:val="Hyperlink"/>
          <w:rFonts w:ascii="Arial Black" w:hAnsi="Arial Black"/>
          <w:b/>
          <w:color w:val="auto"/>
          <w:sz w:val="24"/>
          <w:szCs w:val="24"/>
          <w:u w:val="none"/>
        </w:rPr>
        <w:t>2</w:t>
      </w:r>
    </w:p>
    <w:p w14:paraId="06A915EE" w14:textId="21C12EBD" w:rsidR="00F326E5" w:rsidRDefault="00F326E5" w:rsidP="00F326E5">
      <w:pPr>
        <w:pStyle w:val="NoSpacing"/>
        <w:rPr>
          <w:rFonts w:ascii="Arial Black" w:hAnsi="Arial Black"/>
          <w:sz w:val="28"/>
          <w:szCs w:val="28"/>
        </w:rPr>
      </w:pPr>
      <w:r w:rsidRPr="0077539E">
        <w:rPr>
          <w:rFonts w:ascii="Arial Black" w:hAnsi="Arial Black"/>
          <w:sz w:val="28"/>
          <w:szCs w:val="28"/>
        </w:rPr>
        <w:t xml:space="preserve">GA:  </w:t>
      </w:r>
      <w:r>
        <w:rPr>
          <w:rFonts w:ascii="Arial Black" w:hAnsi="Arial Black"/>
          <w:sz w:val="28"/>
          <w:szCs w:val="28"/>
        </w:rPr>
        <w:t xml:space="preserve">DRONE VIDEO ADMISSIBLE - SHOWS ARREST DURING DEMONSTRATION WAS LAWFUL </w:t>
      </w:r>
    </w:p>
    <w:p w14:paraId="65F0CFDA" w14:textId="77777777" w:rsidR="009C4A80" w:rsidRDefault="00F326E5" w:rsidP="00F326E5">
      <w:pPr>
        <w:pStyle w:val="NoSpacing"/>
        <w:rPr>
          <w:rFonts w:ascii="Times New Roman" w:hAnsi="Times New Roman"/>
          <w:sz w:val="24"/>
          <w:szCs w:val="24"/>
        </w:rPr>
      </w:pPr>
      <w:r w:rsidRPr="009C4A80">
        <w:rPr>
          <w:rFonts w:ascii="Times New Roman" w:hAnsi="Times New Roman"/>
          <w:sz w:val="24"/>
          <w:szCs w:val="24"/>
        </w:rPr>
        <w:t xml:space="preserve">On </w:t>
      </w:r>
      <w:bookmarkStart w:id="191" w:name="_Hlk39825247"/>
      <w:r w:rsidRPr="009C4A80">
        <w:rPr>
          <w:rFonts w:ascii="Times New Roman" w:hAnsi="Times New Roman"/>
          <w:sz w:val="24"/>
          <w:szCs w:val="24"/>
        </w:rPr>
        <w:t xml:space="preserve">March 28, 2019, in </w:t>
      </w:r>
      <w:r w:rsidRPr="009C4A80">
        <w:rPr>
          <w:rFonts w:ascii="Times New Roman" w:hAnsi="Times New Roman"/>
          <w:sz w:val="24"/>
          <w:szCs w:val="24"/>
          <w:u w:val="single"/>
        </w:rPr>
        <w:t>John Ruch v. Sergeant Michelle McKenzie</w:t>
      </w:r>
      <w:bookmarkEnd w:id="191"/>
      <w:r w:rsidRPr="009C4A80">
        <w:rPr>
          <w:rFonts w:ascii="Times New Roman" w:hAnsi="Times New Roman"/>
          <w:sz w:val="24"/>
          <w:szCs w:val="24"/>
        </w:rPr>
        <w:t xml:space="preserve">, U.S. District Court judge Michael L. Brown, US District Court, Northern District of Georgia / Atlanta, granted motion for summary judgment for Sergeant McKenzie, writing:   </w:t>
      </w:r>
    </w:p>
    <w:p w14:paraId="048DB128" w14:textId="77777777" w:rsidR="009C4A80" w:rsidRDefault="009C4A80" w:rsidP="009C4A80">
      <w:pPr>
        <w:pStyle w:val="NoSpacing"/>
        <w:ind w:firstLine="720"/>
        <w:rPr>
          <w:rFonts w:ascii="Times New Roman" w:hAnsi="Times New Roman"/>
          <w:sz w:val="24"/>
          <w:szCs w:val="24"/>
        </w:rPr>
      </w:pPr>
    </w:p>
    <w:p w14:paraId="1FBAF5CC" w14:textId="6262D4E1" w:rsidR="00F326E5" w:rsidRPr="009C4A80" w:rsidRDefault="00F326E5" w:rsidP="009C4A80">
      <w:pPr>
        <w:pStyle w:val="NoSpacing"/>
        <w:ind w:left="720"/>
        <w:rPr>
          <w:rFonts w:ascii="Times New Roman" w:hAnsi="Times New Roman"/>
          <w:sz w:val="24"/>
          <w:szCs w:val="24"/>
        </w:rPr>
      </w:pPr>
      <w:r w:rsidRPr="009C4A80">
        <w:rPr>
          <w:rFonts w:ascii="Times New Roman" w:hAnsi="Times New Roman"/>
          <w:sz w:val="24"/>
          <w:szCs w:val="24"/>
        </w:rPr>
        <w:t xml:space="preserve">“The video footage shows Plaintiff step off the sidewalk in one location, walk around a group of people watching and filming the fight, and step back onto the sidewalk — directly into the area where Defendant stood protecting the </w:t>
      </w:r>
      <w:proofErr w:type="gramStart"/>
      <w:r w:rsidRPr="009C4A80">
        <w:rPr>
          <w:rFonts w:ascii="Times New Roman" w:hAnsi="Times New Roman"/>
          <w:sz w:val="24"/>
          <w:szCs w:val="24"/>
        </w:rPr>
        <w:t>officers</w:t>
      </w:r>
      <w:proofErr w:type="gramEnd"/>
      <w:r w:rsidRPr="009C4A80">
        <w:rPr>
          <w:rFonts w:ascii="Times New Roman" w:hAnsi="Times New Roman"/>
          <w:sz w:val="24"/>
          <w:szCs w:val="24"/>
        </w:rPr>
        <w:t xml:space="preserve"> making arrests. (Id. at minute mark 3:58.) Contrary to Plaintiff’s allegations, he was not standing still at the time of his arrest. He was moving toward the area Defendant was trying to secure.” </w:t>
      </w:r>
      <w:bookmarkStart w:id="192" w:name="_Hlk39825271"/>
      <w:r w:rsidR="00F2621E">
        <w:fldChar w:fldCharType="begin"/>
      </w:r>
      <w:r w:rsidR="00F2621E">
        <w:instrText xml:space="preserve"> HYPERLINK "https://cases.justia.com/federal/district-courts/georgia/gandce/1:2015cv03296/220233/141/0.pdf?ts=1553851239" </w:instrText>
      </w:r>
      <w:r w:rsidR="00F2621E">
        <w:fldChar w:fldCharType="separate"/>
      </w:r>
      <w:r w:rsidRPr="009C4A80">
        <w:rPr>
          <w:rStyle w:val="Hyperlink"/>
          <w:rFonts w:ascii="Times New Roman" w:hAnsi="Times New Roman"/>
          <w:sz w:val="24"/>
          <w:szCs w:val="24"/>
        </w:rPr>
        <w:t>https://cases.justia.com/federal/district-courts/georgia/gandce/1:2015cv03296/220233/141/0.pdf?ts=1553851239</w:t>
      </w:r>
      <w:r w:rsidR="00F2621E">
        <w:rPr>
          <w:rStyle w:val="Hyperlink"/>
          <w:rFonts w:ascii="Times New Roman" w:hAnsi="Times New Roman"/>
          <w:sz w:val="24"/>
          <w:szCs w:val="24"/>
        </w:rPr>
        <w:fldChar w:fldCharType="end"/>
      </w:r>
      <w:r w:rsidRPr="009C4A80">
        <w:rPr>
          <w:rFonts w:ascii="Times New Roman" w:hAnsi="Times New Roman"/>
          <w:sz w:val="24"/>
          <w:szCs w:val="24"/>
        </w:rPr>
        <w:t xml:space="preserve"> </w:t>
      </w:r>
      <w:bookmarkEnd w:id="192"/>
    </w:p>
    <w:p w14:paraId="731179D7" w14:textId="77777777" w:rsidR="009C4A80" w:rsidRDefault="009C4A80" w:rsidP="00F326E5">
      <w:pPr>
        <w:rPr>
          <w:rFonts w:ascii="Times New Roman" w:hAnsi="Times New Roman"/>
          <w:b/>
          <w:sz w:val="24"/>
          <w:szCs w:val="24"/>
        </w:rPr>
      </w:pPr>
    </w:p>
    <w:p w14:paraId="62745EA3" w14:textId="4AD1F0D8" w:rsidR="00F326E5" w:rsidRPr="009C4A80" w:rsidRDefault="00F326E5" w:rsidP="00F326E5">
      <w:pPr>
        <w:rPr>
          <w:rFonts w:ascii="Times New Roman" w:hAnsi="Times New Roman"/>
          <w:b/>
          <w:sz w:val="24"/>
          <w:szCs w:val="24"/>
        </w:rPr>
      </w:pPr>
      <w:r w:rsidRPr="009C4A80">
        <w:rPr>
          <w:rFonts w:ascii="Times New Roman" w:hAnsi="Times New Roman"/>
          <w:b/>
          <w:sz w:val="24"/>
          <w:szCs w:val="24"/>
        </w:rPr>
        <w:lastRenderedPageBreak/>
        <w:t xml:space="preserve">Legal Lessons Learned:  Videos can sometimes lead to dismissal of </w:t>
      </w:r>
      <w:proofErr w:type="gramStart"/>
      <w:r w:rsidRPr="009C4A80">
        <w:rPr>
          <w:rFonts w:ascii="Times New Roman" w:hAnsi="Times New Roman"/>
          <w:b/>
          <w:sz w:val="24"/>
          <w:szCs w:val="24"/>
        </w:rPr>
        <w:t>lawsuit</w:t>
      </w:r>
      <w:proofErr w:type="gramEnd"/>
      <w:r w:rsidRPr="009C4A80">
        <w:rPr>
          <w:rFonts w:ascii="Times New Roman" w:hAnsi="Times New Roman"/>
          <w:b/>
          <w:sz w:val="24"/>
          <w:szCs w:val="24"/>
        </w:rPr>
        <w:t>.</w:t>
      </w:r>
    </w:p>
    <w:bookmarkEnd w:id="173"/>
    <w:p w14:paraId="59717D8D" w14:textId="007C121D" w:rsidR="00F326E5" w:rsidRDefault="00F326E5" w:rsidP="00F326E5">
      <w:pPr>
        <w:rPr>
          <w:rStyle w:val="Hyperlink"/>
          <w:b/>
          <w:sz w:val="24"/>
          <w:szCs w:val="24"/>
        </w:rPr>
      </w:pPr>
    </w:p>
    <w:p w14:paraId="32CF9051" w14:textId="50F7EE6F" w:rsidR="009C4A80" w:rsidRDefault="009C4A80" w:rsidP="00F326E5">
      <w:pPr>
        <w:rPr>
          <w:rStyle w:val="Hyperlink"/>
          <w:b/>
          <w:sz w:val="24"/>
          <w:szCs w:val="24"/>
        </w:rPr>
      </w:pPr>
    </w:p>
    <w:p w14:paraId="5282FA41" w14:textId="77777777" w:rsidR="009C4A80" w:rsidRDefault="009C4A80" w:rsidP="00F326E5">
      <w:pPr>
        <w:rPr>
          <w:rStyle w:val="Hyperlink"/>
          <w:b/>
          <w:sz w:val="24"/>
          <w:szCs w:val="24"/>
        </w:rPr>
      </w:pPr>
    </w:p>
    <w:p w14:paraId="6F4D3831" w14:textId="25C4E644" w:rsidR="00EF1133" w:rsidRPr="00EF1133" w:rsidRDefault="00EF1133" w:rsidP="00F326E5">
      <w:pPr>
        <w:rPr>
          <w:rStyle w:val="Hyperlink"/>
          <w:rFonts w:ascii="Arial Black" w:hAnsi="Arial Black"/>
          <w:b/>
          <w:color w:val="auto"/>
          <w:sz w:val="24"/>
          <w:szCs w:val="24"/>
          <w:u w:val="none"/>
        </w:rPr>
      </w:pPr>
      <w:r w:rsidRPr="00EF1133">
        <w:rPr>
          <w:rStyle w:val="Hyperlink"/>
          <w:rFonts w:ascii="Arial Black" w:hAnsi="Arial Black"/>
          <w:b/>
          <w:color w:val="auto"/>
          <w:sz w:val="24"/>
          <w:szCs w:val="24"/>
          <w:u w:val="none"/>
        </w:rPr>
        <w:t>4-1</w:t>
      </w:r>
    </w:p>
    <w:p w14:paraId="71EA5D9D" w14:textId="6024D070" w:rsidR="00F326E5" w:rsidRPr="009F2867" w:rsidRDefault="00F326E5" w:rsidP="00F326E5">
      <w:pPr>
        <w:pStyle w:val="NoSpacing"/>
        <w:rPr>
          <w:rFonts w:ascii="Arial Black" w:hAnsi="Arial Black"/>
          <w:sz w:val="24"/>
          <w:szCs w:val="24"/>
        </w:rPr>
      </w:pPr>
      <w:bookmarkStart w:id="193" w:name="_Hlk7249620"/>
      <w:r w:rsidRPr="007F6024">
        <w:rPr>
          <w:rFonts w:ascii="Arial Black" w:hAnsi="Arial Black"/>
          <w:sz w:val="28"/>
          <w:szCs w:val="28"/>
        </w:rPr>
        <w:t xml:space="preserve">OH: </w:t>
      </w:r>
      <w:r>
        <w:rPr>
          <w:rFonts w:ascii="Arial Black" w:hAnsi="Arial Black"/>
          <w:sz w:val="28"/>
          <w:szCs w:val="28"/>
        </w:rPr>
        <w:t xml:space="preserve">MJ FOUND IN HOUSE FIRE – DRUG DETECTIVE NEEDED WARRANT – SCENE WAS SAFE </w:t>
      </w:r>
    </w:p>
    <w:p w14:paraId="019E5400" w14:textId="77777777" w:rsidR="009C4A80" w:rsidRDefault="00F326E5" w:rsidP="00F326E5">
      <w:pPr>
        <w:rPr>
          <w:rFonts w:ascii="Times New Roman" w:eastAsia="Times New Roman" w:hAnsi="Times New Roman"/>
          <w:sz w:val="24"/>
          <w:szCs w:val="24"/>
        </w:rPr>
      </w:pPr>
      <w:r w:rsidRPr="009C4A80">
        <w:rPr>
          <w:rFonts w:ascii="Times New Roman" w:eastAsia="Times New Roman" w:hAnsi="Times New Roman"/>
          <w:sz w:val="24"/>
          <w:szCs w:val="24"/>
        </w:rPr>
        <w:t xml:space="preserve">On Aug. 24, 2018, in </w:t>
      </w:r>
      <w:r w:rsidRPr="009C4A80">
        <w:rPr>
          <w:rFonts w:ascii="Times New Roman" w:eastAsia="Times New Roman" w:hAnsi="Times New Roman"/>
          <w:sz w:val="24"/>
          <w:szCs w:val="24"/>
          <w:u w:val="single"/>
        </w:rPr>
        <w:t>State of Ohio v. Albert N. Smith</w:t>
      </w:r>
      <w:r w:rsidRPr="009C4A80">
        <w:rPr>
          <w:rFonts w:ascii="Times New Roman" w:eastAsia="Times New Roman" w:hAnsi="Times New Roman"/>
          <w:sz w:val="24"/>
          <w:szCs w:val="24"/>
        </w:rPr>
        <w:t xml:space="preserve">, the Court of Appeals for Fifth Appellate District (Licking County) held (3 to 0) that the trial court judge properly granted defendant’s motion to suppress the marijuana and other evidence. </w:t>
      </w:r>
    </w:p>
    <w:p w14:paraId="4716569B" w14:textId="3209312F" w:rsidR="00F326E5" w:rsidRPr="009C4A80" w:rsidRDefault="00F326E5" w:rsidP="009C4A80">
      <w:pPr>
        <w:ind w:left="720" w:firstLine="60"/>
        <w:rPr>
          <w:rFonts w:ascii="Times New Roman" w:eastAsia="Times New Roman" w:hAnsi="Times New Roman"/>
          <w:sz w:val="24"/>
          <w:szCs w:val="24"/>
        </w:rPr>
      </w:pPr>
      <w:r w:rsidRPr="009C4A80">
        <w:rPr>
          <w:rFonts w:ascii="Times New Roman" w:eastAsia="Times New Roman" w:hAnsi="Times New Roman"/>
          <w:sz w:val="24"/>
          <w:szCs w:val="24"/>
        </w:rPr>
        <w:t xml:space="preserve">“Det. Thomas testified that he was assured the fire was out, and the home was safe for him to enter …. Det. Thomas also stated that he was not told that any of the evidence was in danger of being damaged by smoke, water or fire. </w:t>
      </w:r>
      <w:r w:rsidRPr="009C4A80">
        <w:rPr>
          <w:rFonts w:ascii="Times New Roman" w:hAnsi="Times New Roman"/>
          <w:sz w:val="24"/>
          <w:szCs w:val="24"/>
        </w:rPr>
        <w:t>Based on the foregoing, we</w:t>
      </w:r>
      <w:r w:rsidRPr="009C4A80">
        <w:rPr>
          <w:rFonts w:ascii="Times New Roman" w:eastAsia="Times New Roman" w:hAnsi="Times New Roman"/>
          <w:sz w:val="24"/>
          <w:szCs w:val="24"/>
        </w:rPr>
        <w:t xml:space="preserve"> do not find exigent </w:t>
      </w:r>
      <w:proofErr w:type="gramStart"/>
      <w:r w:rsidRPr="009C4A80">
        <w:rPr>
          <w:rFonts w:ascii="Times New Roman" w:eastAsia="Times New Roman" w:hAnsi="Times New Roman"/>
          <w:sz w:val="24"/>
          <w:szCs w:val="24"/>
        </w:rPr>
        <w:t>circumstances existed</w:t>
      </w:r>
      <w:proofErr w:type="gramEnd"/>
      <w:r w:rsidRPr="009C4A80">
        <w:rPr>
          <w:rFonts w:ascii="Times New Roman" w:eastAsia="Times New Roman" w:hAnsi="Times New Roman"/>
          <w:sz w:val="24"/>
          <w:szCs w:val="24"/>
        </w:rPr>
        <w:t xml:space="preserve"> that required or allowed for a warrantless search of the premises. We therefore find no error in the trial court’s suppression of the evidence collected in this matter.”</w:t>
      </w:r>
      <w:r w:rsidRPr="009C4A80">
        <w:rPr>
          <w:rFonts w:ascii="Times New Roman" w:hAnsi="Times New Roman"/>
          <w:sz w:val="24"/>
          <w:szCs w:val="24"/>
        </w:rPr>
        <w:t xml:space="preserve"> </w:t>
      </w:r>
      <w:hyperlink r:id="rId945" w:history="1">
        <w:r w:rsidRPr="009C4A80">
          <w:rPr>
            <w:rStyle w:val="Hyperlink"/>
            <w:rFonts w:ascii="Times New Roman" w:hAnsi="Times New Roman"/>
            <w:sz w:val="24"/>
            <w:szCs w:val="24"/>
          </w:rPr>
          <w:t>http://www.supremecourt.ohio.gov/rod/docs/pdf/5/2018/2018-Ohio-3436.pdf</w:t>
        </w:r>
      </w:hyperlink>
      <w:r w:rsidRPr="009C4A80">
        <w:rPr>
          <w:rFonts w:ascii="Times New Roman" w:eastAsia="Times New Roman" w:hAnsi="Times New Roman"/>
          <w:sz w:val="24"/>
          <w:szCs w:val="24"/>
        </w:rPr>
        <w:t xml:space="preserve"> </w:t>
      </w:r>
    </w:p>
    <w:p w14:paraId="3F055AD7" w14:textId="77777777" w:rsidR="00F326E5" w:rsidRPr="009C4A80" w:rsidRDefault="00F326E5" w:rsidP="00F326E5">
      <w:pPr>
        <w:rPr>
          <w:rFonts w:ascii="Times New Roman" w:eastAsia="Times New Roman" w:hAnsi="Times New Roman"/>
          <w:b/>
          <w:sz w:val="24"/>
          <w:szCs w:val="24"/>
        </w:rPr>
      </w:pPr>
      <w:r w:rsidRPr="009C4A80">
        <w:rPr>
          <w:rFonts w:ascii="Times New Roman" w:eastAsia="Times New Roman" w:hAnsi="Times New Roman"/>
          <w:b/>
          <w:sz w:val="24"/>
          <w:szCs w:val="24"/>
        </w:rPr>
        <w:t xml:space="preserve">Legal Lessons Learned:  If the structure fire has been extinguished, and the property deemed safe to enter, FD should continue to secure the property, while PD gets a search warrant. </w:t>
      </w:r>
    </w:p>
    <w:bookmarkEnd w:id="193"/>
    <w:p w14:paraId="496712ED" w14:textId="77777777" w:rsidR="00DE42DC" w:rsidRDefault="00F326E5" w:rsidP="00F326E5">
      <w:pPr>
        <w:rPr>
          <w:rFonts w:ascii="Times New Roman" w:hAnsi="Times New Roman"/>
          <w:sz w:val="24"/>
          <w:szCs w:val="24"/>
        </w:rPr>
      </w:pPr>
      <w:r w:rsidRPr="009C4A80">
        <w:rPr>
          <w:rFonts w:ascii="Times New Roman" w:hAnsi="Times New Roman"/>
          <w:sz w:val="24"/>
          <w:szCs w:val="24"/>
        </w:rPr>
        <w:br w:type="page"/>
      </w:r>
    </w:p>
    <w:p w14:paraId="5309A560" w14:textId="77777777" w:rsidR="00DE42DC" w:rsidRDefault="00DE42DC" w:rsidP="00F326E5">
      <w:pPr>
        <w:rPr>
          <w:rFonts w:ascii="Times New Roman" w:hAnsi="Times New Roman"/>
          <w:sz w:val="24"/>
          <w:szCs w:val="24"/>
        </w:rPr>
      </w:pPr>
    </w:p>
    <w:p w14:paraId="6B1959FF" w14:textId="77777777" w:rsidR="00DE42DC" w:rsidRDefault="00DE42DC" w:rsidP="00F326E5">
      <w:pPr>
        <w:rPr>
          <w:rFonts w:ascii="Times New Roman" w:hAnsi="Times New Roman"/>
          <w:sz w:val="24"/>
          <w:szCs w:val="24"/>
        </w:rPr>
      </w:pPr>
    </w:p>
    <w:p w14:paraId="684CEFC3" w14:textId="77777777" w:rsidR="005263F1" w:rsidRDefault="005263F1" w:rsidP="00F326E5">
      <w:pPr>
        <w:rPr>
          <w:rFonts w:ascii="Arial Black" w:hAnsi="Arial Black"/>
          <w:sz w:val="40"/>
          <w:szCs w:val="40"/>
        </w:rPr>
      </w:pPr>
    </w:p>
    <w:p w14:paraId="3A43B264" w14:textId="77777777" w:rsidR="005263F1" w:rsidRDefault="005263F1" w:rsidP="00F326E5">
      <w:pPr>
        <w:rPr>
          <w:rFonts w:ascii="Arial Black" w:hAnsi="Arial Black"/>
          <w:sz w:val="40"/>
          <w:szCs w:val="40"/>
        </w:rPr>
      </w:pPr>
    </w:p>
    <w:p w14:paraId="1E061D7A" w14:textId="77777777" w:rsidR="005263F1" w:rsidRDefault="005263F1" w:rsidP="00F326E5">
      <w:pPr>
        <w:rPr>
          <w:rFonts w:ascii="Arial Black" w:hAnsi="Arial Black"/>
          <w:sz w:val="40"/>
          <w:szCs w:val="40"/>
        </w:rPr>
      </w:pPr>
    </w:p>
    <w:p w14:paraId="48C76D90" w14:textId="77777777" w:rsidR="005263F1" w:rsidRDefault="005263F1" w:rsidP="00F326E5">
      <w:pPr>
        <w:rPr>
          <w:rFonts w:ascii="Arial Black" w:hAnsi="Arial Black"/>
          <w:sz w:val="40"/>
          <w:szCs w:val="40"/>
        </w:rPr>
      </w:pPr>
    </w:p>
    <w:p w14:paraId="48DBD379" w14:textId="77777777" w:rsidR="005263F1" w:rsidRDefault="005263F1" w:rsidP="00F326E5">
      <w:pPr>
        <w:rPr>
          <w:rFonts w:ascii="Arial Black" w:hAnsi="Arial Black"/>
          <w:sz w:val="40"/>
          <w:szCs w:val="40"/>
        </w:rPr>
      </w:pPr>
    </w:p>
    <w:p w14:paraId="7CA0ABAC" w14:textId="77777777" w:rsidR="005263F1" w:rsidRDefault="005263F1" w:rsidP="00F326E5">
      <w:pPr>
        <w:rPr>
          <w:rFonts w:ascii="Arial Black" w:hAnsi="Arial Black"/>
          <w:sz w:val="40"/>
          <w:szCs w:val="40"/>
        </w:rPr>
      </w:pPr>
    </w:p>
    <w:p w14:paraId="46BBA60C" w14:textId="77777777" w:rsidR="005263F1" w:rsidRDefault="005263F1" w:rsidP="00F326E5">
      <w:pPr>
        <w:rPr>
          <w:rFonts w:ascii="Arial Black" w:hAnsi="Arial Black"/>
          <w:sz w:val="40"/>
          <w:szCs w:val="40"/>
        </w:rPr>
      </w:pPr>
    </w:p>
    <w:p w14:paraId="08B77CA9" w14:textId="77777777" w:rsidR="005263F1" w:rsidRDefault="005263F1" w:rsidP="00F326E5">
      <w:pPr>
        <w:rPr>
          <w:rFonts w:ascii="Arial Black" w:hAnsi="Arial Black"/>
          <w:sz w:val="40"/>
          <w:szCs w:val="40"/>
        </w:rPr>
      </w:pPr>
    </w:p>
    <w:p w14:paraId="6FA9E4BE" w14:textId="77777777" w:rsidR="005263F1" w:rsidRDefault="005263F1" w:rsidP="00F326E5">
      <w:pPr>
        <w:rPr>
          <w:rFonts w:ascii="Arial Black" w:hAnsi="Arial Black"/>
          <w:sz w:val="40"/>
          <w:szCs w:val="40"/>
        </w:rPr>
      </w:pPr>
    </w:p>
    <w:p w14:paraId="533F9C13" w14:textId="77777777" w:rsidR="005263F1" w:rsidRDefault="005263F1" w:rsidP="00F326E5">
      <w:pPr>
        <w:rPr>
          <w:rFonts w:ascii="Arial Black" w:hAnsi="Arial Black"/>
          <w:sz w:val="40"/>
          <w:szCs w:val="40"/>
        </w:rPr>
      </w:pPr>
    </w:p>
    <w:p w14:paraId="7C8E835F" w14:textId="77777777" w:rsidR="005263F1" w:rsidRDefault="005263F1" w:rsidP="00F326E5">
      <w:pPr>
        <w:rPr>
          <w:rFonts w:ascii="Arial Black" w:hAnsi="Arial Black"/>
          <w:sz w:val="40"/>
          <w:szCs w:val="40"/>
        </w:rPr>
      </w:pPr>
    </w:p>
    <w:p w14:paraId="3E20CA32" w14:textId="77777777" w:rsidR="005263F1" w:rsidRDefault="005263F1" w:rsidP="00F326E5">
      <w:pPr>
        <w:rPr>
          <w:rFonts w:ascii="Arial Black" w:hAnsi="Arial Black"/>
          <w:sz w:val="40"/>
          <w:szCs w:val="40"/>
        </w:rPr>
      </w:pPr>
    </w:p>
    <w:p w14:paraId="2A673545" w14:textId="77777777" w:rsidR="005263F1" w:rsidRDefault="005263F1" w:rsidP="00F326E5">
      <w:pPr>
        <w:rPr>
          <w:rFonts w:ascii="Arial Black" w:hAnsi="Arial Black"/>
          <w:sz w:val="40"/>
          <w:szCs w:val="40"/>
        </w:rPr>
      </w:pPr>
    </w:p>
    <w:p w14:paraId="6BC32481" w14:textId="77777777" w:rsidR="005263F1" w:rsidRDefault="005263F1" w:rsidP="00F326E5">
      <w:pPr>
        <w:rPr>
          <w:rFonts w:ascii="Arial Black" w:hAnsi="Arial Black"/>
          <w:sz w:val="40"/>
          <w:szCs w:val="40"/>
        </w:rPr>
      </w:pPr>
    </w:p>
    <w:p w14:paraId="480FF2C6" w14:textId="77777777" w:rsidR="005263F1" w:rsidRDefault="005263F1" w:rsidP="00F326E5">
      <w:pPr>
        <w:rPr>
          <w:rFonts w:ascii="Arial Black" w:hAnsi="Arial Black"/>
          <w:sz w:val="40"/>
          <w:szCs w:val="40"/>
        </w:rPr>
      </w:pPr>
    </w:p>
    <w:p w14:paraId="310E0FCD" w14:textId="77777777" w:rsidR="005263F1" w:rsidRDefault="005263F1" w:rsidP="00F326E5">
      <w:pPr>
        <w:rPr>
          <w:rFonts w:ascii="Arial Black" w:hAnsi="Arial Black"/>
          <w:sz w:val="40"/>
          <w:szCs w:val="40"/>
        </w:rPr>
      </w:pPr>
    </w:p>
    <w:p w14:paraId="4B7ABE79" w14:textId="26E16C8C" w:rsidR="00F326E5" w:rsidRDefault="00F326E5" w:rsidP="00F326E5">
      <w:pPr>
        <w:rPr>
          <w:rFonts w:ascii="Arial Black" w:hAnsi="Arial Black"/>
          <w:sz w:val="40"/>
          <w:szCs w:val="40"/>
        </w:rPr>
      </w:pPr>
      <w:r w:rsidRPr="007732FA">
        <w:rPr>
          <w:rFonts w:ascii="Arial Black" w:hAnsi="Arial Black"/>
          <w:sz w:val="40"/>
          <w:szCs w:val="40"/>
        </w:rPr>
        <w:lastRenderedPageBreak/>
        <w:t>Chap. 5</w:t>
      </w:r>
      <w:r w:rsidRPr="007732FA">
        <w:rPr>
          <w:rFonts w:ascii="Arial Black" w:hAnsi="Arial Black"/>
          <w:sz w:val="40"/>
          <w:szCs w:val="40"/>
        </w:rPr>
        <w:tab/>
        <w:t>Emergency Vehicle Operations</w:t>
      </w:r>
    </w:p>
    <w:p w14:paraId="4F1E6655" w14:textId="63F272F9" w:rsidR="00994FE9" w:rsidRDefault="00747DAC" w:rsidP="004102A6">
      <w:pPr>
        <w:rPr>
          <w:rFonts w:ascii="Arial Black" w:hAnsi="Arial Black"/>
          <w:b/>
          <w:sz w:val="28"/>
          <w:szCs w:val="28"/>
        </w:rPr>
      </w:pPr>
      <w:bookmarkStart w:id="194" w:name="_Hlk7342650"/>
      <w:r>
        <w:rPr>
          <w:rFonts w:ascii="Arial Black" w:hAnsi="Arial Black"/>
          <w:b/>
          <w:sz w:val="28"/>
          <w:szCs w:val="28"/>
        </w:rPr>
        <w:t>5-68</w:t>
      </w:r>
    </w:p>
    <w:p w14:paraId="784EC9AA" w14:textId="77777777" w:rsidR="00994FE9" w:rsidRDefault="00994FE9" w:rsidP="00994FE9">
      <w:pPr>
        <w:rPr>
          <w:rFonts w:ascii="Arial Black" w:hAnsi="Arial Black"/>
          <w:b/>
          <w:sz w:val="28"/>
          <w:szCs w:val="28"/>
        </w:rPr>
      </w:pPr>
      <w:r>
        <w:rPr>
          <w:rFonts w:ascii="Arial Black" w:hAnsi="Arial Black"/>
          <w:b/>
          <w:sz w:val="28"/>
          <w:szCs w:val="28"/>
        </w:rPr>
        <w:t xml:space="preserve">MD: FIRETRUCK – JURY – FAO NOT NEG – CAR DIDN’T YIELD </w:t>
      </w:r>
    </w:p>
    <w:p w14:paraId="019B7586" w14:textId="77777777" w:rsidR="00994FE9" w:rsidRDefault="00994FE9" w:rsidP="00994FE9">
      <w:pPr>
        <w:rPr>
          <w:b/>
        </w:rPr>
      </w:pPr>
      <w:r w:rsidRPr="00816787">
        <w:t xml:space="preserve">On August 17, 2026, in </w:t>
      </w:r>
      <w:r w:rsidRPr="00AF430A">
        <w:rPr>
          <w:u w:val="single"/>
        </w:rPr>
        <w:t>Rodney Ivey v. Mayor and City Council of Baltimore, et al</w:t>
      </w:r>
      <w:r>
        <w:t xml:space="preserve">., the </w:t>
      </w:r>
      <w:r w:rsidRPr="00AF430A">
        <w:t>Appellate Court of Maryland</w:t>
      </w:r>
      <w:r>
        <w:t xml:space="preserve"> held (3 to 0; unreported decision) that t</w:t>
      </w:r>
      <w:r w:rsidRPr="004307CE">
        <w:t>he jury found no negligence</w:t>
      </w:r>
      <w:r>
        <w:t xml:space="preserve"> </w:t>
      </w:r>
      <w:r w:rsidRPr="004307CE">
        <w:t>by the operator of the firetruck.</w:t>
      </w:r>
      <w:r>
        <w:t xml:space="preserve"> [See photos of engine.]  On a run for building fire, two fire engines were on three lane road and needed center lane to make left turn.  One vehicle pulled to right curb, but plaintiff’s vehicle just stopped in center lane.  The first engine made it through, but second engine clipped front side of stopped center lane vehicle (FAO didn’t know he scraped the car until after the run).  Jury heard the evidence and held that the FAO was not negligent.  Court of Appeals agreed. </w:t>
      </w:r>
      <w:hyperlink r:id="rId946" w:history="1">
        <w:r w:rsidRPr="00444613">
          <w:rPr>
            <w:rStyle w:val="Hyperlink"/>
            <w:b/>
          </w:rPr>
          <w:t>https://www.mdcourts.gov/sites/default/files/unreported-opinions/0042s25.pdf</w:t>
        </w:r>
      </w:hyperlink>
      <w:r>
        <w:rPr>
          <w:b/>
        </w:rPr>
        <w:t xml:space="preserve"> </w:t>
      </w:r>
    </w:p>
    <w:p w14:paraId="43F84569" w14:textId="77777777" w:rsidR="00994FE9" w:rsidRPr="00AF430A" w:rsidRDefault="00994FE9" w:rsidP="00994FE9">
      <w:pPr>
        <w:rPr>
          <w:bCs/>
        </w:rPr>
      </w:pPr>
      <w:r>
        <w:t>THE COURT WROTE:</w:t>
      </w:r>
    </w:p>
    <w:p w14:paraId="268B9BAC" w14:textId="77777777" w:rsidR="00994FE9" w:rsidRPr="009C70BC" w:rsidRDefault="00994FE9" w:rsidP="00994FE9">
      <w:pPr>
        <w:pStyle w:val="NoSpacing"/>
        <w:ind w:firstLine="720"/>
      </w:pPr>
      <w:r>
        <w:t>“</w:t>
      </w:r>
      <w:r w:rsidRPr="009C70BC">
        <w:t>The driver of the firetruck, Mr. Brown, testified that the fastest route to the</w:t>
      </w:r>
      <w:r>
        <w:t xml:space="preserve"> </w:t>
      </w:r>
    </w:p>
    <w:p w14:paraId="54DFE236" w14:textId="77777777" w:rsidR="00994FE9" w:rsidRPr="009C70BC" w:rsidRDefault="00994FE9" w:rsidP="00994FE9">
      <w:pPr>
        <w:pStyle w:val="NoSpacing"/>
        <w:ind w:firstLine="720"/>
      </w:pPr>
      <w:r w:rsidRPr="009C70BC">
        <w:t>location of the reported fire required him to make a left turn from East Saratoga Street</w:t>
      </w:r>
    </w:p>
    <w:p w14:paraId="2BF60B75" w14:textId="77777777" w:rsidR="00994FE9" w:rsidRPr="009C70BC" w:rsidRDefault="00994FE9" w:rsidP="00994FE9">
      <w:pPr>
        <w:pStyle w:val="NoSpacing"/>
        <w:ind w:firstLine="720"/>
      </w:pPr>
      <w:r w:rsidRPr="009C70BC">
        <w:t>onto Guilford Avenue. Because of the vehicle’s length, he could not make that turn from</w:t>
      </w:r>
    </w:p>
    <w:p w14:paraId="1922592E" w14:textId="77777777" w:rsidR="00994FE9" w:rsidRPr="009C70BC" w:rsidRDefault="00994FE9" w:rsidP="00994FE9">
      <w:pPr>
        <w:pStyle w:val="NoSpacing"/>
        <w:ind w:firstLine="720"/>
      </w:pPr>
      <w:r w:rsidRPr="009C70BC">
        <w:t>the left lane. Because several cars stopped in the center lane, he could not use the center</w:t>
      </w:r>
    </w:p>
    <w:p w14:paraId="55C3ECBC" w14:textId="77777777" w:rsidR="00994FE9" w:rsidRPr="009C70BC" w:rsidRDefault="00994FE9" w:rsidP="00994FE9">
      <w:pPr>
        <w:pStyle w:val="NoSpacing"/>
        <w:ind w:firstLine="720"/>
      </w:pPr>
      <w:r w:rsidRPr="009C70BC">
        <w:t>lane. As he attempted to use the right lane, a smaller vehicle pulled over and stopped</w:t>
      </w:r>
    </w:p>
    <w:p w14:paraId="585DDCE2" w14:textId="77777777" w:rsidR="00994FE9" w:rsidRPr="009C70BC" w:rsidRDefault="00994FE9" w:rsidP="00994FE9">
      <w:pPr>
        <w:pStyle w:val="NoSpacing"/>
        <w:ind w:firstLine="720"/>
      </w:pPr>
      <w:r w:rsidRPr="009C70BC">
        <w:t xml:space="preserve">next to the curb, apparently </w:t>
      </w:r>
      <w:proofErr w:type="gramStart"/>
      <w:r w:rsidRPr="009C70BC">
        <w:t>in an effort to</w:t>
      </w:r>
      <w:proofErr w:type="gramEnd"/>
      <w:r w:rsidRPr="009C70BC">
        <w:t xml:space="preserve"> yield the right-of-way. To maneuver around</w:t>
      </w:r>
    </w:p>
    <w:p w14:paraId="23EFBC38" w14:textId="77777777" w:rsidR="00994FE9" w:rsidRPr="009C70BC" w:rsidRDefault="00994FE9" w:rsidP="00994FE9">
      <w:pPr>
        <w:pStyle w:val="NoSpacing"/>
        <w:ind w:firstLine="720"/>
      </w:pPr>
      <w:r w:rsidRPr="009C70BC">
        <w:t>that vehicle, he steered to the center lane and then steered back into the right lane and</w:t>
      </w:r>
    </w:p>
    <w:p w14:paraId="3F147C52" w14:textId="77777777" w:rsidR="00994FE9" w:rsidRDefault="00994FE9" w:rsidP="00994FE9">
      <w:pPr>
        <w:pStyle w:val="NoSpacing"/>
        <w:ind w:firstLine="720"/>
      </w:pPr>
      <w:r w:rsidRPr="009C70BC">
        <w:t xml:space="preserve">tried to straighten out before the intersection. </w:t>
      </w:r>
    </w:p>
    <w:p w14:paraId="0FF236AD" w14:textId="77777777" w:rsidR="00994FE9" w:rsidRDefault="00994FE9" w:rsidP="00994FE9">
      <w:pPr>
        <w:pStyle w:val="NoSpacing"/>
        <w:ind w:firstLine="720"/>
      </w:pPr>
    </w:p>
    <w:p w14:paraId="5A283901" w14:textId="77777777" w:rsidR="00994FE9" w:rsidRDefault="00994FE9" w:rsidP="00994FE9">
      <w:pPr>
        <w:pStyle w:val="NoSpacing"/>
        <w:ind w:left="720"/>
      </w:pPr>
      <w:r w:rsidRPr="009C70BC">
        <w:t>One can reasonably conclude that this</w:t>
      </w:r>
      <w:r>
        <w:t xml:space="preserve"> </w:t>
      </w:r>
      <w:r w:rsidRPr="009C70BC">
        <w:t>maneuver affected the angle of his turn and increased the degree of difficulty, relative to</w:t>
      </w:r>
      <w:r>
        <w:t xml:space="preserve"> the difficulty experienced by the first firetruck. Under those circumstances, the left side of the firetruck, several feet from the back of the firetruck, </w:t>
      </w:r>
      <w:proofErr w:type="gramStart"/>
      <w:r>
        <w:t>made contact with</w:t>
      </w:r>
      <w:proofErr w:type="gramEnd"/>
      <w:r>
        <w:t xml:space="preserve"> the front right side of Mr. Ivey’s stopped vehicle. Based on the video evidence and photos of the damage to Mr. Ivey’s vehicle, the jury could make its own assessment of the severity of the collision.</w:t>
      </w:r>
    </w:p>
    <w:p w14:paraId="541FB101" w14:textId="77777777" w:rsidR="00994FE9" w:rsidRDefault="00994FE9" w:rsidP="00994FE9">
      <w:pPr>
        <w:pStyle w:val="NoSpacing"/>
        <w:ind w:left="720"/>
      </w:pPr>
    </w:p>
    <w:p w14:paraId="5ED664CE" w14:textId="77777777" w:rsidR="00994FE9" w:rsidRDefault="00994FE9" w:rsidP="00994FE9">
      <w:pPr>
        <w:pStyle w:val="NoSpacing"/>
        <w:ind w:left="720"/>
      </w:pPr>
      <w:r>
        <w:t>***</w:t>
      </w:r>
    </w:p>
    <w:p w14:paraId="61E60CD3" w14:textId="77777777" w:rsidR="00994FE9" w:rsidRDefault="00994FE9" w:rsidP="00994FE9">
      <w:pPr>
        <w:pStyle w:val="NoSpacing"/>
      </w:pPr>
    </w:p>
    <w:p w14:paraId="5186DA43" w14:textId="77777777" w:rsidR="00994FE9" w:rsidRDefault="00994FE9" w:rsidP="00994FE9">
      <w:pPr>
        <w:pStyle w:val="NoSpacing"/>
        <w:ind w:left="720"/>
      </w:pPr>
      <w:r>
        <w:t xml:space="preserve">The </w:t>
      </w:r>
      <w:proofErr w:type="gramStart"/>
      <w:r>
        <w:t>jury could conclude</w:t>
      </w:r>
      <w:proofErr w:type="gramEnd"/>
      <w:r>
        <w:t xml:space="preserve"> that Mr. Brown exercised the degree of care required of an emergency vehicle operator performing an emergency service, but he nevertheless was unable to avoid the collision. In reaching that conclusion, the jury could consider the </w:t>
      </w:r>
      <w:proofErr w:type="gramStart"/>
      <w:r>
        <w:t>emergency situation</w:t>
      </w:r>
      <w:proofErr w:type="gramEnd"/>
      <w:r>
        <w:t>, the length of the firetruck, the narrow confines through which the firetruck operator needed to maneuver, and the absence of an obvious threat to the safety of others (such as a potential head-on collision). It was up to the jury to decide whether, in the circumstances, Mr. Brown’s conduct created an unreasonable risk of harm to others.</w:t>
      </w:r>
    </w:p>
    <w:p w14:paraId="3D700D7D" w14:textId="77777777" w:rsidR="00994FE9" w:rsidRDefault="00994FE9" w:rsidP="00994FE9">
      <w:pPr>
        <w:pStyle w:val="NoSpacing"/>
      </w:pPr>
    </w:p>
    <w:p w14:paraId="0EC24363" w14:textId="77777777" w:rsidR="00994FE9" w:rsidRDefault="00994FE9" w:rsidP="00994FE9">
      <w:pPr>
        <w:pStyle w:val="NoSpacing"/>
        <w:ind w:firstLine="720"/>
      </w:pPr>
      <w:r>
        <w:t>At a minimum, the evidence permitted the jury to find that Mr. Brown was not</w:t>
      </w:r>
    </w:p>
    <w:p w14:paraId="4D9FF1AC" w14:textId="77777777" w:rsidR="00994FE9" w:rsidRDefault="00994FE9" w:rsidP="00994FE9">
      <w:pPr>
        <w:pStyle w:val="NoSpacing"/>
        <w:ind w:firstLine="720"/>
      </w:pPr>
      <w:r>
        <w:t>negligent under the circumstances. For that reason, we conclude that the circuit court did</w:t>
      </w:r>
    </w:p>
    <w:p w14:paraId="0C0742FB" w14:textId="77777777" w:rsidR="00994FE9" w:rsidRDefault="00994FE9" w:rsidP="00994FE9">
      <w:pPr>
        <w:pStyle w:val="NoSpacing"/>
        <w:ind w:firstLine="720"/>
      </w:pPr>
      <w:r>
        <w:t>not err in denying Mr. Ivey’s motion for judgment and thereby allowing the jury to</w:t>
      </w:r>
    </w:p>
    <w:p w14:paraId="0DA15574" w14:textId="77777777" w:rsidR="00994FE9" w:rsidRDefault="00994FE9" w:rsidP="00994FE9">
      <w:pPr>
        <w:pStyle w:val="NoSpacing"/>
        <w:ind w:firstLine="720"/>
      </w:pPr>
      <w:r>
        <w:t xml:space="preserve">decide whether the </w:t>
      </w:r>
      <w:proofErr w:type="gramStart"/>
      <w:r>
        <w:t>City</w:t>
      </w:r>
      <w:proofErr w:type="gramEnd"/>
      <w:r>
        <w:t xml:space="preserve"> was liable for negligence.”</w:t>
      </w:r>
    </w:p>
    <w:p w14:paraId="0157F473" w14:textId="77777777" w:rsidR="00994FE9" w:rsidRDefault="00994FE9" w:rsidP="00994FE9">
      <w:pPr>
        <w:pStyle w:val="NoSpacing"/>
        <w:ind w:firstLine="720"/>
      </w:pPr>
    </w:p>
    <w:p w14:paraId="264980D3" w14:textId="77777777" w:rsidR="00994FE9" w:rsidRPr="00B2255A" w:rsidRDefault="00994FE9" w:rsidP="00994FE9">
      <w:pPr>
        <w:rPr>
          <w:b/>
          <w:bCs/>
        </w:rPr>
      </w:pPr>
      <w:r>
        <w:rPr>
          <w:b/>
        </w:rPr>
        <w:t xml:space="preserve">Legal lesson learned: Maryland law, like many states, requires drivers to pull to the curb and grant right away to emergency </w:t>
      </w:r>
      <w:proofErr w:type="gramStart"/>
      <w:r>
        <w:rPr>
          <w:b/>
        </w:rPr>
        <w:t>vehicle</w:t>
      </w:r>
      <w:proofErr w:type="gramEnd"/>
      <w:r>
        <w:rPr>
          <w:b/>
        </w:rPr>
        <w:t xml:space="preserve">. </w:t>
      </w:r>
    </w:p>
    <w:p w14:paraId="6D1173EA" w14:textId="77777777" w:rsidR="00994FE9" w:rsidRDefault="00994FE9" w:rsidP="004102A6">
      <w:pPr>
        <w:rPr>
          <w:rFonts w:ascii="Arial Black" w:hAnsi="Arial Black"/>
          <w:b/>
          <w:sz w:val="28"/>
          <w:szCs w:val="28"/>
        </w:rPr>
      </w:pPr>
    </w:p>
    <w:p w14:paraId="6D4CDC93" w14:textId="77777777" w:rsidR="00994FE9" w:rsidRDefault="00994FE9" w:rsidP="004102A6">
      <w:pPr>
        <w:rPr>
          <w:rFonts w:ascii="Arial Black" w:hAnsi="Arial Black"/>
          <w:b/>
          <w:sz w:val="28"/>
          <w:szCs w:val="28"/>
        </w:rPr>
      </w:pPr>
    </w:p>
    <w:p w14:paraId="5BAF8A05" w14:textId="77777777" w:rsidR="00994FE9" w:rsidRDefault="00994FE9" w:rsidP="004102A6">
      <w:pPr>
        <w:rPr>
          <w:rFonts w:ascii="Arial Black" w:hAnsi="Arial Black"/>
          <w:b/>
          <w:sz w:val="28"/>
          <w:szCs w:val="28"/>
        </w:rPr>
      </w:pPr>
    </w:p>
    <w:p w14:paraId="17EDBDA1" w14:textId="38B6E658" w:rsidR="004102A6" w:rsidRDefault="004102A6" w:rsidP="004102A6">
      <w:pPr>
        <w:rPr>
          <w:rFonts w:ascii="Arial Black" w:hAnsi="Arial Black"/>
          <w:b/>
          <w:sz w:val="28"/>
          <w:szCs w:val="28"/>
        </w:rPr>
      </w:pPr>
      <w:r>
        <w:rPr>
          <w:rFonts w:ascii="Arial Black" w:hAnsi="Arial Black"/>
          <w:b/>
          <w:sz w:val="28"/>
          <w:szCs w:val="28"/>
        </w:rPr>
        <w:t>5-67</w:t>
      </w:r>
    </w:p>
    <w:p w14:paraId="3B4536C3" w14:textId="46FAA08B" w:rsidR="004102A6" w:rsidRPr="00DC3BF9" w:rsidRDefault="004102A6" w:rsidP="004102A6">
      <w:pPr>
        <w:rPr>
          <w:rFonts w:ascii="Arial Black" w:hAnsi="Arial Black"/>
          <w:b/>
          <w:sz w:val="28"/>
          <w:szCs w:val="28"/>
        </w:rPr>
      </w:pPr>
      <w:r>
        <w:rPr>
          <w:rFonts w:ascii="Arial Black" w:hAnsi="Arial Black"/>
          <w:b/>
          <w:sz w:val="28"/>
          <w:szCs w:val="28"/>
        </w:rPr>
        <w:t>LA: SEVERE INJURY - EMT $81M – HELP PT / NO SEAT BELT</w:t>
      </w:r>
    </w:p>
    <w:p w14:paraId="6952A609" w14:textId="77777777" w:rsidR="004102A6" w:rsidRDefault="004102A6" w:rsidP="004102A6">
      <w:r>
        <w:t xml:space="preserve">On July 1, 2026, in </w:t>
      </w:r>
      <w:r w:rsidRPr="00C04A1E">
        <w:rPr>
          <w:u w:val="single"/>
        </w:rPr>
        <w:t>Sherri Tramble v. Joshua Briscoe, et al.</w:t>
      </w:r>
      <w:r>
        <w:t xml:space="preserve">, </w:t>
      </w:r>
      <w:r w:rsidRPr="00C04A1E">
        <w:t>the Court of Appeals of Louisiana, Third Circuit</w:t>
      </w:r>
      <w:r>
        <w:t xml:space="preserve"> held (3 to 0) that trial court judge properly excluded the testimony of defense witness about the failure of severely injured EMT to wear a seat belt while in back of the ambulance tending to the patient.  The driver who ran into the ambulance was </w:t>
      </w:r>
      <w:proofErr w:type="gramStart"/>
      <w:r>
        <w:t>found by jury</w:t>
      </w:r>
      <w:proofErr w:type="gramEnd"/>
      <w:r>
        <w:t xml:space="preserve"> 100% at fault; the Court of Appeals did however reduce the jury award from </w:t>
      </w:r>
      <w:r w:rsidRPr="00F57A55">
        <w:t>$219,742,924.31</w:t>
      </w:r>
      <w:r>
        <w:t xml:space="preserve"> to </w:t>
      </w:r>
      <w:r w:rsidRPr="00DC3BF9">
        <w:t>$40,000,000.00 in general damages and $41,300,219.00 in future medical</w:t>
      </w:r>
      <w:r>
        <w:t xml:space="preserve"> </w:t>
      </w:r>
      <w:r w:rsidRPr="00DC3BF9">
        <w:t>expenses</w:t>
      </w:r>
      <w:r>
        <w:t xml:space="preserve">. </w:t>
      </w:r>
      <w:hyperlink r:id="rId947" w:history="1">
        <w:r w:rsidRPr="00EA7685">
          <w:rPr>
            <w:rStyle w:val="Hyperlink"/>
          </w:rPr>
          <w:t>https://cases.justia.com/louisiana/third-circuit-court-of-appeal/2026-ca-0025-0423.pdf?ts=1782919449</w:t>
        </w:r>
      </w:hyperlink>
      <w:r>
        <w:t xml:space="preserve"> </w:t>
      </w:r>
    </w:p>
    <w:p w14:paraId="22B8A740" w14:textId="77777777" w:rsidR="004102A6" w:rsidRDefault="004102A6" w:rsidP="004102A6"/>
    <w:p w14:paraId="20F4FF05" w14:textId="77777777" w:rsidR="004102A6" w:rsidRDefault="004102A6" w:rsidP="004102A6">
      <w:r>
        <w:t>THE COURT WROTE:</w:t>
      </w:r>
    </w:p>
    <w:p w14:paraId="71E82234" w14:textId="77777777" w:rsidR="004102A6" w:rsidRDefault="004102A6" w:rsidP="004102A6">
      <w:pPr>
        <w:pStyle w:val="NoSpacing"/>
      </w:pPr>
      <w:r>
        <w:t>“</w:t>
      </w:r>
      <w:r w:rsidRPr="00E55309">
        <w:t>This lawsuit arises out of a motor vehicle accident that occurred on July 8,</w:t>
      </w:r>
      <w:r>
        <w:t xml:space="preserve"> </w:t>
      </w:r>
      <w:r w:rsidRPr="00E55309">
        <w:t xml:space="preserve">2021, on Louisiana Highway 182 in St. Landry Parish, Louisiana. Sherri </w:t>
      </w:r>
      <w:proofErr w:type="gramStart"/>
      <w:r w:rsidRPr="00E55309">
        <w:t>Tramble</w:t>
      </w:r>
      <w:r>
        <w:t xml:space="preserve"> </w:t>
      </w:r>
      <w:r w:rsidRPr="00E55309">
        <w:t>(</w:t>
      </w:r>
      <w:r>
        <w:t>‘</w:t>
      </w:r>
      <w:proofErr w:type="gramEnd"/>
      <w:r w:rsidRPr="00E55309">
        <w:t>Sherri</w:t>
      </w:r>
      <w:r>
        <w:t>’</w:t>
      </w:r>
      <w:r w:rsidRPr="00E55309">
        <w:t>), an EMT, was attending a patient in the back of a 2019 Ram Express</w:t>
      </w:r>
      <w:r>
        <w:t xml:space="preserve"> </w:t>
      </w:r>
      <w:r w:rsidRPr="00E55309">
        <w:t>ambulance driven by Margo Bellard. Joshua Briscoe, the driver of a 2019 Chevrolet</w:t>
      </w:r>
      <w:r>
        <w:t xml:space="preserve"> </w:t>
      </w:r>
      <w:r w:rsidRPr="00E55309">
        <w:t xml:space="preserve">Silverado, was traveling north crossing Louisiana Highway 182 </w:t>
      </w:r>
      <w:proofErr w:type="gramStart"/>
      <w:r w:rsidRPr="00E55309">
        <w:t>in order to</w:t>
      </w:r>
      <w:proofErr w:type="gramEnd"/>
      <w:r w:rsidRPr="00E55309">
        <w:t xml:space="preserve"> access</w:t>
      </w:r>
      <w:r>
        <w:t xml:space="preserve"> </w:t>
      </w:r>
      <w:r w:rsidRPr="00E55309">
        <w:t>the U.S. Interstate 49 entrance ramp.</w:t>
      </w:r>
      <w:r>
        <w:t xml:space="preserve"> </w:t>
      </w:r>
      <w:r w:rsidRPr="000C4341">
        <w:t>Plaintiff alleges that Joshua Briscoe failed to yield to the ambulance causing</w:t>
      </w:r>
      <w:r>
        <w:t xml:space="preserve"> </w:t>
      </w:r>
      <w:r w:rsidRPr="000C4341">
        <w:t>the ambulance to strike the rear right side of the 2019 Chevrolet Silverado. It was</w:t>
      </w:r>
      <w:r>
        <w:t xml:space="preserve"> </w:t>
      </w:r>
      <w:r w:rsidRPr="000C4341">
        <w:t>stipulated by the parties that Briscoe was in the course and scope of his employment</w:t>
      </w:r>
      <w:r>
        <w:t xml:space="preserve"> </w:t>
      </w:r>
      <w:r w:rsidRPr="000C4341">
        <w:t xml:space="preserve">with </w:t>
      </w:r>
      <w:proofErr w:type="spellStart"/>
      <w:r w:rsidRPr="000C4341">
        <w:t>Linetec</w:t>
      </w:r>
      <w:proofErr w:type="spellEnd"/>
      <w:r w:rsidRPr="000C4341">
        <w:t xml:space="preserve"> Service, LLC at the time of the subject accident, and </w:t>
      </w:r>
      <w:proofErr w:type="spellStart"/>
      <w:r w:rsidRPr="000C4341">
        <w:t>Linetec</w:t>
      </w:r>
      <w:proofErr w:type="spellEnd"/>
      <w:r w:rsidRPr="000C4341">
        <w:t xml:space="preserve"> Service,</w:t>
      </w:r>
      <w:r>
        <w:t xml:space="preserve"> </w:t>
      </w:r>
      <w:r w:rsidRPr="000C4341">
        <w:t>LLC is responsible for any negligence and fault of Briscoe in connection with the</w:t>
      </w:r>
      <w:r>
        <w:t xml:space="preserve"> </w:t>
      </w:r>
      <w:r w:rsidRPr="000C4341">
        <w:t>Accident</w:t>
      </w:r>
      <w:r>
        <w:t>….</w:t>
      </w:r>
      <w:r w:rsidRPr="00591D60">
        <w:t>After a trial, the jury found the</w:t>
      </w:r>
      <w:r>
        <w:t xml:space="preserve"> </w:t>
      </w:r>
      <w:r w:rsidRPr="00591D60">
        <w:t>defendant driver 100% at fault for the accident and awarded the Plaintiff damages</w:t>
      </w:r>
      <w:r>
        <w:t xml:space="preserve"> </w:t>
      </w:r>
      <w:r w:rsidRPr="00591D60">
        <w:t>totaling $219,742,924.31.</w:t>
      </w:r>
    </w:p>
    <w:p w14:paraId="7175185A" w14:textId="77777777" w:rsidR="004102A6" w:rsidRDefault="004102A6" w:rsidP="004102A6">
      <w:pPr>
        <w:pStyle w:val="NoSpacing"/>
      </w:pPr>
    </w:p>
    <w:p w14:paraId="34343174" w14:textId="77777777" w:rsidR="004102A6" w:rsidRDefault="004102A6" w:rsidP="004102A6">
      <w:pPr>
        <w:pStyle w:val="NoSpacing"/>
        <w:rPr>
          <w:b/>
        </w:rPr>
      </w:pPr>
      <w:r>
        <w:t>***</w:t>
      </w:r>
    </w:p>
    <w:p w14:paraId="5159F340" w14:textId="77777777" w:rsidR="004102A6" w:rsidRDefault="004102A6" w:rsidP="004102A6">
      <w:pPr>
        <w:pStyle w:val="NoSpacing"/>
      </w:pPr>
      <w:r w:rsidRPr="00A60E3D">
        <w:t>We have reviewed both the record before us in this appeal and the applicable</w:t>
      </w:r>
      <w:r>
        <w:t xml:space="preserve"> </w:t>
      </w:r>
      <w:r w:rsidRPr="00A60E3D">
        <w:t>law. As before in the writ application, the evidence in the record is that there is no</w:t>
      </w:r>
      <w:r>
        <w:t xml:space="preserve"> </w:t>
      </w:r>
      <w:r w:rsidRPr="00A60E3D">
        <w:t>law requiring an EMT tending to a patient to use a seat belt, there is no evidence that</w:t>
      </w:r>
      <w:r>
        <w:t xml:space="preserve"> </w:t>
      </w:r>
      <w:r w:rsidRPr="00A60E3D">
        <w:t xml:space="preserve">expert </w:t>
      </w:r>
      <w:r>
        <w:t xml:space="preserve">[John B.] </w:t>
      </w:r>
      <w:proofErr w:type="spellStart"/>
      <w:r w:rsidRPr="00A60E3D">
        <w:t>Everlove</w:t>
      </w:r>
      <w:proofErr w:type="spellEnd"/>
      <w:r w:rsidRPr="00A60E3D">
        <w:t xml:space="preserve"> knew whether Sherri was standing, seated or tending to the patient</w:t>
      </w:r>
      <w:r>
        <w:t xml:space="preserve"> </w:t>
      </w:r>
      <w:r w:rsidRPr="00261229">
        <w:t>at the time of the accident, and there is no evidence that Sherri was not tending to</w:t>
      </w:r>
      <w:r>
        <w:t xml:space="preserve"> t</w:t>
      </w:r>
      <w:r w:rsidRPr="00261229">
        <w:t xml:space="preserve">he patient at the time of the accident. Additionally, it is clear from </w:t>
      </w:r>
      <w:proofErr w:type="spellStart"/>
      <w:r w:rsidRPr="00261229">
        <w:t>Everlove’s</w:t>
      </w:r>
      <w:proofErr w:type="spellEnd"/>
      <w:r>
        <w:t xml:space="preserve"> </w:t>
      </w:r>
      <w:r w:rsidRPr="00261229">
        <w:t>deposition testimony that he did not have any knowledge of circumstances present</w:t>
      </w:r>
      <w:r>
        <w:t xml:space="preserve"> </w:t>
      </w:r>
      <w:r w:rsidRPr="00261229">
        <w:t>in the back of the ambulance prior to the accident. Thus, any opinion by Defendants’</w:t>
      </w:r>
      <w:r>
        <w:t xml:space="preserve"> </w:t>
      </w:r>
      <w:r w:rsidRPr="00261229">
        <w:t>expert as to whether Sherri breached any alleged standard of care of an EMT under</w:t>
      </w:r>
      <w:r>
        <w:t xml:space="preserve"> </w:t>
      </w:r>
      <w:r w:rsidRPr="00261229">
        <w:t>the circumstances present would be of no value.</w:t>
      </w:r>
    </w:p>
    <w:p w14:paraId="02D5BC5D" w14:textId="77777777" w:rsidR="004102A6" w:rsidRDefault="004102A6" w:rsidP="004102A6">
      <w:pPr>
        <w:pStyle w:val="NoSpacing"/>
      </w:pPr>
    </w:p>
    <w:p w14:paraId="5CA7F4A8" w14:textId="77777777" w:rsidR="004102A6" w:rsidRDefault="004102A6" w:rsidP="004102A6">
      <w:pPr>
        <w:pStyle w:val="NoSpacing"/>
      </w:pPr>
      <w:r w:rsidRPr="00925EA8">
        <w:t>Moreover, any opinion that Sherri was at fault for the accident for lack of</w:t>
      </w:r>
      <w:r>
        <w:t xml:space="preserve"> </w:t>
      </w:r>
      <w:r w:rsidRPr="00925EA8">
        <w:t>seat belt usage is rendered meritless by the undisputed circumstances of the accident</w:t>
      </w:r>
      <w:r>
        <w:t xml:space="preserve"> </w:t>
      </w:r>
      <w:r w:rsidRPr="00925EA8">
        <w:t>and the training Saint Landry EMS provided regarding seat belt usage. At the time</w:t>
      </w:r>
      <w:r>
        <w:t xml:space="preserve"> </w:t>
      </w:r>
      <w:r w:rsidRPr="00925EA8">
        <w:t>of the accident, Margo Bellard was driving the ambulance while Krystle Johnson</w:t>
      </w:r>
      <w:r>
        <w:t xml:space="preserve"> </w:t>
      </w:r>
      <w:r w:rsidRPr="00925EA8">
        <w:t>was riding in the front and Sherri was in the back with the patient, Mr. Kenneth Isles.</w:t>
      </w:r>
      <w:r>
        <w:t xml:space="preserve"> </w:t>
      </w:r>
      <w:r w:rsidRPr="00925EA8">
        <w:t>Both Johnson and Bellard testified that while a patient is in the back of the</w:t>
      </w:r>
      <w:r>
        <w:t xml:space="preserve"> </w:t>
      </w:r>
      <w:r w:rsidRPr="00925EA8">
        <w:t>ambulance, it is proper to be unrestrained when doing active care on the patient.</w:t>
      </w:r>
    </w:p>
    <w:p w14:paraId="3261A5B4" w14:textId="77777777" w:rsidR="004102A6" w:rsidRDefault="004102A6" w:rsidP="004102A6">
      <w:pPr>
        <w:rPr>
          <w:b/>
        </w:rPr>
      </w:pPr>
    </w:p>
    <w:p w14:paraId="671EBE9C" w14:textId="77777777" w:rsidR="004102A6" w:rsidRPr="001D0940" w:rsidRDefault="004102A6" w:rsidP="004102A6">
      <w:pPr>
        <w:pStyle w:val="NoSpacing"/>
      </w:pPr>
      <w:r w:rsidRPr="001D0940">
        <w:t>Bellard testified to the following:</w:t>
      </w:r>
    </w:p>
    <w:p w14:paraId="218346CF" w14:textId="77777777" w:rsidR="004102A6" w:rsidRDefault="004102A6" w:rsidP="004102A6">
      <w:pPr>
        <w:pStyle w:val="NoSpacing"/>
      </w:pPr>
    </w:p>
    <w:p w14:paraId="44402866" w14:textId="77777777" w:rsidR="004102A6" w:rsidRPr="001D0940" w:rsidRDefault="004102A6" w:rsidP="004102A6">
      <w:pPr>
        <w:pStyle w:val="NoSpacing"/>
        <w:ind w:firstLine="720"/>
      </w:pPr>
      <w:r w:rsidRPr="001D0940">
        <w:t>Q. And Ms. Johnson told the jury that when she was trained</w:t>
      </w:r>
    </w:p>
    <w:p w14:paraId="6C5AA98B" w14:textId="77777777" w:rsidR="004102A6" w:rsidRPr="001D0940" w:rsidRDefault="004102A6" w:rsidP="004102A6">
      <w:pPr>
        <w:pStyle w:val="NoSpacing"/>
        <w:ind w:firstLine="720"/>
      </w:pPr>
      <w:r w:rsidRPr="001D0940">
        <w:t>by St. Landry EMS, they trained her on when she should</w:t>
      </w:r>
    </w:p>
    <w:p w14:paraId="6D272730" w14:textId="77777777" w:rsidR="004102A6" w:rsidRPr="001D0940" w:rsidRDefault="004102A6" w:rsidP="004102A6">
      <w:pPr>
        <w:pStyle w:val="NoSpacing"/>
        <w:ind w:firstLine="720"/>
      </w:pPr>
      <w:r w:rsidRPr="001D0940">
        <w:t xml:space="preserve">and shouldn’t wear seatbelt [sic] </w:t>
      </w:r>
      <w:proofErr w:type="gramStart"/>
      <w:r w:rsidRPr="001D0940">
        <w:t>in</w:t>
      </w:r>
      <w:proofErr w:type="gramEnd"/>
      <w:r w:rsidRPr="001D0940">
        <w:t xml:space="preserve"> the back of the</w:t>
      </w:r>
    </w:p>
    <w:p w14:paraId="121759A5" w14:textId="77777777" w:rsidR="004102A6" w:rsidRPr="001D0940" w:rsidRDefault="004102A6" w:rsidP="004102A6">
      <w:pPr>
        <w:pStyle w:val="NoSpacing"/>
        <w:ind w:firstLine="720"/>
      </w:pPr>
      <w:r w:rsidRPr="001D0940">
        <w:t>ambulance. Did you receive similar training?</w:t>
      </w:r>
    </w:p>
    <w:p w14:paraId="24D6D680" w14:textId="77777777" w:rsidR="004102A6" w:rsidRPr="001D0940" w:rsidRDefault="004102A6" w:rsidP="004102A6">
      <w:pPr>
        <w:pStyle w:val="NoSpacing"/>
        <w:ind w:firstLine="720"/>
      </w:pPr>
      <w:r w:rsidRPr="001D0940">
        <w:lastRenderedPageBreak/>
        <w:t>A. Correct.</w:t>
      </w:r>
    </w:p>
    <w:p w14:paraId="60EFB1E2" w14:textId="77777777" w:rsidR="004102A6" w:rsidRPr="001D0940" w:rsidRDefault="004102A6" w:rsidP="004102A6">
      <w:pPr>
        <w:pStyle w:val="NoSpacing"/>
        <w:ind w:firstLine="720"/>
      </w:pPr>
      <w:r w:rsidRPr="001D0940">
        <w:t>Q. And she told the jury that while she’s doing that, or while</w:t>
      </w:r>
    </w:p>
    <w:p w14:paraId="66880C95" w14:textId="77777777" w:rsidR="004102A6" w:rsidRPr="001D0940" w:rsidRDefault="004102A6" w:rsidP="004102A6">
      <w:pPr>
        <w:pStyle w:val="NoSpacing"/>
        <w:ind w:firstLine="720"/>
      </w:pPr>
      <w:r w:rsidRPr="001D0940">
        <w:t>somebody in the back of the ambulance is doing active</w:t>
      </w:r>
    </w:p>
    <w:p w14:paraId="0C579609" w14:textId="77777777" w:rsidR="004102A6" w:rsidRPr="001D0940" w:rsidRDefault="004102A6" w:rsidP="004102A6">
      <w:pPr>
        <w:pStyle w:val="NoSpacing"/>
        <w:ind w:firstLine="720"/>
      </w:pPr>
      <w:r w:rsidRPr="001D0940">
        <w:t>care on a patient, it’s okay for them to not be restrained</w:t>
      </w:r>
    </w:p>
    <w:p w14:paraId="17238BF2" w14:textId="77777777" w:rsidR="004102A6" w:rsidRPr="001D0940" w:rsidRDefault="004102A6" w:rsidP="004102A6">
      <w:pPr>
        <w:pStyle w:val="NoSpacing"/>
        <w:ind w:firstLine="720"/>
      </w:pPr>
      <w:r w:rsidRPr="001D0940">
        <w:t>while they’re providing that care. Is that the same</w:t>
      </w:r>
    </w:p>
    <w:p w14:paraId="49BC90FD" w14:textId="77777777" w:rsidR="004102A6" w:rsidRPr="001D0940" w:rsidRDefault="004102A6" w:rsidP="004102A6">
      <w:pPr>
        <w:pStyle w:val="NoSpacing"/>
        <w:ind w:firstLine="720"/>
      </w:pPr>
      <w:r w:rsidRPr="001D0940">
        <w:t>treatment-</w:t>
      </w:r>
    </w:p>
    <w:p w14:paraId="62131E16" w14:textId="77777777" w:rsidR="004102A6" w:rsidRPr="001D0940" w:rsidRDefault="004102A6" w:rsidP="004102A6">
      <w:pPr>
        <w:pStyle w:val="NoSpacing"/>
        <w:ind w:firstLine="720"/>
      </w:pPr>
      <w:r w:rsidRPr="001D0940">
        <w:t>A. Correct.</w:t>
      </w:r>
    </w:p>
    <w:p w14:paraId="12762C94" w14:textId="77777777" w:rsidR="004102A6" w:rsidRPr="001D0940" w:rsidRDefault="004102A6" w:rsidP="004102A6">
      <w:pPr>
        <w:pStyle w:val="NoSpacing"/>
        <w:ind w:firstLine="720"/>
      </w:pPr>
      <w:r w:rsidRPr="001D0940">
        <w:t>Q. ...training that you got?</w:t>
      </w:r>
    </w:p>
    <w:p w14:paraId="5A98E389" w14:textId="77777777" w:rsidR="004102A6" w:rsidRPr="001D0940" w:rsidRDefault="004102A6" w:rsidP="004102A6">
      <w:pPr>
        <w:pStyle w:val="NoSpacing"/>
        <w:ind w:firstLine="720"/>
      </w:pPr>
      <w:r w:rsidRPr="001D0940">
        <w:t>A. mm-hmm. [affirmative]</w:t>
      </w:r>
    </w:p>
    <w:p w14:paraId="365DDA55" w14:textId="77777777" w:rsidR="004102A6" w:rsidRDefault="004102A6" w:rsidP="004102A6">
      <w:pPr>
        <w:pStyle w:val="NoSpacing"/>
      </w:pPr>
    </w:p>
    <w:p w14:paraId="498DC75E" w14:textId="77777777" w:rsidR="004102A6" w:rsidRDefault="004102A6" w:rsidP="004102A6">
      <w:pPr>
        <w:pStyle w:val="NoSpacing"/>
      </w:pPr>
      <w:r w:rsidRPr="001D0940">
        <w:t>Additionally, Bellard testified that it was not possible for an EMT to provide</w:t>
      </w:r>
      <w:r>
        <w:t xml:space="preserve"> </w:t>
      </w:r>
      <w:r w:rsidRPr="001D0940">
        <w:t>care to a patient while buckled in the seat where Sherri was seated. Bellard also</w:t>
      </w:r>
      <w:r>
        <w:t xml:space="preserve"> testified that the patient, Mr. Isles, iterated that Sherri was administering care </w:t>
      </w:r>
      <w:proofErr w:type="gramStart"/>
      <w:r>
        <w:t>to</w:t>
      </w:r>
      <w:proofErr w:type="gramEnd"/>
      <w:r>
        <w:t xml:space="preserve"> him when the wreck happened. These testimonies are undisputed. Accordingly, we find no error in our disposition of Defendants’ previous writ application and no merit to this issue raised again on appeal for review. Therefore,</w:t>
      </w:r>
    </w:p>
    <w:p w14:paraId="5F264ED8" w14:textId="77777777" w:rsidR="004102A6" w:rsidRDefault="004102A6" w:rsidP="004102A6">
      <w:pPr>
        <w:pStyle w:val="NoSpacing"/>
      </w:pPr>
      <w:proofErr w:type="gramStart"/>
      <w:r>
        <w:t>we</w:t>
      </w:r>
      <w:proofErr w:type="gramEnd"/>
      <w:r>
        <w:t xml:space="preserve"> find the trial court was within its discretion to exclude the testimony of</w:t>
      </w:r>
    </w:p>
    <w:p w14:paraId="5BAB8B4F" w14:textId="77777777" w:rsidR="004102A6" w:rsidRDefault="004102A6" w:rsidP="004102A6">
      <w:pPr>
        <w:pStyle w:val="NoSpacing"/>
      </w:pPr>
      <w:r>
        <w:t xml:space="preserve">Defendants’ expert, John B. </w:t>
      </w:r>
      <w:proofErr w:type="spellStart"/>
      <w:r>
        <w:t>Everlove</w:t>
      </w:r>
      <w:proofErr w:type="spellEnd"/>
      <w:r>
        <w:t>.”</w:t>
      </w:r>
    </w:p>
    <w:p w14:paraId="5F0C438B" w14:textId="77777777" w:rsidR="004102A6" w:rsidRDefault="004102A6" w:rsidP="004102A6">
      <w:pPr>
        <w:pStyle w:val="NoSpacing"/>
      </w:pPr>
    </w:p>
    <w:p w14:paraId="74881046" w14:textId="77777777" w:rsidR="004102A6" w:rsidRPr="006F2C17" w:rsidRDefault="004102A6" w:rsidP="004102A6">
      <w:pPr>
        <w:pStyle w:val="NoSpacing"/>
        <w:rPr>
          <w:b/>
          <w:bCs/>
        </w:rPr>
      </w:pPr>
      <w:r>
        <w:rPr>
          <w:b/>
        </w:rPr>
        <w:t xml:space="preserve">Legal lesson learned: Tragic accident, but no </w:t>
      </w:r>
      <w:r w:rsidRPr="00AD4347">
        <w:rPr>
          <w:b/>
        </w:rPr>
        <w:t>Louisiana</w:t>
      </w:r>
      <w:r>
        <w:rPr>
          <w:b/>
        </w:rPr>
        <w:t xml:space="preserve"> law requiring EMT to wear seat belt when tending to patient in rear of ambulance. </w:t>
      </w:r>
    </w:p>
    <w:p w14:paraId="22E53309" w14:textId="77777777" w:rsidR="004102A6" w:rsidRDefault="004102A6" w:rsidP="004102A6">
      <w:pPr>
        <w:rPr>
          <w:b/>
        </w:rPr>
      </w:pPr>
    </w:p>
    <w:p w14:paraId="4DE39F6F" w14:textId="77777777" w:rsidR="004102A6" w:rsidRPr="000D486A" w:rsidRDefault="004102A6" w:rsidP="004102A6">
      <w:pPr>
        <w:ind w:left="720"/>
        <w:rPr>
          <w:bCs/>
        </w:rPr>
      </w:pPr>
      <w:r w:rsidRPr="000D486A">
        <w:t xml:space="preserve">Note: See this Nov. 14, </w:t>
      </w:r>
      <w:proofErr w:type="gramStart"/>
      <w:r w:rsidRPr="000D486A">
        <w:t>2025</w:t>
      </w:r>
      <w:proofErr w:type="gramEnd"/>
      <w:r w:rsidRPr="000D486A">
        <w:t xml:space="preserve"> article, “6 lifesaving seat belt tips for EMTs and paramedics. Try these tips to make seat belt use in the patient care compartment just as normal as your personal </w:t>
      </w:r>
      <w:proofErr w:type="gramStart"/>
      <w:r w:rsidRPr="000D486A">
        <w:t>vehicle.”</w:t>
      </w:r>
      <w:proofErr w:type="gramEnd"/>
      <w:r w:rsidRPr="000D486A">
        <w:t xml:space="preserve"> </w:t>
      </w:r>
      <w:r>
        <w:t xml:space="preserve"> </w:t>
      </w:r>
      <w:hyperlink r:id="rId948" w:history="1">
        <w:r w:rsidRPr="004F5883">
          <w:rPr>
            <w:rStyle w:val="Hyperlink"/>
          </w:rPr>
          <w:t>https://www.ems1.com/ems-products/ambulance-safety/articles/6-lifesaving-seat-belt-tips-for-emts-and-paramedics-Xz0h9ek4lqN37Hmc/</w:t>
        </w:r>
      </w:hyperlink>
      <w:r w:rsidRPr="000D486A">
        <w:t xml:space="preserve"> </w:t>
      </w:r>
    </w:p>
    <w:p w14:paraId="306843E3" w14:textId="77777777" w:rsidR="004102A6" w:rsidRDefault="004102A6" w:rsidP="004102A6">
      <w:pPr>
        <w:rPr>
          <w:b/>
        </w:rPr>
      </w:pPr>
    </w:p>
    <w:p w14:paraId="22AEC63C" w14:textId="77777777" w:rsidR="004102A6" w:rsidRDefault="004102A6" w:rsidP="004102A6">
      <w:pPr>
        <w:pStyle w:val="NoSpacing"/>
        <w:rPr>
          <w:b/>
          <w:sz w:val="20"/>
          <w:szCs w:val="20"/>
        </w:rPr>
      </w:pPr>
    </w:p>
    <w:p w14:paraId="5F5C7B1A" w14:textId="78F20460" w:rsidR="004102A6" w:rsidRDefault="004102A6" w:rsidP="004102A6">
      <w:pPr>
        <w:pStyle w:val="NoSpacing"/>
        <w:rPr>
          <w:rFonts w:ascii="Arial Black" w:hAnsi="Arial Black"/>
          <w:sz w:val="28"/>
          <w:szCs w:val="28"/>
        </w:rPr>
      </w:pPr>
      <w:r>
        <w:rPr>
          <w:rFonts w:ascii="Arial Black" w:hAnsi="Arial Black"/>
          <w:sz w:val="28"/>
          <w:szCs w:val="28"/>
        </w:rPr>
        <w:t>5-66</w:t>
      </w:r>
    </w:p>
    <w:p w14:paraId="1FC59905" w14:textId="77777777" w:rsidR="004102A6" w:rsidRDefault="004102A6" w:rsidP="004102A6">
      <w:pPr>
        <w:pStyle w:val="NoSpacing"/>
        <w:rPr>
          <w:rFonts w:ascii="Arial Black" w:hAnsi="Arial Black"/>
          <w:sz w:val="28"/>
          <w:szCs w:val="28"/>
        </w:rPr>
      </w:pPr>
    </w:p>
    <w:p w14:paraId="79EB6E22" w14:textId="77777777" w:rsidR="004102A6" w:rsidRDefault="004102A6" w:rsidP="004102A6">
      <w:pPr>
        <w:pStyle w:val="NoSpacing"/>
      </w:pPr>
      <w:r>
        <w:rPr>
          <w:rFonts w:ascii="Arial Black" w:hAnsi="Arial Black"/>
          <w:sz w:val="28"/>
          <w:szCs w:val="28"/>
        </w:rPr>
        <w:t xml:space="preserve">TX: CRASH INTER - 20 MPH – SLOW DOWN “IF NECESSARY” </w:t>
      </w:r>
    </w:p>
    <w:p w14:paraId="57ECF873" w14:textId="77777777" w:rsidR="004102A6" w:rsidRDefault="004102A6" w:rsidP="004102A6">
      <w:pPr>
        <w:pStyle w:val="NoSpacing"/>
      </w:pPr>
    </w:p>
    <w:p w14:paraId="39043569" w14:textId="77777777" w:rsidR="004102A6" w:rsidRDefault="004102A6" w:rsidP="004102A6">
      <w:r>
        <w:t xml:space="preserve">On June 30, 2026, in </w:t>
      </w:r>
      <w:r w:rsidRPr="00DC50BD">
        <w:rPr>
          <w:u w:val="single"/>
        </w:rPr>
        <w:t>Oscar Lopez v. City of Houston</w:t>
      </w:r>
      <w:r>
        <w:t xml:space="preserve">, the </w:t>
      </w:r>
      <w:r w:rsidRPr="00DC50BD">
        <w:t>Court of Appeals of Texas, Fourteenth District</w:t>
      </w:r>
      <w:r>
        <w:t xml:space="preserve"> held (3 to 0) that trial court properly granted judgment for the City, under the “emergency exception” for municipal liability.  The lead engine entered intersection going 20 mph, with two vehicles stopped. Video from nearby business showed he didn’t slow down; statute only requires slow down “as necessary for safe operation.” See Tex. Transp. Code §546.001(2). </w:t>
      </w:r>
      <w:hyperlink r:id="rId949" w:history="1">
        <w:r w:rsidRPr="004F5883">
          <w:rPr>
            <w:rStyle w:val="Hyperlink"/>
          </w:rPr>
          <w:t>https://cases.justia.com/texas/fourteenth-court-of-appeals/2026-14-25-00343-cv.pdf?ts=1782834443</w:t>
        </w:r>
      </w:hyperlink>
      <w:r>
        <w:t xml:space="preserve"> </w:t>
      </w:r>
    </w:p>
    <w:p w14:paraId="7181CA9E" w14:textId="77777777" w:rsidR="004102A6" w:rsidRDefault="004102A6" w:rsidP="004102A6"/>
    <w:p w14:paraId="1B47088F" w14:textId="77777777" w:rsidR="004102A6" w:rsidRDefault="004102A6" w:rsidP="004102A6">
      <w:r>
        <w:t>THE COURT WROTE:</w:t>
      </w:r>
    </w:p>
    <w:p w14:paraId="0F2024DA" w14:textId="77777777" w:rsidR="004102A6" w:rsidRDefault="004102A6" w:rsidP="004102A6">
      <w:pPr>
        <w:pStyle w:val="NoSpacing"/>
      </w:pPr>
      <w:r>
        <w:t>“</w:t>
      </w:r>
      <w:r w:rsidRPr="003E796F">
        <w:t>At approximately 5:00 a.m. on February 6, 2021, Houston Fire Department</w:t>
      </w:r>
      <w:r>
        <w:t xml:space="preserve"> </w:t>
      </w:r>
      <w:r w:rsidRPr="003E796F">
        <w:t>(</w:t>
      </w:r>
      <w:r>
        <w:t>‘</w:t>
      </w:r>
      <w:r w:rsidRPr="003E796F">
        <w:t>HFD</w:t>
      </w:r>
      <w:r>
        <w:t>’</w:t>
      </w:r>
      <w:r w:rsidRPr="003E796F">
        <w:t>) Station 93 received a 9-1-1 dispatch regarding a house fire. Two units from</w:t>
      </w:r>
      <w:r>
        <w:t xml:space="preserve"> </w:t>
      </w:r>
      <w:r w:rsidRPr="003E796F">
        <w:t>Station 93 were dispatched to address the fire, Engine 93 and Ladder 93, along</w:t>
      </w:r>
      <w:r>
        <w:t xml:space="preserve"> </w:t>
      </w:r>
      <w:r w:rsidRPr="003E796F">
        <w:t>with Engine 52 from Station 52.</w:t>
      </w:r>
      <w:r>
        <w:t xml:space="preserve"> </w:t>
      </w:r>
      <w:r w:rsidRPr="003E796F">
        <w:t>Upon receiving the dispatch orders, HFD Engineer/Operator Anthony</w:t>
      </w:r>
      <w:r>
        <w:t xml:space="preserve"> </w:t>
      </w:r>
      <w:r w:rsidRPr="003E796F">
        <w:t>Grizzaffi, HFD Junior Captain Erick Mikel, as well as other HFD fire fighters</w:t>
      </w:r>
      <w:r>
        <w:t xml:space="preserve"> </w:t>
      </w:r>
      <w:r w:rsidRPr="003E796F">
        <w:t>boarded Engine 93. Engineer/Operator Grizzaffi was the assigned driver of Engine</w:t>
      </w:r>
      <w:r>
        <w:t xml:space="preserve"> </w:t>
      </w:r>
      <w:r w:rsidRPr="003E796F">
        <w:t>93, and Junior Captain Mikel rode in the front passenger seat of Engine 93</w:t>
      </w:r>
      <w:r>
        <w:t xml:space="preserve">…. </w:t>
      </w:r>
      <w:r w:rsidRPr="00EA57A1">
        <w:t>Engineer/Operator Grizzaffi and Captain Mikel both observed two vehicles at</w:t>
      </w:r>
      <w:r>
        <w:t xml:space="preserve"> </w:t>
      </w:r>
      <w:r w:rsidRPr="00EA57A1">
        <w:t>the intersection yielding the right of way to Engine 93 and the other two HFD units;</w:t>
      </w:r>
      <w:r>
        <w:t xml:space="preserve"> </w:t>
      </w:r>
      <w:r w:rsidRPr="00EA57A1">
        <w:t xml:space="preserve">one was stopped in the designated left-turn </w:t>
      </w:r>
      <w:proofErr w:type="gramStart"/>
      <w:r w:rsidRPr="00EA57A1">
        <w:t>lane</w:t>
      </w:r>
      <w:proofErr w:type="gramEnd"/>
      <w:r w:rsidRPr="00EA57A1">
        <w:t xml:space="preserve"> and one was stopped in the middle</w:t>
      </w:r>
      <w:r>
        <w:t xml:space="preserve"> </w:t>
      </w:r>
      <w:r w:rsidRPr="00EA57A1">
        <w:t>lane. Grizzaffi stated in his affidavit that he was driving at under twenty miles per</w:t>
      </w:r>
      <w:r>
        <w:t xml:space="preserve"> </w:t>
      </w:r>
      <w:r w:rsidRPr="00EA57A1">
        <w:t xml:space="preserve">hour as he passed through the </w:t>
      </w:r>
      <w:r w:rsidRPr="00EA57A1">
        <w:lastRenderedPageBreak/>
        <w:t>intersection. As the front quadrant of Engine 93</w:t>
      </w:r>
      <w:r>
        <w:t xml:space="preserve"> </w:t>
      </w:r>
      <w:r w:rsidRPr="00EA57A1">
        <w:t xml:space="preserve">passed through the three lanes of the intersection, Grizzaffi heard a </w:t>
      </w:r>
      <w:r>
        <w:t>‘</w:t>
      </w:r>
      <w:r w:rsidRPr="00EA57A1">
        <w:t>metallic</w:t>
      </w:r>
      <w:r>
        <w:t xml:space="preserve"> </w:t>
      </w:r>
      <w:r w:rsidRPr="00EA57A1">
        <w:t>thump.</w:t>
      </w:r>
      <w:r>
        <w:t xml:space="preserve">’ </w:t>
      </w:r>
      <w:r w:rsidRPr="00EA57A1">
        <w:t xml:space="preserve">Grizzaffi later learned that Lopez had </w:t>
      </w:r>
      <w:r>
        <w:t>‘</w:t>
      </w:r>
      <w:r w:rsidRPr="00EA57A1">
        <w:t>t-boned</w:t>
      </w:r>
      <w:r>
        <w:t xml:space="preserve">’ </w:t>
      </w:r>
      <w:r w:rsidRPr="00EA57A1">
        <w:t>Engine 93 in a Nissan Sentra</w:t>
      </w:r>
      <w:r>
        <w:t xml:space="preserve"> </w:t>
      </w:r>
      <w:r w:rsidRPr="00EA57A1">
        <w:t>as Engine 93 passed through the intersection. The Sentra struck Engine 93 behind</w:t>
      </w:r>
      <w:r>
        <w:t xml:space="preserve"> </w:t>
      </w:r>
      <w:r w:rsidRPr="00EA57A1">
        <w:t>the engine’s front passenger wheel, which is located approximately seven feet</w:t>
      </w:r>
      <w:r>
        <w:t xml:space="preserve"> </w:t>
      </w:r>
      <w:r w:rsidRPr="00EA57A1">
        <w:t>behind the front of the front bumper.</w:t>
      </w:r>
    </w:p>
    <w:p w14:paraId="5F327CEF" w14:textId="77777777" w:rsidR="004102A6" w:rsidRDefault="004102A6" w:rsidP="004102A6">
      <w:pPr>
        <w:pStyle w:val="NoSpacing"/>
      </w:pPr>
    </w:p>
    <w:p w14:paraId="2EEFD071" w14:textId="77777777" w:rsidR="004102A6" w:rsidRDefault="004102A6" w:rsidP="004102A6">
      <w:pPr>
        <w:pStyle w:val="NoSpacing"/>
      </w:pPr>
      <w:r>
        <w:t>***</w:t>
      </w:r>
    </w:p>
    <w:p w14:paraId="411C3CF1" w14:textId="77777777" w:rsidR="004102A6" w:rsidRDefault="004102A6" w:rsidP="004102A6">
      <w:pPr>
        <w:pStyle w:val="NoSpacing"/>
      </w:pPr>
    </w:p>
    <w:p w14:paraId="735AC4BC" w14:textId="77777777" w:rsidR="004102A6" w:rsidRDefault="004102A6" w:rsidP="004102A6">
      <w:pPr>
        <w:pStyle w:val="NoSpacing"/>
      </w:pPr>
      <w:r>
        <w:t>Lopez filed deposition testimony from investigating policeman Officer Wu that surveillance video obtained from a nearby business showed Engine 93 did not slow down before crossing the intersection…. Officer Wu testified that he reviewed surveillance video of the three HFD units passing through the intersection. Wu testified that while he did not see Lopez strike Engine 93 on the video, he noticed that Engine 93 did not slow down before it passed through the intersection, whereas Ladder 93 and Engine 52 slowed down before driving through the intersection. Wu testified that he could see on the video that all three units had their emergency lights activated at the time. The excerpts from Wu’s deposition did not include any indication whether the sirens on the HFD units were audible at the time of the collision…. Under the facts presented, these fact issues preclude a conclusive showing of good faith and therefore preclude summary judgment based on official immunity.</w:t>
      </w:r>
    </w:p>
    <w:p w14:paraId="7C3A62AB" w14:textId="77777777" w:rsidR="004102A6" w:rsidRDefault="004102A6" w:rsidP="004102A6">
      <w:pPr>
        <w:pStyle w:val="NoSpacing"/>
      </w:pPr>
    </w:p>
    <w:p w14:paraId="66E83C6B" w14:textId="77777777" w:rsidR="004102A6" w:rsidRDefault="004102A6" w:rsidP="004102A6">
      <w:pPr>
        <w:pStyle w:val="NoSpacing"/>
      </w:pPr>
      <w:r>
        <w:t>Transportation Code section 546.001(2) applies to emergency action and is at issue here. Section 546.001(2) provides that when responding to an emergency call, an operator of an emergency vehicle may ‘proceed past a red or stop signal or stop sign, after slowing as necessary for safe operation[.]’ See Tex. Transp. Code §546.001(2). Slowing as necessary, however, does not relieve a driver of an emergency vehicle from “the consequences of reckless disregard for the safety of others.” Id. § 546.005(2)…. Under these facts, it was not necessary for Grizzaffi to slow Engine 93 further before entering the intersection…. because the summary-judgment evidence conclusively shows the emergency exception applies, the trial court did not err by granting final summary judgment in the City’s favor.”</w:t>
      </w:r>
    </w:p>
    <w:p w14:paraId="7662D046" w14:textId="77777777" w:rsidR="004102A6" w:rsidRDefault="004102A6" w:rsidP="004102A6">
      <w:pPr>
        <w:pStyle w:val="NoSpacing"/>
      </w:pPr>
    </w:p>
    <w:p w14:paraId="47DD13DA" w14:textId="77777777" w:rsidR="004102A6" w:rsidRPr="001A7905" w:rsidRDefault="004102A6" w:rsidP="004102A6">
      <w:pPr>
        <w:pStyle w:val="NoSpacing"/>
        <w:rPr>
          <w:b/>
          <w:bCs/>
        </w:rPr>
      </w:pPr>
      <w:r w:rsidRPr="001A7905">
        <w:rPr>
          <w:b/>
        </w:rPr>
        <w:t xml:space="preserve">Legal lesson learned: </w:t>
      </w:r>
      <w:r>
        <w:rPr>
          <w:b/>
        </w:rPr>
        <w:t xml:space="preserve"> The evidence showed the FAO was driving safely when entering intersection, with lights and siren, at 20 mph. </w:t>
      </w:r>
    </w:p>
    <w:p w14:paraId="074F66F1" w14:textId="77777777" w:rsidR="004102A6" w:rsidRDefault="004102A6" w:rsidP="004102A6">
      <w:pPr>
        <w:pStyle w:val="NoSpacing"/>
        <w:rPr>
          <w:b/>
          <w:sz w:val="20"/>
          <w:szCs w:val="20"/>
        </w:rPr>
      </w:pPr>
    </w:p>
    <w:p w14:paraId="0C2CEFBD" w14:textId="77777777" w:rsidR="004102A6" w:rsidRDefault="004102A6" w:rsidP="004102A6">
      <w:pPr>
        <w:pStyle w:val="NoSpacing"/>
        <w:rPr>
          <w:b/>
          <w:sz w:val="20"/>
          <w:szCs w:val="20"/>
        </w:rPr>
      </w:pPr>
    </w:p>
    <w:p w14:paraId="252C9B0E" w14:textId="77777777" w:rsidR="004102A6" w:rsidRDefault="004102A6" w:rsidP="00574CD1">
      <w:pPr>
        <w:rPr>
          <w:rFonts w:ascii="Arial Black" w:hAnsi="Arial Black"/>
          <w:sz w:val="28"/>
          <w:szCs w:val="28"/>
        </w:rPr>
      </w:pPr>
    </w:p>
    <w:p w14:paraId="0137AAF2" w14:textId="41F9BF4C" w:rsidR="00574CD1" w:rsidRDefault="00574CD1" w:rsidP="00574CD1">
      <w:pPr>
        <w:rPr>
          <w:rFonts w:ascii="Arial Black" w:hAnsi="Arial Black"/>
          <w:sz w:val="28"/>
          <w:szCs w:val="28"/>
        </w:rPr>
      </w:pPr>
      <w:r>
        <w:rPr>
          <w:rFonts w:ascii="Arial Black" w:hAnsi="Arial Black"/>
          <w:sz w:val="28"/>
          <w:szCs w:val="28"/>
        </w:rPr>
        <w:t>5-65</w:t>
      </w:r>
    </w:p>
    <w:p w14:paraId="58065D71" w14:textId="77777777" w:rsidR="0016116D" w:rsidRPr="00A21FFE" w:rsidRDefault="0016116D" w:rsidP="0016116D">
      <w:pPr>
        <w:pStyle w:val="NoSpacing"/>
        <w:rPr>
          <w:rFonts w:ascii="Arial Black" w:hAnsi="Arial Black"/>
          <w:b/>
          <w:sz w:val="28"/>
          <w:szCs w:val="28"/>
        </w:rPr>
      </w:pPr>
      <w:r>
        <w:rPr>
          <w:rFonts w:ascii="Arial Black" w:hAnsi="Arial Black"/>
          <w:b/>
          <w:sz w:val="28"/>
          <w:szCs w:val="28"/>
        </w:rPr>
        <w:t>TX: DRUNK RUNS INTO FIRETRUCK – 3</w:t>
      </w:r>
      <w:r w:rsidRPr="00A21FFE">
        <w:rPr>
          <w:rFonts w:ascii="Arial Black" w:hAnsi="Arial Black"/>
          <w:b/>
          <w:sz w:val="28"/>
          <w:szCs w:val="28"/>
          <w:vertAlign w:val="superscript"/>
        </w:rPr>
        <w:t>rd</w:t>
      </w:r>
      <w:r>
        <w:rPr>
          <w:rFonts w:ascii="Arial Black" w:hAnsi="Arial Black"/>
          <w:b/>
          <w:sz w:val="28"/>
          <w:szCs w:val="28"/>
        </w:rPr>
        <w:t xml:space="preserve"> CONV. – 50 YEARS</w:t>
      </w:r>
    </w:p>
    <w:p w14:paraId="073BB02A" w14:textId="77777777" w:rsidR="0016116D" w:rsidRDefault="0016116D" w:rsidP="0016116D">
      <w:pPr>
        <w:pStyle w:val="NoSpacing"/>
        <w:rPr>
          <w:b/>
        </w:rPr>
      </w:pPr>
    </w:p>
    <w:p w14:paraId="17E1F541" w14:textId="77777777" w:rsidR="0016116D" w:rsidRDefault="0016116D" w:rsidP="0016116D">
      <w:pPr>
        <w:pStyle w:val="NoSpacing"/>
      </w:pPr>
      <w:r>
        <w:t xml:space="preserve">On June 24, 2026, in </w:t>
      </w:r>
      <w:r w:rsidRPr="005830A9">
        <w:rPr>
          <w:u w:val="single"/>
        </w:rPr>
        <w:t>Dennis Lee Giddings v. The State of Texas</w:t>
      </w:r>
      <w:r>
        <w:t xml:space="preserve">, the </w:t>
      </w:r>
      <w:r w:rsidRPr="005830A9">
        <w:t>Court of Appeals of Texas, Fourth District, San Antonio</w:t>
      </w:r>
      <w:r>
        <w:t xml:space="preserve"> held (3 to 0; unpublished) that jury properly convicted the defendant </w:t>
      </w:r>
      <w:r w:rsidRPr="00D8691B">
        <w:t xml:space="preserve">for driving while intoxicated, </w:t>
      </w:r>
      <w:r>
        <w:t xml:space="preserve">two prior felony convictions, </w:t>
      </w:r>
      <w:r w:rsidRPr="00774DA1">
        <w:t xml:space="preserve">and it assessed his punishment at 50 years' confinement. </w:t>
      </w:r>
      <w:r w:rsidRPr="00766685">
        <w:t xml:space="preserve">The trial court subsequently signed a judgment of conviction that was consistent with the jury's verdict. </w:t>
      </w:r>
      <w:r>
        <w:t>The defendant on appeal argued that the firefighter testified not only what was in his accident report, but also that the defendant was combative – Court rejected this defense. The Court wrote:  “</w:t>
      </w:r>
      <w:r w:rsidRPr="00E378D5">
        <w:t>But the record does not contain any evidence that the</w:t>
      </w:r>
      <w:r>
        <w:t xml:space="preserve"> State knew Gregory planned to testify about the distance between the two vehicles or that Giddings swatted his hand away when he </w:t>
      </w:r>
      <w:proofErr w:type="gramStart"/>
      <w:r>
        <w:t>offered assistance</w:t>
      </w:r>
      <w:proofErr w:type="gramEnd"/>
      <w:r>
        <w:t>. To the contrary, the State affirmatively represented below that it, like Giddings, was hearing those details “for the first time.” Under these circumstances, the trial court did not abuse its discretion by overruling Giddings’s Article 39.14 objection.”</w:t>
      </w:r>
      <w:hyperlink r:id="rId950" w:history="1">
        <w:r w:rsidRPr="00014504">
          <w:rPr>
            <w:rStyle w:val="Hyperlink"/>
          </w:rPr>
          <w:t>https://cases.justia.com/texas/fourth-court-of-appeals/2026-04-25-00487-cr.pdf?ts=1782304969</w:t>
        </w:r>
      </w:hyperlink>
      <w:r>
        <w:t xml:space="preserve"> </w:t>
      </w:r>
    </w:p>
    <w:p w14:paraId="528A88B7" w14:textId="77777777" w:rsidR="0016116D" w:rsidRDefault="0016116D" w:rsidP="0016116D">
      <w:pPr>
        <w:pStyle w:val="NoSpacing"/>
      </w:pPr>
    </w:p>
    <w:p w14:paraId="27ABC6F9" w14:textId="77777777" w:rsidR="0016116D" w:rsidRPr="00503492" w:rsidRDefault="0016116D" w:rsidP="0016116D">
      <w:pPr>
        <w:pStyle w:val="NoSpacing"/>
        <w:rPr>
          <w:b/>
          <w:bCs/>
        </w:rPr>
      </w:pPr>
      <w:r w:rsidRPr="00503492">
        <w:rPr>
          <w:b/>
        </w:rPr>
        <w:t xml:space="preserve">FACTS: </w:t>
      </w:r>
    </w:p>
    <w:p w14:paraId="03FD06EB" w14:textId="77777777" w:rsidR="0016116D" w:rsidRDefault="0016116D" w:rsidP="0016116D">
      <w:pPr>
        <w:pStyle w:val="NoSpacing"/>
      </w:pPr>
    </w:p>
    <w:p w14:paraId="1CFF0B4A" w14:textId="77777777" w:rsidR="0016116D" w:rsidRPr="007F2543" w:rsidRDefault="0016116D" w:rsidP="0016116D">
      <w:pPr>
        <w:pStyle w:val="NoSpacing"/>
      </w:pPr>
      <w:r>
        <w:t>“</w:t>
      </w:r>
      <w:r w:rsidRPr="007F2543">
        <w:t xml:space="preserve">On July 4, 2024, Giddings was involved in an automobile collision with a City of Boerne firetruck. Giddings maintained that the firetruck hit him, while the truck's driver testified that </w:t>
      </w:r>
    </w:p>
    <w:p w14:paraId="7F60C5E9" w14:textId="77777777" w:rsidR="0016116D" w:rsidRDefault="0016116D" w:rsidP="0016116D">
      <w:pPr>
        <w:pStyle w:val="NoSpacing"/>
      </w:pPr>
      <w:r w:rsidRPr="007F2543">
        <w:lastRenderedPageBreak/>
        <w:t xml:space="preserve">Giddings entered his lane and collided with the back of the truck. The police officers who responded to the collision believed Giddings was intoxicated, and they arrested him. A Kendall County grand jury indicted him for driving while intoxicated, third or more. </w:t>
      </w:r>
    </w:p>
    <w:p w14:paraId="3E95660B" w14:textId="77777777" w:rsidR="0016116D" w:rsidRDefault="0016116D" w:rsidP="0016116D">
      <w:pPr>
        <w:pStyle w:val="NoSpacing"/>
      </w:pPr>
    </w:p>
    <w:p w14:paraId="04788B24" w14:textId="77777777" w:rsidR="0016116D" w:rsidRDefault="0016116D" w:rsidP="0016116D">
      <w:pPr>
        <w:pStyle w:val="NoSpacing"/>
      </w:pPr>
      <w:r>
        <w:t>***</w:t>
      </w:r>
    </w:p>
    <w:p w14:paraId="1F7EA112" w14:textId="77777777" w:rsidR="0016116D" w:rsidRDefault="0016116D" w:rsidP="0016116D">
      <w:pPr>
        <w:pStyle w:val="NoSpacing"/>
      </w:pPr>
    </w:p>
    <w:p w14:paraId="57F603D5" w14:textId="77777777" w:rsidR="0016116D" w:rsidRPr="00F503BB" w:rsidRDefault="0016116D" w:rsidP="0016116D">
      <w:pPr>
        <w:pStyle w:val="NoSpacing"/>
      </w:pPr>
      <w:r w:rsidRPr="00F503BB">
        <w:t xml:space="preserve"> Gregory testified without objection that after the collision, he noticed that Giddings's vehicle came to rest </w:t>
      </w:r>
      <w:r>
        <w:t>‘</w:t>
      </w:r>
      <w:r w:rsidRPr="00F503BB">
        <w:t>a substantial distance,</w:t>
      </w:r>
      <w:r>
        <w:t>’</w:t>
      </w:r>
      <w:r w:rsidRPr="00F503BB">
        <w:t xml:space="preserve"> which he estimated to be 1,180 </w:t>
      </w:r>
      <w:proofErr w:type="gramStart"/>
      <w:r w:rsidRPr="00F503BB">
        <w:t>feet,</w:t>
      </w:r>
      <w:proofErr w:type="gramEnd"/>
      <w:r w:rsidRPr="00F503BB">
        <w:t xml:space="preserve"> away from the </w:t>
      </w:r>
    </w:p>
    <w:p w14:paraId="13FDE97C" w14:textId="77777777" w:rsidR="0016116D" w:rsidRDefault="0016116D" w:rsidP="0016116D">
      <w:pPr>
        <w:pStyle w:val="NoSpacing"/>
      </w:pPr>
      <w:r w:rsidRPr="00F503BB">
        <w:t xml:space="preserve">firetruck and the collision site. He explained that the distance between the two vehicles led him to </w:t>
      </w:r>
      <w:proofErr w:type="gramStart"/>
      <w:r w:rsidRPr="00F503BB">
        <w:t xml:space="preserve">believe </w:t>
      </w:r>
      <w:r>
        <w:t>‘</w:t>
      </w:r>
      <w:r w:rsidRPr="00F503BB">
        <w:t>[t]hat</w:t>
      </w:r>
      <w:proofErr w:type="gramEnd"/>
      <w:r w:rsidRPr="00F503BB">
        <w:t xml:space="preserve"> there was a high rate of speed involved from [Giddings's] vehicle to have slid that far or there was just complete lack of control of the vehicle.</w:t>
      </w:r>
      <w:r>
        <w:t>’</w:t>
      </w:r>
      <w:r w:rsidRPr="00F503BB">
        <w:t xml:space="preserve"> He further testified that as he was trying to assess Giddings's physical condition after the collision, Giddings swore at him, ignored his instructions to stay seated until further assistance arrived, and </w:t>
      </w:r>
      <w:r>
        <w:t>‘</w:t>
      </w:r>
      <w:r w:rsidRPr="00F503BB">
        <w:t>swatted [his hand] away</w:t>
      </w:r>
      <w:r>
        <w:t>’</w:t>
      </w:r>
      <w:r w:rsidRPr="00F503BB">
        <w:t xml:space="preserve"> when he tried to help Giddings out of his crashed vehicle. Gregory also testified that he noticed </w:t>
      </w:r>
      <w:r>
        <w:t>‘</w:t>
      </w:r>
      <w:r w:rsidRPr="00F503BB">
        <w:t>a strong smell of alcohol coming from the vehicle.</w:t>
      </w:r>
      <w:r>
        <w:t>’”</w:t>
      </w:r>
    </w:p>
    <w:p w14:paraId="0EF2EB21" w14:textId="77777777" w:rsidR="0016116D" w:rsidRDefault="0016116D" w:rsidP="0016116D">
      <w:pPr>
        <w:pStyle w:val="NoSpacing"/>
      </w:pPr>
    </w:p>
    <w:p w14:paraId="1833037E" w14:textId="77777777" w:rsidR="0016116D" w:rsidRDefault="0016116D" w:rsidP="0016116D">
      <w:pPr>
        <w:pStyle w:val="NoSpacing"/>
        <w:rPr>
          <w:b/>
          <w:bCs/>
        </w:rPr>
      </w:pPr>
      <w:r w:rsidRPr="00193B24">
        <w:rPr>
          <w:b/>
        </w:rPr>
        <w:t xml:space="preserve">COURT HELD: </w:t>
      </w:r>
    </w:p>
    <w:p w14:paraId="7819BC95" w14:textId="77777777" w:rsidR="0016116D" w:rsidRDefault="0016116D" w:rsidP="0016116D">
      <w:pPr>
        <w:pStyle w:val="NoSpacing"/>
        <w:rPr>
          <w:b/>
          <w:bCs/>
        </w:rPr>
      </w:pPr>
    </w:p>
    <w:p w14:paraId="0E6488BB" w14:textId="77777777" w:rsidR="0016116D" w:rsidRDefault="0016116D" w:rsidP="0016116D">
      <w:pPr>
        <w:pStyle w:val="NoSpacing"/>
      </w:pPr>
      <w:r>
        <w:t>“</w:t>
      </w:r>
      <w:r w:rsidRPr="00CF41C3">
        <w:t> In his first issue, Giddings argues the State violated its discovery obligations regarding testimony from Matthew Gregory, the firefighter and EMT who was driving the firetruck and who tried to assess Giddings at the scene. Giddings contends that the State had an obligation to disclose that Gregory's trial testimony would include details not recited in his written EMT report.</w:t>
      </w:r>
    </w:p>
    <w:p w14:paraId="41DE374A" w14:textId="77777777" w:rsidR="0016116D" w:rsidRDefault="0016116D" w:rsidP="0016116D">
      <w:pPr>
        <w:pStyle w:val="NoSpacing"/>
      </w:pPr>
    </w:p>
    <w:p w14:paraId="04FBE50F" w14:textId="77777777" w:rsidR="0016116D" w:rsidRDefault="0016116D" w:rsidP="0016116D">
      <w:pPr>
        <w:pStyle w:val="NoSpacing"/>
      </w:pPr>
      <w:r>
        <w:t>***</w:t>
      </w:r>
    </w:p>
    <w:p w14:paraId="4E8F1563" w14:textId="77777777" w:rsidR="0016116D" w:rsidRDefault="0016116D" w:rsidP="0016116D">
      <w:pPr>
        <w:pStyle w:val="NoSpacing"/>
      </w:pPr>
      <w:r w:rsidRPr="006C238E">
        <w:t>Here, Gregory's testimony about the post-collision distance between the firetruck and Giddings's vehicle was corroborated by Trooper Robert Pennington, who testified that he personally observed both vehicles' positions at the scene. Like Gregory, he explained why the distance stood out to him: The firetruck remained relatively close to the area of impact, which indicated to me a normal reaction. They experienced the impact and brought the vehicle to a stop. And the red sedan [Giddings's vehicle] was a significant distance away from [sic] further down continuing in the direction it was coming from the point of impact, which told me there was either a delayed response to the impact or a failed response to the impact, that the vehicle was not intended to stop.</w:t>
      </w:r>
      <w:r>
        <w:t>”</w:t>
      </w:r>
    </w:p>
    <w:p w14:paraId="623465DB" w14:textId="77777777" w:rsidR="0016116D" w:rsidRDefault="0016116D" w:rsidP="0016116D">
      <w:pPr>
        <w:pStyle w:val="NoSpacing"/>
      </w:pPr>
    </w:p>
    <w:p w14:paraId="0F347C2C" w14:textId="77777777" w:rsidR="0016116D" w:rsidRPr="004E652D" w:rsidRDefault="0016116D" w:rsidP="0016116D">
      <w:pPr>
        <w:pStyle w:val="NoSpacing"/>
        <w:rPr>
          <w:b/>
          <w:bCs/>
        </w:rPr>
      </w:pPr>
      <w:r>
        <w:rPr>
          <w:b/>
        </w:rPr>
        <w:t xml:space="preserve">Legal lesson learned: Firefighter properly testified about conduct of the drunk driver.  </w:t>
      </w:r>
      <w:proofErr w:type="gramStart"/>
      <w:r>
        <w:rPr>
          <w:b/>
        </w:rPr>
        <w:t>Also</w:t>
      </w:r>
      <w:proofErr w:type="gramEnd"/>
      <w:r>
        <w:rPr>
          <w:b/>
        </w:rPr>
        <w:t xml:space="preserve"> in Texas the jury imposes the sentence – in this case, 50 years – confirmed by trial court judge.  </w:t>
      </w:r>
    </w:p>
    <w:p w14:paraId="6B8C4FE4" w14:textId="77777777" w:rsidR="0016116D" w:rsidRDefault="0016116D" w:rsidP="0016116D">
      <w:pPr>
        <w:rPr>
          <w:sz w:val="20"/>
          <w:szCs w:val="20"/>
        </w:rPr>
      </w:pPr>
    </w:p>
    <w:p w14:paraId="00E1C89B" w14:textId="77777777" w:rsidR="0016116D" w:rsidRDefault="0016116D" w:rsidP="0016116D">
      <w:pPr>
        <w:rPr>
          <w:sz w:val="20"/>
          <w:szCs w:val="20"/>
        </w:rPr>
      </w:pPr>
    </w:p>
    <w:p w14:paraId="6E56E459" w14:textId="61784B7D" w:rsidR="00574CD1" w:rsidRDefault="00574CD1" w:rsidP="00574CD1">
      <w:pPr>
        <w:rPr>
          <w:rFonts w:ascii="Arial Black" w:hAnsi="Arial Black"/>
          <w:sz w:val="28"/>
          <w:szCs w:val="28"/>
        </w:rPr>
      </w:pPr>
      <w:r>
        <w:rPr>
          <w:rFonts w:ascii="Arial Black" w:hAnsi="Arial Black"/>
          <w:sz w:val="28"/>
          <w:szCs w:val="28"/>
        </w:rPr>
        <w:t>5-64</w:t>
      </w:r>
    </w:p>
    <w:p w14:paraId="6FA9AD31" w14:textId="25C88F00" w:rsidR="0016116D" w:rsidRPr="00BA4DF1" w:rsidRDefault="0016116D" w:rsidP="0016116D">
      <w:pPr>
        <w:rPr>
          <w:rFonts w:ascii="Arial Black" w:hAnsi="Arial Black"/>
          <w:b/>
          <w:sz w:val="28"/>
          <w:szCs w:val="28"/>
        </w:rPr>
      </w:pPr>
      <w:r>
        <w:rPr>
          <w:rFonts w:ascii="Arial Black" w:hAnsi="Arial Black"/>
          <w:b/>
          <w:sz w:val="28"/>
          <w:szCs w:val="28"/>
        </w:rPr>
        <w:t>OH: AMBUL RUNS OVER / KILLS REFUSING PT – CASE GO</w:t>
      </w:r>
    </w:p>
    <w:p w14:paraId="5B662BFB" w14:textId="77777777" w:rsidR="0016116D" w:rsidRPr="00AF1D9B" w:rsidRDefault="0016116D" w:rsidP="0016116D">
      <w:pPr>
        <w:rPr>
          <w:bCs/>
        </w:rPr>
      </w:pPr>
      <w:r>
        <w:t xml:space="preserve">On June 11, 2026, in </w:t>
      </w:r>
      <w:r w:rsidRPr="00AF1D9B">
        <w:rPr>
          <w:u w:val="single"/>
        </w:rPr>
        <w:t>Jessica Formoso v. City of Parma Heights, et al</w:t>
      </w:r>
      <w:r>
        <w:t xml:space="preserve">., the </w:t>
      </w:r>
      <w:r w:rsidRPr="00AF1D9B">
        <w:t>Court of Appeals of Ohio, Eighth District, Cuyahoga</w:t>
      </w:r>
      <w:r>
        <w:t xml:space="preserve"> held (3 to 0) the trial court properly denied the City’s motion to dismiss based on immunity.  The Court wrote: “We find that Formoso has sufficiently pled facts that, if true, could entitle her to relief regarding whether the Emergency Medical Personnel’s actions were negligent as well as whether they rise to the level of willful or wanton misconduct.” </w:t>
      </w:r>
      <w:hyperlink r:id="rId951" w:history="1">
        <w:r w:rsidRPr="00A41B9A">
          <w:rPr>
            <w:rStyle w:val="Hyperlink"/>
          </w:rPr>
          <w:t>https://www.supremecourt.ohio.gov/rod/docs/pdf/8/2026/2026-Ohio-2189.pdf</w:t>
        </w:r>
      </w:hyperlink>
      <w:r>
        <w:t xml:space="preserve"> </w:t>
      </w:r>
    </w:p>
    <w:p w14:paraId="79B22DB2" w14:textId="77777777" w:rsidR="0016116D" w:rsidRDefault="0016116D" w:rsidP="0016116D">
      <w:pPr>
        <w:rPr>
          <w:b/>
        </w:rPr>
      </w:pPr>
      <w:r>
        <w:rPr>
          <w:b/>
        </w:rPr>
        <w:t>FACTS:</w:t>
      </w:r>
    </w:p>
    <w:p w14:paraId="43900CFC" w14:textId="77777777" w:rsidR="0016116D" w:rsidRDefault="0016116D" w:rsidP="0016116D">
      <w:pPr>
        <w:pStyle w:val="NoSpacing"/>
      </w:pPr>
      <w:r>
        <w:t>“Formoso filed this action individually and as administrator of the estate of Gwen Laverne Guerrero, deceased … arising out of the death of her mother Gwen Laverne Guerrero (“Guerrero”). Formoso claimed that Guerrero died after she was run over by an ambulance</w:t>
      </w:r>
    </w:p>
    <w:p w14:paraId="084EFB30" w14:textId="77777777" w:rsidR="0016116D" w:rsidRDefault="0016116D" w:rsidP="0016116D">
      <w:pPr>
        <w:pStyle w:val="NoSpacing"/>
      </w:pPr>
      <w:r>
        <w:lastRenderedPageBreak/>
        <w:t xml:space="preserve">operated by the </w:t>
      </w:r>
      <w:proofErr w:type="gramStart"/>
      <w:r>
        <w:t>City</w:t>
      </w:r>
      <w:proofErr w:type="gramEnd"/>
      <w:r>
        <w:t>.</w:t>
      </w:r>
    </w:p>
    <w:p w14:paraId="59071988" w14:textId="77777777" w:rsidR="0016116D" w:rsidRDefault="0016116D" w:rsidP="0016116D">
      <w:pPr>
        <w:pStyle w:val="NoSpacing"/>
      </w:pPr>
    </w:p>
    <w:p w14:paraId="006B5FFC" w14:textId="77777777" w:rsidR="0016116D" w:rsidRDefault="0016116D" w:rsidP="0016116D">
      <w:pPr>
        <w:pStyle w:val="NoSpacing"/>
      </w:pPr>
      <w:r>
        <w:t>***</w:t>
      </w:r>
    </w:p>
    <w:p w14:paraId="324DF767" w14:textId="77777777" w:rsidR="0016116D" w:rsidRDefault="0016116D" w:rsidP="0016116D">
      <w:pPr>
        <w:pStyle w:val="NoSpacing"/>
      </w:pPr>
      <w:r>
        <w:t>On June 17, 2023, Parma Heights Police responded to a request for a welfare check of</w:t>
      </w:r>
    </w:p>
    <w:p w14:paraId="7418EE60" w14:textId="77777777" w:rsidR="0016116D" w:rsidRDefault="0016116D" w:rsidP="0016116D">
      <w:pPr>
        <w:pStyle w:val="NoSpacing"/>
      </w:pPr>
      <w:r>
        <w:t xml:space="preserve">Guerrero by a resident of her apartment complex over concerns of a possible head injury. Parma Heights police officers </w:t>
      </w:r>
      <w:proofErr w:type="spellStart"/>
      <w:r>
        <w:t>Percun</w:t>
      </w:r>
      <w:proofErr w:type="spellEnd"/>
      <w:r>
        <w:t xml:space="preserve"> and Smith (collectively, the “Officers”) responded to Guerrero’s apartment, ultimately kicked down her door to gain entry, and observed her lying on her bed with a large bruise on her face. Based on Guerrero’s behavior, the Officers contacted the Fire Department to request that ‘medical personnel provide care’ to Guerrero. When they arrived on scene, Hanzel and Lane … advised the Officers that they were familiar with Guerrero and had responded to her apartment in the past. They also told the Officers that ‘it was extremely difficult to establish a baseline with her because her behavior is always different.’</w:t>
      </w:r>
    </w:p>
    <w:p w14:paraId="7B7DDAE9" w14:textId="77777777" w:rsidR="0016116D" w:rsidRDefault="0016116D" w:rsidP="0016116D">
      <w:pPr>
        <w:pStyle w:val="NoSpacing"/>
      </w:pPr>
    </w:p>
    <w:p w14:paraId="264412CF" w14:textId="77777777" w:rsidR="0016116D" w:rsidRDefault="0016116D" w:rsidP="0016116D">
      <w:pPr>
        <w:pStyle w:val="NoSpacing"/>
      </w:pPr>
      <w:r>
        <w:t xml:space="preserve">The Emergency Medical Personnel examined and questioned Guerrero. They found her unstable on her feet, confused, evasive, and irritated. Hanzel ‘had to catch [Guerrero] as [she] was falling’ and noted that ‘she has a history of falls.’ The Emergency Medical Personnel advised Guerrero to go to the hospital with </w:t>
      </w:r>
      <w:proofErr w:type="gramStart"/>
      <w:r>
        <w:t>them, ‘</w:t>
      </w:r>
      <w:proofErr w:type="gramEnd"/>
      <w:r>
        <w:t>as they were concerned with her status and head injury.’ Guerrero refused.</w:t>
      </w:r>
    </w:p>
    <w:p w14:paraId="1C9253E9" w14:textId="77777777" w:rsidR="0016116D" w:rsidRDefault="0016116D" w:rsidP="0016116D">
      <w:pPr>
        <w:pStyle w:val="NoSpacing"/>
      </w:pPr>
    </w:p>
    <w:p w14:paraId="34A9DAC7" w14:textId="77777777" w:rsidR="0016116D" w:rsidRDefault="0016116D" w:rsidP="0016116D">
      <w:pPr>
        <w:pStyle w:val="NoSpacing"/>
      </w:pPr>
      <w:r>
        <w:t>After Guerrero refused treatment, both the Officers and the Emergency Medical Personnel left her residence and provided no additional care. The Emergency Medical Personnel indicated that when they left, Guerrero was outside the door to her apartment, complaining about her door being broken and fixing her rug.</w:t>
      </w:r>
    </w:p>
    <w:p w14:paraId="733AC28E" w14:textId="77777777" w:rsidR="0016116D" w:rsidRDefault="0016116D" w:rsidP="0016116D">
      <w:pPr>
        <w:pStyle w:val="NoSpacing"/>
      </w:pPr>
    </w:p>
    <w:p w14:paraId="3046BF9E" w14:textId="77777777" w:rsidR="0016116D" w:rsidRDefault="0016116D" w:rsidP="0016116D">
      <w:pPr>
        <w:pStyle w:val="NoSpacing"/>
      </w:pPr>
      <w:r>
        <w:t>While the Emergency Medical Personnel were still on the property of the apartment complex, but preparing to leave, Guerrero came out of the front entrance of her apartment and went to speak with the Emergency Medical Personnel. Despite Guerrero attempting to get the attention of the Emergency Medical Personnel by ‘pounding on the side of the ambulance,’ the ambulance,</w:t>
      </w:r>
    </w:p>
    <w:p w14:paraId="2531D7F5" w14:textId="77777777" w:rsidR="0016116D" w:rsidRDefault="0016116D" w:rsidP="0016116D">
      <w:pPr>
        <w:pStyle w:val="NoSpacing"/>
      </w:pPr>
      <w:r>
        <w:t>driven by Hanzel, ‘rapidly drove off . . . causing Guerrero to fall” and be run over by the ambulance, instantly killing her.”</w:t>
      </w:r>
    </w:p>
    <w:p w14:paraId="04369764" w14:textId="77777777" w:rsidR="0016116D" w:rsidRDefault="0016116D" w:rsidP="0016116D">
      <w:pPr>
        <w:pStyle w:val="NoSpacing"/>
      </w:pPr>
    </w:p>
    <w:p w14:paraId="3D5A9272" w14:textId="77777777" w:rsidR="0016116D" w:rsidRDefault="0016116D" w:rsidP="0016116D">
      <w:pPr>
        <w:pStyle w:val="NoSpacing"/>
      </w:pPr>
    </w:p>
    <w:p w14:paraId="56B10551" w14:textId="77777777" w:rsidR="0016116D" w:rsidRPr="00166644" w:rsidRDefault="0016116D" w:rsidP="0016116D">
      <w:pPr>
        <w:pStyle w:val="NoSpacing"/>
        <w:rPr>
          <w:b/>
          <w:bCs/>
        </w:rPr>
      </w:pPr>
      <w:r w:rsidRPr="00166644">
        <w:rPr>
          <w:b/>
        </w:rPr>
        <w:t>COURT HELD:</w:t>
      </w:r>
    </w:p>
    <w:p w14:paraId="6025CF76" w14:textId="77777777" w:rsidR="0016116D" w:rsidRDefault="0016116D" w:rsidP="0016116D">
      <w:pPr>
        <w:pStyle w:val="NoSpacing"/>
      </w:pPr>
    </w:p>
    <w:p w14:paraId="2594D64F" w14:textId="77777777" w:rsidR="0016116D" w:rsidRDefault="0016116D" w:rsidP="0016116D">
      <w:pPr>
        <w:pStyle w:val="NoSpacing"/>
      </w:pPr>
      <w:r>
        <w:t>“We find that Formoso has sufficiently pled facts that, if true, could entitle her to relief regarding whether the Emergency Medical Personnel’s actions were negligent as well as whether they rise to the level of willful or wanton misconduct. Specifically, Formoso alleged that Guerrero was ‘pounding on the side of the ambulance” when the Emergency Medical Personnel, who had previously observed her to be confused and unstable, caused her to fall and then ran her over</w:t>
      </w:r>
    </w:p>
    <w:p w14:paraId="59EE5284" w14:textId="77777777" w:rsidR="0016116D" w:rsidRDefault="0016116D" w:rsidP="0016116D">
      <w:pPr>
        <w:pStyle w:val="NoSpacing"/>
      </w:pPr>
      <w:r>
        <w:t>while rapidly driving away. We, therefore, overrule the appellants’ assignment of error with respect to the City’s liability for damages relating to the ambulance running over Guerrero.”</w:t>
      </w:r>
    </w:p>
    <w:p w14:paraId="26E0662D" w14:textId="77777777" w:rsidR="0016116D" w:rsidRDefault="0016116D" w:rsidP="0016116D">
      <w:pPr>
        <w:pStyle w:val="NoSpacing"/>
      </w:pPr>
    </w:p>
    <w:p w14:paraId="09BC861F" w14:textId="77777777" w:rsidR="0016116D" w:rsidRPr="00F93752" w:rsidRDefault="0016116D" w:rsidP="0016116D">
      <w:pPr>
        <w:pStyle w:val="NoSpacing"/>
        <w:rPr>
          <w:b/>
          <w:bCs/>
        </w:rPr>
      </w:pPr>
      <w:r w:rsidRPr="00F93752">
        <w:rPr>
          <w:b/>
        </w:rPr>
        <w:t xml:space="preserve">Legal lesson learned: </w:t>
      </w:r>
      <w:r>
        <w:rPr>
          <w:b/>
        </w:rPr>
        <w:t xml:space="preserve">Tragic set of facts; City should consider a for settlement. </w:t>
      </w:r>
    </w:p>
    <w:p w14:paraId="20720877" w14:textId="77777777" w:rsidR="0016116D" w:rsidRPr="00F93752" w:rsidRDefault="0016116D" w:rsidP="0016116D">
      <w:pPr>
        <w:pStyle w:val="NoSpacing"/>
        <w:rPr>
          <w:b/>
          <w:bCs/>
        </w:rPr>
      </w:pPr>
    </w:p>
    <w:p w14:paraId="5EEEE3BA" w14:textId="77777777" w:rsidR="0016116D" w:rsidRDefault="0016116D" w:rsidP="00CA01BF">
      <w:pPr>
        <w:rPr>
          <w:rFonts w:ascii="Arial Black" w:hAnsi="Arial Black"/>
          <w:sz w:val="28"/>
          <w:szCs w:val="28"/>
        </w:rPr>
      </w:pPr>
    </w:p>
    <w:p w14:paraId="4B0BC0B8" w14:textId="77777777" w:rsidR="0016116D" w:rsidRDefault="0016116D" w:rsidP="00CA01BF">
      <w:pPr>
        <w:rPr>
          <w:rFonts w:ascii="Arial Black" w:hAnsi="Arial Black"/>
          <w:sz w:val="28"/>
          <w:szCs w:val="28"/>
        </w:rPr>
      </w:pPr>
    </w:p>
    <w:p w14:paraId="50CCB346" w14:textId="77777777" w:rsidR="0016116D" w:rsidRDefault="0016116D" w:rsidP="00CA01BF">
      <w:pPr>
        <w:rPr>
          <w:rFonts w:ascii="Arial Black" w:hAnsi="Arial Black"/>
          <w:sz w:val="28"/>
          <w:szCs w:val="28"/>
        </w:rPr>
      </w:pPr>
    </w:p>
    <w:p w14:paraId="35768A98" w14:textId="1CED25B8" w:rsidR="00CA01BF" w:rsidRDefault="00CA01BF" w:rsidP="00CA01BF">
      <w:pPr>
        <w:rPr>
          <w:rFonts w:ascii="Arial Black" w:hAnsi="Arial Black"/>
          <w:sz w:val="28"/>
          <w:szCs w:val="28"/>
        </w:rPr>
      </w:pPr>
      <w:r>
        <w:rPr>
          <w:rFonts w:ascii="Arial Black" w:hAnsi="Arial Black"/>
          <w:sz w:val="28"/>
          <w:szCs w:val="28"/>
        </w:rPr>
        <w:t>5-63</w:t>
      </w:r>
    </w:p>
    <w:p w14:paraId="20AD16C5" w14:textId="45FA7C12" w:rsidR="00CA01BF" w:rsidRPr="00BA5B26" w:rsidRDefault="00CA01BF" w:rsidP="00CA01BF">
      <w:pPr>
        <w:rPr>
          <w:rFonts w:ascii="Arial Black" w:hAnsi="Arial Black"/>
          <w:sz w:val="28"/>
          <w:szCs w:val="28"/>
        </w:rPr>
      </w:pPr>
      <w:r>
        <w:rPr>
          <w:rFonts w:ascii="Arial Black" w:hAnsi="Arial Black"/>
          <w:sz w:val="28"/>
          <w:szCs w:val="28"/>
        </w:rPr>
        <w:t xml:space="preserve">TX: AERIAL – GROCERIES / BACKED CAR – FD “ON DUTY” </w:t>
      </w:r>
    </w:p>
    <w:p w14:paraId="2B4F3BB0" w14:textId="77777777" w:rsidR="00CA01BF" w:rsidRDefault="00CA01BF" w:rsidP="00CA01BF">
      <w:pPr>
        <w:pStyle w:val="NoSpacing"/>
        <w:rPr>
          <w:bCs/>
        </w:rPr>
      </w:pPr>
      <w:r>
        <w:lastRenderedPageBreak/>
        <w:t xml:space="preserve">On March 24, 2026, in </w:t>
      </w:r>
      <w:r w:rsidRPr="00C970B8">
        <w:rPr>
          <w:u w:val="single"/>
        </w:rPr>
        <w:t>The City of Houston v. Hollis F. Holmes</w:t>
      </w:r>
      <w:r>
        <w:t xml:space="preserve">, the </w:t>
      </w:r>
      <w:r w:rsidRPr="00C970B8">
        <w:t>Court of Appeals of Texas, First District</w:t>
      </w:r>
      <w:r>
        <w:t xml:space="preserve"> held (3 to 0) that trial court properly held that the four firefighters were on duty when picking up groceries for their shift, and therefore the City can be sued for damage to plaintiff’s car when they backed into her.  </w:t>
      </w:r>
      <w:hyperlink r:id="rId952" w:history="1">
        <w:r w:rsidRPr="00682DA7">
          <w:rPr>
            <w:rStyle w:val="Hyperlink"/>
          </w:rPr>
          <w:t>https://cases.justia.com/texas/first-court-of-appeals/2026-01-25-00359-cv.pdf?ts=1774367002</w:t>
        </w:r>
      </w:hyperlink>
      <w:r>
        <w:t xml:space="preserve"> </w:t>
      </w:r>
    </w:p>
    <w:p w14:paraId="19B1AAA7" w14:textId="77777777" w:rsidR="00CA01BF" w:rsidRDefault="00CA01BF" w:rsidP="00CA01BF">
      <w:pPr>
        <w:pStyle w:val="NoSpacing"/>
        <w:rPr>
          <w:bCs/>
        </w:rPr>
      </w:pPr>
    </w:p>
    <w:p w14:paraId="4FEC88BB" w14:textId="77777777" w:rsidR="00CA01BF" w:rsidRDefault="00CA01BF" w:rsidP="00CA01BF">
      <w:pPr>
        <w:pStyle w:val="NoSpacing"/>
        <w:rPr>
          <w:bCs/>
        </w:rPr>
      </w:pPr>
      <w:r>
        <w:t xml:space="preserve">THE COURT HELD: </w:t>
      </w:r>
    </w:p>
    <w:p w14:paraId="40465363" w14:textId="77777777" w:rsidR="00CA01BF" w:rsidRDefault="00CA01BF" w:rsidP="00CA01BF">
      <w:pPr>
        <w:pStyle w:val="NoSpacing"/>
        <w:rPr>
          <w:bCs/>
        </w:rPr>
      </w:pPr>
    </w:p>
    <w:p w14:paraId="64F9D48E" w14:textId="77777777" w:rsidR="00CA01BF" w:rsidRDefault="00CA01BF" w:rsidP="00CA01BF">
      <w:pPr>
        <w:pStyle w:val="NoSpacing"/>
        <w:ind w:left="720"/>
      </w:pPr>
      <w:r>
        <w:t>“</w:t>
      </w:r>
      <w:r w:rsidRPr="00377F72">
        <w:t>On September 11, 2022, at approximately 11 a.m., Houston firefighter Eugene Schifani drove a Houston Fire Department (</w:t>
      </w:r>
      <w:r>
        <w:t>‘</w:t>
      </w:r>
      <w:r w:rsidRPr="00377F72">
        <w:t>HFD</w:t>
      </w:r>
      <w:r>
        <w:t>’</w:t>
      </w:r>
      <w:r w:rsidRPr="00377F72">
        <w:t xml:space="preserve">) ladder truck to an H-E-B grocery store in Houston, Texas with three other firefighters on board. </w:t>
      </w:r>
      <w:proofErr w:type="spellStart"/>
      <w:r w:rsidRPr="00377F72">
        <w:t>Schifani</w:t>
      </w:r>
      <w:proofErr w:type="spellEnd"/>
      <w:r w:rsidRPr="00377F72">
        <w:t xml:space="preserve"> and firefighter Troy Dornak waited in the fire truck with its engine running while the two other firefighters went inside the grocery store to purchase groceries for the fire station's crew to eat during their twenty-four-hour shift. According to Schifani, the fire truck's engine remained running during the forty-five minutes the two firefighters were in the store </w:t>
      </w:r>
      <w:r>
        <w:t>‘</w:t>
      </w:r>
      <w:r w:rsidRPr="00377F72">
        <w:t>just in case we got an emergency call for a ladder truck while on our grocery run.</w:t>
      </w:r>
      <w:r>
        <w:t>’</w:t>
      </w:r>
    </w:p>
    <w:p w14:paraId="5F5C3263" w14:textId="77777777" w:rsidR="00CA01BF" w:rsidRDefault="00CA01BF" w:rsidP="00CA01BF">
      <w:pPr>
        <w:pStyle w:val="NoSpacing"/>
        <w:ind w:left="720"/>
      </w:pPr>
    </w:p>
    <w:p w14:paraId="6F05E1E5" w14:textId="77777777" w:rsidR="00CA01BF" w:rsidRDefault="00CA01BF" w:rsidP="00CA01BF">
      <w:pPr>
        <w:pStyle w:val="NoSpacing"/>
        <w:ind w:left="720"/>
      </w:pPr>
      <w:r>
        <w:t>***</w:t>
      </w:r>
    </w:p>
    <w:p w14:paraId="4FB7F78A" w14:textId="77777777" w:rsidR="00CA01BF" w:rsidRDefault="00CA01BF" w:rsidP="00CA01BF">
      <w:pPr>
        <w:pStyle w:val="NoSpacing"/>
        <w:ind w:left="720"/>
      </w:pPr>
      <w:r w:rsidRPr="003D28DE">
        <w:t xml:space="preserve">The groceries were purchased </w:t>
      </w:r>
      <w:r>
        <w:t>‘</w:t>
      </w:r>
      <w:r w:rsidRPr="003D28DE">
        <w:t xml:space="preserve">to be prepared at the station for lunch, dinner and breakfast the next day. We have twelve firefighters at Station 62 for the shift. Each firefighter chips in $25.00, so we [have] $300.00 to buy groceries for three </w:t>
      </w:r>
      <w:proofErr w:type="gramStart"/>
      <w:r w:rsidRPr="003D28DE">
        <w:t>really substantial</w:t>
      </w:r>
      <w:proofErr w:type="gramEnd"/>
      <w:r w:rsidRPr="003D28DE">
        <w:t xml:space="preserve"> meals.</w:t>
      </w:r>
      <w:r>
        <w:t>’</w:t>
      </w:r>
    </w:p>
    <w:p w14:paraId="5FA051F5" w14:textId="77777777" w:rsidR="00CA01BF" w:rsidRDefault="00CA01BF" w:rsidP="00CA01BF">
      <w:pPr>
        <w:pStyle w:val="NoSpacing"/>
        <w:ind w:left="720"/>
      </w:pPr>
    </w:p>
    <w:p w14:paraId="24750244" w14:textId="77777777" w:rsidR="00CA01BF" w:rsidRDefault="00CA01BF" w:rsidP="00CA01BF">
      <w:pPr>
        <w:pStyle w:val="NoSpacing"/>
        <w:ind w:left="720"/>
      </w:pPr>
      <w:r>
        <w:t>***</w:t>
      </w:r>
    </w:p>
    <w:p w14:paraId="37E4B183" w14:textId="77777777" w:rsidR="00CA01BF" w:rsidRDefault="00CA01BF" w:rsidP="00CA01BF">
      <w:pPr>
        <w:pStyle w:val="NoSpacing"/>
        <w:ind w:left="720"/>
      </w:pPr>
      <w:r>
        <w:t xml:space="preserve">The </w:t>
      </w:r>
      <w:proofErr w:type="gramStart"/>
      <w:r>
        <w:t>City</w:t>
      </w:r>
      <w:proofErr w:type="gramEnd"/>
      <w:r>
        <w:t xml:space="preserve"> pled in its answer, among other things, that governmental immunity barred Holmes’ claims…. In its summary judgment reply, the </w:t>
      </w:r>
      <w:proofErr w:type="gramStart"/>
      <w:r>
        <w:t>City</w:t>
      </w:r>
      <w:proofErr w:type="gramEnd"/>
      <w:r>
        <w:t xml:space="preserve"> argued </w:t>
      </w:r>
      <w:proofErr w:type="gramStart"/>
      <w:r>
        <w:t>that ‘[</w:t>
      </w:r>
      <w:proofErr w:type="gramEnd"/>
      <w:r>
        <w:t xml:space="preserve">c]o-workers tasked by other co-workers to buy groceries during the shift and every shift does not make the errand in the scope of employment;’ going to purchase groceries in </w:t>
      </w:r>
      <w:proofErr w:type="gramStart"/>
      <w:r>
        <w:t>a</w:t>
      </w:r>
      <w:proofErr w:type="gramEnd"/>
      <w:r>
        <w:t xml:space="preserve"> HFD</w:t>
      </w:r>
    </w:p>
    <w:p w14:paraId="5B7ABB04" w14:textId="77777777" w:rsidR="00CA01BF" w:rsidRDefault="00CA01BF" w:rsidP="00CA01BF">
      <w:pPr>
        <w:pStyle w:val="NoSpacing"/>
        <w:ind w:left="720"/>
      </w:pPr>
      <w:r>
        <w:t>ladder truck does not turn the errand into a ‘scope of employment endeavor;’ the</w:t>
      </w:r>
    </w:p>
    <w:p w14:paraId="0E656CC9" w14:textId="77777777" w:rsidR="00CA01BF" w:rsidRDefault="00CA01BF" w:rsidP="00CA01BF">
      <w:pPr>
        <w:pStyle w:val="NoSpacing"/>
        <w:ind w:left="720"/>
      </w:pPr>
      <w:r>
        <w:t>City does not derive benefit from the grocery run; and the grocery run was not in</w:t>
      </w:r>
    </w:p>
    <w:p w14:paraId="640B16CF" w14:textId="77777777" w:rsidR="00CA01BF" w:rsidRDefault="00CA01BF" w:rsidP="00CA01BF">
      <w:pPr>
        <w:pStyle w:val="NoSpacing"/>
        <w:ind w:left="720"/>
      </w:pPr>
      <w:r>
        <w:t>furtherance of the City’s business.</w:t>
      </w:r>
    </w:p>
    <w:p w14:paraId="18770175" w14:textId="77777777" w:rsidR="00CA01BF" w:rsidRDefault="00CA01BF" w:rsidP="00CA01BF">
      <w:pPr>
        <w:pStyle w:val="NoSpacing"/>
        <w:ind w:left="720"/>
      </w:pPr>
    </w:p>
    <w:p w14:paraId="287F9B74" w14:textId="77777777" w:rsidR="00CA01BF" w:rsidRDefault="00CA01BF" w:rsidP="00CA01BF">
      <w:pPr>
        <w:pStyle w:val="NoSpacing"/>
        <w:ind w:left="720"/>
      </w:pPr>
      <w:r>
        <w:t>***</w:t>
      </w:r>
    </w:p>
    <w:p w14:paraId="427B8296" w14:textId="77777777" w:rsidR="00CA01BF" w:rsidRDefault="00CA01BF" w:rsidP="00CA01BF">
      <w:pPr>
        <w:pStyle w:val="NoSpacing"/>
        <w:ind w:left="720"/>
      </w:pPr>
      <w:r>
        <w:t xml:space="preserve">The grocery trip was not made to purchase </w:t>
      </w:r>
      <w:proofErr w:type="spellStart"/>
      <w:r>
        <w:t>Schifani’s</w:t>
      </w:r>
      <w:proofErr w:type="spellEnd"/>
      <w:r>
        <w:t xml:space="preserve"> own personal groceries, or even just for those four firefighters with him at the store, but for the entire on-duty crew. Given that he was required to remain ready and able to cover any emergency that arose during the grocery run, there is at least a fact question as to whether he was acting in the course and scope of his employment when the fire truck struck Holmes’ car…. We affirm the trial court’s denial of the City of Houston’s motion for summary judgment.”</w:t>
      </w:r>
    </w:p>
    <w:p w14:paraId="174D9F58" w14:textId="77777777" w:rsidR="00CA01BF" w:rsidRDefault="00CA01BF" w:rsidP="00CA01BF">
      <w:pPr>
        <w:pStyle w:val="NoSpacing"/>
        <w:ind w:left="720"/>
      </w:pPr>
    </w:p>
    <w:p w14:paraId="17E6A732" w14:textId="77777777" w:rsidR="00CA01BF" w:rsidRPr="006F3C84" w:rsidRDefault="00CA01BF" w:rsidP="00CA01BF">
      <w:pPr>
        <w:rPr>
          <w:b/>
          <w:bCs/>
        </w:rPr>
      </w:pPr>
      <w:r>
        <w:rPr>
          <w:b/>
        </w:rPr>
        <w:t xml:space="preserve">Legal lesson learned: Grocery runs are part of the “course and scope of duties” of the engineer who back the aerial into her vehicle; the City’s motion for summary judgement was properly denied. </w:t>
      </w:r>
    </w:p>
    <w:p w14:paraId="06A8F3CC" w14:textId="77777777" w:rsidR="00CA01BF" w:rsidRPr="008C12EA" w:rsidRDefault="00CA01BF" w:rsidP="00CA01BF">
      <w:pPr>
        <w:pStyle w:val="NoSpacing"/>
      </w:pPr>
    </w:p>
    <w:p w14:paraId="7906B0AC" w14:textId="77777777" w:rsidR="00CA01BF" w:rsidRDefault="00CA01BF" w:rsidP="000C62A1">
      <w:pPr>
        <w:pStyle w:val="NoSpacing"/>
        <w:rPr>
          <w:rFonts w:ascii="Arial Black" w:hAnsi="Arial Black"/>
          <w:sz w:val="28"/>
          <w:szCs w:val="28"/>
        </w:rPr>
      </w:pPr>
    </w:p>
    <w:p w14:paraId="7E10E3DB" w14:textId="77777777" w:rsidR="00CA01BF" w:rsidRDefault="00CA01BF" w:rsidP="000C62A1">
      <w:pPr>
        <w:pStyle w:val="NoSpacing"/>
        <w:rPr>
          <w:rFonts w:ascii="Arial Black" w:hAnsi="Arial Black"/>
          <w:sz w:val="28"/>
          <w:szCs w:val="28"/>
        </w:rPr>
      </w:pPr>
    </w:p>
    <w:p w14:paraId="1743D773" w14:textId="77777777" w:rsidR="00CA01BF" w:rsidRDefault="00CA01BF" w:rsidP="000C62A1">
      <w:pPr>
        <w:pStyle w:val="NoSpacing"/>
        <w:rPr>
          <w:rFonts w:ascii="Arial Black" w:hAnsi="Arial Black"/>
          <w:sz w:val="28"/>
          <w:szCs w:val="28"/>
        </w:rPr>
      </w:pPr>
    </w:p>
    <w:p w14:paraId="75FE50BD" w14:textId="690245FD" w:rsidR="00B63DAD" w:rsidRDefault="00B63DAD" w:rsidP="000C62A1">
      <w:pPr>
        <w:pStyle w:val="NoSpacing"/>
        <w:rPr>
          <w:rFonts w:ascii="Arial Black" w:hAnsi="Arial Black"/>
          <w:sz w:val="28"/>
          <w:szCs w:val="28"/>
        </w:rPr>
      </w:pPr>
      <w:r>
        <w:rPr>
          <w:rFonts w:ascii="Arial Black" w:hAnsi="Arial Black"/>
          <w:sz w:val="28"/>
          <w:szCs w:val="28"/>
        </w:rPr>
        <w:t>5-62</w:t>
      </w:r>
    </w:p>
    <w:p w14:paraId="3CDAD1B5" w14:textId="77777777" w:rsidR="00B63DAD" w:rsidRDefault="00B63DAD" w:rsidP="000C62A1">
      <w:pPr>
        <w:pStyle w:val="NoSpacing"/>
        <w:rPr>
          <w:rFonts w:ascii="Arial Black" w:hAnsi="Arial Black"/>
          <w:sz w:val="28"/>
          <w:szCs w:val="28"/>
        </w:rPr>
      </w:pPr>
    </w:p>
    <w:p w14:paraId="402F8CA4" w14:textId="77777777" w:rsidR="00C24BBC" w:rsidRDefault="00C24BBC" w:rsidP="00C24BBC">
      <w:pPr>
        <w:pStyle w:val="NoSpacing"/>
        <w:rPr>
          <w:rFonts w:ascii="Arial Black" w:hAnsi="Arial Black"/>
          <w:sz w:val="28"/>
          <w:szCs w:val="28"/>
        </w:rPr>
      </w:pPr>
      <w:r>
        <w:rPr>
          <w:rFonts w:ascii="Arial Black" w:hAnsi="Arial Black"/>
          <w:sz w:val="28"/>
          <w:szCs w:val="28"/>
        </w:rPr>
        <w:t xml:space="preserve">NY: MEDIC REPORTED EMT SPEEDING – NEXT DAY RADAR </w:t>
      </w:r>
    </w:p>
    <w:p w14:paraId="7B3333FC" w14:textId="77777777" w:rsidR="00C24BBC" w:rsidRDefault="00C24BBC" w:rsidP="00C24BBC">
      <w:pPr>
        <w:pStyle w:val="NoSpacing"/>
        <w:rPr>
          <w:rFonts w:ascii="Arial Black" w:hAnsi="Arial Black"/>
          <w:sz w:val="28"/>
          <w:szCs w:val="28"/>
        </w:rPr>
      </w:pPr>
    </w:p>
    <w:p w14:paraId="765E4487" w14:textId="77777777" w:rsidR="00C24BBC" w:rsidRDefault="00C24BBC" w:rsidP="00C24BBC">
      <w:pPr>
        <w:pStyle w:val="NoSpacing"/>
      </w:pPr>
      <w:r>
        <w:t xml:space="preserve">On February 26, 2026, in </w:t>
      </w:r>
      <w:r w:rsidRPr="00E713AD">
        <w:rPr>
          <w:u w:val="single"/>
        </w:rPr>
        <w:t>Robert Kuiken v. County of Hamilton, Michael Tracy, et al</w:t>
      </w:r>
      <w:r>
        <w:t xml:space="preserve">., U.S. District Court Judge </w:t>
      </w:r>
      <w:r w:rsidRPr="009F0088">
        <w:t>Anthony Brindisi</w:t>
      </w:r>
      <w:r>
        <w:t xml:space="preserve">, United States District Court for Northern District of New York, granted the defense motion for summary judgment. The 82-year-old volunteer EMT was observed speeding and crossing center line in his personal vehicle (with a </w:t>
      </w:r>
      <w:r>
        <w:lastRenderedPageBreak/>
        <w:t xml:space="preserve">green “courtesy” light). by a Paramedic (“critical care technician”) responding from another department.  The Medic reported this to volunteer’s </w:t>
      </w:r>
      <w:proofErr w:type="gramStart"/>
      <w:r>
        <w:t>department, and</w:t>
      </w:r>
      <w:proofErr w:type="gramEnd"/>
      <w:r>
        <w:t xml:space="preserve"> made a complaint to a Deputy Sheriff.  The next day, the Deputy was running radar and recorded the EMT speeding in his private vehicle on another run and issued a citation. Court rejected plaintiff’s claim of “selective prosecution” – claiming the critical care technician falsely accused the volunteer of driving recklessly, and that the Deputy “selectively enforced vehicle and traffic laws against plaintiff the next day by charging him with traffic offenses based on false accusations.” </w:t>
      </w:r>
    </w:p>
    <w:p w14:paraId="1977E429" w14:textId="77777777" w:rsidR="00C24BBC" w:rsidRPr="00671B60" w:rsidRDefault="00C24BBC" w:rsidP="00C24BBC">
      <w:pPr>
        <w:pStyle w:val="NoSpacing"/>
      </w:pPr>
      <w:hyperlink r:id="rId953" w:history="1">
        <w:r w:rsidRPr="00671B60">
          <w:rPr>
            <w:rStyle w:val="Hyperlink"/>
          </w:rPr>
          <w:t>https://cases.justia.com/federal/district-courts/new-york/nyndce/6:2022cv01157/135604/81/0.pdf?ts=1772211450</w:t>
        </w:r>
      </w:hyperlink>
      <w:r w:rsidRPr="00671B60">
        <w:t xml:space="preserve"> </w:t>
      </w:r>
    </w:p>
    <w:p w14:paraId="2778A8C7" w14:textId="77777777" w:rsidR="00C24BBC" w:rsidRPr="00671B60" w:rsidRDefault="00C24BBC" w:rsidP="00C24BBC">
      <w:pPr>
        <w:pStyle w:val="NoSpacing"/>
      </w:pPr>
    </w:p>
    <w:p w14:paraId="5AEF9064" w14:textId="77777777" w:rsidR="00C24BBC" w:rsidRDefault="00C24BBC" w:rsidP="00C24BBC">
      <w:pPr>
        <w:pStyle w:val="NoSpacing"/>
      </w:pPr>
      <w:r>
        <w:t>The COURT HELD:  “On July 17, 2021, Tracy [</w:t>
      </w:r>
      <w:r w:rsidRPr="0077409C">
        <w:t>Michael Tracy</w:t>
      </w:r>
      <w:r>
        <w:t>; critical care technician and supervisor with the Greater  Amsterdam Volunteer Ambulance Corps] filed a complaint with Deputy O’Brien regarding plaintiff’s allegedly unsafe driving earlier that day…. Though Tracy indicated that he wanted to pursue a criminal complaint against plaintiff … the Deputy defendants informed Tracy that the Sheriff’s Office could not file charges based on Tracy’s allegations. The next day, Deputy Loomis ticketed plaintiff for speeding and for failing to comply with a lawful order….  It is undisputed that Deputy Loomis observed plaintiff speeding and witnessed him drive away from a traffic stop [</w:t>
      </w:r>
      <w:proofErr w:type="gramStart"/>
      <w:r>
        <w:t>continued on</w:t>
      </w:r>
      <w:proofErr w:type="gramEnd"/>
      <w:r>
        <w:t xml:space="preserve"> to EMS call location] on July 18, 2021…. Just as the Deputy defendants exercised independent judgment in declining to prosecute plaintiff based on Tracy’s complaint, the undisputed evidence establishes that Deputy Loomis decided to pull plaintiff over only after observing him speeding and confirming that observation with a radar.</w:t>
      </w:r>
    </w:p>
    <w:p w14:paraId="33832BB7" w14:textId="77777777" w:rsidR="00C24BBC" w:rsidRDefault="00C24BBC" w:rsidP="00C24BBC">
      <w:pPr>
        <w:pStyle w:val="NoSpacing"/>
      </w:pPr>
    </w:p>
    <w:p w14:paraId="4A30C7B9" w14:textId="77777777" w:rsidR="00C24BBC" w:rsidRDefault="00C24BBC" w:rsidP="00C24BBC">
      <w:pPr>
        <w:pStyle w:val="NoSpacing"/>
      </w:pPr>
      <w:r>
        <w:t>***</w:t>
      </w:r>
    </w:p>
    <w:p w14:paraId="4C6ADF8B" w14:textId="77777777" w:rsidR="00C24BBC" w:rsidRDefault="00C24BBC" w:rsidP="00C24BBC">
      <w:pPr>
        <w:pStyle w:val="NoSpacing"/>
      </w:pPr>
    </w:p>
    <w:p w14:paraId="3B0EC172" w14:textId="77777777" w:rsidR="00C24BBC" w:rsidRDefault="00C24BBC" w:rsidP="00C24BBC">
      <w:pPr>
        <w:pStyle w:val="NoSpacing"/>
      </w:pPr>
      <w:r>
        <w:t xml:space="preserve">On May 24, 2022, plaintiff appeared in court in connection with the July 18, 2021, traffic tickets…. After rejecting </w:t>
      </w:r>
      <w:proofErr w:type="gramStart"/>
      <w:r>
        <w:t>a number of</w:t>
      </w:r>
      <w:proofErr w:type="gramEnd"/>
      <w:r>
        <w:t xml:space="preserve"> plea deals that would have required him to plead guilty to traffic infractions, plaintiff eventually agreed to plead guilty to two parking violations on the advice of his </w:t>
      </w:r>
      <w:proofErr w:type="gramStart"/>
      <w:r>
        <w:t>attorney.”</w:t>
      </w:r>
      <w:proofErr w:type="gramEnd"/>
    </w:p>
    <w:p w14:paraId="4020061C" w14:textId="77777777" w:rsidR="00C24BBC" w:rsidRDefault="00C24BBC" w:rsidP="00C24BBC">
      <w:pPr>
        <w:pStyle w:val="NoSpacing"/>
      </w:pPr>
    </w:p>
    <w:p w14:paraId="279735E4" w14:textId="77777777" w:rsidR="00C24BBC" w:rsidRDefault="00C24BBC" w:rsidP="00C24BBC">
      <w:pPr>
        <w:pStyle w:val="NoSpacing"/>
        <w:rPr>
          <w:b/>
        </w:rPr>
      </w:pPr>
      <w:r>
        <w:rPr>
          <w:b/>
        </w:rPr>
        <w:t xml:space="preserve">Legal lesson learned: The critical care technician property reported the volunteer’s unsafe driving. </w:t>
      </w:r>
    </w:p>
    <w:p w14:paraId="6EFB3DDF" w14:textId="77777777" w:rsidR="00C24BBC" w:rsidRDefault="00C24BBC" w:rsidP="00C24BBC">
      <w:pPr>
        <w:pStyle w:val="NoSpacing"/>
        <w:rPr>
          <w:b/>
        </w:rPr>
      </w:pPr>
    </w:p>
    <w:p w14:paraId="3781903E" w14:textId="77777777" w:rsidR="00C24BBC" w:rsidRPr="008D4B87" w:rsidRDefault="00C24BBC" w:rsidP="00C24BBC">
      <w:pPr>
        <w:pStyle w:val="NoSpacing"/>
        <w:ind w:left="720"/>
        <w:rPr>
          <w:bCs/>
        </w:rPr>
      </w:pPr>
      <w:r w:rsidRPr="008D4B87">
        <w:t>Note:</w:t>
      </w:r>
      <w:r>
        <w:t xml:space="preserve">  After the first speeding incident, the volunteer was directed by his </w:t>
      </w:r>
      <w:proofErr w:type="gramStart"/>
      <w:r>
        <w:t>Department</w:t>
      </w:r>
      <w:proofErr w:type="gramEnd"/>
      <w:r>
        <w:t xml:space="preserve"> to stop making runs </w:t>
      </w:r>
      <w:r w:rsidRPr="004162FF">
        <w:t>until he was instructed to do so.</w:t>
      </w:r>
      <w:r>
        <w:t xml:space="preserve"> </w:t>
      </w:r>
      <w:r w:rsidRPr="00CC0192">
        <w:t>“Even though [p]</w:t>
      </w:r>
      <w:proofErr w:type="spellStart"/>
      <w:r w:rsidRPr="00CC0192">
        <w:t>laintiff</w:t>
      </w:r>
      <w:proofErr w:type="spellEnd"/>
      <w:r w:rsidRPr="00CC0192">
        <w:t xml:space="preserve"> never retired nor resigned, in July 2022, SVAC leadership</w:t>
      </w:r>
      <w:r>
        <w:t xml:space="preserve"> </w:t>
      </w:r>
      <w:r w:rsidRPr="00CC0192">
        <w:t>showed up at [p]</w:t>
      </w:r>
      <w:proofErr w:type="spellStart"/>
      <w:r w:rsidRPr="00CC0192">
        <w:t>laintiff’s</w:t>
      </w:r>
      <w:proofErr w:type="spellEnd"/>
      <w:r w:rsidRPr="00CC0192">
        <w:t xml:space="preserve"> house unsolicited and presented him with a framed document</w:t>
      </w:r>
      <w:r>
        <w:t xml:space="preserve"> </w:t>
      </w:r>
      <w:r w:rsidRPr="00CC0192">
        <w:t>recognizing his 41 years of service to the community of Speculator.”</w:t>
      </w:r>
    </w:p>
    <w:p w14:paraId="00877AA9" w14:textId="77777777" w:rsidR="00C24BBC" w:rsidRPr="008D4B87" w:rsidRDefault="00C24BBC" w:rsidP="00C24BBC">
      <w:pPr>
        <w:pStyle w:val="NoSpacing"/>
        <w:rPr>
          <w:bCs/>
        </w:rPr>
      </w:pPr>
    </w:p>
    <w:p w14:paraId="2983B4DC" w14:textId="77777777" w:rsidR="00B63DAD" w:rsidRDefault="00B63DAD" w:rsidP="000C62A1">
      <w:pPr>
        <w:pStyle w:val="NoSpacing"/>
        <w:rPr>
          <w:rFonts w:ascii="Arial Black" w:hAnsi="Arial Black"/>
          <w:sz w:val="28"/>
          <w:szCs w:val="28"/>
        </w:rPr>
      </w:pPr>
    </w:p>
    <w:p w14:paraId="3116AA3D" w14:textId="77777777" w:rsidR="00B63DAD" w:rsidRDefault="00B63DAD" w:rsidP="000C62A1">
      <w:pPr>
        <w:pStyle w:val="NoSpacing"/>
        <w:rPr>
          <w:rFonts w:ascii="Arial Black" w:hAnsi="Arial Black"/>
          <w:sz w:val="28"/>
          <w:szCs w:val="28"/>
        </w:rPr>
      </w:pPr>
    </w:p>
    <w:p w14:paraId="4EEF557F" w14:textId="77777777" w:rsidR="00B63DAD" w:rsidRDefault="00B63DAD" w:rsidP="000C62A1">
      <w:pPr>
        <w:pStyle w:val="NoSpacing"/>
        <w:rPr>
          <w:rFonts w:ascii="Arial Black" w:hAnsi="Arial Black"/>
          <w:sz w:val="28"/>
          <w:szCs w:val="28"/>
        </w:rPr>
      </w:pPr>
    </w:p>
    <w:p w14:paraId="7EEC6F22" w14:textId="4D8DAB3E" w:rsidR="00CF5DF6" w:rsidRDefault="00CF5DF6" w:rsidP="000C62A1">
      <w:pPr>
        <w:pStyle w:val="NoSpacing"/>
        <w:rPr>
          <w:rFonts w:ascii="Arial Black" w:hAnsi="Arial Black"/>
          <w:sz w:val="28"/>
          <w:szCs w:val="28"/>
        </w:rPr>
      </w:pPr>
      <w:r>
        <w:rPr>
          <w:rFonts w:ascii="Arial Black" w:hAnsi="Arial Black"/>
          <w:sz w:val="28"/>
          <w:szCs w:val="28"/>
        </w:rPr>
        <w:t>5-61</w:t>
      </w:r>
    </w:p>
    <w:p w14:paraId="1E11B4BD" w14:textId="77777777" w:rsidR="00CF5DF6" w:rsidRPr="00914070" w:rsidRDefault="00CF5DF6" w:rsidP="00CF5DF6">
      <w:pPr>
        <w:pStyle w:val="NoSpacing"/>
        <w:rPr>
          <w:rFonts w:ascii="Arial Black" w:hAnsi="Arial Black"/>
          <w:b/>
          <w:sz w:val="28"/>
          <w:szCs w:val="28"/>
        </w:rPr>
      </w:pPr>
      <w:r>
        <w:rPr>
          <w:rFonts w:ascii="Arial Black" w:hAnsi="Arial Black"/>
          <w:b/>
          <w:sz w:val="28"/>
          <w:szCs w:val="28"/>
        </w:rPr>
        <w:t xml:space="preserve">TX: FF DRIVING FD VEH TO WORK – ACCID. CITY NO LIAB </w:t>
      </w:r>
    </w:p>
    <w:p w14:paraId="284F8B7B" w14:textId="77777777" w:rsidR="00CF5DF6" w:rsidRDefault="00CF5DF6" w:rsidP="00CF5DF6">
      <w:pPr>
        <w:pStyle w:val="NoSpacing"/>
        <w:rPr>
          <w:b/>
        </w:rPr>
      </w:pPr>
    </w:p>
    <w:p w14:paraId="0EA6B8D7" w14:textId="77777777" w:rsidR="00CF5DF6" w:rsidRPr="00363AC0" w:rsidRDefault="00CF5DF6" w:rsidP="00CF5DF6">
      <w:pPr>
        <w:pStyle w:val="NoSpacing"/>
        <w:rPr>
          <w:bCs/>
        </w:rPr>
      </w:pPr>
      <w:r>
        <w:t xml:space="preserve">On February 10, 2026, in </w:t>
      </w:r>
      <w:r w:rsidRPr="00363AC0">
        <w:rPr>
          <w:u w:val="single"/>
        </w:rPr>
        <w:t>City of Houston v. Sheniqua Henderson</w:t>
      </w:r>
      <w:r>
        <w:t xml:space="preserve">, the </w:t>
      </w:r>
      <w:r w:rsidRPr="00363AC0">
        <w:t>Court of Appeals of Texas, Fourteenth District</w:t>
      </w:r>
      <w:r>
        <w:t xml:space="preserve"> held (3 to 0) that the trial court should have dismissed the plaintiff’s lawsuit against the City of Houston, since the firefighter was off duty when the accident occurred when he was driving to his station on September 1, 2022, at 6:19 am.  Under Texas state law a city or other governmental unit is only liable for automobile accident when it occurs “within his scope of employment.” </w:t>
      </w:r>
      <w:hyperlink r:id="rId954" w:history="1">
        <w:r w:rsidRPr="00C72C21">
          <w:rPr>
            <w:rStyle w:val="Hyperlink"/>
          </w:rPr>
          <w:t>https://cases.justia.com/texas/fourteenth-court-of-appeals/2026-14-25-00078-cv.pdf?ts=1770741693</w:t>
        </w:r>
      </w:hyperlink>
      <w:r>
        <w:t xml:space="preserve"> </w:t>
      </w:r>
    </w:p>
    <w:p w14:paraId="2D0DCAB3" w14:textId="77777777" w:rsidR="00CF5DF6" w:rsidRDefault="00CF5DF6" w:rsidP="00CF5DF6">
      <w:pPr>
        <w:pStyle w:val="NoSpacing"/>
      </w:pPr>
    </w:p>
    <w:p w14:paraId="05261085" w14:textId="77777777" w:rsidR="00CF5DF6" w:rsidRDefault="00CF5DF6" w:rsidP="00CF5DF6">
      <w:pPr>
        <w:pStyle w:val="NoSpacing"/>
      </w:pPr>
      <w:r>
        <w:t>THE COURT HELD:  “</w:t>
      </w:r>
      <w:r w:rsidRPr="00D11F00">
        <w:t xml:space="preserve"> On September 1, 2022, Henderson was driving on the service road of the North Sam Houston Parkway in Harris County. City of Houston employee and firefighter Carlos Manuel Pascualli was driving to work in a vehicle owned and provided to </w:t>
      </w:r>
      <w:proofErr w:type="spellStart"/>
      <w:r w:rsidRPr="00D11F00">
        <w:t>Pascualli</w:t>
      </w:r>
      <w:proofErr w:type="spellEnd"/>
      <w:r w:rsidRPr="00D11F00">
        <w:t xml:space="preserve"> by Houston in the lane next to Henderson, when </w:t>
      </w:r>
      <w:proofErr w:type="spellStart"/>
      <w:r w:rsidRPr="00D11F00">
        <w:t>Pascualli</w:t>
      </w:r>
      <w:proofErr w:type="spellEnd"/>
      <w:r w:rsidRPr="00D11F00">
        <w:t xml:space="preserve"> changed lanes and collided with Henderson's vehicle</w:t>
      </w:r>
      <w:r>
        <w:t xml:space="preserve">…. </w:t>
      </w:r>
      <w:proofErr w:type="spellStart"/>
      <w:r w:rsidRPr="00B60506">
        <w:t>Pascualli</w:t>
      </w:r>
      <w:proofErr w:type="spellEnd"/>
      <w:r w:rsidRPr="00B60506">
        <w:t xml:space="preserve"> provided a supporting affidavit establishing that he was </w:t>
      </w:r>
      <w:proofErr w:type="gramStart"/>
      <w:r w:rsidRPr="00B60506">
        <w:t>off-duty</w:t>
      </w:r>
      <w:proofErr w:type="gramEnd"/>
      <w:r w:rsidRPr="00B60506">
        <w:t>, not on call, and driving to start his shift at 6:30 am.</w:t>
      </w:r>
    </w:p>
    <w:p w14:paraId="2054697A" w14:textId="77777777" w:rsidR="00CF5DF6" w:rsidRDefault="00CF5DF6" w:rsidP="00CF5DF6">
      <w:pPr>
        <w:pStyle w:val="NoSpacing"/>
        <w:ind w:left="720"/>
      </w:pPr>
    </w:p>
    <w:p w14:paraId="615F38C5" w14:textId="77777777" w:rsidR="00CF5DF6" w:rsidRPr="007253B6" w:rsidRDefault="00CF5DF6" w:rsidP="00CF5DF6">
      <w:pPr>
        <w:pStyle w:val="NoSpacing"/>
        <w:ind w:left="720"/>
      </w:pPr>
      <w:r w:rsidRPr="007253B6">
        <w:t xml:space="preserve">On September 1, 2022, at approximately 6:19 am, I was traveling on North Sam Houston East Parkway Service Road, Harris County Texas, when my vehicle collided with Plaintiff's vehicle. I was traveling to Fire Station 99 </w:t>
      </w:r>
      <w:r w:rsidRPr="007253B6">
        <w:lastRenderedPageBreak/>
        <w:t xml:space="preserve">located </w:t>
      </w:r>
      <w:proofErr w:type="gramStart"/>
      <w:r w:rsidRPr="007253B6">
        <w:t>in</w:t>
      </w:r>
      <w:proofErr w:type="gramEnd"/>
      <w:r w:rsidRPr="007253B6">
        <w:t xml:space="preserve"> 18580 Chanute Road, Houston, Texas 77032. At the time of the collision on September 1, 2022, I was off duty, not on call and driving to work. At the time of the collision, I was not being directed by the Houston Fire Department, or furthering Houston Fire Department business.</w:t>
      </w:r>
    </w:p>
    <w:p w14:paraId="1D11DA66" w14:textId="77777777" w:rsidR="00CF5DF6" w:rsidRDefault="00CF5DF6" w:rsidP="00CF5DF6">
      <w:pPr>
        <w:pStyle w:val="NoSpacing"/>
      </w:pPr>
    </w:p>
    <w:p w14:paraId="50F4460F" w14:textId="77777777" w:rsidR="00CF5DF6" w:rsidRDefault="00CF5DF6" w:rsidP="00CF5DF6">
      <w:pPr>
        <w:pStyle w:val="NoSpacing"/>
      </w:pPr>
      <w:r w:rsidRPr="00211E46">
        <w:t xml:space="preserve">In response, Henderson argued that </w:t>
      </w:r>
      <w:proofErr w:type="spellStart"/>
      <w:r w:rsidRPr="00211E46">
        <w:t>Pascualli's</w:t>
      </w:r>
      <w:proofErr w:type="spellEnd"/>
      <w:r w:rsidRPr="00211E46">
        <w:t xml:space="preserve"> affidavit was a sham affidavit. She further claimed that </w:t>
      </w:r>
      <w:proofErr w:type="spellStart"/>
      <w:r w:rsidRPr="00211E46">
        <w:t>Pascualli</w:t>
      </w:r>
      <w:proofErr w:type="spellEnd"/>
      <w:r w:rsidRPr="00211E46">
        <w:t xml:space="preserve"> was in the scope of his employment and that she was entitled to take his deposition. </w:t>
      </w:r>
      <w:r>
        <w:t xml:space="preserve">*** </w:t>
      </w:r>
      <w:r w:rsidRPr="00914070">
        <w:t xml:space="preserve">Tex. Civ. </w:t>
      </w:r>
      <w:proofErr w:type="spellStart"/>
      <w:r w:rsidRPr="00914070">
        <w:t>Prac</w:t>
      </w:r>
      <w:proofErr w:type="spellEnd"/>
      <w:r w:rsidRPr="00914070">
        <w:t xml:space="preserve">. &amp; Rem. Code Ann. § 101.021. A governmental unit is only liable for the negligence of its employee, </w:t>
      </w:r>
      <w:proofErr w:type="gramStart"/>
      <w:r w:rsidRPr="00914070">
        <w:t>if and when</w:t>
      </w:r>
      <w:proofErr w:type="gramEnd"/>
      <w:r w:rsidRPr="00914070">
        <w:t xml:space="preserve"> that employee is </w:t>
      </w:r>
      <w:r>
        <w:t>‘</w:t>
      </w:r>
      <w:r w:rsidRPr="00914070">
        <w:t>acting within his scope of employment.</w:t>
      </w:r>
      <w:r>
        <w:t xml:space="preserve">’ … </w:t>
      </w:r>
      <w:r w:rsidRPr="00914070">
        <w:t>Although Henderson argues that she also has a direct negligence claim against Houston, she cites no authority or statute, nor have we found any, other than Section 101.021 that waives Houston's immunity for injuries resulting from the use of a motor-driven vehicle.</w:t>
      </w:r>
      <w:r>
        <w:t>”</w:t>
      </w:r>
    </w:p>
    <w:p w14:paraId="46308078" w14:textId="77777777" w:rsidR="00CF5DF6" w:rsidRDefault="00CF5DF6" w:rsidP="00CF5DF6">
      <w:pPr>
        <w:pStyle w:val="NoSpacing"/>
      </w:pPr>
    </w:p>
    <w:p w14:paraId="4DBD5F53" w14:textId="77777777" w:rsidR="00CF5DF6" w:rsidRDefault="00CF5DF6" w:rsidP="00CF5DF6">
      <w:pPr>
        <w:pStyle w:val="NoSpacing"/>
        <w:rPr>
          <w:b/>
          <w:bCs/>
        </w:rPr>
      </w:pPr>
      <w:r w:rsidRPr="005D3975">
        <w:rPr>
          <w:b/>
        </w:rPr>
        <w:t xml:space="preserve">Legal lesson learned: </w:t>
      </w:r>
      <w:r>
        <w:rPr>
          <w:b/>
        </w:rPr>
        <w:t>Firefighter was off duty; city cannot be sued.</w:t>
      </w:r>
    </w:p>
    <w:p w14:paraId="74FEC3EC" w14:textId="77777777" w:rsidR="00CF5DF6" w:rsidRDefault="00CF5DF6" w:rsidP="00CF5DF6">
      <w:pPr>
        <w:pStyle w:val="NoSpacing"/>
      </w:pPr>
    </w:p>
    <w:p w14:paraId="4FA59353" w14:textId="77777777" w:rsidR="00CF5DF6" w:rsidRDefault="00CF5DF6" w:rsidP="000C62A1">
      <w:pPr>
        <w:pStyle w:val="NoSpacing"/>
        <w:rPr>
          <w:rFonts w:ascii="Arial Black" w:hAnsi="Arial Black"/>
          <w:sz w:val="28"/>
          <w:szCs w:val="28"/>
        </w:rPr>
      </w:pPr>
    </w:p>
    <w:p w14:paraId="236B5FE9" w14:textId="77777777" w:rsidR="00CF5DF6" w:rsidRDefault="00CF5DF6" w:rsidP="000C62A1">
      <w:pPr>
        <w:pStyle w:val="NoSpacing"/>
        <w:rPr>
          <w:rFonts w:ascii="Arial Black" w:hAnsi="Arial Black"/>
          <w:sz w:val="28"/>
          <w:szCs w:val="28"/>
        </w:rPr>
      </w:pPr>
    </w:p>
    <w:p w14:paraId="027ED139" w14:textId="77777777" w:rsidR="00CF5DF6" w:rsidRDefault="00CF5DF6" w:rsidP="000C62A1">
      <w:pPr>
        <w:pStyle w:val="NoSpacing"/>
        <w:rPr>
          <w:rFonts w:ascii="Arial Black" w:hAnsi="Arial Black"/>
          <w:sz w:val="28"/>
          <w:szCs w:val="28"/>
        </w:rPr>
      </w:pPr>
    </w:p>
    <w:p w14:paraId="1BD44A23" w14:textId="694B22B1" w:rsidR="00CC770C" w:rsidRDefault="007100AC" w:rsidP="000C62A1">
      <w:pPr>
        <w:pStyle w:val="NoSpacing"/>
        <w:rPr>
          <w:rFonts w:ascii="Arial Black" w:hAnsi="Arial Black"/>
          <w:sz w:val="28"/>
          <w:szCs w:val="28"/>
        </w:rPr>
      </w:pPr>
      <w:r>
        <w:rPr>
          <w:rFonts w:ascii="Arial Black" w:hAnsi="Arial Black"/>
          <w:sz w:val="28"/>
          <w:szCs w:val="28"/>
        </w:rPr>
        <w:t>5-60</w:t>
      </w:r>
    </w:p>
    <w:p w14:paraId="002E8A9E" w14:textId="77777777" w:rsidR="007100AC" w:rsidRDefault="007100AC" w:rsidP="000C62A1">
      <w:pPr>
        <w:pStyle w:val="NoSpacing"/>
        <w:rPr>
          <w:rFonts w:ascii="Arial Black" w:hAnsi="Arial Black"/>
          <w:sz w:val="28"/>
          <w:szCs w:val="28"/>
        </w:rPr>
      </w:pPr>
    </w:p>
    <w:p w14:paraId="60A05A40" w14:textId="77777777" w:rsidR="007100AC" w:rsidRPr="005A1845" w:rsidRDefault="007100AC" w:rsidP="007100AC">
      <w:pPr>
        <w:rPr>
          <w:rFonts w:ascii="Arial Black" w:hAnsi="Arial Black"/>
          <w:b/>
          <w:sz w:val="28"/>
          <w:szCs w:val="28"/>
        </w:rPr>
      </w:pPr>
      <w:r>
        <w:rPr>
          <w:rFonts w:ascii="Arial Black" w:hAnsi="Arial Black"/>
          <w:b/>
          <w:sz w:val="28"/>
          <w:szCs w:val="28"/>
        </w:rPr>
        <w:t>TX: AMBULANCE – IMMUNITY - PHOTO EMER LIGHTS ON</w:t>
      </w:r>
    </w:p>
    <w:p w14:paraId="02B325B7" w14:textId="77777777" w:rsidR="007100AC" w:rsidRDefault="007100AC" w:rsidP="007100AC">
      <w:pPr>
        <w:pStyle w:val="NoSpacing"/>
        <w:rPr>
          <w:bCs/>
        </w:rPr>
      </w:pPr>
      <w:r>
        <w:t xml:space="preserve">On Jan. 21, 2026, in </w:t>
      </w:r>
      <w:r w:rsidRPr="00B031E6">
        <w:rPr>
          <w:u w:val="single"/>
        </w:rPr>
        <w:t>Michelle Ojeda v. City of Grand Prairie</w:t>
      </w:r>
      <w:r>
        <w:t xml:space="preserve">, the </w:t>
      </w:r>
      <w:r w:rsidRPr="00934DC7">
        <w:t>Court of Appeals of Texas, Fifth District, Dallas</w:t>
      </w:r>
      <w:r>
        <w:t xml:space="preserve"> held (3 to 0) that trial court properly dismissed the lawsuit, since the intersection crash happened on an emergency run, lights (photo taken after the accident) and siren activated, and slowed down entering the intersection. </w:t>
      </w:r>
      <w:hyperlink r:id="rId955" w:history="1">
        <w:r w:rsidRPr="00AC5608">
          <w:rPr>
            <w:rStyle w:val="Hyperlink"/>
          </w:rPr>
          <w:t>https://cases.justia.com/texas/fifth-court-of-appeals/2026-05-24-01403-cv.pdf?ts=1769077961</w:t>
        </w:r>
      </w:hyperlink>
    </w:p>
    <w:p w14:paraId="2DBA9681" w14:textId="77777777" w:rsidR="007100AC" w:rsidRDefault="007100AC" w:rsidP="007100AC">
      <w:pPr>
        <w:pStyle w:val="NoSpacing"/>
        <w:rPr>
          <w:bCs/>
        </w:rPr>
      </w:pPr>
    </w:p>
    <w:p w14:paraId="6A2C8F1B" w14:textId="77777777" w:rsidR="007100AC" w:rsidRDefault="007100AC" w:rsidP="007100AC">
      <w:pPr>
        <w:pStyle w:val="NoSpacing"/>
        <w:rPr>
          <w:bCs/>
        </w:rPr>
      </w:pPr>
      <w:r>
        <w:t xml:space="preserve">THE COURT HELD: </w:t>
      </w:r>
    </w:p>
    <w:p w14:paraId="4A7AF126" w14:textId="77777777" w:rsidR="007100AC" w:rsidRDefault="007100AC" w:rsidP="007100AC">
      <w:pPr>
        <w:pStyle w:val="NoSpacing"/>
        <w:rPr>
          <w:bCs/>
        </w:rPr>
      </w:pPr>
    </w:p>
    <w:p w14:paraId="69821FAF" w14:textId="77777777" w:rsidR="007100AC" w:rsidRDefault="007100AC" w:rsidP="007100AC">
      <w:pPr>
        <w:pStyle w:val="NoSpacing"/>
        <w:ind w:left="720"/>
        <w:rPr>
          <w:bCs/>
        </w:rPr>
      </w:pPr>
      <w:r>
        <w:t>“</w:t>
      </w:r>
      <w:r w:rsidRPr="00492BC7">
        <w:t>In an attempt to raise a fact issue, Ojeda asserts in her briefing that the ambulance's emergency lights and siren were not activated when the ambulance entered the intersection. But the summary judgment record contains no evidence supporting this assertion and the testimony of Kildal and Herrera and the photograph of the ambulance immediately after the crash establish the emergency lights and siren were activated and in operation before and during the collision</w:t>
      </w:r>
      <w:r>
        <w:t xml:space="preserve">…. </w:t>
      </w:r>
      <w:r w:rsidRPr="00801AF4">
        <w:t>With respect to Ojeda's contention reckless disregard is shown by Kildal entering the intersection without knowing whether the light was green or red, a driver of an emergency vehicle is permitted to proceed through a red light without stopping if they do so after slowing as necessary for safe operation</w:t>
      </w:r>
      <w:r>
        <w:t xml:space="preserve">…. </w:t>
      </w:r>
      <w:r w:rsidRPr="00801AF4">
        <w:t>(citing Tex. Transp. Code § 546.001(2)).</w:t>
      </w:r>
      <w:r>
        <w:t xml:space="preserve"> *** </w:t>
      </w:r>
      <w:r w:rsidRPr="00000FE4">
        <w:t>Data obtained from the Electronic Data Recorder device in the ambulance showed Kildal slowed the ambulance down five seconds before the collision from a speed of 33.3 mph to a speed of 16.8 mph at the time of impact.</w:t>
      </w:r>
      <w:r>
        <w:t xml:space="preserve">”  *** </w:t>
      </w:r>
      <w:r w:rsidRPr="00D253AC">
        <w:t xml:space="preserve">Under this exception, the waiver of immunity under the Texas Tort Claims Act does not apply to a claim based on a governmental employee's conduct if that employee, while responding to an emergency call or reacting to an emergency situation, acts in compliance with </w:t>
      </w:r>
      <w:r>
        <w:t>‘</w:t>
      </w:r>
      <w:r w:rsidRPr="00D253AC">
        <w:t>the laws and ordinances applicable to emergency action,</w:t>
      </w:r>
      <w:r>
        <w:t>’</w:t>
      </w:r>
      <w:r w:rsidRPr="00D253AC">
        <w:t xml:space="preserve"> or in the absence of such a law or ordinance, the employee's actions are not taken </w:t>
      </w:r>
      <w:r>
        <w:t>‘</w:t>
      </w:r>
      <w:r w:rsidRPr="00D253AC">
        <w:t>with conscious indifference or reckless disregard for the safety of others.</w:t>
      </w:r>
      <w:r>
        <w:t>’</w:t>
      </w:r>
      <w:r w:rsidRPr="00D253AC">
        <w:t xml:space="preserve"> Civ. </w:t>
      </w:r>
      <w:proofErr w:type="spellStart"/>
      <w:r w:rsidRPr="00D253AC">
        <w:t>Prac</w:t>
      </w:r>
      <w:proofErr w:type="spellEnd"/>
      <w:r w:rsidRPr="00D253AC">
        <w:t>. &amp; Rem. § 101.055(2).</w:t>
      </w:r>
      <w:r>
        <w:t>”</w:t>
      </w:r>
    </w:p>
    <w:p w14:paraId="40067775" w14:textId="77777777" w:rsidR="007100AC" w:rsidRDefault="007100AC" w:rsidP="007100AC">
      <w:pPr>
        <w:pStyle w:val="NoSpacing"/>
        <w:rPr>
          <w:bCs/>
        </w:rPr>
      </w:pPr>
    </w:p>
    <w:p w14:paraId="53219925" w14:textId="77777777" w:rsidR="007100AC" w:rsidRPr="004D5620" w:rsidRDefault="007100AC" w:rsidP="007100AC">
      <w:pPr>
        <w:pStyle w:val="NoSpacing"/>
        <w:rPr>
          <w:b/>
        </w:rPr>
      </w:pPr>
      <w:r>
        <w:rPr>
          <w:b/>
        </w:rPr>
        <w:t xml:space="preserve">Legal lesson learned: After an on-duty accident, leave your siren on as you notify dispatch, and then take a photo showing your emergency lights still activated. </w:t>
      </w:r>
    </w:p>
    <w:p w14:paraId="521A93AE" w14:textId="77777777" w:rsidR="007100AC" w:rsidRDefault="007100AC" w:rsidP="000C62A1">
      <w:pPr>
        <w:pStyle w:val="NoSpacing"/>
        <w:rPr>
          <w:rFonts w:ascii="Arial Black" w:hAnsi="Arial Black"/>
          <w:sz w:val="28"/>
          <w:szCs w:val="28"/>
        </w:rPr>
      </w:pPr>
    </w:p>
    <w:p w14:paraId="626F94C9" w14:textId="77777777" w:rsidR="007100AC" w:rsidRDefault="007100AC" w:rsidP="000C62A1">
      <w:pPr>
        <w:pStyle w:val="NoSpacing"/>
        <w:rPr>
          <w:rFonts w:ascii="Arial Black" w:hAnsi="Arial Black"/>
          <w:sz w:val="28"/>
          <w:szCs w:val="28"/>
        </w:rPr>
      </w:pPr>
    </w:p>
    <w:p w14:paraId="7444A9E1" w14:textId="77777777" w:rsidR="007100AC" w:rsidRDefault="007100AC" w:rsidP="000C62A1">
      <w:pPr>
        <w:pStyle w:val="NoSpacing"/>
        <w:rPr>
          <w:rFonts w:ascii="Arial Black" w:hAnsi="Arial Black"/>
          <w:sz w:val="28"/>
          <w:szCs w:val="28"/>
        </w:rPr>
      </w:pPr>
    </w:p>
    <w:p w14:paraId="6733B22F" w14:textId="6DABD62F" w:rsidR="00CC770C" w:rsidRDefault="00CC770C" w:rsidP="000C62A1">
      <w:pPr>
        <w:pStyle w:val="NoSpacing"/>
        <w:rPr>
          <w:rFonts w:ascii="Arial Black" w:hAnsi="Arial Black"/>
          <w:sz w:val="28"/>
          <w:szCs w:val="28"/>
        </w:rPr>
      </w:pPr>
      <w:r>
        <w:rPr>
          <w:rFonts w:ascii="Arial Black" w:hAnsi="Arial Black"/>
          <w:sz w:val="28"/>
          <w:szCs w:val="28"/>
        </w:rPr>
        <w:lastRenderedPageBreak/>
        <w:t>5-5</w:t>
      </w:r>
      <w:r w:rsidR="00EC252C">
        <w:rPr>
          <w:rFonts w:ascii="Arial Black" w:hAnsi="Arial Black"/>
          <w:sz w:val="28"/>
          <w:szCs w:val="28"/>
        </w:rPr>
        <w:t>9</w:t>
      </w:r>
    </w:p>
    <w:p w14:paraId="133AFA35" w14:textId="77777777" w:rsidR="00EC252C" w:rsidRPr="00E62CBF" w:rsidRDefault="00EC252C" w:rsidP="00EC252C">
      <w:pPr>
        <w:rPr>
          <w:rFonts w:ascii="Arial Black" w:hAnsi="Arial Black"/>
          <w:sz w:val="28"/>
          <w:szCs w:val="28"/>
        </w:rPr>
      </w:pPr>
      <w:r>
        <w:rPr>
          <w:rFonts w:ascii="Arial Black" w:hAnsi="Arial Black"/>
          <w:sz w:val="28"/>
          <w:szCs w:val="28"/>
        </w:rPr>
        <w:t>LA: FF BAD DRIVING – NOT SUSP. WITHIN “60-DAY RULE”</w:t>
      </w:r>
    </w:p>
    <w:p w14:paraId="589D6F9C" w14:textId="77777777" w:rsidR="00EC252C" w:rsidRPr="009434D7" w:rsidRDefault="00EC252C" w:rsidP="00EC252C">
      <w:pPr>
        <w:rPr>
          <w:bCs/>
        </w:rPr>
      </w:pPr>
      <w:r>
        <w:t xml:space="preserve">On December 15, 2025, in </w:t>
      </w:r>
      <w:r w:rsidRPr="009434D7">
        <w:rPr>
          <w:u w:val="single"/>
        </w:rPr>
        <w:t>Chase Bruner v. New Orleans Fire Department</w:t>
      </w:r>
      <w:r>
        <w:t xml:space="preserve">, the </w:t>
      </w:r>
      <w:r w:rsidRPr="009434D7">
        <w:t>Court of Appeals of Louisiana, Fourth Circuit</w:t>
      </w:r>
      <w:r>
        <w:t xml:space="preserve"> held (3 to 0) that the city’s Civil Service Commission properly set aside six-day suspension because the </w:t>
      </w:r>
      <w:r w:rsidRPr="005F7F77">
        <w:t>NOFD failed to comply with sixty-day investigatory</w:t>
      </w:r>
      <w:r>
        <w:t xml:space="preserve"> </w:t>
      </w:r>
      <w:r w:rsidRPr="005F7F77">
        <w:t>timeline in the Firefighter Bill of Rights</w:t>
      </w:r>
      <w:r>
        <w:t xml:space="preserve">.  The bad driving occurred </w:t>
      </w:r>
      <w:r w:rsidRPr="00F9679A">
        <w:t>April 11, 2024</w:t>
      </w:r>
      <w:r>
        <w:t xml:space="preserve">. On April 18, </w:t>
      </w:r>
      <w:r w:rsidRPr="00874B90">
        <w:t>Major Figueroa-Camps reviewed the video of the EMS vehicles and forwarded it</w:t>
      </w:r>
      <w:r>
        <w:t xml:space="preserve"> </w:t>
      </w:r>
      <w:r w:rsidRPr="00874B90">
        <w:t>to Chief Keller</w:t>
      </w:r>
      <w:r>
        <w:t xml:space="preserve">, who on April 19 </w:t>
      </w:r>
      <w:r w:rsidRPr="00874B90">
        <w:t>notified NOFD of the incident</w:t>
      </w:r>
      <w:r>
        <w:t xml:space="preserve">.  </w:t>
      </w:r>
      <w:r w:rsidRPr="00874B90">
        <w:t xml:space="preserve"> </w:t>
      </w:r>
      <w:r>
        <w:t xml:space="preserve">The Civil Service Commission stated the 60-day clock started on April 19.  The 60-days ended </w:t>
      </w:r>
      <w:r w:rsidRPr="004E7AAB">
        <w:t>June 19, 2024</w:t>
      </w:r>
      <w:r>
        <w:t xml:space="preserve">, but Mr. Brunner was issued his suspension letter on June 21.  </w:t>
      </w:r>
      <w:hyperlink r:id="rId956" w:history="1">
        <w:r w:rsidRPr="00CB1D74">
          <w:rPr>
            <w:rStyle w:val="Hyperlink"/>
          </w:rPr>
          <w:t>https://cases.justia.com/louisiana/fourth-circuit-court-of-appeal/2025-2025-ca-0386.pdf?ts=1765847814</w:t>
        </w:r>
      </w:hyperlink>
      <w:r>
        <w:t xml:space="preserve"> </w:t>
      </w:r>
    </w:p>
    <w:p w14:paraId="2ACFA1E5" w14:textId="77777777" w:rsidR="00EC252C" w:rsidRDefault="00EC252C" w:rsidP="00EC252C">
      <w:r>
        <w:t>THE COURT HELD:</w:t>
      </w:r>
    </w:p>
    <w:p w14:paraId="7A828915" w14:textId="77777777" w:rsidR="00EC252C" w:rsidRDefault="00EC252C" w:rsidP="00EC252C">
      <w:pPr>
        <w:pStyle w:val="NoSpacing"/>
        <w:ind w:left="720"/>
      </w:pPr>
      <w:r>
        <w:t>“On April 11, 2024, Mr. Bruner had an overtime shift as an ambulance driver for New Orleans Emergency Medical Services (‘EMS’). During his shift, Mr. Bruner violated multiple traffic laws, specifically, racing another ambulance, excessive speeding and driving on the wrong side of the street. The EMS in-vehicle camera system flagged a sudden brake event, prompting EMS Major Gerardo Figueroa-Camps (‘Major Figueroa-Camps’) to review and send the full video footage to EMS Deputy Chief Chris Keller (‘Chief Keller’) on April 18</w:t>
      </w:r>
      <w:proofErr w:type="gramStart"/>
      <w:r>
        <w:t xml:space="preserve"> 2024</w:t>
      </w:r>
      <w:proofErr w:type="gramEnd"/>
      <w:r>
        <w:t>, and [on April 19] Chief Keller emailed NOFD about Mr. Bruner’s traffic violations.</w:t>
      </w:r>
    </w:p>
    <w:p w14:paraId="7CD1E1FC" w14:textId="77777777" w:rsidR="00EC252C" w:rsidRDefault="00EC252C" w:rsidP="00EC252C">
      <w:pPr>
        <w:pStyle w:val="NoSpacing"/>
        <w:ind w:left="720"/>
      </w:pPr>
    </w:p>
    <w:p w14:paraId="1AD78E64" w14:textId="77777777" w:rsidR="00EC252C" w:rsidRDefault="00EC252C" w:rsidP="00EC252C">
      <w:pPr>
        <w:pStyle w:val="NoSpacing"/>
        <w:ind w:left="720"/>
      </w:pPr>
      <w:r>
        <w:t>***</w:t>
      </w:r>
    </w:p>
    <w:p w14:paraId="5A7E3FF5" w14:textId="77777777" w:rsidR="00EC252C" w:rsidRDefault="00EC252C" w:rsidP="00EC252C">
      <w:pPr>
        <w:pStyle w:val="NoSpacing"/>
        <w:ind w:left="720"/>
      </w:pPr>
      <w:r>
        <w:t xml:space="preserve">On June 21, 2024, NOFD Superintendent Roman Nelson issued a letter to Mr. Bruner informing him that he was charged </w:t>
      </w:r>
      <w:proofErr w:type="gramStart"/>
      <w:r>
        <w:t>for</w:t>
      </w:r>
      <w:proofErr w:type="gramEnd"/>
      <w:r>
        <w:t xml:space="preserve"> violating NOFD Rule RR5, which requires compliance with City of New Orleans policies, specifically CAO Policy 5(R) concerning driving standards. The letter further stated that Mr. Bruner would be suspended for six hours.</w:t>
      </w:r>
    </w:p>
    <w:p w14:paraId="38688B99" w14:textId="77777777" w:rsidR="00EC252C" w:rsidRDefault="00EC252C" w:rsidP="00EC252C">
      <w:pPr>
        <w:pStyle w:val="NoSpacing"/>
        <w:ind w:left="720"/>
      </w:pPr>
    </w:p>
    <w:p w14:paraId="1DC02E26" w14:textId="77777777" w:rsidR="00EC252C" w:rsidRDefault="00EC252C" w:rsidP="00EC252C">
      <w:pPr>
        <w:pStyle w:val="NoSpacing"/>
        <w:ind w:left="720"/>
      </w:pPr>
      <w:r>
        <w:t>***</w:t>
      </w:r>
    </w:p>
    <w:p w14:paraId="70B718CE" w14:textId="77777777" w:rsidR="00EC252C" w:rsidRDefault="00EC252C" w:rsidP="00EC252C">
      <w:pPr>
        <w:pStyle w:val="NoSpacing"/>
        <w:ind w:left="720"/>
      </w:pPr>
      <w:r>
        <w:t xml:space="preserve">Mr. Bruner </w:t>
      </w:r>
      <w:proofErr w:type="gramStart"/>
      <w:r>
        <w:t>appealed</w:t>
      </w:r>
      <w:proofErr w:type="gramEnd"/>
      <w:r>
        <w:t xml:space="preserve"> his suspension to the Civil Service Commission. A hearing took place on November 15, 2024. On May 8, 2025, the Commission granted Mr. Bruner’s appeal and ordered NOFD to reimburse Mr. Bruner for all lost wages and emoluments of employment from his six-hour suspension. The Commission found that NOFD failed to comply with sixty-day investigatory timeline in the Firefighter Bill of Rights. </w:t>
      </w:r>
    </w:p>
    <w:p w14:paraId="3B3F8F19" w14:textId="77777777" w:rsidR="00EC252C" w:rsidRDefault="00EC252C" w:rsidP="00EC252C">
      <w:pPr>
        <w:pStyle w:val="NoSpacing"/>
      </w:pPr>
    </w:p>
    <w:p w14:paraId="10617A17" w14:textId="77777777" w:rsidR="00EC252C" w:rsidRDefault="00EC252C" w:rsidP="00EC252C">
      <w:pPr>
        <w:pStyle w:val="NoSpacing"/>
        <w:ind w:left="1440"/>
      </w:pPr>
    </w:p>
    <w:p w14:paraId="06958D31" w14:textId="77777777" w:rsidR="00EC252C" w:rsidRDefault="00EC252C" w:rsidP="00EC252C">
      <w:pPr>
        <w:pStyle w:val="NoSpacing"/>
        <w:ind w:left="1440"/>
      </w:pPr>
      <w:r>
        <w:t>[</w:t>
      </w:r>
      <w:r w:rsidRPr="009E64D7">
        <w:t>Louisiana Revised Statute 33:2181, known as the Firefighters Bill of Rights</w:t>
      </w:r>
      <w:r>
        <w:t>]</w:t>
      </w:r>
      <w:r w:rsidRPr="009E64D7">
        <w:t>,</w:t>
      </w:r>
    </w:p>
    <w:p w14:paraId="32563332" w14:textId="77777777" w:rsidR="00EC252C" w:rsidRDefault="00EC252C" w:rsidP="00EC252C">
      <w:pPr>
        <w:pStyle w:val="NoSpacing"/>
        <w:ind w:left="1440"/>
      </w:pPr>
      <w:proofErr w:type="gramStart"/>
      <w:r>
        <w:t>provides ‘[</w:t>
      </w:r>
      <w:proofErr w:type="gramEnd"/>
      <w:r>
        <w:t>a]</w:t>
      </w:r>
      <w:proofErr w:type="spellStart"/>
      <w:r>
        <w:t>ny</w:t>
      </w:r>
      <w:proofErr w:type="spellEnd"/>
      <w:r>
        <w:t xml:space="preserve"> investigation of a fire employee which is conducted pursuant to this Subpart shall be completed within sixty days, including the conducting of any pre-disciplinary hearing or conference.’ La. R.S. 33:2186(A). The fire department may petition the governing authority for an extension of time in which to complete its investigation upon a showing of good cause. La. R.S. 33:2186(B).” </w:t>
      </w:r>
    </w:p>
    <w:p w14:paraId="2FF6C6F4" w14:textId="77777777" w:rsidR="00EC252C" w:rsidRDefault="00EC252C" w:rsidP="00EC252C">
      <w:pPr>
        <w:pStyle w:val="NoSpacing"/>
        <w:ind w:left="1440"/>
      </w:pPr>
    </w:p>
    <w:p w14:paraId="293B448D" w14:textId="77777777" w:rsidR="00EC252C" w:rsidRDefault="00EC252C" w:rsidP="00EC252C">
      <w:pPr>
        <w:pStyle w:val="NoSpacing"/>
        <w:ind w:left="720"/>
      </w:pPr>
      <w:r>
        <w:t>***</w:t>
      </w:r>
    </w:p>
    <w:p w14:paraId="61C19AC1" w14:textId="77777777" w:rsidR="00EC252C" w:rsidRDefault="00EC252C" w:rsidP="00EC252C">
      <w:pPr>
        <w:pStyle w:val="NoSpacing"/>
        <w:ind w:left="720"/>
      </w:pPr>
    </w:p>
    <w:p w14:paraId="5B5ACD88" w14:textId="77777777" w:rsidR="00EC252C" w:rsidRDefault="00EC252C" w:rsidP="00EC252C">
      <w:pPr>
        <w:pStyle w:val="NoSpacing"/>
        <w:ind w:left="720"/>
      </w:pPr>
      <w:r>
        <w:t xml:space="preserve">The NOFD argues that the Commission’s finding was erroneous because it undermines this Court’s decision in Pitre v. </w:t>
      </w:r>
      <w:proofErr w:type="spellStart"/>
      <w:r>
        <w:t>Dep’t</w:t>
      </w:r>
      <w:proofErr w:type="spellEnd"/>
      <w:r>
        <w:t xml:space="preserve"> of Fire, 2021-0632 (La. App. 4 Cir. 2022), 338 So.3d 70 regarding when an investigation commences…. In Pitre, a firefighter was charged with making false statements during a formal investigation regarding another employee’s worker’s compensation claim. The NOFD sent a notification letter to the firefighter on July 8, </w:t>
      </w:r>
      <w:proofErr w:type="gramStart"/>
      <w:r>
        <w:t>2020</w:t>
      </w:r>
      <w:proofErr w:type="gramEnd"/>
      <w:r>
        <w:t xml:space="preserve"> and the firefighter was terminated on September 28, 2020…. </w:t>
      </w:r>
    </w:p>
    <w:p w14:paraId="458BB811" w14:textId="77777777" w:rsidR="00EC252C" w:rsidRDefault="00EC252C" w:rsidP="00EC252C">
      <w:pPr>
        <w:pStyle w:val="NoSpacing"/>
        <w:ind w:left="720"/>
      </w:pPr>
      <w:r>
        <w:t>NOFD received an enhanced video footage of the firefighter’s actions on August 7, 2020….  NOFD argued that the investigation into the firefighter did not commence until August 7, 2020…. This Court found that the investigation commenced on July 8, 2020, when NOFD conducted an interrogation, not an initial inquiry. Specifically, the</w:t>
      </w:r>
    </w:p>
    <w:p w14:paraId="1C213FF7" w14:textId="77777777" w:rsidR="00EC252C" w:rsidRDefault="00EC252C" w:rsidP="00EC252C">
      <w:pPr>
        <w:pStyle w:val="NoSpacing"/>
        <w:ind w:left="720"/>
      </w:pPr>
      <w:r>
        <w:t xml:space="preserve">notification letter was issued to the firefighter detailing that he would be interviewed in connection with an investigation for violation of the NOFD Rules and Regulations. </w:t>
      </w:r>
    </w:p>
    <w:p w14:paraId="429FADC3" w14:textId="77777777" w:rsidR="00EC252C" w:rsidRDefault="00EC252C" w:rsidP="00EC252C">
      <w:pPr>
        <w:pStyle w:val="NoSpacing"/>
        <w:ind w:left="720"/>
      </w:pPr>
    </w:p>
    <w:p w14:paraId="02D9F32D" w14:textId="77777777" w:rsidR="00EC252C" w:rsidRDefault="00EC252C" w:rsidP="00EC252C">
      <w:pPr>
        <w:pStyle w:val="NoSpacing"/>
        <w:ind w:left="720"/>
      </w:pPr>
      <w:r>
        <w:t>***</w:t>
      </w:r>
    </w:p>
    <w:p w14:paraId="7E52B6F2" w14:textId="77777777" w:rsidR="00EC252C" w:rsidRDefault="00EC252C" w:rsidP="00EC252C">
      <w:pPr>
        <w:pStyle w:val="NoSpacing"/>
        <w:ind w:left="720"/>
      </w:pPr>
    </w:p>
    <w:p w14:paraId="46416B8F" w14:textId="77777777" w:rsidR="00EC252C" w:rsidRDefault="00EC252C" w:rsidP="00EC252C">
      <w:pPr>
        <w:pStyle w:val="NoSpacing"/>
        <w:ind w:left="720"/>
      </w:pPr>
      <w:r w:rsidRPr="00B05652">
        <w:t>We do not find that the Commission’s decision undermines this Court’s</w:t>
      </w:r>
      <w:r>
        <w:t xml:space="preserve"> </w:t>
      </w:r>
      <w:r w:rsidRPr="00B05652">
        <w:t xml:space="preserve">decision in Pitre. The facts in </w:t>
      </w:r>
      <w:proofErr w:type="gramStart"/>
      <w:r w:rsidRPr="00B05652">
        <w:t>Pitre,</w:t>
      </w:r>
      <w:proofErr w:type="gramEnd"/>
      <w:r w:rsidRPr="00B05652">
        <w:t xml:space="preserve"> are distinguishable, as the investigation into</w:t>
      </w:r>
      <w:r>
        <w:t xml:space="preserve"> </w:t>
      </w:r>
      <w:r w:rsidRPr="00B05652">
        <w:t>the firefighter began when NOFD made more than an initial inquiry into the</w:t>
      </w:r>
      <w:r>
        <w:t xml:space="preserve"> </w:t>
      </w:r>
      <w:r w:rsidRPr="00B05652">
        <w:t>firefighter’s misconduct by conducting a formal interview. Here, we find that the</w:t>
      </w:r>
      <w:r>
        <w:t xml:space="preserve"> </w:t>
      </w:r>
      <w:r w:rsidRPr="00B05652">
        <w:t>investigation into Mr. Bruner commenced on April 19, 2024, when NOFD was</w:t>
      </w:r>
      <w:r>
        <w:t xml:space="preserve"> </w:t>
      </w:r>
      <w:r w:rsidRPr="00B05652">
        <w:t>informed of Mr. Bruner’s misconduct and requested, and received evidence of his</w:t>
      </w:r>
      <w:r>
        <w:t xml:space="preserve"> </w:t>
      </w:r>
      <w:r w:rsidRPr="00B05652">
        <w:t>misconduct on the same date.</w:t>
      </w:r>
      <w:r>
        <w:t>”</w:t>
      </w:r>
    </w:p>
    <w:p w14:paraId="56C83147" w14:textId="77777777" w:rsidR="00EC252C" w:rsidRDefault="00EC252C" w:rsidP="00EC252C">
      <w:pPr>
        <w:pStyle w:val="NoSpacing"/>
        <w:ind w:left="720"/>
      </w:pPr>
    </w:p>
    <w:p w14:paraId="591752F3" w14:textId="77777777" w:rsidR="00EC252C" w:rsidRPr="00B05652" w:rsidRDefault="00EC252C" w:rsidP="00EC252C">
      <w:pPr>
        <w:pStyle w:val="NoSpacing"/>
        <w:rPr>
          <w:b/>
          <w:bCs/>
        </w:rPr>
      </w:pPr>
      <w:r>
        <w:rPr>
          <w:b/>
        </w:rPr>
        <w:t xml:space="preserve">Legal </w:t>
      </w:r>
      <w:proofErr w:type="gramStart"/>
      <w:r>
        <w:rPr>
          <w:b/>
        </w:rPr>
        <w:t>lesson</w:t>
      </w:r>
      <w:proofErr w:type="gramEnd"/>
      <w:r>
        <w:rPr>
          <w:b/>
        </w:rPr>
        <w:t xml:space="preserve"> learned:  The 60-day rule can lead to confusion; be helpful if a FD policy could give specific guidance. </w:t>
      </w:r>
    </w:p>
    <w:p w14:paraId="6ED60C2A" w14:textId="77777777" w:rsidR="00EC252C" w:rsidRDefault="00EC252C" w:rsidP="00EC252C">
      <w:pPr>
        <w:rPr>
          <w:b/>
        </w:rPr>
      </w:pPr>
    </w:p>
    <w:p w14:paraId="5B1D6F12" w14:textId="66D6A7EC" w:rsidR="00EC252C" w:rsidRDefault="009D283D" w:rsidP="000C62A1">
      <w:pPr>
        <w:pStyle w:val="NoSpacing"/>
        <w:rPr>
          <w:rFonts w:ascii="Arial Black" w:hAnsi="Arial Black"/>
          <w:sz w:val="28"/>
          <w:szCs w:val="28"/>
        </w:rPr>
      </w:pPr>
      <w:r>
        <w:rPr>
          <w:rFonts w:ascii="Arial Black" w:hAnsi="Arial Black"/>
          <w:sz w:val="28"/>
          <w:szCs w:val="28"/>
        </w:rPr>
        <w:t>5-58</w:t>
      </w:r>
    </w:p>
    <w:p w14:paraId="4565709E" w14:textId="77777777" w:rsidR="003F1E51" w:rsidRDefault="003F1E51" w:rsidP="009D283D">
      <w:pPr>
        <w:pStyle w:val="NoSpacing"/>
        <w:rPr>
          <w:rFonts w:ascii="Arial Black" w:hAnsi="Arial Black"/>
          <w:sz w:val="28"/>
          <w:szCs w:val="28"/>
        </w:rPr>
      </w:pPr>
    </w:p>
    <w:p w14:paraId="0C380036" w14:textId="3C1D26C7" w:rsidR="009D283D" w:rsidRPr="00FA1AE7" w:rsidRDefault="009D283D" w:rsidP="009D283D">
      <w:pPr>
        <w:pStyle w:val="NoSpacing"/>
        <w:rPr>
          <w:rFonts w:ascii="Arial Black" w:hAnsi="Arial Black"/>
          <w:sz w:val="28"/>
          <w:szCs w:val="28"/>
        </w:rPr>
      </w:pPr>
      <w:r>
        <w:rPr>
          <w:rFonts w:ascii="Arial Black" w:hAnsi="Arial Black"/>
          <w:sz w:val="28"/>
          <w:szCs w:val="28"/>
        </w:rPr>
        <w:t xml:space="preserve">TX: CHIEF MVA DRIVING TO WORK - CITY </w:t>
      </w:r>
      <w:r w:rsidR="00F42915">
        <w:rPr>
          <w:rFonts w:ascii="Arial Black" w:hAnsi="Arial Black"/>
          <w:sz w:val="28"/>
          <w:szCs w:val="28"/>
        </w:rPr>
        <w:t xml:space="preserve">HAS </w:t>
      </w:r>
      <w:r>
        <w:rPr>
          <w:rFonts w:ascii="Arial Black" w:hAnsi="Arial Black"/>
          <w:sz w:val="28"/>
          <w:szCs w:val="28"/>
        </w:rPr>
        <w:t xml:space="preserve">IMMUNITY </w:t>
      </w:r>
    </w:p>
    <w:p w14:paraId="5B6CD67B" w14:textId="77777777" w:rsidR="009D283D" w:rsidRDefault="009D283D" w:rsidP="009D283D">
      <w:pPr>
        <w:pStyle w:val="NoSpacing"/>
      </w:pPr>
    </w:p>
    <w:p w14:paraId="796D15BB" w14:textId="77777777" w:rsidR="009D283D" w:rsidRDefault="009D283D" w:rsidP="009D283D">
      <w:pPr>
        <w:rPr>
          <w:bCs/>
        </w:rPr>
      </w:pPr>
      <w:r>
        <w:t xml:space="preserve">On December 9, 2025, in </w:t>
      </w:r>
      <w:r w:rsidRPr="00236011">
        <w:rPr>
          <w:u w:val="single"/>
        </w:rPr>
        <w:t>City of Houston v. Annie Gutierrez, et al</w:t>
      </w:r>
      <w:r>
        <w:t xml:space="preserve">., the </w:t>
      </w:r>
      <w:r w:rsidRPr="00236011">
        <w:t>Court of Appeals of Texas, Fourteenth District</w:t>
      </w:r>
      <w:r>
        <w:t xml:space="preserve"> held that trial court should have dismissed the city; under the State’s tort claims act, municipalities wave their governmental immunity for motor vehicle accidents in the performance of employee’s duties.  Under the “coming and going” rule, employees driving to work are not in the performance of their duties.  </w:t>
      </w:r>
      <w:hyperlink r:id="rId957" w:history="1">
        <w:r w:rsidRPr="00AE4181">
          <w:rPr>
            <w:rStyle w:val="Hyperlink"/>
          </w:rPr>
          <w:t>https://cases.justia.com/texas/fourteenth-court-of-appeals/2025-14-24-00811-cv.pdf?ts=1765287556</w:t>
        </w:r>
      </w:hyperlink>
      <w:r>
        <w:t xml:space="preserve"> </w:t>
      </w:r>
    </w:p>
    <w:p w14:paraId="68E79A19" w14:textId="77777777" w:rsidR="009D283D" w:rsidRDefault="009D283D" w:rsidP="009D283D">
      <w:pPr>
        <w:rPr>
          <w:bCs/>
        </w:rPr>
      </w:pPr>
      <w:r>
        <w:t>THE COURT HELD:</w:t>
      </w:r>
    </w:p>
    <w:p w14:paraId="180F91F8" w14:textId="77777777" w:rsidR="009D283D" w:rsidRPr="00354114" w:rsidRDefault="009D283D" w:rsidP="009D283D">
      <w:pPr>
        <w:pStyle w:val="NoSpacing"/>
        <w:ind w:firstLine="720"/>
      </w:pPr>
      <w:r>
        <w:t>“</w:t>
      </w:r>
      <w:r w:rsidRPr="00354114">
        <w:t>At approximately 5:30 a.m. one morning, a Chevrolet Silverado truck struck</w:t>
      </w:r>
    </w:p>
    <w:p w14:paraId="285F8540" w14:textId="77777777" w:rsidR="009D283D" w:rsidRPr="00354114" w:rsidRDefault="009D283D" w:rsidP="009D283D">
      <w:pPr>
        <w:pStyle w:val="NoSpacing"/>
        <w:ind w:firstLine="720"/>
      </w:pPr>
      <w:r w:rsidRPr="00354114">
        <w:t>the back of a car in a left-hand-turn lane on Westpark Drive in Houston. City of</w:t>
      </w:r>
    </w:p>
    <w:p w14:paraId="7387BDE4" w14:textId="77777777" w:rsidR="009D283D" w:rsidRPr="00354114" w:rsidRDefault="009D283D" w:rsidP="009D283D">
      <w:pPr>
        <w:pStyle w:val="NoSpacing"/>
        <w:ind w:firstLine="720"/>
      </w:pPr>
      <w:r w:rsidRPr="00354114">
        <w:t xml:space="preserve">Houston Fire Chief Mark Griffiths was the driver of the </w:t>
      </w:r>
      <w:proofErr w:type="gramStart"/>
      <w:r w:rsidRPr="00354114">
        <w:t>truck, which</w:t>
      </w:r>
      <w:proofErr w:type="gramEnd"/>
      <w:r w:rsidRPr="00354114">
        <w:t xml:space="preserve"> the </w:t>
      </w:r>
      <w:proofErr w:type="gramStart"/>
      <w:r w:rsidRPr="00354114">
        <w:t>City</w:t>
      </w:r>
      <w:proofErr w:type="gramEnd"/>
      <w:r w:rsidRPr="00354114">
        <w:t xml:space="preserve"> owned.</w:t>
      </w:r>
    </w:p>
    <w:p w14:paraId="398CC545" w14:textId="77777777" w:rsidR="009D283D" w:rsidRPr="00354114" w:rsidRDefault="009D283D" w:rsidP="009D283D">
      <w:pPr>
        <w:pStyle w:val="NoSpacing"/>
        <w:ind w:firstLine="720"/>
      </w:pPr>
      <w:r w:rsidRPr="00354114">
        <w:t xml:space="preserve">Appellees sued the </w:t>
      </w:r>
      <w:proofErr w:type="gramStart"/>
      <w:r w:rsidRPr="00354114">
        <w:t>City</w:t>
      </w:r>
      <w:proofErr w:type="gramEnd"/>
      <w:r w:rsidRPr="00354114">
        <w:t xml:space="preserve"> alleging personal injuries from the collision. Appellees</w:t>
      </w:r>
    </w:p>
    <w:p w14:paraId="6878C234" w14:textId="77777777" w:rsidR="009D283D" w:rsidRPr="00354114" w:rsidRDefault="009D283D" w:rsidP="009D283D">
      <w:pPr>
        <w:pStyle w:val="NoSpacing"/>
        <w:ind w:firstLine="720"/>
      </w:pPr>
      <w:r w:rsidRPr="00354114">
        <w:t xml:space="preserve">alleged Griffiths drove negligently while </w:t>
      </w:r>
      <w:proofErr w:type="gramStart"/>
      <w:r w:rsidRPr="00354114">
        <w:t>in</w:t>
      </w:r>
      <w:proofErr w:type="gramEnd"/>
      <w:r w:rsidRPr="00354114">
        <w:t xml:space="preserve"> the course and scope of his </w:t>
      </w:r>
      <w:proofErr w:type="gramStart"/>
      <w:r w:rsidRPr="00354114">
        <w:t>City</w:t>
      </w:r>
      <w:proofErr w:type="gramEnd"/>
    </w:p>
    <w:p w14:paraId="7BBF326F" w14:textId="77777777" w:rsidR="009D283D" w:rsidRPr="00354114" w:rsidRDefault="009D283D" w:rsidP="009D283D">
      <w:pPr>
        <w:pStyle w:val="NoSpacing"/>
        <w:ind w:firstLine="720"/>
      </w:pPr>
      <w:r w:rsidRPr="00354114">
        <w:t xml:space="preserve">employment at the time of the collision, and thus, the City’s immunity was </w:t>
      </w:r>
      <w:proofErr w:type="gramStart"/>
      <w:r w:rsidRPr="00354114">
        <w:t>waived</w:t>
      </w:r>
      <w:proofErr w:type="gramEnd"/>
    </w:p>
    <w:p w14:paraId="70FEBB97" w14:textId="77777777" w:rsidR="009D283D" w:rsidRPr="00354114" w:rsidRDefault="009D283D" w:rsidP="009D283D">
      <w:pPr>
        <w:pStyle w:val="NoSpacing"/>
        <w:ind w:firstLine="720"/>
      </w:pPr>
      <w:r w:rsidRPr="00354114">
        <w:t xml:space="preserve">under the Texas Torts Claims Act (“TTCA”). See Tex. Civ. </w:t>
      </w:r>
      <w:proofErr w:type="spellStart"/>
      <w:r w:rsidRPr="00354114">
        <w:t>Prac</w:t>
      </w:r>
      <w:proofErr w:type="spellEnd"/>
      <w:r w:rsidRPr="00354114">
        <w:t>. &amp; Rem. Code</w:t>
      </w:r>
    </w:p>
    <w:p w14:paraId="776F8604" w14:textId="77777777" w:rsidR="009D283D" w:rsidRDefault="009D283D" w:rsidP="009D283D">
      <w:pPr>
        <w:pStyle w:val="NoSpacing"/>
        <w:ind w:firstLine="720"/>
      </w:pPr>
      <w:r w:rsidRPr="00354114">
        <w:t>Ann. § 101.021(1).</w:t>
      </w:r>
    </w:p>
    <w:p w14:paraId="0C753287" w14:textId="77777777" w:rsidR="009D283D" w:rsidRDefault="009D283D" w:rsidP="009D283D">
      <w:pPr>
        <w:pStyle w:val="NoSpacing"/>
      </w:pPr>
    </w:p>
    <w:p w14:paraId="07202E40" w14:textId="77777777" w:rsidR="009D283D" w:rsidRDefault="009D283D" w:rsidP="009D283D">
      <w:pPr>
        <w:pStyle w:val="NoSpacing"/>
        <w:ind w:firstLine="720"/>
      </w:pPr>
      <w:r>
        <w:t>The City’s evidence showed that when this accident occurred, Griffiths was</w:t>
      </w:r>
    </w:p>
    <w:p w14:paraId="789B127B" w14:textId="77777777" w:rsidR="009D283D" w:rsidRDefault="009D283D" w:rsidP="009D283D">
      <w:pPr>
        <w:pStyle w:val="NoSpacing"/>
        <w:ind w:firstLine="720"/>
      </w:pPr>
      <w:r>
        <w:t>driving from his home. Griffiths was about ten minutes away from the fire station,</w:t>
      </w:r>
    </w:p>
    <w:p w14:paraId="7020F297" w14:textId="77777777" w:rsidR="009D283D" w:rsidRDefault="009D283D" w:rsidP="009D283D">
      <w:pPr>
        <w:pStyle w:val="NoSpacing"/>
        <w:ind w:firstLine="720"/>
      </w:pPr>
      <w:r>
        <w:t>but planned to go to the gym, then to work. Griffiths was wearing his gym clothes</w:t>
      </w:r>
    </w:p>
    <w:p w14:paraId="3B077913" w14:textId="77777777" w:rsidR="009D283D" w:rsidRDefault="009D283D" w:rsidP="009D283D">
      <w:pPr>
        <w:pStyle w:val="NoSpacing"/>
        <w:ind w:firstLine="720"/>
      </w:pPr>
      <w:r>
        <w:t>at the time of the accident. Griffiths testified his normal routine was to go to the</w:t>
      </w:r>
    </w:p>
    <w:p w14:paraId="28BCAF3C" w14:textId="77777777" w:rsidR="009D283D" w:rsidRDefault="009D283D" w:rsidP="009D283D">
      <w:pPr>
        <w:pStyle w:val="NoSpacing"/>
        <w:ind w:firstLine="720"/>
      </w:pPr>
      <w:r>
        <w:t>gym, work out, then put on his uniform and then start work.</w:t>
      </w:r>
    </w:p>
    <w:p w14:paraId="699B68C3" w14:textId="77777777" w:rsidR="009D283D" w:rsidRDefault="009D283D" w:rsidP="009D283D">
      <w:pPr>
        <w:pStyle w:val="NoSpacing"/>
      </w:pPr>
    </w:p>
    <w:p w14:paraId="0A0EE420" w14:textId="77777777" w:rsidR="009D283D" w:rsidRDefault="009D283D" w:rsidP="009D283D">
      <w:pPr>
        <w:pStyle w:val="NoSpacing"/>
        <w:ind w:firstLine="720"/>
      </w:pPr>
      <w:proofErr w:type="spellStart"/>
      <w:r>
        <w:t>Griffiths’s</w:t>
      </w:r>
      <w:proofErr w:type="spellEnd"/>
      <w:r>
        <w:t xml:space="preserve"> work hours were 6:00 a.m. to 4:00 p.m., Tuesdays through Fridays.</w:t>
      </w:r>
    </w:p>
    <w:p w14:paraId="78524696" w14:textId="77777777" w:rsidR="009D283D" w:rsidRDefault="009D283D" w:rsidP="009D283D">
      <w:pPr>
        <w:pStyle w:val="NoSpacing"/>
        <w:ind w:firstLine="720"/>
      </w:pPr>
      <w:proofErr w:type="spellStart"/>
      <w:r>
        <w:t>Griffiths’s</w:t>
      </w:r>
      <w:proofErr w:type="spellEnd"/>
      <w:r>
        <w:t xml:space="preserve"> work duties did not include responding to emergencies. Griffiths</w:t>
      </w:r>
    </w:p>
    <w:p w14:paraId="076AD3B8" w14:textId="77777777" w:rsidR="009D283D" w:rsidRDefault="009D283D" w:rsidP="009D283D">
      <w:pPr>
        <w:pStyle w:val="NoSpacing"/>
        <w:ind w:firstLine="720"/>
      </w:pPr>
      <w:r>
        <w:t>described his work as training firefighters and quality assurance of incoming calls</w:t>
      </w:r>
    </w:p>
    <w:p w14:paraId="2848EAA0" w14:textId="77777777" w:rsidR="009D283D" w:rsidRDefault="009D283D" w:rsidP="009D283D">
      <w:pPr>
        <w:ind w:firstLine="720"/>
      </w:pPr>
      <w:r>
        <w:t>and complaints.</w:t>
      </w:r>
    </w:p>
    <w:p w14:paraId="105DB91F" w14:textId="77777777" w:rsidR="009D283D" w:rsidRDefault="009D283D" w:rsidP="009D283D">
      <w:pPr>
        <w:ind w:firstLine="720"/>
      </w:pPr>
      <w:r>
        <w:t>***</w:t>
      </w:r>
    </w:p>
    <w:p w14:paraId="76938831" w14:textId="77777777" w:rsidR="009D283D" w:rsidRDefault="009D283D" w:rsidP="009D283D">
      <w:pPr>
        <w:pStyle w:val="NoSpacing"/>
        <w:ind w:firstLine="720"/>
        <w:rPr>
          <w:bCs/>
        </w:rPr>
      </w:pPr>
      <w:r w:rsidRPr="009F3681">
        <w:t>This Court recently summarized the coming-and-going rule as follows:</w:t>
      </w:r>
      <w:r>
        <w:t xml:space="preserve"> </w:t>
      </w:r>
    </w:p>
    <w:p w14:paraId="14DCA6E8" w14:textId="77777777" w:rsidR="009D283D" w:rsidRPr="009F3681" w:rsidRDefault="009D283D" w:rsidP="009D283D">
      <w:pPr>
        <w:pStyle w:val="NoSpacing"/>
        <w:ind w:left="720"/>
        <w:rPr>
          <w:bCs/>
        </w:rPr>
      </w:pPr>
      <w:r w:rsidRPr="009F3681">
        <w:t xml:space="preserve">Under the coming-and-going rule, an </w:t>
      </w:r>
      <w:r>
        <w:t>‘</w:t>
      </w:r>
      <w:r w:rsidRPr="009F3681">
        <w:t>employee is generally not acting</w:t>
      </w:r>
      <w:r>
        <w:t xml:space="preserve"> </w:t>
      </w:r>
      <w:r w:rsidRPr="009F3681">
        <w:t>within the scope of [her] employment when traveling to and from</w:t>
      </w:r>
      <w:r>
        <w:t xml:space="preserve"> </w:t>
      </w:r>
      <w:r w:rsidRPr="009F3681">
        <w:t>work.</w:t>
      </w:r>
      <w:r>
        <w:t xml:space="preserve">’ </w:t>
      </w:r>
      <w:r w:rsidRPr="009F3681">
        <w:t xml:space="preserve"> Painter v. </w:t>
      </w:r>
      <w:proofErr w:type="spellStart"/>
      <w:r w:rsidRPr="009F3681">
        <w:t>Amerimex</w:t>
      </w:r>
      <w:proofErr w:type="spellEnd"/>
      <w:r w:rsidRPr="009F3681">
        <w:t xml:space="preserve"> Drilling I, Ltd., 561 S.W.3d 125, 136 (Tex.</w:t>
      </w:r>
      <w:r>
        <w:t xml:space="preserve"> </w:t>
      </w:r>
      <w:r w:rsidRPr="009F3681">
        <w:t>2018). The coming-and-going rule reflects that an accident while</w:t>
      </w:r>
      <w:r>
        <w:t xml:space="preserve"> </w:t>
      </w:r>
      <w:r w:rsidRPr="009F3681">
        <w:t>traveling to and from work does not generally arise from a person’s</w:t>
      </w:r>
    </w:p>
    <w:p w14:paraId="6FFBC35B" w14:textId="77777777" w:rsidR="009D283D" w:rsidRPr="009F3681" w:rsidRDefault="009D283D" w:rsidP="009D283D">
      <w:pPr>
        <w:pStyle w:val="NoSpacing"/>
        <w:ind w:left="720"/>
        <w:rPr>
          <w:bCs/>
        </w:rPr>
      </w:pPr>
      <w:r w:rsidRPr="009F3681">
        <w:lastRenderedPageBreak/>
        <w:t xml:space="preserve">employment but instead </w:t>
      </w:r>
      <w:proofErr w:type="gramStart"/>
      <w:r w:rsidRPr="009F3681">
        <w:t>from</w:t>
      </w:r>
      <w:proofErr w:type="gramEnd"/>
      <w:r w:rsidRPr="009F3681">
        <w:t xml:space="preserve"> the risks and hazards inherent to the</w:t>
      </w:r>
      <w:r>
        <w:t xml:space="preserve"> </w:t>
      </w:r>
      <w:r w:rsidRPr="009F3681">
        <w:t xml:space="preserve">driving public. Smith v. Tex. Emp. Ins. </w:t>
      </w:r>
      <w:proofErr w:type="spellStart"/>
      <w:r w:rsidRPr="009F3681">
        <w:t>Ass’n</w:t>
      </w:r>
      <w:proofErr w:type="spellEnd"/>
      <w:r w:rsidRPr="009F3681">
        <w:t>, 105 S.W.2d 192, 193</w:t>
      </w:r>
      <w:r>
        <w:t xml:space="preserve"> </w:t>
      </w:r>
      <w:r w:rsidRPr="009F3681">
        <w:t>(Tex. [Comm’n Op.] 1937); see Cameron Int’l Corp. v. Martinez, 662</w:t>
      </w:r>
      <w:r>
        <w:t xml:space="preserve"> </w:t>
      </w:r>
      <w:r w:rsidRPr="009F3681">
        <w:t xml:space="preserve">S.W.3d 373, 376 (Tex. 2022). </w:t>
      </w:r>
      <w:r>
        <w:t>‘</w:t>
      </w:r>
      <w:r w:rsidRPr="009F3681">
        <w:t>Such travel hazards do not arise out of</w:t>
      </w:r>
      <w:r>
        <w:t xml:space="preserve"> </w:t>
      </w:r>
      <w:r w:rsidRPr="009F3681">
        <w:t>the business of an employer; thus, the law does not hold the employer</w:t>
      </w:r>
    </w:p>
    <w:p w14:paraId="2882794A" w14:textId="77777777" w:rsidR="009D283D" w:rsidRDefault="009D283D" w:rsidP="009D283D">
      <w:pPr>
        <w:pStyle w:val="NoSpacing"/>
        <w:ind w:firstLine="720"/>
        <w:rPr>
          <w:bCs/>
        </w:rPr>
      </w:pPr>
      <w:r w:rsidRPr="009F3681">
        <w:t>liable for injuries resulting from engaging in these risks.</w:t>
      </w:r>
      <w:r>
        <w:t>’</w:t>
      </w:r>
      <w:r w:rsidRPr="009F3681">
        <w:t xml:space="preserve"> Cameron,</w:t>
      </w:r>
      <w:r>
        <w:t xml:space="preserve"> </w:t>
      </w:r>
      <w:r w:rsidRPr="009F3681">
        <w:t>662 S.W.3d at 376.</w:t>
      </w:r>
      <w:r>
        <w:t>”</w:t>
      </w:r>
    </w:p>
    <w:p w14:paraId="3073CFD8" w14:textId="77777777" w:rsidR="009D283D" w:rsidRDefault="009D283D" w:rsidP="009D283D">
      <w:pPr>
        <w:pStyle w:val="NoSpacing"/>
        <w:ind w:firstLine="720"/>
        <w:rPr>
          <w:bCs/>
        </w:rPr>
      </w:pPr>
    </w:p>
    <w:p w14:paraId="65F961A4" w14:textId="77777777" w:rsidR="009D283D" w:rsidRPr="00072A0E" w:rsidRDefault="009D283D" w:rsidP="009D283D">
      <w:pPr>
        <w:pStyle w:val="NoSpacing"/>
        <w:rPr>
          <w:b/>
        </w:rPr>
      </w:pPr>
      <w:r>
        <w:rPr>
          <w:b/>
        </w:rPr>
        <w:t xml:space="preserve">Legal lesson learned: The motorist may pursue litigation against the Chief in his personal capacity, but not the city. </w:t>
      </w:r>
    </w:p>
    <w:p w14:paraId="2B23B80E" w14:textId="77777777" w:rsidR="009D283D" w:rsidRPr="00236011" w:rsidRDefault="009D283D" w:rsidP="009D283D">
      <w:pPr>
        <w:pStyle w:val="NoSpacing"/>
        <w:rPr>
          <w:bCs/>
        </w:rPr>
      </w:pPr>
    </w:p>
    <w:p w14:paraId="77A190AC" w14:textId="77777777" w:rsidR="009D283D" w:rsidRDefault="009D283D" w:rsidP="000C62A1">
      <w:pPr>
        <w:pStyle w:val="NoSpacing"/>
        <w:rPr>
          <w:rFonts w:ascii="Arial Black" w:hAnsi="Arial Black"/>
          <w:sz w:val="28"/>
          <w:szCs w:val="28"/>
        </w:rPr>
      </w:pPr>
    </w:p>
    <w:p w14:paraId="671CC357" w14:textId="77777777" w:rsidR="00CC770C" w:rsidRDefault="00CC770C" w:rsidP="000C62A1">
      <w:pPr>
        <w:pStyle w:val="NoSpacing"/>
        <w:rPr>
          <w:rFonts w:ascii="Arial Black" w:hAnsi="Arial Black"/>
          <w:sz w:val="28"/>
          <w:szCs w:val="28"/>
        </w:rPr>
      </w:pPr>
    </w:p>
    <w:p w14:paraId="7B4787A0" w14:textId="77777777" w:rsidR="00CC770C" w:rsidRDefault="00CC770C" w:rsidP="000C62A1">
      <w:pPr>
        <w:pStyle w:val="NoSpacing"/>
        <w:rPr>
          <w:rFonts w:ascii="Arial Black" w:hAnsi="Arial Black"/>
          <w:sz w:val="28"/>
          <w:szCs w:val="28"/>
        </w:rPr>
      </w:pPr>
    </w:p>
    <w:p w14:paraId="44843B33" w14:textId="77777777" w:rsidR="00CC770C" w:rsidRDefault="00CC770C" w:rsidP="000C62A1">
      <w:pPr>
        <w:pStyle w:val="NoSpacing"/>
        <w:rPr>
          <w:rFonts w:ascii="Arial Black" w:hAnsi="Arial Black"/>
          <w:sz w:val="28"/>
          <w:szCs w:val="28"/>
        </w:rPr>
      </w:pPr>
    </w:p>
    <w:p w14:paraId="6E03A7EA" w14:textId="77777777" w:rsidR="00CC770C" w:rsidRDefault="00CC770C" w:rsidP="000C62A1">
      <w:pPr>
        <w:pStyle w:val="NoSpacing"/>
        <w:rPr>
          <w:rFonts w:ascii="Arial Black" w:hAnsi="Arial Black"/>
          <w:sz w:val="28"/>
          <w:szCs w:val="28"/>
        </w:rPr>
      </w:pPr>
    </w:p>
    <w:p w14:paraId="4793D3E2" w14:textId="77777777" w:rsidR="00CC770C" w:rsidRDefault="00CC770C" w:rsidP="000C62A1">
      <w:pPr>
        <w:pStyle w:val="NoSpacing"/>
        <w:rPr>
          <w:rFonts w:ascii="Arial Black" w:hAnsi="Arial Black"/>
          <w:sz w:val="28"/>
          <w:szCs w:val="28"/>
        </w:rPr>
      </w:pPr>
    </w:p>
    <w:p w14:paraId="129C85C4" w14:textId="1D4DAA88" w:rsidR="0096096B" w:rsidRDefault="003E41BB" w:rsidP="000C62A1">
      <w:pPr>
        <w:pStyle w:val="NoSpacing"/>
        <w:rPr>
          <w:rFonts w:ascii="Arial Black" w:hAnsi="Arial Black"/>
          <w:sz w:val="28"/>
          <w:szCs w:val="28"/>
        </w:rPr>
      </w:pPr>
      <w:r>
        <w:rPr>
          <w:rFonts w:ascii="Arial Black" w:hAnsi="Arial Black"/>
          <w:sz w:val="28"/>
          <w:szCs w:val="28"/>
        </w:rPr>
        <w:t>5-57</w:t>
      </w:r>
    </w:p>
    <w:p w14:paraId="492954D3" w14:textId="77777777" w:rsidR="003E41BB" w:rsidRDefault="003E41BB" w:rsidP="000C62A1">
      <w:pPr>
        <w:pStyle w:val="NoSpacing"/>
        <w:rPr>
          <w:rFonts w:ascii="Arial Black" w:hAnsi="Arial Black"/>
          <w:sz w:val="28"/>
          <w:szCs w:val="28"/>
        </w:rPr>
      </w:pPr>
    </w:p>
    <w:p w14:paraId="755FC4FA" w14:textId="77777777" w:rsidR="003E41BB" w:rsidRPr="00D418F3" w:rsidRDefault="003E41BB" w:rsidP="003E41BB">
      <w:pPr>
        <w:rPr>
          <w:rFonts w:ascii="Arial Black" w:hAnsi="Arial Black"/>
          <w:b/>
          <w:sz w:val="28"/>
          <w:szCs w:val="28"/>
        </w:rPr>
      </w:pPr>
      <w:r>
        <w:rPr>
          <w:rFonts w:ascii="Arial Black" w:hAnsi="Arial Black"/>
          <w:b/>
          <w:sz w:val="28"/>
          <w:szCs w:val="28"/>
        </w:rPr>
        <w:t>TX: RED LIGHT – NO PROOF SLOWED DOWN - NO IMMUNITY</w:t>
      </w:r>
    </w:p>
    <w:p w14:paraId="76149E22" w14:textId="77777777" w:rsidR="003E41BB" w:rsidRPr="00B00D48" w:rsidRDefault="003E41BB" w:rsidP="003E41BB">
      <w:pPr>
        <w:rPr>
          <w:b/>
          <w:bCs/>
        </w:rPr>
      </w:pPr>
      <w:r>
        <w:t xml:space="preserve">On Nov. 13, 2025, in </w:t>
      </w:r>
      <w:r w:rsidRPr="001C357D">
        <w:rPr>
          <w:u w:val="single"/>
        </w:rPr>
        <w:t>City of Houston, Texas v. Chelsea Manning, et al</w:t>
      </w:r>
      <w:r>
        <w:t xml:space="preserve">., the </w:t>
      </w:r>
      <w:r w:rsidRPr="00C56FEE">
        <w:t>Court of Appeals of Texas, Fourteenth District</w:t>
      </w:r>
      <w:r>
        <w:t xml:space="preserve"> held (3 to 0) that the trial court properly refused to grant immunity; the City failed to present evidence that Opticom had turned light to green.  </w:t>
      </w:r>
      <w:proofErr w:type="gramStart"/>
      <w:r>
        <w:t>Also</w:t>
      </w:r>
      <w:proofErr w:type="gramEnd"/>
      <w:r>
        <w:t xml:space="preserve"> no evidence Engine slowed down at the intersection (going 45 mph in 35 mph zone). This case has previously </w:t>
      </w:r>
      <w:proofErr w:type="gramStart"/>
      <w:r>
        <w:t>be</w:t>
      </w:r>
      <w:proofErr w:type="gramEnd"/>
      <w:r>
        <w:t xml:space="preserve"> appealed to Texas Supreme Court which remanded it back to the Court of Appeals to reconsider the evidence. THE COURT WROTE:  “[FAO </w:t>
      </w:r>
      <w:r w:rsidRPr="005E1C69">
        <w:t>Wilhelm</w:t>
      </w:r>
      <w:r>
        <w:t xml:space="preserve">] </w:t>
      </w:r>
      <w:r w:rsidRPr="007E7142">
        <w:t xml:space="preserve">Schmidt said he slowed to </w:t>
      </w:r>
      <w:r>
        <w:t>‘</w:t>
      </w:r>
      <w:r w:rsidRPr="007E7142">
        <w:t>clear the intersection,</w:t>
      </w:r>
      <w:r>
        <w:t>’</w:t>
      </w:r>
      <w:r w:rsidRPr="007E7142">
        <w:t xml:space="preserve"> but, as explained, other evidence in the record indicates that he was driving 45 miles per hour </w:t>
      </w:r>
      <w:r>
        <w:t>‘</w:t>
      </w:r>
      <w:r w:rsidRPr="007E7142">
        <w:t>on some of the straightaways</w:t>
      </w:r>
      <w:r>
        <w:t>’</w:t>
      </w:r>
      <w:r w:rsidRPr="007E7142">
        <w:t xml:space="preserve"> and remained driving at 45 miles per hour—10 miles per hour over the speed limit—at the </w:t>
      </w:r>
      <w:r>
        <w:t>‘</w:t>
      </w:r>
      <w:r w:rsidRPr="007E7142">
        <w:t>time of impact.</w:t>
      </w:r>
      <w:r>
        <w:t>’</w:t>
      </w:r>
      <w:r w:rsidRPr="007E7142">
        <w:t xml:space="preserve"> which is evidence from which a reasonable juror could infer that Schmidt either did not slow the vehicle at all or did not slow it as necessary for safe operation</w:t>
      </w:r>
      <w:r>
        <w:t xml:space="preserve">…. </w:t>
      </w:r>
      <w:r w:rsidRPr="000F4DCD">
        <w:t xml:space="preserve">We conclude that the </w:t>
      </w:r>
      <w:proofErr w:type="gramStart"/>
      <w:r w:rsidRPr="000F4DCD">
        <w:t>City</w:t>
      </w:r>
      <w:proofErr w:type="gramEnd"/>
      <w:r w:rsidRPr="000F4DCD">
        <w:t xml:space="preserve"> did not meet its initial burden to prove conclusively Schmidt's good fait</w:t>
      </w:r>
      <w:r>
        <w:t xml:space="preserve">h.” </w:t>
      </w:r>
      <w:hyperlink r:id="rId958" w:history="1">
        <w:r w:rsidRPr="006C188F">
          <w:rPr>
            <w:rStyle w:val="Hyperlink"/>
            <w:b/>
          </w:rPr>
          <w:t>https://caselaw.findlaw.com/court/tx-court-of-appeals/117928954.html</w:t>
        </w:r>
      </w:hyperlink>
      <w:r w:rsidRPr="00B00D48">
        <w:rPr>
          <w:b/>
        </w:rPr>
        <w:t xml:space="preserve"> </w:t>
      </w:r>
    </w:p>
    <w:p w14:paraId="10036D2C" w14:textId="77777777" w:rsidR="003E41BB" w:rsidRDefault="003E41BB" w:rsidP="003E41BB">
      <w:pPr>
        <w:pStyle w:val="NoSpacing"/>
      </w:pPr>
    </w:p>
    <w:p w14:paraId="6E7FFD55" w14:textId="77777777" w:rsidR="003E41BB" w:rsidRDefault="003E41BB" w:rsidP="003E41BB">
      <w:r>
        <w:t xml:space="preserve">THE COURT HELD: </w:t>
      </w:r>
    </w:p>
    <w:p w14:paraId="3F26A99A" w14:textId="77777777" w:rsidR="003E41BB" w:rsidRDefault="003E41BB" w:rsidP="003E41BB">
      <w:pPr>
        <w:ind w:left="720"/>
      </w:pPr>
      <w:r>
        <w:t>“</w:t>
      </w:r>
      <w:r w:rsidRPr="005E1C69">
        <w:t xml:space="preserve">The relevant facts are familiar to both the parties and to this court, so we summarize them only briefly. A Houston Fire </w:t>
      </w:r>
      <w:proofErr w:type="gramStart"/>
      <w:r w:rsidRPr="005E1C69">
        <w:t>Department (</w:t>
      </w:r>
      <w:r>
        <w:t>‘</w:t>
      </w:r>
      <w:proofErr w:type="gramEnd"/>
      <w:r w:rsidRPr="005E1C69">
        <w:t>HFD</w:t>
      </w:r>
      <w:r>
        <w:t>’</w:t>
      </w:r>
      <w:r w:rsidRPr="005E1C69">
        <w:t>) truck driven by Engineer/Operator Wilhelm Schmidt responded to a dispatch for a dumpster fire at an apartment complex. En route, the fire truck collided with a car driven by Chelsea Manning at the intersection of Ludington Drive and Fondren Road. Also in Manning's car were three minor passengers.</w:t>
      </w:r>
    </w:p>
    <w:p w14:paraId="49455F5F" w14:textId="77777777" w:rsidR="003E41BB" w:rsidRDefault="003E41BB" w:rsidP="003E41BB">
      <w:pPr>
        <w:ind w:left="720"/>
      </w:pPr>
      <w:r>
        <w:t>***</w:t>
      </w:r>
    </w:p>
    <w:p w14:paraId="0568A4F8" w14:textId="77777777" w:rsidR="003E41BB" w:rsidRDefault="003E41BB" w:rsidP="003E41BB">
      <w:pPr>
        <w:ind w:left="720"/>
      </w:pPr>
      <w:r w:rsidRPr="004F2DF7">
        <w:t xml:space="preserve">Under section 546.001, the operator of an emergency vehicle may proceed past a red or stop signal or stop sign, after slowing as necessary for safe operation. Id. § 546.001(2). Such an operator may also exceed a maximum speed limit, except as provided by an ordinance adopted under section 545.365, </w:t>
      </w:r>
      <w:proofErr w:type="gramStart"/>
      <w:r w:rsidRPr="004F2DF7">
        <w:t>as long as</w:t>
      </w:r>
      <w:proofErr w:type="gramEnd"/>
      <w:r w:rsidRPr="004F2DF7">
        <w:t xml:space="preserve"> the operator does not endanger life or property. Id. § 546.001(3)</w:t>
      </w:r>
      <w:r>
        <w:t xml:space="preserve">…. </w:t>
      </w:r>
    </w:p>
    <w:p w14:paraId="1A8D6F53" w14:textId="77777777" w:rsidR="003E41BB" w:rsidRDefault="003E41BB" w:rsidP="003E41BB">
      <w:pPr>
        <w:ind w:left="720"/>
      </w:pPr>
      <w:r w:rsidRPr="007E7142">
        <w:t xml:space="preserve">It is also evidence from which a reasonable juror could infer that Schmidt's excessive speed endangered life or property. Based on this evidence, a factfinder could reasonably conclude that Schmidt (1) drove above the </w:t>
      </w:r>
      <w:r w:rsidRPr="007E7142">
        <w:lastRenderedPageBreak/>
        <w:t>speed limit endangering life or property, (2) did not slow his speed as necessary for safe operation of the vehicle, and (3) proceeded against a red light.</w:t>
      </w:r>
    </w:p>
    <w:p w14:paraId="3EF48397" w14:textId="77777777" w:rsidR="003E41BB" w:rsidRDefault="003E41BB" w:rsidP="003E41BB">
      <w:pPr>
        <w:ind w:left="720"/>
      </w:pPr>
      <w:r>
        <w:t>***</w:t>
      </w:r>
    </w:p>
    <w:p w14:paraId="456919C9" w14:textId="77777777" w:rsidR="003E41BB" w:rsidRDefault="003E41BB" w:rsidP="003E41BB">
      <w:pPr>
        <w:pStyle w:val="NoSpacing"/>
        <w:ind w:left="720"/>
      </w:pPr>
      <w:r w:rsidRPr="00920FF6">
        <w:t xml:space="preserve">Captain Hill introduced a new fact with the City's second summary-judgment motion that was not presented in the first appeal. He explained that the fire truck was fitted with an </w:t>
      </w:r>
      <w:r>
        <w:t>‘</w:t>
      </w:r>
      <w:r w:rsidRPr="00920FF6">
        <w:t>Opticom transmitter</w:t>
      </w:r>
      <w:r>
        <w:t>’</w:t>
      </w:r>
      <w:r w:rsidRPr="00920FF6">
        <w:t xml:space="preserve"> that automatically activated when the emergency lights were turned on. </w:t>
      </w:r>
      <w:r>
        <w:t xml:space="preserve"> </w:t>
      </w:r>
      <w:r w:rsidRPr="00920FF6">
        <w:t xml:space="preserve">An Opticom transmitter </w:t>
      </w:r>
      <w:r>
        <w:t>‘</w:t>
      </w:r>
      <w:r w:rsidRPr="00920FF6">
        <w:t>grants the apparatus a temporary right of way by turning their traffic light green, and the others red.</w:t>
      </w:r>
      <w:r>
        <w:t>’</w:t>
      </w:r>
      <w:r w:rsidRPr="00920FF6">
        <w:t xml:space="preserve"> Captain Hill could tell that the Opticom transmitter was working because traffic lights in their path changed to green as they drove to the scene. Based on the Opticom transmitter's operation, Captain Hill opined that, even if Schmidt did not slow down as he approached the intersection, he still acted in good faith because </w:t>
      </w:r>
      <w:r>
        <w:t>‘</w:t>
      </w:r>
      <w:r w:rsidRPr="00920FF6">
        <w:t>the Opticom transmitter was operating and turned our light green as we approached, so we did not have to slow down for a red traffic signal.</w:t>
      </w:r>
      <w:r>
        <w:t>’</w:t>
      </w:r>
      <w:r w:rsidRPr="00920FF6">
        <w:t xml:space="preserve"> Captain Hill added that the fire truck's emergency lights were activated the entire time, and they blew the airhorn as they approached each intersection, including the one at Fondren and Ludington.</w:t>
      </w:r>
      <w:r>
        <w:t xml:space="preserve"> </w:t>
      </w:r>
      <w:r w:rsidRPr="00134CE7">
        <w:t>There is no evidence, however, that the traffic signals for Schmidt and Manning could have been green at the same time. Captain Hill testified that, when the Opticom transmitter activates a green signal for an approaching fire truck, the signals for other traffic are changed to red.</w:t>
      </w:r>
      <w:r>
        <w:t xml:space="preserve">” </w:t>
      </w:r>
    </w:p>
    <w:p w14:paraId="6C0F1D5E" w14:textId="77777777" w:rsidR="003E41BB" w:rsidRDefault="003E41BB" w:rsidP="003E41BB">
      <w:pPr>
        <w:rPr>
          <w:b/>
          <w:bCs/>
        </w:rPr>
      </w:pPr>
    </w:p>
    <w:p w14:paraId="1AE687D3" w14:textId="3EEDCA8F" w:rsidR="003E41BB" w:rsidRDefault="003E41BB" w:rsidP="003E41BB">
      <w:pPr>
        <w:rPr>
          <w:b/>
          <w:bCs/>
        </w:rPr>
      </w:pPr>
      <w:r>
        <w:rPr>
          <w:b/>
        </w:rPr>
        <w:t xml:space="preserve">Legal lesson learned: The trial court judge was not presented with proof that FAO slowed down entering the intersection, or that the Opticom had timely operated to give FAO a green light.  </w:t>
      </w:r>
    </w:p>
    <w:p w14:paraId="35AAD2A5" w14:textId="77777777" w:rsidR="003E41BB" w:rsidRDefault="003E41BB" w:rsidP="000C62A1">
      <w:pPr>
        <w:pStyle w:val="NoSpacing"/>
        <w:rPr>
          <w:rFonts w:ascii="Arial Black" w:hAnsi="Arial Black"/>
          <w:sz w:val="28"/>
          <w:szCs w:val="28"/>
        </w:rPr>
      </w:pPr>
    </w:p>
    <w:p w14:paraId="481636D7" w14:textId="77777777" w:rsidR="003E41BB" w:rsidRDefault="003E41BB" w:rsidP="000C62A1">
      <w:pPr>
        <w:pStyle w:val="NoSpacing"/>
        <w:rPr>
          <w:rFonts w:ascii="Arial Black" w:hAnsi="Arial Black"/>
          <w:sz w:val="28"/>
          <w:szCs w:val="28"/>
        </w:rPr>
      </w:pPr>
    </w:p>
    <w:p w14:paraId="72877E0D" w14:textId="77777777" w:rsidR="003E41BB" w:rsidRDefault="003E41BB" w:rsidP="000C62A1">
      <w:pPr>
        <w:pStyle w:val="NoSpacing"/>
        <w:rPr>
          <w:rFonts w:ascii="Arial Black" w:hAnsi="Arial Black"/>
          <w:sz w:val="28"/>
          <w:szCs w:val="28"/>
        </w:rPr>
      </w:pPr>
    </w:p>
    <w:p w14:paraId="1CE9B9BF" w14:textId="23AF963E" w:rsidR="003E41BB" w:rsidRDefault="003E41BB" w:rsidP="000C62A1">
      <w:pPr>
        <w:pStyle w:val="NoSpacing"/>
        <w:rPr>
          <w:rFonts w:ascii="Arial Black" w:hAnsi="Arial Black"/>
          <w:sz w:val="28"/>
          <w:szCs w:val="28"/>
        </w:rPr>
      </w:pPr>
      <w:r>
        <w:rPr>
          <w:rFonts w:ascii="Arial Black" w:hAnsi="Arial Black"/>
          <w:sz w:val="28"/>
          <w:szCs w:val="28"/>
        </w:rPr>
        <w:t>5-56</w:t>
      </w:r>
    </w:p>
    <w:p w14:paraId="63C19777" w14:textId="77777777" w:rsidR="003E41BB" w:rsidRDefault="003E41BB" w:rsidP="000C62A1">
      <w:pPr>
        <w:pStyle w:val="NoSpacing"/>
        <w:rPr>
          <w:rFonts w:ascii="Arial Black" w:hAnsi="Arial Black"/>
          <w:sz w:val="28"/>
          <w:szCs w:val="28"/>
        </w:rPr>
      </w:pPr>
    </w:p>
    <w:p w14:paraId="5D4A0353" w14:textId="77777777" w:rsidR="00CC56F9" w:rsidRPr="00491816" w:rsidRDefault="00CC56F9" w:rsidP="00CC56F9">
      <w:pPr>
        <w:pStyle w:val="NoSpacing"/>
        <w:rPr>
          <w:rFonts w:ascii="Arial Black" w:hAnsi="Arial Black"/>
          <w:sz w:val="28"/>
          <w:szCs w:val="28"/>
        </w:rPr>
      </w:pPr>
      <w:r>
        <w:rPr>
          <w:rFonts w:ascii="Arial Black" w:hAnsi="Arial Black"/>
          <w:sz w:val="28"/>
          <w:szCs w:val="28"/>
        </w:rPr>
        <w:t>TX: ENGINE – HIT CAR PULLING TO RIGHT – NO IMMUNITY</w:t>
      </w:r>
    </w:p>
    <w:p w14:paraId="7B6E6123" w14:textId="77777777" w:rsidR="00CC56F9" w:rsidRDefault="00CC56F9" w:rsidP="00CC56F9">
      <w:pPr>
        <w:pStyle w:val="NoSpacing"/>
      </w:pPr>
    </w:p>
    <w:p w14:paraId="549181B0" w14:textId="77777777" w:rsidR="00CC56F9" w:rsidRDefault="00CC56F9" w:rsidP="00CC56F9">
      <w:r>
        <w:t xml:space="preserve">On November 4, 2025, in </w:t>
      </w:r>
      <w:r w:rsidRPr="00B75D1D">
        <w:rPr>
          <w:u w:val="single"/>
        </w:rPr>
        <w:t>City of Houston</w:t>
      </w:r>
      <w:r>
        <w:rPr>
          <w:u w:val="single"/>
        </w:rPr>
        <w:t>, et al.</w:t>
      </w:r>
      <w:r w:rsidRPr="00B75D1D">
        <w:rPr>
          <w:u w:val="single"/>
        </w:rPr>
        <w:t xml:space="preserve"> v. Myauna Wright</w:t>
      </w:r>
      <w:r>
        <w:t xml:space="preserve">, the </w:t>
      </w:r>
      <w:r w:rsidRPr="00B75D1D">
        <w:t>Court of Appeals of Texas, Houston (1st Dist.)</w:t>
      </w:r>
      <w:r>
        <w:t xml:space="preserve"> held (3 to 0) that trial court judge properly denied the City’s motion to dismiss under the Texas </w:t>
      </w:r>
      <w:r w:rsidRPr="00305726">
        <w:t>doctrine of official immunity.</w:t>
      </w:r>
      <w:r>
        <w:t xml:space="preserve">  The plaintiff’s vehicle was struck by the engine on August 25, 2022.   THE COURT WROTE: “Wright sued the </w:t>
      </w:r>
      <w:proofErr w:type="gramStart"/>
      <w:r>
        <w:t>City</w:t>
      </w:r>
      <w:proofErr w:type="gramEnd"/>
      <w:r>
        <w:t xml:space="preserve"> and … [FAO] S. Obando, for damages arising from a collision between a City of Houston fire engine and her vehicle…. Wright’s pleading does not establish that Obando is entitled to official immunity because she alleged that he acted with reckless disregard, which would </w:t>
      </w:r>
      <w:r w:rsidRPr="00875355">
        <w:t xml:space="preserve">negate good </w:t>
      </w:r>
      <w:proofErr w:type="gramStart"/>
      <w:r w:rsidRPr="00875355">
        <w:t>faith.</w:t>
      </w:r>
      <w:r>
        <w:t>”</w:t>
      </w:r>
      <w:proofErr w:type="gramEnd"/>
      <w:r>
        <w:t xml:space="preserve"> </w:t>
      </w:r>
      <w:hyperlink r:id="rId959" w:history="1">
        <w:r w:rsidRPr="005B3B90">
          <w:rPr>
            <w:rStyle w:val="Hyperlink"/>
          </w:rPr>
          <w:t>https://cases.justia.com/texas/first-court-of-appeals/2025-01-24-00936-cv.pdf?ts=1762265344</w:t>
        </w:r>
      </w:hyperlink>
      <w:r>
        <w:t xml:space="preserve"> </w:t>
      </w:r>
    </w:p>
    <w:p w14:paraId="6D290E15" w14:textId="77777777" w:rsidR="00CC56F9" w:rsidRDefault="00CC56F9" w:rsidP="00CC56F9">
      <w:r>
        <w:t>THE COURT HELD:</w:t>
      </w:r>
    </w:p>
    <w:p w14:paraId="5B0E30F7" w14:textId="77777777" w:rsidR="00CC56F9" w:rsidRDefault="00CC56F9" w:rsidP="00CC56F9">
      <w:pPr>
        <w:pStyle w:val="NoSpacing"/>
        <w:ind w:left="720"/>
      </w:pPr>
      <w:r>
        <w:t xml:space="preserve">“Wright’s pleading does not establish that Obando is entitled to official immunity because she alleged that he acted with reckless disregard, which would  negate good faith. Moreover, in its </w:t>
      </w:r>
      <w:proofErr w:type="gramStart"/>
      <w:r>
        <w:t>reply brief</w:t>
      </w:r>
      <w:proofErr w:type="gramEnd"/>
      <w:r>
        <w:t xml:space="preserve">, the </w:t>
      </w:r>
      <w:proofErr w:type="gramStart"/>
      <w:r>
        <w:t>City</w:t>
      </w:r>
      <w:proofErr w:type="gramEnd"/>
      <w:r>
        <w:t xml:space="preserve"> conceded that Wright had no burden to plead facts to overcome the driver’s assertion of official immunity. Because Wright’s pleading alleges that the fire engine driver’s breach of a duty of care caused her </w:t>
      </w:r>
      <w:proofErr w:type="gramStart"/>
      <w:r>
        <w:t>damages</w:t>
      </w:r>
      <w:proofErr w:type="gramEnd"/>
      <w:r>
        <w:t>, we conclude that she alleged a waiver of immunity under the TTCA [</w:t>
      </w:r>
      <w:r w:rsidRPr="006B192D">
        <w:t>Texas Tort Claims Act</w:t>
      </w:r>
      <w:r>
        <w:t>], subject to the statutory exceptions, which we consider next. See TEX. CIV. PRAC. &amp; REM. CODE § 101.021(1).</w:t>
      </w:r>
    </w:p>
    <w:p w14:paraId="4A795EF4" w14:textId="77777777" w:rsidR="00CC56F9" w:rsidRDefault="00CC56F9" w:rsidP="00CC56F9">
      <w:pPr>
        <w:pStyle w:val="NoSpacing"/>
        <w:ind w:left="720"/>
      </w:pPr>
    </w:p>
    <w:p w14:paraId="2D3C8DB5" w14:textId="77777777" w:rsidR="00CC56F9" w:rsidRDefault="00CC56F9" w:rsidP="00CC56F9">
      <w:pPr>
        <w:pStyle w:val="NoSpacing"/>
        <w:ind w:left="720"/>
      </w:pPr>
      <w:r>
        <w:t>***</w:t>
      </w:r>
    </w:p>
    <w:p w14:paraId="07153525" w14:textId="77777777" w:rsidR="00CC56F9" w:rsidRDefault="00CC56F9" w:rsidP="00CC56F9">
      <w:pPr>
        <w:pStyle w:val="NoSpacing"/>
        <w:ind w:left="720"/>
      </w:pPr>
      <w:r>
        <w:t>A governmental employee is entitled to official immunity: (1) for the performance of discretionary duties; (2) within the scope of the employee’s authority; (3) provided the employee acts in good faith.”</w:t>
      </w:r>
    </w:p>
    <w:p w14:paraId="53A47E7E" w14:textId="77777777" w:rsidR="00CC56F9" w:rsidRDefault="00CC56F9" w:rsidP="00CC56F9">
      <w:pPr>
        <w:pStyle w:val="NoSpacing"/>
        <w:ind w:left="720"/>
      </w:pPr>
    </w:p>
    <w:p w14:paraId="68958E7F" w14:textId="77777777" w:rsidR="00CC56F9" w:rsidRDefault="00CC56F9" w:rsidP="00CC56F9">
      <w:pPr>
        <w:pStyle w:val="NoSpacing"/>
        <w:rPr>
          <w:b/>
          <w:bCs/>
        </w:rPr>
      </w:pPr>
      <w:r>
        <w:rPr>
          <w:b/>
        </w:rPr>
        <w:t>Legal lesson learned: Texas has a “good faith” exception to official immunity; many state</w:t>
      </w:r>
      <w:r>
        <w:rPr>
          <w:b/>
          <w:bCs/>
        </w:rPr>
        <w:t>s</w:t>
      </w:r>
      <w:r>
        <w:rPr>
          <w:b/>
        </w:rPr>
        <w:t xml:space="preserve"> </w:t>
      </w:r>
      <w:r w:rsidRPr="006D3B26">
        <w:rPr>
          <w:b/>
        </w:rPr>
        <w:t>use a “</w:t>
      </w:r>
      <w:r w:rsidRPr="008E532E">
        <w:rPr>
          <w:b/>
        </w:rPr>
        <w:t>willful or wanton misconduct</w:t>
      </w:r>
      <w:r w:rsidRPr="006D3B26">
        <w:rPr>
          <w:b/>
        </w:rPr>
        <w:t xml:space="preserve">” or </w:t>
      </w:r>
      <w:r>
        <w:rPr>
          <w:b/>
          <w:bCs/>
        </w:rPr>
        <w:t>si</w:t>
      </w:r>
      <w:r w:rsidRPr="006D3B26">
        <w:rPr>
          <w:b/>
        </w:rPr>
        <w:t>milar standard.</w:t>
      </w:r>
      <w:r>
        <w:t xml:space="preserve"> </w:t>
      </w:r>
    </w:p>
    <w:p w14:paraId="4C889F76" w14:textId="77777777" w:rsidR="00CC56F9" w:rsidRDefault="00CC56F9" w:rsidP="00CC56F9">
      <w:pPr>
        <w:pStyle w:val="NoSpacing"/>
        <w:rPr>
          <w:b/>
          <w:bCs/>
        </w:rPr>
      </w:pPr>
    </w:p>
    <w:p w14:paraId="305A5F57" w14:textId="77777777" w:rsidR="00CC56F9" w:rsidRPr="00B359C0" w:rsidRDefault="00CC56F9" w:rsidP="00CC56F9">
      <w:pPr>
        <w:pStyle w:val="NoSpacing"/>
        <w:ind w:left="720"/>
        <w:rPr>
          <w:b/>
        </w:rPr>
      </w:pPr>
      <w:r>
        <w:t xml:space="preserve">Note: See Ohio Revised Code, </w:t>
      </w:r>
      <w:r w:rsidRPr="00B359C0">
        <w:rPr>
          <w:b/>
        </w:rPr>
        <w:t>Section 2744.02 | Governmental functions and proprietary functions of political subdivisions</w:t>
      </w:r>
      <w:r>
        <w:rPr>
          <w:b/>
        </w:rPr>
        <w:t xml:space="preserve"> </w:t>
      </w:r>
      <w:hyperlink r:id="rId960" w:history="1">
        <w:r w:rsidRPr="009C046C">
          <w:rPr>
            <w:rStyle w:val="Hyperlink"/>
            <w:b/>
          </w:rPr>
          <w:t>https://codes.ohio.gov/ohio-revised-code/section-2744.02</w:t>
        </w:r>
      </w:hyperlink>
      <w:r>
        <w:rPr>
          <w:b/>
        </w:rPr>
        <w:t xml:space="preserve"> </w:t>
      </w:r>
    </w:p>
    <w:p w14:paraId="16084E8C" w14:textId="77777777" w:rsidR="00CC56F9" w:rsidRDefault="00CC56F9" w:rsidP="00CC56F9">
      <w:pPr>
        <w:pStyle w:val="NoSpacing"/>
      </w:pPr>
    </w:p>
    <w:p w14:paraId="57B9FE57" w14:textId="77777777" w:rsidR="00CC56F9" w:rsidRPr="008E532E" w:rsidRDefault="00CC56F9" w:rsidP="00CC56F9">
      <w:pPr>
        <w:pStyle w:val="NoSpacing"/>
        <w:ind w:left="720"/>
      </w:pPr>
      <w:r w:rsidRPr="008E532E">
        <w:t>(1) Except as otherwise provided in this division, political subdivisions are liable for injury, death, or loss to person or property caused by the negligent operation of any motor vehicle by their employees when the employees are engaged within the scope of their employment and authority. The following are full defenses to that liability:</w:t>
      </w:r>
    </w:p>
    <w:p w14:paraId="155F3343" w14:textId="77777777" w:rsidR="00CC56F9" w:rsidRPr="008E532E" w:rsidRDefault="00CC56F9" w:rsidP="00CC56F9">
      <w:pPr>
        <w:pStyle w:val="NoSpacing"/>
        <w:ind w:left="720"/>
      </w:pPr>
      <w:r w:rsidRPr="008E532E">
        <w:t>(a) A member of a municipal corporation police department or any other police agency was operating a motor vehicle while responding to an emergency call and the operation of the vehicle did not constitute willful or wanton misconduct;</w:t>
      </w:r>
    </w:p>
    <w:p w14:paraId="003E5B26" w14:textId="77777777" w:rsidR="00CC56F9" w:rsidRPr="008E532E" w:rsidRDefault="00CC56F9" w:rsidP="00CC56F9">
      <w:pPr>
        <w:pStyle w:val="NoSpacing"/>
        <w:ind w:left="720"/>
      </w:pPr>
      <w:r w:rsidRPr="008E532E">
        <w:t>(b) A member of a municipal corporation fire department or any other firefighting agency was operating a motor vehicle while engaged in duty at a fire, proceeding toward a place where a fire is in progress or is believed to be in progress, or answering any other emergency alarm and the operation of the vehicle did not constitute willful or wanton misconduct</w:t>
      </w:r>
      <w:r>
        <w:t>….</w:t>
      </w:r>
    </w:p>
    <w:p w14:paraId="733B710E" w14:textId="77777777" w:rsidR="00CC56F9" w:rsidRPr="000E4B43" w:rsidRDefault="00CC56F9" w:rsidP="00CC56F9">
      <w:pPr>
        <w:pStyle w:val="NoSpacing"/>
      </w:pPr>
    </w:p>
    <w:p w14:paraId="4A6D2564" w14:textId="77777777" w:rsidR="00CC56F9" w:rsidRDefault="00CC56F9" w:rsidP="00CC56F9">
      <w:pPr>
        <w:pStyle w:val="NoSpacing"/>
      </w:pPr>
    </w:p>
    <w:p w14:paraId="1A84374B" w14:textId="77777777" w:rsidR="00CC56F9" w:rsidRDefault="00CC56F9" w:rsidP="000C62A1">
      <w:pPr>
        <w:pStyle w:val="NoSpacing"/>
        <w:rPr>
          <w:rFonts w:ascii="Arial Black" w:hAnsi="Arial Black"/>
          <w:sz w:val="28"/>
          <w:szCs w:val="28"/>
        </w:rPr>
      </w:pPr>
    </w:p>
    <w:p w14:paraId="6C2B0064" w14:textId="77777777" w:rsidR="003E41BB" w:rsidRDefault="003E41BB" w:rsidP="000C62A1">
      <w:pPr>
        <w:pStyle w:val="NoSpacing"/>
        <w:rPr>
          <w:rFonts w:ascii="Arial Black" w:hAnsi="Arial Black"/>
          <w:sz w:val="28"/>
          <w:szCs w:val="28"/>
        </w:rPr>
      </w:pPr>
    </w:p>
    <w:p w14:paraId="207E2160" w14:textId="14DC8D72" w:rsidR="0096096B" w:rsidRDefault="0096096B" w:rsidP="000C62A1">
      <w:pPr>
        <w:pStyle w:val="NoSpacing"/>
        <w:rPr>
          <w:rFonts w:ascii="Arial Black" w:hAnsi="Arial Black"/>
          <w:sz w:val="28"/>
          <w:szCs w:val="28"/>
        </w:rPr>
      </w:pPr>
      <w:r>
        <w:rPr>
          <w:rFonts w:ascii="Arial Black" w:hAnsi="Arial Black"/>
          <w:sz w:val="28"/>
          <w:szCs w:val="28"/>
        </w:rPr>
        <w:t>5-55</w:t>
      </w:r>
    </w:p>
    <w:p w14:paraId="7261FFD7" w14:textId="77777777" w:rsidR="00547BA3" w:rsidRDefault="00547BA3" w:rsidP="0096096B">
      <w:pPr>
        <w:pStyle w:val="NoSpacing"/>
        <w:rPr>
          <w:rFonts w:ascii="Arial Black" w:hAnsi="Arial Black"/>
          <w:sz w:val="28"/>
          <w:szCs w:val="28"/>
        </w:rPr>
      </w:pPr>
    </w:p>
    <w:p w14:paraId="509BBFA5" w14:textId="705B1C85" w:rsidR="0096096B" w:rsidRPr="00457206" w:rsidRDefault="0096096B" w:rsidP="0096096B">
      <w:pPr>
        <w:pStyle w:val="NoSpacing"/>
        <w:rPr>
          <w:rFonts w:ascii="Arial Black" w:hAnsi="Arial Black"/>
          <w:sz w:val="28"/>
          <w:szCs w:val="28"/>
        </w:rPr>
      </w:pPr>
      <w:r>
        <w:rPr>
          <w:rFonts w:ascii="Arial Black" w:hAnsi="Arial Black"/>
          <w:sz w:val="28"/>
          <w:szCs w:val="28"/>
        </w:rPr>
        <w:t xml:space="preserve">LA: DRUNK HITS ENGINE – FD GETS VALUE / PLUS $50,000 </w:t>
      </w:r>
    </w:p>
    <w:p w14:paraId="021406F8" w14:textId="77777777" w:rsidR="0096096B" w:rsidRDefault="0096096B" w:rsidP="0096096B">
      <w:pPr>
        <w:pStyle w:val="NoSpacing"/>
        <w:ind w:left="720"/>
      </w:pPr>
    </w:p>
    <w:p w14:paraId="555C0C65" w14:textId="77777777" w:rsidR="0096096B" w:rsidRPr="00496071" w:rsidRDefault="0096096B" w:rsidP="0096096B">
      <w:pPr>
        <w:pStyle w:val="NoSpacing"/>
      </w:pPr>
      <w:r>
        <w:t xml:space="preserve">On Oct. 29, 2025, in </w:t>
      </w:r>
      <w:r w:rsidRPr="00296094">
        <w:rPr>
          <w:u w:val="single"/>
        </w:rPr>
        <w:t>Lafayette City-Parish Consolidated Government v. Tripple T Enterprises, Inc., and Nathan Allen Martin</w:t>
      </w:r>
      <w:r>
        <w:t xml:space="preserve">, the Court of Appeal of Louisiana, Third Circuit held (3 to 0) that the trial court judge, after a bench trial, properly awarded “exemplary” (punitive) damages of $50,000 for destruction of the Lafayette Fire Department’s 1994 Pierce engine, plus its cash value ($12,500) and loss of use damages while awaiting for new engine ($131,175).  Punitive damages were proper even though the plaintiff government suffered no physical or mental injuries; under LA, “injuries” include destruction or loss of use of property. </w:t>
      </w:r>
      <w:hyperlink r:id="rId961" w:history="1">
        <w:r w:rsidRPr="00281F77">
          <w:rPr>
            <w:rStyle w:val="Hyperlink"/>
          </w:rPr>
          <w:t>https://cases.justia.com/louisiana/third-circuit-court-of-appeal/2025-ca-0025-0267.pdf?ts=1761751417</w:t>
        </w:r>
      </w:hyperlink>
      <w:r>
        <w:t xml:space="preserve"> </w:t>
      </w:r>
    </w:p>
    <w:p w14:paraId="4754504A" w14:textId="77777777" w:rsidR="0096096B" w:rsidRDefault="0096096B" w:rsidP="0096096B">
      <w:pPr>
        <w:pStyle w:val="NoSpacing"/>
        <w:ind w:left="720"/>
      </w:pPr>
    </w:p>
    <w:p w14:paraId="08991050" w14:textId="77777777" w:rsidR="0096096B" w:rsidRDefault="0096096B" w:rsidP="0096096B">
      <w:pPr>
        <w:pStyle w:val="NoSpacing"/>
      </w:pPr>
      <w:r>
        <w:t xml:space="preserve">THE COURT HELD: </w:t>
      </w:r>
    </w:p>
    <w:p w14:paraId="73136FFA" w14:textId="77777777" w:rsidR="0096096B" w:rsidRDefault="0096096B" w:rsidP="0096096B">
      <w:pPr>
        <w:pStyle w:val="NoSpacing"/>
        <w:ind w:left="720"/>
      </w:pPr>
    </w:p>
    <w:p w14:paraId="4BBBBC63" w14:textId="77777777" w:rsidR="0096096B" w:rsidRDefault="0096096B" w:rsidP="0096096B">
      <w:pPr>
        <w:pStyle w:val="NoSpacing"/>
        <w:ind w:firstLine="720"/>
      </w:pPr>
      <w:r>
        <w:t>“Nathan Allen Martin was driving an 18-wheeler for his employer, Triple T,</w:t>
      </w:r>
    </w:p>
    <w:p w14:paraId="7C36F176" w14:textId="77777777" w:rsidR="0096096B" w:rsidRDefault="0096096B" w:rsidP="0096096B">
      <w:pPr>
        <w:pStyle w:val="NoSpacing"/>
        <w:ind w:left="720"/>
      </w:pPr>
      <w:r>
        <w:t>while intoxicated and using an electronic device. Martin was hauling a fully loaded flat-bed trailer. Meanwhile, a nearby Lafayette Fire Department firetruck was responding to a major automobile crash. The firetruck stopped on an overpass with its emergency lights activated. Martin proceeded to crash head-on into the firetruck. A firefighter was injured from jumping off the overpass to avoid being struck by Martin. His claims were settled. The firetruck was a total loss.</w:t>
      </w:r>
    </w:p>
    <w:p w14:paraId="62DA315A" w14:textId="77777777" w:rsidR="0096096B" w:rsidRDefault="0096096B" w:rsidP="0096096B">
      <w:pPr>
        <w:pStyle w:val="NoSpacing"/>
      </w:pPr>
    </w:p>
    <w:p w14:paraId="67A442B4" w14:textId="77777777" w:rsidR="0096096B" w:rsidRDefault="0096096B" w:rsidP="0096096B">
      <w:pPr>
        <w:pStyle w:val="NoSpacing"/>
        <w:ind w:firstLine="720"/>
      </w:pPr>
      <w:r>
        <w:t>At the scene of the wreck, responding officers witnessed Martin slurring his</w:t>
      </w:r>
    </w:p>
    <w:p w14:paraId="239FDAA5" w14:textId="77777777" w:rsidR="0096096B" w:rsidRDefault="0096096B" w:rsidP="0096096B">
      <w:pPr>
        <w:pStyle w:val="NoSpacing"/>
        <w:ind w:firstLine="720"/>
      </w:pPr>
      <w:r>
        <w:t>words and displaying a lack of balance. He smelled of alcohol. The officers</w:t>
      </w:r>
    </w:p>
    <w:p w14:paraId="4693AAF5" w14:textId="77777777" w:rsidR="0096096B" w:rsidRDefault="0096096B" w:rsidP="0096096B">
      <w:pPr>
        <w:pStyle w:val="NoSpacing"/>
        <w:ind w:left="720"/>
      </w:pPr>
      <w:r>
        <w:t>discovered an open whiskey bottle on the ground near the 18-wheeler, and an opened beer can with condensation inside the cab of the vehicle. Martin’s blood alcohol test showed a level of 0.11 percent, well over the 0.04 percent limit for operators of commercial motor carriers under the Federal Motor Carrier Act.</w:t>
      </w:r>
    </w:p>
    <w:p w14:paraId="2A1249A1" w14:textId="77777777" w:rsidR="0096096B" w:rsidRDefault="0096096B" w:rsidP="0096096B">
      <w:pPr>
        <w:pStyle w:val="NoSpacing"/>
      </w:pPr>
    </w:p>
    <w:p w14:paraId="1A9F6A0D" w14:textId="77777777" w:rsidR="0096096B" w:rsidRDefault="0096096B" w:rsidP="0096096B">
      <w:pPr>
        <w:pStyle w:val="NoSpacing"/>
        <w:ind w:firstLine="720"/>
      </w:pPr>
      <w:r>
        <w:t>The firetruck was a 1994 Pierce pumper truck used as a spare pumper truck</w:t>
      </w:r>
    </w:p>
    <w:p w14:paraId="70B42FEA" w14:textId="77777777" w:rsidR="0096096B" w:rsidRDefault="0096096B" w:rsidP="0096096B">
      <w:pPr>
        <w:pStyle w:val="NoSpacing"/>
        <w:ind w:firstLine="720"/>
      </w:pPr>
      <w:r>
        <w:t>for the fire department’s fleet if other trucks went offline. Employees of the fire</w:t>
      </w:r>
    </w:p>
    <w:p w14:paraId="4B9F10E1" w14:textId="77777777" w:rsidR="0096096B" w:rsidRDefault="0096096B" w:rsidP="0096096B">
      <w:pPr>
        <w:pStyle w:val="NoSpacing"/>
        <w:ind w:left="720"/>
      </w:pPr>
      <w:r>
        <w:lastRenderedPageBreak/>
        <w:t>department and city testified that although the cost of rental for a similar truck would have been $275 per day, the department was unwilling to accept the risk associated with leasing or buying a used replacement vehicle.</w:t>
      </w:r>
    </w:p>
    <w:p w14:paraId="30575EBB" w14:textId="77777777" w:rsidR="0096096B" w:rsidRDefault="0096096B" w:rsidP="0096096B">
      <w:pPr>
        <w:pStyle w:val="NoSpacing"/>
        <w:ind w:left="720"/>
      </w:pPr>
    </w:p>
    <w:p w14:paraId="22DA015B" w14:textId="77777777" w:rsidR="0096096B" w:rsidRDefault="0096096B" w:rsidP="0096096B">
      <w:pPr>
        <w:pStyle w:val="NoSpacing"/>
        <w:ind w:left="720"/>
      </w:pPr>
      <w:r>
        <w:t>***</w:t>
      </w:r>
    </w:p>
    <w:p w14:paraId="2072B63C" w14:textId="77777777" w:rsidR="0096096B" w:rsidRDefault="0096096B" w:rsidP="0096096B">
      <w:pPr>
        <w:pStyle w:val="NoSpacing"/>
        <w:ind w:left="720"/>
      </w:pPr>
    </w:p>
    <w:p w14:paraId="6BC5DBC9" w14:textId="77777777" w:rsidR="0096096B" w:rsidRDefault="0096096B" w:rsidP="0096096B">
      <w:pPr>
        <w:pStyle w:val="NoSpacing"/>
      </w:pPr>
      <w:r>
        <w:tab/>
      </w:r>
      <w:r>
        <w:tab/>
      </w:r>
      <w:r w:rsidRPr="00133DBA">
        <w:t>Louisiana Civil Code Article 2315.4 states, in pertinent part:</w:t>
      </w:r>
    </w:p>
    <w:p w14:paraId="208D8C82" w14:textId="77777777" w:rsidR="0096096B" w:rsidRDefault="0096096B" w:rsidP="0096096B">
      <w:pPr>
        <w:pStyle w:val="NoSpacing"/>
        <w:ind w:left="720" w:firstLine="720"/>
      </w:pPr>
      <w:proofErr w:type="gramStart"/>
      <w:r>
        <w:t>exemplary</w:t>
      </w:r>
      <w:proofErr w:type="gramEnd"/>
      <w:r>
        <w:t xml:space="preserve"> damages may be awarded upon proof that the injuries on</w:t>
      </w:r>
    </w:p>
    <w:p w14:paraId="71540CA6" w14:textId="77777777" w:rsidR="0096096B" w:rsidRDefault="0096096B" w:rsidP="0096096B">
      <w:pPr>
        <w:pStyle w:val="NoSpacing"/>
        <w:ind w:left="720" w:firstLine="720"/>
      </w:pPr>
      <w:r>
        <w:t>which the action is based were caused by a wanton or reckless disregard</w:t>
      </w:r>
    </w:p>
    <w:p w14:paraId="407629B3" w14:textId="77777777" w:rsidR="0096096B" w:rsidRDefault="0096096B" w:rsidP="0096096B">
      <w:pPr>
        <w:pStyle w:val="NoSpacing"/>
        <w:ind w:left="720" w:firstLine="720"/>
      </w:pPr>
      <w:r>
        <w:t>for the rights and safety of others by a defendant whose intoxication</w:t>
      </w:r>
    </w:p>
    <w:p w14:paraId="102A995D" w14:textId="77777777" w:rsidR="0096096B" w:rsidRDefault="0096096B" w:rsidP="0096096B">
      <w:pPr>
        <w:pStyle w:val="NoSpacing"/>
        <w:ind w:left="720" w:firstLine="720"/>
      </w:pPr>
      <w:r>
        <w:t>while operating a motor vehicle was a cause in fact of the resulting</w:t>
      </w:r>
    </w:p>
    <w:p w14:paraId="4D4A3663" w14:textId="77777777" w:rsidR="0096096B" w:rsidRDefault="0096096B" w:rsidP="0096096B">
      <w:pPr>
        <w:pStyle w:val="NoSpacing"/>
        <w:ind w:left="1440"/>
      </w:pPr>
      <w:r>
        <w:t>injuries.</w:t>
      </w:r>
    </w:p>
    <w:p w14:paraId="3315573F" w14:textId="77777777" w:rsidR="0096096B" w:rsidRDefault="0096096B" w:rsidP="0096096B">
      <w:pPr>
        <w:pStyle w:val="NoSpacing"/>
        <w:ind w:left="1440"/>
      </w:pPr>
    </w:p>
    <w:p w14:paraId="54C0D936" w14:textId="77777777" w:rsidR="0096096B" w:rsidRDefault="0096096B" w:rsidP="0096096B">
      <w:pPr>
        <w:pStyle w:val="NoSpacing"/>
        <w:ind w:left="720"/>
      </w:pPr>
      <w:r>
        <w:t>***</w:t>
      </w:r>
    </w:p>
    <w:p w14:paraId="0559D7D8" w14:textId="77777777" w:rsidR="0096096B" w:rsidRDefault="0096096B" w:rsidP="0096096B">
      <w:pPr>
        <w:pStyle w:val="NoSpacing"/>
        <w:ind w:left="1440"/>
      </w:pPr>
    </w:p>
    <w:p w14:paraId="62BA2A2C" w14:textId="77777777" w:rsidR="0096096B" w:rsidRDefault="0096096B" w:rsidP="0096096B">
      <w:pPr>
        <w:pStyle w:val="NoSpacing"/>
        <w:ind w:left="720"/>
      </w:pPr>
      <w:r>
        <w:t>The defendants claim that ‘injuries’ are limited to physical and mental injuries and are unavailable in a case with only property and loss of use damages…. We adopt the reasoning of the fourth circuit that the term ‘injuries’ is sufficiently broad to include damages from the destruction or loss of use of property.</w:t>
      </w:r>
    </w:p>
    <w:p w14:paraId="1AF0B660" w14:textId="77777777" w:rsidR="0096096B" w:rsidRDefault="0096096B" w:rsidP="0096096B">
      <w:pPr>
        <w:pStyle w:val="NoSpacing"/>
        <w:ind w:left="720"/>
      </w:pPr>
    </w:p>
    <w:p w14:paraId="1F9132EE" w14:textId="77777777" w:rsidR="0096096B" w:rsidRDefault="0096096B" w:rsidP="0096096B">
      <w:pPr>
        <w:pStyle w:val="NoSpacing"/>
        <w:ind w:left="720"/>
      </w:pPr>
      <w:r>
        <w:t>***</w:t>
      </w:r>
    </w:p>
    <w:p w14:paraId="205B94D4" w14:textId="77777777" w:rsidR="0096096B" w:rsidRDefault="0096096B" w:rsidP="0096096B">
      <w:pPr>
        <w:pStyle w:val="NoSpacing"/>
        <w:ind w:left="720"/>
      </w:pPr>
      <w:r>
        <w:t>The trial court has much discretion in fixing the amount of an exemplary</w:t>
      </w:r>
    </w:p>
    <w:p w14:paraId="74693D9D" w14:textId="77777777" w:rsidR="0096096B" w:rsidRDefault="0096096B" w:rsidP="0096096B">
      <w:pPr>
        <w:pStyle w:val="NoSpacing"/>
        <w:ind w:left="720"/>
      </w:pPr>
      <w:r>
        <w:t>damage award…. Martin’s conduct was particularly egregious in this case. Not only was he operating a vehicle while over the legal blood alcohol limit, but his vehicle was a loaded 18-wheeler. Its size and weight presented a greater threat than most vehicles. Martin was also on an electronic device. Considering all of this, we cannot say that the trial court’s award for exemplary damages was abusively high in this case.”</w:t>
      </w:r>
    </w:p>
    <w:p w14:paraId="046D9D82" w14:textId="77777777" w:rsidR="0096096B" w:rsidRDefault="0096096B" w:rsidP="0096096B">
      <w:pPr>
        <w:pStyle w:val="NoSpacing"/>
        <w:ind w:left="1440"/>
      </w:pPr>
    </w:p>
    <w:p w14:paraId="7C40463C" w14:textId="77777777" w:rsidR="0096096B" w:rsidRDefault="0096096B" w:rsidP="0096096B">
      <w:pPr>
        <w:pStyle w:val="NoSpacing"/>
        <w:rPr>
          <w:b/>
          <w:bCs/>
        </w:rPr>
      </w:pPr>
      <w:r w:rsidRPr="00DB52C3">
        <w:rPr>
          <w:b/>
        </w:rPr>
        <w:t>Legal lesson learned: Punitive damages are designed to punish</w:t>
      </w:r>
      <w:r>
        <w:rPr>
          <w:b/>
        </w:rPr>
        <w:t xml:space="preserve"> drunk</w:t>
      </w:r>
      <w:r w:rsidRPr="00DB52C3">
        <w:rPr>
          <w:b/>
        </w:rPr>
        <w:t xml:space="preserve"> drivers for </w:t>
      </w:r>
      <w:r>
        <w:rPr>
          <w:b/>
        </w:rPr>
        <w:t>“</w:t>
      </w:r>
      <w:r w:rsidRPr="00DB52C3">
        <w:rPr>
          <w:b/>
        </w:rPr>
        <w:t>wanton or reckless disregard for the rights and safety of others</w:t>
      </w:r>
      <w:r>
        <w:rPr>
          <w:b/>
        </w:rPr>
        <w:t>.”</w:t>
      </w:r>
    </w:p>
    <w:p w14:paraId="0671A38B" w14:textId="77777777" w:rsidR="0096096B" w:rsidRDefault="0096096B" w:rsidP="000C62A1">
      <w:pPr>
        <w:pStyle w:val="NoSpacing"/>
        <w:rPr>
          <w:rFonts w:ascii="Arial Black" w:hAnsi="Arial Black"/>
          <w:sz w:val="28"/>
          <w:szCs w:val="28"/>
        </w:rPr>
      </w:pPr>
    </w:p>
    <w:p w14:paraId="27B4A078" w14:textId="77777777" w:rsidR="007B0FFF" w:rsidRDefault="007B0FFF" w:rsidP="000C62A1">
      <w:pPr>
        <w:pStyle w:val="NoSpacing"/>
        <w:rPr>
          <w:rFonts w:ascii="Arial Black" w:hAnsi="Arial Black"/>
          <w:sz w:val="28"/>
          <w:szCs w:val="28"/>
        </w:rPr>
      </w:pPr>
    </w:p>
    <w:p w14:paraId="6C769C4F" w14:textId="1591A71A" w:rsidR="007B0FFF" w:rsidRDefault="007B0FFF" w:rsidP="000C62A1">
      <w:pPr>
        <w:pStyle w:val="NoSpacing"/>
        <w:rPr>
          <w:rFonts w:ascii="Arial Black" w:hAnsi="Arial Black"/>
          <w:sz w:val="28"/>
          <w:szCs w:val="28"/>
        </w:rPr>
      </w:pPr>
      <w:r>
        <w:rPr>
          <w:rFonts w:ascii="Arial Black" w:hAnsi="Arial Black"/>
          <w:sz w:val="28"/>
          <w:szCs w:val="28"/>
        </w:rPr>
        <w:t>5-54</w:t>
      </w:r>
    </w:p>
    <w:p w14:paraId="79710F41" w14:textId="77777777" w:rsidR="007B0FFF" w:rsidRDefault="007B0FFF" w:rsidP="000C62A1">
      <w:pPr>
        <w:pStyle w:val="NoSpacing"/>
        <w:rPr>
          <w:rFonts w:ascii="Arial Black" w:hAnsi="Arial Black"/>
          <w:sz w:val="28"/>
          <w:szCs w:val="28"/>
        </w:rPr>
      </w:pPr>
    </w:p>
    <w:p w14:paraId="2CDA4D6C" w14:textId="748A8259" w:rsidR="007B0FFF" w:rsidRPr="006D18C8" w:rsidRDefault="007B0FFF" w:rsidP="007B0FFF">
      <w:pPr>
        <w:pStyle w:val="NoSpacing"/>
        <w:rPr>
          <w:rFonts w:ascii="Arial Black" w:hAnsi="Arial Black"/>
          <w:bCs/>
          <w:sz w:val="28"/>
          <w:szCs w:val="28"/>
        </w:rPr>
      </w:pPr>
      <w:r>
        <w:rPr>
          <w:rFonts w:ascii="Arial Black" w:hAnsi="Arial Black"/>
          <w:sz w:val="28"/>
          <w:szCs w:val="28"/>
        </w:rPr>
        <w:t>VA: RESCUE 1 – DISP</w:t>
      </w:r>
      <w:r w:rsidR="00F47375">
        <w:rPr>
          <w:rFonts w:ascii="Arial Black" w:hAnsi="Arial Black"/>
          <w:sz w:val="28"/>
          <w:szCs w:val="28"/>
        </w:rPr>
        <w:t xml:space="preserve"> / </w:t>
      </w:r>
      <w:r>
        <w:rPr>
          <w:rFonts w:ascii="Arial Black" w:hAnsi="Arial Black"/>
          <w:sz w:val="28"/>
          <w:szCs w:val="28"/>
        </w:rPr>
        <w:t xml:space="preserve">EMER </w:t>
      </w:r>
      <w:r w:rsidR="00F47375">
        <w:rPr>
          <w:rFonts w:ascii="Arial Black" w:hAnsi="Arial Black"/>
          <w:sz w:val="28"/>
          <w:szCs w:val="28"/>
        </w:rPr>
        <w:t xml:space="preserve">OVER </w:t>
      </w:r>
      <w:r w:rsidR="002824DF">
        <w:rPr>
          <w:rFonts w:ascii="Arial Black" w:hAnsi="Arial Black"/>
          <w:sz w:val="28"/>
          <w:szCs w:val="28"/>
        </w:rPr>
        <w:t>–</w:t>
      </w:r>
      <w:r>
        <w:rPr>
          <w:rFonts w:ascii="Arial Black" w:hAnsi="Arial Black"/>
          <w:sz w:val="28"/>
          <w:szCs w:val="28"/>
        </w:rPr>
        <w:t xml:space="preserve"> </w:t>
      </w:r>
      <w:r w:rsidR="002824DF">
        <w:rPr>
          <w:rFonts w:ascii="Arial Black" w:hAnsi="Arial Black"/>
          <w:sz w:val="28"/>
          <w:szCs w:val="28"/>
        </w:rPr>
        <w:t xml:space="preserve">CONT. EMER. – JURY </w:t>
      </w:r>
      <w:r>
        <w:rPr>
          <w:rFonts w:ascii="Arial Black" w:hAnsi="Arial Black"/>
          <w:sz w:val="28"/>
          <w:szCs w:val="28"/>
        </w:rPr>
        <w:t>$500,000</w:t>
      </w:r>
    </w:p>
    <w:p w14:paraId="4DD8FA35" w14:textId="77777777" w:rsidR="007B0FFF" w:rsidRDefault="007B0FFF" w:rsidP="007B0FFF">
      <w:pPr>
        <w:pStyle w:val="NoSpacing"/>
        <w:rPr>
          <w:bCs/>
        </w:rPr>
      </w:pPr>
    </w:p>
    <w:p w14:paraId="18039228" w14:textId="77777777" w:rsidR="007B0FFF" w:rsidRDefault="007B0FFF" w:rsidP="007B0FFF">
      <w:pPr>
        <w:pStyle w:val="NoSpacing"/>
        <w:rPr>
          <w:b/>
        </w:rPr>
      </w:pPr>
      <w:r>
        <w:t xml:space="preserve">On Oct. 21, 2025 in </w:t>
      </w:r>
      <w:r w:rsidRPr="00BC24EC">
        <w:rPr>
          <w:u w:val="single"/>
        </w:rPr>
        <w:t>James Lee v. Jason Carr</w:t>
      </w:r>
      <w:r>
        <w:t xml:space="preserve"> the </w:t>
      </w:r>
      <w:r w:rsidRPr="00E1635E">
        <w:t>Court of Appeals of Virginia</w:t>
      </w:r>
      <w:r>
        <w:t xml:space="preserve"> held (2 to 1; unpublished decision) the Court </w:t>
      </w:r>
      <w:r w:rsidRPr="00F22EA8">
        <w:t>remand</w:t>
      </w:r>
      <w:r>
        <w:t>ed</w:t>
      </w:r>
      <w:r w:rsidRPr="00F22EA8">
        <w:t xml:space="preserve"> the case for a new trial limited</w:t>
      </w:r>
      <w:r>
        <w:t xml:space="preserve"> to the amount of damages; the finding of “gross negligence” by first jury remains against driver of Recue 1, City of Newport News. The trial court judge after jury verdict and award of $500,000, set aside the finding of “gross negligence” and the punitive damages.  Rescue 1 was responding to a motor vehicle accident in a tunnel, but Dispatch advised that “</w:t>
      </w:r>
      <w:r w:rsidRPr="00BE09B2">
        <w:t>the vehicles</w:t>
      </w:r>
      <w:r>
        <w:t xml:space="preserve"> </w:t>
      </w:r>
      <w:r w:rsidRPr="00BE09B2">
        <w:t>had been cleared in the tunnel and there was no longer an emergency situation</w:t>
      </w:r>
      <w:r>
        <w:t>.</w:t>
      </w:r>
      <w:r w:rsidRPr="00BE09B2">
        <w:t>”</w:t>
      </w:r>
      <w:r>
        <w:t xml:space="preserve">  Firefighter Carr heard the dispatch, slowed down, but continued with lights and siren.  He entered the intersection westbound u</w:t>
      </w:r>
      <w:r w:rsidRPr="00423587">
        <w:t>nable to determine</w:t>
      </w:r>
      <w:r>
        <w:t xml:space="preserve"> </w:t>
      </w:r>
      <w:r w:rsidRPr="00423587">
        <w:t>whether he had a red light because of the sun</w:t>
      </w:r>
      <w:r>
        <w:t xml:space="preserve">, and his view of southbound traffic was obstructed by a house.  On board Captain did not order Carr to go non-emergency.  City may appeal to Virginia Supreme Court – see dissenting opinion. </w:t>
      </w:r>
      <w:hyperlink r:id="rId962" w:history="1">
        <w:r w:rsidRPr="00D23E57">
          <w:rPr>
            <w:rStyle w:val="Hyperlink"/>
            <w:b/>
          </w:rPr>
          <w:t>https://cases.justia.com/virginia/court-of-appeals-unpublished/2025-0990-24-1.pdf?ts=1761062926</w:t>
        </w:r>
      </w:hyperlink>
      <w:r>
        <w:rPr>
          <w:b/>
        </w:rPr>
        <w:t xml:space="preserve"> </w:t>
      </w:r>
    </w:p>
    <w:p w14:paraId="5C0AC645" w14:textId="77777777" w:rsidR="007B0FFF" w:rsidRDefault="007B0FFF" w:rsidP="007B0FFF">
      <w:pPr>
        <w:pStyle w:val="NoSpacing"/>
        <w:rPr>
          <w:b/>
        </w:rPr>
      </w:pPr>
    </w:p>
    <w:p w14:paraId="246538AF" w14:textId="77777777" w:rsidR="007B0FFF" w:rsidRDefault="007B0FFF" w:rsidP="007B0FFF">
      <w:pPr>
        <w:pStyle w:val="NoSpacing"/>
      </w:pPr>
      <w:r>
        <w:t xml:space="preserve">  </w:t>
      </w:r>
    </w:p>
    <w:p w14:paraId="5A3C4F77" w14:textId="77777777" w:rsidR="007B0FFF" w:rsidRPr="003C445E" w:rsidRDefault="007B0FFF" w:rsidP="007B0FFF">
      <w:pPr>
        <w:pStyle w:val="NoSpacing"/>
        <w:rPr>
          <w:bCs/>
        </w:rPr>
      </w:pPr>
      <w:r>
        <w:t xml:space="preserve">THE COURT HELD: </w:t>
      </w:r>
    </w:p>
    <w:p w14:paraId="56C1636B" w14:textId="77777777" w:rsidR="007B0FFF" w:rsidRPr="003C445E" w:rsidRDefault="007B0FFF" w:rsidP="007B0FFF">
      <w:pPr>
        <w:pStyle w:val="NoSpacing"/>
        <w:rPr>
          <w:bCs/>
        </w:rPr>
      </w:pPr>
    </w:p>
    <w:p w14:paraId="540FDBE2" w14:textId="77777777" w:rsidR="007B0FFF" w:rsidRDefault="007B0FFF" w:rsidP="007B0FFF">
      <w:pPr>
        <w:pStyle w:val="NoSpacing"/>
        <w:ind w:left="720"/>
      </w:pPr>
      <w:r>
        <w:t xml:space="preserve">“This case arises from a motor vehicle accident at the traffic light-controlled intersection of 16th Street and Ivy Avenue in the City of Newport News. At the time of the accident, Carr was driving a fire department rescue truck (Rescue 1) westbound on 16th Street toward the scene of a motor vehicle accident in the Monitor-Merrimac Bridge-Tunnel. As he approached the intersection, Carr’s view of southbound traffic on Ivy Avenue was </w:t>
      </w:r>
      <w:r>
        <w:lastRenderedPageBreak/>
        <w:t>obstructed by a house. Unable to determine whether he had a red light because of the sun, Carr drove Rescue 1 into the intersection and collided with Lee’s vehicle, which had been traveling southbound on Ivy Avenue.</w:t>
      </w:r>
    </w:p>
    <w:p w14:paraId="7F734909" w14:textId="77777777" w:rsidR="007B0FFF" w:rsidRDefault="007B0FFF" w:rsidP="007B0FFF">
      <w:pPr>
        <w:pStyle w:val="NoSpacing"/>
        <w:ind w:left="720"/>
      </w:pPr>
    </w:p>
    <w:p w14:paraId="04C5D99B" w14:textId="77777777" w:rsidR="007B0FFF" w:rsidRDefault="007B0FFF" w:rsidP="007B0FFF">
      <w:pPr>
        <w:pStyle w:val="NoSpacing"/>
        <w:ind w:left="720"/>
      </w:pPr>
      <w:r>
        <w:t>***</w:t>
      </w:r>
    </w:p>
    <w:p w14:paraId="3539C230" w14:textId="77777777" w:rsidR="007B0FFF" w:rsidRDefault="007B0FFF" w:rsidP="007B0FFF">
      <w:pPr>
        <w:pStyle w:val="NoSpacing"/>
        <w:ind w:left="720"/>
      </w:pPr>
      <w:r>
        <w:t xml:space="preserve">At trial, Lee played a silent video recording of the accident. Police officer Brandon Holden went to the scene of the accident and testified that the posted speed limit in that area was 25 miles per hour. Based on his review of the video recording and his own measurements, Officer Holden estimated that Rescue 1 travelled 110 feet in about 1.9 seconds (approximately 39 miles per hour) before </w:t>
      </w:r>
      <w:proofErr w:type="gramStart"/>
      <w:r>
        <w:t>braking</w:t>
      </w:r>
      <w:proofErr w:type="gramEnd"/>
      <w:r>
        <w:t xml:space="preserve"> in the intersection crosswalk.</w:t>
      </w:r>
    </w:p>
    <w:p w14:paraId="03DB6BBB" w14:textId="77777777" w:rsidR="007B0FFF" w:rsidRDefault="007B0FFF" w:rsidP="007B0FFF">
      <w:pPr>
        <w:pStyle w:val="NoSpacing"/>
        <w:ind w:left="720"/>
      </w:pPr>
    </w:p>
    <w:p w14:paraId="13C09291" w14:textId="77777777" w:rsidR="007B0FFF" w:rsidRDefault="007B0FFF" w:rsidP="007B0FFF">
      <w:pPr>
        <w:pStyle w:val="NoSpacing"/>
        <w:ind w:left="720"/>
      </w:pPr>
      <w:r>
        <w:t>***</w:t>
      </w:r>
    </w:p>
    <w:p w14:paraId="5DC38FE7" w14:textId="77777777" w:rsidR="007B0FFF" w:rsidRDefault="007B0FFF" w:rsidP="007B0FFF">
      <w:pPr>
        <w:pStyle w:val="NoSpacing"/>
        <w:ind w:left="720"/>
      </w:pPr>
    </w:p>
    <w:p w14:paraId="327478D8" w14:textId="77777777" w:rsidR="007B0FFF" w:rsidRDefault="007B0FFF" w:rsidP="007B0FFF">
      <w:pPr>
        <w:pStyle w:val="NoSpacing"/>
        <w:ind w:firstLine="720"/>
      </w:pPr>
      <w:r>
        <w:t>Carr admitted that he told ‘the police officer’ that ‘the only reason’ he would have gone to</w:t>
      </w:r>
    </w:p>
    <w:p w14:paraId="394CCDD6" w14:textId="77777777" w:rsidR="007B0FFF" w:rsidRDefault="007B0FFF" w:rsidP="007B0FFF">
      <w:pPr>
        <w:pStyle w:val="NoSpacing"/>
        <w:ind w:left="720"/>
      </w:pPr>
      <w:proofErr w:type="gramStart"/>
      <w:r>
        <w:t>the</w:t>
      </w:r>
      <w:proofErr w:type="gramEnd"/>
      <w:r>
        <w:t xml:space="preserve"> tunnel ‘was if people [were] in the tunnel.’ He acknowledged that he had been informed before the accident that ‘the vehicles were no longer in the tunnel,’ so he expected to ‘get turn[ed] around.’ Footnote 5:</w:t>
      </w:r>
    </w:p>
    <w:p w14:paraId="52815CA3" w14:textId="77777777" w:rsidR="007B0FFF" w:rsidRDefault="007B0FFF" w:rsidP="007B0FFF">
      <w:pPr>
        <w:pStyle w:val="NoSpacing"/>
      </w:pPr>
    </w:p>
    <w:p w14:paraId="47CBC782" w14:textId="77777777" w:rsidR="007B0FFF" w:rsidRDefault="007B0FFF" w:rsidP="007B0FFF">
      <w:pPr>
        <w:pStyle w:val="NoSpacing"/>
        <w:ind w:left="1440"/>
      </w:pPr>
      <w:r>
        <w:t>Carr testified that he had to respond to the scene of the tunnel accident until someone from the police or fire department arrived at the scene and confirmed that there was ‘nothing wrong.’ According to Carr, Rescue 1’s tools may have been necessary even if the vehicles had been moved out of the tunnel.</w:t>
      </w:r>
    </w:p>
    <w:p w14:paraId="6FB1AE73" w14:textId="77777777" w:rsidR="007B0FFF" w:rsidRDefault="007B0FFF" w:rsidP="007B0FFF">
      <w:pPr>
        <w:pStyle w:val="NoSpacing"/>
        <w:ind w:left="1440"/>
      </w:pPr>
    </w:p>
    <w:p w14:paraId="0E7E6505" w14:textId="77777777" w:rsidR="007B0FFF" w:rsidRDefault="007B0FFF" w:rsidP="007B0FFF">
      <w:pPr>
        <w:pStyle w:val="NoSpacing"/>
        <w:ind w:left="720"/>
      </w:pPr>
      <w:r>
        <w:t>***</w:t>
      </w:r>
    </w:p>
    <w:p w14:paraId="21F63261" w14:textId="77777777" w:rsidR="007B0FFF" w:rsidRDefault="007B0FFF" w:rsidP="007B0FFF">
      <w:pPr>
        <w:pStyle w:val="NoSpacing"/>
      </w:pPr>
    </w:p>
    <w:p w14:paraId="7CF78A9A" w14:textId="77777777" w:rsidR="007B0FFF" w:rsidRDefault="007B0FFF" w:rsidP="007B0FFF">
      <w:pPr>
        <w:pStyle w:val="NoSpacing"/>
        <w:ind w:left="720"/>
      </w:pPr>
      <w:r>
        <w:t xml:space="preserve">The question of whether Carr exercised any care was a factual one for the jury and credible evidence supports its verdict. In best light to Lee, Carr sped the </w:t>
      </w:r>
      <w:proofErr w:type="gramStart"/>
      <w:r>
        <w:t>54,000 pound</w:t>
      </w:r>
      <w:proofErr w:type="gramEnd"/>
      <w:r>
        <w:t xml:space="preserve"> firetruck into an intersection without even knowing whether the light was red or green—or whether any vehicle was in its path. According to Lee, there was no siren—and the video supports the jury’s view that there was no effort to brake upon entering the intersection (or at any meaningful time before imminent contact). The trial court </w:t>
      </w:r>
      <w:proofErr w:type="gramStart"/>
      <w:r>
        <w:t>erred</w:t>
      </w:r>
      <w:proofErr w:type="gramEnd"/>
      <w:r>
        <w:t xml:space="preserve"> by usurping the jury’s judgment because the evidence failed to conclusively establish that Carr took any care to prevent Lee’s accident. In short, the trial court relied on its findings of fact rather than the findings of fact made by the jury. In doing so, it erred. Accordingly, we reinstate the jury’s verdict on liability…. As explained below, however, we must still vacate the jury’s award of damages and remand for a new trial on that issue.”</w:t>
      </w:r>
    </w:p>
    <w:p w14:paraId="3F8D2E35" w14:textId="77777777" w:rsidR="007B0FFF" w:rsidRDefault="007B0FFF" w:rsidP="007B0FFF">
      <w:pPr>
        <w:pStyle w:val="NoSpacing"/>
        <w:ind w:left="720"/>
      </w:pPr>
    </w:p>
    <w:p w14:paraId="26326F43" w14:textId="77777777" w:rsidR="007B0FFF" w:rsidRDefault="007B0FFF" w:rsidP="007B0FFF">
      <w:pPr>
        <w:pStyle w:val="NoSpacing"/>
        <w:rPr>
          <w:bCs/>
        </w:rPr>
      </w:pPr>
      <w:r>
        <w:t xml:space="preserve">DISSENT (Judge </w:t>
      </w:r>
      <w:r w:rsidRPr="003C2F21">
        <w:t>Mary Janipher Malveaux)</w:t>
      </w:r>
    </w:p>
    <w:p w14:paraId="77E3262B" w14:textId="77777777" w:rsidR="007B0FFF" w:rsidRDefault="007B0FFF" w:rsidP="007B0FFF">
      <w:pPr>
        <w:pStyle w:val="NoSpacing"/>
        <w:rPr>
          <w:bCs/>
        </w:rPr>
      </w:pPr>
    </w:p>
    <w:p w14:paraId="603C2EBD" w14:textId="77777777" w:rsidR="007B0FFF" w:rsidRPr="00770F67" w:rsidRDefault="007B0FFF" w:rsidP="007B0FFF">
      <w:pPr>
        <w:pStyle w:val="NoSpacing"/>
        <w:rPr>
          <w:bCs/>
        </w:rPr>
      </w:pPr>
      <w:r>
        <w:tab/>
        <w:t>“</w:t>
      </w:r>
      <w:r w:rsidRPr="00770F67">
        <w:t>But as the majority correctly recognizes, the evidence that Carr had activated</w:t>
      </w:r>
    </w:p>
    <w:p w14:paraId="7FD9F0E2" w14:textId="77777777" w:rsidR="007B0FFF" w:rsidRDefault="007B0FFF" w:rsidP="007B0FFF">
      <w:pPr>
        <w:pStyle w:val="NoSpacing"/>
        <w:ind w:left="720"/>
      </w:pPr>
      <w:r w:rsidRPr="00770F67">
        <w:t xml:space="preserve">Rescue 1’s lights </w:t>
      </w:r>
      <w:proofErr w:type="gramStart"/>
      <w:r w:rsidRPr="00770F67">
        <w:t>was</w:t>
      </w:r>
      <w:proofErr w:type="gramEnd"/>
      <w:r w:rsidRPr="00770F67">
        <w:t xml:space="preserve"> uncontroverted.</w:t>
      </w:r>
      <w:r>
        <w:t xml:space="preserve"> </w:t>
      </w:r>
      <w:r w:rsidRPr="00770F67">
        <w:t>And in Virginia, uncontroverted evidence that Carr</w:t>
      </w:r>
      <w:r>
        <w:t xml:space="preserve"> </w:t>
      </w:r>
      <w:r w:rsidRPr="00770F67">
        <w:t xml:space="preserve">exercised </w:t>
      </w:r>
      <w:r>
        <w:t>‘</w:t>
      </w:r>
      <w:r w:rsidRPr="00770F67">
        <w:t>some degree of care</w:t>
      </w:r>
      <w:r>
        <w:t>’</w:t>
      </w:r>
      <w:r w:rsidRPr="00770F67">
        <w:t xml:space="preserve"> is adequate to defeat Lee’s gross negligence claim.</w:t>
      </w:r>
      <w:r>
        <w:t>”</w:t>
      </w:r>
    </w:p>
    <w:p w14:paraId="66FB0157" w14:textId="77777777" w:rsidR="007B0FFF" w:rsidRDefault="007B0FFF" w:rsidP="007B0FFF">
      <w:pPr>
        <w:pStyle w:val="NoSpacing"/>
        <w:ind w:left="720"/>
      </w:pPr>
    </w:p>
    <w:p w14:paraId="466F4E88" w14:textId="77777777" w:rsidR="007B0FFF" w:rsidRPr="00C46342" w:rsidRDefault="007B0FFF" w:rsidP="007B0FFF">
      <w:pPr>
        <w:pStyle w:val="NoSpacing"/>
        <w:rPr>
          <w:b/>
          <w:bCs/>
        </w:rPr>
      </w:pPr>
      <w:r w:rsidRPr="00C46342">
        <w:rPr>
          <w:b/>
        </w:rPr>
        <w:t xml:space="preserve">Legal lesson learned:  When dispatch advises - “the vehicles had been cleared in the tunnel and there was no longer an emergency situation” – only proceed non-emergency. </w:t>
      </w:r>
    </w:p>
    <w:p w14:paraId="37248EC6" w14:textId="77777777" w:rsidR="007B0FFF" w:rsidRPr="00DB52C3" w:rsidRDefault="007B0FFF" w:rsidP="007B0FFF">
      <w:pPr>
        <w:pStyle w:val="NoSpacing"/>
        <w:rPr>
          <w:b/>
          <w:bCs/>
        </w:rPr>
      </w:pPr>
    </w:p>
    <w:p w14:paraId="53F30381" w14:textId="77777777" w:rsidR="007B0FFF" w:rsidRDefault="007B0FFF" w:rsidP="000C62A1">
      <w:pPr>
        <w:pStyle w:val="NoSpacing"/>
        <w:rPr>
          <w:rFonts w:ascii="Arial Black" w:hAnsi="Arial Black"/>
          <w:sz w:val="28"/>
          <w:szCs w:val="28"/>
        </w:rPr>
      </w:pPr>
    </w:p>
    <w:p w14:paraId="39695791" w14:textId="77777777" w:rsidR="0096096B" w:rsidRDefault="0096096B" w:rsidP="000C62A1">
      <w:pPr>
        <w:pStyle w:val="NoSpacing"/>
        <w:rPr>
          <w:rFonts w:ascii="Arial Black" w:hAnsi="Arial Black"/>
          <w:sz w:val="28"/>
          <w:szCs w:val="28"/>
        </w:rPr>
      </w:pPr>
    </w:p>
    <w:p w14:paraId="598798E9" w14:textId="77777777" w:rsidR="0096096B" w:rsidRDefault="0096096B" w:rsidP="000C62A1">
      <w:pPr>
        <w:pStyle w:val="NoSpacing"/>
        <w:rPr>
          <w:rFonts w:ascii="Arial Black" w:hAnsi="Arial Black"/>
          <w:sz w:val="28"/>
          <w:szCs w:val="28"/>
        </w:rPr>
      </w:pPr>
    </w:p>
    <w:p w14:paraId="3AEA1F7C" w14:textId="19512866" w:rsidR="003B3DED" w:rsidRDefault="003B3DED" w:rsidP="000C62A1">
      <w:pPr>
        <w:pStyle w:val="NoSpacing"/>
        <w:rPr>
          <w:rFonts w:ascii="Arial Black" w:hAnsi="Arial Black"/>
          <w:sz w:val="28"/>
          <w:szCs w:val="28"/>
        </w:rPr>
      </w:pPr>
      <w:r>
        <w:rPr>
          <w:rFonts w:ascii="Arial Black" w:hAnsi="Arial Black"/>
          <w:sz w:val="28"/>
          <w:szCs w:val="28"/>
        </w:rPr>
        <w:t>5-53</w:t>
      </w:r>
    </w:p>
    <w:p w14:paraId="5BB1827D" w14:textId="77777777" w:rsidR="003B3DED" w:rsidRDefault="003B3DED" w:rsidP="000C62A1">
      <w:pPr>
        <w:pStyle w:val="NoSpacing"/>
        <w:rPr>
          <w:rFonts w:ascii="Arial Black" w:hAnsi="Arial Black"/>
          <w:sz w:val="28"/>
          <w:szCs w:val="28"/>
        </w:rPr>
      </w:pPr>
    </w:p>
    <w:p w14:paraId="127E8422" w14:textId="6EE877A9" w:rsidR="000C62A1" w:rsidRDefault="000C62A1" w:rsidP="000C62A1">
      <w:pPr>
        <w:pStyle w:val="NoSpacing"/>
        <w:rPr>
          <w:rFonts w:ascii="Arial Black" w:hAnsi="Arial Black"/>
          <w:sz w:val="28"/>
          <w:szCs w:val="28"/>
        </w:rPr>
      </w:pPr>
      <w:r>
        <w:rPr>
          <w:rFonts w:ascii="Arial Black" w:hAnsi="Arial Black"/>
          <w:sz w:val="28"/>
          <w:szCs w:val="28"/>
        </w:rPr>
        <w:t xml:space="preserve">TX: AMBUL BACKED </w:t>
      </w:r>
      <w:r w:rsidR="003F3074">
        <w:rPr>
          <w:rFonts w:ascii="Arial Black" w:hAnsi="Arial Black"/>
          <w:sz w:val="28"/>
          <w:szCs w:val="28"/>
        </w:rPr>
        <w:t xml:space="preserve">INTO </w:t>
      </w:r>
      <w:r>
        <w:rPr>
          <w:rFonts w:ascii="Arial Black" w:hAnsi="Arial Black"/>
          <w:sz w:val="28"/>
          <w:szCs w:val="28"/>
        </w:rPr>
        <w:t>CAR – AVOID</w:t>
      </w:r>
      <w:r w:rsidR="00E0376C">
        <w:rPr>
          <w:rFonts w:ascii="Arial Black" w:hAnsi="Arial Black"/>
          <w:sz w:val="28"/>
          <w:szCs w:val="28"/>
        </w:rPr>
        <w:t xml:space="preserve"> </w:t>
      </w:r>
      <w:r>
        <w:rPr>
          <w:rFonts w:ascii="Arial Black" w:hAnsi="Arial Black"/>
          <w:sz w:val="28"/>
          <w:szCs w:val="28"/>
        </w:rPr>
        <w:t>FIRE TRUCKS - IMMUNITY</w:t>
      </w:r>
    </w:p>
    <w:p w14:paraId="1A9FCD04" w14:textId="77777777" w:rsidR="000C62A1" w:rsidRDefault="000C62A1" w:rsidP="000C62A1">
      <w:pPr>
        <w:pStyle w:val="NoSpacing"/>
        <w:rPr>
          <w:rFonts w:ascii="Arial Black" w:hAnsi="Arial Black"/>
          <w:sz w:val="28"/>
          <w:szCs w:val="28"/>
        </w:rPr>
      </w:pPr>
    </w:p>
    <w:p w14:paraId="7F88E2EC" w14:textId="77777777" w:rsidR="000C62A1" w:rsidRPr="00B07EC1" w:rsidRDefault="000C62A1" w:rsidP="000C62A1">
      <w:pPr>
        <w:pStyle w:val="NoSpacing"/>
        <w:rPr>
          <w:rFonts w:ascii="Times New Roman" w:hAnsi="Times New Roman"/>
          <w:sz w:val="24"/>
          <w:szCs w:val="24"/>
        </w:rPr>
      </w:pPr>
      <w:r w:rsidRPr="00B07EC1">
        <w:rPr>
          <w:rFonts w:ascii="Times New Roman" w:hAnsi="Times New Roman"/>
          <w:sz w:val="24"/>
          <w:szCs w:val="24"/>
        </w:rPr>
        <w:t xml:space="preserve">On July 22, 2025, in </w:t>
      </w:r>
      <w:r w:rsidRPr="00B07EC1">
        <w:rPr>
          <w:rFonts w:ascii="Times New Roman" w:hAnsi="Times New Roman"/>
          <w:sz w:val="24"/>
          <w:szCs w:val="24"/>
          <w:u w:val="single"/>
        </w:rPr>
        <w:t xml:space="preserve">City of Houston v. </w:t>
      </w:r>
      <w:proofErr w:type="spellStart"/>
      <w:r w:rsidRPr="00B07EC1">
        <w:rPr>
          <w:rFonts w:ascii="Times New Roman" w:hAnsi="Times New Roman"/>
          <w:sz w:val="24"/>
          <w:szCs w:val="24"/>
          <w:u w:val="single"/>
        </w:rPr>
        <w:t>Maraunjanique</w:t>
      </w:r>
      <w:proofErr w:type="spellEnd"/>
      <w:r w:rsidRPr="00B07EC1">
        <w:rPr>
          <w:rFonts w:ascii="Times New Roman" w:hAnsi="Times New Roman"/>
          <w:sz w:val="24"/>
          <w:szCs w:val="24"/>
          <w:u w:val="single"/>
        </w:rPr>
        <w:t xml:space="preserve"> Smallwood</w:t>
      </w:r>
      <w:r w:rsidRPr="00B07EC1">
        <w:rPr>
          <w:rFonts w:ascii="Times New Roman" w:hAnsi="Times New Roman"/>
          <w:sz w:val="24"/>
          <w:szCs w:val="24"/>
        </w:rPr>
        <w:t xml:space="preserve">, the Court of Appeals of Texas, Fourteenth District held (3 to 0) held that trial court should have granted the City’s motion for summary judgement, under the emergency exception of waiver of immunity under the Texas Torts Claims Act.  The ambulance driver, </w:t>
      </w:r>
      <w:r w:rsidRPr="00B07EC1">
        <w:rPr>
          <w:rFonts w:ascii="Times New Roman" w:hAnsi="Times New Roman"/>
          <w:sz w:val="24"/>
          <w:szCs w:val="24"/>
        </w:rPr>
        <w:lastRenderedPageBreak/>
        <w:t xml:space="preserve">returning to their station, saw flames coming from a building about seven blocks away – as they went north on two lane road, they had to stop and back up for two fire engines responding to the fire.  They collided with Smallwood’s vehicle behind them.  THE COURT HELD: “We conclude the City established the TTCA’s emergency exception applies to Smallwood’s claims against the City as a matter of law and that Smallwood failed to raise a fact issue as to whether the City’s immunity was waived. *** This evidence established that Moncivais was reacting to </w:t>
      </w:r>
      <w:proofErr w:type="gramStart"/>
      <w:r w:rsidRPr="00B07EC1">
        <w:rPr>
          <w:rFonts w:ascii="Times New Roman" w:hAnsi="Times New Roman"/>
          <w:sz w:val="24"/>
          <w:szCs w:val="24"/>
        </w:rPr>
        <w:t>an emergency situation</w:t>
      </w:r>
      <w:proofErr w:type="gramEnd"/>
      <w:r w:rsidRPr="00B07EC1">
        <w:rPr>
          <w:rFonts w:ascii="Times New Roman" w:hAnsi="Times New Roman"/>
          <w:sz w:val="24"/>
          <w:szCs w:val="24"/>
        </w:rPr>
        <w:t xml:space="preserve"> when he reversed the ambulance and collided with Smallwood.” </w:t>
      </w:r>
      <w:hyperlink r:id="rId963" w:history="1">
        <w:r w:rsidRPr="00B07EC1">
          <w:rPr>
            <w:rStyle w:val="Hyperlink"/>
            <w:rFonts w:ascii="Times New Roman" w:hAnsi="Times New Roman"/>
            <w:sz w:val="24"/>
            <w:szCs w:val="24"/>
          </w:rPr>
          <w:t>https://cases.justia.com/texas/fourteenth-court-of-appeals/2025-14-24-00312-cv.pdf?ts=1753189995</w:t>
        </w:r>
      </w:hyperlink>
      <w:r w:rsidRPr="00B07EC1">
        <w:rPr>
          <w:rFonts w:ascii="Times New Roman" w:hAnsi="Times New Roman"/>
          <w:sz w:val="24"/>
          <w:szCs w:val="24"/>
        </w:rPr>
        <w:t xml:space="preserve"> </w:t>
      </w:r>
    </w:p>
    <w:p w14:paraId="41767B15" w14:textId="77777777" w:rsidR="000C62A1" w:rsidRPr="00B07EC1" w:rsidRDefault="000C62A1" w:rsidP="000C62A1">
      <w:pPr>
        <w:pStyle w:val="NoSpacing"/>
        <w:rPr>
          <w:rFonts w:ascii="Times New Roman" w:hAnsi="Times New Roman"/>
          <w:sz w:val="24"/>
          <w:szCs w:val="24"/>
        </w:rPr>
      </w:pPr>
    </w:p>
    <w:p w14:paraId="70AE720F" w14:textId="77777777" w:rsidR="00B07EC1" w:rsidRDefault="00B07EC1" w:rsidP="00B07EC1">
      <w:pPr>
        <w:pStyle w:val="NoSpacing"/>
        <w:rPr>
          <w:rFonts w:ascii="Times New Roman" w:hAnsi="Times New Roman"/>
          <w:b/>
          <w:sz w:val="24"/>
          <w:szCs w:val="24"/>
        </w:rPr>
      </w:pPr>
      <w:r w:rsidRPr="00B07EC1">
        <w:rPr>
          <w:rFonts w:ascii="Times New Roman" w:hAnsi="Times New Roman"/>
          <w:b/>
          <w:sz w:val="24"/>
          <w:szCs w:val="24"/>
        </w:rPr>
        <w:t>Legal lesson learned:  Immunity statute protects City from liability</w:t>
      </w:r>
      <w:r w:rsidRPr="00B07EC1">
        <w:rPr>
          <w:rFonts w:ascii="Times New Roman" w:hAnsi="Times New Roman"/>
          <w:b/>
          <w:bCs/>
          <w:sz w:val="24"/>
          <w:szCs w:val="24"/>
        </w:rPr>
        <w:t xml:space="preserve"> in </w:t>
      </w:r>
      <w:proofErr w:type="gramStart"/>
      <w:r w:rsidRPr="00B07EC1">
        <w:rPr>
          <w:rFonts w:ascii="Times New Roman" w:hAnsi="Times New Roman"/>
          <w:b/>
          <w:bCs/>
          <w:sz w:val="24"/>
          <w:szCs w:val="24"/>
        </w:rPr>
        <w:t>emergency situation</w:t>
      </w:r>
      <w:proofErr w:type="gramEnd"/>
      <w:r w:rsidRPr="00B07EC1">
        <w:rPr>
          <w:rFonts w:ascii="Times New Roman" w:hAnsi="Times New Roman"/>
          <w:b/>
          <w:sz w:val="24"/>
          <w:szCs w:val="24"/>
        </w:rPr>
        <w:t xml:space="preserve">, even if ambulance did not activate siren or emergency lights. </w:t>
      </w:r>
    </w:p>
    <w:p w14:paraId="24BE3A4F" w14:textId="77777777" w:rsidR="007963B6" w:rsidRDefault="007963B6" w:rsidP="00B07EC1">
      <w:pPr>
        <w:pStyle w:val="NoSpacing"/>
        <w:rPr>
          <w:rFonts w:ascii="Times New Roman" w:hAnsi="Times New Roman"/>
          <w:b/>
          <w:sz w:val="24"/>
          <w:szCs w:val="24"/>
        </w:rPr>
      </w:pPr>
    </w:p>
    <w:p w14:paraId="2B4D71FD" w14:textId="77777777" w:rsidR="007963B6" w:rsidRDefault="007963B6" w:rsidP="00B07EC1">
      <w:pPr>
        <w:pStyle w:val="NoSpacing"/>
        <w:rPr>
          <w:rFonts w:ascii="Times New Roman" w:hAnsi="Times New Roman"/>
          <w:b/>
          <w:sz w:val="24"/>
          <w:szCs w:val="24"/>
        </w:rPr>
      </w:pPr>
    </w:p>
    <w:p w14:paraId="01374262" w14:textId="1B68F8F8" w:rsidR="007963B6" w:rsidRPr="003B3DED" w:rsidRDefault="003B3DED" w:rsidP="00B07EC1">
      <w:pPr>
        <w:pStyle w:val="NoSpacing"/>
        <w:rPr>
          <w:rFonts w:ascii="Arial Black" w:hAnsi="Arial Black"/>
          <w:b/>
          <w:sz w:val="24"/>
          <w:szCs w:val="24"/>
        </w:rPr>
      </w:pPr>
      <w:r w:rsidRPr="003B3DED">
        <w:rPr>
          <w:rFonts w:ascii="Arial Black" w:hAnsi="Arial Black"/>
          <w:b/>
          <w:sz w:val="24"/>
          <w:szCs w:val="24"/>
        </w:rPr>
        <w:t>5-52</w:t>
      </w:r>
    </w:p>
    <w:p w14:paraId="6F6595A6" w14:textId="77777777" w:rsidR="003B3DED" w:rsidRDefault="003B3DED" w:rsidP="00B07EC1">
      <w:pPr>
        <w:pStyle w:val="NoSpacing"/>
        <w:rPr>
          <w:rFonts w:ascii="Times New Roman" w:hAnsi="Times New Roman"/>
          <w:b/>
          <w:sz w:val="24"/>
          <w:szCs w:val="24"/>
        </w:rPr>
      </w:pPr>
    </w:p>
    <w:p w14:paraId="5FB6D64D" w14:textId="77777777" w:rsidR="007963B6" w:rsidRDefault="007963B6" w:rsidP="007963B6">
      <w:pPr>
        <w:rPr>
          <w:rFonts w:ascii="Arial Black" w:hAnsi="Arial Black"/>
          <w:b/>
          <w:sz w:val="28"/>
          <w:szCs w:val="28"/>
        </w:rPr>
      </w:pPr>
      <w:r>
        <w:rPr>
          <w:rFonts w:ascii="Arial Black" w:hAnsi="Arial Black"/>
          <w:b/>
          <w:sz w:val="28"/>
          <w:szCs w:val="28"/>
        </w:rPr>
        <w:t>CO: AMBUL - ICE - AUTOMATIC CHAIN SYSTEM - IMMUNITY</w:t>
      </w:r>
    </w:p>
    <w:p w14:paraId="04483453" w14:textId="77777777" w:rsidR="007963B6" w:rsidRPr="003B3DED" w:rsidRDefault="007963B6" w:rsidP="007963B6">
      <w:pPr>
        <w:rPr>
          <w:rFonts w:ascii="Times New Roman" w:hAnsi="Times New Roman"/>
          <w:sz w:val="24"/>
          <w:szCs w:val="24"/>
        </w:rPr>
      </w:pPr>
      <w:r w:rsidRPr="003B3DED">
        <w:rPr>
          <w:rFonts w:ascii="Times New Roman" w:hAnsi="Times New Roman"/>
          <w:sz w:val="24"/>
          <w:szCs w:val="24"/>
        </w:rPr>
        <w:t xml:space="preserve">On July 3, 2025, in </w:t>
      </w:r>
      <w:r w:rsidRPr="003B3DED">
        <w:rPr>
          <w:rFonts w:ascii="Times New Roman" w:hAnsi="Times New Roman"/>
          <w:sz w:val="24"/>
          <w:szCs w:val="24"/>
          <w:u w:val="single"/>
        </w:rPr>
        <w:t>Jeffrey Malott v. Town of Palisade Fire Department</w:t>
      </w:r>
      <w:r w:rsidRPr="003B3DED">
        <w:rPr>
          <w:rFonts w:ascii="Times New Roman" w:hAnsi="Times New Roman"/>
          <w:b/>
          <w:sz w:val="24"/>
          <w:szCs w:val="24"/>
        </w:rPr>
        <w:t xml:space="preserve">, </w:t>
      </w:r>
      <w:r w:rsidRPr="003B3DED">
        <w:rPr>
          <w:rFonts w:ascii="Times New Roman" w:hAnsi="Times New Roman"/>
          <w:sz w:val="24"/>
          <w:szCs w:val="24"/>
        </w:rPr>
        <w:t xml:space="preserve">the Colorado Court of Appeals, Division IV. Held (3 to 0) that trial court properly dismissed the lawsuit under emergency response provision of the Colorado Governmental Immunity Act [CCIA]; ambulance driver activated the system, no proof it didn’t deploy.  Early on October 28, 2019, firefighter Corey Massey was driving Ambulance 41 </w:t>
      </w:r>
      <w:proofErr w:type="gramStart"/>
      <w:r w:rsidRPr="003B3DED">
        <w:rPr>
          <w:rFonts w:ascii="Times New Roman" w:hAnsi="Times New Roman"/>
          <w:sz w:val="24"/>
          <w:szCs w:val="24"/>
        </w:rPr>
        <w:t>responding</w:t>
      </w:r>
      <w:proofErr w:type="gramEnd"/>
      <w:r w:rsidRPr="003B3DED">
        <w:rPr>
          <w:rFonts w:ascii="Times New Roman" w:hAnsi="Times New Roman"/>
          <w:sz w:val="24"/>
          <w:szCs w:val="24"/>
        </w:rPr>
        <w:t xml:space="preserve"> red lights and siren, eastbound on I-70, for a roll-over accident.  The weather was poor, and the road conditions were icy. The ambulance was acquired in 2018 with automatic chain system that could deploy chains on the ambulance’s tires to help with traction during adverse weather conditions; the first FD vehicle with this system and Massey had never been trained on its use. He drove on the right shoulder, 5 to 10 mph, to pass stopped traffic; deployed the chain system – didn’t hear or fell anything – and slid into the right side of the Plaintiff’s vehicle.  THE COURT HELD: “Malott contends that the CGIA’s waiver of immunity for operation of a motor vehicle is broad and encompasses vehicle maintenance. Specifically, he asserts that the emergency vehicle exception doesn’t even apply here </w:t>
      </w:r>
      <w:proofErr w:type="gramStart"/>
      <w:r w:rsidRPr="003B3DED">
        <w:rPr>
          <w:rFonts w:ascii="Times New Roman" w:hAnsi="Times New Roman"/>
          <w:sz w:val="24"/>
          <w:szCs w:val="24"/>
        </w:rPr>
        <w:t>because</w:t>
      </w:r>
      <w:proofErr w:type="gramEnd"/>
      <w:r w:rsidRPr="003B3DED">
        <w:rPr>
          <w:rFonts w:ascii="Times New Roman" w:hAnsi="Times New Roman"/>
          <w:sz w:val="24"/>
          <w:szCs w:val="24"/>
        </w:rPr>
        <w:t xml:space="preserve"> the Fire Department’s failure to maintain the automatic chain system occurred before any emergency and, therefore, the Fire Department waived its immunity. We disagree…. The legislature created the emergency vehicle exception to immunize public employees from tort liability in situations requiring an immediate response…. Here, Massey was responding properly and lawfully to precisely the type of </w:t>
      </w:r>
      <w:proofErr w:type="gramStart"/>
      <w:r w:rsidRPr="003B3DED">
        <w:rPr>
          <w:rFonts w:ascii="Times New Roman" w:hAnsi="Times New Roman"/>
          <w:sz w:val="24"/>
          <w:szCs w:val="24"/>
        </w:rPr>
        <w:t>emergency situation</w:t>
      </w:r>
      <w:proofErr w:type="gramEnd"/>
      <w:r w:rsidRPr="003B3DED">
        <w:rPr>
          <w:rFonts w:ascii="Times New Roman" w:hAnsi="Times New Roman"/>
          <w:sz w:val="24"/>
          <w:szCs w:val="24"/>
        </w:rPr>
        <w:t xml:space="preserve"> the legislature envisioned when it created the emergency vehicle exception. The district court found that Massey activated Ambulance 41’s lights and sirens, acted with due regard for Malott’s safety, and did not endanger life or property, and that there was no evidence indicating that he was careless when responding to the rollover accident. Massey’s response fits squarely within the CGIA’s requirement that the operator of an emergency vehicle respond to an emergency with the vehicle’s lights and sirens on…. We,  therefore, conclude that because Massey operated Ambulance 41 properly and lawfully while responding to the emergency rollover accident, the emergency vehicle exception applies, and the Fire Department is immune under the CGIA. The district court properly dismissed Malott’s case under C.R.C.P. 12(b)(1).”  </w:t>
      </w:r>
      <w:hyperlink r:id="rId964" w:history="1">
        <w:r w:rsidRPr="003B3DED">
          <w:rPr>
            <w:rStyle w:val="Hyperlink"/>
            <w:rFonts w:ascii="Times New Roman" w:hAnsi="Times New Roman"/>
            <w:sz w:val="24"/>
            <w:szCs w:val="24"/>
          </w:rPr>
          <w:t>https://cases.justia.com/colorado/court-of-appeals/2025-24ca1544.pdf?ts=1751643339</w:t>
        </w:r>
      </w:hyperlink>
      <w:r w:rsidRPr="003B3DED">
        <w:rPr>
          <w:rFonts w:ascii="Times New Roman" w:hAnsi="Times New Roman"/>
          <w:sz w:val="24"/>
          <w:szCs w:val="24"/>
        </w:rPr>
        <w:t xml:space="preserve"> </w:t>
      </w:r>
    </w:p>
    <w:p w14:paraId="157AD64E" w14:textId="77777777" w:rsidR="003B3DED" w:rsidRPr="003B3DED" w:rsidRDefault="003B3DED" w:rsidP="003B3DED">
      <w:pPr>
        <w:pStyle w:val="NoSpacing"/>
        <w:rPr>
          <w:rFonts w:ascii="Times New Roman" w:hAnsi="Times New Roman"/>
          <w:b/>
          <w:bCs/>
          <w:sz w:val="24"/>
          <w:szCs w:val="24"/>
        </w:rPr>
      </w:pPr>
      <w:r w:rsidRPr="003B3DED">
        <w:rPr>
          <w:rFonts w:ascii="Times New Roman" w:hAnsi="Times New Roman"/>
          <w:b/>
          <w:sz w:val="24"/>
          <w:szCs w:val="24"/>
        </w:rPr>
        <w:t xml:space="preserve">Legal lesson learned:  When acquiring an emergency apparatus with an automatic chain system, train your personnel in its operation and establish a documented maintenance program. </w:t>
      </w:r>
    </w:p>
    <w:p w14:paraId="01A98743" w14:textId="77777777" w:rsidR="007963B6" w:rsidRPr="003B3DED" w:rsidRDefault="007963B6" w:rsidP="00B07EC1">
      <w:pPr>
        <w:pStyle w:val="NoSpacing"/>
        <w:rPr>
          <w:rFonts w:ascii="Times New Roman" w:hAnsi="Times New Roman"/>
          <w:b/>
          <w:bCs/>
          <w:sz w:val="24"/>
          <w:szCs w:val="24"/>
        </w:rPr>
      </w:pPr>
    </w:p>
    <w:p w14:paraId="5CB876FB" w14:textId="77777777" w:rsidR="000C62A1" w:rsidRPr="003B3DED" w:rsidRDefault="000C62A1" w:rsidP="00EF1133">
      <w:pPr>
        <w:rPr>
          <w:rFonts w:ascii="Times New Roman" w:hAnsi="Times New Roman"/>
          <w:b/>
          <w:sz w:val="24"/>
          <w:szCs w:val="24"/>
        </w:rPr>
      </w:pPr>
    </w:p>
    <w:p w14:paraId="78313300" w14:textId="77777777" w:rsidR="000C62A1" w:rsidRDefault="000C62A1" w:rsidP="00EF1133">
      <w:pPr>
        <w:rPr>
          <w:rFonts w:ascii="Arial Black" w:hAnsi="Arial Black"/>
          <w:b/>
          <w:sz w:val="24"/>
          <w:szCs w:val="24"/>
        </w:rPr>
      </w:pPr>
    </w:p>
    <w:p w14:paraId="4EC6D80A" w14:textId="57D096AC" w:rsidR="005758F6" w:rsidRDefault="00AE1943" w:rsidP="00EF1133">
      <w:pPr>
        <w:rPr>
          <w:rFonts w:ascii="Arial Black" w:hAnsi="Arial Black"/>
          <w:b/>
          <w:sz w:val="24"/>
          <w:szCs w:val="24"/>
        </w:rPr>
      </w:pPr>
      <w:r>
        <w:rPr>
          <w:rFonts w:ascii="Arial Black" w:hAnsi="Arial Black"/>
          <w:b/>
          <w:sz w:val="24"/>
          <w:szCs w:val="24"/>
        </w:rPr>
        <w:lastRenderedPageBreak/>
        <w:t>5-51</w:t>
      </w:r>
    </w:p>
    <w:p w14:paraId="1A40C989" w14:textId="77777777" w:rsidR="00BD4E9A" w:rsidRDefault="00BD4E9A" w:rsidP="00BD4E9A">
      <w:pPr>
        <w:pStyle w:val="NoSpacing"/>
        <w:rPr>
          <w:rFonts w:ascii="Arial Black" w:hAnsi="Arial Black"/>
          <w:sz w:val="28"/>
          <w:szCs w:val="28"/>
        </w:rPr>
      </w:pPr>
      <w:r>
        <w:rPr>
          <w:rFonts w:ascii="Arial Black" w:hAnsi="Arial Black"/>
          <w:sz w:val="28"/>
          <w:szCs w:val="28"/>
        </w:rPr>
        <w:t>TX: AMBULANCE – TRAFFIC / LEFT SHOULDER  - IMMUNITY</w:t>
      </w:r>
    </w:p>
    <w:p w14:paraId="51EA8BFB" w14:textId="77777777" w:rsidR="00BD4E9A" w:rsidRPr="00BD4E9A" w:rsidRDefault="00BD4E9A" w:rsidP="00BD4E9A">
      <w:pPr>
        <w:rPr>
          <w:rFonts w:ascii="Times New Roman" w:hAnsi="Times New Roman"/>
          <w:bCs/>
          <w:sz w:val="24"/>
          <w:szCs w:val="24"/>
        </w:rPr>
      </w:pPr>
      <w:r w:rsidRPr="00BD4E9A">
        <w:rPr>
          <w:rFonts w:ascii="Times New Roman" w:hAnsi="Times New Roman"/>
          <w:sz w:val="24"/>
          <w:szCs w:val="24"/>
        </w:rPr>
        <w:t xml:space="preserve">On April 24, 2025, in </w:t>
      </w:r>
      <w:r w:rsidRPr="00BD4E9A">
        <w:rPr>
          <w:rFonts w:ascii="Times New Roman" w:hAnsi="Times New Roman"/>
          <w:sz w:val="24"/>
          <w:szCs w:val="24"/>
          <w:u w:val="single"/>
        </w:rPr>
        <w:t xml:space="preserve">City of Houston v. </w:t>
      </w:r>
      <w:proofErr w:type="spellStart"/>
      <w:r w:rsidRPr="00BD4E9A">
        <w:rPr>
          <w:rFonts w:ascii="Times New Roman" w:hAnsi="Times New Roman"/>
          <w:sz w:val="24"/>
          <w:szCs w:val="24"/>
          <w:u w:val="single"/>
        </w:rPr>
        <w:t>Sokmen</w:t>
      </w:r>
      <w:proofErr w:type="spellEnd"/>
      <w:r w:rsidRPr="00BD4E9A">
        <w:rPr>
          <w:rFonts w:ascii="Times New Roman" w:hAnsi="Times New Roman"/>
          <w:sz w:val="24"/>
          <w:szCs w:val="24"/>
          <w:u w:val="single"/>
        </w:rPr>
        <w:t xml:space="preserve"> </w:t>
      </w:r>
      <w:proofErr w:type="spellStart"/>
      <w:r w:rsidRPr="00BD4E9A">
        <w:rPr>
          <w:rFonts w:ascii="Times New Roman" w:hAnsi="Times New Roman"/>
          <w:sz w:val="24"/>
          <w:szCs w:val="24"/>
          <w:u w:val="single"/>
        </w:rPr>
        <w:t>Chour</w:t>
      </w:r>
      <w:r w:rsidRPr="00BD4E9A">
        <w:rPr>
          <w:rFonts w:ascii="Times New Roman" w:hAnsi="Times New Roman"/>
          <w:sz w:val="24"/>
          <w:szCs w:val="24"/>
        </w:rPr>
        <w:t>ng</w:t>
      </w:r>
      <w:proofErr w:type="spellEnd"/>
      <w:r w:rsidRPr="00BD4E9A">
        <w:rPr>
          <w:rFonts w:ascii="Times New Roman" w:hAnsi="Times New Roman"/>
          <w:sz w:val="24"/>
          <w:szCs w:val="24"/>
        </w:rPr>
        <w:t xml:space="preserve">, the Court of Appeals of Texas, Fourteenth District held (3 to 0) that trial court improperly denied the City’s motion to dismiss that case.  The ambulance was transporting a stabbing victim, with red lights and siren, and because of heavy traffic moved to far left shoulder.  A police officer following the ambulance to the hospital observed plaintiff’s vehicle move from left lane into the shoulder area, colliding with the ambulance.  </w:t>
      </w:r>
      <w:hyperlink r:id="rId965" w:history="1">
        <w:r w:rsidRPr="00BD4E9A">
          <w:rPr>
            <w:rStyle w:val="Hyperlink"/>
            <w:rFonts w:ascii="Times New Roman" w:hAnsi="Times New Roman"/>
            <w:sz w:val="24"/>
            <w:szCs w:val="24"/>
          </w:rPr>
          <w:t>https://cases.justia.com/texas/fourteenth-court-of-appeals/2025-14-24-00251-cv.pdf?ts=1745499568</w:t>
        </w:r>
      </w:hyperlink>
      <w:r w:rsidRPr="00BD4E9A">
        <w:rPr>
          <w:rFonts w:ascii="Times New Roman" w:hAnsi="Times New Roman"/>
          <w:sz w:val="24"/>
          <w:szCs w:val="24"/>
        </w:rPr>
        <w:t xml:space="preserve"> </w:t>
      </w:r>
    </w:p>
    <w:p w14:paraId="209BF353" w14:textId="77777777" w:rsidR="00CB79E4" w:rsidRPr="00CB79E4" w:rsidRDefault="00CB79E4" w:rsidP="00CB79E4">
      <w:pPr>
        <w:pStyle w:val="NoSpacing"/>
        <w:rPr>
          <w:rFonts w:ascii="Times New Roman" w:hAnsi="Times New Roman"/>
          <w:b/>
          <w:bCs/>
          <w:sz w:val="24"/>
          <w:szCs w:val="24"/>
        </w:rPr>
      </w:pPr>
      <w:r w:rsidRPr="00CB79E4">
        <w:rPr>
          <w:rFonts w:ascii="Times New Roman" w:hAnsi="Times New Roman"/>
          <w:b/>
          <w:sz w:val="24"/>
          <w:szCs w:val="24"/>
        </w:rPr>
        <w:t xml:space="preserve">Legal Lesson Learned: Passing traffic on the left shoulder requires great care. </w:t>
      </w:r>
    </w:p>
    <w:p w14:paraId="19D28B26" w14:textId="77777777" w:rsidR="00CB79E4" w:rsidRDefault="00CB79E4" w:rsidP="00CB79E4">
      <w:pPr>
        <w:pStyle w:val="NoSpacing"/>
      </w:pPr>
    </w:p>
    <w:p w14:paraId="4285519A" w14:textId="77777777" w:rsidR="00AE1943" w:rsidRDefault="00AE1943" w:rsidP="00EF1133">
      <w:pPr>
        <w:rPr>
          <w:rFonts w:ascii="Arial Black" w:hAnsi="Arial Black"/>
          <w:b/>
          <w:sz w:val="24"/>
          <w:szCs w:val="24"/>
        </w:rPr>
      </w:pPr>
    </w:p>
    <w:p w14:paraId="62592726" w14:textId="4997C52F" w:rsidR="005758F6" w:rsidRDefault="005758F6" w:rsidP="00EF1133">
      <w:pPr>
        <w:rPr>
          <w:rFonts w:ascii="Arial Black" w:hAnsi="Arial Black"/>
          <w:b/>
          <w:sz w:val="24"/>
          <w:szCs w:val="24"/>
        </w:rPr>
      </w:pPr>
      <w:r>
        <w:rPr>
          <w:rFonts w:ascii="Arial Black" w:hAnsi="Arial Black"/>
          <w:b/>
          <w:sz w:val="24"/>
          <w:szCs w:val="24"/>
        </w:rPr>
        <w:t>5-50</w:t>
      </w:r>
    </w:p>
    <w:p w14:paraId="65BC6691" w14:textId="4A21B8D8" w:rsidR="00733BB2" w:rsidRPr="00486E8E" w:rsidRDefault="00733BB2" w:rsidP="00733BB2">
      <w:pPr>
        <w:rPr>
          <w:rFonts w:ascii="Arial Black" w:hAnsi="Arial Black"/>
          <w:bCs/>
          <w:sz w:val="28"/>
          <w:szCs w:val="28"/>
        </w:rPr>
      </w:pPr>
      <w:r>
        <w:rPr>
          <w:rFonts w:ascii="Arial Black" w:hAnsi="Arial Black"/>
          <w:sz w:val="28"/>
          <w:szCs w:val="28"/>
        </w:rPr>
        <w:t>IL: AMBUL</w:t>
      </w:r>
      <w:r w:rsidR="00C12BB0">
        <w:rPr>
          <w:rFonts w:ascii="Arial Black" w:hAnsi="Arial Black"/>
          <w:sz w:val="28"/>
          <w:szCs w:val="28"/>
        </w:rPr>
        <w:t xml:space="preserve"> - LIGHTS &amp; SIREN – DIDN’T </w:t>
      </w:r>
      <w:r>
        <w:rPr>
          <w:rFonts w:ascii="Arial Black" w:hAnsi="Arial Black"/>
          <w:bCs/>
          <w:sz w:val="28"/>
          <w:szCs w:val="28"/>
        </w:rPr>
        <w:t xml:space="preserve">STOP </w:t>
      </w:r>
      <w:r w:rsidR="00C12BB0">
        <w:rPr>
          <w:rFonts w:ascii="Arial Black" w:hAnsi="Arial Black"/>
          <w:bCs/>
          <w:sz w:val="28"/>
          <w:szCs w:val="28"/>
        </w:rPr>
        <w:t xml:space="preserve">AT </w:t>
      </w:r>
      <w:r>
        <w:rPr>
          <w:rFonts w:ascii="Arial Black" w:hAnsi="Arial Black"/>
          <w:sz w:val="28"/>
          <w:szCs w:val="28"/>
        </w:rPr>
        <w:t>STOP SIGN - IMMUNITY</w:t>
      </w:r>
    </w:p>
    <w:p w14:paraId="33EDCE6A" w14:textId="07B7C00A" w:rsidR="005758F6" w:rsidRPr="00733BB2" w:rsidRDefault="00733BB2" w:rsidP="00733BB2">
      <w:pPr>
        <w:rPr>
          <w:rFonts w:ascii="Times New Roman" w:hAnsi="Times New Roman"/>
          <w:b/>
          <w:sz w:val="24"/>
          <w:szCs w:val="24"/>
        </w:rPr>
      </w:pPr>
      <w:r w:rsidRPr="00733BB2">
        <w:rPr>
          <w:rFonts w:ascii="Times New Roman" w:hAnsi="Times New Roman"/>
          <w:sz w:val="24"/>
          <w:szCs w:val="24"/>
        </w:rPr>
        <w:t xml:space="preserve">On April 22, 2025, in </w:t>
      </w:r>
      <w:r w:rsidRPr="00733BB2">
        <w:rPr>
          <w:rFonts w:ascii="Times New Roman" w:hAnsi="Times New Roman"/>
          <w:sz w:val="24"/>
          <w:szCs w:val="24"/>
          <w:u w:val="single"/>
        </w:rPr>
        <w:t>GinaM. Postula v. Tyler D. Blackwell and City of LaSalle</w:t>
      </w:r>
      <w:r w:rsidRPr="00733BB2">
        <w:rPr>
          <w:rFonts w:ascii="Times New Roman" w:hAnsi="Times New Roman"/>
          <w:sz w:val="24"/>
          <w:szCs w:val="24"/>
        </w:rPr>
        <w:t xml:space="preserve">, the Court of Appeals of Illinois, Third District held (3 to 0) that trial court properly dismissed the lawsuit alleging negligent conduct by the ambulance EMT driver for not stopping at stop sign before entering intersection and striking side of plaintiff’s vehicle, causing personal injury.  The EMT had lights and siren </w:t>
      </w:r>
      <w:proofErr w:type="gramStart"/>
      <w:r w:rsidRPr="00733BB2">
        <w:rPr>
          <w:rFonts w:ascii="Times New Roman" w:hAnsi="Times New Roman"/>
          <w:sz w:val="24"/>
          <w:szCs w:val="24"/>
        </w:rPr>
        <w:t>activated, and</w:t>
      </w:r>
      <w:proofErr w:type="gramEnd"/>
      <w:r w:rsidRPr="00733BB2">
        <w:rPr>
          <w:rFonts w:ascii="Times New Roman" w:hAnsi="Times New Roman"/>
          <w:sz w:val="24"/>
          <w:szCs w:val="24"/>
        </w:rPr>
        <w:t xml:space="preserve"> slowed down before entering the intersection.  Under state law, emergency responders and their public employers have immunity on an emergency run, except for “willful or wanton conduct.”  The case was dismissed without pre-trial discovery, and trial court denied the plaintiff’s request to file an amended complaint alleging willful or wanton conduct, since prior case law has held that failure of emergency responder to stop at stop sign was not willful or wanton misconduct. </w:t>
      </w:r>
      <w:hyperlink r:id="rId966" w:history="1">
        <w:r w:rsidRPr="00733BB2">
          <w:rPr>
            <w:rStyle w:val="Hyperlink"/>
            <w:rFonts w:ascii="Times New Roman" w:hAnsi="Times New Roman"/>
            <w:sz w:val="24"/>
            <w:szCs w:val="24"/>
          </w:rPr>
          <w:t>https://ilcourtsaudio.blob.core.windows.net/antilles-resources/resources/95e9af0e-d4e6-4f14-9f68-6c313ea57cfa/Postula%20v.%20Blackard,%202025%20IL%20App%20(3d)%20240464-U.pdf</w:t>
        </w:r>
      </w:hyperlink>
    </w:p>
    <w:p w14:paraId="41ED5D04" w14:textId="77777777" w:rsidR="00AE1943" w:rsidRPr="00AE1943" w:rsidRDefault="00AE1943" w:rsidP="00AE1943">
      <w:pPr>
        <w:pStyle w:val="NoSpacing"/>
        <w:rPr>
          <w:rFonts w:ascii="Times New Roman" w:hAnsi="Times New Roman"/>
          <w:b/>
          <w:bCs/>
          <w:sz w:val="24"/>
          <w:szCs w:val="24"/>
        </w:rPr>
      </w:pPr>
      <w:r w:rsidRPr="00AE1943">
        <w:rPr>
          <w:rFonts w:ascii="Times New Roman" w:hAnsi="Times New Roman"/>
          <w:b/>
          <w:sz w:val="24"/>
          <w:szCs w:val="24"/>
        </w:rPr>
        <w:t xml:space="preserve">Legal Lesson Learned: </w:t>
      </w:r>
      <w:r w:rsidRPr="00AE1943">
        <w:rPr>
          <w:rFonts w:ascii="Times New Roman" w:hAnsi="Times New Roman"/>
          <w:b/>
          <w:bCs/>
          <w:sz w:val="24"/>
          <w:szCs w:val="24"/>
        </w:rPr>
        <w:t>While not required by law in most states, s</w:t>
      </w:r>
      <w:r w:rsidRPr="00AE1943">
        <w:rPr>
          <w:rFonts w:ascii="Times New Roman" w:hAnsi="Times New Roman"/>
          <w:b/>
          <w:sz w:val="24"/>
          <w:szCs w:val="24"/>
        </w:rPr>
        <w:t xml:space="preserve">ome fire and EMS departments have adopted a “full stop” policy for stop signs and red lights to help avoid personal injuries as occurred in this case. </w:t>
      </w:r>
    </w:p>
    <w:p w14:paraId="590E92E8" w14:textId="77777777" w:rsidR="005758F6" w:rsidRPr="00AE1943" w:rsidRDefault="005758F6" w:rsidP="00EF1133">
      <w:pPr>
        <w:rPr>
          <w:rFonts w:ascii="Times New Roman" w:hAnsi="Times New Roman"/>
          <w:b/>
          <w:sz w:val="24"/>
          <w:szCs w:val="24"/>
        </w:rPr>
      </w:pPr>
    </w:p>
    <w:p w14:paraId="5CE8CC4F" w14:textId="77777777" w:rsidR="00FA7646" w:rsidRDefault="00FA7646" w:rsidP="00EF1133">
      <w:pPr>
        <w:rPr>
          <w:rFonts w:ascii="Arial Black" w:hAnsi="Arial Black"/>
          <w:b/>
          <w:sz w:val="24"/>
          <w:szCs w:val="24"/>
        </w:rPr>
      </w:pPr>
    </w:p>
    <w:p w14:paraId="5EDA0975" w14:textId="113FD657" w:rsidR="002450F2" w:rsidRDefault="002450F2" w:rsidP="00EF1133">
      <w:pPr>
        <w:rPr>
          <w:rFonts w:ascii="Arial Black" w:hAnsi="Arial Black"/>
          <w:b/>
          <w:sz w:val="24"/>
          <w:szCs w:val="24"/>
        </w:rPr>
      </w:pPr>
      <w:r>
        <w:rPr>
          <w:rFonts w:ascii="Arial Black" w:hAnsi="Arial Black"/>
          <w:b/>
          <w:sz w:val="24"/>
          <w:szCs w:val="24"/>
        </w:rPr>
        <w:t>5-</w:t>
      </w:r>
      <w:r w:rsidR="002628DB">
        <w:rPr>
          <w:rFonts w:ascii="Arial Black" w:hAnsi="Arial Black"/>
          <w:b/>
          <w:sz w:val="24"/>
          <w:szCs w:val="24"/>
        </w:rPr>
        <w:t>49</w:t>
      </w:r>
    </w:p>
    <w:p w14:paraId="42588A92" w14:textId="77777777" w:rsidR="00583C7D" w:rsidRPr="0039171C" w:rsidRDefault="00583C7D" w:rsidP="00583C7D">
      <w:pPr>
        <w:rPr>
          <w:rFonts w:ascii="Arial Black" w:hAnsi="Arial Black"/>
          <w:b/>
          <w:sz w:val="28"/>
          <w:szCs w:val="28"/>
        </w:rPr>
      </w:pPr>
      <w:r>
        <w:rPr>
          <w:rFonts w:ascii="Arial Black" w:hAnsi="Arial Black"/>
          <w:b/>
          <w:sz w:val="28"/>
          <w:szCs w:val="28"/>
        </w:rPr>
        <w:t>NC: MOTORCYCLIST INTO ENGINE - TURNING – IMMUNITY</w:t>
      </w:r>
    </w:p>
    <w:p w14:paraId="59C8CB1E" w14:textId="77777777" w:rsidR="00583C7D" w:rsidRPr="00583C7D" w:rsidRDefault="00583C7D" w:rsidP="00583C7D">
      <w:pPr>
        <w:rPr>
          <w:rFonts w:ascii="Times New Roman" w:hAnsi="Times New Roman"/>
          <w:bCs/>
          <w:sz w:val="24"/>
          <w:szCs w:val="24"/>
        </w:rPr>
      </w:pPr>
      <w:r w:rsidRPr="00583C7D">
        <w:rPr>
          <w:rFonts w:ascii="Times New Roman" w:hAnsi="Times New Roman"/>
          <w:sz w:val="24"/>
          <w:szCs w:val="24"/>
        </w:rPr>
        <w:t xml:space="preserve">On April 16, 2025, in </w:t>
      </w:r>
      <w:r w:rsidRPr="00583C7D">
        <w:rPr>
          <w:rFonts w:ascii="Times New Roman" w:hAnsi="Times New Roman"/>
          <w:sz w:val="24"/>
          <w:szCs w:val="24"/>
          <w:u w:val="single"/>
        </w:rPr>
        <w:t>Robert Dustin Smith v. Teresa Lane, City of Raleigh Firefighter and City of Raleigh</w:t>
      </w:r>
      <w:r w:rsidRPr="00583C7D">
        <w:rPr>
          <w:rFonts w:ascii="Times New Roman" w:hAnsi="Times New Roman"/>
          <w:sz w:val="24"/>
          <w:szCs w:val="24"/>
        </w:rPr>
        <w:t xml:space="preserve">, the Court of Appeals of North Carolina held (3 to 0) that trial court judge improperly denied the defense motion to dismiss this lawsuit on basis of governmental immunity.  The immunity was not waived when the City purchased two excess insurance policies for combined total of $10 million.  On October 22, 2022, firefighter Teresa Lane was returning to Fire Station 9, and plaintiff was in right lane.  He claims that Lane moved from right lane to center </w:t>
      </w:r>
      <w:proofErr w:type="gramStart"/>
      <w:r w:rsidRPr="00583C7D">
        <w:rPr>
          <w:rFonts w:ascii="Times New Roman" w:hAnsi="Times New Roman"/>
          <w:sz w:val="24"/>
          <w:szCs w:val="24"/>
        </w:rPr>
        <w:t>lane, but</w:t>
      </w:r>
      <w:proofErr w:type="gramEnd"/>
      <w:r w:rsidRPr="00583C7D">
        <w:rPr>
          <w:rFonts w:ascii="Times New Roman" w:hAnsi="Times New Roman"/>
          <w:sz w:val="24"/>
          <w:szCs w:val="24"/>
        </w:rPr>
        <w:t xml:space="preserve"> went back to right lane pulling int the station without a signal; he crashed into the </w:t>
      </w:r>
      <w:r w:rsidRPr="00583C7D">
        <w:rPr>
          <w:rFonts w:ascii="Times New Roman" w:hAnsi="Times New Roman"/>
          <w:sz w:val="24"/>
          <w:szCs w:val="24"/>
        </w:rPr>
        <w:lastRenderedPageBreak/>
        <w:t xml:space="preserve">side of the engine, and sustained serious injuries, including amputation of one leg above the knee. </w:t>
      </w:r>
      <w:hyperlink r:id="rId967" w:history="1">
        <w:r w:rsidRPr="00583C7D">
          <w:rPr>
            <w:rStyle w:val="Hyperlink"/>
            <w:rFonts w:ascii="Times New Roman" w:hAnsi="Times New Roman"/>
            <w:sz w:val="24"/>
            <w:szCs w:val="24"/>
          </w:rPr>
          <w:t>https://cases.justia.com/north-carolina/court-of-appeals/2025-24-790.pdf?ts=1744808209</w:t>
        </w:r>
      </w:hyperlink>
      <w:r w:rsidRPr="00583C7D">
        <w:rPr>
          <w:rFonts w:ascii="Times New Roman" w:hAnsi="Times New Roman"/>
          <w:sz w:val="24"/>
          <w:szCs w:val="24"/>
        </w:rPr>
        <w:t xml:space="preserve"> </w:t>
      </w:r>
    </w:p>
    <w:p w14:paraId="503A1096" w14:textId="77777777" w:rsidR="00EE5744" w:rsidRPr="00EE5744" w:rsidRDefault="00EE5744" w:rsidP="00EE5744">
      <w:pPr>
        <w:pStyle w:val="NoSpacing"/>
        <w:rPr>
          <w:rFonts w:ascii="Times New Roman" w:hAnsi="Times New Roman"/>
          <w:b/>
          <w:sz w:val="24"/>
          <w:szCs w:val="24"/>
        </w:rPr>
      </w:pPr>
      <w:r w:rsidRPr="00EE5744">
        <w:rPr>
          <w:rFonts w:ascii="Times New Roman" w:hAnsi="Times New Roman"/>
          <w:b/>
          <w:sz w:val="24"/>
          <w:szCs w:val="24"/>
        </w:rPr>
        <w:t xml:space="preserve">Legal Lesson Learned: Governmental immunity continues even if city has purchased  excess insurance policies.   </w:t>
      </w:r>
    </w:p>
    <w:p w14:paraId="5E9B277A" w14:textId="77777777" w:rsidR="00EE5744" w:rsidRDefault="00EE5744" w:rsidP="00EE5744">
      <w:pPr>
        <w:pStyle w:val="NoSpacing"/>
      </w:pPr>
    </w:p>
    <w:p w14:paraId="2400C48D" w14:textId="77777777" w:rsidR="002450F2" w:rsidRDefault="002450F2" w:rsidP="00EF1133">
      <w:pPr>
        <w:rPr>
          <w:rFonts w:ascii="Arial Black" w:hAnsi="Arial Black"/>
          <w:b/>
          <w:sz w:val="24"/>
          <w:szCs w:val="24"/>
        </w:rPr>
      </w:pPr>
    </w:p>
    <w:p w14:paraId="0F1164BD" w14:textId="6DA9BE91" w:rsidR="00AB3819" w:rsidRDefault="00AB3819" w:rsidP="00EF1133">
      <w:pPr>
        <w:rPr>
          <w:rFonts w:ascii="Arial Black" w:hAnsi="Arial Black"/>
          <w:b/>
          <w:sz w:val="24"/>
          <w:szCs w:val="24"/>
        </w:rPr>
      </w:pPr>
      <w:r>
        <w:rPr>
          <w:rFonts w:ascii="Arial Black" w:hAnsi="Arial Black"/>
          <w:b/>
          <w:sz w:val="24"/>
          <w:szCs w:val="24"/>
        </w:rPr>
        <w:t>5-48</w:t>
      </w:r>
    </w:p>
    <w:p w14:paraId="16CD5A42" w14:textId="77777777" w:rsidR="00AB3819" w:rsidRPr="000D3550" w:rsidRDefault="00AB3819" w:rsidP="00AB3819">
      <w:pPr>
        <w:rPr>
          <w:rFonts w:ascii="Arial Black" w:hAnsi="Arial Black"/>
          <w:bCs/>
          <w:sz w:val="28"/>
          <w:szCs w:val="28"/>
        </w:rPr>
      </w:pPr>
      <w:r>
        <w:rPr>
          <w:rFonts w:ascii="Arial Black" w:hAnsi="Arial Black"/>
          <w:sz w:val="28"/>
          <w:szCs w:val="28"/>
        </w:rPr>
        <w:t>OH: “HONOR RIDE” – CIVILIAN FALLS OUT ENGINE - DIED</w:t>
      </w:r>
    </w:p>
    <w:p w14:paraId="5F0C421C" w14:textId="77777777" w:rsidR="00AB3819" w:rsidRPr="00AB3819" w:rsidRDefault="00AB3819" w:rsidP="00AB3819">
      <w:pPr>
        <w:pStyle w:val="NoSpacing"/>
        <w:rPr>
          <w:rFonts w:ascii="Times New Roman" w:hAnsi="Times New Roman"/>
          <w:bCs/>
          <w:sz w:val="24"/>
          <w:szCs w:val="24"/>
        </w:rPr>
      </w:pPr>
      <w:r w:rsidRPr="00AB3819">
        <w:rPr>
          <w:rFonts w:ascii="Times New Roman" w:hAnsi="Times New Roman"/>
          <w:sz w:val="24"/>
          <w:szCs w:val="24"/>
        </w:rPr>
        <w:t xml:space="preserve">On Jan. 23, 2025, in </w:t>
      </w:r>
      <w:r w:rsidRPr="00AB3819">
        <w:rPr>
          <w:rFonts w:ascii="Times New Roman" w:hAnsi="Times New Roman"/>
          <w:sz w:val="24"/>
          <w:szCs w:val="24"/>
          <w:u w:val="single"/>
        </w:rPr>
        <w:t xml:space="preserve">Amanda Luke, Administrator of the Estate of Marguerite Appel v. Short Creek Joint Fire </w:t>
      </w:r>
      <w:proofErr w:type="spellStart"/>
      <w:r w:rsidRPr="00AB3819">
        <w:rPr>
          <w:rFonts w:ascii="Times New Roman" w:hAnsi="Times New Roman"/>
          <w:sz w:val="24"/>
          <w:szCs w:val="24"/>
          <w:u w:val="single"/>
        </w:rPr>
        <w:t>District,et</w:t>
      </w:r>
      <w:proofErr w:type="spellEnd"/>
      <w:r w:rsidRPr="00AB3819">
        <w:rPr>
          <w:rFonts w:ascii="Times New Roman" w:hAnsi="Times New Roman"/>
          <w:sz w:val="24"/>
          <w:szCs w:val="24"/>
          <w:u w:val="single"/>
        </w:rPr>
        <w:t xml:space="preserve"> al</w:t>
      </w:r>
      <w:r w:rsidRPr="00AB3819">
        <w:rPr>
          <w:rFonts w:ascii="Times New Roman" w:hAnsi="Times New Roman"/>
          <w:sz w:val="24"/>
          <w:szCs w:val="24"/>
        </w:rPr>
        <w:t xml:space="preserve">., the Court of Appeals of Ohio, Seventh District (Jefferson County) held (2 to 1) that trial court should have dismissed the firefighters, the Fire District and the political subdivisions served by the joint Fire District in the death of civilian who fell out of rear of engine during honor ride of her step-brother (former Fire Chief).   The deceased voluntarily rode in crowded back seat of the engine without a seat belt and encouraged more passengers to enter and take the empty seat. A man crying at the scene who had been in the fire truck told the Deputy Fire Chief that Ms. Appel was standing holding the door and she grabbed the wrong handle. There was no proof of negligence in operating the engine (15-25 mph), and the driver and other firefighters who allowed crowded engine were not “reckless.” </w:t>
      </w:r>
      <w:hyperlink r:id="rId968" w:history="1">
        <w:r w:rsidRPr="00AB3819">
          <w:rPr>
            <w:rStyle w:val="Hyperlink"/>
            <w:rFonts w:ascii="Times New Roman" w:hAnsi="Times New Roman"/>
            <w:sz w:val="24"/>
            <w:szCs w:val="24"/>
          </w:rPr>
          <w:t>https://www.supremecourt.ohio.gov/rod/docs/pdf/7/2025/2025-Ohio-203.pdf</w:t>
        </w:r>
      </w:hyperlink>
      <w:r w:rsidRPr="00AB3819">
        <w:rPr>
          <w:rFonts w:ascii="Times New Roman" w:hAnsi="Times New Roman"/>
          <w:sz w:val="24"/>
          <w:szCs w:val="24"/>
        </w:rPr>
        <w:t xml:space="preserve"> </w:t>
      </w:r>
    </w:p>
    <w:p w14:paraId="7451057C" w14:textId="77777777" w:rsidR="00AB3819" w:rsidRPr="00AB3819" w:rsidRDefault="00AB3819" w:rsidP="00AB3819">
      <w:pPr>
        <w:rPr>
          <w:rFonts w:ascii="Times New Roman" w:hAnsi="Times New Roman"/>
          <w:bCs/>
          <w:sz w:val="24"/>
          <w:szCs w:val="24"/>
        </w:rPr>
      </w:pPr>
    </w:p>
    <w:p w14:paraId="634C53AA" w14:textId="77777777" w:rsidR="00AB3819" w:rsidRPr="00AB3819" w:rsidRDefault="00AB3819" w:rsidP="00AB3819">
      <w:pPr>
        <w:rPr>
          <w:rFonts w:ascii="Times New Roman" w:hAnsi="Times New Roman"/>
          <w:bCs/>
          <w:sz w:val="24"/>
          <w:szCs w:val="24"/>
        </w:rPr>
      </w:pPr>
      <w:r w:rsidRPr="00AB3819">
        <w:rPr>
          <w:rFonts w:ascii="Times New Roman" w:hAnsi="Times New Roman"/>
          <w:sz w:val="24"/>
          <w:szCs w:val="24"/>
        </w:rPr>
        <w:t>The Court wrote:</w:t>
      </w:r>
    </w:p>
    <w:p w14:paraId="02329713"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 xml:space="preserve">“Defendants-Appellants Short Creek Joint Fire District and two employees appeal the decision of the Jefferson County Common Pleas Court denying their motion for summary judgment. They claimed immunity in the lawsuit filed by Appellee Amanda Luke, individually and as administrator of the Estate of Marguerite Appel (the decedent)…. The political subdivision [which is served by the Fire District] argues there was no evidence of negligence as required for the immunity exceptions involving the operation of a motor vehicle or the performance of a proprietary function, arguing there was no breach of </w:t>
      </w:r>
      <w:proofErr w:type="gramStart"/>
      <w:r w:rsidRPr="00AB3819">
        <w:rPr>
          <w:rFonts w:ascii="Times New Roman" w:hAnsi="Times New Roman"/>
          <w:sz w:val="24"/>
          <w:szCs w:val="24"/>
        </w:rPr>
        <w:t>a duty</w:t>
      </w:r>
      <w:proofErr w:type="gramEnd"/>
      <w:r w:rsidRPr="00AB3819">
        <w:rPr>
          <w:rFonts w:ascii="Times New Roman" w:hAnsi="Times New Roman"/>
          <w:sz w:val="24"/>
          <w:szCs w:val="24"/>
        </w:rPr>
        <w:t xml:space="preserve"> that proximately caused the decedent’s injury. In arguing the lack of duty for negligence, the political subdivision emphasizes the primary assumption of the risk doctrine and argues there was no showing of recklessness as required to defeat the doctrine. We agree and find the political subdivision was entitled to summary judgment….The employees contend they are immune because their performance was not reckless as required to invoke the recklessness exception to employee immunity. It is also argued their performance was not manifestly outside the scope of employment, while pointing out this exception was not invoked by Appellee below. We agree and find the employees were entitled to summary judgment.</w:t>
      </w:r>
    </w:p>
    <w:p w14:paraId="69DA601C" w14:textId="77777777" w:rsidR="00AB3819" w:rsidRPr="00AB3819" w:rsidRDefault="00AB3819" w:rsidP="00AB3819">
      <w:pPr>
        <w:pStyle w:val="NoSpacing"/>
        <w:ind w:left="720"/>
        <w:rPr>
          <w:rFonts w:ascii="Times New Roman" w:hAnsi="Times New Roman"/>
          <w:bCs/>
          <w:sz w:val="24"/>
          <w:szCs w:val="24"/>
        </w:rPr>
      </w:pPr>
    </w:p>
    <w:p w14:paraId="79A5F274"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w:t>
      </w:r>
    </w:p>
    <w:p w14:paraId="6E534CA4" w14:textId="77777777" w:rsidR="00AB3819" w:rsidRPr="00AB3819" w:rsidRDefault="00AB3819" w:rsidP="00AB3819">
      <w:pPr>
        <w:pStyle w:val="NoSpacing"/>
        <w:ind w:left="720"/>
        <w:rPr>
          <w:rFonts w:ascii="Times New Roman" w:hAnsi="Times New Roman"/>
          <w:bCs/>
          <w:sz w:val="24"/>
          <w:szCs w:val="24"/>
        </w:rPr>
      </w:pPr>
    </w:p>
    <w:p w14:paraId="0CB01D34"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 xml:space="preserve">Chief Manbeck noted the department provided civilian rides in the past, such as driving the youth baseball team in a small parade when they won a championship and the softball team for a similar reason; Spiderman also rode in a fire truck for </w:t>
      </w:r>
      <w:proofErr w:type="gramStart"/>
      <w:r w:rsidRPr="00AB3819">
        <w:rPr>
          <w:rFonts w:ascii="Times New Roman" w:hAnsi="Times New Roman"/>
          <w:sz w:val="24"/>
          <w:szCs w:val="24"/>
        </w:rPr>
        <w:t>a Fourth</w:t>
      </w:r>
      <w:proofErr w:type="gramEnd"/>
      <w:r w:rsidRPr="00AB3819">
        <w:rPr>
          <w:rFonts w:ascii="Times New Roman" w:hAnsi="Times New Roman"/>
          <w:sz w:val="24"/>
          <w:szCs w:val="24"/>
        </w:rPr>
        <w:t xml:space="preserve"> of July parade. He was also aware such services were provided by one of the prior fire districts before the merger into a joint district…. He said SCJFD had no specific policy on civilian rides, seat belts, or abiding by recommendations from a named publication….He pointed out state law does not require seat belts for backseat passengers and it is legal to sit on the floor in the back of the truck, regardless of what a manufacturer’s warning label states. </w:t>
      </w:r>
    </w:p>
    <w:p w14:paraId="5B5CFD79" w14:textId="77777777" w:rsidR="00AB3819" w:rsidRPr="00AB3819" w:rsidRDefault="00AB3819" w:rsidP="00AB3819">
      <w:pPr>
        <w:pStyle w:val="NoSpacing"/>
        <w:ind w:left="720"/>
        <w:rPr>
          <w:rFonts w:ascii="Times New Roman" w:hAnsi="Times New Roman"/>
          <w:bCs/>
          <w:sz w:val="24"/>
          <w:szCs w:val="24"/>
        </w:rPr>
      </w:pPr>
    </w:p>
    <w:p w14:paraId="197503E5"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lastRenderedPageBreak/>
        <w:t>***</w:t>
      </w:r>
    </w:p>
    <w:p w14:paraId="3923221D" w14:textId="77777777" w:rsidR="00AB3819" w:rsidRPr="00AB3819" w:rsidRDefault="00AB3819" w:rsidP="00AB3819">
      <w:pPr>
        <w:pStyle w:val="NoSpacing"/>
        <w:ind w:left="720"/>
        <w:rPr>
          <w:rFonts w:ascii="Times New Roman" w:hAnsi="Times New Roman"/>
          <w:bCs/>
          <w:sz w:val="24"/>
          <w:szCs w:val="24"/>
        </w:rPr>
      </w:pPr>
    </w:p>
    <w:p w14:paraId="13E075AD" w14:textId="77777777" w:rsidR="00AB3819" w:rsidRPr="00AB3819" w:rsidRDefault="00AB3819" w:rsidP="00AB3819">
      <w:pPr>
        <w:pStyle w:val="NoSpacing"/>
        <w:ind w:left="720"/>
        <w:rPr>
          <w:rFonts w:ascii="Times New Roman" w:hAnsi="Times New Roman"/>
          <w:bCs/>
          <w:i/>
          <w:iCs/>
          <w:sz w:val="24"/>
          <w:szCs w:val="24"/>
        </w:rPr>
      </w:pPr>
      <w:r w:rsidRPr="00AB3819">
        <w:rPr>
          <w:rFonts w:ascii="Times New Roman" w:hAnsi="Times New Roman"/>
          <w:i/>
          <w:iCs/>
          <w:sz w:val="24"/>
          <w:szCs w:val="24"/>
        </w:rPr>
        <w:t xml:space="preserve">At the very least, these riders assume the risks of normal driving movements incurred </w:t>
      </w:r>
      <w:proofErr w:type="gramStart"/>
      <w:r w:rsidRPr="00AB3819">
        <w:rPr>
          <w:rFonts w:ascii="Times New Roman" w:hAnsi="Times New Roman"/>
          <w:i/>
          <w:iCs/>
          <w:sz w:val="24"/>
          <w:szCs w:val="24"/>
        </w:rPr>
        <w:t>as a result of</w:t>
      </w:r>
      <w:proofErr w:type="gramEnd"/>
      <w:r w:rsidRPr="00AB3819">
        <w:rPr>
          <w:rFonts w:ascii="Times New Roman" w:hAnsi="Times New Roman"/>
          <w:i/>
          <w:iCs/>
          <w:sz w:val="24"/>
          <w:szCs w:val="24"/>
        </w:rPr>
        <w:t xml:space="preserve"> the position they placed themselves, even if they do not assume the risk of abnormal driving movements. [Emphasis in court decision.]</w:t>
      </w:r>
    </w:p>
    <w:p w14:paraId="250F17BC" w14:textId="77777777" w:rsidR="00AB3819" w:rsidRPr="00AB3819" w:rsidRDefault="00AB3819" w:rsidP="00AB3819">
      <w:pPr>
        <w:pStyle w:val="NoSpacing"/>
        <w:ind w:left="720"/>
        <w:rPr>
          <w:rFonts w:ascii="Times New Roman" w:hAnsi="Times New Roman"/>
          <w:bCs/>
          <w:i/>
          <w:iCs/>
          <w:sz w:val="24"/>
          <w:szCs w:val="24"/>
        </w:rPr>
      </w:pPr>
    </w:p>
    <w:p w14:paraId="4F0E4F61"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w:t>
      </w:r>
    </w:p>
    <w:p w14:paraId="73080C09" w14:textId="77777777" w:rsidR="00AB3819" w:rsidRPr="00AB3819" w:rsidRDefault="00AB3819" w:rsidP="00AB3819">
      <w:pPr>
        <w:pStyle w:val="NoSpacing"/>
        <w:ind w:left="720"/>
        <w:rPr>
          <w:rFonts w:ascii="Times New Roman" w:hAnsi="Times New Roman"/>
          <w:bCs/>
          <w:sz w:val="24"/>
          <w:szCs w:val="24"/>
        </w:rPr>
      </w:pPr>
    </w:p>
    <w:p w14:paraId="16C2A045"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We conclude a person voluntarily riding in a crowded fire truck after choosing to occupy the space by the door without a seat or seat belt and then encouraging more passengers to enter instead of taking the empty seat, primarily assumes the specific risk of falling out if they lean on the door as the truck navigates a curve after the door handle is accidentally activated by the plaintiff (or another person).”</w:t>
      </w:r>
    </w:p>
    <w:p w14:paraId="438B393A" w14:textId="77777777" w:rsidR="00AB3819" w:rsidRPr="00AB3819" w:rsidRDefault="00AB3819" w:rsidP="00AB3819">
      <w:pPr>
        <w:pStyle w:val="NoSpacing"/>
        <w:ind w:left="720"/>
        <w:rPr>
          <w:rFonts w:ascii="Times New Roman" w:hAnsi="Times New Roman"/>
          <w:bCs/>
          <w:sz w:val="24"/>
          <w:szCs w:val="24"/>
        </w:rPr>
      </w:pPr>
    </w:p>
    <w:p w14:paraId="4F1F4ED2" w14:textId="77777777" w:rsidR="00AB3819" w:rsidRPr="00AB3819" w:rsidRDefault="00AB3819" w:rsidP="00AB3819">
      <w:pPr>
        <w:pStyle w:val="NoSpacing"/>
        <w:rPr>
          <w:rFonts w:ascii="Times New Roman" w:hAnsi="Times New Roman"/>
          <w:bCs/>
          <w:sz w:val="24"/>
          <w:szCs w:val="24"/>
        </w:rPr>
      </w:pPr>
      <w:r w:rsidRPr="00AB3819">
        <w:rPr>
          <w:rFonts w:ascii="Times New Roman" w:hAnsi="Times New Roman"/>
          <w:sz w:val="24"/>
          <w:szCs w:val="24"/>
        </w:rPr>
        <w:t>Dissent:</w:t>
      </w:r>
    </w:p>
    <w:p w14:paraId="7F1FA594" w14:textId="77777777" w:rsidR="00AB3819" w:rsidRPr="00AB3819" w:rsidRDefault="00AB3819" w:rsidP="00AB3819">
      <w:pPr>
        <w:pStyle w:val="NoSpacing"/>
        <w:rPr>
          <w:rFonts w:ascii="Times New Roman" w:hAnsi="Times New Roman"/>
          <w:bCs/>
          <w:sz w:val="24"/>
          <w:szCs w:val="24"/>
        </w:rPr>
      </w:pPr>
    </w:p>
    <w:p w14:paraId="7C20100E"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“I would find that Appellants owed Ms. Appel a general duty of care to ensure her</w:t>
      </w:r>
    </w:p>
    <w:p w14:paraId="7514DB80"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safety on the firetruck after John Sebring, a volunteer firefighter, encouraged her to board</w:t>
      </w:r>
    </w:p>
    <w:p w14:paraId="3C35A56D" w14:textId="77777777" w:rsidR="00AB3819" w:rsidRPr="00AB3819" w:rsidRDefault="00AB3819" w:rsidP="00AB3819">
      <w:pPr>
        <w:pStyle w:val="NoSpacing"/>
        <w:ind w:left="720"/>
        <w:rPr>
          <w:rFonts w:ascii="Times New Roman" w:hAnsi="Times New Roman"/>
          <w:bCs/>
          <w:sz w:val="24"/>
          <w:szCs w:val="24"/>
        </w:rPr>
      </w:pPr>
      <w:r w:rsidRPr="00AB3819">
        <w:rPr>
          <w:rFonts w:ascii="Times New Roman" w:hAnsi="Times New Roman"/>
          <w:sz w:val="24"/>
          <w:szCs w:val="24"/>
        </w:rPr>
        <w:t xml:space="preserve">the firetruck after Ms. Appel expressed concern about the overcrowding on the </w:t>
      </w:r>
      <w:proofErr w:type="gramStart"/>
      <w:r w:rsidRPr="00AB3819">
        <w:rPr>
          <w:rFonts w:ascii="Times New Roman" w:hAnsi="Times New Roman"/>
          <w:sz w:val="24"/>
          <w:szCs w:val="24"/>
        </w:rPr>
        <w:t>truck.}</w:t>
      </w:r>
      <w:proofErr w:type="gramEnd"/>
    </w:p>
    <w:p w14:paraId="71181E09" w14:textId="77777777" w:rsidR="00AB3819" w:rsidRPr="00AB3819" w:rsidRDefault="00AB3819" w:rsidP="00AB3819">
      <w:pPr>
        <w:pStyle w:val="NoSpacing"/>
        <w:ind w:left="720"/>
        <w:rPr>
          <w:rFonts w:ascii="Times New Roman" w:hAnsi="Times New Roman"/>
          <w:bCs/>
          <w:sz w:val="24"/>
          <w:szCs w:val="24"/>
        </w:rPr>
      </w:pPr>
    </w:p>
    <w:p w14:paraId="45453E7F" w14:textId="77777777" w:rsidR="00AB3819" w:rsidRPr="00AB3819" w:rsidRDefault="00AB3819" w:rsidP="00AB3819">
      <w:pPr>
        <w:pStyle w:val="NoSpacing"/>
        <w:rPr>
          <w:rFonts w:ascii="Times New Roman" w:hAnsi="Times New Roman"/>
          <w:b/>
          <w:sz w:val="24"/>
          <w:szCs w:val="24"/>
        </w:rPr>
      </w:pPr>
      <w:r w:rsidRPr="00AB3819">
        <w:rPr>
          <w:rFonts w:ascii="Times New Roman" w:hAnsi="Times New Roman"/>
          <w:b/>
          <w:sz w:val="24"/>
          <w:szCs w:val="24"/>
        </w:rPr>
        <w:t xml:space="preserve">Legal Lesson Learned: Tragic event that could have been avoided.  Civilians or firefighters riding in a fire engine should all be using seat belts. </w:t>
      </w:r>
    </w:p>
    <w:p w14:paraId="5C0DC1B6" w14:textId="77777777" w:rsidR="00AB3819" w:rsidRDefault="00AB3819" w:rsidP="00EF1133">
      <w:pPr>
        <w:rPr>
          <w:rFonts w:ascii="Arial Black" w:hAnsi="Arial Black"/>
          <w:b/>
          <w:sz w:val="24"/>
          <w:szCs w:val="24"/>
        </w:rPr>
      </w:pPr>
    </w:p>
    <w:p w14:paraId="59DCA56B" w14:textId="77777777" w:rsidR="00AB3819" w:rsidRDefault="00AB3819" w:rsidP="00EF1133">
      <w:pPr>
        <w:rPr>
          <w:rFonts w:ascii="Arial Black" w:hAnsi="Arial Black"/>
          <w:b/>
          <w:sz w:val="24"/>
          <w:szCs w:val="24"/>
        </w:rPr>
      </w:pPr>
    </w:p>
    <w:p w14:paraId="4CD383B4" w14:textId="77777777" w:rsidR="00AB3819" w:rsidRDefault="00AB3819" w:rsidP="00EF1133">
      <w:pPr>
        <w:rPr>
          <w:rFonts w:ascii="Arial Black" w:hAnsi="Arial Black"/>
          <w:b/>
          <w:sz w:val="24"/>
          <w:szCs w:val="24"/>
        </w:rPr>
      </w:pPr>
    </w:p>
    <w:p w14:paraId="47AD33CA" w14:textId="00C2D0DE" w:rsidR="00DE42DC" w:rsidRDefault="000B228A" w:rsidP="00EF1133">
      <w:pPr>
        <w:rPr>
          <w:rFonts w:ascii="Arial Black" w:hAnsi="Arial Black"/>
          <w:b/>
          <w:sz w:val="24"/>
          <w:szCs w:val="24"/>
        </w:rPr>
      </w:pPr>
      <w:r>
        <w:rPr>
          <w:rFonts w:ascii="Arial Black" w:hAnsi="Arial Black"/>
          <w:b/>
          <w:sz w:val="24"/>
          <w:szCs w:val="24"/>
        </w:rPr>
        <w:t>5-47</w:t>
      </w:r>
    </w:p>
    <w:p w14:paraId="1BFE0B0E" w14:textId="77777777" w:rsidR="00243663" w:rsidRDefault="00243663" w:rsidP="00243663">
      <w:pPr>
        <w:pStyle w:val="NoSpacing"/>
        <w:rPr>
          <w:rFonts w:ascii="Arial Black" w:hAnsi="Arial Black"/>
          <w:b/>
          <w:sz w:val="28"/>
          <w:szCs w:val="28"/>
        </w:rPr>
      </w:pPr>
      <w:r>
        <w:rPr>
          <w:rFonts w:ascii="Arial Black" w:hAnsi="Arial Black"/>
          <w:b/>
          <w:sz w:val="28"/>
          <w:szCs w:val="28"/>
        </w:rPr>
        <w:t xml:space="preserve">CA: MOTORCYCLIST KILLED – COLLISION FIRE ENGINE – PL’S EXPERT - FD CAPTAIN / RELATIVE  - MAY TESTIFY </w:t>
      </w:r>
    </w:p>
    <w:p w14:paraId="7BFAD992" w14:textId="77777777" w:rsidR="00243663" w:rsidRDefault="00243663" w:rsidP="00243663">
      <w:pPr>
        <w:pStyle w:val="NoSpacing"/>
        <w:rPr>
          <w:rFonts w:ascii="Arial Black" w:hAnsi="Arial Black"/>
          <w:b/>
          <w:sz w:val="28"/>
          <w:szCs w:val="28"/>
        </w:rPr>
      </w:pPr>
    </w:p>
    <w:p w14:paraId="6179ACCC" w14:textId="77777777" w:rsidR="00243663" w:rsidRPr="00127BCE" w:rsidRDefault="00243663" w:rsidP="00243663">
      <w:pPr>
        <w:pStyle w:val="NoSpacing"/>
        <w:rPr>
          <w:rFonts w:ascii="Times New Roman" w:hAnsi="Times New Roman"/>
          <w:sz w:val="24"/>
          <w:szCs w:val="24"/>
        </w:rPr>
      </w:pPr>
      <w:r w:rsidRPr="00127BCE">
        <w:rPr>
          <w:rFonts w:ascii="Times New Roman" w:hAnsi="Times New Roman"/>
          <w:sz w:val="24"/>
          <w:szCs w:val="24"/>
        </w:rPr>
        <w:t xml:space="preserve">On Nov. 7, 2024, in </w:t>
      </w:r>
      <w:r w:rsidRPr="00127BCE">
        <w:rPr>
          <w:rFonts w:ascii="Times New Roman" w:hAnsi="Times New Roman"/>
          <w:sz w:val="24"/>
          <w:szCs w:val="24"/>
          <w:u w:val="single"/>
        </w:rPr>
        <w:t>Carol Leigh Kneeshaw v. The Superior Court of Orange County; and City of Orange (Real Party in Interest</w:t>
      </w:r>
      <w:r w:rsidRPr="00127BCE">
        <w:rPr>
          <w:rFonts w:ascii="Times New Roman" w:hAnsi="Times New Roman"/>
          <w:sz w:val="24"/>
          <w:szCs w:val="24"/>
        </w:rPr>
        <w:t xml:space="preserve">), the California Court of Appeal, Fourth District, Division 3, held (3 to 0; unpublished decision) that trial court improperly excluded the Fire Captain as an expert witness for the plaintiff.  The </w:t>
      </w:r>
      <w:proofErr w:type="gramStart"/>
      <w:r w:rsidRPr="00127BCE">
        <w:rPr>
          <w:rFonts w:ascii="Times New Roman" w:hAnsi="Times New Roman"/>
          <w:sz w:val="24"/>
          <w:szCs w:val="24"/>
        </w:rPr>
        <w:t>Captain</w:t>
      </w:r>
      <w:proofErr w:type="gramEnd"/>
      <w:r w:rsidRPr="00127BCE">
        <w:rPr>
          <w:rFonts w:ascii="Times New Roman" w:hAnsi="Times New Roman"/>
          <w:sz w:val="24"/>
          <w:szCs w:val="24"/>
        </w:rPr>
        <w:t xml:space="preserve"> is also brother of the son-in-law of Christian Bardales, petitioner's co-plaintiff.  “There can be no question that Buford's basic credentials are sufficient to qualify him as an expert witness on the capabilities and operation of fire engines. While questions can be raised as to his methodology, the proper remedy is either cross-examination or a limitation on his testimony, not wholesale exclusion. Nor is bias arising from a distant familial relationship an adequate reason to exclude Buford. *** The opinions ultimately offered by Buford were that ‘the fire apparatus is not capable of making [the] maneuver described by the engine crew,’ ‘the fire apparatus is capable of making the maneuver that [certain third party witnesses] described,’ and ‘the fire apparatus is capable of making [the maneuver described by the accident reconstructionist], yet it's outside of standard operating procedures.’” </w:t>
      </w:r>
      <w:hyperlink r:id="rId969" w:history="1">
        <w:r w:rsidRPr="00127BCE">
          <w:rPr>
            <w:rStyle w:val="Hyperlink"/>
            <w:rFonts w:ascii="Times New Roman" w:hAnsi="Times New Roman"/>
            <w:sz w:val="24"/>
            <w:szCs w:val="24"/>
          </w:rPr>
          <w:t>https://casetext.com/case/kneeshaw-v-the-superior-court-of-orange-cnty</w:t>
        </w:r>
      </w:hyperlink>
      <w:r w:rsidRPr="00127BCE">
        <w:rPr>
          <w:rFonts w:ascii="Times New Roman" w:hAnsi="Times New Roman"/>
          <w:sz w:val="24"/>
          <w:szCs w:val="24"/>
        </w:rPr>
        <w:t xml:space="preserve"> </w:t>
      </w:r>
    </w:p>
    <w:p w14:paraId="23655509" w14:textId="77777777" w:rsidR="000B228A" w:rsidRPr="00127BCE" w:rsidRDefault="000B228A" w:rsidP="000B228A">
      <w:pPr>
        <w:pStyle w:val="NoSpacing"/>
        <w:rPr>
          <w:rFonts w:ascii="Times New Roman" w:hAnsi="Times New Roman"/>
          <w:sz w:val="24"/>
          <w:szCs w:val="24"/>
        </w:rPr>
      </w:pPr>
    </w:p>
    <w:p w14:paraId="5AF33DDB" w14:textId="77777777" w:rsidR="00127BCE" w:rsidRPr="00127BCE" w:rsidRDefault="00127BCE" w:rsidP="00127BCE">
      <w:pPr>
        <w:pStyle w:val="NoSpacing"/>
        <w:rPr>
          <w:rFonts w:ascii="Times New Roman" w:hAnsi="Times New Roman"/>
          <w:b/>
          <w:bCs/>
          <w:sz w:val="24"/>
          <w:szCs w:val="24"/>
        </w:rPr>
      </w:pPr>
      <w:r w:rsidRPr="00127BCE">
        <w:rPr>
          <w:rFonts w:ascii="Times New Roman" w:hAnsi="Times New Roman"/>
          <w:b/>
          <w:sz w:val="24"/>
          <w:szCs w:val="24"/>
        </w:rPr>
        <w:t xml:space="preserve">Legal Lesson Learned: A fire captain who is a certified instructor of Type 1 fire engines may testify as an expert witness (and offer his opinions), even if he is a distant relative to the plaintiffs. </w:t>
      </w:r>
    </w:p>
    <w:p w14:paraId="4098F225" w14:textId="77777777" w:rsidR="00127BCE" w:rsidRPr="00127BCE" w:rsidRDefault="00127BCE" w:rsidP="00127BCE">
      <w:pPr>
        <w:pStyle w:val="NoSpacing"/>
        <w:ind w:left="720"/>
        <w:rPr>
          <w:rFonts w:ascii="Times New Roman" w:hAnsi="Times New Roman"/>
          <w:bCs/>
          <w:sz w:val="24"/>
          <w:szCs w:val="24"/>
        </w:rPr>
      </w:pPr>
    </w:p>
    <w:p w14:paraId="468E4B62" w14:textId="77777777" w:rsidR="00127BCE" w:rsidRPr="00127BCE" w:rsidRDefault="00127BCE" w:rsidP="00127BCE">
      <w:pPr>
        <w:pStyle w:val="NoSpacing"/>
        <w:ind w:left="720"/>
        <w:rPr>
          <w:rFonts w:ascii="Times New Roman" w:hAnsi="Times New Roman"/>
          <w:sz w:val="24"/>
          <w:szCs w:val="24"/>
        </w:rPr>
      </w:pPr>
      <w:r w:rsidRPr="00127BCE">
        <w:rPr>
          <w:rFonts w:ascii="Times New Roman" w:hAnsi="Times New Roman"/>
          <w:sz w:val="24"/>
          <w:szCs w:val="24"/>
        </w:rPr>
        <w:t xml:space="preserve">Note: See this article and video; this appears to be the same incident as this case. </w:t>
      </w:r>
    </w:p>
    <w:p w14:paraId="5BEED58D" w14:textId="77777777" w:rsidR="00127BCE" w:rsidRPr="00127BCE" w:rsidRDefault="00127BCE" w:rsidP="00127BCE">
      <w:pPr>
        <w:pStyle w:val="NoSpacing"/>
        <w:ind w:left="720"/>
        <w:rPr>
          <w:rFonts w:ascii="Times New Roman" w:hAnsi="Times New Roman"/>
          <w:bCs/>
          <w:sz w:val="24"/>
          <w:szCs w:val="24"/>
        </w:rPr>
      </w:pPr>
    </w:p>
    <w:p w14:paraId="74837216" w14:textId="77777777" w:rsidR="00127BCE" w:rsidRPr="00127BCE" w:rsidRDefault="00127BCE" w:rsidP="00127BCE">
      <w:pPr>
        <w:pStyle w:val="NoSpacing"/>
        <w:ind w:left="720"/>
        <w:rPr>
          <w:rFonts w:ascii="Times New Roman" w:hAnsi="Times New Roman"/>
          <w:bCs/>
          <w:sz w:val="24"/>
          <w:szCs w:val="24"/>
        </w:rPr>
      </w:pPr>
      <w:r w:rsidRPr="00127BCE">
        <w:rPr>
          <w:rFonts w:ascii="Times New Roman" w:hAnsi="Times New Roman"/>
          <w:sz w:val="24"/>
          <w:szCs w:val="24"/>
        </w:rPr>
        <w:lastRenderedPageBreak/>
        <w:t xml:space="preserve">June 6, 2019: </w:t>
      </w:r>
      <w:r w:rsidRPr="00127BCE">
        <w:rPr>
          <w:rFonts w:ascii="Times New Roman" w:hAnsi="Times New Roman"/>
          <w:bCs/>
          <w:sz w:val="24"/>
          <w:szCs w:val="24"/>
        </w:rPr>
        <w:t>“Orange: Motorcyclist dies after crash with fire truck.” (</w:t>
      </w:r>
      <w:r w:rsidRPr="00127BCE">
        <w:rPr>
          <w:rFonts w:ascii="Times New Roman" w:hAnsi="Times New Roman"/>
          <w:sz w:val="24"/>
          <w:szCs w:val="24"/>
        </w:rPr>
        <w:t>KABC) -- A motorcyclist has died and three firefighters have minor injuries following a crash involving a fire truck in the city of Orange on Wednesday. According to Orange police, officers responded to the crash at about 4:41 p.m. near E. Collins Avenue and Roberto. The motorcyclist was transported to the hospital with life-threatening injuries and later died. The three firefighters were also transported with non-</w:t>
      </w:r>
      <w:proofErr w:type="gramStart"/>
      <w:r w:rsidRPr="00127BCE">
        <w:rPr>
          <w:rFonts w:ascii="Times New Roman" w:hAnsi="Times New Roman"/>
          <w:sz w:val="24"/>
          <w:szCs w:val="24"/>
        </w:rPr>
        <w:t>life threatening</w:t>
      </w:r>
      <w:proofErr w:type="gramEnd"/>
      <w:r w:rsidRPr="00127BCE">
        <w:rPr>
          <w:rFonts w:ascii="Times New Roman" w:hAnsi="Times New Roman"/>
          <w:sz w:val="24"/>
          <w:szCs w:val="24"/>
        </w:rPr>
        <w:t xml:space="preserve"> injuries, police said. It's unclear whether the fire truck had lights and sirens blaring at the time of the crash.”  </w:t>
      </w:r>
      <w:hyperlink r:id="rId970" w:history="1">
        <w:r w:rsidRPr="00127BCE">
          <w:rPr>
            <w:rStyle w:val="Hyperlink"/>
            <w:rFonts w:ascii="Times New Roman" w:hAnsi="Times New Roman"/>
            <w:sz w:val="24"/>
            <w:szCs w:val="24"/>
          </w:rPr>
          <w:t>https://abc7.com/orange-crash-fire-truck-motorcycle-and/5333918/</w:t>
        </w:r>
      </w:hyperlink>
      <w:r w:rsidRPr="00127BCE">
        <w:rPr>
          <w:rFonts w:ascii="Times New Roman" w:hAnsi="Times New Roman"/>
          <w:sz w:val="24"/>
          <w:szCs w:val="24"/>
        </w:rPr>
        <w:t xml:space="preserve"> </w:t>
      </w:r>
    </w:p>
    <w:p w14:paraId="71BCBD76" w14:textId="77777777" w:rsidR="00127BCE" w:rsidRPr="00127BCE" w:rsidRDefault="00127BCE" w:rsidP="00127BCE">
      <w:pPr>
        <w:pStyle w:val="NoSpacing"/>
        <w:ind w:left="720"/>
        <w:rPr>
          <w:rFonts w:ascii="Times New Roman" w:hAnsi="Times New Roman"/>
          <w:bCs/>
          <w:sz w:val="24"/>
          <w:szCs w:val="24"/>
        </w:rPr>
      </w:pPr>
    </w:p>
    <w:p w14:paraId="70BD414A" w14:textId="77777777" w:rsidR="00127BCE" w:rsidRPr="00127BCE" w:rsidRDefault="00127BCE" w:rsidP="00127BCE">
      <w:pPr>
        <w:pStyle w:val="NoSpacing"/>
        <w:ind w:left="720"/>
        <w:rPr>
          <w:rFonts w:ascii="Times New Roman" w:hAnsi="Times New Roman"/>
          <w:bCs/>
          <w:sz w:val="24"/>
          <w:szCs w:val="24"/>
        </w:rPr>
      </w:pPr>
      <w:r w:rsidRPr="00127BCE">
        <w:rPr>
          <w:rFonts w:ascii="Times New Roman" w:hAnsi="Times New Roman"/>
          <w:sz w:val="24"/>
          <w:szCs w:val="24"/>
        </w:rPr>
        <w:t xml:space="preserve">Video: </w:t>
      </w:r>
      <w:hyperlink r:id="rId971" w:history="1">
        <w:r w:rsidRPr="00127BCE">
          <w:rPr>
            <w:rStyle w:val="Hyperlink"/>
            <w:rFonts w:ascii="Times New Roman" w:hAnsi="Times New Roman"/>
            <w:sz w:val="24"/>
            <w:szCs w:val="24"/>
          </w:rPr>
          <w:t>https://www.youtube.com/watch?v=4rwA-whTxmQ</w:t>
        </w:r>
      </w:hyperlink>
      <w:r w:rsidRPr="00127BCE">
        <w:rPr>
          <w:rFonts w:ascii="Times New Roman" w:hAnsi="Times New Roman"/>
          <w:sz w:val="24"/>
          <w:szCs w:val="24"/>
        </w:rPr>
        <w:t xml:space="preserve"> </w:t>
      </w:r>
    </w:p>
    <w:p w14:paraId="403F642F" w14:textId="77777777" w:rsidR="00127BCE" w:rsidRDefault="00127BCE" w:rsidP="000B228A">
      <w:pPr>
        <w:pStyle w:val="NoSpacing"/>
      </w:pPr>
    </w:p>
    <w:p w14:paraId="4A07D3F4" w14:textId="77777777" w:rsidR="000B228A" w:rsidRDefault="000B228A" w:rsidP="00EF1133">
      <w:pPr>
        <w:rPr>
          <w:rFonts w:ascii="Arial Black" w:hAnsi="Arial Black"/>
          <w:b/>
          <w:sz w:val="24"/>
          <w:szCs w:val="24"/>
        </w:rPr>
      </w:pPr>
    </w:p>
    <w:p w14:paraId="04C68D6F" w14:textId="38F4EF39" w:rsidR="00DE42DC" w:rsidRDefault="00DE42DC" w:rsidP="00EF1133">
      <w:pPr>
        <w:rPr>
          <w:rFonts w:ascii="Arial Black" w:hAnsi="Arial Black"/>
          <w:b/>
          <w:sz w:val="24"/>
          <w:szCs w:val="24"/>
        </w:rPr>
      </w:pPr>
      <w:r>
        <w:rPr>
          <w:rFonts w:ascii="Arial Black" w:hAnsi="Arial Black"/>
          <w:b/>
          <w:sz w:val="24"/>
          <w:szCs w:val="24"/>
        </w:rPr>
        <w:t>5-46</w:t>
      </w:r>
    </w:p>
    <w:p w14:paraId="5385DA40" w14:textId="77777777" w:rsidR="001F2A28" w:rsidRPr="009D30FC" w:rsidRDefault="001F2A28" w:rsidP="001F2A28">
      <w:pPr>
        <w:rPr>
          <w:rFonts w:ascii="Arial Black" w:hAnsi="Arial Black"/>
          <w:b/>
          <w:bCs/>
          <w:sz w:val="28"/>
          <w:szCs w:val="28"/>
        </w:rPr>
      </w:pPr>
      <w:r w:rsidRPr="009D30FC">
        <w:rPr>
          <w:rFonts w:ascii="Arial Black" w:hAnsi="Arial Black"/>
          <w:b/>
          <w:bCs/>
          <w:sz w:val="28"/>
          <w:szCs w:val="28"/>
        </w:rPr>
        <w:t>PA: EMS LICENSE - 1-YR SUSP. REVERSED – 65 MPH / 40 ZONE – LIGHTS / SIREN - MOTORIST PULLED OUT / KILLED</w:t>
      </w:r>
    </w:p>
    <w:p w14:paraId="51E24838" w14:textId="35C84FCC" w:rsidR="001F2A28" w:rsidRPr="001F1BB0" w:rsidRDefault="001F2A28" w:rsidP="001F2A28">
      <w:pPr>
        <w:pStyle w:val="NoSpacing"/>
        <w:rPr>
          <w:rFonts w:ascii="Times New Roman" w:hAnsi="Times New Roman"/>
          <w:sz w:val="24"/>
          <w:szCs w:val="24"/>
        </w:rPr>
      </w:pPr>
      <w:r w:rsidRPr="001F1BB0">
        <w:rPr>
          <w:rFonts w:ascii="Times New Roman" w:hAnsi="Times New Roman"/>
          <w:sz w:val="24"/>
          <w:szCs w:val="24"/>
        </w:rPr>
        <w:t xml:space="preserve">On Oct. 24, </w:t>
      </w:r>
      <w:proofErr w:type="gramStart"/>
      <w:r w:rsidRPr="001F1BB0">
        <w:rPr>
          <w:rFonts w:ascii="Times New Roman" w:hAnsi="Times New Roman"/>
          <w:sz w:val="24"/>
          <w:szCs w:val="24"/>
        </w:rPr>
        <w:t>2024</w:t>
      </w:r>
      <w:proofErr w:type="gramEnd"/>
      <w:r w:rsidRPr="001F1BB0">
        <w:rPr>
          <w:rFonts w:ascii="Times New Roman" w:hAnsi="Times New Roman"/>
          <w:sz w:val="24"/>
          <w:szCs w:val="24"/>
        </w:rPr>
        <w:t xml:space="preserve"> in  </w:t>
      </w:r>
      <w:r w:rsidRPr="001F1BB0">
        <w:rPr>
          <w:rFonts w:ascii="Times New Roman" w:hAnsi="Times New Roman"/>
          <w:sz w:val="24"/>
          <w:szCs w:val="24"/>
          <w:u w:val="single"/>
        </w:rPr>
        <w:t>Steve E. Piotrowski v. Department of Health</w:t>
      </w:r>
      <w:r w:rsidRPr="001F1BB0">
        <w:rPr>
          <w:rFonts w:ascii="Times New Roman" w:hAnsi="Times New Roman"/>
          <w:sz w:val="24"/>
          <w:szCs w:val="24"/>
        </w:rPr>
        <w:t>, the Commonwealth of Pennsylvania held (3 to 0): “Steve E. Piotrowski (Piotrowski) petitions for review of an adjudication of the Department of Health (Health Department) that suspended his license as an</w:t>
      </w:r>
      <w:r w:rsidR="00594E74">
        <w:rPr>
          <w:rFonts w:ascii="Times New Roman" w:hAnsi="Times New Roman"/>
          <w:sz w:val="24"/>
          <w:szCs w:val="24"/>
        </w:rPr>
        <w:t xml:space="preserve"> </w:t>
      </w:r>
      <w:r w:rsidRPr="001F1BB0">
        <w:rPr>
          <w:rFonts w:ascii="Times New Roman" w:hAnsi="Times New Roman"/>
          <w:sz w:val="24"/>
          <w:szCs w:val="24"/>
        </w:rPr>
        <w:t xml:space="preserve">emergency medical services provider for operating an ambulance in a reckless manner. In doing so, the Health Department rejected the proposed adjudication of its hearing officer that Piotrowski’s operation of an ambulance </w:t>
      </w:r>
      <w:proofErr w:type="spellStart"/>
      <w:r w:rsidRPr="001F1BB0">
        <w:rPr>
          <w:rFonts w:ascii="Times New Roman" w:hAnsi="Times New Roman"/>
          <w:sz w:val="24"/>
          <w:szCs w:val="24"/>
        </w:rPr>
        <w:t>en</w:t>
      </w:r>
      <w:proofErr w:type="spellEnd"/>
      <w:r w:rsidRPr="001F1BB0">
        <w:rPr>
          <w:rFonts w:ascii="Times New Roman" w:hAnsi="Times New Roman"/>
          <w:sz w:val="24"/>
          <w:szCs w:val="24"/>
        </w:rPr>
        <w:t xml:space="preserve"> route to an emergency </w:t>
      </w:r>
      <w:proofErr w:type="gramStart"/>
      <w:r w:rsidRPr="001F1BB0">
        <w:rPr>
          <w:rFonts w:ascii="Times New Roman" w:hAnsi="Times New Roman"/>
          <w:sz w:val="24"/>
          <w:szCs w:val="24"/>
        </w:rPr>
        <w:t>in excess of</w:t>
      </w:r>
      <w:proofErr w:type="gramEnd"/>
      <w:r w:rsidRPr="001F1BB0">
        <w:rPr>
          <w:rFonts w:ascii="Times New Roman" w:hAnsi="Times New Roman"/>
          <w:sz w:val="24"/>
          <w:szCs w:val="24"/>
        </w:rPr>
        <w:t xml:space="preserve"> the posted speed limit did not, ipso facto, constitute reckless conduct. On appeal, Piotrowski argues that the Health Department </w:t>
      </w:r>
      <w:proofErr w:type="gramStart"/>
      <w:r w:rsidRPr="001F1BB0">
        <w:rPr>
          <w:rFonts w:ascii="Times New Roman" w:hAnsi="Times New Roman"/>
          <w:sz w:val="24"/>
          <w:szCs w:val="24"/>
        </w:rPr>
        <w:t>erred</w:t>
      </w:r>
      <w:proofErr w:type="gramEnd"/>
      <w:r w:rsidRPr="001F1BB0">
        <w:rPr>
          <w:rFonts w:ascii="Times New Roman" w:hAnsi="Times New Roman"/>
          <w:sz w:val="24"/>
          <w:szCs w:val="24"/>
        </w:rPr>
        <w:t xml:space="preserve"> in its rejection of the hearing officer’s interpretation and application of the term ‘reckless’ is set forth in Section 8121(a)(6) of the Emergency Medical Services System Act (EMS Act), 35 Pa. C.S. §8121(a)(6). After review, we reverse the Health Department’s adjudication.” </w:t>
      </w:r>
      <w:hyperlink r:id="rId972" w:history="1">
        <w:r w:rsidRPr="001F1BB0">
          <w:rPr>
            <w:rStyle w:val="Hyperlink"/>
            <w:rFonts w:ascii="Times New Roman" w:hAnsi="Times New Roman"/>
            <w:sz w:val="24"/>
            <w:szCs w:val="24"/>
          </w:rPr>
          <w:t>https://cases.justia.com/pennsylvania/commonwealth-court/2024-1232-c-d-2023.pdf?ts=1729783758</w:t>
        </w:r>
      </w:hyperlink>
      <w:r w:rsidRPr="001F1BB0">
        <w:rPr>
          <w:rFonts w:ascii="Times New Roman" w:hAnsi="Times New Roman"/>
          <w:sz w:val="24"/>
          <w:szCs w:val="24"/>
        </w:rPr>
        <w:t xml:space="preserve"> </w:t>
      </w:r>
    </w:p>
    <w:p w14:paraId="70F96415" w14:textId="77777777" w:rsidR="001F2A28" w:rsidRPr="001F1BB0" w:rsidRDefault="001F2A28" w:rsidP="001F2A28">
      <w:pPr>
        <w:pStyle w:val="NoSpacing"/>
        <w:rPr>
          <w:rFonts w:ascii="Times New Roman" w:hAnsi="Times New Roman"/>
          <w:sz w:val="24"/>
          <w:szCs w:val="24"/>
        </w:rPr>
      </w:pPr>
    </w:p>
    <w:p w14:paraId="36C9E5A8" w14:textId="77777777" w:rsidR="001F1BB0" w:rsidRPr="001F1BB0" w:rsidRDefault="001F1BB0" w:rsidP="001F1BB0">
      <w:pPr>
        <w:pStyle w:val="NoSpacing"/>
        <w:rPr>
          <w:rFonts w:ascii="Times New Roman" w:hAnsi="Times New Roman"/>
          <w:b/>
          <w:bCs/>
          <w:sz w:val="24"/>
          <w:szCs w:val="24"/>
        </w:rPr>
      </w:pPr>
      <w:r w:rsidRPr="001F1BB0">
        <w:rPr>
          <w:rFonts w:ascii="Times New Roman" w:hAnsi="Times New Roman"/>
          <w:b/>
          <w:sz w:val="24"/>
          <w:szCs w:val="24"/>
        </w:rPr>
        <w:t>Legal Lesson Learned:  Emergency run – 65 in 40 mph zone in rural area is not clearly reckless</w:t>
      </w:r>
      <w:r w:rsidRPr="001F1BB0">
        <w:rPr>
          <w:rFonts w:ascii="Times New Roman" w:hAnsi="Times New Roman"/>
          <w:b/>
          <w:bCs/>
          <w:sz w:val="24"/>
          <w:szCs w:val="24"/>
        </w:rPr>
        <w:t xml:space="preserve">. </w:t>
      </w:r>
    </w:p>
    <w:p w14:paraId="7C62346A" w14:textId="77777777" w:rsidR="00DE42DC" w:rsidRPr="001F1BB0" w:rsidRDefault="00DE42DC" w:rsidP="00EF1133">
      <w:pPr>
        <w:rPr>
          <w:rFonts w:ascii="Times New Roman" w:hAnsi="Times New Roman"/>
          <w:b/>
          <w:sz w:val="24"/>
          <w:szCs w:val="24"/>
        </w:rPr>
      </w:pPr>
    </w:p>
    <w:p w14:paraId="12095560" w14:textId="53C46569" w:rsidR="00DE42DC" w:rsidRDefault="00DE42DC" w:rsidP="00EF1133">
      <w:pPr>
        <w:rPr>
          <w:rFonts w:ascii="Arial Black" w:hAnsi="Arial Black"/>
          <w:b/>
          <w:sz w:val="24"/>
          <w:szCs w:val="24"/>
        </w:rPr>
      </w:pPr>
      <w:r>
        <w:rPr>
          <w:rFonts w:ascii="Arial Black" w:hAnsi="Arial Black"/>
          <w:b/>
          <w:sz w:val="24"/>
          <w:szCs w:val="24"/>
        </w:rPr>
        <w:t>5-45</w:t>
      </w:r>
    </w:p>
    <w:p w14:paraId="2870D18A" w14:textId="77777777" w:rsidR="00AC5D33" w:rsidRPr="009D30FC" w:rsidRDefault="00AC5D33" w:rsidP="00AC5D33">
      <w:pPr>
        <w:rPr>
          <w:rFonts w:ascii="Arial Black" w:hAnsi="Arial Black"/>
          <w:b/>
          <w:bCs/>
          <w:sz w:val="28"/>
          <w:szCs w:val="28"/>
        </w:rPr>
      </w:pPr>
      <w:r w:rsidRPr="009D30FC">
        <w:rPr>
          <w:rFonts w:ascii="Arial Black" w:hAnsi="Arial Black"/>
          <w:b/>
          <w:bCs/>
          <w:sz w:val="28"/>
          <w:szCs w:val="28"/>
        </w:rPr>
        <w:t>MI: AMBULANCE STRUCK BY MOTORIST – PATIENT DIED –EMS MAY BEEN EXCESIVE SPEED – NO IMMUNITY</w:t>
      </w:r>
    </w:p>
    <w:p w14:paraId="6D1572ED" w14:textId="77777777" w:rsidR="00AD7ECA" w:rsidRPr="00883F9B" w:rsidRDefault="00AD7ECA" w:rsidP="00AD7ECA">
      <w:pPr>
        <w:pStyle w:val="NoSpacing"/>
        <w:rPr>
          <w:rFonts w:ascii="Times New Roman" w:hAnsi="Times New Roman"/>
          <w:sz w:val="24"/>
          <w:szCs w:val="24"/>
        </w:rPr>
      </w:pPr>
      <w:r w:rsidRPr="00883F9B">
        <w:rPr>
          <w:rFonts w:ascii="Times New Roman" w:hAnsi="Times New Roman"/>
          <w:sz w:val="24"/>
          <w:szCs w:val="24"/>
        </w:rPr>
        <w:t xml:space="preserve">On Oct. 11, </w:t>
      </w:r>
      <w:proofErr w:type="gramStart"/>
      <w:r w:rsidRPr="00883F9B">
        <w:rPr>
          <w:rFonts w:ascii="Times New Roman" w:hAnsi="Times New Roman"/>
          <w:sz w:val="24"/>
          <w:szCs w:val="24"/>
        </w:rPr>
        <w:t>2024</w:t>
      </w:r>
      <w:proofErr w:type="gramEnd"/>
      <w:r w:rsidRPr="00883F9B">
        <w:rPr>
          <w:rFonts w:ascii="Times New Roman" w:hAnsi="Times New Roman"/>
          <w:sz w:val="24"/>
          <w:szCs w:val="24"/>
        </w:rPr>
        <w:t xml:space="preserve"> in Tia Gentry, personal representative of the estate of </w:t>
      </w:r>
      <w:r w:rsidRPr="00883F9B">
        <w:rPr>
          <w:rFonts w:ascii="Times New Roman" w:hAnsi="Times New Roman"/>
          <w:sz w:val="24"/>
          <w:szCs w:val="24"/>
          <w:u w:val="single"/>
        </w:rPr>
        <w:t>Delana Gentry v. Ryan Baugh; City of Detroit; et al.,</w:t>
      </w:r>
      <w:r w:rsidRPr="00883F9B">
        <w:rPr>
          <w:rFonts w:ascii="Times New Roman" w:hAnsi="Times New Roman"/>
          <w:sz w:val="24"/>
          <w:szCs w:val="24"/>
        </w:rPr>
        <w:t xml:space="preserve"> the Michigan Court of Appeals held (3 to 0): “In sum, as the record currently stands, there are genuine issues of material fact whether [firefighter] Baugh was negligent in his operation of the ambulance. The trial court accordingly did not err by denying defendants’ motion for summary disposition under MCR 2.116(C)(7) on grounds that plaintiff’s claims were barred by governmental immunity.” </w:t>
      </w:r>
      <w:hyperlink r:id="rId973" w:history="1">
        <w:r w:rsidRPr="00883F9B">
          <w:rPr>
            <w:rStyle w:val="Hyperlink"/>
            <w:rFonts w:ascii="Times New Roman" w:hAnsi="Times New Roman"/>
            <w:sz w:val="24"/>
            <w:szCs w:val="24"/>
          </w:rPr>
          <w:t>https://cases.justia.com/michigan/court-of-appeals-unpublished/2024-367862.pdf?ts=1728738006</w:t>
        </w:r>
      </w:hyperlink>
      <w:r w:rsidRPr="00883F9B">
        <w:rPr>
          <w:rFonts w:ascii="Times New Roman" w:hAnsi="Times New Roman"/>
          <w:sz w:val="24"/>
          <w:szCs w:val="24"/>
        </w:rPr>
        <w:t xml:space="preserve"> </w:t>
      </w:r>
    </w:p>
    <w:p w14:paraId="6AE6DC9D" w14:textId="77777777" w:rsidR="00AD7ECA" w:rsidRPr="00883F9B" w:rsidRDefault="00AD7ECA" w:rsidP="00AD7ECA">
      <w:pPr>
        <w:pStyle w:val="NoSpacing"/>
        <w:rPr>
          <w:rFonts w:ascii="Times New Roman" w:hAnsi="Times New Roman"/>
          <w:sz w:val="24"/>
          <w:szCs w:val="24"/>
        </w:rPr>
      </w:pPr>
    </w:p>
    <w:p w14:paraId="3F8ECE6A" w14:textId="77777777" w:rsidR="00883F9B" w:rsidRPr="00883F9B" w:rsidRDefault="00883F9B" w:rsidP="00883F9B">
      <w:pPr>
        <w:pStyle w:val="NoSpacing"/>
        <w:jc w:val="both"/>
        <w:rPr>
          <w:rFonts w:ascii="Times New Roman" w:hAnsi="Times New Roman"/>
          <w:b/>
          <w:bCs/>
          <w:sz w:val="24"/>
          <w:szCs w:val="24"/>
        </w:rPr>
      </w:pPr>
      <w:r w:rsidRPr="00883F9B">
        <w:rPr>
          <w:rFonts w:ascii="Times New Roman" w:hAnsi="Times New Roman"/>
          <w:b/>
          <w:sz w:val="24"/>
          <w:szCs w:val="24"/>
        </w:rPr>
        <w:t xml:space="preserve">Legal Lesson Learned: In deposition, </w:t>
      </w:r>
      <w:r w:rsidRPr="00883F9B">
        <w:rPr>
          <w:rFonts w:ascii="Times New Roman" w:hAnsi="Times New Roman"/>
          <w:b/>
          <w:bCs/>
          <w:sz w:val="24"/>
          <w:szCs w:val="24"/>
        </w:rPr>
        <w:t xml:space="preserve">EMS driver was not clear about speed. </w:t>
      </w:r>
      <w:r w:rsidRPr="00883F9B">
        <w:rPr>
          <w:rFonts w:ascii="Times New Roman" w:hAnsi="Times New Roman"/>
          <w:b/>
          <w:sz w:val="24"/>
          <w:szCs w:val="24"/>
        </w:rPr>
        <w:t xml:space="preserve"> </w:t>
      </w:r>
    </w:p>
    <w:p w14:paraId="71F9617A" w14:textId="77777777" w:rsidR="00DE42DC" w:rsidRPr="00883F9B" w:rsidRDefault="00DE42DC" w:rsidP="00EF1133">
      <w:pPr>
        <w:rPr>
          <w:rFonts w:ascii="Times New Roman" w:hAnsi="Times New Roman"/>
          <w:b/>
          <w:sz w:val="24"/>
          <w:szCs w:val="24"/>
        </w:rPr>
      </w:pPr>
    </w:p>
    <w:p w14:paraId="4084C568" w14:textId="77777777" w:rsidR="001F1BB0" w:rsidRDefault="001F1BB0" w:rsidP="00EF1133">
      <w:pPr>
        <w:rPr>
          <w:rFonts w:ascii="Arial Black" w:hAnsi="Arial Black"/>
          <w:b/>
          <w:sz w:val="24"/>
          <w:szCs w:val="24"/>
        </w:rPr>
      </w:pPr>
    </w:p>
    <w:p w14:paraId="7435CBD4" w14:textId="0B1CFBED" w:rsidR="00FC2C67" w:rsidRDefault="00FC2C67" w:rsidP="00EF1133">
      <w:pPr>
        <w:rPr>
          <w:rFonts w:ascii="Arial Black" w:hAnsi="Arial Black"/>
          <w:b/>
          <w:sz w:val="24"/>
          <w:szCs w:val="24"/>
        </w:rPr>
      </w:pPr>
      <w:r>
        <w:rPr>
          <w:rFonts w:ascii="Arial Black" w:hAnsi="Arial Black"/>
          <w:b/>
          <w:sz w:val="24"/>
          <w:szCs w:val="24"/>
        </w:rPr>
        <w:t>5-44</w:t>
      </w:r>
    </w:p>
    <w:p w14:paraId="632106F1" w14:textId="77777777" w:rsidR="00FC2C67" w:rsidRPr="004407E2" w:rsidRDefault="00FC2C67" w:rsidP="00FC2C67">
      <w:pPr>
        <w:pStyle w:val="NormalWeb"/>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lastRenderedPageBreak/>
        <w:t>TX: CAPTAIN IN FD VEHICLE – STOPPED FOR GAS / MVA – CITY CAN BE SUED – EXCEPTION “GOING &amp; COMING RULE”</w:t>
      </w:r>
    </w:p>
    <w:p w14:paraId="05143EB8" w14:textId="77777777" w:rsidR="00FC2C67" w:rsidRPr="008F6524" w:rsidRDefault="00FC2C67" w:rsidP="00FC2C67">
      <w:pPr>
        <w:pStyle w:val="NormalWeb"/>
        <w:rPr>
          <w:color w:val="454545"/>
          <w:shd w:val="clear" w:color="auto" w:fill="FFFFFF"/>
        </w:rPr>
      </w:pPr>
      <w:r w:rsidRPr="008F6524">
        <w:rPr>
          <w:color w:val="454545"/>
          <w:shd w:val="clear" w:color="auto" w:fill="FFFFFF"/>
        </w:rPr>
        <w:t xml:space="preserve">On July 16, 2024, in </w:t>
      </w:r>
      <w:r w:rsidRPr="008F6524">
        <w:rPr>
          <w:color w:val="454545"/>
          <w:u w:val="single"/>
          <w:shd w:val="clear" w:color="auto" w:fill="FFFFFF"/>
        </w:rPr>
        <w:t>The City of Houston v. Amber Stoffer</w:t>
      </w:r>
      <w:r w:rsidRPr="008F6524">
        <w:rPr>
          <w:color w:val="454545"/>
          <w:shd w:val="clear" w:color="auto" w:fill="FFFFFF"/>
        </w:rPr>
        <w:t xml:space="preserve">, the Court of Appeals of Texas, First District, held (3 to 0) that trial court properly denied the City’s motion for summary judgment; under the City’s tort claim act it can be sued for damages incurred by employees “acting within the scope of employment.”  </w:t>
      </w:r>
      <w:r w:rsidRPr="008F6524">
        <w:rPr>
          <w:shd w:val="clear" w:color="auto" w:fill="FFFFFF"/>
        </w:rPr>
        <w:t>Under the “coming-and-going rule,” an employee is generally not acting within the scope of her employment when traveling to and from work</w:t>
      </w:r>
      <w:r w:rsidRPr="008F6524">
        <w:rPr>
          <w:color w:val="454545"/>
          <w:shd w:val="clear" w:color="auto" w:fill="FFFFFF"/>
        </w:rPr>
        <w:t xml:space="preserve">. However, since the </w:t>
      </w:r>
      <w:proofErr w:type="gramStart"/>
      <w:r w:rsidRPr="008F6524">
        <w:rPr>
          <w:color w:val="454545"/>
          <w:shd w:val="clear" w:color="auto" w:fill="FFFFFF"/>
        </w:rPr>
        <w:t>Captain</w:t>
      </w:r>
      <w:proofErr w:type="gramEnd"/>
      <w:r w:rsidRPr="008F6524">
        <w:rPr>
          <w:color w:val="454545"/>
          <w:shd w:val="clear" w:color="auto" w:fill="FFFFFF"/>
        </w:rPr>
        <w:t xml:space="preserve"> stopped for gas for FD vehicle, after conducting training at </w:t>
      </w:r>
      <w:proofErr w:type="gramStart"/>
      <w:r w:rsidRPr="008F6524">
        <w:rPr>
          <w:color w:val="454545"/>
          <w:shd w:val="clear" w:color="auto" w:fill="FFFFFF"/>
        </w:rPr>
        <w:t>a FD</w:t>
      </w:r>
      <w:proofErr w:type="gramEnd"/>
      <w:r w:rsidRPr="008F6524">
        <w:rPr>
          <w:color w:val="454545"/>
          <w:shd w:val="clear" w:color="auto" w:fill="FFFFFF"/>
        </w:rPr>
        <w:t xml:space="preserve"> station (the fire station pump was not working), there is a presumption she was acting within scope of her employment and jury can decide that question of fact. </w:t>
      </w:r>
      <w:hyperlink r:id="rId974" w:history="1">
        <w:r w:rsidRPr="008F6524">
          <w:rPr>
            <w:rStyle w:val="Hyperlink"/>
            <w:shd w:val="clear" w:color="auto" w:fill="FFFFFF"/>
          </w:rPr>
          <w:t>https://casetext.com/case/the-city-of-houston-v-stoffer</w:t>
        </w:r>
      </w:hyperlink>
      <w:r w:rsidRPr="008F6524">
        <w:rPr>
          <w:color w:val="454545"/>
          <w:shd w:val="clear" w:color="auto" w:fill="FFFFFF"/>
        </w:rPr>
        <w:t xml:space="preserve"> </w:t>
      </w:r>
    </w:p>
    <w:p w14:paraId="74B6D349" w14:textId="77777777" w:rsidR="00FC2C67" w:rsidRPr="008F6524" w:rsidRDefault="00FC2C67" w:rsidP="00FC2C67">
      <w:pPr>
        <w:pStyle w:val="NormalWeb"/>
        <w:rPr>
          <w:color w:val="454545"/>
          <w:shd w:val="clear" w:color="auto" w:fill="FFFFFF"/>
        </w:rPr>
      </w:pPr>
      <w:r w:rsidRPr="008F6524">
        <w:rPr>
          <w:color w:val="454545"/>
          <w:shd w:val="clear" w:color="auto" w:fill="FFFFFF"/>
        </w:rPr>
        <w:t xml:space="preserve">THE COURT HELD: </w:t>
      </w:r>
    </w:p>
    <w:p w14:paraId="24D48B70" w14:textId="77777777" w:rsidR="00FC2C67" w:rsidRDefault="00FC2C67" w:rsidP="00FC2C67">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E5330E">
        <w:rPr>
          <w:rFonts w:ascii="Times New Roman" w:hAnsi="Times New Roman"/>
          <w:sz w:val="24"/>
          <w:szCs w:val="24"/>
          <w:shd w:val="clear" w:color="auto" w:fill="FFFFFF"/>
        </w:rPr>
        <w:t>Because conflicting inferences could be drawn from Captain Tollett's affidavit and deposition testimony, and we resolve doubts in Stoffer's favor, Captain Tollett's statements that she stopped at the convenience store to refuel her city-issued vehicle is some evidence that she was not merely stopping for personal needs.</w:t>
      </w:r>
    </w:p>
    <w:p w14:paraId="08F5FB2B" w14:textId="77777777" w:rsidR="00FC2C67" w:rsidRDefault="00FC2C67" w:rsidP="00FC2C67">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5FB14BEE" w14:textId="77777777" w:rsidR="00FC2C67" w:rsidRDefault="00FC2C67" w:rsidP="00FC2C67">
      <w:pPr>
        <w:pStyle w:val="NoSpacing"/>
        <w:rPr>
          <w:rFonts w:ascii="Times New Roman" w:hAnsi="Times New Roman"/>
          <w:sz w:val="24"/>
          <w:szCs w:val="24"/>
          <w:shd w:val="clear" w:color="auto" w:fill="FFFFFF"/>
        </w:rPr>
      </w:pPr>
    </w:p>
    <w:p w14:paraId="2FBAC2DA" w14:textId="77777777" w:rsidR="00FC2C67" w:rsidRDefault="00FC2C67" w:rsidP="00FC2C67">
      <w:pPr>
        <w:pStyle w:val="NoSpacing"/>
        <w:ind w:left="720"/>
        <w:rPr>
          <w:rFonts w:ascii="Times New Roman" w:hAnsi="Times New Roman"/>
          <w:sz w:val="24"/>
          <w:szCs w:val="24"/>
          <w:shd w:val="clear" w:color="auto" w:fill="FFFFFF"/>
        </w:rPr>
      </w:pPr>
      <w:r w:rsidRPr="006924EE">
        <w:rPr>
          <w:rFonts w:ascii="Times New Roman" w:hAnsi="Times New Roman"/>
          <w:sz w:val="24"/>
          <w:szCs w:val="24"/>
          <w:shd w:val="clear" w:color="auto" w:fill="FFFFFF"/>
        </w:rPr>
        <w:t xml:space="preserve">The TTCA's limited waiver of immunity for motor vehicles only applies if the government employee was </w:t>
      </w:r>
      <w:r>
        <w:rPr>
          <w:rFonts w:ascii="Times New Roman" w:hAnsi="Times New Roman"/>
          <w:sz w:val="24"/>
          <w:szCs w:val="24"/>
          <w:shd w:val="clear" w:color="auto" w:fill="FFFFFF"/>
        </w:rPr>
        <w:t>‘</w:t>
      </w:r>
      <w:r w:rsidRPr="006924EE">
        <w:rPr>
          <w:rFonts w:ascii="Times New Roman" w:hAnsi="Times New Roman"/>
          <w:sz w:val="24"/>
          <w:szCs w:val="24"/>
          <w:shd w:val="clear" w:color="auto" w:fill="FFFFFF"/>
        </w:rPr>
        <w:t>acting within the scope of employment</w:t>
      </w:r>
      <w:r>
        <w:rPr>
          <w:rFonts w:ascii="Times New Roman" w:hAnsi="Times New Roman"/>
          <w:sz w:val="24"/>
          <w:szCs w:val="24"/>
          <w:shd w:val="clear" w:color="auto" w:fill="FFFFFF"/>
        </w:rPr>
        <w:t>’</w:t>
      </w:r>
      <w:r w:rsidRPr="006924EE">
        <w:rPr>
          <w:rFonts w:ascii="Times New Roman" w:hAnsi="Times New Roman"/>
          <w:sz w:val="24"/>
          <w:szCs w:val="24"/>
          <w:shd w:val="clear" w:color="auto" w:fill="FFFFFF"/>
        </w:rPr>
        <w:t xml:space="preserve"> at the time of the alleged event. </w:t>
      </w:r>
      <w:hyperlink r:id="rId975" w:history="1">
        <w:r w:rsidRPr="006924EE">
          <w:rPr>
            <w:rStyle w:val="Hyperlink"/>
            <w:rFonts w:ascii="Times New Roman" w:hAnsi="Times New Roman"/>
            <w:sz w:val="24"/>
            <w:szCs w:val="24"/>
            <w:shd w:val="clear" w:color="auto" w:fill="FFFFFF"/>
          </w:rPr>
          <w:t xml:space="preserve">Tex. Civ. </w:t>
        </w:r>
        <w:proofErr w:type="spellStart"/>
        <w:r w:rsidRPr="006924EE">
          <w:rPr>
            <w:rStyle w:val="Hyperlink"/>
            <w:rFonts w:ascii="Times New Roman" w:hAnsi="Times New Roman"/>
            <w:sz w:val="24"/>
            <w:szCs w:val="24"/>
            <w:shd w:val="clear" w:color="auto" w:fill="FFFFFF"/>
          </w:rPr>
          <w:t>Prac</w:t>
        </w:r>
        <w:proofErr w:type="spellEnd"/>
        <w:r w:rsidRPr="006924EE">
          <w:rPr>
            <w:rStyle w:val="Hyperlink"/>
            <w:rFonts w:ascii="Times New Roman" w:hAnsi="Times New Roman"/>
            <w:sz w:val="24"/>
            <w:szCs w:val="24"/>
            <w:shd w:val="clear" w:color="auto" w:fill="FFFFFF"/>
          </w:rPr>
          <w:t>. &amp; Rem. Code § 101.021(1)</w:t>
        </w:r>
      </w:hyperlink>
      <w:r w:rsidRPr="006924EE">
        <w:rPr>
          <w:rFonts w:ascii="Times New Roman" w:hAnsi="Times New Roman"/>
          <w:sz w:val="24"/>
          <w:szCs w:val="24"/>
          <w:shd w:val="clear" w:color="auto" w:fill="FFFFFF"/>
        </w:rPr>
        <w:t xml:space="preserve">. The TTCA defines </w:t>
      </w:r>
      <w:r>
        <w:rPr>
          <w:rFonts w:ascii="Times New Roman" w:hAnsi="Times New Roman"/>
          <w:sz w:val="24"/>
          <w:szCs w:val="24"/>
          <w:shd w:val="clear" w:color="auto" w:fill="FFFFFF"/>
        </w:rPr>
        <w:t>‘</w:t>
      </w:r>
      <w:r w:rsidRPr="006924EE">
        <w:rPr>
          <w:rFonts w:ascii="Times New Roman" w:hAnsi="Times New Roman"/>
          <w:sz w:val="24"/>
          <w:szCs w:val="24"/>
          <w:shd w:val="clear" w:color="auto" w:fill="FFFFFF"/>
        </w:rPr>
        <w:t>scope of employment</w:t>
      </w:r>
      <w:r>
        <w:rPr>
          <w:rFonts w:ascii="Times New Roman" w:hAnsi="Times New Roman"/>
          <w:sz w:val="24"/>
          <w:szCs w:val="24"/>
          <w:shd w:val="clear" w:color="auto" w:fill="FFFFFF"/>
        </w:rPr>
        <w:t>’</w:t>
      </w:r>
      <w:r w:rsidRPr="006924EE">
        <w:rPr>
          <w:rFonts w:ascii="Times New Roman" w:hAnsi="Times New Roman"/>
          <w:sz w:val="24"/>
          <w:szCs w:val="24"/>
          <w:shd w:val="clear" w:color="auto" w:fill="FFFFFF"/>
        </w:rPr>
        <w:t xml:space="preserve"> as </w:t>
      </w:r>
      <w:r>
        <w:rPr>
          <w:rFonts w:ascii="Times New Roman" w:hAnsi="Times New Roman"/>
          <w:sz w:val="24"/>
          <w:szCs w:val="24"/>
          <w:shd w:val="clear" w:color="auto" w:fill="FFFFFF"/>
        </w:rPr>
        <w:t>‘</w:t>
      </w:r>
      <w:r w:rsidRPr="006924EE">
        <w:rPr>
          <w:rFonts w:ascii="Times New Roman" w:hAnsi="Times New Roman"/>
          <w:sz w:val="24"/>
          <w:szCs w:val="24"/>
          <w:shd w:val="clear" w:color="auto" w:fill="FFFFFF"/>
        </w:rPr>
        <w:t>the performance for a governmental unit of the duties of an employee's office or employment and includes being in and about the performance of a task lawfully assigned to an employee by competent authority.</w:t>
      </w:r>
      <w:r>
        <w:rPr>
          <w:rFonts w:ascii="Times New Roman" w:hAnsi="Times New Roman"/>
          <w:sz w:val="24"/>
          <w:szCs w:val="24"/>
          <w:shd w:val="clear" w:color="auto" w:fill="FFFFFF"/>
        </w:rPr>
        <w:t>’</w:t>
      </w:r>
      <w:r w:rsidRPr="006924EE">
        <w:rPr>
          <w:rFonts w:ascii="Times New Roman" w:hAnsi="Times New Roman"/>
          <w:sz w:val="24"/>
          <w:szCs w:val="24"/>
          <w:shd w:val="clear" w:color="auto" w:fill="FFFFFF"/>
        </w:rPr>
        <w:t xml:space="preserve"> </w:t>
      </w:r>
      <w:r w:rsidRPr="006924EE">
        <w:rPr>
          <w:rFonts w:ascii="Times New Roman" w:hAnsi="Times New Roman"/>
          <w:i/>
          <w:iCs/>
          <w:sz w:val="24"/>
          <w:szCs w:val="24"/>
          <w:shd w:val="clear" w:color="auto" w:fill="FFFFFF"/>
        </w:rPr>
        <w:t>Id.</w:t>
      </w:r>
      <w:r w:rsidRPr="006924EE">
        <w:rPr>
          <w:rFonts w:ascii="Times New Roman" w:hAnsi="Times New Roman"/>
          <w:sz w:val="24"/>
          <w:szCs w:val="24"/>
          <w:shd w:val="clear" w:color="auto" w:fill="FFFFFF"/>
        </w:rPr>
        <w:t xml:space="preserve"> § 101.001(5).</w:t>
      </w:r>
    </w:p>
    <w:p w14:paraId="2AD1F36C" w14:textId="77777777" w:rsidR="00FC2C67" w:rsidRDefault="00FC2C67" w:rsidP="00FC2C67">
      <w:pPr>
        <w:pStyle w:val="NoSpacing"/>
        <w:ind w:left="720"/>
        <w:rPr>
          <w:rFonts w:ascii="Times New Roman" w:hAnsi="Times New Roman"/>
          <w:sz w:val="24"/>
          <w:szCs w:val="24"/>
          <w:shd w:val="clear" w:color="auto" w:fill="FFFFFF"/>
        </w:rPr>
      </w:pPr>
    </w:p>
    <w:p w14:paraId="537441FC" w14:textId="77777777" w:rsidR="00FC2C67" w:rsidRDefault="00FC2C67" w:rsidP="00FC2C67">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2E1452E4" w14:textId="77777777" w:rsidR="00FC2C67" w:rsidRDefault="00FC2C67" w:rsidP="00FC2C67">
      <w:pPr>
        <w:pStyle w:val="NoSpacing"/>
        <w:rPr>
          <w:rFonts w:ascii="Times New Roman" w:hAnsi="Times New Roman"/>
          <w:sz w:val="24"/>
          <w:szCs w:val="24"/>
          <w:shd w:val="clear" w:color="auto" w:fill="FFFFFF"/>
        </w:rPr>
      </w:pPr>
    </w:p>
    <w:p w14:paraId="5CBCAF58" w14:textId="77777777" w:rsidR="00FC2C67" w:rsidRDefault="00FC2C67" w:rsidP="00FC2C67">
      <w:pPr>
        <w:pStyle w:val="NoSpacing"/>
        <w:ind w:left="720"/>
        <w:rPr>
          <w:rFonts w:ascii="Times New Roman" w:hAnsi="Times New Roman"/>
          <w:sz w:val="24"/>
          <w:szCs w:val="24"/>
          <w:shd w:val="clear" w:color="auto" w:fill="FFFFFF"/>
        </w:rPr>
      </w:pPr>
      <w:r w:rsidRPr="00D442E3">
        <w:rPr>
          <w:rFonts w:ascii="Times New Roman" w:hAnsi="Times New Roman"/>
          <w:sz w:val="24"/>
          <w:szCs w:val="24"/>
          <w:shd w:val="clear" w:color="auto" w:fill="FFFFFF"/>
        </w:rPr>
        <w:t xml:space="preserve">Under the </w:t>
      </w:r>
      <w:r>
        <w:rPr>
          <w:rFonts w:ascii="Times New Roman" w:hAnsi="Times New Roman"/>
          <w:sz w:val="24"/>
          <w:szCs w:val="24"/>
          <w:shd w:val="clear" w:color="auto" w:fill="FFFFFF"/>
        </w:rPr>
        <w:t>‘</w:t>
      </w:r>
      <w:r w:rsidRPr="00D442E3">
        <w:rPr>
          <w:rFonts w:ascii="Times New Roman" w:hAnsi="Times New Roman"/>
          <w:sz w:val="24"/>
          <w:szCs w:val="24"/>
          <w:shd w:val="clear" w:color="auto" w:fill="FFFFFF"/>
        </w:rPr>
        <w:t>coming-and-going rule,</w:t>
      </w:r>
      <w:r>
        <w:rPr>
          <w:rFonts w:ascii="Times New Roman" w:hAnsi="Times New Roman"/>
          <w:sz w:val="24"/>
          <w:szCs w:val="24"/>
          <w:shd w:val="clear" w:color="auto" w:fill="FFFFFF"/>
        </w:rPr>
        <w:t>’</w:t>
      </w:r>
      <w:r w:rsidRPr="00D442E3">
        <w:rPr>
          <w:rFonts w:ascii="Times New Roman" w:hAnsi="Times New Roman"/>
          <w:sz w:val="24"/>
          <w:szCs w:val="24"/>
          <w:shd w:val="clear" w:color="auto" w:fill="FFFFFF"/>
        </w:rPr>
        <w:t xml:space="preserve"> an employee is generally not acting within the scope of her employment when traveling to and from work</w:t>
      </w:r>
      <w:r>
        <w:rPr>
          <w:rFonts w:ascii="Times New Roman" w:hAnsi="Times New Roman"/>
          <w:sz w:val="24"/>
          <w:szCs w:val="24"/>
          <w:shd w:val="clear" w:color="auto" w:fill="FFFFFF"/>
        </w:rPr>
        <w:t xml:space="preserve">…. </w:t>
      </w:r>
      <w:r w:rsidRPr="00111BB5">
        <w:rPr>
          <w:rFonts w:ascii="Times New Roman" w:hAnsi="Times New Roman"/>
          <w:sz w:val="24"/>
          <w:szCs w:val="24"/>
          <w:shd w:val="clear" w:color="auto" w:fill="FFFFFF"/>
        </w:rPr>
        <w:t>However, if the vehicle involved in the accident was owned by the defendant and the driver was an employee of the defendant, a presumption arises that the driver was acting within the scope of her employment when the accident occurred.</w:t>
      </w:r>
      <w:r>
        <w:rPr>
          <w:rFonts w:ascii="Times New Roman" w:hAnsi="Times New Roman"/>
          <w:sz w:val="24"/>
          <w:szCs w:val="24"/>
          <w:shd w:val="clear" w:color="auto" w:fill="FFFFFF"/>
        </w:rPr>
        <w:t>”</w:t>
      </w:r>
    </w:p>
    <w:p w14:paraId="4D9FBDDA" w14:textId="77777777" w:rsidR="00FC2C67" w:rsidRPr="00FD2FF9" w:rsidRDefault="00FC2C67" w:rsidP="00FC2C67">
      <w:pPr>
        <w:pStyle w:val="NoSpacing"/>
        <w:ind w:left="720"/>
        <w:rPr>
          <w:rFonts w:ascii="Times New Roman" w:hAnsi="Times New Roman"/>
          <w:sz w:val="24"/>
          <w:szCs w:val="24"/>
          <w:shd w:val="clear" w:color="auto" w:fill="FFFFFF"/>
        </w:rPr>
      </w:pPr>
    </w:p>
    <w:p w14:paraId="5E544D29" w14:textId="09DF6F51" w:rsidR="00FC2C67" w:rsidRDefault="007A4CFB" w:rsidP="00EF1133">
      <w:pPr>
        <w:rPr>
          <w:rFonts w:ascii="Arial Black" w:hAnsi="Arial Black"/>
          <w:b/>
          <w:sz w:val="24"/>
          <w:szCs w:val="24"/>
        </w:rPr>
      </w:pPr>
      <w:r w:rsidRPr="00601FA7">
        <w:rPr>
          <w:rFonts w:ascii="Times New Roman" w:hAnsi="Times New Roman"/>
          <w:b/>
          <w:bCs/>
          <w:sz w:val="24"/>
          <w:szCs w:val="24"/>
          <w:shd w:val="clear" w:color="auto" w:fill="FFFFFF"/>
        </w:rPr>
        <w:t xml:space="preserve">Legal Lesson Learned: </w:t>
      </w:r>
      <w:r>
        <w:rPr>
          <w:rFonts w:ascii="Times New Roman" w:hAnsi="Times New Roman"/>
          <w:b/>
          <w:bCs/>
          <w:sz w:val="24"/>
          <w:szCs w:val="24"/>
          <w:shd w:val="clear" w:color="auto" w:fill="FFFFFF"/>
        </w:rPr>
        <w:t>The “coming and going” to work rule, where employer normally cannot be sued, doesn’t apply when employee operating FD vehicle and stopping for gas</w:t>
      </w:r>
    </w:p>
    <w:p w14:paraId="0AE89C20" w14:textId="77777777" w:rsidR="00FC2C67" w:rsidRDefault="00FC2C67" w:rsidP="00EF1133">
      <w:pPr>
        <w:rPr>
          <w:rFonts w:ascii="Arial Black" w:hAnsi="Arial Black"/>
          <w:b/>
          <w:sz w:val="24"/>
          <w:szCs w:val="24"/>
        </w:rPr>
      </w:pPr>
    </w:p>
    <w:p w14:paraId="3C58D07C" w14:textId="77777777" w:rsidR="00FC2C67" w:rsidRDefault="00FC2C67" w:rsidP="00EF1133">
      <w:pPr>
        <w:rPr>
          <w:rFonts w:ascii="Arial Black" w:hAnsi="Arial Black"/>
          <w:b/>
          <w:sz w:val="24"/>
          <w:szCs w:val="24"/>
        </w:rPr>
      </w:pPr>
    </w:p>
    <w:p w14:paraId="1780CDFF" w14:textId="18BA40E8" w:rsidR="00FC33D2" w:rsidRDefault="00FC33D2" w:rsidP="00EF1133">
      <w:pPr>
        <w:rPr>
          <w:rFonts w:ascii="Arial Black" w:hAnsi="Arial Black"/>
          <w:b/>
          <w:sz w:val="24"/>
          <w:szCs w:val="24"/>
        </w:rPr>
      </w:pPr>
      <w:r>
        <w:rPr>
          <w:rFonts w:ascii="Arial Black" w:hAnsi="Arial Black"/>
          <w:b/>
          <w:sz w:val="24"/>
          <w:szCs w:val="24"/>
        </w:rPr>
        <w:t>5-43</w:t>
      </w:r>
    </w:p>
    <w:p w14:paraId="48ED0278" w14:textId="77777777" w:rsidR="00FC33D2" w:rsidRPr="006A4945" w:rsidRDefault="00FC33D2" w:rsidP="00FC33D2">
      <w:pPr>
        <w:pStyle w:val="NormalWeb"/>
        <w:shd w:val="clear" w:color="auto" w:fill="FFFFFF"/>
        <w:spacing w:before="0" w:beforeAutospacing="0"/>
        <w:rPr>
          <w:rFonts w:ascii="Arial Black" w:hAnsi="Arial Black"/>
          <w:b/>
          <w:bCs/>
          <w:color w:val="454545"/>
          <w:sz w:val="28"/>
          <w:szCs w:val="28"/>
        </w:rPr>
      </w:pPr>
      <w:r>
        <w:rPr>
          <w:rFonts w:ascii="Arial Black" w:hAnsi="Arial Black"/>
          <w:b/>
          <w:bCs/>
          <w:color w:val="454545"/>
          <w:sz w:val="28"/>
          <w:szCs w:val="28"/>
        </w:rPr>
        <w:t>PA: MENTAL STOLE ANBULANCE – HOUR LONG LOW SPEED CHASE - 4-8 YEARS IN PRISON – LOCK THE AMBULANCE</w:t>
      </w:r>
    </w:p>
    <w:p w14:paraId="47848432" w14:textId="77777777" w:rsidR="00FC33D2" w:rsidRDefault="00FC33D2" w:rsidP="00FC33D2">
      <w:pPr>
        <w:pStyle w:val="NormalWeb"/>
      </w:pPr>
      <w:r>
        <w:rPr>
          <w:color w:val="454545"/>
        </w:rPr>
        <w:t xml:space="preserve">On March 26, 2024, in </w:t>
      </w:r>
      <w:r w:rsidRPr="0003348E">
        <w:rPr>
          <w:color w:val="454545"/>
          <w:u w:val="single"/>
        </w:rPr>
        <w:t>Commonwealth of Pennsylvania v. Mark Giwerowski</w:t>
      </w:r>
      <w:r>
        <w:rPr>
          <w:color w:val="454545"/>
        </w:rPr>
        <w:t xml:space="preserve">, the Superior Court of Pennsylvania, held (3 to 0) that sentence was appropriate. Defendant waived jury trial; </w:t>
      </w:r>
      <w:r>
        <w:t xml:space="preserve">at the trial's conclusion, the court found defendant guilty of the remaining thirty-six offenses, which included robbery of a motor </w:t>
      </w:r>
      <w:r>
        <w:lastRenderedPageBreak/>
        <w:t xml:space="preserve">vehicle, aggravated assault-attempt to cause bodily injury to police or enumerated persons, and ten other felonies. </w:t>
      </w:r>
    </w:p>
    <w:p w14:paraId="046F1801"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1D03A65" w14:textId="77777777" w:rsidR="00FC33D2" w:rsidRDefault="00FC33D2" w:rsidP="00FC33D2">
      <w:pPr>
        <w:pStyle w:val="NormalWeb"/>
        <w:ind w:left="720" w:firstLine="60"/>
      </w:pPr>
      <w:r>
        <w:t xml:space="preserve">“Finally, while the prison sentence imposed for robbery of a motor vehicle was itself above the aggravated minimum range of the sentencing guidelines, Appellant was nonetheless convicted of </w:t>
      </w:r>
      <w:r w:rsidRPr="008F6094">
        <w:rPr>
          <w:rStyle w:val="Strong"/>
          <w:rFonts w:eastAsiaTheme="majorEastAsia"/>
        </w:rPr>
        <w:t>eleven other felony offenses</w:t>
      </w:r>
      <w:r w:rsidRPr="008F6094">
        <w:rPr>
          <w:b/>
          <w:bCs/>
        </w:rPr>
        <w:t>,</w:t>
      </w:r>
      <w:r>
        <w:t xml:space="preserve"> the sentences for all of which were run concurrently. Had the trial court exercised its discretion to run them consecutively, even if each was within the standard range, Appellant could have faced more than the minimum of ten years in prison that the Commonwealth requested. </w:t>
      </w:r>
    </w:p>
    <w:p w14:paraId="6C5D126D" w14:textId="77777777" w:rsidR="00FC33D2" w:rsidRDefault="00FC33D2" w:rsidP="00FC33D2">
      <w:pPr>
        <w:pStyle w:val="NormalWeb"/>
        <w:ind w:left="720"/>
      </w:pPr>
      <w:r>
        <w:t xml:space="preserve">For all the above reasons, we do not find that the sentence imposed by the trial court was the product of an abuse of its considerable sentencing discretion, and therefore it must be upheld.”  </w:t>
      </w:r>
      <w:hyperlink r:id="rId976" w:history="1">
        <w:r w:rsidRPr="006F5A98">
          <w:rPr>
            <w:rStyle w:val="Hyperlink"/>
          </w:rPr>
          <w:t>https://public.fastcase.com/H1P9uiW3J20SFp%2BGCG%2BxLdY6%2FSfit7cxFyw3bnS%2FOidOFypRHxHWNwsmGqo4fSQEV9JpTw1bCRB2JkBf6VgjErq%2BbrT9DkyICOjdjgBVHFs%3D?utm_medium=email&amp;_hsmi=226712652&amp;_hsenc=p2ANqtz-82_plk0g72fbRvFB8NjbgL3Ik8GBcsuuIrmbdbiUiPbF7Kb8UwG6VvxYNyc-qobM2A00y-E3aXbEp-pYTE9TR3ELyYBQ&amp;utm_content=226712652&amp;utm_source=hs_email</w:t>
        </w:r>
      </w:hyperlink>
      <w:r>
        <w:t xml:space="preserve"> </w:t>
      </w:r>
    </w:p>
    <w:p w14:paraId="56D8AA4C" w14:textId="77777777" w:rsidR="00FC33D2" w:rsidRPr="00BB5CED" w:rsidRDefault="00FC33D2" w:rsidP="00FC33D2">
      <w:pPr>
        <w:pStyle w:val="NormalWeb"/>
        <w:rPr>
          <w:b/>
          <w:bCs/>
        </w:rPr>
      </w:pPr>
      <w:r w:rsidRPr="00BB5CED">
        <w:rPr>
          <w:b/>
          <w:bCs/>
        </w:rPr>
        <w:t>Legal Lesson Learned:</w:t>
      </w:r>
      <w:r>
        <w:rPr>
          <w:b/>
          <w:bCs/>
        </w:rPr>
        <w:t xml:space="preserve"> When arriving at scene of mental call, turn off the ambulance and </w:t>
      </w:r>
      <w:proofErr w:type="gramStart"/>
      <w:r>
        <w:rPr>
          <w:b/>
          <w:bCs/>
        </w:rPr>
        <w:t>secured</w:t>
      </w:r>
      <w:proofErr w:type="gramEnd"/>
      <w:r>
        <w:rPr>
          <w:b/>
          <w:bCs/>
        </w:rPr>
        <w:t xml:space="preserve"> your keys. </w:t>
      </w:r>
    </w:p>
    <w:p w14:paraId="5109FC60" w14:textId="77777777" w:rsidR="00FC33D2" w:rsidRDefault="00FC33D2" w:rsidP="00FC33D2">
      <w:pPr>
        <w:pStyle w:val="NormalWeb"/>
        <w:rPr>
          <w:rFonts w:ascii="Arial Black" w:hAnsi="Arial Black"/>
          <w:sz w:val="28"/>
          <w:szCs w:val="28"/>
        </w:rPr>
      </w:pPr>
    </w:p>
    <w:p w14:paraId="04CC0FA7" w14:textId="77777777" w:rsidR="00FC33D2" w:rsidRDefault="00FC33D2" w:rsidP="00FC33D2">
      <w:pPr>
        <w:pStyle w:val="NoSpacing"/>
        <w:ind w:left="720"/>
        <w:rPr>
          <w:rFonts w:ascii="Times New Roman" w:hAnsi="Times New Roman"/>
          <w:sz w:val="24"/>
          <w:szCs w:val="24"/>
          <w:shd w:val="clear" w:color="auto" w:fill="FFFFFF"/>
        </w:rPr>
      </w:pPr>
    </w:p>
    <w:p w14:paraId="23813889" w14:textId="77777777" w:rsidR="00FC33D2" w:rsidRDefault="00FC33D2" w:rsidP="00FC33D2">
      <w:pPr>
        <w:pStyle w:val="NoSpacing"/>
        <w:rPr>
          <w:rFonts w:ascii="Times New Roman" w:hAnsi="Times New Roman"/>
          <w:sz w:val="24"/>
          <w:szCs w:val="24"/>
        </w:rPr>
      </w:pPr>
    </w:p>
    <w:p w14:paraId="502C4026" w14:textId="77777777" w:rsidR="00FC33D2" w:rsidRPr="00FC33D2" w:rsidRDefault="00FC33D2" w:rsidP="00FC33D2">
      <w:pPr>
        <w:pStyle w:val="NormalWeb"/>
        <w:shd w:val="clear" w:color="auto" w:fill="FFFFFF"/>
        <w:spacing w:before="0" w:beforeAutospacing="0"/>
        <w:rPr>
          <w:rFonts w:ascii="Arial Black" w:hAnsi="Arial Black"/>
        </w:rPr>
      </w:pPr>
      <w:r w:rsidRPr="00FC33D2">
        <w:rPr>
          <w:rFonts w:ascii="Arial Black" w:hAnsi="Arial Black"/>
        </w:rPr>
        <w:t>5-42</w:t>
      </w:r>
    </w:p>
    <w:p w14:paraId="75FF2F4D" w14:textId="4CA5CE31" w:rsidR="00FC33D2" w:rsidRPr="009C706C" w:rsidRDefault="00FC33D2" w:rsidP="00FC33D2">
      <w:pPr>
        <w:pStyle w:val="NormalWeb"/>
        <w:shd w:val="clear" w:color="auto" w:fill="FFFFFF"/>
        <w:spacing w:before="0" w:beforeAutospacing="0"/>
        <w:rPr>
          <w:rFonts w:ascii="Arial Black" w:hAnsi="Arial Black"/>
          <w:b/>
          <w:bCs/>
          <w:color w:val="454545"/>
          <w:sz w:val="28"/>
          <w:szCs w:val="28"/>
        </w:rPr>
      </w:pPr>
      <w:r>
        <w:rPr>
          <w:rFonts w:ascii="Arial Black" w:hAnsi="Arial Black"/>
          <w:b/>
          <w:bCs/>
          <w:color w:val="454545"/>
          <w:sz w:val="28"/>
          <w:szCs w:val="28"/>
        </w:rPr>
        <w:t>TX: ENGINE TO DUMSTER FIRE – 10 MPH OVER, THROUGH RED LIGHT, COLLISION – NO GOVERNMENTAL IMMUNITY</w:t>
      </w:r>
    </w:p>
    <w:p w14:paraId="59C6A424" w14:textId="77777777" w:rsidR="00FC33D2" w:rsidRDefault="00FC33D2" w:rsidP="00FC33D2">
      <w:pPr>
        <w:pStyle w:val="NoSpacing"/>
        <w:rPr>
          <w:rFonts w:ascii="Times New Roman" w:hAnsi="Times New Roman"/>
          <w:sz w:val="24"/>
          <w:szCs w:val="24"/>
        </w:rPr>
      </w:pPr>
      <w:r>
        <w:rPr>
          <w:rFonts w:ascii="Times New Roman" w:hAnsi="Times New Roman"/>
          <w:sz w:val="24"/>
          <w:szCs w:val="24"/>
        </w:rPr>
        <w:t xml:space="preserve">On March 7, 2024, in </w:t>
      </w:r>
      <w:r w:rsidRPr="00B5059C">
        <w:rPr>
          <w:rFonts w:ascii="Times New Roman" w:hAnsi="Times New Roman"/>
          <w:sz w:val="24"/>
          <w:szCs w:val="24"/>
          <w:u w:val="single"/>
        </w:rPr>
        <w:t>City of Houston v. Chelsea Manning, et al</w:t>
      </w:r>
      <w:r>
        <w:rPr>
          <w:rFonts w:ascii="Times New Roman" w:hAnsi="Times New Roman"/>
          <w:sz w:val="24"/>
          <w:szCs w:val="24"/>
        </w:rPr>
        <w:t xml:space="preserve">., the Fourteenth Court of Appeals of Texas, held (3 to 0) that trial court properly denied their motion for summary judgment on the emergency response exception to tort liability; on this second appeal the city is again denied immunity. </w:t>
      </w:r>
    </w:p>
    <w:p w14:paraId="56BD4193" w14:textId="77777777" w:rsidR="003956F7" w:rsidRDefault="003956F7" w:rsidP="003956F7">
      <w:pPr>
        <w:pStyle w:val="NoSpacing"/>
        <w:rPr>
          <w:rFonts w:ascii="Times New Roman" w:hAnsi="Times New Roman"/>
          <w:sz w:val="24"/>
          <w:szCs w:val="24"/>
          <w:shd w:val="clear" w:color="auto" w:fill="FFFFFF"/>
        </w:rPr>
      </w:pPr>
    </w:p>
    <w:p w14:paraId="711A12B0" w14:textId="76FCAE72"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33205EC" w14:textId="77777777" w:rsidR="003956F7" w:rsidRDefault="003956F7" w:rsidP="00FC33D2">
      <w:pPr>
        <w:pStyle w:val="NoSpacing"/>
        <w:rPr>
          <w:rFonts w:ascii="Times New Roman" w:hAnsi="Times New Roman"/>
          <w:sz w:val="24"/>
          <w:szCs w:val="24"/>
        </w:rPr>
      </w:pPr>
    </w:p>
    <w:p w14:paraId="3493ECFE" w14:textId="77777777" w:rsidR="00FC33D2" w:rsidRDefault="00FC33D2" w:rsidP="00FC33D2">
      <w:pPr>
        <w:pStyle w:val="NoSpacing"/>
        <w:rPr>
          <w:rFonts w:ascii="Times New Roman" w:hAnsi="Times New Roman"/>
          <w:sz w:val="24"/>
          <w:szCs w:val="24"/>
        </w:rPr>
      </w:pPr>
    </w:p>
    <w:p w14:paraId="29F7A60A" w14:textId="77777777" w:rsidR="00FC33D2" w:rsidRPr="0011159F" w:rsidRDefault="00FC33D2" w:rsidP="00FC33D2">
      <w:pPr>
        <w:pStyle w:val="NoSpacing"/>
        <w:ind w:left="720"/>
        <w:rPr>
          <w:rFonts w:ascii="Times New Roman" w:hAnsi="Times New Roman"/>
          <w:sz w:val="24"/>
          <w:szCs w:val="24"/>
        </w:rPr>
      </w:pPr>
      <w:r>
        <w:rPr>
          <w:rFonts w:ascii="Times New Roman" w:hAnsi="Times New Roman"/>
          <w:sz w:val="24"/>
          <w:szCs w:val="24"/>
        </w:rPr>
        <w:t>“T</w:t>
      </w:r>
      <w:r w:rsidRPr="0011159F">
        <w:rPr>
          <w:rFonts w:ascii="Times New Roman" w:hAnsi="Times New Roman"/>
          <w:sz w:val="24"/>
          <w:szCs w:val="24"/>
        </w:rPr>
        <w:t>his is the second appeal by the City of Houston in this personal injury suit</w:t>
      </w:r>
    </w:p>
    <w:p w14:paraId="1CA99857" w14:textId="77777777" w:rsidR="00FC33D2" w:rsidRPr="0011159F" w:rsidRDefault="00FC33D2" w:rsidP="00FC33D2">
      <w:pPr>
        <w:pStyle w:val="NoSpacing"/>
        <w:ind w:left="720"/>
        <w:rPr>
          <w:rFonts w:ascii="Times New Roman" w:hAnsi="Times New Roman"/>
          <w:sz w:val="24"/>
          <w:szCs w:val="24"/>
        </w:rPr>
      </w:pPr>
      <w:r w:rsidRPr="0011159F">
        <w:rPr>
          <w:rFonts w:ascii="Times New Roman" w:hAnsi="Times New Roman"/>
          <w:sz w:val="24"/>
          <w:szCs w:val="24"/>
        </w:rPr>
        <w:t>arising from a collision between a fire truck and appellees’ vehicle. In the first</w:t>
      </w:r>
    </w:p>
    <w:p w14:paraId="3145F8C1" w14:textId="77777777" w:rsidR="00FC33D2" w:rsidRPr="0011159F" w:rsidRDefault="00FC33D2" w:rsidP="00FC33D2">
      <w:pPr>
        <w:pStyle w:val="NoSpacing"/>
        <w:ind w:left="720"/>
        <w:rPr>
          <w:rFonts w:ascii="Times New Roman" w:hAnsi="Times New Roman"/>
          <w:sz w:val="24"/>
          <w:szCs w:val="24"/>
        </w:rPr>
      </w:pPr>
      <w:r w:rsidRPr="0011159F">
        <w:rPr>
          <w:rFonts w:ascii="Times New Roman" w:hAnsi="Times New Roman"/>
          <w:sz w:val="24"/>
          <w:szCs w:val="24"/>
        </w:rPr>
        <w:t>appeal, the City challenged an order denying its traditional summary-judgment</w:t>
      </w:r>
    </w:p>
    <w:p w14:paraId="6464D1F6" w14:textId="77777777" w:rsidR="00FC33D2" w:rsidRPr="005E4DA9" w:rsidRDefault="00FC33D2" w:rsidP="00FC33D2">
      <w:pPr>
        <w:pStyle w:val="NoSpacing"/>
        <w:ind w:left="720"/>
        <w:rPr>
          <w:rFonts w:ascii="Times New Roman" w:hAnsi="Times New Roman"/>
          <w:sz w:val="24"/>
          <w:szCs w:val="24"/>
        </w:rPr>
      </w:pPr>
      <w:r w:rsidRPr="0011159F">
        <w:rPr>
          <w:rFonts w:ascii="Times New Roman" w:hAnsi="Times New Roman"/>
          <w:sz w:val="24"/>
          <w:szCs w:val="24"/>
        </w:rPr>
        <w:t>motion on immunity grounds. We held that a genuine and material fact questio</w:t>
      </w:r>
      <w:r>
        <w:rPr>
          <w:rFonts w:ascii="Times New Roman" w:hAnsi="Times New Roman"/>
          <w:sz w:val="24"/>
          <w:szCs w:val="24"/>
        </w:rPr>
        <w:t xml:space="preserve">n </w:t>
      </w:r>
      <w:r w:rsidRPr="005E4DA9">
        <w:rPr>
          <w:rFonts w:ascii="Times New Roman" w:hAnsi="Times New Roman"/>
          <w:sz w:val="24"/>
          <w:szCs w:val="24"/>
        </w:rPr>
        <w:t>existed as to the good-faith element of the City’s employee’s official immunity,</w:t>
      </w:r>
    </w:p>
    <w:p w14:paraId="0AD7C002" w14:textId="77777777" w:rsidR="00FC33D2" w:rsidRDefault="00FC33D2" w:rsidP="00FC33D2">
      <w:pPr>
        <w:pStyle w:val="NoSpacing"/>
        <w:ind w:left="720"/>
        <w:rPr>
          <w:rFonts w:ascii="Times New Roman" w:hAnsi="Times New Roman"/>
          <w:sz w:val="24"/>
          <w:szCs w:val="24"/>
        </w:rPr>
      </w:pPr>
      <w:r w:rsidRPr="005E4DA9">
        <w:rPr>
          <w:rFonts w:ascii="Times New Roman" w:hAnsi="Times New Roman"/>
          <w:sz w:val="24"/>
          <w:szCs w:val="24"/>
        </w:rPr>
        <w:t>and we affirmed in part the trial court’s denial of the City’s motion.</w:t>
      </w:r>
    </w:p>
    <w:p w14:paraId="11EDC6F3" w14:textId="77777777" w:rsidR="00FC33D2" w:rsidRDefault="00FC33D2" w:rsidP="00FC33D2">
      <w:pPr>
        <w:pStyle w:val="NoSpacing"/>
        <w:ind w:left="720"/>
        <w:rPr>
          <w:rFonts w:ascii="Times New Roman" w:hAnsi="Times New Roman"/>
          <w:sz w:val="24"/>
          <w:szCs w:val="24"/>
        </w:rPr>
      </w:pPr>
    </w:p>
    <w:p w14:paraId="69F610EC" w14:textId="77777777" w:rsidR="00FC33D2" w:rsidRDefault="00FC33D2" w:rsidP="00FC33D2">
      <w:pPr>
        <w:pStyle w:val="NoSpacing"/>
        <w:ind w:left="720"/>
        <w:rPr>
          <w:rFonts w:ascii="Times New Roman" w:hAnsi="Times New Roman"/>
          <w:sz w:val="24"/>
          <w:szCs w:val="24"/>
        </w:rPr>
      </w:pPr>
      <w:r>
        <w:rPr>
          <w:rFonts w:ascii="Times New Roman" w:hAnsi="Times New Roman"/>
          <w:sz w:val="24"/>
          <w:szCs w:val="24"/>
        </w:rPr>
        <w:t>***</w:t>
      </w:r>
    </w:p>
    <w:p w14:paraId="1FF413DD" w14:textId="77777777" w:rsidR="00FC33D2" w:rsidRDefault="00FC33D2" w:rsidP="00FC33D2">
      <w:pPr>
        <w:pStyle w:val="NoSpacing"/>
        <w:ind w:left="720"/>
        <w:rPr>
          <w:rFonts w:ascii="Times New Roman" w:hAnsi="Times New Roman"/>
          <w:sz w:val="24"/>
          <w:szCs w:val="24"/>
        </w:rPr>
      </w:pPr>
    </w:p>
    <w:p w14:paraId="71AACEDD" w14:textId="77777777" w:rsidR="00FC33D2" w:rsidRPr="00662D7E" w:rsidRDefault="00FC33D2" w:rsidP="00FC33D2">
      <w:pPr>
        <w:pStyle w:val="NoSpacing"/>
        <w:ind w:left="720"/>
        <w:rPr>
          <w:rFonts w:ascii="Times New Roman" w:hAnsi="Times New Roman"/>
          <w:sz w:val="24"/>
          <w:szCs w:val="24"/>
        </w:rPr>
      </w:pPr>
      <w:r w:rsidRPr="00662D7E">
        <w:rPr>
          <w:rFonts w:ascii="Times New Roman" w:hAnsi="Times New Roman"/>
          <w:sz w:val="24"/>
          <w:szCs w:val="24"/>
        </w:rPr>
        <w:t>After the first appeal, the City moved for summary judgment again on</w:t>
      </w:r>
    </w:p>
    <w:p w14:paraId="40CEDC5C" w14:textId="77777777" w:rsidR="00FC33D2" w:rsidRPr="00662D7E" w:rsidRDefault="00FC33D2" w:rsidP="00FC33D2">
      <w:pPr>
        <w:pStyle w:val="NoSpacing"/>
        <w:ind w:left="720"/>
        <w:rPr>
          <w:rFonts w:ascii="Times New Roman" w:hAnsi="Times New Roman"/>
          <w:sz w:val="24"/>
          <w:szCs w:val="24"/>
        </w:rPr>
      </w:pPr>
      <w:r w:rsidRPr="00662D7E">
        <w:rPr>
          <w:rFonts w:ascii="Times New Roman" w:hAnsi="Times New Roman"/>
          <w:sz w:val="24"/>
          <w:szCs w:val="24"/>
        </w:rPr>
        <w:t>immunity grounds, relying on its earlier evidence but adding some new evidence</w:t>
      </w:r>
    </w:p>
    <w:p w14:paraId="5AE89ACC" w14:textId="77777777" w:rsidR="00FC33D2" w:rsidRPr="00662D7E" w:rsidRDefault="00FC33D2" w:rsidP="00FC33D2">
      <w:pPr>
        <w:pStyle w:val="NoSpacing"/>
        <w:ind w:left="720"/>
        <w:rPr>
          <w:rFonts w:ascii="Times New Roman" w:hAnsi="Times New Roman"/>
          <w:sz w:val="24"/>
          <w:szCs w:val="24"/>
        </w:rPr>
      </w:pPr>
      <w:r w:rsidRPr="00662D7E">
        <w:rPr>
          <w:rFonts w:ascii="Times New Roman" w:hAnsi="Times New Roman"/>
          <w:sz w:val="24"/>
          <w:szCs w:val="24"/>
        </w:rPr>
        <w:t>and arguments. The trial court denied the City’s second motion. In this appeal, we</w:t>
      </w:r>
    </w:p>
    <w:p w14:paraId="28877B19" w14:textId="77777777" w:rsidR="00FC33D2" w:rsidRPr="00662D7E" w:rsidRDefault="00FC33D2" w:rsidP="00FC33D2">
      <w:pPr>
        <w:pStyle w:val="NoSpacing"/>
        <w:ind w:left="720"/>
        <w:rPr>
          <w:rFonts w:ascii="Times New Roman" w:hAnsi="Times New Roman"/>
          <w:sz w:val="24"/>
          <w:szCs w:val="24"/>
        </w:rPr>
      </w:pPr>
      <w:proofErr w:type="gramStart"/>
      <w:r w:rsidRPr="00662D7E">
        <w:rPr>
          <w:rFonts w:ascii="Times New Roman" w:hAnsi="Times New Roman"/>
          <w:sz w:val="24"/>
          <w:szCs w:val="24"/>
        </w:rPr>
        <w:lastRenderedPageBreak/>
        <w:t>again</w:t>
      </w:r>
      <w:proofErr w:type="gramEnd"/>
      <w:r w:rsidRPr="00662D7E">
        <w:rPr>
          <w:rFonts w:ascii="Times New Roman" w:hAnsi="Times New Roman"/>
          <w:sz w:val="24"/>
          <w:szCs w:val="24"/>
        </w:rPr>
        <w:t xml:space="preserve"> conclude that the City has not established conclusively that it is immune as a</w:t>
      </w:r>
    </w:p>
    <w:p w14:paraId="708A32A4" w14:textId="77777777" w:rsidR="00FC33D2" w:rsidRDefault="00FC33D2" w:rsidP="00FC33D2">
      <w:pPr>
        <w:pStyle w:val="NoSpacing"/>
        <w:ind w:left="720"/>
        <w:rPr>
          <w:rFonts w:ascii="Times New Roman" w:hAnsi="Times New Roman"/>
          <w:sz w:val="24"/>
          <w:szCs w:val="24"/>
        </w:rPr>
      </w:pPr>
      <w:r w:rsidRPr="00662D7E">
        <w:rPr>
          <w:rFonts w:ascii="Times New Roman" w:hAnsi="Times New Roman"/>
          <w:sz w:val="24"/>
          <w:szCs w:val="24"/>
        </w:rPr>
        <w:t>matter of law.</w:t>
      </w:r>
    </w:p>
    <w:p w14:paraId="00C59F24" w14:textId="77777777" w:rsidR="00FC33D2" w:rsidRDefault="00FC33D2" w:rsidP="00FC33D2">
      <w:pPr>
        <w:pStyle w:val="NoSpacing"/>
        <w:ind w:left="720"/>
        <w:rPr>
          <w:rFonts w:ascii="Times New Roman" w:hAnsi="Times New Roman"/>
          <w:sz w:val="24"/>
          <w:szCs w:val="24"/>
        </w:rPr>
      </w:pPr>
    </w:p>
    <w:p w14:paraId="3876C85F" w14:textId="77777777" w:rsidR="00FC33D2" w:rsidRDefault="00FC33D2" w:rsidP="00FC33D2">
      <w:pPr>
        <w:pStyle w:val="NoSpacing"/>
        <w:ind w:left="720"/>
        <w:rPr>
          <w:rFonts w:ascii="Times New Roman" w:hAnsi="Times New Roman"/>
          <w:sz w:val="24"/>
          <w:szCs w:val="24"/>
        </w:rPr>
      </w:pPr>
      <w:r>
        <w:rPr>
          <w:rFonts w:ascii="Times New Roman" w:hAnsi="Times New Roman"/>
          <w:sz w:val="24"/>
          <w:szCs w:val="24"/>
        </w:rPr>
        <w:t>***</w:t>
      </w:r>
    </w:p>
    <w:p w14:paraId="3FF1C95E" w14:textId="77777777" w:rsidR="00FC33D2" w:rsidRDefault="00FC33D2" w:rsidP="00FC33D2">
      <w:pPr>
        <w:pStyle w:val="NoSpacing"/>
        <w:ind w:left="720"/>
        <w:rPr>
          <w:rFonts w:ascii="Times New Roman" w:hAnsi="Times New Roman"/>
          <w:sz w:val="24"/>
          <w:szCs w:val="24"/>
        </w:rPr>
      </w:pPr>
    </w:p>
    <w:p w14:paraId="39C6ECD2" w14:textId="77777777" w:rsidR="00FC33D2" w:rsidRPr="00956F61" w:rsidRDefault="00FC33D2" w:rsidP="00FC33D2">
      <w:pPr>
        <w:pStyle w:val="NoSpacing"/>
        <w:ind w:left="720"/>
        <w:rPr>
          <w:rFonts w:ascii="Times New Roman" w:hAnsi="Times New Roman"/>
          <w:sz w:val="24"/>
          <w:szCs w:val="24"/>
        </w:rPr>
      </w:pPr>
      <w:r w:rsidRPr="00956F61">
        <w:rPr>
          <w:rFonts w:ascii="Times New Roman" w:hAnsi="Times New Roman"/>
          <w:sz w:val="24"/>
          <w:szCs w:val="24"/>
        </w:rPr>
        <w:t xml:space="preserve">Thus, fact questions </w:t>
      </w:r>
      <w:proofErr w:type="gramStart"/>
      <w:r w:rsidRPr="00956F61">
        <w:rPr>
          <w:rFonts w:ascii="Times New Roman" w:hAnsi="Times New Roman"/>
          <w:sz w:val="24"/>
          <w:szCs w:val="24"/>
        </w:rPr>
        <w:t>exist</w:t>
      </w:r>
      <w:proofErr w:type="gramEnd"/>
      <w:r w:rsidRPr="00956F61">
        <w:rPr>
          <w:rFonts w:ascii="Times New Roman" w:hAnsi="Times New Roman"/>
          <w:sz w:val="24"/>
          <w:szCs w:val="24"/>
        </w:rPr>
        <w:t xml:space="preserve"> whether the </w:t>
      </w:r>
      <w:proofErr w:type="gramStart"/>
      <w:r w:rsidRPr="00956F61">
        <w:rPr>
          <w:rFonts w:ascii="Times New Roman" w:hAnsi="Times New Roman"/>
          <w:sz w:val="24"/>
          <w:szCs w:val="24"/>
        </w:rPr>
        <w:t>City</w:t>
      </w:r>
      <w:proofErr w:type="gramEnd"/>
      <w:r w:rsidRPr="00956F61">
        <w:rPr>
          <w:rFonts w:ascii="Times New Roman" w:hAnsi="Times New Roman"/>
          <w:sz w:val="24"/>
          <w:szCs w:val="24"/>
        </w:rPr>
        <w:t xml:space="preserve"> complied with all three</w:t>
      </w:r>
      <w:r>
        <w:rPr>
          <w:rFonts w:ascii="Times New Roman" w:hAnsi="Times New Roman"/>
          <w:sz w:val="24"/>
          <w:szCs w:val="24"/>
        </w:rPr>
        <w:t xml:space="preserve"> </w:t>
      </w:r>
      <w:r w:rsidRPr="00956F61">
        <w:rPr>
          <w:rFonts w:ascii="Times New Roman" w:hAnsi="Times New Roman"/>
          <w:sz w:val="24"/>
          <w:szCs w:val="24"/>
        </w:rPr>
        <w:t>applicable laws it cited. A factfinder could reasonably conclude that Schmidt</w:t>
      </w:r>
      <w:r>
        <w:rPr>
          <w:rFonts w:ascii="Times New Roman" w:hAnsi="Times New Roman"/>
          <w:sz w:val="24"/>
          <w:szCs w:val="24"/>
        </w:rPr>
        <w:t xml:space="preserve"> </w:t>
      </w:r>
      <w:r w:rsidRPr="00956F61">
        <w:rPr>
          <w:rFonts w:ascii="Times New Roman" w:hAnsi="Times New Roman"/>
          <w:sz w:val="24"/>
          <w:szCs w:val="24"/>
        </w:rPr>
        <w:t>(1) drove above the speed limit, (2) did not slow his speed while entering the</w:t>
      </w:r>
      <w:r>
        <w:rPr>
          <w:rFonts w:ascii="Times New Roman" w:hAnsi="Times New Roman"/>
          <w:sz w:val="24"/>
          <w:szCs w:val="24"/>
        </w:rPr>
        <w:t xml:space="preserve"> </w:t>
      </w:r>
      <w:r w:rsidRPr="00956F61">
        <w:rPr>
          <w:rFonts w:ascii="Times New Roman" w:hAnsi="Times New Roman"/>
          <w:sz w:val="24"/>
          <w:szCs w:val="24"/>
        </w:rPr>
        <w:t>intersection, and (3) proceeded against a red light. Thus, disputed and material fact</w:t>
      </w:r>
      <w:r>
        <w:rPr>
          <w:rFonts w:ascii="Times New Roman" w:hAnsi="Times New Roman"/>
          <w:sz w:val="24"/>
          <w:szCs w:val="24"/>
        </w:rPr>
        <w:t xml:space="preserve"> </w:t>
      </w:r>
      <w:r w:rsidRPr="00956F61">
        <w:rPr>
          <w:rFonts w:ascii="Times New Roman" w:hAnsi="Times New Roman"/>
          <w:sz w:val="24"/>
          <w:szCs w:val="24"/>
        </w:rPr>
        <w:t>issues preclude summary judgment in the City’s favor on the emergency response</w:t>
      </w:r>
      <w:r>
        <w:rPr>
          <w:rFonts w:ascii="Times New Roman" w:hAnsi="Times New Roman"/>
          <w:sz w:val="24"/>
          <w:szCs w:val="24"/>
        </w:rPr>
        <w:t xml:space="preserve"> </w:t>
      </w:r>
      <w:proofErr w:type="gramStart"/>
      <w:r w:rsidRPr="00956F61">
        <w:rPr>
          <w:rFonts w:ascii="Times New Roman" w:hAnsi="Times New Roman"/>
          <w:sz w:val="24"/>
          <w:szCs w:val="24"/>
        </w:rPr>
        <w:t>exception.</w:t>
      </w:r>
      <w:r>
        <w:rPr>
          <w:rFonts w:ascii="Times New Roman" w:hAnsi="Times New Roman"/>
          <w:sz w:val="24"/>
          <w:szCs w:val="24"/>
        </w:rPr>
        <w:t>”</w:t>
      </w:r>
      <w:proofErr w:type="gramEnd"/>
      <w:r>
        <w:rPr>
          <w:rFonts w:ascii="Times New Roman" w:hAnsi="Times New Roman"/>
          <w:sz w:val="24"/>
          <w:szCs w:val="24"/>
        </w:rPr>
        <w:t xml:space="preserve"> </w:t>
      </w:r>
      <w:hyperlink r:id="rId977" w:history="1">
        <w:r w:rsidRPr="0090149E">
          <w:rPr>
            <w:rStyle w:val="Hyperlink"/>
            <w:rFonts w:ascii="Times New Roman" w:hAnsi="Times New Roman"/>
            <w:sz w:val="24"/>
            <w:szCs w:val="24"/>
          </w:rPr>
          <w:t>https://cases.justia.com/texas/fourteenth-court-of-appeals/2024-14-23-00087-cv.pdf?ts=1709819934</w:t>
        </w:r>
      </w:hyperlink>
      <w:r>
        <w:rPr>
          <w:rFonts w:ascii="Times New Roman" w:hAnsi="Times New Roman"/>
          <w:sz w:val="24"/>
          <w:szCs w:val="24"/>
        </w:rPr>
        <w:t xml:space="preserve"> </w:t>
      </w:r>
    </w:p>
    <w:p w14:paraId="72E9B41D" w14:textId="77777777" w:rsidR="00FC33D2" w:rsidRDefault="00FC33D2" w:rsidP="00FC33D2">
      <w:pPr>
        <w:pStyle w:val="NoSpacing"/>
        <w:ind w:left="720"/>
        <w:rPr>
          <w:rFonts w:ascii="Times New Roman" w:hAnsi="Times New Roman"/>
          <w:sz w:val="24"/>
          <w:szCs w:val="24"/>
        </w:rPr>
      </w:pPr>
    </w:p>
    <w:p w14:paraId="0AAFB88C" w14:textId="77777777" w:rsidR="00FC33D2" w:rsidRPr="00497100" w:rsidRDefault="00FC33D2" w:rsidP="00FC33D2">
      <w:pPr>
        <w:pStyle w:val="NoSpacing"/>
        <w:rPr>
          <w:b/>
          <w:bCs/>
          <w:color w:val="454545"/>
        </w:rPr>
      </w:pPr>
      <w:r w:rsidRPr="00497100">
        <w:rPr>
          <w:rFonts w:ascii="Times New Roman" w:hAnsi="Times New Roman"/>
          <w:b/>
          <w:bCs/>
          <w:sz w:val="24"/>
          <w:szCs w:val="24"/>
        </w:rPr>
        <w:t>Legal Lesson Learned:</w:t>
      </w:r>
      <w:r>
        <w:rPr>
          <w:rFonts w:ascii="Times New Roman" w:hAnsi="Times New Roman"/>
          <w:b/>
          <w:bCs/>
          <w:sz w:val="24"/>
          <w:szCs w:val="24"/>
        </w:rPr>
        <w:t xml:space="preserve"> On emergency response, proceed with due care and slow down at red lights to confirm safe to proceed.</w:t>
      </w:r>
    </w:p>
    <w:p w14:paraId="124777A7" w14:textId="77777777" w:rsidR="00FC33D2" w:rsidRPr="00497100" w:rsidRDefault="00FC33D2" w:rsidP="00FC33D2">
      <w:pPr>
        <w:pStyle w:val="NormalWeb"/>
        <w:spacing w:before="0" w:beforeAutospacing="0"/>
        <w:rPr>
          <w:b/>
          <w:bCs/>
          <w:color w:val="454545"/>
          <w:shd w:val="clear" w:color="auto" w:fill="FFFFFF"/>
        </w:rPr>
      </w:pPr>
    </w:p>
    <w:p w14:paraId="1A14ED05" w14:textId="06597828" w:rsidR="00A35726" w:rsidRDefault="00A35726" w:rsidP="00EF1133">
      <w:pPr>
        <w:rPr>
          <w:rFonts w:ascii="Arial Black" w:hAnsi="Arial Black"/>
          <w:b/>
          <w:sz w:val="24"/>
          <w:szCs w:val="24"/>
        </w:rPr>
      </w:pPr>
      <w:r>
        <w:rPr>
          <w:rFonts w:ascii="Arial Black" w:hAnsi="Arial Black"/>
          <w:b/>
          <w:sz w:val="24"/>
          <w:szCs w:val="24"/>
        </w:rPr>
        <w:t>5-41</w:t>
      </w:r>
    </w:p>
    <w:p w14:paraId="278A6B46" w14:textId="40B9F893" w:rsidR="00AD7949" w:rsidRPr="00D166AA" w:rsidRDefault="00AD7949" w:rsidP="00AD7949">
      <w:pPr>
        <w:pStyle w:val="NoSpacing"/>
        <w:rPr>
          <w:rFonts w:ascii="Arial Black" w:hAnsi="Arial Black"/>
          <w:sz w:val="28"/>
          <w:szCs w:val="28"/>
        </w:rPr>
      </w:pPr>
      <w:r>
        <w:rPr>
          <w:rFonts w:ascii="Arial Black" w:hAnsi="Arial Black"/>
          <w:sz w:val="28"/>
          <w:szCs w:val="28"/>
        </w:rPr>
        <w:t>OK: AMBULANCE SPEEDING WITH PATIENT RUNS INTO TOLL</w:t>
      </w:r>
      <w:r w:rsidR="00EC68FC">
        <w:rPr>
          <w:rFonts w:ascii="Arial Black" w:hAnsi="Arial Black"/>
          <w:sz w:val="28"/>
          <w:szCs w:val="28"/>
        </w:rPr>
        <w:t xml:space="preserve"> </w:t>
      </w:r>
      <w:r>
        <w:rPr>
          <w:rFonts w:ascii="Arial Black" w:hAnsi="Arial Black"/>
          <w:sz w:val="28"/>
          <w:szCs w:val="28"/>
        </w:rPr>
        <w:t xml:space="preserve">BOOTH – </w:t>
      </w:r>
      <w:r w:rsidR="00FE158F">
        <w:rPr>
          <w:rFonts w:ascii="Arial Black" w:hAnsi="Arial Black"/>
          <w:sz w:val="28"/>
          <w:szCs w:val="28"/>
        </w:rPr>
        <w:t xml:space="preserve">IMMUNITY - </w:t>
      </w:r>
      <w:r w:rsidR="00D25072">
        <w:rPr>
          <w:rFonts w:ascii="Arial Black" w:hAnsi="Arial Black"/>
          <w:sz w:val="28"/>
          <w:szCs w:val="28"/>
        </w:rPr>
        <w:t xml:space="preserve">TOLL BOTH OPERATOR </w:t>
      </w:r>
      <w:r>
        <w:rPr>
          <w:rFonts w:ascii="Arial Black" w:hAnsi="Arial Black"/>
          <w:sz w:val="28"/>
          <w:szCs w:val="28"/>
        </w:rPr>
        <w:t>G</w:t>
      </w:r>
      <w:r w:rsidR="00CD2ECE">
        <w:rPr>
          <w:rFonts w:ascii="Arial Black" w:hAnsi="Arial Black"/>
          <w:sz w:val="28"/>
          <w:szCs w:val="28"/>
        </w:rPr>
        <w:t>E</w:t>
      </w:r>
      <w:r>
        <w:rPr>
          <w:rFonts w:ascii="Arial Black" w:hAnsi="Arial Black"/>
          <w:sz w:val="28"/>
          <w:szCs w:val="28"/>
        </w:rPr>
        <w:t>T</w:t>
      </w:r>
      <w:r w:rsidR="00CD2ECE">
        <w:rPr>
          <w:rFonts w:ascii="Arial Black" w:hAnsi="Arial Black"/>
          <w:sz w:val="28"/>
          <w:szCs w:val="28"/>
        </w:rPr>
        <w:t>S</w:t>
      </w:r>
      <w:r>
        <w:rPr>
          <w:rFonts w:ascii="Arial Black" w:hAnsi="Arial Black"/>
          <w:sz w:val="28"/>
          <w:szCs w:val="28"/>
        </w:rPr>
        <w:t xml:space="preserve"> WORKERS COMP </w:t>
      </w:r>
    </w:p>
    <w:p w14:paraId="04421C59" w14:textId="77777777" w:rsidR="00AD7949" w:rsidRDefault="00AD7949" w:rsidP="00AD7949">
      <w:pPr>
        <w:pStyle w:val="Heading1"/>
        <w:rPr>
          <w:b w:val="0"/>
          <w:bCs w:val="0"/>
          <w:sz w:val="24"/>
          <w:szCs w:val="24"/>
          <w:u w:val="single"/>
        </w:rPr>
      </w:pPr>
      <w:r w:rsidRPr="00C07EB0">
        <w:rPr>
          <w:b w:val="0"/>
          <w:bCs w:val="0"/>
          <w:sz w:val="24"/>
          <w:szCs w:val="24"/>
        </w:rPr>
        <w:t xml:space="preserve">On Feb. 13, 2024, in </w:t>
      </w:r>
      <w:r w:rsidRPr="00C344F2">
        <w:rPr>
          <w:b w:val="0"/>
          <w:bCs w:val="0"/>
          <w:sz w:val="24"/>
          <w:szCs w:val="24"/>
          <w:u w:val="single"/>
        </w:rPr>
        <w:t>Jackson County Emergency Medical Service District v. The Honorable Kory S. Kirkland, Judge of the District Court for Grady County, State of Oklahoma</w:t>
      </w:r>
      <w:r w:rsidRPr="00C344F2">
        <w:rPr>
          <w:b w:val="0"/>
          <w:bCs w:val="0"/>
          <w:sz w:val="24"/>
          <w:szCs w:val="24"/>
        </w:rPr>
        <w:t xml:space="preserve">, </w:t>
      </w:r>
      <w:r>
        <w:rPr>
          <w:b w:val="0"/>
          <w:bCs w:val="0"/>
          <w:sz w:val="24"/>
          <w:szCs w:val="24"/>
        </w:rPr>
        <w:t xml:space="preserve">the Supreme Court of Oklahoma held (9 t0 0) that trial court improperly denied the Medical District’s motion to dismiss; it is a governmental entity of Jackson County, and under Oklahoma law, when an injured person[Shannon Garst, the injured toll-both attendant] collected worker’s comp from her employer,  </w:t>
      </w:r>
      <w:r w:rsidRPr="00247832">
        <w:rPr>
          <w:b w:val="0"/>
          <w:bCs w:val="0"/>
          <w:sz w:val="24"/>
          <w:szCs w:val="24"/>
        </w:rPr>
        <w:t>American Staff Corporation</w:t>
      </w:r>
      <w:r>
        <w:rPr>
          <w:b w:val="0"/>
          <w:bCs w:val="0"/>
          <w:sz w:val="24"/>
          <w:szCs w:val="24"/>
        </w:rPr>
        <w:t xml:space="preserve">, she cannot sue government agency. </w:t>
      </w:r>
    </w:p>
    <w:p w14:paraId="7746337B" w14:textId="77777777" w:rsidR="00AD7949" w:rsidRDefault="00AD7949" w:rsidP="00AD7949">
      <w:pPr>
        <w:pStyle w:val="Heading1"/>
        <w:rPr>
          <w:b w:val="0"/>
          <w:bCs w:val="0"/>
          <w:sz w:val="24"/>
          <w:szCs w:val="24"/>
        </w:rPr>
      </w:pPr>
      <w:r>
        <w:rPr>
          <w:b w:val="0"/>
          <w:bCs w:val="0"/>
          <w:sz w:val="24"/>
          <w:szCs w:val="24"/>
        </w:rPr>
        <w:t xml:space="preserve">The Court held:  </w:t>
      </w:r>
    </w:p>
    <w:p w14:paraId="5B31FBE1" w14:textId="77777777" w:rsidR="00AD7949" w:rsidRPr="006D7B0A" w:rsidRDefault="00AD7949" w:rsidP="00AD7949">
      <w:pPr>
        <w:pStyle w:val="NoSpacing"/>
        <w:ind w:left="720"/>
        <w:rPr>
          <w:rFonts w:ascii="Times New Roman" w:hAnsi="Times New Roman"/>
          <w:sz w:val="24"/>
          <w:szCs w:val="24"/>
        </w:rPr>
      </w:pPr>
      <w:r w:rsidRPr="006D7B0A">
        <w:rPr>
          <w:rFonts w:ascii="Times New Roman" w:hAnsi="Times New Roman"/>
          <w:sz w:val="24"/>
          <w:szCs w:val="24"/>
        </w:rPr>
        <w:t xml:space="preserve">“After an ambulance collided with a turnpike tollbooth, the injured toll-worker filed a lawsuit against the ambulance driver and her employer, the Jackson County Emergency Medical Services District. The medical district sought to dismiss the lawsuit. It argued that it was entitled to governmental immunity, and that the Governmental Tort Claims Act, 51 O.S. 2021 §155(14) applied to prohibit recovery because the toll-worker had recovered workers compensation benefits. The trial court denied the dismissal. The medical district filed an </w:t>
      </w:r>
      <w:proofErr w:type="gramStart"/>
      <w:r w:rsidRPr="006D7B0A">
        <w:rPr>
          <w:rFonts w:ascii="Times New Roman" w:hAnsi="Times New Roman"/>
          <w:sz w:val="24"/>
          <w:szCs w:val="24"/>
        </w:rPr>
        <w:t>Application</w:t>
      </w:r>
      <w:proofErr w:type="gramEnd"/>
      <w:r w:rsidRPr="006D7B0A">
        <w:rPr>
          <w:rFonts w:ascii="Times New Roman" w:hAnsi="Times New Roman"/>
          <w:sz w:val="24"/>
          <w:szCs w:val="24"/>
        </w:rPr>
        <w:t xml:space="preserve"> to Assume Original Jurisdiction and Petition for Writ of Prohibition in this Court to prevent the trial court from proceeding further. We assume original jurisdiction and grant the writ of prohibition by opinion. We hold that: 1) pursuant to the Okla. Const. art. 10, §9C, although the medical district is a unique entity, it is subject to lawsuits through its board of trustees to the same extent as any Oklahoma municipality or county; and 2) the Governmental Tort Claims Act, 51 O.S. 2021, §155(14) et seq., is applicable to preclude recovery.</w:t>
      </w:r>
      <w:r>
        <w:rPr>
          <w:rFonts w:ascii="Times New Roman" w:hAnsi="Times New Roman"/>
          <w:sz w:val="24"/>
          <w:szCs w:val="24"/>
        </w:rPr>
        <w:t xml:space="preserve">” </w:t>
      </w:r>
      <w:hyperlink r:id="rId978" w:history="1">
        <w:r w:rsidRPr="006D7B0A">
          <w:rPr>
            <w:rStyle w:val="Hyperlink"/>
            <w:rFonts w:ascii="Times New Roman" w:hAnsi="Times New Roman"/>
            <w:sz w:val="24"/>
            <w:szCs w:val="24"/>
          </w:rPr>
          <w:t>https://law.justia.com/cases/oklahoma/supreme-court/2024/121510.html</w:t>
        </w:r>
      </w:hyperlink>
      <w:r w:rsidRPr="006D7B0A">
        <w:rPr>
          <w:rFonts w:ascii="Times New Roman" w:hAnsi="Times New Roman"/>
          <w:sz w:val="24"/>
          <w:szCs w:val="24"/>
        </w:rPr>
        <w:t xml:space="preserve"> </w:t>
      </w:r>
    </w:p>
    <w:p w14:paraId="2798CCDE" w14:textId="77777777" w:rsidR="00AD7949" w:rsidRDefault="00AD7949" w:rsidP="00AD7949">
      <w:pPr>
        <w:pStyle w:val="NoSpacing"/>
        <w:rPr>
          <w:rFonts w:ascii="Times New Roman" w:hAnsi="Times New Roman"/>
          <w:sz w:val="24"/>
          <w:szCs w:val="24"/>
        </w:rPr>
      </w:pPr>
    </w:p>
    <w:p w14:paraId="2BF82A3B" w14:textId="77777777" w:rsidR="00AD7949" w:rsidRDefault="00AD7949" w:rsidP="00AD7949">
      <w:pPr>
        <w:pStyle w:val="NoSpacing"/>
      </w:pPr>
    </w:p>
    <w:p w14:paraId="50F06CEF" w14:textId="77777777" w:rsidR="00AD7949" w:rsidRPr="006D7B0A" w:rsidRDefault="00AD7949" w:rsidP="00AD7949">
      <w:pPr>
        <w:pStyle w:val="NormalWeb"/>
        <w:rPr>
          <w:b/>
          <w:bCs/>
        </w:rPr>
      </w:pPr>
      <w:r w:rsidRPr="006D7B0A">
        <w:rPr>
          <w:b/>
          <w:bCs/>
        </w:rPr>
        <w:t>Legal Lesson Learned:</w:t>
      </w:r>
      <w:r>
        <w:rPr>
          <w:b/>
          <w:bCs/>
        </w:rPr>
        <w:t xml:space="preserve"> Pay attention when operating an emergency vehicle, including when passing through a tollbooth; fortunate to have government immunity when injured persons </w:t>
      </w:r>
      <w:proofErr w:type="gramStart"/>
      <w:r>
        <w:rPr>
          <w:b/>
          <w:bCs/>
        </w:rPr>
        <w:t>receives</w:t>
      </w:r>
      <w:proofErr w:type="gramEnd"/>
      <w:r>
        <w:rPr>
          <w:b/>
          <w:bCs/>
        </w:rPr>
        <w:t xml:space="preserve"> workers compensation. </w:t>
      </w:r>
    </w:p>
    <w:p w14:paraId="365A48DF" w14:textId="77777777" w:rsidR="00A35726" w:rsidRDefault="00A35726" w:rsidP="00EF1133">
      <w:pPr>
        <w:rPr>
          <w:rFonts w:ascii="Arial Black" w:hAnsi="Arial Black"/>
          <w:b/>
          <w:sz w:val="24"/>
          <w:szCs w:val="24"/>
        </w:rPr>
      </w:pPr>
    </w:p>
    <w:p w14:paraId="304E3595" w14:textId="77777777" w:rsidR="00A35726" w:rsidRDefault="00A35726" w:rsidP="00EF1133">
      <w:pPr>
        <w:rPr>
          <w:rFonts w:ascii="Arial Black" w:hAnsi="Arial Black"/>
          <w:b/>
          <w:sz w:val="24"/>
          <w:szCs w:val="24"/>
        </w:rPr>
      </w:pPr>
    </w:p>
    <w:p w14:paraId="2E7FF696" w14:textId="2FD598A8" w:rsidR="00AF2973" w:rsidRDefault="00AF2973" w:rsidP="00EF1133">
      <w:pPr>
        <w:rPr>
          <w:rFonts w:ascii="Arial Black" w:hAnsi="Arial Black"/>
          <w:b/>
          <w:sz w:val="24"/>
          <w:szCs w:val="24"/>
        </w:rPr>
      </w:pPr>
      <w:r>
        <w:rPr>
          <w:rFonts w:ascii="Arial Black" w:hAnsi="Arial Black"/>
          <w:b/>
          <w:sz w:val="24"/>
          <w:szCs w:val="24"/>
        </w:rPr>
        <w:t>5-40</w:t>
      </w:r>
    </w:p>
    <w:p w14:paraId="5E231F2C" w14:textId="77777777" w:rsidR="001C5889" w:rsidRPr="00960419" w:rsidRDefault="001C5889" w:rsidP="001C5889">
      <w:pPr>
        <w:pStyle w:val="NormalWeb"/>
        <w:rPr>
          <w:rFonts w:ascii="Arial Black" w:hAnsi="Arial Black"/>
          <w:sz w:val="28"/>
          <w:szCs w:val="28"/>
        </w:rPr>
      </w:pPr>
      <w:r>
        <w:rPr>
          <w:rFonts w:ascii="Arial Black" w:hAnsi="Arial Black"/>
          <w:sz w:val="28"/>
          <w:szCs w:val="28"/>
        </w:rPr>
        <w:t>MO: PD OFFICER RESPONDING TO VEHICLE CHASE – 87 MPH, STOP SIGN - CRASH– RECKLESS - OFFICIAL IMMUNITY</w:t>
      </w:r>
    </w:p>
    <w:p w14:paraId="046FB9FF" w14:textId="77777777" w:rsidR="001C5889" w:rsidRDefault="001C5889" w:rsidP="001C5889">
      <w:pPr>
        <w:pStyle w:val="NormalWeb"/>
      </w:pPr>
      <w:r>
        <w:t xml:space="preserve">On Jan. 30, 2024, in </w:t>
      </w:r>
      <w:r w:rsidRPr="00AA2F98">
        <w:rPr>
          <w:u w:val="single"/>
        </w:rPr>
        <w:t>John Carlton v. Brandon Means</w:t>
      </w:r>
      <w:r>
        <w:t xml:space="preserve">, the Court of Appeals of Missouri, Eastern Division (Second Division) holds (3 to 0) that while the officer may have been reckless, he enjoys official immunity under Missouri law since there was no “malice” (improper or wrongful motive) on his part. </w:t>
      </w:r>
    </w:p>
    <w:p w14:paraId="4D3F2B66" w14:textId="77777777" w:rsidR="001C5889" w:rsidRDefault="001C5889" w:rsidP="001C5889">
      <w:pPr>
        <w:pStyle w:val="NormalWeb"/>
        <w:ind w:left="720"/>
      </w:pPr>
      <w:r>
        <w:t xml:space="preserve">“Carlton suggests he can show the requisite intent because Officer Means's conduct was </w:t>
      </w:r>
      <w:r>
        <w:rPr>
          <w:rStyle w:val="Emphasis"/>
        </w:rPr>
        <w:t>so</w:t>
      </w:r>
      <w:r>
        <w:t xml:space="preserve"> reckless and was </w:t>
      </w:r>
      <w:r>
        <w:rPr>
          <w:rStyle w:val="Emphasis"/>
        </w:rPr>
        <w:t>so</w:t>
      </w:r>
      <w:r>
        <w:t xml:space="preserve"> willfully in disregard of another's rights that a trier of fact could infer he had an improper or wrongful motive. No Missouri cases have found malice based on an inference of intent drawn solely from the recklessness of an officer's conduct in responding to an emergency. </w:t>
      </w:r>
      <w:r>
        <w:rPr>
          <w:rStyle w:val="Emphasis"/>
        </w:rPr>
        <w:t>Throneberry</w:t>
      </w:r>
      <w:r>
        <w:t xml:space="preserve"> and </w:t>
      </w:r>
      <w:r>
        <w:rPr>
          <w:rStyle w:val="Emphasis"/>
        </w:rPr>
        <w:t>Moore</w:t>
      </w:r>
      <w:r>
        <w:t xml:space="preserve">, however, noted the </w:t>
      </w:r>
      <w:r>
        <w:rPr>
          <w:rStyle w:val="Emphasis"/>
        </w:rPr>
        <w:t>lack</w:t>
      </w:r>
      <w:r>
        <w:t xml:space="preserve"> of </w:t>
      </w:r>
      <w:proofErr w:type="gramStart"/>
      <w:r>
        <w:t>any facts</w:t>
      </w:r>
      <w:proofErr w:type="gramEnd"/>
      <w:r>
        <w:t xml:space="preserve"> giving rise to such an inference, which suggests the possibility that such an inference could be drawn in appropriate circumstances.  But no such inference can be drawn from the facts or opinions in this case, even when viewed in the light most favorable to Carlton. In the context of responding to this emergency, Officer Means's act of driving over the speed limit and past a stop sign-even if reckless-did not show an intent to injure anyone, only an intent to get to the officer in need as quickly as possible.” </w:t>
      </w:r>
      <w:hyperlink r:id="rId979" w:history="1">
        <w:r w:rsidRPr="00D10854">
          <w:rPr>
            <w:rStyle w:val="Hyperlink"/>
          </w:rPr>
          <w:t>https://www.courts.mo.gov/file.jsp?id=205075</w:t>
        </w:r>
      </w:hyperlink>
      <w:r>
        <w:t xml:space="preserve"> </w:t>
      </w:r>
    </w:p>
    <w:p w14:paraId="3643BB04" w14:textId="77777777" w:rsidR="00D73F92" w:rsidRPr="00175FBA" w:rsidRDefault="00D73F92" w:rsidP="00D73F92">
      <w:pPr>
        <w:pStyle w:val="NormalWeb"/>
        <w:rPr>
          <w:b/>
          <w:bCs/>
        </w:rPr>
      </w:pPr>
      <w:r w:rsidRPr="00175FBA">
        <w:rPr>
          <w:b/>
          <w:bCs/>
        </w:rPr>
        <w:t>Legal Lesson Learned</w:t>
      </w:r>
      <w:r>
        <w:rPr>
          <w:b/>
          <w:bCs/>
        </w:rPr>
        <w:t xml:space="preserve">: This officer, and his </w:t>
      </w:r>
      <w:proofErr w:type="gramStart"/>
      <w:r>
        <w:rPr>
          <w:b/>
          <w:bCs/>
        </w:rPr>
        <w:t>City</w:t>
      </w:r>
      <w:proofErr w:type="gramEnd"/>
      <w:r>
        <w:rPr>
          <w:b/>
          <w:bCs/>
        </w:rPr>
        <w:t xml:space="preserve">, were very fortunate to escape liability for this reckless conduct. </w:t>
      </w:r>
    </w:p>
    <w:p w14:paraId="24E6E62C" w14:textId="77777777" w:rsidR="00AF2973" w:rsidRDefault="00AF2973" w:rsidP="00EF1133">
      <w:pPr>
        <w:rPr>
          <w:rFonts w:ascii="Arial Black" w:hAnsi="Arial Black"/>
          <w:b/>
          <w:sz w:val="24"/>
          <w:szCs w:val="24"/>
        </w:rPr>
      </w:pPr>
    </w:p>
    <w:p w14:paraId="77AD4061" w14:textId="068B3117" w:rsidR="00BB49C5" w:rsidRDefault="00E118E6" w:rsidP="00EF1133">
      <w:pPr>
        <w:rPr>
          <w:rFonts w:ascii="Arial Black" w:hAnsi="Arial Black"/>
          <w:b/>
          <w:sz w:val="24"/>
          <w:szCs w:val="24"/>
        </w:rPr>
      </w:pPr>
      <w:r>
        <w:rPr>
          <w:rFonts w:ascii="Arial Black" w:hAnsi="Arial Black"/>
          <w:b/>
          <w:sz w:val="24"/>
          <w:szCs w:val="24"/>
        </w:rPr>
        <w:t>5-39</w:t>
      </w:r>
    </w:p>
    <w:p w14:paraId="6893F751" w14:textId="77777777" w:rsidR="00E118E6" w:rsidRDefault="00E118E6" w:rsidP="00E118E6">
      <w:pPr>
        <w:pStyle w:val="Heading1"/>
        <w:rPr>
          <w:rFonts w:ascii="Arial Black" w:hAnsi="Arial Black"/>
          <w:b w:val="0"/>
          <w:bCs w:val="0"/>
          <w:sz w:val="28"/>
          <w:szCs w:val="28"/>
        </w:rPr>
      </w:pPr>
      <w:r>
        <w:rPr>
          <w:rFonts w:ascii="Arial Black" w:hAnsi="Arial Black"/>
          <w:sz w:val="28"/>
          <w:szCs w:val="28"/>
        </w:rPr>
        <w:t xml:space="preserve">TX: PD &amp; EMS REPORTS GAVE CITY ADEQUATE “NOTICE” PD AT FAULT INJURED MOTORIST – LAWSUIT PROCEEED </w:t>
      </w:r>
    </w:p>
    <w:p w14:paraId="0F83DB56" w14:textId="77777777" w:rsidR="00E118E6" w:rsidRPr="00556010" w:rsidRDefault="00E118E6" w:rsidP="00E118E6">
      <w:pPr>
        <w:pStyle w:val="NoSpacing"/>
        <w:rPr>
          <w:rFonts w:ascii="Times New Roman" w:hAnsi="Times New Roman"/>
          <w:sz w:val="24"/>
          <w:szCs w:val="24"/>
        </w:rPr>
      </w:pPr>
      <w:r w:rsidRPr="00556010">
        <w:rPr>
          <w:rFonts w:ascii="Times New Roman" w:hAnsi="Times New Roman"/>
          <w:sz w:val="24"/>
          <w:szCs w:val="24"/>
        </w:rPr>
        <w:t xml:space="preserve">On Dec. 28, 2023, in </w:t>
      </w:r>
      <w:r w:rsidRPr="00556010">
        <w:rPr>
          <w:rFonts w:ascii="Times New Roman" w:hAnsi="Times New Roman"/>
          <w:sz w:val="24"/>
          <w:szCs w:val="24"/>
          <w:u w:val="single"/>
        </w:rPr>
        <w:t>City of Houston v. Marvis Huff</w:t>
      </w:r>
      <w:r w:rsidRPr="00556010">
        <w:rPr>
          <w:rFonts w:ascii="Times New Roman" w:hAnsi="Times New Roman"/>
          <w:sz w:val="24"/>
          <w:szCs w:val="24"/>
        </w:rPr>
        <w:t>, the Court of Appeals of Texas, First District, held (3 to 0) that trial court judge properly denied the City’s motion for summary judgment; the personal injury lawsuit may proceed even if injured party didn’t give City formal notice of his claim within 90 days (was 60 days late). “Officer Rangel concluded in the crash report that Officer Miller improperly</w:t>
      </w:r>
      <w:r>
        <w:rPr>
          <w:rFonts w:ascii="Times New Roman" w:hAnsi="Times New Roman"/>
          <w:sz w:val="24"/>
          <w:szCs w:val="24"/>
        </w:rPr>
        <w:t xml:space="preserve"> </w:t>
      </w:r>
      <w:r w:rsidRPr="00556010">
        <w:rPr>
          <w:rFonts w:ascii="Times New Roman" w:hAnsi="Times New Roman"/>
          <w:sz w:val="24"/>
          <w:szCs w:val="24"/>
        </w:rPr>
        <w:t xml:space="preserve">turned from the wrong lane and that this improper turn was the sole contributing factor to the accident. The report does not assign any fault to Huff or to any other party—other than Miller. Thus, the report in this case does more than just imply Miller’s </w:t>
      </w:r>
      <w:proofErr w:type="gramStart"/>
      <w:r w:rsidRPr="00556010">
        <w:rPr>
          <w:rFonts w:ascii="Times New Roman" w:hAnsi="Times New Roman"/>
          <w:sz w:val="24"/>
          <w:szCs w:val="24"/>
        </w:rPr>
        <w:t>fault—</w:t>
      </w:r>
      <w:proofErr w:type="gramEnd"/>
      <w:r w:rsidRPr="00556010">
        <w:rPr>
          <w:rFonts w:ascii="Times New Roman" w:hAnsi="Times New Roman"/>
          <w:sz w:val="24"/>
          <w:szCs w:val="24"/>
        </w:rPr>
        <w:t xml:space="preserve">it expressly assigns fault to him. An incident that triggers an investigation and accident report will impute actual notice where there is evidence to connect the accident to an action or omission by the governmental unit such that it should have known of its potential </w:t>
      </w:r>
      <w:proofErr w:type="gramStart"/>
      <w:r w:rsidRPr="00556010">
        <w:rPr>
          <w:rFonts w:ascii="Times New Roman" w:hAnsi="Times New Roman"/>
          <w:sz w:val="24"/>
          <w:szCs w:val="24"/>
        </w:rPr>
        <w:t>culpability.”</w:t>
      </w:r>
      <w:proofErr w:type="gramEnd"/>
      <w:r w:rsidRPr="00556010">
        <w:rPr>
          <w:rFonts w:ascii="Times New Roman" w:hAnsi="Times New Roman"/>
          <w:sz w:val="24"/>
          <w:szCs w:val="24"/>
        </w:rPr>
        <w:t xml:space="preserve"> </w:t>
      </w:r>
      <w:hyperlink r:id="rId980" w:history="1">
        <w:r w:rsidRPr="00556010">
          <w:rPr>
            <w:rStyle w:val="Hyperlink"/>
            <w:rFonts w:ascii="Times New Roman" w:hAnsi="Times New Roman"/>
            <w:sz w:val="24"/>
            <w:szCs w:val="24"/>
          </w:rPr>
          <w:t>https://cases.justia.com/texas/first-court-of-appeals/2023-01-22-00496-cv.pdf?ts=1703769793</w:t>
        </w:r>
      </w:hyperlink>
      <w:r w:rsidRPr="00556010">
        <w:rPr>
          <w:rFonts w:ascii="Times New Roman" w:hAnsi="Times New Roman"/>
          <w:sz w:val="24"/>
          <w:szCs w:val="24"/>
        </w:rPr>
        <w:t xml:space="preserve"> </w:t>
      </w:r>
    </w:p>
    <w:p w14:paraId="080B7229" w14:textId="77777777" w:rsidR="00AB682E" w:rsidRPr="00496608" w:rsidRDefault="00AB682E" w:rsidP="00AB682E">
      <w:pPr>
        <w:pStyle w:val="NormalWeb"/>
        <w:rPr>
          <w:b/>
          <w:bCs/>
        </w:rPr>
      </w:pPr>
      <w:r w:rsidRPr="00496608">
        <w:rPr>
          <w:b/>
          <w:bCs/>
        </w:rPr>
        <w:t>Legal Lesson Learned:</w:t>
      </w:r>
      <w:r>
        <w:rPr>
          <w:b/>
          <w:bCs/>
        </w:rPr>
        <w:t xml:space="preserve"> City ordinance requiring 90- day notice can be set aside when PD and EMS reports confirmed injury. </w:t>
      </w:r>
    </w:p>
    <w:p w14:paraId="0E839265" w14:textId="77777777" w:rsidR="00E118E6" w:rsidRDefault="00E118E6" w:rsidP="00EF1133">
      <w:pPr>
        <w:rPr>
          <w:rFonts w:ascii="Arial Black" w:hAnsi="Arial Black"/>
          <w:b/>
          <w:sz w:val="24"/>
          <w:szCs w:val="24"/>
        </w:rPr>
      </w:pPr>
    </w:p>
    <w:p w14:paraId="5C1C0CD6" w14:textId="46DAA9A1" w:rsidR="007B5BD2" w:rsidRDefault="007B5BD2" w:rsidP="00EF1133">
      <w:pPr>
        <w:rPr>
          <w:rFonts w:ascii="Arial Black" w:hAnsi="Arial Black"/>
          <w:b/>
          <w:sz w:val="24"/>
          <w:szCs w:val="24"/>
        </w:rPr>
      </w:pPr>
      <w:r>
        <w:rPr>
          <w:rFonts w:ascii="Arial Black" w:hAnsi="Arial Black"/>
          <w:b/>
          <w:sz w:val="24"/>
          <w:szCs w:val="24"/>
        </w:rPr>
        <w:lastRenderedPageBreak/>
        <w:t>5-3</w:t>
      </w:r>
      <w:r w:rsidR="00964D1B">
        <w:rPr>
          <w:rFonts w:ascii="Arial Black" w:hAnsi="Arial Black"/>
          <w:b/>
          <w:sz w:val="24"/>
          <w:szCs w:val="24"/>
        </w:rPr>
        <w:t>8</w:t>
      </w:r>
    </w:p>
    <w:p w14:paraId="4D7D017C" w14:textId="6E9EE2A8" w:rsidR="007B5BD2" w:rsidRPr="004F3E23" w:rsidRDefault="007B5BD2" w:rsidP="007B5BD2">
      <w:pPr>
        <w:pStyle w:val="NoSpacing"/>
        <w:rPr>
          <w:rFonts w:ascii="Arial Black" w:hAnsi="Arial Black"/>
          <w:b/>
          <w:sz w:val="28"/>
          <w:szCs w:val="28"/>
        </w:rPr>
      </w:pPr>
      <w:r>
        <w:rPr>
          <w:rFonts w:ascii="Arial Black" w:hAnsi="Arial Black"/>
          <w:b/>
          <w:sz w:val="28"/>
          <w:szCs w:val="28"/>
        </w:rPr>
        <w:t>OH: AMBULANCE TURNING LEFT NON-EMER. TRANSPORT -</w:t>
      </w:r>
      <w:r w:rsidR="00107D14">
        <w:rPr>
          <w:rFonts w:ascii="Arial Black" w:hAnsi="Arial Black"/>
          <w:b/>
          <w:sz w:val="28"/>
          <w:szCs w:val="28"/>
        </w:rPr>
        <w:t xml:space="preserve"> </w:t>
      </w:r>
      <w:r>
        <w:rPr>
          <w:rFonts w:ascii="Arial Black" w:hAnsi="Arial Black"/>
          <w:b/>
          <w:sz w:val="28"/>
          <w:szCs w:val="28"/>
        </w:rPr>
        <w:t>RUNS OVER FOOT PEDESTRIAN – LAWSUIT REINSTATED</w:t>
      </w:r>
    </w:p>
    <w:p w14:paraId="4FAED434" w14:textId="77777777" w:rsidR="007B5BD2" w:rsidRDefault="007B5BD2" w:rsidP="007B5BD2">
      <w:pPr>
        <w:pStyle w:val="NoSpacing"/>
        <w:rPr>
          <w:rFonts w:ascii="Times New Roman" w:hAnsi="Times New Roman"/>
          <w:b/>
          <w:sz w:val="24"/>
          <w:szCs w:val="24"/>
        </w:rPr>
      </w:pPr>
    </w:p>
    <w:p w14:paraId="010FA6C9" w14:textId="77777777" w:rsidR="007B5BD2" w:rsidRDefault="007B5BD2" w:rsidP="007B5BD2">
      <w:pPr>
        <w:pStyle w:val="NoSpacing"/>
        <w:rPr>
          <w:rFonts w:ascii="Times New Roman" w:hAnsi="Times New Roman"/>
          <w:bCs/>
          <w:sz w:val="24"/>
          <w:szCs w:val="24"/>
        </w:rPr>
      </w:pPr>
      <w:r>
        <w:rPr>
          <w:rFonts w:ascii="Times New Roman" w:hAnsi="Times New Roman"/>
          <w:bCs/>
          <w:sz w:val="24"/>
          <w:szCs w:val="24"/>
        </w:rPr>
        <w:t xml:space="preserve">On Nov. 22, 2023, in </w:t>
      </w:r>
      <w:r w:rsidRPr="00283F31">
        <w:rPr>
          <w:rFonts w:ascii="Times New Roman" w:hAnsi="Times New Roman"/>
          <w:bCs/>
          <w:sz w:val="24"/>
          <w:szCs w:val="24"/>
          <w:u w:val="single"/>
        </w:rPr>
        <w:t>Kiranmai Parker v. City of Cleveland, et al</w:t>
      </w:r>
      <w:r>
        <w:rPr>
          <w:rFonts w:ascii="Times New Roman" w:hAnsi="Times New Roman"/>
          <w:bCs/>
          <w:sz w:val="24"/>
          <w:szCs w:val="24"/>
        </w:rPr>
        <w:t xml:space="preserve">., the Ohio Court of Appeals for Eighth Appellate District (Cuyahoga County) held (3 to 0) that the trial court improperly dismissed the lawsuit.  The ambulance driver, Ms. </w:t>
      </w:r>
      <w:r w:rsidRPr="001A0714">
        <w:rPr>
          <w:rFonts w:ascii="Times New Roman" w:hAnsi="Times New Roman"/>
          <w:bCs/>
          <w:sz w:val="24"/>
          <w:szCs w:val="24"/>
        </w:rPr>
        <w:t>Sampson-Hall</w:t>
      </w:r>
      <w:r>
        <w:rPr>
          <w:rFonts w:ascii="Times New Roman" w:hAnsi="Times New Roman"/>
          <w:bCs/>
          <w:sz w:val="24"/>
          <w:szCs w:val="24"/>
        </w:rPr>
        <w:t xml:space="preserve">, and her partner were transporting a minor injury patient to hospital and was turning left in an intersection. The pedestrian had a “walk” sign when the </w:t>
      </w:r>
      <w:r w:rsidRPr="00B02E61">
        <w:rPr>
          <w:rFonts w:ascii="Times New Roman" w:hAnsi="Times New Roman"/>
          <w:bCs/>
          <w:sz w:val="24"/>
          <w:szCs w:val="24"/>
        </w:rPr>
        <w:t>vehicle’s front left tire crushed Pakeer’s right foot, causing</w:t>
      </w:r>
      <w:r>
        <w:rPr>
          <w:rFonts w:ascii="Times New Roman" w:hAnsi="Times New Roman"/>
          <w:bCs/>
          <w:sz w:val="24"/>
          <w:szCs w:val="24"/>
        </w:rPr>
        <w:t xml:space="preserve"> </w:t>
      </w:r>
      <w:r w:rsidRPr="00B02E61">
        <w:rPr>
          <w:rFonts w:ascii="Times New Roman" w:hAnsi="Times New Roman"/>
          <w:bCs/>
          <w:sz w:val="24"/>
          <w:szCs w:val="24"/>
        </w:rPr>
        <w:t>several fractures leading to the amputation of her big toe.</w:t>
      </w:r>
      <w:r>
        <w:rPr>
          <w:rFonts w:ascii="Times New Roman" w:hAnsi="Times New Roman"/>
          <w:bCs/>
          <w:sz w:val="24"/>
          <w:szCs w:val="24"/>
        </w:rPr>
        <w:t xml:space="preserve">  </w:t>
      </w:r>
      <w:hyperlink r:id="rId981" w:history="1">
        <w:r w:rsidRPr="00821889">
          <w:rPr>
            <w:rStyle w:val="Hyperlink"/>
            <w:rFonts w:ascii="Times New Roman" w:hAnsi="Times New Roman"/>
            <w:bCs/>
            <w:sz w:val="24"/>
            <w:szCs w:val="24"/>
          </w:rPr>
          <w:t>https://www.supremecourt.ohio.gov/rod/docs/pdf/8/2023/2023-Ohio-4213.pdf</w:t>
        </w:r>
      </w:hyperlink>
      <w:r>
        <w:rPr>
          <w:rFonts w:ascii="Times New Roman" w:hAnsi="Times New Roman"/>
          <w:bCs/>
          <w:sz w:val="24"/>
          <w:szCs w:val="24"/>
        </w:rPr>
        <w:t xml:space="preserve"> </w:t>
      </w:r>
    </w:p>
    <w:p w14:paraId="507E22F8" w14:textId="77777777" w:rsidR="007B5BD2" w:rsidRDefault="007B5BD2" w:rsidP="007B5BD2">
      <w:pPr>
        <w:pStyle w:val="NoSpacing"/>
        <w:rPr>
          <w:rFonts w:ascii="Times New Roman" w:hAnsi="Times New Roman"/>
          <w:bCs/>
          <w:sz w:val="24"/>
          <w:szCs w:val="24"/>
        </w:rPr>
      </w:pPr>
    </w:p>
    <w:p w14:paraId="1210558C" w14:textId="77777777" w:rsidR="007B5BD2" w:rsidRDefault="007B5BD2" w:rsidP="007B5BD2">
      <w:pPr>
        <w:pStyle w:val="NoSpacing"/>
        <w:rPr>
          <w:rFonts w:ascii="Times New Roman" w:hAnsi="Times New Roman"/>
          <w:bCs/>
          <w:sz w:val="24"/>
          <w:szCs w:val="24"/>
        </w:rPr>
      </w:pPr>
      <w:r>
        <w:rPr>
          <w:rFonts w:ascii="Times New Roman" w:hAnsi="Times New Roman"/>
          <w:bCs/>
          <w:sz w:val="24"/>
          <w:szCs w:val="24"/>
        </w:rPr>
        <w:t xml:space="preserve">The Court wrote: </w:t>
      </w:r>
    </w:p>
    <w:p w14:paraId="17AE8573" w14:textId="77777777" w:rsidR="007B5BD2" w:rsidRDefault="007B5BD2" w:rsidP="007B5BD2">
      <w:pPr>
        <w:pStyle w:val="NoSpacing"/>
        <w:rPr>
          <w:rFonts w:ascii="Times New Roman" w:hAnsi="Times New Roman"/>
          <w:bCs/>
          <w:sz w:val="24"/>
          <w:szCs w:val="24"/>
        </w:rPr>
      </w:pPr>
    </w:p>
    <w:p w14:paraId="1D4238FD" w14:textId="77777777" w:rsidR="007B5BD2" w:rsidRDefault="007B5BD2" w:rsidP="007B5BD2">
      <w:pPr>
        <w:pStyle w:val="NoSpacing"/>
        <w:ind w:left="720"/>
        <w:rPr>
          <w:rFonts w:ascii="Times New Roman" w:hAnsi="Times New Roman"/>
          <w:bCs/>
          <w:sz w:val="24"/>
          <w:szCs w:val="24"/>
        </w:rPr>
      </w:pPr>
      <w:r>
        <w:rPr>
          <w:rFonts w:ascii="Times New Roman" w:hAnsi="Times New Roman"/>
          <w:bCs/>
          <w:sz w:val="24"/>
          <w:szCs w:val="24"/>
        </w:rPr>
        <w:t xml:space="preserve">“She </w:t>
      </w:r>
      <w:r w:rsidRPr="0081318D">
        <w:rPr>
          <w:rFonts w:ascii="Times New Roman" w:hAnsi="Times New Roman"/>
          <w:bCs/>
          <w:sz w:val="24"/>
          <w:szCs w:val="24"/>
        </w:rPr>
        <w:t xml:space="preserve">claims to have slowed but kept moving in one continuous motion, and despite the five-second delay between the pedestrian light and the yellow arrow on Chester Avenue, Sampson-Hall still collided with Pakeer. Thus, there is an issue of fact as to the timing of the traffic lights as they relate to Sampson-Hall’s travel. The pedestrian’s </w:t>
      </w:r>
      <w:r>
        <w:rPr>
          <w:rFonts w:ascii="Times New Roman" w:hAnsi="Times New Roman"/>
          <w:bCs/>
          <w:sz w:val="24"/>
          <w:szCs w:val="24"/>
        </w:rPr>
        <w:t>‘</w:t>
      </w:r>
      <w:r w:rsidRPr="0081318D">
        <w:rPr>
          <w:rFonts w:ascii="Times New Roman" w:hAnsi="Times New Roman"/>
          <w:bCs/>
          <w:sz w:val="24"/>
          <w:szCs w:val="24"/>
        </w:rPr>
        <w:t>walk</w:t>
      </w:r>
      <w:r>
        <w:rPr>
          <w:rFonts w:ascii="Times New Roman" w:hAnsi="Times New Roman"/>
          <w:bCs/>
          <w:sz w:val="24"/>
          <w:szCs w:val="24"/>
        </w:rPr>
        <w:t>’</w:t>
      </w:r>
      <w:r w:rsidRPr="0081318D">
        <w:rPr>
          <w:rFonts w:ascii="Times New Roman" w:hAnsi="Times New Roman"/>
          <w:bCs/>
          <w:sz w:val="24"/>
          <w:szCs w:val="24"/>
        </w:rPr>
        <w:t xml:space="preserve"> signal illuminates five seconds after the Chester Avenue traffic control light for turning traffic illuminates the yellow arrow. The collision undisputedly occurred after the “walk” signal illuminated and Pakeer took one or two steps into the intersection (meaning additional time passed after the walk signal was illuminated). There is enough evidence, construing the disputed evidence in Pakeer’s favor, demonstrating that she possessed the </w:t>
      </w:r>
      <w:proofErr w:type="gramStart"/>
      <w:r w:rsidRPr="0081318D">
        <w:rPr>
          <w:rFonts w:ascii="Times New Roman" w:hAnsi="Times New Roman"/>
          <w:bCs/>
          <w:sz w:val="24"/>
          <w:szCs w:val="24"/>
        </w:rPr>
        <w:t>right of</w:t>
      </w:r>
      <w:proofErr w:type="gramEnd"/>
      <w:r w:rsidRPr="0081318D">
        <w:rPr>
          <w:rFonts w:ascii="Times New Roman" w:hAnsi="Times New Roman"/>
          <w:bCs/>
          <w:sz w:val="24"/>
          <w:szCs w:val="24"/>
        </w:rPr>
        <w:t xml:space="preserve"> way to cross the street.</w:t>
      </w:r>
      <w:r>
        <w:rPr>
          <w:rFonts w:ascii="Times New Roman" w:hAnsi="Times New Roman"/>
          <w:bCs/>
          <w:sz w:val="24"/>
          <w:szCs w:val="24"/>
        </w:rPr>
        <w:t xml:space="preserve"> </w:t>
      </w:r>
      <w:r w:rsidRPr="00912610">
        <w:rPr>
          <w:rFonts w:ascii="Times New Roman" w:hAnsi="Times New Roman"/>
          <w:bCs/>
          <w:sz w:val="24"/>
          <w:szCs w:val="24"/>
        </w:rPr>
        <w:t>*** At the least, the City has not demonstrated the absence of genuine issues of material fact with respect to whether Sampson-Hall’s operation of the vehicle constituted wanton misconduct for the purposes of R.C. 2744.02(B)(1)(c). That question is one for the jury to decide based on whose version of events is deemed more credible.”</w:t>
      </w:r>
      <w:r w:rsidRPr="007428B7">
        <w:t xml:space="preserve"> </w:t>
      </w:r>
      <w:hyperlink r:id="rId982" w:history="1">
        <w:r w:rsidRPr="00821889">
          <w:rPr>
            <w:rStyle w:val="Hyperlink"/>
            <w:rFonts w:ascii="Times New Roman" w:hAnsi="Times New Roman"/>
            <w:bCs/>
            <w:sz w:val="24"/>
            <w:szCs w:val="24"/>
          </w:rPr>
          <w:t>https://www.supremecourt.ohio.gov/rod/docs/pdf/8/2023/2023-Ohio-4213.pdf</w:t>
        </w:r>
      </w:hyperlink>
      <w:r>
        <w:rPr>
          <w:rFonts w:ascii="Times New Roman" w:hAnsi="Times New Roman"/>
          <w:bCs/>
          <w:sz w:val="24"/>
          <w:szCs w:val="24"/>
        </w:rPr>
        <w:t xml:space="preserve"> </w:t>
      </w:r>
    </w:p>
    <w:p w14:paraId="1090FBD5" w14:textId="77777777" w:rsidR="007B5BD2" w:rsidRDefault="007B5BD2" w:rsidP="007B5BD2">
      <w:pPr>
        <w:pStyle w:val="NoSpacing"/>
        <w:rPr>
          <w:rFonts w:ascii="Times New Roman" w:hAnsi="Times New Roman"/>
          <w:bCs/>
          <w:sz w:val="24"/>
          <w:szCs w:val="24"/>
        </w:rPr>
      </w:pPr>
    </w:p>
    <w:p w14:paraId="2519DD84" w14:textId="77777777" w:rsidR="007B5BD2" w:rsidRDefault="007B5BD2" w:rsidP="007B5BD2">
      <w:pPr>
        <w:pStyle w:val="NoSpacing"/>
        <w:rPr>
          <w:rFonts w:ascii="Times New Roman" w:hAnsi="Times New Roman"/>
          <w:b/>
          <w:sz w:val="24"/>
          <w:szCs w:val="24"/>
        </w:rPr>
      </w:pPr>
      <w:r w:rsidRPr="007428B7">
        <w:rPr>
          <w:rFonts w:ascii="Times New Roman" w:hAnsi="Times New Roman"/>
          <w:b/>
          <w:sz w:val="24"/>
          <w:szCs w:val="24"/>
        </w:rPr>
        <w:t xml:space="preserve">Legal Lesson Learned: </w:t>
      </w:r>
      <w:r>
        <w:rPr>
          <w:rFonts w:ascii="Times New Roman" w:hAnsi="Times New Roman"/>
          <w:b/>
          <w:sz w:val="24"/>
          <w:szCs w:val="24"/>
        </w:rPr>
        <w:t>Jury will now decide if EMS driver conduct was “wanton misconduct.”</w:t>
      </w:r>
    </w:p>
    <w:p w14:paraId="269F6F49" w14:textId="77777777" w:rsidR="007B5BD2" w:rsidRDefault="007B5BD2" w:rsidP="00EF1133">
      <w:pPr>
        <w:rPr>
          <w:rFonts w:ascii="Arial Black" w:hAnsi="Arial Black"/>
          <w:b/>
          <w:sz w:val="24"/>
          <w:szCs w:val="24"/>
        </w:rPr>
      </w:pPr>
    </w:p>
    <w:p w14:paraId="23069079" w14:textId="5CFF4C79" w:rsidR="007B5BD2" w:rsidRDefault="007B5BD2" w:rsidP="00EF1133">
      <w:pPr>
        <w:rPr>
          <w:rFonts w:ascii="Arial Black" w:hAnsi="Arial Black"/>
          <w:b/>
          <w:sz w:val="24"/>
          <w:szCs w:val="24"/>
        </w:rPr>
      </w:pPr>
      <w:r>
        <w:rPr>
          <w:rFonts w:ascii="Arial Black" w:hAnsi="Arial Black"/>
          <w:b/>
          <w:sz w:val="24"/>
          <w:szCs w:val="24"/>
        </w:rPr>
        <w:t>5-3</w:t>
      </w:r>
      <w:r w:rsidR="00964D1B">
        <w:rPr>
          <w:rFonts w:ascii="Arial Black" w:hAnsi="Arial Black"/>
          <w:b/>
          <w:sz w:val="24"/>
          <w:szCs w:val="24"/>
        </w:rPr>
        <w:t>7</w:t>
      </w:r>
    </w:p>
    <w:p w14:paraId="10C981B7" w14:textId="77777777" w:rsidR="009A03D1" w:rsidRDefault="009A03D1" w:rsidP="009A03D1">
      <w:pPr>
        <w:pStyle w:val="NoSpacing"/>
        <w:rPr>
          <w:rFonts w:ascii="Arial Black" w:hAnsi="Arial Black"/>
          <w:b/>
          <w:sz w:val="28"/>
          <w:szCs w:val="28"/>
        </w:rPr>
      </w:pPr>
      <w:r>
        <w:rPr>
          <w:rFonts w:ascii="Arial Black" w:hAnsi="Arial Black"/>
          <w:b/>
          <w:sz w:val="28"/>
          <w:szCs w:val="28"/>
        </w:rPr>
        <w:t>MI: MOTORIST KILLED – PULLED LEFT INTO ENGINE GOING AGAINST TRAFFIC – 44 MPH / 35 MPH ZONE, CASE PROCEED</w:t>
      </w:r>
    </w:p>
    <w:p w14:paraId="1D821323" w14:textId="77777777" w:rsidR="009A03D1" w:rsidRDefault="009A03D1" w:rsidP="009A03D1">
      <w:pPr>
        <w:pStyle w:val="NoSpacing"/>
        <w:rPr>
          <w:rFonts w:ascii="Times New Roman" w:hAnsi="Times New Roman"/>
          <w:bCs/>
          <w:sz w:val="24"/>
          <w:szCs w:val="24"/>
        </w:rPr>
      </w:pPr>
    </w:p>
    <w:p w14:paraId="2224EE66" w14:textId="77777777" w:rsidR="009A03D1" w:rsidRDefault="009A03D1" w:rsidP="009A03D1">
      <w:pPr>
        <w:pStyle w:val="NoSpacing"/>
        <w:rPr>
          <w:rFonts w:ascii="Times New Roman" w:hAnsi="Times New Roman"/>
          <w:bCs/>
          <w:sz w:val="24"/>
          <w:szCs w:val="24"/>
        </w:rPr>
      </w:pPr>
      <w:r>
        <w:rPr>
          <w:rFonts w:ascii="Times New Roman" w:hAnsi="Times New Roman"/>
          <w:bCs/>
          <w:sz w:val="24"/>
          <w:szCs w:val="24"/>
        </w:rPr>
        <w:t xml:space="preserve">On Nov. 21, 2023, in </w:t>
      </w:r>
      <w:r w:rsidRPr="00DA24D6">
        <w:rPr>
          <w:rFonts w:ascii="Times New Roman" w:hAnsi="Times New Roman"/>
          <w:bCs/>
          <w:sz w:val="24"/>
          <w:szCs w:val="24"/>
          <w:u w:val="single"/>
        </w:rPr>
        <w:t>Harold T. Sullivan, Personal Representative of the Estate of India D. Sullivan v. Brett Matthew Stiles and the City of Detroit</w:t>
      </w:r>
      <w:r>
        <w:rPr>
          <w:rFonts w:ascii="Times New Roman" w:hAnsi="Times New Roman"/>
          <w:bCs/>
          <w:sz w:val="24"/>
          <w:szCs w:val="24"/>
        </w:rPr>
        <w:t xml:space="preserve">, the Michigan Court of Appeals held (3 to 0) that trial court improperly dismissed the lawsuit. On a run for a structure fire, because of heavy traffic the first responding engine went into the oncoming lane.  FAO Brett Stiles, driving the second engine a few seconds behind the first, was going about 44 mph in a </w:t>
      </w:r>
      <w:proofErr w:type="gramStart"/>
      <w:r>
        <w:rPr>
          <w:rFonts w:ascii="Times New Roman" w:hAnsi="Times New Roman"/>
          <w:bCs/>
          <w:sz w:val="24"/>
          <w:szCs w:val="24"/>
        </w:rPr>
        <w:t>35 mph</w:t>
      </w:r>
      <w:proofErr w:type="gramEnd"/>
      <w:r>
        <w:rPr>
          <w:rFonts w:ascii="Times New Roman" w:hAnsi="Times New Roman"/>
          <w:bCs/>
          <w:sz w:val="24"/>
          <w:szCs w:val="24"/>
        </w:rPr>
        <w:t xml:space="preserve"> area, also went into the oncoming lane.  The deceased had her left turn signal on and turned left into the second engine. </w:t>
      </w:r>
      <w:hyperlink r:id="rId983" w:history="1">
        <w:r w:rsidRPr="00553FEF">
          <w:rPr>
            <w:rStyle w:val="Hyperlink"/>
            <w:rFonts w:ascii="Times New Roman" w:hAnsi="Times New Roman"/>
            <w:bCs/>
            <w:sz w:val="24"/>
            <w:szCs w:val="24"/>
          </w:rPr>
          <w:t>https://cases.justia.com/michigan/court-of-appeals-unpublished/2023-361624.pdf?ts=1700661618</w:t>
        </w:r>
      </w:hyperlink>
    </w:p>
    <w:p w14:paraId="7F0F03E6" w14:textId="77777777" w:rsidR="007B5BD2" w:rsidRDefault="007B5BD2" w:rsidP="00EF1133">
      <w:pPr>
        <w:rPr>
          <w:rFonts w:ascii="Arial Black" w:hAnsi="Arial Black"/>
          <w:b/>
          <w:sz w:val="24"/>
          <w:szCs w:val="24"/>
        </w:rPr>
      </w:pPr>
    </w:p>
    <w:p w14:paraId="5C1998F8" w14:textId="77777777" w:rsidR="0079584F" w:rsidRPr="00532965" w:rsidRDefault="0079584F" w:rsidP="0079584F">
      <w:pPr>
        <w:pStyle w:val="NoSpacing"/>
        <w:rPr>
          <w:rFonts w:ascii="Times New Roman" w:hAnsi="Times New Roman"/>
          <w:b/>
          <w:sz w:val="24"/>
          <w:szCs w:val="24"/>
        </w:rPr>
      </w:pPr>
      <w:r w:rsidRPr="00532965">
        <w:rPr>
          <w:rFonts w:ascii="Times New Roman" w:hAnsi="Times New Roman"/>
          <w:b/>
          <w:sz w:val="24"/>
          <w:szCs w:val="24"/>
        </w:rPr>
        <w:t xml:space="preserve">Legal Lesson Learned:  </w:t>
      </w:r>
      <w:r>
        <w:rPr>
          <w:rFonts w:ascii="Times New Roman" w:hAnsi="Times New Roman"/>
          <w:b/>
          <w:sz w:val="24"/>
          <w:szCs w:val="24"/>
        </w:rPr>
        <w:t xml:space="preserve">Fire &amp; EMS Departments should have an SOG requiring very reduced speed when traveling in a lane against oncoming traffic. </w:t>
      </w:r>
    </w:p>
    <w:p w14:paraId="0FEEED7D" w14:textId="77777777" w:rsidR="0079584F" w:rsidRDefault="0079584F" w:rsidP="00EF1133">
      <w:pPr>
        <w:rPr>
          <w:rFonts w:ascii="Arial Black" w:hAnsi="Arial Black"/>
          <w:b/>
          <w:sz w:val="24"/>
          <w:szCs w:val="24"/>
        </w:rPr>
      </w:pPr>
    </w:p>
    <w:p w14:paraId="5188441E" w14:textId="79506DCB" w:rsidR="0079584F" w:rsidRDefault="0079584F" w:rsidP="00EF1133">
      <w:pPr>
        <w:rPr>
          <w:rFonts w:ascii="Arial Black" w:hAnsi="Arial Black"/>
          <w:b/>
          <w:sz w:val="24"/>
          <w:szCs w:val="24"/>
        </w:rPr>
      </w:pPr>
      <w:r>
        <w:rPr>
          <w:rFonts w:ascii="Arial Black" w:hAnsi="Arial Black"/>
          <w:b/>
          <w:sz w:val="24"/>
          <w:szCs w:val="24"/>
        </w:rPr>
        <w:t>5-3</w:t>
      </w:r>
      <w:r w:rsidR="00964D1B">
        <w:rPr>
          <w:rFonts w:ascii="Arial Black" w:hAnsi="Arial Black"/>
          <w:b/>
          <w:sz w:val="24"/>
          <w:szCs w:val="24"/>
        </w:rPr>
        <w:t>6</w:t>
      </w:r>
    </w:p>
    <w:p w14:paraId="1CFF973A" w14:textId="77777777" w:rsidR="00D753A8" w:rsidRDefault="00D753A8" w:rsidP="00D753A8">
      <w:pPr>
        <w:pStyle w:val="NoSpacing"/>
        <w:rPr>
          <w:rFonts w:ascii="Arial Black" w:hAnsi="Arial Black"/>
          <w:sz w:val="28"/>
          <w:szCs w:val="28"/>
        </w:rPr>
      </w:pPr>
      <w:r>
        <w:rPr>
          <w:rFonts w:ascii="Arial Black" w:hAnsi="Arial Black"/>
          <w:sz w:val="28"/>
          <w:szCs w:val="28"/>
        </w:rPr>
        <w:lastRenderedPageBreak/>
        <w:t xml:space="preserve">OH: MUTUAL AID – WATER TENDER FROM WV – BACKING, KILLED TWO CIVILIAN - NO BACKING ALARM, NO BACKER </w:t>
      </w:r>
    </w:p>
    <w:p w14:paraId="14593E93" w14:textId="77777777" w:rsidR="00D753A8" w:rsidRDefault="00D753A8" w:rsidP="00D753A8">
      <w:pPr>
        <w:pStyle w:val="NoSpacing"/>
        <w:rPr>
          <w:rFonts w:ascii="Arial Black" w:hAnsi="Arial Black"/>
          <w:sz w:val="28"/>
          <w:szCs w:val="28"/>
        </w:rPr>
      </w:pPr>
    </w:p>
    <w:p w14:paraId="3EC25136" w14:textId="77777777" w:rsidR="00D753A8" w:rsidRDefault="00D753A8" w:rsidP="00D753A8">
      <w:pPr>
        <w:pStyle w:val="NoSpacing"/>
        <w:rPr>
          <w:rFonts w:ascii="Times New Roman" w:hAnsi="Times New Roman"/>
          <w:sz w:val="24"/>
          <w:szCs w:val="24"/>
        </w:rPr>
      </w:pPr>
      <w:r>
        <w:rPr>
          <w:rFonts w:ascii="Times New Roman" w:hAnsi="Times New Roman"/>
          <w:sz w:val="24"/>
          <w:szCs w:val="24"/>
        </w:rPr>
        <w:t xml:space="preserve">On Nov. 14, 2023, in </w:t>
      </w:r>
      <w:r w:rsidRPr="00EC19D2">
        <w:rPr>
          <w:rFonts w:ascii="Times New Roman" w:hAnsi="Times New Roman"/>
          <w:sz w:val="24"/>
          <w:szCs w:val="24"/>
          <w:u w:val="single"/>
        </w:rPr>
        <w:t>Craig W. Wakefield, as the Personal Representative and Administrator of the Estate of William A. Reed, Jr. and Karolyn Reed v. Williamstown Volunteer Fire Company, et al</w:t>
      </w:r>
      <w:r w:rsidRPr="00EC19D2">
        <w:rPr>
          <w:rFonts w:ascii="Times New Roman" w:hAnsi="Times New Roman"/>
          <w:sz w:val="24"/>
          <w:szCs w:val="24"/>
        </w:rPr>
        <w:t xml:space="preserve">., </w:t>
      </w:r>
      <w:r>
        <w:rPr>
          <w:rFonts w:ascii="Times New Roman" w:hAnsi="Times New Roman"/>
          <w:sz w:val="24"/>
          <w:szCs w:val="24"/>
        </w:rPr>
        <w:t xml:space="preserve">Chief U.S. District Court Judge Algenon L. Marbley, U.S. District Court for Southern District of Ohio (Cincinnati), held that defense motion for summary judgment is denied and case will proceed with pre-trial discovery. </w:t>
      </w:r>
      <w:hyperlink r:id="rId984" w:history="1">
        <w:r w:rsidRPr="006F62A4">
          <w:rPr>
            <w:rStyle w:val="Hyperlink"/>
            <w:rFonts w:ascii="Times New Roman" w:hAnsi="Times New Roman"/>
            <w:sz w:val="24"/>
            <w:szCs w:val="24"/>
          </w:rPr>
          <w:t>https://casetext.com/case/wakefield-v-williamstown-volunteer-fire-co</w:t>
        </w:r>
      </w:hyperlink>
      <w:r>
        <w:rPr>
          <w:rFonts w:ascii="Times New Roman" w:hAnsi="Times New Roman"/>
          <w:sz w:val="24"/>
          <w:szCs w:val="24"/>
        </w:rPr>
        <w:t xml:space="preserve"> </w:t>
      </w:r>
    </w:p>
    <w:p w14:paraId="3FB26D38" w14:textId="77777777" w:rsidR="00D753A8" w:rsidRDefault="00D753A8" w:rsidP="00D753A8">
      <w:pPr>
        <w:pStyle w:val="NoSpacing"/>
        <w:rPr>
          <w:rFonts w:ascii="Times New Roman" w:hAnsi="Times New Roman"/>
          <w:sz w:val="24"/>
          <w:szCs w:val="24"/>
        </w:rPr>
      </w:pPr>
    </w:p>
    <w:p w14:paraId="3B14C6B3" w14:textId="77777777" w:rsidR="00D753A8" w:rsidRDefault="00D753A8" w:rsidP="00D753A8">
      <w:pPr>
        <w:pStyle w:val="NoSpacing"/>
        <w:rPr>
          <w:rFonts w:ascii="Times New Roman" w:hAnsi="Times New Roman"/>
          <w:sz w:val="24"/>
          <w:szCs w:val="24"/>
        </w:rPr>
      </w:pPr>
    </w:p>
    <w:p w14:paraId="4B1F9147" w14:textId="77777777" w:rsidR="00964D1B" w:rsidRPr="000760A1" w:rsidRDefault="00964D1B" w:rsidP="00964D1B">
      <w:pPr>
        <w:pStyle w:val="NoSpacing"/>
        <w:rPr>
          <w:rFonts w:ascii="Times New Roman" w:hAnsi="Times New Roman"/>
          <w:b/>
          <w:bCs/>
          <w:sz w:val="24"/>
          <w:szCs w:val="24"/>
        </w:rPr>
      </w:pPr>
      <w:r w:rsidRPr="000760A1">
        <w:rPr>
          <w:rFonts w:ascii="Times New Roman" w:hAnsi="Times New Roman"/>
          <w:b/>
          <w:bCs/>
          <w:sz w:val="24"/>
          <w:szCs w:val="24"/>
        </w:rPr>
        <w:t>Legal Lesson Learned:</w:t>
      </w:r>
      <w:r>
        <w:rPr>
          <w:rFonts w:ascii="Times New Roman" w:hAnsi="Times New Roman"/>
          <w:b/>
          <w:bCs/>
          <w:sz w:val="24"/>
          <w:szCs w:val="24"/>
        </w:rPr>
        <w:t xml:space="preserve">  When backing an emergency vehicle, have a backer; tankers  should have a backing alarm; keep mutual aid agreement current. </w:t>
      </w:r>
    </w:p>
    <w:p w14:paraId="15151C40" w14:textId="77777777" w:rsidR="00964D1B" w:rsidRDefault="00964D1B" w:rsidP="00964D1B">
      <w:pPr>
        <w:pStyle w:val="Heading1"/>
        <w:ind w:left="720"/>
        <w:rPr>
          <w:b w:val="0"/>
          <w:bCs w:val="0"/>
          <w:sz w:val="24"/>
          <w:szCs w:val="24"/>
        </w:rPr>
      </w:pPr>
      <w:r w:rsidRPr="00315F60">
        <w:rPr>
          <w:b w:val="0"/>
          <w:bCs w:val="0"/>
          <w:sz w:val="24"/>
          <w:szCs w:val="24"/>
        </w:rPr>
        <w:t xml:space="preserve">Note: See Ohio Administrative Code: Rule 4123:1-3-06 </w:t>
      </w:r>
      <w:r w:rsidRPr="00315F60">
        <w:rPr>
          <w:rStyle w:val="codes-separator"/>
          <w:rFonts w:eastAsiaTheme="majorEastAsia"/>
          <w:b w:val="0"/>
          <w:bCs w:val="0"/>
          <w:sz w:val="24"/>
          <w:szCs w:val="24"/>
        </w:rPr>
        <w:t>|</w:t>
      </w:r>
      <w:r w:rsidRPr="00315F60">
        <w:rPr>
          <w:b w:val="0"/>
          <w:bCs w:val="0"/>
          <w:sz w:val="24"/>
          <w:szCs w:val="24"/>
        </w:rPr>
        <w:t xml:space="preserve"> Motor vehicles, mechanized equipment and marine operations. </w:t>
      </w:r>
      <w:hyperlink r:id="rId985" w:history="1">
        <w:r w:rsidRPr="00315F60">
          <w:rPr>
            <w:rStyle w:val="Hyperlink"/>
            <w:b w:val="0"/>
            <w:bCs w:val="0"/>
            <w:sz w:val="24"/>
            <w:szCs w:val="24"/>
          </w:rPr>
          <w:t>https://codes.ohio.gov/ohio-administrative-code/rule-4123:1-3-06</w:t>
        </w:r>
      </w:hyperlink>
      <w:r w:rsidRPr="00315F60">
        <w:rPr>
          <w:b w:val="0"/>
          <w:bCs w:val="0"/>
          <w:sz w:val="24"/>
          <w:szCs w:val="24"/>
        </w:rPr>
        <w:t xml:space="preserve"> </w:t>
      </w:r>
    </w:p>
    <w:p w14:paraId="65E9735A" w14:textId="77777777" w:rsidR="00964D1B" w:rsidRDefault="00964D1B" w:rsidP="00964D1B">
      <w:pPr>
        <w:pStyle w:val="first-paragraph"/>
        <w:ind w:firstLine="720"/>
      </w:pPr>
      <w:r>
        <w:t>(D) Motor vehicles.</w:t>
      </w:r>
    </w:p>
    <w:p w14:paraId="47FB3510" w14:textId="77777777" w:rsidR="00964D1B" w:rsidRDefault="00964D1B" w:rsidP="00964D1B">
      <w:pPr>
        <w:pStyle w:val="first-paragraph"/>
        <w:ind w:left="720"/>
      </w:pPr>
      <w:r>
        <w:t>(1) All trucks shall be equipped with an audible warning device, in an operable condition, at the operator's station.</w:t>
      </w:r>
    </w:p>
    <w:p w14:paraId="0B2F79D6" w14:textId="77777777" w:rsidR="00964D1B" w:rsidRDefault="00964D1B" w:rsidP="00964D1B">
      <w:pPr>
        <w:pStyle w:val="first-paragraph"/>
        <w:ind w:firstLine="720"/>
      </w:pPr>
      <w:r>
        <w:t>(2) On mobile equipment having an obstructed view to the rear, the employer shall:</w:t>
      </w:r>
    </w:p>
    <w:p w14:paraId="3761C41C" w14:textId="77777777" w:rsidR="00964D1B" w:rsidRDefault="00964D1B" w:rsidP="00964D1B">
      <w:pPr>
        <w:pStyle w:val="first-paragraph"/>
        <w:ind w:firstLine="720"/>
      </w:pPr>
      <w:r>
        <w:t>(a) Provide a reverse signal alarm audible above the surrounding noise, or</w:t>
      </w:r>
    </w:p>
    <w:p w14:paraId="3CAD36F2" w14:textId="77777777" w:rsidR="00964D1B" w:rsidRDefault="00964D1B" w:rsidP="00964D1B">
      <w:pPr>
        <w:pStyle w:val="first-paragraph"/>
        <w:ind w:firstLine="720"/>
      </w:pPr>
      <w:r>
        <w:t>(b) Provide an observer to signal the assured clear distance.</w:t>
      </w:r>
    </w:p>
    <w:p w14:paraId="497D40C2" w14:textId="77777777" w:rsidR="0079584F" w:rsidRDefault="0079584F" w:rsidP="00EF1133">
      <w:pPr>
        <w:rPr>
          <w:rFonts w:ascii="Arial Black" w:hAnsi="Arial Black"/>
          <w:b/>
          <w:sz w:val="24"/>
          <w:szCs w:val="24"/>
        </w:rPr>
      </w:pPr>
    </w:p>
    <w:p w14:paraId="1B2955ED" w14:textId="0808348A" w:rsidR="00964D1B" w:rsidRDefault="00964D1B" w:rsidP="00EF1133">
      <w:pPr>
        <w:rPr>
          <w:rFonts w:ascii="Arial Black" w:hAnsi="Arial Black"/>
          <w:b/>
          <w:sz w:val="24"/>
          <w:szCs w:val="24"/>
        </w:rPr>
      </w:pPr>
      <w:r>
        <w:rPr>
          <w:rFonts w:ascii="Arial Black" w:hAnsi="Arial Black"/>
          <w:b/>
          <w:sz w:val="24"/>
          <w:szCs w:val="24"/>
        </w:rPr>
        <w:t>5-35</w:t>
      </w:r>
    </w:p>
    <w:p w14:paraId="50AFD306" w14:textId="77777777" w:rsidR="00C61041" w:rsidRPr="007C21B5" w:rsidRDefault="00C61041" w:rsidP="00C61041">
      <w:pPr>
        <w:rPr>
          <w:rFonts w:ascii="Arial Black" w:hAnsi="Arial Black"/>
          <w:b/>
          <w:bCs/>
          <w:sz w:val="28"/>
          <w:szCs w:val="28"/>
        </w:rPr>
      </w:pPr>
      <w:r>
        <w:rPr>
          <w:rFonts w:ascii="Arial Black" w:hAnsi="Arial Black"/>
          <w:b/>
          <w:bCs/>
          <w:sz w:val="28"/>
          <w:szCs w:val="28"/>
        </w:rPr>
        <w:t xml:space="preserve">TX: HOUSTON ROCKETS NBA PLAYER DRIVING FD HIGH-WATER VEHICLE - 3-DAY SUSPENSION – NO REHEARING </w:t>
      </w:r>
    </w:p>
    <w:p w14:paraId="043F7C01" w14:textId="77777777" w:rsidR="00C61041" w:rsidRDefault="00C61041" w:rsidP="00C61041">
      <w:pPr>
        <w:rPr>
          <w:rFonts w:ascii="Times New Roman" w:hAnsi="Times New Roman"/>
          <w:sz w:val="24"/>
          <w:szCs w:val="24"/>
        </w:rPr>
      </w:pPr>
      <w:r>
        <w:rPr>
          <w:rFonts w:ascii="Times New Roman" w:hAnsi="Times New Roman"/>
          <w:sz w:val="24"/>
          <w:szCs w:val="24"/>
        </w:rPr>
        <w:t xml:space="preserve">On Nov. 7, 2023, in </w:t>
      </w:r>
      <w:r w:rsidRPr="00D636AD">
        <w:rPr>
          <w:rFonts w:ascii="Times New Roman" w:hAnsi="Times New Roman"/>
          <w:sz w:val="24"/>
          <w:szCs w:val="24"/>
          <w:u w:val="single"/>
        </w:rPr>
        <w:t>City of Houston v. Steven M. Dubar</w:t>
      </w:r>
      <w:r>
        <w:rPr>
          <w:rFonts w:ascii="Times New Roman" w:hAnsi="Times New Roman"/>
          <w:sz w:val="24"/>
          <w:szCs w:val="24"/>
        </w:rPr>
        <w:t xml:space="preserve">, the Texas Fourteenth Court of Appeals denied the motion for rehearing (2 to 1) by District Chief Steven Dunbar, who received a three-day suspension for not submitting an official report about Houston Rockets personnel on board the FD’s High-Water Vehicle with a Rockets player driving the vehicle with lights and sirens activated. Dissenting Justice </w:t>
      </w:r>
      <w:r w:rsidRPr="008C7BAB">
        <w:rPr>
          <w:rFonts w:ascii="Times New Roman" w:hAnsi="Times New Roman"/>
          <w:sz w:val="24"/>
          <w:szCs w:val="24"/>
        </w:rPr>
        <w:t>Jerry Zimmerer</w:t>
      </w:r>
      <w:r>
        <w:rPr>
          <w:rFonts w:ascii="Times New Roman" w:hAnsi="Times New Roman"/>
          <w:sz w:val="24"/>
          <w:szCs w:val="24"/>
        </w:rPr>
        <w:t xml:space="preserve"> again wrote that he would give Chief Dubar another hearing. </w:t>
      </w:r>
      <w:hyperlink r:id="rId986" w:history="1">
        <w:r w:rsidRPr="007522CE">
          <w:rPr>
            <w:rStyle w:val="Hyperlink"/>
            <w:rFonts w:ascii="Times New Roman" w:hAnsi="Times New Roman"/>
            <w:sz w:val="24"/>
            <w:szCs w:val="24"/>
          </w:rPr>
          <w:t>https://search.txcourts.gov/SearchMedia.aspx?MediaVersionID=ce66bb80-60c8-4a68-9e10-0d461411b53e&amp;coa=coa14&amp;DT=Opinion&amp;MediaID=4a32394c-a506-4577-9679-e2747d0b06c4</w:t>
        </w:r>
      </w:hyperlink>
      <w:r w:rsidRPr="007522CE">
        <w:rPr>
          <w:rFonts w:ascii="Times New Roman" w:hAnsi="Times New Roman"/>
          <w:sz w:val="24"/>
          <w:szCs w:val="24"/>
        </w:rPr>
        <w:t xml:space="preserve"> </w:t>
      </w:r>
    </w:p>
    <w:p w14:paraId="3B6E0CBF" w14:textId="77777777" w:rsidR="000516E6" w:rsidRDefault="000516E6" w:rsidP="000516E6">
      <w:pPr>
        <w:rPr>
          <w:rFonts w:ascii="Times New Roman" w:hAnsi="Times New Roman"/>
          <w:b/>
          <w:bCs/>
          <w:sz w:val="24"/>
          <w:szCs w:val="24"/>
        </w:rPr>
      </w:pPr>
      <w:r w:rsidRPr="00A33895">
        <w:rPr>
          <w:rFonts w:ascii="Times New Roman" w:hAnsi="Times New Roman"/>
          <w:b/>
          <w:bCs/>
          <w:sz w:val="24"/>
          <w:szCs w:val="24"/>
        </w:rPr>
        <w:t>Legal Lesson Learned:</w:t>
      </w:r>
      <w:r>
        <w:rPr>
          <w:rFonts w:ascii="Times New Roman" w:hAnsi="Times New Roman"/>
          <w:b/>
          <w:bCs/>
          <w:sz w:val="24"/>
          <w:szCs w:val="24"/>
        </w:rPr>
        <w:t xml:space="preserve"> When sports team members or other civilians are on fire apparatus, </w:t>
      </w:r>
      <w:proofErr w:type="gramStart"/>
      <w:r>
        <w:rPr>
          <w:rFonts w:ascii="Times New Roman" w:hAnsi="Times New Roman"/>
          <w:b/>
          <w:bCs/>
          <w:sz w:val="24"/>
          <w:szCs w:val="24"/>
        </w:rPr>
        <w:t>a FD</w:t>
      </w:r>
      <w:proofErr w:type="gramEnd"/>
      <w:r>
        <w:rPr>
          <w:rFonts w:ascii="Times New Roman" w:hAnsi="Times New Roman"/>
          <w:b/>
          <w:bCs/>
          <w:sz w:val="24"/>
          <w:szCs w:val="24"/>
        </w:rPr>
        <w:t xml:space="preserve"> member must always be in control of the vehicle. </w:t>
      </w:r>
    </w:p>
    <w:p w14:paraId="3420281E" w14:textId="77777777" w:rsidR="00C61041" w:rsidRDefault="00C61041" w:rsidP="00EF1133">
      <w:pPr>
        <w:rPr>
          <w:rFonts w:ascii="Arial Black" w:hAnsi="Arial Black"/>
          <w:b/>
          <w:sz w:val="24"/>
          <w:szCs w:val="24"/>
        </w:rPr>
      </w:pPr>
    </w:p>
    <w:p w14:paraId="52295C33" w14:textId="77777777" w:rsidR="007B5BD2" w:rsidRDefault="007B5BD2" w:rsidP="00EF1133">
      <w:pPr>
        <w:rPr>
          <w:rFonts w:ascii="Arial Black" w:hAnsi="Arial Black"/>
          <w:b/>
          <w:sz w:val="24"/>
          <w:szCs w:val="24"/>
        </w:rPr>
      </w:pPr>
    </w:p>
    <w:p w14:paraId="27E45B02" w14:textId="4DE12A87" w:rsidR="00BB49C5" w:rsidRDefault="00BB49C5" w:rsidP="00EF1133">
      <w:pPr>
        <w:rPr>
          <w:rFonts w:ascii="Arial Black" w:hAnsi="Arial Black"/>
          <w:b/>
          <w:sz w:val="24"/>
          <w:szCs w:val="24"/>
        </w:rPr>
      </w:pPr>
      <w:r>
        <w:rPr>
          <w:rFonts w:ascii="Arial Black" w:hAnsi="Arial Black"/>
          <w:b/>
          <w:sz w:val="24"/>
          <w:szCs w:val="24"/>
        </w:rPr>
        <w:lastRenderedPageBreak/>
        <w:t>5-3</w:t>
      </w:r>
      <w:r w:rsidR="00A65FD8">
        <w:rPr>
          <w:rFonts w:ascii="Arial Black" w:hAnsi="Arial Black"/>
          <w:b/>
          <w:sz w:val="24"/>
          <w:szCs w:val="24"/>
        </w:rPr>
        <w:t>4</w:t>
      </w:r>
    </w:p>
    <w:p w14:paraId="565594C0" w14:textId="77777777" w:rsidR="00BB49C5" w:rsidRPr="006B2512" w:rsidRDefault="00BB49C5" w:rsidP="00BB49C5">
      <w:pPr>
        <w:pStyle w:val="NormalWeb"/>
        <w:rPr>
          <w:rFonts w:ascii="Arial Black" w:hAnsi="Arial Black"/>
          <w:b/>
          <w:bCs/>
          <w:sz w:val="28"/>
          <w:szCs w:val="28"/>
        </w:rPr>
      </w:pPr>
      <w:r>
        <w:rPr>
          <w:rFonts w:ascii="Arial Black" w:hAnsi="Arial Black"/>
          <w:b/>
          <w:bCs/>
          <w:sz w:val="28"/>
          <w:szCs w:val="28"/>
        </w:rPr>
        <w:t>NJ: FIRE TRUCK SHIFTED INTO GEAR DURING TRAINING – DRIVERLESS TRUCK STRUCK BUILDING – INJURED PERSON</w:t>
      </w:r>
    </w:p>
    <w:p w14:paraId="2C387B58" w14:textId="77777777" w:rsidR="00BB49C5" w:rsidRDefault="00BB49C5" w:rsidP="00BB49C5">
      <w:pPr>
        <w:pStyle w:val="NormalWeb"/>
      </w:pPr>
      <w:r>
        <w:t xml:space="preserve">On Oct. 27, 2023, in </w:t>
      </w:r>
      <w:r w:rsidRPr="0089423C">
        <w:rPr>
          <w:u w:val="single"/>
        </w:rPr>
        <w:t xml:space="preserve">Berta Abreu Flores v. North Hudson Regional Fire </w:t>
      </w:r>
      <w:proofErr w:type="gramStart"/>
      <w:r w:rsidRPr="0089423C">
        <w:rPr>
          <w:u w:val="single"/>
        </w:rPr>
        <w:t>And</w:t>
      </w:r>
      <w:proofErr w:type="gramEnd"/>
      <w:r w:rsidRPr="0089423C">
        <w:rPr>
          <w:u w:val="single"/>
        </w:rPr>
        <w:t xml:space="preserve"> Rescue, et al</w:t>
      </w:r>
      <w:r>
        <w:t xml:space="preserve">., the Superior Court of New Jersey, Appellate Division, held (3 to 0), reversed trial court and held that under NJ law the injured person may proceed with claim for continuing medical issue regarding loss of balance. The Court described the incident. “On March 29, 2018, a fire engine owned by defendant North Hudson Regional Fire and Rescue accidently shifted into drive during a training exercise at a fire station in Union City. Driverless, the fire engine crossed the road and struck the front of a residence opposite the firehouse. The impact damaged the building's support columns. Plaintiff Berta Abreu Flores, a sixty-five-year-old woman who had been working on the first floor of the building, was injured by the collision.” </w:t>
      </w:r>
      <w:hyperlink r:id="rId987" w:history="1">
        <w:r w:rsidRPr="0097451D">
          <w:rPr>
            <w:rStyle w:val="Hyperlink"/>
            <w:rFonts w:eastAsiaTheme="majorEastAsia"/>
          </w:rPr>
          <w:t>https://www.njcourts.gov/system/files/court-opinions/2023/a0009-22.pdf</w:t>
        </w:r>
      </w:hyperlink>
      <w:r>
        <w:t xml:space="preserve"> </w:t>
      </w:r>
    </w:p>
    <w:p w14:paraId="1C86170A" w14:textId="77777777" w:rsidR="00A65FD8" w:rsidRDefault="00A65FD8" w:rsidP="00A65FD8">
      <w:pPr>
        <w:pStyle w:val="NormalWeb"/>
        <w:rPr>
          <w:b/>
          <w:bCs/>
        </w:rPr>
      </w:pPr>
      <w:bookmarkStart w:id="195" w:name="_Hlk149717414"/>
      <w:r w:rsidRPr="0089423C">
        <w:rPr>
          <w:b/>
          <w:bCs/>
        </w:rPr>
        <w:t>Legal Lesson Learned:</w:t>
      </w:r>
      <w:r>
        <w:rPr>
          <w:b/>
          <w:bCs/>
        </w:rPr>
        <w:t xml:space="preserve"> New drivers and experienced Fire Apparatus Operators [FAOs] must always set the brake when a fire vehicle is parked.  Tire chocks should also be used when vehicle is parked. </w:t>
      </w:r>
    </w:p>
    <w:p w14:paraId="3B189D0A" w14:textId="77777777" w:rsidR="00A65FD8" w:rsidRDefault="00A65FD8" w:rsidP="00A65FD8">
      <w:pPr>
        <w:pStyle w:val="NormalWeb"/>
        <w:rPr>
          <w:b/>
          <w:bCs/>
        </w:rPr>
      </w:pPr>
    </w:p>
    <w:p w14:paraId="3EF86AA3" w14:textId="7595CA3F" w:rsidR="00A65FD8" w:rsidRDefault="00A65FD8" w:rsidP="00A65FD8">
      <w:pPr>
        <w:pStyle w:val="NormalWeb"/>
        <w:rPr>
          <w:b/>
          <w:bCs/>
        </w:rPr>
      </w:pPr>
      <w:r>
        <w:rPr>
          <w:b/>
          <w:bCs/>
        </w:rPr>
        <w:t>5-33</w:t>
      </w:r>
    </w:p>
    <w:p w14:paraId="4D37A177" w14:textId="77777777" w:rsidR="00A65FD8" w:rsidRPr="001578E0" w:rsidRDefault="00A65FD8" w:rsidP="00A65FD8">
      <w:pPr>
        <w:pStyle w:val="NormalWeb"/>
        <w:rPr>
          <w:rFonts w:ascii="Arial Black" w:hAnsi="Arial Black"/>
          <w:sz w:val="28"/>
          <w:szCs w:val="28"/>
        </w:rPr>
      </w:pPr>
      <w:r>
        <w:rPr>
          <w:rFonts w:ascii="Arial Black" w:hAnsi="Arial Black"/>
          <w:sz w:val="28"/>
          <w:szCs w:val="28"/>
        </w:rPr>
        <w:t>GA: SPEEDING MOTORIST RUNS INTO FIRE ENGINE – BUT MOTORIST EXPERT FF SHOULD SEEN HIM – CASE PROCEED</w:t>
      </w:r>
    </w:p>
    <w:p w14:paraId="73BCBA6E" w14:textId="77777777" w:rsidR="00A65FD8" w:rsidRPr="00CF75EB" w:rsidRDefault="00A65FD8" w:rsidP="00A65FD8">
      <w:pPr>
        <w:pStyle w:val="NormalWeb"/>
      </w:pPr>
      <w:r>
        <w:t xml:space="preserve">On Oct. 18, 2023, in </w:t>
      </w:r>
      <w:r w:rsidRPr="001578E0">
        <w:rPr>
          <w:u w:val="single"/>
        </w:rPr>
        <w:t>Chandler v. City of Lafayette</w:t>
      </w:r>
      <w:r>
        <w:t>, the Court of Appeals of Georgia held (3 to 0) that trial court improperly granted summary judgment to the City. The Court held:  “Because there is some evidence to show that the accident still would have occurred despite Chandler’s speeding and that both [</w:t>
      </w:r>
      <w:r w:rsidRPr="001578E0">
        <w:t>James Lamar</w:t>
      </w:r>
      <w:r>
        <w:t xml:space="preserve">] Chandler and [firefighter] Dennison should have been able to see each other before the collision, we conclude that genuine issues of material fact remain as to whether Dennison proximately caused Chandler’s injuries, and thus the trial court erred by granting summary judgment to the City.*** Moreover, Chandler’s expert testified that Dennison should have waited at the intersection or ensured that Chandler acknowledged his presence, and that Dennison failed to observe Chandler’s vehicle at the intersection. Because there is conflicting evidence as to whether Dennison slowed down as was necessary before proceeding past the red light and entering the intersection, genuine issues of material fact remain as to the City’s affirmative defense, and the trial court therefore erred to the extent that it granted summary judgment on this basis.” </w:t>
      </w:r>
      <w:hyperlink r:id="rId988" w:history="1">
        <w:r w:rsidRPr="00DC791D">
          <w:rPr>
            <w:rStyle w:val="Hyperlink"/>
            <w:rFonts w:eastAsiaTheme="majorEastAsia"/>
          </w:rPr>
          <w:t>https://cases.justia.com/georgia/court-of-appeals/2023-a23a1037.pdf?ts=1697652631</w:t>
        </w:r>
      </w:hyperlink>
      <w:r>
        <w:t xml:space="preserve"> </w:t>
      </w:r>
    </w:p>
    <w:p w14:paraId="7B31E113" w14:textId="77777777" w:rsidR="00A65FD8" w:rsidRDefault="00A65FD8" w:rsidP="00A65FD8">
      <w:pPr>
        <w:pStyle w:val="NormalWeb"/>
        <w:rPr>
          <w:b/>
          <w:bCs/>
        </w:rPr>
      </w:pPr>
      <w:r w:rsidRPr="00585D35">
        <w:rPr>
          <w:b/>
          <w:bCs/>
        </w:rPr>
        <w:t xml:space="preserve">Legal Lesson Learned: </w:t>
      </w:r>
      <w:r>
        <w:rPr>
          <w:b/>
          <w:bCs/>
        </w:rPr>
        <w:t xml:space="preserve">This case appears to be a “battle of the experts.” Some fire departments have adopted a “full stop” policy if entering against a red light, to avoid this type of litigation.  </w:t>
      </w:r>
    </w:p>
    <w:p w14:paraId="62E0CBF3" w14:textId="77777777" w:rsidR="00A65FD8" w:rsidRDefault="00A65FD8" w:rsidP="00A65FD8">
      <w:pPr>
        <w:pStyle w:val="NormalWeb"/>
        <w:rPr>
          <w:b/>
          <w:bCs/>
        </w:rPr>
      </w:pPr>
    </w:p>
    <w:bookmarkEnd w:id="195"/>
    <w:p w14:paraId="5B89F3AA" w14:textId="77777777" w:rsidR="00BB49C5" w:rsidRDefault="00BB49C5" w:rsidP="00EF1133">
      <w:pPr>
        <w:rPr>
          <w:rFonts w:ascii="Arial Black" w:hAnsi="Arial Black"/>
          <w:b/>
          <w:sz w:val="24"/>
          <w:szCs w:val="24"/>
        </w:rPr>
      </w:pPr>
    </w:p>
    <w:p w14:paraId="2FCE7B72" w14:textId="77777777" w:rsidR="00BB49C5" w:rsidRDefault="00BB49C5" w:rsidP="00EF1133">
      <w:pPr>
        <w:rPr>
          <w:rFonts w:ascii="Arial Black" w:hAnsi="Arial Black"/>
          <w:b/>
          <w:sz w:val="24"/>
          <w:szCs w:val="24"/>
        </w:rPr>
      </w:pPr>
    </w:p>
    <w:p w14:paraId="00FBA9D7" w14:textId="7E842D65" w:rsidR="009B0593" w:rsidRDefault="009B0593" w:rsidP="00EF1133">
      <w:pPr>
        <w:rPr>
          <w:rFonts w:ascii="Arial Black" w:hAnsi="Arial Black"/>
          <w:b/>
          <w:sz w:val="24"/>
          <w:szCs w:val="24"/>
        </w:rPr>
      </w:pPr>
      <w:r>
        <w:rPr>
          <w:rFonts w:ascii="Arial Black" w:hAnsi="Arial Black"/>
          <w:b/>
          <w:sz w:val="24"/>
          <w:szCs w:val="24"/>
        </w:rPr>
        <w:t>5-32</w:t>
      </w:r>
    </w:p>
    <w:p w14:paraId="3FAE011C" w14:textId="77777777" w:rsidR="009B0593" w:rsidRDefault="009B0593" w:rsidP="009B0593">
      <w:pPr>
        <w:pStyle w:val="NormalWeb"/>
        <w:rPr>
          <w:rFonts w:ascii="Arial Black" w:hAnsi="Arial Black"/>
          <w:b/>
          <w:bCs/>
          <w:sz w:val="28"/>
          <w:szCs w:val="28"/>
        </w:rPr>
      </w:pPr>
      <w:r>
        <w:rPr>
          <w:rFonts w:ascii="Arial Black" w:hAnsi="Arial Black"/>
          <w:b/>
          <w:bCs/>
          <w:sz w:val="28"/>
          <w:szCs w:val="28"/>
        </w:rPr>
        <w:lastRenderedPageBreak/>
        <w:t xml:space="preserve">TX: EMER. RUN – HEAVY TRAFFIC - BACKING UP ENGINE SIDE-SWIPED SUV – OFFICIAL IMMUNITY FOR FF &amp; CITY </w:t>
      </w:r>
    </w:p>
    <w:p w14:paraId="116D65DE" w14:textId="77777777" w:rsidR="009B0593" w:rsidRPr="001E2B05" w:rsidRDefault="009B0593" w:rsidP="009B0593">
      <w:pPr>
        <w:pStyle w:val="NormalWeb"/>
      </w:pPr>
      <w:r w:rsidRPr="001E2B05">
        <w:t xml:space="preserve">On Aug. 22, 2023, in </w:t>
      </w:r>
      <w:r w:rsidRPr="001E2B05">
        <w:rPr>
          <w:u w:val="single"/>
        </w:rPr>
        <w:t>City of Houston v. Emmitt Wilson</w:t>
      </w:r>
      <w:r>
        <w:t xml:space="preserve">, the Court of Appeals of Texas, Fourteenth District, reversed the </w:t>
      </w:r>
      <w:proofErr w:type="gramStart"/>
      <w:r>
        <w:t>trial court judge</w:t>
      </w:r>
      <w:proofErr w:type="gramEnd"/>
      <w:r>
        <w:t xml:space="preserve"> and ordered the lawsuit dismissed. The firefighters were responding to an accident with 18-wheeler and a sedan, and because of heavy traffic the engine had to slowly back up with a spotter on passenger side.  The engine side-swiped Mr. Wilson’s vehicle when he suddenly stopped backing up.  </w:t>
      </w:r>
    </w:p>
    <w:p w14:paraId="2CE9AF32" w14:textId="77777777" w:rsidR="009B0593" w:rsidRDefault="009B0593" w:rsidP="009B0593">
      <w:pPr>
        <w:pStyle w:val="NormalWeb"/>
        <w:ind w:firstLine="720"/>
      </w:pPr>
      <w:r w:rsidRPr="001919F6">
        <w:t xml:space="preserve">The Court held: </w:t>
      </w:r>
    </w:p>
    <w:p w14:paraId="1BF2D7D3" w14:textId="77777777" w:rsidR="009B0593" w:rsidRDefault="009B0593" w:rsidP="009B0593">
      <w:pPr>
        <w:pStyle w:val="NormalWeb"/>
        <w:ind w:left="720" w:firstLine="60"/>
      </w:pPr>
      <w:r>
        <w:t>“[Firefighter Jason] Carroll testified that when he determined he would need to back up on Wayside, he used his individual judgment to leave his emergency lights engaged but disengaged the siren so that he could hear his spotter's radio transmissions. Carroll also explained that his back up signals would sound. Wilson did not dispute that these alarms were operating at the time of the accident and admits that ‘Mr. Carroll and all the [City's] agents were responding to an emergency’ at the time of the accident.</w:t>
      </w:r>
    </w:p>
    <w:p w14:paraId="4E4E7824" w14:textId="77777777" w:rsidR="009B0593" w:rsidRDefault="009B0593" w:rsidP="009B0593">
      <w:pPr>
        <w:pStyle w:val="NormalWeb"/>
        <w:ind w:left="720" w:firstLine="60"/>
      </w:pPr>
      <w:r>
        <w:t>***</w:t>
      </w:r>
    </w:p>
    <w:p w14:paraId="3363E9A6" w14:textId="77777777" w:rsidR="009B0593" w:rsidRDefault="009B0593" w:rsidP="009B0593">
      <w:pPr>
        <w:pStyle w:val="NormalWeb"/>
        <w:ind w:left="720" w:firstLine="60"/>
        <w:rPr>
          <w:rFonts w:eastAsiaTheme="minorHAnsi"/>
          <w:kern w:val="2"/>
          <w14:ligatures w14:val="standardContextual"/>
        </w:rPr>
      </w:pPr>
      <w:r w:rsidRPr="001919F6">
        <w:rPr>
          <w:rFonts w:eastAsiaTheme="minorHAnsi"/>
          <w:kern w:val="2"/>
          <w14:ligatures w14:val="standardContextual"/>
        </w:rPr>
        <w:t xml:space="preserve">Because the evidence was uncontroverted that Carrol was operating Engine 43 in the course of an emergency response to a vehicle accident, and Carroll's affidavit illustrates the various decisions he made in the course of driving Engine 43 leading up to the collision-including determining the proper route to the accident, whether to keep the emergency siren and lights engaged while backing up, whether and how many spotters he should have while performing the reverse maneuver-we conclude that the Carrol was performing </w:t>
      </w:r>
      <w:r w:rsidRPr="001919F6">
        <w:rPr>
          <w:rFonts w:eastAsiaTheme="minorHAnsi"/>
          <w:i/>
          <w:iCs/>
          <w:kern w:val="2"/>
          <w14:ligatures w14:val="standardContextual"/>
        </w:rPr>
        <w:t>discretionary duties</w:t>
      </w:r>
      <w:r w:rsidRPr="001919F6">
        <w:rPr>
          <w:rFonts w:eastAsiaTheme="minorHAnsi"/>
          <w:kern w:val="2"/>
          <w14:ligatures w14:val="standardContextual"/>
        </w:rPr>
        <w:t xml:space="preserve"> at the time of the incident. </w:t>
      </w:r>
      <w:r w:rsidRPr="001919F6">
        <w:rPr>
          <w:rFonts w:eastAsiaTheme="minorHAnsi"/>
          <w:i/>
          <w:iCs/>
          <w:kern w:val="2"/>
          <w14:ligatures w14:val="standardContextual"/>
        </w:rPr>
        <w:t>See id</w:t>
      </w:r>
      <w:r w:rsidRPr="001919F6">
        <w:rPr>
          <w:rFonts w:eastAsiaTheme="minorHAnsi"/>
          <w:kern w:val="2"/>
          <w14:ligatures w14:val="standardContextual"/>
        </w:rPr>
        <w:t xml:space="preserve">. Thus, to the extent the trial court's denial of summary judgment was based on a finding that the City failed to conclusively establish that Carrol's acts were discretionary duties at the time of the collision, such </w:t>
      </w:r>
      <w:proofErr w:type="gramStart"/>
      <w:r w:rsidRPr="001919F6">
        <w:rPr>
          <w:rFonts w:eastAsiaTheme="minorHAnsi"/>
          <w:kern w:val="2"/>
          <w14:ligatures w14:val="standardContextual"/>
        </w:rPr>
        <w:t>finding was</w:t>
      </w:r>
      <w:proofErr w:type="gramEnd"/>
      <w:r w:rsidRPr="001919F6">
        <w:rPr>
          <w:rFonts w:eastAsiaTheme="minorHAnsi"/>
          <w:kern w:val="2"/>
          <w14:ligatures w14:val="standardContextual"/>
        </w:rPr>
        <w:t xml:space="preserve"> erroneous. We next consider the trial court's implicit finding that the City failed to conclusively establish that Carrol was acting in good faith at the time of the incident.</w:t>
      </w:r>
    </w:p>
    <w:p w14:paraId="1B0766B7" w14:textId="77777777" w:rsidR="009B0593" w:rsidRDefault="009B0593" w:rsidP="009B0593">
      <w:pPr>
        <w:pStyle w:val="NormalWeb"/>
        <w:ind w:left="720" w:firstLine="60"/>
        <w:rPr>
          <w:rFonts w:eastAsiaTheme="minorHAnsi"/>
          <w:kern w:val="2"/>
          <w14:ligatures w14:val="standardContextual"/>
        </w:rPr>
      </w:pPr>
      <w:r>
        <w:rPr>
          <w:rFonts w:eastAsiaTheme="minorHAnsi"/>
          <w:kern w:val="2"/>
          <w14:ligatures w14:val="standardContextual"/>
        </w:rPr>
        <w:t>***</w:t>
      </w:r>
    </w:p>
    <w:p w14:paraId="05FC330E" w14:textId="77777777" w:rsidR="009B0593" w:rsidRDefault="009B0593" w:rsidP="009B0593">
      <w:pPr>
        <w:pStyle w:val="NormalWeb"/>
        <w:ind w:left="720"/>
      </w:pPr>
      <w:r>
        <w:t xml:space="preserve">On this record, the </w:t>
      </w:r>
      <w:proofErr w:type="gramStart"/>
      <w:r>
        <w:t>City</w:t>
      </w:r>
      <w:proofErr w:type="gramEnd"/>
      <w:r>
        <w:t xml:space="preserve"> satisfied its burden to prove conclusively that Carroll was acting in good faith at the time in question…. The fact that Carroll had turned off his siren or that he had chosen only one spotter is unconvincing </w:t>
      </w:r>
      <w:proofErr w:type="gramStart"/>
      <w:r>
        <w:t>in light of</w:t>
      </w:r>
      <w:proofErr w:type="gramEnd"/>
      <w:r>
        <w:t xml:space="preserve"> the circumstances described in Carroll's affidavit, and thus the cases Wilson has cited are not germane to this case.” </w:t>
      </w:r>
      <w:hyperlink r:id="rId989" w:history="1">
        <w:r w:rsidRPr="00CD12AF">
          <w:rPr>
            <w:rStyle w:val="Hyperlink"/>
            <w:rFonts w:eastAsiaTheme="majorEastAsia"/>
          </w:rPr>
          <w:t>https://casetext.com/case/city-of-houston-v-wilson-1</w:t>
        </w:r>
      </w:hyperlink>
      <w:r>
        <w:t xml:space="preserve"> </w:t>
      </w:r>
    </w:p>
    <w:p w14:paraId="2A0F08EF" w14:textId="77777777" w:rsidR="009B0593" w:rsidRPr="00023C8D" w:rsidRDefault="009B0593" w:rsidP="009B0593">
      <w:pPr>
        <w:pStyle w:val="NormalWeb"/>
        <w:rPr>
          <w:b/>
          <w:bCs/>
        </w:rPr>
      </w:pPr>
      <w:r w:rsidRPr="00023C8D">
        <w:rPr>
          <w:b/>
          <w:bCs/>
        </w:rPr>
        <w:t>Legal Lesson Learned:</w:t>
      </w:r>
      <w:r>
        <w:rPr>
          <w:b/>
          <w:bCs/>
        </w:rPr>
        <w:t xml:space="preserve"> Official immunity under Texas law protects the City and the apparatus operator from liability. </w:t>
      </w:r>
    </w:p>
    <w:p w14:paraId="43C03495" w14:textId="77777777" w:rsidR="009B0593" w:rsidRDefault="009B0593" w:rsidP="00EF1133">
      <w:pPr>
        <w:rPr>
          <w:rFonts w:ascii="Arial Black" w:hAnsi="Arial Black"/>
          <w:b/>
          <w:sz w:val="24"/>
          <w:szCs w:val="24"/>
        </w:rPr>
      </w:pPr>
    </w:p>
    <w:p w14:paraId="4B9F6DBA" w14:textId="77777777" w:rsidR="009B0593" w:rsidRDefault="009B0593" w:rsidP="00EF1133">
      <w:pPr>
        <w:rPr>
          <w:rFonts w:ascii="Arial Black" w:hAnsi="Arial Black"/>
          <w:b/>
          <w:sz w:val="24"/>
          <w:szCs w:val="24"/>
        </w:rPr>
      </w:pPr>
    </w:p>
    <w:p w14:paraId="57C269F7" w14:textId="51AF42B8" w:rsidR="007A0E71" w:rsidRDefault="00FE60DA" w:rsidP="00EF1133">
      <w:pPr>
        <w:rPr>
          <w:rFonts w:ascii="Arial Black" w:hAnsi="Arial Black"/>
          <w:b/>
          <w:sz w:val="24"/>
          <w:szCs w:val="24"/>
        </w:rPr>
      </w:pPr>
      <w:r>
        <w:rPr>
          <w:rFonts w:ascii="Arial Black" w:hAnsi="Arial Black"/>
          <w:b/>
          <w:sz w:val="24"/>
          <w:szCs w:val="24"/>
        </w:rPr>
        <w:t>5-31</w:t>
      </w:r>
    </w:p>
    <w:p w14:paraId="4790ACA0" w14:textId="77777777" w:rsidR="00FE60DA" w:rsidRDefault="00FE60DA" w:rsidP="00FE60DA">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TX: EMT 65+ MPH THROUGH RED LIGHT – MVA – TEXAS  “MEDICAL LIAB” LAW REQ. EXPERT REPORT OF NEGLIGENT </w:t>
      </w:r>
    </w:p>
    <w:p w14:paraId="143B6313" w14:textId="77777777" w:rsidR="00FE60DA" w:rsidRDefault="00FE60DA" w:rsidP="00FE60DA">
      <w:pPr>
        <w:spacing w:before="100" w:beforeAutospacing="1" w:after="100" w:afterAutospacing="1" w:line="240" w:lineRule="auto"/>
        <w:rPr>
          <w:rFonts w:ascii="Times New Roman" w:hAnsi="Times New Roman"/>
          <w:sz w:val="24"/>
          <w:szCs w:val="24"/>
        </w:rPr>
      </w:pPr>
      <w:r w:rsidRPr="006E4E96">
        <w:rPr>
          <w:rFonts w:ascii="Times New Roman" w:hAnsi="Times New Roman"/>
          <w:sz w:val="24"/>
          <w:szCs w:val="24"/>
        </w:rPr>
        <w:lastRenderedPageBreak/>
        <w:t xml:space="preserve">On June 15, 2023, in </w:t>
      </w:r>
      <w:r w:rsidRPr="006E4E96">
        <w:rPr>
          <w:rFonts w:ascii="Times New Roman" w:hAnsi="Times New Roman"/>
          <w:sz w:val="24"/>
          <w:szCs w:val="24"/>
          <w:u w:val="single"/>
        </w:rPr>
        <w:t>City of Alvin v. Edna Fields</w:t>
      </w:r>
      <w:r w:rsidRPr="006E4E96">
        <w:rPr>
          <w:rFonts w:ascii="Times New Roman" w:hAnsi="Times New Roman"/>
          <w:sz w:val="24"/>
          <w:szCs w:val="24"/>
        </w:rPr>
        <w:t>, the Court of Appeals of Texas, First</w:t>
      </w:r>
      <w:r>
        <w:rPr>
          <w:rFonts w:ascii="Times New Roman" w:hAnsi="Times New Roman"/>
          <w:sz w:val="24"/>
          <w:szCs w:val="24"/>
        </w:rPr>
        <w:t xml:space="preserve"> </w:t>
      </w:r>
      <w:r w:rsidRPr="006E4E96">
        <w:rPr>
          <w:rFonts w:ascii="Times New Roman" w:hAnsi="Times New Roman"/>
          <w:sz w:val="24"/>
          <w:szCs w:val="24"/>
        </w:rPr>
        <w:t>District,</w:t>
      </w:r>
      <w:r>
        <w:rPr>
          <w:rFonts w:ascii="Times New Roman" w:hAnsi="Times New Roman"/>
          <w:sz w:val="24"/>
          <w:szCs w:val="24"/>
        </w:rPr>
        <w:t xml:space="preserve"> </w:t>
      </w:r>
      <w:r w:rsidRPr="006E4E96">
        <w:rPr>
          <w:rFonts w:ascii="Times New Roman" w:hAnsi="Times New Roman"/>
          <w:sz w:val="24"/>
          <w:szCs w:val="24"/>
        </w:rPr>
        <w:t>held (3 to 0) that trial court should have granted city’s motion to dismiss, because the patient claiming neck injury from the accident was required by the Texas Medical Liability Act (TMLA)</w:t>
      </w:r>
      <w:r>
        <w:rPr>
          <w:rFonts w:ascii="Times New Roman" w:hAnsi="Times New Roman"/>
          <w:sz w:val="24"/>
          <w:szCs w:val="24"/>
        </w:rPr>
        <w:t xml:space="preserve"> to file report from an expert supporting a claim of negligence by ambulance driver.  </w:t>
      </w:r>
    </w:p>
    <w:p w14:paraId="4554876D" w14:textId="77777777" w:rsidR="00FE60DA" w:rsidRDefault="00FE60DA" w:rsidP="00FE60DA">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The Court </w:t>
      </w:r>
      <w:proofErr w:type="gramStart"/>
      <w:r>
        <w:rPr>
          <w:rFonts w:ascii="Times New Roman" w:hAnsi="Times New Roman"/>
          <w:sz w:val="24"/>
          <w:szCs w:val="24"/>
        </w:rPr>
        <w:t>held: “</w:t>
      </w:r>
      <w:proofErr w:type="gramEnd"/>
      <w:r>
        <w:rPr>
          <w:rFonts w:ascii="Times New Roman" w:hAnsi="Times New Roman"/>
          <w:sz w:val="24"/>
          <w:szCs w:val="24"/>
        </w:rPr>
        <w:t xml:space="preserve">[EMT driver Beverly] </w:t>
      </w:r>
      <w:r w:rsidRPr="00CC4FAC">
        <w:rPr>
          <w:rFonts w:ascii="Times New Roman" w:eastAsia="Times New Roman" w:hAnsi="Times New Roman"/>
          <w:sz w:val="24"/>
          <w:szCs w:val="24"/>
        </w:rPr>
        <w:t xml:space="preserve">Scott testified that she entered the intersection against the red light to protect her partner, who was unrestrained because he was providing emergent health care to Fields. She also said that she was considering herself, her partner, her patient, and everyone in the vicinity </w:t>
      </w:r>
      <w:r>
        <w:rPr>
          <w:rFonts w:ascii="Times New Roman" w:eastAsia="Times New Roman" w:hAnsi="Times New Roman"/>
          <w:sz w:val="24"/>
          <w:szCs w:val="24"/>
        </w:rPr>
        <w:t>‘</w:t>
      </w:r>
      <w:r w:rsidRPr="00CC4FAC">
        <w:rPr>
          <w:rFonts w:ascii="Times New Roman" w:eastAsia="Times New Roman" w:hAnsi="Times New Roman"/>
          <w:sz w:val="24"/>
          <w:szCs w:val="24"/>
        </w:rPr>
        <w:t>while running emergency traffic.</w:t>
      </w:r>
      <w:r>
        <w:rPr>
          <w:rFonts w:ascii="Times New Roman" w:eastAsia="Times New Roman" w:hAnsi="Times New Roman"/>
          <w:sz w:val="24"/>
          <w:szCs w:val="24"/>
        </w:rPr>
        <w:t>’</w:t>
      </w:r>
      <w:r w:rsidRPr="00CC4FAC">
        <w:rPr>
          <w:rFonts w:ascii="Times New Roman" w:eastAsia="Times New Roman" w:hAnsi="Times New Roman"/>
          <w:sz w:val="24"/>
          <w:szCs w:val="24"/>
        </w:rPr>
        <w:t xml:space="preserve"> We conclude that the claim that Fields </w:t>
      </w:r>
      <w:proofErr w:type="gramStart"/>
      <w:r w:rsidRPr="00CC4FAC">
        <w:rPr>
          <w:rFonts w:ascii="Times New Roman" w:eastAsia="Times New Roman" w:hAnsi="Times New Roman"/>
          <w:sz w:val="24"/>
          <w:szCs w:val="24"/>
        </w:rPr>
        <w:t>pleaded</w:t>
      </w:r>
      <w:proofErr w:type="gramEnd"/>
      <w:r w:rsidRPr="00CC4FAC">
        <w:rPr>
          <w:rFonts w:ascii="Times New Roman" w:eastAsia="Times New Roman" w:hAnsi="Times New Roman"/>
          <w:sz w:val="24"/>
          <w:szCs w:val="24"/>
        </w:rPr>
        <w:t xml:space="preserve"> has a nexus between the alleged negligence and the provision of health care, and we hold that Fields's claim is a health care liability claim. </w:t>
      </w:r>
      <w:r w:rsidRPr="00CC4FAC">
        <w:rPr>
          <w:rFonts w:ascii="Times New Roman" w:eastAsia="Times New Roman" w:hAnsi="Times New Roman"/>
          <w:i/>
          <w:iCs/>
          <w:sz w:val="24"/>
          <w:szCs w:val="24"/>
        </w:rPr>
        <w:t>Ross</w:t>
      </w:r>
      <w:r w:rsidRPr="00CC4FAC">
        <w:rPr>
          <w:rFonts w:ascii="Times New Roman" w:eastAsia="Times New Roman" w:hAnsi="Times New Roman"/>
          <w:sz w:val="24"/>
          <w:szCs w:val="24"/>
        </w:rPr>
        <w:t xml:space="preserve">, 462 S.W.3d at 504; </w:t>
      </w:r>
      <w:r w:rsidRPr="00CC4FAC">
        <w:rPr>
          <w:rFonts w:ascii="Times New Roman" w:eastAsia="Times New Roman" w:hAnsi="Times New Roman"/>
          <w:i/>
          <w:iCs/>
          <w:sz w:val="24"/>
          <w:szCs w:val="24"/>
        </w:rPr>
        <w:t>see Coming Attractions Bridal &amp; Formal</w:t>
      </w:r>
      <w:r w:rsidRPr="00CC4FAC">
        <w:rPr>
          <w:rFonts w:ascii="Times New Roman" w:eastAsia="Times New Roman" w:hAnsi="Times New Roman"/>
          <w:sz w:val="24"/>
          <w:szCs w:val="24"/>
        </w:rPr>
        <w:t>, 595 S.W.3d at 664</w:t>
      </w:r>
      <w:r>
        <w:rPr>
          <w:rFonts w:ascii="Times New Roman" w:eastAsia="Times New Roman" w:hAnsi="Times New Roman"/>
          <w:sz w:val="24"/>
          <w:szCs w:val="24"/>
        </w:rPr>
        <w:t xml:space="preserve">. </w:t>
      </w:r>
      <w:r w:rsidRPr="00CC4FAC">
        <w:rPr>
          <w:rFonts w:ascii="Times New Roman" w:eastAsia="Times New Roman" w:hAnsi="Times New Roman"/>
          <w:sz w:val="24"/>
          <w:szCs w:val="24"/>
        </w:rPr>
        <w:t xml:space="preserve"> It is undisputed that Fields did not timely serve an expert report. </w:t>
      </w:r>
      <w:r w:rsidRPr="00CC4FAC">
        <w:rPr>
          <w:rFonts w:ascii="Times New Roman" w:eastAsia="Times New Roman" w:hAnsi="Times New Roman"/>
          <w:i/>
          <w:iCs/>
          <w:sz w:val="24"/>
          <w:szCs w:val="24"/>
        </w:rPr>
        <w:t>See</w:t>
      </w:r>
      <w:r w:rsidRPr="00CC4FAC">
        <w:rPr>
          <w:rFonts w:ascii="Times New Roman" w:eastAsia="Times New Roman" w:hAnsi="Times New Roman"/>
          <w:sz w:val="24"/>
          <w:szCs w:val="24"/>
        </w:rPr>
        <w:t xml:space="preserve"> TEX. CIV. PRAC. &amp; REM. CODE § 74.351(b). We therefore hold that the trial court erred by denying the City's motion to dismiss. We sustain the City's second issue.</w:t>
      </w:r>
      <w:r>
        <w:rPr>
          <w:rFonts w:ascii="Times New Roman" w:eastAsia="Times New Roman" w:hAnsi="Times New Roman"/>
          <w:sz w:val="24"/>
          <w:szCs w:val="24"/>
        </w:rPr>
        <w:t>”</w:t>
      </w:r>
      <w:r w:rsidRPr="00CC4FAC">
        <w:rPr>
          <w:rFonts w:ascii="Times New Roman" w:eastAsia="Times New Roman" w:hAnsi="Times New Roman"/>
          <w:sz w:val="24"/>
          <w:szCs w:val="24"/>
        </w:rPr>
        <w:t xml:space="preserve"> </w:t>
      </w:r>
      <w:hyperlink r:id="rId990" w:history="1">
        <w:r w:rsidRPr="00812663">
          <w:rPr>
            <w:rStyle w:val="Hyperlink"/>
            <w:sz w:val="24"/>
            <w:szCs w:val="24"/>
          </w:rPr>
          <w:t>https://casetext.com/case/city-of-alvin-v-fields</w:t>
        </w:r>
      </w:hyperlink>
      <w:r>
        <w:rPr>
          <w:rFonts w:ascii="Times New Roman" w:eastAsia="Times New Roman" w:hAnsi="Times New Roman"/>
          <w:sz w:val="24"/>
          <w:szCs w:val="24"/>
        </w:rPr>
        <w:t xml:space="preserve"> </w:t>
      </w:r>
    </w:p>
    <w:p w14:paraId="13F01E28" w14:textId="77777777" w:rsidR="00FE60DA" w:rsidRDefault="00FE60DA" w:rsidP="00FE60DA">
      <w:pPr>
        <w:pStyle w:val="NormalWeb"/>
        <w:rPr>
          <w:b/>
          <w:bCs/>
        </w:rPr>
      </w:pPr>
      <w:r w:rsidRPr="007D7E2D">
        <w:rPr>
          <w:b/>
          <w:bCs/>
        </w:rPr>
        <w:t xml:space="preserve">Legal Lesson Learned: </w:t>
      </w:r>
      <w:r>
        <w:rPr>
          <w:b/>
          <w:bCs/>
        </w:rPr>
        <w:t xml:space="preserve"> EMS transporting stroke victim, where time is of the essence, should still slow down from 65 MPH when entering a controlled intersection.  In many states, this would be a normal tort claim for negligence, and not a medical claim requiring expert </w:t>
      </w:r>
      <w:proofErr w:type="gramStart"/>
      <w:r>
        <w:rPr>
          <w:b/>
          <w:bCs/>
        </w:rPr>
        <w:t>report</w:t>
      </w:r>
      <w:proofErr w:type="gramEnd"/>
      <w:r>
        <w:rPr>
          <w:b/>
          <w:bCs/>
        </w:rPr>
        <w:t xml:space="preserve">. </w:t>
      </w:r>
    </w:p>
    <w:p w14:paraId="7DC1989A" w14:textId="77777777" w:rsidR="00FE60DA" w:rsidRPr="00F115F8" w:rsidRDefault="00FE60DA" w:rsidP="00FE60DA">
      <w:pPr>
        <w:pStyle w:val="Heading1"/>
        <w:ind w:left="720"/>
        <w:rPr>
          <w:b w:val="0"/>
          <w:bCs w:val="0"/>
          <w:sz w:val="24"/>
          <w:szCs w:val="24"/>
        </w:rPr>
      </w:pPr>
      <w:r w:rsidRPr="00F115F8">
        <w:rPr>
          <w:b w:val="0"/>
          <w:bCs w:val="0"/>
          <w:sz w:val="24"/>
          <w:szCs w:val="24"/>
        </w:rPr>
        <w:t xml:space="preserve">Note: Under Ohio law. Section 4511.03 </w:t>
      </w:r>
      <w:r w:rsidRPr="00F115F8">
        <w:rPr>
          <w:rStyle w:val="codes-separator"/>
          <w:b w:val="0"/>
          <w:bCs w:val="0"/>
          <w:sz w:val="24"/>
          <w:szCs w:val="24"/>
        </w:rPr>
        <w:t>|</w:t>
      </w:r>
      <w:r w:rsidRPr="00F115F8">
        <w:rPr>
          <w:b w:val="0"/>
          <w:bCs w:val="0"/>
          <w:sz w:val="24"/>
          <w:szCs w:val="24"/>
        </w:rPr>
        <w:t xml:space="preserve"> Emergency vehicles at red signal or stop sign. </w:t>
      </w:r>
      <w:hyperlink r:id="rId991" w:history="1">
        <w:r w:rsidRPr="00F115F8">
          <w:rPr>
            <w:rStyle w:val="Hyperlink"/>
            <w:b w:val="0"/>
            <w:bCs w:val="0"/>
            <w:sz w:val="24"/>
            <w:szCs w:val="24"/>
          </w:rPr>
          <w:t>https://codes.ohio.gov/ohio-revised-code/section-4511.03</w:t>
        </w:r>
      </w:hyperlink>
      <w:r w:rsidRPr="00F115F8">
        <w:rPr>
          <w:b w:val="0"/>
          <w:bCs w:val="0"/>
          <w:sz w:val="24"/>
          <w:szCs w:val="24"/>
        </w:rPr>
        <w:t xml:space="preserve"> </w:t>
      </w:r>
    </w:p>
    <w:p w14:paraId="0708555E" w14:textId="77777777" w:rsidR="00FE60DA" w:rsidRPr="007D7E2D" w:rsidRDefault="00FE60DA" w:rsidP="00FE60DA">
      <w:pPr>
        <w:pStyle w:val="NormalWeb"/>
        <w:ind w:left="1440"/>
      </w:pPr>
      <w:r>
        <w:t>“</w:t>
      </w:r>
      <w:r w:rsidRPr="007D7E2D">
        <w:t>(A) The driver of any emergency vehicle or public safety vehicle, when responding to an emergency call, upon approaching a red or stop signal or any stop sign shall slow down as necessary for safety to traffic, but may proceed cautiously past such red or stop sign or signal with due regard for the safety of all persons using the street or highway.</w:t>
      </w:r>
      <w:r>
        <w:t>”</w:t>
      </w:r>
    </w:p>
    <w:p w14:paraId="65BFAFB8" w14:textId="77777777" w:rsidR="00FE60DA" w:rsidRPr="00F115F8" w:rsidRDefault="00FE60DA" w:rsidP="00FE60DA">
      <w:pPr>
        <w:pStyle w:val="Heading1"/>
        <w:ind w:left="720"/>
        <w:rPr>
          <w:b w:val="0"/>
          <w:bCs w:val="0"/>
          <w:sz w:val="24"/>
          <w:szCs w:val="24"/>
        </w:rPr>
      </w:pPr>
      <w:r w:rsidRPr="00F115F8">
        <w:rPr>
          <w:b w:val="0"/>
          <w:bCs w:val="0"/>
          <w:sz w:val="24"/>
          <w:szCs w:val="24"/>
        </w:rPr>
        <w:t xml:space="preserve">See also Ohio Administrative Code: Rule 3335-21-12 </w:t>
      </w:r>
      <w:r w:rsidRPr="00F115F8">
        <w:rPr>
          <w:rStyle w:val="codes-separator"/>
          <w:b w:val="0"/>
          <w:bCs w:val="0"/>
          <w:sz w:val="24"/>
          <w:szCs w:val="24"/>
        </w:rPr>
        <w:t>|</w:t>
      </w:r>
      <w:r w:rsidRPr="00F115F8">
        <w:rPr>
          <w:b w:val="0"/>
          <w:bCs w:val="0"/>
          <w:sz w:val="24"/>
          <w:szCs w:val="24"/>
        </w:rPr>
        <w:t xml:space="preserve"> Emergency and public safety vehicles. </w:t>
      </w:r>
      <w:hyperlink r:id="rId992" w:history="1">
        <w:r w:rsidRPr="00F115F8">
          <w:rPr>
            <w:rStyle w:val="Hyperlink"/>
            <w:b w:val="0"/>
            <w:bCs w:val="0"/>
            <w:sz w:val="24"/>
            <w:szCs w:val="24"/>
          </w:rPr>
          <w:t>https://codes.ohio.gov/ohio-administrative-code/rule-3335-21-12</w:t>
        </w:r>
      </w:hyperlink>
      <w:r w:rsidRPr="00F115F8">
        <w:rPr>
          <w:b w:val="0"/>
          <w:bCs w:val="0"/>
          <w:sz w:val="24"/>
          <w:szCs w:val="24"/>
        </w:rPr>
        <w:t xml:space="preserve"> </w:t>
      </w:r>
    </w:p>
    <w:p w14:paraId="05C50502" w14:textId="77777777" w:rsidR="00FE60DA" w:rsidRDefault="00FE60DA" w:rsidP="00FE60DA">
      <w:pPr>
        <w:pStyle w:val="first-paragraph"/>
        <w:ind w:left="1440"/>
      </w:pPr>
      <w:r>
        <w:t>“(A) Privileges of drivers. The driver of an authorized emergency vehicle or public safety vehicle, when responding to an emergency call, or when in the pursuit of an actual or suspected violator of the law, or when responding to but not upon returning from a fire or other emergency alarm, may exercise the privileges set forth in this regulation, but subject to the conditions herein stated. The driver of an authorized emergency vehicle or public safety vehicle may:</w:t>
      </w:r>
    </w:p>
    <w:p w14:paraId="725DC510" w14:textId="77777777" w:rsidR="00FE60DA" w:rsidRDefault="00FE60DA" w:rsidP="00FE60DA">
      <w:pPr>
        <w:pStyle w:val="first-paragraph"/>
        <w:ind w:left="720" w:firstLine="720"/>
      </w:pPr>
      <w:r>
        <w:t xml:space="preserve">(1) Park or stand, irrespective of the provisions of </w:t>
      </w:r>
      <w:proofErr w:type="gramStart"/>
      <w:r>
        <w:t>these regulation</w:t>
      </w:r>
      <w:proofErr w:type="gramEnd"/>
      <w:r>
        <w:t>;</w:t>
      </w:r>
    </w:p>
    <w:p w14:paraId="125DDE84" w14:textId="77777777" w:rsidR="00FE60DA" w:rsidRDefault="00FE60DA" w:rsidP="00FE60DA">
      <w:pPr>
        <w:pStyle w:val="first-paragraph"/>
        <w:ind w:left="1440"/>
      </w:pPr>
      <w:r>
        <w:t>(2) Proceed past a red or stop signal or stop sign, but only after slowing down as may be necessary for safe operation;</w:t>
      </w:r>
    </w:p>
    <w:p w14:paraId="362E306A" w14:textId="77777777" w:rsidR="00FE60DA" w:rsidRDefault="00FE60DA" w:rsidP="00FE60DA">
      <w:pPr>
        <w:pStyle w:val="first-paragraph"/>
        <w:ind w:left="1440"/>
      </w:pPr>
      <w:r>
        <w:t>(3) Exceed the maximum speed limits so long as he or she does not endanger life or property; and</w:t>
      </w:r>
    </w:p>
    <w:p w14:paraId="250430C5" w14:textId="77777777" w:rsidR="00FE60DA" w:rsidRDefault="00FE60DA" w:rsidP="00FE60DA">
      <w:pPr>
        <w:pStyle w:val="first-paragraph"/>
        <w:ind w:left="1440"/>
      </w:pPr>
      <w:r>
        <w:t>(4) Disregard regulations governing direction of movement or turning in specified directions.”</w:t>
      </w:r>
    </w:p>
    <w:p w14:paraId="7CC1E033" w14:textId="77777777" w:rsidR="00FE60DA" w:rsidRDefault="00FE60DA" w:rsidP="00EF1133">
      <w:pPr>
        <w:rPr>
          <w:rFonts w:ascii="Arial Black" w:hAnsi="Arial Black"/>
          <w:b/>
          <w:sz w:val="24"/>
          <w:szCs w:val="24"/>
        </w:rPr>
      </w:pPr>
    </w:p>
    <w:p w14:paraId="2C5688C3" w14:textId="61493A01" w:rsidR="007A0E71" w:rsidRDefault="007A0E71" w:rsidP="00EF1133">
      <w:pPr>
        <w:rPr>
          <w:rFonts w:ascii="Arial Black" w:hAnsi="Arial Black"/>
          <w:b/>
          <w:sz w:val="24"/>
          <w:szCs w:val="24"/>
        </w:rPr>
      </w:pPr>
      <w:r>
        <w:rPr>
          <w:rFonts w:ascii="Arial Black" w:hAnsi="Arial Black"/>
          <w:b/>
          <w:sz w:val="24"/>
          <w:szCs w:val="24"/>
        </w:rPr>
        <w:t>5-30</w:t>
      </w:r>
    </w:p>
    <w:p w14:paraId="502F966D" w14:textId="77777777" w:rsidR="007A0E71" w:rsidRPr="00216C4D" w:rsidRDefault="007A0E71" w:rsidP="007A0E71">
      <w:pPr>
        <w:pStyle w:val="NoSpacing"/>
        <w:rPr>
          <w:rFonts w:ascii="Arial Black" w:hAnsi="Arial Black"/>
          <w:sz w:val="28"/>
          <w:szCs w:val="28"/>
        </w:rPr>
      </w:pPr>
      <w:r w:rsidRPr="00216C4D">
        <w:rPr>
          <w:rFonts w:ascii="Arial Black" w:hAnsi="Arial Black"/>
          <w:sz w:val="28"/>
          <w:szCs w:val="28"/>
        </w:rPr>
        <w:lastRenderedPageBreak/>
        <w:t xml:space="preserve">IN (4/28/2023) – BLUE LIGHTS VOL. FF – NON-VOL CITED HAVING TWO BLUE LIGHTS ON INSIDE BACK WINDOW </w:t>
      </w:r>
    </w:p>
    <w:p w14:paraId="4CAAB6A7" w14:textId="77777777" w:rsidR="007A0E71" w:rsidRDefault="007A0E71" w:rsidP="007A0E71">
      <w:pPr>
        <w:pStyle w:val="NoSpacing"/>
      </w:pPr>
    </w:p>
    <w:p w14:paraId="4C2E0374" w14:textId="77777777" w:rsidR="007A0E71" w:rsidRPr="00F76E2E" w:rsidRDefault="007A0E71" w:rsidP="007A0E71">
      <w:pPr>
        <w:pStyle w:val="NoSpacing"/>
        <w:rPr>
          <w:rFonts w:ascii="Times New Roman" w:hAnsi="Times New Roman"/>
          <w:sz w:val="24"/>
          <w:szCs w:val="24"/>
        </w:rPr>
      </w:pPr>
      <w:r w:rsidRPr="00F76E2E">
        <w:rPr>
          <w:rFonts w:ascii="Times New Roman" w:hAnsi="Times New Roman"/>
          <w:sz w:val="24"/>
          <w:szCs w:val="24"/>
          <w:u w:val="single"/>
        </w:rPr>
        <w:t>Bryan C. Falletti v. State of Indiana, Court of Appeals of Indiana</w:t>
      </w:r>
      <w:r w:rsidRPr="00F76E2E">
        <w:rPr>
          <w:rFonts w:ascii="Times New Roman" w:hAnsi="Times New Roman"/>
          <w:sz w:val="24"/>
          <w:szCs w:val="24"/>
        </w:rPr>
        <w:t xml:space="preserve">. </w:t>
      </w:r>
      <w:hyperlink r:id="rId993" w:history="1">
        <w:r w:rsidRPr="00F76E2E">
          <w:rPr>
            <w:rStyle w:val="Hyperlink"/>
            <w:rFonts w:ascii="Times New Roman" w:hAnsi="Times New Roman"/>
            <w:sz w:val="24"/>
            <w:szCs w:val="24"/>
          </w:rPr>
          <w:t>https://public.courts.in.gov/Decisions/api/Document/Opinion?Id=rJRDncpWPHQbq7P5uv2HFHli7-yY9NDpUsGFV_2xhbEFoKT6dBGW8VG2YJisX0M_0</w:t>
        </w:r>
      </w:hyperlink>
      <w:r w:rsidRPr="00F76E2E">
        <w:rPr>
          <w:rFonts w:ascii="Times New Roman" w:hAnsi="Times New Roman"/>
          <w:sz w:val="24"/>
          <w:szCs w:val="24"/>
        </w:rPr>
        <w:t xml:space="preserve"> </w:t>
      </w:r>
    </w:p>
    <w:p w14:paraId="12DE5294" w14:textId="77777777" w:rsidR="007A0E71" w:rsidRDefault="007A0E71" w:rsidP="007A0E71">
      <w:pPr>
        <w:pStyle w:val="NormalWeb"/>
        <w:rPr>
          <w:b/>
          <w:bCs/>
        </w:rPr>
      </w:pPr>
      <w:r>
        <w:rPr>
          <w:b/>
          <w:bCs/>
        </w:rPr>
        <w:t xml:space="preserve">Legal Lesson Learned: Unless you are a volunteer firefighter, may not have blue lights on top of your vehicle, or in your vehicle, in Indiana. </w:t>
      </w:r>
    </w:p>
    <w:p w14:paraId="5D6C70D2" w14:textId="77777777" w:rsidR="007A0E71" w:rsidRDefault="007A0E71" w:rsidP="00EF1133">
      <w:pPr>
        <w:rPr>
          <w:rFonts w:ascii="Arial Black" w:hAnsi="Arial Black"/>
          <w:b/>
          <w:sz w:val="24"/>
          <w:szCs w:val="24"/>
        </w:rPr>
      </w:pPr>
    </w:p>
    <w:p w14:paraId="0AA079C7" w14:textId="0EC9591D" w:rsidR="002D64A4" w:rsidRDefault="002D64A4" w:rsidP="00EF1133">
      <w:pPr>
        <w:rPr>
          <w:rFonts w:ascii="Arial Black" w:hAnsi="Arial Black"/>
          <w:b/>
          <w:sz w:val="24"/>
          <w:szCs w:val="24"/>
        </w:rPr>
      </w:pPr>
      <w:r>
        <w:rPr>
          <w:rFonts w:ascii="Arial Black" w:hAnsi="Arial Black"/>
          <w:b/>
          <w:sz w:val="24"/>
          <w:szCs w:val="24"/>
        </w:rPr>
        <w:t>5-29</w:t>
      </w:r>
    </w:p>
    <w:p w14:paraId="068DC7AC" w14:textId="77777777" w:rsidR="002D64A4" w:rsidRPr="00570961" w:rsidRDefault="002D64A4" w:rsidP="002D64A4">
      <w:pPr>
        <w:pStyle w:val="NormalWeb"/>
        <w:rPr>
          <w:rFonts w:ascii="Arial Black" w:hAnsi="Arial Black"/>
          <w:sz w:val="28"/>
          <w:szCs w:val="28"/>
        </w:rPr>
      </w:pPr>
      <w:r>
        <w:rPr>
          <w:rFonts w:ascii="Arial Black" w:hAnsi="Arial Black"/>
          <w:sz w:val="28"/>
          <w:szCs w:val="28"/>
        </w:rPr>
        <w:t xml:space="preserve">OH: ENGINE 20-25 MPH THROUGH RED LIGHT - FD &amp; TWP IMMUNITY – LAWSUIT AGAINST FF TO PROCEED </w:t>
      </w:r>
    </w:p>
    <w:p w14:paraId="0831C650" w14:textId="77777777" w:rsidR="002D64A4" w:rsidRDefault="002D64A4" w:rsidP="002D64A4">
      <w:pPr>
        <w:pStyle w:val="NormalWeb"/>
        <w:rPr>
          <w:b/>
          <w:bCs/>
        </w:rPr>
      </w:pPr>
      <w:r>
        <w:t xml:space="preserve">On Feb. 21, 2023, in </w:t>
      </w:r>
      <w:r w:rsidRPr="00E477B6">
        <w:rPr>
          <w:u w:val="single"/>
        </w:rPr>
        <w:t>Brandon Freeman v. David A. Lovejoy, et al</w:t>
      </w:r>
      <w:r>
        <w:t xml:space="preserve">., the Court of Appeals, Fifth District (Fairfield), held (3 to 0) that the trial court judge properly denied the firefighter’s motion for summary judgment in a personal injury lawsuit by a motorist who collided with the engine on April 19, 2019 in an intersection where the motorist had a green light, and the engine came through a red light.   “On April 25, 2022, the trial court granted summary judgment in favor of the Fire Department and the Township, finding the Fire Department and the Township were statutorily immune from liability as Appellant did not act in a willful or wanton manner. However, the trial court denied Appellant's motion for summary judgment, finding a genuine issue of material fact exists as to whether Appellant operated the fire engine in a reckless manner. *** Viewing the evidence in a light most favorable to Appellee, we find reasonable minds could come to different conclusions about Appellant's operation of the fire engine given the visual and sound obstructions in the area, the number of lanes of travel Appellant was crossing.” </w:t>
      </w:r>
      <w:hyperlink r:id="rId994" w:history="1">
        <w:r w:rsidRPr="00933DFB">
          <w:rPr>
            <w:rStyle w:val="Hyperlink"/>
            <w:rFonts w:eastAsiaTheme="majorEastAsia"/>
          </w:rPr>
          <w:t>https://cms7files1.revize.com/starkcountyoh/f22-16.wbh.sl.pdf</w:t>
        </w:r>
      </w:hyperlink>
      <w:r>
        <w:t xml:space="preserve"> </w:t>
      </w:r>
    </w:p>
    <w:p w14:paraId="7891A0B5" w14:textId="77777777" w:rsidR="002D64A4" w:rsidRDefault="002D64A4" w:rsidP="002D64A4">
      <w:pPr>
        <w:pStyle w:val="NormalWeb"/>
        <w:ind w:left="720"/>
      </w:pPr>
      <w:r>
        <w:t xml:space="preserve">“Pickerington Police Officer Thomas Spreen completed the Crash Report. Therein, Officer Spreen indicated the traffic was moderate, the road conditions were wet, and it was raining. Officer Spreen </w:t>
      </w:r>
      <w:proofErr w:type="gramStart"/>
      <w:r>
        <w:t>concluded</w:t>
      </w:r>
      <w:proofErr w:type="gramEnd"/>
      <w:r>
        <w:t xml:space="preserve"> Appellant [firefighter] was at fault for the accident, </w:t>
      </w:r>
      <w:proofErr w:type="gramStart"/>
      <w:r>
        <w:t>explaining</w:t>
      </w:r>
      <w:proofErr w:type="gramEnd"/>
      <w:r>
        <w:t xml:space="preserve"> Appellant entered ‘the busy intersection at an estimated speed of 20 mph to 25 mph without stopping on a red light. Therefore, I find that the driver of the fire truck did not use due regard when entering the intersection causing the accident.’ Crash Report at 8. Officer Spreen </w:t>
      </w:r>
      <w:proofErr w:type="gramStart"/>
      <w:r>
        <w:t>stated, ‘</w:t>
      </w:r>
      <w:proofErr w:type="gramEnd"/>
      <w:r>
        <w:t>From the vantage point of the Unit 2 driver [Appellee]. I found that his view or initial observation point on the fire truck was partially obstructed by the CVS building, (4) trees, landscaping and landscaping wall (photo taken). I also find that his being able to hear the (2) sets of approaching sirens from the (2) Truro emergency vehicles while approaching the intersection would also have been obstructed by the physical barriers listed.’”</w:t>
      </w:r>
    </w:p>
    <w:p w14:paraId="05CF420F" w14:textId="77777777" w:rsidR="002D64A4" w:rsidRDefault="002D64A4" w:rsidP="002D64A4">
      <w:pPr>
        <w:pStyle w:val="NormalWeb"/>
        <w:rPr>
          <w:b/>
          <w:bCs/>
        </w:rPr>
      </w:pPr>
      <w:r>
        <w:rPr>
          <w:b/>
          <w:bCs/>
        </w:rPr>
        <w:t>Legal Lesson Learned: FDs should consider adopting an SOP requiring a “full stop” at red lights.</w:t>
      </w:r>
    </w:p>
    <w:p w14:paraId="7B25E820" w14:textId="77777777" w:rsidR="002D64A4" w:rsidRDefault="002D64A4" w:rsidP="002D64A4">
      <w:pPr>
        <w:pStyle w:val="NormalWeb"/>
      </w:pPr>
    </w:p>
    <w:p w14:paraId="3AE3990F" w14:textId="06E39DF0" w:rsidR="006D2C51" w:rsidRDefault="00AE32D3" w:rsidP="00EF1133">
      <w:pPr>
        <w:rPr>
          <w:rFonts w:ascii="Arial Black" w:hAnsi="Arial Black"/>
          <w:b/>
          <w:sz w:val="24"/>
          <w:szCs w:val="24"/>
        </w:rPr>
      </w:pPr>
      <w:r>
        <w:rPr>
          <w:rFonts w:ascii="Arial Black" w:hAnsi="Arial Black"/>
          <w:b/>
          <w:sz w:val="24"/>
          <w:szCs w:val="24"/>
        </w:rPr>
        <w:t>5-28</w:t>
      </w:r>
    </w:p>
    <w:p w14:paraId="4BDDE1EB" w14:textId="77777777" w:rsidR="00B87D79" w:rsidRPr="00130410" w:rsidRDefault="00B87D79" w:rsidP="00B87D79">
      <w:pPr>
        <w:pStyle w:val="NormalWeb"/>
        <w:rPr>
          <w:rFonts w:ascii="Arial Black" w:hAnsi="Arial Black"/>
          <w:sz w:val="28"/>
          <w:szCs w:val="28"/>
        </w:rPr>
      </w:pPr>
      <w:r>
        <w:rPr>
          <w:rFonts w:ascii="Arial Black" w:hAnsi="Arial Black"/>
          <w:sz w:val="28"/>
          <w:szCs w:val="28"/>
        </w:rPr>
        <w:lastRenderedPageBreak/>
        <w:t>TX: AMBULANCE DRIVER CAME TO FULL STOP – SLOWLY ENTERED INTERSECTION WITH “BLIND SPOTS” - IMMUNITY</w:t>
      </w:r>
    </w:p>
    <w:p w14:paraId="1A30D734" w14:textId="77777777" w:rsidR="00B87D79" w:rsidRDefault="00B87D79" w:rsidP="00B87D79">
      <w:pPr>
        <w:pStyle w:val="NormalWeb"/>
      </w:pPr>
      <w:r>
        <w:t xml:space="preserve">On Nov. 8, 2022, in </w:t>
      </w:r>
      <w:r w:rsidRPr="00130410">
        <w:rPr>
          <w:u w:val="single"/>
        </w:rPr>
        <w:t>City of Houston v. Martha Vogel and Maria Escalante</w:t>
      </w:r>
      <w:r>
        <w:t xml:space="preserve">, the Court of Appeals of Texas, First District, held (3 to 0) that the trial court improperly denied the City’s motion to dismiss the case.  The deposition testimony of the EMT, his passenger, and civilian witnesses confirmed the ambulance driver had lights and siren operating, came to a complete stop, and slowly entered the intersection; the plaintiffs vehicle struct and rolled the ambulance. </w:t>
      </w:r>
    </w:p>
    <w:p w14:paraId="5EBCAFC5" w14:textId="77777777" w:rsidR="00B87D79" w:rsidRDefault="00B87D79" w:rsidP="00B87D79">
      <w:pPr>
        <w:pStyle w:val="NormalWeb"/>
        <w:ind w:left="720"/>
      </w:pPr>
      <w:r>
        <w:t xml:space="preserve">“Here, like in </w:t>
      </w:r>
      <w:r>
        <w:rPr>
          <w:rStyle w:val="Emphasis"/>
        </w:rPr>
        <w:t>Kuhn</w:t>
      </w:r>
      <w:r>
        <w:t>, whether the intersection was ‘blind’ did not create a material fact issue in light of the undisputed evidence that EMT Brooks was responding to a 9-1-1 emergency call, activated his lights and siren, came to a complete stop at the stop sign on Euel, and looked for traffic.</w:t>
      </w:r>
    </w:p>
    <w:p w14:paraId="07AFF628" w14:textId="77777777" w:rsidR="00B87D79" w:rsidRDefault="00B87D79" w:rsidP="00B87D79">
      <w:pPr>
        <w:pStyle w:val="NormalWeb"/>
        <w:ind w:left="720"/>
      </w:pPr>
      <w:r>
        <w:t>***</w:t>
      </w:r>
    </w:p>
    <w:p w14:paraId="3A362347" w14:textId="04830AFE" w:rsidR="00AE32D3" w:rsidRPr="00B87D79" w:rsidRDefault="00B87D79" w:rsidP="00B87D79">
      <w:pPr>
        <w:ind w:left="720"/>
        <w:rPr>
          <w:rFonts w:ascii="Times New Roman" w:hAnsi="Times New Roman"/>
          <w:b/>
          <w:sz w:val="24"/>
          <w:szCs w:val="24"/>
        </w:rPr>
      </w:pPr>
      <w:r w:rsidRPr="00B87D79">
        <w:rPr>
          <w:rFonts w:ascii="Times New Roman" w:hAnsi="Times New Roman"/>
          <w:sz w:val="24"/>
          <w:szCs w:val="24"/>
        </w:rPr>
        <w:t xml:space="preserve">Fogel and Escalante also asserted that their evidence raised a fact issue because it showed that EMT Brooks was reckless in entering the intersection ‘completely blind.’ They presented photographs of the intersection at issue, which they asserted ‘show EMT Brooks' view of Hardy was </w:t>
      </w:r>
      <w:r w:rsidRPr="00B87D79">
        <w:rPr>
          <w:rStyle w:val="Emphasis"/>
          <w:rFonts w:ascii="Times New Roman" w:hAnsi="Times New Roman"/>
          <w:sz w:val="24"/>
          <w:szCs w:val="24"/>
        </w:rPr>
        <w:t>completely blocked</w:t>
      </w:r>
      <w:r w:rsidRPr="00B87D79">
        <w:rPr>
          <w:rFonts w:ascii="Times New Roman" w:hAnsi="Times New Roman"/>
          <w:sz w:val="24"/>
          <w:szCs w:val="24"/>
        </w:rPr>
        <w:t xml:space="preserve"> by construction, a house, parked box trucks, trees and shrubs.’ (Emphasis added.) The record does not support their assertion. The photographs do not show that Brooks's view of Hardy was ‘completely blocked.’ Rather, the Exhibit 3 photograph shows a view of traffic on Hardy Street. Although plastic barriers and pylons appear, traffic behind them is readily visible. Their field diagram shows the stop sign located at the corner of the intersection, and the tree depicted in the photographs is shown in Exhibit 3 to be set back from the corner. There is not a house shown in the photographs attached their response to the City's plea.” </w:t>
      </w:r>
      <w:hyperlink r:id="rId995" w:history="1">
        <w:r w:rsidRPr="00B87D79">
          <w:rPr>
            <w:rStyle w:val="Hyperlink"/>
            <w:rFonts w:ascii="Times New Roman" w:eastAsiaTheme="majorEastAsia" w:hAnsi="Times New Roman"/>
            <w:sz w:val="24"/>
            <w:szCs w:val="24"/>
          </w:rPr>
          <w:t>https://casetext.com/case/city-of-hous-v-vogel</w:t>
        </w:r>
      </w:hyperlink>
    </w:p>
    <w:p w14:paraId="50671468" w14:textId="77777777" w:rsidR="00B87D79" w:rsidRDefault="00B87D79" w:rsidP="00B87D79">
      <w:pPr>
        <w:spacing w:after="100" w:line="240" w:lineRule="auto"/>
        <w:rPr>
          <w:rFonts w:ascii="Times New Roman" w:hAnsi="Times New Roman"/>
          <w:b/>
          <w:bCs/>
          <w:sz w:val="24"/>
          <w:szCs w:val="24"/>
        </w:rPr>
      </w:pPr>
      <w:r w:rsidRPr="00675A8D">
        <w:rPr>
          <w:rFonts w:ascii="Times New Roman" w:hAnsi="Times New Roman"/>
          <w:b/>
          <w:bCs/>
          <w:sz w:val="24"/>
          <w:szCs w:val="24"/>
        </w:rPr>
        <w:t>Legal Lesson Learned:</w:t>
      </w:r>
      <w:r>
        <w:rPr>
          <w:rFonts w:ascii="Times New Roman" w:hAnsi="Times New Roman"/>
          <w:b/>
          <w:bCs/>
          <w:sz w:val="24"/>
          <w:szCs w:val="24"/>
        </w:rPr>
        <w:t xml:space="preserve"> Testimony of civilian witnesses about </w:t>
      </w:r>
      <w:proofErr w:type="gramStart"/>
      <w:r>
        <w:rPr>
          <w:rFonts w:ascii="Times New Roman" w:hAnsi="Times New Roman"/>
          <w:b/>
          <w:bCs/>
          <w:sz w:val="24"/>
          <w:szCs w:val="24"/>
        </w:rPr>
        <w:t>ambulance</w:t>
      </w:r>
      <w:proofErr w:type="gramEnd"/>
      <w:r>
        <w:rPr>
          <w:rFonts w:ascii="Times New Roman" w:hAnsi="Times New Roman"/>
          <w:b/>
          <w:bCs/>
          <w:sz w:val="24"/>
          <w:szCs w:val="24"/>
        </w:rPr>
        <w:t xml:space="preserve"> coming to full stop, and slowly entering the intersection, was extremely helpful. </w:t>
      </w:r>
    </w:p>
    <w:p w14:paraId="3904177B" w14:textId="6D059BCD" w:rsidR="00AE32D3" w:rsidRDefault="00AE32D3" w:rsidP="00EF1133">
      <w:pPr>
        <w:rPr>
          <w:rFonts w:ascii="Arial Black" w:hAnsi="Arial Black"/>
          <w:b/>
          <w:sz w:val="24"/>
          <w:szCs w:val="24"/>
        </w:rPr>
      </w:pPr>
    </w:p>
    <w:p w14:paraId="0B370AAD" w14:textId="77777777" w:rsidR="00AE32D3" w:rsidRDefault="00AE32D3" w:rsidP="00EF1133">
      <w:pPr>
        <w:rPr>
          <w:rFonts w:ascii="Arial Black" w:hAnsi="Arial Black"/>
          <w:b/>
          <w:sz w:val="24"/>
          <w:szCs w:val="24"/>
        </w:rPr>
      </w:pPr>
    </w:p>
    <w:p w14:paraId="17C72C02" w14:textId="1E6349C6" w:rsidR="006D2C51" w:rsidRDefault="006D2C51" w:rsidP="00EF1133">
      <w:pPr>
        <w:rPr>
          <w:rFonts w:ascii="Arial Black" w:hAnsi="Arial Black"/>
          <w:b/>
          <w:sz w:val="24"/>
          <w:szCs w:val="24"/>
        </w:rPr>
      </w:pPr>
      <w:r>
        <w:rPr>
          <w:rFonts w:ascii="Arial Black" w:hAnsi="Arial Black"/>
          <w:b/>
          <w:sz w:val="24"/>
          <w:szCs w:val="24"/>
        </w:rPr>
        <w:t>5-27</w:t>
      </w:r>
    </w:p>
    <w:p w14:paraId="166D5F5B" w14:textId="77777777" w:rsidR="006D2C51" w:rsidRDefault="006D2C51" w:rsidP="006D2C51">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MI: EMS DRIVER SLOWED DOWN - LIGHTS &amp; SIRENS PRIOR TO RED LIGHT – WITNESS CONFIRMED - IMMUNITY </w:t>
      </w:r>
    </w:p>
    <w:p w14:paraId="7CEFE585" w14:textId="77777777" w:rsidR="006D2C51" w:rsidRPr="00317CF0" w:rsidRDefault="006D2C51" w:rsidP="006D2C51">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On July 28, 2022, in </w:t>
      </w:r>
      <w:r w:rsidRPr="00317CF0">
        <w:rPr>
          <w:rFonts w:ascii="Times New Roman" w:hAnsi="Times New Roman"/>
          <w:sz w:val="24"/>
          <w:szCs w:val="24"/>
          <w:u w:val="single"/>
        </w:rPr>
        <w:t xml:space="preserve">Denise Ann Middleton v. Kenneth Arthur Temple and Ogemaw County EMS, </w:t>
      </w:r>
      <w:r>
        <w:rPr>
          <w:rFonts w:ascii="Times New Roman" w:hAnsi="Times New Roman"/>
          <w:sz w:val="24"/>
          <w:szCs w:val="24"/>
        </w:rPr>
        <w:t>the Court of Appeals of Michigan, held (3 to 0</w:t>
      </w:r>
      <w:proofErr w:type="gramStart"/>
      <w:r>
        <w:rPr>
          <w:rFonts w:ascii="Times New Roman" w:hAnsi="Times New Roman"/>
          <w:sz w:val="24"/>
          <w:szCs w:val="24"/>
        </w:rPr>
        <w:t>) on</w:t>
      </w:r>
      <w:proofErr w:type="gramEnd"/>
      <w:r>
        <w:rPr>
          <w:rFonts w:ascii="Times New Roman" w:hAnsi="Times New Roman"/>
          <w:sz w:val="24"/>
          <w:szCs w:val="24"/>
        </w:rPr>
        <w:t xml:space="preserve"> an immediate appeal by the defense, that the trial court should have granted summary judgment to EMS driver and to County EMS.  The plaintiff entered intersection on green light, said she didn’t see or hear the ambulance, and drove into left side of the ambulance.  </w:t>
      </w:r>
      <w:hyperlink r:id="rId996" w:history="1">
        <w:r w:rsidRPr="0019682E">
          <w:rPr>
            <w:rStyle w:val="Hyperlink"/>
            <w:rFonts w:ascii="Times New Roman" w:eastAsia="Times New Roman" w:hAnsi="Times New Roman"/>
            <w:sz w:val="24"/>
            <w:szCs w:val="24"/>
          </w:rPr>
          <w:t>https://www.courts.michigan.gov/4a237a/siteassets/case-documents/uploads/opinions/final/coa/20220728_c356829_27_356829.opn.pdf</w:t>
        </w:r>
      </w:hyperlink>
      <w:r>
        <w:rPr>
          <w:rFonts w:ascii="Times New Roman" w:eastAsia="Times New Roman" w:hAnsi="Times New Roman"/>
          <w:sz w:val="24"/>
          <w:szCs w:val="24"/>
        </w:rPr>
        <w:t xml:space="preserve"> </w:t>
      </w:r>
    </w:p>
    <w:p w14:paraId="1BABEC09" w14:textId="77777777" w:rsidR="006D2C51" w:rsidRPr="000625D7" w:rsidRDefault="006D2C51" w:rsidP="006D2C51">
      <w:pPr>
        <w:spacing w:before="100" w:beforeAutospacing="1" w:after="100" w:afterAutospacing="1" w:line="240" w:lineRule="auto"/>
        <w:rPr>
          <w:rFonts w:ascii="Times New Roman" w:hAnsi="Times New Roman"/>
          <w:b/>
          <w:bCs/>
          <w:sz w:val="24"/>
          <w:szCs w:val="24"/>
        </w:rPr>
      </w:pPr>
      <w:r w:rsidRPr="000625D7">
        <w:rPr>
          <w:rFonts w:ascii="Times New Roman" w:hAnsi="Times New Roman"/>
          <w:b/>
          <w:bCs/>
          <w:sz w:val="24"/>
          <w:szCs w:val="24"/>
        </w:rPr>
        <w:t>Legal Lesson Learned:</w:t>
      </w:r>
      <w:r>
        <w:rPr>
          <w:rFonts w:ascii="Times New Roman" w:hAnsi="Times New Roman"/>
          <w:b/>
          <w:bCs/>
          <w:sz w:val="24"/>
          <w:szCs w:val="24"/>
        </w:rPr>
        <w:t xml:space="preserve"> EMS driver slowed down as entering intersection against a red light as required by law; extremely helpful to have civilian witness confirm this to PD. </w:t>
      </w:r>
    </w:p>
    <w:p w14:paraId="2D8ACED1" w14:textId="77777777" w:rsidR="006D2C51" w:rsidRDefault="006D2C51" w:rsidP="006D2C51">
      <w:pPr>
        <w:pStyle w:val="Heading1"/>
        <w:ind w:left="720"/>
        <w:rPr>
          <w:b w:val="0"/>
          <w:bCs w:val="0"/>
          <w:sz w:val="24"/>
          <w:szCs w:val="24"/>
        </w:rPr>
      </w:pPr>
      <w:r w:rsidRPr="00980AEA">
        <w:rPr>
          <w:b w:val="0"/>
          <w:bCs w:val="0"/>
          <w:sz w:val="24"/>
          <w:szCs w:val="24"/>
        </w:rPr>
        <w:lastRenderedPageBreak/>
        <w:t xml:space="preserve">Note: See Ohio Revised Code - Section 4511.03 </w:t>
      </w:r>
      <w:r w:rsidRPr="00980AEA">
        <w:rPr>
          <w:rStyle w:val="codes-separator"/>
          <w:b w:val="0"/>
          <w:bCs w:val="0"/>
          <w:sz w:val="24"/>
          <w:szCs w:val="24"/>
        </w:rPr>
        <w:t>|</w:t>
      </w:r>
      <w:r w:rsidRPr="00980AEA">
        <w:rPr>
          <w:b w:val="0"/>
          <w:bCs w:val="0"/>
          <w:sz w:val="24"/>
          <w:szCs w:val="24"/>
        </w:rPr>
        <w:t xml:space="preserve"> Emergency vehicles at red signal or stop sign</w:t>
      </w:r>
      <w:r>
        <w:rPr>
          <w:b w:val="0"/>
          <w:bCs w:val="0"/>
          <w:sz w:val="24"/>
          <w:szCs w:val="24"/>
        </w:rPr>
        <w:t xml:space="preserve">. </w:t>
      </w:r>
      <w:hyperlink r:id="rId997" w:history="1">
        <w:r w:rsidRPr="0019682E">
          <w:rPr>
            <w:rStyle w:val="Hyperlink"/>
            <w:rFonts w:eastAsiaTheme="majorEastAsia"/>
            <w:b w:val="0"/>
            <w:bCs w:val="0"/>
            <w:sz w:val="24"/>
            <w:szCs w:val="24"/>
          </w:rPr>
          <w:t>https://codes.ohio.gov/ohio-revised-code/section-4511.03</w:t>
        </w:r>
      </w:hyperlink>
      <w:r>
        <w:rPr>
          <w:b w:val="0"/>
          <w:bCs w:val="0"/>
          <w:sz w:val="24"/>
          <w:szCs w:val="24"/>
        </w:rPr>
        <w:t xml:space="preserve"> </w:t>
      </w:r>
    </w:p>
    <w:p w14:paraId="412CEE95" w14:textId="77777777" w:rsidR="006D2C51" w:rsidRDefault="006D2C51" w:rsidP="006D2C51">
      <w:pPr>
        <w:pStyle w:val="NormalWeb"/>
        <w:ind w:left="720"/>
      </w:pPr>
      <w:r>
        <w:t>“(A) The driver of any emergency vehicle or public safety vehicle, when responding to an emergency call, upon approaching a red or stop signal or any stop sign shall slow down as necessary for safety to traffic, but may proceed cautiously past such red or stop sign or signal with due regard for the safety of all persons using the street or highway.</w:t>
      </w:r>
    </w:p>
    <w:p w14:paraId="73C9AEFB" w14:textId="77777777" w:rsidR="006D2C51" w:rsidRDefault="006D2C51" w:rsidP="006D2C51">
      <w:pPr>
        <w:pStyle w:val="NormalWeb"/>
        <w:ind w:left="720"/>
      </w:pPr>
      <w:r>
        <w:t>(B) Except as otherwise provided in this division, whoever violates this section is guilty of a minor misdemeanor. If, within one year of the offense, the offender previously has been convicted of or pleaded guilty to one predicate motor vehicle or traffic offense, whoever violates this section is guilty of a misdemeanor of the fourth degree. If, within one year of the offense, the offender previously has been convicted of two or more predicate motor vehicle or traffic offenses, whoever violates this section is guilty of a misdemeanor of the third degree.</w:t>
      </w:r>
    </w:p>
    <w:p w14:paraId="1B4ABFC2" w14:textId="77777777" w:rsidR="006D2C51" w:rsidRDefault="006D2C51" w:rsidP="006D2C51">
      <w:pPr>
        <w:pStyle w:val="NormalWeb"/>
        <w:ind w:left="720"/>
      </w:pPr>
      <w:r>
        <w:t xml:space="preserve">If the offender commits the offense while distracted and the distracting activity is a contributing factor to the commission of the offense, the offender is subject to the additional fine established under section </w:t>
      </w:r>
      <w:hyperlink r:id="rId998" w:history="1">
        <w:r>
          <w:rPr>
            <w:rStyle w:val="Hyperlink"/>
            <w:rFonts w:eastAsiaTheme="majorEastAsia"/>
          </w:rPr>
          <w:t>4511.991</w:t>
        </w:r>
      </w:hyperlink>
      <w:r>
        <w:t xml:space="preserve"> of the Revised Code.”</w:t>
      </w:r>
    </w:p>
    <w:p w14:paraId="6211EDD8" w14:textId="77777777" w:rsidR="006D2C51" w:rsidRDefault="006D2C51" w:rsidP="00EF1133">
      <w:pPr>
        <w:rPr>
          <w:rFonts w:ascii="Arial Black" w:hAnsi="Arial Black"/>
          <w:b/>
          <w:sz w:val="24"/>
          <w:szCs w:val="24"/>
        </w:rPr>
      </w:pPr>
    </w:p>
    <w:p w14:paraId="6896DDF5" w14:textId="77777777" w:rsidR="006D2C51" w:rsidRDefault="006D2C51" w:rsidP="00EF1133">
      <w:pPr>
        <w:rPr>
          <w:rFonts w:ascii="Arial Black" w:hAnsi="Arial Black"/>
          <w:b/>
          <w:sz w:val="24"/>
          <w:szCs w:val="24"/>
        </w:rPr>
      </w:pPr>
    </w:p>
    <w:p w14:paraId="554D944F" w14:textId="4EF00259" w:rsidR="00557CA2" w:rsidRDefault="0002742E" w:rsidP="00EF1133">
      <w:pPr>
        <w:rPr>
          <w:rFonts w:ascii="Arial Black" w:hAnsi="Arial Black"/>
          <w:b/>
          <w:sz w:val="24"/>
          <w:szCs w:val="24"/>
        </w:rPr>
      </w:pPr>
      <w:r>
        <w:rPr>
          <w:rFonts w:ascii="Arial Black" w:hAnsi="Arial Black"/>
          <w:b/>
          <w:sz w:val="24"/>
          <w:szCs w:val="24"/>
        </w:rPr>
        <w:t>5-26</w:t>
      </w:r>
    </w:p>
    <w:p w14:paraId="2C2906E4" w14:textId="77777777" w:rsidR="0002742E" w:rsidRPr="002D3A2F" w:rsidRDefault="0002742E" w:rsidP="0002742E">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DISPATCH REFUSES SEND PD WITHOUT SPECIFIC ADDRESS – WIFE IS DRIVING DRUNK, DIES - NO CASE</w:t>
      </w:r>
    </w:p>
    <w:p w14:paraId="3CFA2269" w14:textId="77777777" w:rsidR="0002742E" w:rsidRDefault="0002742E" w:rsidP="0002742E">
      <w:pPr>
        <w:pStyle w:val="NormalWeb"/>
      </w:pPr>
      <w:r>
        <w:t xml:space="preserve">On April 21, 2022, in </w:t>
      </w:r>
      <w:r w:rsidRPr="00EA6EC1">
        <w:rPr>
          <w:u w:val="single"/>
        </w:rPr>
        <w:t>Larry E. Schultz, Special Administrator of Estate of Laurene T. Schultz, Deceased v. St. Clair County, et al</w:t>
      </w:r>
      <w:r>
        <w:t xml:space="preserve">., the Supreme Court of Illinois held (6 to 1) that the lawsuit was properly dismissed since “the decedent's decision to drive while intoxicated was the sole proximate cause of her injuries and death.”  The Court also held that the dispatcher does not enjoy absolute immunity; under 2015 amendment of the state’s Tort Immunity Act, a dispatcher and her employer can be sued if their conduct </w:t>
      </w:r>
      <w:r w:rsidRPr="00447D07">
        <w:rPr>
          <w:rStyle w:val="Emphasis"/>
          <w:rFonts w:eastAsiaTheme="majorEastAsia"/>
        </w:rPr>
        <w:t>constitutes</w:t>
      </w:r>
      <w:r>
        <w:rPr>
          <w:rStyle w:val="Emphasis"/>
          <w:rFonts w:eastAsiaTheme="majorEastAsia"/>
        </w:rPr>
        <w:t xml:space="preserve"> “</w:t>
      </w:r>
      <w:r w:rsidRPr="00447D07">
        <w:rPr>
          <w:rStyle w:val="Emphasis"/>
          <w:rFonts w:eastAsiaTheme="majorEastAsia"/>
        </w:rPr>
        <w:t>gross negligence, recklessness, or intentional misconduct</w:t>
      </w:r>
      <w:r>
        <w:t xml:space="preserve">.”  </w:t>
      </w:r>
      <w:hyperlink r:id="rId999" w:history="1">
        <w:r w:rsidRPr="00C50FC4">
          <w:rPr>
            <w:rStyle w:val="Hyperlink"/>
          </w:rPr>
          <w:t>https://casetext.com/case/schultz-v-st-clair-cnty-2</w:t>
        </w:r>
      </w:hyperlink>
      <w:r>
        <w:t xml:space="preserve"> </w:t>
      </w:r>
    </w:p>
    <w:p w14:paraId="33942B55" w14:textId="77777777" w:rsidR="0002742E" w:rsidRPr="00AA7590" w:rsidRDefault="0002742E" w:rsidP="0002742E">
      <w:pPr>
        <w:rPr>
          <w:rFonts w:ascii="Times New Roman" w:hAnsi="Times New Roman"/>
          <w:b/>
          <w:bCs/>
          <w:sz w:val="24"/>
          <w:szCs w:val="24"/>
        </w:rPr>
      </w:pPr>
      <w:r w:rsidRPr="00AA7590">
        <w:rPr>
          <w:rFonts w:ascii="Times New Roman" w:hAnsi="Times New Roman"/>
          <w:b/>
          <w:bCs/>
          <w:sz w:val="24"/>
          <w:szCs w:val="24"/>
        </w:rPr>
        <w:t xml:space="preserve">Legal Lesson Learned: Dispatchers should be trained to alert police to a drunk driver, even if the exact current location of the driver is not known. </w:t>
      </w:r>
    </w:p>
    <w:p w14:paraId="1416B89D" w14:textId="77777777" w:rsidR="0002742E" w:rsidRDefault="0002742E" w:rsidP="00EF1133">
      <w:pPr>
        <w:rPr>
          <w:rFonts w:ascii="Arial Black" w:hAnsi="Arial Black"/>
          <w:b/>
          <w:sz w:val="24"/>
          <w:szCs w:val="24"/>
        </w:rPr>
      </w:pPr>
    </w:p>
    <w:p w14:paraId="447B3904" w14:textId="28BE314E" w:rsidR="0002742E" w:rsidRDefault="0002742E" w:rsidP="00EF1133">
      <w:pPr>
        <w:rPr>
          <w:rFonts w:ascii="Arial Black" w:hAnsi="Arial Black"/>
          <w:b/>
          <w:sz w:val="24"/>
          <w:szCs w:val="24"/>
        </w:rPr>
      </w:pPr>
      <w:r>
        <w:rPr>
          <w:rFonts w:ascii="Arial Black" w:hAnsi="Arial Black"/>
          <w:b/>
          <w:sz w:val="24"/>
          <w:szCs w:val="24"/>
        </w:rPr>
        <w:t>5-25</w:t>
      </w:r>
    </w:p>
    <w:p w14:paraId="0BD343DB" w14:textId="77777777" w:rsidR="0002742E" w:rsidRPr="00420468" w:rsidRDefault="0002742E" w:rsidP="0002742E">
      <w:pPr>
        <w:spacing w:before="100" w:beforeAutospacing="1" w:after="100" w:afterAutospacing="1" w:line="240" w:lineRule="auto"/>
        <w:rPr>
          <w:rFonts w:ascii="Arial Black" w:hAnsi="Arial Black"/>
          <w:sz w:val="28"/>
          <w:szCs w:val="28"/>
        </w:rPr>
      </w:pPr>
      <w:r>
        <w:rPr>
          <w:rFonts w:ascii="Arial Black" w:hAnsi="Arial Black"/>
          <w:sz w:val="28"/>
          <w:szCs w:val="28"/>
        </w:rPr>
        <w:t>VA: VOL. FF – NOT ALLOWED DRIVE ENGINE, SHEARED OFF COMPARTMENT DOOR – CONVICTED “UNAUTHORIZED USE”</w:t>
      </w:r>
    </w:p>
    <w:p w14:paraId="42DECD33" w14:textId="77777777" w:rsidR="0002742E" w:rsidRDefault="0002742E" w:rsidP="0002742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April 12, 2022, in </w:t>
      </w:r>
      <w:r w:rsidRPr="00681FE1">
        <w:rPr>
          <w:rFonts w:ascii="Times New Roman" w:hAnsi="Times New Roman"/>
          <w:sz w:val="24"/>
          <w:szCs w:val="24"/>
          <w:u w:val="single"/>
        </w:rPr>
        <w:t>Charles Raymond Arrington v. Commonwealth of Virginia</w:t>
      </w:r>
      <w:r>
        <w:rPr>
          <w:rFonts w:ascii="Times New Roman" w:hAnsi="Times New Roman"/>
          <w:sz w:val="24"/>
          <w:szCs w:val="24"/>
        </w:rPr>
        <w:t xml:space="preserve">, the Court of Appeals of Virginia, held (3 to 0) that the volunteer firefighter, who sheared off a compartment door left open on the engine as he backed out of station, was properly convicted of unauthorized use. </w:t>
      </w:r>
      <w:r w:rsidRPr="0065182A">
        <w:rPr>
          <w:rFonts w:ascii="Times New Roman" w:hAnsi="Times New Roman"/>
          <w:sz w:val="24"/>
          <w:szCs w:val="24"/>
        </w:rPr>
        <w:t xml:space="preserve">Arrington was indicted for the unauthorized use of a vehicle belonging to the Clifton Forge Fire Department, in violation of Code § 18.2-102. </w:t>
      </w:r>
      <w:r w:rsidRPr="0065182A">
        <w:rPr>
          <w:rFonts w:ascii="Times New Roman" w:hAnsi="Times New Roman"/>
          <w:sz w:val="24"/>
          <w:szCs w:val="24"/>
        </w:rPr>
        <w:lastRenderedPageBreak/>
        <w:t xml:space="preserve">If the vehicle is worth $1, 000 or more, the crime is a Class 6 felony. At his bench trial, Arrington moved to strike the evidence, arguing that the Commonwealth failed to prove "any kind of deprivation" of possession or that Arrington had "the intent to deprive" </w:t>
      </w:r>
      <w:proofErr w:type="gramStart"/>
      <w:r w:rsidRPr="0065182A">
        <w:rPr>
          <w:rFonts w:ascii="Times New Roman" w:hAnsi="Times New Roman"/>
          <w:sz w:val="24"/>
          <w:szCs w:val="24"/>
        </w:rPr>
        <w:t>the</w:t>
      </w:r>
      <w:proofErr w:type="gramEnd"/>
      <w:r w:rsidRPr="0065182A">
        <w:rPr>
          <w:rFonts w:ascii="Times New Roman" w:hAnsi="Times New Roman"/>
          <w:sz w:val="24"/>
          <w:szCs w:val="24"/>
        </w:rPr>
        <w:t xml:space="preserve"> department of possession. The court denied the motion and found Arrington guilty as charged. The court sentenced him to twelve months' incarceration, all suspended, plus two years of unsupervised probation. Arrington was also ordered to pay $21, 947.64 in restitution to the two insurance companies that had paid the department's </w:t>
      </w:r>
      <w:proofErr w:type="gramStart"/>
      <w:r w:rsidRPr="0065182A">
        <w:rPr>
          <w:rFonts w:ascii="Times New Roman" w:hAnsi="Times New Roman"/>
          <w:sz w:val="24"/>
          <w:szCs w:val="24"/>
        </w:rPr>
        <w:t>property-damage</w:t>
      </w:r>
      <w:proofErr w:type="gramEnd"/>
      <w:r w:rsidRPr="0065182A">
        <w:rPr>
          <w:rFonts w:ascii="Times New Roman" w:hAnsi="Times New Roman"/>
          <w:sz w:val="24"/>
          <w:szCs w:val="24"/>
        </w:rPr>
        <w:t xml:space="preserve"> claims.</w:t>
      </w:r>
      <w:r>
        <w:rPr>
          <w:rFonts w:ascii="Times New Roman" w:hAnsi="Times New Roman"/>
          <w:sz w:val="24"/>
          <w:szCs w:val="24"/>
        </w:rPr>
        <w:t xml:space="preserve"> </w:t>
      </w:r>
      <w:hyperlink r:id="rId1000" w:history="1">
        <w:r w:rsidRPr="00E9684A">
          <w:rPr>
            <w:rStyle w:val="Hyperlink"/>
            <w:rFonts w:ascii="Times New Roman" w:hAnsi="Times New Roman"/>
            <w:sz w:val="24"/>
            <w:szCs w:val="24"/>
          </w:rPr>
          <w:t>https://law.justia.com/cases/virginia/court-of-appeals-unpublished/2022/0124-21-3.html</w:t>
        </w:r>
      </w:hyperlink>
      <w:r>
        <w:rPr>
          <w:rFonts w:ascii="Times New Roman" w:hAnsi="Times New Roman"/>
          <w:sz w:val="24"/>
          <w:szCs w:val="24"/>
        </w:rPr>
        <w:t xml:space="preserve"> </w:t>
      </w:r>
    </w:p>
    <w:p w14:paraId="67E3DFB7" w14:textId="77777777" w:rsidR="0002742E" w:rsidRDefault="0002742E" w:rsidP="0002742E">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Legal Lesson Learned: Do not drive emergency vehicles until authorized by your FD.</w:t>
      </w:r>
    </w:p>
    <w:p w14:paraId="237648CA" w14:textId="77777777" w:rsidR="0002742E" w:rsidRDefault="0002742E" w:rsidP="00EF1133">
      <w:pPr>
        <w:rPr>
          <w:rFonts w:ascii="Arial Black" w:hAnsi="Arial Black"/>
          <w:b/>
          <w:sz w:val="24"/>
          <w:szCs w:val="24"/>
        </w:rPr>
      </w:pPr>
    </w:p>
    <w:p w14:paraId="3357719E" w14:textId="77777777" w:rsidR="0002742E" w:rsidRDefault="0002742E" w:rsidP="00EF1133">
      <w:pPr>
        <w:rPr>
          <w:rFonts w:ascii="Arial Black" w:hAnsi="Arial Black"/>
          <w:b/>
          <w:sz w:val="24"/>
          <w:szCs w:val="24"/>
        </w:rPr>
      </w:pPr>
    </w:p>
    <w:p w14:paraId="0E157562" w14:textId="77777777" w:rsidR="0002742E" w:rsidRDefault="0002742E" w:rsidP="00EF1133">
      <w:pPr>
        <w:rPr>
          <w:rFonts w:ascii="Arial Black" w:hAnsi="Arial Black"/>
          <w:b/>
          <w:sz w:val="24"/>
          <w:szCs w:val="24"/>
        </w:rPr>
      </w:pPr>
    </w:p>
    <w:p w14:paraId="1B6A1ACB" w14:textId="3CAE8447" w:rsidR="00AE6CF5" w:rsidRDefault="00AE6CF5" w:rsidP="00EF1133">
      <w:pPr>
        <w:rPr>
          <w:rFonts w:ascii="Arial Black" w:hAnsi="Arial Black"/>
          <w:b/>
          <w:sz w:val="24"/>
          <w:szCs w:val="24"/>
        </w:rPr>
      </w:pPr>
      <w:r>
        <w:rPr>
          <w:rFonts w:ascii="Arial Black" w:hAnsi="Arial Black"/>
          <w:b/>
          <w:sz w:val="24"/>
          <w:szCs w:val="24"/>
        </w:rPr>
        <w:t>5-24</w:t>
      </w:r>
    </w:p>
    <w:p w14:paraId="7166C67D" w14:textId="77777777" w:rsidR="00AE6CF5" w:rsidRDefault="00AE6CF5" w:rsidP="00AE6CF5">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TX: MEDIC USED LIGHTS / BUT NO SIREN – INTERSECTION RED LIGHT - TRUCK KILLED PATIENT – NO IMMUNITY</w:t>
      </w:r>
    </w:p>
    <w:p w14:paraId="0ED998AF" w14:textId="77777777" w:rsidR="00AE6CF5" w:rsidRDefault="00AE6CF5" w:rsidP="00AE6CF5">
      <w:pPr>
        <w:spacing w:before="100" w:beforeAutospacing="1" w:after="100" w:afterAutospacing="1" w:line="240" w:lineRule="auto"/>
        <w:rPr>
          <w:rFonts w:ascii="Times New Roman" w:eastAsia="Times New Roman" w:hAnsi="Times New Roman"/>
          <w:sz w:val="24"/>
          <w:szCs w:val="24"/>
        </w:rPr>
      </w:pPr>
      <w:r w:rsidRPr="00A7603D">
        <w:rPr>
          <w:rFonts w:ascii="Times New Roman" w:eastAsia="Times New Roman" w:hAnsi="Times New Roman"/>
          <w:sz w:val="24"/>
          <w:szCs w:val="24"/>
        </w:rPr>
        <w:t xml:space="preserve">On March 17, 2022, in </w:t>
      </w:r>
      <w:r w:rsidRPr="00A7603D">
        <w:rPr>
          <w:rFonts w:ascii="Times New Roman" w:eastAsia="Times New Roman" w:hAnsi="Times New Roman"/>
          <w:sz w:val="24"/>
          <w:szCs w:val="24"/>
          <w:u w:val="single"/>
        </w:rPr>
        <w:t>Blue Bird Medical Enterprises, LLC, d/b/a Allegiance Mobile Health and Nicole Marina Mirza</w:t>
      </w:r>
      <w:r>
        <w:rPr>
          <w:rFonts w:ascii="Times New Roman" w:eastAsia="Times New Roman" w:hAnsi="Times New Roman"/>
          <w:sz w:val="24"/>
          <w:szCs w:val="24"/>
          <w:u w:val="single"/>
        </w:rPr>
        <w:t xml:space="preserve"> v. Russell Lynn Wllis, et al.</w:t>
      </w:r>
      <w:r>
        <w:rPr>
          <w:rFonts w:ascii="Times New Roman" w:eastAsia="Times New Roman" w:hAnsi="Times New Roman"/>
          <w:sz w:val="24"/>
          <w:szCs w:val="24"/>
        </w:rPr>
        <w:t xml:space="preserve">, the Court of Appeals of Texas, Fourteenth District, held (3 to 0) that trial court properly denied the defendants’ motion to dismiss, since the plaintiffs’ expert (a very experienced medic) testified the medic on a hospital to hospital transfer “breached the standard of care” when entering intersection against a red light without a siren activated.  The lawsuit may now proceed under the Texas health care liability claim. </w:t>
      </w:r>
      <w:hyperlink r:id="rId1001" w:history="1">
        <w:r w:rsidRPr="005848D2">
          <w:rPr>
            <w:rStyle w:val="Hyperlink"/>
            <w:rFonts w:ascii="Times New Roman" w:hAnsi="Times New Roman"/>
            <w:sz w:val="24"/>
            <w:szCs w:val="24"/>
          </w:rPr>
          <w:t>https://law.justia.com/cases/texas/fourteenth-court-of-appeals/2022/14-20-00566-cv.html</w:t>
        </w:r>
      </w:hyperlink>
    </w:p>
    <w:p w14:paraId="4CC31B02" w14:textId="77777777" w:rsidR="00AE6CF5" w:rsidRPr="005F6421" w:rsidRDefault="00AE6CF5" w:rsidP="00AE6CF5">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5F6421">
        <w:rPr>
          <w:rFonts w:ascii="Times New Roman" w:eastAsia="Times New Roman" w:hAnsi="Times New Roman"/>
          <w:sz w:val="24"/>
          <w:szCs w:val="24"/>
        </w:rPr>
        <w:t xml:space="preserve">Nicole Mirza was driving the ambulance, with Willis as a passenger on the rear stretcher, on FM 2004 in Brazoria County. Mirza approached a red light at the intersection of FM 2004 and State Highway 288B. Mirza entered the left-hand turn lane to pass other vehicles waiting at the red light, and she pulled into the intersection using only emergency lights with no audible siren. A pickup truck struck the ambulance, causing it to overturn. Shortly thereafter, Willis collapsed and could not be resuscitated. In the crash, Willis sustained blunt force injuries with laceration of the spleen and massive internal injuries, and the blunt force trauma caused his death. </w:t>
      </w:r>
    </w:p>
    <w:p w14:paraId="73F006B9" w14:textId="77777777" w:rsidR="00AE6CF5" w:rsidRDefault="00AE6CF5" w:rsidP="00AE6CF5">
      <w:pPr>
        <w:spacing w:after="100" w:line="240" w:lineRule="auto"/>
        <w:ind w:left="720"/>
        <w:rPr>
          <w:rFonts w:ascii="Times New Roman" w:hAnsi="Times New Roman"/>
          <w:sz w:val="24"/>
          <w:szCs w:val="24"/>
        </w:rPr>
      </w:pPr>
      <w:r w:rsidRPr="005F6421">
        <w:rPr>
          <w:rFonts w:ascii="Times New Roman" w:eastAsia="Times New Roman" w:hAnsi="Times New Roman"/>
          <w:sz w:val="24"/>
          <w:szCs w:val="24"/>
        </w:rPr>
        <w:t xml:space="preserve">The driver of the pickup truck had a green light and did not hear any siren activated on the ambulance. Three eyewitnesses at the scene confirmed that Mirza had not activated the ambulance siren by the time of the collision. The investigating police officer cited Mirza's failure to activate the siren as the only contributing factor in the crash. </w:t>
      </w:r>
      <w:r>
        <w:rPr>
          <w:rFonts w:ascii="Times New Roman" w:hAnsi="Times New Roman"/>
          <w:sz w:val="24"/>
          <w:szCs w:val="24"/>
        </w:rPr>
        <w:tab/>
      </w:r>
    </w:p>
    <w:p w14:paraId="5A3ECFBB" w14:textId="77777777" w:rsidR="00AE6CF5" w:rsidRPr="005F6421" w:rsidRDefault="00AE6CF5" w:rsidP="00AE6CF5">
      <w:pPr>
        <w:spacing w:after="100" w:line="240" w:lineRule="auto"/>
        <w:ind w:left="720"/>
        <w:rPr>
          <w:rFonts w:ascii="Times New Roman" w:eastAsia="Times New Roman" w:hAnsi="Times New Roman"/>
          <w:sz w:val="24"/>
          <w:szCs w:val="24"/>
        </w:rPr>
      </w:pPr>
      <w:r>
        <w:rPr>
          <w:rFonts w:ascii="Times New Roman" w:hAnsi="Times New Roman"/>
          <w:sz w:val="24"/>
          <w:szCs w:val="24"/>
        </w:rPr>
        <w:t>Plaintiff’s expert [</w:t>
      </w:r>
      <w:r w:rsidRPr="005F6421">
        <w:rPr>
          <w:rFonts w:ascii="Times New Roman" w:eastAsia="Times New Roman" w:hAnsi="Times New Roman"/>
          <w:sz w:val="24"/>
          <w:szCs w:val="24"/>
        </w:rPr>
        <w:t>Robert Krause</w:t>
      </w:r>
      <w:r>
        <w:rPr>
          <w:rFonts w:ascii="Times New Roman" w:eastAsia="Times New Roman" w:hAnsi="Times New Roman"/>
          <w:sz w:val="24"/>
          <w:szCs w:val="24"/>
        </w:rPr>
        <w:t xml:space="preserve">, Ed.D., has </w:t>
      </w:r>
      <w:r w:rsidRPr="005F6421">
        <w:rPr>
          <w:rFonts w:ascii="Times New Roman" w:eastAsia="Times New Roman" w:hAnsi="Times New Roman"/>
          <w:sz w:val="24"/>
          <w:szCs w:val="24"/>
        </w:rPr>
        <w:t>been a practicing paramedic for nearly four decades</w:t>
      </w:r>
      <w:r>
        <w:rPr>
          <w:rFonts w:ascii="Times New Roman" w:eastAsia="Times New Roman" w:hAnsi="Times New Roman"/>
          <w:sz w:val="24"/>
          <w:szCs w:val="24"/>
        </w:rPr>
        <w:t xml:space="preserve">] </w:t>
      </w:r>
      <w:r w:rsidRPr="00CA6457">
        <w:rPr>
          <w:rFonts w:ascii="Times New Roman" w:hAnsi="Times New Roman"/>
          <w:sz w:val="24"/>
          <w:szCs w:val="24"/>
        </w:rPr>
        <w:t xml:space="preserve">then identified the different standards of care applicable to </w:t>
      </w:r>
      <w:r>
        <w:rPr>
          <w:rFonts w:ascii="Times New Roman" w:hAnsi="Times New Roman"/>
          <w:sz w:val="24"/>
          <w:szCs w:val="24"/>
        </w:rPr>
        <w:t>‘</w:t>
      </w:r>
      <w:r w:rsidRPr="00CA6457">
        <w:rPr>
          <w:rFonts w:ascii="Times New Roman" w:hAnsi="Times New Roman"/>
          <w:sz w:val="24"/>
          <w:szCs w:val="24"/>
        </w:rPr>
        <w:t>routine</w:t>
      </w:r>
      <w:r>
        <w:rPr>
          <w:rFonts w:ascii="Times New Roman" w:hAnsi="Times New Roman"/>
          <w:sz w:val="24"/>
          <w:szCs w:val="24"/>
        </w:rPr>
        <w:t>’</w:t>
      </w:r>
      <w:r w:rsidRPr="00CA6457">
        <w:rPr>
          <w:rFonts w:ascii="Times New Roman" w:hAnsi="Times New Roman"/>
          <w:sz w:val="24"/>
          <w:szCs w:val="24"/>
        </w:rPr>
        <w:t xml:space="preserve"> transports and to </w:t>
      </w:r>
      <w:r>
        <w:rPr>
          <w:rFonts w:ascii="Times New Roman" w:hAnsi="Times New Roman"/>
          <w:sz w:val="24"/>
          <w:szCs w:val="24"/>
        </w:rPr>
        <w:t>‘</w:t>
      </w:r>
      <w:r w:rsidRPr="00CA6457">
        <w:rPr>
          <w:rFonts w:ascii="Times New Roman" w:hAnsi="Times New Roman"/>
          <w:sz w:val="24"/>
          <w:szCs w:val="24"/>
        </w:rPr>
        <w:t>true emergencies,</w:t>
      </w:r>
      <w:r>
        <w:rPr>
          <w:rFonts w:ascii="Times New Roman" w:hAnsi="Times New Roman"/>
          <w:sz w:val="24"/>
          <w:szCs w:val="24"/>
        </w:rPr>
        <w:t>’</w:t>
      </w:r>
      <w:r w:rsidRPr="00CA6457">
        <w:rPr>
          <w:rFonts w:ascii="Times New Roman" w:hAnsi="Times New Roman"/>
          <w:sz w:val="24"/>
          <w:szCs w:val="24"/>
        </w:rPr>
        <w:t xml:space="preserve"> and although he asserted that Willis's transport </w:t>
      </w:r>
      <w:r>
        <w:rPr>
          <w:rFonts w:ascii="Times New Roman" w:hAnsi="Times New Roman"/>
          <w:sz w:val="24"/>
          <w:szCs w:val="24"/>
        </w:rPr>
        <w:t>‘</w:t>
      </w:r>
      <w:r w:rsidRPr="00CA6457">
        <w:rPr>
          <w:rFonts w:ascii="Times New Roman" w:hAnsi="Times New Roman"/>
          <w:sz w:val="24"/>
          <w:szCs w:val="24"/>
        </w:rPr>
        <w:t>was not an emergency,</w:t>
      </w:r>
      <w:r>
        <w:rPr>
          <w:rFonts w:ascii="Times New Roman" w:hAnsi="Times New Roman"/>
          <w:sz w:val="24"/>
          <w:szCs w:val="24"/>
        </w:rPr>
        <w:t>’</w:t>
      </w:r>
      <w:r w:rsidRPr="00CA6457">
        <w:rPr>
          <w:rFonts w:ascii="Times New Roman" w:hAnsi="Times New Roman"/>
          <w:sz w:val="24"/>
          <w:szCs w:val="24"/>
        </w:rPr>
        <w:t xml:space="preserve"> he opined that Mirza breached both standards of care.</w:t>
      </w:r>
      <w:r>
        <w:rPr>
          <w:rFonts w:ascii="Times New Roman" w:hAnsi="Times New Roman"/>
          <w:sz w:val="24"/>
          <w:szCs w:val="24"/>
        </w:rPr>
        <w:t xml:space="preserve">” </w:t>
      </w:r>
      <w:hyperlink r:id="rId1002" w:history="1">
        <w:r w:rsidRPr="005848D2">
          <w:rPr>
            <w:rStyle w:val="Hyperlink"/>
            <w:rFonts w:ascii="Times New Roman" w:hAnsi="Times New Roman"/>
            <w:sz w:val="24"/>
            <w:szCs w:val="24"/>
          </w:rPr>
          <w:t>https://law.justia.com/cases/texas/fourteenth-court-of-appeals/2022/14-20-00566-cv.html</w:t>
        </w:r>
      </w:hyperlink>
      <w:r>
        <w:rPr>
          <w:rFonts w:ascii="Times New Roman" w:hAnsi="Times New Roman"/>
          <w:sz w:val="24"/>
          <w:szCs w:val="24"/>
        </w:rPr>
        <w:t xml:space="preserve"> </w:t>
      </w:r>
    </w:p>
    <w:p w14:paraId="148A37DB" w14:textId="77777777" w:rsidR="00727951" w:rsidRPr="00BB6FE9" w:rsidRDefault="00727951" w:rsidP="00727951">
      <w:pPr>
        <w:pStyle w:val="NormalWeb"/>
        <w:rPr>
          <w:b/>
          <w:bCs/>
        </w:rPr>
      </w:pPr>
      <w:r w:rsidRPr="00BB6FE9">
        <w:rPr>
          <w:b/>
          <w:bCs/>
        </w:rPr>
        <w:t>Legal Lesson Learned:</w:t>
      </w:r>
      <w:r>
        <w:rPr>
          <w:b/>
          <w:bCs/>
        </w:rPr>
        <w:t xml:space="preserve"> When driving an ambulance, or other emergency apparatus, do not enter an intersection against a red light without both siren and lights activated. A best practice, while not required by some state laws, is to have a SOG requiring full stops at controlled intersections.</w:t>
      </w:r>
    </w:p>
    <w:p w14:paraId="2E99815E" w14:textId="77777777" w:rsidR="00AE6CF5" w:rsidRDefault="00AE6CF5" w:rsidP="00EF1133">
      <w:pPr>
        <w:rPr>
          <w:rFonts w:ascii="Arial Black" w:hAnsi="Arial Black"/>
          <w:b/>
          <w:sz w:val="24"/>
          <w:szCs w:val="24"/>
        </w:rPr>
      </w:pPr>
    </w:p>
    <w:p w14:paraId="3148A01C" w14:textId="005DEEA9" w:rsidR="00AE6CF5" w:rsidRDefault="00AE6CF5" w:rsidP="00EF1133">
      <w:pPr>
        <w:rPr>
          <w:rFonts w:ascii="Arial Black" w:hAnsi="Arial Black"/>
          <w:b/>
          <w:sz w:val="24"/>
          <w:szCs w:val="24"/>
        </w:rPr>
      </w:pPr>
      <w:r>
        <w:rPr>
          <w:rFonts w:ascii="Arial Black" w:hAnsi="Arial Black"/>
          <w:b/>
          <w:sz w:val="24"/>
          <w:szCs w:val="24"/>
        </w:rPr>
        <w:t>5-23</w:t>
      </w:r>
    </w:p>
    <w:p w14:paraId="14C7391A" w14:textId="77777777" w:rsidR="00AE6CF5" w:rsidRPr="00773F77" w:rsidRDefault="00AE6CF5" w:rsidP="00AE6CF5">
      <w:pPr>
        <w:spacing w:before="100" w:beforeAutospacing="1" w:after="100" w:afterAutospacing="1" w:line="240" w:lineRule="auto"/>
        <w:rPr>
          <w:rFonts w:ascii="Arial Black" w:eastAsia="Times New Roman" w:hAnsi="Arial Black"/>
          <w:b/>
          <w:bCs/>
          <w:color w:val="000000" w:themeColor="text1"/>
          <w:sz w:val="28"/>
          <w:szCs w:val="28"/>
        </w:rPr>
      </w:pPr>
      <w:r w:rsidRPr="00773F77">
        <w:rPr>
          <w:rFonts w:ascii="Arial Black" w:eastAsia="Times New Roman" w:hAnsi="Arial Black"/>
          <w:b/>
          <w:bCs/>
          <w:color w:val="000000" w:themeColor="text1"/>
          <w:sz w:val="28"/>
          <w:szCs w:val="28"/>
        </w:rPr>
        <w:t xml:space="preserve">TX: VOL. FF DRIVING HOME AFTER FIRE – STRUCK TWO FF CHECKING TIRE ON TANKER – ONE DIED </w:t>
      </w:r>
      <w:r>
        <w:rPr>
          <w:rFonts w:ascii="Arial Black" w:eastAsia="Times New Roman" w:hAnsi="Arial Black"/>
          <w:b/>
          <w:bCs/>
          <w:color w:val="000000" w:themeColor="text1"/>
          <w:sz w:val="28"/>
          <w:szCs w:val="28"/>
        </w:rPr>
        <w:t xml:space="preserve">- </w:t>
      </w:r>
      <w:r w:rsidRPr="00773F77">
        <w:rPr>
          <w:rFonts w:ascii="Arial Black" w:eastAsia="Times New Roman" w:hAnsi="Arial Black"/>
          <w:b/>
          <w:bCs/>
          <w:color w:val="000000" w:themeColor="text1"/>
          <w:sz w:val="28"/>
          <w:szCs w:val="28"/>
        </w:rPr>
        <w:t xml:space="preserve">NO IMMUNITY </w:t>
      </w:r>
    </w:p>
    <w:p w14:paraId="39E6660C" w14:textId="77777777" w:rsidR="00AE6CF5" w:rsidRDefault="00AE6CF5" w:rsidP="00AE6CF5">
      <w:pPr>
        <w:pStyle w:val="NormalWeb"/>
      </w:pPr>
      <w:r w:rsidRPr="004D2359">
        <w:t xml:space="preserve">On </w:t>
      </w:r>
      <w:r>
        <w:t xml:space="preserve">March 17, 2022, in </w:t>
      </w:r>
      <w:r w:rsidRPr="00055EE6">
        <w:rPr>
          <w:u w:val="single"/>
        </w:rPr>
        <w:t xml:space="preserve">John Weston Roades v. Lisa Henderson, as Administratrix of the estate of Steven Henderson, Kinsley Henderson, </w:t>
      </w:r>
      <w:proofErr w:type="spellStart"/>
      <w:r w:rsidRPr="00055EE6">
        <w:rPr>
          <w:u w:val="single"/>
        </w:rPr>
        <w:t>Koale</w:t>
      </w:r>
      <w:proofErr w:type="spellEnd"/>
      <w:r w:rsidRPr="00055EE6">
        <w:rPr>
          <w:u w:val="single"/>
        </w:rPr>
        <w:t xml:space="preserve"> Jaks and Robert Popp</w:t>
      </w:r>
      <w:r>
        <w:t xml:space="preserve">, the Court of Appeals of Texas, Thirteenth District (Corpus Christi – Edinburg), held (3 to 0) </w:t>
      </w:r>
      <w:r w:rsidRPr="008C6B39">
        <w:t xml:space="preserve">that the trial court properly denied the </w:t>
      </w:r>
      <w:r>
        <w:t xml:space="preserve">motion to dismiss by the </w:t>
      </w:r>
      <w:r w:rsidRPr="008C6B39">
        <w:t>volunteer firefighter</w:t>
      </w:r>
      <w:r>
        <w:t xml:space="preserve"> </w:t>
      </w:r>
      <w:r w:rsidRPr="008C6B39">
        <w:t xml:space="preserve">with the Louise Volunteer Fire Department (LVFD), Wharton County, Texas, </w:t>
      </w:r>
      <w:r>
        <w:t>since the Texas Tort Claims Act protects governmental “employees” (defined as “in the paid service of a governmental unit) and another provision only protects volunteer firefighters “</w:t>
      </w:r>
      <w:r w:rsidRPr="00C9048E">
        <w:rPr>
          <w:rStyle w:val="Emphasis"/>
        </w:rPr>
        <w:t>while involved in or providing an emergency response</w:t>
      </w:r>
      <w:r w:rsidRPr="00C9048E">
        <w:t xml:space="preserve"> as a member of a volunteer fire department."</w:t>
      </w:r>
      <w:r>
        <w:t xml:space="preserve"> </w:t>
      </w:r>
      <w:hyperlink r:id="rId1003" w:history="1">
        <w:r w:rsidRPr="005A2A16">
          <w:rPr>
            <w:rStyle w:val="Hyperlink"/>
            <w:rFonts w:eastAsiaTheme="majorEastAsia"/>
          </w:rPr>
          <w:t>https://law.justia.com/cases/texas/thirteenth-court-of-appeals/2022/13-20-00315-cv.html</w:t>
        </w:r>
      </w:hyperlink>
      <w:r>
        <w:t xml:space="preserve"> </w:t>
      </w:r>
    </w:p>
    <w:p w14:paraId="56E5BEC3" w14:textId="77777777" w:rsidR="00AE6CF5" w:rsidRDefault="00AE6CF5" w:rsidP="00AE6CF5">
      <w:pPr>
        <w:pStyle w:val="NormalWeb"/>
        <w:ind w:left="1440"/>
      </w:pPr>
      <w:r>
        <w:t xml:space="preserve">“Here, by Roades's own account, ‘the fire was under control’ and he was travelling home in his personal vehicle when the accident occurred. Thus, it is undisputed that Roades was not involved in or providing an emergency response during or at the time of the accident. Accordingly, Roades is not entitled to </w:t>
      </w:r>
      <w:proofErr w:type="gramStart"/>
      <w:r>
        <w:t>the ‘exclusions,</w:t>
      </w:r>
      <w:proofErr w:type="gramEnd"/>
      <w:r>
        <w:t xml:space="preserve"> exceptions, immunities, and </w:t>
      </w:r>
      <w:proofErr w:type="gramStart"/>
      <w:r>
        <w:t>defenses’</w:t>
      </w:r>
      <w:proofErr w:type="gramEnd"/>
      <w:r>
        <w:t xml:space="preserve"> applicable to an employee under the TTCA. </w:t>
      </w:r>
      <w:r>
        <w:rPr>
          <w:rStyle w:val="Emphasis"/>
        </w:rPr>
        <w:t>See</w:t>
      </w:r>
      <w:r>
        <w:t xml:space="preserve"> Tex. Civ. </w:t>
      </w:r>
      <w:proofErr w:type="spellStart"/>
      <w:r>
        <w:t>Prac</w:t>
      </w:r>
      <w:proofErr w:type="spellEnd"/>
      <w:r>
        <w:t xml:space="preserve">. &amp; Rem. Code Ann. §§ 78.101(1), 78.102, 78.104.” </w:t>
      </w:r>
      <w:hyperlink r:id="rId1004" w:history="1">
        <w:r w:rsidRPr="005A2A16">
          <w:rPr>
            <w:rStyle w:val="Hyperlink"/>
            <w:rFonts w:eastAsiaTheme="majorEastAsia"/>
          </w:rPr>
          <w:t>https://law.justia.com/cases/texas/thirteenth-court-of-appeals/2022/13-20-00315-cv.html</w:t>
        </w:r>
      </w:hyperlink>
      <w:r>
        <w:t xml:space="preserve"> </w:t>
      </w:r>
    </w:p>
    <w:p w14:paraId="12F41A3B" w14:textId="77777777" w:rsidR="00AE6CF5" w:rsidRDefault="00AE6CF5" w:rsidP="00AE6CF5">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Here’s an article on this tragic accident. </w:t>
      </w:r>
    </w:p>
    <w:p w14:paraId="399F0B72" w14:textId="77777777" w:rsidR="00AE6CF5" w:rsidRPr="00F908DA" w:rsidRDefault="00AE6CF5" w:rsidP="00AE6CF5">
      <w:pPr>
        <w:spacing w:before="100" w:beforeAutospacing="1" w:after="100" w:afterAutospacing="1" w:line="240" w:lineRule="auto"/>
        <w:ind w:left="1440"/>
        <w:rPr>
          <w:rFonts w:ascii="Times New Roman" w:eastAsia="Times New Roman" w:hAnsi="Times New Roman"/>
          <w:sz w:val="24"/>
          <w:szCs w:val="24"/>
        </w:rPr>
      </w:pPr>
      <w:r w:rsidRPr="00F908DA">
        <w:rPr>
          <w:rFonts w:ascii="Times New Roman" w:eastAsia="Times New Roman" w:hAnsi="Times New Roman"/>
          <w:sz w:val="24"/>
          <w:szCs w:val="24"/>
        </w:rPr>
        <w:t>On Monday, October 7, 2019, Firefighter Steven Henderson with the Louise (TX) Volunteer Fire Department and another firefighter were returning from a fire call in a tanker truck when they stopped alongside the road to inspect the front tires.  While outside the vehicle, another firefighter from the same fire department driving his personal pick-up truck, who was also at the scene of the fire call and left shortly after Henderson, did not see the truck parked in the roadway or the two firefighters standing outside of it. He subsequently hit both Henderson and the other firefighter.</w:t>
      </w:r>
      <w:r>
        <w:rPr>
          <w:rFonts w:ascii="Times New Roman" w:eastAsia="Times New Roman" w:hAnsi="Times New Roman"/>
          <w:sz w:val="24"/>
          <w:szCs w:val="24"/>
        </w:rPr>
        <w:t xml:space="preserve">” </w:t>
      </w:r>
      <w:hyperlink r:id="rId1005" w:anchor="gref" w:history="1">
        <w:r w:rsidRPr="005A2A16">
          <w:rPr>
            <w:rStyle w:val="Hyperlink"/>
            <w:rFonts w:ascii="Times New Roman" w:eastAsia="Times New Roman" w:hAnsi="Times New Roman"/>
            <w:sz w:val="24"/>
            <w:szCs w:val="24"/>
          </w:rPr>
          <w:t>https://www.fireengineering.com/health-safety/tx-firefighter-dies-after-being-struck/#gref</w:t>
        </w:r>
      </w:hyperlink>
      <w:r>
        <w:rPr>
          <w:rFonts w:ascii="Times New Roman" w:eastAsia="Times New Roman" w:hAnsi="Times New Roman"/>
          <w:sz w:val="24"/>
          <w:szCs w:val="24"/>
        </w:rPr>
        <w:t xml:space="preserve"> </w:t>
      </w:r>
    </w:p>
    <w:p w14:paraId="43D5B593" w14:textId="77777777" w:rsidR="00AE6CF5" w:rsidRPr="00C9048E" w:rsidRDefault="00AE6CF5" w:rsidP="00AE6CF5">
      <w:pPr>
        <w:pStyle w:val="NormalWeb"/>
        <w:rPr>
          <w:b/>
          <w:bCs/>
        </w:rPr>
      </w:pPr>
      <w:r w:rsidRPr="00927C97">
        <w:rPr>
          <w:b/>
          <w:bCs/>
        </w:rPr>
        <w:t xml:space="preserve">Legal Lesson Learned: </w:t>
      </w:r>
      <w:r>
        <w:rPr>
          <w:b/>
          <w:bCs/>
        </w:rPr>
        <w:t xml:space="preserve">Volunteer emergency responders should carefully check the law in their state; it is a wise practice to confirm with your automobile insurance carrier that you have coverage when serving as a volunteer. </w:t>
      </w:r>
    </w:p>
    <w:p w14:paraId="2DDBEC6C" w14:textId="77777777" w:rsidR="00AE6CF5" w:rsidRDefault="00AE6CF5" w:rsidP="00EF1133">
      <w:pPr>
        <w:rPr>
          <w:rFonts w:ascii="Arial Black" w:hAnsi="Arial Black"/>
          <w:b/>
          <w:sz w:val="24"/>
          <w:szCs w:val="24"/>
        </w:rPr>
      </w:pPr>
    </w:p>
    <w:p w14:paraId="7EDAB3F2" w14:textId="54900446" w:rsidR="00B5724A" w:rsidRDefault="00B5724A" w:rsidP="00EF1133">
      <w:pPr>
        <w:rPr>
          <w:rFonts w:ascii="Arial Black" w:hAnsi="Arial Black"/>
          <w:b/>
          <w:sz w:val="24"/>
          <w:szCs w:val="24"/>
        </w:rPr>
      </w:pPr>
      <w:r>
        <w:rPr>
          <w:rFonts w:ascii="Arial Black" w:hAnsi="Arial Black"/>
          <w:b/>
          <w:sz w:val="24"/>
          <w:szCs w:val="24"/>
        </w:rPr>
        <w:t>5-22</w:t>
      </w:r>
    </w:p>
    <w:p w14:paraId="6DA16F78" w14:textId="77777777" w:rsidR="00B5724A" w:rsidRDefault="00B5724A" w:rsidP="00B5724A">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TX: RED LIGHT - AMBULANCE DRIVER LIGHTS &amp; SIREN DIDN’T SLOW DOWN - OBSTRUCTED VIEW – NO IMMUNITY </w:t>
      </w:r>
    </w:p>
    <w:p w14:paraId="653E5251" w14:textId="77777777" w:rsidR="00B5724A" w:rsidRPr="00CB1C4F" w:rsidRDefault="00B5724A" w:rsidP="00B5724A">
      <w:pPr>
        <w:spacing w:before="100" w:beforeAutospacing="1" w:after="100" w:afterAutospacing="1" w:line="240" w:lineRule="auto"/>
        <w:rPr>
          <w:rFonts w:ascii="Times New Roman" w:hAnsi="Times New Roman"/>
          <w:sz w:val="24"/>
          <w:szCs w:val="24"/>
        </w:rPr>
      </w:pPr>
      <w:r w:rsidRPr="00E82791">
        <w:rPr>
          <w:rFonts w:ascii="Times New Roman" w:hAnsi="Times New Roman"/>
          <w:sz w:val="24"/>
          <w:szCs w:val="24"/>
        </w:rPr>
        <w:t xml:space="preserve">On </w:t>
      </w:r>
      <w:r>
        <w:rPr>
          <w:rFonts w:ascii="Times New Roman" w:hAnsi="Times New Roman"/>
          <w:sz w:val="24"/>
          <w:szCs w:val="24"/>
        </w:rPr>
        <w:t xml:space="preserve">Dec. 30, 2021, in </w:t>
      </w:r>
      <w:proofErr w:type="spellStart"/>
      <w:r w:rsidRPr="00E82791">
        <w:rPr>
          <w:rFonts w:ascii="Times New Roman" w:hAnsi="Times New Roman"/>
          <w:sz w:val="24"/>
          <w:szCs w:val="24"/>
          <w:u w:val="single"/>
        </w:rPr>
        <w:t>Seronda</w:t>
      </w:r>
      <w:proofErr w:type="spellEnd"/>
      <w:r w:rsidRPr="00E82791">
        <w:rPr>
          <w:rFonts w:ascii="Times New Roman" w:hAnsi="Times New Roman"/>
          <w:sz w:val="24"/>
          <w:szCs w:val="24"/>
          <w:u w:val="single"/>
        </w:rPr>
        <w:t xml:space="preserve"> Gillespie and </w:t>
      </w:r>
      <w:proofErr w:type="spellStart"/>
      <w:r w:rsidRPr="00E82791">
        <w:rPr>
          <w:rFonts w:ascii="Times New Roman" w:hAnsi="Times New Roman"/>
          <w:sz w:val="24"/>
          <w:szCs w:val="24"/>
          <w:u w:val="single"/>
        </w:rPr>
        <w:t>Torondia</w:t>
      </w:r>
      <w:proofErr w:type="spellEnd"/>
      <w:r w:rsidRPr="00E82791">
        <w:rPr>
          <w:rFonts w:ascii="Times New Roman" w:hAnsi="Times New Roman"/>
          <w:sz w:val="24"/>
          <w:szCs w:val="24"/>
          <w:u w:val="single"/>
        </w:rPr>
        <w:t xml:space="preserve"> </w:t>
      </w:r>
      <w:proofErr w:type="spellStart"/>
      <w:r w:rsidRPr="00E82791">
        <w:rPr>
          <w:rFonts w:ascii="Times New Roman" w:hAnsi="Times New Roman"/>
          <w:sz w:val="24"/>
          <w:szCs w:val="24"/>
          <w:u w:val="single"/>
        </w:rPr>
        <w:t>Talber</w:t>
      </w:r>
      <w:proofErr w:type="spellEnd"/>
      <w:r w:rsidRPr="00E82791">
        <w:rPr>
          <w:rFonts w:ascii="Times New Roman" w:hAnsi="Times New Roman"/>
          <w:sz w:val="24"/>
          <w:szCs w:val="24"/>
          <w:u w:val="single"/>
        </w:rPr>
        <w:t xml:space="preserve"> v. Galveston County Health District,</w:t>
      </w:r>
      <w:r>
        <w:rPr>
          <w:rFonts w:ascii="Times New Roman" w:hAnsi="Times New Roman"/>
          <w:sz w:val="24"/>
          <w:szCs w:val="24"/>
        </w:rPr>
        <w:t xml:space="preserve"> the Court of Appeals of Texas, Fourteenth District, held (3 to 0) that trial court is reversed and lawsuit reinstated. By </w:t>
      </w:r>
      <w:proofErr w:type="gramStart"/>
      <w:r>
        <w:rPr>
          <w:rFonts w:ascii="Times New Roman" w:hAnsi="Times New Roman"/>
          <w:sz w:val="24"/>
          <w:szCs w:val="24"/>
        </w:rPr>
        <w:t>entering into</w:t>
      </w:r>
      <w:proofErr w:type="gramEnd"/>
      <w:r>
        <w:rPr>
          <w:rFonts w:ascii="Times New Roman" w:hAnsi="Times New Roman"/>
          <w:sz w:val="24"/>
          <w:szCs w:val="24"/>
        </w:rPr>
        <w:t xml:space="preserve"> the obstructed intersection without slowing down as she had for prior red lights, there is sufficient </w:t>
      </w:r>
      <w:r>
        <w:rPr>
          <w:rFonts w:ascii="Times New Roman" w:hAnsi="Times New Roman"/>
          <w:sz w:val="24"/>
          <w:szCs w:val="24"/>
        </w:rPr>
        <w:lastRenderedPageBreak/>
        <w:t>evidence of “</w:t>
      </w:r>
      <w:r w:rsidRPr="00CB1C4F">
        <w:rPr>
          <w:rFonts w:ascii="Times New Roman" w:hAnsi="Times New Roman"/>
          <w:sz w:val="24"/>
          <w:szCs w:val="24"/>
        </w:rPr>
        <w:t>reckless disregard for the safety of others."</w:t>
      </w:r>
      <w:r>
        <w:rPr>
          <w:rFonts w:ascii="Times New Roman" w:hAnsi="Times New Roman"/>
          <w:sz w:val="24"/>
          <w:szCs w:val="24"/>
        </w:rPr>
        <w:t xml:space="preserve"> The posted speed was 35 mph; paramedic was going about 40 mph. </w:t>
      </w:r>
    </w:p>
    <w:p w14:paraId="22E8D3DB" w14:textId="77777777" w:rsidR="00B5724A" w:rsidRPr="00FF02D0" w:rsidRDefault="00B5724A" w:rsidP="00B5724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FF02D0">
        <w:rPr>
          <w:rFonts w:ascii="Times New Roman" w:eastAsia="Times New Roman" w:hAnsi="Times New Roman"/>
          <w:sz w:val="24"/>
          <w:szCs w:val="24"/>
        </w:rPr>
        <w:t xml:space="preserve">The </w:t>
      </w:r>
      <w:r>
        <w:rPr>
          <w:rFonts w:ascii="Times New Roman" w:eastAsia="Times New Roman" w:hAnsi="Times New Roman"/>
          <w:sz w:val="24"/>
          <w:szCs w:val="24"/>
        </w:rPr>
        <w:t xml:space="preserve">[County Health] </w:t>
      </w:r>
      <w:r w:rsidRPr="00FF02D0">
        <w:rPr>
          <w:rFonts w:ascii="Times New Roman" w:eastAsia="Times New Roman" w:hAnsi="Times New Roman"/>
          <w:sz w:val="24"/>
          <w:szCs w:val="24"/>
        </w:rPr>
        <w:t xml:space="preserve">District presented no evidence that a reasonably prudent official could have believed that Sanders-Fletcher was justified in entering the intersection without first slowing down under these circumstances. The </w:t>
      </w:r>
      <w:proofErr w:type="gramStart"/>
      <w:r w:rsidRPr="00FF02D0">
        <w:rPr>
          <w:rFonts w:ascii="Times New Roman" w:eastAsia="Times New Roman" w:hAnsi="Times New Roman"/>
          <w:sz w:val="24"/>
          <w:szCs w:val="24"/>
        </w:rPr>
        <w:t>District</w:t>
      </w:r>
      <w:proofErr w:type="gramEnd"/>
      <w:r w:rsidRPr="00FF02D0">
        <w:rPr>
          <w:rFonts w:ascii="Times New Roman" w:eastAsia="Times New Roman" w:hAnsi="Times New Roman"/>
          <w:sz w:val="24"/>
          <w:szCs w:val="24"/>
        </w:rPr>
        <w:t xml:space="preserve"> does not contend otherwise; it merely asserts on appeal that Sanders-Fletcher is entitled to official immunity because there is no fact issue as to whether her conduct was reckless and that the video shows her cautious speed and approach through the intersection. Because there is a genuine issue of material fact as to whether Sanders-Fletcher's conduct was reckless, the </w:t>
      </w:r>
      <w:proofErr w:type="gramStart"/>
      <w:r w:rsidRPr="00FF02D0">
        <w:rPr>
          <w:rFonts w:ascii="Times New Roman" w:eastAsia="Times New Roman" w:hAnsi="Times New Roman"/>
          <w:sz w:val="24"/>
          <w:szCs w:val="24"/>
        </w:rPr>
        <w:t>District's</w:t>
      </w:r>
      <w:proofErr w:type="gramEnd"/>
      <w:r w:rsidRPr="00FF02D0">
        <w:rPr>
          <w:rFonts w:ascii="Times New Roman" w:eastAsia="Times New Roman" w:hAnsi="Times New Roman"/>
          <w:sz w:val="24"/>
          <w:szCs w:val="24"/>
        </w:rPr>
        <w:t xml:space="preserve"> official-immunity argument cannot be sustained on this basis.</w:t>
      </w:r>
      <w:r>
        <w:rPr>
          <w:rFonts w:ascii="Times New Roman" w:eastAsia="Times New Roman" w:hAnsi="Times New Roman"/>
          <w:sz w:val="24"/>
          <w:szCs w:val="24"/>
        </w:rPr>
        <w:t xml:space="preserve">” </w:t>
      </w:r>
      <w:r w:rsidRPr="00FF02D0">
        <w:rPr>
          <w:rFonts w:ascii="Times New Roman" w:eastAsia="Times New Roman" w:hAnsi="Times New Roman"/>
          <w:sz w:val="24"/>
          <w:szCs w:val="24"/>
        </w:rPr>
        <w:t xml:space="preserve"> </w:t>
      </w:r>
      <w:hyperlink r:id="rId1006" w:history="1">
        <w:r w:rsidRPr="00EC5853">
          <w:rPr>
            <w:rStyle w:val="Hyperlink"/>
            <w:rFonts w:ascii="Times New Roman" w:eastAsia="Times New Roman" w:hAnsi="Times New Roman"/>
            <w:sz w:val="24"/>
            <w:szCs w:val="24"/>
          </w:rPr>
          <w:t>https://public.fastcase.com/9SKwsfNqTc6OieYDhNMyMxYFAOB%2B8Exz96lCVjgKZ3LX4kIIj1F%2BwgWx84FRdD2XxPjZrEkhT3uMWAcBEArrI0vrm%2B5Vt5gbBlhQIZhqFuE%3D</w:t>
        </w:r>
      </w:hyperlink>
      <w:r>
        <w:rPr>
          <w:rFonts w:ascii="Times New Roman" w:eastAsia="Times New Roman" w:hAnsi="Times New Roman"/>
          <w:sz w:val="24"/>
          <w:szCs w:val="24"/>
        </w:rPr>
        <w:t xml:space="preserve"> </w:t>
      </w:r>
    </w:p>
    <w:p w14:paraId="326AB7B5" w14:textId="77777777" w:rsidR="00B5724A" w:rsidRPr="002C414E" w:rsidRDefault="00B5724A" w:rsidP="00B5724A">
      <w:pPr>
        <w:spacing w:before="100" w:beforeAutospacing="1" w:after="100" w:afterAutospacing="1" w:line="240" w:lineRule="auto"/>
        <w:rPr>
          <w:rFonts w:ascii="Times New Roman" w:hAnsi="Times New Roman"/>
          <w:b/>
          <w:bCs/>
          <w:sz w:val="24"/>
          <w:szCs w:val="24"/>
        </w:rPr>
      </w:pPr>
      <w:r w:rsidRPr="002C414E">
        <w:rPr>
          <w:rFonts w:ascii="Times New Roman" w:hAnsi="Times New Roman"/>
          <w:b/>
          <w:bCs/>
          <w:sz w:val="24"/>
          <w:szCs w:val="24"/>
        </w:rPr>
        <w:t xml:space="preserve">Legal Lesson Learned: Operators of emergency vehicles should slow down when approaching a red light or stop sign, particularly if on a road with obstructed views. </w:t>
      </w:r>
    </w:p>
    <w:p w14:paraId="431666F5" w14:textId="77777777" w:rsidR="00B5724A" w:rsidRPr="002C414E" w:rsidRDefault="00B5724A" w:rsidP="00B5724A">
      <w:pPr>
        <w:pStyle w:val="Heading1"/>
        <w:ind w:left="720"/>
        <w:rPr>
          <w:b w:val="0"/>
          <w:bCs w:val="0"/>
          <w:sz w:val="24"/>
          <w:szCs w:val="24"/>
        </w:rPr>
      </w:pPr>
      <w:r w:rsidRPr="002C414E">
        <w:rPr>
          <w:b w:val="0"/>
          <w:bCs w:val="0"/>
          <w:sz w:val="24"/>
          <w:szCs w:val="24"/>
        </w:rPr>
        <w:t xml:space="preserve">Note: Ohio Revised Code Section 4511.03 </w:t>
      </w:r>
      <w:r w:rsidRPr="002C414E">
        <w:rPr>
          <w:rStyle w:val="codes-separator"/>
          <w:b w:val="0"/>
          <w:bCs w:val="0"/>
          <w:sz w:val="24"/>
          <w:szCs w:val="24"/>
        </w:rPr>
        <w:t>|</w:t>
      </w:r>
      <w:r w:rsidRPr="002C414E">
        <w:rPr>
          <w:b w:val="0"/>
          <w:bCs w:val="0"/>
          <w:sz w:val="24"/>
          <w:szCs w:val="24"/>
        </w:rPr>
        <w:t xml:space="preserve"> Emergency vehicles at red signal or stop sign. </w:t>
      </w:r>
      <w:hyperlink r:id="rId1007" w:history="1">
        <w:r w:rsidRPr="002C414E">
          <w:rPr>
            <w:rFonts w:eastAsiaTheme="majorEastAsia"/>
            <w:b w:val="0"/>
            <w:bCs w:val="0"/>
            <w:sz w:val="24"/>
            <w:szCs w:val="24"/>
          </w:rPr>
          <w:t>https://codes.ohio.gov/ohio-revised-code/section-4511.03</w:t>
        </w:r>
      </w:hyperlink>
      <w:r w:rsidRPr="002C414E">
        <w:rPr>
          <w:b w:val="0"/>
          <w:bCs w:val="0"/>
          <w:sz w:val="24"/>
          <w:szCs w:val="24"/>
        </w:rPr>
        <w:t xml:space="preserve"> </w:t>
      </w:r>
    </w:p>
    <w:p w14:paraId="4D78946D" w14:textId="77777777" w:rsidR="00B5724A" w:rsidRPr="002C414E" w:rsidRDefault="00B5724A" w:rsidP="00B5724A">
      <w:pPr>
        <w:spacing w:before="100" w:beforeAutospacing="1" w:after="100" w:afterAutospacing="1" w:line="240" w:lineRule="auto"/>
        <w:ind w:left="1440"/>
        <w:rPr>
          <w:rFonts w:ascii="Times New Roman" w:eastAsia="Times New Roman" w:hAnsi="Times New Roman"/>
          <w:sz w:val="24"/>
          <w:szCs w:val="24"/>
        </w:rPr>
      </w:pPr>
      <w:r w:rsidRPr="002C414E">
        <w:rPr>
          <w:rFonts w:ascii="Times New Roman" w:hAnsi="Times New Roman"/>
          <w:sz w:val="24"/>
          <w:szCs w:val="24"/>
        </w:rPr>
        <w:t>“(A) The driver of any emergency vehicle or public safety vehicle, when responding to an emergency call, upon approaching a red or stop signal or any stop sign shall slow down as necessary for safety to traffic, but may proceed cautiously past such red or stop sign or signal with due regard for the safety of all persons using the street or highway.”</w:t>
      </w:r>
    </w:p>
    <w:p w14:paraId="6B1FF64C" w14:textId="77777777" w:rsidR="00B5724A" w:rsidRDefault="00B5724A" w:rsidP="00EF1133">
      <w:pPr>
        <w:rPr>
          <w:rFonts w:ascii="Arial Black" w:hAnsi="Arial Black"/>
          <w:b/>
          <w:sz w:val="24"/>
          <w:szCs w:val="24"/>
        </w:rPr>
      </w:pPr>
    </w:p>
    <w:p w14:paraId="30A46054" w14:textId="273659CE" w:rsidR="00BC5936" w:rsidRPr="00BC5936" w:rsidRDefault="00BC5936" w:rsidP="00EF1133">
      <w:pPr>
        <w:rPr>
          <w:rFonts w:ascii="Times New Roman" w:hAnsi="Times New Roman"/>
          <w:bCs/>
          <w:sz w:val="24"/>
          <w:szCs w:val="24"/>
        </w:rPr>
      </w:pPr>
      <w:r>
        <w:rPr>
          <w:rFonts w:ascii="Arial Black" w:hAnsi="Arial Black"/>
          <w:b/>
          <w:sz w:val="24"/>
          <w:szCs w:val="24"/>
        </w:rPr>
        <w:t xml:space="preserve">5-21 </w:t>
      </w:r>
      <w:r>
        <w:rPr>
          <w:rFonts w:ascii="Times New Roman" w:hAnsi="Times New Roman"/>
          <w:bCs/>
          <w:sz w:val="24"/>
          <w:szCs w:val="24"/>
        </w:rPr>
        <w:t>[also filed, Chap. 13]</w:t>
      </w:r>
    </w:p>
    <w:p w14:paraId="5A6B839B" w14:textId="77777777" w:rsidR="00BC5936" w:rsidRPr="002F193B" w:rsidRDefault="00BC5936" w:rsidP="00BC5936">
      <w:pPr>
        <w:pStyle w:val="NoSpacing"/>
        <w:rPr>
          <w:rFonts w:ascii="Arial Black" w:hAnsi="Arial Black"/>
          <w:sz w:val="28"/>
          <w:szCs w:val="28"/>
        </w:rPr>
      </w:pPr>
      <w:r>
        <w:rPr>
          <w:rFonts w:ascii="Arial Black" w:hAnsi="Arial Black"/>
          <w:sz w:val="28"/>
          <w:szCs w:val="28"/>
        </w:rPr>
        <w:t>WV: AMBULANCE ROLL OVER - 2 KILLED, EMT’S LAWSUIT HOSP. DISMISSED – MEDICAL CERT. OF MERIT REQUIRED</w:t>
      </w:r>
    </w:p>
    <w:p w14:paraId="69A4B9FB" w14:textId="77777777" w:rsidR="00BC5936" w:rsidRDefault="00BC5936" w:rsidP="00BC5936">
      <w:pPr>
        <w:pStyle w:val="NoSpacing"/>
      </w:pPr>
    </w:p>
    <w:p w14:paraId="6F7FC8DE" w14:textId="77777777" w:rsidR="00BC5936" w:rsidRDefault="00BC5936" w:rsidP="00BC5936">
      <w:pPr>
        <w:pStyle w:val="NoSpacing"/>
        <w:rPr>
          <w:rFonts w:ascii="Times New Roman" w:hAnsi="Times New Roman"/>
          <w:sz w:val="24"/>
          <w:szCs w:val="24"/>
        </w:rPr>
      </w:pPr>
      <w:r w:rsidRPr="00397962">
        <w:rPr>
          <w:rFonts w:ascii="Times New Roman" w:hAnsi="Times New Roman"/>
          <w:sz w:val="24"/>
          <w:szCs w:val="24"/>
        </w:rPr>
        <w:t xml:space="preserve">On May 20, 2021, in </w:t>
      </w:r>
      <w:r w:rsidRPr="00397962">
        <w:rPr>
          <w:rFonts w:ascii="Times New Roman" w:hAnsi="Times New Roman"/>
          <w:sz w:val="24"/>
          <w:szCs w:val="24"/>
          <w:u w:val="single"/>
        </w:rPr>
        <w:t>Crystal G. Brown and Tri-State Ambulance, Inc. v. Ohio Valley Health Services &amp; Education Corporation; Ohio Valley Medical Center; et al</w:t>
      </w:r>
      <w:r>
        <w:rPr>
          <w:rFonts w:ascii="Times New Roman" w:hAnsi="Times New Roman"/>
          <w:sz w:val="24"/>
          <w:szCs w:val="24"/>
        </w:rPr>
        <w:t xml:space="preserve">., the State of West Virginia Supreme Court of Appeals, </w:t>
      </w:r>
      <w:r w:rsidRPr="00FD6489">
        <w:rPr>
          <w:rStyle w:val="font-weight-bold"/>
          <w:rFonts w:ascii="Times New Roman" w:hAnsi="Times New Roman"/>
          <w:sz w:val="24"/>
          <w:szCs w:val="24"/>
        </w:rPr>
        <w:t>Brown v. Ohio Valley Health Servs. &amp; Educ. Corp. (W. Va. 202</w:t>
      </w:r>
      <w:r>
        <w:rPr>
          <w:rFonts w:ascii="Times New Roman" w:hAnsi="Times New Roman"/>
          <w:sz w:val="24"/>
          <w:szCs w:val="24"/>
        </w:rPr>
        <w:t xml:space="preserve">1, held (3 to 0) that the lawsuit was properly dismissed since the West Virginia code of medical professional liability requires both patients and others suing a health care provider 30 days </w:t>
      </w:r>
      <w:proofErr w:type="gramStart"/>
      <w:r>
        <w:rPr>
          <w:rFonts w:ascii="Times New Roman" w:hAnsi="Times New Roman"/>
          <w:sz w:val="24"/>
          <w:szCs w:val="24"/>
        </w:rPr>
        <w:t>prior</w:t>
      </w:r>
      <w:proofErr w:type="gramEnd"/>
      <w:r>
        <w:rPr>
          <w:rFonts w:ascii="Times New Roman" w:hAnsi="Times New Roman"/>
          <w:sz w:val="24"/>
          <w:szCs w:val="24"/>
        </w:rPr>
        <w:t xml:space="preserve"> written notice, and a certificate of merit by a qualified health care provider.  The EMT in her lawsuit claimed the hospital knew but failed to disclose that transporting the patient to a Columbus, OH hospital was not medically necessary to save his life and that dangerous weather was approaching; the Ambulance company’s insurance provider sought reimbursement for its settlement costs.</w:t>
      </w:r>
    </w:p>
    <w:p w14:paraId="1449E210" w14:textId="77777777" w:rsidR="00BC5936" w:rsidRPr="00FD6489" w:rsidRDefault="00BC5936" w:rsidP="00BC5936">
      <w:pPr>
        <w:spacing w:before="100" w:beforeAutospacing="1" w:after="100" w:afterAutospacing="1"/>
        <w:ind w:left="720"/>
        <w:rPr>
          <w:rFonts w:ascii="Times New Roman" w:hAnsi="Times New Roman"/>
          <w:sz w:val="24"/>
          <w:szCs w:val="24"/>
        </w:rPr>
      </w:pPr>
      <w:r>
        <w:rPr>
          <w:rFonts w:ascii="Times New Roman" w:hAnsi="Times New Roman"/>
          <w:sz w:val="24"/>
          <w:szCs w:val="24"/>
        </w:rPr>
        <w:t>“</w:t>
      </w:r>
      <w:r w:rsidRPr="00FD6489">
        <w:rPr>
          <w:rFonts w:ascii="Times New Roman" w:hAnsi="Times New Roman"/>
          <w:sz w:val="24"/>
          <w:szCs w:val="24"/>
        </w:rPr>
        <w:t xml:space="preserve">That Petitioner Brown was not the patient does not preclude application of the MPLA. [Medical Professional Liability Act].  In syllabus point 5 of </w:t>
      </w:r>
      <w:r w:rsidRPr="00FD6489">
        <w:rPr>
          <w:rFonts w:ascii="Times New Roman" w:hAnsi="Times New Roman"/>
          <w:i/>
          <w:iCs/>
          <w:sz w:val="24"/>
          <w:szCs w:val="24"/>
        </w:rPr>
        <w:t>Osbourne v</w:t>
      </w:r>
      <w:r w:rsidRPr="00FD6489">
        <w:rPr>
          <w:rFonts w:ascii="Times New Roman" w:hAnsi="Times New Roman"/>
          <w:sz w:val="24"/>
          <w:szCs w:val="24"/>
        </w:rPr>
        <w:t xml:space="preserve">. </w:t>
      </w:r>
      <w:r w:rsidRPr="00FD6489">
        <w:rPr>
          <w:rFonts w:ascii="Times New Roman" w:hAnsi="Times New Roman"/>
          <w:i/>
          <w:iCs/>
          <w:sz w:val="24"/>
          <w:szCs w:val="24"/>
        </w:rPr>
        <w:t>United States</w:t>
      </w:r>
      <w:r w:rsidRPr="00FD6489">
        <w:rPr>
          <w:rFonts w:ascii="Times New Roman" w:hAnsi="Times New Roman"/>
          <w:sz w:val="24"/>
          <w:szCs w:val="24"/>
        </w:rPr>
        <w:t xml:space="preserve">, 211 W. Va. 667, 567 S.E.2d 677 (2002), we held that the Act </w:t>
      </w:r>
      <w:r>
        <w:rPr>
          <w:rFonts w:ascii="Times New Roman" w:hAnsi="Times New Roman"/>
          <w:sz w:val="24"/>
          <w:szCs w:val="24"/>
        </w:rPr>
        <w:t>‘</w:t>
      </w:r>
      <w:r w:rsidRPr="00FD6489">
        <w:rPr>
          <w:rFonts w:ascii="Times New Roman" w:hAnsi="Times New Roman"/>
          <w:sz w:val="24"/>
          <w:szCs w:val="24"/>
        </w:rPr>
        <w:t>permits a third party to bring a cause of action against a health care provider for foreseeable injuries that were proximately caused by the health care provider's negligent treatment of a tortfeasor patient.</w:t>
      </w:r>
      <w:r>
        <w:rPr>
          <w:rFonts w:ascii="Times New Roman" w:hAnsi="Times New Roman"/>
          <w:sz w:val="24"/>
          <w:szCs w:val="24"/>
        </w:rPr>
        <w:t>’</w:t>
      </w:r>
      <w:r w:rsidRPr="00FD6489">
        <w:rPr>
          <w:rFonts w:ascii="Times New Roman" w:hAnsi="Times New Roman"/>
          <w:sz w:val="24"/>
          <w:szCs w:val="24"/>
        </w:rPr>
        <w:t xml:space="preserve"> In reaching this holding, we observed that, in defining </w:t>
      </w:r>
      <w:r>
        <w:rPr>
          <w:rFonts w:ascii="Times New Roman" w:hAnsi="Times New Roman"/>
          <w:sz w:val="24"/>
          <w:szCs w:val="24"/>
        </w:rPr>
        <w:t>‘</w:t>
      </w:r>
      <w:r w:rsidRPr="00FD6489">
        <w:rPr>
          <w:rFonts w:ascii="Times New Roman" w:hAnsi="Times New Roman"/>
          <w:sz w:val="24"/>
          <w:szCs w:val="24"/>
        </w:rPr>
        <w:t>medical professional liability</w:t>
      </w:r>
      <w:r>
        <w:rPr>
          <w:rFonts w:ascii="Times New Roman" w:hAnsi="Times New Roman"/>
          <w:sz w:val="24"/>
          <w:szCs w:val="24"/>
        </w:rPr>
        <w:t xml:space="preserve">.’” </w:t>
      </w:r>
      <w:hyperlink r:id="rId1008" w:history="1">
        <w:r w:rsidRPr="007344F4">
          <w:rPr>
            <w:rStyle w:val="Hyperlink"/>
            <w:sz w:val="24"/>
            <w:szCs w:val="24"/>
          </w:rPr>
          <w:t>https://casetext.com/case/brown-v-ohio-valley-health-servs-educ-corp</w:t>
        </w:r>
      </w:hyperlink>
      <w:r>
        <w:rPr>
          <w:rFonts w:ascii="Times New Roman" w:hAnsi="Times New Roman"/>
          <w:sz w:val="24"/>
          <w:szCs w:val="24"/>
        </w:rPr>
        <w:t xml:space="preserve"> </w:t>
      </w:r>
    </w:p>
    <w:p w14:paraId="71724B90" w14:textId="77777777" w:rsidR="00BC5936" w:rsidRPr="006723F9" w:rsidRDefault="00BC5936" w:rsidP="00BC5936">
      <w:pPr>
        <w:spacing w:before="100" w:beforeAutospacing="1" w:after="100" w:afterAutospacing="1"/>
        <w:rPr>
          <w:rFonts w:ascii="Times New Roman" w:eastAsia="Times New Roman" w:hAnsi="Times New Roman"/>
          <w:b/>
          <w:bCs/>
          <w:sz w:val="24"/>
          <w:szCs w:val="24"/>
        </w:rPr>
      </w:pPr>
      <w:r w:rsidRPr="006723F9">
        <w:rPr>
          <w:rFonts w:ascii="Times New Roman" w:hAnsi="Times New Roman"/>
          <w:b/>
          <w:bCs/>
          <w:sz w:val="24"/>
          <w:szCs w:val="24"/>
        </w:rPr>
        <w:lastRenderedPageBreak/>
        <w:t xml:space="preserve">Legal Lesson Learned:  </w:t>
      </w:r>
      <w:r>
        <w:rPr>
          <w:rFonts w:ascii="Times New Roman" w:hAnsi="Times New Roman"/>
          <w:b/>
          <w:bCs/>
          <w:sz w:val="24"/>
          <w:szCs w:val="24"/>
        </w:rPr>
        <w:t xml:space="preserve">Lawsuit dismissed since EMT and her attorney </w:t>
      </w:r>
      <w:r w:rsidRPr="006723F9">
        <w:rPr>
          <w:rFonts w:ascii="Times New Roman" w:hAnsi="Times New Roman"/>
          <w:b/>
          <w:bCs/>
          <w:sz w:val="24"/>
          <w:szCs w:val="24"/>
        </w:rPr>
        <w:t xml:space="preserve">didn’t </w:t>
      </w:r>
      <w:r>
        <w:rPr>
          <w:rFonts w:ascii="Times New Roman" w:hAnsi="Times New Roman"/>
          <w:b/>
          <w:bCs/>
          <w:sz w:val="24"/>
          <w:szCs w:val="24"/>
        </w:rPr>
        <w:t xml:space="preserve">provide the Certificate of Merit required by the Medical Professional Liability </w:t>
      </w:r>
      <w:r w:rsidRPr="006723F9">
        <w:rPr>
          <w:rFonts w:ascii="Times New Roman" w:hAnsi="Times New Roman"/>
          <w:b/>
          <w:bCs/>
          <w:sz w:val="24"/>
          <w:szCs w:val="24"/>
        </w:rPr>
        <w:t xml:space="preserve">statute. </w:t>
      </w:r>
      <w:r>
        <w:rPr>
          <w:rFonts w:ascii="Times New Roman" w:hAnsi="Times New Roman"/>
          <w:b/>
          <w:bCs/>
          <w:sz w:val="24"/>
          <w:szCs w:val="24"/>
        </w:rPr>
        <w:t xml:space="preserve"> Similar statutes can be found throughout U.S. </w:t>
      </w:r>
    </w:p>
    <w:p w14:paraId="48C9C5A7" w14:textId="77777777" w:rsidR="00BC5936" w:rsidRDefault="00BC5936" w:rsidP="00BC5936">
      <w:pPr>
        <w:spacing w:before="100" w:beforeAutospacing="1" w:after="100" w:afterAutospacing="1"/>
        <w:ind w:left="720"/>
        <w:rPr>
          <w:rFonts w:ascii="Times New Roman" w:hAnsi="Times New Roman"/>
          <w:sz w:val="24"/>
          <w:szCs w:val="24"/>
        </w:rPr>
      </w:pPr>
      <w:r>
        <w:rPr>
          <w:rFonts w:ascii="Times New Roman" w:eastAsia="Times New Roman" w:hAnsi="Times New Roman"/>
          <w:sz w:val="24"/>
          <w:szCs w:val="24"/>
        </w:rPr>
        <w:t>Note: See this article on the roll over.</w:t>
      </w:r>
    </w:p>
    <w:p w14:paraId="7FB078B2" w14:textId="77777777" w:rsidR="00BC5936" w:rsidRPr="006C56B5" w:rsidRDefault="00BC5936" w:rsidP="00BC5936">
      <w:pPr>
        <w:ind w:left="720"/>
        <w:rPr>
          <w:rFonts w:ascii="Times New Roman" w:hAnsi="Times New Roman"/>
          <w:sz w:val="24"/>
          <w:szCs w:val="24"/>
        </w:rPr>
      </w:pPr>
      <w:r w:rsidRPr="006C56B5">
        <w:rPr>
          <w:rFonts w:ascii="Times New Roman" w:hAnsi="Times New Roman"/>
          <w:b/>
          <w:bCs/>
          <w:sz w:val="24"/>
          <w:szCs w:val="24"/>
        </w:rPr>
        <w:t>Two Dead After Ambulance Rollover</w:t>
      </w:r>
      <w:r>
        <w:rPr>
          <w:rFonts w:ascii="Times New Roman" w:hAnsi="Times New Roman"/>
          <w:sz w:val="24"/>
          <w:szCs w:val="24"/>
        </w:rPr>
        <w:t xml:space="preserve"> (Dec. 17, 2016): </w:t>
      </w:r>
      <w:hyperlink r:id="rId1009" w:history="1">
        <w:r w:rsidRPr="006C56B5">
          <w:rPr>
            <w:rStyle w:val="Hyperlink"/>
            <w:sz w:val="24"/>
            <w:szCs w:val="24"/>
          </w:rPr>
          <w:t>https://www.zanesvilletimesrecorder.com/story/news/local/2016/12/17/two-dead-after-ambulance-rollover/95557626/</w:t>
        </w:r>
      </w:hyperlink>
      <w:r w:rsidRPr="006C56B5">
        <w:rPr>
          <w:rFonts w:ascii="Times New Roman" w:hAnsi="Times New Roman"/>
          <w:sz w:val="24"/>
          <w:szCs w:val="24"/>
        </w:rPr>
        <w:t xml:space="preserve"> </w:t>
      </w:r>
    </w:p>
    <w:p w14:paraId="30134D7C" w14:textId="77777777" w:rsidR="00BC5936" w:rsidRPr="006C56B5" w:rsidRDefault="00BC5936" w:rsidP="00BC5936">
      <w:pPr>
        <w:ind w:left="1440"/>
        <w:rPr>
          <w:rFonts w:ascii="Times New Roman" w:hAnsi="Times New Roman"/>
          <w:sz w:val="24"/>
          <w:szCs w:val="24"/>
        </w:rPr>
      </w:pPr>
      <w:r w:rsidRPr="006C56B5">
        <w:rPr>
          <w:rFonts w:ascii="Times New Roman" w:hAnsi="Times New Roman"/>
          <w:sz w:val="24"/>
          <w:szCs w:val="24"/>
        </w:rPr>
        <w:t>CAMBRIDGE, OH- Two people died early Saturday morning after an ambulance lost control and overturned several times, according to a release from the Cambridge Post of the Ohio Highway Patrol.</w:t>
      </w:r>
    </w:p>
    <w:p w14:paraId="6F905B98" w14:textId="77777777" w:rsidR="00BC5936" w:rsidRDefault="00BC5936" w:rsidP="00BC5936">
      <w:pPr>
        <w:pStyle w:val="gntarbp"/>
        <w:ind w:left="1440"/>
      </w:pPr>
      <w:r>
        <w:t>According to the release, shortly after 2 a.m. an ambulance, registered to Tri State Ambulance, was transporting a patient on I-70 westbound near milepost 176 when it lost control, drove off the left edge of the interstate and overturned multiple times.</w:t>
      </w:r>
    </w:p>
    <w:p w14:paraId="1016D659" w14:textId="77777777" w:rsidR="00BC5936" w:rsidRDefault="00BC5936" w:rsidP="00BC5936">
      <w:pPr>
        <w:pStyle w:val="gntarbp"/>
        <w:ind w:left="1440"/>
      </w:pPr>
      <w:r>
        <w:t>At the time of the crash, a patient and four emergency medical personnel were in the ambulance. A patient and one of the emergency personnel, both in the patient care area of the ambulance, were killed in the crash. The three other emergency personnel sustained minor injuries, which were treated at Southeastern Medical Center.</w:t>
      </w:r>
    </w:p>
    <w:p w14:paraId="5729DF2F" w14:textId="77777777" w:rsidR="00BC5936" w:rsidRPr="006C56B5" w:rsidRDefault="00BC5936" w:rsidP="00BC5936">
      <w:pPr>
        <w:pStyle w:val="gntarbp"/>
        <w:ind w:left="1440"/>
      </w:pPr>
      <w:r>
        <w:t xml:space="preserve">Killed in the crash were the patient, Dennis Calvert, 64, of Wheeling West Virginia, and emergency personnel Charles McMahan, 39, of New Matamoras. Injured in the crash </w:t>
      </w:r>
      <w:proofErr w:type="gramStart"/>
      <w:r>
        <w:t>were the driver,</w:t>
      </w:r>
      <w:proofErr w:type="gramEnd"/>
      <w:r>
        <w:t xml:space="preserve"> Crystal Brown, 33</w:t>
      </w:r>
      <w:proofErr w:type="gramStart"/>
      <w:r>
        <w:t>, of</w:t>
      </w:r>
      <w:proofErr w:type="gramEnd"/>
      <w:r>
        <w:t xml:space="preserve"> Proctor, West Virginia, passengers Jennifer Rothwell, 32, of Wheeling, West Virginia, and Randi Watson, 37, of Glen Easton, West Virginia.</w:t>
      </w:r>
    </w:p>
    <w:p w14:paraId="7C63F985" w14:textId="77777777" w:rsidR="00BC5936" w:rsidRPr="00D1078B" w:rsidRDefault="00BC5936" w:rsidP="00BC5936">
      <w:pPr>
        <w:spacing w:before="100" w:beforeAutospacing="1" w:after="100" w:afterAutospacing="1"/>
        <w:ind w:left="720"/>
        <w:rPr>
          <w:rFonts w:ascii="Times New Roman" w:hAnsi="Times New Roman"/>
          <w:sz w:val="24"/>
          <w:szCs w:val="24"/>
        </w:rPr>
      </w:pPr>
      <w:r w:rsidRPr="00D1078B">
        <w:rPr>
          <w:rFonts w:ascii="Times New Roman" w:hAnsi="Times New Roman"/>
          <w:sz w:val="24"/>
          <w:szCs w:val="24"/>
        </w:rPr>
        <w:t xml:space="preserve">The West Virginia </w:t>
      </w:r>
      <w:r w:rsidRPr="00FD6489">
        <w:rPr>
          <w:rFonts w:ascii="Times New Roman" w:hAnsi="Times New Roman"/>
          <w:sz w:val="24"/>
          <w:szCs w:val="24"/>
        </w:rPr>
        <w:t>Medical Professional Liability Act</w:t>
      </w:r>
      <w:r>
        <w:rPr>
          <w:rFonts w:ascii="Times New Roman" w:hAnsi="Times New Roman"/>
          <w:sz w:val="24"/>
          <w:szCs w:val="24"/>
        </w:rPr>
        <w:t xml:space="preserve"> provides: </w:t>
      </w:r>
      <w:hyperlink r:id="rId1010" w:history="1">
        <w:r w:rsidRPr="00C15479">
          <w:rPr>
            <w:rStyle w:val="Hyperlink"/>
            <w:sz w:val="24"/>
            <w:szCs w:val="24"/>
          </w:rPr>
          <w:t>https://law.justia.com/codes/west-virginia/2017/chapter-55/article-7b/section-55-7b-6/</w:t>
        </w:r>
      </w:hyperlink>
    </w:p>
    <w:p w14:paraId="22684F4A" w14:textId="77777777" w:rsidR="00BC5936" w:rsidRPr="002F193B" w:rsidRDefault="00BC5936" w:rsidP="00BC5936">
      <w:pPr>
        <w:spacing w:before="100" w:beforeAutospacing="1" w:after="100" w:afterAutospacing="1"/>
        <w:ind w:left="1440"/>
        <w:rPr>
          <w:rFonts w:ascii="Times New Roman" w:eastAsia="Times New Roman" w:hAnsi="Times New Roman"/>
          <w:sz w:val="24"/>
          <w:szCs w:val="24"/>
        </w:rPr>
      </w:pPr>
      <w:r>
        <w:rPr>
          <w:rFonts w:ascii="Times New Roman" w:hAnsi="Times New Roman"/>
          <w:sz w:val="24"/>
          <w:szCs w:val="24"/>
        </w:rPr>
        <w:t>“</w:t>
      </w:r>
      <w:r w:rsidRPr="00D1078B">
        <w:rPr>
          <w:rFonts w:ascii="Times New Roman" w:hAnsi="Times New Roman"/>
          <w:sz w:val="24"/>
          <w:szCs w:val="24"/>
        </w:rPr>
        <w:t xml:space="preserve">(b) At least thirty days prior to the filing of a medical professional liability action against a health care provider, the claimant shall serve by certified mail, return receipt requested, a notice of claim on each health care provider the claimant will join in litigation. The notice of claim shall include a statement of the theory or theories of liability upon which a cause of action may be based, and a list of all health care providers and health care facilities to whom notices of claim are being sent, together with a screening certificate of merit. The screening certificate of merit shall be executed under oath by a health care provider qualified as an expert under the West Virginia rules of evidence and shall state with particularity: (1) The expert’s familiarity with the applicable standard of care in issue; (2) the expert’s qualifications; (3) the expert’s opinion as to how the applicable standard of care was breached; and (4) the expert’s opinion as to how the breach of the applicable standard of care resulted in injury or death. A separate screening certificate of merit must be provided for each health care provider against whom a claim is asserted. The person signing the screening certificate of merit shall have no financial interest in the underlying </w:t>
      </w:r>
      <w:proofErr w:type="gramStart"/>
      <w:r w:rsidRPr="00D1078B">
        <w:rPr>
          <w:rFonts w:ascii="Times New Roman" w:hAnsi="Times New Roman"/>
          <w:sz w:val="24"/>
          <w:szCs w:val="24"/>
        </w:rPr>
        <w:t>claim, but</w:t>
      </w:r>
      <w:proofErr w:type="gramEnd"/>
      <w:r w:rsidRPr="00D1078B">
        <w:rPr>
          <w:rFonts w:ascii="Times New Roman" w:hAnsi="Times New Roman"/>
          <w:sz w:val="24"/>
          <w:szCs w:val="24"/>
        </w:rPr>
        <w:t xml:space="preserve"> may participate as an expert witness in any judicial proceeding. Nothing in this subsection may be construed to limit the application of Rule 15 of the Rules of Civil Procedure.</w:t>
      </w:r>
    </w:p>
    <w:p w14:paraId="4AB69B2A" w14:textId="77777777" w:rsidR="00BC5936" w:rsidRDefault="00BC5936" w:rsidP="00EF1133">
      <w:pPr>
        <w:rPr>
          <w:rFonts w:ascii="Arial Black" w:hAnsi="Arial Black"/>
          <w:b/>
          <w:sz w:val="24"/>
          <w:szCs w:val="24"/>
        </w:rPr>
      </w:pPr>
    </w:p>
    <w:p w14:paraId="6158793C" w14:textId="77777777" w:rsidR="00BC5936" w:rsidRDefault="00BC5936" w:rsidP="00EF1133">
      <w:pPr>
        <w:rPr>
          <w:rFonts w:ascii="Arial Black" w:hAnsi="Arial Black"/>
          <w:b/>
          <w:sz w:val="24"/>
          <w:szCs w:val="24"/>
        </w:rPr>
      </w:pPr>
    </w:p>
    <w:p w14:paraId="0CBA9DB3" w14:textId="2D1031EF" w:rsidR="00CD5950" w:rsidRDefault="00CD5950" w:rsidP="00EF1133">
      <w:pPr>
        <w:rPr>
          <w:rFonts w:ascii="Arial Black" w:hAnsi="Arial Black"/>
          <w:b/>
          <w:sz w:val="24"/>
          <w:szCs w:val="24"/>
        </w:rPr>
      </w:pPr>
      <w:r>
        <w:rPr>
          <w:rFonts w:ascii="Arial Black" w:hAnsi="Arial Black"/>
          <w:b/>
          <w:sz w:val="24"/>
          <w:szCs w:val="24"/>
        </w:rPr>
        <w:t>5-20</w:t>
      </w:r>
    </w:p>
    <w:p w14:paraId="0671D53F" w14:textId="77777777" w:rsidR="00CD5950" w:rsidRPr="00781094" w:rsidRDefault="00CD5950" w:rsidP="00CD5950">
      <w:pPr>
        <w:pStyle w:val="NoSpacing"/>
        <w:rPr>
          <w:rFonts w:ascii="Arial Black" w:hAnsi="Arial Black"/>
          <w:sz w:val="28"/>
          <w:szCs w:val="28"/>
        </w:rPr>
      </w:pPr>
      <w:r>
        <w:rPr>
          <w:rFonts w:ascii="Arial Black" w:hAnsi="Arial Black"/>
          <w:sz w:val="28"/>
          <w:szCs w:val="28"/>
        </w:rPr>
        <w:t>MS:  VOL. FF IN ACCIDENT ON CALL – QUALIFIED IMMUNITY WAVED SINCE HIS ATTORNEY DIDN’T RAISE 14 MONTHS</w:t>
      </w:r>
    </w:p>
    <w:p w14:paraId="580E97DE" w14:textId="77777777" w:rsidR="00CD5950" w:rsidRDefault="00CD5950" w:rsidP="00CD5950">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Feb. 22, 2021, in </w:t>
      </w:r>
      <w:r w:rsidRPr="00781094">
        <w:rPr>
          <w:rFonts w:ascii="Times New Roman" w:eastAsia="Times New Roman" w:hAnsi="Times New Roman"/>
          <w:sz w:val="24"/>
          <w:szCs w:val="24"/>
          <w:u w:val="single"/>
        </w:rPr>
        <w:t>Brenda Cook v. Amos Taylor</w:t>
      </w:r>
      <w:r>
        <w:rPr>
          <w:rFonts w:ascii="Times New Roman" w:eastAsia="Times New Roman" w:hAnsi="Times New Roman"/>
          <w:sz w:val="24"/>
          <w:szCs w:val="24"/>
        </w:rPr>
        <w:t xml:space="preserve">, the Court of Appeals of the State of Mississippi, held (6 to 1) that the trial judge improperly granted summary judgment to the volunteer firefighter, finding that his attorney “waved” the statutory defense by not asserting it in his answer to the complaint, or for 14 months of pre-trial discovery. </w:t>
      </w:r>
    </w:p>
    <w:p w14:paraId="42E51283" w14:textId="77777777" w:rsidR="00CD5950" w:rsidRDefault="00CD5950" w:rsidP="00CD5950">
      <w:pPr>
        <w:pStyle w:val="NormalWeb"/>
        <w:ind w:left="720"/>
      </w:pPr>
      <w:r>
        <w:t>“Under the MTCA [Mississippi Tort Claims Act], a governmental employee is entitled to qualified immunity if, while engaged in ‘activities relating to . . . fire protection,’ he did not act ‘in reckless disregard of the safety and well-being of any person’ while engaged in those activities. Miss. Code Ann. § 11-46-9(1)(c).</w:t>
      </w:r>
      <w:hyperlink r:id="rId1011" w:anchor="fr1" w:history="1">
        <w:r>
          <w:rPr>
            <w:rStyle w:val="Hyperlink"/>
            <w:sz w:val="20"/>
            <w:szCs w:val="20"/>
            <w:vertAlign w:val="superscript"/>
          </w:rPr>
          <w:t>1</w:t>
        </w:r>
      </w:hyperlink>
      <w:r>
        <w:t xml:space="preserve"> The MTCA defines ‘employee[s]’ to include ‘firefighters who are members of a volunteer fire department that is a political subdivision,’ Miss. Code Ann. § 11-46-1(f) (Supp. 2017), and it defines ‘political subdivision’ to include a ‘volunteer fire department that is a chartered nonprofit corporation providing emergency services under contract with a county or municipality.’ Miss. Code Ann. § 11-46-1(</w:t>
      </w:r>
      <w:proofErr w:type="spellStart"/>
      <w:r>
        <w:t>i</w:t>
      </w:r>
      <w:proofErr w:type="spellEnd"/>
      <w:r>
        <w:t>).</w:t>
      </w:r>
    </w:p>
    <w:p w14:paraId="690416E3" w14:textId="77777777" w:rsidR="00CD5950" w:rsidRDefault="00CD5950" w:rsidP="00CD5950">
      <w:pPr>
        <w:pStyle w:val="NormalWeb"/>
        <w:ind w:left="720"/>
      </w:pPr>
      <w:r>
        <w:t>***</w:t>
      </w:r>
    </w:p>
    <w:p w14:paraId="5CEEE080" w14:textId="77777777" w:rsidR="00CD5950" w:rsidRPr="00781094" w:rsidRDefault="00CD5950" w:rsidP="00CD5950">
      <w:pPr>
        <w:spacing w:before="100" w:beforeAutospacing="1" w:after="100" w:afterAutospacing="1" w:line="240" w:lineRule="auto"/>
        <w:ind w:left="720"/>
        <w:rPr>
          <w:rFonts w:ascii="Times New Roman" w:eastAsia="Times New Roman" w:hAnsi="Times New Roman"/>
          <w:sz w:val="24"/>
          <w:szCs w:val="24"/>
        </w:rPr>
      </w:pPr>
      <w:r w:rsidRPr="00AB7084">
        <w:rPr>
          <w:rFonts w:ascii="Times New Roman" w:hAnsi="Times New Roman"/>
          <w:sz w:val="24"/>
          <w:szCs w:val="24"/>
        </w:rPr>
        <w:t xml:space="preserve">For the reasons stated, we therefore find that the circuit court abused its discretion by implicitly allowing Taylor to amend his answer when it proceeded to grant Taylor's motion for summary judgment based upon a qualified immunity defense. </w:t>
      </w:r>
      <w:proofErr w:type="gramStart"/>
      <w:r w:rsidRPr="00AB7084">
        <w:rPr>
          <w:rFonts w:ascii="Times New Roman" w:hAnsi="Times New Roman"/>
          <w:sz w:val="24"/>
          <w:szCs w:val="24"/>
        </w:rPr>
        <w:t>We further</w:t>
      </w:r>
      <w:proofErr w:type="gramEnd"/>
      <w:r w:rsidRPr="00AB7084">
        <w:rPr>
          <w:rFonts w:ascii="Times New Roman" w:hAnsi="Times New Roman"/>
          <w:sz w:val="24"/>
          <w:szCs w:val="24"/>
        </w:rPr>
        <w:t xml:space="preserve"> find that Taylor waived his qualified immunity affirmative defense as a matter of law. Accordingly, the circuit court's judgment is reversed, and this case is remanded for further proceedings on Cook's negligence and negligence per se complaint against Taylor.</w:t>
      </w:r>
      <w:r>
        <w:rPr>
          <w:rFonts w:ascii="Times New Roman" w:hAnsi="Times New Roman"/>
          <w:sz w:val="24"/>
          <w:szCs w:val="24"/>
        </w:rPr>
        <w:t xml:space="preserve">” </w:t>
      </w:r>
      <w:hyperlink r:id="rId1012" w:history="1">
        <w:r w:rsidRPr="00EA374E">
          <w:rPr>
            <w:rStyle w:val="Hyperlink"/>
            <w:rFonts w:ascii="Times New Roman" w:hAnsi="Times New Roman"/>
            <w:sz w:val="24"/>
            <w:szCs w:val="24"/>
          </w:rPr>
          <w:t>https://law.justia.com/cases/mississippi/court-of-appeals/2021/2019-ca-01406-coa.html</w:t>
        </w:r>
      </w:hyperlink>
      <w:r>
        <w:rPr>
          <w:rFonts w:ascii="Times New Roman" w:hAnsi="Times New Roman"/>
          <w:sz w:val="24"/>
          <w:szCs w:val="24"/>
        </w:rPr>
        <w:t xml:space="preserve"> </w:t>
      </w:r>
    </w:p>
    <w:p w14:paraId="0DE8A90B" w14:textId="4B25262C" w:rsidR="00CD5950" w:rsidRPr="00AB7084" w:rsidRDefault="00CD5950" w:rsidP="00CD5950">
      <w:pPr>
        <w:spacing w:before="100" w:beforeAutospacing="1" w:after="100" w:afterAutospacing="1" w:line="240" w:lineRule="auto"/>
        <w:rPr>
          <w:rFonts w:ascii="Times New Roman" w:eastAsia="Times New Roman" w:hAnsi="Times New Roman"/>
          <w:b/>
          <w:bCs/>
          <w:sz w:val="24"/>
          <w:szCs w:val="24"/>
        </w:rPr>
      </w:pPr>
      <w:bookmarkStart w:id="196" w:name="_Hlk65910959"/>
      <w:r w:rsidRPr="00326FC0">
        <w:rPr>
          <w:rFonts w:ascii="Times New Roman" w:hAnsi="Times New Roman"/>
          <w:b/>
          <w:bCs/>
          <w:sz w:val="24"/>
          <w:szCs w:val="24"/>
        </w:rPr>
        <w:t xml:space="preserve">Legal Lesson Learned:  Qualified immunity is an “affirmative defense” and should normally be asserted early in the litigation process, </w:t>
      </w:r>
      <w:r>
        <w:rPr>
          <w:rFonts w:ascii="Times New Roman" w:hAnsi="Times New Roman"/>
          <w:b/>
          <w:bCs/>
          <w:sz w:val="24"/>
          <w:szCs w:val="24"/>
        </w:rPr>
        <w:t xml:space="preserve">and if lawsuit not dismissed, in many jurisdictions FF can take an immediate appeal. </w:t>
      </w:r>
    </w:p>
    <w:bookmarkEnd w:id="196"/>
    <w:p w14:paraId="358690E8" w14:textId="77777777" w:rsidR="00CD5950" w:rsidRDefault="00CD5950" w:rsidP="00EF1133">
      <w:pPr>
        <w:rPr>
          <w:rFonts w:ascii="Arial Black" w:hAnsi="Arial Black"/>
          <w:b/>
          <w:sz w:val="24"/>
          <w:szCs w:val="24"/>
        </w:rPr>
      </w:pPr>
    </w:p>
    <w:p w14:paraId="3DA01B9B" w14:textId="77777777" w:rsidR="00CD5950" w:rsidRDefault="00CD5950" w:rsidP="00EF1133">
      <w:pPr>
        <w:rPr>
          <w:rFonts w:ascii="Arial Black" w:hAnsi="Arial Black"/>
          <w:b/>
          <w:sz w:val="24"/>
          <w:szCs w:val="24"/>
        </w:rPr>
      </w:pPr>
    </w:p>
    <w:p w14:paraId="0C208D9F" w14:textId="77777777" w:rsidR="00CD5950" w:rsidRDefault="00CD5950" w:rsidP="00EF1133">
      <w:pPr>
        <w:rPr>
          <w:rFonts w:ascii="Arial Black" w:hAnsi="Arial Black"/>
          <w:b/>
          <w:sz w:val="24"/>
          <w:szCs w:val="24"/>
        </w:rPr>
      </w:pPr>
    </w:p>
    <w:p w14:paraId="1205991C" w14:textId="424FD80F" w:rsidR="007D178F" w:rsidRDefault="007D178F" w:rsidP="00EF1133">
      <w:pPr>
        <w:rPr>
          <w:rFonts w:ascii="Arial Black" w:hAnsi="Arial Black"/>
          <w:b/>
          <w:sz w:val="24"/>
          <w:szCs w:val="24"/>
        </w:rPr>
      </w:pPr>
      <w:r>
        <w:rPr>
          <w:rFonts w:ascii="Arial Black" w:hAnsi="Arial Black"/>
          <w:b/>
          <w:sz w:val="24"/>
          <w:szCs w:val="24"/>
        </w:rPr>
        <w:t>5-19</w:t>
      </w:r>
    </w:p>
    <w:p w14:paraId="7970F4F1" w14:textId="77777777" w:rsidR="009E093C" w:rsidRPr="003E79B9" w:rsidRDefault="009E093C" w:rsidP="009E093C">
      <w:pPr>
        <w:pStyle w:val="NoSpacing"/>
        <w:rPr>
          <w:rFonts w:ascii="Arial Black" w:hAnsi="Arial Black"/>
          <w:sz w:val="28"/>
          <w:szCs w:val="28"/>
        </w:rPr>
      </w:pPr>
      <w:r>
        <w:rPr>
          <w:rFonts w:ascii="Arial Black" w:hAnsi="Arial Black"/>
          <w:sz w:val="28"/>
          <w:szCs w:val="28"/>
        </w:rPr>
        <w:t xml:space="preserve">MI: NON-EMERGENCY TRANSPORT – BLACK ICE, AMBULANCE ROLLED OVER DITCH – NO IMMUNITY, NON-EMERGENCY </w:t>
      </w:r>
    </w:p>
    <w:p w14:paraId="490D9070" w14:textId="77777777" w:rsidR="009E093C" w:rsidRDefault="009E093C" w:rsidP="009E093C">
      <w:pPr>
        <w:rPr>
          <w:rFonts w:ascii="Times New Roman" w:hAnsi="Times New Roman"/>
          <w:sz w:val="24"/>
          <w:szCs w:val="24"/>
        </w:rPr>
      </w:pPr>
    </w:p>
    <w:p w14:paraId="1022DADD" w14:textId="3CF61EEF" w:rsidR="009E093C" w:rsidRDefault="009E093C" w:rsidP="009E093C">
      <w:pPr>
        <w:rPr>
          <w:rFonts w:ascii="Times New Roman" w:hAnsi="Times New Roman"/>
          <w:sz w:val="24"/>
          <w:szCs w:val="24"/>
        </w:rPr>
      </w:pPr>
      <w:r>
        <w:rPr>
          <w:rFonts w:ascii="Times New Roman" w:hAnsi="Times New Roman"/>
          <w:sz w:val="24"/>
          <w:szCs w:val="24"/>
        </w:rPr>
        <w:lastRenderedPageBreak/>
        <w:t xml:space="preserve">On Nov. 24, 2020, in </w:t>
      </w:r>
      <w:r w:rsidRPr="003E79B9">
        <w:rPr>
          <w:rFonts w:ascii="Times New Roman" w:hAnsi="Times New Roman"/>
          <w:sz w:val="24"/>
          <w:szCs w:val="24"/>
          <w:u w:val="single"/>
        </w:rPr>
        <w:t>Charles C. Willis v. Community Emergency Medical Service, Inc. and Eric J. Norris</w:t>
      </w:r>
      <w:r>
        <w:rPr>
          <w:rFonts w:ascii="Times New Roman" w:hAnsi="Times New Roman"/>
          <w:sz w:val="24"/>
          <w:szCs w:val="24"/>
        </w:rPr>
        <w:t xml:space="preserve">, the State of Michigan Court of Appeals, held (3 to 0; unpublished decision) that lawsuit against the ambulance company and the EMT driver is reinstated, overturning trial judge’s decision that there were no material facts showing negligence.  The Court of Appeals found that there is a dispute whether EMT was driving too fast for weather conditions, with </w:t>
      </w:r>
      <w:r w:rsidRPr="00BF69CF">
        <w:rPr>
          <w:rFonts w:ascii="Times New Roman" w:hAnsi="Times New Roman"/>
          <w:sz w:val="24"/>
          <w:szCs w:val="24"/>
        </w:rPr>
        <w:t>ice on the ground and a mix of rain, snow, and sleet</w:t>
      </w:r>
      <w:r>
        <w:rPr>
          <w:rFonts w:ascii="Times New Roman" w:hAnsi="Times New Roman"/>
          <w:sz w:val="24"/>
          <w:szCs w:val="24"/>
        </w:rPr>
        <w:t xml:space="preserve">; Court also held the immunity statute for EMS does not apply to non-emergency </w:t>
      </w:r>
      <w:proofErr w:type="gramStart"/>
      <w:r>
        <w:rPr>
          <w:rFonts w:ascii="Times New Roman" w:hAnsi="Times New Roman"/>
          <w:sz w:val="24"/>
          <w:szCs w:val="24"/>
        </w:rPr>
        <w:t>transports</w:t>
      </w:r>
      <w:proofErr w:type="gramEnd"/>
      <w:r>
        <w:rPr>
          <w:rFonts w:ascii="Times New Roman" w:hAnsi="Times New Roman"/>
          <w:sz w:val="24"/>
          <w:szCs w:val="24"/>
        </w:rPr>
        <w:t xml:space="preserve">. </w:t>
      </w:r>
    </w:p>
    <w:p w14:paraId="24330A5B" w14:textId="77777777" w:rsidR="009E093C" w:rsidRDefault="009E093C" w:rsidP="009E093C">
      <w:pPr>
        <w:ind w:left="720"/>
        <w:rPr>
          <w:rFonts w:ascii="Times New Roman" w:hAnsi="Times New Roman"/>
          <w:sz w:val="24"/>
          <w:szCs w:val="24"/>
        </w:rPr>
      </w:pPr>
      <w:r>
        <w:rPr>
          <w:rFonts w:ascii="Times New Roman" w:hAnsi="Times New Roman"/>
          <w:sz w:val="24"/>
          <w:szCs w:val="24"/>
        </w:rPr>
        <w:t>“[W]</w:t>
      </w:r>
      <w:r w:rsidRPr="003B03E6">
        <w:rPr>
          <w:rFonts w:ascii="Times New Roman" w:hAnsi="Times New Roman"/>
          <w:sz w:val="24"/>
          <w:szCs w:val="24"/>
        </w:rPr>
        <w:t>e conclude that the trial court erred in granting defendants' motion for summary disposition pursuant to MCR 2.116(C)(10). Specifically, the trial court erred by failing to view the evidence in the light most favorable to plaintiff and to draw all reasonable inferences in his favor, and by weighing credibility. Plaintiff may not be able to establish his claim for negligence ultimately, but he has at least raised a genuine issue of material fact regarding whether the accident at issue occurred because Norris was negligent by driving too fast for the weather conditions. Accordingly, we reverse that portion of the trial court's order granting defendants' motion for summary disposition pursuant to MCR 2.116(C)(10).</w:t>
      </w:r>
      <w:r>
        <w:rPr>
          <w:rFonts w:ascii="Times New Roman" w:hAnsi="Times New Roman"/>
          <w:sz w:val="24"/>
          <w:szCs w:val="24"/>
        </w:rPr>
        <w:t xml:space="preserve">” </w:t>
      </w:r>
      <w:hyperlink r:id="rId1013" w:history="1">
        <w:r w:rsidRPr="00D35A04">
          <w:rPr>
            <w:rStyle w:val="Hyperlink"/>
            <w:rFonts w:ascii="Times New Roman" w:hAnsi="Times New Roman"/>
            <w:sz w:val="24"/>
            <w:szCs w:val="24"/>
          </w:rPr>
          <w:t>https://law.justia.com/cases/michigan/court-of-appeals-unpublished/2020/351871.html</w:t>
        </w:r>
      </w:hyperlink>
      <w:r>
        <w:rPr>
          <w:rFonts w:ascii="Times New Roman" w:hAnsi="Times New Roman"/>
          <w:sz w:val="24"/>
          <w:szCs w:val="24"/>
        </w:rPr>
        <w:t xml:space="preserve"> </w:t>
      </w:r>
    </w:p>
    <w:p w14:paraId="2B4B66AE" w14:textId="77777777" w:rsidR="009E093C" w:rsidRPr="003404A7" w:rsidRDefault="009E093C" w:rsidP="009E093C">
      <w:pPr>
        <w:pStyle w:val="NoSpacing"/>
        <w:rPr>
          <w:rFonts w:ascii="Times New Roman" w:hAnsi="Times New Roman"/>
          <w:b/>
          <w:bCs/>
          <w:sz w:val="24"/>
          <w:szCs w:val="24"/>
        </w:rPr>
      </w:pPr>
      <w:r w:rsidRPr="003404A7">
        <w:rPr>
          <w:rFonts w:ascii="Times New Roman" w:hAnsi="Times New Roman"/>
          <w:b/>
          <w:bCs/>
          <w:sz w:val="24"/>
          <w:szCs w:val="24"/>
        </w:rPr>
        <w:t>Legal Lesson Learned:</w:t>
      </w:r>
      <w:r>
        <w:rPr>
          <w:rFonts w:ascii="Times New Roman" w:hAnsi="Times New Roman"/>
          <w:b/>
          <w:bCs/>
          <w:sz w:val="24"/>
          <w:szCs w:val="24"/>
        </w:rPr>
        <w:t xml:space="preserve"> The state’s immunity statute protects EMS only for “treatment” of a patient. </w:t>
      </w:r>
    </w:p>
    <w:p w14:paraId="4DCAD598" w14:textId="77777777" w:rsidR="009E093C" w:rsidRDefault="009E093C" w:rsidP="00EF1133">
      <w:pPr>
        <w:rPr>
          <w:rFonts w:ascii="Arial Black" w:hAnsi="Arial Black"/>
          <w:b/>
          <w:sz w:val="24"/>
          <w:szCs w:val="24"/>
        </w:rPr>
      </w:pPr>
    </w:p>
    <w:p w14:paraId="61AF6354" w14:textId="77777777" w:rsidR="007D178F" w:rsidRDefault="007D178F" w:rsidP="00EF1133">
      <w:pPr>
        <w:rPr>
          <w:rFonts w:ascii="Arial Black" w:hAnsi="Arial Black"/>
          <w:b/>
          <w:sz w:val="24"/>
          <w:szCs w:val="24"/>
        </w:rPr>
      </w:pPr>
    </w:p>
    <w:p w14:paraId="6E55ED21" w14:textId="7BCF7B05" w:rsidR="007D178F" w:rsidRDefault="007D178F" w:rsidP="00EF1133">
      <w:pPr>
        <w:rPr>
          <w:rFonts w:ascii="Arial Black" w:hAnsi="Arial Black"/>
          <w:b/>
          <w:sz w:val="24"/>
          <w:szCs w:val="24"/>
        </w:rPr>
      </w:pPr>
      <w:r>
        <w:rPr>
          <w:rFonts w:ascii="Arial Black" w:hAnsi="Arial Black"/>
          <w:b/>
          <w:sz w:val="24"/>
          <w:szCs w:val="24"/>
        </w:rPr>
        <w:t>5-18</w:t>
      </w:r>
    </w:p>
    <w:p w14:paraId="3ED15AF1" w14:textId="77777777" w:rsidR="007D178F" w:rsidRDefault="007D178F" w:rsidP="007D178F">
      <w:pPr>
        <w:pStyle w:val="NoSpacing"/>
        <w:rPr>
          <w:rFonts w:ascii="Arial Black" w:hAnsi="Arial Black"/>
          <w:sz w:val="28"/>
          <w:szCs w:val="28"/>
        </w:rPr>
      </w:pPr>
      <w:bookmarkStart w:id="197" w:name="_Hlk66946467"/>
      <w:r>
        <w:rPr>
          <w:rFonts w:ascii="Arial Black" w:hAnsi="Arial Black"/>
          <w:sz w:val="28"/>
          <w:szCs w:val="28"/>
        </w:rPr>
        <w:t>TX: AMBULANCE LEFT RUNNING AT SCENE – STOLEN, INJURED MOTORISTS – ANTI-THEFT DEVICE NOT REQUIRED – NO CASE</w:t>
      </w:r>
    </w:p>
    <w:p w14:paraId="009AB070" w14:textId="77777777" w:rsidR="007D178F" w:rsidRDefault="007D178F" w:rsidP="007D178F">
      <w:pPr>
        <w:pStyle w:val="NoSpacing"/>
        <w:rPr>
          <w:rFonts w:ascii="Arial Black" w:hAnsi="Arial Black"/>
          <w:sz w:val="28"/>
          <w:szCs w:val="28"/>
        </w:rPr>
      </w:pPr>
    </w:p>
    <w:p w14:paraId="496F66D8" w14:textId="77777777" w:rsidR="007D178F" w:rsidRDefault="007D178F" w:rsidP="007D178F">
      <w:pPr>
        <w:rPr>
          <w:rFonts w:ascii="Times New Roman" w:hAnsi="Times New Roman"/>
          <w:sz w:val="24"/>
          <w:szCs w:val="24"/>
        </w:rPr>
      </w:pPr>
      <w:r>
        <w:rPr>
          <w:rFonts w:ascii="Times New Roman" w:hAnsi="Times New Roman"/>
          <w:sz w:val="24"/>
          <w:szCs w:val="24"/>
        </w:rPr>
        <w:t xml:space="preserve">On Nov. 25, 2020, in </w:t>
      </w:r>
      <w:r w:rsidRPr="007F700A">
        <w:rPr>
          <w:rFonts w:ascii="Times New Roman" w:hAnsi="Times New Roman"/>
          <w:sz w:val="24"/>
          <w:szCs w:val="24"/>
          <w:u w:val="single"/>
        </w:rPr>
        <w:t>The City of San Antonio v. Suzanne L. Smith and Claudia Acevedo</w:t>
      </w:r>
      <w:r>
        <w:rPr>
          <w:rFonts w:ascii="Times New Roman" w:hAnsi="Times New Roman"/>
          <w:sz w:val="24"/>
          <w:szCs w:val="24"/>
        </w:rPr>
        <w:t xml:space="preserve">, the Fourth Court of Appeals, San Antonio held (3 to 0) that the trial court should have dismissed the lawsuit against the City; while an anti-theft device may be helpful when leaving an ambulance running at 3 am, the City enjoys government immunity.  The plaintiffs </w:t>
      </w:r>
      <w:proofErr w:type="gramStart"/>
      <w:r>
        <w:rPr>
          <w:rFonts w:ascii="Times New Roman" w:hAnsi="Times New Roman"/>
          <w:sz w:val="24"/>
          <w:szCs w:val="24"/>
        </w:rPr>
        <w:t>had included</w:t>
      </w:r>
      <w:proofErr w:type="gramEnd"/>
      <w:r>
        <w:rPr>
          <w:rFonts w:ascii="Times New Roman" w:hAnsi="Times New Roman"/>
          <w:sz w:val="24"/>
          <w:szCs w:val="24"/>
        </w:rPr>
        <w:t xml:space="preserve"> </w:t>
      </w:r>
      <w:r w:rsidRPr="00950AE6">
        <w:rPr>
          <w:rFonts w:ascii="Times New Roman" w:hAnsi="Times New Roman"/>
          <w:sz w:val="24"/>
          <w:szCs w:val="24"/>
        </w:rPr>
        <w:t>an affidavit from Robyn McKinley, a firefighter and paramedic in Memphis, Tennessee, who specifically advocated for the use of an anti-theft device manufactured by a company called Tremco. This device apparently is designed to make it difficult to put a vehicle into gear even though the vehicle has been left running.</w:t>
      </w:r>
      <w:r>
        <w:rPr>
          <w:rFonts w:ascii="Times New Roman" w:hAnsi="Times New Roman"/>
          <w:sz w:val="24"/>
          <w:szCs w:val="24"/>
        </w:rPr>
        <w:t>”</w:t>
      </w:r>
    </w:p>
    <w:bookmarkEnd w:id="197"/>
    <w:p w14:paraId="51C9421D" w14:textId="77777777" w:rsidR="007D178F" w:rsidRDefault="007D178F" w:rsidP="007D178F">
      <w:pPr>
        <w:pStyle w:val="NoSpacing"/>
        <w:ind w:left="720"/>
        <w:rPr>
          <w:rFonts w:ascii="Times New Roman" w:hAnsi="Times New Roman"/>
          <w:sz w:val="24"/>
          <w:szCs w:val="24"/>
        </w:rPr>
      </w:pPr>
      <w:r>
        <w:rPr>
          <w:rFonts w:ascii="Times New Roman" w:hAnsi="Times New Roman"/>
          <w:sz w:val="24"/>
          <w:szCs w:val="24"/>
        </w:rPr>
        <w:t>“</w:t>
      </w:r>
      <w:r w:rsidRPr="001C3116">
        <w:rPr>
          <w:rFonts w:ascii="Times New Roman" w:hAnsi="Times New Roman"/>
          <w:sz w:val="24"/>
          <w:szCs w:val="24"/>
        </w:rPr>
        <w:t xml:space="preserve">In the present case, Appellees allege that the ambulance was not equipped with a specific anti-theft device that may have prevented it from being stolen even though it was left running. They argue that the City thus used or provided property (the ambulance) that lacked an integral safety feature (a particular anti-theft device), thus bringing their claims within the "use or condition of personal property" waiver pursuant to </w:t>
      </w:r>
      <w:r w:rsidRPr="001C3116">
        <w:rPr>
          <w:rFonts w:ascii="Times New Roman" w:hAnsi="Times New Roman"/>
          <w:i/>
          <w:iCs/>
          <w:sz w:val="24"/>
          <w:szCs w:val="24"/>
        </w:rPr>
        <w:t>Lowe</w:t>
      </w:r>
      <w:r w:rsidRPr="001C3116">
        <w:rPr>
          <w:rFonts w:ascii="Times New Roman" w:hAnsi="Times New Roman"/>
          <w:sz w:val="24"/>
          <w:szCs w:val="24"/>
        </w:rPr>
        <w:t xml:space="preserve"> and </w:t>
      </w:r>
      <w:r w:rsidRPr="001C3116">
        <w:rPr>
          <w:rFonts w:ascii="Times New Roman" w:hAnsi="Times New Roman"/>
          <w:i/>
          <w:iCs/>
          <w:sz w:val="24"/>
          <w:szCs w:val="24"/>
        </w:rPr>
        <w:t>Robinson</w:t>
      </w:r>
      <w:r w:rsidRPr="001C3116">
        <w:rPr>
          <w:rFonts w:ascii="Times New Roman" w:hAnsi="Times New Roman"/>
          <w:sz w:val="24"/>
          <w:szCs w:val="24"/>
        </w:rPr>
        <w:t xml:space="preserve">. The </w:t>
      </w:r>
      <w:proofErr w:type="gramStart"/>
      <w:r w:rsidRPr="001C3116">
        <w:rPr>
          <w:rFonts w:ascii="Times New Roman" w:hAnsi="Times New Roman"/>
          <w:sz w:val="24"/>
          <w:szCs w:val="24"/>
        </w:rPr>
        <w:t>City</w:t>
      </w:r>
      <w:proofErr w:type="gramEnd"/>
      <w:r w:rsidRPr="001C3116">
        <w:rPr>
          <w:rFonts w:ascii="Times New Roman" w:hAnsi="Times New Roman"/>
          <w:sz w:val="24"/>
          <w:szCs w:val="24"/>
        </w:rPr>
        <w:t xml:space="preserve"> counters that Appellees' claims do not fall within that waiver because the ambulance </w:t>
      </w:r>
      <w:r w:rsidRPr="001C3116">
        <w:rPr>
          <w:rFonts w:ascii="Times New Roman" w:hAnsi="Times New Roman"/>
          <w:i/>
          <w:iCs/>
          <w:sz w:val="24"/>
          <w:szCs w:val="24"/>
        </w:rPr>
        <w:t>was</w:t>
      </w:r>
      <w:r w:rsidRPr="001C3116">
        <w:rPr>
          <w:rFonts w:ascii="Times New Roman" w:hAnsi="Times New Roman"/>
          <w:sz w:val="24"/>
          <w:szCs w:val="24"/>
        </w:rPr>
        <w:t xml:space="preserve"> equipped with anti-theft devices—door locks and an alarm—and Appellees' contention that it should also have been equipped with a different device is not cognizable under the integral safety component theory. </w:t>
      </w:r>
      <w:r w:rsidRPr="001C3116">
        <w:rPr>
          <w:rFonts w:ascii="Times New Roman" w:hAnsi="Times New Roman"/>
          <w:i/>
          <w:iCs/>
          <w:sz w:val="24"/>
          <w:szCs w:val="24"/>
        </w:rPr>
        <w:t>See Bishop</w:t>
      </w:r>
      <w:r w:rsidRPr="001C3116">
        <w:rPr>
          <w:rFonts w:ascii="Times New Roman" w:hAnsi="Times New Roman"/>
          <w:sz w:val="24"/>
          <w:szCs w:val="24"/>
        </w:rPr>
        <w:t xml:space="preserve">, 156 S.W.3d at 584 (theory applies "only when an integral safety component is entirely lacking rather than merely inadequate"). We agree with the </w:t>
      </w:r>
      <w:proofErr w:type="gramStart"/>
      <w:r w:rsidRPr="001C3116">
        <w:rPr>
          <w:rFonts w:ascii="Times New Roman" w:hAnsi="Times New Roman"/>
          <w:sz w:val="24"/>
          <w:szCs w:val="24"/>
        </w:rPr>
        <w:t>City</w:t>
      </w:r>
      <w:proofErr w:type="gramEnd"/>
      <w:r w:rsidRPr="001C3116">
        <w:rPr>
          <w:rFonts w:ascii="Times New Roman" w:hAnsi="Times New Roman"/>
          <w:sz w:val="24"/>
          <w:szCs w:val="24"/>
        </w:rPr>
        <w:t>.</w:t>
      </w:r>
    </w:p>
    <w:p w14:paraId="30FA2914" w14:textId="77777777" w:rsidR="007D178F" w:rsidRDefault="007D178F" w:rsidP="007D178F">
      <w:pPr>
        <w:pStyle w:val="NoSpacing"/>
        <w:ind w:left="720"/>
        <w:rPr>
          <w:rFonts w:ascii="Times New Roman" w:hAnsi="Times New Roman"/>
          <w:sz w:val="24"/>
          <w:szCs w:val="24"/>
        </w:rPr>
      </w:pPr>
    </w:p>
    <w:p w14:paraId="0806B63E" w14:textId="77777777" w:rsidR="007D178F" w:rsidRDefault="007D178F" w:rsidP="007D178F">
      <w:pPr>
        <w:pStyle w:val="NoSpacing"/>
        <w:ind w:left="720"/>
        <w:rPr>
          <w:rFonts w:ascii="Times New Roman" w:hAnsi="Times New Roman"/>
          <w:sz w:val="24"/>
          <w:szCs w:val="24"/>
        </w:rPr>
      </w:pPr>
      <w:r>
        <w:rPr>
          <w:rFonts w:ascii="Times New Roman" w:hAnsi="Times New Roman"/>
          <w:sz w:val="24"/>
          <w:szCs w:val="24"/>
        </w:rPr>
        <w:t>***</w:t>
      </w:r>
    </w:p>
    <w:p w14:paraId="048A1110" w14:textId="77777777" w:rsidR="007D178F" w:rsidRDefault="007D178F" w:rsidP="007D178F">
      <w:pPr>
        <w:pStyle w:val="NoSpacing"/>
        <w:ind w:left="720"/>
        <w:rPr>
          <w:rFonts w:ascii="Times New Roman" w:hAnsi="Times New Roman"/>
          <w:sz w:val="24"/>
          <w:szCs w:val="24"/>
        </w:rPr>
      </w:pPr>
    </w:p>
    <w:p w14:paraId="3FBD508E" w14:textId="77777777" w:rsidR="007D178F" w:rsidRDefault="007D178F" w:rsidP="007D178F">
      <w:pPr>
        <w:pStyle w:val="NoSpacing"/>
        <w:ind w:left="720"/>
        <w:rPr>
          <w:rFonts w:ascii="Times New Roman" w:hAnsi="Times New Roman"/>
          <w:sz w:val="24"/>
          <w:szCs w:val="24"/>
        </w:rPr>
      </w:pPr>
      <w:r w:rsidRPr="001C3116">
        <w:rPr>
          <w:rFonts w:ascii="Times New Roman" w:eastAsia="Times New Roman" w:hAnsi="Times New Roman"/>
          <w:sz w:val="24"/>
          <w:szCs w:val="24"/>
        </w:rPr>
        <w:t xml:space="preserve">[Footnote 3.]  </w:t>
      </w:r>
      <w:r w:rsidRPr="001C3116">
        <w:rPr>
          <w:rFonts w:ascii="Times New Roman" w:hAnsi="Times New Roman"/>
          <w:sz w:val="24"/>
          <w:szCs w:val="24"/>
        </w:rPr>
        <w:t xml:space="preserve">Insofar as Appellees challenge the City's decision not to equip its ambulances with the </w:t>
      </w:r>
      <w:proofErr w:type="gramStart"/>
      <w:r w:rsidRPr="001C3116">
        <w:rPr>
          <w:rFonts w:ascii="Times New Roman" w:hAnsi="Times New Roman"/>
          <w:sz w:val="24"/>
          <w:szCs w:val="24"/>
        </w:rPr>
        <w:t>particular anti-</w:t>
      </w:r>
      <w:proofErr w:type="gramEnd"/>
      <w:r w:rsidRPr="001C3116">
        <w:rPr>
          <w:rFonts w:ascii="Times New Roman" w:hAnsi="Times New Roman"/>
          <w:sz w:val="24"/>
          <w:szCs w:val="24"/>
        </w:rPr>
        <w:t xml:space="preserve">theft device they favor, which they contend is a safety feature, we note that </w:t>
      </w:r>
      <w:r>
        <w:rPr>
          <w:rFonts w:ascii="Times New Roman" w:hAnsi="Times New Roman"/>
          <w:sz w:val="24"/>
          <w:szCs w:val="24"/>
        </w:rPr>
        <w:t>‘</w:t>
      </w:r>
      <w:r w:rsidRPr="001C3116">
        <w:rPr>
          <w:rFonts w:ascii="Times New Roman" w:hAnsi="Times New Roman"/>
          <w:sz w:val="24"/>
          <w:szCs w:val="24"/>
        </w:rPr>
        <w:t xml:space="preserve">decisions </w:t>
      </w:r>
      <w:r w:rsidRPr="001C3116">
        <w:rPr>
          <w:rFonts w:ascii="Times New Roman" w:hAnsi="Times New Roman"/>
          <w:sz w:val="24"/>
          <w:szCs w:val="24"/>
        </w:rPr>
        <w:lastRenderedPageBreak/>
        <w:t>about installing safety features are discretionary decisions for which the [City] may not be sued.</w:t>
      </w:r>
      <w:r>
        <w:rPr>
          <w:rFonts w:ascii="Times New Roman" w:hAnsi="Times New Roman"/>
          <w:sz w:val="24"/>
          <w:szCs w:val="24"/>
        </w:rPr>
        <w:t>’</w:t>
      </w:r>
      <w:r w:rsidRPr="001C3116">
        <w:rPr>
          <w:rFonts w:ascii="Times New Roman" w:hAnsi="Times New Roman"/>
          <w:sz w:val="24"/>
          <w:szCs w:val="24"/>
        </w:rPr>
        <w:t xml:space="preserve"> </w:t>
      </w:r>
      <w:r w:rsidRPr="001C3116">
        <w:rPr>
          <w:rFonts w:ascii="Times New Roman" w:hAnsi="Times New Roman"/>
          <w:i/>
          <w:iCs/>
          <w:sz w:val="24"/>
          <w:szCs w:val="24"/>
        </w:rPr>
        <w:t>Tex</w:t>
      </w:r>
      <w:r w:rsidRPr="001C3116">
        <w:rPr>
          <w:rFonts w:ascii="Times New Roman" w:hAnsi="Times New Roman"/>
          <w:sz w:val="24"/>
          <w:szCs w:val="24"/>
        </w:rPr>
        <w:t xml:space="preserve">. </w:t>
      </w:r>
      <w:proofErr w:type="spellStart"/>
      <w:r w:rsidRPr="001C3116">
        <w:rPr>
          <w:rFonts w:ascii="Times New Roman" w:hAnsi="Times New Roman"/>
          <w:i/>
          <w:iCs/>
          <w:sz w:val="24"/>
          <w:szCs w:val="24"/>
        </w:rPr>
        <w:t>Dep't</w:t>
      </w:r>
      <w:proofErr w:type="spellEnd"/>
      <w:r w:rsidRPr="001C3116">
        <w:rPr>
          <w:rFonts w:ascii="Times New Roman" w:hAnsi="Times New Roman"/>
          <w:i/>
          <w:iCs/>
          <w:sz w:val="24"/>
          <w:szCs w:val="24"/>
        </w:rPr>
        <w:t xml:space="preserve"> of Transp</w:t>
      </w:r>
      <w:r w:rsidRPr="001C3116">
        <w:rPr>
          <w:rFonts w:ascii="Times New Roman" w:hAnsi="Times New Roman"/>
          <w:sz w:val="24"/>
          <w:szCs w:val="24"/>
        </w:rPr>
        <w:t xml:space="preserve">. </w:t>
      </w:r>
      <w:r w:rsidRPr="001C3116">
        <w:rPr>
          <w:rFonts w:ascii="Times New Roman" w:hAnsi="Times New Roman"/>
          <w:i/>
          <w:iCs/>
          <w:sz w:val="24"/>
          <w:szCs w:val="24"/>
        </w:rPr>
        <w:t>v</w:t>
      </w:r>
      <w:r w:rsidRPr="001C3116">
        <w:rPr>
          <w:rFonts w:ascii="Times New Roman" w:hAnsi="Times New Roman"/>
          <w:sz w:val="24"/>
          <w:szCs w:val="24"/>
        </w:rPr>
        <w:t xml:space="preserve">. </w:t>
      </w:r>
      <w:r w:rsidRPr="001C3116">
        <w:rPr>
          <w:rFonts w:ascii="Times New Roman" w:hAnsi="Times New Roman"/>
          <w:i/>
          <w:iCs/>
          <w:sz w:val="24"/>
          <w:szCs w:val="24"/>
        </w:rPr>
        <w:t>Ramirez</w:t>
      </w:r>
      <w:r w:rsidRPr="001C3116">
        <w:rPr>
          <w:rFonts w:ascii="Times New Roman" w:hAnsi="Times New Roman"/>
          <w:sz w:val="24"/>
          <w:szCs w:val="24"/>
        </w:rPr>
        <w:t>, 74 S.W.3d 864, 867 (Tex. 2002).</w:t>
      </w:r>
      <w:r>
        <w:rPr>
          <w:rFonts w:ascii="Times New Roman" w:hAnsi="Times New Roman"/>
          <w:sz w:val="24"/>
          <w:szCs w:val="24"/>
        </w:rPr>
        <w:t xml:space="preserve">” </w:t>
      </w:r>
      <w:bookmarkStart w:id="198" w:name="_Hlk66946499"/>
      <w:r w:rsidR="00F00958">
        <w:fldChar w:fldCharType="begin"/>
      </w:r>
      <w:r w:rsidR="00F00958">
        <w:instrText xml:space="preserve"> HYPERLINK "https://law.justia.com/cases/texas/fourth-court-of-appeals/2020/04-20-00077-cv.html" </w:instrText>
      </w:r>
      <w:r w:rsidR="00F00958">
        <w:fldChar w:fldCharType="separate"/>
      </w:r>
      <w:r w:rsidRPr="00695F3D">
        <w:rPr>
          <w:rStyle w:val="Hyperlink"/>
          <w:rFonts w:ascii="Times New Roman" w:hAnsi="Times New Roman"/>
          <w:sz w:val="24"/>
          <w:szCs w:val="24"/>
        </w:rPr>
        <w:t>https://law.justia.com/cases/texas/fourth-court-of-appeals/2020/04-20-00077-cv.html</w:t>
      </w:r>
      <w:r w:rsidR="00F00958">
        <w:rPr>
          <w:rStyle w:val="Hyperlink"/>
          <w:rFonts w:ascii="Times New Roman" w:hAnsi="Times New Roman"/>
          <w:sz w:val="24"/>
          <w:szCs w:val="24"/>
        </w:rPr>
        <w:fldChar w:fldCharType="end"/>
      </w:r>
      <w:r>
        <w:rPr>
          <w:rFonts w:ascii="Times New Roman" w:hAnsi="Times New Roman"/>
          <w:sz w:val="24"/>
          <w:szCs w:val="24"/>
        </w:rPr>
        <w:t xml:space="preserve"> </w:t>
      </w:r>
    </w:p>
    <w:p w14:paraId="269F0D63" w14:textId="7BF43612" w:rsidR="007D178F" w:rsidRDefault="007D178F" w:rsidP="00EF1133">
      <w:pPr>
        <w:rPr>
          <w:rFonts w:ascii="Arial Black" w:hAnsi="Arial Black"/>
          <w:b/>
          <w:sz w:val="24"/>
          <w:szCs w:val="24"/>
        </w:rPr>
      </w:pPr>
    </w:p>
    <w:p w14:paraId="2AA9546F" w14:textId="77777777" w:rsidR="007D178F" w:rsidRPr="001C3116" w:rsidRDefault="007D178F" w:rsidP="007D178F">
      <w:pPr>
        <w:spacing w:before="100" w:beforeAutospacing="1" w:after="100" w:afterAutospacing="1" w:line="240" w:lineRule="auto"/>
        <w:rPr>
          <w:rFonts w:ascii="Times New Roman" w:eastAsia="Times New Roman" w:hAnsi="Times New Roman"/>
          <w:b/>
          <w:bCs/>
          <w:sz w:val="24"/>
          <w:szCs w:val="24"/>
        </w:rPr>
      </w:pPr>
      <w:r w:rsidRPr="00950AE6">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Theft of ambulances left running at the scene are increasingly common; if possible, lock the doors and take a second set of keys. </w:t>
      </w:r>
    </w:p>
    <w:p w14:paraId="3D18E7D0" w14:textId="77777777" w:rsidR="007D178F" w:rsidRDefault="007D178F" w:rsidP="007D178F">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Plaintiff’s expert suggested Tremco anti-theft device. See their ad: </w:t>
      </w:r>
      <w:hyperlink r:id="rId1014" w:history="1">
        <w:r w:rsidRPr="00695F3D">
          <w:rPr>
            <w:rStyle w:val="Hyperlink"/>
            <w:rFonts w:ascii="Times New Roman" w:hAnsi="Times New Roman"/>
            <w:sz w:val="24"/>
            <w:szCs w:val="24"/>
          </w:rPr>
          <w:t>https://www.tremcopoliceproducts.com/</w:t>
        </w:r>
      </w:hyperlink>
      <w:r>
        <w:rPr>
          <w:rFonts w:ascii="Times New Roman" w:eastAsia="Times New Roman" w:hAnsi="Times New Roman"/>
          <w:sz w:val="24"/>
          <w:szCs w:val="24"/>
        </w:rPr>
        <w:t xml:space="preserve"> </w:t>
      </w:r>
    </w:p>
    <w:p w14:paraId="7F81E6F5" w14:textId="77777777" w:rsidR="007D178F" w:rsidRPr="00950AE6" w:rsidRDefault="007D178F" w:rsidP="007D178F">
      <w:pPr>
        <w:numPr>
          <w:ilvl w:val="0"/>
          <w:numId w:val="6"/>
        </w:numPr>
        <w:tabs>
          <w:tab w:val="clear" w:pos="720"/>
          <w:tab w:val="num" w:pos="360"/>
        </w:tabs>
        <w:spacing w:before="100" w:beforeAutospacing="1" w:after="100" w:afterAutospacing="1" w:line="240" w:lineRule="auto"/>
        <w:ind w:firstLine="90"/>
        <w:rPr>
          <w:rFonts w:ascii="Times New Roman" w:eastAsia="Times New Roman" w:hAnsi="Times New Roman"/>
          <w:sz w:val="24"/>
          <w:szCs w:val="24"/>
        </w:rPr>
      </w:pPr>
      <w:r w:rsidRPr="00950AE6">
        <w:rPr>
          <w:rFonts w:ascii="Times New Roman" w:eastAsia="Times New Roman" w:hAnsi="Times New Roman"/>
          <w:sz w:val="24"/>
          <w:szCs w:val="24"/>
        </w:rPr>
        <w:t>Vehicles Can Be Left Unattended While Running</w:t>
      </w:r>
    </w:p>
    <w:p w14:paraId="35864163" w14:textId="77777777" w:rsidR="007D178F" w:rsidRPr="00950AE6" w:rsidRDefault="007D178F" w:rsidP="007D178F">
      <w:pPr>
        <w:numPr>
          <w:ilvl w:val="0"/>
          <w:numId w:val="6"/>
        </w:numPr>
        <w:tabs>
          <w:tab w:val="clear" w:pos="720"/>
          <w:tab w:val="num" w:pos="360"/>
        </w:tabs>
        <w:spacing w:before="100" w:beforeAutospacing="1" w:after="100" w:afterAutospacing="1" w:line="240" w:lineRule="auto"/>
        <w:ind w:firstLine="90"/>
        <w:rPr>
          <w:rFonts w:ascii="Times New Roman" w:eastAsia="Times New Roman" w:hAnsi="Times New Roman"/>
          <w:sz w:val="24"/>
          <w:szCs w:val="24"/>
        </w:rPr>
      </w:pPr>
      <w:r w:rsidRPr="00950AE6">
        <w:rPr>
          <w:rFonts w:ascii="Times New Roman" w:eastAsia="Times New Roman" w:hAnsi="Times New Roman"/>
          <w:sz w:val="24"/>
          <w:szCs w:val="24"/>
        </w:rPr>
        <w:t>Allows Emergency Lighting &amp; Other Electronics to Operate</w:t>
      </w:r>
    </w:p>
    <w:p w14:paraId="7A873A85" w14:textId="77777777" w:rsidR="007D178F" w:rsidRPr="00950AE6" w:rsidRDefault="007D178F" w:rsidP="007D178F">
      <w:pPr>
        <w:numPr>
          <w:ilvl w:val="0"/>
          <w:numId w:val="6"/>
        </w:numPr>
        <w:tabs>
          <w:tab w:val="clear" w:pos="720"/>
          <w:tab w:val="num" w:pos="360"/>
        </w:tabs>
        <w:spacing w:before="100" w:beforeAutospacing="1" w:after="100" w:afterAutospacing="1" w:line="240" w:lineRule="auto"/>
        <w:ind w:firstLine="90"/>
        <w:rPr>
          <w:rFonts w:ascii="Times New Roman" w:eastAsia="Times New Roman" w:hAnsi="Times New Roman"/>
          <w:sz w:val="24"/>
          <w:szCs w:val="24"/>
        </w:rPr>
      </w:pPr>
      <w:r w:rsidRPr="00950AE6">
        <w:rPr>
          <w:rFonts w:ascii="Times New Roman" w:eastAsia="Times New Roman" w:hAnsi="Times New Roman"/>
          <w:sz w:val="24"/>
          <w:szCs w:val="24"/>
        </w:rPr>
        <w:t xml:space="preserve">Provides More Security at The Scene </w:t>
      </w:r>
      <w:proofErr w:type="gramStart"/>
      <w:r w:rsidRPr="00950AE6">
        <w:rPr>
          <w:rFonts w:ascii="Times New Roman" w:eastAsia="Times New Roman" w:hAnsi="Times New Roman"/>
          <w:sz w:val="24"/>
          <w:szCs w:val="24"/>
        </w:rPr>
        <w:t>Of</w:t>
      </w:r>
      <w:proofErr w:type="gramEnd"/>
      <w:r w:rsidRPr="00950AE6">
        <w:rPr>
          <w:rFonts w:ascii="Times New Roman" w:eastAsia="Times New Roman" w:hAnsi="Times New Roman"/>
          <w:sz w:val="24"/>
          <w:szCs w:val="24"/>
        </w:rPr>
        <w:t xml:space="preserve"> </w:t>
      </w:r>
      <w:proofErr w:type="gramStart"/>
      <w:r w:rsidRPr="00950AE6">
        <w:rPr>
          <w:rFonts w:ascii="Times New Roman" w:eastAsia="Times New Roman" w:hAnsi="Times New Roman"/>
          <w:sz w:val="24"/>
          <w:szCs w:val="24"/>
        </w:rPr>
        <w:t>An</w:t>
      </w:r>
      <w:proofErr w:type="gramEnd"/>
      <w:r w:rsidRPr="00950AE6">
        <w:rPr>
          <w:rFonts w:ascii="Times New Roman" w:eastAsia="Times New Roman" w:hAnsi="Times New Roman"/>
          <w:sz w:val="24"/>
          <w:szCs w:val="24"/>
        </w:rPr>
        <w:t xml:space="preserve"> Accident</w:t>
      </w:r>
    </w:p>
    <w:p w14:paraId="30DCEC11" w14:textId="77777777" w:rsidR="007D178F" w:rsidRPr="00950AE6" w:rsidRDefault="007D178F" w:rsidP="007D178F">
      <w:pPr>
        <w:numPr>
          <w:ilvl w:val="0"/>
          <w:numId w:val="6"/>
        </w:numPr>
        <w:tabs>
          <w:tab w:val="clear" w:pos="720"/>
          <w:tab w:val="num" w:pos="360"/>
        </w:tabs>
        <w:spacing w:before="100" w:beforeAutospacing="1" w:after="100" w:afterAutospacing="1" w:line="240" w:lineRule="auto"/>
        <w:ind w:firstLine="90"/>
        <w:rPr>
          <w:rFonts w:ascii="Times New Roman" w:eastAsia="Times New Roman" w:hAnsi="Times New Roman"/>
          <w:sz w:val="24"/>
          <w:szCs w:val="24"/>
        </w:rPr>
      </w:pPr>
      <w:r w:rsidRPr="00950AE6">
        <w:rPr>
          <w:rFonts w:ascii="Times New Roman" w:eastAsia="Times New Roman" w:hAnsi="Times New Roman"/>
          <w:sz w:val="24"/>
          <w:szCs w:val="24"/>
        </w:rPr>
        <w:t>Inexpensive &amp; Easy to Install – Plug N Play</w:t>
      </w:r>
      <w:r>
        <w:rPr>
          <w:rFonts w:ascii="Times New Roman" w:eastAsia="Times New Roman" w:hAnsi="Times New Roman"/>
          <w:sz w:val="24"/>
          <w:szCs w:val="24"/>
        </w:rPr>
        <w:t>.</w:t>
      </w:r>
    </w:p>
    <w:bookmarkEnd w:id="198"/>
    <w:p w14:paraId="7BA52E9F" w14:textId="77777777" w:rsidR="007D178F" w:rsidRDefault="007D178F" w:rsidP="00EF1133">
      <w:pPr>
        <w:rPr>
          <w:rFonts w:ascii="Arial Black" w:hAnsi="Arial Black"/>
          <w:b/>
          <w:sz w:val="24"/>
          <w:szCs w:val="24"/>
        </w:rPr>
      </w:pPr>
    </w:p>
    <w:p w14:paraId="4960E410" w14:textId="7176F516" w:rsidR="00557CA2" w:rsidRDefault="00557CA2" w:rsidP="00EF1133">
      <w:pPr>
        <w:rPr>
          <w:rFonts w:ascii="Arial Black" w:hAnsi="Arial Black"/>
          <w:b/>
          <w:sz w:val="24"/>
          <w:szCs w:val="24"/>
        </w:rPr>
      </w:pPr>
      <w:r>
        <w:rPr>
          <w:rFonts w:ascii="Arial Black" w:hAnsi="Arial Black"/>
          <w:b/>
          <w:sz w:val="24"/>
          <w:szCs w:val="24"/>
        </w:rPr>
        <w:t>5-17</w:t>
      </w:r>
    </w:p>
    <w:p w14:paraId="06DC5D93" w14:textId="77777777" w:rsidR="00557CA2" w:rsidRDefault="00557CA2" w:rsidP="00557CA2">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NY: VOL. FF IN MVA – CROSSED AGAINST RED LIGHT- NO SIREN, ONLY EMER. LIGHT - 40% LIABLE – JURY $20,000</w:t>
      </w:r>
    </w:p>
    <w:p w14:paraId="4EFE939D" w14:textId="77777777" w:rsidR="00557CA2" w:rsidRDefault="00557CA2" w:rsidP="00557CA2">
      <w:pPr>
        <w:tabs>
          <w:tab w:val="left" w:pos="6680"/>
        </w:tabs>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Aug. 19, 2020, in </w:t>
      </w:r>
      <w:r>
        <w:rPr>
          <w:rFonts w:ascii="Times New Roman" w:eastAsia="Times New Roman" w:hAnsi="Times New Roman"/>
          <w:sz w:val="24"/>
          <w:szCs w:val="24"/>
          <w:u w:val="single"/>
        </w:rPr>
        <w:t>Jeffrey K. Schleger v. Michael F. Jurcsak</w:t>
      </w:r>
      <w:r>
        <w:rPr>
          <w:rFonts w:ascii="Times New Roman" w:eastAsia="Times New Roman" w:hAnsi="Times New Roman"/>
          <w:sz w:val="24"/>
          <w:szCs w:val="24"/>
        </w:rPr>
        <w:t xml:space="preserve">, the Supreme Court of the State of New York, Appellate Division (Second Judicial Department) upheld (3 to 0) the jury’s verdict, finding plaintiff 60% liable and only awarding him $20,000 in damages. </w:t>
      </w:r>
    </w:p>
    <w:p w14:paraId="1771C541" w14:textId="77777777" w:rsidR="00557CA2" w:rsidRDefault="00557CA2" w:rsidP="00557CA2">
      <w:pPr>
        <w:tabs>
          <w:tab w:val="left" w:pos="6680"/>
        </w:tabs>
        <w:spacing w:before="100" w:beforeAutospacing="1" w:after="100" w:afterAutospacing="1" w:line="240" w:lineRule="auto"/>
        <w:ind w:left="540"/>
        <w:rPr>
          <w:rFonts w:ascii="Times New Roman" w:eastAsia="Times New Roman" w:hAnsi="Times New Roman"/>
          <w:sz w:val="24"/>
          <w:szCs w:val="24"/>
        </w:rPr>
      </w:pPr>
      <w:r>
        <w:rPr>
          <w:rFonts w:ascii="Times New Roman" w:hAnsi="Times New Roman"/>
          <w:sz w:val="24"/>
          <w:szCs w:val="24"/>
        </w:rPr>
        <w:t>“Issues of credibility are for the jury, which had the opportunity to observe the witnesses and the evidence,' and its credibility determination is entitled to deference" (</w:t>
      </w:r>
      <w:r>
        <w:rPr>
          <w:rFonts w:ascii="Times New Roman" w:hAnsi="Times New Roman"/>
          <w:i/>
          <w:iCs/>
          <w:sz w:val="24"/>
          <w:szCs w:val="24"/>
        </w:rPr>
        <w:t>id</w:t>
      </w:r>
      <w:r>
        <w:rPr>
          <w:rFonts w:ascii="Times New Roman" w:hAnsi="Times New Roman"/>
          <w:sz w:val="24"/>
          <w:szCs w:val="24"/>
        </w:rPr>
        <w:t xml:space="preserve">., quoting </w:t>
      </w:r>
      <w:r>
        <w:rPr>
          <w:rFonts w:ascii="Times New Roman" w:hAnsi="Times New Roman"/>
          <w:i/>
          <w:iCs/>
          <w:sz w:val="24"/>
          <w:szCs w:val="24"/>
        </w:rPr>
        <w:t>Aronov v Kanarek</w:t>
      </w:r>
      <w:r>
        <w:rPr>
          <w:rFonts w:ascii="Times New Roman" w:hAnsi="Times New Roman"/>
          <w:sz w:val="24"/>
          <w:szCs w:val="24"/>
        </w:rPr>
        <w:t>, 166 AD3d 574, 575 [internal quotation marks omitted]). Contrary to the plaintiff's contention, the jury's verdict on the issue of liability finding that the plaintiff was negligent and 60% at fault in the happening of the accident was not contrary to the weight of the evidence because a fair interpretation of the evidence supports the verdict (</w:t>
      </w:r>
      <w:r>
        <w:rPr>
          <w:rFonts w:ascii="Times New Roman" w:hAnsi="Times New Roman"/>
          <w:i/>
          <w:iCs/>
          <w:sz w:val="24"/>
          <w:szCs w:val="24"/>
        </w:rPr>
        <w:t xml:space="preserve">see </w:t>
      </w:r>
      <w:proofErr w:type="spellStart"/>
      <w:r>
        <w:rPr>
          <w:rFonts w:ascii="Times New Roman" w:hAnsi="Times New Roman"/>
          <w:i/>
          <w:iCs/>
          <w:sz w:val="24"/>
          <w:szCs w:val="24"/>
        </w:rPr>
        <w:t>Khaydarov</w:t>
      </w:r>
      <w:proofErr w:type="spellEnd"/>
      <w:r>
        <w:rPr>
          <w:rFonts w:ascii="Times New Roman" w:hAnsi="Times New Roman"/>
          <w:i/>
          <w:iCs/>
          <w:sz w:val="24"/>
          <w:szCs w:val="24"/>
        </w:rPr>
        <w:t xml:space="preserve"> v AK1 Group</w:t>
      </w:r>
      <w:r>
        <w:rPr>
          <w:rFonts w:ascii="Times New Roman" w:hAnsi="Times New Roman"/>
          <w:sz w:val="24"/>
          <w:szCs w:val="24"/>
        </w:rPr>
        <w:t xml:space="preserve">, </w:t>
      </w:r>
      <w:r>
        <w:rPr>
          <w:rFonts w:ascii="Times New Roman" w:hAnsi="Times New Roman"/>
          <w:i/>
          <w:iCs/>
          <w:sz w:val="24"/>
          <w:szCs w:val="24"/>
        </w:rPr>
        <w:t>Inc</w:t>
      </w:r>
      <w:r>
        <w:rPr>
          <w:rFonts w:ascii="Times New Roman" w:hAnsi="Times New Roman"/>
          <w:sz w:val="24"/>
          <w:szCs w:val="24"/>
        </w:rPr>
        <w:t xml:space="preserve">., 173 AD3d at 722; </w:t>
      </w:r>
      <w:r>
        <w:rPr>
          <w:rFonts w:ascii="Times New Roman" w:hAnsi="Times New Roman"/>
          <w:i/>
          <w:iCs/>
          <w:sz w:val="24"/>
          <w:szCs w:val="24"/>
        </w:rPr>
        <w:t>Vazquez v County of Nassau</w:t>
      </w:r>
      <w:r>
        <w:rPr>
          <w:rFonts w:ascii="Times New Roman" w:hAnsi="Times New Roman"/>
          <w:sz w:val="24"/>
          <w:szCs w:val="24"/>
        </w:rPr>
        <w:t xml:space="preserve"> 91 AD3d at 857).” </w:t>
      </w:r>
      <w:hyperlink r:id="rId1015" w:history="1">
        <w:r>
          <w:rPr>
            <w:rStyle w:val="Hyperlink"/>
            <w:sz w:val="24"/>
            <w:szCs w:val="24"/>
          </w:rPr>
          <w:t>https://public.fastcase.com/Wl%2B2t%2BeVuI35%2FN70vAMFZpcMKjA7NXtV8NizS7yUss6ITpHR1n8JduscQQ47RvF2</w:t>
        </w:r>
      </w:hyperlink>
      <w:r>
        <w:rPr>
          <w:rFonts w:ascii="Times New Roman" w:hAnsi="Times New Roman"/>
          <w:sz w:val="24"/>
          <w:szCs w:val="24"/>
        </w:rPr>
        <w:t xml:space="preserve"> </w:t>
      </w:r>
    </w:p>
    <w:p w14:paraId="769603FE" w14:textId="77777777" w:rsidR="00557CA2" w:rsidRDefault="00557CA2" w:rsidP="00557CA2">
      <w:pPr>
        <w:tabs>
          <w:tab w:val="left" w:pos="3130"/>
        </w:tabs>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Fire Departments should require fire &amp; EMS personnel to use both emergency lights and sirens when entering intersection against a red light.  Volunteers should inform their personal insurance companies in writing they are using their personal vehicles to respond and request written confirmation they have coverage. </w:t>
      </w:r>
    </w:p>
    <w:p w14:paraId="0BEFBAC2" w14:textId="77777777" w:rsidR="00557CA2" w:rsidRDefault="00557CA2" w:rsidP="00EF1133">
      <w:pPr>
        <w:rPr>
          <w:rFonts w:ascii="Arial Black" w:hAnsi="Arial Black"/>
          <w:b/>
          <w:sz w:val="24"/>
          <w:szCs w:val="24"/>
        </w:rPr>
      </w:pPr>
    </w:p>
    <w:p w14:paraId="759BB1E3" w14:textId="77777777" w:rsidR="00557CA2" w:rsidRDefault="00557CA2" w:rsidP="00EF1133">
      <w:pPr>
        <w:rPr>
          <w:rFonts w:ascii="Arial Black" w:hAnsi="Arial Black"/>
          <w:b/>
          <w:sz w:val="24"/>
          <w:szCs w:val="24"/>
        </w:rPr>
      </w:pPr>
    </w:p>
    <w:p w14:paraId="2A81DF57" w14:textId="251A1B72" w:rsidR="00D94DC4" w:rsidRDefault="00A672EE" w:rsidP="00EF1133">
      <w:pPr>
        <w:rPr>
          <w:rFonts w:ascii="Arial Black" w:hAnsi="Arial Black"/>
          <w:b/>
          <w:sz w:val="24"/>
          <w:szCs w:val="24"/>
        </w:rPr>
      </w:pPr>
      <w:r>
        <w:rPr>
          <w:rFonts w:ascii="Arial Black" w:hAnsi="Arial Black"/>
          <w:b/>
          <w:sz w:val="24"/>
          <w:szCs w:val="24"/>
        </w:rPr>
        <w:t>5-16</w:t>
      </w:r>
    </w:p>
    <w:p w14:paraId="2403CFD6" w14:textId="77777777" w:rsidR="00A672EE" w:rsidRPr="0050734F" w:rsidRDefault="00A672EE" w:rsidP="00A672EE">
      <w:pPr>
        <w:spacing w:before="100" w:beforeAutospacing="1" w:after="100" w:afterAutospacing="1" w:line="240" w:lineRule="auto"/>
        <w:rPr>
          <w:rFonts w:ascii="Arial Black" w:eastAsia="Times New Roman" w:hAnsi="Arial Black"/>
          <w:sz w:val="28"/>
          <w:szCs w:val="28"/>
        </w:rPr>
      </w:pPr>
      <w:r w:rsidRPr="0050734F">
        <w:rPr>
          <w:rFonts w:ascii="Arial Black" w:eastAsia="Times New Roman" w:hAnsi="Arial Black"/>
          <w:sz w:val="28"/>
          <w:szCs w:val="28"/>
        </w:rPr>
        <w:lastRenderedPageBreak/>
        <w:t xml:space="preserve">NY: </w:t>
      </w:r>
      <w:r>
        <w:rPr>
          <w:rFonts w:ascii="Arial Black" w:eastAsia="Times New Roman" w:hAnsi="Arial Black"/>
          <w:sz w:val="28"/>
          <w:szCs w:val="28"/>
        </w:rPr>
        <w:t xml:space="preserve">FDNY AMBULANCE RESPONDED TO MVA – BACKED INTO VEHICE – CLAIM NOT FILED WITHIN 90 DAYS </w:t>
      </w:r>
    </w:p>
    <w:p w14:paraId="77D791DD" w14:textId="44924364" w:rsidR="00A672EE" w:rsidRDefault="00A672EE" w:rsidP="00A672EE">
      <w:pPr>
        <w:rPr>
          <w:rStyle w:val="Hyperlink"/>
          <w:rFonts w:ascii="Times New Roman" w:hAnsi="Times New Roman"/>
          <w:sz w:val="24"/>
          <w:szCs w:val="24"/>
        </w:rPr>
      </w:pPr>
      <w:r w:rsidRPr="0050734F">
        <w:rPr>
          <w:rFonts w:ascii="Times New Roman" w:eastAsia="Times New Roman" w:hAnsi="Times New Roman"/>
          <w:sz w:val="24"/>
          <w:szCs w:val="24"/>
        </w:rPr>
        <w:t>On July 15, 2020, i</w:t>
      </w:r>
      <w:r>
        <w:rPr>
          <w:rFonts w:ascii="Times New Roman" w:eastAsia="Times New Roman" w:hAnsi="Times New Roman"/>
          <w:sz w:val="24"/>
          <w:szCs w:val="24"/>
        </w:rPr>
        <w:t xml:space="preserve">n case </w:t>
      </w:r>
      <w:r w:rsidRPr="00D91ABE">
        <w:rPr>
          <w:rFonts w:ascii="Times New Roman" w:eastAsia="Times New Roman" w:hAnsi="Times New Roman"/>
          <w:sz w:val="24"/>
          <w:szCs w:val="24"/>
          <w:u w:val="single"/>
        </w:rPr>
        <w:t>In the Matter of Johanny M. Lugo et al. v. City of New York</w:t>
      </w:r>
      <w:r>
        <w:rPr>
          <w:rFonts w:ascii="Times New Roman" w:eastAsia="Times New Roman" w:hAnsi="Times New Roman"/>
          <w:b/>
          <w:bCs/>
          <w:sz w:val="24"/>
          <w:szCs w:val="24"/>
        </w:rPr>
        <w:t xml:space="preserve">, </w:t>
      </w:r>
      <w:r>
        <w:rPr>
          <w:rFonts w:ascii="Times New Roman" w:eastAsia="Times New Roman" w:hAnsi="Times New Roman"/>
          <w:sz w:val="24"/>
          <w:szCs w:val="24"/>
        </w:rPr>
        <w:t>the Supreme Court of the State of New York, Appellate Division, Second Judicial Department, upheld (5 to 0) the trial court judge’s decision dismissing her request to file a late claim. Court wrote: “</w:t>
      </w:r>
      <w:r w:rsidRPr="00D91ABE">
        <w:rPr>
          <w:rFonts w:ascii="Times New Roman" w:hAnsi="Times New Roman"/>
          <w:sz w:val="24"/>
          <w:szCs w:val="24"/>
        </w:rPr>
        <w:t>Here, the police accident report</w:t>
      </w:r>
      <w:r>
        <w:rPr>
          <w:rFonts w:ascii="Times New Roman" w:hAnsi="Times New Roman"/>
          <w:sz w:val="24"/>
          <w:szCs w:val="24"/>
        </w:rPr>
        <w:t xml:space="preserve"> </w:t>
      </w:r>
      <w:r w:rsidRPr="00D91ABE">
        <w:rPr>
          <w:rFonts w:ascii="Times New Roman" w:hAnsi="Times New Roman"/>
          <w:sz w:val="24"/>
          <w:szCs w:val="24"/>
        </w:rPr>
        <w:t>stated that the EMS vehicle caused</w:t>
      </w:r>
      <w:r>
        <w:rPr>
          <w:rFonts w:ascii="Times New Roman" w:hAnsi="Times New Roman"/>
          <w:sz w:val="24"/>
          <w:szCs w:val="24"/>
        </w:rPr>
        <w:t xml:space="preserve"> </w:t>
      </w:r>
      <w:r w:rsidRPr="00D91ABE">
        <w:rPr>
          <w:rFonts w:ascii="Times New Roman" w:hAnsi="Times New Roman"/>
          <w:sz w:val="24"/>
          <w:szCs w:val="24"/>
        </w:rPr>
        <w:t xml:space="preserve">“no damage” to the petitioner’s </w:t>
      </w:r>
      <w:proofErr w:type="gramStart"/>
      <w:r w:rsidRPr="00D91ABE">
        <w:rPr>
          <w:rFonts w:ascii="Times New Roman" w:hAnsi="Times New Roman"/>
          <w:sz w:val="24"/>
          <w:szCs w:val="24"/>
        </w:rPr>
        <w:t>vehicle, and</w:t>
      </w:r>
      <w:proofErr w:type="gramEnd"/>
      <w:r w:rsidRPr="00D91ABE">
        <w:rPr>
          <w:rFonts w:ascii="Times New Roman" w:hAnsi="Times New Roman"/>
          <w:sz w:val="24"/>
          <w:szCs w:val="24"/>
        </w:rPr>
        <w:t xml:space="preserve"> did not indicate that there was any connection between</w:t>
      </w:r>
      <w:r>
        <w:rPr>
          <w:rFonts w:ascii="Times New Roman" w:hAnsi="Times New Roman"/>
          <w:sz w:val="24"/>
          <w:szCs w:val="24"/>
        </w:rPr>
        <w:t xml:space="preserve"> </w:t>
      </w:r>
      <w:r w:rsidRPr="00D91ABE">
        <w:rPr>
          <w:rFonts w:ascii="Times New Roman" w:hAnsi="Times New Roman"/>
          <w:sz w:val="24"/>
          <w:szCs w:val="24"/>
        </w:rPr>
        <w:t>the petitioner’s alleged injuries and any negligent conduct on</w:t>
      </w:r>
      <w:r>
        <w:rPr>
          <w:rFonts w:ascii="Times New Roman" w:hAnsi="Times New Roman"/>
          <w:sz w:val="24"/>
          <w:szCs w:val="24"/>
        </w:rPr>
        <w:t xml:space="preserve"> </w:t>
      </w:r>
      <w:r w:rsidRPr="00D91ABE">
        <w:rPr>
          <w:rFonts w:ascii="Times New Roman" w:hAnsi="Times New Roman"/>
          <w:sz w:val="24"/>
          <w:szCs w:val="24"/>
        </w:rPr>
        <w:t>the</w:t>
      </w:r>
      <w:r>
        <w:rPr>
          <w:rFonts w:ascii="Times New Roman" w:hAnsi="Times New Roman"/>
          <w:sz w:val="24"/>
          <w:szCs w:val="24"/>
        </w:rPr>
        <w:t xml:space="preserve"> </w:t>
      </w:r>
      <w:r w:rsidRPr="00D91ABE">
        <w:rPr>
          <w:rFonts w:ascii="Times New Roman" w:hAnsi="Times New Roman"/>
          <w:sz w:val="24"/>
          <w:szCs w:val="24"/>
        </w:rPr>
        <w:t>part</w:t>
      </w:r>
      <w:r>
        <w:rPr>
          <w:rFonts w:ascii="Times New Roman" w:hAnsi="Times New Roman"/>
          <w:sz w:val="24"/>
          <w:szCs w:val="24"/>
        </w:rPr>
        <w:t xml:space="preserve"> </w:t>
      </w:r>
      <w:r w:rsidRPr="00D91ABE">
        <w:rPr>
          <w:rFonts w:ascii="Times New Roman" w:hAnsi="Times New Roman"/>
          <w:sz w:val="24"/>
          <w:szCs w:val="24"/>
        </w:rPr>
        <w:t>of the operator of the EMS</w:t>
      </w:r>
      <w:r>
        <w:rPr>
          <w:rFonts w:ascii="Times New Roman" w:hAnsi="Times New Roman"/>
          <w:sz w:val="24"/>
          <w:szCs w:val="24"/>
        </w:rPr>
        <w:t xml:space="preserve"> </w:t>
      </w:r>
      <w:r w:rsidRPr="00D91ABE">
        <w:rPr>
          <w:rFonts w:ascii="Times New Roman" w:hAnsi="Times New Roman"/>
          <w:sz w:val="24"/>
          <w:szCs w:val="24"/>
        </w:rPr>
        <w:t>vehicle. Thus, the petitioner failed to establish that the police accident report provided actual notice</w:t>
      </w:r>
      <w:r>
        <w:rPr>
          <w:rFonts w:ascii="Times New Roman" w:hAnsi="Times New Roman"/>
          <w:sz w:val="24"/>
          <w:szCs w:val="24"/>
        </w:rPr>
        <w:t xml:space="preserve"> </w:t>
      </w:r>
      <w:r w:rsidRPr="00D91ABE">
        <w:rPr>
          <w:rFonts w:ascii="Times New Roman" w:hAnsi="Times New Roman"/>
          <w:sz w:val="24"/>
          <w:szCs w:val="24"/>
        </w:rPr>
        <w:t>of the facts constituting the petitioner’s claim</w:t>
      </w:r>
      <w:r>
        <w:rPr>
          <w:rFonts w:ascii="Times New Roman" w:hAnsi="Times New Roman"/>
          <w:sz w:val="24"/>
          <w:szCs w:val="24"/>
        </w:rPr>
        <w:t xml:space="preserve"> </w:t>
      </w:r>
      <w:r w:rsidRPr="00D91ABE">
        <w:rPr>
          <w:rFonts w:ascii="Times New Roman" w:hAnsi="Times New Roman"/>
          <w:sz w:val="24"/>
          <w:szCs w:val="24"/>
        </w:rPr>
        <w:t xml:space="preserve">that she sustained serious injuries </w:t>
      </w:r>
      <w:proofErr w:type="gramStart"/>
      <w:r w:rsidRPr="00D91ABE">
        <w:rPr>
          <w:rFonts w:ascii="Times New Roman" w:hAnsi="Times New Roman"/>
          <w:sz w:val="24"/>
          <w:szCs w:val="24"/>
        </w:rPr>
        <w:t>as a result of</w:t>
      </w:r>
      <w:proofErr w:type="gramEnd"/>
      <w:r w:rsidRPr="00D91ABE">
        <w:rPr>
          <w:rFonts w:ascii="Times New Roman" w:hAnsi="Times New Roman"/>
          <w:sz w:val="24"/>
          <w:szCs w:val="24"/>
        </w:rPr>
        <w:t xml:space="preserve"> the</w:t>
      </w:r>
      <w:r>
        <w:rPr>
          <w:rFonts w:ascii="Times New Roman" w:hAnsi="Times New Roman"/>
          <w:sz w:val="24"/>
          <w:szCs w:val="24"/>
        </w:rPr>
        <w:t xml:space="preserve"> </w:t>
      </w:r>
      <w:r w:rsidRPr="00D91ABE">
        <w:rPr>
          <w:rFonts w:ascii="Times New Roman" w:hAnsi="Times New Roman"/>
          <w:sz w:val="24"/>
          <w:szCs w:val="24"/>
        </w:rPr>
        <w:t>City’s negligence</w:t>
      </w:r>
      <w:r>
        <w:rPr>
          <w:rFonts w:ascii="Times New Roman" w:hAnsi="Times New Roman"/>
          <w:sz w:val="24"/>
          <w:szCs w:val="24"/>
        </w:rPr>
        <w:t xml:space="preserve">….”  </w:t>
      </w:r>
      <w:hyperlink r:id="rId1016" w:history="1">
        <w:r w:rsidRPr="00DD4F05">
          <w:rPr>
            <w:rStyle w:val="Hyperlink"/>
            <w:rFonts w:ascii="Times New Roman" w:hAnsi="Times New Roman"/>
            <w:sz w:val="24"/>
            <w:szCs w:val="24"/>
          </w:rPr>
          <w:t>http://www.nycourts.gov/courts/AD2/Handdowns/2020/Decisions/D63290.pdf</w:t>
        </w:r>
      </w:hyperlink>
    </w:p>
    <w:p w14:paraId="67F93CFE" w14:textId="77777777" w:rsidR="00A672EE" w:rsidRDefault="00A672EE" w:rsidP="00A672EE">
      <w:pPr>
        <w:tabs>
          <w:tab w:val="left" w:pos="3680"/>
        </w:tabs>
        <w:spacing w:before="100" w:beforeAutospacing="1" w:after="100" w:afterAutospacing="1" w:line="240" w:lineRule="auto"/>
        <w:rPr>
          <w:rFonts w:ascii="Times New Roman" w:hAnsi="Times New Roman"/>
          <w:b/>
          <w:bCs/>
          <w:sz w:val="24"/>
          <w:szCs w:val="24"/>
        </w:rPr>
      </w:pPr>
      <w:r w:rsidRPr="00DD4F05">
        <w:rPr>
          <w:rFonts w:ascii="Times New Roman" w:hAnsi="Times New Roman"/>
          <w:b/>
          <w:bCs/>
          <w:sz w:val="24"/>
          <w:szCs w:val="24"/>
        </w:rPr>
        <w:t>Legal Lesson Learned</w:t>
      </w:r>
      <w:r>
        <w:rPr>
          <w:rFonts w:ascii="Times New Roman" w:hAnsi="Times New Roman"/>
          <w:sz w:val="24"/>
          <w:szCs w:val="24"/>
        </w:rPr>
        <w:t xml:space="preserve">:  </w:t>
      </w:r>
      <w:r w:rsidRPr="00683FEB">
        <w:rPr>
          <w:rFonts w:ascii="Times New Roman" w:hAnsi="Times New Roman"/>
          <w:b/>
          <w:bCs/>
          <w:sz w:val="24"/>
          <w:szCs w:val="24"/>
        </w:rPr>
        <w:t xml:space="preserve">Courts will enforce municipal </w:t>
      </w:r>
      <w:r>
        <w:rPr>
          <w:rFonts w:ascii="Times New Roman" w:hAnsi="Times New Roman"/>
          <w:b/>
          <w:bCs/>
          <w:sz w:val="24"/>
          <w:szCs w:val="24"/>
        </w:rPr>
        <w:t>ordinances</w:t>
      </w:r>
      <w:r w:rsidRPr="00683FEB">
        <w:rPr>
          <w:rFonts w:ascii="Times New Roman" w:hAnsi="Times New Roman"/>
          <w:b/>
          <w:bCs/>
          <w:sz w:val="24"/>
          <w:szCs w:val="24"/>
        </w:rPr>
        <w:t xml:space="preserve"> requiring timely, written notice of a </w:t>
      </w:r>
      <w:r>
        <w:rPr>
          <w:rFonts w:ascii="Times New Roman" w:hAnsi="Times New Roman"/>
          <w:b/>
          <w:bCs/>
          <w:sz w:val="24"/>
          <w:szCs w:val="24"/>
        </w:rPr>
        <w:t xml:space="preserve">tort </w:t>
      </w:r>
      <w:r w:rsidRPr="00683FEB">
        <w:rPr>
          <w:rFonts w:ascii="Times New Roman" w:hAnsi="Times New Roman"/>
          <w:b/>
          <w:bCs/>
          <w:sz w:val="24"/>
          <w:szCs w:val="24"/>
        </w:rPr>
        <w:t xml:space="preserve">claim. </w:t>
      </w:r>
      <w:r>
        <w:rPr>
          <w:rFonts w:ascii="Times New Roman" w:hAnsi="Times New Roman"/>
          <w:b/>
          <w:bCs/>
          <w:sz w:val="24"/>
          <w:szCs w:val="24"/>
        </w:rPr>
        <w:t xml:space="preserve"> </w:t>
      </w:r>
    </w:p>
    <w:p w14:paraId="037D4301" w14:textId="77777777" w:rsidR="00A672EE" w:rsidRDefault="00A672EE" w:rsidP="001C563D">
      <w:pPr>
        <w:rPr>
          <w:rFonts w:ascii="Arial Black" w:hAnsi="Arial Black"/>
          <w:b/>
          <w:sz w:val="24"/>
          <w:szCs w:val="24"/>
        </w:rPr>
      </w:pPr>
    </w:p>
    <w:p w14:paraId="17F7CC47" w14:textId="5834FA90" w:rsidR="001C563D" w:rsidRPr="007105B3" w:rsidRDefault="007105B3" w:rsidP="001C563D">
      <w:pPr>
        <w:rPr>
          <w:rFonts w:ascii="Times New Roman" w:hAnsi="Times New Roman"/>
          <w:bCs/>
          <w:sz w:val="24"/>
          <w:szCs w:val="24"/>
        </w:rPr>
      </w:pPr>
      <w:r>
        <w:rPr>
          <w:rFonts w:ascii="Arial Black" w:hAnsi="Arial Black"/>
          <w:b/>
          <w:sz w:val="24"/>
          <w:szCs w:val="24"/>
        </w:rPr>
        <w:t>5-1</w:t>
      </w:r>
      <w:r w:rsidR="00A672EE">
        <w:rPr>
          <w:rFonts w:ascii="Arial Black" w:hAnsi="Arial Black"/>
          <w:b/>
          <w:sz w:val="24"/>
          <w:szCs w:val="24"/>
        </w:rPr>
        <w:t>5</w:t>
      </w:r>
      <w:r w:rsidR="001C563D">
        <w:rPr>
          <w:rFonts w:ascii="Arial Black" w:hAnsi="Arial Black"/>
          <w:b/>
          <w:sz w:val="24"/>
          <w:szCs w:val="24"/>
        </w:rPr>
        <w:t xml:space="preserve"> </w:t>
      </w:r>
      <w:r w:rsidR="001C563D" w:rsidRPr="007105B3">
        <w:rPr>
          <w:rFonts w:ascii="Times New Roman" w:hAnsi="Times New Roman"/>
          <w:bCs/>
          <w:sz w:val="24"/>
          <w:szCs w:val="24"/>
        </w:rPr>
        <w:t>[Also filed, Chap. 1</w:t>
      </w:r>
      <w:r w:rsidR="001C563D">
        <w:rPr>
          <w:rFonts w:ascii="Times New Roman" w:hAnsi="Times New Roman"/>
          <w:bCs/>
          <w:sz w:val="24"/>
          <w:szCs w:val="24"/>
        </w:rPr>
        <w:t>3</w:t>
      </w:r>
      <w:r w:rsidR="001C563D" w:rsidRPr="007105B3">
        <w:rPr>
          <w:rFonts w:ascii="Times New Roman" w:hAnsi="Times New Roman"/>
          <w:bCs/>
          <w:sz w:val="24"/>
          <w:szCs w:val="24"/>
        </w:rPr>
        <w:t>]</w:t>
      </w:r>
    </w:p>
    <w:p w14:paraId="63DB6797" w14:textId="77777777" w:rsidR="007105B3" w:rsidRDefault="007105B3" w:rsidP="007105B3">
      <w:pPr>
        <w:pStyle w:val="NoSpacing"/>
        <w:rPr>
          <w:rFonts w:ascii="Arial Black" w:hAnsi="Arial Black"/>
          <w:sz w:val="28"/>
          <w:szCs w:val="28"/>
        </w:rPr>
      </w:pPr>
      <w:r w:rsidRPr="00284D4F">
        <w:rPr>
          <w:rFonts w:ascii="Arial Black" w:hAnsi="Arial Black"/>
          <w:sz w:val="28"/>
          <w:szCs w:val="28"/>
        </w:rPr>
        <w:t xml:space="preserve">IL: </w:t>
      </w:r>
      <w:r>
        <w:rPr>
          <w:rFonts w:ascii="Arial Black" w:hAnsi="Arial Black"/>
          <w:sz w:val="28"/>
          <w:szCs w:val="28"/>
        </w:rPr>
        <w:t>PRIVATE AMBULANCE – RAN RED LIGHT WHEN DRIVING TO NON-EMERGENCY TRANSPORT - NO IMMUNITY</w:t>
      </w:r>
    </w:p>
    <w:p w14:paraId="0000839C" w14:textId="77777777" w:rsidR="007105B3" w:rsidRDefault="007105B3" w:rsidP="007105B3">
      <w:pPr>
        <w:pStyle w:val="NoSpacing"/>
        <w:rPr>
          <w:rFonts w:ascii="Arial Black" w:hAnsi="Arial Black"/>
          <w:sz w:val="28"/>
          <w:szCs w:val="28"/>
        </w:rPr>
      </w:pPr>
    </w:p>
    <w:p w14:paraId="76DA4ACE" w14:textId="00F6329E" w:rsidR="007105B3" w:rsidRPr="00700A10" w:rsidRDefault="007105B3" w:rsidP="007105B3">
      <w:pPr>
        <w:pStyle w:val="NoSpacing"/>
        <w:rPr>
          <w:rFonts w:ascii="Times New Roman" w:hAnsi="Times New Roman"/>
          <w:sz w:val="24"/>
          <w:szCs w:val="24"/>
        </w:rPr>
      </w:pPr>
      <w:r w:rsidRPr="00284D4F">
        <w:rPr>
          <w:rFonts w:ascii="Times New Roman" w:hAnsi="Times New Roman"/>
          <w:sz w:val="24"/>
          <w:szCs w:val="24"/>
        </w:rPr>
        <w:t xml:space="preserve">On </w:t>
      </w:r>
      <w:r>
        <w:rPr>
          <w:rFonts w:ascii="Times New Roman" w:hAnsi="Times New Roman"/>
          <w:sz w:val="24"/>
          <w:szCs w:val="24"/>
        </w:rPr>
        <w:t xml:space="preserve">June 18, 2020, in </w:t>
      </w:r>
      <w:r w:rsidRPr="00284D4F">
        <w:rPr>
          <w:rFonts w:ascii="Times New Roman" w:hAnsi="Times New Roman"/>
          <w:sz w:val="24"/>
          <w:szCs w:val="24"/>
          <w:u w:val="single"/>
        </w:rPr>
        <w:t>Roberto Hernandez v. Lifeline Ambulance, LLC, et al</w:t>
      </w:r>
      <w:r>
        <w:rPr>
          <w:rFonts w:ascii="Times New Roman" w:hAnsi="Times New Roman"/>
          <w:sz w:val="24"/>
          <w:szCs w:val="24"/>
        </w:rPr>
        <w:t xml:space="preserve">., the Supreme Court of State of Illinois, held (4 to 3) that the private ambulance driver and his employer are not protected under the state’s EMS immunity statute when the ambulance driver, on a non-emergency run without lights or siren, ran a red light and injured the driver of another vehicle. The ambulance had been dispatched </w:t>
      </w:r>
      <w:r w:rsidRPr="00700A10">
        <w:rPr>
          <w:rFonts w:ascii="Times New Roman" w:hAnsi="Times New Roman"/>
          <w:sz w:val="24"/>
          <w:szCs w:val="24"/>
        </w:rPr>
        <w:t>to pick up a patient for nonemergency medical transport from Symphony at Aria Post Acute Care in Hillside to Villa Park Home Dialysis in Villa Park</w:t>
      </w:r>
      <w:r>
        <w:rPr>
          <w:rFonts w:ascii="Times New Roman" w:hAnsi="Times New Roman"/>
          <w:sz w:val="24"/>
          <w:szCs w:val="24"/>
        </w:rPr>
        <w:t>. The Court’s majority held: “</w:t>
      </w:r>
      <w:r w:rsidRPr="00700A10">
        <w:rPr>
          <w:rFonts w:ascii="Times New Roman" w:hAnsi="Times New Roman"/>
          <w:sz w:val="24"/>
          <w:szCs w:val="24"/>
        </w:rPr>
        <w:t xml:space="preserve">The issue presented is whether section 3.150 of the Emergency Medical Services Systems Act (EMS Act) (210 ILCS 50/3.150 (West 2016)) provides immunity from liability—to an ambulance owner and its driver—stemming from a motor-vehicle accident caused by the negligent operation of the ambulance while </w:t>
      </w:r>
      <w:proofErr w:type="spellStart"/>
      <w:r w:rsidRPr="00700A10">
        <w:rPr>
          <w:rFonts w:ascii="Times New Roman" w:hAnsi="Times New Roman"/>
          <w:sz w:val="24"/>
          <w:szCs w:val="24"/>
        </w:rPr>
        <w:t>en</w:t>
      </w:r>
      <w:proofErr w:type="spellEnd"/>
      <w:r w:rsidRPr="00700A10">
        <w:rPr>
          <w:rFonts w:ascii="Times New Roman" w:hAnsi="Times New Roman"/>
          <w:sz w:val="24"/>
          <w:szCs w:val="24"/>
        </w:rPr>
        <w:t xml:space="preserve"> route to pick up a patient for nonemergency transportation. We answer this question in the negative, holding that defendants are not immune from liability under the circumstances of this case.</w:t>
      </w:r>
      <w:r>
        <w:rPr>
          <w:rFonts w:ascii="Times New Roman" w:hAnsi="Times New Roman"/>
          <w:sz w:val="24"/>
          <w:szCs w:val="24"/>
        </w:rPr>
        <w:t xml:space="preserve">” </w:t>
      </w:r>
      <w:hyperlink r:id="rId1017" w:history="1">
        <w:r w:rsidRPr="005B0C9C">
          <w:rPr>
            <w:rStyle w:val="Hyperlink"/>
            <w:rFonts w:ascii="Times New Roman" w:hAnsi="Times New Roman"/>
            <w:sz w:val="24"/>
            <w:szCs w:val="24"/>
          </w:rPr>
          <w:t>https://courts.illinois.gov/Opinions/SupremeCourt/2020/124610.pdf</w:t>
        </w:r>
      </w:hyperlink>
      <w:r>
        <w:rPr>
          <w:rFonts w:ascii="Times New Roman" w:hAnsi="Times New Roman"/>
          <w:sz w:val="24"/>
          <w:szCs w:val="24"/>
        </w:rPr>
        <w:t xml:space="preserve"> </w:t>
      </w:r>
    </w:p>
    <w:p w14:paraId="2F74C9E2" w14:textId="77777777" w:rsidR="007105B3" w:rsidRPr="00700A10" w:rsidRDefault="007105B3" w:rsidP="007105B3">
      <w:pPr>
        <w:pStyle w:val="NoSpacing"/>
        <w:rPr>
          <w:rFonts w:ascii="Times New Roman" w:hAnsi="Times New Roman"/>
          <w:sz w:val="24"/>
          <w:szCs w:val="24"/>
        </w:rPr>
      </w:pPr>
    </w:p>
    <w:p w14:paraId="264DFFDE" w14:textId="77777777" w:rsidR="007105B3" w:rsidRPr="00700A10" w:rsidRDefault="007105B3" w:rsidP="007105B3">
      <w:pPr>
        <w:pStyle w:val="NoSpacing"/>
        <w:rPr>
          <w:rFonts w:ascii="Times New Roman" w:hAnsi="Times New Roman"/>
          <w:b/>
          <w:bCs/>
          <w:sz w:val="24"/>
          <w:szCs w:val="24"/>
        </w:rPr>
      </w:pPr>
      <w:r w:rsidRPr="00700A10">
        <w:rPr>
          <w:rFonts w:ascii="Times New Roman" w:hAnsi="Times New Roman"/>
          <w:b/>
          <w:bCs/>
          <w:sz w:val="24"/>
          <w:szCs w:val="24"/>
        </w:rPr>
        <w:t>Legal Lessons Learned:</w:t>
      </w:r>
      <w:r>
        <w:rPr>
          <w:rFonts w:ascii="Times New Roman" w:hAnsi="Times New Roman"/>
          <w:b/>
          <w:bCs/>
          <w:sz w:val="24"/>
          <w:szCs w:val="24"/>
        </w:rPr>
        <w:t xml:space="preserve"> EMS driving running a red light for a non-emergency transport should be held responsible, along with his company, for his negligent conduct. </w:t>
      </w:r>
    </w:p>
    <w:p w14:paraId="195DB726" w14:textId="77777777" w:rsidR="007105B3" w:rsidRDefault="007105B3" w:rsidP="007105B3">
      <w:pPr>
        <w:pStyle w:val="NoSpacing"/>
        <w:rPr>
          <w:rFonts w:ascii="Times New Roman" w:hAnsi="Times New Roman"/>
          <w:sz w:val="24"/>
          <w:szCs w:val="24"/>
        </w:rPr>
      </w:pPr>
    </w:p>
    <w:p w14:paraId="3B47FBEE" w14:textId="77777777" w:rsidR="007105B3" w:rsidRPr="005262A7" w:rsidRDefault="007105B3" w:rsidP="007105B3">
      <w:pPr>
        <w:pStyle w:val="NoSpacing"/>
        <w:ind w:firstLine="720"/>
        <w:rPr>
          <w:rFonts w:ascii="Times New Roman" w:hAnsi="Times New Roman"/>
          <w:sz w:val="24"/>
          <w:szCs w:val="24"/>
        </w:rPr>
      </w:pPr>
      <w:r w:rsidRPr="005262A7">
        <w:rPr>
          <w:rFonts w:ascii="Times New Roman" w:hAnsi="Times New Roman"/>
          <w:sz w:val="24"/>
          <w:szCs w:val="24"/>
        </w:rPr>
        <w:t xml:space="preserve">Note: Three dissenting Justices </w:t>
      </w:r>
      <w:r>
        <w:rPr>
          <w:rFonts w:ascii="Times New Roman" w:hAnsi="Times New Roman"/>
          <w:sz w:val="24"/>
          <w:szCs w:val="24"/>
        </w:rPr>
        <w:t>disagreed:</w:t>
      </w:r>
    </w:p>
    <w:p w14:paraId="5398AC1B" w14:textId="77777777" w:rsidR="007105B3" w:rsidRDefault="007105B3" w:rsidP="007105B3">
      <w:pPr>
        <w:pStyle w:val="NoSpacing"/>
        <w:ind w:left="720"/>
        <w:rPr>
          <w:rFonts w:ascii="Times New Roman" w:hAnsi="Times New Roman"/>
          <w:sz w:val="24"/>
          <w:szCs w:val="24"/>
        </w:rPr>
      </w:pPr>
    </w:p>
    <w:p w14:paraId="230F6F10" w14:textId="18D4006C" w:rsidR="007105B3" w:rsidRDefault="007105B3" w:rsidP="007105B3">
      <w:pPr>
        <w:pStyle w:val="NoSpacing"/>
        <w:ind w:left="720"/>
      </w:pPr>
      <w:r>
        <w:rPr>
          <w:rFonts w:ascii="Times New Roman" w:hAnsi="Times New Roman"/>
          <w:sz w:val="24"/>
          <w:szCs w:val="24"/>
        </w:rPr>
        <w:t>“</w:t>
      </w:r>
      <w:r w:rsidRPr="005262A7">
        <w:rPr>
          <w:rFonts w:ascii="Times New Roman" w:hAnsi="Times New Roman"/>
          <w:sz w:val="24"/>
          <w:szCs w:val="24"/>
        </w:rPr>
        <w:t xml:space="preserve">In the case at bar, at the time of the accident, Nicholas was rendering nonemergency medical services in the normal course of conducting his duties. Nicholas was in the process of responding to a dispatch to transport a patient to a health care facility. Driving to the patient was preparatory for and integral to delivering the medical service. Further, the accident occurred before transporting the patient to a health care facility and during defendant’s driving in response to the dispatch. Therefore, absent willful and wanton misconduct, section 3.150(a) of the EMS Act immunizes defendants for their alleged negligent acts or omissions while providing nonemergency medical </w:t>
      </w:r>
      <w:proofErr w:type="gramStart"/>
      <w:r w:rsidRPr="005262A7">
        <w:rPr>
          <w:rFonts w:ascii="Times New Roman" w:hAnsi="Times New Roman"/>
          <w:sz w:val="24"/>
          <w:szCs w:val="24"/>
        </w:rPr>
        <w:t>services</w:t>
      </w:r>
      <w:r>
        <w:t>.”</w:t>
      </w:r>
      <w:proofErr w:type="gramEnd"/>
    </w:p>
    <w:p w14:paraId="1820DBE5" w14:textId="77777777" w:rsidR="007105B3" w:rsidRDefault="007105B3" w:rsidP="007105B3">
      <w:pPr>
        <w:pStyle w:val="NoSpacing"/>
        <w:ind w:left="720"/>
      </w:pPr>
    </w:p>
    <w:p w14:paraId="35B897B6" w14:textId="77777777" w:rsidR="007105B3" w:rsidRDefault="007105B3" w:rsidP="00EF1133">
      <w:pPr>
        <w:rPr>
          <w:rFonts w:ascii="Arial Black" w:hAnsi="Arial Black"/>
          <w:b/>
          <w:sz w:val="24"/>
          <w:szCs w:val="24"/>
        </w:rPr>
      </w:pPr>
    </w:p>
    <w:p w14:paraId="4F7A9F7A" w14:textId="4E1A7FBC" w:rsidR="00D94DC4" w:rsidRDefault="00D94DC4" w:rsidP="00EF1133">
      <w:pPr>
        <w:rPr>
          <w:rFonts w:ascii="Arial Black" w:hAnsi="Arial Black"/>
          <w:b/>
          <w:sz w:val="24"/>
          <w:szCs w:val="24"/>
        </w:rPr>
      </w:pPr>
      <w:r>
        <w:rPr>
          <w:rFonts w:ascii="Arial Black" w:hAnsi="Arial Black"/>
          <w:b/>
          <w:sz w:val="24"/>
          <w:szCs w:val="24"/>
        </w:rPr>
        <w:lastRenderedPageBreak/>
        <w:t>5-</w:t>
      </w:r>
      <w:r w:rsidR="004E22C3">
        <w:rPr>
          <w:rFonts w:ascii="Arial Black" w:hAnsi="Arial Black"/>
          <w:b/>
          <w:sz w:val="24"/>
          <w:szCs w:val="24"/>
        </w:rPr>
        <w:t>1</w:t>
      </w:r>
      <w:r w:rsidR="00A672EE">
        <w:rPr>
          <w:rFonts w:ascii="Arial Black" w:hAnsi="Arial Black"/>
          <w:b/>
          <w:sz w:val="24"/>
          <w:szCs w:val="24"/>
        </w:rPr>
        <w:t>4</w:t>
      </w:r>
    </w:p>
    <w:p w14:paraId="4759CF39" w14:textId="77777777" w:rsidR="004E22C3" w:rsidRPr="007B3BAD" w:rsidRDefault="004E22C3" w:rsidP="004E22C3">
      <w:pPr>
        <w:spacing w:before="100" w:beforeAutospacing="1" w:after="100" w:afterAutospacing="1" w:line="240" w:lineRule="auto"/>
        <w:jc w:val="both"/>
        <w:rPr>
          <w:rFonts w:ascii="Arial Black" w:eastAsia="Times New Roman" w:hAnsi="Arial Black"/>
          <w:b/>
          <w:bCs/>
          <w:sz w:val="28"/>
          <w:szCs w:val="28"/>
        </w:rPr>
      </w:pPr>
      <w:r w:rsidRPr="007B3BAD">
        <w:rPr>
          <w:rFonts w:ascii="Arial Black" w:eastAsia="Times New Roman" w:hAnsi="Arial Black"/>
          <w:b/>
          <w:bCs/>
          <w:sz w:val="28"/>
          <w:szCs w:val="28"/>
        </w:rPr>
        <w:t xml:space="preserve">AL: </w:t>
      </w:r>
      <w:r>
        <w:rPr>
          <w:rFonts w:ascii="Arial Black" w:eastAsia="Times New Roman" w:hAnsi="Arial Black"/>
          <w:b/>
          <w:bCs/>
          <w:sz w:val="28"/>
          <w:szCs w:val="28"/>
        </w:rPr>
        <w:t>PARAMEDIC INJURED IN MVA - SETTLED WITH DRIVER $25K, BUT WITHOUT CONSENT OF MEDIC’S INSURANCE CO. – STATE FARM NO LONGER REQ. COVER “UNDERINSURED”</w:t>
      </w:r>
    </w:p>
    <w:p w14:paraId="5B6F94FF" w14:textId="77777777" w:rsidR="004E22C3" w:rsidRDefault="004E22C3" w:rsidP="004E22C3">
      <w:pPr>
        <w:spacing w:before="100" w:beforeAutospacing="1" w:after="100" w:afterAutospacing="1" w:line="240" w:lineRule="auto"/>
        <w:rPr>
          <w:rFonts w:ascii="Times New Roman" w:eastAsia="Times New Roman" w:hAnsi="Times New Roman"/>
          <w:sz w:val="24"/>
          <w:szCs w:val="24"/>
        </w:rPr>
      </w:pPr>
      <w:r w:rsidRPr="00F74356">
        <w:rPr>
          <w:rFonts w:ascii="Times New Roman" w:eastAsia="Times New Roman" w:hAnsi="Times New Roman"/>
          <w:sz w:val="24"/>
          <w:szCs w:val="24"/>
        </w:rPr>
        <w:t xml:space="preserve">On May 29, 2020, in </w:t>
      </w:r>
      <w:r w:rsidRPr="00F74356">
        <w:rPr>
          <w:rFonts w:ascii="Times New Roman" w:eastAsia="Times New Roman" w:hAnsi="Times New Roman"/>
          <w:sz w:val="24"/>
          <w:szCs w:val="24"/>
          <w:u w:val="single"/>
        </w:rPr>
        <w:t>David R. Turner v. State Farm Mutual Insurance Company</w:t>
      </w:r>
      <w:r w:rsidRPr="00F74356">
        <w:rPr>
          <w:rFonts w:ascii="Times New Roman" w:eastAsia="Times New Roman" w:hAnsi="Times New Roman"/>
          <w:sz w:val="24"/>
          <w:szCs w:val="24"/>
        </w:rPr>
        <w:t>, the Supreme Court of Alabama, upheld the trial court’s dismissal of the paramedic’s lawsuit against his own insurance company [All State].</w:t>
      </w:r>
      <w:r>
        <w:rPr>
          <w:rFonts w:ascii="Times New Roman" w:eastAsia="Times New Roman" w:hAnsi="Times New Roman"/>
          <w:sz w:val="24"/>
          <w:szCs w:val="24"/>
        </w:rPr>
        <w:t xml:space="preserve"> </w:t>
      </w:r>
      <w:hyperlink r:id="rId1018" w:history="1">
        <w:r w:rsidRPr="00BA0245">
          <w:rPr>
            <w:rStyle w:val="Hyperlink"/>
            <w:sz w:val="24"/>
            <w:szCs w:val="24"/>
          </w:rPr>
          <w:t>https://acis.alabama.gov/displaydocs.cfm?no=1022968&amp;event=5S20LIXMT</w:t>
        </w:r>
      </w:hyperlink>
    </w:p>
    <w:p w14:paraId="228BC173" w14:textId="77777777" w:rsidR="004E22C3" w:rsidRPr="0071286B" w:rsidRDefault="004E22C3" w:rsidP="004E22C3">
      <w:pPr>
        <w:spacing w:before="100" w:beforeAutospacing="1" w:after="100" w:afterAutospacing="1" w:line="240" w:lineRule="auto"/>
        <w:jc w:val="both"/>
        <w:rPr>
          <w:rFonts w:ascii="Times New Roman" w:eastAsia="Times New Roman" w:hAnsi="Times New Roman"/>
          <w:b/>
          <w:bCs/>
          <w:sz w:val="24"/>
          <w:szCs w:val="24"/>
        </w:rPr>
      </w:pPr>
      <w:r w:rsidRPr="0071286B">
        <w:rPr>
          <w:rFonts w:ascii="Times New Roman" w:hAnsi="Times New Roman"/>
          <w:b/>
          <w:bCs/>
          <w:sz w:val="24"/>
          <w:szCs w:val="24"/>
        </w:rPr>
        <w:t>Legal Lessons Learned:</w:t>
      </w:r>
      <w:r>
        <w:rPr>
          <w:rFonts w:ascii="Times New Roman" w:hAnsi="Times New Roman"/>
          <w:b/>
          <w:bCs/>
          <w:sz w:val="24"/>
          <w:szCs w:val="24"/>
        </w:rPr>
        <w:t xml:space="preserve"> If injured in MVA, do not settle and release the other driver’s insurance company without the consent of your insurance company.   Since medic also covered by worker’s comp, the state fund has a right to recover from the $25K settlement.  </w:t>
      </w:r>
    </w:p>
    <w:p w14:paraId="2288998B" w14:textId="27DEB1A6" w:rsidR="00D94DC4" w:rsidRDefault="00A672EE" w:rsidP="00EF1133">
      <w:pPr>
        <w:rPr>
          <w:rFonts w:ascii="Arial Black" w:hAnsi="Arial Black"/>
          <w:b/>
          <w:sz w:val="24"/>
          <w:szCs w:val="24"/>
        </w:rPr>
      </w:pPr>
      <w:r>
        <w:rPr>
          <w:rFonts w:ascii="Arial Black" w:hAnsi="Arial Black"/>
          <w:b/>
          <w:sz w:val="24"/>
          <w:szCs w:val="24"/>
        </w:rPr>
        <w:t>5-13</w:t>
      </w:r>
    </w:p>
    <w:p w14:paraId="52A49942" w14:textId="77777777" w:rsidR="00A672EE" w:rsidRDefault="00A672EE" w:rsidP="00A672EE">
      <w:pPr>
        <w:pStyle w:val="NoSpacing"/>
        <w:rPr>
          <w:rFonts w:ascii="Arial Black" w:hAnsi="Arial Black"/>
          <w:sz w:val="28"/>
          <w:szCs w:val="28"/>
        </w:rPr>
      </w:pPr>
      <w:bookmarkStart w:id="199" w:name="_Hlk66946612"/>
      <w:r w:rsidRPr="009B0E33">
        <w:rPr>
          <w:rFonts w:ascii="Arial Black" w:hAnsi="Arial Black"/>
          <w:sz w:val="28"/>
          <w:szCs w:val="28"/>
        </w:rPr>
        <w:t>TX:</w:t>
      </w:r>
      <w:r>
        <w:rPr>
          <w:rFonts w:ascii="Arial Black" w:hAnsi="Arial Black"/>
          <w:sz w:val="28"/>
          <w:szCs w:val="28"/>
        </w:rPr>
        <w:t xml:space="preserve"> FIRETRUCK ACCIDENT AT INTERSECTION– FF DIDN’T STOP RED LIGHT / FD POLICY – NOT RECKLESS – GOVT IMMUNITY</w:t>
      </w:r>
    </w:p>
    <w:p w14:paraId="0F984B7A" w14:textId="77777777" w:rsidR="00A672EE" w:rsidRDefault="00A672EE" w:rsidP="00A672EE">
      <w:pPr>
        <w:pStyle w:val="NoSpacing"/>
        <w:rPr>
          <w:rFonts w:ascii="Arial Black" w:hAnsi="Arial Black"/>
          <w:sz w:val="28"/>
          <w:szCs w:val="28"/>
        </w:rPr>
      </w:pPr>
    </w:p>
    <w:p w14:paraId="2551EAAC" w14:textId="60943A45" w:rsidR="00A672EE" w:rsidRDefault="00A672EE" w:rsidP="00A672EE">
      <w:pPr>
        <w:rPr>
          <w:rFonts w:ascii="Arial Black" w:hAnsi="Arial Black"/>
          <w:b/>
          <w:sz w:val="24"/>
          <w:szCs w:val="24"/>
        </w:rPr>
      </w:pPr>
      <w:r w:rsidRPr="009B0E33">
        <w:rPr>
          <w:rFonts w:ascii="Times New Roman" w:hAnsi="Times New Roman"/>
          <w:sz w:val="24"/>
          <w:szCs w:val="24"/>
        </w:rPr>
        <w:t xml:space="preserve">On </w:t>
      </w:r>
      <w:r>
        <w:rPr>
          <w:rFonts w:ascii="Times New Roman" w:hAnsi="Times New Roman"/>
          <w:sz w:val="24"/>
          <w:szCs w:val="24"/>
        </w:rPr>
        <w:t xml:space="preserve">May 28, 2020, in </w:t>
      </w:r>
      <w:r w:rsidRPr="009B0E33">
        <w:rPr>
          <w:rFonts w:ascii="Times New Roman" w:hAnsi="Times New Roman"/>
          <w:sz w:val="24"/>
          <w:szCs w:val="24"/>
          <w:u w:val="single"/>
        </w:rPr>
        <w:t>The City of Kingsville v. Ermelinda Dominguez</w:t>
      </w:r>
      <w:r>
        <w:rPr>
          <w:rFonts w:ascii="Times New Roman" w:hAnsi="Times New Roman"/>
          <w:sz w:val="24"/>
          <w:szCs w:val="24"/>
        </w:rPr>
        <w:t xml:space="preserve">, the Court of Appeals, Thirteenth District of Texas (Corpus Christi – Edinburg), reversed the trial court and ordered the lawsuit dismissed since the firefighter was not driving recklessly, when on an EMS run with lights and siren, he followed an ambulance through a red light at reasonable speed. </w:t>
      </w:r>
      <w:bookmarkEnd w:id="199"/>
      <w:r>
        <w:rPr>
          <w:rFonts w:ascii="Times New Roman" w:hAnsi="Times New Roman"/>
          <w:sz w:val="24"/>
          <w:szCs w:val="24"/>
        </w:rPr>
        <w:t xml:space="preserve">The Court wrote: </w:t>
      </w:r>
      <w:r w:rsidRPr="006D72FE">
        <w:rPr>
          <w:rFonts w:ascii="Times New Roman" w:hAnsi="Times New Roman"/>
          <w:sz w:val="24"/>
          <w:szCs w:val="24"/>
        </w:rPr>
        <w:t>“[T]he fact that Mendiola violated department policy by not coming to a complete stop prior to entering the intersection is not evidence of recklessness. See Hudson, 179 S.W.3d at 700–01; see also City of Laredo v. Varela, No. 04-10-00619-CV, 2011 WL 1852439, *3–5 (Tex. App.—San Antonio May 11, 2011, no pet.) (</w:t>
      </w:r>
      <w:proofErr w:type="gramStart"/>
      <w:r w:rsidRPr="006D72FE">
        <w:rPr>
          <w:rFonts w:ascii="Times New Roman" w:hAnsi="Times New Roman"/>
          <w:sz w:val="24"/>
          <w:szCs w:val="24"/>
        </w:rPr>
        <w:t>mem</w:t>
      </w:r>
      <w:proofErr w:type="gramEnd"/>
      <w:r w:rsidRPr="006D72FE">
        <w:rPr>
          <w:rFonts w:ascii="Times New Roman" w:hAnsi="Times New Roman"/>
          <w:sz w:val="24"/>
          <w:szCs w:val="24"/>
        </w:rPr>
        <w:t>. op.) (holding that an officer’s failure to adhere to policy requiring emergency vehicles to come to complete stop did not raise fact issue as to whether officer acted with reckless disregard for the safety of others). We conclude that the undisputed facts do not demonstrate that Mendiola committed an act that he knew or should have known posed a high degree of risk of serious injury but did not care about the result.SeePerez,511 S.W.3d at 236.</w:t>
      </w:r>
      <w:r>
        <w:rPr>
          <w:rFonts w:ascii="Times New Roman" w:hAnsi="Times New Roman"/>
          <w:sz w:val="24"/>
          <w:szCs w:val="24"/>
        </w:rPr>
        <w:t xml:space="preserve"> </w:t>
      </w:r>
      <w:r w:rsidRPr="006D72FE">
        <w:rPr>
          <w:rFonts w:ascii="Times New Roman" w:hAnsi="Times New Roman"/>
          <w:sz w:val="24"/>
          <w:szCs w:val="24"/>
        </w:rPr>
        <w:t xml:space="preserve">Rather, by travelling at a speed below the speed limit, activating his siren and emergency lights and confirming that the cross-traffic was yielding, Mendiola was not acting with reckless disregard </w:t>
      </w:r>
      <w:proofErr w:type="gramStart"/>
      <w:r w:rsidRPr="006D72FE">
        <w:rPr>
          <w:rFonts w:ascii="Times New Roman" w:hAnsi="Times New Roman"/>
          <w:sz w:val="24"/>
          <w:szCs w:val="24"/>
        </w:rPr>
        <w:t>to</w:t>
      </w:r>
      <w:proofErr w:type="gramEnd"/>
      <w:r w:rsidRPr="006D72FE">
        <w:rPr>
          <w:rFonts w:ascii="Times New Roman" w:hAnsi="Times New Roman"/>
          <w:sz w:val="24"/>
          <w:szCs w:val="24"/>
        </w:rPr>
        <w:t xml:space="preserve"> others. Because the jurisdictional record fails to raise a fact issue regarding recklessness, the City retains its immunity from suit pursuant to the </w:t>
      </w:r>
      <w:r>
        <w:rPr>
          <w:rFonts w:ascii="Times New Roman" w:hAnsi="Times New Roman"/>
          <w:sz w:val="24"/>
          <w:szCs w:val="24"/>
        </w:rPr>
        <w:t>T</w:t>
      </w:r>
      <w:r w:rsidRPr="006D72FE">
        <w:rPr>
          <w:rFonts w:ascii="Times New Roman" w:hAnsi="Times New Roman"/>
          <w:sz w:val="24"/>
          <w:szCs w:val="24"/>
        </w:rPr>
        <w:t xml:space="preserve">TCA’s </w:t>
      </w:r>
      <w:r>
        <w:rPr>
          <w:rFonts w:ascii="Times New Roman" w:hAnsi="Times New Roman"/>
          <w:sz w:val="24"/>
          <w:szCs w:val="24"/>
        </w:rPr>
        <w:t xml:space="preserve">[Texas Tort Claims Act] </w:t>
      </w:r>
      <w:r w:rsidRPr="006D72FE">
        <w:rPr>
          <w:rFonts w:ascii="Times New Roman" w:hAnsi="Times New Roman"/>
          <w:sz w:val="24"/>
          <w:szCs w:val="24"/>
        </w:rPr>
        <w:t xml:space="preserve">emergency response </w:t>
      </w:r>
      <w:proofErr w:type="gramStart"/>
      <w:r w:rsidRPr="006D72FE">
        <w:rPr>
          <w:rFonts w:ascii="Times New Roman" w:hAnsi="Times New Roman"/>
          <w:sz w:val="24"/>
          <w:szCs w:val="24"/>
        </w:rPr>
        <w:t>exception.</w:t>
      </w:r>
      <w:r>
        <w:rPr>
          <w:rFonts w:ascii="Times New Roman" w:hAnsi="Times New Roman"/>
          <w:sz w:val="24"/>
          <w:szCs w:val="24"/>
        </w:rPr>
        <w:t>”</w:t>
      </w:r>
      <w:proofErr w:type="gramEnd"/>
      <w:r>
        <w:rPr>
          <w:rFonts w:ascii="Times New Roman" w:hAnsi="Times New Roman"/>
          <w:sz w:val="24"/>
          <w:szCs w:val="24"/>
        </w:rPr>
        <w:t xml:space="preserve"> </w:t>
      </w:r>
      <w:bookmarkStart w:id="200" w:name="_Hlk66946639"/>
      <w:r w:rsidR="00F00958">
        <w:fldChar w:fldCharType="begin"/>
      </w:r>
      <w:r w:rsidR="00F00958">
        <w:instrText xml:space="preserve"> HYPERLINK "https://www.txcourts.gov/media/1446920/13-19-00236-cv-city-of-kingsville-v-dominguez-memo-op.pdf" </w:instrText>
      </w:r>
      <w:r w:rsidR="00F00958">
        <w:fldChar w:fldCharType="separate"/>
      </w:r>
      <w:r w:rsidRPr="00DE6B93">
        <w:rPr>
          <w:rStyle w:val="Hyperlink"/>
          <w:rFonts w:ascii="Times New Roman" w:hAnsi="Times New Roman"/>
          <w:sz w:val="24"/>
          <w:szCs w:val="24"/>
        </w:rPr>
        <w:t>https://www.txcourts.gov/media/1446920/13-19-00236-cv-city-of-kingsville-v-dominguez-memo-op.pdf</w:t>
      </w:r>
      <w:r w:rsidR="00F00958">
        <w:rPr>
          <w:rStyle w:val="Hyperlink"/>
          <w:rFonts w:ascii="Times New Roman" w:hAnsi="Times New Roman"/>
          <w:sz w:val="24"/>
          <w:szCs w:val="24"/>
        </w:rPr>
        <w:fldChar w:fldCharType="end"/>
      </w:r>
    </w:p>
    <w:p w14:paraId="3930AD62" w14:textId="77777777" w:rsidR="00A672EE" w:rsidRPr="006D72FE" w:rsidRDefault="00A672EE" w:rsidP="00A672EE">
      <w:pPr>
        <w:pStyle w:val="NoSpacing"/>
        <w:rPr>
          <w:rFonts w:ascii="Times New Roman" w:hAnsi="Times New Roman"/>
          <w:b/>
          <w:bCs/>
          <w:sz w:val="24"/>
          <w:szCs w:val="24"/>
        </w:rPr>
      </w:pPr>
      <w:r w:rsidRPr="006D72FE">
        <w:rPr>
          <w:rFonts w:ascii="Times New Roman" w:hAnsi="Times New Roman"/>
          <w:b/>
          <w:bCs/>
          <w:sz w:val="24"/>
          <w:szCs w:val="24"/>
        </w:rPr>
        <w:t>Legal Lessons Learned:</w:t>
      </w:r>
      <w:r>
        <w:rPr>
          <w:rFonts w:ascii="Times New Roman" w:hAnsi="Times New Roman"/>
          <w:b/>
          <w:bCs/>
          <w:sz w:val="24"/>
          <w:szCs w:val="24"/>
        </w:rPr>
        <w:t xml:space="preserve"> FDs should consider including in their emergency vehicle policy those situations where one apparatus is following another through a controlled intersection. </w:t>
      </w:r>
    </w:p>
    <w:bookmarkEnd w:id="200"/>
    <w:p w14:paraId="12E93138" w14:textId="77777777" w:rsidR="00D94DC4" w:rsidRDefault="00D94DC4" w:rsidP="00EF1133">
      <w:pPr>
        <w:rPr>
          <w:rFonts w:ascii="Arial Black" w:hAnsi="Arial Black"/>
          <w:b/>
          <w:sz w:val="24"/>
          <w:szCs w:val="24"/>
        </w:rPr>
      </w:pPr>
    </w:p>
    <w:p w14:paraId="345AC58D" w14:textId="6D774043" w:rsidR="00D94DC4" w:rsidRDefault="00D94DC4" w:rsidP="00EF1133">
      <w:pPr>
        <w:rPr>
          <w:rFonts w:ascii="Arial Black" w:hAnsi="Arial Black"/>
          <w:b/>
          <w:sz w:val="24"/>
          <w:szCs w:val="24"/>
        </w:rPr>
      </w:pPr>
      <w:r>
        <w:rPr>
          <w:rFonts w:ascii="Arial Black" w:hAnsi="Arial Black"/>
          <w:b/>
          <w:sz w:val="24"/>
          <w:szCs w:val="24"/>
        </w:rPr>
        <w:t>5-12</w:t>
      </w:r>
    </w:p>
    <w:p w14:paraId="27084001" w14:textId="77777777" w:rsidR="00D94DC4" w:rsidRPr="008A7C9E" w:rsidRDefault="00D94DC4" w:rsidP="00D94DC4">
      <w:pPr>
        <w:spacing w:before="100" w:beforeAutospacing="1" w:after="100" w:afterAutospacing="1" w:line="240" w:lineRule="auto"/>
        <w:rPr>
          <w:rFonts w:ascii="Arial Black" w:eastAsia="Times New Roman" w:hAnsi="Arial Black"/>
          <w:b/>
          <w:bCs/>
          <w:sz w:val="28"/>
          <w:szCs w:val="28"/>
        </w:rPr>
      </w:pPr>
      <w:r w:rsidRPr="008A7C9E">
        <w:rPr>
          <w:rFonts w:ascii="Arial Black" w:eastAsia="Times New Roman" w:hAnsi="Arial Black"/>
          <w:b/>
          <w:bCs/>
          <w:sz w:val="28"/>
          <w:szCs w:val="28"/>
        </w:rPr>
        <w:t xml:space="preserve">TX: </w:t>
      </w:r>
      <w:r>
        <w:rPr>
          <w:rFonts w:ascii="Arial Black" w:eastAsia="Times New Roman" w:hAnsi="Arial Black"/>
          <w:b/>
          <w:bCs/>
          <w:sz w:val="28"/>
          <w:szCs w:val="28"/>
        </w:rPr>
        <w:t>MEMBER OF COMMUNITY. EMER. RESPONSE TEAM [CERT] - ILLEGALLY USING LIGHTS &amp; SIREN – CONVICTION CONFIRMED</w:t>
      </w:r>
    </w:p>
    <w:p w14:paraId="028C2FA6" w14:textId="77777777" w:rsidR="00D94DC4" w:rsidRDefault="00D94DC4" w:rsidP="00D94DC4">
      <w:pPr>
        <w:spacing w:before="100" w:beforeAutospacing="1" w:after="100" w:afterAutospacing="1" w:line="240" w:lineRule="auto"/>
        <w:rPr>
          <w:rFonts w:ascii="Times New Roman" w:hAnsi="Times New Roman"/>
          <w:sz w:val="24"/>
          <w:szCs w:val="24"/>
        </w:rPr>
      </w:pPr>
      <w:r w:rsidRPr="00726E26">
        <w:rPr>
          <w:rFonts w:ascii="Times New Roman" w:hAnsi="Times New Roman"/>
          <w:sz w:val="24"/>
          <w:szCs w:val="24"/>
        </w:rPr>
        <w:lastRenderedPageBreak/>
        <w:t xml:space="preserve">On April 14, 2020, in </w:t>
      </w:r>
      <w:r w:rsidRPr="00726E26">
        <w:rPr>
          <w:rFonts w:ascii="Times New Roman" w:hAnsi="Times New Roman"/>
          <w:sz w:val="24"/>
          <w:szCs w:val="24"/>
          <w:u w:val="single"/>
        </w:rPr>
        <w:t>Michael Thomas Paul v. State of Texas</w:t>
      </w:r>
      <w:r>
        <w:rPr>
          <w:rFonts w:ascii="Times New Roman" w:hAnsi="Times New Roman"/>
          <w:sz w:val="24"/>
          <w:szCs w:val="24"/>
        </w:rPr>
        <w:t xml:space="preserve">, the Court of Appeals, Seventh District of Texas at Amarillo, held (3 to 0) that defendant was properly convicted after a bench trial (not jury trial) of the </w:t>
      </w:r>
      <w:r w:rsidRPr="00726E26">
        <w:rPr>
          <w:rFonts w:ascii="Times New Roman" w:hAnsi="Times New Roman"/>
          <w:sz w:val="24"/>
          <w:szCs w:val="24"/>
        </w:rPr>
        <w:t>offense of impersonating a public servant, a third-degree felony.</w:t>
      </w:r>
      <w:r>
        <w:rPr>
          <w:rFonts w:ascii="Times New Roman" w:hAnsi="Times New Roman"/>
          <w:sz w:val="24"/>
          <w:szCs w:val="24"/>
        </w:rPr>
        <w:t xml:space="preserve"> </w:t>
      </w:r>
      <w:hyperlink r:id="rId1019" w:history="1">
        <w:r w:rsidRPr="00250842">
          <w:rPr>
            <w:rStyle w:val="Hyperlink"/>
            <w:sz w:val="24"/>
            <w:szCs w:val="24"/>
          </w:rPr>
          <w:t>https://cases.justia.com/texas/seventh-court-of-appeals/2020-07-19-00027-cr.pdf?ts=1586952945</w:t>
        </w:r>
      </w:hyperlink>
      <w:r>
        <w:rPr>
          <w:rFonts w:ascii="Times New Roman" w:hAnsi="Times New Roman"/>
          <w:sz w:val="24"/>
          <w:szCs w:val="24"/>
        </w:rPr>
        <w:t xml:space="preserve"> </w:t>
      </w:r>
    </w:p>
    <w:p w14:paraId="4DDACF54" w14:textId="77777777" w:rsidR="00D94DC4" w:rsidRDefault="00D94DC4" w:rsidP="00D94DC4">
      <w:pPr>
        <w:spacing w:before="100" w:beforeAutospacing="1" w:after="100" w:afterAutospacing="1" w:line="240" w:lineRule="auto"/>
        <w:jc w:val="both"/>
        <w:rPr>
          <w:rFonts w:ascii="Times New Roman" w:hAnsi="Times New Roman"/>
          <w:b/>
          <w:bCs/>
          <w:sz w:val="24"/>
          <w:szCs w:val="24"/>
        </w:rPr>
      </w:pPr>
      <w:r w:rsidRPr="00EC01F5">
        <w:rPr>
          <w:rFonts w:ascii="Times New Roman" w:hAnsi="Times New Roman"/>
          <w:b/>
          <w:bCs/>
          <w:sz w:val="24"/>
          <w:szCs w:val="24"/>
        </w:rPr>
        <w:t>Legal Lessons Learned:</w:t>
      </w:r>
      <w:r>
        <w:rPr>
          <w:rFonts w:ascii="Times New Roman" w:hAnsi="Times New Roman"/>
          <w:b/>
          <w:bCs/>
          <w:sz w:val="24"/>
          <w:szCs w:val="24"/>
        </w:rPr>
        <w:t xml:space="preserve"> Members of CERT Teams should be reminded they are not emergency responders, and use of emergency lights &amp; sirens can lead to conviction. </w:t>
      </w:r>
    </w:p>
    <w:p w14:paraId="5E50B962" w14:textId="77777777" w:rsidR="00D94DC4" w:rsidRPr="00EC01F5" w:rsidRDefault="00D94DC4" w:rsidP="00D94DC4">
      <w:pPr>
        <w:spacing w:before="100" w:beforeAutospacing="1" w:after="100" w:afterAutospacing="1" w:line="240" w:lineRule="auto"/>
        <w:ind w:left="720"/>
        <w:jc w:val="both"/>
        <w:rPr>
          <w:rFonts w:ascii="Times New Roman" w:hAnsi="Times New Roman"/>
          <w:sz w:val="24"/>
          <w:szCs w:val="24"/>
        </w:rPr>
      </w:pPr>
      <w:r w:rsidRPr="00EC01F5">
        <w:rPr>
          <w:rFonts w:ascii="Times New Roman" w:hAnsi="Times New Roman"/>
          <w:sz w:val="24"/>
          <w:szCs w:val="24"/>
        </w:rPr>
        <w:t xml:space="preserve">Note: Defendant </w:t>
      </w:r>
      <w:r>
        <w:rPr>
          <w:rFonts w:ascii="Times New Roman" w:hAnsi="Times New Roman"/>
          <w:sz w:val="24"/>
          <w:szCs w:val="24"/>
        </w:rPr>
        <w:t xml:space="preserve">was very fortunate to receive a suspended sentence and placed on probation for three years. </w:t>
      </w:r>
    </w:p>
    <w:p w14:paraId="2C06A724" w14:textId="71E33349" w:rsidR="00C9355B" w:rsidRDefault="00C9355B" w:rsidP="00EF1133">
      <w:pPr>
        <w:rPr>
          <w:rFonts w:ascii="Arial Black" w:hAnsi="Arial Black"/>
          <w:b/>
          <w:sz w:val="24"/>
          <w:szCs w:val="24"/>
        </w:rPr>
      </w:pPr>
      <w:r>
        <w:rPr>
          <w:rFonts w:ascii="Arial Black" w:hAnsi="Arial Black"/>
          <w:b/>
          <w:sz w:val="24"/>
          <w:szCs w:val="24"/>
        </w:rPr>
        <w:t>5-11</w:t>
      </w:r>
    </w:p>
    <w:p w14:paraId="60F8F100" w14:textId="77777777" w:rsidR="00C9355B" w:rsidRPr="005E0291" w:rsidRDefault="00C9355B" w:rsidP="00C9355B">
      <w:pPr>
        <w:spacing w:before="100" w:beforeAutospacing="1" w:after="100" w:afterAutospacing="1"/>
        <w:rPr>
          <w:rFonts w:ascii="Arial Black" w:eastAsia="Times New Roman" w:hAnsi="Arial Black"/>
          <w:b/>
          <w:sz w:val="28"/>
          <w:szCs w:val="28"/>
        </w:rPr>
      </w:pPr>
      <w:bookmarkStart w:id="201" w:name="_Hlk39763993"/>
      <w:r w:rsidRPr="005E0291">
        <w:rPr>
          <w:rFonts w:ascii="Arial Black" w:eastAsia="Times New Roman" w:hAnsi="Arial Black"/>
          <w:sz w:val="28"/>
          <w:szCs w:val="28"/>
        </w:rPr>
        <w:t xml:space="preserve">LA: </w:t>
      </w:r>
      <w:r>
        <w:rPr>
          <w:rFonts w:ascii="Arial Black" w:eastAsia="Times New Roman" w:hAnsi="Arial Black"/>
          <w:sz w:val="28"/>
          <w:szCs w:val="28"/>
        </w:rPr>
        <w:t xml:space="preserve"> ENGINE EMER. RUN – FROM LEFT LANE, MADE SHARP RIGHT TURN, COLLISION – GROSS NEGLIGENCE - NO IMMUNITY</w:t>
      </w:r>
    </w:p>
    <w:p w14:paraId="49427D51" w14:textId="77777777" w:rsidR="00C9355B" w:rsidRPr="009C4A80" w:rsidRDefault="00C9355B" w:rsidP="00C9355B">
      <w:pPr>
        <w:spacing w:before="100" w:beforeAutospacing="1" w:after="100" w:afterAutospacing="1"/>
        <w:rPr>
          <w:rFonts w:ascii="Times New Roman" w:eastAsia="Times New Roman" w:hAnsi="Times New Roman"/>
          <w:b/>
          <w:sz w:val="24"/>
          <w:szCs w:val="24"/>
        </w:rPr>
      </w:pPr>
      <w:r w:rsidRPr="009C4A80">
        <w:rPr>
          <w:rFonts w:ascii="Times New Roman" w:eastAsia="Times New Roman" w:hAnsi="Times New Roman"/>
          <w:sz w:val="24"/>
          <w:szCs w:val="24"/>
        </w:rPr>
        <w:t xml:space="preserve">On Jan. 8, 2020, in </w:t>
      </w:r>
      <w:r w:rsidRPr="009C4A80">
        <w:rPr>
          <w:rFonts w:ascii="Times New Roman" w:eastAsia="Times New Roman" w:hAnsi="Times New Roman"/>
          <w:sz w:val="24"/>
          <w:szCs w:val="24"/>
          <w:u w:val="single"/>
        </w:rPr>
        <w:t>Louis Ridgel v. Mitchell Chevalier, St. Bernard Parish Fire Department, et al</w:t>
      </w:r>
      <w:r w:rsidRPr="009C4A80">
        <w:rPr>
          <w:rFonts w:ascii="Times New Roman" w:eastAsia="Times New Roman" w:hAnsi="Times New Roman"/>
          <w:sz w:val="24"/>
          <w:szCs w:val="24"/>
        </w:rPr>
        <w:t xml:space="preserve">., the LA Court of Appeals, Fourth Circuit, held (3 to 0) that the trial judge properly found that the firefighter’s sharp right turn, even if had lights and sirens on, amounted to “gross negligence” and therefore the states’ immunity statute did not apply. </w:t>
      </w:r>
    </w:p>
    <w:p w14:paraId="0D3BF24F" w14:textId="16CE70FB" w:rsidR="00C9355B" w:rsidRPr="009C4A80" w:rsidRDefault="00C9355B" w:rsidP="009C4A80">
      <w:pPr>
        <w:ind w:left="720"/>
        <w:rPr>
          <w:rFonts w:ascii="Times New Roman" w:hAnsi="Times New Roman"/>
          <w:b/>
          <w:sz w:val="24"/>
          <w:szCs w:val="24"/>
        </w:rPr>
      </w:pPr>
      <w:r w:rsidRPr="009C4A80">
        <w:rPr>
          <w:rFonts w:ascii="Times New Roman" w:hAnsi="Times New Roman"/>
          <w:bCs/>
          <w:sz w:val="24"/>
          <w:szCs w:val="24"/>
        </w:rPr>
        <w:t xml:space="preserve">“The trial court found, however, that Mr. Chevalier [FF driver] should have kept a proper lookout for other motorists on the road, specifically because he was making a right turn from the left lane. Further, the trial court determined that the evidence showed that Mr. Chevalier intended to make a quick right turn from the left lane onto West Judge Perez </w:t>
      </w:r>
      <w:proofErr w:type="gramStart"/>
      <w:r w:rsidRPr="009C4A80">
        <w:rPr>
          <w:rFonts w:ascii="Times New Roman" w:hAnsi="Times New Roman"/>
          <w:bCs/>
          <w:sz w:val="24"/>
          <w:szCs w:val="24"/>
        </w:rPr>
        <w:t>Drive, but</w:t>
      </w:r>
      <w:proofErr w:type="gramEnd"/>
      <w:r w:rsidRPr="009C4A80">
        <w:rPr>
          <w:rFonts w:ascii="Times New Roman" w:hAnsi="Times New Roman"/>
          <w:bCs/>
          <w:sz w:val="24"/>
          <w:szCs w:val="24"/>
        </w:rPr>
        <w:t xml:space="preserve"> did not ensure it was safe to make that right turn. As such, the trial court determined that Mr. Chevalier’s actions constituted gross negligence despite the immunity established by La. R.S. 32:24. We agree.  </w:t>
      </w:r>
      <w:hyperlink r:id="rId1020" w:history="1">
        <w:r w:rsidRPr="009C4A80">
          <w:rPr>
            <w:rStyle w:val="Hyperlink"/>
            <w:rFonts w:ascii="Times New Roman" w:hAnsi="Times New Roman"/>
            <w:b/>
            <w:sz w:val="24"/>
            <w:szCs w:val="24"/>
          </w:rPr>
          <w:t>https://cases.justia.com/louisiana/fourth-circuit-court-of-appeal/2020-2019-ca-0250.pdf?ts=1578564502</w:t>
        </w:r>
      </w:hyperlink>
    </w:p>
    <w:p w14:paraId="5E2F24FC" w14:textId="77777777" w:rsidR="00C9355B" w:rsidRPr="009C4A80" w:rsidRDefault="00C9355B" w:rsidP="00C9355B">
      <w:pPr>
        <w:spacing w:before="100" w:beforeAutospacing="1" w:after="100" w:afterAutospacing="1"/>
        <w:rPr>
          <w:rFonts w:ascii="Times New Roman" w:hAnsi="Times New Roman"/>
          <w:b/>
          <w:bCs/>
          <w:sz w:val="24"/>
          <w:szCs w:val="24"/>
        </w:rPr>
      </w:pPr>
      <w:bookmarkStart w:id="202" w:name="_Hlk40510107"/>
      <w:bookmarkEnd w:id="201"/>
      <w:r w:rsidRPr="009C4A80">
        <w:rPr>
          <w:rFonts w:ascii="Times New Roman" w:hAnsi="Times New Roman"/>
          <w:b/>
          <w:bCs/>
          <w:sz w:val="24"/>
          <w:szCs w:val="24"/>
        </w:rPr>
        <w:t xml:space="preserve">Legal Lessons Learned:  Share these facts with your FD and discuss what steps could have been taken by both the FF driver and the </w:t>
      </w:r>
      <w:proofErr w:type="gramStart"/>
      <w:r w:rsidRPr="009C4A80">
        <w:rPr>
          <w:rFonts w:ascii="Times New Roman" w:hAnsi="Times New Roman"/>
          <w:b/>
          <w:bCs/>
          <w:sz w:val="24"/>
          <w:szCs w:val="24"/>
        </w:rPr>
        <w:t>Captain</w:t>
      </w:r>
      <w:proofErr w:type="gramEnd"/>
      <w:r w:rsidRPr="009C4A80">
        <w:rPr>
          <w:rFonts w:ascii="Times New Roman" w:hAnsi="Times New Roman"/>
          <w:b/>
          <w:bCs/>
          <w:sz w:val="24"/>
          <w:szCs w:val="24"/>
        </w:rPr>
        <w:t xml:space="preserve"> to avoid the collision.  FYI: the plaintiff claimed personal injury and was awarded total of $143,074 in damages.  </w:t>
      </w:r>
    </w:p>
    <w:bookmarkEnd w:id="202"/>
    <w:p w14:paraId="4A855BE8" w14:textId="7923C1DF" w:rsidR="00C9355B" w:rsidRPr="009C4A80" w:rsidRDefault="00C9355B" w:rsidP="00EF1133">
      <w:pPr>
        <w:rPr>
          <w:rFonts w:ascii="Times New Roman" w:hAnsi="Times New Roman"/>
          <w:b/>
          <w:sz w:val="24"/>
          <w:szCs w:val="24"/>
        </w:rPr>
      </w:pPr>
    </w:p>
    <w:p w14:paraId="6BD18C1C" w14:textId="77777777" w:rsidR="00C9355B" w:rsidRDefault="00C9355B" w:rsidP="00EF1133">
      <w:pPr>
        <w:rPr>
          <w:rFonts w:ascii="Arial Black" w:hAnsi="Arial Black"/>
          <w:b/>
          <w:sz w:val="24"/>
          <w:szCs w:val="24"/>
        </w:rPr>
      </w:pPr>
    </w:p>
    <w:p w14:paraId="70C69FEB" w14:textId="4A43F479" w:rsidR="00A06387" w:rsidRDefault="00A06387" w:rsidP="00EF1133">
      <w:pPr>
        <w:rPr>
          <w:rFonts w:ascii="Arial Black" w:hAnsi="Arial Black"/>
          <w:b/>
          <w:sz w:val="24"/>
          <w:szCs w:val="24"/>
        </w:rPr>
      </w:pPr>
      <w:r>
        <w:rPr>
          <w:rFonts w:ascii="Arial Black" w:hAnsi="Arial Black"/>
          <w:b/>
          <w:sz w:val="24"/>
          <w:szCs w:val="24"/>
        </w:rPr>
        <w:t>5-10</w:t>
      </w:r>
    </w:p>
    <w:p w14:paraId="203A74FE" w14:textId="77777777" w:rsidR="00A06387" w:rsidRDefault="00A06387" w:rsidP="00A06387">
      <w:pPr>
        <w:pStyle w:val="NoSpacing"/>
        <w:rPr>
          <w:rFonts w:ascii="Arial Black" w:hAnsi="Arial Black"/>
          <w:sz w:val="28"/>
          <w:szCs w:val="28"/>
        </w:rPr>
      </w:pPr>
      <w:r>
        <w:rPr>
          <w:rFonts w:ascii="Arial Black" w:hAnsi="Arial Black"/>
          <w:sz w:val="28"/>
          <w:szCs w:val="28"/>
        </w:rPr>
        <w:t xml:space="preserve">TX:  PD RESPONSE ROBBERY CALL – MVA – CONFLICTING REPORTS ON EMERENCY LIGHTS, LAWSUIT REINSTATED </w:t>
      </w:r>
    </w:p>
    <w:p w14:paraId="7DA6E9FE" w14:textId="77777777" w:rsidR="00A06387" w:rsidRDefault="00A06387" w:rsidP="00A06387">
      <w:pPr>
        <w:pStyle w:val="NoSpacing"/>
        <w:rPr>
          <w:rFonts w:ascii="Arial Black" w:hAnsi="Arial Black"/>
          <w:sz w:val="28"/>
          <w:szCs w:val="28"/>
        </w:rPr>
      </w:pPr>
    </w:p>
    <w:p w14:paraId="076BBE8C" w14:textId="77777777" w:rsidR="00A06387" w:rsidRPr="009C4A80" w:rsidRDefault="00A06387" w:rsidP="00A06387">
      <w:pPr>
        <w:pStyle w:val="NoSpacing"/>
        <w:rPr>
          <w:rFonts w:ascii="Times New Roman" w:hAnsi="Times New Roman"/>
          <w:b/>
          <w:bCs/>
          <w:sz w:val="24"/>
          <w:szCs w:val="24"/>
        </w:rPr>
      </w:pPr>
      <w:r w:rsidRPr="009C4A80">
        <w:rPr>
          <w:rFonts w:ascii="Times New Roman" w:hAnsi="Times New Roman"/>
          <w:bCs/>
          <w:sz w:val="24"/>
          <w:szCs w:val="24"/>
        </w:rPr>
        <w:t xml:space="preserve">On Oct. 29, 2019, in </w:t>
      </w:r>
      <w:r w:rsidRPr="009C4A80">
        <w:rPr>
          <w:rFonts w:ascii="Times New Roman" w:hAnsi="Times New Roman"/>
          <w:bCs/>
          <w:sz w:val="24"/>
          <w:szCs w:val="24"/>
          <w:u w:val="single"/>
        </w:rPr>
        <w:t>Marcia Gomez v. City of Houston</w:t>
      </w:r>
      <w:r w:rsidRPr="009C4A80">
        <w:rPr>
          <w:rFonts w:ascii="Times New Roman" w:hAnsi="Times New Roman"/>
          <w:bCs/>
          <w:sz w:val="24"/>
          <w:szCs w:val="24"/>
        </w:rPr>
        <w:t>, the Texas Fourteenth Court of Appeals held (</w:t>
      </w:r>
      <w:proofErr w:type="spellStart"/>
      <w:r w:rsidRPr="009C4A80">
        <w:rPr>
          <w:rFonts w:ascii="Times New Roman" w:hAnsi="Times New Roman"/>
          <w:bCs/>
          <w:sz w:val="24"/>
          <w:szCs w:val="24"/>
        </w:rPr>
        <w:t>en</w:t>
      </w:r>
      <w:proofErr w:type="spellEnd"/>
      <w:r w:rsidRPr="009C4A80">
        <w:rPr>
          <w:rFonts w:ascii="Times New Roman" w:hAnsi="Times New Roman"/>
          <w:bCs/>
          <w:sz w:val="24"/>
          <w:szCs w:val="24"/>
        </w:rPr>
        <w:t xml:space="preserve"> banc decision of all judges on court, vote of 6 to 3) held that the trial court improperly granted immunity to the City.  </w:t>
      </w:r>
    </w:p>
    <w:p w14:paraId="15AF2870" w14:textId="77777777" w:rsidR="00A06387" w:rsidRPr="009C4A80" w:rsidRDefault="00A06387" w:rsidP="00A06387">
      <w:pPr>
        <w:pStyle w:val="NoSpacing"/>
        <w:ind w:left="720"/>
        <w:rPr>
          <w:rFonts w:ascii="Times New Roman" w:hAnsi="Times New Roman"/>
          <w:sz w:val="24"/>
          <w:szCs w:val="24"/>
        </w:rPr>
      </w:pPr>
    </w:p>
    <w:p w14:paraId="7BAEFF84" w14:textId="5D3AF1D3" w:rsidR="00A06387" w:rsidRPr="009C4A80" w:rsidRDefault="00A06387" w:rsidP="00A06387">
      <w:pPr>
        <w:pStyle w:val="NoSpacing"/>
        <w:ind w:left="720"/>
        <w:rPr>
          <w:rFonts w:ascii="Times New Roman" w:hAnsi="Times New Roman"/>
          <w:b/>
          <w:bCs/>
          <w:sz w:val="24"/>
          <w:szCs w:val="24"/>
        </w:rPr>
      </w:pPr>
      <w:r w:rsidRPr="009C4A80">
        <w:rPr>
          <w:rFonts w:ascii="Times New Roman" w:hAnsi="Times New Roman"/>
          <w:sz w:val="24"/>
          <w:szCs w:val="24"/>
        </w:rPr>
        <w:lastRenderedPageBreak/>
        <w:t>“</w:t>
      </w:r>
      <w:r w:rsidRPr="009C4A80">
        <w:rPr>
          <w:rFonts w:ascii="Times New Roman" w:hAnsi="Times New Roman"/>
          <w:bCs/>
          <w:sz w:val="24"/>
          <w:szCs w:val="24"/>
        </w:rPr>
        <w:t xml:space="preserve">Thus, the City’s evidence of good faith assumes the truth of a disputed fact —that [Officer] Simmons was using his overhead emergency lights as he approached the </w:t>
      </w:r>
      <w:proofErr w:type="spellStart"/>
      <w:r w:rsidRPr="009C4A80">
        <w:rPr>
          <w:rFonts w:ascii="Times New Roman" w:hAnsi="Times New Roman"/>
          <w:bCs/>
          <w:sz w:val="24"/>
          <w:szCs w:val="24"/>
        </w:rPr>
        <w:t>Crosstimbers</w:t>
      </w:r>
      <w:proofErr w:type="spellEnd"/>
      <w:r w:rsidRPr="009C4A80">
        <w:rPr>
          <w:rFonts w:ascii="Times New Roman" w:hAnsi="Times New Roman"/>
          <w:bCs/>
          <w:sz w:val="24"/>
          <w:szCs w:val="24"/>
        </w:rPr>
        <w:t xml:space="preserve"> intersection. Simmons testified that he used overhead emergency lights continuously from the beginning of his response to the armed-robbery call, but the record contains other evidence that he did not do so. This evidence includes (1) [plaintiff] Gomez’s affidavit testimony that Simmons was not using his vehicle’s overhead emergency lights and (2) [Houston PD Accident Investigator Isaac] Jefferson’s PD accident  determination in his investigation report that Simmons was not using his vehicle’s overhead emergency lights before the collision.”  </w:t>
      </w:r>
    </w:p>
    <w:p w14:paraId="038D58F4" w14:textId="77777777" w:rsidR="00A06387" w:rsidRPr="009C4A80" w:rsidRDefault="00A06387" w:rsidP="00A06387">
      <w:pPr>
        <w:pStyle w:val="NoSpacing"/>
        <w:ind w:left="720"/>
        <w:rPr>
          <w:rFonts w:ascii="Times New Roman" w:hAnsi="Times New Roman"/>
          <w:b/>
          <w:bCs/>
          <w:sz w:val="24"/>
          <w:szCs w:val="24"/>
        </w:rPr>
      </w:pPr>
    </w:p>
    <w:p w14:paraId="609A2EA1" w14:textId="77777777" w:rsidR="00A06387" w:rsidRPr="009C4A80" w:rsidRDefault="00A06387" w:rsidP="00A06387">
      <w:pPr>
        <w:pStyle w:val="NoSpacing"/>
        <w:ind w:left="720"/>
        <w:rPr>
          <w:rFonts w:ascii="Times New Roman" w:hAnsi="Times New Roman"/>
          <w:b/>
          <w:bCs/>
          <w:sz w:val="24"/>
          <w:szCs w:val="24"/>
        </w:rPr>
      </w:pPr>
      <w:r w:rsidRPr="009C4A80">
        <w:rPr>
          <w:rFonts w:ascii="Times New Roman" w:hAnsi="Times New Roman"/>
          <w:bCs/>
          <w:sz w:val="24"/>
          <w:szCs w:val="24"/>
        </w:rPr>
        <w:t>***</w:t>
      </w:r>
    </w:p>
    <w:p w14:paraId="15FBB3DA" w14:textId="77777777" w:rsidR="00A06387" w:rsidRPr="009C4A80" w:rsidRDefault="00A06387" w:rsidP="00A06387">
      <w:pPr>
        <w:pStyle w:val="NoSpacing"/>
        <w:ind w:left="720"/>
        <w:rPr>
          <w:rFonts w:ascii="Times New Roman" w:hAnsi="Times New Roman"/>
          <w:b/>
          <w:bCs/>
          <w:sz w:val="24"/>
          <w:szCs w:val="24"/>
        </w:rPr>
      </w:pPr>
      <w:r w:rsidRPr="009C4A80">
        <w:rPr>
          <w:rFonts w:ascii="Times New Roman" w:hAnsi="Times New Roman"/>
          <w:bCs/>
          <w:sz w:val="24"/>
          <w:szCs w:val="24"/>
        </w:rPr>
        <w:t xml:space="preserve">The City did not conclusively establish Simmons’s good faith, and a material fact issue exists as to whether Simmons acted recklessly.3Therefore, we reverse the trial court’s judgment and remand the case to the trial court for further proceeding </w:t>
      </w:r>
      <w:proofErr w:type="gramStart"/>
      <w:r w:rsidRPr="009C4A80">
        <w:rPr>
          <w:rFonts w:ascii="Times New Roman" w:hAnsi="Times New Roman"/>
          <w:bCs/>
          <w:sz w:val="24"/>
          <w:szCs w:val="24"/>
        </w:rPr>
        <w:t>consistent</w:t>
      </w:r>
      <w:proofErr w:type="gramEnd"/>
      <w:r w:rsidRPr="009C4A80">
        <w:rPr>
          <w:rFonts w:ascii="Times New Roman" w:hAnsi="Times New Roman"/>
          <w:bCs/>
          <w:sz w:val="24"/>
          <w:szCs w:val="24"/>
        </w:rPr>
        <w:t xml:space="preserve"> with this opinion.</w:t>
      </w:r>
    </w:p>
    <w:p w14:paraId="742F721B" w14:textId="77777777" w:rsidR="00A06387" w:rsidRPr="009C4A80" w:rsidRDefault="00A06387" w:rsidP="00A06387">
      <w:pPr>
        <w:pStyle w:val="NoSpacing"/>
        <w:ind w:left="720"/>
        <w:rPr>
          <w:rFonts w:ascii="Times New Roman" w:hAnsi="Times New Roman"/>
          <w:b/>
          <w:bCs/>
          <w:sz w:val="24"/>
          <w:szCs w:val="24"/>
        </w:rPr>
      </w:pPr>
      <w:hyperlink r:id="rId1021" w:history="1">
        <w:r w:rsidRPr="009C4A80">
          <w:rPr>
            <w:rStyle w:val="Hyperlink"/>
            <w:rFonts w:ascii="Times New Roman" w:hAnsi="Times New Roman"/>
            <w:bCs/>
            <w:sz w:val="24"/>
            <w:szCs w:val="24"/>
          </w:rPr>
          <w:t>https://cases.justia.com/texas/fourteenth-court-of-appeals/2019-14-17-00811-cv.pdf?ts=1572351542</w:t>
        </w:r>
      </w:hyperlink>
      <w:r w:rsidRPr="009C4A80">
        <w:rPr>
          <w:rFonts w:ascii="Times New Roman" w:hAnsi="Times New Roman"/>
          <w:bCs/>
          <w:sz w:val="24"/>
          <w:szCs w:val="24"/>
        </w:rPr>
        <w:t xml:space="preserve"> </w:t>
      </w:r>
    </w:p>
    <w:p w14:paraId="5B3973B0" w14:textId="77777777" w:rsidR="00A06387" w:rsidRPr="009C4A80" w:rsidRDefault="00A06387" w:rsidP="00A06387">
      <w:pPr>
        <w:pStyle w:val="NoSpacing"/>
        <w:ind w:left="720"/>
        <w:rPr>
          <w:rFonts w:ascii="Times New Roman" w:hAnsi="Times New Roman"/>
          <w:b/>
          <w:bCs/>
          <w:sz w:val="24"/>
          <w:szCs w:val="24"/>
        </w:rPr>
      </w:pPr>
      <w:r w:rsidRPr="009C4A80">
        <w:rPr>
          <w:rFonts w:ascii="Times New Roman" w:hAnsi="Times New Roman"/>
          <w:bCs/>
          <w:sz w:val="24"/>
          <w:szCs w:val="24"/>
        </w:rPr>
        <w:t xml:space="preserve"> </w:t>
      </w:r>
    </w:p>
    <w:p w14:paraId="22C8999F" w14:textId="77777777" w:rsidR="00A06387" w:rsidRPr="009C4A80" w:rsidRDefault="00A06387" w:rsidP="00A06387">
      <w:pPr>
        <w:pStyle w:val="NoSpacing"/>
        <w:rPr>
          <w:rFonts w:ascii="Times New Roman" w:hAnsi="Times New Roman"/>
          <w:b/>
          <w:bCs/>
          <w:sz w:val="24"/>
          <w:szCs w:val="24"/>
        </w:rPr>
      </w:pPr>
      <w:r w:rsidRPr="009C4A80">
        <w:rPr>
          <w:rFonts w:ascii="Times New Roman" w:hAnsi="Times New Roman"/>
          <w:b/>
          <w:bCs/>
          <w:sz w:val="24"/>
          <w:szCs w:val="24"/>
        </w:rPr>
        <w:t>Legal Lessons Learned:  Emergency response when lights &amp; siren not used, extreme care must be exercised to prove you drove with “due regard” for the safety of others</w:t>
      </w:r>
      <w:r w:rsidRPr="009C4A80">
        <w:rPr>
          <w:rFonts w:ascii="Times New Roman" w:hAnsi="Times New Roman"/>
          <w:sz w:val="24"/>
          <w:szCs w:val="24"/>
        </w:rPr>
        <w:t xml:space="preserve">. </w:t>
      </w:r>
      <w:r w:rsidRPr="009C4A80">
        <w:rPr>
          <w:rFonts w:ascii="Times New Roman" w:hAnsi="Times New Roman"/>
          <w:bCs/>
          <w:sz w:val="24"/>
          <w:szCs w:val="24"/>
        </w:rPr>
        <w:t xml:space="preserve">For example, Ohio Revised Code 4511.03, Emergency Vehicles At Red Signal Or Stop Sign, provides:  “(A) The driver of any emergency vehicle or public safety vehicle, when responding to an emergency call, upon approaching a red or stop signal or any stop sign shall slow down as necessary for safety to traffic, but may proceed cautiously past such red or stop sign or signal with due regard for the safety of all persons using the street or highway.” </w:t>
      </w:r>
      <w:hyperlink r:id="rId1022" w:history="1">
        <w:r w:rsidRPr="009C4A80">
          <w:rPr>
            <w:rStyle w:val="Hyperlink"/>
            <w:rFonts w:ascii="Times New Roman" w:hAnsi="Times New Roman"/>
            <w:bCs/>
            <w:sz w:val="24"/>
            <w:szCs w:val="24"/>
          </w:rPr>
          <w:t>http://codes.ohio.gov/orc/4511.03v1</w:t>
        </w:r>
      </w:hyperlink>
      <w:r w:rsidRPr="009C4A80">
        <w:rPr>
          <w:rFonts w:ascii="Times New Roman" w:hAnsi="Times New Roman"/>
          <w:bCs/>
          <w:sz w:val="24"/>
          <w:szCs w:val="24"/>
        </w:rPr>
        <w:t xml:space="preserve"> </w:t>
      </w:r>
    </w:p>
    <w:p w14:paraId="19C11B21" w14:textId="255D36C4" w:rsidR="00A06387" w:rsidRPr="009C4A80" w:rsidRDefault="00A06387" w:rsidP="00EF1133">
      <w:pPr>
        <w:rPr>
          <w:rFonts w:ascii="Times New Roman" w:hAnsi="Times New Roman"/>
          <w:b/>
          <w:sz w:val="24"/>
          <w:szCs w:val="24"/>
        </w:rPr>
      </w:pPr>
    </w:p>
    <w:p w14:paraId="7351F4B7" w14:textId="77777777" w:rsidR="00A06387" w:rsidRDefault="00A06387" w:rsidP="00EF1133">
      <w:pPr>
        <w:rPr>
          <w:rFonts w:ascii="Arial Black" w:hAnsi="Arial Black"/>
          <w:b/>
          <w:sz w:val="24"/>
          <w:szCs w:val="24"/>
        </w:rPr>
      </w:pPr>
    </w:p>
    <w:p w14:paraId="120A335C" w14:textId="77777777" w:rsidR="00A06387" w:rsidRDefault="00A06387" w:rsidP="00EF1133">
      <w:pPr>
        <w:rPr>
          <w:rFonts w:ascii="Arial Black" w:hAnsi="Arial Black"/>
          <w:b/>
          <w:sz w:val="24"/>
          <w:szCs w:val="24"/>
        </w:rPr>
      </w:pPr>
    </w:p>
    <w:p w14:paraId="58D952EB" w14:textId="2A261541" w:rsidR="009F0F05" w:rsidRDefault="009F0F05" w:rsidP="00EF1133">
      <w:pPr>
        <w:rPr>
          <w:rFonts w:ascii="Arial Black" w:hAnsi="Arial Black"/>
          <w:b/>
          <w:sz w:val="24"/>
          <w:szCs w:val="24"/>
        </w:rPr>
      </w:pPr>
      <w:r>
        <w:rPr>
          <w:rFonts w:ascii="Arial Black" w:hAnsi="Arial Black"/>
          <w:b/>
          <w:sz w:val="24"/>
          <w:szCs w:val="24"/>
        </w:rPr>
        <w:t>5-9</w:t>
      </w:r>
    </w:p>
    <w:p w14:paraId="6F8A33AD" w14:textId="77777777" w:rsidR="009F0F05" w:rsidRPr="003D7FE9" w:rsidRDefault="009F0F05" w:rsidP="009F0F05">
      <w:pPr>
        <w:rPr>
          <w:rFonts w:ascii="Arial Black" w:hAnsi="Arial Black"/>
          <w:sz w:val="28"/>
          <w:szCs w:val="28"/>
        </w:rPr>
      </w:pPr>
      <w:bookmarkStart w:id="203" w:name="_Hlk39764089"/>
      <w:r w:rsidRPr="003D7FE9">
        <w:rPr>
          <w:rFonts w:ascii="Arial Black" w:hAnsi="Arial Black"/>
          <w:sz w:val="28"/>
          <w:szCs w:val="28"/>
        </w:rPr>
        <w:t xml:space="preserve">NY: </w:t>
      </w:r>
      <w:r>
        <w:rPr>
          <w:rFonts w:ascii="Arial Black" w:hAnsi="Arial Black"/>
          <w:sz w:val="28"/>
          <w:szCs w:val="28"/>
        </w:rPr>
        <w:t xml:space="preserve">VOL. FF INJURED ENGINE ROLLED OVER – CAN NOT SUE VOL. DRIVER OR FD - NO PROOF WILLFUL NEGLIGENCE </w:t>
      </w:r>
    </w:p>
    <w:p w14:paraId="23ED54A8" w14:textId="2D0DE6E4" w:rsidR="009F0F05" w:rsidRPr="006756B6" w:rsidRDefault="009F0F05" w:rsidP="009F0F05">
      <w:pPr>
        <w:rPr>
          <w:rFonts w:ascii="Times New Roman" w:hAnsi="Times New Roman"/>
          <w:sz w:val="24"/>
          <w:szCs w:val="24"/>
        </w:rPr>
      </w:pPr>
      <w:r w:rsidRPr="006756B6">
        <w:rPr>
          <w:rFonts w:ascii="Times New Roman" w:hAnsi="Times New Roman"/>
          <w:sz w:val="24"/>
          <w:szCs w:val="24"/>
        </w:rPr>
        <w:t xml:space="preserve">On </w:t>
      </w:r>
      <w:bookmarkStart w:id="204" w:name="_Hlk39836866"/>
      <w:r w:rsidRPr="006756B6">
        <w:rPr>
          <w:rFonts w:ascii="Times New Roman" w:hAnsi="Times New Roman"/>
          <w:sz w:val="24"/>
          <w:szCs w:val="24"/>
        </w:rPr>
        <w:t xml:space="preserve">Aug. 13, 2019, in </w:t>
      </w:r>
      <w:r w:rsidRPr="006756B6">
        <w:rPr>
          <w:rFonts w:ascii="Times New Roman" w:hAnsi="Times New Roman"/>
          <w:sz w:val="24"/>
          <w:szCs w:val="24"/>
          <w:u w:val="single"/>
        </w:rPr>
        <w:t xml:space="preserve">Robert E. Lee v. Kyle M. Verstraete and </w:t>
      </w:r>
      <w:proofErr w:type="spellStart"/>
      <w:r w:rsidRPr="006756B6">
        <w:rPr>
          <w:rFonts w:ascii="Times New Roman" w:hAnsi="Times New Roman"/>
          <w:sz w:val="24"/>
          <w:szCs w:val="24"/>
          <w:u w:val="single"/>
        </w:rPr>
        <w:t>Marbletown</w:t>
      </w:r>
      <w:proofErr w:type="spellEnd"/>
      <w:r w:rsidRPr="006756B6">
        <w:rPr>
          <w:rFonts w:ascii="Times New Roman" w:hAnsi="Times New Roman"/>
          <w:sz w:val="24"/>
          <w:szCs w:val="24"/>
          <w:u w:val="single"/>
        </w:rPr>
        <w:t xml:space="preserve"> Volunteer Fire Department, Inc, et a</w:t>
      </w:r>
      <w:r w:rsidRPr="006756B6">
        <w:rPr>
          <w:rFonts w:ascii="Times New Roman" w:hAnsi="Times New Roman"/>
          <w:sz w:val="24"/>
          <w:szCs w:val="24"/>
        </w:rPr>
        <w:t>l</w:t>
      </w:r>
      <w:bookmarkEnd w:id="204"/>
      <w:r w:rsidRPr="006756B6">
        <w:rPr>
          <w:rFonts w:ascii="Times New Roman" w:hAnsi="Times New Roman"/>
          <w:sz w:val="24"/>
          <w:szCs w:val="24"/>
        </w:rPr>
        <w:t xml:space="preserve">., Superior Court, Wayne County, 2019 NY Slip Op 29270 (N.Y. Sup. Ct., 2019), Acting Supreme Court Justice John B. Nesbitt granted defense motion to dismiss.  </w:t>
      </w:r>
    </w:p>
    <w:p w14:paraId="4E8930A3" w14:textId="628EAE52" w:rsidR="00DC51D4" w:rsidRPr="006756B6" w:rsidRDefault="009F0F05" w:rsidP="00DC51D4">
      <w:pPr>
        <w:ind w:left="720"/>
        <w:rPr>
          <w:rFonts w:ascii="Times New Roman" w:hAnsi="Times New Roman"/>
          <w:sz w:val="24"/>
          <w:szCs w:val="24"/>
        </w:rPr>
      </w:pPr>
      <w:r w:rsidRPr="006756B6">
        <w:rPr>
          <w:rFonts w:ascii="Times New Roman" w:hAnsi="Times New Roman"/>
          <w:sz w:val="24"/>
          <w:szCs w:val="24"/>
        </w:rPr>
        <w:t xml:space="preserve">“After long thought and careful analysis, the Court grants both </w:t>
      </w:r>
      <w:proofErr w:type="gramStart"/>
      <w:r w:rsidRPr="006756B6">
        <w:rPr>
          <w:rFonts w:ascii="Times New Roman" w:hAnsi="Times New Roman"/>
          <w:sz w:val="24"/>
          <w:szCs w:val="24"/>
        </w:rPr>
        <w:t>defendants</w:t>
      </w:r>
      <w:proofErr w:type="gramEnd"/>
      <w:r w:rsidR="00DC51D4">
        <w:rPr>
          <w:rFonts w:ascii="Times New Roman" w:hAnsi="Times New Roman"/>
          <w:sz w:val="24"/>
          <w:szCs w:val="24"/>
        </w:rPr>
        <w:t xml:space="preserve"> </w:t>
      </w:r>
      <w:r w:rsidRPr="006756B6">
        <w:rPr>
          <w:rFonts w:ascii="Times New Roman" w:hAnsi="Times New Roman"/>
          <w:sz w:val="24"/>
          <w:szCs w:val="24"/>
        </w:rPr>
        <w:t>motions for judgment dismissing the complaint and denying plaintiff's motion to amend the same. First, the Court finds, as a matter of law, upon the papers submitted, that plaintiff fails to demonstrate a triable issue whether the conduct of Kyle Verstraete constituted willful negligence or malfeasance.”</w:t>
      </w:r>
      <w:r w:rsidR="00DC51D4">
        <w:rPr>
          <w:rFonts w:ascii="Times New Roman" w:hAnsi="Times New Roman"/>
          <w:sz w:val="24"/>
          <w:szCs w:val="24"/>
        </w:rPr>
        <w:t xml:space="preserve">  </w:t>
      </w:r>
      <w:bookmarkStart w:id="205" w:name="_Hlk39836885"/>
      <w:r w:rsidR="00DC51D4">
        <w:fldChar w:fldCharType="begin"/>
      </w:r>
      <w:r w:rsidR="00DC51D4">
        <w:instrText xml:space="preserve"> HYPERLINK "https://law.justia.com/cases/new-york/other-courts/2019/2019-ny-slip-op-29270.html" </w:instrText>
      </w:r>
      <w:r w:rsidR="00DC51D4">
        <w:fldChar w:fldCharType="separate"/>
      </w:r>
      <w:r w:rsidR="00DC51D4" w:rsidRPr="006756B6">
        <w:rPr>
          <w:rStyle w:val="Hyperlink"/>
          <w:rFonts w:ascii="Times New Roman" w:hAnsi="Times New Roman"/>
          <w:sz w:val="24"/>
          <w:szCs w:val="24"/>
        </w:rPr>
        <w:t>https://law.justia.com/cases/new-york/other-courts/2019/2019-ny-slip-op-29270.html</w:t>
      </w:r>
      <w:r w:rsidR="00DC51D4">
        <w:rPr>
          <w:rStyle w:val="Hyperlink"/>
          <w:rFonts w:ascii="Times New Roman" w:hAnsi="Times New Roman"/>
          <w:sz w:val="24"/>
          <w:szCs w:val="24"/>
        </w:rPr>
        <w:fldChar w:fldCharType="end"/>
      </w:r>
      <w:r w:rsidR="00DC51D4" w:rsidRPr="006756B6">
        <w:rPr>
          <w:rFonts w:ascii="Times New Roman" w:hAnsi="Times New Roman"/>
          <w:sz w:val="24"/>
          <w:szCs w:val="24"/>
        </w:rPr>
        <w:t xml:space="preserve"> </w:t>
      </w:r>
    </w:p>
    <w:bookmarkEnd w:id="205"/>
    <w:p w14:paraId="62D57E95" w14:textId="001BB76F" w:rsidR="009F0F05" w:rsidRPr="006756B6" w:rsidRDefault="009F0F05" w:rsidP="009F0F05">
      <w:pPr>
        <w:ind w:left="720"/>
        <w:rPr>
          <w:rFonts w:ascii="Times New Roman" w:hAnsi="Times New Roman"/>
          <w:sz w:val="24"/>
          <w:szCs w:val="24"/>
        </w:rPr>
      </w:pPr>
    </w:p>
    <w:bookmarkEnd w:id="203"/>
    <w:p w14:paraId="694A62E5" w14:textId="640BABF1" w:rsidR="009F0F05" w:rsidRDefault="009F0F05" w:rsidP="009F0F05">
      <w:pPr>
        <w:pStyle w:val="NoSpacing"/>
        <w:rPr>
          <w:rFonts w:ascii="Times New Roman" w:hAnsi="Times New Roman"/>
          <w:b/>
          <w:bCs/>
          <w:sz w:val="24"/>
          <w:szCs w:val="24"/>
        </w:rPr>
      </w:pPr>
      <w:r>
        <w:rPr>
          <w:rFonts w:ascii="Times New Roman" w:hAnsi="Times New Roman"/>
          <w:b/>
          <w:bCs/>
          <w:sz w:val="24"/>
          <w:szCs w:val="24"/>
        </w:rPr>
        <w:t xml:space="preserve">Legal Lessons Learned: The injured volunteer firefighter’s only remedy is workers comp.  </w:t>
      </w:r>
      <w:proofErr w:type="gramStart"/>
      <w:r>
        <w:rPr>
          <w:rFonts w:ascii="Times New Roman" w:hAnsi="Times New Roman"/>
          <w:b/>
          <w:bCs/>
          <w:sz w:val="24"/>
          <w:szCs w:val="24"/>
        </w:rPr>
        <w:t>Other</w:t>
      </w:r>
      <w:proofErr w:type="gramEnd"/>
      <w:r>
        <w:rPr>
          <w:rFonts w:ascii="Times New Roman" w:hAnsi="Times New Roman"/>
          <w:b/>
          <w:bCs/>
          <w:sz w:val="24"/>
          <w:szCs w:val="24"/>
        </w:rPr>
        <w:t xml:space="preserve"> lesson - wear your seat belt.</w:t>
      </w:r>
    </w:p>
    <w:p w14:paraId="2ED036E9" w14:textId="04D753E0" w:rsidR="00E26EA8" w:rsidRDefault="00E26EA8" w:rsidP="009F0F05">
      <w:pPr>
        <w:pStyle w:val="NoSpacing"/>
        <w:rPr>
          <w:rFonts w:ascii="Times New Roman" w:hAnsi="Times New Roman"/>
          <w:b/>
          <w:bCs/>
          <w:sz w:val="24"/>
          <w:szCs w:val="24"/>
        </w:rPr>
      </w:pPr>
    </w:p>
    <w:p w14:paraId="659533B1" w14:textId="092AC4E6" w:rsidR="009F0F05" w:rsidRPr="00715CF2" w:rsidRDefault="009F0F05" w:rsidP="00EF1133">
      <w:pPr>
        <w:rPr>
          <w:rFonts w:ascii="Times New Roman" w:hAnsi="Times New Roman"/>
          <w:bCs/>
          <w:sz w:val="24"/>
          <w:szCs w:val="24"/>
        </w:rPr>
      </w:pPr>
    </w:p>
    <w:p w14:paraId="091455C7" w14:textId="77777777" w:rsidR="00715CF2" w:rsidRDefault="00715CF2" w:rsidP="00EF1133">
      <w:pPr>
        <w:rPr>
          <w:rFonts w:ascii="Arial Black" w:hAnsi="Arial Black"/>
          <w:b/>
          <w:sz w:val="24"/>
          <w:szCs w:val="24"/>
        </w:rPr>
      </w:pPr>
    </w:p>
    <w:p w14:paraId="5990C83D" w14:textId="6C2B7BBF" w:rsidR="009F0F05" w:rsidRDefault="009F0F05" w:rsidP="00EF1133">
      <w:pPr>
        <w:rPr>
          <w:rFonts w:ascii="Arial Black" w:hAnsi="Arial Black"/>
          <w:b/>
          <w:sz w:val="24"/>
          <w:szCs w:val="24"/>
        </w:rPr>
      </w:pPr>
      <w:r>
        <w:rPr>
          <w:rFonts w:ascii="Arial Black" w:hAnsi="Arial Black"/>
          <w:b/>
          <w:sz w:val="24"/>
          <w:szCs w:val="24"/>
        </w:rPr>
        <w:t>5-8</w:t>
      </w:r>
    </w:p>
    <w:p w14:paraId="092F8E23" w14:textId="77777777" w:rsidR="009F0F05" w:rsidRDefault="009F0F05" w:rsidP="009F0F05">
      <w:pPr>
        <w:rPr>
          <w:rFonts w:ascii="Arial Black" w:hAnsi="Arial Black"/>
          <w:sz w:val="28"/>
          <w:szCs w:val="28"/>
        </w:rPr>
      </w:pPr>
      <w:bookmarkStart w:id="206" w:name="_Hlk39764142"/>
      <w:r w:rsidRPr="00D803B2">
        <w:rPr>
          <w:rFonts w:ascii="Arial Black" w:hAnsi="Arial Black"/>
          <w:sz w:val="28"/>
          <w:szCs w:val="28"/>
        </w:rPr>
        <w:t xml:space="preserve">IL: </w:t>
      </w:r>
      <w:r>
        <w:rPr>
          <w:rFonts w:ascii="Arial Black" w:hAnsi="Arial Black"/>
          <w:sz w:val="28"/>
          <w:szCs w:val="28"/>
        </w:rPr>
        <w:t xml:space="preserve"> PATIENT INJURED AMBULANCE CRASH - 65 MPH WET HWY – PARAMEDIC REPRIMANDED - QUALIFIED IMMUNITY  </w:t>
      </w:r>
    </w:p>
    <w:p w14:paraId="61A2AF96" w14:textId="71F3EEFE" w:rsidR="009F0F05" w:rsidRDefault="009F0F05" w:rsidP="009F0F05">
      <w:r w:rsidRPr="004112C3">
        <w:rPr>
          <w:rFonts w:ascii="Times New Roman" w:hAnsi="Times New Roman"/>
          <w:sz w:val="24"/>
          <w:szCs w:val="24"/>
        </w:rPr>
        <w:t>On</w:t>
      </w:r>
      <w:r>
        <w:rPr>
          <w:rFonts w:ascii="Times New Roman" w:hAnsi="Times New Roman"/>
          <w:sz w:val="24"/>
          <w:szCs w:val="24"/>
        </w:rPr>
        <w:t xml:space="preserve"> Aug. 6, 2019, in </w:t>
      </w:r>
      <w:r w:rsidRPr="0030048E">
        <w:rPr>
          <w:rFonts w:ascii="Times New Roman" w:hAnsi="Times New Roman"/>
          <w:sz w:val="24"/>
          <w:szCs w:val="24"/>
          <w:u w:val="single"/>
        </w:rPr>
        <w:t>Jeremy Hicks and Isaiah Sampson (a minor) v. City of Fallon, et al.</w:t>
      </w:r>
      <w:r>
        <w:rPr>
          <w:rFonts w:ascii="Times New Roman" w:hAnsi="Times New Roman"/>
          <w:sz w:val="24"/>
          <w:szCs w:val="24"/>
        </w:rPr>
        <w:t xml:space="preserve">, </w:t>
      </w:r>
      <w:r w:rsidRPr="00A84C9A">
        <w:rPr>
          <w:rFonts w:ascii="Times New Roman" w:hAnsi="Times New Roman"/>
          <w:sz w:val="24"/>
          <w:szCs w:val="24"/>
        </w:rPr>
        <w:t xml:space="preserve">2019 Ill. App. 5th 180397, the Appellate Court of Illinois, Fifth District, held (3 to 0) that the trial court properly granted summary judgment to the </w:t>
      </w:r>
      <w:proofErr w:type="gramStart"/>
      <w:r w:rsidRPr="00A84C9A">
        <w:rPr>
          <w:rFonts w:ascii="Times New Roman" w:hAnsi="Times New Roman"/>
          <w:sz w:val="24"/>
          <w:szCs w:val="24"/>
        </w:rPr>
        <w:t>City</w:t>
      </w:r>
      <w:proofErr w:type="gramEnd"/>
      <w:r w:rsidRPr="00A84C9A">
        <w:rPr>
          <w:rFonts w:ascii="Times New Roman" w:hAnsi="Times New Roman"/>
          <w:sz w:val="24"/>
          <w:szCs w:val="24"/>
        </w:rPr>
        <w:t xml:space="preserve"> and the EMS personnel. </w:t>
      </w:r>
      <w:r w:rsidR="00AA589C">
        <w:rPr>
          <w:rFonts w:ascii="Times New Roman" w:hAnsi="Times New Roman"/>
          <w:sz w:val="24"/>
          <w:szCs w:val="24"/>
        </w:rPr>
        <w:t xml:space="preserve"> </w:t>
      </w:r>
      <w:bookmarkStart w:id="207" w:name="_Hlk39766010"/>
      <w:bookmarkEnd w:id="206"/>
      <w:r>
        <w:rPr>
          <w:rFonts w:ascii="Times New Roman" w:hAnsi="Times New Roman"/>
          <w:sz w:val="24"/>
          <w:szCs w:val="24"/>
        </w:rPr>
        <w:t xml:space="preserve">Justice Barberis wrote: </w:t>
      </w:r>
    </w:p>
    <w:p w14:paraId="27549F51" w14:textId="77777777" w:rsidR="00A84C9A" w:rsidRPr="00A84C9A" w:rsidRDefault="009F0F05" w:rsidP="00A84C9A">
      <w:pPr>
        <w:ind w:left="720"/>
        <w:rPr>
          <w:rFonts w:ascii="Times New Roman" w:hAnsi="Times New Roman"/>
          <w:sz w:val="24"/>
          <w:szCs w:val="24"/>
        </w:rPr>
      </w:pPr>
      <w:r>
        <w:rPr>
          <w:rFonts w:ascii="Times New Roman" w:hAnsi="Times New Roman"/>
          <w:sz w:val="24"/>
          <w:szCs w:val="24"/>
        </w:rPr>
        <w:t>“[P]</w:t>
      </w:r>
      <w:proofErr w:type="spellStart"/>
      <w:r w:rsidRPr="00086296">
        <w:rPr>
          <w:rFonts w:ascii="Times New Roman" w:hAnsi="Times New Roman"/>
          <w:sz w:val="24"/>
          <w:szCs w:val="24"/>
        </w:rPr>
        <w:t>laintiffs</w:t>
      </w:r>
      <w:proofErr w:type="spellEnd"/>
      <w:r w:rsidRPr="00086296">
        <w:rPr>
          <w:rFonts w:ascii="Times New Roman" w:hAnsi="Times New Roman"/>
          <w:sz w:val="24"/>
          <w:szCs w:val="24"/>
        </w:rPr>
        <w:t xml:space="preserve"> argue that Sill's</w:t>
      </w:r>
      <w:r>
        <w:rPr>
          <w:rFonts w:ascii="Times New Roman" w:hAnsi="Times New Roman"/>
          <w:sz w:val="24"/>
          <w:szCs w:val="24"/>
        </w:rPr>
        <w:t xml:space="preserve"> {paramedic] </w:t>
      </w:r>
      <w:r w:rsidRPr="00086296">
        <w:rPr>
          <w:rFonts w:ascii="Times New Roman" w:hAnsi="Times New Roman"/>
          <w:sz w:val="24"/>
          <w:szCs w:val="24"/>
        </w:rPr>
        <w:t xml:space="preserve">failure to operate the ambulance at a speed below the speed limit violated the City's policies and procedures, per Wild's deposition testimony, that required an ambulance to be operated slower in adverse conditions than it might be otherwise be operated in </w:t>
      </w:r>
      <w:proofErr w:type="spellStart"/>
      <w:r w:rsidRPr="00086296">
        <w:rPr>
          <w:rFonts w:ascii="Times New Roman" w:hAnsi="Times New Roman"/>
          <w:sz w:val="24"/>
          <w:szCs w:val="24"/>
        </w:rPr>
        <w:t>nonadverse</w:t>
      </w:r>
      <w:proofErr w:type="spellEnd"/>
      <w:r w:rsidRPr="00086296">
        <w:rPr>
          <w:rFonts w:ascii="Times New Roman" w:hAnsi="Times New Roman"/>
          <w:sz w:val="24"/>
          <w:szCs w:val="24"/>
        </w:rPr>
        <w:t xml:space="preserve"> conditions. First, we note that </w:t>
      </w:r>
      <w:r>
        <w:rPr>
          <w:rFonts w:ascii="Times New Roman" w:hAnsi="Times New Roman"/>
          <w:sz w:val="24"/>
          <w:szCs w:val="24"/>
        </w:rPr>
        <w:t>W</w:t>
      </w:r>
      <w:r w:rsidRPr="00086296">
        <w:rPr>
          <w:rFonts w:ascii="Times New Roman" w:hAnsi="Times New Roman"/>
          <w:sz w:val="24"/>
          <w:szCs w:val="24"/>
        </w:rPr>
        <w:t xml:space="preserve">ild </w:t>
      </w:r>
      <w:r>
        <w:rPr>
          <w:rFonts w:ascii="Times New Roman" w:hAnsi="Times New Roman"/>
          <w:sz w:val="24"/>
          <w:szCs w:val="24"/>
        </w:rPr>
        <w:t xml:space="preserve">[paramedic] </w:t>
      </w:r>
      <w:r w:rsidRPr="00086296">
        <w:rPr>
          <w:rFonts w:ascii="Times New Roman" w:hAnsi="Times New Roman"/>
          <w:sz w:val="24"/>
          <w:szCs w:val="24"/>
        </w:rPr>
        <w:t xml:space="preserve">testified that drivers were to maintain slower speeds during adverse weather conditions, although he was unsure whether a specific policy was in place. Moreover, our colleagues in the First District stated that a </w:t>
      </w:r>
      <w:r>
        <w:rPr>
          <w:rFonts w:ascii="Times New Roman" w:hAnsi="Times New Roman"/>
          <w:sz w:val="24"/>
          <w:szCs w:val="24"/>
        </w:rPr>
        <w:t>‘</w:t>
      </w:r>
      <w:r w:rsidRPr="00086296">
        <w:rPr>
          <w:rFonts w:ascii="Times New Roman" w:hAnsi="Times New Roman"/>
          <w:sz w:val="24"/>
          <w:szCs w:val="24"/>
        </w:rPr>
        <w:t>[v]</w:t>
      </w:r>
      <w:proofErr w:type="spellStart"/>
      <w:r w:rsidRPr="00086296">
        <w:rPr>
          <w:rFonts w:ascii="Times New Roman" w:hAnsi="Times New Roman"/>
          <w:sz w:val="24"/>
          <w:szCs w:val="24"/>
        </w:rPr>
        <w:t>iolation</w:t>
      </w:r>
      <w:proofErr w:type="spellEnd"/>
      <w:r w:rsidRPr="00086296">
        <w:rPr>
          <w:rFonts w:ascii="Times New Roman" w:hAnsi="Times New Roman"/>
          <w:sz w:val="24"/>
          <w:szCs w:val="24"/>
        </w:rPr>
        <w:t xml:space="preserve"> of self-imposed rules or internal guidelines *** 'does not normally impose a legal duty, let alone constitute evidence of negligence, or beyond that, willful and wanton conduct.' Wade v. City of Chicago, 364 Ill. App. 3d 773, 781 (2006) (quoting Morton v. City of Chicago, 286 Ill. App. 3d 444, 454 (1997)). Thus, a violation of the City's policy, if one had existed at the time of the accident, would not alone constitute evidence of willful and wanton </w:t>
      </w:r>
      <w:proofErr w:type="gramStart"/>
      <w:r w:rsidRPr="00086296">
        <w:rPr>
          <w:rFonts w:ascii="Times New Roman" w:hAnsi="Times New Roman"/>
          <w:sz w:val="24"/>
          <w:szCs w:val="24"/>
        </w:rPr>
        <w:t>conduct.</w:t>
      </w:r>
      <w:r>
        <w:rPr>
          <w:rFonts w:ascii="Times New Roman" w:hAnsi="Times New Roman"/>
          <w:sz w:val="24"/>
          <w:szCs w:val="24"/>
        </w:rPr>
        <w:t>”</w:t>
      </w:r>
      <w:proofErr w:type="gramEnd"/>
      <w:r w:rsidR="00A84C9A">
        <w:rPr>
          <w:rFonts w:ascii="Times New Roman" w:hAnsi="Times New Roman"/>
          <w:sz w:val="24"/>
          <w:szCs w:val="24"/>
        </w:rPr>
        <w:t xml:space="preserve"> </w:t>
      </w:r>
      <w:hyperlink r:id="rId1023" w:history="1">
        <w:r w:rsidR="00A84C9A" w:rsidRPr="00A84C9A">
          <w:rPr>
            <w:rStyle w:val="Hyperlink"/>
            <w:rFonts w:ascii="Times New Roman" w:hAnsi="Times New Roman"/>
            <w:sz w:val="24"/>
            <w:szCs w:val="24"/>
          </w:rPr>
          <w:t>https://casetext.com/case/hicks-v-city-of-ofallon</w:t>
        </w:r>
      </w:hyperlink>
      <w:r w:rsidR="00A84C9A" w:rsidRPr="00A84C9A">
        <w:rPr>
          <w:rFonts w:ascii="Times New Roman" w:hAnsi="Times New Roman"/>
          <w:sz w:val="24"/>
          <w:szCs w:val="24"/>
        </w:rPr>
        <w:t xml:space="preserve"> </w:t>
      </w:r>
    </w:p>
    <w:p w14:paraId="2439432B" w14:textId="77777777" w:rsidR="009F0F05" w:rsidRPr="005245B1" w:rsidRDefault="009F0F05" w:rsidP="009F0F05">
      <w:pPr>
        <w:rPr>
          <w:rFonts w:ascii="Times New Roman" w:hAnsi="Times New Roman"/>
          <w:b/>
          <w:bCs/>
          <w:sz w:val="24"/>
          <w:szCs w:val="24"/>
        </w:rPr>
      </w:pPr>
      <w:bookmarkStart w:id="208" w:name="_Hlk40510205"/>
      <w:bookmarkEnd w:id="207"/>
      <w:r w:rsidRPr="005245B1">
        <w:rPr>
          <w:rFonts w:ascii="Times New Roman" w:hAnsi="Times New Roman"/>
          <w:b/>
          <w:bCs/>
          <w:sz w:val="24"/>
          <w:szCs w:val="24"/>
        </w:rPr>
        <w:t xml:space="preserve">Legal Lessons Learned: </w:t>
      </w:r>
      <w:r>
        <w:rPr>
          <w:rFonts w:ascii="Times New Roman" w:hAnsi="Times New Roman"/>
          <w:b/>
          <w:bCs/>
          <w:sz w:val="24"/>
          <w:szCs w:val="24"/>
        </w:rPr>
        <w:t xml:space="preserve">Immunity </w:t>
      </w:r>
      <w:proofErr w:type="gramStart"/>
      <w:r>
        <w:rPr>
          <w:rFonts w:ascii="Times New Roman" w:hAnsi="Times New Roman"/>
          <w:b/>
          <w:bCs/>
          <w:sz w:val="24"/>
          <w:szCs w:val="24"/>
        </w:rPr>
        <w:t>statute</w:t>
      </w:r>
      <w:proofErr w:type="gramEnd"/>
      <w:r>
        <w:rPr>
          <w:rFonts w:ascii="Times New Roman" w:hAnsi="Times New Roman"/>
          <w:b/>
          <w:bCs/>
          <w:sz w:val="24"/>
          <w:szCs w:val="24"/>
        </w:rPr>
        <w:t xml:space="preserve"> very helpful; but use caution when driving high speeds on a wet highway.  </w:t>
      </w:r>
    </w:p>
    <w:bookmarkEnd w:id="208"/>
    <w:p w14:paraId="4A9C5183" w14:textId="77777777" w:rsidR="009F0F05" w:rsidRDefault="009F0F05" w:rsidP="00EF1133">
      <w:pPr>
        <w:rPr>
          <w:rFonts w:ascii="Arial Black" w:hAnsi="Arial Black"/>
          <w:b/>
          <w:sz w:val="24"/>
          <w:szCs w:val="24"/>
        </w:rPr>
      </w:pPr>
    </w:p>
    <w:p w14:paraId="2084228C" w14:textId="27ED0317" w:rsidR="00EF1133" w:rsidRDefault="00EF1133" w:rsidP="00EF1133">
      <w:pPr>
        <w:rPr>
          <w:rFonts w:ascii="Arial Black" w:hAnsi="Arial Black"/>
          <w:sz w:val="28"/>
          <w:szCs w:val="28"/>
        </w:rPr>
      </w:pPr>
      <w:r w:rsidRPr="00EF1133">
        <w:rPr>
          <w:rFonts w:ascii="Arial Black" w:hAnsi="Arial Black"/>
          <w:b/>
          <w:sz w:val="24"/>
          <w:szCs w:val="24"/>
        </w:rPr>
        <w:t>5-</w:t>
      </w:r>
      <w:r>
        <w:rPr>
          <w:rFonts w:ascii="Arial Black" w:hAnsi="Arial Black"/>
          <w:b/>
          <w:sz w:val="24"/>
          <w:szCs w:val="24"/>
        </w:rPr>
        <w:t>7</w:t>
      </w:r>
    </w:p>
    <w:p w14:paraId="572158BB" w14:textId="1451C876" w:rsidR="00527EDF" w:rsidRDefault="00527EDF" w:rsidP="00527EDF">
      <w:pPr>
        <w:pStyle w:val="NoSpacing"/>
        <w:rPr>
          <w:rFonts w:ascii="Arial Black" w:hAnsi="Arial Black"/>
          <w:sz w:val="28"/>
          <w:szCs w:val="28"/>
        </w:rPr>
      </w:pPr>
      <w:r>
        <w:rPr>
          <w:rFonts w:ascii="Arial Black" w:hAnsi="Arial Black"/>
          <w:sz w:val="28"/>
          <w:szCs w:val="28"/>
        </w:rPr>
        <w:t xml:space="preserve">TX:  EMT LOST CONTROL AMBULANCE - INJURED ROAD GRADER – MAX LIAB. OF NOT-FOR-PROFIT CO. IS $100K  </w:t>
      </w:r>
    </w:p>
    <w:p w14:paraId="3555D47A" w14:textId="77777777" w:rsidR="00527EDF" w:rsidRDefault="00527EDF" w:rsidP="00527EDF">
      <w:pPr>
        <w:pStyle w:val="NoSpacing"/>
        <w:rPr>
          <w:rFonts w:ascii="Arial Black" w:hAnsi="Arial Black"/>
          <w:sz w:val="28"/>
          <w:szCs w:val="28"/>
        </w:rPr>
      </w:pPr>
    </w:p>
    <w:p w14:paraId="38C51E4B" w14:textId="77777777" w:rsidR="00527EDF" w:rsidRPr="004A0292" w:rsidRDefault="00527EDF" w:rsidP="00527EDF">
      <w:pPr>
        <w:pStyle w:val="NoSpacing"/>
        <w:rPr>
          <w:rFonts w:ascii="Times New Roman" w:hAnsi="Times New Roman"/>
          <w:sz w:val="24"/>
          <w:szCs w:val="24"/>
        </w:rPr>
      </w:pPr>
      <w:r w:rsidRPr="004A0292">
        <w:rPr>
          <w:rFonts w:ascii="Times New Roman" w:hAnsi="Times New Roman"/>
          <w:sz w:val="24"/>
          <w:szCs w:val="24"/>
        </w:rPr>
        <w:t xml:space="preserve">On May 23, 2019, in </w:t>
      </w:r>
      <w:r w:rsidRPr="004A0292">
        <w:rPr>
          <w:rFonts w:ascii="Times New Roman" w:hAnsi="Times New Roman"/>
          <w:sz w:val="24"/>
          <w:szCs w:val="24"/>
          <w:u w:val="single"/>
        </w:rPr>
        <w:t>Jose Roel Garcia v. Jesse Perez and South Texas Emergency Care Foundation, Inc.</w:t>
      </w:r>
      <w:r w:rsidRPr="004A0292">
        <w:rPr>
          <w:rFonts w:ascii="Times New Roman" w:hAnsi="Times New Roman"/>
          <w:sz w:val="24"/>
          <w:szCs w:val="24"/>
        </w:rPr>
        <w:t>, the Court of Appeals of Thirteenth District, Corpus Christi held (3 to 0)</w:t>
      </w:r>
    </w:p>
    <w:p w14:paraId="7D27F224" w14:textId="77777777" w:rsidR="00527EDF" w:rsidRPr="004A0292" w:rsidRDefault="00527EDF" w:rsidP="00527EDF">
      <w:pPr>
        <w:pStyle w:val="NoSpacing"/>
        <w:rPr>
          <w:rFonts w:ascii="Times New Roman" w:hAnsi="Times New Roman"/>
          <w:sz w:val="24"/>
          <w:szCs w:val="24"/>
        </w:rPr>
      </w:pPr>
    </w:p>
    <w:p w14:paraId="0081598D" w14:textId="77777777" w:rsidR="00527EDF" w:rsidRPr="004A0292" w:rsidRDefault="00527EDF" w:rsidP="00527EDF">
      <w:pPr>
        <w:pStyle w:val="NoSpacing"/>
        <w:ind w:left="720"/>
        <w:rPr>
          <w:rFonts w:ascii="Times New Roman" w:hAnsi="Times New Roman"/>
          <w:sz w:val="24"/>
          <w:szCs w:val="24"/>
        </w:rPr>
      </w:pPr>
      <w:r w:rsidRPr="004A0292">
        <w:rPr>
          <w:rFonts w:ascii="Times New Roman" w:hAnsi="Times New Roman"/>
          <w:sz w:val="24"/>
          <w:szCs w:val="24"/>
        </w:rPr>
        <w:t>“Thus, we conclude that Garcia’s argument that STEC is not an emergency service organization because it is not operated by volunteer members is not supported by the statute. Accordingly, we reject this argument.”</w:t>
      </w:r>
    </w:p>
    <w:p w14:paraId="34EA4B9A" w14:textId="113270E2" w:rsidR="00527EDF" w:rsidRDefault="00527EDF" w:rsidP="00F326E5">
      <w:pPr>
        <w:pStyle w:val="NoSpacing"/>
        <w:rPr>
          <w:sz w:val="24"/>
          <w:szCs w:val="24"/>
        </w:rPr>
      </w:pPr>
    </w:p>
    <w:p w14:paraId="0B50BC02" w14:textId="77777777" w:rsidR="00527EDF" w:rsidRPr="00E8724B" w:rsidRDefault="00527EDF" w:rsidP="00527EDF">
      <w:pPr>
        <w:pStyle w:val="HTMLPreformatted"/>
        <w:rPr>
          <w:rFonts w:ascii="Times New Roman" w:hAnsi="Times New Roman" w:cs="Times New Roman"/>
          <w:b/>
          <w:sz w:val="24"/>
          <w:szCs w:val="24"/>
        </w:rPr>
      </w:pPr>
      <w:bookmarkStart w:id="209" w:name="_Hlk10126871"/>
      <w:r w:rsidRPr="00E8724B">
        <w:rPr>
          <w:rFonts w:ascii="Times New Roman" w:hAnsi="Times New Roman" w:cs="Times New Roman"/>
          <w:b/>
          <w:sz w:val="24"/>
          <w:szCs w:val="24"/>
        </w:rPr>
        <w:t xml:space="preserve">Legal Lessons Learned: </w:t>
      </w:r>
      <w:r>
        <w:rPr>
          <w:rFonts w:ascii="Times New Roman" w:hAnsi="Times New Roman" w:cs="Times New Roman"/>
          <w:b/>
          <w:sz w:val="24"/>
          <w:szCs w:val="24"/>
        </w:rPr>
        <w:t xml:space="preserve">  Helpful to have a statutory cap on liability for volunteer and not-for-profit emergency response organizations.  This may also reduce the cost of insurance.  </w:t>
      </w:r>
    </w:p>
    <w:bookmarkEnd w:id="209"/>
    <w:p w14:paraId="33495ABD" w14:textId="77777777" w:rsidR="00527EDF" w:rsidRDefault="00527EDF" w:rsidP="00527EDF">
      <w:pPr>
        <w:pStyle w:val="NoSpacing"/>
        <w:rPr>
          <w:rFonts w:ascii="Times New Roman" w:hAnsi="Times New Roman"/>
          <w:sz w:val="24"/>
          <w:szCs w:val="24"/>
        </w:rPr>
      </w:pPr>
    </w:p>
    <w:p w14:paraId="010CFCD3" w14:textId="6A4BE911" w:rsidR="0097592D" w:rsidRDefault="0097592D" w:rsidP="00F326E5">
      <w:pPr>
        <w:pStyle w:val="NoSpacing"/>
        <w:rPr>
          <w:sz w:val="24"/>
          <w:szCs w:val="24"/>
        </w:rPr>
      </w:pPr>
    </w:p>
    <w:p w14:paraId="7D3916C7" w14:textId="77777777" w:rsidR="0097592D" w:rsidRDefault="0097592D" w:rsidP="00F326E5">
      <w:pPr>
        <w:pStyle w:val="NoSpacing"/>
        <w:rPr>
          <w:sz w:val="24"/>
          <w:szCs w:val="24"/>
        </w:rPr>
      </w:pPr>
    </w:p>
    <w:p w14:paraId="42C00D40" w14:textId="5A9B567C" w:rsidR="00527EDF" w:rsidRDefault="00EF1133" w:rsidP="00EF1133">
      <w:pPr>
        <w:rPr>
          <w:sz w:val="24"/>
          <w:szCs w:val="24"/>
        </w:rPr>
      </w:pPr>
      <w:r w:rsidRPr="00EF1133">
        <w:rPr>
          <w:rFonts w:ascii="Arial Black" w:hAnsi="Arial Black"/>
          <w:b/>
          <w:sz w:val="24"/>
          <w:szCs w:val="24"/>
        </w:rPr>
        <w:t>5-</w:t>
      </w:r>
      <w:r>
        <w:rPr>
          <w:rFonts w:ascii="Arial Black" w:hAnsi="Arial Black"/>
          <w:b/>
          <w:sz w:val="24"/>
          <w:szCs w:val="24"/>
        </w:rPr>
        <w:t>6</w:t>
      </w:r>
    </w:p>
    <w:p w14:paraId="3EEA1607" w14:textId="2A633C47" w:rsidR="00F326E5" w:rsidRDefault="002B1283" w:rsidP="00F326E5">
      <w:pPr>
        <w:pStyle w:val="NoSpacing"/>
        <w:rPr>
          <w:rFonts w:ascii="Arial Black" w:hAnsi="Arial Black"/>
          <w:sz w:val="28"/>
          <w:szCs w:val="28"/>
        </w:rPr>
      </w:pPr>
      <w:bookmarkStart w:id="210" w:name="_Hlk39764237"/>
      <w:r>
        <w:rPr>
          <w:rFonts w:ascii="Arial Black" w:hAnsi="Arial Black"/>
          <w:sz w:val="28"/>
          <w:szCs w:val="28"/>
        </w:rPr>
        <w:lastRenderedPageBreak/>
        <w:t>L</w:t>
      </w:r>
      <w:r w:rsidR="00F326E5">
        <w:rPr>
          <w:rFonts w:ascii="Arial Black" w:hAnsi="Arial Black"/>
          <w:sz w:val="28"/>
          <w:szCs w:val="28"/>
        </w:rPr>
        <w:t>A:  EMER. LIGHTS USED, BUT NO SIREN – CHILD NON</w:t>
      </w:r>
      <w:r w:rsidR="00A84C9A">
        <w:rPr>
          <w:rFonts w:ascii="Arial Black" w:hAnsi="Arial Black"/>
          <w:sz w:val="28"/>
          <w:szCs w:val="28"/>
        </w:rPr>
        <w:t>-</w:t>
      </w:r>
      <w:r w:rsidR="00F326E5">
        <w:rPr>
          <w:rFonts w:ascii="Arial Black" w:hAnsi="Arial Black"/>
          <w:sz w:val="28"/>
          <w:szCs w:val="28"/>
        </w:rPr>
        <w:t xml:space="preserve">BREATHER RUN - NO STATUTORY IMMUNITY </w:t>
      </w:r>
    </w:p>
    <w:p w14:paraId="355BDDDD" w14:textId="77777777" w:rsidR="00F326E5" w:rsidRPr="009C4A80" w:rsidRDefault="00F326E5" w:rsidP="00F326E5">
      <w:pPr>
        <w:pStyle w:val="NoSpacing"/>
        <w:rPr>
          <w:rFonts w:ascii="Times New Roman" w:hAnsi="Times New Roman"/>
          <w:b/>
          <w:sz w:val="24"/>
          <w:szCs w:val="24"/>
        </w:rPr>
      </w:pPr>
      <w:r w:rsidRPr="009C4A80">
        <w:rPr>
          <w:rFonts w:ascii="Times New Roman" w:hAnsi="Times New Roman"/>
          <w:sz w:val="24"/>
          <w:szCs w:val="24"/>
        </w:rPr>
        <w:t xml:space="preserve">On Feb. 22, 2019, in </w:t>
      </w:r>
      <w:r w:rsidRPr="009C4A80">
        <w:rPr>
          <w:rFonts w:ascii="Times New Roman" w:hAnsi="Times New Roman"/>
          <w:sz w:val="24"/>
          <w:szCs w:val="24"/>
          <w:u w:val="single"/>
        </w:rPr>
        <w:t xml:space="preserve">Nunzio </w:t>
      </w:r>
      <w:proofErr w:type="spellStart"/>
      <w:r w:rsidRPr="009C4A80">
        <w:rPr>
          <w:rFonts w:ascii="Times New Roman" w:hAnsi="Times New Roman"/>
          <w:sz w:val="24"/>
          <w:szCs w:val="24"/>
          <w:u w:val="single"/>
        </w:rPr>
        <w:t>Inzina</w:t>
      </w:r>
      <w:proofErr w:type="spellEnd"/>
      <w:r w:rsidRPr="009C4A80">
        <w:rPr>
          <w:rFonts w:ascii="Times New Roman" w:hAnsi="Times New Roman"/>
          <w:sz w:val="24"/>
          <w:szCs w:val="24"/>
          <w:u w:val="single"/>
        </w:rPr>
        <w:t xml:space="preserve"> &amp; Emily </w:t>
      </w:r>
      <w:proofErr w:type="spellStart"/>
      <w:r w:rsidRPr="009C4A80">
        <w:rPr>
          <w:rFonts w:ascii="Times New Roman" w:hAnsi="Times New Roman"/>
          <w:sz w:val="24"/>
          <w:szCs w:val="24"/>
          <w:u w:val="single"/>
        </w:rPr>
        <w:t>Inzina</w:t>
      </w:r>
      <w:proofErr w:type="spellEnd"/>
      <w:r w:rsidRPr="009C4A80">
        <w:rPr>
          <w:rFonts w:ascii="Times New Roman" w:hAnsi="Times New Roman"/>
          <w:sz w:val="24"/>
          <w:szCs w:val="24"/>
          <w:u w:val="single"/>
        </w:rPr>
        <w:t xml:space="preserve"> v. Troy Guitreau, et al</w:t>
      </w:r>
      <w:r w:rsidRPr="009C4A80">
        <w:rPr>
          <w:rFonts w:ascii="Times New Roman" w:hAnsi="Times New Roman"/>
          <w:sz w:val="24"/>
          <w:szCs w:val="24"/>
        </w:rPr>
        <w:t xml:space="preserve">.,  the State of Louisiana, Court of Appeal, First District (3 to 0) held that “because the trial court's finding that Mr. Guitreau's emergency lights were insufficient to warn motorists of his approach was not manifestly erroneous, the trial court properly determined that the ‘reckless disregard’ (or ‘gross negligence’) standard does not apply. Mr. Guitreau does not meet the requirements of 32:24(C) and therefore his actions must be assessed under an ordinary negligence </w:t>
      </w:r>
      <w:proofErr w:type="gramStart"/>
      <w:r w:rsidRPr="009C4A80">
        <w:rPr>
          <w:rFonts w:ascii="Times New Roman" w:hAnsi="Times New Roman"/>
          <w:sz w:val="24"/>
          <w:szCs w:val="24"/>
        </w:rPr>
        <w:t>standard.”</w:t>
      </w:r>
      <w:proofErr w:type="gramEnd"/>
      <w:r w:rsidRPr="009C4A80">
        <w:rPr>
          <w:rFonts w:ascii="Times New Roman" w:hAnsi="Times New Roman"/>
          <w:b/>
          <w:sz w:val="24"/>
          <w:szCs w:val="24"/>
        </w:rPr>
        <w:t xml:space="preserve"> </w:t>
      </w:r>
      <w:hyperlink r:id="rId1024" w:history="1">
        <w:r w:rsidRPr="009C4A80">
          <w:rPr>
            <w:rStyle w:val="Hyperlink"/>
            <w:rFonts w:ascii="Times New Roman" w:hAnsi="Times New Roman"/>
            <w:sz w:val="24"/>
            <w:szCs w:val="24"/>
          </w:rPr>
          <w:t>http://www.la-fcca.org/opiniongrid/opinionpdf/2018%20CA%200905%20Decision%20Appeal.pdf</w:t>
        </w:r>
      </w:hyperlink>
      <w:r w:rsidRPr="009C4A80">
        <w:rPr>
          <w:rFonts w:ascii="Times New Roman" w:hAnsi="Times New Roman"/>
          <w:b/>
          <w:sz w:val="24"/>
          <w:szCs w:val="24"/>
        </w:rPr>
        <w:t xml:space="preserve"> </w:t>
      </w:r>
    </w:p>
    <w:bookmarkEnd w:id="210"/>
    <w:p w14:paraId="6E875164" w14:textId="77777777" w:rsidR="009C4A80" w:rsidRDefault="009C4A80" w:rsidP="00F326E5">
      <w:pPr>
        <w:pStyle w:val="NoSpacing"/>
        <w:rPr>
          <w:rFonts w:ascii="Times New Roman" w:hAnsi="Times New Roman"/>
          <w:b/>
          <w:sz w:val="24"/>
          <w:szCs w:val="24"/>
        </w:rPr>
      </w:pPr>
    </w:p>
    <w:p w14:paraId="205B4087" w14:textId="6B386BAA" w:rsidR="00F326E5" w:rsidRPr="009C4A80" w:rsidRDefault="00F326E5" w:rsidP="00F326E5">
      <w:pPr>
        <w:pStyle w:val="NoSpacing"/>
        <w:rPr>
          <w:rFonts w:ascii="Times New Roman" w:hAnsi="Times New Roman"/>
          <w:b/>
          <w:sz w:val="24"/>
          <w:szCs w:val="24"/>
        </w:rPr>
      </w:pPr>
      <w:bookmarkStart w:id="211" w:name="_Hlk40510242"/>
      <w:r w:rsidRPr="009C4A80">
        <w:rPr>
          <w:rFonts w:ascii="Times New Roman" w:hAnsi="Times New Roman"/>
          <w:b/>
          <w:sz w:val="24"/>
          <w:szCs w:val="24"/>
        </w:rPr>
        <w:t xml:space="preserve">Legal Lessons Learned: If you are in an accident responding to an emergency, and your siren was on, keep it on when calling dispatch to report the accident – the 911 Dispatch recording will help avoid litigation and liability.  </w:t>
      </w:r>
    </w:p>
    <w:bookmarkEnd w:id="211"/>
    <w:p w14:paraId="024C6EE7" w14:textId="77777777" w:rsidR="00536545" w:rsidRPr="009C4A80" w:rsidRDefault="00536545" w:rsidP="00F326E5">
      <w:pPr>
        <w:rPr>
          <w:rFonts w:ascii="Times New Roman" w:hAnsi="Times New Roman"/>
          <w:b/>
          <w:sz w:val="24"/>
          <w:szCs w:val="24"/>
        </w:rPr>
      </w:pPr>
    </w:p>
    <w:bookmarkEnd w:id="194"/>
    <w:p w14:paraId="1CD749BE" w14:textId="77777777" w:rsidR="00EF1133" w:rsidRDefault="00EF1133" w:rsidP="00F326E5">
      <w:pPr>
        <w:rPr>
          <w:rFonts w:ascii="Arial Black" w:hAnsi="Arial Black"/>
          <w:b/>
          <w:sz w:val="24"/>
          <w:szCs w:val="24"/>
        </w:rPr>
      </w:pPr>
    </w:p>
    <w:p w14:paraId="4C5758B7" w14:textId="77777777" w:rsidR="00536545" w:rsidRDefault="00536545" w:rsidP="00F326E5">
      <w:pPr>
        <w:rPr>
          <w:rFonts w:ascii="Arial Black" w:hAnsi="Arial Black"/>
          <w:b/>
          <w:sz w:val="24"/>
          <w:szCs w:val="24"/>
        </w:rPr>
      </w:pPr>
    </w:p>
    <w:p w14:paraId="059C9922" w14:textId="77777777" w:rsidR="00536545" w:rsidRDefault="00536545" w:rsidP="00F326E5">
      <w:pPr>
        <w:rPr>
          <w:rFonts w:ascii="Arial Black" w:hAnsi="Arial Black"/>
          <w:b/>
          <w:sz w:val="24"/>
          <w:szCs w:val="24"/>
        </w:rPr>
      </w:pPr>
    </w:p>
    <w:p w14:paraId="613BFFDF" w14:textId="4DF3309B" w:rsidR="00F326E5" w:rsidRDefault="00EF1133" w:rsidP="00F326E5">
      <w:pPr>
        <w:rPr>
          <w:rFonts w:ascii="Arial Black" w:hAnsi="Arial Black"/>
          <w:sz w:val="40"/>
          <w:szCs w:val="40"/>
        </w:rPr>
      </w:pPr>
      <w:r w:rsidRPr="00EF1133">
        <w:rPr>
          <w:rFonts w:ascii="Arial Black" w:hAnsi="Arial Black"/>
          <w:b/>
          <w:sz w:val="24"/>
          <w:szCs w:val="24"/>
        </w:rPr>
        <w:t>5-</w:t>
      </w:r>
      <w:r>
        <w:rPr>
          <w:rFonts w:ascii="Arial Black" w:hAnsi="Arial Black"/>
          <w:b/>
          <w:sz w:val="24"/>
          <w:szCs w:val="24"/>
        </w:rPr>
        <w:t>5</w:t>
      </w:r>
    </w:p>
    <w:p w14:paraId="55D3FF9A" w14:textId="35A3B6F2" w:rsidR="00F326E5" w:rsidRDefault="00F326E5" w:rsidP="00F326E5">
      <w:pPr>
        <w:pStyle w:val="NoSpacing"/>
        <w:rPr>
          <w:rFonts w:ascii="Arial Black" w:eastAsia="Times New Roman" w:hAnsi="Arial Black"/>
          <w:sz w:val="28"/>
          <w:szCs w:val="28"/>
        </w:rPr>
      </w:pPr>
      <w:bookmarkStart w:id="212" w:name="_Hlk7342692"/>
      <w:r>
        <w:rPr>
          <w:rFonts w:ascii="Arial Black" w:eastAsia="Times New Roman" w:hAnsi="Arial Black"/>
          <w:sz w:val="28"/>
          <w:szCs w:val="28"/>
        </w:rPr>
        <w:t>IL:  STATE IMMUNITY STATUTE PROTECTS PRIV. &amp; PUBLIC AMBULANCES – ONLY IF PATIENT ON BOARD</w:t>
      </w:r>
    </w:p>
    <w:p w14:paraId="12BBCED6" w14:textId="77777777" w:rsidR="009C4A80" w:rsidRDefault="00F326E5" w:rsidP="00F326E5">
      <w:pPr>
        <w:pStyle w:val="NoSpacing"/>
        <w:rPr>
          <w:rFonts w:ascii="Times New Roman" w:hAnsi="Times New Roman"/>
          <w:sz w:val="24"/>
          <w:szCs w:val="24"/>
        </w:rPr>
      </w:pPr>
      <w:r w:rsidRPr="009C4A80">
        <w:rPr>
          <w:rFonts w:ascii="Times New Roman" w:hAnsi="Times New Roman"/>
          <w:sz w:val="24"/>
          <w:szCs w:val="24"/>
        </w:rPr>
        <w:t xml:space="preserve">On Feb. 1, 2019, in </w:t>
      </w:r>
      <w:r w:rsidRPr="009C4A80">
        <w:rPr>
          <w:rFonts w:ascii="Times New Roman" w:hAnsi="Times New Roman"/>
          <w:sz w:val="24"/>
          <w:szCs w:val="24"/>
          <w:u w:val="single"/>
        </w:rPr>
        <w:t>Roberto Hernandez v. Lifeline Ambulance, LLC and Joshua M. Nicholas</w:t>
      </w:r>
      <w:r w:rsidRPr="009C4A80">
        <w:rPr>
          <w:rFonts w:ascii="Times New Roman" w:hAnsi="Times New Roman"/>
          <w:sz w:val="24"/>
          <w:szCs w:val="24"/>
        </w:rPr>
        <w:t>, the Appellate Court of Illinois (First District; Fifth Division) held (2 to 1):</w:t>
      </w:r>
    </w:p>
    <w:p w14:paraId="302F8D5A" w14:textId="77777777" w:rsidR="009C4A80" w:rsidRDefault="009C4A80" w:rsidP="00F326E5">
      <w:pPr>
        <w:pStyle w:val="NoSpacing"/>
        <w:rPr>
          <w:rFonts w:ascii="Times New Roman" w:hAnsi="Times New Roman"/>
          <w:sz w:val="24"/>
          <w:szCs w:val="24"/>
        </w:rPr>
      </w:pPr>
    </w:p>
    <w:p w14:paraId="41019EDF" w14:textId="2B4E75D6" w:rsidR="00F326E5" w:rsidRPr="009C4A80" w:rsidRDefault="00F326E5" w:rsidP="009C4A80">
      <w:pPr>
        <w:pStyle w:val="NoSpacing"/>
        <w:ind w:left="720"/>
        <w:rPr>
          <w:rFonts w:ascii="Times New Roman" w:eastAsia="Times New Roman" w:hAnsi="Times New Roman"/>
          <w:sz w:val="24"/>
          <w:szCs w:val="24"/>
        </w:rPr>
      </w:pPr>
      <w:r w:rsidRPr="009C4A80">
        <w:rPr>
          <w:rFonts w:ascii="Times New Roman" w:hAnsi="Times New Roman"/>
          <w:sz w:val="24"/>
          <w:szCs w:val="24"/>
        </w:rPr>
        <w:t xml:space="preserve">“As the ambulance driven by Nicholas was not transporting a patient to a health care facility at the time of the collision with the vehicle driven by the plaintiff, section 3.150(a) of the EMS Act does not provide Nicholas or Lifeline with immunity from liability for any negligent acts or omissions which proximately resulted in damages to the plaintiff. </w:t>
      </w:r>
      <w:hyperlink r:id="rId1025" w:history="1">
        <w:r w:rsidRPr="009C4A80">
          <w:rPr>
            <w:rStyle w:val="Hyperlink"/>
            <w:rFonts w:ascii="Times New Roman" w:hAnsi="Times New Roman"/>
            <w:sz w:val="24"/>
            <w:szCs w:val="24"/>
          </w:rPr>
          <w:t>https://cases.justia.com/illinois/court-of-appeals-first-appellate-district/2019-1-18-0696.pdf?ts=1549320383</w:t>
        </w:r>
      </w:hyperlink>
      <w:r w:rsidRPr="009C4A80">
        <w:rPr>
          <w:rFonts w:ascii="Times New Roman" w:hAnsi="Times New Roman"/>
          <w:bCs/>
          <w:sz w:val="24"/>
          <w:szCs w:val="24"/>
        </w:rPr>
        <w:t xml:space="preserve"> </w:t>
      </w:r>
    </w:p>
    <w:p w14:paraId="5A5A83F1" w14:textId="77777777" w:rsidR="009C4A80" w:rsidRDefault="009C4A80" w:rsidP="00F326E5">
      <w:pPr>
        <w:pStyle w:val="NoSpacing"/>
        <w:rPr>
          <w:rFonts w:ascii="Times New Roman" w:hAnsi="Times New Roman"/>
          <w:b/>
          <w:sz w:val="24"/>
          <w:szCs w:val="24"/>
        </w:rPr>
      </w:pPr>
    </w:p>
    <w:p w14:paraId="7638A860" w14:textId="7C0B58CC" w:rsidR="00F326E5" w:rsidRPr="009C4A80" w:rsidRDefault="00F326E5" w:rsidP="00F326E5">
      <w:pPr>
        <w:pStyle w:val="NoSpacing"/>
        <w:rPr>
          <w:rFonts w:ascii="Times New Roman" w:hAnsi="Times New Roman"/>
          <w:b/>
          <w:sz w:val="24"/>
          <w:szCs w:val="24"/>
        </w:rPr>
      </w:pPr>
      <w:r w:rsidRPr="009C4A80">
        <w:rPr>
          <w:rFonts w:ascii="Times New Roman" w:hAnsi="Times New Roman"/>
          <w:b/>
          <w:sz w:val="24"/>
          <w:szCs w:val="24"/>
        </w:rPr>
        <w:t xml:space="preserve">Legal Lessons Learned:  The Illinois immunity statute broadly includes non-emergency </w:t>
      </w:r>
      <w:proofErr w:type="gramStart"/>
      <w:r w:rsidRPr="009C4A80">
        <w:rPr>
          <w:rFonts w:ascii="Times New Roman" w:hAnsi="Times New Roman"/>
          <w:b/>
          <w:sz w:val="24"/>
          <w:szCs w:val="24"/>
        </w:rPr>
        <w:t>transports</w:t>
      </w:r>
      <w:proofErr w:type="gramEnd"/>
      <w:r w:rsidRPr="009C4A80">
        <w:rPr>
          <w:rFonts w:ascii="Times New Roman" w:hAnsi="Times New Roman"/>
          <w:b/>
          <w:sz w:val="24"/>
          <w:szCs w:val="24"/>
        </w:rPr>
        <w:t xml:space="preserve">, but not so broad as to cover driving ambulance to pick up a patient.  Hopefully the ambulance company’s private insurance will cover both the company and its </w:t>
      </w:r>
      <w:proofErr w:type="gramStart"/>
      <w:r w:rsidRPr="009C4A80">
        <w:rPr>
          <w:rFonts w:ascii="Times New Roman" w:hAnsi="Times New Roman"/>
          <w:b/>
          <w:sz w:val="24"/>
          <w:szCs w:val="24"/>
        </w:rPr>
        <w:t>employee</w:t>
      </w:r>
      <w:proofErr w:type="gramEnd"/>
      <w:r w:rsidRPr="009C4A80">
        <w:rPr>
          <w:rFonts w:ascii="Times New Roman" w:hAnsi="Times New Roman"/>
          <w:b/>
          <w:sz w:val="24"/>
          <w:szCs w:val="24"/>
        </w:rPr>
        <w:t>.</w:t>
      </w:r>
    </w:p>
    <w:p w14:paraId="0207FDBA" w14:textId="77777777" w:rsidR="00F326E5" w:rsidRPr="009C4A80" w:rsidRDefault="00F326E5" w:rsidP="00F326E5">
      <w:pPr>
        <w:pStyle w:val="NoSpacing"/>
        <w:rPr>
          <w:rFonts w:ascii="Times New Roman" w:hAnsi="Times New Roman"/>
          <w:sz w:val="24"/>
          <w:szCs w:val="24"/>
        </w:rPr>
      </w:pPr>
      <w:bookmarkStart w:id="213" w:name="_Hlk1297730"/>
      <w:bookmarkEnd w:id="212"/>
    </w:p>
    <w:p w14:paraId="61406979" w14:textId="77777777" w:rsidR="00EF1133" w:rsidRDefault="00EF1133" w:rsidP="00EF1133">
      <w:pPr>
        <w:rPr>
          <w:rFonts w:ascii="Arial Black" w:hAnsi="Arial Black"/>
          <w:b/>
          <w:sz w:val="24"/>
          <w:szCs w:val="24"/>
        </w:rPr>
      </w:pPr>
    </w:p>
    <w:p w14:paraId="69B573DF" w14:textId="2955F262" w:rsidR="00EF1133" w:rsidRPr="00EF1133" w:rsidRDefault="00EF1133" w:rsidP="00EF1133">
      <w:pPr>
        <w:rPr>
          <w:rFonts w:ascii="Arial Black" w:hAnsi="Arial Black"/>
          <w:b/>
          <w:sz w:val="24"/>
          <w:szCs w:val="24"/>
        </w:rPr>
      </w:pPr>
      <w:r w:rsidRPr="00EF1133">
        <w:rPr>
          <w:rFonts w:ascii="Arial Black" w:hAnsi="Arial Black"/>
          <w:b/>
          <w:sz w:val="24"/>
          <w:szCs w:val="24"/>
        </w:rPr>
        <w:t>5-</w:t>
      </w:r>
      <w:r>
        <w:rPr>
          <w:rFonts w:ascii="Arial Black" w:hAnsi="Arial Black"/>
          <w:b/>
          <w:sz w:val="24"/>
          <w:szCs w:val="24"/>
        </w:rPr>
        <w:t>4</w:t>
      </w:r>
    </w:p>
    <w:p w14:paraId="03DA6A01" w14:textId="36BF1ECD" w:rsidR="00F326E5" w:rsidRPr="00EA4270" w:rsidRDefault="00F326E5" w:rsidP="00F326E5">
      <w:pPr>
        <w:pStyle w:val="NoSpacing"/>
        <w:rPr>
          <w:rFonts w:ascii="Arial Black" w:hAnsi="Arial Black"/>
          <w:sz w:val="28"/>
          <w:szCs w:val="28"/>
        </w:rPr>
      </w:pPr>
      <w:bookmarkStart w:id="214" w:name="_Hlk7342728"/>
      <w:r>
        <w:rPr>
          <w:rFonts w:ascii="Arial Black" w:hAnsi="Arial Black"/>
          <w:sz w:val="28"/>
          <w:szCs w:val="28"/>
        </w:rPr>
        <w:t xml:space="preserve">OH: </w:t>
      </w:r>
      <w:r w:rsidR="00374417">
        <w:rPr>
          <w:rFonts w:ascii="Arial Black" w:hAnsi="Arial Black"/>
          <w:sz w:val="28"/>
          <w:szCs w:val="28"/>
        </w:rPr>
        <w:t>MAN</w:t>
      </w:r>
      <w:r w:rsidRPr="00EA4270">
        <w:rPr>
          <w:rFonts w:ascii="Arial Black" w:hAnsi="Arial Black"/>
          <w:sz w:val="28"/>
          <w:szCs w:val="28"/>
        </w:rPr>
        <w:t xml:space="preserve"> KILLED BY LOOSE FIRE HOSE –</w:t>
      </w:r>
      <w:r>
        <w:rPr>
          <w:rFonts w:ascii="Arial Black" w:hAnsi="Arial Black"/>
          <w:sz w:val="28"/>
          <w:szCs w:val="28"/>
        </w:rPr>
        <w:t xml:space="preserve"> NO </w:t>
      </w:r>
      <w:r w:rsidRPr="00EA4270">
        <w:rPr>
          <w:rFonts w:ascii="Arial Black" w:hAnsi="Arial Black"/>
          <w:sz w:val="28"/>
          <w:szCs w:val="28"/>
        </w:rPr>
        <w:t>WILLFUL OR WANTON MISCONDUCT / NFPA GUIDELINES</w:t>
      </w:r>
    </w:p>
    <w:p w14:paraId="4A95E4C3" w14:textId="77777777" w:rsidR="009C4A80" w:rsidRDefault="009C4A80" w:rsidP="00F326E5">
      <w:pPr>
        <w:pStyle w:val="NoSpacing"/>
        <w:rPr>
          <w:rFonts w:ascii="Times New Roman" w:hAnsi="Times New Roman"/>
          <w:sz w:val="24"/>
          <w:szCs w:val="24"/>
        </w:rPr>
      </w:pPr>
    </w:p>
    <w:p w14:paraId="6D21564B" w14:textId="7375E58D" w:rsidR="00F326E5" w:rsidRDefault="00F326E5" w:rsidP="00F326E5">
      <w:pPr>
        <w:pStyle w:val="NoSpacing"/>
        <w:rPr>
          <w:rFonts w:ascii="Times New Roman" w:hAnsi="Times New Roman"/>
          <w:bCs/>
          <w:sz w:val="24"/>
          <w:szCs w:val="24"/>
        </w:rPr>
      </w:pPr>
      <w:r w:rsidRPr="009C4A80">
        <w:rPr>
          <w:rFonts w:ascii="Times New Roman" w:hAnsi="Times New Roman"/>
          <w:sz w:val="24"/>
          <w:szCs w:val="24"/>
        </w:rPr>
        <w:t xml:space="preserve">On </w:t>
      </w:r>
      <w:bookmarkStart w:id="215" w:name="_Hlk39827597"/>
      <w:r w:rsidRPr="009C4A80">
        <w:rPr>
          <w:rFonts w:ascii="Times New Roman" w:hAnsi="Times New Roman"/>
          <w:sz w:val="24"/>
          <w:szCs w:val="24"/>
        </w:rPr>
        <w:t xml:space="preserve">Jan. 18, </w:t>
      </w:r>
      <w:proofErr w:type="gramStart"/>
      <w:r w:rsidRPr="009C4A80">
        <w:rPr>
          <w:rFonts w:ascii="Times New Roman" w:hAnsi="Times New Roman"/>
          <w:sz w:val="24"/>
          <w:szCs w:val="24"/>
        </w:rPr>
        <w:t>2019</w:t>
      </w:r>
      <w:proofErr w:type="gramEnd"/>
      <w:r w:rsidRPr="009C4A80">
        <w:rPr>
          <w:rFonts w:ascii="Times New Roman" w:hAnsi="Times New Roman"/>
          <w:sz w:val="24"/>
          <w:szCs w:val="24"/>
        </w:rPr>
        <w:t xml:space="preserve"> in </w:t>
      </w:r>
      <w:r w:rsidRPr="009C4A80">
        <w:rPr>
          <w:rFonts w:ascii="Times New Roman" w:hAnsi="Times New Roman"/>
          <w:sz w:val="24"/>
          <w:szCs w:val="24"/>
          <w:u w:val="single"/>
        </w:rPr>
        <w:t>Linda H. Ogburn, etc., Appellant, v. City of Toledo</w:t>
      </w:r>
      <w:bookmarkEnd w:id="215"/>
      <w:r w:rsidRPr="009C4A80">
        <w:rPr>
          <w:rFonts w:ascii="Times New Roman" w:hAnsi="Times New Roman"/>
          <w:sz w:val="24"/>
          <w:szCs w:val="24"/>
        </w:rPr>
        <w:t xml:space="preserve">, Appellee., </w:t>
      </w:r>
      <w:r w:rsidRPr="009C4A80">
        <w:rPr>
          <w:rFonts w:ascii="Times New Roman" w:hAnsi="Times New Roman"/>
          <w:bCs/>
          <w:sz w:val="24"/>
          <w:szCs w:val="24"/>
        </w:rPr>
        <w:t>Court of Appeals of Ohio, Sixth District, Lucas County:</w:t>
      </w:r>
    </w:p>
    <w:p w14:paraId="0CF454D3" w14:textId="77777777" w:rsidR="009C4A80" w:rsidRPr="009C4A80" w:rsidRDefault="009C4A80" w:rsidP="00F326E5">
      <w:pPr>
        <w:pStyle w:val="NoSpacing"/>
        <w:rPr>
          <w:rFonts w:ascii="Times New Roman" w:hAnsi="Times New Roman"/>
          <w:sz w:val="24"/>
          <w:szCs w:val="24"/>
        </w:rPr>
      </w:pPr>
    </w:p>
    <w:p w14:paraId="32F86259" w14:textId="77777777" w:rsidR="00F326E5" w:rsidRPr="009C4A80" w:rsidRDefault="00F326E5" w:rsidP="00F326E5">
      <w:pPr>
        <w:pStyle w:val="NoSpacing"/>
        <w:ind w:left="720"/>
        <w:rPr>
          <w:rFonts w:ascii="Times New Roman" w:hAnsi="Times New Roman"/>
          <w:sz w:val="24"/>
          <w:szCs w:val="24"/>
        </w:rPr>
      </w:pPr>
      <w:r w:rsidRPr="009C4A80">
        <w:rPr>
          <w:rFonts w:ascii="Times New Roman" w:hAnsi="Times New Roman"/>
          <w:sz w:val="24"/>
          <w:szCs w:val="24"/>
        </w:rPr>
        <w:lastRenderedPageBreak/>
        <w:t xml:space="preserve">“The evidence contained in the record by way of deposition testimony reveals that the city removed the safety nets on its fire engines to facilitate firefighter safety, based upon incidents in which TFRD firefighters were tripped by the nets when they were attempting to utilize fire hoses. According to TFRD's fire maintenance officer, the nets also slowed down firefighting efforts that are time-sensitive in nature. As a result, TFRD decided to remove the safety nets and install holsters in their place. The holsters that were installed eliminated the trip hazard presented by the nets, while at the same time facilitating expedient use of the fire hoses. Since the nets were removed and the holsters installed, the city has safely completed over one million runs without a fire hose coming loose from a fire engine. To us, the fact that over one million runs have taken place without incident demonstrates that injury to others does not ordinarily follow from the removal of safety nets and installation of the </w:t>
      </w:r>
      <w:proofErr w:type="gramStart"/>
      <w:r w:rsidRPr="009C4A80">
        <w:rPr>
          <w:rFonts w:ascii="Times New Roman" w:hAnsi="Times New Roman"/>
          <w:sz w:val="24"/>
          <w:szCs w:val="24"/>
        </w:rPr>
        <w:t>holsters.”</w:t>
      </w:r>
      <w:proofErr w:type="gramEnd"/>
    </w:p>
    <w:bookmarkStart w:id="216" w:name="_Hlk39827619"/>
    <w:p w14:paraId="7DE1C7C5" w14:textId="68775843" w:rsidR="00F326E5" w:rsidRPr="009C4A80" w:rsidRDefault="00374417" w:rsidP="009C4A80">
      <w:pPr>
        <w:pStyle w:val="NoSpacing"/>
        <w:ind w:left="720"/>
        <w:rPr>
          <w:rFonts w:ascii="Times New Roman" w:hAnsi="Times New Roman"/>
          <w:sz w:val="24"/>
          <w:szCs w:val="24"/>
        </w:rPr>
      </w:pPr>
      <w:r>
        <w:fldChar w:fldCharType="begin"/>
      </w:r>
      <w:r>
        <w:instrText xml:space="preserve"> HYPERLINK "https://scholar.google.com/scholar_case?case=11320550123465325906&amp;hl=en&amp;as_sdt=6&amp;as_vis=1&amp;oi=scholarr" </w:instrText>
      </w:r>
      <w:r>
        <w:fldChar w:fldCharType="separate"/>
      </w:r>
      <w:r w:rsidR="009C4A80" w:rsidRPr="002F304C">
        <w:rPr>
          <w:rStyle w:val="Hyperlink"/>
          <w:rFonts w:ascii="Times New Roman" w:hAnsi="Times New Roman"/>
          <w:sz w:val="24"/>
          <w:szCs w:val="24"/>
        </w:rPr>
        <w:t>https://scholar.google.com/scholar_case?case=11320550123465325906&amp;hl=en&amp;as_sdt=6&amp;as_vis=1&amp;oi=scholarr</w:t>
      </w:r>
      <w:r>
        <w:rPr>
          <w:rStyle w:val="Hyperlink"/>
          <w:rFonts w:ascii="Times New Roman" w:hAnsi="Times New Roman"/>
          <w:sz w:val="24"/>
          <w:szCs w:val="24"/>
        </w:rPr>
        <w:fldChar w:fldCharType="end"/>
      </w:r>
      <w:r w:rsidR="00F326E5" w:rsidRPr="009C4A80">
        <w:rPr>
          <w:rFonts w:ascii="Times New Roman" w:hAnsi="Times New Roman"/>
          <w:sz w:val="24"/>
          <w:szCs w:val="24"/>
        </w:rPr>
        <w:t xml:space="preserve"> </w:t>
      </w:r>
    </w:p>
    <w:bookmarkEnd w:id="213"/>
    <w:bookmarkEnd w:id="216"/>
    <w:p w14:paraId="4BA6D9D4" w14:textId="77777777" w:rsidR="009C4A80" w:rsidRDefault="009C4A80" w:rsidP="00F326E5">
      <w:pPr>
        <w:pStyle w:val="NoSpacing"/>
        <w:rPr>
          <w:rFonts w:ascii="Times New Roman" w:hAnsi="Times New Roman"/>
          <w:b/>
          <w:sz w:val="24"/>
          <w:szCs w:val="24"/>
        </w:rPr>
      </w:pPr>
    </w:p>
    <w:p w14:paraId="59B9CFCB" w14:textId="1466ED35" w:rsidR="00F326E5" w:rsidRPr="009C4A80" w:rsidRDefault="00F326E5" w:rsidP="00F326E5">
      <w:pPr>
        <w:pStyle w:val="NoSpacing"/>
        <w:rPr>
          <w:rFonts w:ascii="Times New Roman" w:hAnsi="Times New Roman"/>
          <w:b/>
          <w:sz w:val="24"/>
          <w:szCs w:val="24"/>
        </w:rPr>
      </w:pPr>
      <w:r w:rsidRPr="009C4A80">
        <w:rPr>
          <w:rFonts w:ascii="Times New Roman" w:hAnsi="Times New Roman"/>
          <w:b/>
          <w:sz w:val="24"/>
          <w:szCs w:val="24"/>
        </w:rPr>
        <w:t xml:space="preserve">Legal Lessons Learned:  Secure your fire hoses; avoid similar tragedies. </w:t>
      </w:r>
    </w:p>
    <w:p w14:paraId="48658912" w14:textId="5650516E" w:rsidR="00F326E5" w:rsidRPr="009C4A80" w:rsidRDefault="00F326E5" w:rsidP="00F326E5">
      <w:pPr>
        <w:pStyle w:val="NoSpacing"/>
        <w:ind w:left="720"/>
        <w:rPr>
          <w:rFonts w:ascii="Times New Roman" w:hAnsi="Times New Roman"/>
          <w:sz w:val="24"/>
          <w:szCs w:val="24"/>
        </w:rPr>
      </w:pPr>
      <w:bookmarkStart w:id="217" w:name="_Hlk39827460"/>
      <w:bookmarkStart w:id="218" w:name="_Hlk1297666"/>
      <w:r w:rsidRPr="009C4A80">
        <w:rPr>
          <w:rFonts w:ascii="Times New Roman" w:hAnsi="Times New Roman"/>
          <w:sz w:val="24"/>
          <w:szCs w:val="24"/>
        </w:rPr>
        <w:t xml:space="preserve">See also March 7, </w:t>
      </w:r>
      <w:proofErr w:type="gramStart"/>
      <w:r w:rsidRPr="009C4A80">
        <w:rPr>
          <w:rFonts w:ascii="Times New Roman" w:hAnsi="Times New Roman"/>
          <w:sz w:val="24"/>
          <w:szCs w:val="24"/>
        </w:rPr>
        <w:t>2017</w:t>
      </w:r>
      <w:proofErr w:type="gramEnd"/>
      <w:r w:rsidRPr="009C4A80">
        <w:rPr>
          <w:rFonts w:ascii="Times New Roman" w:hAnsi="Times New Roman"/>
          <w:sz w:val="24"/>
          <w:szCs w:val="24"/>
        </w:rPr>
        <w:t xml:space="preserve"> article: “Hose Alert: A Firefighter's Commonsense Solution to a Serious Problem.” </w:t>
      </w:r>
      <w:hyperlink r:id="rId1026" w:history="1">
        <w:r w:rsidRPr="009C4A80">
          <w:rPr>
            <w:rStyle w:val="Hyperlink"/>
            <w:rFonts w:ascii="Times New Roman" w:hAnsi="Times New Roman"/>
            <w:sz w:val="24"/>
            <w:szCs w:val="24"/>
          </w:rPr>
          <w:t>https://www.fireapparatusmagazine.com/articles/print/volume-22/issue-3/features/hose-alert-a-firefighter-s-commonsense-solution-to-a-serious-problem.html</w:t>
        </w:r>
      </w:hyperlink>
      <w:r w:rsidRPr="009C4A80">
        <w:rPr>
          <w:rFonts w:ascii="Times New Roman" w:hAnsi="Times New Roman"/>
          <w:sz w:val="24"/>
          <w:szCs w:val="24"/>
        </w:rPr>
        <w:t xml:space="preserve">  </w:t>
      </w:r>
    </w:p>
    <w:bookmarkEnd w:id="217"/>
    <w:p w14:paraId="4EFD87C4" w14:textId="77777777" w:rsidR="009C4A80" w:rsidRDefault="009C4A80" w:rsidP="00F326E5">
      <w:pPr>
        <w:pStyle w:val="NoSpacing"/>
        <w:ind w:left="720" w:firstLine="720"/>
        <w:rPr>
          <w:rFonts w:ascii="Times New Roman" w:hAnsi="Times New Roman"/>
          <w:sz w:val="24"/>
          <w:szCs w:val="24"/>
        </w:rPr>
      </w:pPr>
    </w:p>
    <w:p w14:paraId="7A4847B6" w14:textId="6250C0B3" w:rsidR="00F326E5" w:rsidRPr="009C4A80" w:rsidRDefault="00F326E5" w:rsidP="009C4A80">
      <w:pPr>
        <w:pStyle w:val="NoSpacing"/>
        <w:ind w:left="720"/>
        <w:rPr>
          <w:rFonts w:ascii="Times New Roman" w:hAnsi="Times New Roman"/>
          <w:sz w:val="24"/>
          <w:szCs w:val="24"/>
        </w:rPr>
      </w:pPr>
      <w:bookmarkStart w:id="219" w:name="_Hlk39827520"/>
      <w:r w:rsidRPr="009C4A80">
        <w:rPr>
          <w:rFonts w:ascii="Times New Roman" w:hAnsi="Times New Roman"/>
          <w:sz w:val="24"/>
          <w:szCs w:val="24"/>
        </w:rPr>
        <w:t xml:space="preserve">See also Jan. 29, </w:t>
      </w:r>
      <w:proofErr w:type="gramStart"/>
      <w:r w:rsidRPr="009C4A80">
        <w:rPr>
          <w:rFonts w:ascii="Times New Roman" w:hAnsi="Times New Roman"/>
          <w:sz w:val="24"/>
          <w:szCs w:val="24"/>
        </w:rPr>
        <w:t>2010</w:t>
      </w:r>
      <w:proofErr w:type="gramEnd"/>
      <w:r w:rsidRPr="009C4A80">
        <w:rPr>
          <w:rFonts w:ascii="Times New Roman" w:hAnsi="Times New Roman"/>
          <w:sz w:val="24"/>
          <w:szCs w:val="24"/>
        </w:rPr>
        <w:t xml:space="preserve"> article from MA: “Woman struck by flailing fire hose dies.” </w:t>
      </w:r>
      <w:hyperlink r:id="rId1027" w:history="1">
        <w:r w:rsidRPr="009C4A80">
          <w:rPr>
            <w:rStyle w:val="Hyperlink"/>
            <w:rFonts w:ascii="Times New Roman" w:hAnsi="Times New Roman"/>
            <w:sz w:val="24"/>
            <w:szCs w:val="24"/>
          </w:rPr>
          <w:t>http://www.cnn.com/2010/US/01/29/massachusetts.fire.hose.deaths/index.html</w:t>
        </w:r>
      </w:hyperlink>
      <w:r w:rsidRPr="009C4A80">
        <w:rPr>
          <w:rFonts w:ascii="Times New Roman" w:hAnsi="Times New Roman"/>
          <w:sz w:val="24"/>
          <w:szCs w:val="24"/>
        </w:rPr>
        <w:t xml:space="preserve"> </w:t>
      </w:r>
    </w:p>
    <w:p w14:paraId="41F3F898" w14:textId="77777777" w:rsidR="00F326E5" w:rsidRPr="009C4A80" w:rsidRDefault="00F326E5" w:rsidP="00F326E5">
      <w:pPr>
        <w:pStyle w:val="NoSpacing"/>
        <w:ind w:left="720"/>
        <w:rPr>
          <w:rFonts w:ascii="Times New Roman" w:hAnsi="Times New Roman"/>
          <w:sz w:val="24"/>
          <w:szCs w:val="24"/>
        </w:rPr>
      </w:pPr>
      <w:r w:rsidRPr="009C4A80">
        <w:rPr>
          <w:rFonts w:ascii="Times New Roman" w:hAnsi="Times New Roman"/>
          <w:sz w:val="24"/>
          <w:szCs w:val="24"/>
        </w:rPr>
        <w:t xml:space="preserve">See also Sept. 15, </w:t>
      </w:r>
      <w:proofErr w:type="gramStart"/>
      <w:r w:rsidRPr="009C4A80">
        <w:rPr>
          <w:rFonts w:ascii="Times New Roman" w:hAnsi="Times New Roman"/>
          <w:sz w:val="24"/>
          <w:szCs w:val="24"/>
        </w:rPr>
        <w:t>2006</w:t>
      </w:r>
      <w:proofErr w:type="gramEnd"/>
      <w:r w:rsidRPr="009C4A80">
        <w:rPr>
          <w:rFonts w:ascii="Times New Roman" w:hAnsi="Times New Roman"/>
          <w:sz w:val="24"/>
          <w:szCs w:val="24"/>
        </w:rPr>
        <w:t xml:space="preserve"> article from PA: “Jury awards $5 million to families in fire hose accident.” </w:t>
      </w:r>
      <w:hyperlink r:id="rId1028" w:history="1">
        <w:r w:rsidRPr="009C4A80">
          <w:rPr>
            <w:rStyle w:val="Hyperlink"/>
            <w:rFonts w:ascii="Times New Roman" w:hAnsi="Times New Roman"/>
            <w:sz w:val="24"/>
            <w:szCs w:val="24"/>
          </w:rPr>
          <w:t>https://www.post-gazette.com/local/west/2006/09/15/Jury-awards-5-million-to-families-in-fire-hose-accident/stories/200609150169</w:t>
        </w:r>
      </w:hyperlink>
      <w:bookmarkEnd w:id="219"/>
      <w:r w:rsidRPr="009C4A80">
        <w:rPr>
          <w:rFonts w:ascii="Times New Roman" w:hAnsi="Times New Roman"/>
          <w:sz w:val="24"/>
          <w:szCs w:val="24"/>
        </w:rPr>
        <w:t xml:space="preserve"> </w:t>
      </w:r>
    </w:p>
    <w:bookmarkEnd w:id="218"/>
    <w:p w14:paraId="4794B337" w14:textId="77777777" w:rsidR="00F326E5" w:rsidRPr="009C4A80" w:rsidRDefault="00F326E5" w:rsidP="00F326E5">
      <w:pPr>
        <w:pStyle w:val="NoSpacing"/>
        <w:rPr>
          <w:rFonts w:ascii="Times New Roman" w:hAnsi="Times New Roman"/>
          <w:sz w:val="24"/>
          <w:szCs w:val="24"/>
        </w:rPr>
      </w:pPr>
    </w:p>
    <w:p w14:paraId="2EAC1036" w14:textId="77777777" w:rsidR="00F326E5" w:rsidRPr="009C4A80" w:rsidRDefault="00F326E5" w:rsidP="00F326E5">
      <w:pPr>
        <w:ind w:left="720"/>
        <w:rPr>
          <w:rFonts w:ascii="Times New Roman" w:eastAsia="Times New Roman" w:hAnsi="Times New Roman"/>
          <w:sz w:val="24"/>
          <w:szCs w:val="24"/>
        </w:rPr>
      </w:pPr>
      <w:bookmarkStart w:id="220" w:name="_Hlk1297617"/>
      <w:r w:rsidRPr="009C4A80">
        <w:rPr>
          <w:rFonts w:ascii="Times New Roman" w:eastAsia="Times New Roman" w:hAnsi="Times New Roman"/>
          <w:sz w:val="24"/>
          <w:szCs w:val="24"/>
        </w:rPr>
        <w:t xml:space="preserve">Note: Ohio public employees are protected by indemnification statute they acted in “good faith.” Ohio Revised Code 2744.07: “The political subdivision has the duty to defend the employee if the act or omission occurred while the employee was acting both in good faith and not manifestly outside the scope of employment or official responsibilities. *** Except as otherwise provided in this division, a political subdivision shall indemnify and hold harmless an employee in the amount of any judgment, other than a judgment for punitive or exemplary damages, that is obtained against the employee in a state or federal court or as a result of a law of a foreign jurisdiction and that is for damages for injury, death, or loss to person or property caused by an act or omission in connection with a governmental or proprietary function, if at the time of the act or omission the employee was acting in good faith and within the scope of employment or official responsibilities.”  </w:t>
      </w:r>
      <w:hyperlink r:id="rId1029" w:history="1">
        <w:r w:rsidRPr="009C4A80">
          <w:rPr>
            <w:rStyle w:val="Hyperlink"/>
            <w:rFonts w:ascii="Times New Roman" w:hAnsi="Times New Roman"/>
            <w:sz w:val="24"/>
            <w:szCs w:val="24"/>
          </w:rPr>
          <w:t>http://codes.ohio.gov/orc/2744.07</w:t>
        </w:r>
      </w:hyperlink>
      <w:r w:rsidRPr="009C4A80">
        <w:rPr>
          <w:rFonts w:ascii="Times New Roman" w:eastAsia="Times New Roman" w:hAnsi="Times New Roman"/>
          <w:sz w:val="24"/>
          <w:szCs w:val="24"/>
        </w:rPr>
        <w:t xml:space="preserve"> </w:t>
      </w:r>
    </w:p>
    <w:p w14:paraId="19F6A92F" w14:textId="77777777" w:rsidR="00F326E5" w:rsidRPr="009C4A80" w:rsidRDefault="00F326E5" w:rsidP="00F326E5">
      <w:pPr>
        <w:ind w:left="720"/>
        <w:rPr>
          <w:rFonts w:ascii="Times New Roman" w:eastAsia="Times New Roman" w:hAnsi="Times New Roman"/>
          <w:sz w:val="24"/>
          <w:szCs w:val="24"/>
        </w:rPr>
      </w:pPr>
      <w:r w:rsidRPr="009C4A80">
        <w:rPr>
          <w:rFonts w:ascii="Times New Roman" w:eastAsia="Times New Roman" w:hAnsi="Times New Roman"/>
          <w:sz w:val="24"/>
          <w:szCs w:val="24"/>
        </w:rPr>
        <w:t xml:space="preserve">Likewise, “reckless” driving by fire or EMS can lead to personal liability if case is not settled by the political subdivision. In Anderson v. Massillon, involving aerial truck killing elderly driver and his grandson, the Ohio Supreme Court in 2012 held that the aerial driver and the </w:t>
      </w:r>
      <w:proofErr w:type="gramStart"/>
      <w:r w:rsidRPr="009C4A80">
        <w:rPr>
          <w:rFonts w:ascii="Times New Roman" w:eastAsia="Times New Roman" w:hAnsi="Times New Roman"/>
          <w:sz w:val="24"/>
          <w:szCs w:val="24"/>
        </w:rPr>
        <w:t>Captain</w:t>
      </w:r>
      <w:proofErr w:type="gramEnd"/>
      <w:r w:rsidRPr="009C4A80">
        <w:rPr>
          <w:rFonts w:ascii="Times New Roman" w:eastAsia="Times New Roman" w:hAnsi="Times New Roman"/>
          <w:sz w:val="24"/>
          <w:szCs w:val="24"/>
        </w:rPr>
        <w:t xml:space="preserve"> were not entitled to immunity, but the </w:t>
      </w:r>
      <w:proofErr w:type="gramStart"/>
      <w:r w:rsidRPr="009C4A80">
        <w:rPr>
          <w:rFonts w:ascii="Times New Roman" w:eastAsia="Times New Roman" w:hAnsi="Times New Roman"/>
          <w:sz w:val="24"/>
          <w:szCs w:val="24"/>
        </w:rPr>
        <w:t>City</w:t>
      </w:r>
      <w:proofErr w:type="gramEnd"/>
      <w:r w:rsidRPr="009C4A80">
        <w:rPr>
          <w:rFonts w:ascii="Times New Roman" w:eastAsia="Times New Roman" w:hAnsi="Times New Roman"/>
          <w:sz w:val="24"/>
          <w:szCs w:val="24"/>
        </w:rPr>
        <w:t xml:space="preserve"> was immune. See video from scene: </w:t>
      </w:r>
      <w:hyperlink r:id="rId1030" w:history="1">
        <w:r w:rsidRPr="009C4A80">
          <w:rPr>
            <w:rStyle w:val="Hyperlink"/>
            <w:rFonts w:ascii="Times New Roman" w:hAnsi="Times New Roman"/>
            <w:sz w:val="24"/>
            <w:szCs w:val="24"/>
          </w:rPr>
          <w:t>https://www.youtube.com/watch?v=ga_vHeGYQ34</w:t>
        </w:r>
      </w:hyperlink>
      <w:r w:rsidRPr="009C4A80">
        <w:rPr>
          <w:rFonts w:ascii="Times New Roman" w:eastAsia="Times New Roman" w:hAnsi="Times New Roman"/>
          <w:sz w:val="24"/>
          <w:szCs w:val="24"/>
        </w:rPr>
        <w:t xml:space="preserve"> </w:t>
      </w:r>
    </w:p>
    <w:p w14:paraId="26C52114" w14:textId="77777777" w:rsidR="00F326E5" w:rsidRPr="009C4A80" w:rsidRDefault="00F326E5" w:rsidP="00F326E5">
      <w:pPr>
        <w:ind w:left="720"/>
        <w:rPr>
          <w:rFonts w:ascii="Times New Roman" w:eastAsia="Times New Roman" w:hAnsi="Times New Roman"/>
          <w:sz w:val="24"/>
          <w:szCs w:val="24"/>
        </w:rPr>
      </w:pPr>
      <w:r w:rsidRPr="009C4A80">
        <w:rPr>
          <w:rFonts w:ascii="Times New Roman" w:eastAsia="Times New Roman" w:hAnsi="Times New Roman"/>
          <w:sz w:val="24"/>
          <w:szCs w:val="24"/>
        </w:rPr>
        <w:t xml:space="preserve">The Supreme Court held: “R.C. 2744.02(B)(1)(b) provides a political subdivision with a full defense to liability for injuries caused by the operation of a fire department vehicle while engaged in duty at a fire, proceeding toward a place where a fire is in progress or is believed to be in progress, or answering any other emergency alarm if its operation does not constitute willful or wanton misconduct. R.C. 2744.03(A)(6)(b) provides immunity to employees of a political subdivision for acts that are not committed in a wanton or reckless manner.” </w:t>
      </w:r>
      <w:hyperlink r:id="rId1031" w:history="1">
        <w:r w:rsidRPr="009C4A80">
          <w:rPr>
            <w:rStyle w:val="Hyperlink"/>
            <w:rFonts w:ascii="Times New Roman" w:hAnsi="Times New Roman"/>
            <w:sz w:val="24"/>
            <w:szCs w:val="24"/>
          </w:rPr>
          <w:t>http://www.legallyspeakingohio.com/wordpress/wp-content/uploads/2013/03/anderson-v-massilon.pdf</w:t>
        </w:r>
      </w:hyperlink>
      <w:r w:rsidRPr="009C4A80">
        <w:rPr>
          <w:rFonts w:ascii="Times New Roman" w:eastAsia="Times New Roman" w:hAnsi="Times New Roman"/>
          <w:sz w:val="24"/>
          <w:szCs w:val="24"/>
        </w:rPr>
        <w:t xml:space="preserve"> </w:t>
      </w:r>
    </w:p>
    <w:p w14:paraId="7392CE29" w14:textId="77777777" w:rsidR="00F326E5" w:rsidRPr="009C4A80" w:rsidRDefault="00F326E5" w:rsidP="00F326E5">
      <w:pPr>
        <w:ind w:left="720"/>
        <w:rPr>
          <w:rFonts w:ascii="Times New Roman" w:eastAsia="Times New Roman" w:hAnsi="Times New Roman"/>
          <w:sz w:val="24"/>
          <w:szCs w:val="24"/>
        </w:rPr>
      </w:pPr>
      <w:r w:rsidRPr="009C4A80">
        <w:rPr>
          <w:rFonts w:ascii="Times New Roman" w:eastAsia="Times New Roman" w:hAnsi="Times New Roman"/>
          <w:sz w:val="24"/>
          <w:szCs w:val="24"/>
        </w:rPr>
        <w:lastRenderedPageBreak/>
        <w:t xml:space="preserve">Case was settled by the </w:t>
      </w:r>
      <w:proofErr w:type="gramStart"/>
      <w:r w:rsidRPr="009C4A80">
        <w:rPr>
          <w:rFonts w:ascii="Times New Roman" w:eastAsia="Times New Roman" w:hAnsi="Times New Roman"/>
          <w:sz w:val="24"/>
          <w:szCs w:val="24"/>
        </w:rPr>
        <w:t>City</w:t>
      </w:r>
      <w:proofErr w:type="gramEnd"/>
      <w:r w:rsidRPr="009C4A80">
        <w:rPr>
          <w:rFonts w:ascii="Times New Roman" w:eastAsia="Times New Roman" w:hAnsi="Times New Roman"/>
          <w:sz w:val="24"/>
          <w:szCs w:val="24"/>
        </w:rPr>
        <w:t xml:space="preserve"> in 2008 for $362,000: </w:t>
      </w:r>
      <w:hyperlink r:id="rId1032" w:history="1">
        <w:r w:rsidRPr="009C4A80">
          <w:rPr>
            <w:rStyle w:val="Hyperlink"/>
            <w:rFonts w:ascii="Times New Roman" w:hAnsi="Times New Roman"/>
            <w:sz w:val="24"/>
            <w:szCs w:val="24"/>
          </w:rPr>
          <w:t>http://www.cantonrep.com/news/20160713/massillon-family-awarded-362k-in-2008-firetruck-crash-settlement</w:t>
        </w:r>
      </w:hyperlink>
    </w:p>
    <w:bookmarkEnd w:id="214"/>
    <w:bookmarkEnd w:id="220"/>
    <w:p w14:paraId="6665C7F8" w14:textId="77777777" w:rsidR="00EF1133" w:rsidRPr="009C4A80" w:rsidRDefault="00EF1133" w:rsidP="00EF1133">
      <w:pPr>
        <w:rPr>
          <w:rFonts w:ascii="Times New Roman" w:hAnsi="Times New Roman"/>
          <w:b/>
          <w:sz w:val="24"/>
          <w:szCs w:val="24"/>
        </w:rPr>
      </w:pPr>
    </w:p>
    <w:p w14:paraId="61FBE930" w14:textId="104FF48F" w:rsidR="00F326E5" w:rsidRPr="009F2867" w:rsidRDefault="00EF1133" w:rsidP="00EF1133">
      <w:pPr>
        <w:rPr>
          <w:bCs/>
        </w:rPr>
      </w:pPr>
      <w:r w:rsidRPr="00EF1133">
        <w:rPr>
          <w:rFonts w:ascii="Arial Black" w:hAnsi="Arial Black"/>
          <w:b/>
          <w:sz w:val="24"/>
          <w:szCs w:val="24"/>
        </w:rPr>
        <w:t>5-</w:t>
      </w:r>
      <w:r>
        <w:rPr>
          <w:rFonts w:ascii="Arial Black" w:hAnsi="Arial Black"/>
          <w:b/>
          <w:sz w:val="24"/>
          <w:szCs w:val="24"/>
        </w:rPr>
        <w:t>3</w:t>
      </w:r>
    </w:p>
    <w:p w14:paraId="182DBEAA" w14:textId="0AE6B069" w:rsidR="00F326E5" w:rsidRDefault="00F326E5" w:rsidP="00F326E5">
      <w:pPr>
        <w:pStyle w:val="NoSpacing"/>
        <w:rPr>
          <w:rFonts w:ascii="Arial Black" w:hAnsi="Arial Black"/>
          <w:b/>
          <w:sz w:val="28"/>
          <w:szCs w:val="28"/>
        </w:rPr>
      </w:pPr>
      <w:bookmarkStart w:id="221" w:name="_Hlk7342765"/>
      <w:r w:rsidRPr="006A0855">
        <w:rPr>
          <w:rFonts w:ascii="Arial Black" w:hAnsi="Arial Black"/>
          <w:b/>
          <w:sz w:val="28"/>
          <w:szCs w:val="28"/>
        </w:rPr>
        <w:t>CA: DRUNK DRIVER RAN INTO FIRE ENGINE – MUST PAY FULL RESTITUTION, EVEN IF FD INSUR</w:t>
      </w:r>
      <w:r>
        <w:rPr>
          <w:rFonts w:ascii="Arial Black" w:hAnsi="Arial Black"/>
          <w:b/>
          <w:sz w:val="28"/>
          <w:szCs w:val="28"/>
        </w:rPr>
        <w:t xml:space="preserve">ED </w:t>
      </w:r>
    </w:p>
    <w:p w14:paraId="2DF84CA3" w14:textId="03776433" w:rsidR="00F326E5" w:rsidRPr="00F86024" w:rsidRDefault="00F326E5" w:rsidP="00F326E5">
      <w:pPr>
        <w:pStyle w:val="NoSpacing"/>
        <w:rPr>
          <w:b/>
          <w:sz w:val="24"/>
          <w:szCs w:val="24"/>
        </w:rPr>
      </w:pPr>
    </w:p>
    <w:p w14:paraId="39D7850A" w14:textId="77777777" w:rsidR="009C4A80" w:rsidRDefault="00F326E5" w:rsidP="00F326E5">
      <w:pPr>
        <w:pStyle w:val="NoSpacing"/>
        <w:rPr>
          <w:rFonts w:ascii="Times New Roman" w:hAnsi="Times New Roman"/>
          <w:sz w:val="24"/>
          <w:szCs w:val="24"/>
        </w:rPr>
      </w:pPr>
      <w:r w:rsidRPr="009C4A80">
        <w:rPr>
          <w:rFonts w:ascii="Times New Roman" w:hAnsi="Times New Roman"/>
          <w:sz w:val="24"/>
          <w:szCs w:val="24"/>
        </w:rPr>
        <w:t xml:space="preserve">On Jan. 15, 2019, in </w:t>
      </w:r>
      <w:r w:rsidRPr="009C4A80">
        <w:rPr>
          <w:rFonts w:ascii="Times New Roman" w:hAnsi="Times New Roman"/>
          <w:bCs/>
          <w:sz w:val="24"/>
          <w:szCs w:val="24"/>
          <w:u w:val="single"/>
        </w:rPr>
        <w:t>The People v. Christian A. Zuniga,</w:t>
      </w:r>
      <w:r w:rsidRPr="009C4A80">
        <w:rPr>
          <w:rFonts w:ascii="Times New Roman" w:hAnsi="Times New Roman"/>
          <w:bCs/>
          <w:sz w:val="24"/>
          <w:szCs w:val="24"/>
        </w:rPr>
        <w:t xml:space="preserve"> the Court of Appeal of California, First Appellate District, held 3 to 0 [unpublished opinion], </w:t>
      </w:r>
      <w:r w:rsidRPr="009C4A80">
        <w:rPr>
          <w:rFonts w:ascii="Times New Roman" w:hAnsi="Times New Roman"/>
          <w:sz w:val="24"/>
          <w:szCs w:val="24"/>
        </w:rPr>
        <w:t> </w:t>
      </w:r>
    </w:p>
    <w:p w14:paraId="51FC80C0" w14:textId="77777777" w:rsidR="009C4A80" w:rsidRDefault="009C4A80" w:rsidP="00F326E5">
      <w:pPr>
        <w:pStyle w:val="NoSpacing"/>
        <w:rPr>
          <w:rFonts w:ascii="Times New Roman" w:hAnsi="Times New Roman"/>
          <w:sz w:val="24"/>
          <w:szCs w:val="24"/>
        </w:rPr>
      </w:pPr>
    </w:p>
    <w:p w14:paraId="29A0CAA1" w14:textId="1C17A408" w:rsidR="00F326E5" w:rsidRPr="009C4A80" w:rsidRDefault="00F326E5" w:rsidP="009C4A80">
      <w:pPr>
        <w:pStyle w:val="NoSpacing"/>
        <w:ind w:left="720"/>
        <w:rPr>
          <w:rFonts w:ascii="Times New Roman" w:hAnsi="Times New Roman"/>
          <w:sz w:val="24"/>
          <w:szCs w:val="24"/>
        </w:rPr>
      </w:pPr>
      <w:r w:rsidRPr="009C4A80">
        <w:rPr>
          <w:rFonts w:ascii="Times New Roman" w:hAnsi="Times New Roman"/>
          <w:sz w:val="24"/>
          <w:szCs w:val="24"/>
        </w:rPr>
        <w:t xml:space="preserve">“We have carefully reviewed the entire record in accordance with our </w:t>
      </w:r>
      <w:r w:rsidRPr="009C4A80">
        <w:rPr>
          <w:rFonts w:ascii="Times New Roman" w:hAnsi="Times New Roman"/>
          <w:i/>
          <w:iCs/>
          <w:sz w:val="24"/>
          <w:szCs w:val="24"/>
        </w:rPr>
        <w:t>Wende</w:t>
      </w:r>
      <w:r w:rsidRPr="009C4A80">
        <w:rPr>
          <w:rFonts w:ascii="Times New Roman" w:hAnsi="Times New Roman"/>
          <w:sz w:val="24"/>
          <w:szCs w:val="24"/>
        </w:rPr>
        <w:t xml:space="preserve"> obligations, and we conclude there are no arguable issues on appeal that require further briefing. (See </w:t>
      </w:r>
      <w:r w:rsidRPr="009C4A80">
        <w:rPr>
          <w:rFonts w:ascii="Times New Roman" w:hAnsi="Times New Roman"/>
          <w:i/>
          <w:iCs/>
          <w:sz w:val="24"/>
          <w:szCs w:val="24"/>
        </w:rPr>
        <w:t>People v</w:t>
      </w:r>
      <w:r w:rsidRPr="009C4A80">
        <w:rPr>
          <w:rFonts w:ascii="Times New Roman" w:hAnsi="Times New Roman"/>
          <w:sz w:val="24"/>
          <w:szCs w:val="24"/>
        </w:rPr>
        <w:t xml:space="preserve">. </w:t>
      </w:r>
      <w:r w:rsidRPr="009C4A80">
        <w:rPr>
          <w:rFonts w:ascii="Times New Roman" w:hAnsi="Times New Roman"/>
          <w:i/>
          <w:iCs/>
          <w:sz w:val="24"/>
          <w:szCs w:val="24"/>
        </w:rPr>
        <w:t xml:space="preserve">Birkett </w:t>
      </w:r>
      <w:hyperlink r:id="rId1033" w:history="1">
        <w:r w:rsidRPr="009C4A80">
          <w:rPr>
            <w:rStyle w:val="Hyperlink"/>
            <w:rFonts w:ascii="Times New Roman" w:hAnsi="Times New Roman"/>
            <w:sz w:val="24"/>
            <w:szCs w:val="24"/>
          </w:rPr>
          <w:t>(1999) 21 Cal.4th 226</w:t>
        </w:r>
      </w:hyperlink>
      <w:r w:rsidRPr="009C4A80">
        <w:rPr>
          <w:rFonts w:ascii="Times New Roman" w:hAnsi="Times New Roman"/>
          <w:sz w:val="24"/>
          <w:szCs w:val="24"/>
        </w:rPr>
        <w:t xml:space="preserve">, 245-247 [victim entitled to restitution in the ‘full amount of the loss caused by the crime, regardless of whether, in the exercise of prudence, the victim had purchased private insurance that covered some or all of the same losses’].)” </w:t>
      </w:r>
      <w:hyperlink r:id="rId1034" w:history="1">
        <w:r w:rsidRPr="009C4A80">
          <w:rPr>
            <w:rStyle w:val="Hyperlink"/>
            <w:rFonts w:ascii="Times New Roman" w:hAnsi="Times New Roman"/>
            <w:sz w:val="24"/>
            <w:szCs w:val="24"/>
          </w:rPr>
          <w:t>http://www.courts.ca.gov/opinions/nonpub/A154587.PDF</w:t>
        </w:r>
      </w:hyperlink>
      <w:r w:rsidRPr="009C4A80">
        <w:rPr>
          <w:rFonts w:ascii="Times New Roman" w:hAnsi="Times New Roman"/>
          <w:sz w:val="24"/>
          <w:szCs w:val="24"/>
        </w:rPr>
        <w:t xml:space="preserve"> </w:t>
      </w:r>
    </w:p>
    <w:p w14:paraId="71EA2686" w14:textId="77777777" w:rsidR="009C4A80" w:rsidRDefault="009C4A80" w:rsidP="00F326E5">
      <w:pPr>
        <w:pStyle w:val="NoSpacing"/>
        <w:rPr>
          <w:rFonts w:ascii="Times New Roman" w:hAnsi="Times New Roman"/>
          <w:b/>
          <w:sz w:val="24"/>
          <w:szCs w:val="24"/>
        </w:rPr>
      </w:pPr>
    </w:p>
    <w:p w14:paraId="188A4BEC" w14:textId="5EE42847" w:rsidR="00F326E5" w:rsidRPr="009C4A80" w:rsidRDefault="00F326E5" w:rsidP="00F326E5">
      <w:pPr>
        <w:pStyle w:val="NoSpacing"/>
        <w:rPr>
          <w:rFonts w:ascii="Times New Roman" w:hAnsi="Times New Roman"/>
          <w:b/>
          <w:sz w:val="24"/>
          <w:szCs w:val="24"/>
        </w:rPr>
      </w:pPr>
      <w:r w:rsidRPr="009C4A80">
        <w:rPr>
          <w:rFonts w:ascii="Times New Roman" w:hAnsi="Times New Roman"/>
          <w:b/>
          <w:sz w:val="24"/>
          <w:szCs w:val="24"/>
        </w:rPr>
        <w:t>Legal Lessons Learned: Great lesson for this drunk driver.  The Insurance company may be entitled to a refund, if this defendant ultimately pays full amount.</w:t>
      </w:r>
    </w:p>
    <w:bookmarkEnd w:id="221"/>
    <w:p w14:paraId="711078C5" w14:textId="77777777" w:rsidR="00F326E5" w:rsidRDefault="00F326E5" w:rsidP="00F326E5">
      <w:pPr>
        <w:rPr>
          <w:rFonts w:eastAsia="Times New Roman"/>
          <w:sz w:val="24"/>
          <w:szCs w:val="24"/>
        </w:rPr>
      </w:pPr>
    </w:p>
    <w:p w14:paraId="1FF60CD6" w14:textId="2816875C" w:rsidR="00F326E5" w:rsidRDefault="00EF1133" w:rsidP="00F326E5">
      <w:pPr>
        <w:rPr>
          <w:sz w:val="24"/>
          <w:szCs w:val="24"/>
        </w:rPr>
      </w:pPr>
      <w:r w:rsidRPr="00EF1133">
        <w:rPr>
          <w:rFonts w:ascii="Arial Black" w:hAnsi="Arial Black"/>
          <w:b/>
          <w:sz w:val="24"/>
          <w:szCs w:val="24"/>
        </w:rPr>
        <w:t>5-</w:t>
      </w:r>
      <w:r>
        <w:rPr>
          <w:rFonts w:ascii="Arial Black" w:hAnsi="Arial Black"/>
          <w:b/>
          <w:sz w:val="24"/>
          <w:szCs w:val="24"/>
        </w:rPr>
        <w:t>2</w:t>
      </w:r>
    </w:p>
    <w:p w14:paraId="3D573D8B" w14:textId="4F0A5F78" w:rsidR="00F326E5" w:rsidRDefault="00F326E5" w:rsidP="00F326E5">
      <w:pPr>
        <w:rPr>
          <w:rFonts w:ascii="Arial Black" w:eastAsia="Times New Roman" w:hAnsi="Arial Black"/>
          <w:sz w:val="28"/>
          <w:szCs w:val="28"/>
        </w:rPr>
      </w:pPr>
      <w:bookmarkStart w:id="222" w:name="_Hlk7342818"/>
      <w:r>
        <w:rPr>
          <w:rFonts w:ascii="Arial Black" w:eastAsia="Times New Roman" w:hAnsi="Arial Black"/>
          <w:sz w:val="28"/>
          <w:szCs w:val="28"/>
        </w:rPr>
        <w:t>OH: EMER. VEH. OPERATOR ENTITLED TO IMMUNITY – BACKED OVER WALKER – NOT “RECKLESS”</w:t>
      </w:r>
    </w:p>
    <w:p w14:paraId="7285E0B9" w14:textId="77777777" w:rsidR="009C4A80" w:rsidRDefault="00F326E5" w:rsidP="00F326E5">
      <w:pPr>
        <w:pStyle w:val="NoSpacing"/>
        <w:rPr>
          <w:rFonts w:ascii="Times New Roman" w:hAnsi="Times New Roman"/>
          <w:sz w:val="24"/>
          <w:szCs w:val="24"/>
        </w:rPr>
      </w:pPr>
      <w:r w:rsidRPr="009C4A80">
        <w:rPr>
          <w:rFonts w:ascii="Times New Roman" w:eastAsia="Times New Roman" w:hAnsi="Times New Roman"/>
          <w:bCs/>
          <w:sz w:val="24"/>
          <w:szCs w:val="24"/>
        </w:rPr>
        <w:t xml:space="preserve">On </w:t>
      </w:r>
      <w:bookmarkStart w:id="223" w:name="_Hlk39829822"/>
      <w:r w:rsidRPr="009C4A80">
        <w:rPr>
          <w:rFonts w:ascii="Times New Roman" w:eastAsia="Times New Roman" w:hAnsi="Times New Roman"/>
          <w:bCs/>
          <w:sz w:val="24"/>
          <w:szCs w:val="24"/>
        </w:rPr>
        <w:t xml:space="preserve">Oct. 9, 2018, in </w:t>
      </w:r>
      <w:r w:rsidRPr="009C4A80">
        <w:rPr>
          <w:rFonts w:ascii="Times New Roman" w:eastAsia="Times New Roman" w:hAnsi="Times New Roman"/>
          <w:bCs/>
          <w:sz w:val="24"/>
          <w:szCs w:val="24"/>
          <w:u w:val="single"/>
        </w:rPr>
        <w:t>Riehm v. Green Springs Rural Volunteer Fire Dept</w:t>
      </w:r>
      <w:r w:rsidRPr="009C4A80">
        <w:rPr>
          <w:rFonts w:ascii="Times New Roman" w:eastAsia="Times New Roman" w:hAnsi="Times New Roman"/>
          <w:bCs/>
          <w:sz w:val="24"/>
          <w:szCs w:val="24"/>
        </w:rPr>
        <w:t>., 2018-Ohio-4075</w:t>
      </w:r>
      <w:bookmarkEnd w:id="223"/>
      <w:r w:rsidRPr="009C4A80">
        <w:rPr>
          <w:rFonts w:ascii="Times New Roman" w:eastAsia="Times New Roman" w:hAnsi="Times New Roman"/>
          <w:bCs/>
          <w:sz w:val="24"/>
          <w:szCs w:val="24"/>
        </w:rPr>
        <w:t>, the</w:t>
      </w:r>
      <w:r w:rsidRPr="009C4A80">
        <w:rPr>
          <w:rFonts w:ascii="Times New Roman" w:eastAsia="Times New Roman" w:hAnsi="Times New Roman"/>
          <w:b/>
          <w:sz w:val="24"/>
          <w:szCs w:val="24"/>
        </w:rPr>
        <w:t xml:space="preserve"> </w:t>
      </w:r>
      <w:r w:rsidRPr="009C4A80">
        <w:rPr>
          <w:rFonts w:ascii="Times New Roman" w:eastAsia="Times New Roman" w:hAnsi="Times New Roman"/>
          <w:sz w:val="24"/>
          <w:szCs w:val="24"/>
        </w:rPr>
        <w:t xml:space="preserve">Ohio Court of Appeals for Third District (Seneca County), held (2 to 1) that the trial court improperly denied the fire department, and firefighter </w:t>
      </w:r>
      <w:r w:rsidRPr="009C4A80">
        <w:rPr>
          <w:rFonts w:ascii="Times New Roman" w:hAnsi="Times New Roman"/>
          <w:sz w:val="24"/>
          <w:szCs w:val="24"/>
        </w:rPr>
        <w:t xml:space="preserve">Seth T. Knieriemen’s motions for summary judgment.  </w:t>
      </w:r>
    </w:p>
    <w:p w14:paraId="63E95956" w14:textId="77777777" w:rsidR="009C4A80" w:rsidRDefault="009C4A80" w:rsidP="00F326E5">
      <w:pPr>
        <w:pStyle w:val="NoSpacing"/>
        <w:rPr>
          <w:rFonts w:ascii="Times New Roman" w:hAnsi="Times New Roman"/>
          <w:sz w:val="24"/>
          <w:szCs w:val="24"/>
        </w:rPr>
      </w:pPr>
    </w:p>
    <w:p w14:paraId="56E0C221" w14:textId="150B0C73" w:rsidR="00F326E5" w:rsidRPr="009C4A80" w:rsidRDefault="00F326E5" w:rsidP="009C4A80">
      <w:pPr>
        <w:pStyle w:val="NoSpacing"/>
        <w:ind w:left="720"/>
        <w:rPr>
          <w:rStyle w:val="Hyperlink"/>
          <w:rFonts w:ascii="Times New Roman" w:hAnsi="Times New Roman"/>
          <w:b/>
          <w:sz w:val="24"/>
          <w:szCs w:val="24"/>
        </w:rPr>
      </w:pPr>
      <w:r w:rsidRPr="009C4A80">
        <w:rPr>
          <w:rFonts w:ascii="Times New Roman" w:hAnsi="Times New Roman"/>
          <w:sz w:val="24"/>
          <w:szCs w:val="24"/>
        </w:rPr>
        <w:t>“</w:t>
      </w:r>
      <w:r w:rsidRPr="009C4A80">
        <w:rPr>
          <w:rFonts w:ascii="Times New Roman" w:eastAsia="Times New Roman" w:hAnsi="Times New Roman"/>
          <w:sz w:val="24"/>
          <w:szCs w:val="24"/>
        </w:rPr>
        <w:t xml:space="preserve">As to Knieriemen individually, he could still be liable if his conduct constituted recklessness. Recklessness implies conduct that is substantially greater than negligence. Knieriemen’s failure to follow standard operating guidelines does not establish a genuine issue of material fact as to whether there was more than negligence here, particularly where he did not see, and perhaps could not have seen, Lorri. Knieriemen’s conduct could certainly be considered negligent, but not substantially greater than negligent. Therefore, we find that the trial court also erred on this issue.” </w:t>
      </w:r>
      <w:bookmarkStart w:id="224" w:name="_Hlk39829850"/>
      <w:r w:rsidR="00374417">
        <w:fldChar w:fldCharType="begin"/>
      </w:r>
      <w:r w:rsidR="00374417">
        <w:instrText xml:space="preserve"> HYPERLINK "https://www.courtlistener.com/pdf/2018/10/09/riehm_v._green_springs_rural_volunteer_fire_dept..pdf" </w:instrText>
      </w:r>
      <w:r w:rsidR="00374417">
        <w:fldChar w:fldCharType="separate"/>
      </w:r>
      <w:r w:rsidRPr="009C4A80">
        <w:rPr>
          <w:rStyle w:val="Hyperlink"/>
          <w:rFonts w:ascii="Times New Roman" w:hAnsi="Times New Roman"/>
          <w:sz w:val="24"/>
          <w:szCs w:val="24"/>
        </w:rPr>
        <w:t>https://www.courtlistener.com/pdf/2018/10/09/riehm_v._green_springs_rural_volunteer_fire_dept..pdf</w:t>
      </w:r>
      <w:r w:rsidR="00374417">
        <w:rPr>
          <w:rStyle w:val="Hyperlink"/>
          <w:rFonts w:ascii="Times New Roman" w:hAnsi="Times New Roman"/>
          <w:sz w:val="24"/>
          <w:szCs w:val="24"/>
        </w:rPr>
        <w:fldChar w:fldCharType="end"/>
      </w:r>
      <w:bookmarkEnd w:id="224"/>
    </w:p>
    <w:p w14:paraId="6AC4635A" w14:textId="77777777" w:rsidR="009C4A80" w:rsidRDefault="009C4A80" w:rsidP="00F326E5">
      <w:pPr>
        <w:rPr>
          <w:rFonts w:ascii="Times New Roman" w:hAnsi="Times New Roman"/>
          <w:b/>
          <w:sz w:val="24"/>
          <w:szCs w:val="24"/>
        </w:rPr>
      </w:pPr>
    </w:p>
    <w:p w14:paraId="07845484" w14:textId="0A1535FA" w:rsidR="00F326E5" w:rsidRPr="009C4A80" w:rsidRDefault="00F326E5" w:rsidP="00F326E5">
      <w:pPr>
        <w:rPr>
          <w:rFonts w:ascii="Times New Roman" w:hAnsi="Times New Roman"/>
          <w:b/>
          <w:sz w:val="24"/>
          <w:szCs w:val="24"/>
        </w:rPr>
      </w:pPr>
      <w:r w:rsidRPr="009C4A80">
        <w:rPr>
          <w:rFonts w:ascii="Times New Roman" w:hAnsi="Times New Roman"/>
          <w:b/>
          <w:sz w:val="24"/>
          <w:szCs w:val="24"/>
        </w:rPr>
        <w:t xml:space="preserve">Legal Lessons Learned:  Tragic accidents can be avoided if SOGs are followed, including using a backer.  </w:t>
      </w:r>
    </w:p>
    <w:bookmarkEnd w:id="222"/>
    <w:p w14:paraId="7AAB0E56" w14:textId="77777777" w:rsidR="00F326E5" w:rsidRDefault="00F326E5" w:rsidP="00F326E5">
      <w:pPr>
        <w:rPr>
          <w:b/>
          <w:sz w:val="24"/>
          <w:szCs w:val="24"/>
        </w:rPr>
      </w:pPr>
    </w:p>
    <w:p w14:paraId="0F51F6E6" w14:textId="45CE9A32" w:rsidR="00F326E5" w:rsidRPr="00EF1133" w:rsidRDefault="00EF1133" w:rsidP="00F326E5">
      <w:pPr>
        <w:rPr>
          <w:rFonts w:ascii="Arial Black" w:hAnsi="Arial Black"/>
          <w:b/>
          <w:sz w:val="24"/>
          <w:szCs w:val="24"/>
        </w:rPr>
      </w:pPr>
      <w:r w:rsidRPr="00EF1133">
        <w:rPr>
          <w:rFonts w:ascii="Arial Black" w:hAnsi="Arial Black"/>
          <w:b/>
          <w:sz w:val="24"/>
          <w:szCs w:val="24"/>
        </w:rPr>
        <w:t>5-1</w:t>
      </w:r>
    </w:p>
    <w:p w14:paraId="5679A08F" w14:textId="5BFD68B1" w:rsidR="00F326E5" w:rsidRPr="00103A9C" w:rsidRDefault="00F326E5" w:rsidP="00F326E5">
      <w:pPr>
        <w:rPr>
          <w:rFonts w:ascii="Arial Black" w:hAnsi="Arial Black"/>
          <w:sz w:val="28"/>
          <w:szCs w:val="28"/>
        </w:rPr>
      </w:pPr>
      <w:bookmarkStart w:id="225" w:name="_Hlk7342908"/>
      <w:r w:rsidRPr="00103A9C">
        <w:rPr>
          <w:rFonts w:ascii="Arial Black" w:hAnsi="Arial Black"/>
          <w:sz w:val="28"/>
          <w:szCs w:val="28"/>
        </w:rPr>
        <w:lastRenderedPageBreak/>
        <w:t>MI: A</w:t>
      </w:r>
      <w:r>
        <w:rPr>
          <w:rFonts w:ascii="Arial Black" w:hAnsi="Arial Black"/>
          <w:sz w:val="28"/>
          <w:szCs w:val="28"/>
        </w:rPr>
        <w:t>MBULANCE STRUCT DEBRIS IN ROADWAY, EMT INJURED – NOT ENTITLED TO UNINSURED MOTORIST</w:t>
      </w:r>
      <w:r w:rsidR="00EF0BEC">
        <w:rPr>
          <w:rFonts w:ascii="Arial Black" w:hAnsi="Arial Black"/>
          <w:sz w:val="28"/>
          <w:szCs w:val="28"/>
        </w:rPr>
        <w:t xml:space="preserve"> INSURANCE COVERAGE</w:t>
      </w:r>
    </w:p>
    <w:p w14:paraId="74D68AB1" w14:textId="77777777" w:rsidR="009C4A80" w:rsidRDefault="00F326E5" w:rsidP="00F326E5">
      <w:pPr>
        <w:rPr>
          <w:rFonts w:ascii="Times New Roman" w:hAnsi="Times New Roman"/>
          <w:sz w:val="24"/>
          <w:szCs w:val="24"/>
        </w:rPr>
      </w:pPr>
      <w:r w:rsidRPr="009C4A80">
        <w:rPr>
          <w:rFonts w:ascii="Times New Roman" w:hAnsi="Times New Roman"/>
          <w:sz w:val="24"/>
          <w:szCs w:val="24"/>
        </w:rPr>
        <w:t xml:space="preserve">On Feb. 27, 2018, in Jeremy </w:t>
      </w:r>
      <w:r w:rsidRPr="009C4A80">
        <w:rPr>
          <w:rFonts w:ascii="Times New Roman" w:hAnsi="Times New Roman"/>
          <w:sz w:val="24"/>
          <w:szCs w:val="24"/>
          <w:u w:val="single"/>
        </w:rPr>
        <w:t>Drouillard v. American Alternative Insurance Company</w:t>
      </w:r>
      <w:r w:rsidRPr="009C4A80">
        <w:rPr>
          <w:rFonts w:ascii="Times New Roman" w:hAnsi="Times New Roman"/>
          <w:sz w:val="24"/>
          <w:szCs w:val="24"/>
        </w:rPr>
        <w:t xml:space="preserve">, the Court of Appeals of Michigan held (2 to 1) that the insurance policy which was purchased by ambulance company does not cover such an accident.  </w:t>
      </w:r>
    </w:p>
    <w:p w14:paraId="131160F9" w14:textId="0452BAD7" w:rsidR="00F326E5" w:rsidRPr="009C4A80" w:rsidRDefault="00F326E5" w:rsidP="009C4A80">
      <w:pPr>
        <w:ind w:left="720"/>
        <w:rPr>
          <w:rFonts w:ascii="Times New Roman" w:hAnsi="Times New Roman"/>
          <w:sz w:val="24"/>
          <w:szCs w:val="24"/>
        </w:rPr>
      </w:pPr>
      <w:r w:rsidRPr="009C4A80">
        <w:rPr>
          <w:rFonts w:ascii="Times New Roman" w:hAnsi="Times New Roman"/>
          <w:sz w:val="24"/>
          <w:szCs w:val="24"/>
        </w:rPr>
        <w:t xml:space="preserve">“[T] he plain language of the contract provides uninsured motorist coverage to Drouillard [EMT passenger] only if the unidentified pickup truck caused an object to hit the insured ambulance, and not vice versa. Reviewing the pertinent </w:t>
      </w:r>
      <w:proofErr w:type="gramStart"/>
      <w:r w:rsidRPr="009C4A80">
        <w:rPr>
          <w:rFonts w:ascii="Times New Roman" w:hAnsi="Times New Roman"/>
          <w:sz w:val="24"/>
          <w:szCs w:val="24"/>
        </w:rPr>
        <w:t>section as a whole, the</w:t>
      </w:r>
      <w:proofErr w:type="gramEnd"/>
      <w:r w:rsidRPr="009C4A80">
        <w:rPr>
          <w:rFonts w:ascii="Times New Roman" w:hAnsi="Times New Roman"/>
          <w:sz w:val="24"/>
          <w:szCs w:val="24"/>
        </w:rPr>
        <w:t xml:space="preserve"> language cannot reasonably be understood in any other way. Importantly, Drouillard and Schoenberg {EMT driver] both admitted that the building materials were stationary at the time of the accident, and Schoenberg agreed that, as the driver of the ambulance, she struck the materials in the roadway. Therefore, this is not a situation in which a hit-and-run vehicle caused an object to hit the insured ambulance, and Drouillard is not entitled to uninsured motorist benefits under the terms of the </w:t>
      </w:r>
      <w:proofErr w:type="gramStart"/>
      <w:r w:rsidRPr="009C4A80">
        <w:rPr>
          <w:rFonts w:ascii="Times New Roman" w:hAnsi="Times New Roman"/>
          <w:sz w:val="24"/>
          <w:szCs w:val="24"/>
        </w:rPr>
        <w:t>policy.”</w:t>
      </w:r>
      <w:proofErr w:type="gramEnd"/>
      <w:r w:rsidRPr="009C4A80">
        <w:rPr>
          <w:rFonts w:ascii="Times New Roman" w:hAnsi="Times New Roman"/>
          <w:sz w:val="24"/>
          <w:szCs w:val="24"/>
        </w:rPr>
        <w:t xml:space="preserve"> </w:t>
      </w:r>
      <w:hyperlink r:id="rId1035" w:history="1">
        <w:r w:rsidRPr="009C4A80">
          <w:rPr>
            <w:rStyle w:val="Hyperlink"/>
            <w:rFonts w:ascii="Times New Roman" w:hAnsi="Times New Roman"/>
            <w:sz w:val="24"/>
            <w:szCs w:val="24"/>
          </w:rPr>
          <w:t>https://caselaw.findlaw.com/mi-court-of-appeals/1890718.html</w:t>
        </w:r>
      </w:hyperlink>
      <w:r w:rsidRPr="009C4A80">
        <w:rPr>
          <w:rFonts w:ascii="Times New Roman" w:hAnsi="Times New Roman"/>
          <w:sz w:val="24"/>
          <w:szCs w:val="24"/>
        </w:rPr>
        <w:t xml:space="preserve"> </w:t>
      </w:r>
    </w:p>
    <w:p w14:paraId="58B5F07F" w14:textId="5660B739" w:rsidR="00F326E5" w:rsidRDefault="00F326E5" w:rsidP="0090461E">
      <w:pPr>
        <w:rPr>
          <w:rFonts w:ascii="Arial Black" w:hAnsi="Arial Black"/>
          <w:sz w:val="40"/>
          <w:szCs w:val="40"/>
        </w:rPr>
      </w:pPr>
      <w:r w:rsidRPr="009C4A80">
        <w:rPr>
          <w:rFonts w:ascii="Times New Roman" w:hAnsi="Times New Roman"/>
          <w:b/>
          <w:sz w:val="24"/>
          <w:szCs w:val="24"/>
        </w:rPr>
        <w:t>Legal Lessons Learned:  Ask your insurance carrier how they would respond to a similar claim; if they would deny the claim, then get the insurance carrier to amend your policy or find a new carrier.</w:t>
      </w:r>
      <w:r w:rsidRPr="009F2867">
        <w:rPr>
          <w:b/>
          <w:sz w:val="24"/>
          <w:szCs w:val="24"/>
        </w:rPr>
        <w:t xml:space="preserve"> </w:t>
      </w:r>
      <w:bookmarkEnd w:id="225"/>
    </w:p>
    <w:p w14:paraId="649E036E" w14:textId="77777777" w:rsidR="0090461E" w:rsidRDefault="0090461E" w:rsidP="00F326E5">
      <w:pPr>
        <w:pStyle w:val="NoSpacing"/>
        <w:rPr>
          <w:rFonts w:ascii="Arial Black" w:hAnsi="Arial Black"/>
          <w:sz w:val="40"/>
          <w:szCs w:val="40"/>
        </w:rPr>
      </w:pPr>
    </w:p>
    <w:p w14:paraId="36C6CE7B" w14:textId="77777777" w:rsidR="0090461E" w:rsidRDefault="0090461E" w:rsidP="00F326E5">
      <w:pPr>
        <w:pStyle w:val="NoSpacing"/>
        <w:rPr>
          <w:rFonts w:ascii="Arial Black" w:hAnsi="Arial Black"/>
          <w:sz w:val="40"/>
          <w:szCs w:val="40"/>
        </w:rPr>
      </w:pPr>
    </w:p>
    <w:p w14:paraId="1081D8B7" w14:textId="77777777" w:rsidR="0090461E" w:rsidRDefault="0090461E" w:rsidP="00F326E5">
      <w:pPr>
        <w:pStyle w:val="NoSpacing"/>
        <w:rPr>
          <w:rFonts w:ascii="Arial Black" w:hAnsi="Arial Black"/>
          <w:sz w:val="40"/>
          <w:szCs w:val="40"/>
        </w:rPr>
      </w:pPr>
    </w:p>
    <w:p w14:paraId="66D50EAB" w14:textId="77777777" w:rsidR="0090461E" w:rsidRDefault="0090461E" w:rsidP="00F326E5">
      <w:pPr>
        <w:pStyle w:val="NoSpacing"/>
        <w:rPr>
          <w:rFonts w:ascii="Arial Black" w:hAnsi="Arial Black"/>
          <w:sz w:val="40"/>
          <w:szCs w:val="40"/>
        </w:rPr>
      </w:pPr>
    </w:p>
    <w:p w14:paraId="296EFA27" w14:textId="77777777" w:rsidR="0090461E" w:rsidRDefault="0090461E" w:rsidP="00F326E5">
      <w:pPr>
        <w:pStyle w:val="NoSpacing"/>
        <w:rPr>
          <w:rFonts w:ascii="Arial Black" w:hAnsi="Arial Black"/>
          <w:sz w:val="40"/>
          <w:szCs w:val="40"/>
        </w:rPr>
      </w:pPr>
    </w:p>
    <w:p w14:paraId="30B957C6" w14:textId="77777777" w:rsidR="0090461E" w:rsidRDefault="0090461E" w:rsidP="00F326E5">
      <w:pPr>
        <w:pStyle w:val="NoSpacing"/>
        <w:rPr>
          <w:rFonts w:ascii="Arial Black" w:hAnsi="Arial Black"/>
          <w:sz w:val="40"/>
          <w:szCs w:val="40"/>
        </w:rPr>
      </w:pPr>
    </w:p>
    <w:p w14:paraId="494BD50A" w14:textId="77777777" w:rsidR="0090461E" w:rsidRDefault="0090461E" w:rsidP="00F326E5">
      <w:pPr>
        <w:pStyle w:val="NoSpacing"/>
        <w:rPr>
          <w:rFonts w:ascii="Arial Black" w:hAnsi="Arial Black"/>
          <w:sz w:val="40"/>
          <w:szCs w:val="40"/>
        </w:rPr>
      </w:pPr>
    </w:p>
    <w:p w14:paraId="05451AE6" w14:textId="77777777" w:rsidR="0090461E" w:rsidRDefault="0090461E" w:rsidP="00F326E5">
      <w:pPr>
        <w:pStyle w:val="NoSpacing"/>
        <w:rPr>
          <w:rFonts w:ascii="Arial Black" w:hAnsi="Arial Black"/>
          <w:sz w:val="40"/>
          <w:szCs w:val="40"/>
        </w:rPr>
      </w:pPr>
    </w:p>
    <w:p w14:paraId="097348AB" w14:textId="77777777" w:rsidR="0090461E" w:rsidRDefault="0090461E" w:rsidP="00F326E5">
      <w:pPr>
        <w:pStyle w:val="NoSpacing"/>
        <w:rPr>
          <w:rFonts w:ascii="Arial Black" w:hAnsi="Arial Black"/>
          <w:sz w:val="40"/>
          <w:szCs w:val="40"/>
        </w:rPr>
      </w:pPr>
    </w:p>
    <w:p w14:paraId="67837476" w14:textId="77777777" w:rsidR="0090461E" w:rsidRDefault="0090461E" w:rsidP="00F326E5">
      <w:pPr>
        <w:pStyle w:val="NoSpacing"/>
        <w:rPr>
          <w:rFonts w:ascii="Arial Black" w:hAnsi="Arial Black"/>
          <w:sz w:val="40"/>
          <w:szCs w:val="40"/>
        </w:rPr>
      </w:pPr>
    </w:p>
    <w:p w14:paraId="0573D9BC" w14:textId="77777777" w:rsidR="005263F1" w:rsidRDefault="005263F1" w:rsidP="00F326E5">
      <w:pPr>
        <w:pStyle w:val="NoSpacing"/>
        <w:rPr>
          <w:rFonts w:ascii="Arial Black" w:hAnsi="Arial Black"/>
          <w:sz w:val="40"/>
          <w:szCs w:val="40"/>
        </w:rPr>
      </w:pPr>
    </w:p>
    <w:p w14:paraId="0C3B30FD" w14:textId="0982FD90" w:rsidR="0097062D" w:rsidRDefault="0097062D">
      <w:pPr>
        <w:spacing w:after="0" w:line="240" w:lineRule="auto"/>
        <w:rPr>
          <w:rFonts w:ascii="Arial Black" w:hAnsi="Arial Black"/>
          <w:sz w:val="40"/>
          <w:szCs w:val="40"/>
        </w:rPr>
      </w:pPr>
      <w:r>
        <w:rPr>
          <w:rFonts w:ascii="Arial Black" w:hAnsi="Arial Black"/>
          <w:sz w:val="40"/>
          <w:szCs w:val="40"/>
        </w:rPr>
        <w:br w:type="page"/>
      </w:r>
    </w:p>
    <w:p w14:paraId="255FC209" w14:textId="35C02436" w:rsidR="00F326E5" w:rsidRDefault="00F326E5" w:rsidP="00F326E5">
      <w:pPr>
        <w:pStyle w:val="NoSpacing"/>
        <w:rPr>
          <w:rFonts w:ascii="Arial Black" w:hAnsi="Arial Black"/>
          <w:sz w:val="40"/>
          <w:szCs w:val="40"/>
        </w:rPr>
      </w:pPr>
      <w:r w:rsidRPr="007732FA">
        <w:rPr>
          <w:rFonts w:ascii="Arial Black" w:hAnsi="Arial Black"/>
          <w:sz w:val="40"/>
          <w:szCs w:val="40"/>
        </w:rPr>
        <w:lastRenderedPageBreak/>
        <w:t>Chap. 6</w:t>
      </w:r>
      <w:r w:rsidRPr="007732FA">
        <w:rPr>
          <w:rFonts w:ascii="Arial Black" w:hAnsi="Arial Black"/>
          <w:sz w:val="40"/>
          <w:szCs w:val="40"/>
        </w:rPr>
        <w:tab/>
        <w:t>Employment Litigation</w:t>
      </w:r>
      <w:r w:rsidR="003F660F">
        <w:rPr>
          <w:rFonts w:ascii="Arial Black" w:hAnsi="Arial Black"/>
          <w:sz w:val="40"/>
          <w:szCs w:val="40"/>
        </w:rPr>
        <w:t>, incl</w:t>
      </w:r>
      <w:r w:rsidR="00BC5936">
        <w:rPr>
          <w:rFonts w:ascii="Arial Black" w:hAnsi="Arial Black"/>
          <w:sz w:val="40"/>
          <w:szCs w:val="40"/>
        </w:rPr>
        <w:t xml:space="preserve">. </w:t>
      </w:r>
      <w:r w:rsidR="00BB43DD">
        <w:rPr>
          <w:rFonts w:ascii="Arial Black" w:hAnsi="Arial Black"/>
          <w:sz w:val="40"/>
          <w:szCs w:val="40"/>
        </w:rPr>
        <w:t>Workers</w:t>
      </w:r>
      <w:r w:rsidR="005F0E6D">
        <w:rPr>
          <w:rFonts w:ascii="Arial Black" w:hAnsi="Arial Black"/>
          <w:sz w:val="40"/>
          <w:szCs w:val="40"/>
        </w:rPr>
        <w:t>’</w:t>
      </w:r>
      <w:r w:rsidR="00BB43DD">
        <w:rPr>
          <w:rFonts w:ascii="Arial Black" w:hAnsi="Arial Black"/>
          <w:sz w:val="40"/>
          <w:szCs w:val="40"/>
        </w:rPr>
        <w:t xml:space="preserve"> Comp</w:t>
      </w:r>
      <w:r w:rsidR="003F660F">
        <w:rPr>
          <w:rFonts w:ascii="Arial Black" w:hAnsi="Arial Black"/>
          <w:sz w:val="40"/>
          <w:szCs w:val="40"/>
        </w:rPr>
        <w:t>.</w:t>
      </w:r>
      <w:r w:rsidR="00BC5936">
        <w:rPr>
          <w:rFonts w:ascii="Arial Black" w:hAnsi="Arial Black"/>
          <w:sz w:val="40"/>
          <w:szCs w:val="40"/>
        </w:rPr>
        <w:t>, Disability</w:t>
      </w:r>
    </w:p>
    <w:p w14:paraId="1CAF88C4" w14:textId="77777777" w:rsidR="00066F05" w:rsidRDefault="00066F05" w:rsidP="00EF1133">
      <w:pPr>
        <w:rPr>
          <w:rFonts w:ascii="Arial Black" w:hAnsi="Arial Black"/>
          <w:b/>
          <w:sz w:val="24"/>
          <w:szCs w:val="24"/>
        </w:rPr>
      </w:pPr>
    </w:p>
    <w:p w14:paraId="4A465845" w14:textId="35F81D9F" w:rsidR="009A3DAE" w:rsidRDefault="009A3DAE" w:rsidP="00CC293C">
      <w:pPr>
        <w:rPr>
          <w:rFonts w:ascii="Arial Black" w:hAnsi="Arial Black"/>
          <w:b/>
          <w:sz w:val="28"/>
          <w:szCs w:val="28"/>
        </w:rPr>
      </w:pPr>
      <w:r>
        <w:rPr>
          <w:rFonts w:ascii="Arial Black" w:hAnsi="Arial Black"/>
          <w:b/>
          <w:sz w:val="24"/>
          <w:szCs w:val="24"/>
        </w:rPr>
        <w:t>6-190</w:t>
      </w:r>
    </w:p>
    <w:p w14:paraId="0B0FCE7A" w14:textId="76F9051E" w:rsidR="00CC293C" w:rsidRDefault="00CC293C" w:rsidP="00CC293C">
      <w:pPr>
        <w:rPr>
          <w:rFonts w:ascii="Arial Black" w:hAnsi="Arial Black"/>
          <w:b/>
          <w:sz w:val="28"/>
          <w:szCs w:val="28"/>
        </w:rPr>
      </w:pPr>
      <w:r>
        <w:rPr>
          <w:rFonts w:ascii="Arial Black" w:hAnsi="Arial Black"/>
          <w:b/>
          <w:sz w:val="28"/>
          <w:szCs w:val="28"/>
        </w:rPr>
        <w:t>IL: POOR PERF / THREATS - NO LINE-OF-DUTY DISABILITY</w:t>
      </w:r>
    </w:p>
    <w:p w14:paraId="7870E0DB" w14:textId="77777777" w:rsidR="00CC293C" w:rsidRDefault="00CC293C" w:rsidP="00CC293C">
      <w:pPr>
        <w:rPr>
          <w:bCs/>
        </w:rPr>
      </w:pPr>
      <w:r w:rsidRPr="00006AE8">
        <w:t xml:space="preserve">On August 31, 2026, </w:t>
      </w:r>
      <w:r>
        <w:t xml:space="preserve">in </w:t>
      </w:r>
      <w:r w:rsidRPr="002E168D">
        <w:rPr>
          <w:u w:val="single"/>
        </w:rPr>
        <w:t xml:space="preserve">Daniel Haley v. East Moline Firefighters’ Pension Fund. </w:t>
      </w:r>
      <w:r>
        <w:rPr>
          <w:u w:val="single"/>
        </w:rPr>
        <w:t>e</w:t>
      </w:r>
      <w:r w:rsidRPr="002E168D">
        <w:rPr>
          <w:u w:val="single"/>
        </w:rPr>
        <w:t>t al.,</w:t>
      </w:r>
      <w:r>
        <w:t xml:space="preserve"> the </w:t>
      </w:r>
      <w:r w:rsidRPr="002E168D">
        <w:t>Court of Appeals of Illinois, Fourth District</w:t>
      </w:r>
      <w:r>
        <w:t xml:space="preserve"> held (3 to 0) that the pension Board’s decision </w:t>
      </w:r>
      <w:r w:rsidRPr="00EF3035">
        <w:t>denying Haley's application for a line-of-duty disability pension does not stand against the manifest weight of the evidence. The record contains evidence to support the Board's decision, so we affirm it.</w:t>
      </w:r>
      <w:r>
        <w:t xml:space="preserve">”  The firefighter receives only a non-duty disability pension.  </w:t>
      </w:r>
      <w:hyperlink r:id="rId1036" w:history="1">
        <w:r w:rsidRPr="0045711E">
          <w:rPr>
            <w:rStyle w:val="Hyperlink"/>
          </w:rPr>
          <w:t>https://ilcourtsaudio.blob.core.windows.net/antilles-resources/resources/8915be3b-9919-454d-af72-f179ae44351b/Haley%20v.%20East%20Moline%20Firefighters%20Pension%20Fund%202026%20IL%20App%20(4th)%20251251-U.pdf</w:t>
        </w:r>
      </w:hyperlink>
      <w:r>
        <w:t xml:space="preserve"> </w:t>
      </w:r>
    </w:p>
    <w:p w14:paraId="1D6F16CA" w14:textId="77777777" w:rsidR="00CC293C" w:rsidRDefault="00CC293C" w:rsidP="00CC293C">
      <w:pPr>
        <w:rPr>
          <w:bCs/>
        </w:rPr>
      </w:pPr>
      <w:r>
        <w:t>THE COURT WROTE:</w:t>
      </w:r>
    </w:p>
    <w:p w14:paraId="49CA0625" w14:textId="77777777" w:rsidR="00CC293C" w:rsidRDefault="00CC293C" w:rsidP="00CC293C">
      <w:pPr>
        <w:ind w:left="720"/>
      </w:pPr>
      <w:r>
        <w:t>“</w:t>
      </w:r>
      <w:r w:rsidRPr="00012305">
        <w:t>2018 Threats, Unfitness, and Administrative Leave</w:t>
      </w:r>
      <w:r>
        <w:t xml:space="preserve">. </w:t>
      </w:r>
    </w:p>
    <w:p w14:paraId="665A8D36" w14:textId="77777777" w:rsidR="00CC293C" w:rsidRDefault="00CC293C" w:rsidP="00CC293C">
      <w:pPr>
        <w:ind w:left="720"/>
      </w:pPr>
      <w:r w:rsidRPr="00E44331">
        <w:t xml:space="preserve">Haley testified </w:t>
      </w:r>
      <w:r>
        <w:t xml:space="preserve">[before the Pension Board] </w:t>
      </w:r>
      <w:r w:rsidRPr="00E44331">
        <w:t xml:space="preserve">that in February 2018, he was preparing to appear before the fire and police commission board for a disciplinary hearing regarding his poor performance evaluations. When his superior, Lieutenant Caves, asked Haley what he planned to do in the hearing, Haley remembered saying, </w:t>
      </w:r>
      <w:r>
        <w:t>‘</w:t>
      </w:r>
      <w:r w:rsidRPr="00E44331">
        <w:t>I'm going to go in there and I'm going to burn this place down, or burn this place to the ground.</w:t>
      </w:r>
      <w:r>
        <w:t>’</w:t>
      </w:r>
      <w:r w:rsidRPr="00E44331">
        <w:t xml:space="preserve"> Haley testified it was a </w:t>
      </w:r>
      <w:r>
        <w:t>‘</w:t>
      </w:r>
      <w:r w:rsidRPr="00E44331">
        <w:t>figure of speech.</w:t>
      </w:r>
      <w:r>
        <w:t>’</w:t>
      </w:r>
      <w:r w:rsidRPr="00E44331">
        <w:t xml:space="preserve"> When Caves admonished him, Haley was </w:t>
      </w:r>
      <w:r>
        <w:t>‘</w:t>
      </w:r>
      <w:r w:rsidRPr="00E44331">
        <w:t>kind of taken aback</w:t>
      </w:r>
      <w:r>
        <w:t>’</w:t>
      </w:r>
      <w:r w:rsidRPr="00E44331">
        <w:t xml:space="preserve"> because he believed Caves </w:t>
      </w:r>
      <w:r>
        <w:t>‘</w:t>
      </w:r>
      <w:r w:rsidRPr="00E44331">
        <w:t>knew what [he] meant.</w:t>
      </w:r>
      <w:r>
        <w:t>’</w:t>
      </w:r>
      <w:r w:rsidRPr="00E44331">
        <w:t xml:space="preserve"> Haley responded to the rebuke by sarcastically asking, </w:t>
      </w:r>
      <w:r>
        <w:t>‘</w:t>
      </w:r>
      <w:r w:rsidRPr="00E44331">
        <w:t>Well you want me to say blow the place up?</w:t>
      </w:r>
      <w:r>
        <w:t>’</w:t>
      </w:r>
      <w:r w:rsidRPr="00E44331">
        <w:t xml:space="preserve"> </w:t>
      </w:r>
      <w:proofErr w:type="gramStart"/>
      <w:r w:rsidRPr="00E44331">
        <w:t>or,</w:t>
      </w:r>
      <w:proofErr w:type="gramEnd"/>
      <w:r w:rsidRPr="00E44331">
        <w:t xml:space="preserve"> </w:t>
      </w:r>
      <w:r>
        <w:t>‘</w:t>
      </w:r>
      <w:r w:rsidRPr="00E44331">
        <w:t>Shoot the place up?</w:t>
      </w:r>
      <w:r>
        <w:t xml:space="preserve">’ </w:t>
      </w:r>
      <w:r w:rsidRPr="00E44331">
        <w:t xml:space="preserve"> Haley said, </w:t>
      </w:r>
      <w:r>
        <w:t>‘</w:t>
      </w:r>
      <w:r w:rsidRPr="00E44331">
        <w:t>Fine, I will expose it for the shit hole that it is.</w:t>
      </w:r>
      <w:r>
        <w:t>’</w:t>
      </w:r>
      <w:r w:rsidRPr="00E44331">
        <w:t xml:space="preserve"> He elaborated that he </w:t>
      </w:r>
      <w:r>
        <w:t>‘</w:t>
      </w:r>
      <w:r w:rsidRPr="00E44331">
        <w:t>felt that [he] was being treated wrongly and persecuted for things that weren't a big deal</w:t>
      </w:r>
      <w:r>
        <w:t>’</w:t>
      </w:r>
      <w:r w:rsidRPr="00E44331">
        <w:t xml:space="preserve"> and wanted to "throw people under the bus." Haley testified Caves reported his statements up the chain of command. </w:t>
      </w:r>
    </w:p>
    <w:p w14:paraId="3AE82D4E" w14:textId="77777777" w:rsidR="00CC293C" w:rsidRDefault="00CC293C" w:rsidP="00CC293C">
      <w:pPr>
        <w:ind w:left="720"/>
      </w:pPr>
      <w:r>
        <w:t>T</w:t>
      </w:r>
      <w:r w:rsidRPr="00A16EC2">
        <w:t>he battalion chief confronted Haley and asked if he needed to go home. Haley said no, and he finished his shift without incident. The next day, February 22, 2018, Haley was placed on administrative leave and sent for an evaluation with Dr. Campion</w:t>
      </w:r>
      <w:r>
        <w:t xml:space="preserve"> [two </w:t>
      </w:r>
      <w:r w:rsidRPr="005F60A0">
        <w:t>independent psychological evaluations with Thomas R. Campion, Ph.D.</w:t>
      </w:r>
      <w:r>
        <w:t xml:space="preserve">] </w:t>
      </w:r>
      <w:r w:rsidRPr="00A16EC2">
        <w:t xml:space="preserve">who found him </w:t>
      </w:r>
      <w:r>
        <w:t>‘</w:t>
      </w:r>
      <w:r w:rsidRPr="00A16EC2">
        <w:t>emotionally unfit for duty</w:t>
      </w:r>
      <w:r>
        <w:t>’</w:t>
      </w:r>
      <w:r w:rsidRPr="00A16EC2">
        <w:t xml:space="preserve"> and placed him off work. Meanwhile, Haley testified he had his disciplinary hearing regarding his poor performance reviews in July 2018 and received a 30-day suspension. When Drs. Lash and Narayana told him he could return to work in November 2018, the department sent him back to Dr. Campion, who again found him emotionally unfit for duty. Haley said he </w:t>
      </w:r>
      <w:r>
        <w:t>‘</w:t>
      </w:r>
      <w:r w:rsidRPr="00A16EC2">
        <w:t>was shocked</w:t>
      </w:r>
      <w:r>
        <w:t>’</w:t>
      </w:r>
      <w:r w:rsidRPr="00A16EC2">
        <w:t xml:space="preserve"> by the second unfitness finding. He testified this finding prompted his second disability application, </w:t>
      </w:r>
      <w:proofErr w:type="gramStart"/>
      <w:r w:rsidRPr="00A16EC2">
        <w:t xml:space="preserve">saying, </w:t>
      </w:r>
      <w:r>
        <w:t>‘</w:t>
      </w:r>
      <w:proofErr w:type="gramEnd"/>
      <w:r w:rsidRPr="00A16EC2">
        <w:t>The city's doctor told me that I was unable to go to work due to PTSD.</w:t>
      </w:r>
      <w:r>
        <w:t>’</w:t>
      </w:r>
    </w:p>
    <w:p w14:paraId="781ED742" w14:textId="77777777" w:rsidR="00CC293C" w:rsidRDefault="00CC293C" w:rsidP="00CC293C">
      <w:pPr>
        <w:ind w:left="720"/>
      </w:pPr>
      <w:r>
        <w:t>***</w:t>
      </w:r>
    </w:p>
    <w:p w14:paraId="5234FB95" w14:textId="77777777" w:rsidR="00CC293C" w:rsidRDefault="00CC293C" w:rsidP="00CC293C">
      <w:pPr>
        <w:ind w:left="720"/>
      </w:pPr>
      <w:r w:rsidRPr="00F6155D">
        <w:t>Per section 4-112 of the Pension Code, the Board selected four doctors to examine Haley. See 40 ILCS 5/4-112 (West 2020). Over the course of three months in autumn 2020, Haley underwent three psychiatric evaluations—with Richard P. Harris, M.D., in September, Steven Weine, M.D., in October, and Gaurava Agarwal, M.D., in November.</w:t>
      </w:r>
    </w:p>
    <w:p w14:paraId="55A45FAA" w14:textId="77777777" w:rsidR="00CC293C" w:rsidRDefault="00CC293C" w:rsidP="00CC293C">
      <w:pPr>
        <w:ind w:left="720"/>
      </w:pPr>
      <w:r>
        <w:lastRenderedPageBreak/>
        <w:t>***</w:t>
      </w:r>
    </w:p>
    <w:p w14:paraId="1DF6E31D" w14:textId="77777777" w:rsidR="00CC293C" w:rsidRDefault="00CC293C" w:rsidP="00CC293C">
      <w:pPr>
        <w:ind w:left="720"/>
      </w:pPr>
      <w:r w:rsidRPr="00D67CB5">
        <w:t>Nearly two years passed before the Board reconvened another hearing on Haley's application</w:t>
      </w:r>
      <w:r>
        <w:t xml:space="preserve">…. </w:t>
      </w:r>
      <w:r w:rsidRPr="00452282">
        <w:t>After executive session, the Board unanimously voted to deny Haley a line-of- duty disability pension. It then unanimously voted to grant him a nonduty disability pension</w:t>
      </w:r>
      <w:r>
        <w:t xml:space="preserve">…. </w:t>
      </w:r>
      <w:r w:rsidRPr="00D9763C">
        <w:t>We hold the Board's decision denying Haley's application for a line-of-duty disability pension does not stand against the manifest weight of the evidence. The record contains evidence to support the Board's decision, so we affirm it.</w:t>
      </w:r>
      <w:r>
        <w:t>”</w:t>
      </w:r>
    </w:p>
    <w:p w14:paraId="237387A9" w14:textId="77777777" w:rsidR="00CC293C" w:rsidRPr="00D9763C" w:rsidRDefault="00CC293C" w:rsidP="00CC293C">
      <w:pPr>
        <w:rPr>
          <w:b/>
          <w:bCs/>
        </w:rPr>
      </w:pPr>
      <w:r>
        <w:rPr>
          <w:b/>
        </w:rPr>
        <w:t xml:space="preserve">Legal lesson learned: Pension Board heard testimony at two separate hearings. </w:t>
      </w:r>
    </w:p>
    <w:p w14:paraId="7FB58C12" w14:textId="77777777" w:rsidR="00CC293C" w:rsidRDefault="00CC293C" w:rsidP="00C26E25">
      <w:pPr>
        <w:rPr>
          <w:rFonts w:ascii="Arial Black" w:hAnsi="Arial Black"/>
          <w:b/>
          <w:sz w:val="24"/>
          <w:szCs w:val="24"/>
        </w:rPr>
      </w:pPr>
    </w:p>
    <w:p w14:paraId="3ADF2EA6" w14:textId="411FCCB4" w:rsidR="009A3DAE" w:rsidRDefault="009A3DAE" w:rsidP="009A3DAE">
      <w:pPr>
        <w:rPr>
          <w:rFonts w:ascii="Arial Black" w:hAnsi="Arial Black"/>
          <w:b/>
          <w:sz w:val="28"/>
          <w:szCs w:val="28"/>
        </w:rPr>
      </w:pPr>
      <w:r>
        <w:rPr>
          <w:rFonts w:ascii="Arial Black" w:hAnsi="Arial Black"/>
          <w:b/>
          <w:sz w:val="24"/>
          <w:szCs w:val="24"/>
        </w:rPr>
        <w:t>6-189</w:t>
      </w:r>
    </w:p>
    <w:p w14:paraId="0538ABE5" w14:textId="77777777" w:rsidR="00CC293C" w:rsidRDefault="00CC293C" w:rsidP="00C26E25">
      <w:pPr>
        <w:rPr>
          <w:rFonts w:ascii="Arial Black" w:hAnsi="Arial Black"/>
          <w:b/>
          <w:sz w:val="24"/>
          <w:szCs w:val="24"/>
        </w:rPr>
      </w:pPr>
    </w:p>
    <w:p w14:paraId="54618B29" w14:textId="77777777" w:rsidR="009A3DAE" w:rsidRPr="00E43715" w:rsidRDefault="009A3DAE" w:rsidP="009A3DAE">
      <w:pPr>
        <w:rPr>
          <w:rFonts w:ascii="Arial Black" w:hAnsi="Arial Black"/>
          <w:b/>
          <w:sz w:val="28"/>
          <w:szCs w:val="28"/>
        </w:rPr>
      </w:pPr>
      <w:r>
        <w:rPr>
          <w:rFonts w:ascii="Arial Black" w:hAnsi="Arial Black"/>
          <w:b/>
          <w:sz w:val="28"/>
          <w:szCs w:val="28"/>
        </w:rPr>
        <w:t>NM: CHIEF DIED CANCER – WIFE - MAX 700 WEEKS NM LAW</w:t>
      </w:r>
    </w:p>
    <w:p w14:paraId="3D248B99" w14:textId="77777777" w:rsidR="009A3DAE" w:rsidRDefault="009A3DAE" w:rsidP="009A3DAE">
      <w:pPr>
        <w:pStyle w:val="NoSpacing"/>
      </w:pPr>
      <w:r>
        <w:t xml:space="preserve">On Aug. 19, 2026, in </w:t>
      </w:r>
      <w:r w:rsidRPr="00872557">
        <w:rPr>
          <w:u w:val="single"/>
        </w:rPr>
        <w:t xml:space="preserve">Janet M. </w:t>
      </w:r>
      <w:proofErr w:type="spellStart"/>
      <w:r w:rsidRPr="00872557">
        <w:rPr>
          <w:u w:val="single"/>
        </w:rPr>
        <w:t>DiLuzo</w:t>
      </w:r>
      <w:proofErr w:type="spellEnd"/>
      <w:r w:rsidRPr="00872557">
        <w:rPr>
          <w:u w:val="single"/>
        </w:rPr>
        <w:t xml:space="preserve"> v. City of Santa Fe</w:t>
      </w:r>
      <w:r>
        <w:t xml:space="preserve">, the Court of Appeals of New Mexico held (3 to 0) that under state law the </w:t>
      </w:r>
      <w:r w:rsidRPr="00DA51DB">
        <w:t>total duration of all benefits</w:t>
      </w:r>
      <w:r>
        <w:t xml:space="preserve"> (disability and death benefits) </w:t>
      </w:r>
      <w:r w:rsidRPr="00DA51DB">
        <w:t xml:space="preserve"> is limited to 700 weeks</w:t>
      </w:r>
      <w:r>
        <w:t xml:space="preserve">. Chief Frank Clark Di Luzio was a firefighter for the City of Santa Fe New Mexico, for over twenty years; he retired on August 1, 2001, and 12 years later was diagnosed with Stage IV mantle cell non-Hodgkin’s lymphoma. He became physically unable to work on January 11, 2012, and never recovered. The city paid </w:t>
      </w:r>
      <w:r w:rsidRPr="000639E6">
        <w:t xml:space="preserve">permanent total disability </w:t>
      </w:r>
      <w:r>
        <w:t xml:space="preserve">(PTD) </w:t>
      </w:r>
      <w:r w:rsidRPr="000639E6">
        <w:t>benefits for 492 weeks, approximately nine and</w:t>
      </w:r>
      <w:r>
        <w:t xml:space="preserve"> </w:t>
      </w:r>
      <w:r w:rsidRPr="000639E6">
        <w:t>one-half years, totaling $360,714.72.</w:t>
      </w:r>
      <w:r>
        <w:t xml:space="preserve">  After his death </w:t>
      </w:r>
      <w:r w:rsidRPr="000639E6">
        <w:t>on June 2, 2021,</w:t>
      </w:r>
      <w:r>
        <w:t xml:space="preserve"> </w:t>
      </w:r>
      <w:r w:rsidRPr="000639E6">
        <w:t>at the age of sixty-six</w:t>
      </w:r>
      <w:r>
        <w:t xml:space="preserve">, the Worker’s Comp judge after a trial awarded her an additional 700 weeks of pay totaling $513,212.  Court reversed this award, since that would be a total of 1,192 weeks, exceeding the 700-week maximum; her </w:t>
      </w:r>
      <w:r w:rsidRPr="00DB5478">
        <w:t>death benefits are limited to the remaining 208 weeks.</w:t>
      </w:r>
      <w:r>
        <w:t xml:space="preserve"> </w:t>
      </w:r>
    </w:p>
    <w:p w14:paraId="3E0C2F0B" w14:textId="77777777" w:rsidR="009A3DAE" w:rsidRDefault="009A3DAE" w:rsidP="009A3DAE">
      <w:pPr>
        <w:pStyle w:val="NoSpacing"/>
      </w:pPr>
      <w:r>
        <w:t xml:space="preserve">. </w:t>
      </w:r>
      <w:hyperlink r:id="rId1037" w:history="1">
        <w:r w:rsidRPr="00A05782">
          <w:rPr>
            <w:rStyle w:val="Hyperlink"/>
          </w:rPr>
          <w:t>https://coa.nmcourts.gov/wp-content/uploads/sites/43/2026/08/August-19-2026-Janet-M.-Di-Luzio-v.-City-of-Santa-Fe-No.-A-1-CA-41627.pdf</w:t>
        </w:r>
      </w:hyperlink>
      <w:r>
        <w:t xml:space="preserve"> </w:t>
      </w:r>
    </w:p>
    <w:p w14:paraId="74759741" w14:textId="77777777" w:rsidR="009A3DAE" w:rsidRDefault="009A3DAE" w:rsidP="009A3DAE"/>
    <w:p w14:paraId="5E3885C8" w14:textId="77777777" w:rsidR="009A3DAE" w:rsidRDefault="009A3DAE" w:rsidP="009A3DAE">
      <w:r>
        <w:t>THE COURT WROTE:</w:t>
      </w:r>
    </w:p>
    <w:p w14:paraId="39713C86" w14:textId="77777777" w:rsidR="009A3DAE" w:rsidRDefault="009A3DAE" w:rsidP="009A3DAE">
      <w:pPr>
        <w:pStyle w:val="NoSpacing"/>
        <w:ind w:firstLine="720"/>
      </w:pPr>
      <w:r>
        <w:t>“However, we do conclude that the 700-week aggregate limit on all collective</w:t>
      </w:r>
    </w:p>
    <w:p w14:paraId="482BA59D" w14:textId="77777777" w:rsidR="009A3DAE" w:rsidRDefault="009A3DAE" w:rsidP="009A3DAE">
      <w:pPr>
        <w:pStyle w:val="NoSpacing"/>
        <w:ind w:firstLine="720"/>
      </w:pPr>
      <w:r>
        <w:t>benefits under the ODDL, in Section 52-3-14(D), applies to Widow’s death benefits.</w:t>
      </w:r>
    </w:p>
    <w:p w14:paraId="4D7D5612" w14:textId="77777777" w:rsidR="009A3DAE" w:rsidRDefault="009A3DAE" w:rsidP="009A3DAE">
      <w:pPr>
        <w:pStyle w:val="NoSpacing"/>
        <w:ind w:firstLine="720"/>
      </w:pPr>
      <w:r>
        <w:t>Because Worker received 492 weeks of disability benefits during his life, Widow’s</w:t>
      </w:r>
    </w:p>
    <w:p w14:paraId="5C5BC8CE" w14:textId="77777777" w:rsidR="009A3DAE" w:rsidRDefault="009A3DAE" w:rsidP="009A3DAE">
      <w:pPr>
        <w:pStyle w:val="NoSpacing"/>
        <w:ind w:left="720"/>
      </w:pPr>
      <w:r>
        <w:t xml:space="preserve">death benefits are limited to the remaining 208 weeks…. Section 52-3-14(H)(2) sets the maximum duration of death benefits, standing alone, at 700 weeks from the date of a worker’s death, while Section 52-3-2 14(D) limits the combined total of all collective benefits, including disability and death, to a 700-week aggregate limit. This reading gives meaning and effect to every part of the statute…. The aggregate limit in Section 52-3-14(D) reflects a legislative judgment to limit employers’ total exposure, a ‘legitimate legislative goal,’ per our Supreme Court in </w:t>
      </w:r>
      <w:r w:rsidRPr="007A1F85">
        <w:rPr>
          <w:i/>
          <w:iCs/>
        </w:rPr>
        <w:t>Schirme</w:t>
      </w:r>
      <w:r>
        <w:t>r, 1994-NMSC-095, ¶ 8.”</w:t>
      </w:r>
    </w:p>
    <w:p w14:paraId="48335FA0" w14:textId="77777777" w:rsidR="009A3DAE" w:rsidRDefault="009A3DAE" w:rsidP="009A3DAE">
      <w:pPr>
        <w:pStyle w:val="NoSpacing"/>
        <w:ind w:left="720"/>
      </w:pPr>
    </w:p>
    <w:p w14:paraId="75E86054" w14:textId="77777777" w:rsidR="009A3DAE" w:rsidRDefault="009A3DAE" w:rsidP="009A3DAE">
      <w:pPr>
        <w:pStyle w:val="NoSpacing"/>
        <w:rPr>
          <w:b/>
          <w:bCs/>
        </w:rPr>
      </w:pPr>
      <w:r w:rsidRPr="00A96F5C">
        <w:rPr>
          <w:b/>
        </w:rPr>
        <w:t xml:space="preserve">Legal lesson learned: </w:t>
      </w:r>
      <w:r>
        <w:rPr>
          <w:b/>
        </w:rPr>
        <w:t>Legislature can limit total of disability and death benefits to 700 weeks.</w:t>
      </w:r>
    </w:p>
    <w:p w14:paraId="6EC4633C" w14:textId="77777777" w:rsidR="009A3DAE" w:rsidRDefault="009A3DAE" w:rsidP="009A3DAE">
      <w:pPr>
        <w:pStyle w:val="NoSpacing"/>
        <w:rPr>
          <w:b/>
          <w:bCs/>
        </w:rPr>
      </w:pPr>
    </w:p>
    <w:p w14:paraId="7F1FE436" w14:textId="77777777" w:rsidR="009A3DAE" w:rsidRDefault="009A3DAE" w:rsidP="009A3DAE">
      <w:pPr>
        <w:pStyle w:val="NoSpacing"/>
        <w:ind w:left="720"/>
      </w:pPr>
      <w:r w:rsidRPr="00817572">
        <w:t xml:space="preserve">Note: </w:t>
      </w:r>
      <w:r>
        <w:t>The Court rejected the City’s other arguments: “</w:t>
      </w:r>
      <w:r w:rsidRPr="00244117">
        <w:t>First, Section 52-3-14(H) of the</w:t>
      </w:r>
      <w:r>
        <w:t xml:space="preserve"> </w:t>
      </w:r>
      <w:r w:rsidRPr="00244117">
        <w:t xml:space="preserve">ODDL requiring death to occur </w:t>
      </w:r>
      <w:r>
        <w:t>‘</w:t>
      </w:r>
      <w:r w:rsidRPr="00244117">
        <w:t>within the period of two years</w:t>
      </w:r>
      <w:r>
        <w:t>’</w:t>
      </w:r>
      <w:r w:rsidRPr="00244117">
        <w:t xml:space="preserve"> from the</w:t>
      </w:r>
      <w:r>
        <w:t xml:space="preserve"> </w:t>
      </w:r>
      <w:r w:rsidRPr="00244117">
        <w:t>disablement bars Widow’s claim because Worker died more than nine years after</w:t>
      </w:r>
      <w:r>
        <w:t xml:space="preserve"> </w:t>
      </w:r>
      <w:r w:rsidRPr="00244117">
        <w:t>the onset of his disablement. Second, Section 52-3-10(B)(4) of the ODDL bars death</w:t>
      </w:r>
      <w:r>
        <w:t xml:space="preserve"> </w:t>
      </w:r>
      <w:r w:rsidRPr="00244117">
        <w:t>benefits because Worker died more than three years after his last day of employment</w:t>
      </w:r>
      <w:r>
        <w:t xml:space="preserve"> </w:t>
      </w:r>
      <w:r w:rsidRPr="00244117">
        <w:t>with the City.</w:t>
      </w:r>
      <w:r>
        <w:t>”</w:t>
      </w:r>
    </w:p>
    <w:p w14:paraId="0582EFB8" w14:textId="77777777" w:rsidR="009A3DAE" w:rsidRDefault="009A3DAE" w:rsidP="009A3DAE">
      <w:pPr>
        <w:rPr>
          <w:b/>
        </w:rPr>
      </w:pPr>
    </w:p>
    <w:p w14:paraId="7CEBCDA2" w14:textId="77777777" w:rsidR="00CC293C" w:rsidRDefault="00CC293C" w:rsidP="00C26E25">
      <w:pPr>
        <w:rPr>
          <w:rFonts w:ascii="Arial Black" w:hAnsi="Arial Black"/>
          <w:b/>
          <w:sz w:val="24"/>
          <w:szCs w:val="24"/>
        </w:rPr>
      </w:pPr>
    </w:p>
    <w:p w14:paraId="1B595099" w14:textId="77777777" w:rsidR="00CC293C" w:rsidRDefault="00CC293C" w:rsidP="00C26E25">
      <w:pPr>
        <w:rPr>
          <w:rFonts w:ascii="Arial Black" w:hAnsi="Arial Black"/>
          <w:b/>
          <w:sz w:val="24"/>
          <w:szCs w:val="24"/>
        </w:rPr>
      </w:pPr>
    </w:p>
    <w:p w14:paraId="5D2FBA6D" w14:textId="77777777" w:rsidR="00CC293C" w:rsidRDefault="00CC293C" w:rsidP="00C26E25">
      <w:pPr>
        <w:rPr>
          <w:rFonts w:ascii="Arial Black" w:hAnsi="Arial Black"/>
          <w:b/>
          <w:sz w:val="24"/>
          <w:szCs w:val="24"/>
        </w:rPr>
      </w:pPr>
    </w:p>
    <w:p w14:paraId="4B4D6EAC" w14:textId="4C75C5BD" w:rsidR="00C26E25" w:rsidRDefault="00C26E25" w:rsidP="00C26E25">
      <w:pPr>
        <w:rPr>
          <w:rFonts w:ascii="Arial Black" w:hAnsi="Arial Black"/>
          <w:b/>
          <w:sz w:val="28"/>
          <w:szCs w:val="28"/>
        </w:rPr>
      </w:pPr>
      <w:r>
        <w:rPr>
          <w:rFonts w:ascii="Arial Black" w:hAnsi="Arial Black"/>
          <w:b/>
          <w:sz w:val="24"/>
          <w:szCs w:val="24"/>
        </w:rPr>
        <w:t>6-188</w:t>
      </w:r>
    </w:p>
    <w:p w14:paraId="3D7251DD" w14:textId="0203151B" w:rsidR="00C26E25" w:rsidRPr="00B50A22" w:rsidRDefault="00C26E25" w:rsidP="00C26E25">
      <w:pPr>
        <w:pStyle w:val="NoSpacing"/>
        <w:rPr>
          <w:rFonts w:ascii="Arial Black" w:hAnsi="Arial Black"/>
          <w:b/>
          <w:sz w:val="28"/>
          <w:szCs w:val="28"/>
        </w:rPr>
      </w:pPr>
      <w:r>
        <w:rPr>
          <w:rFonts w:ascii="Arial Black" w:hAnsi="Arial Black"/>
          <w:b/>
          <w:sz w:val="28"/>
          <w:szCs w:val="28"/>
        </w:rPr>
        <w:t>NY: NECK / SHOULDER – DEGENER - NO DISAB BENEFITS</w:t>
      </w:r>
    </w:p>
    <w:p w14:paraId="65BB6DAA" w14:textId="77777777" w:rsidR="00C26E25" w:rsidRDefault="00C26E25" w:rsidP="00C26E25">
      <w:pPr>
        <w:pStyle w:val="NoSpacing"/>
        <w:rPr>
          <w:b/>
        </w:rPr>
      </w:pPr>
    </w:p>
    <w:p w14:paraId="626AFF8D" w14:textId="77777777" w:rsidR="00C26E25" w:rsidRDefault="00C26E25" w:rsidP="00C26E25">
      <w:pPr>
        <w:pStyle w:val="NoSpacing"/>
      </w:pPr>
      <w:r>
        <w:t xml:space="preserve">On July 24, 2026, </w:t>
      </w:r>
      <w:r w:rsidRPr="00FD522C">
        <w:rPr>
          <w:u w:val="single"/>
        </w:rPr>
        <w:t xml:space="preserve">In </w:t>
      </w:r>
      <w:proofErr w:type="gramStart"/>
      <w:r w:rsidRPr="00FD522C">
        <w:rPr>
          <w:u w:val="single"/>
        </w:rPr>
        <w:t>The</w:t>
      </w:r>
      <w:proofErr w:type="gramEnd"/>
      <w:r w:rsidRPr="00FD522C">
        <w:rPr>
          <w:u w:val="single"/>
        </w:rPr>
        <w:t xml:space="preserve"> Matter </w:t>
      </w:r>
      <w:proofErr w:type="gramStart"/>
      <w:r w:rsidRPr="00FD522C">
        <w:rPr>
          <w:u w:val="single"/>
        </w:rPr>
        <w:t>Of</w:t>
      </w:r>
      <w:proofErr w:type="gramEnd"/>
      <w:r w:rsidRPr="00FD522C">
        <w:rPr>
          <w:u w:val="single"/>
        </w:rPr>
        <w:t xml:space="preserve"> Randy Spencer</w:t>
      </w:r>
      <w:r>
        <w:t xml:space="preserve">, the </w:t>
      </w:r>
      <w:r w:rsidRPr="00BC5751">
        <w:t>Supreme Court of New York, Fourth Department</w:t>
      </w:r>
      <w:r>
        <w:t xml:space="preserve"> held (5 to 0) that the firefighter was properly denied disability benefits.  The firefighter’s treating physician concluded that neck and right should injuries </w:t>
      </w:r>
      <w:proofErr w:type="gramStart"/>
      <w:r>
        <w:t>were</w:t>
      </w:r>
      <w:proofErr w:type="gramEnd"/>
      <w:r>
        <w:t xml:space="preserve"> a direct result of the March 7, </w:t>
      </w:r>
      <w:proofErr w:type="gramStart"/>
      <w:r>
        <w:t>2019</w:t>
      </w:r>
      <w:proofErr w:type="gramEnd"/>
      <w:r>
        <w:t xml:space="preserve"> on duty crash when he was driving the fire truck, the doctor never reviewed the firefighter’s prior medical records.  The City’s physician did review the </w:t>
      </w:r>
      <w:r w:rsidRPr="00B50A22">
        <w:t>pre-accident medical history</w:t>
      </w:r>
      <w:r>
        <w:t xml:space="preserve">, which revealed prior </w:t>
      </w:r>
      <w:r w:rsidRPr="00B50A22">
        <w:t>chronic degeneration</w:t>
      </w:r>
      <w:r>
        <w:t xml:space="preserve"> of neck and shoulder.  </w:t>
      </w:r>
      <w:hyperlink r:id="rId1038" w:history="1">
        <w:r w:rsidRPr="005315D9">
          <w:rPr>
            <w:rStyle w:val="Hyperlink"/>
          </w:rPr>
          <w:t>https://public.fastcase.com/Jhe1Qn%2BmJndQYQU6z%2FeNm3BZXxMtfKvDKUuuTsV2npm66ieHwlmdQlB7eZ5vGA8QuOESb%2F3K1RQvpQEkPuEDUbGjL%2Fa81lCq0WbwpmSle%2Fs%3D?utm_medium=email&amp;_hsenc=p2ANqtz-_5eDAf6zJHZ3x5XTDJZmK3o4KVQ_64dEa2tiItnjUQH6kGchr0D5wuvNQXhbtIIPVnIy-jvGCDQGSZmLLj65ZPiQLHfg&amp;_hsmi=226712652&amp;utm_content=226712652&amp;utm_source=hs_email</w:t>
        </w:r>
      </w:hyperlink>
      <w:r>
        <w:t xml:space="preserve"> </w:t>
      </w:r>
    </w:p>
    <w:p w14:paraId="3DDABA89" w14:textId="77777777" w:rsidR="00C26E25" w:rsidRDefault="00C26E25" w:rsidP="00C26E25">
      <w:pPr>
        <w:pStyle w:val="NoSpacing"/>
      </w:pPr>
    </w:p>
    <w:p w14:paraId="0B32EC58" w14:textId="77777777" w:rsidR="00C26E25" w:rsidRPr="00BC5751" w:rsidRDefault="00C26E25" w:rsidP="00C26E25">
      <w:pPr>
        <w:pStyle w:val="NoSpacing"/>
        <w:rPr>
          <w:bCs/>
        </w:rPr>
      </w:pPr>
      <w:r>
        <w:t>THE COURT WROTE:</w:t>
      </w:r>
    </w:p>
    <w:p w14:paraId="3BA1A5E4" w14:textId="77777777" w:rsidR="00C26E25" w:rsidRPr="003B6EA6" w:rsidRDefault="00C26E25" w:rsidP="00C26E25">
      <w:pPr>
        <w:pStyle w:val="NoSpacing"/>
        <w:rPr>
          <w:bCs/>
        </w:rPr>
      </w:pPr>
    </w:p>
    <w:p w14:paraId="4365DEF7" w14:textId="77777777" w:rsidR="00C26E25" w:rsidRDefault="00C26E25" w:rsidP="00C26E25">
      <w:pPr>
        <w:pStyle w:val="NoSpacing"/>
      </w:pPr>
      <w:r>
        <w:t>“</w:t>
      </w:r>
      <w:r w:rsidRPr="00323804">
        <w:t>At the hearing, petitioner presented evidence that he was involved in an on-duty motor vehicle accident while he was driving a City fire truck on March 7, 2019, and that he suffered neck and right shoulder injuries that rendered him physically unable to return to work as a firefighter. Petitioner's evidence included testimony from a physician who began treating petitioner for complaints of neck and right arm pain on March 28, 2019. Although the physician did not review any of petitioner's medical records from before March 7, 2019, the physician opined that petitioner's injuries were caused by the motor vehicle accident.</w:t>
      </w:r>
    </w:p>
    <w:p w14:paraId="362779FB" w14:textId="77777777" w:rsidR="00C26E25" w:rsidRDefault="00C26E25" w:rsidP="00C26E25">
      <w:pPr>
        <w:pStyle w:val="NoSpacing"/>
      </w:pPr>
    </w:p>
    <w:p w14:paraId="237F5A44" w14:textId="77777777" w:rsidR="00C26E25" w:rsidRDefault="00C26E25" w:rsidP="00C26E25">
      <w:pPr>
        <w:pStyle w:val="NoSpacing"/>
      </w:pPr>
      <w:r>
        <w:t>***</w:t>
      </w:r>
    </w:p>
    <w:p w14:paraId="67B6B280" w14:textId="77777777" w:rsidR="00C26E25" w:rsidRDefault="00C26E25" w:rsidP="00C26E25">
      <w:pPr>
        <w:pStyle w:val="NoSpacing"/>
      </w:pPr>
    </w:p>
    <w:p w14:paraId="66EAC37F" w14:textId="77777777" w:rsidR="00C26E25" w:rsidRDefault="00C26E25" w:rsidP="00C26E25">
      <w:pPr>
        <w:pStyle w:val="NoSpacing"/>
      </w:pPr>
      <w:r w:rsidRPr="00B50A22">
        <w:t xml:space="preserve">While the City did not dispute that petitioner was permanently disabled, the City's examining physician testified that petitioner's prior medical history indicated that his injuries began before March 7, 2019, and were the result of chronic degeneration. The physician thus opined that petitioner's injuries were preexisting and not caused by the motor vehicle accident. The Hearing Officer found both physicians to be credible but found the opinion of the City's </w:t>
      </w:r>
      <w:proofErr w:type="gramStart"/>
      <w:r w:rsidRPr="00B50A22">
        <w:t>expert</w:t>
      </w:r>
      <w:proofErr w:type="gramEnd"/>
      <w:r w:rsidRPr="00B50A22">
        <w:t xml:space="preserve"> more persuasive </w:t>
      </w:r>
      <w:proofErr w:type="gramStart"/>
      <w:r w:rsidRPr="00B50A22">
        <w:t>in light of</w:t>
      </w:r>
      <w:proofErr w:type="gramEnd"/>
      <w:r w:rsidRPr="00B50A22">
        <w:t xml:space="preserve"> the physician's review of petitioner's pre-accident medical history. The Hearing Officer "was entitled to weigh the parties' conflicting medical evidence and to assess the credibility of the witnesses, and [w]e may not weigh the evidence or reject [the Hearing Officer's] choice where the evidence is conflicting and room for a choice exists" (Matter of Erie County Sheriff' s Police Benevolent Assn., Inc. v County of Erie, 159 A.D.3d 1561, 1562 [4th Dept 2018] [internal quotation marks omitted]; see Matter of Childs v City of Little Falls, 109 A.D.3d 1148, 1149 [4th Dept 2013]). We have reviewed petitioner's remaining contention and conclude that it does not require a different result.</w:t>
      </w:r>
      <w:r>
        <w:t>”</w:t>
      </w:r>
    </w:p>
    <w:p w14:paraId="575AC7A9" w14:textId="77777777" w:rsidR="00C26E25" w:rsidRDefault="00C26E25" w:rsidP="00C26E25">
      <w:pPr>
        <w:pStyle w:val="NoSpacing"/>
      </w:pPr>
    </w:p>
    <w:p w14:paraId="50AA8725" w14:textId="77777777" w:rsidR="00C26E25" w:rsidRPr="0083472F" w:rsidRDefault="00C26E25" w:rsidP="00C26E25">
      <w:pPr>
        <w:pStyle w:val="NoSpacing"/>
        <w:rPr>
          <w:b/>
          <w:bCs/>
        </w:rPr>
      </w:pPr>
      <w:r>
        <w:rPr>
          <w:b/>
        </w:rPr>
        <w:t xml:space="preserve">Legal lesson learned: Expert testimony is critical in workers compensation case. </w:t>
      </w:r>
    </w:p>
    <w:p w14:paraId="390F6DBC" w14:textId="77777777" w:rsidR="00C26E25" w:rsidRDefault="00C26E25" w:rsidP="00C26E25">
      <w:pPr>
        <w:pStyle w:val="NoSpacing"/>
        <w:rPr>
          <w:b/>
        </w:rPr>
      </w:pPr>
    </w:p>
    <w:p w14:paraId="1FF1903A" w14:textId="77777777" w:rsidR="00C26E25" w:rsidRDefault="00C26E25" w:rsidP="00C26E25">
      <w:pPr>
        <w:pStyle w:val="NoSpacing"/>
        <w:rPr>
          <w:b/>
          <w:sz w:val="20"/>
          <w:szCs w:val="20"/>
        </w:rPr>
      </w:pPr>
    </w:p>
    <w:p w14:paraId="1136CD20" w14:textId="77777777" w:rsidR="00C26E25" w:rsidRDefault="00C26E25" w:rsidP="00C26E25">
      <w:pPr>
        <w:pStyle w:val="NoSpacing"/>
        <w:rPr>
          <w:b/>
          <w:sz w:val="20"/>
          <w:szCs w:val="20"/>
        </w:rPr>
      </w:pPr>
    </w:p>
    <w:p w14:paraId="7E68061C" w14:textId="77777777" w:rsidR="00C26E25" w:rsidRDefault="00C26E25" w:rsidP="00C26E25">
      <w:pPr>
        <w:pStyle w:val="NoSpacing"/>
        <w:rPr>
          <w:b/>
          <w:sz w:val="20"/>
          <w:szCs w:val="20"/>
        </w:rPr>
      </w:pPr>
    </w:p>
    <w:p w14:paraId="77BF56EE" w14:textId="77777777" w:rsidR="00C26E25" w:rsidRDefault="00C26E25" w:rsidP="00C26E25">
      <w:pPr>
        <w:pStyle w:val="NoSpacing"/>
        <w:rPr>
          <w:b/>
          <w:sz w:val="20"/>
          <w:szCs w:val="20"/>
        </w:rPr>
      </w:pPr>
    </w:p>
    <w:p w14:paraId="0276E4EC" w14:textId="77777777" w:rsidR="00C26E25" w:rsidRDefault="00C26E25" w:rsidP="00C26E25">
      <w:pPr>
        <w:pStyle w:val="NoSpacing"/>
        <w:rPr>
          <w:b/>
          <w:sz w:val="20"/>
          <w:szCs w:val="20"/>
        </w:rPr>
      </w:pPr>
    </w:p>
    <w:p w14:paraId="6E0EEDB0" w14:textId="07924EF2" w:rsidR="00C26E25" w:rsidRDefault="00C26E25" w:rsidP="00C26E25">
      <w:pPr>
        <w:pStyle w:val="NoSpacing"/>
        <w:rPr>
          <w:rFonts w:ascii="Arial Black" w:hAnsi="Arial Black"/>
          <w:bCs/>
          <w:sz w:val="24"/>
          <w:szCs w:val="24"/>
        </w:rPr>
      </w:pPr>
      <w:r w:rsidRPr="00C26E25">
        <w:rPr>
          <w:rFonts w:ascii="Arial Black" w:hAnsi="Arial Black"/>
          <w:bCs/>
          <w:sz w:val="24"/>
          <w:szCs w:val="24"/>
        </w:rPr>
        <w:t>6-187</w:t>
      </w:r>
    </w:p>
    <w:p w14:paraId="7BAEF53D" w14:textId="77777777" w:rsidR="00C26E25" w:rsidRPr="00C26E25" w:rsidRDefault="00C26E25" w:rsidP="00C26E25">
      <w:pPr>
        <w:pStyle w:val="NoSpacing"/>
        <w:rPr>
          <w:rFonts w:ascii="Arial Black" w:hAnsi="Arial Black"/>
          <w:bCs/>
          <w:sz w:val="24"/>
          <w:szCs w:val="24"/>
        </w:rPr>
      </w:pPr>
    </w:p>
    <w:p w14:paraId="4DC16DAD" w14:textId="77777777" w:rsidR="00C26E25" w:rsidRDefault="00C26E25" w:rsidP="00C26E25">
      <w:pPr>
        <w:pStyle w:val="NoSpacing"/>
        <w:rPr>
          <w:rFonts w:ascii="Arial Black" w:hAnsi="Arial Black"/>
          <w:bCs/>
          <w:sz w:val="28"/>
          <w:szCs w:val="28"/>
        </w:rPr>
      </w:pPr>
      <w:r>
        <w:rPr>
          <w:rFonts w:ascii="Arial Black" w:hAnsi="Arial Black"/>
          <w:sz w:val="28"/>
          <w:szCs w:val="28"/>
        </w:rPr>
        <w:t xml:space="preserve">MA: BACK INJURY – ALSO LYMPHOMA – GETS WORK COMP </w:t>
      </w:r>
    </w:p>
    <w:p w14:paraId="10995FB1" w14:textId="77777777" w:rsidR="00C26E25" w:rsidRDefault="00C26E25" w:rsidP="00C26E25">
      <w:pPr>
        <w:pStyle w:val="NoSpacing"/>
        <w:rPr>
          <w:bCs/>
        </w:rPr>
      </w:pPr>
    </w:p>
    <w:p w14:paraId="66F8B49B" w14:textId="77777777" w:rsidR="00C26E25" w:rsidRDefault="00C26E25" w:rsidP="00C26E25">
      <w:pPr>
        <w:pStyle w:val="NoSpacing"/>
        <w:rPr>
          <w:bCs/>
        </w:rPr>
      </w:pPr>
      <w:r>
        <w:lastRenderedPageBreak/>
        <w:t xml:space="preserve">On July 24, 2026, </w:t>
      </w:r>
      <w:proofErr w:type="gramStart"/>
      <w:r w:rsidRPr="00006F13">
        <w:rPr>
          <w:u w:val="single"/>
        </w:rPr>
        <w:t>In</w:t>
      </w:r>
      <w:proofErr w:type="gramEnd"/>
      <w:r w:rsidRPr="00006F13">
        <w:rPr>
          <w:u w:val="single"/>
        </w:rPr>
        <w:t xml:space="preserve"> re Michael Gallaher</w:t>
      </w:r>
      <w:r>
        <w:t xml:space="preserve">, the </w:t>
      </w:r>
      <w:r w:rsidRPr="00006F13">
        <w:t>Appeals Court of Massachusetts</w:t>
      </w:r>
      <w:r>
        <w:t xml:space="preserve"> held (3 to 0) that the Administrative Law Judge, and the Review Board of the Department of Industrial Accidents, properly ordered the </w:t>
      </w:r>
      <w:proofErr w:type="gramStart"/>
      <w:r>
        <w:t>City</w:t>
      </w:r>
      <w:proofErr w:type="gramEnd"/>
      <w:r>
        <w:t xml:space="preserve"> to pay ongoing workers comp benefits. The Medic, injured back in 2019 and again in 2021, had to retire and now requires use of a wheelchair with severe </w:t>
      </w:r>
      <w:r w:rsidRPr="007F378A">
        <w:t>neurological deficit</w:t>
      </w:r>
      <w:r>
        <w:t xml:space="preserve">.  When medical examinations showed that the Medic also has </w:t>
      </w:r>
      <w:r w:rsidRPr="002F467D">
        <w:t>non-Hodgkin's lymphoma</w:t>
      </w:r>
      <w:r>
        <w:t xml:space="preserve">; the </w:t>
      </w:r>
      <w:proofErr w:type="gramStart"/>
      <w:r>
        <w:t>City</w:t>
      </w:r>
      <w:proofErr w:type="gramEnd"/>
      <w:r>
        <w:t xml:space="preserve"> in 2022 filed a </w:t>
      </w:r>
      <w:r w:rsidRPr="00745C39">
        <w:t>complaint for discontinuance of benefits, contending that any ongoing disability was no longer related to the industrial injury.</w:t>
      </w:r>
      <w:r>
        <w:t xml:space="preserve"> The firefighter’s expert was key to the decision: while</w:t>
      </w:r>
      <w:r w:rsidRPr="00745C39">
        <w:t xml:space="preserve"> </w:t>
      </w:r>
      <w:r>
        <w:t>‘</w:t>
      </w:r>
      <w:r w:rsidRPr="002F467D">
        <w:t>lifting incident did occur in the presence of probable preexisting lymphoma. However, that lifting injury significantly worsened the back and left leg symptoms.</w:t>
      </w:r>
      <w:r>
        <w:t>’</w:t>
      </w:r>
      <w:r w:rsidRPr="002F467D">
        <w:t xml:space="preserve"> </w:t>
      </w:r>
      <w:hyperlink r:id="rId1039" w:history="1">
        <w:r w:rsidRPr="005315D9">
          <w:rPr>
            <w:rStyle w:val="Hyperlink"/>
          </w:rPr>
          <w:t>https://public.fastcase.com/Jhe1Qn%2BmJndQYQU6z%2FeNm5P3wAYrkQ98kdLlymoB1tnqkW6UeoR3EEofjHZbRGV948hVvIxCPDS9tpBfFEcmqGTc7kKGvATMMrEucF8thr8%3D?utm_medium=email&amp;_hsenc=p2ANqtz-8jIFUULBvOMnFFZTJscGA3kv4aE6mAq6MuaEb49Zar3qBrOzpASOYVP1MlSDLvHBN7GmUVAcOXynKq8kt28mHQPYsJ8w&amp;_hsmi=226712652&amp;utm_content=226712652&amp;utm_source=hs_email</w:t>
        </w:r>
      </w:hyperlink>
      <w:r>
        <w:t xml:space="preserve"> </w:t>
      </w:r>
    </w:p>
    <w:p w14:paraId="6E359E0F" w14:textId="77777777" w:rsidR="00C26E25" w:rsidRDefault="00C26E25" w:rsidP="00C26E25">
      <w:pPr>
        <w:pStyle w:val="NoSpacing"/>
        <w:rPr>
          <w:bCs/>
        </w:rPr>
      </w:pPr>
    </w:p>
    <w:p w14:paraId="19FD9A0A" w14:textId="77777777" w:rsidR="00C26E25" w:rsidRDefault="00C26E25" w:rsidP="00C26E25">
      <w:pPr>
        <w:pStyle w:val="NoSpacing"/>
        <w:rPr>
          <w:bCs/>
        </w:rPr>
      </w:pPr>
      <w:r>
        <w:t>THE COURT WROTE:</w:t>
      </w:r>
    </w:p>
    <w:p w14:paraId="310B3D63" w14:textId="77777777" w:rsidR="00C26E25" w:rsidRDefault="00C26E25" w:rsidP="00C26E25">
      <w:pPr>
        <w:pStyle w:val="NoSpacing"/>
        <w:rPr>
          <w:bCs/>
        </w:rPr>
      </w:pPr>
    </w:p>
    <w:p w14:paraId="173ECAF2" w14:textId="77777777" w:rsidR="00C26E25" w:rsidRDefault="00C26E25" w:rsidP="00C26E25">
      <w:pPr>
        <w:pStyle w:val="NoSpacing"/>
      </w:pPr>
      <w:r>
        <w:t>“</w:t>
      </w:r>
      <w:r w:rsidRPr="00120347">
        <w:t xml:space="preserve">On August 18, 2019, he </w:t>
      </w:r>
      <w:r>
        <w:t>‘</w:t>
      </w:r>
      <w:r w:rsidRPr="00120347">
        <w:t>injured his back lifting a patient,</w:t>
      </w:r>
      <w:r>
        <w:t xml:space="preserve">’ </w:t>
      </w:r>
      <w:r w:rsidRPr="00120347">
        <w:t>and experienced mid to low back pain and numbness associated with radiation down the left leg. He subsequently returned to work, and on February 20, 2021</w:t>
      </w:r>
      <w:r>
        <w:t xml:space="preserve"> ‘</w:t>
      </w:r>
      <w:r w:rsidRPr="00120347">
        <w:t>sustained further tragic injuries to his lumbar spine, responding to a call for cardiac arrest.</w:t>
      </w:r>
      <w:r>
        <w:t xml:space="preserve">’  [Footnote 1: </w:t>
      </w:r>
      <w:r w:rsidRPr="00456CF3">
        <w:t xml:space="preserve">While lifting a patient for transport, Gallagher </w:t>
      </w:r>
      <w:r>
        <w:t>‘</w:t>
      </w:r>
      <w:r w:rsidRPr="00456CF3">
        <w:t>felt a pop in his back with immediate intense pain down his left leg.</w:t>
      </w:r>
      <w:r>
        <w:t xml:space="preserve">’] </w:t>
      </w:r>
      <w:r w:rsidRPr="003C3F14">
        <w:t>As a result of this accident, he did not return to work. He reported the injury to the city, which began paying for medical treatment and weekly disability benefits effective February 20, 2021</w:t>
      </w:r>
      <w:r>
        <w:t xml:space="preserve">…. </w:t>
      </w:r>
      <w:r w:rsidRPr="007F378A">
        <w:t xml:space="preserve">Gallagher now requires the use of a wheelchair and ongoing medical treatment and care </w:t>
      </w:r>
      <w:r>
        <w:t>‘</w:t>
      </w:r>
      <w:r w:rsidRPr="007F378A">
        <w:t>for his now permanent, severe neurological deficits.</w:t>
      </w:r>
      <w:r>
        <w:t>’</w:t>
      </w:r>
    </w:p>
    <w:p w14:paraId="5EFC606E" w14:textId="77777777" w:rsidR="00C26E25" w:rsidRDefault="00C26E25" w:rsidP="00C26E25">
      <w:pPr>
        <w:pStyle w:val="NoSpacing"/>
      </w:pPr>
    </w:p>
    <w:p w14:paraId="130C56D9" w14:textId="77777777" w:rsidR="00C26E25" w:rsidRDefault="00C26E25" w:rsidP="00C26E25">
      <w:pPr>
        <w:pStyle w:val="NoSpacing"/>
      </w:pPr>
      <w:r>
        <w:t>***</w:t>
      </w:r>
    </w:p>
    <w:p w14:paraId="5B6C721C" w14:textId="77777777" w:rsidR="00C26E25" w:rsidRDefault="00C26E25" w:rsidP="00C26E25">
      <w:pPr>
        <w:pStyle w:val="NoSpacing"/>
      </w:pPr>
      <w:r w:rsidRPr="00F67D02">
        <w:t xml:space="preserve">The city offered the reports of (1) an anesthesiologist who opined that the work-related injury of February 20, 2021, was not the cause of Gallagher's symptoms, and (2) a hematologist and oncologist who opined that Gallagher </w:t>
      </w:r>
      <w:r>
        <w:t>‘</w:t>
      </w:r>
      <w:r w:rsidRPr="00F67D02">
        <w:t>had an injury which resulted in some of the paraparesis, but the cauda equina syndrome was due to the evolving intravascular large B-cell lymphoma.</w:t>
      </w:r>
      <w:r>
        <w:t>’</w:t>
      </w:r>
    </w:p>
    <w:p w14:paraId="6A628D9C" w14:textId="77777777" w:rsidR="00C26E25" w:rsidRDefault="00C26E25" w:rsidP="00C26E25">
      <w:pPr>
        <w:pStyle w:val="NoSpacing"/>
      </w:pPr>
    </w:p>
    <w:p w14:paraId="61DF9A06" w14:textId="77777777" w:rsidR="00C26E25" w:rsidRPr="002F467D" w:rsidRDefault="00C26E25" w:rsidP="00C26E25">
      <w:pPr>
        <w:pStyle w:val="NoSpacing"/>
        <w:rPr>
          <w:bCs/>
        </w:rPr>
      </w:pPr>
      <w:r w:rsidRPr="00EA3C6E">
        <w:t>The sole contention on appeal is that the board's summary affirmance of the administrative judge's decision was arbitrary, capricious, contrary to law, or an abuse of discretion because it was based on legally insufficient medical opinion evidence. We affirm.</w:t>
      </w:r>
      <w:r>
        <w:t xml:space="preserve"> </w:t>
      </w:r>
      <w:r w:rsidRPr="002F467D">
        <w:t xml:space="preserve">Here, there is no merit to the city's claim that the IME's causation opinions were not stated to a reasonable degree of medical certainty. Contrary to this claim, the IME wrote in </w:t>
      </w:r>
      <w:proofErr w:type="gramStart"/>
      <w:r w:rsidRPr="002F467D">
        <w:t>his</w:t>
      </w:r>
      <w:proofErr w:type="gramEnd"/>
      <w:r w:rsidRPr="002F467D">
        <w:t xml:space="preserve"> report as follows: </w:t>
      </w:r>
    </w:p>
    <w:p w14:paraId="5A24B7C9" w14:textId="77777777" w:rsidR="00C26E25" w:rsidRDefault="00C26E25" w:rsidP="00C26E25">
      <w:pPr>
        <w:pStyle w:val="NoSpacing"/>
        <w:rPr>
          <w:bCs/>
        </w:rPr>
      </w:pPr>
    </w:p>
    <w:p w14:paraId="4DAB9188" w14:textId="77777777" w:rsidR="00C26E25" w:rsidRDefault="00C26E25" w:rsidP="00C26E25">
      <w:pPr>
        <w:pStyle w:val="NoSpacing"/>
        <w:ind w:left="720"/>
        <w:rPr>
          <w:bCs/>
        </w:rPr>
      </w:pPr>
      <w:r w:rsidRPr="002F467D">
        <w:t>"</w:t>
      </w:r>
      <w:proofErr w:type="gramStart"/>
      <w:r w:rsidRPr="002F467D">
        <w:t>it</w:t>
      </w:r>
      <w:proofErr w:type="gramEnd"/>
      <w:r w:rsidRPr="002F467D">
        <w:t xml:space="preserve"> is my professional opinion, to a reasonable degree of medical certainty that causally related to the industrial injury of 02/20/21, Mr. Gallagher sustained an acute injury at L4-5 resulting in a </w:t>
      </w:r>
      <w:proofErr w:type="gramStart"/>
      <w:r w:rsidRPr="002F467D">
        <w:t>broad based</w:t>
      </w:r>
      <w:proofErr w:type="gramEnd"/>
      <w:r w:rsidRPr="002F467D">
        <w:t xml:space="preserve"> disc protrusion with subsequent acute onset of back pain and left lumbar radiculopathy in the presence of non-Hodgkin's lymphoma." </w:t>
      </w:r>
    </w:p>
    <w:p w14:paraId="49FADD61" w14:textId="77777777" w:rsidR="00C26E25" w:rsidRDefault="00C26E25" w:rsidP="00C26E25">
      <w:pPr>
        <w:pStyle w:val="NoSpacing"/>
        <w:rPr>
          <w:bCs/>
        </w:rPr>
      </w:pPr>
    </w:p>
    <w:p w14:paraId="380BBD50" w14:textId="77777777" w:rsidR="00C26E25" w:rsidRDefault="00C26E25" w:rsidP="00C26E25">
      <w:pPr>
        <w:pStyle w:val="NoSpacing"/>
        <w:rPr>
          <w:bCs/>
        </w:rPr>
      </w:pPr>
      <w:r w:rsidRPr="002F467D">
        <w:t xml:space="preserve">He further opined that the </w:t>
      </w:r>
      <w:r>
        <w:t>‘</w:t>
      </w:r>
      <w:r w:rsidRPr="002F467D">
        <w:t>lifting incident did occur in the presence of probable preexisting lymphoma. However, that lifting injury significantly worsened the back and left leg symptoms.</w:t>
      </w:r>
      <w:r>
        <w:t>’</w:t>
      </w:r>
      <w:r w:rsidRPr="002F467D">
        <w:t xml:space="preserve"> He also stated, </w:t>
      </w:r>
      <w:r>
        <w:t>‘</w:t>
      </w:r>
      <w:r w:rsidRPr="002F467D">
        <w:t>In my opinion, the industrial incident of 02/20/2021 was a major, but not necessarily predominant cause of his onset of back and left leg symptoms, as well as results of cauda equina syndrome.</w:t>
      </w:r>
      <w:r>
        <w:t>’</w:t>
      </w:r>
      <w:r w:rsidRPr="002F467D">
        <w:t xml:space="preserve"> To avoid any confusion, he repeated </w:t>
      </w:r>
      <w:proofErr w:type="gramStart"/>
      <w:r w:rsidRPr="002F467D">
        <w:t xml:space="preserve">that </w:t>
      </w:r>
      <w:r>
        <w:t>‘</w:t>
      </w:r>
      <w:r w:rsidRPr="002F467D">
        <w:t>[</w:t>
      </w:r>
      <w:proofErr w:type="gramEnd"/>
      <w:r w:rsidRPr="002F467D">
        <w:t>a]11 my opinions are stated to within a reasonable degree of medical certainty.</w:t>
      </w:r>
      <w:r>
        <w:t xml:space="preserve">’ </w:t>
      </w:r>
      <w:r w:rsidRPr="002F467D">
        <w:t>Thus, this aspect of the city's argument fails.</w:t>
      </w:r>
      <w:r>
        <w:t>”</w:t>
      </w:r>
    </w:p>
    <w:p w14:paraId="356A6F32" w14:textId="77777777" w:rsidR="00C26E25" w:rsidRDefault="00C26E25" w:rsidP="00C26E25">
      <w:pPr>
        <w:pStyle w:val="NoSpacing"/>
        <w:rPr>
          <w:bCs/>
        </w:rPr>
      </w:pPr>
    </w:p>
    <w:p w14:paraId="4F388F6E" w14:textId="77777777" w:rsidR="00C26E25" w:rsidRPr="00373CB9" w:rsidRDefault="00C26E25" w:rsidP="00C26E25">
      <w:pPr>
        <w:pStyle w:val="NoSpacing"/>
        <w:rPr>
          <w:b/>
        </w:rPr>
      </w:pPr>
      <w:r>
        <w:rPr>
          <w:b/>
        </w:rPr>
        <w:t xml:space="preserve">Legal lesson learned: The Medic’s expert was key to continuing benefits. </w:t>
      </w:r>
    </w:p>
    <w:p w14:paraId="47E346A0" w14:textId="77777777" w:rsidR="00C26E25" w:rsidRDefault="00C26E25" w:rsidP="00C26E25">
      <w:pPr>
        <w:pStyle w:val="NoSpacing"/>
        <w:rPr>
          <w:bCs/>
        </w:rPr>
      </w:pPr>
    </w:p>
    <w:p w14:paraId="751955E4" w14:textId="77777777" w:rsidR="00C26E25" w:rsidRDefault="00C26E25" w:rsidP="00C26E25">
      <w:pPr>
        <w:pStyle w:val="NoSpacing"/>
        <w:rPr>
          <w:b/>
          <w:sz w:val="20"/>
          <w:szCs w:val="20"/>
        </w:rPr>
      </w:pPr>
    </w:p>
    <w:p w14:paraId="68011000" w14:textId="77777777" w:rsidR="00C26E25" w:rsidRDefault="00C26E25" w:rsidP="00C26E25">
      <w:pPr>
        <w:pStyle w:val="NoSpacing"/>
        <w:rPr>
          <w:b/>
          <w:sz w:val="20"/>
          <w:szCs w:val="20"/>
        </w:rPr>
      </w:pPr>
    </w:p>
    <w:p w14:paraId="0BCFB9BA" w14:textId="77777777" w:rsidR="00C26E25" w:rsidRDefault="00C26E25" w:rsidP="00C26E25">
      <w:pPr>
        <w:pStyle w:val="NoSpacing"/>
        <w:rPr>
          <w:b/>
          <w:sz w:val="20"/>
          <w:szCs w:val="20"/>
        </w:rPr>
      </w:pPr>
    </w:p>
    <w:p w14:paraId="28FD5281" w14:textId="5470AA9E" w:rsidR="00C26E25" w:rsidRPr="00C26E25" w:rsidRDefault="00C26E25" w:rsidP="00C26E25">
      <w:pPr>
        <w:pStyle w:val="NoSpacing"/>
        <w:rPr>
          <w:rFonts w:ascii="Arial Black" w:hAnsi="Arial Black"/>
          <w:b/>
          <w:sz w:val="24"/>
          <w:szCs w:val="24"/>
        </w:rPr>
      </w:pPr>
      <w:r w:rsidRPr="00C26E25">
        <w:rPr>
          <w:rFonts w:ascii="Arial Black" w:hAnsi="Arial Black"/>
          <w:b/>
          <w:sz w:val="24"/>
          <w:szCs w:val="24"/>
        </w:rPr>
        <w:t>6-186</w:t>
      </w:r>
    </w:p>
    <w:p w14:paraId="1952EFCA" w14:textId="77777777" w:rsidR="00C26E25" w:rsidRDefault="00C26E25" w:rsidP="00C26E25">
      <w:pPr>
        <w:pStyle w:val="NoSpacing"/>
        <w:rPr>
          <w:b/>
        </w:rPr>
      </w:pPr>
    </w:p>
    <w:p w14:paraId="1DC5D274" w14:textId="77777777" w:rsidR="00C26E25" w:rsidRPr="002A6BE9" w:rsidRDefault="00C26E25" w:rsidP="00C26E25">
      <w:pPr>
        <w:pStyle w:val="NoSpacing"/>
        <w:rPr>
          <w:rFonts w:ascii="Arial Black" w:hAnsi="Arial Black"/>
          <w:sz w:val="28"/>
          <w:szCs w:val="28"/>
        </w:rPr>
      </w:pPr>
      <w:r>
        <w:rPr>
          <w:rFonts w:ascii="Arial Black" w:hAnsi="Arial Black"/>
          <w:sz w:val="28"/>
          <w:szCs w:val="28"/>
        </w:rPr>
        <w:t xml:space="preserve">PA: MEDIC - BACK &amp; PTSD – NO SOC. SEC. / OTHER WORK </w:t>
      </w:r>
    </w:p>
    <w:p w14:paraId="49277D36" w14:textId="77777777" w:rsidR="00C26E25" w:rsidRDefault="00C26E25" w:rsidP="00C26E25">
      <w:pPr>
        <w:pStyle w:val="NoSpacing"/>
      </w:pPr>
    </w:p>
    <w:p w14:paraId="0AFB6EFD" w14:textId="77777777" w:rsidR="00C26E25" w:rsidRDefault="00C26E25" w:rsidP="00C26E25">
      <w:pPr>
        <w:pStyle w:val="NoSpacing"/>
      </w:pPr>
      <w:r>
        <w:t xml:space="preserve">On July 15, 2026, in </w:t>
      </w:r>
      <w:r w:rsidRPr="0072079C">
        <w:rPr>
          <w:u w:val="single"/>
        </w:rPr>
        <w:t>Brian Robert Bohr v. Frank Bisiganano, Commissioner of Social Security</w:t>
      </w:r>
      <w:r>
        <w:t xml:space="preserve">, U.S .Magistrate Judge </w:t>
      </w:r>
      <w:r w:rsidRPr="00D93BFB">
        <w:t>Martin C. Carlson</w:t>
      </w:r>
      <w:r>
        <w:t xml:space="preserve">, </w:t>
      </w:r>
      <w:r w:rsidRPr="00D93BFB">
        <w:t xml:space="preserve">United States </w:t>
      </w:r>
      <w:r>
        <w:t>District Court for the Middle District of Pennsylvania, affirmed the decision of the Administrative Law Judge.  His PTSD included on O</w:t>
      </w:r>
      <w:r w:rsidRPr="00A60E8A">
        <w:t xml:space="preserve">ctober 26, 2022, the claimant was voluntarily hospitalized for suicidal ideation without a plan, reporting ongoing pain and depression relating to his physical </w:t>
      </w:r>
      <w:proofErr w:type="gramStart"/>
      <w:r w:rsidRPr="00A60E8A">
        <w:t>condition</w:t>
      </w:r>
      <w:r>
        <w:t>s</w:t>
      </w:r>
      <w:proofErr w:type="gramEnd"/>
      <w:r>
        <w:t xml:space="preserve"> </w:t>
      </w:r>
      <w:r w:rsidRPr="00A60E8A">
        <w:t>and inability to work, losing his pet of fourteen (14) years, and feeling like a burden to his family</w:t>
      </w:r>
      <w:r>
        <w:t xml:space="preserve">.  </w:t>
      </w:r>
      <w:hyperlink r:id="rId1040" w:history="1">
        <w:r w:rsidRPr="004D1C66">
          <w:rPr>
            <w:rStyle w:val="Hyperlink"/>
          </w:rPr>
          <w:t>https://cases.justia.com/federal/district-courts/pennsylvania/pamdce/1:2024cv00290/141189/15/0.pdf?ts=1784317755</w:t>
        </w:r>
      </w:hyperlink>
      <w:r>
        <w:t xml:space="preserve"> </w:t>
      </w:r>
    </w:p>
    <w:p w14:paraId="6ADDA8BD" w14:textId="77777777" w:rsidR="00C26E25" w:rsidRDefault="00C26E25" w:rsidP="00C26E25">
      <w:pPr>
        <w:pStyle w:val="NoSpacing"/>
      </w:pPr>
    </w:p>
    <w:p w14:paraId="549F49C7" w14:textId="77777777" w:rsidR="00C26E25" w:rsidRDefault="00C26E25" w:rsidP="00C26E25">
      <w:pPr>
        <w:pStyle w:val="NoSpacing"/>
      </w:pPr>
    </w:p>
    <w:p w14:paraId="7DDE3F84" w14:textId="77777777" w:rsidR="00C26E25" w:rsidRDefault="00C26E25" w:rsidP="00C26E25">
      <w:pPr>
        <w:pStyle w:val="NoSpacing"/>
      </w:pPr>
      <w:r>
        <w:t>THE COURT WROTE: “</w:t>
      </w:r>
      <w:r w:rsidRPr="004E475C">
        <w:t>A hearing was conducted in this case on March 7, 2023, at which Bohr and a vocational expert testified</w:t>
      </w:r>
      <w:r>
        <w:t xml:space="preserve">…. </w:t>
      </w:r>
      <w:r w:rsidRPr="004E475C">
        <w:t>In his testimony, Bohr highlighted ongoing issues with his cervical, thoracic, and lumbar spine with the pain exacerbating his mental health symptoms</w:t>
      </w:r>
      <w:r>
        <w:t xml:space="preserve">…. </w:t>
      </w:r>
      <w:r w:rsidRPr="004E475C">
        <w:t>And, while plaintiff's counsel noted that his overexertion can lead to pain, he also indicated that Bohr retained an ability to at least perform some physical activity and activities of daily living. For example, he noted instances where the plaintiff shoveled snow, fixed flashing, and helped his father repair drywall, although he stated he ended up hospitalized after each instance</w:t>
      </w:r>
      <w:r>
        <w:t xml:space="preserve">…. </w:t>
      </w:r>
      <w:r w:rsidRPr="00F96421">
        <w:t>Having made these findings, the ALJ concluded that Bohr could not perform his past relevant work but that there were other jobs that existed in significant numbers in the national economy that he could perform</w:t>
      </w:r>
      <w:r>
        <w:t xml:space="preserve">…. </w:t>
      </w:r>
      <w:r w:rsidRPr="00F96421">
        <w:t>Accordingly, the ALJ concluded that Bohr had not met the stringent standard of disability set by law and denied this claim.</w:t>
      </w:r>
      <w:r>
        <w:t xml:space="preserve"> </w:t>
      </w:r>
    </w:p>
    <w:p w14:paraId="52379E31" w14:textId="77777777" w:rsidR="00C26E25" w:rsidRDefault="00C26E25" w:rsidP="00C26E25">
      <w:pPr>
        <w:pStyle w:val="NoSpacing"/>
      </w:pPr>
    </w:p>
    <w:p w14:paraId="3ABCA5BA" w14:textId="77777777" w:rsidR="00C26E25" w:rsidRDefault="00C26E25" w:rsidP="00C26E25">
      <w:pPr>
        <w:pStyle w:val="NoSpacing"/>
      </w:pPr>
      <w:r>
        <w:t>***</w:t>
      </w:r>
    </w:p>
    <w:p w14:paraId="722EA7EF" w14:textId="77777777" w:rsidR="00C26E25" w:rsidRDefault="00C26E25" w:rsidP="00C26E25">
      <w:pPr>
        <w:pStyle w:val="NoSpacing"/>
      </w:pPr>
    </w:p>
    <w:p w14:paraId="02ED7417" w14:textId="77777777" w:rsidR="00C26E25" w:rsidRDefault="00C26E25" w:rsidP="00C26E25">
      <w:pPr>
        <w:pStyle w:val="NoSpacing"/>
      </w:pPr>
      <w:r w:rsidRPr="002A6BE9">
        <w:t xml:space="preserve">In closing, the ALJ's assessment of the evidence in this case complied with the dictates of the law and was supported by substantial evidence. This is all that the law requires, and all that a claimant can demand in a disability proceeding. Thus, notwithstanding the argument that this evidence might have been viewed in a way which would have also supported a different finding, we are obliged to affirm this ruling once we find that it is </w:t>
      </w:r>
      <w:r>
        <w:t>‘</w:t>
      </w:r>
      <w:r w:rsidRPr="002A6BE9">
        <w:t xml:space="preserve">supported by substantial evidence, ‘even [where] this court acting </w:t>
      </w:r>
      <w:r w:rsidRPr="002A6BE9">
        <w:rPr>
          <w:i/>
          <w:iCs/>
        </w:rPr>
        <w:t>de novo</w:t>
      </w:r>
      <w:r w:rsidRPr="002A6BE9">
        <w:t xml:space="preserve"> might have reached a different conclusion.</w:t>
      </w:r>
      <w:r>
        <w:t xml:space="preserve">’ </w:t>
      </w:r>
      <w:r w:rsidRPr="002A6BE9">
        <w:t xml:space="preserve"> </w:t>
      </w:r>
      <w:r w:rsidRPr="002A6BE9">
        <w:rPr>
          <w:i/>
          <w:iCs/>
        </w:rPr>
        <w:t>Monsour Med. Ctr. v. Heckler</w:t>
      </w:r>
      <w:r w:rsidRPr="002A6BE9">
        <w:t xml:space="preserve">, 806 F.2d 1185, 1190-91 (3d Cir. 1986) (quoting </w:t>
      </w:r>
      <w:r w:rsidRPr="002A6BE9">
        <w:rPr>
          <w:i/>
          <w:iCs/>
        </w:rPr>
        <w:t>Hunter Douglas, Inc. v. NLRB</w:t>
      </w:r>
      <w:r w:rsidRPr="002A6BE9">
        <w:t>, 804 F.2d 808, 812 (3d Cir. 1986)). Accordingly, under the deferential standard of review that applies to appeals of Social Security disability determinations, we find that substantial evidence supported the ALJ's evaluation of this case and will affirm that decision.</w:t>
      </w:r>
      <w:r>
        <w:t xml:space="preserve">” </w:t>
      </w:r>
    </w:p>
    <w:p w14:paraId="6A8B37FF" w14:textId="77777777" w:rsidR="00C26E25" w:rsidRDefault="00C26E25" w:rsidP="00C26E25">
      <w:pPr>
        <w:pStyle w:val="NoSpacing"/>
      </w:pPr>
    </w:p>
    <w:p w14:paraId="79F020D4" w14:textId="77777777" w:rsidR="00C26E25" w:rsidRPr="00325C52" w:rsidRDefault="00C26E25" w:rsidP="00C26E25">
      <w:pPr>
        <w:pStyle w:val="NoSpacing"/>
        <w:rPr>
          <w:b/>
          <w:bCs/>
        </w:rPr>
      </w:pPr>
      <w:r>
        <w:rPr>
          <w:b/>
        </w:rPr>
        <w:t>Legal lesson learned: Social Security disability requires proof the claimant cannot perform any jobs, not just work as a medic; courts follow a “</w:t>
      </w:r>
      <w:r w:rsidRPr="00325C52">
        <w:rPr>
          <w:b/>
        </w:rPr>
        <w:t>deferential standard of review</w:t>
      </w:r>
      <w:r>
        <w:rPr>
          <w:b/>
        </w:rPr>
        <w:t xml:space="preserve">: where ALJ decision must be upheld when there is </w:t>
      </w:r>
      <w:r w:rsidRPr="00325C52">
        <w:rPr>
          <w:b/>
        </w:rPr>
        <w:t xml:space="preserve">“substantial evidence” supporting the ALJ's determination. </w:t>
      </w:r>
    </w:p>
    <w:p w14:paraId="0C286B24" w14:textId="77777777" w:rsidR="00C26E25" w:rsidRPr="005570A9" w:rsidRDefault="00C26E25" w:rsidP="00C26E25">
      <w:pPr>
        <w:pStyle w:val="NoSpacing"/>
        <w:rPr>
          <w:b/>
          <w:bCs/>
        </w:rPr>
      </w:pPr>
    </w:p>
    <w:p w14:paraId="62DC9B87" w14:textId="77777777" w:rsidR="00C26E25" w:rsidRDefault="00C26E25" w:rsidP="009D37DC">
      <w:pPr>
        <w:rPr>
          <w:rFonts w:ascii="Arial Black" w:hAnsi="Arial Black"/>
          <w:b/>
          <w:sz w:val="28"/>
          <w:szCs w:val="28"/>
        </w:rPr>
      </w:pPr>
    </w:p>
    <w:p w14:paraId="06E5CC31" w14:textId="77777777" w:rsidR="00C26E25" w:rsidRDefault="00C26E25" w:rsidP="009D37DC">
      <w:pPr>
        <w:rPr>
          <w:rFonts w:ascii="Arial Black" w:hAnsi="Arial Black"/>
          <w:b/>
          <w:sz w:val="28"/>
          <w:szCs w:val="28"/>
        </w:rPr>
      </w:pPr>
    </w:p>
    <w:p w14:paraId="32EAAADE" w14:textId="77777777" w:rsidR="00C26E25" w:rsidRDefault="00C26E25" w:rsidP="009D37DC">
      <w:pPr>
        <w:rPr>
          <w:rFonts w:ascii="Arial Black" w:hAnsi="Arial Black"/>
          <w:b/>
          <w:sz w:val="28"/>
          <w:szCs w:val="28"/>
        </w:rPr>
      </w:pPr>
    </w:p>
    <w:p w14:paraId="635DC9D9" w14:textId="77777777" w:rsidR="00C26E25" w:rsidRDefault="00C26E25" w:rsidP="009D37DC">
      <w:pPr>
        <w:rPr>
          <w:rFonts w:ascii="Arial Black" w:hAnsi="Arial Black"/>
          <w:b/>
          <w:sz w:val="28"/>
          <w:szCs w:val="28"/>
        </w:rPr>
      </w:pPr>
    </w:p>
    <w:p w14:paraId="715DFAFB" w14:textId="77777777" w:rsidR="00C26E25" w:rsidRDefault="00C26E25" w:rsidP="009D37DC">
      <w:pPr>
        <w:rPr>
          <w:rFonts w:ascii="Arial Black" w:hAnsi="Arial Black"/>
          <w:b/>
          <w:sz w:val="28"/>
          <w:szCs w:val="28"/>
        </w:rPr>
      </w:pPr>
    </w:p>
    <w:p w14:paraId="6474727D" w14:textId="20156F5D" w:rsidR="009D37DC" w:rsidRDefault="009D37DC" w:rsidP="009D37DC">
      <w:pPr>
        <w:rPr>
          <w:rFonts w:ascii="Arial Black" w:hAnsi="Arial Black"/>
          <w:b/>
          <w:sz w:val="28"/>
          <w:szCs w:val="28"/>
        </w:rPr>
      </w:pPr>
      <w:r>
        <w:rPr>
          <w:rFonts w:ascii="Arial Black" w:hAnsi="Arial Black"/>
          <w:b/>
          <w:sz w:val="28"/>
          <w:szCs w:val="28"/>
        </w:rPr>
        <w:t>6-185</w:t>
      </w:r>
    </w:p>
    <w:p w14:paraId="61949543" w14:textId="77777777" w:rsidR="003502A8" w:rsidRDefault="003502A8" w:rsidP="003502A8">
      <w:pPr>
        <w:pStyle w:val="NoSpacing"/>
        <w:rPr>
          <w:rFonts w:ascii="Arial Black" w:hAnsi="Arial Black"/>
          <w:sz w:val="28"/>
          <w:szCs w:val="28"/>
        </w:rPr>
      </w:pPr>
      <w:r>
        <w:rPr>
          <w:rFonts w:ascii="Arial Black" w:hAnsi="Arial Black"/>
          <w:sz w:val="28"/>
          <w:szCs w:val="28"/>
        </w:rPr>
        <w:t>NY: FDNY 9/11 – FINALLY GETS 100% DISAB - SINUS / PTSD</w:t>
      </w:r>
    </w:p>
    <w:p w14:paraId="1C2F142B" w14:textId="77777777" w:rsidR="003502A8" w:rsidRDefault="003502A8" w:rsidP="003502A8">
      <w:pPr>
        <w:pStyle w:val="NoSpacing"/>
      </w:pPr>
    </w:p>
    <w:p w14:paraId="55256D84" w14:textId="77777777" w:rsidR="003502A8" w:rsidRPr="00912ACD" w:rsidRDefault="003502A8" w:rsidP="003502A8">
      <w:pPr>
        <w:pStyle w:val="NoSpacing"/>
      </w:pPr>
      <w:r>
        <w:t xml:space="preserve">On June 24, 2026, </w:t>
      </w:r>
      <w:r w:rsidRPr="005F71C9">
        <w:rPr>
          <w:u w:val="single"/>
        </w:rPr>
        <w:t>In the Matter of Gary Smiley v. Melanie Whinnery, et</w:t>
      </w:r>
      <w:r>
        <w:rPr>
          <w:u w:val="single"/>
        </w:rPr>
        <w:t xml:space="preserve"> al</w:t>
      </w:r>
      <w:r w:rsidRPr="002B619B">
        <w:t xml:space="preserve">. the </w:t>
      </w:r>
      <w:r w:rsidRPr="001B2BE2">
        <w:t>Supreme Court of the State of New York, Appellate Division, Second Judicial Department</w:t>
      </w:r>
      <w:r>
        <w:t xml:space="preserve">, held that the paramedic is entitled to 100% </w:t>
      </w:r>
      <w:r w:rsidRPr="00FA32B2">
        <w:t xml:space="preserve">performance of duty </w:t>
      </w:r>
      <w:r w:rsidRPr="00FA32B2">
        <w:lastRenderedPageBreak/>
        <w:t>disability retirement</w:t>
      </w:r>
      <w:r>
        <w:t xml:space="preserve">. The Court rejected the Medical Board’s assertion that a medic was not physically </w:t>
      </w:r>
      <w:proofErr w:type="gramStart"/>
      <w:r>
        <w:t>disabled, and</w:t>
      </w:r>
      <w:proofErr w:type="gramEnd"/>
      <w:r>
        <w:t xml:space="preserve"> could control his sinus condition </w:t>
      </w:r>
      <w:r w:rsidRPr="00912ACD">
        <w:t>with the use of rinses and with the use of a dosing nebulizer several times per day.</w:t>
      </w:r>
      <w:r>
        <w:t xml:space="preserve"> The Court wrote: “</w:t>
      </w:r>
      <w:r w:rsidRPr="00912ACD">
        <w:t>The Medical Board failed to consider how the petitioner could have</w:t>
      </w:r>
      <w:r>
        <w:t xml:space="preserve"> </w:t>
      </w:r>
      <w:r w:rsidRPr="00912ACD">
        <w:t>managed this treatment when FDNY paramedics are required to, among other things, work for extended periods during the night or day in ambulances and to perform tasks in confined spaces.</w:t>
      </w:r>
      <w:r>
        <w:t>”</w:t>
      </w:r>
      <w:r w:rsidRPr="00BF2049">
        <w:t xml:space="preserve"> </w:t>
      </w:r>
      <w:hyperlink r:id="rId1041" w:history="1">
        <w:r w:rsidRPr="00E96FE1">
          <w:rPr>
            <w:rStyle w:val="Hyperlink"/>
          </w:rPr>
          <w:t>https://www.nycourts.gov/reporter/current/3dseries/2026/2026_03970.shtml</w:t>
        </w:r>
      </w:hyperlink>
      <w:r>
        <w:t xml:space="preserve"> </w:t>
      </w:r>
    </w:p>
    <w:p w14:paraId="17E74E20" w14:textId="77777777" w:rsidR="003502A8" w:rsidRDefault="003502A8" w:rsidP="003502A8">
      <w:pPr>
        <w:pStyle w:val="NoSpacing"/>
        <w:rPr>
          <w:b/>
          <w:bCs/>
        </w:rPr>
      </w:pPr>
    </w:p>
    <w:p w14:paraId="1FACEE0E" w14:textId="77777777" w:rsidR="003502A8" w:rsidRDefault="003502A8" w:rsidP="003502A8">
      <w:pPr>
        <w:pStyle w:val="NoSpacing"/>
        <w:rPr>
          <w:b/>
          <w:bCs/>
        </w:rPr>
      </w:pPr>
      <w:r w:rsidRPr="00902E19">
        <w:rPr>
          <w:b/>
        </w:rPr>
        <w:t>FACTS:</w:t>
      </w:r>
    </w:p>
    <w:p w14:paraId="48354D0D" w14:textId="77777777" w:rsidR="003502A8" w:rsidRDefault="003502A8" w:rsidP="003502A8">
      <w:pPr>
        <w:pStyle w:val="NoSpacing"/>
        <w:rPr>
          <w:b/>
          <w:bCs/>
        </w:rPr>
      </w:pPr>
    </w:p>
    <w:p w14:paraId="3FD9CDE1" w14:textId="77777777" w:rsidR="003502A8" w:rsidRDefault="003502A8" w:rsidP="003502A8">
      <w:pPr>
        <w:pStyle w:val="NoSpacing"/>
      </w:pPr>
      <w:r>
        <w:t>“</w:t>
      </w:r>
      <w:r w:rsidRPr="00902E19">
        <w:t>The petitioner, who was a New York City Fire Department (hereinafter FDNY) paramedic, was a first responder at the World Trade Center site following the attack on September 11, 2001. In September 2013, the petitioner applied for performance of duty disability retirement pursuant to Retirement and Social Security Law § 607-b based on injuries he suffered at the World Trade Center site (hereinafter the petitioner's application). He alleged, among other things, that he suffered from asthma, chronic sinusitis and rhinitis, prolonged post-traumatic stress disorder (hereinafter PTSD), gastroesophageal reflux disease (hereinafter GERD), and chronic dizziness and headaches.</w:t>
      </w:r>
    </w:p>
    <w:p w14:paraId="21BC08A2" w14:textId="77777777" w:rsidR="003502A8" w:rsidRDefault="003502A8" w:rsidP="003502A8">
      <w:pPr>
        <w:pStyle w:val="NoSpacing"/>
      </w:pPr>
    </w:p>
    <w:p w14:paraId="45A3E4CD" w14:textId="77777777" w:rsidR="003502A8" w:rsidRDefault="003502A8" w:rsidP="003502A8">
      <w:pPr>
        <w:pStyle w:val="NoSpacing"/>
      </w:pPr>
      <w:r>
        <w:t>***</w:t>
      </w:r>
    </w:p>
    <w:p w14:paraId="3B8D5DEC" w14:textId="77777777" w:rsidR="003502A8" w:rsidRDefault="003502A8" w:rsidP="003502A8">
      <w:pPr>
        <w:pStyle w:val="NoSpacing"/>
      </w:pPr>
      <w:r w:rsidRPr="00777C19">
        <w:t>In February 2014, the Medical Board of the New York City Employees' Retirement System (hereinafter the Medical Board) determined that the petitioner's chronic sinus disease, asthma, and GERD were not of such severity as to preclude him from performing the duties of an FDNY paramedic, and in March 2014, the Medical Board found that the documentary and clinical evidence failed to substantiate that the petitioner was disabled on mental health grounds.</w:t>
      </w:r>
    </w:p>
    <w:p w14:paraId="3958EB38" w14:textId="77777777" w:rsidR="003502A8" w:rsidRDefault="003502A8" w:rsidP="003502A8">
      <w:pPr>
        <w:pStyle w:val="NoSpacing"/>
      </w:pPr>
    </w:p>
    <w:p w14:paraId="23449DEF" w14:textId="77777777" w:rsidR="003502A8" w:rsidRDefault="003502A8" w:rsidP="003502A8">
      <w:pPr>
        <w:pStyle w:val="NoSpacing"/>
      </w:pPr>
      <w:r>
        <w:t>***</w:t>
      </w:r>
    </w:p>
    <w:p w14:paraId="1A6BA475" w14:textId="77777777" w:rsidR="003502A8" w:rsidRDefault="003502A8" w:rsidP="003502A8">
      <w:pPr>
        <w:pStyle w:val="NoSpacing"/>
      </w:pPr>
      <w:r w:rsidRPr="00E330D5">
        <w:t xml:space="preserve">In January 2017, after the petitioner commenced a proceeding pursuant to CPLR article 78 challenging the Board of </w:t>
      </w:r>
      <w:proofErr w:type="spellStart"/>
      <w:r w:rsidRPr="00E330D5">
        <w:t>Trustees's</w:t>
      </w:r>
      <w:proofErr w:type="spellEnd"/>
      <w:r w:rsidRPr="00E330D5">
        <w:t xml:space="preserve"> determination, the Supreme Court annulled the denial of the petitioner's application and remanded the matter for the Medical Board to set forth an adequate statement of the factual basis for its determination and a new determination by the Board of Trustees. </w:t>
      </w:r>
    </w:p>
    <w:p w14:paraId="2E90CCAF" w14:textId="77777777" w:rsidR="003502A8" w:rsidRDefault="003502A8" w:rsidP="003502A8">
      <w:pPr>
        <w:pStyle w:val="NoSpacing"/>
      </w:pPr>
    </w:p>
    <w:p w14:paraId="0409278D" w14:textId="77777777" w:rsidR="003502A8" w:rsidRPr="00E330D5" w:rsidRDefault="003502A8" w:rsidP="003502A8">
      <w:pPr>
        <w:pStyle w:val="NoSpacing"/>
      </w:pPr>
      <w:r w:rsidRPr="00E330D5">
        <w:t>In October 2017, after remand, the Medical Board determined that the petitioner was disabled due to PTSD and depression and recommended approval of the petitioner's application on those grounds. However, the Medical Board did not find that the petitioner's sinus condition, GERD, and asthma were of such severity as to preclude the work of an FDNY paramedic.</w:t>
      </w:r>
    </w:p>
    <w:p w14:paraId="6E3EF4C2" w14:textId="77777777" w:rsidR="003502A8" w:rsidRDefault="003502A8" w:rsidP="003502A8">
      <w:pPr>
        <w:pStyle w:val="NoSpacing"/>
      </w:pPr>
    </w:p>
    <w:p w14:paraId="00409A96" w14:textId="77777777" w:rsidR="003502A8" w:rsidRDefault="003502A8" w:rsidP="003502A8">
      <w:pPr>
        <w:pStyle w:val="NoSpacing"/>
      </w:pPr>
      <w:r w:rsidRPr="00E330D5">
        <w:t>In November 2017, the Board of Trustees approved the Medical Board's recommendation and awarded the petitioner a ¾ disability retirement benefit for depression and PTSD under Retirement and Social Security Law § 607-b.</w:t>
      </w:r>
    </w:p>
    <w:p w14:paraId="49771361" w14:textId="77777777" w:rsidR="003502A8" w:rsidRDefault="003502A8" w:rsidP="003502A8">
      <w:pPr>
        <w:pStyle w:val="NoSpacing"/>
      </w:pPr>
    </w:p>
    <w:p w14:paraId="782F547E" w14:textId="77777777" w:rsidR="003502A8" w:rsidRDefault="003502A8" w:rsidP="003502A8">
      <w:pPr>
        <w:pStyle w:val="NoSpacing"/>
      </w:pPr>
      <w:r>
        <w:t>***</w:t>
      </w:r>
    </w:p>
    <w:p w14:paraId="4AC94F59" w14:textId="77777777" w:rsidR="003502A8" w:rsidRDefault="003502A8" w:rsidP="003502A8">
      <w:pPr>
        <w:pStyle w:val="NoSpacing"/>
      </w:pPr>
      <w:r w:rsidRPr="001B4429">
        <w:t>November 30, 2020, the Board of Trustees adopted the Medical Board's recommendation and denied the petitioner's application to the extent that it was based on physical disability</w:t>
      </w:r>
      <w:r>
        <w:t xml:space="preserve">…. </w:t>
      </w:r>
      <w:r w:rsidRPr="00A05BAB">
        <w:t xml:space="preserve">In a judgment dated December 13, 2021, the Supreme Court granted the petition and annulled the November 30, </w:t>
      </w:r>
      <w:proofErr w:type="gramStart"/>
      <w:r w:rsidRPr="00A05BAB">
        <w:t>2020</w:t>
      </w:r>
      <w:proofErr w:type="gramEnd"/>
      <w:r w:rsidRPr="00A05BAB">
        <w:t xml:space="preserve"> determination. Whinnery, the Medical Board, and the Board of Trustees (hereinafter collectively the appellants) appeal.</w:t>
      </w:r>
      <w:r>
        <w:t>”</w:t>
      </w:r>
    </w:p>
    <w:p w14:paraId="27F5E0A0" w14:textId="77777777" w:rsidR="003502A8" w:rsidRDefault="003502A8" w:rsidP="003502A8">
      <w:pPr>
        <w:pStyle w:val="NoSpacing"/>
      </w:pPr>
    </w:p>
    <w:p w14:paraId="1EB7250E" w14:textId="77777777" w:rsidR="003502A8" w:rsidRPr="00E7709D" w:rsidRDefault="003502A8" w:rsidP="003502A8">
      <w:pPr>
        <w:pStyle w:val="NoSpacing"/>
        <w:rPr>
          <w:b/>
          <w:bCs/>
        </w:rPr>
      </w:pPr>
      <w:r w:rsidRPr="00E7709D">
        <w:rPr>
          <w:b/>
        </w:rPr>
        <w:t>COURT HELD:</w:t>
      </w:r>
    </w:p>
    <w:p w14:paraId="73155623" w14:textId="77777777" w:rsidR="003502A8" w:rsidRDefault="003502A8" w:rsidP="003502A8">
      <w:pPr>
        <w:pStyle w:val="NoSpacing"/>
      </w:pPr>
    </w:p>
    <w:p w14:paraId="14966492" w14:textId="77777777" w:rsidR="003502A8" w:rsidRPr="00912ACD" w:rsidRDefault="003502A8" w:rsidP="003502A8">
      <w:pPr>
        <w:pStyle w:val="NoSpacing"/>
      </w:pPr>
      <w:r>
        <w:t>“</w:t>
      </w:r>
      <w:r w:rsidRPr="00912ACD">
        <w:t xml:space="preserve">Specifically, one of the petitioner's doctors determined that the petitioner's sinus condition would be exacerbated by exposure to smoke and other irritants. The Medical Board's ear, nose, and throat examination of the petitioner and medical reports did not address this conclusion, even though, as an FDNY paramedic, the petitioner could be required to perform tasks at hazardous material scenes such as a chemical spill, an industrial fire, or another accident where smoke and other environmental irritants would be present. Additionally, the Medical Board determined that the petitioner was not disabled because his sinus conditions could be controlled with the use of rinses and with the use of a dosing nebulizer several times per day. The Medical Board failed to consider how the petitioner could </w:t>
      </w:r>
      <w:proofErr w:type="gramStart"/>
      <w:r w:rsidRPr="00912ACD">
        <w:t>have</w:t>
      </w:r>
      <w:r>
        <w:t xml:space="preserve"> </w:t>
      </w:r>
      <w:r w:rsidRPr="00912ACD">
        <w:t>managed</w:t>
      </w:r>
      <w:proofErr w:type="gramEnd"/>
      <w:r w:rsidRPr="00912ACD">
        <w:t xml:space="preserve"> this treatment when FDNY paramedics are required to, among other things, work for extended periods during the night or day in ambulances and to perform tasks in confined spaces.</w:t>
      </w:r>
    </w:p>
    <w:p w14:paraId="689CDF39" w14:textId="77777777" w:rsidR="003502A8" w:rsidRDefault="003502A8" w:rsidP="003502A8">
      <w:pPr>
        <w:pStyle w:val="NoSpacing"/>
      </w:pPr>
    </w:p>
    <w:p w14:paraId="652C71A9" w14:textId="77777777" w:rsidR="003502A8" w:rsidRPr="00912ACD" w:rsidRDefault="003502A8" w:rsidP="003502A8">
      <w:pPr>
        <w:pStyle w:val="NoSpacing"/>
      </w:pPr>
      <w:r w:rsidRPr="00912ACD">
        <w:lastRenderedPageBreak/>
        <w:t xml:space="preserve">Accordingly, the Supreme Court properly granted that branch of the petition which was to annul the Board of </w:t>
      </w:r>
      <w:proofErr w:type="spellStart"/>
      <w:r w:rsidRPr="00912ACD">
        <w:t>Trustees's</w:t>
      </w:r>
      <w:proofErr w:type="spellEnd"/>
      <w:r w:rsidRPr="00912ACD">
        <w:t xml:space="preserve"> determination dated November 30, 2020, and to direct the NYCERS to retire him with performance of duty disability benefits based on his World Trade Center-related qualifying physical condition.</w:t>
      </w:r>
    </w:p>
    <w:p w14:paraId="75114612" w14:textId="77777777" w:rsidR="003502A8" w:rsidRDefault="003502A8" w:rsidP="003502A8">
      <w:pPr>
        <w:pStyle w:val="NoSpacing"/>
      </w:pPr>
    </w:p>
    <w:p w14:paraId="32BA0D09" w14:textId="77777777" w:rsidR="003502A8" w:rsidRPr="00912ACD" w:rsidRDefault="003502A8" w:rsidP="003502A8">
      <w:pPr>
        <w:pStyle w:val="NoSpacing"/>
      </w:pPr>
      <w:r w:rsidRPr="00912ACD">
        <w:t>However, the appellants correctly contend that there was no basis for the Supreme Court to award the petitioner attorneys' fees, a contention that the petitioner did not oppose in his submission to this Court.</w:t>
      </w:r>
      <w:r>
        <w:t>”</w:t>
      </w:r>
    </w:p>
    <w:p w14:paraId="2692ECB6" w14:textId="77777777" w:rsidR="003502A8" w:rsidRPr="00E330D5" w:rsidRDefault="003502A8" w:rsidP="003502A8">
      <w:pPr>
        <w:pStyle w:val="NoSpacing"/>
      </w:pPr>
    </w:p>
    <w:p w14:paraId="6D8FBECF" w14:textId="77777777" w:rsidR="003502A8" w:rsidRPr="00BF2049" w:rsidRDefault="003502A8" w:rsidP="003502A8">
      <w:pPr>
        <w:pStyle w:val="NoSpacing"/>
        <w:rPr>
          <w:b/>
          <w:bCs/>
        </w:rPr>
      </w:pPr>
      <w:r>
        <w:rPr>
          <w:b/>
        </w:rPr>
        <w:t xml:space="preserve">Legal lesson learned: This was a long fight for the retired medic; </w:t>
      </w:r>
      <w:proofErr w:type="gramStart"/>
      <w:r>
        <w:rPr>
          <w:b/>
        </w:rPr>
        <w:t>fortunately</w:t>
      </w:r>
      <w:proofErr w:type="gramEnd"/>
      <w:r>
        <w:rPr>
          <w:b/>
        </w:rPr>
        <w:t xml:space="preserve"> the Court recognized using a nebulizer several </w:t>
      </w:r>
      <w:proofErr w:type="gramStart"/>
      <w:r>
        <w:rPr>
          <w:b/>
        </w:rPr>
        <w:t>time</w:t>
      </w:r>
      <w:proofErr w:type="gramEnd"/>
      <w:r>
        <w:rPr>
          <w:b/>
        </w:rPr>
        <w:t xml:space="preserve"> a day was not realistic.</w:t>
      </w:r>
    </w:p>
    <w:p w14:paraId="3E97E9FC" w14:textId="77777777" w:rsidR="003502A8" w:rsidRDefault="003502A8" w:rsidP="003502A8">
      <w:pPr>
        <w:pStyle w:val="NoSpacing"/>
      </w:pPr>
    </w:p>
    <w:p w14:paraId="64F839D8" w14:textId="77777777" w:rsidR="003502A8" w:rsidRDefault="003502A8" w:rsidP="003502A8">
      <w:pPr>
        <w:pStyle w:val="NoSpacing"/>
      </w:pPr>
    </w:p>
    <w:p w14:paraId="21CFF062" w14:textId="77777777" w:rsidR="003502A8" w:rsidRDefault="003502A8" w:rsidP="003502A8">
      <w:pPr>
        <w:pStyle w:val="NoSpacing"/>
      </w:pPr>
    </w:p>
    <w:p w14:paraId="1F7AFD59" w14:textId="359306B1" w:rsidR="009D37DC" w:rsidRDefault="009D37DC" w:rsidP="009D37DC">
      <w:pPr>
        <w:rPr>
          <w:rFonts w:ascii="Arial Black" w:hAnsi="Arial Black"/>
          <w:b/>
          <w:sz w:val="28"/>
          <w:szCs w:val="28"/>
        </w:rPr>
      </w:pPr>
      <w:r>
        <w:rPr>
          <w:rFonts w:ascii="Arial Black" w:hAnsi="Arial Black"/>
          <w:b/>
          <w:sz w:val="28"/>
          <w:szCs w:val="28"/>
        </w:rPr>
        <w:t>6-184</w:t>
      </w:r>
    </w:p>
    <w:p w14:paraId="43F86E75" w14:textId="77777777" w:rsidR="003502A8" w:rsidRPr="00D30DC8" w:rsidRDefault="003502A8" w:rsidP="003502A8">
      <w:pPr>
        <w:rPr>
          <w:rFonts w:ascii="Arial Black" w:hAnsi="Arial Black"/>
          <w:b/>
          <w:sz w:val="28"/>
          <w:szCs w:val="28"/>
        </w:rPr>
      </w:pPr>
      <w:r>
        <w:rPr>
          <w:rFonts w:ascii="Arial Black" w:hAnsi="Arial Black"/>
          <w:b/>
          <w:sz w:val="28"/>
          <w:szCs w:val="28"/>
        </w:rPr>
        <w:t xml:space="preserve">OR: MYELOMA – RET FF / INDEP. CONT. – NO STAT PRESUMP </w:t>
      </w:r>
    </w:p>
    <w:p w14:paraId="2CB25353" w14:textId="77777777" w:rsidR="003502A8" w:rsidRPr="00DB6A9C" w:rsidRDefault="003502A8" w:rsidP="003502A8">
      <w:pPr>
        <w:rPr>
          <w:bCs/>
        </w:rPr>
      </w:pPr>
      <w:r>
        <w:t xml:space="preserve">On June 10, 2026, </w:t>
      </w:r>
      <w:r w:rsidRPr="007A1338">
        <w:rPr>
          <w:u w:val="single"/>
        </w:rPr>
        <w:t>In the Matter of the Compensation of Bradley Kastner v. City of Hillsboro</w:t>
      </w:r>
      <w:r>
        <w:t xml:space="preserve">, the </w:t>
      </w:r>
      <w:r w:rsidRPr="007A1338">
        <w:t>Court of Appeals of Oregon</w:t>
      </w:r>
      <w:r>
        <w:t xml:space="preserve"> held (3 to 0) that the firefighter (retired in 2010), now training fire and EMS, is an “independent contractor” and not entitled to the statutory presumption that his cancer was caused by his fire service. The Court wrote: </w:t>
      </w:r>
      <w:r w:rsidRPr="00DB6A9C">
        <w:t>“As substantial evidence supports the board's determination that claimant was an independent contractor during the 84 months prior to his claim, he was not entitled to the firefighter's presumption of compensability.</w:t>
      </w:r>
      <w:r>
        <w:t xml:space="preserve">” </w:t>
      </w:r>
      <w:hyperlink r:id="rId1042" w:history="1">
        <w:r w:rsidRPr="003E6F82">
          <w:rPr>
            <w:rStyle w:val="Hyperlink"/>
          </w:rPr>
          <w:t>https://www.casemine.com/judgement/us/6a2a2b87eaa021ae7251d39f</w:t>
        </w:r>
      </w:hyperlink>
      <w:r>
        <w:t xml:space="preserve"> </w:t>
      </w:r>
    </w:p>
    <w:p w14:paraId="5033624E" w14:textId="77777777" w:rsidR="003502A8" w:rsidRPr="00500F61" w:rsidRDefault="003502A8" w:rsidP="003502A8">
      <w:pPr>
        <w:rPr>
          <w:b/>
        </w:rPr>
      </w:pPr>
    </w:p>
    <w:p w14:paraId="5E4F2B4B" w14:textId="77777777" w:rsidR="003502A8" w:rsidRDefault="003502A8" w:rsidP="003502A8">
      <w:pPr>
        <w:rPr>
          <w:b/>
        </w:rPr>
      </w:pPr>
      <w:r>
        <w:rPr>
          <w:b/>
        </w:rPr>
        <w:t>FACTS:</w:t>
      </w:r>
    </w:p>
    <w:p w14:paraId="1E3CB7BC" w14:textId="77777777" w:rsidR="003502A8" w:rsidRDefault="003502A8" w:rsidP="003502A8">
      <w:pPr>
        <w:pStyle w:val="NoSpacing"/>
      </w:pPr>
      <w:r>
        <w:t>“C</w:t>
      </w:r>
      <w:r w:rsidRPr="008006D4">
        <w:t xml:space="preserve">laimant worked as a firefighter for the City of Hillsboro from 1978 until 2010, when he retired. After his retirement, claimant provided fire and emergency medical training for city employees through a series of contractual arrangements with the City of Hillsboro until 2020. Each contract described claimant as an </w:t>
      </w:r>
      <w:r>
        <w:t>‘</w:t>
      </w:r>
      <w:r w:rsidRPr="008006D4">
        <w:t>independent contractor,</w:t>
      </w:r>
      <w:r>
        <w:t>’</w:t>
      </w:r>
      <w:r w:rsidRPr="008006D4">
        <w:t xml:space="preserve"> specified the class to be taught, and stated that claimant would provide the curriculum and materials. Despite those contractual provisions, the city provided the equipment and training materials, although claimant adjusted the materials as he saw fit.</w:t>
      </w:r>
    </w:p>
    <w:p w14:paraId="1A6178D2" w14:textId="77777777" w:rsidR="003502A8" w:rsidRDefault="003502A8" w:rsidP="003502A8">
      <w:pPr>
        <w:pStyle w:val="NoSpacing"/>
      </w:pPr>
    </w:p>
    <w:p w14:paraId="2864DBBE" w14:textId="77777777" w:rsidR="003502A8" w:rsidRDefault="003502A8" w:rsidP="003502A8">
      <w:pPr>
        <w:pStyle w:val="NoSpacing"/>
      </w:pPr>
      <w:r w:rsidRPr="00ED4017">
        <w:t>Claimant filed a workers' compensation claim in 2023, seeking compensability for his myeloma through the firefighter's presumption, ORS 656.802(5Xb). The board denied the claim, determining that claimant was an independent contractor and not an employee within the 84 months prior to filing his claim, as required to obtain compensability under the firefighter's presumption. ORS 656.802(5)(e). Thus, as both parties acknowledge, the key question is whether claimant was a city employee when he was performing the contractual training services during the 84 months leading up to his claim. That question, in turn, requires us to determine whether claimant was acting as an employee, and thus subject to workers' compensation coverage, or as an independent contractor under ORS 670.600(2). Although the parties' contractual designation of claimant as an independent contractor "is not controlling, it is not to be disregarded, and 'in a close case, it may swing the balance</w:t>
      </w:r>
      <w:proofErr w:type="gramStart"/>
      <w:r w:rsidRPr="00ED4017">
        <w:t>.'"</w:t>
      </w:r>
      <w:proofErr w:type="gramEnd"/>
      <w:r w:rsidRPr="00ED4017">
        <w:t xml:space="preserve"> </w:t>
      </w:r>
      <w:proofErr w:type="spellStart"/>
      <w:r w:rsidRPr="00ED4017">
        <w:rPr>
          <w:i/>
          <w:iCs/>
        </w:rPr>
        <w:t>McQuiggin</w:t>
      </w:r>
      <w:proofErr w:type="spellEnd"/>
      <w:r w:rsidRPr="00ED4017">
        <w:rPr>
          <w:i/>
          <w:iCs/>
        </w:rPr>
        <w:t xml:space="preserve"> v. Burr,</w:t>
      </w:r>
      <w:r w:rsidRPr="00ED4017">
        <w:t xml:space="preserve"> 119 </w:t>
      </w:r>
      <w:proofErr w:type="spellStart"/>
      <w:r w:rsidRPr="00ED4017">
        <w:t>Or.App</w:t>
      </w:r>
      <w:proofErr w:type="spellEnd"/>
      <w:r w:rsidRPr="00ED4017">
        <w:t xml:space="preserve">. 202, 207, 850 P.2d 385 (1993) [350 </w:t>
      </w:r>
      <w:proofErr w:type="spellStart"/>
      <w:r w:rsidRPr="00ED4017">
        <w:t>Or.App</w:t>
      </w:r>
      <w:proofErr w:type="spellEnd"/>
      <w:r w:rsidRPr="00ED4017">
        <w:t xml:space="preserve">. 541] (quoting </w:t>
      </w:r>
      <w:r w:rsidRPr="00ED4017">
        <w:rPr>
          <w:i/>
          <w:iCs/>
        </w:rPr>
        <w:t>Henri v. SAIF,</w:t>
      </w:r>
      <w:r w:rsidRPr="00ED4017">
        <w:t xml:space="preserve"> 60 </w:t>
      </w:r>
      <w:proofErr w:type="spellStart"/>
      <w:r w:rsidRPr="00ED4017">
        <w:t>Or.App</w:t>
      </w:r>
      <w:proofErr w:type="spellEnd"/>
      <w:r w:rsidRPr="00ED4017">
        <w:t xml:space="preserve">. 587, 592, 654 P.2d 1129, </w:t>
      </w:r>
      <w:r w:rsidRPr="00ED4017">
        <w:rPr>
          <w:i/>
          <w:iCs/>
        </w:rPr>
        <w:t>rev den</w:t>
      </w:r>
      <w:r w:rsidRPr="00ED4017">
        <w:t xml:space="preserve"> 294 Or. 536 (1983)).</w:t>
      </w:r>
      <w:r>
        <w:t>”</w:t>
      </w:r>
    </w:p>
    <w:p w14:paraId="404EDE7E" w14:textId="77777777" w:rsidR="003502A8" w:rsidRDefault="003502A8" w:rsidP="003502A8">
      <w:pPr>
        <w:pStyle w:val="NoSpacing"/>
      </w:pPr>
    </w:p>
    <w:p w14:paraId="2CBA52C7" w14:textId="77777777" w:rsidR="003502A8" w:rsidRPr="00F05DCB" w:rsidRDefault="003502A8" w:rsidP="003502A8">
      <w:pPr>
        <w:pStyle w:val="NoSpacing"/>
        <w:rPr>
          <w:b/>
          <w:bCs/>
        </w:rPr>
      </w:pPr>
      <w:r w:rsidRPr="00F05DCB">
        <w:rPr>
          <w:b/>
        </w:rPr>
        <w:t>COURT HELD:</w:t>
      </w:r>
    </w:p>
    <w:p w14:paraId="03066F51" w14:textId="77777777" w:rsidR="003502A8" w:rsidRPr="00F05DCB" w:rsidRDefault="003502A8" w:rsidP="003502A8">
      <w:pPr>
        <w:pStyle w:val="NoSpacing"/>
        <w:rPr>
          <w:b/>
          <w:bCs/>
        </w:rPr>
      </w:pPr>
      <w:r w:rsidRPr="00F05DCB">
        <w:rPr>
          <w:b/>
        </w:rPr>
        <w:t xml:space="preserve"> </w:t>
      </w:r>
    </w:p>
    <w:p w14:paraId="28E933CB" w14:textId="77777777" w:rsidR="003502A8" w:rsidRDefault="003502A8" w:rsidP="003502A8">
      <w:pPr>
        <w:pStyle w:val="NoSpacing"/>
      </w:pPr>
      <w:r>
        <w:t>“</w:t>
      </w:r>
      <w:r w:rsidRPr="00F05DCB">
        <w:t xml:space="preserve">As to the element of freedom from direction or control, also known as the </w:t>
      </w:r>
      <w:r>
        <w:t>‘</w:t>
      </w:r>
      <w:r w:rsidRPr="00F05DCB">
        <w:t>right to control</w:t>
      </w:r>
      <w:r>
        <w:t>’</w:t>
      </w:r>
      <w:r w:rsidRPr="00F05DCB">
        <w:t xml:space="preserve"> element, the key question is whether the city could direct and control the means and the manner of claimant's services as opposed to simply specifying the desired result. ORS 670.600(2)(a). The </w:t>
      </w:r>
      <w:r>
        <w:t>‘</w:t>
      </w:r>
      <w:r w:rsidRPr="00F05DCB">
        <w:t xml:space="preserve">principal factors showing right </w:t>
      </w:r>
      <w:proofErr w:type="gramStart"/>
      <w:r w:rsidRPr="00F05DCB">
        <w:t>of</w:t>
      </w:r>
      <w:proofErr w:type="gramEnd"/>
      <w:r w:rsidRPr="00F05DCB">
        <w:t xml:space="preserve"> control are: (1) direct evidence of the right to or the exercise of control; (2) the method of payment; (3) the furnishing of equipment; and (4) the right to fire.</w:t>
      </w:r>
      <w:r>
        <w:t>’</w:t>
      </w:r>
      <w:r w:rsidRPr="00F05DCB">
        <w:t xml:space="preserve"> </w:t>
      </w:r>
      <w:r w:rsidRPr="00F05DCB">
        <w:rPr>
          <w:i/>
          <w:iCs/>
        </w:rPr>
        <w:t>National Maintenance Contractors v. Employment Dept,</w:t>
      </w:r>
      <w:r w:rsidRPr="00F05DCB">
        <w:t xml:space="preserve"> 288 </w:t>
      </w:r>
      <w:proofErr w:type="spellStart"/>
      <w:r w:rsidRPr="00F05DCB">
        <w:t>Or.App</w:t>
      </w:r>
      <w:proofErr w:type="spellEnd"/>
      <w:r w:rsidRPr="00F05DCB">
        <w:t xml:space="preserve">. 347, 353, 406 P.3d 133 (2017), </w:t>
      </w:r>
      <w:r w:rsidRPr="00F05DCB">
        <w:rPr>
          <w:i/>
          <w:iCs/>
        </w:rPr>
        <w:t>rev den,</w:t>
      </w:r>
      <w:r w:rsidRPr="00F05DCB">
        <w:t xml:space="preserve"> 362 Or. 508 (2018) (internal quotation marks omitted). Applying those factors, we conclude that the board's determination </w:t>
      </w:r>
      <w:r w:rsidRPr="00F05DCB">
        <w:lastRenderedPageBreak/>
        <w:t>that the city exercised control over the result rather than the means and manner of claimant's performance is supported by substantial evidence.</w:t>
      </w:r>
    </w:p>
    <w:p w14:paraId="1574C386" w14:textId="77777777" w:rsidR="003502A8" w:rsidRDefault="003502A8" w:rsidP="003502A8">
      <w:pPr>
        <w:pStyle w:val="NoSpacing"/>
      </w:pPr>
    </w:p>
    <w:p w14:paraId="3B7DAED1" w14:textId="77777777" w:rsidR="003502A8" w:rsidRDefault="003502A8" w:rsidP="003502A8">
      <w:pPr>
        <w:pStyle w:val="NoSpacing"/>
      </w:pPr>
      <w:r w:rsidRPr="003851A6">
        <w:t>Starting with the first factor, direct evidence of the right to control, the record of any direct evidence is limited. Although the city provided the curriculum and schedule for the training of its employees, claimant could adjust that curriculum or hire a substitute if he was unavailable for the scheduled training. Thus, the board's determination that this factor is inconclusive is supported by substantial evidence. Second, as to the method of payment, claimant was not salaried but rather submitted invoices up to an amount capped by the contract. Taxes and union dues were not deducted. When claimant hired a substitute to teach in his stead, the city paid claimant, who then paid the substitute. That evidence supports the board's conclusion that that factor supports an independent contractor relationship.</w:t>
      </w:r>
      <w:r>
        <w:t>”</w:t>
      </w:r>
    </w:p>
    <w:p w14:paraId="5FA8582C" w14:textId="77777777" w:rsidR="003502A8" w:rsidRDefault="003502A8" w:rsidP="003502A8">
      <w:pPr>
        <w:pStyle w:val="NoSpacing"/>
      </w:pPr>
    </w:p>
    <w:p w14:paraId="584B7E6D" w14:textId="77777777" w:rsidR="003502A8" w:rsidRPr="005A43D1" w:rsidRDefault="003502A8" w:rsidP="003502A8">
      <w:pPr>
        <w:pStyle w:val="NoSpacing"/>
      </w:pPr>
      <w:r>
        <w:rPr>
          <w:b/>
        </w:rPr>
        <w:t xml:space="preserve">Legal lesson learned: The firefighters’ statutory presumption only applies to employees, and claim is </w:t>
      </w:r>
      <w:r w:rsidRPr="005A43D1">
        <w:rPr>
          <w:b/>
        </w:rPr>
        <w:t>filed within 84 months of retirement</w:t>
      </w:r>
      <w:r w:rsidRPr="005A43D1">
        <w:t xml:space="preserve">. </w:t>
      </w:r>
    </w:p>
    <w:p w14:paraId="633E11C2" w14:textId="77777777" w:rsidR="003502A8" w:rsidRDefault="003502A8" w:rsidP="003502A8">
      <w:pPr>
        <w:pStyle w:val="NoSpacing"/>
      </w:pPr>
    </w:p>
    <w:p w14:paraId="5F3C2A79" w14:textId="77777777" w:rsidR="003502A8" w:rsidRDefault="003502A8" w:rsidP="003502A8">
      <w:pPr>
        <w:pStyle w:val="NoSpacing"/>
      </w:pPr>
    </w:p>
    <w:p w14:paraId="3A705B4D" w14:textId="77777777" w:rsidR="003502A8" w:rsidRDefault="003502A8" w:rsidP="00EF1133">
      <w:pPr>
        <w:rPr>
          <w:rFonts w:ascii="Arial Black" w:hAnsi="Arial Black"/>
          <w:b/>
          <w:sz w:val="28"/>
          <w:szCs w:val="28"/>
        </w:rPr>
      </w:pPr>
    </w:p>
    <w:p w14:paraId="4DC6F439" w14:textId="77777777" w:rsidR="003502A8" w:rsidRDefault="003502A8" w:rsidP="00EF1133">
      <w:pPr>
        <w:rPr>
          <w:rFonts w:ascii="Arial Black" w:hAnsi="Arial Black"/>
          <w:b/>
          <w:sz w:val="28"/>
          <w:szCs w:val="28"/>
        </w:rPr>
      </w:pPr>
    </w:p>
    <w:p w14:paraId="1F3B0779" w14:textId="77777777" w:rsidR="003502A8" w:rsidRDefault="003502A8" w:rsidP="00EF1133">
      <w:pPr>
        <w:rPr>
          <w:rFonts w:ascii="Arial Black" w:hAnsi="Arial Black"/>
          <w:b/>
          <w:sz w:val="28"/>
          <w:szCs w:val="28"/>
        </w:rPr>
      </w:pPr>
    </w:p>
    <w:p w14:paraId="5C3E6AD0" w14:textId="77777777" w:rsidR="003502A8" w:rsidRDefault="003502A8" w:rsidP="00EF1133">
      <w:pPr>
        <w:rPr>
          <w:rFonts w:ascii="Arial Black" w:hAnsi="Arial Black"/>
          <w:b/>
          <w:sz w:val="28"/>
          <w:szCs w:val="28"/>
        </w:rPr>
      </w:pPr>
    </w:p>
    <w:p w14:paraId="3576C85C" w14:textId="369A65C1" w:rsidR="00AB5980" w:rsidRDefault="00312498" w:rsidP="00EF1133">
      <w:pPr>
        <w:rPr>
          <w:rFonts w:ascii="Arial Black" w:hAnsi="Arial Black"/>
          <w:b/>
          <w:sz w:val="28"/>
          <w:szCs w:val="28"/>
        </w:rPr>
      </w:pPr>
      <w:r>
        <w:rPr>
          <w:rFonts w:ascii="Arial Black" w:hAnsi="Arial Black"/>
          <w:b/>
          <w:sz w:val="28"/>
          <w:szCs w:val="28"/>
        </w:rPr>
        <w:t>6-183</w:t>
      </w:r>
    </w:p>
    <w:p w14:paraId="08AA11E4" w14:textId="77777777" w:rsidR="00AB5980" w:rsidRPr="00750C03" w:rsidRDefault="00AB5980" w:rsidP="00AB5980">
      <w:pPr>
        <w:pStyle w:val="NoSpacing"/>
        <w:rPr>
          <w:rFonts w:ascii="Arial Black" w:hAnsi="Arial Black"/>
          <w:sz w:val="28"/>
          <w:szCs w:val="28"/>
        </w:rPr>
      </w:pPr>
      <w:r>
        <w:rPr>
          <w:rFonts w:ascii="Arial Black" w:hAnsi="Arial Black"/>
          <w:sz w:val="28"/>
          <w:szCs w:val="28"/>
        </w:rPr>
        <w:t xml:space="preserve">MA: FF NOT HIRED – BACKGROUND CHECK - 3 FDs NEG </w:t>
      </w:r>
    </w:p>
    <w:p w14:paraId="7F7D053B" w14:textId="77777777" w:rsidR="00AB5980" w:rsidRDefault="00AB5980" w:rsidP="00AB5980">
      <w:pPr>
        <w:pStyle w:val="NoSpacing"/>
      </w:pPr>
    </w:p>
    <w:p w14:paraId="7A3EAB7B" w14:textId="77777777" w:rsidR="00AB5980" w:rsidRDefault="00AB5980" w:rsidP="00AB5980">
      <w:pPr>
        <w:pStyle w:val="NoSpacing"/>
      </w:pPr>
      <w:r>
        <w:t xml:space="preserve">On May 26, 2026, in </w:t>
      </w:r>
      <w:r w:rsidRPr="000A62A7">
        <w:rPr>
          <w:u w:val="single"/>
        </w:rPr>
        <w:t>Paul Defarias v. Civil Service Commission and City of Gloucester</w:t>
      </w:r>
      <w:r>
        <w:t>, the</w:t>
      </w:r>
    </w:p>
    <w:p w14:paraId="5145820C" w14:textId="77777777" w:rsidR="00AB5980" w:rsidRDefault="00AB5980" w:rsidP="00AB5980">
      <w:pPr>
        <w:pStyle w:val="NoSpacing"/>
        <w:rPr>
          <w:b/>
          <w:bCs/>
        </w:rPr>
      </w:pPr>
      <w:r w:rsidRPr="000A62A7">
        <w:t>Appeals Court of Massachusetts</w:t>
      </w:r>
      <w:r>
        <w:t xml:space="preserve"> held (3 to 0) that trial court properly affirmed the Civil Service Commission – the City of Gloucester </w:t>
      </w:r>
      <w:r w:rsidRPr="0047214A">
        <w:t>had</w:t>
      </w:r>
      <w:r>
        <w:t xml:space="preserve"> a </w:t>
      </w:r>
      <w:r w:rsidRPr="0047214A">
        <w:t xml:space="preserve">reasonable justification to bypass </w:t>
      </w:r>
      <w:proofErr w:type="spellStart"/>
      <w:r w:rsidRPr="0047214A">
        <w:t>DeFarias</w:t>
      </w:r>
      <w:proofErr w:type="spellEnd"/>
      <w:r w:rsidRPr="0047214A">
        <w:t xml:space="preserve"> for a firefighter</w:t>
      </w:r>
      <w:r>
        <w:t xml:space="preserve"> </w:t>
      </w:r>
      <w:r w:rsidRPr="0047214A">
        <w:t>position</w:t>
      </w:r>
      <w:r>
        <w:t xml:space="preserve"> (four openings posted in </w:t>
      </w:r>
      <w:r w:rsidRPr="003829BA">
        <w:t>March 2022</w:t>
      </w:r>
      <w:r>
        <w:t xml:space="preserve">), even if the detectives who conducted the background only reported on negative feedback from three prior Massachusetts FDs and not positive feedback from a Florida FD.  The detectives also </w:t>
      </w:r>
      <w:r w:rsidRPr="0062071D">
        <w:t>did not run criminal</w:t>
      </w:r>
      <w:r>
        <w:t xml:space="preserve"> </w:t>
      </w:r>
      <w:r w:rsidRPr="0062071D">
        <w:t xml:space="preserve">history and driving history checks as part of </w:t>
      </w:r>
      <w:proofErr w:type="spellStart"/>
      <w:r w:rsidRPr="0062071D">
        <w:t>DeFarias's</w:t>
      </w:r>
      <w:proofErr w:type="spellEnd"/>
      <w:r>
        <w:t xml:space="preserve"> </w:t>
      </w:r>
      <w:r w:rsidRPr="0062071D">
        <w:t>background investigation, despite it being their normal practice</w:t>
      </w:r>
      <w:r>
        <w:t xml:space="preserve"> </w:t>
      </w:r>
      <w:r w:rsidRPr="0062071D">
        <w:t>to conduct such checks.</w:t>
      </w:r>
      <w:r>
        <w:t xml:space="preserve"> They also didn’t request his personnel files from the FDs.  THE COURT WROTE: “We agree with the commission that the evidence of concern by three of </w:t>
      </w:r>
      <w:proofErr w:type="spellStart"/>
      <w:r>
        <w:t>DeFarias's</w:t>
      </w:r>
      <w:proofErr w:type="spellEnd"/>
      <w:r>
        <w:t xml:space="preserve"> former employers at relevant work experiences provided the city adequate reason not to hire him. Even if the city properly considered the positive aspects of </w:t>
      </w:r>
      <w:proofErr w:type="spellStart"/>
      <w:r>
        <w:t>DeFarias's</w:t>
      </w:r>
      <w:proofErr w:type="spellEnd"/>
      <w:r>
        <w:t xml:space="preserve"> professional history, the negative aspects nonetheless raised legitimate doubts about his suitability for a firefighter position with the city.”  </w:t>
      </w:r>
      <w:hyperlink r:id="rId1043" w:history="1">
        <w:r w:rsidRPr="00C55935">
          <w:rPr>
            <w:rStyle w:val="Hyperlink"/>
          </w:rPr>
          <w:t>https://www.mass.gov/doc/defarias-paul-v-city-of-gloucester-related-appeals-court-decision-52626/download</w:t>
        </w:r>
      </w:hyperlink>
      <w:r w:rsidRPr="00C55935">
        <w:t xml:space="preserve"> </w:t>
      </w:r>
    </w:p>
    <w:p w14:paraId="729AE3A4" w14:textId="77777777" w:rsidR="00AB5980" w:rsidRDefault="00AB5980" w:rsidP="00AB5980">
      <w:pPr>
        <w:pStyle w:val="NoSpacing"/>
        <w:rPr>
          <w:b/>
          <w:bCs/>
        </w:rPr>
      </w:pPr>
    </w:p>
    <w:p w14:paraId="3B1C1040" w14:textId="77777777" w:rsidR="00AB5980" w:rsidRPr="00C55935" w:rsidRDefault="00AB5980" w:rsidP="00AB5980">
      <w:pPr>
        <w:pStyle w:val="NoSpacing"/>
      </w:pPr>
      <w:r w:rsidRPr="00C55935">
        <w:t>THE COURT HELD:</w:t>
      </w:r>
    </w:p>
    <w:p w14:paraId="3EA842E3" w14:textId="77777777" w:rsidR="00AB5980" w:rsidRPr="00C55935" w:rsidRDefault="00AB5980" w:rsidP="00AB5980">
      <w:pPr>
        <w:pStyle w:val="NoSpacing"/>
      </w:pPr>
      <w:r w:rsidRPr="00C55935">
        <w:t xml:space="preserve"> </w:t>
      </w:r>
    </w:p>
    <w:p w14:paraId="581ADDEC" w14:textId="77777777" w:rsidR="00AB5980" w:rsidRDefault="00AB5980" w:rsidP="00AB5980">
      <w:pPr>
        <w:pStyle w:val="NoSpacing"/>
        <w:ind w:left="720"/>
      </w:pPr>
      <w:r>
        <w:t xml:space="preserve">“Much of the information the detectives collected was positive. </w:t>
      </w:r>
      <w:proofErr w:type="spellStart"/>
      <w:r>
        <w:t>DeFarias's</w:t>
      </w:r>
      <w:proofErr w:type="spellEnd"/>
      <w:r>
        <w:t xml:space="preserve"> personal references praised him as a model student, a ‘straight arrow,’ and a hard worker. His supervisor at </w:t>
      </w:r>
      <w:proofErr w:type="spellStart"/>
      <w:r>
        <w:t>Zartech</w:t>
      </w:r>
      <w:proofErr w:type="spellEnd"/>
      <w:r>
        <w:t xml:space="preserve">, where </w:t>
      </w:r>
      <w:proofErr w:type="spellStart"/>
      <w:r>
        <w:t>DeFarias</w:t>
      </w:r>
      <w:proofErr w:type="spellEnd"/>
      <w:r>
        <w:t xml:space="preserve"> is a fabrication shop technician, stated that </w:t>
      </w:r>
      <w:proofErr w:type="spellStart"/>
      <w:r>
        <w:t>DeFarias</w:t>
      </w:r>
      <w:proofErr w:type="spellEnd"/>
      <w:r>
        <w:t xml:space="preserve"> is mature, honest, and generally an ‘outstanding guy.’ In addition, the chief of the volunteer fire department of Montverde, Florida, where </w:t>
      </w:r>
      <w:proofErr w:type="spellStart"/>
      <w:r>
        <w:t>DeFarias</w:t>
      </w:r>
      <w:proofErr w:type="spellEnd"/>
      <w:r>
        <w:t xml:space="preserve"> served as an</w:t>
      </w:r>
    </w:p>
    <w:p w14:paraId="19C09050" w14:textId="77777777" w:rsidR="00AB5980" w:rsidRDefault="00AB5980" w:rsidP="00AB5980">
      <w:pPr>
        <w:pStyle w:val="NoSpacing"/>
        <w:ind w:left="720"/>
      </w:pPr>
      <w:proofErr w:type="gramStart"/>
      <w:r>
        <w:t>on</w:t>
      </w:r>
      <w:proofErr w:type="gramEnd"/>
      <w:r>
        <w:t xml:space="preserve">-call volunteer firefighter in early 2017, reported that </w:t>
      </w:r>
      <w:proofErr w:type="spellStart"/>
      <w:r>
        <w:t>DeFarias</w:t>
      </w:r>
      <w:proofErr w:type="spellEnd"/>
      <w:r>
        <w:t xml:space="preserve"> was well liked, exhibited good attendance, and had a positive work ethic.</w:t>
      </w:r>
    </w:p>
    <w:p w14:paraId="0B6CFDEB" w14:textId="77777777" w:rsidR="00AB5980" w:rsidRDefault="00AB5980" w:rsidP="00AB5980">
      <w:pPr>
        <w:pStyle w:val="NoSpacing"/>
        <w:ind w:left="720"/>
      </w:pPr>
    </w:p>
    <w:p w14:paraId="6F55E454" w14:textId="77777777" w:rsidR="00AB5980" w:rsidRDefault="00AB5980" w:rsidP="00AB5980">
      <w:pPr>
        <w:pStyle w:val="NoSpacing"/>
        <w:ind w:left="720"/>
      </w:pPr>
      <w:r>
        <w:t>***</w:t>
      </w:r>
    </w:p>
    <w:p w14:paraId="4D25610D" w14:textId="77777777" w:rsidR="00AB5980" w:rsidRDefault="00AB5980" w:rsidP="00AB5980">
      <w:pPr>
        <w:pStyle w:val="NoSpacing"/>
        <w:ind w:left="720"/>
      </w:pPr>
    </w:p>
    <w:p w14:paraId="2E09175A" w14:textId="77777777" w:rsidR="00AB5980" w:rsidRDefault="00AB5980" w:rsidP="00AB5980">
      <w:pPr>
        <w:pStyle w:val="NoSpacing"/>
        <w:ind w:left="720"/>
      </w:pPr>
      <w:proofErr w:type="spellStart"/>
      <w:r>
        <w:t>DeFarias</w:t>
      </w:r>
      <w:proofErr w:type="spellEnd"/>
      <w:r>
        <w:t xml:space="preserve"> has performed EMT or firefighting work for three </w:t>
      </w:r>
      <w:proofErr w:type="gramStart"/>
      <w:r>
        <w:t>employers</w:t>
      </w:r>
      <w:proofErr w:type="gramEnd"/>
      <w:r>
        <w:t xml:space="preserve"> in Massachusetts: Cataldo Ambulance Service (Cataldo), Beauport Ambulance Service (Beauport), and the Lynnfield fire department (Lynnfield). Each of these employers provided the detectives with ‘partly negative </w:t>
      </w:r>
      <w:proofErr w:type="gramStart"/>
      <w:r>
        <w:t>reviews’</w:t>
      </w:r>
      <w:proofErr w:type="gramEnd"/>
      <w:r>
        <w:t xml:space="preserve"> of </w:t>
      </w:r>
      <w:proofErr w:type="spellStart"/>
      <w:r>
        <w:t>DeFarias</w:t>
      </w:r>
      <w:proofErr w:type="spellEnd"/>
      <w:r>
        <w:t>. It is undisputed that Cataldo terminated DeFarias, although the circumstances of the termination were ‘hazier.’  4</w:t>
      </w:r>
    </w:p>
    <w:p w14:paraId="2DD19331" w14:textId="77777777" w:rsidR="00AB5980" w:rsidRDefault="00AB5980" w:rsidP="00AB5980">
      <w:pPr>
        <w:pStyle w:val="NoSpacing"/>
        <w:ind w:left="720"/>
      </w:pPr>
    </w:p>
    <w:p w14:paraId="5C087AD1" w14:textId="77777777" w:rsidR="00AB5980" w:rsidRDefault="00AB5980" w:rsidP="00AB5980">
      <w:pPr>
        <w:pStyle w:val="NoSpacing"/>
        <w:ind w:left="720"/>
      </w:pPr>
      <w:r>
        <w:tab/>
        <w:t xml:space="preserve">Footnote 4: </w:t>
      </w:r>
      <w:proofErr w:type="spellStart"/>
      <w:r>
        <w:t>DeFarias</w:t>
      </w:r>
      <w:proofErr w:type="spellEnd"/>
      <w:r>
        <w:t xml:space="preserve"> was suspended pending an investigation into a</w:t>
      </w:r>
    </w:p>
    <w:p w14:paraId="4C5C90B9" w14:textId="77777777" w:rsidR="00AB5980" w:rsidRDefault="00AB5980" w:rsidP="00AB5980">
      <w:pPr>
        <w:pStyle w:val="NoSpacing"/>
        <w:ind w:left="720" w:firstLine="720"/>
      </w:pPr>
      <w:r>
        <w:t>complaint about an interaction with a patient. The magistrate</w:t>
      </w:r>
    </w:p>
    <w:p w14:paraId="1628D929" w14:textId="77777777" w:rsidR="00AB5980" w:rsidRDefault="00AB5980" w:rsidP="00AB5980">
      <w:pPr>
        <w:pStyle w:val="NoSpacing"/>
        <w:ind w:left="720" w:firstLine="720"/>
      </w:pPr>
      <w:r>
        <w:t xml:space="preserve">found that </w:t>
      </w:r>
      <w:proofErr w:type="spellStart"/>
      <w:r>
        <w:t>DeFarias</w:t>
      </w:r>
      <w:proofErr w:type="spellEnd"/>
      <w:r>
        <w:t xml:space="preserve"> was terminated because he did not leave the</w:t>
      </w:r>
    </w:p>
    <w:p w14:paraId="381FA61A" w14:textId="77777777" w:rsidR="00AB5980" w:rsidRDefault="00AB5980" w:rsidP="00AB5980">
      <w:pPr>
        <w:pStyle w:val="NoSpacing"/>
        <w:ind w:left="720" w:firstLine="720"/>
      </w:pPr>
      <w:r>
        <w:t>premises promptly after being suspended and instead demanded</w:t>
      </w:r>
    </w:p>
    <w:p w14:paraId="313413BB" w14:textId="77777777" w:rsidR="00AB5980" w:rsidRDefault="00AB5980" w:rsidP="00AB5980">
      <w:pPr>
        <w:pStyle w:val="NoSpacing"/>
        <w:ind w:left="720" w:firstLine="720"/>
      </w:pPr>
      <w:r>
        <w:t>documentation about his suspension.</w:t>
      </w:r>
    </w:p>
    <w:p w14:paraId="35E5B012" w14:textId="77777777" w:rsidR="00AB5980" w:rsidRDefault="00AB5980" w:rsidP="00AB5980">
      <w:pPr>
        <w:pStyle w:val="NoSpacing"/>
        <w:ind w:left="720"/>
      </w:pPr>
    </w:p>
    <w:p w14:paraId="47A072CA" w14:textId="77777777" w:rsidR="00AB5980" w:rsidRDefault="00AB5980" w:rsidP="00AB5980">
      <w:pPr>
        <w:pStyle w:val="NoSpacing"/>
        <w:ind w:left="720"/>
      </w:pPr>
      <w:r>
        <w:t xml:space="preserve">Beauport terminated </w:t>
      </w:r>
      <w:proofErr w:type="spellStart"/>
      <w:r>
        <w:t>DeFarias</w:t>
      </w:r>
      <w:proofErr w:type="spellEnd"/>
      <w:r>
        <w:t xml:space="preserve"> due to his ‘repeated clinical </w:t>
      </w:r>
      <w:proofErr w:type="gramStart"/>
      <w:r>
        <w:t>errors’ and ‘</w:t>
      </w:r>
      <w:proofErr w:type="gramEnd"/>
      <w:r>
        <w:t xml:space="preserve">personality </w:t>
      </w:r>
      <w:proofErr w:type="gramStart"/>
      <w:r>
        <w:t>conflicts’</w:t>
      </w:r>
      <w:proofErr w:type="gramEnd"/>
      <w:r>
        <w:t xml:space="preserve"> between him and his coworkers. Similarly, a captain at Lynnfield stated that he was disinclined to hire </w:t>
      </w:r>
      <w:proofErr w:type="spellStart"/>
      <w:r>
        <w:t>DeFarias</w:t>
      </w:r>
      <w:proofErr w:type="spellEnd"/>
      <w:r>
        <w:t xml:space="preserve"> in the future because </w:t>
      </w:r>
      <w:proofErr w:type="spellStart"/>
      <w:r>
        <w:t>DeFarias</w:t>
      </w:r>
      <w:proofErr w:type="spellEnd"/>
      <w:r>
        <w:t xml:space="preserve"> had "trouble catching on" and had ‘a few issues with peers.’  Nonetheless, the captain liked DeFarias, praised his work ethic, and suggested that the city should ‘give him a shot.’</w:t>
      </w:r>
    </w:p>
    <w:p w14:paraId="71607776" w14:textId="77777777" w:rsidR="00AB5980" w:rsidRDefault="00AB5980" w:rsidP="00AB5980">
      <w:pPr>
        <w:pStyle w:val="NoSpacing"/>
        <w:ind w:left="720"/>
      </w:pPr>
    </w:p>
    <w:p w14:paraId="1CD3E008" w14:textId="77777777" w:rsidR="00AB5980" w:rsidRDefault="00AB5980" w:rsidP="00AB5980">
      <w:pPr>
        <w:pStyle w:val="NoSpacing"/>
        <w:ind w:left="720"/>
      </w:pPr>
      <w:r>
        <w:t>***</w:t>
      </w:r>
    </w:p>
    <w:p w14:paraId="0746579F" w14:textId="77777777" w:rsidR="00AB5980" w:rsidRDefault="00AB5980" w:rsidP="00AB5980">
      <w:pPr>
        <w:pStyle w:val="NoSpacing"/>
        <w:ind w:left="720"/>
      </w:pPr>
      <w:r>
        <w:t xml:space="preserve">In the future, we expect the city to conduct a thorough and unbiased investigation and write a report that includes both positive and negative findings before the interview to allow the candidate to address negative findings during the interview. But that is not the issue before us. Although the background investigation was flawed, we must evaluate whether there was substantial evidence that (1) ‘the appointing authority had a reasonable justification on the merits for deciding to bypass’ </w:t>
      </w:r>
      <w:proofErr w:type="spellStart"/>
      <w:r>
        <w:t>DeFarias</w:t>
      </w:r>
      <w:proofErr w:type="spellEnd"/>
      <w:r>
        <w:t>, and (2) ‘the flaws in the selection process are not so severe that it is impossible to evaluate the merits from the record.’" Sherman, 472 Mass. at 813.”</w:t>
      </w:r>
    </w:p>
    <w:p w14:paraId="309C1188" w14:textId="77777777" w:rsidR="00AB5980" w:rsidRDefault="00AB5980" w:rsidP="00AB5980">
      <w:pPr>
        <w:pStyle w:val="NoSpacing"/>
        <w:ind w:left="720"/>
      </w:pPr>
    </w:p>
    <w:p w14:paraId="6E594CAB" w14:textId="77777777" w:rsidR="00AB5980" w:rsidRPr="001D5D66" w:rsidRDefault="00AB5980" w:rsidP="00AB5980">
      <w:pPr>
        <w:pStyle w:val="NoSpacing"/>
        <w:rPr>
          <w:b/>
          <w:bCs/>
        </w:rPr>
      </w:pPr>
      <w:r>
        <w:rPr>
          <w:b/>
        </w:rPr>
        <w:t>Legal lesson learned: Background checks are important; include both positive and negative feedback from prior FD employers.</w:t>
      </w:r>
    </w:p>
    <w:p w14:paraId="72DF3A26" w14:textId="77777777" w:rsidR="00AB5980" w:rsidRDefault="00AB5980" w:rsidP="00AB5980">
      <w:pPr>
        <w:pStyle w:val="NoSpacing"/>
        <w:ind w:left="720"/>
      </w:pPr>
    </w:p>
    <w:p w14:paraId="78C6B1B9" w14:textId="77777777" w:rsidR="00AB5980" w:rsidRPr="00CC31B5" w:rsidRDefault="00AB5980" w:rsidP="00AB5980">
      <w:pPr>
        <w:pStyle w:val="NoSpacing"/>
        <w:ind w:left="720"/>
        <w:rPr>
          <w:bCs/>
        </w:rPr>
      </w:pPr>
      <w:r w:rsidRPr="00CC31B5">
        <w:t xml:space="preserve">Note: In Ohio, Fire Chiefs can obtain state and FBI criminal history records. </w:t>
      </w:r>
      <w:hyperlink r:id="rId1044" w:history="1">
        <w:r w:rsidRPr="00A036CD">
          <w:rPr>
            <w:rStyle w:val="Hyperlink"/>
          </w:rPr>
          <w:t>https://codes.ohio.gov/ohio-revised-code/section-505.381</w:t>
        </w:r>
      </w:hyperlink>
      <w:r>
        <w:t xml:space="preserve"> </w:t>
      </w:r>
    </w:p>
    <w:p w14:paraId="799CF207" w14:textId="77777777" w:rsidR="00AB5980" w:rsidRDefault="00AB5980" w:rsidP="00AB5980">
      <w:pPr>
        <w:pStyle w:val="NoSpacing"/>
        <w:rPr>
          <w:b/>
        </w:rPr>
      </w:pPr>
    </w:p>
    <w:p w14:paraId="14FDDF12" w14:textId="77777777" w:rsidR="00AB5980" w:rsidRPr="00425EAF" w:rsidRDefault="00AB5980" w:rsidP="00AB5980">
      <w:pPr>
        <w:pStyle w:val="NoSpacing"/>
        <w:ind w:left="720"/>
      </w:pPr>
      <w:r w:rsidRPr="00425EAF">
        <w:t>(A) The fire chief of a township or fire district may request the superintendent of BCII to conduct a criminal records check with respect to any person who is under consideration for appointment or employment as a permanent, full-time paid firefighter or any person who is under consideration for appointment as a volunteer firefighter.</w:t>
      </w:r>
    </w:p>
    <w:p w14:paraId="6A637800" w14:textId="77777777" w:rsidR="00AB5980" w:rsidRPr="00425EAF" w:rsidRDefault="00AB5980" w:rsidP="00AB5980">
      <w:pPr>
        <w:pStyle w:val="NoSpacing"/>
        <w:ind w:left="720"/>
      </w:pPr>
      <w:r w:rsidRPr="00425EAF">
        <w:t xml:space="preserve">(B)(1) The fire chief of the township or fire district may request that the superintendent of BCII obtain information from the federal bureau of investigation as a part of the criminal </w:t>
      </w:r>
      <w:proofErr w:type="gramStart"/>
      <w:r w:rsidRPr="00425EAF">
        <w:t>records check</w:t>
      </w:r>
      <w:proofErr w:type="gramEnd"/>
      <w:r w:rsidRPr="00425EAF">
        <w:t xml:space="preserve"> requested pursuant to division (A) of this section.</w:t>
      </w:r>
    </w:p>
    <w:p w14:paraId="04FF7644" w14:textId="77777777" w:rsidR="00AB5980" w:rsidRPr="00425EAF" w:rsidRDefault="00AB5980" w:rsidP="00AB5980">
      <w:pPr>
        <w:pStyle w:val="NoSpacing"/>
        <w:ind w:left="720"/>
      </w:pPr>
      <w:r w:rsidRPr="00425EAF">
        <w:t xml:space="preserve">(2) A fire chief authorized by division (A) of this section to request a criminal records check shall provide to each person for whom the fire chief intends to request a criminal records check a copy of the form prescribed pursuant to division (C)(1) of section </w:t>
      </w:r>
      <w:hyperlink r:id="rId1045" w:history="1">
        <w:r w:rsidRPr="00425EAF">
          <w:rPr>
            <w:rStyle w:val="Hyperlink"/>
            <w:color w:val="auto"/>
            <w:u w:val="none"/>
          </w:rPr>
          <w:t>109.578</w:t>
        </w:r>
      </w:hyperlink>
      <w:r w:rsidRPr="00425EAF">
        <w:t xml:space="preserve"> of the Revised Code and a standard impression sheet to obtain fingerprint impressions prescribed pursuant to division (C)(2) of section </w:t>
      </w:r>
      <w:hyperlink r:id="rId1046" w:history="1">
        <w:r w:rsidRPr="00425EAF">
          <w:rPr>
            <w:rStyle w:val="Hyperlink"/>
            <w:color w:val="auto"/>
            <w:u w:val="none"/>
          </w:rPr>
          <w:t>109.578</w:t>
        </w:r>
      </w:hyperlink>
      <w:r w:rsidRPr="00425EAF">
        <w:t xml:space="preserve"> of the Revised Code, obtain the completed form and impression sheet from the person, and forward the completed form and impression sheet to the superintendent of BCII at the time the criminal records check is requested.</w:t>
      </w:r>
    </w:p>
    <w:p w14:paraId="5768AF25" w14:textId="77777777" w:rsidR="00AB5980" w:rsidRPr="00425EAF" w:rsidRDefault="00AB5980" w:rsidP="00AB5980">
      <w:pPr>
        <w:pStyle w:val="NoSpacing"/>
        <w:ind w:left="720"/>
      </w:pPr>
      <w:r w:rsidRPr="00425EAF">
        <w:t>(3) Any person subject to a criminal records check who receives a copy of the form and a copy of the impression sheet pursuant to division (B)(2) of this section and who is requested to complete the form and provide a set of fingerprint impressions shall complete the form or provide all the information necessary to complete the form and shall provide the impression sheet with the impressions of the person's fingerprints. If a person fails to provide the information necessary to complete the form or fails to provide impressions of the person's fingerprints, the appointing authority shall not appoint or employ the person as a permanent, full-time paid firefighter or a volunteer firefighter.</w:t>
      </w:r>
    </w:p>
    <w:p w14:paraId="6614113B" w14:textId="77777777" w:rsidR="00AB5980" w:rsidRPr="00425EAF" w:rsidRDefault="00AB5980" w:rsidP="00AB5980">
      <w:pPr>
        <w:pStyle w:val="NoSpacing"/>
      </w:pPr>
    </w:p>
    <w:p w14:paraId="49183B16" w14:textId="77777777" w:rsidR="00AB5980" w:rsidRDefault="00AB5980" w:rsidP="00EF1133">
      <w:pPr>
        <w:rPr>
          <w:rFonts w:ascii="Arial Black" w:hAnsi="Arial Black"/>
          <w:b/>
          <w:sz w:val="28"/>
          <w:szCs w:val="28"/>
        </w:rPr>
      </w:pPr>
    </w:p>
    <w:p w14:paraId="1FFB59A0" w14:textId="77777777" w:rsidR="00AB5980" w:rsidRDefault="00AB5980" w:rsidP="00EF1133">
      <w:pPr>
        <w:rPr>
          <w:rFonts w:ascii="Arial Black" w:hAnsi="Arial Black"/>
          <w:b/>
          <w:sz w:val="28"/>
          <w:szCs w:val="28"/>
        </w:rPr>
      </w:pPr>
    </w:p>
    <w:p w14:paraId="53A6A14E" w14:textId="419F8698" w:rsidR="00221DD4" w:rsidRDefault="00221DD4" w:rsidP="00EF1133">
      <w:pPr>
        <w:rPr>
          <w:rFonts w:ascii="Arial Black" w:hAnsi="Arial Black"/>
          <w:b/>
          <w:sz w:val="24"/>
          <w:szCs w:val="24"/>
        </w:rPr>
      </w:pPr>
      <w:r>
        <w:rPr>
          <w:rFonts w:ascii="Arial Black" w:hAnsi="Arial Black"/>
          <w:b/>
          <w:sz w:val="28"/>
          <w:szCs w:val="28"/>
        </w:rPr>
        <w:t>6-182</w:t>
      </w:r>
    </w:p>
    <w:p w14:paraId="0C180BC4" w14:textId="77777777" w:rsidR="00893575" w:rsidRPr="00CB350E" w:rsidRDefault="00893575" w:rsidP="00893575">
      <w:pPr>
        <w:pStyle w:val="NoSpacing"/>
        <w:rPr>
          <w:rFonts w:ascii="Arial Black" w:hAnsi="Arial Black"/>
          <w:sz w:val="28"/>
          <w:szCs w:val="28"/>
        </w:rPr>
      </w:pPr>
      <w:r>
        <w:rPr>
          <w:rFonts w:ascii="Arial Black" w:hAnsi="Arial Black"/>
          <w:sz w:val="28"/>
          <w:szCs w:val="28"/>
        </w:rPr>
        <w:t>NY: FF FOOT INJURED ON FIRE BOAT – CASE PROCEED</w:t>
      </w:r>
    </w:p>
    <w:p w14:paraId="11882251" w14:textId="77777777" w:rsidR="00893575" w:rsidRDefault="00893575" w:rsidP="00893575">
      <w:pPr>
        <w:pStyle w:val="NoSpacing"/>
      </w:pPr>
    </w:p>
    <w:p w14:paraId="2E99352C" w14:textId="77777777" w:rsidR="00893575" w:rsidRDefault="00893575" w:rsidP="00893575">
      <w:pPr>
        <w:pStyle w:val="NoSpacing"/>
      </w:pPr>
      <w:r>
        <w:t xml:space="preserve">On April 30, 2026, </w:t>
      </w:r>
      <w:r w:rsidRPr="00C14F25">
        <w:rPr>
          <w:u w:val="single"/>
        </w:rPr>
        <w:t>In Re: In the Matter of the Complaint of Verplanck Fire District, et al. v. Troy Dyckman</w:t>
      </w:r>
      <w:r w:rsidRPr="00DD01C1">
        <w:t>, the</w:t>
      </w:r>
      <w:r>
        <w:t xml:space="preserve"> </w:t>
      </w:r>
      <w:r w:rsidRPr="00DD01C1">
        <w:t>United States Court of Appeals for Second District</w:t>
      </w:r>
      <w:r>
        <w:t xml:space="preserve"> (New York City) held (3 to 0) that the firefighter lawsuit seeking damages for breach of “warranty of seaworthiness may proceed under federal maritime law.  He was a volunteer firefighter while aboard 25-foot Marine I, owned by the Verplanck Fire District on August 9, </w:t>
      </w:r>
      <w:proofErr w:type="gramStart"/>
      <w:r>
        <w:t>2020</w:t>
      </w:r>
      <w:proofErr w:type="gramEnd"/>
      <w:r>
        <w:t xml:space="preserve"> to the reported site of a boat fire on the Hudson River, when he </w:t>
      </w:r>
      <w:r w:rsidRPr="00815FFD">
        <w:t xml:space="preserve">extended his leg to fend off a collision with </w:t>
      </w:r>
      <w:r>
        <w:t xml:space="preserve">West Chester County police </w:t>
      </w:r>
      <w:r w:rsidRPr="00815FFD">
        <w:t>vessel.</w:t>
      </w:r>
      <w:r>
        <w:t xml:space="preserve">  His foot was crushed between the boats; he has since undergone two surgeries. Under the New York State Volunteer Firefighters’ Benefit Law, his medical expenses are paid by the FD, plus he is paid $500 every two weeks for loss of income while injured.  Under the New York Volunteer Fireman’s statute, workers comp is his sole remedy, but federal maritime law allowing lawsuits for breach of “warranty of seaworthiness” may override that state law – case remanded for discovery.  </w:t>
      </w:r>
      <w:hyperlink r:id="rId1047" w:history="1">
        <w:r w:rsidRPr="00EF04F6">
          <w:rPr>
            <w:rStyle w:val="Hyperlink"/>
          </w:rPr>
          <w:t>https://cases.justia.com/federal/appellate-courts/ca2/23-1218/23-1218-2026-04-30.pdf?ts=1777566611</w:t>
        </w:r>
      </w:hyperlink>
      <w:r>
        <w:t xml:space="preserve"> </w:t>
      </w:r>
    </w:p>
    <w:p w14:paraId="4699B838" w14:textId="77777777" w:rsidR="00893575" w:rsidRDefault="00893575" w:rsidP="00893575">
      <w:pPr>
        <w:pStyle w:val="NoSpacing"/>
      </w:pPr>
    </w:p>
    <w:p w14:paraId="123D1104" w14:textId="77777777" w:rsidR="00893575" w:rsidRDefault="00893575" w:rsidP="00893575">
      <w:pPr>
        <w:pStyle w:val="NoSpacing"/>
      </w:pPr>
      <w:r>
        <w:t>THE COURT HELD:</w:t>
      </w:r>
    </w:p>
    <w:p w14:paraId="4BC283AB" w14:textId="77777777" w:rsidR="00893575" w:rsidRDefault="00893575" w:rsidP="00893575">
      <w:pPr>
        <w:pStyle w:val="NoSpacing"/>
      </w:pPr>
    </w:p>
    <w:p w14:paraId="00422053" w14:textId="77777777" w:rsidR="00893575" w:rsidRDefault="00893575" w:rsidP="00893575">
      <w:pPr>
        <w:pStyle w:val="NoSpacing"/>
        <w:ind w:left="720"/>
      </w:pPr>
      <w:r>
        <w:t>“[Footnote 1.] “Dyckman testified in his deposition that he went to the front of the boat to ‘get the ropes ready to tie off in the front,’ either on the instruction of a colleague or his own initiative, purportedly to secure the boat by tying it to a mooring or vessel.</w:t>
      </w:r>
    </w:p>
    <w:p w14:paraId="03DEC488" w14:textId="77777777" w:rsidR="00893575" w:rsidRDefault="00893575" w:rsidP="00893575">
      <w:pPr>
        <w:pStyle w:val="NoSpacing"/>
        <w:ind w:left="720"/>
      </w:pPr>
    </w:p>
    <w:p w14:paraId="1426479D" w14:textId="77777777" w:rsidR="00893575" w:rsidRDefault="00893575" w:rsidP="00893575">
      <w:pPr>
        <w:pStyle w:val="NoSpacing"/>
        <w:ind w:left="720"/>
      </w:pPr>
      <w:r>
        <w:t>***</w:t>
      </w:r>
    </w:p>
    <w:p w14:paraId="1B960859" w14:textId="77777777" w:rsidR="00893575" w:rsidRDefault="00893575" w:rsidP="00893575">
      <w:pPr>
        <w:pStyle w:val="NoSpacing"/>
        <w:ind w:left="720"/>
      </w:pPr>
      <w:r>
        <w:t xml:space="preserve">Nothing in the logic of </w:t>
      </w:r>
      <w:r w:rsidRPr="00546785">
        <w:rPr>
          <w:i/>
          <w:iCs/>
        </w:rPr>
        <w:t>Sieracki</w:t>
      </w:r>
      <w:r>
        <w:t xml:space="preserve"> [U.S. Supreme Court - </w:t>
      </w:r>
      <w:r w:rsidRPr="005A0F3E">
        <w:t>Seas Shipping Co. v. Sieracki, 328 U.S. 85 (1946</w:t>
      </w:r>
      <w:r>
        <w:t>] or its progeny has suggested that, while workers employed by an independent stevedoring contractor may recover from the shipowner for unseaworthy conditions, workers employed by a shipowner in its own land-based stevedoring operation may not.</w:t>
      </w:r>
    </w:p>
    <w:p w14:paraId="65CAF55D" w14:textId="77777777" w:rsidR="00893575" w:rsidRDefault="00893575" w:rsidP="00893575">
      <w:pPr>
        <w:pStyle w:val="NoSpacing"/>
        <w:ind w:left="720"/>
      </w:pPr>
    </w:p>
    <w:p w14:paraId="3633EDBB" w14:textId="77777777" w:rsidR="00893575" w:rsidRDefault="00893575" w:rsidP="00893575">
      <w:pPr>
        <w:pStyle w:val="NoSpacing"/>
        <w:ind w:left="720"/>
      </w:pPr>
      <w:r>
        <w:t>***</w:t>
      </w:r>
    </w:p>
    <w:p w14:paraId="0133E12D" w14:textId="77777777" w:rsidR="00893575" w:rsidRDefault="00893575" w:rsidP="00893575">
      <w:pPr>
        <w:pStyle w:val="NoSpacing"/>
        <w:ind w:left="720"/>
      </w:pPr>
      <w:r>
        <w:t xml:space="preserve">The relevant issue for us is whether Dyckman was covered by the Act. Dyckman, as explained below, is not covered by the Act [Limitation of Liability Act of 1851, 46 U.S.C. § 30523.]  because he is a </w:t>
      </w:r>
      <w:proofErr w:type="gramStart"/>
      <w:r>
        <w:t>governmental</w:t>
      </w:r>
      <w:proofErr w:type="gramEnd"/>
      <w:r>
        <w:t xml:space="preserve"> employee. Because he is excluded as a governmental employee, the fact that he is neither an independent contractor nor employed by one is of no significance as to whether he is or is not covered under the Act.</w:t>
      </w:r>
    </w:p>
    <w:p w14:paraId="3E521E57" w14:textId="77777777" w:rsidR="00893575" w:rsidRDefault="00893575" w:rsidP="00893575">
      <w:pPr>
        <w:pStyle w:val="NoSpacing"/>
        <w:ind w:left="720"/>
      </w:pPr>
      <w:r>
        <w:t xml:space="preserve">Footnote 2: The Limitation of Liability Act limits the liability of the owner of a vessel to the ‘value of the vessel and pending freight’ so long as the damage, loss, or personal injury was incurred ‘without the privity or knowledge of the owner.’ </w:t>
      </w:r>
    </w:p>
    <w:p w14:paraId="6F62C2C6" w14:textId="77777777" w:rsidR="00893575" w:rsidRDefault="00893575" w:rsidP="00893575">
      <w:pPr>
        <w:pStyle w:val="NoSpacing"/>
        <w:ind w:left="720"/>
      </w:pPr>
    </w:p>
    <w:p w14:paraId="3AD72310" w14:textId="77777777" w:rsidR="00893575" w:rsidRDefault="00893575" w:rsidP="00893575">
      <w:pPr>
        <w:pStyle w:val="NoSpacing"/>
        <w:ind w:left="720"/>
      </w:pPr>
      <w:r>
        <w:t>***</w:t>
      </w:r>
    </w:p>
    <w:p w14:paraId="6A68DD79" w14:textId="77777777" w:rsidR="00893575" w:rsidRDefault="00893575" w:rsidP="00893575">
      <w:pPr>
        <w:pStyle w:val="NoSpacing"/>
        <w:ind w:left="720"/>
      </w:pPr>
      <w:r>
        <w:t xml:space="preserve">We leave it to the proceedings in the district court on </w:t>
      </w:r>
      <w:proofErr w:type="gramStart"/>
      <w:r>
        <w:t>remand</w:t>
      </w:r>
      <w:proofErr w:type="gramEnd"/>
      <w:r>
        <w:t xml:space="preserve"> to determine</w:t>
      </w:r>
    </w:p>
    <w:p w14:paraId="540561CB" w14:textId="77777777" w:rsidR="00893575" w:rsidRDefault="00893575" w:rsidP="00893575">
      <w:pPr>
        <w:pStyle w:val="NoSpacing"/>
        <w:ind w:left="720"/>
      </w:pPr>
      <w:r>
        <w:t>whether this evidence should be believed and whether Dyckman was doing</w:t>
      </w:r>
    </w:p>
    <w:p w14:paraId="6D8585BB" w14:textId="77777777" w:rsidR="00893575" w:rsidRDefault="00893575" w:rsidP="00893575">
      <w:pPr>
        <w:pStyle w:val="NoSpacing"/>
        <w:ind w:left="720"/>
      </w:pPr>
      <w:r>
        <w:t>seaman’s work and incurring a seaman’s hazards.”</w:t>
      </w:r>
    </w:p>
    <w:p w14:paraId="366840BC" w14:textId="77777777" w:rsidR="00893575" w:rsidRDefault="00893575" w:rsidP="00893575">
      <w:pPr>
        <w:pStyle w:val="NoSpacing"/>
        <w:ind w:left="720"/>
      </w:pPr>
    </w:p>
    <w:p w14:paraId="5888320E" w14:textId="77777777" w:rsidR="00893575" w:rsidRPr="007F2593" w:rsidRDefault="00893575" w:rsidP="00893575">
      <w:pPr>
        <w:pStyle w:val="NoSpacing"/>
        <w:rPr>
          <w:b/>
          <w:bCs/>
        </w:rPr>
      </w:pPr>
      <w:r>
        <w:rPr>
          <w:b/>
        </w:rPr>
        <w:t xml:space="preserve">Legal lesson learned: Workers’ comp is normally only remedy for </w:t>
      </w:r>
      <w:proofErr w:type="gramStart"/>
      <w:r>
        <w:rPr>
          <w:b/>
        </w:rPr>
        <w:t>firefighter</w:t>
      </w:r>
      <w:proofErr w:type="gramEnd"/>
      <w:r>
        <w:rPr>
          <w:b/>
        </w:rPr>
        <w:t xml:space="preserve"> seeking claims against his FD. </w:t>
      </w:r>
    </w:p>
    <w:p w14:paraId="7BF5210B" w14:textId="77777777" w:rsidR="00893575" w:rsidRPr="00C14F25" w:rsidRDefault="00893575" w:rsidP="00893575">
      <w:pPr>
        <w:pStyle w:val="NoSpacing"/>
        <w:rPr>
          <w:u w:val="single"/>
        </w:rPr>
      </w:pPr>
    </w:p>
    <w:p w14:paraId="06019AA9" w14:textId="77777777" w:rsidR="00893575" w:rsidRDefault="00893575" w:rsidP="00893575">
      <w:pPr>
        <w:pStyle w:val="NoSpacing"/>
      </w:pPr>
    </w:p>
    <w:p w14:paraId="31B216A3" w14:textId="77777777" w:rsidR="0092471F" w:rsidRDefault="0092471F" w:rsidP="000624FD">
      <w:pPr>
        <w:pStyle w:val="NoSpacing"/>
        <w:rPr>
          <w:rFonts w:ascii="Arial Black" w:hAnsi="Arial Black"/>
          <w:b/>
          <w:sz w:val="28"/>
          <w:szCs w:val="28"/>
        </w:rPr>
      </w:pPr>
    </w:p>
    <w:p w14:paraId="6979F8A7" w14:textId="77777777" w:rsidR="0092471F" w:rsidRDefault="0092471F" w:rsidP="000624FD">
      <w:pPr>
        <w:pStyle w:val="NoSpacing"/>
        <w:rPr>
          <w:rFonts w:ascii="Arial Black" w:hAnsi="Arial Black"/>
          <w:b/>
          <w:sz w:val="28"/>
          <w:szCs w:val="28"/>
        </w:rPr>
      </w:pPr>
    </w:p>
    <w:p w14:paraId="7E5A09BD" w14:textId="77777777" w:rsidR="0092471F" w:rsidRDefault="0092471F" w:rsidP="000624FD">
      <w:pPr>
        <w:pStyle w:val="NoSpacing"/>
        <w:rPr>
          <w:rFonts w:ascii="Arial Black" w:hAnsi="Arial Black"/>
          <w:b/>
          <w:sz w:val="28"/>
          <w:szCs w:val="28"/>
        </w:rPr>
      </w:pPr>
    </w:p>
    <w:p w14:paraId="64226EC6" w14:textId="0745083F" w:rsidR="00035385" w:rsidRDefault="00035385" w:rsidP="000624FD">
      <w:pPr>
        <w:pStyle w:val="NoSpacing"/>
        <w:rPr>
          <w:rFonts w:ascii="Arial Black" w:hAnsi="Arial Black"/>
          <w:b/>
          <w:sz w:val="28"/>
          <w:szCs w:val="28"/>
        </w:rPr>
      </w:pPr>
      <w:r>
        <w:rPr>
          <w:rFonts w:ascii="Arial Black" w:hAnsi="Arial Black"/>
          <w:b/>
          <w:sz w:val="28"/>
          <w:szCs w:val="28"/>
        </w:rPr>
        <w:t>6-181</w:t>
      </w:r>
    </w:p>
    <w:p w14:paraId="74F3F171" w14:textId="77777777" w:rsidR="00035385" w:rsidRDefault="00035385" w:rsidP="000624FD">
      <w:pPr>
        <w:pStyle w:val="NoSpacing"/>
        <w:rPr>
          <w:rFonts w:ascii="Arial Black" w:hAnsi="Arial Black"/>
          <w:b/>
          <w:sz w:val="28"/>
          <w:szCs w:val="28"/>
        </w:rPr>
      </w:pPr>
    </w:p>
    <w:p w14:paraId="54EC177A" w14:textId="77777777" w:rsidR="007B6232" w:rsidRDefault="007B6232" w:rsidP="007B6232">
      <w:pPr>
        <w:pStyle w:val="NoSpacing"/>
        <w:rPr>
          <w:rFonts w:ascii="Arial Black" w:hAnsi="Arial Black"/>
          <w:b/>
          <w:sz w:val="28"/>
          <w:szCs w:val="28"/>
        </w:rPr>
      </w:pPr>
      <w:r>
        <w:rPr>
          <w:rFonts w:ascii="Arial Black" w:hAnsi="Arial Black"/>
          <w:b/>
          <w:sz w:val="28"/>
          <w:szCs w:val="28"/>
        </w:rPr>
        <w:t xml:space="preserve">NY: FDNY - 7 BACK INJURIES – DEGENERATIVE / NO ADR </w:t>
      </w:r>
    </w:p>
    <w:p w14:paraId="004D7752" w14:textId="77777777" w:rsidR="007B6232" w:rsidRDefault="007B6232" w:rsidP="007B6232">
      <w:pPr>
        <w:pStyle w:val="NoSpacing"/>
        <w:rPr>
          <w:rFonts w:ascii="Arial Black" w:hAnsi="Arial Black"/>
          <w:b/>
          <w:sz w:val="28"/>
          <w:szCs w:val="28"/>
        </w:rPr>
      </w:pPr>
    </w:p>
    <w:p w14:paraId="36E729A8" w14:textId="77777777" w:rsidR="007B6232" w:rsidRDefault="007B6232" w:rsidP="007B6232">
      <w:pPr>
        <w:pStyle w:val="NoSpacing"/>
      </w:pPr>
      <w:r w:rsidRPr="00426EAE">
        <w:t xml:space="preserve">On February 24, 2026, in </w:t>
      </w:r>
      <w:r w:rsidRPr="00DE0863">
        <w:rPr>
          <w:u w:val="single"/>
        </w:rPr>
        <w:t>Marcus Cevallos v. Robert Tucker, as the Fire Commissioner of the City of New York</w:t>
      </w:r>
      <w:r>
        <w:t xml:space="preserve">, Judge </w:t>
      </w:r>
      <w:r w:rsidRPr="00505C38">
        <w:t xml:space="preserve">Kathleen Waterman-Marshall, </w:t>
      </w:r>
      <w:r w:rsidRPr="00DE0863">
        <w:t>Supreme Court, New York County</w:t>
      </w:r>
      <w:r>
        <w:t xml:space="preserve">, held that plaintiff was properly awarded only ordinary disability retirement (ODR), and denied </w:t>
      </w:r>
      <w:r w:rsidRPr="009B77E9">
        <w:t>Accident Disability Retirement</w:t>
      </w:r>
      <w:r>
        <w:t xml:space="preserve"> (ADR) because his medical history revealed </w:t>
      </w:r>
      <w:r w:rsidRPr="00EC6C51">
        <w:t xml:space="preserve">degenerative changes and not </w:t>
      </w:r>
      <w:r>
        <w:t>changes cause by his workplace injuries. B</w:t>
      </w:r>
      <w:r w:rsidRPr="0058637B">
        <w:t xml:space="preserve">etween March 2014 and August 2022, </w:t>
      </w:r>
      <w:r>
        <w:t xml:space="preserve">he </w:t>
      </w:r>
      <w:r w:rsidRPr="0058637B">
        <w:t xml:space="preserve">suffered seven </w:t>
      </w:r>
      <w:r>
        <w:t xml:space="preserve">documented </w:t>
      </w:r>
      <w:proofErr w:type="gramStart"/>
      <w:r w:rsidRPr="0058637B">
        <w:t>line</w:t>
      </w:r>
      <w:proofErr w:type="gramEnd"/>
      <w:r w:rsidRPr="0058637B">
        <w:t xml:space="preserve"> of duty injuries to his back</w:t>
      </w:r>
      <w:r>
        <w:t xml:space="preserve">, but on March 29, </w:t>
      </w:r>
      <w:r w:rsidRPr="00EC6C51">
        <w:t xml:space="preserve">2014, </w:t>
      </w:r>
      <w:r>
        <w:t xml:space="preserve">he </w:t>
      </w:r>
      <w:r w:rsidRPr="00EC6C51">
        <w:t xml:space="preserve">was seen in the emergency room at Phelps Memorial </w:t>
      </w:r>
      <w:proofErr w:type="gramStart"/>
      <w:r w:rsidRPr="00EC6C51">
        <w:t xml:space="preserve">Hospital, </w:t>
      </w:r>
      <w:r>
        <w:t>and</w:t>
      </w:r>
      <w:proofErr w:type="gramEnd"/>
      <w:r>
        <w:t xml:space="preserve"> </w:t>
      </w:r>
      <w:r w:rsidRPr="00EC6C51">
        <w:t>told the examiner that he had "chronic back pain and was taking Naprosyn." This is less than a year on the job, with no previous injur</w:t>
      </w:r>
      <w:r>
        <w:t>ies</w:t>
      </w:r>
      <w:r w:rsidRPr="00EC6C51">
        <w:t xml:space="preserve"> to his back. </w:t>
      </w:r>
      <w:r>
        <w:t xml:space="preserve"> </w:t>
      </w:r>
      <w:hyperlink r:id="rId1048" w:history="1">
        <w:r w:rsidRPr="00502BCE">
          <w:rPr>
            <w:rStyle w:val="Hyperlink"/>
          </w:rPr>
          <w:t>https://cases.justia.com/new-york/other-courts/2026-2026-ny-slip-op-30695-u.pdf?ts=1773178122</w:t>
        </w:r>
      </w:hyperlink>
      <w:r>
        <w:t xml:space="preserve"> </w:t>
      </w:r>
    </w:p>
    <w:p w14:paraId="5D35D398" w14:textId="77777777" w:rsidR="007B6232" w:rsidRDefault="007B6232" w:rsidP="007B6232">
      <w:pPr>
        <w:pStyle w:val="NoSpacing"/>
      </w:pPr>
    </w:p>
    <w:p w14:paraId="750353F8" w14:textId="77777777" w:rsidR="007B6232" w:rsidRDefault="007B6232" w:rsidP="007B6232">
      <w:pPr>
        <w:pStyle w:val="NoSpacing"/>
      </w:pPr>
    </w:p>
    <w:p w14:paraId="1BB94490" w14:textId="77777777" w:rsidR="007B6232" w:rsidRDefault="007B6232" w:rsidP="007B6232">
      <w:pPr>
        <w:pStyle w:val="NoSpacing"/>
      </w:pPr>
      <w:r>
        <w:t>THE COURT HELD: “</w:t>
      </w:r>
      <w:r w:rsidRPr="000F7DF4">
        <w:t>Put simply, the Medical Board was presented with competing and arguably conflicting medical evidence concerning the cause of Mr. Cevallos' disability. By way of brief example, on the one hand, the report of Mr. Cevallos' doctor urges that there was no pre-existing condition prior to Mr. Cevallos' line of duty injuries, because he was able to pass the physical exam and the 2012 x-ray showed no structural issues. One the other hand, March 2014 medical records show that Mr. Cevallos complained of chronic back pain as the result of weightlifting, requiring medication, and various radiographic studies revealed degenerative disc herniations and bulges and the absence of an acute injury. The Medical Board was entitled to review the competing evidence and recommend that the disability was caused by degenerative disease, notwithstanding the prior line of duty injuries</w:t>
      </w:r>
      <w:r>
        <w:t>.”</w:t>
      </w:r>
    </w:p>
    <w:p w14:paraId="2D87F858" w14:textId="77777777" w:rsidR="007B6232" w:rsidRDefault="007B6232" w:rsidP="007B6232">
      <w:pPr>
        <w:pStyle w:val="NoSpacing"/>
      </w:pPr>
    </w:p>
    <w:p w14:paraId="544F0C01" w14:textId="77777777" w:rsidR="007B6232" w:rsidRPr="00037C57" w:rsidRDefault="007B6232" w:rsidP="007B6232">
      <w:pPr>
        <w:pStyle w:val="NoSpacing"/>
        <w:rPr>
          <w:b/>
          <w:bCs/>
        </w:rPr>
      </w:pPr>
      <w:r w:rsidRPr="00037C57">
        <w:rPr>
          <w:b/>
        </w:rPr>
        <w:t xml:space="preserve">Legal lesson learned: </w:t>
      </w:r>
      <w:r>
        <w:rPr>
          <w:b/>
        </w:rPr>
        <w:t xml:space="preserve">Courts will generally not “second guess” the Medical Board. </w:t>
      </w:r>
    </w:p>
    <w:p w14:paraId="778C5980" w14:textId="77777777" w:rsidR="007B6232" w:rsidRDefault="007B6232" w:rsidP="007B6232">
      <w:pPr>
        <w:pStyle w:val="NoSpacing"/>
      </w:pPr>
    </w:p>
    <w:p w14:paraId="200870D5" w14:textId="77777777" w:rsidR="00035385" w:rsidRDefault="00035385" w:rsidP="000624FD">
      <w:pPr>
        <w:pStyle w:val="NoSpacing"/>
        <w:rPr>
          <w:rFonts w:ascii="Arial Black" w:hAnsi="Arial Black"/>
          <w:b/>
          <w:sz w:val="28"/>
          <w:szCs w:val="28"/>
        </w:rPr>
      </w:pPr>
    </w:p>
    <w:p w14:paraId="6ABAAB22" w14:textId="77777777" w:rsidR="00035385" w:rsidRDefault="00035385" w:rsidP="000624FD">
      <w:pPr>
        <w:pStyle w:val="NoSpacing"/>
        <w:rPr>
          <w:rFonts w:ascii="Arial Black" w:hAnsi="Arial Black"/>
          <w:b/>
          <w:sz w:val="28"/>
          <w:szCs w:val="28"/>
        </w:rPr>
      </w:pPr>
    </w:p>
    <w:p w14:paraId="517BBB1C" w14:textId="77777777" w:rsidR="00035385" w:rsidRDefault="00035385" w:rsidP="000624FD">
      <w:pPr>
        <w:pStyle w:val="NoSpacing"/>
        <w:rPr>
          <w:rFonts w:ascii="Arial Black" w:hAnsi="Arial Black"/>
          <w:b/>
          <w:sz w:val="28"/>
          <w:szCs w:val="28"/>
        </w:rPr>
      </w:pPr>
    </w:p>
    <w:p w14:paraId="18A1AE36" w14:textId="16443396" w:rsidR="006D2F6D" w:rsidRDefault="006D2F6D" w:rsidP="000624FD">
      <w:pPr>
        <w:pStyle w:val="NoSpacing"/>
        <w:rPr>
          <w:rFonts w:ascii="Arial Black" w:hAnsi="Arial Black"/>
          <w:b/>
          <w:sz w:val="28"/>
          <w:szCs w:val="28"/>
        </w:rPr>
      </w:pPr>
      <w:r>
        <w:rPr>
          <w:rFonts w:ascii="Arial Black" w:hAnsi="Arial Black"/>
          <w:b/>
          <w:sz w:val="28"/>
          <w:szCs w:val="28"/>
        </w:rPr>
        <w:t>6-1</w:t>
      </w:r>
      <w:r w:rsidR="00977A84">
        <w:rPr>
          <w:rFonts w:ascii="Arial Black" w:hAnsi="Arial Black"/>
          <w:b/>
          <w:sz w:val="28"/>
          <w:szCs w:val="28"/>
        </w:rPr>
        <w:t>80</w:t>
      </w:r>
    </w:p>
    <w:p w14:paraId="6F955B6E" w14:textId="77777777" w:rsidR="006D2F6D" w:rsidRPr="00D908BA" w:rsidRDefault="006D2F6D" w:rsidP="006D2F6D">
      <w:pPr>
        <w:pStyle w:val="NoSpacing"/>
        <w:rPr>
          <w:rFonts w:ascii="Arial Black" w:hAnsi="Arial Black"/>
          <w:b/>
          <w:sz w:val="28"/>
          <w:szCs w:val="28"/>
        </w:rPr>
      </w:pPr>
      <w:r>
        <w:rPr>
          <w:rFonts w:ascii="Arial Black" w:hAnsi="Arial Black"/>
          <w:b/>
          <w:sz w:val="28"/>
          <w:szCs w:val="28"/>
        </w:rPr>
        <w:t>WV: RIGHT KNEE – GETS WORK COMP / SURGEON’S RPT</w:t>
      </w:r>
    </w:p>
    <w:p w14:paraId="4FE170CA" w14:textId="77777777" w:rsidR="006D2F6D" w:rsidRDefault="006D2F6D" w:rsidP="006D2F6D">
      <w:pPr>
        <w:pStyle w:val="NoSpacing"/>
        <w:rPr>
          <w:b/>
        </w:rPr>
      </w:pPr>
    </w:p>
    <w:p w14:paraId="16B0C988" w14:textId="77777777" w:rsidR="006D2F6D" w:rsidRDefault="006D2F6D" w:rsidP="006D2F6D">
      <w:pPr>
        <w:pStyle w:val="NoSpacing"/>
      </w:pPr>
      <w:r>
        <w:t xml:space="preserve">On February 27, 2026, in </w:t>
      </w:r>
      <w:r w:rsidRPr="009E3073">
        <w:rPr>
          <w:u w:val="single"/>
        </w:rPr>
        <w:t>City of Wheeling v. Cody Melsop</w:t>
      </w:r>
      <w:r>
        <w:t xml:space="preserve">, the </w:t>
      </w:r>
      <w:r w:rsidRPr="009E3073">
        <w:t>West Virginia Intermediate Court of Appeals</w:t>
      </w:r>
      <w:r>
        <w:t xml:space="preserve"> held (5 to 0) that the firefighter was entitled to worker comp;  his right knee surgery was required because of the December 21, </w:t>
      </w:r>
      <w:proofErr w:type="gramStart"/>
      <w:r>
        <w:t>2023</w:t>
      </w:r>
      <w:proofErr w:type="gramEnd"/>
      <w:r>
        <w:t xml:space="preserve"> injury carrying a tote up the stairs, not because of his </w:t>
      </w:r>
      <w:r w:rsidRPr="00B63D1A">
        <w:t>degenerative</w:t>
      </w:r>
      <w:r>
        <w:t xml:space="preserve"> knee condition.  H</w:t>
      </w:r>
      <w:r w:rsidRPr="007B64B1">
        <w:t>e was carrying a large tote with about forty pounds of supplies from the laundry room, which is downstairs, and he proceeded up the stairs</w:t>
      </w:r>
      <w:r>
        <w:t xml:space="preserve">, when </w:t>
      </w:r>
      <w:r w:rsidRPr="007B64B1">
        <w:t xml:space="preserve"> about halfway up the stairs, he felt an excruciating pain in his right knee and immediately thereafter felt a loss of stability and that his knee was weak.</w:t>
      </w:r>
      <w:r>
        <w:t xml:space="preserve">  An </w:t>
      </w:r>
      <w:r w:rsidRPr="009916E8">
        <w:t xml:space="preserve">MRI </w:t>
      </w:r>
      <w:r>
        <w:t>did r</w:t>
      </w:r>
      <w:r w:rsidRPr="009916E8">
        <w:t>eveal an irregularity at the posterior horn of the medial meniscus without displaced tearing</w:t>
      </w:r>
      <w:r>
        <w:t xml:space="preserve">, but his surgeon who performed the surgery reported the knee injury was </w:t>
      </w:r>
      <w:proofErr w:type="gramStart"/>
      <w:r>
        <w:t>as a result of</w:t>
      </w:r>
      <w:proofErr w:type="gramEnd"/>
      <w:r>
        <w:t xml:space="preserve"> the workplace in jury. The </w:t>
      </w:r>
      <w:r w:rsidRPr="001A72CC">
        <w:t>Workers' Compensation Board of Review</w:t>
      </w:r>
      <w:r>
        <w:t xml:space="preserve"> relied on the report of the surgeon, reversing the Hearing Officer who relied on the work comp retained doctor.  </w:t>
      </w:r>
      <w:hyperlink r:id="rId1049" w:history="1">
        <w:r w:rsidRPr="00CB2F3F">
          <w:rPr>
            <w:rStyle w:val="Hyperlink"/>
          </w:rPr>
          <w:t>https://www.courtswv.gov/sites/default/pubfilesmnt/2026-02/25-ICA-338_MD.pdf</w:t>
        </w:r>
      </w:hyperlink>
      <w:r>
        <w:t xml:space="preserve"> </w:t>
      </w:r>
    </w:p>
    <w:p w14:paraId="17301936" w14:textId="77777777" w:rsidR="006D2F6D" w:rsidRDefault="006D2F6D" w:rsidP="006D2F6D">
      <w:pPr>
        <w:pStyle w:val="NoSpacing"/>
      </w:pPr>
    </w:p>
    <w:p w14:paraId="2B43E5F0" w14:textId="77777777" w:rsidR="006D2F6D" w:rsidRDefault="006D2F6D" w:rsidP="006D2F6D">
      <w:pPr>
        <w:pStyle w:val="NoSpacing"/>
      </w:pPr>
      <w:r>
        <w:t>THE COURT HELD:  “</w:t>
      </w:r>
      <w:r w:rsidRPr="00B63D1A">
        <w:t xml:space="preserve">Wheeling argues that the Board erred in finding the opinion of Dr. Frank to be more credible than that of Dr. Magone based solely upon Dr. Frank's status as Mr. </w:t>
      </w:r>
      <w:proofErr w:type="spellStart"/>
      <w:r w:rsidRPr="00B63D1A">
        <w:t>Melsop's</w:t>
      </w:r>
      <w:proofErr w:type="spellEnd"/>
      <w:r w:rsidRPr="00B63D1A">
        <w:t xml:space="preserve"> treating physician and Dr. Magone only conducting a records review, when Dr. Magone's opinion is more consistent with Mr. </w:t>
      </w:r>
      <w:proofErr w:type="spellStart"/>
      <w:r w:rsidRPr="00B63D1A">
        <w:t>Melsop's</w:t>
      </w:r>
      <w:proofErr w:type="spellEnd"/>
      <w:r w:rsidRPr="00B63D1A">
        <w:t xml:space="preserve"> medical records. Wheeling further argues that Dr. Frank failed to explain the alleged causal relationship between Mr. </w:t>
      </w:r>
      <w:proofErr w:type="spellStart"/>
      <w:r w:rsidRPr="00B63D1A">
        <w:t>Melsop's</w:t>
      </w:r>
      <w:proofErr w:type="spellEnd"/>
      <w:r w:rsidRPr="00B63D1A">
        <w:t xml:space="preserve"> meniscal tear and his compensable injury, while Dr. Magone's conclusion that Mr. </w:t>
      </w:r>
      <w:proofErr w:type="spellStart"/>
      <w:r w:rsidRPr="00B63D1A">
        <w:t>Melsop's</w:t>
      </w:r>
      <w:proofErr w:type="spellEnd"/>
      <w:r w:rsidRPr="00B63D1A">
        <w:t xml:space="preserve"> tear is degenerative in nature is consistent with his medical records. Wheeling also argues that the Board's award of TTD benefits to Mr. </w:t>
      </w:r>
      <w:proofErr w:type="spellStart"/>
      <w:r w:rsidRPr="00B63D1A">
        <w:t>Melsop</w:t>
      </w:r>
      <w:proofErr w:type="spellEnd"/>
      <w:r w:rsidRPr="00B63D1A">
        <w:t xml:space="preserve"> is based upon its mischaracterization of the evidence that Mr. </w:t>
      </w:r>
      <w:proofErr w:type="spellStart"/>
      <w:r w:rsidRPr="00B63D1A">
        <w:t>Melsop's</w:t>
      </w:r>
      <w:proofErr w:type="spellEnd"/>
      <w:r w:rsidRPr="00B63D1A">
        <w:t xml:space="preserve"> work restrictions cannot be met. We disagree</w:t>
      </w:r>
      <w:r>
        <w:t xml:space="preserve">…. </w:t>
      </w:r>
      <w:r w:rsidRPr="00D25CC2">
        <w:t xml:space="preserve">Upon review, we conclude that the Board was not clearly wrong in finding that the preponderance of the medical evidence </w:t>
      </w:r>
      <w:r w:rsidRPr="00D25CC2">
        <w:lastRenderedPageBreak/>
        <w:t xml:space="preserve">establishes that Mr. </w:t>
      </w:r>
      <w:proofErr w:type="spellStart"/>
      <w:r w:rsidRPr="00D25CC2">
        <w:t>Melsop</w:t>
      </w:r>
      <w:proofErr w:type="spellEnd"/>
      <w:r w:rsidRPr="00D25CC2">
        <w:t xml:space="preserve"> sustained a right knee medial meniscal tear </w:t>
      </w:r>
      <w:proofErr w:type="gramStart"/>
      <w:r w:rsidRPr="00D25CC2">
        <w:t>in the course of</w:t>
      </w:r>
      <w:proofErr w:type="gramEnd"/>
      <w:r w:rsidRPr="00D25CC2">
        <w:t xml:space="preserve"> and resulting from his employment.</w:t>
      </w:r>
      <w:r>
        <w:t>”</w:t>
      </w:r>
    </w:p>
    <w:p w14:paraId="66D9004D" w14:textId="77777777" w:rsidR="006D2F6D" w:rsidRDefault="006D2F6D" w:rsidP="006D2F6D">
      <w:pPr>
        <w:pStyle w:val="NoSpacing"/>
      </w:pPr>
    </w:p>
    <w:p w14:paraId="2DED7B31" w14:textId="77777777" w:rsidR="006D2F6D" w:rsidRPr="00F53B2E" w:rsidRDefault="006D2F6D" w:rsidP="006D2F6D">
      <w:pPr>
        <w:pStyle w:val="NoSpacing"/>
        <w:rPr>
          <w:b/>
          <w:bCs/>
        </w:rPr>
      </w:pPr>
      <w:r>
        <w:rPr>
          <w:b/>
        </w:rPr>
        <w:t>Legal lesson learned: Another drawn out battle between a firefighter (with some evidence of a prior degenerative condition) and his employer.</w:t>
      </w:r>
    </w:p>
    <w:p w14:paraId="0A9BCBE3" w14:textId="77777777" w:rsidR="006D2F6D" w:rsidRDefault="006D2F6D" w:rsidP="006D2F6D">
      <w:pPr>
        <w:pStyle w:val="NoSpacing"/>
      </w:pPr>
    </w:p>
    <w:p w14:paraId="15E98913" w14:textId="77777777" w:rsidR="006D2F6D" w:rsidRPr="001D2DCA" w:rsidRDefault="006D2F6D" w:rsidP="006D2F6D">
      <w:pPr>
        <w:pStyle w:val="NoSpacing"/>
        <w:ind w:left="720"/>
      </w:pPr>
      <w:r>
        <w:t>Note: “</w:t>
      </w:r>
      <w:r w:rsidRPr="001D2DCA">
        <w:t>On April 29, 2025, this Court issued a memorandum decision affirming the Board's order. See City of Wheeling v. Melsop, No. 24-ICA-379, 2025 WL 1249650 (W.Va. Ct. App. April 29, 2025) (memorandum decision). On October 21, 2025, the Supreme Court of Appeals of West Virginia affirmed this Court's decision. See City of Wheeling v. Melsop, No. 25-382, 2025 WL 2962901 (W.Va. Oct. 21, 2025) (memorandum decision).</w:t>
      </w:r>
      <w:r>
        <w:t>”</w:t>
      </w:r>
    </w:p>
    <w:p w14:paraId="0C4C8BA1" w14:textId="77777777" w:rsidR="006D2F6D" w:rsidRDefault="006D2F6D" w:rsidP="000624FD">
      <w:pPr>
        <w:pStyle w:val="NoSpacing"/>
        <w:rPr>
          <w:rFonts w:ascii="Arial Black" w:hAnsi="Arial Black"/>
          <w:b/>
          <w:sz w:val="28"/>
          <w:szCs w:val="28"/>
        </w:rPr>
      </w:pPr>
    </w:p>
    <w:p w14:paraId="512D3FEF" w14:textId="77777777" w:rsidR="000509A0" w:rsidRDefault="000509A0" w:rsidP="000624FD">
      <w:pPr>
        <w:pStyle w:val="NoSpacing"/>
        <w:rPr>
          <w:rFonts w:ascii="Arial Black" w:hAnsi="Arial Black"/>
          <w:b/>
          <w:sz w:val="28"/>
          <w:szCs w:val="28"/>
        </w:rPr>
      </w:pPr>
    </w:p>
    <w:p w14:paraId="43F796B9" w14:textId="78ADE6CE" w:rsidR="008E1D82" w:rsidRDefault="008E1D82" w:rsidP="000624FD">
      <w:pPr>
        <w:pStyle w:val="NoSpacing"/>
        <w:rPr>
          <w:rFonts w:ascii="Arial Black" w:hAnsi="Arial Black"/>
          <w:b/>
          <w:sz w:val="28"/>
          <w:szCs w:val="28"/>
        </w:rPr>
      </w:pPr>
      <w:r>
        <w:rPr>
          <w:rFonts w:ascii="Arial Black" w:hAnsi="Arial Black"/>
          <w:b/>
          <w:sz w:val="28"/>
          <w:szCs w:val="28"/>
        </w:rPr>
        <w:t>6-17</w:t>
      </w:r>
      <w:r w:rsidR="00977A84">
        <w:rPr>
          <w:rFonts w:ascii="Arial Black" w:hAnsi="Arial Black"/>
          <w:b/>
          <w:sz w:val="28"/>
          <w:szCs w:val="28"/>
        </w:rPr>
        <w:t>9</w:t>
      </w:r>
    </w:p>
    <w:p w14:paraId="611FE522" w14:textId="77777777" w:rsidR="008E1D82" w:rsidRDefault="008E1D82" w:rsidP="000624FD">
      <w:pPr>
        <w:pStyle w:val="NoSpacing"/>
        <w:rPr>
          <w:rFonts w:ascii="Arial Black" w:hAnsi="Arial Black"/>
          <w:b/>
          <w:sz w:val="28"/>
          <w:szCs w:val="28"/>
        </w:rPr>
      </w:pPr>
    </w:p>
    <w:p w14:paraId="36D916A7" w14:textId="77777777" w:rsidR="008E1D82" w:rsidRPr="00FF2EDA" w:rsidRDefault="008E1D82" w:rsidP="008E1D82">
      <w:pPr>
        <w:pStyle w:val="NoSpacing"/>
        <w:rPr>
          <w:rFonts w:ascii="Arial Black" w:hAnsi="Arial Black"/>
          <w:sz w:val="28"/>
          <w:szCs w:val="28"/>
        </w:rPr>
      </w:pPr>
      <w:r>
        <w:rPr>
          <w:rFonts w:ascii="Arial Black" w:hAnsi="Arial Black"/>
          <w:sz w:val="28"/>
          <w:szCs w:val="28"/>
        </w:rPr>
        <w:t xml:space="preserve">FL: MILITARY – NO PROMOTION “PREFERANCE” - </w:t>
      </w:r>
      <w:r w:rsidRPr="00FF2EDA">
        <w:rPr>
          <w:rFonts w:ascii="Arial Black" w:hAnsi="Arial Black"/>
          <w:sz w:val="28"/>
          <w:szCs w:val="28"/>
        </w:rPr>
        <w:t>USERRA</w:t>
      </w:r>
    </w:p>
    <w:p w14:paraId="4146C63B" w14:textId="77777777" w:rsidR="008E1D82" w:rsidRDefault="008E1D82" w:rsidP="008E1D82">
      <w:pPr>
        <w:pStyle w:val="NoSpacing"/>
      </w:pPr>
    </w:p>
    <w:p w14:paraId="532F9CCD" w14:textId="77777777" w:rsidR="008E1D82" w:rsidRDefault="008E1D82" w:rsidP="008E1D82">
      <w:pPr>
        <w:pStyle w:val="NoSpacing"/>
      </w:pPr>
      <w:r>
        <w:t xml:space="preserve">On February 17, 2026, in </w:t>
      </w:r>
      <w:r w:rsidRPr="00D36291">
        <w:rPr>
          <w:u w:val="single"/>
        </w:rPr>
        <w:t>John Kutz v. Bonita Springs Fire Control and Rescue District</w:t>
      </w:r>
      <w:r>
        <w:t>, U.S. District Court Judge Sheri Polster Chappel</w:t>
      </w:r>
      <w:r w:rsidRPr="00FE1D81">
        <w:t>, United States District Court</w:t>
      </w:r>
      <w:r>
        <w:rPr>
          <w:b/>
        </w:rPr>
        <w:t xml:space="preserve"> </w:t>
      </w:r>
      <w:r w:rsidRPr="00D66E4A">
        <w:t>for Middle District of Florida, Fort Myers Division</w:t>
      </w:r>
      <w:r>
        <w:t xml:space="preserve">, denied the defendant’s motion to dismiss, and held that there was some evidence in the Complaint that </w:t>
      </w:r>
      <w:r w:rsidRPr="00180F3F">
        <w:t xml:space="preserve">his membership in the uniformed services </w:t>
      </w:r>
      <w:r>
        <w:t>was “</w:t>
      </w:r>
      <w:r w:rsidRPr="00180F3F">
        <w:t>a motivating factor</w:t>
      </w:r>
      <w:r>
        <w:t>’</w:t>
      </w:r>
      <w:r w:rsidRPr="00180F3F">
        <w:t xml:space="preserve"> in the employer's adverse employment decision</w:t>
      </w:r>
      <w:r>
        <w:t xml:space="preserve"> to not promote him to deputy chief, in violation of the </w:t>
      </w:r>
      <w:r w:rsidRPr="00B56337">
        <w:t xml:space="preserve">Uniformed Services Employment and Reemployment Rights Act of 1994, 38 U.S.C. § 4301, </w:t>
      </w:r>
      <w:r w:rsidRPr="00B56337">
        <w:rPr>
          <w:i/>
          <w:iCs/>
        </w:rPr>
        <w:t>et seq.</w:t>
      </w:r>
      <w:r w:rsidRPr="00B56337">
        <w:t xml:space="preserve"> (</w:t>
      </w:r>
      <w:r>
        <w:t>‘</w:t>
      </w:r>
      <w:r w:rsidRPr="00B56337">
        <w:t>USERRA</w:t>
      </w:r>
      <w:r>
        <w:t>’</w:t>
      </w:r>
      <w:r w:rsidRPr="00B56337">
        <w:t>)</w:t>
      </w:r>
      <w:r>
        <w:t xml:space="preserve">.  The will now proceed to pretrial discovery, but Court also made it clear that </w:t>
      </w:r>
      <w:r w:rsidRPr="00DA3EEF">
        <w:t>while USERRA prevents the denial of promotion on the basis of military service, it does not itself provide a remedy to veterans who are not given preferences in employment decisions</w:t>
      </w:r>
      <w:r>
        <w:t xml:space="preserve">. </w:t>
      </w:r>
      <w:hyperlink r:id="rId1050" w:history="1">
        <w:r w:rsidRPr="002B0907">
          <w:rPr>
            <w:rStyle w:val="Hyperlink"/>
          </w:rPr>
          <w:t>https://public.fastcase.com/Jhe1Qn%2BmJndQYQU6z%2FeNm1SSbD0G3ZEWJh7YHZP1lKvwyFhreCu4Zs3UIv3EdnBK?utm_medium=email&amp;_hsenc=p2ANqtz-9nqm6pHuxrJA2eqp98a7_eI9fDSv0sKlRywY7jloQaZjhwJh8mlE2JmH7OUYiPvznSiiSBN3erALyoe2ilWNUf5RREvQ&amp;_hsmi=226712652&amp;utm_content=226712652&amp;utm_source=hs_email</w:t>
        </w:r>
      </w:hyperlink>
      <w:r>
        <w:t xml:space="preserve"> </w:t>
      </w:r>
    </w:p>
    <w:p w14:paraId="649F365E" w14:textId="77777777" w:rsidR="008E1D82" w:rsidRDefault="008E1D82" w:rsidP="008E1D82">
      <w:pPr>
        <w:pStyle w:val="NoSpacing"/>
      </w:pPr>
    </w:p>
    <w:p w14:paraId="4AF5A271" w14:textId="77777777" w:rsidR="008E1D82" w:rsidRPr="00900740" w:rsidRDefault="008E1D82" w:rsidP="008E1D82">
      <w:pPr>
        <w:pStyle w:val="NoSpacing"/>
      </w:pPr>
      <w:r>
        <w:t>THE COURT HELD:  “</w:t>
      </w:r>
      <w:r w:rsidRPr="00A04B82">
        <w:t>Plaintiff began his employment at Defendant in 2006. In 2015, Plaintiff joined the National Guard. Beginning in 2016, Plaintiff took a leave of absence for an unspecified period to attend basic training. In 2021, Plaintiff deployed for about a year.</w:t>
      </w:r>
      <w:r>
        <w:t xml:space="preserve"> </w:t>
      </w:r>
      <w:r w:rsidRPr="000D4F39">
        <w:t>Upon returning, he re-employed with Defendant as a lieutenant. Along with serving as a lieutenant, Plaintiff volunteered as an acting battalion chief. In doing so, he became eligible for promotion to any full-time battalion chief position</w:t>
      </w:r>
      <w:r>
        <w:t xml:space="preserve">…. </w:t>
      </w:r>
      <w:r w:rsidRPr="00474902">
        <w:t>Sometime later, Plaintiff applied for an open deputy chief position. Three other employees, Captain Kelli Wilson, Lieutenant Giovanni Zamora, and Nic Aracia, also applied</w:t>
      </w:r>
      <w:r>
        <w:t xml:space="preserve">…. </w:t>
      </w:r>
      <w:r w:rsidRPr="0072475D">
        <w:t xml:space="preserve">According to Plaintiff, his qualification of </w:t>
      </w:r>
      <w:r>
        <w:t>‘</w:t>
      </w:r>
      <w:r w:rsidRPr="0072475D">
        <w:t>Fire Officer Three</w:t>
      </w:r>
      <w:r>
        <w:t>’</w:t>
      </w:r>
      <w:r w:rsidRPr="0072475D">
        <w:t xml:space="preserve"> by the National Fire Protection Association made him more qualified than the two other candidates Defendant interviewed. Chief Dewitt acknowledged Plaintiff </w:t>
      </w:r>
      <w:r>
        <w:t>‘</w:t>
      </w:r>
      <w:r w:rsidRPr="0072475D">
        <w:t>may be more qualified</w:t>
      </w:r>
      <w:r>
        <w:t>’</w:t>
      </w:r>
      <w:r w:rsidRPr="0072475D">
        <w:t xml:space="preserve"> but indicated Captain Wilson would receive the promotion.</w:t>
      </w:r>
      <w:r>
        <w:t xml:space="preserve"> </w:t>
      </w:r>
      <w:r w:rsidRPr="00900740">
        <w:t xml:space="preserve">Plaintiff told Assistant Chief Brod that Defendant violated the law regarding veteran preference in hiring. </w:t>
      </w:r>
    </w:p>
    <w:p w14:paraId="4C65B147" w14:textId="77777777" w:rsidR="008E1D82" w:rsidRDefault="008E1D82" w:rsidP="008E1D82">
      <w:pPr>
        <w:pStyle w:val="NoSpacing"/>
      </w:pPr>
      <w:r w:rsidRPr="00787E1B">
        <w:t>On December 2, 2024, Defendant announced Captain Wilson's promotion to the deputy chief position</w:t>
      </w:r>
      <w:r>
        <w:t xml:space="preserve">…. </w:t>
      </w:r>
      <w:r w:rsidRPr="00AF4880">
        <w:t>Plaintiff's union refused to advance the grievance because the deputy chief position “was a non-bargaining position,” and the CBA does not cover Plaintiff's alleged violations.</w:t>
      </w:r>
      <w:r>
        <w:t xml:space="preserve"> *** </w:t>
      </w:r>
      <w:r w:rsidRPr="00180F3F">
        <w:t xml:space="preserve">USERRA prohibits employers from denying uniformed servicemembers “any benefit of employment . . . on the basis of” that service. 38 U.S.C. § 4311(a). To state a claim under USERRA, Plaintiff must allege (1) he qualifies as a member of the protected class of service members; (2) he suffered an adverse employment decision; and (3) his membership in the uniformed services </w:t>
      </w:r>
      <w:r>
        <w:t>‘</w:t>
      </w:r>
      <w:r w:rsidRPr="00180F3F">
        <w:t>is a motivating factor</w:t>
      </w:r>
      <w:r>
        <w:t>’</w:t>
      </w:r>
      <w:r w:rsidRPr="00180F3F">
        <w:t xml:space="preserve"> in the employer's adverse employment decision.</w:t>
      </w:r>
      <w:r>
        <w:t>”</w:t>
      </w:r>
    </w:p>
    <w:p w14:paraId="744EBDAB" w14:textId="77777777" w:rsidR="008E1D82" w:rsidRDefault="008E1D82" w:rsidP="008E1D82">
      <w:pPr>
        <w:pStyle w:val="NoSpacing"/>
      </w:pPr>
    </w:p>
    <w:p w14:paraId="0BCF30E6" w14:textId="77777777" w:rsidR="008E1D82" w:rsidRPr="00180F3F" w:rsidRDefault="008E1D82" w:rsidP="008E1D82">
      <w:pPr>
        <w:pStyle w:val="NoSpacing"/>
        <w:rPr>
          <w:b/>
          <w:bCs/>
        </w:rPr>
      </w:pPr>
      <w:r w:rsidRPr="007707BD">
        <w:rPr>
          <w:b/>
        </w:rPr>
        <w:t xml:space="preserve">Legal lesson learned: </w:t>
      </w:r>
      <w:r>
        <w:rPr>
          <w:b/>
        </w:rPr>
        <w:t xml:space="preserve">Case will now proceed to pre-trial discovery. </w:t>
      </w:r>
    </w:p>
    <w:p w14:paraId="2693B110" w14:textId="77777777" w:rsidR="008E1D82" w:rsidRDefault="008E1D82" w:rsidP="008E1D82">
      <w:pPr>
        <w:pStyle w:val="NoSpacing"/>
      </w:pPr>
    </w:p>
    <w:p w14:paraId="0AFC6D8F" w14:textId="77777777" w:rsidR="008E1D82" w:rsidRDefault="008E1D82" w:rsidP="008E1D82">
      <w:pPr>
        <w:pStyle w:val="NoSpacing"/>
        <w:ind w:left="720"/>
      </w:pPr>
      <w:r>
        <w:t>Note: Footnote 8: “</w:t>
      </w:r>
      <w:r w:rsidRPr="00DA3EEF">
        <w:t>Plaintiff alleges in the Second Amended Complaint that Defendant violated USERRA by failing to comply with Fla. Stat. § 295.09(1)(a), which affords veteran preference in hiring</w:t>
      </w:r>
      <w:r>
        <w:t xml:space="preserve">…. </w:t>
      </w:r>
      <w:r w:rsidRPr="00DA3EEF">
        <w:t xml:space="preserve">While this theory is not </w:t>
      </w:r>
      <w:r w:rsidRPr="00DA3EEF">
        <w:lastRenderedPageBreak/>
        <w:t xml:space="preserve">addressed in the parties' briefs, the Court rejects it as incognizable. </w:t>
      </w:r>
      <w:r w:rsidRPr="00DA3EEF">
        <w:rPr>
          <w:i/>
          <w:iCs/>
        </w:rPr>
        <w:t>See, e.g.</w:t>
      </w:r>
      <w:r w:rsidRPr="00DA3EEF">
        <w:t xml:space="preserve">, </w:t>
      </w:r>
      <w:r w:rsidRPr="00DA3EEF">
        <w:rPr>
          <w:i/>
          <w:iCs/>
        </w:rPr>
        <w:t>Case v. Judd</w:t>
      </w:r>
      <w:r w:rsidRPr="00DA3EEF">
        <w:t xml:space="preserve">, No. 8:19-CV-607-T-33TGW, 2019 WL 10966204, at *4 (M.D. Fla. Oct. 23, 2019) (“[T]he veteran's preference policies . . . in [Section] 295.09(1)(a) are not ‘benefits of employment' under USERRA. Having made this determination, the Court finds that Case cannot seek relief under 38 U.S.C. § 4311(a) for [defendant's] alleged failure to afford preference to veterans in promotional decisions”); </w:t>
      </w:r>
      <w:r w:rsidRPr="00DA3EEF">
        <w:rPr>
          <w:i/>
          <w:iCs/>
        </w:rPr>
        <w:t xml:space="preserve">see also Wilborn v. </w:t>
      </w:r>
      <w:proofErr w:type="spellStart"/>
      <w:r w:rsidRPr="00DA3EEF">
        <w:rPr>
          <w:i/>
          <w:iCs/>
        </w:rPr>
        <w:t>Dep't</w:t>
      </w:r>
      <w:proofErr w:type="spellEnd"/>
      <w:r w:rsidRPr="00DA3EEF">
        <w:rPr>
          <w:i/>
          <w:iCs/>
        </w:rPr>
        <w:t xml:space="preserve"> of Just.</w:t>
      </w:r>
      <w:r w:rsidRPr="00DA3EEF">
        <w:t>, 230 F.3d 1383, 2000 WL 194114, at *2 (Fed. Cir. 2000) (noting “while USERRA prevents the denial of promotion on the basis of military service, it does not itself provide a remedy to veterans who are not given preferences in employment decisions”).</w:t>
      </w:r>
    </w:p>
    <w:p w14:paraId="1103CA03" w14:textId="77777777" w:rsidR="008E1D82" w:rsidRDefault="008E1D82" w:rsidP="008E1D82">
      <w:pPr>
        <w:pStyle w:val="NoSpacing"/>
      </w:pPr>
    </w:p>
    <w:p w14:paraId="71A98F4F" w14:textId="6C1C41D1" w:rsidR="00191CD7" w:rsidRPr="00977A84" w:rsidRDefault="00191CD7" w:rsidP="008E1D82">
      <w:pPr>
        <w:pStyle w:val="NoSpacing"/>
        <w:rPr>
          <w:rFonts w:ascii="Arial Black" w:hAnsi="Arial Black"/>
          <w:sz w:val="28"/>
          <w:szCs w:val="28"/>
        </w:rPr>
      </w:pPr>
      <w:r w:rsidRPr="00977A84">
        <w:rPr>
          <w:rFonts w:ascii="Arial Black" w:hAnsi="Arial Black"/>
          <w:sz w:val="28"/>
          <w:szCs w:val="28"/>
        </w:rPr>
        <w:t>6-178</w:t>
      </w:r>
    </w:p>
    <w:p w14:paraId="49CEAA64" w14:textId="77777777" w:rsidR="00191CD7" w:rsidRDefault="00191CD7" w:rsidP="008E1D82">
      <w:pPr>
        <w:pStyle w:val="NoSpacing"/>
      </w:pPr>
    </w:p>
    <w:p w14:paraId="28DF3FC2" w14:textId="225729C1" w:rsidR="00191CD7" w:rsidRPr="00977A84" w:rsidRDefault="00191CD7" w:rsidP="00191CD7">
      <w:pPr>
        <w:pStyle w:val="NoSpacing"/>
        <w:rPr>
          <w:rFonts w:ascii="Times New Roman" w:hAnsi="Times New Roman"/>
          <w:b/>
          <w:sz w:val="24"/>
          <w:szCs w:val="24"/>
        </w:rPr>
      </w:pPr>
      <w:r>
        <w:rPr>
          <w:rFonts w:ascii="Arial Black" w:hAnsi="Arial Black"/>
          <w:b/>
          <w:sz w:val="28"/>
          <w:szCs w:val="28"/>
        </w:rPr>
        <w:t>CT: NEW DROP LAW – NOT FF UNDER 55 – CASE PROCEED</w:t>
      </w:r>
      <w:r w:rsidR="00977A84">
        <w:rPr>
          <w:rFonts w:ascii="Arial Black" w:hAnsi="Arial Black"/>
          <w:b/>
          <w:sz w:val="28"/>
          <w:szCs w:val="28"/>
        </w:rPr>
        <w:t xml:space="preserve"> </w:t>
      </w:r>
      <w:r w:rsidR="00977A84" w:rsidRPr="00977A84">
        <w:rPr>
          <w:rFonts w:ascii="Times New Roman" w:hAnsi="Times New Roman"/>
          <w:b/>
          <w:sz w:val="24"/>
          <w:szCs w:val="24"/>
        </w:rPr>
        <w:t>[also filed, Chap. 18]</w:t>
      </w:r>
    </w:p>
    <w:p w14:paraId="179DB026" w14:textId="77777777" w:rsidR="00191CD7" w:rsidRDefault="00191CD7" w:rsidP="00191CD7">
      <w:pPr>
        <w:pStyle w:val="NoSpacing"/>
      </w:pPr>
    </w:p>
    <w:p w14:paraId="177B5DE6" w14:textId="77777777" w:rsidR="00191CD7" w:rsidRDefault="00191CD7" w:rsidP="00191CD7">
      <w:pPr>
        <w:pStyle w:val="NoSpacing"/>
      </w:pPr>
      <w:r>
        <w:t xml:space="preserve">On February 4, 2026, in </w:t>
      </w:r>
      <w:r w:rsidRPr="004C7896">
        <w:rPr>
          <w:u w:val="single"/>
        </w:rPr>
        <w:t>David Dobbs, IAFF Local 834</w:t>
      </w:r>
      <w:r>
        <w:rPr>
          <w:u w:val="single"/>
        </w:rPr>
        <w:t xml:space="preserve">, et al. </w:t>
      </w:r>
      <w:r w:rsidRPr="004C7896">
        <w:rPr>
          <w:u w:val="single"/>
        </w:rPr>
        <w:t xml:space="preserve"> v. Brian Vahey, Chair of the State of Connecticut Municipal Employees Retirement Commission, et al</w:t>
      </w:r>
      <w:r w:rsidRPr="004C7896">
        <w:t>., U.S.</w:t>
      </w:r>
      <w:r>
        <w:rPr>
          <w:u w:val="single"/>
        </w:rPr>
        <w:t xml:space="preserve"> </w:t>
      </w:r>
      <w:r>
        <w:t xml:space="preserve">District Court Judge </w:t>
      </w:r>
    </w:p>
    <w:p w14:paraId="72CE0DF4" w14:textId="77777777" w:rsidR="00191CD7" w:rsidRDefault="00191CD7" w:rsidP="00191CD7">
      <w:pPr>
        <w:pStyle w:val="NoSpacing"/>
      </w:pPr>
      <w:r w:rsidRPr="004F64AC">
        <w:t xml:space="preserve">Sarala V. </w:t>
      </w:r>
      <w:proofErr w:type="spellStart"/>
      <w:r w:rsidRPr="004F64AC">
        <w:t>Nagala</w:t>
      </w:r>
      <w:proofErr w:type="spellEnd"/>
      <w:r w:rsidRPr="00357297">
        <w:t>, United States United States District Court for the District of Connecticut</w:t>
      </w:r>
      <w:r>
        <w:t>, denied the Commission’s motion to dismiss (</w:t>
      </w:r>
      <w:proofErr w:type="gramStart"/>
      <w:r>
        <w:t>and also</w:t>
      </w:r>
      <w:proofErr w:type="gramEnd"/>
      <w:r>
        <w:t xml:space="preserve"> Bridgeport firefighters and Union’s motion for preliminary injunction); case will now proceed with pre-trial discovery.  The Bridgeport firefighters and Local 834 argue that it is age discrimination under the new DROP program to allow some public safety employees (including Plaintiffs) to be eligible to retire—for instance, if they have completed twenty-five years of service—but ineligible to enter the DROP, because they are not yet age 55 and have not completed thirty years of service.  </w:t>
      </w:r>
      <w:hyperlink r:id="rId1051" w:history="1">
        <w:r w:rsidRPr="00FF19A6">
          <w:rPr>
            <w:rStyle w:val="Hyperlink"/>
          </w:rPr>
          <w:t>https://ecf.ctd.uscourts.gov/cgi-bin/show_public_doc?2025cv0824-74</w:t>
        </w:r>
      </w:hyperlink>
      <w:r>
        <w:t xml:space="preserve"> </w:t>
      </w:r>
    </w:p>
    <w:p w14:paraId="65FA3BD4" w14:textId="77777777" w:rsidR="00191CD7" w:rsidRDefault="00191CD7" w:rsidP="00191CD7">
      <w:pPr>
        <w:pStyle w:val="NoSpacing"/>
      </w:pPr>
    </w:p>
    <w:p w14:paraId="4BD62D53" w14:textId="77777777" w:rsidR="00191CD7" w:rsidRDefault="00191CD7" w:rsidP="00191CD7">
      <w:pPr>
        <w:pStyle w:val="NoSpacing"/>
      </w:pPr>
      <w:r>
        <w:t xml:space="preserve">THE COURT HELD: “Effective July 1, 2025, certain members of the Connecticut Municipal Employees’ Retirement System who are otherwise eligible to retire can elect to defer their retirement allowance, while continuing their employment for up to five years, under a Deferred Retirement Option Plan (‘DROP’)…. </w:t>
      </w:r>
      <w:r w:rsidRPr="00D22380">
        <w:t>Under the statute adopted by the Connecticut legislature, the Connecticut State Employees</w:t>
      </w:r>
      <w:r>
        <w:t xml:space="preserve"> </w:t>
      </w:r>
      <w:r w:rsidRPr="00D22380">
        <w:t xml:space="preserve">Retirement Commission </w:t>
      </w:r>
      <w:r>
        <w:t>‘</w:t>
      </w:r>
      <w:r w:rsidRPr="00D22380">
        <w:t>may create</w:t>
      </w:r>
      <w:r>
        <w:t>’</w:t>
      </w:r>
      <w:r w:rsidRPr="00D22380">
        <w:t xml:space="preserve"> a DROP, which </w:t>
      </w:r>
      <w:r>
        <w:t>‘</w:t>
      </w:r>
      <w:r w:rsidRPr="00D22380">
        <w:t>shall include a fixed period of time for</w:t>
      </w:r>
      <w:r>
        <w:t xml:space="preserve"> </w:t>
      </w:r>
      <w:r w:rsidRPr="00D22380">
        <w:t>member participation, not to exceed five years, and a specified rate of interest credit for member</w:t>
      </w:r>
      <w:r>
        <w:t xml:space="preserve"> </w:t>
      </w:r>
      <w:r w:rsidRPr="00D22380">
        <w:t>accounts.” Conn. Gen. Stat. § 7-459b(b)</w:t>
      </w:r>
      <w:r>
        <w:t xml:space="preserve">…. As relevant here, retirement-eligible firefighters may join the DROP at age 57 with five years of continuous service, at age 55 with 25 years of aggregate service, or with 30 years of aggregate service regardless of age. The Individual Plaintiffs, firefighters with the Bridgeport Fire Department,1 are eligible for retirement allowances by virtue of their tenure with the Fire Department, but are all under age 55, and therefore ineligible to join the DROP. *** First, the Court notes that Defendants’ argument about the rationality of the age classification—that it incentivizes skilled employees to delay their retirement beyond the date they are first eligible to collect pension benefits, thereby extending the period during which the employees contribute to the plan and delaying the time at which they begin to receive payments— are not in fact arguments about the rationality of the challenged age classification at all: they are simply arguments about the rationality of adopting a DROP as a whole….  </w:t>
      </w:r>
      <w:proofErr w:type="gramStart"/>
      <w:r>
        <w:t>(‘[</w:t>
      </w:r>
      <w:proofErr w:type="gramEnd"/>
      <w:r>
        <w:t>The DROP] is also intended to encourage . . . skilled employees to stick around and delay their retirement’). Defendants do not meaningfully explain why this reasoning would apply differently to retirement-eligible firefighters who are under age 55 than to those who are age 55 or older. The desire to keep skilled employees working for a longer period and to delay paying benefits applies to all employees, regardless of age, and therefore does not squarely address the age-55 requirement Plaintiffs challenge here.”</w:t>
      </w:r>
    </w:p>
    <w:p w14:paraId="7295A5E9" w14:textId="77777777" w:rsidR="00191CD7" w:rsidRDefault="00191CD7" w:rsidP="00191CD7">
      <w:pPr>
        <w:pStyle w:val="NoSpacing"/>
      </w:pPr>
    </w:p>
    <w:p w14:paraId="720AD6E6" w14:textId="77777777" w:rsidR="00191CD7" w:rsidRDefault="00191CD7" w:rsidP="00191CD7">
      <w:pPr>
        <w:pStyle w:val="NoSpacing"/>
        <w:rPr>
          <w:b/>
          <w:bCs/>
        </w:rPr>
      </w:pPr>
      <w:r w:rsidRPr="007A4F40">
        <w:rPr>
          <w:b/>
        </w:rPr>
        <w:t xml:space="preserve">Legal lesson learned: </w:t>
      </w:r>
      <w:r>
        <w:rPr>
          <w:b/>
        </w:rPr>
        <w:t xml:space="preserve">The case will now proceed with pre-trial discovery; the Commission will then likely file a motion for summary judgment that addresses the cost reasons for keeping eligibility at age 55 or older. </w:t>
      </w:r>
    </w:p>
    <w:p w14:paraId="24E32E1E" w14:textId="77777777" w:rsidR="00191CD7" w:rsidRDefault="00191CD7" w:rsidP="00191CD7">
      <w:pPr>
        <w:pStyle w:val="NoSpacing"/>
        <w:rPr>
          <w:b/>
          <w:bCs/>
        </w:rPr>
      </w:pPr>
    </w:p>
    <w:p w14:paraId="3A6CF26A" w14:textId="77777777" w:rsidR="00191CD7" w:rsidRDefault="00191CD7" w:rsidP="00191CD7">
      <w:pPr>
        <w:pStyle w:val="NoSpacing"/>
      </w:pPr>
      <w:r>
        <w:tab/>
        <w:t xml:space="preserve">Note: See Ohio DROP. </w:t>
      </w:r>
      <w:hyperlink r:id="rId1052" w:history="1">
        <w:r w:rsidRPr="00FF19A6">
          <w:rPr>
            <w:rStyle w:val="Hyperlink"/>
          </w:rPr>
          <w:t>https://www.op-f.org/files/mgdrop.pdf</w:t>
        </w:r>
      </w:hyperlink>
      <w:r>
        <w:t xml:space="preserve"> </w:t>
      </w:r>
    </w:p>
    <w:p w14:paraId="009CAB39" w14:textId="77777777" w:rsidR="00191CD7" w:rsidRDefault="00191CD7" w:rsidP="00191CD7">
      <w:pPr>
        <w:pStyle w:val="NoSpacing"/>
        <w:ind w:left="720"/>
      </w:pPr>
      <w:r>
        <w:t>“If you are eligible for a normal service retirement you can enter the DROP</w:t>
      </w:r>
    </w:p>
    <w:p w14:paraId="15614D9A" w14:textId="77777777" w:rsidR="00191CD7" w:rsidRDefault="00191CD7" w:rsidP="00191CD7">
      <w:pPr>
        <w:pStyle w:val="NoSpacing"/>
        <w:ind w:firstLine="720"/>
      </w:pPr>
      <w:r>
        <w:t>program by delaying retirement and continuing to work as a police officer or</w:t>
      </w:r>
    </w:p>
    <w:p w14:paraId="50EAC0A5" w14:textId="77777777" w:rsidR="00191CD7" w:rsidRDefault="00191CD7" w:rsidP="00191CD7">
      <w:pPr>
        <w:pStyle w:val="NoSpacing"/>
        <w:ind w:firstLine="720"/>
      </w:pPr>
      <w:r>
        <w:t>firefighter. For those who were OP&amp;F members on or before July 1, 2013,</w:t>
      </w:r>
    </w:p>
    <w:p w14:paraId="58ED6C05" w14:textId="77777777" w:rsidR="00191CD7" w:rsidRDefault="00191CD7" w:rsidP="00191CD7">
      <w:pPr>
        <w:pStyle w:val="NoSpacing"/>
        <w:ind w:firstLine="720"/>
      </w:pPr>
      <w:proofErr w:type="gramStart"/>
      <w:r>
        <w:t>normal</w:t>
      </w:r>
      <w:proofErr w:type="gramEnd"/>
      <w:r>
        <w:t xml:space="preserve"> service retirement eligibility is at least 48 years of age with at least 25 years</w:t>
      </w:r>
    </w:p>
    <w:p w14:paraId="2755D788" w14:textId="77777777" w:rsidR="00191CD7" w:rsidRDefault="00191CD7" w:rsidP="00191CD7">
      <w:pPr>
        <w:pStyle w:val="NoSpacing"/>
        <w:ind w:firstLine="720"/>
      </w:pPr>
      <w:r>
        <w:t>of service. For members hired into an OP&amp;F-covered position after July 1, 2013,</w:t>
      </w:r>
    </w:p>
    <w:p w14:paraId="233A3C79" w14:textId="77777777" w:rsidR="00191CD7" w:rsidRPr="004749CB" w:rsidRDefault="00191CD7" w:rsidP="00191CD7">
      <w:pPr>
        <w:pStyle w:val="NoSpacing"/>
        <w:ind w:firstLine="720"/>
      </w:pPr>
      <w:r>
        <w:t>normal service retirement is age 52 with at least 25 years of service.”</w:t>
      </w:r>
    </w:p>
    <w:p w14:paraId="0C2EAD0D" w14:textId="77777777" w:rsidR="00191CD7" w:rsidRDefault="00191CD7" w:rsidP="00191CD7">
      <w:pPr>
        <w:pStyle w:val="NoSpacing"/>
      </w:pPr>
    </w:p>
    <w:p w14:paraId="75B17CF3" w14:textId="77777777" w:rsidR="00191CD7" w:rsidRDefault="00191CD7" w:rsidP="00191CD7">
      <w:pPr>
        <w:pStyle w:val="NoSpacing"/>
      </w:pPr>
    </w:p>
    <w:p w14:paraId="75967A50" w14:textId="77777777" w:rsidR="00191CD7" w:rsidRDefault="00191CD7" w:rsidP="008E1D82">
      <w:pPr>
        <w:pStyle w:val="NoSpacing"/>
      </w:pPr>
    </w:p>
    <w:p w14:paraId="41908A86" w14:textId="77777777" w:rsidR="00191CD7" w:rsidRDefault="00191CD7" w:rsidP="008E1D82">
      <w:pPr>
        <w:pStyle w:val="NoSpacing"/>
      </w:pPr>
    </w:p>
    <w:p w14:paraId="458C6A5C" w14:textId="77777777" w:rsidR="008E1D82" w:rsidRDefault="008E1D82" w:rsidP="000624FD">
      <w:pPr>
        <w:pStyle w:val="NoSpacing"/>
        <w:rPr>
          <w:rFonts w:ascii="Arial Black" w:hAnsi="Arial Black"/>
          <w:b/>
          <w:sz w:val="28"/>
          <w:szCs w:val="28"/>
        </w:rPr>
      </w:pPr>
    </w:p>
    <w:p w14:paraId="0FB4758C" w14:textId="04E4A26F" w:rsidR="006D2F6D" w:rsidRDefault="00CB4012" w:rsidP="000624FD">
      <w:pPr>
        <w:pStyle w:val="NoSpacing"/>
        <w:rPr>
          <w:rFonts w:ascii="Arial Black" w:hAnsi="Arial Black"/>
          <w:b/>
          <w:sz w:val="28"/>
          <w:szCs w:val="28"/>
        </w:rPr>
      </w:pPr>
      <w:r>
        <w:rPr>
          <w:rFonts w:ascii="Arial Black" w:hAnsi="Arial Black"/>
          <w:b/>
          <w:sz w:val="28"/>
          <w:szCs w:val="28"/>
        </w:rPr>
        <w:t>6-177</w:t>
      </w:r>
    </w:p>
    <w:p w14:paraId="51A57099" w14:textId="77777777" w:rsidR="00CB4012" w:rsidRDefault="00CB4012" w:rsidP="000624FD">
      <w:pPr>
        <w:pStyle w:val="NoSpacing"/>
        <w:rPr>
          <w:rFonts w:ascii="Arial Black" w:hAnsi="Arial Black"/>
          <w:b/>
          <w:sz w:val="28"/>
          <w:szCs w:val="28"/>
        </w:rPr>
      </w:pPr>
    </w:p>
    <w:p w14:paraId="76806ADA" w14:textId="77777777" w:rsidR="00CB4012" w:rsidRDefault="00CB4012" w:rsidP="00CB4012">
      <w:pPr>
        <w:pStyle w:val="NoSpacing"/>
        <w:rPr>
          <w:rFonts w:ascii="Arial Black" w:hAnsi="Arial Black"/>
          <w:b/>
          <w:sz w:val="28"/>
          <w:szCs w:val="28"/>
        </w:rPr>
      </w:pPr>
      <w:r>
        <w:rPr>
          <w:rFonts w:ascii="Arial Black" w:hAnsi="Arial Black"/>
          <w:b/>
          <w:sz w:val="28"/>
          <w:szCs w:val="28"/>
        </w:rPr>
        <w:t>PA: COLON CANCER – TOBACCO - FAMILY HIST - NO LODD</w:t>
      </w:r>
    </w:p>
    <w:p w14:paraId="37901BB7" w14:textId="77777777" w:rsidR="00CB4012" w:rsidRDefault="00CB4012" w:rsidP="00CB4012">
      <w:pPr>
        <w:pStyle w:val="NoSpacing"/>
        <w:rPr>
          <w:bCs/>
        </w:rPr>
      </w:pPr>
    </w:p>
    <w:p w14:paraId="2E841253" w14:textId="77777777" w:rsidR="00CB4012" w:rsidRDefault="00CB4012" w:rsidP="00CB4012">
      <w:pPr>
        <w:pStyle w:val="NoSpacing"/>
      </w:pPr>
      <w:r w:rsidRPr="00ED6F9A">
        <w:t xml:space="preserve">On February 2, 2026, in </w:t>
      </w:r>
      <w:r w:rsidRPr="000768AC">
        <w:rPr>
          <w:u w:val="single"/>
        </w:rPr>
        <w:t xml:space="preserve">Estate of Thomas R. </w:t>
      </w:r>
      <w:proofErr w:type="spellStart"/>
      <w:r w:rsidRPr="000768AC">
        <w:rPr>
          <w:u w:val="single"/>
        </w:rPr>
        <w:t>Tratthen</w:t>
      </w:r>
      <w:proofErr w:type="spellEnd"/>
      <w:r w:rsidRPr="000768AC">
        <w:rPr>
          <w:u w:val="single"/>
        </w:rPr>
        <w:t xml:space="preserve"> and Lisa </w:t>
      </w:r>
      <w:proofErr w:type="spellStart"/>
      <w:r w:rsidRPr="000768AC">
        <w:rPr>
          <w:u w:val="single"/>
        </w:rPr>
        <w:t>Tratthen</w:t>
      </w:r>
      <w:proofErr w:type="spellEnd"/>
      <w:r w:rsidRPr="000768AC">
        <w:rPr>
          <w:u w:val="single"/>
        </w:rPr>
        <w:t xml:space="preserve"> v. Department of General Services</w:t>
      </w:r>
      <w:r w:rsidRPr="00137327">
        <w:t xml:space="preserve">, </w:t>
      </w:r>
      <w:r>
        <w:t xml:space="preserve">the </w:t>
      </w:r>
      <w:r w:rsidRPr="00137327">
        <w:t xml:space="preserve"> Commonwealth Court of Pennsylvania</w:t>
      </w:r>
      <w:r>
        <w:t xml:space="preserve"> held (3 to 0) that the family of the firefighter who died of colon cancer on June 4, 2018 was properly </w:t>
      </w:r>
      <w:r w:rsidRPr="00001CCE">
        <w:t>denie</w:t>
      </w:r>
      <w:r>
        <w:t xml:space="preserve">d </w:t>
      </w:r>
      <w:r w:rsidRPr="00001CCE">
        <w:t>Line of Duty Death (LODD) benefits under the Emergency and Law Enforcement Personnel Death Benefits Act (Act 101).</w:t>
      </w:r>
      <w:r>
        <w:rPr>
          <w:vertAlign w:val="superscript"/>
        </w:rPr>
        <w:t xml:space="preserve"> </w:t>
      </w:r>
      <w:r w:rsidRPr="00D9476B">
        <w:t xml:space="preserve">He worked full time for Dunmore Borough from 2000 to 2007, and </w:t>
      </w:r>
      <w:proofErr w:type="gramStart"/>
      <w:r w:rsidRPr="00D9476B">
        <w:t>part-time paid</w:t>
      </w:r>
      <w:proofErr w:type="gramEnd"/>
      <w:r w:rsidRPr="00D9476B">
        <w:t xml:space="preserve"> until June 4, 2018</w:t>
      </w:r>
      <w:r>
        <w:t xml:space="preserve">, but had </w:t>
      </w:r>
      <w:r w:rsidRPr="00217163">
        <w:t>diabetes</w:t>
      </w:r>
      <w:r>
        <w:t xml:space="preserve">, </w:t>
      </w:r>
      <w:r w:rsidRPr="00217163">
        <w:t>25-year history of smokeless tobacco use</w:t>
      </w:r>
      <w:r>
        <w:t xml:space="preserve">, and a family history of colon cancer. </w:t>
      </w:r>
      <w:hyperlink r:id="rId1053" w:history="1">
        <w:r w:rsidRPr="00734647">
          <w:rPr>
            <w:rStyle w:val="Hyperlink"/>
          </w:rPr>
          <w:t>https://www.pacourts.us/assets/opinions/Commonwealth/out/1089CD24_2-2-26.pdf?cb=1</w:t>
        </w:r>
      </w:hyperlink>
      <w:r>
        <w:t xml:space="preserve"> </w:t>
      </w:r>
    </w:p>
    <w:p w14:paraId="1BBFC1A3" w14:textId="77777777" w:rsidR="00CB4012" w:rsidRDefault="00CB4012" w:rsidP="00CB4012">
      <w:pPr>
        <w:pStyle w:val="NoSpacing"/>
      </w:pPr>
    </w:p>
    <w:p w14:paraId="267448A2" w14:textId="77777777" w:rsidR="00CB4012" w:rsidRDefault="00CB4012" w:rsidP="00CB4012">
      <w:pPr>
        <w:pStyle w:val="NoSpacing"/>
        <w:rPr>
          <w:b/>
        </w:rPr>
      </w:pPr>
      <w:r>
        <w:t>THE COURT HELD: “</w:t>
      </w:r>
      <w:r w:rsidRPr="00FB0CC5">
        <w:t>This Court agrees with the Department's reasoning. Given that the standard is whether, but for Decedent's firefighting activities, Decedent's colon cancer would not have occurred, and Petitioners did not present any evidence from which the Department could so conclude, the Department properly denied LODD benefits</w:t>
      </w:r>
      <w:r>
        <w:t xml:space="preserve">…. </w:t>
      </w:r>
      <w:r w:rsidRPr="00EA1266">
        <w:t xml:space="preserve">On July 26, 2022, the Department's Bureau of Finance and Risk Management (Bureau) denied Petitioners' LODD benefits claim. On August 17, 2022, Petitioners filed a Notice of Appeal and Request for Hearing. On May 12, 2023, Department Hearing Officer Michael T. Foerster (Hearing Officer Foerster) held a hearing at which the Bureau and Petitioners </w:t>
      </w:r>
      <w:proofErr w:type="gramStart"/>
      <w:r w:rsidRPr="00EA1266">
        <w:t>stipulated to</w:t>
      </w:r>
      <w:proofErr w:type="gramEnd"/>
      <w:r w:rsidRPr="00EA1266">
        <w:t xml:space="preserve"> certain facts and documents. In addition, the Bureau </w:t>
      </w:r>
      <w:proofErr w:type="gramStart"/>
      <w:r w:rsidRPr="00EA1266">
        <w:t>entered into</w:t>
      </w:r>
      <w:proofErr w:type="gramEnd"/>
      <w:r w:rsidRPr="00EA1266">
        <w:t xml:space="preserve"> evidence additional documents and both sides presented witnesses</w:t>
      </w:r>
      <w:r w:rsidRPr="00EA1266">
        <w:rPr>
          <w:b/>
        </w:rPr>
        <w:t>.</w:t>
      </w:r>
      <w:r>
        <w:rPr>
          <w:b/>
        </w:rPr>
        <w:t xml:space="preserve"> </w:t>
      </w:r>
    </w:p>
    <w:p w14:paraId="56132E17" w14:textId="77777777" w:rsidR="00CB4012" w:rsidRPr="00217163" w:rsidRDefault="00CB4012" w:rsidP="00CB4012">
      <w:pPr>
        <w:pStyle w:val="NoSpacing"/>
      </w:pPr>
      <w:r w:rsidRPr="0045688E">
        <w:t xml:space="preserve">Petitioners presented, inter alia, Tee Guidotti, M.D.'s (Dr. Guidotti) April 3, </w:t>
      </w:r>
      <w:proofErr w:type="gramStart"/>
      <w:r w:rsidRPr="0045688E">
        <w:t>2020</w:t>
      </w:r>
      <w:proofErr w:type="gramEnd"/>
      <w:r w:rsidRPr="0045688E">
        <w:t xml:space="preserve"> report to support Petitioners' Act 101 claim, which had also been produced in support of Decedent's claim for WC benefits. Therein, Dr. Guidotti stated: </w:t>
      </w:r>
      <w:r>
        <w:t xml:space="preserve"> </w:t>
      </w:r>
      <w:r w:rsidRPr="0045688E">
        <w:t xml:space="preserve">Given [Decedent's] long service and exposure to International Agency for Research on Cancer (IARC) Group I carcinogens in smoke, soot, diesel emissions, and building materials, I can opine, to a reasonable degree of medical certainty, that his volunteer fire service was, at a minimum, a substantial contributing factor to his diagnosis with cancer. </w:t>
      </w:r>
      <w:r>
        <w:t xml:space="preserve"> </w:t>
      </w:r>
      <w:r w:rsidRPr="0045688E">
        <w:t>Reproduced Record (R.R.) at 138a (emphasis added)</w:t>
      </w:r>
      <w:r>
        <w:t xml:space="preserve">…. </w:t>
      </w:r>
      <w:r w:rsidRPr="00217163">
        <w:t xml:space="preserve">The Bureau presented, </w:t>
      </w:r>
      <w:r w:rsidRPr="00217163">
        <w:rPr>
          <w:i/>
          <w:iCs/>
        </w:rPr>
        <w:t>inter alia</w:t>
      </w:r>
      <w:r w:rsidRPr="00217163">
        <w:t xml:space="preserve">, Howard Sandler, M.D.'s (Dr. Sandler) December 3, </w:t>
      </w:r>
      <w:proofErr w:type="gramStart"/>
      <w:r w:rsidRPr="00217163">
        <w:t>2020</w:t>
      </w:r>
      <w:proofErr w:type="gramEnd"/>
      <w:r w:rsidRPr="00217163">
        <w:t xml:space="preserve"> report authored on behalf of the insurance carrier defending against Decedent's WC claim. Therein, Dr. Sandler referenced Decedent's diabetes and his 25-year history of smokeless tobacco use, and opined: </w:t>
      </w:r>
    </w:p>
    <w:p w14:paraId="38DC0DE2" w14:textId="77777777" w:rsidR="00CB4012" w:rsidRPr="00217163" w:rsidRDefault="00CB4012" w:rsidP="00CB4012">
      <w:pPr>
        <w:pStyle w:val="NoSpacing"/>
      </w:pPr>
      <w:r w:rsidRPr="00217163">
        <w:t>[</w:t>
      </w:r>
      <w:proofErr w:type="gramStart"/>
      <w:r w:rsidRPr="00217163">
        <w:t>Decedent's</w:t>
      </w:r>
      <w:proofErr w:type="gramEnd"/>
      <w:r w:rsidRPr="00217163">
        <w:t xml:space="preserve">] diagnosed colorectal or rectal carcinomas are most likely caused by his underlying personal risk factors as discussed previously[,] such as diet, minimal physical activity, diabetes mellitus, obesity, smoking[,] and alcohol consumption. . . . [Decedent's] family history of various cancers[,] including colon cancer[,] is indeed a risk factor for the development of colorectal/rectal </w:t>
      </w:r>
      <w:proofErr w:type="gramStart"/>
      <w:r w:rsidRPr="00217163">
        <w:t>cancer.</w:t>
      </w:r>
      <w:r>
        <w:t>”</w:t>
      </w:r>
      <w:proofErr w:type="gramEnd"/>
    </w:p>
    <w:p w14:paraId="6D0D75A9" w14:textId="77777777" w:rsidR="00CB4012" w:rsidRDefault="00CB4012" w:rsidP="00CB4012">
      <w:pPr>
        <w:pStyle w:val="NoSpacing"/>
      </w:pPr>
    </w:p>
    <w:p w14:paraId="3867B713" w14:textId="77777777" w:rsidR="00CB4012" w:rsidRPr="000768AC" w:rsidRDefault="00CB4012" w:rsidP="00CB4012">
      <w:pPr>
        <w:pStyle w:val="NoSpacing"/>
        <w:rPr>
          <w:b/>
          <w:bCs/>
        </w:rPr>
      </w:pPr>
      <w:r>
        <w:rPr>
          <w:b/>
        </w:rPr>
        <w:t xml:space="preserve">Legal lesson learned: The 25-year history of smokeless tobacco use, and family history, led to denial of LODD benefits. </w:t>
      </w:r>
    </w:p>
    <w:p w14:paraId="7DE73648" w14:textId="77777777" w:rsidR="00CB4012" w:rsidRDefault="00CB4012" w:rsidP="00CB4012">
      <w:pPr>
        <w:pStyle w:val="NoSpacing"/>
      </w:pPr>
    </w:p>
    <w:p w14:paraId="2A1A54F4" w14:textId="77777777" w:rsidR="00CB4012" w:rsidRDefault="00CB4012" w:rsidP="00CB4012">
      <w:pPr>
        <w:pStyle w:val="NoSpacing"/>
      </w:pPr>
    </w:p>
    <w:p w14:paraId="187FB646" w14:textId="77777777" w:rsidR="00CB4012" w:rsidRDefault="00CB4012" w:rsidP="000624FD">
      <w:pPr>
        <w:pStyle w:val="NoSpacing"/>
        <w:rPr>
          <w:rFonts w:ascii="Arial Black" w:hAnsi="Arial Black"/>
          <w:b/>
          <w:sz w:val="28"/>
          <w:szCs w:val="28"/>
        </w:rPr>
      </w:pPr>
    </w:p>
    <w:p w14:paraId="512C3D0D" w14:textId="77777777" w:rsidR="006D2F6D" w:rsidRDefault="006D2F6D" w:rsidP="000624FD">
      <w:pPr>
        <w:pStyle w:val="NoSpacing"/>
        <w:rPr>
          <w:rFonts w:ascii="Arial Black" w:hAnsi="Arial Black"/>
          <w:b/>
          <w:sz w:val="28"/>
          <w:szCs w:val="28"/>
        </w:rPr>
      </w:pPr>
    </w:p>
    <w:p w14:paraId="095BA951" w14:textId="77777777" w:rsidR="006D2F6D" w:rsidRDefault="006D2F6D" w:rsidP="000624FD">
      <w:pPr>
        <w:pStyle w:val="NoSpacing"/>
        <w:rPr>
          <w:rFonts w:ascii="Arial Black" w:hAnsi="Arial Black"/>
          <w:b/>
          <w:sz w:val="28"/>
          <w:szCs w:val="28"/>
        </w:rPr>
      </w:pPr>
    </w:p>
    <w:p w14:paraId="08490DB9" w14:textId="292EF437" w:rsidR="007369A1" w:rsidRDefault="007369A1" w:rsidP="000624FD">
      <w:pPr>
        <w:pStyle w:val="NoSpacing"/>
        <w:rPr>
          <w:rFonts w:ascii="Arial Black" w:hAnsi="Arial Black"/>
          <w:b/>
          <w:sz w:val="28"/>
          <w:szCs w:val="28"/>
        </w:rPr>
      </w:pPr>
      <w:r>
        <w:rPr>
          <w:rFonts w:ascii="Arial Black" w:hAnsi="Arial Black"/>
          <w:b/>
          <w:sz w:val="28"/>
          <w:szCs w:val="28"/>
        </w:rPr>
        <w:t>6-176</w:t>
      </w:r>
    </w:p>
    <w:p w14:paraId="40B5F97F" w14:textId="77777777" w:rsidR="007369A1" w:rsidRDefault="007369A1" w:rsidP="007369A1">
      <w:pPr>
        <w:rPr>
          <w:rFonts w:ascii="Arial Black" w:hAnsi="Arial Black"/>
          <w:b/>
          <w:sz w:val="28"/>
          <w:szCs w:val="28"/>
        </w:rPr>
      </w:pPr>
      <w:r>
        <w:rPr>
          <w:rFonts w:ascii="Arial Black" w:hAnsi="Arial Black"/>
          <w:b/>
          <w:sz w:val="28"/>
          <w:szCs w:val="28"/>
        </w:rPr>
        <w:t>DE: BACK INJURY – “RECURRENCE” PRIOR AT ANOTHER FD</w:t>
      </w:r>
    </w:p>
    <w:p w14:paraId="20314A64" w14:textId="77777777" w:rsidR="007369A1" w:rsidRDefault="007369A1" w:rsidP="007369A1">
      <w:pPr>
        <w:rPr>
          <w:b/>
        </w:rPr>
      </w:pPr>
      <w:r w:rsidRPr="00555944">
        <w:t xml:space="preserve">On December 4, 2025, in </w:t>
      </w:r>
      <w:r w:rsidRPr="00555944">
        <w:rPr>
          <w:u w:val="single"/>
        </w:rPr>
        <w:t>Corey Ferrell v. City of Wilmington</w:t>
      </w:r>
      <w:r w:rsidRPr="00555944">
        <w:t xml:space="preserve">, </w:t>
      </w:r>
      <w:r>
        <w:t xml:space="preserve">the </w:t>
      </w:r>
      <w:r w:rsidRPr="00EA031B">
        <w:t>Supreme Court of Delaware</w:t>
      </w:r>
      <w:r>
        <w:t xml:space="preserve"> held (3 to 0) that Wilmington Fire Department had no workers comp liability for 2023 incident, where the firefighter injured his back carrying two high-rise packs (second was for his officer) up high-rise, since this was a “recurrence” of a 2015 claim </w:t>
      </w:r>
      <w:r>
        <w:lastRenderedPageBreak/>
        <w:t xml:space="preserve">settled with the </w:t>
      </w:r>
      <w:r w:rsidRPr="004B7C01">
        <w:t>Belvedere</w:t>
      </w:r>
      <w:r>
        <w:t xml:space="preserve"> Fire Department where he worked on </w:t>
      </w:r>
      <w:r w:rsidRPr="004B7C01">
        <w:t>part-time basis</w:t>
      </w:r>
      <w:r>
        <w:t xml:space="preserve">. </w:t>
      </w:r>
      <w:hyperlink r:id="rId1054" w:history="1">
        <w:r w:rsidRPr="007F05A7">
          <w:rPr>
            <w:rStyle w:val="Hyperlink"/>
            <w:b/>
          </w:rPr>
          <w:t>https://cases.justia.com/delaware/supreme-court/2025-152-2025.pdf?ts=1764862317</w:t>
        </w:r>
      </w:hyperlink>
      <w:r>
        <w:rPr>
          <w:b/>
        </w:rPr>
        <w:t xml:space="preserve"> </w:t>
      </w:r>
    </w:p>
    <w:p w14:paraId="1DFF9C39" w14:textId="77777777" w:rsidR="007369A1" w:rsidRDefault="007369A1" w:rsidP="007369A1">
      <w:pPr>
        <w:rPr>
          <w:bCs/>
        </w:rPr>
      </w:pPr>
      <w:r>
        <w:t>THE COURT HELD:</w:t>
      </w:r>
    </w:p>
    <w:p w14:paraId="7218EB87" w14:textId="77777777" w:rsidR="007369A1" w:rsidRDefault="007369A1" w:rsidP="007369A1">
      <w:pPr>
        <w:pStyle w:val="NoSpacing"/>
        <w:ind w:left="720"/>
        <w:rPr>
          <w:bCs/>
        </w:rPr>
      </w:pPr>
      <w:r>
        <w:t>“</w:t>
      </w:r>
      <w:r w:rsidRPr="005C01D2">
        <w:t>Ultimately, the Board concluded that the 2023 incident was a recurrence of</w:t>
      </w:r>
      <w:r>
        <w:t xml:space="preserve"> </w:t>
      </w:r>
      <w:r w:rsidRPr="005C01D2">
        <w:t>the injury that Ferrell sustained in 2015. In reaching that conclusion, the Board</w:t>
      </w:r>
      <w:r>
        <w:t xml:space="preserve"> </w:t>
      </w:r>
      <w:r w:rsidRPr="005C01D2">
        <w:t>placed significant weight on Dr. Matz’s opinion and testimony. The Board found</w:t>
      </w:r>
      <w:r>
        <w:t xml:space="preserve"> </w:t>
      </w:r>
      <w:r w:rsidRPr="005C01D2">
        <w:t>that the 2023 incident did not aggravate the 2015 injury and did not cause a new,</w:t>
      </w:r>
      <w:r>
        <w:t xml:space="preserve"> </w:t>
      </w:r>
      <w:r w:rsidRPr="005C01D2">
        <w:t>separately compensable injury to Ferrell. The Board agreed with Dr. Matz that a</w:t>
      </w:r>
      <w:r>
        <w:t xml:space="preserve"> </w:t>
      </w:r>
      <w:r w:rsidRPr="005C01D2">
        <w:t>comparison of Ferrell’s MRIs showed the expected progression of spinal</w:t>
      </w:r>
      <w:r>
        <w:t xml:space="preserve"> </w:t>
      </w:r>
      <w:r w:rsidRPr="005C01D2">
        <w:t>deterioration from the 2015 injury, and the Board found that the act of walking up</w:t>
      </w:r>
      <w:r>
        <w:t xml:space="preserve"> </w:t>
      </w:r>
      <w:r w:rsidRPr="005C01D2">
        <w:t xml:space="preserve">the stairs carrying the high-rise packs was not enough to create a </w:t>
      </w:r>
      <w:r>
        <w:t>‘</w:t>
      </w:r>
      <w:r w:rsidRPr="005C01D2">
        <w:t>genuine</w:t>
      </w:r>
      <w:r>
        <w:t xml:space="preserve"> </w:t>
      </w:r>
      <w:r w:rsidRPr="005C01D2">
        <w:t xml:space="preserve">intervening </w:t>
      </w:r>
      <w:proofErr w:type="gramStart"/>
      <w:r w:rsidRPr="005C01D2">
        <w:t>event.</w:t>
      </w:r>
      <w:r>
        <w:t>’</w:t>
      </w:r>
      <w:proofErr w:type="gramEnd"/>
      <w:r>
        <w:t xml:space="preserve"> </w:t>
      </w:r>
      <w:r w:rsidRPr="001B07A1">
        <w:t>The Board therefore held that liability for the 2023 incident</w:t>
      </w:r>
      <w:r>
        <w:t xml:space="preserve"> </w:t>
      </w:r>
      <w:r w:rsidRPr="002F57F5">
        <w:t>would remain under the 2015 claim and denied Ferrell’s petition for workers’</w:t>
      </w:r>
      <w:r>
        <w:t xml:space="preserve"> </w:t>
      </w:r>
      <w:r w:rsidRPr="002F57F5">
        <w:t>compensation coverage from Wilmington FD.</w:t>
      </w:r>
    </w:p>
    <w:p w14:paraId="41109C6B" w14:textId="77777777" w:rsidR="007369A1" w:rsidRDefault="007369A1" w:rsidP="007369A1">
      <w:pPr>
        <w:pStyle w:val="NoSpacing"/>
        <w:ind w:left="720"/>
        <w:rPr>
          <w:bCs/>
        </w:rPr>
      </w:pPr>
    </w:p>
    <w:p w14:paraId="354D90CF" w14:textId="77777777" w:rsidR="007369A1" w:rsidRDefault="007369A1" w:rsidP="007369A1">
      <w:pPr>
        <w:pStyle w:val="NoSpacing"/>
        <w:ind w:left="720"/>
        <w:rPr>
          <w:bCs/>
        </w:rPr>
      </w:pPr>
      <w:r>
        <w:t>***</w:t>
      </w:r>
    </w:p>
    <w:p w14:paraId="7BB92A2A" w14:textId="77777777" w:rsidR="007369A1" w:rsidRDefault="007369A1" w:rsidP="007369A1">
      <w:pPr>
        <w:pStyle w:val="NoSpacing"/>
        <w:ind w:left="720"/>
        <w:rPr>
          <w:bCs/>
        </w:rPr>
      </w:pPr>
      <w:r w:rsidRPr="000F4EBA">
        <w:t>The Board heard contrasting</w:t>
      </w:r>
      <w:r>
        <w:t xml:space="preserve"> </w:t>
      </w:r>
      <w:r w:rsidRPr="000F4EBA">
        <w:t>medical opinions from Dr. Tucker and Dr. Matz, both of whom relied on their</w:t>
      </w:r>
      <w:r>
        <w:t xml:space="preserve"> </w:t>
      </w:r>
      <w:r w:rsidRPr="000F4EBA">
        <w:t>physical evaluations of Ferrell and their comparisons of his 2015 and 2023 MRIs.</w:t>
      </w:r>
    </w:p>
    <w:p w14:paraId="09938CB7" w14:textId="77777777" w:rsidR="007369A1" w:rsidRDefault="007369A1" w:rsidP="007369A1">
      <w:pPr>
        <w:pStyle w:val="NoSpacing"/>
        <w:ind w:left="720"/>
        <w:rPr>
          <w:bCs/>
        </w:rPr>
      </w:pPr>
    </w:p>
    <w:p w14:paraId="7C89FAE7" w14:textId="77777777" w:rsidR="007369A1" w:rsidRDefault="007369A1" w:rsidP="007369A1">
      <w:pPr>
        <w:pStyle w:val="NoSpacing"/>
        <w:ind w:left="720"/>
        <w:rPr>
          <w:bCs/>
        </w:rPr>
      </w:pPr>
      <w:r>
        <w:t>***</w:t>
      </w:r>
    </w:p>
    <w:p w14:paraId="546B797C" w14:textId="77777777" w:rsidR="007369A1" w:rsidRDefault="007369A1" w:rsidP="007369A1">
      <w:pPr>
        <w:pStyle w:val="NoSpacing"/>
        <w:ind w:left="720"/>
        <w:rPr>
          <w:bCs/>
        </w:rPr>
      </w:pPr>
      <w:r w:rsidRPr="00A63172">
        <w:t>Dr. Matz is an orthopedic surgeon whom the Board found credible. In Dr.</w:t>
      </w:r>
      <w:r>
        <w:t xml:space="preserve"> </w:t>
      </w:r>
      <w:r w:rsidRPr="00A63172">
        <w:t>Matz’s opinion, the results of Ferrell’s MRIs showed that his condition was</w:t>
      </w:r>
      <w:r>
        <w:t xml:space="preserve"> </w:t>
      </w:r>
      <w:r w:rsidRPr="00A63172">
        <w:t xml:space="preserve">degenerative, not acute, and </w:t>
      </w:r>
      <w:r>
        <w:t>‘</w:t>
      </w:r>
      <w:r w:rsidRPr="00A63172">
        <w:t>the sort of progression that you would expect with the</w:t>
      </w:r>
      <w:r>
        <w:t xml:space="preserve"> </w:t>
      </w:r>
      <w:r w:rsidRPr="00A63172">
        <w:t>natural aging process.</w:t>
      </w:r>
      <w:r>
        <w:t xml:space="preserve">’ </w:t>
      </w:r>
      <w:r w:rsidRPr="00A63172">
        <w:t>The Board agreed that the MRIs—performed eight years</w:t>
      </w:r>
      <w:r>
        <w:t xml:space="preserve"> </w:t>
      </w:r>
      <w:r w:rsidRPr="00A63172">
        <w:t>apart—may have shown some worsening in Ferrell’s condition, but the progression</w:t>
      </w:r>
      <w:r>
        <w:t xml:space="preserve"> </w:t>
      </w:r>
      <w:r w:rsidRPr="00D23F0F">
        <w:t>was expected. The Board accepted Dr. Matz’s expert opinion that Ferrell’s</w:t>
      </w:r>
      <w:r>
        <w:t xml:space="preserve"> </w:t>
      </w:r>
      <w:r w:rsidRPr="00D23F0F">
        <w:t xml:space="preserve">condition was degenerative and a </w:t>
      </w:r>
      <w:r>
        <w:t>‘</w:t>
      </w:r>
      <w:r w:rsidRPr="00D23F0F">
        <w:t>slowly progressive thoracic disc disease.</w:t>
      </w:r>
      <w:r>
        <w:t>’”</w:t>
      </w:r>
    </w:p>
    <w:p w14:paraId="3A2076C5" w14:textId="77777777" w:rsidR="007369A1" w:rsidRDefault="007369A1" w:rsidP="007369A1">
      <w:pPr>
        <w:pStyle w:val="NoSpacing"/>
        <w:ind w:left="720"/>
        <w:rPr>
          <w:bCs/>
        </w:rPr>
      </w:pPr>
    </w:p>
    <w:p w14:paraId="0A792C8D" w14:textId="77777777" w:rsidR="007369A1" w:rsidRDefault="007369A1" w:rsidP="007369A1">
      <w:pPr>
        <w:pStyle w:val="NoSpacing"/>
        <w:jc w:val="both"/>
        <w:rPr>
          <w:b/>
        </w:rPr>
      </w:pPr>
      <w:r>
        <w:rPr>
          <w:b/>
        </w:rPr>
        <w:t xml:space="preserve">Legal lesson learned: Since the firefighter had settled his 2015 claim, he had no workers comp coverage for the 2023 claim. </w:t>
      </w:r>
    </w:p>
    <w:p w14:paraId="65AECD8D" w14:textId="77777777" w:rsidR="007369A1" w:rsidRDefault="007369A1" w:rsidP="007369A1">
      <w:pPr>
        <w:pStyle w:val="NoSpacing"/>
        <w:jc w:val="both"/>
        <w:rPr>
          <w:b/>
        </w:rPr>
      </w:pPr>
    </w:p>
    <w:p w14:paraId="7E107A21" w14:textId="77777777" w:rsidR="007369A1" w:rsidRPr="000A0735" w:rsidRDefault="007369A1" w:rsidP="007369A1">
      <w:pPr>
        <w:pStyle w:val="NoSpacing"/>
        <w:ind w:left="720"/>
        <w:jc w:val="both"/>
        <w:rPr>
          <w:bCs/>
        </w:rPr>
      </w:pPr>
      <w:r w:rsidRPr="000A0735">
        <w:t xml:space="preserve">Note: </w:t>
      </w:r>
      <w:r>
        <w:t>The Court wrote: “</w:t>
      </w:r>
      <w:r w:rsidRPr="000A0735">
        <w:t>In 2018, Ferrell accepted a commutation of the 2015 claim with Belvedere’s workers’</w:t>
      </w:r>
      <w:r>
        <w:t xml:space="preserve"> </w:t>
      </w:r>
      <w:r w:rsidRPr="000A0735">
        <w:t>compensation insurance carrier. The commutation globally resolved the claim and</w:t>
      </w:r>
      <w:r>
        <w:t xml:space="preserve"> </w:t>
      </w:r>
      <w:r w:rsidRPr="000A0735">
        <w:t>released the insurer from further liability with respect to the injury.</w:t>
      </w:r>
      <w:r>
        <w:t>”</w:t>
      </w:r>
    </w:p>
    <w:p w14:paraId="592A3102" w14:textId="77777777" w:rsidR="007369A1" w:rsidRDefault="007369A1" w:rsidP="007369A1">
      <w:pPr>
        <w:rPr>
          <w:rFonts w:ascii="Arial Black" w:hAnsi="Arial Black"/>
          <w:bCs/>
          <w:sz w:val="28"/>
          <w:szCs w:val="28"/>
        </w:rPr>
      </w:pPr>
    </w:p>
    <w:p w14:paraId="74D8EAD6" w14:textId="03B91F8D" w:rsidR="007369A1" w:rsidRDefault="007369A1" w:rsidP="000624FD">
      <w:pPr>
        <w:pStyle w:val="NoSpacing"/>
        <w:rPr>
          <w:rFonts w:ascii="Arial Black" w:hAnsi="Arial Black"/>
          <w:b/>
          <w:sz w:val="28"/>
          <w:szCs w:val="28"/>
        </w:rPr>
      </w:pPr>
      <w:r>
        <w:rPr>
          <w:rFonts w:ascii="Arial Black" w:hAnsi="Arial Black"/>
          <w:b/>
          <w:sz w:val="28"/>
          <w:szCs w:val="28"/>
        </w:rPr>
        <w:t>6-175</w:t>
      </w:r>
    </w:p>
    <w:p w14:paraId="3016E18C" w14:textId="77777777" w:rsidR="00EC0328" w:rsidRDefault="00EC0328" w:rsidP="000624FD">
      <w:pPr>
        <w:pStyle w:val="NoSpacing"/>
        <w:rPr>
          <w:rFonts w:ascii="Arial Black" w:hAnsi="Arial Black"/>
          <w:b/>
          <w:sz w:val="28"/>
          <w:szCs w:val="28"/>
        </w:rPr>
      </w:pPr>
    </w:p>
    <w:p w14:paraId="3E87115A" w14:textId="433F400F" w:rsidR="00EC0328" w:rsidRDefault="00EC0328" w:rsidP="00EC0328">
      <w:pPr>
        <w:rPr>
          <w:rFonts w:ascii="Arial Black" w:hAnsi="Arial Black"/>
          <w:b/>
          <w:sz w:val="28"/>
          <w:szCs w:val="28"/>
        </w:rPr>
      </w:pPr>
      <w:r>
        <w:rPr>
          <w:rFonts w:ascii="Arial Black" w:hAnsi="Arial Black"/>
          <w:b/>
          <w:sz w:val="28"/>
          <w:szCs w:val="28"/>
        </w:rPr>
        <w:t xml:space="preserve">WV: FF R-WRIST – TRIPPED </w:t>
      </w:r>
      <w:r w:rsidR="00CA4898">
        <w:rPr>
          <w:rFonts w:ascii="Arial Black" w:hAnsi="Arial Black"/>
          <w:b/>
          <w:sz w:val="28"/>
          <w:szCs w:val="28"/>
        </w:rPr>
        <w:t xml:space="preserve">IN </w:t>
      </w:r>
      <w:r>
        <w:rPr>
          <w:rFonts w:ascii="Arial Black" w:hAnsi="Arial Black"/>
          <w:b/>
          <w:sz w:val="28"/>
          <w:szCs w:val="28"/>
        </w:rPr>
        <w:t>AMBULANCE – BENEFITS CONT</w:t>
      </w:r>
    </w:p>
    <w:p w14:paraId="5EB17885" w14:textId="77777777" w:rsidR="00EC0328" w:rsidRDefault="00EC0328" w:rsidP="00EC0328">
      <w:pPr>
        <w:rPr>
          <w:bCs/>
        </w:rPr>
      </w:pPr>
      <w:r w:rsidRPr="001D4F31">
        <w:t xml:space="preserve">On December 4, 2025, in </w:t>
      </w:r>
      <w:r w:rsidRPr="001839BD">
        <w:rPr>
          <w:u w:val="single"/>
        </w:rPr>
        <w:t>City of Wheeling v. David Gilbert</w:t>
      </w:r>
      <w:r>
        <w:t xml:space="preserve">, the </w:t>
      </w:r>
      <w:r w:rsidRPr="001839BD">
        <w:t>West Virginia Intermediate Court of Appeals</w:t>
      </w:r>
      <w:r>
        <w:t xml:space="preserve"> held (3 to 0) that the Worker’s Comp Board properly reversed the hearing officer who closed the claim on November 5, 2024.  He is entitled to continued coverage for his December 1, </w:t>
      </w:r>
      <w:proofErr w:type="gramStart"/>
      <w:r>
        <w:t>2023</w:t>
      </w:r>
      <w:proofErr w:type="gramEnd"/>
      <w:r>
        <w:t xml:space="preserve"> injury of his right wrist </w:t>
      </w:r>
      <w:r w:rsidRPr="000E3282">
        <w:t xml:space="preserve">when he tripped and caught himself while getting into an ambulance. </w:t>
      </w:r>
      <w:hyperlink r:id="rId1055" w:history="1">
        <w:r w:rsidRPr="00E22D14">
          <w:rPr>
            <w:rStyle w:val="Hyperlink"/>
          </w:rPr>
          <w:t>https://www.courtswv.gov/sites/default/pubfilesmnt/2025-12/25-ICA-222_MD.pdf</w:t>
        </w:r>
      </w:hyperlink>
      <w:r>
        <w:t xml:space="preserve"> </w:t>
      </w:r>
    </w:p>
    <w:p w14:paraId="59696EEA" w14:textId="77777777" w:rsidR="00EC0328" w:rsidRDefault="00EC0328" w:rsidP="00EC0328">
      <w:pPr>
        <w:rPr>
          <w:bCs/>
        </w:rPr>
      </w:pPr>
      <w:r>
        <w:t xml:space="preserve">THE COURT HELD: </w:t>
      </w:r>
    </w:p>
    <w:p w14:paraId="3CD0F6BA" w14:textId="77777777" w:rsidR="00EC0328" w:rsidRDefault="00EC0328" w:rsidP="00EC0328">
      <w:pPr>
        <w:pStyle w:val="NoSpacing"/>
        <w:ind w:firstLine="720"/>
        <w:rPr>
          <w:bCs/>
        </w:rPr>
      </w:pPr>
      <w:r>
        <w:t>“</w:t>
      </w:r>
      <w:r w:rsidRPr="005D768D">
        <w:t>Mr. Gilbert had not worked since June 2, 2024.</w:t>
      </w:r>
    </w:p>
    <w:p w14:paraId="379610BE" w14:textId="77777777" w:rsidR="00EC0328" w:rsidRDefault="00EC0328" w:rsidP="00EC0328">
      <w:pPr>
        <w:pStyle w:val="NoSpacing"/>
        <w:ind w:firstLine="720"/>
        <w:rPr>
          <w:bCs/>
        </w:rPr>
      </w:pPr>
    </w:p>
    <w:p w14:paraId="130D1454" w14:textId="77777777" w:rsidR="00EC0328" w:rsidRDefault="00EC0328" w:rsidP="00EC0328">
      <w:pPr>
        <w:pStyle w:val="NoSpacing"/>
        <w:ind w:firstLine="720"/>
        <w:rPr>
          <w:bCs/>
        </w:rPr>
      </w:pPr>
      <w:r>
        <w:t>***</w:t>
      </w:r>
    </w:p>
    <w:p w14:paraId="77D1A30B" w14:textId="77777777" w:rsidR="00EC0328" w:rsidRPr="009B705D" w:rsidRDefault="00EC0328" w:rsidP="00EC0328">
      <w:pPr>
        <w:pStyle w:val="NoSpacing"/>
        <w:ind w:firstLine="720"/>
        <w:rPr>
          <w:bCs/>
        </w:rPr>
      </w:pPr>
      <w:r w:rsidRPr="009B705D">
        <w:t>On July 31, 2024, the claim administrator issued an order denying the addition of</w:t>
      </w:r>
    </w:p>
    <w:p w14:paraId="4068D69B" w14:textId="77777777" w:rsidR="00EC0328" w:rsidRDefault="00EC0328" w:rsidP="00EC0328">
      <w:pPr>
        <w:pStyle w:val="NoSpacing"/>
        <w:ind w:left="720"/>
        <w:rPr>
          <w:bCs/>
        </w:rPr>
      </w:pPr>
      <w:r w:rsidRPr="009B705D">
        <w:t>scapholunate instability of the right wrist and scapholunate ligament tear of the right wrist</w:t>
      </w:r>
      <w:r>
        <w:t xml:space="preserve"> </w:t>
      </w:r>
      <w:r w:rsidRPr="009B705D">
        <w:t>as compensable conditions of the claim. Mr. Gilbert protested this claim.</w:t>
      </w:r>
    </w:p>
    <w:p w14:paraId="10FDCAA8" w14:textId="77777777" w:rsidR="00EC0328" w:rsidRDefault="00EC0328" w:rsidP="00EC0328">
      <w:pPr>
        <w:pStyle w:val="NoSpacing"/>
        <w:ind w:left="720"/>
        <w:rPr>
          <w:bCs/>
        </w:rPr>
      </w:pPr>
    </w:p>
    <w:p w14:paraId="73545A68" w14:textId="77777777" w:rsidR="00EC0328" w:rsidRDefault="00EC0328" w:rsidP="00EC0328">
      <w:pPr>
        <w:pStyle w:val="NoSpacing"/>
        <w:ind w:left="720"/>
        <w:rPr>
          <w:bCs/>
        </w:rPr>
      </w:pPr>
      <w:r>
        <w:lastRenderedPageBreak/>
        <w:t>***</w:t>
      </w:r>
    </w:p>
    <w:p w14:paraId="061D3DA6" w14:textId="77777777" w:rsidR="00EC0328" w:rsidRPr="00A10B17" w:rsidRDefault="00EC0328" w:rsidP="00EC0328">
      <w:pPr>
        <w:pStyle w:val="NoSpacing"/>
        <w:ind w:left="720"/>
        <w:rPr>
          <w:bCs/>
        </w:rPr>
      </w:pPr>
      <w:r w:rsidRPr="00A10B17">
        <w:t>Mr. Gilbert was evaluated by Joseph Grady II, M.D., on September 6, 2024.</w:t>
      </w:r>
      <w:r>
        <w:t xml:space="preserve"> </w:t>
      </w:r>
      <w:r w:rsidRPr="00A10B17">
        <w:t>Mr. Gilbert reported pain and a shifting sensation within the radial aspect of the right wrist.</w:t>
      </w:r>
      <w:r>
        <w:t xml:space="preserve"> </w:t>
      </w:r>
      <w:r w:rsidRPr="00A10B17">
        <w:t>Dr. Grady noted that Mr. Gilbert had not worked since June 2, 2024. The assessment was</w:t>
      </w:r>
      <w:r>
        <w:t xml:space="preserve"> </w:t>
      </w:r>
      <w:r w:rsidRPr="00A10B17">
        <w:t>right wrist pain with demonstrated right scapholunate ligament tear on direct visualization</w:t>
      </w:r>
      <w:r>
        <w:t xml:space="preserve"> </w:t>
      </w:r>
      <w:r w:rsidRPr="00A10B17">
        <w:t>during arthroscopic examination. Dr. Grady opined that the right wrist sprain that occurred</w:t>
      </w:r>
      <w:r>
        <w:t xml:space="preserve"> </w:t>
      </w:r>
      <w:r w:rsidRPr="00A10B17">
        <w:t>with the initial injury had resolved, and Mr. Gilbert had reached maximum medical</w:t>
      </w:r>
      <w:r>
        <w:t xml:space="preserve"> </w:t>
      </w:r>
      <w:r w:rsidRPr="00A10B17">
        <w:t>improvement (</w:t>
      </w:r>
      <w:r>
        <w:t>‘</w:t>
      </w:r>
      <w:r w:rsidRPr="00A10B17">
        <w:t>MMI</w:t>
      </w:r>
      <w:r>
        <w:t>’</w:t>
      </w:r>
      <w:r w:rsidRPr="00A10B17">
        <w:t>) for the compensable injury. Dr. Grady further opined that Mr.</w:t>
      </w:r>
    </w:p>
    <w:p w14:paraId="2AD2B224" w14:textId="77777777" w:rsidR="00EC0328" w:rsidRDefault="00EC0328" w:rsidP="00EC0328">
      <w:pPr>
        <w:pStyle w:val="NoSpacing"/>
        <w:ind w:left="720"/>
        <w:rPr>
          <w:bCs/>
        </w:rPr>
      </w:pPr>
      <w:r w:rsidRPr="00A10B17">
        <w:t>Gilbert would have difficulty working full duty at his regular job because of the right-hand</w:t>
      </w:r>
      <w:r>
        <w:t xml:space="preserve"> </w:t>
      </w:r>
      <w:r w:rsidRPr="00A10B17">
        <w:t xml:space="preserve">pain and weakness, which Dr. Grady attributed to the </w:t>
      </w:r>
      <w:proofErr w:type="spellStart"/>
      <w:proofErr w:type="gramStart"/>
      <w:r w:rsidRPr="00A10B17">
        <w:t>non</w:t>
      </w:r>
      <w:r>
        <w:t xml:space="preserve"> </w:t>
      </w:r>
      <w:r w:rsidRPr="00A10B17">
        <w:t>compensable</w:t>
      </w:r>
      <w:proofErr w:type="spellEnd"/>
      <w:proofErr w:type="gramEnd"/>
      <w:r w:rsidRPr="00A10B17">
        <w:t xml:space="preserve"> scapholunate</w:t>
      </w:r>
      <w:r>
        <w:t xml:space="preserve"> </w:t>
      </w:r>
      <w:r w:rsidRPr="00A10B17">
        <w:t>ligament tear.</w:t>
      </w:r>
    </w:p>
    <w:p w14:paraId="7008E8B1" w14:textId="77777777" w:rsidR="00EC0328" w:rsidRDefault="00EC0328" w:rsidP="00EC0328">
      <w:pPr>
        <w:pStyle w:val="NoSpacing"/>
        <w:ind w:firstLine="720"/>
        <w:rPr>
          <w:bCs/>
        </w:rPr>
      </w:pPr>
    </w:p>
    <w:p w14:paraId="20D3B16F" w14:textId="77777777" w:rsidR="00EC0328" w:rsidRDefault="00EC0328" w:rsidP="00EC0328">
      <w:pPr>
        <w:pStyle w:val="NoSpacing"/>
        <w:ind w:firstLine="720"/>
        <w:rPr>
          <w:bCs/>
        </w:rPr>
      </w:pPr>
      <w:r>
        <w:t>***</w:t>
      </w:r>
    </w:p>
    <w:p w14:paraId="744AAEC9" w14:textId="77777777" w:rsidR="00EC0328" w:rsidRDefault="00EC0328" w:rsidP="00EC0328">
      <w:pPr>
        <w:pStyle w:val="NoSpacing"/>
        <w:ind w:firstLine="720"/>
        <w:rPr>
          <w:bCs/>
        </w:rPr>
      </w:pPr>
    </w:p>
    <w:p w14:paraId="70204F73" w14:textId="77777777" w:rsidR="00EC0328" w:rsidRPr="00A43EB0" w:rsidRDefault="00EC0328" w:rsidP="00EC0328">
      <w:pPr>
        <w:pStyle w:val="NoSpacing"/>
        <w:ind w:firstLine="720"/>
        <w:rPr>
          <w:bCs/>
        </w:rPr>
      </w:pPr>
      <w:r w:rsidRPr="00A43EB0">
        <w:t>Mr. Gilbert underwent a scapholunate ligament reconstruction, with tendon graft</w:t>
      </w:r>
    </w:p>
    <w:p w14:paraId="2294E77D" w14:textId="77777777" w:rsidR="00EC0328" w:rsidRPr="00A43EB0" w:rsidRDefault="00EC0328" w:rsidP="00EC0328">
      <w:pPr>
        <w:pStyle w:val="NoSpacing"/>
        <w:ind w:firstLine="720"/>
        <w:rPr>
          <w:bCs/>
        </w:rPr>
      </w:pPr>
      <w:r w:rsidRPr="00A43EB0">
        <w:t>and internal brace augmentation of the right wrist on September 12, 2024. The post-</w:t>
      </w:r>
    </w:p>
    <w:p w14:paraId="458171DD" w14:textId="77777777" w:rsidR="00EC0328" w:rsidRDefault="00EC0328" w:rsidP="00EC0328">
      <w:pPr>
        <w:pStyle w:val="NoSpacing"/>
        <w:ind w:firstLine="720"/>
        <w:rPr>
          <w:bCs/>
        </w:rPr>
      </w:pPr>
      <w:r w:rsidRPr="00A43EB0">
        <w:t>operative diagnosis was a complete tear of the scapholunate ligament of the right wrist.</w:t>
      </w:r>
    </w:p>
    <w:p w14:paraId="11FA01C1" w14:textId="77777777" w:rsidR="00EC0328" w:rsidRDefault="00EC0328" w:rsidP="00EC0328">
      <w:pPr>
        <w:pStyle w:val="NoSpacing"/>
        <w:ind w:firstLine="720"/>
        <w:rPr>
          <w:bCs/>
        </w:rPr>
      </w:pPr>
    </w:p>
    <w:p w14:paraId="3F22141E" w14:textId="77777777" w:rsidR="00EC0328" w:rsidRDefault="00EC0328" w:rsidP="00EC0328">
      <w:pPr>
        <w:pStyle w:val="NoSpacing"/>
        <w:ind w:firstLine="720"/>
        <w:rPr>
          <w:bCs/>
        </w:rPr>
      </w:pPr>
      <w:r>
        <w:t>***</w:t>
      </w:r>
    </w:p>
    <w:p w14:paraId="196A95EC" w14:textId="77777777" w:rsidR="00EC0328" w:rsidRDefault="00EC0328" w:rsidP="00EC0328">
      <w:pPr>
        <w:pStyle w:val="NoSpacing"/>
        <w:ind w:firstLine="720"/>
        <w:rPr>
          <w:bCs/>
        </w:rPr>
      </w:pPr>
    </w:p>
    <w:p w14:paraId="29063C1A" w14:textId="77777777" w:rsidR="00EC0328" w:rsidRPr="00596A41" w:rsidRDefault="00EC0328" w:rsidP="00EC0328">
      <w:pPr>
        <w:pStyle w:val="NoSpacing"/>
        <w:ind w:firstLine="720"/>
        <w:rPr>
          <w:bCs/>
        </w:rPr>
      </w:pPr>
      <w:r w:rsidRPr="00596A41">
        <w:t>On September 30, 2024, the claim administrator issued an order suspending Mr.</w:t>
      </w:r>
    </w:p>
    <w:p w14:paraId="6F3C8237" w14:textId="77777777" w:rsidR="00EC0328" w:rsidRPr="00596A41" w:rsidRDefault="00EC0328" w:rsidP="00EC0328">
      <w:pPr>
        <w:pStyle w:val="NoSpacing"/>
        <w:ind w:firstLine="720"/>
        <w:rPr>
          <w:bCs/>
        </w:rPr>
      </w:pPr>
      <w:r w:rsidRPr="00596A41">
        <w:t xml:space="preserve">Gilbert’s TTD benefits </w:t>
      </w:r>
      <w:proofErr w:type="gramStart"/>
      <w:r w:rsidRPr="00596A41">
        <w:t>based</w:t>
      </w:r>
      <w:proofErr w:type="gramEnd"/>
      <w:r w:rsidRPr="00596A41">
        <w:t xml:space="preserve"> upon Dr. Grady’s finding of MMI. </w:t>
      </w:r>
      <w:proofErr w:type="gramStart"/>
      <w:r w:rsidRPr="00596A41">
        <w:t>On November</w:t>
      </w:r>
      <w:proofErr w:type="gramEnd"/>
      <w:r w:rsidRPr="00596A41">
        <w:t xml:space="preserve"> 5, 2024,</w:t>
      </w:r>
    </w:p>
    <w:p w14:paraId="7F5C70D6" w14:textId="77777777" w:rsidR="00EC0328" w:rsidRPr="00596A41" w:rsidRDefault="00EC0328" w:rsidP="00EC0328">
      <w:pPr>
        <w:pStyle w:val="NoSpacing"/>
        <w:ind w:firstLine="720"/>
        <w:rPr>
          <w:bCs/>
        </w:rPr>
      </w:pPr>
      <w:proofErr w:type="gramStart"/>
      <w:r w:rsidRPr="00596A41">
        <w:t>the</w:t>
      </w:r>
      <w:proofErr w:type="gramEnd"/>
      <w:r w:rsidRPr="00596A41">
        <w:t xml:space="preserve"> claim administrator issued an order closing the claim for TTD benefits. Mr. Gilbert</w:t>
      </w:r>
    </w:p>
    <w:p w14:paraId="1861C17F" w14:textId="77777777" w:rsidR="00EC0328" w:rsidRDefault="00EC0328" w:rsidP="00EC0328">
      <w:pPr>
        <w:pStyle w:val="NoSpacing"/>
        <w:ind w:firstLine="720"/>
        <w:rPr>
          <w:bCs/>
        </w:rPr>
      </w:pPr>
      <w:r w:rsidRPr="00596A41">
        <w:t>protested this order.</w:t>
      </w:r>
    </w:p>
    <w:p w14:paraId="7948F36F" w14:textId="77777777" w:rsidR="00EC0328" w:rsidRDefault="00EC0328" w:rsidP="00EC0328">
      <w:pPr>
        <w:pStyle w:val="NoSpacing"/>
        <w:ind w:firstLine="720"/>
        <w:rPr>
          <w:bCs/>
        </w:rPr>
      </w:pPr>
    </w:p>
    <w:p w14:paraId="7EAFE268" w14:textId="77777777" w:rsidR="00EC0328" w:rsidRDefault="00EC0328" w:rsidP="00EC0328">
      <w:pPr>
        <w:pStyle w:val="NoSpacing"/>
        <w:ind w:firstLine="720"/>
        <w:rPr>
          <w:bCs/>
        </w:rPr>
      </w:pPr>
      <w:r>
        <w:t>***</w:t>
      </w:r>
    </w:p>
    <w:p w14:paraId="3C8D9E00" w14:textId="77777777" w:rsidR="00EC0328" w:rsidRDefault="00EC0328" w:rsidP="00EC0328">
      <w:pPr>
        <w:pStyle w:val="NoSpacing"/>
        <w:ind w:firstLine="720"/>
        <w:rPr>
          <w:bCs/>
        </w:rPr>
      </w:pPr>
    </w:p>
    <w:p w14:paraId="1FF34756" w14:textId="77777777" w:rsidR="00EC0328" w:rsidRPr="00433300" w:rsidRDefault="00EC0328" w:rsidP="00EC0328">
      <w:pPr>
        <w:pStyle w:val="NoSpacing"/>
        <w:ind w:firstLine="720"/>
        <w:rPr>
          <w:bCs/>
        </w:rPr>
      </w:pPr>
      <w:r w:rsidRPr="00433300">
        <w:t>Upon review, we conclude that the Board was not clearly wrong in finding that the</w:t>
      </w:r>
    </w:p>
    <w:p w14:paraId="53045FD8" w14:textId="77777777" w:rsidR="00EC0328" w:rsidRPr="00433300" w:rsidRDefault="00EC0328" w:rsidP="00EC0328">
      <w:pPr>
        <w:pStyle w:val="NoSpacing"/>
        <w:ind w:firstLine="720"/>
        <w:rPr>
          <w:bCs/>
        </w:rPr>
      </w:pPr>
      <w:r w:rsidRPr="00433300">
        <w:t>closure of the claim for TTD benefits was premature and improper. We note that TTD</w:t>
      </w:r>
    </w:p>
    <w:p w14:paraId="69DDC4BF" w14:textId="77777777" w:rsidR="00EC0328" w:rsidRPr="00433300" w:rsidRDefault="00EC0328" w:rsidP="00EC0328">
      <w:pPr>
        <w:pStyle w:val="NoSpacing"/>
        <w:ind w:firstLine="720"/>
        <w:rPr>
          <w:bCs/>
        </w:rPr>
      </w:pPr>
      <w:r w:rsidRPr="00433300">
        <w:t xml:space="preserve">payments are payable during an injured worker’s recovery period after a </w:t>
      </w:r>
      <w:proofErr w:type="gramStart"/>
      <w:r w:rsidRPr="00433300">
        <w:t>compensable</w:t>
      </w:r>
      <w:proofErr w:type="gramEnd"/>
    </w:p>
    <w:p w14:paraId="7BD1C713" w14:textId="77777777" w:rsidR="00EC0328" w:rsidRPr="00433300" w:rsidRDefault="00EC0328" w:rsidP="00EC0328">
      <w:pPr>
        <w:pStyle w:val="NoSpacing"/>
        <w:ind w:firstLine="720"/>
        <w:rPr>
          <w:bCs/>
        </w:rPr>
      </w:pPr>
      <w:r w:rsidRPr="00433300">
        <w:t>injury. Pursuant to West Virginia Code § 23-4-7a, TTD benefits are not payable once an</w:t>
      </w:r>
    </w:p>
    <w:p w14:paraId="39CF0F20" w14:textId="77777777" w:rsidR="00EC0328" w:rsidRPr="00433300" w:rsidRDefault="00EC0328" w:rsidP="00EC0328">
      <w:pPr>
        <w:pStyle w:val="NoSpacing"/>
        <w:ind w:firstLine="720"/>
        <w:rPr>
          <w:bCs/>
        </w:rPr>
      </w:pPr>
      <w:r w:rsidRPr="00433300">
        <w:t xml:space="preserve">injured worker reaches MMI, is released to return to work, or </w:t>
      </w:r>
      <w:proofErr w:type="gramStart"/>
      <w:r w:rsidRPr="00433300">
        <w:t>actually returns</w:t>
      </w:r>
      <w:proofErr w:type="gramEnd"/>
      <w:r w:rsidRPr="00433300">
        <w:t xml:space="preserve"> to work.</w:t>
      </w:r>
    </w:p>
    <w:p w14:paraId="578415C4" w14:textId="77777777" w:rsidR="00EC0328" w:rsidRDefault="00EC0328" w:rsidP="00EC0328">
      <w:pPr>
        <w:pStyle w:val="NoSpacing"/>
        <w:ind w:left="720"/>
        <w:rPr>
          <w:bCs/>
        </w:rPr>
      </w:pPr>
      <w:r w:rsidRPr="00433300">
        <w:t>Upon review, we conclude that the Board was not clearly wrong in finding that the evidence</w:t>
      </w:r>
      <w:r>
        <w:t xml:space="preserve"> </w:t>
      </w:r>
      <w:r w:rsidRPr="00433300">
        <w:t>established that the closing of the claim for TTD benefits on November 5, 2024, was</w:t>
      </w:r>
      <w:r>
        <w:t xml:space="preserve"> </w:t>
      </w:r>
      <w:r w:rsidRPr="00433300">
        <w:t>premature</w:t>
      </w:r>
      <w:r>
        <w:t>. “</w:t>
      </w:r>
    </w:p>
    <w:p w14:paraId="0143E390" w14:textId="77777777" w:rsidR="00EC0328" w:rsidRDefault="00EC0328" w:rsidP="00EC0328">
      <w:pPr>
        <w:pStyle w:val="NoSpacing"/>
        <w:ind w:left="720"/>
        <w:rPr>
          <w:bCs/>
        </w:rPr>
      </w:pPr>
    </w:p>
    <w:p w14:paraId="247DB93F" w14:textId="77777777" w:rsidR="00EC0328" w:rsidRPr="00A10B17" w:rsidRDefault="00EC0328" w:rsidP="00EC0328">
      <w:pPr>
        <w:pStyle w:val="NoSpacing"/>
        <w:rPr>
          <w:b/>
        </w:rPr>
      </w:pPr>
      <w:r>
        <w:rPr>
          <w:b/>
        </w:rPr>
        <w:t xml:space="preserve">Legal lesson learned:  Another “battle of the experts.”  Nice to read that the firefighter will have continuing coverage until he reaches MMI (Maximum Medical Improvement). </w:t>
      </w:r>
    </w:p>
    <w:p w14:paraId="00CC73E7" w14:textId="77777777" w:rsidR="00EC0328" w:rsidRDefault="00EC0328" w:rsidP="000624FD">
      <w:pPr>
        <w:pStyle w:val="NoSpacing"/>
        <w:rPr>
          <w:rFonts w:ascii="Arial Black" w:hAnsi="Arial Black"/>
          <w:b/>
          <w:sz w:val="28"/>
          <w:szCs w:val="28"/>
        </w:rPr>
      </w:pPr>
    </w:p>
    <w:p w14:paraId="1B935616" w14:textId="77777777" w:rsidR="007369A1" w:rsidRDefault="007369A1" w:rsidP="000624FD">
      <w:pPr>
        <w:pStyle w:val="NoSpacing"/>
        <w:rPr>
          <w:rFonts w:ascii="Arial Black" w:hAnsi="Arial Black"/>
          <w:b/>
          <w:sz w:val="28"/>
          <w:szCs w:val="28"/>
        </w:rPr>
      </w:pPr>
    </w:p>
    <w:p w14:paraId="6B16C6AC" w14:textId="77777777" w:rsidR="007369A1" w:rsidRDefault="007369A1" w:rsidP="000624FD">
      <w:pPr>
        <w:pStyle w:val="NoSpacing"/>
        <w:rPr>
          <w:rFonts w:ascii="Arial Black" w:hAnsi="Arial Black"/>
          <w:b/>
          <w:sz w:val="28"/>
          <w:szCs w:val="28"/>
        </w:rPr>
      </w:pPr>
    </w:p>
    <w:p w14:paraId="55973961" w14:textId="77777777" w:rsidR="007369A1" w:rsidRDefault="007369A1" w:rsidP="000624FD">
      <w:pPr>
        <w:pStyle w:val="NoSpacing"/>
        <w:rPr>
          <w:rFonts w:ascii="Arial Black" w:hAnsi="Arial Black"/>
          <w:b/>
          <w:sz w:val="28"/>
          <w:szCs w:val="28"/>
        </w:rPr>
      </w:pPr>
    </w:p>
    <w:p w14:paraId="69E06DAD" w14:textId="63D0A001" w:rsidR="00040383" w:rsidRDefault="00040383" w:rsidP="000624FD">
      <w:pPr>
        <w:pStyle w:val="NoSpacing"/>
        <w:rPr>
          <w:rFonts w:ascii="Arial Black" w:hAnsi="Arial Black"/>
          <w:b/>
          <w:sz w:val="28"/>
          <w:szCs w:val="28"/>
        </w:rPr>
      </w:pPr>
      <w:r>
        <w:rPr>
          <w:rFonts w:ascii="Arial Black" w:hAnsi="Arial Black"/>
          <w:b/>
          <w:sz w:val="28"/>
          <w:szCs w:val="28"/>
        </w:rPr>
        <w:t>6-174</w:t>
      </w:r>
    </w:p>
    <w:p w14:paraId="2FB79C9D" w14:textId="77777777" w:rsidR="00040383" w:rsidRDefault="00040383" w:rsidP="00040383">
      <w:pPr>
        <w:pStyle w:val="NoSpacing"/>
        <w:rPr>
          <w:rFonts w:ascii="Arial Black" w:hAnsi="Arial Black"/>
          <w:sz w:val="28"/>
          <w:szCs w:val="28"/>
        </w:rPr>
      </w:pPr>
      <w:r>
        <w:rPr>
          <w:rFonts w:ascii="Arial Black" w:hAnsi="Arial Black"/>
          <w:sz w:val="28"/>
          <w:szCs w:val="28"/>
        </w:rPr>
        <w:t>MD: EMT HEAD INJURY– JURY - TT 47 DAYS OFF IN 5 YRS</w:t>
      </w:r>
    </w:p>
    <w:p w14:paraId="32000FA6" w14:textId="77777777" w:rsidR="00040383" w:rsidRDefault="00040383" w:rsidP="00040383">
      <w:pPr>
        <w:pStyle w:val="NoSpacing"/>
        <w:rPr>
          <w:rFonts w:ascii="Arial Black" w:hAnsi="Arial Black"/>
          <w:sz w:val="28"/>
          <w:szCs w:val="28"/>
        </w:rPr>
      </w:pPr>
    </w:p>
    <w:p w14:paraId="47651A43" w14:textId="7679CE3B" w:rsidR="00040383" w:rsidRDefault="00040383" w:rsidP="00040383">
      <w:pPr>
        <w:pStyle w:val="NoSpacing"/>
      </w:pPr>
      <w:r>
        <w:t xml:space="preserve">On November 19, 2025, in </w:t>
      </w:r>
      <w:r w:rsidRPr="00562B80">
        <w:rPr>
          <w:u w:val="single"/>
        </w:rPr>
        <w:t>Montgomery County, Maryland v. Patricia Taylor</w:t>
      </w:r>
      <w:r>
        <w:t xml:space="preserve">, the </w:t>
      </w:r>
      <w:r w:rsidRPr="00562B80">
        <w:t>Court of Special Appeals of Maryland</w:t>
      </w:r>
      <w:r>
        <w:t xml:space="preserve"> held (4 to 0; unreported decision) that a jury properly awarded a volunteer Medic (and College instructor) temporary total disability for 47 days missed from work because of migraine headaches </w:t>
      </w:r>
      <w:r w:rsidRPr="001D7936">
        <w:t>between 2017-2021</w:t>
      </w:r>
      <w:r>
        <w:t>.  THE COURT WROTE: “</w:t>
      </w:r>
      <w:r w:rsidRPr="001D7936">
        <w:t>On August 15, 2016, Appellee Patricia Taylor, a Montgomery County EMT, sustained a head injury after she was struck by a heavy backboard during a training exercise</w:t>
      </w:r>
      <w:r>
        <w:t xml:space="preserve">…. [She] </w:t>
      </w:r>
      <w:r w:rsidRPr="009D25FA">
        <w:t>appealed the denial of her claim for temporary total disability benefits by the Maryland Workers' Compensation Commission to the Circuit Court for Montgomery County. Appellee elected a jury trial, and following the presentation of evidence and deliberations, the jury determined that she was temporarily totally disabled on the dates specified in her claim</w:t>
      </w:r>
      <w:r>
        <w:t xml:space="preserve">…. </w:t>
      </w:r>
      <w:r w:rsidRPr="00732DE9">
        <w:t> </w:t>
      </w:r>
      <w:r w:rsidRPr="00C81949">
        <w:t xml:space="preserve">Dr. Jeffrey Gaber, a board-certified internal medicine </w:t>
      </w:r>
      <w:r w:rsidRPr="00C81949">
        <w:lastRenderedPageBreak/>
        <w:t>doctor</w:t>
      </w:r>
      <w:r>
        <w:t xml:space="preserve"> … </w:t>
      </w:r>
      <w:r w:rsidRPr="00732DE9">
        <w:t xml:space="preserve">testified that based on his own evaluation and in part, on a review of medical records from Appellee's internal neurologist and the county's independent medical examiner, that the accident that Appellee suffered can </w:t>
      </w:r>
      <w:r>
        <w:t>‘</w:t>
      </w:r>
      <w:r w:rsidRPr="00732DE9">
        <w:t>absolutely</w:t>
      </w:r>
      <w:r>
        <w:t>’</w:t>
      </w:r>
      <w:r w:rsidRPr="00732DE9">
        <w:t xml:space="preserve"> cause the </w:t>
      </w:r>
      <w:r>
        <w:t>‘</w:t>
      </w:r>
      <w:r w:rsidRPr="00732DE9">
        <w:t>severe</w:t>
      </w:r>
      <w:r>
        <w:t>’</w:t>
      </w:r>
      <w:r w:rsidRPr="00732DE9">
        <w:t xml:space="preserve"> post-concussive headaches that Appellee experienced.</w:t>
      </w:r>
      <w:r>
        <w:t>”</w:t>
      </w:r>
      <w:r w:rsidR="00A94598">
        <w:t xml:space="preserve"> </w:t>
      </w:r>
      <w:hyperlink r:id="rId1056" w:history="1">
        <w:r w:rsidR="00A94598" w:rsidRPr="00824C83">
          <w:rPr>
            <w:rStyle w:val="Hyperlink"/>
          </w:rPr>
          <w:t>https://thedailyrecord.com/files/2025/12/1167s24.pdf</w:t>
        </w:r>
      </w:hyperlink>
      <w:r w:rsidR="00A94598">
        <w:t xml:space="preserve"> </w:t>
      </w:r>
    </w:p>
    <w:p w14:paraId="0CAD56B5" w14:textId="77777777" w:rsidR="00040383" w:rsidRDefault="00040383" w:rsidP="00040383">
      <w:pPr>
        <w:pStyle w:val="NoSpacing"/>
      </w:pPr>
    </w:p>
    <w:p w14:paraId="70E4137A" w14:textId="77777777" w:rsidR="00040383" w:rsidRPr="00D070F3" w:rsidRDefault="00040383" w:rsidP="00040383">
      <w:pPr>
        <w:pStyle w:val="NoSpacing"/>
      </w:pPr>
      <w:r>
        <w:t xml:space="preserve">THE COURT HELD:  </w:t>
      </w:r>
    </w:p>
    <w:p w14:paraId="78CC1239" w14:textId="77777777" w:rsidR="00040383" w:rsidRDefault="00040383" w:rsidP="00040383">
      <w:pPr>
        <w:pStyle w:val="NoSpacing"/>
      </w:pPr>
    </w:p>
    <w:p w14:paraId="47E40BEB" w14:textId="77777777" w:rsidR="00040383" w:rsidRDefault="00040383" w:rsidP="00040383">
      <w:pPr>
        <w:pStyle w:val="NoSpacing"/>
        <w:ind w:left="720"/>
      </w:pPr>
      <w:r>
        <w:t>“</w:t>
      </w:r>
      <w:r w:rsidRPr="00101E58">
        <w:t xml:space="preserve">Appellee presented two witnesses, Dr. Jeffrey Gaber, a board-certified internal medicine doctor, who testified by video deposition and herself. Dr. Gaber opined that, based on his training, experience, medical evaluation, and review of Appellee's medical records, Appellee sustained a concussion </w:t>
      </w:r>
      <w:proofErr w:type="gramStart"/>
      <w:r w:rsidRPr="00101E58">
        <w:t>as a result of</w:t>
      </w:r>
      <w:proofErr w:type="gramEnd"/>
      <w:r w:rsidRPr="00101E58">
        <w:t xml:space="preserve"> a work injury on August 15, 2016. Dr. Gaber further opined that Appellee suffers from post-concussive syndrome because of the accident and that she was unable to work on days when the symptoms were severe</w:t>
      </w:r>
      <w:r>
        <w:t xml:space="preserve">…. </w:t>
      </w:r>
    </w:p>
    <w:p w14:paraId="12AA0FEA" w14:textId="77777777" w:rsidR="00040383" w:rsidRDefault="00040383" w:rsidP="00040383">
      <w:pPr>
        <w:pStyle w:val="NoSpacing"/>
        <w:ind w:left="720" w:firstLine="60"/>
      </w:pPr>
      <w:r w:rsidRPr="00101E58">
        <w:t>Dr. Gaber explained the significance of EMT Taylor's post concussive headaches and their impact on her ability to serve as a paramedic and as a full-time teacher in the education and training department at Johns Hopkins University.</w:t>
      </w:r>
      <w:r>
        <w:t>”</w:t>
      </w:r>
    </w:p>
    <w:p w14:paraId="213139CF" w14:textId="77777777" w:rsidR="00040383" w:rsidRDefault="00040383" w:rsidP="00040383">
      <w:pPr>
        <w:pStyle w:val="NoSpacing"/>
        <w:ind w:left="720" w:firstLine="60"/>
      </w:pPr>
    </w:p>
    <w:p w14:paraId="78837DB5" w14:textId="77777777" w:rsidR="00040383" w:rsidRPr="00567053" w:rsidRDefault="00040383" w:rsidP="00040383">
      <w:pPr>
        <w:pStyle w:val="NoSpacing"/>
        <w:ind w:firstLine="60"/>
        <w:rPr>
          <w:b/>
          <w:bCs/>
        </w:rPr>
      </w:pPr>
      <w:r>
        <w:rPr>
          <w:b/>
        </w:rPr>
        <w:t xml:space="preserve">Legal lesson learned:  Maryland </w:t>
      </w:r>
      <w:r>
        <w:rPr>
          <w:b/>
          <w:bCs/>
        </w:rPr>
        <w:t xml:space="preserve">has unique </w:t>
      </w:r>
      <w:r>
        <w:rPr>
          <w:b/>
        </w:rPr>
        <w:t>jury trial</w:t>
      </w:r>
      <w:r>
        <w:rPr>
          <w:b/>
          <w:bCs/>
        </w:rPr>
        <w:t xml:space="preserve">s </w:t>
      </w:r>
      <w:r>
        <w:rPr>
          <w:b/>
        </w:rPr>
        <w:t>on worker’s comp claims</w:t>
      </w:r>
      <w:r>
        <w:rPr>
          <w:b/>
          <w:bCs/>
        </w:rPr>
        <w:t xml:space="preserve">. </w:t>
      </w:r>
    </w:p>
    <w:p w14:paraId="677A7BD7" w14:textId="77777777" w:rsidR="00040383" w:rsidRDefault="00040383" w:rsidP="00040383">
      <w:pPr>
        <w:rPr>
          <w:b/>
        </w:rPr>
      </w:pPr>
    </w:p>
    <w:p w14:paraId="2182BDC9" w14:textId="77777777" w:rsidR="00040383" w:rsidRDefault="00040383" w:rsidP="000624FD">
      <w:pPr>
        <w:pStyle w:val="NoSpacing"/>
        <w:rPr>
          <w:rFonts w:ascii="Arial Black" w:hAnsi="Arial Black"/>
          <w:b/>
          <w:sz w:val="28"/>
          <w:szCs w:val="28"/>
        </w:rPr>
      </w:pPr>
    </w:p>
    <w:p w14:paraId="631B1D63" w14:textId="77777777" w:rsidR="00040383" w:rsidRDefault="00040383" w:rsidP="000624FD">
      <w:pPr>
        <w:pStyle w:val="NoSpacing"/>
        <w:rPr>
          <w:rFonts w:ascii="Arial Black" w:hAnsi="Arial Black"/>
          <w:b/>
          <w:sz w:val="28"/>
          <w:szCs w:val="28"/>
        </w:rPr>
      </w:pPr>
    </w:p>
    <w:p w14:paraId="46E247D5" w14:textId="61DC7FAE" w:rsidR="00DE3247" w:rsidRDefault="00040383" w:rsidP="000624FD">
      <w:pPr>
        <w:pStyle w:val="NoSpacing"/>
        <w:rPr>
          <w:rFonts w:ascii="Arial Black" w:hAnsi="Arial Black"/>
          <w:b/>
          <w:sz w:val="28"/>
          <w:szCs w:val="28"/>
        </w:rPr>
      </w:pPr>
      <w:r>
        <w:rPr>
          <w:rFonts w:ascii="Arial Black" w:hAnsi="Arial Black"/>
          <w:b/>
          <w:sz w:val="28"/>
          <w:szCs w:val="28"/>
        </w:rPr>
        <w:t>6-173</w:t>
      </w:r>
    </w:p>
    <w:p w14:paraId="2961EA3B" w14:textId="77777777" w:rsidR="00190EAB" w:rsidRDefault="00190EAB" w:rsidP="000624FD">
      <w:pPr>
        <w:pStyle w:val="NoSpacing"/>
        <w:rPr>
          <w:rFonts w:ascii="Arial Black" w:hAnsi="Arial Black"/>
          <w:b/>
          <w:sz w:val="28"/>
          <w:szCs w:val="28"/>
        </w:rPr>
      </w:pPr>
    </w:p>
    <w:p w14:paraId="69F6602F" w14:textId="77777777" w:rsidR="00190EAB" w:rsidRDefault="00190EAB" w:rsidP="00190EAB">
      <w:pPr>
        <w:pStyle w:val="NoSpacing"/>
        <w:rPr>
          <w:rFonts w:ascii="Arial Black" w:hAnsi="Arial Black"/>
          <w:sz w:val="28"/>
          <w:szCs w:val="28"/>
        </w:rPr>
      </w:pPr>
      <w:r>
        <w:rPr>
          <w:rFonts w:ascii="Arial Black" w:hAnsi="Arial Black"/>
          <w:sz w:val="28"/>
          <w:szCs w:val="28"/>
        </w:rPr>
        <w:t>CA: PENSION “SPIKING” – STANDBY PAY NOT COUNTED</w:t>
      </w:r>
    </w:p>
    <w:p w14:paraId="2BD4DC38" w14:textId="77777777" w:rsidR="00190EAB" w:rsidRDefault="00190EAB" w:rsidP="00190EAB">
      <w:pPr>
        <w:pStyle w:val="NoSpacing"/>
        <w:rPr>
          <w:rFonts w:ascii="Arial Black" w:hAnsi="Arial Black"/>
          <w:sz w:val="28"/>
          <w:szCs w:val="28"/>
        </w:rPr>
      </w:pPr>
    </w:p>
    <w:p w14:paraId="20110E76" w14:textId="77777777" w:rsidR="00190EAB" w:rsidRDefault="00190EAB" w:rsidP="00190EAB">
      <w:pPr>
        <w:pStyle w:val="NoSpacing"/>
      </w:pPr>
      <w:r>
        <w:t xml:space="preserve">On November 13, 2025, in </w:t>
      </w:r>
      <w:r w:rsidRPr="00FC0177">
        <w:rPr>
          <w:u w:val="single"/>
        </w:rPr>
        <w:t>Ventura County Professional Firefighters’ Association, et al. v. Ventura County Employees’ Retirement Association, et al</w:t>
      </w:r>
      <w:r>
        <w:t xml:space="preserve">., the </w:t>
      </w:r>
      <w:r w:rsidRPr="0038538F">
        <w:t>California Court of Appeals, Second District, Sixth Division</w:t>
      </w:r>
      <w:r>
        <w:t xml:space="preserve"> held (3 to 0; unpublished opinion) that pension Board since 2021 stop considering “standby pay” (where they may be called back work in an emergency) in employee pension calculation of their “annual average compensation.”  The state pension law was amended in 2013 to prevent “spiking” – “additional services rendered outside of normal working hours” no longer in pension calculation.  Three firefighter Heavy Equipment Operators, and two firefighter Aviation Managers were hired prior to the 2021 change, and these “legacy” personnel and their union </w:t>
      </w:r>
      <w:r w:rsidRPr="00224E79">
        <w:t>petitioned for a writ of mandamus in the trial court</w:t>
      </w:r>
      <w:r>
        <w:t>. THE COURT WROTE:  “PEPRA revised laws governing pension plans and amended provisions of CERL in response to a rise in ‘spiking’ and other practices used to increase retirement benefits during the representative period…. Among the types of compensation excluded are ‘[p]</w:t>
      </w:r>
      <w:proofErr w:type="spellStart"/>
      <w:r>
        <w:t>ayments</w:t>
      </w:r>
      <w:proofErr w:type="spellEnd"/>
      <w:r>
        <w:t xml:space="preserve"> for additional services rendered outside of normal working hours, whether paid in a lump sum or otherwise.’ (§ 31461, subd. (b)(3).) … T</w:t>
      </w:r>
      <w:r w:rsidRPr="00434C5F">
        <w:t>ime on standby, it must follow, is not</w:t>
      </w:r>
      <w:r>
        <w:t xml:space="preserve"> time appellants are ‘actually’ working under Article 10, but time they agree the </w:t>
      </w:r>
      <w:proofErr w:type="gramStart"/>
      <w:r>
        <w:t>District</w:t>
      </w:r>
      <w:proofErr w:type="gramEnd"/>
      <w:r>
        <w:t xml:space="preserve"> may call them back to work an unspecified number of overtime hours under Article 11…. </w:t>
      </w:r>
      <w:r w:rsidRPr="00E55F32">
        <w:t>Employees</w:t>
      </w:r>
      <w:r>
        <w:t xml:space="preserve"> </w:t>
      </w:r>
      <w:r w:rsidRPr="00E55F32">
        <w:t xml:space="preserve">are paid one quarter of their hourly wage if placed on </w:t>
      </w:r>
      <w:proofErr w:type="gramStart"/>
      <w:r w:rsidRPr="00E55F32">
        <w:t xml:space="preserve">standby </w:t>
      </w:r>
      <w:r>
        <w:t>status</w:t>
      </w:r>
      <w:proofErr w:type="gramEnd"/>
      <w:r>
        <w:t xml:space="preserve"> </w:t>
      </w:r>
      <w:r w:rsidRPr="00E55F32">
        <w:t>by their Duty Chief. If called back to work, they are paid</w:t>
      </w:r>
      <w:r>
        <w:t xml:space="preserve"> </w:t>
      </w:r>
      <w:r w:rsidRPr="00E55F32">
        <w:t>at a predetermined hourly overtime rate</w:t>
      </w:r>
      <w:r>
        <w:t xml:space="preserve">…. The [Pension] Board ratified revised pay codes in May of 2021…. The discretionary nature of standby hours is what requires us to conclude they are not hours ‘ordinarily performed…. We read these provisions as requiring appellants to accept standby </w:t>
      </w:r>
      <w:r w:rsidRPr="001A5C92">
        <w:rPr>
          <w:i/>
          <w:iCs/>
        </w:rPr>
        <w:t xml:space="preserve">if </w:t>
      </w:r>
      <w:r>
        <w:t>assigned and not as expanding their normal work hours. VCERA and the trial court</w:t>
      </w:r>
    </w:p>
    <w:p w14:paraId="49648E99" w14:textId="77777777" w:rsidR="00190EAB" w:rsidRDefault="00190EAB" w:rsidP="00190EAB">
      <w:pPr>
        <w:pStyle w:val="NoSpacing"/>
      </w:pPr>
      <w:r>
        <w:t xml:space="preserve">correctly considered standby—at least as defined in the MOA and Side Letter—as ‘additional services rendered outside of normal working hours.’ (§ 31461, subd. (b)(3).) “ </w:t>
      </w:r>
      <w:hyperlink r:id="rId1057" w:history="1">
        <w:r w:rsidRPr="00583A8C">
          <w:rPr>
            <w:rStyle w:val="Hyperlink"/>
          </w:rPr>
          <w:t>https://www4.courts.ca.gov/opinions/nonpub/B338919.PDF</w:t>
        </w:r>
      </w:hyperlink>
      <w:r>
        <w:t xml:space="preserve"> </w:t>
      </w:r>
    </w:p>
    <w:p w14:paraId="31BF533B" w14:textId="77777777" w:rsidR="00190EAB" w:rsidRDefault="00190EAB" w:rsidP="00190EAB">
      <w:pPr>
        <w:pStyle w:val="NoSpacing"/>
      </w:pPr>
    </w:p>
    <w:p w14:paraId="13E8DB7F" w14:textId="77777777" w:rsidR="00190EAB" w:rsidRDefault="00190EAB" w:rsidP="00190EAB">
      <w:pPr>
        <w:pStyle w:val="NoSpacing"/>
      </w:pPr>
      <w:r>
        <w:t>THE COURT HELD:</w:t>
      </w:r>
    </w:p>
    <w:p w14:paraId="6739618A" w14:textId="77777777" w:rsidR="00190EAB" w:rsidRDefault="00190EAB" w:rsidP="00190EAB">
      <w:pPr>
        <w:pStyle w:val="NoSpacing"/>
      </w:pPr>
    </w:p>
    <w:p w14:paraId="1F5FD323" w14:textId="77777777" w:rsidR="00190EAB" w:rsidRDefault="00190EAB" w:rsidP="00190EAB">
      <w:pPr>
        <w:pStyle w:val="NoSpacing"/>
        <w:ind w:left="720"/>
      </w:pPr>
      <w:r>
        <w:t xml:space="preserve">“VCPFA’s co-appellants are five employees of the </w:t>
      </w:r>
      <w:proofErr w:type="gramStart"/>
      <w:r>
        <w:t>District</w:t>
      </w:r>
      <w:proofErr w:type="gramEnd"/>
      <w:r>
        <w:t xml:space="preserve">: aviation managers Melvin Lovo and Jeffrey Seabrook, and heavy equipment operators Scott Price, Christopher Beery, and Ryan Winchester. They contribute a portion of every paycheck to VCERA to fund their pension benefits. CERL governs the calculation of VCERA members’ </w:t>
      </w:r>
      <w:r>
        <w:lastRenderedPageBreak/>
        <w:t>retirement allowances based on a formula comprised of an employee’s: (1) age at retirement; (2) years of service; and (3) final compensation.</w:t>
      </w:r>
    </w:p>
    <w:p w14:paraId="3A339DB0" w14:textId="77777777" w:rsidR="00190EAB" w:rsidRDefault="00190EAB" w:rsidP="00190EAB">
      <w:pPr>
        <w:pStyle w:val="NoSpacing"/>
        <w:ind w:left="720"/>
      </w:pPr>
    </w:p>
    <w:p w14:paraId="693536B6" w14:textId="77777777" w:rsidR="00190EAB" w:rsidRDefault="00190EAB" w:rsidP="00190EAB">
      <w:pPr>
        <w:pStyle w:val="NoSpacing"/>
        <w:ind w:left="720"/>
      </w:pPr>
      <w:r>
        <w:t>***</w:t>
      </w:r>
    </w:p>
    <w:p w14:paraId="3980D2C9" w14:textId="77777777" w:rsidR="00190EAB" w:rsidRDefault="00190EAB" w:rsidP="00190EAB">
      <w:pPr>
        <w:pStyle w:val="NoSpacing"/>
        <w:ind w:left="720"/>
      </w:pPr>
      <w:r>
        <w:t>Appellants are ‘legacy’ members of VCERA because they were employed by the county prior to the enactment of PEPRA in 2013…. EPRA revised laws governing pension plans and amended provisions of CERL in response to a rise in ‘spiking’ and other practices used to increase retirement benefits during the representative period.</w:t>
      </w:r>
    </w:p>
    <w:p w14:paraId="1E234DBA" w14:textId="77777777" w:rsidR="00190EAB" w:rsidRDefault="00190EAB" w:rsidP="00190EAB">
      <w:pPr>
        <w:pStyle w:val="NoSpacing"/>
        <w:ind w:left="720"/>
      </w:pPr>
    </w:p>
    <w:p w14:paraId="4B6990D7" w14:textId="77777777" w:rsidR="00190EAB" w:rsidRDefault="00190EAB" w:rsidP="00190EAB">
      <w:pPr>
        <w:pStyle w:val="NoSpacing"/>
        <w:ind w:left="720"/>
      </w:pPr>
      <w:r>
        <w:t>***</w:t>
      </w:r>
    </w:p>
    <w:p w14:paraId="2BE671C2" w14:textId="77777777" w:rsidR="00190EAB" w:rsidRDefault="00190EAB" w:rsidP="00190EAB">
      <w:pPr>
        <w:pStyle w:val="NoSpacing"/>
        <w:ind w:left="720"/>
      </w:pPr>
    </w:p>
    <w:p w14:paraId="42A6D74C" w14:textId="77777777" w:rsidR="00190EAB" w:rsidRDefault="00190EAB" w:rsidP="00190EAB">
      <w:pPr>
        <w:pStyle w:val="NoSpacing"/>
        <w:ind w:left="720"/>
      </w:pPr>
      <w:r>
        <w:t xml:space="preserve">The MOA does not differentiate between different types of standby. Appellants assert that in practice there are two types: (1) ‘ad hoc’ standby worked at the Duty Chief’s discretion when emergency conditions were forecasted; and (2) ‘scheduled’ standby that is ‘assigned, regular, and reoccurring, mandatory, and part of an employee’s normal working hours.” They allege the </w:t>
      </w:r>
      <w:proofErr w:type="gramStart"/>
      <w:r>
        <w:t>District</w:t>
      </w:r>
      <w:proofErr w:type="gramEnd"/>
      <w:r>
        <w:t xml:space="preserve"> requires them ‘to be on standby for a certain number of days each month as part of their normal </w:t>
      </w:r>
      <w:proofErr w:type="gramStart"/>
      <w:r>
        <w:t>schedules’</w:t>
      </w:r>
      <w:proofErr w:type="gramEnd"/>
      <w:r>
        <w:t xml:space="preserve"> because they have specialized skills. ‘Heavy Equipment Operator[s]’ work ‘a minimum’ of two days per week and seven days per three-week period. ‘ Aviation Manager[s]/ work an additional</w:t>
      </w:r>
    </w:p>
    <w:p w14:paraId="159E64D1" w14:textId="77777777" w:rsidR="00190EAB" w:rsidRDefault="00190EAB" w:rsidP="00190EAB">
      <w:pPr>
        <w:pStyle w:val="NoSpacing"/>
        <w:ind w:left="720"/>
      </w:pPr>
      <w:r>
        <w:t>eight hours of standby after each shift.”</w:t>
      </w:r>
    </w:p>
    <w:p w14:paraId="788E501B" w14:textId="77777777" w:rsidR="00190EAB" w:rsidRDefault="00190EAB" w:rsidP="00190EAB">
      <w:pPr>
        <w:pStyle w:val="NoSpacing"/>
        <w:ind w:firstLine="720"/>
      </w:pPr>
    </w:p>
    <w:p w14:paraId="06A42621" w14:textId="77777777" w:rsidR="00190EAB" w:rsidRPr="00CD2147" w:rsidRDefault="00190EAB" w:rsidP="00190EAB">
      <w:pPr>
        <w:pStyle w:val="NoSpacing"/>
        <w:rPr>
          <w:b/>
          <w:bCs/>
        </w:rPr>
      </w:pPr>
      <w:r>
        <w:rPr>
          <w:b/>
        </w:rPr>
        <w:t xml:space="preserve">Legal lesson learned: California law was amended in 2013 because of pension “spiking” – </w:t>
      </w:r>
      <w:r w:rsidRPr="00CD2147">
        <w:rPr>
          <w:b/>
        </w:rPr>
        <w:t>“additional services rendered outside of normal working hours” not in calculation of average annual compensation.</w:t>
      </w:r>
    </w:p>
    <w:p w14:paraId="04100214" w14:textId="77777777" w:rsidR="00190EAB" w:rsidRDefault="00190EAB" w:rsidP="000624FD">
      <w:pPr>
        <w:pStyle w:val="NoSpacing"/>
        <w:rPr>
          <w:rFonts w:ascii="Arial Black" w:hAnsi="Arial Black"/>
          <w:b/>
          <w:sz w:val="28"/>
          <w:szCs w:val="28"/>
        </w:rPr>
      </w:pPr>
    </w:p>
    <w:p w14:paraId="4185E707" w14:textId="77777777" w:rsidR="00190EAB" w:rsidRDefault="00190EAB" w:rsidP="000624FD">
      <w:pPr>
        <w:pStyle w:val="NoSpacing"/>
        <w:rPr>
          <w:rFonts w:ascii="Arial Black" w:hAnsi="Arial Black"/>
          <w:b/>
          <w:sz w:val="28"/>
          <w:szCs w:val="28"/>
        </w:rPr>
      </w:pPr>
    </w:p>
    <w:p w14:paraId="2513789F" w14:textId="77777777" w:rsidR="00190EAB" w:rsidRDefault="00190EAB" w:rsidP="000624FD">
      <w:pPr>
        <w:pStyle w:val="NoSpacing"/>
        <w:rPr>
          <w:rFonts w:ascii="Arial Black" w:hAnsi="Arial Black"/>
          <w:b/>
          <w:sz w:val="28"/>
          <w:szCs w:val="28"/>
        </w:rPr>
      </w:pPr>
    </w:p>
    <w:p w14:paraId="6A9ED24A" w14:textId="77777777" w:rsidR="00190EAB" w:rsidRDefault="00190EAB" w:rsidP="000624FD">
      <w:pPr>
        <w:pStyle w:val="NoSpacing"/>
        <w:rPr>
          <w:rFonts w:ascii="Arial Black" w:hAnsi="Arial Black"/>
          <w:b/>
          <w:sz w:val="28"/>
          <w:szCs w:val="28"/>
        </w:rPr>
      </w:pPr>
    </w:p>
    <w:p w14:paraId="0EFFD7B3" w14:textId="77777777" w:rsidR="00040383" w:rsidRDefault="00040383" w:rsidP="000624FD">
      <w:pPr>
        <w:pStyle w:val="NoSpacing"/>
        <w:rPr>
          <w:rFonts w:ascii="Arial Black" w:hAnsi="Arial Black"/>
          <w:b/>
          <w:sz w:val="28"/>
          <w:szCs w:val="28"/>
        </w:rPr>
      </w:pPr>
    </w:p>
    <w:p w14:paraId="4D41564F" w14:textId="3EF1D647" w:rsidR="00DE3247" w:rsidRDefault="005646A1" w:rsidP="000624FD">
      <w:pPr>
        <w:pStyle w:val="NoSpacing"/>
        <w:rPr>
          <w:rFonts w:ascii="Arial Black" w:hAnsi="Arial Black"/>
          <w:b/>
          <w:sz w:val="28"/>
          <w:szCs w:val="28"/>
        </w:rPr>
      </w:pPr>
      <w:r>
        <w:rPr>
          <w:rFonts w:ascii="Arial Black" w:hAnsi="Arial Black"/>
          <w:b/>
          <w:sz w:val="28"/>
          <w:szCs w:val="28"/>
        </w:rPr>
        <w:t>6-17</w:t>
      </w:r>
      <w:r w:rsidR="002A0697">
        <w:rPr>
          <w:rFonts w:ascii="Arial Black" w:hAnsi="Arial Black"/>
          <w:b/>
          <w:sz w:val="28"/>
          <w:szCs w:val="28"/>
        </w:rPr>
        <w:t>2</w:t>
      </w:r>
    </w:p>
    <w:p w14:paraId="186CA53D" w14:textId="77777777" w:rsidR="005646A1" w:rsidRDefault="005646A1" w:rsidP="000624FD">
      <w:pPr>
        <w:pStyle w:val="NoSpacing"/>
        <w:rPr>
          <w:rFonts w:ascii="Arial Black" w:hAnsi="Arial Black"/>
          <w:b/>
          <w:sz w:val="28"/>
          <w:szCs w:val="28"/>
        </w:rPr>
      </w:pPr>
    </w:p>
    <w:p w14:paraId="07CE58F2" w14:textId="3F774473" w:rsidR="00FC5BB1" w:rsidRPr="00244855" w:rsidRDefault="00FC5BB1" w:rsidP="00FC5BB1">
      <w:pPr>
        <w:pStyle w:val="NoSpacing"/>
        <w:rPr>
          <w:rFonts w:ascii="Arial Black" w:hAnsi="Arial Black"/>
          <w:sz w:val="28"/>
          <w:szCs w:val="28"/>
        </w:rPr>
      </w:pPr>
      <w:r>
        <w:rPr>
          <w:rFonts w:ascii="Arial Black" w:hAnsi="Arial Black"/>
          <w:sz w:val="28"/>
          <w:szCs w:val="28"/>
        </w:rPr>
        <w:t xml:space="preserve">AZ: BRAIN CANCER – WORK COMP </w:t>
      </w:r>
      <w:r w:rsidR="005C48CA">
        <w:rPr>
          <w:rFonts w:ascii="Arial Black" w:hAnsi="Arial Black"/>
          <w:sz w:val="28"/>
          <w:szCs w:val="28"/>
        </w:rPr>
        <w:t>COVERAGE</w:t>
      </w:r>
    </w:p>
    <w:p w14:paraId="1236FD41" w14:textId="77777777" w:rsidR="00FC5BB1" w:rsidRDefault="00FC5BB1" w:rsidP="00FC5BB1">
      <w:pPr>
        <w:pStyle w:val="NoSpacing"/>
      </w:pPr>
    </w:p>
    <w:p w14:paraId="629E6913" w14:textId="77777777" w:rsidR="00FC5BB1" w:rsidRPr="009327ED" w:rsidRDefault="00FC5BB1" w:rsidP="00FC5BB1">
      <w:pPr>
        <w:pStyle w:val="NoSpacing"/>
      </w:pPr>
      <w:r>
        <w:t xml:space="preserve">On Oct. 31, 2025, in </w:t>
      </w:r>
      <w:r w:rsidRPr="008559F1">
        <w:rPr>
          <w:u w:val="single"/>
        </w:rPr>
        <w:t>Robert Vande Krol v. The Industrial Commission of Arizona, et al</w:t>
      </w:r>
      <w:r>
        <w:t xml:space="preserve">., the </w:t>
      </w:r>
      <w:r w:rsidRPr="009327ED">
        <w:t>Court of Appeals of Arizona, First Division</w:t>
      </w:r>
      <w:r>
        <w:t xml:space="preserve"> held (3 to 1, unpublished opinion) that the medically retired firefighter from Superstition Fire Department was entitled to workers comp. by showing that </w:t>
      </w:r>
      <w:r w:rsidRPr="00C23189">
        <w:t>carcinogen</w:t>
      </w:r>
      <w:r>
        <w:t>s to which he was exposed could lead to brain cancer in general – no need to prove cause his specific type of cancer (</w:t>
      </w:r>
      <w:r w:rsidRPr="00EC6245">
        <w:t>oligodendroglioma,</w:t>
      </w:r>
      <w:r>
        <w:t xml:space="preserve">). In August 2000 as part of annual physical, a tumor </w:t>
      </w:r>
      <w:proofErr w:type="gramStart"/>
      <w:r>
        <w:t>was located in</w:t>
      </w:r>
      <w:proofErr w:type="gramEnd"/>
      <w:r>
        <w:t xml:space="preserve"> brain of this 18-year firefighter. </w:t>
      </w:r>
      <w:r w:rsidRPr="00EC6245">
        <w:t xml:space="preserve">In October 2020, Vande Krol underwent brain surgery (a right craniotomy), which successfully removed the tumor. Thereafter, </w:t>
      </w:r>
      <w:r>
        <w:t xml:space="preserve">he </w:t>
      </w:r>
      <w:r w:rsidRPr="00EC6245">
        <w:t>was diagnosed with oligodendroglioma, a rare form of brain cancer. After surgery, Vande Krol lost peripheral vision in his left eye, and he now suffers cognitive impairment, vertigo, headaches, and muscle weakness</w:t>
      </w:r>
      <w:r>
        <w:t xml:space="preserve">, and was required to take medical </w:t>
      </w:r>
      <w:r w:rsidRPr="00EC6245">
        <w:t xml:space="preserve"> retirement. </w:t>
      </w:r>
      <w:r>
        <w:t xml:space="preserve"> </w:t>
      </w:r>
      <w:hyperlink r:id="rId1058" w:history="1">
        <w:r w:rsidRPr="00822BB2">
          <w:rPr>
            <w:rStyle w:val="Hyperlink"/>
          </w:rPr>
          <w:t>https://public.fastcase.com/jaEE2PXzRXmZ99jOLMt1IiCZZZpteOfluZOkYG3wMviTSniVMo5h4kc4WRTpe6V8Jg8IM7MTKJ5SfgRKhZGl2tVI6P4U%2BnkSaEwO2dzM8Rk%3D?utm_medium=email&amp;_hsenc=p2ANqtz--UPexxOwqhUZNftyKJhb3R-qXmsyD2qvqkoufxMeh6uEfEbZVRIKhd7hzivD-PUaEhi0YeikRdDbC9teuqS6ORoDRaLQ&amp;_hsmi=226712652&amp;utm_content=226712652&amp;utm_source=hs_email</w:t>
        </w:r>
      </w:hyperlink>
      <w:r>
        <w:t xml:space="preserve"> </w:t>
      </w:r>
    </w:p>
    <w:p w14:paraId="7231DC29" w14:textId="77777777" w:rsidR="00FC5BB1" w:rsidRDefault="00FC5BB1" w:rsidP="00FC5BB1">
      <w:pPr>
        <w:pStyle w:val="NoSpacing"/>
      </w:pPr>
    </w:p>
    <w:p w14:paraId="7DD7FE10" w14:textId="77777777" w:rsidR="00FC5BB1" w:rsidRDefault="00FC5BB1" w:rsidP="00FC5BB1">
      <w:pPr>
        <w:pStyle w:val="NoSpacing"/>
      </w:pPr>
      <w:r>
        <w:t>THE COURT HELD:</w:t>
      </w:r>
    </w:p>
    <w:p w14:paraId="623A9EAD" w14:textId="77777777" w:rsidR="00FC5BB1" w:rsidRDefault="00FC5BB1" w:rsidP="00FC5BB1">
      <w:pPr>
        <w:pStyle w:val="NoSpacing"/>
        <w:ind w:left="720"/>
      </w:pPr>
    </w:p>
    <w:p w14:paraId="7DE63E37" w14:textId="77777777" w:rsidR="00FC5BB1" w:rsidRDefault="00FC5BB1" w:rsidP="00FC5BB1">
      <w:pPr>
        <w:pStyle w:val="NoSpacing"/>
        <w:ind w:left="720"/>
      </w:pPr>
      <w:r>
        <w:t>“V</w:t>
      </w:r>
      <w:r w:rsidRPr="00A43411">
        <w:t>ande Krol filed a workers' compensation claim with Superstition's insurer, Benchmark Insurance Company ("Benchmark"), stating that his brain cancer was a covered occupational disease. Benchmark denied the claim, so Vande Krol requested a hearing before an ALJ</w:t>
      </w:r>
      <w:r>
        <w:t>.</w:t>
      </w:r>
    </w:p>
    <w:p w14:paraId="04EDCF5A" w14:textId="77777777" w:rsidR="00FC5BB1" w:rsidRDefault="00FC5BB1" w:rsidP="00FC5BB1">
      <w:pPr>
        <w:pStyle w:val="NoSpacing"/>
        <w:ind w:left="720"/>
      </w:pPr>
    </w:p>
    <w:p w14:paraId="32385D7A" w14:textId="77777777" w:rsidR="00FC5BB1" w:rsidRDefault="00FC5BB1" w:rsidP="00FC5BB1">
      <w:pPr>
        <w:pStyle w:val="NoSpacing"/>
        <w:ind w:left="720"/>
      </w:pPr>
      <w:r>
        <w:lastRenderedPageBreak/>
        <w:t>***</w:t>
      </w:r>
    </w:p>
    <w:p w14:paraId="3766EA7C" w14:textId="77777777" w:rsidR="00FC5BB1" w:rsidRDefault="00FC5BB1" w:rsidP="00FC5BB1">
      <w:pPr>
        <w:pStyle w:val="NoSpacing"/>
      </w:pPr>
    </w:p>
    <w:p w14:paraId="023E76BC" w14:textId="77777777" w:rsidR="00FC5BB1" w:rsidRDefault="00FC5BB1" w:rsidP="00FC5BB1">
      <w:pPr>
        <w:pStyle w:val="NoSpacing"/>
        <w:ind w:left="720"/>
      </w:pPr>
      <w:r w:rsidRPr="00BA15B4">
        <w:t xml:space="preserve">At the hearing, the ALJ </w:t>
      </w:r>
      <w:r>
        <w:t xml:space="preserve">[Administrative Law Judge] </w:t>
      </w:r>
      <w:r w:rsidRPr="00BA15B4">
        <w:t xml:space="preserve">heard testimony from Vande Krol and two medical experts. Dr. Smith, a former firefighter and current physician, testified for Vande Krol. He opined that the </w:t>
      </w:r>
      <w:r>
        <w:t>‘</w:t>
      </w:r>
      <w:r w:rsidRPr="00BA15B4">
        <w:t>probable cause</w:t>
      </w:r>
      <w:r>
        <w:t>’</w:t>
      </w:r>
      <w:r w:rsidRPr="00BA15B4">
        <w:t xml:space="preserve"> of Vande Krol's brain cancer was a combination of exposure to (1) the byproducts of combustion from fires, (2) firefighting foam, (3) diesel fumes, and (4) radiation emitted from the cell tower near his fire station.</w:t>
      </w:r>
    </w:p>
    <w:p w14:paraId="315DBC0D" w14:textId="77777777" w:rsidR="00FC5BB1" w:rsidRDefault="00FC5BB1" w:rsidP="00FC5BB1">
      <w:pPr>
        <w:pStyle w:val="NoSpacing"/>
      </w:pPr>
    </w:p>
    <w:p w14:paraId="74040993" w14:textId="77777777" w:rsidR="00FC5BB1" w:rsidRDefault="00FC5BB1" w:rsidP="00FC5BB1">
      <w:pPr>
        <w:pStyle w:val="NoSpacing"/>
        <w:ind w:left="720"/>
      </w:pPr>
      <w:r w:rsidRPr="00727F96">
        <w:t xml:space="preserve">Dr. Peter Ferrara, a surgical oncologist, testified </w:t>
      </w:r>
      <w:proofErr w:type="gramStart"/>
      <w:r w:rsidRPr="00727F96">
        <w:t>for</w:t>
      </w:r>
      <w:proofErr w:type="gramEnd"/>
      <w:r w:rsidRPr="00727F96">
        <w:t xml:space="preserve"> Superstition and Benchmark (together, "Respondents"). Dr. Ferrara testified that the only </w:t>
      </w:r>
      <w:r>
        <w:t>‘</w:t>
      </w:r>
      <w:r w:rsidRPr="00727F96">
        <w:t xml:space="preserve">definite </w:t>
      </w:r>
      <w:proofErr w:type="spellStart"/>
      <w:r w:rsidRPr="00727F96">
        <w:t>caus</w:t>
      </w:r>
      <w:proofErr w:type="spellEnd"/>
      <w:r w:rsidRPr="00727F96">
        <w:t xml:space="preserve">[e] of brain </w:t>
      </w:r>
      <w:proofErr w:type="gramStart"/>
      <w:r w:rsidRPr="00727F96">
        <w:t>cancers</w:t>
      </w:r>
      <w:proofErr w:type="gramEnd"/>
      <w:r w:rsidRPr="00727F96">
        <w:t xml:space="preserve"> is ionizing radiation,</w:t>
      </w:r>
      <w:r>
        <w:t>’</w:t>
      </w:r>
      <w:r w:rsidRPr="00727F96">
        <w:t xml:space="preserve"> and there was no evidence of such exposure. Dr. Ferrara said he could not opine to a </w:t>
      </w:r>
      <w:r>
        <w:t>‘</w:t>
      </w:r>
      <w:r w:rsidRPr="00727F96">
        <w:t>reasonable degree of medical probability</w:t>
      </w:r>
      <w:r>
        <w:t>’</w:t>
      </w:r>
      <w:r w:rsidRPr="00727F96">
        <w:t xml:space="preserve"> that Vande Krol's exposure to any carcinogens commonly associated with firefighting were related to his </w:t>
      </w:r>
      <w:r>
        <w:t>‘</w:t>
      </w:r>
      <w:r w:rsidRPr="00727F96">
        <w:t>type of brain cancer.</w:t>
      </w:r>
      <w:r>
        <w:t>’</w:t>
      </w:r>
    </w:p>
    <w:p w14:paraId="59F04EDA" w14:textId="77777777" w:rsidR="00FC5BB1" w:rsidRDefault="00FC5BB1" w:rsidP="00FC5BB1">
      <w:pPr>
        <w:pStyle w:val="NoSpacing"/>
        <w:ind w:left="720"/>
      </w:pPr>
    </w:p>
    <w:p w14:paraId="730DE42C" w14:textId="77777777" w:rsidR="00FC5BB1" w:rsidRPr="00E571B4" w:rsidRDefault="00FC5BB1" w:rsidP="00FC5BB1">
      <w:pPr>
        <w:pStyle w:val="NoSpacing"/>
        <w:ind w:left="720"/>
      </w:pPr>
      <w:r>
        <w:t>***</w:t>
      </w:r>
    </w:p>
    <w:p w14:paraId="76F76A29" w14:textId="77777777" w:rsidR="00FC5BB1" w:rsidRDefault="00FC5BB1" w:rsidP="00FC5BB1">
      <w:pPr>
        <w:pStyle w:val="NoSpacing"/>
      </w:pPr>
    </w:p>
    <w:p w14:paraId="0CB0A29B" w14:textId="77777777" w:rsidR="00FC5BB1" w:rsidRDefault="00FC5BB1" w:rsidP="00FC5BB1">
      <w:pPr>
        <w:pStyle w:val="NoSpacing"/>
        <w:ind w:left="720"/>
      </w:pPr>
      <w:r w:rsidRPr="00B875CD">
        <w:t>The ALJ determined Vande Krol satisfied the requirements of A.R.S. § 23-901.01(C), save for one. Based on the ALJ's interpretation of A.R.S. § 23-901.01(C)(3), she concluded Vande Krol failed to prove that his exposure to a specific carcinogen caused his specific type of brain cancer (oligodendroglioma). And, because Vande Krol had not made that showing, the ALJ concluded Vande Krol had not suffered a compensable injury entitling him to compensation.</w:t>
      </w:r>
    </w:p>
    <w:p w14:paraId="6F5AC396" w14:textId="77777777" w:rsidR="00FC5BB1" w:rsidRDefault="00FC5BB1" w:rsidP="00FC5BB1">
      <w:pPr>
        <w:pStyle w:val="NoSpacing"/>
        <w:ind w:left="720"/>
      </w:pPr>
    </w:p>
    <w:p w14:paraId="080E42F0" w14:textId="77777777" w:rsidR="00FC5BB1" w:rsidRDefault="00FC5BB1" w:rsidP="00FC5BB1">
      <w:pPr>
        <w:pStyle w:val="NoSpacing"/>
        <w:ind w:left="720"/>
      </w:pPr>
      <w:r>
        <w:t>***</w:t>
      </w:r>
    </w:p>
    <w:p w14:paraId="262AA4F7" w14:textId="77777777" w:rsidR="00FC5BB1" w:rsidRDefault="00FC5BB1" w:rsidP="00FC5BB1">
      <w:pPr>
        <w:pStyle w:val="NoSpacing"/>
        <w:ind w:left="720"/>
      </w:pPr>
      <w:r w:rsidRPr="00006D2F">
        <w:t xml:space="preserve">Beginning in 2001, Arizona joined a growing number of states to enact a statutory presumption easing causation for firefighters with certain cancers. </w:t>
      </w:r>
      <w:r w:rsidRPr="00006D2F">
        <w:rPr>
          <w:i/>
          <w:iCs/>
        </w:rPr>
        <w:t>See</w:t>
      </w:r>
      <w:r w:rsidRPr="00006D2F">
        <w:t xml:space="preserve"> A.R.S. §§ 23-901.01(B)-(E) (2001); 2001 Ariz. Sess. Laws ch. 192, § 1 (1st Reg. Sess.)</w:t>
      </w:r>
      <w:r>
        <w:t xml:space="preserve">… </w:t>
      </w:r>
      <w:r w:rsidRPr="008D1591">
        <w:t xml:space="preserve">Applying our interpretation, Vande Krol's claim is subject to the presumption in (B)(1) because (everyone agrees) he had brain cancer. Under (C)(3), Vande Krol had to prove that a carcinogen or </w:t>
      </w:r>
      <w:proofErr w:type="gramStart"/>
      <w:r w:rsidRPr="008D1591">
        <w:t>carcinogens</w:t>
      </w:r>
      <w:proofErr w:type="gramEnd"/>
      <w:r w:rsidRPr="008D1591">
        <w:t xml:space="preserve"> to which he was exposed is reasonably related to the type of cancer making him eligible under (B)(1)-namely, brain cancer. He was not required to show that the carcinogens are reasonably related to some specific type, or subset, of brain cancer, like oligodendroglioma.</w:t>
      </w:r>
    </w:p>
    <w:p w14:paraId="4D075EE9" w14:textId="77777777" w:rsidR="00FC5BB1" w:rsidRDefault="00FC5BB1" w:rsidP="00FC5BB1">
      <w:pPr>
        <w:pStyle w:val="NoSpacing"/>
        <w:ind w:left="720"/>
      </w:pPr>
    </w:p>
    <w:p w14:paraId="2ED0FFEA" w14:textId="77777777" w:rsidR="00FC5BB1" w:rsidRDefault="00FC5BB1" w:rsidP="00FC5BB1">
      <w:pPr>
        <w:pStyle w:val="NoSpacing"/>
        <w:ind w:left="720"/>
      </w:pPr>
      <w:r>
        <w:t>***</w:t>
      </w:r>
    </w:p>
    <w:p w14:paraId="22F683BC" w14:textId="77777777" w:rsidR="00FC5BB1" w:rsidRDefault="00FC5BB1" w:rsidP="00FC5BB1">
      <w:pPr>
        <w:pStyle w:val="NoSpacing"/>
        <w:ind w:left="720"/>
      </w:pPr>
      <w:r w:rsidRPr="00AA1DB1">
        <w:t xml:space="preserve">We conclude that, under (C)(3), a firefighter need not show that his exposure to a carcinogen is reasonably related to his specific type of brain cancer. Instead, he must show that a carcinogen to which he was exposed is reasonably related to brain cancer </w:t>
      </w:r>
      <w:proofErr w:type="gramStart"/>
      <w:r w:rsidRPr="00AA1DB1">
        <w:t>generally.</w:t>
      </w:r>
      <w:r>
        <w:t>”</w:t>
      </w:r>
      <w:proofErr w:type="gramEnd"/>
    </w:p>
    <w:p w14:paraId="662880F6" w14:textId="77777777" w:rsidR="00FC5BB1" w:rsidRDefault="00FC5BB1" w:rsidP="00FC5BB1">
      <w:pPr>
        <w:pStyle w:val="NoSpacing"/>
        <w:ind w:left="720"/>
      </w:pPr>
    </w:p>
    <w:p w14:paraId="3AE84A04" w14:textId="1C657DB8" w:rsidR="00FC5BB1" w:rsidRDefault="00FC5BB1" w:rsidP="00FC5BB1">
      <w:pPr>
        <w:pStyle w:val="NoSpacing"/>
        <w:rPr>
          <w:b/>
          <w:bCs/>
        </w:rPr>
      </w:pPr>
      <w:r>
        <w:rPr>
          <w:b/>
        </w:rPr>
        <w:t xml:space="preserve">Lesson learned: Great decision, after a lengthy legal battle – Jan. 2021 claim; appeal to Court of Appeals, then to Arizona Supreme Court, and remand to Court of Appeals.  </w:t>
      </w:r>
    </w:p>
    <w:p w14:paraId="7C6C3D76" w14:textId="77777777" w:rsidR="00FC5BB1" w:rsidRDefault="00FC5BB1" w:rsidP="00FC5BB1">
      <w:pPr>
        <w:pStyle w:val="NoSpacing"/>
        <w:rPr>
          <w:b/>
          <w:bCs/>
        </w:rPr>
      </w:pPr>
    </w:p>
    <w:p w14:paraId="5F7ED90B" w14:textId="77777777" w:rsidR="00FC5BB1" w:rsidRPr="000F1AB9" w:rsidRDefault="00FC5BB1" w:rsidP="00FC5BB1">
      <w:pPr>
        <w:pStyle w:val="NoSpacing"/>
        <w:ind w:left="720"/>
      </w:pPr>
      <w:r w:rsidRPr="000F1AB9">
        <w:t xml:space="preserve">Note: On March 26, </w:t>
      </w:r>
      <w:proofErr w:type="gramStart"/>
      <w:r w:rsidRPr="000F1AB9">
        <w:t>2025</w:t>
      </w:r>
      <w:proofErr w:type="gramEnd"/>
      <w:r w:rsidRPr="000F1AB9">
        <w:t xml:space="preserve"> the Arizona Supreme Court (6 to 1): We hold that the 2017 statute applies to Vande Krol’s workers’ compensation claim. We vacate the court of appeals’ opinion. Because the court of appeals concluded that the 2021 statute applied, it did “not address whether the ALJ correctly interpreted the 2017 statute.”</w:t>
      </w:r>
      <w:r w:rsidRPr="003205D0">
        <w:t xml:space="preserve"> </w:t>
      </w:r>
      <w:hyperlink r:id="rId1059" w:history="1">
        <w:r w:rsidRPr="00822BB2">
          <w:rPr>
            <w:rStyle w:val="Hyperlink"/>
          </w:rPr>
          <w:t>https://cases.justia.com/arizona/supreme-court/2025-cv-23-0211-pr.pdf?ts=1743008459</w:t>
        </w:r>
      </w:hyperlink>
      <w:r>
        <w:t xml:space="preserve"> </w:t>
      </w:r>
    </w:p>
    <w:p w14:paraId="20595A88" w14:textId="77777777" w:rsidR="00FC5BB1" w:rsidRDefault="00FC5BB1" w:rsidP="00FC5BB1">
      <w:pPr>
        <w:pStyle w:val="NoSpacing"/>
        <w:ind w:left="720"/>
      </w:pPr>
    </w:p>
    <w:p w14:paraId="1EF2DD96" w14:textId="77777777" w:rsidR="00FC5BB1" w:rsidRDefault="00FC5BB1" w:rsidP="00FC5BB1">
      <w:pPr>
        <w:pStyle w:val="NoSpacing"/>
        <w:ind w:left="720"/>
        <w:rPr>
          <w:b/>
          <w:bCs/>
        </w:rPr>
      </w:pPr>
      <w:r w:rsidRPr="00F87F8E">
        <w:t>Then,</w:t>
      </w:r>
      <w:r>
        <w:t xml:space="preserve"> </w:t>
      </w:r>
      <w:r w:rsidRPr="00F87F8E">
        <w:t xml:space="preserve">in 2021, the legislature relaxed the burden on firefighters to establish </w:t>
      </w:r>
      <w:proofErr w:type="gramStart"/>
      <w:r w:rsidRPr="00F87F8E">
        <w:t>the</w:t>
      </w:r>
      <w:r>
        <w:t xml:space="preserve"> </w:t>
      </w:r>
      <w:r w:rsidRPr="00F87F8E">
        <w:t>statutory</w:t>
      </w:r>
      <w:proofErr w:type="gramEnd"/>
      <w:r w:rsidRPr="00F87F8E">
        <w:t xml:space="preserve"> presumption </w:t>
      </w:r>
      <w:proofErr w:type="gramStart"/>
      <w:r w:rsidRPr="00F87F8E">
        <w:t>and also</w:t>
      </w:r>
      <w:proofErr w:type="gramEnd"/>
      <w:r w:rsidRPr="00F87F8E">
        <w:t xml:space="preserve"> heightened the evidentiary standard </w:t>
      </w:r>
      <w:r>
        <w:t xml:space="preserve">for an employer seeking </w:t>
      </w:r>
      <w:r w:rsidRPr="00F87F8E">
        <w:t>to</w:t>
      </w:r>
      <w:r>
        <w:t xml:space="preserve"> </w:t>
      </w:r>
      <w:r w:rsidRPr="00F87F8E">
        <w:t>rebut the presumption. A.R.S. § 23-901.09 (2021) (effective Sept. 29, 2021)</w:t>
      </w:r>
      <w:r>
        <w:t xml:space="preserve"> </w:t>
      </w:r>
      <w:r w:rsidRPr="00F87F8E">
        <w:t>(“2021 statute”); 2021 Ariz. Sess. Laws ch. 229, §§ 5–6 (1st Reg. Sess.).</w:t>
      </w:r>
    </w:p>
    <w:p w14:paraId="662B9696" w14:textId="77777777" w:rsidR="00FC5BB1" w:rsidRDefault="00FC5BB1" w:rsidP="00FC5BB1">
      <w:pPr>
        <w:pStyle w:val="NoSpacing"/>
        <w:rPr>
          <w:b/>
          <w:bCs/>
        </w:rPr>
      </w:pPr>
    </w:p>
    <w:p w14:paraId="313CE331" w14:textId="77777777" w:rsidR="00FC5BB1" w:rsidRDefault="00FC5BB1" w:rsidP="00FC5BB1">
      <w:pPr>
        <w:pStyle w:val="NoSpacing"/>
        <w:ind w:left="720"/>
      </w:pPr>
      <w:r>
        <w:t xml:space="preserve">See March 26, </w:t>
      </w:r>
      <w:proofErr w:type="gramStart"/>
      <w:r>
        <w:t>2025</w:t>
      </w:r>
      <w:proofErr w:type="gramEnd"/>
      <w:r>
        <w:t xml:space="preserve"> article: </w:t>
      </w:r>
      <w:r w:rsidRPr="003812BA">
        <w:t xml:space="preserve">“Arizona Supreme Court rules in favor of firefighter in compensation claim.” </w:t>
      </w:r>
      <w:hyperlink r:id="rId1060" w:history="1">
        <w:r w:rsidRPr="00822BB2">
          <w:rPr>
            <w:rStyle w:val="Hyperlink"/>
          </w:rPr>
          <w:t>https://www.kvoa.com/news/arizona/arizona-supreme-court-rules-in-favor-of-firefighter-in-compensation-claim/article_63a696b0-5894-4bcc-94e3-966091411b00.html</w:t>
        </w:r>
      </w:hyperlink>
      <w:r>
        <w:t xml:space="preserve"> </w:t>
      </w:r>
    </w:p>
    <w:p w14:paraId="07E49B75" w14:textId="77777777" w:rsidR="00FC5BB1" w:rsidRDefault="00FC5BB1" w:rsidP="00FC5BB1">
      <w:pPr>
        <w:pStyle w:val="NoSpacing"/>
        <w:ind w:left="720"/>
      </w:pPr>
    </w:p>
    <w:p w14:paraId="682C8402" w14:textId="77777777" w:rsidR="00FC5BB1" w:rsidRDefault="00FC5BB1" w:rsidP="00FC5BB1">
      <w:pPr>
        <w:pStyle w:val="NoSpacing"/>
        <w:ind w:left="720"/>
      </w:pPr>
    </w:p>
    <w:p w14:paraId="30F7060A" w14:textId="6669CB98" w:rsidR="005646A1" w:rsidRDefault="00FC5BB1" w:rsidP="000624FD">
      <w:pPr>
        <w:pStyle w:val="NoSpacing"/>
        <w:rPr>
          <w:rFonts w:ascii="Arial Black" w:hAnsi="Arial Black"/>
          <w:b/>
          <w:sz w:val="28"/>
          <w:szCs w:val="28"/>
        </w:rPr>
      </w:pPr>
      <w:r>
        <w:rPr>
          <w:rFonts w:ascii="Arial Black" w:hAnsi="Arial Black"/>
          <w:b/>
          <w:sz w:val="28"/>
          <w:szCs w:val="28"/>
        </w:rPr>
        <w:t>6-17</w:t>
      </w:r>
      <w:r w:rsidR="002A0697">
        <w:rPr>
          <w:rFonts w:ascii="Arial Black" w:hAnsi="Arial Black"/>
          <w:b/>
          <w:sz w:val="28"/>
          <w:szCs w:val="28"/>
        </w:rPr>
        <w:t>1</w:t>
      </w:r>
    </w:p>
    <w:p w14:paraId="41D259CD" w14:textId="77777777" w:rsidR="00FC5BB1" w:rsidRDefault="00FC5BB1" w:rsidP="000624FD">
      <w:pPr>
        <w:pStyle w:val="NoSpacing"/>
        <w:rPr>
          <w:rFonts w:ascii="Arial Black" w:hAnsi="Arial Black"/>
          <w:b/>
          <w:sz w:val="28"/>
          <w:szCs w:val="28"/>
        </w:rPr>
      </w:pPr>
    </w:p>
    <w:p w14:paraId="20753664" w14:textId="77777777" w:rsidR="001F0C4C" w:rsidRPr="008C4E26" w:rsidRDefault="001F0C4C" w:rsidP="001F0C4C">
      <w:pPr>
        <w:spacing w:after="0"/>
        <w:rPr>
          <w:rFonts w:ascii="Arial Black" w:hAnsi="Arial Black"/>
          <w:b/>
          <w:sz w:val="28"/>
          <w:szCs w:val="28"/>
        </w:rPr>
      </w:pPr>
      <w:r>
        <w:rPr>
          <w:rFonts w:ascii="Arial Black" w:hAnsi="Arial Black"/>
          <w:b/>
          <w:sz w:val="28"/>
          <w:szCs w:val="28"/>
        </w:rPr>
        <w:t xml:space="preserve">WV: WRIST INJURY – THERAPIST WROTE “PRIOR ISSUES” </w:t>
      </w:r>
    </w:p>
    <w:p w14:paraId="4BB44EDA" w14:textId="77777777" w:rsidR="001F0C4C" w:rsidRDefault="001F0C4C" w:rsidP="001F0C4C">
      <w:pPr>
        <w:pStyle w:val="NoSpacing"/>
      </w:pPr>
    </w:p>
    <w:p w14:paraId="5F41E7B2" w14:textId="77777777" w:rsidR="001F0C4C" w:rsidRDefault="001F0C4C" w:rsidP="001F0C4C">
      <w:pPr>
        <w:spacing w:after="0"/>
        <w:rPr>
          <w:bCs/>
        </w:rPr>
      </w:pPr>
      <w:r>
        <w:t xml:space="preserve">On Oct. 24, 2025, in </w:t>
      </w:r>
      <w:r w:rsidRPr="00E72AD3">
        <w:rPr>
          <w:u w:val="single"/>
        </w:rPr>
        <w:t>City of Wheeling v. David Gilbert</w:t>
      </w:r>
      <w:r>
        <w:t xml:space="preserve">, the </w:t>
      </w:r>
      <w:r w:rsidRPr="00E72AD3">
        <w:t>West Virginia Intermediate Court of Appeals</w:t>
      </w:r>
      <w:r>
        <w:t xml:space="preserve"> held (3 to 0) that the </w:t>
      </w:r>
      <w:r w:rsidRPr="00554591">
        <w:t>Workers’ Compensation Board of Review</w:t>
      </w:r>
      <w:r>
        <w:t xml:space="preserve"> properly overruled the Claim Administrator, and will cover surgery for right wrist (Dec. 1, 2023 injury; X-Ray no broken bone and normal MRI; but June 3, 2024 </w:t>
      </w:r>
      <w:r w:rsidRPr="00572C02">
        <w:t>arthroscopy</w:t>
      </w:r>
      <w:r>
        <w:t xml:space="preserve"> revealed complete tear of ligament). </w:t>
      </w:r>
    </w:p>
    <w:p w14:paraId="7E628415" w14:textId="77777777" w:rsidR="001F0C4C" w:rsidRDefault="001F0C4C" w:rsidP="001F0C4C">
      <w:pPr>
        <w:spacing w:after="0"/>
        <w:rPr>
          <w:b/>
        </w:rPr>
      </w:pPr>
      <w:r>
        <w:t xml:space="preserve">The Independent Medical Examiner physician focused on notes by physical therapist that firefighter had prior issues with that right wrist.  The Board, however, relied on firefighter’s deposition testimony that he told the therapist he had prior issues with his </w:t>
      </w:r>
      <w:r w:rsidRPr="007113A0">
        <w:t>left wrist</w:t>
      </w:r>
      <w:r>
        <w:t xml:space="preserve">, and the therapist mistakenly recorded prior issues with right wrist. </w:t>
      </w:r>
      <w:hyperlink r:id="rId1061" w:history="1">
        <w:r w:rsidRPr="00E1728C">
          <w:rPr>
            <w:rStyle w:val="Hyperlink"/>
            <w:b/>
          </w:rPr>
          <w:t>https://cases.justia.com/west-virginia/intermediate-court-of-appeals/2025-25-ica-138.pdf?ts=1761335525</w:t>
        </w:r>
      </w:hyperlink>
      <w:r>
        <w:rPr>
          <w:b/>
        </w:rPr>
        <w:t xml:space="preserve"> </w:t>
      </w:r>
    </w:p>
    <w:p w14:paraId="24721377" w14:textId="77777777" w:rsidR="001F0C4C" w:rsidRDefault="001F0C4C" w:rsidP="001F0C4C">
      <w:pPr>
        <w:spacing w:after="0"/>
        <w:rPr>
          <w:bCs/>
        </w:rPr>
      </w:pPr>
    </w:p>
    <w:p w14:paraId="47617D31" w14:textId="77777777" w:rsidR="001F0C4C" w:rsidRDefault="001F0C4C" w:rsidP="001F0C4C">
      <w:pPr>
        <w:spacing w:after="0"/>
      </w:pPr>
      <w:r>
        <w:t xml:space="preserve">THE COURT HELD: </w:t>
      </w:r>
    </w:p>
    <w:p w14:paraId="020CAD27" w14:textId="77777777" w:rsidR="001F0C4C" w:rsidRDefault="001F0C4C" w:rsidP="001F0C4C">
      <w:pPr>
        <w:spacing w:after="0"/>
      </w:pPr>
    </w:p>
    <w:p w14:paraId="3B5B574F" w14:textId="77777777" w:rsidR="001F0C4C" w:rsidRDefault="001F0C4C" w:rsidP="001F0C4C">
      <w:pPr>
        <w:spacing w:after="0"/>
        <w:ind w:left="720"/>
      </w:pPr>
      <w:r>
        <w:t>“Mr. Gilbert was deposed on November 11, 2024, and testified that he injured his right wrist on December 1, 2023, when he tripped while getting into a vehicle and attempted to catch himself. Mr. Gilbert stated that he hooked his thumb on the headrest of the stretcher, which injured his wrist…. He stated that he might have mentioned that he</w:t>
      </w:r>
    </w:p>
    <w:p w14:paraId="3A3136A3" w14:textId="77777777" w:rsidR="001F0C4C" w:rsidRDefault="001F0C4C" w:rsidP="001F0C4C">
      <w:pPr>
        <w:spacing w:after="0"/>
        <w:ind w:firstLine="720"/>
      </w:pPr>
      <w:r>
        <w:t>had some prior issues with his left wrist, such as when he was rock climbing that required</w:t>
      </w:r>
    </w:p>
    <w:p w14:paraId="0D09D9E5" w14:textId="77777777" w:rsidR="001F0C4C" w:rsidRDefault="001F0C4C" w:rsidP="001F0C4C">
      <w:pPr>
        <w:spacing w:after="0"/>
        <w:ind w:left="720"/>
      </w:pPr>
      <w:r>
        <w:t xml:space="preserve">him to adjust his left wrist to use it functionally. Regarding the physical therapy note dated December 13, 2023, which reported that he had some joint instability in his right wrist prior to the compensable injury, Mr. Gilbert testified that he believed that note was based upon a miscommunication. Mr. Gilbert further testified that he was describing an issue with his left wrist and trying to say that he never had any issues with his right wrist. </w:t>
      </w:r>
    </w:p>
    <w:p w14:paraId="4DF8CF07" w14:textId="77777777" w:rsidR="001F0C4C" w:rsidRDefault="001F0C4C" w:rsidP="001F0C4C">
      <w:pPr>
        <w:spacing w:after="0"/>
        <w:ind w:left="720"/>
      </w:pPr>
    </w:p>
    <w:p w14:paraId="5D2B1928" w14:textId="77777777" w:rsidR="001F0C4C" w:rsidRDefault="001F0C4C" w:rsidP="001F0C4C">
      <w:pPr>
        <w:spacing w:after="0"/>
        <w:ind w:left="720"/>
      </w:pPr>
      <w:r>
        <w:t>***</w:t>
      </w:r>
    </w:p>
    <w:p w14:paraId="5970F6A9" w14:textId="77777777" w:rsidR="001F0C4C" w:rsidRDefault="001F0C4C" w:rsidP="001F0C4C">
      <w:pPr>
        <w:spacing w:after="0"/>
        <w:ind w:left="720"/>
      </w:pPr>
      <w:r>
        <w:t>Here, the Board found that Mr. Gilbert established with medical evidence that</w:t>
      </w:r>
    </w:p>
    <w:p w14:paraId="5DB39725" w14:textId="77777777" w:rsidR="001F0C4C" w:rsidRDefault="001F0C4C" w:rsidP="001F0C4C">
      <w:pPr>
        <w:spacing w:after="0"/>
        <w:ind w:left="720"/>
      </w:pPr>
      <w:r>
        <w:t xml:space="preserve">scapholunate instability of the right wrist and ligament tear of the scapholunate right wrist are causally related to the compensable injury. The Board further found that Mr. Gilbert’s testimony regarding the inconsistency in the occupational therapy records was credible.” </w:t>
      </w:r>
    </w:p>
    <w:p w14:paraId="4DBA59E8" w14:textId="77777777" w:rsidR="001F0C4C" w:rsidRDefault="001F0C4C" w:rsidP="001F0C4C">
      <w:pPr>
        <w:spacing w:after="0"/>
        <w:ind w:left="720"/>
      </w:pPr>
    </w:p>
    <w:p w14:paraId="0117EF9A" w14:textId="69894794" w:rsidR="001F0C4C" w:rsidRPr="002322D7" w:rsidRDefault="001F0C4C" w:rsidP="001F0C4C">
      <w:pPr>
        <w:spacing w:after="0"/>
        <w:rPr>
          <w:b/>
          <w:bCs/>
        </w:rPr>
      </w:pPr>
      <w:r>
        <w:rPr>
          <w:b/>
        </w:rPr>
        <w:t xml:space="preserve">Lesson Learned:  When speaking with physical </w:t>
      </w:r>
      <w:proofErr w:type="gramStart"/>
      <w:r>
        <w:rPr>
          <w:b/>
        </w:rPr>
        <w:t>therapist</w:t>
      </w:r>
      <w:proofErr w:type="gramEnd"/>
      <w:r>
        <w:rPr>
          <w:b/>
        </w:rPr>
        <w:t xml:space="preserve"> </w:t>
      </w:r>
      <w:proofErr w:type="gramStart"/>
      <w:r>
        <w:rPr>
          <w:b/>
        </w:rPr>
        <w:t>be</w:t>
      </w:r>
      <w:proofErr w:type="gramEnd"/>
      <w:r>
        <w:rPr>
          <w:b/>
        </w:rPr>
        <w:t xml:space="preserve"> very clear in discussing prior injuries.   </w:t>
      </w:r>
    </w:p>
    <w:p w14:paraId="0E4FA404" w14:textId="77777777" w:rsidR="001F0C4C" w:rsidRDefault="001F0C4C" w:rsidP="001F0C4C">
      <w:pPr>
        <w:spacing w:after="0"/>
        <w:rPr>
          <w:rFonts w:ascii="Arial Black" w:hAnsi="Arial Black"/>
          <w:sz w:val="28"/>
          <w:szCs w:val="28"/>
        </w:rPr>
      </w:pPr>
    </w:p>
    <w:p w14:paraId="523C3C52" w14:textId="704358B3" w:rsidR="00FC5BB1" w:rsidRDefault="001F0C4C" w:rsidP="000624FD">
      <w:pPr>
        <w:pStyle w:val="NoSpacing"/>
        <w:rPr>
          <w:rFonts w:ascii="Arial Black" w:hAnsi="Arial Black"/>
          <w:b/>
          <w:sz w:val="28"/>
          <w:szCs w:val="28"/>
        </w:rPr>
      </w:pPr>
      <w:r>
        <w:rPr>
          <w:rFonts w:ascii="Arial Black" w:hAnsi="Arial Black"/>
          <w:b/>
          <w:sz w:val="28"/>
          <w:szCs w:val="28"/>
        </w:rPr>
        <w:t>6-1</w:t>
      </w:r>
      <w:r w:rsidR="002A0697">
        <w:rPr>
          <w:rFonts w:ascii="Arial Black" w:hAnsi="Arial Black"/>
          <w:b/>
          <w:sz w:val="28"/>
          <w:szCs w:val="28"/>
        </w:rPr>
        <w:t>70</w:t>
      </w:r>
    </w:p>
    <w:p w14:paraId="773E1CDC" w14:textId="77777777" w:rsidR="007867D4" w:rsidRDefault="007867D4" w:rsidP="000624FD">
      <w:pPr>
        <w:pStyle w:val="NoSpacing"/>
        <w:rPr>
          <w:rFonts w:ascii="Arial Black" w:hAnsi="Arial Black"/>
          <w:b/>
          <w:sz w:val="28"/>
          <w:szCs w:val="28"/>
        </w:rPr>
      </w:pPr>
    </w:p>
    <w:p w14:paraId="4154BB56" w14:textId="77777777" w:rsidR="007867D4" w:rsidRDefault="007867D4" w:rsidP="007867D4">
      <w:pPr>
        <w:pStyle w:val="NoSpacing"/>
        <w:rPr>
          <w:rFonts w:ascii="Arial Black" w:hAnsi="Arial Black"/>
          <w:sz w:val="28"/>
          <w:szCs w:val="28"/>
        </w:rPr>
      </w:pPr>
      <w:r>
        <w:rPr>
          <w:rFonts w:ascii="Arial Black" w:hAnsi="Arial Black"/>
          <w:sz w:val="28"/>
          <w:szCs w:val="28"/>
        </w:rPr>
        <w:t>RI: FF CANCER DEATH –  ADDED INSURANCE IF “INJURY”</w:t>
      </w:r>
    </w:p>
    <w:p w14:paraId="6AA3AFFA" w14:textId="77777777" w:rsidR="007867D4" w:rsidRDefault="007867D4" w:rsidP="007867D4">
      <w:pPr>
        <w:pStyle w:val="NoSpacing"/>
        <w:rPr>
          <w:rFonts w:ascii="Arial Black" w:hAnsi="Arial Black"/>
          <w:sz w:val="28"/>
          <w:szCs w:val="28"/>
        </w:rPr>
      </w:pPr>
    </w:p>
    <w:p w14:paraId="24A2EC94" w14:textId="77777777" w:rsidR="007867D4" w:rsidRDefault="007867D4" w:rsidP="007867D4">
      <w:pPr>
        <w:pStyle w:val="NoSpacing"/>
      </w:pPr>
      <w:r>
        <w:t xml:space="preserve">On October 14, 2025, in </w:t>
      </w:r>
      <w:r w:rsidRPr="005765C3">
        <w:rPr>
          <w:u w:val="single"/>
        </w:rPr>
        <w:t>James L. Varin, Jr. and Tyer C. Varin v. The Prudential Insurance Company of America</w:t>
      </w:r>
      <w:r>
        <w:t xml:space="preserve">, Chief Judge John J. McConnell, Jr., United States District Court for the District of Rhode Island denied the insurance company’s motion to dismiss the lawsuit by two sons of deceased firefighter James Varin, Sr., a Providence firefighter who died of brain cancer. The family seeks a declaratory judgment that father’s death should be covered as an “injury” while insurance company claims it is a “sickness” not covered.  Under the terms of the policy, a City of Providence fire department employee has $100,000 in basic life insurance coverage (which was paid to the family), </w:t>
      </w:r>
      <w:proofErr w:type="gramStart"/>
      <w:r>
        <w:t>and also</w:t>
      </w:r>
      <w:proofErr w:type="gramEnd"/>
      <w:r>
        <w:t xml:space="preserve"> $100,000 in basic accidental death and dismemberment (“AD&amp;D”) insurance coverage.  Plaintiffs will now proceed with pre-trial discovery; the Court held that the insurance company presumably knew when negotiating the policy with the city that </w:t>
      </w:r>
      <w:r>
        <w:lastRenderedPageBreak/>
        <w:t xml:space="preserve">Rhode Island has a “statutory presumption” for firefighter cancer, and IAFF Local 799 has a similar provision in their Collective Bargaining Agreement with the city.  </w:t>
      </w:r>
      <w:hyperlink r:id="rId1062" w:history="1">
        <w:r w:rsidRPr="00F13728">
          <w:rPr>
            <w:rStyle w:val="Hyperlink"/>
          </w:rPr>
          <w:t>https://ecf.rid.uscourts.gov/cgi-bin/show_public_doc?2025cv0270-20</w:t>
        </w:r>
      </w:hyperlink>
      <w:r>
        <w:t xml:space="preserve"> </w:t>
      </w:r>
    </w:p>
    <w:p w14:paraId="195AACAE" w14:textId="77777777" w:rsidR="007867D4" w:rsidRDefault="007867D4" w:rsidP="007867D4">
      <w:pPr>
        <w:pStyle w:val="NoSpacing"/>
      </w:pPr>
    </w:p>
    <w:p w14:paraId="469F4A8E" w14:textId="77777777" w:rsidR="007867D4" w:rsidRDefault="007867D4" w:rsidP="007867D4">
      <w:pPr>
        <w:pStyle w:val="NoSpacing"/>
      </w:pPr>
      <w:r>
        <w:t>THE COURT HELD:</w:t>
      </w:r>
    </w:p>
    <w:p w14:paraId="67FBFE07" w14:textId="77777777" w:rsidR="007867D4" w:rsidRDefault="007867D4" w:rsidP="007867D4">
      <w:pPr>
        <w:pStyle w:val="NoSpacing"/>
      </w:pPr>
    </w:p>
    <w:p w14:paraId="494D4795" w14:textId="77777777" w:rsidR="007867D4" w:rsidRDefault="007867D4" w:rsidP="007867D4">
      <w:pPr>
        <w:pStyle w:val="NoSpacing"/>
        <w:ind w:left="720"/>
      </w:pPr>
      <w:r>
        <w:t xml:space="preserve">In their complaint, Plaintiffs allege that Mr. Varin’s cause of death was glioblastoma, a cancer that could be caused by carcinogenic exposure…. They also allege that Mr. Varin was exposed to carcinogens in his job as a firefighter and that his employer, the City of Providence, considers his death to be an injury in the line of duty…. Plaintiffs cite to the CBA, which states that whenever a firefighter dies from cancer, it is presumed to be an injury resulting from their firefighting duties…. In addition, they </w:t>
      </w:r>
      <w:proofErr w:type="gramStart"/>
      <w:r>
        <w:t>reference</w:t>
      </w:r>
      <w:proofErr w:type="gramEnd"/>
      <w:r>
        <w:t xml:space="preserve"> a state statute,</w:t>
      </w:r>
    </w:p>
    <w:p w14:paraId="34BFEE54" w14:textId="77777777" w:rsidR="007867D4" w:rsidRDefault="007867D4" w:rsidP="007867D4">
      <w:pPr>
        <w:pStyle w:val="NoSpacing"/>
        <w:ind w:left="720"/>
      </w:pPr>
      <w:r>
        <w:t>R.I. Gen. Laws § 45-19.1-1, which also states that firefighters are exposed to carcinogens, so cancer is a recognized occupational hazard under Rhode Island law…. At this stage of the litigation, the Court finds that these allegations are sufficient to state a claim under the policy.</w:t>
      </w:r>
    </w:p>
    <w:p w14:paraId="4226E621" w14:textId="77777777" w:rsidR="007867D4" w:rsidRDefault="007867D4" w:rsidP="007867D4">
      <w:pPr>
        <w:pStyle w:val="NoSpacing"/>
        <w:ind w:left="720"/>
      </w:pPr>
    </w:p>
    <w:p w14:paraId="6957631E" w14:textId="77777777" w:rsidR="007867D4" w:rsidRDefault="007867D4" w:rsidP="007867D4">
      <w:pPr>
        <w:pStyle w:val="NoSpacing"/>
        <w:ind w:left="720"/>
      </w:pPr>
      <w:r>
        <w:t>***</w:t>
      </w:r>
    </w:p>
    <w:p w14:paraId="58825BA6" w14:textId="77777777" w:rsidR="007867D4" w:rsidRDefault="007867D4" w:rsidP="007867D4">
      <w:pPr>
        <w:pStyle w:val="NoSpacing"/>
        <w:ind w:left="720"/>
      </w:pPr>
      <w:r>
        <w:t>It is plausible that Prudential knew what benefits the Union expected to provide its members because the CBA states that members have a $100,000 life insurance policy with a maximum of $200,000 for deaths sustained in the line of duty, and that is exactly</w:t>
      </w:r>
    </w:p>
    <w:p w14:paraId="1C02E2C6" w14:textId="77777777" w:rsidR="007867D4" w:rsidRDefault="007867D4" w:rsidP="007867D4">
      <w:pPr>
        <w:pStyle w:val="NoSpacing"/>
        <w:ind w:firstLine="720"/>
      </w:pPr>
      <w:r>
        <w:t>what the Prudential policy at issue here provides. ECF No. 1 ¶ 12; 7-2 at 9.</w:t>
      </w:r>
    </w:p>
    <w:p w14:paraId="35C275E2" w14:textId="77777777" w:rsidR="007867D4" w:rsidRDefault="007867D4" w:rsidP="007867D4">
      <w:pPr>
        <w:pStyle w:val="NoSpacing"/>
        <w:ind w:firstLine="720"/>
      </w:pPr>
    </w:p>
    <w:p w14:paraId="00314289" w14:textId="77777777" w:rsidR="007867D4" w:rsidRDefault="007867D4" w:rsidP="007867D4">
      <w:pPr>
        <w:pStyle w:val="NoSpacing"/>
        <w:ind w:firstLine="720"/>
      </w:pPr>
      <w:r>
        <w:t>***</w:t>
      </w:r>
    </w:p>
    <w:p w14:paraId="7CD236AA" w14:textId="77777777" w:rsidR="007867D4" w:rsidRDefault="007867D4" w:rsidP="007867D4">
      <w:pPr>
        <w:pStyle w:val="NoSpacing"/>
        <w:ind w:left="720"/>
      </w:pPr>
      <w:r>
        <w:t>As for the sickness exception, Prudential argues that it applies because cancer is generally recognized as a sickness not an injury….  The policy provides that a loss is not covered if it results from sickness, which is defined as ‘Any disorder of the body or mind of a Covered Person, but not an Injury.’ …  If discovery proves that Plaintiffs’ claims are covered because the Prudential policy was negotiated to cover cancer as an on-the-job injury, then their father’s cancer would be an ‘injury’ not a ‘sickness’ as defined in the policy. Therefore, the Court finds that the complaint states a claim for declaratory relief.”</w:t>
      </w:r>
    </w:p>
    <w:p w14:paraId="2788211B" w14:textId="77777777" w:rsidR="007867D4" w:rsidRDefault="007867D4" w:rsidP="007867D4">
      <w:pPr>
        <w:pStyle w:val="NoSpacing"/>
        <w:rPr>
          <w:b/>
          <w:bCs/>
        </w:rPr>
      </w:pPr>
    </w:p>
    <w:p w14:paraId="2C6AC8B9" w14:textId="66911C6C" w:rsidR="007867D4" w:rsidRPr="00960E6C" w:rsidRDefault="007867D4" w:rsidP="007867D4">
      <w:pPr>
        <w:pStyle w:val="NoSpacing"/>
        <w:rPr>
          <w:b/>
          <w:bCs/>
        </w:rPr>
      </w:pPr>
      <w:r>
        <w:rPr>
          <w:b/>
        </w:rPr>
        <w:t xml:space="preserve">Lesson learned: When City is contracting with insurance policy for firefighters, there should be a clause in the policy specifically covering firefighter cancers. </w:t>
      </w:r>
    </w:p>
    <w:p w14:paraId="17A338BA" w14:textId="77777777" w:rsidR="007867D4" w:rsidRDefault="007867D4" w:rsidP="007867D4">
      <w:pPr>
        <w:pStyle w:val="NoSpacing"/>
      </w:pPr>
    </w:p>
    <w:p w14:paraId="2B74F7D7" w14:textId="77777777" w:rsidR="007867D4" w:rsidRDefault="007867D4" w:rsidP="000624FD">
      <w:pPr>
        <w:pStyle w:val="NoSpacing"/>
        <w:rPr>
          <w:rFonts w:ascii="Arial Black" w:hAnsi="Arial Black"/>
          <w:b/>
          <w:sz w:val="28"/>
          <w:szCs w:val="28"/>
        </w:rPr>
      </w:pPr>
    </w:p>
    <w:p w14:paraId="2F065326" w14:textId="77777777" w:rsidR="00DE3247" w:rsidRDefault="00DE3247" w:rsidP="000624FD">
      <w:pPr>
        <w:pStyle w:val="NoSpacing"/>
        <w:rPr>
          <w:rFonts w:ascii="Arial Black" w:hAnsi="Arial Black"/>
          <w:b/>
          <w:sz w:val="28"/>
          <w:szCs w:val="28"/>
        </w:rPr>
      </w:pPr>
    </w:p>
    <w:p w14:paraId="3127AAA3" w14:textId="77777777" w:rsidR="00DE3247" w:rsidRDefault="00DE3247" w:rsidP="000624FD">
      <w:pPr>
        <w:pStyle w:val="NoSpacing"/>
        <w:rPr>
          <w:rFonts w:ascii="Arial Black" w:hAnsi="Arial Black"/>
          <w:b/>
          <w:sz w:val="28"/>
          <w:szCs w:val="28"/>
        </w:rPr>
      </w:pPr>
    </w:p>
    <w:p w14:paraId="36F82DB0" w14:textId="77777777" w:rsidR="00DE3247" w:rsidRDefault="00DE3247" w:rsidP="000624FD">
      <w:pPr>
        <w:pStyle w:val="NoSpacing"/>
        <w:rPr>
          <w:rFonts w:ascii="Arial Black" w:hAnsi="Arial Black"/>
          <w:b/>
          <w:sz w:val="28"/>
          <w:szCs w:val="28"/>
        </w:rPr>
      </w:pPr>
    </w:p>
    <w:p w14:paraId="27A3793F" w14:textId="053E4140" w:rsidR="000624FD" w:rsidRDefault="000624FD" w:rsidP="000624FD">
      <w:pPr>
        <w:pStyle w:val="NoSpacing"/>
        <w:rPr>
          <w:rFonts w:ascii="Arial Black" w:hAnsi="Arial Black"/>
          <w:b/>
          <w:sz w:val="28"/>
          <w:szCs w:val="28"/>
        </w:rPr>
      </w:pPr>
      <w:r>
        <w:rPr>
          <w:rFonts w:ascii="Arial Black" w:hAnsi="Arial Black"/>
          <w:b/>
          <w:sz w:val="28"/>
          <w:szCs w:val="28"/>
        </w:rPr>
        <w:t>6-16</w:t>
      </w:r>
      <w:r w:rsidR="002A0697">
        <w:rPr>
          <w:rFonts w:ascii="Arial Black" w:hAnsi="Arial Black"/>
          <w:b/>
          <w:sz w:val="28"/>
          <w:szCs w:val="28"/>
        </w:rPr>
        <w:t>9</w:t>
      </w:r>
    </w:p>
    <w:p w14:paraId="7C26530E" w14:textId="77777777" w:rsidR="000624FD" w:rsidRDefault="000624FD" w:rsidP="00424D1C">
      <w:pPr>
        <w:pStyle w:val="NoSpacing"/>
        <w:rPr>
          <w:rFonts w:ascii="Arial Black" w:hAnsi="Arial Black"/>
          <w:sz w:val="28"/>
          <w:szCs w:val="28"/>
        </w:rPr>
      </w:pPr>
    </w:p>
    <w:p w14:paraId="705E1F64" w14:textId="654D46F4" w:rsidR="00424D1C" w:rsidRDefault="00424D1C" w:rsidP="00424D1C">
      <w:pPr>
        <w:pStyle w:val="NoSpacing"/>
      </w:pPr>
      <w:r>
        <w:rPr>
          <w:rFonts w:ascii="Arial Black" w:hAnsi="Arial Black"/>
          <w:sz w:val="28"/>
          <w:szCs w:val="28"/>
        </w:rPr>
        <w:t>NC: FF AGE 54 FIRED – COMMENTS AGE - CASE PROCEED</w:t>
      </w:r>
    </w:p>
    <w:p w14:paraId="65E7203E" w14:textId="77777777" w:rsidR="00424D1C" w:rsidRDefault="00424D1C" w:rsidP="00424D1C">
      <w:pPr>
        <w:pStyle w:val="NoSpacing"/>
      </w:pPr>
    </w:p>
    <w:p w14:paraId="6ECCCE1A" w14:textId="77777777" w:rsidR="00424D1C" w:rsidRDefault="00424D1C" w:rsidP="00424D1C">
      <w:pPr>
        <w:pStyle w:val="NoSpacing"/>
      </w:pPr>
      <w:r>
        <w:t xml:space="preserve">On September 3, 2025, in </w:t>
      </w:r>
      <w:r w:rsidRPr="00A3297C">
        <w:rPr>
          <w:u w:val="single"/>
        </w:rPr>
        <w:t>Walter Kevin Carpenter v. The City of Newton, et al</w:t>
      </w:r>
      <w:r>
        <w:t xml:space="preserve">., U.S. Magistrate Judge Susan C. Rodriquez, United States District Court for Western District of North Carolina (Statesville Division) issued a report and recommendation recommended that city’s motion to dismiss be denied in part (age discrimination claim).  On June 22, 2022, the first day after Plaintiff returned from vacation, the </w:t>
      </w:r>
      <w:proofErr w:type="gramStart"/>
      <w:r>
        <w:t>City</w:t>
      </w:r>
      <w:proofErr w:type="gramEnd"/>
      <w:r>
        <w:t xml:space="preserve"> terminated Plaintiff for “abusive </w:t>
      </w:r>
      <w:r w:rsidRPr="006F631B">
        <w:t>and/or threatening language to a supervisor</w:t>
      </w:r>
      <w:r>
        <w:t>.  He claims he was joking, when heading out for vacation he texted to  his Battalion Chief, “In the famous words of Cody Lawing, F U and F U and I am out of here.”</w:t>
      </w:r>
    </w:p>
    <w:p w14:paraId="420BA4A5" w14:textId="77777777" w:rsidR="00424D1C" w:rsidRDefault="00424D1C" w:rsidP="00424D1C">
      <w:pPr>
        <w:pStyle w:val="NoSpacing"/>
      </w:pPr>
      <w:r>
        <w:t xml:space="preserve"> </w:t>
      </w:r>
    </w:p>
    <w:p w14:paraId="53B828AE" w14:textId="77777777" w:rsidR="00424D1C" w:rsidRDefault="00424D1C" w:rsidP="00424D1C">
      <w:pPr>
        <w:pStyle w:val="NoSpacing"/>
      </w:pPr>
      <w:r w:rsidRPr="00B511E1">
        <w:rPr>
          <w:b/>
        </w:rPr>
        <w:t>THE MAGISTRATE WROTE</w:t>
      </w:r>
      <w:r>
        <w:t xml:space="preserve">: “The undersigned finds Plaintiff has alleged sufficient facts that the employer took an adverse employment action under circumstances giving rise to an inference of age discrimination. Plaintiff has alleged certain derogatory comments made related to his age by those in the supervisory chain … and that Plaintiff was terminated within a month of certain comments….  This, combined with Plaintiff’s allegations related to the different </w:t>
      </w:r>
      <w:r>
        <w:lastRenderedPageBreak/>
        <w:t xml:space="preserve">responses to the similar conduct of Plaintiff and Lawing, create an inference of age discrimination at this initial stage.” </w:t>
      </w:r>
      <w:hyperlink r:id="rId1063" w:history="1">
        <w:r w:rsidRPr="00B23663">
          <w:rPr>
            <w:rStyle w:val="Hyperlink"/>
          </w:rPr>
          <w:t>https://www.govinfo.gov/content/pkg/USCOURTS-ncwd-5_24-cv-00192/pdf/USCOURTS-ncwd-5_24-cv-00192-1.pdf</w:t>
        </w:r>
      </w:hyperlink>
      <w:r>
        <w:t xml:space="preserve"> </w:t>
      </w:r>
    </w:p>
    <w:p w14:paraId="5AFD73C6" w14:textId="77777777" w:rsidR="00424D1C" w:rsidRDefault="00424D1C" w:rsidP="00424D1C">
      <w:pPr>
        <w:pStyle w:val="NoSpacing"/>
      </w:pPr>
    </w:p>
    <w:p w14:paraId="484F6798" w14:textId="77777777" w:rsidR="00424D1C" w:rsidRDefault="00424D1C" w:rsidP="00424D1C">
      <w:pPr>
        <w:pStyle w:val="NoSpacing"/>
      </w:pPr>
      <w:r w:rsidRPr="00B511E1">
        <w:rPr>
          <w:b/>
        </w:rPr>
        <w:t>KEY FACTS</w:t>
      </w:r>
      <w:r>
        <w:t>:</w:t>
      </w:r>
    </w:p>
    <w:p w14:paraId="294604F1" w14:textId="77777777" w:rsidR="00424D1C" w:rsidRDefault="00424D1C" w:rsidP="00424D1C">
      <w:pPr>
        <w:pStyle w:val="NoSpacing"/>
      </w:pPr>
    </w:p>
    <w:p w14:paraId="7E385967" w14:textId="77777777" w:rsidR="00424D1C" w:rsidRDefault="00424D1C" w:rsidP="00424D1C">
      <w:pPr>
        <w:pStyle w:val="NoSpacing"/>
        <w:ind w:left="720"/>
      </w:pPr>
      <w:r>
        <w:t>“Plaintiff alleges that Defendants made several ageist comments toward him in public, such as his supervisor, Battalion Chief Kenneth Huffman (‘Huffman’), saying, ‘We’re going to push you down the steps and you won’t recover.’ … On approximately June 4, 2022, Huffman ordered Plaintiff to respond on the ladder truck to a structure fire…. Huffman chose to put on his turnout gear and assist with the fire…. After the call, Defendant Whitener reprimanded Plaintiff for not putting on his turnout gear. Id. Plaintiff contends that he did not have an opportunity to put on his turnout gear. Id. The following day, Chief Yoder criticized Plaintiff, allegedly saying, ‘You think you don’t have to do anything but run the truck . . . [a]</w:t>
      </w:r>
      <w:proofErr w:type="spellStart"/>
      <w:r>
        <w:t>ll</w:t>
      </w:r>
      <w:proofErr w:type="spellEnd"/>
      <w:r>
        <w:t xml:space="preserve"> of the younger guys go in and actually fight fires….’</w:t>
      </w:r>
    </w:p>
    <w:p w14:paraId="52CACC0A" w14:textId="77777777" w:rsidR="00424D1C" w:rsidRDefault="00424D1C" w:rsidP="00424D1C">
      <w:pPr>
        <w:pStyle w:val="NoSpacing"/>
        <w:ind w:left="720"/>
      </w:pPr>
    </w:p>
    <w:p w14:paraId="49026CC8" w14:textId="77777777" w:rsidR="00424D1C" w:rsidRDefault="00424D1C" w:rsidP="00424D1C">
      <w:pPr>
        <w:pStyle w:val="NoSpacing"/>
        <w:ind w:left="720"/>
      </w:pPr>
      <w:r>
        <w:t>***</w:t>
      </w:r>
    </w:p>
    <w:p w14:paraId="7D1403A1" w14:textId="77777777" w:rsidR="00424D1C" w:rsidRDefault="00424D1C" w:rsidP="00424D1C">
      <w:pPr>
        <w:pStyle w:val="NoSpacing"/>
        <w:ind w:left="720"/>
      </w:pPr>
      <w:r>
        <w:t>On or about June 15, 2022, when Plaintiff was preparing to take leave for vacation, he</w:t>
      </w:r>
    </w:p>
    <w:p w14:paraId="03DC2291" w14:textId="77777777" w:rsidR="00424D1C" w:rsidRDefault="00424D1C" w:rsidP="00424D1C">
      <w:pPr>
        <w:pStyle w:val="NoSpacing"/>
        <w:ind w:left="720"/>
      </w:pPr>
      <w:r>
        <w:t>texted Huffman: ‘In the famous words of Cody Lawing, F U and F U and I am out of here.’ … Cody Lawing (‘Lawing’), an employee under the age of forty, used this phrase often to joke with various members of the Fire Department, stating the full explicative when doing so, and, at times, directing his words toward Huffman…. Lawing, however, was never terminated or reprimanded for using this language as it was known to be made in jest…. Plaintiff claims he sent the text to Huffman jokingly, and Huffman admitted he perceived the text as a joke, not a threat….</w:t>
      </w:r>
    </w:p>
    <w:p w14:paraId="2F26B785" w14:textId="77777777" w:rsidR="00424D1C" w:rsidRDefault="00424D1C" w:rsidP="00424D1C">
      <w:pPr>
        <w:pStyle w:val="NoSpacing"/>
        <w:ind w:left="720"/>
      </w:pPr>
    </w:p>
    <w:p w14:paraId="7B5B2E8C" w14:textId="77777777" w:rsidR="00424D1C" w:rsidRDefault="00424D1C" w:rsidP="00424D1C">
      <w:pPr>
        <w:pStyle w:val="NoSpacing"/>
        <w:ind w:left="720"/>
      </w:pPr>
      <w:r>
        <w:t xml:space="preserve">On June 22, 2022, the first day after Plaintiff returned from vacation, the </w:t>
      </w:r>
      <w:proofErr w:type="gramStart"/>
      <w:r>
        <w:t>City</w:t>
      </w:r>
      <w:proofErr w:type="gramEnd"/>
      <w:r>
        <w:t xml:space="preserve"> terminated</w:t>
      </w:r>
    </w:p>
    <w:p w14:paraId="7415AAC4" w14:textId="77777777" w:rsidR="00424D1C" w:rsidRDefault="00424D1C" w:rsidP="00424D1C">
      <w:pPr>
        <w:pStyle w:val="NoSpacing"/>
        <w:ind w:left="720"/>
      </w:pPr>
      <w:r>
        <w:t xml:space="preserve">Plaintiff….The City referenced personnel policy IV.10(b)(18), which prohibits ‘abusive </w:t>
      </w:r>
      <w:r w:rsidRPr="006F631B">
        <w:t>and/or threatening language to a supervisor</w:t>
      </w:r>
      <w:r>
        <w:t xml:space="preserve">’ </w:t>
      </w:r>
      <w:r w:rsidRPr="006F631B">
        <w:t>in terminating Plaintiff.</w:t>
      </w:r>
      <w:r>
        <w:t>”</w:t>
      </w:r>
    </w:p>
    <w:p w14:paraId="7E450F6B" w14:textId="77777777" w:rsidR="00424D1C" w:rsidRDefault="00424D1C" w:rsidP="00424D1C">
      <w:pPr>
        <w:pStyle w:val="NoSpacing"/>
      </w:pPr>
    </w:p>
    <w:p w14:paraId="3A6D8391" w14:textId="77777777" w:rsidR="00424D1C" w:rsidRPr="002C1CFD" w:rsidRDefault="00424D1C" w:rsidP="00424D1C">
      <w:pPr>
        <w:pStyle w:val="NoSpacing"/>
        <w:rPr>
          <w:b/>
          <w:bCs/>
        </w:rPr>
      </w:pPr>
      <w:r>
        <w:t xml:space="preserve"> </w:t>
      </w:r>
      <w:r>
        <w:rPr>
          <w:b/>
        </w:rPr>
        <w:t xml:space="preserve">Legal lesson learned:  Age-related comments can lead to litigation.  </w:t>
      </w:r>
    </w:p>
    <w:p w14:paraId="165D29B8" w14:textId="77777777" w:rsidR="00424D1C" w:rsidRDefault="00424D1C" w:rsidP="00424D1C">
      <w:pPr>
        <w:pStyle w:val="NoSpacing"/>
      </w:pPr>
    </w:p>
    <w:p w14:paraId="0F163BBB" w14:textId="77777777" w:rsidR="00424D1C" w:rsidRDefault="00424D1C" w:rsidP="00424D1C">
      <w:pPr>
        <w:pStyle w:val="NoSpacing"/>
        <w:ind w:left="720"/>
      </w:pPr>
      <w:r>
        <w:t xml:space="preserve">Note: On September 18, 2025, U.S. District Court Judge Kenneth D. Bell adopted the Magistrate’s recommendation </w:t>
      </w:r>
      <w:hyperlink r:id="rId1064" w:history="1">
        <w:r w:rsidRPr="00D0636F">
          <w:rPr>
            <w:rStyle w:val="Hyperlink"/>
          </w:rPr>
          <w:t>https://www.govinfo.gov/content/pkg/USCOURTS-ncwd-5_24-cv-00192/pdf/USCOURTS-ncwd-5_24-cv-00192-3.pdf</w:t>
        </w:r>
      </w:hyperlink>
      <w:r>
        <w:t xml:space="preserve"> </w:t>
      </w:r>
    </w:p>
    <w:p w14:paraId="5B6BA90F" w14:textId="77777777" w:rsidR="00D44956" w:rsidRDefault="00D44956" w:rsidP="00EF1133">
      <w:pPr>
        <w:rPr>
          <w:rFonts w:ascii="Arial Black" w:hAnsi="Arial Black"/>
          <w:b/>
          <w:sz w:val="24"/>
          <w:szCs w:val="24"/>
        </w:rPr>
      </w:pPr>
    </w:p>
    <w:p w14:paraId="0EDCAD5E" w14:textId="4FE382C8" w:rsidR="000624FD" w:rsidRDefault="000624FD" w:rsidP="000624FD">
      <w:pPr>
        <w:pStyle w:val="NoSpacing"/>
        <w:rPr>
          <w:rFonts w:ascii="Arial Black" w:hAnsi="Arial Black"/>
          <w:b/>
          <w:sz w:val="28"/>
          <w:szCs w:val="28"/>
        </w:rPr>
      </w:pPr>
      <w:r>
        <w:rPr>
          <w:rFonts w:ascii="Arial Black" w:hAnsi="Arial Black"/>
          <w:b/>
          <w:sz w:val="28"/>
          <w:szCs w:val="28"/>
        </w:rPr>
        <w:t>6-16</w:t>
      </w:r>
      <w:r w:rsidR="002A0697">
        <w:rPr>
          <w:rFonts w:ascii="Arial Black" w:hAnsi="Arial Black"/>
          <w:b/>
          <w:sz w:val="28"/>
          <w:szCs w:val="28"/>
        </w:rPr>
        <w:t>8</w:t>
      </w:r>
    </w:p>
    <w:p w14:paraId="6802D4E8" w14:textId="77777777" w:rsidR="000624FD" w:rsidRDefault="000624FD" w:rsidP="00782139">
      <w:pPr>
        <w:rPr>
          <w:rFonts w:ascii="Arial Black" w:hAnsi="Arial Black"/>
          <w:sz w:val="28"/>
          <w:szCs w:val="28"/>
        </w:rPr>
      </w:pPr>
    </w:p>
    <w:p w14:paraId="7151D473" w14:textId="61CBF1A9" w:rsidR="00782139" w:rsidRPr="00A83858" w:rsidRDefault="00782139" w:rsidP="00782139">
      <w:pPr>
        <w:rPr>
          <w:rFonts w:ascii="Arial Black" w:hAnsi="Arial Black"/>
          <w:bCs/>
          <w:sz w:val="28"/>
          <w:szCs w:val="28"/>
        </w:rPr>
      </w:pPr>
      <w:r>
        <w:rPr>
          <w:rFonts w:ascii="Arial Black" w:hAnsi="Arial Black"/>
          <w:sz w:val="28"/>
          <w:szCs w:val="28"/>
        </w:rPr>
        <w:t xml:space="preserve">MD: WORK COMP – JURY FF 63% WORK COMP – NOT 3% </w:t>
      </w:r>
    </w:p>
    <w:p w14:paraId="6B502694" w14:textId="77777777" w:rsidR="00782139" w:rsidRDefault="00782139" w:rsidP="00782139">
      <w:pPr>
        <w:pStyle w:val="NoSpacing"/>
        <w:rPr>
          <w:bCs/>
        </w:rPr>
      </w:pPr>
      <w:r>
        <w:t xml:space="preserve">On September 2, 2025, in </w:t>
      </w:r>
      <w:r w:rsidRPr="004D4CE6">
        <w:rPr>
          <w:u w:val="single"/>
        </w:rPr>
        <w:t>Prince George’s County, Maryland v. Bradley Schroder</w:t>
      </w:r>
      <w:r>
        <w:t xml:space="preserve">, </w:t>
      </w:r>
      <w:r w:rsidRPr="004D4CE6">
        <w:t>Court of Special Appeals of Maryland</w:t>
      </w:r>
      <w:r>
        <w:t xml:space="preserve"> held (3 to 0; unreported decision) that firefighter Bradley Schroeder was properly awarded workers’ compensation by a jury of 63% prominent partial, overturning the Work Comp Commission award of only 3%.  </w:t>
      </w:r>
    </w:p>
    <w:p w14:paraId="7CE4DDB2" w14:textId="77777777" w:rsidR="00782139" w:rsidRDefault="00782139" w:rsidP="00782139">
      <w:pPr>
        <w:pStyle w:val="NoSpacing"/>
        <w:rPr>
          <w:bCs/>
        </w:rPr>
      </w:pPr>
    </w:p>
    <w:p w14:paraId="7319DF16" w14:textId="77777777" w:rsidR="00782139" w:rsidRDefault="00782139" w:rsidP="00782139">
      <w:pPr>
        <w:pStyle w:val="NoSpacing"/>
        <w:rPr>
          <w:bCs/>
        </w:rPr>
      </w:pPr>
      <w:r w:rsidRPr="00D82473">
        <w:rPr>
          <w:b/>
        </w:rPr>
        <w:t>THE COURT HELD:</w:t>
      </w:r>
      <w:r>
        <w:t xml:space="preserve"> “</w:t>
      </w:r>
      <w:r w:rsidRPr="00694FA2">
        <w:t>We do not hold that a finding by the jury of 63% permanent partial disability was</w:t>
      </w:r>
      <w:r>
        <w:t xml:space="preserve"> </w:t>
      </w:r>
      <w:r w:rsidRPr="00694FA2">
        <w:t>grossly excessive and the trial court therefore did not abuse its discretion in denying the</w:t>
      </w:r>
      <w:r>
        <w:t xml:space="preserve"> </w:t>
      </w:r>
      <w:r w:rsidRPr="00694FA2">
        <w:t>County’s motion for a new trial.</w:t>
      </w:r>
      <w:r>
        <w:t>”</w:t>
      </w:r>
    </w:p>
    <w:p w14:paraId="42903EB6" w14:textId="77777777" w:rsidR="00782139" w:rsidRDefault="00782139" w:rsidP="00782139">
      <w:pPr>
        <w:rPr>
          <w:bCs/>
        </w:rPr>
      </w:pPr>
      <w:hyperlink r:id="rId1065" w:history="1">
        <w:r w:rsidRPr="00204094">
          <w:rPr>
            <w:rStyle w:val="Hyperlink"/>
          </w:rPr>
          <w:t>https://www.courts.state.md.us/sites/default/files/unreported-opinions/1098s22.pdf</w:t>
        </w:r>
      </w:hyperlink>
      <w:r>
        <w:t xml:space="preserve"> </w:t>
      </w:r>
    </w:p>
    <w:p w14:paraId="32C29F5D" w14:textId="77777777" w:rsidR="00782139" w:rsidRDefault="00782139" w:rsidP="00782139">
      <w:pPr>
        <w:pStyle w:val="NoSpacing"/>
        <w:rPr>
          <w:bCs/>
        </w:rPr>
      </w:pPr>
    </w:p>
    <w:p w14:paraId="6F68850E" w14:textId="77777777" w:rsidR="00782139" w:rsidRPr="00BD39E4" w:rsidRDefault="00782139" w:rsidP="00782139">
      <w:pPr>
        <w:pStyle w:val="NoSpacing"/>
        <w:rPr>
          <w:b/>
        </w:rPr>
      </w:pPr>
      <w:r w:rsidRPr="00BD39E4">
        <w:rPr>
          <w:b/>
        </w:rPr>
        <w:t>KEY FACTS:</w:t>
      </w:r>
    </w:p>
    <w:p w14:paraId="17C554DD" w14:textId="77777777" w:rsidR="00782139" w:rsidRDefault="00782139" w:rsidP="00782139">
      <w:pPr>
        <w:pStyle w:val="NoSpacing"/>
        <w:rPr>
          <w:bCs/>
        </w:rPr>
      </w:pPr>
    </w:p>
    <w:p w14:paraId="08554F9F" w14:textId="77777777" w:rsidR="00782139" w:rsidRDefault="00782139" w:rsidP="00782139">
      <w:pPr>
        <w:pStyle w:val="NoSpacing"/>
        <w:ind w:left="720"/>
        <w:rPr>
          <w:bCs/>
        </w:rPr>
      </w:pPr>
      <w:r>
        <w:t>“</w:t>
      </w:r>
      <w:r w:rsidRPr="00742BFE">
        <w:t>While working for the Prince George’s County Fire Department, Bradley</w:t>
      </w:r>
      <w:r>
        <w:t xml:space="preserve"> </w:t>
      </w:r>
      <w:r w:rsidRPr="00742BFE">
        <w:t>Schroeder, the Appellee, suffered an injury to his back during a training exercise. Based</w:t>
      </w:r>
      <w:r>
        <w:t xml:space="preserve"> </w:t>
      </w:r>
      <w:r w:rsidRPr="00742BFE">
        <w:t xml:space="preserve">on his injuries, the Appellee filed a worker’s compensation </w:t>
      </w:r>
      <w:r w:rsidRPr="00742BFE">
        <w:lastRenderedPageBreak/>
        <w:t>claim. The Worker’s</w:t>
      </w:r>
      <w:r>
        <w:t xml:space="preserve"> </w:t>
      </w:r>
      <w:r w:rsidRPr="00742BFE">
        <w:t>Compensation Commission found that the Appellee had a 3.5% permanent partial</w:t>
      </w:r>
      <w:r>
        <w:t xml:space="preserve"> </w:t>
      </w:r>
      <w:r w:rsidRPr="00742BFE">
        <w:t>disability. The Appellee appealed this ruling to the Circuit Court for Prince George’s</w:t>
      </w:r>
      <w:r>
        <w:t xml:space="preserve"> </w:t>
      </w:r>
      <w:r w:rsidRPr="00742BFE">
        <w:t xml:space="preserve">County. After a trial, the jury returned a verdict of 63% permanent partial disability. </w:t>
      </w:r>
      <w:proofErr w:type="gramStart"/>
      <w:r w:rsidRPr="00742BFE">
        <w:t>The</w:t>
      </w:r>
      <w:r>
        <w:t xml:space="preserve"> </w:t>
      </w:r>
      <w:r w:rsidRPr="00742BFE">
        <w:t>Prince</w:t>
      </w:r>
      <w:proofErr w:type="gramEnd"/>
      <w:r w:rsidRPr="00742BFE">
        <w:t xml:space="preserve"> George’s County Government, the County, filed a Motion for a New Trial, arguing</w:t>
      </w:r>
      <w:r>
        <w:t xml:space="preserve"> </w:t>
      </w:r>
      <w:r w:rsidRPr="00742BFE">
        <w:t>that this verdict was grossly excessive, which the trial court denied. The County appealed</w:t>
      </w:r>
      <w:r>
        <w:t xml:space="preserve"> </w:t>
      </w:r>
      <w:r w:rsidRPr="00742BFE">
        <w:t>the judgment to this Court.</w:t>
      </w:r>
    </w:p>
    <w:p w14:paraId="4BDC361E" w14:textId="77777777" w:rsidR="00782139" w:rsidRDefault="00782139" w:rsidP="00782139">
      <w:pPr>
        <w:pStyle w:val="NoSpacing"/>
        <w:ind w:firstLine="720"/>
        <w:rPr>
          <w:bCs/>
        </w:rPr>
      </w:pPr>
    </w:p>
    <w:p w14:paraId="5A14EEF2" w14:textId="77777777" w:rsidR="00782139" w:rsidRDefault="00782139" w:rsidP="00782139">
      <w:pPr>
        <w:pStyle w:val="NoSpacing"/>
        <w:ind w:firstLine="720"/>
        <w:rPr>
          <w:bCs/>
        </w:rPr>
      </w:pPr>
      <w:r>
        <w:t>***</w:t>
      </w:r>
    </w:p>
    <w:p w14:paraId="701F8FC7" w14:textId="77777777" w:rsidR="00782139" w:rsidRPr="00033701" w:rsidRDefault="00782139" w:rsidP="00782139">
      <w:pPr>
        <w:pStyle w:val="NoSpacing"/>
        <w:ind w:firstLine="720"/>
        <w:rPr>
          <w:bCs/>
        </w:rPr>
      </w:pPr>
      <w:r w:rsidRPr="00033701">
        <w:t xml:space="preserve">The Appellee began working for </w:t>
      </w:r>
      <w:proofErr w:type="gramStart"/>
      <w:r w:rsidRPr="00033701">
        <w:t>the Prince</w:t>
      </w:r>
      <w:proofErr w:type="gramEnd"/>
      <w:r w:rsidRPr="00033701">
        <w:t xml:space="preserve"> George’s County Fire Department in</w:t>
      </w:r>
    </w:p>
    <w:p w14:paraId="05DBCBA5" w14:textId="77777777" w:rsidR="00782139" w:rsidRPr="00057EA9" w:rsidRDefault="00782139" w:rsidP="00782139">
      <w:pPr>
        <w:pStyle w:val="NoSpacing"/>
        <w:ind w:left="720"/>
        <w:rPr>
          <w:bCs/>
        </w:rPr>
      </w:pPr>
      <w:r w:rsidRPr="00033701">
        <w:t>June of 2015. On January 9, 2019, he participated in a training exercise at an abandoned</w:t>
      </w:r>
      <w:r>
        <w:t xml:space="preserve"> </w:t>
      </w:r>
      <w:r w:rsidRPr="00057EA9">
        <w:t>building. Part of the training involved a series of tasks performed with full gear, with the</w:t>
      </w:r>
    </w:p>
    <w:p w14:paraId="5C202047" w14:textId="77777777" w:rsidR="00782139" w:rsidRPr="00057EA9" w:rsidRDefault="00782139" w:rsidP="00782139">
      <w:pPr>
        <w:pStyle w:val="NoSpacing"/>
        <w:ind w:firstLine="720"/>
        <w:rPr>
          <w:bCs/>
        </w:rPr>
      </w:pPr>
      <w:r w:rsidRPr="00057EA9">
        <w:t>final task being a simulation of the ceiling falling on the firefighter. This simulation</w:t>
      </w:r>
    </w:p>
    <w:p w14:paraId="57832B7E" w14:textId="77777777" w:rsidR="00782139" w:rsidRPr="00057EA9" w:rsidRDefault="00782139" w:rsidP="00782139">
      <w:pPr>
        <w:pStyle w:val="NoSpacing"/>
        <w:ind w:firstLine="720"/>
        <w:rPr>
          <w:bCs/>
        </w:rPr>
      </w:pPr>
      <w:r w:rsidRPr="00057EA9">
        <w:t>involved a heavy six-foot by ten-foot chain-link fence coming down directly on top of the</w:t>
      </w:r>
    </w:p>
    <w:p w14:paraId="5E286999" w14:textId="77777777" w:rsidR="00782139" w:rsidRPr="00057EA9" w:rsidRDefault="00782139" w:rsidP="00782139">
      <w:pPr>
        <w:pStyle w:val="NoSpacing"/>
        <w:ind w:firstLine="720"/>
        <w:rPr>
          <w:bCs/>
        </w:rPr>
      </w:pPr>
      <w:r w:rsidRPr="00057EA9">
        <w:t>firefighter. When the Appellee got to this part of the simulation, the other firefighters put</w:t>
      </w:r>
    </w:p>
    <w:p w14:paraId="4F67F0D7" w14:textId="77777777" w:rsidR="00782139" w:rsidRDefault="00782139" w:rsidP="00782139">
      <w:pPr>
        <w:pStyle w:val="NoSpacing"/>
        <w:ind w:left="720"/>
        <w:rPr>
          <w:bCs/>
        </w:rPr>
      </w:pPr>
      <w:r w:rsidRPr="00057EA9">
        <w:t>the fence down on him. The Appellee threw it off and knelt on all fours on the ground. The</w:t>
      </w:r>
      <w:r>
        <w:t xml:space="preserve"> </w:t>
      </w:r>
      <w:r w:rsidRPr="00057EA9">
        <w:t>instructor then jumped on the Appellee’s back and the Appellee flattened out on the floor,</w:t>
      </w:r>
      <w:r>
        <w:t xml:space="preserve"> </w:t>
      </w:r>
      <w:r w:rsidRPr="00057EA9">
        <w:t>held down by the others until he called for a mayday on his radio. The Appellee’s back</w:t>
      </w:r>
      <w:r>
        <w:t xml:space="preserve"> </w:t>
      </w:r>
      <w:r w:rsidRPr="00057EA9">
        <w:t>began to hurt immediately after this exercise.</w:t>
      </w:r>
    </w:p>
    <w:p w14:paraId="618F5546" w14:textId="77777777" w:rsidR="00782139" w:rsidRDefault="00782139" w:rsidP="00782139">
      <w:pPr>
        <w:pStyle w:val="NoSpacing"/>
        <w:ind w:left="720"/>
        <w:rPr>
          <w:bCs/>
        </w:rPr>
      </w:pPr>
    </w:p>
    <w:p w14:paraId="52C75138" w14:textId="77777777" w:rsidR="00782139" w:rsidRDefault="00782139" w:rsidP="00782139">
      <w:pPr>
        <w:pStyle w:val="NoSpacing"/>
        <w:ind w:left="720"/>
        <w:rPr>
          <w:bCs/>
        </w:rPr>
      </w:pPr>
      <w:r>
        <w:t>***</w:t>
      </w:r>
    </w:p>
    <w:p w14:paraId="4383B5AC" w14:textId="77777777" w:rsidR="00782139" w:rsidRPr="00E2647D" w:rsidRDefault="00782139" w:rsidP="00782139">
      <w:pPr>
        <w:pStyle w:val="NoSpacing"/>
        <w:ind w:left="720"/>
        <w:rPr>
          <w:bCs/>
        </w:rPr>
      </w:pPr>
      <w:r w:rsidRPr="00E2647D">
        <w:t>The Appellee filed a worker’s compensation claim. A hearing was held by the</w:t>
      </w:r>
      <w:r>
        <w:t xml:space="preserve"> </w:t>
      </w:r>
      <w:r w:rsidRPr="00E2647D">
        <w:t>Workers’ Compensation Commission on September 25, 2020. By this time, the Appellee</w:t>
      </w:r>
    </w:p>
    <w:p w14:paraId="2EDD69A4" w14:textId="77777777" w:rsidR="00782139" w:rsidRPr="00E2647D" w:rsidRDefault="00782139" w:rsidP="00782139">
      <w:pPr>
        <w:pStyle w:val="NoSpacing"/>
        <w:ind w:left="720"/>
        <w:rPr>
          <w:bCs/>
        </w:rPr>
      </w:pPr>
      <w:r w:rsidRPr="00E2647D">
        <w:t>had returned to his full duties. However, he was not working any voluntary overtime like</w:t>
      </w:r>
    </w:p>
    <w:p w14:paraId="7F2A9077" w14:textId="77777777" w:rsidR="00782139" w:rsidRPr="00E2647D" w:rsidRDefault="00782139" w:rsidP="00782139">
      <w:pPr>
        <w:pStyle w:val="NoSpacing"/>
        <w:ind w:left="720"/>
        <w:rPr>
          <w:bCs/>
        </w:rPr>
      </w:pPr>
      <w:proofErr w:type="gramStart"/>
      <w:r w:rsidRPr="00E2647D">
        <w:t>he</w:t>
      </w:r>
      <w:proofErr w:type="gramEnd"/>
      <w:r w:rsidRPr="00E2647D">
        <w:t xml:space="preserve"> had prior to his injuries because he needed to rest his back. His injuries prevented him</w:t>
      </w:r>
    </w:p>
    <w:p w14:paraId="1EF527E8" w14:textId="77777777" w:rsidR="00782139" w:rsidRPr="00E2647D" w:rsidRDefault="00782139" w:rsidP="00782139">
      <w:pPr>
        <w:pStyle w:val="NoSpacing"/>
        <w:ind w:left="720"/>
        <w:rPr>
          <w:bCs/>
        </w:rPr>
      </w:pPr>
      <w:r w:rsidRPr="00E2647D">
        <w:t>from playing softball and golf. The Appellee said that at the time of the hearing his</w:t>
      </w:r>
    </w:p>
    <w:p w14:paraId="3E08C0BB" w14:textId="77777777" w:rsidR="00782139" w:rsidRPr="00C06A4E" w:rsidRDefault="00782139" w:rsidP="00782139">
      <w:pPr>
        <w:pStyle w:val="NoSpacing"/>
        <w:ind w:left="720"/>
        <w:rPr>
          <w:bCs/>
        </w:rPr>
      </w:pPr>
      <w:r w:rsidRPr="00E2647D">
        <w:t>symptoms had not resolved. The Appellee said he still had pain during 24-hour shifts,</w:t>
      </w:r>
      <w:r>
        <w:t xml:space="preserve"> </w:t>
      </w:r>
      <w:r w:rsidRPr="00C06A4E">
        <w:t>especially when he was crawling around. The pain was shooting pain down his back and</w:t>
      </w:r>
    </w:p>
    <w:p w14:paraId="70D68A6A" w14:textId="77777777" w:rsidR="00782139" w:rsidRDefault="00782139" w:rsidP="00782139">
      <w:pPr>
        <w:pStyle w:val="NoSpacing"/>
        <w:ind w:left="720"/>
        <w:rPr>
          <w:bCs/>
        </w:rPr>
      </w:pPr>
      <w:r w:rsidRPr="00C06A4E">
        <w:t>he experienced stiffness between his shoulder blades.</w:t>
      </w:r>
      <w:r>
        <w:t>”</w:t>
      </w:r>
    </w:p>
    <w:p w14:paraId="71890575" w14:textId="77777777" w:rsidR="00782139" w:rsidRDefault="00782139" w:rsidP="00782139">
      <w:pPr>
        <w:pStyle w:val="NoSpacing"/>
        <w:rPr>
          <w:bCs/>
        </w:rPr>
      </w:pPr>
    </w:p>
    <w:p w14:paraId="30A34A92" w14:textId="77777777" w:rsidR="00782139" w:rsidRPr="00552F88" w:rsidRDefault="00782139" w:rsidP="00782139">
      <w:pPr>
        <w:pStyle w:val="NoSpacing"/>
        <w:rPr>
          <w:b/>
        </w:rPr>
      </w:pPr>
      <w:r>
        <w:rPr>
          <w:b/>
        </w:rPr>
        <w:t xml:space="preserve">Legal lesson learned:  Maryland law provides for jury to increase Work Comp award. </w:t>
      </w:r>
    </w:p>
    <w:p w14:paraId="2FABEA8C" w14:textId="77777777" w:rsidR="00782139" w:rsidRDefault="00782139" w:rsidP="00EF1133">
      <w:pPr>
        <w:rPr>
          <w:rFonts w:ascii="Arial Black" w:hAnsi="Arial Black"/>
          <w:b/>
          <w:sz w:val="24"/>
          <w:szCs w:val="24"/>
        </w:rPr>
      </w:pPr>
    </w:p>
    <w:p w14:paraId="4DB6EBA5" w14:textId="77777777" w:rsidR="005E6D64" w:rsidRDefault="005E6D64" w:rsidP="00EF1133">
      <w:pPr>
        <w:rPr>
          <w:rFonts w:ascii="Arial Black" w:hAnsi="Arial Black"/>
          <w:b/>
          <w:sz w:val="24"/>
          <w:szCs w:val="24"/>
        </w:rPr>
      </w:pPr>
    </w:p>
    <w:p w14:paraId="5810C630" w14:textId="376F9DAE" w:rsidR="000624FD" w:rsidRDefault="000624FD" w:rsidP="000624FD">
      <w:pPr>
        <w:pStyle w:val="NoSpacing"/>
        <w:rPr>
          <w:rFonts w:ascii="Arial Black" w:hAnsi="Arial Black"/>
          <w:b/>
          <w:sz w:val="28"/>
          <w:szCs w:val="28"/>
        </w:rPr>
      </w:pPr>
      <w:r>
        <w:rPr>
          <w:rFonts w:ascii="Arial Black" w:hAnsi="Arial Black"/>
          <w:b/>
          <w:sz w:val="28"/>
          <w:szCs w:val="28"/>
        </w:rPr>
        <w:t>6-16</w:t>
      </w:r>
      <w:r w:rsidR="002A0697">
        <w:rPr>
          <w:rFonts w:ascii="Arial Black" w:hAnsi="Arial Black"/>
          <w:b/>
          <w:sz w:val="28"/>
          <w:szCs w:val="28"/>
        </w:rPr>
        <w:t>7</w:t>
      </w:r>
    </w:p>
    <w:p w14:paraId="65DF2835" w14:textId="77777777" w:rsidR="000624FD" w:rsidRDefault="000624FD" w:rsidP="005E6D64">
      <w:pPr>
        <w:pStyle w:val="NoSpacing"/>
        <w:rPr>
          <w:rFonts w:ascii="Arial Black" w:hAnsi="Arial Black"/>
          <w:sz w:val="28"/>
          <w:szCs w:val="28"/>
        </w:rPr>
      </w:pPr>
    </w:p>
    <w:p w14:paraId="2FDED63F" w14:textId="40D6DB7C" w:rsidR="005E6D64" w:rsidRPr="00606633" w:rsidRDefault="005E6D64" w:rsidP="005E6D64">
      <w:pPr>
        <w:pStyle w:val="NoSpacing"/>
        <w:rPr>
          <w:rFonts w:ascii="Arial Black" w:hAnsi="Arial Black"/>
          <w:sz w:val="28"/>
          <w:szCs w:val="28"/>
        </w:rPr>
      </w:pPr>
      <w:r>
        <w:rPr>
          <w:rFonts w:ascii="Arial Black" w:hAnsi="Arial Black"/>
          <w:sz w:val="28"/>
          <w:szCs w:val="28"/>
        </w:rPr>
        <w:t xml:space="preserve">NY: WIDOW – </w:t>
      </w:r>
      <w:r w:rsidR="007A51E6">
        <w:rPr>
          <w:rFonts w:ascii="Arial Black" w:hAnsi="Arial Black"/>
          <w:sz w:val="28"/>
          <w:szCs w:val="28"/>
        </w:rPr>
        <w:t xml:space="preserve">LODD </w:t>
      </w:r>
      <w:r w:rsidR="00042C6A">
        <w:rPr>
          <w:rFonts w:ascii="Arial Black" w:hAnsi="Arial Black"/>
          <w:sz w:val="28"/>
          <w:szCs w:val="28"/>
        </w:rPr>
        <w:t xml:space="preserve">BENEFITS </w:t>
      </w:r>
      <w:r w:rsidR="00693E53">
        <w:rPr>
          <w:rFonts w:ascii="Arial Black" w:hAnsi="Arial Black"/>
          <w:sz w:val="28"/>
          <w:szCs w:val="28"/>
        </w:rPr>
        <w:t>–</w:t>
      </w:r>
      <w:r w:rsidR="00042C6A">
        <w:rPr>
          <w:rFonts w:ascii="Arial Black" w:hAnsi="Arial Black"/>
          <w:sz w:val="28"/>
          <w:szCs w:val="28"/>
        </w:rPr>
        <w:t xml:space="preserve"> </w:t>
      </w:r>
      <w:r>
        <w:rPr>
          <w:rFonts w:ascii="Arial Black" w:hAnsi="Arial Black"/>
          <w:sz w:val="28"/>
          <w:szCs w:val="28"/>
        </w:rPr>
        <w:t>CARDIAC</w:t>
      </w:r>
      <w:r w:rsidR="00693E53">
        <w:rPr>
          <w:rFonts w:ascii="Arial Black" w:hAnsi="Arial Black"/>
          <w:sz w:val="28"/>
          <w:szCs w:val="28"/>
        </w:rPr>
        <w:t xml:space="preserve"> – NY </w:t>
      </w:r>
      <w:r>
        <w:rPr>
          <w:rFonts w:ascii="Arial Black" w:hAnsi="Arial Black"/>
          <w:sz w:val="28"/>
          <w:szCs w:val="28"/>
        </w:rPr>
        <w:t xml:space="preserve">HEART BILL – EVEN IF COCAINE </w:t>
      </w:r>
    </w:p>
    <w:p w14:paraId="12CE0DD3" w14:textId="77777777" w:rsidR="005E6D64" w:rsidRDefault="005E6D64" w:rsidP="005E6D64">
      <w:pPr>
        <w:pStyle w:val="NoSpacing"/>
      </w:pPr>
    </w:p>
    <w:p w14:paraId="05F51074" w14:textId="77777777" w:rsidR="005E6D64" w:rsidRDefault="005E6D64" w:rsidP="005E6D64">
      <w:pPr>
        <w:pStyle w:val="NoSpacing"/>
        <w:rPr>
          <w:bCs/>
        </w:rPr>
      </w:pPr>
      <w:r>
        <w:t xml:space="preserve">On Aug. 26, 2025, in </w:t>
      </w:r>
      <w:r w:rsidRPr="00B80F96">
        <w:rPr>
          <w:u w:val="single"/>
        </w:rPr>
        <w:t>Deborah Morrison-Morgan v. Robert Tucker, The Board of Trustees of the New York City Fire Department</w:t>
      </w:r>
      <w:r>
        <w:t xml:space="preserve">, the </w:t>
      </w:r>
      <w:r w:rsidRPr="00B80F96">
        <w:t xml:space="preserve">Supreme Court, </w:t>
      </w:r>
      <w:r>
        <w:t xml:space="preserve">Justice Jeffrey H. Pearlman, Supreme Court, </w:t>
      </w:r>
      <w:r w:rsidRPr="00B80F96">
        <w:t>New York County</w:t>
      </w:r>
      <w:r>
        <w:t xml:space="preserve"> held (unpublished decision) that the widow is entitled to line-of-duty death benefits under the Heart Bill’s statutory presumption, even if autopsy revealed cocaine.  </w:t>
      </w:r>
    </w:p>
    <w:p w14:paraId="2584D97B" w14:textId="77777777" w:rsidR="005E6D64" w:rsidRDefault="005E6D64" w:rsidP="005E6D64">
      <w:pPr>
        <w:pStyle w:val="NoSpacing"/>
        <w:rPr>
          <w:bCs/>
        </w:rPr>
      </w:pPr>
    </w:p>
    <w:p w14:paraId="74980505" w14:textId="77777777" w:rsidR="005E6D64" w:rsidRDefault="005E6D64" w:rsidP="005E6D64">
      <w:pPr>
        <w:pStyle w:val="NoSpacing"/>
      </w:pPr>
      <w:r w:rsidRPr="002B48FE">
        <w:rPr>
          <w:b/>
        </w:rPr>
        <w:t>THE COURT HELD:</w:t>
      </w:r>
      <w:r>
        <w:t xml:space="preserve"> “[W]hen Decedent joined the FDNY, he passed his physical examination … revealed no heart conditions. Decedent died while serving as an FDNY firefighter and his autopsy report listed cardiomegaly and coronary atherosclerosis, moderate, both heart diseases…. These facts plainly qualify Petitioner for the statutory presumption that t</w:t>
      </w:r>
      <w:r w:rsidRPr="00430B2A">
        <w:t>he Heart Bill provides.</w:t>
      </w:r>
      <w:r>
        <w:t xml:space="preserve">”  </w:t>
      </w:r>
      <w:hyperlink r:id="rId1066" w:history="1">
        <w:r w:rsidRPr="008D04E3">
          <w:rPr>
            <w:rStyle w:val="Hyperlink"/>
          </w:rPr>
          <w:t>https://cases.justia.com/new-york/other-courts/2025-2025-ny-slip-op-33207-u.pdf?ts=1757714614</w:t>
        </w:r>
      </w:hyperlink>
      <w:r>
        <w:t xml:space="preserve"> </w:t>
      </w:r>
    </w:p>
    <w:p w14:paraId="070579A5" w14:textId="77777777" w:rsidR="005E6D64" w:rsidRDefault="005E6D64" w:rsidP="005E6D64">
      <w:pPr>
        <w:rPr>
          <w:bCs/>
        </w:rPr>
      </w:pPr>
    </w:p>
    <w:p w14:paraId="781866E9" w14:textId="77777777" w:rsidR="005E6D64" w:rsidRPr="002B48FE" w:rsidRDefault="005E6D64" w:rsidP="005E6D64">
      <w:pPr>
        <w:rPr>
          <w:b/>
        </w:rPr>
      </w:pPr>
      <w:r w:rsidRPr="002B48FE">
        <w:rPr>
          <w:b/>
        </w:rPr>
        <w:t>KEY FACTS:</w:t>
      </w:r>
    </w:p>
    <w:p w14:paraId="5B30ECC8" w14:textId="77777777" w:rsidR="005E6D64" w:rsidRPr="007B337D" w:rsidRDefault="005E6D64" w:rsidP="005E6D64">
      <w:pPr>
        <w:pStyle w:val="NoSpacing"/>
        <w:ind w:firstLine="720"/>
        <w:rPr>
          <w:bCs/>
        </w:rPr>
      </w:pPr>
      <w:r>
        <w:lastRenderedPageBreak/>
        <w:t>“</w:t>
      </w:r>
      <w:r w:rsidRPr="007B337D">
        <w:t>Petitioner is the widow and beneficiary</w:t>
      </w:r>
      <w:r>
        <w:t xml:space="preserve"> </w:t>
      </w:r>
      <w:r w:rsidRPr="007B337D">
        <w:t>of</w:t>
      </w:r>
      <w:r>
        <w:t xml:space="preserve"> </w:t>
      </w:r>
      <w:r w:rsidRPr="007B337D">
        <w:t>FDNY Firefighter John P. Morgan</w:t>
      </w:r>
    </w:p>
    <w:p w14:paraId="7EF8A379" w14:textId="77777777" w:rsidR="005E6D64" w:rsidRPr="007B337D" w:rsidRDefault="005E6D64" w:rsidP="005E6D64">
      <w:pPr>
        <w:pStyle w:val="NoSpacing"/>
        <w:ind w:left="720"/>
        <w:rPr>
          <w:bCs/>
        </w:rPr>
      </w:pPr>
      <w:r w:rsidRPr="007B337D">
        <w:t>(</w:t>
      </w:r>
      <w:r>
        <w:t>‘</w:t>
      </w:r>
      <w:r w:rsidRPr="007B337D">
        <w:t>Decedent</w:t>
      </w:r>
      <w:r>
        <w:t>’</w:t>
      </w:r>
      <w:r w:rsidRPr="007B337D">
        <w:t xml:space="preserve">). Decedent served as a Firefighter in the FDNY from August 5, </w:t>
      </w:r>
      <w:proofErr w:type="gramStart"/>
      <w:r w:rsidRPr="007B337D">
        <w:t>2007</w:t>
      </w:r>
      <w:proofErr w:type="gramEnd"/>
      <w:r w:rsidRPr="007B337D">
        <w:t xml:space="preserve"> continuously</w:t>
      </w:r>
      <w:r>
        <w:t xml:space="preserve"> </w:t>
      </w:r>
      <w:r w:rsidRPr="007B337D">
        <w:t>until his death on July 4, 2024. On June 17, 2023, the FDNY Bureau</w:t>
      </w:r>
    </w:p>
    <w:p w14:paraId="23A44B99" w14:textId="77777777" w:rsidR="005E6D64" w:rsidRDefault="005E6D64" w:rsidP="005E6D64">
      <w:pPr>
        <w:pStyle w:val="NoSpacing"/>
        <w:ind w:left="720"/>
        <w:rPr>
          <w:bCs/>
        </w:rPr>
      </w:pPr>
      <w:r w:rsidRPr="007B337D">
        <w:t>Of</w:t>
      </w:r>
      <w:r>
        <w:t xml:space="preserve"> </w:t>
      </w:r>
      <w:r w:rsidRPr="007B337D">
        <w:t xml:space="preserve">Health </w:t>
      </w:r>
      <w:proofErr w:type="gramStart"/>
      <w:r w:rsidRPr="007B337D">
        <w:t>Services</w:t>
      </w:r>
      <w:r>
        <w:t xml:space="preserve"> </w:t>
      </w:r>
      <w:r w:rsidRPr="005516F1">
        <w:t>(</w:t>
      </w:r>
      <w:r>
        <w:t>‘</w:t>
      </w:r>
      <w:proofErr w:type="gramEnd"/>
      <w:r w:rsidRPr="005516F1">
        <w:t>BHS</w:t>
      </w:r>
      <w:r>
        <w:t>’</w:t>
      </w:r>
      <w:r w:rsidRPr="005516F1">
        <w:t xml:space="preserve">) examined Decedent due to a </w:t>
      </w:r>
      <w:proofErr w:type="gramStart"/>
      <w:r w:rsidRPr="005516F1">
        <w:t>service connected</w:t>
      </w:r>
      <w:proofErr w:type="gramEnd"/>
      <w:r w:rsidRPr="005516F1">
        <w:t xml:space="preserve"> injury. Pet. </w:t>
      </w:r>
      <w:proofErr w:type="spellStart"/>
      <w:r w:rsidRPr="005516F1">
        <w:t>Exh</w:t>
      </w:r>
      <w:proofErr w:type="spellEnd"/>
      <w:r w:rsidRPr="005516F1">
        <w:t>. A., NYSCEF Doc. No.</w:t>
      </w:r>
      <w:r>
        <w:t xml:space="preserve"> </w:t>
      </w:r>
      <w:r w:rsidRPr="005516F1">
        <w:t>3. In BHS's Examination Report, decedent's blood pressure reading was 157/98, a reading</w:t>
      </w:r>
      <w:r>
        <w:t xml:space="preserve"> </w:t>
      </w:r>
      <w:r w:rsidRPr="005516F1">
        <w:t>consistent with Stage II Hypertension. Id. On July 1, 2023, a BHS Clinic-Triage report measured</w:t>
      </w:r>
      <w:r>
        <w:t xml:space="preserve"> </w:t>
      </w:r>
      <w:r w:rsidRPr="005516F1">
        <w:t>Decedent's blood pressure at 157/98, also consistent with Stage II Hypertension</w:t>
      </w:r>
      <w:r>
        <w:t xml:space="preserve">…. </w:t>
      </w:r>
      <w:r w:rsidRPr="005516F1">
        <w:t>Decedent died on July 4, 2023, during active service; an autopsy reported</w:t>
      </w:r>
      <w:r>
        <w:t xml:space="preserve"> </w:t>
      </w:r>
      <w:r w:rsidRPr="005516F1">
        <w:t xml:space="preserve">the cause of death as </w:t>
      </w:r>
      <w:r>
        <w:t>‘</w:t>
      </w:r>
      <w:r w:rsidRPr="005516F1">
        <w:t>cardiomegaly with recent cocaine use" with pathological diagnoses</w:t>
      </w:r>
      <w:r>
        <w:t xml:space="preserve"> </w:t>
      </w:r>
      <w:r w:rsidRPr="005516F1">
        <w:t>including</w:t>
      </w:r>
      <w:r>
        <w:t xml:space="preserve">’ </w:t>
      </w:r>
      <w:r w:rsidRPr="005516F1">
        <w:t>coronary atherosclerosis, moderate</w:t>
      </w:r>
      <w:r>
        <w:t>….’</w:t>
      </w:r>
      <w:r w:rsidRPr="005516F1">
        <w:t xml:space="preserve"> </w:t>
      </w:r>
    </w:p>
    <w:p w14:paraId="70F5031F" w14:textId="77777777" w:rsidR="005E6D64" w:rsidRDefault="005E6D64" w:rsidP="005E6D64">
      <w:pPr>
        <w:pStyle w:val="NoSpacing"/>
        <w:ind w:left="720"/>
        <w:rPr>
          <w:bCs/>
        </w:rPr>
      </w:pPr>
    </w:p>
    <w:p w14:paraId="0285B49A" w14:textId="77777777" w:rsidR="005E6D64" w:rsidRPr="00ED7AB1" w:rsidRDefault="005E6D64" w:rsidP="005E6D64">
      <w:pPr>
        <w:pStyle w:val="NoSpacing"/>
        <w:ind w:left="720"/>
        <w:rPr>
          <w:bCs/>
        </w:rPr>
      </w:pPr>
      <w:r w:rsidRPr="00ED7AB1">
        <w:t>Petitioner filed an Application for Administrative Line-of-Duty Pension with the FDF on</w:t>
      </w:r>
    </w:p>
    <w:p w14:paraId="5E6E20A1" w14:textId="77777777" w:rsidR="005E6D64" w:rsidRDefault="005E6D64" w:rsidP="005E6D64">
      <w:pPr>
        <w:pStyle w:val="NoSpacing"/>
        <w:ind w:left="720"/>
        <w:rPr>
          <w:bCs/>
        </w:rPr>
      </w:pPr>
      <w:r w:rsidRPr="00ED7AB1">
        <w:t>September 11, 2023</w:t>
      </w:r>
      <w:r>
        <w:t>….</w:t>
      </w:r>
      <w:r w:rsidRPr="00ED7AB1">
        <w:t xml:space="preserve"> On January 2, 2024, the FPF Medical</w:t>
      </w:r>
      <w:r>
        <w:t xml:space="preserve"> </w:t>
      </w:r>
      <w:r w:rsidRPr="00ED7AB1">
        <w:t xml:space="preserve">Board declined Petitioner's application on the grounds that it was </w:t>
      </w:r>
      <w:r>
        <w:t>‘</w:t>
      </w:r>
      <w:r w:rsidRPr="00ED7AB1">
        <w:t>not possible to define the</w:t>
      </w:r>
      <w:r>
        <w:t xml:space="preserve"> </w:t>
      </w:r>
      <w:r w:rsidRPr="00ED7AB1">
        <w:t>basis for [Decedent]'s death ... [as] cardiomegaly ... does not define the etiology of his death.</w:t>
      </w:r>
      <w:r>
        <w:t xml:space="preserve">’ … </w:t>
      </w:r>
      <w:r w:rsidRPr="00ED7AB1">
        <w:t xml:space="preserve">The Medical Board further cited </w:t>
      </w:r>
      <w:r>
        <w:t>‘</w:t>
      </w:r>
      <w:r w:rsidRPr="00ED7AB1">
        <w:t>evidence of recent cocaine use</w:t>
      </w:r>
      <w:r>
        <w:t xml:space="preserve">’ </w:t>
      </w:r>
      <w:r w:rsidRPr="00ED7AB1">
        <w:t>as a factor obscuring Decedent's cause of death. Id. On May 29, 2024, the Board of Trustees</w:t>
      </w:r>
      <w:r>
        <w:t xml:space="preserve"> </w:t>
      </w:r>
      <w:r w:rsidRPr="00ED7AB1">
        <w:t xml:space="preserve">denied Petitioner's application based on the Medical Board </w:t>
      </w:r>
      <w:proofErr w:type="gramStart"/>
      <w:r w:rsidRPr="00ED7AB1">
        <w:t>recommendation.</w:t>
      </w:r>
      <w:r>
        <w:t>”</w:t>
      </w:r>
      <w:proofErr w:type="gramEnd"/>
    </w:p>
    <w:p w14:paraId="41E6B288" w14:textId="77777777" w:rsidR="005E6D64" w:rsidRDefault="005E6D64" w:rsidP="005E6D64">
      <w:pPr>
        <w:pStyle w:val="NoSpacing"/>
        <w:rPr>
          <w:b/>
          <w:bCs/>
        </w:rPr>
      </w:pPr>
    </w:p>
    <w:p w14:paraId="4A5BE76B" w14:textId="77777777" w:rsidR="005E6D64" w:rsidRPr="00466C63" w:rsidRDefault="005E6D64" w:rsidP="005E6D64">
      <w:pPr>
        <w:pStyle w:val="NoSpacing"/>
        <w:rPr>
          <w:b/>
          <w:bCs/>
        </w:rPr>
      </w:pPr>
      <w:r>
        <w:rPr>
          <w:b/>
        </w:rPr>
        <w:t>Legal lesson learned</w:t>
      </w:r>
      <w:proofErr w:type="gramStart"/>
      <w:r>
        <w:rPr>
          <w:b/>
        </w:rPr>
        <w:t>: The</w:t>
      </w:r>
      <w:r>
        <w:rPr>
          <w:b/>
          <w:bCs/>
        </w:rPr>
        <w:t xml:space="preserve"> </w:t>
      </w:r>
      <w:r>
        <w:rPr>
          <w:b/>
        </w:rPr>
        <w:t>statutory</w:t>
      </w:r>
      <w:proofErr w:type="gramEnd"/>
      <w:r>
        <w:rPr>
          <w:b/>
        </w:rPr>
        <w:t xml:space="preserve"> presumption in the Heart Bill controls, even if there is evidence of cocaine use. </w:t>
      </w:r>
    </w:p>
    <w:p w14:paraId="7019FBD4" w14:textId="77777777" w:rsidR="005E6D64" w:rsidRDefault="005E6D64" w:rsidP="00EF1133">
      <w:pPr>
        <w:rPr>
          <w:rFonts w:ascii="Arial Black" w:hAnsi="Arial Black"/>
          <w:b/>
          <w:sz w:val="24"/>
          <w:szCs w:val="24"/>
        </w:rPr>
      </w:pPr>
    </w:p>
    <w:p w14:paraId="28943BD2" w14:textId="77777777" w:rsidR="00D44956" w:rsidRDefault="00D44956" w:rsidP="00EF1133">
      <w:pPr>
        <w:rPr>
          <w:rFonts w:ascii="Arial Black" w:hAnsi="Arial Black"/>
          <w:b/>
          <w:sz w:val="24"/>
          <w:szCs w:val="24"/>
        </w:rPr>
      </w:pPr>
    </w:p>
    <w:p w14:paraId="15FB7053" w14:textId="67D0D791" w:rsidR="002F205D" w:rsidRDefault="002F205D" w:rsidP="0086215E">
      <w:pPr>
        <w:pStyle w:val="NoSpacing"/>
        <w:rPr>
          <w:rFonts w:ascii="Arial Black" w:hAnsi="Arial Black"/>
          <w:b/>
          <w:sz w:val="28"/>
          <w:szCs w:val="28"/>
        </w:rPr>
      </w:pPr>
      <w:r>
        <w:rPr>
          <w:rFonts w:ascii="Arial Black" w:hAnsi="Arial Black"/>
          <w:b/>
          <w:sz w:val="28"/>
          <w:szCs w:val="28"/>
        </w:rPr>
        <w:t>6-16</w:t>
      </w:r>
      <w:r w:rsidR="002A0697">
        <w:rPr>
          <w:rFonts w:ascii="Arial Black" w:hAnsi="Arial Black"/>
          <w:b/>
          <w:sz w:val="28"/>
          <w:szCs w:val="28"/>
        </w:rPr>
        <w:t>6</w:t>
      </w:r>
    </w:p>
    <w:p w14:paraId="24B5C097" w14:textId="77777777" w:rsidR="002F205D" w:rsidRDefault="002F205D" w:rsidP="0086215E">
      <w:pPr>
        <w:pStyle w:val="NoSpacing"/>
        <w:rPr>
          <w:rFonts w:ascii="Arial Black" w:hAnsi="Arial Black"/>
          <w:b/>
          <w:sz w:val="28"/>
          <w:szCs w:val="28"/>
        </w:rPr>
      </w:pPr>
    </w:p>
    <w:p w14:paraId="0C0308E4" w14:textId="6A10E1DD" w:rsidR="0086215E" w:rsidRPr="0084729D" w:rsidRDefault="0086215E" w:rsidP="0086215E">
      <w:pPr>
        <w:pStyle w:val="NoSpacing"/>
        <w:rPr>
          <w:rFonts w:ascii="Arial Black" w:hAnsi="Arial Black"/>
          <w:b/>
          <w:sz w:val="28"/>
          <w:szCs w:val="28"/>
        </w:rPr>
      </w:pPr>
      <w:r>
        <w:rPr>
          <w:rFonts w:ascii="Arial Black" w:hAnsi="Arial Black"/>
          <w:b/>
          <w:sz w:val="28"/>
          <w:szCs w:val="28"/>
        </w:rPr>
        <w:t xml:space="preserve">IL: FF BACK INJURY – NOT CREDIBLE CLAIM </w:t>
      </w:r>
    </w:p>
    <w:p w14:paraId="6B78C973" w14:textId="77777777" w:rsidR="0086215E" w:rsidRDefault="0086215E" w:rsidP="0086215E">
      <w:pPr>
        <w:pStyle w:val="NoSpacing"/>
        <w:rPr>
          <w:bCs/>
        </w:rPr>
      </w:pPr>
    </w:p>
    <w:p w14:paraId="68F032A4" w14:textId="13D52A94" w:rsidR="003B3DED" w:rsidRPr="00483671" w:rsidRDefault="0086215E" w:rsidP="0086215E">
      <w:pPr>
        <w:pStyle w:val="NoSpacing"/>
        <w:rPr>
          <w:rFonts w:ascii="Times New Roman" w:hAnsi="Times New Roman"/>
          <w:sz w:val="24"/>
          <w:szCs w:val="24"/>
        </w:rPr>
      </w:pPr>
      <w:r w:rsidRPr="00483671">
        <w:rPr>
          <w:rFonts w:ascii="Times New Roman" w:hAnsi="Times New Roman"/>
          <w:sz w:val="24"/>
          <w:szCs w:val="24"/>
        </w:rPr>
        <w:t xml:space="preserve">On July 25, 2025, in </w:t>
      </w:r>
      <w:r w:rsidRPr="00483671">
        <w:rPr>
          <w:rFonts w:ascii="Times New Roman" w:hAnsi="Times New Roman"/>
          <w:sz w:val="24"/>
          <w:szCs w:val="24"/>
          <w:u w:val="single"/>
        </w:rPr>
        <w:t>Nicholas Witteman v. Brookfield Firefighters’ Pension Fund</w:t>
      </w:r>
      <w:r w:rsidRPr="00483671">
        <w:rPr>
          <w:rFonts w:ascii="Times New Roman" w:hAnsi="Times New Roman"/>
          <w:sz w:val="24"/>
          <w:szCs w:val="24"/>
        </w:rPr>
        <w:t xml:space="preserve">, the Court of Appeals of Illinois, First District, Sixth Division held (3 to 0) that the Board properly denied the firefighter a line-of-duty pension; only receive disability pension.  His credibility was challenged by testimony of fellow firefighters; patient used Hoyer Lift to put himself on stretcher; firefighter [and union President] never said he was injured, went on two more runs. THE COURT WROTE: “The Board concluded that Witteman was disabled </w:t>
      </w:r>
      <w:proofErr w:type="gramStart"/>
      <w:r w:rsidRPr="00483671">
        <w:rPr>
          <w:rFonts w:ascii="Times New Roman" w:hAnsi="Times New Roman"/>
          <w:sz w:val="24"/>
          <w:szCs w:val="24"/>
        </w:rPr>
        <w:t>but,</w:t>
      </w:r>
      <w:proofErr w:type="gramEnd"/>
      <w:r w:rsidRPr="00483671">
        <w:rPr>
          <w:rFonts w:ascii="Times New Roman" w:hAnsi="Times New Roman"/>
          <w:sz w:val="24"/>
          <w:szCs w:val="24"/>
        </w:rPr>
        <w:t xml:space="preserve"> based on his demeanor and credibility, as well as the testimony of others, determined that he did not injure his back by lifting the patient and, thus, unrelated to his job.” </w:t>
      </w:r>
      <w:hyperlink r:id="rId1067" w:history="1">
        <w:r w:rsidRPr="00483671">
          <w:rPr>
            <w:rStyle w:val="Hyperlink"/>
            <w:rFonts w:ascii="Times New Roman" w:hAnsi="Times New Roman"/>
            <w:sz w:val="24"/>
            <w:szCs w:val="24"/>
          </w:rPr>
          <w:t>https://ilcourtsaudio.blob.core.windows.net/antilles-resources/resources/f07642b7-1e8b-438e-bd0d-cfbc858fbc9b/Witteman%20v.%20Brookfield%20Firefighters%20Pension%20Fund%202025%20IL%20App%20(1st)%20241278.pdf</w:t>
        </w:r>
      </w:hyperlink>
    </w:p>
    <w:p w14:paraId="2FF8AC72" w14:textId="77777777" w:rsidR="00483671" w:rsidRPr="00483671" w:rsidRDefault="00483671" w:rsidP="00483671">
      <w:pPr>
        <w:pStyle w:val="NoSpacing"/>
        <w:rPr>
          <w:rFonts w:ascii="Times New Roman" w:hAnsi="Times New Roman"/>
          <w:b/>
          <w:sz w:val="24"/>
          <w:szCs w:val="24"/>
        </w:rPr>
      </w:pPr>
      <w:r w:rsidRPr="00483671">
        <w:rPr>
          <w:rFonts w:ascii="Times New Roman" w:hAnsi="Times New Roman"/>
          <w:b/>
          <w:sz w:val="24"/>
          <w:szCs w:val="24"/>
        </w:rPr>
        <w:t xml:space="preserve">Legal lesson learned:  If injured on the job, inform your crew and your officer and promptly complete an injury form. </w:t>
      </w:r>
    </w:p>
    <w:p w14:paraId="41C14ECB" w14:textId="77777777" w:rsidR="00483671" w:rsidRPr="00483671" w:rsidRDefault="00483671" w:rsidP="0086215E">
      <w:pPr>
        <w:pStyle w:val="NoSpacing"/>
        <w:rPr>
          <w:rFonts w:ascii="Times New Roman" w:hAnsi="Times New Roman"/>
          <w:sz w:val="24"/>
          <w:szCs w:val="24"/>
        </w:rPr>
      </w:pPr>
    </w:p>
    <w:p w14:paraId="100DF6E5" w14:textId="77777777" w:rsidR="003B3DED" w:rsidRDefault="003B3DED" w:rsidP="007C4C98">
      <w:pPr>
        <w:pStyle w:val="NoSpacing"/>
        <w:rPr>
          <w:rFonts w:ascii="Arial Black" w:hAnsi="Arial Black"/>
          <w:sz w:val="28"/>
          <w:szCs w:val="28"/>
        </w:rPr>
      </w:pPr>
    </w:p>
    <w:p w14:paraId="6C7208BE" w14:textId="77777777" w:rsidR="003B3DED" w:rsidRDefault="003B3DED" w:rsidP="007C4C98">
      <w:pPr>
        <w:pStyle w:val="NoSpacing"/>
        <w:rPr>
          <w:rFonts w:ascii="Arial Black" w:hAnsi="Arial Black"/>
          <w:sz w:val="28"/>
          <w:szCs w:val="28"/>
        </w:rPr>
      </w:pPr>
    </w:p>
    <w:p w14:paraId="101C00A3" w14:textId="785AC5F7" w:rsidR="007C4C98" w:rsidRDefault="007C4C98" w:rsidP="007C4C98">
      <w:pPr>
        <w:pStyle w:val="NoSpacing"/>
        <w:rPr>
          <w:rFonts w:ascii="Arial Black" w:hAnsi="Arial Black"/>
          <w:sz w:val="28"/>
          <w:szCs w:val="28"/>
        </w:rPr>
      </w:pPr>
      <w:r>
        <w:rPr>
          <w:rFonts w:ascii="Arial Black" w:hAnsi="Arial Black"/>
          <w:sz w:val="28"/>
          <w:szCs w:val="28"/>
        </w:rPr>
        <w:t>6-16</w:t>
      </w:r>
      <w:r w:rsidR="002A0697">
        <w:rPr>
          <w:rFonts w:ascii="Arial Black" w:hAnsi="Arial Black"/>
          <w:sz w:val="28"/>
          <w:szCs w:val="28"/>
        </w:rPr>
        <w:t>5</w:t>
      </w:r>
    </w:p>
    <w:p w14:paraId="30FA5F05" w14:textId="77777777" w:rsidR="007C4C98" w:rsidRDefault="007C4C98" w:rsidP="00462481">
      <w:pPr>
        <w:rPr>
          <w:rFonts w:ascii="Arial Black" w:hAnsi="Arial Black"/>
          <w:b/>
          <w:sz w:val="28"/>
          <w:szCs w:val="28"/>
        </w:rPr>
      </w:pPr>
    </w:p>
    <w:p w14:paraId="45D8DCF5" w14:textId="7622D2B5" w:rsidR="00462481" w:rsidRDefault="00462481" w:rsidP="00462481">
      <w:pPr>
        <w:rPr>
          <w:rFonts w:ascii="Arial Black" w:hAnsi="Arial Black"/>
          <w:b/>
          <w:sz w:val="28"/>
          <w:szCs w:val="28"/>
        </w:rPr>
      </w:pPr>
      <w:r>
        <w:rPr>
          <w:rFonts w:ascii="Arial Black" w:hAnsi="Arial Black"/>
          <w:b/>
          <w:sz w:val="28"/>
          <w:szCs w:val="28"/>
        </w:rPr>
        <w:t xml:space="preserve">IL: HEARING LOSS – FF JOB WAS “CONTRIBUTING FACTOR” </w:t>
      </w:r>
    </w:p>
    <w:p w14:paraId="2BA16B63" w14:textId="77777777" w:rsidR="00462481" w:rsidRPr="00E82675" w:rsidRDefault="00462481" w:rsidP="00462481">
      <w:pPr>
        <w:pStyle w:val="NoSpacing"/>
        <w:rPr>
          <w:rFonts w:ascii="Times New Roman" w:hAnsi="Times New Roman"/>
          <w:sz w:val="24"/>
          <w:szCs w:val="24"/>
        </w:rPr>
      </w:pPr>
      <w:r w:rsidRPr="00E82675">
        <w:rPr>
          <w:rFonts w:ascii="Times New Roman" w:hAnsi="Times New Roman"/>
          <w:sz w:val="24"/>
          <w:szCs w:val="24"/>
        </w:rPr>
        <w:t xml:space="preserve">On June 27, 2025, in The </w:t>
      </w:r>
      <w:r w:rsidRPr="00E82675">
        <w:rPr>
          <w:rFonts w:ascii="Times New Roman" w:hAnsi="Times New Roman"/>
          <w:sz w:val="24"/>
          <w:szCs w:val="24"/>
          <w:u w:val="single"/>
        </w:rPr>
        <w:t>Village of Schaumburg v. The Village of Schaumburg Firefighters’ Pension Fund, and Phillip Reid, et al</w:t>
      </w:r>
      <w:r w:rsidRPr="00E82675">
        <w:rPr>
          <w:rFonts w:ascii="Times New Roman" w:hAnsi="Times New Roman"/>
          <w:sz w:val="24"/>
          <w:szCs w:val="24"/>
        </w:rPr>
        <w:t xml:space="preserve">., the Court of Appeals of Illinois, First District, Sixth Division held (3 to 0) that the Pension Board, upon order of Circuit Court judge, properly reconsidered their previous denial of the duty </w:t>
      </w:r>
      <w:r w:rsidRPr="00E82675">
        <w:rPr>
          <w:rFonts w:ascii="Times New Roman" w:hAnsi="Times New Roman"/>
          <w:sz w:val="24"/>
          <w:szCs w:val="24"/>
        </w:rPr>
        <w:lastRenderedPageBreak/>
        <w:t xml:space="preserve">caused injury pension, and awarded the improved pension.  Phillip Reid served 32 years as a firefighter, and part-time at another fire department.  He developed hearing loss in 2009 and began wearing hearing aids.  In January 2017, he applied for a line-of-duty disability pension and retired, claiming that the noise from his job as a Village firefighter caused his hearing loss.  THE COURT HELD: “The record supports the Board’s conclusion that Ried suffered from a hearing loss disability and his duty-related activities were a contributing or exacerbating factor. We do not reweigh the evidence or independently assess the facts…. Thus, the Board’s decision to grant Ried a line of duty disability pension was not against the manifest weight of the evidence.” </w:t>
      </w:r>
      <w:hyperlink r:id="rId1068" w:history="1">
        <w:r w:rsidRPr="00E82675">
          <w:rPr>
            <w:rStyle w:val="Hyperlink"/>
            <w:rFonts w:ascii="Times New Roman" w:hAnsi="Times New Roman"/>
            <w:sz w:val="24"/>
            <w:szCs w:val="24"/>
          </w:rPr>
          <w:t>https://ilcourtsaudio.blob.core.windows.net/antilles-resources/resources/b97cd9d5-bd7a-4b80-8ae7-ba3200915f21/Village%20of%20Schaumburg%20v.%20VoS%20Firefighters%E2%80%99%20Pension%20Fund%202025%20IL%20App%20(1st)%20241764.pdf</w:t>
        </w:r>
      </w:hyperlink>
      <w:r w:rsidRPr="00E82675">
        <w:rPr>
          <w:rFonts w:ascii="Times New Roman" w:hAnsi="Times New Roman"/>
          <w:sz w:val="24"/>
          <w:szCs w:val="24"/>
        </w:rPr>
        <w:t xml:space="preserve"> </w:t>
      </w:r>
    </w:p>
    <w:p w14:paraId="3EFA355D" w14:textId="77777777" w:rsidR="00E82675" w:rsidRPr="00E82675" w:rsidRDefault="00E82675" w:rsidP="00E82675">
      <w:pPr>
        <w:pStyle w:val="NoSpacing"/>
        <w:rPr>
          <w:rFonts w:ascii="Times New Roman" w:hAnsi="Times New Roman"/>
          <w:b/>
          <w:sz w:val="24"/>
          <w:szCs w:val="24"/>
        </w:rPr>
      </w:pPr>
    </w:p>
    <w:p w14:paraId="472F9133" w14:textId="02D1A02B" w:rsidR="00E82675" w:rsidRPr="00E82675" w:rsidRDefault="00E82675" w:rsidP="00E82675">
      <w:pPr>
        <w:pStyle w:val="NoSpacing"/>
        <w:rPr>
          <w:rFonts w:ascii="Times New Roman" w:hAnsi="Times New Roman"/>
          <w:b/>
          <w:bCs/>
          <w:sz w:val="24"/>
          <w:szCs w:val="24"/>
        </w:rPr>
      </w:pPr>
      <w:r w:rsidRPr="00E82675">
        <w:rPr>
          <w:rFonts w:ascii="Times New Roman" w:hAnsi="Times New Roman"/>
          <w:b/>
          <w:sz w:val="24"/>
          <w:szCs w:val="24"/>
        </w:rPr>
        <w:t xml:space="preserve">Legal lesson learned: It was a classic “battle of the experts.”  Many states have enacted a “statutory presumption” that certain illnesses, such as cancer and heart disease, are caused by the job to avoid these types of extended legal battles. </w:t>
      </w:r>
    </w:p>
    <w:p w14:paraId="06E22EAB" w14:textId="77777777" w:rsidR="00E82675" w:rsidRPr="00E82675" w:rsidRDefault="00E82675" w:rsidP="00E82675">
      <w:pPr>
        <w:pStyle w:val="NoSpacing"/>
        <w:rPr>
          <w:rFonts w:ascii="Times New Roman" w:hAnsi="Times New Roman"/>
          <w:sz w:val="24"/>
          <w:szCs w:val="24"/>
        </w:rPr>
      </w:pPr>
    </w:p>
    <w:p w14:paraId="2E250122" w14:textId="77777777" w:rsidR="00E82675" w:rsidRPr="00E82675" w:rsidRDefault="00E82675" w:rsidP="00E82675">
      <w:pPr>
        <w:ind w:left="720"/>
        <w:rPr>
          <w:rFonts w:ascii="Times New Roman" w:hAnsi="Times New Roman"/>
          <w:bCs/>
          <w:sz w:val="24"/>
          <w:szCs w:val="24"/>
        </w:rPr>
      </w:pPr>
      <w:r w:rsidRPr="00E82675">
        <w:rPr>
          <w:rFonts w:ascii="Times New Roman" w:hAnsi="Times New Roman"/>
          <w:sz w:val="24"/>
          <w:szCs w:val="24"/>
        </w:rPr>
        <w:t xml:space="preserve">Note: See Illinois House Bill 3392 (filed 2023) seeking to include hearing loss to the list of diseases for which certain firefighters may be eligible for an occupational disease disability pension. </w:t>
      </w:r>
      <w:hyperlink r:id="rId1069" w:history="1">
        <w:r w:rsidRPr="00E82675">
          <w:rPr>
            <w:rStyle w:val="Hyperlink"/>
            <w:rFonts w:ascii="Times New Roman" w:hAnsi="Times New Roman"/>
            <w:sz w:val="24"/>
            <w:szCs w:val="24"/>
          </w:rPr>
          <w:t>https://www.ilga.gov/legislation/BillStatus.asp?DocNum=3392&amp;GAID=17&amp;DocTypeID=HB&amp;LegId=148558&amp;SessionID=112&amp;GA=103</w:t>
        </w:r>
      </w:hyperlink>
    </w:p>
    <w:p w14:paraId="33433332" w14:textId="77777777" w:rsidR="00462481" w:rsidRPr="00E82675" w:rsidRDefault="00462481" w:rsidP="00015CB5">
      <w:pPr>
        <w:rPr>
          <w:rFonts w:ascii="Times New Roman" w:hAnsi="Times New Roman"/>
          <w:b/>
          <w:sz w:val="24"/>
          <w:szCs w:val="24"/>
        </w:rPr>
      </w:pPr>
    </w:p>
    <w:p w14:paraId="5D391A12" w14:textId="77777777" w:rsidR="00462481" w:rsidRDefault="00462481" w:rsidP="00015CB5">
      <w:pPr>
        <w:rPr>
          <w:rFonts w:ascii="Arial Black" w:hAnsi="Arial Black"/>
          <w:b/>
          <w:sz w:val="28"/>
          <w:szCs w:val="28"/>
        </w:rPr>
      </w:pPr>
    </w:p>
    <w:p w14:paraId="3BC77956" w14:textId="231EC196" w:rsidR="007C4C98" w:rsidRDefault="007C4C98" w:rsidP="007C4C98">
      <w:pPr>
        <w:pStyle w:val="NoSpacing"/>
        <w:rPr>
          <w:rFonts w:ascii="Arial Black" w:hAnsi="Arial Black"/>
          <w:sz w:val="28"/>
          <w:szCs w:val="28"/>
        </w:rPr>
      </w:pPr>
      <w:r>
        <w:rPr>
          <w:rFonts w:ascii="Arial Black" w:hAnsi="Arial Black"/>
          <w:sz w:val="28"/>
          <w:szCs w:val="28"/>
        </w:rPr>
        <w:t>6-16</w:t>
      </w:r>
      <w:r w:rsidR="002A0697">
        <w:rPr>
          <w:rFonts w:ascii="Arial Black" w:hAnsi="Arial Black"/>
          <w:sz w:val="28"/>
          <w:szCs w:val="28"/>
        </w:rPr>
        <w:t>4</w:t>
      </w:r>
    </w:p>
    <w:p w14:paraId="69757A7D" w14:textId="77777777" w:rsidR="007C4C98" w:rsidRDefault="007C4C98" w:rsidP="00015CB5">
      <w:pPr>
        <w:rPr>
          <w:rFonts w:ascii="Arial Black" w:hAnsi="Arial Black"/>
          <w:b/>
          <w:sz w:val="28"/>
          <w:szCs w:val="28"/>
        </w:rPr>
      </w:pPr>
    </w:p>
    <w:p w14:paraId="216DC94F" w14:textId="07C34688" w:rsidR="00015CB5" w:rsidRPr="00453B8C" w:rsidRDefault="00015CB5" w:rsidP="00015CB5">
      <w:pPr>
        <w:rPr>
          <w:rFonts w:ascii="Arial Black" w:hAnsi="Arial Black"/>
          <w:b/>
          <w:sz w:val="28"/>
          <w:szCs w:val="28"/>
        </w:rPr>
      </w:pPr>
      <w:r>
        <w:rPr>
          <w:rFonts w:ascii="Arial Black" w:hAnsi="Arial Black"/>
          <w:b/>
          <w:sz w:val="28"/>
          <w:szCs w:val="28"/>
        </w:rPr>
        <w:t>WA: MILITARY LEAVE - 21 DAYS PAY/ FY – STATE LAW</w:t>
      </w:r>
    </w:p>
    <w:p w14:paraId="0BD09CD1" w14:textId="77777777" w:rsidR="00015CB5" w:rsidRPr="005A4D75" w:rsidRDefault="00015CB5" w:rsidP="00015CB5">
      <w:pPr>
        <w:pStyle w:val="NoSpacing"/>
        <w:rPr>
          <w:rFonts w:ascii="Times New Roman" w:hAnsi="Times New Roman"/>
          <w:sz w:val="24"/>
          <w:szCs w:val="24"/>
        </w:rPr>
      </w:pPr>
      <w:r w:rsidRPr="005A4D75">
        <w:rPr>
          <w:rFonts w:ascii="Times New Roman" w:hAnsi="Times New Roman"/>
          <w:sz w:val="24"/>
          <w:szCs w:val="24"/>
        </w:rPr>
        <w:t xml:space="preserve">On June 26, 2025, in </w:t>
      </w:r>
      <w:r w:rsidRPr="005A4D75">
        <w:rPr>
          <w:rFonts w:ascii="Times New Roman" w:hAnsi="Times New Roman"/>
          <w:sz w:val="24"/>
          <w:szCs w:val="24"/>
          <w:u w:val="single"/>
        </w:rPr>
        <w:t>Travis Bearden v. City of Ocean Shores, et al</w:t>
      </w:r>
      <w:r w:rsidRPr="005A4D75">
        <w:rPr>
          <w:rFonts w:ascii="Times New Roman" w:hAnsi="Times New Roman"/>
          <w:sz w:val="24"/>
          <w:szCs w:val="24"/>
        </w:rPr>
        <w:t>., the Supreme Court of Washington held (</w:t>
      </w:r>
      <w:proofErr w:type="spellStart"/>
      <w:r w:rsidRPr="005A4D75">
        <w:rPr>
          <w:rFonts w:ascii="Times New Roman" w:hAnsi="Times New Roman"/>
          <w:sz w:val="24"/>
          <w:szCs w:val="24"/>
        </w:rPr>
        <w:t>en</w:t>
      </w:r>
      <w:proofErr w:type="spellEnd"/>
      <w:r w:rsidRPr="005A4D75">
        <w:rPr>
          <w:rFonts w:ascii="Times New Roman" w:hAnsi="Times New Roman"/>
          <w:sz w:val="24"/>
          <w:szCs w:val="24"/>
        </w:rPr>
        <w:t xml:space="preserve"> banc; all 9 Justices) held that under State law firefighters and other public employees are entitled to 21 days of paid leave when on Reserve or Active duty during each military fiscal year.  Firefighter Travis Bearden has filed a lawsuit in federal court under USERRA when he was not paid the 21 days while on Active duty in Army Reserve for 273 days (August 2020-May 2021) and was therefore not scheduled to work at the fire department.  The State Supreme Court responded to a question for the U.S. Court of Appeals for the 9</w:t>
      </w:r>
      <w:r w:rsidRPr="005A4D75">
        <w:rPr>
          <w:rFonts w:ascii="Times New Roman" w:hAnsi="Times New Roman"/>
          <w:sz w:val="24"/>
          <w:szCs w:val="24"/>
          <w:vertAlign w:val="superscript"/>
        </w:rPr>
        <w:t>th</w:t>
      </w:r>
      <w:r w:rsidRPr="005A4D75">
        <w:rPr>
          <w:rFonts w:ascii="Times New Roman" w:hAnsi="Times New Roman"/>
          <w:sz w:val="24"/>
          <w:szCs w:val="24"/>
        </w:rPr>
        <w:t xml:space="preserve"> Circuit (San Francisco) confirming he is entitled to the 21 days paid leave under state law. THE COURT HELD: “According to the city’s reading of the statute, employers would not have to pay paid military leave at all because once they know an employee will be absent, they would not place them on the schedule. That cannot be what the legislature intended when it </w:t>
      </w:r>
      <w:proofErr w:type="gramStart"/>
      <w:r w:rsidRPr="005A4D75">
        <w:rPr>
          <w:rFonts w:ascii="Times New Roman" w:hAnsi="Times New Roman"/>
          <w:sz w:val="24"/>
          <w:szCs w:val="24"/>
        </w:rPr>
        <w:t>provided that</w:t>
      </w:r>
      <w:proofErr w:type="gramEnd"/>
      <w:r w:rsidRPr="005A4D75">
        <w:rPr>
          <w:rFonts w:ascii="Times New Roman" w:hAnsi="Times New Roman"/>
          <w:sz w:val="24"/>
          <w:szCs w:val="24"/>
        </w:rPr>
        <w:t xml:space="preserve"> service members are entitled to and granted military leave that must be charged to </w:t>
      </w:r>
      <w:proofErr w:type="gramStart"/>
      <w:r w:rsidRPr="005A4D75">
        <w:rPr>
          <w:rFonts w:ascii="Times New Roman" w:hAnsi="Times New Roman"/>
          <w:sz w:val="24"/>
          <w:szCs w:val="24"/>
        </w:rPr>
        <w:t>days</w:t>
      </w:r>
      <w:proofErr w:type="gramEnd"/>
      <w:r w:rsidRPr="005A4D75">
        <w:rPr>
          <w:rFonts w:ascii="Times New Roman" w:hAnsi="Times New Roman"/>
          <w:sz w:val="24"/>
          <w:szCs w:val="24"/>
        </w:rPr>
        <w:t xml:space="preserve"> they are scheduled to work. No rational employer would schedule an employee to work when they know that employee would not be present and, therefore, no employee could ever claim the paid military leave to which they are entitled under RCW 38.40.060.”</w:t>
      </w:r>
    </w:p>
    <w:p w14:paraId="50A3070C" w14:textId="5D1CAB7B" w:rsidR="005263F1" w:rsidRPr="005A4D75" w:rsidRDefault="00015CB5" w:rsidP="00015CB5">
      <w:pPr>
        <w:pStyle w:val="NoSpacing"/>
        <w:rPr>
          <w:rFonts w:ascii="Times New Roman" w:hAnsi="Times New Roman"/>
          <w:sz w:val="24"/>
          <w:szCs w:val="24"/>
        </w:rPr>
      </w:pPr>
      <w:hyperlink r:id="rId1070" w:history="1">
        <w:r w:rsidRPr="005A4D75">
          <w:rPr>
            <w:rStyle w:val="Hyperlink"/>
            <w:rFonts w:ascii="Times New Roman" w:hAnsi="Times New Roman"/>
            <w:sz w:val="24"/>
            <w:szCs w:val="24"/>
          </w:rPr>
          <w:t>https://cases.justia.com/washington/supreme-court/2025-103-121-1.pdf?ts=1750950890</w:t>
        </w:r>
      </w:hyperlink>
    </w:p>
    <w:p w14:paraId="02D71073" w14:textId="77777777" w:rsidR="005263F1" w:rsidRPr="005A4D75" w:rsidRDefault="005263F1" w:rsidP="00683497">
      <w:pPr>
        <w:pStyle w:val="NoSpacing"/>
        <w:rPr>
          <w:rFonts w:ascii="Times New Roman" w:hAnsi="Times New Roman"/>
          <w:sz w:val="24"/>
          <w:szCs w:val="24"/>
        </w:rPr>
      </w:pPr>
    </w:p>
    <w:p w14:paraId="7A0709B2" w14:textId="77777777" w:rsidR="005A4D75" w:rsidRPr="005A4D75" w:rsidRDefault="005A4D75" w:rsidP="005A4D75">
      <w:pPr>
        <w:pStyle w:val="NoSpacing"/>
        <w:rPr>
          <w:rFonts w:ascii="Times New Roman" w:hAnsi="Times New Roman"/>
          <w:b/>
          <w:bCs/>
          <w:sz w:val="24"/>
          <w:szCs w:val="24"/>
        </w:rPr>
      </w:pPr>
      <w:r w:rsidRPr="005A4D75">
        <w:rPr>
          <w:rFonts w:ascii="Times New Roman" w:hAnsi="Times New Roman"/>
          <w:b/>
          <w:sz w:val="24"/>
          <w:szCs w:val="24"/>
        </w:rPr>
        <w:t>Legal lesson learned:  Hopefully the City will not settle his USERRA lawsuit in Federal Court, pay his lost reimbursement and his attorney fees.</w:t>
      </w:r>
      <w:r w:rsidRPr="005A4D75">
        <w:rPr>
          <w:rFonts w:ascii="Times New Roman" w:hAnsi="Times New Roman"/>
          <w:sz w:val="24"/>
          <w:szCs w:val="24"/>
        </w:rPr>
        <w:t xml:space="preserve"> </w:t>
      </w:r>
    </w:p>
    <w:p w14:paraId="7B0BE3B4" w14:textId="77777777" w:rsidR="005A4D75" w:rsidRPr="005A4D75" w:rsidRDefault="005A4D75" w:rsidP="005A4D75">
      <w:pPr>
        <w:pStyle w:val="NoSpacing"/>
        <w:rPr>
          <w:rFonts w:ascii="Times New Roman" w:hAnsi="Times New Roman"/>
          <w:sz w:val="24"/>
          <w:szCs w:val="24"/>
        </w:rPr>
      </w:pPr>
    </w:p>
    <w:p w14:paraId="122B5BEA" w14:textId="77777777" w:rsidR="005A4D75" w:rsidRPr="005A4D75" w:rsidRDefault="005A4D75" w:rsidP="005A4D75">
      <w:pPr>
        <w:pStyle w:val="NoSpacing"/>
        <w:ind w:left="720"/>
        <w:rPr>
          <w:rFonts w:ascii="Times New Roman" w:hAnsi="Times New Roman"/>
          <w:sz w:val="24"/>
          <w:szCs w:val="24"/>
        </w:rPr>
      </w:pPr>
      <w:r w:rsidRPr="005A4D75">
        <w:rPr>
          <w:rFonts w:ascii="Times New Roman" w:hAnsi="Times New Roman"/>
          <w:sz w:val="24"/>
          <w:szCs w:val="24"/>
        </w:rPr>
        <w:t>Note:  See U.S. Department of Labor – “A Guide to the Uniformed Services</w:t>
      </w:r>
      <w:r w:rsidRPr="005A4D75">
        <w:rPr>
          <w:rFonts w:ascii="Times New Roman" w:hAnsi="Times New Roman"/>
          <w:sz w:val="24"/>
          <w:szCs w:val="24"/>
        </w:rPr>
        <w:br/>
        <w:t xml:space="preserve">Employment and Reemployment Rights Act.” </w:t>
      </w:r>
      <w:hyperlink r:id="rId1071" w:anchor="ch21" w:history="1">
        <w:r w:rsidRPr="005A4D75">
          <w:rPr>
            <w:rStyle w:val="Hyperlink"/>
            <w:rFonts w:ascii="Times New Roman" w:hAnsi="Times New Roman"/>
            <w:sz w:val="24"/>
            <w:szCs w:val="24"/>
          </w:rPr>
          <w:t>https://www.dol.gov/agencies/vets/programs/userra/USERRA-Pocket-Guide#ch21</w:t>
        </w:r>
      </w:hyperlink>
      <w:r w:rsidRPr="005A4D75">
        <w:rPr>
          <w:rFonts w:ascii="Times New Roman" w:hAnsi="Times New Roman"/>
          <w:sz w:val="24"/>
          <w:szCs w:val="24"/>
        </w:rPr>
        <w:t xml:space="preserve"> </w:t>
      </w:r>
    </w:p>
    <w:p w14:paraId="2471ECA9" w14:textId="77777777" w:rsidR="005A4D75" w:rsidRPr="005A4D75" w:rsidRDefault="005A4D75" w:rsidP="005A4D75">
      <w:pPr>
        <w:pStyle w:val="NoSpacing"/>
        <w:rPr>
          <w:rFonts w:ascii="Times New Roman" w:hAnsi="Times New Roman"/>
          <w:sz w:val="24"/>
          <w:szCs w:val="24"/>
        </w:rPr>
      </w:pPr>
    </w:p>
    <w:p w14:paraId="4190E244" w14:textId="77777777" w:rsidR="005A4D75" w:rsidRPr="005A4D75" w:rsidRDefault="005A4D75" w:rsidP="005A4D75">
      <w:pPr>
        <w:pStyle w:val="NoSpacing"/>
        <w:ind w:left="720"/>
        <w:rPr>
          <w:rFonts w:ascii="Times New Roman" w:hAnsi="Times New Roman"/>
          <w:sz w:val="24"/>
          <w:szCs w:val="24"/>
        </w:rPr>
      </w:pPr>
      <w:r w:rsidRPr="005A4D75">
        <w:rPr>
          <w:rFonts w:ascii="Times New Roman" w:hAnsi="Times New Roman"/>
          <w:sz w:val="24"/>
          <w:szCs w:val="24"/>
        </w:rPr>
        <w:t>“Awards of attorney fees, expert witness fees, and other litigation expenses to successful plaintiffs who retain private counsel may be made at the court’s discretion.”</w:t>
      </w:r>
    </w:p>
    <w:p w14:paraId="6E45207E" w14:textId="77777777" w:rsidR="005A4D75" w:rsidRDefault="005A4D75" w:rsidP="005A4D75">
      <w:pPr>
        <w:rPr>
          <w:bCs/>
        </w:rPr>
      </w:pPr>
    </w:p>
    <w:p w14:paraId="5CC8619D" w14:textId="49E0191F" w:rsidR="007C4C98" w:rsidRDefault="007C4C98" w:rsidP="007C4C98">
      <w:pPr>
        <w:pStyle w:val="NoSpacing"/>
        <w:rPr>
          <w:rFonts w:ascii="Arial Black" w:hAnsi="Arial Black"/>
          <w:sz w:val="28"/>
          <w:szCs w:val="28"/>
        </w:rPr>
      </w:pPr>
      <w:r>
        <w:rPr>
          <w:rFonts w:ascii="Arial Black" w:hAnsi="Arial Black"/>
          <w:sz w:val="28"/>
          <w:szCs w:val="28"/>
        </w:rPr>
        <w:t>6-16</w:t>
      </w:r>
      <w:r w:rsidR="002A0697">
        <w:rPr>
          <w:rFonts w:ascii="Arial Black" w:hAnsi="Arial Black"/>
          <w:sz w:val="28"/>
          <w:szCs w:val="28"/>
        </w:rPr>
        <w:t>3</w:t>
      </w:r>
    </w:p>
    <w:p w14:paraId="738552DA" w14:textId="77777777" w:rsidR="007C4C98" w:rsidRDefault="007C4C98" w:rsidP="00683497">
      <w:pPr>
        <w:pStyle w:val="NoSpacing"/>
        <w:rPr>
          <w:rFonts w:ascii="Arial Black" w:hAnsi="Arial Black"/>
          <w:sz w:val="28"/>
          <w:szCs w:val="28"/>
        </w:rPr>
      </w:pPr>
    </w:p>
    <w:p w14:paraId="3D8CC82F" w14:textId="77777777" w:rsidR="00B571BC" w:rsidRDefault="00B571BC" w:rsidP="00B571BC">
      <w:pPr>
        <w:rPr>
          <w:rFonts w:ascii="Arial Black" w:hAnsi="Arial Black"/>
          <w:bCs/>
          <w:sz w:val="28"/>
          <w:szCs w:val="28"/>
        </w:rPr>
      </w:pPr>
      <w:r>
        <w:rPr>
          <w:rFonts w:ascii="Arial Black" w:hAnsi="Arial Black"/>
          <w:sz w:val="28"/>
          <w:szCs w:val="28"/>
        </w:rPr>
        <w:t xml:space="preserve">MA: FF VOL. RESIGNED – </w:t>
      </w:r>
      <w:r>
        <w:rPr>
          <w:rFonts w:ascii="Arial Black" w:hAnsi="Arial Black"/>
          <w:bCs/>
          <w:sz w:val="28"/>
          <w:szCs w:val="28"/>
        </w:rPr>
        <w:t>NO RIGHT TO</w:t>
      </w:r>
      <w:r>
        <w:rPr>
          <w:rFonts w:ascii="Arial Black" w:hAnsi="Arial Black"/>
          <w:sz w:val="28"/>
          <w:szCs w:val="28"/>
        </w:rPr>
        <w:t xml:space="preserve"> GROUP HEALTH </w:t>
      </w:r>
    </w:p>
    <w:p w14:paraId="69953CAE" w14:textId="5CE898FA" w:rsidR="006325EF" w:rsidRPr="007A2A30" w:rsidRDefault="00B571BC" w:rsidP="00B571BC">
      <w:pPr>
        <w:pStyle w:val="NoSpacing"/>
        <w:rPr>
          <w:rFonts w:ascii="Times New Roman" w:hAnsi="Times New Roman"/>
          <w:sz w:val="24"/>
          <w:szCs w:val="24"/>
        </w:rPr>
      </w:pPr>
      <w:r w:rsidRPr="007A2A30">
        <w:rPr>
          <w:rFonts w:ascii="Times New Roman" w:hAnsi="Times New Roman"/>
          <w:sz w:val="24"/>
          <w:szCs w:val="24"/>
        </w:rPr>
        <w:t xml:space="preserve">On June 18, 2025, in </w:t>
      </w:r>
      <w:r w:rsidRPr="007A2A30">
        <w:rPr>
          <w:rFonts w:ascii="Times New Roman" w:hAnsi="Times New Roman"/>
          <w:sz w:val="24"/>
          <w:szCs w:val="24"/>
          <w:u w:val="single"/>
        </w:rPr>
        <w:t>Michael Cannata v. Town of Mashpee</w:t>
      </w:r>
      <w:r w:rsidRPr="007A2A30">
        <w:rPr>
          <w:rFonts w:ascii="Times New Roman" w:hAnsi="Times New Roman"/>
          <w:sz w:val="24"/>
          <w:szCs w:val="24"/>
        </w:rPr>
        <w:t xml:space="preserve">, the Supreme Judicial Court of Massachusetts, Barnstable held (7 to 0) that the trial court properly granted the Town’s motion to dismiss; the firefighter voluntarily resigned in 2004 after 10 years on the fire department and did not elect to continue paying for group health insurance.  When he reached age 55 in 2021, the Town had no legal obligation to allow him to enroll in the group </w:t>
      </w:r>
      <w:proofErr w:type="gramStart"/>
      <w:r w:rsidRPr="007A2A30">
        <w:rPr>
          <w:rFonts w:ascii="Times New Roman" w:hAnsi="Times New Roman"/>
          <w:sz w:val="24"/>
          <w:szCs w:val="24"/>
        </w:rPr>
        <w:t>plan, but</w:t>
      </w:r>
      <w:proofErr w:type="gramEnd"/>
      <w:r w:rsidRPr="007A2A30">
        <w:rPr>
          <w:rFonts w:ascii="Times New Roman" w:hAnsi="Times New Roman"/>
          <w:sz w:val="24"/>
          <w:szCs w:val="24"/>
        </w:rPr>
        <w:t xml:space="preserve"> could have done so.  THE COURT HELD: “We conclude that G. L. c. 32B, § 9, neither requires nor prohibits a municipality from enrolling individuals like Cannata. Accordingly, the third paragraph of the statute does not govern this case, and the judge erred in holding otherwise. Municipalities may -- but are not obligated to -- allow such individuals to enroll in group health insurance upon </w:t>
      </w:r>
      <w:proofErr w:type="gramStart"/>
      <w:r w:rsidRPr="007A2A30">
        <w:rPr>
          <w:rFonts w:ascii="Times New Roman" w:hAnsi="Times New Roman"/>
          <w:sz w:val="24"/>
          <w:szCs w:val="24"/>
        </w:rPr>
        <w:t>retirement.”</w:t>
      </w:r>
      <w:proofErr w:type="gramEnd"/>
      <w:r w:rsidRPr="007A2A30">
        <w:rPr>
          <w:rFonts w:ascii="Times New Roman" w:hAnsi="Times New Roman"/>
          <w:sz w:val="24"/>
          <w:szCs w:val="24"/>
        </w:rPr>
        <w:t xml:space="preserve">  </w:t>
      </w:r>
      <w:hyperlink r:id="rId1072" w:history="1">
        <w:r w:rsidRPr="007A2A30">
          <w:rPr>
            <w:rStyle w:val="Hyperlink"/>
            <w:rFonts w:ascii="Times New Roman" w:hAnsi="Times New Roman"/>
            <w:sz w:val="24"/>
            <w:szCs w:val="24"/>
          </w:rPr>
          <w:t>https://www.socialaw.com/services/slip-opinions/slip-opinion-details/michael-cannata-vs.-town-of-mashpee</w:t>
        </w:r>
      </w:hyperlink>
    </w:p>
    <w:p w14:paraId="7BB9C507" w14:textId="77777777" w:rsidR="007A2A30" w:rsidRDefault="007A2A30" w:rsidP="007A2A30">
      <w:pPr>
        <w:rPr>
          <w:rFonts w:ascii="Times New Roman" w:hAnsi="Times New Roman"/>
          <w:b/>
          <w:sz w:val="24"/>
          <w:szCs w:val="24"/>
        </w:rPr>
      </w:pPr>
    </w:p>
    <w:p w14:paraId="78A304E8" w14:textId="2D8C5586" w:rsidR="007A2A30" w:rsidRPr="007A2A30" w:rsidRDefault="007A2A30" w:rsidP="007A2A30">
      <w:pPr>
        <w:rPr>
          <w:rFonts w:ascii="Times New Roman" w:hAnsi="Times New Roman"/>
          <w:b/>
          <w:bCs/>
          <w:sz w:val="24"/>
          <w:szCs w:val="24"/>
        </w:rPr>
      </w:pPr>
      <w:r w:rsidRPr="007A2A30">
        <w:rPr>
          <w:rFonts w:ascii="Times New Roman" w:hAnsi="Times New Roman"/>
          <w:b/>
          <w:sz w:val="24"/>
          <w:szCs w:val="24"/>
        </w:rPr>
        <w:t xml:space="preserve">Legal lesson learned:  Prior to resigning or retiring, confirm with HR your rights to continued group health insurance. </w:t>
      </w:r>
    </w:p>
    <w:p w14:paraId="21028487" w14:textId="77777777" w:rsidR="007A2A30" w:rsidRDefault="007A2A30" w:rsidP="00B571BC">
      <w:pPr>
        <w:pStyle w:val="NoSpacing"/>
        <w:rPr>
          <w:rFonts w:ascii="Times New Roman" w:hAnsi="Times New Roman"/>
          <w:sz w:val="24"/>
          <w:szCs w:val="24"/>
        </w:rPr>
      </w:pPr>
    </w:p>
    <w:p w14:paraId="5AA4A549" w14:textId="77777777" w:rsidR="007C4C98" w:rsidRDefault="007C4C98" w:rsidP="007F03DE">
      <w:pPr>
        <w:rPr>
          <w:rFonts w:ascii="Arial Black" w:hAnsi="Arial Black"/>
          <w:b/>
          <w:sz w:val="28"/>
          <w:szCs w:val="28"/>
        </w:rPr>
      </w:pPr>
    </w:p>
    <w:p w14:paraId="6CD7A283" w14:textId="257BD3A0" w:rsidR="007C4C98" w:rsidRDefault="007C4C98" w:rsidP="007C4C98">
      <w:pPr>
        <w:pStyle w:val="NoSpacing"/>
        <w:rPr>
          <w:rFonts w:ascii="Arial Black" w:hAnsi="Arial Black"/>
          <w:sz w:val="28"/>
          <w:szCs w:val="28"/>
        </w:rPr>
      </w:pPr>
      <w:r>
        <w:rPr>
          <w:rFonts w:ascii="Arial Black" w:hAnsi="Arial Black"/>
          <w:sz w:val="28"/>
          <w:szCs w:val="28"/>
        </w:rPr>
        <w:t>6-16</w:t>
      </w:r>
      <w:r w:rsidR="002A0697">
        <w:rPr>
          <w:rFonts w:ascii="Arial Black" w:hAnsi="Arial Black"/>
          <w:sz w:val="28"/>
          <w:szCs w:val="28"/>
        </w:rPr>
        <w:t>2</w:t>
      </w:r>
    </w:p>
    <w:p w14:paraId="4ECEC13A" w14:textId="77777777" w:rsidR="007C4C98" w:rsidRDefault="007C4C98" w:rsidP="007F03DE">
      <w:pPr>
        <w:rPr>
          <w:rFonts w:ascii="Arial Black" w:hAnsi="Arial Black"/>
          <w:b/>
          <w:sz w:val="28"/>
          <w:szCs w:val="28"/>
        </w:rPr>
      </w:pPr>
    </w:p>
    <w:p w14:paraId="6F4F2639" w14:textId="7965BB48" w:rsidR="007F03DE" w:rsidRDefault="007F03DE" w:rsidP="007F03DE">
      <w:pPr>
        <w:rPr>
          <w:rFonts w:ascii="Arial Black" w:hAnsi="Arial Black"/>
          <w:b/>
          <w:sz w:val="28"/>
          <w:szCs w:val="28"/>
        </w:rPr>
      </w:pPr>
      <w:r>
        <w:rPr>
          <w:rFonts w:ascii="Arial Black" w:hAnsi="Arial Black"/>
          <w:b/>
          <w:sz w:val="28"/>
          <w:szCs w:val="28"/>
        </w:rPr>
        <w:t xml:space="preserve">NV: HEART - 8-YR AFTER RETIRED - TOTAL DISAB PENSION </w:t>
      </w:r>
    </w:p>
    <w:p w14:paraId="4A7A53D0" w14:textId="77777777" w:rsidR="007F03DE" w:rsidRPr="007C4C98" w:rsidRDefault="007F03DE" w:rsidP="007F03DE">
      <w:pPr>
        <w:pStyle w:val="NoSpacing"/>
        <w:rPr>
          <w:rFonts w:ascii="Times New Roman" w:hAnsi="Times New Roman"/>
          <w:sz w:val="24"/>
          <w:szCs w:val="24"/>
        </w:rPr>
      </w:pPr>
      <w:r w:rsidRPr="007C4C98">
        <w:rPr>
          <w:rFonts w:ascii="Times New Roman" w:hAnsi="Times New Roman"/>
          <w:sz w:val="24"/>
          <w:szCs w:val="24"/>
        </w:rPr>
        <w:t xml:space="preserve">On June 12, 2025, in </w:t>
      </w:r>
      <w:r w:rsidRPr="007C4C98">
        <w:rPr>
          <w:rFonts w:ascii="Times New Roman" w:hAnsi="Times New Roman"/>
          <w:sz w:val="24"/>
          <w:szCs w:val="24"/>
          <w:u w:val="single"/>
        </w:rPr>
        <w:t>City of Las Vegas and CCMSI v. Peggy Munson</w:t>
      </w:r>
      <w:r w:rsidRPr="007C4C98">
        <w:rPr>
          <w:rFonts w:ascii="Times New Roman" w:hAnsi="Times New Roman"/>
          <w:sz w:val="24"/>
          <w:szCs w:val="24"/>
        </w:rPr>
        <w:t xml:space="preserve">, the Court at Ms. Munson’s request published it prior unpublished order, granting her worker’s comp - permanent total disability – for disabling heart disease in 2021, eight years after retirement.  In 2015, the Nevada Legislature restricted heart benefits to cover only medical expenses, not wages, unless the firefighter had 20 years of service.  She met that requirement , having worked from November 1992 until February 2013, and is therefore entitled to 66 2/3 percent of the average monthly </w:t>
      </w:r>
      <w:proofErr w:type="gramStart"/>
      <w:r w:rsidRPr="007C4C98">
        <w:rPr>
          <w:rFonts w:ascii="Times New Roman" w:hAnsi="Times New Roman"/>
          <w:sz w:val="24"/>
          <w:szCs w:val="24"/>
        </w:rPr>
        <w:t>wage for wages</w:t>
      </w:r>
      <w:proofErr w:type="gramEnd"/>
      <w:r w:rsidRPr="007C4C98">
        <w:rPr>
          <w:rFonts w:ascii="Times New Roman" w:hAnsi="Times New Roman"/>
          <w:sz w:val="24"/>
          <w:szCs w:val="24"/>
        </w:rPr>
        <w:t xml:space="preserve"> earned in 2013.  THE COURT HELD: “Because section 6 of S.B. 153, as enacted, constitutes binding law, NRS 617.457(14) does not apply to Munson, and thus the statute did not preclude her from seeking permanent total disability benefits if she had ‘completed at least 20 years of creditable service’ as a firefighter at the time section 6 became effective in 2015, regardless of when she became disabled.” </w:t>
      </w:r>
    </w:p>
    <w:p w14:paraId="76CB4626" w14:textId="51EE3D2F" w:rsidR="007F03DE" w:rsidRPr="007C4C98" w:rsidRDefault="007F03DE" w:rsidP="007F03DE">
      <w:pPr>
        <w:pStyle w:val="NoSpacing"/>
        <w:rPr>
          <w:rFonts w:ascii="Times New Roman" w:hAnsi="Times New Roman"/>
          <w:sz w:val="24"/>
          <w:szCs w:val="24"/>
        </w:rPr>
      </w:pPr>
      <w:r w:rsidRPr="007C4C98">
        <w:rPr>
          <w:rFonts w:ascii="Times New Roman" w:hAnsi="Times New Roman"/>
          <w:sz w:val="24"/>
          <w:szCs w:val="24"/>
        </w:rPr>
        <w:t xml:space="preserve"> </w:t>
      </w:r>
      <w:hyperlink r:id="rId1073" w:history="1">
        <w:r w:rsidRPr="007C4C98">
          <w:rPr>
            <w:rStyle w:val="Hyperlink"/>
            <w:rFonts w:ascii="Times New Roman" w:hAnsi="Times New Roman"/>
            <w:sz w:val="24"/>
            <w:szCs w:val="24"/>
          </w:rPr>
          <w:t>file:///C:/Users/lawre/Downloads/25-26180-1.pdf</w:t>
        </w:r>
      </w:hyperlink>
    </w:p>
    <w:p w14:paraId="369813A7" w14:textId="77777777" w:rsidR="007C4C98" w:rsidRPr="007C4C98" w:rsidRDefault="007C4C98" w:rsidP="007F03DE">
      <w:pPr>
        <w:pStyle w:val="NoSpacing"/>
        <w:rPr>
          <w:rFonts w:ascii="Times New Roman" w:hAnsi="Times New Roman"/>
          <w:sz w:val="24"/>
          <w:szCs w:val="24"/>
        </w:rPr>
      </w:pPr>
    </w:p>
    <w:p w14:paraId="44FEE055" w14:textId="77777777" w:rsidR="007C4C98" w:rsidRPr="007C4C98" w:rsidRDefault="007C4C98" w:rsidP="007C4C98">
      <w:pPr>
        <w:pStyle w:val="NoSpacing"/>
        <w:rPr>
          <w:rFonts w:ascii="Times New Roman" w:hAnsi="Times New Roman"/>
          <w:b/>
          <w:sz w:val="24"/>
          <w:szCs w:val="24"/>
        </w:rPr>
      </w:pPr>
      <w:r w:rsidRPr="007C4C98">
        <w:rPr>
          <w:rFonts w:ascii="Times New Roman" w:hAnsi="Times New Roman"/>
          <w:b/>
          <w:sz w:val="24"/>
          <w:szCs w:val="24"/>
        </w:rPr>
        <w:t xml:space="preserve">Legal lesson learned: Very nice of the court to now publish their earlier unpublished decision in favor of this retiree. </w:t>
      </w:r>
    </w:p>
    <w:p w14:paraId="00F104E2" w14:textId="77777777" w:rsidR="007C4C98" w:rsidRPr="007C4C98" w:rsidRDefault="007C4C98" w:rsidP="007C4C98">
      <w:pPr>
        <w:pStyle w:val="NoSpacing"/>
        <w:ind w:left="720"/>
        <w:rPr>
          <w:rFonts w:ascii="Times New Roman" w:hAnsi="Times New Roman"/>
          <w:bCs/>
          <w:sz w:val="24"/>
          <w:szCs w:val="24"/>
        </w:rPr>
      </w:pPr>
    </w:p>
    <w:p w14:paraId="39550A13" w14:textId="77777777" w:rsidR="007C4C98" w:rsidRPr="007C4C98" w:rsidRDefault="007C4C98" w:rsidP="007C4C98">
      <w:pPr>
        <w:ind w:left="720"/>
        <w:rPr>
          <w:rFonts w:ascii="Times New Roman" w:hAnsi="Times New Roman"/>
          <w:bCs/>
          <w:sz w:val="24"/>
          <w:szCs w:val="24"/>
        </w:rPr>
      </w:pPr>
      <w:r w:rsidRPr="007C4C98">
        <w:rPr>
          <w:rFonts w:ascii="Times New Roman" w:hAnsi="Times New Roman"/>
          <w:sz w:val="24"/>
          <w:szCs w:val="24"/>
        </w:rPr>
        <w:t xml:space="preserve">Note: Section 6 of S.B. 153 provides: </w:t>
      </w:r>
      <w:hyperlink r:id="rId1074" w:history="1">
        <w:r w:rsidRPr="007C4C98">
          <w:rPr>
            <w:rStyle w:val="Hyperlink"/>
            <w:rFonts w:ascii="Times New Roman" w:hAnsi="Times New Roman"/>
            <w:sz w:val="24"/>
            <w:szCs w:val="24"/>
          </w:rPr>
          <w:t>https://www.leg.state.nv.us/App/NELIS/REL/82nd2023/Bill/9844/Overview</w:t>
        </w:r>
      </w:hyperlink>
      <w:r w:rsidRPr="007C4C98">
        <w:rPr>
          <w:rFonts w:ascii="Times New Roman" w:hAnsi="Times New Roman"/>
          <w:sz w:val="24"/>
          <w:szCs w:val="24"/>
        </w:rPr>
        <w:t xml:space="preserve">  </w:t>
      </w:r>
    </w:p>
    <w:p w14:paraId="0E7048AF" w14:textId="77777777" w:rsidR="007C4C98" w:rsidRPr="007C4C98" w:rsidRDefault="007C4C98" w:rsidP="007C4C98">
      <w:pPr>
        <w:pStyle w:val="NoSpacing"/>
        <w:ind w:left="720" w:firstLine="720"/>
        <w:rPr>
          <w:rFonts w:ascii="Times New Roman" w:hAnsi="Times New Roman"/>
          <w:bCs/>
          <w:sz w:val="24"/>
          <w:szCs w:val="24"/>
        </w:rPr>
      </w:pPr>
      <w:r w:rsidRPr="007C4C98">
        <w:rPr>
          <w:rFonts w:ascii="Times New Roman" w:hAnsi="Times New Roman"/>
          <w:sz w:val="24"/>
          <w:szCs w:val="24"/>
        </w:rPr>
        <w:lastRenderedPageBreak/>
        <w:t>The amendatory provisions of this act:</w:t>
      </w:r>
    </w:p>
    <w:p w14:paraId="04A10EFC" w14:textId="77777777" w:rsidR="007C4C98" w:rsidRPr="007C4C98" w:rsidRDefault="007C4C98" w:rsidP="007C4C98">
      <w:pPr>
        <w:pStyle w:val="NoSpacing"/>
        <w:ind w:left="720" w:firstLine="720"/>
        <w:rPr>
          <w:rFonts w:ascii="Times New Roman" w:hAnsi="Times New Roman"/>
          <w:bCs/>
          <w:sz w:val="24"/>
          <w:szCs w:val="24"/>
        </w:rPr>
      </w:pPr>
      <w:r w:rsidRPr="007C4C98">
        <w:rPr>
          <w:rFonts w:ascii="Times New Roman" w:hAnsi="Times New Roman"/>
          <w:sz w:val="24"/>
          <w:szCs w:val="24"/>
        </w:rPr>
        <w:t>1. Apply only to disablement which occurs on</w:t>
      </w:r>
    </w:p>
    <w:p w14:paraId="31C88FDF" w14:textId="77777777" w:rsidR="007C4C98" w:rsidRPr="007C4C98" w:rsidRDefault="007C4C98" w:rsidP="007C4C98">
      <w:pPr>
        <w:pStyle w:val="NoSpacing"/>
        <w:ind w:left="720" w:firstLine="720"/>
        <w:rPr>
          <w:rFonts w:ascii="Times New Roman" w:hAnsi="Times New Roman"/>
          <w:bCs/>
          <w:sz w:val="24"/>
          <w:szCs w:val="24"/>
        </w:rPr>
      </w:pPr>
      <w:r w:rsidRPr="007C4C98">
        <w:rPr>
          <w:rFonts w:ascii="Times New Roman" w:hAnsi="Times New Roman"/>
          <w:sz w:val="24"/>
          <w:szCs w:val="24"/>
        </w:rPr>
        <w:t>or after the effective date of this section; and</w:t>
      </w:r>
    </w:p>
    <w:p w14:paraId="76442BEF" w14:textId="77777777" w:rsidR="007C4C98" w:rsidRPr="007C4C98" w:rsidRDefault="007C4C98" w:rsidP="007C4C98">
      <w:pPr>
        <w:pStyle w:val="NoSpacing"/>
        <w:ind w:left="1440"/>
        <w:rPr>
          <w:rFonts w:ascii="Times New Roman" w:hAnsi="Times New Roman"/>
          <w:bCs/>
          <w:sz w:val="24"/>
          <w:szCs w:val="24"/>
        </w:rPr>
      </w:pPr>
      <w:r w:rsidRPr="007C4C98">
        <w:rPr>
          <w:rFonts w:ascii="Times New Roman" w:hAnsi="Times New Roman"/>
          <w:sz w:val="24"/>
          <w:szCs w:val="24"/>
        </w:rPr>
        <w:t xml:space="preserve">2. Do not apply to any person who, on the effective date </w:t>
      </w:r>
    </w:p>
    <w:p w14:paraId="30566C6E" w14:textId="77777777" w:rsidR="007C4C98" w:rsidRPr="007C4C98" w:rsidRDefault="007C4C98" w:rsidP="007C4C98">
      <w:pPr>
        <w:pStyle w:val="NoSpacing"/>
        <w:ind w:left="1440"/>
        <w:rPr>
          <w:rFonts w:ascii="Times New Roman" w:hAnsi="Times New Roman"/>
          <w:bCs/>
          <w:sz w:val="24"/>
          <w:szCs w:val="24"/>
        </w:rPr>
      </w:pPr>
      <w:r w:rsidRPr="007C4C98">
        <w:rPr>
          <w:rFonts w:ascii="Times New Roman" w:hAnsi="Times New Roman"/>
          <w:sz w:val="24"/>
          <w:szCs w:val="24"/>
        </w:rPr>
        <w:t xml:space="preserve">of this section, has completed at least 20 years of creditable </w:t>
      </w:r>
    </w:p>
    <w:p w14:paraId="7E8A947E" w14:textId="77777777" w:rsidR="007C4C98" w:rsidRPr="007C4C98" w:rsidRDefault="007C4C98" w:rsidP="007C4C98">
      <w:pPr>
        <w:pStyle w:val="NoSpacing"/>
        <w:ind w:left="1440"/>
        <w:rPr>
          <w:rFonts w:ascii="Times New Roman" w:hAnsi="Times New Roman"/>
          <w:bCs/>
          <w:sz w:val="24"/>
          <w:szCs w:val="24"/>
        </w:rPr>
      </w:pPr>
      <w:r w:rsidRPr="007C4C98">
        <w:rPr>
          <w:rFonts w:ascii="Times New Roman" w:hAnsi="Times New Roman"/>
          <w:sz w:val="24"/>
          <w:szCs w:val="24"/>
        </w:rPr>
        <w:t>service . . . as a . . firefighter . . . in this State.</w:t>
      </w:r>
    </w:p>
    <w:p w14:paraId="667F842F" w14:textId="77777777" w:rsidR="007C4C98" w:rsidRPr="007A2A30" w:rsidRDefault="007C4C98" w:rsidP="007F03DE">
      <w:pPr>
        <w:pStyle w:val="NoSpacing"/>
        <w:rPr>
          <w:rFonts w:ascii="Times New Roman" w:hAnsi="Times New Roman"/>
          <w:sz w:val="24"/>
          <w:szCs w:val="24"/>
        </w:rPr>
      </w:pPr>
    </w:p>
    <w:p w14:paraId="1987FA7D" w14:textId="77777777" w:rsidR="006325EF" w:rsidRDefault="006325EF" w:rsidP="00683497">
      <w:pPr>
        <w:pStyle w:val="NoSpacing"/>
        <w:rPr>
          <w:rFonts w:ascii="Arial Black" w:hAnsi="Arial Black"/>
          <w:sz w:val="28"/>
          <w:szCs w:val="28"/>
        </w:rPr>
      </w:pPr>
    </w:p>
    <w:p w14:paraId="07C213B1" w14:textId="77777777" w:rsidR="005263F1" w:rsidRDefault="005263F1" w:rsidP="00683497">
      <w:pPr>
        <w:pStyle w:val="NoSpacing"/>
        <w:rPr>
          <w:rFonts w:ascii="Arial Black" w:hAnsi="Arial Black"/>
          <w:sz w:val="28"/>
          <w:szCs w:val="28"/>
        </w:rPr>
      </w:pPr>
    </w:p>
    <w:p w14:paraId="60B11BA5" w14:textId="0CE63C41" w:rsidR="0090461E" w:rsidRDefault="0090461E" w:rsidP="00683497">
      <w:pPr>
        <w:pStyle w:val="NoSpacing"/>
        <w:rPr>
          <w:rFonts w:ascii="Arial Black" w:hAnsi="Arial Black"/>
          <w:sz w:val="28"/>
          <w:szCs w:val="28"/>
        </w:rPr>
      </w:pPr>
      <w:r>
        <w:rPr>
          <w:rFonts w:ascii="Arial Black" w:hAnsi="Arial Black"/>
          <w:sz w:val="28"/>
          <w:szCs w:val="28"/>
        </w:rPr>
        <w:t>6-16</w:t>
      </w:r>
      <w:r w:rsidR="002A0697">
        <w:rPr>
          <w:rFonts w:ascii="Arial Black" w:hAnsi="Arial Black"/>
          <w:sz w:val="28"/>
          <w:szCs w:val="28"/>
        </w:rPr>
        <w:t>1</w:t>
      </w:r>
    </w:p>
    <w:p w14:paraId="40676CCC" w14:textId="77777777" w:rsidR="0090461E" w:rsidRDefault="0090461E" w:rsidP="00683497">
      <w:pPr>
        <w:pStyle w:val="NoSpacing"/>
        <w:rPr>
          <w:rFonts w:ascii="Arial Black" w:hAnsi="Arial Black"/>
          <w:sz w:val="28"/>
          <w:szCs w:val="28"/>
        </w:rPr>
      </w:pPr>
    </w:p>
    <w:p w14:paraId="38FDD922" w14:textId="7CF4A11A" w:rsidR="00683497" w:rsidRDefault="00683497" w:rsidP="00683497">
      <w:pPr>
        <w:pStyle w:val="NoSpacing"/>
        <w:rPr>
          <w:rFonts w:ascii="Arial Black" w:hAnsi="Arial Black"/>
          <w:sz w:val="28"/>
          <w:szCs w:val="28"/>
        </w:rPr>
      </w:pPr>
      <w:r w:rsidRPr="006F2B87">
        <w:rPr>
          <w:rFonts w:ascii="Arial Black" w:hAnsi="Arial Black"/>
          <w:sz w:val="28"/>
          <w:szCs w:val="28"/>
        </w:rPr>
        <w:t>KY: MEDIC MVA - WORK COMP</w:t>
      </w:r>
      <w:r w:rsidR="00D116D3">
        <w:rPr>
          <w:rFonts w:ascii="Arial Black" w:hAnsi="Arial Black"/>
          <w:sz w:val="28"/>
          <w:szCs w:val="28"/>
        </w:rPr>
        <w:t xml:space="preserve"> / CAN ALSO SUE </w:t>
      </w:r>
      <w:r w:rsidRPr="006F2B87">
        <w:rPr>
          <w:rFonts w:ascii="Arial Black" w:hAnsi="Arial Black"/>
          <w:sz w:val="28"/>
          <w:szCs w:val="28"/>
        </w:rPr>
        <w:t>“UNINSURED MOTORIST”</w:t>
      </w:r>
    </w:p>
    <w:p w14:paraId="5DE86FA7" w14:textId="39103F0C" w:rsidR="00D116D3" w:rsidRPr="006F2B87" w:rsidRDefault="00D116D3" w:rsidP="00683497">
      <w:pPr>
        <w:pStyle w:val="NoSpacing"/>
        <w:rPr>
          <w:rFonts w:ascii="Arial Black" w:hAnsi="Arial Black"/>
          <w:sz w:val="28"/>
          <w:szCs w:val="28"/>
        </w:rPr>
      </w:pPr>
      <w:hyperlink r:id="rId1075" w:history="1">
        <w:r w:rsidRPr="00683497">
          <w:rPr>
            <w:rStyle w:val="Hyperlink"/>
            <w:rFonts w:ascii="Times New Roman" w:hAnsi="Times New Roman"/>
            <w:sz w:val="24"/>
            <w:szCs w:val="24"/>
          </w:rPr>
          <w:t>https://cases.justia.com/kentucky/court-of-appeals/2025-2024-ca-0152-mr.pdf?ts=1748009113</w:t>
        </w:r>
      </w:hyperlink>
    </w:p>
    <w:p w14:paraId="7D7FC876" w14:textId="77777777" w:rsidR="00683497" w:rsidRPr="006F2B87" w:rsidRDefault="00683497" w:rsidP="00683497">
      <w:pPr>
        <w:pStyle w:val="NoSpacing"/>
      </w:pPr>
    </w:p>
    <w:p w14:paraId="2A3A5247" w14:textId="77777777" w:rsidR="00683497" w:rsidRPr="00683497" w:rsidRDefault="00683497" w:rsidP="00683497">
      <w:pPr>
        <w:pStyle w:val="NoSpacing"/>
        <w:rPr>
          <w:rFonts w:ascii="Times New Roman" w:hAnsi="Times New Roman"/>
          <w:bCs/>
          <w:sz w:val="24"/>
          <w:szCs w:val="24"/>
        </w:rPr>
      </w:pPr>
      <w:r w:rsidRPr="00683497">
        <w:rPr>
          <w:rFonts w:ascii="Times New Roman" w:hAnsi="Times New Roman"/>
          <w:sz w:val="24"/>
          <w:szCs w:val="24"/>
        </w:rPr>
        <w:t xml:space="preserve">On May 25, 2025, in </w:t>
      </w:r>
      <w:r w:rsidRPr="00683497">
        <w:rPr>
          <w:rFonts w:ascii="Times New Roman" w:hAnsi="Times New Roman"/>
          <w:sz w:val="24"/>
          <w:szCs w:val="24"/>
          <w:u w:val="single"/>
        </w:rPr>
        <w:t xml:space="preserve">Scott Preston v. Nationwide Insurance Company and Kentucky Association of Counties </w:t>
      </w:r>
      <w:proofErr w:type="gramStart"/>
      <w:r w:rsidRPr="00683497">
        <w:rPr>
          <w:rFonts w:ascii="Times New Roman" w:hAnsi="Times New Roman"/>
          <w:sz w:val="24"/>
          <w:szCs w:val="24"/>
          <w:u w:val="single"/>
        </w:rPr>
        <w:t>And</w:t>
      </w:r>
      <w:proofErr w:type="gramEnd"/>
      <w:r w:rsidRPr="00683497">
        <w:rPr>
          <w:rFonts w:ascii="Times New Roman" w:hAnsi="Times New Roman"/>
          <w:sz w:val="24"/>
          <w:szCs w:val="24"/>
          <w:u w:val="single"/>
        </w:rPr>
        <w:t xml:space="preserve"> All Lines Fund</w:t>
      </w:r>
      <w:r w:rsidRPr="00683497">
        <w:rPr>
          <w:rFonts w:ascii="Times New Roman" w:hAnsi="Times New Roman"/>
          <w:sz w:val="24"/>
          <w:szCs w:val="24"/>
        </w:rPr>
        <w:t xml:space="preserve">, the Court of Appeals of Kentucky held (3 to 0) that trial court improperly dismissed Preston’s lawsuit against KALF’s, which has a $60,000 policy limit for uninsured motorist claims.  While Preston is covered by worker’s comp, he may pursue claims not covered by worker’s comp. </w:t>
      </w:r>
    </w:p>
    <w:p w14:paraId="1A732791" w14:textId="77777777" w:rsidR="00683497" w:rsidRPr="00683497" w:rsidRDefault="00683497" w:rsidP="00683497">
      <w:pPr>
        <w:pStyle w:val="NoSpacing"/>
        <w:rPr>
          <w:rFonts w:ascii="Times New Roman" w:hAnsi="Times New Roman"/>
          <w:bCs/>
          <w:sz w:val="24"/>
          <w:szCs w:val="24"/>
        </w:rPr>
      </w:pPr>
    </w:p>
    <w:p w14:paraId="4EC19AE0" w14:textId="77777777" w:rsidR="00683497" w:rsidRPr="00683497" w:rsidRDefault="00683497" w:rsidP="00683497">
      <w:pPr>
        <w:pStyle w:val="NoSpacing"/>
        <w:rPr>
          <w:rFonts w:ascii="Times New Roman" w:hAnsi="Times New Roman"/>
          <w:bCs/>
          <w:sz w:val="24"/>
          <w:szCs w:val="24"/>
        </w:rPr>
      </w:pPr>
      <w:r w:rsidRPr="00683497">
        <w:rPr>
          <w:rFonts w:ascii="Times New Roman" w:hAnsi="Times New Roman"/>
          <w:sz w:val="24"/>
          <w:szCs w:val="24"/>
        </w:rPr>
        <w:t xml:space="preserve">The Court wrote: “However, any jury award for lost wages and permanent impairment not duplicated by the workers’ compensation award would be recoverable by Preston under KALF’s UIM policy, as would any award for pain and suffering, as it is not an item of damages covered by workers’ compensation.” </w:t>
      </w:r>
      <w:hyperlink r:id="rId1076" w:history="1">
        <w:r w:rsidRPr="00683497">
          <w:rPr>
            <w:rStyle w:val="Hyperlink"/>
            <w:rFonts w:ascii="Times New Roman" w:hAnsi="Times New Roman"/>
            <w:sz w:val="24"/>
            <w:szCs w:val="24"/>
          </w:rPr>
          <w:t>https://cases.justia.com/kentucky/court-of-appeals/2025-2024-ca-0152-mr.pdf?ts=1748009113</w:t>
        </w:r>
      </w:hyperlink>
      <w:r w:rsidRPr="00683497">
        <w:rPr>
          <w:rFonts w:ascii="Times New Roman" w:hAnsi="Times New Roman"/>
          <w:sz w:val="24"/>
          <w:szCs w:val="24"/>
        </w:rPr>
        <w:t xml:space="preserve"> </w:t>
      </w:r>
    </w:p>
    <w:p w14:paraId="125999A8" w14:textId="77777777" w:rsidR="00575946" w:rsidRDefault="00575946" w:rsidP="00575946">
      <w:pPr>
        <w:pStyle w:val="NoSpacing"/>
        <w:rPr>
          <w:rFonts w:ascii="Times New Roman" w:hAnsi="Times New Roman"/>
          <w:b/>
          <w:sz w:val="24"/>
          <w:szCs w:val="24"/>
        </w:rPr>
      </w:pPr>
    </w:p>
    <w:p w14:paraId="706F4653" w14:textId="198B5C1E" w:rsidR="00575946" w:rsidRDefault="00575946" w:rsidP="00575946">
      <w:pPr>
        <w:pStyle w:val="NoSpacing"/>
        <w:rPr>
          <w:rFonts w:ascii="Times New Roman" w:hAnsi="Times New Roman"/>
          <w:b/>
          <w:sz w:val="24"/>
          <w:szCs w:val="24"/>
        </w:rPr>
      </w:pPr>
      <w:r w:rsidRPr="00575946">
        <w:rPr>
          <w:rFonts w:ascii="Times New Roman" w:hAnsi="Times New Roman"/>
          <w:b/>
          <w:sz w:val="24"/>
          <w:szCs w:val="24"/>
        </w:rPr>
        <w:t xml:space="preserve">Legal Lesson Learned: The pension plan was </w:t>
      </w:r>
      <w:proofErr w:type="gramStart"/>
      <w:r w:rsidRPr="00575946">
        <w:rPr>
          <w:rFonts w:ascii="Times New Roman" w:hAnsi="Times New Roman"/>
          <w:b/>
          <w:sz w:val="24"/>
          <w:szCs w:val="24"/>
        </w:rPr>
        <w:t>clear,</w:t>
      </w:r>
      <w:proofErr w:type="gramEnd"/>
      <w:r w:rsidRPr="00575946">
        <w:rPr>
          <w:rFonts w:ascii="Times New Roman" w:hAnsi="Times New Roman"/>
          <w:b/>
          <w:sz w:val="24"/>
          <w:szCs w:val="24"/>
        </w:rPr>
        <w:t xml:space="preserve"> three physicians must certify total disability. </w:t>
      </w:r>
    </w:p>
    <w:p w14:paraId="53C57AC5" w14:textId="77777777" w:rsidR="006E00CC" w:rsidRDefault="006E00CC" w:rsidP="00575946">
      <w:pPr>
        <w:pStyle w:val="NoSpacing"/>
        <w:rPr>
          <w:rFonts w:ascii="Times New Roman" w:hAnsi="Times New Roman"/>
          <w:b/>
          <w:sz w:val="24"/>
          <w:szCs w:val="24"/>
        </w:rPr>
      </w:pPr>
    </w:p>
    <w:p w14:paraId="181DB2A7" w14:textId="77777777" w:rsidR="006E00CC" w:rsidRDefault="006E00CC" w:rsidP="00575946">
      <w:pPr>
        <w:pStyle w:val="NoSpacing"/>
        <w:rPr>
          <w:rFonts w:ascii="Times New Roman" w:hAnsi="Times New Roman"/>
          <w:b/>
          <w:sz w:val="24"/>
          <w:szCs w:val="24"/>
        </w:rPr>
      </w:pPr>
    </w:p>
    <w:p w14:paraId="3D4E37E5" w14:textId="77777777" w:rsidR="006E00CC" w:rsidRDefault="006E00CC" w:rsidP="00575946">
      <w:pPr>
        <w:pStyle w:val="NoSpacing"/>
        <w:rPr>
          <w:rFonts w:ascii="Times New Roman" w:hAnsi="Times New Roman"/>
          <w:b/>
          <w:sz w:val="24"/>
          <w:szCs w:val="24"/>
        </w:rPr>
      </w:pPr>
    </w:p>
    <w:p w14:paraId="27539B55" w14:textId="77777777" w:rsidR="00C74618" w:rsidRDefault="00C74618" w:rsidP="00575946">
      <w:pPr>
        <w:pStyle w:val="NoSpacing"/>
        <w:rPr>
          <w:rFonts w:ascii="Times New Roman" w:hAnsi="Times New Roman"/>
          <w:b/>
          <w:bCs/>
          <w:sz w:val="24"/>
          <w:szCs w:val="24"/>
        </w:rPr>
      </w:pPr>
    </w:p>
    <w:p w14:paraId="2907EC9C" w14:textId="2D39DC69" w:rsidR="0090461E" w:rsidRDefault="0090461E" w:rsidP="00411F2A">
      <w:pPr>
        <w:pStyle w:val="NoSpacing"/>
        <w:rPr>
          <w:rFonts w:ascii="Arial Black" w:hAnsi="Arial Black"/>
          <w:sz w:val="28"/>
          <w:szCs w:val="28"/>
        </w:rPr>
      </w:pPr>
      <w:r>
        <w:rPr>
          <w:rFonts w:ascii="Arial Black" w:hAnsi="Arial Black"/>
          <w:sz w:val="28"/>
          <w:szCs w:val="28"/>
        </w:rPr>
        <w:t>6-1</w:t>
      </w:r>
      <w:r w:rsidR="002A0697">
        <w:rPr>
          <w:rFonts w:ascii="Arial Black" w:hAnsi="Arial Black"/>
          <w:sz w:val="28"/>
          <w:szCs w:val="28"/>
        </w:rPr>
        <w:t>60</w:t>
      </w:r>
    </w:p>
    <w:p w14:paraId="78E758F6" w14:textId="77777777" w:rsidR="0090461E" w:rsidRDefault="0090461E" w:rsidP="00411F2A">
      <w:pPr>
        <w:pStyle w:val="NoSpacing"/>
        <w:rPr>
          <w:rFonts w:ascii="Arial Black" w:hAnsi="Arial Black"/>
          <w:sz w:val="28"/>
          <w:szCs w:val="28"/>
        </w:rPr>
      </w:pPr>
    </w:p>
    <w:p w14:paraId="7F7C32D9" w14:textId="300CDF82" w:rsidR="00411F2A" w:rsidRPr="006F2B87" w:rsidRDefault="00411F2A" w:rsidP="00411F2A">
      <w:pPr>
        <w:pStyle w:val="NoSpacing"/>
        <w:rPr>
          <w:rFonts w:ascii="Arial Black" w:hAnsi="Arial Black"/>
          <w:sz w:val="28"/>
          <w:szCs w:val="28"/>
        </w:rPr>
      </w:pPr>
      <w:r w:rsidRPr="006F2B87">
        <w:rPr>
          <w:rFonts w:ascii="Arial Black" w:hAnsi="Arial Black"/>
          <w:sz w:val="28"/>
          <w:szCs w:val="28"/>
        </w:rPr>
        <w:t>CT: DISAB. PENSION FOR HEARING LOSS DENIED – 3 MDs</w:t>
      </w:r>
    </w:p>
    <w:p w14:paraId="5AB7B27B" w14:textId="77777777" w:rsidR="00411F2A" w:rsidRPr="006F2B87" w:rsidRDefault="00411F2A" w:rsidP="00411F2A">
      <w:pPr>
        <w:pStyle w:val="NoSpacing"/>
      </w:pPr>
    </w:p>
    <w:p w14:paraId="5446F811" w14:textId="77777777" w:rsidR="00411F2A" w:rsidRPr="00411F2A" w:rsidRDefault="00411F2A" w:rsidP="00411F2A">
      <w:pPr>
        <w:pStyle w:val="NoSpacing"/>
        <w:rPr>
          <w:rFonts w:ascii="Times New Roman" w:hAnsi="Times New Roman"/>
          <w:bCs/>
          <w:sz w:val="24"/>
          <w:szCs w:val="24"/>
        </w:rPr>
      </w:pPr>
      <w:r w:rsidRPr="00411F2A">
        <w:rPr>
          <w:rFonts w:ascii="Times New Roman" w:hAnsi="Times New Roman"/>
          <w:sz w:val="24"/>
          <w:szCs w:val="24"/>
        </w:rPr>
        <w:t xml:space="preserve">On May 15, 2025, in </w:t>
      </w:r>
      <w:r w:rsidRPr="00411F2A">
        <w:rPr>
          <w:rFonts w:ascii="Times New Roman" w:hAnsi="Times New Roman"/>
          <w:sz w:val="24"/>
          <w:szCs w:val="24"/>
          <w:u w:val="single"/>
        </w:rPr>
        <w:t>Kenneth Lombardi v. Town of Westport</w:t>
      </w:r>
      <w:r w:rsidRPr="00411F2A">
        <w:rPr>
          <w:rFonts w:ascii="Times New Roman" w:hAnsi="Times New Roman"/>
          <w:sz w:val="24"/>
          <w:szCs w:val="24"/>
        </w:rPr>
        <w:t xml:space="preserve">, the Court of Appeals of Connecticut held (3 to 0) that the Pension Board properly denied the firefighter a disability pension; he retired June 1, </w:t>
      </w:r>
      <w:proofErr w:type="gramStart"/>
      <w:r w:rsidRPr="00411F2A">
        <w:rPr>
          <w:rFonts w:ascii="Times New Roman" w:hAnsi="Times New Roman"/>
          <w:sz w:val="24"/>
          <w:szCs w:val="24"/>
        </w:rPr>
        <w:t>2017</w:t>
      </w:r>
      <w:proofErr w:type="gramEnd"/>
      <w:r w:rsidRPr="00411F2A">
        <w:rPr>
          <w:rFonts w:ascii="Times New Roman" w:hAnsi="Times New Roman"/>
          <w:sz w:val="24"/>
          <w:szCs w:val="24"/>
        </w:rPr>
        <w:t xml:space="preserve"> and claimed an on-the-job ear injury in 2004 entitled him to disability pension.  The pension plan required three (3) physicians to certify total disability, and the third doctor found he could still perform 90% of his job.  </w:t>
      </w:r>
    </w:p>
    <w:p w14:paraId="41A786C8" w14:textId="77777777" w:rsidR="00411F2A" w:rsidRPr="00411F2A" w:rsidRDefault="00411F2A" w:rsidP="00411F2A">
      <w:pPr>
        <w:pStyle w:val="NoSpacing"/>
        <w:rPr>
          <w:rFonts w:ascii="Times New Roman" w:hAnsi="Times New Roman"/>
          <w:bCs/>
          <w:sz w:val="24"/>
          <w:szCs w:val="24"/>
        </w:rPr>
      </w:pPr>
    </w:p>
    <w:p w14:paraId="52EA81FE" w14:textId="77777777" w:rsidR="00411F2A" w:rsidRPr="00411F2A" w:rsidRDefault="00411F2A" w:rsidP="00411F2A">
      <w:pPr>
        <w:pStyle w:val="NoSpacing"/>
        <w:rPr>
          <w:rFonts w:ascii="Times New Roman" w:hAnsi="Times New Roman"/>
          <w:bCs/>
          <w:sz w:val="24"/>
          <w:szCs w:val="24"/>
        </w:rPr>
      </w:pPr>
      <w:r w:rsidRPr="00411F2A">
        <w:rPr>
          <w:rFonts w:ascii="Times New Roman" w:hAnsi="Times New Roman"/>
          <w:sz w:val="24"/>
          <w:szCs w:val="24"/>
        </w:rPr>
        <w:t xml:space="preserve">The Court wrote: “To aid in its determination of whether the plaintiff qualified for a disability retirement pension, the board accepted and considered medical evaluations from two physicians selected by the plaintiff, who opined that the plaintiff ‘’suffered from permanent hearing disabilities rendering him unfit for duty as a fire-fighter.’’ In addition, the board referred the plaintiff to Craig Hecht, a physician, for an independent examination. ‘’Hecht’s findings were consistent with the conclusions of [the other two physicians], except [for] Hecht’s conclusion that the plaintiff could perform ‘90 percent of his job responsibilities’ . . . . In </w:t>
      </w:r>
      <w:proofErr w:type="gramStart"/>
      <w:r w:rsidRPr="00411F2A">
        <w:rPr>
          <w:rFonts w:ascii="Times New Roman" w:hAnsi="Times New Roman"/>
          <w:sz w:val="24"/>
          <w:szCs w:val="24"/>
        </w:rPr>
        <w:t>December,</w:t>
      </w:r>
      <w:proofErr w:type="gramEnd"/>
      <w:r w:rsidRPr="00411F2A">
        <w:rPr>
          <w:rFonts w:ascii="Times New Roman" w:hAnsi="Times New Roman"/>
          <w:sz w:val="24"/>
          <w:szCs w:val="24"/>
        </w:rPr>
        <w:t xml:space="preserve"> 2017, the board denied the plaintiff’s request for a disability retirement pension. *** Accordingly, there exists no genuine issue of material fact that the plaintiff was not entitled to a disability retirement pension on the basis </w:t>
      </w:r>
      <w:r w:rsidRPr="00411F2A">
        <w:rPr>
          <w:rFonts w:ascii="Times New Roman" w:hAnsi="Times New Roman"/>
          <w:sz w:val="24"/>
          <w:szCs w:val="24"/>
        </w:rPr>
        <w:lastRenderedPageBreak/>
        <w:t xml:space="preserve">that he did not have certifications from at least three physicians.”  </w:t>
      </w:r>
      <w:hyperlink r:id="rId1077" w:history="1">
        <w:r w:rsidRPr="00411F2A">
          <w:rPr>
            <w:rStyle w:val="Hyperlink"/>
            <w:rFonts w:ascii="Times New Roman" w:hAnsi="Times New Roman"/>
            <w:sz w:val="24"/>
            <w:szCs w:val="24"/>
          </w:rPr>
          <w:t>https://www.jud.ct.gov/external/supapp/Cases/AROap/AP232/AP232.214.pdf</w:t>
        </w:r>
      </w:hyperlink>
      <w:r w:rsidRPr="00411F2A">
        <w:rPr>
          <w:rFonts w:ascii="Times New Roman" w:hAnsi="Times New Roman"/>
          <w:sz w:val="24"/>
          <w:szCs w:val="24"/>
        </w:rPr>
        <w:t xml:space="preserve"> </w:t>
      </w:r>
    </w:p>
    <w:p w14:paraId="5B8DF7FB" w14:textId="77777777" w:rsidR="00575946" w:rsidRPr="00411F2A" w:rsidRDefault="00575946" w:rsidP="00EF1133">
      <w:pPr>
        <w:rPr>
          <w:rFonts w:ascii="Times New Roman" w:hAnsi="Times New Roman"/>
          <w:b/>
          <w:sz w:val="24"/>
          <w:szCs w:val="24"/>
        </w:rPr>
      </w:pPr>
    </w:p>
    <w:p w14:paraId="2341891A" w14:textId="77777777" w:rsidR="0010642B" w:rsidRPr="006F2B87" w:rsidRDefault="0010642B" w:rsidP="0010642B">
      <w:pPr>
        <w:pStyle w:val="NoSpacing"/>
        <w:rPr>
          <w:b/>
          <w:bCs/>
        </w:rPr>
      </w:pPr>
      <w:r w:rsidRPr="0010642B">
        <w:rPr>
          <w:rFonts w:ascii="Times New Roman" w:hAnsi="Times New Roman"/>
          <w:b/>
          <w:sz w:val="24"/>
          <w:szCs w:val="24"/>
        </w:rPr>
        <w:t>Legal Lesson Learned: The pension plan was clear</w:t>
      </w:r>
      <w:r w:rsidRPr="0010642B">
        <w:rPr>
          <w:rFonts w:ascii="Times New Roman" w:hAnsi="Times New Roman"/>
          <w:b/>
          <w:bCs/>
          <w:sz w:val="24"/>
          <w:szCs w:val="24"/>
        </w:rPr>
        <w:t xml:space="preserve">; </w:t>
      </w:r>
      <w:r w:rsidRPr="0010642B">
        <w:rPr>
          <w:rFonts w:ascii="Times New Roman" w:hAnsi="Times New Roman"/>
          <w:b/>
          <w:sz w:val="24"/>
          <w:szCs w:val="24"/>
        </w:rPr>
        <w:t xml:space="preserve"> three physicians must certify total disability</w:t>
      </w:r>
      <w:r w:rsidRPr="006F2B87">
        <w:rPr>
          <w:b/>
        </w:rPr>
        <w:t xml:space="preserve">. </w:t>
      </w:r>
    </w:p>
    <w:p w14:paraId="2A04E333" w14:textId="77777777" w:rsidR="00744788" w:rsidRDefault="00744788" w:rsidP="00EF1133">
      <w:pPr>
        <w:rPr>
          <w:rFonts w:ascii="Arial Black" w:hAnsi="Arial Black"/>
          <w:b/>
          <w:sz w:val="24"/>
          <w:szCs w:val="24"/>
        </w:rPr>
      </w:pPr>
    </w:p>
    <w:p w14:paraId="29CA7718" w14:textId="302C12D0" w:rsidR="00F0728A" w:rsidRDefault="0090461E" w:rsidP="00EF1133">
      <w:pPr>
        <w:rPr>
          <w:rFonts w:ascii="Arial Black" w:hAnsi="Arial Black"/>
          <w:b/>
          <w:sz w:val="24"/>
          <w:szCs w:val="24"/>
        </w:rPr>
      </w:pPr>
      <w:r>
        <w:rPr>
          <w:rFonts w:ascii="Arial Black" w:hAnsi="Arial Black"/>
          <w:b/>
          <w:sz w:val="24"/>
          <w:szCs w:val="24"/>
        </w:rPr>
        <w:t>6-15</w:t>
      </w:r>
      <w:r w:rsidR="002A0697">
        <w:rPr>
          <w:rFonts w:ascii="Arial Black" w:hAnsi="Arial Black"/>
          <w:b/>
          <w:sz w:val="24"/>
          <w:szCs w:val="24"/>
        </w:rPr>
        <w:t>9</w:t>
      </w:r>
    </w:p>
    <w:p w14:paraId="36166260" w14:textId="77777777" w:rsidR="00F0728A" w:rsidRPr="006F2B87" w:rsidRDefault="00F0728A" w:rsidP="00F0728A">
      <w:pPr>
        <w:pStyle w:val="NoSpacing"/>
        <w:rPr>
          <w:rFonts w:ascii="Arial Black" w:hAnsi="Arial Black"/>
          <w:bCs/>
          <w:sz w:val="28"/>
          <w:szCs w:val="28"/>
        </w:rPr>
      </w:pPr>
      <w:r w:rsidRPr="006F2B87">
        <w:rPr>
          <w:rFonts w:ascii="Arial Black" w:hAnsi="Arial Black"/>
          <w:sz w:val="28"/>
          <w:szCs w:val="28"/>
        </w:rPr>
        <w:t xml:space="preserve">LA:  CAPT DIED FLU / MRSA – </w:t>
      </w:r>
      <w:r>
        <w:rPr>
          <w:rFonts w:ascii="Arial Black" w:hAnsi="Arial Black"/>
          <w:sz w:val="28"/>
          <w:szCs w:val="28"/>
        </w:rPr>
        <w:t xml:space="preserve">STATUTORY PRESUMPTION </w:t>
      </w:r>
    </w:p>
    <w:p w14:paraId="13C8DF69" w14:textId="77777777" w:rsidR="00F0728A" w:rsidRDefault="00F0728A" w:rsidP="00F0728A">
      <w:pPr>
        <w:pStyle w:val="NoSpacing"/>
      </w:pPr>
    </w:p>
    <w:p w14:paraId="2776D5F0" w14:textId="77777777" w:rsidR="00693E53" w:rsidRDefault="00F0728A" w:rsidP="00693E53">
      <w:pPr>
        <w:rPr>
          <w:rFonts w:ascii="Times New Roman" w:hAnsi="Times New Roman"/>
          <w:sz w:val="24"/>
          <w:szCs w:val="24"/>
        </w:rPr>
      </w:pPr>
      <w:r w:rsidRPr="00F0728A">
        <w:rPr>
          <w:rFonts w:ascii="Times New Roman" w:hAnsi="Times New Roman"/>
          <w:sz w:val="24"/>
          <w:szCs w:val="24"/>
        </w:rPr>
        <w:t xml:space="preserve">On May 6, 2025, in </w:t>
      </w:r>
      <w:r w:rsidRPr="00F0728A">
        <w:rPr>
          <w:rFonts w:ascii="Times New Roman" w:hAnsi="Times New Roman"/>
          <w:sz w:val="24"/>
          <w:szCs w:val="24"/>
          <w:u w:val="single"/>
        </w:rPr>
        <w:t>Roy D. Magee (deceased) / Wallace Magee and Clara Caston Filey v. City of New Orlean Fire Department</w:t>
      </w:r>
      <w:r w:rsidRPr="00F0728A">
        <w:rPr>
          <w:rFonts w:ascii="Times New Roman" w:hAnsi="Times New Roman"/>
          <w:sz w:val="24"/>
          <w:szCs w:val="24"/>
        </w:rPr>
        <w:t xml:space="preserve">, the Court of Appeals of Louisiana, Fourth Circuit held (3 to 0) that the Office of Workers’ Compensation properly found that the firefighter, who died from influenza A and MRSA pneumonia (methicillin-resistant staphylococcus aureus), was covered by the Firefighter's Heart and Lung Act, and his father and mother each can receive $75,000, and medical and funeral expenses (but not attorney fees).   </w:t>
      </w:r>
      <w:hyperlink r:id="rId1078" w:history="1">
        <w:r w:rsidR="00693E53" w:rsidRPr="00F0728A">
          <w:rPr>
            <w:rStyle w:val="Hyperlink"/>
            <w:rFonts w:ascii="Times New Roman" w:hAnsi="Times New Roman"/>
            <w:sz w:val="24"/>
            <w:szCs w:val="24"/>
          </w:rPr>
          <w:t>https://cases.justia.com/louisiana/fourth-circuit-court-of-appeal/2025-2024-ca-0747.pdf?ts=1746576943</w:t>
        </w:r>
      </w:hyperlink>
    </w:p>
    <w:p w14:paraId="1C2F6D27" w14:textId="14FA2FDB" w:rsidR="00F0728A" w:rsidRPr="00F0728A" w:rsidRDefault="00F0728A" w:rsidP="00F0728A">
      <w:pPr>
        <w:pStyle w:val="NoSpacing"/>
        <w:rPr>
          <w:rFonts w:ascii="Times New Roman" w:hAnsi="Times New Roman"/>
          <w:bCs/>
          <w:sz w:val="24"/>
          <w:szCs w:val="24"/>
        </w:rPr>
      </w:pPr>
    </w:p>
    <w:p w14:paraId="627B38DF" w14:textId="77777777" w:rsidR="00F0728A" w:rsidRPr="00F0728A" w:rsidRDefault="00F0728A" w:rsidP="00F0728A">
      <w:pPr>
        <w:pStyle w:val="NoSpacing"/>
        <w:rPr>
          <w:rFonts w:ascii="Times New Roman" w:hAnsi="Times New Roman"/>
          <w:bCs/>
          <w:sz w:val="24"/>
          <w:szCs w:val="24"/>
        </w:rPr>
      </w:pPr>
    </w:p>
    <w:p w14:paraId="5A70B167" w14:textId="2C41BCB2" w:rsidR="00F0728A" w:rsidRDefault="00F0728A" w:rsidP="00F0728A">
      <w:pPr>
        <w:rPr>
          <w:rFonts w:ascii="Times New Roman" w:hAnsi="Times New Roman"/>
          <w:sz w:val="24"/>
          <w:szCs w:val="24"/>
        </w:rPr>
      </w:pPr>
      <w:r w:rsidRPr="00F0728A">
        <w:rPr>
          <w:rFonts w:ascii="Times New Roman" w:hAnsi="Times New Roman"/>
          <w:sz w:val="24"/>
          <w:szCs w:val="24"/>
        </w:rPr>
        <w:t xml:space="preserve">The Court wrote:  “In October 2014, Captain Troy Magee (‘Captain Magee’), who had been employed as a Hazmat firefighter with the NOFD for 13 years, was in New Mexico attending a week-long firefighter training course. On the final day of training, he became extremely ill and had to be transported by ambulance to the hospital. His medical condition worsened and required a helicopter transfer to another hospital's intensive care unit. Captain Magee was diagnosed with acute respiratory distress and multifocal pneumonia. He remained in intensive care for four days and later died on October 27, 2014. Dr. Keith Hutchinson (‘Dr. Hutchinson’), the critical care physician who treated Captain Magee, was present when he died and completed the discharge summary. Dr. Hutchinson listed the cause of death as ‘acute respiratory distress syndrome, secondary to influenza A, and H3/MRSA pneumonia.’ ***  The Firefighter's Heart and Lung Act ("Act"), set forth in La. R.S. 33:2581, states: "Any disease or infirmity of the heart and lungs which develops during a period of employment in the classified fire service of Louisiana shall be classified as a disease or infirmity connected with employment.”  </w:t>
      </w:r>
      <w:hyperlink r:id="rId1079" w:history="1">
        <w:r w:rsidRPr="00F0728A">
          <w:rPr>
            <w:rStyle w:val="Hyperlink"/>
            <w:rFonts w:ascii="Times New Roman" w:hAnsi="Times New Roman"/>
            <w:sz w:val="24"/>
            <w:szCs w:val="24"/>
          </w:rPr>
          <w:t>https://cases.justia.com/louisiana/fourth-circuit-court-of-appeal/2025-2024-ca-0747.pdf?ts=1746576943</w:t>
        </w:r>
      </w:hyperlink>
    </w:p>
    <w:p w14:paraId="5085F9DC" w14:textId="77777777" w:rsidR="00A0378C" w:rsidRPr="00A0378C" w:rsidRDefault="00A0378C" w:rsidP="00A0378C">
      <w:pPr>
        <w:pStyle w:val="NoSpacing"/>
        <w:rPr>
          <w:rFonts w:ascii="Times New Roman" w:hAnsi="Times New Roman"/>
          <w:b/>
          <w:bCs/>
          <w:sz w:val="24"/>
          <w:szCs w:val="24"/>
        </w:rPr>
      </w:pPr>
      <w:r w:rsidRPr="00A0378C">
        <w:rPr>
          <w:rFonts w:ascii="Times New Roman" w:hAnsi="Times New Roman"/>
          <w:b/>
          <w:sz w:val="24"/>
          <w:szCs w:val="24"/>
        </w:rPr>
        <w:t xml:space="preserve">Legal Lesson Learned: The statutory presumption in the Firefighter's Heart and Lung Act is very broad. </w:t>
      </w:r>
    </w:p>
    <w:p w14:paraId="3ECF5154" w14:textId="77777777" w:rsidR="00A0378C" w:rsidRPr="00A0378C" w:rsidRDefault="00A0378C" w:rsidP="00A0378C">
      <w:pPr>
        <w:pStyle w:val="NoSpacing"/>
        <w:rPr>
          <w:rFonts w:ascii="Times New Roman" w:hAnsi="Times New Roman"/>
          <w:b/>
          <w:bCs/>
          <w:sz w:val="24"/>
          <w:szCs w:val="24"/>
        </w:rPr>
      </w:pPr>
    </w:p>
    <w:p w14:paraId="57EA3F29" w14:textId="77777777" w:rsidR="00A0378C" w:rsidRDefault="00A0378C" w:rsidP="00F0728A">
      <w:pPr>
        <w:rPr>
          <w:rFonts w:ascii="Times New Roman" w:hAnsi="Times New Roman"/>
          <w:b/>
          <w:sz w:val="24"/>
          <w:szCs w:val="24"/>
        </w:rPr>
      </w:pPr>
    </w:p>
    <w:p w14:paraId="7B5156A7" w14:textId="77777777" w:rsidR="002F63E3" w:rsidRDefault="002F63E3" w:rsidP="00F0728A">
      <w:pPr>
        <w:rPr>
          <w:rFonts w:ascii="Times New Roman" w:hAnsi="Times New Roman"/>
          <w:b/>
          <w:sz w:val="24"/>
          <w:szCs w:val="24"/>
        </w:rPr>
      </w:pPr>
    </w:p>
    <w:p w14:paraId="6E9A77C3" w14:textId="77777777" w:rsidR="00744788" w:rsidRDefault="00744788" w:rsidP="00EF1133">
      <w:pPr>
        <w:rPr>
          <w:rFonts w:ascii="Arial Black" w:hAnsi="Arial Black"/>
          <w:b/>
          <w:sz w:val="24"/>
          <w:szCs w:val="24"/>
        </w:rPr>
      </w:pPr>
    </w:p>
    <w:p w14:paraId="70951456" w14:textId="5DC5491B" w:rsidR="00CB79E4" w:rsidRDefault="00CB79E4" w:rsidP="00EF1133">
      <w:pPr>
        <w:rPr>
          <w:rFonts w:ascii="Arial Black" w:hAnsi="Arial Black"/>
          <w:b/>
          <w:sz w:val="24"/>
          <w:szCs w:val="24"/>
        </w:rPr>
      </w:pPr>
      <w:r>
        <w:rPr>
          <w:rFonts w:ascii="Arial Black" w:hAnsi="Arial Black"/>
          <w:b/>
          <w:sz w:val="24"/>
          <w:szCs w:val="24"/>
        </w:rPr>
        <w:t>6-15</w:t>
      </w:r>
      <w:r w:rsidR="002A0697">
        <w:rPr>
          <w:rFonts w:ascii="Arial Black" w:hAnsi="Arial Black"/>
          <w:b/>
          <w:sz w:val="24"/>
          <w:szCs w:val="24"/>
        </w:rPr>
        <w:t>8</w:t>
      </w:r>
    </w:p>
    <w:p w14:paraId="20264B8A" w14:textId="77777777" w:rsidR="00981C5A" w:rsidRPr="009041B2" w:rsidRDefault="00981C5A" w:rsidP="00981C5A">
      <w:pPr>
        <w:pStyle w:val="NoSpacing"/>
        <w:rPr>
          <w:rFonts w:ascii="Arial Black" w:hAnsi="Arial Black"/>
          <w:sz w:val="28"/>
          <w:szCs w:val="28"/>
        </w:rPr>
      </w:pPr>
      <w:r>
        <w:rPr>
          <w:rFonts w:ascii="Arial Black" w:hAnsi="Arial Black"/>
          <w:sz w:val="28"/>
          <w:szCs w:val="28"/>
        </w:rPr>
        <w:t>WV: FF KNEE – 40 LBS SUPPLIES UP STAIRS – WORK COMP</w:t>
      </w:r>
    </w:p>
    <w:p w14:paraId="782CAB52" w14:textId="77777777" w:rsidR="00981C5A" w:rsidRDefault="00981C5A" w:rsidP="00981C5A">
      <w:pPr>
        <w:pStyle w:val="NoSpacing"/>
      </w:pPr>
    </w:p>
    <w:p w14:paraId="64B55FD9" w14:textId="77777777" w:rsidR="00981C5A" w:rsidRPr="00981C5A" w:rsidRDefault="00981C5A" w:rsidP="00981C5A">
      <w:pPr>
        <w:rPr>
          <w:rFonts w:ascii="Times New Roman" w:hAnsi="Times New Roman"/>
          <w:sz w:val="24"/>
          <w:szCs w:val="24"/>
        </w:rPr>
      </w:pPr>
      <w:r w:rsidRPr="00981C5A">
        <w:rPr>
          <w:rFonts w:ascii="Times New Roman" w:hAnsi="Times New Roman"/>
          <w:sz w:val="24"/>
          <w:szCs w:val="24"/>
        </w:rPr>
        <w:t xml:space="preserve">On April 29, 2025, in </w:t>
      </w:r>
      <w:r w:rsidRPr="00981C5A">
        <w:rPr>
          <w:rFonts w:ascii="Times New Roman" w:hAnsi="Times New Roman"/>
          <w:sz w:val="24"/>
          <w:szCs w:val="24"/>
          <w:u w:val="single"/>
        </w:rPr>
        <w:t>City of Wheeling v. Cody Melsop</w:t>
      </w:r>
      <w:r w:rsidRPr="00981C5A">
        <w:rPr>
          <w:rFonts w:ascii="Times New Roman" w:hAnsi="Times New Roman"/>
          <w:sz w:val="24"/>
          <w:szCs w:val="24"/>
        </w:rPr>
        <w:t xml:space="preserve">, the West Virginia Intermediate Court of Appeals held (3 to 0) that the Workers Comp Board properly reversed the claim administrator; the injury was work related </w:t>
      </w:r>
      <w:r w:rsidRPr="00981C5A">
        <w:rPr>
          <w:rFonts w:ascii="Times New Roman" w:hAnsi="Times New Roman"/>
          <w:sz w:val="24"/>
          <w:szCs w:val="24"/>
        </w:rPr>
        <w:lastRenderedPageBreak/>
        <w:t xml:space="preserve">since he was carrying a tote with 40 pounds of supplies up 17 steps at the fire station when he felt pain in his right knee.  While an MRI revealed significant cartilage loss, the injury occurred on duty.  </w:t>
      </w:r>
      <w:hyperlink r:id="rId1080" w:history="1">
        <w:r w:rsidRPr="00981C5A">
          <w:rPr>
            <w:rStyle w:val="Hyperlink"/>
            <w:rFonts w:ascii="Times New Roman" w:hAnsi="Times New Roman"/>
            <w:sz w:val="24"/>
            <w:szCs w:val="24"/>
          </w:rPr>
          <w:t>https://cases.justia.com/west-virginia/intermediate-court-of-appeals/2025-24-ica-379.pdf?ts=1745964757</w:t>
        </w:r>
      </w:hyperlink>
      <w:r w:rsidRPr="00981C5A">
        <w:rPr>
          <w:rFonts w:ascii="Times New Roman" w:hAnsi="Times New Roman"/>
          <w:sz w:val="24"/>
          <w:szCs w:val="24"/>
        </w:rPr>
        <w:t xml:space="preserve"> </w:t>
      </w:r>
    </w:p>
    <w:p w14:paraId="77DF5FE8" w14:textId="77777777" w:rsidR="0062764C" w:rsidRPr="0062764C" w:rsidRDefault="0062764C" w:rsidP="0062764C">
      <w:pPr>
        <w:pStyle w:val="NoSpacing"/>
        <w:rPr>
          <w:rFonts w:ascii="Times New Roman" w:hAnsi="Times New Roman"/>
          <w:b/>
          <w:bCs/>
          <w:sz w:val="24"/>
          <w:szCs w:val="24"/>
        </w:rPr>
      </w:pPr>
      <w:r w:rsidRPr="0062764C">
        <w:rPr>
          <w:rFonts w:ascii="Times New Roman" w:hAnsi="Times New Roman"/>
          <w:b/>
          <w:sz w:val="24"/>
          <w:szCs w:val="24"/>
        </w:rPr>
        <w:t>Legal Lesson Learned: The firefighter was injured performing fire station duties.</w:t>
      </w:r>
    </w:p>
    <w:p w14:paraId="2AB2FF4B" w14:textId="77777777" w:rsidR="00CB79E4" w:rsidRPr="0062764C" w:rsidRDefault="00CB79E4" w:rsidP="00EF1133">
      <w:pPr>
        <w:rPr>
          <w:rFonts w:ascii="Times New Roman" w:hAnsi="Times New Roman"/>
          <w:b/>
          <w:sz w:val="24"/>
          <w:szCs w:val="24"/>
        </w:rPr>
      </w:pPr>
    </w:p>
    <w:p w14:paraId="4913FBA1" w14:textId="77777777" w:rsidR="002A0697" w:rsidRDefault="002A0697" w:rsidP="00EF1133">
      <w:pPr>
        <w:rPr>
          <w:rFonts w:ascii="Arial Black" w:hAnsi="Arial Black"/>
          <w:b/>
          <w:sz w:val="24"/>
          <w:szCs w:val="24"/>
        </w:rPr>
      </w:pPr>
    </w:p>
    <w:p w14:paraId="2C6F8D82" w14:textId="3119E286" w:rsidR="00CB79E4" w:rsidRDefault="002A0697" w:rsidP="00EF1133">
      <w:pPr>
        <w:rPr>
          <w:rFonts w:ascii="Arial Black" w:hAnsi="Arial Black"/>
          <w:b/>
          <w:sz w:val="24"/>
          <w:szCs w:val="24"/>
        </w:rPr>
      </w:pPr>
      <w:r>
        <w:rPr>
          <w:rFonts w:ascii="Arial Black" w:hAnsi="Arial Black"/>
          <w:b/>
          <w:sz w:val="24"/>
          <w:szCs w:val="24"/>
        </w:rPr>
        <w:t>6-157</w:t>
      </w:r>
    </w:p>
    <w:p w14:paraId="64E28150" w14:textId="77777777" w:rsidR="0090461E" w:rsidRPr="006F2B87" w:rsidRDefault="0090461E" w:rsidP="0090461E">
      <w:pPr>
        <w:pStyle w:val="NoSpacing"/>
        <w:rPr>
          <w:rFonts w:ascii="Arial Black" w:hAnsi="Arial Black"/>
          <w:b/>
          <w:bCs/>
          <w:sz w:val="28"/>
          <w:szCs w:val="28"/>
        </w:rPr>
      </w:pPr>
      <w:r w:rsidRPr="006F2B87">
        <w:rPr>
          <w:rFonts w:ascii="Arial Black" w:hAnsi="Arial Black"/>
          <w:b/>
          <w:sz w:val="28"/>
          <w:szCs w:val="28"/>
        </w:rPr>
        <w:t xml:space="preserve">NY: GROUND ZERO – FF’s </w:t>
      </w:r>
      <w:r>
        <w:rPr>
          <w:rFonts w:ascii="Arial Black" w:hAnsi="Arial Black"/>
          <w:b/>
          <w:sz w:val="28"/>
          <w:szCs w:val="28"/>
        </w:rPr>
        <w:t xml:space="preserve">LUNGS - </w:t>
      </w:r>
      <w:r w:rsidRPr="006F2B87">
        <w:rPr>
          <w:rFonts w:ascii="Arial Black" w:hAnsi="Arial Black"/>
          <w:b/>
          <w:sz w:val="28"/>
          <w:szCs w:val="28"/>
        </w:rPr>
        <w:t xml:space="preserve">WIFE GET </w:t>
      </w:r>
      <w:r>
        <w:rPr>
          <w:rFonts w:ascii="Arial Black" w:hAnsi="Arial Black"/>
          <w:b/>
          <w:sz w:val="28"/>
          <w:szCs w:val="28"/>
        </w:rPr>
        <w:t xml:space="preserve">WTC </w:t>
      </w:r>
      <w:r w:rsidRPr="006F2B87">
        <w:rPr>
          <w:rFonts w:ascii="Arial Black" w:hAnsi="Arial Black"/>
          <w:b/>
          <w:sz w:val="28"/>
          <w:szCs w:val="28"/>
        </w:rPr>
        <w:t xml:space="preserve">BENEFITS </w:t>
      </w:r>
    </w:p>
    <w:p w14:paraId="6087B686" w14:textId="77777777" w:rsidR="0090461E" w:rsidRDefault="0090461E" w:rsidP="0090461E">
      <w:pPr>
        <w:pStyle w:val="NoSpacing"/>
        <w:rPr>
          <w:bCs/>
        </w:rPr>
      </w:pPr>
    </w:p>
    <w:p w14:paraId="51721210" w14:textId="77777777" w:rsidR="0090461E" w:rsidRPr="002F63E3" w:rsidRDefault="0090461E" w:rsidP="0090461E">
      <w:pPr>
        <w:pStyle w:val="NoSpacing"/>
        <w:rPr>
          <w:rFonts w:ascii="Times New Roman" w:hAnsi="Times New Roman"/>
          <w:bCs/>
          <w:sz w:val="24"/>
          <w:szCs w:val="24"/>
        </w:rPr>
      </w:pPr>
      <w:r w:rsidRPr="002F63E3">
        <w:rPr>
          <w:rFonts w:ascii="Times New Roman" w:hAnsi="Times New Roman"/>
          <w:sz w:val="24"/>
          <w:szCs w:val="24"/>
        </w:rPr>
        <w:t xml:space="preserve">On April 11, 2025, </w:t>
      </w:r>
      <w:r w:rsidRPr="002F63E3">
        <w:rPr>
          <w:rFonts w:ascii="Times New Roman" w:hAnsi="Times New Roman"/>
          <w:sz w:val="24"/>
          <w:szCs w:val="24"/>
          <w:u w:val="single"/>
        </w:rPr>
        <w:t>In the matter of the Application of Susan Michlik-Klipp v. Board of Trustees of the Fire Department of the City of New York</w:t>
      </w:r>
      <w:r w:rsidRPr="002F63E3">
        <w:rPr>
          <w:rFonts w:ascii="Times New Roman" w:hAnsi="Times New Roman"/>
          <w:sz w:val="24"/>
          <w:szCs w:val="24"/>
        </w:rPr>
        <w:t xml:space="preserve">, the Supreme Court, New York County, New York, Judge Leslie A. Stroth, reversed the Board, holding the denial of World Trade Center death benefits to widow of FDNY firefighter Kenneth Klipp was “arbitrary and capricious.”  He joined the FDNY in 1985 and retired in 2016; he died on November 3, 2020. </w:t>
      </w:r>
    </w:p>
    <w:p w14:paraId="202BD26C" w14:textId="77777777" w:rsidR="0090461E" w:rsidRPr="002F63E3" w:rsidRDefault="0090461E" w:rsidP="0090461E">
      <w:pPr>
        <w:pStyle w:val="NoSpacing"/>
        <w:rPr>
          <w:rFonts w:ascii="Times New Roman" w:hAnsi="Times New Roman"/>
          <w:bCs/>
          <w:sz w:val="24"/>
          <w:szCs w:val="24"/>
        </w:rPr>
      </w:pPr>
    </w:p>
    <w:p w14:paraId="4C342E35" w14:textId="77777777" w:rsidR="0090461E" w:rsidRPr="002F63E3" w:rsidRDefault="0090461E" w:rsidP="0090461E">
      <w:pPr>
        <w:pStyle w:val="NoSpacing"/>
        <w:rPr>
          <w:rFonts w:ascii="Times New Roman" w:hAnsi="Times New Roman"/>
          <w:b/>
          <w:bCs/>
          <w:sz w:val="24"/>
          <w:szCs w:val="24"/>
        </w:rPr>
      </w:pPr>
      <w:r w:rsidRPr="002F63E3">
        <w:rPr>
          <w:rFonts w:ascii="Times New Roman" w:hAnsi="Times New Roman"/>
          <w:sz w:val="24"/>
          <w:szCs w:val="24"/>
        </w:rPr>
        <w:t xml:space="preserve">The Court wrote: “During his employment of over 30 years with FDNY, firefighter Klipp responded to the World Trade Center site after the terrorist attack on September 11, </w:t>
      </w:r>
      <w:proofErr w:type="gramStart"/>
      <w:r w:rsidRPr="002F63E3">
        <w:rPr>
          <w:rFonts w:ascii="Times New Roman" w:hAnsi="Times New Roman"/>
          <w:sz w:val="24"/>
          <w:szCs w:val="24"/>
        </w:rPr>
        <w:t>2001</w:t>
      </w:r>
      <w:proofErr w:type="gramEnd"/>
      <w:r w:rsidRPr="002F63E3">
        <w:rPr>
          <w:rFonts w:ascii="Times New Roman" w:hAnsi="Times New Roman"/>
          <w:sz w:val="24"/>
          <w:szCs w:val="24"/>
        </w:rPr>
        <w:t xml:space="preserve"> and ‘spent sufficient time . . . to qualify for WTC retirement benefits under the New York City Administrative Code and the New York State Retirement and Social Security Law.’ *** In support of her application, petitioner submitted, among other things, firefighter Klipp's medical records and two reports from board certified cardiologist Dr. Bruce Charash, F.A.C.C.</w:t>
      </w:r>
      <w:hyperlink r:id="rId1081" w:anchor="footnote_2" w:history="1">
        <w:r w:rsidRPr="002F63E3">
          <w:rPr>
            <w:rStyle w:val="Hyperlink"/>
            <w:rFonts w:ascii="Times New Roman" w:hAnsi="Times New Roman"/>
            <w:sz w:val="24"/>
            <w:szCs w:val="24"/>
            <w:vertAlign w:val="superscript"/>
          </w:rPr>
          <w:t>2</w:t>
        </w:r>
      </w:hyperlink>
      <w:r w:rsidRPr="002F63E3">
        <w:rPr>
          <w:rFonts w:ascii="Times New Roman" w:hAnsi="Times New Roman"/>
          <w:sz w:val="24"/>
          <w:szCs w:val="24"/>
        </w:rPr>
        <w:t xml:space="preserve">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dated February 17, </w:t>
      </w:r>
      <w:proofErr w:type="gramStart"/>
      <w:r w:rsidRPr="002F63E3">
        <w:rPr>
          <w:rFonts w:ascii="Times New Roman" w:hAnsi="Times New Roman"/>
          <w:sz w:val="24"/>
          <w:szCs w:val="24"/>
        </w:rPr>
        <w:t>2022</w:t>
      </w:r>
      <w:proofErr w:type="gramEnd"/>
      <w:r w:rsidRPr="002F63E3">
        <w:rPr>
          <w:rFonts w:ascii="Times New Roman" w:hAnsi="Times New Roman"/>
          <w:sz w:val="24"/>
          <w:szCs w:val="24"/>
        </w:rPr>
        <w:t xml:space="preserve"> and October 7, 2022….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reviewed firefighter Klipp's medical records and opined that his death was a ‘direct consequence of his exposure to inhaled particles due to his work at Ground Zero after 9/11’….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emphasized that firefighter Klipp ‘should have had a normal pulmonary performance’ with his normal cardiac status and an absence of obstructive lung disease ….Yet,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opined that firefighter Klipp had a ‘catastrophic lung collapse’ in 2020, and his exposure to inhaled toxins while working at Ground Zero after 9/11 resulted in ‘a degradation of his lungs and a damage to the local architecture of his lungs’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opined that exposure to inhaled toxins thus damaged firefighter Klipp's lungs on the ‘tissue level; creating a local state of immune compromise’ that lead to his death ….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further emphasized that firefighter Klipp's CT scan from October 18, </w:t>
      </w:r>
      <w:proofErr w:type="gramStart"/>
      <w:r w:rsidRPr="002F63E3">
        <w:rPr>
          <w:rFonts w:ascii="Times New Roman" w:hAnsi="Times New Roman"/>
          <w:sz w:val="24"/>
          <w:szCs w:val="24"/>
        </w:rPr>
        <w:t>2020</w:t>
      </w:r>
      <w:proofErr w:type="gramEnd"/>
      <w:r w:rsidRPr="002F63E3">
        <w:rPr>
          <w:rFonts w:ascii="Times New Roman" w:hAnsi="Times New Roman"/>
          <w:sz w:val="24"/>
          <w:szCs w:val="24"/>
        </w:rPr>
        <w:t xml:space="preserve"> showed that firefighter Klipp had ‘pneumoconiosis caused by inorganic dust,’ which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described as damage to the tissue and a ‘disruption of the local lung tissue architecture,’ associated with the lung's inability to fight infections ….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concluded that firefighter Klipp demonstrated ‘a significant failure of his lungs" to fight infections as demonstrated by his </w:t>
      </w:r>
      <w:proofErr w:type="spellStart"/>
      <w:r w:rsidRPr="002F63E3">
        <w:rPr>
          <w:rFonts w:ascii="Times New Roman" w:hAnsi="Times New Roman"/>
          <w:sz w:val="24"/>
          <w:szCs w:val="24"/>
        </w:rPr>
        <w:t>extubation</w:t>
      </w:r>
      <w:proofErr w:type="spellEnd"/>
      <w:r w:rsidRPr="002F63E3">
        <w:rPr>
          <w:rFonts w:ascii="Times New Roman" w:hAnsi="Times New Roman"/>
          <w:sz w:val="24"/>
          <w:szCs w:val="24"/>
        </w:rPr>
        <w:t xml:space="preserve"> on “9/25/19" and re-intubation on "9/27/19" …. Dr. </w:t>
      </w:r>
      <w:proofErr w:type="spellStart"/>
      <w:r w:rsidRPr="002F63E3">
        <w:rPr>
          <w:rFonts w:ascii="Times New Roman" w:hAnsi="Times New Roman"/>
          <w:sz w:val="24"/>
          <w:szCs w:val="24"/>
        </w:rPr>
        <w:t>Charash</w:t>
      </w:r>
      <w:proofErr w:type="spellEnd"/>
      <w:r w:rsidRPr="002F63E3">
        <w:rPr>
          <w:rFonts w:ascii="Times New Roman" w:hAnsi="Times New Roman"/>
          <w:sz w:val="24"/>
          <w:szCs w:val="24"/>
        </w:rPr>
        <w:t xml:space="preserve"> determined that firefighter Klipp died due to his damaged lungs and their inability to fight infections.’  *** To the contrary, the medical board's speculative conclusion that firefighter Klipp died ‘as a consequence of a cerebral vascular accident, in the face of defined hypertension and hypertensive heart disease, with multiple systemic complications"’(NYSCEF Doc No. 49, p. 4) is not supported by firefighter Klipp's medical records.”  </w:t>
      </w:r>
      <w:hyperlink r:id="rId1082" w:history="1">
        <w:r w:rsidRPr="002F63E3">
          <w:rPr>
            <w:rStyle w:val="Hyperlink"/>
            <w:rFonts w:ascii="Times New Roman" w:hAnsi="Times New Roman"/>
            <w:sz w:val="24"/>
            <w:szCs w:val="24"/>
          </w:rPr>
          <w:t>https://caselaw.findlaw.com/court/ny-supreme-court/117196656.html</w:t>
        </w:r>
      </w:hyperlink>
      <w:r w:rsidRPr="002F63E3">
        <w:rPr>
          <w:rFonts w:ascii="Times New Roman" w:hAnsi="Times New Roman"/>
          <w:sz w:val="24"/>
          <w:szCs w:val="24"/>
        </w:rPr>
        <w:t xml:space="preserve"> </w:t>
      </w:r>
    </w:p>
    <w:p w14:paraId="08DD9135" w14:textId="77777777" w:rsidR="0090461E" w:rsidRPr="002F63E3" w:rsidRDefault="0090461E" w:rsidP="0090461E">
      <w:pPr>
        <w:pStyle w:val="NoSpacing"/>
        <w:rPr>
          <w:rFonts w:ascii="Times New Roman" w:hAnsi="Times New Roman"/>
          <w:bCs/>
          <w:sz w:val="24"/>
          <w:szCs w:val="24"/>
        </w:rPr>
      </w:pPr>
    </w:p>
    <w:p w14:paraId="37184B96" w14:textId="77777777" w:rsidR="0090461E" w:rsidRPr="0090461E" w:rsidRDefault="0090461E" w:rsidP="0090461E">
      <w:pPr>
        <w:pStyle w:val="NoSpacing"/>
        <w:rPr>
          <w:rFonts w:ascii="Times New Roman" w:hAnsi="Times New Roman"/>
          <w:b/>
          <w:bCs/>
          <w:sz w:val="24"/>
          <w:szCs w:val="24"/>
        </w:rPr>
      </w:pPr>
      <w:r w:rsidRPr="0090461E">
        <w:rPr>
          <w:rFonts w:ascii="Times New Roman" w:hAnsi="Times New Roman"/>
          <w:b/>
          <w:sz w:val="24"/>
          <w:szCs w:val="24"/>
        </w:rPr>
        <w:t xml:space="preserve">Legal Lesson Learned: The NY Administrative Code creates a presumption that the retiree's death was </w:t>
      </w:r>
      <w:r w:rsidRPr="0090461E">
        <w:rPr>
          <w:rFonts w:ascii="Times New Roman" w:hAnsi="Times New Roman"/>
          <w:b/>
          <w:bCs/>
          <w:sz w:val="24"/>
          <w:szCs w:val="24"/>
        </w:rPr>
        <w:t>“</w:t>
      </w:r>
      <w:r w:rsidRPr="0090461E">
        <w:rPr>
          <w:rFonts w:ascii="Times New Roman" w:hAnsi="Times New Roman"/>
          <w:b/>
          <w:sz w:val="24"/>
          <w:szCs w:val="24"/>
        </w:rPr>
        <w:t>a natural and proximate result of</w:t>
      </w:r>
      <w:r w:rsidRPr="0090461E">
        <w:rPr>
          <w:rFonts w:ascii="Times New Roman" w:hAnsi="Times New Roman"/>
          <w:b/>
          <w:bCs/>
          <w:sz w:val="24"/>
          <w:szCs w:val="24"/>
        </w:rPr>
        <w:t>”</w:t>
      </w:r>
      <w:r w:rsidRPr="0090461E">
        <w:rPr>
          <w:rFonts w:ascii="Times New Roman" w:hAnsi="Times New Roman"/>
          <w:b/>
          <w:sz w:val="24"/>
          <w:szCs w:val="24"/>
        </w:rPr>
        <w:t xml:space="preserve"> their participation in the WTC rescue, recovery or cleanup operations.</w:t>
      </w:r>
    </w:p>
    <w:p w14:paraId="3A188F36" w14:textId="77777777" w:rsidR="0090461E" w:rsidRPr="0090461E" w:rsidRDefault="0090461E" w:rsidP="0090461E">
      <w:pPr>
        <w:pStyle w:val="NoSpacing"/>
        <w:rPr>
          <w:rFonts w:ascii="Times New Roman" w:hAnsi="Times New Roman"/>
          <w:sz w:val="24"/>
          <w:szCs w:val="24"/>
        </w:rPr>
      </w:pPr>
    </w:p>
    <w:p w14:paraId="5B3ADCAA" w14:textId="77777777" w:rsidR="0090461E" w:rsidRPr="00F0728A" w:rsidRDefault="0090461E" w:rsidP="0090461E">
      <w:pPr>
        <w:rPr>
          <w:rFonts w:ascii="Times New Roman" w:hAnsi="Times New Roman"/>
          <w:b/>
          <w:sz w:val="24"/>
          <w:szCs w:val="24"/>
        </w:rPr>
      </w:pPr>
    </w:p>
    <w:p w14:paraId="4EFD423A" w14:textId="77777777" w:rsidR="0090461E" w:rsidRDefault="0090461E" w:rsidP="00EF1133">
      <w:pPr>
        <w:rPr>
          <w:rFonts w:ascii="Arial Black" w:hAnsi="Arial Black"/>
          <w:b/>
          <w:sz w:val="24"/>
          <w:szCs w:val="24"/>
        </w:rPr>
      </w:pPr>
    </w:p>
    <w:p w14:paraId="393812F2" w14:textId="223A2A25" w:rsidR="00130523" w:rsidRDefault="00130523" w:rsidP="00EF1133">
      <w:pPr>
        <w:rPr>
          <w:rFonts w:ascii="Arial Black" w:hAnsi="Arial Black"/>
          <w:b/>
          <w:sz w:val="24"/>
          <w:szCs w:val="24"/>
        </w:rPr>
      </w:pPr>
      <w:r>
        <w:rPr>
          <w:rFonts w:ascii="Arial Black" w:hAnsi="Arial Black"/>
          <w:b/>
          <w:sz w:val="24"/>
          <w:szCs w:val="24"/>
        </w:rPr>
        <w:lastRenderedPageBreak/>
        <w:t>6-156</w:t>
      </w:r>
    </w:p>
    <w:p w14:paraId="72AAF748" w14:textId="77777777" w:rsidR="00130523" w:rsidRPr="00FF013C" w:rsidRDefault="00130523" w:rsidP="00130523">
      <w:pPr>
        <w:pStyle w:val="NoSpacing"/>
        <w:rPr>
          <w:rFonts w:ascii="Arial Black" w:hAnsi="Arial Black"/>
          <w:bCs/>
          <w:sz w:val="28"/>
          <w:szCs w:val="28"/>
        </w:rPr>
      </w:pPr>
      <w:r>
        <w:rPr>
          <w:rFonts w:ascii="Arial Black" w:hAnsi="Arial Black"/>
          <w:sz w:val="28"/>
          <w:szCs w:val="28"/>
        </w:rPr>
        <w:t>PA: THROAT CANCER – COVERED – LIST OF HIS RUNS</w:t>
      </w:r>
    </w:p>
    <w:p w14:paraId="23DD7C72" w14:textId="77777777" w:rsidR="00130523" w:rsidRPr="00130523" w:rsidRDefault="00130523" w:rsidP="00130523">
      <w:pPr>
        <w:pStyle w:val="NoSpacing"/>
        <w:rPr>
          <w:rFonts w:ascii="Times New Roman" w:hAnsi="Times New Roman"/>
          <w:bCs/>
          <w:sz w:val="24"/>
          <w:szCs w:val="24"/>
        </w:rPr>
      </w:pPr>
    </w:p>
    <w:p w14:paraId="02FBDB7D" w14:textId="77777777" w:rsidR="00130523" w:rsidRPr="00130523" w:rsidRDefault="00130523" w:rsidP="00130523">
      <w:pPr>
        <w:pStyle w:val="NoSpacing"/>
        <w:rPr>
          <w:rFonts w:ascii="Times New Roman" w:hAnsi="Times New Roman"/>
          <w:bCs/>
          <w:sz w:val="24"/>
          <w:szCs w:val="24"/>
        </w:rPr>
      </w:pPr>
      <w:r w:rsidRPr="00130523">
        <w:rPr>
          <w:rFonts w:ascii="Times New Roman" w:hAnsi="Times New Roman"/>
          <w:sz w:val="24"/>
          <w:szCs w:val="24"/>
        </w:rPr>
        <w:t xml:space="preserve">On April 1, 2025, in </w:t>
      </w:r>
      <w:r w:rsidRPr="00130523">
        <w:rPr>
          <w:rFonts w:ascii="Times New Roman" w:hAnsi="Times New Roman"/>
          <w:sz w:val="24"/>
          <w:szCs w:val="24"/>
          <w:u w:val="single"/>
        </w:rPr>
        <w:t>Lake Ariel Volunteer Fire Company, Petitioner v. Alex Rae (Workers' Compensation Appeal Board), Respondent</w:t>
      </w:r>
      <w:r w:rsidRPr="00130523">
        <w:rPr>
          <w:rFonts w:ascii="Times New Roman" w:hAnsi="Times New Roman"/>
          <w:sz w:val="24"/>
          <w:szCs w:val="24"/>
        </w:rPr>
        <w:t xml:space="preserve">, the Commonwealth Court of Pennsylvania held (3 to 0; unpublished decision) that the 72-year-old firefighter, having been active volunteer for over 28 years in NY and PA, was properly awarded workers comp.  In March 2021, Claimant was diagnosed with oral cancer.  Claimant prepared a report of his runs from the website,  </w:t>
      </w:r>
      <w:hyperlink r:id="rId1083" w:history="1">
        <w:r w:rsidRPr="00130523">
          <w:rPr>
            <w:rStyle w:val="Hyperlink"/>
            <w:rFonts w:ascii="Times New Roman" w:hAnsi="Times New Roman"/>
            <w:sz w:val="24"/>
            <w:szCs w:val="24"/>
          </w:rPr>
          <w:t>https://www.iamresponding.com/</w:t>
        </w:r>
      </w:hyperlink>
      <w:r w:rsidRPr="00130523">
        <w:rPr>
          <w:rFonts w:ascii="Times New Roman" w:hAnsi="Times New Roman"/>
          <w:sz w:val="24"/>
          <w:szCs w:val="24"/>
        </w:rPr>
        <w:t xml:space="preserve"> and testimony of expert witness. The WCJ found “the opinions of Dr. Guidotti [firefighter’s expert] more credible than the testimony of [Dr.] Goldsmith to the extent their testimony is inconsistent,” citing Dr. Guidotti’s status as a highly credentialed medical doctor with numerous certifications. </w:t>
      </w:r>
      <w:hyperlink r:id="rId1084" w:history="1">
        <w:r w:rsidRPr="00130523">
          <w:rPr>
            <w:rStyle w:val="Hyperlink"/>
            <w:rFonts w:ascii="Times New Roman" w:hAnsi="Times New Roman"/>
            <w:sz w:val="24"/>
            <w:szCs w:val="24"/>
          </w:rPr>
          <w:t>https://cases.justia.com/pennsylvania/commonwealth-court/2025-92-c-d-2024.pdf?ts=1743522170</w:t>
        </w:r>
      </w:hyperlink>
      <w:r w:rsidRPr="00130523">
        <w:rPr>
          <w:rFonts w:ascii="Times New Roman" w:hAnsi="Times New Roman"/>
          <w:sz w:val="24"/>
          <w:szCs w:val="24"/>
        </w:rPr>
        <w:t xml:space="preserve"> </w:t>
      </w:r>
    </w:p>
    <w:p w14:paraId="131FF51F" w14:textId="77777777" w:rsidR="00130523" w:rsidRPr="00130523" w:rsidRDefault="00130523" w:rsidP="00130523">
      <w:pPr>
        <w:pStyle w:val="NoSpacing"/>
        <w:rPr>
          <w:rFonts w:ascii="Times New Roman" w:hAnsi="Times New Roman"/>
          <w:bCs/>
          <w:sz w:val="24"/>
          <w:szCs w:val="24"/>
        </w:rPr>
      </w:pPr>
    </w:p>
    <w:p w14:paraId="4C0B6E45" w14:textId="77777777" w:rsidR="00130523" w:rsidRPr="00130523" w:rsidRDefault="00130523" w:rsidP="00130523">
      <w:pPr>
        <w:pStyle w:val="NoSpacing"/>
        <w:ind w:left="720"/>
        <w:rPr>
          <w:rFonts w:ascii="Times New Roman" w:hAnsi="Times New Roman"/>
          <w:bCs/>
          <w:sz w:val="24"/>
          <w:szCs w:val="24"/>
        </w:rPr>
      </w:pPr>
      <w:r w:rsidRPr="00130523">
        <w:rPr>
          <w:rFonts w:ascii="Times New Roman" w:hAnsi="Times New Roman"/>
          <w:sz w:val="24"/>
          <w:szCs w:val="24"/>
        </w:rPr>
        <w:t xml:space="preserve">“Alex Rae (Claimant) was diagnosed with various cancers after decades of being a firefighter, most recently as a volunteer for the Lake Ariel Volunteer Fire Company (Employer). Certain cancers are known to have a causal connection to firefighting, and so the legislature created a presumption that those cancers are caused by being a firefighter for purposes of the occupational disease provisions of the Workers’ Compensation Act (Act). A Workers’ Compensation Judge (WCJ) granted Claimant’s Claim Petition awarding benefits, and the Workers’ Compensation Appeal Board (Board) affirmed. </w:t>
      </w:r>
    </w:p>
    <w:p w14:paraId="6D922CE6" w14:textId="77777777" w:rsidR="00130523" w:rsidRPr="00130523" w:rsidRDefault="00130523" w:rsidP="00130523">
      <w:pPr>
        <w:pStyle w:val="NoSpacing"/>
        <w:ind w:left="720"/>
        <w:rPr>
          <w:rFonts w:ascii="Times New Roman" w:hAnsi="Times New Roman"/>
          <w:bCs/>
          <w:sz w:val="24"/>
          <w:szCs w:val="24"/>
        </w:rPr>
      </w:pPr>
    </w:p>
    <w:p w14:paraId="1BD1599C" w14:textId="77777777" w:rsidR="00130523" w:rsidRPr="00130523" w:rsidRDefault="00130523" w:rsidP="00130523">
      <w:pPr>
        <w:pStyle w:val="NoSpacing"/>
        <w:ind w:left="720"/>
        <w:rPr>
          <w:rFonts w:ascii="Times New Roman" w:hAnsi="Times New Roman"/>
          <w:bCs/>
          <w:sz w:val="24"/>
          <w:szCs w:val="24"/>
        </w:rPr>
      </w:pPr>
      <w:r w:rsidRPr="00130523">
        <w:rPr>
          <w:rFonts w:ascii="Times New Roman" w:hAnsi="Times New Roman"/>
          <w:sz w:val="24"/>
          <w:szCs w:val="24"/>
        </w:rPr>
        <w:t>***</w:t>
      </w:r>
    </w:p>
    <w:p w14:paraId="4967786F" w14:textId="77777777" w:rsidR="00130523" w:rsidRPr="00130523" w:rsidRDefault="00130523" w:rsidP="00130523">
      <w:pPr>
        <w:pStyle w:val="NoSpacing"/>
        <w:ind w:left="720"/>
        <w:rPr>
          <w:rFonts w:ascii="Times New Roman" w:hAnsi="Times New Roman"/>
          <w:b/>
          <w:sz w:val="24"/>
          <w:szCs w:val="24"/>
        </w:rPr>
      </w:pPr>
    </w:p>
    <w:p w14:paraId="21840E19" w14:textId="77777777" w:rsidR="00130523" w:rsidRPr="00130523" w:rsidRDefault="00130523" w:rsidP="00130523">
      <w:pPr>
        <w:pStyle w:val="NoSpacing"/>
        <w:ind w:left="720"/>
        <w:rPr>
          <w:rFonts w:ascii="Times New Roman" w:hAnsi="Times New Roman"/>
          <w:bCs/>
          <w:sz w:val="24"/>
          <w:szCs w:val="24"/>
        </w:rPr>
      </w:pPr>
      <w:r w:rsidRPr="00130523">
        <w:rPr>
          <w:rFonts w:ascii="Times New Roman" w:hAnsi="Times New Roman"/>
          <w:sz w:val="24"/>
          <w:szCs w:val="24"/>
        </w:rPr>
        <w:t xml:space="preserve">Employer argues Claimant did not show, by competent, substantial evidence, that Claimant was exposed to carcinogens. Instead of presenting </w:t>
      </w:r>
      <w:proofErr w:type="spellStart"/>
      <w:r w:rsidRPr="00130523">
        <w:rPr>
          <w:rFonts w:ascii="Times New Roman" w:hAnsi="Times New Roman"/>
          <w:sz w:val="24"/>
          <w:szCs w:val="24"/>
        </w:rPr>
        <w:t>PennFIRS</w:t>
      </w:r>
      <w:proofErr w:type="spellEnd"/>
      <w:r w:rsidRPr="00130523">
        <w:rPr>
          <w:rFonts w:ascii="Times New Roman" w:hAnsi="Times New Roman"/>
          <w:sz w:val="24"/>
          <w:szCs w:val="24"/>
        </w:rPr>
        <w:t xml:space="preserve"> reports, as provided by Section 301(f) of the Act, Claimant only presented lay testimony and</w:t>
      </w:r>
    </w:p>
    <w:p w14:paraId="621D8B67" w14:textId="77777777" w:rsidR="00130523" w:rsidRPr="00130523" w:rsidRDefault="00130523" w:rsidP="00130523">
      <w:pPr>
        <w:pStyle w:val="NoSpacing"/>
        <w:ind w:firstLine="720"/>
        <w:rPr>
          <w:rFonts w:ascii="Times New Roman" w:hAnsi="Times New Roman"/>
          <w:bCs/>
          <w:sz w:val="24"/>
          <w:szCs w:val="24"/>
        </w:rPr>
      </w:pPr>
      <w:r w:rsidRPr="00130523">
        <w:rPr>
          <w:rFonts w:ascii="Times New Roman" w:hAnsi="Times New Roman"/>
          <w:sz w:val="24"/>
          <w:szCs w:val="24"/>
        </w:rPr>
        <w:t xml:space="preserve">data from the </w:t>
      </w:r>
      <w:proofErr w:type="gramStart"/>
      <w:r w:rsidRPr="00130523">
        <w:rPr>
          <w:rFonts w:ascii="Times New Roman" w:hAnsi="Times New Roman"/>
          <w:sz w:val="24"/>
          <w:szCs w:val="24"/>
        </w:rPr>
        <w:t>website, ‘</w:t>
      </w:r>
      <w:proofErr w:type="gramEnd"/>
      <w:r w:rsidRPr="00130523">
        <w:rPr>
          <w:rFonts w:ascii="Times New Roman" w:hAnsi="Times New Roman"/>
          <w:sz w:val="24"/>
          <w:szCs w:val="24"/>
        </w:rPr>
        <w:t xml:space="preserve">iamresponding.com.’ Unlike the </w:t>
      </w:r>
      <w:proofErr w:type="spellStart"/>
      <w:r w:rsidRPr="00130523">
        <w:rPr>
          <w:rFonts w:ascii="Times New Roman" w:hAnsi="Times New Roman"/>
          <w:sz w:val="24"/>
          <w:szCs w:val="24"/>
        </w:rPr>
        <w:t>PennFIRS</w:t>
      </w:r>
      <w:proofErr w:type="spellEnd"/>
      <w:r w:rsidRPr="00130523">
        <w:rPr>
          <w:rFonts w:ascii="Times New Roman" w:hAnsi="Times New Roman"/>
          <w:sz w:val="24"/>
          <w:szCs w:val="24"/>
        </w:rPr>
        <w:t xml:space="preserve"> reports or other</w:t>
      </w:r>
    </w:p>
    <w:p w14:paraId="2279E2B5" w14:textId="77777777" w:rsidR="00130523" w:rsidRPr="00130523" w:rsidRDefault="00130523" w:rsidP="00130523">
      <w:pPr>
        <w:pStyle w:val="NoSpacing"/>
        <w:ind w:firstLine="720"/>
        <w:rPr>
          <w:rFonts w:ascii="Times New Roman" w:hAnsi="Times New Roman"/>
          <w:bCs/>
          <w:sz w:val="24"/>
          <w:szCs w:val="24"/>
        </w:rPr>
      </w:pPr>
      <w:r w:rsidRPr="00130523">
        <w:rPr>
          <w:rFonts w:ascii="Times New Roman" w:hAnsi="Times New Roman"/>
          <w:sz w:val="24"/>
          <w:szCs w:val="24"/>
        </w:rPr>
        <w:t>reports that the Court has found to be sufficient, Employer argues the data here only</w:t>
      </w:r>
    </w:p>
    <w:p w14:paraId="38FB0FFF" w14:textId="77777777" w:rsidR="00130523" w:rsidRPr="00130523" w:rsidRDefault="00130523" w:rsidP="00130523">
      <w:pPr>
        <w:pStyle w:val="NoSpacing"/>
        <w:ind w:firstLine="720"/>
        <w:rPr>
          <w:rFonts w:ascii="Times New Roman" w:hAnsi="Times New Roman"/>
          <w:bCs/>
          <w:sz w:val="24"/>
          <w:szCs w:val="24"/>
        </w:rPr>
      </w:pPr>
      <w:r w:rsidRPr="00130523">
        <w:rPr>
          <w:rFonts w:ascii="Times New Roman" w:hAnsi="Times New Roman"/>
          <w:sz w:val="24"/>
          <w:szCs w:val="24"/>
        </w:rPr>
        <w:t>includes a date, station name, and reference to an unspecified ‘scene,’ which could</w:t>
      </w:r>
    </w:p>
    <w:p w14:paraId="12A1861A" w14:textId="77777777" w:rsidR="00130523" w:rsidRPr="00130523" w:rsidRDefault="00130523" w:rsidP="00130523">
      <w:pPr>
        <w:pStyle w:val="NoSpacing"/>
        <w:ind w:firstLine="720"/>
        <w:rPr>
          <w:rFonts w:ascii="Times New Roman" w:hAnsi="Times New Roman"/>
          <w:bCs/>
          <w:sz w:val="24"/>
          <w:szCs w:val="24"/>
        </w:rPr>
      </w:pPr>
      <w:r w:rsidRPr="00130523">
        <w:rPr>
          <w:rFonts w:ascii="Times New Roman" w:hAnsi="Times New Roman"/>
          <w:sz w:val="24"/>
          <w:szCs w:val="24"/>
        </w:rPr>
        <w:t>be a fire or not. Furthermore, Employer posits that to the extent Claimant testified</w:t>
      </w:r>
    </w:p>
    <w:p w14:paraId="59A24C77" w14:textId="77777777" w:rsidR="00130523" w:rsidRPr="00130523" w:rsidRDefault="00130523" w:rsidP="00130523">
      <w:pPr>
        <w:pStyle w:val="NoSpacing"/>
        <w:ind w:firstLine="720"/>
        <w:rPr>
          <w:rFonts w:ascii="Times New Roman" w:hAnsi="Times New Roman"/>
          <w:bCs/>
          <w:sz w:val="24"/>
          <w:szCs w:val="24"/>
        </w:rPr>
      </w:pPr>
      <w:r w:rsidRPr="00130523">
        <w:rPr>
          <w:rFonts w:ascii="Times New Roman" w:hAnsi="Times New Roman"/>
          <w:sz w:val="24"/>
          <w:szCs w:val="24"/>
        </w:rPr>
        <w:t>to make up any deficiencies in the data, this Court has rejected lay testimony as</w:t>
      </w:r>
    </w:p>
    <w:p w14:paraId="425C53D6" w14:textId="77777777" w:rsidR="00130523" w:rsidRPr="00130523" w:rsidRDefault="00130523" w:rsidP="00130523">
      <w:pPr>
        <w:pStyle w:val="NoSpacing"/>
        <w:ind w:firstLine="720"/>
        <w:rPr>
          <w:rFonts w:ascii="Times New Roman" w:hAnsi="Times New Roman"/>
          <w:bCs/>
          <w:sz w:val="24"/>
          <w:szCs w:val="24"/>
        </w:rPr>
      </w:pPr>
      <w:r w:rsidRPr="00130523">
        <w:rPr>
          <w:rFonts w:ascii="Times New Roman" w:hAnsi="Times New Roman"/>
          <w:sz w:val="24"/>
          <w:szCs w:val="24"/>
        </w:rPr>
        <w:t>sufficient under the Act.</w:t>
      </w:r>
    </w:p>
    <w:p w14:paraId="6B091414" w14:textId="77777777" w:rsidR="00130523" w:rsidRPr="00130523" w:rsidRDefault="00130523" w:rsidP="00130523">
      <w:pPr>
        <w:pStyle w:val="NoSpacing"/>
        <w:ind w:firstLine="720"/>
        <w:rPr>
          <w:rFonts w:ascii="Times New Roman" w:hAnsi="Times New Roman"/>
          <w:bCs/>
          <w:sz w:val="24"/>
          <w:szCs w:val="24"/>
        </w:rPr>
      </w:pPr>
    </w:p>
    <w:p w14:paraId="56542D37" w14:textId="77777777" w:rsidR="00130523" w:rsidRPr="00130523" w:rsidRDefault="00130523" w:rsidP="00130523">
      <w:pPr>
        <w:pStyle w:val="NoSpacing"/>
        <w:ind w:firstLine="720"/>
        <w:rPr>
          <w:rFonts w:ascii="Times New Roman" w:hAnsi="Times New Roman"/>
          <w:bCs/>
          <w:sz w:val="24"/>
          <w:szCs w:val="24"/>
        </w:rPr>
      </w:pPr>
      <w:r w:rsidRPr="00130523">
        <w:rPr>
          <w:rFonts w:ascii="Times New Roman" w:hAnsi="Times New Roman"/>
          <w:sz w:val="24"/>
          <w:szCs w:val="24"/>
        </w:rPr>
        <w:t>***</w:t>
      </w:r>
    </w:p>
    <w:p w14:paraId="76576AD2" w14:textId="77777777" w:rsidR="00130523" w:rsidRPr="00130523" w:rsidRDefault="00130523" w:rsidP="00130523">
      <w:pPr>
        <w:pStyle w:val="NoSpacing"/>
        <w:ind w:left="720"/>
        <w:rPr>
          <w:rFonts w:ascii="Times New Roman" w:hAnsi="Times New Roman"/>
          <w:bCs/>
          <w:sz w:val="24"/>
          <w:szCs w:val="24"/>
        </w:rPr>
      </w:pPr>
      <w:r w:rsidRPr="00130523">
        <w:rPr>
          <w:rFonts w:ascii="Times New Roman" w:hAnsi="Times New Roman"/>
          <w:sz w:val="24"/>
          <w:szCs w:val="24"/>
        </w:rPr>
        <w:t>The incident participation report was provided by Employer, and given Claimant’s credible testimony and the WCJ’s findings, we agree with the Board that ‘the purpose of the provision was served.’ (Board Op. at 16.) Like the Board, we will not disturb the</w:t>
      </w:r>
    </w:p>
    <w:p w14:paraId="12AA044F" w14:textId="77777777" w:rsidR="00130523" w:rsidRPr="00130523" w:rsidRDefault="00130523" w:rsidP="00130523">
      <w:pPr>
        <w:pStyle w:val="NoSpacing"/>
        <w:ind w:firstLine="720"/>
        <w:rPr>
          <w:rFonts w:ascii="Times New Roman" w:hAnsi="Times New Roman"/>
          <w:bCs/>
          <w:sz w:val="24"/>
          <w:szCs w:val="24"/>
        </w:rPr>
      </w:pPr>
      <w:r w:rsidRPr="00130523">
        <w:rPr>
          <w:rFonts w:ascii="Times New Roman" w:hAnsi="Times New Roman"/>
          <w:sz w:val="24"/>
          <w:szCs w:val="24"/>
        </w:rPr>
        <w:t>WCJ’s determination.:</w:t>
      </w:r>
    </w:p>
    <w:p w14:paraId="1F7414A8" w14:textId="77777777" w:rsidR="00130523" w:rsidRPr="00130523" w:rsidRDefault="00130523" w:rsidP="00130523">
      <w:pPr>
        <w:pStyle w:val="NoSpacing"/>
        <w:ind w:firstLine="720"/>
        <w:rPr>
          <w:rFonts w:ascii="Times New Roman" w:hAnsi="Times New Roman"/>
          <w:bCs/>
          <w:sz w:val="24"/>
          <w:szCs w:val="24"/>
        </w:rPr>
      </w:pPr>
    </w:p>
    <w:p w14:paraId="43492F39" w14:textId="77777777" w:rsidR="00130523" w:rsidRPr="00130523" w:rsidRDefault="00130523" w:rsidP="00130523">
      <w:pPr>
        <w:pStyle w:val="NoSpacing"/>
        <w:rPr>
          <w:rFonts w:ascii="Times New Roman" w:hAnsi="Times New Roman"/>
          <w:b/>
          <w:sz w:val="24"/>
          <w:szCs w:val="24"/>
        </w:rPr>
      </w:pPr>
      <w:r w:rsidRPr="00130523">
        <w:rPr>
          <w:rFonts w:ascii="Times New Roman" w:hAnsi="Times New Roman"/>
          <w:b/>
          <w:sz w:val="24"/>
          <w:szCs w:val="24"/>
        </w:rPr>
        <w:t xml:space="preserve">Legal Lesson Learned: Keep a personal record of all runs where you have been exposed to smoke and other hazardous items.  </w:t>
      </w:r>
    </w:p>
    <w:p w14:paraId="0575782B" w14:textId="77777777" w:rsidR="001F58ED" w:rsidRDefault="001F58ED" w:rsidP="00EF1133">
      <w:pPr>
        <w:rPr>
          <w:rFonts w:ascii="Arial Black" w:hAnsi="Arial Black"/>
          <w:b/>
          <w:sz w:val="24"/>
          <w:szCs w:val="24"/>
        </w:rPr>
      </w:pPr>
    </w:p>
    <w:p w14:paraId="31CE11F5" w14:textId="78BCFE52" w:rsidR="009506CE" w:rsidRDefault="009506CE" w:rsidP="00EF1133">
      <w:pPr>
        <w:rPr>
          <w:rFonts w:ascii="Arial Black" w:hAnsi="Arial Black"/>
          <w:b/>
          <w:sz w:val="24"/>
          <w:szCs w:val="24"/>
        </w:rPr>
      </w:pPr>
      <w:r>
        <w:rPr>
          <w:rFonts w:ascii="Arial Black" w:hAnsi="Arial Black"/>
          <w:b/>
          <w:sz w:val="24"/>
          <w:szCs w:val="24"/>
        </w:rPr>
        <w:t>6-155</w:t>
      </w:r>
    </w:p>
    <w:p w14:paraId="092ECF35" w14:textId="77777777" w:rsidR="00BA2BFB" w:rsidRDefault="00BA2BFB" w:rsidP="00BA2BFB">
      <w:pPr>
        <w:pStyle w:val="NoSpacing"/>
        <w:rPr>
          <w:rFonts w:ascii="Arial Black" w:hAnsi="Arial Black"/>
          <w:b/>
          <w:bCs/>
          <w:sz w:val="28"/>
          <w:szCs w:val="28"/>
        </w:rPr>
      </w:pPr>
      <w:r>
        <w:rPr>
          <w:rFonts w:ascii="Arial Black" w:hAnsi="Arial Black"/>
          <w:b/>
          <w:sz w:val="28"/>
          <w:szCs w:val="28"/>
        </w:rPr>
        <w:t xml:space="preserve">LA: WORK COMP – TOTALLY DISAB - CITY PAY $2K PENALTY  </w:t>
      </w:r>
    </w:p>
    <w:p w14:paraId="63CFC96B" w14:textId="77777777" w:rsidR="00BA2BFB" w:rsidRPr="0080750A" w:rsidRDefault="00BA2BFB" w:rsidP="00BA2BFB">
      <w:pPr>
        <w:pStyle w:val="NoSpacing"/>
        <w:rPr>
          <w:rFonts w:ascii="Times New Roman" w:hAnsi="Times New Roman"/>
          <w:sz w:val="24"/>
          <w:szCs w:val="24"/>
        </w:rPr>
      </w:pPr>
    </w:p>
    <w:p w14:paraId="356EEB4F" w14:textId="77777777" w:rsidR="00BA2BFB" w:rsidRPr="0080750A" w:rsidRDefault="00BA2BFB" w:rsidP="00BA2BFB">
      <w:pPr>
        <w:pStyle w:val="NoSpacing"/>
        <w:rPr>
          <w:rFonts w:ascii="Times New Roman" w:hAnsi="Times New Roman"/>
          <w:b/>
          <w:sz w:val="24"/>
          <w:szCs w:val="24"/>
        </w:rPr>
      </w:pPr>
      <w:r w:rsidRPr="0080750A">
        <w:rPr>
          <w:rFonts w:ascii="Times New Roman" w:hAnsi="Times New Roman"/>
          <w:sz w:val="24"/>
          <w:szCs w:val="24"/>
        </w:rPr>
        <w:t xml:space="preserve">On March 28, 2025, in </w:t>
      </w:r>
      <w:r w:rsidRPr="0080750A">
        <w:rPr>
          <w:rFonts w:ascii="Times New Roman" w:hAnsi="Times New Roman"/>
          <w:sz w:val="24"/>
          <w:szCs w:val="24"/>
          <w:u w:val="single"/>
        </w:rPr>
        <w:t>Mark Shubert v. City of New Orleans</w:t>
      </w:r>
      <w:r w:rsidRPr="0080750A">
        <w:rPr>
          <w:rFonts w:ascii="Times New Roman" w:hAnsi="Times New Roman"/>
          <w:sz w:val="24"/>
          <w:szCs w:val="24"/>
        </w:rPr>
        <w:t xml:space="preserve">, the Court of Appeal of Louisiana, Fourth Circuit, held (3 to 0) that the worker’s comp judge properly held that the City was “arbitrary and capricious” in reducing his weekly benefits.   The </w:t>
      </w:r>
      <w:proofErr w:type="gramStart"/>
      <w:r w:rsidRPr="0080750A">
        <w:rPr>
          <w:rFonts w:ascii="Times New Roman" w:hAnsi="Times New Roman"/>
          <w:sz w:val="24"/>
          <w:szCs w:val="24"/>
        </w:rPr>
        <w:t>City</w:t>
      </w:r>
      <w:proofErr w:type="gramEnd"/>
      <w:r w:rsidRPr="0080750A">
        <w:rPr>
          <w:rFonts w:ascii="Times New Roman" w:hAnsi="Times New Roman"/>
          <w:sz w:val="24"/>
          <w:szCs w:val="24"/>
        </w:rPr>
        <w:t xml:space="preserve"> contends that no evidence supported the Worker’s Comp Judge’s finding that </w:t>
      </w:r>
      <w:r w:rsidRPr="0080750A">
        <w:rPr>
          <w:rFonts w:ascii="Times New Roman" w:hAnsi="Times New Roman"/>
          <w:sz w:val="24"/>
          <w:szCs w:val="24"/>
        </w:rPr>
        <w:lastRenderedPageBreak/>
        <w:t xml:space="preserve">Mr. Shubert was totally disabled from all work after March 25, 2019.  The firefighter was limited to lifting only 10 pounds and no sitting or standing more than 20 minutes. He wisely kept a detailed list of jobs to which he applied and was rejected, including CarMax customer service rep.  The Court of Appeals agreed with the workers comp judge that City must reinstate </w:t>
      </w:r>
      <w:proofErr w:type="gramStart"/>
      <w:r w:rsidRPr="0080750A">
        <w:rPr>
          <w:rFonts w:ascii="Times New Roman" w:hAnsi="Times New Roman"/>
          <w:sz w:val="24"/>
          <w:szCs w:val="24"/>
        </w:rPr>
        <w:t>his</w:t>
      </w:r>
      <w:proofErr w:type="gramEnd"/>
      <w:r w:rsidRPr="0080750A">
        <w:rPr>
          <w:rFonts w:ascii="Times New Roman" w:hAnsi="Times New Roman"/>
          <w:sz w:val="24"/>
          <w:szCs w:val="24"/>
        </w:rPr>
        <w:t xml:space="preserve"> weekly benefits back to $630 [from $448.07], pay a penalty of $2,000, plus attorney fees for the work comp trial ($4,000) and attorney fees for the appeal ($2,500).  </w:t>
      </w:r>
      <w:hyperlink r:id="rId1085" w:history="1">
        <w:r w:rsidRPr="0080750A">
          <w:rPr>
            <w:rStyle w:val="Hyperlink"/>
            <w:rFonts w:ascii="Times New Roman" w:hAnsi="Times New Roman"/>
            <w:b/>
            <w:sz w:val="24"/>
            <w:szCs w:val="24"/>
          </w:rPr>
          <w:t>https://caselaw.findlaw.com/court/la-court-of-appeal/117104839.html</w:t>
        </w:r>
      </w:hyperlink>
      <w:r w:rsidRPr="0080750A">
        <w:rPr>
          <w:rFonts w:ascii="Times New Roman" w:hAnsi="Times New Roman"/>
          <w:b/>
          <w:sz w:val="24"/>
          <w:szCs w:val="24"/>
        </w:rPr>
        <w:t xml:space="preserve"> </w:t>
      </w:r>
    </w:p>
    <w:p w14:paraId="2024A053" w14:textId="77777777" w:rsidR="0080750A" w:rsidRPr="0080750A" w:rsidRDefault="0080750A" w:rsidP="0080750A">
      <w:pPr>
        <w:pStyle w:val="NoSpacing"/>
        <w:rPr>
          <w:rFonts w:ascii="Times New Roman" w:hAnsi="Times New Roman"/>
          <w:b/>
          <w:sz w:val="24"/>
          <w:szCs w:val="24"/>
        </w:rPr>
      </w:pPr>
    </w:p>
    <w:p w14:paraId="520C5C7E" w14:textId="14807C13" w:rsidR="0080750A" w:rsidRPr="0080750A" w:rsidRDefault="0080750A" w:rsidP="0080750A">
      <w:pPr>
        <w:pStyle w:val="NoSpacing"/>
        <w:rPr>
          <w:rFonts w:ascii="Times New Roman" w:hAnsi="Times New Roman"/>
          <w:b/>
          <w:bCs/>
          <w:sz w:val="24"/>
          <w:szCs w:val="24"/>
        </w:rPr>
      </w:pPr>
      <w:r w:rsidRPr="0080750A">
        <w:rPr>
          <w:rFonts w:ascii="Times New Roman" w:hAnsi="Times New Roman"/>
          <w:b/>
          <w:sz w:val="24"/>
          <w:szCs w:val="24"/>
        </w:rPr>
        <w:t xml:space="preserve">Legal Lesson Learned:  They firefighter wisely kept a log of all positions to which he applied. </w:t>
      </w:r>
    </w:p>
    <w:p w14:paraId="4134F82E" w14:textId="77777777" w:rsidR="009506CE" w:rsidRDefault="009506CE" w:rsidP="00EF1133">
      <w:pPr>
        <w:rPr>
          <w:rFonts w:ascii="Arial Black" w:hAnsi="Arial Black"/>
          <w:b/>
          <w:sz w:val="24"/>
          <w:szCs w:val="24"/>
        </w:rPr>
      </w:pPr>
    </w:p>
    <w:p w14:paraId="33DD8028" w14:textId="77777777" w:rsidR="009506CE" w:rsidRDefault="009506CE" w:rsidP="00EF1133">
      <w:pPr>
        <w:rPr>
          <w:rFonts w:ascii="Arial Black" w:hAnsi="Arial Black"/>
          <w:b/>
          <w:sz w:val="24"/>
          <w:szCs w:val="24"/>
        </w:rPr>
      </w:pPr>
    </w:p>
    <w:p w14:paraId="4D8A5CDC" w14:textId="2821CDB6" w:rsidR="00986728" w:rsidRDefault="00924257" w:rsidP="00EF1133">
      <w:pPr>
        <w:rPr>
          <w:rFonts w:ascii="Arial Black" w:hAnsi="Arial Black"/>
          <w:b/>
          <w:sz w:val="24"/>
          <w:szCs w:val="24"/>
        </w:rPr>
      </w:pPr>
      <w:r>
        <w:rPr>
          <w:rFonts w:ascii="Arial Black" w:hAnsi="Arial Black"/>
          <w:b/>
          <w:sz w:val="24"/>
          <w:szCs w:val="24"/>
        </w:rPr>
        <w:t>6-154</w:t>
      </w:r>
    </w:p>
    <w:p w14:paraId="7428FDC4" w14:textId="77777777" w:rsidR="00433EE5" w:rsidRPr="00FF57DC" w:rsidRDefault="00433EE5" w:rsidP="00433EE5">
      <w:pPr>
        <w:pStyle w:val="NoSpacing"/>
        <w:rPr>
          <w:rFonts w:ascii="Arial Black" w:hAnsi="Arial Black"/>
          <w:bCs/>
          <w:sz w:val="28"/>
          <w:szCs w:val="28"/>
        </w:rPr>
      </w:pPr>
      <w:r>
        <w:rPr>
          <w:rFonts w:ascii="Arial Black" w:hAnsi="Arial Black"/>
          <w:sz w:val="28"/>
          <w:szCs w:val="28"/>
        </w:rPr>
        <w:t>AR: BRAIN CANCER – 2021 LAW NOT RETROACTIVE</w:t>
      </w:r>
    </w:p>
    <w:p w14:paraId="639C47BB" w14:textId="77777777" w:rsidR="00433EE5" w:rsidRDefault="00433EE5" w:rsidP="00433EE5">
      <w:pPr>
        <w:pStyle w:val="NoSpacing"/>
        <w:rPr>
          <w:bCs/>
        </w:rPr>
      </w:pPr>
    </w:p>
    <w:p w14:paraId="7D78B0C3" w14:textId="77777777" w:rsidR="00433EE5" w:rsidRPr="009506CE" w:rsidRDefault="00433EE5" w:rsidP="00433EE5">
      <w:pPr>
        <w:pStyle w:val="NoSpacing"/>
        <w:rPr>
          <w:rFonts w:ascii="Times New Roman" w:hAnsi="Times New Roman"/>
          <w:bCs/>
          <w:sz w:val="24"/>
          <w:szCs w:val="24"/>
        </w:rPr>
      </w:pPr>
      <w:r w:rsidRPr="009506CE">
        <w:rPr>
          <w:rFonts w:ascii="Times New Roman" w:hAnsi="Times New Roman"/>
          <w:sz w:val="24"/>
          <w:szCs w:val="24"/>
        </w:rPr>
        <w:t xml:space="preserve">On March 26, 2025, in </w:t>
      </w:r>
      <w:r w:rsidRPr="009506CE">
        <w:rPr>
          <w:rFonts w:ascii="Times New Roman" w:hAnsi="Times New Roman"/>
          <w:sz w:val="24"/>
          <w:szCs w:val="24"/>
          <w:u w:val="single"/>
        </w:rPr>
        <w:t>Robert Vande Krol v. The Industrial Commission of Arizona, et al</w:t>
      </w:r>
      <w:r w:rsidRPr="009506CE">
        <w:rPr>
          <w:rFonts w:ascii="Times New Roman" w:hAnsi="Times New Roman"/>
          <w:sz w:val="24"/>
          <w:szCs w:val="24"/>
        </w:rPr>
        <w:t xml:space="preserve">., the </w:t>
      </w:r>
    </w:p>
    <w:p w14:paraId="1A223542" w14:textId="77777777" w:rsidR="00433EE5" w:rsidRPr="009506CE" w:rsidRDefault="00433EE5" w:rsidP="00433EE5">
      <w:pPr>
        <w:pStyle w:val="NoSpacing"/>
        <w:rPr>
          <w:rFonts w:ascii="Times New Roman" w:hAnsi="Times New Roman"/>
          <w:bCs/>
          <w:sz w:val="24"/>
          <w:szCs w:val="24"/>
        </w:rPr>
      </w:pPr>
      <w:r w:rsidRPr="009506CE">
        <w:rPr>
          <w:rFonts w:ascii="Times New Roman" w:hAnsi="Times New Roman"/>
          <w:sz w:val="24"/>
          <w:szCs w:val="24"/>
        </w:rPr>
        <w:t xml:space="preserve">Supreme Court of the State of Arizona held (6 to 1) that the firefighter. with 18 years of service. was not entitled to workers compensation because he filed his claim 8 months prior to the effective date of the 2021 statute that put burden of proof on the employer to prove it was not caused by the job.  The Court agreed with the Worker’s Comp Administrative Law Judge that the 2017 stature applied. The ALJ explained that while there is not much research regarding the causes of the unusual brain cancer - oligodendroglioma, “[t]he only known cause is ionizing radiation, which is not present in this case.”  Dr. Ferrara testified that the only known cause of oligodendroglioma is ionizing radiation, and Vande Krol’s record did not show exposure to that form of radiation.  The state’s 2021 statute, where the employer had to prove the cancer was not job related, did not specifically state it was retroactive for pending claims.  </w:t>
      </w:r>
      <w:hyperlink r:id="rId1086" w:history="1">
        <w:r w:rsidRPr="009506CE">
          <w:rPr>
            <w:rStyle w:val="Hyperlink"/>
            <w:rFonts w:ascii="Times New Roman" w:hAnsi="Times New Roman"/>
            <w:sz w:val="24"/>
            <w:szCs w:val="24"/>
          </w:rPr>
          <w:t>https://cases.justia.com/arizona/supreme-court/2025-cv-23-0211-pr.pdf?ts=1743008459</w:t>
        </w:r>
      </w:hyperlink>
      <w:r w:rsidRPr="009506CE">
        <w:rPr>
          <w:rFonts w:ascii="Times New Roman" w:hAnsi="Times New Roman"/>
          <w:sz w:val="24"/>
          <w:szCs w:val="24"/>
        </w:rPr>
        <w:t xml:space="preserve"> </w:t>
      </w:r>
    </w:p>
    <w:p w14:paraId="1C232474" w14:textId="77777777" w:rsidR="00924257" w:rsidRPr="009506CE" w:rsidRDefault="00924257" w:rsidP="00EF1133">
      <w:pPr>
        <w:rPr>
          <w:rFonts w:ascii="Times New Roman" w:hAnsi="Times New Roman"/>
          <w:b/>
          <w:sz w:val="24"/>
          <w:szCs w:val="24"/>
        </w:rPr>
      </w:pPr>
    </w:p>
    <w:p w14:paraId="011D9585" w14:textId="77777777" w:rsidR="009506CE" w:rsidRPr="009506CE" w:rsidRDefault="009506CE" w:rsidP="009506CE">
      <w:pPr>
        <w:pStyle w:val="NoSpacing"/>
        <w:rPr>
          <w:rFonts w:ascii="Times New Roman" w:hAnsi="Times New Roman"/>
          <w:b/>
          <w:sz w:val="24"/>
          <w:szCs w:val="24"/>
        </w:rPr>
      </w:pPr>
      <w:r w:rsidRPr="009506CE">
        <w:rPr>
          <w:rFonts w:ascii="Times New Roman" w:hAnsi="Times New Roman"/>
          <w:b/>
          <w:sz w:val="24"/>
          <w:szCs w:val="24"/>
        </w:rPr>
        <w:t xml:space="preserve">Legal Lesson Learned: The 2021 statute is very helpful to firefighters; it is a shame that the legislature did not specifically include a provision holding it was retroactive to pending claims. </w:t>
      </w:r>
    </w:p>
    <w:p w14:paraId="66FDB48E" w14:textId="77777777" w:rsidR="009506CE" w:rsidRPr="009506CE" w:rsidRDefault="009506CE" w:rsidP="009506CE">
      <w:pPr>
        <w:pStyle w:val="NoSpacing"/>
        <w:rPr>
          <w:rFonts w:ascii="Times New Roman" w:hAnsi="Times New Roman"/>
          <w:bCs/>
          <w:sz w:val="24"/>
          <w:szCs w:val="24"/>
        </w:rPr>
      </w:pPr>
    </w:p>
    <w:p w14:paraId="2E048FFE" w14:textId="77777777" w:rsidR="009506CE" w:rsidRPr="009506CE" w:rsidRDefault="009506CE" w:rsidP="009506CE">
      <w:pPr>
        <w:pStyle w:val="NoSpacing"/>
        <w:rPr>
          <w:rFonts w:ascii="Times New Roman" w:hAnsi="Times New Roman"/>
          <w:bCs/>
          <w:sz w:val="24"/>
          <w:szCs w:val="24"/>
        </w:rPr>
      </w:pPr>
      <w:r w:rsidRPr="009506CE">
        <w:rPr>
          <w:rFonts w:ascii="Times New Roman" w:hAnsi="Times New Roman"/>
          <w:sz w:val="24"/>
          <w:szCs w:val="24"/>
        </w:rPr>
        <w:tab/>
        <w:t>Note: Dissenting Justice Montgomery wrote:</w:t>
      </w:r>
    </w:p>
    <w:p w14:paraId="0014D181" w14:textId="77777777" w:rsidR="009506CE" w:rsidRPr="009506CE" w:rsidRDefault="009506CE" w:rsidP="009506CE">
      <w:pPr>
        <w:pStyle w:val="NoSpacing"/>
        <w:rPr>
          <w:rFonts w:ascii="Times New Roman" w:hAnsi="Times New Roman"/>
          <w:bCs/>
          <w:sz w:val="24"/>
          <w:szCs w:val="24"/>
        </w:rPr>
      </w:pPr>
    </w:p>
    <w:p w14:paraId="39B5E741" w14:textId="77777777" w:rsidR="009506CE" w:rsidRPr="009506CE" w:rsidRDefault="009506CE" w:rsidP="009506CE">
      <w:pPr>
        <w:pStyle w:val="NoSpacing"/>
        <w:ind w:left="720"/>
        <w:rPr>
          <w:rFonts w:ascii="Times New Roman" w:hAnsi="Times New Roman"/>
          <w:bCs/>
          <w:sz w:val="24"/>
          <w:szCs w:val="24"/>
        </w:rPr>
      </w:pPr>
      <w:r w:rsidRPr="009506CE">
        <w:rPr>
          <w:rFonts w:ascii="Times New Roman" w:hAnsi="Times New Roman"/>
          <w:sz w:val="24"/>
          <w:szCs w:val="24"/>
        </w:rPr>
        <w:t>“As amended in 2021, § 23-901.09(A)(1) provides: ‘Any disease, infirmity or impairment of a firefighter’s . . . health that is caused by brain . . . cancer . . . and that results in disability or death is presumed to be an occupational disease . . . and is deemed to arise out of employment.’ § 23-901.09(A)(1) (2021) (the “Presumption”)….  And § 23-901.09(C) specifies that the Presumption applies to firefighters who are: 1) currently in service, and 2) aged sixty-five or younger and diagnosed with brain cancer not more than fifteen years after their last date of employment as a firefighter…. The Amendments also made changes to sections of title 20 that permitted insurers to raise statewide insurance rates and adjust premiums related to firefighter workers’ compensation claims brought</w:t>
      </w:r>
    </w:p>
    <w:p w14:paraId="12757498" w14:textId="77777777" w:rsidR="009506CE" w:rsidRPr="009506CE" w:rsidRDefault="009506CE" w:rsidP="009506CE">
      <w:pPr>
        <w:pStyle w:val="NoSpacing"/>
        <w:ind w:left="720"/>
        <w:rPr>
          <w:rFonts w:ascii="Times New Roman" w:hAnsi="Times New Roman"/>
          <w:bCs/>
          <w:sz w:val="24"/>
          <w:szCs w:val="24"/>
        </w:rPr>
      </w:pPr>
      <w:r w:rsidRPr="009506CE">
        <w:rPr>
          <w:rFonts w:ascii="Times New Roman" w:hAnsi="Times New Roman"/>
          <w:sz w:val="24"/>
          <w:szCs w:val="24"/>
        </w:rPr>
        <w:t>under the Presumption. See 2021 Ariz. Sess. Laws ch. 229, §§ 1–3 (1st Reg.</w:t>
      </w:r>
    </w:p>
    <w:p w14:paraId="3F06B360" w14:textId="77777777" w:rsidR="009506CE" w:rsidRDefault="009506CE" w:rsidP="009506CE">
      <w:pPr>
        <w:pStyle w:val="NoSpacing"/>
        <w:ind w:left="720"/>
        <w:rPr>
          <w:bCs/>
        </w:rPr>
      </w:pPr>
      <w:r w:rsidRPr="009506CE">
        <w:rPr>
          <w:rFonts w:ascii="Times New Roman" w:hAnsi="Times New Roman"/>
          <w:sz w:val="24"/>
          <w:szCs w:val="24"/>
        </w:rPr>
        <w:t xml:space="preserve">Sess.).  Accordingly, I would affirm the court of appeals’ conclusion, albeit with different reasoning, and set aside the ALJ’s decision.”  </w:t>
      </w:r>
      <w:hyperlink r:id="rId1087" w:history="1">
        <w:r w:rsidRPr="009506CE">
          <w:rPr>
            <w:rStyle w:val="Hyperlink"/>
            <w:rFonts w:ascii="Times New Roman" w:hAnsi="Times New Roman"/>
            <w:sz w:val="24"/>
            <w:szCs w:val="24"/>
          </w:rPr>
          <w:t>https://cases.justia.com/arizona/supreme-court/2025-cv-23-0211-pr.pdf?ts=1743008459</w:t>
        </w:r>
      </w:hyperlink>
      <w:r>
        <w:t xml:space="preserve"> </w:t>
      </w:r>
    </w:p>
    <w:p w14:paraId="09CFB9F5" w14:textId="77777777" w:rsidR="009506CE" w:rsidRDefault="009506CE" w:rsidP="00EF1133">
      <w:pPr>
        <w:rPr>
          <w:rFonts w:ascii="Arial Black" w:hAnsi="Arial Black"/>
          <w:b/>
          <w:sz w:val="24"/>
          <w:szCs w:val="24"/>
        </w:rPr>
      </w:pPr>
    </w:p>
    <w:p w14:paraId="023E5752" w14:textId="77777777" w:rsidR="00924257" w:rsidRDefault="00924257" w:rsidP="00EF1133">
      <w:pPr>
        <w:rPr>
          <w:rFonts w:ascii="Arial Black" w:hAnsi="Arial Black"/>
          <w:b/>
          <w:sz w:val="24"/>
          <w:szCs w:val="24"/>
        </w:rPr>
      </w:pPr>
    </w:p>
    <w:p w14:paraId="71DC4519" w14:textId="66B32925" w:rsidR="00986728" w:rsidRDefault="00986728" w:rsidP="00EF1133">
      <w:pPr>
        <w:rPr>
          <w:rFonts w:ascii="Arial Black" w:hAnsi="Arial Black"/>
          <w:b/>
          <w:sz w:val="24"/>
          <w:szCs w:val="24"/>
        </w:rPr>
      </w:pPr>
      <w:r>
        <w:rPr>
          <w:rFonts w:ascii="Arial Black" w:hAnsi="Arial Black"/>
          <w:b/>
          <w:sz w:val="24"/>
          <w:szCs w:val="24"/>
        </w:rPr>
        <w:lastRenderedPageBreak/>
        <w:t>6-153</w:t>
      </w:r>
    </w:p>
    <w:p w14:paraId="4517BC2F" w14:textId="77777777" w:rsidR="00986728" w:rsidRPr="00457642" w:rsidRDefault="00986728" w:rsidP="00986728">
      <w:pPr>
        <w:pStyle w:val="NoSpacing"/>
        <w:rPr>
          <w:rFonts w:ascii="Arial Black" w:hAnsi="Arial Black"/>
          <w:b/>
          <w:sz w:val="28"/>
          <w:szCs w:val="28"/>
        </w:rPr>
      </w:pPr>
      <w:r>
        <w:rPr>
          <w:rFonts w:ascii="Arial Black" w:hAnsi="Arial Black"/>
          <w:b/>
          <w:sz w:val="28"/>
          <w:szCs w:val="28"/>
        </w:rPr>
        <w:t xml:space="preserve">PA: FF DIED CANCER – WIFE GETS 51% WAGE / 9 YR FIGHT </w:t>
      </w:r>
    </w:p>
    <w:p w14:paraId="3A9B30FD" w14:textId="77777777" w:rsidR="00986728" w:rsidRDefault="00986728" w:rsidP="00986728">
      <w:pPr>
        <w:pStyle w:val="NoSpacing"/>
        <w:rPr>
          <w:bCs/>
        </w:rPr>
      </w:pPr>
    </w:p>
    <w:p w14:paraId="352E1CE8" w14:textId="6EB3328C" w:rsidR="00986728" w:rsidRPr="00924257" w:rsidRDefault="00986728" w:rsidP="00986728">
      <w:pPr>
        <w:rPr>
          <w:rFonts w:ascii="Times New Roman" w:hAnsi="Times New Roman"/>
          <w:sz w:val="24"/>
          <w:szCs w:val="24"/>
        </w:rPr>
      </w:pPr>
      <w:r w:rsidRPr="00924257">
        <w:rPr>
          <w:rFonts w:ascii="Times New Roman" w:hAnsi="Times New Roman"/>
          <w:sz w:val="24"/>
          <w:szCs w:val="24"/>
        </w:rPr>
        <w:t xml:space="preserve">On March 19, 2025, in </w:t>
      </w:r>
      <w:r w:rsidRPr="00924257">
        <w:rPr>
          <w:rFonts w:ascii="Times New Roman" w:hAnsi="Times New Roman"/>
          <w:sz w:val="24"/>
          <w:szCs w:val="24"/>
          <w:u w:val="single"/>
        </w:rPr>
        <w:t>City of Philadelphia v. Larry Thompson (Workers’ Compensation Appeal Board)</w:t>
      </w:r>
      <w:r w:rsidRPr="00924257">
        <w:rPr>
          <w:rFonts w:ascii="Times New Roman" w:hAnsi="Times New Roman"/>
          <w:sz w:val="24"/>
          <w:szCs w:val="24"/>
        </w:rPr>
        <w:t xml:space="preserve">, the Commonwealth Court of Pennsylvania held (3 to 0; unpublished decision) upheld the award of work related death benefits to the wife of a 25-year Philadelphia firefighter; he died  on May 11, 2013 of non-Hodgkin’s lymphoma, and she filed her claim in 2016.  The City has fought her claim for 9 years -  including appealing May 4, </w:t>
      </w:r>
      <w:proofErr w:type="gramStart"/>
      <w:r w:rsidRPr="00924257">
        <w:rPr>
          <w:rFonts w:ascii="Times New Roman" w:hAnsi="Times New Roman"/>
          <w:sz w:val="24"/>
          <w:szCs w:val="24"/>
        </w:rPr>
        <w:t>2018</w:t>
      </w:r>
      <w:proofErr w:type="gramEnd"/>
      <w:r w:rsidRPr="00924257">
        <w:rPr>
          <w:rFonts w:ascii="Times New Roman" w:hAnsi="Times New Roman"/>
          <w:sz w:val="24"/>
          <w:szCs w:val="24"/>
        </w:rPr>
        <w:t xml:space="preserve"> ruling in her favor by Workers Comp Judge, and WC Board ruling in her favor on July 21, 2021, and their petition to this Court. </w:t>
      </w:r>
      <w:hyperlink r:id="rId1088" w:history="1">
        <w:r w:rsidRPr="00924257">
          <w:rPr>
            <w:rStyle w:val="Hyperlink"/>
            <w:rFonts w:ascii="Times New Roman" w:hAnsi="Times New Roman"/>
            <w:sz w:val="24"/>
            <w:szCs w:val="24"/>
          </w:rPr>
          <w:t>https://cases.justia.com/pennsylvania/commonwealth-court/2025-923-c-d-2021.pdf?ts=1742398374</w:t>
        </w:r>
      </w:hyperlink>
    </w:p>
    <w:p w14:paraId="194DED79" w14:textId="77777777" w:rsidR="00F93AE8" w:rsidRPr="00F93AE8" w:rsidRDefault="00F93AE8" w:rsidP="00F93AE8">
      <w:pPr>
        <w:pStyle w:val="NoSpacing"/>
        <w:rPr>
          <w:rFonts w:ascii="Times New Roman" w:hAnsi="Times New Roman"/>
          <w:b/>
          <w:sz w:val="24"/>
          <w:szCs w:val="24"/>
        </w:rPr>
      </w:pPr>
      <w:r w:rsidRPr="00F93AE8">
        <w:rPr>
          <w:rFonts w:ascii="Times New Roman" w:hAnsi="Times New Roman"/>
          <w:b/>
          <w:sz w:val="24"/>
          <w:szCs w:val="24"/>
        </w:rPr>
        <w:t xml:space="preserve">Legal Lesson Learned: Keep records of your exposure to fires and hazardous materials, to support testimony by your expert witness. </w:t>
      </w:r>
    </w:p>
    <w:p w14:paraId="5D9C074F" w14:textId="77777777" w:rsidR="00F93AE8" w:rsidRPr="00063B93" w:rsidRDefault="00F93AE8" w:rsidP="00F93AE8">
      <w:pPr>
        <w:pStyle w:val="NoSpacing"/>
        <w:rPr>
          <w:b/>
        </w:rPr>
      </w:pPr>
    </w:p>
    <w:p w14:paraId="34602CFA" w14:textId="77777777" w:rsidR="00924257" w:rsidRPr="00063B93" w:rsidRDefault="00924257" w:rsidP="00924257">
      <w:pPr>
        <w:pStyle w:val="NoSpacing"/>
        <w:rPr>
          <w:b/>
        </w:rPr>
      </w:pPr>
    </w:p>
    <w:p w14:paraId="6A1A2CE8" w14:textId="77777777" w:rsidR="00986728" w:rsidRDefault="00986728" w:rsidP="00EF1133">
      <w:pPr>
        <w:rPr>
          <w:rFonts w:ascii="Arial Black" w:hAnsi="Arial Black"/>
          <w:b/>
          <w:sz w:val="24"/>
          <w:szCs w:val="24"/>
        </w:rPr>
      </w:pPr>
    </w:p>
    <w:p w14:paraId="5E111C04" w14:textId="2A53C0DA" w:rsidR="00045450" w:rsidRDefault="00BF6F6C" w:rsidP="00EF1133">
      <w:pPr>
        <w:rPr>
          <w:rFonts w:ascii="Arial Black" w:hAnsi="Arial Black"/>
          <w:b/>
          <w:sz w:val="24"/>
          <w:szCs w:val="24"/>
        </w:rPr>
      </w:pPr>
      <w:r>
        <w:rPr>
          <w:rFonts w:ascii="Arial Black" w:hAnsi="Arial Black"/>
          <w:b/>
          <w:sz w:val="24"/>
          <w:szCs w:val="24"/>
        </w:rPr>
        <w:t>6-152</w:t>
      </w:r>
    </w:p>
    <w:p w14:paraId="46DF1A05" w14:textId="77777777" w:rsidR="000A5F54" w:rsidRPr="000B7F2C" w:rsidRDefault="000A5F54" w:rsidP="000A5F54">
      <w:pPr>
        <w:rPr>
          <w:rFonts w:ascii="Arial Black" w:hAnsi="Arial Black"/>
          <w:b/>
          <w:sz w:val="28"/>
          <w:szCs w:val="28"/>
        </w:rPr>
      </w:pPr>
      <w:r w:rsidRPr="000B7F2C">
        <w:rPr>
          <w:rFonts w:ascii="Arial Black" w:hAnsi="Arial Black"/>
          <w:b/>
          <w:sz w:val="28"/>
          <w:szCs w:val="28"/>
        </w:rPr>
        <w:t xml:space="preserve">IL: </w:t>
      </w:r>
      <w:r>
        <w:rPr>
          <w:rFonts w:ascii="Arial Black" w:hAnsi="Arial Black"/>
          <w:b/>
          <w:sz w:val="28"/>
          <w:szCs w:val="28"/>
        </w:rPr>
        <w:t xml:space="preserve">DIAB. </w:t>
      </w:r>
      <w:r w:rsidRPr="000B7F2C">
        <w:rPr>
          <w:rFonts w:ascii="Arial Black" w:hAnsi="Arial Black"/>
          <w:b/>
          <w:sz w:val="28"/>
          <w:szCs w:val="28"/>
        </w:rPr>
        <w:t xml:space="preserve">HEALTH INSUR </w:t>
      </w:r>
      <w:r>
        <w:rPr>
          <w:rFonts w:ascii="Arial Black" w:hAnsi="Arial Black"/>
          <w:b/>
          <w:sz w:val="28"/>
          <w:szCs w:val="28"/>
        </w:rPr>
        <w:t xml:space="preserve">IF </w:t>
      </w:r>
      <w:r w:rsidRPr="000B7F2C">
        <w:rPr>
          <w:rFonts w:ascii="Arial Black" w:hAnsi="Arial Black"/>
          <w:b/>
          <w:sz w:val="28"/>
          <w:szCs w:val="28"/>
        </w:rPr>
        <w:t xml:space="preserve">“EMERGENCY” </w:t>
      </w:r>
      <w:r>
        <w:rPr>
          <w:rFonts w:ascii="Arial Black" w:hAnsi="Arial Black"/>
          <w:b/>
          <w:sz w:val="28"/>
          <w:szCs w:val="28"/>
        </w:rPr>
        <w:t xml:space="preserve">-  </w:t>
      </w:r>
      <w:r w:rsidRPr="000B7F2C">
        <w:rPr>
          <w:rFonts w:ascii="Arial Black" w:hAnsi="Arial Black"/>
          <w:b/>
          <w:sz w:val="28"/>
          <w:szCs w:val="28"/>
        </w:rPr>
        <w:t>LIFT</w:t>
      </w:r>
      <w:r>
        <w:rPr>
          <w:rFonts w:ascii="Arial Black" w:hAnsi="Arial Black"/>
          <w:b/>
          <w:sz w:val="28"/>
          <w:szCs w:val="28"/>
        </w:rPr>
        <w:t xml:space="preserve"> PT</w:t>
      </w:r>
    </w:p>
    <w:p w14:paraId="77F600DD" w14:textId="77777777" w:rsidR="000A5F54" w:rsidRPr="000A5F54" w:rsidRDefault="000A5F54" w:rsidP="000A5F54">
      <w:pPr>
        <w:rPr>
          <w:rFonts w:ascii="Times New Roman" w:hAnsi="Times New Roman"/>
          <w:sz w:val="24"/>
          <w:szCs w:val="24"/>
        </w:rPr>
      </w:pPr>
      <w:r w:rsidRPr="000A5F54">
        <w:rPr>
          <w:rFonts w:ascii="Times New Roman" w:hAnsi="Times New Roman"/>
          <w:sz w:val="24"/>
          <w:szCs w:val="24"/>
        </w:rPr>
        <w:t xml:space="preserve">On Feb. 20, 2925, in </w:t>
      </w:r>
      <w:r w:rsidRPr="000A5F54">
        <w:rPr>
          <w:rFonts w:ascii="Times New Roman" w:hAnsi="Times New Roman"/>
          <w:sz w:val="24"/>
          <w:szCs w:val="24"/>
          <w:u w:val="single"/>
        </w:rPr>
        <w:t>Charles R. Ford v. Village of Northbrook, et al</w:t>
      </w:r>
      <w:r w:rsidRPr="000A5F54">
        <w:rPr>
          <w:rFonts w:ascii="Times New Roman" w:hAnsi="Times New Roman"/>
          <w:sz w:val="24"/>
          <w:szCs w:val="24"/>
        </w:rPr>
        <w:t xml:space="preserve">., the Court of Appeals of Illinois, First District, Fourth Division, held (3 to 0) that the trial court correctly held the firefighter was met the definition of the health insurance statute – he was injured in “response to what is reasonably believed to be an emergency.” The had responded non-fire emergent to a “person feeling week” – and found patient (325-pounds, 65-years old) sitting on the toilet with two family members holding her upright.  They used a stair chair, moved her the ambulance, and transported her red lights and siren.   While moving her to hospital bed he felt pain in his right shoulder.  The shoulder showed no fracture or dislocation, but Mr. Ford had a narrowing of his cervical spine in certain areas. An MRI also showed a narrowing of Mr. Ford’s cervical spine, and he received a line-of-duty pension, but the Village denied health insurance since the emergency transport had concluded.   </w:t>
      </w:r>
      <w:hyperlink r:id="rId1089" w:history="1">
        <w:r w:rsidRPr="000A5F54">
          <w:rPr>
            <w:rStyle w:val="Hyperlink"/>
            <w:rFonts w:ascii="Times New Roman" w:hAnsi="Times New Roman"/>
            <w:sz w:val="24"/>
            <w:szCs w:val="24"/>
          </w:rPr>
          <w:t>https://ilcourtsaudio.blob.core.windows.net/antilles-resources/resources/09ac8ced-f502-4e22-9f67-a03c9e14d801/Ford%20v.%20Village%20of%20Northbrook,%202025%20IL%20App%20(1st)%20231952-U.pdf</w:t>
        </w:r>
      </w:hyperlink>
      <w:r w:rsidRPr="000A5F54">
        <w:rPr>
          <w:rFonts w:ascii="Times New Roman" w:hAnsi="Times New Roman"/>
          <w:sz w:val="24"/>
          <w:szCs w:val="24"/>
        </w:rPr>
        <w:t xml:space="preserve"> </w:t>
      </w:r>
    </w:p>
    <w:p w14:paraId="338C1054" w14:textId="77777777" w:rsidR="000A5F54" w:rsidRPr="000A5F54" w:rsidRDefault="000A5F54" w:rsidP="000A5F54">
      <w:pPr>
        <w:rPr>
          <w:rFonts w:ascii="Times New Roman" w:hAnsi="Times New Roman"/>
          <w:sz w:val="24"/>
          <w:szCs w:val="24"/>
        </w:rPr>
      </w:pPr>
      <w:r w:rsidRPr="000A5F54">
        <w:rPr>
          <w:rFonts w:ascii="Times New Roman" w:hAnsi="Times New Roman"/>
          <w:sz w:val="24"/>
          <w:szCs w:val="24"/>
        </w:rPr>
        <w:t>The Court wrote:</w:t>
      </w:r>
    </w:p>
    <w:p w14:paraId="1F5B2BAD" w14:textId="77777777" w:rsidR="000A5F54" w:rsidRPr="000A5F54" w:rsidRDefault="000A5F54" w:rsidP="000A5F54">
      <w:pPr>
        <w:pStyle w:val="NoSpacing"/>
        <w:ind w:firstLine="720"/>
        <w:rPr>
          <w:rFonts w:ascii="Times New Roman" w:hAnsi="Times New Roman"/>
          <w:sz w:val="24"/>
          <w:szCs w:val="24"/>
        </w:rPr>
      </w:pPr>
      <w:r w:rsidRPr="000A5F54">
        <w:rPr>
          <w:rFonts w:ascii="Times New Roman" w:hAnsi="Times New Roman"/>
          <w:sz w:val="24"/>
          <w:szCs w:val="24"/>
        </w:rPr>
        <w:t>“The circuit court granted Mr. Ford’s writ of certiorari, finding that the Village’s</w:t>
      </w:r>
    </w:p>
    <w:p w14:paraId="07A7586E" w14:textId="77777777" w:rsidR="000A5F54" w:rsidRPr="000A5F54" w:rsidRDefault="000A5F54" w:rsidP="000A5F54">
      <w:pPr>
        <w:pStyle w:val="NoSpacing"/>
        <w:ind w:left="720"/>
        <w:rPr>
          <w:rFonts w:ascii="Times New Roman" w:hAnsi="Times New Roman"/>
          <w:sz w:val="24"/>
          <w:szCs w:val="24"/>
        </w:rPr>
      </w:pPr>
      <w:r w:rsidRPr="000A5F54">
        <w:rPr>
          <w:rFonts w:ascii="Times New Roman" w:hAnsi="Times New Roman"/>
          <w:sz w:val="24"/>
          <w:szCs w:val="24"/>
        </w:rPr>
        <w:t>determination that Mr. Ford was not injured while responding to what he reasonably believed to be an emergency was clearly erroneous. The court observed that the medical records showed that the patient presented with pale skin, was on numerous medications, was complaining of pain, and was given oxygen in the ambulance. The court noted at the time Mr. Ford was injured while transferring the patient, he did not have a diagnosis for the patient, did not know the cause of her pain, and could not have known if the emergency had passed. The court determined that it was reasonable for Mr. Ford to believe that the emergency was ongoing. The court therefore reversed the decision of the Village and instructed the Village to provide Mr. Ford health insurance benefits under the Act.</w:t>
      </w:r>
    </w:p>
    <w:p w14:paraId="39F81980" w14:textId="77777777" w:rsidR="000A5F54" w:rsidRPr="000A5F54" w:rsidRDefault="000A5F54" w:rsidP="000A5F54">
      <w:pPr>
        <w:pStyle w:val="NoSpacing"/>
        <w:rPr>
          <w:rFonts w:ascii="Times New Roman" w:hAnsi="Times New Roman"/>
          <w:sz w:val="24"/>
          <w:szCs w:val="24"/>
        </w:rPr>
      </w:pPr>
    </w:p>
    <w:p w14:paraId="7DF71D69" w14:textId="77777777" w:rsidR="000A5F54" w:rsidRPr="000A5F54" w:rsidRDefault="000A5F54" w:rsidP="000A5F54">
      <w:pPr>
        <w:pStyle w:val="NoSpacing"/>
        <w:ind w:firstLine="720"/>
        <w:rPr>
          <w:rFonts w:ascii="Times New Roman" w:hAnsi="Times New Roman"/>
          <w:sz w:val="24"/>
          <w:szCs w:val="24"/>
        </w:rPr>
      </w:pPr>
      <w:r w:rsidRPr="000A5F54">
        <w:rPr>
          <w:rFonts w:ascii="Times New Roman" w:hAnsi="Times New Roman"/>
          <w:sz w:val="24"/>
          <w:szCs w:val="24"/>
        </w:rPr>
        <w:t>***</w:t>
      </w:r>
    </w:p>
    <w:p w14:paraId="0C304427" w14:textId="77777777" w:rsidR="000A5F54" w:rsidRPr="000A5F54" w:rsidRDefault="000A5F54" w:rsidP="000A5F54">
      <w:pPr>
        <w:pStyle w:val="NoSpacing"/>
        <w:ind w:firstLine="720"/>
        <w:rPr>
          <w:rFonts w:ascii="Times New Roman" w:hAnsi="Times New Roman"/>
          <w:sz w:val="24"/>
          <w:szCs w:val="24"/>
        </w:rPr>
      </w:pPr>
      <w:r w:rsidRPr="000A5F54">
        <w:rPr>
          <w:rFonts w:ascii="Times New Roman" w:hAnsi="Times New Roman"/>
          <w:sz w:val="24"/>
          <w:szCs w:val="24"/>
        </w:rPr>
        <w:lastRenderedPageBreak/>
        <w:t xml:space="preserve">Accordingly, we find that these facts establish that Mr. Ford was injured </w:t>
      </w:r>
      <w:proofErr w:type="gramStart"/>
      <w:r w:rsidRPr="000A5F54">
        <w:rPr>
          <w:rFonts w:ascii="Times New Roman" w:hAnsi="Times New Roman"/>
          <w:sz w:val="24"/>
          <w:szCs w:val="24"/>
        </w:rPr>
        <w:t>as a result of</w:t>
      </w:r>
      <w:proofErr w:type="gramEnd"/>
      <w:r w:rsidRPr="000A5F54">
        <w:rPr>
          <w:rFonts w:ascii="Times New Roman" w:hAnsi="Times New Roman"/>
          <w:sz w:val="24"/>
          <w:szCs w:val="24"/>
        </w:rPr>
        <w:t xml:space="preserve"> his</w:t>
      </w:r>
    </w:p>
    <w:p w14:paraId="32B33B26" w14:textId="77777777" w:rsidR="000A5F54" w:rsidRPr="000A5F54" w:rsidRDefault="000A5F54" w:rsidP="000A5F54">
      <w:pPr>
        <w:pStyle w:val="NoSpacing"/>
        <w:ind w:left="720"/>
        <w:rPr>
          <w:rFonts w:ascii="Times New Roman" w:hAnsi="Times New Roman"/>
          <w:sz w:val="24"/>
          <w:szCs w:val="24"/>
        </w:rPr>
      </w:pPr>
      <w:r w:rsidRPr="000A5F54">
        <w:rPr>
          <w:rFonts w:ascii="Times New Roman" w:hAnsi="Times New Roman"/>
          <w:sz w:val="24"/>
          <w:szCs w:val="24"/>
        </w:rPr>
        <w:t>response to what he reasonably believed to be an emergency. We are therefore left with the definite and firm conviction that the Village’s finding to the contrary was clearly erroneous. We find that, under the circumstances of this case, Mr. Ford was entitled to benefits under section 10 of the Act and we affirm the judgment of the circuit court reversing the decision of the Village.”</w:t>
      </w:r>
    </w:p>
    <w:p w14:paraId="20F0F660" w14:textId="77777777" w:rsidR="000A5F54" w:rsidRPr="000A5F54" w:rsidRDefault="000A5F54" w:rsidP="000A5F54">
      <w:pPr>
        <w:pStyle w:val="NoSpacing"/>
        <w:rPr>
          <w:rFonts w:ascii="Times New Roman" w:hAnsi="Times New Roman"/>
          <w:sz w:val="24"/>
          <w:szCs w:val="24"/>
        </w:rPr>
      </w:pPr>
    </w:p>
    <w:p w14:paraId="572884FC" w14:textId="77777777" w:rsidR="000A5F54" w:rsidRPr="000A5F54" w:rsidRDefault="000A5F54" w:rsidP="000A5F54">
      <w:pPr>
        <w:pStyle w:val="NoSpacing"/>
        <w:rPr>
          <w:rFonts w:ascii="Times New Roman" w:hAnsi="Times New Roman"/>
          <w:b/>
          <w:bCs/>
          <w:sz w:val="24"/>
          <w:szCs w:val="24"/>
        </w:rPr>
      </w:pPr>
      <w:r w:rsidRPr="000A5F54">
        <w:rPr>
          <w:rFonts w:ascii="Times New Roman" w:hAnsi="Times New Roman"/>
          <w:b/>
          <w:sz w:val="24"/>
          <w:szCs w:val="24"/>
        </w:rPr>
        <w:t xml:space="preserve">Legal Lesson Learned:  The firefighter won his appeal; court viewed the entirety of the EMS run as an emergency, including the transport and lifting her on hospital bed. </w:t>
      </w:r>
    </w:p>
    <w:p w14:paraId="7732FD32" w14:textId="77777777" w:rsidR="00BF6F6C" w:rsidRPr="000A5F54" w:rsidRDefault="00BF6F6C" w:rsidP="00EF1133">
      <w:pPr>
        <w:rPr>
          <w:rFonts w:ascii="Times New Roman" w:hAnsi="Times New Roman"/>
          <w:b/>
          <w:sz w:val="24"/>
          <w:szCs w:val="24"/>
        </w:rPr>
      </w:pPr>
    </w:p>
    <w:p w14:paraId="22AAFD78" w14:textId="77777777" w:rsidR="00045450" w:rsidRPr="000A5F54" w:rsidRDefault="00045450" w:rsidP="00EF1133">
      <w:pPr>
        <w:rPr>
          <w:rFonts w:ascii="Times New Roman" w:hAnsi="Times New Roman"/>
          <w:b/>
          <w:sz w:val="24"/>
          <w:szCs w:val="24"/>
        </w:rPr>
      </w:pPr>
    </w:p>
    <w:p w14:paraId="3D7D6216" w14:textId="3755CAC7" w:rsidR="00045450" w:rsidRDefault="00045450" w:rsidP="00EF1133">
      <w:pPr>
        <w:rPr>
          <w:rFonts w:ascii="Arial Black" w:hAnsi="Arial Black"/>
          <w:b/>
          <w:sz w:val="24"/>
          <w:szCs w:val="24"/>
        </w:rPr>
      </w:pPr>
      <w:r>
        <w:rPr>
          <w:rFonts w:ascii="Arial Black" w:hAnsi="Arial Black"/>
          <w:b/>
          <w:sz w:val="24"/>
          <w:szCs w:val="24"/>
        </w:rPr>
        <w:t>6-151</w:t>
      </w:r>
    </w:p>
    <w:p w14:paraId="1684856A" w14:textId="77777777" w:rsidR="00045450" w:rsidRPr="000B7F2C" w:rsidRDefault="00045450" w:rsidP="00045450">
      <w:pPr>
        <w:rPr>
          <w:rFonts w:ascii="Arial Black" w:hAnsi="Arial Black"/>
          <w:sz w:val="28"/>
          <w:szCs w:val="28"/>
        </w:rPr>
      </w:pPr>
      <w:r w:rsidRPr="000B7F2C">
        <w:rPr>
          <w:rFonts w:ascii="Arial Black" w:hAnsi="Arial Black"/>
          <w:sz w:val="28"/>
          <w:szCs w:val="28"/>
        </w:rPr>
        <w:t>MO: CARPEL TUNNEL –</w:t>
      </w:r>
      <w:r>
        <w:rPr>
          <w:rFonts w:ascii="Arial Black" w:hAnsi="Arial Black"/>
          <w:sz w:val="28"/>
          <w:szCs w:val="28"/>
        </w:rPr>
        <w:t xml:space="preserve"> </w:t>
      </w:r>
      <w:r w:rsidRPr="000B7F2C">
        <w:rPr>
          <w:rFonts w:ascii="Arial Black" w:hAnsi="Arial Black"/>
          <w:sz w:val="28"/>
          <w:szCs w:val="28"/>
        </w:rPr>
        <w:t>3 MDs AGREE</w:t>
      </w:r>
      <w:r>
        <w:rPr>
          <w:rFonts w:ascii="Arial Black" w:hAnsi="Arial Black"/>
          <w:sz w:val="28"/>
          <w:szCs w:val="28"/>
        </w:rPr>
        <w:t xml:space="preserve"> </w:t>
      </w:r>
      <w:r w:rsidRPr="000B7F2C">
        <w:rPr>
          <w:rFonts w:ascii="Arial Black" w:hAnsi="Arial Black"/>
          <w:sz w:val="28"/>
          <w:szCs w:val="28"/>
        </w:rPr>
        <w:t xml:space="preserve">“DUTY-RELATED” </w:t>
      </w:r>
    </w:p>
    <w:p w14:paraId="74FEE003" w14:textId="77777777" w:rsidR="00045450" w:rsidRPr="00045450" w:rsidRDefault="00045450" w:rsidP="00045450">
      <w:pPr>
        <w:rPr>
          <w:rFonts w:ascii="Times New Roman" w:hAnsi="Times New Roman"/>
          <w:sz w:val="24"/>
          <w:szCs w:val="24"/>
        </w:rPr>
      </w:pPr>
      <w:r w:rsidRPr="00045450">
        <w:rPr>
          <w:rFonts w:ascii="Times New Roman" w:hAnsi="Times New Roman"/>
          <w:sz w:val="24"/>
          <w:szCs w:val="24"/>
        </w:rPr>
        <w:t xml:space="preserve">On Feb. 19, 2025, in </w:t>
      </w:r>
      <w:r w:rsidRPr="00045450">
        <w:rPr>
          <w:rFonts w:ascii="Times New Roman" w:hAnsi="Times New Roman"/>
          <w:sz w:val="24"/>
          <w:szCs w:val="24"/>
          <w:u w:val="single"/>
        </w:rPr>
        <w:t>State of Missouri ex rel. Jeremy Starr v. Board of Trustees for the Firefighter’s Pension System of the City of Kansas City, Missouri</w:t>
      </w:r>
      <w:r w:rsidRPr="00045450">
        <w:rPr>
          <w:rFonts w:ascii="Times New Roman" w:hAnsi="Times New Roman"/>
          <w:sz w:val="24"/>
          <w:szCs w:val="24"/>
        </w:rPr>
        <w:t xml:space="preserve">, the Court of Appeals of Missouri, Western District, Second Division, held (3 to 0) the Circuit Court correctly reversed the Board, and awarded him a “duty-related” disability pension.  Jeremy Starr served on the Kansas City fire department for 18.5 years. Three medical experts - plaintiff’s treating physician and the Boards’ two independent medical examiners – all agreed the carpal tunnel “substantially caused by actual performance of [Starr’s] duty as a firefighter.”  </w:t>
      </w:r>
      <w:hyperlink r:id="rId1090" w:history="1">
        <w:r w:rsidRPr="00045450">
          <w:rPr>
            <w:rStyle w:val="Hyperlink"/>
            <w:rFonts w:ascii="Times New Roman" w:hAnsi="Times New Roman"/>
            <w:sz w:val="24"/>
            <w:szCs w:val="24"/>
          </w:rPr>
          <w:t>https://cases.justia.com/missouri/court-of-appeals/2025-wd87111.pdf?ts=1739982610</w:t>
        </w:r>
      </w:hyperlink>
      <w:r w:rsidRPr="00045450">
        <w:rPr>
          <w:rFonts w:ascii="Times New Roman" w:hAnsi="Times New Roman"/>
          <w:sz w:val="24"/>
          <w:szCs w:val="24"/>
        </w:rPr>
        <w:t xml:space="preserve"> </w:t>
      </w:r>
    </w:p>
    <w:p w14:paraId="70E4CF3E" w14:textId="77777777" w:rsidR="00045450" w:rsidRPr="00045450" w:rsidRDefault="00045450" w:rsidP="00045450">
      <w:pPr>
        <w:pStyle w:val="NoSpacing"/>
        <w:rPr>
          <w:rFonts w:ascii="Times New Roman" w:hAnsi="Times New Roman"/>
          <w:sz w:val="24"/>
          <w:szCs w:val="24"/>
        </w:rPr>
      </w:pPr>
      <w:r w:rsidRPr="00045450">
        <w:rPr>
          <w:rFonts w:ascii="Times New Roman" w:hAnsi="Times New Roman"/>
          <w:sz w:val="24"/>
          <w:szCs w:val="24"/>
        </w:rPr>
        <w:t>The Court wrote:</w:t>
      </w:r>
    </w:p>
    <w:p w14:paraId="14EF7CFB" w14:textId="77777777" w:rsidR="00045450" w:rsidRPr="00045450" w:rsidRDefault="00045450" w:rsidP="00045450">
      <w:pPr>
        <w:pStyle w:val="NoSpacing"/>
        <w:rPr>
          <w:rFonts w:ascii="Times New Roman" w:hAnsi="Times New Roman"/>
          <w:sz w:val="24"/>
          <w:szCs w:val="24"/>
        </w:rPr>
      </w:pPr>
    </w:p>
    <w:p w14:paraId="429A5B9C"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“The Pension Board rejected the opinions of Starr’s treating physician and</w:t>
      </w:r>
    </w:p>
    <w:p w14:paraId="36B952E1"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the Medical Board doctors, and consequently found that Starr had failed to</w:t>
      </w:r>
    </w:p>
    <w:p w14:paraId="7EAD4818"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satisfy his burden to prove work-relatedness, based primarily on two factors:</w:t>
      </w:r>
    </w:p>
    <w:p w14:paraId="58B3B010"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 xml:space="preserve">(1) that Starr had overstated his use of </w:t>
      </w:r>
      <w:proofErr w:type="gramStart"/>
      <w:r w:rsidRPr="00045450">
        <w:rPr>
          <w:rFonts w:ascii="Times New Roman" w:hAnsi="Times New Roman"/>
          <w:sz w:val="24"/>
          <w:szCs w:val="24"/>
        </w:rPr>
        <w:t>particular vibrating</w:t>
      </w:r>
      <w:proofErr w:type="gramEnd"/>
      <w:r w:rsidRPr="00045450">
        <w:rPr>
          <w:rFonts w:ascii="Times New Roman" w:hAnsi="Times New Roman"/>
          <w:sz w:val="24"/>
          <w:szCs w:val="24"/>
        </w:rPr>
        <w:t xml:space="preserve"> equipment (driving a</w:t>
      </w:r>
    </w:p>
    <w:p w14:paraId="00762CA9"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pumper truck; using power tools and chainsaws); and (2) that Starr had been on</w:t>
      </w:r>
    </w:p>
    <w:p w14:paraId="509BF083"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modified duty, and was therefore not exposed to the rigors of fire suppression</w:t>
      </w:r>
    </w:p>
    <w:p w14:paraId="0966B660"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work, for half the time in the twenty-seven months before his disability</w:t>
      </w:r>
    </w:p>
    <w:p w14:paraId="446F2537"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manifested.</w:t>
      </w:r>
    </w:p>
    <w:p w14:paraId="76F38C7D" w14:textId="77777777" w:rsidR="00045450" w:rsidRPr="00045450" w:rsidRDefault="00045450" w:rsidP="00045450">
      <w:pPr>
        <w:pStyle w:val="NoSpacing"/>
        <w:rPr>
          <w:rFonts w:ascii="Times New Roman" w:hAnsi="Times New Roman"/>
          <w:sz w:val="24"/>
          <w:szCs w:val="24"/>
        </w:rPr>
      </w:pPr>
    </w:p>
    <w:p w14:paraId="78618B9F" w14:textId="77777777" w:rsidR="00045450" w:rsidRPr="00045450" w:rsidRDefault="00045450" w:rsidP="00045450">
      <w:pPr>
        <w:pStyle w:val="NoSpacing"/>
        <w:ind w:firstLine="720"/>
        <w:rPr>
          <w:rFonts w:ascii="Times New Roman" w:hAnsi="Times New Roman"/>
          <w:sz w:val="24"/>
          <w:szCs w:val="24"/>
        </w:rPr>
      </w:pPr>
      <w:r w:rsidRPr="00045450">
        <w:rPr>
          <w:rFonts w:ascii="Times New Roman" w:hAnsi="Times New Roman"/>
          <w:sz w:val="24"/>
          <w:szCs w:val="24"/>
        </w:rPr>
        <w:t>***</w:t>
      </w:r>
    </w:p>
    <w:p w14:paraId="51364879" w14:textId="77777777" w:rsidR="00045450" w:rsidRPr="00045450" w:rsidRDefault="00045450" w:rsidP="00045450">
      <w:pPr>
        <w:pStyle w:val="NoSpacing"/>
        <w:rPr>
          <w:rFonts w:ascii="Times New Roman" w:hAnsi="Times New Roman"/>
          <w:sz w:val="24"/>
          <w:szCs w:val="24"/>
        </w:rPr>
      </w:pPr>
    </w:p>
    <w:p w14:paraId="2A873196" w14:textId="77777777" w:rsidR="00045450" w:rsidRPr="00045450" w:rsidRDefault="00045450" w:rsidP="00045450">
      <w:pPr>
        <w:pStyle w:val="NoSpacing"/>
        <w:ind w:left="720"/>
        <w:rPr>
          <w:rFonts w:ascii="Times New Roman" w:hAnsi="Times New Roman"/>
          <w:sz w:val="24"/>
          <w:szCs w:val="24"/>
        </w:rPr>
      </w:pPr>
      <w:r w:rsidRPr="00045450">
        <w:rPr>
          <w:rFonts w:ascii="Times New Roman" w:hAnsi="Times New Roman"/>
          <w:sz w:val="24"/>
          <w:szCs w:val="24"/>
        </w:rPr>
        <w:t xml:space="preserve">The Pension Board’s conclusion that Starr had failed to prove that his disability was work related is unsupported by sufficient competent </w:t>
      </w:r>
      <w:proofErr w:type="gramStart"/>
      <w:r w:rsidRPr="00045450">
        <w:rPr>
          <w:rFonts w:ascii="Times New Roman" w:hAnsi="Times New Roman"/>
          <w:sz w:val="24"/>
          <w:szCs w:val="24"/>
        </w:rPr>
        <w:t>evidence, and</w:t>
      </w:r>
      <w:proofErr w:type="gramEnd"/>
      <w:r w:rsidRPr="00045450">
        <w:rPr>
          <w:rFonts w:ascii="Times New Roman" w:hAnsi="Times New Roman"/>
          <w:sz w:val="24"/>
          <w:szCs w:val="24"/>
        </w:rPr>
        <w:t xml:space="preserve"> must be reversed.”</w:t>
      </w:r>
    </w:p>
    <w:p w14:paraId="1F8602FD" w14:textId="77777777" w:rsidR="00045450" w:rsidRPr="00045450" w:rsidRDefault="00045450" w:rsidP="00045450">
      <w:pPr>
        <w:pStyle w:val="NoSpacing"/>
        <w:rPr>
          <w:rFonts w:ascii="Times New Roman" w:hAnsi="Times New Roman"/>
          <w:b/>
          <w:sz w:val="24"/>
          <w:szCs w:val="24"/>
        </w:rPr>
      </w:pPr>
    </w:p>
    <w:p w14:paraId="732D5FED" w14:textId="77777777" w:rsidR="00045450" w:rsidRPr="00045450" w:rsidRDefault="00045450" w:rsidP="00045450">
      <w:pPr>
        <w:pStyle w:val="NoSpacing"/>
        <w:rPr>
          <w:rFonts w:ascii="Times New Roman" w:hAnsi="Times New Roman"/>
          <w:b/>
          <w:sz w:val="24"/>
          <w:szCs w:val="24"/>
        </w:rPr>
      </w:pPr>
      <w:r w:rsidRPr="00045450">
        <w:rPr>
          <w:rFonts w:ascii="Times New Roman" w:hAnsi="Times New Roman"/>
          <w:b/>
          <w:sz w:val="24"/>
          <w:szCs w:val="24"/>
        </w:rPr>
        <w:t xml:space="preserve">Legal Lesson Learned: The Board improperly rejected the conclusion of its two independent medical examiners. </w:t>
      </w:r>
    </w:p>
    <w:p w14:paraId="2EC5F3E5" w14:textId="77777777" w:rsidR="00045450" w:rsidRPr="00045450" w:rsidRDefault="00045450" w:rsidP="00045450">
      <w:pPr>
        <w:rPr>
          <w:rFonts w:ascii="Times New Roman" w:hAnsi="Times New Roman"/>
          <w:sz w:val="24"/>
          <w:szCs w:val="24"/>
        </w:rPr>
      </w:pPr>
    </w:p>
    <w:p w14:paraId="2EB2997C" w14:textId="77777777" w:rsidR="002A0697" w:rsidRDefault="002A0697" w:rsidP="00B572BA">
      <w:pPr>
        <w:rPr>
          <w:rFonts w:ascii="Arial Black" w:hAnsi="Arial Black"/>
          <w:sz w:val="28"/>
          <w:szCs w:val="28"/>
        </w:rPr>
      </w:pPr>
    </w:p>
    <w:p w14:paraId="4B4B1694" w14:textId="34DF0E37" w:rsidR="002A0697" w:rsidRDefault="002A0697" w:rsidP="00B572BA">
      <w:pPr>
        <w:rPr>
          <w:rFonts w:ascii="Arial Black" w:hAnsi="Arial Black"/>
          <w:sz w:val="28"/>
          <w:szCs w:val="28"/>
        </w:rPr>
      </w:pPr>
      <w:r>
        <w:rPr>
          <w:rFonts w:ascii="Arial Black" w:hAnsi="Arial Black"/>
          <w:sz w:val="28"/>
          <w:szCs w:val="28"/>
        </w:rPr>
        <w:t>6-150</w:t>
      </w:r>
    </w:p>
    <w:p w14:paraId="0980842A" w14:textId="0641017D" w:rsidR="00B572BA" w:rsidRPr="000B7F2C" w:rsidRDefault="00B572BA" w:rsidP="00B572BA">
      <w:pPr>
        <w:rPr>
          <w:rFonts w:ascii="Arial Black" w:hAnsi="Arial Black"/>
          <w:sz w:val="28"/>
          <w:szCs w:val="28"/>
        </w:rPr>
      </w:pPr>
      <w:r w:rsidRPr="000B7F2C">
        <w:rPr>
          <w:rFonts w:ascii="Arial Black" w:hAnsi="Arial Black"/>
          <w:sz w:val="28"/>
          <w:szCs w:val="28"/>
        </w:rPr>
        <w:lastRenderedPageBreak/>
        <w:t>AR: PTSD –</w:t>
      </w:r>
      <w:r w:rsidR="00125039">
        <w:rPr>
          <w:rFonts w:ascii="Arial Black" w:hAnsi="Arial Black"/>
          <w:sz w:val="28"/>
          <w:szCs w:val="28"/>
        </w:rPr>
        <w:t xml:space="preserve"> ADMIN. LAW JUDGE - </w:t>
      </w:r>
      <w:r w:rsidRPr="000B7F2C">
        <w:rPr>
          <w:rFonts w:ascii="Arial Black" w:hAnsi="Arial Black"/>
          <w:sz w:val="28"/>
          <w:szCs w:val="28"/>
        </w:rPr>
        <w:t xml:space="preserve">1 YR </w:t>
      </w:r>
      <w:r w:rsidR="00E869C9">
        <w:rPr>
          <w:rFonts w:ascii="Arial Black" w:hAnsi="Arial Black"/>
          <w:sz w:val="28"/>
          <w:szCs w:val="28"/>
        </w:rPr>
        <w:t>OF</w:t>
      </w:r>
      <w:r w:rsidRPr="000B7F2C">
        <w:rPr>
          <w:rFonts w:ascii="Arial Black" w:hAnsi="Arial Black"/>
          <w:sz w:val="28"/>
          <w:szCs w:val="28"/>
        </w:rPr>
        <w:t xml:space="preserve"> “DIAGNOSIS” TO FILE WORK COMP</w:t>
      </w:r>
      <w:r>
        <w:rPr>
          <w:rFonts w:ascii="Arial Black" w:hAnsi="Arial Black"/>
          <w:sz w:val="28"/>
          <w:szCs w:val="28"/>
        </w:rPr>
        <w:t xml:space="preserve"> </w:t>
      </w:r>
      <w:r w:rsidR="00E869C9">
        <w:rPr>
          <w:rFonts w:ascii="Arial Black" w:hAnsi="Arial Black"/>
          <w:sz w:val="28"/>
          <w:szCs w:val="28"/>
        </w:rPr>
        <w:t xml:space="preserve"> </w:t>
      </w:r>
      <w:r>
        <w:rPr>
          <w:rFonts w:ascii="Arial Black" w:hAnsi="Arial Black"/>
          <w:sz w:val="28"/>
          <w:szCs w:val="28"/>
        </w:rPr>
        <w:t>[also filed, Chap. 15]</w:t>
      </w:r>
    </w:p>
    <w:p w14:paraId="225AF9A1" w14:textId="606024C8" w:rsidR="00B572BA" w:rsidRPr="00144037" w:rsidRDefault="00B572BA" w:rsidP="00B572BA">
      <w:pPr>
        <w:rPr>
          <w:rFonts w:ascii="Times New Roman" w:hAnsi="Times New Roman"/>
          <w:sz w:val="24"/>
          <w:szCs w:val="24"/>
        </w:rPr>
      </w:pPr>
      <w:r w:rsidRPr="00144037">
        <w:rPr>
          <w:rFonts w:ascii="Times New Roman" w:hAnsi="Times New Roman"/>
          <w:sz w:val="24"/>
          <w:szCs w:val="24"/>
        </w:rPr>
        <w:t xml:space="preserve">On January 27, 2025, in </w:t>
      </w:r>
      <w:r w:rsidRPr="00144037">
        <w:rPr>
          <w:rFonts w:ascii="Times New Roman" w:hAnsi="Times New Roman"/>
          <w:sz w:val="24"/>
          <w:szCs w:val="24"/>
          <w:u w:val="single"/>
        </w:rPr>
        <w:t>City of Tucson v. The Industrial Commission of Arizona; Christopher Mercer, Respondent Employee</w:t>
      </w:r>
      <w:r w:rsidRPr="00144037">
        <w:rPr>
          <w:rFonts w:ascii="Times New Roman" w:hAnsi="Times New Roman"/>
          <w:sz w:val="24"/>
          <w:szCs w:val="24"/>
        </w:rPr>
        <w:t>, the Court of Appeals of Arizona, Second Division, (3 to 0; unpublished decision) upheld the Administrative Law Judge who ruled the 1-</w:t>
      </w:r>
      <w:r w:rsidR="00125039">
        <w:rPr>
          <w:rFonts w:ascii="Times New Roman" w:hAnsi="Times New Roman"/>
          <w:sz w:val="24"/>
          <w:szCs w:val="24"/>
        </w:rPr>
        <w:t>y</w:t>
      </w:r>
      <w:r w:rsidRPr="00144037">
        <w:rPr>
          <w:rFonts w:ascii="Times New Roman" w:hAnsi="Times New Roman"/>
          <w:sz w:val="24"/>
          <w:szCs w:val="24"/>
        </w:rPr>
        <w:t xml:space="preserve">ear statute of limitations to file worker’s comp claim starts when the official diagnosis of PTSD has been made, not when employee has sought help for mental issues.  Time line: In 2017, with anger issues, his Captain suggested he see a psychiatrist; met six times between 2017 and 2021; in 2020 moved to slower station; April 2022 attended music festival off duty and helped female patient who feel 15 feet; that night at home threatened suicide including pulling trigger of 9 mil firearm (presumably unloaded); hospitalized 28 days at facility for first responders where for first time was diagnosed with PTSD; filed works comp claim July 30, 2022.  </w:t>
      </w:r>
      <w:hyperlink r:id="rId1091" w:history="1">
        <w:r w:rsidRPr="00144037">
          <w:rPr>
            <w:rStyle w:val="Hyperlink"/>
            <w:rFonts w:ascii="Times New Roman" w:hAnsi="Times New Roman"/>
            <w:sz w:val="24"/>
            <w:szCs w:val="24"/>
          </w:rPr>
          <w:t>https://cases.justia.com/arizona/court-of-appeals-division-two-unpublished/2025-2-ca-ic-2024-0003.pdf?ts=1738026580</w:t>
        </w:r>
      </w:hyperlink>
      <w:r w:rsidRPr="00144037">
        <w:rPr>
          <w:rFonts w:ascii="Times New Roman" w:hAnsi="Times New Roman"/>
          <w:sz w:val="24"/>
          <w:szCs w:val="24"/>
        </w:rPr>
        <w:t xml:space="preserve"> </w:t>
      </w:r>
    </w:p>
    <w:p w14:paraId="17275C13" w14:textId="77777777" w:rsidR="00B572BA" w:rsidRPr="00144037" w:rsidRDefault="00B572BA" w:rsidP="00B572BA">
      <w:pPr>
        <w:rPr>
          <w:rFonts w:ascii="Times New Roman" w:hAnsi="Times New Roman"/>
          <w:sz w:val="24"/>
          <w:szCs w:val="24"/>
        </w:rPr>
      </w:pPr>
    </w:p>
    <w:p w14:paraId="5C03FC6C" w14:textId="77777777" w:rsidR="00B572BA" w:rsidRPr="00144037" w:rsidRDefault="00B572BA" w:rsidP="00B572BA">
      <w:pPr>
        <w:pStyle w:val="NoSpacing"/>
        <w:rPr>
          <w:rFonts w:ascii="Times New Roman" w:hAnsi="Times New Roman"/>
          <w:sz w:val="24"/>
          <w:szCs w:val="24"/>
        </w:rPr>
      </w:pPr>
      <w:r w:rsidRPr="00144037">
        <w:rPr>
          <w:rFonts w:ascii="Times New Roman" w:hAnsi="Times New Roman"/>
          <w:sz w:val="24"/>
          <w:szCs w:val="24"/>
        </w:rPr>
        <w:t xml:space="preserve">The Court wrote: </w:t>
      </w:r>
    </w:p>
    <w:p w14:paraId="1FF7ABEE" w14:textId="77777777" w:rsidR="00B572BA" w:rsidRPr="00144037" w:rsidRDefault="00B572BA" w:rsidP="00B572BA">
      <w:pPr>
        <w:pStyle w:val="NoSpacing"/>
        <w:rPr>
          <w:rFonts w:ascii="Times New Roman" w:hAnsi="Times New Roman"/>
          <w:sz w:val="24"/>
          <w:szCs w:val="24"/>
        </w:rPr>
      </w:pPr>
    </w:p>
    <w:p w14:paraId="7B8B8420" w14:textId="77777777" w:rsidR="00B572BA" w:rsidRPr="00144037" w:rsidRDefault="00B572BA" w:rsidP="00B572BA">
      <w:pPr>
        <w:pStyle w:val="NoSpacing"/>
        <w:ind w:left="720"/>
        <w:rPr>
          <w:rFonts w:ascii="Times New Roman" w:hAnsi="Times New Roman"/>
          <w:sz w:val="24"/>
          <w:szCs w:val="24"/>
        </w:rPr>
      </w:pPr>
      <w:r w:rsidRPr="00144037">
        <w:rPr>
          <w:rFonts w:ascii="Times New Roman" w:hAnsi="Times New Roman"/>
          <w:sz w:val="24"/>
          <w:szCs w:val="24"/>
        </w:rPr>
        <w:t>“The ALJ determined that he was never ‘officially diagnosed with PTSD’ until April 2022, and there was ‘insufficient evidence to find that his symptoms had become serious and acute enough to meet the diagnosis for PTSD’ before then. The ALJ further explained that April 2022 was also the point at which Mercer first required inpatient psychiatric treatment and first became unable to return to work. Accordingly, the ALJ determined that Mercer’s July 2022 ICA claim was timely.</w:t>
      </w:r>
    </w:p>
    <w:p w14:paraId="3258C872" w14:textId="77777777" w:rsidR="00B572BA" w:rsidRPr="00144037" w:rsidRDefault="00B572BA" w:rsidP="00B572BA">
      <w:pPr>
        <w:pStyle w:val="NoSpacing"/>
        <w:rPr>
          <w:rFonts w:ascii="Times New Roman" w:hAnsi="Times New Roman"/>
          <w:sz w:val="24"/>
          <w:szCs w:val="24"/>
        </w:rPr>
      </w:pPr>
    </w:p>
    <w:p w14:paraId="130E8AF8" w14:textId="77777777" w:rsidR="00B572BA" w:rsidRPr="00144037" w:rsidRDefault="00B572BA" w:rsidP="00B572BA">
      <w:pPr>
        <w:pStyle w:val="NoSpacing"/>
        <w:ind w:firstLine="720"/>
        <w:rPr>
          <w:rFonts w:ascii="Times New Roman" w:hAnsi="Times New Roman"/>
          <w:sz w:val="24"/>
          <w:szCs w:val="24"/>
        </w:rPr>
      </w:pPr>
      <w:r w:rsidRPr="00144037">
        <w:rPr>
          <w:rFonts w:ascii="Times New Roman" w:hAnsi="Times New Roman"/>
          <w:sz w:val="24"/>
          <w:szCs w:val="24"/>
        </w:rPr>
        <w:t>***</w:t>
      </w:r>
    </w:p>
    <w:p w14:paraId="2FF5FF7F" w14:textId="77777777" w:rsidR="00B572BA" w:rsidRPr="00144037" w:rsidRDefault="00B572BA" w:rsidP="00B572BA">
      <w:pPr>
        <w:pStyle w:val="NoSpacing"/>
        <w:rPr>
          <w:rFonts w:ascii="Times New Roman" w:hAnsi="Times New Roman"/>
          <w:sz w:val="24"/>
          <w:szCs w:val="24"/>
        </w:rPr>
      </w:pPr>
    </w:p>
    <w:p w14:paraId="0B5775D8" w14:textId="77777777" w:rsidR="00B572BA" w:rsidRPr="00144037" w:rsidRDefault="00B572BA" w:rsidP="00B572BA">
      <w:pPr>
        <w:pStyle w:val="NoSpacing"/>
        <w:ind w:left="720"/>
        <w:rPr>
          <w:rFonts w:ascii="Times New Roman" w:hAnsi="Times New Roman"/>
          <w:sz w:val="24"/>
          <w:szCs w:val="24"/>
        </w:rPr>
      </w:pPr>
      <w:r w:rsidRPr="00144037">
        <w:rPr>
          <w:rFonts w:ascii="Times New Roman" w:hAnsi="Times New Roman"/>
          <w:sz w:val="24"/>
          <w:szCs w:val="24"/>
        </w:rPr>
        <w:t>[T]</w:t>
      </w:r>
      <w:proofErr w:type="gramStart"/>
      <w:r w:rsidRPr="00144037">
        <w:rPr>
          <w:rFonts w:ascii="Times New Roman" w:hAnsi="Times New Roman"/>
          <w:sz w:val="24"/>
          <w:szCs w:val="24"/>
        </w:rPr>
        <w:t>he</w:t>
      </w:r>
      <w:proofErr w:type="gramEnd"/>
      <w:r w:rsidRPr="00144037">
        <w:rPr>
          <w:rFonts w:ascii="Times New Roman" w:hAnsi="Times New Roman"/>
          <w:sz w:val="24"/>
          <w:szCs w:val="24"/>
        </w:rPr>
        <w:t xml:space="preserve"> City contends it produced expert testimony that Mercer’s PTSD was diagnosable prior to July 2021, it has satisfied some portion of the test for the accrual of mental injuries. Not so.” </w:t>
      </w:r>
    </w:p>
    <w:p w14:paraId="3550969E" w14:textId="77777777" w:rsidR="00B572BA" w:rsidRPr="00144037" w:rsidRDefault="00B572BA" w:rsidP="00B572BA">
      <w:pPr>
        <w:pStyle w:val="NoSpacing"/>
        <w:rPr>
          <w:rFonts w:ascii="Times New Roman" w:hAnsi="Times New Roman"/>
          <w:b/>
          <w:bCs/>
          <w:sz w:val="24"/>
          <w:szCs w:val="24"/>
        </w:rPr>
      </w:pPr>
    </w:p>
    <w:p w14:paraId="6FAEF93F" w14:textId="77777777" w:rsidR="00B572BA" w:rsidRPr="00144037" w:rsidRDefault="00B572BA" w:rsidP="00B572BA">
      <w:pPr>
        <w:pStyle w:val="NoSpacing"/>
        <w:rPr>
          <w:rFonts w:ascii="Times New Roman" w:hAnsi="Times New Roman"/>
          <w:b/>
          <w:bCs/>
          <w:sz w:val="24"/>
          <w:szCs w:val="24"/>
        </w:rPr>
      </w:pPr>
      <w:r w:rsidRPr="00144037">
        <w:rPr>
          <w:rFonts w:ascii="Times New Roman" w:hAnsi="Times New Roman"/>
          <w:b/>
          <w:sz w:val="24"/>
          <w:szCs w:val="24"/>
        </w:rPr>
        <w:t xml:space="preserve">Legal Lesson Learned: Excellent decision; city can’t force employees to file workers comp claim when they are merely seeking assistance. </w:t>
      </w:r>
    </w:p>
    <w:p w14:paraId="4C954BAA" w14:textId="77777777" w:rsidR="00045450" w:rsidRPr="00045450" w:rsidRDefault="00045450" w:rsidP="00EF1133">
      <w:pPr>
        <w:rPr>
          <w:rFonts w:ascii="Times New Roman" w:hAnsi="Times New Roman"/>
          <w:b/>
          <w:sz w:val="24"/>
          <w:szCs w:val="24"/>
        </w:rPr>
      </w:pPr>
    </w:p>
    <w:p w14:paraId="4DFD8CE9" w14:textId="77777777" w:rsidR="00045450" w:rsidRDefault="00045450" w:rsidP="00EF1133">
      <w:pPr>
        <w:rPr>
          <w:rFonts w:ascii="Arial Black" w:hAnsi="Arial Black"/>
          <w:b/>
          <w:sz w:val="24"/>
          <w:szCs w:val="24"/>
        </w:rPr>
      </w:pPr>
    </w:p>
    <w:p w14:paraId="7EE5F35D" w14:textId="6D2524AC" w:rsidR="00AF0D0A" w:rsidRDefault="00AF0D0A" w:rsidP="00EF1133">
      <w:pPr>
        <w:rPr>
          <w:rFonts w:ascii="Arial Black" w:hAnsi="Arial Black"/>
          <w:b/>
          <w:sz w:val="24"/>
          <w:szCs w:val="24"/>
        </w:rPr>
      </w:pPr>
      <w:r>
        <w:rPr>
          <w:rFonts w:ascii="Arial Black" w:hAnsi="Arial Black"/>
          <w:b/>
          <w:sz w:val="24"/>
          <w:szCs w:val="24"/>
        </w:rPr>
        <w:t>6-1</w:t>
      </w:r>
      <w:r w:rsidR="002A0697">
        <w:rPr>
          <w:rFonts w:ascii="Arial Black" w:hAnsi="Arial Black"/>
          <w:b/>
          <w:sz w:val="24"/>
          <w:szCs w:val="24"/>
        </w:rPr>
        <w:t>49</w:t>
      </w:r>
    </w:p>
    <w:p w14:paraId="3836D6EE" w14:textId="77777777" w:rsidR="00AF0D0A" w:rsidRPr="00386040" w:rsidRDefault="00AF0D0A" w:rsidP="00AF0D0A">
      <w:pPr>
        <w:pStyle w:val="NoSpacing"/>
        <w:rPr>
          <w:rFonts w:ascii="Arial Black" w:hAnsi="Arial Black"/>
          <w:sz w:val="28"/>
          <w:szCs w:val="28"/>
        </w:rPr>
      </w:pPr>
      <w:r>
        <w:rPr>
          <w:rFonts w:ascii="Arial Black" w:hAnsi="Arial Black"/>
          <w:sz w:val="28"/>
          <w:szCs w:val="28"/>
        </w:rPr>
        <w:t xml:space="preserve">NJ: FF BROKE ANKLE – ORDIN. DISAB., NOT “UNEXPECTED”   </w:t>
      </w:r>
    </w:p>
    <w:p w14:paraId="2AE0466C" w14:textId="77777777" w:rsidR="00AF0D0A" w:rsidRPr="00AF0D0A" w:rsidRDefault="00AF0D0A" w:rsidP="00AF0D0A">
      <w:pPr>
        <w:pStyle w:val="NoSpacing"/>
        <w:rPr>
          <w:rFonts w:ascii="Times New Roman" w:hAnsi="Times New Roman"/>
          <w:sz w:val="24"/>
          <w:szCs w:val="24"/>
        </w:rPr>
      </w:pPr>
    </w:p>
    <w:p w14:paraId="78FA6E87" w14:textId="77777777" w:rsidR="00AF0D0A" w:rsidRPr="00AF0D0A" w:rsidRDefault="00AF0D0A" w:rsidP="00AF0D0A">
      <w:pPr>
        <w:pStyle w:val="NoSpacing"/>
        <w:rPr>
          <w:rFonts w:ascii="Times New Roman" w:hAnsi="Times New Roman"/>
          <w:sz w:val="24"/>
          <w:szCs w:val="24"/>
        </w:rPr>
      </w:pPr>
      <w:r w:rsidRPr="00AF0D0A">
        <w:rPr>
          <w:rFonts w:ascii="Times New Roman" w:hAnsi="Times New Roman"/>
          <w:sz w:val="24"/>
          <w:szCs w:val="24"/>
        </w:rPr>
        <w:t xml:space="preserve">On Jan. 17, 2025, in </w:t>
      </w:r>
      <w:r w:rsidRPr="00AF0D0A">
        <w:rPr>
          <w:rFonts w:ascii="Times New Roman" w:hAnsi="Times New Roman"/>
          <w:sz w:val="24"/>
          <w:szCs w:val="24"/>
          <w:u w:val="single"/>
        </w:rPr>
        <w:t>Roberto Villarreal-Rio v. Board of Trustees, Police and Fireman’s Retirement System</w:t>
      </w:r>
      <w:r w:rsidRPr="00AF0D0A">
        <w:rPr>
          <w:rFonts w:ascii="Times New Roman" w:hAnsi="Times New Roman"/>
          <w:sz w:val="24"/>
          <w:szCs w:val="24"/>
        </w:rPr>
        <w:t xml:space="preserve">, the Superior Court of New Jersey, held (2 to 0; unpublished decision) that the retirement board properly held the firefighter was not entitled to Accidental Disability Retirement (72.7%), but only Ordinary Disability Retirement (43.6%); must be a traumatic event injured because of an “unexpected happening.”  </w:t>
      </w:r>
      <w:hyperlink r:id="rId1092" w:history="1">
        <w:r w:rsidRPr="00AF0D0A">
          <w:rPr>
            <w:rStyle w:val="Hyperlink"/>
            <w:rFonts w:ascii="Times New Roman" w:hAnsi="Times New Roman"/>
            <w:sz w:val="24"/>
            <w:szCs w:val="24"/>
          </w:rPr>
          <w:t>https://www.njcourts.gov/system/files/court-opinions/2025/a0585-22.pdf</w:t>
        </w:r>
      </w:hyperlink>
      <w:r w:rsidRPr="00AF0D0A">
        <w:rPr>
          <w:rFonts w:ascii="Times New Roman" w:hAnsi="Times New Roman"/>
          <w:sz w:val="24"/>
          <w:szCs w:val="24"/>
        </w:rPr>
        <w:t xml:space="preserve"> </w:t>
      </w:r>
    </w:p>
    <w:p w14:paraId="3A6F3451" w14:textId="77777777" w:rsidR="00AF0D0A" w:rsidRPr="00AF0D0A" w:rsidRDefault="00AF0D0A" w:rsidP="00AF0D0A">
      <w:pPr>
        <w:pStyle w:val="NoSpacing"/>
        <w:rPr>
          <w:rFonts w:ascii="Times New Roman" w:hAnsi="Times New Roman"/>
          <w:sz w:val="24"/>
          <w:szCs w:val="24"/>
        </w:rPr>
      </w:pPr>
    </w:p>
    <w:p w14:paraId="5736EA41" w14:textId="77777777" w:rsidR="00AF0D0A" w:rsidRPr="00AF0D0A" w:rsidRDefault="00AF0D0A" w:rsidP="00AF0D0A">
      <w:pPr>
        <w:pStyle w:val="NoSpacing"/>
        <w:rPr>
          <w:rFonts w:ascii="Times New Roman" w:hAnsi="Times New Roman"/>
          <w:sz w:val="24"/>
          <w:szCs w:val="24"/>
        </w:rPr>
      </w:pPr>
      <w:r w:rsidRPr="00AF0D0A">
        <w:rPr>
          <w:rFonts w:ascii="Times New Roman" w:hAnsi="Times New Roman"/>
          <w:sz w:val="24"/>
          <w:szCs w:val="24"/>
        </w:rPr>
        <w:tab/>
        <w:t xml:space="preserve">The Court held: </w:t>
      </w:r>
    </w:p>
    <w:p w14:paraId="70C5AFDA" w14:textId="77777777" w:rsidR="00AF0D0A" w:rsidRPr="00AF0D0A" w:rsidRDefault="00AF0D0A" w:rsidP="00AF0D0A">
      <w:pPr>
        <w:pStyle w:val="NoSpacing"/>
        <w:rPr>
          <w:rFonts w:ascii="Times New Roman" w:hAnsi="Times New Roman"/>
          <w:sz w:val="24"/>
          <w:szCs w:val="24"/>
        </w:rPr>
      </w:pPr>
    </w:p>
    <w:p w14:paraId="6AF84224" w14:textId="77777777" w:rsidR="00AF0D0A" w:rsidRPr="00AF0D0A" w:rsidRDefault="00AF0D0A" w:rsidP="00AF0D0A">
      <w:pPr>
        <w:pStyle w:val="NoSpacing"/>
        <w:ind w:left="720"/>
        <w:rPr>
          <w:rFonts w:ascii="Times New Roman" w:hAnsi="Times New Roman"/>
          <w:sz w:val="24"/>
          <w:szCs w:val="24"/>
        </w:rPr>
      </w:pPr>
      <w:r w:rsidRPr="00AF0D0A">
        <w:rPr>
          <w:rFonts w:ascii="Times New Roman" w:hAnsi="Times New Roman"/>
          <w:sz w:val="24"/>
          <w:szCs w:val="24"/>
        </w:rPr>
        <w:t xml:space="preserve">“On September 22, 2017, petitioner, along with the </w:t>
      </w:r>
      <w:proofErr w:type="gramStart"/>
      <w:r w:rsidRPr="00AF0D0A">
        <w:rPr>
          <w:rFonts w:ascii="Times New Roman" w:hAnsi="Times New Roman"/>
          <w:sz w:val="24"/>
          <w:szCs w:val="24"/>
        </w:rPr>
        <w:t>Captain</w:t>
      </w:r>
      <w:proofErr w:type="gramEnd"/>
      <w:r w:rsidRPr="00AF0D0A">
        <w:rPr>
          <w:rFonts w:ascii="Times New Roman" w:hAnsi="Times New Roman"/>
          <w:sz w:val="24"/>
          <w:szCs w:val="24"/>
        </w:rPr>
        <w:t xml:space="preserve"> and another firefighter, responded to a call for an electrical fire in a basement. According to petitioner, when they arrived at the scene, a bookshelf </w:t>
      </w:r>
      <w:r w:rsidRPr="00AF0D0A">
        <w:rPr>
          <w:rFonts w:ascii="Times New Roman" w:hAnsi="Times New Roman"/>
          <w:sz w:val="24"/>
          <w:szCs w:val="24"/>
        </w:rPr>
        <w:lastRenderedPageBreak/>
        <w:t>was blocking the door to the basement. Therefore, the Captain asked him to retrieve additional feet of hose from the truck so they could access another entrance to the basement to reach the fire. The truck was parked at the bottom of the driveway, about one hundred feet from the building. As he returned with the extra feet of hose, petitioner stated he twisted his ankle and fell on the driveway. He stated that he did not recall what caused him to twist his ankle.</w:t>
      </w:r>
    </w:p>
    <w:p w14:paraId="510E5A56" w14:textId="77777777" w:rsidR="00AF0D0A" w:rsidRPr="00AF0D0A" w:rsidRDefault="00AF0D0A" w:rsidP="00AF0D0A">
      <w:pPr>
        <w:pStyle w:val="NoSpacing"/>
        <w:ind w:left="720"/>
        <w:rPr>
          <w:rFonts w:ascii="Times New Roman" w:hAnsi="Times New Roman"/>
          <w:sz w:val="24"/>
          <w:szCs w:val="24"/>
        </w:rPr>
      </w:pPr>
    </w:p>
    <w:p w14:paraId="2EAC6771" w14:textId="77777777" w:rsidR="00AF0D0A" w:rsidRPr="00AF0D0A" w:rsidRDefault="00AF0D0A" w:rsidP="00AF0D0A">
      <w:pPr>
        <w:pStyle w:val="NoSpacing"/>
        <w:ind w:left="720"/>
        <w:rPr>
          <w:rFonts w:ascii="Times New Roman" w:hAnsi="Times New Roman"/>
          <w:sz w:val="24"/>
          <w:szCs w:val="24"/>
        </w:rPr>
      </w:pPr>
      <w:r w:rsidRPr="00AF0D0A">
        <w:rPr>
          <w:rFonts w:ascii="Times New Roman" w:hAnsi="Times New Roman"/>
          <w:sz w:val="24"/>
          <w:szCs w:val="24"/>
        </w:rPr>
        <w:t>***</w:t>
      </w:r>
    </w:p>
    <w:p w14:paraId="2709177E" w14:textId="77777777" w:rsidR="00AF0D0A" w:rsidRPr="00AF0D0A" w:rsidRDefault="00AF0D0A" w:rsidP="00AF0D0A">
      <w:pPr>
        <w:pStyle w:val="NoSpacing"/>
        <w:ind w:left="720"/>
        <w:rPr>
          <w:rFonts w:ascii="Times New Roman" w:hAnsi="Times New Roman"/>
          <w:sz w:val="24"/>
          <w:szCs w:val="24"/>
        </w:rPr>
      </w:pPr>
    </w:p>
    <w:p w14:paraId="22D71484" w14:textId="77777777" w:rsidR="00AF0D0A" w:rsidRPr="00AF0D0A" w:rsidRDefault="00AF0D0A" w:rsidP="00AF0D0A">
      <w:pPr>
        <w:pStyle w:val="NoSpacing"/>
        <w:ind w:left="720"/>
        <w:rPr>
          <w:rFonts w:ascii="Times New Roman" w:hAnsi="Times New Roman"/>
          <w:sz w:val="24"/>
          <w:szCs w:val="24"/>
        </w:rPr>
      </w:pPr>
      <w:r w:rsidRPr="00AF0D0A">
        <w:rPr>
          <w:rFonts w:ascii="Times New Roman" w:hAnsi="Times New Roman"/>
          <w:sz w:val="24"/>
          <w:szCs w:val="24"/>
        </w:rPr>
        <w:t>Here, petitioner has not demonstrated an ‘unexpected happening’ that caused him to injure his ankle. He testified regarding his training and the specific duties of his job which included loading and unloading equipment, laying and connecting hoses, and preparing for the delivery of water discharge lines…. The evidence reflects petitioner was performing his usual job duties when he was injured. Dragging a hose up a driveway is not an unexpected event in his line of work.”</w:t>
      </w:r>
    </w:p>
    <w:p w14:paraId="303ADA54" w14:textId="77777777" w:rsidR="00AF0D0A" w:rsidRPr="00AF0D0A" w:rsidRDefault="00AF0D0A" w:rsidP="00AF0D0A">
      <w:pPr>
        <w:pStyle w:val="NoSpacing"/>
        <w:rPr>
          <w:rFonts w:ascii="Times New Roman" w:hAnsi="Times New Roman"/>
          <w:sz w:val="24"/>
          <w:szCs w:val="24"/>
        </w:rPr>
      </w:pPr>
    </w:p>
    <w:p w14:paraId="5CD6A234" w14:textId="77777777" w:rsidR="00AF0D0A" w:rsidRPr="00AF0D0A" w:rsidRDefault="00AF0D0A" w:rsidP="00AF0D0A">
      <w:pPr>
        <w:pStyle w:val="NoSpacing"/>
        <w:rPr>
          <w:rFonts w:ascii="Times New Roman" w:hAnsi="Times New Roman"/>
          <w:sz w:val="24"/>
          <w:szCs w:val="24"/>
        </w:rPr>
      </w:pPr>
      <w:r w:rsidRPr="00AF0D0A">
        <w:rPr>
          <w:rFonts w:ascii="Times New Roman" w:hAnsi="Times New Roman"/>
          <w:b/>
          <w:sz w:val="24"/>
          <w:szCs w:val="24"/>
        </w:rPr>
        <w:t>Legal Lesson Learned</w:t>
      </w:r>
      <w:r w:rsidRPr="00AF0D0A">
        <w:rPr>
          <w:rFonts w:ascii="Times New Roman" w:hAnsi="Times New Roman"/>
          <w:sz w:val="24"/>
          <w:szCs w:val="24"/>
        </w:rPr>
        <w:t xml:space="preserve">:  Under NJ statute and case law, public employees are only entitled to enhanced retirement for traumatic injuries from “unexpecting happening” such as a police officer shot pursuing a suspect or a librarian hit by falling bookshelf while restocking books.  </w:t>
      </w:r>
    </w:p>
    <w:p w14:paraId="31198EFE" w14:textId="77777777" w:rsidR="00AF0D0A" w:rsidRPr="00AF0D0A" w:rsidRDefault="00AF0D0A" w:rsidP="00AF0D0A">
      <w:pPr>
        <w:pStyle w:val="NoSpacing"/>
        <w:rPr>
          <w:rFonts w:ascii="Times New Roman" w:hAnsi="Times New Roman"/>
          <w:sz w:val="24"/>
          <w:szCs w:val="24"/>
        </w:rPr>
      </w:pPr>
    </w:p>
    <w:p w14:paraId="3C8F618B" w14:textId="77777777" w:rsidR="00AF0D0A" w:rsidRPr="00AF0D0A" w:rsidRDefault="00AF0D0A" w:rsidP="00AF0D0A">
      <w:pPr>
        <w:pStyle w:val="NoSpacing"/>
        <w:ind w:left="720"/>
        <w:rPr>
          <w:rFonts w:ascii="Times New Roman" w:hAnsi="Times New Roman"/>
          <w:sz w:val="24"/>
          <w:szCs w:val="24"/>
        </w:rPr>
      </w:pPr>
      <w:r w:rsidRPr="00AF0D0A">
        <w:rPr>
          <w:rFonts w:ascii="Times New Roman" w:hAnsi="Times New Roman"/>
          <w:sz w:val="24"/>
          <w:szCs w:val="24"/>
        </w:rPr>
        <w:t xml:space="preserve">Note:  See NJ public employee retirement bulletin.  </w:t>
      </w:r>
      <w:hyperlink r:id="rId1093" w:history="1">
        <w:r w:rsidRPr="00AF0D0A">
          <w:rPr>
            <w:rStyle w:val="Hyperlink"/>
            <w:rFonts w:ascii="Times New Roman" w:hAnsi="Times New Roman"/>
            <w:sz w:val="24"/>
            <w:szCs w:val="24"/>
          </w:rPr>
          <w:t>https://www.nj.gov/treasury/pensions/documents/factsheets/fact15.pdf</w:t>
        </w:r>
      </w:hyperlink>
      <w:r w:rsidRPr="00AF0D0A">
        <w:rPr>
          <w:rFonts w:ascii="Times New Roman" w:hAnsi="Times New Roman"/>
          <w:sz w:val="24"/>
          <w:szCs w:val="24"/>
        </w:rPr>
        <w:t xml:space="preserve"> </w:t>
      </w:r>
    </w:p>
    <w:p w14:paraId="639DDEF8" w14:textId="77777777" w:rsidR="00AF0D0A" w:rsidRPr="00AF0D0A" w:rsidRDefault="00AF0D0A" w:rsidP="00AF0D0A">
      <w:pPr>
        <w:pStyle w:val="NoSpacing"/>
        <w:rPr>
          <w:rFonts w:ascii="Times New Roman" w:hAnsi="Times New Roman"/>
          <w:sz w:val="24"/>
          <w:szCs w:val="24"/>
        </w:rPr>
      </w:pPr>
    </w:p>
    <w:p w14:paraId="3A7FC941" w14:textId="77777777" w:rsidR="00AF0D0A" w:rsidRDefault="00AF0D0A" w:rsidP="00AF0D0A">
      <w:pPr>
        <w:pStyle w:val="NoSpacing"/>
      </w:pPr>
    </w:p>
    <w:p w14:paraId="297F019B" w14:textId="5BA60FB8" w:rsidR="00AF0D0A" w:rsidRDefault="00AF0D0A" w:rsidP="00EF1133">
      <w:pPr>
        <w:rPr>
          <w:rFonts w:ascii="Arial Black" w:hAnsi="Arial Black"/>
          <w:b/>
          <w:sz w:val="24"/>
          <w:szCs w:val="24"/>
        </w:rPr>
      </w:pPr>
      <w:r>
        <w:rPr>
          <w:rFonts w:ascii="Arial Black" w:hAnsi="Arial Black"/>
          <w:b/>
          <w:sz w:val="24"/>
          <w:szCs w:val="24"/>
        </w:rPr>
        <w:t>6-14</w:t>
      </w:r>
      <w:r w:rsidR="002A0697">
        <w:rPr>
          <w:rFonts w:ascii="Arial Black" w:hAnsi="Arial Black"/>
          <w:b/>
          <w:sz w:val="24"/>
          <w:szCs w:val="24"/>
        </w:rPr>
        <w:t>8</w:t>
      </w:r>
    </w:p>
    <w:p w14:paraId="5437276C" w14:textId="77777777" w:rsidR="00D93C20" w:rsidRPr="00FC011D" w:rsidRDefault="00D93C20" w:rsidP="00D93C20">
      <w:pPr>
        <w:rPr>
          <w:rFonts w:ascii="Arial Black" w:hAnsi="Arial Black"/>
          <w:b/>
          <w:sz w:val="28"/>
          <w:szCs w:val="28"/>
        </w:rPr>
      </w:pPr>
      <w:r>
        <w:rPr>
          <w:rFonts w:ascii="Arial Black" w:hAnsi="Arial Black"/>
          <w:b/>
          <w:sz w:val="28"/>
          <w:szCs w:val="28"/>
        </w:rPr>
        <w:t>WV: HEARING LOSS – 17.5% COAL MINER – NO ADDED PPD</w:t>
      </w:r>
    </w:p>
    <w:p w14:paraId="62F0338C" w14:textId="77777777" w:rsidR="00D93C20" w:rsidRPr="00BE4CD4" w:rsidRDefault="00D93C20" w:rsidP="00D93C20">
      <w:pPr>
        <w:pStyle w:val="NoSpacing"/>
        <w:rPr>
          <w:rFonts w:ascii="Times New Roman" w:hAnsi="Times New Roman"/>
          <w:sz w:val="24"/>
          <w:szCs w:val="24"/>
        </w:rPr>
      </w:pPr>
      <w:r w:rsidRPr="00BE4CD4">
        <w:rPr>
          <w:rFonts w:ascii="Times New Roman" w:hAnsi="Times New Roman"/>
          <w:sz w:val="24"/>
          <w:szCs w:val="24"/>
        </w:rPr>
        <w:t xml:space="preserve">On Jan. 14, 2025, in </w:t>
      </w:r>
      <w:r w:rsidRPr="00BE4CD4">
        <w:rPr>
          <w:rFonts w:ascii="Times New Roman" w:hAnsi="Times New Roman"/>
          <w:sz w:val="24"/>
          <w:szCs w:val="24"/>
          <w:u w:val="single"/>
        </w:rPr>
        <w:t>Wilburn T. Preece, Jr. v. Kermit Volunteer Fire Department</w:t>
      </w:r>
      <w:r w:rsidRPr="00BE4CD4">
        <w:rPr>
          <w:rFonts w:ascii="Times New Roman" w:hAnsi="Times New Roman"/>
          <w:sz w:val="24"/>
          <w:szCs w:val="24"/>
        </w:rPr>
        <w:t xml:space="preserve">, the Supreme Court of Appeals of West Virginia held (5 to 0) that the WV Workers’ Compensation Board properly denied the Fire Chief’s claim for progressive hearing loss on Sept. 11, 2023.  In 2015 he was awarded 17.5% permanent partial disability (PPD) from his years working as a coal miner.  He became full time Fire Chief in 2014 and in 2020 claimed 23% PPD (responded to 90% of the 300 – 500 calls per year). The Board rejected his claim on Sept. 11, 2023, after the Chief was examined by two experts – neither found fire service was clearly the cause of additional hearing loss. The Chief appealed to the WV Intermediate Court of Appeals, which upheld the Board on March 25, 2024.  </w:t>
      </w:r>
      <w:hyperlink r:id="rId1094" w:history="1">
        <w:r w:rsidRPr="00BE4CD4">
          <w:rPr>
            <w:rStyle w:val="Hyperlink"/>
            <w:rFonts w:ascii="Times New Roman" w:hAnsi="Times New Roman"/>
            <w:sz w:val="24"/>
            <w:szCs w:val="24"/>
          </w:rPr>
          <w:t>https://cases.justia.com/west-virginia/supreme-court/2025-24-266.pdf?ts=1736880091</w:t>
        </w:r>
      </w:hyperlink>
      <w:r w:rsidRPr="00BE4CD4">
        <w:rPr>
          <w:rFonts w:ascii="Times New Roman" w:hAnsi="Times New Roman"/>
          <w:sz w:val="24"/>
          <w:szCs w:val="24"/>
        </w:rPr>
        <w:t xml:space="preserve"> </w:t>
      </w:r>
    </w:p>
    <w:p w14:paraId="33F66F7B" w14:textId="77777777" w:rsidR="00D93C20" w:rsidRPr="00BE4CD4" w:rsidRDefault="00D93C20" w:rsidP="00D93C20">
      <w:pPr>
        <w:pStyle w:val="NoSpacing"/>
        <w:rPr>
          <w:rFonts w:ascii="Times New Roman" w:hAnsi="Times New Roman"/>
          <w:sz w:val="24"/>
          <w:szCs w:val="24"/>
        </w:rPr>
      </w:pPr>
    </w:p>
    <w:p w14:paraId="101F918F" w14:textId="77777777" w:rsidR="00D93C20" w:rsidRPr="00BE4CD4" w:rsidRDefault="00D93C20" w:rsidP="00D93C20">
      <w:pPr>
        <w:pStyle w:val="NoSpacing"/>
        <w:rPr>
          <w:rFonts w:ascii="Times New Roman" w:hAnsi="Times New Roman"/>
          <w:sz w:val="24"/>
          <w:szCs w:val="24"/>
        </w:rPr>
      </w:pPr>
      <w:r w:rsidRPr="00BE4CD4">
        <w:rPr>
          <w:rFonts w:ascii="Times New Roman" w:hAnsi="Times New Roman"/>
          <w:sz w:val="24"/>
          <w:szCs w:val="24"/>
        </w:rPr>
        <w:t xml:space="preserve">The State Supreme Court wrote: </w:t>
      </w:r>
    </w:p>
    <w:p w14:paraId="261FE68E" w14:textId="77777777" w:rsidR="00D93C20" w:rsidRPr="00BE4CD4" w:rsidRDefault="00D93C20" w:rsidP="00D93C20">
      <w:pPr>
        <w:pStyle w:val="NoSpacing"/>
        <w:rPr>
          <w:rFonts w:ascii="Times New Roman" w:hAnsi="Times New Roman"/>
          <w:sz w:val="24"/>
          <w:szCs w:val="24"/>
        </w:rPr>
      </w:pPr>
    </w:p>
    <w:p w14:paraId="30DC93A1" w14:textId="77777777" w:rsidR="00D93C20" w:rsidRPr="00BE4CD4" w:rsidRDefault="00D93C20" w:rsidP="00D93C20">
      <w:pPr>
        <w:pStyle w:val="NoSpacing"/>
        <w:ind w:firstLine="720"/>
        <w:rPr>
          <w:rFonts w:ascii="Times New Roman" w:hAnsi="Times New Roman"/>
          <w:sz w:val="24"/>
          <w:szCs w:val="24"/>
        </w:rPr>
      </w:pPr>
      <w:r w:rsidRPr="00BE4CD4">
        <w:rPr>
          <w:rFonts w:ascii="Times New Roman" w:hAnsi="Times New Roman"/>
          <w:sz w:val="24"/>
          <w:szCs w:val="24"/>
        </w:rPr>
        <w:t>“The claimant argues that the ICA was clearly wrong in finding that the report of Joseph</w:t>
      </w:r>
    </w:p>
    <w:p w14:paraId="19184A41"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 xml:space="preserve">Touma, M.D., was insufficient to establish that his occupation, as the fire chief, caused additional hearing loss. The claimant asserts that Dr. Touma’s report is the only credible medical evidence of record concerning whether he has additional </w:t>
      </w:r>
      <w:proofErr w:type="gramStart"/>
      <w:r w:rsidRPr="00BE4CD4">
        <w:rPr>
          <w:rFonts w:ascii="Times New Roman" w:hAnsi="Times New Roman"/>
          <w:sz w:val="24"/>
          <w:szCs w:val="24"/>
        </w:rPr>
        <w:t>noise induced</w:t>
      </w:r>
      <w:proofErr w:type="gramEnd"/>
      <w:r w:rsidRPr="00BE4CD4">
        <w:rPr>
          <w:rFonts w:ascii="Times New Roman" w:hAnsi="Times New Roman"/>
          <w:sz w:val="24"/>
          <w:szCs w:val="24"/>
        </w:rPr>
        <w:t xml:space="preserve"> impairment </w:t>
      </w:r>
      <w:proofErr w:type="gramStart"/>
      <w:r w:rsidRPr="00BE4CD4">
        <w:rPr>
          <w:rFonts w:ascii="Times New Roman" w:hAnsi="Times New Roman"/>
          <w:sz w:val="24"/>
          <w:szCs w:val="24"/>
        </w:rPr>
        <w:t>as a result of</w:t>
      </w:r>
      <w:proofErr w:type="gramEnd"/>
      <w:r w:rsidRPr="00BE4CD4">
        <w:rPr>
          <w:rFonts w:ascii="Times New Roman" w:hAnsi="Times New Roman"/>
          <w:sz w:val="24"/>
          <w:szCs w:val="24"/>
        </w:rPr>
        <w:t xml:space="preserve"> his work. As such, the claimant believes that Dr. Touma’s recommended impairment award of 23% should have been granted by the ICA. The employer counters by arguing that Dr. Touma did not consider the claimant’s nonoccupational factors that could contribute to hearing loss. Because the Board of Review found that Dr. Touma’s report was unpersuasive on the basis that he failed to consider whether the claimant’s progressive hearing loss was due to causes other than occupational noise exposure, the employer contends that the ICA correctly affirmed the Board of Review’s order.”</w:t>
      </w:r>
    </w:p>
    <w:p w14:paraId="53E54D05" w14:textId="77777777" w:rsidR="00D93C20" w:rsidRPr="00BE4CD4" w:rsidRDefault="00D93C20" w:rsidP="00D93C20">
      <w:pPr>
        <w:pStyle w:val="NoSpacing"/>
        <w:ind w:left="720"/>
        <w:rPr>
          <w:rFonts w:ascii="Times New Roman" w:hAnsi="Times New Roman"/>
          <w:sz w:val="24"/>
          <w:szCs w:val="24"/>
        </w:rPr>
      </w:pPr>
    </w:p>
    <w:p w14:paraId="1EC89581" w14:textId="77777777" w:rsidR="00D93C20" w:rsidRPr="00BE4CD4" w:rsidRDefault="00D93C20" w:rsidP="00D93C20">
      <w:pPr>
        <w:pStyle w:val="NoSpacing"/>
        <w:rPr>
          <w:rFonts w:ascii="Times New Roman" w:hAnsi="Times New Roman"/>
          <w:sz w:val="24"/>
          <w:szCs w:val="24"/>
        </w:rPr>
      </w:pPr>
      <w:r w:rsidRPr="00BE4CD4">
        <w:rPr>
          <w:rFonts w:ascii="Times New Roman" w:hAnsi="Times New Roman"/>
          <w:sz w:val="24"/>
          <w:szCs w:val="24"/>
        </w:rPr>
        <w:t>The Intermediate Court of Appeals described the Chief’s prior work history.</w:t>
      </w:r>
    </w:p>
    <w:p w14:paraId="101C43CB" w14:textId="77777777" w:rsidR="00D93C20" w:rsidRPr="00BE4CD4" w:rsidRDefault="00D93C20" w:rsidP="00D93C20">
      <w:pPr>
        <w:pStyle w:val="NoSpacing"/>
        <w:rPr>
          <w:rFonts w:ascii="Times New Roman" w:hAnsi="Times New Roman"/>
          <w:sz w:val="24"/>
          <w:szCs w:val="24"/>
        </w:rPr>
      </w:pPr>
    </w:p>
    <w:p w14:paraId="276172A1"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lastRenderedPageBreak/>
        <w:t xml:space="preserve">“In 2014, Mr. Preece began working as fire chief full-time for the KVFD. In a previous claim, Mr. Preece was granted a 17.5% PPD award in 2015 for occupational hearing loss related to his employment with another employer for whom he worked as a coal miner. Mr. Preece filed an Employees’ and Physicians’ Report of Occupational Hearing Loss dated August 25, 2020; indicating that he has occupational hearing loss due to noise exposure related to his employment at KVFD. </w:t>
      </w:r>
    </w:p>
    <w:p w14:paraId="60774096" w14:textId="77777777" w:rsidR="00D93C20" w:rsidRPr="00BE4CD4" w:rsidRDefault="00D93C20" w:rsidP="00D93C20">
      <w:pPr>
        <w:pStyle w:val="NoSpacing"/>
        <w:ind w:left="720"/>
        <w:rPr>
          <w:rFonts w:ascii="Times New Roman" w:hAnsi="Times New Roman"/>
          <w:sz w:val="24"/>
          <w:szCs w:val="24"/>
        </w:rPr>
      </w:pPr>
    </w:p>
    <w:p w14:paraId="59F599E0"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 xml:space="preserve">*** </w:t>
      </w:r>
    </w:p>
    <w:p w14:paraId="3E1D08FB" w14:textId="77777777" w:rsidR="00D93C20" w:rsidRPr="00BE4CD4" w:rsidRDefault="00D93C20" w:rsidP="00D93C20">
      <w:pPr>
        <w:pStyle w:val="NoSpacing"/>
        <w:ind w:left="720"/>
        <w:rPr>
          <w:rFonts w:ascii="Times New Roman" w:hAnsi="Times New Roman"/>
          <w:sz w:val="24"/>
          <w:szCs w:val="24"/>
        </w:rPr>
      </w:pPr>
    </w:p>
    <w:p w14:paraId="7AEE6085"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 xml:space="preserve">Mr. Preece was deposed on May 13, 2022. Mr. Preece indicated that his job as fire chief required him to be at the fire station </w:t>
      </w:r>
      <w:proofErr w:type="gramStart"/>
      <w:r w:rsidRPr="00BE4CD4">
        <w:rPr>
          <w:rFonts w:ascii="Times New Roman" w:hAnsi="Times New Roman"/>
          <w:sz w:val="24"/>
          <w:szCs w:val="24"/>
        </w:rPr>
        <w:t>on a daily basis</w:t>
      </w:r>
      <w:proofErr w:type="gramEnd"/>
      <w:r w:rsidRPr="00BE4CD4">
        <w:rPr>
          <w:rFonts w:ascii="Times New Roman" w:hAnsi="Times New Roman"/>
          <w:sz w:val="24"/>
          <w:szCs w:val="24"/>
        </w:rPr>
        <w:t>. Mr. Preece testified that he answered 90% of the calls received by the fire department and that during the calls he would be exposed to loud noise from the sirens. Mr. Preece further testified that the fire department answers between 300 and 500 calls each year and that answering a call could take between twenty and thirty minutes wherein he would be exposed to the noise from the engine and siren.</w:t>
      </w:r>
    </w:p>
    <w:p w14:paraId="25F9B844" w14:textId="77777777" w:rsidR="00D93C20" w:rsidRPr="00BE4CD4" w:rsidRDefault="00D93C20" w:rsidP="00D93C20">
      <w:pPr>
        <w:pStyle w:val="NoSpacing"/>
        <w:ind w:left="720"/>
        <w:rPr>
          <w:rFonts w:ascii="Times New Roman" w:hAnsi="Times New Roman"/>
          <w:sz w:val="24"/>
          <w:szCs w:val="24"/>
        </w:rPr>
      </w:pPr>
    </w:p>
    <w:p w14:paraId="781EDC8B"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w:t>
      </w:r>
    </w:p>
    <w:p w14:paraId="52FFCA83"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Mr. Preece was evaluated by David Phillips, M.D., who drafted a report dated</w:t>
      </w:r>
    </w:p>
    <w:p w14:paraId="3A08F3E8"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December 14, 2022. Dr. Phillips found that Mr. Preece had a total of 22% whole person</w:t>
      </w:r>
    </w:p>
    <w:p w14:paraId="0481EFD7"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impairment (“WPI”) related to hearing loss. Dr. Phillips noted that Mr. Preece has a</w:t>
      </w:r>
    </w:p>
    <w:p w14:paraId="07DAB572"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medical history of diabetes, hypertension, and elevated cholesterol, all of which can</w:t>
      </w:r>
    </w:p>
    <w:p w14:paraId="6C6F7B93"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contribute to progressive hearing loss. Thus, Dr. Phillips attributed 17.5% of Mr. Preece’s</w:t>
      </w:r>
    </w:p>
    <w:p w14:paraId="0BE4BA34"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hearing loss to prior mining occupational noise exposure and 4.5% to nonoccupational</w:t>
      </w:r>
    </w:p>
    <w:p w14:paraId="60C823D9"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 xml:space="preserve">factors. Dr. Philips did not acknowledge Mr. Preece’s employment at KVFD or </w:t>
      </w:r>
      <w:proofErr w:type="gramStart"/>
      <w:r w:rsidRPr="00BE4CD4">
        <w:rPr>
          <w:rFonts w:ascii="Times New Roman" w:hAnsi="Times New Roman"/>
          <w:sz w:val="24"/>
          <w:szCs w:val="24"/>
        </w:rPr>
        <w:t>opine about</w:t>
      </w:r>
      <w:proofErr w:type="gramEnd"/>
      <w:r w:rsidRPr="00BE4CD4">
        <w:rPr>
          <w:rFonts w:ascii="Times New Roman" w:hAnsi="Times New Roman"/>
          <w:sz w:val="24"/>
          <w:szCs w:val="24"/>
        </w:rPr>
        <w:t xml:space="preserve"> any potential impairment related to noise exposure from KVFD. </w:t>
      </w:r>
    </w:p>
    <w:p w14:paraId="79141631" w14:textId="77777777" w:rsidR="00D93C20" w:rsidRPr="00BE4CD4" w:rsidRDefault="00D93C20" w:rsidP="00D93C20">
      <w:pPr>
        <w:pStyle w:val="NoSpacing"/>
        <w:ind w:left="720"/>
        <w:rPr>
          <w:rFonts w:ascii="Times New Roman" w:hAnsi="Times New Roman"/>
          <w:sz w:val="24"/>
          <w:szCs w:val="24"/>
        </w:rPr>
      </w:pPr>
    </w:p>
    <w:p w14:paraId="12A45841"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On March 29, 2023, Mr. Preece was examined by Joseph Touma, M.D. Dr. Touma found that Mr. Preece had a total of 23% WPI for hearing loss related to occupational noise exposure. Dr. Touma’s report indicates that adjustments were made for non-noise related</w:t>
      </w:r>
    </w:p>
    <w:p w14:paraId="45DA723B"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impairment, but the report does not give any further details regarding those adjustments.</w:t>
      </w:r>
    </w:p>
    <w:p w14:paraId="685D193F"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Dr. Touma opined that Mr. Preece’s worsening hearing loss “may” be due to subsequent</w:t>
      </w:r>
    </w:p>
    <w:p w14:paraId="569E8198"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noise exposure from his new work environment with KVFD. Dr. Touma further opined</w:t>
      </w:r>
    </w:p>
    <w:p w14:paraId="19DE79CA" w14:textId="77777777" w:rsidR="00D93C20" w:rsidRPr="00BE4CD4" w:rsidRDefault="00D93C20" w:rsidP="00D93C20">
      <w:pPr>
        <w:pStyle w:val="NoSpacing"/>
        <w:ind w:left="720"/>
        <w:rPr>
          <w:rFonts w:ascii="Times New Roman" w:hAnsi="Times New Roman"/>
          <w:sz w:val="24"/>
          <w:szCs w:val="24"/>
        </w:rPr>
      </w:pPr>
      <w:r w:rsidRPr="00BE4CD4">
        <w:rPr>
          <w:rFonts w:ascii="Times New Roman" w:hAnsi="Times New Roman"/>
          <w:sz w:val="24"/>
          <w:szCs w:val="24"/>
        </w:rPr>
        <w:t xml:space="preserve">that Mr. Preece had no preexisting conditions that could have contributed to his progressive hearing </w:t>
      </w:r>
      <w:proofErr w:type="gramStart"/>
      <w:r w:rsidRPr="00BE4CD4">
        <w:rPr>
          <w:rFonts w:ascii="Times New Roman" w:hAnsi="Times New Roman"/>
          <w:sz w:val="24"/>
          <w:szCs w:val="24"/>
        </w:rPr>
        <w:t>loss.”</w:t>
      </w:r>
      <w:proofErr w:type="gramEnd"/>
      <w:r w:rsidRPr="00BE4CD4">
        <w:rPr>
          <w:rFonts w:ascii="Times New Roman" w:hAnsi="Times New Roman"/>
          <w:sz w:val="24"/>
          <w:szCs w:val="24"/>
        </w:rPr>
        <w:t xml:space="preserve"> </w:t>
      </w:r>
      <w:hyperlink r:id="rId1095" w:history="1">
        <w:r w:rsidRPr="00BE4CD4">
          <w:rPr>
            <w:rStyle w:val="Hyperlink"/>
            <w:rFonts w:ascii="Times New Roman" w:hAnsi="Times New Roman"/>
            <w:sz w:val="24"/>
            <w:szCs w:val="24"/>
          </w:rPr>
          <w:t>https://www.courtswv.gov/sites/default/pubfilesmnt/2024-03/23-ICA-446_MD.pdf</w:t>
        </w:r>
      </w:hyperlink>
      <w:r w:rsidRPr="00BE4CD4">
        <w:rPr>
          <w:rFonts w:ascii="Times New Roman" w:hAnsi="Times New Roman"/>
          <w:sz w:val="24"/>
          <w:szCs w:val="24"/>
        </w:rPr>
        <w:t xml:space="preserve"> </w:t>
      </w:r>
    </w:p>
    <w:p w14:paraId="06F2FE7F" w14:textId="77777777" w:rsidR="00D93C20" w:rsidRPr="00BE4CD4" w:rsidRDefault="00D93C20" w:rsidP="00D93C20">
      <w:pPr>
        <w:pStyle w:val="NoSpacing"/>
        <w:rPr>
          <w:rFonts w:ascii="Times New Roman" w:hAnsi="Times New Roman"/>
          <w:sz w:val="24"/>
          <w:szCs w:val="24"/>
        </w:rPr>
      </w:pPr>
    </w:p>
    <w:p w14:paraId="331A05E2" w14:textId="77777777" w:rsidR="00D93C20" w:rsidRPr="00BE4CD4" w:rsidRDefault="00D93C20" w:rsidP="00D93C20">
      <w:pPr>
        <w:pStyle w:val="NoSpacing"/>
        <w:ind w:left="720"/>
        <w:rPr>
          <w:rFonts w:ascii="Times New Roman" w:hAnsi="Times New Roman"/>
          <w:sz w:val="24"/>
          <w:szCs w:val="24"/>
        </w:rPr>
      </w:pPr>
    </w:p>
    <w:p w14:paraId="08608E57" w14:textId="77777777" w:rsidR="00D93C20" w:rsidRPr="00BE4CD4" w:rsidRDefault="00D93C20" w:rsidP="00D93C20">
      <w:pPr>
        <w:pStyle w:val="NoSpacing"/>
        <w:rPr>
          <w:rFonts w:ascii="Times New Roman" w:hAnsi="Times New Roman"/>
          <w:b/>
          <w:bCs/>
          <w:sz w:val="24"/>
          <w:szCs w:val="24"/>
        </w:rPr>
      </w:pPr>
      <w:r w:rsidRPr="00BE4CD4">
        <w:rPr>
          <w:rFonts w:ascii="Times New Roman" w:hAnsi="Times New Roman"/>
          <w:b/>
          <w:sz w:val="24"/>
          <w:szCs w:val="24"/>
        </w:rPr>
        <w:t xml:space="preserve">Legal Lesson Learned: Hearing loss is clearly an issue in the fire service; wearing hearing protection on all emergency runs should be mandatory.  To prove workplace loss, claimants should retain an expert who will record load noise exposure at fire and other scenes. </w:t>
      </w:r>
    </w:p>
    <w:p w14:paraId="64F1A625" w14:textId="77777777" w:rsidR="00AF0D0A" w:rsidRDefault="00AF0D0A" w:rsidP="00EF1133">
      <w:pPr>
        <w:rPr>
          <w:rFonts w:ascii="Arial Black" w:hAnsi="Arial Black"/>
          <w:b/>
          <w:sz w:val="24"/>
          <w:szCs w:val="24"/>
        </w:rPr>
      </w:pPr>
    </w:p>
    <w:p w14:paraId="32521D32" w14:textId="77777777" w:rsidR="00AF0D0A" w:rsidRDefault="00AF0D0A" w:rsidP="00EF1133">
      <w:pPr>
        <w:rPr>
          <w:rFonts w:ascii="Arial Black" w:hAnsi="Arial Black"/>
          <w:b/>
          <w:sz w:val="24"/>
          <w:szCs w:val="24"/>
        </w:rPr>
      </w:pPr>
    </w:p>
    <w:p w14:paraId="30499DCB" w14:textId="1EA3752D" w:rsidR="006634F6" w:rsidRDefault="006634F6" w:rsidP="00EF1133">
      <w:pPr>
        <w:rPr>
          <w:rFonts w:ascii="Arial Black" w:hAnsi="Arial Black"/>
          <w:b/>
          <w:sz w:val="24"/>
          <w:szCs w:val="24"/>
        </w:rPr>
      </w:pPr>
      <w:r>
        <w:rPr>
          <w:rFonts w:ascii="Arial Black" w:hAnsi="Arial Black"/>
          <w:b/>
          <w:sz w:val="24"/>
          <w:szCs w:val="24"/>
        </w:rPr>
        <w:t>6-14</w:t>
      </w:r>
      <w:r w:rsidR="002A0697">
        <w:rPr>
          <w:rFonts w:ascii="Arial Black" w:hAnsi="Arial Black"/>
          <w:b/>
          <w:sz w:val="24"/>
          <w:szCs w:val="24"/>
        </w:rPr>
        <w:t>7</w:t>
      </w:r>
    </w:p>
    <w:p w14:paraId="3E73A28D" w14:textId="77777777" w:rsidR="00BF6110" w:rsidRPr="00FA067C" w:rsidRDefault="00BF6110" w:rsidP="00BF6110">
      <w:pPr>
        <w:pStyle w:val="NoSpacing"/>
        <w:rPr>
          <w:rFonts w:ascii="Arial Black" w:hAnsi="Arial Black"/>
          <w:b/>
          <w:sz w:val="28"/>
          <w:szCs w:val="28"/>
        </w:rPr>
      </w:pPr>
      <w:r>
        <w:rPr>
          <w:rFonts w:ascii="Arial Black" w:hAnsi="Arial Black"/>
          <w:b/>
          <w:sz w:val="28"/>
          <w:szCs w:val="28"/>
        </w:rPr>
        <w:t>PA: LUNG CANCER – CITY PAY WIFE 10% PENALTY</w:t>
      </w:r>
    </w:p>
    <w:p w14:paraId="752FCA0B" w14:textId="77777777" w:rsidR="00BF6110" w:rsidRDefault="00BF6110" w:rsidP="00BF6110">
      <w:pPr>
        <w:pStyle w:val="NoSpacing"/>
        <w:rPr>
          <w:b/>
        </w:rPr>
      </w:pPr>
    </w:p>
    <w:p w14:paraId="45670B7F" w14:textId="77777777" w:rsidR="00BF6110" w:rsidRPr="00BF6110" w:rsidRDefault="00BF6110" w:rsidP="00BF6110">
      <w:pPr>
        <w:pStyle w:val="NoSpacing"/>
        <w:rPr>
          <w:rFonts w:ascii="Times New Roman" w:hAnsi="Times New Roman"/>
          <w:bCs/>
          <w:sz w:val="24"/>
          <w:szCs w:val="24"/>
        </w:rPr>
      </w:pPr>
      <w:r w:rsidRPr="00BF6110">
        <w:rPr>
          <w:rFonts w:ascii="Times New Roman" w:hAnsi="Times New Roman"/>
          <w:sz w:val="24"/>
          <w:szCs w:val="24"/>
        </w:rPr>
        <w:t xml:space="preserve">On Dec. 24, 2024, in </w:t>
      </w:r>
      <w:r w:rsidRPr="00BF6110">
        <w:rPr>
          <w:rFonts w:ascii="Times New Roman" w:hAnsi="Times New Roman"/>
          <w:sz w:val="24"/>
          <w:szCs w:val="24"/>
          <w:u w:val="single"/>
        </w:rPr>
        <w:t>City of Philadelphia v. Wayne Deloatch and Independence Blue Cross</w:t>
      </w:r>
      <w:r w:rsidRPr="00BF6110">
        <w:rPr>
          <w:rFonts w:ascii="Times New Roman" w:hAnsi="Times New Roman"/>
          <w:sz w:val="24"/>
          <w:szCs w:val="24"/>
        </w:rPr>
        <w:t xml:space="preserve"> (Workers’ Compensation Appeal Board), the Commonwealth Court of Pennsylvania held (3 to 0) that City must reimburse the firefighter’s insurance company $124,680.22 for medical benefits paid to the firefighter, plus interest back to 2014, and also pay a 10% penalty to the wife of the deceased firefighter.  The Court referenced the PA </w:t>
      </w:r>
      <w:r w:rsidRPr="00BF6110">
        <w:rPr>
          <w:rFonts w:ascii="Times New Roman" w:hAnsi="Times New Roman"/>
          <w:sz w:val="24"/>
          <w:szCs w:val="24"/>
        </w:rPr>
        <w:lastRenderedPageBreak/>
        <w:t>statutory presumption law (July 7, 2011) in holding that the firefighter’s wife will receive 51% of Deloatch’s average weekly wage as of his death on September 26, 2019.</w:t>
      </w:r>
    </w:p>
    <w:p w14:paraId="1D30D896" w14:textId="77777777" w:rsidR="00BF6110" w:rsidRPr="00BF6110" w:rsidRDefault="00BF6110" w:rsidP="00BF6110">
      <w:pPr>
        <w:pStyle w:val="NoSpacing"/>
        <w:rPr>
          <w:rFonts w:ascii="Times New Roman" w:hAnsi="Times New Roman"/>
          <w:bCs/>
          <w:sz w:val="24"/>
          <w:szCs w:val="24"/>
        </w:rPr>
      </w:pPr>
    </w:p>
    <w:p w14:paraId="75F1B6F9" w14:textId="77777777" w:rsidR="00BF6110" w:rsidRPr="00BF6110" w:rsidRDefault="00BF6110" w:rsidP="00BF6110">
      <w:pPr>
        <w:pStyle w:val="NoSpacing"/>
        <w:rPr>
          <w:rFonts w:ascii="Times New Roman" w:hAnsi="Times New Roman"/>
          <w:bCs/>
          <w:sz w:val="24"/>
          <w:szCs w:val="24"/>
        </w:rPr>
      </w:pPr>
      <w:r w:rsidRPr="00BF6110">
        <w:rPr>
          <w:rFonts w:ascii="Times New Roman" w:hAnsi="Times New Roman"/>
          <w:sz w:val="24"/>
          <w:szCs w:val="24"/>
        </w:rPr>
        <w:t>The Court wrote:</w:t>
      </w:r>
    </w:p>
    <w:p w14:paraId="55056F68" w14:textId="77777777" w:rsidR="00BF6110" w:rsidRPr="00BF6110" w:rsidRDefault="00BF6110" w:rsidP="00BF6110">
      <w:pPr>
        <w:pStyle w:val="NoSpacing"/>
        <w:rPr>
          <w:rFonts w:ascii="Times New Roman" w:hAnsi="Times New Roman"/>
          <w:bCs/>
          <w:sz w:val="24"/>
          <w:szCs w:val="24"/>
        </w:rPr>
      </w:pPr>
    </w:p>
    <w:p w14:paraId="391B417C" w14:textId="4C8FD9D9" w:rsidR="006634F6" w:rsidRPr="00BF6110" w:rsidRDefault="00BF6110" w:rsidP="00BF6110">
      <w:pPr>
        <w:ind w:left="720"/>
        <w:rPr>
          <w:rFonts w:ascii="Times New Roman" w:hAnsi="Times New Roman"/>
          <w:b/>
          <w:sz w:val="24"/>
          <w:szCs w:val="24"/>
        </w:rPr>
      </w:pPr>
      <w:r w:rsidRPr="00BF6110">
        <w:rPr>
          <w:rFonts w:ascii="Times New Roman" w:hAnsi="Times New Roman"/>
          <w:sz w:val="24"/>
          <w:szCs w:val="24"/>
        </w:rPr>
        <w:t xml:space="preserve">“Accordingly, because Insurer is entitled to interest on its subrogation lien, and the subrogation lien was established as of October 21, 2014, when Insurer introduced it before WCJ [Worker’s Comp Judge] Timm, WCJ Lawrence did not err by ordering Employer to pay interest on the subrogation lien from October 21, 2014.” </w:t>
      </w:r>
      <w:hyperlink r:id="rId1096" w:history="1">
        <w:r w:rsidRPr="00BF6110">
          <w:rPr>
            <w:rStyle w:val="Hyperlink"/>
            <w:rFonts w:ascii="Times New Roman" w:hAnsi="Times New Roman"/>
            <w:sz w:val="24"/>
            <w:szCs w:val="24"/>
          </w:rPr>
          <w:t>https://cases.justia.com/pennsylvania/commonwealth-court/2024-541-and-589-c-d-2022.pdf?ts=1735057731</w:t>
        </w:r>
      </w:hyperlink>
    </w:p>
    <w:p w14:paraId="3445CF49" w14:textId="77777777" w:rsidR="00922A0A" w:rsidRDefault="00922A0A" w:rsidP="00922A0A">
      <w:pPr>
        <w:pStyle w:val="NoSpacing"/>
        <w:ind w:left="720"/>
        <w:rPr>
          <w:bCs/>
        </w:rPr>
      </w:pPr>
    </w:p>
    <w:p w14:paraId="752DE9A6" w14:textId="77777777" w:rsidR="00922A0A" w:rsidRPr="00922A0A" w:rsidRDefault="00922A0A" w:rsidP="00922A0A">
      <w:pPr>
        <w:pStyle w:val="NoSpacing"/>
        <w:rPr>
          <w:rFonts w:ascii="Times New Roman" w:hAnsi="Times New Roman"/>
          <w:bCs/>
          <w:sz w:val="24"/>
          <w:szCs w:val="24"/>
        </w:rPr>
      </w:pPr>
      <w:r w:rsidRPr="00922A0A">
        <w:rPr>
          <w:rFonts w:ascii="Times New Roman" w:hAnsi="Times New Roman"/>
          <w:sz w:val="24"/>
          <w:szCs w:val="24"/>
        </w:rPr>
        <w:t>HOLDING:</w:t>
      </w:r>
    </w:p>
    <w:p w14:paraId="7D69861A" w14:textId="77777777" w:rsidR="00922A0A" w:rsidRPr="00922A0A" w:rsidRDefault="00922A0A" w:rsidP="00922A0A">
      <w:pPr>
        <w:pStyle w:val="NoSpacing"/>
        <w:rPr>
          <w:rFonts w:ascii="Times New Roman" w:hAnsi="Times New Roman"/>
          <w:bCs/>
          <w:sz w:val="24"/>
          <w:szCs w:val="24"/>
        </w:rPr>
      </w:pPr>
    </w:p>
    <w:p w14:paraId="544A9CF0" w14:textId="77777777" w:rsidR="00922A0A" w:rsidRPr="00922A0A" w:rsidRDefault="00922A0A" w:rsidP="00922A0A">
      <w:pPr>
        <w:pStyle w:val="NoSpacing"/>
        <w:ind w:left="720"/>
        <w:rPr>
          <w:rFonts w:ascii="Times New Roman" w:hAnsi="Times New Roman"/>
          <w:bCs/>
          <w:sz w:val="24"/>
          <w:szCs w:val="24"/>
        </w:rPr>
      </w:pPr>
      <w:r w:rsidRPr="00922A0A">
        <w:rPr>
          <w:rFonts w:ascii="Times New Roman" w:hAnsi="Times New Roman"/>
          <w:sz w:val="24"/>
          <w:szCs w:val="24"/>
        </w:rPr>
        <w:t>“Once this Court reversed the Board’s opinion and order, the granting of the underlying Claim Petition was reinstated; thus, the ‘entitlement to medical expenses or a lien for</w:t>
      </w:r>
    </w:p>
    <w:p w14:paraId="4D738904" w14:textId="77777777" w:rsidR="00922A0A" w:rsidRPr="00922A0A" w:rsidRDefault="00922A0A" w:rsidP="00922A0A">
      <w:pPr>
        <w:pStyle w:val="NoSpacing"/>
        <w:ind w:left="720"/>
        <w:rPr>
          <w:rFonts w:ascii="Times New Roman" w:hAnsi="Times New Roman"/>
          <w:bCs/>
          <w:sz w:val="24"/>
          <w:szCs w:val="24"/>
        </w:rPr>
      </w:pPr>
      <w:r w:rsidRPr="00922A0A">
        <w:rPr>
          <w:rFonts w:ascii="Times New Roman" w:hAnsi="Times New Roman"/>
          <w:sz w:val="24"/>
          <w:szCs w:val="24"/>
        </w:rPr>
        <w:t xml:space="preserve">medical expenses paid on [Deloatch’s] behalf’ was also reinstated…. Accordingly, Insurer did not waive its right to seek subrogation by not appealing from the Board’s December 11, </w:t>
      </w:r>
      <w:proofErr w:type="gramStart"/>
      <w:r w:rsidRPr="00922A0A">
        <w:rPr>
          <w:rFonts w:ascii="Times New Roman" w:hAnsi="Times New Roman"/>
          <w:sz w:val="24"/>
          <w:szCs w:val="24"/>
        </w:rPr>
        <w:t>2018</w:t>
      </w:r>
      <w:proofErr w:type="gramEnd"/>
      <w:r w:rsidRPr="00922A0A">
        <w:rPr>
          <w:rFonts w:ascii="Times New Roman" w:hAnsi="Times New Roman"/>
          <w:sz w:val="24"/>
          <w:szCs w:val="24"/>
        </w:rPr>
        <w:t xml:space="preserve"> opinion and order.”</w:t>
      </w:r>
    </w:p>
    <w:p w14:paraId="645C3285" w14:textId="77777777" w:rsidR="00922A0A" w:rsidRPr="00922A0A" w:rsidRDefault="00922A0A" w:rsidP="00922A0A">
      <w:pPr>
        <w:pStyle w:val="NoSpacing"/>
        <w:ind w:left="720"/>
        <w:rPr>
          <w:rFonts w:ascii="Times New Roman" w:hAnsi="Times New Roman"/>
          <w:bCs/>
          <w:sz w:val="24"/>
          <w:szCs w:val="24"/>
        </w:rPr>
      </w:pPr>
    </w:p>
    <w:p w14:paraId="400B10E0" w14:textId="77777777" w:rsidR="00922A0A" w:rsidRPr="00922A0A" w:rsidRDefault="00922A0A" w:rsidP="00922A0A">
      <w:pPr>
        <w:pStyle w:val="NoSpacing"/>
        <w:rPr>
          <w:rFonts w:ascii="Times New Roman" w:hAnsi="Times New Roman"/>
          <w:b/>
          <w:sz w:val="24"/>
          <w:szCs w:val="24"/>
        </w:rPr>
      </w:pPr>
      <w:r w:rsidRPr="00922A0A">
        <w:rPr>
          <w:rFonts w:ascii="Times New Roman" w:hAnsi="Times New Roman"/>
          <w:b/>
          <w:sz w:val="24"/>
          <w:szCs w:val="24"/>
        </w:rPr>
        <w:t xml:space="preserve">Legal Lesson Learned:  Employers continue to litigate firefighter cancer claims despite a statutory presumption. </w:t>
      </w:r>
    </w:p>
    <w:p w14:paraId="0393452F" w14:textId="77777777" w:rsidR="00922A0A" w:rsidRPr="00922A0A" w:rsidRDefault="00922A0A" w:rsidP="00922A0A">
      <w:pPr>
        <w:pStyle w:val="NoSpacing"/>
        <w:ind w:left="720"/>
        <w:rPr>
          <w:rFonts w:ascii="Times New Roman" w:hAnsi="Times New Roman"/>
          <w:bCs/>
          <w:sz w:val="24"/>
          <w:szCs w:val="24"/>
        </w:rPr>
      </w:pPr>
    </w:p>
    <w:p w14:paraId="2327851C" w14:textId="77777777" w:rsidR="009C6350" w:rsidRDefault="009C6350" w:rsidP="00EF1133">
      <w:pPr>
        <w:rPr>
          <w:rFonts w:ascii="Arial Black" w:hAnsi="Arial Black"/>
          <w:b/>
          <w:sz w:val="24"/>
          <w:szCs w:val="24"/>
        </w:rPr>
      </w:pPr>
    </w:p>
    <w:p w14:paraId="0AEEE8B9" w14:textId="67D3D261" w:rsidR="003B4DA5" w:rsidRDefault="003B4DA5" w:rsidP="00EF1133">
      <w:pPr>
        <w:rPr>
          <w:rFonts w:ascii="Arial Black" w:hAnsi="Arial Black"/>
          <w:b/>
          <w:sz w:val="24"/>
          <w:szCs w:val="24"/>
        </w:rPr>
      </w:pPr>
      <w:r>
        <w:rPr>
          <w:rFonts w:ascii="Arial Black" w:hAnsi="Arial Black"/>
          <w:b/>
          <w:sz w:val="24"/>
          <w:szCs w:val="24"/>
        </w:rPr>
        <w:t>6-14</w:t>
      </w:r>
      <w:r w:rsidR="002A0697">
        <w:rPr>
          <w:rFonts w:ascii="Arial Black" w:hAnsi="Arial Black"/>
          <w:b/>
          <w:sz w:val="24"/>
          <w:szCs w:val="24"/>
        </w:rPr>
        <w:t>6</w:t>
      </w:r>
    </w:p>
    <w:p w14:paraId="20E82761" w14:textId="77777777" w:rsidR="002972FF" w:rsidRPr="00CB1548" w:rsidRDefault="002972FF" w:rsidP="002972FF">
      <w:pPr>
        <w:pStyle w:val="NoSpacing"/>
        <w:rPr>
          <w:rFonts w:ascii="Arial Black" w:hAnsi="Arial Black"/>
          <w:b/>
          <w:sz w:val="28"/>
          <w:szCs w:val="28"/>
        </w:rPr>
      </w:pPr>
      <w:r>
        <w:rPr>
          <w:rFonts w:ascii="Arial Black" w:hAnsi="Arial Black"/>
          <w:b/>
          <w:sz w:val="28"/>
          <w:szCs w:val="28"/>
        </w:rPr>
        <w:t xml:space="preserve">IL: PROSTATE CANCER – NO WORKER’S COMP – FAMILY HISTORY – CONFLICTING EXPERTS / SCIENTIFIC STUDIES </w:t>
      </w:r>
    </w:p>
    <w:p w14:paraId="053B73B5" w14:textId="77777777" w:rsidR="002972FF" w:rsidRDefault="002972FF" w:rsidP="002972FF">
      <w:pPr>
        <w:pStyle w:val="NoSpacing"/>
        <w:ind w:firstLine="720"/>
        <w:rPr>
          <w:b/>
        </w:rPr>
      </w:pPr>
    </w:p>
    <w:p w14:paraId="09B1789E" w14:textId="54D29476" w:rsidR="003B4DA5" w:rsidRPr="00C1151D" w:rsidRDefault="002972FF" w:rsidP="002972FF">
      <w:pPr>
        <w:rPr>
          <w:rStyle w:val="Hyperlink"/>
          <w:rFonts w:ascii="Times New Roman" w:hAnsi="Times New Roman"/>
          <w:sz w:val="24"/>
          <w:szCs w:val="24"/>
        </w:rPr>
      </w:pPr>
      <w:r w:rsidRPr="00C1151D">
        <w:rPr>
          <w:rFonts w:ascii="Times New Roman" w:hAnsi="Times New Roman"/>
          <w:sz w:val="24"/>
          <w:szCs w:val="24"/>
        </w:rPr>
        <w:t xml:space="preserve">On Nov. 22, 2024, in </w:t>
      </w:r>
      <w:r w:rsidRPr="00C1151D">
        <w:rPr>
          <w:rFonts w:ascii="Times New Roman" w:hAnsi="Times New Roman"/>
          <w:sz w:val="24"/>
          <w:szCs w:val="24"/>
          <w:u w:val="single"/>
        </w:rPr>
        <w:t>Thomas Mangiameli v. The Illinois Workers’ Compensation Commission, et al. (Village of Hoffman Estates)</w:t>
      </w:r>
      <w:r w:rsidRPr="00C1151D">
        <w:rPr>
          <w:rFonts w:ascii="Times New Roman" w:hAnsi="Times New Roman"/>
          <w:sz w:val="24"/>
          <w:szCs w:val="24"/>
        </w:rPr>
        <w:t xml:space="preserve">, the Appellate Court of Illinois, First District, Worker’s Compensation Di vision (held 2 to 1, unpublished decision) held that the retired firefighter was properly denied worker’s comp. for his prostate cancer (cancer detected in 2017; he retired in 2018).  The Court wrote: “We agree with the dissent that the Act affords special protections to  firefighters ‘because Illinois values the vital services provided by them and because it is understood that, due to the nature of their work, they come into contact with carcinogens, chemicals, pathogens, and other substances which are detrimental to their health and to which the ordinary person is not regularly exposed.’ We note, however, that </w:t>
      </w:r>
      <w:proofErr w:type="gramStart"/>
      <w:r w:rsidRPr="00C1151D">
        <w:rPr>
          <w:rFonts w:ascii="Times New Roman" w:hAnsi="Times New Roman"/>
          <w:sz w:val="24"/>
          <w:szCs w:val="24"/>
        </w:rPr>
        <w:t>the</w:t>
      </w:r>
      <w:r w:rsidRPr="00C1151D">
        <w:rPr>
          <w:rFonts w:ascii="Times New Roman" w:hAnsi="Times New Roman"/>
          <w:bCs/>
          <w:sz w:val="24"/>
          <w:szCs w:val="24"/>
        </w:rPr>
        <w:t xml:space="preserve"> </w:t>
      </w:r>
      <w:r w:rsidRPr="00C1151D">
        <w:rPr>
          <w:rFonts w:ascii="Times New Roman" w:hAnsi="Times New Roman"/>
          <w:sz w:val="24"/>
          <w:szCs w:val="24"/>
        </w:rPr>
        <w:t>scientific</w:t>
      </w:r>
      <w:proofErr w:type="gramEnd"/>
      <w:r w:rsidRPr="00C1151D">
        <w:rPr>
          <w:rFonts w:ascii="Times New Roman" w:hAnsi="Times New Roman"/>
          <w:sz w:val="24"/>
          <w:szCs w:val="24"/>
        </w:rPr>
        <w:t xml:space="preserve"> studies, </w:t>
      </w:r>
      <w:proofErr w:type="gramStart"/>
      <w:r w:rsidRPr="00C1151D">
        <w:rPr>
          <w:rFonts w:ascii="Times New Roman" w:hAnsi="Times New Roman"/>
          <w:sz w:val="24"/>
          <w:szCs w:val="24"/>
        </w:rPr>
        <w:t>at this point in time</w:t>
      </w:r>
      <w:proofErr w:type="gramEnd"/>
      <w:r w:rsidRPr="00C1151D">
        <w:rPr>
          <w:rFonts w:ascii="Times New Roman" w:hAnsi="Times New Roman"/>
          <w:sz w:val="24"/>
          <w:szCs w:val="24"/>
        </w:rPr>
        <w:t xml:space="preserve">, regarding the correlation between the development of prostate cancer and the occupation of a firefighter are evolving. We reiterate that, in the present case, claimant had a family history of prostate cancer which doubled his risk for developing the cancer. Under these circumstances, we will not usurp the function of the Commission to weigh the evidence and make credibility determinations.” </w:t>
      </w:r>
      <w:hyperlink r:id="rId1097" w:history="1">
        <w:r w:rsidRPr="00C1151D">
          <w:rPr>
            <w:rStyle w:val="Hyperlink"/>
            <w:rFonts w:ascii="Times New Roman" w:hAnsi="Times New Roman"/>
            <w:sz w:val="24"/>
            <w:szCs w:val="24"/>
          </w:rPr>
          <w:t>https://ilcourtsaudio.blob.core.windows.net/antilles-resources/resources/19fc956b-c59f-4d15-932a-20de8f3f1feb/Mangiameli%20v.%20Illinois%20Workers%27%20Compensation%20Comm%27n,%202024%20IL%20App%20(1st)%20231397WC-U.pdf</w:t>
        </w:r>
      </w:hyperlink>
    </w:p>
    <w:p w14:paraId="478E3430" w14:textId="4AF28117" w:rsidR="00C1151D" w:rsidRPr="00C1151D" w:rsidRDefault="00C1151D" w:rsidP="00BE6A72">
      <w:pPr>
        <w:pStyle w:val="NoSpacing"/>
        <w:rPr>
          <w:rFonts w:ascii="Times New Roman" w:hAnsi="Times New Roman"/>
          <w:bCs/>
          <w:sz w:val="24"/>
          <w:szCs w:val="24"/>
        </w:rPr>
      </w:pPr>
      <w:r w:rsidRPr="00C1151D">
        <w:rPr>
          <w:rFonts w:ascii="Times New Roman" w:hAnsi="Times New Roman"/>
          <w:bCs/>
          <w:sz w:val="24"/>
          <w:szCs w:val="24"/>
        </w:rPr>
        <w:t>Dissent.</w:t>
      </w:r>
    </w:p>
    <w:p w14:paraId="604EBC82" w14:textId="77777777" w:rsidR="00C1151D" w:rsidRPr="00C1151D" w:rsidRDefault="00C1151D" w:rsidP="00BE6A72">
      <w:pPr>
        <w:pStyle w:val="NoSpacing"/>
        <w:rPr>
          <w:rFonts w:ascii="Times New Roman" w:hAnsi="Times New Roman"/>
          <w:b/>
          <w:sz w:val="24"/>
          <w:szCs w:val="24"/>
        </w:rPr>
      </w:pPr>
    </w:p>
    <w:p w14:paraId="384EABBF" w14:textId="3574E3AA" w:rsidR="00BE6A72" w:rsidRPr="00C1151D" w:rsidRDefault="00BE6A72" w:rsidP="00BE6A72">
      <w:pPr>
        <w:pStyle w:val="NoSpacing"/>
        <w:rPr>
          <w:rFonts w:ascii="Times New Roman" w:hAnsi="Times New Roman"/>
          <w:b/>
          <w:sz w:val="24"/>
          <w:szCs w:val="24"/>
        </w:rPr>
      </w:pPr>
      <w:r w:rsidRPr="00C1151D">
        <w:rPr>
          <w:rFonts w:ascii="Times New Roman" w:hAnsi="Times New Roman"/>
          <w:b/>
          <w:sz w:val="24"/>
          <w:szCs w:val="24"/>
        </w:rPr>
        <w:t xml:space="preserve">Legal Lesson Learned: Conflicting experts and scientific studies; court won’t overturn Commission. </w:t>
      </w:r>
    </w:p>
    <w:p w14:paraId="2CFB1B2F" w14:textId="77777777" w:rsidR="00BE6A72" w:rsidRPr="00C1151D" w:rsidRDefault="00BE6A72" w:rsidP="002972FF">
      <w:pPr>
        <w:rPr>
          <w:rFonts w:ascii="Times New Roman" w:hAnsi="Times New Roman"/>
          <w:b/>
          <w:sz w:val="24"/>
          <w:szCs w:val="24"/>
        </w:rPr>
      </w:pPr>
    </w:p>
    <w:p w14:paraId="08AB4E82" w14:textId="77777777" w:rsidR="003B4DA5" w:rsidRDefault="003B4DA5" w:rsidP="00EF1133">
      <w:pPr>
        <w:rPr>
          <w:rFonts w:ascii="Arial Black" w:hAnsi="Arial Black"/>
          <w:b/>
          <w:sz w:val="24"/>
          <w:szCs w:val="24"/>
        </w:rPr>
      </w:pPr>
    </w:p>
    <w:p w14:paraId="78BDDF17" w14:textId="4EC4E100" w:rsidR="009C6350" w:rsidRDefault="009C6350" w:rsidP="00EF1133">
      <w:pPr>
        <w:rPr>
          <w:rFonts w:ascii="Arial Black" w:hAnsi="Arial Black"/>
          <w:b/>
          <w:sz w:val="24"/>
          <w:szCs w:val="24"/>
        </w:rPr>
      </w:pPr>
      <w:r>
        <w:rPr>
          <w:rFonts w:ascii="Arial Black" w:hAnsi="Arial Black"/>
          <w:b/>
          <w:sz w:val="24"/>
          <w:szCs w:val="24"/>
        </w:rPr>
        <w:t>6-14</w:t>
      </w:r>
      <w:r w:rsidR="002A0697">
        <w:rPr>
          <w:rFonts w:ascii="Arial Black" w:hAnsi="Arial Black"/>
          <w:b/>
          <w:sz w:val="24"/>
          <w:szCs w:val="24"/>
        </w:rPr>
        <w:t>5</w:t>
      </w:r>
    </w:p>
    <w:p w14:paraId="18C0D0F9" w14:textId="77777777" w:rsidR="00A25CDF" w:rsidRDefault="00A25CDF" w:rsidP="00A25CDF">
      <w:pPr>
        <w:pStyle w:val="NoSpacing"/>
        <w:rPr>
          <w:b/>
        </w:rPr>
      </w:pPr>
      <w:r>
        <w:rPr>
          <w:rFonts w:ascii="Arial Black" w:hAnsi="Arial Black"/>
          <w:b/>
          <w:sz w:val="28"/>
          <w:szCs w:val="28"/>
        </w:rPr>
        <w:t>PA: LEUKEMIA – VOL. FF GETS WORKERS COMP – DIESEL EXHAUST / BENZENE - EVEN IF FEW INTERIOR FIRES</w:t>
      </w:r>
    </w:p>
    <w:p w14:paraId="381D8D91" w14:textId="77777777" w:rsidR="00A25CDF" w:rsidRDefault="00A25CDF" w:rsidP="00A25CDF">
      <w:pPr>
        <w:pStyle w:val="NoSpacing"/>
        <w:ind w:firstLine="720"/>
        <w:rPr>
          <w:b/>
        </w:rPr>
      </w:pPr>
    </w:p>
    <w:p w14:paraId="60CCB47D" w14:textId="77777777" w:rsidR="00A25CDF" w:rsidRPr="003B4DA5" w:rsidRDefault="00A25CDF" w:rsidP="00A25CDF">
      <w:pPr>
        <w:pStyle w:val="NoSpacing"/>
        <w:rPr>
          <w:rFonts w:ascii="Times New Roman" w:hAnsi="Times New Roman"/>
          <w:sz w:val="24"/>
          <w:szCs w:val="24"/>
        </w:rPr>
      </w:pPr>
      <w:r w:rsidRPr="003B4DA5">
        <w:rPr>
          <w:rFonts w:ascii="Times New Roman" w:hAnsi="Times New Roman"/>
          <w:sz w:val="24"/>
          <w:szCs w:val="24"/>
        </w:rPr>
        <w:t xml:space="preserve">On Nov. 19, 2024, in </w:t>
      </w:r>
      <w:r w:rsidRPr="003B4DA5">
        <w:rPr>
          <w:rFonts w:ascii="Times New Roman" w:hAnsi="Times New Roman"/>
          <w:sz w:val="24"/>
          <w:szCs w:val="24"/>
          <w:u w:val="single"/>
        </w:rPr>
        <w:t>Borough of Hollidaysburg v. Paul Detwiler (Workers’ Compensation Appeal Board</w:t>
      </w:r>
      <w:r w:rsidRPr="003B4DA5">
        <w:rPr>
          <w:rFonts w:ascii="Times New Roman" w:hAnsi="Times New Roman"/>
          <w:sz w:val="24"/>
          <w:szCs w:val="24"/>
        </w:rPr>
        <w:t>), Commonwealth Court of Pennsylvania held (2 to 1) that the firefighter was properly awarded worker’s comp.  The Court wrote: “The second prong of 301(f)’s test for the presumption requires a claimant to ‘establish a direct exposure to a carcinogen referred to in [S]</w:t>
      </w:r>
      <w:proofErr w:type="spellStart"/>
      <w:r w:rsidRPr="003B4DA5">
        <w:rPr>
          <w:rFonts w:ascii="Times New Roman" w:hAnsi="Times New Roman"/>
          <w:sz w:val="24"/>
          <w:szCs w:val="24"/>
        </w:rPr>
        <w:t>ection</w:t>
      </w:r>
      <w:proofErr w:type="spellEnd"/>
      <w:r w:rsidRPr="003B4DA5">
        <w:rPr>
          <w:rFonts w:ascii="Times New Roman" w:hAnsi="Times New Roman"/>
          <w:sz w:val="24"/>
          <w:szCs w:val="24"/>
        </w:rPr>
        <w:t xml:space="preserve"> 108(r) relating to cancer by a firefighter.’ The relevant carcinogen in this case is benzene.”</w:t>
      </w:r>
    </w:p>
    <w:p w14:paraId="2834FDD2" w14:textId="77777777" w:rsidR="00A25CDF" w:rsidRPr="003B4DA5" w:rsidRDefault="00A25CDF" w:rsidP="00A25CDF">
      <w:pPr>
        <w:pStyle w:val="NoSpacing"/>
        <w:rPr>
          <w:rFonts w:ascii="Times New Roman" w:hAnsi="Times New Roman"/>
          <w:bCs/>
          <w:sz w:val="24"/>
          <w:szCs w:val="24"/>
        </w:rPr>
      </w:pPr>
      <w:hyperlink r:id="rId1098" w:history="1">
        <w:r w:rsidRPr="003B4DA5">
          <w:rPr>
            <w:rStyle w:val="Hyperlink"/>
            <w:rFonts w:ascii="Times New Roman" w:hAnsi="Times New Roman"/>
            <w:sz w:val="24"/>
            <w:szCs w:val="24"/>
          </w:rPr>
          <w:t>https://cases.justia.com/pennsylvania/commonwealth-court/2024-739-c-d-2023.pdf?ts=1732034168</w:t>
        </w:r>
      </w:hyperlink>
      <w:r w:rsidRPr="003B4DA5">
        <w:rPr>
          <w:rFonts w:ascii="Times New Roman" w:hAnsi="Times New Roman"/>
          <w:sz w:val="24"/>
          <w:szCs w:val="24"/>
        </w:rPr>
        <w:t xml:space="preserve"> </w:t>
      </w:r>
    </w:p>
    <w:p w14:paraId="6F3AF292" w14:textId="77777777" w:rsidR="003B4DA5" w:rsidRDefault="003B4DA5" w:rsidP="00EF1133">
      <w:pPr>
        <w:rPr>
          <w:rFonts w:ascii="Times New Roman" w:hAnsi="Times New Roman"/>
          <w:bCs/>
          <w:sz w:val="24"/>
          <w:szCs w:val="24"/>
        </w:rPr>
      </w:pPr>
    </w:p>
    <w:p w14:paraId="3345F1E2" w14:textId="3C85AC97" w:rsidR="003B4DA5" w:rsidRPr="003B4DA5" w:rsidRDefault="003B4DA5" w:rsidP="00EF1133">
      <w:pPr>
        <w:rPr>
          <w:rFonts w:ascii="Times New Roman" w:hAnsi="Times New Roman"/>
          <w:bCs/>
          <w:sz w:val="24"/>
          <w:szCs w:val="24"/>
        </w:rPr>
      </w:pPr>
      <w:r w:rsidRPr="003B4DA5">
        <w:rPr>
          <w:rFonts w:ascii="Times New Roman" w:hAnsi="Times New Roman"/>
          <w:bCs/>
          <w:sz w:val="24"/>
          <w:szCs w:val="24"/>
        </w:rPr>
        <w:t>Dissent</w:t>
      </w:r>
    </w:p>
    <w:p w14:paraId="382EF0C8" w14:textId="77777777" w:rsidR="003B4DA5" w:rsidRPr="003B4DA5" w:rsidRDefault="003B4DA5" w:rsidP="003B4DA5">
      <w:pPr>
        <w:pStyle w:val="NoSpacing"/>
        <w:rPr>
          <w:rFonts w:ascii="Times New Roman" w:hAnsi="Times New Roman"/>
          <w:b/>
          <w:sz w:val="24"/>
          <w:szCs w:val="24"/>
        </w:rPr>
      </w:pPr>
      <w:r w:rsidRPr="003B4DA5">
        <w:rPr>
          <w:rFonts w:ascii="Times New Roman" w:hAnsi="Times New Roman"/>
          <w:b/>
          <w:sz w:val="24"/>
          <w:szCs w:val="24"/>
        </w:rPr>
        <w:t xml:space="preserve">Legal Lesson Learned: With the state’s statutory presumption, there is no requirement that the firefighter prove he had extensive interior firefighting experience. </w:t>
      </w:r>
    </w:p>
    <w:p w14:paraId="451B022A" w14:textId="77777777" w:rsidR="003B4DA5" w:rsidRDefault="003B4DA5" w:rsidP="00EF1133">
      <w:pPr>
        <w:rPr>
          <w:rFonts w:ascii="Arial Black" w:hAnsi="Arial Black"/>
          <w:b/>
          <w:sz w:val="24"/>
          <w:szCs w:val="24"/>
        </w:rPr>
      </w:pPr>
    </w:p>
    <w:p w14:paraId="0AABA937" w14:textId="77777777" w:rsidR="009C6350" w:rsidRDefault="009C6350" w:rsidP="00EF1133">
      <w:pPr>
        <w:rPr>
          <w:rFonts w:ascii="Arial Black" w:hAnsi="Arial Black"/>
          <w:b/>
          <w:sz w:val="24"/>
          <w:szCs w:val="24"/>
        </w:rPr>
      </w:pPr>
    </w:p>
    <w:p w14:paraId="22FE6C5D" w14:textId="16C899D8" w:rsidR="009C2906" w:rsidRDefault="009C2906" w:rsidP="00EF1133">
      <w:pPr>
        <w:rPr>
          <w:rFonts w:ascii="Arial Black" w:hAnsi="Arial Black"/>
          <w:b/>
          <w:sz w:val="24"/>
          <w:szCs w:val="24"/>
        </w:rPr>
      </w:pPr>
      <w:r>
        <w:rPr>
          <w:rFonts w:ascii="Arial Black" w:hAnsi="Arial Black"/>
          <w:b/>
          <w:sz w:val="24"/>
          <w:szCs w:val="24"/>
        </w:rPr>
        <w:t>6-14</w:t>
      </w:r>
      <w:r w:rsidR="002A0697">
        <w:rPr>
          <w:rFonts w:ascii="Arial Black" w:hAnsi="Arial Black"/>
          <w:b/>
          <w:sz w:val="24"/>
          <w:szCs w:val="24"/>
        </w:rPr>
        <w:t>4</w:t>
      </w:r>
    </w:p>
    <w:p w14:paraId="6F169179" w14:textId="77777777" w:rsidR="00840283" w:rsidRPr="009E40D5" w:rsidRDefault="00840283" w:rsidP="00840283">
      <w:pPr>
        <w:pStyle w:val="NoSpacing"/>
        <w:rPr>
          <w:rFonts w:ascii="Arial Black" w:hAnsi="Arial Black"/>
          <w:sz w:val="28"/>
          <w:szCs w:val="28"/>
        </w:rPr>
      </w:pPr>
      <w:r>
        <w:rPr>
          <w:rFonts w:ascii="Arial Black" w:hAnsi="Arial Black"/>
          <w:sz w:val="28"/>
          <w:szCs w:val="28"/>
        </w:rPr>
        <w:t xml:space="preserve">IL:  ON-DUTY PENSION - 2 ANKLE INJURIES – NEVER FULLY RECOVERED / DIDN’T HIDE ALSO FARMER – BOARD REV. </w:t>
      </w:r>
    </w:p>
    <w:p w14:paraId="4FD7D00F" w14:textId="77777777" w:rsidR="00840283" w:rsidRDefault="00840283" w:rsidP="00840283">
      <w:pPr>
        <w:pStyle w:val="NoSpacing"/>
      </w:pPr>
    </w:p>
    <w:p w14:paraId="2555A817" w14:textId="77777777" w:rsidR="00840283" w:rsidRPr="00456DFA" w:rsidRDefault="00840283" w:rsidP="00840283">
      <w:pPr>
        <w:pStyle w:val="NoSpacing"/>
        <w:rPr>
          <w:rFonts w:ascii="Times New Roman" w:hAnsi="Times New Roman"/>
          <w:sz w:val="24"/>
          <w:szCs w:val="24"/>
        </w:rPr>
      </w:pPr>
      <w:r w:rsidRPr="00456DFA">
        <w:rPr>
          <w:rFonts w:ascii="Times New Roman" w:hAnsi="Times New Roman"/>
          <w:sz w:val="24"/>
          <w:szCs w:val="24"/>
        </w:rPr>
        <w:t xml:space="preserve">On Nov. 15, 2024, in </w:t>
      </w:r>
      <w:r w:rsidRPr="00456DFA">
        <w:rPr>
          <w:rFonts w:ascii="Times New Roman" w:hAnsi="Times New Roman"/>
          <w:sz w:val="24"/>
          <w:szCs w:val="24"/>
          <w:u w:val="single"/>
        </w:rPr>
        <w:t>Timothy R. Barz v. The Village of Hazel Crest Firefighters Pension Fund, et al</w:t>
      </w:r>
      <w:r w:rsidRPr="00456DFA">
        <w:rPr>
          <w:rFonts w:ascii="Times New Roman" w:hAnsi="Times New Roman"/>
          <w:sz w:val="24"/>
          <w:szCs w:val="24"/>
        </w:rPr>
        <w:t xml:space="preserve">., the Appellate Courts of Illinois, First District held (3 to 0) that trail court judge properly overruled the Pension Board, which had only granted him a non-duty disability pension of 50% of his salary.  The Court wrote: “It is clear to us that the Board denied Barz an on-duty pension because it thought he lied to the medical treaters and evaluators about his farming operation by not disclosing it. Barz testified he mentioned it, and it is clear from the medical records and surveillance videos that at least some of the medical providers knew he was walking on uneven surfaces at home, working in his yard, operating equipment, and keeping active overall. No one testified Barz lied or concealed anything.” </w:t>
      </w:r>
      <w:hyperlink r:id="rId1099" w:history="1">
        <w:r w:rsidRPr="00456DFA">
          <w:rPr>
            <w:rStyle w:val="Hyperlink"/>
            <w:rFonts w:ascii="Times New Roman" w:hAnsi="Times New Roman"/>
            <w:sz w:val="24"/>
            <w:szCs w:val="24"/>
          </w:rPr>
          <w:t>https://ilcourtsaudio.blob.core.windows.net/antilles-resources/resources/cb295fe3-77b3-494e-ba2f-aabcd601915c/Barz%20v.%20Village%20of%20Hazel%20Crest%20Firefighters%20Pension%20Fund,%202024%20IL%20App%20(1st)%20240137-U.pdf</w:t>
        </w:r>
      </w:hyperlink>
      <w:r w:rsidRPr="00456DFA">
        <w:rPr>
          <w:rFonts w:ascii="Times New Roman" w:hAnsi="Times New Roman"/>
          <w:sz w:val="24"/>
          <w:szCs w:val="24"/>
        </w:rPr>
        <w:t xml:space="preserve"> </w:t>
      </w:r>
    </w:p>
    <w:p w14:paraId="621E4F9F" w14:textId="77777777" w:rsidR="00840283" w:rsidRPr="00456DFA" w:rsidRDefault="00840283" w:rsidP="00840283">
      <w:pPr>
        <w:pStyle w:val="NoSpacing"/>
        <w:rPr>
          <w:rFonts w:ascii="Times New Roman" w:hAnsi="Times New Roman"/>
          <w:sz w:val="24"/>
          <w:szCs w:val="24"/>
        </w:rPr>
      </w:pPr>
    </w:p>
    <w:p w14:paraId="6B89879F" w14:textId="77777777" w:rsidR="00456DFA" w:rsidRPr="00456DFA" w:rsidRDefault="00456DFA" w:rsidP="00456DFA">
      <w:pPr>
        <w:pStyle w:val="NoSpacing"/>
        <w:rPr>
          <w:rFonts w:ascii="Times New Roman" w:hAnsi="Times New Roman"/>
          <w:b/>
          <w:sz w:val="24"/>
          <w:szCs w:val="24"/>
        </w:rPr>
      </w:pPr>
      <w:r w:rsidRPr="00456DFA">
        <w:rPr>
          <w:rFonts w:ascii="Times New Roman" w:hAnsi="Times New Roman"/>
          <w:b/>
          <w:sz w:val="24"/>
          <w:szCs w:val="24"/>
        </w:rPr>
        <w:t>Legal Lesson Learned:   Board reversed – “no competent evidence supports the Board’s findings that Barz fully recovered following his second 2018 injury.”</w:t>
      </w:r>
    </w:p>
    <w:p w14:paraId="4E4C1E4B" w14:textId="77777777" w:rsidR="009C2906" w:rsidRPr="00456DFA" w:rsidRDefault="009C2906" w:rsidP="00EF1133">
      <w:pPr>
        <w:rPr>
          <w:rFonts w:ascii="Times New Roman" w:hAnsi="Times New Roman"/>
          <w:b/>
          <w:sz w:val="24"/>
          <w:szCs w:val="24"/>
        </w:rPr>
      </w:pPr>
    </w:p>
    <w:p w14:paraId="463BF82F" w14:textId="2D718893" w:rsidR="005D74B5" w:rsidRDefault="00066F05" w:rsidP="00EF1133">
      <w:pPr>
        <w:rPr>
          <w:rFonts w:ascii="Arial Black" w:hAnsi="Arial Black"/>
          <w:b/>
          <w:sz w:val="24"/>
          <w:szCs w:val="24"/>
        </w:rPr>
      </w:pPr>
      <w:r>
        <w:rPr>
          <w:rFonts w:ascii="Arial Black" w:hAnsi="Arial Black"/>
          <w:b/>
          <w:sz w:val="24"/>
          <w:szCs w:val="24"/>
        </w:rPr>
        <w:t>6-14</w:t>
      </w:r>
      <w:r w:rsidR="002A0697">
        <w:rPr>
          <w:rFonts w:ascii="Arial Black" w:hAnsi="Arial Black"/>
          <w:b/>
          <w:sz w:val="24"/>
          <w:szCs w:val="24"/>
        </w:rPr>
        <w:t>3</w:t>
      </w:r>
    </w:p>
    <w:p w14:paraId="4CB0663C" w14:textId="0772E0B1" w:rsidR="00311857" w:rsidRPr="004E2ADB" w:rsidRDefault="00311857" w:rsidP="00311857">
      <w:pPr>
        <w:pStyle w:val="NoSpacing"/>
        <w:rPr>
          <w:rFonts w:ascii="Arial Black" w:hAnsi="Arial Black"/>
          <w:b/>
          <w:bCs/>
          <w:sz w:val="28"/>
          <w:szCs w:val="28"/>
        </w:rPr>
      </w:pPr>
      <w:r w:rsidRPr="004E2ADB">
        <w:rPr>
          <w:rFonts w:ascii="Arial Black" w:hAnsi="Arial Black"/>
          <w:b/>
          <w:bCs/>
          <w:sz w:val="28"/>
          <w:szCs w:val="28"/>
        </w:rPr>
        <w:lastRenderedPageBreak/>
        <w:t xml:space="preserve">VA: AGE DISCRIMINATION NOT PROVEN – BC AGE </w:t>
      </w:r>
      <w:r w:rsidR="00D704A4" w:rsidRPr="004E2ADB">
        <w:rPr>
          <w:rFonts w:ascii="Arial Black" w:hAnsi="Arial Black"/>
          <w:b/>
          <w:bCs/>
          <w:sz w:val="28"/>
          <w:szCs w:val="28"/>
        </w:rPr>
        <w:t>58</w:t>
      </w:r>
      <w:r w:rsidRPr="004E2ADB">
        <w:rPr>
          <w:rFonts w:ascii="Arial Black" w:hAnsi="Arial Black"/>
          <w:b/>
          <w:bCs/>
          <w:sz w:val="28"/>
          <w:szCs w:val="28"/>
        </w:rPr>
        <w:t xml:space="preserve"> – FIRED FOR UNAUTHORIZED PURCHASE OF BRUSH TRUCK </w:t>
      </w:r>
    </w:p>
    <w:p w14:paraId="264EECAE" w14:textId="77777777" w:rsidR="00311857" w:rsidRPr="00FC6D48" w:rsidRDefault="00311857" w:rsidP="00311857">
      <w:pPr>
        <w:pStyle w:val="NoSpacing"/>
        <w:rPr>
          <w:rFonts w:ascii="Times New Roman" w:hAnsi="Times New Roman"/>
          <w:sz w:val="24"/>
          <w:szCs w:val="24"/>
        </w:rPr>
      </w:pPr>
    </w:p>
    <w:p w14:paraId="3CDAA3BB" w14:textId="77777777" w:rsidR="00311857" w:rsidRPr="00FC6D48" w:rsidRDefault="00311857" w:rsidP="00311857">
      <w:pPr>
        <w:pStyle w:val="NoSpacing"/>
        <w:rPr>
          <w:rFonts w:ascii="Times New Roman" w:hAnsi="Times New Roman"/>
          <w:sz w:val="24"/>
          <w:szCs w:val="24"/>
        </w:rPr>
      </w:pPr>
      <w:r w:rsidRPr="00FC6D48">
        <w:rPr>
          <w:rFonts w:ascii="Times New Roman" w:hAnsi="Times New Roman"/>
          <w:sz w:val="24"/>
          <w:szCs w:val="24"/>
        </w:rPr>
        <w:t xml:space="preserve">On Oct. 25, 2024, in </w:t>
      </w:r>
      <w:r w:rsidRPr="00FC6D48">
        <w:rPr>
          <w:rFonts w:ascii="Times New Roman" w:hAnsi="Times New Roman"/>
          <w:sz w:val="24"/>
          <w:szCs w:val="24"/>
          <w:u w:val="single"/>
        </w:rPr>
        <w:t>Clay O’Neal Fitzgerald v. Botetourt County, Virginia</w:t>
      </w:r>
      <w:r w:rsidRPr="00FC6D48">
        <w:rPr>
          <w:rFonts w:ascii="Times New Roman" w:hAnsi="Times New Roman"/>
          <w:sz w:val="24"/>
          <w:szCs w:val="24"/>
        </w:rPr>
        <w:t xml:space="preserve">, the U.S. Court of Appeals for the Fourth Circuit (Richmond, VA) held (3 to 0; unpublished opinion): “Plaintiff-appellant Clay O’Neal Fitzgerald alleges that his former employer, Botetourt County, Virginia, terminated him in retaliation for his complaints about age discrimination. The district court granted Botetourt County’s motion for summary judgment, finding that Fitzgerald failed to produce sufficient evidence under the McDonnell Douglas framework to show that the County’s proffered justification for terminating him was pretextual. Because we agree that no reasonable jury could conclude that the County’s legitimate non-retaliatory reason for Fitzgerald’s termination was mere pretext, we affirm. *** Per the County, Fitzgerald neither had ‘authority to make [the purchase] [$37,500 Ford pickup truck for neighboring volunteer fire department] nor did [he] seek or receive appropriate authorization.” </w:t>
      </w:r>
      <w:hyperlink r:id="rId1100" w:history="1">
        <w:r w:rsidRPr="00FC6D48">
          <w:rPr>
            <w:rStyle w:val="Hyperlink"/>
            <w:rFonts w:ascii="Times New Roman" w:hAnsi="Times New Roman"/>
            <w:sz w:val="24"/>
            <w:szCs w:val="24"/>
          </w:rPr>
          <w:t>https://www.ca4.uscourts.gov/opinions/221081.U.pdf</w:t>
        </w:r>
      </w:hyperlink>
      <w:r w:rsidRPr="00FC6D48">
        <w:rPr>
          <w:rFonts w:ascii="Times New Roman" w:hAnsi="Times New Roman"/>
          <w:sz w:val="24"/>
          <w:szCs w:val="24"/>
        </w:rPr>
        <w:t xml:space="preserve"> </w:t>
      </w:r>
    </w:p>
    <w:p w14:paraId="10A0BE1D" w14:textId="77777777" w:rsidR="00FC6D48" w:rsidRPr="00FC6D48" w:rsidRDefault="00FC6D48" w:rsidP="00FC6D48">
      <w:pPr>
        <w:pStyle w:val="NoSpacing"/>
        <w:rPr>
          <w:rFonts w:ascii="Times New Roman" w:hAnsi="Times New Roman"/>
          <w:b/>
          <w:sz w:val="24"/>
          <w:szCs w:val="24"/>
        </w:rPr>
      </w:pPr>
    </w:p>
    <w:p w14:paraId="02D47389" w14:textId="67AA703D" w:rsidR="00FC6D48" w:rsidRPr="00FC6D48" w:rsidRDefault="00FC6D48" w:rsidP="00FC6D48">
      <w:pPr>
        <w:pStyle w:val="NoSpacing"/>
        <w:rPr>
          <w:rFonts w:ascii="Times New Roman" w:hAnsi="Times New Roman"/>
          <w:b/>
          <w:bCs/>
          <w:sz w:val="24"/>
          <w:szCs w:val="24"/>
        </w:rPr>
      </w:pPr>
      <w:r w:rsidRPr="00FC6D48">
        <w:rPr>
          <w:rFonts w:ascii="Times New Roman" w:hAnsi="Times New Roman"/>
          <w:b/>
          <w:sz w:val="24"/>
          <w:szCs w:val="24"/>
        </w:rPr>
        <w:t>Legal Lesson Learned: County terminate</w:t>
      </w:r>
      <w:r w:rsidRPr="00FC6D48">
        <w:rPr>
          <w:rFonts w:ascii="Times New Roman" w:hAnsi="Times New Roman"/>
          <w:b/>
          <w:bCs/>
          <w:sz w:val="24"/>
          <w:szCs w:val="24"/>
        </w:rPr>
        <w:t xml:space="preserve">d </w:t>
      </w:r>
      <w:r w:rsidRPr="00FC6D48">
        <w:rPr>
          <w:rFonts w:ascii="Times New Roman" w:hAnsi="Times New Roman"/>
          <w:b/>
          <w:sz w:val="24"/>
          <w:szCs w:val="24"/>
        </w:rPr>
        <w:t>for unauthorized purchase of truck</w:t>
      </w:r>
      <w:r w:rsidRPr="00FC6D48">
        <w:rPr>
          <w:rFonts w:ascii="Times New Roman" w:hAnsi="Times New Roman"/>
          <w:b/>
          <w:bCs/>
          <w:sz w:val="24"/>
          <w:szCs w:val="24"/>
        </w:rPr>
        <w:t xml:space="preserve">; not age of Battalion Chief. </w:t>
      </w:r>
    </w:p>
    <w:p w14:paraId="03553F8A" w14:textId="77777777" w:rsidR="00FC6D48" w:rsidRDefault="00FC6D48" w:rsidP="006C4AD8">
      <w:pPr>
        <w:pStyle w:val="NormalWeb"/>
        <w:spacing w:before="0" w:beforeAutospacing="0"/>
        <w:rPr>
          <w:rFonts w:ascii="Arial Black" w:hAnsi="Arial Black"/>
          <w:b/>
          <w:bCs/>
          <w:color w:val="454545"/>
          <w:sz w:val="28"/>
          <w:szCs w:val="28"/>
          <w:shd w:val="clear" w:color="auto" w:fill="FFFFFF"/>
        </w:rPr>
      </w:pPr>
    </w:p>
    <w:p w14:paraId="060FFB7D" w14:textId="605C99E5" w:rsidR="00066F05" w:rsidRDefault="00066F05"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6-14</w:t>
      </w:r>
      <w:r w:rsidR="002A0697">
        <w:rPr>
          <w:rFonts w:ascii="Arial Black" w:hAnsi="Arial Black"/>
          <w:b/>
          <w:bCs/>
          <w:color w:val="454545"/>
          <w:sz w:val="28"/>
          <w:szCs w:val="28"/>
          <w:shd w:val="clear" w:color="auto" w:fill="FFFFFF"/>
        </w:rPr>
        <w:t>2</w:t>
      </w:r>
    </w:p>
    <w:p w14:paraId="20E999E7" w14:textId="77777777" w:rsidR="00AD5EF8" w:rsidRPr="004E2ADB" w:rsidRDefault="00AD5EF8" w:rsidP="00AD5EF8">
      <w:pPr>
        <w:rPr>
          <w:rFonts w:ascii="Arial Black" w:hAnsi="Arial Black"/>
          <w:b/>
          <w:bCs/>
          <w:sz w:val="28"/>
          <w:szCs w:val="28"/>
        </w:rPr>
      </w:pPr>
      <w:r w:rsidRPr="004E2ADB">
        <w:rPr>
          <w:rFonts w:ascii="Arial Black" w:hAnsi="Arial Black"/>
          <w:b/>
          <w:bCs/>
          <w:sz w:val="28"/>
          <w:szCs w:val="28"/>
        </w:rPr>
        <w:t xml:space="preserve">OH: CINCINNATI FF – THYROID CANCER – STATUTORY PRESUMPTION WAS CAUSED BY JOB </w:t>
      </w:r>
    </w:p>
    <w:p w14:paraId="7AF1C5D6" w14:textId="65CCBA29" w:rsidR="00AD5EF8" w:rsidRPr="00F23ECF" w:rsidRDefault="00AD5EF8" w:rsidP="00AD5EF8">
      <w:pPr>
        <w:pStyle w:val="NoSpacing"/>
        <w:rPr>
          <w:rFonts w:ascii="Times New Roman" w:hAnsi="Times New Roman"/>
          <w:sz w:val="24"/>
          <w:szCs w:val="24"/>
        </w:rPr>
      </w:pPr>
      <w:r w:rsidRPr="00F23ECF">
        <w:rPr>
          <w:rFonts w:ascii="Times New Roman" w:hAnsi="Times New Roman"/>
          <w:sz w:val="24"/>
          <w:szCs w:val="24"/>
        </w:rPr>
        <w:t xml:space="preserve">On Oct. 10, 2024, in </w:t>
      </w:r>
      <w:r w:rsidRPr="00F23ECF">
        <w:rPr>
          <w:rFonts w:ascii="Times New Roman" w:hAnsi="Times New Roman"/>
          <w:sz w:val="24"/>
          <w:szCs w:val="24"/>
          <w:u w:val="single"/>
        </w:rPr>
        <w:t>State ex rel. City of Cincinnati v. Industrial Commission of Ohio (re: claimant, Joshua K. Knoechel</w:t>
      </w:r>
      <w:r w:rsidRPr="00F23ECF">
        <w:rPr>
          <w:rFonts w:ascii="Times New Roman" w:hAnsi="Times New Roman"/>
          <w:sz w:val="24"/>
          <w:szCs w:val="24"/>
        </w:rPr>
        <w:t>), the Ohio Court of Appeals for the Tenth Appellate District held (3 to 0):  “Relator, the City of Cincinnati, commenced this original action requesting this court to issue a writ of mandamus ordering respondent, the Industrial Commission of</w:t>
      </w:r>
    </w:p>
    <w:p w14:paraId="08EF269E" w14:textId="28B0BAAF" w:rsidR="00AD5EF8" w:rsidRPr="00F23ECF" w:rsidRDefault="00AD5EF8" w:rsidP="00AD5EF8">
      <w:pPr>
        <w:pStyle w:val="NoSpacing"/>
        <w:rPr>
          <w:rFonts w:ascii="Times New Roman" w:hAnsi="Times New Roman"/>
          <w:sz w:val="24"/>
          <w:szCs w:val="24"/>
        </w:rPr>
      </w:pPr>
      <w:r w:rsidRPr="00F23ECF">
        <w:rPr>
          <w:rFonts w:ascii="Times New Roman" w:hAnsi="Times New Roman"/>
          <w:sz w:val="24"/>
          <w:szCs w:val="24"/>
        </w:rPr>
        <w:t xml:space="preserve">Ohio (“commission”), to vacate its order exercising continuing jurisdiction to allow the workers’ compensation claim of claimant, Joshua K. Knoechel, for papillary thyroid cancer and to reinstate the March 11, </w:t>
      </w:r>
      <w:proofErr w:type="gramStart"/>
      <w:r w:rsidRPr="00F23ECF">
        <w:rPr>
          <w:rFonts w:ascii="Times New Roman" w:hAnsi="Times New Roman"/>
          <w:sz w:val="24"/>
          <w:szCs w:val="24"/>
        </w:rPr>
        <w:t>2022</w:t>
      </w:r>
      <w:proofErr w:type="gramEnd"/>
      <w:r w:rsidRPr="00F23ECF">
        <w:rPr>
          <w:rFonts w:ascii="Times New Roman" w:hAnsi="Times New Roman"/>
          <w:sz w:val="24"/>
          <w:szCs w:val="24"/>
        </w:rPr>
        <w:t xml:space="preserve"> order of the Staff Hearing Officer (‘SHO’) denying the claim. [Court agreed with Magistrate, who recommended] that this court should deny the employer’s petition for writ of mandamus.” </w:t>
      </w:r>
      <w:hyperlink r:id="rId1101" w:history="1">
        <w:r w:rsidRPr="00F23ECF">
          <w:rPr>
            <w:rStyle w:val="Hyperlink"/>
            <w:rFonts w:ascii="Times New Roman" w:hAnsi="Times New Roman"/>
            <w:sz w:val="24"/>
            <w:szCs w:val="24"/>
          </w:rPr>
          <w:t>https://cases.justia.com/ohio/tenth-district-court-of-appeals/2024-22ap-431.pdf?ts=1728583884</w:t>
        </w:r>
      </w:hyperlink>
      <w:r w:rsidRPr="00F23ECF">
        <w:rPr>
          <w:rFonts w:ascii="Times New Roman" w:hAnsi="Times New Roman"/>
          <w:sz w:val="24"/>
          <w:szCs w:val="24"/>
        </w:rPr>
        <w:t xml:space="preserve"> </w:t>
      </w:r>
    </w:p>
    <w:p w14:paraId="3B16020B" w14:textId="77777777" w:rsidR="00F23ECF" w:rsidRPr="00F23ECF" w:rsidRDefault="00F23ECF" w:rsidP="00F23ECF">
      <w:pPr>
        <w:pStyle w:val="NoSpacing"/>
        <w:rPr>
          <w:rFonts w:ascii="Times New Roman" w:hAnsi="Times New Roman"/>
          <w:b/>
          <w:sz w:val="24"/>
          <w:szCs w:val="24"/>
        </w:rPr>
      </w:pPr>
    </w:p>
    <w:p w14:paraId="223D5A0D" w14:textId="1117048B" w:rsidR="00F23ECF" w:rsidRPr="00F23ECF" w:rsidRDefault="00F23ECF" w:rsidP="00F23ECF">
      <w:pPr>
        <w:pStyle w:val="NoSpacing"/>
        <w:rPr>
          <w:rFonts w:ascii="Times New Roman" w:hAnsi="Times New Roman"/>
          <w:b/>
          <w:bCs/>
          <w:sz w:val="24"/>
          <w:szCs w:val="24"/>
        </w:rPr>
      </w:pPr>
      <w:r w:rsidRPr="00F23ECF">
        <w:rPr>
          <w:rFonts w:ascii="Times New Roman" w:hAnsi="Times New Roman"/>
          <w:b/>
          <w:sz w:val="24"/>
          <w:szCs w:val="24"/>
        </w:rPr>
        <w:t xml:space="preserve">Legal Lesson Learned: Statutory presumption that cancer was caused by the job; employer’s expert report did not overcome this presumption. </w:t>
      </w:r>
    </w:p>
    <w:p w14:paraId="10D6F9E4" w14:textId="77777777" w:rsidR="00F23ECF" w:rsidRPr="00F23ECF" w:rsidRDefault="00F23ECF" w:rsidP="006C4AD8">
      <w:pPr>
        <w:pStyle w:val="NormalWeb"/>
        <w:spacing w:before="0" w:beforeAutospacing="0"/>
        <w:rPr>
          <w:b/>
          <w:bCs/>
          <w:color w:val="454545"/>
          <w:shd w:val="clear" w:color="auto" w:fill="FFFFFF"/>
        </w:rPr>
      </w:pPr>
    </w:p>
    <w:p w14:paraId="0838296B" w14:textId="77777777" w:rsidR="00FC6D48" w:rsidRDefault="00FC6D48" w:rsidP="006C4AD8">
      <w:pPr>
        <w:pStyle w:val="NormalWeb"/>
        <w:spacing w:before="0" w:beforeAutospacing="0"/>
        <w:rPr>
          <w:rFonts w:ascii="Arial Black" w:hAnsi="Arial Black"/>
          <w:b/>
          <w:bCs/>
          <w:color w:val="454545"/>
          <w:sz w:val="28"/>
          <w:szCs w:val="28"/>
          <w:shd w:val="clear" w:color="auto" w:fill="FFFFFF"/>
        </w:rPr>
      </w:pPr>
    </w:p>
    <w:p w14:paraId="732AC63F" w14:textId="63C0B554" w:rsidR="00066F05" w:rsidRDefault="00066F05"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6-14</w:t>
      </w:r>
      <w:r w:rsidR="002A0697">
        <w:rPr>
          <w:rFonts w:ascii="Arial Black" w:hAnsi="Arial Black"/>
          <w:b/>
          <w:bCs/>
          <w:color w:val="454545"/>
          <w:sz w:val="28"/>
          <w:szCs w:val="28"/>
          <w:shd w:val="clear" w:color="auto" w:fill="FFFFFF"/>
        </w:rPr>
        <w:t>1</w:t>
      </w:r>
    </w:p>
    <w:p w14:paraId="78888F58" w14:textId="77777777" w:rsidR="007506C7" w:rsidRPr="004E2ADB" w:rsidRDefault="007506C7" w:rsidP="007506C7">
      <w:pPr>
        <w:pStyle w:val="NoSpacing"/>
        <w:rPr>
          <w:rFonts w:ascii="Arial Black" w:hAnsi="Arial Black"/>
          <w:b/>
          <w:bCs/>
          <w:sz w:val="28"/>
          <w:szCs w:val="28"/>
        </w:rPr>
      </w:pPr>
      <w:r w:rsidRPr="004E2ADB">
        <w:rPr>
          <w:rFonts w:ascii="Arial Black" w:hAnsi="Arial Black"/>
          <w:b/>
          <w:bCs/>
          <w:sz w:val="28"/>
          <w:szCs w:val="28"/>
        </w:rPr>
        <w:t xml:space="preserve">OH: PROSTATE CANCER – 25 YRS ON JOB BEFORE RETIRED – AWARDED PERMANENT PARTIAL DISABILITY  </w:t>
      </w:r>
    </w:p>
    <w:p w14:paraId="29F02A84" w14:textId="77777777" w:rsidR="007506C7" w:rsidRPr="00067499" w:rsidRDefault="007506C7" w:rsidP="007506C7">
      <w:pPr>
        <w:pStyle w:val="NoSpacing"/>
        <w:rPr>
          <w:rFonts w:ascii="Times New Roman" w:hAnsi="Times New Roman"/>
          <w:b/>
          <w:bCs/>
          <w:sz w:val="24"/>
          <w:szCs w:val="24"/>
        </w:rPr>
      </w:pPr>
    </w:p>
    <w:p w14:paraId="7482D31A" w14:textId="780E0433" w:rsidR="001E7A60" w:rsidRPr="00067499" w:rsidRDefault="001E7A60" w:rsidP="001E7A60">
      <w:pPr>
        <w:pStyle w:val="NoSpacing"/>
        <w:rPr>
          <w:rStyle w:val="Hyperlink"/>
          <w:rFonts w:ascii="Times New Roman" w:hAnsi="Times New Roman"/>
        </w:rPr>
      </w:pPr>
      <w:r w:rsidRPr="00067499">
        <w:rPr>
          <w:rFonts w:ascii="Times New Roman" w:hAnsi="Times New Roman"/>
        </w:rPr>
        <w:t xml:space="preserve">On Oct. 17, 2024, in </w:t>
      </w:r>
      <w:r w:rsidRPr="00067499">
        <w:rPr>
          <w:rFonts w:ascii="Times New Roman" w:hAnsi="Times New Roman"/>
          <w:u w:val="single"/>
        </w:rPr>
        <w:t>State ex rel. City of Cincinnati v. Industrial Commission of Ohio (re: claimant Michael K. Hines</w:t>
      </w:r>
      <w:r w:rsidRPr="00067499">
        <w:rPr>
          <w:rFonts w:ascii="Times New Roman" w:hAnsi="Times New Roman"/>
        </w:rPr>
        <w:t xml:space="preserve">), the Cour of Appeals of Ohio, Tenth Appellate District. held (3 to 0): </w:t>
      </w:r>
      <w:r w:rsidR="007179A1" w:rsidRPr="00067499">
        <w:rPr>
          <w:rFonts w:ascii="Times New Roman" w:hAnsi="Times New Roman"/>
        </w:rPr>
        <w:t xml:space="preserve"> </w:t>
      </w:r>
      <w:r w:rsidRPr="00067499">
        <w:rPr>
          <w:rFonts w:ascii="Times New Roman" w:hAnsi="Times New Roman"/>
        </w:rPr>
        <w:t xml:space="preserve">“The magistrate determined the commission correctly applied R.C. 4123.57 in determining claimant is entitled to PPD compensation. Thus, the magistrate </w:t>
      </w:r>
      <w:r w:rsidRPr="00067499">
        <w:rPr>
          <w:rFonts w:ascii="Times New Roman" w:hAnsi="Times New Roman"/>
        </w:rPr>
        <w:lastRenderedPageBreak/>
        <w:t>recommends this court deny</w:t>
      </w:r>
      <w:r w:rsidR="007179A1" w:rsidRPr="00067499">
        <w:rPr>
          <w:rFonts w:ascii="Times New Roman" w:hAnsi="Times New Roman"/>
        </w:rPr>
        <w:t xml:space="preserve"> </w:t>
      </w:r>
      <w:r w:rsidRPr="00067499">
        <w:rPr>
          <w:rFonts w:ascii="Times New Roman" w:hAnsi="Times New Roman"/>
        </w:rPr>
        <w:t xml:space="preserve">employer’s petition for a writ of mandamus. *** Upon review, we find no error of law or other defect on the face of the magistrate’s decision. Therefore, we adopt the magistrate’s decision as our own, including findings of fact and conclusions of law, and we deny employer’s petition for a writ of mandamus.” </w:t>
      </w:r>
      <w:hyperlink r:id="rId1102" w:history="1">
        <w:r w:rsidRPr="00067499">
          <w:rPr>
            <w:rStyle w:val="Hyperlink"/>
            <w:rFonts w:ascii="Times New Roman" w:hAnsi="Times New Roman"/>
          </w:rPr>
          <w:t>https://www.supremecourt.ohio.gov/rod/docs/pdf/10/2024/2024-Ohio-5010.pdf</w:t>
        </w:r>
      </w:hyperlink>
    </w:p>
    <w:p w14:paraId="6333D5F4" w14:textId="77777777" w:rsidR="007179A1" w:rsidRPr="00067499" w:rsidRDefault="007179A1" w:rsidP="007179A1">
      <w:pPr>
        <w:pStyle w:val="NoSpacing"/>
        <w:rPr>
          <w:rFonts w:ascii="Times New Roman" w:hAnsi="Times New Roman"/>
          <w:b/>
        </w:rPr>
      </w:pPr>
    </w:p>
    <w:p w14:paraId="29DB39F8" w14:textId="043E4042" w:rsidR="007179A1" w:rsidRPr="00067499" w:rsidRDefault="007179A1" w:rsidP="007179A1">
      <w:pPr>
        <w:pStyle w:val="NoSpacing"/>
        <w:rPr>
          <w:rFonts w:ascii="Times New Roman" w:hAnsi="Times New Roman"/>
          <w:b/>
          <w:bCs/>
        </w:rPr>
      </w:pPr>
      <w:r w:rsidRPr="00067499">
        <w:rPr>
          <w:rFonts w:ascii="Times New Roman" w:hAnsi="Times New Roman"/>
          <w:b/>
        </w:rPr>
        <w:t xml:space="preserve">Legal Lesson Learned: Statutory presumption that prostate cancer caused by the job. </w:t>
      </w:r>
    </w:p>
    <w:p w14:paraId="5A4B9C29" w14:textId="77777777" w:rsidR="007179A1" w:rsidRPr="00067499" w:rsidRDefault="007179A1" w:rsidP="007179A1">
      <w:pPr>
        <w:pStyle w:val="NoSpacing"/>
        <w:rPr>
          <w:rFonts w:ascii="Times New Roman" w:hAnsi="Times New Roman"/>
          <w:bCs/>
          <w:sz w:val="28"/>
          <w:szCs w:val="28"/>
        </w:rPr>
      </w:pPr>
    </w:p>
    <w:p w14:paraId="72316945" w14:textId="77777777" w:rsidR="002A0697" w:rsidRDefault="002A0697" w:rsidP="006C4AD8">
      <w:pPr>
        <w:pStyle w:val="NormalWeb"/>
        <w:spacing w:before="0" w:beforeAutospacing="0"/>
        <w:rPr>
          <w:rFonts w:ascii="Arial Black" w:hAnsi="Arial Black"/>
          <w:b/>
          <w:bCs/>
          <w:color w:val="454545"/>
          <w:sz w:val="28"/>
          <w:szCs w:val="28"/>
          <w:shd w:val="clear" w:color="auto" w:fill="FFFFFF"/>
        </w:rPr>
      </w:pPr>
    </w:p>
    <w:p w14:paraId="37315153" w14:textId="6F92EA3F" w:rsidR="00E13EDA" w:rsidRDefault="00066F05"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6-14</w:t>
      </w:r>
      <w:r w:rsidR="002A0697">
        <w:rPr>
          <w:rFonts w:ascii="Arial Black" w:hAnsi="Arial Black"/>
          <w:b/>
          <w:bCs/>
          <w:color w:val="454545"/>
          <w:sz w:val="28"/>
          <w:szCs w:val="28"/>
          <w:shd w:val="clear" w:color="auto" w:fill="FFFFFF"/>
        </w:rPr>
        <w:t>0</w:t>
      </w:r>
    </w:p>
    <w:p w14:paraId="617E65E9" w14:textId="77777777" w:rsidR="00EC0331" w:rsidRPr="004E2ADB" w:rsidRDefault="00EC0331" w:rsidP="00EC0331">
      <w:pPr>
        <w:pStyle w:val="NoSpacing"/>
        <w:rPr>
          <w:rFonts w:ascii="Arial Black" w:hAnsi="Arial Black"/>
          <w:b/>
          <w:bCs/>
          <w:sz w:val="28"/>
          <w:szCs w:val="28"/>
        </w:rPr>
      </w:pPr>
      <w:r w:rsidRPr="004E2ADB">
        <w:rPr>
          <w:rFonts w:ascii="Arial Black" w:hAnsi="Arial Black"/>
          <w:b/>
          <w:bCs/>
          <w:sz w:val="28"/>
          <w:szCs w:val="28"/>
        </w:rPr>
        <w:t>PA: FF – COLON CANCER / KIDNEY DISEASE – STATUTORY PRESUMPTION FOR CANCER – GETS WORK COMP.</w:t>
      </w:r>
    </w:p>
    <w:p w14:paraId="49187B54" w14:textId="77777777" w:rsidR="00EC0331" w:rsidRPr="004E2ADB" w:rsidRDefault="00EC0331" w:rsidP="00EC0331">
      <w:pPr>
        <w:pStyle w:val="NoSpacing"/>
        <w:rPr>
          <w:rFonts w:ascii="Arial Black" w:hAnsi="Arial Black"/>
          <w:sz w:val="28"/>
          <w:szCs w:val="28"/>
        </w:rPr>
      </w:pPr>
    </w:p>
    <w:p w14:paraId="4B401DA2" w14:textId="77777777" w:rsidR="00EC0331" w:rsidRPr="00084D68" w:rsidRDefault="00EC0331" w:rsidP="00EC0331">
      <w:pPr>
        <w:pStyle w:val="NoSpacing"/>
        <w:rPr>
          <w:rFonts w:ascii="Times New Roman" w:hAnsi="Times New Roman"/>
          <w:sz w:val="24"/>
          <w:szCs w:val="24"/>
          <w:u w:val="single"/>
        </w:rPr>
      </w:pPr>
      <w:r w:rsidRPr="00084D68">
        <w:rPr>
          <w:rFonts w:ascii="Times New Roman" w:hAnsi="Times New Roman"/>
          <w:sz w:val="24"/>
          <w:szCs w:val="24"/>
        </w:rPr>
        <w:t xml:space="preserve">On Oct. 10, 2024, in </w:t>
      </w:r>
      <w:r w:rsidRPr="00084D68">
        <w:rPr>
          <w:rFonts w:ascii="Times New Roman" w:hAnsi="Times New Roman"/>
          <w:sz w:val="24"/>
          <w:szCs w:val="24"/>
          <w:u w:val="single"/>
        </w:rPr>
        <w:t>West Conshohocken Borough v. David Markland (Workers’ :</w:t>
      </w:r>
    </w:p>
    <w:p w14:paraId="75BD9AB4" w14:textId="77777777" w:rsidR="00EC0331" w:rsidRPr="00084D68" w:rsidRDefault="00EC0331" w:rsidP="00EC0331">
      <w:pPr>
        <w:pStyle w:val="NoSpacing"/>
        <w:rPr>
          <w:rFonts w:ascii="Times New Roman" w:hAnsi="Times New Roman"/>
          <w:sz w:val="24"/>
          <w:szCs w:val="24"/>
        </w:rPr>
      </w:pPr>
      <w:r w:rsidRPr="00084D68">
        <w:rPr>
          <w:rFonts w:ascii="Times New Roman" w:hAnsi="Times New Roman"/>
          <w:sz w:val="24"/>
          <w:szCs w:val="24"/>
          <w:u w:val="single"/>
        </w:rPr>
        <w:t>Compensation Appeal Board</w:t>
      </w:r>
      <w:r w:rsidRPr="00084D68">
        <w:rPr>
          <w:rFonts w:ascii="Times New Roman" w:hAnsi="Times New Roman"/>
          <w:sz w:val="24"/>
          <w:szCs w:val="24"/>
        </w:rPr>
        <w:t>), the Commonwealth Court of Pennsylvania held (6 to 1): “West Conshohocken Borough (Employer) petitions for review of the November 18, 2022 opinion and order (Order) of the Workers’ Compensation Appeal Board (Board) that affirmed the Workers’ Compensation Judge’s (WCJ) May 2, 2022 decision and order (Decision) granting the Claim Petition that David Markland (Claimant) filed under the Workers’ Compensation Act (Act).After</w:t>
      </w:r>
    </w:p>
    <w:p w14:paraId="05E4D6D7" w14:textId="77777777" w:rsidR="00EC0331" w:rsidRPr="00084D68" w:rsidRDefault="00EC0331" w:rsidP="00EC0331">
      <w:pPr>
        <w:pStyle w:val="NoSpacing"/>
        <w:rPr>
          <w:rFonts w:ascii="Times New Roman" w:hAnsi="Times New Roman"/>
          <w:sz w:val="24"/>
          <w:szCs w:val="24"/>
        </w:rPr>
      </w:pPr>
      <w:r w:rsidRPr="00084D68">
        <w:rPr>
          <w:rFonts w:ascii="Times New Roman" w:hAnsi="Times New Roman"/>
          <w:sz w:val="24"/>
          <w:szCs w:val="24"/>
        </w:rPr>
        <w:t>careful review, we affirm.”</w:t>
      </w:r>
    </w:p>
    <w:p w14:paraId="11ED62A2" w14:textId="3712BBDD" w:rsidR="00067499" w:rsidRPr="00084D68" w:rsidRDefault="00EC0331" w:rsidP="00EC0331">
      <w:pPr>
        <w:pStyle w:val="NormalWeb"/>
        <w:spacing w:before="0" w:beforeAutospacing="0"/>
        <w:rPr>
          <w:rStyle w:val="Hyperlink"/>
        </w:rPr>
      </w:pPr>
      <w:hyperlink r:id="rId1103" w:history="1">
        <w:r w:rsidRPr="00084D68">
          <w:rPr>
            <w:rStyle w:val="Hyperlink"/>
          </w:rPr>
          <w:t>https://www.pacourts.us/assets/opinions/Commonwealth/out/1382CD22_10-10-24.pdf?cb=1</w:t>
        </w:r>
      </w:hyperlink>
    </w:p>
    <w:p w14:paraId="22FA04F5" w14:textId="77777777" w:rsidR="00084D68" w:rsidRPr="00084D68" w:rsidRDefault="00084D68" w:rsidP="00084D68">
      <w:pPr>
        <w:pStyle w:val="NoSpacing"/>
        <w:rPr>
          <w:rFonts w:ascii="Times New Roman" w:hAnsi="Times New Roman"/>
          <w:b/>
          <w:bCs/>
          <w:sz w:val="24"/>
          <w:szCs w:val="24"/>
        </w:rPr>
      </w:pPr>
      <w:r w:rsidRPr="00084D68">
        <w:rPr>
          <w:rFonts w:ascii="Times New Roman" w:hAnsi="Times New Roman"/>
          <w:b/>
          <w:sz w:val="24"/>
          <w:szCs w:val="24"/>
        </w:rPr>
        <w:t>Legal Lesson Learned: Employer failed to prove a</w:t>
      </w:r>
      <w:r w:rsidRPr="00084D68">
        <w:rPr>
          <w:rFonts w:ascii="Times New Roman" w:hAnsi="Times New Roman"/>
          <w:b/>
          <w:bCs/>
          <w:sz w:val="24"/>
          <w:szCs w:val="24"/>
        </w:rPr>
        <w:t>nother</w:t>
      </w:r>
      <w:r w:rsidRPr="00084D68">
        <w:rPr>
          <w:rFonts w:ascii="Times New Roman" w:hAnsi="Times New Roman"/>
          <w:b/>
          <w:sz w:val="24"/>
          <w:szCs w:val="24"/>
        </w:rPr>
        <w:t xml:space="preserve"> “specific, non-firefighting cause” of the colon cancer. </w:t>
      </w:r>
    </w:p>
    <w:p w14:paraId="67B6684E" w14:textId="77777777" w:rsidR="00067499" w:rsidRDefault="00067499" w:rsidP="006C4AD8">
      <w:pPr>
        <w:pStyle w:val="NormalWeb"/>
        <w:spacing w:before="0" w:beforeAutospacing="0"/>
        <w:rPr>
          <w:rFonts w:ascii="Arial Black" w:hAnsi="Arial Black"/>
          <w:b/>
          <w:bCs/>
          <w:color w:val="454545"/>
          <w:sz w:val="28"/>
          <w:szCs w:val="28"/>
          <w:shd w:val="clear" w:color="auto" w:fill="FFFFFF"/>
        </w:rPr>
      </w:pPr>
    </w:p>
    <w:p w14:paraId="5E514763" w14:textId="7EC1C6F0" w:rsidR="00E13EDA" w:rsidRDefault="00066F05"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w:t>
      </w:r>
      <w:r w:rsidR="002A0697">
        <w:rPr>
          <w:rFonts w:ascii="Arial Black" w:hAnsi="Arial Black"/>
          <w:b/>
          <w:bCs/>
          <w:color w:val="454545"/>
          <w:sz w:val="28"/>
          <w:szCs w:val="28"/>
          <w:shd w:val="clear" w:color="auto" w:fill="FFFFFF"/>
        </w:rPr>
        <w:t>39</w:t>
      </w:r>
    </w:p>
    <w:p w14:paraId="5CCEE1B4" w14:textId="77777777" w:rsidR="001713FB" w:rsidRPr="004E2ADB" w:rsidRDefault="001713FB" w:rsidP="001713FB">
      <w:pPr>
        <w:pStyle w:val="NoSpacing"/>
        <w:rPr>
          <w:rFonts w:ascii="Arial Black" w:hAnsi="Arial Black"/>
          <w:b/>
          <w:bCs/>
          <w:sz w:val="28"/>
          <w:szCs w:val="28"/>
        </w:rPr>
      </w:pPr>
      <w:r w:rsidRPr="004E2ADB">
        <w:rPr>
          <w:rFonts w:ascii="Arial Black" w:hAnsi="Arial Black"/>
          <w:b/>
          <w:bCs/>
          <w:sz w:val="28"/>
          <w:szCs w:val="28"/>
        </w:rPr>
        <w:t>LA: HEART DISEASE – STATUTORY PRESUMPTION – NEW ORLEANS FF RECEIVES WORKERS COMP. &amp; ATTY FEES</w:t>
      </w:r>
    </w:p>
    <w:p w14:paraId="07B5ADFB" w14:textId="77777777" w:rsidR="001713FB" w:rsidRPr="00903FC7" w:rsidRDefault="001713FB" w:rsidP="001713FB">
      <w:pPr>
        <w:pStyle w:val="NoSpacing"/>
        <w:rPr>
          <w:rFonts w:ascii="Times New Roman" w:hAnsi="Times New Roman"/>
          <w:b/>
          <w:bCs/>
          <w:sz w:val="24"/>
          <w:szCs w:val="24"/>
        </w:rPr>
      </w:pPr>
    </w:p>
    <w:p w14:paraId="7F75CE85" w14:textId="554F7FE7" w:rsidR="001713FB" w:rsidRPr="00903FC7" w:rsidRDefault="001713FB" w:rsidP="001713FB">
      <w:pPr>
        <w:pStyle w:val="NoSpacing"/>
        <w:rPr>
          <w:rFonts w:ascii="Times New Roman" w:hAnsi="Times New Roman"/>
          <w:sz w:val="24"/>
          <w:szCs w:val="24"/>
        </w:rPr>
      </w:pPr>
      <w:r w:rsidRPr="00903FC7">
        <w:rPr>
          <w:rFonts w:ascii="Times New Roman" w:hAnsi="Times New Roman"/>
          <w:sz w:val="24"/>
          <w:szCs w:val="24"/>
        </w:rPr>
        <w:t xml:space="preserve">On Oct. 4, 2024, in </w:t>
      </w:r>
      <w:r w:rsidRPr="00903FC7">
        <w:rPr>
          <w:rFonts w:ascii="Times New Roman" w:hAnsi="Times New Roman"/>
          <w:sz w:val="24"/>
          <w:szCs w:val="24"/>
          <w:u w:val="single"/>
        </w:rPr>
        <w:t>Kenneth Prevost v. City of New Orleans Fire Department</w:t>
      </w:r>
      <w:r w:rsidRPr="00903FC7">
        <w:rPr>
          <w:rFonts w:ascii="Times New Roman" w:hAnsi="Times New Roman"/>
          <w:sz w:val="24"/>
          <w:szCs w:val="24"/>
        </w:rPr>
        <w:t xml:space="preserve">, the Louisiana Court of Appeal, </w:t>
      </w:r>
      <w:proofErr w:type="spellStart"/>
      <w:r w:rsidRPr="00903FC7">
        <w:rPr>
          <w:rFonts w:ascii="Times New Roman" w:hAnsi="Times New Roman"/>
          <w:sz w:val="24"/>
          <w:szCs w:val="24"/>
        </w:rPr>
        <w:t>Forth</w:t>
      </w:r>
      <w:proofErr w:type="spellEnd"/>
      <w:r w:rsidRPr="00903FC7">
        <w:rPr>
          <w:rFonts w:ascii="Times New Roman" w:hAnsi="Times New Roman"/>
          <w:sz w:val="24"/>
          <w:szCs w:val="24"/>
        </w:rPr>
        <w:t xml:space="preserve"> Circuit, held (3 to 0): “This is a workers’ compensation case. Defendant-Appellant, the New Orleans Fire Department (‘NOFD’) appeals the May 20, 2022 judgment rendered by the workers’ compensation judge (‘WCJ’), which found the claim filed by</w:t>
      </w:r>
      <w:r w:rsidR="00903FC7">
        <w:rPr>
          <w:rFonts w:ascii="Times New Roman" w:hAnsi="Times New Roman"/>
          <w:sz w:val="24"/>
          <w:szCs w:val="24"/>
        </w:rPr>
        <w:t xml:space="preserve"> </w:t>
      </w:r>
      <w:r w:rsidRPr="00903FC7">
        <w:rPr>
          <w:rFonts w:ascii="Times New Roman" w:hAnsi="Times New Roman"/>
          <w:sz w:val="24"/>
          <w:szCs w:val="24"/>
        </w:rPr>
        <w:t>Plaintiff-Appellee, Kenneth Prevost (‘Prevost’), under the Fireman’s Heart and Lung Act was compensable and awarded Prevost $2,000.00 in penalties and $3,500.00 in attorney’s fees.</w:t>
      </w:r>
      <w:r w:rsidR="00903FC7">
        <w:rPr>
          <w:rFonts w:ascii="Times New Roman" w:hAnsi="Times New Roman"/>
          <w:sz w:val="24"/>
          <w:szCs w:val="24"/>
        </w:rPr>
        <w:t xml:space="preserve"> </w:t>
      </w:r>
      <w:r w:rsidRPr="00903FC7">
        <w:rPr>
          <w:rFonts w:ascii="Times New Roman" w:hAnsi="Times New Roman"/>
          <w:sz w:val="24"/>
          <w:szCs w:val="24"/>
        </w:rPr>
        <w:t>For the following reasons, we affirm.”</w:t>
      </w:r>
    </w:p>
    <w:p w14:paraId="6580B861" w14:textId="77777777" w:rsidR="001713FB" w:rsidRPr="00903FC7" w:rsidRDefault="001713FB" w:rsidP="001713FB">
      <w:pPr>
        <w:pStyle w:val="NoSpacing"/>
        <w:rPr>
          <w:rFonts w:ascii="Times New Roman" w:hAnsi="Times New Roman"/>
          <w:sz w:val="24"/>
          <w:szCs w:val="24"/>
        </w:rPr>
      </w:pPr>
      <w:hyperlink r:id="rId1104" w:history="1">
        <w:r w:rsidRPr="00903FC7">
          <w:rPr>
            <w:rStyle w:val="Hyperlink"/>
            <w:rFonts w:ascii="Times New Roman" w:hAnsi="Times New Roman"/>
            <w:sz w:val="24"/>
            <w:szCs w:val="24"/>
          </w:rPr>
          <w:t>https://cases.justia.com/louisiana/fourth-circuit-court-of-appeal/2024-2024-ca-0114.pdf?ts=1727828103</w:t>
        </w:r>
      </w:hyperlink>
      <w:r w:rsidRPr="00903FC7">
        <w:rPr>
          <w:rFonts w:ascii="Times New Roman" w:hAnsi="Times New Roman"/>
          <w:sz w:val="24"/>
          <w:szCs w:val="24"/>
        </w:rPr>
        <w:t xml:space="preserve"> </w:t>
      </w:r>
    </w:p>
    <w:p w14:paraId="1D7E6594" w14:textId="77777777" w:rsidR="00903FC7" w:rsidRPr="00903FC7" w:rsidRDefault="00903FC7" w:rsidP="00903FC7">
      <w:pPr>
        <w:pStyle w:val="NoSpacing"/>
        <w:rPr>
          <w:rFonts w:ascii="Times New Roman" w:hAnsi="Times New Roman"/>
          <w:b/>
          <w:sz w:val="24"/>
          <w:szCs w:val="24"/>
        </w:rPr>
      </w:pPr>
    </w:p>
    <w:p w14:paraId="1F8BD6DF" w14:textId="39C03357" w:rsidR="00903FC7" w:rsidRPr="00903FC7" w:rsidRDefault="00903FC7" w:rsidP="00903FC7">
      <w:pPr>
        <w:pStyle w:val="NoSpacing"/>
        <w:rPr>
          <w:rFonts w:ascii="Times New Roman" w:hAnsi="Times New Roman"/>
          <w:b/>
          <w:bCs/>
          <w:sz w:val="24"/>
          <w:szCs w:val="24"/>
        </w:rPr>
      </w:pPr>
      <w:r w:rsidRPr="00903FC7">
        <w:rPr>
          <w:rFonts w:ascii="Times New Roman" w:hAnsi="Times New Roman"/>
          <w:b/>
          <w:sz w:val="24"/>
          <w:szCs w:val="24"/>
        </w:rPr>
        <w:t xml:space="preserve">Legal Lesson Learned: </w:t>
      </w:r>
      <w:r w:rsidRPr="00903FC7">
        <w:rPr>
          <w:rFonts w:ascii="Times New Roman" w:hAnsi="Times New Roman"/>
          <w:b/>
          <w:bCs/>
          <w:sz w:val="24"/>
          <w:szCs w:val="24"/>
        </w:rPr>
        <w:t>Heart disease, including d</w:t>
      </w:r>
      <w:r w:rsidRPr="00903FC7">
        <w:rPr>
          <w:rFonts w:ascii="Times New Roman" w:hAnsi="Times New Roman"/>
          <w:b/>
          <w:sz w:val="24"/>
          <w:szCs w:val="24"/>
        </w:rPr>
        <w:t>efective heart valve covered by statutory presumption.</w:t>
      </w:r>
    </w:p>
    <w:p w14:paraId="5C5AB984" w14:textId="77777777" w:rsidR="00903FC7" w:rsidRPr="00903FC7" w:rsidRDefault="00903FC7" w:rsidP="006C4AD8">
      <w:pPr>
        <w:pStyle w:val="NormalWeb"/>
        <w:spacing w:before="0" w:beforeAutospacing="0"/>
        <w:rPr>
          <w:b/>
          <w:bCs/>
          <w:color w:val="454545"/>
          <w:shd w:val="clear" w:color="auto" w:fill="FFFFFF"/>
        </w:rPr>
      </w:pPr>
    </w:p>
    <w:p w14:paraId="5AC760B0" w14:textId="77777777" w:rsidR="00B97A1B" w:rsidRDefault="00B97A1B" w:rsidP="006C4AD8">
      <w:pPr>
        <w:pStyle w:val="NormalWeb"/>
        <w:spacing w:before="0" w:beforeAutospacing="0"/>
        <w:rPr>
          <w:rFonts w:ascii="Arial Black" w:hAnsi="Arial Black"/>
          <w:b/>
          <w:bCs/>
          <w:color w:val="454545"/>
          <w:sz w:val="28"/>
          <w:szCs w:val="28"/>
          <w:shd w:val="clear" w:color="auto" w:fill="FFFFFF"/>
        </w:rPr>
      </w:pPr>
    </w:p>
    <w:p w14:paraId="633C599C" w14:textId="77777777" w:rsidR="00B97A1B" w:rsidRDefault="00B97A1B" w:rsidP="006C4AD8">
      <w:pPr>
        <w:pStyle w:val="NormalWeb"/>
        <w:spacing w:before="0" w:beforeAutospacing="0"/>
        <w:rPr>
          <w:rFonts w:ascii="Arial Black" w:hAnsi="Arial Black"/>
          <w:b/>
          <w:bCs/>
          <w:color w:val="454545"/>
          <w:sz w:val="28"/>
          <w:szCs w:val="28"/>
          <w:shd w:val="clear" w:color="auto" w:fill="FFFFFF"/>
        </w:rPr>
      </w:pPr>
    </w:p>
    <w:p w14:paraId="177B4407" w14:textId="62FDA3BC" w:rsidR="00525E67" w:rsidRDefault="00525E67"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lastRenderedPageBreak/>
        <w:t>6-1</w:t>
      </w:r>
      <w:r w:rsidR="00447612">
        <w:rPr>
          <w:rFonts w:ascii="Arial Black" w:hAnsi="Arial Black"/>
          <w:b/>
          <w:bCs/>
          <w:color w:val="454545"/>
          <w:sz w:val="28"/>
          <w:szCs w:val="28"/>
          <w:shd w:val="clear" w:color="auto" w:fill="FFFFFF"/>
        </w:rPr>
        <w:t>3</w:t>
      </w:r>
      <w:r w:rsidR="002A0697">
        <w:rPr>
          <w:rFonts w:ascii="Arial Black" w:hAnsi="Arial Black"/>
          <w:b/>
          <w:bCs/>
          <w:color w:val="454545"/>
          <w:sz w:val="28"/>
          <w:szCs w:val="28"/>
          <w:shd w:val="clear" w:color="auto" w:fill="FFFFFF"/>
        </w:rPr>
        <w:t>8</w:t>
      </w:r>
    </w:p>
    <w:p w14:paraId="00297654" w14:textId="77777777" w:rsidR="00E0229F" w:rsidRPr="007955D5" w:rsidRDefault="00E0229F" w:rsidP="00E0229F">
      <w:pPr>
        <w:rPr>
          <w:rFonts w:ascii="Arial Black" w:hAnsi="Arial Black"/>
          <w:sz w:val="28"/>
        </w:rPr>
      </w:pPr>
      <w:r>
        <w:rPr>
          <w:rFonts w:ascii="Arial Black" w:hAnsi="Arial Black"/>
          <w:sz w:val="28"/>
        </w:rPr>
        <w:t>IL: CAPTAIN WITH NECK CANCER – DENIED “LINE-OF-DUTY” PENSION – NO PROOF THAT SMOKE WAS CAUSE</w:t>
      </w:r>
    </w:p>
    <w:p w14:paraId="51AD2C7C" w14:textId="77777777" w:rsidR="00E0229F" w:rsidRPr="00E0229F" w:rsidRDefault="00E0229F" w:rsidP="00E0229F">
      <w:pPr>
        <w:pStyle w:val="NoSpacing"/>
        <w:rPr>
          <w:rFonts w:ascii="Times New Roman" w:hAnsi="Times New Roman"/>
          <w:sz w:val="24"/>
          <w:szCs w:val="24"/>
        </w:rPr>
      </w:pPr>
      <w:r w:rsidRPr="00E0229F">
        <w:rPr>
          <w:rFonts w:ascii="Times New Roman" w:hAnsi="Times New Roman"/>
          <w:sz w:val="24"/>
          <w:szCs w:val="24"/>
        </w:rPr>
        <w:t xml:space="preserve">On September 30, 2024, in </w:t>
      </w:r>
      <w:r w:rsidRPr="00E0229F">
        <w:rPr>
          <w:rFonts w:ascii="Times New Roman" w:hAnsi="Times New Roman"/>
          <w:sz w:val="24"/>
          <w:szCs w:val="24"/>
          <w:u w:val="single"/>
        </w:rPr>
        <w:t>Edward G. Sobczyk v. Board of Trustees of the Rockford Firefighters’ Pension Fund,</w:t>
      </w:r>
      <w:r w:rsidRPr="00E0229F">
        <w:rPr>
          <w:rFonts w:ascii="Times New Roman" w:hAnsi="Times New Roman"/>
          <w:sz w:val="24"/>
          <w:szCs w:val="24"/>
        </w:rPr>
        <w:t xml:space="preserve"> the Court of Appeals of Illinois, Fourth District, held (3 to 0) that the Board properly denied the </w:t>
      </w:r>
      <w:proofErr w:type="gramStart"/>
      <w:r w:rsidRPr="00E0229F">
        <w:rPr>
          <w:rFonts w:ascii="Times New Roman" w:hAnsi="Times New Roman"/>
          <w:sz w:val="24"/>
          <w:szCs w:val="24"/>
        </w:rPr>
        <w:t>Captain’s</w:t>
      </w:r>
      <w:proofErr w:type="gramEnd"/>
      <w:r w:rsidRPr="00E0229F">
        <w:rPr>
          <w:rFonts w:ascii="Times New Roman" w:hAnsi="Times New Roman"/>
          <w:sz w:val="24"/>
          <w:szCs w:val="24"/>
        </w:rPr>
        <w:t xml:space="preserve"> application for line-of-duty pensions.  The Court wrote: “And even though plaintiff asserted ‘that smoke ‘could be a cause or factor in the</w:t>
      </w:r>
    </w:p>
    <w:p w14:paraId="7B90852F" w14:textId="77777777" w:rsidR="00E0229F" w:rsidRPr="00E0229F" w:rsidRDefault="00E0229F" w:rsidP="00E0229F">
      <w:pPr>
        <w:pStyle w:val="NoSpacing"/>
        <w:rPr>
          <w:rFonts w:ascii="Times New Roman" w:hAnsi="Times New Roman"/>
          <w:sz w:val="24"/>
          <w:szCs w:val="24"/>
        </w:rPr>
      </w:pPr>
      <w:r w:rsidRPr="00E0229F">
        <w:rPr>
          <w:rFonts w:ascii="Times New Roman" w:hAnsi="Times New Roman"/>
          <w:sz w:val="24"/>
          <w:szCs w:val="24"/>
        </w:rPr>
        <w:t>development’ of his cancer,’ the Board determined plaintiff failed to ‘come forward with</w:t>
      </w:r>
    </w:p>
    <w:p w14:paraId="72525920" w14:textId="77777777" w:rsidR="00E0229F" w:rsidRPr="00E0229F" w:rsidRDefault="00E0229F" w:rsidP="00E0229F">
      <w:pPr>
        <w:pStyle w:val="NoSpacing"/>
        <w:rPr>
          <w:rFonts w:ascii="Times New Roman" w:hAnsi="Times New Roman"/>
          <w:sz w:val="24"/>
          <w:szCs w:val="24"/>
        </w:rPr>
      </w:pPr>
      <w:r w:rsidRPr="00E0229F">
        <w:rPr>
          <w:rFonts w:ascii="Times New Roman" w:hAnsi="Times New Roman"/>
          <w:sz w:val="24"/>
          <w:szCs w:val="24"/>
        </w:rPr>
        <w:t xml:space="preserve">sufficient evidence that smoke was a cause in his cancer.’” </w:t>
      </w:r>
      <w:hyperlink r:id="rId1105" w:history="1">
        <w:r w:rsidRPr="00E0229F">
          <w:rPr>
            <w:rStyle w:val="Hyperlink"/>
            <w:rFonts w:ascii="Times New Roman" w:hAnsi="Times New Roman"/>
            <w:sz w:val="24"/>
            <w:szCs w:val="24"/>
          </w:rPr>
          <w:t>https://ilcourtsaudio.blob.core.windows.net/antilles-resources/resources/6872cb37-ae61-4b36-815c-de4cd8130990/Sobczyk%20v.%20Board%20of%20Trustees%20of%20the%20Rockford%20Firefighters%e2%80%99%20Pension%20Fund,%202024%20IL%20App%20(4th)%20240261-U.pdf</w:t>
        </w:r>
      </w:hyperlink>
      <w:r w:rsidRPr="00E0229F">
        <w:rPr>
          <w:rFonts w:ascii="Times New Roman" w:hAnsi="Times New Roman"/>
          <w:sz w:val="24"/>
          <w:szCs w:val="24"/>
        </w:rPr>
        <w:t xml:space="preserve"> </w:t>
      </w:r>
    </w:p>
    <w:p w14:paraId="5C3226F8" w14:textId="77777777" w:rsidR="00E0229F" w:rsidRPr="00E0229F" w:rsidRDefault="00E0229F" w:rsidP="00E0229F">
      <w:pPr>
        <w:pStyle w:val="NoSpacing"/>
        <w:rPr>
          <w:rFonts w:ascii="Times New Roman" w:hAnsi="Times New Roman"/>
          <w:sz w:val="24"/>
          <w:szCs w:val="24"/>
        </w:rPr>
      </w:pPr>
    </w:p>
    <w:p w14:paraId="0B0DEC29" w14:textId="77777777" w:rsidR="00E0229F" w:rsidRPr="00E0229F" w:rsidRDefault="00E0229F" w:rsidP="00E0229F">
      <w:pPr>
        <w:pStyle w:val="NoSpacing"/>
        <w:rPr>
          <w:rFonts w:ascii="Times New Roman" w:hAnsi="Times New Roman"/>
          <w:sz w:val="24"/>
          <w:szCs w:val="24"/>
        </w:rPr>
      </w:pPr>
      <w:r w:rsidRPr="00E0229F">
        <w:rPr>
          <w:rFonts w:ascii="Times New Roman" w:hAnsi="Times New Roman"/>
          <w:sz w:val="24"/>
          <w:szCs w:val="24"/>
        </w:rPr>
        <w:t>THE COURT HELD:</w:t>
      </w:r>
    </w:p>
    <w:p w14:paraId="3029A23C" w14:textId="77777777" w:rsidR="00E0229F" w:rsidRPr="00E0229F" w:rsidRDefault="00E0229F" w:rsidP="00E0229F">
      <w:pPr>
        <w:pStyle w:val="NoSpacing"/>
        <w:rPr>
          <w:rFonts w:ascii="Times New Roman" w:hAnsi="Times New Roman"/>
          <w:sz w:val="24"/>
          <w:szCs w:val="24"/>
        </w:rPr>
      </w:pPr>
    </w:p>
    <w:p w14:paraId="48419A42" w14:textId="77777777" w:rsidR="00E0229F" w:rsidRPr="00E0229F" w:rsidRDefault="00E0229F" w:rsidP="00E0229F">
      <w:pPr>
        <w:pStyle w:val="NoSpacing"/>
        <w:ind w:left="720"/>
        <w:rPr>
          <w:rFonts w:ascii="Times New Roman" w:hAnsi="Times New Roman"/>
          <w:sz w:val="24"/>
          <w:szCs w:val="24"/>
        </w:rPr>
      </w:pPr>
      <w:r w:rsidRPr="00E0229F">
        <w:rPr>
          <w:rFonts w:ascii="Times New Roman" w:hAnsi="Times New Roman"/>
          <w:sz w:val="24"/>
          <w:szCs w:val="24"/>
        </w:rPr>
        <w:t>“The Board also received the reports and testimony of four doctors. Plaintiff called</w:t>
      </w:r>
    </w:p>
    <w:p w14:paraId="17C7B43D" w14:textId="77777777" w:rsidR="00E0229F" w:rsidRPr="00E0229F" w:rsidRDefault="00E0229F" w:rsidP="00E0229F">
      <w:pPr>
        <w:pStyle w:val="NoSpacing"/>
        <w:ind w:left="720"/>
        <w:rPr>
          <w:rFonts w:ascii="Times New Roman" w:hAnsi="Times New Roman"/>
          <w:sz w:val="24"/>
          <w:szCs w:val="24"/>
        </w:rPr>
      </w:pPr>
      <w:r w:rsidRPr="00E0229F">
        <w:rPr>
          <w:rFonts w:ascii="Times New Roman" w:hAnsi="Times New Roman"/>
          <w:sz w:val="24"/>
          <w:szCs w:val="24"/>
        </w:rPr>
        <w:t xml:space="preserve">Dr. Peter Orris, a physician trained in occupational and internal medicine, as a retained expert. The other three </w:t>
      </w:r>
      <w:proofErr w:type="gramStart"/>
      <w:r w:rsidRPr="00E0229F">
        <w:rPr>
          <w:rFonts w:ascii="Times New Roman" w:hAnsi="Times New Roman"/>
          <w:sz w:val="24"/>
          <w:szCs w:val="24"/>
        </w:rPr>
        <w:t>doctors—</w:t>
      </w:r>
      <w:proofErr w:type="gramEnd"/>
      <w:r w:rsidRPr="00E0229F">
        <w:rPr>
          <w:rFonts w:ascii="Times New Roman" w:hAnsi="Times New Roman"/>
          <w:sz w:val="24"/>
          <w:szCs w:val="24"/>
        </w:rPr>
        <w:t>Dr. Nicholas Campbell, Dr. Daniel Samo, and Dr. Elliot Lieberman— served as the Board’s IMEs.</w:t>
      </w:r>
    </w:p>
    <w:p w14:paraId="635A4EF7" w14:textId="77777777" w:rsidR="00E0229F" w:rsidRPr="00E0229F" w:rsidRDefault="00E0229F" w:rsidP="00E0229F">
      <w:pPr>
        <w:pStyle w:val="NoSpacing"/>
        <w:ind w:left="720"/>
        <w:rPr>
          <w:rFonts w:ascii="Times New Roman" w:hAnsi="Times New Roman"/>
          <w:sz w:val="24"/>
          <w:szCs w:val="24"/>
        </w:rPr>
      </w:pPr>
    </w:p>
    <w:p w14:paraId="1A944C86" w14:textId="77777777" w:rsidR="00E0229F" w:rsidRPr="00E0229F" w:rsidRDefault="00E0229F" w:rsidP="00E0229F">
      <w:pPr>
        <w:pStyle w:val="NoSpacing"/>
        <w:ind w:left="720"/>
        <w:rPr>
          <w:rFonts w:ascii="Times New Roman" w:hAnsi="Times New Roman"/>
          <w:sz w:val="24"/>
          <w:szCs w:val="24"/>
        </w:rPr>
      </w:pPr>
      <w:r w:rsidRPr="00E0229F">
        <w:rPr>
          <w:rFonts w:ascii="Times New Roman" w:hAnsi="Times New Roman"/>
          <w:sz w:val="24"/>
          <w:szCs w:val="24"/>
        </w:rPr>
        <w:t>***</w:t>
      </w:r>
    </w:p>
    <w:p w14:paraId="46486EA5" w14:textId="77777777" w:rsidR="00E0229F" w:rsidRPr="00E0229F" w:rsidRDefault="00E0229F" w:rsidP="00E0229F">
      <w:pPr>
        <w:pStyle w:val="NoSpacing"/>
        <w:ind w:left="720"/>
        <w:rPr>
          <w:rFonts w:ascii="Times New Roman" w:hAnsi="Times New Roman"/>
          <w:sz w:val="24"/>
          <w:szCs w:val="24"/>
        </w:rPr>
      </w:pPr>
      <w:r w:rsidRPr="00E0229F">
        <w:rPr>
          <w:rFonts w:ascii="Times New Roman" w:hAnsi="Times New Roman"/>
          <w:sz w:val="24"/>
          <w:szCs w:val="24"/>
        </w:rPr>
        <w:t>In February 2023, the Board issued its written decision and order. In relevant part,</w:t>
      </w:r>
    </w:p>
    <w:p w14:paraId="63C99218" w14:textId="77777777" w:rsidR="00E0229F" w:rsidRPr="00E0229F" w:rsidRDefault="00E0229F" w:rsidP="00E0229F">
      <w:pPr>
        <w:pStyle w:val="NoSpacing"/>
        <w:ind w:left="720"/>
        <w:rPr>
          <w:rFonts w:ascii="Times New Roman" w:hAnsi="Times New Roman"/>
          <w:sz w:val="24"/>
          <w:szCs w:val="24"/>
        </w:rPr>
      </w:pPr>
      <w:r w:rsidRPr="00E0229F">
        <w:rPr>
          <w:rFonts w:ascii="Times New Roman" w:hAnsi="Times New Roman"/>
          <w:sz w:val="24"/>
          <w:szCs w:val="24"/>
        </w:rPr>
        <w:t>the Board determined plaintiff failed to show ‘that his act or acts of duty, or the cumulative effects thereof, caused or contributed to his disability,’ and he further failed to show ‘that his cancer was related to his service as a firefighter.’ In coming to its conclusion, the Board acknowledged the differences of opinion between the IMEs and Dr. Orris but afforded ‘paramount weight to the opinion of Dr. Campbell’ because he was ‘a board-certified oncologist and therefore in the best position to opine on the cause of the [plaintiff’s] cancer.’</w:t>
      </w:r>
    </w:p>
    <w:p w14:paraId="46F6A0F9" w14:textId="77777777" w:rsidR="00E0229F" w:rsidRPr="00E0229F" w:rsidRDefault="00E0229F" w:rsidP="00E0229F">
      <w:pPr>
        <w:pStyle w:val="NoSpacing"/>
        <w:ind w:left="720"/>
        <w:rPr>
          <w:rFonts w:ascii="Times New Roman" w:hAnsi="Times New Roman"/>
          <w:sz w:val="24"/>
          <w:szCs w:val="24"/>
        </w:rPr>
      </w:pPr>
    </w:p>
    <w:p w14:paraId="7E8A4CC4" w14:textId="77777777" w:rsidR="00E0229F" w:rsidRPr="00E0229F" w:rsidRDefault="00E0229F" w:rsidP="00E0229F">
      <w:pPr>
        <w:pStyle w:val="NoSpacing"/>
        <w:ind w:left="720"/>
        <w:rPr>
          <w:rFonts w:ascii="Times New Roman" w:hAnsi="Times New Roman"/>
          <w:sz w:val="24"/>
          <w:szCs w:val="24"/>
        </w:rPr>
      </w:pPr>
      <w:r w:rsidRPr="00E0229F">
        <w:rPr>
          <w:rFonts w:ascii="Times New Roman" w:hAnsi="Times New Roman"/>
          <w:sz w:val="24"/>
          <w:szCs w:val="24"/>
        </w:rPr>
        <w:t>***</w:t>
      </w:r>
    </w:p>
    <w:p w14:paraId="1AAFF304" w14:textId="77777777" w:rsidR="00E0229F" w:rsidRPr="00E0229F" w:rsidRDefault="00E0229F" w:rsidP="00E0229F">
      <w:pPr>
        <w:pStyle w:val="NoSpacing"/>
        <w:ind w:left="720"/>
        <w:rPr>
          <w:rFonts w:ascii="Times New Roman" w:hAnsi="Times New Roman"/>
          <w:sz w:val="24"/>
          <w:szCs w:val="24"/>
        </w:rPr>
      </w:pPr>
    </w:p>
    <w:p w14:paraId="6B0AA503" w14:textId="77777777" w:rsidR="00E0229F" w:rsidRPr="00E0229F" w:rsidRDefault="00E0229F" w:rsidP="00E0229F">
      <w:pPr>
        <w:pStyle w:val="NoSpacing"/>
        <w:ind w:left="720"/>
        <w:rPr>
          <w:rFonts w:ascii="Times New Roman" w:hAnsi="Times New Roman"/>
          <w:sz w:val="24"/>
          <w:szCs w:val="24"/>
        </w:rPr>
      </w:pPr>
      <w:r w:rsidRPr="00E0229F">
        <w:rPr>
          <w:rFonts w:ascii="Times New Roman" w:hAnsi="Times New Roman"/>
          <w:sz w:val="24"/>
          <w:szCs w:val="24"/>
        </w:rPr>
        <w:t xml:space="preserve">Dr. Nicholas Campbell is a board-certified oncologist specializing in thoracic, head, and neck malignancies. Dr. Campbell ruled out plaintiff’s firefighting duties as a contributing cause of plaintiff’s cancer based on the type of cancer plaintiff had. According to Dr. </w:t>
      </w:r>
      <w:proofErr w:type="gramStart"/>
      <w:r w:rsidRPr="00E0229F">
        <w:rPr>
          <w:rFonts w:ascii="Times New Roman" w:hAnsi="Times New Roman"/>
          <w:sz w:val="24"/>
          <w:szCs w:val="24"/>
        </w:rPr>
        <w:t>Campbell, ‘</w:t>
      </w:r>
      <w:proofErr w:type="gramEnd"/>
      <w:r w:rsidRPr="00E0229F">
        <w:rPr>
          <w:rFonts w:ascii="Times New Roman" w:hAnsi="Times New Roman"/>
          <w:sz w:val="24"/>
          <w:szCs w:val="24"/>
        </w:rPr>
        <w:t xml:space="preserve">p16 is a well-known and highly reproducible molecule for which pathologists routinely test head [and] neck cancers.’ Plaintiff’s tumors tested ‘strongly positive for this molecule,’ and Dr. Campbell concluded plaintiff’s cancer ‘was not caused by heat, radiation, or a known carcinogen that he would have been exposed to at work.’ Dr. Campbell explained, ‘p16 positivity, especially when diffusely positive on a specimen as [plaintiff’s] samples were, is pathognomonic for a cancer caused by HPV. Other cancers that are not HPV related in the head [and] neck can rarely be seen to be p16 </w:t>
      </w:r>
      <w:proofErr w:type="gramStart"/>
      <w:r w:rsidRPr="00E0229F">
        <w:rPr>
          <w:rFonts w:ascii="Times New Roman" w:hAnsi="Times New Roman"/>
          <w:sz w:val="24"/>
          <w:szCs w:val="24"/>
        </w:rPr>
        <w:t>positive, but</w:t>
      </w:r>
      <w:proofErr w:type="gramEnd"/>
      <w:r w:rsidRPr="00E0229F">
        <w:rPr>
          <w:rFonts w:ascii="Times New Roman" w:hAnsi="Times New Roman"/>
          <w:sz w:val="24"/>
          <w:szCs w:val="24"/>
        </w:rPr>
        <w:t xml:space="preserve"> usually have a primary lesion that is found.’ Dr. Campbell also explained why the negative results of plaintiff’s metastasized samples for the HPV 16 and 18 genotypes did not change his opinion. According to Dr. </w:t>
      </w:r>
      <w:proofErr w:type="gramStart"/>
      <w:r w:rsidRPr="00E0229F">
        <w:rPr>
          <w:rFonts w:ascii="Times New Roman" w:hAnsi="Times New Roman"/>
          <w:sz w:val="24"/>
          <w:szCs w:val="24"/>
        </w:rPr>
        <w:t>Campbell, ‘</w:t>
      </w:r>
      <w:proofErr w:type="gramEnd"/>
      <w:r w:rsidRPr="00E0229F">
        <w:rPr>
          <w:rFonts w:ascii="Times New Roman" w:hAnsi="Times New Roman"/>
          <w:sz w:val="24"/>
          <w:szCs w:val="24"/>
        </w:rPr>
        <w:t>when cancers spread and metastasize, they become more deranged” and “will oftentimes lose the HPV positivity.’ And because plaintiff’s initial biopsy samples were diffusely positive for the p16 molecule, Dr. Campbell reasoned that ‘[t]his would be sort of the one tumor type to get that you can’t really pin on anything else,’ other than HPV.”</w:t>
      </w:r>
    </w:p>
    <w:p w14:paraId="126945A6" w14:textId="77777777" w:rsidR="00E0229F" w:rsidRPr="00E0229F" w:rsidRDefault="00E0229F" w:rsidP="00E0229F">
      <w:pPr>
        <w:pStyle w:val="NoSpacing"/>
        <w:rPr>
          <w:rFonts w:ascii="Times New Roman" w:hAnsi="Times New Roman"/>
          <w:sz w:val="24"/>
          <w:szCs w:val="24"/>
        </w:rPr>
      </w:pPr>
    </w:p>
    <w:p w14:paraId="13E11A92" w14:textId="77777777" w:rsidR="00E0229F" w:rsidRPr="00E0229F" w:rsidRDefault="00E0229F" w:rsidP="00E0229F">
      <w:pPr>
        <w:pStyle w:val="NoSpacing"/>
        <w:rPr>
          <w:rFonts w:ascii="Times New Roman" w:hAnsi="Times New Roman"/>
          <w:sz w:val="24"/>
          <w:szCs w:val="24"/>
        </w:rPr>
      </w:pPr>
    </w:p>
    <w:p w14:paraId="3DC51640" w14:textId="77777777" w:rsidR="00E0229F" w:rsidRPr="00E0229F" w:rsidRDefault="00E0229F" w:rsidP="00E0229F">
      <w:pPr>
        <w:rPr>
          <w:rFonts w:ascii="Times New Roman" w:hAnsi="Times New Roman"/>
          <w:b/>
          <w:bCs/>
          <w:sz w:val="24"/>
          <w:szCs w:val="24"/>
        </w:rPr>
      </w:pPr>
      <w:r w:rsidRPr="00E0229F">
        <w:rPr>
          <w:rFonts w:ascii="Times New Roman" w:hAnsi="Times New Roman"/>
          <w:b/>
          <w:bCs/>
          <w:sz w:val="24"/>
          <w:szCs w:val="24"/>
        </w:rPr>
        <w:lastRenderedPageBreak/>
        <w:t xml:space="preserve">Legal Lesson Learned:  Another case involving “battle of experts” where Pension Board relied on their experts.  Where SCBA during overhaul if smoky environment.  </w:t>
      </w:r>
    </w:p>
    <w:p w14:paraId="4CF36C77" w14:textId="77777777" w:rsidR="00E0229F" w:rsidRDefault="00E0229F" w:rsidP="00E0229F"/>
    <w:p w14:paraId="6B24DC6F" w14:textId="77777777" w:rsidR="00E0229F" w:rsidRDefault="00E0229F" w:rsidP="006C4AD8">
      <w:pPr>
        <w:pStyle w:val="NormalWeb"/>
        <w:spacing w:before="0" w:beforeAutospacing="0"/>
        <w:rPr>
          <w:rFonts w:ascii="Arial Black" w:hAnsi="Arial Black"/>
          <w:b/>
          <w:bCs/>
          <w:color w:val="454545"/>
          <w:sz w:val="28"/>
          <w:szCs w:val="28"/>
          <w:shd w:val="clear" w:color="auto" w:fill="FFFFFF"/>
        </w:rPr>
      </w:pPr>
    </w:p>
    <w:p w14:paraId="26E1D17B" w14:textId="77777777" w:rsidR="00525E67" w:rsidRDefault="00525E67" w:rsidP="006C4AD8">
      <w:pPr>
        <w:pStyle w:val="NormalWeb"/>
        <w:spacing w:before="0" w:beforeAutospacing="0"/>
        <w:rPr>
          <w:rFonts w:ascii="Arial Black" w:hAnsi="Arial Black"/>
          <w:b/>
          <w:bCs/>
          <w:color w:val="454545"/>
          <w:sz w:val="28"/>
          <w:szCs w:val="28"/>
          <w:shd w:val="clear" w:color="auto" w:fill="FFFFFF"/>
        </w:rPr>
      </w:pPr>
    </w:p>
    <w:p w14:paraId="1FB1BDF4" w14:textId="04AAFF3F" w:rsidR="00FF0339" w:rsidRDefault="00FF0339"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6-13</w:t>
      </w:r>
      <w:r w:rsidR="002A0697">
        <w:rPr>
          <w:rFonts w:ascii="Arial Black" w:hAnsi="Arial Black"/>
          <w:b/>
          <w:bCs/>
          <w:color w:val="454545"/>
          <w:sz w:val="28"/>
          <w:szCs w:val="28"/>
          <w:shd w:val="clear" w:color="auto" w:fill="FFFFFF"/>
        </w:rPr>
        <w:t>7</w:t>
      </w:r>
    </w:p>
    <w:p w14:paraId="32AD24CE" w14:textId="77777777" w:rsidR="00525E67" w:rsidRPr="0047626B" w:rsidRDefault="00525E67" w:rsidP="00525E67">
      <w:pPr>
        <w:rPr>
          <w:rFonts w:ascii="Arial Black" w:hAnsi="Arial Black"/>
          <w:b/>
          <w:bCs/>
          <w:sz w:val="28"/>
        </w:rPr>
      </w:pPr>
      <w:r>
        <w:rPr>
          <w:rFonts w:ascii="Arial Black" w:hAnsi="Arial Black"/>
          <w:b/>
          <w:bCs/>
          <w:sz w:val="28"/>
        </w:rPr>
        <w:t xml:space="preserve">CT: FIRE CHIEF – CITY CHARTER “PENSION OFFSET” - 75% DISABILITY PENSION OFFSET / WIFE NO MORE WORK COMP </w:t>
      </w:r>
    </w:p>
    <w:p w14:paraId="3769B752" w14:textId="77777777" w:rsidR="00525E67" w:rsidRPr="00525E67" w:rsidRDefault="00525E67" w:rsidP="00525E67">
      <w:pPr>
        <w:pStyle w:val="NoSpacing"/>
        <w:rPr>
          <w:rFonts w:ascii="Times New Roman" w:hAnsi="Times New Roman"/>
          <w:sz w:val="24"/>
          <w:szCs w:val="24"/>
        </w:rPr>
      </w:pPr>
      <w:r w:rsidRPr="00525E67">
        <w:rPr>
          <w:rFonts w:ascii="Times New Roman" w:hAnsi="Times New Roman"/>
          <w:sz w:val="24"/>
          <w:szCs w:val="24"/>
        </w:rPr>
        <w:t xml:space="preserve">On Sept. 24, 2024, in </w:t>
      </w:r>
      <w:r w:rsidRPr="00525E67">
        <w:rPr>
          <w:rFonts w:ascii="Times New Roman" w:hAnsi="Times New Roman"/>
          <w:sz w:val="24"/>
          <w:szCs w:val="24"/>
          <w:u w:val="single"/>
        </w:rPr>
        <w:t>City of Waterbury v. Janet Brennan, et al</w:t>
      </w:r>
      <w:r w:rsidRPr="00525E67">
        <w:rPr>
          <w:rFonts w:ascii="Times New Roman" w:hAnsi="Times New Roman"/>
          <w:sz w:val="24"/>
          <w:szCs w:val="24"/>
        </w:rPr>
        <w:t xml:space="preserve">., the Connecticut Appellant Court held (9 to 0) that the trial court properly granted summary judgment to the city.  Fire Chief Thomas Brennan had a heart attack in 1993 and was awarded worker’s comp; he retired on disability pension in 1995 (75%).  He died in 2006, having received monthly pension payments </w:t>
      </w:r>
      <w:proofErr w:type="gramStart"/>
      <w:r w:rsidRPr="00525E67">
        <w:rPr>
          <w:rFonts w:ascii="Times New Roman" w:hAnsi="Times New Roman"/>
          <w:sz w:val="24"/>
          <w:szCs w:val="24"/>
        </w:rPr>
        <w:t>and also</w:t>
      </w:r>
      <w:proofErr w:type="gramEnd"/>
      <w:r w:rsidRPr="00525E67">
        <w:rPr>
          <w:rFonts w:ascii="Times New Roman" w:hAnsi="Times New Roman"/>
          <w:sz w:val="24"/>
          <w:szCs w:val="24"/>
        </w:rPr>
        <w:t xml:space="preserve"> two worker’s comp lump sum payments in 1997 and 1999.   The </w:t>
      </w:r>
      <w:proofErr w:type="gramStart"/>
      <w:r w:rsidRPr="00525E67">
        <w:rPr>
          <w:rFonts w:ascii="Times New Roman" w:hAnsi="Times New Roman"/>
          <w:sz w:val="24"/>
          <w:szCs w:val="24"/>
        </w:rPr>
        <w:t>City</w:t>
      </w:r>
      <w:proofErr w:type="gramEnd"/>
      <w:r w:rsidRPr="00525E67">
        <w:rPr>
          <w:rFonts w:ascii="Times New Roman" w:hAnsi="Times New Roman"/>
          <w:sz w:val="24"/>
          <w:szCs w:val="24"/>
        </w:rPr>
        <w:t xml:space="preserve"> in 2005 asked Court to confirm no further worker’s comp payments were due to his widow. The City Charter provides that worker’s comp. obligations are to be “offset” by pension payments paid to the retiree.  The Court wrote: “As our Supreme Court observed in Russo v. Waterbury, 304 Conn. 710, 714, 41 A.3d 1033 (2012), § 2761 of the city charter ‘‘allows the city to offset the . . . pension benefits [of municipal employees] based on their heart and hypertension benefits’’ under § 7-433c.”</w:t>
      </w:r>
    </w:p>
    <w:p w14:paraId="6DAA9F60" w14:textId="77777777" w:rsidR="00525E67" w:rsidRPr="00525E67" w:rsidRDefault="00525E67" w:rsidP="00525E67">
      <w:pPr>
        <w:pStyle w:val="NoSpacing"/>
        <w:rPr>
          <w:rFonts w:ascii="Times New Roman" w:hAnsi="Times New Roman"/>
          <w:sz w:val="24"/>
          <w:szCs w:val="24"/>
        </w:rPr>
      </w:pPr>
      <w:hyperlink r:id="rId1106" w:history="1">
        <w:r w:rsidRPr="00525E67">
          <w:rPr>
            <w:rStyle w:val="Hyperlink"/>
            <w:rFonts w:ascii="Times New Roman" w:hAnsi="Times New Roman"/>
            <w:sz w:val="24"/>
            <w:szCs w:val="24"/>
          </w:rPr>
          <w:t>https://www.jud.ct.gov/external/supapp/Cases/AROap/AP228/AP228.307.pdf</w:t>
        </w:r>
      </w:hyperlink>
      <w:r w:rsidRPr="00525E67">
        <w:rPr>
          <w:rFonts w:ascii="Times New Roman" w:hAnsi="Times New Roman"/>
          <w:sz w:val="24"/>
          <w:szCs w:val="24"/>
        </w:rPr>
        <w:t xml:space="preserve"> </w:t>
      </w:r>
    </w:p>
    <w:p w14:paraId="45B116DE" w14:textId="77777777" w:rsidR="00525E67" w:rsidRPr="00525E67" w:rsidRDefault="00525E67" w:rsidP="00525E67">
      <w:pPr>
        <w:pStyle w:val="NoSpacing"/>
        <w:jc w:val="both"/>
        <w:rPr>
          <w:rFonts w:ascii="Times New Roman" w:hAnsi="Times New Roman"/>
          <w:sz w:val="24"/>
          <w:szCs w:val="24"/>
        </w:rPr>
      </w:pPr>
    </w:p>
    <w:p w14:paraId="35C71931" w14:textId="77777777" w:rsidR="00525E67" w:rsidRPr="00525E67" w:rsidRDefault="00525E67" w:rsidP="00525E67">
      <w:pPr>
        <w:pStyle w:val="NoSpacing"/>
        <w:rPr>
          <w:rFonts w:ascii="Times New Roman" w:hAnsi="Times New Roman"/>
          <w:sz w:val="24"/>
          <w:szCs w:val="24"/>
        </w:rPr>
      </w:pPr>
      <w:r w:rsidRPr="00525E67">
        <w:rPr>
          <w:rFonts w:ascii="Times New Roman" w:hAnsi="Times New Roman"/>
          <w:sz w:val="24"/>
          <w:szCs w:val="24"/>
        </w:rPr>
        <w:t xml:space="preserve"> THE COURT HELD: </w:t>
      </w:r>
    </w:p>
    <w:p w14:paraId="321E3EC6" w14:textId="77777777" w:rsidR="00525E67" w:rsidRPr="00525E67" w:rsidRDefault="00525E67" w:rsidP="00525E67">
      <w:pPr>
        <w:pStyle w:val="NoSpacing"/>
        <w:rPr>
          <w:rFonts w:ascii="Times New Roman" w:hAnsi="Times New Roman"/>
          <w:sz w:val="24"/>
          <w:szCs w:val="24"/>
        </w:rPr>
      </w:pPr>
    </w:p>
    <w:p w14:paraId="4D5B00D4" w14:textId="77777777" w:rsidR="00525E67" w:rsidRPr="00525E67" w:rsidRDefault="00525E67" w:rsidP="00525E67">
      <w:pPr>
        <w:pStyle w:val="NoSpacing"/>
        <w:ind w:left="720"/>
        <w:rPr>
          <w:rFonts w:ascii="Times New Roman" w:hAnsi="Times New Roman"/>
          <w:sz w:val="24"/>
          <w:szCs w:val="24"/>
        </w:rPr>
      </w:pPr>
      <w:r w:rsidRPr="00525E67">
        <w:rPr>
          <w:rFonts w:ascii="Times New Roman" w:hAnsi="Times New Roman"/>
          <w:sz w:val="24"/>
          <w:szCs w:val="24"/>
        </w:rPr>
        <w:t>“In this action for declaratory relief, the defendant Janet Brennan appeals from the judgment of the trial court rendered in favor of the plaintiff, the city of Waterbury (city). On appeal, the defendant claims that the court improperly denied her motion for summary judgment and, relatedly, that it improperly granted the motion for summary judgment filed by the city. We affirm the judgment of the trial court.</w:t>
      </w:r>
    </w:p>
    <w:p w14:paraId="373BA91F" w14:textId="77777777" w:rsidR="00525E67" w:rsidRPr="00525E67" w:rsidRDefault="00525E67" w:rsidP="00525E67">
      <w:pPr>
        <w:pStyle w:val="NoSpacing"/>
        <w:rPr>
          <w:rFonts w:ascii="Times New Roman" w:hAnsi="Times New Roman"/>
          <w:sz w:val="24"/>
          <w:szCs w:val="24"/>
        </w:rPr>
      </w:pPr>
    </w:p>
    <w:p w14:paraId="06D3D784" w14:textId="77777777" w:rsidR="00525E67" w:rsidRPr="00525E67" w:rsidRDefault="00525E67" w:rsidP="00525E67">
      <w:pPr>
        <w:pStyle w:val="NoSpacing"/>
        <w:ind w:firstLine="720"/>
        <w:rPr>
          <w:rFonts w:ascii="Times New Roman" w:hAnsi="Times New Roman"/>
          <w:sz w:val="24"/>
          <w:szCs w:val="24"/>
        </w:rPr>
      </w:pPr>
      <w:r w:rsidRPr="00525E67">
        <w:rPr>
          <w:rFonts w:ascii="Times New Roman" w:hAnsi="Times New Roman"/>
          <w:sz w:val="24"/>
          <w:szCs w:val="24"/>
        </w:rPr>
        <w:t>***</w:t>
      </w:r>
    </w:p>
    <w:p w14:paraId="07FFA0D9" w14:textId="77777777" w:rsidR="00525E67" w:rsidRPr="00525E67" w:rsidRDefault="00525E67" w:rsidP="00525E67">
      <w:pPr>
        <w:ind w:left="720"/>
        <w:rPr>
          <w:rFonts w:ascii="Times New Roman" w:hAnsi="Times New Roman"/>
          <w:sz w:val="24"/>
          <w:szCs w:val="24"/>
        </w:rPr>
      </w:pPr>
      <w:r w:rsidRPr="00525E67">
        <w:rPr>
          <w:rFonts w:ascii="Times New Roman" w:hAnsi="Times New Roman"/>
          <w:sz w:val="24"/>
          <w:szCs w:val="24"/>
        </w:rPr>
        <w:t xml:space="preserve">The city commenced the present action by service of process on December 24, 2015. The gist of its complaint was that, due to a pension offset provision in </w:t>
      </w:r>
      <w:proofErr w:type="gramStart"/>
      <w:r w:rsidRPr="00525E67">
        <w:rPr>
          <w:rFonts w:ascii="Times New Roman" w:hAnsi="Times New Roman"/>
          <w:sz w:val="24"/>
          <w:szCs w:val="24"/>
        </w:rPr>
        <w:t>the 1967</w:t>
      </w:r>
      <w:proofErr w:type="gramEnd"/>
      <w:r w:rsidRPr="00525E67">
        <w:rPr>
          <w:rFonts w:ascii="Times New Roman" w:hAnsi="Times New Roman"/>
          <w:sz w:val="24"/>
          <w:szCs w:val="24"/>
        </w:rPr>
        <w:t xml:space="preserve"> Waterbury city charter (city charter), no further heart and hypertension payments were due to the defendant.</w:t>
      </w:r>
    </w:p>
    <w:p w14:paraId="74CA59A7" w14:textId="77777777" w:rsidR="00525E67" w:rsidRPr="00525E67" w:rsidRDefault="00525E67" w:rsidP="00525E67">
      <w:pPr>
        <w:ind w:firstLine="720"/>
        <w:rPr>
          <w:rFonts w:ascii="Times New Roman" w:hAnsi="Times New Roman"/>
          <w:sz w:val="24"/>
          <w:szCs w:val="24"/>
        </w:rPr>
      </w:pPr>
      <w:r w:rsidRPr="00525E67">
        <w:rPr>
          <w:rFonts w:ascii="Times New Roman" w:hAnsi="Times New Roman"/>
          <w:sz w:val="24"/>
          <w:szCs w:val="24"/>
        </w:rPr>
        <w:t>***</w:t>
      </w:r>
    </w:p>
    <w:p w14:paraId="11DE5E0C" w14:textId="77777777" w:rsidR="00525E67" w:rsidRPr="00525E67" w:rsidRDefault="00525E67" w:rsidP="00525E67">
      <w:pPr>
        <w:pStyle w:val="NoSpacing"/>
        <w:ind w:left="720"/>
        <w:rPr>
          <w:rFonts w:ascii="Times New Roman" w:hAnsi="Times New Roman"/>
          <w:sz w:val="24"/>
          <w:szCs w:val="24"/>
        </w:rPr>
      </w:pPr>
      <w:r w:rsidRPr="00525E67">
        <w:rPr>
          <w:rFonts w:ascii="Times New Roman" w:hAnsi="Times New Roman"/>
          <w:sz w:val="24"/>
          <w:szCs w:val="24"/>
        </w:rPr>
        <w:t xml:space="preserve">Section 2761 of the city charter provides: ‘’No payments of retirement, disability or death benefits shall be allowed or paid under the provisions of this act so long or for such period as payments are being made by [the city] under the provisions of the General Statutes relating to workers’ compensation except when such payments would exceed the payments made under the provisions of the Workers’ Compensation Act. In such cases the pensioner shall receive, in addition to his payments under the Workers’ Compensation </w:t>
      </w:r>
      <w:proofErr w:type="gramStart"/>
      <w:r w:rsidRPr="00525E67">
        <w:rPr>
          <w:rFonts w:ascii="Times New Roman" w:hAnsi="Times New Roman"/>
          <w:sz w:val="24"/>
          <w:szCs w:val="24"/>
        </w:rPr>
        <w:t>Act</w:t>
      </w:r>
      <w:proofErr w:type="gramEnd"/>
      <w:r w:rsidRPr="00525E67">
        <w:rPr>
          <w:rFonts w:ascii="Times New Roman" w:hAnsi="Times New Roman"/>
          <w:sz w:val="24"/>
          <w:szCs w:val="24"/>
        </w:rPr>
        <w:t xml:space="preserve"> the difference between that amount and the amount which he would have received under the provisions of this </w:t>
      </w:r>
      <w:proofErr w:type="gramStart"/>
      <w:r w:rsidRPr="00525E67">
        <w:rPr>
          <w:rFonts w:ascii="Times New Roman" w:hAnsi="Times New Roman"/>
          <w:sz w:val="24"/>
          <w:szCs w:val="24"/>
        </w:rPr>
        <w:t>act.’</w:t>
      </w:r>
      <w:proofErr w:type="gramEnd"/>
      <w:r w:rsidRPr="00525E67">
        <w:rPr>
          <w:rFonts w:ascii="Times New Roman" w:hAnsi="Times New Roman"/>
          <w:sz w:val="24"/>
          <w:szCs w:val="24"/>
        </w:rPr>
        <w:t>’ In Russo v. Waterbury, supra, 304 Conn. 714, our Supreme Court concluded that § 2761 of the city charter ’allows the city to offset the . . . pension benefits [of municipal employees] based on their heart and hypertension benefits’’ under § 7-433c.’”</w:t>
      </w:r>
    </w:p>
    <w:p w14:paraId="1ACAA7F0" w14:textId="77777777" w:rsidR="00525E67" w:rsidRPr="00525E67" w:rsidRDefault="00525E67" w:rsidP="00525E67">
      <w:pPr>
        <w:pStyle w:val="NoSpacing"/>
        <w:ind w:left="720"/>
        <w:rPr>
          <w:rFonts w:ascii="Times New Roman" w:hAnsi="Times New Roman"/>
          <w:sz w:val="24"/>
          <w:szCs w:val="24"/>
        </w:rPr>
      </w:pPr>
    </w:p>
    <w:p w14:paraId="6B9950CA" w14:textId="77777777" w:rsidR="00525E67" w:rsidRPr="00525E67" w:rsidRDefault="00525E67" w:rsidP="00525E67">
      <w:pPr>
        <w:pStyle w:val="NoSpacing"/>
        <w:rPr>
          <w:rFonts w:ascii="Times New Roman" w:hAnsi="Times New Roman"/>
          <w:sz w:val="24"/>
          <w:szCs w:val="24"/>
        </w:rPr>
      </w:pPr>
    </w:p>
    <w:p w14:paraId="1DA4930A" w14:textId="77777777" w:rsidR="00525E67" w:rsidRPr="00525E67" w:rsidRDefault="00525E67" w:rsidP="00525E67">
      <w:pPr>
        <w:rPr>
          <w:rFonts w:ascii="Times New Roman" w:hAnsi="Times New Roman"/>
          <w:sz w:val="24"/>
          <w:szCs w:val="24"/>
        </w:rPr>
      </w:pPr>
    </w:p>
    <w:p w14:paraId="4DA998E9" w14:textId="77777777" w:rsidR="00525E67" w:rsidRPr="00525E67" w:rsidRDefault="00525E67" w:rsidP="00525E67">
      <w:pPr>
        <w:rPr>
          <w:rFonts w:ascii="Times New Roman" w:hAnsi="Times New Roman"/>
          <w:b/>
          <w:bCs/>
          <w:sz w:val="24"/>
          <w:szCs w:val="24"/>
        </w:rPr>
      </w:pPr>
      <w:r w:rsidRPr="00525E67">
        <w:rPr>
          <w:rFonts w:ascii="Times New Roman" w:hAnsi="Times New Roman"/>
          <w:b/>
          <w:bCs/>
          <w:sz w:val="24"/>
          <w:szCs w:val="24"/>
        </w:rPr>
        <w:t xml:space="preserve">Legal Lesson Learned: A City Charter can provide for “offset” so the city will not be required to pay both workers comp and pension. </w:t>
      </w:r>
    </w:p>
    <w:p w14:paraId="7E5BF7E9" w14:textId="77777777" w:rsidR="00525E67" w:rsidRDefault="00525E67" w:rsidP="00525E67"/>
    <w:p w14:paraId="6E9E6046" w14:textId="229DE5E2" w:rsidR="003F2075" w:rsidRDefault="003F2075"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6-13</w:t>
      </w:r>
      <w:r w:rsidR="002A0697">
        <w:rPr>
          <w:rFonts w:ascii="Arial Black" w:hAnsi="Arial Black"/>
          <w:b/>
          <w:bCs/>
          <w:color w:val="454545"/>
          <w:sz w:val="28"/>
          <w:szCs w:val="28"/>
          <w:shd w:val="clear" w:color="auto" w:fill="FFFFFF"/>
        </w:rPr>
        <w:t>6</w:t>
      </w:r>
    </w:p>
    <w:p w14:paraId="77CDEA8F" w14:textId="77777777" w:rsidR="00C81642" w:rsidRDefault="00C81642" w:rsidP="00C81642">
      <w:pPr>
        <w:pStyle w:val="NoSpacing"/>
        <w:rPr>
          <w:rFonts w:ascii="Aptos Black" w:hAnsi="Aptos Black"/>
          <w:sz w:val="28"/>
        </w:rPr>
      </w:pPr>
      <w:r>
        <w:rPr>
          <w:rFonts w:ascii="Arial Black" w:hAnsi="Arial Black"/>
          <w:sz w:val="28"/>
        </w:rPr>
        <w:t xml:space="preserve">MA: BOSTON FF – MUSLIM – REFUSED COVID WEEKLY TESTING OR VACINATION – NO UNEMPLOYMENT </w:t>
      </w:r>
    </w:p>
    <w:p w14:paraId="31AC6C68" w14:textId="77777777" w:rsidR="00C81642" w:rsidRDefault="00C81642" w:rsidP="00C81642">
      <w:pPr>
        <w:pStyle w:val="NoSpacing"/>
        <w:rPr>
          <w:rFonts w:ascii="Aptos Black" w:hAnsi="Aptos Black"/>
          <w:sz w:val="28"/>
        </w:rPr>
      </w:pPr>
    </w:p>
    <w:p w14:paraId="3EC7A062" w14:textId="77777777" w:rsidR="00C81642" w:rsidRPr="00C81642" w:rsidRDefault="00C81642" w:rsidP="00C81642">
      <w:pPr>
        <w:pStyle w:val="NoSpacing"/>
        <w:rPr>
          <w:rFonts w:ascii="Times New Roman" w:hAnsi="Times New Roman"/>
          <w:sz w:val="24"/>
          <w:szCs w:val="24"/>
        </w:rPr>
      </w:pPr>
      <w:r w:rsidRPr="00C81642">
        <w:rPr>
          <w:rFonts w:ascii="Times New Roman" w:hAnsi="Times New Roman"/>
          <w:sz w:val="24"/>
          <w:szCs w:val="24"/>
        </w:rPr>
        <w:t xml:space="preserve">On August 28, 2024, in </w:t>
      </w:r>
      <w:r w:rsidRPr="00C81642">
        <w:rPr>
          <w:rFonts w:ascii="Times New Roman" w:hAnsi="Times New Roman"/>
          <w:sz w:val="24"/>
          <w:szCs w:val="24"/>
          <w:u w:val="single"/>
        </w:rPr>
        <w:t>Michael Browder v. Department of Unemployment Assistance</w:t>
      </w:r>
      <w:r w:rsidRPr="00C81642">
        <w:rPr>
          <w:rFonts w:ascii="Times New Roman" w:hAnsi="Times New Roman"/>
          <w:sz w:val="24"/>
          <w:szCs w:val="24"/>
        </w:rPr>
        <w:t xml:space="preserve">, the Appeals Court of Massachusetts held (3 to 0) that the former Boston firefighter was not entitled to unemployment compensation.  The Court wrote: “As directed, the [unemployment hearing] examiner made one additional finding: </w:t>
      </w:r>
    </w:p>
    <w:p w14:paraId="0B6097D6" w14:textId="77777777" w:rsidR="00C81642" w:rsidRPr="00C81642" w:rsidRDefault="00C81642" w:rsidP="00C81642">
      <w:pPr>
        <w:pStyle w:val="NoSpacing"/>
        <w:ind w:left="720"/>
        <w:rPr>
          <w:rFonts w:ascii="Times New Roman" w:hAnsi="Times New Roman"/>
          <w:sz w:val="24"/>
          <w:szCs w:val="24"/>
        </w:rPr>
      </w:pPr>
    </w:p>
    <w:p w14:paraId="13ADA41E" w14:textId="77777777" w:rsidR="00C81642" w:rsidRPr="00C81642" w:rsidRDefault="00C81642" w:rsidP="00C81642">
      <w:pPr>
        <w:pStyle w:val="NoSpacing"/>
        <w:ind w:left="720"/>
        <w:rPr>
          <w:rFonts w:ascii="Times New Roman" w:hAnsi="Times New Roman"/>
          <w:sz w:val="24"/>
          <w:szCs w:val="24"/>
        </w:rPr>
      </w:pPr>
      <w:r w:rsidRPr="00C81642">
        <w:rPr>
          <w:rFonts w:ascii="Times New Roman" w:hAnsi="Times New Roman"/>
          <w:sz w:val="24"/>
          <w:szCs w:val="24"/>
        </w:rPr>
        <w:t>‘Since being placed on an employer-imposed leave of absence, [Browder] has not been actively seeking work because he only wants to be a firefighter and feels that other municipalities would not hire him because of his vaccination status.’ Adopting the review examiner's factual findings in their entirety, the board reached a different conclusion: Browder was neither totally nor partially unemployed under G. L. c. 151A, §§ 1 (r) and 29, and was therefore ineligible for unemployment benefits.</w:t>
      </w:r>
    </w:p>
    <w:p w14:paraId="077DCF4B" w14:textId="77777777" w:rsidR="00C81642" w:rsidRPr="00C81642" w:rsidRDefault="00C81642" w:rsidP="00C81642">
      <w:pPr>
        <w:pStyle w:val="NoSpacing"/>
        <w:rPr>
          <w:rFonts w:ascii="Times New Roman" w:hAnsi="Times New Roman"/>
          <w:sz w:val="24"/>
          <w:szCs w:val="24"/>
        </w:rPr>
      </w:pPr>
    </w:p>
    <w:p w14:paraId="00863329" w14:textId="77777777" w:rsidR="00C81642" w:rsidRPr="00C81642" w:rsidRDefault="00C81642" w:rsidP="00C81642">
      <w:pPr>
        <w:pStyle w:val="NoSpacing"/>
        <w:rPr>
          <w:rFonts w:ascii="Times New Roman" w:hAnsi="Times New Roman"/>
          <w:sz w:val="24"/>
          <w:szCs w:val="24"/>
        </w:rPr>
      </w:pPr>
      <w:r w:rsidRPr="00C81642">
        <w:rPr>
          <w:rFonts w:ascii="Times New Roman" w:hAnsi="Times New Roman"/>
          <w:sz w:val="24"/>
          <w:szCs w:val="24"/>
        </w:rPr>
        <w:t xml:space="preserve">In the BMC [Boston Municipal Court], Browder argued that the board failed to provide a full remand hearing with an opportunity for Browder to testify and submit evidence of his search for work. While the remand procedure employed by the board does indeed appear unorthodox, Browder's principal brief provides no legal authority demonstrating that the procedure violated any statute, regulation, or Browder's due process rights. Nor does he provide any basis for us to conclude that the board's decision, to which we owe substantial deference, was arbitrary or capricious, was not based on correct legal principles, or was not supported by substantial </w:t>
      </w:r>
      <w:proofErr w:type="gramStart"/>
      <w:r w:rsidRPr="00C81642">
        <w:rPr>
          <w:rFonts w:ascii="Times New Roman" w:hAnsi="Times New Roman"/>
          <w:sz w:val="24"/>
          <w:szCs w:val="24"/>
        </w:rPr>
        <w:t>evidence.”</w:t>
      </w:r>
      <w:proofErr w:type="gramEnd"/>
      <w:r w:rsidRPr="00C81642">
        <w:rPr>
          <w:rFonts w:ascii="Times New Roman" w:hAnsi="Times New Roman"/>
          <w:sz w:val="24"/>
          <w:szCs w:val="24"/>
        </w:rPr>
        <w:t xml:space="preserve"> </w:t>
      </w:r>
      <w:hyperlink r:id="rId1107" w:history="1">
        <w:r w:rsidRPr="00C81642">
          <w:rPr>
            <w:rStyle w:val="Hyperlink"/>
            <w:rFonts w:ascii="Times New Roman" w:hAnsi="Times New Roman"/>
            <w:sz w:val="24"/>
            <w:szCs w:val="24"/>
          </w:rPr>
          <w:t>https://caselaw.findlaw.com/court/ma-court-of-appeals/116528710.html</w:t>
        </w:r>
      </w:hyperlink>
      <w:r w:rsidRPr="00C81642">
        <w:rPr>
          <w:rFonts w:ascii="Times New Roman" w:hAnsi="Times New Roman"/>
          <w:sz w:val="24"/>
          <w:szCs w:val="24"/>
        </w:rPr>
        <w:t xml:space="preserve"> </w:t>
      </w:r>
    </w:p>
    <w:p w14:paraId="3765673D" w14:textId="77777777" w:rsidR="00C81642" w:rsidRPr="00C81642" w:rsidRDefault="00C81642" w:rsidP="00C81642">
      <w:pPr>
        <w:pStyle w:val="NoSpacing"/>
        <w:rPr>
          <w:rFonts w:ascii="Times New Roman" w:hAnsi="Times New Roman"/>
          <w:sz w:val="24"/>
          <w:szCs w:val="24"/>
        </w:rPr>
      </w:pPr>
    </w:p>
    <w:p w14:paraId="4836639B" w14:textId="77777777" w:rsidR="00C81642" w:rsidRPr="00C81642" w:rsidRDefault="00C81642" w:rsidP="00C81642">
      <w:pPr>
        <w:pStyle w:val="NoSpacing"/>
        <w:rPr>
          <w:rFonts w:ascii="Times New Roman" w:hAnsi="Times New Roman"/>
          <w:sz w:val="24"/>
          <w:szCs w:val="24"/>
        </w:rPr>
      </w:pPr>
      <w:r w:rsidRPr="00C81642">
        <w:rPr>
          <w:rFonts w:ascii="Times New Roman" w:hAnsi="Times New Roman"/>
          <w:sz w:val="24"/>
          <w:szCs w:val="24"/>
        </w:rPr>
        <w:t>THE COURT HELD:</w:t>
      </w:r>
    </w:p>
    <w:p w14:paraId="69980B72" w14:textId="77777777" w:rsidR="00C81642" w:rsidRPr="00C81642" w:rsidRDefault="00C81642" w:rsidP="00C81642">
      <w:pPr>
        <w:pStyle w:val="NoSpacing"/>
        <w:rPr>
          <w:rFonts w:ascii="Times New Roman" w:hAnsi="Times New Roman"/>
          <w:sz w:val="24"/>
          <w:szCs w:val="24"/>
        </w:rPr>
      </w:pPr>
    </w:p>
    <w:p w14:paraId="08FC01F7" w14:textId="77777777" w:rsidR="00C81642" w:rsidRPr="00C81642" w:rsidRDefault="00C81642" w:rsidP="00C81642">
      <w:pPr>
        <w:pStyle w:val="NoSpacing"/>
        <w:ind w:left="720"/>
        <w:rPr>
          <w:rFonts w:ascii="Times New Roman" w:hAnsi="Times New Roman"/>
          <w:sz w:val="24"/>
          <w:szCs w:val="24"/>
        </w:rPr>
      </w:pPr>
      <w:r w:rsidRPr="00C81642">
        <w:rPr>
          <w:rFonts w:ascii="Times New Roman" w:hAnsi="Times New Roman"/>
          <w:sz w:val="24"/>
          <w:szCs w:val="24"/>
        </w:rPr>
        <w:t>“The judge had no obligation to take Browder's testimony, as the administrative agency is the sole finder of fact and judicial review is based on the administrative record. See Curtis v. Commissioner of the Div. of Unemployment Assistance, 68 Mass. App. Ct. 516, 519 (2007). Live testimony is not necessary where the claims of irregularities in the agency procedure can be decided on the record.”</w:t>
      </w:r>
    </w:p>
    <w:p w14:paraId="46E40346" w14:textId="77777777" w:rsidR="00C81642" w:rsidRPr="00C81642" w:rsidRDefault="00C81642" w:rsidP="00C81642">
      <w:pPr>
        <w:pStyle w:val="NoSpacing"/>
        <w:rPr>
          <w:rFonts w:ascii="Times New Roman" w:hAnsi="Times New Roman"/>
          <w:sz w:val="24"/>
          <w:szCs w:val="24"/>
        </w:rPr>
      </w:pPr>
    </w:p>
    <w:p w14:paraId="7BBB6E83" w14:textId="77777777" w:rsidR="00C81642" w:rsidRPr="00C81642" w:rsidRDefault="00C81642" w:rsidP="00C81642">
      <w:pPr>
        <w:pStyle w:val="NoSpacing"/>
        <w:ind w:left="720"/>
        <w:rPr>
          <w:rFonts w:ascii="Times New Roman" w:hAnsi="Times New Roman"/>
          <w:sz w:val="24"/>
          <w:szCs w:val="24"/>
        </w:rPr>
      </w:pPr>
    </w:p>
    <w:p w14:paraId="608B8821" w14:textId="77777777" w:rsidR="00C81642" w:rsidRPr="00C81642" w:rsidRDefault="00C81642" w:rsidP="00C81642">
      <w:pPr>
        <w:pStyle w:val="NoSpacing"/>
        <w:rPr>
          <w:rFonts w:ascii="Times New Roman" w:hAnsi="Times New Roman"/>
          <w:b/>
          <w:bCs/>
          <w:sz w:val="24"/>
          <w:szCs w:val="24"/>
        </w:rPr>
      </w:pPr>
      <w:r w:rsidRPr="00C81642">
        <w:rPr>
          <w:rFonts w:ascii="Times New Roman" w:hAnsi="Times New Roman"/>
          <w:b/>
          <w:bCs/>
          <w:sz w:val="24"/>
          <w:szCs w:val="24"/>
        </w:rPr>
        <w:t xml:space="preserve">Legal Lesson Learned:  Unemployment denied for failure to comply with COVID safety precautions. </w:t>
      </w:r>
    </w:p>
    <w:p w14:paraId="63F25398" w14:textId="77777777" w:rsidR="00C81642" w:rsidRDefault="00C81642" w:rsidP="00C81642">
      <w:pPr>
        <w:pStyle w:val="NoSpacing"/>
        <w:rPr>
          <w:szCs w:val="24"/>
        </w:rPr>
      </w:pPr>
    </w:p>
    <w:p w14:paraId="56D0DD75" w14:textId="77777777" w:rsidR="003F2075" w:rsidRDefault="003F2075" w:rsidP="006C4AD8">
      <w:pPr>
        <w:pStyle w:val="NormalWeb"/>
        <w:spacing w:before="0" w:beforeAutospacing="0"/>
        <w:rPr>
          <w:rFonts w:ascii="Arial Black" w:hAnsi="Arial Black"/>
          <w:b/>
          <w:bCs/>
          <w:color w:val="454545"/>
          <w:sz w:val="28"/>
          <w:szCs w:val="28"/>
          <w:shd w:val="clear" w:color="auto" w:fill="FFFFFF"/>
        </w:rPr>
      </w:pPr>
    </w:p>
    <w:p w14:paraId="5E37FC36" w14:textId="5D974DE5" w:rsidR="004F15A5" w:rsidRDefault="004F15A5"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6-13</w:t>
      </w:r>
      <w:r w:rsidR="002A0697">
        <w:rPr>
          <w:rFonts w:ascii="Arial Black" w:hAnsi="Arial Black"/>
          <w:b/>
          <w:bCs/>
          <w:color w:val="454545"/>
          <w:sz w:val="28"/>
          <w:szCs w:val="28"/>
          <w:shd w:val="clear" w:color="auto" w:fill="FFFFFF"/>
        </w:rPr>
        <w:t>5</w:t>
      </w:r>
    </w:p>
    <w:p w14:paraId="2A191D1D" w14:textId="77777777" w:rsidR="004B21EA" w:rsidRPr="00F5128A" w:rsidRDefault="004B21EA" w:rsidP="004B21EA">
      <w:pPr>
        <w:pStyle w:val="NormalWeb"/>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IL: FF LINE-OF-DUTY KNEE INJURY – 6 YRS LITIGATION – GETS HEALTH INSURANCE – REIMBURSED PRIVATE PAY</w:t>
      </w:r>
    </w:p>
    <w:p w14:paraId="207EA74C" w14:textId="77777777" w:rsidR="004B21EA" w:rsidRDefault="004B21EA" w:rsidP="004B21EA">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 xml:space="preserve">On July 29, 2024, in </w:t>
      </w:r>
      <w:r w:rsidRPr="00C81CE6">
        <w:rPr>
          <w:rFonts w:ascii="Times New Roman" w:hAnsi="Times New Roman"/>
          <w:sz w:val="24"/>
          <w:szCs w:val="24"/>
          <w:u w:val="single"/>
          <w:shd w:val="clear" w:color="auto" w:fill="FFFFFF"/>
        </w:rPr>
        <w:t>Benno Ceyer, et al. v. The City of Berwyn</w:t>
      </w:r>
      <w:r>
        <w:rPr>
          <w:rFonts w:ascii="Times New Roman" w:hAnsi="Times New Roman"/>
          <w:sz w:val="24"/>
          <w:szCs w:val="24"/>
          <w:shd w:val="clear" w:color="auto" w:fill="FFFFFF"/>
        </w:rPr>
        <w:t xml:space="preserve">, the Court of Appeals of Illinois, First District, First Division, held (3 to 0) that the FF is entitled to reimbursement for the private insurance costs he purchased (Oct. 11, 2008 – Feb. 15, 2015), when the city’s Pension Fund denied his disability claim. </w:t>
      </w:r>
      <w:r w:rsidRPr="003E3404">
        <w:rPr>
          <w:rFonts w:ascii="Times New Roman" w:hAnsi="Times New Roman"/>
          <w:sz w:val="24"/>
          <w:szCs w:val="24"/>
          <w:shd w:val="clear" w:color="auto" w:fill="FFFFFF"/>
        </w:rPr>
        <w:t xml:space="preserve">Under section 10 of the </w:t>
      </w:r>
      <w:r>
        <w:rPr>
          <w:rFonts w:ascii="Times New Roman" w:hAnsi="Times New Roman"/>
          <w:sz w:val="24"/>
          <w:szCs w:val="24"/>
          <w:shd w:val="clear" w:color="auto" w:fill="FFFFFF"/>
        </w:rPr>
        <w:t xml:space="preserve">state’s </w:t>
      </w:r>
      <w:r w:rsidRPr="003E3404">
        <w:rPr>
          <w:rFonts w:ascii="Times New Roman" w:hAnsi="Times New Roman"/>
          <w:sz w:val="24"/>
          <w:szCs w:val="24"/>
          <w:shd w:val="clear" w:color="auto" w:fill="FFFFFF"/>
        </w:rPr>
        <w:t>Public Safety Employee Benefits Act (Act) (820 ILCS 320/10</w:t>
      </w:r>
      <w:r>
        <w:rPr>
          <w:rFonts w:ascii="Times New Roman" w:hAnsi="Times New Roman"/>
          <w:sz w:val="24"/>
          <w:szCs w:val="24"/>
          <w:shd w:val="clear" w:color="auto" w:fill="FFFFFF"/>
        </w:rPr>
        <w:t xml:space="preserve"> </w:t>
      </w:r>
      <w:r w:rsidRPr="003E3404">
        <w:rPr>
          <w:rFonts w:ascii="Times New Roman" w:hAnsi="Times New Roman"/>
          <w:sz w:val="24"/>
          <w:szCs w:val="24"/>
          <w:shd w:val="clear" w:color="auto" w:fill="FFFFFF"/>
        </w:rPr>
        <w:t>(West 2018)), firefighters who suffer a catastrophic injur</w:t>
      </w:r>
      <w:r>
        <w:rPr>
          <w:rFonts w:ascii="Times New Roman" w:hAnsi="Times New Roman"/>
          <w:sz w:val="24"/>
          <w:szCs w:val="24"/>
          <w:shd w:val="clear" w:color="auto" w:fill="FFFFFF"/>
        </w:rPr>
        <w:t>y</w:t>
      </w:r>
      <w:r w:rsidRPr="003E3404">
        <w:rPr>
          <w:rFonts w:ascii="Times New Roman" w:hAnsi="Times New Roman"/>
          <w:sz w:val="24"/>
          <w:szCs w:val="24"/>
          <w:shd w:val="clear" w:color="auto" w:fill="FFFFFF"/>
        </w:rPr>
        <w:t xml:space="preserve"> in responding to an emergency are</w:t>
      </w:r>
      <w:r>
        <w:rPr>
          <w:rFonts w:ascii="Times New Roman" w:hAnsi="Times New Roman"/>
          <w:sz w:val="24"/>
          <w:szCs w:val="24"/>
          <w:shd w:val="clear" w:color="auto" w:fill="FFFFFF"/>
        </w:rPr>
        <w:t xml:space="preserve"> </w:t>
      </w:r>
      <w:r w:rsidRPr="003E3404">
        <w:rPr>
          <w:rFonts w:ascii="Times New Roman" w:hAnsi="Times New Roman"/>
          <w:sz w:val="24"/>
          <w:szCs w:val="24"/>
          <w:shd w:val="clear" w:color="auto" w:fill="FFFFFF"/>
        </w:rPr>
        <w:t xml:space="preserve">entitled to payment of health insurance premiums by their employer. </w:t>
      </w:r>
      <w:r>
        <w:rPr>
          <w:rFonts w:ascii="Times New Roman" w:hAnsi="Times New Roman"/>
          <w:sz w:val="24"/>
          <w:szCs w:val="24"/>
          <w:shd w:val="clear" w:color="auto" w:fill="FFFFFF"/>
        </w:rPr>
        <w:t xml:space="preserve">When the city Pension Fund initially denied him coverage.  The Trial Court judge found that the Pension Fund hearing officer, instead of being “neutral” hearing officer, was also an attorney for the Fund.  The retired FF opened his own business, </w:t>
      </w:r>
      <w:r w:rsidRPr="008C7351">
        <w:rPr>
          <w:rFonts w:ascii="Times New Roman" w:hAnsi="Times New Roman"/>
          <w:sz w:val="24"/>
          <w:szCs w:val="24"/>
          <w:shd w:val="clear" w:color="auto" w:fill="FFFFFF"/>
        </w:rPr>
        <w:t>Weimer Machine (WM)</w:t>
      </w:r>
      <w:r>
        <w:rPr>
          <w:rFonts w:ascii="Times New Roman" w:hAnsi="Times New Roman"/>
          <w:sz w:val="24"/>
          <w:szCs w:val="24"/>
          <w:shd w:val="clear" w:color="auto" w:fill="FFFFFF"/>
        </w:rPr>
        <w:t xml:space="preserve">, which reimbursed health insurance for his two employees; he had no obligation to have the company reimburse himself, and from 2008 – 2015 he purchased his own private insurance. </w:t>
      </w:r>
      <w:hyperlink r:id="rId1108" w:history="1">
        <w:r w:rsidRPr="0013187C">
          <w:rPr>
            <w:rStyle w:val="Hyperlink"/>
            <w:rFonts w:ascii="Times New Roman" w:hAnsi="Times New Roman"/>
            <w:sz w:val="24"/>
            <w:szCs w:val="24"/>
            <w:shd w:val="clear" w:color="auto" w:fill="FFFFFF"/>
          </w:rPr>
          <w:t>https://ilcourtsaudio.blob.core.windows.net/antilles-resources/resources/b3c62d52-1215-4e2d-8145-22ad48aed626/Ceyer%20v.%20City%20of%20Berwyn,%202024%20IL%20App%20(1st)%20231538.pdf</w:t>
        </w:r>
      </w:hyperlink>
      <w:r>
        <w:rPr>
          <w:rFonts w:ascii="Times New Roman" w:hAnsi="Times New Roman"/>
          <w:sz w:val="24"/>
          <w:szCs w:val="24"/>
          <w:shd w:val="clear" w:color="auto" w:fill="FFFFFF"/>
        </w:rPr>
        <w:t xml:space="preserve"> </w:t>
      </w:r>
    </w:p>
    <w:p w14:paraId="35E4C635" w14:textId="77777777" w:rsidR="004B21EA" w:rsidRDefault="004B21EA" w:rsidP="004B21EA">
      <w:pPr>
        <w:pStyle w:val="NoSpacing"/>
        <w:rPr>
          <w:rFonts w:ascii="Times New Roman" w:hAnsi="Times New Roman"/>
          <w:sz w:val="24"/>
          <w:szCs w:val="24"/>
          <w:shd w:val="clear" w:color="auto" w:fill="FFFFFF"/>
        </w:rPr>
      </w:pPr>
    </w:p>
    <w:p w14:paraId="2494B08E" w14:textId="77777777" w:rsidR="004B21EA" w:rsidRDefault="004B21EA" w:rsidP="004B21EA">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THE COURT HELD:</w:t>
      </w:r>
    </w:p>
    <w:p w14:paraId="7745EE21" w14:textId="77777777" w:rsidR="004B21EA" w:rsidRDefault="004B21EA" w:rsidP="004B21EA">
      <w:pPr>
        <w:pStyle w:val="NoSpacing"/>
        <w:rPr>
          <w:rFonts w:ascii="Times New Roman" w:hAnsi="Times New Roman"/>
          <w:sz w:val="24"/>
          <w:szCs w:val="24"/>
          <w:shd w:val="clear" w:color="auto" w:fill="FFFFFF"/>
        </w:rPr>
      </w:pPr>
    </w:p>
    <w:p w14:paraId="50CD712E" w14:textId="77777777" w:rsidR="004B21EA" w:rsidRPr="00E37A14" w:rsidRDefault="004B21EA" w:rsidP="004B21EA">
      <w:pPr>
        <w:pStyle w:val="NoSpacing"/>
        <w:ind w:firstLine="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E37A14">
        <w:rPr>
          <w:rFonts w:ascii="Times New Roman" w:hAnsi="Times New Roman"/>
          <w:sz w:val="24"/>
          <w:szCs w:val="24"/>
          <w:shd w:val="clear" w:color="auto" w:fill="FFFFFF"/>
        </w:rPr>
        <w:t>The record reflects that, at all relevant times, Ceyer has been covered under the City’s</w:t>
      </w:r>
    </w:p>
    <w:p w14:paraId="747BE207" w14:textId="77777777" w:rsidR="004B21EA" w:rsidRDefault="004B21EA" w:rsidP="004B21EA">
      <w:pPr>
        <w:pStyle w:val="NoSpacing"/>
        <w:ind w:left="720"/>
        <w:rPr>
          <w:rFonts w:ascii="Times New Roman" w:hAnsi="Times New Roman"/>
          <w:sz w:val="24"/>
          <w:szCs w:val="24"/>
          <w:shd w:val="clear" w:color="auto" w:fill="FFFFFF"/>
        </w:rPr>
      </w:pPr>
      <w:r w:rsidRPr="00E37A14">
        <w:rPr>
          <w:rFonts w:ascii="Times New Roman" w:hAnsi="Times New Roman"/>
          <w:sz w:val="24"/>
          <w:szCs w:val="24"/>
          <w:shd w:val="clear" w:color="auto" w:fill="FFFFFF"/>
        </w:rPr>
        <w:t>group health insurance plan. He paid his own premiums from September 2008 to May 2015,</w:t>
      </w:r>
      <w:r>
        <w:rPr>
          <w:rFonts w:ascii="Times New Roman" w:hAnsi="Times New Roman"/>
          <w:sz w:val="24"/>
          <w:szCs w:val="24"/>
          <w:shd w:val="clear" w:color="auto" w:fill="FFFFFF"/>
        </w:rPr>
        <w:t xml:space="preserve"> </w:t>
      </w:r>
      <w:r w:rsidRPr="00E37A14">
        <w:rPr>
          <w:rFonts w:ascii="Times New Roman" w:hAnsi="Times New Roman"/>
          <w:sz w:val="24"/>
          <w:szCs w:val="24"/>
          <w:shd w:val="clear" w:color="auto" w:fill="FFFFFF"/>
        </w:rPr>
        <w:t xml:space="preserve">after which the </w:t>
      </w:r>
      <w:proofErr w:type="gramStart"/>
      <w:r w:rsidRPr="00E37A14">
        <w:rPr>
          <w:rFonts w:ascii="Times New Roman" w:hAnsi="Times New Roman"/>
          <w:sz w:val="24"/>
          <w:szCs w:val="24"/>
          <w:shd w:val="clear" w:color="auto" w:fill="FFFFFF"/>
        </w:rPr>
        <w:t>City</w:t>
      </w:r>
      <w:proofErr w:type="gramEnd"/>
      <w:r w:rsidRPr="00E37A14">
        <w:rPr>
          <w:rFonts w:ascii="Times New Roman" w:hAnsi="Times New Roman"/>
          <w:sz w:val="24"/>
          <w:szCs w:val="24"/>
          <w:shd w:val="clear" w:color="auto" w:fill="FFFFFF"/>
        </w:rPr>
        <w:t xml:space="preserve"> commenced making payments under the Act. At no time did Ceyer receive</w:t>
      </w:r>
      <w:r>
        <w:rPr>
          <w:rFonts w:ascii="Times New Roman" w:hAnsi="Times New Roman"/>
          <w:sz w:val="24"/>
          <w:szCs w:val="24"/>
          <w:shd w:val="clear" w:color="auto" w:fill="FFFFFF"/>
        </w:rPr>
        <w:t xml:space="preserve"> </w:t>
      </w:r>
      <w:r w:rsidRPr="00E37A14">
        <w:rPr>
          <w:rFonts w:ascii="Times New Roman" w:hAnsi="Times New Roman"/>
          <w:sz w:val="24"/>
          <w:szCs w:val="24"/>
          <w:shd w:val="clear" w:color="auto" w:fill="FFFFFF"/>
        </w:rPr>
        <w:t>health insurance through WM, nor did he receive reimbursement from WM for the cost of the</w:t>
      </w:r>
      <w:r>
        <w:rPr>
          <w:rFonts w:ascii="Times New Roman" w:hAnsi="Times New Roman"/>
          <w:sz w:val="24"/>
          <w:szCs w:val="24"/>
          <w:shd w:val="clear" w:color="auto" w:fill="FFFFFF"/>
        </w:rPr>
        <w:t xml:space="preserve"> </w:t>
      </w:r>
      <w:r w:rsidRPr="00E37A14">
        <w:rPr>
          <w:rFonts w:ascii="Times New Roman" w:hAnsi="Times New Roman"/>
          <w:sz w:val="24"/>
          <w:szCs w:val="24"/>
          <w:shd w:val="clear" w:color="auto" w:fill="FFFFFF"/>
        </w:rPr>
        <w:t xml:space="preserve">premiums that he paid. The City nevertheless argues that Ceyer had </w:t>
      </w:r>
      <w:r>
        <w:rPr>
          <w:rFonts w:ascii="Times New Roman" w:hAnsi="Times New Roman"/>
          <w:sz w:val="24"/>
          <w:szCs w:val="24"/>
          <w:shd w:val="clear" w:color="auto" w:fill="FFFFFF"/>
        </w:rPr>
        <w:t>‘</w:t>
      </w:r>
      <w:r w:rsidRPr="00E37A14">
        <w:rPr>
          <w:rFonts w:ascii="Times New Roman" w:hAnsi="Times New Roman"/>
          <w:sz w:val="24"/>
          <w:szCs w:val="24"/>
          <w:shd w:val="clear" w:color="auto" w:fill="FFFFFF"/>
        </w:rPr>
        <w:t>access to health insurance</w:t>
      </w:r>
      <w:r>
        <w:rPr>
          <w:rFonts w:ascii="Times New Roman" w:hAnsi="Times New Roman"/>
          <w:sz w:val="24"/>
          <w:szCs w:val="24"/>
          <w:shd w:val="clear" w:color="auto" w:fill="FFFFFF"/>
        </w:rPr>
        <w:t xml:space="preserve"> </w:t>
      </w:r>
      <w:r w:rsidRPr="00E37A14">
        <w:rPr>
          <w:rFonts w:ascii="Times New Roman" w:hAnsi="Times New Roman"/>
          <w:sz w:val="24"/>
          <w:szCs w:val="24"/>
          <w:shd w:val="clear" w:color="auto" w:fill="FFFFFF"/>
        </w:rPr>
        <w:t>through [his] employer</w:t>
      </w:r>
      <w:r>
        <w:rPr>
          <w:rFonts w:ascii="Times New Roman" w:hAnsi="Times New Roman"/>
          <w:sz w:val="24"/>
          <w:szCs w:val="24"/>
          <w:shd w:val="clear" w:color="auto" w:fill="FFFFFF"/>
        </w:rPr>
        <w:t>’</w:t>
      </w:r>
      <w:r w:rsidRPr="00E37A14">
        <w:rPr>
          <w:rFonts w:ascii="Times New Roman" w:hAnsi="Times New Roman"/>
          <w:sz w:val="24"/>
          <w:szCs w:val="24"/>
          <w:shd w:val="clear" w:color="auto" w:fill="FFFFFF"/>
        </w:rPr>
        <w:t xml:space="preserve"> because WM paid health insurance premiums for two of its employees,</w:t>
      </w:r>
      <w:r>
        <w:rPr>
          <w:rFonts w:ascii="Times New Roman" w:hAnsi="Times New Roman"/>
          <w:sz w:val="24"/>
          <w:szCs w:val="24"/>
          <w:shd w:val="clear" w:color="auto" w:fill="FFFFFF"/>
        </w:rPr>
        <w:t xml:space="preserve"> </w:t>
      </w:r>
      <w:r w:rsidRPr="00E37A14">
        <w:rPr>
          <w:rFonts w:ascii="Times New Roman" w:hAnsi="Times New Roman"/>
          <w:sz w:val="24"/>
          <w:szCs w:val="24"/>
          <w:shd w:val="clear" w:color="auto" w:fill="FFFFFF"/>
        </w:rPr>
        <w:t>Pietraszewski and Rausch, and could therefore theoretically have done the same for Ceyer.</w:t>
      </w:r>
    </w:p>
    <w:p w14:paraId="4F9B0B19" w14:textId="77777777" w:rsidR="004B21EA" w:rsidRDefault="004B21EA" w:rsidP="004B21EA">
      <w:pPr>
        <w:pStyle w:val="NoSpacing"/>
        <w:rPr>
          <w:rFonts w:ascii="Times New Roman" w:hAnsi="Times New Roman"/>
          <w:sz w:val="24"/>
          <w:szCs w:val="24"/>
          <w:shd w:val="clear" w:color="auto" w:fill="FFFFFF"/>
        </w:rPr>
      </w:pPr>
    </w:p>
    <w:p w14:paraId="0A058EEF" w14:textId="77777777" w:rsidR="004B21EA" w:rsidRPr="00B33896" w:rsidRDefault="004B21EA" w:rsidP="004B21EA">
      <w:pPr>
        <w:pStyle w:val="NoSpacing"/>
        <w:ind w:firstLine="720"/>
        <w:rPr>
          <w:rFonts w:ascii="Times New Roman" w:hAnsi="Times New Roman"/>
          <w:sz w:val="24"/>
          <w:szCs w:val="24"/>
          <w:shd w:val="clear" w:color="auto" w:fill="FFFFFF"/>
        </w:rPr>
      </w:pPr>
      <w:r>
        <w:rPr>
          <w:rFonts w:ascii="Times New Roman" w:hAnsi="Times New Roman"/>
          <w:sz w:val="24"/>
          <w:szCs w:val="24"/>
          <w:shd w:val="clear" w:color="auto" w:fill="FFFFFF"/>
        </w:rPr>
        <w:t>W</w:t>
      </w:r>
      <w:r w:rsidRPr="00B33896">
        <w:rPr>
          <w:rFonts w:ascii="Times New Roman" w:hAnsi="Times New Roman"/>
          <w:sz w:val="24"/>
          <w:szCs w:val="24"/>
          <w:shd w:val="clear" w:color="auto" w:fill="FFFFFF"/>
        </w:rPr>
        <w:t xml:space="preserve">e disagree. As the trial court aptly </w:t>
      </w:r>
      <w:proofErr w:type="gramStart"/>
      <w:r w:rsidRPr="00B33896">
        <w:rPr>
          <w:rFonts w:ascii="Times New Roman" w:hAnsi="Times New Roman"/>
          <w:sz w:val="24"/>
          <w:szCs w:val="24"/>
          <w:shd w:val="clear" w:color="auto" w:fill="FFFFFF"/>
        </w:rPr>
        <w:t xml:space="preserve">stated, </w:t>
      </w:r>
      <w:r>
        <w:rPr>
          <w:rFonts w:ascii="Times New Roman" w:hAnsi="Times New Roman"/>
          <w:sz w:val="24"/>
          <w:szCs w:val="24"/>
          <w:shd w:val="clear" w:color="auto" w:fill="FFFFFF"/>
        </w:rPr>
        <w:t>‘</w:t>
      </w:r>
      <w:proofErr w:type="gramEnd"/>
      <w:r w:rsidRPr="00B33896">
        <w:rPr>
          <w:rFonts w:ascii="Times New Roman" w:hAnsi="Times New Roman"/>
          <w:sz w:val="24"/>
          <w:szCs w:val="24"/>
          <w:shd w:val="clear" w:color="auto" w:fill="FFFFFF"/>
        </w:rPr>
        <w:t xml:space="preserve">to find that </w:t>
      </w:r>
      <w:r>
        <w:rPr>
          <w:rFonts w:ascii="Times New Roman" w:hAnsi="Times New Roman"/>
          <w:sz w:val="24"/>
          <w:szCs w:val="24"/>
          <w:shd w:val="clear" w:color="auto" w:fill="FFFFFF"/>
        </w:rPr>
        <w:t>‘</w:t>
      </w:r>
      <w:r w:rsidRPr="00B33896">
        <w:rPr>
          <w:rFonts w:ascii="Times New Roman" w:hAnsi="Times New Roman"/>
          <w:sz w:val="24"/>
          <w:szCs w:val="24"/>
          <w:shd w:val="clear" w:color="auto" w:fill="FFFFFF"/>
        </w:rPr>
        <w:t>payable from any other source</w:t>
      </w:r>
      <w:r>
        <w:rPr>
          <w:rFonts w:ascii="Times New Roman" w:hAnsi="Times New Roman"/>
          <w:sz w:val="24"/>
          <w:szCs w:val="24"/>
          <w:shd w:val="clear" w:color="auto" w:fill="FFFFFF"/>
        </w:rPr>
        <w:t>’</w:t>
      </w:r>
    </w:p>
    <w:p w14:paraId="124919EE" w14:textId="77777777" w:rsidR="004B21EA" w:rsidRPr="00D6540F" w:rsidRDefault="004B21EA" w:rsidP="004B21EA">
      <w:pPr>
        <w:pStyle w:val="NoSpacing"/>
        <w:ind w:left="720"/>
        <w:rPr>
          <w:rFonts w:ascii="Times New Roman" w:hAnsi="Times New Roman"/>
          <w:sz w:val="24"/>
          <w:szCs w:val="24"/>
          <w:shd w:val="clear" w:color="auto" w:fill="FFFFFF"/>
        </w:rPr>
      </w:pPr>
      <w:r w:rsidRPr="00B33896">
        <w:rPr>
          <w:rFonts w:ascii="Times New Roman" w:hAnsi="Times New Roman"/>
          <w:sz w:val="24"/>
          <w:szCs w:val="24"/>
          <w:shd w:val="clear" w:color="auto" w:fill="FFFFFF"/>
        </w:rPr>
        <w:t>under [the Act] includes a beneficiary’s individual capacity to go buy themselves insurance</w:t>
      </w:r>
      <w:r>
        <w:rPr>
          <w:rFonts w:ascii="Times New Roman" w:hAnsi="Times New Roman"/>
          <w:sz w:val="24"/>
          <w:szCs w:val="24"/>
          <w:shd w:val="clear" w:color="auto" w:fill="FFFFFF"/>
        </w:rPr>
        <w:t xml:space="preserve"> </w:t>
      </w:r>
      <w:r w:rsidRPr="00FF07E8">
        <w:rPr>
          <w:rFonts w:ascii="Times New Roman" w:hAnsi="Times New Roman"/>
          <w:sz w:val="24"/>
          <w:szCs w:val="24"/>
          <w:shd w:val="clear" w:color="auto" w:fill="FFFFFF"/>
        </w:rPr>
        <w:t>would be inconsistent with the purpose of [the Act].</w:t>
      </w:r>
      <w:r>
        <w:rPr>
          <w:rFonts w:ascii="Times New Roman" w:hAnsi="Times New Roman"/>
          <w:sz w:val="24"/>
          <w:szCs w:val="24"/>
          <w:shd w:val="clear" w:color="auto" w:fill="FFFFFF"/>
        </w:rPr>
        <w:t>’</w:t>
      </w:r>
      <w:r w:rsidRPr="00FF07E8">
        <w:rPr>
          <w:rFonts w:ascii="Times New Roman" w:hAnsi="Times New Roman"/>
          <w:sz w:val="24"/>
          <w:szCs w:val="24"/>
          <w:shd w:val="clear" w:color="auto" w:fill="FFFFFF"/>
        </w:rPr>
        <w:t xml:space="preserve"> Indeed, such an interpretation would</w:t>
      </w:r>
      <w:r>
        <w:rPr>
          <w:rFonts w:ascii="Times New Roman" w:hAnsi="Times New Roman"/>
          <w:sz w:val="24"/>
          <w:szCs w:val="24"/>
          <w:shd w:val="clear" w:color="auto" w:fill="FFFFFF"/>
        </w:rPr>
        <w:t xml:space="preserve"> </w:t>
      </w:r>
      <w:r w:rsidRPr="00FF07E8">
        <w:rPr>
          <w:rFonts w:ascii="Times New Roman" w:hAnsi="Times New Roman"/>
          <w:sz w:val="24"/>
          <w:szCs w:val="24"/>
          <w:shd w:val="clear" w:color="auto" w:fill="FFFFFF"/>
        </w:rPr>
        <w:t xml:space="preserve">entirely vitiate the statute. We will not interpret a statute </w:t>
      </w:r>
      <w:r>
        <w:rPr>
          <w:rFonts w:ascii="Times New Roman" w:hAnsi="Times New Roman"/>
          <w:sz w:val="24"/>
          <w:szCs w:val="24"/>
          <w:shd w:val="clear" w:color="auto" w:fill="FFFFFF"/>
        </w:rPr>
        <w:t>‘</w:t>
      </w:r>
      <w:r w:rsidRPr="00FF07E8">
        <w:rPr>
          <w:rFonts w:ascii="Times New Roman" w:hAnsi="Times New Roman"/>
          <w:sz w:val="24"/>
          <w:szCs w:val="24"/>
          <w:shd w:val="clear" w:color="auto" w:fill="FFFFFF"/>
        </w:rPr>
        <w:t>in a manner that makes [it]</w:t>
      </w:r>
      <w:r>
        <w:rPr>
          <w:rFonts w:ascii="Times New Roman" w:hAnsi="Times New Roman"/>
          <w:sz w:val="24"/>
          <w:szCs w:val="24"/>
          <w:shd w:val="clear" w:color="auto" w:fill="FFFFFF"/>
        </w:rPr>
        <w:t xml:space="preserve"> </w:t>
      </w:r>
      <w:r w:rsidRPr="00FF07E8">
        <w:rPr>
          <w:rFonts w:ascii="Times New Roman" w:hAnsi="Times New Roman"/>
          <w:sz w:val="24"/>
          <w:szCs w:val="24"/>
          <w:shd w:val="clear" w:color="auto" w:fill="FFFFFF"/>
        </w:rPr>
        <w:t>meaningless.</w:t>
      </w:r>
      <w:r>
        <w:rPr>
          <w:rFonts w:ascii="Times New Roman" w:hAnsi="Times New Roman"/>
          <w:sz w:val="24"/>
          <w:szCs w:val="24"/>
          <w:shd w:val="clear" w:color="auto" w:fill="FFFFFF"/>
        </w:rPr>
        <w:t>’</w:t>
      </w:r>
      <w:r w:rsidRPr="00FF07E8">
        <w:rPr>
          <w:rFonts w:ascii="Times New Roman" w:hAnsi="Times New Roman"/>
          <w:sz w:val="24"/>
          <w:szCs w:val="24"/>
          <w:shd w:val="clear" w:color="auto" w:fill="FFFFFF"/>
        </w:rPr>
        <w:t xml:space="preserve"> Boucher v. 111 East Chestnut Condominium </w:t>
      </w:r>
      <w:proofErr w:type="spellStart"/>
      <w:r w:rsidRPr="00FF07E8">
        <w:rPr>
          <w:rFonts w:ascii="Times New Roman" w:hAnsi="Times New Roman"/>
          <w:sz w:val="24"/>
          <w:szCs w:val="24"/>
          <w:shd w:val="clear" w:color="auto" w:fill="FFFFFF"/>
        </w:rPr>
        <w:t>Ass’n</w:t>
      </w:r>
      <w:proofErr w:type="spellEnd"/>
      <w:r w:rsidRPr="00FF07E8">
        <w:rPr>
          <w:rFonts w:ascii="Times New Roman" w:hAnsi="Times New Roman"/>
          <w:sz w:val="24"/>
          <w:szCs w:val="24"/>
          <w:shd w:val="clear" w:color="auto" w:fill="FFFFFF"/>
        </w:rPr>
        <w:t>, 2018 IL App (1st) 162233,¶ 18.</w:t>
      </w:r>
    </w:p>
    <w:p w14:paraId="566F128C" w14:textId="77777777" w:rsidR="004F15A5" w:rsidRDefault="004F15A5" w:rsidP="006C4AD8">
      <w:pPr>
        <w:pStyle w:val="NormalWeb"/>
        <w:spacing w:before="0" w:beforeAutospacing="0"/>
        <w:rPr>
          <w:rFonts w:ascii="Arial Black" w:hAnsi="Arial Black"/>
          <w:b/>
          <w:bCs/>
          <w:color w:val="454545"/>
          <w:sz w:val="28"/>
          <w:szCs w:val="28"/>
          <w:shd w:val="clear" w:color="auto" w:fill="FFFFFF"/>
        </w:rPr>
      </w:pPr>
    </w:p>
    <w:p w14:paraId="3B88B171" w14:textId="77777777" w:rsidR="00E16202" w:rsidRDefault="00E16202" w:rsidP="00E16202">
      <w:pPr>
        <w:pStyle w:val="NoSpacing"/>
        <w:rPr>
          <w:rFonts w:ascii="Times New Roman" w:hAnsi="Times New Roman"/>
          <w:b/>
          <w:bCs/>
          <w:sz w:val="24"/>
          <w:szCs w:val="24"/>
          <w:shd w:val="clear" w:color="auto" w:fill="FFFFFF"/>
        </w:rPr>
      </w:pPr>
      <w:r>
        <w:rPr>
          <w:rFonts w:ascii="Times New Roman" w:hAnsi="Times New Roman"/>
          <w:b/>
          <w:bCs/>
          <w:sz w:val="24"/>
          <w:szCs w:val="24"/>
          <w:shd w:val="clear" w:color="auto" w:fill="FFFFFF"/>
        </w:rPr>
        <w:t xml:space="preserve">Legal Lesson Learned: It is a shame to have 6 years of litigation to receive disability retirement health insurance. </w:t>
      </w:r>
    </w:p>
    <w:p w14:paraId="060C1B83" w14:textId="77777777" w:rsidR="00E16202" w:rsidRDefault="00E16202" w:rsidP="00E16202">
      <w:pPr>
        <w:pStyle w:val="NoSpacing"/>
        <w:rPr>
          <w:rFonts w:ascii="Times New Roman" w:hAnsi="Times New Roman"/>
          <w:b/>
          <w:bCs/>
          <w:sz w:val="24"/>
          <w:szCs w:val="24"/>
          <w:shd w:val="clear" w:color="auto" w:fill="FFFFFF"/>
        </w:rPr>
      </w:pPr>
    </w:p>
    <w:p w14:paraId="198833CE" w14:textId="77777777" w:rsidR="00E16202" w:rsidRDefault="00E16202" w:rsidP="00E16202">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 xml:space="preserve">Note: Under the State statute, he was entitled to free insurance for a line-of-duty injury. </w:t>
      </w:r>
    </w:p>
    <w:p w14:paraId="193816B1" w14:textId="77777777" w:rsidR="00E16202" w:rsidRPr="00C13929" w:rsidRDefault="00E16202" w:rsidP="00E16202">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[Footnote 1.] “</w:t>
      </w:r>
      <w:r w:rsidRPr="00C13929">
        <w:rPr>
          <w:rFonts w:ascii="Times New Roman" w:hAnsi="Times New Roman"/>
          <w:sz w:val="24"/>
          <w:szCs w:val="24"/>
          <w:shd w:val="clear" w:color="auto" w:fill="FFFFFF"/>
        </w:rPr>
        <w:t xml:space="preserve">A </w:t>
      </w:r>
      <w:r>
        <w:rPr>
          <w:rFonts w:ascii="Times New Roman" w:hAnsi="Times New Roman"/>
          <w:sz w:val="24"/>
          <w:szCs w:val="24"/>
          <w:shd w:val="clear" w:color="auto" w:fill="FFFFFF"/>
        </w:rPr>
        <w:t>‘</w:t>
      </w:r>
      <w:r w:rsidRPr="00C13929">
        <w:rPr>
          <w:rFonts w:ascii="Times New Roman" w:hAnsi="Times New Roman"/>
          <w:sz w:val="24"/>
          <w:szCs w:val="24"/>
          <w:shd w:val="clear" w:color="auto" w:fill="FFFFFF"/>
        </w:rPr>
        <w:t>catastrophic injury</w:t>
      </w:r>
      <w:r>
        <w:rPr>
          <w:rFonts w:ascii="Times New Roman" w:hAnsi="Times New Roman"/>
          <w:sz w:val="24"/>
          <w:szCs w:val="24"/>
          <w:shd w:val="clear" w:color="auto" w:fill="FFFFFF"/>
        </w:rPr>
        <w:t>’</w:t>
      </w:r>
      <w:r w:rsidRPr="00C13929">
        <w:rPr>
          <w:rFonts w:ascii="Times New Roman" w:hAnsi="Times New Roman"/>
          <w:sz w:val="24"/>
          <w:szCs w:val="24"/>
          <w:shd w:val="clear" w:color="auto" w:fill="FFFFFF"/>
        </w:rPr>
        <w:t xml:space="preserve"> is defined as </w:t>
      </w:r>
      <w:r>
        <w:rPr>
          <w:rFonts w:ascii="Times New Roman" w:hAnsi="Times New Roman"/>
          <w:sz w:val="24"/>
          <w:szCs w:val="24"/>
          <w:shd w:val="clear" w:color="auto" w:fill="FFFFFF"/>
        </w:rPr>
        <w:t>‘</w:t>
      </w:r>
      <w:r w:rsidRPr="00C13929">
        <w:rPr>
          <w:rFonts w:ascii="Times New Roman" w:hAnsi="Times New Roman"/>
          <w:sz w:val="24"/>
          <w:szCs w:val="24"/>
          <w:shd w:val="clear" w:color="auto" w:fill="FFFFFF"/>
        </w:rPr>
        <w:t>an injury resulting in a line-of-duty disability</w:t>
      </w:r>
      <w:r>
        <w:rPr>
          <w:rFonts w:ascii="Times New Roman" w:hAnsi="Times New Roman"/>
          <w:sz w:val="24"/>
          <w:szCs w:val="24"/>
          <w:shd w:val="clear" w:color="auto" w:fill="FFFFFF"/>
        </w:rPr>
        <w:t>’</w:t>
      </w:r>
      <w:r w:rsidRPr="00C13929">
        <w:rPr>
          <w:rFonts w:ascii="Times New Roman" w:hAnsi="Times New Roman"/>
          <w:sz w:val="24"/>
          <w:szCs w:val="24"/>
          <w:shd w:val="clear" w:color="auto" w:fill="FFFFFF"/>
        </w:rPr>
        <w:t xml:space="preserve"> under</w:t>
      </w:r>
      <w:r>
        <w:rPr>
          <w:rFonts w:ascii="Times New Roman" w:hAnsi="Times New Roman"/>
          <w:sz w:val="24"/>
          <w:szCs w:val="24"/>
          <w:shd w:val="clear" w:color="auto" w:fill="FFFFFF"/>
        </w:rPr>
        <w:t xml:space="preserve"> </w:t>
      </w:r>
      <w:r w:rsidRPr="00C13929">
        <w:rPr>
          <w:rFonts w:ascii="Times New Roman" w:hAnsi="Times New Roman"/>
          <w:sz w:val="24"/>
          <w:szCs w:val="24"/>
          <w:shd w:val="clear" w:color="auto" w:fill="FFFFFF"/>
        </w:rPr>
        <w:t>section 4-110 of the Illinois Pension Code (40 ILCS 5/4-110 (West 2000)). Krohe v. City of Bloomington,</w:t>
      </w:r>
      <w:r>
        <w:rPr>
          <w:rFonts w:ascii="Times New Roman" w:hAnsi="Times New Roman"/>
          <w:sz w:val="24"/>
          <w:szCs w:val="24"/>
          <w:shd w:val="clear" w:color="auto" w:fill="FFFFFF"/>
        </w:rPr>
        <w:t xml:space="preserve"> </w:t>
      </w:r>
      <w:r w:rsidRPr="00C13929">
        <w:rPr>
          <w:rFonts w:ascii="Times New Roman" w:hAnsi="Times New Roman"/>
          <w:sz w:val="24"/>
          <w:szCs w:val="24"/>
          <w:shd w:val="clear" w:color="auto" w:fill="FFFFFF"/>
        </w:rPr>
        <w:t>204 Ill. 2d 392, 400 (2003).</w:t>
      </w:r>
    </w:p>
    <w:p w14:paraId="32247426" w14:textId="77777777" w:rsidR="00E16202" w:rsidRDefault="00E16202" w:rsidP="006C4AD8">
      <w:pPr>
        <w:pStyle w:val="NormalWeb"/>
        <w:spacing w:before="0" w:beforeAutospacing="0"/>
        <w:rPr>
          <w:rFonts w:ascii="Arial Black" w:hAnsi="Arial Black"/>
          <w:b/>
          <w:bCs/>
          <w:color w:val="454545"/>
          <w:sz w:val="28"/>
          <w:szCs w:val="28"/>
          <w:shd w:val="clear" w:color="auto" w:fill="FFFFFF"/>
        </w:rPr>
      </w:pPr>
    </w:p>
    <w:p w14:paraId="6568EAA9" w14:textId="77777777" w:rsidR="004F15A5" w:rsidRDefault="004F15A5" w:rsidP="006C4AD8">
      <w:pPr>
        <w:pStyle w:val="NormalWeb"/>
        <w:spacing w:before="0" w:beforeAutospacing="0"/>
        <w:rPr>
          <w:rFonts w:ascii="Arial Black" w:hAnsi="Arial Black"/>
          <w:b/>
          <w:bCs/>
          <w:color w:val="454545"/>
          <w:sz w:val="28"/>
          <w:szCs w:val="28"/>
          <w:shd w:val="clear" w:color="auto" w:fill="FFFFFF"/>
        </w:rPr>
      </w:pPr>
    </w:p>
    <w:p w14:paraId="499DFDDE" w14:textId="707FABAB" w:rsidR="00562A25" w:rsidRDefault="00364F21"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6-13</w:t>
      </w:r>
      <w:r w:rsidR="002A0697">
        <w:rPr>
          <w:rFonts w:ascii="Arial Black" w:hAnsi="Arial Black"/>
          <w:b/>
          <w:bCs/>
          <w:color w:val="454545"/>
          <w:sz w:val="28"/>
          <w:szCs w:val="28"/>
          <w:shd w:val="clear" w:color="auto" w:fill="FFFFFF"/>
        </w:rPr>
        <w:t>4</w:t>
      </w:r>
    </w:p>
    <w:p w14:paraId="6D78F0FA" w14:textId="77777777" w:rsidR="00364F21" w:rsidRDefault="00364F21" w:rsidP="00364F21">
      <w:pPr>
        <w:pStyle w:val="NormalWeb"/>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LA: NEW TIMEKEEPING SYSTEM – ALL FF REQUIRED FINGERPRINTS - UPHELD BY U.S. DISTRICT COURT</w:t>
      </w:r>
    </w:p>
    <w:p w14:paraId="53C1AAEB" w14:textId="77777777" w:rsidR="00364F21" w:rsidRPr="0071601A" w:rsidRDefault="00364F21" w:rsidP="00364F21">
      <w:pPr>
        <w:pStyle w:val="NormalWeb"/>
        <w:rPr>
          <w:shd w:val="clear" w:color="auto" w:fill="FFFFFF"/>
        </w:rPr>
      </w:pPr>
      <w:r w:rsidRPr="0071601A">
        <w:rPr>
          <w:color w:val="454545"/>
          <w:shd w:val="clear" w:color="auto" w:fill="FFFFFF"/>
        </w:rPr>
        <w:t xml:space="preserve">On July 22, 2024, in </w:t>
      </w:r>
      <w:proofErr w:type="spellStart"/>
      <w:r w:rsidRPr="0071601A">
        <w:rPr>
          <w:color w:val="454545"/>
          <w:u w:val="single"/>
          <w:shd w:val="clear" w:color="auto" w:fill="FFFFFF"/>
        </w:rPr>
        <w:t>Chistopher</w:t>
      </w:r>
      <w:proofErr w:type="spellEnd"/>
      <w:r w:rsidRPr="0071601A">
        <w:rPr>
          <w:color w:val="454545"/>
          <w:u w:val="single"/>
          <w:shd w:val="clear" w:color="auto" w:fill="FFFFFF"/>
        </w:rPr>
        <w:t xml:space="preserve"> Perre, et al. v. East Bank Consolidated Special Service Fire Protection Section</w:t>
      </w:r>
      <w:r w:rsidRPr="0071601A">
        <w:rPr>
          <w:color w:val="454545"/>
          <w:shd w:val="clear" w:color="auto" w:fill="FFFFFF"/>
        </w:rPr>
        <w:t>, five firefighters filed a lawsuit challenging new “</w:t>
      </w:r>
      <w:r w:rsidRPr="0071601A">
        <w:rPr>
          <w:shd w:val="clear" w:color="auto" w:fill="FFFFFF"/>
        </w:rPr>
        <w:t xml:space="preserve">Kronos” timekeeping security system where </w:t>
      </w:r>
      <w:r w:rsidRPr="0071601A">
        <w:rPr>
          <w:color w:val="454545"/>
          <w:shd w:val="clear" w:color="auto" w:fill="FFFFFF"/>
        </w:rPr>
        <w:t xml:space="preserve">their fingerprints must be taken.  U.S. District Court Judge Wendy B. Vitter, in a lengthy decision reviewing U.S. Supreme Court </w:t>
      </w:r>
      <w:r w:rsidRPr="0071601A">
        <w:rPr>
          <w:color w:val="454545"/>
          <w:shd w:val="clear" w:color="auto" w:fill="FFFFFF"/>
        </w:rPr>
        <w:lastRenderedPageBreak/>
        <w:t>and lower court decisions, dismissed the lawsuit.  “</w:t>
      </w:r>
      <w:r w:rsidRPr="0071601A">
        <w:rPr>
          <w:shd w:val="clear" w:color="auto" w:fill="FFFFFF"/>
        </w:rPr>
        <w:t>However, even assuming such mandatory fingerprint collection qualifies as a Fourth Amendment search, Plaintiffs fail to show that the search was unreasonable… The intrusion undertaken by Defendants therefore satisfies the legitimate government interest in timekeeping and ensuring that public funds related to employee salaries are used for their intended purpose. The fingerprinting policy was justified at its inception.”</w:t>
      </w:r>
      <w:r w:rsidRPr="0071601A">
        <w:t xml:space="preserve"> </w:t>
      </w:r>
      <w:hyperlink r:id="rId1109" w:history="1">
        <w:r w:rsidRPr="0071601A">
          <w:rPr>
            <w:rStyle w:val="Hyperlink"/>
            <w:shd w:val="clear" w:color="auto" w:fill="FFFFFF"/>
          </w:rPr>
          <w:t>https://cases.justia.com/federal/district-courts/louisiana/laedce/2:2023cv00439/259406/50/0.pdf?ts=1721728516</w:t>
        </w:r>
      </w:hyperlink>
      <w:r w:rsidRPr="0071601A">
        <w:rPr>
          <w:shd w:val="clear" w:color="auto" w:fill="FFFFFF"/>
        </w:rPr>
        <w:t xml:space="preserve"> </w:t>
      </w:r>
    </w:p>
    <w:p w14:paraId="47C6DC34" w14:textId="77777777" w:rsidR="00364F21" w:rsidRDefault="00364F21" w:rsidP="00364F21">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THE COURT HELD:</w:t>
      </w:r>
    </w:p>
    <w:p w14:paraId="32FA80C5" w14:textId="77777777" w:rsidR="00364F21" w:rsidRDefault="00364F21" w:rsidP="00364F21">
      <w:pPr>
        <w:pStyle w:val="NoSpacing"/>
        <w:rPr>
          <w:rFonts w:ascii="Times New Roman" w:hAnsi="Times New Roman"/>
          <w:sz w:val="24"/>
          <w:szCs w:val="24"/>
          <w:shd w:val="clear" w:color="auto" w:fill="FFFFFF"/>
        </w:rPr>
      </w:pPr>
    </w:p>
    <w:p w14:paraId="4F2AE327" w14:textId="77777777" w:rsidR="00364F21" w:rsidRDefault="00364F21" w:rsidP="00364F21">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E01FC6">
        <w:rPr>
          <w:rFonts w:ascii="Times New Roman" w:hAnsi="Times New Roman"/>
          <w:sz w:val="24"/>
          <w:szCs w:val="24"/>
          <w:shd w:val="clear" w:color="auto" w:fill="FFFFFF"/>
        </w:rPr>
        <w:t xml:space="preserve">While the fingerprinting in this case likely constituted a search under </w:t>
      </w:r>
      <w:r w:rsidRPr="00E01FC6">
        <w:rPr>
          <w:rFonts w:ascii="Times New Roman" w:hAnsi="Times New Roman"/>
          <w:i/>
          <w:iCs/>
          <w:sz w:val="24"/>
          <w:szCs w:val="24"/>
          <w:shd w:val="clear" w:color="auto" w:fill="FFFFFF"/>
        </w:rPr>
        <w:t>Jones</w:t>
      </w:r>
      <w:r w:rsidRPr="00E01FC6">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w:t>
      </w:r>
      <w:r w:rsidRPr="00E01FC6">
        <w:rPr>
          <w:rFonts w:ascii="Times New Roman" w:hAnsi="Times New Roman"/>
          <w:sz w:val="24"/>
          <w:szCs w:val="24"/>
          <w:shd w:val="clear" w:color="auto" w:fill="FFFFFF"/>
        </w:rPr>
        <w:t xml:space="preserve">the search did not run afoul of the Fourth Amendment. The scope of the </w:t>
      </w:r>
      <w:proofErr w:type="gramStart"/>
      <w:r w:rsidRPr="00E01FC6">
        <w:rPr>
          <w:rFonts w:ascii="Times New Roman" w:hAnsi="Times New Roman"/>
          <w:sz w:val="24"/>
          <w:szCs w:val="24"/>
          <w:shd w:val="clear" w:color="auto" w:fill="FFFFFF"/>
        </w:rPr>
        <w:t>particular</w:t>
      </w:r>
      <w:r>
        <w:rPr>
          <w:rFonts w:ascii="Times New Roman" w:hAnsi="Times New Roman"/>
          <w:sz w:val="24"/>
          <w:szCs w:val="24"/>
          <w:shd w:val="clear" w:color="auto" w:fill="FFFFFF"/>
        </w:rPr>
        <w:t xml:space="preserve"> </w:t>
      </w:r>
      <w:r w:rsidRPr="00E01FC6">
        <w:rPr>
          <w:rFonts w:ascii="Times New Roman" w:hAnsi="Times New Roman"/>
          <w:sz w:val="24"/>
          <w:szCs w:val="24"/>
          <w:shd w:val="clear" w:color="auto" w:fill="FFFFFF"/>
        </w:rPr>
        <w:t>intrusion</w:t>
      </w:r>
      <w:proofErr w:type="gramEnd"/>
      <w:r w:rsidRPr="00E01FC6">
        <w:rPr>
          <w:rFonts w:ascii="Times New Roman" w:hAnsi="Times New Roman"/>
          <w:sz w:val="24"/>
          <w:szCs w:val="24"/>
          <w:shd w:val="clear" w:color="auto" w:fill="FFFFFF"/>
        </w:rPr>
        <w:t xml:space="preserve"> and the </w:t>
      </w:r>
      <w:proofErr w:type="gramStart"/>
      <w:r w:rsidRPr="00E01FC6">
        <w:rPr>
          <w:rFonts w:ascii="Times New Roman" w:hAnsi="Times New Roman"/>
          <w:sz w:val="24"/>
          <w:szCs w:val="24"/>
          <w:shd w:val="clear" w:color="auto" w:fill="FFFFFF"/>
        </w:rPr>
        <w:t>manner in which</w:t>
      </w:r>
      <w:proofErr w:type="gramEnd"/>
      <w:r w:rsidRPr="00E01FC6">
        <w:rPr>
          <w:rFonts w:ascii="Times New Roman" w:hAnsi="Times New Roman"/>
          <w:sz w:val="24"/>
          <w:szCs w:val="24"/>
          <w:shd w:val="clear" w:color="auto" w:fill="FFFFFF"/>
        </w:rPr>
        <w:t xml:space="preserve"> it was collected in this case were minimal. The</w:t>
      </w:r>
      <w:r>
        <w:rPr>
          <w:rFonts w:ascii="Times New Roman" w:hAnsi="Times New Roman"/>
          <w:sz w:val="24"/>
          <w:szCs w:val="24"/>
          <w:shd w:val="clear" w:color="auto" w:fill="FFFFFF"/>
        </w:rPr>
        <w:t xml:space="preserve"> </w:t>
      </w:r>
      <w:r w:rsidRPr="00E01FC6">
        <w:rPr>
          <w:rFonts w:ascii="Times New Roman" w:hAnsi="Times New Roman"/>
          <w:sz w:val="24"/>
          <w:szCs w:val="24"/>
          <w:shd w:val="clear" w:color="auto" w:fill="FFFFFF"/>
        </w:rPr>
        <w:t>timekeeping justification for the intrusion constitutes a legitimate work-related,</w:t>
      </w:r>
      <w:r>
        <w:rPr>
          <w:rFonts w:ascii="Times New Roman" w:hAnsi="Times New Roman"/>
          <w:sz w:val="24"/>
          <w:szCs w:val="24"/>
          <w:shd w:val="clear" w:color="auto" w:fill="FFFFFF"/>
        </w:rPr>
        <w:t xml:space="preserve"> </w:t>
      </w:r>
      <w:r w:rsidRPr="00E01FC6">
        <w:rPr>
          <w:rFonts w:ascii="Times New Roman" w:hAnsi="Times New Roman"/>
          <w:sz w:val="24"/>
          <w:szCs w:val="24"/>
          <w:shd w:val="clear" w:color="auto" w:fill="FFFFFF"/>
        </w:rPr>
        <w:t>non</w:t>
      </w:r>
      <w:r>
        <w:rPr>
          <w:rFonts w:ascii="Times New Roman" w:hAnsi="Times New Roman"/>
          <w:sz w:val="24"/>
          <w:szCs w:val="24"/>
          <w:shd w:val="clear" w:color="auto" w:fill="FFFFFF"/>
        </w:rPr>
        <w:t>-</w:t>
      </w:r>
      <w:r w:rsidRPr="00E01FC6">
        <w:rPr>
          <w:rFonts w:ascii="Times New Roman" w:hAnsi="Times New Roman"/>
          <w:sz w:val="24"/>
          <w:szCs w:val="24"/>
          <w:shd w:val="clear" w:color="auto" w:fill="FFFFFF"/>
        </w:rPr>
        <w:t>investigatory intrusion that satisfies the reasonableness standard in terms of its</w:t>
      </w:r>
      <w:r>
        <w:rPr>
          <w:rFonts w:ascii="Times New Roman" w:hAnsi="Times New Roman"/>
          <w:sz w:val="24"/>
          <w:szCs w:val="24"/>
          <w:shd w:val="clear" w:color="auto" w:fill="FFFFFF"/>
        </w:rPr>
        <w:t xml:space="preserve"> </w:t>
      </w:r>
      <w:r w:rsidRPr="00E01FC6">
        <w:rPr>
          <w:rFonts w:ascii="Times New Roman" w:hAnsi="Times New Roman"/>
          <w:sz w:val="24"/>
          <w:szCs w:val="24"/>
          <w:shd w:val="clear" w:color="auto" w:fill="FFFFFF"/>
        </w:rPr>
        <w:t>inception and scope. Therefore, the fingerprinting of Plaintiffs was not an</w:t>
      </w:r>
      <w:r>
        <w:rPr>
          <w:rFonts w:ascii="Times New Roman" w:hAnsi="Times New Roman"/>
          <w:sz w:val="24"/>
          <w:szCs w:val="24"/>
          <w:shd w:val="clear" w:color="auto" w:fill="FFFFFF"/>
        </w:rPr>
        <w:t xml:space="preserve"> </w:t>
      </w:r>
      <w:r w:rsidRPr="00E01FC6">
        <w:rPr>
          <w:rFonts w:ascii="Times New Roman" w:hAnsi="Times New Roman"/>
          <w:sz w:val="24"/>
          <w:szCs w:val="24"/>
          <w:shd w:val="clear" w:color="auto" w:fill="FFFFFF"/>
        </w:rPr>
        <w:t>unreasonable search in violation of the Fourth Amendment. Because the Plaintiffs</w:t>
      </w:r>
      <w:r>
        <w:rPr>
          <w:rFonts w:ascii="Times New Roman" w:hAnsi="Times New Roman"/>
          <w:sz w:val="24"/>
          <w:szCs w:val="24"/>
          <w:shd w:val="clear" w:color="auto" w:fill="FFFFFF"/>
        </w:rPr>
        <w:t xml:space="preserve"> </w:t>
      </w:r>
      <w:r w:rsidRPr="00E01FC6">
        <w:rPr>
          <w:rFonts w:ascii="Times New Roman" w:hAnsi="Times New Roman"/>
          <w:sz w:val="24"/>
          <w:szCs w:val="24"/>
          <w:shd w:val="clear" w:color="auto" w:fill="FFFFFF"/>
        </w:rPr>
        <w:t xml:space="preserve">cannot demonstrate an underlying constitutional violation, their § 1983 </w:t>
      </w:r>
      <w:r w:rsidRPr="004220C8">
        <w:rPr>
          <w:rFonts w:ascii="Times New Roman" w:hAnsi="Times New Roman"/>
          <w:i/>
          <w:iCs/>
          <w:sz w:val="24"/>
          <w:szCs w:val="24"/>
          <w:shd w:val="clear" w:color="auto" w:fill="FFFFFF"/>
        </w:rPr>
        <w:t xml:space="preserve">Monell </w:t>
      </w:r>
      <w:r w:rsidRPr="004220C8">
        <w:rPr>
          <w:rFonts w:ascii="Times New Roman" w:hAnsi="Times New Roman"/>
          <w:sz w:val="24"/>
          <w:szCs w:val="24"/>
          <w:shd w:val="clear" w:color="auto" w:fill="FFFFFF"/>
        </w:rPr>
        <w:t>claims against the Defendants necessarily fail. Likewise, the Plaintiffs’ Louisiana</w:t>
      </w:r>
      <w:r>
        <w:rPr>
          <w:rFonts w:ascii="Times New Roman" w:hAnsi="Times New Roman"/>
          <w:sz w:val="24"/>
          <w:szCs w:val="24"/>
          <w:shd w:val="clear" w:color="auto" w:fill="FFFFFF"/>
        </w:rPr>
        <w:t xml:space="preserve"> </w:t>
      </w:r>
      <w:r w:rsidRPr="004220C8">
        <w:rPr>
          <w:rFonts w:ascii="Times New Roman" w:hAnsi="Times New Roman"/>
          <w:sz w:val="24"/>
          <w:szCs w:val="24"/>
          <w:shd w:val="clear" w:color="auto" w:fill="FFFFFF"/>
        </w:rPr>
        <w:t>constitutional claims also fail.</w:t>
      </w:r>
      <w:r>
        <w:rPr>
          <w:rFonts w:ascii="Times New Roman" w:hAnsi="Times New Roman"/>
          <w:sz w:val="24"/>
          <w:szCs w:val="24"/>
          <w:shd w:val="clear" w:color="auto" w:fill="FFFFFF"/>
        </w:rPr>
        <w:t>”</w:t>
      </w:r>
    </w:p>
    <w:p w14:paraId="30960912" w14:textId="77777777" w:rsidR="004F15A5" w:rsidRDefault="004F15A5" w:rsidP="004F15A5">
      <w:pPr>
        <w:pStyle w:val="NoSpacing"/>
        <w:rPr>
          <w:rFonts w:ascii="Times New Roman" w:hAnsi="Times New Roman"/>
          <w:b/>
          <w:bCs/>
          <w:sz w:val="24"/>
          <w:szCs w:val="24"/>
          <w:shd w:val="clear" w:color="auto" w:fill="FFFFFF"/>
        </w:rPr>
      </w:pPr>
    </w:p>
    <w:p w14:paraId="173CA355" w14:textId="160DF5A9" w:rsidR="004F15A5" w:rsidRPr="005136BE" w:rsidRDefault="004F15A5" w:rsidP="004F15A5">
      <w:pPr>
        <w:pStyle w:val="NoSpacing"/>
        <w:rPr>
          <w:rFonts w:ascii="Times New Roman" w:hAnsi="Times New Roman"/>
          <w:b/>
          <w:bCs/>
          <w:sz w:val="24"/>
          <w:szCs w:val="24"/>
          <w:shd w:val="clear" w:color="auto" w:fill="FFFFFF"/>
        </w:rPr>
      </w:pPr>
      <w:r>
        <w:rPr>
          <w:rFonts w:ascii="Times New Roman" w:hAnsi="Times New Roman"/>
          <w:b/>
          <w:bCs/>
          <w:sz w:val="24"/>
          <w:szCs w:val="24"/>
          <w:shd w:val="clear" w:color="auto" w:fill="FFFFFF"/>
        </w:rPr>
        <w:t>Legal Lesson Learned: There is little case law on fingerprinting of employees; this decision is extremely well researched.</w:t>
      </w:r>
    </w:p>
    <w:p w14:paraId="5170BFBF" w14:textId="0C52AEC7" w:rsidR="00364F21" w:rsidRDefault="004F15A5" w:rsidP="004F15A5">
      <w:pPr>
        <w:pStyle w:val="NormalWeb"/>
        <w:spacing w:before="0" w:beforeAutospacing="0"/>
        <w:rPr>
          <w:rFonts w:ascii="Arial Black" w:hAnsi="Arial Black"/>
          <w:b/>
          <w:bCs/>
          <w:color w:val="454545"/>
          <w:sz w:val="28"/>
          <w:szCs w:val="28"/>
          <w:shd w:val="clear" w:color="auto" w:fill="FFFFFF"/>
        </w:rPr>
      </w:pPr>
      <w:r w:rsidRPr="0071601A">
        <w:rPr>
          <w:color w:val="454545"/>
          <w:shd w:val="clear" w:color="auto" w:fill="FFFFFF"/>
        </w:rPr>
        <w:t xml:space="preserve">Note: See the </w:t>
      </w:r>
      <w:r>
        <w:rPr>
          <w:color w:val="454545"/>
          <w:shd w:val="clear" w:color="auto" w:fill="FFFFFF"/>
        </w:rPr>
        <w:t>“</w:t>
      </w:r>
      <w:r w:rsidRPr="0071601A">
        <w:rPr>
          <w:color w:val="454545"/>
          <w:shd w:val="clear" w:color="auto" w:fill="FFFFFF"/>
        </w:rPr>
        <w:t>Kronos</w:t>
      </w:r>
      <w:r>
        <w:rPr>
          <w:color w:val="454545"/>
          <w:shd w:val="clear" w:color="auto" w:fill="FFFFFF"/>
        </w:rPr>
        <w:t>”</w:t>
      </w:r>
      <w:r w:rsidRPr="0071601A">
        <w:rPr>
          <w:color w:val="454545"/>
          <w:shd w:val="clear" w:color="auto" w:fill="FFFFFF"/>
        </w:rPr>
        <w:t xml:space="preserve"> timekeeping system. </w:t>
      </w:r>
      <w:hyperlink r:id="rId1110" w:history="1">
        <w:r w:rsidRPr="0071601A">
          <w:rPr>
            <w:rStyle w:val="Hyperlink"/>
            <w:shd w:val="clear" w:color="auto" w:fill="FFFFFF"/>
          </w:rPr>
          <w:t>https://www.360connect.com/product-blog/kronos-time-and-attendance-system-types-features-pricing/</w:t>
        </w:r>
      </w:hyperlink>
    </w:p>
    <w:p w14:paraId="06D5BBD6" w14:textId="77777777" w:rsidR="00562A25" w:rsidRDefault="00562A25" w:rsidP="006C4AD8">
      <w:pPr>
        <w:pStyle w:val="NormalWeb"/>
        <w:spacing w:before="0" w:beforeAutospacing="0"/>
        <w:rPr>
          <w:rFonts w:ascii="Arial Black" w:hAnsi="Arial Black"/>
          <w:b/>
          <w:bCs/>
          <w:color w:val="454545"/>
          <w:sz w:val="28"/>
          <w:szCs w:val="28"/>
          <w:shd w:val="clear" w:color="auto" w:fill="FFFFFF"/>
        </w:rPr>
      </w:pPr>
    </w:p>
    <w:p w14:paraId="4E0DF329" w14:textId="77777777" w:rsidR="00562A25" w:rsidRDefault="00562A25" w:rsidP="006C4AD8">
      <w:pPr>
        <w:pStyle w:val="NormalWeb"/>
        <w:spacing w:before="0" w:beforeAutospacing="0"/>
        <w:rPr>
          <w:rFonts w:ascii="Arial Black" w:hAnsi="Arial Black"/>
          <w:b/>
          <w:bCs/>
          <w:color w:val="454545"/>
          <w:sz w:val="28"/>
          <w:szCs w:val="28"/>
          <w:shd w:val="clear" w:color="auto" w:fill="FFFFFF"/>
        </w:rPr>
      </w:pPr>
    </w:p>
    <w:p w14:paraId="75C35C2D" w14:textId="020C7F5B" w:rsidR="00C63CEB" w:rsidRDefault="009F02E2"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6-13</w:t>
      </w:r>
      <w:r w:rsidR="002A0697">
        <w:rPr>
          <w:rFonts w:ascii="Arial Black" w:hAnsi="Arial Black"/>
          <w:b/>
          <w:bCs/>
          <w:color w:val="454545"/>
          <w:sz w:val="28"/>
          <w:szCs w:val="28"/>
          <w:shd w:val="clear" w:color="auto" w:fill="FFFFFF"/>
        </w:rPr>
        <w:t>3</w:t>
      </w:r>
    </w:p>
    <w:p w14:paraId="24C3F924" w14:textId="77777777" w:rsidR="00A905C2" w:rsidRPr="000F466D" w:rsidRDefault="00A905C2" w:rsidP="00A905C2">
      <w:pPr>
        <w:pStyle w:val="NormalWeb"/>
        <w:rPr>
          <w:rFonts w:ascii="Arial Black" w:hAnsi="Arial Black"/>
          <w:sz w:val="28"/>
          <w:szCs w:val="28"/>
        </w:rPr>
      </w:pPr>
      <w:r>
        <w:rPr>
          <w:rFonts w:ascii="Arial Black" w:hAnsi="Arial Black"/>
          <w:sz w:val="28"/>
          <w:szCs w:val="28"/>
        </w:rPr>
        <w:t>IL: CORONARY ARTERY DISEASE – LT. 28 YEARS FIRE SERVICE – CAN’T PROVE CAUSED BY JOB – NO WORK COMP</w:t>
      </w:r>
    </w:p>
    <w:p w14:paraId="0D39A263" w14:textId="77777777" w:rsidR="00A905C2" w:rsidRDefault="00A905C2" w:rsidP="00A905C2">
      <w:pPr>
        <w:pStyle w:val="NormalWeb"/>
      </w:pPr>
      <w:r>
        <w:t xml:space="preserve">On May 24, 2024, in </w:t>
      </w:r>
      <w:r w:rsidRPr="00110426">
        <w:rPr>
          <w:u w:val="single"/>
        </w:rPr>
        <w:t>Jerry Faruzzi v. The Illinois Workers Compensation Commission</w:t>
      </w:r>
      <w:r>
        <w:t xml:space="preserve">, the Court of Appeals of Illinois, First District, Workers’ Compensation Commission Division, held (5 to 0) that the firefighter failed to prove the artery disease was caused by the job. The Court held: </w:t>
      </w:r>
    </w:p>
    <w:p w14:paraId="77176E4D" w14:textId="77777777" w:rsidR="00A905C2" w:rsidRDefault="00A905C2" w:rsidP="00A905C2">
      <w:pPr>
        <w:pStyle w:val="NormalWeb"/>
        <w:ind w:left="720" w:firstLine="60"/>
      </w:pPr>
      <w:r>
        <w:t>“The claimant argues that Dr. Moisan's testimony that the claimant's firefighting activities contributed in part to his development of coronary artery disease is a judicial admission by the Village based on Dr. Moisan's position as medical director for the Village's fire department. We disagree…. As noted earlier, Dr. Moisan's causation opinion is hardly unequivocal. When asked directly whether the claimant's coronary artery disease was caused or contributed to by his firefighting duties, Dr. Moisan stated: ‘I can't know that</w:t>
      </w:r>
      <w:proofErr w:type="gramStart"/>
      <w:r>
        <w:t>.</w:t>
      </w:r>
      <w:proofErr w:type="gramEnd"/>
      <w:r>
        <w:t xml:space="preserve"> I can't exclude it.’” </w:t>
      </w:r>
      <w:hyperlink r:id="rId1111" w:history="1">
        <w:r w:rsidRPr="00F80308">
          <w:rPr>
            <w:rStyle w:val="Hyperlink"/>
          </w:rPr>
          <w:t>https://ilcourtsaudio.blob.core.windows.net/antilles-resources/resources/db67e7e2-0717-4638-8c31-3e01bcc193d9/Faruzzi%20v.%20Illinois%20Workers%27%20Compensation%20Comm%27n,%202024%20IL%20App%20(1st)%20231896WC-U.pdf</w:t>
        </w:r>
      </w:hyperlink>
      <w:r>
        <w:t xml:space="preserve"> </w:t>
      </w:r>
    </w:p>
    <w:p w14:paraId="2C422B3B" w14:textId="77777777" w:rsidR="009C6DC9" w:rsidRDefault="009C6DC9" w:rsidP="009C6DC9">
      <w:pPr>
        <w:pStyle w:val="NormalWeb"/>
        <w:rPr>
          <w:b/>
          <w:bCs/>
        </w:rPr>
      </w:pPr>
      <w:r>
        <w:rPr>
          <w:b/>
          <w:bCs/>
        </w:rPr>
        <w:t xml:space="preserve">Legal Lesson Learned:  Extremely difficult to prove coronary artery disease caused by the job. </w:t>
      </w:r>
    </w:p>
    <w:p w14:paraId="01812EC9" w14:textId="77777777" w:rsidR="009C6DC9" w:rsidRPr="009E5A90" w:rsidRDefault="009C6DC9" w:rsidP="009C6DC9">
      <w:pPr>
        <w:pStyle w:val="Heading1"/>
        <w:ind w:left="720"/>
        <w:rPr>
          <w:sz w:val="24"/>
          <w:szCs w:val="24"/>
        </w:rPr>
      </w:pPr>
      <w:r w:rsidRPr="009E5A90">
        <w:rPr>
          <w:sz w:val="24"/>
          <w:szCs w:val="24"/>
        </w:rPr>
        <w:lastRenderedPageBreak/>
        <w:t xml:space="preserve">Note: In Ohio, the legislature has enacted a “statutory presumption” law for certain firefighter diseases.  Section 4123.68 </w:t>
      </w:r>
      <w:r w:rsidRPr="009E5A90">
        <w:rPr>
          <w:rStyle w:val="codes-separator"/>
          <w:rFonts w:eastAsiaTheme="minorHAnsi"/>
          <w:sz w:val="24"/>
          <w:szCs w:val="24"/>
        </w:rPr>
        <w:t>|</w:t>
      </w:r>
      <w:r w:rsidRPr="009E5A90">
        <w:rPr>
          <w:sz w:val="24"/>
          <w:szCs w:val="24"/>
        </w:rPr>
        <w:t xml:space="preserve"> Schedule of compensable occupational diseases. </w:t>
      </w:r>
      <w:hyperlink r:id="rId1112" w:history="1">
        <w:r w:rsidRPr="00F80308">
          <w:rPr>
            <w:rStyle w:val="Hyperlink"/>
            <w:sz w:val="24"/>
            <w:szCs w:val="24"/>
          </w:rPr>
          <w:t>https://codes.ohio.gov/ohio-revised-code/section-4123.68</w:t>
        </w:r>
      </w:hyperlink>
      <w:r>
        <w:rPr>
          <w:sz w:val="24"/>
          <w:szCs w:val="24"/>
        </w:rPr>
        <w:t xml:space="preserve"> </w:t>
      </w:r>
    </w:p>
    <w:p w14:paraId="53EC78E9" w14:textId="77777777" w:rsidR="009C6DC9" w:rsidRDefault="009C6DC9" w:rsidP="009C6DC9">
      <w:pPr>
        <w:pStyle w:val="NormalWeb"/>
        <w:ind w:left="720"/>
      </w:pPr>
      <w:r>
        <w:t>For example:</w:t>
      </w:r>
    </w:p>
    <w:p w14:paraId="31E75CB6" w14:textId="77777777" w:rsidR="009C6DC9" w:rsidRDefault="009C6DC9" w:rsidP="009C6DC9">
      <w:pPr>
        <w:pStyle w:val="NormalWeb"/>
        <w:ind w:left="1440"/>
      </w:pPr>
      <w:r>
        <w:t>“(W) Cardiovascular, pulmonary, or respiratory diseases incurred by firefighters or police officers following exposure to heat, smoke, toxic gases, chemical fumes and other toxic substances: Any cardiovascular, pulmonary, or respiratory disease of a firefighter or police officer caused or induced by the cumulative effect of exposure to heat, the inhalation of smoke, toxic gases, chemical fumes and other toxic substances in the performance of the firefighter's or police officer's duty constitutes a presumption, which may be refuted by affirmative evidence, that such occurred in the course of and arising out of the firefighter's or police officer's employment.</w:t>
      </w:r>
    </w:p>
    <w:p w14:paraId="13DC7DCC" w14:textId="77777777" w:rsidR="009C6DC9" w:rsidRPr="00797268" w:rsidRDefault="009C6DC9" w:rsidP="009C6DC9">
      <w:pPr>
        <w:pStyle w:val="NormalWeb"/>
        <w:ind w:left="1440"/>
      </w:pPr>
      <w:r>
        <w:t>***</w:t>
      </w:r>
    </w:p>
    <w:p w14:paraId="0CD2C01F" w14:textId="77777777" w:rsidR="009C6DC9" w:rsidRPr="00EE37D5" w:rsidRDefault="009C6DC9" w:rsidP="009C6DC9">
      <w:pPr>
        <w:pStyle w:val="NormalWeb"/>
        <w:ind w:left="1440"/>
        <w:rPr>
          <w:b/>
          <w:bCs/>
        </w:rPr>
      </w:pPr>
      <w:r>
        <w:t xml:space="preserve">(X)(1) Cancer contracted by a firefighter: Cancer contracted by a firefighter who has been assigned to at least six years of hazardous duty as a firefighter constitutes a presumption that the cancer was contracted in the course of and arising out of the firefighter's employment if the firefighter was exposed to an agent classified by the international agency for research on cancer or its successor organization as a group 1 or 2A carcinogen.” </w:t>
      </w:r>
    </w:p>
    <w:p w14:paraId="0C2123E8" w14:textId="77777777" w:rsidR="009C6DC9" w:rsidRDefault="009C6DC9" w:rsidP="009C6DC9">
      <w:pPr>
        <w:pStyle w:val="NormalWeb"/>
        <w:ind w:left="720"/>
      </w:pPr>
      <w:r>
        <w:t xml:space="preserve">See IAFF list of states with statutory presumption laws. </w:t>
      </w:r>
      <w:hyperlink r:id="rId1113" w:history="1">
        <w:r w:rsidRPr="00F80308">
          <w:rPr>
            <w:rStyle w:val="Hyperlink"/>
          </w:rPr>
          <w:t>https://www.iaff.org/presumptive-health/</w:t>
        </w:r>
      </w:hyperlink>
      <w:r>
        <w:t xml:space="preserve"> </w:t>
      </w:r>
    </w:p>
    <w:p w14:paraId="278DA56C" w14:textId="77777777" w:rsidR="009F02E2" w:rsidRDefault="009F02E2" w:rsidP="006C4AD8">
      <w:pPr>
        <w:pStyle w:val="NormalWeb"/>
        <w:spacing w:before="0" w:beforeAutospacing="0"/>
        <w:rPr>
          <w:rFonts w:ascii="Arial Black" w:hAnsi="Arial Black"/>
          <w:b/>
          <w:bCs/>
          <w:color w:val="454545"/>
          <w:sz w:val="28"/>
          <w:szCs w:val="28"/>
          <w:shd w:val="clear" w:color="auto" w:fill="FFFFFF"/>
        </w:rPr>
      </w:pPr>
    </w:p>
    <w:p w14:paraId="31C637F1" w14:textId="2CC1D7DF" w:rsidR="00C63CEB" w:rsidRDefault="00C63CEB"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6-13</w:t>
      </w:r>
      <w:r w:rsidR="002A0697">
        <w:rPr>
          <w:rFonts w:ascii="Arial Black" w:hAnsi="Arial Black"/>
          <w:b/>
          <w:bCs/>
          <w:color w:val="454545"/>
          <w:sz w:val="28"/>
          <w:szCs w:val="28"/>
          <w:shd w:val="clear" w:color="auto" w:fill="FFFFFF"/>
        </w:rPr>
        <w:t>2</w:t>
      </w:r>
    </w:p>
    <w:p w14:paraId="16ECB341" w14:textId="77777777" w:rsidR="00DC3D8E" w:rsidRDefault="00DC3D8E" w:rsidP="00DC3D8E">
      <w:pPr>
        <w:pStyle w:val="NormalWeb"/>
        <w:spacing w:before="0" w:beforeAutospacing="0"/>
        <w:rPr>
          <w:rFonts w:ascii="Arial Black" w:hAnsi="Arial Black"/>
          <w:b/>
          <w:bCs/>
          <w:color w:val="454545"/>
          <w:sz w:val="28"/>
          <w:szCs w:val="28"/>
          <w:shd w:val="clear" w:color="auto" w:fill="FFFFFF"/>
        </w:rPr>
      </w:pPr>
      <w:r w:rsidRPr="009E0BBC">
        <w:rPr>
          <w:rFonts w:ascii="Arial Black" w:hAnsi="Arial Black"/>
          <w:b/>
          <w:bCs/>
          <w:color w:val="454545"/>
          <w:sz w:val="28"/>
          <w:szCs w:val="28"/>
          <w:shd w:val="clear" w:color="auto" w:fill="FFFFFF"/>
        </w:rPr>
        <w:t xml:space="preserve">PA: </w:t>
      </w:r>
      <w:r>
        <w:rPr>
          <w:rFonts w:ascii="Arial Black" w:hAnsi="Arial Black"/>
          <w:b/>
          <w:bCs/>
          <w:color w:val="454545"/>
          <w:sz w:val="28"/>
          <w:szCs w:val="28"/>
          <w:shd w:val="clear" w:color="auto" w:fill="FFFFFF"/>
        </w:rPr>
        <w:t xml:space="preserve">PHILADELPHIA FF - </w:t>
      </w:r>
      <w:r w:rsidRPr="009E0BBC">
        <w:rPr>
          <w:rFonts w:ascii="Arial Black" w:hAnsi="Arial Black"/>
          <w:b/>
          <w:bCs/>
          <w:color w:val="454545"/>
          <w:sz w:val="28"/>
          <w:szCs w:val="28"/>
          <w:shd w:val="clear" w:color="auto" w:fill="FFFFFF"/>
        </w:rPr>
        <w:t xml:space="preserve">TRANSGENDER </w:t>
      </w:r>
      <w:r>
        <w:rPr>
          <w:rFonts w:ascii="Arial Black" w:hAnsi="Arial Black"/>
          <w:b/>
          <w:bCs/>
          <w:color w:val="454545"/>
          <w:sz w:val="28"/>
          <w:szCs w:val="28"/>
          <w:shd w:val="clear" w:color="auto" w:fill="FFFFFF"/>
        </w:rPr>
        <w:t xml:space="preserve">FEMALE - DENIED </w:t>
      </w:r>
      <w:r w:rsidRPr="009E0BBC">
        <w:rPr>
          <w:rFonts w:ascii="Arial Black" w:hAnsi="Arial Black"/>
          <w:b/>
          <w:bCs/>
          <w:color w:val="454545"/>
          <w:sz w:val="28"/>
          <w:szCs w:val="28"/>
          <w:shd w:val="clear" w:color="auto" w:fill="FFFFFF"/>
        </w:rPr>
        <w:t>INSUR</w:t>
      </w:r>
      <w:r>
        <w:rPr>
          <w:rFonts w:ascii="Arial Black" w:hAnsi="Arial Black"/>
          <w:b/>
          <w:bCs/>
          <w:color w:val="454545"/>
          <w:sz w:val="28"/>
          <w:szCs w:val="28"/>
          <w:shd w:val="clear" w:color="auto" w:fill="FFFFFF"/>
        </w:rPr>
        <w:t>. “FACIAL SURGERY” – CASE DISMISSED / CAN REFILE</w:t>
      </w:r>
    </w:p>
    <w:p w14:paraId="11A5892D" w14:textId="77777777" w:rsidR="00DC3D8E" w:rsidRDefault="00DC3D8E" w:rsidP="00DC3D8E">
      <w:pPr>
        <w:pStyle w:val="NormalWeb"/>
        <w:spacing w:before="0" w:beforeAutospacing="0"/>
      </w:pPr>
      <w:r w:rsidRPr="000B7D4B">
        <w:rPr>
          <w:color w:val="454545"/>
          <w:shd w:val="clear" w:color="auto" w:fill="FFFFFF"/>
        </w:rPr>
        <w:t xml:space="preserve">On May 16, 2024, in </w:t>
      </w:r>
      <w:r w:rsidRPr="00885806">
        <w:rPr>
          <w:color w:val="454545"/>
          <w:u w:val="single"/>
          <w:shd w:val="clear" w:color="auto" w:fill="FFFFFF"/>
        </w:rPr>
        <w:t>Jane Doe [not actual name] v. City of Philadelphia, Independent Blue Cross, Firefighters’ &amp; Paramedics Union, IADD Local 22</w:t>
      </w:r>
      <w:r>
        <w:rPr>
          <w:color w:val="454545"/>
          <w:shd w:val="clear" w:color="auto" w:fill="FFFFFF"/>
        </w:rPr>
        <w:t>, the plaintiff, a member of the FD for three decades, was denied insurance coverage for “</w:t>
      </w:r>
      <w:r>
        <w:t xml:space="preserve">facial feminization surgery.”  </w:t>
      </w:r>
      <w:r>
        <w:rPr>
          <w:color w:val="454545"/>
          <w:shd w:val="clear" w:color="auto" w:fill="FFFFFF"/>
        </w:rPr>
        <w:t xml:space="preserve">United States District Court Judge </w:t>
      </w:r>
      <w:r>
        <w:t>Wendy Beetlestone granted the defendants’ motion to dismiss her lawsuit since it is not specific regarding alleged unlawful conduct of each of the three defendants, but the dismissal is “without prejudice” meaning she can refile with a more specific Complaint.  The plaintiff had filed an EEOC complaint and received a “Right to Sue” letter from EEOC, so she has properly taken steps to file a lawsuit. The Court held:</w:t>
      </w:r>
    </w:p>
    <w:p w14:paraId="168C3E8B" w14:textId="77777777" w:rsidR="00DC3D8E" w:rsidRDefault="00DC3D8E" w:rsidP="00DC3D8E">
      <w:pPr>
        <w:pStyle w:val="NormalWeb"/>
        <w:ind w:left="720"/>
      </w:pPr>
      <w:r>
        <w:t xml:space="preserve">“Here, Doe levies most of her allegations against Defendants as a whole, without identifying the conduct for which the </w:t>
      </w:r>
      <w:proofErr w:type="gramStart"/>
      <w:r>
        <w:t>City</w:t>
      </w:r>
      <w:proofErr w:type="gramEnd"/>
      <w:r>
        <w:t xml:space="preserve"> specifically is responsible. The only non-conclusory allegations against the City are that: (1) it employed Doe; (2) as her employer, the City was ‘responsible for the provision of benefits to [her] including employer-sponsored healthcare benefits;’ (3) the City funded that plan; and, (4) ‘[</w:t>
      </w:r>
      <w:proofErr w:type="spellStart"/>
      <w:r>
        <w:t>i</w:t>
      </w:r>
      <w:proofErr w:type="spellEnd"/>
      <w:r>
        <w:t xml:space="preserve">]t is believed and therefore averred that’ the City, along with the other Defendants ‘exercised extensive control over benefits,’ including health insurance. The key allegations relating to Defendants' liability-that they denied Doe health insurance coverage for treatments necessary to treat her gender dysphoria and misapplied her policy's cosmetic surgery exclusion in doing so-do not distinguish between the conduct of the City, Independence Blue Cross, and Local 22. The Amended Complaint therefore does not </w:t>
      </w:r>
      <w:proofErr w:type="gramStart"/>
      <w:r>
        <w:t>plead</w:t>
      </w:r>
      <w:proofErr w:type="gramEnd"/>
      <w:r>
        <w:t xml:space="preserve"> facts sufficient to show that Doe is plausibly entitled to relief from the City.</w:t>
      </w:r>
    </w:p>
    <w:p w14:paraId="1D482102" w14:textId="77777777" w:rsidR="00DC3D8E" w:rsidRDefault="00DC3D8E" w:rsidP="00DC3D8E">
      <w:pPr>
        <w:pStyle w:val="NormalWeb"/>
        <w:ind w:left="720"/>
      </w:pPr>
      <w:r>
        <w:lastRenderedPageBreak/>
        <w:t>***</w:t>
      </w:r>
    </w:p>
    <w:p w14:paraId="7326FA47" w14:textId="77777777" w:rsidR="00DC3D8E" w:rsidRDefault="00DC3D8E" w:rsidP="00DC3D8E">
      <w:pPr>
        <w:pStyle w:val="NormalWeb"/>
        <w:spacing w:before="0" w:beforeAutospacing="0"/>
        <w:ind w:left="720" w:firstLine="60"/>
      </w:pPr>
      <w:r>
        <w:t xml:space="preserve">For the foregoing reasons, the City of Philadelphia's Motion to Dismiss will be granted, and Doe's Amended Complaint will be dismissed without prejudice.”  </w:t>
      </w:r>
      <w:hyperlink r:id="rId1114" w:history="1">
        <w:r w:rsidRPr="00DF21B2">
          <w:rPr>
            <w:rStyle w:val="Hyperlink"/>
          </w:rPr>
          <w:t>https://casetext.com/case/doe-v-city-of-philadelphia-5</w:t>
        </w:r>
      </w:hyperlink>
      <w:r>
        <w:t xml:space="preserve"> </w:t>
      </w:r>
    </w:p>
    <w:p w14:paraId="4352044C" w14:textId="77777777" w:rsidR="009F02E2" w:rsidRPr="007D3354" w:rsidRDefault="009F02E2" w:rsidP="009F02E2">
      <w:pPr>
        <w:pStyle w:val="NormalWeb"/>
        <w:spacing w:before="0" w:beforeAutospacing="0"/>
        <w:rPr>
          <w:b/>
          <w:bCs/>
          <w:color w:val="454545"/>
          <w:shd w:val="clear" w:color="auto" w:fill="FFFFFF"/>
        </w:rPr>
      </w:pPr>
      <w:r w:rsidRPr="007D3354">
        <w:rPr>
          <w:b/>
          <w:bCs/>
        </w:rPr>
        <w:t xml:space="preserve">Legal Lesson Learned: This lawsuit will likely be refiled, focusing on the Insurance Company’s cosmetic surgery exclusion. </w:t>
      </w:r>
    </w:p>
    <w:p w14:paraId="3C7BA024" w14:textId="77777777" w:rsidR="009F02E2" w:rsidRDefault="009F02E2" w:rsidP="009F02E2">
      <w:pPr>
        <w:pStyle w:val="NormalWeb"/>
        <w:spacing w:before="0" w:beforeAutospacing="0"/>
        <w:ind w:left="720"/>
        <w:rPr>
          <w:b/>
          <w:bCs/>
          <w:color w:val="454545"/>
          <w:shd w:val="clear" w:color="auto" w:fill="FFFFFF"/>
        </w:rPr>
      </w:pPr>
      <w:r w:rsidRPr="007E1F50">
        <w:rPr>
          <w:color w:val="000000" w:themeColor="text1"/>
          <w:shd w:val="clear" w:color="auto" w:fill="FFFFFF"/>
        </w:rPr>
        <w:t>Note: See this abstract (Aug. 12, 2023):</w:t>
      </w:r>
      <w:r w:rsidRPr="007E1F50">
        <w:rPr>
          <w:b/>
          <w:bCs/>
          <w:color w:val="000000" w:themeColor="text1"/>
          <w:shd w:val="clear" w:color="auto" w:fill="FFFFFF"/>
        </w:rPr>
        <w:t xml:space="preserve"> </w:t>
      </w:r>
      <w:r>
        <w:rPr>
          <w:b/>
          <w:bCs/>
          <w:color w:val="000000" w:themeColor="text1"/>
          <w:shd w:val="clear" w:color="auto" w:fill="FFFFFF"/>
        </w:rPr>
        <w:t>“</w:t>
      </w:r>
      <w:r w:rsidRPr="007E1F50">
        <w:rPr>
          <w:color w:val="000000" w:themeColor="text1"/>
        </w:rPr>
        <w:t>The Limited Coverage of Facial Feminization Surgery in the United States: A Literature Review of Policy Constraints and Implications</w:t>
      </w:r>
      <w:r>
        <w:rPr>
          <w:color w:val="000000" w:themeColor="text1"/>
        </w:rPr>
        <w:t xml:space="preserve">.” </w:t>
      </w:r>
      <w:hyperlink r:id="rId1115" w:history="1">
        <w:r w:rsidRPr="00DF21B2">
          <w:rPr>
            <w:rStyle w:val="Hyperlink"/>
          </w:rPr>
          <w:t>https://www.ncbi.nlm.nih.gov/pmc/articles/PMC10455106/</w:t>
        </w:r>
      </w:hyperlink>
      <w:r>
        <w:t xml:space="preserve"> </w:t>
      </w:r>
    </w:p>
    <w:p w14:paraId="6DBB5852" w14:textId="77777777" w:rsidR="009F02E2" w:rsidRDefault="009F02E2" w:rsidP="009F02E2">
      <w:pPr>
        <w:pStyle w:val="NormalWeb"/>
        <w:spacing w:before="0" w:beforeAutospacing="0"/>
        <w:ind w:left="1440"/>
        <w:rPr>
          <w:b/>
          <w:bCs/>
          <w:color w:val="454545"/>
          <w:shd w:val="clear" w:color="auto" w:fill="FFFFFF"/>
        </w:rPr>
      </w:pPr>
      <w:r>
        <w:t xml:space="preserve">“In 2014, the Department of Human Health Services (HHS) lifted the transgender exclusion policy, leading to an increase in policies regarding GASs for both private and state insurance. However, there are differences in medical necessity requirements among policies, which may not align with the World Professional Association for Transgender Health (WPATH) criteria. States that prohibit exclusion tend to offer better coverage for FFS. These states are mainly located in the western and northeast regions, whereas states in the southern and middle east regions have less coverage. Among the procedures, chondrolaryngoplasty is the most covered, while facial and cervical rhytidectomy are the least covered. To enhance transgender care, it is crucial to reach a consensus on how to offer coverage for facial feminization surgery. However, there is a lack of adequate research on this topic, and there is a need for resources and tools to assess the results of FFS procedures.” </w:t>
      </w:r>
    </w:p>
    <w:p w14:paraId="47383A6C" w14:textId="77777777" w:rsidR="009F02E2" w:rsidRDefault="009F02E2" w:rsidP="009F02E2">
      <w:pPr>
        <w:pStyle w:val="NormalWeb"/>
        <w:spacing w:before="0" w:beforeAutospacing="0"/>
        <w:ind w:left="720"/>
        <w:rPr>
          <w:color w:val="454545"/>
          <w:shd w:val="clear" w:color="auto" w:fill="FFFFFF"/>
        </w:rPr>
      </w:pPr>
      <w:r w:rsidRPr="00546DEF">
        <w:rPr>
          <w:color w:val="454545"/>
          <w:shd w:val="clear" w:color="auto" w:fill="FFFFFF"/>
        </w:rPr>
        <w:t>See also</w:t>
      </w:r>
      <w:r>
        <w:rPr>
          <w:color w:val="454545"/>
          <w:shd w:val="clear" w:color="auto" w:fill="FFFFFF"/>
        </w:rPr>
        <w:t xml:space="preserve">:  May 13, </w:t>
      </w:r>
      <w:proofErr w:type="gramStart"/>
      <w:r>
        <w:rPr>
          <w:color w:val="454545"/>
          <w:shd w:val="clear" w:color="auto" w:fill="FFFFFF"/>
        </w:rPr>
        <w:t>2024</w:t>
      </w:r>
      <w:proofErr w:type="gramEnd"/>
      <w:r>
        <w:rPr>
          <w:color w:val="454545"/>
          <w:shd w:val="clear" w:color="auto" w:fill="FFFFFF"/>
        </w:rPr>
        <w:t xml:space="preserve"> decision by U.S. Court of Appeals for the 11</w:t>
      </w:r>
      <w:r w:rsidRPr="00BF4B65">
        <w:rPr>
          <w:color w:val="454545"/>
          <w:shd w:val="clear" w:color="auto" w:fill="FFFFFF"/>
          <w:vertAlign w:val="superscript"/>
        </w:rPr>
        <w:t>th</w:t>
      </w:r>
      <w:r>
        <w:rPr>
          <w:color w:val="454545"/>
          <w:shd w:val="clear" w:color="auto" w:fill="FFFFFF"/>
        </w:rPr>
        <w:t xml:space="preserve"> Circuit, </w:t>
      </w:r>
      <w:r w:rsidRPr="007F4E32">
        <w:rPr>
          <w:color w:val="454545"/>
          <w:u w:val="single"/>
          <w:shd w:val="clear" w:color="auto" w:fill="FFFFFF"/>
        </w:rPr>
        <w:t>Anna Lang v. Houston County, Georg</w:t>
      </w:r>
      <w:r>
        <w:rPr>
          <w:color w:val="454545"/>
          <w:u w:val="single"/>
          <w:shd w:val="clear" w:color="auto" w:fill="FFFFFF"/>
        </w:rPr>
        <w:t>ia</w:t>
      </w:r>
      <w:r>
        <w:rPr>
          <w:color w:val="454545"/>
          <w:shd w:val="clear" w:color="auto" w:fill="FFFFFF"/>
        </w:rPr>
        <w:t xml:space="preserve">: </w:t>
      </w:r>
    </w:p>
    <w:p w14:paraId="53262C28" w14:textId="77777777" w:rsidR="009F02E2" w:rsidRPr="00C65EDF" w:rsidRDefault="009F02E2" w:rsidP="009F02E2">
      <w:pPr>
        <w:pStyle w:val="NoSpacing"/>
        <w:ind w:left="1440"/>
        <w:rPr>
          <w:rFonts w:ascii="Times New Roman" w:hAnsi="Times New Roman"/>
          <w:sz w:val="24"/>
          <w:szCs w:val="24"/>
          <w:shd w:val="clear" w:color="auto" w:fill="FFFFFF"/>
        </w:rPr>
      </w:pPr>
      <w:r>
        <w:rPr>
          <w:rFonts w:ascii="Times New Roman" w:hAnsi="Times New Roman"/>
          <w:sz w:val="24"/>
          <w:szCs w:val="24"/>
          <w:shd w:val="clear" w:color="auto" w:fill="FFFFFF"/>
        </w:rPr>
        <w:t>“</w:t>
      </w:r>
      <w:r w:rsidRPr="005C61F2">
        <w:rPr>
          <w:rFonts w:ascii="Times New Roman" w:hAnsi="Times New Roman"/>
          <w:sz w:val="24"/>
          <w:szCs w:val="24"/>
          <w:shd w:val="clear" w:color="auto" w:fill="FFFFFF"/>
        </w:rPr>
        <w:t>Anna Lange is a transgender woman</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Lange was formally diagnosed with gender dysphoria by a</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healthcare provider in 2017. The next year, Lange informed the</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Sheriff’s Office that she was transgender and would be living as a</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woman. Following her formal diagnosis, Lange’s healthcare providers started her on a treatment plan to align her physical characteristics with her gender identity. The plan comprised of hormone</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therapy and gender-affirming surgery, both of which are shown to</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alleviate symptoms of gender dysphoria. In 2018, her healthcare</w:t>
      </w:r>
    </w:p>
    <w:p w14:paraId="7A78DC16" w14:textId="77777777" w:rsidR="009F02E2" w:rsidRPr="00C65EDF" w:rsidRDefault="009F02E2" w:rsidP="009F02E2">
      <w:pPr>
        <w:pStyle w:val="NoSpacing"/>
        <w:ind w:left="1440"/>
        <w:rPr>
          <w:rFonts w:ascii="Times New Roman" w:hAnsi="Times New Roman"/>
          <w:sz w:val="24"/>
          <w:szCs w:val="24"/>
          <w:shd w:val="clear" w:color="auto" w:fill="FFFFFF"/>
        </w:rPr>
      </w:pPr>
      <w:r w:rsidRPr="00C65EDF">
        <w:rPr>
          <w:rFonts w:ascii="Times New Roman" w:hAnsi="Times New Roman"/>
          <w:sz w:val="24"/>
          <w:szCs w:val="24"/>
          <w:shd w:val="clear" w:color="auto" w:fill="FFFFFF"/>
        </w:rPr>
        <w:t>providers determined that a vaginoplasty—a surgical procedure to</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feminize her genitals—was medically necessary.</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 xml:space="preserve">Lange turned to her health insurance to cover her </w:t>
      </w:r>
      <w:proofErr w:type="gramStart"/>
      <w:r w:rsidRPr="00C65EDF">
        <w:rPr>
          <w:rFonts w:ascii="Times New Roman" w:hAnsi="Times New Roman"/>
          <w:sz w:val="24"/>
          <w:szCs w:val="24"/>
          <w:shd w:val="clear" w:color="auto" w:fill="FFFFFF"/>
        </w:rPr>
        <w:t>medically</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necessary</w:t>
      </w:r>
      <w:proofErr w:type="gramEnd"/>
      <w:r w:rsidRPr="00C65EDF">
        <w:rPr>
          <w:rFonts w:ascii="Times New Roman" w:hAnsi="Times New Roman"/>
          <w:sz w:val="24"/>
          <w:szCs w:val="24"/>
          <w:shd w:val="clear" w:color="auto" w:fill="FFFFFF"/>
        </w:rPr>
        <w:t xml:space="preserve"> surgery. However, Lange’s request for coverage was </w:t>
      </w:r>
      <w:r>
        <w:rPr>
          <w:rFonts w:ascii="Times New Roman" w:hAnsi="Times New Roman"/>
          <w:sz w:val="24"/>
          <w:szCs w:val="24"/>
          <w:shd w:val="clear" w:color="auto" w:fill="FFFFFF"/>
        </w:rPr>
        <w:t>denied</w:t>
      </w:r>
      <w:r w:rsidRPr="00C65EDF">
        <w:rPr>
          <w:rFonts w:ascii="Times New Roman" w:hAnsi="Times New Roman"/>
          <w:sz w:val="24"/>
          <w:szCs w:val="24"/>
          <w:shd w:val="clear" w:color="auto" w:fill="FFFFFF"/>
        </w:rPr>
        <w:t xml:space="preserve"> based on the Health Plan’s exclusion of </w:t>
      </w:r>
      <w:r>
        <w:rPr>
          <w:rFonts w:ascii="Times New Roman" w:hAnsi="Times New Roman"/>
          <w:sz w:val="24"/>
          <w:szCs w:val="24"/>
          <w:shd w:val="clear" w:color="auto" w:fill="FFFFFF"/>
        </w:rPr>
        <w:t>‘</w:t>
      </w:r>
      <w:r w:rsidRPr="00C65EDF">
        <w:rPr>
          <w:rFonts w:ascii="Times New Roman" w:hAnsi="Times New Roman"/>
          <w:sz w:val="24"/>
          <w:szCs w:val="24"/>
          <w:shd w:val="clear" w:color="auto" w:fill="FFFFFF"/>
        </w:rPr>
        <w:t>[d]rugs for sex change</w:t>
      </w:r>
    </w:p>
    <w:p w14:paraId="09A024DE" w14:textId="77777777" w:rsidR="009F02E2" w:rsidRPr="007A5B05" w:rsidRDefault="009F02E2" w:rsidP="009F02E2">
      <w:pPr>
        <w:pStyle w:val="NoSpacing"/>
        <w:ind w:left="1440"/>
        <w:rPr>
          <w:rFonts w:ascii="Times New Roman" w:hAnsi="Times New Roman"/>
          <w:sz w:val="24"/>
          <w:szCs w:val="24"/>
          <w:shd w:val="clear" w:color="auto" w:fill="FFFFFF"/>
        </w:rPr>
      </w:pPr>
      <w:r w:rsidRPr="00C65EDF">
        <w:rPr>
          <w:rFonts w:ascii="Times New Roman" w:hAnsi="Times New Roman"/>
          <w:sz w:val="24"/>
          <w:szCs w:val="24"/>
          <w:shd w:val="clear" w:color="auto" w:fill="FFFFFF"/>
        </w:rPr>
        <w:t>surgery</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 xml:space="preserve">and </w:t>
      </w:r>
      <w:r>
        <w:rPr>
          <w:rFonts w:ascii="Times New Roman" w:hAnsi="Times New Roman"/>
          <w:sz w:val="24"/>
          <w:szCs w:val="24"/>
          <w:shd w:val="clear" w:color="auto" w:fill="FFFFFF"/>
        </w:rPr>
        <w:t>‘</w:t>
      </w:r>
      <w:r w:rsidRPr="00C65EDF">
        <w:rPr>
          <w:rFonts w:ascii="Times New Roman" w:hAnsi="Times New Roman"/>
          <w:sz w:val="24"/>
          <w:szCs w:val="24"/>
          <w:shd w:val="clear" w:color="auto" w:fill="FFFFFF"/>
        </w:rPr>
        <w:t>[s]</w:t>
      </w:r>
      <w:proofErr w:type="spellStart"/>
      <w:r w:rsidRPr="00C65EDF">
        <w:rPr>
          <w:rFonts w:ascii="Times New Roman" w:hAnsi="Times New Roman"/>
          <w:sz w:val="24"/>
          <w:szCs w:val="24"/>
          <w:shd w:val="clear" w:color="auto" w:fill="FFFFFF"/>
        </w:rPr>
        <w:t>ervices</w:t>
      </w:r>
      <w:proofErr w:type="spellEnd"/>
      <w:r w:rsidRPr="00C65EDF">
        <w:rPr>
          <w:rFonts w:ascii="Times New Roman" w:hAnsi="Times New Roman"/>
          <w:sz w:val="24"/>
          <w:szCs w:val="24"/>
          <w:shd w:val="clear" w:color="auto" w:fill="FFFFFF"/>
        </w:rPr>
        <w:t xml:space="preserve"> and supplies for a sex change and/or the</w:t>
      </w:r>
      <w:r>
        <w:rPr>
          <w:rFonts w:ascii="Times New Roman" w:hAnsi="Times New Roman"/>
          <w:sz w:val="24"/>
          <w:szCs w:val="24"/>
          <w:shd w:val="clear" w:color="auto" w:fill="FFFFFF"/>
        </w:rPr>
        <w:t xml:space="preserve"> </w:t>
      </w:r>
      <w:r w:rsidRPr="00C65EDF">
        <w:rPr>
          <w:rFonts w:ascii="Times New Roman" w:hAnsi="Times New Roman"/>
          <w:sz w:val="24"/>
          <w:szCs w:val="24"/>
          <w:shd w:val="clear" w:color="auto" w:fill="FFFFFF"/>
        </w:rPr>
        <w:t>reversal of a sex change</w:t>
      </w:r>
      <w:r>
        <w:rPr>
          <w:rFonts w:ascii="Times New Roman" w:hAnsi="Times New Roman"/>
          <w:sz w:val="24"/>
          <w:szCs w:val="24"/>
          <w:shd w:val="clear" w:color="auto" w:fill="FFFFFF"/>
        </w:rPr>
        <w:t>’</w:t>
      </w:r>
      <w:r w:rsidRPr="00C65EDF">
        <w:rPr>
          <w:rFonts w:ascii="Times New Roman" w:hAnsi="Times New Roman"/>
          <w:sz w:val="24"/>
          <w:szCs w:val="24"/>
          <w:shd w:val="clear" w:color="auto" w:fill="FFFFFF"/>
        </w:rPr>
        <w:t xml:space="preserve"> (together, the Exclusion)</w:t>
      </w:r>
      <w:r>
        <w:rPr>
          <w:rFonts w:ascii="Times New Roman" w:hAnsi="Times New Roman"/>
          <w:sz w:val="24"/>
          <w:szCs w:val="24"/>
          <w:shd w:val="clear" w:color="auto" w:fill="FFFFFF"/>
        </w:rPr>
        <w:t xml:space="preserve">…. </w:t>
      </w:r>
      <w:r w:rsidRPr="007A5B05">
        <w:rPr>
          <w:rFonts w:ascii="Times New Roman" w:hAnsi="Times New Roman"/>
          <w:sz w:val="24"/>
          <w:szCs w:val="24"/>
          <w:shd w:val="clear" w:color="auto" w:fill="FFFFFF"/>
        </w:rPr>
        <w:t>In granting summary judgment to Lange on the Title VII</w:t>
      </w:r>
      <w:r>
        <w:rPr>
          <w:rFonts w:ascii="Times New Roman" w:hAnsi="Times New Roman"/>
          <w:sz w:val="24"/>
          <w:szCs w:val="24"/>
          <w:shd w:val="clear" w:color="auto" w:fill="FFFFFF"/>
        </w:rPr>
        <w:t xml:space="preserve"> </w:t>
      </w:r>
      <w:r w:rsidRPr="007A5B05">
        <w:rPr>
          <w:rFonts w:ascii="Times New Roman" w:hAnsi="Times New Roman"/>
          <w:sz w:val="24"/>
          <w:szCs w:val="24"/>
          <w:shd w:val="clear" w:color="auto" w:fill="FFFFFF"/>
        </w:rPr>
        <w:t>claim, the district court found the Exclusion facially discriminatory</w:t>
      </w:r>
    </w:p>
    <w:p w14:paraId="5FB30946" w14:textId="77777777" w:rsidR="009F02E2" w:rsidRDefault="009F02E2" w:rsidP="009F02E2">
      <w:pPr>
        <w:pStyle w:val="NoSpacing"/>
        <w:ind w:left="1440"/>
        <w:rPr>
          <w:rFonts w:ascii="Times New Roman" w:hAnsi="Times New Roman"/>
          <w:sz w:val="24"/>
          <w:szCs w:val="24"/>
          <w:shd w:val="clear" w:color="auto" w:fill="FFFFFF"/>
        </w:rPr>
      </w:pPr>
      <w:r w:rsidRPr="007A5B05">
        <w:rPr>
          <w:rFonts w:ascii="Times New Roman" w:hAnsi="Times New Roman"/>
          <w:sz w:val="24"/>
          <w:szCs w:val="24"/>
          <w:shd w:val="clear" w:color="auto" w:fill="FFFFFF"/>
        </w:rPr>
        <w:t>as a matter of law. The Title VII claim then proceeded to trial, and</w:t>
      </w:r>
      <w:r>
        <w:rPr>
          <w:rFonts w:ascii="Times New Roman" w:hAnsi="Times New Roman"/>
          <w:sz w:val="24"/>
          <w:szCs w:val="24"/>
          <w:shd w:val="clear" w:color="auto" w:fill="FFFFFF"/>
        </w:rPr>
        <w:t xml:space="preserve"> </w:t>
      </w:r>
      <w:r w:rsidRPr="007A5B05">
        <w:rPr>
          <w:rFonts w:ascii="Times New Roman" w:hAnsi="Times New Roman"/>
          <w:sz w:val="24"/>
          <w:szCs w:val="24"/>
          <w:shd w:val="clear" w:color="auto" w:fill="FFFFFF"/>
        </w:rPr>
        <w:t>a jury awarded Lange $60,000 in damages. After trial, the district</w:t>
      </w:r>
      <w:r>
        <w:rPr>
          <w:rFonts w:ascii="Times New Roman" w:hAnsi="Times New Roman"/>
          <w:sz w:val="24"/>
          <w:szCs w:val="24"/>
          <w:shd w:val="clear" w:color="auto" w:fill="FFFFFF"/>
        </w:rPr>
        <w:t xml:space="preserve"> </w:t>
      </w:r>
      <w:r w:rsidRPr="007A5B05">
        <w:rPr>
          <w:rFonts w:ascii="Times New Roman" w:hAnsi="Times New Roman"/>
          <w:sz w:val="24"/>
          <w:szCs w:val="24"/>
          <w:shd w:val="clear" w:color="auto" w:fill="FFFFFF"/>
        </w:rPr>
        <w:t>court entered an order declaring that the Exclusion violated Title</w:t>
      </w:r>
      <w:r>
        <w:rPr>
          <w:rFonts w:ascii="Times New Roman" w:hAnsi="Times New Roman"/>
          <w:sz w:val="24"/>
          <w:szCs w:val="24"/>
          <w:shd w:val="clear" w:color="auto" w:fill="FFFFFF"/>
        </w:rPr>
        <w:t xml:space="preserve"> </w:t>
      </w:r>
      <w:r w:rsidRPr="007A5B05">
        <w:rPr>
          <w:rFonts w:ascii="Times New Roman" w:hAnsi="Times New Roman"/>
          <w:sz w:val="24"/>
          <w:szCs w:val="24"/>
          <w:shd w:val="clear" w:color="auto" w:fill="FFFFFF"/>
        </w:rPr>
        <w:t>VII and permanently enjoined the Sheriff and Houston County</w:t>
      </w:r>
      <w:r>
        <w:rPr>
          <w:rFonts w:ascii="Times New Roman" w:hAnsi="Times New Roman"/>
          <w:sz w:val="24"/>
          <w:szCs w:val="24"/>
          <w:shd w:val="clear" w:color="auto" w:fill="FFFFFF"/>
        </w:rPr>
        <w:t xml:space="preserve"> </w:t>
      </w:r>
      <w:r w:rsidRPr="007A5B05">
        <w:rPr>
          <w:rFonts w:ascii="Times New Roman" w:hAnsi="Times New Roman"/>
          <w:sz w:val="24"/>
          <w:szCs w:val="24"/>
          <w:shd w:val="clear" w:color="auto" w:fill="FFFFFF"/>
        </w:rPr>
        <w:t xml:space="preserve">from any further enforcement or application of the </w:t>
      </w:r>
      <w:proofErr w:type="gramStart"/>
      <w:r w:rsidRPr="007A5B05">
        <w:rPr>
          <w:rFonts w:ascii="Times New Roman" w:hAnsi="Times New Roman"/>
          <w:sz w:val="24"/>
          <w:szCs w:val="24"/>
          <w:shd w:val="clear" w:color="auto" w:fill="FFFFFF"/>
        </w:rPr>
        <w:t>Exclusion.</w:t>
      </w:r>
      <w:r>
        <w:rPr>
          <w:rFonts w:ascii="Times New Roman" w:hAnsi="Times New Roman"/>
          <w:sz w:val="24"/>
          <w:szCs w:val="24"/>
          <w:shd w:val="clear" w:color="auto" w:fill="FFFFFF"/>
        </w:rPr>
        <w:t>”</w:t>
      </w:r>
      <w:proofErr w:type="gramEnd"/>
    </w:p>
    <w:p w14:paraId="7277BE35" w14:textId="77777777" w:rsidR="009F02E2" w:rsidRDefault="009F02E2" w:rsidP="009F02E2">
      <w:pPr>
        <w:pStyle w:val="NoSpacing"/>
        <w:ind w:left="1440"/>
        <w:rPr>
          <w:rFonts w:ascii="Times New Roman" w:hAnsi="Times New Roman"/>
          <w:sz w:val="24"/>
          <w:szCs w:val="24"/>
          <w:shd w:val="clear" w:color="auto" w:fill="FFFFFF"/>
        </w:rPr>
      </w:pPr>
    </w:p>
    <w:p w14:paraId="76C8FA27" w14:textId="77777777" w:rsidR="009F02E2" w:rsidRDefault="009F02E2" w:rsidP="009F02E2">
      <w:pPr>
        <w:pStyle w:val="NoSpacing"/>
        <w:ind w:left="1440"/>
        <w:rPr>
          <w:rFonts w:ascii="Times New Roman" w:hAnsi="Times New Roman"/>
          <w:sz w:val="24"/>
          <w:szCs w:val="24"/>
          <w:shd w:val="clear" w:color="auto" w:fill="FFFFFF"/>
        </w:rPr>
      </w:pPr>
      <w:r>
        <w:rPr>
          <w:rFonts w:ascii="Times New Roman" w:hAnsi="Times New Roman"/>
          <w:sz w:val="24"/>
          <w:szCs w:val="24"/>
          <w:shd w:val="clear" w:color="auto" w:fill="FFFFFF"/>
        </w:rPr>
        <w:t>The 11</w:t>
      </w:r>
      <w:r w:rsidRPr="007A5B05">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Circuit agreed:</w:t>
      </w:r>
    </w:p>
    <w:p w14:paraId="17319099" w14:textId="77777777" w:rsidR="009F02E2" w:rsidRDefault="009F02E2" w:rsidP="009F02E2">
      <w:pPr>
        <w:pStyle w:val="NoSpacing"/>
        <w:ind w:left="1440"/>
        <w:rPr>
          <w:rFonts w:ascii="Times New Roman" w:hAnsi="Times New Roman"/>
          <w:sz w:val="24"/>
          <w:szCs w:val="24"/>
          <w:shd w:val="clear" w:color="auto" w:fill="FFFFFF"/>
        </w:rPr>
      </w:pPr>
    </w:p>
    <w:p w14:paraId="6384FCBF" w14:textId="77777777" w:rsidR="009F02E2" w:rsidRPr="00017ECB" w:rsidRDefault="009F02E2" w:rsidP="009F02E2">
      <w:pPr>
        <w:pStyle w:val="NoSpacing"/>
        <w:ind w:left="1440"/>
        <w:rPr>
          <w:rFonts w:ascii="Times New Roman" w:hAnsi="Times New Roman"/>
          <w:sz w:val="24"/>
          <w:szCs w:val="24"/>
          <w:shd w:val="clear" w:color="auto" w:fill="FFFFFF"/>
        </w:rPr>
      </w:pPr>
      <w:r>
        <w:rPr>
          <w:rFonts w:ascii="Times New Roman" w:hAnsi="Times New Roman"/>
          <w:sz w:val="24"/>
          <w:szCs w:val="24"/>
          <w:shd w:val="clear" w:color="auto" w:fill="FFFFFF"/>
        </w:rPr>
        <w:t>“[W]</w:t>
      </w:r>
      <w:r w:rsidRPr="00017ECB">
        <w:rPr>
          <w:rFonts w:ascii="Times New Roman" w:hAnsi="Times New Roman"/>
          <w:sz w:val="24"/>
          <w:szCs w:val="24"/>
          <w:shd w:val="clear" w:color="auto" w:fill="FFFFFF"/>
        </w:rPr>
        <w:t>e conclude that the district court was correct in finding that the Exclusion violated Title VII. There is no genuine dispute of fact or law</w:t>
      </w:r>
      <w:r>
        <w:rPr>
          <w:rFonts w:ascii="Times New Roman" w:hAnsi="Times New Roman"/>
          <w:sz w:val="24"/>
          <w:szCs w:val="24"/>
          <w:shd w:val="clear" w:color="auto" w:fill="FFFFFF"/>
        </w:rPr>
        <w:t xml:space="preserve"> </w:t>
      </w:r>
      <w:r w:rsidRPr="00017ECB">
        <w:rPr>
          <w:rFonts w:ascii="Times New Roman" w:hAnsi="Times New Roman"/>
          <w:sz w:val="24"/>
          <w:szCs w:val="24"/>
          <w:shd w:val="clear" w:color="auto" w:fill="FFFFFF"/>
        </w:rPr>
        <w:t>as to whether the Exclusion unlawfully discriminates against Lange</w:t>
      </w:r>
      <w:r>
        <w:rPr>
          <w:rFonts w:ascii="Times New Roman" w:hAnsi="Times New Roman"/>
          <w:sz w:val="24"/>
          <w:szCs w:val="24"/>
          <w:shd w:val="clear" w:color="auto" w:fill="FFFFFF"/>
        </w:rPr>
        <w:t xml:space="preserve"> </w:t>
      </w:r>
      <w:r w:rsidRPr="00017ECB">
        <w:rPr>
          <w:rFonts w:ascii="Times New Roman" w:hAnsi="Times New Roman"/>
          <w:sz w:val="24"/>
          <w:szCs w:val="24"/>
          <w:shd w:val="clear" w:color="auto" w:fill="FFFFFF"/>
        </w:rPr>
        <w:t>and other transgender persons. The Exclusion is a blanket denial</w:t>
      </w:r>
      <w:r>
        <w:rPr>
          <w:rFonts w:ascii="Times New Roman" w:hAnsi="Times New Roman"/>
          <w:sz w:val="24"/>
          <w:szCs w:val="24"/>
          <w:shd w:val="clear" w:color="auto" w:fill="FFFFFF"/>
        </w:rPr>
        <w:t xml:space="preserve"> </w:t>
      </w:r>
      <w:r w:rsidRPr="00017ECB">
        <w:rPr>
          <w:rFonts w:ascii="Times New Roman" w:hAnsi="Times New Roman"/>
          <w:sz w:val="24"/>
          <w:szCs w:val="24"/>
          <w:shd w:val="clear" w:color="auto" w:fill="FFFFFF"/>
        </w:rPr>
        <w:t>of coverage for gender-affirming surgery. Health Plan participants</w:t>
      </w:r>
      <w:r>
        <w:rPr>
          <w:rFonts w:ascii="Times New Roman" w:hAnsi="Times New Roman"/>
          <w:sz w:val="24"/>
          <w:szCs w:val="24"/>
          <w:shd w:val="clear" w:color="auto" w:fill="FFFFFF"/>
        </w:rPr>
        <w:t xml:space="preserve"> </w:t>
      </w:r>
      <w:r w:rsidRPr="00017ECB">
        <w:rPr>
          <w:rFonts w:ascii="Times New Roman" w:hAnsi="Times New Roman"/>
          <w:sz w:val="24"/>
          <w:szCs w:val="24"/>
          <w:shd w:val="clear" w:color="auto" w:fill="FFFFFF"/>
        </w:rPr>
        <w:t xml:space="preserve">who are transgender are the only participants </w:t>
      </w:r>
      <w:r w:rsidRPr="00017ECB">
        <w:rPr>
          <w:rFonts w:ascii="Times New Roman" w:hAnsi="Times New Roman"/>
          <w:sz w:val="24"/>
          <w:szCs w:val="24"/>
          <w:shd w:val="clear" w:color="auto" w:fill="FFFFFF"/>
        </w:rPr>
        <w:lastRenderedPageBreak/>
        <w:t>who would seek gender-affirming surgery. Because transgender persons are the only</w:t>
      </w:r>
      <w:r>
        <w:rPr>
          <w:rFonts w:ascii="Times New Roman" w:hAnsi="Times New Roman"/>
          <w:sz w:val="24"/>
          <w:szCs w:val="24"/>
          <w:shd w:val="clear" w:color="auto" w:fill="FFFFFF"/>
        </w:rPr>
        <w:t xml:space="preserve"> </w:t>
      </w:r>
      <w:r w:rsidRPr="00017ECB">
        <w:rPr>
          <w:rFonts w:ascii="Times New Roman" w:hAnsi="Times New Roman"/>
          <w:sz w:val="24"/>
          <w:szCs w:val="24"/>
          <w:shd w:val="clear" w:color="auto" w:fill="FFFFFF"/>
        </w:rPr>
        <w:t>plan participants who qualify for gender-affirming surgery, the plan</w:t>
      </w:r>
      <w:r>
        <w:rPr>
          <w:rFonts w:ascii="Times New Roman" w:hAnsi="Times New Roman"/>
          <w:sz w:val="24"/>
          <w:szCs w:val="24"/>
          <w:shd w:val="clear" w:color="auto" w:fill="FFFFFF"/>
        </w:rPr>
        <w:t xml:space="preserve"> </w:t>
      </w:r>
      <w:r w:rsidRPr="00017ECB">
        <w:rPr>
          <w:rFonts w:ascii="Times New Roman" w:hAnsi="Times New Roman"/>
          <w:sz w:val="24"/>
          <w:szCs w:val="24"/>
          <w:shd w:val="clear" w:color="auto" w:fill="FFFFFF"/>
        </w:rPr>
        <w:t>denies health care coverage based on transgender status.</w:t>
      </w:r>
      <w:r>
        <w:rPr>
          <w:rFonts w:ascii="Times New Roman" w:hAnsi="Times New Roman"/>
          <w:sz w:val="24"/>
          <w:szCs w:val="24"/>
          <w:shd w:val="clear" w:color="auto" w:fill="FFFFFF"/>
        </w:rPr>
        <w:t xml:space="preserve">” </w:t>
      </w:r>
      <w:hyperlink r:id="rId1116" w:history="1">
        <w:r w:rsidRPr="003E1588">
          <w:rPr>
            <w:rStyle w:val="Hyperlink"/>
            <w:rFonts w:ascii="Times New Roman" w:hAnsi="Times New Roman"/>
            <w:sz w:val="24"/>
            <w:szCs w:val="24"/>
            <w:shd w:val="clear" w:color="auto" w:fill="FFFFFF"/>
          </w:rPr>
          <w:t>https://media.ca11.uscourts.gov/opinions/pub/files/202213626.pdf</w:t>
        </w:r>
      </w:hyperlink>
      <w:r>
        <w:rPr>
          <w:rFonts w:ascii="Times New Roman" w:hAnsi="Times New Roman"/>
          <w:sz w:val="24"/>
          <w:szCs w:val="24"/>
          <w:shd w:val="clear" w:color="auto" w:fill="FFFFFF"/>
        </w:rPr>
        <w:t xml:space="preserve"> </w:t>
      </w:r>
    </w:p>
    <w:p w14:paraId="3669E115" w14:textId="77777777" w:rsidR="00DC3D8E" w:rsidRDefault="00DC3D8E" w:rsidP="006C4AD8">
      <w:pPr>
        <w:pStyle w:val="NormalWeb"/>
        <w:spacing w:before="0" w:beforeAutospacing="0"/>
        <w:rPr>
          <w:rFonts w:ascii="Arial Black" w:hAnsi="Arial Black"/>
          <w:b/>
          <w:bCs/>
          <w:color w:val="454545"/>
          <w:sz w:val="28"/>
          <w:szCs w:val="28"/>
          <w:shd w:val="clear" w:color="auto" w:fill="FFFFFF"/>
        </w:rPr>
      </w:pPr>
    </w:p>
    <w:p w14:paraId="355E5168" w14:textId="77777777" w:rsidR="00C63CEB" w:rsidRDefault="00C63CEB" w:rsidP="006C4AD8">
      <w:pPr>
        <w:pStyle w:val="NormalWeb"/>
        <w:spacing w:before="0" w:beforeAutospacing="0"/>
        <w:rPr>
          <w:rFonts w:ascii="Arial Black" w:hAnsi="Arial Black"/>
          <w:b/>
          <w:bCs/>
          <w:color w:val="454545"/>
          <w:sz w:val="28"/>
          <w:szCs w:val="28"/>
          <w:shd w:val="clear" w:color="auto" w:fill="FFFFFF"/>
        </w:rPr>
      </w:pPr>
    </w:p>
    <w:p w14:paraId="155CB732" w14:textId="754EF3A1" w:rsidR="003F14B8" w:rsidRDefault="003F14B8"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6-13</w:t>
      </w:r>
      <w:r w:rsidR="002A0697">
        <w:rPr>
          <w:rFonts w:ascii="Arial Black" w:hAnsi="Arial Black"/>
          <w:b/>
          <w:bCs/>
          <w:color w:val="454545"/>
          <w:sz w:val="28"/>
          <w:szCs w:val="28"/>
          <w:shd w:val="clear" w:color="auto" w:fill="FFFFFF"/>
        </w:rPr>
        <w:t>1</w:t>
      </w:r>
    </w:p>
    <w:p w14:paraId="6299ACD8" w14:textId="77777777" w:rsidR="00E018F9" w:rsidRPr="00DC6B8D" w:rsidRDefault="00E018F9" w:rsidP="00E018F9">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 xml:space="preserve">NJ: EMT SLIPPED ON ICE – RETIRED – ACCIDENTAL DISABILITY PENSION DENIED – NOT “UNEXPECTED” </w:t>
      </w:r>
    </w:p>
    <w:p w14:paraId="3C88B6B5" w14:textId="77777777" w:rsidR="00E018F9" w:rsidRDefault="00E018F9" w:rsidP="00E018F9">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May 14, 2024, in </w:t>
      </w:r>
      <w:r w:rsidRPr="00530983">
        <w:rPr>
          <w:rFonts w:ascii="Times New Roman" w:eastAsia="Times New Roman" w:hAnsi="Times New Roman"/>
          <w:sz w:val="24"/>
          <w:szCs w:val="24"/>
          <w:u w:val="single"/>
        </w:rPr>
        <w:t>Dennis McCool v. Board of Trustees, Public Employees’ Retirement System</w:t>
      </w:r>
      <w:r>
        <w:rPr>
          <w:rFonts w:ascii="Times New Roman" w:eastAsia="Times New Roman" w:hAnsi="Times New Roman"/>
          <w:sz w:val="24"/>
          <w:szCs w:val="24"/>
        </w:rPr>
        <w:t>, the Superior Court of New Jersey, Appellate Division, upheld the Board and the Administrative Law Judge decision denying ADR [accidental disability pension] benefits. ADR is 72.7% of base salary at time of traumatic event, ordinary is 43.6% of final average salary.</w:t>
      </w:r>
      <w:r w:rsidRPr="0084019C">
        <w:t xml:space="preserve"> </w:t>
      </w:r>
      <w:hyperlink r:id="rId1117" w:history="1">
        <w:r w:rsidRPr="008C767B">
          <w:rPr>
            <w:rStyle w:val="Hyperlink"/>
            <w:rFonts w:ascii="Times New Roman" w:eastAsia="Times New Roman" w:hAnsi="Times New Roman"/>
            <w:sz w:val="24"/>
            <w:szCs w:val="24"/>
          </w:rPr>
          <w:t>https://www.nj.gov/treasury/pensions/documents/factsheets/fact15.pdf</w:t>
        </w:r>
      </w:hyperlink>
      <w:r>
        <w:rPr>
          <w:rFonts w:ascii="Times New Roman" w:eastAsia="Times New Roman" w:hAnsi="Times New Roman"/>
          <w:sz w:val="24"/>
          <w:szCs w:val="24"/>
        </w:rPr>
        <w:t xml:space="preserve">.  The Court held (3 to 0): </w:t>
      </w:r>
    </w:p>
    <w:p w14:paraId="63D6083B" w14:textId="77777777" w:rsidR="00E018F9" w:rsidRPr="00560FAA" w:rsidRDefault="00E018F9" w:rsidP="00E018F9">
      <w:pPr>
        <w:spacing w:before="100" w:beforeAutospacing="1" w:after="100" w:afterAutospacing="1" w:line="240" w:lineRule="auto"/>
        <w:ind w:firstLine="720"/>
        <w:rPr>
          <w:rFonts w:ascii="Times New Roman" w:eastAsia="Times New Roman" w:hAnsi="Times New Roman"/>
          <w:sz w:val="24"/>
          <w:szCs w:val="24"/>
        </w:rPr>
      </w:pPr>
      <w:r>
        <w:rPr>
          <w:rFonts w:ascii="Times New Roman" w:eastAsia="Times New Roman" w:hAnsi="Times New Roman"/>
          <w:sz w:val="24"/>
          <w:szCs w:val="24"/>
        </w:rPr>
        <w:t>“</w:t>
      </w:r>
      <w:r w:rsidRPr="00560FAA">
        <w:rPr>
          <w:rFonts w:ascii="Times New Roman" w:eastAsia="Times New Roman" w:hAnsi="Times New Roman"/>
          <w:sz w:val="24"/>
          <w:szCs w:val="24"/>
        </w:rPr>
        <w:t xml:space="preserve">On January 4, 2019, petitioner applied for ADR benefits. In his application he wrote: </w:t>
      </w:r>
    </w:p>
    <w:p w14:paraId="2506AE68" w14:textId="77777777" w:rsidR="00E018F9" w:rsidRPr="00560FAA" w:rsidRDefault="00E018F9" w:rsidP="00E018F9">
      <w:pPr>
        <w:spacing w:after="100" w:line="240" w:lineRule="auto"/>
        <w:ind w:left="1440"/>
        <w:rPr>
          <w:rFonts w:ascii="Times New Roman" w:eastAsia="Times New Roman" w:hAnsi="Times New Roman"/>
          <w:sz w:val="24"/>
          <w:szCs w:val="24"/>
        </w:rPr>
      </w:pPr>
      <w:r w:rsidRPr="00560FAA">
        <w:rPr>
          <w:rFonts w:ascii="Times New Roman" w:eastAsia="Times New Roman" w:hAnsi="Times New Roman"/>
          <w:sz w:val="24"/>
          <w:szCs w:val="24"/>
        </w:rPr>
        <w:t>On January 9</w:t>
      </w:r>
      <w:proofErr w:type="gramStart"/>
      <w:r w:rsidRPr="00560FAA">
        <w:rPr>
          <w:rFonts w:ascii="Times New Roman" w:eastAsia="Times New Roman" w:hAnsi="Times New Roman"/>
          <w:sz w:val="24"/>
          <w:szCs w:val="24"/>
        </w:rPr>
        <w:t xml:space="preserve"> 2018</w:t>
      </w:r>
      <w:proofErr w:type="gramEnd"/>
      <w:r w:rsidRPr="00560FAA">
        <w:rPr>
          <w:rFonts w:ascii="Times New Roman" w:eastAsia="Times New Roman" w:hAnsi="Times New Roman"/>
          <w:sz w:val="24"/>
          <w:szCs w:val="24"/>
        </w:rPr>
        <w:t xml:space="preserve">[,] I slipped on icy snowy steps returning to vehicle from assisting a patient into residence[,] which resulted in a large piece of disc shearing off and compressing [my] sciatic nerve. I then underwent multiple surgeries and now have permanent nerve damage[,] a spinal nerve stimulator[,] and limited mobility. </w:t>
      </w:r>
    </w:p>
    <w:p w14:paraId="0C5D7FA3" w14:textId="77777777" w:rsidR="00E018F9" w:rsidRDefault="00E018F9" w:rsidP="00E018F9">
      <w:pPr>
        <w:spacing w:before="100" w:beforeAutospacing="1" w:after="100" w:afterAutospacing="1" w:line="240" w:lineRule="auto"/>
        <w:ind w:left="540"/>
        <w:rPr>
          <w:rFonts w:ascii="Times New Roman" w:eastAsia="Times New Roman" w:hAnsi="Times New Roman"/>
          <w:sz w:val="24"/>
          <w:szCs w:val="24"/>
        </w:rPr>
      </w:pPr>
      <w:r w:rsidRPr="00560FAA">
        <w:rPr>
          <w:rFonts w:ascii="Times New Roman" w:eastAsia="Times New Roman" w:hAnsi="Times New Roman"/>
          <w:sz w:val="24"/>
          <w:szCs w:val="24"/>
        </w:rPr>
        <w:t xml:space="preserve">On October 17, 2019, the Board denied McCool's application for ADR benefits because his disability was not the result of a traumatic event that was </w:t>
      </w:r>
      <w:r>
        <w:rPr>
          <w:rFonts w:ascii="Times New Roman" w:eastAsia="Times New Roman" w:hAnsi="Times New Roman"/>
          <w:sz w:val="24"/>
          <w:szCs w:val="24"/>
        </w:rPr>
        <w:t>‘</w:t>
      </w:r>
      <w:r w:rsidRPr="00560FAA">
        <w:rPr>
          <w:rFonts w:ascii="Times New Roman" w:eastAsia="Times New Roman" w:hAnsi="Times New Roman"/>
          <w:sz w:val="24"/>
          <w:szCs w:val="24"/>
        </w:rPr>
        <w:t>undesigned and unexpected.</w:t>
      </w:r>
      <w:r>
        <w:rPr>
          <w:rFonts w:ascii="Times New Roman" w:eastAsia="Times New Roman" w:hAnsi="Times New Roman"/>
          <w:sz w:val="24"/>
          <w:szCs w:val="24"/>
        </w:rPr>
        <w:t>’</w:t>
      </w:r>
    </w:p>
    <w:p w14:paraId="79F63800" w14:textId="77777777" w:rsidR="00E018F9" w:rsidRDefault="00E018F9" w:rsidP="00E018F9">
      <w:pPr>
        <w:spacing w:before="100" w:beforeAutospacing="1" w:after="100" w:afterAutospacing="1" w:line="240" w:lineRule="auto"/>
        <w:ind w:left="540"/>
        <w:rPr>
          <w:rFonts w:ascii="Times New Roman" w:eastAsia="Times New Roman" w:hAnsi="Times New Roman"/>
          <w:sz w:val="24"/>
          <w:szCs w:val="24"/>
        </w:rPr>
      </w:pPr>
      <w:r>
        <w:rPr>
          <w:rFonts w:ascii="Times New Roman" w:eastAsia="Times New Roman" w:hAnsi="Times New Roman"/>
          <w:sz w:val="24"/>
          <w:szCs w:val="24"/>
        </w:rPr>
        <w:t>***</w:t>
      </w:r>
    </w:p>
    <w:p w14:paraId="75CF4325" w14:textId="77777777" w:rsidR="00E018F9" w:rsidRDefault="00E018F9" w:rsidP="00E018F9">
      <w:pPr>
        <w:pStyle w:val="NormalWeb"/>
        <w:ind w:left="540"/>
      </w:pPr>
      <w:r>
        <w:t xml:space="preserve">McCool's contention that his case is </w:t>
      </w:r>
      <w:proofErr w:type="gramStart"/>
      <w:r>
        <w:t>similar to</w:t>
      </w:r>
      <w:proofErr w:type="gramEnd"/>
      <w:r>
        <w:t xml:space="preserve"> </w:t>
      </w:r>
      <w:r>
        <w:rPr>
          <w:rStyle w:val="Emphasis"/>
          <w:rFonts w:eastAsiaTheme="majorEastAsia"/>
        </w:rPr>
        <w:t>Richardson</w:t>
      </w:r>
      <w:r>
        <w:t xml:space="preserve"> and </w:t>
      </w:r>
      <w:r>
        <w:rPr>
          <w:rStyle w:val="Emphasis"/>
          <w:rFonts w:eastAsiaTheme="majorEastAsia"/>
        </w:rPr>
        <w:t>Moran v. Board of Trustees, Police &amp;Firemen's Retirement System</w:t>
      </w:r>
      <w:r>
        <w:t xml:space="preserve">, 438 </w:t>
      </w:r>
      <w:proofErr w:type="spellStart"/>
      <w:r>
        <w:t>N.J.Super</w:t>
      </w:r>
      <w:proofErr w:type="spellEnd"/>
      <w:r>
        <w:t xml:space="preserve">. 346 (App. Div. 2014), is not convincing. In </w:t>
      </w:r>
      <w:r>
        <w:rPr>
          <w:rStyle w:val="Emphasis"/>
          <w:rFonts w:eastAsiaTheme="majorEastAsia"/>
        </w:rPr>
        <w:t>Richardson</w:t>
      </w:r>
      <w:r>
        <w:t xml:space="preserve">, a corrections officer was injured while attempting to subdue an inmate. 192 N.J. at 193. There, the officer straddled the inmate to hold him down. </w:t>
      </w:r>
      <w:r>
        <w:rPr>
          <w:rStyle w:val="Emphasis"/>
          <w:rFonts w:eastAsiaTheme="majorEastAsia"/>
        </w:rPr>
        <w:t>Ibid.</w:t>
      </w:r>
      <w:r>
        <w:t xml:space="preserve"> The inmate continued to kick, punch, and throw his body around, and eventually pulled himself loose. </w:t>
      </w:r>
      <w:r>
        <w:rPr>
          <w:rStyle w:val="Emphasis"/>
          <w:rFonts w:eastAsiaTheme="majorEastAsia"/>
        </w:rPr>
        <w:t>Ibid.</w:t>
      </w:r>
      <w:r>
        <w:t xml:space="preserve"> The inmate then forcefully jerked up from the ground and knocked the officer backward, injuring him. </w:t>
      </w:r>
      <w:r>
        <w:rPr>
          <w:rStyle w:val="Emphasis"/>
          <w:rFonts w:eastAsiaTheme="majorEastAsia"/>
        </w:rPr>
        <w:t>Ibid.</w:t>
      </w:r>
      <w:r>
        <w:t xml:space="preserve"> </w:t>
      </w:r>
    </w:p>
    <w:p w14:paraId="2B4FD90E" w14:textId="77777777" w:rsidR="00E018F9" w:rsidRDefault="00E018F9" w:rsidP="00E018F9">
      <w:pPr>
        <w:pStyle w:val="NormalWeb"/>
        <w:ind w:left="540"/>
      </w:pPr>
      <w:r>
        <w:t xml:space="preserve">In </w:t>
      </w:r>
      <w:r>
        <w:rPr>
          <w:rStyle w:val="Emphasis"/>
          <w:rFonts w:eastAsiaTheme="majorEastAsia"/>
        </w:rPr>
        <w:t>Moran,</w:t>
      </w:r>
      <w:r>
        <w:t xml:space="preserve"> the court found an undesigned and unexpected event occurred when a ‘combination of unusual circumstances . . . led to [the member's] injury.’ 438 </w:t>
      </w:r>
      <w:proofErr w:type="spellStart"/>
      <w:r>
        <w:t>N.J.Super</w:t>
      </w:r>
      <w:proofErr w:type="spellEnd"/>
      <w:r>
        <w:t xml:space="preserve">. at 354. In that case, a firefighter was injured after kicking down a door to a burning building because he heard voices yelling from inside. </w:t>
      </w:r>
      <w:r>
        <w:rPr>
          <w:rStyle w:val="Emphasis"/>
          <w:rFonts w:eastAsiaTheme="majorEastAsia"/>
        </w:rPr>
        <w:t>Id.</w:t>
      </w:r>
      <w:r>
        <w:t xml:space="preserve"> at 349-50. The firefighter was part of the ‘engine company’ that brought </w:t>
      </w:r>
      <w:proofErr w:type="gramStart"/>
      <w:r>
        <w:t>hoses</w:t>
      </w:r>
      <w:proofErr w:type="gramEnd"/>
      <w:r>
        <w:t xml:space="preserve"> to burning buildings and not part of the ‘truck company’ that brought equipment used to forcibly enter buildings. </w:t>
      </w:r>
      <w:r>
        <w:rPr>
          <w:rStyle w:val="Emphasis"/>
          <w:rFonts w:eastAsiaTheme="majorEastAsia"/>
        </w:rPr>
        <w:t>Id.</w:t>
      </w:r>
      <w:r>
        <w:t xml:space="preserve"> at 349. The ‘truck company’ was running late so the firefighter attempted to rescue victims trapped inside the building despite not having the proper equipment. </w:t>
      </w:r>
      <w:r>
        <w:rPr>
          <w:rStyle w:val="Emphasis"/>
          <w:rFonts w:eastAsiaTheme="majorEastAsia"/>
        </w:rPr>
        <w:t>Id.</w:t>
      </w:r>
      <w:r>
        <w:t xml:space="preserve"> at 354. We concluded the firefighter's injury was caused by an undesigned and unexpected event because the firefighter faced unusual circumstances, including the presence of victims inside the burning building, the "truck company's" delay, and the lack of equipment to break down the door. </w:t>
      </w:r>
      <w:r>
        <w:rPr>
          <w:rStyle w:val="Emphasis"/>
          <w:rFonts w:eastAsiaTheme="majorEastAsia"/>
        </w:rPr>
        <w:t>Ibid.</w:t>
      </w:r>
      <w:r>
        <w:t xml:space="preserve"> </w:t>
      </w:r>
    </w:p>
    <w:p w14:paraId="3146B63E" w14:textId="77777777" w:rsidR="00E018F9" w:rsidRDefault="00E018F9" w:rsidP="00E018F9">
      <w:pPr>
        <w:pStyle w:val="NormalWeb"/>
        <w:ind w:left="540"/>
      </w:pPr>
      <w:r>
        <w:lastRenderedPageBreak/>
        <w:t xml:space="preserve">Unlike in </w:t>
      </w:r>
      <w:r>
        <w:rPr>
          <w:rStyle w:val="Emphasis"/>
          <w:rFonts w:eastAsiaTheme="majorEastAsia"/>
        </w:rPr>
        <w:t>Richardson</w:t>
      </w:r>
      <w:r>
        <w:t xml:space="preserve"> and </w:t>
      </w:r>
      <w:r>
        <w:rPr>
          <w:rStyle w:val="Emphasis"/>
          <w:rFonts w:eastAsiaTheme="majorEastAsia"/>
        </w:rPr>
        <w:t>Moran</w:t>
      </w:r>
      <w:r>
        <w:t xml:space="preserve">, petitioner's injury did not result from an ‘unexpected happening.’ He did not face unusual circumstances like in </w:t>
      </w:r>
      <w:r>
        <w:rPr>
          <w:rStyle w:val="Emphasis"/>
          <w:rFonts w:eastAsiaTheme="majorEastAsia"/>
        </w:rPr>
        <w:t>Moran</w:t>
      </w:r>
      <w:r>
        <w:t xml:space="preserve">; nor was he injured as </w:t>
      </w:r>
      <w:proofErr w:type="spellStart"/>
      <w:proofErr w:type="gramStart"/>
      <w:r>
        <w:t>a</w:t>
      </w:r>
      <w:proofErr w:type="spellEnd"/>
      <w:proofErr w:type="gramEnd"/>
      <w:r>
        <w:t xml:space="preserve"> individual like in </w:t>
      </w:r>
      <w:r>
        <w:rPr>
          <w:rStyle w:val="Emphasis"/>
          <w:rFonts w:eastAsiaTheme="majorEastAsia"/>
        </w:rPr>
        <w:t>Richardson</w:t>
      </w:r>
      <w:r>
        <w:t xml:space="preserve">. After considering </w:t>
      </w:r>
      <w:proofErr w:type="gramStart"/>
      <w:r>
        <w:t>all of</w:t>
      </w:r>
      <w:proofErr w:type="gramEnd"/>
      <w:r>
        <w:t xml:space="preserve"> the evidence presented and the applicable legal standards, the ALJ determined McCool failed to prove by a preponderance of the evidence his disability was caused by an undesigned and unexpected event. The ALJ's decision was based on ample findings supported by substantial credible evidence in the record and was not arbitrary, capricious, or unreasonable. We discern no basis to disturb the Board's decision </w:t>
      </w:r>
      <w:proofErr w:type="gramStart"/>
      <w:r>
        <w:t>adopting</w:t>
      </w:r>
      <w:proofErr w:type="gramEnd"/>
      <w:r>
        <w:t xml:space="preserve"> the ALJ's findings and </w:t>
      </w:r>
      <w:proofErr w:type="gramStart"/>
      <w:r>
        <w:t>denying</w:t>
      </w:r>
      <w:proofErr w:type="gramEnd"/>
      <w:r>
        <w:t xml:space="preserve"> McCool's application for ADR benefits. </w:t>
      </w:r>
    </w:p>
    <w:p w14:paraId="00CA3F4B" w14:textId="77777777" w:rsidR="00E018F9" w:rsidRPr="00560FAA" w:rsidRDefault="00E018F9" w:rsidP="00E018F9">
      <w:pPr>
        <w:pStyle w:val="NormalWeb"/>
        <w:ind w:left="540"/>
      </w:pPr>
      <w:r>
        <w:t xml:space="preserve">The Board's decision is supported by sufficient credible evidence on the </w:t>
      </w:r>
      <w:proofErr w:type="gramStart"/>
      <w:r>
        <w:t>record as a whole</w:t>
      </w:r>
      <w:proofErr w:type="gramEnd"/>
      <w:r>
        <w:t xml:space="preserve">. </w:t>
      </w:r>
      <w:r>
        <w:rPr>
          <w:rStyle w:val="Emphasis"/>
          <w:rFonts w:eastAsiaTheme="majorEastAsia"/>
        </w:rPr>
        <w:t>R.</w:t>
      </w:r>
      <w:r>
        <w:t xml:space="preserve"> 2:11-3(e)(1)(D). To the extent we have not otherwise addressed McCool's arguments, they are without sufficient merit to warrant discussion in a written opinion. </w:t>
      </w:r>
      <w:r>
        <w:rPr>
          <w:rStyle w:val="Emphasis"/>
          <w:rFonts w:eastAsiaTheme="majorEastAsia"/>
        </w:rPr>
        <w:t>R.</w:t>
      </w:r>
      <w:r>
        <w:t xml:space="preserve"> 2:11-3(e)(1)(E).”</w:t>
      </w:r>
      <w:r w:rsidRPr="00C602E7">
        <w:t xml:space="preserve"> </w:t>
      </w:r>
      <w:hyperlink r:id="rId1118" w:history="1">
        <w:r w:rsidRPr="008C767B">
          <w:rPr>
            <w:rStyle w:val="Hyperlink"/>
          </w:rPr>
          <w:t>https://www.njcourts.gov/system/files/court-opinions/2024/a3332-21.pdf</w:t>
        </w:r>
      </w:hyperlink>
      <w:r>
        <w:t xml:space="preserve"> </w:t>
      </w:r>
      <w:r w:rsidRPr="00560FAA">
        <w:t xml:space="preserve"> </w:t>
      </w:r>
    </w:p>
    <w:p w14:paraId="45BCA169" w14:textId="77777777" w:rsidR="00C63CEB" w:rsidRPr="001D4B2A" w:rsidRDefault="00C63CEB" w:rsidP="00C63CEB">
      <w:pPr>
        <w:pStyle w:val="NormalWeb"/>
        <w:rPr>
          <w:b/>
          <w:bCs/>
        </w:rPr>
      </w:pPr>
      <w:r w:rsidRPr="001D4B2A">
        <w:rPr>
          <w:b/>
          <w:bCs/>
        </w:rPr>
        <w:t>Legal Lesson Learned:</w:t>
      </w:r>
      <w:r>
        <w:rPr>
          <w:b/>
          <w:bCs/>
        </w:rPr>
        <w:t xml:space="preserve"> Enhanced accidental disability pension for traumatic injury is limited to those injuries that are an “unexpected.”</w:t>
      </w:r>
    </w:p>
    <w:p w14:paraId="30E88095" w14:textId="77777777" w:rsidR="00E018F9" w:rsidRDefault="00E018F9" w:rsidP="006C4AD8">
      <w:pPr>
        <w:pStyle w:val="NormalWeb"/>
        <w:spacing w:before="0" w:beforeAutospacing="0"/>
        <w:rPr>
          <w:rFonts w:ascii="Arial Black" w:hAnsi="Arial Black"/>
          <w:b/>
          <w:bCs/>
          <w:color w:val="454545"/>
          <w:sz w:val="28"/>
          <w:szCs w:val="28"/>
          <w:shd w:val="clear" w:color="auto" w:fill="FFFFFF"/>
        </w:rPr>
      </w:pPr>
    </w:p>
    <w:p w14:paraId="3611B9F0" w14:textId="77777777" w:rsidR="003F14B8" w:rsidRDefault="003F14B8" w:rsidP="006C4AD8">
      <w:pPr>
        <w:pStyle w:val="NormalWeb"/>
        <w:spacing w:before="0" w:beforeAutospacing="0"/>
        <w:rPr>
          <w:rFonts w:ascii="Arial Black" w:hAnsi="Arial Black"/>
          <w:b/>
          <w:bCs/>
          <w:color w:val="454545"/>
          <w:sz w:val="28"/>
          <w:szCs w:val="28"/>
          <w:shd w:val="clear" w:color="auto" w:fill="FFFFFF"/>
        </w:rPr>
      </w:pPr>
    </w:p>
    <w:p w14:paraId="2459F776" w14:textId="03652378" w:rsidR="0060031B" w:rsidRDefault="0060031B"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6-13</w:t>
      </w:r>
      <w:r w:rsidR="002A0697">
        <w:rPr>
          <w:rFonts w:ascii="Arial Black" w:hAnsi="Arial Black"/>
          <w:b/>
          <w:bCs/>
          <w:color w:val="454545"/>
          <w:sz w:val="28"/>
          <w:szCs w:val="28"/>
          <w:shd w:val="clear" w:color="auto" w:fill="FFFFFF"/>
        </w:rPr>
        <w:t>0</w:t>
      </w:r>
    </w:p>
    <w:p w14:paraId="56260724" w14:textId="7A6C35D4" w:rsidR="006C4AD8" w:rsidRDefault="006C4AD8" w:rsidP="006C4AD8">
      <w:pPr>
        <w:pStyle w:val="NormalWeb"/>
        <w:spacing w:before="0" w:beforeAutospacing="0"/>
        <w:rPr>
          <w:b/>
          <w:bCs/>
          <w:color w:val="454545"/>
          <w:shd w:val="clear" w:color="auto" w:fill="FFFFFF"/>
        </w:rPr>
      </w:pPr>
      <w:r>
        <w:rPr>
          <w:rFonts w:ascii="Arial Black" w:hAnsi="Arial Black"/>
          <w:b/>
          <w:bCs/>
          <w:color w:val="454545"/>
          <w:sz w:val="28"/>
          <w:szCs w:val="28"/>
          <w:shd w:val="clear" w:color="auto" w:fill="FFFFFF"/>
        </w:rPr>
        <w:t xml:space="preserve">WV: VOL. FIRE CHIEF HEARING LOSS AS COAL MINOR (17.5%) – CLAIM ADDITIONAL LOSS FD DENIED / DIABETES  </w:t>
      </w:r>
    </w:p>
    <w:p w14:paraId="0BECCF51" w14:textId="77777777" w:rsidR="006C4AD8" w:rsidRDefault="006C4AD8" w:rsidP="006C4AD8">
      <w:pPr>
        <w:pStyle w:val="NoSpacing"/>
        <w:rPr>
          <w:rFonts w:ascii="Times New Roman" w:hAnsi="Times New Roman"/>
          <w:sz w:val="24"/>
          <w:szCs w:val="24"/>
        </w:rPr>
      </w:pPr>
      <w:r>
        <w:rPr>
          <w:rFonts w:ascii="Times New Roman" w:hAnsi="Times New Roman"/>
          <w:sz w:val="24"/>
          <w:szCs w:val="24"/>
        </w:rPr>
        <w:t xml:space="preserve">On March 25, 2024, in </w:t>
      </w:r>
      <w:r w:rsidRPr="00D22B5A">
        <w:rPr>
          <w:rFonts w:ascii="Times New Roman" w:hAnsi="Times New Roman"/>
          <w:sz w:val="24"/>
          <w:szCs w:val="24"/>
          <w:u w:val="single"/>
        </w:rPr>
        <w:t>Wilburn T. Preece, Jr. v. Kermit Volunteer Fire Department</w:t>
      </w:r>
      <w:r>
        <w:rPr>
          <w:rFonts w:ascii="Times New Roman" w:hAnsi="Times New Roman"/>
          <w:sz w:val="24"/>
          <w:szCs w:val="24"/>
        </w:rPr>
        <w:t xml:space="preserve">, the West Virginia Intermediate Court of Appeals upheld (3 to 0) the Administrative Law Judge, and the </w:t>
      </w:r>
      <w:r w:rsidRPr="00AD6935">
        <w:rPr>
          <w:rFonts w:ascii="Times New Roman" w:hAnsi="Times New Roman"/>
          <w:sz w:val="24"/>
          <w:szCs w:val="24"/>
        </w:rPr>
        <w:t xml:space="preserve">Workers' Compensation Board of Review </w:t>
      </w:r>
      <w:r>
        <w:rPr>
          <w:rFonts w:ascii="Times New Roman" w:hAnsi="Times New Roman"/>
          <w:sz w:val="24"/>
          <w:szCs w:val="24"/>
        </w:rPr>
        <w:t xml:space="preserve">decision denying him additional worker’s comp.  He had previously been granted 17.5% </w:t>
      </w:r>
      <w:r w:rsidRPr="00781DB6">
        <w:rPr>
          <w:rFonts w:ascii="Times New Roman" w:hAnsi="Times New Roman"/>
          <w:sz w:val="24"/>
          <w:szCs w:val="24"/>
        </w:rPr>
        <w:t>permanent partial disability</w:t>
      </w:r>
      <w:r>
        <w:rPr>
          <w:rFonts w:ascii="Times New Roman" w:hAnsi="Times New Roman"/>
          <w:sz w:val="24"/>
          <w:szCs w:val="24"/>
        </w:rPr>
        <w:t xml:space="preserve"> (PPD)</w:t>
      </w:r>
      <w:r w:rsidRPr="00781DB6">
        <w:rPr>
          <w:rFonts w:ascii="Times New Roman" w:hAnsi="Times New Roman"/>
          <w:sz w:val="24"/>
          <w:szCs w:val="24"/>
        </w:rPr>
        <w:t xml:space="preserve"> award</w:t>
      </w:r>
      <w:r>
        <w:rPr>
          <w:rFonts w:ascii="Times New Roman" w:hAnsi="Times New Roman"/>
          <w:sz w:val="24"/>
          <w:szCs w:val="24"/>
        </w:rPr>
        <w:t xml:space="preserve"> in 2015 related to work as a minor and failed to prove additional hearing loss (22%) was due to service starting in 2014 as the Fire Chief at the volunteer fire department.  </w:t>
      </w:r>
    </w:p>
    <w:p w14:paraId="4D4D7809" w14:textId="77777777" w:rsidR="003956F7" w:rsidRDefault="003956F7" w:rsidP="003956F7">
      <w:pPr>
        <w:pStyle w:val="NoSpacing"/>
        <w:rPr>
          <w:rFonts w:ascii="Times New Roman" w:hAnsi="Times New Roman"/>
          <w:sz w:val="24"/>
          <w:szCs w:val="24"/>
          <w:shd w:val="clear" w:color="auto" w:fill="FFFFFF"/>
        </w:rPr>
      </w:pPr>
    </w:p>
    <w:p w14:paraId="5A819468" w14:textId="16978171"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79520472" w14:textId="77777777" w:rsidR="003956F7" w:rsidRPr="00781DB6" w:rsidRDefault="003956F7" w:rsidP="006C4AD8">
      <w:pPr>
        <w:pStyle w:val="NoSpacing"/>
        <w:rPr>
          <w:rFonts w:ascii="Times New Roman" w:hAnsi="Times New Roman"/>
          <w:sz w:val="24"/>
          <w:szCs w:val="24"/>
        </w:rPr>
      </w:pPr>
    </w:p>
    <w:p w14:paraId="44F45D83" w14:textId="77777777" w:rsidR="006C4AD8" w:rsidRPr="00FD334E" w:rsidRDefault="006C4AD8" w:rsidP="006C4AD8">
      <w:pPr>
        <w:pStyle w:val="NoSpacing"/>
        <w:ind w:left="720"/>
        <w:rPr>
          <w:rFonts w:ascii="Times New Roman" w:hAnsi="Times New Roman"/>
          <w:sz w:val="24"/>
          <w:szCs w:val="24"/>
        </w:rPr>
      </w:pPr>
      <w:r w:rsidRPr="00FD334E">
        <w:rPr>
          <w:rFonts w:ascii="Times New Roman" w:hAnsi="Times New Roman"/>
          <w:sz w:val="24"/>
          <w:szCs w:val="24"/>
        </w:rPr>
        <w:t xml:space="preserve">“Mr. Preece was evaluated by David Phillips, M.D., who drafted a report dated December 14, 2022. Dr. Phillips found that Mr. Preece had a total of 22% </w:t>
      </w:r>
      <w:proofErr w:type="gramStart"/>
      <w:r w:rsidRPr="00FD334E">
        <w:rPr>
          <w:rFonts w:ascii="Times New Roman" w:hAnsi="Times New Roman"/>
          <w:sz w:val="24"/>
          <w:szCs w:val="24"/>
        </w:rPr>
        <w:t>whole</w:t>
      </w:r>
      <w:proofErr w:type="gramEnd"/>
      <w:r w:rsidRPr="00FD334E">
        <w:rPr>
          <w:rFonts w:ascii="Times New Roman" w:hAnsi="Times New Roman"/>
          <w:sz w:val="24"/>
          <w:szCs w:val="24"/>
        </w:rPr>
        <w:t xml:space="preserve"> </w:t>
      </w:r>
      <w:proofErr w:type="gramStart"/>
      <w:r w:rsidRPr="00FD334E">
        <w:rPr>
          <w:rFonts w:ascii="Times New Roman" w:hAnsi="Times New Roman"/>
          <w:sz w:val="24"/>
          <w:szCs w:val="24"/>
        </w:rPr>
        <w:t>person</w:t>
      </w:r>
      <w:proofErr w:type="gramEnd"/>
      <w:r w:rsidRPr="00FD334E">
        <w:rPr>
          <w:rFonts w:ascii="Times New Roman" w:hAnsi="Times New Roman"/>
          <w:sz w:val="24"/>
          <w:szCs w:val="24"/>
        </w:rPr>
        <w:t xml:space="preserve"> </w:t>
      </w:r>
      <w:proofErr w:type="gramStart"/>
      <w:r w:rsidRPr="00FD334E">
        <w:rPr>
          <w:rFonts w:ascii="Times New Roman" w:hAnsi="Times New Roman"/>
          <w:sz w:val="24"/>
          <w:szCs w:val="24"/>
        </w:rPr>
        <w:t>impairment (</w:t>
      </w:r>
      <w:r>
        <w:rPr>
          <w:rFonts w:ascii="Times New Roman" w:hAnsi="Times New Roman"/>
          <w:sz w:val="24"/>
          <w:szCs w:val="24"/>
        </w:rPr>
        <w:t>‘</w:t>
      </w:r>
      <w:proofErr w:type="gramEnd"/>
      <w:r w:rsidRPr="00FD334E">
        <w:rPr>
          <w:rFonts w:ascii="Times New Roman" w:hAnsi="Times New Roman"/>
          <w:sz w:val="24"/>
          <w:szCs w:val="24"/>
        </w:rPr>
        <w:t>WPI</w:t>
      </w:r>
      <w:r>
        <w:rPr>
          <w:rFonts w:ascii="Times New Roman" w:hAnsi="Times New Roman"/>
          <w:sz w:val="24"/>
          <w:szCs w:val="24"/>
        </w:rPr>
        <w:t>’</w:t>
      </w:r>
      <w:r w:rsidRPr="00FD334E">
        <w:rPr>
          <w:rFonts w:ascii="Times New Roman" w:hAnsi="Times New Roman"/>
          <w:sz w:val="24"/>
          <w:szCs w:val="24"/>
        </w:rPr>
        <w:t>) related to hearing loss. Dr. Phillips noted that Mr. Preece has a medical history of diabetes, hypertension, and elevated cholesterol, all of which can contribute to progressive hearing loss. Thus, Dr. Phillips attributed 17.5% of Mr. Preece's hearing loss to prior mining occupational noise exposure and 4.5% to nonoccupational factors.</w:t>
      </w:r>
    </w:p>
    <w:p w14:paraId="6DB453C9" w14:textId="77777777" w:rsidR="006C4AD8" w:rsidRPr="00AA7464" w:rsidRDefault="006C4AD8" w:rsidP="006C4AD8">
      <w:pPr>
        <w:pStyle w:val="NoSpacing"/>
        <w:ind w:left="720"/>
        <w:rPr>
          <w:rFonts w:ascii="Times New Roman" w:hAnsi="Times New Roman"/>
          <w:sz w:val="24"/>
          <w:szCs w:val="24"/>
        </w:rPr>
      </w:pPr>
    </w:p>
    <w:p w14:paraId="39FF471F" w14:textId="77777777" w:rsidR="006C4AD8" w:rsidRDefault="006C4AD8" w:rsidP="006C4AD8">
      <w:pPr>
        <w:pStyle w:val="NoSpacing"/>
        <w:ind w:left="720"/>
        <w:rPr>
          <w:rFonts w:ascii="Times New Roman" w:hAnsi="Times New Roman"/>
          <w:sz w:val="24"/>
          <w:szCs w:val="24"/>
        </w:rPr>
      </w:pPr>
      <w:r>
        <w:rPr>
          <w:rFonts w:ascii="Times New Roman" w:hAnsi="Times New Roman"/>
          <w:sz w:val="24"/>
          <w:szCs w:val="24"/>
        </w:rPr>
        <w:t>***</w:t>
      </w:r>
    </w:p>
    <w:p w14:paraId="115848E8" w14:textId="77777777" w:rsidR="006C4AD8" w:rsidRDefault="006C4AD8" w:rsidP="006C4AD8">
      <w:pPr>
        <w:pStyle w:val="NoSpacing"/>
        <w:ind w:left="720"/>
        <w:rPr>
          <w:rFonts w:ascii="Times New Roman" w:hAnsi="Times New Roman"/>
          <w:sz w:val="24"/>
          <w:szCs w:val="24"/>
        </w:rPr>
      </w:pPr>
    </w:p>
    <w:p w14:paraId="02F19B31" w14:textId="77777777" w:rsidR="006C4AD8" w:rsidRPr="00215DCD" w:rsidRDefault="006C4AD8" w:rsidP="006C4AD8">
      <w:pPr>
        <w:pStyle w:val="NoSpacing"/>
        <w:ind w:left="720"/>
        <w:rPr>
          <w:rFonts w:ascii="Times New Roman" w:hAnsi="Times New Roman"/>
          <w:b/>
          <w:bCs/>
          <w:color w:val="454545"/>
          <w:sz w:val="24"/>
          <w:szCs w:val="24"/>
          <w:shd w:val="clear" w:color="auto" w:fill="FFFFFF"/>
        </w:rPr>
      </w:pPr>
      <w:r w:rsidRPr="00215DCD">
        <w:rPr>
          <w:rFonts w:ascii="Times New Roman" w:hAnsi="Times New Roman"/>
          <w:sz w:val="24"/>
          <w:szCs w:val="24"/>
        </w:rPr>
        <w:t xml:space="preserve">Upon review, we cannot conclude that the Board was clearly wrong in finding that Mr. Preece failed to establish that his job as fire chief has caused additional hearing loss. As the Supreme Court of Appeals of West Virginia has set forth, "[t]he 'clearly wrong' and the 'arbitrary and capricious' standards of review are deferential ones which presume an agency's actions are valid as long as the decision is supported by substantial evidence or </w:t>
      </w:r>
      <w:proofErr w:type="gramStart"/>
      <w:r w:rsidRPr="00215DCD">
        <w:rPr>
          <w:rFonts w:ascii="Times New Roman" w:hAnsi="Times New Roman"/>
          <w:sz w:val="24"/>
          <w:szCs w:val="24"/>
        </w:rPr>
        <w:t>by</w:t>
      </w:r>
      <w:proofErr w:type="gramEnd"/>
      <w:r w:rsidRPr="00215DCD">
        <w:rPr>
          <w:rFonts w:ascii="Times New Roman" w:hAnsi="Times New Roman"/>
          <w:sz w:val="24"/>
          <w:szCs w:val="24"/>
        </w:rPr>
        <w:t xml:space="preserve"> a rational basis." Syl. Pt. 3, </w:t>
      </w:r>
      <w:r w:rsidRPr="00215DCD">
        <w:rPr>
          <w:rStyle w:val="Emphasis"/>
          <w:rFonts w:ascii="Times New Roman" w:hAnsi="Times New Roman"/>
          <w:sz w:val="24"/>
          <w:szCs w:val="24"/>
        </w:rPr>
        <w:t>In re Queen</w:t>
      </w:r>
      <w:r w:rsidRPr="00215DCD">
        <w:rPr>
          <w:rFonts w:ascii="Times New Roman" w:hAnsi="Times New Roman"/>
          <w:sz w:val="24"/>
          <w:szCs w:val="24"/>
        </w:rPr>
        <w:t>, 196 W.Va. 442, 473 S.E.2d 483 (1996). With this deferential standard of review in mind, we cannot conclude that the Board was clearly wrong in affirming the claim administrator's order rejecting the claim.</w:t>
      </w:r>
      <w:r>
        <w:rPr>
          <w:rFonts w:ascii="Times New Roman" w:hAnsi="Times New Roman"/>
          <w:sz w:val="24"/>
          <w:szCs w:val="24"/>
        </w:rPr>
        <w:t>”</w:t>
      </w:r>
      <w:r w:rsidRPr="000A3EB7">
        <w:t xml:space="preserve"> </w:t>
      </w:r>
      <w:hyperlink r:id="rId1119" w:history="1">
        <w:r w:rsidRPr="007E7996">
          <w:rPr>
            <w:rStyle w:val="Hyperlink"/>
            <w:rFonts w:ascii="Times New Roman" w:hAnsi="Times New Roman"/>
            <w:sz w:val="24"/>
            <w:szCs w:val="24"/>
          </w:rPr>
          <w:t>https://public.fastcase.com/H1P9uiW3J20SFp%2BGCG%2BxLadhvM%2BTk6CyYLUbfEuOSnynNWxAhyJMu40rylJQnWa9?utm_medium=email&amp;_hsmi=226712652&amp;_hsenc=p2ANqtz-_Dihe0VmJESjxgjqn36kOhagQU45bmN7CEHRIuj2470_KUhcV7wrW-Y9ruG8-Hj5g_txVmqO_R_d6e-gS-IENa_oPFKQ&amp;utm_content=226712652&amp;utm_source=hs_email</w:t>
        </w:r>
      </w:hyperlink>
      <w:r>
        <w:rPr>
          <w:rFonts w:ascii="Times New Roman" w:hAnsi="Times New Roman"/>
          <w:sz w:val="24"/>
          <w:szCs w:val="24"/>
        </w:rPr>
        <w:t xml:space="preserve"> </w:t>
      </w:r>
    </w:p>
    <w:p w14:paraId="09DB4F0A" w14:textId="77777777" w:rsidR="006C4AD8" w:rsidRDefault="006C4AD8" w:rsidP="006C4AD8">
      <w:pPr>
        <w:pStyle w:val="NoSpacing"/>
        <w:rPr>
          <w:rFonts w:ascii="Times New Roman" w:hAnsi="Times New Roman"/>
          <w:sz w:val="24"/>
          <w:szCs w:val="24"/>
        </w:rPr>
      </w:pPr>
    </w:p>
    <w:p w14:paraId="3D73FADE" w14:textId="77777777" w:rsidR="006C4AD8" w:rsidRDefault="006C4AD8" w:rsidP="006C4AD8">
      <w:pPr>
        <w:pStyle w:val="NoSpacing"/>
        <w:rPr>
          <w:rFonts w:ascii="Times New Roman" w:hAnsi="Times New Roman"/>
          <w:sz w:val="24"/>
          <w:szCs w:val="24"/>
        </w:rPr>
      </w:pPr>
    </w:p>
    <w:p w14:paraId="2994A667" w14:textId="77777777" w:rsidR="006C4AD8" w:rsidRPr="008B6467" w:rsidRDefault="006C4AD8" w:rsidP="006C4AD8">
      <w:pPr>
        <w:pStyle w:val="NormalWeb"/>
        <w:rPr>
          <w:b/>
          <w:bCs/>
        </w:rPr>
      </w:pPr>
      <w:r w:rsidRPr="008B6467">
        <w:rPr>
          <w:b/>
          <w:bCs/>
        </w:rPr>
        <w:t>Legal Lesson Learned: Hearing loss can be attributed to multiple factors, including diabetes, hypertension, and elevated cholesterol.</w:t>
      </w:r>
    </w:p>
    <w:p w14:paraId="46C0753D" w14:textId="77777777" w:rsidR="006C4AD8" w:rsidRDefault="006C4AD8" w:rsidP="006C4AD8">
      <w:pPr>
        <w:pStyle w:val="NoSpacing"/>
        <w:rPr>
          <w:rFonts w:ascii="Times New Roman" w:hAnsi="Times New Roman"/>
          <w:sz w:val="24"/>
          <w:szCs w:val="24"/>
        </w:rPr>
      </w:pPr>
    </w:p>
    <w:p w14:paraId="605E8B5C" w14:textId="77777777" w:rsidR="006C4AD8" w:rsidRDefault="006C4AD8" w:rsidP="006C4AD8">
      <w:pPr>
        <w:pStyle w:val="NormalWeb"/>
        <w:spacing w:before="0" w:beforeAutospacing="0"/>
        <w:rPr>
          <w:b/>
          <w:bCs/>
          <w:color w:val="454545"/>
          <w:shd w:val="clear" w:color="auto" w:fill="FFFFFF"/>
        </w:rPr>
      </w:pPr>
    </w:p>
    <w:p w14:paraId="26153F56" w14:textId="387FF3E1" w:rsidR="006C4AD8" w:rsidRDefault="0060031B"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6-1</w:t>
      </w:r>
      <w:r w:rsidR="002A0697">
        <w:rPr>
          <w:rFonts w:ascii="Arial Black" w:hAnsi="Arial Black"/>
          <w:b/>
          <w:bCs/>
          <w:color w:val="454545"/>
          <w:sz w:val="28"/>
          <w:szCs w:val="28"/>
          <w:shd w:val="clear" w:color="auto" w:fill="FFFFFF"/>
        </w:rPr>
        <w:t>29</w:t>
      </w:r>
    </w:p>
    <w:p w14:paraId="586D680E" w14:textId="77777777" w:rsidR="006C4AD8" w:rsidRDefault="006C4AD8" w:rsidP="006C4AD8">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TX:  PANCREATIC CANCER NOT COVERD UNDER FF PRESUMPTION LAW – WIDOW DENIED WORK COMP</w:t>
      </w:r>
    </w:p>
    <w:p w14:paraId="783DCD94" w14:textId="77777777" w:rsidR="006C4AD8" w:rsidRDefault="006C4AD8" w:rsidP="006C4AD8">
      <w:pPr>
        <w:pStyle w:val="NormalWeb"/>
        <w:rPr>
          <w:color w:val="454545"/>
          <w:shd w:val="clear" w:color="auto" w:fill="FFFFFF"/>
        </w:rPr>
      </w:pPr>
      <w:r>
        <w:rPr>
          <w:color w:val="454545"/>
          <w:shd w:val="clear" w:color="auto" w:fill="FFFFFF"/>
        </w:rPr>
        <w:t xml:space="preserve">On March 7, 2024, in </w:t>
      </w:r>
      <w:r w:rsidRPr="003F27FF">
        <w:rPr>
          <w:color w:val="454545"/>
          <w:u w:val="single"/>
          <w:shd w:val="clear" w:color="auto" w:fill="FFFFFF"/>
        </w:rPr>
        <w:t>City of Stephenville v. Anna Belew, et al</w:t>
      </w:r>
      <w:r>
        <w:rPr>
          <w:color w:val="454545"/>
          <w:shd w:val="clear" w:color="auto" w:fill="FFFFFF"/>
        </w:rPr>
        <w:t xml:space="preserve">., the Eleventh Court of Appeals of Texas, held (3 to 0) in a lengthy decision, that the City’s appeal is granted, reversing the award of workers comp death benefits to widow of </w:t>
      </w:r>
      <w:r w:rsidRPr="00DF56EC">
        <w:rPr>
          <w:color w:val="454545"/>
          <w:shd w:val="clear" w:color="auto" w:fill="FFFFFF"/>
        </w:rPr>
        <w:t>Michael Belew, a firefighter for the City of</w:t>
      </w:r>
      <w:r>
        <w:rPr>
          <w:color w:val="454545"/>
          <w:shd w:val="clear" w:color="auto" w:fill="FFFFFF"/>
        </w:rPr>
        <w:t xml:space="preserve"> </w:t>
      </w:r>
      <w:r w:rsidRPr="00DF56EC">
        <w:rPr>
          <w:color w:val="454545"/>
          <w:shd w:val="clear" w:color="auto" w:fill="FFFFFF"/>
        </w:rPr>
        <w:t>Stephenville who passed away in 2014 after a battle with pancreatic</w:t>
      </w:r>
      <w:r>
        <w:rPr>
          <w:color w:val="454545"/>
          <w:shd w:val="clear" w:color="auto" w:fill="FFFFFF"/>
        </w:rPr>
        <w:t xml:space="preserve"> </w:t>
      </w:r>
      <w:r w:rsidRPr="00DF56EC">
        <w:rPr>
          <w:color w:val="454545"/>
          <w:shd w:val="clear" w:color="auto" w:fill="FFFFFF"/>
        </w:rPr>
        <w:t>cancer.</w:t>
      </w:r>
    </w:p>
    <w:p w14:paraId="04920658"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7604A790" w14:textId="77777777" w:rsidR="006C4AD8" w:rsidRDefault="006C4AD8" w:rsidP="006C4AD8">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B55288">
        <w:rPr>
          <w:rFonts w:ascii="Times New Roman" w:hAnsi="Times New Roman"/>
          <w:sz w:val="24"/>
          <w:szCs w:val="24"/>
          <w:shd w:val="clear" w:color="auto" w:fill="FFFFFF"/>
        </w:rPr>
        <w:t xml:space="preserve">The IARC </w:t>
      </w:r>
      <w:r w:rsidRPr="00B81F19">
        <w:rPr>
          <w:rFonts w:ascii="Times New Roman" w:hAnsi="Times New Roman"/>
          <w:sz w:val="24"/>
          <w:szCs w:val="24"/>
          <w:shd w:val="clear" w:color="auto" w:fill="FFFFFF"/>
        </w:rPr>
        <w:t>[</w:t>
      </w:r>
      <w:r w:rsidRPr="00B81F19">
        <w:rPr>
          <w:rFonts w:ascii="Times New Roman" w:hAnsi="Times New Roman"/>
          <w:sz w:val="24"/>
          <w:szCs w:val="24"/>
        </w:rPr>
        <w:t>International Agency for Research on Cancer</w:t>
      </w:r>
      <w:r>
        <w:t xml:space="preserve">] </w:t>
      </w:r>
      <w:r w:rsidRPr="00B55288">
        <w:rPr>
          <w:rFonts w:ascii="Times New Roman" w:hAnsi="Times New Roman"/>
          <w:sz w:val="24"/>
          <w:szCs w:val="24"/>
          <w:shd w:val="clear" w:color="auto" w:fill="FFFFFF"/>
        </w:rPr>
        <w:t>is the cancer research agency of the World Health Organization.</w:t>
      </w:r>
      <w:r>
        <w:rPr>
          <w:rFonts w:ascii="Times New Roman" w:hAnsi="Times New Roman"/>
          <w:sz w:val="24"/>
          <w:szCs w:val="24"/>
          <w:shd w:val="clear" w:color="auto" w:fill="FFFFFF"/>
        </w:rPr>
        <w:t xml:space="preserve"> </w:t>
      </w:r>
      <w:r w:rsidRPr="00B55288">
        <w:rPr>
          <w:rFonts w:ascii="Times New Roman" w:hAnsi="Times New Roman"/>
          <w:sz w:val="24"/>
          <w:szCs w:val="24"/>
          <w:shd w:val="clear" w:color="auto" w:fill="FFFFFF"/>
        </w:rPr>
        <w:t>The IARC conducts critical reviews and evaluations on the carcinogenicity of a wide</w:t>
      </w:r>
      <w:r>
        <w:rPr>
          <w:rFonts w:ascii="Times New Roman" w:hAnsi="Times New Roman"/>
          <w:sz w:val="24"/>
          <w:szCs w:val="24"/>
          <w:shd w:val="clear" w:color="auto" w:fill="FFFFFF"/>
        </w:rPr>
        <w:t xml:space="preserve"> </w:t>
      </w:r>
      <w:r w:rsidRPr="00B55288">
        <w:rPr>
          <w:rFonts w:ascii="Times New Roman" w:hAnsi="Times New Roman"/>
          <w:sz w:val="24"/>
          <w:szCs w:val="24"/>
          <w:shd w:val="clear" w:color="auto" w:fill="FFFFFF"/>
        </w:rPr>
        <w:t>range of human exposures. These are done by a working group of experts in the</w:t>
      </w:r>
      <w:r>
        <w:rPr>
          <w:rFonts w:ascii="Times New Roman" w:hAnsi="Times New Roman"/>
          <w:sz w:val="24"/>
          <w:szCs w:val="24"/>
          <w:shd w:val="clear" w:color="auto" w:fill="FFFFFF"/>
        </w:rPr>
        <w:t xml:space="preserve"> </w:t>
      </w:r>
      <w:r w:rsidRPr="00B55288">
        <w:rPr>
          <w:rFonts w:ascii="Times New Roman" w:hAnsi="Times New Roman"/>
          <w:sz w:val="24"/>
          <w:szCs w:val="24"/>
          <w:shd w:val="clear" w:color="auto" w:fill="FFFFFF"/>
        </w:rPr>
        <w:t>subject field and the IARC publishes the results of this working group’s evaluations</w:t>
      </w:r>
      <w:r>
        <w:rPr>
          <w:rFonts w:ascii="Times New Roman" w:hAnsi="Times New Roman"/>
          <w:sz w:val="24"/>
          <w:szCs w:val="24"/>
          <w:shd w:val="clear" w:color="auto" w:fill="FFFFFF"/>
        </w:rPr>
        <w:t xml:space="preserve"> </w:t>
      </w:r>
      <w:r w:rsidRPr="00B55288">
        <w:rPr>
          <w:rFonts w:ascii="Times New Roman" w:hAnsi="Times New Roman"/>
          <w:sz w:val="24"/>
          <w:szCs w:val="24"/>
          <w:shd w:val="clear" w:color="auto" w:fill="FFFFFF"/>
        </w:rPr>
        <w:t>in monographs.</w:t>
      </w:r>
    </w:p>
    <w:p w14:paraId="2B9D48CF" w14:textId="77777777" w:rsidR="006C4AD8" w:rsidRDefault="006C4AD8" w:rsidP="006C4AD8">
      <w:pPr>
        <w:pStyle w:val="NoSpacing"/>
        <w:ind w:left="720"/>
        <w:rPr>
          <w:rFonts w:ascii="Times New Roman" w:hAnsi="Times New Roman"/>
          <w:sz w:val="24"/>
          <w:szCs w:val="24"/>
          <w:shd w:val="clear" w:color="auto" w:fill="FFFFFF"/>
        </w:rPr>
      </w:pPr>
    </w:p>
    <w:p w14:paraId="4BFEECAA" w14:textId="77777777" w:rsidR="006C4AD8" w:rsidRDefault="006C4AD8" w:rsidP="006C4AD8">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0DCA09D5" w14:textId="77777777" w:rsidR="006C4AD8" w:rsidRDefault="006C4AD8" w:rsidP="006C4AD8">
      <w:pPr>
        <w:pStyle w:val="NoSpacing"/>
        <w:ind w:left="720"/>
        <w:rPr>
          <w:rFonts w:ascii="Times New Roman" w:hAnsi="Times New Roman"/>
          <w:sz w:val="24"/>
          <w:szCs w:val="24"/>
          <w:shd w:val="clear" w:color="auto" w:fill="FFFFFF"/>
        </w:rPr>
      </w:pPr>
    </w:p>
    <w:p w14:paraId="1AE7DC37" w14:textId="77777777" w:rsidR="006C4AD8" w:rsidRDefault="006C4AD8" w:rsidP="006C4AD8">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A</w:t>
      </w:r>
      <w:r w:rsidRPr="003E7505">
        <w:rPr>
          <w:rFonts w:ascii="Times New Roman" w:hAnsi="Times New Roman"/>
          <w:sz w:val="24"/>
          <w:szCs w:val="24"/>
          <w:shd w:val="clear" w:color="auto" w:fill="FFFFFF"/>
        </w:rPr>
        <w:t xml:space="preserve">ppellees </w:t>
      </w:r>
      <w:r>
        <w:rPr>
          <w:rFonts w:ascii="Times New Roman" w:hAnsi="Times New Roman"/>
          <w:sz w:val="24"/>
          <w:szCs w:val="24"/>
          <w:shd w:val="clear" w:color="auto" w:fill="FFFFFF"/>
        </w:rPr>
        <w:t xml:space="preserve">[widow and family] </w:t>
      </w:r>
      <w:r w:rsidRPr="003E7505">
        <w:rPr>
          <w:rFonts w:ascii="Times New Roman" w:hAnsi="Times New Roman"/>
          <w:sz w:val="24"/>
          <w:szCs w:val="24"/>
          <w:shd w:val="clear" w:color="auto" w:fill="FFFFFF"/>
        </w:rPr>
        <w:t>did not proffer any</w:t>
      </w:r>
      <w:r>
        <w:rPr>
          <w:rFonts w:ascii="Times New Roman" w:hAnsi="Times New Roman"/>
          <w:sz w:val="24"/>
          <w:szCs w:val="24"/>
          <w:shd w:val="clear" w:color="auto" w:fill="FFFFFF"/>
        </w:rPr>
        <w:t xml:space="preserve"> </w:t>
      </w:r>
      <w:r w:rsidRPr="003E7505">
        <w:rPr>
          <w:rFonts w:ascii="Times New Roman" w:hAnsi="Times New Roman"/>
          <w:sz w:val="24"/>
          <w:szCs w:val="24"/>
          <w:shd w:val="clear" w:color="auto" w:fill="FFFFFF"/>
        </w:rPr>
        <w:t>expert testimony or opinions, or other evidence for that matter, to explain and</w:t>
      </w:r>
      <w:r>
        <w:rPr>
          <w:rFonts w:ascii="Times New Roman" w:hAnsi="Times New Roman"/>
          <w:sz w:val="24"/>
          <w:szCs w:val="24"/>
          <w:shd w:val="clear" w:color="auto" w:fill="FFFFFF"/>
        </w:rPr>
        <w:t xml:space="preserve"> </w:t>
      </w:r>
      <w:r w:rsidRPr="003E7505">
        <w:rPr>
          <w:rFonts w:ascii="Times New Roman" w:hAnsi="Times New Roman"/>
          <w:sz w:val="24"/>
          <w:szCs w:val="24"/>
          <w:shd w:val="clear" w:color="auto" w:fill="FFFFFF"/>
        </w:rPr>
        <w:t>support their nuanced argument that individual studies within the Monograph</w:t>
      </w:r>
      <w:r>
        <w:rPr>
          <w:rFonts w:ascii="Times New Roman" w:hAnsi="Times New Roman"/>
          <w:sz w:val="24"/>
          <w:szCs w:val="24"/>
          <w:shd w:val="clear" w:color="auto" w:fill="FFFFFF"/>
        </w:rPr>
        <w:t xml:space="preserve"> </w:t>
      </w:r>
      <w:r w:rsidRPr="003E7505">
        <w:rPr>
          <w:rFonts w:ascii="Times New Roman" w:hAnsi="Times New Roman"/>
          <w:sz w:val="24"/>
          <w:szCs w:val="24"/>
          <w:shd w:val="clear" w:color="auto" w:fill="FFFFFF"/>
        </w:rPr>
        <w:t xml:space="preserve">indicate that the IARC has </w:t>
      </w:r>
      <w:r>
        <w:rPr>
          <w:rFonts w:ascii="Times New Roman" w:hAnsi="Times New Roman"/>
          <w:sz w:val="24"/>
          <w:szCs w:val="24"/>
          <w:shd w:val="clear" w:color="auto" w:fill="FFFFFF"/>
        </w:rPr>
        <w:t>‘</w:t>
      </w:r>
      <w:r w:rsidRPr="003E7505">
        <w:rPr>
          <w:rFonts w:ascii="Times New Roman" w:hAnsi="Times New Roman"/>
          <w:sz w:val="24"/>
          <w:szCs w:val="24"/>
          <w:shd w:val="clear" w:color="auto" w:fill="FFFFFF"/>
        </w:rPr>
        <w:t>determined</w:t>
      </w:r>
      <w:r>
        <w:rPr>
          <w:rFonts w:ascii="Times New Roman" w:hAnsi="Times New Roman"/>
          <w:sz w:val="24"/>
          <w:szCs w:val="24"/>
          <w:shd w:val="clear" w:color="auto" w:fill="FFFFFF"/>
        </w:rPr>
        <w:t>’</w:t>
      </w:r>
      <w:r w:rsidRPr="003E7505">
        <w:rPr>
          <w:rFonts w:ascii="Times New Roman" w:hAnsi="Times New Roman"/>
          <w:sz w:val="24"/>
          <w:szCs w:val="24"/>
          <w:shd w:val="clear" w:color="auto" w:fill="FFFFFF"/>
        </w:rPr>
        <w:t xml:space="preserve"> pancreatic cancer to be a type of cancer that</w:t>
      </w:r>
      <w:r>
        <w:rPr>
          <w:rFonts w:ascii="Times New Roman" w:hAnsi="Times New Roman"/>
          <w:sz w:val="24"/>
          <w:szCs w:val="24"/>
          <w:shd w:val="clear" w:color="auto" w:fill="FFFFFF"/>
        </w:rPr>
        <w:t xml:space="preserve"> i</w:t>
      </w:r>
      <w:r w:rsidRPr="00296A1A">
        <w:rPr>
          <w:rFonts w:ascii="Times New Roman" w:hAnsi="Times New Roman"/>
          <w:sz w:val="24"/>
          <w:szCs w:val="24"/>
          <w:shd w:val="clear" w:color="auto" w:fill="FFFFFF"/>
        </w:rPr>
        <w:t>s covered by the statute.</w:t>
      </w:r>
      <w:r>
        <w:rPr>
          <w:rFonts w:ascii="Times New Roman" w:hAnsi="Times New Roman"/>
          <w:sz w:val="24"/>
          <w:szCs w:val="24"/>
          <w:shd w:val="clear" w:color="auto" w:fill="FFFFFF"/>
        </w:rPr>
        <w:t xml:space="preserve"> </w:t>
      </w:r>
      <w:r w:rsidRPr="005A181E">
        <w:rPr>
          <w:rFonts w:ascii="Times New Roman" w:hAnsi="Times New Roman"/>
          <w:sz w:val="24"/>
          <w:szCs w:val="24"/>
          <w:shd w:val="clear" w:color="auto" w:fill="FFFFFF"/>
        </w:rPr>
        <w:t xml:space="preserve">On the other hand, the </w:t>
      </w:r>
      <w:proofErr w:type="gramStart"/>
      <w:r w:rsidRPr="005A181E">
        <w:rPr>
          <w:rFonts w:ascii="Times New Roman" w:hAnsi="Times New Roman"/>
          <w:sz w:val="24"/>
          <w:szCs w:val="24"/>
          <w:shd w:val="clear" w:color="auto" w:fill="FFFFFF"/>
        </w:rPr>
        <w:t>City</w:t>
      </w:r>
      <w:proofErr w:type="gramEnd"/>
      <w:r w:rsidRPr="005A181E">
        <w:rPr>
          <w:rFonts w:ascii="Times New Roman" w:hAnsi="Times New Roman"/>
          <w:sz w:val="24"/>
          <w:szCs w:val="24"/>
          <w:shd w:val="clear" w:color="auto" w:fill="FFFFFF"/>
        </w:rPr>
        <w:t xml:space="preserve"> presented the affidavits of two qualified experts,</w:t>
      </w:r>
      <w:r>
        <w:rPr>
          <w:rFonts w:ascii="Times New Roman" w:hAnsi="Times New Roman"/>
          <w:sz w:val="24"/>
          <w:szCs w:val="24"/>
          <w:shd w:val="clear" w:color="auto" w:fill="FFFFFF"/>
        </w:rPr>
        <w:t xml:space="preserve"> </w:t>
      </w:r>
      <w:r w:rsidRPr="005A181E">
        <w:rPr>
          <w:rFonts w:ascii="Times New Roman" w:hAnsi="Times New Roman"/>
          <w:sz w:val="24"/>
          <w:szCs w:val="24"/>
          <w:shd w:val="clear" w:color="auto" w:fill="FFFFFF"/>
        </w:rPr>
        <w:t>each of whom opined that the IARC has not determined that pancreatic cancer is a</w:t>
      </w:r>
      <w:r>
        <w:rPr>
          <w:rFonts w:ascii="Times New Roman" w:hAnsi="Times New Roman"/>
          <w:sz w:val="24"/>
          <w:szCs w:val="24"/>
          <w:shd w:val="clear" w:color="auto" w:fill="FFFFFF"/>
        </w:rPr>
        <w:t xml:space="preserve"> </w:t>
      </w:r>
      <w:r w:rsidRPr="005A181E">
        <w:rPr>
          <w:rFonts w:ascii="Times New Roman" w:hAnsi="Times New Roman"/>
          <w:sz w:val="24"/>
          <w:szCs w:val="24"/>
          <w:shd w:val="clear" w:color="auto" w:fill="FFFFFF"/>
        </w:rPr>
        <w:t>type of cancer that is covered by the statut</w:t>
      </w:r>
      <w:r>
        <w:rPr>
          <w:rFonts w:ascii="Times New Roman" w:hAnsi="Times New Roman"/>
          <w:sz w:val="24"/>
          <w:szCs w:val="24"/>
          <w:shd w:val="clear" w:color="auto" w:fill="FFFFFF"/>
        </w:rPr>
        <w:t>e.”</w:t>
      </w:r>
    </w:p>
    <w:p w14:paraId="4BF7E76C" w14:textId="77777777" w:rsidR="006C4AD8" w:rsidRDefault="006C4AD8" w:rsidP="006C4AD8">
      <w:pPr>
        <w:pStyle w:val="NoSpacing"/>
        <w:ind w:left="720"/>
        <w:rPr>
          <w:rFonts w:ascii="Times New Roman" w:hAnsi="Times New Roman"/>
          <w:sz w:val="24"/>
          <w:szCs w:val="24"/>
          <w:shd w:val="clear" w:color="auto" w:fill="FFFFFF"/>
        </w:rPr>
      </w:pPr>
    </w:p>
    <w:p w14:paraId="00B926BA" w14:textId="77777777" w:rsidR="006C4AD8" w:rsidRPr="00E362EA" w:rsidRDefault="006C4AD8" w:rsidP="006C4AD8">
      <w:pPr>
        <w:pStyle w:val="NoSpacing"/>
        <w:rPr>
          <w:rFonts w:ascii="Times New Roman" w:hAnsi="Times New Roman"/>
          <w:b/>
          <w:bCs/>
          <w:sz w:val="24"/>
          <w:szCs w:val="24"/>
          <w:shd w:val="clear" w:color="auto" w:fill="FFFFFF"/>
        </w:rPr>
      </w:pPr>
      <w:r w:rsidRPr="00E362EA">
        <w:rPr>
          <w:rFonts w:ascii="Times New Roman" w:hAnsi="Times New Roman"/>
          <w:b/>
          <w:bCs/>
          <w:sz w:val="24"/>
          <w:szCs w:val="24"/>
          <w:shd w:val="clear" w:color="auto" w:fill="FFFFFF"/>
        </w:rPr>
        <w:t>Legal Lesson Learned:</w:t>
      </w:r>
      <w:r>
        <w:rPr>
          <w:rFonts w:ascii="Times New Roman" w:hAnsi="Times New Roman"/>
          <w:b/>
          <w:bCs/>
          <w:sz w:val="24"/>
          <w:szCs w:val="24"/>
          <w:shd w:val="clear" w:color="auto" w:fill="FFFFFF"/>
        </w:rPr>
        <w:t xml:space="preserve"> Under the firefighter statutory presumption law must show that IARC has classified the cancer as likely caused by the job. </w:t>
      </w:r>
    </w:p>
    <w:p w14:paraId="5A0F5B46" w14:textId="77777777" w:rsidR="006C4AD8" w:rsidRDefault="006C4AD8" w:rsidP="006C4AD8">
      <w:pPr>
        <w:pStyle w:val="NoSpacing"/>
        <w:rPr>
          <w:rFonts w:ascii="Times New Roman" w:hAnsi="Times New Roman"/>
          <w:sz w:val="24"/>
          <w:szCs w:val="24"/>
          <w:shd w:val="clear" w:color="auto" w:fill="FFFFFF"/>
        </w:rPr>
      </w:pPr>
    </w:p>
    <w:p w14:paraId="1A2D84FE" w14:textId="77777777" w:rsidR="006C4AD8" w:rsidRDefault="006C4AD8" w:rsidP="006C4AD8">
      <w:pPr>
        <w:pStyle w:val="NoSpacing"/>
        <w:rPr>
          <w:rFonts w:ascii="Times New Roman" w:hAnsi="Times New Roman"/>
          <w:sz w:val="24"/>
          <w:szCs w:val="24"/>
          <w:shd w:val="clear" w:color="auto" w:fill="FFFFFF"/>
        </w:rPr>
      </w:pPr>
    </w:p>
    <w:p w14:paraId="5F53CD2D" w14:textId="77777777" w:rsidR="006C4AD8" w:rsidRDefault="006C4AD8" w:rsidP="006C4AD8">
      <w:pPr>
        <w:pStyle w:val="NoSpacing"/>
        <w:rPr>
          <w:rFonts w:ascii="Times New Roman" w:hAnsi="Times New Roman"/>
          <w:sz w:val="24"/>
          <w:szCs w:val="24"/>
        </w:rPr>
      </w:pPr>
    </w:p>
    <w:p w14:paraId="2CF32D70" w14:textId="77777777" w:rsidR="006C4AD8" w:rsidRDefault="006C4AD8" w:rsidP="006C4AD8">
      <w:pPr>
        <w:pStyle w:val="NoSpacing"/>
        <w:rPr>
          <w:rFonts w:ascii="Times New Roman" w:hAnsi="Times New Roman"/>
          <w:sz w:val="24"/>
          <w:szCs w:val="24"/>
        </w:rPr>
      </w:pPr>
    </w:p>
    <w:p w14:paraId="1ED1FA8F" w14:textId="0B56C466" w:rsidR="0060031B" w:rsidRPr="0060031B" w:rsidRDefault="0060031B" w:rsidP="006C4AD8">
      <w:pPr>
        <w:pStyle w:val="NormalWeb"/>
        <w:spacing w:before="0" w:beforeAutospacing="0"/>
        <w:rPr>
          <w:rFonts w:ascii="Arial Black" w:hAnsi="Arial Black"/>
          <w:b/>
          <w:bCs/>
        </w:rPr>
      </w:pPr>
      <w:r w:rsidRPr="0060031B">
        <w:rPr>
          <w:rFonts w:ascii="Arial Black" w:hAnsi="Arial Black"/>
          <w:b/>
          <w:bCs/>
        </w:rPr>
        <w:t>6-1</w:t>
      </w:r>
      <w:r w:rsidR="00D11FBB">
        <w:rPr>
          <w:rFonts w:ascii="Arial Black" w:hAnsi="Arial Black"/>
          <w:b/>
          <w:bCs/>
        </w:rPr>
        <w:t>2</w:t>
      </w:r>
      <w:r w:rsidR="002A0697">
        <w:rPr>
          <w:rFonts w:ascii="Arial Black" w:hAnsi="Arial Black"/>
          <w:b/>
          <w:bCs/>
        </w:rPr>
        <w:t>8</w:t>
      </w:r>
    </w:p>
    <w:p w14:paraId="3CDF6C58" w14:textId="1D77FA81" w:rsidR="006C4AD8" w:rsidRDefault="006C4AD8" w:rsidP="006C4AD8">
      <w:pPr>
        <w:pStyle w:val="NormalWeb"/>
        <w:spacing w:before="0" w:beforeAutospacing="0"/>
        <w:rPr>
          <w:rFonts w:ascii="Arial Black" w:hAnsi="Arial Black"/>
          <w:sz w:val="28"/>
          <w:szCs w:val="28"/>
        </w:rPr>
      </w:pPr>
      <w:r>
        <w:rPr>
          <w:rFonts w:ascii="Arial Black" w:hAnsi="Arial Black"/>
          <w:sz w:val="28"/>
          <w:szCs w:val="28"/>
        </w:rPr>
        <w:t>WI: PART-TIME CAPTAIN LOST TITLE – ALL OFFICERS MUST APPROVED COMMISSION - DUE PROCESS CASE PROCEED</w:t>
      </w:r>
    </w:p>
    <w:p w14:paraId="624C2DFB" w14:textId="77777777" w:rsidR="006C4AD8" w:rsidRDefault="006C4AD8" w:rsidP="006C4AD8">
      <w:pPr>
        <w:pStyle w:val="NormalWeb"/>
        <w:spacing w:before="0" w:beforeAutospacing="0"/>
      </w:pPr>
      <w:r>
        <w:lastRenderedPageBreak/>
        <w:t xml:space="preserve">On March 20, 2024, in </w:t>
      </w:r>
      <w:r w:rsidRPr="008A4F1E">
        <w:rPr>
          <w:u w:val="single"/>
        </w:rPr>
        <w:t>Richard Haffner v. Joshua Bell, The City of New Richmond, et al.</w:t>
      </w:r>
      <w:r>
        <w:t xml:space="preserve">, United States District Court Judge James D. Peterson, U.S. District Court for Western District of Wisconsin, held that Fire Chief Joshua Bell is dismissed since he enjoys qualified immunity, the part-time Captain was denied due process in loss of his rank. </w:t>
      </w:r>
    </w:p>
    <w:p w14:paraId="468119D8"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6E1D770" w14:textId="77777777" w:rsidR="003956F7" w:rsidRDefault="003956F7" w:rsidP="006C4AD8">
      <w:pPr>
        <w:pStyle w:val="NormalWeb"/>
        <w:spacing w:before="0" w:beforeAutospacing="0"/>
        <w:ind w:left="720"/>
      </w:pPr>
    </w:p>
    <w:p w14:paraId="1F8CD100" w14:textId="7A165C5A" w:rsidR="006C4AD8" w:rsidRDefault="006C4AD8" w:rsidP="006C4AD8">
      <w:pPr>
        <w:pStyle w:val="NormalWeb"/>
        <w:spacing w:before="0" w:beforeAutospacing="0"/>
        <w:ind w:left="720"/>
      </w:pPr>
      <w:r>
        <w:t xml:space="preserve">“For years, the City of New Richmond elected the subordinate officers in its fire department without the formal approval of the city's Police and Fire Commission. This process did not conform to state law. In 2021, the city brought its promotion practices into compliance, and it authorized its fire chief, defendant Joshua Bell, to start fresh with a new slate of officers. Plaintiff Richard Haffner is a part-time firefighter with the department. At the time of the change in promotion practice, he was a captain and the health and safety officer. But he was not among those whom Bell chose as new officers. Haffner contends that defendants demoted him from his officer positions without providing </w:t>
      </w:r>
      <w:proofErr w:type="gramStart"/>
      <w:r>
        <w:t>him</w:t>
      </w:r>
      <w:proofErr w:type="gramEnd"/>
      <w:r>
        <w:t xml:space="preserve"> the procedural protection he was due under state law, violating his right to due process under the Fourteenth Amendment.</w:t>
      </w:r>
    </w:p>
    <w:p w14:paraId="783AA62B" w14:textId="77777777" w:rsidR="006C4AD8" w:rsidRPr="004628C1" w:rsidRDefault="006C4AD8" w:rsidP="006C4AD8">
      <w:pPr>
        <w:pStyle w:val="NormalWeb"/>
        <w:spacing w:before="0" w:beforeAutospacing="0"/>
        <w:ind w:left="720"/>
        <w:rPr>
          <w:rFonts w:ascii="Arial Black" w:hAnsi="Arial Black"/>
          <w:sz w:val="28"/>
          <w:szCs w:val="28"/>
        </w:rPr>
      </w:pPr>
      <w:r>
        <w:t>***</w:t>
      </w:r>
    </w:p>
    <w:p w14:paraId="7D05B029" w14:textId="77777777" w:rsidR="006C4AD8" w:rsidRDefault="006C4AD8" w:rsidP="006C4AD8">
      <w:pPr>
        <w:ind w:left="720"/>
        <w:rPr>
          <w:rFonts w:ascii="Times New Roman" w:hAnsi="Times New Roman"/>
          <w:sz w:val="24"/>
          <w:szCs w:val="24"/>
        </w:rPr>
      </w:pPr>
      <w:r w:rsidRPr="004628C1">
        <w:rPr>
          <w:rFonts w:ascii="Times New Roman" w:hAnsi="Times New Roman"/>
          <w:sz w:val="24"/>
          <w:szCs w:val="24"/>
        </w:rPr>
        <w:t xml:space="preserve">Under </w:t>
      </w:r>
      <w:proofErr w:type="gramStart"/>
      <w:r w:rsidRPr="004628C1">
        <w:rPr>
          <w:rStyle w:val="Emphasis"/>
          <w:rFonts w:ascii="Times New Roman" w:hAnsi="Times New Roman"/>
          <w:sz w:val="24"/>
          <w:szCs w:val="24"/>
        </w:rPr>
        <w:t>Loudermill</w:t>
      </w:r>
      <w:r w:rsidRPr="004628C1">
        <w:rPr>
          <w:rFonts w:ascii="Times New Roman" w:hAnsi="Times New Roman"/>
          <w:sz w:val="24"/>
          <w:szCs w:val="24"/>
        </w:rPr>
        <w:t xml:space="preserve">, </w:t>
      </w:r>
      <w:r>
        <w:rPr>
          <w:rFonts w:ascii="Times New Roman" w:hAnsi="Times New Roman"/>
          <w:sz w:val="24"/>
          <w:szCs w:val="24"/>
        </w:rPr>
        <w:t>‘</w:t>
      </w:r>
      <w:proofErr w:type="gramEnd"/>
      <w:r w:rsidRPr="004628C1">
        <w:rPr>
          <w:rFonts w:ascii="Times New Roman" w:hAnsi="Times New Roman"/>
          <w:sz w:val="24"/>
          <w:szCs w:val="24"/>
        </w:rPr>
        <w:t xml:space="preserve">some kind of </w:t>
      </w:r>
      <w:proofErr w:type="gramStart"/>
      <w:r w:rsidRPr="004628C1">
        <w:rPr>
          <w:rFonts w:ascii="Times New Roman" w:hAnsi="Times New Roman"/>
          <w:sz w:val="24"/>
          <w:szCs w:val="24"/>
        </w:rPr>
        <w:t>a hearing</w:t>
      </w:r>
      <w:r>
        <w:rPr>
          <w:rFonts w:ascii="Times New Roman" w:hAnsi="Times New Roman"/>
          <w:sz w:val="24"/>
          <w:szCs w:val="24"/>
        </w:rPr>
        <w:t>’</w:t>
      </w:r>
      <w:proofErr w:type="gramEnd"/>
      <w:r w:rsidRPr="004628C1">
        <w:rPr>
          <w:rFonts w:ascii="Times New Roman" w:hAnsi="Times New Roman"/>
          <w:sz w:val="24"/>
          <w:szCs w:val="24"/>
        </w:rPr>
        <w:t xml:space="preserve"> is required before discharging an employee with a property interest. 470 U.S. at 542. The court need not define the minimum procedural requirement here other than to say that it is more than the nothing that Haffner got.</w:t>
      </w:r>
    </w:p>
    <w:p w14:paraId="5E440E80" w14:textId="77777777" w:rsidR="006C4AD8" w:rsidRDefault="006C4AD8" w:rsidP="006C4AD8">
      <w:pPr>
        <w:ind w:left="720"/>
        <w:rPr>
          <w:rFonts w:ascii="Times New Roman" w:hAnsi="Times New Roman"/>
          <w:sz w:val="24"/>
          <w:szCs w:val="24"/>
        </w:rPr>
      </w:pPr>
      <w:r>
        <w:rPr>
          <w:rFonts w:ascii="Times New Roman" w:hAnsi="Times New Roman"/>
          <w:sz w:val="24"/>
          <w:szCs w:val="24"/>
        </w:rPr>
        <w:t>***</w:t>
      </w:r>
    </w:p>
    <w:p w14:paraId="73ED3D35" w14:textId="77777777" w:rsidR="006C4AD8" w:rsidRPr="00F803ED" w:rsidRDefault="006C4AD8" w:rsidP="006C4AD8">
      <w:pPr>
        <w:ind w:left="720"/>
        <w:rPr>
          <w:rFonts w:ascii="Times New Roman" w:hAnsi="Times New Roman"/>
          <w:sz w:val="24"/>
          <w:szCs w:val="24"/>
        </w:rPr>
      </w:pPr>
      <w:r>
        <w:t> </w:t>
      </w:r>
      <w:r w:rsidRPr="006B660C">
        <w:rPr>
          <w:rFonts w:ascii="Times New Roman" w:hAnsi="Times New Roman"/>
          <w:sz w:val="24"/>
          <w:szCs w:val="24"/>
        </w:rPr>
        <w:t>Defendants' argument is based on a statutory interpretation. In essence, defendants contend that the statutory protections in § 62.13(5)(</w:t>
      </w:r>
      <w:proofErr w:type="spellStart"/>
      <w:r w:rsidRPr="006B660C">
        <w:rPr>
          <w:rFonts w:ascii="Times New Roman" w:hAnsi="Times New Roman"/>
          <w:sz w:val="24"/>
          <w:szCs w:val="24"/>
        </w:rPr>
        <w:t>em</w:t>
      </w:r>
      <w:proofErr w:type="spellEnd"/>
      <w:r w:rsidRPr="006B660C">
        <w:rPr>
          <w:rFonts w:ascii="Times New Roman" w:hAnsi="Times New Roman"/>
          <w:sz w:val="24"/>
          <w:szCs w:val="24"/>
        </w:rPr>
        <w:t xml:space="preserve">) are available only to officers whose hiring or promotion was approved by the commission, as required by § 62.13(4)(a). Nothing in the text of the statute supports </w:t>
      </w:r>
      <w:proofErr w:type="gramStart"/>
      <w:r w:rsidRPr="006B660C">
        <w:rPr>
          <w:rFonts w:ascii="Times New Roman" w:hAnsi="Times New Roman"/>
          <w:sz w:val="24"/>
          <w:szCs w:val="24"/>
        </w:rPr>
        <w:t>such a</w:t>
      </w:r>
      <w:proofErr w:type="gramEnd"/>
      <w:r w:rsidRPr="006B660C">
        <w:rPr>
          <w:rFonts w:ascii="Times New Roman" w:hAnsi="Times New Roman"/>
          <w:sz w:val="24"/>
          <w:szCs w:val="24"/>
        </w:rPr>
        <w:t xml:space="preserve"> reading. And this interpretation would allow a municipality to avoid affording job protection to its firefighters and law enforcement officers simply by withholding commission approval of their hiring and promotion. This is an absurd result that frustrates the purpose of the statute, so the court must reject the defendants' interpretation.</w:t>
      </w:r>
      <w:r>
        <w:rPr>
          <w:rFonts w:ascii="Times New Roman" w:hAnsi="Times New Roman"/>
          <w:sz w:val="24"/>
          <w:szCs w:val="24"/>
        </w:rPr>
        <w:t xml:space="preserve">” </w:t>
      </w:r>
      <w:hyperlink r:id="rId1120" w:history="1">
        <w:r w:rsidRPr="001C375D">
          <w:rPr>
            <w:rStyle w:val="Hyperlink"/>
            <w:rFonts w:ascii="Times New Roman" w:hAnsi="Times New Roman"/>
            <w:sz w:val="24"/>
            <w:szCs w:val="24"/>
          </w:rPr>
          <w:t>https://public.fastcase.com/H1P9uiW3J20SFp%2BGCG%2BxLTokB0aoklJy6U6lHfy%2FfW4XgHUeDnfzCtV2IraSxfBK?utm_medium=email&amp;_hsmi=226712652&amp;_hsenc=p2ANqtz-_gim38WUKhev0Avzaj483M_b7fed8rsJvlzMdOQbFB_Jpk5Z-</w:t>
        </w:r>
      </w:hyperlink>
      <w:r>
        <w:rPr>
          <w:rFonts w:ascii="Times New Roman" w:hAnsi="Times New Roman"/>
          <w:sz w:val="24"/>
          <w:szCs w:val="24"/>
        </w:rPr>
        <w:t xml:space="preserve"> </w:t>
      </w:r>
    </w:p>
    <w:p w14:paraId="28C92297" w14:textId="77777777" w:rsidR="0060031B" w:rsidRPr="00681787" w:rsidRDefault="0060031B" w:rsidP="0060031B">
      <w:pPr>
        <w:pStyle w:val="NormalWeb"/>
        <w:spacing w:before="0" w:beforeAutospacing="0"/>
        <w:rPr>
          <w:b/>
          <w:bCs/>
        </w:rPr>
      </w:pPr>
      <w:r>
        <w:rPr>
          <w:b/>
          <w:bCs/>
        </w:rPr>
        <w:t>Legal Lesson Learned: Provide due process (such as a hearing before Commission) before removing officer’s title.</w:t>
      </w:r>
    </w:p>
    <w:p w14:paraId="6F882CA7" w14:textId="77777777" w:rsidR="006C4AD8" w:rsidRDefault="006C4AD8" w:rsidP="00EF1133">
      <w:pPr>
        <w:rPr>
          <w:rFonts w:ascii="Arial Black" w:hAnsi="Arial Black"/>
          <w:b/>
          <w:sz w:val="24"/>
          <w:szCs w:val="24"/>
        </w:rPr>
      </w:pPr>
    </w:p>
    <w:p w14:paraId="0E390E3B" w14:textId="373D02EC" w:rsidR="00AD7949" w:rsidRDefault="00AD7949" w:rsidP="00EF1133">
      <w:pPr>
        <w:rPr>
          <w:rFonts w:ascii="Arial Black" w:hAnsi="Arial Black"/>
          <w:b/>
          <w:sz w:val="24"/>
          <w:szCs w:val="24"/>
        </w:rPr>
      </w:pPr>
      <w:r>
        <w:rPr>
          <w:rFonts w:ascii="Arial Black" w:hAnsi="Arial Black"/>
          <w:b/>
          <w:sz w:val="24"/>
          <w:szCs w:val="24"/>
        </w:rPr>
        <w:t>6-12</w:t>
      </w:r>
      <w:r w:rsidR="002A0697">
        <w:rPr>
          <w:rFonts w:ascii="Arial Black" w:hAnsi="Arial Black"/>
          <w:b/>
          <w:sz w:val="24"/>
          <w:szCs w:val="24"/>
        </w:rPr>
        <w:t>7</w:t>
      </w:r>
    </w:p>
    <w:p w14:paraId="037D73FF" w14:textId="77777777" w:rsidR="00C42282" w:rsidRPr="00461960" w:rsidRDefault="00C42282" w:rsidP="00C42282">
      <w:pPr>
        <w:pStyle w:val="NormalWeb"/>
        <w:rPr>
          <w:rFonts w:ascii="Arial Black" w:hAnsi="Arial Black"/>
          <w:b/>
          <w:bCs/>
          <w:sz w:val="28"/>
          <w:szCs w:val="28"/>
        </w:rPr>
      </w:pPr>
      <w:r>
        <w:rPr>
          <w:rFonts w:ascii="Arial Black" w:hAnsi="Arial Black"/>
          <w:b/>
          <w:bCs/>
          <w:sz w:val="28"/>
          <w:szCs w:val="28"/>
        </w:rPr>
        <w:t>NY: FDNY FF – ALLERGIC REACTION TO COVID 2</w:t>
      </w:r>
      <w:r w:rsidRPr="00D16292">
        <w:rPr>
          <w:rFonts w:ascii="Arial Black" w:hAnsi="Arial Black"/>
          <w:b/>
          <w:bCs/>
          <w:sz w:val="28"/>
          <w:szCs w:val="28"/>
          <w:vertAlign w:val="superscript"/>
        </w:rPr>
        <w:t>ND</w:t>
      </w:r>
      <w:r>
        <w:rPr>
          <w:rFonts w:ascii="Arial Black" w:hAnsi="Arial Black"/>
          <w:b/>
          <w:bCs/>
          <w:sz w:val="28"/>
          <w:szCs w:val="28"/>
        </w:rPr>
        <w:t xml:space="preserve"> SHOT – FORCED RETIRE – NOT “ACCIDENTAL” DISAB. RETIREMENT</w:t>
      </w:r>
    </w:p>
    <w:p w14:paraId="7ED7C0D8" w14:textId="77777777" w:rsidR="00C42282" w:rsidRDefault="00C42282" w:rsidP="00C42282">
      <w:pPr>
        <w:pStyle w:val="NormalWeb"/>
      </w:pPr>
      <w:r w:rsidRPr="008E4A59">
        <w:t xml:space="preserve">On Feb. 12, 2024, in </w:t>
      </w:r>
      <w:r w:rsidRPr="00BB0CE6">
        <w:rPr>
          <w:u w:val="single"/>
        </w:rPr>
        <w:t>O'Brian Pastran v. New York City Fire Pension Fund</w:t>
      </w:r>
      <w:r>
        <w:t xml:space="preserve">, Judge Arlene P. Bluth, Supreme Court, New York County, held that two Medical Boards voted to award the firefighter “ordinary” disability retirement, not accidental (75%) and there in not sufficient medical basis to reverse the Boards decision.  </w:t>
      </w:r>
    </w:p>
    <w:p w14:paraId="360E1C0D" w14:textId="77777777" w:rsidR="00C42282" w:rsidRPr="008E4A59" w:rsidRDefault="00C42282" w:rsidP="00C42282">
      <w:pPr>
        <w:pStyle w:val="NormalWeb"/>
      </w:pPr>
      <w:r>
        <w:lastRenderedPageBreak/>
        <w:t>The Judge held:</w:t>
      </w:r>
    </w:p>
    <w:p w14:paraId="5656E2AE" w14:textId="77777777" w:rsidR="00C42282" w:rsidRDefault="00C42282" w:rsidP="00C42282">
      <w:pPr>
        <w:ind w:left="720"/>
        <w:rPr>
          <w:rFonts w:ascii="Times New Roman" w:hAnsi="Times New Roman"/>
          <w:sz w:val="24"/>
          <w:szCs w:val="24"/>
        </w:rPr>
      </w:pPr>
      <w:r>
        <w:rPr>
          <w:rFonts w:ascii="Times New Roman" w:hAnsi="Times New Roman"/>
          <w:sz w:val="24"/>
          <w:szCs w:val="24"/>
        </w:rPr>
        <w:t>“</w:t>
      </w:r>
      <w:r w:rsidRPr="00461960">
        <w:rPr>
          <w:rFonts w:ascii="Times New Roman" w:hAnsi="Times New Roman"/>
          <w:sz w:val="24"/>
          <w:szCs w:val="24"/>
        </w:rPr>
        <w:t>Although it appears the Board of Trustees seriously considered granting petitioner ADR, petitioner unfortunately did not prevail in the final vote. That this Court may have significant admiration for petitioner's many years of service for the FDNY and compassion for his current physical ailments is not a sufficient basis upon which this Court can substitute its own judgment for that of respondents.</w:t>
      </w:r>
      <w:r>
        <w:rPr>
          <w:rFonts w:ascii="Times New Roman" w:hAnsi="Times New Roman"/>
          <w:sz w:val="24"/>
          <w:szCs w:val="24"/>
        </w:rPr>
        <w:t xml:space="preserve">” </w:t>
      </w:r>
      <w:hyperlink r:id="rId1121" w:history="1">
        <w:r w:rsidRPr="00644350">
          <w:rPr>
            <w:rStyle w:val="Hyperlink"/>
            <w:rFonts w:ascii="Times New Roman" w:hAnsi="Times New Roman"/>
            <w:sz w:val="24"/>
            <w:szCs w:val="24"/>
          </w:rPr>
          <w:t>https://casetext.com/case/pastrana-v-nyc-fire-pension-fund</w:t>
        </w:r>
      </w:hyperlink>
      <w:r>
        <w:rPr>
          <w:rFonts w:ascii="Times New Roman" w:hAnsi="Times New Roman"/>
          <w:sz w:val="24"/>
          <w:szCs w:val="24"/>
        </w:rPr>
        <w:t xml:space="preserve"> </w:t>
      </w:r>
    </w:p>
    <w:p w14:paraId="2C907A06" w14:textId="77777777" w:rsidR="00C42282" w:rsidRDefault="00C42282" w:rsidP="00C42282">
      <w:pPr>
        <w:pStyle w:val="NormalWeb"/>
      </w:pPr>
      <w:r w:rsidRPr="00195947">
        <w:rPr>
          <w:b/>
          <w:bCs/>
        </w:rPr>
        <w:t>Legal Lesson Learned:</w:t>
      </w:r>
      <w:r>
        <w:rPr>
          <w:b/>
          <w:bCs/>
        </w:rPr>
        <w:t xml:space="preserve"> To receive accidental disability retirement (75%), the firefighter must prove he became permanently incapacitated (physically or mentally) as result of an on-the-job accident not due to his willful negligence. </w:t>
      </w:r>
      <w:hyperlink r:id="rId1122" w:history="1">
        <w:r w:rsidRPr="00E8503C">
          <w:rPr>
            <w:rStyle w:val="Hyperlink"/>
          </w:rPr>
          <w:t>https://www.osc.ny.gov/retirement/publications/1512/accidental-disability</w:t>
        </w:r>
      </w:hyperlink>
      <w:r w:rsidRPr="00E8503C">
        <w:t xml:space="preserve"> </w:t>
      </w:r>
    </w:p>
    <w:p w14:paraId="38556BD6" w14:textId="77777777" w:rsidR="00C42282" w:rsidRDefault="00C42282" w:rsidP="00EF1133">
      <w:pPr>
        <w:rPr>
          <w:rFonts w:ascii="Arial Black" w:hAnsi="Arial Black"/>
          <w:b/>
          <w:sz w:val="24"/>
          <w:szCs w:val="24"/>
        </w:rPr>
      </w:pPr>
    </w:p>
    <w:p w14:paraId="63B478E1" w14:textId="77777777" w:rsidR="00AD7949" w:rsidRDefault="00AD7949" w:rsidP="00EF1133">
      <w:pPr>
        <w:rPr>
          <w:rFonts w:ascii="Arial Black" w:hAnsi="Arial Black"/>
          <w:b/>
          <w:sz w:val="24"/>
          <w:szCs w:val="24"/>
        </w:rPr>
      </w:pPr>
    </w:p>
    <w:p w14:paraId="43F9A71C" w14:textId="29BFB144" w:rsidR="00D73F92" w:rsidRDefault="00D73F92" w:rsidP="00EF1133">
      <w:pPr>
        <w:rPr>
          <w:rFonts w:ascii="Arial Black" w:hAnsi="Arial Black"/>
          <w:b/>
          <w:sz w:val="24"/>
          <w:szCs w:val="24"/>
        </w:rPr>
      </w:pPr>
      <w:r>
        <w:rPr>
          <w:rFonts w:ascii="Arial Black" w:hAnsi="Arial Black"/>
          <w:b/>
          <w:sz w:val="24"/>
          <w:szCs w:val="24"/>
        </w:rPr>
        <w:t>6-12</w:t>
      </w:r>
      <w:r w:rsidR="002A0697">
        <w:rPr>
          <w:rFonts w:ascii="Arial Black" w:hAnsi="Arial Black"/>
          <w:b/>
          <w:sz w:val="24"/>
          <w:szCs w:val="24"/>
        </w:rPr>
        <w:t>6</w:t>
      </w:r>
    </w:p>
    <w:p w14:paraId="07C0FC7C" w14:textId="77777777" w:rsidR="00255984" w:rsidRDefault="00255984" w:rsidP="00255984">
      <w:pPr>
        <w:pStyle w:val="NoSpacing"/>
        <w:rPr>
          <w:rFonts w:ascii="Arial Black" w:hAnsi="Arial Black"/>
          <w:sz w:val="28"/>
          <w:szCs w:val="28"/>
        </w:rPr>
      </w:pPr>
      <w:r>
        <w:rPr>
          <w:rFonts w:ascii="Arial Black" w:hAnsi="Arial Black"/>
          <w:sz w:val="28"/>
          <w:szCs w:val="28"/>
        </w:rPr>
        <w:t>VA: FF FRACTURED HIP 2014 – SCREWS – 6 YRS LATER TOTAL HIP – DENIED TEMP. TOTAL / PERM. IMPAIRMENT</w:t>
      </w:r>
    </w:p>
    <w:p w14:paraId="11A2CB62" w14:textId="77777777" w:rsidR="00255984" w:rsidRDefault="00255984" w:rsidP="00255984">
      <w:pPr>
        <w:pStyle w:val="NoSpacing"/>
        <w:rPr>
          <w:rFonts w:ascii="Arial Black" w:hAnsi="Arial Black"/>
          <w:sz w:val="28"/>
          <w:szCs w:val="28"/>
        </w:rPr>
      </w:pPr>
    </w:p>
    <w:p w14:paraId="2D613A21" w14:textId="77777777" w:rsidR="00255984" w:rsidRDefault="00255984" w:rsidP="00255984">
      <w:pPr>
        <w:pStyle w:val="NoSpacing"/>
        <w:rPr>
          <w:rFonts w:ascii="Times New Roman" w:hAnsi="Times New Roman"/>
          <w:sz w:val="24"/>
          <w:szCs w:val="24"/>
        </w:rPr>
      </w:pPr>
      <w:r>
        <w:rPr>
          <w:rFonts w:ascii="Times New Roman" w:hAnsi="Times New Roman"/>
          <w:sz w:val="24"/>
          <w:szCs w:val="24"/>
        </w:rPr>
        <w:t xml:space="preserve">On Jan. 30, 2024, in </w:t>
      </w:r>
      <w:r w:rsidRPr="00A14439">
        <w:rPr>
          <w:rFonts w:ascii="Times New Roman" w:hAnsi="Times New Roman"/>
          <w:sz w:val="24"/>
          <w:szCs w:val="24"/>
          <w:u w:val="single"/>
        </w:rPr>
        <w:t>Joshua Stanton v. Virginia Beach – Fire Operations</w:t>
      </w:r>
      <w:r>
        <w:rPr>
          <w:rFonts w:ascii="Times New Roman" w:hAnsi="Times New Roman"/>
          <w:sz w:val="24"/>
          <w:szCs w:val="24"/>
        </w:rPr>
        <w:t xml:space="preserve">, the Court of Appeals of Virginia, held (3 to 0) that Virginia Worker’s Compensation Commission properly held that the firefighter was not entitled to temporary total and permanent impairment coverage for a “changed condition.”  On Aug. 30, </w:t>
      </w:r>
      <w:proofErr w:type="gramStart"/>
      <w:r>
        <w:rPr>
          <w:rFonts w:ascii="Times New Roman" w:hAnsi="Times New Roman"/>
          <w:sz w:val="24"/>
          <w:szCs w:val="24"/>
        </w:rPr>
        <w:t>2014</w:t>
      </w:r>
      <w:proofErr w:type="gramEnd"/>
      <w:r>
        <w:rPr>
          <w:rFonts w:ascii="Times New Roman" w:hAnsi="Times New Roman"/>
          <w:sz w:val="24"/>
          <w:szCs w:val="24"/>
        </w:rPr>
        <w:t xml:space="preserve"> he fractured his hip on duty (3 screws), and </w:t>
      </w:r>
      <w:proofErr w:type="gramStart"/>
      <w:r>
        <w:rPr>
          <w:rFonts w:ascii="Times New Roman" w:hAnsi="Times New Roman"/>
          <w:sz w:val="24"/>
          <w:szCs w:val="24"/>
        </w:rPr>
        <w:t>returned</w:t>
      </w:r>
      <w:proofErr w:type="gramEnd"/>
      <w:r>
        <w:rPr>
          <w:rFonts w:ascii="Times New Roman" w:hAnsi="Times New Roman"/>
          <w:sz w:val="24"/>
          <w:szCs w:val="24"/>
        </w:rPr>
        <w:t xml:space="preserve"> full duty Sept. 2015.  He then worked full duty for net six </w:t>
      </w:r>
      <w:proofErr w:type="gramStart"/>
      <w:r>
        <w:rPr>
          <w:rFonts w:ascii="Times New Roman" w:hAnsi="Times New Roman"/>
          <w:sz w:val="24"/>
          <w:szCs w:val="24"/>
        </w:rPr>
        <w:t>year</w:t>
      </w:r>
      <w:proofErr w:type="gramEnd"/>
      <w:r>
        <w:rPr>
          <w:rFonts w:ascii="Times New Roman" w:hAnsi="Times New Roman"/>
          <w:sz w:val="24"/>
          <w:szCs w:val="24"/>
        </w:rPr>
        <w:t>, until he needed total hip replacement Aug. 31, 2021; on light duty until returned full duty Nov. 2021.  The Court agreed with the Commission - his claim for t</w:t>
      </w:r>
      <w:r w:rsidRPr="005A7E8F">
        <w:rPr>
          <w:rFonts w:ascii="Times New Roman" w:hAnsi="Times New Roman"/>
          <w:sz w:val="24"/>
          <w:szCs w:val="24"/>
        </w:rPr>
        <w:t xml:space="preserve">emporary total disability and permanent impairment </w:t>
      </w:r>
      <w:r>
        <w:rPr>
          <w:rFonts w:ascii="Times New Roman" w:hAnsi="Times New Roman"/>
          <w:sz w:val="24"/>
          <w:szCs w:val="24"/>
        </w:rPr>
        <w:t xml:space="preserve">were </w:t>
      </w:r>
      <w:r w:rsidRPr="005A7E8F">
        <w:rPr>
          <w:rFonts w:ascii="Times New Roman" w:hAnsi="Times New Roman"/>
          <w:sz w:val="24"/>
          <w:szCs w:val="24"/>
        </w:rPr>
        <w:t>untimely</w:t>
      </w:r>
      <w:r>
        <w:rPr>
          <w:rFonts w:ascii="Times New Roman" w:hAnsi="Times New Roman"/>
          <w:sz w:val="24"/>
          <w:szCs w:val="24"/>
        </w:rPr>
        <w:t xml:space="preserve"> since not made with two </w:t>
      </w:r>
      <w:proofErr w:type="gramStart"/>
      <w:r>
        <w:rPr>
          <w:rFonts w:ascii="Times New Roman" w:hAnsi="Times New Roman"/>
          <w:sz w:val="24"/>
          <w:szCs w:val="24"/>
        </w:rPr>
        <w:t>year</w:t>
      </w:r>
      <w:proofErr w:type="gramEnd"/>
      <w:r>
        <w:rPr>
          <w:rFonts w:ascii="Times New Roman" w:hAnsi="Times New Roman"/>
          <w:sz w:val="24"/>
          <w:szCs w:val="24"/>
        </w:rPr>
        <w:t xml:space="preserve"> of last </w:t>
      </w:r>
      <w:proofErr w:type="gramStart"/>
      <w:r>
        <w:rPr>
          <w:rFonts w:ascii="Times New Roman" w:hAnsi="Times New Roman"/>
          <w:sz w:val="24"/>
          <w:szCs w:val="24"/>
        </w:rPr>
        <w:t>workers</w:t>
      </w:r>
      <w:proofErr w:type="gramEnd"/>
      <w:r>
        <w:rPr>
          <w:rFonts w:ascii="Times New Roman" w:hAnsi="Times New Roman"/>
          <w:sz w:val="24"/>
          <w:szCs w:val="24"/>
        </w:rPr>
        <w:t xml:space="preserve"> comp payment (six years prior).</w:t>
      </w:r>
    </w:p>
    <w:p w14:paraId="05FFE16D" w14:textId="77777777" w:rsidR="00255984" w:rsidRDefault="00255984" w:rsidP="00255984">
      <w:pPr>
        <w:pStyle w:val="NoSpacing"/>
        <w:rPr>
          <w:rFonts w:ascii="Times New Roman" w:hAnsi="Times New Roman"/>
          <w:sz w:val="24"/>
          <w:szCs w:val="24"/>
        </w:rPr>
      </w:pPr>
    </w:p>
    <w:p w14:paraId="4477D97B" w14:textId="77777777" w:rsidR="00255984" w:rsidRDefault="00255984" w:rsidP="00255984">
      <w:pPr>
        <w:pStyle w:val="NoSpacing"/>
        <w:ind w:left="720"/>
        <w:rPr>
          <w:rFonts w:ascii="Times New Roman" w:hAnsi="Times New Roman"/>
          <w:sz w:val="24"/>
          <w:szCs w:val="24"/>
        </w:rPr>
      </w:pPr>
      <w:r>
        <w:rPr>
          <w:rFonts w:ascii="Times New Roman" w:hAnsi="Times New Roman"/>
          <w:sz w:val="24"/>
          <w:szCs w:val="24"/>
        </w:rPr>
        <w:t>“T</w:t>
      </w:r>
      <w:r w:rsidRPr="00CB1BAF">
        <w:rPr>
          <w:rFonts w:ascii="Times New Roman" w:hAnsi="Times New Roman"/>
          <w:sz w:val="24"/>
          <w:szCs w:val="24"/>
        </w:rPr>
        <w:t>hus, September of 2015 was the last time that</w:t>
      </w:r>
      <w:r>
        <w:rPr>
          <w:rFonts w:ascii="Times New Roman" w:hAnsi="Times New Roman"/>
          <w:sz w:val="24"/>
          <w:szCs w:val="24"/>
        </w:rPr>
        <w:t xml:space="preserve"> </w:t>
      </w:r>
      <w:r w:rsidRPr="00CB1BAF">
        <w:rPr>
          <w:rFonts w:ascii="Times New Roman" w:hAnsi="Times New Roman"/>
          <w:sz w:val="24"/>
          <w:szCs w:val="24"/>
        </w:rPr>
        <w:t xml:space="preserve">Stanton received compensation </w:t>
      </w:r>
      <w:r>
        <w:rPr>
          <w:rFonts w:ascii="Times New Roman" w:hAnsi="Times New Roman"/>
          <w:sz w:val="24"/>
          <w:szCs w:val="24"/>
        </w:rPr>
        <w:t>‘</w:t>
      </w:r>
      <w:r w:rsidRPr="00CB1BAF">
        <w:rPr>
          <w:rFonts w:ascii="Times New Roman" w:hAnsi="Times New Roman"/>
          <w:sz w:val="24"/>
          <w:szCs w:val="24"/>
        </w:rPr>
        <w:t>pursuant to an award.</w:t>
      </w:r>
      <w:r>
        <w:rPr>
          <w:rFonts w:ascii="Times New Roman" w:hAnsi="Times New Roman"/>
          <w:sz w:val="24"/>
          <w:szCs w:val="24"/>
        </w:rPr>
        <w:t>’</w:t>
      </w:r>
      <w:r w:rsidRPr="00CB1BAF">
        <w:rPr>
          <w:rFonts w:ascii="Times New Roman" w:hAnsi="Times New Roman"/>
          <w:sz w:val="24"/>
          <w:szCs w:val="24"/>
        </w:rPr>
        <w:t xml:space="preserve"> As a result, the two-year statute of</w:t>
      </w:r>
      <w:r>
        <w:rPr>
          <w:rFonts w:ascii="Times New Roman" w:hAnsi="Times New Roman"/>
          <w:sz w:val="24"/>
          <w:szCs w:val="24"/>
        </w:rPr>
        <w:t xml:space="preserve"> </w:t>
      </w:r>
      <w:r w:rsidRPr="00CB1BAF">
        <w:rPr>
          <w:rFonts w:ascii="Times New Roman" w:hAnsi="Times New Roman"/>
          <w:sz w:val="24"/>
          <w:szCs w:val="24"/>
        </w:rPr>
        <w:t>limitations period under Code § 65.2-708(A) began in September of 2015, and any tolling of</w:t>
      </w:r>
      <w:r>
        <w:rPr>
          <w:rFonts w:ascii="Times New Roman" w:hAnsi="Times New Roman"/>
          <w:sz w:val="24"/>
          <w:szCs w:val="24"/>
        </w:rPr>
        <w:t xml:space="preserve"> </w:t>
      </w:r>
      <w:r w:rsidRPr="00CB1BAF">
        <w:rPr>
          <w:rFonts w:ascii="Times New Roman" w:hAnsi="Times New Roman"/>
          <w:sz w:val="24"/>
          <w:szCs w:val="24"/>
        </w:rPr>
        <w:t>subsection (A) due to the fulfillment of the conditions described in subsection (C) would need to</w:t>
      </w:r>
      <w:r>
        <w:rPr>
          <w:rFonts w:ascii="Times New Roman" w:hAnsi="Times New Roman"/>
          <w:sz w:val="24"/>
          <w:szCs w:val="24"/>
        </w:rPr>
        <w:t xml:space="preserve"> </w:t>
      </w:r>
      <w:r w:rsidRPr="00CB1BAF">
        <w:rPr>
          <w:rFonts w:ascii="Times New Roman" w:hAnsi="Times New Roman"/>
          <w:sz w:val="24"/>
          <w:szCs w:val="24"/>
        </w:rPr>
        <w:t>have occurred in the following 24 months. Since Stanton was not placed on light duty again until</w:t>
      </w:r>
      <w:r>
        <w:rPr>
          <w:rFonts w:ascii="Times New Roman" w:hAnsi="Times New Roman"/>
          <w:sz w:val="24"/>
          <w:szCs w:val="24"/>
        </w:rPr>
        <w:t xml:space="preserve"> </w:t>
      </w:r>
      <w:r w:rsidRPr="00CB1BAF">
        <w:rPr>
          <w:rFonts w:ascii="Times New Roman" w:hAnsi="Times New Roman"/>
          <w:sz w:val="24"/>
          <w:szCs w:val="24"/>
        </w:rPr>
        <w:t>six years later in October of 2021 after undergoing hip replacement surgery, he may have fulfilled</w:t>
      </w:r>
      <w:r>
        <w:rPr>
          <w:rFonts w:ascii="Times New Roman" w:hAnsi="Times New Roman"/>
          <w:sz w:val="24"/>
          <w:szCs w:val="24"/>
        </w:rPr>
        <w:t xml:space="preserve"> </w:t>
      </w:r>
      <w:r w:rsidRPr="00CB1BAF">
        <w:rPr>
          <w:rFonts w:ascii="Times New Roman" w:hAnsi="Times New Roman"/>
          <w:sz w:val="24"/>
          <w:szCs w:val="24"/>
        </w:rPr>
        <w:t>the conditions as expressed in subsection (C), but he did so outside of the statute of limitations of</w:t>
      </w:r>
      <w:r>
        <w:rPr>
          <w:rFonts w:ascii="Times New Roman" w:hAnsi="Times New Roman"/>
          <w:sz w:val="24"/>
          <w:szCs w:val="24"/>
        </w:rPr>
        <w:t xml:space="preserve"> </w:t>
      </w:r>
      <w:r w:rsidRPr="00CB1BAF">
        <w:rPr>
          <w:rFonts w:ascii="Times New Roman" w:hAnsi="Times New Roman"/>
          <w:sz w:val="24"/>
          <w:szCs w:val="24"/>
        </w:rPr>
        <w:t>subsection (A). Therefore, we find no error in the Commission’s finding and affirm the</w:t>
      </w:r>
      <w:r>
        <w:rPr>
          <w:rFonts w:ascii="Times New Roman" w:hAnsi="Times New Roman"/>
          <w:sz w:val="24"/>
          <w:szCs w:val="24"/>
        </w:rPr>
        <w:t xml:space="preserve"> </w:t>
      </w:r>
      <w:r w:rsidRPr="000E7188">
        <w:rPr>
          <w:rFonts w:ascii="Times New Roman" w:hAnsi="Times New Roman"/>
          <w:sz w:val="24"/>
          <w:szCs w:val="24"/>
        </w:rPr>
        <w:t>Commission’s decision</w:t>
      </w:r>
      <w:r>
        <w:rPr>
          <w:rFonts w:ascii="Times New Roman" w:hAnsi="Times New Roman"/>
          <w:sz w:val="24"/>
          <w:szCs w:val="24"/>
        </w:rPr>
        <w:t xml:space="preserve">.” </w:t>
      </w:r>
      <w:hyperlink r:id="rId1123" w:history="1">
        <w:r w:rsidRPr="00665549">
          <w:rPr>
            <w:rStyle w:val="Hyperlink"/>
            <w:rFonts w:ascii="Times New Roman" w:hAnsi="Times New Roman"/>
            <w:sz w:val="24"/>
            <w:szCs w:val="24"/>
          </w:rPr>
          <w:t>https://cases.justia.com/virginia/court-of-appeals-published/2024-0344-23-1.pdf?ts=1706633278</w:t>
        </w:r>
      </w:hyperlink>
      <w:r>
        <w:rPr>
          <w:rFonts w:ascii="Times New Roman" w:hAnsi="Times New Roman"/>
          <w:sz w:val="24"/>
          <w:szCs w:val="24"/>
        </w:rPr>
        <w:t xml:space="preserve"> </w:t>
      </w:r>
    </w:p>
    <w:p w14:paraId="4C187E9F" w14:textId="77777777" w:rsidR="00D73F92" w:rsidRDefault="00D73F92" w:rsidP="00EF1133">
      <w:pPr>
        <w:rPr>
          <w:rFonts w:ascii="Arial Black" w:hAnsi="Arial Black"/>
          <w:b/>
          <w:sz w:val="24"/>
          <w:szCs w:val="24"/>
        </w:rPr>
      </w:pPr>
    </w:p>
    <w:p w14:paraId="07C249E1" w14:textId="77777777" w:rsidR="00A763AF" w:rsidRPr="001662AE" w:rsidRDefault="00A763AF" w:rsidP="00A763AF">
      <w:pPr>
        <w:pStyle w:val="NoSpacing"/>
        <w:rPr>
          <w:rFonts w:ascii="Times New Roman" w:hAnsi="Times New Roman"/>
          <w:b/>
          <w:bCs/>
          <w:sz w:val="24"/>
          <w:szCs w:val="24"/>
        </w:rPr>
      </w:pPr>
      <w:r w:rsidRPr="001662AE">
        <w:rPr>
          <w:rFonts w:ascii="Times New Roman" w:hAnsi="Times New Roman"/>
          <w:b/>
          <w:bCs/>
          <w:sz w:val="24"/>
          <w:szCs w:val="24"/>
        </w:rPr>
        <w:t xml:space="preserve">Legal Lesson Learned: The parties agreed that if he had received a prosthesis in 2014, instead of three screws, then a “repair replacement” of the prosthesis in 2021 would have been covered. </w:t>
      </w:r>
    </w:p>
    <w:p w14:paraId="22254842" w14:textId="77777777" w:rsidR="000C0691" w:rsidRDefault="000C0691" w:rsidP="00EF1133">
      <w:pPr>
        <w:rPr>
          <w:rFonts w:ascii="Arial Black" w:hAnsi="Arial Black"/>
          <w:b/>
          <w:sz w:val="24"/>
          <w:szCs w:val="24"/>
        </w:rPr>
      </w:pPr>
    </w:p>
    <w:p w14:paraId="3FB7A6E0" w14:textId="77777777" w:rsidR="00D73F92" w:rsidRDefault="00D73F92" w:rsidP="00EF1133">
      <w:pPr>
        <w:rPr>
          <w:rFonts w:ascii="Arial Black" w:hAnsi="Arial Black"/>
          <w:b/>
          <w:sz w:val="24"/>
          <w:szCs w:val="24"/>
        </w:rPr>
      </w:pPr>
    </w:p>
    <w:p w14:paraId="54FAEB81" w14:textId="77777777" w:rsidR="00D73F92" w:rsidRDefault="00D73F92" w:rsidP="00EF1133">
      <w:pPr>
        <w:rPr>
          <w:rFonts w:ascii="Arial Black" w:hAnsi="Arial Black"/>
          <w:b/>
          <w:sz w:val="24"/>
          <w:szCs w:val="24"/>
        </w:rPr>
      </w:pPr>
    </w:p>
    <w:p w14:paraId="338BCD41" w14:textId="77777777" w:rsidR="002744EE" w:rsidRDefault="002744EE" w:rsidP="00EF1133">
      <w:pPr>
        <w:rPr>
          <w:rFonts w:ascii="Arial Black" w:hAnsi="Arial Black"/>
          <w:b/>
          <w:sz w:val="24"/>
          <w:szCs w:val="24"/>
        </w:rPr>
      </w:pPr>
    </w:p>
    <w:p w14:paraId="0E824F22" w14:textId="449FD04F" w:rsidR="00F33E0E" w:rsidRDefault="004668C7" w:rsidP="00EF1133">
      <w:pPr>
        <w:rPr>
          <w:rFonts w:ascii="Arial Black" w:hAnsi="Arial Black"/>
          <w:b/>
          <w:sz w:val="24"/>
          <w:szCs w:val="24"/>
        </w:rPr>
      </w:pPr>
      <w:r>
        <w:rPr>
          <w:rFonts w:ascii="Arial Black" w:hAnsi="Arial Black"/>
          <w:b/>
          <w:sz w:val="24"/>
          <w:szCs w:val="24"/>
        </w:rPr>
        <w:t>6-12</w:t>
      </w:r>
      <w:r w:rsidR="002A0697">
        <w:rPr>
          <w:rFonts w:ascii="Arial Black" w:hAnsi="Arial Black"/>
          <w:b/>
          <w:sz w:val="24"/>
          <w:szCs w:val="24"/>
        </w:rPr>
        <w:t>5</w:t>
      </w:r>
    </w:p>
    <w:p w14:paraId="7A744957" w14:textId="77777777" w:rsidR="00542190" w:rsidRDefault="00542190" w:rsidP="00542190">
      <w:pPr>
        <w:pStyle w:val="NormalWeb"/>
        <w:rPr>
          <w:rFonts w:ascii="Arial Black" w:hAnsi="Arial Black"/>
          <w:sz w:val="28"/>
          <w:szCs w:val="28"/>
        </w:rPr>
      </w:pPr>
      <w:r>
        <w:rPr>
          <w:rFonts w:ascii="Arial Black" w:hAnsi="Arial Black"/>
          <w:sz w:val="28"/>
          <w:szCs w:val="28"/>
        </w:rPr>
        <w:t xml:space="preserve">TN: PTSD - </w:t>
      </w:r>
      <w:r w:rsidRPr="003C4F4B">
        <w:rPr>
          <w:rFonts w:ascii="Arial Black" w:hAnsi="Arial Black"/>
          <w:sz w:val="28"/>
          <w:szCs w:val="28"/>
        </w:rPr>
        <w:t>CHATTANOOGA</w:t>
      </w:r>
      <w:r>
        <w:rPr>
          <w:rFonts w:ascii="Arial Black" w:hAnsi="Arial Black"/>
          <w:sz w:val="28"/>
          <w:szCs w:val="28"/>
        </w:rPr>
        <w:t xml:space="preserve"> – COURT ORDERS FIRE &amp; POLICE FUND GRANT FF JOB-RELATED DISAB. PENSION </w:t>
      </w:r>
    </w:p>
    <w:p w14:paraId="5A2E8631" w14:textId="77777777" w:rsidR="00542190" w:rsidRDefault="00542190" w:rsidP="00542190">
      <w:pPr>
        <w:pStyle w:val="NormalWeb"/>
      </w:pPr>
      <w:r>
        <w:t xml:space="preserve">On Dec. 18, 2023, in </w:t>
      </w:r>
      <w:r w:rsidRPr="001D0F2C">
        <w:rPr>
          <w:u w:val="single"/>
        </w:rPr>
        <w:t xml:space="preserve">Matthew Long v. Chattanooga Fire </w:t>
      </w:r>
      <w:proofErr w:type="gramStart"/>
      <w:r w:rsidRPr="001D0F2C">
        <w:rPr>
          <w:u w:val="single"/>
        </w:rPr>
        <w:t>And</w:t>
      </w:r>
      <w:proofErr w:type="gramEnd"/>
      <w:r w:rsidRPr="001D0F2C">
        <w:rPr>
          <w:u w:val="single"/>
        </w:rPr>
        <w:t xml:space="preserve"> Police Fund</w:t>
      </w:r>
      <w:r>
        <w:t>, the Court of Appeals of Tennessee held (3 to 0) that trial court judge properly ordered the Fund a job-</w:t>
      </w:r>
      <w:proofErr w:type="gramStart"/>
      <w:r>
        <w:t>related disability</w:t>
      </w:r>
      <w:proofErr w:type="gramEnd"/>
      <w:r>
        <w:t xml:space="preserve"> pension for firefighter’s PTSD. Board’s policy requiring proof of “undesigned and unexpected” traumatic event makes it impossible for most fire and police to receive pension. The Court wrote: “The Policy provides that an applicant can only obtain benefits for a job-related disability based on PTSD if the disability “is a direct result of a traumatic event that is . . . b. undesigned and unexpected[.]” However, the Policy makes no effort to define the term ‘unexpected,’ nor is that term defined in any controlling legal authority or caselaw. As a result, this portion of the Policy is ambiguous.  *** Here, “unexpected” is not defined in the Plan, and there is no binding Tennessee caselaw construing a similar plan provision. Yet, the Fund essentially argues that the term “unexpected” should be construed to mean that the event giving rise to benefits is entirely unforeseeable.” *** Accordingly, the Board relied on an undefined, ambiguous term in the Plan to deny Long’s benefits and then offered no explanation as to its reasoning. Inasmuch as the Board construed the Plan’s terms in favor of the Fund, instead of in favor of Long, its decision was arbitrary, capricious, and contrary to Tennessee law.” </w:t>
      </w:r>
      <w:hyperlink r:id="rId1124" w:history="1">
        <w:r w:rsidRPr="0044657D">
          <w:rPr>
            <w:rStyle w:val="Hyperlink"/>
          </w:rPr>
          <w:t>https://cases.justia.com/tennessee/court-of-appeals/2023-e2022-01151-coa-r3-cv.pdf?ts=1703121841</w:t>
        </w:r>
      </w:hyperlink>
      <w:r>
        <w:t xml:space="preserve"> </w:t>
      </w:r>
    </w:p>
    <w:p w14:paraId="3C3CF2C0" w14:textId="77777777" w:rsidR="002744EE" w:rsidRPr="00EE0B9A" w:rsidRDefault="002744EE" w:rsidP="002744EE">
      <w:pPr>
        <w:pStyle w:val="NoSpacing"/>
        <w:rPr>
          <w:rFonts w:ascii="Times New Roman" w:hAnsi="Times New Roman"/>
          <w:b/>
          <w:bCs/>
          <w:sz w:val="24"/>
          <w:szCs w:val="24"/>
        </w:rPr>
      </w:pPr>
      <w:r w:rsidRPr="00EE0B9A">
        <w:rPr>
          <w:rFonts w:ascii="Times New Roman" w:hAnsi="Times New Roman"/>
          <w:b/>
          <w:bCs/>
          <w:sz w:val="24"/>
          <w:szCs w:val="24"/>
        </w:rPr>
        <w:t xml:space="preserve">Legal Lesson Learned: </w:t>
      </w:r>
      <w:r>
        <w:rPr>
          <w:rFonts w:ascii="Times New Roman" w:hAnsi="Times New Roman"/>
          <w:b/>
          <w:bCs/>
          <w:sz w:val="24"/>
          <w:szCs w:val="24"/>
        </w:rPr>
        <w:t xml:space="preserve"> The Board needs to better define “unexpected” traumatic events that will be covered for PTSD disability pension. </w:t>
      </w:r>
    </w:p>
    <w:p w14:paraId="09398639" w14:textId="77777777" w:rsidR="002744EE" w:rsidRDefault="002744EE" w:rsidP="002744EE">
      <w:pPr>
        <w:pStyle w:val="NoSpacing"/>
        <w:rPr>
          <w:rFonts w:ascii="Times New Roman" w:hAnsi="Times New Roman"/>
          <w:sz w:val="24"/>
          <w:szCs w:val="24"/>
        </w:rPr>
      </w:pPr>
    </w:p>
    <w:p w14:paraId="7EDEF459" w14:textId="77777777" w:rsidR="002744EE" w:rsidRDefault="002744EE" w:rsidP="002744EE">
      <w:pPr>
        <w:pStyle w:val="NoSpacing"/>
        <w:ind w:left="720"/>
      </w:pPr>
      <w:r>
        <w:rPr>
          <w:rFonts w:ascii="Times New Roman" w:hAnsi="Times New Roman"/>
          <w:sz w:val="24"/>
          <w:szCs w:val="24"/>
        </w:rPr>
        <w:t xml:space="preserve">Note: See video of oral argument before Court of Appeals in this case. </w:t>
      </w:r>
      <w:hyperlink r:id="rId1125" w:anchor="fpstate=ive&amp;vld=cid:c519e51a,vid:fx8S8hEp9_s,st:0" w:history="1">
        <w:r w:rsidRPr="00A7078E">
          <w:rPr>
            <w:rStyle w:val="Hyperlink"/>
          </w:rPr>
          <w:t>https://www.google.com/search?channel=frsc&amp;client=firefox-b-1-d&amp;q=MATTHEW+LONG+v.+CHATTANOOGA+FIRE+AND+POLICE+PENSION+FUND+No.+E2022-01151-COA-R3-CV+%7C+June+20%2C+2023+Session+%7C+#fpstate=ive&amp;vld=cid:c519e51a,vid:fx8S8hEp9_s,st:0</w:t>
        </w:r>
      </w:hyperlink>
    </w:p>
    <w:p w14:paraId="37A4F4F8" w14:textId="77777777" w:rsidR="004668C7" w:rsidRDefault="004668C7" w:rsidP="00EF1133">
      <w:pPr>
        <w:rPr>
          <w:rFonts w:ascii="Arial Black" w:hAnsi="Arial Black"/>
          <w:b/>
          <w:sz w:val="24"/>
          <w:szCs w:val="24"/>
        </w:rPr>
      </w:pPr>
    </w:p>
    <w:p w14:paraId="07D20297" w14:textId="77777777" w:rsidR="004668C7" w:rsidRDefault="004668C7" w:rsidP="00EF1133">
      <w:pPr>
        <w:rPr>
          <w:rFonts w:ascii="Arial Black" w:hAnsi="Arial Black"/>
          <w:b/>
          <w:sz w:val="24"/>
          <w:szCs w:val="24"/>
        </w:rPr>
      </w:pPr>
    </w:p>
    <w:p w14:paraId="4D7F707D" w14:textId="4A4A40B3" w:rsidR="00554962" w:rsidRDefault="00554962" w:rsidP="00EF1133">
      <w:pPr>
        <w:rPr>
          <w:rFonts w:ascii="Arial Black" w:hAnsi="Arial Black"/>
          <w:b/>
          <w:sz w:val="24"/>
          <w:szCs w:val="24"/>
        </w:rPr>
      </w:pPr>
      <w:r>
        <w:rPr>
          <w:rFonts w:ascii="Arial Black" w:hAnsi="Arial Black"/>
          <w:b/>
          <w:sz w:val="24"/>
          <w:szCs w:val="24"/>
        </w:rPr>
        <w:t>6-12</w:t>
      </w:r>
      <w:r w:rsidR="002A0697">
        <w:rPr>
          <w:rFonts w:ascii="Arial Black" w:hAnsi="Arial Black"/>
          <w:b/>
          <w:sz w:val="24"/>
          <w:szCs w:val="24"/>
        </w:rPr>
        <w:t>4</w:t>
      </w:r>
    </w:p>
    <w:p w14:paraId="71156FBD" w14:textId="77777777" w:rsidR="00F33E0E" w:rsidRPr="008F275A" w:rsidRDefault="00F33E0E" w:rsidP="00F33E0E">
      <w:pPr>
        <w:pStyle w:val="NormalWeb"/>
        <w:rPr>
          <w:rFonts w:ascii="Arial Black" w:hAnsi="Arial Black"/>
          <w:sz w:val="28"/>
          <w:szCs w:val="28"/>
        </w:rPr>
      </w:pPr>
      <w:r>
        <w:rPr>
          <w:rFonts w:ascii="Arial Black" w:hAnsi="Arial Black"/>
          <w:sz w:val="28"/>
          <w:szCs w:val="28"/>
        </w:rPr>
        <w:t>FL: FF HEART REPLACEMENT – STATUTORY PRESUMPTION -  COUNTY FAILED PROVE CAUSED BY OFF DUTY COVID-19</w:t>
      </w:r>
    </w:p>
    <w:p w14:paraId="2108FE6D" w14:textId="5E6CA530" w:rsidR="00F33E0E" w:rsidRPr="00F33E0E" w:rsidRDefault="00F33E0E" w:rsidP="00F33E0E">
      <w:pPr>
        <w:rPr>
          <w:rFonts w:ascii="Times New Roman" w:hAnsi="Times New Roman"/>
          <w:b/>
          <w:sz w:val="24"/>
          <w:szCs w:val="24"/>
        </w:rPr>
      </w:pPr>
      <w:r w:rsidRPr="00F33E0E">
        <w:rPr>
          <w:rFonts w:ascii="Times New Roman" w:hAnsi="Times New Roman"/>
          <w:sz w:val="24"/>
          <w:szCs w:val="24"/>
        </w:rPr>
        <w:t xml:space="preserve">On Dec. 13, 2023, in </w:t>
      </w:r>
      <w:r w:rsidRPr="00F33E0E">
        <w:rPr>
          <w:rFonts w:ascii="Times New Roman" w:hAnsi="Times New Roman"/>
          <w:sz w:val="24"/>
          <w:szCs w:val="24"/>
          <w:u w:val="single"/>
        </w:rPr>
        <w:t>Seminole County, Florisa and John Eastern Company, Inc. v. Chad Braden</w:t>
      </w:r>
      <w:r w:rsidRPr="00F33E0E">
        <w:rPr>
          <w:rFonts w:ascii="Times New Roman" w:hAnsi="Times New Roman"/>
          <w:sz w:val="24"/>
          <w:szCs w:val="24"/>
        </w:rPr>
        <w:t xml:space="preserve">, the Florida Court of Appeals, First District, held (3 to 0) that the Judge of Compensation Claims (JCC), properly awarded workers' compensation benefits to firefighter Chad Braden. The Court wrote: “Rather, we consider only whether Seminole County met its burden to overcome the statutory burden of work causation. Under these facts, we find competent evidence supports the JCC's determination that Seminole County failed to rebut the statutory presumption.”  </w:t>
      </w:r>
      <w:hyperlink r:id="rId1126" w:history="1">
        <w:r w:rsidRPr="00F33E0E">
          <w:rPr>
            <w:rStyle w:val="Hyperlink"/>
            <w:rFonts w:ascii="Times New Roman" w:hAnsi="Times New Roman"/>
            <w:sz w:val="24"/>
            <w:szCs w:val="24"/>
          </w:rPr>
          <w:t>https://public.fastcase.com/ZZhmr5v9wN%2FXOe5IsQ%2FqD597Cj8vEFtFKU6dv%2BnWYID0RND2DGxx0gwPm3LnKjbN?utm_medium=email&amp;_hsmi=226712652&amp;_hsenc=p2ANqtz-</w:t>
        </w:r>
        <w:r w:rsidRPr="00F33E0E">
          <w:rPr>
            <w:rStyle w:val="Hyperlink"/>
            <w:rFonts w:ascii="Times New Roman" w:hAnsi="Times New Roman"/>
            <w:sz w:val="24"/>
            <w:szCs w:val="24"/>
          </w:rPr>
          <w:lastRenderedPageBreak/>
          <w:t>9VqkDv3iEaCOhGJ0e7W649YKVFgXPPT1K4rwfEfIma89pOhcAxwCchfIpHNeRMlfH4gAwQhfXkNV3ClRJYpxBL670A4g&amp;utm_content=226712652&amp;utm_source=hs_email</w:t>
        </w:r>
      </w:hyperlink>
    </w:p>
    <w:p w14:paraId="16EEA3AE" w14:textId="77777777" w:rsidR="004668C7" w:rsidRDefault="004668C7" w:rsidP="004668C7">
      <w:pPr>
        <w:pStyle w:val="NormalWeb"/>
        <w:rPr>
          <w:b/>
          <w:bCs/>
        </w:rPr>
      </w:pPr>
      <w:r w:rsidRPr="000664E1">
        <w:rPr>
          <w:b/>
          <w:bCs/>
        </w:rPr>
        <w:t>Legal Lesson Learned:</w:t>
      </w:r>
      <w:r>
        <w:rPr>
          <w:b/>
          <w:bCs/>
        </w:rPr>
        <w:t xml:space="preserve"> The FL statutory presumption properly puts burden on employer to prove heart issues were not caused by the job. </w:t>
      </w:r>
    </w:p>
    <w:p w14:paraId="26524411" w14:textId="77777777" w:rsidR="00554962" w:rsidRDefault="00554962" w:rsidP="00EF1133">
      <w:pPr>
        <w:rPr>
          <w:rFonts w:ascii="Arial Black" w:hAnsi="Arial Black"/>
          <w:b/>
          <w:sz w:val="24"/>
          <w:szCs w:val="24"/>
        </w:rPr>
      </w:pPr>
    </w:p>
    <w:p w14:paraId="46A0881E" w14:textId="77777777" w:rsidR="00554962" w:rsidRDefault="00554962" w:rsidP="00EF1133">
      <w:pPr>
        <w:rPr>
          <w:rFonts w:ascii="Arial Black" w:hAnsi="Arial Black"/>
          <w:b/>
          <w:sz w:val="24"/>
          <w:szCs w:val="24"/>
        </w:rPr>
      </w:pPr>
    </w:p>
    <w:p w14:paraId="49277BC9" w14:textId="28637DCA" w:rsidR="00841FB9" w:rsidRDefault="00841FB9" w:rsidP="00EF1133">
      <w:pPr>
        <w:rPr>
          <w:rFonts w:ascii="Arial Black" w:hAnsi="Arial Black"/>
          <w:b/>
          <w:sz w:val="24"/>
          <w:szCs w:val="24"/>
        </w:rPr>
      </w:pPr>
      <w:r>
        <w:rPr>
          <w:rFonts w:ascii="Arial Black" w:hAnsi="Arial Black"/>
          <w:b/>
          <w:sz w:val="24"/>
          <w:szCs w:val="24"/>
        </w:rPr>
        <w:t>6-12</w:t>
      </w:r>
      <w:r w:rsidR="002A0697">
        <w:rPr>
          <w:rFonts w:ascii="Arial Black" w:hAnsi="Arial Black"/>
          <w:b/>
          <w:sz w:val="24"/>
          <w:szCs w:val="24"/>
        </w:rPr>
        <w:t>3</w:t>
      </w:r>
    </w:p>
    <w:p w14:paraId="5A5776CA" w14:textId="77777777" w:rsidR="00841FB9" w:rsidRDefault="00841FB9" w:rsidP="00841FB9">
      <w:pPr>
        <w:pStyle w:val="NormalWeb"/>
        <w:rPr>
          <w:rFonts w:ascii="Arial Black" w:hAnsi="Arial Black"/>
          <w:b/>
          <w:bCs/>
          <w:sz w:val="28"/>
          <w:szCs w:val="28"/>
        </w:rPr>
      </w:pPr>
      <w:r>
        <w:rPr>
          <w:rFonts w:ascii="Arial Black" w:hAnsi="Arial Black"/>
          <w:b/>
          <w:bCs/>
          <w:sz w:val="28"/>
          <w:szCs w:val="28"/>
        </w:rPr>
        <w:t xml:space="preserve">OR: PROSTATE CANCER – STAUTORY PRESUMPTION – EMPLOYER FAILED TO OVERCOME PRESUMPTION </w:t>
      </w:r>
    </w:p>
    <w:p w14:paraId="68750709" w14:textId="77777777" w:rsidR="00841FB9" w:rsidRDefault="00841FB9" w:rsidP="00841FB9">
      <w:pPr>
        <w:pStyle w:val="NormalWeb"/>
      </w:pPr>
      <w:r w:rsidRPr="00561FB7">
        <w:t xml:space="preserve">On Dec. 6, 2023, </w:t>
      </w:r>
      <w:r w:rsidRPr="00532D49">
        <w:rPr>
          <w:u w:val="single"/>
        </w:rPr>
        <w:t xml:space="preserve">In the Matter of the Compensation of Stephen Smith;  Marion County Fire </w:t>
      </w:r>
      <w:proofErr w:type="gramStart"/>
      <w:r w:rsidRPr="00532D49">
        <w:rPr>
          <w:u w:val="single"/>
        </w:rPr>
        <w:t>District #1</w:t>
      </w:r>
      <w:proofErr w:type="gramEnd"/>
      <w:r w:rsidRPr="00532D49">
        <w:rPr>
          <w:u w:val="single"/>
        </w:rPr>
        <w:t xml:space="preserve"> v. Stephen Smith</w:t>
      </w:r>
      <w:r>
        <w:t xml:space="preserve">, the Court of Appeals of Oregon held (3 to 0; nonprecedential memorandum </w:t>
      </w:r>
      <w:proofErr w:type="spellStart"/>
      <w:r>
        <w:t>opinio</w:t>
      </w:r>
      <w:proofErr w:type="spellEnd"/>
      <w:r>
        <w:t xml:space="preserve">) that the Workers’ Compensation Board properly held for the firefighter.  The Court wrote: “This case concerns whether the Workers' Compensation Board (board) properly construed and applied the so-called ‘firefighter's presumption’ when it reversed employer's denial of claimant's occupational disease claim. *** The board reasoned that Dr. Beer's opinion was largely based on the conclusion that the causes of prostate cancer are unknown. The board correctly noted that in </w:t>
      </w:r>
      <w:r>
        <w:rPr>
          <w:rStyle w:val="Emphasis"/>
        </w:rPr>
        <w:t>Thompson,</w:t>
      </w:r>
      <w:r>
        <w:t xml:space="preserve"> the Supreme Court held that </w:t>
      </w:r>
      <w:proofErr w:type="gramStart"/>
      <w:r>
        <w:t>an</w:t>
      </w:r>
      <w:proofErr w:type="gramEnd"/>
      <w:r>
        <w:t xml:space="preserve"> opinion that the cause of a condition is unknown is "a confession of an inability to identify a cause," rather than evidence that the condition was not related to employment. </w:t>
      </w:r>
      <w:r>
        <w:rPr>
          <w:rStyle w:val="Emphasis"/>
        </w:rPr>
        <w:t>Thompson,</w:t>
      </w:r>
      <w:r>
        <w:t xml:space="preserve"> 360 Or at 168. The board went on to note several internal inconsistencies in Dr. Beer's opinion that left the board unpersuaded by the opinion. We conclude that the board's representation of Dr. Beer's opinion is reasonable and supported by substantial evidence. While employer characterizes Dr. Beer's opinion differently, we are not convinced that the board was required to view the opinion the way employer urges. The board reasonably could find, for the reasons the board stated, that Dr. Beer's evidence did not meet employer's burden of persuasion.” </w:t>
      </w:r>
      <w:hyperlink r:id="rId1127" w:history="1">
        <w:r w:rsidRPr="002D5A3E">
          <w:rPr>
            <w:rStyle w:val="Hyperlink"/>
          </w:rPr>
          <w:t>https://casetext.com/case/marion-cnty-fire-dist-1-v-smith-in-re-smith</w:t>
        </w:r>
      </w:hyperlink>
      <w:r>
        <w:t xml:space="preserve"> </w:t>
      </w:r>
    </w:p>
    <w:p w14:paraId="0A3917F7" w14:textId="77777777" w:rsidR="00554962" w:rsidRDefault="00554962" w:rsidP="00554962">
      <w:pPr>
        <w:pStyle w:val="NormalWeb"/>
        <w:rPr>
          <w:b/>
          <w:bCs/>
        </w:rPr>
      </w:pPr>
      <w:r w:rsidRPr="006C2F5A">
        <w:rPr>
          <w:b/>
          <w:bCs/>
        </w:rPr>
        <w:t>Legal Lesson Learned:</w:t>
      </w:r>
      <w:r>
        <w:rPr>
          <w:b/>
          <w:bCs/>
        </w:rPr>
        <w:t xml:space="preserve"> With the statutory presumption, the employer failed to rebut the presumption that the firefighter’s prostate cancer resulted from his employment as a firefighter. </w:t>
      </w:r>
    </w:p>
    <w:p w14:paraId="4B59223E" w14:textId="77777777" w:rsidR="00554962" w:rsidRPr="00F54637" w:rsidRDefault="00554962" w:rsidP="00554962">
      <w:pPr>
        <w:pStyle w:val="NormalWeb"/>
        <w:ind w:left="720"/>
      </w:pPr>
      <w:r w:rsidRPr="00F54637">
        <w:t>Note: The Court</w:t>
      </w:r>
      <w:r>
        <w:t xml:space="preserve"> of Appeals</w:t>
      </w:r>
      <w:r w:rsidRPr="00F54637">
        <w:t xml:space="preserve"> on same date</w:t>
      </w:r>
      <w:r>
        <w:t>, Dec. 6, 2023,</w:t>
      </w:r>
      <w:r w:rsidRPr="00F54637">
        <w:t xml:space="preserve"> upheld the award to another</w:t>
      </w:r>
      <w:r>
        <w:t xml:space="preserve"> Oregon</w:t>
      </w:r>
      <w:r w:rsidRPr="00F54637">
        <w:t xml:space="preserve"> firefighter</w:t>
      </w:r>
      <w:r>
        <w:t xml:space="preserve"> with another fire department. In the Matter of the Compensation of Robert M. Shannon, Claimant. v. Robert M. Shannon. North Douglas County Fire &amp; EMS. </w:t>
      </w:r>
      <w:hyperlink r:id="rId1128" w:history="1">
        <w:r w:rsidRPr="002D5A3E">
          <w:rPr>
            <w:rStyle w:val="Hyperlink"/>
          </w:rPr>
          <w:t>https://casetext.com/case/n-douglas-cnty-fire-ems-v-shannon-in-re-shannon</w:t>
        </w:r>
      </w:hyperlink>
      <w:r w:rsidRPr="00F54637">
        <w:t xml:space="preserve"> </w:t>
      </w:r>
    </w:p>
    <w:p w14:paraId="77F84341" w14:textId="77777777" w:rsidR="00554962" w:rsidRDefault="00554962" w:rsidP="00841FB9">
      <w:pPr>
        <w:pStyle w:val="NormalWeb"/>
      </w:pPr>
    </w:p>
    <w:p w14:paraId="3EDB32F1" w14:textId="1088390B" w:rsidR="000516E6" w:rsidRDefault="000516E6" w:rsidP="00EF1133">
      <w:pPr>
        <w:rPr>
          <w:rFonts w:ascii="Arial Black" w:hAnsi="Arial Black"/>
          <w:b/>
          <w:sz w:val="24"/>
          <w:szCs w:val="24"/>
        </w:rPr>
      </w:pPr>
      <w:r>
        <w:rPr>
          <w:rFonts w:ascii="Arial Black" w:hAnsi="Arial Black"/>
          <w:b/>
          <w:sz w:val="24"/>
          <w:szCs w:val="24"/>
        </w:rPr>
        <w:t>6-12</w:t>
      </w:r>
      <w:r w:rsidR="002A0697">
        <w:rPr>
          <w:rFonts w:ascii="Arial Black" w:hAnsi="Arial Black"/>
          <w:b/>
          <w:sz w:val="24"/>
          <w:szCs w:val="24"/>
        </w:rPr>
        <w:t>2</w:t>
      </w:r>
    </w:p>
    <w:p w14:paraId="2D565E84" w14:textId="77777777" w:rsidR="001B28A9" w:rsidRDefault="001B28A9" w:rsidP="001B28A9">
      <w:pPr>
        <w:pStyle w:val="NormalWeb"/>
        <w:rPr>
          <w:rFonts w:ascii="Arial Black" w:hAnsi="Arial Black"/>
          <w:sz w:val="28"/>
          <w:szCs w:val="28"/>
        </w:rPr>
      </w:pPr>
      <w:r>
        <w:rPr>
          <w:rFonts w:ascii="Arial Black" w:hAnsi="Arial Black"/>
          <w:sz w:val="28"/>
          <w:szCs w:val="28"/>
        </w:rPr>
        <w:t>CO: FF HAND INJURED - LIGHT DUTY / RETIRED - MUST FILE EEOC CHARGE IN 300 DAYS AFTER INFORMED FD RETIRING</w:t>
      </w:r>
    </w:p>
    <w:p w14:paraId="121C83CD" w14:textId="6574C3D2" w:rsidR="000516E6" w:rsidRDefault="001B28A9" w:rsidP="001B28A9">
      <w:pPr>
        <w:rPr>
          <w:rStyle w:val="Hyperlink"/>
          <w:rFonts w:ascii="Times New Roman" w:hAnsi="Times New Roman"/>
          <w:sz w:val="24"/>
          <w:szCs w:val="24"/>
        </w:rPr>
      </w:pPr>
      <w:r w:rsidRPr="001B28A9">
        <w:rPr>
          <w:rFonts w:ascii="Times New Roman" w:hAnsi="Times New Roman"/>
          <w:sz w:val="24"/>
          <w:szCs w:val="24"/>
        </w:rPr>
        <w:t xml:space="preserve">On Nov. 13, 2023, in </w:t>
      </w:r>
      <w:r w:rsidRPr="001B28A9">
        <w:rPr>
          <w:rFonts w:ascii="Times New Roman" w:hAnsi="Times New Roman"/>
          <w:sz w:val="24"/>
          <w:szCs w:val="24"/>
          <w:u w:val="single"/>
        </w:rPr>
        <w:t>David Perez v. City and County of Denver</w:t>
      </w:r>
      <w:r w:rsidRPr="001B28A9">
        <w:rPr>
          <w:rFonts w:ascii="Times New Roman" w:hAnsi="Times New Roman"/>
          <w:sz w:val="24"/>
          <w:szCs w:val="24"/>
        </w:rPr>
        <w:t xml:space="preserve">, the U.S. Court of Appeals for Tenth Circuit (Denver) held (3 to 0) that trial court properly dismissed the lawsuit for failure to timely file charge with EEOC.  </w:t>
      </w:r>
      <w:r w:rsidRPr="001B28A9">
        <w:rPr>
          <w:rFonts w:ascii="Times New Roman" w:hAnsi="Times New Roman"/>
          <w:sz w:val="24"/>
          <w:szCs w:val="24"/>
        </w:rPr>
        <w:lastRenderedPageBreak/>
        <w:t xml:space="preserve">The firefighter represented himself (pro se) instead of retaining an attorney. He also failed to timely file the lawsuit (90 days) when he </w:t>
      </w:r>
      <w:proofErr w:type="gramStart"/>
      <w:r w:rsidRPr="001B28A9">
        <w:rPr>
          <w:rFonts w:ascii="Times New Roman" w:hAnsi="Times New Roman"/>
          <w:sz w:val="24"/>
          <w:szCs w:val="24"/>
        </w:rPr>
        <w:t>received “</w:t>
      </w:r>
      <w:proofErr w:type="gramEnd"/>
      <w:r w:rsidRPr="001B28A9">
        <w:rPr>
          <w:rFonts w:ascii="Times New Roman" w:hAnsi="Times New Roman"/>
          <w:sz w:val="24"/>
          <w:szCs w:val="24"/>
        </w:rPr>
        <w:t xml:space="preserve">Right </w:t>
      </w:r>
      <w:proofErr w:type="gramStart"/>
      <w:r w:rsidRPr="001B28A9">
        <w:rPr>
          <w:rFonts w:ascii="Times New Roman" w:hAnsi="Times New Roman"/>
          <w:sz w:val="24"/>
          <w:szCs w:val="24"/>
        </w:rPr>
        <w:t>To</w:t>
      </w:r>
      <w:proofErr w:type="gramEnd"/>
      <w:r w:rsidRPr="001B28A9">
        <w:rPr>
          <w:rFonts w:ascii="Times New Roman" w:hAnsi="Times New Roman"/>
          <w:sz w:val="24"/>
          <w:szCs w:val="24"/>
        </w:rPr>
        <w:t xml:space="preserve"> Sue” letter from EEOC. </w:t>
      </w:r>
      <w:hyperlink r:id="rId1129" w:history="1">
        <w:r w:rsidRPr="001B28A9">
          <w:rPr>
            <w:rStyle w:val="Hyperlink"/>
            <w:rFonts w:ascii="Times New Roman" w:hAnsi="Times New Roman"/>
            <w:sz w:val="24"/>
            <w:szCs w:val="24"/>
          </w:rPr>
          <w:t>https://casetext.com/case/perez-v-city-of-denver-4</w:t>
        </w:r>
      </w:hyperlink>
    </w:p>
    <w:p w14:paraId="52201B1B" w14:textId="77777777" w:rsidR="0079037C" w:rsidRDefault="0079037C" w:rsidP="0079037C">
      <w:pPr>
        <w:pStyle w:val="NormalWeb"/>
        <w:rPr>
          <w:b/>
          <w:bCs/>
        </w:rPr>
      </w:pPr>
      <w:r w:rsidRPr="00863139">
        <w:rPr>
          <w:b/>
          <w:bCs/>
        </w:rPr>
        <w:t xml:space="preserve">Legal Lesson Learned: </w:t>
      </w:r>
      <w:r>
        <w:rPr>
          <w:b/>
          <w:bCs/>
        </w:rPr>
        <w:t xml:space="preserve">The time requirements for filing charge with </w:t>
      </w:r>
      <w:proofErr w:type="gramStart"/>
      <w:r>
        <w:rPr>
          <w:b/>
          <w:bCs/>
        </w:rPr>
        <w:t>EEOC, and</w:t>
      </w:r>
      <w:proofErr w:type="gramEnd"/>
      <w:r>
        <w:rPr>
          <w:b/>
          <w:bCs/>
        </w:rPr>
        <w:t xml:space="preserve"> then filing lawsuit after right-to-sue EEOC letter must be followed; even by those handling case pro se (no attorney).</w:t>
      </w:r>
    </w:p>
    <w:p w14:paraId="30CA0B4B" w14:textId="77777777" w:rsidR="0079037C" w:rsidRPr="001B28A9" w:rsidRDefault="0079037C" w:rsidP="001B28A9">
      <w:pPr>
        <w:rPr>
          <w:rFonts w:ascii="Times New Roman" w:hAnsi="Times New Roman"/>
          <w:b/>
          <w:sz w:val="24"/>
          <w:szCs w:val="24"/>
        </w:rPr>
      </w:pPr>
    </w:p>
    <w:p w14:paraId="3CF2A6BC" w14:textId="77777777" w:rsidR="000516E6" w:rsidRDefault="000516E6" w:rsidP="00EF1133">
      <w:pPr>
        <w:rPr>
          <w:rFonts w:ascii="Arial Black" w:hAnsi="Arial Black"/>
          <w:b/>
          <w:sz w:val="24"/>
          <w:szCs w:val="24"/>
        </w:rPr>
      </w:pPr>
    </w:p>
    <w:p w14:paraId="0BDF3C95" w14:textId="70D82113" w:rsidR="00A65FD8" w:rsidRDefault="00A65FD8" w:rsidP="00EF1133">
      <w:pPr>
        <w:rPr>
          <w:rFonts w:ascii="Arial Black" w:hAnsi="Arial Black"/>
          <w:b/>
          <w:sz w:val="24"/>
          <w:szCs w:val="24"/>
        </w:rPr>
      </w:pPr>
      <w:r>
        <w:rPr>
          <w:rFonts w:ascii="Arial Black" w:hAnsi="Arial Black"/>
          <w:b/>
          <w:sz w:val="24"/>
          <w:szCs w:val="24"/>
        </w:rPr>
        <w:t>6-12</w:t>
      </w:r>
      <w:r w:rsidR="002A0697">
        <w:rPr>
          <w:rFonts w:ascii="Arial Black" w:hAnsi="Arial Black"/>
          <w:b/>
          <w:sz w:val="24"/>
          <w:szCs w:val="24"/>
        </w:rPr>
        <w:t>1</w:t>
      </w:r>
    </w:p>
    <w:p w14:paraId="629D2590" w14:textId="77777777" w:rsidR="00A65FD8" w:rsidRPr="00EE3B90" w:rsidRDefault="00A65FD8" w:rsidP="00A65FD8">
      <w:pPr>
        <w:pStyle w:val="NormalWeb"/>
        <w:rPr>
          <w:rFonts w:ascii="Arial Black" w:hAnsi="Arial Black"/>
          <w:b/>
          <w:bCs/>
          <w:sz w:val="28"/>
          <w:szCs w:val="28"/>
        </w:rPr>
      </w:pPr>
      <w:r>
        <w:rPr>
          <w:rFonts w:ascii="Arial Black" w:hAnsi="Arial Black"/>
          <w:b/>
          <w:bCs/>
          <w:sz w:val="28"/>
          <w:szCs w:val="28"/>
        </w:rPr>
        <w:t xml:space="preserve">FL: FF DIED BRAIN CANCER – WIDOW ENTITLED TO $150,000 DEATH BENEFITS –PLUS THE PRIOR $25K </w:t>
      </w:r>
    </w:p>
    <w:p w14:paraId="41B6FC13" w14:textId="77777777" w:rsidR="00A65FD8" w:rsidRDefault="00A65FD8" w:rsidP="00A65FD8">
      <w:pPr>
        <w:pStyle w:val="NormalWeb"/>
      </w:pPr>
      <w:r>
        <w:t xml:space="preserve">On Oct. 25, 2023, in </w:t>
      </w:r>
      <w:r w:rsidRPr="00353608">
        <w:rPr>
          <w:u w:val="single"/>
        </w:rPr>
        <w:t>Christy Siena v. Orange County Fire Rescue / CCMSI</w:t>
      </w:r>
      <w:r>
        <w:t xml:space="preserve">, the Florida Court of Appeals, First District, held (3 to 0) that the Worker’s Comp. Judge of Compensation Claims is reversed, and widow is entitled to $150, 000. Under Florida statute, a </w:t>
      </w:r>
      <w:proofErr w:type="gramStart"/>
      <w:r>
        <w:t>firefighter</w:t>
      </w:r>
      <w:proofErr w:type="gramEnd"/>
      <w:r>
        <w:t xml:space="preserve"> when diagnosed with </w:t>
      </w:r>
      <w:proofErr w:type="gramStart"/>
      <w:r>
        <w:t>cancer</w:t>
      </w:r>
      <w:proofErr w:type="gramEnd"/>
      <w:r>
        <w:t xml:space="preserve"> is entitled to a one-time cash payout of $25,000.  Eric Siena received that amount when he was diagnosed with glioblastoma in January 2020; he died in May of 2021. The Court held: “In this appeal we consider whether receipt of medical, indemnity, and death benefits through section 112.1816, Florida Statutes, bars receipt of death benefits under section 440.16, Florida Statutes. We conclude that it does not and set aside the order below.” </w:t>
      </w:r>
      <w:hyperlink r:id="rId1130" w:history="1">
        <w:r w:rsidRPr="00956CFD">
          <w:rPr>
            <w:rStyle w:val="Hyperlink"/>
            <w:rFonts w:eastAsiaTheme="majorEastAsia"/>
          </w:rPr>
          <w:t>https://caselaw.findlaw.com/court/fl-district-court-of-appeal/115346402.html</w:t>
        </w:r>
      </w:hyperlink>
      <w:r>
        <w:t xml:space="preserve"> </w:t>
      </w:r>
    </w:p>
    <w:p w14:paraId="0C2780B5" w14:textId="77777777" w:rsidR="00A65FD8" w:rsidRDefault="00A65FD8" w:rsidP="00A65FD8">
      <w:pPr>
        <w:pStyle w:val="defaultstyledtext-tl066j-0"/>
        <w:rPr>
          <w:b/>
          <w:bCs/>
        </w:rPr>
      </w:pPr>
      <w:r w:rsidRPr="00C71B53">
        <w:rPr>
          <w:b/>
          <w:bCs/>
        </w:rPr>
        <w:t xml:space="preserve">Legal Lesson Learned: </w:t>
      </w:r>
      <w:r>
        <w:rPr>
          <w:b/>
          <w:bCs/>
        </w:rPr>
        <w:t>The Court has properly examined the legislative intent when interpreting the statutes.</w:t>
      </w:r>
    </w:p>
    <w:p w14:paraId="62814FA2" w14:textId="77777777" w:rsidR="00A65FD8" w:rsidRDefault="00A65FD8" w:rsidP="00A65FD8">
      <w:pPr>
        <w:pStyle w:val="NormalWeb"/>
        <w:ind w:left="720"/>
      </w:pPr>
      <w:r w:rsidRPr="009C192C">
        <w:t>Note:</w:t>
      </w:r>
      <w:r>
        <w:rPr>
          <w:b/>
          <w:bCs/>
        </w:rPr>
        <w:t xml:space="preserve"> </w:t>
      </w:r>
      <w:r>
        <w:t xml:space="preserve">See Oct. 25, </w:t>
      </w:r>
      <w:proofErr w:type="gramStart"/>
      <w:r>
        <w:t>2023</w:t>
      </w:r>
      <w:proofErr w:type="gramEnd"/>
      <w:r>
        <w:t xml:space="preserve"> article, “</w:t>
      </w:r>
      <w:r w:rsidRPr="00C71B53">
        <w:t xml:space="preserve">Appeals court ruling paves way for Orange County firefighter’s widow to seek workers’ comp payout.” </w:t>
      </w:r>
      <w:hyperlink r:id="rId1131" w:history="1">
        <w:r w:rsidRPr="00956CFD">
          <w:rPr>
            <w:rStyle w:val="Hyperlink"/>
            <w:rFonts w:eastAsiaTheme="majorEastAsia"/>
          </w:rPr>
          <w:t>https://www.wftv.com/news/local/appeals-court-ruling-paves-way-orange-county-firefighters-widow-seek-workers-comp-payout/QFOHSP22XNHLXLGDFDZYKLTKMM/</w:t>
        </w:r>
      </w:hyperlink>
      <w:r>
        <w:t xml:space="preserve"> </w:t>
      </w:r>
    </w:p>
    <w:p w14:paraId="15D8D651" w14:textId="77777777" w:rsidR="00A65FD8" w:rsidRDefault="00A65FD8" w:rsidP="00A65FD8">
      <w:pPr>
        <w:pStyle w:val="NormalWeb"/>
        <w:ind w:left="720"/>
      </w:pPr>
      <w:r>
        <w:t>ORANGE COUNTY, Fla. — A First District Court of Appeals judge has ruled in favor of an Orange County firefighter’s widow, who was fighting for payment promised to her under state law after her husband died of work-related cancer.</w:t>
      </w:r>
    </w:p>
    <w:p w14:paraId="3AA29A72" w14:textId="77777777" w:rsidR="00A65FD8" w:rsidRDefault="00A65FD8" w:rsidP="00A65FD8">
      <w:pPr>
        <w:pStyle w:val="defaultstyledtext-tl066j-0"/>
        <w:ind w:left="720"/>
      </w:pPr>
      <w:r>
        <w:t>The ruling clears the way for her to petition for $150,000 in workers’ compensation benefits related to her husband’s death; something Orange County had questioned whether she was entitled to seek because her husband had accepted a one-time $25,000 payout when he was first diagnosed with work-related brain cancer.</w:t>
      </w:r>
    </w:p>
    <w:p w14:paraId="0B0BEA06" w14:textId="77777777" w:rsidR="00A65FD8" w:rsidRDefault="00A65FD8" w:rsidP="00A65FD8">
      <w:pPr>
        <w:pStyle w:val="defaultstyledtext-tl066j-0"/>
        <w:ind w:left="720"/>
      </w:pPr>
      <w:r>
        <w:t>Eric Siena was on the top of his game as an Orange County firefighter before being diagnosed with glioblastoma in January 2020. The devastating brain cancer would take his life in May of 2021.</w:t>
      </w:r>
    </w:p>
    <w:p w14:paraId="631D9D27" w14:textId="77777777" w:rsidR="00A65FD8" w:rsidRDefault="00A65FD8" w:rsidP="00A65FD8">
      <w:pPr>
        <w:pStyle w:val="defaultstyledtext-tl066j-0"/>
        <w:ind w:left="720"/>
      </w:pPr>
      <w:r>
        <w:t>His wife Christy, who was also a first responder, was left alone to fight the system instead of fires.</w:t>
      </w:r>
    </w:p>
    <w:p w14:paraId="0222CB1F" w14:textId="77777777" w:rsidR="00A65FD8" w:rsidRDefault="00A65FD8" w:rsidP="00A65FD8">
      <w:pPr>
        <w:pStyle w:val="defaultstyledtext-tl066j-0"/>
        <w:ind w:left="720"/>
      </w:pPr>
      <w:r>
        <w:t xml:space="preserve">‘There’s not another decision in the state that has dealt with this issue so far,’ attorney Geoff Bichler said during a previous interview with 9 Investigates. Bichler has been fighting with Siena for the </w:t>
      </w:r>
      <w:r>
        <w:lastRenderedPageBreak/>
        <w:t>$150,000 payment, arguing that because each portion of the payout is covered by separate portions of the statute, receiving one does not prevent descendants from applying for the other.</w:t>
      </w:r>
    </w:p>
    <w:p w14:paraId="0BD71199" w14:textId="77777777" w:rsidR="00A65FD8" w:rsidRDefault="00A65FD8" w:rsidP="00A65FD8">
      <w:pPr>
        <w:pStyle w:val="defaultstyledtext-tl066j-0"/>
        <w:ind w:left="720"/>
      </w:pPr>
      <w:r>
        <w:t xml:space="preserve">‘Most employers are operating from the assumption that if they pay this benefit, they’re off the hook for worker’s compensation, and we do not agree with that,’ Bichler </w:t>
      </w:r>
      <w:proofErr w:type="gramStart"/>
      <w:r>
        <w:t>said.”</w:t>
      </w:r>
      <w:proofErr w:type="gramEnd"/>
    </w:p>
    <w:p w14:paraId="71FF1A34" w14:textId="77777777" w:rsidR="00A65FD8" w:rsidRDefault="00A65FD8" w:rsidP="00EF1133">
      <w:pPr>
        <w:rPr>
          <w:rFonts w:ascii="Arial Black" w:hAnsi="Arial Black"/>
          <w:b/>
          <w:sz w:val="24"/>
          <w:szCs w:val="24"/>
        </w:rPr>
      </w:pPr>
    </w:p>
    <w:p w14:paraId="67D2BEEB" w14:textId="7DD21865" w:rsidR="00A65FD8" w:rsidRDefault="00A65FD8" w:rsidP="00EF1133">
      <w:pPr>
        <w:rPr>
          <w:rFonts w:ascii="Arial Black" w:hAnsi="Arial Black"/>
          <w:b/>
          <w:sz w:val="24"/>
          <w:szCs w:val="24"/>
        </w:rPr>
      </w:pPr>
      <w:r>
        <w:rPr>
          <w:rFonts w:ascii="Arial Black" w:hAnsi="Arial Black"/>
          <w:b/>
          <w:sz w:val="24"/>
          <w:szCs w:val="24"/>
        </w:rPr>
        <w:t>6-12</w:t>
      </w:r>
      <w:r w:rsidR="002A0697">
        <w:rPr>
          <w:rFonts w:ascii="Arial Black" w:hAnsi="Arial Black"/>
          <w:b/>
          <w:sz w:val="24"/>
          <w:szCs w:val="24"/>
        </w:rPr>
        <w:t>0</w:t>
      </w:r>
    </w:p>
    <w:p w14:paraId="1570C17B" w14:textId="77777777" w:rsidR="00A65FD8" w:rsidRDefault="00A65FD8" w:rsidP="00A65FD8">
      <w:pPr>
        <w:pStyle w:val="NormalWeb"/>
        <w:rPr>
          <w:rFonts w:ascii="Arial Black" w:hAnsi="Arial Black"/>
          <w:b/>
          <w:bCs/>
          <w:sz w:val="28"/>
          <w:szCs w:val="28"/>
        </w:rPr>
      </w:pPr>
      <w:r>
        <w:rPr>
          <w:rFonts w:ascii="Arial Black" w:hAnsi="Arial Black"/>
          <w:b/>
          <w:bCs/>
          <w:sz w:val="28"/>
          <w:szCs w:val="28"/>
        </w:rPr>
        <w:t>OH: CINCINNATI FF – THYROID CANCER – OHIO STATUTORY PRESUMPTION – FF FINALLY WINS WORKERS COMP.</w:t>
      </w:r>
    </w:p>
    <w:p w14:paraId="21BB4C59" w14:textId="77777777" w:rsidR="00A65FD8" w:rsidRDefault="00A65FD8" w:rsidP="00A65FD8">
      <w:pPr>
        <w:pStyle w:val="NormalWeb"/>
      </w:pPr>
      <w:r>
        <w:t xml:space="preserve">On </w:t>
      </w:r>
      <w:proofErr w:type="gramStart"/>
      <w:r>
        <w:t>Oct,</w:t>
      </w:r>
      <w:proofErr w:type="gramEnd"/>
      <w:r>
        <w:t xml:space="preserve"> 5, 2023, in </w:t>
      </w:r>
      <w:r>
        <w:rPr>
          <w:u w:val="single"/>
        </w:rPr>
        <w:t>State ex rel. City of Cincinnati v. Industrial Commission of Ohio  (Joseph C. Conley)</w:t>
      </w:r>
      <w:r>
        <w:t xml:space="preserve">, the Ohio Court of Appeals, Tenth District, refused the City’s petition for a writ of mandamus, and upheld the Industrial Commission’s award of workers comp for the firefighter. The Court held: “Although Dr. [Rafid] </w:t>
      </w:r>
      <w:proofErr w:type="spellStart"/>
      <w:r>
        <w:t>Kakel</w:t>
      </w:r>
      <w:proofErr w:type="spellEnd"/>
      <w:r>
        <w:t xml:space="preserve">, M.D. </w:t>
      </w:r>
      <w:proofErr w:type="spellStart"/>
      <w:r>
        <w:t>Kakel</w:t>
      </w:r>
      <w:proofErr w:type="spellEnd"/>
      <w:r>
        <w:t xml:space="preserve"> opined that Conley's exposure to the carcinogens may not have been the cause of Conley's thyroid cancer, Dr. </w:t>
      </w:r>
      <w:proofErr w:type="spellStart"/>
      <w:r>
        <w:t>Kakel's</w:t>
      </w:r>
      <w:proofErr w:type="spellEnd"/>
      <w:r>
        <w:t xml:space="preserve"> report did not show by a preponderance of competent scientific evidence that Conley's exposure to the carcinogens </w:t>
      </w:r>
      <w:r>
        <w:rPr>
          <w:rStyle w:val="Emphasis"/>
        </w:rPr>
        <w:t>did not or could not have</w:t>
      </w:r>
      <w:r>
        <w:t xml:space="preserve"> caused Conley's thyroid cancer. Thus, because Cincinnati put forth insufficient evidence to rebut the statutory presumption in R.C. 4123.68(X), the SHO's [Staff Hearing Officer] order contained a clear mistake of law.” </w:t>
      </w:r>
      <w:hyperlink r:id="rId1132" w:history="1">
        <w:r>
          <w:rPr>
            <w:rStyle w:val="Hyperlink"/>
          </w:rPr>
          <w:t>https://casetext.com/case/state-ex-rel-city-of-cincinnati-v-indus-commn-of-ohio</w:t>
        </w:r>
      </w:hyperlink>
      <w:r>
        <w:t xml:space="preserve"> </w:t>
      </w:r>
    </w:p>
    <w:p w14:paraId="6A39C5A4" w14:textId="77777777" w:rsidR="00A65FD8" w:rsidRDefault="00A65FD8" w:rsidP="00A65FD8">
      <w:pPr>
        <w:pStyle w:val="NormalWeb"/>
        <w:rPr>
          <w:b/>
          <w:bCs/>
        </w:rPr>
      </w:pPr>
      <w:r>
        <w:rPr>
          <w:b/>
          <w:bCs/>
        </w:rPr>
        <w:t xml:space="preserve">Legal Lesson Learned:  It was a three-year fight, with numerous appeals, but the firefighter was victorious under the Ohio statutory presumption statute. </w:t>
      </w:r>
    </w:p>
    <w:p w14:paraId="520402E3" w14:textId="77777777" w:rsidR="00A65FD8" w:rsidRDefault="00A65FD8" w:rsidP="00EF1133">
      <w:pPr>
        <w:rPr>
          <w:rFonts w:ascii="Arial Black" w:hAnsi="Arial Black"/>
          <w:b/>
          <w:sz w:val="24"/>
          <w:szCs w:val="24"/>
        </w:rPr>
      </w:pPr>
    </w:p>
    <w:p w14:paraId="4136FF35" w14:textId="50D8AC96" w:rsidR="00A65FD8" w:rsidRDefault="00A65FD8" w:rsidP="00EF1133">
      <w:pPr>
        <w:rPr>
          <w:rFonts w:ascii="Arial Black" w:hAnsi="Arial Black"/>
          <w:b/>
          <w:sz w:val="24"/>
          <w:szCs w:val="24"/>
        </w:rPr>
      </w:pPr>
      <w:r>
        <w:rPr>
          <w:rFonts w:ascii="Arial Black" w:hAnsi="Arial Black"/>
          <w:b/>
          <w:sz w:val="24"/>
          <w:szCs w:val="24"/>
        </w:rPr>
        <w:t>6-1</w:t>
      </w:r>
      <w:r w:rsidR="002A0697">
        <w:rPr>
          <w:rFonts w:ascii="Arial Black" w:hAnsi="Arial Black"/>
          <w:b/>
          <w:sz w:val="24"/>
          <w:szCs w:val="24"/>
        </w:rPr>
        <w:t>19</w:t>
      </w:r>
    </w:p>
    <w:p w14:paraId="4FEAD6CC" w14:textId="77777777" w:rsidR="00832745" w:rsidRPr="00BF3F98" w:rsidRDefault="00832745" w:rsidP="00832745">
      <w:pPr>
        <w:pStyle w:val="NormalWeb"/>
        <w:rPr>
          <w:rFonts w:ascii="Arial Black" w:hAnsi="Arial Black"/>
          <w:b/>
          <w:bCs/>
          <w:sz w:val="28"/>
          <w:szCs w:val="28"/>
        </w:rPr>
      </w:pPr>
      <w:r w:rsidRPr="00BF3F98">
        <w:rPr>
          <w:rFonts w:ascii="Arial Black" w:hAnsi="Arial Black"/>
          <w:b/>
          <w:bCs/>
          <w:sz w:val="28"/>
          <w:szCs w:val="28"/>
        </w:rPr>
        <w:t>PA: VOL. FF WITH CHRONIC LYMPHOCTIC LEUKEMIA [CLE] – DENIED WORK COMP - NO MEDICAL STUDIES LINKED JOB</w:t>
      </w:r>
    </w:p>
    <w:p w14:paraId="1253D223" w14:textId="7F3F2034" w:rsidR="00A65FD8" w:rsidRDefault="00832745" w:rsidP="00832745">
      <w:pPr>
        <w:rPr>
          <w:rFonts w:ascii="Arial Black" w:hAnsi="Arial Black"/>
          <w:b/>
          <w:sz w:val="24"/>
          <w:szCs w:val="24"/>
        </w:rPr>
      </w:pPr>
      <w:r w:rsidRPr="00BF3F98">
        <w:rPr>
          <w:rFonts w:ascii="Times New Roman" w:hAnsi="Times New Roman"/>
          <w:sz w:val="24"/>
          <w:szCs w:val="24"/>
        </w:rPr>
        <w:t xml:space="preserve">On April 14, 2023, </w:t>
      </w:r>
      <w:r w:rsidRPr="00BF3F98">
        <w:rPr>
          <w:rFonts w:ascii="Times New Roman" w:hAnsi="Times New Roman"/>
          <w:sz w:val="24"/>
          <w:szCs w:val="24"/>
          <w:u w:val="single"/>
        </w:rPr>
        <w:t>in Nicholas Caruccio v. Shrewsbury Borough (Workers’ Compensation Appeal Board)</w:t>
      </w:r>
      <w:r w:rsidRPr="00BF3F98">
        <w:rPr>
          <w:rFonts w:ascii="Times New Roman" w:hAnsi="Times New Roman"/>
          <w:sz w:val="24"/>
          <w:szCs w:val="24"/>
        </w:rPr>
        <w:t xml:space="preserve">, the Commonwealth Court of Pennsylvania held (3 to 0; unpublished opinion) that even though PA has a firefighter statutory presumption law, the Workers Comp administrative law judge properly concluded there is no medical evidence that CLE was caused by his exposure to carcinogens.  The Court held: “Based on our review of the evidence, and the WCJ’s findings and credibility determinations, Claimant was unable to establish Section 108(r) general causation. In other words, based on the credited evidence, Claimant failed to demonstrate that his exposure to several IARC Group 1 carcinogens possibly caused his CLL.  In this case, Claimant’s expert, Dr. Guidotti, conceded that there is no specific epidemiological evidence demonstrating a link between CLL and exposure to benzene, TCE, or dioxins. Report of Dr. Guidotti at 5-6. *** In response, Dr. Sandler [employer’s expert] noted his agreement with Dr. Guidotti that ‘there is no scientific/medical literature, comprehensive assessments and meta-analyses to show a causal relationship between possible firefighter exposures especially those potentially received as a volunteer firefighter and the development of CLL/SCL.’ Report of Dr. Sandler at 7 (double emphasis in original). *** As in Malone, the WCJ considered the evidence and made a reasoned decision to credit one expert opinion over another. Cf. Malone. In this case, the WCJ found Dr. Sandler’s </w:t>
      </w:r>
      <w:r w:rsidRPr="00BF3F98">
        <w:rPr>
          <w:rFonts w:ascii="Times New Roman" w:hAnsi="Times New Roman"/>
          <w:sz w:val="24"/>
          <w:szCs w:val="24"/>
        </w:rPr>
        <w:lastRenderedPageBreak/>
        <w:t>opinion credible and rejected the opinion of Dr. Guidotti. This decision was neither arbitrary nor capricious and is supported by substantial evidence of record. See Morocho, 167 A.3d at 858 n.4; Kriebel, 29 A.3d at 769. We therefore decline to overturn the WCJ’s findings on appeal.”</w:t>
      </w:r>
      <w:hyperlink r:id="rId1133" w:history="1">
        <w:r w:rsidRPr="00BF3F98">
          <w:rPr>
            <w:rStyle w:val="Hyperlink"/>
            <w:rFonts w:ascii="Times New Roman" w:eastAsiaTheme="majorEastAsia" w:hAnsi="Times New Roman"/>
            <w:sz w:val="24"/>
            <w:szCs w:val="24"/>
          </w:rPr>
          <w:t>https://www.pacourts.us/assets/opinions/Commonwealth/out/726CD22_10-3-23.pdf?cb=1</w:t>
        </w:r>
      </w:hyperlink>
    </w:p>
    <w:p w14:paraId="44D4881D" w14:textId="77777777" w:rsidR="00832745" w:rsidRPr="000755D1" w:rsidRDefault="00832745" w:rsidP="00832745">
      <w:pPr>
        <w:pStyle w:val="NormalWeb"/>
        <w:rPr>
          <w:b/>
          <w:bCs/>
        </w:rPr>
      </w:pPr>
      <w:r w:rsidRPr="000755D1">
        <w:rPr>
          <w:b/>
          <w:bCs/>
        </w:rPr>
        <w:t xml:space="preserve">Legal Lesson Learned: </w:t>
      </w:r>
      <w:r>
        <w:rPr>
          <w:b/>
          <w:bCs/>
        </w:rPr>
        <w:t xml:space="preserve">Firefighters with cancer still must provide credible evidence that Group 1 carcinogens can cause their cancer. </w:t>
      </w:r>
    </w:p>
    <w:p w14:paraId="0CAA0922" w14:textId="77777777" w:rsidR="00A65FD8" w:rsidRDefault="00A65FD8" w:rsidP="00EF1133">
      <w:pPr>
        <w:rPr>
          <w:rFonts w:ascii="Arial Black" w:hAnsi="Arial Black"/>
          <w:b/>
          <w:sz w:val="24"/>
          <w:szCs w:val="24"/>
        </w:rPr>
      </w:pPr>
    </w:p>
    <w:p w14:paraId="47BD11BD" w14:textId="77777777" w:rsidR="00A65FD8" w:rsidRDefault="00A65FD8" w:rsidP="00EF1133">
      <w:pPr>
        <w:rPr>
          <w:rFonts w:ascii="Arial Black" w:hAnsi="Arial Black"/>
          <w:b/>
          <w:sz w:val="24"/>
          <w:szCs w:val="24"/>
        </w:rPr>
      </w:pPr>
    </w:p>
    <w:p w14:paraId="327490B6" w14:textId="757CF6A1" w:rsidR="00411936" w:rsidRDefault="00411936" w:rsidP="00EF1133">
      <w:pPr>
        <w:rPr>
          <w:rFonts w:ascii="Arial Black" w:hAnsi="Arial Black"/>
          <w:b/>
          <w:sz w:val="24"/>
          <w:szCs w:val="24"/>
        </w:rPr>
      </w:pPr>
      <w:r>
        <w:rPr>
          <w:rFonts w:ascii="Arial Black" w:hAnsi="Arial Black"/>
          <w:b/>
          <w:sz w:val="24"/>
          <w:szCs w:val="24"/>
        </w:rPr>
        <w:t>6-11</w:t>
      </w:r>
      <w:r w:rsidR="002A0697">
        <w:rPr>
          <w:rFonts w:ascii="Arial Black" w:hAnsi="Arial Black"/>
          <w:b/>
          <w:sz w:val="24"/>
          <w:szCs w:val="24"/>
        </w:rPr>
        <w:t>8</w:t>
      </w:r>
    </w:p>
    <w:p w14:paraId="6D93090B" w14:textId="77777777" w:rsidR="00411936" w:rsidRPr="009850B1" w:rsidRDefault="00411936" w:rsidP="00411936">
      <w:pPr>
        <w:pStyle w:val="NormalWeb"/>
        <w:rPr>
          <w:rFonts w:ascii="Arial Black" w:hAnsi="Arial Black"/>
          <w:sz w:val="28"/>
          <w:szCs w:val="28"/>
        </w:rPr>
      </w:pPr>
      <w:r>
        <w:rPr>
          <w:rFonts w:ascii="Arial Black" w:hAnsi="Arial Black"/>
          <w:sz w:val="28"/>
          <w:szCs w:val="28"/>
        </w:rPr>
        <w:t>AR: FF BRAIN CANCER 2020 – NEW STATE LAW IN 2021  STATUTORY PRESUMPTION – COVERED UNDER NEW LAW</w:t>
      </w:r>
    </w:p>
    <w:p w14:paraId="3CCECDFA" w14:textId="77777777" w:rsidR="00411936" w:rsidRDefault="00411936" w:rsidP="00411936">
      <w:pPr>
        <w:pStyle w:val="NormalWeb"/>
      </w:pPr>
      <w:r>
        <w:t>On July 11, 2023</w:t>
      </w:r>
      <w:proofErr w:type="gramStart"/>
      <w:r>
        <w:t>, in</w:t>
      </w:r>
      <w:proofErr w:type="gramEnd"/>
      <w:r>
        <w:t xml:space="preserve"> </w:t>
      </w:r>
      <w:r w:rsidRPr="001E5789">
        <w:rPr>
          <w:u w:val="single"/>
        </w:rPr>
        <w:t>Robert Vande Krol v. The Industrial Commission of Arizona, et al</w:t>
      </w:r>
      <w:r>
        <w:t xml:space="preserve">., the Court of Appeals of Arizona, First Division, held (3 to 0) that the Industrial Commission’s Administrative Law Judge incorrectly applied 2017 statute where there was no statutory presumption. The firefighter (18 years on the job; age 50 when cancer was detected); when the ALJ held the 3-day hearing the new 2021 statutory presumption statute was in effect.  The Court held this was a “procedural” change in law, and ALJ should have followed it.  The FF is entitled to workers comp coverage unless the insurance company for the FD has clear and convincing evidence that cancer was not caused by the job. </w:t>
      </w:r>
    </w:p>
    <w:p w14:paraId="64C0C7B6" w14:textId="77777777" w:rsidR="00411936" w:rsidRDefault="00411936" w:rsidP="00411936">
      <w:pPr>
        <w:pStyle w:val="NormalWeb"/>
      </w:pPr>
      <w:r>
        <w:t>The Court held:</w:t>
      </w:r>
    </w:p>
    <w:p w14:paraId="52BA6D6E" w14:textId="77777777" w:rsidR="00411936" w:rsidRDefault="00411936" w:rsidP="00411936">
      <w:pPr>
        <w:pStyle w:val="NormalWeb"/>
      </w:pPr>
      <w:r>
        <w:t xml:space="preserve">“The 2021 statute contains a </w:t>
      </w:r>
      <w:r>
        <w:rPr>
          <w:rStyle w:val="Emphasis"/>
        </w:rPr>
        <w:t>procedural</w:t>
      </w:r>
      <w:r>
        <w:t xml:space="preserve"> presumption-the presumption is rebuttable and disappears with clear and convincing evidence of ‘a specific cause of the cancer other than an occupational exposure to a carcinogen.’ A.R.S. § 23-901.09(E). *** Arizona's workers' compensation system provides covered firefighters with benefits for workplace injuries. Yet not all firefighting injuries are alike. Physical injuries stemming from perceptible dangers (like burns or smoke inhalation from rushing into a burning building) are easily provable. Occupational diseases stemming from imperceptible dangers (like cancer from inhaling carcinogens or other noxious chemicals) are more difficult (if not impossible) to prove, particularly as to causation. *** We conclude the 2021 statute applies to Vande Krol's workers' compensation claim, and we, therefore, need not address whether the ALJ correctly interpreted the 2017 statute. Because </w:t>
      </w:r>
      <w:proofErr w:type="gramStart"/>
      <w:r>
        <w:t>the ALJ</w:t>
      </w:r>
      <w:proofErr w:type="gramEnd"/>
      <w:r>
        <w:t xml:space="preserve"> did not apply the 2021 statute, we set aside the award of non-compensation. The parties and the ALJ all correctly agreed Vande Krol satisfied the elements necessary to invoke the presumption in the 2021 statute. We </w:t>
      </w:r>
      <w:proofErr w:type="gramStart"/>
      <w:r>
        <w:t>remand to allow the</w:t>
      </w:r>
      <w:proofErr w:type="gramEnd"/>
      <w:r>
        <w:t xml:space="preserve"> ALJ </w:t>
      </w:r>
      <w:proofErr w:type="gramStart"/>
      <w:r>
        <w:t>to determine</w:t>
      </w:r>
      <w:proofErr w:type="gramEnd"/>
      <w:r>
        <w:t xml:space="preserve"> in the first instance whether Benchmark [Insurance Company] presented clear and convincing evidence to rebut the presumption. *** Distilled down, we apply a rather straightforward framework: applying a new procedural statute to a future procedure is not applying the statute retroactively and is generally permissible.”  </w:t>
      </w:r>
      <w:hyperlink r:id="rId1134" w:history="1">
        <w:r w:rsidRPr="007B2850">
          <w:rPr>
            <w:rStyle w:val="Hyperlink"/>
            <w:rFonts w:eastAsiaTheme="majorEastAsia"/>
          </w:rPr>
          <w:t>https://public.fastcase.com/ZZhmr5v9wN%2FXOe5IsQ%2FqD%2FaLdDTUZ9Bp4i3kiVRF7d97YDP9rIPdBi21RNkcNkR5tUpl7J0i2aSQMqXbficIjpy79lKVHToNjy22tiJ4vWE%3D?utm_medium=email&amp;_hsmi=226712652&amp;_hsenc=p2ANqtz-9MD5NcRenWzxZK3r0B0IWrLCE0j3XNAkXqR3ZxFb7wcv_xjopQQNgTmJWg80Fq-GGoAscEcs0qRLFtSd9eSgTH9vCqyg&amp;utm_content=226712652&amp;utm_source=hs_email</w:t>
        </w:r>
      </w:hyperlink>
      <w:r>
        <w:t xml:space="preserve"> </w:t>
      </w:r>
    </w:p>
    <w:p w14:paraId="78DE78FC" w14:textId="77777777" w:rsidR="00411936" w:rsidRDefault="00411936" w:rsidP="00411936">
      <w:pPr>
        <w:pStyle w:val="NormalWeb"/>
        <w:rPr>
          <w:b/>
          <w:bCs/>
        </w:rPr>
      </w:pPr>
      <w:r w:rsidRPr="00321A87">
        <w:rPr>
          <w:b/>
          <w:bCs/>
        </w:rPr>
        <w:t xml:space="preserve">Legal Lesson Learned: </w:t>
      </w:r>
      <w:r>
        <w:rPr>
          <w:b/>
          <w:bCs/>
        </w:rPr>
        <w:t xml:space="preserve">Great decision; firefighter is protected by the new “procedural” statutory presumption law. </w:t>
      </w:r>
    </w:p>
    <w:p w14:paraId="1FB392FF" w14:textId="77777777" w:rsidR="00411936" w:rsidRDefault="00411936" w:rsidP="00EF1133">
      <w:pPr>
        <w:rPr>
          <w:rFonts w:ascii="Arial Black" w:hAnsi="Arial Black"/>
          <w:b/>
          <w:sz w:val="24"/>
          <w:szCs w:val="24"/>
        </w:rPr>
      </w:pPr>
    </w:p>
    <w:p w14:paraId="09C954F4" w14:textId="77777777" w:rsidR="00411936" w:rsidRDefault="00411936" w:rsidP="00EF1133">
      <w:pPr>
        <w:rPr>
          <w:rFonts w:ascii="Arial Black" w:hAnsi="Arial Black"/>
          <w:b/>
          <w:sz w:val="24"/>
          <w:szCs w:val="24"/>
        </w:rPr>
      </w:pPr>
    </w:p>
    <w:p w14:paraId="177B68CD" w14:textId="0D2217C8" w:rsidR="00FE60DA" w:rsidRDefault="00BC4628" w:rsidP="00EF1133">
      <w:pPr>
        <w:rPr>
          <w:rFonts w:ascii="Arial Black" w:hAnsi="Arial Black"/>
          <w:b/>
          <w:sz w:val="24"/>
          <w:szCs w:val="24"/>
        </w:rPr>
      </w:pPr>
      <w:r>
        <w:rPr>
          <w:rFonts w:ascii="Arial Black" w:hAnsi="Arial Black"/>
          <w:b/>
          <w:sz w:val="24"/>
          <w:szCs w:val="24"/>
        </w:rPr>
        <w:t>6-11</w:t>
      </w:r>
      <w:r w:rsidR="002A0697">
        <w:rPr>
          <w:rFonts w:ascii="Arial Black" w:hAnsi="Arial Black"/>
          <w:b/>
          <w:sz w:val="24"/>
          <w:szCs w:val="24"/>
        </w:rPr>
        <w:t>7</w:t>
      </w:r>
    </w:p>
    <w:p w14:paraId="27FBE35E" w14:textId="77777777" w:rsidR="00BC4628" w:rsidRDefault="00BC4628" w:rsidP="00BC4628">
      <w:pPr>
        <w:spacing w:before="100" w:beforeAutospacing="1" w:after="100" w:afterAutospacing="1" w:line="240" w:lineRule="auto"/>
        <w:rPr>
          <w:rFonts w:ascii="Arial Black" w:hAnsi="Arial Black"/>
          <w:sz w:val="28"/>
          <w:szCs w:val="28"/>
        </w:rPr>
      </w:pPr>
      <w:r>
        <w:rPr>
          <w:rFonts w:ascii="Arial Black" w:hAnsi="Arial Black"/>
          <w:sz w:val="28"/>
          <w:szCs w:val="28"/>
        </w:rPr>
        <w:t>PA: KIDNEY CANCER AFTER HE RETIRED - 37 YRS CITY FF - NOW TWP FIRE MARSHAL – CITY’S WORK. COMP. LIABLE</w:t>
      </w:r>
    </w:p>
    <w:p w14:paraId="054E5A67" w14:textId="77777777" w:rsidR="00BC4628" w:rsidRDefault="00BC4628" w:rsidP="00BC4628">
      <w:pPr>
        <w:pStyle w:val="NormalWeb"/>
      </w:pPr>
      <w:r>
        <w:t xml:space="preserve">On July 6, 2023, in </w:t>
      </w:r>
      <w:r w:rsidRPr="009B0261">
        <w:rPr>
          <w:u w:val="single"/>
        </w:rPr>
        <w:t>City of Chester v. John Gresch and Nether Providence Township (Workers’ Compensation Appeal Board)</w:t>
      </w:r>
      <w:r>
        <w:t xml:space="preserve">, the Commonwealth Court of Pennsylvania, held (3 to 0; unpublished decision) that the Worker’s Compensation Board properly held that the City, not the Township, must covered his disability claim. </w:t>
      </w:r>
    </w:p>
    <w:p w14:paraId="29EEDF4F" w14:textId="77777777" w:rsidR="00BC4628" w:rsidRPr="009B0261" w:rsidRDefault="00BC4628" w:rsidP="00BC4628">
      <w:pPr>
        <w:pStyle w:val="NormalWeb"/>
      </w:pPr>
      <w:r w:rsidRPr="009B0261">
        <w:t xml:space="preserve">The Court held: </w:t>
      </w:r>
      <w:r>
        <w:t>“</w:t>
      </w:r>
      <w:r w:rsidRPr="009B0261">
        <w:t xml:space="preserve">Although Claimant worked for the Township more recently, for two years immediately preceding his diagnosis, Claimant credibly testified that he responded to six or seven fires in total while employed by the Township. In contrast, Claimant responded to 12 fires per month while employed by the </w:t>
      </w:r>
      <w:proofErr w:type="gramStart"/>
      <w:r w:rsidRPr="009B0261">
        <w:t>City</w:t>
      </w:r>
      <w:proofErr w:type="gramEnd"/>
      <w:r w:rsidRPr="009B0261">
        <w:t xml:space="preserve">. It is therefore obvious that Claimant's actual exposure to the relevant group 1 carcinogens was far greater while employed by the </w:t>
      </w:r>
      <w:proofErr w:type="gramStart"/>
      <w:r w:rsidRPr="009B0261">
        <w:t>City</w:t>
      </w:r>
      <w:proofErr w:type="gramEnd"/>
      <w:r w:rsidRPr="009B0261">
        <w:t xml:space="preserve"> than the Township. Thus, the </w:t>
      </w:r>
      <w:proofErr w:type="gramStart"/>
      <w:r w:rsidRPr="009B0261">
        <w:t>City</w:t>
      </w:r>
      <w:proofErr w:type="gramEnd"/>
      <w:r w:rsidRPr="009B0261">
        <w:t xml:space="preserve"> is liable for the payment of Claimant's workers' compensation </w:t>
      </w:r>
      <w:proofErr w:type="gramStart"/>
      <w:r w:rsidRPr="009B0261">
        <w:t>benefits.</w:t>
      </w:r>
      <w:r>
        <w:t>”</w:t>
      </w:r>
      <w:proofErr w:type="gramEnd"/>
      <w:r>
        <w:t xml:space="preserve"> </w:t>
      </w:r>
      <w:hyperlink r:id="rId1135" w:history="1">
        <w:r w:rsidRPr="00812663">
          <w:rPr>
            <w:rStyle w:val="Hyperlink"/>
          </w:rPr>
          <w:t>https://law.justia.com/cases/pennsylvania/commonwealth-court/2023/1040-c-d-2021.html</w:t>
        </w:r>
      </w:hyperlink>
      <w:r>
        <w:t xml:space="preserve"> </w:t>
      </w:r>
    </w:p>
    <w:p w14:paraId="08711EE1" w14:textId="77777777" w:rsidR="00BC4628" w:rsidRDefault="00BC4628" w:rsidP="00BC4628">
      <w:pPr>
        <w:spacing w:before="100" w:beforeAutospacing="1" w:after="100" w:afterAutospacing="1" w:line="240" w:lineRule="auto"/>
        <w:rPr>
          <w:rFonts w:ascii="Times New Roman" w:hAnsi="Times New Roman"/>
          <w:b/>
          <w:bCs/>
          <w:sz w:val="24"/>
          <w:szCs w:val="24"/>
        </w:rPr>
      </w:pPr>
      <w:r w:rsidRPr="009B0261">
        <w:rPr>
          <w:rFonts w:ascii="Times New Roman" w:hAnsi="Times New Roman"/>
          <w:b/>
          <w:bCs/>
          <w:sz w:val="24"/>
          <w:szCs w:val="24"/>
        </w:rPr>
        <w:t xml:space="preserve">Legal Lesson Learned: </w:t>
      </w:r>
      <w:r>
        <w:rPr>
          <w:rFonts w:ascii="Times New Roman" w:hAnsi="Times New Roman"/>
          <w:b/>
          <w:bCs/>
          <w:sz w:val="24"/>
          <w:szCs w:val="24"/>
        </w:rPr>
        <w:t xml:space="preserve">Another case where a city’s worker’s comp representative seeks to avoid clear legal obligation. </w:t>
      </w:r>
    </w:p>
    <w:p w14:paraId="1151AE43" w14:textId="77777777" w:rsidR="00FE60DA" w:rsidRDefault="00FE60DA" w:rsidP="00EF1133">
      <w:pPr>
        <w:rPr>
          <w:rFonts w:ascii="Arial Black" w:hAnsi="Arial Black"/>
          <w:b/>
          <w:sz w:val="24"/>
          <w:szCs w:val="24"/>
        </w:rPr>
      </w:pPr>
    </w:p>
    <w:p w14:paraId="32288A8D" w14:textId="73D31D4E" w:rsidR="00BC4628" w:rsidRDefault="00BC4628" w:rsidP="00EF1133">
      <w:pPr>
        <w:rPr>
          <w:rFonts w:ascii="Arial Black" w:hAnsi="Arial Black"/>
          <w:b/>
          <w:sz w:val="24"/>
          <w:szCs w:val="24"/>
        </w:rPr>
      </w:pPr>
      <w:r>
        <w:rPr>
          <w:rFonts w:ascii="Arial Black" w:hAnsi="Arial Black"/>
          <w:b/>
          <w:sz w:val="24"/>
          <w:szCs w:val="24"/>
        </w:rPr>
        <w:t>6-11</w:t>
      </w:r>
      <w:r w:rsidR="002A0697">
        <w:rPr>
          <w:rFonts w:ascii="Arial Black" w:hAnsi="Arial Black"/>
          <w:b/>
          <w:sz w:val="24"/>
          <w:szCs w:val="24"/>
        </w:rPr>
        <w:t>6</w:t>
      </w:r>
    </w:p>
    <w:p w14:paraId="08FC405A" w14:textId="77777777" w:rsidR="00BC4628" w:rsidRDefault="00BC4628" w:rsidP="00BC4628">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NJ: FF / EMT INJURED BACK MOVING PT TO HOSPITAL BED – ORDINARY DISABILITY – NOT A “TRAUMATIC EVENT”</w:t>
      </w:r>
    </w:p>
    <w:p w14:paraId="503D7544" w14:textId="77777777" w:rsidR="00BC4628" w:rsidRDefault="00BC4628" w:rsidP="00BC4628">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June 30, 2023, in </w:t>
      </w:r>
      <w:r w:rsidRPr="00A33FA3">
        <w:rPr>
          <w:rFonts w:ascii="Times New Roman" w:eastAsia="Times New Roman" w:hAnsi="Times New Roman"/>
          <w:sz w:val="24"/>
          <w:szCs w:val="24"/>
          <w:u w:val="single"/>
        </w:rPr>
        <w:t>John Karolinski v. Board of Trustees, Public Employees’ Retirement System</w:t>
      </w:r>
      <w:r>
        <w:rPr>
          <w:rFonts w:ascii="Times New Roman" w:eastAsia="Times New Roman" w:hAnsi="Times New Roman"/>
          <w:sz w:val="24"/>
          <w:szCs w:val="24"/>
        </w:rPr>
        <w:t xml:space="preserve">, the Superior Court of New Jersey, Appellate Division, held (2 to 0) that while the firefighter / EMT is entitled to ordinary disability retirement benefits, he is not entitled to accidental benefits for a “traumatic event.”  </w:t>
      </w:r>
      <w:r w:rsidRPr="00A33FA3">
        <w:rPr>
          <w:rFonts w:ascii="Times New Roman" w:eastAsia="Times New Roman" w:hAnsi="Times New Roman"/>
          <w:sz w:val="24"/>
          <w:szCs w:val="24"/>
        </w:rPr>
        <w:t xml:space="preserve">The </w:t>
      </w:r>
      <w:r>
        <w:rPr>
          <w:rFonts w:ascii="Times New Roman" w:eastAsia="Times New Roman" w:hAnsi="Times New Roman"/>
          <w:sz w:val="24"/>
          <w:szCs w:val="24"/>
        </w:rPr>
        <w:t xml:space="preserve">Court agreed with the </w:t>
      </w:r>
      <w:r w:rsidRPr="00A33FA3">
        <w:rPr>
          <w:rFonts w:ascii="Times New Roman" w:eastAsia="Times New Roman" w:hAnsi="Times New Roman"/>
          <w:sz w:val="24"/>
          <w:szCs w:val="24"/>
        </w:rPr>
        <w:t>Administrative Law Judge</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there</w:t>
      </w:r>
      <w:proofErr w:type="gramEnd"/>
      <w:r>
        <w:rPr>
          <w:rFonts w:ascii="Times New Roman" w:eastAsia="Times New Roman" w:hAnsi="Times New Roman"/>
          <w:sz w:val="24"/>
          <w:szCs w:val="24"/>
        </w:rPr>
        <w:t xml:space="preserve"> firefighter was performing </w:t>
      </w:r>
      <w:proofErr w:type="gramStart"/>
      <w:r>
        <w:rPr>
          <w:rFonts w:ascii="Times New Roman" w:eastAsia="Times New Roman" w:hAnsi="Times New Roman"/>
          <w:sz w:val="24"/>
          <w:szCs w:val="24"/>
        </w:rPr>
        <w:t>task</w:t>
      </w:r>
      <w:proofErr w:type="gramEnd"/>
      <w:r>
        <w:rPr>
          <w:rFonts w:ascii="Times New Roman" w:eastAsia="Times New Roman" w:hAnsi="Times New Roman"/>
          <w:sz w:val="24"/>
          <w:szCs w:val="24"/>
        </w:rPr>
        <w:t xml:space="preserve"> he had done many times.</w:t>
      </w:r>
    </w:p>
    <w:p w14:paraId="60C890DC" w14:textId="77777777" w:rsidR="00BC4628" w:rsidRPr="00A33FA3" w:rsidRDefault="00BC4628" w:rsidP="00BC4628">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The Court held: </w:t>
      </w:r>
      <w:r>
        <w:rPr>
          <w:rFonts w:ascii="Times New Roman" w:hAnsi="Times New Roman"/>
          <w:sz w:val="24"/>
          <w:szCs w:val="24"/>
        </w:rPr>
        <w:t>“</w:t>
      </w:r>
      <w:r w:rsidRPr="00A33FA3">
        <w:rPr>
          <w:rFonts w:ascii="Times New Roman" w:hAnsi="Times New Roman"/>
          <w:sz w:val="24"/>
          <w:szCs w:val="24"/>
        </w:rPr>
        <w:t>Petitioner testified he was injured while transferring a patient from a stretcher to the catheterization table, a job duty he had performed ‘hundreds of time[s]’ and was trained to do. It was petitioner's work effort that caused his disability. He stated it was common for patients to be ‘freaking out.</w:t>
      </w:r>
      <w:r>
        <w:rPr>
          <w:rFonts w:ascii="Times New Roman" w:hAnsi="Times New Roman"/>
          <w:sz w:val="24"/>
          <w:szCs w:val="24"/>
        </w:rPr>
        <w:t xml:space="preserve">’ </w:t>
      </w:r>
      <w:r w:rsidRPr="00A33FA3">
        <w:rPr>
          <w:rFonts w:ascii="Times New Roman" w:hAnsi="Times New Roman"/>
          <w:sz w:val="24"/>
          <w:szCs w:val="24"/>
        </w:rPr>
        <w:t xml:space="preserve">Therefore, it was not unexpected for a patient to be uncooperative during the transfer process. Moreover, he </w:t>
      </w:r>
      <w:proofErr w:type="gramStart"/>
      <w:r w:rsidRPr="00A33FA3">
        <w:rPr>
          <w:rFonts w:ascii="Times New Roman" w:hAnsi="Times New Roman"/>
          <w:sz w:val="24"/>
          <w:szCs w:val="24"/>
        </w:rPr>
        <w:t>testified</w:t>
      </w:r>
      <w:proofErr w:type="gramEnd"/>
      <w:r w:rsidRPr="00A33FA3">
        <w:rPr>
          <w:rFonts w:ascii="Times New Roman" w:hAnsi="Times New Roman"/>
          <w:sz w:val="24"/>
          <w:szCs w:val="24"/>
        </w:rPr>
        <w:t xml:space="preserve"> the way in which he transfers a patient-using a double </w:t>
      </w:r>
      <w:proofErr w:type="gramStart"/>
      <w:r w:rsidRPr="00A33FA3">
        <w:rPr>
          <w:rFonts w:ascii="Times New Roman" w:hAnsi="Times New Roman"/>
          <w:sz w:val="24"/>
          <w:szCs w:val="24"/>
        </w:rPr>
        <w:t>sheet-‘</w:t>
      </w:r>
      <w:proofErr w:type="gramEnd"/>
      <w:r w:rsidRPr="00A33FA3">
        <w:rPr>
          <w:rFonts w:ascii="Times New Roman" w:hAnsi="Times New Roman"/>
          <w:sz w:val="24"/>
          <w:szCs w:val="24"/>
        </w:rPr>
        <w:t xml:space="preserve">makes it a lot easier to move . . . a patient </w:t>
      </w:r>
      <w:proofErr w:type="gramStart"/>
      <w:r w:rsidRPr="00A33FA3">
        <w:rPr>
          <w:rFonts w:ascii="Times New Roman" w:hAnsi="Times New Roman"/>
          <w:sz w:val="24"/>
          <w:szCs w:val="24"/>
        </w:rPr>
        <w:t>that[] [</w:t>
      </w:r>
      <w:proofErr w:type="gramEnd"/>
      <w:r w:rsidRPr="00A33FA3">
        <w:rPr>
          <w:rFonts w:ascii="Times New Roman" w:hAnsi="Times New Roman"/>
          <w:sz w:val="24"/>
          <w:szCs w:val="24"/>
        </w:rPr>
        <w:t>is] not cooperating.’ It was not an ‘unexpected happening’ that petitioner would need to help a patient to prevent a fall during a transfer.”</w:t>
      </w:r>
      <w:r>
        <w:rPr>
          <w:rFonts w:ascii="Times New Roman" w:hAnsi="Times New Roman"/>
          <w:sz w:val="24"/>
          <w:szCs w:val="24"/>
        </w:rPr>
        <w:t xml:space="preserve"> </w:t>
      </w:r>
      <w:hyperlink r:id="rId1136" w:history="1">
        <w:r w:rsidRPr="00812663">
          <w:rPr>
            <w:rStyle w:val="Hyperlink"/>
            <w:sz w:val="24"/>
            <w:szCs w:val="24"/>
          </w:rPr>
          <w:t>https://www.njcourts.gov/system/files/court-opinions/2023/a3333-21.pdf</w:t>
        </w:r>
      </w:hyperlink>
      <w:r>
        <w:rPr>
          <w:rFonts w:ascii="Times New Roman" w:eastAsia="Times New Roman" w:hAnsi="Times New Roman"/>
          <w:sz w:val="24"/>
          <w:szCs w:val="24"/>
        </w:rPr>
        <w:t xml:space="preserve"> </w:t>
      </w:r>
    </w:p>
    <w:p w14:paraId="35D0F98C" w14:textId="77777777" w:rsidR="00BC4628" w:rsidRPr="00954CB5" w:rsidRDefault="00BC4628" w:rsidP="00BC4628">
      <w:pPr>
        <w:spacing w:before="100" w:beforeAutospacing="1" w:after="100" w:afterAutospacing="1" w:line="240" w:lineRule="auto"/>
        <w:rPr>
          <w:rFonts w:ascii="Times New Roman" w:eastAsia="Times New Roman" w:hAnsi="Times New Roman"/>
          <w:b/>
          <w:bCs/>
          <w:sz w:val="24"/>
          <w:szCs w:val="24"/>
        </w:rPr>
      </w:pPr>
      <w:r w:rsidRPr="00954CB5">
        <w:rPr>
          <w:rFonts w:ascii="Times New Roman" w:hAnsi="Times New Roman"/>
          <w:b/>
          <w:bCs/>
          <w:sz w:val="24"/>
          <w:szCs w:val="24"/>
        </w:rPr>
        <w:t xml:space="preserve">Legal Lesson Learned: Under NJ law, accidental disability </w:t>
      </w:r>
      <w:r>
        <w:rPr>
          <w:rFonts w:ascii="Times New Roman" w:hAnsi="Times New Roman"/>
          <w:b/>
          <w:bCs/>
          <w:sz w:val="24"/>
          <w:szCs w:val="24"/>
        </w:rPr>
        <w:t xml:space="preserve">with enhanced compensation </w:t>
      </w:r>
      <w:r w:rsidRPr="00954CB5">
        <w:rPr>
          <w:rFonts w:ascii="Times New Roman" w:hAnsi="Times New Roman"/>
          <w:b/>
          <w:bCs/>
          <w:sz w:val="24"/>
          <w:szCs w:val="24"/>
        </w:rPr>
        <w:t>is only for fire &amp; EMS personnel "permanently and totally disabled as a direct result of a traumatic event occurring during and as a result of the performance of [their] regular or assigned duties.”</w:t>
      </w:r>
    </w:p>
    <w:p w14:paraId="10277B32" w14:textId="77777777" w:rsidR="00BC4628" w:rsidRDefault="00BC4628" w:rsidP="00EF1133">
      <w:pPr>
        <w:rPr>
          <w:rFonts w:ascii="Arial Black" w:hAnsi="Arial Black"/>
          <w:b/>
          <w:sz w:val="24"/>
          <w:szCs w:val="24"/>
        </w:rPr>
      </w:pPr>
    </w:p>
    <w:p w14:paraId="00D2A871" w14:textId="6213896E" w:rsidR="00BC4628" w:rsidRDefault="00BC4628" w:rsidP="00EF1133">
      <w:pPr>
        <w:rPr>
          <w:rFonts w:ascii="Arial Black" w:hAnsi="Arial Black"/>
          <w:b/>
          <w:sz w:val="24"/>
          <w:szCs w:val="24"/>
        </w:rPr>
      </w:pPr>
      <w:r>
        <w:rPr>
          <w:rFonts w:ascii="Arial Black" w:hAnsi="Arial Black"/>
          <w:b/>
          <w:sz w:val="24"/>
          <w:szCs w:val="24"/>
        </w:rPr>
        <w:t>6-11</w:t>
      </w:r>
      <w:r w:rsidR="002A0697">
        <w:rPr>
          <w:rFonts w:ascii="Arial Black" w:hAnsi="Arial Black"/>
          <w:b/>
          <w:sz w:val="24"/>
          <w:szCs w:val="24"/>
        </w:rPr>
        <w:t>5</w:t>
      </w:r>
    </w:p>
    <w:p w14:paraId="25C2ED0E" w14:textId="77777777" w:rsidR="00BC4628" w:rsidRPr="00FE3A79" w:rsidRDefault="00BC4628" w:rsidP="00BC4628">
      <w:pPr>
        <w:pStyle w:val="NormalWeb"/>
        <w:rPr>
          <w:rFonts w:ascii="Arial Black" w:hAnsi="Arial Black"/>
          <w:sz w:val="28"/>
          <w:szCs w:val="28"/>
        </w:rPr>
      </w:pPr>
      <w:r>
        <w:rPr>
          <w:rFonts w:ascii="Arial Black" w:hAnsi="Arial Black"/>
          <w:sz w:val="28"/>
          <w:szCs w:val="28"/>
        </w:rPr>
        <w:t>RI: RETIRED PROVIDENCE FF – CANCER – COVERED BY STATE’S DISABILITY, EVEN IF CITY HAS RETIREMENT PLAN</w:t>
      </w:r>
    </w:p>
    <w:p w14:paraId="420CF6DF" w14:textId="77777777" w:rsidR="00BC4628" w:rsidRDefault="00BC4628" w:rsidP="00BC4628">
      <w:pPr>
        <w:pStyle w:val="NormalWeb"/>
      </w:pPr>
      <w:r>
        <w:t xml:space="preserve">On June 26, 2023, in </w:t>
      </w:r>
      <w:r w:rsidRPr="00FE3A79">
        <w:rPr>
          <w:u w:val="single"/>
        </w:rPr>
        <w:t xml:space="preserve">The Providence Retired Police </w:t>
      </w:r>
      <w:proofErr w:type="gramStart"/>
      <w:r w:rsidRPr="00FE3A79">
        <w:rPr>
          <w:u w:val="single"/>
        </w:rPr>
        <w:t>And</w:t>
      </w:r>
      <w:proofErr w:type="gramEnd"/>
      <w:r w:rsidRPr="00FE3A79">
        <w:rPr>
          <w:u w:val="single"/>
        </w:rPr>
        <w:t xml:space="preserve"> Firefighter’s Association v. The City of Providence</w:t>
      </w:r>
      <w:r>
        <w:t xml:space="preserve">, Judge </w:t>
      </w:r>
      <w:r w:rsidRPr="00FE3A79">
        <w:t>R. David Cruise</w:t>
      </w:r>
      <w:r>
        <w:t xml:space="preserve">, Superior Court of Rhode Island, held that retired Providence firefighters, who develop cancer, are covered for disability benefits under the state’s 1986 statutory presumption law, even though City of Providence does not participate in the State’s “Municipal Employee Retirement System” and in 2008 enacted its own statutory presumption ordinance under its retirement plan.  </w:t>
      </w:r>
    </w:p>
    <w:p w14:paraId="0667991D" w14:textId="77777777" w:rsidR="00BC4628" w:rsidRDefault="00BC4628" w:rsidP="00BC4628">
      <w:pPr>
        <w:pStyle w:val="NormalWeb"/>
      </w:pPr>
      <w:r>
        <w:t>The Court held: “</w:t>
      </w:r>
      <w:r w:rsidRPr="00981B02">
        <w:t xml:space="preserve">The Court agrees with Plaintiff that our Supreme Court's decision in </w:t>
      </w:r>
      <w:r w:rsidRPr="00981B02">
        <w:rPr>
          <w:rStyle w:val="Emphasis"/>
          <w:rFonts w:eastAsiaTheme="majorEastAsia"/>
        </w:rPr>
        <w:t>East Providence</w:t>
      </w:r>
      <w:r w:rsidRPr="00981B02">
        <w:t xml:space="preserve"> </w:t>
      </w:r>
      <w:r w:rsidRPr="004F140E">
        <w:t>[</w:t>
      </w:r>
      <w:r w:rsidRPr="004F140E">
        <w:rPr>
          <w:rStyle w:val="Emphasis"/>
          <w:rFonts w:eastAsiaTheme="majorEastAsia"/>
        </w:rPr>
        <w:t>v. IAFF Local,</w:t>
      </w:r>
      <w:r w:rsidRPr="004F140E">
        <w:t xml:space="preserve"> 850, 982 A.2d 1281 (R.I. 2009)],</w:t>
      </w:r>
      <w:r>
        <w:t xml:space="preserve"> s</w:t>
      </w:r>
      <w:r w:rsidRPr="00981B02">
        <w:t xml:space="preserve">upports that § 45-19.1-3 does not restrict its application to only firefighters of municipalities that participate in the MERS…. Furthermore, it is apparent that § 45-19.1-3 was intended to provide cancer disability benefits to </w:t>
      </w:r>
      <w:r w:rsidRPr="00981B02">
        <w:rPr>
          <w:rStyle w:val="Emphasis"/>
          <w:rFonts w:eastAsiaTheme="majorEastAsia"/>
        </w:rPr>
        <w:t>all</w:t>
      </w:r>
      <w:r w:rsidRPr="00981B02">
        <w:t xml:space="preserve"> firefighters in the State, in accordance with the legislative intent and our Supreme Court's explanation in </w:t>
      </w:r>
      <w:r w:rsidRPr="00981B02">
        <w:rPr>
          <w:rStyle w:val="Emphasis"/>
          <w:rFonts w:eastAsiaTheme="majorEastAsia"/>
        </w:rPr>
        <w:t>East Providence</w:t>
      </w:r>
      <w:r w:rsidRPr="00981B02">
        <w:t>, and it would be absurd for the Court to conclude that Providence firefighters are excluded from said benefits when § 45-19.1-3 is meant to apply to all firefighters.</w:t>
      </w:r>
      <w:r>
        <w:t xml:space="preserve">” </w:t>
      </w:r>
      <w:hyperlink r:id="rId1137" w:history="1">
        <w:r w:rsidRPr="00812663">
          <w:rPr>
            <w:rStyle w:val="Hyperlink"/>
          </w:rPr>
          <w:t>https://casetext.com/case/the-providence-retired-police-firefighters-assn-v-city-of-providence</w:t>
        </w:r>
      </w:hyperlink>
      <w:r>
        <w:t xml:space="preserve"> </w:t>
      </w:r>
    </w:p>
    <w:p w14:paraId="4385A2DC" w14:textId="77777777" w:rsidR="00BC4628" w:rsidRDefault="00BC4628" w:rsidP="00BC4628">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The state-wide retirement system fortunately includes a statutory presumption for cancer that includes retirees. </w:t>
      </w:r>
    </w:p>
    <w:p w14:paraId="78C5A6F6" w14:textId="77777777" w:rsidR="00BC4628" w:rsidRPr="00F115F8" w:rsidRDefault="00BC4628" w:rsidP="00BC4628">
      <w:pPr>
        <w:pStyle w:val="Heading1"/>
        <w:ind w:left="720"/>
        <w:rPr>
          <w:b w:val="0"/>
          <w:bCs w:val="0"/>
          <w:sz w:val="24"/>
          <w:szCs w:val="24"/>
        </w:rPr>
      </w:pPr>
      <w:r w:rsidRPr="00F115F8">
        <w:rPr>
          <w:b w:val="0"/>
          <w:bCs w:val="0"/>
          <w:kern w:val="0"/>
          <w:sz w:val="24"/>
          <w:szCs w:val="24"/>
        </w:rPr>
        <w:t xml:space="preserve">Note: See July 5, </w:t>
      </w:r>
      <w:proofErr w:type="gramStart"/>
      <w:r w:rsidRPr="00F115F8">
        <w:rPr>
          <w:b w:val="0"/>
          <w:bCs w:val="0"/>
          <w:kern w:val="0"/>
          <w:sz w:val="24"/>
          <w:szCs w:val="24"/>
        </w:rPr>
        <w:t>2023</w:t>
      </w:r>
      <w:proofErr w:type="gramEnd"/>
      <w:r w:rsidRPr="00F115F8">
        <w:rPr>
          <w:b w:val="0"/>
          <w:bCs w:val="0"/>
          <w:kern w:val="0"/>
          <w:sz w:val="24"/>
          <w:szCs w:val="24"/>
        </w:rPr>
        <w:t xml:space="preserve"> article on the case, “</w:t>
      </w:r>
      <w:r w:rsidRPr="00F115F8">
        <w:rPr>
          <w:b w:val="0"/>
          <w:bCs w:val="0"/>
          <w:sz w:val="24"/>
          <w:szCs w:val="24"/>
        </w:rPr>
        <w:t xml:space="preserve">Retired Providence firefighters not barred from cancer benefits.” </w:t>
      </w:r>
      <w:hyperlink r:id="rId1138" w:history="1">
        <w:r w:rsidRPr="00F115F8">
          <w:rPr>
            <w:rStyle w:val="Hyperlink"/>
            <w:b w:val="0"/>
            <w:bCs w:val="0"/>
            <w:sz w:val="24"/>
            <w:szCs w:val="24"/>
          </w:rPr>
          <w:t>https://rilawyersweekly.com/blog/2023/07/05/retired-providence-firefighters-not-barred-from-cancer-benefits/</w:t>
        </w:r>
      </w:hyperlink>
      <w:r w:rsidRPr="00F115F8">
        <w:rPr>
          <w:b w:val="0"/>
          <w:bCs w:val="0"/>
          <w:sz w:val="24"/>
          <w:szCs w:val="24"/>
        </w:rPr>
        <w:t xml:space="preserve"> </w:t>
      </w:r>
    </w:p>
    <w:p w14:paraId="6D74B9CB" w14:textId="77777777" w:rsidR="00BC4628" w:rsidRDefault="00BC4628" w:rsidP="00EF1133">
      <w:pPr>
        <w:rPr>
          <w:rFonts w:ascii="Arial Black" w:hAnsi="Arial Black"/>
          <w:b/>
          <w:sz w:val="24"/>
          <w:szCs w:val="24"/>
        </w:rPr>
      </w:pPr>
    </w:p>
    <w:p w14:paraId="09F4F789" w14:textId="4BCAF48C" w:rsidR="00FE60DA" w:rsidRDefault="00BC4628" w:rsidP="00EF1133">
      <w:pPr>
        <w:rPr>
          <w:rFonts w:ascii="Arial Black" w:hAnsi="Arial Black"/>
          <w:b/>
          <w:sz w:val="24"/>
          <w:szCs w:val="24"/>
        </w:rPr>
      </w:pPr>
      <w:r>
        <w:rPr>
          <w:rFonts w:ascii="Arial Black" w:hAnsi="Arial Black"/>
          <w:b/>
          <w:sz w:val="24"/>
          <w:szCs w:val="24"/>
        </w:rPr>
        <w:t>6-11</w:t>
      </w:r>
      <w:r w:rsidR="002A0697">
        <w:rPr>
          <w:rFonts w:ascii="Arial Black" w:hAnsi="Arial Black"/>
          <w:b/>
          <w:sz w:val="24"/>
          <w:szCs w:val="24"/>
        </w:rPr>
        <w:t>4</w:t>
      </w:r>
    </w:p>
    <w:p w14:paraId="3280DD8E" w14:textId="77777777" w:rsidR="00BC4628" w:rsidRDefault="00BC4628" w:rsidP="00BC4628">
      <w:pPr>
        <w:pStyle w:val="NormalWeb"/>
        <w:rPr>
          <w:rFonts w:ascii="Arial Black" w:hAnsi="Arial Black"/>
          <w:sz w:val="28"/>
          <w:szCs w:val="28"/>
        </w:rPr>
      </w:pPr>
      <w:r>
        <w:rPr>
          <w:rFonts w:ascii="Arial Black" w:hAnsi="Arial Black"/>
          <w:sz w:val="28"/>
          <w:szCs w:val="28"/>
        </w:rPr>
        <w:t>CT: PART-TIME FF – HEART - SEEKS DISABILITY BONUS PAID FF HIRED PRIOR JULY 1, 1996 – AVER. 20 HRS / WEEK</w:t>
      </w:r>
    </w:p>
    <w:p w14:paraId="13697E2D" w14:textId="77777777" w:rsidR="00BC4628" w:rsidRDefault="00BC4628" w:rsidP="00BC4628">
      <w:pPr>
        <w:pStyle w:val="NormalWeb"/>
      </w:pPr>
      <w:r>
        <w:t xml:space="preserve">On June 20, 2023, in </w:t>
      </w:r>
      <w:r w:rsidRPr="00993113">
        <w:rPr>
          <w:u w:val="single"/>
        </w:rPr>
        <w:t xml:space="preserve">Christopher A. Clark v. Town of Waterford, </w:t>
      </w:r>
      <w:proofErr w:type="spellStart"/>
      <w:r w:rsidRPr="00993113">
        <w:rPr>
          <w:u w:val="single"/>
        </w:rPr>
        <w:t>Cohanzie</w:t>
      </w:r>
      <w:proofErr w:type="spellEnd"/>
      <w:r w:rsidRPr="00993113">
        <w:rPr>
          <w:u w:val="single"/>
        </w:rPr>
        <w:t xml:space="preserve"> Fire Department, et al.</w:t>
      </w:r>
      <w:r>
        <w:t xml:space="preserve">, the Supreme Court of Connecticut, held (6 to 1) </w:t>
      </w:r>
      <w:r w:rsidRPr="00221594">
        <w:t>that the Town correctly contended that</w:t>
      </w:r>
      <w:r>
        <w:t xml:space="preserve"> a state statute awarding municipal police and firefighters hired prior to July 1, 1996 with enhanced benefits for heart </w:t>
      </w:r>
      <w:r w:rsidRPr="005B1FFB">
        <w:t>or hypertension disease</w:t>
      </w:r>
      <w:r>
        <w:t xml:space="preserve"> (get benefits as if they suffered on duty personal injury), but only if they worked an average of 20 hours a week or more. Case </w:t>
      </w:r>
      <w:proofErr w:type="gramStart"/>
      <w:r>
        <w:t>remanded</w:t>
      </w:r>
      <w:proofErr w:type="gramEnd"/>
      <w:r>
        <w:t xml:space="preserve"> to determine if he met this hourly requirement when he served as a part-time firefighter starting in 1992.</w:t>
      </w:r>
    </w:p>
    <w:p w14:paraId="511A3487" w14:textId="77777777" w:rsidR="00BC4628" w:rsidRPr="00993113" w:rsidRDefault="00BC4628" w:rsidP="00BC4628">
      <w:pPr>
        <w:pStyle w:val="NormalWeb"/>
      </w:pPr>
      <w:r>
        <w:t>The Court held: “</w:t>
      </w:r>
      <w:r w:rsidRPr="005B1FFB">
        <w:t xml:space="preserve">Because the </w:t>
      </w:r>
      <w:r>
        <w:t xml:space="preserve">[Workers Comp.] </w:t>
      </w:r>
      <w:r w:rsidRPr="005B1FFB">
        <w:t>commissioner did not apply the correct legal standard in failing to make a finding as to whether the plaintiff had customarily worked the requisite twenty hours per week prior to his hiring as a full-time firefighter, the plaintiff is entitled to have the commissioner decide that factual issue</w:t>
      </w:r>
      <w:r>
        <w:t xml:space="preserve">.” </w:t>
      </w:r>
      <w:hyperlink r:id="rId1139" w:history="1">
        <w:r w:rsidRPr="00812663">
          <w:rPr>
            <w:rStyle w:val="Hyperlink"/>
          </w:rPr>
          <w:t>https://casetext.com/case/clark-v-town-of-waterford-1</w:t>
        </w:r>
      </w:hyperlink>
      <w:r>
        <w:t xml:space="preserve"> </w:t>
      </w:r>
    </w:p>
    <w:p w14:paraId="5DD3720F" w14:textId="77777777" w:rsidR="00BC4628" w:rsidRPr="00295415" w:rsidRDefault="00BC4628" w:rsidP="00BC4628">
      <w:pPr>
        <w:pStyle w:val="NormalWeb"/>
        <w:rPr>
          <w:b/>
          <w:bCs/>
        </w:rPr>
      </w:pPr>
      <w:r w:rsidRPr="00295415">
        <w:rPr>
          <w:b/>
          <w:bCs/>
        </w:rPr>
        <w:t xml:space="preserve">Legal Lesson Learned: </w:t>
      </w:r>
      <w:r>
        <w:rPr>
          <w:b/>
          <w:bCs/>
        </w:rPr>
        <w:t>This is unusual decision; per the Dissent, the Court is reversing 70 years of history awarding disability benefits to all uniformed members of municipal fire departments.</w:t>
      </w:r>
    </w:p>
    <w:p w14:paraId="13CBA0BD" w14:textId="77777777" w:rsidR="00BC4628" w:rsidRPr="00F115F8" w:rsidRDefault="00BC4628" w:rsidP="00BC4628">
      <w:pPr>
        <w:pStyle w:val="Heading1"/>
        <w:ind w:left="720"/>
        <w:rPr>
          <w:b w:val="0"/>
          <w:bCs w:val="0"/>
          <w:sz w:val="24"/>
          <w:szCs w:val="24"/>
        </w:rPr>
      </w:pPr>
      <w:r w:rsidRPr="00F115F8">
        <w:rPr>
          <w:b w:val="0"/>
          <w:bCs w:val="0"/>
          <w:sz w:val="24"/>
          <w:szCs w:val="24"/>
        </w:rPr>
        <w:lastRenderedPageBreak/>
        <w:t xml:space="preserve">Note: See June 26, </w:t>
      </w:r>
      <w:proofErr w:type="gramStart"/>
      <w:r w:rsidRPr="00F115F8">
        <w:rPr>
          <w:b w:val="0"/>
          <w:bCs w:val="0"/>
          <w:sz w:val="24"/>
          <w:szCs w:val="24"/>
        </w:rPr>
        <w:t>2023</w:t>
      </w:r>
      <w:proofErr w:type="gramEnd"/>
      <w:r w:rsidRPr="00F115F8">
        <w:rPr>
          <w:b w:val="0"/>
          <w:bCs w:val="0"/>
          <w:sz w:val="24"/>
          <w:szCs w:val="24"/>
        </w:rPr>
        <w:t xml:space="preserve"> article, “Connecticut High Court Nixes Workers’ Comp for Firefighter </w:t>
      </w:r>
      <w:proofErr w:type="gramStart"/>
      <w:r w:rsidRPr="00F115F8">
        <w:rPr>
          <w:b w:val="0"/>
          <w:bCs w:val="0"/>
          <w:sz w:val="24"/>
          <w:szCs w:val="24"/>
        </w:rPr>
        <w:t>With</w:t>
      </w:r>
      <w:proofErr w:type="gramEnd"/>
      <w:r w:rsidRPr="00F115F8">
        <w:rPr>
          <w:b w:val="0"/>
          <w:bCs w:val="0"/>
          <w:sz w:val="24"/>
          <w:szCs w:val="24"/>
        </w:rPr>
        <w:t xml:space="preserve"> Heart Condition.” </w:t>
      </w:r>
      <w:hyperlink r:id="rId1140" w:history="1">
        <w:r w:rsidRPr="00F115F8">
          <w:rPr>
            <w:rStyle w:val="Hyperlink"/>
            <w:b w:val="0"/>
            <w:bCs w:val="0"/>
            <w:sz w:val="24"/>
            <w:szCs w:val="24"/>
          </w:rPr>
          <w:t>https://www.insurancejournal.com/news/east/2023/06/26/727250.htm#</w:t>
        </w:r>
      </w:hyperlink>
      <w:r w:rsidRPr="00F115F8">
        <w:rPr>
          <w:b w:val="0"/>
          <w:bCs w:val="0"/>
          <w:sz w:val="24"/>
          <w:szCs w:val="24"/>
        </w:rPr>
        <w:t xml:space="preserve"> </w:t>
      </w:r>
    </w:p>
    <w:p w14:paraId="61B687B4" w14:textId="77777777" w:rsidR="00BC4628" w:rsidRDefault="00BC4628" w:rsidP="00EF1133">
      <w:pPr>
        <w:rPr>
          <w:rFonts w:ascii="Arial Black" w:hAnsi="Arial Black"/>
          <w:b/>
          <w:sz w:val="24"/>
          <w:szCs w:val="24"/>
        </w:rPr>
      </w:pPr>
    </w:p>
    <w:p w14:paraId="580EF268" w14:textId="77777777" w:rsidR="00FE60DA" w:rsidRDefault="00FE60DA" w:rsidP="00EF1133">
      <w:pPr>
        <w:rPr>
          <w:rFonts w:ascii="Arial Black" w:hAnsi="Arial Black"/>
          <w:b/>
          <w:sz w:val="24"/>
          <w:szCs w:val="24"/>
        </w:rPr>
      </w:pPr>
    </w:p>
    <w:p w14:paraId="674FB872" w14:textId="778F9BC4" w:rsidR="00477016" w:rsidRDefault="00477016" w:rsidP="00EF1133">
      <w:pPr>
        <w:rPr>
          <w:rFonts w:ascii="Arial Black" w:hAnsi="Arial Black"/>
          <w:b/>
          <w:sz w:val="24"/>
          <w:szCs w:val="24"/>
        </w:rPr>
      </w:pPr>
      <w:r>
        <w:rPr>
          <w:rFonts w:ascii="Arial Black" w:hAnsi="Arial Black"/>
          <w:b/>
          <w:sz w:val="24"/>
          <w:szCs w:val="24"/>
        </w:rPr>
        <w:t>6-11</w:t>
      </w:r>
      <w:r w:rsidR="002A0697">
        <w:rPr>
          <w:rFonts w:ascii="Arial Black" w:hAnsi="Arial Black"/>
          <w:b/>
          <w:sz w:val="24"/>
          <w:szCs w:val="24"/>
        </w:rPr>
        <w:t>3</w:t>
      </w:r>
    </w:p>
    <w:p w14:paraId="3DF14A5F" w14:textId="77777777" w:rsidR="00477016" w:rsidRPr="00683B6E" w:rsidRDefault="00477016" w:rsidP="00477016">
      <w:pPr>
        <w:pStyle w:val="NormalWeb"/>
        <w:rPr>
          <w:rStyle w:val="markedcontent"/>
          <w:rFonts w:ascii="Arial Black" w:hAnsi="Arial Black"/>
          <w:sz w:val="28"/>
          <w:szCs w:val="28"/>
        </w:rPr>
      </w:pPr>
      <w:bookmarkStart w:id="226" w:name="_Hlk136859176"/>
      <w:r>
        <w:rPr>
          <w:rStyle w:val="markedcontent"/>
          <w:rFonts w:ascii="Arial Black" w:hAnsi="Arial Black"/>
          <w:sz w:val="28"/>
          <w:szCs w:val="28"/>
        </w:rPr>
        <w:t xml:space="preserve">MI:  ARMY FF NOT PROMOTED CAPTAIN – RATED BELOW 2 OTHERS – NO RETALITION / COMMENTS HIS “B-SIZE BRA” </w:t>
      </w:r>
    </w:p>
    <w:bookmarkEnd w:id="226"/>
    <w:p w14:paraId="6CBEFE58" w14:textId="77777777" w:rsidR="00477016" w:rsidRDefault="00477016" w:rsidP="00477016">
      <w:pPr>
        <w:pStyle w:val="NormalWeb"/>
      </w:pPr>
      <w:r>
        <w:rPr>
          <w:rStyle w:val="markedcontent"/>
        </w:rPr>
        <w:t xml:space="preserve">On June 2, 2023, in </w:t>
      </w:r>
      <w:r w:rsidRPr="00CD5BF6">
        <w:rPr>
          <w:rStyle w:val="markedcontent"/>
          <w:u w:val="single"/>
        </w:rPr>
        <w:t>Joe Dasilva v. Mark Esper, et al</w:t>
      </w:r>
      <w:r>
        <w:rPr>
          <w:rStyle w:val="markedcontent"/>
        </w:rPr>
        <w:t xml:space="preserve">., U.S. District Court Judge Mark A. </w:t>
      </w:r>
      <w:proofErr w:type="spellStart"/>
      <w:r>
        <w:rPr>
          <w:rStyle w:val="markedcontent"/>
        </w:rPr>
        <w:t>Golsmith</w:t>
      </w:r>
      <w:proofErr w:type="spellEnd"/>
      <w:r>
        <w:rPr>
          <w:rStyle w:val="markedcontent"/>
        </w:rPr>
        <w:t xml:space="preserve">, U.S. District Court for Eastern District of Michigan, Southern Division, granted U.S, Army’s motion for summary judgment, dismissing the lawsuit by the firefighter / EMT.  He claimed that the Chief of the Fire Division, </w:t>
      </w:r>
      <w:r>
        <w:t xml:space="preserve">Martin Potter, </w:t>
      </w:r>
      <w:r>
        <w:rPr>
          <w:rStyle w:val="markedcontent"/>
        </w:rPr>
        <w:t xml:space="preserve">who served on the three-member promotion panel in 2019, denied him promotion because he had filed EEOC complaints against him in 2017 and 2018 after comments  such as, </w:t>
      </w:r>
      <w:r>
        <w:t xml:space="preserve">“I bet you can wear a B-sized bra.” </w:t>
      </w:r>
      <w:hyperlink r:id="rId1141" w:history="1">
        <w:r w:rsidRPr="005E5A42">
          <w:rPr>
            <w:rStyle w:val="Hyperlink"/>
          </w:rPr>
          <w:t>https://casetext.com/case/dasilva-v-esper-1</w:t>
        </w:r>
      </w:hyperlink>
      <w:r>
        <w:t xml:space="preserve"> </w:t>
      </w:r>
    </w:p>
    <w:p w14:paraId="76305C05" w14:textId="77777777" w:rsidR="00477016" w:rsidRDefault="00477016" w:rsidP="00477016">
      <w:pPr>
        <w:pStyle w:val="NormalWeb"/>
        <w:ind w:left="720"/>
      </w:pPr>
      <w:r>
        <w:t>“Dasilva alleges that Potter created a hostile work environment by sexually harassing him…. According to Dasilva, Potter ‘continuously’ told him from 2008 until 2018, ‘I bet you can wear a B-sized bra….’ Potter also allegedly once asked Dasilva how much breast implants cost and once stated, ‘Hey, Dasilva [bet] you can . . . hold this pencil under . . . your breasts</w:t>
      </w:r>
      <w:proofErr w:type="gramStart"/>
      <w:r>
        <w:t>…..</w:t>
      </w:r>
      <w:proofErr w:type="gramEnd"/>
      <w:r>
        <w:t>”’ Dasilva further asserts that Potter retaliated against him for reporting the sexual harassment. *** The Army asserts that Dasilva was not selected for the position of captain because he was less qualified than the candidate who was selected, Shane Biehl…. The three individuals who interviewed and rated Dasilva's abilities when Dasilva applied for the position-Potter, Assistant Chief Adam Todd, and Assistant Chief Lesley Tillman-submitted declarations stating that they did not deem Dasilva qualified for the position…. The rating criteria sheets attached to the declarations show that all three individuals rated Dasilva the second lowest of the eight individuals who applied for the position</w:t>
      </w:r>
      <w:proofErr w:type="gramStart"/>
      <w:r>
        <w:t>…..</w:t>
      </w:r>
      <w:proofErr w:type="gramEnd"/>
      <w:r>
        <w:t xml:space="preserve"> Out of 110 total points, they scored the highest-scoring applicant between 48-52 points higher than Dasilva…. The interview rating sheets attached to the declarations show that Potter and Tillman found that Dasilva did not demonstrate leadership performance skills….Todd's interview rating sheet shows that Todd found that Dasilva lacked evidence of numerous performance skills, including leadership, customer service, motivating others, team building, and ‘planning, prioritizing, and goal setting…..’ It also states that Dasilva ‘does not demonstrate abilities needed to effectively lead at the GS-8 level’ and ‘should continue to improve and work </w:t>
      </w:r>
      <w:proofErr w:type="spellStart"/>
      <w:r>
        <w:t>towar</w:t>
      </w:r>
      <w:proofErr w:type="spellEnd"/>
      <w:r>
        <w:t>[d] engaging in activity to help….’ Defendants' reason for not promoting Dasilva to captain-that he was not qualified-satisfies their burden of proof at this stage.”</w:t>
      </w:r>
    </w:p>
    <w:p w14:paraId="384714F1" w14:textId="77777777" w:rsidR="00477016" w:rsidRPr="000D14A8" w:rsidRDefault="00477016" w:rsidP="00477016">
      <w:pPr>
        <w:pStyle w:val="NormalWeb"/>
        <w:rPr>
          <w:b/>
          <w:bCs/>
        </w:rPr>
      </w:pPr>
      <w:r w:rsidRPr="000D14A8">
        <w:rPr>
          <w:b/>
          <w:bCs/>
        </w:rPr>
        <w:t>Legal Lesson Learned:</w:t>
      </w:r>
      <w:r>
        <w:rPr>
          <w:b/>
          <w:bCs/>
        </w:rPr>
        <w:t xml:space="preserve"> Promotion panel score sheets carry great weight.  FD officers need to be cautious about comments on firefighter appearance – male or female. </w:t>
      </w:r>
    </w:p>
    <w:p w14:paraId="0F43FA98" w14:textId="77777777" w:rsidR="00477016" w:rsidRDefault="00477016" w:rsidP="00EF1133">
      <w:pPr>
        <w:rPr>
          <w:rFonts w:ascii="Arial Black" w:hAnsi="Arial Black"/>
          <w:b/>
          <w:sz w:val="24"/>
          <w:szCs w:val="24"/>
        </w:rPr>
      </w:pPr>
    </w:p>
    <w:p w14:paraId="1CE03F25" w14:textId="3875709E" w:rsidR="00477016" w:rsidRDefault="00477016" w:rsidP="00EF1133">
      <w:pPr>
        <w:rPr>
          <w:rFonts w:ascii="Arial Black" w:hAnsi="Arial Black"/>
          <w:b/>
          <w:sz w:val="24"/>
          <w:szCs w:val="24"/>
        </w:rPr>
      </w:pPr>
      <w:r>
        <w:rPr>
          <w:rFonts w:ascii="Arial Black" w:hAnsi="Arial Black"/>
          <w:b/>
          <w:sz w:val="24"/>
          <w:szCs w:val="24"/>
        </w:rPr>
        <w:t>6-11</w:t>
      </w:r>
      <w:r w:rsidR="002A0697">
        <w:rPr>
          <w:rFonts w:ascii="Arial Black" w:hAnsi="Arial Black"/>
          <w:b/>
          <w:sz w:val="24"/>
          <w:szCs w:val="24"/>
        </w:rPr>
        <w:t>2</w:t>
      </w:r>
    </w:p>
    <w:p w14:paraId="2271E22E" w14:textId="77777777" w:rsidR="00477016" w:rsidRPr="00907F57" w:rsidRDefault="00477016" w:rsidP="00477016">
      <w:pPr>
        <w:pStyle w:val="NormalWeb"/>
        <w:rPr>
          <w:rFonts w:ascii="Arial Black" w:hAnsi="Arial Black"/>
          <w:sz w:val="28"/>
          <w:szCs w:val="28"/>
        </w:rPr>
      </w:pPr>
      <w:bookmarkStart w:id="227" w:name="_Hlk136859401"/>
      <w:r>
        <w:rPr>
          <w:rFonts w:ascii="Arial Black" w:hAnsi="Arial Black"/>
          <w:sz w:val="28"/>
          <w:szCs w:val="28"/>
        </w:rPr>
        <w:t xml:space="preserve">IL: GAY CHICAGO FF – CLAIMS FEMALE MGR. ASKED FOR SEX / HARASSED – CITY SLOW INVEST. - CASE PROCEED </w:t>
      </w:r>
    </w:p>
    <w:bookmarkEnd w:id="227"/>
    <w:p w14:paraId="05FEBEC7" w14:textId="77777777" w:rsidR="00477016" w:rsidRDefault="00477016" w:rsidP="00477016">
      <w:pPr>
        <w:pStyle w:val="NormalWeb"/>
      </w:pPr>
      <w:r>
        <w:lastRenderedPageBreak/>
        <w:t xml:space="preserve">On May 18, 2023, in </w:t>
      </w:r>
      <w:r w:rsidRPr="001D0C15">
        <w:rPr>
          <w:u w:val="single"/>
        </w:rPr>
        <w:t>James Mundo v. City of Chicago and Janice Hogan</w:t>
      </w:r>
      <w:r>
        <w:t xml:space="preserve">, U.S. District Court Judge Matthew F. Kennelly, U.S. District Court for Northern District of Illinois, Eastern Division, denied the City’s motion for summary judgment on firefighter’s asserts a hostile work environment claim under Title VII of the Civil Rights Act of 1964.   The Court described allegations.  </w:t>
      </w:r>
      <w:hyperlink r:id="rId1142" w:history="1">
        <w:r w:rsidRPr="00B93E1E">
          <w:rPr>
            <w:rStyle w:val="Hyperlink"/>
            <w:rFonts w:eastAsiaTheme="majorEastAsia"/>
          </w:rPr>
          <w:t>https://public.fastcase.com/ZZhmr5v9wN%2FXOe5IsQ%2FqD20iR7BWmLId4hSDI3nXqVWgPhPXw%2BQtkDECKs6HrcpaaA0bYVe7yei9SfZEfso10IPB%2B%2BM5XAOSsASvTO6V770%3D?utm_medium=email&amp;_hsmi=226712652&amp;_hsenc=p2ANqtz-8Ok8gGNpyLe8hTDi80EaJgVLaHo-pifPeTe8oohUIZEvo8GKO7wbe6cb01t7sw656xUcVdVRiPGkXPM8qU1b5G_smouQ&amp;utm_content=226712652&amp;utm_source=hs_email</w:t>
        </w:r>
      </w:hyperlink>
      <w:r>
        <w:t xml:space="preserve"> </w:t>
      </w:r>
    </w:p>
    <w:p w14:paraId="18E99763" w14:textId="77777777" w:rsidR="00477016" w:rsidRDefault="00477016" w:rsidP="00477016">
      <w:pPr>
        <w:pStyle w:val="NormalWeb"/>
        <w:ind w:left="720"/>
      </w:pPr>
      <w:r>
        <w:t xml:space="preserve">“On October 5, 2018, Mundo and his husband Dave met with Malec [Steven Malec, the Assistant Commissioner of Internal Affairs] over lunch. During their meeting, Mundo handed Malec a six page, typed document listing </w:t>
      </w:r>
      <w:proofErr w:type="gramStart"/>
      <w:r>
        <w:t>a number of</w:t>
      </w:r>
      <w:proofErr w:type="gramEnd"/>
      <w:r>
        <w:t xml:space="preserve"> instances of sexual harassment that he said he had experienced at Hogan's hands. *** The entries range from October 1, </w:t>
      </w:r>
      <w:proofErr w:type="gramStart"/>
      <w:r>
        <w:t>2016</w:t>
      </w:r>
      <w:proofErr w:type="gramEnd"/>
      <w:r>
        <w:t xml:space="preserve"> to October 11, 2018. The reported incidents include, among other things: Hogan repeatedly asking Mundo to have sex with her and to masturbate in front of her (and on one occasion, onto her phone); hitting Mundo over the head; undressing in front of him at least twenty times; making comments about her genitalia and comparing it to a flower; saying that she and Mundo would be perfect together if he wasn't gay; using homophobic slurs; saying that she needed to ‘get laid; and threatening to send Mundo back to the field if he didn't comply with her demands. *** Deputy Commissioner Vasquez and </w:t>
      </w:r>
      <w:proofErr w:type="spellStart"/>
      <w:r>
        <w:t>DeCamp</w:t>
      </w:r>
      <w:proofErr w:type="spellEnd"/>
      <w:r>
        <w:t xml:space="preserve"> did not sit down with Hogan </w:t>
      </w:r>
      <w:r w:rsidRPr="001D0C15">
        <w:t>[Deputy Chief of L</w:t>
      </w:r>
      <w:r>
        <w:t xml:space="preserve">abor Relations Division] until a month after Mundo made his official complaint, and in the interim they allowed her to remain in her then-current position. After their interview, Vasquez and </w:t>
      </w:r>
      <w:proofErr w:type="spellStart"/>
      <w:r>
        <w:t>DeCamp</w:t>
      </w:r>
      <w:proofErr w:type="spellEnd"/>
      <w:r>
        <w:t xml:space="preserve"> allowed Hogan to move back to her career service rank of firefighter/paramedic despite her admission that she had engaged in some of the conduct that Mundo accused her of. Moreover, the EEO Division did not begin conducting interviews </w:t>
      </w:r>
      <w:proofErr w:type="gramStart"/>
      <w:r>
        <w:t>of</w:t>
      </w:r>
      <w:proofErr w:type="gramEnd"/>
      <w:r>
        <w:t xml:space="preserve"> </w:t>
      </w:r>
      <w:proofErr w:type="gramStart"/>
      <w:r>
        <w:t>the parties</w:t>
      </w:r>
      <w:proofErr w:type="gramEnd"/>
      <w:r>
        <w:t xml:space="preserve"> and witnesses until another month after that (December 2018). Nor did the EEO Division complete its investigation until over a year and one-half later, on July 10, 2020. And despite Commander Ford's statement that he found Hogan's conduct to be ‘egregious,’ she did not serve her suspension until almost seven months later, on January 29, 2021. Finally, although Hogan and Mundo ceased working together the very same </w:t>
      </w:r>
      <w:proofErr w:type="gramStart"/>
      <w:r>
        <w:t>day</w:t>
      </w:r>
      <w:proofErr w:type="gramEnd"/>
      <w:r>
        <w:t xml:space="preserve"> he made his complaint to Malec, a reasonable jury could find that was due to Mundo taking medical leave, not any remedial action on the City's part.” </w:t>
      </w:r>
    </w:p>
    <w:p w14:paraId="12B7E07B" w14:textId="77777777" w:rsidR="00477016" w:rsidRPr="00DB7D01" w:rsidRDefault="00477016" w:rsidP="00477016">
      <w:pPr>
        <w:pStyle w:val="NormalWeb"/>
        <w:rPr>
          <w:b/>
          <w:bCs/>
        </w:rPr>
      </w:pPr>
      <w:r w:rsidRPr="00DB7D01">
        <w:rPr>
          <w:b/>
          <w:bCs/>
        </w:rPr>
        <w:t>Legal Lesson Learned:</w:t>
      </w:r>
      <w:r>
        <w:rPr>
          <w:b/>
          <w:bCs/>
        </w:rPr>
        <w:t xml:space="preserve"> Internal complaints </w:t>
      </w:r>
      <w:proofErr w:type="gramStart"/>
      <w:r>
        <w:rPr>
          <w:b/>
          <w:bCs/>
        </w:rPr>
        <w:t>of</w:t>
      </w:r>
      <w:proofErr w:type="gramEnd"/>
      <w:r>
        <w:rPr>
          <w:b/>
          <w:bCs/>
        </w:rPr>
        <w:t xml:space="preserve"> hostile work environment should be promptly investigated and corrective action taken.</w:t>
      </w:r>
    </w:p>
    <w:p w14:paraId="0DDAEAE4" w14:textId="77777777" w:rsidR="00477016" w:rsidRDefault="00477016" w:rsidP="00EF1133">
      <w:pPr>
        <w:rPr>
          <w:rFonts w:ascii="Arial Black" w:hAnsi="Arial Black"/>
          <w:b/>
          <w:sz w:val="24"/>
          <w:szCs w:val="24"/>
        </w:rPr>
      </w:pPr>
    </w:p>
    <w:p w14:paraId="276F88CF" w14:textId="6675FE0D" w:rsidR="007A0E71" w:rsidRDefault="007A0E71" w:rsidP="00EF1133">
      <w:pPr>
        <w:rPr>
          <w:rFonts w:ascii="Arial Black" w:hAnsi="Arial Black"/>
          <w:b/>
          <w:sz w:val="24"/>
          <w:szCs w:val="24"/>
        </w:rPr>
      </w:pPr>
      <w:r>
        <w:rPr>
          <w:rFonts w:ascii="Arial Black" w:hAnsi="Arial Black"/>
          <w:b/>
          <w:sz w:val="24"/>
          <w:szCs w:val="24"/>
        </w:rPr>
        <w:t>6-11</w:t>
      </w:r>
      <w:r w:rsidR="002A0697">
        <w:rPr>
          <w:rFonts w:ascii="Arial Black" w:hAnsi="Arial Black"/>
          <w:b/>
          <w:sz w:val="24"/>
          <w:szCs w:val="24"/>
        </w:rPr>
        <w:t>1</w:t>
      </w:r>
    </w:p>
    <w:p w14:paraId="37BAE7AE" w14:textId="33BCFCED" w:rsidR="007A0E71" w:rsidRPr="00806668" w:rsidRDefault="007A0E71" w:rsidP="007A0E71">
      <w:pPr>
        <w:pStyle w:val="NoSpacing"/>
        <w:rPr>
          <w:rFonts w:ascii="Arial Black" w:hAnsi="Arial Black"/>
          <w:sz w:val="28"/>
          <w:szCs w:val="28"/>
        </w:rPr>
      </w:pPr>
      <w:r w:rsidRPr="00806668">
        <w:rPr>
          <w:rFonts w:ascii="Arial Black" w:hAnsi="Arial Black"/>
          <w:sz w:val="28"/>
          <w:szCs w:val="28"/>
        </w:rPr>
        <w:t>KY</w:t>
      </w:r>
      <w:r w:rsidR="00CF133C">
        <w:rPr>
          <w:rFonts w:ascii="Arial Black" w:hAnsi="Arial Black"/>
          <w:sz w:val="28"/>
          <w:szCs w:val="28"/>
        </w:rPr>
        <w:t xml:space="preserve">: </w:t>
      </w:r>
      <w:r w:rsidRPr="00806668">
        <w:rPr>
          <w:rFonts w:ascii="Arial Black" w:hAnsi="Arial Black"/>
          <w:sz w:val="28"/>
          <w:szCs w:val="28"/>
        </w:rPr>
        <w:t>FF</w:t>
      </w:r>
      <w:r>
        <w:rPr>
          <w:rFonts w:ascii="Arial Black" w:hAnsi="Arial Black"/>
          <w:sz w:val="28"/>
          <w:szCs w:val="28"/>
        </w:rPr>
        <w:t xml:space="preserve"> HAD BOTH KNEES REPLACED – WORK RELATED TRAUMA - PERMANENT PARTIAL D</w:t>
      </w:r>
      <w:r w:rsidRPr="00806668">
        <w:rPr>
          <w:rFonts w:ascii="Arial Black" w:hAnsi="Arial Black"/>
          <w:sz w:val="28"/>
          <w:szCs w:val="28"/>
        </w:rPr>
        <w:t xml:space="preserve">ISABILITY </w:t>
      </w:r>
    </w:p>
    <w:p w14:paraId="1856D14F" w14:textId="77777777" w:rsidR="007A0E71" w:rsidRDefault="007A0E71" w:rsidP="007A0E71">
      <w:pPr>
        <w:pStyle w:val="NoSpacing"/>
      </w:pPr>
    </w:p>
    <w:p w14:paraId="55A88808" w14:textId="77777777" w:rsidR="007A0E71" w:rsidRDefault="007A0E71" w:rsidP="007A0E71">
      <w:pPr>
        <w:pStyle w:val="NoSpacing"/>
        <w:rPr>
          <w:rFonts w:ascii="Times New Roman" w:hAnsi="Times New Roman"/>
          <w:sz w:val="24"/>
          <w:szCs w:val="24"/>
        </w:rPr>
      </w:pPr>
      <w:r w:rsidRPr="003C1643">
        <w:rPr>
          <w:rFonts w:ascii="Times New Roman" w:hAnsi="Times New Roman"/>
          <w:sz w:val="24"/>
          <w:szCs w:val="24"/>
          <w:u w:val="single"/>
        </w:rPr>
        <w:t>Lexington Fayette Urban County Government v. Michael Gosper, et al</w:t>
      </w:r>
      <w:r w:rsidRPr="003C1643">
        <w:rPr>
          <w:rFonts w:ascii="Times New Roman" w:hAnsi="Times New Roman"/>
          <w:sz w:val="24"/>
          <w:szCs w:val="24"/>
        </w:rPr>
        <w:t xml:space="preserve">., Supreme Court of Kentucky, </w:t>
      </w:r>
      <w:hyperlink r:id="rId1143" w:history="1">
        <w:r w:rsidRPr="003C1643">
          <w:rPr>
            <w:rStyle w:val="Hyperlink"/>
            <w:rFonts w:ascii="Times New Roman" w:hAnsi="Times New Roman"/>
            <w:sz w:val="24"/>
            <w:szCs w:val="24"/>
          </w:rPr>
          <w:t>https://casetext.com/case/lexington-fayette-urban-cnty-govt-v-gosper-1</w:t>
        </w:r>
      </w:hyperlink>
      <w:r w:rsidRPr="003C1643">
        <w:rPr>
          <w:rFonts w:ascii="Times New Roman" w:hAnsi="Times New Roman"/>
          <w:sz w:val="24"/>
          <w:szCs w:val="24"/>
        </w:rPr>
        <w:t xml:space="preserve"> </w:t>
      </w:r>
    </w:p>
    <w:p w14:paraId="1926DC56" w14:textId="6DB0242B" w:rsidR="00546A79" w:rsidRPr="003C1643" w:rsidRDefault="00CF133C" w:rsidP="007A0E71">
      <w:pPr>
        <w:pStyle w:val="NoSpacing"/>
        <w:rPr>
          <w:rFonts w:ascii="Times New Roman" w:hAnsi="Times New Roman"/>
          <w:sz w:val="24"/>
          <w:szCs w:val="24"/>
        </w:rPr>
      </w:pPr>
      <w:r>
        <w:rPr>
          <w:rFonts w:ascii="Times New Roman" w:hAnsi="Times New Roman"/>
          <w:sz w:val="24"/>
          <w:szCs w:val="24"/>
        </w:rPr>
        <w:t>4/27/2023</w:t>
      </w:r>
    </w:p>
    <w:p w14:paraId="3D778DEC" w14:textId="77777777" w:rsidR="007A0E71" w:rsidRPr="003C1643" w:rsidRDefault="007A0E71" w:rsidP="007A0E71">
      <w:pPr>
        <w:pStyle w:val="NoSpacing"/>
        <w:rPr>
          <w:rFonts w:ascii="Times New Roman" w:hAnsi="Times New Roman"/>
          <w:sz w:val="24"/>
          <w:szCs w:val="24"/>
        </w:rPr>
      </w:pPr>
    </w:p>
    <w:p w14:paraId="5C421277" w14:textId="77777777" w:rsidR="007A0E71" w:rsidRDefault="007A0E71" w:rsidP="007A0E71">
      <w:pPr>
        <w:pStyle w:val="NormalWeb"/>
        <w:rPr>
          <w:b/>
          <w:bCs/>
        </w:rPr>
      </w:pPr>
      <w:r>
        <w:rPr>
          <w:b/>
          <w:bCs/>
        </w:rPr>
        <w:t xml:space="preserve">Legal Lesson Learned: Testimony concerning 18 years of strenuous on duty activities was important. </w:t>
      </w:r>
    </w:p>
    <w:p w14:paraId="2F99BB80" w14:textId="77777777" w:rsidR="007A0E71" w:rsidRDefault="007A0E71" w:rsidP="00EF1133">
      <w:pPr>
        <w:rPr>
          <w:rFonts w:ascii="Arial Black" w:hAnsi="Arial Black"/>
          <w:b/>
          <w:sz w:val="24"/>
          <w:szCs w:val="24"/>
        </w:rPr>
      </w:pPr>
    </w:p>
    <w:p w14:paraId="0E702D2D" w14:textId="1D09652C" w:rsidR="007A0E71" w:rsidRDefault="007A0E71" w:rsidP="00EF1133">
      <w:pPr>
        <w:rPr>
          <w:rFonts w:ascii="Arial Black" w:hAnsi="Arial Black"/>
          <w:b/>
          <w:sz w:val="24"/>
          <w:szCs w:val="24"/>
        </w:rPr>
      </w:pPr>
      <w:r>
        <w:rPr>
          <w:rFonts w:ascii="Arial Black" w:hAnsi="Arial Black"/>
          <w:b/>
          <w:sz w:val="24"/>
          <w:szCs w:val="24"/>
        </w:rPr>
        <w:lastRenderedPageBreak/>
        <w:t>6-1</w:t>
      </w:r>
      <w:r w:rsidR="00227BDE">
        <w:rPr>
          <w:rFonts w:ascii="Arial Black" w:hAnsi="Arial Black"/>
          <w:b/>
          <w:sz w:val="24"/>
          <w:szCs w:val="24"/>
        </w:rPr>
        <w:t>1</w:t>
      </w:r>
      <w:r w:rsidR="002A0697">
        <w:rPr>
          <w:rFonts w:ascii="Arial Black" w:hAnsi="Arial Black"/>
          <w:b/>
          <w:sz w:val="24"/>
          <w:szCs w:val="24"/>
        </w:rPr>
        <w:t>0</w:t>
      </w:r>
    </w:p>
    <w:p w14:paraId="65F4DD95" w14:textId="33E24254" w:rsidR="007A0E71" w:rsidRPr="000218A8" w:rsidRDefault="007A0E71" w:rsidP="007A0E71">
      <w:pPr>
        <w:pStyle w:val="NoSpacing"/>
        <w:rPr>
          <w:rFonts w:ascii="Arial Black" w:hAnsi="Arial Black"/>
          <w:sz w:val="28"/>
          <w:szCs w:val="28"/>
        </w:rPr>
      </w:pPr>
      <w:r w:rsidRPr="000218A8">
        <w:rPr>
          <w:rFonts w:ascii="Arial Black" w:hAnsi="Arial Black"/>
          <w:sz w:val="28"/>
          <w:szCs w:val="28"/>
        </w:rPr>
        <w:t>TX</w:t>
      </w:r>
      <w:r w:rsidR="00CF133C">
        <w:rPr>
          <w:rFonts w:ascii="Arial Black" w:hAnsi="Arial Black"/>
          <w:sz w:val="28"/>
          <w:szCs w:val="28"/>
        </w:rPr>
        <w:t xml:space="preserve">: </w:t>
      </w:r>
      <w:r w:rsidRPr="000218A8">
        <w:rPr>
          <w:rFonts w:ascii="Arial Black" w:hAnsi="Arial Black"/>
          <w:sz w:val="28"/>
          <w:szCs w:val="28"/>
        </w:rPr>
        <w:t xml:space="preserve">FF NOT HIRED BY SAN ANTONIO FD – </w:t>
      </w:r>
      <w:r>
        <w:rPr>
          <w:rFonts w:ascii="Arial Black" w:hAnsi="Arial Black"/>
          <w:sz w:val="28"/>
          <w:szCs w:val="28"/>
        </w:rPr>
        <w:t>ONLY CITY EMPLOYEES CAN APPEAL CITY</w:t>
      </w:r>
      <w:r w:rsidRPr="000218A8">
        <w:rPr>
          <w:rFonts w:ascii="Arial Black" w:hAnsi="Arial Black"/>
          <w:sz w:val="28"/>
          <w:szCs w:val="28"/>
        </w:rPr>
        <w:t xml:space="preserve"> CIVIL SERVICE COMM.</w:t>
      </w:r>
    </w:p>
    <w:p w14:paraId="7DE57EFB" w14:textId="77777777" w:rsidR="007A0E71" w:rsidRDefault="007A0E71" w:rsidP="007A0E71">
      <w:pPr>
        <w:pStyle w:val="NoSpacing"/>
      </w:pPr>
    </w:p>
    <w:p w14:paraId="68456BED" w14:textId="77777777" w:rsidR="007A0E71" w:rsidRDefault="007A0E71" w:rsidP="007A0E71">
      <w:pPr>
        <w:pStyle w:val="NoSpacing"/>
        <w:rPr>
          <w:rFonts w:ascii="Times New Roman" w:hAnsi="Times New Roman"/>
          <w:sz w:val="24"/>
          <w:szCs w:val="24"/>
        </w:rPr>
      </w:pPr>
      <w:r w:rsidRPr="003C1643">
        <w:rPr>
          <w:rFonts w:ascii="Times New Roman" w:hAnsi="Times New Roman"/>
          <w:sz w:val="24"/>
          <w:szCs w:val="24"/>
          <w:u w:val="single"/>
        </w:rPr>
        <w:t xml:space="preserve">The City of San Antonio Fire Fighters’ </w:t>
      </w:r>
      <w:proofErr w:type="gramStart"/>
      <w:r w:rsidRPr="003C1643">
        <w:rPr>
          <w:rFonts w:ascii="Times New Roman" w:hAnsi="Times New Roman"/>
          <w:sz w:val="24"/>
          <w:szCs w:val="24"/>
          <w:u w:val="single"/>
        </w:rPr>
        <w:t>And</w:t>
      </w:r>
      <w:proofErr w:type="gramEnd"/>
      <w:r w:rsidRPr="003C1643">
        <w:rPr>
          <w:rFonts w:ascii="Times New Roman" w:hAnsi="Times New Roman"/>
          <w:sz w:val="24"/>
          <w:szCs w:val="24"/>
          <w:u w:val="single"/>
        </w:rPr>
        <w:t xml:space="preserve"> Police Officers’ Civil Service Commission, et al. v. Gabriel Saenz</w:t>
      </w:r>
      <w:r w:rsidRPr="003C1643">
        <w:rPr>
          <w:rFonts w:ascii="Times New Roman" w:hAnsi="Times New Roman"/>
          <w:sz w:val="24"/>
          <w:szCs w:val="24"/>
        </w:rPr>
        <w:t xml:space="preserve">, Court of Appeals of Texas, Fourth District, San Antonio. </w:t>
      </w:r>
      <w:hyperlink r:id="rId1144" w:history="1">
        <w:r w:rsidRPr="003C1643">
          <w:rPr>
            <w:rStyle w:val="Hyperlink"/>
            <w:rFonts w:ascii="Times New Roman" w:hAnsi="Times New Roman"/>
            <w:sz w:val="24"/>
            <w:szCs w:val="24"/>
          </w:rPr>
          <w:t>https://law.justia.com/cases/texas/fourth-court-of-appeals/2023/04-22-00347-cv.html</w:t>
        </w:r>
      </w:hyperlink>
      <w:r w:rsidRPr="003C1643">
        <w:rPr>
          <w:rFonts w:ascii="Times New Roman" w:hAnsi="Times New Roman"/>
          <w:sz w:val="24"/>
          <w:szCs w:val="24"/>
        </w:rPr>
        <w:t xml:space="preserve"> </w:t>
      </w:r>
    </w:p>
    <w:p w14:paraId="4E8C2112" w14:textId="6AF60273" w:rsidR="00CF133C" w:rsidRPr="003C1643" w:rsidRDefault="00CF133C" w:rsidP="007A0E71">
      <w:pPr>
        <w:pStyle w:val="NoSpacing"/>
        <w:rPr>
          <w:rFonts w:ascii="Times New Roman" w:hAnsi="Times New Roman"/>
          <w:sz w:val="24"/>
          <w:szCs w:val="24"/>
        </w:rPr>
      </w:pPr>
      <w:r>
        <w:rPr>
          <w:rFonts w:ascii="Times New Roman" w:hAnsi="Times New Roman"/>
          <w:sz w:val="24"/>
          <w:szCs w:val="24"/>
        </w:rPr>
        <w:t>4/27/2023</w:t>
      </w:r>
    </w:p>
    <w:p w14:paraId="764E7DCA" w14:textId="77777777" w:rsidR="007A0E71" w:rsidRDefault="007A0E71" w:rsidP="00EF1133">
      <w:pPr>
        <w:rPr>
          <w:rFonts w:ascii="Arial Black" w:hAnsi="Arial Black"/>
          <w:b/>
          <w:sz w:val="24"/>
          <w:szCs w:val="24"/>
        </w:rPr>
      </w:pPr>
    </w:p>
    <w:p w14:paraId="789FE2D2" w14:textId="77777777" w:rsidR="007A0E71" w:rsidRDefault="007A0E71" w:rsidP="007A0E71">
      <w:pPr>
        <w:pStyle w:val="NormalWeb"/>
        <w:rPr>
          <w:b/>
          <w:bCs/>
        </w:rPr>
      </w:pPr>
      <w:r>
        <w:rPr>
          <w:b/>
          <w:bCs/>
        </w:rPr>
        <w:t xml:space="preserve">Legal Lesson Learned: Civil Service Commission appeals are only for city employees. </w:t>
      </w:r>
    </w:p>
    <w:p w14:paraId="3BBDBA46" w14:textId="77777777" w:rsidR="007A0E71" w:rsidRDefault="007A0E71" w:rsidP="00EF1133">
      <w:pPr>
        <w:rPr>
          <w:rFonts w:ascii="Arial Black" w:hAnsi="Arial Black"/>
          <w:b/>
          <w:sz w:val="24"/>
          <w:szCs w:val="24"/>
        </w:rPr>
      </w:pPr>
    </w:p>
    <w:p w14:paraId="11FAC368" w14:textId="77777777" w:rsidR="007A0E71" w:rsidRDefault="007A0E71" w:rsidP="00EF1133">
      <w:pPr>
        <w:rPr>
          <w:rFonts w:ascii="Arial Black" w:hAnsi="Arial Black"/>
          <w:b/>
          <w:sz w:val="24"/>
          <w:szCs w:val="24"/>
        </w:rPr>
      </w:pPr>
    </w:p>
    <w:p w14:paraId="67FE4841" w14:textId="20EF6AD5" w:rsidR="007A0E71" w:rsidRDefault="007A0E71" w:rsidP="00EF1133">
      <w:pPr>
        <w:rPr>
          <w:rFonts w:ascii="Arial Black" w:hAnsi="Arial Black"/>
          <w:b/>
          <w:sz w:val="24"/>
          <w:szCs w:val="24"/>
        </w:rPr>
      </w:pPr>
      <w:r>
        <w:rPr>
          <w:rFonts w:ascii="Arial Black" w:hAnsi="Arial Black"/>
          <w:b/>
          <w:sz w:val="24"/>
          <w:szCs w:val="24"/>
        </w:rPr>
        <w:t>6-1</w:t>
      </w:r>
      <w:r w:rsidR="00B877B2">
        <w:rPr>
          <w:rFonts w:ascii="Arial Black" w:hAnsi="Arial Black"/>
          <w:b/>
          <w:sz w:val="24"/>
          <w:szCs w:val="24"/>
        </w:rPr>
        <w:t>09</w:t>
      </w:r>
    </w:p>
    <w:p w14:paraId="0DAACF9B" w14:textId="77777777" w:rsidR="007A0E71" w:rsidRPr="009A765C" w:rsidRDefault="007A0E71" w:rsidP="007A0E71">
      <w:pPr>
        <w:pStyle w:val="NoSpacing"/>
        <w:rPr>
          <w:rFonts w:ascii="Arial Black" w:hAnsi="Arial Black"/>
          <w:sz w:val="28"/>
          <w:szCs w:val="28"/>
        </w:rPr>
      </w:pPr>
      <w:r w:rsidRPr="009A765C">
        <w:rPr>
          <w:rFonts w:ascii="Arial Black" w:hAnsi="Arial Black"/>
          <w:sz w:val="28"/>
          <w:szCs w:val="28"/>
        </w:rPr>
        <w:t xml:space="preserve">IL (4/24/2023) – FF - LEUKEMIA – </w:t>
      </w:r>
      <w:r>
        <w:rPr>
          <w:rFonts w:ascii="Arial Black" w:hAnsi="Arial Black"/>
          <w:sz w:val="28"/>
          <w:szCs w:val="28"/>
        </w:rPr>
        <w:t xml:space="preserve">RECEIVES </w:t>
      </w:r>
      <w:r w:rsidRPr="009A765C">
        <w:rPr>
          <w:rFonts w:ascii="Arial Black" w:hAnsi="Arial Black"/>
          <w:sz w:val="28"/>
          <w:szCs w:val="28"/>
        </w:rPr>
        <w:t>LINE OF DUTY DISABILTY PENSION &amp; PAID HEALTH INSURANCE</w:t>
      </w:r>
    </w:p>
    <w:p w14:paraId="6CEB268D" w14:textId="77777777" w:rsidR="007A0E71" w:rsidRDefault="007A0E71" w:rsidP="007A0E71">
      <w:pPr>
        <w:pStyle w:val="NoSpacing"/>
      </w:pPr>
    </w:p>
    <w:p w14:paraId="022ED0F9" w14:textId="5178084E" w:rsidR="007A0E71" w:rsidRDefault="007A0E71" w:rsidP="007A0E71">
      <w:r w:rsidRPr="003C1643">
        <w:rPr>
          <w:rFonts w:ascii="Times New Roman" w:hAnsi="Times New Roman"/>
          <w:sz w:val="24"/>
          <w:szCs w:val="24"/>
          <w:u w:val="single"/>
        </w:rPr>
        <w:t xml:space="preserve">James Ivetic, on behalf of his spouse, Nancy </w:t>
      </w:r>
      <w:proofErr w:type="spellStart"/>
      <w:r w:rsidRPr="003C1643">
        <w:rPr>
          <w:rFonts w:ascii="Times New Roman" w:hAnsi="Times New Roman"/>
          <w:sz w:val="24"/>
          <w:szCs w:val="24"/>
          <w:u w:val="single"/>
        </w:rPr>
        <w:t>Ivetic</w:t>
      </w:r>
      <w:proofErr w:type="spellEnd"/>
      <w:r w:rsidRPr="003C1643">
        <w:rPr>
          <w:rFonts w:ascii="Times New Roman" w:hAnsi="Times New Roman"/>
          <w:sz w:val="24"/>
          <w:szCs w:val="24"/>
          <w:u w:val="single"/>
        </w:rPr>
        <w:t xml:space="preserve"> v. Bensenville Fire Protection District No. 2</w:t>
      </w:r>
      <w:r w:rsidRPr="003C1643">
        <w:rPr>
          <w:rFonts w:ascii="Times New Roman" w:hAnsi="Times New Roman"/>
          <w:sz w:val="24"/>
          <w:szCs w:val="24"/>
        </w:rPr>
        <w:t xml:space="preserve">, Court of Appeals of Illinois, First District, First Division. </w:t>
      </w:r>
      <w:hyperlink r:id="rId1145" w:history="1">
        <w:r w:rsidR="002A0697" w:rsidRPr="00792717">
          <w:rPr>
            <w:rStyle w:val="Hyperlink"/>
            <w:rFonts w:ascii="Times New Roman" w:hAnsi="Times New Roman"/>
            <w:sz w:val="24"/>
            <w:szCs w:val="24"/>
          </w:rPr>
          <w:t>https://ilcourtsaudio.blob.core.windows.net/antilles- resources/resources/467a406e-7cd0-4d26-a9c9-2d169ea7237c/Ivetic%20v.%20Bensenville%20Fire%20Protection%20District%20No.3,%202023%20IL%20App%20(1st)%20220879-U.pdf</w:t>
        </w:r>
      </w:hyperlink>
    </w:p>
    <w:p w14:paraId="4A250EC2" w14:textId="13D1E9C5" w:rsidR="002A0697" w:rsidRDefault="002A0697" w:rsidP="007A0E71">
      <w:pPr>
        <w:rPr>
          <w:rFonts w:ascii="Arial Black" w:hAnsi="Arial Black"/>
          <w:b/>
          <w:sz w:val="24"/>
          <w:szCs w:val="24"/>
        </w:rPr>
      </w:pPr>
      <w:r>
        <w:t>4/24/2023</w:t>
      </w:r>
    </w:p>
    <w:p w14:paraId="3B30B91E" w14:textId="77777777" w:rsidR="007A0E71" w:rsidRPr="003C1643" w:rsidRDefault="007A0E71" w:rsidP="007A0E71">
      <w:pPr>
        <w:pStyle w:val="NormalWeb"/>
        <w:rPr>
          <w:b/>
          <w:bCs/>
        </w:rPr>
      </w:pPr>
      <w:r w:rsidRPr="003C1643">
        <w:rPr>
          <w:b/>
          <w:bCs/>
        </w:rPr>
        <w:t xml:space="preserve">Legal Lesson Learned:  Firefighter entitled to health insurance benefit for him and his wife. </w:t>
      </w:r>
    </w:p>
    <w:p w14:paraId="4020FE30" w14:textId="77777777" w:rsidR="007A0E71" w:rsidRDefault="007A0E71" w:rsidP="00EF1133">
      <w:pPr>
        <w:rPr>
          <w:rFonts w:ascii="Arial Black" w:hAnsi="Arial Black"/>
          <w:b/>
          <w:sz w:val="24"/>
          <w:szCs w:val="24"/>
        </w:rPr>
      </w:pPr>
    </w:p>
    <w:p w14:paraId="64F4A4DB" w14:textId="070A2BB9" w:rsidR="007A0E71" w:rsidRDefault="007A0E71" w:rsidP="00EF1133">
      <w:pPr>
        <w:rPr>
          <w:rFonts w:ascii="Arial Black" w:hAnsi="Arial Black"/>
          <w:b/>
          <w:sz w:val="24"/>
          <w:szCs w:val="24"/>
        </w:rPr>
      </w:pPr>
      <w:r>
        <w:rPr>
          <w:rFonts w:ascii="Arial Black" w:hAnsi="Arial Black"/>
          <w:b/>
          <w:sz w:val="24"/>
          <w:szCs w:val="24"/>
        </w:rPr>
        <w:t>6-10</w:t>
      </w:r>
      <w:r w:rsidR="00B877B2">
        <w:rPr>
          <w:rFonts w:ascii="Arial Black" w:hAnsi="Arial Black"/>
          <w:b/>
          <w:sz w:val="24"/>
          <w:szCs w:val="24"/>
        </w:rPr>
        <w:t>8</w:t>
      </w:r>
    </w:p>
    <w:p w14:paraId="1803F61E" w14:textId="17EC8C9E" w:rsidR="007A0E71" w:rsidRPr="00A23E14" w:rsidRDefault="007A0E71" w:rsidP="007A0E71">
      <w:pPr>
        <w:pStyle w:val="NoSpacing"/>
        <w:rPr>
          <w:rFonts w:ascii="Arial Black" w:hAnsi="Arial Black"/>
          <w:sz w:val="28"/>
          <w:szCs w:val="28"/>
        </w:rPr>
      </w:pPr>
      <w:r w:rsidRPr="00A23E14">
        <w:rPr>
          <w:rFonts w:ascii="Arial Black" w:hAnsi="Arial Black"/>
          <w:sz w:val="28"/>
          <w:szCs w:val="28"/>
        </w:rPr>
        <w:t>PA</w:t>
      </w:r>
      <w:r w:rsidR="00B877B2">
        <w:rPr>
          <w:rFonts w:ascii="Arial Black" w:hAnsi="Arial Black"/>
          <w:sz w:val="28"/>
          <w:szCs w:val="28"/>
        </w:rPr>
        <w:t xml:space="preserve">: </w:t>
      </w:r>
      <w:r w:rsidRPr="00A23E14">
        <w:rPr>
          <w:rFonts w:ascii="Arial Black" w:hAnsi="Arial Black"/>
          <w:sz w:val="28"/>
          <w:szCs w:val="28"/>
        </w:rPr>
        <w:t xml:space="preserve">FF RIGHT SHOULDER </w:t>
      </w:r>
      <w:r>
        <w:rPr>
          <w:rFonts w:ascii="Arial Black" w:hAnsi="Arial Black"/>
          <w:sz w:val="28"/>
          <w:szCs w:val="28"/>
        </w:rPr>
        <w:t xml:space="preserve">INJURY </w:t>
      </w:r>
      <w:r w:rsidRPr="00A23E14">
        <w:rPr>
          <w:rFonts w:ascii="Arial Black" w:hAnsi="Arial Black"/>
          <w:sz w:val="28"/>
          <w:szCs w:val="28"/>
        </w:rPr>
        <w:t xml:space="preserve">– LIGHT DUTY UNTIL </w:t>
      </w:r>
      <w:r>
        <w:rPr>
          <w:rFonts w:ascii="Arial Black" w:hAnsi="Arial Black"/>
          <w:sz w:val="28"/>
          <w:szCs w:val="28"/>
        </w:rPr>
        <w:t xml:space="preserve">FELT HE HAD </w:t>
      </w:r>
      <w:r w:rsidRPr="00A23E14">
        <w:rPr>
          <w:rFonts w:ascii="Arial Black" w:hAnsi="Arial Black"/>
          <w:sz w:val="28"/>
          <w:szCs w:val="28"/>
        </w:rPr>
        <w:t>RETIRE</w:t>
      </w:r>
      <w:r>
        <w:rPr>
          <w:rFonts w:ascii="Arial Black" w:hAnsi="Arial Black"/>
          <w:sz w:val="28"/>
          <w:szCs w:val="28"/>
        </w:rPr>
        <w:t xml:space="preserve"> – DISABILITY BENEFITS </w:t>
      </w:r>
    </w:p>
    <w:p w14:paraId="6B058F79" w14:textId="77777777" w:rsidR="007A0E71" w:rsidRDefault="007A0E71" w:rsidP="007A0E71">
      <w:pPr>
        <w:pStyle w:val="NoSpacing"/>
      </w:pPr>
    </w:p>
    <w:p w14:paraId="4F5E0619" w14:textId="77777777" w:rsidR="007A0E71" w:rsidRPr="003C1643" w:rsidRDefault="007A0E71" w:rsidP="007A0E71">
      <w:pPr>
        <w:pStyle w:val="NoSpacing"/>
        <w:rPr>
          <w:rFonts w:ascii="Times New Roman" w:hAnsi="Times New Roman"/>
          <w:sz w:val="24"/>
          <w:szCs w:val="24"/>
        </w:rPr>
      </w:pPr>
      <w:r w:rsidRPr="003C1643">
        <w:rPr>
          <w:rFonts w:ascii="Times New Roman" w:hAnsi="Times New Roman"/>
          <w:sz w:val="24"/>
          <w:szCs w:val="24"/>
          <w:u w:val="single"/>
        </w:rPr>
        <w:t>City of Wilkes-Barre v. Thomas Snyder (Workers’ Compensation Appeal Board)</w:t>
      </w:r>
      <w:r w:rsidRPr="003C1643">
        <w:rPr>
          <w:rFonts w:ascii="Times New Roman" w:hAnsi="Times New Roman"/>
          <w:sz w:val="24"/>
          <w:szCs w:val="24"/>
        </w:rPr>
        <w:t xml:space="preserve">, Commonwealth Court of Pennsylvania. </w:t>
      </w:r>
      <w:hyperlink r:id="rId1146" w:history="1">
        <w:r w:rsidRPr="003C1643">
          <w:rPr>
            <w:rStyle w:val="Hyperlink"/>
            <w:rFonts w:ascii="Times New Roman" w:hAnsi="Times New Roman"/>
            <w:sz w:val="24"/>
            <w:szCs w:val="24"/>
          </w:rPr>
          <w:t>https://casetext.com/case/city-of-wilkes-barre-v-snyder</w:t>
        </w:r>
      </w:hyperlink>
      <w:r w:rsidRPr="003C1643">
        <w:rPr>
          <w:rFonts w:ascii="Times New Roman" w:hAnsi="Times New Roman"/>
          <w:sz w:val="24"/>
          <w:szCs w:val="24"/>
        </w:rPr>
        <w:t xml:space="preserve"> </w:t>
      </w:r>
    </w:p>
    <w:p w14:paraId="651CD1B5" w14:textId="478AD09D" w:rsidR="007A0E71" w:rsidRPr="003C1643" w:rsidRDefault="007A0E71" w:rsidP="007A0E71">
      <w:pPr>
        <w:pStyle w:val="NoSpacing"/>
        <w:rPr>
          <w:rFonts w:ascii="Times New Roman" w:hAnsi="Times New Roman"/>
          <w:sz w:val="24"/>
          <w:szCs w:val="24"/>
        </w:rPr>
      </w:pPr>
      <w:r w:rsidRPr="003C1643">
        <w:rPr>
          <w:rFonts w:ascii="Times New Roman" w:hAnsi="Times New Roman"/>
          <w:sz w:val="24"/>
          <w:szCs w:val="24"/>
        </w:rPr>
        <w:t>[Unpublished Decision.]</w:t>
      </w:r>
      <w:r w:rsidR="00B877B2">
        <w:rPr>
          <w:rFonts w:ascii="Times New Roman" w:hAnsi="Times New Roman"/>
          <w:sz w:val="24"/>
          <w:szCs w:val="24"/>
        </w:rPr>
        <w:t xml:space="preserve"> 4/20/2023</w:t>
      </w:r>
    </w:p>
    <w:p w14:paraId="499A7814" w14:textId="77777777" w:rsidR="007A0E71" w:rsidRDefault="007A0E71" w:rsidP="00EF1133">
      <w:pPr>
        <w:rPr>
          <w:rFonts w:ascii="Arial Black" w:hAnsi="Arial Black"/>
          <w:b/>
          <w:sz w:val="24"/>
          <w:szCs w:val="24"/>
        </w:rPr>
      </w:pPr>
    </w:p>
    <w:p w14:paraId="74918EA5" w14:textId="77777777" w:rsidR="007A0E71" w:rsidRPr="003C1643" w:rsidRDefault="007A0E71" w:rsidP="007A0E71">
      <w:pPr>
        <w:pStyle w:val="NoSpacing"/>
        <w:rPr>
          <w:rFonts w:ascii="Times New Roman" w:hAnsi="Times New Roman"/>
          <w:b/>
          <w:bCs/>
          <w:sz w:val="24"/>
          <w:szCs w:val="24"/>
        </w:rPr>
      </w:pPr>
      <w:r w:rsidRPr="003C1643">
        <w:rPr>
          <w:rFonts w:ascii="Times New Roman" w:hAnsi="Times New Roman"/>
          <w:b/>
          <w:bCs/>
          <w:sz w:val="24"/>
          <w:szCs w:val="24"/>
        </w:rPr>
        <w:t xml:space="preserve">Legal Lesson Learned:  If injury will not allow you to return full duty, document with management the need for disability retirement. </w:t>
      </w:r>
    </w:p>
    <w:p w14:paraId="337A440E" w14:textId="77777777" w:rsidR="007A0E71" w:rsidRDefault="007A0E71" w:rsidP="00EF1133">
      <w:pPr>
        <w:rPr>
          <w:rFonts w:ascii="Arial Black" w:hAnsi="Arial Black"/>
          <w:b/>
          <w:sz w:val="24"/>
          <w:szCs w:val="24"/>
        </w:rPr>
      </w:pPr>
    </w:p>
    <w:p w14:paraId="2F7A68ED" w14:textId="7B4FA9D4" w:rsidR="007A0E71" w:rsidRDefault="007A0E71" w:rsidP="00EF1133">
      <w:pPr>
        <w:rPr>
          <w:rFonts w:ascii="Arial Black" w:hAnsi="Arial Black"/>
          <w:b/>
          <w:sz w:val="24"/>
          <w:szCs w:val="24"/>
        </w:rPr>
      </w:pPr>
      <w:r>
        <w:rPr>
          <w:rFonts w:ascii="Arial Black" w:hAnsi="Arial Black"/>
          <w:b/>
          <w:sz w:val="24"/>
          <w:szCs w:val="24"/>
        </w:rPr>
        <w:lastRenderedPageBreak/>
        <w:t>6-10</w:t>
      </w:r>
      <w:r w:rsidR="00FF7C63">
        <w:rPr>
          <w:rFonts w:ascii="Arial Black" w:hAnsi="Arial Black"/>
          <w:b/>
          <w:sz w:val="24"/>
          <w:szCs w:val="24"/>
        </w:rPr>
        <w:t>7</w:t>
      </w:r>
    </w:p>
    <w:p w14:paraId="7901C0E7" w14:textId="77777777" w:rsidR="00B877B2" w:rsidRDefault="007A0E71" w:rsidP="007A0E71">
      <w:pPr>
        <w:pStyle w:val="NoSpacing"/>
        <w:rPr>
          <w:rFonts w:ascii="Arial Black" w:hAnsi="Arial Black"/>
          <w:sz w:val="28"/>
          <w:szCs w:val="28"/>
        </w:rPr>
      </w:pPr>
      <w:r w:rsidRPr="00811A7B">
        <w:rPr>
          <w:rFonts w:ascii="Arial Black" w:hAnsi="Arial Black"/>
          <w:sz w:val="28"/>
          <w:szCs w:val="28"/>
        </w:rPr>
        <w:t>NY</w:t>
      </w:r>
      <w:r w:rsidR="00FF7C63">
        <w:rPr>
          <w:rFonts w:ascii="Arial Black" w:hAnsi="Arial Black"/>
          <w:sz w:val="28"/>
          <w:szCs w:val="28"/>
        </w:rPr>
        <w:t xml:space="preserve">: </w:t>
      </w:r>
    </w:p>
    <w:p w14:paraId="72A4DAD9" w14:textId="180BD2F1" w:rsidR="007A0E71" w:rsidRPr="00811A7B" w:rsidRDefault="007A0E71" w:rsidP="007A0E71">
      <w:pPr>
        <w:pStyle w:val="NoSpacing"/>
        <w:rPr>
          <w:rFonts w:ascii="Arial Black" w:hAnsi="Arial Black"/>
          <w:sz w:val="28"/>
          <w:szCs w:val="28"/>
        </w:rPr>
      </w:pPr>
      <w:r w:rsidRPr="00811A7B">
        <w:rPr>
          <w:rFonts w:ascii="Arial Black" w:hAnsi="Arial Black"/>
          <w:sz w:val="28"/>
          <w:szCs w:val="28"/>
        </w:rPr>
        <w:t xml:space="preserve">FDNY – </w:t>
      </w:r>
      <w:r>
        <w:rPr>
          <w:rFonts w:ascii="Arial Black" w:hAnsi="Arial Black"/>
          <w:sz w:val="28"/>
          <w:szCs w:val="28"/>
        </w:rPr>
        <w:t xml:space="preserve">HIP </w:t>
      </w:r>
      <w:r w:rsidRPr="00811A7B">
        <w:rPr>
          <w:rFonts w:ascii="Arial Black" w:hAnsi="Arial Black"/>
          <w:sz w:val="28"/>
          <w:szCs w:val="28"/>
        </w:rPr>
        <w:t xml:space="preserve">INJURY AT FIRE </w:t>
      </w:r>
      <w:r>
        <w:rPr>
          <w:rFonts w:ascii="Arial Black" w:hAnsi="Arial Black"/>
          <w:sz w:val="28"/>
          <w:szCs w:val="28"/>
        </w:rPr>
        <w:t>–</w:t>
      </w:r>
      <w:r w:rsidRPr="00811A7B">
        <w:rPr>
          <w:rFonts w:ascii="Arial Black" w:hAnsi="Arial Black"/>
          <w:sz w:val="28"/>
          <w:szCs w:val="28"/>
        </w:rPr>
        <w:t xml:space="preserve"> </w:t>
      </w:r>
      <w:r>
        <w:rPr>
          <w:rFonts w:ascii="Arial Black" w:hAnsi="Arial Black"/>
          <w:sz w:val="28"/>
          <w:szCs w:val="28"/>
        </w:rPr>
        <w:t xml:space="preserve">ORDINARY DISABILITY - </w:t>
      </w:r>
      <w:r w:rsidRPr="00811A7B">
        <w:rPr>
          <w:rFonts w:ascii="Arial Black" w:hAnsi="Arial Black"/>
          <w:sz w:val="28"/>
          <w:szCs w:val="28"/>
        </w:rPr>
        <w:t>NO</w:t>
      </w:r>
      <w:r>
        <w:rPr>
          <w:rFonts w:ascii="Arial Black" w:hAnsi="Arial Black"/>
          <w:sz w:val="28"/>
          <w:szCs w:val="28"/>
        </w:rPr>
        <w:t>T</w:t>
      </w:r>
      <w:r w:rsidRPr="00811A7B">
        <w:rPr>
          <w:rFonts w:ascii="Arial Black" w:hAnsi="Arial Black"/>
          <w:sz w:val="28"/>
          <w:szCs w:val="28"/>
        </w:rPr>
        <w:t xml:space="preserve"> ACCIDENTAL DISAB</w:t>
      </w:r>
      <w:r>
        <w:rPr>
          <w:rFonts w:ascii="Arial Black" w:hAnsi="Arial Black"/>
          <w:sz w:val="28"/>
          <w:szCs w:val="28"/>
        </w:rPr>
        <w:t xml:space="preserve"> - </w:t>
      </w:r>
      <w:r w:rsidRPr="00811A7B">
        <w:rPr>
          <w:rFonts w:ascii="Arial Black" w:hAnsi="Arial Black"/>
          <w:sz w:val="28"/>
          <w:szCs w:val="28"/>
        </w:rPr>
        <w:t xml:space="preserve">DEGENERATIVE </w:t>
      </w:r>
      <w:r>
        <w:rPr>
          <w:rFonts w:ascii="Arial Black" w:hAnsi="Arial Black"/>
          <w:sz w:val="28"/>
          <w:szCs w:val="28"/>
        </w:rPr>
        <w:t>HIP</w:t>
      </w:r>
    </w:p>
    <w:p w14:paraId="396C9EAF" w14:textId="77777777" w:rsidR="007A0E71" w:rsidRDefault="007A0E71" w:rsidP="007A0E71">
      <w:pPr>
        <w:pStyle w:val="NoSpacing"/>
      </w:pPr>
    </w:p>
    <w:p w14:paraId="17107020" w14:textId="77777777" w:rsidR="007A0E71" w:rsidRPr="003C1643" w:rsidRDefault="007A0E71" w:rsidP="007A0E71">
      <w:pPr>
        <w:pStyle w:val="NoSpacing"/>
        <w:rPr>
          <w:rFonts w:ascii="Times New Roman" w:hAnsi="Times New Roman"/>
          <w:sz w:val="24"/>
          <w:szCs w:val="24"/>
        </w:rPr>
      </w:pPr>
      <w:r w:rsidRPr="003C1643">
        <w:rPr>
          <w:rFonts w:ascii="Times New Roman" w:hAnsi="Times New Roman"/>
          <w:sz w:val="24"/>
          <w:szCs w:val="24"/>
          <w:u w:val="single"/>
        </w:rPr>
        <w:t>Kevin Barnabee v. The New York City Fire Pension Fund, et al</w:t>
      </w:r>
      <w:r w:rsidRPr="003C1643">
        <w:rPr>
          <w:rFonts w:ascii="Times New Roman" w:hAnsi="Times New Roman"/>
          <w:sz w:val="24"/>
          <w:szCs w:val="24"/>
        </w:rPr>
        <w:t xml:space="preserve">., Supreme Court, New York County. </w:t>
      </w:r>
      <w:hyperlink r:id="rId1147" w:history="1">
        <w:r w:rsidRPr="003C1643">
          <w:rPr>
            <w:rStyle w:val="Hyperlink"/>
            <w:rFonts w:ascii="Times New Roman" w:hAnsi="Times New Roman"/>
            <w:sz w:val="24"/>
            <w:szCs w:val="24"/>
          </w:rPr>
          <w:t>https://casetext.com/case/barnabee-v-the-nyc-fire-pension-fund</w:t>
        </w:r>
      </w:hyperlink>
      <w:r w:rsidRPr="003C1643">
        <w:rPr>
          <w:rFonts w:ascii="Times New Roman" w:hAnsi="Times New Roman"/>
          <w:sz w:val="24"/>
          <w:szCs w:val="24"/>
        </w:rPr>
        <w:t xml:space="preserve"> </w:t>
      </w:r>
    </w:p>
    <w:p w14:paraId="6CAA3937" w14:textId="2EB8A533" w:rsidR="007A0E71" w:rsidRPr="003C1643" w:rsidRDefault="00FF7C63" w:rsidP="007A0E71">
      <w:pPr>
        <w:pStyle w:val="NoSpacing"/>
        <w:rPr>
          <w:rFonts w:ascii="Times New Roman" w:hAnsi="Times New Roman"/>
          <w:sz w:val="24"/>
          <w:szCs w:val="24"/>
        </w:rPr>
      </w:pPr>
      <w:r>
        <w:rPr>
          <w:rFonts w:ascii="Times New Roman" w:hAnsi="Times New Roman"/>
          <w:sz w:val="24"/>
          <w:szCs w:val="24"/>
        </w:rPr>
        <w:t>4/10/2023</w:t>
      </w:r>
    </w:p>
    <w:p w14:paraId="106CBA1F" w14:textId="77777777" w:rsidR="00227BDE" w:rsidRPr="003C1643" w:rsidRDefault="00227BDE" w:rsidP="00227BDE">
      <w:pPr>
        <w:pStyle w:val="NormalWeb"/>
        <w:rPr>
          <w:b/>
          <w:bCs/>
        </w:rPr>
      </w:pPr>
      <w:r w:rsidRPr="003C1643">
        <w:rPr>
          <w:b/>
          <w:bCs/>
        </w:rPr>
        <w:t xml:space="preserve">Legal Lesson Learned: Degenerative hip medical history does not qualify for accidental disability benefits. </w:t>
      </w:r>
    </w:p>
    <w:p w14:paraId="3E98453C" w14:textId="77777777" w:rsidR="007A0E71" w:rsidRDefault="007A0E71" w:rsidP="00EF1133">
      <w:pPr>
        <w:rPr>
          <w:rFonts w:ascii="Arial Black" w:hAnsi="Arial Black"/>
          <w:b/>
          <w:sz w:val="24"/>
          <w:szCs w:val="24"/>
        </w:rPr>
      </w:pPr>
    </w:p>
    <w:p w14:paraId="233259AC" w14:textId="77777777" w:rsidR="007A0E71" w:rsidRDefault="007A0E71" w:rsidP="00EF1133">
      <w:pPr>
        <w:rPr>
          <w:rFonts w:ascii="Arial Black" w:hAnsi="Arial Black"/>
          <w:b/>
          <w:sz w:val="24"/>
          <w:szCs w:val="24"/>
        </w:rPr>
      </w:pPr>
    </w:p>
    <w:p w14:paraId="1F029A0F" w14:textId="7AFD8C3F" w:rsidR="003F788B" w:rsidRDefault="003F788B" w:rsidP="00EF1133">
      <w:pPr>
        <w:rPr>
          <w:rFonts w:ascii="Arial Black" w:hAnsi="Arial Black"/>
          <w:b/>
          <w:sz w:val="24"/>
          <w:szCs w:val="24"/>
        </w:rPr>
      </w:pPr>
      <w:r>
        <w:rPr>
          <w:rFonts w:ascii="Arial Black" w:hAnsi="Arial Black"/>
          <w:b/>
          <w:sz w:val="24"/>
          <w:szCs w:val="24"/>
        </w:rPr>
        <w:t>6-10</w:t>
      </w:r>
      <w:r w:rsidR="00FF7C63">
        <w:rPr>
          <w:rFonts w:ascii="Arial Black" w:hAnsi="Arial Black"/>
          <w:b/>
          <w:sz w:val="24"/>
          <w:szCs w:val="24"/>
        </w:rPr>
        <w:t>6</w:t>
      </w:r>
    </w:p>
    <w:p w14:paraId="129A4EBF" w14:textId="77777777" w:rsidR="003F788B" w:rsidRDefault="003F788B" w:rsidP="003F788B">
      <w:pPr>
        <w:pStyle w:val="NormalWeb"/>
        <w:rPr>
          <w:rFonts w:ascii="Arial Black" w:hAnsi="Arial Black"/>
          <w:sz w:val="28"/>
          <w:szCs w:val="28"/>
        </w:rPr>
      </w:pPr>
      <w:r>
        <w:rPr>
          <w:rFonts w:ascii="Arial Black" w:hAnsi="Arial Black"/>
          <w:sz w:val="28"/>
          <w:szCs w:val="28"/>
        </w:rPr>
        <w:t xml:space="preserve">IL: PART-TIME FF – CLAIMED RETALIATION FOR SUPPORTING MAYOR’S OPPONENT IN 2005 – NO CASE  </w:t>
      </w:r>
    </w:p>
    <w:p w14:paraId="44CB9ED2" w14:textId="77777777" w:rsidR="003F788B" w:rsidRDefault="003F788B" w:rsidP="003F788B">
      <w:pPr>
        <w:pStyle w:val="NormalWeb"/>
      </w:pPr>
      <w:r>
        <w:t xml:space="preserve">On March 30, 2023, in </w:t>
      </w:r>
      <w:r>
        <w:rPr>
          <w:u w:val="single"/>
        </w:rPr>
        <w:t>Brian E. Carroll v. City of Oak Forest</w:t>
      </w:r>
      <w:r>
        <w:t xml:space="preserve">, U.S. District Court Judge L. Jorge Alonso, U.S., District Court for Northern District of Illinois, Eastern District, granted the City’s motion for summary judgment; insufficient evidence of “retaliation because of his political activities while he was employed as a part-time firefighter with the City of Oak Forest.” </w:t>
      </w:r>
    </w:p>
    <w:p w14:paraId="5298C949" w14:textId="77777777" w:rsidR="003F788B" w:rsidRDefault="003F788B" w:rsidP="003F788B">
      <w:pPr>
        <w:pStyle w:val="NormalWeb"/>
        <w:ind w:left="720"/>
      </w:pPr>
      <w:r>
        <w:t xml:space="preserve">The Court described his claims: “In 2005, Carroll and his father, Edward Carroll, campaigned for a candidate running against JoAnn Kelly, one of the mayoral candidates for the City of Oak Forest at that time. Edward Carroll was an outspoken member of the Oak Forest political community who served as an alderman and a three-term commissioner of the Oak Forest Board of Fire and Police Commissioners (hereafter the ‘Board’)….Carroll claims that, because of his campaigning and political affiliations, he has been harassed and retaliated against while working as a part-time firefighter with the Oak Forest Fire Department. To wit, he claims that he was subjected to general harassment within the department; made fun of for his reaction to his mother passing away in 2006; threatened with ‘blackballing,’ termination, and other reprimands; not allowed to join the South Suburban Emergency Response Team; refused accommodations for light-duty work after an injury in 2019; and refused additional hours for part-time firefighters in the department in 2019.”  He also claimed he was improperly denied an opportunity to take full-time exam in 2018 (he was not eligible; over age 35), having failed 2014 written exam.  </w:t>
      </w:r>
      <w:hyperlink r:id="rId1148" w:history="1">
        <w:r>
          <w:rPr>
            <w:rStyle w:val="Hyperlink"/>
          </w:rPr>
          <w:t>https://public.fastcase.com/J%2FJP6pdidelsXxEE4k%2BLMqXEJeUJZsYN8XwYWOyUlC0GPh%2F%2Bwkq0xl5anyRaTE9QaHRZkEBmW2yHOKZORN4PlxYhmnon1IB%2FHyIvmx43UH0%3D?utm_medium=email&amp;_hsmi=226712652&amp;_hsenc=p2ANqtz-9rfqpJ9UH1QBxXvlnF05ow2K3pkk0BVnTTX6Sp6SY3f-pdahd0e2LayjJ1D5QImVRxXi3oa7lL84FVoA8yZRWqxdZ-pA&amp;utm_content=226712652&amp;utm_source=hs_email</w:t>
        </w:r>
      </w:hyperlink>
      <w:r>
        <w:t xml:space="preserve"> </w:t>
      </w:r>
    </w:p>
    <w:p w14:paraId="4A6EDE0B" w14:textId="77777777" w:rsidR="003F788B" w:rsidRDefault="003F788B" w:rsidP="003F788B">
      <w:pPr>
        <w:pStyle w:val="NormalWeb"/>
        <w:ind w:left="720"/>
      </w:pPr>
      <w:r>
        <w:t>“Even if the Court reached the merits, however, Carroll does not come forward with sufficient evidence to sustain a First Amendment claim based on the alleged pre-2017 acts of retaliation. For starters, his claim about general harassment is too vague to survive summary judgment.</w:t>
      </w:r>
    </w:p>
    <w:p w14:paraId="1A4934C0" w14:textId="77777777" w:rsidR="003F788B" w:rsidRDefault="003F788B" w:rsidP="003F788B">
      <w:pPr>
        <w:pStyle w:val="NormalWeb"/>
        <w:ind w:left="720"/>
      </w:pPr>
      <w:r>
        <w:lastRenderedPageBreak/>
        <w:t>***</w:t>
      </w:r>
    </w:p>
    <w:p w14:paraId="05795AAF" w14:textId="77777777" w:rsidR="003F788B" w:rsidRDefault="003F788B" w:rsidP="003F788B">
      <w:pPr>
        <w:pStyle w:val="NormalWeb"/>
        <w:ind w:left="720"/>
      </w:pPr>
      <w:r>
        <w:t xml:space="preserve">Likewise, the record does not demonstrate any retaliation related to the 2014 firefighter exam. Any such claim suffers from a causation deficiency because the Board allowed Carroll to sit for the exam and he did not pass it because he failed the written portion. He does not dispute that he failed the written portion or assert that the Board purposefully failed him because of his political activities. Instead, he claims that comments directed toward him by Nagel “rattled” him and prevented him from passing the written portion of the test. But the Court finds that no reasonable juror could infer that he failed to pass the exam because of Nagel's comment, even if the comment was rude or disparaging. </w:t>
      </w:r>
      <w:r>
        <w:rPr>
          <w:rStyle w:val="Emphasis"/>
        </w:rPr>
        <w:t>See Riley v. City of Kokomo</w:t>
      </w:r>
      <w:r>
        <w:t>, 909 F.3d 182, 192 (7th Cir. 2018) (declining to draw an unreasonable inference at summary judgment).”</w:t>
      </w:r>
    </w:p>
    <w:p w14:paraId="1B989024" w14:textId="77777777" w:rsidR="003F788B" w:rsidRDefault="003F788B" w:rsidP="003F788B">
      <w:pPr>
        <w:pStyle w:val="NormalWeb"/>
        <w:rPr>
          <w:b/>
          <w:bCs/>
        </w:rPr>
      </w:pPr>
      <w:r>
        <w:rPr>
          <w:b/>
          <w:bCs/>
        </w:rPr>
        <w:t xml:space="preserve">Legal Lesson Learned: The plaintiff failed to prove retaliation for his 2005 political activities; his allegations of harassment were too vague.  </w:t>
      </w:r>
    </w:p>
    <w:p w14:paraId="46DE8121" w14:textId="77777777" w:rsidR="003F788B" w:rsidRDefault="003F788B" w:rsidP="003F788B">
      <w:pPr>
        <w:pStyle w:val="NormalWeb"/>
      </w:pPr>
    </w:p>
    <w:p w14:paraId="3D3AC4BD" w14:textId="4154263D" w:rsidR="003F788B" w:rsidRDefault="003F788B" w:rsidP="00EF1133">
      <w:pPr>
        <w:rPr>
          <w:rFonts w:ascii="Arial Black" w:hAnsi="Arial Black"/>
          <w:b/>
          <w:sz w:val="24"/>
          <w:szCs w:val="24"/>
        </w:rPr>
      </w:pPr>
      <w:r>
        <w:rPr>
          <w:rFonts w:ascii="Arial Black" w:hAnsi="Arial Black"/>
          <w:b/>
          <w:sz w:val="24"/>
          <w:szCs w:val="24"/>
        </w:rPr>
        <w:t>6-10</w:t>
      </w:r>
      <w:r w:rsidR="00FF7C63">
        <w:rPr>
          <w:rFonts w:ascii="Arial Black" w:hAnsi="Arial Black"/>
          <w:b/>
          <w:sz w:val="24"/>
          <w:szCs w:val="24"/>
        </w:rPr>
        <w:t>5</w:t>
      </w:r>
    </w:p>
    <w:p w14:paraId="79E86101" w14:textId="77777777" w:rsidR="003F788B" w:rsidRDefault="003F788B" w:rsidP="003F788B">
      <w:pPr>
        <w:pStyle w:val="NormalWeb"/>
        <w:rPr>
          <w:rFonts w:ascii="Arial Black" w:hAnsi="Arial Black"/>
          <w:sz w:val="28"/>
          <w:szCs w:val="28"/>
        </w:rPr>
      </w:pPr>
      <w:r>
        <w:rPr>
          <w:rFonts w:ascii="Arial Black" w:hAnsi="Arial Black"/>
          <w:sz w:val="28"/>
          <w:szCs w:val="28"/>
        </w:rPr>
        <w:t>IL:  FF STROKE – GETS ON DUTY DISABILITY PENSION – BLOOD THINNER 3 YRS PRIOR – STATUTORY PRESUMPTION</w:t>
      </w:r>
    </w:p>
    <w:p w14:paraId="62DE527B" w14:textId="77777777" w:rsidR="003F788B" w:rsidRDefault="003F788B" w:rsidP="003F788B">
      <w:pPr>
        <w:pStyle w:val="NormalWeb"/>
      </w:pPr>
      <w:r>
        <w:t xml:space="preserve">On March 22, 2023, in </w:t>
      </w:r>
      <w:r>
        <w:rPr>
          <w:u w:val="single"/>
        </w:rPr>
        <w:t>The City of East Peoria, Illinois v. Charles Melton II</w:t>
      </w:r>
      <w:r>
        <w:t xml:space="preserve">, the Court of Appeals of Illinois, Fourth District, upheld the decision of the Board of Trustees of the Firefighter’s Pension Fund of the City of East Peoria, which voted “three to two in favor of an oral motion to find that the disability resulted from service as a firefighter, entitling him to an       occupational disease disability pension.” Lieutenant Melton (age 56) was at home on March 11, </w:t>
      </w:r>
      <w:proofErr w:type="gramStart"/>
      <w:r>
        <w:t>2020</w:t>
      </w:r>
      <w:proofErr w:type="gramEnd"/>
      <w:r>
        <w:t xml:space="preserve"> and suffered right cerebellar ischemic stroke and has fully recovered but must remain on blood thinner rest of his life. Per NFPA 1582, he was not allowed to return to full duty for one year, and FD had no light duty. On July 8, 2020, he applied for an occupational disease disability pension. The Pension Board majority vote relied on report of one of three Independent Medical Experts who reviewed his file (none did physical exam or testified before the Board) that "one cannot discount the cumulative effects of active-duty firefighting in regard to his stroke."  The City </w:t>
      </w:r>
      <w:proofErr w:type="gramStart"/>
      <w:r>
        <w:t>appealed</w:t>
      </w:r>
      <w:proofErr w:type="gramEnd"/>
      <w:r>
        <w:t xml:space="preserve"> the Pension Board’s decision. </w:t>
      </w:r>
    </w:p>
    <w:p w14:paraId="060F20EA" w14:textId="77777777" w:rsidR="003F788B" w:rsidRDefault="003F788B" w:rsidP="003F788B">
      <w:pPr>
        <w:pStyle w:val="NormalWeb"/>
      </w:pPr>
      <w:r>
        <w:t xml:space="preserve">The Court of Appeals ruled </w:t>
      </w:r>
      <w:proofErr w:type="gramStart"/>
      <w:r>
        <w:t>the</w:t>
      </w:r>
      <w:proofErr w:type="gramEnd"/>
      <w:r>
        <w:t xml:space="preserve"> Independent Medical Experts were not required by state law to physically examine the firefighter.  The Court also held he was entitled to a work-related disability pension, referencing state statutory presumption statute.  </w:t>
      </w:r>
    </w:p>
    <w:p w14:paraId="0D6E5786" w14:textId="77777777" w:rsidR="003F788B" w:rsidRDefault="003F788B" w:rsidP="003F788B">
      <w:pPr>
        <w:pStyle w:val="NormalWeb"/>
        <w:ind w:left="720"/>
      </w:pPr>
      <w:r>
        <w:t xml:space="preserve">“We conclude that the Board's finding that Melton's stroke resulted from his ‘service as a firefighter’ was not against the manifest weight of the evidence.”  *** Melton himself does not dispute that he had numerous preexisting conditions that could have contributed to the stroke. However, a firefighter is ‘not required to prove that a duty-related accident or illness was the primary or originating cause of his disability; rather, he only needed to prove that a duty-related accident or illness aggravated, contributed, or exacerbated his disability.’ </w:t>
      </w:r>
      <w:r>
        <w:rPr>
          <w:rStyle w:val="Emphasis"/>
        </w:rPr>
        <w:t>Covello v. Village of Schaumburg Firefighters' Pension Fund</w:t>
      </w:r>
      <w:r>
        <w:t xml:space="preserve">, 2018 IL App (1st) 172350, ¶ 43. In other words, Melton did not have to prove that his stroke resulted solely from his firefighting duties. Though the City disputes that Melton demonstrated that he was subject to hazardous work conditions, Melton testified that his duties included being on firefighting calls and that he performed </w:t>
      </w:r>
      <w:proofErr w:type="gramStart"/>
      <w:r>
        <w:t>all of</w:t>
      </w:r>
      <w:proofErr w:type="gramEnd"/>
      <w:r>
        <w:t xml:space="preserve"> the duties listed in the job description for his position. The occupational disease disability statute itself, section 4-110.1, includes legislative findings that firefighters are exposed to dangerous conditions </w:t>
      </w:r>
      <w:proofErr w:type="gramStart"/>
      <w:r>
        <w:t>as a result of</w:t>
      </w:r>
      <w:proofErr w:type="gramEnd"/>
      <w:r>
        <w:t xml:space="preserve"> their employment. See also </w:t>
      </w:r>
      <w:r>
        <w:rPr>
          <w:rStyle w:val="Emphasis"/>
        </w:rPr>
        <w:t>Bremer v. City of Rockford</w:t>
      </w:r>
      <w:r>
        <w:t>, 2016 IL 119889, ¶ 31 ("[S]</w:t>
      </w:r>
      <w:proofErr w:type="spellStart"/>
      <w:r>
        <w:t>ection</w:t>
      </w:r>
      <w:proofErr w:type="spellEnd"/>
      <w:r>
        <w:t xml:space="preserve"> 4-110.1 recognizes that firefighters work in dangerous conditions and provides compensation when a firefighter contracts one of the listed diseases from repeated exposure to those </w:t>
      </w:r>
      <w:r>
        <w:lastRenderedPageBreak/>
        <w:t xml:space="preserve">conditions over a set period of time."); </w:t>
      </w:r>
      <w:r>
        <w:rPr>
          <w:rStyle w:val="Emphasis"/>
        </w:rPr>
        <w:t>Lindemulder</w:t>
      </w:r>
      <w:r>
        <w:t xml:space="preserve">, 408 Ill.App.3d at 503 ("Courts are not empowered to adjudicate the accuracy of legislative findings, but must accord great deference to the legislature's fact-finding authority."). As these diseases are recognized as possibly resulting from repeated exposures over long periods of time, that Melton suffered the stroke at home as opposed to while at work does not undermine his claim.” </w:t>
      </w:r>
      <w:hyperlink r:id="rId1149" w:history="1">
        <w:r>
          <w:rPr>
            <w:rStyle w:val="Hyperlink"/>
          </w:rPr>
          <w:t>https://public.fastcase.com/J%2FJP6pdidelsXxEE4k%2BLMk0xZflerRl5zZ1fWOEI5mhvpVlhWjp%2F9QDqlOI9DDnF8Aa9%2BfFIJaxfznSW2LItCr2%2FIZnHCYIIWW3H5dl8900%3D?utm_medium=email&amp;_hsmi=226712652&amp;_hsenc=p2ANqtz-9FKeS83U96VoJDZ5OFHU1pICbtYjQvhKtRkoV1KLCJmMon6gHAySjMj0YQylycLU_jnNetJR4aMTbAa4E7Rm7YwE3nmg&amp;utm_content=226712652&amp;utm_source=hs_email</w:t>
        </w:r>
      </w:hyperlink>
      <w:r>
        <w:t xml:space="preserve"> </w:t>
      </w:r>
    </w:p>
    <w:p w14:paraId="5D207117" w14:textId="77777777" w:rsidR="003F788B" w:rsidRDefault="003F788B" w:rsidP="003F788B">
      <w:pPr>
        <w:pStyle w:val="NormalWeb"/>
      </w:pPr>
      <w:r>
        <w:t>One of three IME, Dr. Williamson-Link, wrote a helpful report:</w:t>
      </w:r>
    </w:p>
    <w:p w14:paraId="409F6F26" w14:textId="77777777" w:rsidR="003F788B" w:rsidRDefault="003F788B" w:rsidP="003F788B">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“Dr. Jeffrey D. Williamson-Link, who was board certified in occupational medicine, similarly outlined Melton's medical history. </w:t>
      </w:r>
      <w:proofErr w:type="gramStart"/>
      <w:r>
        <w:rPr>
          <w:rFonts w:ascii="Times New Roman" w:eastAsia="Times New Roman" w:hAnsi="Times New Roman"/>
          <w:sz w:val="24"/>
          <w:szCs w:val="24"/>
        </w:rPr>
        <w:t>On the subject of the</w:t>
      </w:r>
      <w:proofErr w:type="gramEnd"/>
      <w:r>
        <w:rPr>
          <w:rFonts w:ascii="Times New Roman" w:eastAsia="Times New Roman" w:hAnsi="Times New Roman"/>
          <w:sz w:val="24"/>
          <w:szCs w:val="24"/>
        </w:rPr>
        <w:t xml:space="preserve"> nature and extent of any disability, Williamson-Link stated that Melton suffered from a cerebellar infarction that would, under NFPA 1582, require a waiting period of at least 12 months and </w:t>
      </w:r>
      <w:proofErr w:type="gramStart"/>
      <w:r>
        <w:rPr>
          <w:rFonts w:ascii="Times New Roman" w:eastAsia="Times New Roman" w:hAnsi="Times New Roman"/>
          <w:sz w:val="24"/>
          <w:szCs w:val="24"/>
        </w:rPr>
        <w:t>meeting</w:t>
      </w:r>
      <w:proofErr w:type="gramEnd"/>
      <w:r>
        <w:rPr>
          <w:rFonts w:ascii="Times New Roman" w:eastAsia="Times New Roman" w:hAnsi="Times New Roman"/>
          <w:sz w:val="24"/>
          <w:szCs w:val="24"/>
        </w:rPr>
        <w:t xml:space="preserve"> additional criteria before being considered to return to active duty without limitations or restrictions. ‘Additionally [Melton was] also on long term anticoagulation treatment for history of Factor V Leiden and Pulmonary Embolism which would restrict him from performing Essential Job Task #8 which involves climbing ladders, operating from heights and uneven surfaces.’ The lifelong need to remain on anticoagulation would prevent him from being "able to be </w:t>
      </w:r>
      <w:proofErr w:type="gramStart"/>
      <w:r>
        <w:rPr>
          <w:rFonts w:ascii="Times New Roman" w:eastAsia="Times New Roman" w:hAnsi="Times New Roman"/>
          <w:sz w:val="24"/>
          <w:szCs w:val="24"/>
        </w:rPr>
        <w:t>cleared</w:t>
      </w:r>
      <w:proofErr w:type="gramEnd"/>
      <w:r>
        <w:rPr>
          <w:rFonts w:ascii="Times New Roman" w:eastAsia="Times New Roman" w:hAnsi="Times New Roman"/>
          <w:sz w:val="24"/>
          <w:szCs w:val="24"/>
        </w:rPr>
        <w:t xml:space="preserve"> for full firefighting duties.’ In response to the question of whether any disabilities were the result of service as a firefighter, Williamson-Link wrote: </w:t>
      </w:r>
    </w:p>
    <w:p w14:paraId="3F77DEF2" w14:textId="77777777" w:rsidR="003F788B" w:rsidRDefault="003F788B" w:rsidP="003F788B">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‘It is my medical opinion that one cannot discount the cumulative effects of active duty of Firefighting </w:t>
      </w:r>
      <w:proofErr w:type="gramStart"/>
      <w:r>
        <w:rPr>
          <w:rFonts w:ascii="Times New Roman" w:eastAsia="Times New Roman" w:hAnsi="Times New Roman"/>
          <w:sz w:val="24"/>
          <w:szCs w:val="24"/>
        </w:rPr>
        <w:t>in regards to</w:t>
      </w:r>
      <w:proofErr w:type="gramEnd"/>
      <w:r>
        <w:rPr>
          <w:rFonts w:ascii="Times New Roman" w:eastAsia="Times New Roman" w:hAnsi="Times New Roman"/>
          <w:sz w:val="24"/>
          <w:szCs w:val="24"/>
        </w:rPr>
        <w:t xml:space="preserve"> his stroke. Though the firefighter did have other risk factors, the occupational stressors of active firefighting </w:t>
      </w:r>
      <w:proofErr w:type="gramStart"/>
      <w:r>
        <w:rPr>
          <w:rFonts w:ascii="Times New Roman" w:eastAsia="Times New Roman" w:hAnsi="Times New Roman"/>
          <w:sz w:val="24"/>
          <w:szCs w:val="24"/>
        </w:rPr>
        <w:t>is</w:t>
      </w:r>
      <w:proofErr w:type="gramEnd"/>
      <w:r>
        <w:rPr>
          <w:rFonts w:ascii="Times New Roman" w:eastAsia="Times New Roman" w:hAnsi="Times New Roman"/>
          <w:sz w:val="24"/>
          <w:szCs w:val="24"/>
        </w:rPr>
        <w:t xml:space="preserve"> well-documented and its effects on the Cardiovascular System. </w:t>
      </w:r>
      <w:proofErr w:type="gramStart"/>
      <w:r>
        <w:rPr>
          <w:rFonts w:ascii="Times New Roman" w:eastAsia="Times New Roman" w:hAnsi="Times New Roman"/>
          <w:sz w:val="24"/>
          <w:szCs w:val="24"/>
        </w:rPr>
        <w:t>Additionally</w:t>
      </w:r>
      <w:proofErr w:type="gramEnd"/>
      <w:r>
        <w:rPr>
          <w:rFonts w:ascii="Times New Roman" w:eastAsia="Times New Roman" w:hAnsi="Times New Roman"/>
          <w:sz w:val="24"/>
          <w:szCs w:val="24"/>
        </w:rPr>
        <w:t xml:space="preserve"> the Firefighter has a history of Factor V </w:t>
      </w:r>
      <w:proofErr w:type="gramStart"/>
      <w:r>
        <w:rPr>
          <w:rFonts w:ascii="Times New Roman" w:eastAsia="Times New Roman" w:hAnsi="Times New Roman"/>
          <w:sz w:val="24"/>
          <w:szCs w:val="24"/>
        </w:rPr>
        <w:t>Leiden, and</w:t>
      </w:r>
      <w:proofErr w:type="gramEnd"/>
      <w:r>
        <w:rPr>
          <w:rFonts w:ascii="Times New Roman" w:eastAsia="Times New Roman" w:hAnsi="Times New Roman"/>
          <w:sz w:val="24"/>
          <w:szCs w:val="24"/>
        </w:rPr>
        <w:t xml:space="preserve"> has subsequently developed Pulmonary Embolism. Based on the review of the medical records, this appears to be a genetic disorder and would not be considered to be part of cumulative effects of active duty." </w:t>
      </w:r>
    </w:p>
    <w:p w14:paraId="74B0B118" w14:textId="77777777" w:rsidR="003F788B" w:rsidRDefault="003F788B" w:rsidP="003F788B">
      <w:pPr>
        <w:pStyle w:val="NormalWeb"/>
        <w:ind w:left="720"/>
        <w:rPr>
          <w:b/>
          <w:bCs/>
        </w:rPr>
      </w:pPr>
      <w:r>
        <w:t xml:space="preserve"> </w:t>
      </w:r>
      <w:r>
        <w:rPr>
          <w:b/>
          <w:bCs/>
        </w:rPr>
        <w:t xml:space="preserve">Legal Lesson Learned: The Court relied on language in the Illinois statutory presumption statute. </w:t>
      </w:r>
    </w:p>
    <w:p w14:paraId="3986D4FD" w14:textId="77777777" w:rsidR="003F788B" w:rsidRDefault="003F788B" w:rsidP="003F788B">
      <w:pPr>
        <w:pStyle w:val="NormalWeb"/>
        <w:ind w:left="1440"/>
        <w:rPr>
          <w:kern w:val="36"/>
        </w:rPr>
      </w:pPr>
      <w:r>
        <w:t xml:space="preserve">Note: See Ohio Revised Code, </w:t>
      </w:r>
      <w:r>
        <w:rPr>
          <w:kern w:val="36"/>
        </w:rPr>
        <w:t xml:space="preserve">Section 4123.68 | Schedule of compensable occupational diseases. </w:t>
      </w:r>
      <w:hyperlink r:id="rId1150" w:history="1">
        <w:r>
          <w:rPr>
            <w:rStyle w:val="Hyperlink"/>
          </w:rPr>
          <w:t>https://codes.ohio.gov/ohio-revised-code/section-4123.68</w:t>
        </w:r>
      </w:hyperlink>
      <w:r>
        <w:rPr>
          <w:kern w:val="36"/>
        </w:rPr>
        <w:t xml:space="preserve">. </w:t>
      </w:r>
      <w:r>
        <w:t>(W) Cardiovascular, pulmonary, or respiratory diseases incurred by firefighters or police officers following exposure to heat, smoke, toxic gases, chemical fumes and other toxic substances: Any cardiovascular, pulmonary, or respiratory disease of a firefighter or police officer caused or induced by the cumulative effect of exposure to heat, the inhalation of smoke, toxic gases, chemical fumes and other toxic substances in the performance of the firefighter's or police officer's duty constitutes a presumption, which may be refuted by affirmative evidence, that such occurred in the course of and arising out of the firefighter's or police officer's employment.”</w:t>
      </w:r>
    </w:p>
    <w:p w14:paraId="58C63217" w14:textId="77777777" w:rsidR="003F788B" w:rsidRDefault="003F788B" w:rsidP="00EF1133">
      <w:pPr>
        <w:rPr>
          <w:rFonts w:ascii="Arial Black" w:hAnsi="Arial Black"/>
          <w:b/>
          <w:sz w:val="24"/>
          <w:szCs w:val="24"/>
        </w:rPr>
      </w:pPr>
    </w:p>
    <w:p w14:paraId="798294AE" w14:textId="7C8702B0" w:rsidR="00EF1133" w:rsidRDefault="002D64A4" w:rsidP="00EF1133">
      <w:pPr>
        <w:rPr>
          <w:rFonts w:ascii="Arial Black" w:hAnsi="Arial Black"/>
          <w:b/>
          <w:sz w:val="24"/>
          <w:szCs w:val="24"/>
        </w:rPr>
      </w:pPr>
      <w:r>
        <w:rPr>
          <w:rFonts w:ascii="Arial Black" w:hAnsi="Arial Black"/>
          <w:b/>
          <w:sz w:val="24"/>
          <w:szCs w:val="24"/>
        </w:rPr>
        <w:t>6-10</w:t>
      </w:r>
      <w:r w:rsidR="00FF7C63">
        <w:rPr>
          <w:rFonts w:ascii="Arial Black" w:hAnsi="Arial Black"/>
          <w:b/>
          <w:sz w:val="24"/>
          <w:szCs w:val="24"/>
        </w:rPr>
        <w:t>4</w:t>
      </w:r>
    </w:p>
    <w:p w14:paraId="756D8721" w14:textId="77777777" w:rsidR="002D64A4" w:rsidRDefault="002D64A4" w:rsidP="002D64A4">
      <w:pPr>
        <w:pStyle w:val="NormalWeb"/>
        <w:rPr>
          <w:rFonts w:ascii="Arial Black" w:hAnsi="Arial Black"/>
          <w:sz w:val="28"/>
          <w:szCs w:val="28"/>
        </w:rPr>
      </w:pPr>
      <w:bookmarkStart w:id="228" w:name="_Hlk129180485"/>
      <w:r>
        <w:rPr>
          <w:rFonts w:ascii="Arial Black" w:hAnsi="Arial Black"/>
          <w:sz w:val="28"/>
          <w:szCs w:val="28"/>
        </w:rPr>
        <w:t>LA: NASAL CANCER – FF WINS WORK COMP – STATUTORY PRESUMPTION – “CANNOT RULE OUT” CAUSED BY THE JOB</w:t>
      </w:r>
    </w:p>
    <w:p w14:paraId="05E5FE18" w14:textId="77777777" w:rsidR="002D64A4" w:rsidRDefault="002D64A4" w:rsidP="002D64A4">
      <w:pPr>
        <w:pStyle w:val="NormalWeb"/>
      </w:pPr>
      <w:r>
        <w:lastRenderedPageBreak/>
        <w:t xml:space="preserve">On March 1, 2023, in </w:t>
      </w:r>
      <w:r w:rsidRPr="00AF372B">
        <w:rPr>
          <w:u w:val="single"/>
        </w:rPr>
        <w:t>James Schexnayder v. Jefferson Parish Fire Department</w:t>
      </w:r>
      <w:r>
        <w:t xml:space="preserve">, the Court of Appeals of Louisiana, Fifth Circuit held (3 to 0) that Office of Workers Comp (OWC) judge erred in dismissing claimant's petition and we reverse the judgment appealed, based on the state “statutory presumption” law for firefighters who have cancer.  “In this case, it is undisputed that claimant has been employed in the classified service as a firefighter for the Jefferson Parish Fire Department for more than 31 years and is still employed as a professional firefighter with the Parish and actively fighting fires today. Therefore, he is clearly entitled to the presumption set forth in the Cancer Act. Upon review of all evidence presented at trial, we find that the Parish did not rebut the presumption sufficiently to dismiss claimant's petition. Although the Parish put forth evidence to demonstrate that the type of lymphoma claimant has been diagnosed with is generally caused by the EBV virus, the claimant presented evidence that such a diagnosis is multifactorial and that the etiology is complicated. The evidence claimant introduced clearly demonstrated that claimant's employment could not be ruled out as a contributing factor to his disease.” </w:t>
      </w:r>
      <w:hyperlink r:id="rId1151" w:history="1">
        <w:r w:rsidRPr="003C2BFF">
          <w:rPr>
            <w:rStyle w:val="Hyperlink"/>
            <w:rFonts w:eastAsiaTheme="majorEastAsia"/>
          </w:rPr>
          <w:t>https://www.fifthcircuit.org/dmzdocs/OI/PO/2023/E7D4F8B7-C22B-4814-BFD0-4E0FF0BBD0BE.pdf</w:t>
        </w:r>
      </w:hyperlink>
      <w:r>
        <w:t xml:space="preserve"> </w:t>
      </w:r>
    </w:p>
    <w:p w14:paraId="635190FE" w14:textId="77777777" w:rsidR="002D64A4" w:rsidRDefault="002D64A4" w:rsidP="002D64A4">
      <w:pPr>
        <w:pStyle w:val="NormalWeb"/>
        <w:ind w:left="720"/>
      </w:pPr>
      <w:r>
        <w:t xml:space="preserve">“The [Firefighter Cancer] Act embodies the social policy of the state which recognizes that firemen are subjected during their career to the hazards of smoke, heat, and nauseous fumes from all kinds of toxic chemicals…. The legislature recognized that this exposure could cause a fireman to become the victim of cancer and the presumption relieves the claimant from the necessity of proving an occupational causation of the disease. </w:t>
      </w:r>
    </w:p>
    <w:p w14:paraId="4B345BE8" w14:textId="77777777" w:rsidR="002D64A4" w:rsidRDefault="002D64A4" w:rsidP="002D64A4">
      <w:pPr>
        <w:pStyle w:val="NormalWeb"/>
        <w:ind w:left="720"/>
      </w:pPr>
      <w:r>
        <w:t>***</w:t>
      </w:r>
    </w:p>
    <w:p w14:paraId="32B6A1E2" w14:textId="77777777" w:rsidR="002D64A4" w:rsidRDefault="002D64A4" w:rsidP="002D64A4">
      <w:pPr>
        <w:pStyle w:val="NormalWeb"/>
        <w:ind w:left="720"/>
      </w:pPr>
      <w:r>
        <w:t>We find the evidence presented at trial could not rule out that claimant's more than 30-year employment actively fighting fires could not have contributed to his diagnoses of lymphoma in this case. Consequently, we find the OWJ was clearly erroneous in dismissing claimant's 1008.”</w:t>
      </w:r>
    </w:p>
    <w:p w14:paraId="236D2356" w14:textId="49EE32DB" w:rsidR="002D64A4" w:rsidRDefault="002D64A4" w:rsidP="002D64A4">
      <w:pPr>
        <w:pStyle w:val="NormalWeb"/>
        <w:rPr>
          <w:b/>
          <w:bCs/>
        </w:rPr>
      </w:pPr>
      <w:r w:rsidRPr="006C7ECC">
        <w:rPr>
          <w:b/>
          <w:bCs/>
        </w:rPr>
        <w:t>Legal Lesson Learned:</w:t>
      </w:r>
      <w:r>
        <w:rPr>
          <w:b/>
          <w:bCs/>
        </w:rPr>
        <w:t xml:space="preserve"> Another case where the “statutory presumption” was the deciding factor.  FF should keep records of fires and other chemical exposures.  </w:t>
      </w:r>
    </w:p>
    <w:p w14:paraId="5221CE81" w14:textId="58C50AE5" w:rsidR="002D64A4" w:rsidRDefault="002D64A4" w:rsidP="002D64A4">
      <w:pPr>
        <w:pStyle w:val="NormalWeb"/>
        <w:rPr>
          <w:b/>
          <w:bCs/>
        </w:rPr>
      </w:pPr>
    </w:p>
    <w:p w14:paraId="1A3FCAEF" w14:textId="693E0F9C" w:rsidR="002D64A4" w:rsidRPr="00FF0339" w:rsidRDefault="002D64A4" w:rsidP="002D64A4">
      <w:pPr>
        <w:pStyle w:val="NormalWeb"/>
        <w:rPr>
          <w:rFonts w:ascii="Arial Black" w:hAnsi="Arial Black"/>
          <w:sz w:val="28"/>
          <w:szCs w:val="28"/>
        </w:rPr>
      </w:pPr>
      <w:r w:rsidRPr="00FF0339">
        <w:rPr>
          <w:rFonts w:ascii="Arial Black" w:hAnsi="Arial Black"/>
          <w:sz w:val="28"/>
          <w:szCs w:val="28"/>
        </w:rPr>
        <w:t>6-10</w:t>
      </w:r>
      <w:r w:rsidR="00FF7C63">
        <w:rPr>
          <w:rFonts w:ascii="Arial Black" w:hAnsi="Arial Black"/>
          <w:sz w:val="28"/>
          <w:szCs w:val="28"/>
        </w:rPr>
        <w:t>3</w:t>
      </w:r>
    </w:p>
    <w:p w14:paraId="27ADF6EA" w14:textId="77777777" w:rsidR="002D64A4" w:rsidRPr="001377C6" w:rsidRDefault="002D64A4" w:rsidP="002D64A4">
      <w:pPr>
        <w:pStyle w:val="NormalWeb"/>
        <w:rPr>
          <w:rFonts w:ascii="Arial Black" w:hAnsi="Arial Black"/>
          <w:b/>
          <w:bCs/>
          <w:sz w:val="28"/>
          <w:szCs w:val="28"/>
        </w:rPr>
      </w:pPr>
      <w:r>
        <w:rPr>
          <w:rFonts w:ascii="Arial Black" w:hAnsi="Arial Black"/>
          <w:b/>
          <w:bCs/>
          <w:sz w:val="28"/>
          <w:szCs w:val="28"/>
        </w:rPr>
        <w:t>MA: FIRE CHIEF CONTRACT NOT RENEWED AFTER 5</w:t>
      </w:r>
      <w:r w:rsidRPr="001377C6">
        <w:rPr>
          <w:rFonts w:ascii="Arial Black" w:hAnsi="Arial Black"/>
          <w:b/>
          <w:bCs/>
          <w:sz w:val="28"/>
          <w:szCs w:val="28"/>
          <w:vertAlign w:val="superscript"/>
        </w:rPr>
        <w:t>th</w:t>
      </w:r>
      <w:r>
        <w:rPr>
          <w:rFonts w:ascii="Arial Black" w:hAnsi="Arial Black"/>
          <w:b/>
          <w:bCs/>
          <w:sz w:val="28"/>
          <w:szCs w:val="28"/>
        </w:rPr>
        <w:t xml:space="preserve"> YEARS – DIDN’T HAVE LIFETIME APPOINTMENT</w:t>
      </w:r>
    </w:p>
    <w:p w14:paraId="57E63D28" w14:textId="77777777" w:rsidR="002D64A4" w:rsidRPr="001377C6" w:rsidRDefault="002D64A4" w:rsidP="002D64A4">
      <w:pPr>
        <w:pStyle w:val="NormalWeb"/>
      </w:pPr>
      <w:r>
        <w:t xml:space="preserve">On Feb. 24, 2023, in </w:t>
      </w:r>
      <w:r w:rsidRPr="001377C6">
        <w:rPr>
          <w:u w:val="single"/>
        </w:rPr>
        <w:t>Mark Tetreault v. Board of Selectmen of Lynnfield</w:t>
      </w:r>
      <w:r>
        <w:t xml:space="preserve">, the Appeals Court of Massachusetts, Essex, held (3 to 0) that that the town did not violate the “strong chief” statute, the town charter, or the town's personnel bylaws by electing in 2018 not to renew Tetreault's contract.  </w:t>
      </w:r>
      <w:r w:rsidRPr="00EF4D33">
        <w:t>The</w:t>
      </w:r>
      <w:r>
        <w:t xml:space="preserve"> Court noted: “Tetreault suggests that its purpose was to protect fire chiefs from ‘political machinations’ and to allow them independence in the discharge of their duties. He argues that this purpose would be undermined by our interpretation. We disagree. ***  Even if the strong chief statute could be interpreted to provide fire chiefs with lifetime tenure -- a doubtful proposition -- Tetreault waived any such statutory right by </w:t>
      </w:r>
      <w:proofErr w:type="gramStart"/>
      <w:r>
        <w:t>entering into</w:t>
      </w:r>
      <w:proofErr w:type="gramEnd"/>
      <w:r>
        <w:t xml:space="preserve"> the employment contract. When he did so, he knew that the contract had language and terms that conflicted with what he professes was his belief about the meaning of the strong chief statute. As we have said, however, nothing would prohibit a fire chief from </w:t>
      </w:r>
      <w:proofErr w:type="gramStart"/>
      <w:r>
        <w:t>entering into</w:t>
      </w:r>
      <w:proofErr w:type="gramEnd"/>
      <w:r>
        <w:t xml:space="preserve"> an employment contract on terms that differ from the strong chief statute, and G. L. c. 41, § 108O, expressly permits that course of action.” </w:t>
      </w:r>
      <w:hyperlink r:id="rId1152" w:history="1">
        <w:r w:rsidRPr="00CE4DCE">
          <w:rPr>
            <w:rStyle w:val="Hyperlink"/>
            <w:rFonts w:eastAsiaTheme="majorEastAsia"/>
          </w:rPr>
          <w:t>https://www.socialaw.com/services/slip-opinions/slip-opinion-details/mark-tetreault-vs.-board-of-selectmen-of-lynnfield</w:t>
        </w:r>
      </w:hyperlink>
      <w:r>
        <w:t xml:space="preserve"> </w:t>
      </w:r>
    </w:p>
    <w:p w14:paraId="36C512AE" w14:textId="77777777" w:rsidR="002D64A4" w:rsidRDefault="002D64A4" w:rsidP="002D64A4">
      <w:pPr>
        <w:pStyle w:val="NormalWeb"/>
        <w:ind w:left="720"/>
      </w:pPr>
      <w:r>
        <w:lastRenderedPageBreak/>
        <w:t xml:space="preserve">“In December 2013, the board appointed Tetreault as the town's fire chief ‘subject to the successful negotiation of an employment contract.’ During those negotiations, in discussing the contract provision that he </w:t>
      </w:r>
      <w:proofErr w:type="gramStart"/>
      <w:r>
        <w:t>serve</w:t>
      </w:r>
      <w:proofErr w:type="gramEnd"/>
      <w:r>
        <w:t xml:space="preserve"> as an employee at will during an initial six-month probationary period, Tetreault told the town administrator that it was his understanding that under the strong chief statute, a chief ‘only could be terminated for cause.’ Tetreault asked to include in the contract language that provided that ‘[n]</w:t>
      </w:r>
      <w:proofErr w:type="spellStart"/>
      <w:r>
        <w:t>othing</w:t>
      </w:r>
      <w:proofErr w:type="spellEnd"/>
      <w:r>
        <w:t xml:space="preserve"> in this agreement shall diminish the authority, duty, and protections granted under [G. L. c. 48, § 42],’ and that the contract was ‘in accordance with [G. L. c. 41, § 108O].’ The town administrator declined to do so, and no reference to either statute was included in the contract.”</w:t>
      </w:r>
    </w:p>
    <w:p w14:paraId="416A6D4F" w14:textId="77777777" w:rsidR="002D64A4" w:rsidRDefault="002D64A4" w:rsidP="002D64A4">
      <w:pPr>
        <w:pStyle w:val="NormalWeb"/>
        <w:rPr>
          <w:b/>
          <w:bCs/>
        </w:rPr>
      </w:pPr>
      <w:r w:rsidRPr="00577551">
        <w:rPr>
          <w:b/>
          <w:bCs/>
        </w:rPr>
        <w:t>Legal Lesson Learned:</w:t>
      </w:r>
      <w:r>
        <w:rPr>
          <w:b/>
          <w:bCs/>
        </w:rPr>
        <w:t xml:space="preserve"> Fire Chiefs when negotiating an employment contract should have a clear provision on basis for non-renewal of the contract; wise to have an attorney review. </w:t>
      </w:r>
    </w:p>
    <w:p w14:paraId="409649A0" w14:textId="77777777" w:rsidR="002D64A4" w:rsidRPr="006C7ECC" w:rsidRDefault="002D64A4" w:rsidP="002D64A4">
      <w:pPr>
        <w:pStyle w:val="NormalWeb"/>
        <w:rPr>
          <w:b/>
          <w:bCs/>
        </w:rPr>
      </w:pPr>
    </w:p>
    <w:bookmarkEnd w:id="228"/>
    <w:p w14:paraId="1F96F92E" w14:textId="77777777" w:rsidR="002D64A4" w:rsidRDefault="002D64A4" w:rsidP="00EF1133">
      <w:pPr>
        <w:rPr>
          <w:rFonts w:ascii="Arial Black" w:hAnsi="Arial Black"/>
          <w:b/>
          <w:sz w:val="24"/>
          <w:szCs w:val="24"/>
        </w:rPr>
      </w:pPr>
    </w:p>
    <w:p w14:paraId="416F9D9E" w14:textId="01A68C81" w:rsidR="007959C9" w:rsidRDefault="008A4533" w:rsidP="00EF1133">
      <w:pPr>
        <w:rPr>
          <w:rFonts w:ascii="Arial Black" w:hAnsi="Arial Black"/>
          <w:b/>
          <w:sz w:val="24"/>
          <w:szCs w:val="24"/>
        </w:rPr>
      </w:pPr>
      <w:r>
        <w:rPr>
          <w:rFonts w:ascii="Arial Black" w:hAnsi="Arial Black"/>
          <w:b/>
          <w:sz w:val="24"/>
          <w:szCs w:val="24"/>
        </w:rPr>
        <w:t>6-10</w:t>
      </w:r>
      <w:r w:rsidR="00FF7C63">
        <w:rPr>
          <w:rFonts w:ascii="Arial Black" w:hAnsi="Arial Black"/>
          <w:b/>
          <w:sz w:val="24"/>
          <w:szCs w:val="24"/>
        </w:rPr>
        <w:t>2</w:t>
      </w:r>
    </w:p>
    <w:p w14:paraId="1808E9E0" w14:textId="77777777" w:rsidR="008A4533" w:rsidRPr="00E81735" w:rsidRDefault="008A4533" w:rsidP="008A4533">
      <w:pPr>
        <w:pStyle w:val="NormalWeb"/>
        <w:rPr>
          <w:rFonts w:ascii="Arial Black" w:hAnsi="Arial Black"/>
          <w:sz w:val="28"/>
          <w:szCs w:val="28"/>
        </w:rPr>
      </w:pPr>
      <w:r>
        <w:rPr>
          <w:rFonts w:ascii="Arial Black" w:hAnsi="Arial Black"/>
          <w:sz w:val="28"/>
          <w:szCs w:val="28"/>
        </w:rPr>
        <w:t xml:space="preserve">PA: VOLUNTEER FF – KIDNEY / COLON CANCER – GETS WORK COMP UNDER PA “STATUTORY PRESUMPTION” </w:t>
      </w:r>
    </w:p>
    <w:p w14:paraId="2900FECC" w14:textId="77777777" w:rsidR="008A4533" w:rsidRDefault="008A4533" w:rsidP="008A4533">
      <w:pPr>
        <w:pStyle w:val="NormalWeb"/>
      </w:pPr>
      <w:r>
        <w:t xml:space="preserve">On Jan. 10, 2023, in </w:t>
      </w:r>
      <w:r w:rsidRPr="00FE6967">
        <w:rPr>
          <w:u w:val="single"/>
        </w:rPr>
        <w:t>Volunteer Fire Companies of Lower Saucon v. David Cawley (Workers’ Compensation Appeal Board</w:t>
      </w:r>
      <w:r>
        <w:t xml:space="preserve">,  the Commonwealth Court of Pennsylvania held (3 to 0; unpublished opinion) that the Administrative Law Judge, and the Appeal Board, both properly held that the volunteer firefighter, with over 20 years of service, and over 1,000 fires, who worked in Fire Station that did not extract diesel smoke, was entitled to worker’s comp for his kidney and colon cancers. Under the PA statutory presumption statute, firefighters with over 4 years on the job, with no cancer when they joined fire service, only had to </w:t>
      </w:r>
      <w:r w:rsidRPr="00FE6967">
        <w:t>prove</w:t>
      </w:r>
      <w:r>
        <w:t xml:space="preserve"> a</w:t>
      </w:r>
      <w:r w:rsidRPr="00FE6967">
        <w:rPr>
          <w:b/>
          <w:bCs/>
        </w:rPr>
        <w:t xml:space="preserve"> “</w:t>
      </w:r>
      <w:r w:rsidRPr="00FE6967">
        <w:rPr>
          <w:rStyle w:val="Strong"/>
        </w:rPr>
        <w:t>general causative link between the claimant</w:t>
      </w:r>
      <w:r w:rsidRPr="00FE6967">
        <w:rPr>
          <w:b/>
          <w:bCs/>
        </w:rPr>
        <w:t>'</w:t>
      </w:r>
      <w:r w:rsidRPr="00FE6967">
        <w:rPr>
          <w:rStyle w:val="Strong"/>
        </w:rPr>
        <w:t>s type of cancer and a Group 1 carcinogen</w:t>
      </w:r>
      <w:r w:rsidRPr="00FE6967">
        <w:rPr>
          <w:b/>
          <w:bCs/>
        </w:rPr>
        <w:t>.”</w:t>
      </w:r>
      <w:r>
        <w:t xml:space="preserve"> The Court held: “In other words, the claimant </w:t>
      </w:r>
      <w:r>
        <w:rPr>
          <w:rStyle w:val="Emphasis"/>
        </w:rPr>
        <w:t>must produce evidence that it is possible</w:t>
      </w:r>
      <w:r>
        <w:t xml:space="preserve"> that the carcinogen in question caused the type of cancer with which the claimant is afflicted. It does </w:t>
      </w:r>
      <w:r>
        <w:rPr>
          <w:rStyle w:val="Emphasis"/>
        </w:rPr>
        <w:t xml:space="preserve">not require the claimant to prove that the identified Group 1 carcinogen </w:t>
      </w:r>
      <w:proofErr w:type="gramStart"/>
      <w:r>
        <w:rPr>
          <w:rStyle w:val="Emphasis"/>
        </w:rPr>
        <w:t>actually</w:t>
      </w:r>
      <w:r>
        <w:t xml:space="preserve"> caused</w:t>
      </w:r>
      <w:proofErr w:type="gramEnd"/>
      <w:r>
        <w:t xml:space="preserve"> claimant's cancer.”</w:t>
      </w:r>
      <w:hyperlink r:id="rId1153" w:history="1">
        <w:r w:rsidRPr="00D25822">
          <w:rPr>
            <w:rStyle w:val="Hyperlink"/>
          </w:rPr>
          <w:t>https://law.justia.com/cases/pennsylvania/commonwealth-court/2023/12-c-d-2022.html</w:t>
        </w:r>
      </w:hyperlink>
      <w:r>
        <w:t xml:space="preserve"> </w:t>
      </w:r>
    </w:p>
    <w:p w14:paraId="263B8DB9" w14:textId="77777777" w:rsidR="008A4533" w:rsidRDefault="008A4533" w:rsidP="008A4533">
      <w:pPr>
        <w:pStyle w:val="NormalWeb"/>
        <w:ind w:left="720"/>
      </w:pPr>
      <w:r>
        <w:t xml:space="preserve">“Here, Claimant testified that he has always worked at the same firehouse, which operates three diesel-powered vehicles, and it does not have a diesel fuel emissions capture system….  He could see and smell diesel fuel emissions on every fire call for approximately five to eight minutes before the trucks pulled out of the firehouse, during which time he was not wearing breathing protection. …  He was also exposed while the trucks are running at every fire scene…. Claimant recalled that the firehouse apparatus door, walls, and ceiling were covered in diesel fuel soot, which he periodically participated in cleaning without being given personal protective equipment. </w:t>
      </w:r>
    </w:p>
    <w:p w14:paraId="55B8B77A" w14:textId="77777777" w:rsidR="008A4533" w:rsidRDefault="008A4533" w:rsidP="008A4533">
      <w:pPr>
        <w:pStyle w:val="NormalWeb"/>
        <w:ind w:left="720" w:firstLine="60"/>
      </w:pPr>
      <w:r>
        <w:t>Claimant described that he fought at least 1,000 interior and exterior fires over the years, including house, car, trash, brush, and warehouse fires…. Claimant presented Employer's pre-</w:t>
      </w:r>
      <w:proofErr w:type="spellStart"/>
      <w:r>
        <w:t>PennFIRS</w:t>
      </w:r>
      <w:proofErr w:type="spellEnd"/>
      <w:r>
        <w:t xml:space="preserve"> and </w:t>
      </w:r>
      <w:proofErr w:type="spellStart"/>
      <w:r>
        <w:t>PennFIRS</w:t>
      </w:r>
      <w:proofErr w:type="spellEnd"/>
      <w:r>
        <w:t xml:space="preserve"> reports reflecting his firefighting since 1979. He stated that he participated in all firefighting stages, including: the attack phase (entry, search, rescue, ventilation and suppression), the overhaul phase, the salvage phase, and the fire investigation phase, all of which exposed him to soot and smoke…. Claimant explained that, although firefighters now use self-contained breathing apparatuses (SCBAs) for all types of fires and phases, for the first 20 years or so of his service, SCBAs were not used for exterior fires, car fires, overhaul, or salvage.</w:t>
      </w:r>
    </w:p>
    <w:p w14:paraId="2A63AD88" w14:textId="77777777" w:rsidR="008A4533" w:rsidRDefault="008A4533" w:rsidP="008A4533">
      <w:pPr>
        <w:pStyle w:val="NormalWeb"/>
        <w:ind w:left="720" w:firstLine="60"/>
        <w:rPr>
          <w:rStyle w:val="Emphasis"/>
        </w:rPr>
      </w:pPr>
      <w:r>
        <w:lastRenderedPageBreak/>
        <w:t>***</w:t>
      </w:r>
    </w:p>
    <w:p w14:paraId="4D051345" w14:textId="77777777" w:rsidR="008A4533" w:rsidRDefault="008A4533" w:rsidP="008A4533">
      <w:pPr>
        <w:pStyle w:val="NormalWeb"/>
        <w:ind w:left="720"/>
      </w:pPr>
      <w:r>
        <w:t xml:space="preserve">“The express language of </w:t>
      </w:r>
      <w:r>
        <w:rPr>
          <w:rStyle w:val="Strong"/>
        </w:rPr>
        <w:t>Section 108(r)</w:t>
      </w:r>
      <w:r>
        <w:t xml:space="preserve"> [</w:t>
      </w:r>
      <w:r>
        <w:rPr>
          <w:rStyle w:val="Strong"/>
        </w:rPr>
        <w:t>of the Act</w:t>
      </w:r>
      <w:r>
        <w:t xml:space="preserve">], namely that the claimant has a ‘cancer . . . which is caused by exposure to a known (Group 1) carcinogen’ clearly imposes an initial burden of causation on the claimant. Importantly, however, the provision </w:t>
      </w:r>
      <w:r>
        <w:rPr>
          <w:rStyle w:val="Strong"/>
        </w:rPr>
        <w:t>only requires the claimant to establish a general causative link between the claimant</w:t>
      </w:r>
      <w:r>
        <w:t>'</w:t>
      </w:r>
      <w:r>
        <w:rPr>
          <w:rStyle w:val="Strong"/>
        </w:rPr>
        <w:t>s type of cancer and a Group 1 carcinogen</w:t>
      </w:r>
      <w:r>
        <w:t>…. Section 108(r) [of the Act] embodies a legislative acknowledgement that firefighting is a dangerous occupation that routinely exposes firefighters to Group 1 carcinogens that are known to cause various types of cancers. The ‘general causation’ requirement under Section 108(r) [of the Act] constitutes a recognition that different types of cancers have different etiologies, and it weeds out claims for compensation for cancers with no known link to Group 1 carcinogens. The burden imposed by Section 108(r) [of the Act] is not a heavy burden.”</w:t>
      </w:r>
    </w:p>
    <w:p w14:paraId="56C1283D" w14:textId="77777777" w:rsidR="008A4533" w:rsidRPr="005B7454" w:rsidRDefault="008A4533" w:rsidP="008A4533">
      <w:pPr>
        <w:pStyle w:val="NormalWeb"/>
        <w:rPr>
          <w:b/>
          <w:bCs/>
        </w:rPr>
      </w:pPr>
      <w:r w:rsidRPr="005B7454">
        <w:rPr>
          <w:b/>
          <w:bCs/>
        </w:rPr>
        <w:t>Legal Lesson Learned:</w:t>
      </w:r>
      <w:r>
        <w:rPr>
          <w:b/>
          <w:bCs/>
        </w:rPr>
        <w:t xml:space="preserve"> Statutory presumption statute in Pennsylvania, and many other states, is very helpful.   </w:t>
      </w:r>
    </w:p>
    <w:p w14:paraId="4B3194C2" w14:textId="77777777" w:rsidR="008A4533" w:rsidRDefault="008A4533" w:rsidP="008A4533">
      <w:pPr>
        <w:pStyle w:val="NormalWeb"/>
      </w:pPr>
    </w:p>
    <w:p w14:paraId="29711B73" w14:textId="7336E4EA" w:rsidR="008A4533" w:rsidRDefault="008A4533" w:rsidP="00EF1133">
      <w:pPr>
        <w:rPr>
          <w:rFonts w:ascii="Arial Black" w:hAnsi="Arial Black"/>
          <w:b/>
          <w:sz w:val="24"/>
          <w:szCs w:val="24"/>
        </w:rPr>
      </w:pPr>
    </w:p>
    <w:p w14:paraId="1BF8D28E" w14:textId="1737D3C0" w:rsidR="008A4533" w:rsidRDefault="008A4533" w:rsidP="00EF1133">
      <w:pPr>
        <w:rPr>
          <w:rFonts w:ascii="Arial Black" w:hAnsi="Arial Black"/>
          <w:b/>
          <w:sz w:val="24"/>
          <w:szCs w:val="24"/>
        </w:rPr>
      </w:pPr>
      <w:r>
        <w:rPr>
          <w:rFonts w:ascii="Arial Black" w:hAnsi="Arial Black"/>
          <w:b/>
          <w:sz w:val="24"/>
          <w:szCs w:val="24"/>
        </w:rPr>
        <w:t>6-10</w:t>
      </w:r>
      <w:r w:rsidR="00FF7C63">
        <w:rPr>
          <w:rFonts w:ascii="Arial Black" w:hAnsi="Arial Black"/>
          <w:b/>
          <w:sz w:val="24"/>
          <w:szCs w:val="24"/>
        </w:rPr>
        <w:t>1</w:t>
      </w:r>
    </w:p>
    <w:p w14:paraId="48019C73" w14:textId="00DBCD29" w:rsidR="008A4533" w:rsidRDefault="008A4533" w:rsidP="00EF1133">
      <w:pPr>
        <w:rPr>
          <w:rFonts w:ascii="Arial Black" w:hAnsi="Arial Black"/>
          <w:b/>
          <w:sz w:val="24"/>
          <w:szCs w:val="24"/>
        </w:rPr>
      </w:pPr>
    </w:p>
    <w:p w14:paraId="218EEB18" w14:textId="77777777" w:rsidR="008A4533" w:rsidRPr="00BF0E9D" w:rsidRDefault="008A4533" w:rsidP="008A4533">
      <w:pPr>
        <w:pStyle w:val="NormalWeb"/>
        <w:rPr>
          <w:rFonts w:ascii="Arial Black" w:hAnsi="Arial Black"/>
          <w:sz w:val="28"/>
          <w:szCs w:val="28"/>
        </w:rPr>
      </w:pPr>
      <w:r>
        <w:rPr>
          <w:rFonts w:ascii="Arial Black" w:hAnsi="Arial Black"/>
          <w:sz w:val="28"/>
          <w:szCs w:val="28"/>
        </w:rPr>
        <w:t>AL:  ASSISTANT FIRE CHIEF – ARRESTED DOMESTIC VIOLENCE - RETIRED “IMMEDIATELY” – NOT FORCED</w:t>
      </w:r>
    </w:p>
    <w:p w14:paraId="02DDBE6B" w14:textId="77777777" w:rsidR="008A4533" w:rsidRDefault="008A4533" w:rsidP="008A4533">
      <w:pPr>
        <w:pStyle w:val="NormalWeb"/>
      </w:pPr>
      <w:r>
        <w:t xml:space="preserve">On Jan. 6, 2023, in </w:t>
      </w:r>
      <w:r w:rsidRPr="00BF0E9D">
        <w:rPr>
          <w:u w:val="single"/>
        </w:rPr>
        <w:t>Kenneth Bolling v. City of Montgomery</w:t>
      </w:r>
      <w:r>
        <w:t xml:space="preserve">, U.S. District Court Judge A. Austin Huffaker, Jr., U.S. District Court for Middle District of Alabama (Northern Division), held that after holding a bench trial May 16-17, 2022 and July 11, 2022, he found that Assistant Fire Bolling’s allegation that Fire Chief directed him to immediate resign after his arrest for domestic violence was not credible.  Bolling was second in command at the FD, 33 years of service, was arrested on June 27, </w:t>
      </w:r>
      <w:proofErr w:type="gramStart"/>
      <w:r>
        <w:t>2018</w:t>
      </w:r>
      <w:proofErr w:type="gramEnd"/>
      <w:r>
        <w:t xml:space="preserve"> for alleged domestic violence against his former girlfriend the night before.  When released from jail after 12-hour mandatory hold, he first called the City’s retirement specialist for estimate of his retirement payout.  He then met with Fire Chief </w:t>
      </w:r>
      <w:proofErr w:type="spellStart"/>
      <w:r>
        <w:t>Miford</w:t>
      </w:r>
      <w:proofErr w:type="spellEnd"/>
      <w:r>
        <w:t xml:space="preserve"> Jordan, and Chief of Staff Chief of Staff John Petrey, and signed a suspension with pay document.  He then when to retirement specialist, obtained retirement document, and signed for “immediate retirement” (not giving 7-days’ notice led to forfeiture of accrued leave and sick time). The Court held:  “And finally, and perhaps most persuasively, on the morning he turned himself into the city police-</w:t>
      </w:r>
      <w:r>
        <w:rPr>
          <w:rStyle w:val="Emphasis"/>
        </w:rPr>
        <w:t>before</w:t>
      </w:r>
      <w:r>
        <w:t xml:space="preserve"> his parking lot discussion with Chief Jordan and </w:t>
      </w:r>
      <w:r>
        <w:rPr>
          <w:rStyle w:val="Emphasis"/>
        </w:rPr>
        <w:t>before</w:t>
      </w:r>
      <w:r>
        <w:t xml:space="preserve"> the Petrey office meeting-Bolling called city retirement specialist Kim Neese to obtain an estimate of retirement benefit payouts should he decide to retire immediately. This uncoerced, self-initiated action supports the inference that Bolling intended to resign (or at least was seriously considering it) prior to any discussion with Chief Jordan and Petrey about his termination and supposed loss of retirement benefits.” </w:t>
      </w:r>
      <w:hyperlink r:id="rId1154" w:history="1">
        <w:r w:rsidRPr="00D25822">
          <w:rPr>
            <w:rStyle w:val="Hyperlink"/>
          </w:rPr>
          <w:t>https://public.fastcase.com/J%2FJP6pdidelsXxEE4k%2BLMqkdD5%2F9vomvqFlCkCXbHBZeshVe9dMO69n26VvOOGQ0AfFNIJdHHotvSTHs4WCcjg4h%2FMs%2B3ZGL0GmuYT%2B2kk4%3D?utm_medium=email&amp;_hsmi=226712652&amp;_hsenc=p2ANqtz-9blRBfGvWcvPfjP94U0OWp5xjRToJRFC1FgT4HNxkVt3pCFWJPlaIDL-9MMTlNfF1ZXM41l3Otj_VuO__ziHrFsLR4IQ&amp;utm_content=226712652&amp;utm_source=hs_email</w:t>
        </w:r>
      </w:hyperlink>
      <w:r>
        <w:t xml:space="preserve"> </w:t>
      </w:r>
    </w:p>
    <w:p w14:paraId="0FDEBDAB" w14:textId="77777777" w:rsidR="008A4533" w:rsidRDefault="008A4533" w:rsidP="008A4533">
      <w:pPr>
        <w:pStyle w:val="NormalWeb"/>
        <w:ind w:left="720"/>
      </w:pPr>
      <w:r>
        <w:t xml:space="preserve">“According to Chief Jordan, in the parking garage and on the way to Petrey's office, Bolling kept repeating that he should not have gone over to his </w:t>
      </w:r>
      <w:proofErr w:type="spellStart"/>
      <w:proofErr w:type="gramStart"/>
      <w:r>
        <w:t>ex girlfriend’s</w:t>
      </w:r>
      <w:proofErr w:type="spellEnd"/>
      <w:proofErr w:type="gramEnd"/>
      <w:r>
        <w:t xml:space="preserve"> house. Chief Jordan also testified that </w:t>
      </w:r>
      <w:r>
        <w:lastRenderedPageBreak/>
        <w:t xml:space="preserve">the two did not talk about anything related to Bolling's employment status at the time.  According to Bolling, the discussion was somewhat different. Per Bolling, Chief Jordan approached Bolling in the parking lot, hugged him, and told him, “They [are] going to fire you.” Chief Jordan also said, “Bolling, I'm talking to you like a brother [T]here </w:t>
      </w:r>
      <w:proofErr w:type="spellStart"/>
      <w:r>
        <w:t>ain't</w:t>
      </w:r>
      <w:proofErr w:type="spellEnd"/>
      <w:r>
        <w:t xml:space="preserve"> no fighting this.” </w:t>
      </w:r>
    </w:p>
    <w:p w14:paraId="6F1EFA16" w14:textId="77777777" w:rsidR="008A4533" w:rsidRDefault="008A4533" w:rsidP="008A4533">
      <w:pPr>
        <w:pStyle w:val="NormalWeb"/>
        <w:ind w:left="720"/>
      </w:pPr>
      <w:r>
        <w:t>***</w:t>
      </w:r>
    </w:p>
    <w:p w14:paraId="126D1698" w14:textId="77777777" w:rsidR="008A4533" w:rsidRDefault="008A4533" w:rsidP="008A4533">
      <w:pPr>
        <w:pStyle w:val="NormalWeb"/>
        <w:ind w:left="720"/>
      </w:pPr>
      <w:r>
        <w:t>Chief Jordan further testified that he never told Bolling that he was being terminated, that he should resign, or that he would lose his benefits if he did not resign. Simply put, according to Chief Jordan, they never discussed resignation or termination whatsoever during the meeting. This version of events was fully corroborated by Petrey, who reiterated in his testimony that Bolling was put on administrative leave without ever discussing resignation, retirement, or termination, and that Bolling acknowledged being put on administrative leave while an investigation into the arrest was conducted.</w:t>
      </w:r>
    </w:p>
    <w:p w14:paraId="7E0872FF" w14:textId="77777777" w:rsidR="008A4533" w:rsidRDefault="008A4533" w:rsidP="008A4533">
      <w:pPr>
        <w:pStyle w:val="NormalWeb"/>
        <w:ind w:left="720"/>
      </w:pPr>
      <w:r>
        <w:t>***</w:t>
      </w:r>
    </w:p>
    <w:p w14:paraId="2530A02B" w14:textId="77777777" w:rsidR="008A4533" w:rsidRDefault="008A4533" w:rsidP="008A4533">
      <w:pPr>
        <w:pStyle w:val="NormalWeb"/>
        <w:ind w:left="720"/>
      </w:pPr>
      <w:r>
        <w:t xml:space="preserve">Footnote 2: </w:t>
      </w:r>
      <w:r w:rsidRPr="009B4536">
        <w:t>From Bolling's standpoint, resignation ended any city investigation into the domestic violence incident over which criminal charges had been initiated and therefore Bolling would have avoided having to sit and answer questions during the interview about the incident as well as the other incidents, allegations, and convictions of domestic violence against Bolling over the years, and arguably would have allowed him to separate in good standing. During the trial, there was much testimony and evidence about other domestic violations incidents, criminal charges and convictions against Bolling. The Court fails to see the relevancy of his domestic violence history other than the impact it may have had in his decision to resign, effective immediately.</w:t>
      </w:r>
    </w:p>
    <w:p w14:paraId="557D4B17" w14:textId="77777777" w:rsidR="008A4533" w:rsidRPr="009B4536" w:rsidRDefault="008A4533" w:rsidP="008A4533">
      <w:pPr>
        <w:pStyle w:val="NormalWeb"/>
        <w:rPr>
          <w:b/>
          <w:bCs/>
        </w:rPr>
      </w:pPr>
      <w:r w:rsidRPr="009B4536">
        <w:rPr>
          <w:b/>
          <w:bCs/>
        </w:rPr>
        <w:t>Legal Lesson Learned:</w:t>
      </w:r>
      <w:r>
        <w:rPr>
          <w:b/>
          <w:bCs/>
        </w:rPr>
        <w:t xml:space="preserve"> Do not make hasty retirement decisions.</w:t>
      </w:r>
    </w:p>
    <w:p w14:paraId="42B69768" w14:textId="77777777" w:rsidR="008A4533" w:rsidRDefault="008A4533" w:rsidP="008A4533">
      <w:pPr>
        <w:pStyle w:val="NormalWeb"/>
        <w:ind w:left="720"/>
      </w:pPr>
      <w:r>
        <w:t xml:space="preserve">Note:  The Court is an earlier decision in this case , April 2, 2020, wrote: “Bolling has never been convicted of domestic violence, but he has been charged with domestic violence at least eight times during his career.” </w:t>
      </w:r>
      <w:hyperlink r:id="rId1155" w:history="1">
        <w:r w:rsidRPr="00D25822">
          <w:rPr>
            <w:rStyle w:val="Hyperlink"/>
          </w:rPr>
          <w:t>https://casetext.com/case/bolling-v-city-of-montgomery</w:t>
        </w:r>
      </w:hyperlink>
      <w:r>
        <w:t xml:space="preserve"> </w:t>
      </w:r>
    </w:p>
    <w:p w14:paraId="71DB59C1" w14:textId="77777777" w:rsidR="008A4533" w:rsidRDefault="008A4533" w:rsidP="008A4533">
      <w:pPr>
        <w:pStyle w:val="NormalWeb"/>
        <w:ind w:left="720"/>
      </w:pPr>
    </w:p>
    <w:p w14:paraId="0B5A4828" w14:textId="77777777" w:rsidR="008A4533" w:rsidRDefault="008A4533" w:rsidP="00EF1133">
      <w:pPr>
        <w:rPr>
          <w:rFonts w:ascii="Arial Black" w:hAnsi="Arial Black"/>
          <w:b/>
          <w:sz w:val="24"/>
          <w:szCs w:val="24"/>
        </w:rPr>
      </w:pPr>
    </w:p>
    <w:p w14:paraId="4F9C9290" w14:textId="77777777" w:rsidR="007959C9" w:rsidRDefault="007959C9" w:rsidP="00EF1133">
      <w:pPr>
        <w:rPr>
          <w:rFonts w:ascii="Arial Black" w:hAnsi="Arial Black"/>
          <w:b/>
          <w:sz w:val="24"/>
          <w:szCs w:val="24"/>
        </w:rPr>
      </w:pPr>
    </w:p>
    <w:p w14:paraId="742E3D60" w14:textId="2011C56F" w:rsidR="00BA3CDE" w:rsidRDefault="00BA3CDE" w:rsidP="00EF1133">
      <w:pPr>
        <w:rPr>
          <w:rFonts w:ascii="Arial Black" w:hAnsi="Arial Black"/>
          <w:b/>
          <w:sz w:val="24"/>
          <w:szCs w:val="24"/>
        </w:rPr>
      </w:pPr>
      <w:r>
        <w:rPr>
          <w:rFonts w:ascii="Arial Black" w:hAnsi="Arial Black"/>
          <w:b/>
          <w:sz w:val="24"/>
          <w:szCs w:val="24"/>
        </w:rPr>
        <w:t>6-10</w:t>
      </w:r>
      <w:r w:rsidR="00FF7C63">
        <w:rPr>
          <w:rFonts w:ascii="Arial Black" w:hAnsi="Arial Black"/>
          <w:b/>
          <w:sz w:val="24"/>
          <w:szCs w:val="24"/>
        </w:rPr>
        <w:t>0</w:t>
      </w:r>
    </w:p>
    <w:p w14:paraId="6A11D359" w14:textId="77777777" w:rsidR="00BA3CDE" w:rsidRPr="003B67CB" w:rsidRDefault="00BA3CDE" w:rsidP="00BA3CDE">
      <w:pPr>
        <w:pStyle w:val="NormalWeb"/>
        <w:rPr>
          <w:rFonts w:ascii="Arial Black" w:hAnsi="Arial Black"/>
          <w:b/>
          <w:bCs/>
          <w:sz w:val="28"/>
          <w:szCs w:val="28"/>
        </w:rPr>
      </w:pPr>
      <w:r>
        <w:rPr>
          <w:rFonts w:ascii="Arial Black" w:hAnsi="Arial Black"/>
          <w:b/>
          <w:bCs/>
          <w:sz w:val="28"/>
          <w:szCs w:val="28"/>
        </w:rPr>
        <w:t xml:space="preserve">NJ: FF BACK INJURY CARRYING PATIENT – NOT “UNEXPECTED” - DENIED ACCID. DISABILIY PENSION </w:t>
      </w:r>
    </w:p>
    <w:p w14:paraId="48E5E5DB" w14:textId="77777777" w:rsidR="00BA3CDE" w:rsidRDefault="00BA3CDE" w:rsidP="00BA3CDE">
      <w:pPr>
        <w:pStyle w:val="NormalWeb"/>
      </w:pPr>
      <w:r>
        <w:t xml:space="preserve">On Dec. 16, 2022, in </w:t>
      </w:r>
      <w:r w:rsidRPr="003B67CB">
        <w:rPr>
          <w:u w:val="single"/>
        </w:rPr>
        <w:t>Dennis Coaxum v. Board of Trustees, Police and Firemen’s Retirement System</w:t>
      </w:r>
      <w:r>
        <w:t xml:space="preserve">, the Superior Court of New Jersey, Appellate Division, held (2 to 0) that the Administrative Law Judge properly concluded that the injury suffered by the Atlantic City firefighter was not "undesigned and unexpected” as required under State law for accidental disability retirement benefits (ADRB).  The ALJ found Dennis failed to satisfy, by a preponderance of the evidence, the July 18, </w:t>
      </w:r>
      <w:proofErr w:type="gramStart"/>
      <w:r>
        <w:t>2017</w:t>
      </w:r>
      <w:proofErr w:type="gramEnd"/>
      <w:r>
        <w:t xml:space="preserve"> incident was "undesigned and unexpected."  Additionally, the ALJ questioned Dennis' credibility given his lack of disclosure about the patient grabbing the railing on any form or to any doctor prior to his testimony.</w:t>
      </w:r>
    </w:p>
    <w:p w14:paraId="36AFEB4F" w14:textId="77777777" w:rsidR="00BA3CDE" w:rsidRDefault="00BA3CDE" w:rsidP="00BA3CDE">
      <w:pPr>
        <w:pStyle w:val="NormalWeb"/>
        <w:ind w:left="720"/>
      </w:pPr>
      <w:r>
        <w:lastRenderedPageBreak/>
        <w:t xml:space="preserve">“Dennis was performing his normal job duties on the date of the incident. He had been trained to transport people to medical facilities. While the utilization of a stair chair was more common and preferable, Dennis had been supplied with and trained to use a Reeves Sleeve and had utilized it to move patients on previous occasions. He conceded he was trained to move patients in different types of areas and under different circumstances. He testified he was trained to lift things over his head as a firefighter. The record is bereft of any indication Dennis' injury arose from anything other than ordinary strenuous work effort.” </w:t>
      </w:r>
      <w:hyperlink r:id="rId1156" w:history="1">
        <w:r w:rsidRPr="00237809">
          <w:rPr>
            <w:rStyle w:val="Hyperlink"/>
            <w:rFonts w:eastAsiaTheme="majorEastAsia"/>
          </w:rPr>
          <w:t>https://casetext.com/case/coaxum-v-bd-of-trs</w:t>
        </w:r>
      </w:hyperlink>
      <w:r>
        <w:t xml:space="preserve"> </w:t>
      </w:r>
    </w:p>
    <w:p w14:paraId="15E30CFE" w14:textId="77777777" w:rsidR="00BA3CDE" w:rsidRDefault="00BA3CDE" w:rsidP="00BA3CDE">
      <w:pPr>
        <w:pStyle w:val="NormalWeb"/>
        <w:rPr>
          <w:b/>
          <w:bCs/>
        </w:rPr>
      </w:pPr>
      <w:r w:rsidRPr="000502FD">
        <w:rPr>
          <w:b/>
          <w:bCs/>
        </w:rPr>
        <w:t>Legal Lesson Learned:</w:t>
      </w:r>
      <w:r>
        <w:rPr>
          <w:b/>
          <w:bCs/>
        </w:rPr>
        <w:t xml:space="preserve">  Thoroughly document in all reports that the patient grabbed the railing. </w:t>
      </w:r>
    </w:p>
    <w:p w14:paraId="63A9C5F9" w14:textId="77777777" w:rsidR="00BA3CDE" w:rsidRDefault="00BA3CDE" w:rsidP="00EF1133">
      <w:pPr>
        <w:rPr>
          <w:rFonts w:ascii="Arial Black" w:hAnsi="Arial Black"/>
          <w:b/>
          <w:sz w:val="24"/>
          <w:szCs w:val="24"/>
        </w:rPr>
      </w:pPr>
    </w:p>
    <w:p w14:paraId="02D6A6EE" w14:textId="77777777" w:rsidR="00BA3CDE" w:rsidRDefault="00BA3CDE" w:rsidP="00EF1133">
      <w:pPr>
        <w:rPr>
          <w:rFonts w:ascii="Arial Black" w:hAnsi="Arial Black"/>
          <w:b/>
          <w:sz w:val="24"/>
          <w:szCs w:val="24"/>
        </w:rPr>
      </w:pPr>
    </w:p>
    <w:p w14:paraId="2B74590B" w14:textId="28FE1369" w:rsidR="006C79BE" w:rsidRDefault="006C79BE" w:rsidP="00EF1133">
      <w:pPr>
        <w:rPr>
          <w:rFonts w:ascii="Arial Black" w:hAnsi="Arial Black"/>
          <w:b/>
          <w:sz w:val="24"/>
          <w:szCs w:val="24"/>
        </w:rPr>
      </w:pPr>
      <w:r>
        <w:rPr>
          <w:rFonts w:ascii="Arial Black" w:hAnsi="Arial Black"/>
          <w:b/>
          <w:sz w:val="24"/>
          <w:szCs w:val="24"/>
        </w:rPr>
        <w:t>6-</w:t>
      </w:r>
      <w:r w:rsidR="00FF7C63">
        <w:rPr>
          <w:rFonts w:ascii="Arial Black" w:hAnsi="Arial Black"/>
          <w:b/>
          <w:sz w:val="24"/>
          <w:szCs w:val="24"/>
        </w:rPr>
        <w:t>99</w:t>
      </w:r>
    </w:p>
    <w:p w14:paraId="15A77FF6" w14:textId="77777777" w:rsidR="006C79BE" w:rsidRPr="00E86687" w:rsidRDefault="006C79BE" w:rsidP="006C79BE">
      <w:pPr>
        <w:rPr>
          <w:rFonts w:ascii="Arial Black" w:hAnsi="Arial Black"/>
          <w:sz w:val="28"/>
          <w:szCs w:val="28"/>
        </w:rPr>
      </w:pPr>
      <w:r>
        <w:rPr>
          <w:rFonts w:ascii="Arial Black" w:hAnsi="Arial Black"/>
          <w:sz w:val="28"/>
          <w:szCs w:val="28"/>
        </w:rPr>
        <w:t>SC: FF BACK INJURY - WORKERS COMP AWARDED FOR “REPETITIVE TRAUMA INJURY” – ALJ REVERSED</w:t>
      </w:r>
    </w:p>
    <w:p w14:paraId="55E4B2CB" w14:textId="77777777" w:rsidR="006C79BE" w:rsidRDefault="006C79BE" w:rsidP="006C79BE">
      <w:pPr>
        <w:pStyle w:val="NormalWeb"/>
      </w:pPr>
      <w:r w:rsidRPr="00E86687">
        <w:t xml:space="preserve">On Dec. 7, 2022, </w:t>
      </w:r>
      <w:r>
        <w:t xml:space="preserve">in </w:t>
      </w:r>
      <w:r w:rsidRPr="00E86687">
        <w:rPr>
          <w:u w:val="single"/>
        </w:rPr>
        <w:t>Nicholas B. Thompson v. Bluffton Township Fire District, et al</w:t>
      </w:r>
      <w:r>
        <w:t xml:space="preserve">., the Court of Appeals of South Carolina, held (3 to 0) that Administrative Law Judge is reversed, since there is substantial evidence of repetitive trauma injury caused by his work as a firefighter. He began experiencing back pain in </w:t>
      </w:r>
      <w:proofErr w:type="gramStart"/>
      <w:r>
        <w:t>2014, but</w:t>
      </w:r>
      <w:proofErr w:type="gramEnd"/>
      <w:r>
        <w:t xml:space="preserve"> was able to perform firefighter duties. </w:t>
      </w:r>
      <w:r w:rsidRPr="00E86687">
        <w:t xml:space="preserve">In 2016, Thompson </w:t>
      </w:r>
      <w:r>
        <w:t xml:space="preserve">identified </w:t>
      </w:r>
      <w:r w:rsidRPr="00E86687">
        <w:t xml:space="preserve">three specific instances where his back pain was "significant" at work. </w:t>
      </w:r>
      <w:r>
        <w:t xml:space="preserve">In </w:t>
      </w:r>
      <w:r w:rsidRPr="00E86687">
        <w:t xml:space="preserve">late spring of 2016, Thompson responded to a "lift and assist call" to help a four-hundred-pound woman rise from the floor of her home. </w:t>
      </w:r>
      <w:r>
        <w:t xml:space="preserve"> On </w:t>
      </w:r>
      <w:r w:rsidRPr="00E86687">
        <w:t>July 9, 2016</w:t>
      </w:r>
      <w:r>
        <w:t xml:space="preserve">, he </w:t>
      </w:r>
      <w:r w:rsidRPr="00E86687">
        <w:t>was at the scene of a large house fire (the Belfair Fire)</w:t>
      </w:r>
      <w:r>
        <w:t xml:space="preserve"> where he handled high-pressure hose and replaced SCBAs.  In October 2016, he used chains in </w:t>
      </w:r>
      <w:r w:rsidRPr="00E86687">
        <w:t>aftermath of Hurricane Matthew</w:t>
      </w:r>
      <w:r>
        <w:t xml:space="preserve">. In January 2017, Thompson reported to his Battalion Chief that his back pain was affecting his ability to do his job and underwent MRI that revealed he had a bulging disc, disc degeneration, and nerve impingement in his lower back. The Court was particularly critical of ALJ’s criticism that </w:t>
      </w:r>
      <w:proofErr w:type="gramStart"/>
      <w:r>
        <w:t>firefighter</w:t>
      </w:r>
      <w:proofErr w:type="gramEnd"/>
      <w:r>
        <w:t xml:space="preserve"> did not file reports of injury from these incidents.  </w:t>
      </w:r>
    </w:p>
    <w:p w14:paraId="41ABF8F4" w14:textId="77777777" w:rsidR="006C79BE" w:rsidRDefault="006C79BE" w:rsidP="006C79BE">
      <w:pPr>
        <w:pStyle w:val="NormalWeb"/>
        <w:ind w:left="720"/>
      </w:pPr>
      <w:r>
        <w:t>“</w:t>
      </w:r>
      <w:r w:rsidRPr="00BF6A0E">
        <w:rPr>
          <w:rStyle w:val="markedcontent"/>
        </w:rPr>
        <w:t>We find Thompson, although</w:t>
      </w:r>
      <w:r>
        <w:rPr>
          <w:rStyle w:val="markedcontent"/>
        </w:rPr>
        <w:t xml:space="preserve"> </w:t>
      </w:r>
      <w:r w:rsidRPr="00BF6A0E">
        <w:rPr>
          <w:rStyle w:val="markedcontent"/>
        </w:rPr>
        <w:t>experiencing and receiving treatment for back pain from 2014 until 2016, could not</w:t>
      </w:r>
      <w:r>
        <w:rPr>
          <w:rStyle w:val="markedcontent"/>
        </w:rPr>
        <w:t xml:space="preserve"> </w:t>
      </w:r>
      <w:r w:rsidRPr="00BF6A0E">
        <w:rPr>
          <w:rStyle w:val="markedcontent"/>
        </w:rPr>
        <w:t>have reasonably known it was a compensable repetitive trauma injury until February</w:t>
      </w:r>
      <w:r>
        <w:rPr>
          <w:rStyle w:val="markedcontent"/>
        </w:rPr>
        <w:t xml:space="preserve"> </w:t>
      </w:r>
      <w:r w:rsidRPr="00BF6A0E">
        <w:rPr>
          <w:rStyle w:val="markedcontent"/>
        </w:rPr>
        <w:t>2017, when the pain from his gradual onset injury became so intense that he was</w:t>
      </w:r>
      <w:r>
        <w:rPr>
          <w:rStyle w:val="markedcontent"/>
        </w:rPr>
        <w:t xml:space="preserve"> </w:t>
      </w:r>
      <w:r w:rsidRPr="00BF6A0E">
        <w:rPr>
          <w:rStyle w:val="markedcontent"/>
        </w:rPr>
        <w:t>unable to complete daily duties as a firefighter and he sought medical treatment from</w:t>
      </w:r>
      <w:r>
        <w:rPr>
          <w:rStyle w:val="markedcontent"/>
        </w:rPr>
        <w:t xml:space="preserve"> </w:t>
      </w:r>
      <w:r w:rsidRPr="00BF6A0E">
        <w:rPr>
          <w:rStyle w:val="markedcontent"/>
        </w:rPr>
        <w:t>Dr. Cramer</w:t>
      </w:r>
      <w:r>
        <w:rPr>
          <w:rStyle w:val="markedcontent"/>
        </w:rPr>
        <w:t xml:space="preserve">…. </w:t>
      </w:r>
      <w:r w:rsidRPr="00E73268">
        <w:t xml:space="preserve">We also find Thompson presented competent medical evidence </w:t>
      </w:r>
      <w:r>
        <w:t>‘</w:t>
      </w:r>
      <w:r w:rsidRPr="00E73268">
        <w:t>that there is a direct causal relationship between the condition under which the work is performed and the injury.</w:t>
      </w:r>
      <w:r>
        <w:t>’</w:t>
      </w:r>
      <w:r w:rsidRPr="00E73268">
        <w:t xml:space="preserve"> § 42-1-172(D). Dr. Lindley was under no misapprehension about the duties Thompson was required to perform as a firefighter when giving his opinion about the cause of Thompson's repetitive trauma injury, and it was his expert medical opinion-recited in both his July 11, 2017 letter and in his sworn deposition testimony-that to a reasonable degree of medical certainty, Thompson's repeated activity of picking up heavy objects and people caused Thompson's L4-5 disc protrusion with radiculopathy, nerve impingement, and bowel and bladder issues.</w:t>
      </w:r>
      <w:r>
        <w:t xml:space="preserve">” </w:t>
      </w:r>
      <w:hyperlink r:id="rId1157" w:history="1">
        <w:r w:rsidRPr="00622894">
          <w:rPr>
            <w:rStyle w:val="Hyperlink"/>
          </w:rPr>
          <w:t>https://law.justia.com/cases/south-carolina/court-of-appeals/2022/2022-up-437.html</w:t>
        </w:r>
      </w:hyperlink>
      <w:r>
        <w:t xml:space="preserve"> </w:t>
      </w:r>
    </w:p>
    <w:p w14:paraId="7D7A6EFF" w14:textId="77777777" w:rsidR="006C79BE" w:rsidRPr="00E73268" w:rsidRDefault="006C79BE" w:rsidP="006C79BE">
      <w:pPr>
        <w:rPr>
          <w:rFonts w:ascii="Times New Roman" w:hAnsi="Times New Roman"/>
          <w:b/>
          <w:bCs/>
          <w:sz w:val="24"/>
          <w:szCs w:val="24"/>
        </w:rPr>
      </w:pPr>
      <w:r w:rsidRPr="00E73268">
        <w:rPr>
          <w:rFonts w:ascii="Times New Roman" w:hAnsi="Times New Roman"/>
          <w:b/>
          <w:bCs/>
          <w:sz w:val="24"/>
          <w:szCs w:val="24"/>
        </w:rPr>
        <w:t>Legal Lesson Learned:</w:t>
      </w:r>
      <w:r>
        <w:rPr>
          <w:rFonts w:ascii="Times New Roman" w:hAnsi="Times New Roman"/>
          <w:b/>
          <w:bCs/>
          <w:sz w:val="24"/>
          <w:szCs w:val="24"/>
        </w:rPr>
        <w:t xml:space="preserve"> Excellent decision based on substantial testimony about the firefighter’s strenuous job duties. </w:t>
      </w:r>
    </w:p>
    <w:p w14:paraId="5D011BFB" w14:textId="77777777" w:rsidR="006C79BE" w:rsidRDefault="006C79BE" w:rsidP="006C79BE">
      <w:pPr>
        <w:pStyle w:val="NormalWeb"/>
      </w:pPr>
    </w:p>
    <w:p w14:paraId="1E574966" w14:textId="77777777" w:rsidR="006C79BE" w:rsidRDefault="006C79BE" w:rsidP="00EF1133">
      <w:pPr>
        <w:rPr>
          <w:rFonts w:ascii="Arial Black" w:hAnsi="Arial Black"/>
          <w:b/>
          <w:sz w:val="24"/>
          <w:szCs w:val="24"/>
        </w:rPr>
      </w:pPr>
    </w:p>
    <w:p w14:paraId="7F2960A1" w14:textId="77777777" w:rsidR="006C79BE" w:rsidRDefault="006C79BE" w:rsidP="00EF1133">
      <w:pPr>
        <w:rPr>
          <w:rFonts w:ascii="Arial Black" w:hAnsi="Arial Black"/>
          <w:b/>
          <w:sz w:val="24"/>
          <w:szCs w:val="24"/>
        </w:rPr>
      </w:pPr>
    </w:p>
    <w:p w14:paraId="7D617C63" w14:textId="77777777" w:rsidR="006C79BE" w:rsidRDefault="006C79BE" w:rsidP="00EF1133">
      <w:pPr>
        <w:rPr>
          <w:rFonts w:ascii="Arial Black" w:hAnsi="Arial Black"/>
          <w:b/>
          <w:sz w:val="24"/>
          <w:szCs w:val="24"/>
        </w:rPr>
      </w:pPr>
    </w:p>
    <w:p w14:paraId="3596749D" w14:textId="06B31B61" w:rsidR="00B87D79" w:rsidRDefault="00B87D79"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8</w:t>
      </w:r>
    </w:p>
    <w:p w14:paraId="6A018D38" w14:textId="77777777" w:rsidR="00B87D79" w:rsidRDefault="00B87D79" w:rsidP="00B87D79">
      <w:pPr>
        <w:pStyle w:val="NormalWeb"/>
        <w:rPr>
          <w:rFonts w:ascii="Arial Black" w:hAnsi="Arial Black"/>
          <w:sz w:val="28"/>
          <w:szCs w:val="28"/>
        </w:rPr>
      </w:pPr>
      <w:r>
        <w:rPr>
          <w:rFonts w:ascii="Arial Black" w:hAnsi="Arial Black"/>
          <w:sz w:val="28"/>
          <w:szCs w:val="28"/>
        </w:rPr>
        <w:t>IL: FIRE CHIEF – SEVERANCE – PENSION MUST INCLUDE 4 ½ MONTHS ON PAID LEAVE AND 3% PAY INCREASE FOR FF</w:t>
      </w:r>
    </w:p>
    <w:p w14:paraId="58938F75" w14:textId="77777777" w:rsidR="00B87D79" w:rsidRDefault="00B87D79" w:rsidP="00B87D79">
      <w:pPr>
        <w:pStyle w:val="NormalWeb"/>
      </w:pPr>
      <w:r>
        <w:t xml:space="preserve">On Nov. 30, 2022, in </w:t>
      </w:r>
      <w:r w:rsidRPr="00CE1473">
        <w:rPr>
          <w:u w:val="single"/>
        </w:rPr>
        <w:t>Kenneth Brucki v. Orland Fire Protection District, et al</w:t>
      </w:r>
      <w:r>
        <w:t xml:space="preserve">., the Court of Appeals of Illinois, Third Division, held (3 to 0) that Pension Board is reversed; the Fire Chief’s pension should be increased based on his salary with 3% increase to $186,449 (from $181,220), and shall include his pay while on administrative leave. The Fire Chief had been under investigation and “Brucki agreed to pay $12,500 as reimbursement for charges on the </w:t>
      </w:r>
      <w:proofErr w:type="gramStart"/>
      <w:r>
        <w:t>District's</w:t>
      </w:r>
      <w:proofErr w:type="gramEnd"/>
      <w:r>
        <w:t xml:space="preserve"> credit cards.”</w:t>
      </w:r>
    </w:p>
    <w:p w14:paraId="2FF36DD9" w14:textId="77777777" w:rsidR="00B87D79" w:rsidRDefault="00B87D79" w:rsidP="00B87D79">
      <w:pPr>
        <w:pStyle w:val="NormalWeb"/>
        <w:ind w:left="720"/>
      </w:pPr>
      <w:r>
        <w:t xml:space="preserve">“After his 50th birthday in October 2017, Brucki was entitled to a pension. In his pension application, he listed his last day worked as January 4, 2016, and his annual pensionable salary as $186,449, which included the 3% adjustment on January 1, 2016. The pension fund submitted paperwork indicating that his last day was August 20, 2015, and his salary was $181,220. </w:t>
      </w:r>
    </w:p>
    <w:p w14:paraId="28C9D85A" w14:textId="77777777" w:rsidR="00B87D79" w:rsidRDefault="00B87D79" w:rsidP="00B87D79">
      <w:pPr>
        <w:pStyle w:val="NormalWeb"/>
        <w:ind w:left="720"/>
      </w:pPr>
      <w:r>
        <w:t>***</w:t>
      </w:r>
    </w:p>
    <w:p w14:paraId="643BED0A" w14:textId="627DC936" w:rsidR="00B87D79" w:rsidRPr="00B87D79" w:rsidRDefault="00B87D79" w:rsidP="00B87D79">
      <w:pPr>
        <w:ind w:left="720"/>
        <w:rPr>
          <w:rFonts w:ascii="Times New Roman" w:hAnsi="Times New Roman"/>
          <w:b/>
          <w:sz w:val="24"/>
          <w:szCs w:val="24"/>
        </w:rPr>
      </w:pPr>
      <w:r w:rsidRPr="00B87D79">
        <w:rPr>
          <w:rFonts w:ascii="Times New Roman" w:hAnsi="Times New Roman"/>
          <w:sz w:val="24"/>
          <w:szCs w:val="24"/>
        </w:rPr>
        <w:t xml:space="preserve">We thus reverse the decision of the Board and the circuit court and remand with instructions to recalculate and award pension benefits to Brucki based on a final date of service of January 4, 2016, and an annual salary amount which includes the 3% adjustment - $186,449.” </w:t>
      </w:r>
      <w:hyperlink r:id="rId1158" w:history="1">
        <w:r w:rsidRPr="00B87D79">
          <w:rPr>
            <w:rStyle w:val="Hyperlink"/>
            <w:rFonts w:ascii="Times New Roman" w:eastAsiaTheme="majorEastAsia" w:hAnsi="Times New Roman"/>
            <w:sz w:val="24"/>
            <w:szCs w:val="24"/>
          </w:rPr>
          <w:t>https://ilcourtsaudio.blob.core.windows.net/antilles-resources/resources/aec16a44-b27a-4304-97c1-5c133043b2dd/Brucki%20v.%20Orland%20Fire%20Protection%20District,%202022%20IL%20App%20(1st)%20220288-U.pdf</w:t>
        </w:r>
      </w:hyperlink>
    </w:p>
    <w:p w14:paraId="75695449" w14:textId="77777777" w:rsidR="00B87D79" w:rsidRPr="00F058AD" w:rsidRDefault="00B87D79" w:rsidP="00B87D79">
      <w:pPr>
        <w:pStyle w:val="NormalWeb"/>
        <w:rPr>
          <w:b/>
          <w:bCs/>
        </w:rPr>
      </w:pPr>
      <w:r w:rsidRPr="00F058AD">
        <w:rPr>
          <w:b/>
          <w:bCs/>
        </w:rPr>
        <w:t>Legal Lesson Learned:</w:t>
      </w:r>
      <w:r>
        <w:rPr>
          <w:b/>
          <w:bCs/>
        </w:rPr>
        <w:t xml:space="preserve"> When negotiating a severance agreement with 4 ½ months of paid leave, the parties should include a clause regarding how those </w:t>
      </w:r>
      <w:proofErr w:type="gramStart"/>
      <w:r>
        <w:rPr>
          <w:b/>
          <w:bCs/>
        </w:rPr>
        <w:t>months</w:t>
      </w:r>
      <w:proofErr w:type="gramEnd"/>
      <w:r>
        <w:rPr>
          <w:b/>
          <w:bCs/>
        </w:rPr>
        <w:t xml:space="preserve"> and any pay increases would impact pension calculations. </w:t>
      </w:r>
    </w:p>
    <w:p w14:paraId="64D36E47" w14:textId="77777777" w:rsidR="00B87D79" w:rsidRPr="00F058AD" w:rsidRDefault="00B87D79" w:rsidP="00B87D79">
      <w:pPr>
        <w:pStyle w:val="Heading1"/>
        <w:ind w:left="720"/>
        <w:rPr>
          <w:b w:val="0"/>
          <w:bCs w:val="0"/>
          <w:sz w:val="24"/>
          <w:szCs w:val="24"/>
        </w:rPr>
      </w:pPr>
      <w:r w:rsidRPr="00F058AD">
        <w:rPr>
          <w:b w:val="0"/>
          <w:bCs w:val="0"/>
          <w:sz w:val="24"/>
          <w:szCs w:val="24"/>
        </w:rPr>
        <w:t xml:space="preserve">Note: See Aug. 23, </w:t>
      </w:r>
      <w:proofErr w:type="gramStart"/>
      <w:r w:rsidRPr="00F058AD">
        <w:rPr>
          <w:b w:val="0"/>
          <w:bCs w:val="0"/>
          <w:sz w:val="24"/>
          <w:szCs w:val="24"/>
        </w:rPr>
        <w:t>2011</w:t>
      </w:r>
      <w:proofErr w:type="gramEnd"/>
      <w:r w:rsidRPr="00F058AD">
        <w:rPr>
          <w:b w:val="0"/>
          <w:bCs w:val="0"/>
          <w:sz w:val="24"/>
          <w:szCs w:val="24"/>
        </w:rPr>
        <w:t xml:space="preserve"> article, Orland fire chief retires under cloud: 'I didn't do anything wrong.' </w:t>
      </w:r>
      <w:hyperlink r:id="rId1159" w:history="1">
        <w:r w:rsidRPr="00F058AD">
          <w:rPr>
            <w:rStyle w:val="Hyperlink"/>
            <w:rFonts w:eastAsiaTheme="majorEastAsia"/>
            <w:b w:val="0"/>
            <w:bCs w:val="0"/>
            <w:sz w:val="24"/>
            <w:szCs w:val="24"/>
          </w:rPr>
          <w:t>https://www.chicagotribune.com/news/breaking/chi-retiring-orland-fire-chief-i-didnt-do-anything-wrong-20110823-story.html</w:t>
        </w:r>
      </w:hyperlink>
      <w:r w:rsidRPr="00F058AD">
        <w:rPr>
          <w:b w:val="0"/>
          <w:bCs w:val="0"/>
          <w:sz w:val="24"/>
          <w:szCs w:val="24"/>
        </w:rPr>
        <w:t xml:space="preserve"> </w:t>
      </w:r>
    </w:p>
    <w:p w14:paraId="3437C912" w14:textId="77777777" w:rsidR="00B87D79" w:rsidRDefault="00B87D79" w:rsidP="00EF1133">
      <w:pPr>
        <w:rPr>
          <w:rFonts w:ascii="Arial Black" w:hAnsi="Arial Black"/>
          <w:b/>
          <w:sz w:val="24"/>
          <w:szCs w:val="24"/>
        </w:rPr>
      </w:pPr>
    </w:p>
    <w:p w14:paraId="636D96E9" w14:textId="77777777" w:rsidR="00B87D79" w:rsidRDefault="00B87D79" w:rsidP="00EF1133">
      <w:pPr>
        <w:rPr>
          <w:rFonts w:ascii="Arial Black" w:hAnsi="Arial Black"/>
          <w:b/>
          <w:sz w:val="24"/>
          <w:szCs w:val="24"/>
        </w:rPr>
      </w:pPr>
    </w:p>
    <w:p w14:paraId="77EF82F8" w14:textId="77777777" w:rsidR="00B87D79" w:rsidRDefault="00B87D79" w:rsidP="00EF1133">
      <w:pPr>
        <w:rPr>
          <w:rFonts w:ascii="Arial Black" w:hAnsi="Arial Black"/>
          <w:b/>
          <w:sz w:val="24"/>
          <w:szCs w:val="24"/>
        </w:rPr>
      </w:pPr>
    </w:p>
    <w:p w14:paraId="0EE088C5" w14:textId="5F553AA2" w:rsidR="00B87D79" w:rsidRDefault="00B87D79"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7</w:t>
      </w:r>
    </w:p>
    <w:p w14:paraId="6FB0873B" w14:textId="77777777" w:rsidR="00B87D79" w:rsidRDefault="00B87D79" w:rsidP="00B87D79">
      <w:pPr>
        <w:pStyle w:val="NormalWeb"/>
        <w:rPr>
          <w:rFonts w:ascii="Arial Black" w:hAnsi="Arial Black"/>
          <w:sz w:val="28"/>
          <w:szCs w:val="28"/>
        </w:rPr>
      </w:pPr>
      <w:r>
        <w:rPr>
          <w:rFonts w:ascii="Arial Black" w:hAnsi="Arial Black"/>
          <w:sz w:val="28"/>
          <w:szCs w:val="28"/>
        </w:rPr>
        <w:lastRenderedPageBreak/>
        <w:t>IL: FF STROKE AT HOME – “CUMULATIVE EFFECTS OF ACTIVE DUTY” – OCCUP. DISEASE DISABILITY PENSION</w:t>
      </w:r>
    </w:p>
    <w:p w14:paraId="6240D2E6" w14:textId="77777777" w:rsidR="00B87D79" w:rsidRDefault="00B87D79" w:rsidP="00B87D79">
      <w:pPr>
        <w:pStyle w:val="NormalWeb"/>
      </w:pPr>
      <w:r>
        <w:t xml:space="preserve">On Nov. 29, 2022, in </w:t>
      </w:r>
      <w:r w:rsidRPr="009F7136">
        <w:rPr>
          <w:u w:val="single"/>
        </w:rPr>
        <w:t>The City of East Peoria, Illinois v. Charles Melton, II, et al</w:t>
      </w:r>
      <w:r>
        <w:t xml:space="preserve">., the Court of Appeals of Illinois, Fourth District, held (3 to 0) that the Pension Board properly held that the 56-year-old Lieutenant was entitled to the disability pension. NFPA </w:t>
      </w:r>
      <w:proofErr w:type="gramStart"/>
      <w:r>
        <w:t>requires wait</w:t>
      </w:r>
      <w:proofErr w:type="gramEnd"/>
      <w:r>
        <w:t xml:space="preserve"> one year after stroke to return to work; but he can’t ever return since on blood thinner from 2017 pulmonary embolism. City argued that the stroke was not caused by the job, but from blood thinner,  but Board had three physicians review his medical records (not statutory requirement they give him physical exam) and a physician </w:t>
      </w:r>
      <w:proofErr w:type="gramStart"/>
      <w:r>
        <w:t>said</w:t>
      </w:r>
      <w:proofErr w:type="gramEnd"/>
      <w:r>
        <w:t xml:space="preserve"> “</w:t>
      </w:r>
      <w:r w:rsidRPr="009F7136">
        <w:t xml:space="preserve">cannot discount the cumulative effects of active duty of Firefighting </w:t>
      </w:r>
      <w:proofErr w:type="gramStart"/>
      <w:r w:rsidRPr="009F7136">
        <w:t>in regards to</w:t>
      </w:r>
      <w:proofErr w:type="gramEnd"/>
      <w:r w:rsidRPr="009F7136">
        <w:t xml:space="preserve"> his stroke.</w:t>
      </w:r>
      <w:r>
        <w:t xml:space="preserve">” </w:t>
      </w:r>
    </w:p>
    <w:p w14:paraId="6BE7B41E" w14:textId="77777777" w:rsidR="00B87D79" w:rsidRDefault="00B87D79" w:rsidP="00B87D79">
      <w:pPr>
        <w:pStyle w:val="NormalWeb"/>
        <w:ind w:left="720"/>
      </w:pPr>
      <w:r>
        <w:t xml:space="preserve">“The Board argues that Melton's pre-existing medical conditions, including his prior voluntary use of anticoagulants, does not disqualify him from receiving an occupational disease pension. The Board argues that there was no evidence that Melton was prohibited from performing full unrestricted duties prior to his stroke and that he continued those duties even after voluntarily beginning the medications in 2017. The Board argues that there is no dispute that Melton suffered a stroke, and </w:t>
      </w:r>
      <w:proofErr w:type="gramStart"/>
      <w:r>
        <w:t>as a result of</w:t>
      </w:r>
      <w:proofErr w:type="gramEnd"/>
      <w:r>
        <w:t xml:space="preserve"> the stroke he thereafter was prescribed a mandatory, higher dose of anticoagulants that he must take for the rest of his life.</w:t>
      </w:r>
    </w:p>
    <w:p w14:paraId="32F5D8B0" w14:textId="77777777" w:rsidR="00B87D79" w:rsidRDefault="00B87D79" w:rsidP="00B87D79">
      <w:pPr>
        <w:pStyle w:val="NormalWeb"/>
        <w:ind w:left="720"/>
      </w:pPr>
      <w:r>
        <w:t>***</w:t>
      </w:r>
    </w:p>
    <w:p w14:paraId="1C86A019" w14:textId="77777777" w:rsidR="00B87D79" w:rsidRPr="009F7136" w:rsidRDefault="00B87D79" w:rsidP="00B87D79">
      <w:pPr>
        <w:pStyle w:val="NormalWeb"/>
        <w:ind w:left="720"/>
      </w:pPr>
      <w:r>
        <w:t xml:space="preserve">We conclude that the Board's finding that Melton's stroke resulted from his ‘service as a firefighter’ was not against the manifest weight of the evidence.” </w:t>
      </w:r>
      <w:hyperlink r:id="rId1160" w:history="1">
        <w:r w:rsidRPr="00736457">
          <w:rPr>
            <w:rStyle w:val="Hyperlink"/>
            <w:rFonts w:eastAsiaTheme="majorEastAsia"/>
          </w:rPr>
          <w:t>https://ilcourtsaudio.blob.core.windows.net/antilles-resources/resources/afeb172a-b7f7-45e5-889d-a00b38f164df/City%20of%20East%20Peoria%20v.%20Melton,%202022%20IL%20App%20(4th)%20220281-U.pdf</w:t>
        </w:r>
      </w:hyperlink>
      <w:r>
        <w:t xml:space="preserve"> </w:t>
      </w:r>
    </w:p>
    <w:p w14:paraId="49D66FC6" w14:textId="77777777" w:rsidR="00B87D79" w:rsidRPr="006C71D8" w:rsidRDefault="00B87D79" w:rsidP="00B87D79">
      <w:pPr>
        <w:pStyle w:val="NormalWeb"/>
        <w:rPr>
          <w:b/>
          <w:bCs/>
        </w:rPr>
      </w:pPr>
      <w:r w:rsidRPr="006C71D8">
        <w:rPr>
          <w:b/>
          <w:bCs/>
        </w:rPr>
        <w:t>Legal Lesson Learned: The Board relied on physician’s report that “</w:t>
      </w:r>
      <w:r w:rsidRPr="009F7136">
        <w:rPr>
          <w:b/>
          <w:bCs/>
        </w:rPr>
        <w:t xml:space="preserve">cannot discount the cumulative effects of active duty of Firefighting </w:t>
      </w:r>
      <w:proofErr w:type="gramStart"/>
      <w:r w:rsidRPr="009F7136">
        <w:rPr>
          <w:b/>
          <w:bCs/>
        </w:rPr>
        <w:t>in regards</w:t>
      </w:r>
      <w:r>
        <w:rPr>
          <w:b/>
          <w:bCs/>
        </w:rPr>
        <w:t xml:space="preserve"> </w:t>
      </w:r>
      <w:r w:rsidRPr="009F7136">
        <w:rPr>
          <w:b/>
          <w:bCs/>
        </w:rPr>
        <w:t>to</w:t>
      </w:r>
      <w:proofErr w:type="gramEnd"/>
      <w:r w:rsidRPr="009F7136">
        <w:rPr>
          <w:b/>
          <w:bCs/>
        </w:rPr>
        <w:t xml:space="preserve"> his stroke.</w:t>
      </w:r>
      <w:r w:rsidRPr="006C71D8">
        <w:rPr>
          <w:b/>
          <w:bCs/>
        </w:rPr>
        <w:t xml:space="preserve">” </w:t>
      </w:r>
    </w:p>
    <w:p w14:paraId="2EE9A954" w14:textId="31D0CDD7" w:rsidR="00804F3A" w:rsidRDefault="00804F3A"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6</w:t>
      </w:r>
    </w:p>
    <w:p w14:paraId="48121EE9" w14:textId="77777777" w:rsidR="00804F3A" w:rsidRPr="00815A5D" w:rsidRDefault="00804F3A" w:rsidP="00804F3A">
      <w:pPr>
        <w:pStyle w:val="NormalWeb"/>
        <w:rPr>
          <w:rFonts w:ascii="Arial Black" w:hAnsi="Arial Black"/>
          <w:b/>
          <w:bCs/>
          <w:sz w:val="28"/>
          <w:szCs w:val="28"/>
        </w:rPr>
      </w:pPr>
      <w:r>
        <w:rPr>
          <w:rFonts w:ascii="Arial Black" w:hAnsi="Arial Black"/>
          <w:b/>
          <w:bCs/>
          <w:sz w:val="28"/>
          <w:szCs w:val="28"/>
        </w:rPr>
        <w:t xml:space="preserve">NY: FF ON DUTY INJURED RIGHT HIP – MRI SHOWED HISTORY JOINT DISEASE – NO ACCIDENTAL DISAB. </w:t>
      </w:r>
    </w:p>
    <w:p w14:paraId="7A389ABF" w14:textId="77777777" w:rsidR="00804F3A" w:rsidRDefault="00804F3A" w:rsidP="00804F3A">
      <w:pPr>
        <w:pStyle w:val="NormalWeb"/>
      </w:pPr>
      <w:r w:rsidRPr="00AC10D4">
        <w:t xml:space="preserve">On </w:t>
      </w:r>
      <w:r>
        <w:t xml:space="preserve">Oct. 26, 2022, </w:t>
      </w:r>
      <w:r w:rsidRPr="00AC10D4">
        <w:rPr>
          <w:u w:val="single"/>
        </w:rPr>
        <w:t>In the Matter of Joseph M. Kearney v. Daniel A. Nigro, et al.,</w:t>
      </w:r>
      <w:r>
        <w:t xml:space="preserve"> the Supreme Court of New York held (4 to 0), 2022 NY Slip Op 06007, that the Pension Fund properly denied the firefighter’s application for accidental disability retirement benefits and retired him on ordinary disability retirement benefits. Although the firefighter was disabled due to his right hip injury, this disabling condition was causally related to chronic degenerative joint disease, not a work-related injury. </w:t>
      </w:r>
    </w:p>
    <w:p w14:paraId="689583E0" w14:textId="77777777" w:rsidR="00804F3A" w:rsidRPr="00AC10D4" w:rsidRDefault="00804F3A" w:rsidP="00804F3A">
      <w:pPr>
        <w:pStyle w:val="NormalWeb"/>
        <w:ind w:left="720"/>
        <w:rPr>
          <w:b/>
          <w:bCs/>
        </w:rPr>
      </w:pPr>
      <w:r w:rsidRPr="00AC10D4">
        <w:rPr>
          <w:rFonts w:eastAsiaTheme="minorHAnsi"/>
        </w:rPr>
        <w:t xml:space="preserve">Here, the Medical Board's initial determination that the petitioner's </w:t>
      </w:r>
      <w:r>
        <w:rPr>
          <w:rFonts w:eastAsiaTheme="minorHAnsi"/>
        </w:rPr>
        <w:t>‘</w:t>
      </w:r>
      <w:r w:rsidRPr="00AC10D4">
        <w:rPr>
          <w:rFonts w:eastAsiaTheme="minorHAnsi"/>
        </w:rPr>
        <w:t>right hip disability is causally related to Chronic Degenerative Joint Disease,</w:t>
      </w:r>
      <w:r>
        <w:rPr>
          <w:rFonts w:eastAsiaTheme="minorHAnsi"/>
        </w:rPr>
        <w:t>’</w:t>
      </w:r>
      <w:r w:rsidRPr="00AC10D4">
        <w:rPr>
          <w:rFonts w:eastAsiaTheme="minorHAnsi"/>
        </w:rPr>
        <w:t xml:space="preserve"> which remained unchanged upon further consideration, was supported by credible evidence, consisting of the results of the MRI performed on August 14, 2015</w:t>
      </w:r>
      <w:r>
        <w:rPr>
          <w:rFonts w:eastAsiaTheme="minorHAnsi"/>
        </w:rPr>
        <w:t xml:space="preserve">…. </w:t>
      </w:r>
      <w:r w:rsidRPr="00AC10D4">
        <w:rPr>
          <w:rFonts w:eastAsiaTheme="minorHAnsi"/>
        </w:rPr>
        <w:t>Accordingly, it cannot be determined as a matter of law that the petitioner's disability was caused by his May 2015 accident. Moreover, contrary to the petitioner's contention, the record does not support a determination, as a matter of law, that his pre-existing degenerative condition was exacerbated by the accident</w:t>
      </w:r>
      <w:r>
        <w:rPr>
          <w:rFonts w:eastAsiaTheme="minorHAnsi"/>
        </w:rPr>
        <w:t>….”</w:t>
      </w:r>
      <w:hyperlink r:id="rId1161" w:history="1">
        <w:r w:rsidRPr="007662E8">
          <w:rPr>
            <w:rStyle w:val="Hyperlink"/>
            <w:rFonts w:eastAsiaTheme="minorHAnsi"/>
          </w:rPr>
          <w:t>https://caselaw.findlaw.com/ny-supreme-court/1972528.html</w:t>
        </w:r>
      </w:hyperlink>
      <w:r>
        <w:rPr>
          <w:rFonts w:eastAsiaTheme="minorHAnsi"/>
        </w:rPr>
        <w:t xml:space="preserve"> </w:t>
      </w:r>
    </w:p>
    <w:p w14:paraId="5C8C09D1" w14:textId="77777777" w:rsidR="00804F3A" w:rsidRPr="00AC10D4" w:rsidRDefault="00804F3A" w:rsidP="00804F3A">
      <w:pPr>
        <w:pStyle w:val="NormalWeb"/>
        <w:rPr>
          <w:b/>
          <w:bCs/>
        </w:rPr>
      </w:pPr>
      <w:r>
        <w:rPr>
          <w:b/>
          <w:bCs/>
        </w:rPr>
        <w:lastRenderedPageBreak/>
        <w:t xml:space="preserve">Legal Lesson Learned:  Hip replacement was not due to a work-related injury; ordinary retirement. </w:t>
      </w:r>
    </w:p>
    <w:p w14:paraId="4DF195F1" w14:textId="77777777" w:rsidR="00804F3A" w:rsidRDefault="00804F3A" w:rsidP="00EF1133">
      <w:pPr>
        <w:rPr>
          <w:rFonts w:ascii="Arial Black" w:hAnsi="Arial Black"/>
          <w:b/>
          <w:sz w:val="24"/>
          <w:szCs w:val="24"/>
        </w:rPr>
      </w:pPr>
    </w:p>
    <w:p w14:paraId="25DA10C3" w14:textId="77777777" w:rsidR="00804F3A" w:rsidRDefault="00804F3A" w:rsidP="00EF1133">
      <w:pPr>
        <w:rPr>
          <w:rFonts w:ascii="Arial Black" w:hAnsi="Arial Black"/>
          <w:b/>
          <w:sz w:val="24"/>
          <w:szCs w:val="24"/>
        </w:rPr>
      </w:pPr>
    </w:p>
    <w:p w14:paraId="670C6C59" w14:textId="13184F2C" w:rsidR="00E8117B" w:rsidRDefault="00E8117B"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5</w:t>
      </w:r>
    </w:p>
    <w:p w14:paraId="03FF7C59" w14:textId="77777777" w:rsidR="00E8117B" w:rsidRDefault="00E8117B" w:rsidP="00E8117B">
      <w:pPr>
        <w:pStyle w:val="NormalWeb"/>
        <w:rPr>
          <w:rFonts w:ascii="Arial Black" w:hAnsi="Arial Black"/>
          <w:b/>
          <w:bCs/>
          <w:sz w:val="28"/>
          <w:szCs w:val="28"/>
        </w:rPr>
      </w:pPr>
      <w:r>
        <w:rPr>
          <w:rFonts w:ascii="Arial Black" w:hAnsi="Arial Black"/>
          <w:b/>
          <w:bCs/>
          <w:sz w:val="28"/>
          <w:szCs w:val="28"/>
        </w:rPr>
        <w:t>NY: ON-THE-JOB FOOT INJURY / SHOULDER INJURY - NOT UNEPECTED “ACCIDENTS” – NO DISABILITY RETIREMENT</w:t>
      </w:r>
    </w:p>
    <w:p w14:paraId="7B521BF3" w14:textId="77777777" w:rsidR="00E8117B" w:rsidRPr="00E8117B" w:rsidRDefault="00E8117B" w:rsidP="00E8117B">
      <w:pPr>
        <w:pStyle w:val="NormalWeb"/>
      </w:pPr>
      <w:r w:rsidRPr="00E8117B">
        <w:t xml:space="preserve">On Sept. 29, 2022, in </w:t>
      </w:r>
      <w:r w:rsidRPr="00E8117B">
        <w:rPr>
          <w:u w:val="single"/>
        </w:rPr>
        <w:t>Matter of Elaine R. Berman v. Thomas P. DiNapoli, State Comptroller</w:t>
      </w:r>
      <w:r w:rsidRPr="00E8117B">
        <w:t xml:space="preserve">, the  Supreme Court of New York, Third Department, held (5 to 0) that souse of a deceased firefighter was not entitled to accidental disability payments. The Court agreed with the Hearing Officer that the firefighter’s foot injury and back injury occurred </w:t>
      </w:r>
      <w:proofErr w:type="gramStart"/>
      <w:r w:rsidRPr="00E8117B">
        <w:t>during the course of</w:t>
      </w:r>
      <w:proofErr w:type="gramEnd"/>
      <w:r w:rsidRPr="00E8117B">
        <w:t xml:space="preserve"> routine employment duties and were a risk inherent in the performance thereof.  </w:t>
      </w:r>
    </w:p>
    <w:p w14:paraId="152B2C6D" w14:textId="18072D45" w:rsidR="00E8117B" w:rsidRPr="00E8117B" w:rsidRDefault="00E8117B" w:rsidP="00E8117B">
      <w:pPr>
        <w:rPr>
          <w:rFonts w:ascii="Times New Roman" w:hAnsi="Times New Roman"/>
          <w:b/>
          <w:sz w:val="24"/>
          <w:szCs w:val="24"/>
        </w:rPr>
      </w:pPr>
      <w:r w:rsidRPr="00E8117B">
        <w:rPr>
          <w:rFonts w:ascii="Times New Roman" w:hAnsi="Times New Roman"/>
          <w:sz w:val="24"/>
          <w:szCs w:val="24"/>
        </w:rPr>
        <w:t xml:space="preserve">“Petitioner's burden was to demonstrate that decedent's disability arose out of an accident, which, for purposes of the Retirement and Social Security Law, is defined as ‘a sudden, fortuitous mischance, unexpected, out of the ordinary, and injurious in impact.’ *** </w:t>
      </w:r>
      <w:r w:rsidRPr="00E8117B">
        <w:rPr>
          <w:rFonts w:ascii="Times New Roman" w:eastAsiaTheme="minorHAnsi" w:hAnsi="Times New Roman"/>
          <w:sz w:val="24"/>
          <w:szCs w:val="24"/>
        </w:rPr>
        <w:t>His resulting injury was not caused by a sudden and unexpected event. As such, substantial evidence supports respondent's finding that the incident did not constitute an accident.”</w:t>
      </w:r>
      <w:hyperlink r:id="rId1162" w:history="1">
        <w:r w:rsidRPr="00E8117B">
          <w:rPr>
            <w:rStyle w:val="Hyperlink"/>
            <w:rFonts w:ascii="Times New Roman" w:hAnsi="Times New Roman"/>
            <w:sz w:val="24"/>
            <w:szCs w:val="24"/>
          </w:rPr>
          <w:t>https://public.fastcase.com/J%2FJP6pdidelsXxEE4k%2BLMgZsxRPxIagHaOxK3V7dyuXFeFyB6fz1Dln4tTh4Jm%2FUrhr8rAmwFuGj0jKVlSZT92lB7laeHNqW0rDlXNrGxCk%3D?utm_medium=email&amp;_hsmi=226712652&amp;_hsenc=p2ANqtz-88sbIkrx-fKIJNKIHom0LKoVEBAjtP4sRnfpcv7MlL8ga8F7YTwpRtQY7XbucL3D6C1qELcyLUMrsKcjyI3sLUlue5QA&amp;utm_content=226712652&amp;utm_source=hs_email</w:t>
        </w:r>
      </w:hyperlink>
    </w:p>
    <w:p w14:paraId="2B0451A4" w14:textId="77777777" w:rsidR="00E8117B" w:rsidRDefault="00E8117B" w:rsidP="00E8117B">
      <w:pPr>
        <w:pStyle w:val="NormalWeb"/>
        <w:rPr>
          <w:b/>
          <w:bCs/>
        </w:rPr>
      </w:pPr>
      <w:r>
        <w:rPr>
          <w:b/>
          <w:bCs/>
        </w:rPr>
        <w:t>Legal Lesson Learned: In New York, accidental disability retirement benefits are only for on-the-job accidents that are “sudden, fortuitous mischance, unexpected, out of the ordinary, and injurious in impact.”</w:t>
      </w:r>
    </w:p>
    <w:p w14:paraId="022D6364" w14:textId="300D3511" w:rsidR="00E8117B" w:rsidRDefault="00E8117B" w:rsidP="00EF1133">
      <w:pPr>
        <w:rPr>
          <w:rFonts w:ascii="Arial Black" w:hAnsi="Arial Black"/>
          <w:b/>
          <w:sz w:val="24"/>
          <w:szCs w:val="24"/>
        </w:rPr>
      </w:pPr>
    </w:p>
    <w:p w14:paraId="05B9903E" w14:textId="6DC5C59E" w:rsidR="00E8117B" w:rsidRDefault="00E8117B"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4</w:t>
      </w:r>
    </w:p>
    <w:p w14:paraId="0E5E2E01" w14:textId="77777777" w:rsidR="00E8117B" w:rsidRDefault="00E8117B" w:rsidP="00E8117B">
      <w:pPr>
        <w:pStyle w:val="NormalWeb"/>
        <w:rPr>
          <w:rFonts w:ascii="Arial Black" w:hAnsi="Arial Black"/>
          <w:b/>
          <w:bCs/>
          <w:sz w:val="28"/>
          <w:szCs w:val="28"/>
        </w:rPr>
      </w:pPr>
      <w:r>
        <w:rPr>
          <w:rFonts w:ascii="Arial Black" w:hAnsi="Arial Black"/>
          <w:b/>
          <w:bCs/>
          <w:sz w:val="28"/>
          <w:szCs w:val="28"/>
        </w:rPr>
        <w:t xml:space="preserve">IL: FF KIDNEY CANCER – WINS WORKERS COMP – REBUTTABLE PRESUMPTION STATUTE, EXPERT OPINION  </w:t>
      </w:r>
    </w:p>
    <w:p w14:paraId="4E179B9A" w14:textId="77777777" w:rsidR="00E8117B" w:rsidRDefault="00E8117B" w:rsidP="00E8117B">
      <w:pPr>
        <w:pStyle w:val="NormalWeb"/>
      </w:pPr>
      <w:r>
        <w:t xml:space="preserve">On Sept. 15, 2022, in </w:t>
      </w:r>
      <w:r>
        <w:rPr>
          <w:u w:val="single"/>
        </w:rPr>
        <w:t>City of Springfield v. The Illinois Workers’ Compensation Commission et al. (Matt Wood)</w:t>
      </w:r>
      <w:r>
        <w:t xml:space="preserve">, the Court of Appeals of Illinois, Fourth District (Workers; Compensation Commission Division) held (5 to 0) that the arbitrator and the Worker’s Comp Commission properly held that the firefighter was entitled to workers comp under the Illinois “rebuttable presumption” statute. </w:t>
      </w:r>
    </w:p>
    <w:p w14:paraId="7AB94878" w14:textId="77777777" w:rsidR="00E8117B" w:rsidRDefault="00E8117B" w:rsidP="00E8117B">
      <w:pPr>
        <w:pStyle w:val="NormalWeb"/>
        <w:ind w:left="720"/>
      </w:pPr>
      <w:r>
        <w:t xml:space="preserve">“[T]he Commission's finding that the claimant's kidney cancer arose out of and in the course of his employment was not against the manifest weight of the evidence. *** The arbitrator found that given the claimant [Matt Wood] was a firefighter for about 16 years on September 6, 2013, and he had kidney cancer that resulted in a disability, his kidney cancer shall be rebuttably presumed to (1) arise out of and </w:t>
      </w:r>
      <w:r>
        <w:lastRenderedPageBreak/>
        <w:t xml:space="preserve">in the course of his employment and (2) be causally connected to the hazards or exposures of the employment (820 ILCS 310/1(d) (West 2012)).” </w:t>
      </w:r>
      <w:hyperlink r:id="rId1163" w:history="1">
        <w:r w:rsidRPr="0078619C">
          <w:rPr>
            <w:rStyle w:val="Hyperlink"/>
          </w:rPr>
          <w:t>https://ilcourtsaudio.blob.core.windows.net/antilles-resources/resources/eba608df-6fa9-4d1a-8a11-f48abce29596/City%20of%20Springfield%20v.%20Illinois%20Workers'%20Compensation%20Comm'n,%202022%20IL%20App%20(4th)%20210604WC-U.pdf</w:t>
        </w:r>
      </w:hyperlink>
    </w:p>
    <w:p w14:paraId="097419E2" w14:textId="77777777" w:rsidR="00E8117B" w:rsidRDefault="00E8117B" w:rsidP="00E8117B">
      <w:pPr>
        <w:pStyle w:val="NormalWeb"/>
        <w:rPr>
          <w:b/>
          <w:bCs/>
        </w:rPr>
      </w:pPr>
      <w:r>
        <w:rPr>
          <w:b/>
          <w:bCs/>
        </w:rPr>
        <w:t xml:space="preserve">Legal Lesson Learned: Having an expert who has studied firefighter </w:t>
      </w:r>
      <w:proofErr w:type="gramStart"/>
      <w:r>
        <w:rPr>
          <w:b/>
          <w:bCs/>
        </w:rPr>
        <w:t>cancers</w:t>
      </w:r>
      <w:proofErr w:type="gramEnd"/>
      <w:r>
        <w:rPr>
          <w:b/>
          <w:bCs/>
        </w:rPr>
        <w:t xml:space="preserve"> is essential when presenting a workers’ compensation claim. </w:t>
      </w:r>
    </w:p>
    <w:p w14:paraId="4611AF32" w14:textId="77777777" w:rsidR="00E8117B" w:rsidRDefault="00E8117B" w:rsidP="00E8117B">
      <w:pPr>
        <w:pStyle w:val="NormalWeb"/>
        <w:ind w:left="720"/>
      </w:pPr>
      <w:r>
        <w:t xml:space="preserve">Note: The Court cited Firefighter Matt Wood’s testimony about changes in protocol in wearing SCBAs during overhaul and other cancer prevention SOGs.  </w:t>
      </w:r>
    </w:p>
    <w:p w14:paraId="2F7ADE91" w14:textId="77777777" w:rsidR="00E8117B" w:rsidRDefault="00E8117B" w:rsidP="00E8117B">
      <w:pPr>
        <w:pStyle w:val="NormalWeb"/>
        <w:ind w:left="720"/>
      </w:pPr>
      <w:r>
        <w:t xml:space="preserve">“The claimant testified that his firefighting duties were the same while in all three positions, which included actively fighting fires. He stated that he responded to approximately four fires per month. The claimant responded to fires at residential homes, structural fires, building fires, and fires in cars, rubbish, and brush. When he responded to a fire, he wore his bunker gear, which consisted of a fire suit, pants, coat, helmet, gloves, hat, mask, and a self-contained breathing apparatus (SCBA), which is a backpack that carries a cylinder holding air. The claimant testified that new procedures went into effect four years ago and now firefighters would keep their SCBA on until an </w:t>
      </w:r>
      <w:proofErr w:type="gramStart"/>
      <w:r>
        <w:t>on shift</w:t>
      </w:r>
      <w:proofErr w:type="gramEnd"/>
      <w:r>
        <w:t xml:space="preserve"> safety officer determined with a Lower Explosive Limit (LEL) monitor, that all gas levels were within normal range and it was safe to take the equipment off. He stated that this resulted in the firefighters' masks remaining on much longer while they were performing their overhaul duties. Other changes also went into effect at that time, such as the firefighters having a spare set of gear ready and wet wipes at the scene to clean their face, neck, and hands.” </w:t>
      </w:r>
      <w:hyperlink r:id="rId1164" w:history="1">
        <w:r>
          <w:rPr>
            <w:rStyle w:val="Hyperlink"/>
          </w:rPr>
          <w:t>https://ilcourtsaudio.blob.core.windows.net/antilles-resources/resources/eba608df-6fa9-4d1a-8a11-f48abce29596/City%20of%20Springfield%20v.%20Illinois%20Workers'%20Compensation%20Comm'n,%202022%20IL%20App%20(4th)%20210604WC-U.pdf</w:t>
        </w:r>
      </w:hyperlink>
      <w:r>
        <w:t xml:space="preserve"> </w:t>
      </w:r>
    </w:p>
    <w:p w14:paraId="17B92C82" w14:textId="77777777" w:rsidR="00E8117B" w:rsidRDefault="00E8117B" w:rsidP="00E8117B">
      <w:pPr>
        <w:pStyle w:val="NormalWeb"/>
        <w:ind w:left="1440"/>
      </w:pPr>
    </w:p>
    <w:p w14:paraId="35ED23CF" w14:textId="77777777" w:rsidR="00E8117B" w:rsidRPr="00CB79E4" w:rsidRDefault="00E8117B" w:rsidP="00E8117B">
      <w:pPr>
        <w:pStyle w:val="NormalWeb"/>
        <w:ind w:firstLine="720"/>
      </w:pPr>
      <w:r w:rsidRPr="00CB79E4">
        <w:t xml:space="preserve">Illinois Rebuttable Presumption: </w:t>
      </w:r>
    </w:p>
    <w:p w14:paraId="658398F5" w14:textId="77777777" w:rsidR="00E8117B" w:rsidRPr="00CB79E4" w:rsidRDefault="00E8117B" w:rsidP="00E8117B">
      <w:pPr>
        <w:pStyle w:val="NormalWeb"/>
        <w:ind w:left="720"/>
      </w:pPr>
      <w:r w:rsidRPr="00CB79E4">
        <w:t>“</w:t>
      </w:r>
      <w:r w:rsidRPr="00CB79E4">
        <w:rPr>
          <w:rStyle w:val="HTMLCode"/>
          <w:rFonts w:ascii="Times New Roman" w:eastAsiaTheme="majorEastAsia" w:hAnsi="Times New Roman" w:cs="Times New Roman"/>
          <w:sz w:val="24"/>
          <w:szCs w:val="24"/>
        </w:rPr>
        <w:t xml:space="preserve">Any condition or impairment of health of an employee employed as a firefighter, emergency medical technician (EMT), emergency medical technician-intermediate (EMT-I), advanced emergency medical technician (A-EMT), or paramedic which results directly or indirectly from any bloodborne pathogen, lung or respiratory disease or condition, heart or vascular disease or condition, hypertension, tuberculosis, or cancer resulting in any disability (temporary, permanent, total, or partial) to the employee shall be rebuttably presumed to arise out of and in the course of the employee's firefighting, EMT, EMT-I, A-EMT, or paramedic employment and, further, shall be rebuttably presumed to be causally connected to the hazards or exposures of the employment. This presumption shall also apply to any hernia or hearing loss suffered by an employee employed as a firefighter, EMT, EMT-I, A-EMT, or paramedic. However, this presumption shall not apply to any employee who has been employed as a firefighter, EMT, EMT-I, A-EMT, or paramedic for less than 5 years at the time he or she files an Application for Adjustment of Claim concerning this condition or impairment with the Illinois Workers' Compensation Commission.” </w:t>
      </w:r>
      <w:hyperlink r:id="rId1165" w:history="1">
        <w:r w:rsidRPr="00CB79E4">
          <w:rPr>
            <w:rStyle w:val="Hyperlink"/>
          </w:rPr>
          <w:t>https://www.ilga.gov/legislation/ilcs/ilcs3.asp?ActID=2431&amp;ChapterID=68</w:t>
        </w:r>
      </w:hyperlink>
      <w:r w:rsidRPr="00CB79E4">
        <w:rPr>
          <w:rStyle w:val="HTMLCode"/>
          <w:rFonts w:ascii="Times New Roman" w:eastAsiaTheme="majorEastAsia" w:hAnsi="Times New Roman" w:cs="Times New Roman"/>
          <w:sz w:val="24"/>
          <w:szCs w:val="24"/>
        </w:rPr>
        <w:t xml:space="preserve"> </w:t>
      </w:r>
    </w:p>
    <w:p w14:paraId="5F1A488D" w14:textId="77777777" w:rsidR="00E8117B" w:rsidRDefault="00E8117B" w:rsidP="00EF1133">
      <w:pPr>
        <w:rPr>
          <w:rFonts w:ascii="Arial Black" w:hAnsi="Arial Black"/>
          <w:b/>
          <w:sz w:val="24"/>
          <w:szCs w:val="24"/>
        </w:rPr>
      </w:pPr>
    </w:p>
    <w:p w14:paraId="222DBE32" w14:textId="77777777" w:rsidR="00E8117B" w:rsidRDefault="00E8117B" w:rsidP="00EF1133">
      <w:pPr>
        <w:rPr>
          <w:rFonts w:ascii="Arial Black" w:hAnsi="Arial Black"/>
          <w:b/>
          <w:sz w:val="24"/>
          <w:szCs w:val="24"/>
        </w:rPr>
      </w:pPr>
    </w:p>
    <w:p w14:paraId="4E134FD3" w14:textId="02D03CAE" w:rsidR="006D2C51" w:rsidRDefault="006D2C51" w:rsidP="00EF1133">
      <w:pPr>
        <w:rPr>
          <w:rFonts w:ascii="Arial Black" w:hAnsi="Arial Black"/>
          <w:b/>
          <w:sz w:val="24"/>
          <w:szCs w:val="24"/>
        </w:rPr>
      </w:pPr>
      <w:r>
        <w:rPr>
          <w:rFonts w:ascii="Arial Black" w:hAnsi="Arial Black"/>
          <w:b/>
          <w:sz w:val="24"/>
          <w:szCs w:val="24"/>
        </w:rPr>
        <w:lastRenderedPageBreak/>
        <w:t>6-9</w:t>
      </w:r>
      <w:r w:rsidR="00FF7C63">
        <w:rPr>
          <w:rFonts w:ascii="Arial Black" w:hAnsi="Arial Black"/>
          <w:b/>
          <w:sz w:val="24"/>
          <w:szCs w:val="24"/>
        </w:rPr>
        <w:t>3</w:t>
      </w:r>
    </w:p>
    <w:p w14:paraId="2F7B079B" w14:textId="77777777" w:rsidR="006C4BDE" w:rsidRDefault="006C4BDE" w:rsidP="006C4BDE">
      <w:pPr>
        <w:spacing w:before="100" w:beforeAutospacing="1" w:after="100" w:afterAutospacing="1" w:line="240" w:lineRule="auto"/>
        <w:rPr>
          <w:rFonts w:ascii="Arial Black" w:hAnsi="Arial Black"/>
          <w:sz w:val="28"/>
          <w:szCs w:val="28"/>
        </w:rPr>
      </w:pPr>
      <w:r>
        <w:rPr>
          <w:rFonts w:ascii="Arial Black" w:hAnsi="Arial Black"/>
          <w:sz w:val="28"/>
          <w:szCs w:val="28"/>
        </w:rPr>
        <w:t>NY: FDNY KNEE INJURY – 7</w:t>
      </w:r>
      <w:r w:rsidRPr="00D97113">
        <w:rPr>
          <w:rFonts w:ascii="Arial Black" w:hAnsi="Arial Black"/>
          <w:sz w:val="28"/>
          <w:szCs w:val="28"/>
          <w:vertAlign w:val="superscript"/>
        </w:rPr>
        <w:t>th</w:t>
      </w:r>
      <w:r>
        <w:rPr>
          <w:rFonts w:ascii="Arial Black" w:hAnsi="Arial Black"/>
          <w:sz w:val="28"/>
          <w:szCs w:val="28"/>
        </w:rPr>
        <w:t xml:space="preserve"> ON JOB - BUT ARTHRITIS - COURT AWARDS 75% ACCIDENTAL DISAB. RETIREMENT </w:t>
      </w:r>
    </w:p>
    <w:p w14:paraId="1DDF8872" w14:textId="77777777" w:rsidR="006C4BDE" w:rsidRDefault="006C4BDE" w:rsidP="006C4BD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July 11, 2022, in </w:t>
      </w:r>
      <w:r w:rsidRPr="000836BE">
        <w:rPr>
          <w:rFonts w:ascii="Times New Roman" w:hAnsi="Times New Roman"/>
          <w:sz w:val="24"/>
          <w:szCs w:val="24"/>
          <w:u w:val="single"/>
        </w:rPr>
        <w:t>David J. Lamar v. Daniel Nigro, the Board of Trustees of the New York City Fire Department, et al</w:t>
      </w:r>
      <w:r>
        <w:rPr>
          <w:rFonts w:ascii="Times New Roman" w:hAnsi="Times New Roman"/>
          <w:sz w:val="24"/>
          <w:szCs w:val="24"/>
        </w:rPr>
        <w:t xml:space="preserve">., the Supreme Court, New York County held (2 to 0; unpublished opinion) granted the retired firefighter’s </w:t>
      </w:r>
      <w:r w:rsidRPr="000836BE">
        <w:rPr>
          <w:rFonts w:ascii="Times New Roman" w:hAnsi="Times New Roman"/>
          <w:sz w:val="24"/>
          <w:szCs w:val="24"/>
        </w:rPr>
        <w:t>petition to reverse respondents' determination denying petitioner's application for accident disability retirement (</w:t>
      </w:r>
      <w:r>
        <w:rPr>
          <w:rFonts w:ascii="Times New Roman" w:hAnsi="Times New Roman"/>
          <w:sz w:val="24"/>
          <w:szCs w:val="24"/>
        </w:rPr>
        <w:t>‘</w:t>
      </w:r>
      <w:r w:rsidRPr="000836BE">
        <w:rPr>
          <w:rFonts w:ascii="Times New Roman" w:hAnsi="Times New Roman"/>
          <w:sz w:val="24"/>
          <w:szCs w:val="24"/>
        </w:rPr>
        <w:t>ADR</w:t>
      </w:r>
      <w:r>
        <w:rPr>
          <w:rFonts w:ascii="Times New Roman" w:hAnsi="Times New Roman"/>
          <w:sz w:val="24"/>
          <w:szCs w:val="24"/>
        </w:rPr>
        <w:t>’</w:t>
      </w:r>
      <w:r w:rsidRPr="000836BE">
        <w:rPr>
          <w:rFonts w:ascii="Times New Roman" w:hAnsi="Times New Roman"/>
          <w:sz w:val="24"/>
          <w:szCs w:val="24"/>
        </w:rPr>
        <w:t>) benefits</w:t>
      </w:r>
      <w:r>
        <w:rPr>
          <w:rFonts w:ascii="Times New Roman" w:hAnsi="Times New Roman"/>
          <w:sz w:val="24"/>
          <w:szCs w:val="24"/>
        </w:rPr>
        <w:t xml:space="preserve"> [$75%] </w:t>
      </w:r>
      <w:r w:rsidRPr="000836BE">
        <w:rPr>
          <w:rFonts w:ascii="Times New Roman" w:hAnsi="Times New Roman"/>
          <w:sz w:val="24"/>
          <w:szCs w:val="24"/>
        </w:rPr>
        <w:t>is granted and he is entitled to benefits retroactive to his date of retirement.</w:t>
      </w:r>
      <w:r>
        <w:rPr>
          <w:rFonts w:ascii="Times New Roman" w:hAnsi="Times New Roman"/>
          <w:sz w:val="24"/>
          <w:szCs w:val="24"/>
        </w:rPr>
        <w:t xml:space="preserve">  </w:t>
      </w:r>
      <w:hyperlink r:id="rId1166" w:history="1">
        <w:r w:rsidRPr="00355029">
          <w:rPr>
            <w:rStyle w:val="Hyperlink"/>
            <w:rFonts w:ascii="Times New Roman" w:eastAsia="Times New Roman" w:hAnsi="Times New Roman"/>
            <w:sz w:val="24"/>
            <w:szCs w:val="24"/>
          </w:rPr>
          <w:t>https://cases.justia.com/new-york/other-courts/2022-2022-ny-slip-op-32197-u.pdf?ts=1657833320</w:t>
        </w:r>
      </w:hyperlink>
    </w:p>
    <w:p w14:paraId="46B4B6F5" w14:textId="77777777" w:rsidR="006C4BDE" w:rsidRPr="00134EB1" w:rsidRDefault="006C4BDE" w:rsidP="006C4BDE">
      <w:pPr>
        <w:spacing w:before="100" w:beforeAutospacing="1" w:after="100" w:afterAutospacing="1" w:line="240" w:lineRule="auto"/>
        <w:rPr>
          <w:rFonts w:ascii="Times New Roman" w:eastAsia="Times New Roman" w:hAnsi="Times New Roman"/>
          <w:b/>
          <w:bCs/>
          <w:sz w:val="24"/>
          <w:szCs w:val="24"/>
        </w:rPr>
      </w:pPr>
      <w:r w:rsidRPr="00134EB1">
        <w:rPr>
          <w:rFonts w:ascii="Times New Roman" w:eastAsia="Times New Roman" w:hAnsi="Times New Roman"/>
          <w:b/>
          <w:bCs/>
          <w:sz w:val="24"/>
          <w:szCs w:val="24"/>
        </w:rPr>
        <w:t xml:space="preserve">Legal Lesson Learned: Nice to see Court recognizing </w:t>
      </w:r>
      <w:r w:rsidRPr="00134EB1">
        <w:rPr>
          <w:rFonts w:ascii="Times New Roman" w:hAnsi="Times New Roman"/>
          <w:b/>
          <w:bCs/>
          <w:sz w:val="24"/>
          <w:szCs w:val="24"/>
        </w:rPr>
        <w:t>that “years pass</w:t>
      </w:r>
      <w:r>
        <w:rPr>
          <w:rFonts w:ascii="Times New Roman" w:hAnsi="Times New Roman"/>
          <w:b/>
          <w:bCs/>
          <w:sz w:val="24"/>
          <w:szCs w:val="24"/>
        </w:rPr>
        <w:t xml:space="preserve"> </w:t>
      </w:r>
      <w:r w:rsidRPr="00134EB1">
        <w:rPr>
          <w:rFonts w:ascii="Times New Roman" w:hAnsi="Times New Roman"/>
          <w:b/>
          <w:bCs/>
          <w:sz w:val="24"/>
          <w:szCs w:val="24"/>
        </w:rPr>
        <w:t xml:space="preserve">and knees can get worse due to degenerative conditions,” but firefighter still entitled to ADR because this was clearly aggravated by </w:t>
      </w:r>
      <w:proofErr w:type="spellStart"/>
      <w:proofErr w:type="gramStart"/>
      <w:r w:rsidRPr="00134EB1">
        <w:rPr>
          <w:rFonts w:ascii="Times New Roman" w:hAnsi="Times New Roman"/>
          <w:b/>
          <w:bCs/>
          <w:sz w:val="24"/>
          <w:szCs w:val="24"/>
        </w:rPr>
        <w:t>a</w:t>
      </w:r>
      <w:proofErr w:type="spellEnd"/>
      <w:proofErr w:type="gramEnd"/>
      <w:r w:rsidRPr="00134EB1">
        <w:rPr>
          <w:rFonts w:ascii="Times New Roman" w:hAnsi="Times New Roman"/>
          <w:b/>
          <w:bCs/>
          <w:sz w:val="24"/>
          <w:szCs w:val="24"/>
        </w:rPr>
        <w:t xml:space="preserve"> on-the-job injury. </w:t>
      </w:r>
    </w:p>
    <w:p w14:paraId="146AE8C0" w14:textId="77777777" w:rsidR="006D2C51" w:rsidRDefault="006D2C51" w:rsidP="00EF1133">
      <w:pPr>
        <w:rPr>
          <w:rFonts w:ascii="Arial Black" w:hAnsi="Arial Black"/>
          <w:b/>
          <w:sz w:val="24"/>
          <w:szCs w:val="24"/>
        </w:rPr>
      </w:pPr>
    </w:p>
    <w:p w14:paraId="5E96F905" w14:textId="41F57F97" w:rsidR="007F3F5A" w:rsidRDefault="007F3F5A"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2</w:t>
      </w:r>
    </w:p>
    <w:p w14:paraId="2B5D5AD2" w14:textId="77777777" w:rsidR="007F3F5A" w:rsidRDefault="007F3F5A" w:rsidP="007F3F5A">
      <w:pPr>
        <w:spacing w:before="100" w:beforeAutospacing="1" w:after="100" w:afterAutospacing="1" w:line="240" w:lineRule="auto"/>
        <w:rPr>
          <w:rStyle w:val="markedcontent"/>
          <w:rFonts w:ascii="Arial Black" w:hAnsi="Arial Black"/>
          <w:sz w:val="28"/>
          <w:szCs w:val="28"/>
        </w:rPr>
      </w:pPr>
      <w:r>
        <w:rPr>
          <w:rStyle w:val="markedcontent"/>
          <w:rFonts w:ascii="Arial Black" w:hAnsi="Arial Black"/>
          <w:b/>
          <w:bCs/>
          <w:sz w:val="28"/>
          <w:szCs w:val="28"/>
        </w:rPr>
        <w:t>U.S. SUP. CT:  USERRA – TX STATE TROOPER RETURNING FROM IRAQ – LUNG ISSUES – CAN SUE IN STATE COURT</w:t>
      </w:r>
    </w:p>
    <w:p w14:paraId="3771FD9C" w14:textId="77777777" w:rsidR="007F3F5A" w:rsidRDefault="007F3F5A" w:rsidP="007F3F5A">
      <w:pPr>
        <w:spacing w:before="100" w:beforeAutospacing="1" w:after="100" w:afterAutospacing="1" w:line="240" w:lineRule="auto"/>
        <w:rPr>
          <w:rStyle w:val="markedcontent"/>
          <w:rFonts w:ascii="Times New Roman" w:hAnsi="Times New Roman"/>
          <w:sz w:val="24"/>
          <w:szCs w:val="24"/>
        </w:rPr>
      </w:pPr>
      <w:r>
        <w:rPr>
          <w:rStyle w:val="markedcontent"/>
          <w:rFonts w:ascii="Times New Roman" w:hAnsi="Times New Roman"/>
          <w:sz w:val="24"/>
          <w:szCs w:val="24"/>
        </w:rPr>
        <w:t xml:space="preserve">On June 29, 2022, in </w:t>
      </w:r>
      <w:r>
        <w:rPr>
          <w:rStyle w:val="markedcontent"/>
          <w:rFonts w:ascii="Times New Roman" w:hAnsi="Times New Roman"/>
          <w:sz w:val="24"/>
          <w:szCs w:val="24"/>
          <w:u w:val="single"/>
        </w:rPr>
        <w:t>Torres v. Texas Department of Public Safety</w:t>
      </w:r>
      <w:r>
        <w:rPr>
          <w:rStyle w:val="markedcontent"/>
          <w:rFonts w:ascii="Times New Roman" w:hAnsi="Times New Roman"/>
          <w:sz w:val="24"/>
          <w:szCs w:val="24"/>
        </w:rPr>
        <w:t xml:space="preserve">, the U.S. Supreme Court held (4 to 0) that the former State Trooper can sue his employer in state court for violation of USERRA [Uniformed Services Employment and Reemployment Rights Act of 1994]; he is not required to sue in federal court.  Le Roy Torres returned from active military service in Iraq with lung issues from “burn pits” and </w:t>
      </w:r>
      <w:r>
        <w:rPr>
          <w:rFonts w:ascii="Times New Roman" w:hAnsi="Times New Roman"/>
          <w:sz w:val="24"/>
          <w:szCs w:val="24"/>
        </w:rPr>
        <w:t xml:space="preserve">but requested to be placed in a different position other than as a state trooper, since his lung damage precluded him from performing </w:t>
      </w:r>
      <w:proofErr w:type="gramStart"/>
      <w:r>
        <w:rPr>
          <w:rFonts w:ascii="Times New Roman" w:hAnsi="Times New Roman"/>
          <w:sz w:val="24"/>
          <w:szCs w:val="24"/>
        </w:rPr>
        <w:t>all of</w:t>
      </w:r>
      <w:proofErr w:type="gramEnd"/>
      <w:r>
        <w:rPr>
          <w:rFonts w:ascii="Times New Roman" w:hAnsi="Times New Roman"/>
          <w:sz w:val="24"/>
          <w:szCs w:val="24"/>
        </w:rPr>
        <w:t xml:space="preserve"> his duties. DPS declined the request and offered him a temporary position as a state trooper, stating that if he did not report to duty, his employment would be terminated. Torres resigned. He </w:t>
      </w:r>
      <w:proofErr w:type="gramStart"/>
      <w:r>
        <w:rPr>
          <w:rFonts w:ascii="Times New Roman" w:hAnsi="Times New Roman"/>
          <w:sz w:val="24"/>
          <w:szCs w:val="24"/>
        </w:rPr>
        <w:t>sued</w:t>
      </w:r>
      <w:proofErr w:type="gramEnd"/>
      <w:r>
        <w:rPr>
          <w:rFonts w:ascii="Times New Roman" w:hAnsi="Times New Roman"/>
          <w:sz w:val="24"/>
          <w:szCs w:val="24"/>
        </w:rPr>
        <w:t xml:space="preserve"> in state court, but Texas court of appeals said that </w:t>
      </w:r>
      <w:proofErr w:type="gramStart"/>
      <w:r>
        <w:rPr>
          <w:rFonts w:ascii="Times New Roman" w:hAnsi="Times New Roman"/>
          <w:sz w:val="24"/>
          <w:szCs w:val="24"/>
        </w:rPr>
        <w:t>he</w:t>
      </w:r>
      <w:proofErr w:type="gramEnd"/>
      <w:r>
        <w:rPr>
          <w:rFonts w:ascii="Times New Roman" w:hAnsi="Times New Roman"/>
          <w:sz w:val="24"/>
          <w:szCs w:val="24"/>
        </w:rPr>
        <w:t xml:space="preserve"> only remedy is in federal court.  The lawsuit will now proceed in State </w:t>
      </w:r>
      <w:proofErr w:type="gramStart"/>
      <w:r>
        <w:rPr>
          <w:rFonts w:ascii="Times New Roman" w:hAnsi="Times New Roman"/>
          <w:sz w:val="24"/>
          <w:szCs w:val="24"/>
        </w:rPr>
        <w:t>court</w:t>
      </w:r>
      <w:proofErr w:type="gramEnd"/>
      <w:r>
        <w:rPr>
          <w:rFonts w:ascii="Times New Roman" w:hAnsi="Times New Roman"/>
          <w:sz w:val="24"/>
          <w:szCs w:val="24"/>
        </w:rPr>
        <w:t xml:space="preserve"> and a jury will be asked to award damages. </w:t>
      </w:r>
      <w:hyperlink r:id="rId1167" w:history="1">
        <w:r>
          <w:rPr>
            <w:rStyle w:val="Hyperlink"/>
            <w:sz w:val="24"/>
            <w:szCs w:val="24"/>
          </w:rPr>
          <w:t>https://www.supremecourt.gov/opinions/21pdf/20-603_o758.pdf</w:t>
        </w:r>
      </w:hyperlink>
      <w:r>
        <w:rPr>
          <w:rStyle w:val="markedcontent"/>
          <w:rFonts w:ascii="Times New Roman" w:hAnsi="Times New Roman"/>
          <w:sz w:val="24"/>
          <w:szCs w:val="24"/>
        </w:rPr>
        <w:t xml:space="preserve"> </w:t>
      </w:r>
    </w:p>
    <w:p w14:paraId="7706807C" w14:textId="77777777" w:rsidR="007F3F5A" w:rsidRDefault="007F3F5A" w:rsidP="007F3F5A">
      <w:pPr>
        <w:spacing w:before="100" w:beforeAutospacing="1" w:after="100" w:afterAutospacing="1" w:line="240" w:lineRule="auto"/>
        <w:rPr>
          <w:b/>
          <w:bCs/>
        </w:rPr>
      </w:pPr>
      <w:r>
        <w:rPr>
          <w:rStyle w:val="markedcontent"/>
          <w:rFonts w:ascii="Times New Roman" w:hAnsi="Times New Roman"/>
          <w:b/>
          <w:bCs/>
          <w:sz w:val="24"/>
          <w:szCs w:val="24"/>
        </w:rPr>
        <w:t xml:space="preserve">Legal Lesson Learned: Fire &amp; EMS departments must comply with USERRA, and failure to comply can lead to lawsuits in State court with a jury awarding </w:t>
      </w:r>
      <w:proofErr w:type="gramStart"/>
      <w:r>
        <w:rPr>
          <w:rStyle w:val="markedcontent"/>
          <w:rFonts w:ascii="Times New Roman" w:hAnsi="Times New Roman"/>
          <w:b/>
          <w:bCs/>
          <w:sz w:val="24"/>
          <w:szCs w:val="24"/>
        </w:rPr>
        <w:t>damages</w:t>
      </w:r>
      <w:proofErr w:type="gramEnd"/>
      <w:r>
        <w:rPr>
          <w:rStyle w:val="markedcontent"/>
          <w:rFonts w:ascii="Times New Roman" w:hAnsi="Times New Roman"/>
          <w:b/>
          <w:bCs/>
          <w:sz w:val="24"/>
          <w:szCs w:val="24"/>
        </w:rPr>
        <w:t xml:space="preserve">. </w:t>
      </w:r>
    </w:p>
    <w:p w14:paraId="78E849A2" w14:textId="77777777" w:rsidR="007F3F5A" w:rsidRDefault="007F3F5A" w:rsidP="00EF1133">
      <w:pPr>
        <w:rPr>
          <w:rFonts w:ascii="Arial Black" w:hAnsi="Arial Black"/>
          <w:b/>
          <w:sz w:val="24"/>
          <w:szCs w:val="24"/>
        </w:rPr>
      </w:pPr>
    </w:p>
    <w:p w14:paraId="46FA1073" w14:textId="6F05E5E0" w:rsidR="00FC62FF" w:rsidRDefault="00FC62FF"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1</w:t>
      </w:r>
      <w:r w:rsidR="00156E5D">
        <w:rPr>
          <w:rFonts w:ascii="Arial Black" w:hAnsi="Arial Black"/>
          <w:b/>
          <w:sz w:val="24"/>
          <w:szCs w:val="24"/>
        </w:rPr>
        <w:t xml:space="preserve"> [also filed, Chap. 17]</w:t>
      </w:r>
    </w:p>
    <w:p w14:paraId="3D614908" w14:textId="77777777" w:rsidR="00FC62FF" w:rsidRDefault="00FC62FF" w:rsidP="00FC62FF">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OH: FIRE CHIEF “RETIRE / REHIRE” NEXT DAY IS LAWFUL – CIVIL SERVICE POSTING JOB ONLY WHEN A “VACANCY” </w:t>
      </w:r>
    </w:p>
    <w:p w14:paraId="583B9C62" w14:textId="77777777" w:rsidR="00FC62FF" w:rsidRDefault="00FC62FF" w:rsidP="00FC62F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June 27, 2022, in </w:t>
      </w:r>
      <w:r>
        <w:rPr>
          <w:rFonts w:ascii="Times New Roman" w:hAnsi="Times New Roman"/>
          <w:sz w:val="24"/>
          <w:szCs w:val="24"/>
          <w:u w:val="single"/>
        </w:rPr>
        <w:t xml:space="preserve">State of Ohio ex re. The International Association of Fire Fighters, Local 1536, AFL-CIO v. John Barbush, In His Official Capacity </w:t>
      </w:r>
      <w:proofErr w:type="gramStart"/>
      <w:r>
        <w:rPr>
          <w:rFonts w:ascii="Times New Roman" w:hAnsi="Times New Roman"/>
          <w:sz w:val="24"/>
          <w:szCs w:val="24"/>
          <w:u w:val="single"/>
        </w:rPr>
        <w:t>As</w:t>
      </w:r>
      <w:proofErr w:type="gramEnd"/>
      <w:r>
        <w:rPr>
          <w:rFonts w:ascii="Times New Roman" w:hAnsi="Times New Roman"/>
          <w:sz w:val="24"/>
          <w:szCs w:val="24"/>
          <w:u w:val="single"/>
        </w:rPr>
        <w:t xml:space="preserve"> Maor </w:t>
      </w:r>
      <w:proofErr w:type="gramStart"/>
      <w:r>
        <w:rPr>
          <w:rFonts w:ascii="Times New Roman" w:hAnsi="Times New Roman"/>
          <w:sz w:val="24"/>
          <w:szCs w:val="24"/>
          <w:u w:val="single"/>
        </w:rPr>
        <w:t>And</w:t>
      </w:r>
      <w:proofErr w:type="gramEnd"/>
      <w:r>
        <w:rPr>
          <w:rFonts w:ascii="Times New Roman" w:hAnsi="Times New Roman"/>
          <w:sz w:val="24"/>
          <w:szCs w:val="24"/>
          <w:u w:val="single"/>
        </w:rPr>
        <w:t xml:space="preserve"> Director </w:t>
      </w:r>
      <w:proofErr w:type="gramStart"/>
      <w:r>
        <w:rPr>
          <w:rFonts w:ascii="Times New Roman" w:hAnsi="Times New Roman"/>
          <w:sz w:val="24"/>
          <w:szCs w:val="24"/>
          <w:u w:val="single"/>
        </w:rPr>
        <w:t>Of</w:t>
      </w:r>
      <w:proofErr w:type="gramEnd"/>
      <w:r>
        <w:rPr>
          <w:rFonts w:ascii="Times New Roman" w:hAnsi="Times New Roman"/>
          <w:sz w:val="24"/>
          <w:szCs w:val="24"/>
          <w:u w:val="single"/>
        </w:rPr>
        <w:t xml:space="preserve"> Public Safety, et. al., and James G. Powers</w:t>
      </w:r>
      <w:r>
        <w:rPr>
          <w:rFonts w:ascii="Times New Roman" w:hAnsi="Times New Roman"/>
          <w:sz w:val="24"/>
          <w:szCs w:val="24"/>
        </w:rPr>
        <w:t xml:space="preserve">, the Court of Appeals of Ohio, Eleventh District (Lake County), held (2 to 1) that trial court properly held that there was no “vacancy” in the Fire Chiefs position since he retired on Jan. 6, 2020, and was rehired the next day. Local 1536 argued [and the Dissenting Judge agreed] that the position should have been </w:t>
      </w:r>
      <w:proofErr w:type="gramStart"/>
      <w:r>
        <w:rPr>
          <w:rFonts w:ascii="Times New Roman" w:hAnsi="Times New Roman"/>
          <w:sz w:val="24"/>
          <w:szCs w:val="24"/>
        </w:rPr>
        <w:t>submitted</w:t>
      </w:r>
      <w:proofErr w:type="gramEnd"/>
      <w:r>
        <w:rPr>
          <w:rFonts w:ascii="Times New Roman" w:hAnsi="Times New Roman"/>
          <w:sz w:val="24"/>
          <w:szCs w:val="24"/>
        </w:rPr>
        <w:t xml:space="preserve"> the </w:t>
      </w:r>
      <w:r>
        <w:rPr>
          <w:rFonts w:ascii="Times New Roman" w:hAnsi="Times New Roman"/>
          <w:sz w:val="24"/>
          <w:szCs w:val="24"/>
        </w:rPr>
        <w:lastRenderedPageBreak/>
        <w:t xml:space="preserve">City’s Civil Service Commission, and the position filled through a competitive promotional examination process where four Captains were eligible to apply. </w:t>
      </w:r>
      <w:hyperlink r:id="rId1168" w:history="1">
        <w:r>
          <w:rPr>
            <w:rStyle w:val="Hyperlink"/>
            <w:sz w:val="24"/>
            <w:szCs w:val="24"/>
          </w:rPr>
          <w:t>https://www.leagle.com/decision/inohco20220627386</w:t>
        </w:r>
      </w:hyperlink>
      <w:r>
        <w:rPr>
          <w:rFonts w:ascii="Times New Roman" w:hAnsi="Times New Roman"/>
          <w:sz w:val="24"/>
          <w:szCs w:val="24"/>
        </w:rPr>
        <w:t xml:space="preserve"> </w:t>
      </w:r>
    </w:p>
    <w:p w14:paraId="0B204B03" w14:textId="77777777" w:rsidR="00156E5D" w:rsidRDefault="00156E5D" w:rsidP="00156E5D">
      <w:pPr>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In Ohio, other fire chiefs have also done “retire / rehire.” </w:t>
      </w:r>
    </w:p>
    <w:p w14:paraId="70EA6FE7" w14:textId="77777777" w:rsidR="00156E5D" w:rsidRPr="00102BDF" w:rsidRDefault="00156E5D" w:rsidP="00156E5D">
      <w:pPr>
        <w:pStyle w:val="Heading1"/>
        <w:ind w:left="720"/>
        <w:rPr>
          <w:b w:val="0"/>
          <w:bCs w:val="0"/>
          <w:sz w:val="24"/>
          <w:szCs w:val="24"/>
        </w:rPr>
      </w:pPr>
      <w:r w:rsidRPr="00102BDF">
        <w:rPr>
          <w:b w:val="0"/>
          <w:bCs w:val="0"/>
          <w:sz w:val="24"/>
          <w:szCs w:val="24"/>
        </w:rPr>
        <w:t xml:space="preserve">For example, see: “Fairfield able to rehire retired fire chief” (March 15, 2011): </w:t>
      </w:r>
      <w:hyperlink r:id="rId1169" w:history="1">
        <w:r w:rsidRPr="00102BDF">
          <w:rPr>
            <w:rStyle w:val="Hyperlink"/>
            <w:b w:val="0"/>
            <w:bCs w:val="0"/>
            <w:sz w:val="24"/>
            <w:szCs w:val="24"/>
          </w:rPr>
          <w:t>https://www.journal-news.com/news/local/fairfield-able-rehire-retired-fire-chief/JMPkJQCqJ2eIDqbu2eI8RK/</w:t>
        </w:r>
      </w:hyperlink>
      <w:r w:rsidRPr="00102BDF">
        <w:rPr>
          <w:b w:val="0"/>
          <w:bCs w:val="0"/>
          <w:sz w:val="24"/>
          <w:szCs w:val="24"/>
        </w:rPr>
        <w:t xml:space="preserve"> </w:t>
      </w:r>
    </w:p>
    <w:p w14:paraId="6CD3EB80" w14:textId="77777777" w:rsidR="00156E5D" w:rsidRPr="00102BDF" w:rsidRDefault="00156E5D" w:rsidP="00156E5D">
      <w:pPr>
        <w:pStyle w:val="Heading1"/>
        <w:ind w:left="720"/>
        <w:rPr>
          <w:b w:val="0"/>
          <w:bCs w:val="0"/>
          <w:sz w:val="24"/>
          <w:szCs w:val="24"/>
        </w:rPr>
      </w:pPr>
      <w:r w:rsidRPr="00102BDF">
        <w:rPr>
          <w:b w:val="0"/>
          <w:bCs w:val="0"/>
          <w:sz w:val="24"/>
          <w:szCs w:val="24"/>
        </w:rPr>
        <w:t xml:space="preserve">“West Carrollton to rehire fire chief after Valentine’s week retirement” (Feb. 13, 2019): </w:t>
      </w:r>
      <w:hyperlink r:id="rId1170" w:history="1">
        <w:r w:rsidRPr="00102BDF">
          <w:rPr>
            <w:rStyle w:val="Hyperlink"/>
            <w:b w:val="0"/>
            <w:bCs w:val="0"/>
            <w:sz w:val="24"/>
            <w:szCs w:val="24"/>
          </w:rPr>
          <w:t>https://www.daytondailynews.com/news/west-carrollton-rehire-fire-chief-after-valentine-week-retirement/XSsYoJpSmxdkIIZtoGUpzJ/</w:t>
        </w:r>
      </w:hyperlink>
      <w:r w:rsidRPr="00102BDF">
        <w:rPr>
          <w:b w:val="0"/>
          <w:bCs w:val="0"/>
          <w:sz w:val="24"/>
          <w:szCs w:val="24"/>
        </w:rPr>
        <w:t xml:space="preserve"> </w:t>
      </w:r>
    </w:p>
    <w:p w14:paraId="7E877B0F" w14:textId="77777777" w:rsidR="00FC62FF" w:rsidRDefault="00FC62FF" w:rsidP="00EF1133">
      <w:pPr>
        <w:rPr>
          <w:rFonts w:ascii="Arial Black" w:hAnsi="Arial Black"/>
          <w:b/>
          <w:sz w:val="24"/>
          <w:szCs w:val="24"/>
        </w:rPr>
      </w:pPr>
    </w:p>
    <w:p w14:paraId="363F5A16" w14:textId="77777777" w:rsidR="00FC62FF" w:rsidRDefault="00FC62FF" w:rsidP="00EF1133">
      <w:pPr>
        <w:rPr>
          <w:rFonts w:ascii="Arial Black" w:hAnsi="Arial Black"/>
          <w:b/>
          <w:sz w:val="24"/>
          <w:szCs w:val="24"/>
        </w:rPr>
      </w:pPr>
    </w:p>
    <w:p w14:paraId="57258129" w14:textId="77777777" w:rsidR="00FC62FF" w:rsidRDefault="00FC62FF" w:rsidP="00EF1133">
      <w:pPr>
        <w:rPr>
          <w:rFonts w:ascii="Arial Black" w:hAnsi="Arial Black"/>
          <w:b/>
          <w:sz w:val="24"/>
          <w:szCs w:val="24"/>
        </w:rPr>
      </w:pPr>
    </w:p>
    <w:p w14:paraId="29759BB5" w14:textId="6108A0CF" w:rsidR="0002742E" w:rsidRDefault="0002742E" w:rsidP="00EF1133">
      <w:pPr>
        <w:rPr>
          <w:rFonts w:ascii="Arial Black" w:hAnsi="Arial Black"/>
          <w:b/>
          <w:sz w:val="24"/>
          <w:szCs w:val="24"/>
        </w:rPr>
      </w:pPr>
      <w:r>
        <w:rPr>
          <w:rFonts w:ascii="Arial Black" w:hAnsi="Arial Black"/>
          <w:b/>
          <w:sz w:val="24"/>
          <w:szCs w:val="24"/>
        </w:rPr>
        <w:t>6-9</w:t>
      </w:r>
      <w:r w:rsidR="00FF7C63">
        <w:rPr>
          <w:rFonts w:ascii="Arial Black" w:hAnsi="Arial Black"/>
          <w:b/>
          <w:sz w:val="24"/>
          <w:szCs w:val="24"/>
        </w:rPr>
        <w:t>0</w:t>
      </w:r>
    </w:p>
    <w:p w14:paraId="5306DDBC" w14:textId="77777777" w:rsidR="0002742E" w:rsidRPr="00A8477F" w:rsidRDefault="0002742E" w:rsidP="0002742E">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b/>
          <w:bCs/>
          <w:sz w:val="28"/>
          <w:szCs w:val="28"/>
        </w:rPr>
        <w:t xml:space="preserve">ID: FF DIED LEUKEMIA – WIDOW WINS WORKER COMP APPEAL - STATE SUP. CT. STAUTORY </w:t>
      </w:r>
      <w:r>
        <w:rPr>
          <w:rFonts w:ascii="Arial Black" w:eastAsia="Times New Roman" w:hAnsi="Arial Black"/>
          <w:sz w:val="28"/>
          <w:szCs w:val="28"/>
        </w:rPr>
        <w:t>PRESUMPTION</w:t>
      </w:r>
    </w:p>
    <w:p w14:paraId="49754685" w14:textId="77777777" w:rsidR="0002742E" w:rsidRPr="00241167" w:rsidRDefault="0002742E" w:rsidP="0002742E">
      <w:pPr>
        <w:spacing w:before="100" w:beforeAutospacing="1" w:after="100" w:afterAutospacing="1" w:line="240" w:lineRule="auto"/>
        <w:rPr>
          <w:rFonts w:ascii="Times New Roman" w:eastAsia="Times New Roman" w:hAnsi="Times New Roman"/>
          <w:sz w:val="24"/>
          <w:szCs w:val="24"/>
        </w:rPr>
      </w:pPr>
      <w:r w:rsidRPr="00A8477F">
        <w:rPr>
          <w:rFonts w:ascii="Times New Roman" w:eastAsia="Times New Roman" w:hAnsi="Times New Roman"/>
          <w:sz w:val="24"/>
          <w:szCs w:val="24"/>
        </w:rPr>
        <w:t xml:space="preserve">On </w:t>
      </w:r>
      <w:r>
        <w:rPr>
          <w:rFonts w:ascii="Times New Roman" w:eastAsia="Times New Roman" w:hAnsi="Times New Roman"/>
          <w:sz w:val="24"/>
          <w:szCs w:val="24"/>
        </w:rPr>
        <w:t xml:space="preserve">April 29, 2022, in </w:t>
      </w:r>
      <w:r w:rsidRPr="00241167">
        <w:rPr>
          <w:rFonts w:ascii="Times New Roman" w:eastAsia="Times New Roman" w:hAnsi="Times New Roman"/>
          <w:sz w:val="24"/>
          <w:szCs w:val="24"/>
          <w:u w:val="single"/>
        </w:rPr>
        <w:t>Richard Nelson v. City of Pocatello</w:t>
      </w:r>
      <w:r>
        <w:rPr>
          <w:rFonts w:ascii="Times New Roman" w:eastAsia="Times New Roman" w:hAnsi="Times New Roman"/>
          <w:sz w:val="24"/>
          <w:szCs w:val="24"/>
        </w:rPr>
        <w:t xml:space="preserve">, the Supreme Court of Idaho held (5 to 0) that the 2016 statutory presumption statute is </w:t>
      </w:r>
      <w:proofErr w:type="gramStart"/>
      <w:r>
        <w:rPr>
          <w:rFonts w:ascii="Times New Roman" w:eastAsia="Times New Roman" w:hAnsi="Times New Roman"/>
          <w:sz w:val="24"/>
          <w:szCs w:val="24"/>
        </w:rPr>
        <w:t>constitutional</w:t>
      </w:r>
      <w:proofErr w:type="gramEnd"/>
      <w:r>
        <w:rPr>
          <w:rFonts w:ascii="Times New Roman" w:eastAsia="Times New Roman" w:hAnsi="Times New Roman"/>
          <w:sz w:val="24"/>
          <w:szCs w:val="24"/>
        </w:rPr>
        <w:t xml:space="preserve"> and the Industrial Commission properly held that the </w:t>
      </w:r>
      <w:proofErr w:type="gramStart"/>
      <w:r>
        <w:rPr>
          <w:rFonts w:ascii="Times New Roman" w:eastAsia="Times New Roman" w:hAnsi="Times New Roman"/>
          <w:sz w:val="24"/>
          <w:szCs w:val="24"/>
        </w:rPr>
        <w:t>City</w:t>
      </w:r>
      <w:proofErr w:type="gramEnd"/>
      <w:r>
        <w:rPr>
          <w:rFonts w:ascii="Times New Roman" w:eastAsia="Times New Roman" w:hAnsi="Times New Roman"/>
          <w:sz w:val="24"/>
          <w:szCs w:val="24"/>
        </w:rPr>
        <w:t xml:space="preserve"> failed to present “substantial evidence” to rebut that presumption.  Richard Nelson served </w:t>
      </w:r>
      <w:proofErr w:type="gramStart"/>
      <w:r>
        <w:rPr>
          <w:rFonts w:ascii="Times New Roman" w:eastAsia="Times New Roman" w:hAnsi="Times New Roman"/>
          <w:sz w:val="24"/>
          <w:szCs w:val="24"/>
        </w:rPr>
        <w:t>21-years</w:t>
      </w:r>
      <w:proofErr w:type="gramEnd"/>
      <w:r>
        <w:rPr>
          <w:rFonts w:ascii="Times New Roman" w:eastAsia="Times New Roman" w:hAnsi="Times New Roman"/>
          <w:sz w:val="24"/>
          <w:szCs w:val="24"/>
        </w:rPr>
        <w:t xml:space="preserve"> as a career firefighter, retired in 2014 and in 2018 was diagnosed with </w:t>
      </w:r>
      <w:r w:rsidRPr="00241167">
        <w:rPr>
          <w:rFonts w:ascii="Times New Roman" w:hAnsi="Times New Roman"/>
          <w:sz w:val="24"/>
          <w:szCs w:val="24"/>
        </w:rPr>
        <w:t>early-stage chronic lymphocytic leukemia ("CLL")</w:t>
      </w:r>
      <w:r>
        <w:rPr>
          <w:rFonts w:ascii="Times New Roman" w:hAnsi="Times New Roman"/>
          <w:sz w:val="24"/>
          <w:szCs w:val="24"/>
        </w:rPr>
        <w:t xml:space="preserve">.  </w:t>
      </w:r>
      <w:hyperlink r:id="rId1171" w:history="1">
        <w:r w:rsidRPr="00C50FC4">
          <w:rPr>
            <w:rStyle w:val="Hyperlink"/>
            <w:rFonts w:ascii="Times New Roman" w:hAnsi="Times New Roman"/>
            <w:sz w:val="24"/>
            <w:szCs w:val="24"/>
          </w:rPr>
          <w:t>https://isc.idaho.gov/opinions/49171.pdf</w:t>
        </w:r>
      </w:hyperlink>
      <w:r>
        <w:rPr>
          <w:rFonts w:ascii="Times New Roman" w:hAnsi="Times New Roman"/>
          <w:sz w:val="24"/>
          <w:szCs w:val="24"/>
        </w:rPr>
        <w:t xml:space="preserve"> </w:t>
      </w:r>
    </w:p>
    <w:p w14:paraId="1359ADF3" w14:textId="77777777" w:rsidR="0002742E" w:rsidRPr="008066A3" w:rsidRDefault="0002742E" w:rsidP="0002742E">
      <w:pPr>
        <w:spacing w:before="100" w:beforeAutospacing="1" w:after="100" w:afterAutospacing="1" w:line="240" w:lineRule="auto"/>
        <w:ind w:left="90"/>
        <w:rPr>
          <w:rFonts w:ascii="Times New Roman" w:hAnsi="Times New Roman"/>
          <w:b/>
          <w:bCs/>
          <w:sz w:val="24"/>
          <w:szCs w:val="24"/>
        </w:rPr>
      </w:pPr>
      <w:r w:rsidRPr="008066A3">
        <w:rPr>
          <w:rFonts w:ascii="Times New Roman" w:hAnsi="Times New Roman"/>
          <w:b/>
          <w:bCs/>
          <w:sz w:val="24"/>
          <w:szCs w:val="24"/>
        </w:rPr>
        <w:t xml:space="preserve">Legal Lesson Learned: </w:t>
      </w:r>
      <w:r>
        <w:rPr>
          <w:rFonts w:ascii="Times New Roman" w:hAnsi="Times New Roman"/>
          <w:b/>
          <w:bCs/>
          <w:sz w:val="24"/>
          <w:szCs w:val="24"/>
        </w:rPr>
        <w:t xml:space="preserve">Excellent decision; Court also cited IAFF brief listing numerous decisions in other states upholding firefighter cancer statutory presumptions. </w:t>
      </w:r>
    </w:p>
    <w:p w14:paraId="2F6BAC63" w14:textId="77777777" w:rsidR="0002742E" w:rsidRDefault="0002742E" w:rsidP="00EF1133">
      <w:pPr>
        <w:rPr>
          <w:rFonts w:ascii="Arial Black" w:hAnsi="Arial Black"/>
          <w:b/>
          <w:sz w:val="24"/>
          <w:szCs w:val="24"/>
        </w:rPr>
      </w:pPr>
    </w:p>
    <w:p w14:paraId="1AC37D27" w14:textId="01A63BB3" w:rsidR="0002742E" w:rsidRDefault="0002742E" w:rsidP="00EF1133">
      <w:pPr>
        <w:rPr>
          <w:rFonts w:ascii="Arial Black" w:hAnsi="Arial Black"/>
          <w:b/>
          <w:sz w:val="24"/>
          <w:szCs w:val="24"/>
        </w:rPr>
      </w:pPr>
      <w:r>
        <w:rPr>
          <w:rFonts w:ascii="Arial Black" w:hAnsi="Arial Black"/>
          <w:b/>
          <w:sz w:val="24"/>
          <w:szCs w:val="24"/>
        </w:rPr>
        <w:t>6-</w:t>
      </w:r>
      <w:r w:rsidR="00FF7C63">
        <w:rPr>
          <w:rFonts w:ascii="Arial Black" w:hAnsi="Arial Black"/>
          <w:b/>
          <w:sz w:val="24"/>
          <w:szCs w:val="24"/>
        </w:rPr>
        <w:t>89</w:t>
      </w:r>
    </w:p>
    <w:p w14:paraId="1F4CF0CE" w14:textId="77777777" w:rsidR="0002742E" w:rsidRPr="00C42D64" w:rsidRDefault="0002742E" w:rsidP="0002742E">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b/>
          <w:bCs/>
          <w:sz w:val="28"/>
          <w:szCs w:val="28"/>
        </w:rPr>
        <w:t xml:space="preserve">NV: FF RE-INJURED SHOULDER – CAN RE-OPEN WORKERS </w:t>
      </w:r>
      <w:r w:rsidRPr="00C42D64">
        <w:rPr>
          <w:rFonts w:ascii="Arial Black" w:eastAsia="Times New Roman" w:hAnsi="Arial Black"/>
          <w:sz w:val="28"/>
          <w:szCs w:val="28"/>
        </w:rPr>
        <w:t xml:space="preserve">COMP CLAIM BECAUSE </w:t>
      </w:r>
      <w:r>
        <w:rPr>
          <w:rFonts w:ascii="Arial Black" w:eastAsia="Times New Roman" w:hAnsi="Arial Black"/>
          <w:sz w:val="28"/>
          <w:szCs w:val="28"/>
        </w:rPr>
        <w:t xml:space="preserve">HE </w:t>
      </w:r>
      <w:r w:rsidRPr="00C42D64">
        <w:rPr>
          <w:rFonts w:ascii="Arial Black" w:eastAsia="Times New Roman" w:hAnsi="Arial Black"/>
          <w:sz w:val="28"/>
          <w:szCs w:val="28"/>
        </w:rPr>
        <w:t xml:space="preserve">LOST </w:t>
      </w:r>
      <w:r>
        <w:rPr>
          <w:rFonts w:ascii="Arial Black" w:eastAsia="Times New Roman" w:hAnsi="Arial Black"/>
          <w:sz w:val="28"/>
          <w:szCs w:val="28"/>
        </w:rPr>
        <w:t>INCOME</w:t>
      </w:r>
      <w:r w:rsidRPr="00C42D64">
        <w:rPr>
          <w:rFonts w:ascii="Arial Black" w:eastAsia="Times New Roman" w:hAnsi="Arial Black"/>
          <w:sz w:val="28"/>
          <w:szCs w:val="28"/>
        </w:rPr>
        <w:t xml:space="preserve"> </w:t>
      </w:r>
      <w:r>
        <w:rPr>
          <w:rFonts w:ascii="Arial Black" w:eastAsia="Times New Roman" w:hAnsi="Arial Black"/>
          <w:sz w:val="28"/>
          <w:szCs w:val="28"/>
        </w:rPr>
        <w:t xml:space="preserve">FIRST INJURY </w:t>
      </w:r>
    </w:p>
    <w:p w14:paraId="65BED98A" w14:textId="77777777" w:rsidR="0002742E" w:rsidRDefault="0002742E" w:rsidP="0002742E">
      <w:pPr>
        <w:spacing w:before="100" w:beforeAutospacing="1" w:after="100" w:afterAutospacing="1" w:line="240" w:lineRule="auto"/>
        <w:rPr>
          <w:rFonts w:ascii="Times New Roman" w:eastAsia="Times New Roman" w:hAnsi="Times New Roman"/>
          <w:sz w:val="24"/>
          <w:szCs w:val="24"/>
        </w:rPr>
      </w:pPr>
      <w:r w:rsidRPr="00C42D64">
        <w:rPr>
          <w:rFonts w:ascii="Times New Roman" w:eastAsia="Times New Roman" w:hAnsi="Times New Roman"/>
          <w:sz w:val="24"/>
          <w:szCs w:val="24"/>
        </w:rPr>
        <w:t xml:space="preserve">On </w:t>
      </w:r>
      <w:r>
        <w:rPr>
          <w:rFonts w:ascii="Times New Roman" w:eastAsia="Times New Roman" w:hAnsi="Times New Roman"/>
          <w:sz w:val="24"/>
          <w:szCs w:val="24"/>
        </w:rPr>
        <w:t xml:space="preserve">April 20, 2022, in </w:t>
      </w:r>
      <w:r w:rsidRPr="00C42D64">
        <w:rPr>
          <w:rFonts w:ascii="Times New Roman" w:eastAsia="Times New Roman" w:hAnsi="Times New Roman"/>
          <w:sz w:val="24"/>
          <w:szCs w:val="24"/>
          <w:u w:val="single"/>
        </w:rPr>
        <w:t>City of Henderson, et al. v. Jason Law</w:t>
      </w:r>
      <w:r>
        <w:rPr>
          <w:rFonts w:ascii="Times New Roman" w:eastAsia="Times New Roman" w:hAnsi="Times New Roman"/>
          <w:sz w:val="24"/>
          <w:szCs w:val="24"/>
        </w:rPr>
        <w:t xml:space="preserve">, the Court of Appeals of Nevada, held (3 to 0), unpublished decision, that the firefighter under state law was entitled to re-open his claim for “lifetime” since he lost wage during the first injury – overtime pay while on light duty.  The firefighter injured his left shoulder on duty in 2021, and for two months while on light duty he was not eligible for overtime; in Aug. 2016 he reinjured it in a </w:t>
      </w:r>
      <w:proofErr w:type="gramStart"/>
      <w:r>
        <w:rPr>
          <w:rFonts w:ascii="Times New Roman" w:eastAsia="Times New Roman" w:hAnsi="Times New Roman"/>
          <w:sz w:val="24"/>
          <w:szCs w:val="24"/>
        </w:rPr>
        <w:t>firefighters</w:t>
      </w:r>
      <w:proofErr w:type="gramEnd"/>
      <w:r>
        <w:rPr>
          <w:rFonts w:ascii="Times New Roman" w:eastAsia="Times New Roman" w:hAnsi="Times New Roman"/>
          <w:sz w:val="24"/>
          <w:szCs w:val="24"/>
        </w:rPr>
        <w:t xml:space="preserve"> versus police officers football game. </w:t>
      </w:r>
      <w:hyperlink r:id="rId1172" w:history="1">
        <w:r w:rsidRPr="00C50FC4">
          <w:rPr>
            <w:rStyle w:val="Hyperlink"/>
            <w:rFonts w:ascii="Times New Roman" w:eastAsia="Times New Roman" w:hAnsi="Times New Roman"/>
            <w:sz w:val="24"/>
            <w:szCs w:val="24"/>
          </w:rPr>
          <w:t>https://casetext.com/case/city-of-henderson-v-law</w:t>
        </w:r>
      </w:hyperlink>
      <w:r>
        <w:rPr>
          <w:rFonts w:ascii="Times New Roman" w:eastAsia="Times New Roman" w:hAnsi="Times New Roman"/>
          <w:sz w:val="24"/>
          <w:szCs w:val="24"/>
        </w:rPr>
        <w:t xml:space="preserve">  </w:t>
      </w:r>
    </w:p>
    <w:p w14:paraId="466F4150" w14:textId="77777777" w:rsidR="0009438D" w:rsidRDefault="0002742E" w:rsidP="0002742E">
      <w:pPr>
        <w:spacing w:before="100" w:beforeAutospacing="1" w:after="100" w:afterAutospacing="1" w:line="240" w:lineRule="auto"/>
        <w:rPr>
          <w:rFonts w:ascii="Times New Roman" w:eastAsia="Times New Roman" w:hAnsi="Times New Roman"/>
          <w:b/>
          <w:bCs/>
          <w:sz w:val="24"/>
          <w:szCs w:val="24"/>
        </w:rPr>
      </w:pPr>
      <w:r w:rsidRPr="00B174B3">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Under this decision, </w:t>
      </w:r>
      <w:proofErr w:type="gramStart"/>
      <w:r>
        <w:rPr>
          <w:rFonts w:ascii="Times New Roman" w:eastAsia="Times New Roman" w:hAnsi="Times New Roman"/>
          <w:b/>
          <w:bCs/>
          <w:sz w:val="24"/>
          <w:szCs w:val="24"/>
        </w:rPr>
        <w:t>loss wages</w:t>
      </w:r>
      <w:proofErr w:type="gramEnd"/>
      <w:r>
        <w:rPr>
          <w:rFonts w:ascii="Times New Roman" w:eastAsia="Times New Roman" w:hAnsi="Times New Roman"/>
          <w:b/>
          <w:bCs/>
          <w:sz w:val="24"/>
          <w:szCs w:val="24"/>
        </w:rPr>
        <w:t xml:space="preserve"> </w:t>
      </w:r>
      <w:proofErr w:type="gramStart"/>
      <w:r>
        <w:rPr>
          <w:rFonts w:ascii="Times New Roman" w:eastAsia="Times New Roman" w:hAnsi="Times New Roman"/>
          <w:b/>
          <w:bCs/>
          <w:sz w:val="24"/>
          <w:szCs w:val="24"/>
        </w:rPr>
        <w:t>includes</w:t>
      </w:r>
      <w:proofErr w:type="gramEnd"/>
      <w:r>
        <w:rPr>
          <w:rFonts w:ascii="Times New Roman" w:eastAsia="Times New Roman" w:hAnsi="Times New Roman"/>
          <w:b/>
          <w:bCs/>
          <w:sz w:val="24"/>
          <w:szCs w:val="24"/>
        </w:rPr>
        <w:t xml:space="preserve"> loss of overtime pay.  </w:t>
      </w:r>
    </w:p>
    <w:p w14:paraId="156E99C6" w14:textId="7B602E4D" w:rsidR="0009438D" w:rsidRPr="0009438D" w:rsidRDefault="0009438D" w:rsidP="0009438D">
      <w:pPr>
        <w:spacing w:before="100" w:beforeAutospacing="1" w:after="100" w:afterAutospacing="1" w:line="240" w:lineRule="auto"/>
        <w:ind w:left="720"/>
      </w:pPr>
      <w:r w:rsidRPr="0009438D">
        <w:rPr>
          <w:rFonts w:ascii="Times New Roman" w:eastAsia="Times New Roman" w:hAnsi="Times New Roman"/>
          <w:sz w:val="24"/>
          <w:szCs w:val="24"/>
        </w:rPr>
        <w:lastRenderedPageBreak/>
        <w:t xml:space="preserve">Note: To avoid workers </w:t>
      </w:r>
      <w:proofErr w:type="gramStart"/>
      <w:r w:rsidRPr="0009438D">
        <w:rPr>
          <w:rFonts w:ascii="Times New Roman" w:eastAsia="Times New Roman" w:hAnsi="Times New Roman"/>
          <w:sz w:val="24"/>
          <w:szCs w:val="24"/>
        </w:rPr>
        <w:t>comp liability</w:t>
      </w:r>
      <w:proofErr w:type="gramEnd"/>
      <w:r w:rsidRPr="0009438D">
        <w:rPr>
          <w:rFonts w:ascii="Times New Roman" w:eastAsia="Times New Roman" w:hAnsi="Times New Roman"/>
          <w:sz w:val="24"/>
          <w:szCs w:val="24"/>
        </w:rPr>
        <w:t xml:space="preserve"> for personnel playing in off-duty sporting events, some employers will require </w:t>
      </w:r>
      <w:proofErr w:type="gramStart"/>
      <w:r w:rsidRPr="0009438D">
        <w:rPr>
          <w:rFonts w:ascii="Times New Roman" w:eastAsia="Times New Roman" w:hAnsi="Times New Roman"/>
          <w:sz w:val="24"/>
          <w:szCs w:val="24"/>
        </w:rPr>
        <w:t>employee</w:t>
      </w:r>
      <w:proofErr w:type="gramEnd"/>
      <w:r w:rsidRPr="0009438D">
        <w:rPr>
          <w:rFonts w:ascii="Times New Roman" w:eastAsia="Times New Roman" w:hAnsi="Times New Roman"/>
          <w:sz w:val="24"/>
          <w:szCs w:val="24"/>
        </w:rPr>
        <w:t xml:space="preserve"> to sign a waiver. </w:t>
      </w:r>
      <w:r>
        <w:rPr>
          <w:rFonts w:ascii="Times New Roman" w:eastAsia="Times New Roman" w:hAnsi="Times New Roman"/>
          <w:sz w:val="24"/>
          <w:szCs w:val="24"/>
        </w:rPr>
        <w:t xml:space="preserve">See Ohio BWC: </w:t>
      </w:r>
      <w:r>
        <w:rPr>
          <w:rFonts w:ascii="Times New Roman" w:hAnsi="Times New Roman"/>
          <w:sz w:val="24"/>
          <w:szCs w:val="24"/>
        </w:rPr>
        <w:t>“</w:t>
      </w:r>
      <w:r w:rsidRPr="0009438D">
        <w:rPr>
          <w:rFonts w:ascii="Times New Roman" w:hAnsi="Times New Roman"/>
          <w:sz w:val="24"/>
          <w:szCs w:val="24"/>
        </w:rPr>
        <w:t xml:space="preserve">It's BWC's policy that an injury or disability incurred during voluntary participation in an employer sponsored recreation or fitness activity is </w:t>
      </w:r>
      <w:r w:rsidRPr="0009438D">
        <w:rPr>
          <w:rStyle w:val="Strong"/>
          <w:rFonts w:ascii="Times New Roman" w:hAnsi="Times New Roman"/>
          <w:sz w:val="24"/>
          <w:szCs w:val="24"/>
        </w:rPr>
        <w:t>not</w:t>
      </w:r>
      <w:r w:rsidRPr="0009438D">
        <w:rPr>
          <w:rFonts w:ascii="Times New Roman" w:hAnsi="Times New Roman"/>
          <w:sz w:val="24"/>
          <w:szCs w:val="24"/>
        </w:rPr>
        <w:t xml:space="preserve"> compensable</w:t>
      </w:r>
      <w:r w:rsidRPr="0009438D">
        <w:rPr>
          <w:rStyle w:val="Strong"/>
          <w:rFonts w:ascii="Times New Roman" w:hAnsi="Times New Roman"/>
          <w:sz w:val="24"/>
          <w:szCs w:val="24"/>
        </w:rPr>
        <w:t xml:space="preserve"> if </w:t>
      </w:r>
      <w:r w:rsidRPr="0009438D">
        <w:rPr>
          <w:rFonts w:ascii="Times New Roman" w:hAnsi="Times New Roman"/>
          <w:sz w:val="24"/>
          <w:szCs w:val="24"/>
        </w:rPr>
        <w:t>the injured worker signed a waiver of the right to workers' compensation benefits prior to engaging in the recreation or fitness activity.</w:t>
      </w:r>
      <w:r>
        <w:rPr>
          <w:rFonts w:ascii="Times New Roman" w:hAnsi="Times New Roman"/>
          <w:sz w:val="24"/>
          <w:szCs w:val="24"/>
        </w:rPr>
        <w:t xml:space="preserve">” </w:t>
      </w:r>
      <w:hyperlink r:id="rId1173" w:history="1">
        <w:r w:rsidRPr="00107D95">
          <w:rPr>
            <w:rStyle w:val="Hyperlink"/>
            <w:rFonts w:ascii="Times New Roman" w:hAnsi="Times New Roman"/>
            <w:sz w:val="24"/>
            <w:szCs w:val="24"/>
          </w:rPr>
          <w:t>https://info.bwc.ohio.gov/for-employers/workers-compensation-claims/recreational-waiver</w:t>
        </w:r>
      </w:hyperlink>
      <w:r>
        <w:rPr>
          <w:rFonts w:ascii="Times New Roman" w:hAnsi="Times New Roman"/>
          <w:sz w:val="24"/>
          <w:szCs w:val="24"/>
        </w:rPr>
        <w:t xml:space="preserve"> </w:t>
      </w:r>
    </w:p>
    <w:p w14:paraId="4F7A5F60" w14:textId="77777777" w:rsidR="0002742E" w:rsidRDefault="0002742E" w:rsidP="00EF1133">
      <w:pPr>
        <w:rPr>
          <w:rFonts w:ascii="Arial Black" w:hAnsi="Arial Black"/>
          <w:b/>
          <w:sz w:val="24"/>
          <w:szCs w:val="24"/>
        </w:rPr>
      </w:pPr>
    </w:p>
    <w:p w14:paraId="1CFC6FD3" w14:textId="45A014E4" w:rsidR="00727951" w:rsidRDefault="00727951"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8</w:t>
      </w:r>
    </w:p>
    <w:p w14:paraId="788BC477" w14:textId="77777777" w:rsidR="00727951" w:rsidRPr="00421F16" w:rsidRDefault="00727951" w:rsidP="00727951">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CA: FF PAY - CITY COUNCIL DOES NOT HAVE TO COMPARE PAY FF IN 5 CITIES – “MEASURE F” UNENFORCEABLE</w:t>
      </w:r>
    </w:p>
    <w:p w14:paraId="24FCF342" w14:textId="77777777" w:rsidR="00727951" w:rsidRDefault="00727951" w:rsidP="00727951">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March 24, 2022, in </w:t>
      </w:r>
      <w:r w:rsidRPr="00421F16">
        <w:rPr>
          <w:rFonts w:ascii="Times New Roman" w:eastAsia="Times New Roman" w:hAnsi="Times New Roman"/>
          <w:sz w:val="24"/>
          <w:szCs w:val="24"/>
          <w:u w:val="single"/>
        </w:rPr>
        <w:t>Pacifica Firefighters Association v. City of Pacifica</w:t>
      </w:r>
      <w:r>
        <w:rPr>
          <w:rFonts w:ascii="Times New Roman" w:eastAsia="Times New Roman" w:hAnsi="Times New Roman"/>
          <w:sz w:val="24"/>
          <w:szCs w:val="24"/>
        </w:rPr>
        <w:t xml:space="preserve">, the California Court of Appeals, First District (Second Division) held (3 to 0) that the trial court judge properly denied the FF Association’s petition requiring the City to follow “Measure F” after an impasse in negotiations in 2019.  </w:t>
      </w:r>
      <w:hyperlink r:id="rId1174" w:history="1">
        <w:r w:rsidRPr="00B25BE6">
          <w:rPr>
            <w:rStyle w:val="Hyperlink"/>
            <w:rFonts w:ascii="Times New Roman" w:eastAsia="Times New Roman" w:hAnsi="Times New Roman"/>
            <w:sz w:val="24"/>
            <w:szCs w:val="24"/>
          </w:rPr>
          <w:t>https://law.justia.com/cases/california/court-of-appeal/2022/a161575.html</w:t>
        </w:r>
      </w:hyperlink>
      <w:r>
        <w:rPr>
          <w:rFonts w:ascii="Times New Roman" w:eastAsia="Times New Roman" w:hAnsi="Times New Roman"/>
          <w:sz w:val="24"/>
          <w:szCs w:val="24"/>
        </w:rPr>
        <w:t xml:space="preserve"> </w:t>
      </w:r>
    </w:p>
    <w:p w14:paraId="170CDF5B" w14:textId="77777777" w:rsidR="00727951" w:rsidRDefault="00727951" w:rsidP="00727951">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036D7B">
        <w:rPr>
          <w:rFonts w:ascii="Times New Roman" w:hAnsi="Times New Roman"/>
          <w:sz w:val="24"/>
          <w:szCs w:val="24"/>
        </w:rPr>
        <w:t xml:space="preserve">Measure F addresses the compensation of employees in a single city department; the voters sought to ensure that if negotiations failed, firefighters in Pacifica would receive compensation commensurate with that of firefighters in neighboring cities. Laudable as their purpose may have been, the voters were considering one part of a complicated puzzle in isolation. Voters do not have access to the detailed financial information necessary to see the puzzle as a whole and weigh competing demands on a finite city treasury. In specifically directing the </w:t>
      </w:r>
      <w:r>
        <w:rPr>
          <w:rFonts w:ascii="Times New Roman" w:hAnsi="Times New Roman"/>
          <w:sz w:val="24"/>
          <w:szCs w:val="24"/>
        </w:rPr>
        <w:t>‘</w:t>
      </w:r>
      <w:r w:rsidRPr="00036D7B">
        <w:rPr>
          <w:rFonts w:ascii="Times New Roman" w:hAnsi="Times New Roman"/>
          <w:sz w:val="24"/>
          <w:szCs w:val="24"/>
        </w:rPr>
        <w:t>city council</w:t>
      </w:r>
      <w:r>
        <w:rPr>
          <w:rFonts w:ascii="Times New Roman" w:hAnsi="Times New Roman"/>
          <w:sz w:val="24"/>
          <w:szCs w:val="24"/>
        </w:rPr>
        <w:t>’</w:t>
      </w:r>
      <w:r w:rsidRPr="00036D7B">
        <w:rPr>
          <w:rFonts w:ascii="Times New Roman" w:hAnsi="Times New Roman"/>
          <w:sz w:val="24"/>
          <w:szCs w:val="24"/>
        </w:rPr>
        <w:t xml:space="preserve"> to </w:t>
      </w:r>
      <w:r>
        <w:rPr>
          <w:rFonts w:ascii="Times New Roman" w:hAnsi="Times New Roman"/>
          <w:sz w:val="24"/>
          <w:szCs w:val="24"/>
        </w:rPr>
        <w:t>‘</w:t>
      </w:r>
      <w:r w:rsidRPr="00036D7B">
        <w:rPr>
          <w:rFonts w:ascii="Times New Roman" w:hAnsi="Times New Roman"/>
          <w:sz w:val="24"/>
          <w:szCs w:val="24"/>
        </w:rPr>
        <w:t>fix the compensation of all appointive officers and employees</w:t>
      </w:r>
      <w:r>
        <w:rPr>
          <w:rFonts w:ascii="Times New Roman" w:hAnsi="Times New Roman"/>
          <w:sz w:val="24"/>
          <w:szCs w:val="24"/>
        </w:rPr>
        <w:t>’</w:t>
      </w:r>
      <w:r w:rsidRPr="00036D7B">
        <w:rPr>
          <w:rFonts w:ascii="Times New Roman" w:hAnsi="Times New Roman"/>
          <w:sz w:val="24"/>
          <w:szCs w:val="24"/>
        </w:rPr>
        <w:t xml:space="preserve"> (§ 36506), the Legislature must have intended to avoid the disruption to city operations that could result if the electorate could require a general law city to pay its firefighters higher salaries than the city council deemed appropriate by requiring salaries no less than those in another jurisdiction.</w:t>
      </w:r>
      <w:r>
        <w:rPr>
          <w:rFonts w:ascii="Times New Roman" w:hAnsi="Times New Roman"/>
          <w:sz w:val="24"/>
          <w:szCs w:val="24"/>
        </w:rPr>
        <w:t xml:space="preserve"> </w:t>
      </w:r>
      <w:r w:rsidRPr="00036D7B">
        <w:rPr>
          <w:rFonts w:ascii="Times New Roman" w:hAnsi="Times New Roman"/>
          <w:sz w:val="24"/>
          <w:szCs w:val="24"/>
        </w:rPr>
        <w:t xml:space="preserve">We therefore agree with the trial court that Measure F is unenforceable as a usurpation of authority the Legislature granted exclusively to the city </w:t>
      </w:r>
      <w:proofErr w:type="gramStart"/>
      <w:r w:rsidRPr="00036D7B">
        <w:rPr>
          <w:rFonts w:ascii="Times New Roman" w:hAnsi="Times New Roman"/>
          <w:sz w:val="24"/>
          <w:szCs w:val="24"/>
        </w:rPr>
        <w:t>council.</w:t>
      </w:r>
      <w:r>
        <w:rPr>
          <w:rFonts w:ascii="Times New Roman" w:hAnsi="Times New Roman"/>
          <w:sz w:val="24"/>
          <w:szCs w:val="24"/>
        </w:rPr>
        <w:t>”</w:t>
      </w:r>
      <w:proofErr w:type="gramEnd"/>
      <w:r>
        <w:rPr>
          <w:rFonts w:ascii="Times New Roman" w:hAnsi="Times New Roman"/>
          <w:sz w:val="24"/>
          <w:szCs w:val="24"/>
        </w:rPr>
        <w:t xml:space="preserve"> </w:t>
      </w:r>
      <w:hyperlink r:id="rId1175" w:history="1">
        <w:r w:rsidRPr="00B25BE6">
          <w:rPr>
            <w:rStyle w:val="Hyperlink"/>
            <w:rFonts w:ascii="Times New Roman" w:eastAsia="Times New Roman" w:hAnsi="Times New Roman"/>
            <w:sz w:val="24"/>
            <w:szCs w:val="24"/>
          </w:rPr>
          <w:t>https://law.justia.com/cases/california/court-of-appeal/2022/a161575.html</w:t>
        </w:r>
      </w:hyperlink>
      <w:r>
        <w:rPr>
          <w:rFonts w:ascii="Times New Roman" w:eastAsia="Times New Roman" w:hAnsi="Times New Roman"/>
          <w:sz w:val="24"/>
          <w:szCs w:val="24"/>
        </w:rPr>
        <w:t xml:space="preserve"> </w:t>
      </w:r>
    </w:p>
    <w:p w14:paraId="1675592E" w14:textId="77777777" w:rsidR="00727951" w:rsidRDefault="00727951" w:rsidP="00727951">
      <w:pPr>
        <w:spacing w:before="100" w:beforeAutospacing="1" w:after="100" w:afterAutospacing="1" w:line="240" w:lineRule="auto"/>
        <w:rPr>
          <w:rFonts w:ascii="Times New Roman" w:eastAsia="Times New Roman" w:hAnsi="Times New Roman"/>
          <w:b/>
          <w:bCs/>
          <w:sz w:val="24"/>
          <w:szCs w:val="24"/>
        </w:rPr>
      </w:pPr>
      <w:r w:rsidRPr="00036D7B">
        <w:rPr>
          <w:rFonts w:ascii="Times New Roman" w:eastAsia="Times New Roman" w:hAnsi="Times New Roman"/>
          <w:b/>
          <w:bCs/>
          <w:sz w:val="24"/>
          <w:szCs w:val="24"/>
        </w:rPr>
        <w:t xml:space="preserve">Legal Lesson Learned: </w:t>
      </w:r>
      <w:r w:rsidRPr="00DC6AC7">
        <w:rPr>
          <w:rFonts w:ascii="Times New Roman" w:eastAsia="Times New Roman" w:hAnsi="Times New Roman"/>
          <w:b/>
          <w:bCs/>
          <w:sz w:val="24"/>
          <w:szCs w:val="24"/>
        </w:rPr>
        <w:t xml:space="preserve">The </w:t>
      </w:r>
      <w:r>
        <w:rPr>
          <w:rFonts w:ascii="Times New Roman" w:eastAsia="Times New Roman" w:hAnsi="Times New Roman"/>
          <w:b/>
          <w:bCs/>
          <w:sz w:val="24"/>
          <w:szCs w:val="24"/>
        </w:rPr>
        <w:t>California</w:t>
      </w:r>
      <w:r w:rsidRPr="00DC6AC7">
        <w:rPr>
          <w:rFonts w:ascii="Times New Roman" w:eastAsia="Times New Roman" w:hAnsi="Times New Roman"/>
          <w:b/>
          <w:bCs/>
          <w:sz w:val="24"/>
          <w:szCs w:val="24"/>
        </w:rPr>
        <w:t xml:space="preserve"> legislature has enacted procedures when the parties are at an impasse in negotiations</w:t>
      </w:r>
      <w:r>
        <w:rPr>
          <w:rFonts w:ascii="Times New Roman" w:eastAsia="Times New Roman" w:hAnsi="Times New Roman"/>
          <w:b/>
          <w:bCs/>
          <w:sz w:val="24"/>
          <w:szCs w:val="24"/>
        </w:rPr>
        <w:t>, and city voters cannot overturn those provisions.</w:t>
      </w:r>
      <w:r w:rsidRPr="00DC6AC7">
        <w:rPr>
          <w:rFonts w:ascii="Times New Roman" w:eastAsia="Times New Roman" w:hAnsi="Times New Roman"/>
          <w:b/>
          <w:bCs/>
          <w:sz w:val="24"/>
          <w:szCs w:val="24"/>
        </w:rPr>
        <w:t xml:space="preserve"> </w:t>
      </w:r>
    </w:p>
    <w:p w14:paraId="0977A79C" w14:textId="2EEAEB2A" w:rsidR="00727951" w:rsidRDefault="00727951" w:rsidP="00727951">
      <w:pPr>
        <w:rPr>
          <w:rFonts w:ascii="Arial Black" w:hAnsi="Arial Black"/>
          <w:b/>
          <w:sz w:val="24"/>
          <w:szCs w:val="24"/>
        </w:rPr>
      </w:pPr>
      <w:r w:rsidRPr="0039112E">
        <w:rPr>
          <w:rFonts w:ascii="Times New Roman" w:eastAsia="Times New Roman" w:hAnsi="Times New Roman"/>
          <w:sz w:val="24"/>
          <w:szCs w:val="24"/>
        </w:rPr>
        <w:t>Note: “</w:t>
      </w:r>
      <w:r w:rsidRPr="0039112E">
        <w:rPr>
          <w:rFonts w:ascii="Times New Roman" w:hAnsi="Times New Roman"/>
          <w:sz w:val="24"/>
          <w:szCs w:val="24"/>
        </w:rPr>
        <w:t xml:space="preserve">The Meyers-Milias-Brown Act (1968) governs the labor-management relations in California local government, including cities, counties, and most special districts.” </w:t>
      </w:r>
      <w:hyperlink r:id="rId1176" w:history="1">
        <w:r w:rsidRPr="0039112E">
          <w:rPr>
            <w:rStyle w:val="Hyperlink"/>
            <w:rFonts w:ascii="Times New Roman" w:hAnsi="Times New Roman"/>
            <w:sz w:val="24"/>
            <w:szCs w:val="24"/>
          </w:rPr>
          <w:t>https://capeunion.org/contracts/meyers-milias-brown-act</w:t>
        </w:r>
      </w:hyperlink>
    </w:p>
    <w:p w14:paraId="7FBFE8AF" w14:textId="77777777" w:rsidR="00727951" w:rsidRDefault="00727951" w:rsidP="00EF1133">
      <w:pPr>
        <w:rPr>
          <w:rFonts w:ascii="Arial Black" w:hAnsi="Arial Black"/>
          <w:b/>
          <w:sz w:val="24"/>
          <w:szCs w:val="24"/>
        </w:rPr>
      </w:pPr>
    </w:p>
    <w:p w14:paraId="60736E6A" w14:textId="77777777" w:rsidR="00727951" w:rsidRDefault="00727951" w:rsidP="00EF1133">
      <w:pPr>
        <w:rPr>
          <w:rFonts w:ascii="Arial Black" w:hAnsi="Arial Black"/>
          <w:b/>
          <w:sz w:val="24"/>
          <w:szCs w:val="24"/>
        </w:rPr>
      </w:pPr>
    </w:p>
    <w:p w14:paraId="3649F5DE" w14:textId="230CC917" w:rsidR="009A3D9F" w:rsidRDefault="009A3D9F"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7</w:t>
      </w:r>
    </w:p>
    <w:p w14:paraId="35683431" w14:textId="77777777" w:rsidR="009A3D9F" w:rsidRPr="006122C5" w:rsidRDefault="009A3D9F" w:rsidP="009A3D9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STATE “CATASTROPHIC INJURY” BENEFITS – CITY CAN’T DENY TO FF / PD WHO CAN DO “GAINFUL WORK”</w:t>
      </w:r>
    </w:p>
    <w:p w14:paraId="79A7036E" w14:textId="77777777" w:rsidR="009A3D9F" w:rsidRDefault="009A3D9F" w:rsidP="009A3D9F">
      <w:pPr>
        <w:spacing w:before="100" w:beforeAutospacing="1" w:after="100" w:afterAutospacing="1" w:line="240" w:lineRule="auto"/>
        <w:rPr>
          <w:rFonts w:ascii="Times New Roman" w:eastAsia="Times New Roman" w:hAnsi="Times New Roman"/>
          <w:sz w:val="24"/>
          <w:szCs w:val="24"/>
        </w:rPr>
      </w:pPr>
      <w:r w:rsidRPr="004E0E0D">
        <w:rPr>
          <w:rFonts w:ascii="Times New Roman" w:eastAsia="Times New Roman" w:hAnsi="Times New Roman"/>
          <w:sz w:val="24"/>
          <w:szCs w:val="24"/>
        </w:rPr>
        <w:lastRenderedPageBreak/>
        <w:t>On Jan. 21, 2022</w:t>
      </w:r>
      <w:r>
        <w:rPr>
          <w:rFonts w:ascii="Times New Roman" w:eastAsia="Times New Roman" w:hAnsi="Times New Roman"/>
          <w:sz w:val="24"/>
          <w:szCs w:val="24"/>
        </w:rPr>
        <w:t xml:space="preserve">, </w:t>
      </w:r>
      <w:r w:rsidRPr="004E0E0D">
        <w:rPr>
          <w:rFonts w:ascii="Times New Roman" w:eastAsia="Times New Roman" w:hAnsi="Times New Roman"/>
          <w:sz w:val="24"/>
          <w:szCs w:val="24"/>
        </w:rPr>
        <w:t xml:space="preserve">in </w:t>
      </w:r>
      <w:r w:rsidRPr="004E0E0D">
        <w:rPr>
          <w:rFonts w:ascii="Times New Roman" w:eastAsia="Times New Roman" w:hAnsi="Times New Roman"/>
          <w:sz w:val="24"/>
          <w:szCs w:val="24"/>
          <w:u w:val="single"/>
        </w:rPr>
        <w:t>IAFF Local 50 v. The City of Peoria</w:t>
      </w:r>
      <w:r w:rsidRPr="004E0E0D">
        <w:rPr>
          <w:rFonts w:ascii="Times New Roman" w:eastAsia="Times New Roman" w:hAnsi="Times New Roman"/>
          <w:sz w:val="24"/>
          <w:szCs w:val="24"/>
        </w:rPr>
        <w:t>, the Supreme Court of Illinois held (7 to 0)</w:t>
      </w:r>
      <w:r>
        <w:rPr>
          <w:rFonts w:ascii="Times New Roman" w:eastAsia="Times New Roman" w:hAnsi="Times New Roman"/>
          <w:sz w:val="24"/>
          <w:szCs w:val="24"/>
        </w:rPr>
        <w:t>, that the city does not have “home rule” authority to enact an ordinance restricting state pension law for career firefighters and police officers. “</w:t>
      </w:r>
      <w:r w:rsidRPr="00E32542">
        <w:rPr>
          <w:rFonts w:ascii="Times New Roman" w:eastAsia="Times New Roman" w:hAnsi="Times New Roman"/>
          <w:sz w:val="24"/>
          <w:szCs w:val="24"/>
        </w:rPr>
        <w:t>Under the ordinance, if a firefighter can volunteer part-time as a store greeter, he or she will not be considered to have suffered a catastrophic injury-even if that firefighter is not compensated.</w:t>
      </w:r>
      <w:r>
        <w:rPr>
          <w:rFonts w:ascii="Times New Roman" w:eastAsia="Times New Roman" w:hAnsi="Times New Roman"/>
          <w:sz w:val="24"/>
          <w:szCs w:val="24"/>
        </w:rPr>
        <w:t xml:space="preserve">” The Illinois 1997 </w:t>
      </w:r>
      <w:r w:rsidRPr="00302251">
        <w:rPr>
          <w:rFonts w:ascii="Times New Roman" w:eastAsia="Times New Roman" w:hAnsi="Times New Roman"/>
          <w:sz w:val="24"/>
          <w:szCs w:val="24"/>
        </w:rPr>
        <w:t>Public Safety Employee Benefits Act</w:t>
      </w:r>
      <w:r>
        <w:rPr>
          <w:rFonts w:ascii="Times New Roman" w:eastAsia="Times New Roman" w:hAnsi="Times New Roman"/>
          <w:sz w:val="24"/>
          <w:szCs w:val="24"/>
        </w:rPr>
        <w:t xml:space="preserve">, as interpreted by state Supreme Court, covers injured firefighters and police </w:t>
      </w:r>
      <w:proofErr w:type="gramStart"/>
      <w:r>
        <w:rPr>
          <w:rFonts w:ascii="Times New Roman" w:eastAsia="Times New Roman" w:hAnsi="Times New Roman"/>
          <w:sz w:val="24"/>
          <w:szCs w:val="24"/>
        </w:rPr>
        <w:t>who can</w:t>
      </w:r>
      <w:proofErr w:type="gramEnd"/>
      <w:r>
        <w:rPr>
          <w:rFonts w:ascii="Times New Roman" w:eastAsia="Times New Roman" w:hAnsi="Times New Roman"/>
          <w:sz w:val="24"/>
          <w:szCs w:val="24"/>
        </w:rPr>
        <w:t xml:space="preserve"> no longer perform their public safety jobs, but may be able to do other work. Their employer “</w:t>
      </w:r>
      <w:r w:rsidRPr="00BB5C6D">
        <w:rPr>
          <w:rFonts w:ascii="Times New Roman" w:eastAsia="Times New Roman" w:hAnsi="Times New Roman"/>
          <w:sz w:val="24"/>
          <w:szCs w:val="24"/>
        </w:rPr>
        <w:t>shall pay the entire premium of the employer's health insurance plan for the injured employee, the injured employee's spouse, and for each dependent child of the injured employee."</w:t>
      </w:r>
      <w:r>
        <w:rPr>
          <w:rFonts w:ascii="Times New Roman" w:eastAsia="Times New Roman" w:hAnsi="Times New Roman"/>
          <w:sz w:val="24"/>
          <w:szCs w:val="24"/>
        </w:rPr>
        <w:t xml:space="preserve"> </w:t>
      </w:r>
      <w:hyperlink r:id="rId1177" w:history="1">
        <w:r w:rsidRPr="00A83547">
          <w:rPr>
            <w:rStyle w:val="Hyperlink"/>
          </w:rPr>
          <w:t>https://ilcourtsaudio.blob.core.windows.net/antilles-resources/resources/51e43aff-4d85-414d-b8bb-128a5f970896/Int%20Assn%20of%20Fire%20Fighters,%20Local%2050%20v.%20City%20of%20Peoria,%202021%20IL%20127040.pdf</w:t>
        </w:r>
      </w:hyperlink>
    </w:p>
    <w:p w14:paraId="358BF0D0" w14:textId="77777777" w:rsidR="009A3D9F" w:rsidRPr="00302251" w:rsidRDefault="009A3D9F" w:rsidP="009A3D9F">
      <w:pPr>
        <w:spacing w:before="100" w:beforeAutospacing="1" w:after="100" w:afterAutospacing="1" w:line="240" w:lineRule="auto"/>
        <w:rPr>
          <w:rFonts w:ascii="Times New Roman" w:eastAsia="Times New Roman" w:hAnsi="Times New Roman"/>
          <w:b/>
          <w:bCs/>
          <w:sz w:val="24"/>
          <w:szCs w:val="24"/>
        </w:rPr>
      </w:pPr>
      <w:r w:rsidRPr="00A62F01">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 Court prevented this “Home Rule” city from seeking to avoid financial obligations under the state statute.</w:t>
      </w:r>
    </w:p>
    <w:p w14:paraId="45930D0B" w14:textId="77777777" w:rsidR="009A3D9F" w:rsidRDefault="009A3D9F" w:rsidP="00EF1133">
      <w:pPr>
        <w:rPr>
          <w:rFonts w:ascii="Arial Black" w:hAnsi="Arial Black"/>
          <w:b/>
          <w:sz w:val="24"/>
          <w:szCs w:val="24"/>
        </w:rPr>
      </w:pPr>
    </w:p>
    <w:p w14:paraId="577D9922" w14:textId="77777777" w:rsidR="009A3D9F" w:rsidRDefault="009A3D9F" w:rsidP="00EF1133">
      <w:pPr>
        <w:rPr>
          <w:rFonts w:ascii="Arial Black" w:hAnsi="Arial Black"/>
          <w:b/>
          <w:sz w:val="24"/>
          <w:szCs w:val="24"/>
        </w:rPr>
      </w:pPr>
    </w:p>
    <w:p w14:paraId="1E5CDFAB" w14:textId="023C63E4" w:rsidR="00433119" w:rsidRDefault="00433119"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6</w:t>
      </w:r>
    </w:p>
    <w:p w14:paraId="1CCC98C0" w14:textId="77777777" w:rsidR="00433119" w:rsidRDefault="00433119" w:rsidP="00433119">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IL: PENSION - INJURED MOVING WATERBOTTLES AT STATION – FF GETS PENSION FOR “ACT OF DUTY” INJURIES </w:t>
      </w:r>
    </w:p>
    <w:p w14:paraId="700CAF20" w14:textId="77777777" w:rsidR="00433119" w:rsidRDefault="00433119" w:rsidP="00433119">
      <w:pPr>
        <w:spacing w:before="100" w:beforeAutospacing="1" w:after="100" w:afterAutospacing="1" w:line="240" w:lineRule="auto"/>
        <w:rPr>
          <w:rFonts w:ascii="Times New Roman" w:eastAsia="Times New Roman" w:hAnsi="Times New Roman"/>
          <w:sz w:val="24"/>
          <w:szCs w:val="24"/>
        </w:rPr>
      </w:pPr>
      <w:r w:rsidRPr="00945A33">
        <w:rPr>
          <w:rFonts w:ascii="Times New Roman" w:eastAsia="Times New Roman" w:hAnsi="Times New Roman"/>
          <w:sz w:val="24"/>
          <w:szCs w:val="24"/>
        </w:rPr>
        <w:t xml:space="preserve">On </w:t>
      </w:r>
      <w:r>
        <w:rPr>
          <w:rFonts w:ascii="Times New Roman" w:eastAsia="Times New Roman" w:hAnsi="Times New Roman"/>
          <w:sz w:val="24"/>
          <w:szCs w:val="24"/>
        </w:rPr>
        <w:t xml:space="preserve">Dec. 28, 2021, in </w:t>
      </w:r>
      <w:r w:rsidRPr="00945A33">
        <w:rPr>
          <w:rFonts w:ascii="Times New Roman" w:eastAsia="Times New Roman" w:hAnsi="Times New Roman"/>
          <w:sz w:val="24"/>
          <w:szCs w:val="24"/>
          <w:u w:val="single"/>
        </w:rPr>
        <w:t>The Village of Roselle v. The Board of Trustees of the Roselle Firefighters’ Pension Fund, and Ryan Case</w:t>
      </w:r>
      <w:r>
        <w:rPr>
          <w:rFonts w:ascii="Times New Roman" w:eastAsia="Times New Roman" w:hAnsi="Times New Roman"/>
          <w:sz w:val="24"/>
          <w:szCs w:val="24"/>
        </w:rPr>
        <w:t xml:space="preserve">, the Court of Appeals of Illinois, Second District, held (3 to 0) that the Circuit Court judge had improperly reversed the Board of </w:t>
      </w:r>
      <w:proofErr w:type="gramStart"/>
      <w:r>
        <w:rPr>
          <w:rFonts w:ascii="Times New Roman" w:eastAsia="Times New Roman" w:hAnsi="Times New Roman"/>
          <w:sz w:val="24"/>
          <w:szCs w:val="24"/>
        </w:rPr>
        <w:t>Trustees</w:t>
      </w:r>
      <w:proofErr w:type="gramEnd"/>
      <w:r>
        <w:rPr>
          <w:rFonts w:ascii="Times New Roman" w:eastAsia="Times New Roman" w:hAnsi="Times New Roman"/>
          <w:sz w:val="24"/>
          <w:szCs w:val="24"/>
        </w:rPr>
        <w:t xml:space="preserve"> decision, and firefighter Ryan Case is entitled to a disability pension.  His failure to inform the Village of prior back problems when working at four prior fire department is not a defense; it was the back injury on Sept. 18, </w:t>
      </w:r>
      <w:proofErr w:type="gramStart"/>
      <w:r>
        <w:rPr>
          <w:rFonts w:ascii="Times New Roman" w:eastAsia="Times New Roman" w:hAnsi="Times New Roman"/>
          <w:sz w:val="24"/>
          <w:szCs w:val="24"/>
        </w:rPr>
        <w:t>2016</w:t>
      </w:r>
      <w:proofErr w:type="gramEnd"/>
      <w:r>
        <w:rPr>
          <w:rFonts w:ascii="Times New Roman" w:eastAsia="Times New Roman" w:hAnsi="Times New Roman"/>
          <w:sz w:val="24"/>
          <w:szCs w:val="24"/>
        </w:rPr>
        <w:t xml:space="preserve"> when moving the bottles which led to the disability</w:t>
      </w:r>
    </w:p>
    <w:p w14:paraId="567D37A5" w14:textId="31A7535D" w:rsidR="00433119" w:rsidRDefault="00433119" w:rsidP="00433119">
      <w:pPr>
        <w:ind w:left="720"/>
        <w:rPr>
          <w:rFonts w:ascii="Arial Black" w:hAnsi="Arial Black"/>
          <w:b/>
          <w:sz w:val="24"/>
          <w:szCs w:val="24"/>
        </w:rPr>
      </w:pPr>
      <w:r>
        <w:rPr>
          <w:rFonts w:ascii="Times New Roman" w:eastAsia="Times New Roman" w:hAnsi="Times New Roman"/>
          <w:sz w:val="24"/>
          <w:szCs w:val="24"/>
        </w:rPr>
        <w:t>“</w:t>
      </w:r>
      <w:r w:rsidRPr="00526A4D">
        <w:rPr>
          <w:rFonts w:ascii="Times New Roman" w:eastAsia="Times New Roman" w:hAnsi="Times New Roman"/>
          <w:sz w:val="24"/>
          <w:szCs w:val="24"/>
        </w:rPr>
        <w:t xml:space="preserve">As for the Village's assertion that the Board applied too broad a definition of </w:t>
      </w:r>
      <w:r>
        <w:rPr>
          <w:rFonts w:ascii="Times New Roman" w:eastAsia="Times New Roman" w:hAnsi="Times New Roman"/>
          <w:sz w:val="24"/>
          <w:szCs w:val="24"/>
        </w:rPr>
        <w:t>‘</w:t>
      </w:r>
      <w:r w:rsidRPr="00526A4D">
        <w:rPr>
          <w:rFonts w:ascii="Times New Roman" w:eastAsia="Times New Roman" w:hAnsi="Times New Roman"/>
          <w:sz w:val="24"/>
          <w:szCs w:val="24"/>
        </w:rPr>
        <w:t>act of duty,</w:t>
      </w:r>
      <w:r>
        <w:rPr>
          <w:rFonts w:ascii="Times New Roman" w:eastAsia="Times New Roman" w:hAnsi="Times New Roman"/>
          <w:sz w:val="24"/>
          <w:szCs w:val="24"/>
        </w:rPr>
        <w:t>’</w:t>
      </w:r>
      <w:r w:rsidRPr="00526A4D">
        <w:rPr>
          <w:rFonts w:ascii="Times New Roman" w:eastAsia="Times New Roman" w:hAnsi="Times New Roman"/>
          <w:sz w:val="24"/>
          <w:szCs w:val="24"/>
        </w:rPr>
        <w:t xml:space="preserve"> that complaint is more properly directed at the General Assembly, which chose to define the term</w:t>
      </w:r>
      <w:r w:rsidRPr="00945A33">
        <w:rPr>
          <w:rFonts w:ascii="Times New Roman" w:eastAsia="Times New Roman" w:hAnsi="Times New Roman"/>
          <w:sz w:val="24"/>
          <w:szCs w:val="24"/>
        </w:rPr>
        <w:t xml:space="preserve"> </w:t>
      </w:r>
      <w:r w:rsidRPr="00526A4D">
        <w:rPr>
          <w:rFonts w:ascii="Times New Roman" w:eastAsia="Times New Roman" w:hAnsi="Times New Roman"/>
          <w:sz w:val="24"/>
          <w:szCs w:val="24"/>
        </w:rPr>
        <w:t>broadly. The Board's duty was not to craft its own, narrower definition but to apply the definition provided in the Code. The Board did just that, and we find no error in its decision.</w:t>
      </w:r>
      <w:r>
        <w:rPr>
          <w:rFonts w:ascii="Times New Roman" w:eastAsia="Times New Roman" w:hAnsi="Times New Roman"/>
          <w:sz w:val="24"/>
          <w:szCs w:val="24"/>
        </w:rPr>
        <w:t xml:space="preserve">”  </w:t>
      </w:r>
      <w:hyperlink r:id="rId1178" w:history="1">
        <w:r w:rsidRPr="00EC5853">
          <w:rPr>
            <w:rStyle w:val="Hyperlink"/>
            <w:rFonts w:ascii="Times New Roman" w:eastAsia="Times New Roman" w:hAnsi="Times New Roman"/>
            <w:sz w:val="24"/>
            <w:szCs w:val="24"/>
          </w:rPr>
          <w:t>https://ilcourtsaudio.blob.core.windows.net/antilles-resources/resources/2cab1835-a4bd-4f15-be52-5bbea6ed2024/Roselle%20v.%20BOT%20of%20the%20Roselle%20Firefighters%20Pension%20Fund,%202021%20IL%20App%20(2d)%20200360.pdf</w:t>
        </w:r>
      </w:hyperlink>
    </w:p>
    <w:p w14:paraId="2BBAF51B" w14:textId="77777777" w:rsidR="00433119" w:rsidRPr="00FB5E08" w:rsidRDefault="00433119" w:rsidP="00433119">
      <w:pPr>
        <w:spacing w:before="100" w:beforeAutospacing="1" w:after="100" w:afterAutospacing="1" w:line="240" w:lineRule="auto"/>
        <w:rPr>
          <w:rFonts w:ascii="Times New Roman" w:eastAsia="Times New Roman" w:hAnsi="Times New Roman"/>
          <w:b/>
          <w:bCs/>
          <w:sz w:val="24"/>
          <w:szCs w:val="24"/>
        </w:rPr>
      </w:pPr>
      <w:r w:rsidRPr="00FB5E08">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To avoid “surprises” concerning medical conditions of new hires, Fire Departments can (1) require release of prior medical records, and (2) condition hiring on passing medical examination.  </w:t>
      </w:r>
    </w:p>
    <w:p w14:paraId="71013C7A" w14:textId="77777777" w:rsidR="00433119" w:rsidRDefault="00433119" w:rsidP="00EF1133">
      <w:pPr>
        <w:rPr>
          <w:rFonts w:ascii="Arial Black" w:hAnsi="Arial Black"/>
          <w:b/>
          <w:sz w:val="24"/>
          <w:szCs w:val="24"/>
        </w:rPr>
      </w:pPr>
    </w:p>
    <w:p w14:paraId="1C27CF9C" w14:textId="2C99124D" w:rsidR="00433119" w:rsidRDefault="00433119"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5</w:t>
      </w:r>
    </w:p>
    <w:p w14:paraId="0D58B441" w14:textId="77777777" w:rsidR="00433119" w:rsidRPr="00635F06" w:rsidRDefault="00433119" w:rsidP="00433119">
      <w:pPr>
        <w:spacing w:before="100" w:beforeAutospacing="1" w:after="100" w:afterAutospacing="1" w:line="240" w:lineRule="auto"/>
        <w:rPr>
          <w:rFonts w:ascii="Arial Black" w:hAnsi="Arial Black"/>
          <w:sz w:val="28"/>
          <w:szCs w:val="28"/>
        </w:rPr>
      </w:pPr>
      <w:r>
        <w:rPr>
          <w:rFonts w:ascii="Arial Black" w:hAnsi="Arial Black"/>
          <w:sz w:val="28"/>
          <w:szCs w:val="28"/>
        </w:rPr>
        <w:t>IL: INJURED CHICAGO FFs PENSION - FREE AGE 65 – THEN MUST USE MEDICARE – PAY FOR ANY SUPPLEMENTAL</w:t>
      </w:r>
    </w:p>
    <w:p w14:paraId="1F07CA27" w14:textId="77777777" w:rsidR="00433119" w:rsidRPr="00FA3336" w:rsidRDefault="00433119" w:rsidP="00433119">
      <w:pPr>
        <w:spacing w:before="100" w:beforeAutospacing="1" w:after="100" w:afterAutospacing="1" w:line="240" w:lineRule="auto"/>
        <w:rPr>
          <w:rFonts w:ascii="Times New Roman" w:hAnsi="Times New Roman"/>
          <w:sz w:val="24"/>
          <w:szCs w:val="24"/>
        </w:rPr>
      </w:pPr>
      <w:r>
        <w:rPr>
          <w:rFonts w:ascii="Times New Roman" w:hAnsi="Times New Roman"/>
          <w:sz w:val="24"/>
          <w:szCs w:val="24"/>
        </w:rPr>
        <w:lastRenderedPageBreak/>
        <w:t xml:space="preserve">On Dec. 23, 2021, in </w:t>
      </w:r>
      <w:r w:rsidRPr="0089175F">
        <w:rPr>
          <w:rFonts w:ascii="Times New Roman" w:hAnsi="Times New Roman"/>
          <w:sz w:val="24"/>
          <w:szCs w:val="24"/>
          <w:u w:val="single"/>
        </w:rPr>
        <w:t>Thomas Barry, et al. v. City of Chicago</w:t>
      </w:r>
      <w:r>
        <w:rPr>
          <w:rFonts w:ascii="Times New Roman" w:hAnsi="Times New Roman"/>
          <w:sz w:val="24"/>
          <w:szCs w:val="24"/>
        </w:rPr>
        <w:t xml:space="preserve">, the Court of Appeals of Illinois, First District (Fourth Division) held (3 to 0) that the City’s obligation to provide premium-free participation in its group plan for active-duty firefighters ended when the plaintiffs became eligible for Medicare. Unfortunately, the </w:t>
      </w:r>
      <w:proofErr w:type="gramStart"/>
      <w:r w:rsidRPr="00FA3336">
        <w:rPr>
          <w:rFonts w:ascii="Times New Roman" w:hAnsi="Times New Roman"/>
          <w:sz w:val="24"/>
          <w:szCs w:val="24"/>
        </w:rPr>
        <w:t>City</w:t>
      </w:r>
      <w:proofErr w:type="gramEnd"/>
      <w:r w:rsidRPr="00FA3336">
        <w:rPr>
          <w:rFonts w:ascii="Times New Roman" w:hAnsi="Times New Roman"/>
          <w:sz w:val="24"/>
          <w:szCs w:val="24"/>
        </w:rPr>
        <w:t xml:space="preserve"> </w:t>
      </w:r>
      <w:r>
        <w:rPr>
          <w:rFonts w:ascii="Times New Roman" w:hAnsi="Times New Roman"/>
          <w:sz w:val="24"/>
          <w:szCs w:val="24"/>
        </w:rPr>
        <w:t xml:space="preserve">had also </w:t>
      </w:r>
      <w:r w:rsidRPr="00FA3336">
        <w:rPr>
          <w:rFonts w:ascii="Times New Roman" w:hAnsi="Times New Roman"/>
          <w:sz w:val="24"/>
          <w:szCs w:val="24"/>
        </w:rPr>
        <w:t>allowed plaintiffs to participate in its Medicare supplement retiree health care plan until that plan was discontinued in December 2016.</w:t>
      </w:r>
    </w:p>
    <w:p w14:paraId="08E2F7EA" w14:textId="77777777" w:rsidR="00433119" w:rsidRPr="00635F06" w:rsidRDefault="00433119" w:rsidP="00433119">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635F06">
        <w:rPr>
          <w:rFonts w:ascii="Times New Roman" w:eastAsia="Times New Roman" w:hAnsi="Times New Roman"/>
          <w:sz w:val="24"/>
          <w:szCs w:val="24"/>
        </w:rPr>
        <w:t xml:space="preserve">We reject plaintiffs' argument that the Act guarantees lifetime premium-free health insurance under the City's group plan because the Act neither references Medicare nor states that benefits cease at a certain age. This argument seeks to add words to the Act that the legislature did not use and fails to </w:t>
      </w:r>
      <w:proofErr w:type="gramStart"/>
      <w:r w:rsidRPr="00635F06">
        <w:rPr>
          <w:rFonts w:ascii="Times New Roman" w:eastAsia="Times New Roman" w:hAnsi="Times New Roman"/>
          <w:sz w:val="24"/>
          <w:szCs w:val="24"/>
        </w:rPr>
        <w:t>construe</w:t>
      </w:r>
      <w:proofErr w:type="gramEnd"/>
      <w:r w:rsidRPr="00635F06">
        <w:rPr>
          <w:rFonts w:ascii="Times New Roman" w:eastAsia="Times New Roman" w:hAnsi="Times New Roman"/>
          <w:sz w:val="24"/>
          <w:szCs w:val="24"/>
        </w:rPr>
        <w:t xml:space="preserve"> the entire statute coherently. Although the Act does guarantee that injured firefighters will always have some type of health insurance coverage, whether from their former employer or another source like Medicare, the Act never states that premium-free coverage under the employer's group plan must last a lifetime. </w:t>
      </w:r>
      <w:r w:rsidRPr="00635F06">
        <w:rPr>
          <w:rFonts w:ascii="Times New Roman" w:hAnsi="Times New Roman"/>
          <w:sz w:val="24"/>
          <w:szCs w:val="24"/>
        </w:rPr>
        <w:t>Instead, section 10(a)(1) of the Act explicitly limits the employer's obligation to pay premiums for its group health insurance plan when benefits are payable from any other source. The public employer's obligation to pay the premiums is not reduced based on the beneficiaries' age per se but rather based on the existence of benefits payable "from any other source." 820 ILCS 320/10(a)(1) (West 2018).</w:t>
      </w:r>
      <w:r>
        <w:rPr>
          <w:rFonts w:ascii="Times New Roman" w:hAnsi="Times New Roman"/>
          <w:sz w:val="24"/>
          <w:szCs w:val="24"/>
        </w:rPr>
        <w:t xml:space="preserve">” </w:t>
      </w:r>
      <w:hyperlink r:id="rId1179" w:history="1">
        <w:r w:rsidRPr="00EC5853">
          <w:rPr>
            <w:rStyle w:val="Hyperlink"/>
            <w:rFonts w:ascii="Times New Roman" w:hAnsi="Times New Roman"/>
            <w:sz w:val="24"/>
            <w:szCs w:val="24"/>
          </w:rPr>
          <w:t>https://casetext.com/case/barry-v-the-city-of-chicago</w:t>
        </w:r>
      </w:hyperlink>
      <w:r>
        <w:rPr>
          <w:rFonts w:ascii="Times New Roman" w:hAnsi="Times New Roman"/>
          <w:sz w:val="24"/>
          <w:szCs w:val="24"/>
        </w:rPr>
        <w:t xml:space="preserve"> </w:t>
      </w:r>
    </w:p>
    <w:p w14:paraId="3A68F6F5" w14:textId="77777777" w:rsidR="00433119" w:rsidRDefault="00433119" w:rsidP="00433119">
      <w:pPr>
        <w:spacing w:before="100" w:beforeAutospacing="1" w:after="100" w:afterAutospacing="1" w:line="240" w:lineRule="auto"/>
        <w:rPr>
          <w:rFonts w:ascii="Times New Roman" w:eastAsia="Times New Roman" w:hAnsi="Times New Roman"/>
          <w:b/>
          <w:bCs/>
          <w:sz w:val="24"/>
          <w:szCs w:val="24"/>
        </w:rPr>
      </w:pPr>
      <w:r w:rsidRPr="00C10A06">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 The medically retired firefighters must pay for Medicare supplemental retiree health care insurance.  </w:t>
      </w:r>
    </w:p>
    <w:p w14:paraId="431A8464" w14:textId="77777777" w:rsidR="00433119" w:rsidRDefault="00433119" w:rsidP="00EF1133">
      <w:pPr>
        <w:rPr>
          <w:rFonts w:ascii="Arial Black" w:hAnsi="Arial Black"/>
          <w:b/>
          <w:sz w:val="24"/>
          <w:szCs w:val="24"/>
        </w:rPr>
      </w:pPr>
    </w:p>
    <w:p w14:paraId="0D3FC633" w14:textId="75CC3222" w:rsidR="00433119" w:rsidRDefault="00433119"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4</w:t>
      </w:r>
    </w:p>
    <w:p w14:paraId="7A128F32" w14:textId="77777777" w:rsidR="00433119" w:rsidRPr="005B2B58" w:rsidRDefault="00433119" w:rsidP="00433119">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PA: ASTHMA / LUNG ISSUES - 11 YEARS FIRE SCENES PHOTOS - WORKERS COMP IF CAN PROVE JOB CAUSED</w:t>
      </w:r>
    </w:p>
    <w:p w14:paraId="350C6707" w14:textId="77777777" w:rsidR="00433119" w:rsidRPr="0096799C" w:rsidRDefault="00433119" w:rsidP="00433119">
      <w:pPr>
        <w:rPr>
          <w:rFonts w:ascii="Times New Roman" w:hAnsi="Times New Roman"/>
          <w:sz w:val="24"/>
          <w:szCs w:val="24"/>
        </w:rPr>
      </w:pPr>
      <w:r w:rsidRPr="0096799C">
        <w:rPr>
          <w:rFonts w:ascii="Times New Roman" w:hAnsi="Times New Roman"/>
          <w:sz w:val="24"/>
          <w:szCs w:val="24"/>
        </w:rPr>
        <w:t xml:space="preserve">On Dec. 23, 2021, in </w:t>
      </w:r>
      <w:r w:rsidRPr="0096799C">
        <w:rPr>
          <w:rFonts w:ascii="Times New Roman" w:hAnsi="Times New Roman"/>
          <w:sz w:val="24"/>
          <w:szCs w:val="24"/>
          <w:u w:val="single"/>
        </w:rPr>
        <w:t xml:space="preserve">Peter </w:t>
      </w:r>
      <w:proofErr w:type="spellStart"/>
      <w:r w:rsidRPr="0096799C">
        <w:rPr>
          <w:rFonts w:ascii="Times New Roman" w:hAnsi="Times New Roman"/>
          <w:sz w:val="24"/>
          <w:szCs w:val="24"/>
          <w:u w:val="single"/>
        </w:rPr>
        <w:t>DiLaqua</w:t>
      </w:r>
      <w:proofErr w:type="spellEnd"/>
      <w:r w:rsidRPr="0096799C">
        <w:rPr>
          <w:rFonts w:ascii="Times New Roman" w:hAnsi="Times New Roman"/>
          <w:sz w:val="24"/>
          <w:szCs w:val="24"/>
          <w:u w:val="single"/>
        </w:rPr>
        <w:t xml:space="preserve"> v. City of Philadelphia Fire Department</w:t>
      </w:r>
      <w:r w:rsidRPr="0096799C">
        <w:rPr>
          <w:rFonts w:ascii="Times New Roman" w:hAnsi="Times New Roman"/>
          <w:sz w:val="24"/>
          <w:szCs w:val="24"/>
        </w:rPr>
        <w:t xml:space="preserve">, the Commonwealth Court of Pennsylvania held (3 to 0) that the firefighters’ claim is remanded for further evidence to be presented to the Workers Comp Judge; the court reversed the Workers’ Compensation Review Board that had overturned the WCJ’s finding that the firefighter’s asthma and RADS (Reactive Airways Dysfunction Syndrome) were job related. </w:t>
      </w:r>
    </w:p>
    <w:p w14:paraId="78F8C10A" w14:textId="37D946BE" w:rsidR="00433119" w:rsidRDefault="00433119" w:rsidP="00433119">
      <w:pPr>
        <w:ind w:left="720"/>
        <w:rPr>
          <w:rFonts w:ascii="Arial Black" w:hAnsi="Arial Black"/>
          <w:b/>
          <w:sz w:val="24"/>
          <w:szCs w:val="24"/>
        </w:rPr>
      </w:pPr>
      <w:r>
        <w:rPr>
          <w:rFonts w:ascii="Times New Roman" w:hAnsi="Times New Roman"/>
          <w:sz w:val="24"/>
          <w:szCs w:val="24"/>
        </w:rPr>
        <w:t>“</w:t>
      </w:r>
      <w:r w:rsidRPr="00AE0D89">
        <w:rPr>
          <w:rFonts w:ascii="Times New Roman" w:hAnsi="Times New Roman"/>
          <w:sz w:val="24"/>
          <w:szCs w:val="24"/>
        </w:rPr>
        <w:t>At the WCJ hearings, Claimant testified</w:t>
      </w:r>
      <w:r>
        <w:rPr>
          <w:rFonts w:ascii="Times New Roman" w:hAnsi="Times New Roman"/>
          <w:sz w:val="24"/>
          <w:szCs w:val="24"/>
          <w:vertAlign w:val="superscript"/>
        </w:rPr>
        <w:t xml:space="preserve"> </w:t>
      </w:r>
      <w:r w:rsidRPr="00AE0D89">
        <w:rPr>
          <w:rFonts w:ascii="Times New Roman" w:hAnsi="Times New Roman"/>
          <w:sz w:val="24"/>
          <w:szCs w:val="24"/>
        </w:rPr>
        <w:t>that, although Employer provided respiratory protection equipment when he fought fires for the first two years of his employment, Employer did not provide such equipment when he photographed fire scenes for the VCU</w:t>
      </w:r>
      <w:r>
        <w:rPr>
          <w:rFonts w:ascii="Times New Roman" w:hAnsi="Times New Roman"/>
          <w:sz w:val="24"/>
          <w:szCs w:val="24"/>
        </w:rPr>
        <w:t xml:space="preserve"> </w:t>
      </w:r>
      <w:r w:rsidRPr="00AE0D89">
        <w:rPr>
          <w:rFonts w:ascii="Times New Roman" w:hAnsi="Times New Roman"/>
          <w:sz w:val="24"/>
          <w:szCs w:val="24"/>
        </w:rPr>
        <w:t>[Visual Communication Unit ]….</w:t>
      </w:r>
      <w:r>
        <w:t xml:space="preserve"> </w:t>
      </w:r>
      <w:r w:rsidRPr="00AE0D89">
        <w:rPr>
          <w:rFonts w:ascii="Times New Roman" w:hAnsi="Times New Roman"/>
          <w:sz w:val="24"/>
          <w:szCs w:val="24"/>
        </w:rPr>
        <w:t>Claimant estimated that he photographed 8 to 10 multiple-alarm fires per year and, over time, he photographed 50 to 70 rooms where deaths occurred</w:t>
      </w:r>
      <w:r>
        <w:rPr>
          <w:rFonts w:ascii="Times New Roman" w:hAnsi="Times New Roman"/>
          <w:sz w:val="24"/>
          <w:szCs w:val="24"/>
        </w:rPr>
        <w:t xml:space="preserve">…. </w:t>
      </w:r>
      <w:r w:rsidRPr="00AE0D89">
        <w:rPr>
          <w:rFonts w:ascii="Times New Roman" w:hAnsi="Times New Roman"/>
          <w:sz w:val="24"/>
          <w:szCs w:val="24"/>
        </w:rPr>
        <w:t>Claimant explained that, for multiple alarm fires, he would be at a scene for 8 to 10 hours and, relative to death investigations, he would be at a fire scene for at least 6 hours</w:t>
      </w:r>
      <w:r>
        <w:rPr>
          <w:rFonts w:ascii="Times New Roman" w:hAnsi="Times New Roman"/>
          <w:sz w:val="24"/>
          <w:szCs w:val="24"/>
        </w:rPr>
        <w:t xml:space="preserve">…. </w:t>
      </w:r>
      <w:r w:rsidRPr="00AE0D89">
        <w:rPr>
          <w:rFonts w:ascii="Times New Roman" w:hAnsi="Times New Roman"/>
          <w:sz w:val="24"/>
          <w:szCs w:val="24"/>
        </w:rPr>
        <w:t>Here, key to the Board's and this Court's review is whether Claimant proved his entitlement to WC benefits. Specifically, whether he proved the injury he alleged in the Claim Petition, and whether it was causally related to his employment (or he was entitled to the Presumption). Because those issues cannot be resolved by this Court, this matter must be remanded to the Board and the WCJ for application of the correct legal principles.</w:t>
      </w:r>
      <w:r>
        <w:rPr>
          <w:rFonts w:ascii="Times New Roman" w:hAnsi="Times New Roman"/>
          <w:sz w:val="24"/>
          <w:szCs w:val="24"/>
        </w:rPr>
        <w:t xml:space="preserve">” </w:t>
      </w:r>
      <w:hyperlink r:id="rId1180" w:history="1">
        <w:r w:rsidRPr="00EC5853">
          <w:rPr>
            <w:rStyle w:val="Hyperlink"/>
            <w:rFonts w:ascii="Times New Roman" w:hAnsi="Times New Roman"/>
            <w:sz w:val="24"/>
            <w:szCs w:val="24"/>
          </w:rPr>
          <w:t>https://casetext.com/case/dilaqua-v-city-of-philadelphia-fire-dept-workers-comp-appeal-board</w:t>
        </w:r>
      </w:hyperlink>
    </w:p>
    <w:p w14:paraId="3F2F2D5D" w14:textId="77777777" w:rsidR="00433119" w:rsidRPr="00927BF6" w:rsidRDefault="00433119" w:rsidP="00433119">
      <w:pPr>
        <w:pStyle w:val="NormalWeb"/>
        <w:rPr>
          <w:b/>
          <w:bCs/>
        </w:rPr>
      </w:pPr>
      <w:r w:rsidRPr="00927BF6">
        <w:rPr>
          <w:b/>
          <w:bCs/>
        </w:rPr>
        <w:lastRenderedPageBreak/>
        <w:t>Legal Lesson Learned:</w:t>
      </w:r>
      <w:r>
        <w:rPr>
          <w:b/>
          <w:bCs/>
        </w:rPr>
        <w:t xml:space="preserve"> PA has a helpful statutory presumption for diseases of lungs for </w:t>
      </w:r>
      <w:proofErr w:type="gramStart"/>
      <w:r>
        <w:rPr>
          <w:b/>
          <w:bCs/>
        </w:rPr>
        <w:t>firefighter</w:t>
      </w:r>
      <w:proofErr w:type="gramEnd"/>
      <w:r>
        <w:rPr>
          <w:b/>
          <w:bCs/>
        </w:rPr>
        <w:t xml:space="preserve"> with four or more years of service. </w:t>
      </w:r>
    </w:p>
    <w:p w14:paraId="0FEC2BC5" w14:textId="77777777" w:rsidR="00433119" w:rsidRDefault="00433119" w:rsidP="00433119">
      <w:pPr>
        <w:ind w:left="720"/>
        <w:rPr>
          <w:rFonts w:ascii="Times New Roman" w:hAnsi="Times New Roman"/>
          <w:sz w:val="24"/>
          <w:szCs w:val="24"/>
        </w:rPr>
      </w:pPr>
      <w:r>
        <w:rPr>
          <w:rFonts w:ascii="Times New Roman" w:hAnsi="Times New Roman"/>
          <w:sz w:val="24"/>
          <w:szCs w:val="24"/>
        </w:rPr>
        <w:t xml:space="preserve">Note:  See Ohio Revised Code 742.38, statutory presumption: </w:t>
      </w:r>
      <w:hyperlink r:id="rId1181" w:history="1">
        <w:r w:rsidRPr="001E7A1B">
          <w:rPr>
            <w:rStyle w:val="Hyperlink"/>
            <w:rFonts w:ascii="Times New Roman" w:hAnsi="Times New Roman"/>
            <w:sz w:val="24"/>
            <w:szCs w:val="24"/>
          </w:rPr>
          <w:t>https://codes.ohio.gov/ohio-revised-code/section-742.38</w:t>
        </w:r>
      </w:hyperlink>
      <w:r>
        <w:rPr>
          <w:rFonts w:ascii="Times New Roman" w:hAnsi="Times New Roman"/>
          <w:sz w:val="24"/>
          <w:szCs w:val="24"/>
        </w:rPr>
        <w:t xml:space="preserve"> </w:t>
      </w:r>
    </w:p>
    <w:p w14:paraId="7257D604" w14:textId="77777777" w:rsidR="00433119" w:rsidRPr="00971F78" w:rsidRDefault="00433119" w:rsidP="00433119">
      <w:pPr>
        <w:ind w:left="1440"/>
        <w:rPr>
          <w:rFonts w:ascii="Times New Roman" w:hAnsi="Times New Roman"/>
          <w:b/>
          <w:bCs/>
          <w:sz w:val="24"/>
          <w:szCs w:val="24"/>
        </w:rPr>
      </w:pPr>
      <w:r w:rsidRPr="00971F78">
        <w:rPr>
          <w:rFonts w:ascii="Times New Roman" w:hAnsi="Times New Roman"/>
          <w:sz w:val="24"/>
          <w:szCs w:val="24"/>
        </w:rPr>
        <w:t>(3)(a) A member of the fund [Ohio police and fire pension fund]</w:t>
      </w:r>
      <w:r>
        <w:t xml:space="preserve"> </w:t>
      </w:r>
      <w:r w:rsidRPr="00971F78">
        <w:rPr>
          <w:rFonts w:ascii="Times New Roman" w:hAnsi="Times New Roman"/>
          <w:sz w:val="24"/>
          <w:szCs w:val="24"/>
        </w:rPr>
        <w:t xml:space="preserve">who is permanently disabled as a result of heart disease or any cardiovascular or respiratory disease of a chronic nature, which disease or any evidence of which disease was not revealed by the physical examination passed by the member on entry into the department or another examination specified in rules the board adopts under section </w:t>
      </w:r>
      <w:hyperlink r:id="rId1182" w:history="1">
        <w:r w:rsidRPr="00971F78">
          <w:rPr>
            <w:rStyle w:val="Hyperlink"/>
            <w:rFonts w:ascii="Times New Roman" w:hAnsi="Times New Roman"/>
            <w:sz w:val="24"/>
            <w:szCs w:val="24"/>
          </w:rPr>
          <w:t>742.10</w:t>
        </w:r>
      </w:hyperlink>
      <w:r w:rsidRPr="00971F78">
        <w:rPr>
          <w:rFonts w:ascii="Times New Roman" w:hAnsi="Times New Roman"/>
          <w:sz w:val="24"/>
          <w:szCs w:val="24"/>
        </w:rPr>
        <w:t xml:space="preserve"> of the Revised Code, is presumed to have incurred the disease while performing the member's official duties, unless the contrary is shown by competent evidence. The board may waive the requirement that the absence of disease be evidenced by a physical examination if competent medical evidence of a type specified in rules adopted under section </w:t>
      </w:r>
      <w:hyperlink r:id="rId1183" w:history="1">
        <w:r w:rsidRPr="00971F78">
          <w:rPr>
            <w:rStyle w:val="Hyperlink"/>
            <w:rFonts w:ascii="Times New Roman" w:hAnsi="Times New Roman"/>
            <w:sz w:val="24"/>
            <w:szCs w:val="24"/>
          </w:rPr>
          <w:t>742.10</w:t>
        </w:r>
      </w:hyperlink>
      <w:r w:rsidRPr="00971F78">
        <w:rPr>
          <w:rFonts w:ascii="Times New Roman" w:hAnsi="Times New Roman"/>
          <w:sz w:val="24"/>
          <w:szCs w:val="24"/>
        </w:rPr>
        <w:t xml:space="preserve"> of the Revised Code is submitted documenting that the disease was not evident prior to or at the time of entry into the department.</w:t>
      </w:r>
    </w:p>
    <w:p w14:paraId="2C5B5AA1" w14:textId="77777777" w:rsidR="00433119" w:rsidRDefault="00433119" w:rsidP="00EF1133">
      <w:pPr>
        <w:rPr>
          <w:rFonts w:ascii="Arial Black" w:hAnsi="Arial Black"/>
          <w:b/>
          <w:sz w:val="24"/>
          <w:szCs w:val="24"/>
        </w:rPr>
      </w:pPr>
    </w:p>
    <w:p w14:paraId="5561F4C0" w14:textId="4D97F2F3" w:rsidR="00B5724A" w:rsidRDefault="00B5724A"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3</w:t>
      </w:r>
    </w:p>
    <w:p w14:paraId="27072C7B" w14:textId="77777777" w:rsidR="00B5724A" w:rsidRDefault="00B5724A" w:rsidP="00B5724A">
      <w:pPr>
        <w:spacing w:before="100" w:beforeAutospacing="1" w:after="100" w:afterAutospacing="1" w:line="240" w:lineRule="auto"/>
        <w:rPr>
          <w:rFonts w:ascii="Arial Black" w:eastAsia="Times New Roman" w:hAnsi="Arial Black"/>
          <w:sz w:val="28"/>
          <w:szCs w:val="28"/>
        </w:rPr>
      </w:pPr>
      <w:bookmarkStart w:id="229" w:name="_Hlk92113959"/>
      <w:r>
        <w:rPr>
          <w:rFonts w:ascii="Arial Black" w:eastAsia="Times New Roman" w:hAnsi="Arial Black"/>
          <w:sz w:val="28"/>
          <w:szCs w:val="28"/>
        </w:rPr>
        <w:t>PA: FF DIED LUNG CANCER – HEAVY SMOKER - 40% INCREASE - WIFE NO WORKERS COMP DEATH BENEFITS</w:t>
      </w:r>
    </w:p>
    <w:bookmarkEnd w:id="229"/>
    <w:p w14:paraId="59423BFB" w14:textId="77777777" w:rsidR="00B5724A" w:rsidRDefault="00B5724A" w:rsidP="00B5724A">
      <w:pPr>
        <w:spacing w:before="100" w:beforeAutospacing="1" w:after="100" w:afterAutospacing="1" w:line="240" w:lineRule="auto"/>
      </w:pPr>
      <w:r>
        <w:rPr>
          <w:rFonts w:ascii="Times New Roman" w:eastAsia="Times New Roman" w:hAnsi="Times New Roman"/>
          <w:sz w:val="24"/>
          <w:szCs w:val="24"/>
        </w:rPr>
        <w:t xml:space="preserve">On Dec. 13, 2021, in </w:t>
      </w:r>
      <w:r w:rsidRPr="00BF2980">
        <w:rPr>
          <w:rFonts w:ascii="Times New Roman" w:eastAsia="Times New Roman" w:hAnsi="Times New Roman"/>
          <w:sz w:val="24"/>
          <w:szCs w:val="24"/>
          <w:u w:val="single"/>
        </w:rPr>
        <w:t>Vincent Regan v. City of Philadelphia (Workers’ Compensation Appeal Board</w:t>
      </w:r>
      <w:r>
        <w:rPr>
          <w:rFonts w:ascii="Times New Roman" w:eastAsia="Times New Roman" w:hAnsi="Times New Roman"/>
          <w:sz w:val="24"/>
          <w:szCs w:val="24"/>
          <w:u w:val="single"/>
        </w:rPr>
        <w:t>)</w:t>
      </w:r>
      <w:r>
        <w:rPr>
          <w:rFonts w:ascii="Times New Roman" w:eastAsia="Times New Roman" w:hAnsi="Times New Roman"/>
          <w:sz w:val="24"/>
          <w:szCs w:val="24"/>
        </w:rPr>
        <w:t xml:space="preserve">, the Commonwealth Court of Pennsylvania held (3 to 0) that the widow of Vincent Regan is not entitled to workers compensation, since the Administrative Law Judge found the city’s expert witness very credible. He </w:t>
      </w:r>
      <w:r w:rsidRPr="00BB487E">
        <w:rPr>
          <w:rFonts w:ascii="Times New Roman" w:eastAsia="Times New Roman" w:hAnsi="Times New Roman"/>
          <w:sz w:val="24"/>
          <w:szCs w:val="24"/>
        </w:rPr>
        <w:t>stated</w:t>
      </w:r>
      <w:r>
        <w:rPr>
          <w:rFonts w:ascii="Times New Roman" w:eastAsia="Times New Roman" w:hAnsi="Times New Roman"/>
          <w:sz w:val="24"/>
          <w:szCs w:val="24"/>
        </w:rPr>
        <w:t xml:space="preserve"> </w:t>
      </w:r>
      <w:r w:rsidRPr="00BB487E">
        <w:rPr>
          <w:rFonts w:ascii="Times New Roman" w:eastAsia="Times New Roman" w:hAnsi="Times New Roman"/>
          <w:sz w:val="24"/>
          <w:szCs w:val="24"/>
        </w:rPr>
        <w:t xml:space="preserve">that </w:t>
      </w:r>
      <w:r>
        <w:rPr>
          <w:rFonts w:ascii="Times New Roman" w:eastAsia="Times New Roman" w:hAnsi="Times New Roman"/>
          <w:sz w:val="24"/>
          <w:szCs w:val="24"/>
        </w:rPr>
        <w:t>“</w:t>
      </w:r>
      <w:r w:rsidRPr="00BB487E">
        <w:rPr>
          <w:rFonts w:ascii="Times New Roman" w:eastAsia="Times New Roman" w:hAnsi="Times New Roman"/>
          <w:sz w:val="24"/>
          <w:szCs w:val="24"/>
        </w:rPr>
        <w:t xml:space="preserve">medical records revealed that Decedent began smoking at age 16, and quit at age 68 in 2008, with a 40- to 50-pack per year history of tobacco use. He said that the effect of a 40-pack per year history will increase the risk of lung cancer by 40 </w:t>
      </w:r>
      <w:proofErr w:type="gramStart"/>
      <w:r w:rsidRPr="00BB487E">
        <w:rPr>
          <w:rFonts w:ascii="Times New Roman" w:eastAsia="Times New Roman" w:hAnsi="Times New Roman"/>
          <w:sz w:val="24"/>
          <w:szCs w:val="24"/>
        </w:rPr>
        <w:t>times.</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The PA statutory presumption law for firefighters was “fully rebutted” by the City’s expert.   </w:t>
      </w:r>
    </w:p>
    <w:p w14:paraId="5D03E918" w14:textId="77777777" w:rsidR="00B5724A" w:rsidRPr="0080447D" w:rsidRDefault="00B5724A" w:rsidP="00B5724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80447D">
        <w:rPr>
          <w:rFonts w:ascii="Times New Roman" w:eastAsia="Times New Roman" w:hAnsi="Times New Roman"/>
          <w:sz w:val="24"/>
          <w:szCs w:val="24"/>
        </w:rPr>
        <w:t xml:space="preserve">Because the WCJ's credibility determinations were not made arbitrarily and capriciously and her findings are supported by substantial evidence, the WCJ's decision cannot be disturbed on appeal. </w:t>
      </w:r>
      <w:r w:rsidRPr="0080447D">
        <w:rPr>
          <w:rFonts w:ascii="Times New Roman" w:eastAsia="Times New Roman" w:hAnsi="Times New Roman"/>
          <w:i/>
          <w:iCs/>
          <w:sz w:val="24"/>
          <w:szCs w:val="24"/>
        </w:rPr>
        <w:t>Id.</w:t>
      </w:r>
      <w:r w:rsidRPr="0080447D">
        <w:rPr>
          <w:rFonts w:ascii="Times New Roman" w:eastAsia="Times New Roman" w:hAnsi="Times New Roman"/>
          <w:sz w:val="24"/>
          <w:szCs w:val="24"/>
        </w:rPr>
        <w:t xml:space="preserve"> Further, we conclude that the WCJ's decision sets forth an adequate explanation of her reasons for accepting and rejecting </w:t>
      </w:r>
      <w:proofErr w:type="gramStart"/>
      <w:r w:rsidRPr="0080447D">
        <w:rPr>
          <w:rFonts w:ascii="Times New Roman" w:eastAsia="Times New Roman" w:hAnsi="Times New Roman"/>
          <w:sz w:val="24"/>
          <w:szCs w:val="24"/>
        </w:rPr>
        <w:t>evidence, and</w:t>
      </w:r>
      <w:proofErr w:type="gramEnd"/>
      <w:r w:rsidRPr="0080447D">
        <w:rPr>
          <w:rFonts w:ascii="Times New Roman" w:eastAsia="Times New Roman" w:hAnsi="Times New Roman"/>
          <w:sz w:val="24"/>
          <w:szCs w:val="24"/>
        </w:rPr>
        <w:t xml:space="preserve"> therefore satisfies the reasoned decision requirements of Section 422(a) of the Act. </w:t>
      </w:r>
      <w:r w:rsidRPr="0080447D">
        <w:rPr>
          <w:rFonts w:ascii="Times New Roman" w:eastAsia="Times New Roman" w:hAnsi="Times New Roman"/>
          <w:i/>
          <w:iCs/>
          <w:sz w:val="24"/>
          <w:szCs w:val="24"/>
        </w:rPr>
        <w:t>See id.</w:t>
      </w:r>
      <w:r w:rsidRPr="0080447D">
        <w:rPr>
          <w:rFonts w:ascii="Times New Roman" w:eastAsia="Times New Roman" w:hAnsi="Times New Roman"/>
          <w:sz w:val="24"/>
          <w:szCs w:val="24"/>
        </w:rPr>
        <w:t xml:space="preserve"> at 1089 (noting that Section 422(a) does not require </w:t>
      </w:r>
      <w:r>
        <w:rPr>
          <w:rFonts w:ascii="Times New Roman" w:eastAsia="Times New Roman" w:hAnsi="Times New Roman"/>
          <w:sz w:val="24"/>
          <w:szCs w:val="24"/>
        </w:rPr>
        <w:t>‘</w:t>
      </w:r>
      <w:r w:rsidRPr="0080447D">
        <w:rPr>
          <w:rFonts w:ascii="Times New Roman" w:eastAsia="Times New Roman" w:hAnsi="Times New Roman"/>
          <w:sz w:val="24"/>
          <w:szCs w:val="24"/>
        </w:rPr>
        <w:t>adequate reasons,</w:t>
      </w:r>
      <w:r>
        <w:rPr>
          <w:rFonts w:ascii="Times New Roman" w:eastAsia="Times New Roman" w:hAnsi="Times New Roman"/>
          <w:sz w:val="24"/>
          <w:szCs w:val="24"/>
        </w:rPr>
        <w:t>’</w:t>
      </w:r>
      <w:r w:rsidRPr="0080447D">
        <w:rPr>
          <w:rFonts w:ascii="Times New Roman" w:eastAsia="Times New Roman" w:hAnsi="Times New Roman"/>
          <w:sz w:val="24"/>
          <w:szCs w:val="24"/>
        </w:rPr>
        <w:t xml:space="preserve"> but an adequate explanation for those reasons, </w:t>
      </w:r>
      <w:proofErr w:type="gramStart"/>
      <w:r w:rsidRPr="0080447D">
        <w:rPr>
          <w:rFonts w:ascii="Times New Roman" w:eastAsia="Times New Roman" w:hAnsi="Times New Roman"/>
          <w:sz w:val="24"/>
          <w:szCs w:val="24"/>
        </w:rPr>
        <w:t>in order for</w:t>
      </w:r>
      <w:proofErr w:type="gramEnd"/>
      <w:r w:rsidRPr="0080447D">
        <w:rPr>
          <w:rFonts w:ascii="Times New Roman" w:eastAsia="Times New Roman" w:hAnsi="Times New Roman"/>
          <w:sz w:val="24"/>
          <w:szCs w:val="24"/>
        </w:rPr>
        <w:t xml:space="preserve"> appellate review to be meaningful). </w:t>
      </w:r>
      <w:r>
        <w:rPr>
          <w:rFonts w:ascii="Times New Roman" w:eastAsia="Times New Roman" w:hAnsi="Times New Roman"/>
          <w:sz w:val="24"/>
          <w:szCs w:val="24"/>
        </w:rPr>
        <w:t xml:space="preserve">“ </w:t>
      </w:r>
      <w:hyperlink r:id="rId1184" w:history="1">
        <w:r w:rsidRPr="00EC5853">
          <w:rPr>
            <w:rStyle w:val="Hyperlink"/>
            <w:rFonts w:ascii="Times New Roman" w:eastAsia="Times New Roman" w:hAnsi="Times New Roman"/>
            <w:sz w:val="24"/>
            <w:szCs w:val="24"/>
          </w:rPr>
          <w:t>https://casetext.com/case/regan-v-city-of-philadelphia-workers-comp-appeal-board</w:t>
        </w:r>
      </w:hyperlink>
      <w:r>
        <w:rPr>
          <w:rFonts w:ascii="Times New Roman" w:eastAsia="Times New Roman" w:hAnsi="Times New Roman"/>
          <w:sz w:val="24"/>
          <w:szCs w:val="24"/>
        </w:rPr>
        <w:t xml:space="preserve"> </w:t>
      </w:r>
    </w:p>
    <w:p w14:paraId="38606B72" w14:textId="77777777" w:rsidR="00433119" w:rsidRPr="009459BB" w:rsidRDefault="00433119" w:rsidP="00433119">
      <w:pPr>
        <w:spacing w:before="100" w:beforeAutospacing="1" w:after="100" w:afterAutospacing="1" w:line="240" w:lineRule="auto"/>
        <w:rPr>
          <w:rFonts w:ascii="Times New Roman" w:eastAsia="Times New Roman" w:hAnsi="Times New Roman"/>
          <w:b/>
          <w:bCs/>
          <w:sz w:val="24"/>
          <w:szCs w:val="24"/>
        </w:rPr>
      </w:pPr>
      <w:r w:rsidRPr="009459BB">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 The statutory presumption for firefighters can be overcome by expert testimony, including evidence the firefighter was a heavy smoker. </w:t>
      </w:r>
    </w:p>
    <w:p w14:paraId="6606C2B6" w14:textId="77777777" w:rsidR="00433119" w:rsidRDefault="00433119" w:rsidP="00433119">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Ohio statutory presumption includes provision on firefighter use of tobacco products. </w:t>
      </w:r>
      <w:proofErr w:type="gramStart"/>
      <w:r>
        <w:rPr>
          <w:rFonts w:ascii="Times New Roman" w:eastAsia="Times New Roman" w:hAnsi="Times New Roman"/>
          <w:sz w:val="24"/>
          <w:szCs w:val="24"/>
        </w:rPr>
        <w:t>Ohio Rev. Code 4123.68,</w:t>
      </w:r>
      <w:proofErr w:type="gramEnd"/>
      <w:r>
        <w:rPr>
          <w:rFonts w:ascii="Times New Roman" w:eastAsia="Times New Roman" w:hAnsi="Times New Roman"/>
          <w:sz w:val="24"/>
          <w:szCs w:val="24"/>
        </w:rPr>
        <w:t xml:space="preserve"> includes following. </w:t>
      </w:r>
      <w:r w:rsidRPr="00223FC1">
        <w:t xml:space="preserve"> </w:t>
      </w:r>
      <w:hyperlink r:id="rId1185" w:history="1">
        <w:r w:rsidRPr="003A1264">
          <w:rPr>
            <w:rFonts w:ascii="Times New Roman" w:eastAsia="Times New Roman" w:hAnsi="Times New Roman"/>
            <w:sz w:val="24"/>
            <w:szCs w:val="24"/>
          </w:rPr>
          <w:t>https://codes.ohio.gov/ohio-revised-code/section-4123.68</w:t>
        </w:r>
      </w:hyperlink>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w:t>
      </w:r>
      <w:proofErr w:type="spellEnd"/>
    </w:p>
    <w:p w14:paraId="2C68B934" w14:textId="77777777" w:rsidR="00433119" w:rsidRDefault="00433119" w:rsidP="00433119">
      <w:pPr>
        <w:spacing w:before="100" w:beforeAutospacing="1" w:after="100" w:afterAutospacing="1" w:line="240" w:lineRule="auto"/>
        <w:ind w:left="1440"/>
        <w:rPr>
          <w:rFonts w:ascii="Times New Roman" w:hAnsi="Times New Roman"/>
          <w:sz w:val="24"/>
          <w:szCs w:val="24"/>
        </w:rPr>
      </w:pPr>
      <w:r>
        <w:rPr>
          <w:rFonts w:ascii="Times New Roman" w:hAnsi="Times New Roman"/>
          <w:sz w:val="24"/>
          <w:szCs w:val="24"/>
        </w:rPr>
        <w:t>“</w:t>
      </w:r>
      <w:r w:rsidRPr="00223FC1">
        <w:rPr>
          <w:rFonts w:ascii="Times New Roman" w:hAnsi="Times New Roman"/>
          <w:sz w:val="24"/>
          <w:szCs w:val="24"/>
        </w:rPr>
        <w:t xml:space="preserve">(X)(1) Cancer contracted by a firefighter: Cancer contracted by a firefighter who has been assigned to at least six years of hazardous duty as a firefighter constitutes a presumption that the cancer was contracted in the course of and arising out of the firefighter's employment if the </w:t>
      </w:r>
      <w:r w:rsidRPr="00223FC1">
        <w:rPr>
          <w:rFonts w:ascii="Times New Roman" w:hAnsi="Times New Roman"/>
          <w:sz w:val="24"/>
          <w:szCs w:val="24"/>
        </w:rPr>
        <w:lastRenderedPageBreak/>
        <w:t>firefighter was exposed to an agent classified by the international agency for research on cancer or its successor organization as a group 1 or 2A carcinogen.</w:t>
      </w:r>
    </w:p>
    <w:p w14:paraId="4895C7BF" w14:textId="77777777" w:rsidR="00433119" w:rsidRPr="00223FC1" w:rsidRDefault="00433119" w:rsidP="00433119">
      <w:pPr>
        <w:spacing w:before="100" w:beforeAutospacing="1" w:after="100" w:afterAutospacing="1" w:line="240" w:lineRule="auto"/>
        <w:ind w:left="1440"/>
        <w:rPr>
          <w:rFonts w:ascii="Times New Roman" w:eastAsia="Times New Roman" w:hAnsi="Times New Roman"/>
          <w:sz w:val="24"/>
          <w:szCs w:val="24"/>
        </w:rPr>
      </w:pPr>
      <w:r w:rsidRPr="00223FC1">
        <w:rPr>
          <w:rFonts w:ascii="Times New Roman" w:eastAsia="Times New Roman" w:hAnsi="Times New Roman"/>
          <w:sz w:val="24"/>
          <w:szCs w:val="24"/>
        </w:rPr>
        <w:t>(2) The presumption described in division (X)(1) of this section is rebuttable in any of the following situations:</w:t>
      </w:r>
    </w:p>
    <w:p w14:paraId="351CCBA5" w14:textId="77777777" w:rsidR="00433119" w:rsidRPr="00223FC1" w:rsidRDefault="00433119" w:rsidP="00433119">
      <w:pPr>
        <w:spacing w:before="100" w:beforeAutospacing="1" w:after="100" w:afterAutospacing="1" w:line="240" w:lineRule="auto"/>
        <w:ind w:left="1440"/>
        <w:rPr>
          <w:rFonts w:ascii="Times New Roman" w:eastAsia="Times New Roman" w:hAnsi="Times New Roman"/>
          <w:sz w:val="24"/>
          <w:szCs w:val="24"/>
        </w:rPr>
      </w:pPr>
      <w:r w:rsidRPr="00223FC1">
        <w:rPr>
          <w:rFonts w:ascii="Times New Roman" w:eastAsia="Times New Roman" w:hAnsi="Times New Roman"/>
          <w:sz w:val="24"/>
          <w:szCs w:val="24"/>
        </w:rPr>
        <w:t xml:space="preserve">(a) There is evidence that the firefighter's exposure, outside the scope of the firefighter's official duties, to cigarettes, tobacco products, or other conditions presenting an extremely high risk for the development of the cancer alleged, was probably a significant factor in the cause or progression of the </w:t>
      </w:r>
      <w:proofErr w:type="gramStart"/>
      <w:r w:rsidRPr="00223FC1">
        <w:rPr>
          <w:rFonts w:ascii="Times New Roman" w:eastAsia="Times New Roman" w:hAnsi="Times New Roman"/>
          <w:sz w:val="24"/>
          <w:szCs w:val="24"/>
        </w:rPr>
        <w:t>cancer.</w:t>
      </w:r>
      <w:r>
        <w:rPr>
          <w:rFonts w:ascii="Times New Roman" w:eastAsia="Times New Roman" w:hAnsi="Times New Roman"/>
          <w:sz w:val="24"/>
          <w:szCs w:val="24"/>
        </w:rPr>
        <w:t>”</w:t>
      </w:r>
      <w:proofErr w:type="gramEnd"/>
    </w:p>
    <w:p w14:paraId="02F22A35" w14:textId="1F49D307" w:rsidR="00B5724A" w:rsidRDefault="00B5724A" w:rsidP="00EF1133">
      <w:pPr>
        <w:rPr>
          <w:rFonts w:ascii="Arial Black" w:hAnsi="Arial Black"/>
          <w:b/>
          <w:sz w:val="24"/>
          <w:szCs w:val="24"/>
        </w:rPr>
      </w:pPr>
    </w:p>
    <w:p w14:paraId="6E31679E" w14:textId="77777777" w:rsidR="00B5724A" w:rsidRDefault="00B5724A" w:rsidP="00EF1133">
      <w:pPr>
        <w:rPr>
          <w:rFonts w:ascii="Arial Black" w:hAnsi="Arial Black"/>
          <w:b/>
          <w:sz w:val="24"/>
          <w:szCs w:val="24"/>
        </w:rPr>
      </w:pPr>
    </w:p>
    <w:p w14:paraId="0F9DB5E0" w14:textId="321AB88B" w:rsidR="00B5724A" w:rsidRDefault="00B5724A"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2</w:t>
      </w:r>
    </w:p>
    <w:p w14:paraId="3E61DE8B" w14:textId="77777777" w:rsidR="00B5724A" w:rsidRDefault="00B5724A" w:rsidP="00B5724A">
      <w:pPr>
        <w:pStyle w:val="Heading1"/>
        <w:ind w:left="90"/>
        <w:rPr>
          <w:rFonts w:ascii="Arial Black" w:hAnsi="Arial Black"/>
          <w:b w:val="0"/>
          <w:bCs w:val="0"/>
          <w:sz w:val="28"/>
          <w:szCs w:val="28"/>
        </w:rPr>
      </w:pPr>
      <w:r>
        <w:rPr>
          <w:rFonts w:ascii="Arial Black" w:hAnsi="Arial Black"/>
          <w:b w:val="0"/>
          <w:bCs w:val="0"/>
          <w:sz w:val="28"/>
          <w:szCs w:val="28"/>
        </w:rPr>
        <w:t xml:space="preserve">WA: HEART - RETIRED FF - FAILED TO HAVE CARDIOLOGIST TESTIFY HEART CONDITION CAUSE EARLY SYMPTOMS </w:t>
      </w:r>
    </w:p>
    <w:p w14:paraId="4BA36305" w14:textId="77777777" w:rsidR="00B5724A" w:rsidRDefault="00B5724A" w:rsidP="00B5724A">
      <w:pPr>
        <w:pStyle w:val="Heading1"/>
        <w:rPr>
          <w:b w:val="0"/>
          <w:bCs w:val="0"/>
          <w:sz w:val="24"/>
          <w:szCs w:val="24"/>
        </w:rPr>
      </w:pPr>
      <w:r>
        <w:rPr>
          <w:b w:val="0"/>
          <w:bCs w:val="0"/>
          <w:sz w:val="24"/>
          <w:szCs w:val="24"/>
        </w:rPr>
        <w:t xml:space="preserve">On Dec. 7, 2021, in </w:t>
      </w:r>
      <w:r w:rsidRPr="009E02C5">
        <w:rPr>
          <w:b w:val="0"/>
          <w:bCs w:val="0"/>
          <w:sz w:val="24"/>
          <w:szCs w:val="24"/>
          <w:u w:val="single"/>
        </w:rPr>
        <w:t xml:space="preserve">Larry Spohn v. Department of Labor </w:t>
      </w:r>
      <w:proofErr w:type="gramStart"/>
      <w:r w:rsidRPr="009E02C5">
        <w:rPr>
          <w:b w:val="0"/>
          <w:bCs w:val="0"/>
          <w:sz w:val="24"/>
          <w:szCs w:val="24"/>
          <w:u w:val="single"/>
        </w:rPr>
        <w:t>And</w:t>
      </w:r>
      <w:proofErr w:type="gramEnd"/>
      <w:r w:rsidRPr="009E02C5">
        <w:rPr>
          <w:b w:val="0"/>
          <w:bCs w:val="0"/>
          <w:sz w:val="24"/>
          <w:szCs w:val="24"/>
          <w:u w:val="single"/>
        </w:rPr>
        <w:t xml:space="preserve"> Industries</w:t>
      </w:r>
      <w:r>
        <w:rPr>
          <w:b w:val="0"/>
          <w:bCs w:val="0"/>
          <w:sz w:val="24"/>
          <w:szCs w:val="24"/>
        </w:rPr>
        <w:t>, the Court of Appeals of Washington, Division 2, held (3 to 0) that trial court is reversed and should not have granted the firefighter’s claim for workers comp.  The firefighter (firefighter from 1990 to 2013) submitted his application for benefits in 2017, his “</w:t>
      </w:r>
      <w:r w:rsidRPr="00154601">
        <w:rPr>
          <w:b w:val="0"/>
          <w:bCs w:val="0"/>
          <w:sz w:val="24"/>
          <w:szCs w:val="24"/>
        </w:rPr>
        <w:t>application for benefits failed to include a physician's report or medical proof. The Department notified Spohn that it had not received the provider's section of the application four separate times.</w:t>
      </w:r>
      <w:r>
        <w:rPr>
          <w:b w:val="0"/>
          <w:bCs w:val="0"/>
          <w:sz w:val="24"/>
          <w:szCs w:val="24"/>
        </w:rPr>
        <w:t xml:space="preserve">”  </w:t>
      </w:r>
    </w:p>
    <w:p w14:paraId="561A9F91" w14:textId="77777777" w:rsidR="00B5724A" w:rsidRPr="00D038EE" w:rsidRDefault="00B5724A" w:rsidP="00B5724A">
      <w:pPr>
        <w:ind w:left="720"/>
        <w:rPr>
          <w:rFonts w:ascii="Times New Roman" w:hAnsi="Times New Roman"/>
          <w:sz w:val="24"/>
          <w:szCs w:val="24"/>
        </w:rPr>
      </w:pPr>
      <w:r w:rsidRPr="00D038EE">
        <w:rPr>
          <w:rFonts w:ascii="Times New Roman" w:hAnsi="Times New Roman"/>
          <w:sz w:val="24"/>
          <w:szCs w:val="24"/>
        </w:rPr>
        <w:t xml:space="preserve">“Spohn contends that he is entitled to the presumption in RCW 51.32.185(1)(a)(ii) because he provided evidence that he suffered shortness of breath, fatigue, and other symptoms with 72 hours of exposure to smoke, fumes, or toxic substances and within 24 hours of strenuous physical exertion due to firefighting activities. But experiencing symptoms that could reflect a heart condition is not sufficient to trigger the presumption in RCW 51.32.185(1)(a)(ii) without a doctor providing a medical opinion that those symptoms were caused by a heart condition. As our Supreme Court has recognized, testimony about symptoms is not a substitute for a doctor's testimony that the symptoms were evidence of a specific health condition. Gorre, 184 Wn.2d at 38. Medical testimony is required to connect the symptoms that Spohn experienced to a heart problem. Spohn has not provided any admissible medical evidence that the symptoms he experienced were related to a heart problem.” </w:t>
      </w:r>
      <w:hyperlink r:id="rId1186" w:history="1">
        <w:r w:rsidRPr="00EC5853">
          <w:rPr>
            <w:rStyle w:val="Hyperlink"/>
            <w:rFonts w:ascii="Times New Roman" w:hAnsi="Times New Roman"/>
            <w:sz w:val="24"/>
            <w:szCs w:val="24"/>
          </w:rPr>
          <w:t>https://law.justia.com/cases/washington/court-of-appeals-division-ii/2021/54914-0.html</w:t>
        </w:r>
      </w:hyperlink>
      <w:r>
        <w:rPr>
          <w:rFonts w:ascii="Times New Roman" w:hAnsi="Times New Roman"/>
          <w:sz w:val="24"/>
          <w:szCs w:val="24"/>
        </w:rPr>
        <w:t xml:space="preserve"> </w:t>
      </w:r>
    </w:p>
    <w:p w14:paraId="239E2266" w14:textId="77777777" w:rsidR="00B5724A" w:rsidRPr="000B3190" w:rsidRDefault="00B5724A" w:rsidP="00B5724A">
      <w:pPr>
        <w:pStyle w:val="Heading1"/>
        <w:rPr>
          <w:sz w:val="24"/>
          <w:szCs w:val="24"/>
        </w:rPr>
      </w:pPr>
      <w:r w:rsidRPr="000B3190">
        <w:rPr>
          <w:sz w:val="24"/>
          <w:szCs w:val="24"/>
        </w:rPr>
        <w:t>Legal Lesson Learned:  The for</w:t>
      </w:r>
      <w:r>
        <w:rPr>
          <w:sz w:val="24"/>
          <w:szCs w:val="24"/>
        </w:rPr>
        <w:t>mer</w:t>
      </w:r>
      <w:r w:rsidRPr="000B3190">
        <w:rPr>
          <w:sz w:val="24"/>
          <w:szCs w:val="24"/>
        </w:rPr>
        <w:t xml:space="preserve"> firefighter never provided medical testimony to support his claim. </w:t>
      </w:r>
    </w:p>
    <w:p w14:paraId="7E3A65AA" w14:textId="77777777" w:rsidR="00B5724A" w:rsidRDefault="00B5724A" w:rsidP="00EF1133">
      <w:pPr>
        <w:rPr>
          <w:rFonts w:ascii="Arial Black" w:hAnsi="Arial Black"/>
          <w:b/>
          <w:sz w:val="24"/>
          <w:szCs w:val="24"/>
        </w:rPr>
      </w:pPr>
    </w:p>
    <w:p w14:paraId="1394245F" w14:textId="77777777" w:rsidR="00B5724A" w:rsidRDefault="00B5724A" w:rsidP="00EF1133">
      <w:pPr>
        <w:rPr>
          <w:rFonts w:ascii="Arial Black" w:hAnsi="Arial Black"/>
          <w:b/>
          <w:sz w:val="24"/>
          <w:szCs w:val="24"/>
        </w:rPr>
      </w:pPr>
    </w:p>
    <w:p w14:paraId="74AE0AF9" w14:textId="1DD86925" w:rsidR="00D43015" w:rsidRDefault="00D43015"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1</w:t>
      </w:r>
    </w:p>
    <w:p w14:paraId="1EB675A9" w14:textId="77777777" w:rsidR="00D43015" w:rsidRPr="001C0F6C" w:rsidRDefault="00D43015" w:rsidP="00D43015">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lastRenderedPageBreak/>
        <w:t>WA: BLADDER CANCER – FF WINS WORKERS COMP. COVERAGE – STATUTORY PRESUMPTION ALL CANCERS</w:t>
      </w:r>
    </w:p>
    <w:p w14:paraId="58CC980E" w14:textId="77777777" w:rsidR="00D43015" w:rsidRDefault="00D43015" w:rsidP="00D43015">
      <w:pPr>
        <w:spacing w:before="100" w:beforeAutospacing="1" w:after="100" w:afterAutospacing="1" w:line="240" w:lineRule="auto"/>
        <w:rPr>
          <w:rFonts w:ascii="Times New Roman" w:hAnsi="Times New Roman"/>
          <w:sz w:val="24"/>
          <w:szCs w:val="24"/>
        </w:rPr>
      </w:pPr>
      <w:r w:rsidRPr="001C0F6C">
        <w:rPr>
          <w:rFonts w:ascii="Times New Roman" w:eastAsia="Times New Roman" w:hAnsi="Times New Roman"/>
          <w:sz w:val="24"/>
          <w:szCs w:val="24"/>
        </w:rPr>
        <w:t xml:space="preserve">On </w:t>
      </w:r>
      <w:r>
        <w:rPr>
          <w:rFonts w:ascii="Times New Roman" w:eastAsia="Times New Roman" w:hAnsi="Times New Roman"/>
          <w:sz w:val="24"/>
          <w:szCs w:val="24"/>
        </w:rPr>
        <w:t xml:space="preserve">Nov. 9, 2021, in </w:t>
      </w:r>
      <w:r w:rsidRPr="001C0F6C">
        <w:rPr>
          <w:rFonts w:ascii="Times New Roman" w:eastAsia="Times New Roman" w:hAnsi="Times New Roman"/>
          <w:sz w:val="24"/>
          <w:szCs w:val="24"/>
          <w:u w:val="single"/>
        </w:rPr>
        <w:t xml:space="preserve">Stephen T. Bradley v. City of Olympia and Department of Labor </w:t>
      </w:r>
      <w:proofErr w:type="gramStart"/>
      <w:r w:rsidRPr="001C0F6C">
        <w:rPr>
          <w:rFonts w:ascii="Times New Roman" w:eastAsia="Times New Roman" w:hAnsi="Times New Roman"/>
          <w:sz w:val="24"/>
          <w:szCs w:val="24"/>
          <w:u w:val="single"/>
        </w:rPr>
        <w:t>And</w:t>
      </w:r>
      <w:proofErr w:type="gramEnd"/>
      <w:r w:rsidRPr="001C0F6C">
        <w:rPr>
          <w:rFonts w:ascii="Times New Roman" w:eastAsia="Times New Roman" w:hAnsi="Times New Roman"/>
          <w:sz w:val="24"/>
          <w:szCs w:val="24"/>
          <w:u w:val="single"/>
        </w:rPr>
        <w:t xml:space="preserve"> Industries</w:t>
      </w:r>
      <w:r>
        <w:rPr>
          <w:rFonts w:ascii="Times New Roman" w:eastAsia="Times New Roman" w:hAnsi="Times New Roman"/>
          <w:sz w:val="24"/>
          <w:szCs w:val="24"/>
        </w:rPr>
        <w:t xml:space="preserve">, the Court of Appeals of Washington, Division 2, held (3 to 0) that a Superior Court judge properly determined that the firefighter was entitled to workers comp coverage under the state statute, </w:t>
      </w:r>
      <w:r w:rsidRPr="00B014FB">
        <w:rPr>
          <w:rFonts w:ascii="Times New Roman" w:hAnsi="Times New Roman"/>
          <w:sz w:val="24"/>
          <w:szCs w:val="24"/>
        </w:rPr>
        <w:t>RCW 51.32.185(1)(a)(iii).</w:t>
      </w:r>
      <w:r>
        <w:rPr>
          <w:rFonts w:ascii="Times New Roman" w:hAnsi="Times New Roman"/>
          <w:sz w:val="24"/>
          <w:szCs w:val="24"/>
        </w:rPr>
        <w:t xml:space="preserve">  The City argued that firefighting “in general” does not cause bladder cancer, but that is not sufficient to rebut the statutory presumption.  The statute covers all cancers. </w:t>
      </w:r>
    </w:p>
    <w:p w14:paraId="3BF22BC0" w14:textId="77777777" w:rsidR="00D43015" w:rsidRDefault="00D43015" w:rsidP="00D43015">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B014FB">
        <w:rPr>
          <w:rFonts w:ascii="Times New Roman" w:hAnsi="Times New Roman"/>
          <w:sz w:val="24"/>
          <w:szCs w:val="24"/>
        </w:rPr>
        <w:t xml:space="preserve">(1)(a) In the case of firefighters as defined in RCW </w:t>
      </w:r>
      <w:hyperlink r:id="rId1187" w:history="1">
        <w:r w:rsidRPr="00B014FB">
          <w:rPr>
            <w:rStyle w:val="Hyperlink"/>
            <w:rFonts w:ascii="Times New Roman" w:hAnsi="Times New Roman"/>
            <w:sz w:val="24"/>
            <w:szCs w:val="24"/>
          </w:rPr>
          <w:t>41.26.030</w:t>
        </w:r>
      </w:hyperlink>
      <w:r w:rsidRPr="00B014FB">
        <w:rPr>
          <w:rFonts w:ascii="Times New Roman" w:hAnsi="Times New Roman"/>
          <w:sz w:val="24"/>
          <w:szCs w:val="24"/>
        </w:rPr>
        <w:t>(17) (a), (b), (c), and (h) who are covered under this title and firefighters, including supervisors, employed on a full-time, fully compensated basis as a firefighter of a private sector employer's fire department that includes over fifty such firefighters, and public employee fire investigators, there shall exist a prima facie presumption that: (</w:t>
      </w:r>
      <w:proofErr w:type="spellStart"/>
      <w:r w:rsidRPr="00B014FB">
        <w:rPr>
          <w:rFonts w:ascii="Times New Roman" w:hAnsi="Times New Roman"/>
          <w:sz w:val="24"/>
          <w:szCs w:val="24"/>
        </w:rPr>
        <w:t>i</w:t>
      </w:r>
      <w:proofErr w:type="spellEnd"/>
      <w:r w:rsidRPr="00B014FB">
        <w:rPr>
          <w:rFonts w:ascii="Times New Roman" w:hAnsi="Times New Roman"/>
          <w:sz w:val="24"/>
          <w:szCs w:val="24"/>
        </w:rPr>
        <w:t xml:space="preserve">) Respiratory disease; (ii) any heart problems, experienced within seventy-two hours of exposure to smoke, fumes, or toxic substances, or experienced within twenty-four hours of strenuous physical exertion due to firefighting activities; (iii) cancer; and (iv) infectious diseases are occupational diseases under RCW </w:t>
      </w:r>
      <w:hyperlink r:id="rId1188" w:history="1">
        <w:r w:rsidRPr="00B014FB">
          <w:rPr>
            <w:rStyle w:val="Hyperlink"/>
            <w:rFonts w:ascii="Times New Roman" w:hAnsi="Times New Roman"/>
            <w:sz w:val="24"/>
            <w:szCs w:val="24"/>
          </w:rPr>
          <w:t>51.08.140</w:t>
        </w:r>
      </w:hyperlink>
      <w:r w:rsidRPr="00B014FB">
        <w:rPr>
          <w:rFonts w:ascii="Times New Roman" w:hAnsi="Times New Roman"/>
          <w:sz w:val="24"/>
          <w:szCs w:val="24"/>
        </w:rPr>
        <w:t>.</w:t>
      </w:r>
      <w:r>
        <w:rPr>
          <w:rFonts w:ascii="Times New Roman" w:hAnsi="Times New Roman"/>
          <w:sz w:val="24"/>
          <w:szCs w:val="24"/>
        </w:rPr>
        <w:t xml:space="preserve">” </w:t>
      </w:r>
      <w:hyperlink r:id="rId1189" w:history="1">
        <w:r w:rsidRPr="00316766">
          <w:rPr>
            <w:rStyle w:val="Hyperlink"/>
            <w:rFonts w:ascii="Times New Roman" w:hAnsi="Times New Roman"/>
            <w:sz w:val="24"/>
            <w:szCs w:val="24"/>
          </w:rPr>
          <w:t>https://apps.leg.wa.gov/rcw/default.aspx?cite=51.32.185</w:t>
        </w:r>
      </w:hyperlink>
      <w:r>
        <w:rPr>
          <w:rFonts w:ascii="Times New Roman" w:hAnsi="Times New Roman"/>
          <w:sz w:val="24"/>
          <w:szCs w:val="24"/>
        </w:rPr>
        <w:t xml:space="preserve"> </w:t>
      </w:r>
    </w:p>
    <w:p w14:paraId="54853659" w14:textId="77777777" w:rsidR="00D43015" w:rsidRPr="00B014FB" w:rsidRDefault="00D43015" w:rsidP="00D43015">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The Court held:</w:t>
      </w:r>
    </w:p>
    <w:p w14:paraId="1582C6C2" w14:textId="77777777" w:rsidR="00D43015" w:rsidRDefault="00D43015" w:rsidP="00D43015">
      <w:pPr>
        <w:spacing w:before="100" w:beforeAutospacing="1" w:after="100" w:afterAutospacing="1" w:line="240" w:lineRule="auto"/>
        <w:ind w:left="720"/>
        <w:rPr>
          <w:rFonts w:ascii="Times New Roman" w:hAnsi="Times New Roman"/>
          <w:sz w:val="24"/>
          <w:szCs w:val="24"/>
        </w:rPr>
      </w:pPr>
      <w:r w:rsidRPr="008B2ECB">
        <w:rPr>
          <w:rFonts w:ascii="Times New Roman" w:hAnsi="Times New Roman"/>
          <w:sz w:val="24"/>
          <w:szCs w:val="24"/>
        </w:rPr>
        <w:t xml:space="preserve">“DLI denied Bradley's workers' compensation claim, and Bradley filed a petition for review with the Board of Industrial Insurance Appeals (Board). To rebut the RCW 51.32.185(1)(a) presumption, the </w:t>
      </w:r>
      <w:proofErr w:type="gramStart"/>
      <w:r w:rsidRPr="008B2ECB">
        <w:rPr>
          <w:rFonts w:ascii="Times New Roman" w:hAnsi="Times New Roman"/>
          <w:sz w:val="24"/>
          <w:szCs w:val="24"/>
        </w:rPr>
        <w:t>City</w:t>
      </w:r>
      <w:proofErr w:type="gramEnd"/>
      <w:r w:rsidRPr="008B2ECB">
        <w:rPr>
          <w:rFonts w:ascii="Times New Roman" w:hAnsi="Times New Roman"/>
          <w:sz w:val="24"/>
          <w:szCs w:val="24"/>
        </w:rPr>
        <w:t xml:space="preserve"> presented medical evidence that firefighting activities </w:t>
      </w:r>
      <w:r w:rsidRPr="008B2ECB">
        <w:rPr>
          <w:rStyle w:val="Emphasis"/>
          <w:rFonts w:ascii="Times New Roman" w:hAnsi="Times New Roman"/>
          <w:sz w:val="24"/>
          <w:szCs w:val="24"/>
        </w:rPr>
        <w:t>in general</w:t>
      </w:r>
      <w:r w:rsidRPr="008B2ECB">
        <w:rPr>
          <w:rFonts w:ascii="Times New Roman" w:hAnsi="Times New Roman"/>
          <w:sz w:val="24"/>
          <w:szCs w:val="24"/>
        </w:rPr>
        <w:t xml:space="preserve"> do not cause bladder cancer. The Board affirmed DLI's denial, finding that the </w:t>
      </w:r>
      <w:proofErr w:type="gramStart"/>
      <w:r w:rsidRPr="008B2ECB">
        <w:rPr>
          <w:rFonts w:ascii="Times New Roman" w:hAnsi="Times New Roman"/>
          <w:sz w:val="24"/>
          <w:szCs w:val="24"/>
        </w:rPr>
        <w:t>City</w:t>
      </w:r>
      <w:proofErr w:type="gramEnd"/>
      <w:r w:rsidRPr="008B2ECB">
        <w:rPr>
          <w:rFonts w:ascii="Times New Roman" w:hAnsi="Times New Roman"/>
          <w:sz w:val="24"/>
          <w:szCs w:val="24"/>
        </w:rPr>
        <w:t xml:space="preserve"> had rebutted the statutory presumption. On appeal, the superior court granted summary judgment in favor of Bradley on the grounds that the City's medical evidence could not rebut the RCW 51.32.185(1)(a) presumption.</w:t>
      </w:r>
    </w:p>
    <w:p w14:paraId="550FAC75" w14:textId="77777777" w:rsidR="00D43015" w:rsidRDefault="00D43015" w:rsidP="00D43015">
      <w:pPr>
        <w:spacing w:before="100" w:beforeAutospacing="1" w:after="100" w:afterAutospacing="1" w:line="240" w:lineRule="auto"/>
        <w:ind w:left="720"/>
        <w:rPr>
          <w:rFonts w:ascii="Times New Roman" w:hAnsi="Times New Roman"/>
          <w:sz w:val="24"/>
          <w:szCs w:val="24"/>
        </w:rPr>
      </w:pPr>
      <w:r w:rsidRPr="000C3B96">
        <w:rPr>
          <w:rFonts w:ascii="Times New Roman" w:hAnsi="Times New Roman"/>
          <w:sz w:val="24"/>
          <w:szCs w:val="24"/>
        </w:rPr>
        <w:t xml:space="preserve">We hold that an employer cannot rebut the presumption under RCW 51.32.185(1)(a) with evidence that firefighting activities </w:t>
      </w:r>
      <w:r w:rsidRPr="000C3B96">
        <w:rPr>
          <w:rStyle w:val="Emphasis"/>
          <w:rFonts w:ascii="Times New Roman" w:hAnsi="Times New Roman"/>
          <w:sz w:val="24"/>
          <w:szCs w:val="24"/>
        </w:rPr>
        <w:t>in general</w:t>
      </w:r>
      <w:r w:rsidRPr="000C3B96">
        <w:rPr>
          <w:rFonts w:ascii="Times New Roman" w:hAnsi="Times New Roman"/>
          <w:sz w:val="24"/>
          <w:szCs w:val="24"/>
        </w:rPr>
        <w:t xml:space="preserve"> do not cause bladder cancer. Instead, to avoid summary judgment an employer must present sufficient evidence that the individual claimant's bladder cancer was caused by nonoccupational factors. Here, summary judgment was appropriate because the City failed to present evidence that created a genuine issue of material fact as to whether nonoccupational factors caused Bradley's bladder cancer.</w:t>
      </w:r>
      <w:r>
        <w:rPr>
          <w:rFonts w:ascii="Times New Roman" w:hAnsi="Times New Roman"/>
          <w:sz w:val="24"/>
          <w:szCs w:val="24"/>
        </w:rPr>
        <w:t xml:space="preserve">” </w:t>
      </w:r>
      <w:hyperlink r:id="rId1190" w:history="1">
        <w:r w:rsidRPr="00316766">
          <w:rPr>
            <w:rStyle w:val="Hyperlink"/>
            <w:rFonts w:ascii="Times New Roman" w:hAnsi="Times New Roman"/>
            <w:sz w:val="24"/>
            <w:szCs w:val="24"/>
          </w:rPr>
          <w:t>https://casetext.com/case/bradley-v-city-of-olympia</w:t>
        </w:r>
      </w:hyperlink>
      <w:r>
        <w:rPr>
          <w:rFonts w:ascii="Times New Roman" w:hAnsi="Times New Roman"/>
          <w:sz w:val="24"/>
          <w:szCs w:val="24"/>
        </w:rPr>
        <w:t xml:space="preserve"> </w:t>
      </w:r>
    </w:p>
    <w:p w14:paraId="25394401" w14:textId="77777777" w:rsidR="00D43015" w:rsidRPr="00502D61" w:rsidRDefault="00D43015" w:rsidP="00D43015">
      <w:pPr>
        <w:spacing w:before="100" w:beforeAutospacing="1" w:after="100" w:afterAutospacing="1" w:line="240" w:lineRule="auto"/>
        <w:rPr>
          <w:rFonts w:ascii="Times New Roman" w:eastAsia="Times New Roman" w:hAnsi="Times New Roman"/>
          <w:b/>
          <w:bCs/>
          <w:sz w:val="24"/>
          <w:szCs w:val="24"/>
        </w:rPr>
      </w:pPr>
      <w:r w:rsidRPr="00502D61">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Great decision reflecting why a statutory presumption is extremely helpful in firefighter cancer claims. </w:t>
      </w:r>
    </w:p>
    <w:p w14:paraId="4C5C8FA0" w14:textId="77777777" w:rsidR="00D43015" w:rsidRDefault="00D43015" w:rsidP="00EF1133">
      <w:pPr>
        <w:rPr>
          <w:rFonts w:ascii="Arial Black" w:hAnsi="Arial Black"/>
          <w:b/>
          <w:sz w:val="24"/>
          <w:szCs w:val="24"/>
        </w:rPr>
      </w:pPr>
    </w:p>
    <w:p w14:paraId="0532651D" w14:textId="77777777" w:rsidR="00D43015" w:rsidRDefault="00D43015" w:rsidP="00EF1133">
      <w:pPr>
        <w:rPr>
          <w:rFonts w:ascii="Arial Black" w:hAnsi="Arial Black"/>
          <w:b/>
          <w:sz w:val="24"/>
          <w:szCs w:val="24"/>
        </w:rPr>
      </w:pPr>
    </w:p>
    <w:p w14:paraId="132C3C9F" w14:textId="1E9E7F85" w:rsidR="0082055F" w:rsidRDefault="0082055F" w:rsidP="00EF1133">
      <w:pPr>
        <w:rPr>
          <w:rFonts w:ascii="Arial Black" w:hAnsi="Arial Black"/>
          <w:b/>
          <w:sz w:val="24"/>
          <w:szCs w:val="24"/>
        </w:rPr>
      </w:pPr>
      <w:r>
        <w:rPr>
          <w:rFonts w:ascii="Arial Black" w:hAnsi="Arial Black"/>
          <w:b/>
          <w:sz w:val="24"/>
          <w:szCs w:val="24"/>
        </w:rPr>
        <w:t>6-8</w:t>
      </w:r>
      <w:r w:rsidR="00FF7C63">
        <w:rPr>
          <w:rFonts w:ascii="Arial Black" w:hAnsi="Arial Black"/>
          <w:b/>
          <w:sz w:val="24"/>
          <w:szCs w:val="24"/>
        </w:rPr>
        <w:t>0</w:t>
      </w:r>
    </w:p>
    <w:p w14:paraId="7F8105E0" w14:textId="77777777" w:rsidR="0082055F" w:rsidRDefault="0082055F" w:rsidP="0082055F">
      <w:pPr>
        <w:spacing w:before="100" w:beforeAutospacing="1" w:after="100" w:afterAutospacing="1" w:line="240" w:lineRule="auto"/>
        <w:rPr>
          <w:rFonts w:ascii="Arial Black" w:hAnsi="Arial Black"/>
          <w:sz w:val="28"/>
          <w:szCs w:val="28"/>
        </w:rPr>
      </w:pPr>
      <w:r>
        <w:rPr>
          <w:rFonts w:ascii="Arial Black" w:hAnsi="Arial Black"/>
          <w:sz w:val="28"/>
          <w:szCs w:val="28"/>
        </w:rPr>
        <w:t>RI: STATE PENSION BOARD – CAN’T RECOUP $129,000 OVERPAY 15 RETIRED FF – WAITED 6 YEARS INFORM THEM</w:t>
      </w:r>
    </w:p>
    <w:p w14:paraId="13CB6DE5" w14:textId="77777777" w:rsidR="0082055F" w:rsidRDefault="0082055F" w:rsidP="0082055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Oct. 25, 2021, in </w:t>
      </w:r>
      <w:r w:rsidRPr="009967FA">
        <w:rPr>
          <w:rFonts w:ascii="Times New Roman" w:hAnsi="Times New Roman"/>
          <w:sz w:val="24"/>
          <w:szCs w:val="24"/>
          <w:u w:val="single"/>
        </w:rPr>
        <w:t>Frank Andre, et al. v. Employee’s Retirement System of Ohio</w:t>
      </w:r>
      <w:r>
        <w:rPr>
          <w:rFonts w:ascii="Times New Roman" w:hAnsi="Times New Roman"/>
          <w:sz w:val="24"/>
          <w:szCs w:val="24"/>
        </w:rPr>
        <w:t xml:space="preserve">, the Judge Susan E. McGuirl, Superior Court of Rhode Island, Providence, held that while the North Providence Fire Department’s CBA provided that FF overtime pay be reported to State Pension Board as part of their regular wages, this </w:t>
      </w:r>
      <w:r>
        <w:rPr>
          <w:rFonts w:ascii="Times New Roman" w:hAnsi="Times New Roman"/>
          <w:sz w:val="24"/>
          <w:szCs w:val="24"/>
        </w:rPr>
        <w:lastRenderedPageBreak/>
        <w:t xml:space="preserve">violated state law and must be stopped, but the Board knew of the problem since 2011 and never informed retirees until 2017. </w:t>
      </w:r>
    </w:p>
    <w:p w14:paraId="7E43A60E" w14:textId="77777777" w:rsidR="0082055F" w:rsidRPr="009967FA" w:rsidRDefault="0082055F" w:rsidP="0082055F">
      <w:pPr>
        <w:spacing w:before="100" w:beforeAutospacing="1" w:after="100" w:afterAutospacing="1" w:line="240" w:lineRule="auto"/>
        <w:ind w:left="720"/>
        <w:rPr>
          <w:rFonts w:ascii="Times New Roman" w:eastAsia="Times New Roman" w:hAnsi="Times New Roman"/>
          <w:sz w:val="24"/>
          <w:szCs w:val="24"/>
        </w:rPr>
      </w:pPr>
      <w:r w:rsidRPr="000F1C37">
        <w:rPr>
          <w:rFonts w:ascii="Times New Roman" w:eastAsia="Times New Roman" w:hAnsi="Times New Roman"/>
          <w:sz w:val="24"/>
          <w:szCs w:val="24"/>
        </w:rPr>
        <w:t>“</w:t>
      </w:r>
      <w:r w:rsidRPr="00A71871">
        <w:rPr>
          <w:rFonts w:ascii="Times New Roman" w:eastAsia="Times New Roman" w:hAnsi="Times New Roman"/>
          <w:sz w:val="24"/>
          <w:szCs w:val="24"/>
        </w:rPr>
        <w:t>The record reflects that, in total, the fifteen Petitioners would be required to pay back $129, 286.64</w:t>
      </w:r>
      <w:r w:rsidRPr="000F1C37">
        <w:rPr>
          <w:rFonts w:ascii="Times New Roman" w:eastAsia="Times New Roman" w:hAnsi="Times New Roman"/>
          <w:sz w:val="24"/>
          <w:szCs w:val="24"/>
        </w:rPr>
        <w:t xml:space="preserve">. </w:t>
      </w:r>
      <w:r w:rsidRPr="000F1C37">
        <w:rPr>
          <w:rFonts w:ascii="Times New Roman" w:hAnsi="Times New Roman"/>
          <w:sz w:val="24"/>
          <w:szCs w:val="24"/>
        </w:rPr>
        <w:t>As discussed above, ERSRI had discovered the mistaken overpayment of benefits by early 2011, as evidenced when its internal legal counsel reached out to the Town for assistance in correcting the matter</w:t>
      </w:r>
      <w:r>
        <w:rPr>
          <w:rFonts w:ascii="Times New Roman" w:hAnsi="Times New Roman"/>
          <w:sz w:val="24"/>
          <w:szCs w:val="24"/>
        </w:rPr>
        <w:t xml:space="preserve">…. </w:t>
      </w:r>
      <w:r w:rsidRPr="000F1C37">
        <w:rPr>
          <w:rFonts w:ascii="Times New Roman" w:hAnsi="Times New Roman"/>
          <w:sz w:val="24"/>
          <w:szCs w:val="24"/>
        </w:rPr>
        <w:t>It was not until April and May 2017 that ERSRI informed Petitioners of the overpayments, their cessation, and the recoupment of the overpaid benefits</w:t>
      </w:r>
      <w:r>
        <w:rPr>
          <w:rFonts w:ascii="Times New Roman" w:hAnsi="Times New Roman"/>
          <w:sz w:val="24"/>
          <w:szCs w:val="24"/>
        </w:rPr>
        <w:t xml:space="preserve">… </w:t>
      </w:r>
      <w:r w:rsidRPr="000F1C37">
        <w:rPr>
          <w:rFonts w:ascii="Times New Roman" w:hAnsi="Times New Roman"/>
          <w:sz w:val="24"/>
          <w:szCs w:val="24"/>
        </w:rPr>
        <w:t xml:space="preserve"> In the interim, Petitioners </w:t>
      </w:r>
      <w:proofErr w:type="gramStart"/>
      <w:r w:rsidRPr="000F1C37">
        <w:rPr>
          <w:rFonts w:ascii="Times New Roman" w:hAnsi="Times New Roman"/>
          <w:sz w:val="24"/>
          <w:szCs w:val="24"/>
        </w:rPr>
        <w:t>had continued</w:t>
      </w:r>
      <w:proofErr w:type="gramEnd"/>
      <w:r w:rsidRPr="000F1C37">
        <w:rPr>
          <w:rFonts w:ascii="Times New Roman" w:hAnsi="Times New Roman"/>
          <w:sz w:val="24"/>
          <w:szCs w:val="24"/>
        </w:rPr>
        <w:t xml:space="preserve"> to receive those benefits.</w:t>
      </w:r>
      <w:r>
        <w:rPr>
          <w:rFonts w:ascii="Times New Roman" w:hAnsi="Times New Roman"/>
          <w:sz w:val="24"/>
          <w:szCs w:val="24"/>
        </w:rPr>
        <w:t xml:space="preserve"> *** </w:t>
      </w:r>
      <w:r w:rsidRPr="009967FA">
        <w:rPr>
          <w:rFonts w:ascii="Times New Roman" w:eastAsia="Times New Roman" w:hAnsi="Times New Roman"/>
          <w:sz w:val="24"/>
          <w:szCs w:val="24"/>
        </w:rPr>
        <w:t>While the above emails indicate that ERSRI was in sporadic contact with the Town regarding the need for recalculations, this Court is troubled by the lengthy and recurring gaps between those communications. ERSRI knew that with each pension check they drew, Petitioners received what it considered to be improper benefits. Accordingly, ERSRI needed to act with diligence and expedition to obtain the information required. This Court also notes the apparent lack of urgency with which ERSRI sought to notify Petitioners of the issue, as Petitioners could have been informed of the potential change to their pensions before the exact adjustments were determined.</w:t>
      </w:r>
      <w:r>
        <w:rPr>
          <w:rFonts w:ascii="Times New Roman" w:eastAsia="Times New Roman" w:hAnsi="Times New Roman"/>
          <w:sz w:val="24"/>
          <w:szCs w:val="24"/>
        </w:rPr>
        <w:t xml:space="preserve"> </w:t>
      </w:r>
      <w:r w:rsidRPr="00DF1C6F">
        <w:rPr>
          <w:rFonts w:ascii="Times New Roman" w:eastAsia="Times New Roman" w:hAnsi="Times New Roman"/>
          <w:sz w:val="24"/>
          <w:szCs w:val="24"/>
        </w:rPr>
        <w:t xml:space="preserve">*** </w:t>
      </w:r>
      <w:r w:rsidRPr="00DF1C6F">
        <w:rPr>
          <w:rFonts w:ascii="Times New Roman" w:hAnsi="Times New Roman"/>
          <w:sz w:val="24"/>
          <w:szCs w:val="24"/>
        </w:rPr>
        <w:t>In conclusion, while the Board's interpretation of § 36-8-1(8) as excluding longevity payments calculated with reference to overtime was not an error of law, the Board's decision to unilaterally recoup the overpaid benefits from Petitioners is barred by the doctrines of laches and equitable estoppel. Accordingly, Petitioners' appeal is sustained, and the decision of the Board is hereby reversed. Counsel shall submit the appropriate order for entry.</w:t>
      </w:r>
      <w:r>
        <w:t xml:space="preserve"> </w:t>
      </w:r>
      <w:hyperlink r:id="rId1191" w:history="1">
        <w:r w:rsidRPr="007148A2">
          <w:rPr>
            <w:rStyle w:val="Hyperlink"/>
            <w:sz w:val="24"/>
            <w:szCs w:val="24"/>
          </w:rPr>
          <w:t>https://public.fastcase.com/9SKwsfNqTc6OieYDhNMyM7K54qMUE6VagvA5ZeUquJVblXNtT5CMEmLb%2FOI9awGykkKYC2JU7RwfzsQEOAIcP6T5leBqhSKOtHvIUfiLV%2Fs%3D</w:t>
        </w:r>
      </w:hyperlink>
      <w:r>
        <w:rPr>
          <w:rFonts w:ascii="Times New Roman" w:eastAsia="Times New Roman" w:hAnsi="Times New Roman"/>
          <w:sz w:val="24"/>
          <w:szCs w:val="24"/>
        </w:rPr>
        <w:t xml:space="preserve"> </w:t>
      </w:r>
    </w:p>
    <w:p w14:paraId="3FC2E16A" w14:textId="77777777" w:rsidR="0082055F" w:rsidRPr="00DF1C6F" w:rsidRDefault="0082055F" w:rsidP="0082055F">
      <w:pPr>
        <w:spacing w:before="100" w:beforeAutospacing="1" w:after="100" w:afterAutospacing="1" w:line="240" w:lineRule="auto"/>
        <w:rPr>
          <w:rFonts w:ascii="Times New Roman" w:hAnsi="Times New Roman"/>
          <w:b/>
          <w:bCs/>
          <w:sz w:val="24"/>
          <w:szCs w:val="24"/>
        </w:rPr>
      </w:pPr>
      <w:r w:rsidRPr="00DF1C6F">
        <w:rPr>
          <w:rFonts w:ascii="Times New Roman" w:hAnsi="Times New Roman"/>
          <w:b/>
          <w:bCs/>
          <w:sz w:val="24"/>
          <w:szCs w:val="24"/>
        </w:rPr>
        <w:t>Legal Lesson Learned:</w:t>
      </w:r>
      <w:r>
        <w:rPr>
          <w:rFonts w:ascii="Times New Roman" w:hAnsi="Times New Roman"/>
          <w:b/>
          <w:bCs/>
          <w:sz w:val="24"/>
          <w:szCs w:val="24"/>
        </w:rPr>
        <w:t xml:space="preserve"> Nice to see decision that six-year delay by Pension Board protects retirees from forced payback.  State may appeal this decision. </w:t>
      </w:r>
    </w:p>
    <w:p w14:paraId="732ADF62" w14:textId="77777777" w:rsidR="0082055F" w:rsidRDefault="0082055F" w:rsidP="00EF1133">
      <w:pPr>
        <w:rPr>
          <w:rFonts w:ascii="Arial Black" w:hAnsi="Arial Black"/>
          <w:b/>
          <w:sz w:val="24"/>
          <w:szCs w:val="24"/>
        </w:rPr>
      </w:pPr>
    </w:p>
    <w:p w14:paraId="64DA7A95" w14:textId="10F4E3AA" w:rsidR="0082055F" w:rsidRDefault="0082055F" w:rsidP="00EF1133">
      <w:pPr>
        <w:rPr>
          <w:rFonts w:ascii="Arial Black" w:hAnsi="Arial Black"/>
          <w:b/>
          <w:sz w:val="24"/>
          <w:szCs w:val="24"/>
        </w:rPr>
      </w:pPr>
      <w:r>
        <w:rPr>
          <w:rFonts w:ascii="Arial Black" w:hAnsi="Arial Black"/>
          <w:b/>
          <w:sz w:val="24"/>
          <w:szCs w:val="24"/>
        </w:rPr>
        <w:t>6-</w:t>
      </w:r>
      <w:r w:rsidR="00FF7C63">
        <w:rPr>
          <w:rFonts w:ascii="Arial Black" w:hAnsi="Arial Black"/>
          <w:b/>
          <w:sz w:val="24"/>
          <w:szCs w:val="24"/>
        </w:rPr>
        <w:t>79</w:t>
      </w:r>
    </w:p>
    <w:p w14:paraId="31C9F5E3" w14:textId="77777777" w:rsidR="0082055F" w:rsidRDefault="0082055F" w:rsidP="0082055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MT: VOLUNTEER FD IS OWNED BY TOWN – “BUDGET-STRAPPED” TOWN HAS RIGHT TO MANAGE FD BUDGET</w:t>
      </w:r>
    </w:p>
    <w:p w14:paraId="2BEAE154" w14:textId="77777777" w:rsidR="0082055F" w:rsidRPr="0073357D" w:rsidRDefault="0082055F" w:rsidP="0082055F">
      <w:pPr>
        <w:spacing w:before="100" w:beforeAutospacing="1" w:after="100" w:afterAutospacing="1" w:line="240" w:lineRule="auto"/>
        <w:rPr>
          <w:rFonts w:ascii="Times New Roman" w:eastAsia="Times New Roman" w:hAnsi="Times New Roman"/>
          <w:sz w:val="24"/>
          <w:szCs w:val="24"/>
        </w:rPr>
      </w:pPr>
      <w:r w:rsidRPr="00306BD3">
        <w:rPr>
          <w:rFonts w:ascii="Times New Roman" w:eastAsia="Times New Roman" w:hAnsi="Times New Roman"/>
          <w:sz w:val="24"/>
          <w:szCs w:val="24"/>
        </w:rPr>
        <w:t xml:space="preserve">On </w:t>
      </w:r>
      <w:r>
        <w:rPr>
          <w:rFonts w:ascii="Times New Roman" w:eastAsia="Times New Roman" w:hAnsi="Times New Roman"/>
          <w:sz w:val="24"/>
          <w:szCs w:val="24"/>
        </w:rPr>
        <w:t xml:space="preserve">Oct. 19, 2021, in </w:t>
      </w:r>
      <w:r w:rsidRPr="00306BD3">
        <w:rPr>
          <w:rFonts w:ascii="Times New Roman" w:eastAsia="Times New Roman" w:hAnsi="Times New Roman"/>
          <w:sz w:val="24"/>
          <w:szCs w:val="24"/>
          <w:u w:val="single"/>
        </w:rPr>
        <w:t>Town of Ekalaka v, Ekalaka Volunteer Fire Department, Inc</w:t>
      </w:r>
      <w:r>
        <w:rPr>
          <w:rFonts w:ascii="Times New Roman" w:eastAsia="Times New Roman" w:hAnsi="Times New Roman"/>
          <w:sz w:val="24"/>
          <w:szCs w:val="24"/>
        </w:rPr>
        <w:t>., the Supreme Court of Montana held (5 to 0) that District Court judge properly granted summary judgment to the Town. It’s all about the money: “[B]</w:t>
      </w:r>
      <w:proofErr w:type="spellStart"/>
      <w:r w:rsidRPr="0073357D">
        <w:rPr>
          <w:rFonts w:ascii="Times New Roman" w:hAnsi="Times New Roman"/>
          <w:sz w:val="24"/>
          <w:szCs w:val="24"/>
        </w:rPr>
        <w:t>eginning</w:t>
      </w:r>
      <w:proofErr w:type="spellEnd"/>
      <w:r w:rsidRPr="0073357D">
        <w:rPr>
          <w:rFonts w:ascii="Times New Roman" w:hAnsi="Times New Roman"/>
          <w:sz w:val="24"/>
          <w:szCs w:val="24"/>
        </w:rPr>
        <w:t xml:space="preserve"> around 2014, the contract money in the Department’s separate coffers began to swell and outmatch that coming from Town and community funds. The Department now contends that the budget-strapped Town is trying to seize the assets of a private association</w:t>
      </w:r>
      <w:r>
        <w:rPr>
          <w:rFonts w:ascii="Times New Roman" w:hAnsi="Times New Roman"/>
          <w:sz w:val="24"/>
          <w:szCs w:val="24"/>
        </w:rPr>
        <w:t xml:space="preserve">.” </w:t>
      </w:r>
    </w:p>
    <w:p w14:paraId="6CD32183" w14:textId="77777777" w:rsidR="0082055F" w:rsidRPr="008147C2" w:rsidRDefault="0082055F" w:rsidP="0082055F">
      <w:pPr>
        <w:spacing w:before="100" w:beforeAutospacing="1" w:after="100" w:afterAutospacing="1" w:line="240" w:lineRule="auto"/>
        <w:ind w:left="720"/>
        <w:rPr>
          <w:rFonts w:ascii="Times New Roman" w:eastAsia="Times New Roman" w:hAnsi="Times New Roman"/>
          <w:sz w:val="24"/>
          <w:szCs w:val="24"/>
        </w:rPr>
      </w:pPr>
      <w:r w:rsidRPr="008147C2">
        <w:rPr>
          <w:rFonts w:ascii="Times New Roman" w:eastAsia="Times New Roman" w:hAnsi="Times New Roman"/>
          <w:sz w:val="24"/>
          <w:szCs w:val="24"/>
        </w:rPr>
        <w:t>“</w:t>
      </w:r>
      <w:r w:rsidRPr="008147C2">
        <w:rPr>
          <w:rFonts w:ascii="Times New Roman" w:hAnsi="Times New Roman"/>
          <w:sz w:val="24"/>
          <w:szCs w:val="24"/>
        </w:rPr>
        <w:t xml:space="preserve">The Town acknowledges its technically improper department oversight, but it also cites ways in which its management of the department has conformed to what </w:t>
      </w:r>
      <w:r w:rsidRPr="008147C2">
        <w:rPr>
          <w:rStyle w:val="Emphasis"/>
          <w:rFonts w:ascii="Times New Roman" w:hAnsi="Times New Roman"/>
          <w:sz w:val="24"/>
          <w:szCs w:val="24"/>
        </w:rPr>
        <w:t>only</w:t>
      </w:r>
      <w:r w:rsidRPr="008147C2">
        <w:rPr>
          <w:rFonts w:ascii="Times New Roman" w:hAnsi="Times New Roman"/>
          <w:sz w:val="24"/>
          <w:szCs w:val="24"/>
        </w:rPr>
        <w:t xml:space="preserve"> municipalities can do. For example, the town provides workers compensation insurance through the Montana Municipal Interlocal Authority, which is exclusive to municipal departments. The Town has also maintained property and liability insurance on the Department's vehicles and equipment.</w:t>
      </w:r>
    </w:p>
    <w:p w14:paraId="7AB9A229" w14:textId="77777777" w:rsidR="0082055F" w:rsidRDefault="0082055F" w:rsidP="0082055F">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3E8EFD99" w14:textId="77777777" w:rsidR="0082055F" w:rsidRDefault="0082055F" w:rsidP="0082055F">
      <w:pPr>
        <w:spacing w:before="100" w:beforeAutospacing="1" w:after="100" w:afterAutospacing="1" w:line="240" w:lineRule="auto"/>
        <w:ind w:left="720"/>
        <w:rPr>
          <w:rFonts w:ascii="Times New Roman" w:eastAsia="Times New Roman" w:hAnsi="Times New Roman"/>
          <w:sz w:val="24"/>
          <w:szCs w:val="24"/>
        </w:rPr>
      </w:pPr>
      <w:proofErr w:type="gramStart"/>
      <w:r w:rsidRPr="00306BD3">
        <w:rPr>
          <w:rFonts w:ascii="Times New Roman" w:eastAsia="Times New Roman" w:hAnsi="Times New Roman"/>
          <w:sz w:val="24"/>
          <w:szCs w:val="24"/>
        </w:rPr>
        <w:t>At most, what</w:t>
      </w:r>
      <w:proofErr w:type="gramEnd"/>
      <w:r w:rsidRPr="00306BD3">
        <w:rPr>
          <w:rFonts w:ascii="Times New Roman" w:eastAsia="Times New Roman" w:hAnsi="Times New Roman"/>
          <w:sz w:val="24"/>
          <w:szCs w:val="24"/>
        </w:rPr>
        <w:t xml:space="preserve"> much of this evidence proves is that Ekalaka's volunteer fire department acted with an amount of delegated independence over the decades that the Town does not contest, and perhaps that some individual volunteers misperceived or lacked the language to correctly describe its municipal </w:t>
      </w:r>
      <w:r w:rsidRPr="00306BD3">
        <w:rPr>
          <w:rFonts w:ascii="Times New Roman" w:eastAsia="Times New Roman" w:hAnsi="Times New Roman"/>
          <w:sz w:val="24"/>
          <w:szCs w:val="24"/>
        </w:rPr>
        <w:lastRenderedPageBreak/>
        <w:t xml:space="preserve">ownership. It is not unusual for two parts of a Town's government to interact with each other in ways that require arms-length language, nor is it odd for a fire department to thank its town government for support. Additionally, every piece of evidence the Department presents must be weighed against contrary evidence from the Town, including the perceptions and actions of former Department leaders; the Town's establishment of a relief association under state laws on municipalities; the impressions of third parties like the vehicle donors; mutual aid agreements that exist between </w:t>
      </w:r>
      <w:r w:rsidRPr="00306BD3">
        <w:rPr>
          <w:rFonts w:ascii="Times New Roman" w:eastAsia="Times New Roman" w:hAnsi="Times New Roman"/>
          <w:i/>
          <w:iCs/>
          <w:sz w:val="24"/>
          <w:szCs w:val="24"/>
        </w:rPr>
        <w:t>the Town</w:t>
      </w:r>
      <w:r w:rsidRPr="00306BD3">
        <w:rPr>
          <w:rFonts w:ascii="Times New Roman" w:eastAsia="Times New Roman" w:hAnsi="Times New Roman"/>
          <w:sz w:val="24"/>
          <w:szCs w:val="24"/>
        </w:rPr>
        <w:t xml:space="preserve"> and Carter County, even if arranged or signed by the fire chief; and municipal fire department reports the Town has sent to the Montana State Auditor. </w:t>
      </w:r>
    </w:p>
    <w:p w14:paraId="0EA3B66B" w14:textId="77777777" w:rsidR="0082055F" w:rsidRDefault="0082055F" w:rsidP="0082055F">
      <w:pPr>
        <w:spacing w:before="100" w:beforeAutospacing="1" w:after="100" w:afterAutospacing="1" w:line="240" w:lineRule="auto"/>
        <w:ind w:left="720"/>
        <w:rPr>
          <w:rFonts w:ascii="Times New Roman" w:hAnsi="Times New Roman"/>
          <w:sz w:val="24"/>
          <w:szCs w:val="24"/>
        </w:rPr>
      </w:pPr>
      <w:r w:rsidRPr="00306BD3">
        <w:rPr>
          <w:rFonts w:ascii="Times New Roman" w:hAnsi="Times New Roman"/>
          <w:sz w:val="24"/>
          <w:szCs w:val="24"/>
        </w:rPr>
        <w:t xml:space="preserve">The documentary evidence from the parties overwhelmingly weighs toward declaratory judgment affirming the duly established municipal department. The evidence that the Department claims </w:t>
      </w:r>
      <w:proofErr w:type="gramStart"/>
      <w:r w:rsidRPr="00306BD3">
        <w:rPr>
          <w:rFonts w:ascii="Times New Roman" w:hAnsi="Times New Roman"/>
          <w:sz w:val="24"/>
          <w:szCs w:val="24"/>
        </w:rPr>
        <w:t>exemplifies</w:t>
      </w:r>
      <w:proofErr w:type="gramEnd"/>
      <w:r w:rsidRPr="00306BD3">
        <w:rPr>
          <w:rFonts w:ascii="Times New Roman" w:hAnsi="Times New Roman"/>
          <w:sz w:val="24"/>
          <w:szCs w:val="24"/>
        </w:rPr>
        <w:t xml:space="preserve"> its practical legal sovereignty is equivocal at best, and the Department cites no legal authority for the notion that individual beliefs or vocabulary can excise an agency from town government. As the District Court noted, the Town's extensive financial and managerial delegation to the Department may be ill-advised and </w:t>
      </w:r>
      <w:proofErr w:type="gramStart"/>
      <w:r w:rsidRPr="00306BD3">
        <w:rPr>
          <w:rFonts w:ascii="Times New Roman" w:hAnsi="Times New Roman"/>
          <w:sz w:val="24"/>
          <w:szCs w:val="24"/>
        </w:rPr>
        <w:t>may be</w:t>
      </w:r>
      <w:proofErr w:type="gramEnd"/>
      <w:r w:rsidRPr="00306BD3">
        <w:rPr>
          <w:rFonts w:ascii="Times New Roman" w:hAnsi="Times New Roman"/>
          <w:sz w:val="24"/>
          <w:szCs w:val="24"/>
        </w:rPr>
        <w:t xml:space="preserve"> worth reconsidering</w:t>
      </w:r>
      <w:proofErr w:type="gramStart"/>
      <w:r w:rsidRPr="00306BD3">
        <w:rPr>
          <w:rFonts w:ascii="Times New Roman" w:hAnsi="Times New Roman"/>
          <w:sz w:val="24"/>
          <w:szCs w:val="24"/>
        </w:rPr>
        <w:t>-this</w:t>
      </w:r>
      <w:proofErr w:type="gramEnd"/>
      <w:r w:rsidRPr="00306BD3">
        <w:rPr>
          <w:rFonts w:ascii="Times New Roman" w:hAnsi="Times New Roman"/>
          <w:sz w:val="24"/>
          <w:szCs w:val="24"/>
        </w:rPr>
        <w:t xml:space="preserve"> controversy is proof enough of the pitfalls. But a small municipality's somewhat casual oversight of its volunteer fire department does not give that department a license to declare itself divested.</w:t>
      </w:r>
      <w:r>
        <w:rPr>
          <w:rFonts w:ascii="Times New Roman" w:hAnsi="Times New Roman"/>
          <w:sz w:val="24"/>
          <w:szCs w:val="24"/>
        </w:rPr>
        <w:t xml:space="preserve">” </w:t>
      </w:r>
      <w:hyperlink r:id="rId1192" w:history="1">
        <w:r w:rsidRPr="00764F47">
          <w:rPr>
            <w:rStyle w:val="Hyperlink"/>
            <w:sz w:val="24"/>
            <w:szCs w:val="24"/>
          </w:rPr>
          <w:t>https://cases.justia.com/montana/supreme-court/2021-da-20-0594.pdf?ts=1634679339</w:t>
        </w:r>
      </w:hyperlink>
      <w:r>
        <w:rPr>
          <w:rFonts w:ascii="Times New Roman" w:hAnsi="Times New Roman"/>
          <w:sz w:val="24"/>
          <w:szCs w:val="24"/>
        </w:rPr>
        <w:t xml:space="preserve"> </w:t>
      </w:r>
    </w:p>
    <w:p w14:paraId="65B61863" w14:textId="77777777" w:rsidR="0082055F" w:rsidRPr="00A7736E" w:rsidRDefault="0082055F" w:rsidP="0082055F">
      <w:pPr>
        <w:spacing w:before="100" w:beforeAutospacing="1" w:after="100" w:afterAutospacing="1" w:line="240" w:lineRule="auto"/>
        <w:rPr>
          <w:rFonts w:ascii="Times New Roman" w:eastAsia="Times New Roman" w:hAnsi="Times New Roman"/>
          <w:b/>
          <w:bCs/>
          <w:sz w:val="24"/>
          <w:szCs w:val="24"/>
        </w:rPr>
      </w:pPr>
      <w:r w:rsidRPr="008147C2">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Volunteer fire departments should have a clear understanding </w:t>
      </w:r>
      <w:proofErr w:type="gramStart"/>
      <w:r>
        <w:rPr>
          <w:rFonts w:ascii="Times New Roman" w:eastAsia="Times New Roman" w:hAnsi="Times New Roman"/>
          <w:b/>
          <w:bCs/>
          <w:sz w:val="24"/>
          <w:szCs w:val="24"/>
        </w:rPr>
        <w:t>on</w:t>
      </w:r>
      <w:proofErr w:type="gramEnd"/>
      <w:r>
        <w:rPr>
          <w:rFonts w:ascii="Times New Roman" w:eastAsia="Times New Roman" w:hAnsi="Times New Roman"/>
          <w:b/>
          <w:bCs/>
          <w:sz w:val="24"/>
          <w:szCs w:val="24"/>
        </w:rPr>
        <w:t xml:space="preserve"> the legal status of that department. </w:t>
      </w:r>
    </w:p>
    <w:p w14:paraId="0CBB6666" w14:textId="77777777" w:rsidR="0082055F" w:rsidRDefault="0082055F" w:rsidP="00EF1133">
      <w:pPr>
        <w:rPr>
          <w:rFonts w:ascii="Arial Black" w:hAnsi="Arial Black"/>
          <w:b/>
          <w:sz w:val="24"/>
          <w:szCs w:val="24"/>
        </w:rPr>
      </w:pPr>
    </w:p>
    <w:p w14:paraId="1CC71435" w14:textId="4F2AD901" w:rsidR="00BD1702" w:rsidRDefault="00BD1702"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8</w:t>
      </w:r>
    </w:p>
    <w:p w14:paraId="3F3A9334" w14:textId="77777777" w:rsidR="00BD1702" w:rsidRDefault="00BD1702" w:rsidP="00BD1702">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OH: CLEVELAND LOCAL 93 – PUBLIC RECORDS - CHIEF’S E-MAILS - FOUR DOC. WERE NOT “ATTY-CLIENT PRIVILEGED” </w:t>
      </w:r>
    </w:p>
    <w:p w14:paraId="452DFC25" w14:textId="77777777" w:rsidR="00BD1702" w:rsidRDefault="00BD1702" w:rsidP="00BD1702">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Oct. 7, 2021, in </w:t>
      </w:r>
      <w:r>
        <w:rPr>
          <w:rFonts w:ascii="Times New Roman" w:eastAsia="Times New Roman" w:hAnsi="Times New Roman"/>
          <w:sz w:val="24"/>
          <w:szCs w:val="24"/>
          <w:u w:val="single"/>
        </w:rPr>
        <w:t>Association of Cleveland Fire Fighters IAFF Local 93 v. City of Cleveland, Department of Law</w:t>
      </w:r>
      <w:r>
        <w:rPr>
          <w:rFonts w:ascii="Times New Roman" w:eastAsia="Times New Roman" w:hAnsi="Times New Roman"/>
          <w:sz w:val="24"/>
          <w:szCs w:val="24"/>
        </w:rPr>
        <w:t xml:space="preserve">, </w:t>
      </w:r>
      <w:r>
        <w:rPr>
          <w:rStyle w:val="font-weight-bold"/>
          <w:rFonts w:ascii="Times New Roman" w:hAnsi="Times New Roman"/>
        </w:rPr>
        <w:t xml:space="preserve">2021 Ohio 3602 (Ohio App. 2021), </w:t>
      </w:r>
      <w:r>
        <w:rPr>
          <w:rFonts w:ascii="Times New Roman" w:eastAsia="Times New Roman" w:hAnsi="Times New Roman"/>
          <w:sz w:val="24"/>
          <w:szCs w:val="24"/>
        </w:rPr>
        <w:t>the Court of Appeals of Ohio, 8</w:t>
      </w:r>
      <w:r>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District, Cuyahoga County, held (3 to 0) that the four e-mails marked “Attorney-Client Privileged” </w:t>
      </w:r>
      <w:r>
        <w:rPr>
          <w:rFonts w:ascii="Times New Roman" w:hAnsi="Times New Roman"/>
          <w:sz w:val="24"/>
          <w:szCs w:val="24"/>
        </w:rPr>
        <w:t xml:space="preserve">relative to an early morning fire that had occurred in the city on January 26, 2020 were in fact, after in camera review, not privileged. The Ohio Court of Claims granted </w:t>
      </w:r>
      <w:r>
        <w:rPr>
          <w:rFonts w:ascii="Times New Roman" w:eastAsia="Times New Roman" w:hAnsi="Times New Roman"/>
          <w:sz w:val="24"/>
          <w:szCs w:val="24"/>
        </w:rPr>
        <w:t xml:space="preserve">Local 93’s </w:t>
      </w:r>
      <w:r>
        <w:rPr>
          <w:rFonts w:ascii="Times New Roman" w:hAnsi="Times New Roman"/>
          <w:sz w:val="24"/>
          <w:szCs w:val="24"/>
        </w:rPr>
        <w:t xml:space="preserve">public-records request for emails that city of Cleveland Fire Chief Angelo Calvillo (‘Chief Calvillo’ or ‘the Chief’) sent, received, and was copied on from January 26, 2020, through February 5, 2020, including four marked “Attorney-Client Privileged.” </w:t>
      </w:r>
    </w:p>
    <w:p w14:paraId="102EF182" w14:textId="77777777" w:rsidR="00BD1702" w:rsidRDefault="00BD1702" w:rsidP="00BD1702">
      <w:pPr>
        <w:spacing w:after="100" w:line="240" w:lineRule="auto"/>
        <w:ind w:left="810"/>
        <w:rPr>
          <w:rFonts w:ascii="Times New Roman" w:hAnsi="Times New Roman"/>
          <w:sz w:val="24"/>
          <w:szCs w:val="24"/>
        </w:rPr>
      </w:pPr>
      <w:r>
        <w:rPr>
          <w:rFonts w:ascii="Times New Roman" w:hAnsi="Times New Roman"/>
          <w:sz w:val="24"/>
          <w:szCs w:val="24"/>
        </w:rPr>
        <w:t>“Upon review, the first three subject emails did not fall squarely within the attorney-client privilege. They did not seek any kind of legal advice. For example, the one email naming Menzalora as the primary recipient related to a scheduling matter.</w:t>
      </w:r>
    </w:p>
    <w:p w14:paraId="73F3C870" w14:textId="77777777" w:rsidR="00BD1702" w:rsidRDefault="00BD1702" w:rsidP="00BD1702">
      <w:pPr>
        <w:spacing w:after="100" w:line="240" w:lineRule="auto"/>
        <w:ind w:left="810"/>
        <w:rPr>
          <w:rFonts w:ascii="Times New Roman" w:hAnsi="Times New Roman"/>
          <w:sz w:val="24"/>
          <w:szCs w:val="24"/>
        </w:rPr>
      </w:pPr>
      <w:r>
        <w:rPr>
          <w:rFonts w:ascii="Times New Roman" w:hAnsi="Times New Roman"/>
          <w:sz w:val="24"/>
          <w:szCs w:val="24"/>
        </w:rPr>
        <w:t>***</w:t>
      </w:r>
    </w:p>
    <w:p w14:paraId="6A5D6413" w14:textId="77777777" w:rsidR="00BD1702" w:rsidRDefault="00BD1702" w:rsidP="00BD1702">
      <w:pPr>
        <w:spacing w:after="100" w:line="240" w:lineRule="auto"/>
        <w:ind w:left="810"/>
        <w:rPr>
          <w:rFonts w:ascii="Times New Roman" w:hAnsi="Times New Roman"/>
          <w:sz w:val="24"/>
          <w:szCs w:val="24"/>
        </w:rPr>
      </w:pPr>
      <w:r>
        <w:rPr>
          <w:rFonts w:ascii="Times New Roman" w:hAnsi="Times New Roman"/>
          <w:sz w:val="24"/>
          <w:szCs w:val="24"/>
        </w:rPr>
        <w:t xml:space="preserve">The fourth email that was from Chief Calvillo to the Assistant Chief, Division of Fire, is the trickiest. Although Menzalora was copied on the email, the greeting of the email was solely to the Assistant Chief, and the body asked only for the Assistant Chiefs review of a document…. Further, the header in the subject line of the </w:t>
      </w:r>
      <w:proofErr w:type="gramStart"/>
      <w:r>
        <w:rPr>
          <w:rFonts w:ascii="Times New Roman" w:hAnsi="Times New Roman"/>
          <w:sz w:val="24"/>
          <w:szCs w:val="24"/>
        </w:rPr>
        <w:t>emails</w:t>
      </w:r>
      <w:proofErr w:type="gramEnd"/>
      <w:r>
        <w:rPr>
          <w:rFonts w:ascii="Times New Roman" w:hAnsi="Times New Roman"/>
          <w:sz w:val="24"/>
          <w:szCs w:val="24"/>
        </w:rPr>
        <w:t xml:space="preserve"> that they were ‘Attorney-Client </w:t>
      </w:r>
      <w:proofErr w:type="gramStart"/>
      <w:r>
        <w:rPr>
          <w:rFonts w:ascii="Times New Roman" w:hAnsi="Times New Roman"/>
          <w:sz w:val="24"/>
          <w:szCs w:val="24"/>
        </w:rPr>
        <w:t>privilege’</w:t>
      </w:r>
      <w:proofErr w:type="gramEnd"/>
      <w:r>
        <w:rPr>
          <w:rFonts w:ascii="Times New Roman" w:hAnsi="Times New Roman"/>
          <w:sz w:val="24"/>
          <w:szCs w:val="24"/>
        </w:rPr>
        <w:t xml:space="preserve"> do not make them so. The content of the emails </w:t>
      </w:r>
      <w:proofErr w:type="gramStart"/>
      <w:r>
        <w:rPr>
          <w:rFonts w:ascii="Times New Roman" w:hAnsi="Times New Roman"/>
          <w:sz w:val="24"/>
          <w:szCs w:val="24"/>
        </w:rPr>
        <w:t>has to</w:t>
      </w:r>
      <w:proofErr w:type="gramEnd"/>
      <w:r>
        <w:rPr>
          <w:rFonts w:ascii="Times New Roman" w:hAnsi="Times New Roman"/>
          <w:sz w:val="24"/>
          <w:szCs w:val="24"/>
        </w:rPr>
        <w:t xml:space="preserve"> involve attorney-client-privileged information, and our de novo review shows that they did not contain privileged information.</w:t>
      </w:r>
    </w:p>
    <w:p w14:paraId="1BD5229E" w14:textId="77777777" w:rsidR="00BD1702" w:rsidRDefault="00BD1702" w:rsidP="00BD1702">
      <w:pPr>
        <w:spacing w:after="100" w:line="240" w:lineRule="auto"/>
        <w:ind w:left="810"/>
        <w:rPr>
          <w:rFonts w:ascii="Times New Roman" w:hAnsi="Times New Roman"/>
          <w:sz w:val="24"/>
          <w:szCs w:val="24"/>
        </w:rPr>
      </w:pPr>
      <w:r>
        <w:rPr>
          <w:rFonts w:ascii="Times New Roman" w:hAnsi="Times New Roman"/>
          <w:sz w:val="24"/>
          <w:szCs w:val="24"/>
        </w:rPr>
        <w:t>***</w:t>
      </w:r>
    </w:p>
    <w:p w14:paraId="5A9DC896" w14:textId="77777777" w:rsidR="00BD1702" w:rsidRDefault="00BD1702" w:rsidP="00BD1702">
      <w:pPr>
        <w:spacing w:after="100" w:line="240" w:lineRule="auto"/>
        <w:ind w:left="810"/>
        <w:rPr>
          <w:rFonts w:ascii="Times New Roman" w:hAnsi="Times New Roman"/>
          <w:sz w:val="24"/>
          <w:szCs w:val="24"/>
        </w:rPr>
      </w:pPr>
      <w:r>
        <w:rPr>
          <w:rFonts w:ascii="Times New Roman" w:hAnsi="Times New Roman"/>
          <w:sz w:val="24"/>
          <w:szCs w:val="24"/>
        </w:rPr>
        <w:lastRenderedPageBreak/>
        <w:t xml:space="preserve">Upon review, we decline to award attorney fees to Local 93. The record does not demonstrate that the city ‘obviously filed the appeal with the intent to either delay compliance with the Court of Claims' order from which the appeal is taken for no reasonable cause or [to] unduly harass’ Local 93.” </w:t>
      </w:r>
      <w:hyperlink r:id="rId1193" w:history="1">
        <w:r>
          <w:rPr>
            <w:rStyle w:val="Hyperlink"/>
            <w:sz w:val="24"/>
            <w:szCs w:val="24"/>
          </w:rPr>
          <w:t>https://www.leagle.com/decision/inohco20211007389</w:t>
        </w:r>
      </w:hyperlink>
    </w:p>
    <w:p w14:paraId="1A43F41A" w14:textId="77777777" w:rsidR="00BD1702" w:rsidRDefault="00BD1702" w:rsidP="00BD1702">
      <w:pPr>
        <w:tabs>
          <w:tab w:val="left" w:pos="2760"/>
        </w:tabs>
        <w:spacing w:after="100"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The burden is on the City to prove the documents meet the Attorney-Client Privilege.  Judges [or in Ohio, Special Masters with Ohio Court of Claims] will normally conduct an </w:t>
      </w:r>
      <w:proofErr w:type="gramStart"/>
      <w:r>
        <w:rPr>
          <w:rFonts w:ascii="Times New Roman" w:hAnsi="Times New Roman"/>
          <w:b/>
          <w:bCs/>
          <w:sz w:val="24"/>
          <w:szCs w:val="24"/>
        </w:rPr>
        <w:t>in camera</w:t>
      </w:r>
      <w:proofErr w:type="gramEnd"/>
      <w:r>
        <w:rPr>
          <w:rFonts w:ascii="Times New Roman" w:hAnsi="Times New Roman"/>
          <w:b/>
          <w:bCs/>
          <w:sz w:val="24"/>
          <w:szCs w:val="24"/>
        </w:rPr>
        <w:t xml:space="preserve"> review of the documents claimed to be </w:t>
      </w:r>
      <w:proofErr w:type="gramStart"/>
      <w:r>
        <w:rPr>
          <w:rFonts w:ascii="Times New Roman" w:hAnsi="Times New Roman"/>
          <w:b/>
          <w:bCs/>
          <w:sz w:val="24"/>
          <w:szCs w:val="24"/>
        </w:rPr>
        <w:t>privileged, and</w:t>
      </w:r>
      <w:proofErr w:type="gramEnd"/>
      <w:r>
        <w:rPr>
          <w:rFonts w:ascii="Times New Roman" w:hAnsi="Times New Roman"/>
          <w:b/>
          <w:bCs/>
          <w:sz w:val="24"/>
          <w:szCs w:val="24"/>
        </w:rPr>
        <w:t xml:space="preserve"> then seal the documents for review by Court of Appeals. </w:t>
      </w:r>
    </w:p>
    <w:p w14:paraId="2929F529" w14:textId="77777777" w:rsidR="00BD1702" w:rsidRDefault="00BD1702" w:rsidP="00EF1133">
      <w:pPr>
        <w:rPr>
          <w:rFonts w:ascii="Arial Black" w:hAnsi="Arial Black"/>
          <w:b/>
          <w:sz w:val="24"/>
          <w:szCs w:val="24"/>
        </w:rPr>
      </w:pPr>
    </w:p>
    <w:p w14:paraId="009FF946" w14:textId="77777777" w:rsidR="00BD1702" w:rsidRDefault="00BD1702" w:rsidP="00EF1133">
      <w:pPr>
        <w:rPr>
          <w:rFonts w:ascii="Arial Black" w:hAnsi="Arial Black"/>
          <w:b/>
          <w:sz w:val="24"/>
          <w:szCs w:val="24"/>
        </w:rPr>
      </w:pPr>
    </w:p>
    <w:p w14:paraId="64B5056D" w14:textId="35982584" w:rsidR="00BD263B" w:rsidRDefault="00BD263B"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7</w:t>
      </w:r>
    </w:p>
    <w:p w14:paraId="5DF128AA" w14:textId="77777777" w:rsidR="00BD263B" w:rsidRDefault="00BD263B" w:rsidP="00BD263B">
      <w:pPr>
        <w:pStyle w:val="articleparagraph"/>
        <w:rPr>
          <w:rFonts w:ascii="Arial Black" w:hAnsi="Arial Black"/>
          <w:sz w:val="28"/>
          <w:szCs w:val="28"/>
        </w:rPr>
      </w:pPr>
      <w:bookmarkStart w:id="230" w:name="_Hlk81842050"/>
      <w:r>
        <w:rPr>
          <w:rFonts w:ascii="Arial Black" w:hAnsi="Arial Black"/>
          <w:sz w:val="28"/>
          <w:szCs w:val="28"/>
        </w:rPr>
        <w:t>OH:  BATTALION CHIEF’s 1</w:t>
      </w:r>
      <w:r w:rsidRPr="00CF76A9">
        <w:rPr>
          <w:rFonts w:ascii="Arial Black" w:hAnsi="Arial Black"/>
          <w:sz w:val="28"/>
          <w:szCs w:val="28"/>
          <w:vertAlign w:val="superscript"/>
        </w:rPr>
        <w:t>st</w:t>
      </w:r>
      <w:r>
        <w:rPr>
          <w:rFonts w:ascii="Arial Black" w:hAnsi="Arial Black"/>
          <w:sz w:val="28"/>
          <w:szCs w:val="28"/>
        </w:rPr>
        <w:t xml:space="preserve"> AMENDMENT RIGHTS - NEW CHIEF LACKED EMS CE HOURS – LAWSUIT PROCEED</w:t>
      </w:r>
    </w:p>
    <w:bookmarkEnd w:id="230"/>
    <w:p w14:paraId="07B1D9F4" w14:textId="77777777" w:rsidR="00BD263B" w:rsidRDefault="00BD263B" w:rsidP="00BD263B">
      <w:pPr>
        <w:pStyle w:val="articleparagraph"/>
      </w:pPr>
      <w:r>
        <w:t xml:space="preserve">On Sept. 1, 2021, in </w:t>
      </w:r>
      <w:r w:rsidRPr="00F10437">
        <w:rPr>
          <w:u w:val="single"/>
        </w:rPr>
        <w:t>Sean DeCrane v. Edward Eckart, in his official and individual capacities; City of Cleveland</w:t>
      </w:r>
      <w:r>
        <w:t>, the U.S. Court of Appeals for the 6</w:t>
      </w:r>
      <w:r w:rsidRPr="00F10437">
        <w:rPr>
          <w:vertAlign w:val="superscript"/>
        </w:rPr>
        <w:t>th</w:t>
      </w:r>
      <w:r>
        <w:t xml:space="preserve"> Circuit (Cincinnati) held (3 to 0) that a retired Cleveland Battalion Chief’s lawsuit may proceed against the City and the Assistant Safety Director for retaliation, and trial court correctly denied the Safety Director’s motion for summary judgment since he does not enjoy qualified immunity.   The Battalion Chief was a candidate for Fire Chief, and when not selected, he warned the city that the new Fire Chief [</w:t>
      </w:r>
      <w:r w:rsidRPr="0046342A">
        <w:rPr>
          <w:rStyle w:val="markedcontent"/>
        </w:rPr>
        <w:t>Daryl McGinnis</w:t>
      </w:r>
      <w:r>
        <w:rPr>
          <w:rStyle w:val="markedcontent"/>
        </w:rPr>
        <w:t>, who later was suspended and then retired]</w:t>
      </w:r>
      <w:r w:rsidRPr="0046342A">
        <w:rPr>
          <w:rStyle w:val="markedcontent"/>
        </w:rPr>
        <w:t xml:space="preserve">, </w:t>
      </w:r>
      <w:r>
        <w:t xml:space="preserve">lacked continuing education hours for his EMT certificate.  Someone in the Training Division [not DeCrane] then leaked to the Press about the new Fire Chief’s lack of CE hours, and Sean DeCrane claims retaliation started against him. </w:t>
      </w:r>
    </w:p>
    <w:p w14:paraId="4D031119" w14:textId="77777777" w:rsidR="00BD263B" w:rsidRPr="0046342A" w:rsidRDefault="00BD263B" w:rsidP="00BD263B">
      <w:pPr>
        <w:pStyle w:val="articleparagraph"/>
        <w:ind w:left="720"/>
      </w:pPr>
      <w:r>
        <w:rPr>
          <w:rStyle w:val="markedcontent"/>
        </w:rPr>
        <w:t>“</w:t>
      </w:r>
      <w:r w:rsidRPr="0046342A">
        <w:rPr>
          <w:rStyle w:val="markedcontent"/>
        </w:rPr>
        <w:t xml:space="preserve">Someone in the City of Cleveland’s fire department leaked embarrassing information to the media about its chief’s insufficient training hours. Sean DeCrane, the director of the Fire Training Academy, was not that person. But, according to DeCrane, Edward Eckart thought he was. DeCrane alleges that Eckart facilitated several harmful personnel actions against him because of this mistaken </w:t>
      </w:r>
      <w:proofErr w:type="gramStart"/>
      <w:r w:rsidRPr="0046342A">
        <w:rPr>
          <w:rStyle w:val="markedcontent"/>
        </w:rPr>
        <w:t>belief—all</w:t>
      </w:r>
      <w:proofErr w:type="gramEnd"/>
      <w:r w:rsidRPr="0046342A">
        <w:rPr>
          <w:rStyle w:val="markedcontent"/>
        </w:rPr>
        <w:t xml:space="preserve"> in violation of the First Amendment. Eckart’s response? He argues that the First Amendment does not protect speech made as part of an employee’s government job, see Garcetti v. Ceballos, 547 U.S. 410, </w:t>
      </w:r>
      <w:r w:rsidRPr="0046342A">
        <w:br/>
      </w:r>
      <w:r w:rsidRPr="0046342A">
        <w:rPr>
          <w:rStyle w:val="markedcontent"/>
        </w:rPr>
        <w:t>421–22 (2006), and that DeCrane would have leaked the information pursuant to his job duties as the training director. The district court denied Eckart qualified immunity on this argument, holding that our precedent clearly established that DeCrane would have tipped off the media as a private citizen rather than a public employee. We agree and affirm this part of the court’s decision. We dismiss Eckart’s other two arguments for lack of jurisdiction in this appeal’s interlocutory posture.</w:t>
      </w:r>
      <w:r>
        <w:rPr>
          <w:rStyle w:val="markedcontent"/>
        </w:rPr>
        <w:t xml:space="preserve">”  </w:t>
      </w:r>
      <w:hyperlink r:id="rId1194" w:history="1">
        <w:r w:rsidRPr="00843DBD">
          <w:rPr>
            <w:rStyle w:val="Hyperlink"/>
          </w:rPr>
          <w:t>https://www.opn.ca6.uscourts.gov/opinions.pdf/21a0204p-06.pdf</w:t>
        </w:r>
      </w:hyperlink>
      <w:r>
        <w:rPr>
          <w:rStyle w:val="markedcontent"/>
        </w:rPr>
        <w:t xml:space="preserve"> </w:t>
      </w:r>
    </w:p>
    <w:p w14:paraId="48815E18" w14:textId="77777777" w:rsidR="00BD263B" w:rsidRPr="00F74717" w:rsidRDefault="00BD263B" w:rsidP="00BD263B">
      <w:pPr>
        <w:rPr>
          <w:rStyle w:val="markedcontent"/>
          <w:rFonts w:ascii="Times New Roman" w:hAnsi="Times New Roman"/>
          <w:b/>
          <w:bCs/>
          <w:sz w:val="24"/>
          <w:szCs w:val="24"/>
        </w:rPr>
      </w:pPr>
      <w:r w:rsidRPr="00DA62BE">
        <w:rPr>
          <w:rStyle w:val="markedcontent"/>
          <w:rFonts w:ascii="Times New Roman" w:hAnsi="Times New Roman"/>
          <w:b/>
          <w:bCs/>
          <w:sz w:val="24"/>
          <w:szCs w:val="24"/>
        </w:rPr>
        <w:t>Legal Lesson Learned:</w:t>
      </w:r>
      <w:r>
        <w:rPr>
          <w:rStyle w:val="markedcontent"/>
          <w:rFonts w:ascii="Times New Roman" w:hAnsi="Times New Roman"/>
          <w:b/>
          <w:bCs/>
          <w:sz w:val="24"/>
          <w:szCs w:val="24"/>
        </w:rPr>
        <w:t xml:space="preserve"> Important decision. While firefighters and police officers only have “limited” First Amendment rights to post information on social media concerning internal FD matters, but if a city official retaliates against an employee for speech protected by the First Amendment, the employee may sue even if the official </w:t>
      </w:r>
      <w:r w:rsidRPr="00F74717">
        <w:rPr>
          <w:rStyle w:val="markedcontent"/>
          <w:rFonts w:ascii="Times New Roman" w:hAnsi="Times New Roman"/>
          <w:b/>
          <w:bCs/>
          <w:i/>
          <w:iCs/>
          <w:sz w:val="24"/>
          <w:szCs w:val="24"/>
        </w:rPr>
        <w:t xml:space="preserve">incorrectly </w:t>
      </w:r>
      <w:r>
        <w:rPr>
          <w:rStyle w:val="markedcontent"/>
          <w:rFonts w:ascii="Times New Roman" w:hAnsi="Times New Roman"/>
          <w:b/>
          <w:bCs/>
          <w:sz w:val="24"/>
          <w:szCs w:val="24"/>
        </w:rPr>
        <w:t xml:space="preserve">believed the employee had leaked information to the press.  </w:t>
      </w:r>
    </w:p>
    <w:p w14:paraId="26038D3F" w14:textId="77777777" w:rsidR="00BD263B" w:rsidRPr="00DC7DCB" w:rsidRDefault="00BD263B" w:rsidP="00BD263B">
      <w:pPr>
        <w:ind w:left="720"/>
        <w:rPr>
          <w:rFonts w:ascii="Times New Roman" w:hAnsi="Times New Roman"/>
          <w:sz w:val="24"/>
          <w:szCs w:val="24"/>
        </w:rPr>
      </w:pPr>
      <w:r w:rsidRPr="00DC7DCB">
        <w:rPr>
          <w:rFonts w:ascii="Times New Roman" w:hAnsi="Times New Roman"/>
          <w:sz w:val="24"/>
          <w:szCs w:val="24"/>
        </w:rPr>
        <w:t xml:space="preserve">Note: See Sept. 2, </w:t>
      </w:r>
      <w:proofErr w:type="gramStart"/>
      <w:r w:rsidRPr="00DC7DCB">
        <w:rPr>
          <w:rFonts w:ascii="Times New Roman" w:hAnsi="Times New Roman"/>
          <w:sz w:val="24"/>
          <w:szCs w:val="24"/>
        </w:rPr>
        <w:t>2021</w:t>
      </w:r>
      <w:proofErr w:type="gramEnd"/>
      <w:r w:rsidRPr="00DC7DCB">
        <w:rPr>
          <w:rFonts w:ascii="Times New Roman" w:hAnsi="Times New Roman"/>
          <w:sz w:val="24"/>
          <w:szCs w:val="24"/>
        </w:rPr>
        <w:t xml:space="preserve"> article, “Federal appellate court upholds First Amendment case brought by retired Cleveland battalion chief.” </w:t>
      </w:r>
      <w:hyperlink r:id="rId1195" w:history="1">
        <w:r w:rsidRPr="00DC7DCB">
          <w:rPr>
            <w:rStyle w:val="Hyperlink"/>
            <w:sz w:val="24"/>
            <w:szCs w:val="24"/>
          </w:rPr>
          <w:t>https://www.cleveland.com/cityhall/2021/09/federal-appellate-court-upholds-first-amendment-case-brought-against-cleveland-by-retired-battalion-chief.html</w:t>
        </w:r>
      </w:hyperlink>
      <w:r w:rsidRPr="00DC7DCB">
        <w:rPr>
          <w:rFonts w:ascii="Times New Roman" w:hAnsi="Times New Roman"/>
          <w:sz w:val="24"/>
          <w:szCs w:val="24"/>
        </w:rPr>
        <w:t xml:space="preserve"> </w:t>
      </w:r>
    </w:p>
    <w:p w14:paraId="714E6B26" w14:textId="77777777" w:rsidR="00BD263B" w:rsidRPr="00DC7DCB" w:rsidRDefault="00BD263B" w:rsidP="00BD263B">
      <w:pPr>
        <w:pStyle w:val="Heading1"/>
        <w:ind w:left="720"/>
        <w:rPr>
          <w:b w:val="0"/>
          <w:bCs w:val="0"/>
          <w:sz w:val="24"/>
          <w:szCs w:val="24"/>
        </w:rPr>
      </w:pPr>
      <w:r w:rsidRPr="00DC7DCB">
        <w:rPr>
          <w:b w:val="0"/>
          <w:bCs w:val="0"/>
          <w:sz w:val="24"/>
          <w:szCs w:val="24"/>
        </w:rPr>
        <w:lastRenderedPageBreak/>
        <w:t xml:space="preserve">See Aug. 4, </w:t>
      </w:r>
      <w:proofErr w:type="gramStart"/>
      <w:r w:rsidRPr="00DC7DCB">
        <w:rPr>
          <w:b w:val="0"/>
          <w:bCs w:val="0"/>
          <w:sz w:val="24"/>
          <w:szCs w:val="24"/>
        </w:rPr>
        <w:t>2013</w:t>
      </w:r>
      <w:proofErr w:type="gramEnd"/>
      <w:r w:rsidRPr="00DC7DCB">
        <w:rPr>
          <w:b w:val="0"/>
          <w:bCs w:val="0"/>
          <w:sz w:val="24"/>
          <w:szCs w:val="24"/>
        </w:rPr>
        <w:t xml:space="preserve"> article, </w:t>
      </w:r>
      <w:r>
        <w:rPr>
          <w:b w:val="0"/>
          <w:bCs w:val="0"/>
          <w:sz w:val="24"/>
          <w:szCs w:val="24"/>
        </w:rPr>
        <w:t>“</w:t>
      </w:r>
      <w:r w:rsidRPr="00DC7DCB">
        <w:rPr>
          <w:b w:val="0"/>
          <w:bCs w:val="0"/>
          <w:sz w:val="24"/>
          <w:szCs w:val="24"/>
        </w:rPr>
        <w:t>Cleveland Fire Chief Daryl McGinnis retires two weeks after being relieved of duties</w:t>
      </w:r>
      <w:r>
        <w:rPr>
          <w:b w:val="0"/>
          <w:bCs w:val="0"/>
          <w:sz w:val="24"/>
          <w:szCs w:val="24"/>
        </w:rPr>
        <w:t>.”  “</w:t>
      </w:r>
      <w:r w:rsidRPr="00DC7DCB">
        <w:rPr>
          <w:b w:val="0"/>
          <w:bCs w:val="0"/>
          <w:sz w:val="24"/>
          <w:szCs w:val="24"/>
        </w:rPr>
        <w:t>A city review of McGinnis' training records revealed that between 2009-12 he had completed only 22 of the required 40 hours of continuing education. The city reported the information a week after The Plain Dealer asked to review his training records.</w:t>
      </w:r>
      <w:r>
        <w:rPr>
          <w:b w:val="0"/>
          <w:bCs w:val="0"/>
          <w:sz w:val="24"/>
          <w:szCs w:val="24"/>
        </w:rPr>
        <w:t xml:space="preserve">” </w:t>
      </w:r>
      <w:hyperlink r:id="rId1196" w:history="1">
        <w:r w:rsidRPr="00843DBD">
          <w:rPr>
            <w:rStyle w:val="Hyperlink"/>
            <w:sz w:val="24"/>
            <w:szCs w:val="24"/>
          </w:rPr>
          <w:t>https://www.cleveland.com/metro/2013/08/cleveland_fire_chief_daryl_mcg.html</w:t>
        </w:r>
      </w:hyperlink>
      <w:r>
        <w:rPr>
          <w:b w:val="0"/>
          <w:bCs w:val="0"/>
          <w:sz w:val="24"/>
          <w:szCs w:val="24"/>
        </w:rPr>
        <w:t xml:space="preserve"> </w:t>
      </w:r>
    </w:p>
    <w:p w14:paraId="3CF389CE" w14:textId="77777777" w:rsidR="00BD263B" w:rsidRDefault="00BD263B" w:rsidP="00EF1133">
      <w:pPr>
        <w:rPr>
          <w:rFonts w:ascii="Arial Black" w:hAnsi="Arial Black"/>
          <w:b/>
          <w:sz w:val="24"/>
          <w:szCs w:val="24"/>
        </w:rPr>
      </w:pPr>
    </w:p>
    <w:p w14:paraId="7C8B3FBF" w14:textId="6035D54A" w:rsidR="005217D5" w:rsidRDefault="005217D5"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6</w:t>
      </w:r>
    </w:p>
    <w:p w14:paraId="47E0D5F1" w14:textId="77777777" w:rsidR="005217D5" w:rsidRDefault="005217D5" w:rsidP="00B20474">
      <w:pPr>
        <w:pStyle w:val="Heading1"/>
        <w:rPr>
          <w:rFonts w:ascii="Arial Black" w:hAnsi="Arial Black"/>
          <w:b w:val="0"/>
          <w:bCs w:val="0"/>
          <w:sz w:val="28"/>
          <w:szCs w:val="28"/>
        </w:rPr>
      </w:pPr>
      <w:r w:rsidRPr="00CB17BF">
        <w:rPr>
          <w:rFonts w:ascii="Arial Black" w:hAnsi="Arial Black"/>
          <w:b w:val="0"/>
          <w:bCs w:val="0"/>
          <w:sz w:val="28"/>
          <w:szCs w:val="28"/>
        </w:rPr>
        <w:t xml:space="preserve">CT: </w:t>
      </w:r>
      <w:r>
        <w:rPr>
          <w:rFonts w:ascii="Arial Black" w:hAnsi="Arial Black"/>
          <w:b w:val="0"/>
          <w:bCs w:val="0"/>
          <w:sz w:val="28"/>
          <w:szCs w:val="28"/>
        </w:rPr>
        <w:t>HEART ATTACK - STATUTORY PRESUMPTION FOR “MEMBERS” MUNICIPAL FD - PART-TIMERS COVERED</w:t>
      </w:r>
    </w:p>
    <w:p w14:paraId="177C602F" w14:textId="77777777" w:rsidR="005217D5" w:rsidRDefault="005217D5" w:rsidP="005217D5">
      <w:pPr>
        <w:pStyle w:val="Heading1"/>
        <w:ind w:left="720"/>
        <w:rPr>
          <w:b w:val="0"/>
          <w:bCs w:val="0"/>
          <w:sz w:val="24"/>
          <w:szCs w:val="24"/>
        </w:rPr>
      </w:pPr>
      <w:r>
        <w:rPr>
          <w:b w:val="0"/>
          <w:bCs w:val="0"/>
          <w:sz w:val="24"/>
          <w:szCs w:val="24"/>
        </w:rPr>
        <w:t xml:space="preserve">On July 27, 2021, in </w:t>
      </w:r>
      <w:r w:rsidRPr="00711A5D">
        <w:rPr>
          <w:b w:val="0"/>
          <w:bCs w:val="0"/>
          <w:sz w:val="24"/>
          <w:szCs w:val="24"/>
          <w:u w:val="single"/>
        </w:rPr>
        <w:t xml:space="preserve">Christopher A. Clark v. Town of Waterford, </w:t>
      </w:r>
      <w:proofErr w:type="spellStart"/>
      <w:r w:rsidRPr="00711A5D">
        <w:rPr>
          <w:b w:val="0"/>
          <w:bCs w:val="0"/>
          <w:sz w:val="24"/>
          <w:szCs w:val="24"/>
          <w:u w:val="single"/>
        </w:rPr>
        <w:t>Cohanzie</w:t>
      </w:r>
      <w:proofErr w:type="spellEnd"/>
      <w:r w:rsidRPr="00711A5D">
        <w:rPr>
          <w:b w:val="0"/>
          <w:bCs w:val="0"/>
          <w:sz w:val="24"/>
          <w:szCs w:val="24"/>
          <w:u w:val="single"/>
        </w:rPr>
        <w:t xml:space="preserve"> Fire </w:t>
      </w:r>
      <w:r w:rsidRPr="007400FB">
        <w:rPr>
          <w:b w:val="0"/>
          <w:bCs w:val="0"/>
          <w:sz w:val="24"/>
          <w:szCs w:val="24"/>
          <w:u w:val="single"/>
        </w:rPr>
        <w:t>Department</w:t>
      </w:r>
      <w:r w:rsidRPr="00E20B80">
        <w:rPr>
          <w:b w:val="0"/>
          <w:bCs w:val="0"/>
          <w:sz w:val="24"/>
          <w:szCs w:val="24"/>
        </w:rPr>
        <w:t xml:space="preserve">, </w:t>
      </w:r>
      <w:r>
        <w:rPr>
          <w:b w:val="0"/>
          <w:bCs w:val="0"/>
          <w:sz w:val="24"/>
          <w:szCs w:val="24"/>
        </w:rPr>
        <w:t xml:space="preserve">the Court of Appeals of Connecticut held (3 to 0) that </w:t>
      </w:r>
      <w:r w:rsidRPr="00711A5D">
        <w:rPr>
          <w:b w:val="0"/>
          <w:bCs w:val="0"/>
          <w:sz w:val="24"/>
          <w:szCs w:val="24"/>
        </w:rPr>
        <w:t>Workers' Compensation Commissioner</w:t>
      </w:r>
      <w:r>
        <w:rPr>
          <w:b w:val="0"/>
          <w:bCs w:val="0"/>
          <w:sz w:val="24"/>
          <w:szCs w:val="24"/>
        </w:rPr>
        <w:t xml:space="preserve"> correctly held that the part-time firefighter was a “uniformed member” of a municipal fire department who passed a pre-hire medical exam and therefore covered under the </w:t>
      </w:r>
      <w:r w:rsidRPr="009D0C21">
        <w:rPr>
          <w:b w:val="0"/>
          <w:bCs w:val="0"/>
          <w:sz w:val="24"/>
          <w:szCs w:val="24"/>
        </w:rPr>
        <w:t>Heart and Hypertension Act</w:t>
      </w:r>
      <w:r>
        <w:rPr>
          <w:b w:val="0"/>
          <w:bCs w:val="0"/>
          <w:sz w:val="24"/>
          <w:szCs w:val="24"/>
        </w:rPr>
        <w:t xml:space="preserve">, even if he wasn’t eligible for retirement pension since he didn’t work an average of 20 hours per week or more.  </w:t>
      </w:r>
    </w:p>
    <w:p w14:paraId="1982B88E" w14:textId="77777777" w:rsidR="005217D5" w:rsidRDefault="005217D5" w:rsidP="005217D5">
      <w:pPr>
        <w:pStyle w:val="Heading1"/>
        <w:ind w:left="1440"/>
        <w:rPr>
          <w:b w:val="0"/>
          <w:bCs w:val="0"/>
          <w:sz w:val="24"/>
          <w:szCs w:val="24"/>
        </w:rPr>
      </w:pPr>
      <w:r>
        <w:rPr>
          <w:b w:val="0"/>
          <w:bCs w:val="0"/>
          <w:sz w:val="24"/>
          <w:szCs w:val="24"/>
        </w:rPr>
        <w:t>“</w:t>
      </w:r>
      <w:r w:rsidRPr="00D553CE">
        <w:rPr>
          <w:b w:val="0"/>
          <w:bCs w:val="0"/>
          <w:sz w:val="24"/>
          <w:szCs w:val="24"/>
        </w:rPr>
        <w:t xml:space="preserve">On appeal before us, the town claims that the board erred when it affirmed the commissioner's award because it failed to apply the definition of the term </w:t>
      </w:r>
      <w:r w:rsidRPr="00D553CE">
        <w:rPr>
          <w:rStyle w:val="Emphasis"/>
          <w:b w:val="0"/>
          <w:bCs w:val="0"/>
          <w:sz w:val="24"/>
          <w:szCs w:val="24"/>
        </w:rPr>
        <w:t>member</w:t>
      </w:r>
      <w:r w:rsidRPr="00D553CE">
        <w:rPr>
          <w:b w:val="0"/>
          <w:bCs w:val="0"/>
          <w:sz w:val="24"/>
          <w:szCs w:val="24"/>
        </w:rPr>
        <w:t xml:space="preserve"> provided in § 7-425 (5) when considering whether the plaintiff was </w:t>
      </w:r>
      <w:r>
        <w:rPr>
          <w:b w:val="0"/>
          <w:bCs w:val="0"/>
          <w:sz w:val="24"/>
          <w:szCs w:val="24"/>
        </w:rPr>
        <w:t>‘</w:t>
      </w:r>
      <w:r w:rsidRPr="00D553CE">
        <w:rPr>
          <w:b w:val="0"/>
          <w:bCs w:val="0"/>
          <w:sz w:val="24"/>
          <w:szCs w:val="24"/>
        </w:rPr>
        <w:t>a uniformed member of a paid municipal fire department'</w:t>
      </w:r>
      <w:r>
        <w:rPr>
          <w:b w:val="0"/>
          <w:bCs w:val="0"/>
          <w:sz w:val="24"/>
          <w:szCs w:val="24"/>
        </w:rPr>
        <w:t>’</w:t>
      </w:r>
      <w:r w:rsidRPr="00D553CE">
        <w:rPr>
          <w:b w:val="0"/>
          <w:bCs w:val="0"/>
          <w:sz w:val="24"/>
          <w:szCs w:val="24"/>
        </w:rPr>
        <w:t xml:space="preserve"> eligible for benefits pursuant to § 7-433c. We disagree.</w:t>
      </w:r>
    </w:p>
    <w:p w14:paraId="46EECC05" w14:textId="77777777" w:rsidR="005217D5" w:rsidRDefault="005217D5" w:rsidP="005217D5">
      <w:pPr>
        <w:pStyle w:val="Heading1"/>
        <w:ind w:left="1440"/>
        <w:rPr>
          <w:b w:val="0"/>
          <w:bCs w:val="0"/>
          <w:sz w:val="24"/>
          <w:szCs w:val="24"/>
        </w:rPr>
      </w:pPr>
      <w:r>
        <w:rPr>
          <w:b w:val="0"/>
          <w:bCs w:val="0"/>
          <w:sz w:val="24"/>
          <w:szCs w:val="24"/>
        </w:rPr>
        <w:t>***</w:t>
      </w:r>
    </w:p>
    <w:p w14:paraId="5215AAA4" w14:textId="77777777" w:rsidR="005217D5" w:rsidRPr="00CB17BF" w:rsidRDefault="005217D5" w:rsidP="005217D5">
      <w:pPr>
        <w:pStyle w:val="Heading1"/>
        <w:ind w:left="1440"/>
        <w:rPr>
          <w:b w:val="0"/>
          <w:bCs w:val="0"/>
          <w:sz w:val="24"/>
          <w:szCs w:val="24"/>
        </w:rPr>
      </w:pPr>
      <w:r w:rsidRPr="00CB17BF">
        <w:rPr>
          <w:b w:val="0"/>
          <w:bCs w:val="0"/>
          <w:sz w:val="24"/>
          <w:szCs w:val="24"/>
        </w:rPr>
        <w:t xml:space="preserve">Consequently, § 7-433c requires all municipal employers, as defined in General Statutes § 7-467, to pay compensation and medical care to any </w:t>
      </w:r>
      <w:r>
        <w:rPr>
          <w:b w:val="0"/>
          <w:bCs w:val="0"/>
          <w:sz w:val="24"/>
          <w:szCs w:val="24"/>
        </w:rPr>
        <w:t>‘</w:t>
      </w:r>
      <w:r w:rsidRPr="00CB17BF">
        <w:rPr>
          <w:b w:val="0"/>
          <w:bCs w:val="0"/>
          <w:sz w:val="24"/>
          <w:szCs w:val="24"/>
        </w:rPr>
        <w:t>uniformed member of a paid municipal fire department or regular member of a paid municipal police department</w:t>
      </w:r>
      <w:r>
        <w:rPr>
          <w:b w:val="0"/>
          <w:bCs w:val="0"/>
          <w:sz w:val="24"/>
          <w:szCs w:val="24"/>
        </w:rPr>
        <w:t>’</w:t>
      </w:r>
      <w:r w:rsidRPr="00CB17BF">
        <w:rPr>
          <w:b w:val="0"/>
          <w:bCs w:val="0"/>
          <w:sz w:val="24"/>
          <w:szCs w:val="24"/>
        </w:rPr>
        <w:t xml:space="preserve"> who suffers any condition or impairment of health caused by hypertension or heart disease resulting in death or temporary or permanent, total or partial disability, or dependents, as the case may be.</w:t>
      </w:r>
      <w:r>
        <w:rPr>
          <w:b w:val="0"/>
          <w:bCs w:val="0"/>
          <w:sz w:val="24"/>
          <w:szCs w:val="24"/>
        </w:rPr>
        <w:t xml:space="preserve">” </w:t>
      </w:r>
      <w:hyperlink r:id="rId1197" w:history="1">
        <w:r w:rsidRPr="00D66E15">
          <w:rPr>
            <w:rStyle w:val="Hyperlink"/>
            <w:sz w:val="24"/>
            <w:szCs w:val="24"/>
          </w:rPr>
          <w:t>https://casetext.com/case/clark-v-town-of-waterford</w:t>
        </w:r>
      </w:hyperlink>
      <w:r>
        <w:rPr>
          <w:b w:val="0"/>
          <w:bCs w:val="0"/>
          <w:sz w:val="24"/>
          <w:szCs w:val="24"/>
        </w:rPr>
        <w:t xml:space="preserve"> </w:t>
      </w:r>
    </w:p>
    <w:p w14:paraId="03955DD3" w14:textId="77777777" w:rsidR="005217D5" w:rsidRDefault="005217D5" w:rsidP="005217D5">
      <w:pPr>
        <w:pStyle w:val="Heading1"/>
        <w:ind w:left="720"/>
        <w:rPr>
          <w:sz w:val="24"/>
          <w:szCs w:val="24"/>
        </w:rPr>
      </w:pPr>
      <w:r w:rsidRPr="0021201E">
        <w:rPr>
          <w:sz w:val="24"/>
          <w:szCs w:val="24"/>
        </w:rPr>
        <w:t>Legal Lesson Learned:</w:t>
      </w:r>
      <w:r>
        <w:rPr>
          <w:sz w:val="24"/>
          <w:szCs w:val="24"/>
        </w:rPr>
        <w:t xml:space="preserve"> Statutory presumptions for heart attacks are very helpful, and in Connecticut now applies to career, part-time, and volunteer firefighters who have passed a pre-employment physical.   </w:t>
      </w:r>
    </w:p>
    <w:p w14:paraId="143D28D8" w14:textId="77777777" w:rsidR="005217D5" w:rsidRDefault="005217D5" w:rsidP="005217D5">
      <w:pPr>
        <w:pStyle w:val="NormalWeb"/>
        <w:ind w:left="1440" w:hanging="720"/>
      </w:pPr>
      <w:r w:rsidRPr="00DD5072">
        <w:t xml:space="preserve">Note: </w:t>
      </w:r>
      <w:r w:rsidRPr="00DD5072">
        <w:tab/>
      </w:r>
    </w:p>
    <w:p w14:paraId="09549AFF" w14:textId="77777777" w:rsidR="005217D5" w:rsidRDefault="005217D5" w:rsidP="005217D5">
      <w:pPr>
        <w:pStyle w:val="Heading1"/>
        <w:ind w:left="1440"/>
        <w:rPr>
          <w:sz w:val="24"/>
          <w:szCs w:val="24"/>
        </w:rPr>
      </w:pPr>
      <w:r w:rsidRPr="00F66A5F">
        <w:rPr>
          <w:b w:val="0"/>
          <w:bCs w:val="0"/>
          <w:sz w:val="24"/>
          <w:szCs w:val="24"/>
        </w:rPr>
        <w:t>Check the law in your state: IAFF Presumptive Health Initiative:</w:t>
      </w:r>
      <w:r>
        <w:rPr>
          <w:b w:val="0"/>
          <w:bCs w:val="0"/>
          <w:sz w:val="24"/>
          <w:szCs w:val="24"/>
        </w:rPr>
        <w:t xml:space="preserve"> </w:t>
      </w:r>
      <w:hyperlink r:id="rId1198" w:history="1">
        <w:r w:rsidRPr="004A379F">
          <w:rPr>
            <w:rStyle w:val="Hyperlink"/>
            <w:sz w:val="24"/>
            <w:szCs w:val="24"/>
          </w:rPr>
          <w:t>https://www.iaff.org/presumptive-health/</w:t>
        </w:r>
      </w:hyperlink>
      <w:r>
        <w:rPr>
          <w:b w:val="0"/>
          <w:bCs w:val="0"/>
          <w:sz w:val="24"/>
          <w:szCs w:val="24"/>
        </w:rPr>
        <w:t xml:space="preserve">. </w:t>
      </w:r>
    </w:p>
    <w:p w14:paraId="0DCAE8C7" w14:textId="77777777" w:rsidR="005217D5" w:rsidRPr="006C4B78" w:rsidRDefault="005217D5" w:rsidP="005217D5">
      <w:pPr>
        <w:pStyle w:val="NormalWeb"/>
        <w:ind w:left="1440"/>
        <w:rPr>
          <w:b/>
          <w:bCs/>
        </w:rPr>
      </w:pPr>
      <w:r>
        <w:t>“</w:t>
      </w:r>
      <w:r w:rsidRPr="006C4B78">
        <w:t xml:space="preserve">Connecticut's Heart and Hypertension Act was signed into law in </w:t>
      </w:r>
      <w:proofErr w:type="gramStart"/>
      <w:r w:rsidRPr="006C4B78">
        <w:t>1977, and</w:t>
      </w:r>
      <w:proofErr w:type="gramEnd"/>
      <w:r w:rsidRPr="006C4B78">
        <w:t xml:space="preserve"> allows firefighters and police officers with hypertension and heart disease to receive benefits equivalent to those found in </w:t>
      </w:r>
      <w:hyperlink r:id="rId1199" w:history="1">
        <w:r w:rsidRPr="006C4B78">
          <w:rPr>
            <w:rStyle w:val="Hyperlink"/>
          </w:rPr>
          <w:t xml:space="preserve">workers' compensation </w:t>
        </w:r>
      </w:hyperlink>
      <w:r w:rsidRPr="006C4B78">
        <w:t>without the burden of proving that the condition was in fact caused by their work.</w:t>
      </w:r>
      <w:r>
        <w:rPr>
          <w:b/>
          <w:bCs/>
        </w:rPr>
        <w:t xml:space="preserve"> </w:t>
      </w:r>
      <w:r w:rsidRPr="006C4B78">
        <w:t>Eligibility for compensation under the Heart and Hypertension Act requires that the recipient be a current or former police officer or firefighter, and that a pre-employment physical was conducted that showed no signs of either hypertension or heart disease.</w:t>
      </w:r>
      <w:r>
        <w:t>”</w:t>
      </w:r>
      <w:hyperlink r:id="rId1200" w:history="1">
        <w:r w:rsidRPr="003612CA">
          <w:rPr>
            <w:rStyle w:val="Hyperlink"/>
          </w:rPr>
          <w:t>https://www.schafer-and-schafer.com/workers-compensation/heart-and-hypertension/</w:t>
        </w:r>
      </w:hyperlink>
      <w:r>
        <w:rPr>
          <w:b/>
          <w:bCs/>
        </w:rPr>
        <w:t xml:space="preserve"> </w:t>
      </w:r>
    </w:p>
    <w:p w14:paraId="3C50E05A" w14:textId="77777777" w:rsidR="005217D5" w:rsidRPr="006C4B78" w:rsidRDefault="005217D5" w:rsidP="005217D5">
      <w:pPr>
        <w:pStyle w:val="Heading1"/>
        <w:ind w:left="1440"/>
        <w:rPr>
          <w:b w:val="0"/>
          <w:bCs w:val="0"/>
          <w:sz w:val="24"/>
          <w:szCs w:val="24"/>
        </w:rPr>
      </w:pPr>
      <w:r>
        <w:rPr>
          <w:b w:val="0"/>
          <w:bCs w:val="0"/>
          <w:sz w:val="24"/>
          <w:szCs w:val="24"/>
        </w:rPr>
        <w:lastRenderedPageBreak/>
        <w:t xml:space="preserve">Volunteer firefighters are now also covered, </w:t>
      </w:r>
      <w:r w:rsidRPr="006C4B78">
        <w:rPr>
          <w:b w:val="0"/>
          <w:bCs w:val="0"/>
          <w:sz w:val="24"/>
          <w:szCs w:val="24"/>
        </w:rPr>
        <w:t>“provided such member had previously successfully passed a physical examination by a licensed physician appointed by such department or ambulance service which examination failed to reveal any evidence of such condition.</w:t>
      </w:r>
      <w:r>
        <w:rPr>
          <w:b w:val="0"/>
          <w:bCs w:val="0"/>
          <w:sz w:val="24"/>
          <w:szCs w:val="24"/>
        </w:rPr>
        <w:t xml:space="preserve">” </w:t>
      </w:r>
      <w:hyperlink r:id="rId1201" w:history="1">
        <w:r w:rsidRPr="003612CA">
          <w:rPr>
            <w:rStyle w:val="Hyperlink"/>
            <w:sz w:val="24"/>
            <w:szCs w:val="24"/>
          </w:rPr>
          <w:t>https://wcc.state.ct.us/law/rel-stat/2009/7-314a.htm</w:t>
        </w:r>
      </w:hyperlink>
      <w:r>
        <w:rPr>
          <w:b w:val="0"/>
          <w:bCs w:val="0"/>
          <w:sz w:val="24"/>
          <w:szCs w:val="24"/>
        </w:rPr>
        <w:t xml:space="preserve"> </w:t>
      </w:r>
    </w:p>
    <w:p w14:paraId="05BBB02B" w14:textId="77777777" w:rsidR="005217D5" w:rsidRDefault="005217D5" w:rsidP="005217D5">
      <w:pPr>
        <w:pStyle w:val="Heading1"/>
        <w:ind w:left="1440"/>
        <w:rPr>
          <w:b w:val="0"/>
          <w:bCs w:val="0"/>
          <w:sz w:val="24"/>
          <w:szCs w:val="24"/>
        </w:rPr>
      </w:pPr>
      <w:r>
        <w:rPr>
          <w:b w:val="0"/>
          <w:bCs w:val="0"/>
          <w:sz w:val="24"/>
          <w:szCs w:val="24"/>
        </w:rPr>
        <w:t xml:space="preserve">April 13, 2021: Watch Appellate argument in this case: </w:t>
      </w:r>
      <w:hyperlink r:id="rId1202" w:history="1">
        <w:r w:rsidRPr="00D66E15">
          <w:rPr>
            <w:rStyle w:val="Hyperlink"/>
            <w:sz w:val="24"/>
            <w:szCs w:val="24"/>
          </w:rPr>
          <w:t>https://www.youtube.com/watch?v=-Y6r01Pmcaw</w:t>
        </w:r>
      </w:hyperlink>
      <w:r>
        <w:rPr>
          <w:b w:val="0"/>
          <w:bCs w:val="0"/>
          <w:sz w:val="24"/>
          <w:szCs w:val="24"/>
        </w:rPr>
        <w:t xml:space="preserve"> </w:t>
      </w:r>
    </w:p>
    <w:p w14:paraId="2A422DB9" w14:textId="77777777" w:rsidR="005217D5" w:rsidRDefault="005217D5" w:rsidP="00EF1133">
      <w:pPr>
        <w:rPr>
          <w:rFonts w:ascii="Arial Black" w:hAnsi="Arial Black"/>
          <w:b/>
          <w:sz w:val="24"/>
          <w:szCs w:val="24"/>
        </w:rPr>
      </w:pPr>
    </w:p>
    <w:p w14:paraId="4037BB38" w14:textId="77777777" w:rsidR="005217D5" w:rsidRDefault="005217D5" w:rsidP="00EF1133">
      <w:pPr>
        <w:rPr>
          <w:rFonts w:ascii="Arial Black" w:hAnsi="Arial Black"/>
          <w:b/>
          <w:sz w:val="24"/>
          <w:szCs w:val="24"/>
        </w:rPr>
      </w:pPr>
    </w:p>
    <w:p w14:paraId="5F7DD42E" w14:textId="23001047" w:rsidR="00F27CD5" w:rsidRDefault="00F27CD5"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5</w:t>
      </w:r>
    </w:p>
    <w:p w14:paraId="23D9175B" w14:textId="77777777" w:rsidR="00F27CD5" w:rsidRPr="00AA1475" w:rsidRDefault="00F27CD5" w:rsidP="00F27CD5">
      <w:pPr>
        <w:pStyle w:val="NoSpacing"/>
        <w:rPr>
          <w:rFonts w:ascii="Arial Black" w:hAnsi="Arial Black"/>
          <w:sz w:val="28"/>
          <w:szCs w:val="28"/>
        </w:rPr>
      </w:pPr>
      <w:r w:rsidRPr="00AA1475">
        <w:rPr>
          <w:rFonts w:ascii="Arial Black" w:hAnsi="Arial Black"/>
          <w:sz w:val="28"/>
          <w:szCs w:val="28"/>
        </w:rPr>
        <w:t xml:space="preserve">NY: FF </w:t>
      </w:r>
      <w:r>
        <w:rPr>
          <w:rFonts w:ascii="Arial Black" w:hAnsi="Arial Black"/>
          <w:sz w:val="28"/>
          <w:szCs w:val="28"/>
        </w:rPr>
        <w:t xml:space="preserve">RIGHT </w:t>
      </w:r>
      <w:r w:rsidRPr="00AA1475">
        <w:rPr>
          <w:rFonts w:ascii="Arial Black" w:hAnsi="Arial Black"/>
          <w:sz w:val="28"/>
          <w:szCs w:val="28"/>
        </w:rPr>
        <w:t>SHOULDER INJUR</w:t>
      </w:r>
      <w:r>
        <w:rPr>
          <w:rFonts w:ascii="Arial Black" w:hAnsi="Arial Black"/>
          <w:sz w:val="28"/>
          <w:szCs w:val="28"/>
        </w:rPr>
        <w:t>IES – NONE QUALIFY FOR “ACCIDENTAL DISABILITY RETIREMENT [75% TAX FREE]</w:t>
      </w:r>
    </w:p>
    <w:p w14:paraId="5A61C59D" w14:textId="77777777" w:rsidR="00F27CD5" w:rsidRDefault="00F27CD5" w:rsidP="00F27CD5">
      <w:pPr>
        <w:pStyle w:val="NoSpacing"/>
      </w:pPr>
    </w:p>
    <w:p w14:paraId="73E703C7" w14:textId="77777777" w:rsidR="00F27CD5" w:rsidRPr="008A3320" w:rsidRDefault="00F27CD5" w:rsidP="00F27CD5">
      <w:pPr>
        <w:pStyle w:val="NoSpacing"/>
        <w:rPr>
          <w:rFonts w:ascii="Times New Roman" w:hAnsi="Times New Roman"/>
          <w:sz w:val="24"/>
          <w:szCs w:val="24"/>
        </w:rPr>
      </w:pPr>
      <w:r w:rsidRPr="008A3320">
        <w:rPr>
          <w:rFonts w:ascii="Times New Roman" w:hAnsi="Times New Roman"/>
          <w:sz w:val="24"/>
          <w:szCs w:val="24"/>
        </w:rPr>
        <w:t xml:space="preserve">On May 20, 2021, </w:t>
      </w:r>
      <w:r w:rsidRPr="008A3320">
        <w:rPr>
          <w:rFonts w:ascii="Times New Roman" w:hAnsi="Times New Roman"/>
          <w:sz w:val="24"/>
          <w:szCs w:val="24"/>
          <w:u w:val="single"/>
        </w:rPr>
        <w:t>In the Matter of Bernard McGoey v. Thomas P. DiNapoli, as State Comptroller</w:t>
      </w:r>
      <w:r w:rsidRPr="008A3320">
        <w:rPr>
          <w:rFonts w:ascii="Times New Roman" w:hAnsi="Times New Roman"/>
          <w:sz w:val="24"/>
          <w:szCs w:val="24"/>
        </w:rPr>
        <w:t xml:space="preserve">, </w:t>
      </w:r>
      <w:r w:rsidRPr="008A3320">
        <w:rPr>
          <w:rStyle w:val="font-weight-bold"/>
          <w:rFonts w:ascii="Times New Roman" w:hAnsi="Times New Roman"/>
          <w:sz w:val="24"/>
          <w:szCs w:val="24"/>
        </w:rPr>
        <w:t xml:space="preserve">2021 NY Slip Op 3235 (N.Y. App. Div. 2021), </w:t>
      </w:r>
      <w:r w:rsidRPr="008A3320">
        <w:rPr>
          <w:rFonts w:ascii="Times New Roman" w:hAnsi="Times New Roman"/>
          <w:sz w:val="24"/>
          <w:szCs w:val="24"/>
        </w:rPr>
        <w:t xml:space="preserve">the Appellate Division of the Supreme Court of the State of New York, held (3 to 0) that the New York State and Local Police and Fire Retirement System correctly held that the three </w:t>
      </w:r>
      <w:r>
        <w:rPr>
          <w:rFonts w:ascii="Times New Roman" w:hAnsi="Times New Roman"/>
          <w:sz w:val="24"/>
          <w:szCs w:val="24"/>
        </w:rPr>
        <w:t>incidents, including being hit by ice from building,</w:t>
      </w:r>
      <w:r w:rsidRPr="008A3320">
        <w:rPr>
          <w:rFonts w:ascii="Times New Roman" w:hAnsi="Times New Roman"/>
          <w:sz w:val="24"/>
          <w:szCs w:val="24"/>
        </w:rPr>
        <w:t xml:space="preserve"> were part of the normal risks of firefighting, and did not constitute “accidents” within the meaning of state statute, which requires proof of "a sudden, fortuitous mischance, unexpected, out of the ordinary, and injurious in impact."</w:t>
      </w:r>
      <w:r>
        <w:rPr>
          <w:rFonts w:ascii="Times New Roman" w:hAnsi="Times New Roman"/>
          <w:sz w:val="24"/>
          <w:szCs w:val="24"/>
        </w:rPr>
        <w:t xml:space="preserve">  Under NY law, if he has proven an injury from an accident, he would receive a </w:t>
      </w:r>
      <w:r w:rsidRPr="007F639D">
        <w:rPr>
          <w:rFonts w:ascii="Times New Roman" w:hAnsi="Times New Roman"/>
          <w:sz w:val="24"/>
          <w:szCs w:val="24"/>
        </w:rPr>
        <w:t xml:space="preserve">tax-free pension of 75% of their </w:t>
      </w:r>
      <w:r>
        <w:rPr>
          <w:rFonts w:ascii="Times New Roman" w:hAnsi="Times New Roman"/>
          <w:sz w:val="24"/>
          <w:szCs w:val="24"/>
        </w:rPr>
        <w:t>f</w:t>
      </w:r>
      <w:r w:rsidRPr="007F639D">
        <w:rPr>
          <w:rFonts w:ascii="Times New Roman" w:hAnsi="Times New Roman"/>
          <w:sz w:val="24"/>
          <w:szCs w:val="24"/>
        </w:rPr>
        <w:t xml:space="preserve">inal </w:t>
      </w:r>
      <w:r>
        <w:rPr>
          <w:rFonts w:ascii="Times New Roman" w:hAnsi="Times New Roman"/>
          <w:sz w:val="24"/>
          <w:szCs w:val="24"/>
        </w:rPr>
        <w:t>a</w:t>
      </w:r>
      <w:r w:rsidRPr="007F639D">
        <w:rPr>
          <w:rFonts w:ascii="Times New Roman" w:hAnsi="Times New Roman"/>
          <w:sz w:val="24"/>
          <w:szCs w:val="24"/>
        </w:rPr>
        <w:t xml:space="preserve">verage </w:t>
      </w:r>
      <w:r>
        <w:rPr>
          <w:rFonts w:ascii="Times New Roman" w:hAnsi="Times New Roman"/>
          <w:sz w:val="24"/>
          <w:szCs w:val="24"/>
        </w:rPr>
        <w:t>s</w:t>
      </w:r>
      <w:r w:rsidRPr="007F639D">
        <w:rPr>
          <w:rFonts w:ascii="Times New Roman" w:hAnsi="Times New Roman"/>
          <w:sz w:val="24"/>
          <w:szCs w:val="24"/>
        </w:rPr>
        <w:t>alary</w:t>
      </w:r>
      <w:r>
        <w:rPr>
          <w:rFonts w:ascii="Times New Roman" w:hAnsi="Times New Roman"/>
          <w:sz w:val="24"/>
          <w:szCs w:val="24"/>
        </w:rPr>
        <w:t>.</w:t>
      </w:r>
    </w:p>
    <w:p w14:paraId="0088F124" w14:textId="77777777" w:rsidR="00F27CD5" w:rsidRPr="008A3320" w:rsidRDefault="00F27CD5" w:rsidP="00F27CD5">
      <w:pPr>
        <w:pStyle w:val="NormalWeb"/>
        <w:ind w:left="360"/>
      </w:pPr>
      <w:r>
        <w:t>“</w:t>
      </w:r>
      <w:r w:rsidRPr="008A3320">
        <w:t>Petitioner does not dispute, and the record indeed establishes, that petitioner was engaged in the performance of his ordinary firefighting duties during each of the foregoing incidents. *** It also is well established that encountering smoke, water, tangled hose lines, reduced visibility and debris — as well as the corresponding threat of tripping or falling due to such conditions</w:t>
      </w:r>
      <w:r>
        <w:t xml:space="preserve"> … </w:t>
      </w:r>
      <w:r w:rsidRPr="008A3320">
        <w:t>are all risks inherent in the performance of a firefighter's duties</w:t>
      </w:r>
      <w:r>
        <w:t>….</w:t>
      </w:r>
      <w:r w:rsidRPr="008A3320">
        <w:t xml:space="preserve"> </w:t>
      </w:r>
      <w:hyperlink r:id="rId1203" w:history="1">
        <w:r w:rsidRPr="007344F4">
          <w:rPr>
            <w:rStyle w:val="Hyperlink"/>
          </w:rPr>
          <w:t>https://law.justia.com/cases/new-york/appellate-division-third-department/2021/532333.html</w:t>
        </w:r>
      </w:hyperlink>
      <w:r>
        <w:t xml:space="preserve"> </w:t>
      </w:r>
    </w:p>
    <w:p w14:paraId="13023B9A" w14:textId="77777777" w:rsidR="00F27CD5" w:rsidRPr="00E72984" w:rsidRDefault="00F27CD5" w:rsidP="00F27CD5">
      <w:pPr>
        <w:pStyle w:val="NoSpacing"/>
        <w:rPr>
          <w:rFonts w:ascii="Times New Roman" w:hAnsi="Times New Roman"/>
          <w:b/>
          <w:bCs/>
          <w:sz w:val="24"/>
          <w:szCs w:val="24"/>
        </w:rPr>
      </w:pPr>
      <w:r w:rsidRPr="00E72984">
        <w:rPr>
          <w:rFonts w:ascii="Times New Roman" w:hAnsi="Times New Roman"/>
          <w:b/>
          <w:bCs/>
          <w:sz w:val="24"/>
          <w:szCs w:val="24"/>
        </w:rPr>
        <w:t>Legal Lesson Learned:</w:t>
      </w:r>
      <w:r>
        <w:rPr>
          <w:rFonts w:ascii="Times New Roman" w:hAnsi="Times New Roman"/>
          <w:b/>
          <w:bCs/>
          <w:sz w:val="24"/>
          <w:szCs w:val="24"/>
        </w:rPr>
        <w:t xml:space="preserve"> To receive a tax-free pension of 75% of final average salary, the firefighter had to prove injury from a sudden, unexpected occurrence that was not a risk inherent in the job.   </w:t>
      </w:r>
    </w:p>
    <w:p w14:paraId="57B53B11" w14:textId="77777777" w:rsidR="00F27CD5" w:rsidRDefault="00F27CD5" w:rsidP="00F27CD5">
      <w:pPr>
        <w:pStyle w:val="NoSpacing"/>
        <w:rPr>
          <w:rFonts w:ascii="Times New Roman" w:hAnsi="Times New Roman"/>
          <w:sz w:val="24"/>
          <w:szCs w:val="24"/>
        </w:rPr>
      </w:pPr>
    </w:p>
    <w:p w14:paraId="5EA7D6E3" w14:textId="77777777" w:rsidR="00F27CD5" w:rsidRDefault="00F27CD5" w:rsidP="00F27CD5">
      <w:pPr>
        <w:pStyle w:val="NoSpacing"/>
        <w:ind w:left="720"/>
        <w:rPr>
          <w:rFonts w:ascii="Times New Roman" w:hAnsi="Times New Roman"/>
          <w:sz w:val="24"/>
          <w:szCs w:val="24"/>
        </w:rPr>
      </w:pPr>
      <w:r>
        <w:rPr>
          <w:rFonts w:ascii="Times New Roman" w:hAnsi="Times New Roman"/>
          <w:sz w:val="24"/>
          <w:szCs w:val="24"/>
        </w:rPr>
        <w:t xml:space="preserve">Note: </w:t>
      </w:r>
    </w:p>
    <w:p w14:paraId="67EBA8E4" w14:textId="77777777" w:rsidR="00F27CD5" w:rsidRDefault="00F27CD5" w:rsidP="00F27CD5">
      <w:pPr>
        <w:pStyle w:val="NoSpacing"/>
        <w:ind w:left="720"/>
        <w:rPr>
          <w:rFonts w:ascii="Times New Roman" w:hAnsi="Times New Roman"/>
          <w:sz w:val="24"/>
          <w:szCs w:val="24"/>
        </w:rPr>
      </w:pPr>
    </w:p>
    <w:p w14:paraId="56BB1848" w14:textId="77777777" w:rsidR="00F27CD5" w:rsidRPr="005F1FB2" w:rsidRDefault="00F27CD5" w:rsidP="00F27CD5">
      <w:pPr>
        <w:pStyle w:val="Heading3"/>
        <w:ind w:left="720"/>
        <w:rPr>
          <w:rFonts w:ascii="Times New Roman" w:hAnsi="Times New Roman" w:cs="Times New Roman"/>
        </w:rPr>
      </w:pPr>
      <w:r w:rsidRPr="005F1FB2">
        <w:rPr>
          <w:rFonts w:ascii="Times New Roman" w:hAnsi="Times New Roman" w:cs="Times New Roman"/>
          <w:color w:val="auto"/>
        </w:rPr>
        <w:t>See article: NEW YORK COURTS CLARIFY DEFINITION OF 'ACCIDENT' FOR DISABILITY RETIREMENT PURPOSES (Oct. 12, 2018)</w:t>
      </w:r>
      <w:r>
        <w:rPr>
          <w:rFonts w:ascii="Times New Roman" w:hAnsi="Times New Roman" w:cs="Times New Roman"/>
          <w:color w:val="auto"/>
        </w:rPr>
        <w:t xml:space="preserve">: </w:t>
      </w:r>
      <w:hyperlink r:id="rId1204" w:history="1">
        <w:r w:rsidRPr="005F1FB2">
          <w:rPr>
            <w:rStyle w:val="Hyperlink"/>
            <w:rFonts w:cs="Times New Roman"/>
          </w:rPr>
          <w:t>https://www.alexdell.com/news/79/NEW-YORK-COURTS-CLARIFY-DEFINITION-OF-ACCIDENT-FOR-DISABILITY-RETIREMENT-PURPOSES/</w:t>
        </w:r>
      </w:hyperlink>
    </w:p>
    <w:p w14:paraId="629F59BF" w14:textId="77777777" w:rsidR="00F27CD5" w:rsidRDefault="00F27CD5" w:rsidP="00F27CD5">
      <w:pPr>
        <w:pStyle w:val="NoSpacing"/>
        <w:ind w:left="720"/>
        <w:rPr>
          <w:rFonts w:ascii="Times New Roman" w:hAnsi="Times New Roman"/>
          <w:sz w:val="24"/>
          <w:szCs w:val="24"/>
        </w:rPr>
      </w:pPr>
    </w:p>
    <w:p w14:paraId="1642DB31" w14:textId="77777777" w:rsidR="00F27CD5" w:rsidRDefault="00F27CD5" w:rsidP="00F27CD5">
      <w:pPr>
        <w:pStyle w:val="NoSpacing"/>
        <w:ind w:left="1440"/>
        <w:rPr>
          <w:rFonts w:ascii="Times New Roman" w:hAnsi="Times New Roman"/>
          <w:sz w:val="24"/>
          <w:szCs w:val="24"/>
        </w:rPr>
      </w:pPr>
      <w:r>
        <w:rPr>
          <w:rFonts w:ascii="Times New Roman" w:hAnsi="Times New Roman"/>
          <w:sz w:val="24"/>
          <w:szCs w:val="24"/>
        </w:rPr>
        <w:t>“</w:t>
      </w:r>
      <w:r w:rsidRPr="007F639D">
        <w:rPr>
          <w:rFonts w:ascii="Times New Roman" w:hAnsi="Times New Roman"/>
          <w:sz w:val="24"/>
          <w:szCs w:val="24"/>
        </w:rPr>
        <w:t>In New York State, police officers and firefighters</w:t>
      </w:r>
      <w:r>
        <w:rPr>
          <w:rFonts w:ascii="Times New Roman" w:hAnsi="Times New Roman"/>
          <w:sz w:val="24"/>
          <w:szCs w:val="24"/>
        </w:rPr>
        <w:t xml:space="preserve"> </w:t>
      </w:r>
      <w:r w:rsidRPr="007F639D">
        <w:rPr>
          <w:rFonts w:ascii="Times New Roman" w:hAnsi="Times New Roman"/>
          <w:sz w:val="24"/>
          <w:szCs w:val="24"/>
        </w:rPr>
        <w:t xml:space="preserve">who are rendered permanently disabled as the result of an on-the-job </w:t>
      </w:r>
      <w:r>
        <w:rPr>
          <w:rFonts w:ascii="Times New Roman" w:hAnsi="Times New Roman"/>
          <w:sz w:val="24"/>
          <w:szCs w:val="24"/>
        </w:rPr>
        <w:t>‘</w:t>
      </w:r>
      <w:r w:rsidRPr="007F639D">
        <w:rPr>
          <w:rFonts w:ascii="Times New Roman" w:hAnsi="Times New Roman"/>
          <w:sz w:val="24"/>
          <w:szCs w:val="24"/>
        </w:rPr>
        <w:t>accident</w:t>
      </w:r>
      <w:r>
        <w:rPr>
          <w:rFonts w:ascii="Times New Roman" w:hAnsi="Times New Roman"/>
          <w:sz w:val="24"/>
          <w:szCs w:val="24"/>
        </w:rPr>
        <w:t>’</w:t>
      </w:r>
      <w:r w:rsidRPr="007F639D">
        <w:rPr>
          <w:rFonts w:ascii="Times New Roman" w:hAnsi="Times New Roman"/>
          <w:sz w:val="24"/>
          <w:szCs w:val="24"/>
        </w:rPr>
        <w:t xml:space="preserve"> are eligible to receive a tax-free pension of 75% of their Final Average Salary. To qualify, the first responder needs to demonstrate that their work injury meets the definition of an </w:t>
      </w:r>
      <w:r>
        <w:rPr>
          <w:rFonts w:ascii="Times New Roman" w:hAnsi="Times New Roman"/>
          <w:sz w:val="24"/>
          <w:szCs w:val="24"/>
        </w:rPr>
        <w:t>‘</w:t>
      </w:r>
      <w:r w:rsidRPr="007F639D">
        <w:rPr>
          <w:rFonts w:ascii="Times New Roman" w:hAnsi="Times New Roman"/>
          <w:sz w:val="24"/>
          <w:szCs w:val="24"/>
        </w:rPr>
        <w:t xml:space="preserve">accident” as defined over time by New York State courts. An </w:t>
      </w:r>
      <w:r>
        <w:rPr>
          <w:rFonts w:ascii="Times New Roman" w:hAnsi="Times New Roman"/>
          <w:sz w:val="24"/>
          <w:szCs w:val="24"/>
        </w:rPr>
        <w:t>‘</w:t>
      </w:r>
      <w:r w:rsidRPr="007F639D">
        <w:rPr>
          <w:rFonts w:ascii="Times New Roman" w:hAnsi="Times New Roman"/>
          <w:sz w:val="24"/>
          <w:szCs w:val="24"/>
        </w:rPr>
        <w:t>accident</w:t>
      </w:r>
      <w:r>
        <w:rPr>
          <w:rFonts w:ascii="Times New Roman" w:hAnsi="Times New Roman"/>
          <w:sz w:val="24"/>
          <w:szCs w:val="24"/>
        </w:rPr>
        <w:t>’</w:t>
      </w:r>
      <w:r w:rsidRPr="007F639D">
        <w:rPr>
          <w:rFonts w:ascii="Times New Roman" w:hAnsi="Times New Roman"/>
          <w:sz w:val="24"/>
          <w:szCs w:val="24"/>
        </w:rPr>
        <w:t xml:space="preserve"> is a sudden, unexpected occurrence that was not a risk inherent in the work performed. For years, this definition of an </w:t>
      </w:r>
      <w:r>
        <w:rPr>
          <w:rFonts w:ascii="Times New Roman" w:hAnsi="Times New Roman"/>
          <w:sz w:val="24"/>
          <w:szCs w:val="24"/>
        </w:rPr>
        <w:t>‘</w:t>
      </w:r>
      <w:r w:rsidRPr="007F639D">
        <w:rPr>
          <w:rFonts w:ascii="Times New Roman" w:hAnsi="Times New Roman"/>
          <w:sz w:val="24"/>
          <w:szCs w:val="24"/>
        </w:rPr>
        <w:t>accident</w:t>
      </w:r>
      <w:r>
        <w:rPr>
          <w:rFonts w:ascii="Times New Roman" w:hAnsi="Times New Roman"/>
          <w:sz w:val="24"/>
          <w:szCs w:val="24"/>
        </w:rPr>
        <w:t>’</w:t>
      </w:r>
      <w:r w:rsidRPr="007F639D">
        <w:rPr>
          <w:rFonts w:ascii="Times New Roman" w:hAnsi="Times New Roman"/>
          <w:sz w:val="24"/>
          <w:szCs w:val="24"/>
        </w:rPr>
        <w:t xml:space="preserve"> has been fraught with ambiguity and has led to inconsistent decisions, many of which involve cases where the employee was injured as the result of a misstep or fall.</w:t>
      </w:r>
      <w:r>
        <w:rPr>
          <w:rFonts w:ascii="Times New Roman" w:hAnsi="Times New Roman"/>
          <w:sz w:val="24"/>
          <w:szCs w:val="24"/>
        </w:rPr>
        <w:t xml:space="preserve"> </w:t>
      </w:r>
    </w:p>
    <w:p w14:paraId="1DDFA25F" w14:textId="77777777" w:rsidR="00F27CD5" w:rsidRDefault="00F27CD5" w:rsidP="00F27CD5">
      <w:pPr>
        <w:pStyle w:val="NoSpacing"/>
        <w:ind w:left="720"/>
        <w:rPr>
          <w:rFonts w:ascii="Times New Roman" w:hAnsi="Times New Roman"/>
          <w:sz w:val="24"/>
          <w:szCs w:val="24"/>
        </w:rPr>
      </w:pPr>
    </w:p>
    <w:p w14:paraId="2764D980" w14:textId="77777777" w:rsidR="00F27CD5" w:rsidRDefault="00F27CD5" w:rsidP="00F27CD5">
      <w:pPr>
        <w:pStyle w:val="NoSpacing"/>
        <w:ind w:left="720" w:firstLine="720"/>
        <w:rPr>
          <w:rFonts w:ascii="Times New Roman" w:hAnsi="Times New Roman"/>
          <w:sz w:val="24"/>
          <w:szCs w:val="24"/>
        </w:rPr>
      </w:pPr>
      <w:r>
        <w:rPr>
          <w:rFonts w:ascii="Times New Roman" w:hAnsi="Times New Roman"/>
          <w:sz w:val="24"/>
          <w:szCs w:val="24"/>
        </w:rPr>
        <w:lastRenderedPageBreak/>
        <w:t>***</w:t>
      </w:r>
    </w:p>
    <w:p w14:paraId="62F8C5CF" w14:textId="77777777" w:rsidR="00F27CD5" w:rsidRDefault="00F27CD5" w:rsidP="00F27CD5">
      <w:pPr>
        <w:pStyle w:val="NoSpacing"/>
        <w:ind w:left="1440"/>
        <w:rPr>
          <w:rFonts w:ascii="Times New Roman" w:hAnsi="Times New Roman"/>
          <w:sz w:val="24"/>
          <w:szCs w:val="24"/>
        </w:rPr>
      </w:pPr>
      <w:r w:rsidRPr="007F639D">
        <w:rPr>
          <w:rFonts w:ascii="Times New Roman" w:hAnsi="Times New Roman"/>
          <w:sz w:val="24"/>
          <w:szCs w:val="24"/>
        </w:rPr>
        <w:t xml:space="preserve">On February 13, 2018, the New York State Court of Appeals – the highest court in New York – decided two important cases involving applications for accidental disability retirement benefits. In </w:t>
      </w:r>
      <w:r w:rsidRPr="007F639D">
        <w:rPr>
          <w:rFonts w:ascii="Times New Roman" w:hAnsi="Times New Roman"/>
          <w:sz w:val="24"/>
          <w:szCs w:val="24"/>
          <w:u w:val="single"/>
        </w:rPr>
        <w:t>Kelly v. DiNapoli</w:t>
      </w:r>
      <w:r w:rsidRPr="007F639D">
        <w:rPr>
          <w:rFonts w:ascii="Times New Roman" w:hAnsi="Times New Roman"/>
          <w:sz w:val="24"/>
          <w:szCs w:val="24"/>
        </w:rPr>
        <w:t xml:space="preserve"> and </w:t>
      </w:r>
      <w:r w:rsidRPr="007F639D">
        <w:rPr>
          <w:rFonts w:ascii="Times New Roman" w:hAnsi="Times New Roman"/>
          <w:sz w:val="24"/>
          <w:szCs w:val="24"/>
          <w:u w:val="single"/>
        </w:rPr>
        <w:t>Sica v. DiNapoli</w:t>
      </w:r>
      <w:r w:rsidRPr="007F639D">
        <w:rPr>
          <w:rFonts w:ascii="Times New Roman" w:hAnsi="Times New Roman"/>
          <w:sz w:val="24"/>
          <w:szCs w:val="24"/>
        </w:rPr>
        <w:t xml:space="preserve">, the Court ruled that it would no longer require injured workers to demonstrate that they were injured as the result of a hazard that was not </w:t>
      </w:r>
      <w:r>
        <w:rPr>
          <w:rFonts w:ascii="Times New Roman" w:hAnsi="Times New Roman"/>
          <w:sz w:val="24"/>
          <w:szCs w:val="24"/>
        </w:rPr>
        <w:t>‘</w:t>
      </w:r>
      <w:r w:rsidRPr="007F639D">
        <w:rPr>
          <w:rFonts w:ascii="Times New Roman" w:hAnsi="Times New Roman"/>
          <w:sz w:val="24"/>
          <w:szCs w:val="24"/>
        </w:rPr>
        <w:t>readily observable.</w:t>
      </w:r>
      <w:r>
        <w:rPr>
          <w:rFonts w:ascii="Times New Roman" w:hAnsi="Times New Roman"/>
          <w:sz w:val="24"/>
          <w:szCs w:val="24"/>
        </w:rPr>
        <w:t>’</w:t>
      </w:r>
      <w:r w:rsidRPr="007F639D">
        <w:rPr>
          <w:rFonts w:ascii="Times New Roman" w:hAnsi="Times New Roman"/>
          <w:sz w:val="24"/>
          <w:szCs w:val="24"/>
        </w:rPr>
        <w:t xml:space="preserve"> Previously, applications for accidental disability retirement benefits were often denied simply because the hazard that caused the disabling injury was deemed </w:t>
      </w:r>
      <w:r>
        <w:rPr>
          <w:rFonts w:ascii="Times New Roman" w:hAnsi="Times New Roman"/>
          <w:sz w:val="24"/>
          <w:szCs w:val="24"/>
        </w:rPr>
        <w:t>‘</w:t>
      </w:r>
      <w:r w:rsidRPr="007F639D">
        <w:rPr>
          <w:rFonts w:ascii="Times New Roman" w:hAnsi="Times New Roman"/>
          <w:sz w:val="24"/>
          <w:szCs w:val="24"/>
        </w:rPr>
        <w:t>readily observable,</w:t>
      </w:r>
      <w:r>
        <w:rPr>
          <w:rFonts w:ascii="Times New Roman" w:hAnsi="Times New Roman"/>
          <w:sz w:val="24"/>
          <w:szCs w:val="24"/>
        </w:rPr>
        <w:t>’</w:t>
      </w:r>
      <w:r w:rsidRPr="007F639D">
        <w:rPr>
          <w:rFonts w:ascii="Times New Roman" w:hAnsi="Times New Roman"/>
          <w:sz w:val="24"/>
          <w:szCs w:val="24"/>
        </w:rPr>
        <w:t xml:space="preserve"> even if the injured worker did not actually see it at the time of their injury.</w:t>
      </w:r>
      <w:r>
        <w:rPr>
          <w:rFonts w:ascii="Times New Roman" w:hAnsi="Times New Roman"/>
          <w:sz w:val="24"/>
          <w:szCs w:val="24"/>
        </w:rPr>
        <w:t xml:space="preserve">” </w:t>
      </w:r>
    </w:p>
    <w:p w14:paraId="632BD6B7" w14:textId="77777777" w:rsidR="00F27CD5" w:rsidRDefault="00F27CD5" w:rsidP="00EF1133">
      <w:pPr>
        <w:rPr>
          <w:rFonts w:ascii="Arial Black" w:hAnsi="Arial Black"/>
          <w:b/>
          <w:sz w:val="24"/>
          <w:szCs w:val="24"/>
        </w:rPr>
      </w:pPr>
    </w:p>
    <w:p w14:paraId="0ABFE0A2" w14:textId="58AB2841" w:rsidR="00F27CD5" w:rsidRDefault="00F27CD5"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4</w:t>
      </w:r>
    </w:p>
    <w:p w14:paraId="235441FE" w14:textId="77777777" w:rsidR="00F27CD5" w:rsidRDefault="00F27CD5" w:rsidP="00F27CD5">
      <w:pPr>
        <w:pStyle w:val="NoSpacing"/>
        <w:rPr>
          <w:rFonts w:ascii="Arial Black" w:hAnsi="Arial Black"/>
          <w:sz w:val="28"/>
          <w:szCs w:val="28"/>
        </w:rPr>
      </w:pPr>
      <w:r>
        <w:rPr>
          <w:rFonts w:ascii="Arial Black" w:hAnsi="Arial Black"/>
          <w:sz w:val="28"/>
          <w:szCs w:val="28"/>
        </w:rPr>
        <w:t xml:space="preserve">NJ: FF INJURED KNEE - SLIPPED ICE AT FIRE – PRE-EXISTING ARTHRITIS - “ACCIDENTAL DISABILITY” DENIED </w:t>
      </w:r>
    </w:p>
    <w:p w14:paraId="727461B8" w14:textId="77777777" w:rsidR="00F27CD5" w:rsidRDefault="00F27CD5" w:rsidP="00F27CD5">
      <w:pPr>
        <w:pStyle w:val="NoSpacing"/>
        <w:rPr>
          <w:rStyle w:val="font-weight-bold"/>
          <w:rFonts w:ascii="Times New Roman" w:hAnsi="Times New Roman"/>
          <w:sz w:val="24"/>
          <w:szCs w:val="24"/>
        </w:rPr>
      </w:pPr>
      <w:r>
        <w:rPr>
          <w:rFonts w:ascii="Times New Roman" w:hAnsi="Times New Roman"/>
          <w:sz w:val="24"/>
          <w:szCs w:val="24"/>
        </w:rPr>
        <w:t xml:space="preserve">On May 20, 2021, in </w:t>
      </w:r>
      <w:r w:rsidRPr="00330426">
        <w:rPr>
          <w:rFonts w:ascii="Times New Roman" w:hAnsi="Times New Roman"/>
          <w:sz w:val="24"/>
          <w:szCs w:val="24"/>
          <w:u w:val="single"/>
        </w:rPr>
        <w:t xml:space="preserve">Matthew Davis v. Board of Trustees, Police </w:t>
      </w:r>
      <w:proofErr w:type="gramStart"/>
      <w:r w:rsidRPr="00330426">
        <w:rPr>
          <w:rFonts w:ascii="Times New Roman" w:hAnsi="Times New Roman"/>
          <w:sz w:val="24"/>
          <w:szCs w:val="24"/>
          <w:u w:val="single"/>
        </w:rPr>
        <w:t>And</w:t>
      </w:r>
      <w:proofErr w:type="gramEnd"/>
      <w:r w:rsidRPr="00330426">
        <w:rPr>
          <w:rFonts w:ascii="Times New Roman" w:hAnsi="Times New Roman"/>
          <w:sz w:val="24"/>
          <w:szCs w:val="24"/>
          <w:u w:val="single"/>
        </w:rPr>
        <w:t xml:space="preserve"> Firemen’s Retirement System</w:t>
      </w:r>
      <w:r>
        <w:rPr>
          <w:rFonts w:ascii="Times New Roman" w:hAnsi="Times New Roman"/>
          <w:sz w:val="24"/>
          <w:szCs w:val="24"/>
        </w:rPr>
        <w:t xml:space="preserve">, the Superior Court of New Jersey, Appellate Division, </w:t>
      </w:r>
      <w:r w:rsidRPr="00330426">
        <w:rPr>
          <w:rStyle w:val="font-weight-bold"/>
          <w:rFonts w:ascii="Times New Roman" w:hAnsi="Times New Roman"/>
          <w:sz w:val="24"/>
          <w:szCs w:val="24"/>
        </w:rPr>
        <w:t xml:space="preserve">Davis v. Bd. of </w:t>
      </w:r>
      <w:proofErr w:type="spellStart"/>
      <w:r w:rsidRPr="00330426">
        <w:rPr>
          <w:rStyle w:val="font-weight-bold"/>
          <w:rFonts w:ascii="Times New Roman" w:hAnsi="Times New Roman"/>
          <w:sz w:val="24"/>
          <w:szCs w:val="24"/>
        </w:rPr>
        <w:t>Trs</w:t>
      </w:r>
      <w:proofErr w:type="spellEnd"/>
      <w:r w:rsidRPr="00330426">
        <w:rPr>
          <w:rStyle w:val="font-weight-bold"/>
          <w:rFonts w:ascii="Times New Roman" w:hAnsi="Times New Roman"/>
          <w:sz w:val="24"/>
          <w:szCs w:val="24"/>
        </w:rPr>
        <w:t>. (N.J. Super. App. Div. 2021)</w:t>
      </w:r>
      <w:r>
        <w:rPr>
          <w:rStyle w:val="font-weight-bold"/>
          <w:rFonts w:ascii="Times New Roman" w:hAnsi="Times New Roman"/>
          <w:sz w:val="24"/>
          <w:szCs w:val="24"/>
        </w:rPr>
        <w:t xml:space="preserve">, in unpublished decision, held (3 to 0) that the firefighter was not entitled to extra “accidental” disability benefits, only ordinary disability, since the 2015 injury was caused by the arthritis and lack of stability in his right knee from the 2005 skiing accident and ACL surgery. </w:t>
      </w:r>
    </w:p>
    <w:p w14:paraId="2EA24C42" w14:textId="75D5D5BD" w:rsidR="00F27CD5" w:rsidRDefault="00F27CD5" w:rsidP="00F27CD5">
      <w:pPr>
        <w:rPr>
          <w:rFonts w:ascii="Arial Black" w:hAnsi="Arial Black"/>
          <w:b/>
          <w:sz w:val="24"/>
          <w:szCs w:val="24"/>
        </w:rPr>
      </w:pPr>
      <w:r>
        <w:rPr>
          <w:rFonts w:ascii="Times New Roman" w:eastAsia="Times New Roman" w:hAnsi="Times New Roman"/>
          <w:sz w:val="24"/>
          <w:szCs w:val="24"/>
        </w:rPr>
        <w:t>“</w:t>
      </w:r>
      <w:r w:rsidRPr="00E26351">
        <w:rPr>
          <w:rFonts w:ascii="Times New Roman" w:eastAsia="Times New Roman" w:hAnsi="Times New Roman"/>
          <w:sz w:val="24"/>
          <w:szCs w:val="24"/>
        </w:rPr>
        <w:t xml:space="preserve">The Board stated that, under </w:t>
      </w:r>
      <w:r w:rsidRPr="00E26351">
        <w:rPr>
          <w:rFonts w:ascii="Times New Roman" w:eastAsia="Times New Roman" w:hAnsi="Times New Roman"/>
          <w:sz w:val="24"/>
          <w:szCs w:val="24"/>
          <w:u w:val="single"/>
        </w:rPr>
        <w:t>Gerba v. Board of Trustees, Public Employees' Retirement System</w:t>
      </w:r>
      <w:r w:rsidRPr="00E26351">
        <w:rPr>
          <w:rFonts w:ascii="Times New Roman" w:eastAsia="Times New Roman" w:hAnsi="Times New Roman"/>
          <w:sz w:val="24"/>
          <w:szCs w:val="24"/>
        </w:rPr>
        <w:t>, 83 N.J. 174, 186 (1980), an individual does not qualify for accidental disability benefits if the disability is caused by an underlying condition, which has not been directly caused, but is only aggravated or ignited by the traumatic event. The Board concluded that the evidence showed that the 2015 incident merely aggravated or ignited Davis's long-standing pre-existing arthritis. Therefore, he is not entitled to accidental disability retirement benefits. There is sufficient credible evidence in the record to support the Board's findings.</w:t>
      </w:r>
      <w:r>
        <w:rPr>
          <w:rFonts w:ascii="Times New Roman" w:eastAsia="Times New Roman" w:hAnsi="Times New Roman"/>
          <w:sz w:val="24"/>
          <w:szCs w:val="24"/>
        </w:rPr>
        <w:t xml:space="preserve">” </w:t>
      </w:r>
      <w:hyperlink r:id="rId1205" w:history="1">
        <w:r w:rsidRPr="007344F4">
          <w:rPr>
            <w:rStyle w:val="Hyperlink"/>
            <w:sz w:val="24"/>
            <w:szCs w:val="24"/>
          </w:rPr>
          <w:t>https://njcourts.gov/attorneys/assets/opinions/appellate/unpublished/a4070-18.pdf</w:t>
        </w:r>
      </w:hyperlink>
    </w:p>
    <w:p w14:paraId="1B1FF44D" w14:textId="77777777" w:rsidR="00F27CD5" w:rsidRPr="00D96A67" w:rsidRDefault="00F27CD5" w:rsidP="00F27CD5">
      <w:pPr>
        <w:pStyle w:val="NormalWeb"/>
        <w:rPr>
          <w:b/>
          <w:bCs/>
        </w:rPr>
      </w:pPr>
      <w:r w:rsidRPr="00D96A67">
        <w:rPr>
          <w:b/>
          <w:bCs/>
        </w:rPr>
        <w:t>Legal Lesson Learned:</w:t>
      </w:r>
      <w:r>
        <w:rPr>
          <w:b/>
          <w:bCs/>
        </w:rPr>
        <w:t xml:space="preserve"> This was a classic “battle of the experts.” An agency’s decision to accept or reject an expert’s testimony will generally be upheld by Courts on appeal. </w:t>
      </w:r>
    </w:p>
    <w:p w14:paraId="508F6A6C" w14:textId="77777777" w:rsidR="00F27CD5" w:rsidRDefault="00F27CD5" w:rsidP="00EF1133">
      <w:pPr>
        <w:rPr>
          <w:rFonts w:ascii="Arial Black" w:hAnsi="Arial Black"/>
          <w:b/>
          <w:sz w:val="24"/>
          <w:szCs w:val="24"/>
        </w:rPr>
      </w:pPr>
    </w:p>
    <w:p w14:paraId="7D9A14E1" w14:textId="77777777" w:rsidR="00F27CD5" w:rsidRDefault="00F27CD5" w:rsidP="00EF1133">
      <w:pPr>
        <w:rPr>
          <w:rFonts w:ascii="Arial Black" w:hAnsi="Arial Black"/>
          <w:b/>
          <w:sz w:val="24"/>
          <w:szCs w:val="24"/>
        </w:rPr>
      </w:pPr>
    </w:p>
    <w:p w14:paraId="2BFECD75" w14:textId="05B02F13" w:rsidR="00F27CD5" w:rsidRDefault="00F27CD5"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3</w:t>
      </w:r>
    </w:p>
    <w:p w14:paraId="1B212B2D" w14:textId="77777777" w:rsidR="00F27CD5" w:rsidRDefault="00F27CD5" w:rsidP="00F27CD5">
      <w:pPr>
        <w:pStyle w:val="NoSpacing"/>
        <w:rPr>
          <w:rFonts w:ascii="Arial Black" w:hAnsi="Arial Black"/>
          <w:sz w:val="28"/>
          <w:szCs w:val="28"/>
        </w:rPr>
      </w:pPr>
      <w:r>
        <w:rPr>
          <w:rFonts w:ascii="Arial Black" w:hAnsi="Arial Black"/>
          <w:sz w:val="28"/>
          <w:szCs w:val="28"/>
        </w:rPr>
        <w:t>LA: CITY MUST PAY $1.6 BACKPAY TO CURRENT / RETIRED FF – STATE LAW REQ. “LONGEVITY” PAY AFTER 3 YEARS</w:t>
      </w:r>
    </w:p>
    <w:p w14:paraId="62822132" w14:textId="77777777" w:rsidR="00F27CD5" w:rsidRDefault="00F27CD5" w:rsidP="00F27CD5">
      <w:pPr>
        <w:pStyle w:val="text"/>
      </w:pPr>
      <w:r w:rsidRPr="001B4D08">
        <w:t xml:space="preserve">On </w:t>
      </w:r>
      <w:r>
        <w:t xml:space="preserve">May 13, 2021, in </w:t>
      </w:r>
      <w:r w:rsidRPr="001B4D08">
        <w:rPr>
          <w:u w:val="single"/>
        </w:rPr>
        <w:t>Arnold Lowther, et al. v. Town of Bastrop</w:t>
      </w:r>
      <w:r>
        <w:t xml:space="preserve">, the Supreme Court of Louisiana held (6 to 1) that the </w:t>
      </w:r>
      <w:proofErr w:type="gramStart"/>
      <w:r>
        <w:t>City</w:t>
      </w:r>
      <w:proofErr w:type="gramEnd"/>
      <w:r>
        <w:t xml:space="preserve"> must pay $1,673,805 in backpay to 32 current and former firefighters; </w:t>
      </w:r>
      <w:r w:rsidRPr="0059197A">
        <w:t xml:space="preserve">Louisiana law states that firefighters will receive longevity pay after three continuous years of service. </w:t>
      </w:r>
    </w:p>
    <w:p w14:paraId="35405411" w14:textId="77777777" w:rsidR="00F27CD5" w:rsidRDefault="00F27CD5" w:rsidP="00F27CD5">
      <w:pPr>
        <w:pStyle w:val="NormalWeb"/>
        <w:ind w:left="720"/>
      </w:pPr>
      <w:r>
        <w:t>“</w:t>
      </w:r>
      <w:r w:rsidRPr="0059197A">
        <w:t>The action requested by the Firefighters' amended petition for a writ of mandamus is the City's ministerial duty to appropriate funds necessary to satisfy the May 2019 judgment as required by La. Const. art. VI, § 14(A)(2)(e), La. R.S. 33:1992(A), La. R.S. 33:1992(B), and La. R.S. 33:1969.</w:t>
      </w:r>
      <w:bookmarkStart w:id="231" w:name="fn6"/>
      <w:r w:rsidRPr="0059197A">
        <w:rPr>
          <w:vertAlign w:val="superscript"/>
        </w:rPr>
        <w:fldChar w:fldCharType="begin"/>
      </w:r>
      <w:r w:rsidRPr="0059197A">
        <w:rPr>
          <w:vertAlign w:val="superscript"/>
        </w:rPr>
        <w:instrText xml:space="preserve"> HYPERLINK "https://public.fastcase.com/" \l "fr6" </w:instrText>
      </w:r>
      <w:r w:rsidRPr="0059197A">
        <w:rPr>
          <w:vertAlign w:val="superscript"/>
        </w:rPr>
      </w:r>
      <w:r w:rsidRPr="0059197A">
        <w:rPr>
          <w:vertAlign w:val="superscript"/>
        </w:rPr>
        <w:fldChar w:fldCharType="separate"/>
      </w:r>
      <w:r w:rsidRPr="0059197A">
        <w:rPr>
          <w:rStyle w:val="Hyperlink"/>
          <w:vertAlign w:val="superscript"/>
        </w:rPr>
        <w:t>6</w:t>
      </w:r>
      <w:r w:rsidRPr="0059197A">
        <w:rPr>
          <w:vertAlign w:val="superscript"/>
        </w:rPr>
        <w:fldChar w:fldCharType="end"/>
      </w:r>
      <w:bookmarkEnd w:id="231"/>
      <w:r w:rsidRPr="0059197A">
        <w:t xml:space="preserve"> Accordingly, we find the Firefighters' allegations that the City has failed to perform this duty state a valid cause of action.</w:t>
      </w:r>
      <w:r>
        <w:t xml:space="preserve">” </w:t>
      </w:r>
      <w:hyperlink r:id="rId1206" w:history="1">
        <w:r w:rsidRPr="00416E6F">
          <w:rPr>
            <w:rStyle w:val="Hyperlink"/>
          </w:rPr>
          <w:t>https://www.lasc.org/Opinions/2021/20-1231.C.OPN.pdf</w:t>
        </w:r>
      </w:hyperlink>
      <w:r>
        <w:t xml:space="preserve"> </w:t>
      </w:r>
    </w:p>
    <w:p w14:paraId="19602926" w14:textId="77777777" w:rsidR="00F27CD5" w:rsidRDefault="00F27CD5" w:rsidP="00F27CD5">
      <w:pPr>
        <w:spacing w:before="100" w:beforeAutospacing="1" w:after="100" w:afterAutospacing="1"/>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Legal Lesson Learned: The court-ordered </w:t>
      </w:r>
      <w:proofErr w:type="gramStart"/>
      <w:r>
        <w:rPr>
          <w:rFonts w:ascii="Times New Roman" w:eastAsia="Times New Roman" w:hAnsi="Times New Roman"/>
          <w:b/>
          <w:bCs/>
          <w:sz w:val="24"/>
          <w:szCs w:val="24"/>
        </w:rPr>
        <w:t>back pay</w:t>
      </w:r>
      <w:proofErr w:type="gramEnd"/>
      <w:r>
        <w:rPr>
          <w:rFonts w:ascii="Times New Roman" w:eastAsia="Times New Roman" w:hAnsi="Times New Roman"/>
          <w:b/>
          <w:bCs/>
          <w:sz w:val="24"/>
          <w:szCs w:val="24"/>
        </w:rPr>
        <w:t xml:space="preserve"> award must be honored.</w:t>
      </w:r>
    </w:p>
    <w:p w14:paraId="1917693B" w14:textId="77777777" w:rsidR="00F27CD5" w:rsidRDefault="00F27CD5" w:rsidP="00F27CD5">
      <w:pPr>
        <w:pStyle w:val="text"/>
        <w:ind w:left="720"/>
      </w:pPr>
      <w:r>
        <w:t xml:space="preserve">Note: On March 20, 2021, the City held a special election and citizens voted for a 1.4 mil property tax to pay the judgment. </w:t>
      </w:r>
      <w:hyperlink r:id="rId1207" w:history="1">
        <w:r w:rsidRPr="00416E6F">
          <w:rPr>
            <w:rStyle w:val="Hyperlink"/>
          </w:rPr>
          <w:t>https://www.knoe.com/2021/03/21/bastrop-passes-14-million-property-tax/</w:t>
        </w:r>
      </w:hyperlink>
      <w:r>
        <w:t xml:space="preserve"> </w:t>
      </w:r>
    </w:p>
    <w:p w14:paraId="322CBF6C" w14:textId="77777777" w:rsidR="00F27CD5" w:rsidRDefault="00F27CD5" w:rsidP="00F27CD5">
      <w:pPr>
        <w:spacing w:before="100" w:beforeAutospacing="1" w:after="100" w:afterAutospacing="1"/>
        <w:ind w:left="720"/>
      </w:pPr>
      <w:r>
        <w:rPr>
          <w:rFonts w:ascii="Times New Roman" w:eastAsia="Times New Roman" w:hAnsi="Times New Roman"/>
          <w:sz w:val="24"/>
          <w:szCs w:val="24"/>
        </w:rPr>
        <w:t xml:space="preserve">See also: </w:t>
      </w:r>
      <w:r w:rsidRPr="00E42885">
        <w:rPr>
          <w:rFonts w:ascii="Times New Roman" w:eastAsia="Times New Roman" w:hAnsi="Times New Roman"/>
          <w:sz w:val="24"/>
          <w:szCs w:val="24"/>
        </w:rPr>
        <w:t xml:space="preserve">May 6, 2019: </w:t>
      </w:r>
      <w:r>
        <w:rPr>
          <w:rFonts w:ascii="Times New Roman" w:eastAsia="Times New Roman" w:hAnsi="Times New Roman"/>
          <w:sz w:val="24"/>
          <w:szCs w:val="24"/>
        </w:rPr>
        <w:t>“</w:t>
      </w:r>
      <w:r w:rsidRPr="00E42885">
        <w:rPr>
          <w:rFonts w:ascii="Times New Roman" w:hAnsi="Times New Roman"/>
          <w:sz w:val="24"/>
          <w:szCs w:val="24"/>
        </w:rPr>
        <w:t>Bastrop ordered to pay more than $1.6 million to firemen after lawsuit</w:t>
      </w:r>
      <w:r>
        <w:rPr>
          <w:rFonts w:ascii="Times New Roman" w:hAnsi="Times New Roman"/>
          <w:sz w:val="24"/>
          <w:szCs w:val="24"/>
        </w:rPr>
        <w:t xml:space="preserve">.” </w:t>
      </w:r>
      <w:hyperlink r:id="rId1208" w:history="1">
        <w:r w:rsidRPr="00416E6F">
          <w:rPr>
            <w:rStyle w:val="Hyperlink"/>
          </w:rPr>
          <w:t>https://www.knoe.com/content/news/Bastrop-ordered-to-pay-more-than-16-million-to-firemen-after-lawsuit-509570521.html</w:t>
        </w:r>
      </w:hyperlink>
    </w:p>
    <w:p w14:paraId="0EDEF9C8" w14:textId="79B8548B" w:rsidR="00F27CD5" w:rsidRDefault="00F27CD5" w:rsidP="00F27CD5">
      <w:pPr>
        <w:ind w:left="720"/>
        <w:rPr>
          <w:rFonts w:ascii="Arial Black" w:hAnsi="Arial Black"/>
          <w:b/>
          <w:sz w:val="24"/>
          <w:szCs w:val="24"/>
        </w:rPr>
      </w:pPr>
      <w:r w:rsidRPr="001F5FAA">
        <w:rPr>
          <w:rFonts w:ascii="Times New Roman" w:hAnsi="Times New Roman"/>
          <w:sz w:val="24"/>
          <w:szCs w:val="24"/>
        </w:rPr>
        <w:t xml:space="preserve">April 22, 2019: TV </w:t>
      </w:r>
      <w:r>
        <w:rPr>
          <w:rFonts w:ascii="Times New Roman" w:hAnsi="Times New Roman"/>
          <w:sz w:val="24"/>
          <w:szCs w:val="24"/>
        </w:rPr>
        <w:t>v</w:t>
      </w:r>
      <w:r w:rsidRPr="001F5FAA">
        <w:rPr>
          <w:rFonts w:ascii="Times New Roman" w:hAnsi="Times New Roman"/>
          <w:sz w:val="24"/>
          <w:szCs w:val="24"/>
        </w:rPr>
        <w:t>ideo</w:t>
      </w:r>
      <w:r>
        <w:rPr>
          <w:rFonts w:ascii="Times New Roman" w:hAnsi="Times New Roman"/>
          <w:sz w:val="24"/>
          <w:szCs w:val="24"/>
        </w:rPr>
        <w:t xml:space="preserve"> interview current Mayor</w:t>
      </w:r>
      <w:r w:rsidRPr="001F5FAA">
        <w:rPr>
          <w:rFonts w:ascii="Times New Roman" w:hAnsi="Times New Roman"/>
          <w:sz w:val="24"/>
          <w:szCs w:val="24"/>
        </w:rPr>
        <w:t xml:space="preserve">, “Bastrop firefighters fighting for their pay, the mayor says they deserve it.” : </w:t>
      </w:r>
      <w:hyperlink r:id="rId1209" w:history="1">
        <w:r w:rsidRPr="001F5FAA">
          <w:rPr>
            <w:rStyle w:val="Hyperlink"/>
            <w:sz w:val="24"/>
            <w:szCs w:val="24"/>
          </w:rPr>
          <w:t>https://www.myarklamiss.com/news/local-news/bastrop-firefighters-fighting-for-their-pay-the-mayor-says-they-deserve-it/</w:t>
        </w:r>
      </w:hyperlink>
    </w:p>
    <w:p w14:paraId="1311D0E7" w14:textId="77777777" w:rsidR="00F27CD5" w:rsidRDefault="00F27CD5" w:rsidP="00EF1133">
      <w:pPr>
        <w:rPr>
          <w:rFonts w:ascii="Arial Black" w:hAnsi="Arial Black"/>
          <w:b/>
          <w:sz w:val="24"/>
          <w:szCs w:val="24"/>
        </w:rPr>
      </w:pPr>
    </w:p>
    <w:p w14:paraId="6B591346" w14:textId="7C30A5CE" w:rsidR="00BD263B" w:rsidRDefault="00BD263B"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2</w:t>
      </w:r>
    </w:p>
    <w:p w14:paraId="3E678A48" w14:textId="77777777" w:rsidR="00BD263B" w:rsidRPr="007A4A18" w:rsidRDefault="00BD263B" w:rsidP="00BD263B">
      <w:pPr>
        <w:pStyle w:val="Heading1"/>
        <w:rPr>
          <w:rFonts w:ascii="Arial Black" w:hAnsi="Arial Black"/>
          <w:b w:val="0"/>
          <w:bCs w:val="0"/>
          <w:sz w:val="28"/>
          <w:szCs w:val="28"/>
        </w:rPr>
      </w:pPr>
      <w:bookmarkStart w:id="232" w:name="_Hlk81842110"/>
      <w:r>
        <w:rPr>
          <w:rFonts w:ascii="Arial Black" w:hAnsi="Arial Black"/>
          <w:b w:val="0"/>
          <w:bCs w:val="0"/>
          <w:sz w:val="28"/>
          <w:szCs w:val="28"/>
        </w:rPr>
        <w:t>MD: BALTIMORE – PENSION 20 YEARS TO 25 YEARS – COLA – BUT CITY MUST PAY $31 MILLION PRIOR RETIREES</w:t>
      </w:r>
    </w:p>
    <w:bookmarkEnd w:id="232"/>
    <w:p w14:paraId="2530D116" w14:textId="77777777" w:rsidR="00BD263B" w:rsidRPr="000A6C3C" w:rsidRDefault="00BD263B" w:rsidP="00BD263B">
      <w:pPr>
        <w:pStyle w:val="Heading1"/>
        <w:rPr>
          <w:rStyle w:val="markedcontent"/>
          <w:b w:val="0"/>
          <w:bCs w:val="0"/>
          <w:sz w:val="24"/>
          <w:szCs w:val="24"/>
        </w:rPr>
      </w:pPr>
      <w:r>
        <w:rPr>
          <w:b w:val="0"/>
          <w:bCs w:val="0"/>
          <w:sz w:val="24"/>
          <w:szCs w:val="24"/>
        </w:rPr>
        <w:t xml:space="preserve">On Aug. 16, 2021, in </w:t>
      </w:r>
      <w:r w:rsidRPr="001A7E4B">
        <w:rPr>
          <w:b w:val="0"/>
          <w:bCs w:val="0"/>
          <w:sz w:val="24"/>
          <w:szCs w:val="24"/>
          <w:u w:val="single"/>
        </w:rPr>
        <w:t>Robert F. Cherry, Jr. et al. v. Mayor and City Council of Baltimore City</w:t>
      </w:r>
      <w:r>
        <w:rPr>
          <w:b w:val="0"/>
          <w:bCs w:val="0"/>
          <w:sz w:val="24"/>
          <w:szCs w:val="24"/>
        </w:rPr>
        <w:t>, the Court of Appeals of Maryland, held (7 to 0) in a class action that the city made “</w:t>
      </w:r>
      <w:r w:rsidRPr="001A7E4B">
        <w:rPr>
          <w:rStyle w:val="markedcontent"/>
          <w:b w:val="0"/>
          <w:bCs w:val="0"/>
          <w:sz w:val="24"/>
          <w:szCs w:val="24"/>
        </w:rPr>
        <w:t>reasonable and necessary prospective change</w:t>
      </w:r>
      <w:r>
        <w:rPr>
          <w:rStyle w:val="markedcontent"/>
          <w:b w:val="0"/>
          <w:bCs w:val="0"/>
          <w:sz w:val="24"/>
          <w:szCs w:val="24"/>
        </w:rPr>
        <w:t xml:space="preserve">s” to protect the retirement plan for current firefighters and police officers.  </w:t>
      </w:r>
      <w:r w:rsidRPr="001A7E4B">
        <w:rPr>
          <w:rStyle w:val="markedcontent"/>
          <w:b w:val="0"/>
          <w:bCs w:val="0"/>
          <w:sz w:val="24"/>
          <w:szCs w:val="24"/>
        </w:rPr>
        <w:t>“Most notably, it replaced a variable post-retirement cost-of-living adjustment that was based entirely on the investment performance of Plan assets with a guaranteed, tiered cost-of-living adjustment that is not market-driven.</w:t>
      </w:r>
      <w:r>
        <w:rPr>
          <w:rStyle w:val="markedcontent"/>
          <w:b w:val="0"/>
          <w:bCs w:val="0"/>
          <w:sz w:val="24"/>
          <w:szCs w:val="24"/>
        </w:rPr>
        <w:t xml:space="preserve">”  Service time was also expanded. </w:t>
      </w:r>
    </w:p>
    <w:p w14:paraId="5CD2062B" w14:textId="77777777" w:rsidR="00BD263B" w:rsidRDefault="00BD263B" w:rsidP="00BD263B">
      <w:pPr>
        <w:pStyle w:val="Heading1"/>
        <w:ind w:left="720"/>
        <w:rPr>
          <w:rStyle w:val="markedcontent"/>
          <w:b w:val="0"/>
          <w:bCs w:val="0"/>
          <w:sz w:val="24"/>
          <w:szCs w:val="24"/>
        </w:rPr>
      </w:pPr>
      <w:r>
        <w:rPr>
          <w:rStyle w:val="markedcontent"/>
          <w:b w:val="0"/>
          <w:bCs w:val="0"/>
          <w:sz w:val="24"/>
          <w:szCs w:val="24"/>
        </w:rPr>
        <w:t>“</w:t>
      </w:r>
      <w:r w:rsidRPr="001A7E4B">
        <w:rPr>
          <w:rStyle w:val="markedcontent"/>
          <w:b w:val="0"/>
          <w:bCs w:val="0"/>
          <w:sz w:val="24"/>
          <w:szCs w:val="24"/>
        </w:rPr>
        <w:t xml:space="preserve">Over the course of time, governing bodies of large cities face many challenges. One </w:t>
      </w:r>
      <w:r w:rsidRPr="001A7E4B">
        <w:rPr>
          <w:b w:val="0"/>
          <w:bCs w:val="0"/>
          <w:sz w:val="24"/>
          <w:szCs w:val="24"/>
        </w:rPr>
        <w:br/>
      </w:r>
      <w:r w:rsidRPr="001A7E4B">
        <w:rPr>
          <w:rStyle w:val="markedcontent"/>
          <w:b w:val="0"/>
          <w:bCs w:val="0"/>
          <w:sz w:val="24"/>
          <w:szCs w:val="24"/>
        </w:rPr>
        <w:t>such challenge that some cities and other local governments may confront is how to change a public pension plan that is actuarially unsound. Often, the public employees who participate in these plans are represented by unions that register legitimate objections to proposed modifications. Taking such action in the face of opposition by public employees can be difficult politically. The challenge is magnified when the city is in dire financial straits. In such a situation, the city may have to choose between the lesser of two evils: change the plan without the consent, and to the consternation, of employees who have devoted their careers to public service; or keep the plan as is and put the city deeper into debt, perhaps even risking financial ruin. In 2010, Baltimore City faced this choice.</w:t>
      </w:r>
    </w:p>
    <w:p w14:paraId="00437CE9" w14:textId="77777777" w:rsidR="00BD263B" w:rsidRDefault="00BD263B" w:rsidP="00BD263B">
      <w:pPr>
        <w:rPr>
          <w:rFonts w:ascii="Arial Black" w:hAnsi="Arial Black"/>
          <w:b/>
          <w:sz w:val="24"/>
          <w:szCs w:val="24"/>
        </w:rPr>
      </w:pPr>
      <w:r w:rsidRPr="001A7E4B">
        <w:rPr>
          <w:rStyle w:val="markedcontent"/>
          <w:sz w:val="24"/>
          <w:szCs w:val="24"/>
        </w:rPr>
        <w:t xml:space="preserve">The record makes clear that the </w:t>
      </w:r>
      <w:proofErr w:type="gramStart"/>
      <w:r w:rsidRPr="001A7E4B">
        <w:rPr>
          <w:rStyle w:val="markedcontent"/>
          <w:sz w:val="24"/>
          <w:szCs w:val="24"/>
        </w:rPr>
        <w:t>City</w:t>
      </w:r>
      <w:proofErr w:type="gramEnd"/>
      <w:r w:rsidRPr="001A7E4B">
        <w:rPr>
          <w:rStyle w:val="markedcontent"/>
          <w:sz w:val="24"/>
          <w:szCs w:val="24"/>
        </w:rPr>
        <w:t xml:space="preserve"> took no pleasure in modifying the Plan with </w:t>
      </w:r>
      <w:r w:rsidRPr="001A7E4B">
        <w:rPr>
          <w:sz w:val="24"/>
          <w:szCs w:val="24"/>
        </w:rPr>
        <w:br/>
      </w:r>
      <w:r w:rsidRPr="001A7E4B">
        <w:rPr>
          <w:rStyle w:val="markedcontent"/>
          <w:sz w:val="24"/>
          <w:szCs w:val="24"/>
        </w:rPr>
        <w:t xml:space="preserve">the enactment of Ordinance 10-306. The City was faced with a lose-lose proposition: either change the terms of the Plan and incur the wrath of its </w:t>
      </w:r>
      <w:proofErr w:type="gramStart"/>
      <w:r w:rsidRPr="001A7E4B">
        <w:rPr>
          <w:rStyle w:val="markedcontent"/>
          <w:sz w:val="24"/>
          <w:szCs w:val="24"/>
        </w:rPr>
        <w:t>members, or</w:t>
      </w:r>
      <w:proofErr w:type="gramEnd"/>
      <w:r w:rsidRPr="001A7E4B">
        <w:rPr>
          <w:rStyle w:val="markedcontent"/>
          <w:sz w:val="24"/>
          <w:szCs w:val="24"/>
        </w:rPr>
        <w:t xml:space="preserve"> allow the unsustainable Plan eventually to consume itself from within, harming the Plan members and all City residents. The </w:t>
      </w:r>
      <w:proofErr w:type="gramStart"/>
      <w:r w:rsidRPr="001A7E4B">
        <w:rPr>
          <w:rStyle w:val="markedcontent"/>
          <w:sz w:val="24"/>
          <w:szCs w:val="24"/>
        </w:rPr>
        <w:t>City</w:t>
      </w:r>
      <w:proofErr w:type="gramEnd"/>
      <w:r w:rsidRPr="001A7E4B">
        <w:rPr>
          <w:rStyle w:val="markedcontent"/>
          <w:sz w:val="24"/>
          <w:szCs w:val="24"/>
        </w:rPr>
        <w:t xml:space="preserve"> opted for the former approach. As to the Active Sub-class, Ordinance 10-306’s changes made reasonable and necessary prospective changes. Thus, the City did not breach its contract with the Active Sub-class. However, the Ordinance retrospectively divested Retired and Retirement-Eligible members of the benefits they had earned by reaching Service Retirement eligibility. The City breached its contract with those Sub-classes and is liable for damages to the members as calculated and ordered by the circuit </w:t>
      </w:r>
      <w:proofErr w:type="gramStart"/>
      <w:r w:rsidRPr="001A7E4B">
        <w:rPr>
          <w:rStyle w:val="markedcontent"/>
          <w:sz w:val="24"/>
          <w:szCs w:val="24"/>
        </w:rPr>
        <w:t>court.</w:t>
      </w:r>
      <w:r>
        <w:rPr>
          <w:rStyle w:val="markedcontent"/>
          <w:sz w:val="24"/>
          <w:szCs w:val="24"/>
        </w:rPr>
        <w:t>”</w:t>
      </w:r>
      <w:proofErr w:type="gramEnd"/>
      <w:r>
        <w:rPr>
          <w:rStyle w:val="markedcontent"/>
          <w:sz w:val="24"/>
          <w:szCs w:val="24"/>
        </w:rPr>
        <w:t xml:space="preserve"> </w:t>
      </w:r>
      <w:hyperlink r:id="rId1210" w:history="1">
        <w:r w:rsidRPr="00EE73D5">
          <w:rPr>
            <w:rStyle w:val="Hyperlink"/>
            <w:sz w:val="24"/>
            <w:szCs w:val="24"/>
          </w:rPr>
          <w:t>https://www.courts.state.md.us/data/opinions/coa/2021/36a20.pdf</w:t>
        </w:r>
      </w:hyperlink>
    </w:p>
    <w:p w14:paraId="2A178C2E" w14:textId="77777777" w:rsidR="00BD263B" w:rsidRPr="007B0E98" w:rsidRDefault="00BD263B" w:rsidP="00BD263B">
      <w:pPr>
        <w:pStyle w:val="NormalWeb"/>
        <w:tabs>
          <w:tab w:val="left" w:pos="2890"/>
        </w:tabs>
        <w:rPr>
          <w:b/>
          <w:bCs/>
        </w:rPr>
      </w:pPr>
      <w:r w:rsidRPr="007B0E98">
        <w:rPr>
          <w:rStyle w:val="markedcontent"/>
          <w:b/>
          <w:bCs/>
        </w:rPr>
        <w:lastRenderedPageBreak/>
        <w:t>Legal Lesson Learned</w:t>
      </w:r>
      <w:r>
        <w:rPr>
          <w:rStyle w:val="markedcontent"/>
          <w:b/>
          <w:bCs/>
        </w:rPr>
        <w:t xml:space="preserve">: Changing retirement plans can be painful and impact morale of current </w:t>
      </w:r>
      <w:proofErr w:type="gramStart"/>
      <w:r>
        <w:rPr>
          <w:rStyle w:val="markedcontent"/>
          <w:b/>
          <w:bCs/>
        </w:rPr>
        <w:t>employees, but</w:t>
      </w:r>
      <w:proofErr w:type="gramEnd"/>
      <w:r>
        <w:rPr>
          <w:rStyle w:val="markedcontent"/>
          <w:b/>
          <w:bCs/>
        </w:rPr>
        <w:t xml:space="preserve"> may be lawful under state laws. </w:t>
      </w:r>
    </w:p>
    <w:p w14:paraId="64697FF3" w14:textId="77777777" w:rsidR="00BD263B" w:rsidRPr="007B0E98" w:rsidRDefault="00BD263B" w:rsidP="00BD263B">
      <w:pPr>
        <w:pStyle w:val="Heading1"/>
        <w:ind w:left="720"/>
        <w:rPr>
          <w:b w:val="0"/>
          <w:sz w:val="24"/>
          <w:szCs w:val="24"/>
        </w:rPr>
      </w:pPr>
      <w:r w:rsidRPr="007B0E98">
        <w:rPr>
          <w:b w:val="0"/>
          <w:sz w:val="24"/>
          <w:szCs w:val="24"/>
        </w:rPr>
        <w:t xml:space="preserve">Note: See Aug. 16, </w:t>
      </w:r>
      <w:proofErr w:type="gramStart"/>
      <w:r w:rsidRPr="007B0E98">
        <w:rPr>
          <w:b w:val="0"/>
          <w:sz w:val="24"/>
          <w:szCs w:val="24"/>
        </w:rPr>
        <w:t>2021</w:t>
      </w:r>
      <w:proofErr w:type="gramEnd"/>
      <w:r w:rsidRPr="007B0E98">
        <w:rPr>
          <w:b w:val="0"/>
          <w:sz w:val="24"/>
          <w:szCs w:val="24"/>
        </w:rPr>
        <w:t xml:space="preserve"> article, “Baltimore police and fire unions frustrated by appeals court ruling upholding city’s right to raise retirement age.” </w:t>
      </w:r>
      <w:hyperlink r:id="rId1211" w:history="1">
        <w:r w:rsidRPr="007B0E98">
          <w:rPr>
            <w:rStyle w:val="Hyperlink"/>
            <w:sz w:val="24"/>
            <w:szCs w:val="24"/>
          </w:rPr>
          <w:t>https://www.baltimoresun.com/maryland/baltimore-city/bs-md-ci-lawsuit-opinion-20210817-vlhba6nhe5dnfayycibxat2sli-story.html</w:t>
        </w:r>
      </w:hyperlink>
      <w:r w:rsidRPr="007B0E98">
        <w:rPr>
          <w:b w:val="0"/>
          <w:sz w:val="24"/>
          <w:szCs w:val="24"/>
        </w:rPr>
        <w:t xml:space="preserve">  </w:t>
      </w:r>
    </w:p>
    <w:p w14:paraId="3E5E72CE" w14:textId="77777777" w:rsidR="00BD263B" w:rsidRPr="007B0E98" w:rsidRDefault="00BD263B" w:rsidP="00BD263B">
      <w:pPr>
        <w:pStyle w:val="NormalWeb"/>
        <w:ind w:left="720"/>
        <w:rPr>
          <w:bCs/>
        </w:rPr>
      </w:pPr>
      <w:r>
        <w:t xml:space="preserve">“The Court of Appeals ruling affirmed the lower court’s computation of $31 million in damages to retirees who had already earned their pensions…. The lawsuit came after the city, facing a staggering budget shortfall following the 2008 financial crises, changed its pension plan to require police and firefighters to serve 25 years instead of 20 </w:t>
      </w:r>
      <w:proofErr w:type="gramStart"/>
      <w:r>
        <w:t>in order to</w:t>
      </w:r>
      <w:proofErr w:type="gramEnd"/>
      <w:r>
        <w:t xml:space="preserve"> retire and get benefits.”</w:t>
      </w:r>
    </w:p>
    <w:p w14:paraId="2388490F" w14:textId="77777777" w:rsidR="00BD263B" w:rsidRDefault="00BD263B" w:rsidP="00EF1133">
      <w:pPr>
        <w:rPr>
          <w:rFonts w:ascii="Arial Black" w:hAnsi="Arial Black"/>
          <w:b/>
          <w:sz w:val="24"/>
          <w:szCs w:val="24"/>
        </w:rPr>
      </w:pPr>
    </w:p>
    <w:p w14:paraId="01930713" w14:textId="0CE5ADAE" w:rsidR="0077274E" w:rsidRDefault="0077274E"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1</w:t>
      </w:r>
    </w:p>
    <w:p w14:paraId="771AB435" w14:textId="77777777" w:rsidR="0077274E" w:rsidRPr="000A707F" w:rsidRDefault="0077274E" w:rsidP="0077274E">
      <w:pPr>
        <w:rPr>
          <w:rFonts w:ascii="Arial Black" w:hAnsi="Arial Black"/>
          <w:sz w:val="28"/>
          <w:szCs w:val="28"/>
        </w:rPr>
      </w:pPr>
      <w:r>
        <w:rPr>
          <w:rFonts w:ascii="Arial Black" w:hAnsi="Arial Black"/>
          <w:sz w:val="28"/>
          <w:szCs w:val="28"/>
        </w:rPr>
        <w:t>OH: PROMOTION EXAM CAPTAIN – “DISTRACTED, BORED, SLEEPING” EVALUATORS – BUT NO RIGHT TO PROMOTION</w:t>
      </w:r>
    </w:p>
    <w:p w14:paraId="56805AA0" w14:textId="77777777" w:rsidR="0077274E" w:rsidRDefault="0077274E" w:rsidP="0077274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April 14, 2021, in </w:t>
      </w:r>
      <w:r w:rsidRPr="000A707F">
        <w:rPr>
          <w:rFonts w:ascii="Times New Roman" w:hAnsi="Times New Roman"/>
          <w:sz w:val="24"/>
          <w:szCs w:val="24"/>
          <w:u w:val="single"/>
        </w:rPr>
        <w:t>State of Ohio, Ex Rel. Jeffrey Neal v. City of Cincinnati</w:t>
      </w:r>
      <w:r>
        <w:rPr>
          <w:rFonts w:ascii="Times New Roman" w:hAnsi="Times New Roman"/>
          <w:sz w:val="24"/>
          <w:szCs w:val="24"/>
        </w:rPr>
        <w:t xml:space="preserve">, the Ohio Court of Appeals, First Appellate District (Hamilton County) held (3 to 0) that the trial court improperly ordered the City to promote Lt. Neal, Cincinnati Fire Department.   Even if the testing process was flawed in the oral portions (tactical and interview portions} by distracted evaluators, he failed to show a “clear legal right” to the promotion.  In addition, he scored </w:t>
      </w:r>
      <w:r w:rsidRPr="006A44A9">
        <w:rPr>
          <w:rFonts w:ascii="Times New Roman" w:hAnsi="Times New Roman"/>
          <w:sz w:val="24"/>
          <w:szCs w:val="24"/>
        </w:rPr>
        <w:t>42</w:t>
      </w:r>
      <w:r w:rsidRPr="006A44A9">
        <w:rPr>
          <w:rFonts w:ascii="Times New Roman" w:hAnsi="Times New Roman"/>
          <w:sz w:val="24"/>
          <w:szCs w:val="24"/>
          <w:vertAlign w:val="superscript"/>
        </w:rPr>
        <w:t>nd</w:t>
      </w:r>
      <w:r>
        <w:rPr>
          <w:rFonts w:ascii="Times New Roman" w:hAnsi="Times New Roman"/>
          <w:sz w:val="24"/>
          <w:szCs w:val="24"/>
        </w:rPr>
        <w:t xml:space="preserve"> </w:t>
      </w:r>
      <w:r w:rsidRPr="006A44A9">
        <w:rPr>
          <w:rFonts w:ascii="Times New Roman" w:hAnsi="Times New Roman"/>
          <w:sz w:val="24"/>
          <w:szCs w:val="24"/>
        </w:rPr>
        <w:t>out of 54</w:t>
      </w:r>
      <w:r>
        <w:rPr>
          <w:rFonts w:ascii="Times New Roman" w:hAnsi="Times New Roman"/>
          <w:sz w:val="24"/>
          <w:szCs w:val="24"/>
        </w:rPr>
        <w:t xml:space="preserve"> </w:t>
      </w:r>
      <w:r w:rsidRPr="006A44A9">
        <w:rPr>
          <w:rFonts w:ascii="Times New Roman" w:hAnsi="Times New Roman"/>
          <w:sz w:val="24"/>
          <w:szCs w:val="24"/>
        </w:rPr>
        <w:t xml:space="preserve">applicants, with only the top 25 qualifying for promotion. </w:t>
      </w:r>
    </w:p>
    <w:p w14:paraId="15219241" w14:textId="77777777" w:rsidR="0077274E" w:rsidRDefault="0077274E" w:rsidP="0077274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C76A19">
        <w:rPr>
          <w:rFonts w:ascii="Times New Roman" w:hAnsi="Times New Roman"/>
          <w:sz w:val="24"/>
          <w:szCs w:val="24"/>
        </w:rPr>
        <w:t>Lt.</w:t>
      </w:r>
      <w:r>
        <w:rPr>
          <w:rFonts w:ascii="Times New Roman" w:hAnsi="Times New Roman"/>
          <w:sz w:val="24"/>
          <w:szCs w:val="24"/>
        </w:rPr>
        <w:t xml:space="preserve"> </w:t>
      </w:r>
      <w:r w:rsidRPr="00C76A19">
        <w:rPr>
          <w:rFonts w:ascii="Times New Roman" w:hAnsi="Times New Roman"/>
          <w:sz w:val="24"/>
          <w:szCs w:val="24"/>
        </w:rPr>
        <w:t>Neal disputed</w:t>
      </w:r>
      <w:r>
        <w:rPr>
          <w:rFonts w:ascii="Times New Roman" w:hAnsi="Times New Roman"/>
          <w:sz w:val="24"/>
          <w:szCs w:val="24"/>
        </w:rPr>
        <w:t xml:space="preserve"> </w:t>
      </w:r>
      <w:r w:rsidRPr="00C76A19">
        <w:rPr>
          <w:rFonts w:ascii="Times New Roman" w:hAnsi="Times New Roman"/>
          <w:sz w:val="24"/>
          <w:szCs w:val="24"/>
        </w:rPr>
        <w:t>his exam results, specifically challenging the administration of the tactical and interview portions. These portions of the exam involved, among other things, Lt.</w:t>
      </w:r>
      <w:r>
        <w:rPr>
          <w:rFonts w:ascii="Times New Roman" w:hAnsi="Times New Roman"/>
          <w:sz w:val="24"/>
          <w:szCs w:val="24"/>
        </w:rPr>
        <w:t xml:space="preserve"> </w:t>
      </w:r>
      <w:r w:rsidRPr="00C76A19">
        <w:rPr>
          <w:rFonts w:ascii="Times New Roman" w:hAnsi="Times New Roman"/>
          <w:sz w:val="24"/>
          <w:szCs w:val="24"/>
        </w:rPr>
        <w:t>Neal orally responding to questions posed by assessors. He alleged that the interruptions</w:t>
      </w:r>
      <w:r>
        <w:rPr>
          <w:rFonts w:ascii="Times New Roman" w:hAnsi="Times New Roman"/>
          <w:sz w:val="24"/>
          <w:szCs w:val="24"/>
        </w:rPr>
        <w:t xml:space="preserve"> </w:t>
      </w:r>
      <w:r w:rsidRPr="00C76A19">
        <w:rPr>
          <w:rFonts w:ascii="Times New Roman" w:hAnsi="Times New Roman"/>
          <w:sz w:val="24"/>
          <w:szCs w:val="24"/>
        </w:rPr>
        <w:t>began during the tactical portion, after an</w:t>
      </w:r>
      <w:r>
        <w:rPr>
          <w:rFonts w:ascii="Times New Roman" w:hAnsi="Times New Roman"/>
          <w:sz w:val="24"/>
          <w:szCs w:val="24"/>
        </w:rPr>
        <w:t xml:space="preserve"> </w:t>
      </w:r>
      <w:r w:rsidRPr="00C76A19">
        <w:rPr>
          <w:rFonts w:ascii="Times New Roman" w:hAnsi="Times New Roman"/>
          <w:sz w:val="24"/>
          <w:szCs w:val="24"/>
        </w:rPr>
        <w:t>assessor’s phone went off. Because the phone</w:t>
      </w:r>
      <w:r>
        <w:rPr>
          <w:rFonts w:ascii="Times New Roman" w:hAnsi="Times New Roman"/>
          <w:sz w:val="24"/>
          <w:szCs w:val="24"/>
        </w:rPr>
        <w:t xml:space="preserve"> </w:t>
      </w:r>
      <w:r w:rsidRPr="00C76A19">
        <w:rPr>
          <w:rFonts w:ascii="Times New Roman" w:hAnsi="Times New Roman"/>
          <w:sz w:val="24"/>
          <w:szCs w:val="24"/>
        </w:rPr>
        <w:t>was located across the room in a backpack, the assessor waltzed</w:t>
      </w:r>
      <w:r>
        <w:rPr>
          <w:rFonts w:ascii="Times New Roman" w:hAnsi="Times New Roman"/>
          <w:sz w:val="24"/>
          <w:szCs w:val="24"/>
        </w:rPr>
        <w:t xml:space="preserve"> </w:t>
      </w:r>
      <w:r w:rsidRPr="00C76A19">
        <w:rPr>
          <w:rFonts w:ascii="Times New Roman" w:hAnsi="Times New Roman"/>
          <w:sz w:val="24"/>
          <w:szCs w:val="24"/>
        </w:rPr>
        <w:t>over</w:t>
      </w:r>
      <w:r>
        <w:rPr>
          <w:rFonts w:ascii="Times New Roman" w:hAnsi="Times New Roman"/>
          <w:sz w:val="24"/>
          <w:szCs w:val="24"/>
        </w:rPr>
        <w:t xml:space="preserve"> </w:t>
      </w:r>
      <w:r w:rsidRPr="00C76A19">
        <w:rPr>
          <w:rFonts w:ascii="Times New Roman" w:hAnsi="Times New Roman"/>
          <w:sz w:val="24"/>
          <w:szCs w:val="24"/>
        </w:rPr>
        <w:t>to the backpack, rummaging around before locating the phone to silence it.</w:t>
      </w:r>
      <w:r>
        <w:rPr>
          <w:rFonts w:ascii="Times New Roman" w:hAnsi="Times New Roman"/>
          <w:sz w:val="24"/>
          <w:szCs w:val="24"/>
        </w:rPr>
        <w:t xml:space="preserve"> </w:t>
      </w:r>
      <w:r w:rsidRPr="00C76A19">
        <w:rPr>
          <w:rFonts w:ascii="Times New Roman" w:hAnsi="Times New Roman"/>
          <w:sz w:val="24"/>
          <w:szCs w:val="24"/>
        </w:rPr>
        <w:t>Incredibly, the assessor allegedly spent considerable time reading texts from the phone</w:t>
      </w:r>
      <w:r>
        <w:rPr>
          <w:rFonts w:ascii="Times New Roman" w:hAnsi="Times New Roman"/>
          <w:sz w:val="24"/>
          <w:szCs w:val="24"/>
        </w:rPr>
        <w:t xml:space="preserve"> </w:t>
      </w:r>
      <w:r w:rsidRPr="00C76A19">
        <w:rPr>
          <w:rFonts w:ascii="Times New Roman" w:hAnsi="Times New Roman"/>
          <w:sz w:val="24"/>
          <w:szCs w:val="24"/>
        </w:rPr>
        <w:t>before wandering</w:t>
      </w:r>
      <w:r>
        <w:rPr>
          <w:rFonts w:ascii="Times New Roman" w:hAnsi="Times New Roman"/>
          <w:sz w:val="24"/>
          <w:szCs w:val="24"/>
        </w:rPr>
        <w:t xml:space="preserve"> </w:t>
      </w:r>
      <w:r w:rsidRPr="00C76A19">
        <w:rPr>
          <w:rFonts w:ascii="Times New Roman" w:hAnsi="Times New Roman"/>
          <w:sz w:val="24"/>
          <w:szCs w:val="24"/>
        </w:rPr>
        <w:t>back to the table. And once there, the phone</w:t>
      </w:r>
      <w:r>
        <w:rPr>
          <w:rFonts w:ascii="Times New Roman" w:hAnsi="Times New Roman"/>
          <w:sz w:val="24"/>
          <w:szCs w:val="24"/>
        </w:rPr>
        <w:t xml:space="preserve"> </w:t>
      </w:r>
      <w:r w:rsidRPr="00C76A19">
        <w:rPr>
          <w:rFonts w:ascii="Times New Roman" w:hAnsi="Times New Roman"/>
          <w:sz w:val="24"/>
          <w:szCs w:val="24"/>
        </w:rPr>
        <w:t>repeatedly vibrated, prompting the distracted assessor to engage with the phone and respond to messages, while presumably ignoring Lt. Neal. All of this occurred during an exam where phones were not permitted</w:t>
      </w:r>
      <w:r>
        <w:rPr>
          <w:rFonts w:ascii="Times New Roman" w:hAnsi="Times New Roman"/>
          <w:sz w:val="24"/>
          <w:szCs w:val="24"/>
        </w:rPr>
        <w:t xml:space="preserve"> </w:t>
      </w:r>
      <w:r w:rsidRPr="00C76A19">
        <w:rPr>
          <w:rFonts w:ascii="Times New Roman" w:hAnsi="Times New Roman"/>
          <w:sz w:val="24"/>
          <w:szCs w:val="24"/>
        </w:rPr>
        <w:t>(for obvious reasons, as this episode illustrates).</w:t>
      </w:r>
    </w:p>
    <w:p w14:paraId="43F49131" w14:textId="77777777" w:rsidR="0077274E" w:rsidRDefault="0077274E" w:rsidP="0077274E">
      <w:pPr>
        <w:ind w:left="720"/>
        <w:rPr>
          <w:rFonts w:ascii="Times New Roman" w:hAnsi="Times New Roman"/>
          <w:sz w:val="24"/>
          <w:szCs w:val="24"/>
        </w:rPr>
      </w:pPr>
      <w:r w:rsidRPr="00C76A19">
        <w:rPr>
          <w:rFonts w:ascii="Times New Roman" w:hAnsi="Times New Roman"/>
          <w:sz w:val="24"/>
          <w:szCs w:val="24"/>
        </w:rPr>
        <w:t>These distractions allegedly spilled over to</w:t>
      </w:r>
      <w:r>
        <w:rPr>
          <w:rFonts w:ascii="Times New Roman" w:hAnsi="Times New Roman"/>
          <w:sz w:val="24"/>
          <w:szCs w:val="24"/>
        </w:rPr>
        <w:t xml:space="preserve"> </w:t>
      </w:r>
      <w:r w:rsidRPr="00C76A19">
        <w:rPr>
          <w:rFonts w:ascii="Times New Roman" w:hAnsi="Times New Roman"/>
          <w:sz w:val="24"/>
          <w:szCs w:val="24"/>
        </w:rPr>
        <w:t>the interview portion as well. At one point, an</w:t>
      </w:r>
      <w:r>
        <w:rPr>
          <w:rFonts w:ascii="Times New Roman" w:hAnsi="Times New Roman"/>
          <w:sz w:val="24"/>
          <w:szCs w:val="24"/>
        </w:rPr>
        <w:t xml:space="preserve"> </w:t>
      </w:r>
      <w:r w:rsidRPr="00C76A19">
        <w:rPr>
          <w:rFonts w:ascii="Times New Roman" w:hAnsi="Times New Roman"/>
          <w:sz w:val="24"/>
          <w:szCs w:val="24"/>
        </w:rPr>
        <w:t>assessor was responding to a text message during the entirety of</w:t>
      </w:r>
      <w:r>
        <w:rPr>
          <w:rFonts w:ascii="Times New Roman" w:hAnsi="Times New Roman"/>
          <w:sz w:val="24"/>
          <w:szCs w:val="24"/>
        </w:rPr>
        <w:t xml:space="preserve"> </w:t>
      </w:r>
      <w:r w:rsidRPr="00C76A19">
        <w:rPr>
          <w:rFonts w:ascii="Times New Roman" w:hAnsi="Times New Roman"/>
          <w:sz w:val="24"/>
          <w:szCs w:val="24"/>
        </w:rPr>
        <w:t>Lt.</w:t>
      </w:r>
      <w:r>
        <w:rPr>
          <w:rFonts w:ascii="Times New Roman" w:hAnsi="Times New Roman"/>
          <w:sz w:val="24"/>
          <w:szCs w:val="24"/>
        </w:rPr>
        <w:t xml:space="preserve"> </w:t>
      </w:r>
      <w:r w:rsidRPr="00C76A19">
        <w:rPr>
          <w:rFonts w:ascii="Times New Roman" w:hAnsi="Times New Roman"/>
          <w:sz w:val="24"/>
          <w:szCs w:val="24"/>
        </w:rPr>
        <w:t>Neal’s</w:t>
      </w:r>
      <w:r>
        <w:rPr>
          <w:rFonts w:ascii="Times New Roman" w:hAnsi="Times New Roman"/>
          <w:sz w:val="24"/>
          <w:szCs w:val="24"/>
        </w:rPr>
        <w:t xml:space="preserve"> </w:t>
      </w:r>
      <w:r w:rsidRPr="00C76A19">
        <w:rPr>
          <w:rFonts w:ascii="Times New Roman" w:hAnsi="Times New Roman"/>
          <w:sz w:val="24"/>
          <w:szCs w:val="24"/>
        </w:rPr>
        <w:t>answer to a question. To make matters worse, another assessor allegedly dozed off</w:t>
      </w:r>
      <w:r>
        <w:rPr>
          <w:rFonts w:ascii="Times New Roman" w:hAnsi="Times New Roman"/>
          <w:sz w:val="24"/>
          <w:szCs w:val="24"/>
        </w:rPr>
        <w:t xml:space="preserve"> </w:t>
      </w:r>
      <w:r w:rsidRPr="00C76A19">
        <w:rPr>
          <w:rFonts w:ascii="Times New Roman" w:hAnsi="Times New Roman"/>
          <w:sz w:val="24"/>
          <w:szCs w:val="24"/>
        </w:rPr>
        <w:t>for some</w:t>
      </w:r>
      <w:r>
        <w:rPr>
          <w:rFonts w:ascii="Times New Roman" w:hAnsi="Times New Roman"/>
          <w:sz w:val="24"/>
          <w:szCs w:val="24"/>
        </w:rPr>
        <w:t xml:space="preserve"> </w:t>
      </w:r>
      <w:proofErr w:type="gramStart"/>
      <w:r w:rsidRPr="00C76A19">
        <w:rPr>
          <w:rFonts w:ascii="Times New Roman" w:hAnsi="Times New Roman"/>
          <w:sz w:val="24"/>
          <w:szCs w:val="24"/>
        </w:rPr>
        <w:t>period of</w:t>
      </w:r>
      <w:r>
        <w:rPr>
          <w:rFonts w:ascii="Times New Roman" w:hAnsi="Times New Roman"/>
          <w:sz w:val="24"/>
          <w:szCs w:val="24"/>
        </w:rPr>
        <w:t xml:space="preserve"> </w:t>
      </w:r>
      <w:r w:rsidRPr="00C76A19">
        <w:rPr>
          <w:rFonts w:ascii="Times New Roman" w:hAnsi="Times New Roman"/>
          <w:sz w:val="24"/>
          <w:szCs w:val="24"/>
        </w:rPr>
        <w:t>time</w:t>
      </w:r>
      <w:proofErr w:type="gramEnd"/>
      <w:r w:rsidRPr="00C76A19">
        <w:rPr>
          <w:rFonts w:ascii="Times New Roman" w:hAnsi="Times New Roman"/>
          <w:sz w:val="24"/>
          <w:szCs w:val="24"/>
        </w:rPr>
        <w:t>. In sum,</w:t>
      </w:r>
      <w:r>
        <w:rPr>
          <w:rFonts w:ascii="Times New Roman" w:hAnsi="Times New Roman"/>
          <w:sz w:val="24"/>
          <w:szCs w:val="24"/>
        </w:rPr>
        <w:t xml:space="preserve"> </w:t>
      </w:r>
      <w:proofErr w:type="spellStart"/>
      <w:r w:rsidRPr="00C76A19">
        <w:rPr>
          <w:rFonts w:ascii="Times New Roman" w:hAnsi="Times New Roman"/>
          <w:sz w:val="24"/>
          <w:szCs w:val="24"/>
        </w:rPr>
        <w:t>Lt.Neal</w:t>
      </w:r>
      <w:proofErr w:type="spellEnd"/>
      <w:r>
        <w:rPr>
          <w:rFonts w:ascii="Times New Roman" w:hAnsi="Times New Roman"/>
          <w:sz w:val="24"/>
          <w:szCs w:val="24"/>
        </w:rPr>
        <w:t xml:space="preserve"> </w:t>
      </w:r>
      <w:r w:rsidRPr="00C76A19">
        <w:rPr>
          <w:rFonts w:ascii="Times New Roman" w:hAnsi="Times New Roman"/>
          <w:sz w:val="24"/>
          <w:szCs w:val="24"/>
        </w:rPr>
        <w:t>concludes</w:t>
      </w:r>
      <w:r>
        <w:rPr>
          <w:rFonts w:ascii="Times New Roman" w:hAnsi="Times New Roman"/>
          <w:sz w:val="24"/>
          <w:szCs w:val="24"/>
        </w:rPr>
        <w:t xml:space="preserve"> </w:t>
      </w:r>
      <w:r w:rsidRPr="00C76A19">
        <w:rPr>
          <w:rFonts w:ascii="Times New Roman" w:hAnsi="Times New Roman"/>
          <w:sz w:val="24"/>
          <w:szCs w:val="24"/>
        </w:rPr>
        <w:t>that these repeated distractions placed</w:t>
      </w:r>
      <w:r>
        <w:rPr>
          <w:rFonts w:ascii="Times New Roman" w:hAnsi="Times New Roman"/>
          <w:sz w:val="24"/>
          <w:szCs w:val="24"/>
        </w:rPr>
        <w:t xml:space="preserve"> </w:t>
      </w:r>
      <w:r w:rsidRPr="00C76A19">
        <w:rPr>
          <w:rFonts w:ascii="Times New Roman" w:hAnsi="Times New Roman"/>
          <w:sz w:val="24"/>
          <w:szCs w:val="24"/>
        </w:rPr>
        <w:t>him at a considerable disadvantage for the tactical and interview portions of the exam</w:t>
      </w:r>
      <w:r>
        <w:rPr>
          <w:rFonts w:ascii="Times New Roman" w:hAnsi="Times New Roman"/>
          <w:sz w:val="24"/>
          <w:szCs w:val="24"/>
        </w:rPr>
        <w:t xml:space="preserve"> </w:t>
      </w:r>
      <w:r w:rsidRPr="00C76A19">
        <w:rPr>
          <w:rFonts w:ascii="Times New Roman" w:hAnsi="Times New Roman"/>
          <w:sz w:val="24"/>
          <w:szCs w:val="24"/>
        </w:rPr>
        <w:t>because, so far as he is aware and the record discloses, other applicants did not encounter similar distractions. As a result, he challenges the legitimacy of the testing process.</w:t>
      </w:r>
    </w:p>
    <w:p w14:paraId="1872ECE1" w14:textId="77777777" w:rsidR="0077274E" w:rsidRDefault="0077274E" w:rsidP="0077274E">
      <w:pPr>
        <w:ind w:left="720"/>
        <w:rPr>
          <w:rFonts w:ascii="Times New Roman" w:hAnsi="Times New Roman"/>
          <w:sz w:val="24"/>
          <w:szCs w:val="24"/>
        </w:rPr>
      </w:pPr>
      <w:r>
        <w:rPr>
          <w:rFonts w:ascii="Times New Roman" w:hAnsi="Times New Roman"/>
          <w:sz w:val="24"/>
          <w:szCs w:val="24"/>
        </w:rPr>
        <w:t>***</w:t>
      </w:r>
    </w:p>
    <w:p w14:paraId="0BF632AE" w14:textId="77777777" w:rsidR="0077274E" w:rsidRPr="006A44A9" w:rsidRDefault="0077274E" w:rsidP="0077274E">
      <w:pPr>
        <w:ind w:left="720"/>
        <w:rPr>
          <w:rFonts w:ascii="Times New Roman" w:hAnsi="Times New Roman"/>
          <w:sz w:val="24"/>
          <w:szCs w:val="24"/>
        </w:rPr>
      </w:pPr>
      <w:r w:rsidRPr="006A44A9">
        <w:rPr>
          <w:rFonts w:ascii="Times New Roman" w:hAnsi="Times New Roman"/>
          <w:sz w:val="24"/>
          <w:szCs w:val="24"/>
        </w:rPr>
        <w:t xml:space="preserve">But therein lies the problem: Lt. Neal did not request a new exam. Nor is that the relief the trial court granted. Instead, Lt. Neal requested—and the trial court ordered—that he be promoted to captain. R.C. 124.45 thus fails to support the relief ordered by the trial court, which explains Lt. Neal’s avoidance of that provision. </w:t>
      </w:r>
    </w:p>
    <w:p w14:paraId="7F0306DD" w14:textId="77777777" w:rsidR="0077274E" w:rsidRDefault="0077274E" w:rsidP="0077274E">
      <w:pPr>
        <w:ind w:left="720"/>
        <w:rPr>
          <w:rFonts w:ascii="Times New Roman" w:hAnsi="Times New Roman"/>
          <w:sz w:val="24"/>
          <w:szCs w:val="24"/>
        </w:rPr>
      </w:pPr>
      <w:r w:rsidRPr="006A44A9">
        <w:rPr>
          <w:rFonts w:ascii="Times New Roman" w:hAnsi="Times New Roman"/>
          <w:sz w:val="24"/>
          <w:szCs w:val="24"/>
        </w:rPr>
        <w:lastRenderedPageBreak/>
        <w:t>It also is worth pausing for a moment to further illustrate the disconnect between a</w:t>
      </w:r>
      <w:r>
        <w:rPr>
          <w:rFonts w:ascii="Times New Roman" w:hAnsi="Times New Roman"/>
          <w:sz w:val="24"/>
          <w:szCs w:val="24"/>
        </w:rPr>
        <w:t xml:space="preserve"> </w:t>
      </w:r>
      <w:r w:rsidRPr="006A44A9">
        <w:rPr>
          <w:rFonts w:ascii="Times New Roman" w:hAnsi="Times New Roman"/>
          <w:sz w:val="24"/>
          <w:szCs w:val="24"/>
        </w:rPr>
        <w:t>flawed testing environment and awarding Lt.</w:t>
      </w:r>
      <w:r>
        <w:rPr>
          <w:rFonts w:ascii="Times New Roman" w:hAnsi="Times New Roman"/>
          <w:sz w:val="24"/>
          <w:szCs w:val="24"/>
        </w:rPr>
        <w:t xml:space="preserve"> </w:t>
      </w:r>
      <w:r w:rsidRPr="006A44A9">
        <w:rPr>
          <w:rFonts w:ascii="Times New Roman" w:hAnsi="Times New Roman"/>
          <w:sz w:val="24"/>
          <w:szCs w:val="24"/>
        </w:rPr>
        <w:t>Neal the promotion. Given Lt. Neal’s</w:t>
      </w:r>
      <w:r>
        <w:rPr>
          <w:rFonts w:ascii="Times New Roman" w:hAnsi="Times New Roman"/>
          <w:sz w:val="24"/>
          <w:szCs w:val="24"/>
        </w:rPr>
        <w:t xml:space="preserve"> </w:t>
      </w:r>
      <w:r w:rsidRPr="006A44A9">
        <w:rPr>
          <w:rFonts w:ascii="Times New Roman" w:hAnsi="Times New Roman"/>
          <w:sz w:val="24"/>
          <w:szCs w:val="24"/>
        </w:rPr>
        <w:t>scores during the untainted portions</w:t>
      </w:r>
      <w:r>
        <w:rPr>
          <w:rFonts w:ascii="Times New Roman" w:hAnsi="Times New Roman"/>
          <w:sz w:val="24"/>
          <w:szCs w:val="24"/>
        </w:rPr>
        <w:t xml:space="preserve"> </w:t>
      </w:r>
      <w:r w:rsidRPr="006A44A9">
        <w:rPr>
          <w:rFonts w:ascii="Times New Roman" w:hAnsi="Times New Roman"/>
          <w:sz w:val="24"/>
          <w:szCs w:val="24"/>
        </w:rPr>
        <w:t>of the test, they suggest that he would not have qualified for promotion even under an ideal testing environment.</w:t>
      </w:r>
      <w:r>
        <w:rPr>
          <w:rFonts w:ascii="Times New Roman" w:hAnsi="Times New Roman"/>
          <w:sz w:val="24"/>
          <w:szCs w:val="24"/>
        </w:rPr>
        <w:t xml:space="preserve">” </w:t>
      </w:r>
      <w:hyperlink r:id="rId1212" w:history="1">
        <w:r w:rsidRPr="0041276B">
          <w:rPr>
            <w:rStyle w:val="Hyperlink"/>
            <w:rFonts w:ascii="Times New Roman" w:hAnsi="Times New Roman"/>
            <w:sz w:val="24"/>
            <w:szCs w:val="24"/>
          </w:rPr>
          <w:t>https://www.hamiltoncountyohio.gov/UserFiles/Servers/Server_3788196/File/releases/2021/C-200202_04142021.pdf</w:t>
        </w:r>
      </w:hyperlink>
    </w:p>
    <w:p w14:paraId="07465937" w14:textId="77777777" w:rsidR="0077274E" w:rsidRDefault="0077274E" w:rsidP="0077274E">
      <w:pPr>
        <w:rPr>
          <w:rFonts w:ascii="Times New Roman" w:hAnsi="Times New Roman"/>
          <w:b/>
          <w:bCs/>
          <w:sz w:val="24"/>
          <w:szCs w:val="24"/>
        </w:rPr>
      </w:pPr>
      <w:r w:rsidRPr="00E15ABE">
        <w:rPr>
          <w:rFonts w:ascii="Times New Roman" w:hAnsi="Times New Roman"/>
          <w:b/>
          <w:bCs/>
          <w:sz w:val="24"/>
          <w:szCs w:val="24"/>
        </w:rPr>
        <w:t>Legal Lesson Learned:</w:t>
      </w:r>
      <w:r>
        <w:rPr>
          <w:rFonts w:ascii="Times New Roman" w:hAnsi="Times New Roman"/>
          <w:b/>
          <w:bCs/>
          <w:sz w:val="24"/>
          <w:szCs w:val="24"/>
        </w:rPr>
        <w:t xml:space="preserve"> These examiners should be reprimanded and removed from further promotion boards. </w:t>
      </w:r>
    </w:p>
    <w:p w14:paraId="30D94316" w14:textId="77777777" w:rsidR="0077274E" w:rsidRDefault="0077274E" w:rsidP="0077274E">
      <w:pPr>
        <w:ind w:left="720"/>
        <w:rPr>
          <w:rFonts w:ascii="Times New Roman" w:hAnsi="Times New Roman"/>
          <w:sz w:val="24"/>
          <w:szCs w:val="24"/>
        </w:rPr>
      </w:pPr>
      <w:r w:rsidRPr="00E15ABE">
        <w:rPr>
          <w:rFonts w:ascii="Times New Roman" w:hAnsi="Times New Roman"/>
          <w:sz w:val="24"/>
          <w:szCs w:val="24"/>
        </w:rPr>
        <w:t>Note:</w:t>
      </w:r>
      <w:r>
        <w:rPr>
          <w:rFonts w:ascii="Times New Roman" w:hAnsi="Times New Roman"/>
          <w:b/>
          <w:bCs/>
          <w:sz w:val="24"/>
          <w:szCs w:val="24"/>
        </w:rPr>
        <w:t xml:space="preserve"> </w:t>
      </w:r>
      <w:r>
        <w:rPr>
          <w:rFonts w:ascii="Times New Roman" w:hAnsi="Times New Roman"/>
          <w:sz w:val="24"/>
          <w:szCs w:val="24"/>
        </w:rPr>
        <w:t xml:space="preserve">In the </w:t>
      </w:r>
      <w:r w:rsidRPr="00DD3AC9">
        <w:rPr>
          <w:rFonts w:ascii="Times New Roman" w:hAnsi="Times New Roman"/>
          <w:sz w:val="24"/>
          <w:szCs w:val="24"/>
          <w:u w:val="single"/>
        </w:rPr>
        <w:t>Lanter</w:t>
      </w:r>
      <w:r>
        <w:rPr>
          <w:rFonts w:ascii="Times New Roman" w:hAnsi="Times New Roman"/>
          <w:sz w:val="24"/>
          <w:szCs w:val="24"/>
        </w:rPr>
        <w:t xml:space="preserve"> case referenced by the Court, </w:t>
      </w:r>
      <w:r w:rsidRPr="00DD3AC9">
        <w:rPr>
          <w:rFonts w:ascii="Times New Roman" w:hAnsi="Times New Roman"/>
          <w:sz w:val="24"/>
          <w:szCs w:val="24"/>
          <w:u w:val="single"/>
        </w:rPr>
        <w:t>State of Ohio, Ex Re. Timothy Lanter v. City of Cincinnati</w:t>
      </w:r>
      <w:r>
        <w:rPr>
          <w:rFonts w:ascii="Times New Roman" w:hAnsi="Times New Roman"/>
          <w:sz w:val="24"/>
          <w:szCs w:val="24"/>
        </w:rPr>
        <w:t xml:space="preserve"> (Oct. 21, 2020) concerned a mandamus action filed by Cincinnati Police Sergeant Timothy Lanter; where the Ohio Court of Appeals reversed a trial judge who had granted relief to the Sergeant. </w:t>
      </w:r>
    </w:p>
    <w:p w14:paraId="19EF6E00" w14:textId="77777777" w:rsidR="0077274E" w:rsidRDefault="0077274E" w:rsidP="0077274E">
      <w:pPr>
        <w:ind w:left="1440"/>
        <w:rPr>
          <w:rFonts w:ascii="Times New Roman" w:hAnsi="Times New Roman"/>
          <w:sz w:val="24"/>
          <w:szCs w:val="24"/>
        </w:rPr>
      </w:pPr>
      <w:r>
        <w:rPr>
          <w:rFonts w:ascii="Times New Roman" w:hAnsi="Times New Roman"/>
          <w:sz w:val="24"/>
          <w:szCs w:val="24"/>
        </w:rPr>
        <w:t>“</w:t>
      </w:r>
      <w:r w:rsidRPr="00DD3AC9">
        <w:rPr>
          <w:rFonts w:ascii="Times New Roman" w:hAnsi="Times New Roman"/>
          <w:sz w:val="24"/>
          <w:szCs w:val="24"/>
        </w:rPr>
        <w:t xml:space="preserve">This dispute arises over an episode allegedly colored by racist overtones. Daryl Spivey, an </w:t>
      </w:r>
      <w:proofErr w:type="gramStart"/>
      <w:r w:rsidRPr="00DD3AC9">
        <w:rPr>
          <w:rFonts w:ascii="Times New Roman" w:hAnsi="Times New Roman"/>
          <w:sz w:val="24"/>
          <w:szCs w:val="24"/>
        </w:rPr>
        <w:t>African-American</w:t>
      </w:r>
      <w:proofErr w:type="gramEnd"/>
      <w:r w:rsidRPr="00DD3AC9">
        <w:rPr>
          <w:rFonts w:ascii="Times New Roman" w:hAnsi="Times New Roman"/>
          <w:sz w:val="24"/>
          <w:szCs w:val="24"/>
        </w:rPr>
        <w:t xml:space="preserve">, worked as a security guard at a building where the elevators cannot be accessed without entering a security code. Needing to use those elevators, Sergeant Lanter approached Mr. Spivey and asked him to enter the security code. Mr. Spivey complied, but he alleges that Sergeant Lanter responded with: </w:t>
      </w:r>
      <w:r>
        <w:rPr>
          <w:rFonts w:ascii="Times New Roman" w:hAnsi="Times New Roman"/>
          <w:sz w:val="24"/>
          <w:szCs w:val="24"/>
        </w:rPr>
        <w:t>‘</w:t>
      </w:r>
      <w:r w:rsidRPr="00DD3AC9">
        <w:rPr>
          <w:rFonts w:ascii="Times New Roman" w:hAnsi="Times New Roman"/>
          <w:sz w:val="24"/>
          <w:szCs w:val="24"/>
        </w:rPr>
        <w:t>Thanks, boy, I appreciate it.</w:t>
      </w:r>
      <w:r>
        <w:rPr>
          <w:rFonts w:ascii="Times New Roman" w:hAnsi="Times New Roman"/>
          <w:sz w:val="24"/>
          <w:szCs w:val="24"/>
        </w:rPr>
        <w:t>’</w:t>
      </w:r>
      <w:r w:rsidRPr="00DD3AC9">
        <w:rPr>
          <w:rFonts w:ascii="Times New Roman" w:hAnsi="Times New Roman"/>
          <w:sz w:val="24"/>
          <w:szCs w:val="24"/>
        </w:rPr>
        <w:t xml:space="preserve"> Mr. Spivey immediately complained to his supervisor and filed a discrimination complaint with the CCA</w:t>
      </w:r>
      <w:r>
        <w:rPr>
          <w:rFonts w:ascii="Times New Roman" w:hAnsi="Times New Roman"/>
          <w:sz w:val="24"/>
          <w:szCs w:val="24"/>
        </w:rPr>
        <w:t>.</w:t>
      </w:r>
    </w:p>
    <w:p w14:paraId="115BA2A9" w14:textId="77777777" w:rsidR="0077274E" w:rsidRDefault="0077274E" w:rsidP="0077274E">
      <w:pPr>
        <w:ind w:left="1440"/>
        <w:rPr>
          <w:rFonts w:ascii="Times New Roman" w:hAnsi="Times New Roman"/>
          <w:sz w:val="24"/>
          <w:szCs w:val="24"/>
        </w:rPr>
      </w:pPr>
      <w:r>
        <w:rPr>
          <w:rFonts w:ascii="Times New Roman" w:hAnsi="Times New Roman"/>
          <w:sz w:val="24"/>
          <w:szCs w:val="24"/>
        </w:rPr>
        <w:t>***</w:t>
      </w:r>
    </w:p>
    <w:p w14:paraId="037BEAC4" w14:textId="77777777" w:rsidR="0077274E" w:rsidRPr="00B61592" w:rsidRDefault="0077274E" w:rsidP="0077274E">
      <w:pPr>
        <w:ind w:left="1440"/>
        <w:rPr>
          <w:rFonts w:ascii="Times New Roman" w:hAnsi="Times New Roman"/>
          <w:sz w:val="24"/>
          <w:szCs w:val="24"/>
        </w:rPr>
      </w:pPr>
      <w:r w:rsidRPr="00B61592">
        <w:rPr>
          <w:rFonts w:ascii="Times New Roman" w:hAnsi="Times New Roman"/>
          <w:sz w:val="24"/>
          <w:szCs w:val="24"/>
        </w:rPr>
        <w:t>The</w:t>
      </w:r>
      <w:r>
        <w:rPr>
          <w:rFonts w:ascii="Times New Roman" w:hAnsi="Times New Roman"/>
          <w:sz w:val="24"/>
          <w:szCs w:val="24"/>
        </w:rPr>
        <w:t xml:space="preserve"> [trial judge in the Hamilton County Court of Common Pleas]</w:t>
      </w:r>
      <w:r w:rsidRPr="00B61592">
        <w:rPr>
          <w:rFonts w:ascii="Times New Roman" w:hAnsi="Times New Roman"/>
          <w:sz w:val="24"/>
          <w:szCs w:val="24"/>
        </w:rPr>
        <w:t xml:space="preserve"> overturned the CCA’s report in the administrative review, determining that the CCA’s findings were not supported by a preponderance of substantial evidence, in part pointing to the conflicting stories of Mr. </w:t>
      </w:r>
      <w:proofErr w:type="spellStart"/>
      <w:r w:rsidRPr="00B61592">
        <w:rPr>
          <w:rFonts w:ascii="Times New Roman" w:hAnsi="Times New Roman"/>
          <w:sz w:val="24"/>
          <w:szCs w:val="24"/>
        </w:rPr>
        <w:t>Vandehatert</w:t>
      </w:r>
      <w:proofErr w:type="spellEnd"/>
      <w:r w:rsidRPr="00B61592">
        <w:rPr>
          <w:rFonts w:ascii="Times New Roman" w:hAnsi="Times New Roman"/>
          <w:sz w:val="24"/>
          <w:szCs w:val="24"/>
        </w:rPr>
        <w:t xml:space="preserve">. But the court dismissed Sergeant Lanter’s mandamus petition because the administrative appeal provided an adequate remedy at law. The City </w:t>
      </w:r>
      <w:proofErr w:type="gramStart"/>
      <w:r w:rsidRPr="00B61592">
        <w:rPr>
          <w:rFonts w:ascii="Times New Roman" w:hAnsi="Times New Roman"/>
          <w:sz w:val="24"/>
          <w:szCs w:val="24"/>
        </w:rPr>
        <w:t>appealed</w:t>
      </w:r>
      <w:proofErr w:type="gramEnd"/>
      <w:r w:rsidRPr="00B61592">
        <w:rPr>
          <w:rFonts w:ascii="Times New Roman" w:hAnsi="Times New Roman"/>
          <w:sz w:val="24"/>
          <w:szCs w:val="24"/>
        </w:rPr>
        <w:t xml:space="preserve"> the trial court’s review of the CCA’s report, prompting Sergeant Lanter to cross-appeal the dismissal of the mandamus petition.</w:t>
      </w:r>
    </w:p>
    <w:p w14:paraId="43EA0B9D" w14:textId="77777777" w:rsidR="0077274E" w:rsidRDefault="0077274E" w:rsidP="0077274E">
      <w:pPr>
        <w:ind w:left="1440"/>
        <w:rPr>
          <w:rFonts w:ascii="Times New Roman" w:hAnsi="Times New Roman"/>
          <w:sz w:val="24"/>
          <w:szCs w:val="24"/>
        </w:rPr>
      </w:pPr>
      <w:r>
        <w:rPr>
          <w:rFonts w:ascii="Times New Roman" w:hAnsi="Times New Roman"/>
          <w:sz w:val="24"/>
          <w:szCs w:val="24"/>
        </w:rPr>
        <w:t>***</w:t>
      </w:r>
    </w:p>
    <w:p w14:paraId="04CC5889" w14:textId="77777777" w:rsidR="0077274E" w:rsidRDefault="0077274E" w:rsidP="0077274E">
      <w:pPr>
        <w:ind w:left="1440"/>
        <w:rPr>
          <w:rFonts w:ascii="Times New Roman" w:hAnsi="Times New Roman"/>
          <w:sz w:val="24"/>
          <w:szCs w:val="24"/>
        </w:rPr>
      </w:pPr>
      <w:r>
        <w:rPr>
          <w:rFonts w:ascii="Times New Roman" w:hAnsi="Times New Roman"/>
          <w:sz w:val="24"/>
          <w:szCs w:val="24"/>
        </w:rPr>
        <w:t xml:space="preserve">[The Ohio Court of Appeals] ruled: </w:t>
      </w:r>
    </w:p>
    <w:p w14:paraId="2E6D32B9" w14:textId="77777777" w:rsidR="0077274E" w:rsidRPr="00E15ABE" w:rsidRDefault="0077274E" w:rsidP="0077274E">
      <w:pPr>
        <w:ind w:left="1440"/>
        <w:rPr>
          <w:rFonts w:ascii="Times New Roman" w:hAnsi="Times New Roman"/>
          <w:b/>
          <w:bCs/>
          <w:sz w:val="24"/>
          <w:szCs w:val="24"/>
        </w:rPr>
      </w:pPr>
      <w:r w:rsidRPr="00E15ABE">
        <w:rPr>
          <w:rFonts w:ascii="Times New Roman" w:hAnsi="Times New Roman"/>
          <w:sz w:val="24"/>
          <w:szCs w:val="24"/>
        </w:rPr>
        <w:t xml:space="preserve">The city of Cincinnati created the Citizen Complaint Authority (CCA) as part of a settlement agreement to a federal lawsuit alleging racial discrimination within the Cincinnati Police Department. The purpose of the CCA is to provide independent review, reporting, and recommendations concerning citizen complaints about police conduct. After the CCA sustained a charge of discrimination against Cincinnati police sergeant Timothy Lanter, the police department investigated the matter anew and rejected the CCA’s conclusions, which meant that Sergeant Lanter suffered no adverse employment consequences. Nevertheless, he initiated this litigation seeking to overturn the CCA’s recommendation, and the trial court obliged. We conclude, however, that the trial court lacked subject matter jurisdiction because the matter before the CCA cannot qualify as a </w:t>
      </w:r>
      <w:r>
        <w:rPr>
          <w:rFonts w:ascii="Times New Roman" w:hAnsi="Times New Roman"/>
          <w:sz w:val="24"/>
          <w:szCs w:val="24"/>
        </w:rPr>
        <w:t>‘</w:t>
      </w:r>
      <w:r w:rsidRPr="00E15ABE">
        <w:rPr>
          <w:rFonts w:ascii="Times New Roman" w:hAnsi="Times New Roman"/>
          <w:sz w:val="24"/>
          <w:szCs w:val="24"/>
        </w:rPr>
        <w:t>quasi-judicial</w:t>
      </w:r>
      <w:r>
        <w:rPr>
          <w:rFonts w:ascii="Times New Roman" w:hAnsi="Times New Roman"/>
          <w:sz w:val="24"/>
          <w:szCs w:val="24"/>
        </w:rPr>
        <w:t>’</w:t>
      </w:r>
      <w:r w:rsidRPr="00E15ABE">
        <w:rPr>
          <w:rFonts w:ascii="Times New Roman" w:hAnsi="Times New Roman"/>
          <w:sz w:val="24"/>
          <w:szCs w:val="24"/>
        </w:rPr>
        <w:t xml:space="preserve"> proceeding capable of review by a common pleas court.</w:t>
      </w:r>
      <w:r>
        <w:rPr>
          <w:rFonts w:ascii="Times New Roman" w:hAnsi="Times New Roman"/>
          <w:sz w:val="24"/>
          <w:szCs w:val="24"/>
        </w:rPr>
        <w:t xml:space="preserve">” </w:t>
      </w:r>
      <w:hyperlink r:id="rId1213" w:history="1">
        <w:r w:rsidRPr="0041276B">
          <w:rPr>
            <w:rStyle w:val="Hyperlink"/>
            <w:rFonts w:ascii="Times New Roman" w:hAnsi="Times New Roman"/>
            <w:sz w:val="24"/>
            <w:szCs w:val="24"/>
          </w:rPr>
          <w:t>https://law.justia.com/cases/ohio/first-district-court-of-appeals/2020/c-190708.html</w:t>
        </w:r>
      </w:hyperlink>
      <w:r>
        <w:rPr>
          <w:sz w:val="21"/>
          <w:szCs w:val="21"/>
        </w:rPr>
        <w:t xml:space="preserve"> </w:t>
      </w:r>
      <w:r>
        <w:rPr>
          <w:rFonts w:ascii="Times New Roman" w:hAnsi="Times New Roman"/>
          <w:b/>
          <w:bCs/>
          <w:sz w:val="24"/>
          <w:szCs w:val="24"/>
        </w:rPr>
        <w:t xml:space="preserve"> </w:t>
      </w:r>
    </w:p>
    <w:p w14:paraId="2A749BB0" w14:textId="77777777" w:rsidR="0077274E" w:rsidRDefault="0077274E" w:rsidP="00EF1133">
      <w:pPr>
        <w:rPr>
          <w:rFonts w:ascii="Arial Black" w:hAnsi="Arial Black"/>
          <w:b/>
          <w:sz w:val="24"/>
          <w:szCs w:val="24"/>
        </w:rPr>
      </w:pPr>
    </w:p>
    <w:p w14:paraId="7F50840F" w14:textId="77777777" w:rsidR="0077274E" w:rsidRDefault="0077274E" w:rsidP="00EF1133">
      <w:pPr>
        <w:rPr>
          <w:rFonts w:ascii="Arial Black" w:hAnsi="Arial Black"/>
          <w:b/>
          <w:sz w:val="24"/>
          <w:szCs w:val="24"/>
        </w:rPr>
      </w:pPr>
    </w:p>
    <w:p w14:paraId="14CF9559" w14:textId="77777777" w:rsidR="0077274E" w:rsidRDefault="0077274E" w:rsidP="00EF1133">
      <w:pPr>
        <w:rPr>
          <w:rFonts w:ascii="Arial Black" w:hAnsi="Arial Black"/>
          <w:b/>
          <w:sz w:val="24"/>
          <w:szCs w:val="24"/>
        </w:rPr>
      </w:pPr>
    </w:p>
    <w:p w14:paraId="41248A67" w14:textId="768BB41E" w:rsidR="0077274E" w:rsidRDefault="0077274E" w:rsidP="00EF1133">
      <w:pPr>
        <w:rPr>
          <w:rFonts w:ascii="Arial Black" w:hAnsi="Arial Black"/>
          <w:b/>
          <w:sz w:val="24"/>
          <w:szCs w:val="24"/>
        </w:rPr>
      </w:pPr>
      <w:r>
        <w:rPr>
          <w:rFonts w:ascii="Arial Black" w:hAnsi="Arial Black"/>
          <w:b/>
          <w:sz w:val="24"/>
          <w:szCs w:val="24"/>
        </w:rPr>
        <w:t>6-7</w:t>
      </w:r>
      <w:r w:rsidR="00FF7C63">
        <w:rPr>
          <w:rFonts w:ascii="Arial Black" w:hAnsi="Arial Black"/>
          <w:b/>
          <w:sz w:val="24"/>
          <w:szCs w:val="24"/>
        </w:rPr>
        <w:t>0</w:t>
      </w:r>
    </w:p>
    <w:p w14:paraId="5BC67768" w14:textId="77777777" w:rsidR="0077274E" w:rsidRPr="00FB1BAB" w:rsidRDefault="0077274E" w:rsidP="0077274E">
      <w:pPr>
        <w:pStyle w:val="Heading1"/>
        <w:rPr>
          <w:rFonts w:ascii="Arial Black" w:hAnsi="Arial Black"/>
          <w:sz w:val="28"/>
          <w:szCs w:val="28"/>
        </w:rPr>
      </w:pPr>
      <w:r>
        <w:rPr>
          <w:rFonts w:ascii="Arial Black" w:hAnsi="Arial Black"/>
          <w:sz w:val="28"/>
          <w:szCs w:val="28"/>
        </w:rPr>
        <w:t xml:space="preserve">MO: CARDIAC ARREST AT FORD MOTOR – COMPANY EMER. RESP. TEAM INADEQUATE - WORK COMP. ONLY REMEDY </w:t>
      </w:r>
    </w:p>
    <w:p w14:paraId="67DFADEA" w14:textId="77777777" w:rsidR="0077274E" w:rsidRDefault="0077274E" w:rsidP="0077274E">
      <w:pPr>
        <w:spacing w:before="100" w:beforeAutospacing="1" w:after="100" w:afterAutospacing="1" w:line="240" w:lineRule="auto"/>
        <w:rPr>
          <w:rFonts w:ascii="Times New Roman" w:hAnsi="Times New Roman"/>
          <w:sz w:val="24"/>
          <w:szCs w:val="24"/>
        </w:rPr>
      </w:pPr>
      <w:r w:rsidRPr="00FB1BAB">
        <w:rPr>
          <w:rFonts w:ascii="Times New Roman" w:hAnsi="Times New Roman"/>
          <w:sz w:val="24"/>
          <w:szCs w:val="24"/>
        </w:rPr>
        <w:t xml:space="preserve">On April 13, 2021, in </w:t>
      </w:r>
      <w:r w:rsidRPr="00FB1BAB">
        <w:rPr>
          <w:rFonts w:ascii="Times New Roman" w:hAnsi="Times New Roman"/>
          <w:sz w:val="24"/>
          <w:szCs w:val="24"/>
          <w:u w:val="single"/>
        </w:rPr>
        <w:t xml:space="preserve">Nancy J. </w:t>
      </w:r>
      <w:proofErr w:type="spellStart"/>
      <w:r w:rsidRPr="00FB1BAB">
        <w:rPr>
          <w:rFonts w:ascii="Times New Roman" w:hAnsi="Times New Roman"/>
          <w:sz w:val="24"/>
          <w:szCs w:val="24"/>
          <w:u w:val="single"/>
        </w:rPr>
        <w:t>Ducoulombier</w:t>
      </w:r>
      <w:proofErr w:type="spellEnd"/>
      <w:r w:rsidRPr="00FB1BAB">
        <w:rPr>
          <w:rFonts w:ascii="Times New Roman" w:hAnsi="Times New Roman"/>
          <w:sz w:val="24"/>
          <w:szCs w:val="24"/>
          <w:u w:val="single"/>
        </w:rPr>
        <w:t xml:space="preserve"> v. Ford Motor Company</w:t>
      </w:r>
      <w:r w:rsidRPr="00FB1BAB">
        <w:rPr>
          <w:rFonts w:ascii="Times New Roman" w:hAnsi="Times New Roman"/>
          <w:sz w:val="24"/>
          <w:szCs w:val="24"/>
        </w:rPr>
        <w:t xml:space="preserve">, </w:t>
      </w:r>
      <w:r>
        <w:rPr>
          <w:rFonts w:ascii="Times New Roman" w:hAnsi="Times New Roman"/>
          <w:sz w:val="24"/>
          <w:szCs w:val="24"/>
        </w:rPr>
        <w:t xml:space="preserve">the Missouri Court of Appeal (Western District) held (3 to 0) that the trial court properly granted Ford Motor Company’s motion for summary judgment.  The wife’s sole remedy is Worker’s Compensation, not a jury trial seeking damages, even if the Ford Company’s Emergency Response Team members were slow in calling 911, or slow in moving the patient to a location where responding EMS could </w:t>
      </w:r>
      <w:proofErr w:type="gramStart"/>
      <w:r>
        <w:rPr>
          <w:rFonts w:ascii="Times New Roman" w:hAnsi="Times New Roman"/>
          <w:sz w:val="24"/>
          <w:szCs w:val="24"/>
        </w:rPr>
        <w:t>being</w:t>
      </w:r>
      <w:proofErr w:type="gramEnd"/>
      <w:r>
        <w:rPr>
          <w:rFonts w:ascii="Times New Roman" w:hAnsi="Times New Roman"/>
          <w:sz w:val="24"/>
          <w:szCs w:val="24"/>
        </w:rPr>
        <w:t xml:space="preserve"> treatment.  </w:t>
      </w:r>
    </w:p>
    <w:p w14:paraId="0B1FE1BF" w14:textId="77777777" w:rsidR="0077274E" w:rsidRDefault="0077274E" w:rsidP="0077274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123691">
        <w:rPr>
          <w:rFonts w:ascii="Times New Roman" w:hAnsi="Times New Roman"/>
          <w:sz w:val="24"/>
          <w:szCs w:val="24"/>
        </w:rPr>
        <w:t xml:space="preserve">Appellant's petition alleges that Ford's negligence caused Mr. </w:t>
      </w:r>
      <w:proofErr w:type="spellStart"/>
      <w:r w:rsidRPr="00123691">
        <w:rPr>
          <w:rFonts w:ascii="Times New Roman" w:hAnsi="Times New Roman"/>
          <w:sz w:val="24"/>
          <w:szCs w:val="24"/>
        </w:rPr>
        <w:t>Ducoulombier's</w:t>
      </w:r>
      <w:proofErr w:type="spellEnd"/>
      <w:r w:rsidRPr="00123691">
        <w:rPr>
          <w:rFonts w:ascii="Times New Roman" w:hAnsi="Times New Roman"/>
          <w:sz w:val="24"/>
          <w:szCs w:val="24"/>
        </w:rPr>
        <w:t xml:space="preserve"> death. More specifically, it alleges that Ford failed to have properly trained responders for Mr. </w:t>
      </w:r>
      <w:proofErr w:type="spellStart"/>
      <w:r w:rsidRPr="00123691">
        <w:rPr>
          <w:rFonts w:ascii="Times New Roman" w:hAnsi="Times New Roman"/>
          <w:sz w:val="24"/>
          <w:szCs w:val="24"/>
        </w:rPr>
        <w:t>Ducoulombier's</w:t>
      </w:r>
      <w:proofErr w:type="spellEnd"/>
      <w:r w:rsidRPr="00123691">
        <w:rPr>
          <w:rFonts w:ascii="Times New Roman" w:hAnsi="Times New Roman"/>
          <w:sz w:val="24"/>
          <w:szCs w:val="24"/>
        </w:rPr>
        <w:t xml:space="preserve"> on-site medical emergency, failed to ensure that the employees who administered CPR to Mr. </w:t>
      </w:r>
      <w:proofErr w:type="spellStart"/>
      <w:r w:rsidRPr="00123691">
        <w:rPr>
          <w:rFonts w:ascii="Times New Roman" w:hAnsi="Times New Roman"/>
          <w:sz w:val="24"/>
          <w:szCs w:val="24"/>
        </w:rPr>
        <w:t>Ducoulombier</w:t>
      </w:r>
      <w:proofErr w:type="spellEnd"/>
      <w:r w:rsidRPr="00123691">
        <w:rPr>
          <w:rFonts w:ascii="Times New Roman" w:hAnsi="Times New Roman"/>
          <w:sz w:val="24"/>
          <w:szCs w:val="24"/>
        </w:rPr>
        <w:t xml:space="preserve"> were properly trained, failed to equip its employees and Emergency Response Team members with proper equipment and devices to be used in Mr. </w:t>
      </w:r>
      <w:proofErr w:type="spellStart"/>
      <w:r w:rsidRPr="00123691">
        <w:rPr>
          <w:rFonts w:ascii="Times New Roman" w:hAnsi="Times New Roman"/>
          <w:sz w:val="24"/>
          <w:szCs w:val="24"/>
        </w:rPr>
        <w:t>Ducoulombier's</w:t>
      </w:r>
      <w:proofErr w:type="spellEnd"/>
      <w:r w:rsidRPr="00123691">
        <w:rPr>
          <w:rFonts w:ascii="Times New Roman" w:hAnsi="Times New Roman"/>
          <w:sz w:val="24"/>
          <w:szCs w:val="24"/>
        </w:rPr>
        <w:t xml:space="preserve"> cardiac life support, and failed to plan for interfacing with community EMS responders for on-site emergencies thereby hindering EMS responders in reaching Mr. </w:t>
      </w:r>
      <w:proofErr w:type="spellStart"/>
      <w:r w:rsidRPr="00123691">
        <w:rPr>
          <w:rFonts w:ascii="Times New Roman" w:hAnsi="Times New Roman"/>
          <w:sz w:val="24"/>
          <w:szCs w:val="24"/>
        </w:rPr>
        <w:t>Ducoulombier</w:t>
      </w:r>
      <w:proofErr w:type="spellEnd"/>
      <w:r w:rsidRPr="00123691">
        <w:rPr>
          <w:rFonts w:ascii="Times New Roman" w:hAnsi="Times New Roman"/>
          <w:sz w:val="24"/>
          <w:szCs w:val="24"/>
        </w:rPr>
        <w:t xml:space="preserve">. </w:t>
      </w:r>
      <w:proofErr w:type="gramStart"/>
      <w:r w:rsidRPr="00123691">
        <w:rPr>
          <w:rFonts w:ascii="Times New Roman" w:hAnsi="Times New Roman"/>
          <w:sz w:val="24"/>
          <w:szCs w:val="24"/>
        </w:rPr>
        <w:t>Further, that</w:t>
      </w:r>
      <w:proofErr w:type="gramEnd"/>
      <w:r w:rsidRPr="00123691">
        <w:rPr>
          <w:rFonts w:ascii="Times New Roman" w:hAnsi="Times New Roman"/>
          <w:sz w:val="24"/>
          <w:szCs w:val="24"/>
        </w:rPr>
        <w:t xml:space="preserve"> Ford did not provide enough Emergency Response Team members within various areas of the plant </w:t>
      </w:r>
      <w:proofErr w:type="gramStart"/>
      <w:r w:rsidRPr="00123691">
        <w:rPr>
          <w:rFonts w:ascii="Times New Roman" w:hAnsi="Times New Roman"/>
          <w:sz w:val="24"/>
          <w:szCs w:val="24"/>
        </w:rPr>
        <w:t>so as to</w:t>
      </w:r>
      <w:proofErr w:type="gramEnd"/>
      <w:r w:rsidRPr="00123691">
        <w:rPr>
          <w:rFonts w:ascii="Times New Roman" w:hAnsi="Times New Roman"/>
          <w:sz w:val="24"/>
          <w:szCs w:val="24"/>
        </w:rPr>
        <w:t xml:space="preserve"> properly respond to </w:t>
      </w:r>
      <w:proofErr w:type="gramStart"/>
      <w:r w:rsidRPr="00123691">
        <w:rPr>
          <w:rFonts w:ascii="Times New Roman" w:hAnsi="Times New Roman"/>
          <w:sz w:val="24"/>
          <w:szCs w:val="24"/>
        </w:rPr>
        <w:t xml:space="preserve">Mr. </w:t>
      </w:r>
      <w:proofErr w:type="spellStart"/>
      <w:r w:rsidRPr="00123691">
        <w:rPr>
          <w:rFonts w:ascii="Times New Roman" w:hAnsi="Times New Roman"/>
          <w:sz w:val="24"/>
          <w:szCs w:val="24"/>
        </w:rPr>
        <w:t>Ducoulombier</w:t>
      </w:r>
      <w:proofErr w:type="spellEnd"/>
      <w:r w:rsidRPr="00123691">
        <w:rPr>
          <w:rFonts w:ascii="Times New Roman" w:hAnsi="Times New Roman"/>
          <w:sz w:val="24"/>
          <w:szCs w:val="24"/>
        </w:rPr>
        <w:t>, and</w:t>
      </w:r>
      <w:proofErr w:type="gramEnd"/>
      <w:r w:rsidRPr="00123691">
        <w:rPr>
          <w:rFonts w:ascii="Times New Roman" w:hAnsi="Times New Roman"/>
          <w:sz w:val="24"/>
          <w:szCs w:val="24"/>
        </w:rPr>
        <w:t xml:space="preserve"> did not provide the Emergency Response Team members it had with appropriate vehicles to transport Mr. </w:t>
      </w:r>
      <w:proofErr w:type="spellStart"/>
      <w:r w:rsidRPr="00123691">
        <w:rPr>
          <w:rFonts w:ascii="Times New Roman" w:hAnsi="Times New Roman"/>
          <w:sz w:val="24"/>
          <w:szCs w:val="24"/>
        </w:rPr>
        <w:t>Ducoulombier</w:t>
      </w:r>
      <w:proofErr w:type="spellEnd"/>
      <w:r w:rsidRPr="00123691">
        <w:rPr>
          <w:rFonts w:ascii="Times New Roman" w:hAnsi="Times New Roman"/>
          <w:sz w:val="24"/>
          <w:szCs w:val="24"/>
        </w:rPr>
        <w:t xml:space="preserve"> to a rendezvous point. </w:t>
      </w:r>
      <w:proofErr w:type="gramStart"/>
      <w:r w:rsidRPr="00123691">
        <w:rPr>
          <w:rFonts w:ascii="Times New Roman" w:hAnsi="Times New Roman"/>
          <w:sz w:val="24"/>
          <w:szCs w:val="24"/>
        </w:rPr>
        <w:t>Finally, that</w:t>
      </w:r>
      <w:proofErr w:type="gramEnd"/>
      <w:r w:rsidRPr="00123691">
        <w:rPr>
          <w:rFonts w:ascii="Times New Roman" w:hAnsi="Times New Roman"/>
          <w:sz w:val="24"/>
          <w:szCs w:val="24"/>
        </w:rPr>
        <w:t xml:space="preserve"> Ford failed to timely notify community EMS responders of Mr. </w:t>
      </w:r>
      <w:proofErr w:type="spellStart"/>
      <w:r w:rsidRPr="00123691">
        <w:rPr>
          <w:rFonts w:ascii="Times New Roman" w:hAnsi="Times New Roman"/>
          <w:sz w:val="24"/>
          <w:szCs w:val="24"/>
        </w:rPr>
        <w:t>Ducoulombier's</w:t>
      </w:r>
      <w:proofErr w:type="spellEnd"/>
      <w:r w:rsidRPr="00123691">
        <w:rPr>
          <w:rFonts w:ascii="Times New Roman" w:hAnsi="Times New Roman"/>
          <w:sz w:val="24"/>
          <w:szCs w:val="24"/>
        </w:rPr>
        <w:t xml:space="preserve"> medical emergency and request their assistance in rendering care.</w:t>
      </w:r>
    </w:p>
    <w:p w14:paraId="612419E7" w14:textId="77777777" w:rsidR="0077274E" w:rsidRPr="00123691" w:rsidRDefault="0077274E" w:rsidP="0077274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410291A1" w14:textId="77777777" w:rsidR="0077274E" w:rsidRPr="00FB1BAB" w:rsidRDefault="0077274E" w:rsidP="0077274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B</w:t>
      </w:r>
      <w:r w:rsidRPr="00FB1BAB">
        <w:rPr>
          <w:rFonts w:ascii="Times New Roman" w:hAnsi="Times New Roman"/>
          <w:sz w:val="24"/>
          <w:szCs w:val="24"/>
        </w:rPr>
        <w:t xml:space="preserve">ased on the factual allegations set forth in Appellant's pleadings, the same is true here. Mr. </w:t>
      </w:r>
      <w:proofErr w:type="spellStart"/>
      <w:r w:rsidRPr="00FB1BAB">
        <w:rPr>
          <w:rFonts w:ascii="Times New Roman" w:hAnsi="Times New Roman"/>
          <w:sz w:val="24"/>
          <w:szCs w:val="24"/>
        </w:rPr>
        <w:t>Ducoulombier's</w:t>
      </w:r>
      <w:proofErr w:type="spellEnd"/>
      <w:r w:rsidRPr="00FB1BAB">
        <w:rPr>
          <w:rFonts w:ascii="Times New Roman" w:hAnsi="Times New Roman"/>
          <w:sz w:val="24"/>
          <w:szCs w:val="24"/>
        </w:rPr>
        <w:t xml:space="preserve"> presence and purpose for being on Ford's premises on February 25, 2016, was solely due to his employment. As such, exclusive statutory authority to consider the cause and extent of alleged injuries arising from Mr. </w:t>
      </w:r>
      <w:proofErr w:type="spellStart"/>
      <w:r w:rsidRPr="00FB1BAB">
        <w:rPr>
          <w:rFonts w:ascii="Times New Roman" w:hAnsi="Times New Roman"/>
          <w:sz w:val="24"/>
          <w:szCs w:val="24"/>
        </w:rPr>
        <w:t>Ducoulombier's</w:t>
      </w:r>
      <w:proofErr w:type="spellEnd"/>
      <w:r w:rsidRPr="00FB1BAB">
        <w:rPr>
          <w:rFonts w:ascii="Times New Roman" w:hAnsi="Times New Roman"/>
          <w:sz w:val="24"/>
          <w:szCs w:val="24"/>
        </w:rPr>
        <w:t xml:space="preserve"> presence at his workplace lies with the Labor and Industrial Relations Commission.</w:t>
      </w:r>
      <w:r>
        <w:rPr>
          <w:rFonts w:ascii="Times New Roman" w:hAnsi="Times New Roman"/>
          <w:sz w:val="24"/>
          <w:szCs w:val="24"/>
        </w:rPr>
        <w:t xml:space="preserve">” </w:t>
      </w:r>
      <w:hyperlink r:id="rId1214" w:history="1">
        <w:r w:rsidRPr="0041276B">
          <w:rPr>
            <w:rStyle w:val="Hyperlink"/>
            <w:rFonts w:ascii="Times New Roman" w:hAnsi="Times New Roman"/>
            <w:sz w:val="24"/>
            <w:szCs w:val="24"/>
          </w:rPr>
          <w:t>https://law.justia.com/cases/missouri/court-of-appeals/2021/wd83430.html</w:t>
        </w:r>
      </w:hyperlink>
      <w:r>
        <w:rPr>
          <w:rFonts w:ascii="Times New Roman" w:hAnsi="Times New Roman"/>
          <w:sz w:val="24"/>
          <w:szCs w:val="24"/>
        </w:rPr>
        <w:t xml:space="preserve"> </w:t>
      </w:r>
    </w:p>
    <w:p w14:paraId="16488130" w14:textId="77777777" w:rsidR="0077274E" w:rsidRDefault="0077274E" w:rsidP="0077274E">
      <w:pPr>
        <w:spacing w:before="100" w:beforeAutospacing="1" w:after="100" w:afterAutospacing="1" w:line="240" w:lineRule="auto"/>
        <w:rPr>
          <w:rFonts w:ascii="Times New Roman" w:hAnsi="Times New Roman"/>
          <w:b/>
          <w:bCs/>
          <w:sz w:val="24"/>
          <w:szCs w:val="24"/>
        </w:rPr>
      </w:pPr>
      <w:r w:rsidRPr="003B387C">
        <w:rPr>
          <w:rFonts w:ascii="Times New Roman" w:hAnsi="Times New Roman"/>
          <w:b/>
          <w:bCs/>
          <w:sz w:val="24"/>
          <w:szCs w:val="24"/>
        </w:rPr>
        <w:t>Legal Lesson Learned:</w:t>
      </w:r>
      <w:r>
        <w:rPr>
          <w:rFonts w:ascii="Times New Roman" w:hAnsi="Times New Roman"/>
          <w:b/>
          <w:bCs/>
          <w:sz w:val="24"/>
          <w:szCs w:val="24"/>
        </w:rPr>
        <w:t xml:space="preserve">  For workplace injuries and death, workers comp. is normally the exclusive remedy. </w:t>
      </w:r>
    </w:p>
    <w:p w14:paraId="7690D01C" w14:textId="77777777" w:rsidR="0077274E" w:rsidRPr="00F97B96" w:rsidRDefault="0077274E" w:rsidP="0077274E">
      <w:pPr>
        <w:pStyle w:val="Heading1"/>
        <w:ind w:left="720"/>
        <w:rPr>
          <w:b w:val="0"/>
          <w:bCs w:val="0"/>
          <w:sz w:val="24"/>
          <w:szCs w:val="24"/>
        </w:rPr>
      </w:pPr>
      <w:r w:rsidRPr="00F97B96">
        <w:rPr>
          <w:b w:val="0"/>
          <w:bCs w:val="0"/>
          <w:sz w:val="24"/>
          <w:szCs w:val="24"/>
        </w:rPr>
        <w:t xml:space="preserve">Note:  Some states allow lawsuits against employers for “intentional torts.”  Ohio has a very limited statute. Ohio Revised Code 2745.01, “Liability of employer for intentional tort - intent to injure required - exceptions.” </w:t>
      </w:r>
      <w:hyperlink r:id="rId1215" w:history="1">
        <w:r w:rsidRPr="00F97B96">
          <w:rPr>
            <w:rStyle w:val="Hyperlink"/>
            <w:sz w:val="24"/>
            <w:szCs w:val="24"/>
          </w:rPr>
          <w:t>https://codes.ohio.gov/ohio-revised-code/section-2745.01</w:t>
        </w:r>
      </w:hyperlink>
      <w:r w:rsidRPr="00F97B96">
        <w:rPr>
          <w:b w:val="0"/>
          <w:bCs w:val="0"/>
          <w:sz w:val="24"/>
          <w:szCs w:val="24"/>
        </w:rPr>
        <w:t xml:space="preserve"> </w:t>
      </w:r>
    </w:p>
    <w:p w14:paraId="2C8CB72D" w14:textId="77777777" w:rsidR="0077274E" w:rsidRPr="003B387C" w:rsidRDefault="0077274E" w:rsidP="0077274E">
      <w:pPr>
        <w:spacing w:before="100" w:beforeAutospacing="1" w:after="100" w:afterAutospacing="1" w:line="240" w:lineRule="auto"/>
        <w:ind w:left="720"/>
        <w:rPr>
          <w:rFonts w:ascii="Times New Roman" w:eastAsia="Times New Roman" w:hAnsi="Times New Roman"/>
          <w:sz w:val="24"/>
          <w:szCs w:val="24"/>
        </w:rPr>
      </w:pPr>
      <w:r w:rsidRPr="003B387C">
        <w:rPr>
          <w:rFonts w:ascii="Times New Roman" w:eastAsia="Times New Roman" w:hAnsi="Times New Roman"/>
          <w:sz w:val="24"/>
          <w:szCs w:val="24"/>
        </w:rPr>
        <w:t>(A) In an action brought against an employer by an employee, or by the dependent survivors of a deceased employee, for damages resulting from an intentional tort committed by the employer during the course of employment, the employer shall not be liable unless the plaintiff proves that the employer committed the tortious act with the intent to injure another or with the belief that the injury was substantially certain to occur.</w:t>
      </w:r>
    </w:p>
    <w:p w14:paraId="2D5BF1EC" w14:textId="77777777" w:rsidR="0077274E" w:rsidRPr="003B387C" w:rsidRDefault="0077274E" w:rsidP="0077274E">
      <w:pPr>
        <w:spacing w:before="100" w:beforeAutospacing="1" w:after="100" w:afterAutospacing="1" w:line="240" w:lineRule="auto"/>
        <w:ind w:left="720"/>
        <w:rPr>
          <w:rFonts w:ascii="Times New Roman" w:eastAsia="Times New Roman" w:hAnsi="Times New Roman"/>
          <w:sz w:val="24"/>
          <w:szCs w:val="24"/>
        </w:rPr>
      </w:pPr>
      <w:r w:rsidRPr="003B387C">
        <w:rPr>
          <w:rFonts w:ascii="Times New Roman" w:eastAsia="Times New Roman" w:hAnsi="Times New Roman"/>
          <w:sz w:val="24"/>
          <w:szCs w:val="24"/>
        </w:rPr>
        <w:t>(B) As used in this section, "substantially certain" means that an employer acts with deliberate intent to cause an employee to suffer an injury, a disease, a condition, or death.</w:t>
      </w:r>
    </w:p>
    <w:p w14:paraId="3B5CA388" w14:textId="77777777" w:rsidR="0077274E" w:rsidRPr="003B387C" w:rsidRDefault="0077274E" w:rsidP="0077274E">
      <w:pPr>
        <w:spacing w:before="100" w:beforeAutospacing="1" w:after="100" w:afterAutospacing="1" w:line="240" w:lineRule="auto"/>
        <w:ind w:left="720"/>
        <w:rPr>
          <w:rFonts w:ascii="Times New Roman" w:eastAsia="Times New Roman" w:hAnsi="Times New Roman"/>
          <w:sz w:val="24"/>
          <w:szCs w:val="24"/>
        </w:rPr>
      </w:pPr>
      <w:r w:rsidRPr="003B387C">
        <w:rPr>
          <w:rFonts w:ascii="Times New Roman" w:eastAsia="Times New Roman" w:hAnsi="Times New Roman"/>
          <w:sz w:val="24"/>
          <w:szCs w:val="24"/>
        </w:rPr>
        <w:lastRenderedPageBreak/>
        <w:t>(C) Deliberate removal by an employer of an equipment safety guard or deliberate misrepresentation of a toxic or hazardous substance creates a rebuttable presumption that the removal or misrepresentation was committed with intent to injure another if an injury or an occupational disease or condition occurs as a direct result.</w:t>
      </w:r>
    </w:p>
    <w:p w14:paraId="6BFA661B" w14:textId="77777777" w:rsidR="0077274E" w:rsidRPr="003B387C" w:rsidRDefault="0077274E" w:rsidP="0077274E">
      <w:pPr>
        <w:spacing w:before="100" w:beforeAutospacing="1" w:after="100" w:afterAutospacing="1" w:line="240" w:lineRule="auto"/>
        <w:ind w:left="720"/>
        <w:rPr>
          <w:rFonts w:ascii="Times New Roman" w:eastAsia="Times New Roman" w:hAnsi="Times New Roman"/>
          <w:sz w:val="24"/>
          <w:szCs w:val="24"/>
        </w:rPr>
      </w:pPr>
      <w:r w:rsidRPr="003B387C">
        <w:rPr>
          <w:rFonts w:ascii="Times New Roman" w:eastAsia="Times New Roman" w:hAnsi="Times New Roman"/>
          <w:sz w:val="24"/>
          <w:szCs w:val="24"/>
        </w:rPr>
        <w:t xml:space="preserve">(D) This section does not apply to claims arising </w:t>
      </w:r>
      <w:proofErr w:type="gramStart"/>
      <w:r w:rsidRPr="003B387C">
        <w:rPr>
          <w:rFonts w:ascii="Times New Roman" w:eastAsia="Times New Roman" w:hAnsi="Times New Roman"/>
          <w:sz w:val="24"/>
          <w:szCs w:val="24"/>
        </w:rPr>
        <w:t>during the course of</w:t>
      </w:r>
      <w:proofErr w:type="gramEnd"/>
      <w:r w:rsidRPr="003B387C">
        <w:rPr>
          <w:rFonts w:ascii="Times New Roman" w:eastAsia="Times New Roman" w:hAnsi="Times New Roman"/>
          <w:sz w:val="24"/>
          <w:szCs w:val="24"/>
        </w:rPr>
        <w:t xml:space="preserve"> employment involving discrimination, civil rights, retaliation, harassment in violation of Chapter 4112. of the Revised Code, intentional infliction of emotional distress not compensable under Chapters 4121. and 4123. of the Revised Code, contract, promissory estoppel, or defamation.</w:t>
      </w:r>
    </w:p>
    <w:p w14:paraId="322BF799" w14:textId="69FA7D36" w:rsidR="0077274E" w:rsidRDefault="00F27CD5" w:rsidP="00EF1133">
      <w:pPr>
        <w:rPr>
          <w:rFonts w:ascii="Arial Black" w:hAnsi="Arial Black"/>
          <w:b/>
          <w:sz w:val="24"/>
          <w:szCs w:val="24"/>
        </w:rPr>
      </w:pPr>
      <w:r>
        <w:rPr>
          <w:rFonts w:ascii="Arial Black" w:hAnsi="Arial Black"/>
          <w:b/>
          <w:sz w:val="24"/>
          <w:szCs w:val="24"/>
        </w:rPr>
        <w:t>6-</w:t>
      </w:r>
      <w:r w:rsidR="00FF7C63">
        <w:rPr>
          <w:rFonts w:ascii="Arial Black" w:hAnsi="Arial Black"/>
          <w:b/>
          <w:sz w:val="24"/>
          <w:szCs w:val="24"/>
        </w:rPr>
        <w:t>69</w:t>
      </w:r>
    </w:p>
    <w:p w14:paraId="7EA85C1B" w14:textId="77777777" w:rsidR="00F27CD5" w:rsidRPr="00AC6430" w:rsidRDefault="00F27CD5" w:rsidP="00F27CD5">
      <w:pPr>
        <w:pStyle w:val="NoSpacing"/>
        <w:rPr>
          <w:rFonts w:ascii="Arial Black" w:hAnsi="Arial Black"/>
          <w:sz w:val="28"/>
          <w:szCs w:val="28"/>
        </w:rPr>
      </w:pPr>
      <w:r>
        <w:rPr>
          <w:rFonts w:ascii="Arial Black" w:hAnsi="Arial Black"/>
          <w:sz w:val="28"/>
          <w:szCs w:val="28"/>
        </w:rPr>
        <w:t>LA: HEARING LOSS – GRADUAL LOSS OVER CAREER - MED. COVERAGE, BUT NOT PERMANENT PARTIAL DIABILITY</w:t>
      </w:r>
    </w:p>
    <w:p w14:paraId="1BE2649B" w14:textId="77777777" w:rsidR="00F27CD5" w:rsidRDefault="00F27CD5" w:rsidP="00F27CD5">
      <w:pPr>
        <w:pStyle w:val="NoSpacing"/>
        <w:rPr>
          <w:rFonts w:ascii="Times New Roman" w:hAnsi="Times New Roman"/>
          <w:sz w:val="24"/>
          <w:szCs w:val="24"/>
        </w:rPr>
      </w:pPr>
    </w:p>
    <w:p w14:paraId="573A5E42" w14:textId="77777777" w:rsidR="00F27CD5" w:rsidRPr="00AC6430" w:rsidRDefault="00F27CD5" w:rsidP="00F27CD5">
      <w:pPr>
        <w:pStyle w:val="NoSpacing"/>
        <w:rPr>
          <w:rFonts w:ascii="Times New Roman" w:hAnsi="Times New Roman"/>
          <w:sz w:val="24"/>
          <w:szCs w:val="24"/>
        </w:rPr>
      </w:pPr>
      <w:r w:rsidRPr="00AC6430">
        <w:rPr>
          <w:rFonts w:ascii="Times New Roman" w:hAnsi="Times New Roman"/>
          <w:sz w:val="24"/>
          <w:szCs w:val="24"/>
        </w:rPr>
        <w:t xml:space="preserve">On March 24, 2021, in </w:t>
      </w:r>
      <w:r w:rsidRPr="00AC6430">
        <w:rPr>
          <w:rFonts w:ascii="Times New Roman" w:hAnsi="Times New Roman"/>
          <w:sz w:val="24"/>
          <w:szCs w:val="24"/>
          <w:u w:val="single"/>
        </w:rPr>
        <w:t>James J. Hartman, Jr. vs. Bernard Parish Fire Department &amp; FARA</w:t>
      </w:r>
      <w:r w:rsidRPr="00AC6430">
        <w:rPr>
          <w:rFonts w:ascii="Times New Roman" w:hAnsi="Times New Roman"/>
          <w:sz w:val="24"/>
          <w:szCs w:val="24"/>
        </w:rPr>
        <w:t xml:space="preserve">, the Louisiana Supreme Court held (7 to 0) that a gradual loss of hearing by a District Chief does not meet the state’s statute requiring an explosion or other permanent hearing loss “solely due to a single traumatic accident.”  </w:t>
      </w:r>
      <w:r>
        <w:rPr>
          <w:rFonts w:ascii="Times New Roman" w:hAnsi="Times New Roman"/>
          <w:sz w:val="24"/>
          <w:szCs w:val="24"/>
        </w:rPr>
        <w:t xml:space="preserve">He is entitled to </w:t>
      </w:r>
      <w:proofErr w:type="gramStart"/>
      <w:r>
        <w:rPr>
          <w:rFonts w:ascii="Times New Roman" w:hAnsi="Times New Roman"/>
          <w:sz w:val="24"/>
          <w:szCs w:val="24"/>
        </w:rPr>
        <w:t>continuing</w:t>
      </w:r>
      <w:proofErr w:type="gramEnd"/>
      <w:r>
        <w:rPr>
          <w:rFonts w:ascii="Times New Roman" w:hAnsi="Times New Roman"/>
          <w:sz w:val="24"/>
          <w:szCs w:val="24"/>
        </w:rPr>
        <w:t xml:space="preserve"> medical coverage. </w:t>
      </w:r>
    </w:p>
    <w:p w14:paraId="753EDC8B" w14:textId="77777777" w:rsidR="00F27CD5" w:rsidRDefault="00F27CD5" w:rsidP="00F27CD5">
      <w:pPr>
        <w:pStyle w:val="NoSpacing"/>
        <w:rPr>
          <w:rFonts w:ascii="Times New Roman" w:hAnsi="Times New Roman"/>
          <w:sz w:val="24"/>
          <w:szCs w:val="24"/>
        </w:rPr>
      </w:pPr>
    </w:p>
    <w:p w14:paraId="079FC725" w14:textId="77777777" w:rsidR="00F27CD5" w:rsidRPr="00C14B60" w:rsidRDefault="00F27CD5" w:rsidP="00F27CD5">
      <w:pPr>
        <w:pStyle w:val="NoSpacing"/>
        <w:ind w:left="720"/>
        <w:rPr>
          <w:rFonts w:ascii="Times New Roman" w:hAnsi="Times New Roman"/>
          <w:color w:val="303030"/>
          <w:sz w:val="24"/>
          <w:szCs w:val="24"/>
        </w:rPr>
      </w:pPr>
      <w:r w:rsidRPr="00C14B60">
        <w:rPr>
          <w:rFonts w:ascii="Times New Roman" w:hAnsi="Times New Roman"/>
          <w:sz w:val="24"/>
          <w:szCs w:val="24"/>
        </w:rPr>
        <w:t xml:space="preserve">“Applying instead the clear and unambiguous words of the statute, we find that the medical evidence in this case establishes that Mr. Hartman’s hearing loss did not result solely from a single traumatic accident and, thus, he is not entitled to permanent partial disability benefits pursuant to La. R.S. 23:1221(4)(p).” </w:t>
      </w:r>
      <w:hyperlink r:id="rId1216" w:history="1">
        <w:r w:rsidRPr="00C14B60">
          <w:rPr>
            <w:rStyle w:val="Hyperlink"/>
            <w:sz w:val="24"/>
            <w:szCs w:val="24"/>
          </w:rPr>
          <w:t>https://www.lasc.org/Opinions/2021/20-0693.C.OPN.pdf</w:t>
        </w:r>
      </w:hyperlink>
      <w:r w:rsidRPr="00C14B60">
        <w:rPr>
          <w:rFonts w:ascii="Times New Roman" w:hAnsi="Times New Roman"/>
          <w:color w:val="303030"/>
          <w:sz w:val="24"/>
          <w:szCs w:val="24"/>
        </w:rPr>
        <w:t xml:space="preserve"> </w:t>
      </w:r>
    </w:p>
    <w:p w14:paraId="4BE49C89" w14:textId="77777777" w:rsidR="00F27CD5" w:rsidRPr="00AD1A4D" w:rsidRDefault="00F27CD5" w:rsidP="00F27CD5">
      <w:pPr>
        <w:pStyle w:val="NoSpacing"/>
        <w:rPr>
          <w:rFonts w:ascii="Times New Roman" w:hAnsi="Times New Roman"/>
          <w:b/>
          <w:bCs/>
          <w:sz w:val="24"/>
          <w:szCs w:val="24"/>
        </w:rPr>
      </w:pPr>
      <w:r w:rsidRPr="00AD1A4D">
        <w:rPr>
          <w:rFonts w:ascii="Times New Roman" w:hAnsi="Times New Roman"/>
          <w:b/>
          <w:bCs/>
          <w:sz w:val="24"/>
          <w:szCs w:val="24"/>
        </w:rPr>
        <w:t>Legal Lesson Learned:</w:t>
      </w:r>
      <w:r>
        <w:rPr>
          <w:rFonts w:ascii="Times New Roman" w:hAnsi="Times New Roman"/>
          <w:b/>
          <w:bCs/>
          <w:sz w:val="24"/>
          <w:szCs w:val="24"/>
        </w:rPr>
        <w:t xml:space="preserve"> The state statute limits partial disability compensation only if caused by a single traumatic accident. Time to “lobby” the legislature to broaden the statute. </w:t>
      </w:r>
    </w:p>
    <w:p w14:paraId="1C560811" w14:textId="77777777" w:rsidR="00F27CD5" w:rsidRDefault="00F27CD5" w:rsidP="00F27CD5">
      <w:pPr>
        <w:pStyle w:val="NormalWeb"/>
      </w:pPr>
      <w:r>
        <w:rPr>
          <w:sz w:val="38"/>
          <w:szCs w:val="38"/>
        </w:rPr>
        <w:tab/>
      </w:r>
      <w:r>
        <w:t xml:space="preserve">Note: </w:t>
      </w:r>
    </w:p>
    <w:p w14:paraId="2B8034EA" w14:textId="77777777" w:rsidR="00F27CD5" w:rsidRPr="00CC6D9B" w:rsidRDefault="00F27CD5" w:rsidP="00F27CD5">
      <w:pPr>
        <w:pStyle w:val="Heading1"/>
        <w:ind w:left="720"/>
        <w:rPr>
          <w:sz w:val="24"/>
          <w:szCs w:val="24"/>
        </w:rPr>
      </w:pPr>
      <w:r w:rsidRPr="00CB33A6">
        <w:rPr>
          <w:sz w:val="24"/>
          <w:szCs w:val="24"/>
        </w:rPr>
        <w:t xml:space="preserve">Ohio Revised Code: Section 4123.57 </w:t>
      </w:r>
      <w:r w:rsidRPr="00CB33A6">
        <w:rPr>
          <w:rStyle w:val="codes-separator"/>
          <w:sz w:val="24"/>
          <w:szCs w:val="24"/>
        </w:rPr>
        <w:t>|</w:t>
      </w:r>
      <w:r w:rsidRPr="00CB33A6">
        <w:rPr>
          <w:sz w:val="24"/>
          <w:szCs w:val="24"/>
        </w:rPr>
        <w:t xml:space="preserve"> Partial disability compensation</w:t>
      </w:r>
      <w:r w:rsidRPr="00CC6D9B">
        <w:rPr>
          <w:sz w:val="24"/>
          <w:szCs w:val="24"/>
        </w:rPr>
        <w:t>.</w:t>
      </w:r>
      <w:r>
        <w:rPr>
          <w:sz w:val="24"/>
          <w:szCs w:val="24"/>
        </w:rPr>
        <w:t xml:space="preserve"> </w:t>
      </w:r>
      <w:hyperlink r:id="rId1217" w:history="1">
        <w:r w:rsidRPr="00C724D5">
          <w:rPr>
            <w:rStyle w:val="Hyperlink"/>
            <w:sz w:val="24"/>
            <w:szCs w:val="24"/>
          </w:rPr>
          <w:t>https://codes.ohio.gov/ohio-revised-code/section-4123.57</w:t>
        </w:r>
      </w:hyperlink>
      <w:r>
        <w:rPr>
          <w:sz w:val="24"/>
          <w:szCs w:val="24"/>
        </w:rPr>
        <w:t xml:space="preserve"> </w:t>
      </w:r>
    </w:p>
    <w:p w14:paraId="707ACC72" w14:textId="77777777" w:rsidR="00F27CD5" w:rsidRDefault="00F27CD5" w:rsidP="00F27CD5">
      <w:pPr>
        <w:pStyle w:val="NormalWeb"/>
        <w:ind w:left="1440" w:firstLine="720"/>
      </w:pPr>
      <w:r>
        <w:t>“</w:t>
      </w:r>
      <w:r w:rsidRPr="00CC6D9B">
        <w:t>For the permanent and total loss of hearing, one hundred twenty-five weeks; but, except pursuant to the next preceding paragraph, in no case shall an award of compensation be made for less than permanent and total loss of hearing.</w:t>
      </w:r>
      <w:r>
        <w:t>”</w:t>
      </w:r>
    </w:p>
    <w:p w14:paraId="320230A5" w14:textId="77777777" w:rsidR="00F27CD5" w:rsidRPr="00AD1A4D" w:rsidRDefault="00F27CD5" w:rsidP="00F27CD5">
      <w:pPr>
        <w:pStyle w:val="NormalWeb"/>
        <w:ind w:left="720"/>
      </w:pPr>
      <w:r>
        <w:t xml:space="preserve">See also: </w:t>
      </w:r>
      <w:hyperlink r:id="rId1218" w:history="1">
        <w:r w:rsidRPr="00C724D5">
          <w:rPr>
            <w:rStyle w:val="Hyperlink"/>
          </w:rPr>
          <w:t>https://www.monastlaw.com/blog/ohio-workers-compensation-for-hearing-loss.cfm</w:t>
        </w:r>
      </w:hyperlink>
      <w:r>
        <w:t xml:space="preserve"> </w:t>
      </w:r>
    </w:p>
    <w:p w14:paraId="1910EDE7" w14:textId="77777777" w:rsidR="00F27CD5" w:rsidRPr="00AD1A4D" w:rsidRDefault="00F27CD5" w:rsidP="00F27CD5">
      <w:pPr>
        <w:pStyle w:val="NormalWeb"/>
        <w:ind w:left="1170"/>
      </w:pPr>
      <w:r>
        <w:t>“</w:t>
      </w:r>
      <w:r w:rsidRPr="00AD1A4D">
        <w:t xml:space="preserve">Under workers’ compensation law in Ohio, hearing loss is a </w:t>
      </w:r>
      <w:hyperlink r:id="rId1219" w:history="1">
        <w:r w:rsidRPr="00AD1A4D">
          <w:rPr>
            <w:rStyle w:val="Hyperlink"/>
          </w:rPr>
          <w:t>scheduled loss</w:t>
        </w:r>
      </w:hyperlink>
      <w:r w:rsidRPr="00AD1A4D">
        <w:t>, meaning compensation is awarded based on a set schedule. Depending on the extent of your hearing loss, you may obtain benefits for a specific number of weeks:</w:t>
      </w:r>
    </w:p>
    <w:p w14:paraId="39838718" w14:textId="77777777" w:rsidR="00F27CD5" w:rsidRPr="00AD1A4D" w:rsidRDefault="00F27CD5" w:rsidP="00F27CD5">
      <w:pPr>
        <w:numPr>
          <w:ilvl w:val="0"/>
          <w:numId w:val="10"/>
        </w:numPr>
        <w:tabs>
          <w:tab w:val="clear" w:pos="720"/>
          <w:tab w:val="num" w:pos="900"/>
        </w:tabs>
        <w:spacing w:before="100" w:beforeAutospacing="1" w:after="100" w:afterAutospacing="1" w:line="240" w:lineRule="auto"/>
        <w:ind w:firstLine="450"/>
        <w:rPr>
          <w:rFonts w:ascii="Times New Roman" w:hAnsi="Times New Roman"/>
          <w:sz w:val="24"/>
          <w:szCs w:val="24"/>
        </w:rPr>
      </w:pPr>
      <w:r w:rsidRPr="00AD1A4D">
        <w:rPr>
          <w:rFonts w:ascii="Times New Roman" w:hAnsi="Times New Roman"/>
          <w:sz w:val="24"/>
          <w:szCs w:val="24"/>
        </w:rPr>
        <w:t>25 weeks for permanent and total loss of hearing in one ear</w:t>
      </w:r>
    </w:p>
    <w:p w14:paraId="05E264D6" w14:textId="77777777" w:rsidR="00F27CD5" w:rsidRPr="00AD1A4D" w:rsidRDefault="00F27CD5" w:rsidP="00F27CD5">
      <w:pPr>
        <w:numPr>
          <w:ilvl w:val="0"/>
          <w:numId w:val="10"/>
        </w:numPr>
        <w:tabs>
          <w:tab w:val="clear" w:pos="720"/>
          <w:tab w:val="num" w:pos="900"/>
        </w:tabs>
        <w:spacing w:before="100" w:beforeAutospacing="1" w:after="100" w:afterAutospacing="1" w:line="240" w:lineRule="auto"/>
        <w:ind w:firstLine="450"/>
        <w:rPr>
          <w:rFonts w:ascii="Times New Roman" w:hAnsi="Times New Roman"/>
          <w:sz w:val="24"/>
          <w:szCs w:val="24"/>
        </w:rPr>
      </w:pPr>
      <w:r w:rsidRPr="00AD1A4D">
        <w:rPr>
          <w:rFonts w:ascii="Times New Roman" w:hAnsi="Times New Roman"/>
          <w:sz w:val="24"/>
          <w:szCs w:val="24"/>
        </w:rPr>
        <w:t>125 weeks for complete loss of hearing in both ears</w:t>
      </w:r>
    </w:p>
    <w:p w14:paraId="5943134C" w14:textId="77777777" w:rsidR="00F27CD5" w:rsidRDefault="00F27CD5" w:rsidP="00F27CD5">
      <w:pPr>
        <w:pStyle w:val="NormalWeb"/>
        <w:ind w:left="1170"/>
      </w:pPr>
      <w:r w:rsidRPr="00AD1A4D">
        <w:t xml:space="preserve">No award is </w:t>
      </w:r>
      <w:proofErr w:type="gramStart"/>
      <w:r w:rsidRPr="00AD1A4D">
        <w:t>made</w:t>
      </w:r>
      <w:proofErr w:type="gramEnd"/>
      <w:r w:rsidRPr="00AD1A4D">
        <w:t xml:space="preserve"> for anything less than permanent and total loss of hearing in at least one ear. Your benefits can include compensation for up to 100% of the statewide average weekly wage. This amount is determined annually</w:t>
      </w:r>
      <w:r>
        <w:t xml:space="preserve">.” </w:t>
      </w:r>
    </w:p>
    <w:p w14:paraId="5689C71C" w14:textId="77777777" w:rsidR="00F27CD5" w:rsidRDefault="00F27CD5" w:rsidP="00EF1133">
      <w:pPr>
        <w:rPr>
          <w:rFonts w:ascii="Arial Black" w:hAnsi="Arial Black"/>
          <w:b/>
          <w:sz w:val="24"/>
          <w:szCs w:val="24"/>
        </w:rPr>
      </w:pPr>
    </w:p>
    <w:p w14:paraId="3B347FB9" w14:textId="77777777" w:rsidR="0077274E" w:rsidRDefault="0077274E" w:rsidP="00EF1133">
      <w:pPr>
        <w:rPr>
          <w:rFonts w:ascii="Arial Black" w:hAnsi="Arial Black"/>
          <w:b/>
          <w:sz w:val="24"/>
          <w:szCs w:val="24"/>
        </w:rPr>
      </w:pPr>
    </w:p>
    <w:p w14:paraId="1FA1E0E7" w14:textId="4984267B" w:rsidR="00831847" w:rsidRDefault="00831847" w:rsidP="00EF1133">
      <w:pPr>
        <w:rPr>
          <w:rFonts w:ascii="Arial Black" w:hAnsi="Arial Black"/>
          <w:b/>
          <w:sz w:val="24"/>
          <w:szCs w:val="24"/>
        </w:rPr>
      </w:pPr>
      <w:r>
        <w:rPr>
          <w:rFonts w:ascii="Arial Black" w:hAnsi="Arial Black"/>
          <w:b/>
          <w:sz w:val="24"/>
          <w:szCs w:val="24"/>
        </w:rPr>
        <w:t>6-6</w:t>
      </w:r>
      <w:r w:rsidR="00FF7C63">
        <w:rPr>
          <w:rFonts w:ascii="Arial Black" w:hAnsi="Arial Black"/>
          <w:b/>
          <w:sz w:val="24"/>
          <w:szCs w:val="24"/>
        </w:rPr>
        <w:t>8</w:t>
      </w:r>
    </w:p>
    <w:p w14:paraId="6DD3BEA7" w14:textId="77777777" w:rsidR="00831847" w:rsidRPr="00E0778E" w:rsidRDefault="00831847" w:rsidP="00831847">
      <w:pPr>
        <w:pStyle w:val="NoSpacing"/>
        <w:rPr>
          <w:rFonts w:ascii="Arial Black" w:hAnsi="Arial Black"/>
          <w:sz w:val="28"/>
          <w:szCs w:val="28"/>
        </w:rPr>
      </w:pPr>
      <w:r>
        <w:rPr>
          <w:rFonts w:ascii="Arial Black" w:hAnsi="Arial Black"/>
          <w:sz w:val="28"/>
          <w:szCs w:val="28"/>
        </w:rPr>
        <w:t>IL: FF RETIRED AT MANADATORY AGE OF 65 – PENSION - CANNOT THEN ALSO RECEIVE UNEMPLOYMENT COMP</w:t>
      </w:r>
    </w:p>
    <w:p w14:paraId="6F45EBAD" w14:textId="77777777" w:rsidR="00831847" w:rsidRDefault="00831847" w:rsidP="00831847">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March 16, 2021, in </w:t>
      </w:r>
      <w:r w:rsidRPr="00E0778E">
        <w:rPr>
          <w:rFonts w:ascii="Times New Roman" w:eastAsia="Times New Roman" w:hAnsi="Times New Roman"/>
          <w:sz w:val="24"/>
          <w:szCs w:val="24"/>
          <w:u w:val="single"/>
        </w:rPr>
        <w:t>Prospect Heights Fire Protection District v. The Department of Employment Security</w:t>
      </w:r>
      <w:r>
        <w:rPr>
          <w:rFonts w:ascii="Times New Roman" w:eastAsia="Times New Roman" w:hAnsi="Times New Roman"/>
          <w:sz w:val="24"/>
          <w:szCs w:val="24"/>
          <w:u w:val="single"/>
        </w:rPr>
        <w:t xml:space="preserve"> (Robert J. </w:t>
      </w:r>
      <w:proofErr w:type="spellStart"/>
      <w:r>
        <w:rPr>
          <w:rFonts w:ascii="Times New Roman" w:eastAsia="Times New Roman" w:hAnsi="Times New Roman"/>
          <w:sz w:val="24"/>
          <w:szCs w:val="24"/>
          <w:u w:val="single"/>
        </w:rPr>
        <w:t>Pyzyna</w:t>
      </w:r>
      <w:proofErr w:type="spellEnd"/>
      <w:r>
        <w:rPr>
          <w:rFonts w:ascii="Times New Roman" w:eastAsia="Times New Roman" w:hAnsi="Times New Roman"/>
          <w:sz w:val="24"/>
          <w:szCs w:val="24"/>
          <w:u w:val="single"/>
        </w:rPr>
        <w:t>)</w:t>
      </w:r>
      <w:r w:rsidRPr="00E0778E">
        <w:rPr>
          <w:rFonts w:ascii="Times New Roman" w:eastAsia="Times New Roman" w:hAnsi="Times New Roman"/>
          <w:sz w:val="24"/>
          <w:szCs w:val="24"/>
          <w:u w:val="single"/>
        </w:rPr>
        <w:t>, et al</w:t>
      </w:r>
      <w:r>
        <w:rPr>
          <w:rFonts w:ascii="Times New Roman" w:eastAsia="Times New Roman" w:hAnsi="Times New Roman"/>
          <w:sz w:val="24"/>
          <w:szCs w:val="24"/>
        </w:rPr>
        <w:t xml:space="preserve">., the Appellate Court of Illinois, First Judicial District (Second Division) held (3 to 0), </w:t>
      </w:r>
      <w:r w:rsidRPr="00F50861">
        <w:rPr>
          <w:rFonts w:ascii="Times New Roman" w:hAnsi="Times New Roman"/>
          <w:sz w:val="24"/>
          <w:szCs w:val="24"/>
        </w:rPr>
        <w:t>2021 IL App (1st) 182525</w:t>
      </w:r>
      <w:r>
        <w:rPr>
          <w:rFonts w:ascii="Times New Roman" w:eastAsia="Times New Roman" w:hAnsi="Times New Roman"/>
          <w:sz w:val="24"/>
          <w:szCs w:val="24"/>
        </w:rPr>
        <w:t xml:space="preserve">, that career firefighter Robert Pyzyna, who retired in Nov. 2017 when he reached mandatory retirement age 65, and began drawing a pension, should have not receive unemployment benefits since he was never “laid off.”  This is an important decision for Illinois fire service since it resolves an issue of “first impression.”  Note: </w:t>
      </w:r>
      <w:proofErr w:type="gramStart"/>
      <w:r>
        <w:rPr>
          <w:rFonts w:ascii="Times New Roman" w:eastAsia="Times New Roman" w:hAnsi="Times New Roman"/>
          <w:sz w:val="24"/>
          <w:szCs w:val="24"/>
        </w:rPr>
        <w:t>His is</w:t>
      </w:r>
      <w:proofErr w:type="gramEnd"/>
      <w:r>
        <w:rPr>
          <w:rFonts w:ascii="Times New Roman" w:eastAsia="Times New Roman" w:hAnsi="Times New Roman"/>
          <w:sz w:val="24"/>
          <w:szCs w:val="24"/>
        </w:rPr>
        <w:t xml:space="preserve"> current weekly income is $1,467.27; the unemployment benefit would have been $449.  While an Illinois statute would normally prevent applicants </w:t>
      </w:r>
      <w:proofErr w:type="gramStart"/>
      <w:r>
        <w:rPr>
          <w:rFonts w:ascii="Times New Roman" w:eastAsia="Times New Roman" w:hAnsi="Times New Roman"/>
          <w:sz w:val="24"/>
          <w:szCs w:val="24"/>
        </w:rPr>
        <w:t>to receive</w:t>
      </w:r>
      <w:proofErr w:type="gramEnd"/>
      <w:r>
        <w:rPr>
          <w:rFonts w:ascii="Times New Roman" w:eastAsia="Times New Roman" w:hAnsi="Times New Roman"/>
          <w:sz w:val="24"/>
          <w:szCs w:val="24"/>
        </w:rPr>
        <w:t xml:space="preserve"> unemployment comp if they are already making is excess of that amount, the Court decision was issued so other FF will not pursue such claims. </w:t>
      </w:r>
    </w:p>
    <w:p w14:paraId="686F31F9" w14:textId="77777777" w:rsidR="00831847" w:rsidRDefault="00831847" w:rsidP="00831847">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r w:rsidRPr="00D82A44">
        <w:rPr>
          <w:rFonts w:ascii="Times New Roman" w:eastAsia="Times New Roman" w:hAnsi="Times New Roman"/>
          <w:sz w:val="24"/>
          <w:szCs w:val="24"/>
        </w:rPr>
        <w:t>Here, the issue raised in this appeal is one of first impression, and we find that resolving the issue would aid IDES officials in performing their duties and in properly applying the law. As such, we find that the</w:t>
      </w:r>
      <w:r>
        <w:rPr>
          <w:rFonts w:ascii="Times New Roman" w:eastAsia="Times New Roman" w:hAnsi="Times New Roman"/>
          <w:sz w:val="24"/>
          <w:szCs w:val="24"/>
        </w:rPr>
        <w:t xml:space="preserve"> </w:t>
      </w:r>
      <w:r w:rsidRPr="00D82A44">
        <w:rPr>
          <w:rFonts w:ascii="Times New Roman" w:eastAsia="Times New Roman" w:hAnsi="Times New Roman"/>
          <w:sz w:val="24"/>
          <w:szCs w:val="24"/>
        </w:rPr>
        <w:t xml:space="preserve">second prong of the public interest exception is also satisfied. </w:t>
      </w:r>
      <w:r w:rsidRPr="007A0047">
        <w:rPr>
          <w:rFonts w:ascii="Times New Roman" w:hAnsi="Times New Roman"/>
          <w:sz w:val="24"/>
          <w:szCs w:val="24"/>
        </w:rPr>
        <w:t xml:space="preserve">Finally, with respect to the third factor, given the large number of firefighters employed in this state, we believe that absent a ruling on this issue, questions about the interplay between the Fire Protection Act's mandatory retirement provision and the Unemployment Act are likely to </w:t>
      </w:r>
      <w:proofErr w:type="gramStart"/>
      <w:r w:rsidRPr="007A0047">
        <w:rPr>
          <w:rFonts w:ascii="Times New Roman" w:hAnsi="Times New Roman"/>
          <w:sz w:val="24"/>
          <w:szCs w:val="24"/>
        </w:rPr>
        <w:t>reoccur</w:t>
      </w:r>
      <w:proofErr w:type="gramEnd"/>
      <w:r w:rsidRPr="007A0047">
        <w:rPr>
          <w:rFonts w:ascii="Times New Roman" w:hAnsi="Times New Roman"/>
          <w:sz w:val="24"/>
          <w:szCs w:val="24"/>
        </w:rPr>
        <w:t>.</w:t>
      </w:r>
    </w:p>
    <w:p w14:paraId="0CDD0D7A" w14:textId="77777777" w:rsidR="00831847" w:rsidRDefault="00831847" w:rsidP="00831847">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175ACA01" w14:textId="77777777" w:rsidR="00831847" w:rsidRPr="00F50861" w:rsidRDefault="00831847" w:rsidP="00831847">
      <w:pPr>
        <w:spacing w:before="100" w:beforeAutospacing="1" w:after="100" w:afterAutospacing="1" w:line="240" w:lineRule="auto"/>
        <w:ind w:left="720"/>
        <w:rPr>
          <w:rFonts w:ascii="Times New Roman" w:hAnsi="Times New Roman"/>
          <w:sz w:val="24"/>
          <w:szCs w:val="24"/>
        </w:rPr>
      </w:pPr>
      <w:r w:rsidRPr="00F50861">
        <w:rPr>
          <w:rFonts w:ascii="Times New Roman" w:hAnsi="Times New Roman"/>
          <w:sz w:val="24"/>
          <w:szCs w:val="24"/>
        </w:rPr>
        <w:t>We conclude that an Illinois firefighter who leaves his or her place of employment upon reaching the mandatory retirement age of 65 does so voluntarily absent good cause attributable to the employer and is not eligible to seek unemployment benefits pursuant to the Unemployment Act. Accordingly, we affirm the circuit court judgment reversing the contrary conclusion reached by the Board in this case.</w:t>
      </w:r>
      <w:r>
        <w:rPr>
          <w:rFonts w:ascii="Times New Roman" w:hAnsi="Times New Roman"/>
          <w:sz w:val="24"/>
          <w:szCs w:val="24"/>
        </w:rPr>
        <w:t xml:space="preserve">” </w:t>
      </w:r>
      <w:hyperlink r:id="rId1220" w:history="1">
        <w:r w:rsidRPr="00AB20E4">
          <w:rPr>
            <w:rStyle w:val="Hyperlink"/>
            <w:sz w:val="24"/>
            <w:szCs w:val="24"/>
          </w:rPr>
          <w:t>https://casetext.com/case/prospect-heights-fire-prot-dist-v-dept-of-empt-sec</w:t>
        </w:r>
      </w:hyperlink>
      <w:r>
        <w:rPr>
          <w:rFonts w:ascii="Times New Roman" w:hAnsi="Times New Roman"/>
          <w:sz w:val="24"/>
          <w:szCs w:val="24"/>
        </w:rPr>
        <w:t xml:space="preserve"> </w:t>
      </w:r>
    </w:p>
    <w:p w14:paraId="040E9525" w14:textId="77777777" w:rsidR="00831847" w:rsidRPr="00D82A44" w:rsidRDefault="00831847" w:rsidP="00831847">
      <w:pPr>
        <w:spacing w:before="100" w:beforeAutospacing="1" w:after="100" w:afterAutospacing="1" w:line="240" w:lineRule="auto"/>
        <w:rPr>
          <w:rFonts w:ascii="Times New Roman" w:eastAsia="Times New Roman" w:hAnsi="Times New Roman"/>
          <w:b/>
          <w:bCs/>
          <w:sz w:val="24"/>
          <w:szCs w:val="24"/>
        </w:rPr>
      </w:pPr>
      <w:r w:rsidRPr="0087635A">
        <w:rPr>
          <w:rFonts w:ascii="Times New Roman" w:hAnsi="Times New Roman"/>
          <w:b/>
          <w:bCs/>
          <w:sz w:val="24"/>
          <w:szCs w:val="24"/>
        </w:rPr>
        <w:t>Legal Lesson Learned:</w:t>
      </w:r>
      <w:r>
        <w:rPr>
          <w:rFonts w:ascii="Times New Roman" w:hAnsi="Times New Roman"/>
          <w:b/>
          <w:bCs/>
          <w:sz w:val="24"/>
          <w:szCs w:val="24"/>
        </w:rPr>
        <w:t xml:space="preserve">  Excellent court decision that hopefully will prevent other Illinois firefighters from pursuing unemployment claims after their retirement at age 65. </w:t>
      </w:r>
    </w:p>
    <w:p w14:paraId="3E7C7067" w14:textId="77777777" w:rsidR="00831847" w:rsidRDefault="00831847" w:rsidP="00831847">
      <w:pPr>
        <w:pStyle w:val="NoSpacing"/>
        <w:ind w:left="720"/>
        <w:rPr>
          <w:rFonts w:ascii="Times New Roman" w:hAnsi="Times New Roman"/>
          <w:sz w:val="24"/>
          <w:szCs w:val="24"/>
        </w:rPr>
      </w:pPr>
      <w:r>
        <w:rPr>
          <w:rFonts w:ascii="Times New Roman" w:hAnsi="Times New Roman"/>
          <w:sz w:val="24"/>
          <w:szCs w:val="24"/>
        </w:rPr>
        <w:t xml:space="preserve">Note – Mandatory Retirement: </w:t>
      </w:r>
    </w:p>
    <w:p w14:paraId="46F0EF97" w14:textId="77777777" w:rsidR="00831847" w:rsidRDefault="00831847" w:rsidP="00831847">
      <w:pPr>
        <w:pStyle w:val="NoSpacing"/>
        <w:ind w:left="720"/>
        <w:rPr>
          <w:rFonts w:ascii="Times New Roman" w:hAnsi="Times New Roman"/>
          <w:sz w:val="24"/>
          <w:szCs w:val="24"/>
        </w:rPr>
      </w:pPr>
    </w:p>
    <w:p w14:paraId="24245B55" w14:textId="77777777" w:rsidR="00831847" w:rsidRDefault="00831847" w:rsidP="00831847">
      <w:pPr>
        <w:pStyle w:val="NoSpacing"/>
        <w:ind w:left="720"/>
        <w:rPr>
          <w:rFonts w:ascii="Times New Roman" w:hAnsi="Times New Roman"/>
          <w:color w:val="000000"/>
          <w:sz w:val="24"/>
          <w:szCs w:val="24"/>
        </w:rPr>
      </w:pPr>
      <w:r>
        <w:rPr>
          <w:rFonts w:ascii="Times New Roman" w:hAnsi="Times New Roman"/>
          <w:color w:val="000000"/>
          <w:sz w:val="24"/>
          <w:szCs w:val="24"/>
        </w:rPr>
        <w:t>“</w:t>
      </w:r>
      <w:r w:rsidRPr="0087635A">
        <w:rPr>
          <w:rFonts w:ascii="Times New Roman" w:hAnsi="Times New Roman"/>
          <w:color w:val="000000"/>
          <w:sz w:val="24"/>
          <w:szCs w:val="24"/>
        </w:rPr>
        <w:t xml:space="preserve">After Congress in 1996 permitted age caps for police and fire personnel, Chicago restored its mandatory retirement age of 63 for firefighters. Having lost on their ADEA claim, they asserted that their forced retirements violated due process. The appellate panel held that </w:t>
      </w:r>
      <w:proofErr w:type="gramStart"/>
      <w:r w:rsidRPr="0087635A">
        <w:rPr>
          <w:rFonts w:ascii="Times New Roman" w:hAnsi="Times New Roman"/>
          <w:color w:val="000000"/>
          <w:sz w:val="24"/>
          <w:szCs w:val="24"/>
        </w:rPr>
        <w:t>an involuntary</w:t>
      </w:r>
      <w:proofErr w:type="gramEnd"/>
      <w:r w:rsidRPr="0087635A">
        <w:rPr>
          <w:rFonts w:ascii="Times New Roman" w:hAnsi="Times New Roman"/>
          <w:color w:val="000000"/>
          <w:sz w:val="24"/>
          <w:szCs w:val="24"/>
        </w:rPr>
        <w:t xml:space="preserve"> retirement is not a discharge and the bargaining agreement did not give firefighters a protected property interest in continued employment regardless of their age. Minch v. City of Chicago, #05-2702, 2007 U.S. App. Lexis 11260, 181 LRRM (BNA) 3089 (7th Cir.).</w:t>
      </w:r>
      <w:r>
        <w:rPr>
          <w:rFonts w:ascii="Times New Roman" w:hAnsi="Times New Roman"/>
          <w:color w:val="000000"/>
          <w:sz w:val="24"/>
          <w:szCs w:val="24"/>
        </w:rPr>
        <w:t xml:space="preserve">” </w:t>
      </w:r>
      <w:hyperlink r:id="rId1221" w:history="1">
        <w:r w:rsidRPr="00AB20E4">
          <w:rPr>
            <w:rStyle w:val="Hyperlink"/>
            <w:sz w:val="24"/>
            <w:szCs w:val="24"/>
          </w:rPr>
          <w:t>http://www.aele.org/law/Digests/empl6.html</w:t>
        </w:r>
      </w:hyperlink>
      <w:r>
        <w:rPr>
          <w:rFonts w:ascii="Times New Roman" w:hAnsi="Times New Roman"/>
          <w:color w:val="000000"/>
          <w:sz w:val="24"/>
          <w:szCs w:val="24"/>
        </w:rPr>
        <w:t xml:space="preserve"> </w:t>
      </w:r>
    </w:p>
    <w:p w14:paraId="21D09FCD" w14:textId="77777777" w:rsidR="00831847" w:rsidRDefault="00831847" w:rsidP="00831847">
      <w:pPr>
        <w:pStyle w:val="NoSpacing"/>
        <w:ind w:left="720"/>
        <w:rPr>
          <w:rFonts w:ascii="Times New Roman" w:hAnsi="Times New Roman"/>
          <w:color w:val="000000"/>
          <w:sz w:val="24"/>
          <w:szCs w:val="24"/>
        </w:rPr>
      </w:pPr>
    </w:p>
    <w:p w14:paraId="5B8F3FBB" w14:textId="77777777" w:rsidR="00831847" w:rsidRDefault="00831847" w:rsidP="00831847">
      <w:pPr>
        <w:pStyle w:val="NoSpacing"/>
        <w:ind w:left="720"/>
        <w:rPr>
          <w:rFonts w:ascii="Times New Roman" w:hAnsi="Times New Roman"/>
          <w:color w:val="000000"/>
          <w:sz w:val="24"/>
          <w:szCs w:val="24"/>
        </w:rPr>
      </w:pPr>
      <w:r>
        <w:rPr>
          <w:rFonts w:ascii="Times New Roman" w:hAnsi="Times New Roman"/>
          <w:color w:val="000000"/>
          <w:sz w:val="24"/>
          <w:szCs w:val="24"/>
        </w:rPr>
        <w:t>***</w:t>
      </w:r>
    </w:p>
    <w:p w14:paraId="218CD4FB" w14:textId="77777777" w:rsidR="00831847" w:rsidRDefault="00831847" w:rsidP="00831847">
      <w:pPr>
        <w:pStyle w:val="NoSpacing"/>
        <w:ind w:left="720"/>
        <w:rPr>
          <w:rFonts w:ascii="Times New Roman" w:hAnsi="Times New Roman"/>
          <w:color w:val="000000"/>
          <w:sz w:val="24"/>
          <w:szCs w:val="24"/>
        </w:rPr>
      </w:pPr>
    </w:p>
    <w:p w14:paraId="32D3782D" w14:textId="77777777" w:rsidR="00831847" w:rsidRDefault="00831847" w:rsidP="00831847">
      <w:pPr>
        <w:pStyle w:val="NoSpacing"/>
        <w:ind w:left="720"/>
        <w:rPr>
          <w:rFonts w:ascii="Times New Roman" w:hAnsi="Times New Roman"/>
          <w:sz w:val="24"/>
          <w:szCs w:val="24"/>
        </w:rPr>
      </w:pPr>
      <w:r w:rsidRPr="00990608">
        <w:rPr>
          <w:rFonts w:ascii="Times New Roman" w:hAnsi="Times New Roman"/>
          <w:color w:val="000000"/>
          <w:sz w:val="24"/>
          <w:szCs w:val="24"/>
        </w:rPr>
        <w:t xml:space="preserve">U.S. Department of Interior firefighters: </w:t>
      </w:r>
      <w:r>
        <w:rPr>
          <w:rFonts w:ascii="Times New Roman" w:hAnsi="Times New Roman"/>
          <w:color w:val="000000"/>
          <w:sz w:val="24"/>
          <w:szCs w:val="24"/>
        </w:rPr>
        <w:t>“</w:t>
      </w:r>
      <w:r>
        <w:rPr>
          <w:rFonts w:ascii="Times New Roman" w:hAnsi="Times New Roman"/>
          <w:sz w:val="24"/>
          <w:szCs w:val="24"/>
        </w:rPr>
        <w:t xml:space="preserve">The </w:t>
      </w:r>
      <w:r w:rsidRPr="00990608">
        <w:rPr>
          <w:rFonts w:ascii="Times New Roman" w:hAnsi="Times New Roman"/>
          <w:sz w:val="24"/>
          <w:szCs w:val="24"/>
        </w:rPr>
        <w:t>mandatory retirement age, with</w:t>
      </w:r>
      <w:r>
        <w:rPr>
          <w:rFonts w:ascii="Times New Roman" w:hAnsi="Times New Roman"/>
          <w:sz w:val="24"/>
          <w:szCs w:val="24"/>
        </w:rPr>
        <w:t xml:space="preserve"> </w:t>
      </w:r>
      <w:r w:rsidRPr="00990608">
        <w:rPr>
          <w:rFonts w:ascii="Times New Roman" w:hAnsi="Times New Roman"/>
          <w:sz w:val="24"/>
          <w:szCs w:val="24"/>
        </w:rPr>
        <w:t>20 years covered service</w:t>
      </w:r>
      <w:r>
        <w:rPr>
          <w:rFonts w:ascii="Times New Roman" w:hAnsi="Times New Roman"/>
          <w:sz w:val="24"/>
          <w:szCs w:val="24"/>
        </w:rPr>
        <w:t xml:space="preserve"> </w:t>
      </w:r>
      <w:r w:rsidRPr="00990608">
        <w:rPr>
          <w:rFonts w:ascii="Times New Roman" w:hAnsi="Times New Roman"/>
          <w:sz w:val="24"/>
          <w:szCs w:val="24"/>
        </w:rPr>
        <w:t>is:</w:t>
      </w:r>
      <w:r>
        <w:rPr>
          <w:rFonts w:ascii="Times New Roman" w:hAnsi="Times New Roman"/>
          <w:sz w:val="24"/>
          <w:szCs w:val="24"/>
        </w:rPr>
        <w:t xml:space="preserve"> </w:t>
      </w:r>
      <w:r w:rsidRPr="00990608">
        <w:rPr>
          <w:rFonts w:ascii="Times New Roman" w:hAnsi="Times New Roman"/>
          <w:sz w:val="24"/>
          <w:szCs w:val="24"/>
        </w:rPr>
        <w:t>Firefighters and Law Enforcement Officers - age 57, or any</w:t>
      </w:r>
      <w:r>
        <w:rPr>
          <w:rFonts w:ascii="Times New Roman" w:hAnsi="Times New Roman"/>
          <w:sz w:val="24"/>
          <w:szCs w:val="24"/>
        </w:rPr>
        <w:t xml:space="preserve"> </w:t>
      </w:r>
      <w:r w:rsidRPr="00990608">
        <w:rPr>
          <w:rFonts w:ascii="Times New Roman" w:hAnsi="Times New Roman"/>
          <w:sz w:val="24"/>
          <w:szCs w:val="24"/>
        </w:rPr>
        <w:t>time after age 57, upon reaching 20 years</w:t>
      </w:r>
      <w:r>
        <w:rPr>
          <w:rFonts w:ascii="Times New Roman" w:hAnsi="Times New Roman"/>
          <w:sz w:val="24"/>
          <w:szCs w:val="24"/>
        </w:rPr>
        <w:t xml:space="preserve"> </w:t>
      </w:r>
      <w:r w:rsidRPr="00990608">
        <w:rPr>
          <w:rFonts w:ascii="Times New Roman" w:hAnsi="Times New Roman"/>
          <w:sz w:val="24"/>
          <w:szCs w:val="24"/>
        </w:rPr>
        <w:t>covered service.</w:t>
      </w:r>
      <w:r>
        <w:rPr>
          <w:rFonts w:ascii="Times New Roman" w:hAnsi="Times New Roman"/>
          <w:sz w:val="24"/>
          <w:szCs w:val="24"/>
        </w:rPr>
        <w:t xml:space="preserve">” </w:t>
      </w:r>
      <w:hyperlink r:id="rId1222" w:history="1">
        <w:r w:rsidRPr="00AB20E4">
          <w:rPr>
            <w:rStyle w:val="Hyperlink"/>
            <w:sz w:val="24"/>
            <w:szCs w:val="24"/>
          </w:rPr>
          <w:t>https://www.doi.gov/sites/doi.gov/files/migrated/flert/training/upload/General-FF-LEO-Retirement-Information-Pamphlet.pdf</w:t>
        </w:r>
      </w:hyperlink>
      <w:r>
        <w:rPr>
          <w:rFonts w:ascii="Times New Roman" w:hAnsi="Times New Roman"/>
          <w:sz w:val="24"/>
          <w:szCs w:val="24"/>
        </w:rPr>
        <w:t xml:space="preserve"> </w:t>
      </w:r>
    </w:p>
    <w:p w14:paraId="75B62BC3" w14:textId="77777777" w:rsidR="00831847" w:rsidRDefault="00831847" w:rsidP="00831847">
      <w:pPr>
        <w:pStyle w:val="NoSpacing"/>
        <w:ind w:left="720"/>
        <w:rPr>
          <w:rFonts w:ascii="Times New Roman" w:hAnsi="Times New Roman"/>
          <w:color w:val="000000"/>
          <w:sz w:val="24"/>
          <w:szCs w:val="24"/>
        </w:rPr>
      </w:pPr>
    </w:p>
    <w:p w14:paraId="68B9DABD" w14:textId="77777777" w:rsidR="00831847" w:rsidRPr="00990608" w:rsidRDefault="00831847" w:rsidP="00831847">
      <w:pPr>
        <w:pStyle w:val="NoSpacing"/>
        <w:ind w:left="720"/>
        <w:rPr>
          <w:rFonts w:ascii="Times New Roman" w:hAnsi="Times New Roman"/>
          <w:color w:val="000000"/>
          <w:sz w:val="24"/>
          <w:szCs w:val="24"/>
        </w:rPr>
      </w:pPr>
      <w:r>
        <w:rPr>
          <w:rFonts w:ascii="Times New Roman" w:hAnsi="Times New Roman"/>
          <w:color w:val="000000"/>
          <w:sz w:val="24"/>
          <w:szCs w:val="24"/>
        </w:rPr>
        <w:t>***</w:t>
      </w:r>
    </w:p>
    <w:p w14:paraId="3D096B16" w14:textId="77777777" w:rsidR="00831847" w:rsidRPr="00990608" w:rsidRDefault="00831847" w:rsidP="00831847">
      <w:pPr>
        <w:pStyle w:val="NoSpacing"/>
        <w:rPr>
          <w:rFonts w:ascii="Times New Roman" w:hAnsi="Times New Roman"/>
          <w:sz w:val="24"/>
          <w:szCs w:val="24"/>
        </w:rPr>
      </w:pPr>
    </w:p>
    <w:p w14:paraId="2D5E1072" w14:textId="77777777" w:rsidR="00831847" w:rsidRDefault="00831847" w:rsidP="00831847">
      <w:pPr>
        <w:pStyle w:val="NoSpacing"/>
        <w:ind w:left="720"/>
        <w:rPr>
          <w:rFonts w:ascii="Times New Roman" w:hAnsi="Times New Roman"/>
          <w:sz w:val="24"/>
          <w:szCs w:val="24"/>
        </w:rPr>
      </w:pPr>
      <w:r>
        <w:rPr>
          <w:rFonts w:ascii="Times New Roman" w:hAnsi="Times New Roman"/>
          <w:sz w:val="24"/>
          <w:szCs w:val="24"/>
        </w:rPr>
        <w:t>March 6, 2012: “</w:t>
      </w:r>
      <w:r w:rsidRPr="00990608">
        <w:rPr>
          <w:rFonts w:ascii="Times New Roman" w:hAnsi="Times New Roman"/>
          <w:sz w:val="24"/>
          <w:szCs w:val="24"/>
        </w:rPr>
        <w:t xml:space="preserve">Many states made changes to retirement benefits for uniformed personnel in the wake of the recession. Table 2 shows changes made in 12 states from 2010 to 2011. Some moved to 25 and out plans; new uniformed hires in various classes of employment in Arizona, Connecticut, Hawaii, Maryland, New Jersey, and Rhode Island were placed in 25 and out plans. In 2010 new hazardous duty personnel in Louisiana began in a 25 and out plan, as well. Six other states set higher retirement ages and/or service requirements for some uniformed personnel. Florida, for example, adopted a 60/30 plan for its new special risk class employees and Massachusetts increased retirement ages for three out of four types of law enforcement employees to 50 and 55. In Illinois new uniformed employees of Downstate and Chicago will be required to reach the age of 55 and have at least 10 </w:t>
      </w:r>
      <w:proofErr w:type="spellStart"/>
      <w:r w:rsidRPr="00990608">
        <w:rPr>
          <w:rFonts w:ascii="Times New Roman" w:hAnsi="Times New Roman"/>
          <w:sz w:val="24"/>
          <w:szCs w:val="24"/>
        </w:rPr>
        <w:t>years service</w:t>
      </w:r>
      <w:proofErr w:type="spellEnd"/>
      <w:r w:rsidRPr="00990608">
        <w:rPr>
          <w:rFonts w:ascii="Times New Roman" w:hAnsi="Times New Roman"/>
          <w:sz w:val="24"/>
          <w:szCs w:val="24"/>
        </w:rPr>
        <w:t xml:space="preserve"> to claim a pension.</w:t>
      </w:r>
      <w:r>
        <w:rPr>
          <w:rFonts w:ascii="Times New Roman" w:hAnsi="Times New Roman"/>
          <w:sz w:val="24"/>
          <w:szCs w:val="24"/>
        </w:rPr>
        <w:t xml:space="preserve">” </w:t>
      </w:r>
      <w:hyperlink r:id="rId1223" w:history="1">
        <w:r w:rsidRPr="00AB20E4">
          <w:rPr>
            <w:rStyle w:val="Hyperlink"/>
            <w:sz w:val="24"/>
            <w:szCs w:val="24"/>
          </w:rPr>
          <w:t>https://cbcny.org/research/pension-reform-firefighters-will-not-be-running-burning-buildings-age-65</w:t>
        </w:r>
      </w:hyperlink>
      <w:r>
        <w:rPr>
          <w:rFonts w:ascii="Times New Roman" w:hAnsi="Times New Roman"/>
          <w:sz w:val="24"/>
          <w:szCs w:val="24"/>
        </w:rPr>
        <w:t xml:space="preserve"> </w:t>
      </w:r>
    </w:p>
    <w:p w14:paraId="0CA9BD02" w14:textId="77777777" w:rsidR="00831847" w:rsidRDefault="00831847" w:rsidP="00831847">
      <w:pPr>
        <w:pStyle w:val="NoSpacing"/>
        <w:ind w:left="720"/>
        <w:rPr>
          <w:rFonts w:ascii="Times New Roman" w:hAnsi="Times New Roman"/>
          <w:sz w:val="24"/>
          <w:szCs w:val="24"/>
        </w:rPr>
      </w:pPr>
    </w:p>
    <w:p w14:paraId="66C4B62A" w14:textId="77777777" w:rsidR="00831847" w:rsidRPr="00990608" w:rsidRDefault="00831847" w:rsidP="00831847">
      <w:pPr>
        <w:pStyle w:val="NoSpacing"/>
        <w:ind w:left="720"/>
        <w:rPr>
          <w:rFonts w:ascii="Times New Roman" w:hAnsi="Times New Roman"/>
          <w:sz w:val="24"/>
          <w:szCs w:val="24"/>
        </w:rPr>
      </w:pPr>
      <w:r>
        <w:rPr>
          <w:rFonts w:ascii="Times New Roman" w:hAnsi="Times New Roman"/>
          <w:sz w:val="24"/>
          <w:szCs w:val="24"/>
        </w:rPr>
        <w:t>***</w:t>
      </w:r>
    </w:p>
    <w:p w14:paraId="238D4B31" w14:textId="77777777" w:rsidR="00831847" w:rsidRPr="00990608" w:rsidRDefault="00831847" w:rsidP="00831847">
      <w:pPr>
        <w:pStyle w:val="NoSpacing"/>
        <w:ind w:left="720"/>
        <w:rPr>
          <w:rFonts w:ascii="Times New Roman" w:hAnsi="Times New Roman"/>
          <w:sz w:val="24"/>
          <w:szCs w:val="24"/>
        </w:rPr>
      </w:pPr>
    </w:p>
    <w:p w14:paraId="7E8A59C8" w14:textId="77777777" w:rsidR="00831847" w:rsidRDefault="00831847" w:rsidP="00831847">
      <w:pPr>
        <w:pStyle w:val="NoSpacing"/>
        <w:ind w:left="720"/>
        <w:rPr>
          <w:rFonts w:ascii="Times New Roman" w:hAnsi="Times New Roman"/>
          <w:sz w:val="24"/>
          <w:szCs w:val="24"/>
        </w:rPr>
      </w:pPr>
      <w:r>
        <w:rPr>
          <w:rFonts w:ascii="Times New Roman" w:hAnsi="Times New Roman"/>
          <w:sz w:val="24"/>
          <w:szCs w:val="24"/>
        </w:rPr>
        <w:t xml:space="preserve">March 2, 2002:  </w:t>
      </w:r>
      <w:r w:rsidRPr="0087635A">
        <w:rPr>
          <w:rFonts w:ascii="Times New Roman" w:hAnsi="Times New Roman"/>
          <w:sz w:val="24"/>
          <w:szCs w:val="24"/>
        </w:rPr>
        <w:t>Federal firefighters have a mandatory retirement age of 57. In California the age is 60 and in Chicago, it's 63. Connecticut state law puts the issue under local control.</w:t>
      </w:r>
      <w:r>
        <w:rPr>
          <w:rFonts w:ascii="Times New Roman" w:hAnsi="Times New Roman"/>
          <w:sz w:val="24"/>
          <w:szCs w:val="24"/>
        </w:rPr>
        <w:t xml:space="preserve"> </w:t>
      </w:r>
      <w:hyperlink r:id="rId1224" w:history="1">
        <w:r w:rsidRPr="00AB20E4">
          <w:rPr>
            <w:rStyle w:val="Hyperlink"/>
            <w:sz w:val="24"/>
            <w:szCs w:val="24"/>
          </w:rPr>
          <w:t>https://www.courant.com/news/connecticut/hc-xpm-2002-03-02-0203020027-story.html</w:t>
        </w:r>
      </w:hyperlink>
      <w:r>
        <w:rPr>
          <w:rFonts w:ascii="Times New Roman" w:hAnsi="Times New Roman"/>
          <w:sz w:val="24"/>
          <w:szCs w:val="24"/>
        </w:rPr>
        <w:t xml:space="preserve"> </w:t>
      </w:r>
    </w:p>
    <w:p w14:paraId="1CA35CB2" w14:textId="77777777" w:rsidR="00831847" w:rsidRDefault="00831847" w:rsidP="00831847">
      <w:pPr>
        <w:pStyle w:val="NoSpacing"/>
        <w:ind w:left="720"/>
        <w:rPr>
          <w:rFonts w:ascii="Times New Roman" w:hAnsi="Times New Roman"/>
          <w:sz w:val="24"/>
          <w:szCs w:val="24"/>
        </w:rPr>
      </w:pPr>
    </w:p>
    <w:p w14:paraId="4227E910" w14:textId="77777777" w:rsidR="00831847" w:rsidRDefault="00831847" w:rsidP="00831847">
      <w:pPr>
        <w:pStyle w:val="NoSpacing"/>
        <w:ind w:left="720"/>
        <w:rPr>
          <w:rFonts w:ascii="Times New Roman" w:hAnsi="Times New Roman"/>
          <w:sz w:val="24"/>
          <w:szCs w:val="24"/>
        </w:rPr>
      </w:pPr>
      <w:r>
        <w:rPr>
          <w:rFonts w:ascii="Times New Roman" w:hAnsi="Times New Roman"/>
          <w:sz w:val="24"/>
          <w:szCs w:val="24"/>
        </w:rPr>
        <w:t>***</w:t>
      </w:r>
    </w:p>
    <w:p w14:paraId="1024E0D5" w14:textId="77777777" w:rsidR="00831847" w:rsidRDefault="00831847" w:rsidP="00831847">
      <w:pPr>
        <w:pStyle w:val="NoSpacing"/>
        <w:rPr>
          <w:rFonts w:ascii="Times New Roman" w:hAnsi="Times New Roman"/>
          <w:sz w:val="24"/>
          <w:szCs w:val="24"/>
        </w:rPr>
      </w:pPr>
    </w:p>
    <w:p w14:paraId="71D212EF" w14:textId="77777777" w:rsidR="00831847" w:rsidRPr="006E0916" w:rsidRDefault="00831847" w:rsidP="00831847">
      <w:pPr>
        <w:pStyle w:val="NoSpacing"/>
        <w:ind w:left="720"/>
        <w:rPr>
          <w:rFonts w:ascii="Times New Roman" w:hAnsi="Times New Roman"/>
          <w:sz w:val="24"/>
          <w:szCs w:val="24"/>
        </w:rPr>
      </w:pPr>
      <w:r>
        <w:rPr>
          <w:rFonts w:ascii="Times New Roman" w:hAnsi="Times New Roman"/>
          <w:sz w:val="24"/>
          <w:szCs w:val="24"/>
        </w:rPr>
        <w:t>Aug. 3, 2001: “</w:t>
      </w:r>
      <w:r w:rsidRPr="006E0916">
        <w:rPr>
          <w:rFonts w:ascii="Times New Roman" w:hAnsi="Times New Roman"/>
          <w:sz w:val="24"/>
          <w:szCs w:val="24"/>
        </w:rPr>
        <w:t xml:space="preserve">Federal firefighters will be able to stay on the job until they are 57, under a law President Bush signed on Monday. Under </w:t>
      </w:r>
      <w:proofErr w:type="gramStart"/>
      <w:r w:rsidRPr="006E0916">
        <w:rPr>
          <w:rFonts w:ascii="Times New Roman" w:hAnsi="Times New Roman"/>
          <w:sz w:val="24"/>
          <w:szCs w:val="24"/>
        </w:rPr>
        <w:t>a previous</w:t>
      </w:r>
      <w:proofErr w:type="gramEnd"/>
      <w:r w:rsidRPr="006E0916">
        <w:rPr>
          <w:rFonts w:ascii="Times New Roman" w:hAnsi="Times New Roman"/>
          <w:sz w:val="24"/>
          <w:szCs w:val="24"/>
        </w:rPr>
        <w:t xml:space="preserve"> law, the mandatory retirement age for firefighters was 55. Firefighters must serve for 20 years to receive full retirement benefits.</w:t>
      </w:r>
      <w:r>
        <w:rPr>
          <w:rFonts w:ascii="Times New Roman" w:hAnsi="Times New Roman"/>
          <w:sz w:val="24"/>
          <w:szCs w:val="24"/>
        </w:rPr>
        <w:t xml:space="preserve">” </w:t>
      </w:r>
      <w:hyperlink r:id="rId1225" w:history="1">
        <w:r w:rsidRPr="00AB20E4">
          <w:rPr>
            <w:rStyle w:val="Hyperlink"/>
            <w:sz w:val="24"/>
            <w:szCs w:val="24"/>
          </w:rPr>
          <w:t>https://www.govexec.com/pay-benefits/2001/08/firefighter-retirement-age-rises-to-57/9846/</w:t>
        </w:r>
      </w:hyperlink>
      <w:r>
        <w:rPr>
          <w:rFonts w:ascii="Times New Roman" w:hAnsi="Times New Roman"/>
          <w:sz w:val="24"/>
          <w:szCs w:val="24"/>
        </w:rPr>
        <w:t xml:space="preserve"> </w:t>
      </w:r>
    </w:p>
    <w:p w14:paraId="02649629" w14:textId="67E15864" w:rsidR="00831847" w:rsidRDefault="00831847" w:rsidP="00EF1133">
      <w:pPr>
        <w:rPr>
          <w:rFonts w:ascii="Arial Black" w:hAnsi="Arial Black"/>
          <w:b/>
          <w:sz w:val="24"/>
          <w:szCs w:val="24"/>
        </w:rPr>
      </w:pPr>
    </w:p>
    <w:p w14:paraId="4B08E8B2" w14:textId="2FD3C284" w:rsidR="00831847" w:rsidRDefault="00831847" w:rsidP="00EF1133">
      <w:pPr>
        <w:rPr>
          <w:rFonts w:ascii="Arial Black" w:hAnsi="Arial Black"/>
          <w:b/>
          <w:sz w:val="24"/>
          <w:szCs w:val="24"/>
        </w:rPr>
      </w:pPr>
    </w:p>
    <w:p w14:paraId="69DA113A" w14:textId="77777777" w:rsidR="00831847" w:rsidRDefault="00831847" w:rsidP="00EF1133">
      <w:pPr>
        <w:rPr>
          <w:rFonts w:ascii="Arial Black" w:hAnsi="Arial Black"/>
          <w:b/>
          <w:sz w:val="24"/>
          <w:szCs w:val="24"/>
        </w:rPr>
      </w:pPr>
    </w:p>
    <w:p w14:paraId="7CBC5F7A" w14:textId="0A65C499" w:rsidR="00831847" w:rsidRDefault="00831847" w:rsidP="00EF1133">
      <w:pPr>
        <w:rPr>
          <w:rFonts w:ascii="Arial Black" w:hAnsi="Arial Black"/>
          <w:b/>
          <w:sz w:val="24"/>
          <w:szCs w:val="24"/>
        </w:rPr>
      </w:pPr>
      <w:r>
        <w:rPr>
          <w:rFonts w:ascii="Arial Black" w:hAnsi="Arial Black"/>
          <w:b/>
          <w:sz w:val="24"/>
          <w:szCs w:val="24"/>
        </w:rPr>
        <w:t>6-6</w:t>
      </w:r>
      <w:r w:rsidR="00FF7C63">
        <w:rPr>
          <w:rFonts w:ascii="Arial Black" w:hAnsi="Arial Black"/>
          <w:b/>
          <w:sz w:val="24"/>
          <w:szCs w:val="24"/>
        </w:rPr>
        <w:t>7</w:t>
      </w:r>
    </w:p>
    <w:p w14:paraId="26B5369C" w14:textId="77777777" w:rsidR="00831847" w:rsidRPr="00BC1F41" w:rsidRDefault="00831847" w:rsidP="00831847">
      <w:pPr>
        <w:pStyle w:val="NoSpacing"/>
        <w:rPr>
          <w:rFonts w:ascii="Arial Black" w:hAnsi="Arial Black"/>
          <w:sz w:val="28"/>
          <w:szCs w:val="28"/>
        </w:rPr>
      </w:pPr>
      <w:r>
        <w:rPr>
          <w:rFonts w:ascii="Arial Black" w:hAnsi="Arial Black"/>
          <w:sz w:val="28"/>
          <w:szCs w:val="28"/>
        </w:rPr>
        <w:t xml:space="preserve">PA:  INDEMNIFICATION DENIED – OFF DUTY PD CHASED &amp; PUNCHED 16-YR-OLD SMASHED PUMPKINS AT PD HOME </w:t>
      </w:r>
    </w:p>
    <w:p w14:paraId="10FCC555" w14:textId="77777777" w:rsidR="00831847" w:rsidRPr="00D91F44" w:rsidRDefault="00831847" w:rsidP="00831847">
      <w:pPr>
        <w:pStyle w:val="Heading1"/>
        <w:rPr>
          <w:b w:val="0"/>
          <w:bCs w:val="0"/>
          <w:sz w:val="24"/>
          <w:szCs w:val="24"/>
        </w:rPr>
      </w:pPr>
      <w:r>
        <w:rPr>
          <w:b w:val="0"/>
          <w:bCs w:val="0"/>
          <w:sz w:val="24"/>
          <w:szCs w:val="24"/>
        </w:rPr>
        <w:t xml:space="preserve">On March 10, 2021, in </w:t>
      </w:r>
      <w:r w:rsidRPr="00BC1F41">
        <w:rPr>
          <w:b w:val="0"/>
          <w:bCs w:val="0"/>
          <w:sz w:val="24"/>
          <w:szCs w:val="24"/>
          <w:u w:val="single"/>
        </w:rPr>
        <w:t>Shane McGuire, on behalf of Colby Neidig v. City of Pittsburg</w:t>
      </w:r>
      <w:r>
        <w:rPr>
          <w:b w:val="0"/>
          <w:bCs w:val="0"/>
          <w:sz w:val="24"/>
          <w:szCs w:val="24"/>
        </w:rPr>
        <w:t>, the Commonwealth Court of Pennsylvania, held (3 to 0) that an off-duty police officer (Neidig) was not entitled to indemnification by the City since he was not acting “within the score of his office or duties when he chased a 16-year-old juvenile (McGuire) who had smashed pumpkins on the officer’s front porch, punched the juvenile in the face, and held him until police arrived.    The lawsuit proceeded in Federal court for violation of juvenile’s federal constitutional rights under 42 U.S.C. 1983 and the jury “</w:t>
      </w:r>
      <w:r w:rsidRPr="00396E8F">
        <w:rPr>
          <w:b w:val="0"/>
          <w:bCs w:val="0"/>
          <w:sz w:val="24"/>
          <w:szCs w:val="24"/>
        </w:rPr>
        <w:t>specifically concluded that Neidig acted under color of state law</w:t>
      </w:r>
      <w:r>
        <w:rPr>
          <w:b w:val="0"/>
          <w:bCs w:val="0"/>
          <w:sz w:val="24"/>
          <w:szCs w:val="24"/>
        </w:rPr>
        <w:t>.” The juvenile then sued City of Pittsburg (with officer’s permission) in state court to pay the judgment, but after a 4-day jury trial, the jury found City had no obligation to indemnify the officer, “</w:t>
      </w:r>
      <w:r w:rsidRPr="00D91F44">
        <w:rPr>
          <w:b w:val="0"/>
          <w:bCs w:val="0"/>
          <w:sz w:val="24"/>
          <w:szCs w:val="24"/>
        </w:rPr>
        <w:t>concluding that Neidig had not acted within the scope of his duties when he struck McGuire.</w:t>
      </w:r>
      <w:r>
        <w:rPr>
          <w:b w:val="0"/>
          <w:bCs w:val="0"/>
          <w:sz w:val="24"/>
          <w:szCs w:val="24"/>
        </w:rPr>
        <w:t>”</w:t>
      </w:r>
    </w:p>
    <w:p w14:paraId="4C2B0C5E" w14:textId="77777777" w:rsidR="00831847" w:rsidRPr="001A09F3" w:rsidRDefault="00831847" w:rsidP="00831847">
      <w:pPr>
        <w:pStyle w:val="Heading1"/>
        <w:ind w:left="720"/>
        <w:rPr>
          <w:b w:val="0"/>
          <w:bCs w:val="0"/>
          <w:sz w:val="24"/>
          <w:szCs w:val="24"/>
        </w:rPr>
      </w:pPr>
      <w:r>
        <w:rPr>
          <w:b w:val="0"/>
          <w:bCs w:val="0"/>
          <w:sz w:val="24"/>
          <w:szCs w:val="24"/>
        </w:rPr>
        <w:t>“</w:t>
      </w:r>
      <w:r w:rsidRPr="00DF22C9">
        <w:rPr>
          <w:b w:val="0"/>
          <w:bCs w:val="0"/>
          <w:sz w:val="24"/>
          <w:szCs w:val="24"/>
        </w:rPr>
        <w:t>This Court emphasizes</w:t>
      </w:r>
      <w:r>
        <w:rPr>
          <w:b w:val="0"/>
          <w:bCs w:val="0"/>
          <w:sz w:val="24"/>
          <w:szCs w:val="24"/>
        </w:rPr>
        <w:t xml:space="preserve"> </w:t>
      </w:r>
      <w:r w:rsidRPr="00DF22C9">
        <w:rPr>
          <w:b w:val="0"/>
          <w:bCs w:val="0"/>
          <w:sz w:val="24"/>
          <w:szCs w:val="24"/>
        </w:rPr>
        <w:t>that</w:t>
      </w:r>
      <w:r>
        <w:rPr>
          <w:b w:val="0"/>
          <w:bCs w:val="0"/>
          <w:sz w:val="24"/>
          <w:szCs w:val="24"/>
        </w:rPr>
        <w:t xml:space="preserve"> </w:t>
      </w:r>
      <w:r w:rsidRPr="00DF22C9">
        <w:rPr>
          <w:b w:val="0"/>
          <w:bCs w:val="0"/>
          <w:sz w:val="24"/>
          <w:szCs w:val="24"/>
        </w:rPr>
        <w:t xml:space="preserve">under Section 8548(a) of the </w:t>
      </w:r>
      <w:r>
        <w:rPr>
          <w:b w:val="0"/>
          <w:bCs w:val="0"/>
          <w:sz w:val="24"/>
          <w:szCs w:val="24"/>
        </w:rPr>
        <w:t xml:space="preserve">[PA] </w:t>
      </w:r>
      <w:r w:rsidRPr="00DF22C9">
        <w:rPr>
          <w:b w:val="0"/>
          <w:bCs w:val="0"/>
          <w:sz w:val="24"/>
          <w:szCs w:val="24"/>
        </w:rPr>
        <w:t>Tort Claims Act, a municipality need only indemnify an employee if that employee was acting within the scope of his office or duties</w:t>
      </w:r>
      <w:r>
        <w:rPr>
          <w:b w:val="0"/>
          <w:bCs w:val="0"/>
          <w:sz w:val="24"/>
          <w:szCs w:val="24"/>
        </w:rPr>
        <w:t xml:space="preserve"> </w:t>
      </w:r>
      <w:r w:rsidRPr="00DF22C9">
        <w:rPr>
          <w:b w:val="0"/>
          <w:bCs w:val="0"/>
          <w:sz w:val="24"/>
          <w:szCs w:val="24"/>
        </w:rPr>
        <w:t xml:space="preserve">at the </w:t>
      </w:r>
      <w:r w:rsidRPr="00DF22C9">
        <w:rPr>
          <w:b w:val="0"/>
          <w:bCs w:val="0"/>
          <w:sz w:val="24"/>
          <w:szCs w:val="24"/>
        </w:rPr>
        <w:lastRenderedPageBreak/>
        <w:t>time the employee caused the injury.</w:t>
      </w:r>
      <w:r>
        <w:rPr>
          <w:b w:val="0"/>
          <w:bCs w:val="0"/>
          <w:sz w:val="24"/>
          <w:szCs w:val="24"/>
        </w:rPr>
        <w:t xml:space="preserve"> </w:t>
      </w:r>
      <w:r w:rsidRPr="00DF22C9">
        <w:rPr>
          <w:b w:val="0"/>
          <w:bCs w:val="0"/>
          <w:sz w:val="24"/>
          <w:szCs w:val="24"/>
        </w:rPr>
        <w:t>Because the jury properly</w:t>
      </w:r>
      <w:r>
        <w:rPr>
          <w:b w:val="0"/>
          <w:bCs w:val="0"/>
          <w:sz w:val="24"/>
          <w:szCs w:val="24"/>
        </w:rPr>
        <w:t xml:space="preserve"> </w:t>
      </w:r>
      <w:r w:rsidRPr="00DF22C9">
        <w:rPr>
          <w:b w:val="0"/>
          <w:bCs w:val="0"/>
          <w:sz w:val="24"/>
          <w:szCs w:val="24"/>
        </w:rPr>
        <w:t>determined that Neidig acted beyond the scope of his employment, and the jury did not reach the willful misconduct issue, this Court need not address McGuire’s willful misconduct arguments</w:t>
      </w:r>
      <w:r>
        <w:rPr>
          <w:b w:val="0"/>
          <w:bCs w:val="0"/>
          <w:sz w:val="24"/>
          <w:szCs w:val="24"/>
        </w:rPr>
        <w:t xml:space="preserve">…. </w:t>
      </w:r>
      <w:r w:rsidRPr="00DF22C9">
        <w:rPr>
          <w:b w:val="0"/>
          <w:bCs w:val="0"/>
          <w:sz w:val="24"/>
          <w:szCs w:val="24"/>
        </w:rPr>
        <w:t xml:space="preserve">For </w:t>
      </w:r>
      <w:proofErr w:type="gramStart"/>
      <w:r w:rsidRPr="00DF22C9">
        <w:rPr>
          <w:b w:val="0"/>
          <w:bCs w:val="0"/>
          <w:sz w:val="24"/>
          <w:szCs w:val="24"/>
        </w:rPr>
        <w:t>all of</w:t>
      </w:r>
      <w:proofErr w:type="gramEnd"/>
      <w:r w:rsidRPr="00DF22C9">
        <w:rPr>
          <w:b w:val="0"/>
          <w:bCs w:val="0"/>
          <w:sz w:val="24"/>
          <w:szCs w:val="24"/>
        </w:rPr>
        <w:t xml:space="preserve"> the above reasons, the trial court’s order is </w:t>
      </w:r>
      <w:proofErr w:type="gramStart"/>
      <w:r w:rsidRPr="00DF22C9">
        <w:rPr>
          <w:b w:val="0"/>
          <w:bCs w:val="0"/>
          <w:sz w:val="24"/>
          <w:szCs w:val="24"/>
        </w:rPr>
        <w:t>affirmed.</w:t>
      </w:r>
      <w:r>
        <w:rPr>
          <w:b w:val="0"/>
          <w:bCs w:val="0"/>
          <w:sz w:val="24"/>
          <w:szCs w:val="24"/>
        </w:rPr>
        <w:t>”</w:t>
      </w:r>
      <w:proofErr w:type="gramEnd"/>
      <w:r>
        <w:rPr>
          <w:b w:val="0"/>
          <w:bCs w:val="0"/>
          <w:sz w:val="24"/>
          <w:szCs w:val="24"/>
        </w:rPr>
        <w:t xml:space="preserve"> </w:t>
      </w:r>
      <w:hyperlink r:id="rId1226" w:history="1">
        <w:r w:rsidRPr="001A09F3">
          <w:rPr>
            <w:rStyle w:val="Hyperlink"/>
            <w:b w:val="0"/>
            <w:bCs w:val="0"/>
            <w:sz w:val="24"/>
            <w:szCs w:val="24"/>
          </w:rPr>
          <w:t>http://www.pacourts.us/assets/opinions/Commonwealth/out/141CD20_3-10-21.pdf?cb=1</w:t>
        </w:r>
      </w:hyperlink>
      <w:r w:rsidRPr="001A09F3">
        <w:rPr>
          <w:b w:val="0"/>
          <w:bCs w:val="0"/>
          <w:sz w:val="24"/>
          <w:szCs w:val="24"/>
        </w:rPr>
        <w:t xml:space="preserve"> </w:t>
      </w:r>
    </w:p>
    <w:p w14:paraId="29F1601F" w14:textId="77777777" w:rsidR="00831847" w:rsidRDefault="00831847" w:rsidP="00831847">
      <w:pPr>
        <w:rPr>
          <w:rFonts w:ascii="Times New Roman" w:hAnsi="Times New Roman"/>
          <w:b/>
          <w:bCs/>
          <w:sz w:val="24"/>
          <w:szCs w:val="24"/>
        </w:rPr>
      </w:pPr>
      <w:r w:rsidRPr="00BA4149">
        <w:rPr>
          <w:rFonts w:ascii="Times New Roman" w:hAnsi="Times New Roman"/>
          <w:b/>
          <w:bCs/>
          <w:sz w:val="24"/>
          <w:szCs w:val="24"/>
        </w:rPr>
        <w:t>Legal Lesson Learned:</w:t>
      </w:r>
      <w:r>
        <w:rPr>
          <w:rFonts w:ascii="Times New Roman" w:hAnsi="Times New Roman"/>
          <w:b/>
          <w:bCs/>
          <w:sz w:val="24"/>
          <w:szCs w:val="24"/>
        </w:rPr>
        <w:t xml:space="preserve">  Indemnification is important for emergency responders, including Fire &amp; EMS.   This decision was reportedly a matter of “first-impression” in PA; in Ohio, the Ohio Supreme Court held that individuals who successfully sue police officers may not then sue the officer’s city to collect the judgment, only the officers may sue. </w:t>
      </w:r>
      <w:r w:rsidRPr="00E3717D">
        <w:rPr>
          <w:rFonts w:ascii="Times New Roman" w:hAnsi="Times New Roman"/>
          <w:b/>
          <w:bCs/>
          <w:sz w:val="24"/>
          <w:szCs w:val="24"/>
          <w:u w:val="single"/>
        </w:rPr>
        <w:t>Ayers v. Cleveland</w:t>
      </w:r>
      <w:r w:rsidRPr="00E3717D">
        <w:rPr>
          <w:rFonts w:ascii="Times New Roman" w:hAnsi="Times New Roman"/>
          <w:b/>
          <w:bCs/>
          <w:sz w:val="24"/>
          <w:szCs w:val="24"/>
        </w:rPr>
        <w:t>, 160 Ohio St.3d 288, 2020-Ohio-1047 (March 25, 2020),</w:t>
      </w:r>
      <w:r w:rsidRPr="00E3717D">
        <w:t xml:space="preserve"> </w:t>
      </w:r>
      <w:hyperlink r:id="rId1227" w:history="1">
        <w:r w:rsidRPr="007A690F">
          <w:rPr>
            <w:rStyle w:val="Hyperlink"/>
            <w:rFonts w:ascii="Times New Roman" w:hAnsi="Times New Roman"/>
            <w:sz w:val="24"/>
            <w:szCs w:val="24"/>
          </w:rPr>
          <w:t>https://www.supremecourt.ohio.gov/rod/docs/pdf/0/2020/2020-Ohio-1047.pdf</w:t>
        </w:r>
      </w:hyperlink>
      <w:r>
        <w:rPr>
          <w:rStyle w:val="Hyperlink"/>
          <w:sz w:val="24"/>
          <w:szCs w:val="24"/>
        </w:rPr>
        <w:t xml:space="preserve"> </w:t>
      </w:r>
    </w:p>
    <w:p w14:paraId="2C015357" w14:textId="77777777" w:rsidR="00831847" w:rsidRDefault="00831847" w:rsidP="00831847">
      <w:pPr>
        <w:pStyle w:val="Heading1"/>
        <w:ind w:left="720"/>
        <w:rPr>
          <w:b w:val="0"/>
          <w:bCs w:val="0"/>
          <w:sz w:val="24"/>
          <w:szCs w:val="24"/>
        </w:rPr>
      </w:pPr>
      <w:r w:rsidRPr="00E3717D">
        <w:rPr>
          <w:b w:val="0"/>
          <w:bCs w:val="0"/>
          <w:sz w:val="24"/>
          <w:szCs w:val="24"/>
        </w:rPr>
        <w:t xml:space="preserve">Note: </w:t>
      </w:r>
    </w:p>
    <w:p w14:paraId="49E6EE6C" w14:textId="77777777" w:rsidR="00831847" w:rsidRPr="00E3717D" w:rsidRDefault="00831847" w:rsidP="00831847">
      <w:pPr>
        <w:pStyle w:val="Heading1"/>
        <w:ind w:left="720"/>
        <w:rPr>
          <w:b w:val="0"/>
          <w:bCs w:val="0"/>
          <w:sz w:val="24"/>
          <w:szCs w:val="24"/>
        </w:rPr>
      </w:pPr>
      <w:r>
        <w:rPr>
          <w:b w:val="0"/>
          <w:bCs w:val="0"/>
          <w:sz w:val="24"/>
          <w:szCs w:val="24"/>
        </w:rPr>
        <w:t xml:space="preserve">On Dec. 16, 2020, the </w:t>
      </w:r>
      <w:r w:rsidRPr="00E3717D">
        <w:rPr>
          <w:b w:val="0"/>
          <w:bCs w:val="0"/>
          <w:sz w:val="24"/>
          <w:szCs w:val="24"/>
        </w:rPr>
        <w:t xml:space="preserve">City of Cincinnati confirmed it will indemnify Dispatchers and Police sued in death of high school students who called 911 when back seat of </w:t>
      </w:r>
      <w:proofErr w:type="spellStart"/>
      <w:r w:rsidRPr="00E3717D">
        <w:rPr>
          <w:b w:val="0"/>
          <w:bCs w:val="0"/>
          <w:sz w:val="24"/>
          <w:szCs w:val="24"/>
        </w:rPr>
        <w:t>mini van</w:t>
      </w:r>
      <w:proofErr w:type="spellEnd"/>
      <w:r w:rsidRPr="00E3717D">
        <w:rPr>
          <w:b w:val="0"/>
          <w:bCs w:val="0"/>
          <w:sz w:val="24"/>
          <w:szCs w:val="24"/>
        </w:rPr>
        <w:t xml:space="preserve"> trapped him.  </w:t>
      </w:r>
      <w:r>
        <w:rPr>
          <w:b w:val="0"/>
          <w:bCs w:val="0"/>
          <w:sz w:val="24"/>
          <w:szCs w:val="24"/>
        </w:rPr>
        <w:t>“</w:t>
      </w:r>
      <w:r w:rsidRPr="00E3717D">
        <w:rPr>
          <w:b w:val="0"/>
          <w:bCs w:val="0"/>
          <w:sz w:val="24"/>
          <w:szCs w:val="24"/>
        </w:rPr>
        <w:t>Kyle Plush wrongful death lawsuit can proceed against 5 Cincinnati employees, appeals court says.</w:t>
      </w:r>
      <w:r>
        <w:rPr>
          <w:b w:val="0"/>
          <w:bCs w:val="0"/>
          <w:sz w:val="24"/>
          <w:szCs w:val="24"/>
        </w:rPr>
        <w:t xml:space="preserve">” </w:t>
      </w:r>
      <w:hyperlink r:id="rId1228" w:history="1">
        <w:r w:rsidRPr="00C72D50">
          <w:rPr>
            <w:rStyle w:val="Hyperlink"/>
            <w:b w:val="0"/>
            <w:bCs w:val="0"/>
            <w:sz w:val="24"/>
            <w:szCs w:val="24"/>
          </w:rPr>
          <w:t>https://www.fox19.com/2020/12/16/kyle-plush-wrongful-death-lawsuit-can-proceed-against-cincinnati-employees-appeals-court-says/</w:t>
        </w:r>
      </w:hyperlink>
      <w:r w:rsidRPr="00E3717D">
        <w:rPr>
          <w:b w:val="0"/>
          <w:bCs w:val="0"/>
          <w:sz w:val="24"/>
          <w:szCs w:val="24"/>
        </w:rPr>
        <w:t xml:space="preserve"> “The city indemnifies employees in their official capacities, meaning the city would be liable for any judgment or settlement involving the employees in their official capacities.” </w:t>
      </w:r>
    </w:p>
    <w:p w14:paraId="3B557974" w14:textId="77777777" w:rsidR="00831847" w:rsidRDefault="00831847" w:rsidP="00831847">
      <w:pPr>
        <w:pStyle w:val="NoSpacing"/>
        <w:ind w:left="720"/>
        <w:rPr>
          <w:rFonts w:ascii="Times New Roman" w:hAnsi="Times New Roman"/>
          <w:sz w:val="24"/>
          <w:szCs w:val="24"/>
        </w:rPr>
      </w:pPr>
      <w:r w:rsidRPr="003F7A4F">
        <w:rPr>
          <w:rFonts w:ascii="Times New Roman" w:hAnsi="Times New Roman"/>
          <w:sz w:val="24"/>
          <w:szCs w:val="24"/>
        </w:rPr>
        <w:t xml:space="preserve">See </w:t>
      </w:r>
      <w:r w:rsidRPr="005C57DC">
        <w:rPr>
          <w:rFonts w:ascii="Times New Roman" w:hAnsi="Times New Roman"/>
          <w:sz w:val="24"/>
          <w:szCs w:val="24"/>
        </w:rPr>
        <w:t xml:space="preserve">Ohio Supreme Court decision in </w:t>
      </w:r>
      <w:r w:rsidRPr="005C57DC">
        <w:rPr>
          <w:rFonts w:ascii="Times New Roman" w:hAnsi="Times New Roman"/>
          <w:sz w:val="24"/>
          <w:szCs w:val="24"/>
          <w:u w:val="single"/>
        </w:rPr>
        <w:t>Ayers v. Cleveland</w:t>
      </w:r>
      <w:r w:rsidRPr="003F7A4F">
        <w:rPr>
          <w:rFonts w:ascii="Times New Roman" w:hAnsi="Times New Roman"/>
          <w:sz w:val="24"/>
          <w:szCs w:val="24"/>
        </w:rPr>
        <w:t xml:space="preserve">, 160 Ohio St.3d 288, 2020-Ohio-1047 (March 25, 2020), </w:t>
      </w:r>
      <w:r>
        <w:rPr>
          <w:rFonts w:ascii="Times New Roman" w:hAnsi="Times New Roman"/>
          <w:sz w:val="24"/>
          <w:szCs w:val="24"/>
        </w:rPr>
        <w:t xml:space="preserve">holding that only employees can sue for indemnification; they cannot assign that right to the person who won a judgment against the employee [in this case, David Ayers, who after a decade in prison was released on a federal habeas corpus claim in 2011]. </w:t>
      </w:r>
    </w:p>
    <w:p w14:paraId="59213746" w14:textId="77777777" w:rsidR="00831847" w:rsidRDefault="00831847" w:rsidP="00831847">
      <w:pPr>
        <w:pStyle w:val="NoSpacing"/>
        <w:ind w:firstLine="720"/>
        <w:rPr>
          <w:rFonts w:ascii="Times New Roman" w:hAnsi="Times New Roman"/>
          <w:sz w:val="24"/>
          <w:szCs w:val="24"/>
        </w:rPr>
      </w:pPr>
      <w:hyperlink r:id="rId1229" w:history="1">
        <w:r w:rsidRPr="006A29A3">
          <w:rPr>
            <w:rStyle w:val="Hyperlink"/>
            <w:sz w:val="24"/>
            <w:szCs w:val="24"/>
          </w:rPr>
          <w:t>https://www.supremecourt.ohio.gov/rod/docs/pdf/0/2020/2020-Ohio-1047.pdf</w:t>
        </w:r>
      </w:hyperlink>
      <w:r w:rsidRPr="003F7A4F">
        <w:rPr>
          <w:rFonts w:ascii="Times New Roman" w:hAnsi="Times New Roman"/>
          <w:sz w:val="24"/>
          <w:szCs w:val="24"/>
        </w:rPr>
        <w:t xml:space="preserve"> </w:t>
      </w:r>
    </w:p>
    <w:p w14:paraId="6A5253FD" w14:textId="77777777" w:rsidR="00831847" w:rsidRPr="003F7A4F" w:rsidRDefault="00831847" w:rsidP="00831847">
      <w:pPr>
        <w:pStyle w:val="NoSpacing"/>
        <w:ind w:firstLine="720"/>
        <w:rPr>
          <w:rFonts w:ascii="Times New Roman" w:hAnsi="Times New Roman"/>
          <w:sz w:val="24"/>
          <w:szCs w:val="24"/>
        </w:rPr>
      </w:pPr>
    </w:p>
    <w:p w14:paraId="736D0FC3" w14:textId="77777777" w:rsidR="00831847" w:rsidRPr="00263A1A" w:rsidRDefault="00831847" w:rsidP="00831847">
      <w:pPr>
        <w:ind w:left="1440"/>
        <w:rPr>
          <w:rFonts w:ascii="Times New Roman" w:hAnsi="Times New Roman"/>
          <w:sz w:val="24"/>
          <w:szCs w:val="24"/>
        </w:rPr>
      </w:pPr>
      <w:r>
        <w:rPr>
          <w:rFonts w:ascii="Times New Roman" w:hAnsi="Times New Roman"/>
          <w:sz w:val="24"/>
          <w:szCs w:val="24"/>
        </w:rPr>
        <w:t>“</w:t>
      </w:r>
      <w:r w:rsidRPr="003F7A4F">
        <w:rPr>
          <w:rFonts w:ascii="Times New Roman" w:hAnsi="Times New Roman"/>
          <w:sz w:val="24"/>
          <w:szCs w:val="24"/>
        </w:rPr>
        <w:t xml:space="preserve">After a trial that involved only claims against </w:t>
      </w:r>
      <w:r>
        <w:rPr>
          <w:rFonts w:ascii="Times New Roman" w:hAnsi="Times New Roman"/>
          <w:sz w:val="24"/>
          <w:szCs w:val="24"/>
        </w:rPr>
        <w:t xml:space="preserve">[Detectives] </w:t>
      </w:r>
      <w:proofErr w:type="spellStart"/>
      <w:r w:rsidRPr="003F7A4F">
        <w:rPr>
          <w:rFonts w:ascii="Times New Roman" w:hAnsi="Times New Roman"/>
          <w:sz w:val="24"/>
          <w:szCs w:val="24"/>
        </w:rPr>
        <w:t>Cipo</w:t>
      </w:r>
      <w:proofErr w:type="spellEnd"/>
      <w:r w:rsidRPr="003F7A4F">
        <w:rPr>
          <w:rFonts w:ascii="Times New Roman" w:hAnsi="Times New Roman"/>
          <w:sz w:val="24"/>
          <w:szCs w:val="24"/>
        </w:rPr>
        <w:t xml:space="preserve"> and Kovach, the jury returned a verdict in Ayers’s favor finding that </w:t>
      </w:r>
      <w:proofErr w:type="spellStart"/>
      <w:r w:rsidRPr="003F7A4F">
        <w:rPr>
          <w:rFonts w:ascii="Times New Roman" w:hAnsi="Times New Roman"/>
          <w:sz w:val="24"/>
          <w:szCs w:val="24"/>
        </w:rPr>
        <w:t>Cipo</w:t>
      </w:r>
      <w:proofErr w:type="spellEnd"/>
      <w:r w:rsidRPr="003F7A4F">
        <w:rPr>
          <w:rFonts w:ascii="Times New Roman" w:hAnsi="Times New Roman"/>
          <w:sz w:val="24"/>
          <w:szCs w:val="24"/>
        </w:rPr>
        <w:t xml:space="preserve"> and Kovach had violated Ayers’s federal constitutional rights. The district court entered a judgment against the detectives in the amount of $13,210,000 and later increased the amount by awarding costs and attorney fees. The detectives twice offered to assign to Ayers any indemnification claims that they might have against the city in exchange for an agreement by Ayers to forgo collection efforts against the detectives personally. Ayers rejected each offer.</w:t>
      </w:r>
      <w:r>
        <w:rPr>
          <w:rFonts w:ascii="Times New Roman" w:hAnsi="Times New Roman"/>
          <w:sz w:val="24"/>
          <w:szCs w:val="24"/>
        </w:rPr>
        <w:t xml:space="preserve"> *** [Ayers filed lawsuit in Ohio. </w:t>
      </w:r>
      <w:r w:rsidRPr="003F7A4F">
        <w:rPr>
          <w:rFonts w:ascii="Times New Roman" w:hAnsi="Times New Roman"/>
          <w:sz w:val="24"/>
          <w:szCs w:val="24"/>
        </w:rPr>
        <w:t>The common pleas court granted Ayers’s motion for summary judgment after concluding that R.C. 2744.07(A)(2) requires Cleveland to indemnify the officers and pay the judgment.</w:t>
      </w:r>
      <w:r>
        <w:rPr>
          <w:rFonts w:ascii="Times New Roman" w:hAnsi="Times New Roman"/>
          <w:sz w:val="24"/>
          <w:szCs w:val="24"/>
        </w:rPr>
        <w:t xml:space="preserve"> *** </w:t>
      </w:r>
      <w:r w:rsidRPr="00263A1A">
        <w:rPr>
          <w:rFonts w:ascii="Times New Roman" w:hAnsi="Times New Roman"/>
          <w:sz w:val="24"/>
          <w:szCs w:val="24"/>
        </w:rPr>
        <w:t>The Eighth District Court of Appeals reversed in a two-to-one decision. 2017-Ohio-8571, 99 N.E.3d 1269, ¶ 50. The majority concluded that Ayers, as a judgment creditor, does not have standing to bring a private cause of action against the city to enforce the city’s obligations to its employees.</w:t>
      </w:r>
      <w:r>
        <w:rPr>
          <w:rFonts w:ascii="Times New Roman" w:hAnsi="Times New Roman"/>
          <w:sz w:val="24"/>
          <w:szCs w:val="24"/>
        </w:rPr>
        <w:t xml:space="preserve"> *** [Ohio Supreme Court held]</w:t>
      </w:r>
      <w:r w:rsidRPr="00263A1A">
        <w:rPr>
          <w:rFonts w:ascii="Times New Roman" w:hAnsi="Times New Roman"/>
          <w:sz w:val="24"/>
          <w:szCs w:val="24"/>
        </w:rPr>
        <w:t>Based on the unambiguous language of the statute, which serves only to indemnify an employee</w:t>
      </w:r>
      <w:r>
        <w:rPr>
          <w:rFonts w:ascii="Times New Roman" w:hAnsi="Times New Roman"/>
          <w:sz w:val="24"/>
          <w:szCs w:val="24"/>
        </w:rPr>
        <w:t xml:space="preserve"> </w:t>
      </w:r>
      <w:r w:rsidRPr="00263A1A">
        <w:rPr>
          <w:rFonts w:ascii="Times New Roman" w:hAnsi="Times New Roman"/>
          <w:sz w:val="24"/>
          <w:szCs w:val="24"/>
        </w:rPr>
        <w:t>and does not vest any rights in third parties connected to the employee, we conclude that R.C. 2744.07(A)(2) does not permit a judgment creditor to proceed directly against an indemnitor.</w:t>
      </w:r>
      <w:r>
        <w:rPr>
          <w:rFonts w:ascii="Times New Roman" w:hAnsi="Times New Roman"/>
          <w:sz w:val="24"/>
          <w:szCs w:val="24"/>
        </w:rPr>
        <w:t>”</w:t>
      </w:r>
    </w:p>
    <w:p w14:paraId="3A029989" w14:textId="77777777" w:rsidR="00831847" w:rsidRDefault="00831847" w:rsidP="00831847">
      <w:pPr>
        <w:ind w:left="720"/>
        <w:rPr>
          <w:rFonts w:ascii="Times New Roman" w:hAnsi="Times New Roman"/>
          <w:sz w:val="24"/>
          <w:szCs w:val="24"/>
        </w:rPr>
      </w:pPr>
    </w:p>
    <w:p w14:paraId="10C8F39D" w14:textId="77777777" w:rsidR="00831847" w:rsidRDefault="00831847" w:rsidP="00831847">
      <w:pPr>
        <w:ind w:left="720"/>
        <w:rPr>
          <w:rFonts w:ascii="Times New Roman" w:eastAsia="Times New Roman" w:hAnsi="Times New Roman"/>
          <w:sz w:val="24"/>
          <w:szCs w:val="24"/>
        </w:rPr>
      </w:pPr>
      <w:r w:rsidRPr="007A690F">
        <w:rPr>
          <w:rFonts w:ascii="Times New Roman" w:eastAsia="Times New Roman" w:hAnsi="Times New Roman"/>
          <w:sz w:val="24"/>
          <w:szCs w:val="24"/>
        </w:rPr>
        <w:t xml:space="preserve">See also Ohio Revised Code 2744.07(A)(2) - Defending and indemnifying employees: </w:t>
      </w:r>
      <w:hyperlink r:id="rId1230" w:history="1">
        <w:r w:rsidRPr="006A29A3">
          <w:rPr>
            <w:rStyle w:val="Hyperlink"/>
            <w:sz w:val="24"/>
            <w:szCs w:val="24"/>
          </w:rPr>
          <w:t>http://codes.ohio.gov/orc/2744.07</w:t>
        </w:r>
      </w:hyperlink>
      <w:r>
        <w:rPr>
          <w:rFonts w:ascii="Times New Roman" w:eastAsia="Times New Roman" w:hAnsi="Times New Roman"/>
          <w:sz w:val="24"/>
          <w:szCs w:val="24"/>
        </w:rPr>
        <w:t xml:space="preserve"> </w:t>
      </w:r>
    </w:p>
    <w:p w14:paraId="08369585" w14:textId="77777777" w:rsidR="00831847" w:rsidRPr="003F7A4F" w:rsidRDefault="00831847" w:rsidP="00831847">
      <w:pPr>
        <w:spacing w:before="100" w:beforeAutospacing="1" w:after="100" w:afterAutospacing="1" w:line="240" w:lineRule="auto"/>
        <w:ind w:firstLine="720"/>
        <w:rPr>
          <w:rFonts w:ascii="Times New Roman" w:eastAsia="Times New Roman" w:hAnsi="Times New Roman"/>
          <w:sz w:val="24"/>
          <w:szCs w:val="24"/>
        </w:rPr>
      </w:pPr>
      <w:r w:rsidRPr="003F7A4F">
        <w:rPr>
          <w:rFonts w:ascii="Times New Roman" w:eastAsia="Times New Roman" w:hAnsi="Times New Roman"/>
          <w:sz w:val="24"/>
          <w:szCs w:val="24"/>
        </w:rPr>
        <w:t xml:space="preserve">(A) </w:t>
      </w:r>
    </w:p>
    <w:p w14:paraId="3112CDBC" w14:textId="77777777" w:rsidR="00831847" w:rsidRPr="003F7A4F" w:rsidRDefault="00831847" w:rsidP="00831847">
      <w:pPr>
        <w:spacing w:before="100" w:beforeAutospacing="1" w:after="100" w:afterAutospacing="1" w:line="240" w:lineRule="auto"/>
        <w:ind w:left="720"/>
        <w:rPr>
          <w:rFonts w:ascii="Times New Roman" w:eastAsia="Times New Roman" w:hAnsi="Times New Roman"/>
          <w:sz w:val="24"/>
          <w:szCs w:val="24"/>
        </w:rPr>
      </w:pPr>
      <w:r w:rsidRPr="003F7A4F">
        <w:rPr>
          <w:rFonts w:ascii="Times New Roman" w:eastAsia="Times New Roman" w:hAnsi="Times New Roman"/>
          <w:sz w:val="24"/>
          <w:szCs w:val="24"/>
        </w:rPr>
        <w:lastRenderedPageBreak/>
        <w:t xml:space="preserve">(1) Except as otherwise provided in division (A)(2) of this section, a political subdivision shall provide for the defense of an employee, in any state or federal court, in any civil action or proceeding which contains an allegation for damages for injury, death, or loss to person or property caused by an act or omission of the employee in connection with a governmental or proprietary function. Amounts expended by a political subdivision in the defense of its employees shall be from funds appropriated for this purpose or from proceeds of insurance. </w:t>
      </w:r>
    </w:p>
    <w:p w14:paraId="396B6489" w14:textId="77777777" w:rsidR="00831847" w:rsidRPr="003F7A4F" w:rsidRDefault="00831847" w:rsidP="00831847">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3F7A4F">
        <w:rPr>
          <w:rFonts w:ascii="Times New Roman" w:eastAsia="Times New Roman" w:hAnsi="Times New Roman"/>
          <w:sz w:val="24"/>
          <w:szCs w:val="24"/>
        </w:rPr>
        <w:t xml:space="preserve">2) A political subdivision does not have the duty to provide for the defense of an employee under division (A)(1) of this section if any of the following </w:t>
      </w:r>
      <w:proofErr w:type="gramStart"/>
      <w:r w:rsidRPr="003F7A4F">
        <w:rPr>
          <w:rFonts w:ascii="Times New Roman" w:eastAsia="Times New Roman" w:hAnsi="Times New Roman"/>
          <w:sz w:val="24"/>
          <w:szCs w:val="24"/>
        </w:rPr>
        <w:t>apply</w:t>
      </w:r>
      <w:proofErr w:type="gramEnd"/>
      <w:r w:rsidRPr="003F7A4F">
        <w:rPr>
          <w:rFonts w:ascii="Times New Roman" w:eastAsia="Times New Roman" w:hAnsi="Times New Roman"/>
          <w:sz w:val="24"/>
          <w:szCs w:val="24"/>
        </w:rPr>
        <w:t xml:space="preserve">: </w:t>
      </w:r>
    </w:p>
    <w:p w14:paraId="67FCC14C" w14:textId="77777777" w:rsidR="00831847" w:rsidRPr="003F7A4F" w:rsidRDefault="00831847" w:rsidP="00831847">
      <w:pPr>
        <w:spacing w:before="100" w:beforeAutospacing="1" w:after="100" w:afterAutospacing="1" w:line="240" w:lineRule="auto"/>
        <w:ind w:firstLine="720"/>
        <w:rPr>
          <w:rFonts w:ascii="Times New Roman" w:eastAsia="Times New Roman" w:hAnsi="Times New Roman"/>
          <w:sz w:val="24"/>
          <w:szCs w:val="24"/>
        </w:rPr>
      </w:pPr>
      <w:r w:rsidRPr="003F7A4F">
        <w:rPr>
          <w:rFonts w:ascii="Times New Roman" w:eastAsia="Times New Roman" w:hAnsi="Times New Roman"/>
          <w:sz w:val="24"/>
          <w:szCs w:val="24"/>
        </w:rPr>
        <w:t xml:space="preserve">(a) The act or omission occurred while the employee was not acting in good faith. </w:t>
      </w:r>
    </w:p>
    <w:p w14:paraId="66905F2B" w14:textId="77777777" w:rsidR="00831847" w:rsidRPr="003F7A4F" w:rsidRDefault="00831847" w:rsidP="00831847">
      <w:pPr>
        <w:spacing w:before="100" w:beforeAutospacing="1" w:after="100" w:afterAutospacing="1" w:line="240" w:lineRule="auto"/>
        <w:ind w:left="720"/>
        <w:rPr>
          <w:rFonts w:ascii="Times New Roman" w:eastAsia="Times New Roman" w:hAnsi="Times New Roman"/>
          <w:sz w:val="24"/>
          <w:szCs w:val="24"/>
        </w:rPr>
      </w:pPr>
      <w:r w:rsidRPr="003F7A4F">
        <w:rPr>
          <w:rFonts w:ascii="Times New Roman" w:eastAsia="Times New Roman" w:hAnsi="Times New Roman"/>
          <w:sz w:val="24"/>
          <w:szCs w:val="24"/>
        </w:rPr>
        <w:t xml:space="preserve">(b) The act or omission occurred while the employee was acting manifestly outside the scope of the employee's employment or official responsibilities. </w:t>
      </w:r>
    </w:p>
    <w:p w14:paraId="4B9FD74D" w14:textId="77777777" w:rsidR="00831847" w:rsidRDefault="00831847" w:rsidP="00831847">
      <w:pPr>
        <w:pStyle w:val="NoSpacing"/>
        <w:rPr>
          <w:rFonts w:ascii="Times New Roman" w:hAnsi="Times New Roman"/>
          <w:sz w:val="24"/>
          <w:szCs w:val="24"/>
        </w:rPr>
      </w:pPr>
    </w:p>
    <w:p w14:paraId="4E138747" w14:textId="77777777" w:rsidR="00831847" w:rsidRPr="00831847" w:rsidRDefault="00831847" w:rsidP="00831847">
      <w:pPr>
        <w:pStyle w:val="Heading2"/>
        <w:ind w:left="720"/>
        <w:rPr>
          <w:rFonts w:ascii="Times New Roman" w:hAnsi="Times New Roman"/>
          <w:b w:val="0"/>
          <w:bCs w:val="0"/>
          <w:i w:val="0"/>
          <w:iCs w:val="0"/>
          <w:sz w:val="24"/>
          <w:szCs w:val="24"/>
        </w:rPr>
      </w:pPr>
      <w:r w:rsidRPr="00831847">
        <w:rPr>
          <w:rFonts w:ascii="Times New Roman" w:hAnsi="Times New Roman"/>
          <w:b w:val="0"/>
          <w:bCs w:val="0"/>
          <w:i w:val="0"/>
          <w:iCs w:val="0"/>
          <w:sz w:val="24"/>
          <w:szCs w:val="24"/>
        </w:rPr>
        <w:t>See also:  Ohio Revised Code 9.87 - Indemnification of public officers and employees.</w:t>
      </w:r>
    </w:p>
    <w:p w14:paraId="5E39949E" w14:textId="77777777" w:rsidR="00831847" w:rsidRPr="00831847" w:rsidRDefault="00831847" w:rsidP="00831847">
      <w:pPr>
        <w:ind w:left="720"/>
        <w:rPr>
          <w:rFonts w:ascii="Times New Roman" w:hAnsi="Times New Roman"/>
          <w:sz w:val="24"/>
          <w:szCs w:val="24"/>
        </w:rPr>
      </w:pPr>
      <w:hyperlink r:id="rId1231" w:history="1">
        <w:r w:rsidRPr="00831847">
          <w:rPr>
            <w:rStyle w:val="Hyperlink"/>
            <w:rFonts w:ascii="Times New Roman" w:hAnsi="Times New Roman"/>
            <w:sz w:val="24"/>
            <w:szCs w:val="24"/>
          </w:rPr>
          <w:t>https://codes.ohio.gov/orc/gp9.87</w:t>
        </w:r>
      </w:hyperlink>
      <w:r w:rsidRPr="00831847">
        <w:rPr>
          <w:rFonts w:ascii="Times New Roman" w:hAnsi="Times New Roman"/>
          <w:sz w:val="24"/>
          <w:szCs w:val="24"/>
        </w:rPr>
        <w:t xml:space="preserve"> </w:t>
      </w:r>
    </w:p>
    <w:p w14:paraId="62076BD4" w14:textId="77777777" w:rsidR="00831847" w:rsidRPr="00A30466" w:rsidRDefault="00831847" w:rsidP="00831847">
      <w:pPr>
        <w:spacing w:before="100" w:beforeAutospacing="1" w:after="100" w:afterAutospacing="1" w:line="240" w:lineRule="auto"/>
        <w:ind w:left="1440"/>
        <w:rPr>
          <w:rFonts w:ascii="Times New Roman" w:eastAsia="Times New Roman" w:hAnsi="Times New Roman"/>
          <w:sz w:val="24"/>
          <w:szCs w:val="24"/>
        </w:rPr>
      </w:pPr>
      <w:proofErr w:type="gramStart"/>
      <w:r>
        <w:rPr>
          <w:rFonts w:ascii="Times New Roman" w:eastAsia="Times New Roman" w:hAnsi="Times New Roman"/>
          <w:sz w:val="24"/>
          <w:szCs w:val="24"/>
        </w:rPr>
        <w:t>“</w:t>
      </w:r>
      <w:r w:rsidRPr="00A30466">
        <w:rPr>
          <w:rFonts w:ascii="Times New Roman" w:eastAsia="Times New Roman" w:hAnsi="Times New Roman"/>
          <w:sz w:val="24"/>
          <w:szCs w:val="24"/>
        </w:rPr>
        <w:t>(B) The</w:t>
      </w:r>
      <w:proofErr w:type="gramEnd"/>
      <w:r w:rsidRPr="00A30466">
        <w:rPr>
          <w:rFonts w:ascii="Times New Roman" w:eastAsia="Times New Roman" w:hAnsi="Times New Roman"/>
          <w:sz w:val="24"/>
          <w:szCs w:val="24"/>
        </w:rPr>
        <w:t xml:space="preserve"> state shall not indemnify an officer or employee under any of the following circumstances: </w:t>
      </w:r>
    </w:p>
    <w:p w14:paraId="51C09C93" w14:textId="77777777" w:rsidR="00831847" w:rsidRDefault="00831847" w:rsidP="00831847">
      <w:pPr>
        <w:spacing w:before="100" w:beforeAutospacing="1" w:after="100" w:afterAutospacing="1" w:line="240" w:lineRule="auto"/>
        <w:ind w:left="1440"/>
        <w:rPr>
          <w:rFonts w:ascii="Times New Roman" w:eastAsia="Times New Roman" w:hAnsi="Times New Roman"/>
          <w:sz w:val="24"/>
          <w:szCs w:val="24"/>
        </w:rPr>
      </w:pPr>
      <w:r w:rsidRPr="00A30466">
        <w:rPr>
          <w:rFonts w:ascii="Times New Roman" w:eastAsia="Times New Roman" w:hAnsi="Times New Roman"/>
          <w:sz w:val="24"/>
          <w:szCs w:val="24"/>
        </w:rPr>
        <w:t xml:space="preserve">(2) When the officer or employee acts manifestly outside the scope of the officer's or employee's employment or official responsibilities, with malicious purpose, in bad faith, or in a wanton or reckless manner, as determined by the employer of the officer or employee or by the attorney </w:t>
      </w:r>
      <w:proofErr w:type="gramStart"/>
      <w:r w:rsidRPr="00A30466">
        <w:rPr>
          <w:rFonts w:ascii="Times New Roman" w:eastAsia="Times New Roman" w:hAnsi="Times New Roman"/>
          <w:sz w:val="24"/>
          <w:szCs w:val="24"/>
        </w:rPr>
        <w:t>general.</w:t>
      </w:r>
      <w:r>
        <w:rPr>
          <w:rFonts w:ascii="Times New Roman" w:eastAsia="Times New Roman" w:hAnsi="Times New Roman"/>
          <w:sz w:val="24"/>
          <w:szCs w:val="24"/>
        </w:rPr>
        <w:t>”</w:t>
      </w:r>
      <w:proofErr w:type="gramEnd"/>
    </w:p>
    <w:p w14:paraId="4E0B7E19" w14:textId="77777777" w:rsidR="00831847" w:rsidRDefault="00831847" w:rsidP="00EF1133">
      <w:pPr>
        <w:rPr>
          <w:rFonts w:ascii="Arial Black" w:hAnsi="Arial Black"/>
          <w:b/>
          <w:sz w:val="24"/>
          <w:szCs w:val="24"/>
        </w:rPr>
      </w:pPr>
    </w:p>
    <w:p w14:paraId="7C51AFC5" w14:textId="77777777" w:rsidR="00831847" w:rsidRDefault="00831847" w:rsidP="00EF1133">
      <w:pPr>
        <w:rPr>
          <w:rFonts w:ascii="Arial Black" w:hAnsi="Arial Black"/>
          <w:b/>
          <w:sz w:val="24"/>
          <w:szCs w:val="24"/>
        </w:rPr>
      </w:pPr>
    </w:p>
    <w:p w14:paraId="6A2B6C76" w14:textId="77777777" w:rsidR="00B03268" w:rsidRDefault="00B03268" w:rsidP="00EF1133">
      <w:pPr>
        <w:rPr>
          <w:rFonts w:ascii="Arial Black" w:hAnsi="Arial Black"/>
          <w:b/>
          <w:sz w:val="24"/>
          <w:szCs w:val="24"/>
        </w:rPr>
      </w:pPr>
    </w:p>
    <w:p w14:paraId="7F7F002D" w14:textId="77777777" w:rsidR="00B03268" w:rsidRDefault="00B03268" w:rsidP="00EF1133">
      <w:pPr>
        <w:rPr>
          <w:rFonts w:ascii="Arial Black" w:hAnsi="Arial Black"/>
          <w:b/>
          <w:sz w:val="24"/>
          <w:szCs w:val="24"/>
        </w:rPr>
      </w:pPr>
    </w:p>
    <w:p w14:paraId="5F6646DF" w14:textId="3FF75820" w:rsidR="00CD5950" w:rsidRDefault="00CD5950" w:rsidP="00EF1133">
      <w:pPr>
        <w:rPr>
          <w:rFonts w:ascii="Arial Black" w:hAnsi="Arial Black"/>
          <w:b/>
          <w:sz w:val="24"/>
          <w:szCs w:val="24"/>
        </w:rPr>
      </w:pPr>
      <w:r>
        <w:rPr>
          <w:rFonts w:ascii="Arial Black" w:hAnsi="Arial Black"/>
          <w:b/>
          <w:sz w:val="24"/>
          <w:szCs w:val="24"/>
        </w:rPr>
        <w:t>6-6</w:t>
      </w:r>
      <w:r w:rsidR="00FF7C63">
        <w:rPr>
          <w:rFonts w:ascii="Arial Black" w:hAnsi="Arial Black"/>
          <w:b/>
          <w:sz w:val="24"/>
          <w:szCs w:val="24"/>
        </w:rPr>
        <w:t>6</w:t>
      </w:r>
    </w:p>
    <w:p w14:paraId="3BC4ABE8" w14:textId="77777777" w:rsidR="00CD5950" w:rsidRPr="00E6324D" w:rsidRDefault="00CD5950" w:rsidP="00CD5950">
      <w:pPr>
        <w:spacing w:before="100" w:beforeAutospacing="1" w:after="100" w:afterAutospacing="1" w:line="240" w:lineRule="auto"/>
        <w:rPr>
          <w:rFonts w:ascii="Arial Black" w:hAnsi="Arial Black"/>
          <w:sz w:val="28"/>
          <w:szCs w:val="28"/>
        </w:rPr>
      </w:pPr>
      <w:bookmarkStart w:id="233" w:name="_Hlk66946865"/>
      <w:r>
        <w:rPr>
          <w:rFonts w:ascii="Arial Black" w:hAnsi="Arial Black"/>
          <w:sz w:val="28"/>
          <w:szCs w:val="28"/>
        </w:rPr>
        <w:t>WA: FF HEART ATTACK - STATUTORY PRESUMPTION – LATER MORE STENTS - ALSO COVERED, ATTORNEY FEES</w:t>
      </w:r>
    </w:p>
    <w:p w14:paraId="0303AC44" w14:textId="77777777" w:rsidR="00CD5950" w:rsidRDefault="00CD5950" w:rsidP="00CD5950">
      <w:pPr>
        <w:spacing w:before="100" w:beforeAutospacing="1" w:after="100" w:afterAutospacing="1" w:line="240" w:lineRule="auto"/>
        <w:rPr>
          <w:rFonts w:ascii="Times New Roman" w:hAnsi="Times New Roman"/>
          <w:sz w:val="24"/>
          <w:szCs w:val="24"/>
        </w:rPr>
      </w:pPr>
      <w:r w:rsidRPr="00750087">
        <w:rPr>
          <w:rFonts w:ascii="Times New Roman" w:hAnsi="Times New Roman"/>
          <w:sz w:val="24"/>
          <w:szCs w:val="24"/>
        </w:rPr>
        <w:t xml:space="preserve">On Feb. 9, 2021, in </w:t>
      </w:r>
      <w:r w:rsidRPr="00750087">
        <w:rPr>
          <w:rFonts w:ascii="Times New Roman" w:hAnsi="Times New Roman"/>
          <w:sz w:val="24"/>
          <w:szCs w:val="24"/>
          <w:u w:val="single"/>
        </w:rPr>
        <w:t xml:space="preserve">Calvin Johnson v. Department </w:t>
      </w:r>
      <w:r>
        <w:rPr>
          <w:rFonts w:ascii="Times New Roman" w:hAnsi="Times New Roman"/>
          <w:sz w:val="24"/>
          <w:szCs w:val="24"/>
          <w:u w:val="single"/>
        </w:rPr>
        <w:t>o</w:t>
      </w:r>
      <w:r w:rsidRPr="00750087">
        <w:rPr>
          <w:rFonts w:ascii="Times New Roman" w:hAnsi="Times New Roman"/>
          <w:sz w:val="24"/>
          <w:szCs w:val="24"/>
          <w:u w:val="single"/>
        </w:rPr>
        <w:t xml:space="preserve">f Labor </w:t>
      </w:r>
      <w:r>
        <w:rPr>
          <w:rFonts w:ascii="Times New Roman" w:hAnsi="Times New Roman"/>
          <w:sz w:val="24"/>
          <w:szCs w:val="24"/>
          <w:u w:val="single"/>
        </w:rPr>
        <w:t>A</w:t>
      </w:r>
      <w:r w:rsidRPr="00750087">
        <w:rPr>
          <w:rFonts w:ascii="Times New Roman" w:hAnsi="Times New Roman"/>
          <w:sz w:val="24"/>
          <w:szCs w:val="24"/>
          <w:u w:val="single"/>
        </w:rPr>
        <w:t>nd Industries</w:t>
      </w:r>
      <w:r>
        <w:rPr>
          <w:rFonts w:ascii="Times New Roman" w:hAnsi="Times New Roman"/>
          <w:sz w:val="24"/>
          <w:szCs w:val="24"/>
        </w:rPr>
        <w:t xml:space="preserve">, the Court of Appeals of the State of Washington (Division II) ruled (3 to 0) that the State’s statutory presumption of firefighter heart attacks covers workers comp. not only for the first heart attack in 2015, but also for subsequent need in 2016 for further stents; he is also entitled to reimbursement of attorney fees for his successful appeal of the denial of coverage on the second event. The statutory presumption applies to “any </w:t>
      </w:r>
      <w:r w:rsidRPr="006178BF">
        <w:rPr>
          <w:rFonts w:ascii="Times New Roman" w:hAnsi="Times New Roman"/>
          <w:sz w:val="24"/>
          <w:szCs w:val="24"/>
        </w:rPr>
        <w:t>heart problems</w:t>
      </w:r>
      <w:r>
        <w:rPr>
          <w:rFonts w:ascii="Times New Roman" w:hAnsi="Times New Roman"/>
          <w:sz w:val="24"/>
          <w:szCs w:val="24"/>
        </w:rPr>
        <w:t xml:space="preserve">, </w:t>
      </w:r>
      <w:r w:rsidRPr="006178BF">
        <w:rPr>
          <w:rFonts w:ascii="Times New Roman" w:hAnsi="Times New Roman"/>
          <w:sz w:val="24"/>
          <w:szCs w:val="24"/>
        </w:rPr>
        <w:t>experienced within seventy-two hours of exposure to smoke, fumes, or toxic substances, or experienced within twenty-four hours of strenuous physical exertion due to firefighting activities</w:t>
      </w:r>
      <w:r>
        <w:rPr>
          <w:rFonts w:ascii="Times New Roman" w:hAnsi="Times New Roman"/>
          <w:sz w:val="24"/>
          <w:szCs w:val="24"/>
        </w:rPr>
        <w:t>.”</w:t>
      </w:r>
    </w:p>
    <w:bookmarkEnd w:id="233"/>
    <w:p w14:paraId="3EF45D08" w14:textId="77777777" w:rsidR="00CD5950" w:rsidRDefault="00CD5950" w:rsidP="00CD5950">
      <w:pPr>
        <w:pStyle w:val="NoSpacing"/>
        <w:ind w:left="720"/>
        <w:rPr>
          <w:rFonts w:ascii="Times New Roman" w:hAnsi="Times New Roman"/>
          <w:sz w:val="24"/>
          <w:szCs w:val="24"/>
        </w:rPr>
      </w:pPr>
      <w:r>
        <w:rPr>
          <w:rFonts w:ascii="Times New Roman" w:hAnsi="Times New Roman"/>
          <w:sz w:val="24"/>
          <w:szCs w:val="24"/>
        </w:rPr>
        <w:lastRenderedPageBreak/>
        <w:t>“</w:t>
      </w:r>
      <w:r w:rsidRPr="00880D79">
        <w:rPr>
          <w:rFonts w:ascii="Times New Roman" w:hAnsi="Times New Roman"/>
          <w:sz w:val="24"/>
          <w:szCs w:val="24"/>
        </w:rPr>
        <w:t>On April 15, 2015, Johnson had a myocardial infarction, commonly referred to as a heart attack. He had experienced physical exertion and exposure to diesel fumes before the heart attack. After Johnson filed an accident report to open a claim, the Department applied to Johnson's claim the presumption that heart problems arising 72 hours from exposure to fumes or 24 hours from exertion are occupational diseases. It then allowed Johnson's claim under RCW 51.32.185. The Department provided treatment and other benefits to Johnson. The Department then closed Johnson's claim on January 21, 2016, with no permanent or partial disability.</w:t>
      </w:r>
    </w:p>
    <w:p w14:paraId="3FA1DBD1" w14:textId="77777777" w:rsidR="00CD5950" w:rsidRDefault="00CD5950" w:rsidP="00CD5950">
      <w:pPr>
        <w:pStyle w:val="NoSpacing"/>
        <w:ind w:left="720"/>
        <w:rPr>
          <w:rFonts w:ascii="Times New Roman" w:hAnsi="Times New Roman"/>
          <w:sz w:val="24"/>
          <w:szCs w:val="24"/>
        </w:rPr>
      </w:pPr>
    </w:p>
    <w:p w14:paraId="3F7ABE96" w14:textId="77777777" w:rsidR="00CD5950" w:rsidRDefault="00CD5950" w:rsidP="00CD5950">
      <w:pPr>
        <w:pStyle w:val="NoSpacing"/>
        <w:ind w:left="720"/>
        <w:rPr>
          <w:rFonts w:ascii="Times New Roman" w:hAnsi="Times New Roman"/>
          <w:sz w:val="24"/>
          <w:szCs w:val="24"/>
        </w:rPr>
      </w:pPr>
      <w:r>
        <w:rPr>
          <w:rFonts w:ascii="Times New Roman" w:hAnsi="Times New Roman"/>
          <w:sz w:val="24"/>
          <w:szCs w:val="24"/>
        </w:rPr>
        <w:t>***</w:t>
      </w:r>
    </w:p>
    <w:p w14:paraId="62EE5C47" w14:textId="77777777" w:rsidR="00CD5950" w:rsidRPr="00880D79" w:rsidRDefault="00CD5950" w:rsidP="00CD5950">
      <w:pPr>
        <w:spacing w:before="100" w:beforeAutospacing="1" w:after="100" w:afterAutospacing="1" w:line="240" w:lineRule="auto"/>
        <w:ind w:left="720"/>
        <w:rPr>
          <w:rFonts w:ascii="Times New Roman" w:hAnsi="Times New Roman"/>
          <w:sz w:val="24"/>
          <w:szCs w:val="24"/>
        </w:rPr>
      </w:pPr>
      <w:r w:rsidRPr="00880D79">
        <w:rPr>
          <w:rFonts w:ascii="Times New Roman" w:hAnsi="Times New Roman"/>
          <w:sz w:val="24"/>
          <w:szCs w:val="24"/>
        </w:rPr>
        <w:t>We hold that under the facts presented and the plain language of RCW 51.32.185(9)(a), Johnson's claim to reopen was a claim for benefits entitling him to an award of attorney fees and costs incurred before the Board. Because Johnson is entitled to a fee award, we affirm the superior court's order requiring the Department to pay Johnson reasonable attorney fees and costs incurred before the Board. We also award Johnson reasonable appellate fees and costs as the prevailing party in this appeal.</w:t>
      </w:r>
      <w:r>
        <w:rPr>
          <w:rFonts w:ascii="Times New Roman" w:hAnsi="Times New Roman"/>
          <w:sz w:val="24"/>
          <w:szCs w:val="24"/>
        </w:rPr>
        <w:t xml:space="preserve">” </w:t>
      </w:r>
      <w:bookmarkStart w:id="234" w:name="_Hlk66946891"/>
      <w:r w:rsidR="00F00958">
        <w:fldChar w:fldCharType="begin"/>
      </w:r>
      <w:r w:rsidR="00F00958">
        <w:instrText xml:space="preserve"> HYPERLINK "https://law.justia.com/cases/washington/court-of-appeals-division-ii/2021/53761-3.html" </w:instrText>
      </w:r>
      <w:r w:rsidR="00F00958">
        <w:fldChar w:fldCharType="separate"/>
      </w:r>
      <w:r w:rsidRPr="00FE7279">
        <w:rPr>
          <w:rStyle w:val="Hyperlink"/>
          <w:rFonts w:ascii="Times New Roman" w:hAnsi="Times New Roman"/>
          <w:sz w:val="24"/>
          <w:szCs w:val="24"/>
        </w:rPr>
        <w:t>https://law.justia.com/cases/washington/court-of-appeals-division-ii/2021/53761-3.html</w:t>
      </w:r>
      <w:r w:rsidR="00F00958">
        <w:rPr>
          <w:rStyle w:val="Hyperlink"/>
          <w:rFonts w:ascii="Times New Roman" w:hAnsi="Times New Roman"/>
          <w:sz w:val="24"/>
          <w:szCs w:val="24"/>
        </w:rPr>
        <w:fldChar w:fldCharType="end"/>
      </w:r>
      <w:r>
        <w:rPr>
          <w:rFonts w:ascii="Times New Roman" w:hAnsi="Times New Roman"/>
          <w:sz w:val="24"/>
          <w:szCs w:val="24"/>
        </w:rPr>
        <w:t xml:space="preserve"> </w:t>
      </w:r>
    </w:p>
    <w:p w14:paraId="2C0FBEC4" w14:textId="77777777" w:rsidR="00CD5950" w:rsidRPr="00880D79" w:rsidRDefault="00CD5950" w:rsidP="00CD5950">
      <w:pPr>
        <w:spacing w:before="100" w:beforeAutospacing="1" w:after="100" w:afterAutospacing="1" w:line="240" w:lineRule="auto"/>
        <w:rPr>
          <w:rFonts w:ascii="Times New Roman" w:eastAsia="Times New Roman" w:hAnsi="Times New Roman"/>
          <w:b/>
          <w:bCs/>
          <w:sz w:val="24"/>
          <w:szCs w:val="24"/>
        </w:rPr>
      </w:pPr>
      <w:r w:rsidRPr="00880D79">
        <w:rPr>
          <w:rFonts w:ascii="Times New Roman" w:hAnsi="Times New Roman"/>
          <w:b/>
          <w:bCs/>
          <w:sz w:val="24"/>
          <w:szCs w:val="24"/>
        </w:rPr>
        <w:t>Legal Lesson Learned:</w:t>
      </w:r>
      <w:r>
        <w:rPr>
          <w:rFonts w:ascii="Times New Roman" w:hAnsi="Times New Roman"/>
          <w:b/>
          <w:bCs/>
          <w:sz w:val="24"/>
          <w:szCs w:val="24"/>
        </w:rPr>
        <w:t xml:space="preserve">  The State of Washington’s statutory presumption applies to heart attacks, and subsequent heart problems. </w:t>
      </w:r>
    </w:p>
    <w:p w14:paraId="731638BF" w14:textId="77777777" w:rsidR="00CD5950" w:rsidRDefault="00CD5950" w:rsidP="00CD5950">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Note: See State of Washington statute: RCW 51.32.185, “Occupational diseases – presumption of occupational disease for firefighters and fire investigators.” </w:t>
      </w:r>
      <w:hyperlink r:id="rId1232" w:history="1">
        <w:r w:rsidRPr="00FE7279">
          <w:rPr>
            <w:rStyle w:val="Hyperlink"/>
            <w:rFonts w:ascii="Times New Roman" w:hAnsi="Times New Roman"/>
            <w:sz w:val="24"/>
            <w:szCs w:val="24"/>
          </w:rPr>
          <w:t>https://apps.leg.wa.gov/rcw/default.aspx?cite=51.32.185</w:t>
        </w:r>
      </w:hyperlink>
      <w:r>
        <w:rPr>
          <w:rFonts w:ascii="Times New Roman" w:hAnsi="Times New Roman"/>
          <w:sz w:val="24"/>
          <w:szCs w:val="24"/>
        </w:rPr>
        <w:t xml:space="preserve"> </w:t>
      </w:r>
    </w:p>
    <w:p w14:paraId="368BE588" w14:textId="77777777" w:rsidR="00CD5950" w:rsidRPr="006178BF" w:rsidRDefault="00CD5950" w:rsidP="00CD5950">
      <w:pPr>
        <w:spacing w:before="100" w:beforeAutospacing="1" w:after="100" w:afterAutospacing="1" w:line="240" w:lineRule="auto"/>
        <w:ind w:left="720"/>
        <w:rPr>
          <w:rFonts w:ascii="Times New Roman" w:hAnsi="Times New Roman"/>
          <w:sz w:val="24"/>
          <w:szCs w:val="24"/>
        </w:rPr>
      </w:pPr>
      <w:r w:rsidRPr="006178BF">
        <w:rPr>
          <w:rFonts w:ascii="Times New Roman" w:hAnsi="Times New Roman"/>
          <w:sz w:val="24"/>
          <w:szCs w:val="24"/>
        </w:rPr>
        <w:t xml:space="preserve">(1)(a) In the case of firefighters as defined in RCW </w:t>
      </w:r>
      <w:hyperlink r:id="rId1233" w:history="1">
        <w:r w:rsidRPr="006178BF">
          <w:rPr>
            <w:rStyle w:val="Hyperlink"/>
            <w:rFonts w:ascii="Times New Roman" w:hAnsi="Times New Roman"/>
            <w:sz w:val="24"/>
            <w:szCs w:val="24"/>
          </w:rPr>
          <w:t>41.26.030</w:t>
        </w:r>
      </w:hyperlink>
      <w:r w:rsidRPr="006178BF">
        <w:rPr>
          <w:rFonts w:ascii="Times New Roman" w:hAnsi="Times New Roman"/>
          <w:sz w:val="24"/>
          <w:szCs w:val="24"/>
        </w:rPr>
        <w:t>(17) (a), (b), (c), and (h) who are covered under this title and firefighters, including supervisors, employed on a full-time, fully compensated basis as a firefighter of a private sector employer's fire department that includes over fifty such firefighters, and public employee fire investigators, there shall exist a prima facie presumption that: (</w:t>
      </w:r>
      <w:proofErr w:type="spellStart"/>
      <w:r w:rsidRPr="006178BF">
        <w:rPr>
          <w:rFonts w:ascii="Times New Roman" w:hAnsi="Times New Roman"/>
          <w:sz w:val="24"/>
          <w:szCs w:val="24"/>
        </w:rPr>
        <w:t>i</w:t>
      </w:r>
      <w:proofErr w:type="spellEnd"/>
      <w:r w:rsidRPr="006178BF">
        <w:rPr>
          <w:rFonts w:ascii="Times New Roman" w:hAnsi="Times New Roman"/>
          <w:sz w:val="24"/>
          <w:szCs w:val="24"/>
        </w:rPr>
        <w:t xml:space="preserve">) Respiratory disease; (ii) any heart problems, experienced within seventy-two hours of exposure to smoke, fumes, or toxic substances, or experienced within twenty-four hours of strenuous physical exertion due to firefighting activities; (iii) cancer; and (iv) infectious diseases are occupational diseases under RCW </w:t>
      </w:r>
      <w:hyperlink r:id="rId1234" w:history="1">
        <w:r w:rsidRPr="006178BF">
          <w:rPr>
            <w:rStyle w:val="Hyperlink"/>
            <w:rFonts w:ascii="Times New Roman" w:hAnsi="Times New Roman"/>
            <w:sz w:val="24"/>
            <w:szCs w:val="24"/>
          </w:rPr>
          <w:t>51.08.140</w:t>
        </w:r>
      </w:hyperlink>
      <w:r w:rsidRPr="006178BF">
        <w:rPr>
          <w:rFonts w:ascii="Times New Roman" w:hAnsi="Times New Roman"/>
          <w:sz w:val="24"/>
          <w:szCs w:val="24"/>
        </w:rPr>
        <w:t xml:space="preserve">.  </w:t>
      </w:r>
    </w:p>
    <w:bookmarkEnd w:id="234"/>
    <w:p w14:paraId="35348AFC" w14:textId="285F4DF1" w:rsidR="00CD5950" w:rsidRDefault="00CD5950" w:rsidP="00EF1133">
      <w:pPr>
        <w:rPr>
          <w:rFonts w:ascii="Arial Black" w:hAnsi="Arial Black"/>
          <w:b/>
          <w:sz w:val="24"/>
          <w:szCs w:val="24"/>
        </w:rPr>
      </w:pPr>
      <w:r>
        <w:rPr>
          <w:rFonts w:ascii="Arial Black" w:hAnsi="Arial Black"/>
          <w:b/>
          <w:sz w:val="24"/>
          <w:szCs w:val="24"/>
        </w:rPr>
        <w:t>6-6</w:t>
      </w:r>
      <w:r w:rsidR="00FF7C63">
        <w:rPr>
          <w:rFonts w:ascii="Arial Black" w:hAnsi="Arial Black"/>
          <w:b/>
          <w:sz w:val="24"/>
          <w:szCs w:val="24"/>
        </w:rPr>
        <w:t>5</w:t>
      </w:r>
    </w:p>
    <w:p w14:paraId="3C7D2126" w14:textId="77777777" w:rsidR="00CD5950" w:rsidRPr="00F05C54" w:rsidRDefault="00CD5950" w:rsidP="00CD5950">
      <w:pPr>
        <w:pStyle w:val="NormalWeb"/>
        <w:rPr>
          <w:rFonts w:ascii="Arial Black" w:hAnsi="Arial Black"/>
          <w:sz w:val="28"/>
          <w:szCs w:val="28"/>
        </w:rPr>
      </w:pPr>
      <w:bookmarkStart w:id="235" w:name="_Hlk66947419"/>
      <w:r>
        <w:rPr>
          <w:rFonts w:ascii="Arial Black" w:hAnsi="Arial Black"/>
          <w:sz w:val="28"/>
          <w:szCs w:val="28"/>
        </w:rPr>
        <w:t>NV: LIGHT DUTY - CAPTAIN SHOULDER INJURY - REFUSED LIGHT DUTY AFTER SURGERY – TTD PAYMENTS STOPPED</w:t>
      </w:r>
    </w:p>
    <w:p w14:paraId="276D8919" w14:textId="77777777" w:rsidR="00CD5950" w:rsidRDefault="00CD5950" w:rsidP="00CD5950">
      <w:pPr>
        <w:pStyle w:val="NormalWeb"/>
      </w:pPr>
      <w:r>
        <w:t xml:space="preserve">On Feb. 4, 2021, in </w:t>
      </w:r>
      <w:r w:rsidRPr="00E77AA2">
        <w:rPr>
          <w:u w:val="single"/>
        </w:rPr>
        <w:t>Vance Taylor v. Truckee Meadows Fire Protection District</w:t>
      </w:r>
      <w:r>
        <w:t xml:space="preserve">, the Supreme Court of the State of Nevada, held (3 to 0) that the FD’s offer of temporary, light-duty employment (40-hour work week; secretarial duties) was reasonable and in compliance with Nevada law. even if the new schedule required they get a babysitter, and even if he found the secretarial work to “demeaning or humiliating to him.” The Court held that the workers comp administrator was justified in terminating the firefighter’s temporary total disability benefits. </w:t>
      </w:r>
    </w:p>
    <w:bookmarkEnd w:id="235"/>
    <w:p w14:paraId="303149D7" w14:textId="77777777" w:rsidR="00CD5950" w:rsidRDefault="00CD5950" w:rsidP="00CD5950">
      <w:pPr>
        <w:pStyle w:val="NormalWeb"/>
        <w:ind w:left="720"/>
      </w:pPr>
      <w:r>
        <w:t>“Taylor contends that the temporary, light-duty employment offer of secretarial work was not ‘substantially similar’ to his preinjury position in location, hours, or benefits and was thus not a reasonable offer in accordance with NRS 616C.475. He further argues that the offer was not reasonable because it involved different job duties and a different chain of command than his preinjury position and because it was humiliating work. We disagree.</w:t>
      </w:r>
    </w:p>
    <w:p w14:paraId="6DEA9B10" w14:textId="77777777" w:rsidR="00CD5950" w:rsidRDefault="00CD5950" w:rsidP="00CD5950">
      <w:pPr>
        <w:pStyle w:val="NormalWeb"/>
        <w:ind w:firstLine="720"/>
      </w:pPr>
      <w:r>
        <w:lastRenderedPageBreak/>
        <w:t>***</w:t>
      </w:r>
    </w:p>
    <w:p w14:paraId="388D595A" w14:textId="393DEFD9" w:rsidR="00CD5950" w:rsidRDefault="00CD5950" w:rsidP="00CD5950">
      <w:pPr>
        <w:spacing w:before="100" w:beforeAutospacing="1" w:after="100" w:afterAutospacing="1" w:line="240" w:lineRule="auto"/>
        <w:ind w:left="720"/>
        <w:rPr>
          <w:rFonts w:ascii="Times New Roman" w:eastAsia="Times New Roman" w:hAnsi="Times New Roman"/>
          <w:sz w:val="24"/>
          <w:szCs w:val="24"/>
        </w:rPr>
      </w:pPr>
      <w:r w:rsidRPr="00F05C54">
        <w:rPr>
          <w:rFonts w:ascii="Times New Roman" w:eastAsia="Times New Roman" w:hAnsi="Times New Roman"/>
          <w:sz w:val="24"/>
          <w:szCs w:val="24"/>
        </w:rPr>
        <w:t>Notwithstanding the requirement to consider a light-duty employment offer's schedule, we conclude that the light-duty job offered to Taylor was substantially similar to his preinjury firefighter job in terms of hours. Taylor's preinjury employment required that he work 48 hours on and 96 hours off. The offered light-duty job required Taylor to work a typical administrative schedule, from 8 a.m. to 5 p.m. Monday through</w:t>
      </w:r>
      <w:r>
        <w:rPr>
          <w:rFonts w:ascii="Times New Roman" w:eastAsia="Times New Roman" w:hAnsi="Times New Roman"/>
          <w:sz w:val="24"/>
          <w:szCs w:val="24"/>
        </w:rPr>
        <w:t xml:space="preserve"> </w:t>
      </w:r>
      <w:r w:rsidRPr="00F05C54">
        <w:rPr>
          <w:rFonts w:ascii="Times New Roman" w:eastAsia="Times New Roman" w:hAnsi="Times New Roman"/>
          <w:sz w:val="24"/>
          <w:szCs w:val="24"/>
        </w:rPr>
        <w:t>Friday, totaling 40 hours a week. Although the administrative schedule was not identical to Taylor's firefighter schedule, it also did not require him to work unusual hours or an atypical timetable.</w:t>
      </w:r>
    </w:p>
    <w:p w14:paraId="21A99775" w14:textId="77777777" w:rsidR="00CD5950" w:rsidRDefault="00CD5950" w:rsidP="00CD5950">
      <w:pPr>
        <w:pStyle w:val="NormalWeb"/>
      </w:pPr>
      <w:r>
        <w:tab/>
        <w:t>***</w:t>
      </w:r>
    </w:p>
    <w:p w14:paraId="02241B1B" w14:textId="77777777" w:rsidR="00CD5950" w:rsidRDefault="00CD5950" w:rsidP="00CD5950">
      <w:pPr>
        <w:pStyle w:val="NormalWeb"/>
        <w:ind w:left="720"/>
      </w:pPr>
      <w:r>
        <w:t xml:space="preserve">We further reject Taylor's contention that the administrative position was demeaning or humiliating to him. Secretaries and their assistants perform the necessary everyday tasks that are required to run organizations and businesses. The mere fact that an employee feels that a position is beneath him or her does not make the offer unreasonable or invalid.”  </w:t>
      </w:r>
      <w:bookmarkStart w:id="236" w:name="_Hlk66947486"/>
      <w:r w:rsidR="00F00958">
        <w:fldChar w:fldCharType="begin"/>
      </w:r>
      <w:r w:rsidR="00F00958">
        <w:instrText xml:space="preserve"> HYPERLINK "https://law.justia.com/cases/nevada/supreme-court/2021/78971.html" </w:instrText>
      </w:r>
      <w:r w:rsidR="00F00958">
        <w:fldChar w:fldCharType="separate"/>
      </w:r>
      <w:r w:rsidRPr="00B07E35">
        <w:rPr>
          <w:rStyle w:val="Hyperlink"/>
        </w:rPr>
        <w:t>https://law.justia.com/cases/nevada/supreme-court/2021/78971.html</w:t>
      </w:r>
      <w:r w:rsidR="00F00958">
        <w:rPr>
          <w:rStyle w:val="Hyperlink"/>
        </w:rPr>
        <w:fldChar w:fldCharType="end"/>
      </w:r>
    </w:p>
    <w:p w14:paraId="0E688D60" w14:textId="77777777" w:rsidR="00CD5950" w:rsidRPr="00015E59" w:rsidRDefault="00CD5950" w:rsidP="00CD5950">
      <w:pPr>
        <w:pStyle w:val="NormalWeb"/>
        <w:rPr>
          <w:b/>
          <w:bCs/>
        </w:rPr>
      </w:pPr>
      <w:bookmarkStart w:id="237" w:name="_Hlk66947464"/>
      <w:bookmarkEnd w:id="236"/>
      <w:r w:rsidRPr="00015E59">
        <w:rPr>
          <w:b/>
          <w:bCs/>
        </w:rPr>
        <w:t>Legal Lesson Learned:</w:t>
      </w:r>
      <w:r>
        <w:rPr>
          <w:b/>
          <w:bCs/>
        </w:rPr>
        <w:t xml:space="preserve">  The Nevada statute is designed to ‘encourage” employees to accept light duty and get back to full duty as soon as possible. </w:t>
      </w:r>
    </w:p>
    <w:p w14:paraId="5C045BF0" w14:textId="77777777" w:rsidR="00CD5950" w:rsidRDefault="00CD5950" w:rsidP="00CD5950">
      <w:pPr>
        <w:pStyle w:val="NormalWeb"/>
        <w:ind w:left="720"/>
      </w:pPr>
      <w:r>
        <w:t>Note: The FD offered him same gross wages during light duty.</w:t>
      </w:r>
    </w:p>
    <w:p w14:paraId="2E47EBA4" w14:textId="77777777" w:rsidR="00CD5950" w:rsidRPr="00F05C54" w:rsidRDefault="00CD5950" w:rsidP="00CD5950">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F05C54">
        <w:rPr>
          <w:rFonts w:ascii="Times New Roman" w:eastAsia="Times New Roman" w:hAnsi="Times New Roman"/>
          <w:sz w:val="24"/>
          <w:szCs w:val="24"/>
        </w:rPr>
        <w:t>The gross wage that Taylor would have received if he had accepted the temporary, light-duty employment offer was an average of his past 12-week wage history and amounted to $10,115 a month. Taylor argues that the light-duty employment offer was invalid because it did not include overtime pay and did not provide an ability to bank holiday compensatory time. The record shows, however, that the 12-week period used to calculate the offered wage included two holidays, as well as a significant amount of overtime pay—189 hours to be exact. We conclude that because holiday time and overtime pay were included in this gross</w:t>
      </w:r>
      <w:r>
        <w:rPr>
          <w:rFonts w:ascii="Times New Roman" w:eastAsia="Times New Roman" w:hAnsi="Times New Roman"/>
          <w:sz w:val="24"/>
          <w:szCs w:val="24"/>
        </w:rPr>
        <w:t xml:space="preserve"> </w:t>
      </w:r>
      <w:r w:rsidRPr="00F05C54">
        <w:rPr>
          <w:rFonts w:ascii="Times New Roman" w:eastAsia="Times New Roman" w:hAnsi="Times New Roman"/>
          <w:sz w:val="24"/>
          <w:szCs w:val="24"/>
        </w:rPr>
        <w:t xml:space="preserve">wage, the light-duty position provided a substantially similar wage and the same employment benefits as the preinjury </w:t>
      </w:r>
      <w:proofErr w:type="gramStart"/>
      <w:r w:rsidRPr="00F05C54">
        <w:rPr>
          <w:rFonts w:ascii="Times New Roman" w:eastAsia="Times New Roman" w:hAnsi="Times New Roman"/>
          <w:sz w:val="24"/>
          <w:szCs w:val="24"/>
        </w:rPr>
        <w:t>position.</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p>
    <w:bookmarkEnd w:id="237"/>
    <w:p w14:paraId="5822E6F5" w14:textId="2DA066DE" w:rsidR="00CD5950" w:rsidRDefault="00CD5950" w:rsidP="00EF1133">
      <w:pPr>
        <w:rPr>
          <w:rFonts w:ascii="Arial Black" w:hAnsi="Arial Black"/>
          <w:b/>
          <w:sz w:val="24"/>
          <w:szCs w:val="24"/>
        </w:rPr>
      </w:pPr>
      <w:r>
        <w:rPr>
          <w:rFonts w:ascii="Arial Black" w:hAnsi="Arial Black"/>
          <w:b/>
          <w:sz w:val="24"/>
          <w:szCs w:val="24"/>
        </w:rPr>
        <w:t>6-6</w:t>
      </w:r>
      <w:r w:rsidR="00FF7C63">
        <w:rPr>
          <w:rFonts w:ascii="Arial Black" w:hAnsi="Arial Black"/>
          <w:b/>
          <w:sz w:val="24"/>
          <w:szCs w:val="24"/>
        </w:rPr>
        <w:t>4</w:t>
      </w:r>
    </w:p>
    <w:p w14:paraId="11C9155F" w14:textId="77777777" w:rsidR="00CD5950" w:rsidRDefault="00CD5950" w:rsidP="00CD5950">
      <w:pPr>
        <w:rPr>
          <w:rFonts w:ascii="Arial Black" w:hAnsi="Arial Black"/>
          <w:sz w:val="28"/>
          <w:szCs w:val="28"/>
        </w:rPr>
      </w:pPr>
      <w:r>
        <w:rPr>
          <w:rFonts w:ascii="Arial Black" w:hAnsi="Arial Black"/>
          <w:sz w:val="28"/>
          <w:szCs w:val="28"/>
        </w:rPr>
        <w:t>IL: “CATASTROPHIC INJURY” – LIFETIME HEALTH INSURANCE UNDER STATE LAW – CITY CAN’T RE-DEFINE QUALIFICATIONS</w:t>
      </w:r>
    </w:p>
    <w:p w14:paraId="6A45872B" w14:textId="77777777" w:rsidR="00CD5950" w:rsidRDefault="00CD5950" w:rsidP="00CD5950">
      <w:pPr>
        <w:rPr>
          <w:rFonts w:ascii="Times New Roman" w:hAnsi="Times New Roman"/>
          <w:sz w:val="24"/>
          <w:szCs w:val="24"/>
        </w:rPr>
      </w:pPr>
      <w:r>
        <w:rPr>
          <w:rFonts w:ascii="Times New Roman" w:hAnsi="Times New Roman"/>
          <w:sz w:val="24"/>
          <w:szCs w:val="24"/>
        </w:rPr>
        <w:t xml:space="preserve">On Feb. 1, 2021, in </w:t>
      </w:r>
      <w:r w:rsidRPr="009836FC">
        <w:rPr>
          <w:rFonts w:ascii="Times New Roman" w:hAnsi="Times New Roman"/>
          <w:sz w:val="24"/>
          <w:szCs w:val="24"/>
          <w:u w:val="single"/>
        </w:rPr>
        <w:t>IAFF Local 50 v. The City of Peoria</w:t>
      </w:r>
      <w:r>
        <w:rPr>
          <w:rFonts w:ascii="Times New Roman" w:hAnsi="Times New Roman"/>
          <w:sz w:val="24"/>
          <w:szCs w:val="24"/>
        </w:rPr>
        <w:t xml:space="preserve">, the Appellate Court of Illinois (Third District) held (3 to 0) that the Circuit Court of Peoria County properly awarded summary judgment to the IAFF, holding that the City cannot enact an ordinance that seeks to define (and therefore limit) the state’s </w:t>
      </w:r>
      <w:r w:rsidRPr="009836FC">
        <w:rPr>
          <w:rFonts w:ascii="Times New Roman" w:hAnsi="Times New Roman"/>
          <w:sz w:val="24"/>
          <w:szCs w:val="24"/>
        </w:rPr>
        <w:t>Public Safety Employee Benefits Act (Act)</w:t>
      </w:r>
      <w:r>
        <w:rPr>
          <w:rFonts w:ascii="Times New Roman" w:hAnsi="Times New Roman"/>
          <w:sz w:val="24"/>
          <w:szCs w:val="24"/>
        </w:rPr>
        <w:t xml:space="preserve">, particularly after Illinois Supreme Court has already reviewed the state law and its legislative history.  </w:t>
      </w:r>
    </w:p>
    <w:p w14:paraId="085F7C87" w14:textId="77777777" w:rsidR="00CD5950" w:rsidRDefault="00CD5950" w:rsidP="00CD5950">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0331B7">
        <w:rPr>
          <w:rFonts w:ascii="Times New Roman" w:eastAsia="Times New Roman" w:hAnsi="Times New Roman"/>
          <w:sz w:val="24"/>
          <w:szCs w:val="24"/>
        </w:rPr>
        <w:t xml:space="preserve">Peoria City Code § 2-350(b) (amended June 12, 2018). </w:t>
      </w:r>
      <w:r>
        <w:rPr>
          <w:rFonts w:ascii="Times New Roman" w:eastAsia="Times New Roman" w:hAnsi="Times New Roman"/>
          <w:sz w:val="24"/>
          <w:szCs w:val="24"/>
        </w:rPr>
        <w:t>‘</w:t>
      </w:r>
      <w:r w:rsidRPr="000331B7">
        <w:rPr>
          <w:rFonts w:ascii="Times New Roman" w:eastAsia="Times New Roman" w:hAnsi="Times New Roman"/>
          <w:sz w:val="24"/>
          <w:szCs w:val="24"/>
        </w:rPr>
        <w:t>Catastrophic injury</w:t>
      </w:r>
      <w:r>
        <w:rPr>
          <w:rFonts w:ascii="Times New Roman" w:eastAsia="Times New Roman" w:hAnsi="Times New Roman"/>
          <w:sz w:val="24"/>
          <w:szCs w:val="24"/>
        </w:rPr>
        <w:t>’</w:t>
      </w:r>
      <w:r w:rsidRPr="000331B7">
        <w:rPr>
          <w:rFonts w:ascii="Times New Roman" w:eastAsia="Times New Roman" w:hAnsi="Times New Roman"/>
          <w:sz w:val="24"/>
          <w:szCs w:val="24"/>
        </w:rPr>
        <w:t xml:space="preserve"> is defined as </w:t>
      </w:r>
      <w:r>
        <w:rPr>
          <w:rFonts w:ascii="Times New Roman" w:eastAsia="Times New Roman" w:hAnsi="Times New Roman"/>
          <w:sz w:val="24"/>
          <w:szCs w:val="24"/>
        </w:rPr>
        <w:t>‘</w:t>
      </w:r>
      <w:r w:rsidRPr="000331B7">
        <w:rPr>
          <w:rFonts w:ascii="Times New Roman" w:eastAsia="Times New Roman" w:hAnsi="Times New Roman"/>
          <w:sz w:val="24"/>
          <w:szCs w:val="24"/>
        </w:rPr>
        <w:t>[a]n injury, the direct and proximate consequences of which permanently prevent an individual from performing any gainful work.</w:t>
      </w:r>
      <w:r>
        <w:rPr>
          <w:rFonts w:ascii="Times New Roman" w:eastAsia="Times New Roman" w:hAnsi="Times New Roman"/>
          <w:sz w:val="24"/>
          <w:szCs w:val="24"/>
        </w:rPr>
        <w:t>’</w:t>
      </w:r>
      <w:r w:rsidRPr="000331B7">
        <w:rPr>
          <w:rFonts w:ascii="Times New Roman" w:eastAsia="Times New Roman" w:hAnsi="Times New Roman"/>
          <w:sz w:val="24"/>
          <w:szCs w:val="24"/>
        </w:rPr>
        <w:t xml:space="preserve"> </w:t>
      </w:r>
      <w:r w:rsidRPr="000331B7">
        <w:rPr>
          <w:rFonts w:ascii="Times New Roman" w:eastAsia="Times New Roman" w:hAnsi="Times New Roman"/>
          <w:i/>
          <w:iCs/>
          <w:sz w:val="24"/>
          <w:szCs w:val="24"/>
        </w:rPr>
        <w:t>Id</w:t>
      </w:r>
      <w:r w:rsidRPr="000331B7">
        <w:rPr>
          <w:rFonts w:ascii="Times New Roman" w:eastAsia="Times New Roman" w:hAnsi="Times New Roman"/>
          <w:sz w:val="24"/>
          <w:szCs w:val="24"/>
        </w:rPr>
        <w:t xml:space="preserve">. </w:t>
      </w:r>
      <w:r>
        <w:rPr>
          <w:rFonts w:ascii="Times New Roman" w:eastAsia="Times New Roman" w:hAnsi="Times New Roman"/>
          <w:sz w:val="24"/>
          <w:szCs w:val="24"/>
        </w:rPr>
        <w:t>‘</w:t>
      </w:r>
      <w:r w:rsidRPr="000331B7">
        <w:rPr>
          <w:rFonts w:ascii="Times New Roman" w:eastAsia="Times New Roman" w:hAnsi="Times New Roman"/>
          <w:sz w:val="24"/>
          <w:szCs w:val="24"/>
        </w:rPr>
        <w:t>Gainful work</w:t>
      </w:r>
      <w:r>
        <w:rPr>
          <w:rFonts w:ascii="Times New Roman" w:eastAsia="Times New Roman" w:hAnsi="Times New Roman"/>
          <w:sz w:val="24"/>
          <w:szCs w:val="24"/>
        </w:rPr>
        <w:t>’</w:t>
      </w:r>
      <w:r w:rsidRPr="000331B7">
        <w:rPr>
          <w:rFonts w:ascii="Times New Roman" w:eastAsia="Times New Roman" w:hAnsi="Times New Roman"/>
          <w:sz w:val="24"/>
          <w:szCs w:val="24"/>
        </w:rPr>
        <w:t xml:space="preserve"> is defined as </w:t>
      </w:r>
      <w:r>
        <w:rPr>
          <w:rFonts w:ascii="Times New Roman" w:eastAsia="Times New Roman" w:hAnsi="Times New Roman"/>
          <w:sz w:val="24"/>
          <w:szCs w:val="24"/>
        </w:rPr>
        <w:t>‘</w:t>
      </w:r>
      <w:r w:rsidRPr="000331B7">
        <w:rPr>
          <w:rFonts w:ascii="Times New Roman" w:eastAsia="Times New Roman" w:hAnsi="Times New Roman"/>
          <w:sz w:val="24"/>
          <w:szCs w:val="24"/>
        </w:rPr>
        <w:t>[f]</w:t>
      </w:r>
      <w:proofErr w:type="spellStart"/>
      <w:r w:rsidRPr="000331B7">
        <w:rPr>
          <w:rFonts w:ascii="Times New Roman" w:eastAsia="Times New Roman" w:hAnsi="Times New Roman"/>
          <w:sz w:val="24"/>
          <w:szCs w:val="24"/>
        </w:rPr>
        <w:t>ull</w:t>
      </w:r>
      <w:proofErr w:type="spellEnd"/>
      <w:r w:rsidRPr="000331B7">
        <w:rPr>
          <w:rFonts w:ascii="Times New Roman" w:eastAsia="Times New Roman" w:hAnsi="Times New Roman"/>
          <w:sz w:val="24"/>
          <w:szCs w:val="24"/>
        </w:rPr>
        <w:t xml:space="preserve">- or part-time </w:t>
      </w:r>
      <w:proofErr w:type="gramStart"/>
      <w:r w:rsidRPr="000331B7">
        <w:rPr>
          <w:rFonts w:ascii="Times New Roman" w:eastAsia="Times New Roman" w:hAnsi="Times New Roman"/>
          <w:sz w:val="24"/>
          <w:szCs w:val="24"/>
        </w:rPr>
        <w:t>activity</w:t>
      </w:r>
      <w:proofErr w:type="gramEnd"/>
      <w:r w:rsidRPr="000331B7">
        <w:rPr>
          <w:rFonts w:ascii="Times New Roman" w:eastAsia="Times New Roman" w:hAnsi="Times New Roman"/>
          <w:sz w:val="24"/>
          <w:szCs w:val="24"/>
        </w:rPr>
        <w:t xml:space="preserve"> that actually is compensated or commonly is compensated.</w:t>
      </w:r>
      <w:r>
        <w:rPr>
          <w:rFonts w:ascii="Times New Roman" w:eastAsia="Times New Roman" w:hAnsi="Times New Roman"/>
          <w:sz w:val="24"/>
          <w:szCs w:val="24"/>
        </w:rPr>
        <w:t>’</w:t>
      </w:r>
      <w:r w:rsidRPr="000331B7">
        <w:rPr>
          <w:rFonts w:ascii="Times New Roman" w:eastAsia="Times New Roman" w:hAnsi="Times New Roman"/>
          <w:sz w:val="24"/>
          <w:szCs w:val="24"/>
        </w:rPr>
        <w:t xml:space="preserve"> </w:t>
      </w:r>
      <w:r w:rsidRPr="000331B7">
        <w:rPr>
          <w:rFonts w:ascii="Times New Roman" w:eastAsia="Times New Roman" w:hAnsi="Times New Roman"/>
          <w:i/>
          <w:iCs/>
          <w:sz w:val="24"/>
          <w:szCs w:val="24"/>
        </w:rPr>
        <w:t>Id</w:t>
      </w:r>
      <w:r w:rsidRPr="000331B7">
        <w:rPr>
          <w:rFonts w:ascii="Times New Roman" w:eastAsia="Times New Roman" w:hAnsi="Times New Roman"/>
          <w:sz w:val="24"/>
          <w:szCs w:val="24"/>
        </w:rPr>
        <w:t xml:space="preserve">. "Injury" is defined </w:t>
      </w:r>
      <w:proofErr w:type="gramStart"/>
      <w:r w:rsidRPr="000331B7">
        <w:rPr>
          <w:rFonts w:ascii="Times New Roman" w:eastAsia="Times New Roman" w:hAnsi="Times New Roman"/>
          <w:sz w:val="24"/>
          <w:szCs w:val="24"/>
        </w:rPr>
        <w:t>as:</w:t>
      </w:r>
      <w:r>
        <w:rPr>
          <w:rFonts w:ascii="Times New Roman" w:eastAsia="Times New Roman" w:hAnsi="Times New Roman"/>
          <w:sz w:val="24"/>
          <w:szCs w:val="24"/>
        </w:rPr>
        <w:t xml:space="preserve"> ‘</w:t>
      </w:r>
      <w:proofErr w:type="gramEnd"/>
      <w:r w:rsidRPr="000331B7">
        <w:rPr>
          <w:rFonts w:ascii="Times New Roman" w:eastAsia="Times New Roman" w:hAnsi="Times New Roman"/>
          <w:sz w:val="24"/>
          <w:szCs w:val="24"/>
        </w:rPr>
        <w:t>A traumatic physical wound *** directly and proximately caused by external force ***, chemicals, electricity, climatic conditions, infectious disease, radiation, virus, or bacteria, but does not include:</w:t>
      </w:r>
      <w:r>
        <w:rPr>
          <w:rFonts w:ascii="Times New Roman" w:eastAsia="Times New Roman" w:hAnsi="Times New Roman"/>
          <w:sz w:val="24"/>
          <w:szCs w:val="24"/>
        </w:rPr>
        <w:t xml:space="preserve"> </w:t>
      </w:r>
    </w:p>
    <w:p w14:paraId="5238FCD7" w14:textId="77777777" w:rsidR="00CD5950" w:rsidRDefault="00CD5950" w:rsidP="00CD5950">
      <w:pPr>
        <w:spacing w:before="100" w:beforeAutospacing="1" w:after="100" w:afterAutospacing="1" w:line="240" w:lineRule="auto"/>
        <w:ind w:left="1440"/>
        <w:rPr>
          <w:rFonts w:ascii="Times New Roman" w:eastAsia="Times New Roman" w:hAnsi="Times New Roman"/>
          <w:sz w:val="24"/>
          <w:szCs w:val="24"/>
        </w:rPr>
      </w:pPr>
      <w:r w:rsidRPr="000331B7">
        <w:rPr>
          <w:rFonts w:ascii="Times New Roman" w:eastAsia="Times New Roman" w:hAnsi="Times New Roman"/>
          <w:sz w:val="24"/>
          <w:szCs w:val="24"/>
        </w:rPr>
        <w:lastRenderedPageBreak/>
        <w:t>(1) Any occupational disease; or</w:t>
      </w:r>
      <w:r w:rsidRPr="000331B7">
        <w:rPr>
          <w:rFonts w:ascii="Times New Roman" w:eastAsia="Times New Roman" w:hAnsi="Times New Roman"/>
          <w:sz w:val="24"/>
          <w:szCs w:val="24"/>
        </w:rPr>
        <w:br/>
      </w:r>
      <w:r w:rsidRPr="000331B7">
        <w:rPr>
          <w:rFonts w:ascii="Times New Roman" w:eastAsia="Times New Roman" w:hAnsi="Times New Roman"/>
          <w:sz w:val="24"/>
          <w:szCs w:val="24"/>
        </w:rPr>
        <w:br/>
        <w:t>(2) Any condition of the body caused or occasioned by stress or strain.</w:t>
      </w:r>
    </w:p>
    <w:p w14:paraId="6F48ADFA" w14:textId="77777777" w:rsidR="00CD5950" w:rsidRDefault="00CD5950" w:rsidP="00CD5950">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063E6CB9" w14:textId="5DBD5DCD" w:rsidR="00CD5950" w:rsidRPr="000331B7" w:rsidRDefault="00CD5950" w:rsidP="00CD5950">
      <w:pPr>
        <w:spacing w:before="100" w:beforeAutospacing="1" w:after="100" w:afterAutospacing="1" w:line="240" w:lineRule="auto"/>
        <w:ind w:left="720"/>
        <w:rPr>
          <w:rFonts w:ascii="Times New Roman" w:eastAsia="Times New Roman" w:hAnsi="Times New Roman"/>
          <w:sz w:val="24"/>
          <w:szCs w:val="24"/>
        </w:rPr>
      </w:pPr>
      <w:r w:rsidRPr="000331B7">
        <w:rPr>
          <w:rFonts w:ascii="Times New Roman" w:hAnsi="Times New Roman"/>
          <w:sz w:val="24"/>
          <w:szCs w:val="24"/>
        </w:rPr>
        <w:t xml:space="preserve">We conclude that the City's definitions of </w:t>
      </w:r>
      <w:r>
        <w:rPr>
          <w:rFonts w:ascii="Times New Roman" w:hAnsi="Times New Roman"/>
          <w:sz w:val="24"/>
          <w:szCs w:val="24"/>
        </w:rPr>
        <w:t>‘</w:t>
      </w:r>
      <w:r w:rsidRPr="000331B7">
        <w:rPr>
          <w:rFonts w:ascii="Times New Roman" w:hAnsi="Times New Roman"/>
          <w:sz w:val="24"/>
          <w:szCs w:val="24"/>
        </w:rPr>
        <w:t>catastrophic injury,</w:t>
      </w:r>
      <w:r>
        <w:rPr>
          <w:rFonts w:ascii="Times New Roman" w:hAnsi="Times New Roman"/>
          <w:sz w:val="24"/>
          <w:szCs w:val="24"/>
        </w:rPr>
        <w:t>’</w:t>
      </w:r>
      <w:r w:rsidRPr="000331B7">
        <w:rPr>
          <w:rFonts w:ascii="Times New Roman" w:hAnsi="Times New Roman"/>
          <w:sz w:val="24"/>
          <w:szCs w:val="24"/>
        </w:rPr>
        <w:t xml:space="preserve"> </w:t>
      </w:r>
      <w:r>
        <w:rPr>
          <w:rFonts w:ascii="Times New Roman" w:hAnsi="Times New Roman"/>
          <w:sz w:val="24"/>
          <w:szCs w:val="24"/>
        </w:rPr>
        <w:t>‘</w:t>
      </w:r>
      <w:r w:rsidRPr="000331B7">
        <w:rPr>
          <w:rFonts w:ascii="Times New Roman" w:hAnsi="Times New Roman"/>
          <w:sz w:val="24"/>
          <w:szCs w:val="24"/>
        </w:rPr>
        <w:t>injury,</w:t>
      </w:r>
      <w:r>
        <w:rPr>
          <w:rFonts w:ascii="Times New Roman" w:hAnsi="Times New Roman"/>
          <w:sz w:val="24"/>
          <w:szCs w:val="24"/>
        </w:rPr>
        <w:t>’</w:t>
      </w:r>
      <w:r w:rsidRPr="000331B7">
        <w:rPr>
          <w:rFonts w:ascii="Times New Roman" w:hAnsi="Times New Roman"/>
          <w:sz w:val="24"/>
          <w:szCs w:val="24"/>
        </w:rPr>
        <w:t xml:space="preserve"> and </w:t>
      </w:r>
      <w:r>
        <w:rPr>
          <w:rFonts w:ascii="Times New Roman" w:hAnsi="Times New Roman"/>
          <w:sz w:val="24"/>
          <w:szCs w:val="24"/>
        </w:rPr>
        <w:t>‘</w:t>
      </w:r>
      <w:r w:rsidRPr="000331B7">
        <w:rPr>
          <w:rFonts w:ascii="Times New Roman" w:hAnsi="Times New Roman"/>
          <w:sz w:val="24"/>
          <w:szCs w:val="24"/>
        </w:rPr>
        <w:t>gainful work</w:t>
      </w:r>
      <w:r>
        <w:rPr>
          <w:rFonts w:ascii="Times New Roman" w:hAnsi="Times New Roman"/>
          <w:sz w:val="24"/>
          <w:szCs w:val="24"/>
        </w:rPr>
        <w:t>’</w:t>
      </w:r>
      <w:r w:rsidRPr="000331B7">
        <w:rPr>
          <w:rFonts w:ascii="Times New Roman" w:hAnsi="Times New Roman"/>
          <w:sz w:val="24"/>
          <w:szCs w:val="24"/>
        </w:rPr>
        <w:t xml:space="preserve"> were inconsistent with the substantive requirements of the Act, and the ordinance was not a valid exercise of home rule authority.</w:t>
      </w:r>
      <w:r>
        <w:rPr>
          <w:rFonts w:ascii="Times New Roman" w:hAnsi="Times New Roman"/>
          <w:sz w:val="24"/>
          <w:szCs w:val="24"/>
        </w:rPr>
        <w:t xml:space="preserve">” </w:t>
      </w:r>
      <w:hyperlink r:id="rId1235" w:history="1">
        <w:r w:rsidRPr="002013DF">
          <w:rPr>
            <w:rStyle w:val="Hyperlink"/>
            <w:rFonts w:ascii="Times New Roman" w:hAnsi="Times New Roman"/>
            <w:sz w:val="24"/>
            <w:szCs w:val="24"/>
          </w:rPr>
          <w:t>https://public.fastcase.com/Wl%2B2t%2BeVuI35%2FN70vAMFZhBwSznuAn%2FrUV3euz1vpuZ8G42r7l80quvA5s5OcZyT</w:t>
        </w:r>
      </w:hyperlink>
      <w:r>
        <w:rPr>
          <w:rFonts w:ascii="Times New Roman" w:hAnsi="Times New Roman"/>
          <w:sz w:val="24"/>
          <w:szCs w:val="24"/>
        </w:rPr>
        <w:t xml:space="preserve"> </w:t>
      </w:r>
    </w:p>
    <w:p w14:paraId="3CFE1194" w14:textId="77777777" w:rsidR="00CD5950" w:rsidRPr="00AB7084" w:rsidRDefault="00CD5950" w:rsidP="00CD5950">
      <w:pPr>
        <w:spacing w:before="100" w:beforeAutospacing="1" w:after="100" w:afterAutospacing="1" w:line="240" w:lineRule="auto"/>
        <w:ind w:left="720"/>
        <w:rPr>
          <w:rFonts w:ascii="Times New Roman" w:eastAsia="Times New Roman" w:hAnsi="Times New Roman"/>
          <w:sz w:val="24"/>
          <w:szCs w:val="24"/>
        </w:rPr>
      </w:pPr>
      <w:r w:rsidRPr="00EC6D3D">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Cities under their “home rule” authority cannot enact an ordinance limiting or defining health benefits provided under state statute.  </w:t>
      </w:r>
    </w:p>
    <w:p w14:paraId="005095DB" w14:textId="77777777" w:rsidR="00CD5950" w:rsidRDefault="00CD5950" w:rsidP="00EF1133">
      <w:pPr>
        <w:rPr>
          <w:rFonts w:ascii="Arial Black" w:hAnsi="Arial Black"/>
          <w:b/>
          <w:sz w:val="24"/>
          <w:szCs w:val="24"/>
        </w:rPr>
      </w:pPr>
    </w:p>
    <w:p w14:paraId="6D58EE4E" w14:textId="377283A5" w:rsidR="007F3C7D" w:rsidRDefault="007F3C7D" w:rsidP="00EF1133">
      <w:pPr>
        <w:rPr>
          <w:rFonts w:ascii="Arial Black" w:hAnsi="Arial Black"/>
          <w:b/>
          <w:sz w:val="24"/>
          <w:szCs w:val="24"/>
        </w:rPr>
      </w:pPr>
      <w:r>
        <w:rPr>
          <w:rFonts w:ascii="Arial Black" w:hAnsi="Arial Black"/>
          <w:b/>
          <w:sz w:val="24"/>
          <w:szCs w:val="24"/>
        </w:rPr>
        <w:t>6-6</w:t>
      </w:r>
      <w:r w:rsidR="008F02C3">
        <w:rPr>
          <w:rFonts w:ascii="Arial Black" w:hAnsi="Arial Black"/>
          <w:b/>
          <w:sz w:val="24"/>
          <w:szCs w:val="24"/>
        </w:rPr>
        <w:t>3</w:t>
      </w:r>
    </w:p>
    <w:p w14:paraId="37ECCA80" w14:textId="77777777" w:rsidR="007F3C7D" w:rsidRPr="003F7EAE" w:rsidRDefault="007F3C7D" w:rsidP="007F3C7D">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ME: TOWN’S CHARTER REQUIRES EMPLOYEES &amp; VOL. FF TO RESIGN IN ORDER TO RUN FOR ELECTION – FED. JUDGE UPHOLDS</w:t>
      </w:r>
    </w:p>
    <w:p w14:paraId="122156B6" w14:textId="77777777" w:rsidR="007F3C7D" w:rsidRDefault="007F3C7D" w:rsidP="007F3C7D">
      <w:pPr>
        <w:rPr>
          <w:rFonts w:ascii="Times New Roman" w:hAnsi="Times New Roman"/>
          <w:sz w:val="24"/>
          <w:szCs w:val="24"/>
        </w:rPr>
      </w:pPr>
      <w:r>
        <w:rPr>
          <w:rFonts w:ascii="Times New Roman" w:hAnsi="Times New Roman"/>
          <w:sz w:val="24"/>
          <w:szCs w:val="24"/>
        </w:rPr>
        <w:t xml:space="preserve">On Jan. 21, 2021, in </w:t>
      </w:r>
      <w:r w:rsidRPr="00DC7AB1">
        <w:rPr>
          <w:rFonts w:ascii="Times New Roman" w:hAnsi="Times New Roman"/>
          <w:sz w:val="24"/>
          <w:szCs w:val="24"/>
          <w:u w:val="single"/>
        </w:rPr>
        <w:t>Megan Casey</w:t>
      </w:r>
      <w:r>
        <w:rPr>
          <w:rFonts w:ascii="Times New Roman" w:hAnsi="Times New Roman"/>
          <w:sz w:val="24"/>
          <w:szCs w:val="24"/>
          <w:u w:val="single"/>
        </w:rPr>
        <w:t xml:space="preserve">, </w:t>
      </w:r>
      <w:r w:rsidRPr="00DC7AB1">
        <w:rPr>
          <w:rFonts w:ascii="Times New Roman" w:hAnsi="Times New Roman"/>
          <w:sz w:val="24"/>
          <w:szCs w:val="24"/>
          <w:u w:val="single"/>
        </w:rPr>
        <w:t>et al. v. Town of Yarmouth</w:t>
      </w:r>
      <w:r>
        <w:rPr>
          <w:rFonts w:ascii="Times New Roman" w:hAnsi="Times New Roman"/>
          <w:sz w:val="24"/>
          <w:szCs w:val="24"/>
        </w:rPr>
        <w:t xml:space="preserve">, U.S. District Court Judge George Z. Singal, U.S. District Court, District of Maine held that the Town’s Charter Amendment is constitutional based on the “balancing” test in U.S. Supreme Court’s decision in Pickering v. Board of Education, 391 U.S. 563 (1968).  The Charter Amendment was passed by referendum of voters in Nov. 2018, supported by a group calling itself </w:t>
      </w:r>
      <w:r w:rsidRPr="003575D4">
        <w:rPr>
          <w:rFonts w:ascii="Times New Roman" w:hAnsi="Times New Roman"/>
          <w:sz w:val="24"/>
          <w:szCs w:val="24"/>
        </w:rPr>
        <w:t>"Yarmouth Citizens for Responsible Government</w:t>
      </w:r>
      <w:r>
        <w:rPr>
          <w:rFonts w:ascii="Times New Roman" w:hAnsi="Times New Roman"/>
          <w:sz w:val="24"/>
          <w:szCs w:val="24"/>
        </w:rPr>
        <w:t>.,</w:t>
      </w:r>
      <w:r w:rsidRPr="003575D4">
        <w:rPr>
          <w:rFonts w:ascii="Times New Roman" w:hAnsi="Times New Roman"/>
          <w:sz w:val="24"/>
          <w:szCs w:val="24"/>
        </w:rPr>
        <w:t>"</w:t>
      </w:r>
      <w:r>
        <w:rPr>
          <w:rFonts w:ascii="Times New Roman" w:hAnsi="Times New Roman"/>
          <w:sz w:val="24"/>
          <w:szCs w:val="24"/>
        </w:rPr>
        <w:t xml:space="preserve"> seeking to avoid any conflict of interest by prohibiting any Town employee [apparently this includes volunteer firefighters], current teachers from serving on Council.  Judge also held that the volunteer firefighter Mark </w:t>
      </w:r>
      <w:proofErr w:type="spellStart"/>
      <w:r>
        <w:rPr>
          <w:rFonts w:ascii="Times New Roman" w:hAnsi="Times New Roman"/>
          <w:sz w:val="24"/>
          <w:szCs w:val="24"/>
        </w:rPr>
        <w:t>Reinsborough</w:t>
      </w:r>
      <w:proofErr w:type="spellEnd"/>
      <w:r>
        <w:rPr>
          <w:rFonts w:ascii="Times New Roman" w:hAnsi="Times New Roman"/>
          <w:sz w:val="24"/>
          <w:szCs w:val="24"/>
        </w:rPr>
        <w:t xml:space="preserve"> [as well as his wife, and his father, a former volunteer firefighter] lacked “standing” since none expressed a current intent to run for Council. </w:t>
      </w:r>
    </w:p>
    <w:p w14:paraId="24083F2A" w14:textId="77777777" w:rsidR="007F3C7D" w:rsidRPr="00933346" w:rsidRDefault="007F3C7D" w:rsidP="007F3C7D">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“[T]</w:t>
      </w:r>
      <w:r w:rsidRPr="00865711">
        <w:rPr>
          <w:rFonts w:ascii="Times New Roman" w:hAnsi="Times New Roman"/>
          <w:sz w:val="24"/>
          <w:szCs w:val="24"/>
        </w:rPr>
        <w:t xml:space="preserve">he Supreme Court </w:t>
      </w:r>
      <w:r>
        <w:rPr>
          <w:rFonts w:ascii="Times New Roman" w:hAnsi="Times New Roman"/>
          <w:sz w:val="24"/>
          <w:szCs w:val="24"/>
        </w:rPr>
        <w:t xml:space="preserve">in </w:t>
      </w:r>
      <w:r w:rsidRPr="00924AEC">
        <w:rPr>
          <w:rFonts w:ascii="Times New Roman" w:hAnsi="Times New Roman"/>
          <w:sz w:val="24"/>
          <w:szCs w:val="24"/>
          <w:u w:val="single"/>
        </w:rPr>
        <w:t>Pickering</w:t>
      </w:r>
      <w:r>
        <w:rPr>
          <w:rFonts w:ascii="Times New Roman" w:hAnsi="Times New Roman"/>
          <w:sz w:val="24"/>
          <w:szCs w:val="24"/>
        </w:rPr>
        <w:t xml:space="preserve"> ‘</w:t>
      </w:r>
      <w:r w:rsidRPr="00865711">
        <w:rPr>
          <w:rFonts w:ascii="Times New Roman" w:hAnsi="Times New Roman"/>
          <w:sz w:val="24"/>
          <w:szCs w:val="24"/>
        </w:rPr>
        <w:t>declared that citizens do not surrender their First Amendment rights by accepting public employment.</w:t>
      </w:r>
      <w:r>
        <w:rPr>
          <w:rFonts w:ascii="Times New Roman" w:hAnsi="Times New Roman"/>
          <w:sz w:val="24"/>
          <w:szCs w:val="24"/>
        </w:rPr>
        <w:t>’</w:t>
      </w:r>
      <w:r w:rsidRPr="00865711">
        <w:rPr>
          <w:rFonts w:ascii="Times New Roman" w:hAnsi="Times New Roman"/>
          <w:sz w:val="24"/>
          <w:szCs w:val="24"/>
        </w:rPr>
        <w:t xml:space="preserve"> </w:t>
      </w:r>
      <w:r w:rsidRPr="00865711">
        <w:rPr>
          <w:rFonts w:ascii="Times New Roman" w:hAnsi="Times New Roman"/>
          <w:sz w:val="24"/>
          <w:szCs w:val="24"/>
          <w:u w:val="single"/>
        </w:rPr>
        <w:t>Lane v. Franks</w:t>
      </w:r>
      <w:r w:rsidRPr="00865711">
        <w:rPr>
          <w:rFonts w:ascii="Times New Roman" w:hAnsi="Times New Roman"/>
          <w:sz w:val="24"/>
          <w:szCs w:val="24"/>
        </w:rPr>
        <w:t xml:space="preserve">, 573 U.S. 228, 231 (2014) (describing </w:t>
      </w:r>
      <w:r w:rsidRPr="00865711">
        <w:rPr>
          <w:rFonts w:ascii="Times New Roman" w:hAnsi="Times New Roman"/>
          <w:sz w:val="24"/>
          <w:szCs w:val="24"/>
          <w:u w:val="single"/>
        </w:rPr>
        <w:t>Pickering</w:t>
      </w:r>
      <w:r w:rsidRPr="00865711">
        <w:rPr>
          <w:rFonts w:ascii="Times New Roman" w:hAnsi="Times New Roman"/>
          <w:sz w:val="24"/>
          <w:szCs w:val="24"/>
        </w:rPr>
        <w:t>). However, the Court found that it was necessary "</w:t>
      </w:r>
      <w:r>
        <w:rPr>
          <w:rFonts w:ascii="Times New Roman" w:hAnsi="Times New Roman"/>
          <w:sz w:val="24"/>
          <w:szCs w:val="24"/>
        </w:rPr>
        <w:t>t</w:t>
      </w:r>
      <w:r w:rsidRPr="00865711">
        <w:rPr>
          <w:rFonts w:ascii="Times New Roman" w:hAnsi="Times New Roman"/>
          <w:sz w:val="24"/>
          <w:szCs w:val="24"/>
        </w:rPr>
        <w:t>o . . . balance between the interests of the [employee], as a citizen, in commenting upon matters of public concern and the interest of the [government], as an employer, in promoting the efficiency of the public services it performs through its employees.</w:t>
      </w:r>
      <w:r>
        <w:rPr>
          <w:rFonts w:ascii="Times New Roman" w:hAnsi="Times New Roman"/>
          <w:sz w:val="24"/>
          <w:szCs w:val="24"/>
        </w:rPr>
        <w:t>’</w:t>
      </w:r>
      <w:r w:rsidRPr="00865711">
        <w:rPr>
          <w:rFonts w:ascii="Times New Roman" w:hAnsi="Times New Roman"/>
          <w:sz w:val="24"/>
          <w:szCs w:val="24"/>
        </w:rPr>
        <w:t xml:space="preserve"> </w:t>
      </w:r>
      <w:r w:rsidRPr="00865711">
        <w:rPr>
          <w:rFonts w:ascii="Times New Roman" w:hAnsi="Times New Roman"/>
          <w:sz w:val="24"/>
          <w:szCs w:val="24"/>
          <w:u w:val="single"/>
        </w:rPr>
        <w:t>Pickering</w:t>
      </w:r>
      <w:r w:rsidRPr="00865711">
        <w:rPr>
          <w:rFonts w:ascii="Times New Roman" w:hAnsi="Times New Roman"/>
          <w:sz w:val="24"/>
          <w:szCs w:val="24"/>
        </w:rPr>
        <w:t>, 391 U.S. at 568.</w:t>
      </w:r>
      <w:r>
        <w:rPr>
          <w:rFonts w:ascii="Times New Roman" w:hAnsi="Times New Roman"/>
          <w:sz w:val="24"/>
          <w:szCs w:val="24"/>
        </w:rPr>
        <w:t xml:space="preserve"> </w:t>
      </w:r>
      <w:hyperlink r:id="rId1236" w:history="1">
        <w:r w:rsidRPr="00563FF7">
          <w:rPr>
            <w:rStyle w:val="Hyperlink"/>
            <w:rFonts w:ascii="Times New Roman" w:eastAsia="Times New Roman" w:hAnsi="Times New Roman"/>
            <w:sz w:val="24"/>
            <w:szCs w:val="24"/>
          </w:rPr>
          <w:t>https://public.fastcase.com/Wl%2B2t%2BeVuI35%2FN70vAMFZiwHTxExttVvxvtro3%2Fx3JKRataF5Ade5ddShAB2khcY</w:t>
        </w:r>
      </w:hyperlink>
      <w:r>
        <w:rPr>
          <w:rFonts w:ascii="Times New Roman" w:eastAsia="Times New Roman" w:hAnsi="Times New Roman"/>
          <w:sz w:val="24"/>
          <w:szCs w:val="24"/>
        </w:rPr>
        <w:t xml:space="preserve"> </w:t>
      </w:r>
    </w:p>
    <w:p w14:paraId="26386CB8" w14:textId="77777777" w:rsidR="007F3C7D" w:rsidRDefault="007F3C7D" w:rsidP="007F3C7D">
      <w:pPr>
        <w:rPr>
          <w:rFonts w:ascii="Times New Roman" w:hAnsi="Times New Roman"/>
          <w:b/>
          <w:bCs/>
          <w:sz w:val="24"/>
          <w:szCs w:val="24"/>
        </w:rPr>
      </w:pPr>
      <w:r w:rsidRPr="00590EE6">
        <w:rPr>
          <w:rFonts w:ascii="Times New Roman" w:hAnsi="Times New Roman"/>
          <w:b/>
          <w:bCs/>
          <w:sz w:val="24"/>
          <w:szCs w:val="24"/>
        </w:rPr>
        <w:t>Legal Lesson Learned:</w:t>
      </w:r>
      <w:r>
        <w:rPr>
          <w:rFonts w:ascii="Times New Roman" w:hAnsi="Times New Roman"/>
          <w:b/>
          <w:bCs/>
          <w:sz w:val="24"/>
          <w:szCs w:val="24"/>
        </w:rPr>
        <w:t xml:space="preserve">  In many states, there are statutes prohibiting elected officials from voting on matters that could be a “conflict of interest.”  It is rather unusual to see a Charter that prohibits public employees from also serving on Council. </w:t>
      </w:r>
    </w:p>
    <w:p w14:paraId="5DAF944D" w14:textId="77777777" w:rsidR="007F3C7D" w:rsidRPr="00C745B6" w:rsidRDefault="007F3C7D" w:rsidP="007F3C7D">
      <w:pPr>
        <w:ind w:left="720"/>
        <w:rPr>
          <w:rFonts w:ascii="Times New Roman" w:hAnsi="Times New Roman"/>
          <w:sz w:val="24"/>
          <w:szCs w:val="24"/>
        </w:rPr>
      </w:pPr>
      <w:r w:rsidRPr="008B3CA3">
        <w:rPr>
          <w:rFonts w:ascii="Times New Roman" w:hAnsi="Times New Roman"/>
          <w:sz w:val="24"/>
          <w:szCs w:val="24"/>
        </w:rPr>
        <w:t xml:space="preserve">Note:  </w:t>
      </w:r>
      <w:r w:rsidRPr="00C745B6">
        <w:rPr>
          <w:rFonts w:ascii="Times New Roman" w:hAnsi="Times New Roman"/>
          <w:sz w:val="24"/>
          <w:szCs w:val="24"/>
        </w:rPr>
        <w:t xml:space="preserve">The ACLU of Maine brought this lawsuit, and in their </w:t>
      </w:r>
      <w:r>
        <w:rPr>
          <w:rFonts w:ascii="Times New Roman" w:hAnsi="Times New Roman"/>
          <w:sz w:val="24"/>
          <w:szCs w:val="24"/>
        </w:rPr>
        <w:t xml:space="preserve">Aug. 27, </w:t>
      </w:r>
      <w:proofErr w:type="gramStart"/>
      <w:r>
        <w:rPr>
          <w:rFonts w:ascii="Times New Roman" w:hAnsi="Times New Roman"/>
          <w:sz w:val="24"/>
          <w:szCs w:val="24"/>
        </w:rPr>
        <w:t>2019</w:t>
      </w:r>
      <w:proofErr w:type="gramEnd"/>
      <w:r>
        <w:rPr>
          <w:rFonts w:ascii="Times New Roman" w:hAnsi="Times New Roman"/>
          <w:sz w:val="24"/>
          <w:szCs w:val="24"/>
        </w:rPr>
        <w:t xml:space="preserve"> </w:t>
      </w:r>
      <w:r w:rsidRPr="00C745B6">
        <w:rPr>
          <w:rFonts w:ascii="Times New Roman" w:hAnsi="Times New Roman"/>
          <w:sz w:val="24"/>
          <w:szCs w:val="24"/>
        </w:rPr>
        <w:t xml:space="preserve">Press Release stated: </w:t>
      </w:r>
      <w:r>
        <w:rPr>
          <w:rFonts w:ascii="Times New Roman" w:hAnsi="Times New Roman"/>
          <w:sz w:val="24"/>
          <w:szCs w:val="24"/>
        </w:rPr>
        <w:t>“</w:t>
      </w:r>
      <w:r w:rsidRPr="00C745B6">
        <w:rPr>
          <w:rFonts w:ascii="Times New Roman" w:hAnsi="Times New Roman"/>
          <w:sz w:val="24"/>
          <w:szCs w:val="24"/>
        </w:rPr>
        <w:t xml:space="preserve">Courts have consistently held that restrictions like the one adopted by Yarmouth must serve a substantial public interest, and Maine law even specifically anticipates that </w:t>
      </w:r>
      <w:proofErr w:type="gramStart"/>
      <w:r w:rsidRPr="00C745B6">
        <w:rPr>
          <w:rFonts w:ascii="Times New Roman" w:hAnsi="Times New Roman"/>
          <w:sz w:val="24"/>
          <w:szCs w:val="24"/>
        </w:rPr>
        <w:t>school</w:t>
      </w:r>
      <w:r>
        <w:rPr>
          <w:rFonts w:ascii="Times New Roman" w:hAnsi="Times New Roman"/>
          <w:sz w:val="24"/>
          <w:szCs w:val="24"/>
        </w:rPr>
        <w:t xml:space="preserve"> </w:t>
      </w:r>
      <w:r w:rsidRPr="00C745B6">
        <w:rPr>
          <w:rFonts w:ascii="Times New Roman" w:hAnsi="Times New Roman"/>
          <w:sz w:val="24"/>
          <w:szCs w:val="24"/>
        </w:rPr>
        <w:t>teachers</w:t>
      </w:r>
      <w:proofErr w:type="gramEnd"/>
      <w:r w:rsidRPr="00C745B6">
        <w:rPr>
          <w:rFonts w:ascii="Times New Roman" w:hAnsi="Times New Roman"/>
          <w:sz w:val="24"/>
          <w:szCs w:val="24"/>
        </w:rPr>
        <w:t xml:space="preserve"> can and will serve as municipal officers. In August 2017, the town’s own legal counsel concluded that prohibiting </w:t>
      </w:r>
      <w:r w:rsidRPr="00C745B6">
        <w:rPr>
          <w:rFonts w:ascii="Times New Roman" w:hAnsi="Times New Roman"/>
          <w:sz w:val="24"/>
          <w:szCs w:val="24"/>
        </w:rPr>
        <w:lastRenderedPageBreak/>
        <w:t>town or school employees from serving on the town council could violate their First Amendment rights.</w:t>
      </w:r>
      <w:r>
        <w:rPr>
          <w:rFonts w:ascii="Times New Roman" w:hAnsi="Times New Roman"/>
          <w:sz w:val="24"/>
          <w:szCs w:val="24"/>
        </w:rPr>
        <w:t xml:space="preserve">” </w:t>
      </w:r>
      <w:hyperlink r:id="rId1237" w:history="1">
        <w:r w:rsidRPr="00563FF7">
          <w:rPr>
            <w:rStyle w:val="Hyperlink"/>
            <w:rFonts w:ascii="Times New Roman" w:hAnsi="Times New Roman"/>
            <w:sz w:val="24"/>
            <w:szCs w:val="24"/>
          </w:rPr>
          <w:t>https://www.aclumaine.org/en/press-releases/yarmouth-residents-aclu-challenge-new-restrictions-who-can-run-town-council</w:t>
        </w:r>
      </w:hyperlink>
      <w:r>
        <w:rPr>
          <w:rFonts w:ascii="Times New Roman" w:hAnsi="Times New Roman"/>
          <w:sz w:val="24"/>
          <w:szCs w:val="24"/>
        </w:rPr>
        <w:t xml:space="preserve"> </w:t>
      </w:r>
    </w:p>
    <w:p w14:paraId="33D9366C" w14:textId="77777777" w:rsidR="007F3C7D" w:rsidRPr="008B3CA3" w:rsidRDefault="007F3C7D" w:rsidP="007F3C7D">
      <w:pPr>
        <w:ind w:firstLine="720"/>
        <w:rPr>
          <w:rFonts w:ascii="Times New Roman" w:hAnsi="Times New Roman"/>
          <w:sz w:val="24"/>
          <w:szCs w:val="24"/>
        </w:rPr>
      </w:pPr>
      <w:r>
        <w:rPr>
          <w:rFonts w:ascii="Times New Roman" w:hAnsi="Times New Roman"/>
          <w:sz w:val="24"/>
          <w:szCs w:val="24"/>
        </w:rPr>
        <w:t xml:space="preserve">See:  </w:t>
      </w:r>
      <w:r w:rsidRPr="008B3CA3">
        <w:rPr>
          <w:rFonts w:ascii="Times New Roman" w:hAnsi="Times New Roman"/>
          <w:sz w:val="24"/>
          <w:szCs w:val="24"/>
        </w:rPr>
        <w:t>Ohio Ethics Commission Opinion 91-002 (Aug. 21, 1991)</w:t>
      </w:r>
    </w:p>
    <w:p w14:paraId="2F09AF04" w14:textId="77777777" w:rsidR="007F3C7D" w:rsidRPr="008B3CA3" w:rsidRDefault="007F3C7D" w:rsidP="007F3C7D">
      <w:pPr>
        <w:ind w:left="720"/>
        <w:rPr>
          <w:rFonts w:ascii="Times New Roman" w:hAnsi="Times New Roman"/>
          <w:b/>
          <w:bCs/>
          <w:sz w:val="24"/>
          <w:szCs w:val="24"/>
        </w:rPr>
      </w:pPr>
      <w:r>
        <w:rPr>
          <w:rFonts w:ascii="Times New Roman" w:hAnsi="Times New Roman"/>
          <w:sz w:val="24"/>
          <w:szCs w:val="24"/>
        </w:rPr>
        <w:t>“[T]</w:t>
      </w:r>
      <w:r w:rsidRPr="008B3CA3">
        <w:rPr>
          <w:rFonts w:ascii="Times New Roman" w:hAnsi="Times New Roman"/>
          <w:sz w:val="24"/>
          <w:szCs w:val="24"/>
        </w:rPr>
        <w:t>he Revised Code do not prohibit a city council member from serving as an unpaid volunteer paramedic with the fire department of the city, provided he receives no definite and direct personal pecuniary benefit from such service; and, (3) Division (D) of Section 102.03 of the Revised Code prohibits a city council member who serves as an unpaid volunteer paramedic with the fire department of the city from voting, deliberating, participating in discussions, or otherwise using the authority or influence of his office, either formally or informally, with regard to matters affecting the fire department and its personnel.</w:t>
      </w:r>
      <w:r>
        <w:rPr>
          <w:rFonts w:ascii="Times New Roman" w:hAnsi="Times New Roman"/>
          <w:sz w:val="24"/>
          <w:szCs w:val="24"/>
        </w:rPr>
        <w:t xml:space="preserve">” </w:t>
      </w:r>
      <w:hyperlink r:id="rId1238" w:history="1">
        <w:r w:rsidRPr="00563FF7">
          <w:rPr>
            <w:rStyle w:val="Hyperlink"/>
            <w:rFonts w:ascii="Times New Roman" w:hAnsi="Times New Roman"/>
            <w:sz w:val="24"/>
            <w:szCs w:val="24"/>
          </w:rPr>
          <w:t>https://www.ethics.ohio.gov/advice/opinions/91-002.pdf</w:t>
        </w:r>
      </w:hyperlink>
      <w:r>
        <w:rPr>
          <w:rFonts w:ascii="Times New Roman" w:hAnsi="Times New Roman"/>
          <w:sz w:val="24"/>
          <w:szCs w:val="24"/>
        </w:rPr>
        <w:t xml:space="preserve"> </w:t>
      </w:r>
    </w:p>
    <w:p w14:paraId="24E9A620" w14:textId="3296DFFC" w:rsidR="007F3C7D" w:rsidRDefault="007F3C7D" w:rsidP="00EF1133">
      <w:pPr>
        <w:rPr>
          <w:rFonts w:ascii="Arial Black" w:hAnsi="Arial Black"/>
          <w:b/>
          <w:sz w:val="24"/>
          <w:szCs w:val="24"/>
        </w:rPr>
      </w:pPr>
    </w:p>
    <w:p w14:paraId="611B8F86" w14:textId="77777777" w:rsidR="007F3C7D" w:rsidRDefault="007F3C7D" w:rsidP="00EF1133">
      <w:pPr>
        <w:rPr>
          <w:rFonts w:ascii="Arial Black" w:hAnsi="Arial Black"/>
          <w:b/>
          <w:sz w:val="24"/>
          <w:szCs w:val="24"/>
        </w:rPr>
      </w:pPr>
    </w:p>
    <w:p w14:paraId="2E7813D9" w14:textId="4AC5F615" w:rsidR="007F3C7D" w:rsidRDefault="007F3C7D" w:rsidP="00EF1133">
      <w:pPr>
        <w:rPr>
          <w:rFonts w:ascii="Arial Black" w:hAnsi="Arial Black"/>
          <w:b/>
          <w:sz w:val="24"/>
          <w:szCs w:val="24"/>
        </w:rPr>
      </w:pPr>
      <w:r>
        <w:rPr>
          <w:rFonts w:ascii="Arial Black" w:hAnsi="Arial Black"/>
          <w:b/>
          <w:sz w:val="24"/>
          <w:szCs w:val="24"/>
        </w:rPr>
        <w:t>6-6</w:t>
      </w:r>
      <w:r w:rsidR="008F02C3">
        <w:rPr>
          <w:rFonts w:ascii="Arial Black" w:hAnsi="Arial Black"/>
          <w:b/>
          <w:sz w:val="24"/>
          <w:szCs w:val="24"/>
        </w:rPr>
        <w:t>2</w:t>
      </w:r>
    </w:p>
    <w:p w14:paraId="137733F0" w14:textId="77777777" w:rsidR="007F3C7D" w:rsidRPr="00507F4B" w:rsidRDefault="007F3C7D" w:rsidP="007F3C7D">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PA: PROSTATE CANCER – FF DENIED WORKERS COMP – CANCER IS MORE FROM AGE - NOT GROUP I CARCINOGENS</w:t>
      </w:r>
    </w:p>
    <w:p w14:paraId="5F10369B" w14:textId="77777777" w:rsidR="007F3C7D" w:rsidRDefault="007F3C7D" w:rsidP="007F3C7D">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Jan. 6, 2021, in </w:t>
      </w:r>
      <w:r w:rsidRPr="003A1FC5">
        <w:rPr>
          <w:rFonts w:ascii="Times New Roman" w:eastAsia="Times New Roman" w:hAnsi="Times New Roman"/>
          <w:sz w:val="24"/>
          <w:szCs w:val="24"/>
          <w:u w:val="single"/>
        </w:rPr>
        <w:t>Michael Malone v. Workers’ Compensation Appeal Board (City of Philadelphia)</w:t>
      </w:r>
      <w:r>
        <w:rPr>
          <w:rFonts w:ascii="Times New Roman" w:eastAsia="Times New Roman" w:hAnsi="Times New Roman"/>
          <w:sz w:val="24"/>
          <w:szCs w:val="24"/>
        </w:rPr>
        <w:t xml:space="preserve">, the Commonwealth Court of Pennsylvania held (3 to 0; unreported decision) that the finding by the Workers Compensation Judge that the firefighters’ expert witness failed to show that </w:t>
      </w:r>
      <w:r w:rsidRPr="00D5248C">
        <w:rPr>
          <w:rFonts w:ascii="Times New Roman" w:eastAsia="Times New Roman" w:hAnsi="Times New Roman"/>
          <w:sz w:val="24"/>
          <w:szCs w:val="24"/>
        </w:rPr>
        <w:t>prostate cancer is caused by Group 1 carcinogens.</w:t>
      </w:r>
      <w:r>
        <w:rPr>
          <w:rFonts w:ascii="Times New Roman" w:eastAsia="Times New Roman" w:hAnsi="Times New Roman"/>
          <w:sz w:val="24"/>
          <w:szCs w:val="24"/>
        </w:rPr>
        <w:t xml:space="preserve"> In 2011, the State enacted a statutory presumption for firefighter cancer, but firefighters must still introduce evidence that the firefighter’s particular cancer [prostate cancer] is caused by the job.  </w:t>
      </w:r>
    </w:p>
    <w:p w14:paraId="3C335A22" w14:textId="77777777" w:rsidR="007F3C7D" w:rsidRDefault="007F3C7D" w:rsidP="007F3C7D">
      <w:pPr>
        <w:spacing w:before="100" w:beforeAutospacing="1" w:after="100" w:afterAutospacing="1" w:line="240" w:lineRule="auto"/>
        <w:ind w:left="720"/>
        <w:rPr>
          <w:rFonts w:ascii="Times New Roman" w:hAnsi="Times New Roman"/>
          <w:sz w:val="24"/>
          <w:szCs w:val="24"/>
        </w:rPr>
      </w:pPr>
      <w:r w:rsidRPr="008E2249">
        <w:rPr>
          <w:rFonts w:ascii="Times New Roman" w:eastAsia="Times New Roman" w:hAnsi="Times New Roman"/>
          <w:sz w:val="24"/>
          <w:szCs w:val="24"/>
        </w:rPr>
        <w:t>“</w:t>
      </w:r>
      <w:r w:rsidRPr="008E2249">
        <w:rPr>
          <w:rFonts w:ascii="Times New Roman" w:hAnsi="Times New Roman"/>
          <w:sz w:val="24"/>
          <w:szCs w:val="24"/>
        </w:rPr>
        <w:t xml:space="preserve">In the March 2, </w:t>
      </w:r>
      <w:proofErr w:type="gramStart"/>
      <w:r w:rsidRPr="008E2249">
        <w:rPr>
          <w:rFonts w:ascii="Times New Roman" w:hAnsi="Times New Roman"/>
          <w:sz w:val="24"/>
          <w:szCs w:val="24"/>
        </w:rPr>
        <w:t>2018</w:t>
      </w:r>
      <w:proofErr w:type="gramEnd"/>
      <w:r w:rsidRPr="008E2249">
        <w:rPr>
          <w:rFonts w:ascii="Times New Roman" w:hAnsi="Times New Roman"/>
          <w:sz w:val="24"/>
          <w:szCs w:val="24"/>
        </w:rPr>
        <w:t xml:space="preserve"> Decision, the WCJ found that Claimant did not establish that his prostate cancer was caused by his work as a firefighter and denied the Claim Petition. In doing so, the WCJ found Claimant's testimony wholly credible, noting that Employer did not dispute Claimant's description of his firefighting duties and experiences, presumably including the exposure to smoke and diesel exhaust of which Claimant testified. (Mar. 2, </w:t>
      </w:r>
      <w:proofErr w:type="gramStart"/>
      <w:r w:rsidRPr="008E2249">
        <w:rPr>
          <w:rFonts w:ascii="Times New Roman" w:hAnsi="Times New Roman"/>
          <w:sz w:val="24"/>
          <w:szCs w:val="24"/>
        </w:rPr>
        <w:t>2018</w:t>
      </w:r>
      <w:proofErr w:type="gramEnd"/>
      <w:r w:rsidRPr="008E2249">
        <w:rPr>
          <w:rFonts w:ascii="Times New Roman" w:hAnsi="Times New Roman"/>
          <w:sz w:val="24"/>
          <w:szCs w:val="24"/>
        </w:rPr>
        <w:t xml:space="preserve"> WCJ Decision, FOF ¶ 8.) Concerning the medical testimony, the WCJ found that Claimant's evidence did not establish that any IARC Group 1 carcinogens are known to cause prostate cancer.</w:t>
      </w:r>
    </w:p>
    <w:p w14:paraId="1915B14E" w14:textId="77777777" w:rsidR="007F3C7D" w:rsidRPr="008E2249" w:rsidRDefault="007F3C7D" w:rsidP="007F3C7D">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p>
    <w:p w14:paraId="703FC6D7" w14:textId="77777777" w:rsidR="007F3C7D" w:rsidRPr="003A1FC5" w:rsidRDefault="007F3C7D" w:rsidP="007F3C7D">
      <w:pPr>
        <w:spacing w:before="100" w:beforeAutospacing="1" w:after="100" w:afterAutospacing="1" w:line="240" w:lineRule="auto"/>
        <w:ind w:left="720"/>
        <w:rPr>
          <w:rFonts w:ascii="Times New Roman" w:hAnsi="Times New Roman"/>
          <w:sz w:val="24"/>
          <w:szCs w:val="24"/>
        </w:rPr>
      </w:pPr>
      <w:r w:rsidRPr="003A1FC5">
        <w:rPr>
          <w:rFonts w:ascii="Times New Roman" w:hAnsi="Times New Roman"/>
          <w:sz w:val="24"/>
          <w:szCs w:val="24"/>
        </w:rPr>
        <w:t xml:space="preserve">As we have discussed, </w:t>
      </w:r>
      <w:proofErr w:type="gramStart"/>
      <w:r w:rsidRPr="003A1FC5">
        <w:rPr>
          <w:rFonts w:ascii="Times New Roman" w:hAnsi="Times New Roman"/>
          <w:sz w:val="24"/>
          <w:szCs w:val="24"/>
        </w:rPr>
        <w:t>the WCJ's</w:t>
      </w:r>
      <w:proofErr w:type="gramEnd"/>
      <w:r w:rsidRPr="003A1FC5">
        <w:rPr>
          <w:rFonts w:ascii="Times New Roman" w:hAnsi="Times New Roman"/>
          <w:sz w:val="24"/>
          <w:szCs w:val="24"/>
        </w:rPr>
        <w:t xml:space="preserve"> decision not to credit Dr. Singer's testimony was an exercise of discretion accompanied by a reasoned explanation, and it must, therefore, stand. We conclude that Claimant has not met his initial burden of demonstrating general causation under Section 108(r) of the Act, and he has not established that his cancer is an occupational disease under that </w:t>
      </w:r>
      <w:proofErr w:type="gramStart"/>
      <w:r w:rsidRPr="003A1FC5">
        <w:rPr>
          <w:rFonts w:ascii="Times New Roman" w:hAnsi="Times New Roman"/>
          <w:sz w:val="24"/>
          <w:szCs w:val="24"/>
        </w:rPr>
        <w:t>section.</w:t>
      </w:r>
      <w:r>
        <w:rPr>
          <w:rFonts w:ascii="Times New Roman" w:hAnsi="Times New Roman"/>
          <w:sz w:val="24"/>
          <w:szCs w:val="24"/>
        </w:rPr>
        <w:t>”</w:t>
      </w:r>
      <w:proofErr w:type="gramEnd"/>
      <w:r>
        <w:rPr>
          <w:rFonts w:ascii="Times New Roman" w:hAnsi="Times New Roman"/>
          <w:sz w:val="24"/>
          <w:szCs w:val="24"/>
        </w:rPr>
        <w:t xml:space="preserve"> </w:t>
      </w:r>
      <w:hyperlink r:id="rId1239" w:history="1">
        <w:r w:rsidRPr="00FA40FF">
          <w:rPr>
            <w:rStyle w:val="Hyperlink"/>
            <w:rFonts w:ascii="Times New Roman" w:hAnsi="Times New Roman"/>
            <w:sz w:val="24"/>
            <w:szCs w:val="24"/>
          </w:rPr>
          <w:t>https://casetext.com/case/malone-v-workers-comp-appeal-bd</w:t>
        </w:r>
      </w:hyperlink>
      <w:r>
        <w:rPr>
          <w:rFonts w:ascii="Times New Roman" w:hAnsi="Times New Roman"/>
          <w:sz w:val="24"/>
          <w:szCs w:val="24"/>
        </w:rPr>
        <w:t xml:space="preserve"> </w:t>
      </w:r>
    </w:p>
    <w:p w14:paraId="69BAD818" w14:textId="77777777" w:rsidR="007F3C7D" w:rsidRDefault="007F3C7D" w:rsidP="007F3C7D">
      <w:pPr>
        <w:rPr>
          <w:rFonts w:ascii="Times New Roman" w:hAnsi="Times New Roman"/>
          <w:b/>
          <w:bCs/>
          <w:sz w:val="24"/>
          <w:szCs w:val="24"/>
        </w:rPr>
      </w:pPr>
      <w:r w:rsidRPr="008E2249">
        <w:rPr>
          <w:rFonts w:ascii="Times New Roman" w:hAnsi="Times New Roman"/>
          <w:b/>
          <w:bCs/>
          <w:sz w:val="24"/>
          <w:szCs w:val="24"/>
        </w:rPr>
        <w:t>Legal Lesson Learned:</w:t>
      </w:r>
      <w:r>
        <w:rPr>
          <w:rFonts w:ascii="Times New Roman" w:hAnsi="Times New Roman"/>
          <w:b/>
          <w:bCs/>
          <w:sz w:val="24"/>
          <w:szCs w:val="24"/>
        </w:rPr>
        <w:t xml:space="preserve"> Even though PA has a statutory presumption, the firefighter must still present expert testimony connecting his </w:t>
      </w:r>
      <w:proofErr w:type="gramStart"/>
      <w:r>
        <w:rPr>
          <w:rFonts w:ascii="Times New Roman" w:hAnsi="Times New Roman"/>
          <w:b/>
          <w:bCs/>
          <w:sz w:val="24"/>
          <w:szCs w:val="24"/>
        </w:rPr>
        <w:t>particular cancer</w:t>
      </w:r>
      <w:proofErr w:type="gramEnd"/>
      <w:r>
        <w:rPr>
          <w:rFonts w:ascii="Times New Roman" w:hAnsi="Times New Roman"/>
          <w:b/>
          <w:bCs/>
          <w:sz w:val="24"/>
          <w:szCs w:val="24"/>
        </w:rPr>
        <w:t xml:space="preserve"> with occupational exposures.  </w:t>
      </w:r>
    </w:p>
    <w:p w14:paraId="4000FA71" w14:textId="77777777" w:rsidR="007F3C7D" w:rsidRPr="008E2249" w:rsidRDefault="007F3C7D" w:rsidP="007F3C7D">
      <w:pPr>
        <w:ind w:left="720"/>
        <w:rPr>
          <w:rFonts w:ascii="Times New Roman" w:hAnsi="Times New Roman"/>
          <w:sz w:val="24"/>
          <w:szCs w:val="24"/>
        </w:rPr>
      </w:pPr>
      <w:r w:rsidRPr="005344DB">
        <w:rPr>
          <w:rFonts w:ascii="Times New Roman" w:hAnsi="Times New Roman"/>
          <w:sz w:val="24"/>
          <w:szCs w:val="24"/>
        </w:rPr>
        <w:lastRenderedPageBreak/>
        <w:t>Note:</w:t>
      </w:r>
      <w:r>
        <w:rPr>
          <w:rFonts w:ascii="Times New Roman" w:hAnsi="Times New Roman"/>
          <w:b/>
          <w:bCs/>
          <w:sz w:val="24"/>
          <w:szCs w:val="24"/>
        </w:rPr>
        <w:t xml:space="preserve"> </w:t>
      </w:r>
      <w:r w:rsidRPr="008E2249">
        <w:rPr>
          <w:rFonts w:ascii="Times New Roman" w:hAnsi="Times New Roman"/>
          <w:sz w:val="24"/>
          <w:szCs w:val="24"/>
        </w:rPr>
        <w:t>PA Supreme Court explained in another case involving malignant melanoma</w:t>
      </w:r>
      <w:r>
        <w:rPr>
          <w:rFonts w:ascii="Times New Roman" w:hAnsi="Times New Roman"/>
          <w:sz w:val="24"/>
          <w:szCs w:val="24"/>
        </w:rPr>
        <w:t xml:space="preserve"> where workers comp was granted. </w:t>
      </w:r>
      <w:r w:rsidRPr="008E2249">
        <w:rPr>
          <w:rFonts w:ascii="Times New Roman" w:hAnsi="Times New Roman"/>
          <w:sz w:val="24"/>
          <w:szCs w:val="24"/>
        </w:rPr>
        <w:t xml:space="preserve">"In other words, the claimant must produce evidence that it is </w:t>
      </w:r>
      <w:r w:rsidRPr="008E2249">
        <w:rPr>
          <w:rFonts w:ascii="Times New Roman" w:hAnsi="Times New Roman"/>
          <w:b/>
          <w:bCs/>
          <w:sz w:val="24"/>
          <w:szCs w:val="24"/>
        </w:rPr>
        <w:t>possible</w:t>
      </w:r>
      <w:r w:rsidRPr="008E2249">
        <w:rPr>
          <w:rFonts w:ascii="Times New Roman" w:hAnsi="Times New Roman"/>
          <w:sz w:val="24"/>
          <w:szCs w:val="24"/>
        </w:rPr>
        <w:t xml:space="preserve"> that the carcinogen in question caused the type of cancer with which the claimant is afflicted."</w:t>
      </w:r>
      <w:r>
        <w:rPr>
          <w:rFonts w:ascii="Times New Roman" w:hAnsi="Times New Roman"/>
          <w:sz w:val="24"/>
          <w:szCs w:val="24"/>
        </w:rPr>
        <w:t xml:space="preserve"> </w:t>
      </w:r>
      <w:r w:rsidRPr="008E2249">
        <w:rPr>
          <w:rFonts w:ascii="Times New Roman" w:hAnsi="Times New Roman"/>
          <w:sz w:val="24"/>
          <w:szCs w:val="24"/>
        </w:rPr>
        <w:t xml:space="preserve">See City of Phila. Fire </w:t>
      </w:r>
      <w:proofErr w:type="spellStart"/>
      <w:r w:rsidRPr="008E2249">
        <w:rPr>
          <w:rFonts w:ascii="Times New Roman" w:hAnsi="Times New Roman"/>
          <w:sz w:val="24"/>
          <w:szCs w:val="24"/>
        </w:rPr>
        <w:t>Dep't</w:t>
      </w:r>
      <w:proofErr w:type="spellEnd"/>
      <w:r w:rsidRPr="008E2249">
        <w:rPr>
          <w:rFonts w:ascii="Times New Roman" w:hAnsi="Times New Roman"/>
          <w:sz w:val="24"/>
          <w:szCs w:val="24"/>
        </w:rPr>
        <w:t xml:space="preserve"> v. Workers' Comp. Appeal Bd. (Sladek), 195 A.3d 197 (Pa. 2018) (Sladek II).</w:t>
      </w:r>
    </w:p>
    <w:p w14:paraId="0094A635" w14:textId="77777777" w:rsidR="007F3C7D" w:rsidRDefault="007F3C7D" w:rsidP="007F3C7D">
      <w:pPr>
        <w:ind w:left="720"/>
        <w:rPr>
          <w:rFonts w:ascii="Times New Roman" w:hAnsi="Times New Roman"/>
          <w:sz w:val="24"/>
          <w:szCs w:val="24"/>
        </w:rPr>
      </w:pPr>
      <w:r>
        <w:rPr>
          <w:rFonts w:ascii="Times New Roman" w:hAnsi="Times New Roman"/>
          <w:sz w:val="24"/>
          <w:szCs w:val="24"/>
        </w:rPr>
        <w:t>See PA Statutory Presumption:</w:t>
      </w:r>
    </w:p>
    <w:p w14:paraId="61B8FAF8" w14:textId="77777777" w:rsidR="007F3C7D" w:rsidRPr="00507F4B" w:rsidRDefault="007F3C7D" w:rsidP="007F3C7D">
      <w:pPr>
        <w:ind w:left="1440" w:firstLine="60"/>
        <w:rPr>
          <w:rFonts w:ascii="Times New Roman" w:eastAsia="Times New Roman" w:hAnsi="Times New Roman"/>
          <w:sz w:val="24"/>
          <w:szCs w:val="24"/>
        </w:rPr>
      </w:pPr>
      <w:r w:rsidRPr="00507F4B">
        <w:rPr>
          <w:rFonts w:ascii="Times New Roman" w:eastAsia="Times New Roman" w:hAnsi="Times New Roman"/>
          <w:sz w:val="24"/>
          <w:szCs w:val="24"/>
        </w:rPr>
        <w:t>Section 301(f) was added to the Act by Section 2 of the Act of July 7, 2011, P.L. 251, and provides, in pertinent part, as follows:</w:t>
      </w:r>
    </w:p>
    <w:p w14:paraId="1080F362" w14:textId="77777777" w:rsidR="007F3C7D" w:rsidRPr="00507F4B" w:rsidRDefault="007F3C7D" w:rsidP="007F3C7D">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507F4B">
        <w:rPr>
          <w:rFonts w:ascii="Times New Roman" w:eastAsia="Times New Roman" w:hAnsi="Times New Roman"/>
          <w:sz w:val="24"/>
          <w:szCs w:val="24"/>
        </w:rPr>
        <w:t>Compensation pursuant to cancer suffered by a firefighter shall only be to those firefighters who have served four or more years in continuous firefighting duties, who can establish direct exposure to a carcinogen referred to in section 108(r) relating to cancer by a firefighter and have successfully passed a physical examination prior to asserting a claim under this subsection or prior to engaging in firefighting duties and the examination failed to reveal any evidence of the condition of cancer. The presumption of this subsection may be rebutted by substantial competent evidence that shows that the firefighter's cancer was not caused by the occupation of firefighting. . . .</w:t>
      </w:r>
      <w:r>
        <w:rPr>
          <w:rFonts w:ascii="Times New Roman" w:eastAsia="Times New Roman" w:hAnsi="Times New Roman"/>
          <w:sz w:val="24"/>
          <w:szCs w:val="24"/>
        </w:rPr>
        <w:t xml:space="preserve"> </w:t>
      </w:r>
      <w:r w:rsidRPr="00507F4B">
        <w:rPr>
          <w:rFonts w:ascii="Times New Roman" w:eastAsia="Times New Roman" w:hAnsi="Times New Roman"/>
          <w:sz w:val="24"/>
          <w:szCs w:val="24"/>
        </w:rPr>
        <w:t>The presumption provided for under this subsection shall only apply to claims made within the first three hundred weeks [after the last date of employment in an occupation or industry to which a claimant was exposed to the hazards of disease].</w:t>
      </w:r>
      <w:r>
        <w:rPr>
          <w:rFonts w:ascii="Times New Roman" w:eastAsia="Times New Roman" w:hAnsi="Times New Roman"/>
          <w:sz w:val="24"/>
          <w:szCs w:val="24"/>
        </w:rPr>
        <w:t>”</w:t>
      </w:r>
    </w:p>
    <w:p w14:paraId="04E3D4AC" w14:textId="77777777" w:rsidR="007F3C7D" w:rsidRDefault="007F3C7D" w:rsidP="00EF1133">
      <w:pPr>
        <w:rPr>
          <w:rFonts w:ascii="Arial Black" w:hAnsi="Arial Black"/>
          <w:b/>
          <w:sz w:val="24"/>
          <w:szCs w:val="24"/>
        </w:rPr>
      </w:pPr>
    </w:p>
    <w:p w14:paraId="40B27EAF" w14:textId="31BFCF26" w:rsidR="007F3C7D" w:rsidRDefault="007F3C7D" w:rsidP="00EF1133">
      <w:pPr>
        <w:rPr>
          <w:rFonts w:ascii="Arial Black" w:hAnsi="Arial Black"/>
          <w:b/>
          <w:sz w:val="24"/>
          <w:szCs w:val="24"/>
        </w:rPr>
      </w:pPr>
      <w:r>
        <w:rPr>
          <w:rFonts w:ascii="Arial Black" w:hAnsi="Arial Black"/>
          <w:b/>
          <w:sz w:val="24"/>
          <w:szCs w:val="24"/>
        </w:rPr>
        <w:t>6-6</w:t>
      </w:r>
      <w:r w:rsidR="008F02C3">
        <w:rPr>
          <w:rFonts w:ascii="Arial Black" w:hAnsi="Arial Black"/>
          <w:b/>
          <w:sz w:val="24"/>
          <w:szCs w:val="24"/>
        </w:rPr>
        <w:t>1</w:t>
      </w:r>
    </w:p>
    <w:p w14:paraId="676DF236" w14:textId="77777777" w:rsidR="007F3C7D" w:rsidRPr="00A8166B" w:rsidRDefault="007F3C7D" w:rsidP="007F3C7D">
      <w:pPr>
        <w:spacing w:before="100" w:beforeAutospacing="1" w:after="100" w:afterAutospacing="1" w:line="240" w:lineRule="auto"/>
        <w:rPr>
          <w:rFonts w:ascii="Arial Black" w:hAnsi="Arial Black"/>
          <w:sz w:val="28"/>
          <w:szCs w:val="28"/>
        </w:rPr>
      </w:pPr>
      <w:r>
        <w:rPr>
          <w:rFonts w:ascii="Arial Black" w:hAnsi="Arial Black"/>
          <w:sz w:val="28"/>
          <w:szCs w:val="28"/>
        </w:rPr>
        <w:t>NY: APPLICANT TO FDNY – 5 POINTS “RESIDENCY CREDITS” – AMENDED TAX RETURN INSUFFICIENT PROOF RESIDENCY</w:t>
      </w:r>
    </w:p>
    <w:p w14:paraId="3F269E95" w14:textId="5AEB727F" w:rsidR="007F3C7D" w:rsidRDefault="007F3C7D" w:rsidP="007F3C7D">
      <w:pPr>
        <w:spacing w:before="100" w:beforeAutospacing="1" w:after="100" w:afterAutospacing="1" w:line="240" w:lineRule="auto"/>
        <w:rPr>
          <w:rFonts w:ascii="Times New Roman" w:hAnsi="Times New Roman"/>
          <w:sz w:val="24"/>
          <w:szCs w:val="24"/>
        </w:rPr>
      </w:pPr>
      <w:r w:rsidRPr="00A8166B">
        <w:rPr>
          <w:rFonts w:ascii="Times New Roman" w:hAnsi="Times New Roman"/>
          <w:sz w:val="24"/>
          <w:szCs w:val="24"/>
        </w:rPr>
        <w:t xml:space="preserve">On </w:t>
      </w:r>
      <w:r>
        <w:rPr>
          <w:rFonts w:ascii="Times New Roman" w:hAnsi="Times New Roman"/>
          <w:sz w:val="24"/>
          <w:szCs w:val="24"/>
        </w:rPr>
        <w:t xml:space="preserve">Dec. 28, 2020, </w:t>
      </w:r>
      <w:r w:rsidRPr="00A8166B">
        <w:rPr>
          <w:rFonts w:ascii="Times New Roman" w:hAnsi="Times New Roman"/>
          <w:sz w:val="24"/>
          <w:szCs w:val="24"/>
        </w:rPr>
        <w:t xml:space="preserve">in </w:t>
      </w:r>
      <w:r w:rsidRPr="00A8166B">
        <w:rPr>
          <w:rFonts w:ascii="Times New Roman" w:hAnsi="Times New Roman"/>
          <w:sz w:val="24"/>
          <w:szCs w:val="24"/>
          <w:u w:val="single"/>
        </w:rPr>
        <w:t>John P. Atwell v. New Your City Fire Department, et al</w:t>
      </w:r>
      <w:r>
        <w:rPr>
          <w:rFonts w:ascii="Times New Roman" w:hAnsi="Times New Roman"/>
          <w:sz w:val="24"/>
          <w:szCs w:val="24"/>
        </w:rPr>
        <w:t xml:space="preserve">., Justice Carol E. Edmead, Supreme Court of the State of New York (New York County), </w:t>
      </w:r>
      <w:r w:rsidRPr="001B0200">
        <w:rPr>
          <w:rFonts w:ascii="Times New Roman" w:hAnsi="Times New Roman"/>
          <w:sz w:val="24"/>
          <w:szCs w:val="24"/>
        </w:rPr>
        <w:t>2020 NY Slip Op 34353(U)</w:t>
      </w:r>
      <w:r>
        <w:rPr>
          <w:rFonts w:ascii="Times New Roman" w:hAnsi="Times New Roman"/>
          <w:sz w:val="24"/>
          <w:szCs w:val="24"/>
        </w:rPr>
        <w:t xml:space="preserve">, dismissed the applicant’s petition to overturn the decision of the FD’s Candidate Investigation Division (CID); the Notice Of Examination Notice advised applicants that amended tax returns are not sufficient proof of residency in the city.  His score on the </w:t>
      </w:r>
      <w:proofErr w:type="gramStart"/>
      <w:r>
        <w:rPr>
          <w:rFonts w:ascii="Times New Roman" w:hAnsi="Times New Roman"/>
          <w:sz w:val="24"/>
          <w:szCs w:val="24"/>
        </w:rPr>
        <w:t>Computer</w:t>
      </w:r>
      <w:proofErr w:type="gramEnd"/>
      <w:r>
        <w:rPr>
          <w:rFonts w:ascii="Times New Roman" w:hAnsi="Times New Roman"/>
          <w:sz w:val="24"/>
          <w:szCs w:val="24"/>
        </w:rPr>
        <w:t xml:space="preserve">-Based Test of 99, without the 5 extra residency points, moved him on the hiring list from 552 to 5594.  </w:t>
      </w:r>
    </w:p>
    <w:p w14:paraId="479E9611" w14:textId="77777777" w:rsidR="007F3C7D" w:rsidRPr="001B0200" w:rsidRDefault="007F3C7D" w:rsidP="007F3C7D">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w:t>
      </w:r>
      <w:r w:rsidRPr="001B0200">
        <w:rPr>
          <w:rFonts w:ascii="Times New Roman" w:hAnsi="Times New Roman"/>
          <w:sz w:val="24"/>
          <w:szCs w:val="24"/>
        </w:rPr>
        <w:t xml:space="preserve">Here, there was plainly a </w:t>
      </w:r>
      <w:r>
        <w:rPr>
          <w:rFonts w:ascii="Times New Roman" w:hAnsi="Times New Roman"/>
          <w:sz w:val="24"/>
          <w:szCs w:val="24"/>
        </w:rPr>
        <w:t>‘</w:t>
      </w:r>
      <w:r w:rsidRPr="001B0200">
        <w:rPr>
          <w:rFonts w:ascii="Times New Roman" w:hAnsi="Times New Roman"/>
          <w:sz w:val="24"/>
          <w:szCs w:val="24"/>
        </w:rPr>
        <w:t xml:space="preserve">rational </w:t>
      </w:r>
      <w:proofErr w:type="spellStart"/>
      <w:r w:rsidRPr="001B0200">
        <w:rPr>
          <w:rFonts w:ascii="Times New Roman" w:hAnsi="Times New Roman"/>
          <w:sz w:val="24"/>
          <w:szCs w:val="24"/>
        </w:rPr>
        <w:t>basis</w:t>
      </w:r>
      <w:r>
        <w:rPr>
          <w:rFonts w:ascii="Times New Roman" w:hAnsi="Times New Roman"/>
          <w:sz w:val="24"/>
          <w:szCs w:val="24"/>
        </w:rPr>
        <w:t>’</w:t>
      </w:r>
      <w:proofErr w:type="spellEnd"/>
      <w:r>
        <w:rPr>
          <w:rFonts w:ascii="Times New Roman" w:hAnsi="Times New Roman"/>
          <w:sz w:val="24"/>
          <w:szCs w:val="24"/>
        </w:rPr>
        <w:t xml:space="preserve"> </w:t>
      </w:r>
      <w:r w:rsidRPr="001B0200">
        <w:rPr>
          <w:rFonts w:ascii="Times New Roman" w:hAnsi="Times New Roman"/>
          <w:sz w:val="24"/>
          <w:szCs w:val="24"/>
        </w:rPr>
        <w:t xml:space="preserve">for the CID's decision to deny Atwell's application for a residency credit, since the evidence in the administrative record regarding Atwell's alleged NYC residency only included his amended tax return. As noted earlier, the rules set forth in the NOA </w:t>
      </w:r>
      <w:r>
        <w:rPr>
          <w:rFonts w:ascii="Times New Roman" w:hAnsi="Times New Roman"/>
          <w:sz w:val="24"/>
          <w:szCs w:val="24"/>
        </w:rPr>
        <w:t xml:space="preserve">[Notice </w:t>
      </w:r>
      <w:proofErr w:type="gramStart"/>
      <w:r>
        <w:rPr>
          <w:rFonts w:ascii="Times New Roman" w:hAnsi="Times New Roman"/>
          <w:sz w:val="24"/>
          <w:szCs w:val="24"/>
        </w:rPr>
        <w:t>Of</w:t>
      </w:r>
      <w:proofErr w:type="gramEnd"/>
      <w:r>
        <w:rPr>
          <w:rFonts w:ascii="Times New Roman" w:hAnsi="Times New Roman"/>
          <w:sz w:val="24"/>
          <w:szCs w:val="24"/>
        </w:rPr>
        <w:t xml:space="preserve"> Examination] </w:t>
      </w:r>
      <w:r w:rsidRPr="001B0200">
        <w:rPr>
          <w:rFonts w:ascii="Times New Roman" w:hAnsi="Times New Roman"/>
          <w:sz w:val="24"/>
          <w:szCs w:val="24"/>
        </w:rPr>
        <w:t xml:space="preserve">plainly provided that the FDNY would not consider amended tax returns as proof of residency. </w:t>
      </w:r>
      <w:r w:rsidRPr="001B0200">
        <w:rPr>
          <w:rFonts w:ascii="Times New Roman" w:hAnsi="Times New Roman"/>
          <w:i/>
          <w:iCs/>
          <w:sz w:val="24"/>
          <w:szCs w:val="24"/>
        </w:rPr>
        <w:t>See</w:t>
      </w:r>
      <w:r w:rsidRPr="001B0200">
        <w:rPr>
          <w:rFonts w:ascii="Times New Roman" w:hAnsi="Times New Roman"/>
          <w:sz w:val="24"/>
          <w:szCs w:val="24"/>
        </w:rPr>
        <w:t xml:space="preserve"> verified answer, exhibit 1. Therefore, the court concludes that the CID's decision to deny Atwell's application for </w:t>
      </w:r>
      <w:proofErr w:type="gramStart"/>
      <w:r w:rsidRPr="001B0200">
        <w:rPr>
          <w:rFonts w:ascii="Times New Roman" w:hAnsi="Times New Roman"/>
          <w:sz w:val="24"/>
          <w:szCs w:val="24"/>
        </w:rPr>
        <w:t>a residency</w:t>
      </w:r>
      <w:proofErr w:type="gramEnd"/>
      <w:r w:rsidRPr="001B0200">
        <w:rPr>
          <w:rFonts w:ascii="Times New Roman" w:hAnsi="Times New Roman"/>
          <w:sz w:val="24"/>
          <w:szCs w:val="24"/>
        </w:rPr>
        <w:t xml:space="preserve"> credit on his FDNY examination was not arbitrary and capricious. For </w:t>
      </w:r>
      <w:proofErr w:type="gramStart"/>
      <w:r w:rsidRPr="001B0200">
        <w:rPr>
          <w:rFonts w:ascii="Times New Roman" w:hAnsi="Times New Roman"/>
          <w:sz w:val="24"/>
          <w:szCs w:val="24"/>
        </w:rPr>
        <w:t>all of</w:t>
      </w:r>
      <w:proofErr w:type="gramEnd"/>
      <w:r w:rsidRPr="001B0200">
        <w:rPr>
          <w:rFonts w:ascii="Times New Roman" w:hAnsi="Times New Roman"/>
          <w:sz w:val="24"/>
          <w:szCs w:val="24"/>
        </w:rPr>
        <w:t xml:space="preserve"> the foregoing reasons, the court denies so much of Atwell's Article 78 petition as pertained to the FDNY's denial decision.</w:t>
      </w:r>
      <w:r>
        <w:rPr>
          <w:rFonts w:ascii="Times New Roman" w:hAnsi="Times New Roman"/>
          <w:sz w:val="24"/>
          <w:szCs w:val="24"/>
        </w:rPr>
        <w:t xml:space="preserve">” </w:t>
      </w:r>
      <w:hyperlink r:id="rId1240" w:history="1">
        <w:r w:rsidRPr="002F4AC3">
          <w:rPr>
            <w:rStyle w:val="Hyperlink"/>
            <w:rFonts w:ascii="Times New Roman" w:hAnsi="Times New Roman"/>
            <w:sz w:val="24"/>
            <w:szCs w:val="24"/>
          </w:rPr>
          <w:t>https://law.justia.com/cases/new-york/other-courts/2020/2020-ny-slip-op-34353-u.html</w:t>
        </w:r>
      </w:hyperlink>
      <w:r>
        <w:rPr>
          <w:rFonts w:ascii="Times New Roman" w:hAnsi="Times New Roman"/>
          <w:sz w:val="24"/>
          <w:szCs w:val="24"/>
        </w:rPr>
        <w:t xml:space="preserve"> </w:t>
      </w:r>
    </w:p>
    <w:p w14:paraId="78A5FFC9" w14:textId="77777777" w:rsidR="007F3C7D" w:rsidRPr="00B34D05" w:rsidRDefault="007F3C7D" w:rsidP="007F3C7D">
      <w:pPr>
        <w:spacing w:before="100" w:beforeAutospacing="1" w:after="100" w:afterAutospacing="1" w:line="240" w:lineRule="auto"/>
        <w:rPr>
          <w:rFonts w:ascii="Times New Roman" w:eastAsia="Times New Roman" w:hAnsi="Times New Roman"/>
          <w:b/>
          <w:bCs/>
          <w:sz w:val="24"/>
          <w:szCs w:val="24"/>
        </w:rPr>
      </w:pPr>
      <w:r w:rsidRPr="00B34D05">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Applicants need to read and follow the Notice of Examination; if he had “alternate proof of residency” he should have submitted it at the time of the exam. </w:t>
      </w:r>
    </w:p>
    <w:p w14:paraId="30001FBB" w14:textId="77777777" w:rsidR="007F3C7D" w:rsidRDefault="007F3C7D" w:rsidP="00EF1133">
      <w:pPr>
        <w:rPr>
          <w:rFonts w:ascii="Arial Black" w:hAnsi="Arial Black"/>
          <w:b/>
          <w:sz w:val="24"/>
          <w:szCs w:val="24"/>
        </w:rPr>
      </w:pPr>
    </w:p>
    <w:p w14:paraId="6A24C010" w14:textId="5F03AD6D" w:rsidR="005E132A" w:rsidRDefault="005E132A" w:rsidP="00EF1133">
      <w:pPr>
        <w:rPr>
          <w:rFonts w:ascii="Arial Black" w:hAnsi="Arial Black"/>
          <w:b/>
          <w:sz w:val="24"/>
          <w:szCs w:val="24"/>
        </w:rPr>
      </w:pPr>
      <w:r>
        <w:rPr>
          <w:rFonts w:ascii="Arial Black" w:hAnsi="Arial Black"/>
          <w:b/>
          <w:sz w:val="24"/>
          <w:szCs w:val="24"/>
        </w:rPr>
        <w:lastRenderedPageBreak/>
        <w:t>6-6</w:t>
      </w:r>
      <w:r w:rsidR="008F02C3">
        <w:rPr>
          <w:rFonts w:ascii="Arial Black" w:hAnsi="Arial Black"/>
          <w:b/>
          <w:sz w:val="24"/>
          <w:szCs w:val="24"/>
        </w:rPr>
        <w:t>0</w:t>
      </w:r>
    </w:p>
    <w:p w14:paraId="1BECE2AA" w14:textId="77777777" w:rsidR="005E132A" w:rsidRPr="00A5637B" w:rsidRDefault="005E132A" w:rsidP="005E132A">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OH:  BC’s RETALIATION CASE NOT REINSTATED – CLAIMED CITY INVEST. TRAINING DIV. – PRESS “LEAK” FIRE CHIEF LACKED CE </w:t>
      </w:r>
    </w:p>
    <w:p w14:paraId="69C04D00" w14:textId="77777777" w:rsidR="005E132A" w:rsidRDefault="005E132A" w:rsidP="005E132A">
      <w:pPr>
        <w:spacing w:after="100"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23, 2020, in </w:t>
      </w:r>
      <w:r w:rsidRPr="00872791">
        <w:rPr>
          <w:rFonts w:ascii="Times New Roman" w:eastAsia="Times New Roman" w:hAnsi="Times New Roman"/>
          <w:sz w:val="24"/>
          <w:szCs w:val="24"/>
          <w:u w:val="single"/>
        </w:rPr>
        <w:t>Sean DeCrane v. Edward J. Eckart, et al.</w:t>
      </w:r>
      <w:r>
        <w:rPr>
          <w:rFonts w:ascii="Times New Roman" w:eastAsia="Times New Roman" w:hAnsi="Times New Roman"/>
          <w:sz w:val="24"/>
          <w:szCs w:val="24"/>
        </w:rPr>
        <w:t xml:space="preserve">, U.S. Senior District Court Judge Christopher A. Boyko, U.S. District Court, Northern District of Ohio (Eastern Division), has denied his motion for reconsideration of the May 13, </w:t>
      </w:r>
      <w:proofErr w:type="gramStart"/>
      <w:r>
        <w:rPr>
          <w:rFonts w:ascii="Times New Roman" w:eastAsia="Times New Roman" w:hAnsi="Times New Roman"/>
          <w:sz w:val="24"/>
          <w:szCs w:val="24"/>
        </w:rPr>
        <w:t>2020</w:t>
      </w:r>
      <w:proofErr w:type="gramEnd"/>
      <w:r>
        <w:rPr>
          <w:rFonts w:ascii="Times New Roman" w:eastAsia="Times New Roman" w:hAnsi="Times New Roman"/>
          <w:sz w:val="24"/>
          <w:szCs w:val="24"/>
        </w:rPr>
        <w:t xml:space="preserve"> dismissal of his law</w:t>
      </w:r>
      <w:r>
        <w:rPr>
          <w:rFonts w:ascii="Times New Roman" w:eastAsia="Times New Roman" w:hAnsi="Times New Roman"/>
          <w:sz w:val="24"/>
          <w:szCs w:val="24"/>
        </w:rPr>
        <w:softHyphen/>
        <w:t xml:space="preserve">suit claiming retaliation.  He claimed the </w:t>
      </w:r>
      <w:proofErr w:type="gramStart"/>
      <w:r>
        <w:rPr>
          <w:rFonts w:ascii="Times New Roman" w:eastAsia="Times New Roman" w:hAnsi="Times New Roman"/>
          <w:sz w:val="24"/>
          <w:szCs w:val="24"/>
        </w:rPr>
        <w:t>City</w:t>
      </w:r>
      <w:proofErr w:type="gramEnd"/>
      <w:r>
        <w:rPr>
          <w:rFonts w:ascii="Times New Roman" w:eastAsia="Times New Roman" w:hAnsi="Times New Roman"/>
          <w:sz w:val="24"/>
          <w:szCs w:val="24"/>
        </w:rPr>
        <w:t xml:space="preserve"> thought he was the Press leaker and in retaliation started a City “Office of Integrity Control” investigation of the Training Division which he then managed.  </w:t>
      </w:r>
    </w:p>
    <w:p w14:paraId="1156F084" w14:textId="77777777" w:rsidR="005E132A" w:rsidRPr="0047468C" w:rsidRDefault="005E132A" w:rsidP="005E132A">
      <w:pPr>
        <w:spacing w:after="100" w:line="240" w:lineRule="auto"/>
        <w:ind w:left="720"/>
        <w:rPr>
          <w:rFonts w:ascii="Times New Roman" w:eastAsia="Times New Roman" w:hAnsi="Times New Roman"/>
          <w:sz w:val="24"/>
          <w:szCs w:val="24"/>
        </w:rPr>
      </w:pPr>
      <w:r>
        <w:t>“</w:t>
      </w:r>
      <w:r w:rsidRPr="0047468C">
        <w:rPr>
          <w:rFonts w:ascii="Times New Roman" w:hAnsi="Times New Roman"/>
          <w:sz w:val="24"/>
          <w:szCs w:val="24"/>
        </w:rPr>
        <w:t>Plaintiff argued as follows</w:t>
      </w:r>
      <w:r>
        <w:rPr>
          <w:rFonts w:ascii="Times New Roman" w:hAnsi="Times New Roman"/>
          <w:sz w:val="24"/>
          <w:szCs w:val="24"/>
        </w:rPr>
        <w:t>:</w:t>
      </w:r>
    </w:p>
    <w:p w14:paraId="4F55A090" w14:textId="77777777" w:rsidR="005E132A" w:rsidRPr="00A5637B" w:rsidRDefault="005E132A" w:rsidP="005E132A">
      <w:pPr>
        <w:spacing w:after="100" w:line="240" w:lineRule="auto"/>
        <w:ind w:left="1440"/>
        <w:rPr>
          <w:rFonts w:ascii="Times New Roman" w:eastAsia="Times New Roman" w:hAnsi="Times New Roman"/>
          <w:sz w:val="24"/>
          <w:szCs w:val="24"/>
        </w:rPr>
      </w:pPr>
      <w:r w:rsidRPr="00A5637B">
        <w:rPr>
          <w:rFonts w:ascii="Times New Roman" w:eastAsia="Times New Roman" w:hAnsi="Times New Roman"/>
          <w:sz w:val="24"/>
          <w:szCs w:val="24"/>
        </w:rPr>
        <w:t xml:space="preserve">The </w:t>
      </w:r>
      <w:proofErr w:type="gramStart"/>
      <w:r w:rsidRPr="00A5637B">
        <w:rPr>
          <w:rFonts w:ascii="Times New Roman" w:eastAsia="Times New Roman" w:hAnsi="Times New Roman"/>
          <w:sz w:val="24"/>
          <w:szCs w:val="24"/>
        </w:rPr>
        <w:t>City</w:t>
      </w:r>
      <w:proofErr w:type="gramEnd"/>
      <w:r w:rsidRPr="00A5637B">
        <w:rPr>
          <w:rFonts w:ascii="Times New Roman" w:eastAsia="Times New Roman" w:hAnsi="Times New Roman"/>
          <w:sz w:val="24"/>
          <w:szCs w:val="24"/>
        </w:rPr>
        <w:t xml:space="preserve"> engaged in a </w:t>
      </w:r>
      <w:proofErr w:type="gramStart"/>
      <w:r w:rsidRPr="00A5637B">
        <w:rPr>
          <w:rFonts w:ascii="Times New Roman" w:eastAsia="Times New Roman" w:hAnsi="Times New Roman"/>
          <w:sz w:val="24"/>
          <w:szCs w:val="24"/>
        </w:rPr>
        <w:t>years</w:t>
      </w:r>
      <w:proofErr w:type="gramEnd"/>
      <w:r w:rsidRPr="00A5637B">
        <w:rPr>
          <w:rFonts w:ascii="Times New Roman" w:eastAsia="Times New Roman" w:hAnsi="Times New Roman"/>
          <w:sz w:val="24"/>
          <w:szCs w:val="24"/>
        </w:rPr>
        <w:t xml:space="preserve">-long pattern of retaliation against DeCrane, fueled by </w:t>
      </w:r>
      <w:r>
        <w:rPr>
          <w:rFonts w:ascii="Times New Roman" w:eastAsia="Times New Roman" w:hAnsi="Times New Roman"/>
          <w:sz w:val="24"/>
          <w:szCs w:val="24"/>
        </w:rPr>
        <w:t xml:space="preserve">[Assistant Safety Director] </w:t>
      </w:r>
      <w:r w:rsidRPr="00A5637B">
        <w:rPr>
          <w:rFonts w:ascii="Times New Roman" w:eastAsia="Times New Roman" w:hAnsi="Times New Roman"/>
          <w:sz w:val="24"/>
          <w:szCs w:val="24"/>
        </w:rPr>
        <w:t>Eckart</w:t>
      </w:r>
      <w:r>
        <w:rPr>
          <w:rFonts w:ascii="Times New Roman" w:eastAsia="Times New Roman" w:hAnsi="Times New Roman"/>
          <w:sz w:val="24"/>
          <w:szCs w:val="24"/>
        </w:rPr>
        <w:t>’</w:t>
      </w:r>
      <w:r w:rsidRPr="00A5637B">
        <w:rPr>
          <w:rFonts w:ascii="Times New Roman" w:eastAsia="Times New Roman" w:hAnsi="Times New Roman"/>
          <w:sz w:val="24"/>
          <w:szCs w:val="24"/>
        </w:rPr>
        <w:t>s and Mayor Jackson</w:t>
      </w:r>
      <w:r>
        <w:rPr>
          <w:rFonts w:ascii="Times New Roman" w:eastAsia="Times New Roman" w:hAnsi="Times New Roman"/>
          <w:sz w:val="24"/>
          <w:szCs w:val="24"/>
        </w:rPr>
        <w:t>’</w:t>
      </w:r>
      <w:r w:rsidRPr="00A5637B">
        <w:rPr>
          <w:rFonts w:ascii="Times New Roman" w:eastAsia="Times New Roman" w:hAnsi="Times New Roman"/>
          <w:sz w:val="24"/>
          <w:szCs w:val="24"/>
        </w:rPr>
        <w:t>s irritation with DeCrane</w:t>
      </w:r>
      <w:r>
        <w:rPr>
          <w:rFonts w:ascii="Times New Roman" w:eastAsia="Times New Roman" w:hAnsi="Times New Roman"/>
          <w:sz w:val="24"/>
          <w:szCs w:val="24"/>
        </w:rPr>
        <w:t>’</w:t>
      </w:r>
      <w:r w:rsidRPr="00A5637B">
        <w:rPr>
          <w:rFonts w:ascii="Times New Roman" w:eastAsia="Times New Roman" w:hAnsi="Times New Roman"/>
          <w:sz w:val="24"/>
          <w:szCs w:val="24"/>
        </w:rPr>
        <w:t>s protected activity, both real and suspected. Jackson made clear his feelings about the McGinnis leak, leading Defendants to then act against DeCrane with impunity. The City</w:t>
      </w:r>
      <w:r>
        <w:rPr>
          <w:rFonts w:ascii="Times New Roman" w:eastAsia="Times New Roman" w:hAnsi="Times New Roman"/>
          <w:sz w:val="24"/>
          <w:szCs w:val="24"/>
        </w:rPr>
        <w:t>’</w:t>
      </w:r>
      <w:r w:rsidRPr="00A5637B">
        <w:rPr>
          <w:rFonts w:ascii="Times New Roman" w:eastAsia="Times New Roman" w:hAnsi="Times New Roman"/>
          <w:sz w:val="24"/>
          <w:szCs w:val="24"/>
        </w:rPr>
        <w:t>s failure to train most officials on employees</w:t>
      </w:r>
      <w:r>
        <w:rPr>
          <w:rFonts w:ascii="Times New Roman" w:eastAsia="Times New Roman" w:hAnsi="Times New Roman"/>
          <w:sz w:val="24"/>
          <w:szCs w:val="24"/>
        </w:rPr>
        <w:t>’</w:t>
      </w:r>
      <w:r w:rsidRPr="00A5637B">
        <w:rPr>
          <w:rFonts w:ascii="Times New Roman" w:eastAsia="Times New Roman" w:hAnsi="Times New Roman"/>
          <w:sz w:val="24"/>
          <w:szCs w:val="24"/>
        </w:rPr>
        <w:t xml:space="preserve"> First Amendment rights contributed to the retaliatory activity as well. And the retaliation</w:t>
      </w:r>
      <w:r>
        <w:rPr>
          <w:rFonts w:ascii="Times New Roman" w:eastAsia="Times New Roman" w:hAnsi="Times New Roman"/>
          <w:sz w:val="24"/>
          <w:szCs w:val="24"/>
        </w:rPr>
        <w:t>’</w:t>
      </w:r>
      <w:r w:rsidRPr="00A5637B">
        <w:rPr>
          <w:rFonts w:ascii="Times New Roman" w:eastAsia="Times New Roman" w:hAnsi="Times New Roman"/>
          <w:sz w:val="24"/>
          <w:szCs w:val="24"/>
        </w:rPr>
        <w:t xml:space="preserve">s length </w:t>
      </w:r>
      <w:r>
        <w:rPr>
          <w:rFonts w:ascii="Times New Roman" w:eastAsia="Times New Roman" w:hAnsi="Times New Roman"/>
          <w:sz w:val="24"/>
          <w:szCs w:val="24"/>
        </w:rPr>
        <w:t>–</w:t>
      </w:r>
      <w:r w:rsidRPr="00A5637B">
        <w:rPr>
          <w:rFonts w:ascii="Times New Roman" w:eastAsia="Times New Roman" w:hAnsi="Times New Roman"/>
          <w:sz w:val="24"/>
          <w:szCs w:val="24"/>
        </w:rPr>
        <w:t xml:space="preserve"> in terms of time and the measures taken </w:t>
      </w:r>
      <w:r>
        <w:rPr>
          <w:rFonts w:ascii="Times New Roman" w:eastAsia="Times New Roman" w:hAnsi="Times New Roman"/>
          <w:sz w:val="24"/>
          <w:szCs w:val="24"/>
        </w:rPr>
        <w:t>–</w:t>
      </w:r>
      <w:r w:rsidRPr="00A5637B">
        <w:rPr>
          <w:rFonts w:ascii="Times New Roman" w:eastAsia="Times New Roman" w:hAnsi="Times New Roman"/>
          <w:sz w:val="24"/>
          <w:szCs w:val="24"/>
        </w:rPr>
        <w:t xml:space="preserve"> demonstrates the City</w:t>
      </w:r>
      <w:r>
        <w:rPr>
          <w:rFonts w:ascii="Times New Roman" w:eastAsia="Times New Roman" w:hAnsi="Times New Roman"/>
          <w:sz w:val="24"/>
          <w:szCs w:val="24"/>
        </w:rPr>
        <w:t>’</w:t>
      </w:r>
      <w:r w:rsidRPr="00A5637B">
        <w:rPr>
          <w:rFonts w:ascii="Times New Roman" w:eastAsia="Times New Roman" w:hAnsi="Times New Roman"/>
          <w:sz w:val="24"/>
          <w:szCs w:val="24"/>
        </w:rPr>
        <w:t>s deliberate indifference to DeCrane</w:t>
      </w:r>
      <w:r>
        <w:rPr>
          <w:rFonts w:ascii="Times New Roman" w:eastAsia="Times New Roman" w:hAnsi="Times New Roman"/>
          <w:sz w:val="24"/>
          <w:szCs w:val="24"/>
        </w:rPr>
        <w:t>’</w:t>
      </w:r>
      <w:r w:rsidRPr="00A5637B">
        <w:rPr>
          <w:rFonts w:ascii="Times New Roman" w:eastAsia="Times New Roman" w:hAnsi="Times New Roman"/>
          <w:sz w:val="24"/>
          <w:szCs w:val="24"/>
        </w:rPr>
        <w:t>s rights. (ECF DKT #151, p.27).</w:t>
      </w:r>
    </w:p>
    <w:p w14:paraId="22FD9F63" w14:textId="77777777" w:rsidR="005E132A" w:rsidRDefault="005E132A" w:rsidP="005E132A">
      <w:pPr>
        <w:spacing w:before="100" w:beforeAutospacing="1" w:after="100" w:afterAutospacing="1" w:line="240" w:lineRule="auto"/>
        <w:ind w:left="720"/>
        <w:rPr>
          <w:rFonts w:ascii="Times New Roman" w:eastAsia="Times New Roman" w:hAnsi="Times New Roman"/>
          <w:sz w:val="24"/>
          <w:szCs w:val="24"/>
        </w:rPr>
      </w:pPr>
      <w:r w:rsidRPr="00A5637B">
        <w:rPr>
          <w:rFonts w:ascii="Times New Roman" w:eastAsia="Times New Roman" w:hAnsi="Times New Roman"/>
          <w:sz w:val="24"/>
          <w:szCs w:val="24"/>
        </w:rPr>
        <w:t xml:space="preserve">Aside from these declarations, Plaintiff offered no citations (not even in a footnote) to any </w:t>
      </w:r>
      <w:proofErr w:type="gramStart"/>
      <w:r w:rsidRPr="00A5637B">
        <w:rPr>
          <w:rFonts w:ascii="Times New Roman" w:eastAsia="Times New Roman" w:hAnsi="Times New Roman"/>
          <w:sz w:val="24"/>
          <w:szCs w:val="24"/>
        </w:rPr>
        <w:t>previously-detailed</w:t>
      </w:r>
      <w:proofErr w:type="gramEnd"/>
      <w:r w:rsidRPr="00A5637B">
        <w:rPr>
          <w:rFonts w:ascii="Times New Roman" w:eastAsia="Times New Roman" w:hAnsi="Times New Roman"/>
          <w:sz w:val="24"/>
          <w:szCs w:val="24"/>
        </w:rPr>
        <w:t xml:space="preserve"> facts to illustrate a policy, a final </w:t>
      </w:r>
      <w:proofErr w:type="gramStart"/>
      <w:r w:rsidRPr="00A5637B">
        <w:rPr>
          <w:rFonts w:ascii="Times New Roman" w:eastAsia="Times New Roman" w:hAnsi="Times New Roman"/>
          <w:sz w:val="24"/>
          <w:szCs w:val="24"/>
        </w:rPr>
        <w:t>policy-maker</w:t>
      </w:r>
      <w:proofErr w:type="gramEnd"/>
      <w:r w:rsidRPr="00A5637B">
        <w:rPr>
          <w:rFonts w:ascii="Times New Roman" w:eastAsia="Times New Roman" w:hAnsi="Times New Roman"/>
          <w:sz w:val="24"/>
          <w:szCs w:val="24"/>
        </w:rPr>
        <w:t xml:space="preserve"> (particularly as </w:t>
      </w:r>
      <w:proofErr w:type="gramStart"/>
      <w:r w:rsidRPr="00A5637B">
        <w:rPr>
          <w:rFonts w:ascii="Times New Roman" w:eastAsia="Times New Roman" w:hAnsi="Times New Roman"/>
          <w:sz w:val="24"/>
          <w:szCs w:val="24"/>
        </w:rPr>
        <w:t>relates</w:t>
      </w:r>
      <w:proofErr w:type="gramEnd"/>
      <w:r w:rsidRPr="00A5637B">
        <w:rPr>
          <w:rFonts w:ascii="Times New Roman" w:eastAsia="Times New Roman" w:hAnsi="Times New Roman"/>
          <w:sz w:val="24"/>
          <w:szCs w:val="24"/>
        </w:rPr>
        <w:t xml:space="preserve"> to Defendant Eckart), deficient training, nor tolerance of, or indifference to, constitutional violations.</w:t>
      </w:r>
      <w:r>
        <w:rPr>
          <w:rFonts w:ascii="Times New Roman" w:eastAsia="Times New Roman" w:hAnsi="Times New Roman"/>
          <w:sz w:val="24"/>
          <w:szCs w:val="24"/>
        </w:rPr>
        <w:t xml:space="preserve">  </w:t>
      </w:r>
      <w:hyperlink r:id="rId1241" w:history="1">
        <w:r w:rsidRPr="008505F4">
          <w:rPr>
            <w:rStyle w:val="Hyperlink"/>
          </w:rPr>
          <w:t>https://www.leagle.com/decision/infdco20201228943</w:t>
        </w:r>
      </w:hyperlink>
      <w:r>
        <w:rPr>
          <w:rFonts w:ascii="Times New Roman" w:eastAsia="Times New Roman" w:hAnsi="Times New Roman"/>
          <w:sz w:val="24"/>
          <w:szCs w:val="24"/>
        </w:rPr>
        <w:t xml:space="preserve"> </w:t>
      </w:r>
    </w:p>
    <w:p w14:paraId="5411E2FE" w14:textId="77777777" w:rsidR="005E132A" w:rsidRDefault="005E132A" w:rsidP="005E132A">
      <w:pPr>
        <w:pStyle w:val="Heading1"/>
        <w:rPr>
          <w:sz w:val="24"/>
          <w:szCs w:val="24"/>
        </w:rPr>
      </w:pPr>
      <w:r w:rsidRPr="00DD2400">
        <w:rPr>
          <w:sz w:val="24"/>
          <w:szCs w:val="24"/>
        </w:rPr>
        <w:t xml:space="preserve">Legal Lesson Learned: </w:t>
      </w:r>
      <w:r>
        <w:rPr>
          <w:sz w:val="24"/>
          <w:szCs w:val="24"/>
        </w:rPr>
        <w:t xml:space="preserve">The U.S. Supreme Court has placed a heavy burden on plaintiffs suing cities and other municipalities for </w:t>
      </w:r>
      <w:r w:rsidRPr="00DD2400">
        <w:rPr>
          <w:sz w:val="24"/>
          <w:szCs w:val="24"/>
        </w:rPr>
        <w:t xml:space="preserve">deprivation of </w:t>
      </w:r>
      <w:r>
        <w:rPr>
          <w:sz w:val="24"/>
          <w:szCs w:val="24"/>
        </w:rPr>
        <w:t>f</w:t>
      </w:r>
      <w:r w:rsidRPr="00DD2400">
        <w:rPr>
          <w:sz w:val="24"/>
          <w:szCs w:val="24"/>
        </w:rPr>
        <w:t>ederal Constitutional rights under 42 USC 1983</w:t>
      </w:r>
      <w:r>
        <w:rPr>
          <w:sz w:val="24"/>
          <w:szCs w:val="24"/>
        </w:rPr>
        <w:t xml:space="preserve">.   Need to prove that a city policy or a city “final policy maker” is indifferent to constitutional violations. </w:t>
      </w:r>
    </w:p>
    <w:p w14:paraId="4D3E17D1" w14:textId="77777777" w:rsidR="005E132A" w:rsidRDefault="005E132A" w:rsidP="005E132A">
      <w:pPr>
        <w:pStyle w:val="Heading1"/>
        <w:ind w:firstLine="720"/>
        <w:rPr>
          <w:b w:val="0"/>
          <w:bCs w:val="0"/>
          <w:sz w:val="24"/>
          <w:szCs w:val="24"/>
        </w:rPr>
      </w:pPr>
      <w:r>
        <w:rPr>
          <w:b w:val="0"/>
          <w:bCs w:val="0"/>
          <w:sz w:val="24"/>
          <w:szCs w:val="24"/>
        </w:rPr>
        <w:t xml:space="preserve">Note: See these Press articles about the Cleveland FD. </w:t>
      </w:r>
    </w:p>
    <w:p w14:paraId="62249C31" w14:textId="77777777" w:rsidR="005E132A" w:rsidRPr="00721AFF" w:rsidRDefault="005E132A" w:rsidP="005E132A">
      <w:pPr>
        <w:pStyle w:val="Heading1"/>
        <w:ind w:left="720"/>
        <w:rPr>
          <w:b w:val="0"/>
          <w:bCs w:val="0"/>
          <w:sz w:val="24"/>
          <w:szCs w:val="24"/>
        </w:rPr>
      </w:pPr>
      <w:r w:rsidRPr="00691C9E">
        <w:rPr>
          <w:b w:val="0"/>
          <w:bCs w:val="0"/>
          <w:sz w:val="24"/>
          <w:szCs w:val="24"/>
        </w:rPr>
        <w:t>Aug. 14, 2013: “Cleveland Fire Chief to Retire Friday.</w:t>
      </w:r>
      <w:r>
        <w:rPr>
          <w:b w:val="0"/>
          <w:bCs w:val="0"/>
          <w:sz w:val="24"/>
          <w:szCs w:val="24"/>
        </w:rPr>
        <w:t xml:space="preserve">” </w:t>
      </w:r>
      <w:hyperlink r:id="rId1242" w:history="1">
        <w:r w:rsidRPr="00721AFF">
          <w:rPr>
            <w:rStyle w:val="Hyperlink"/>
            <w:b w:val="0"/>
            <w:bCs w:val="0"/>
            <w:sz w:val="24"/>
            <w:szCs w:val="24"/>
          </w:rPr>
          <w:t>https://fox8.com/news/cleveland-fire-chief-to-retire-friday/</w:t>
        </w:r>
      </w:hyperlink>
      <w:r w:rsidRPr="00721AFF">
        <w:rPr>
          <w:b w:val="0"/>
          <w:bCs w:val="0"/>
          <w:sz w:val="24"/>
          <w:szCs w:val="24"/>
        </w:rPr>
        <w:t xml:space="preserve"> </w:t>
      </w:r>
    </w:p>
    <w:p w14:paraId="3188F9E4" w14:textId="77777777" w:rsidR="005E132A" w:rsidRPr="00721AFF" w:rsidRDefault="005E132A" w:rsidP="005E132A">
      <w:pPr>
        <w:pStyle w:val="Heading1"/>
        <w:ind w:left="720"/>
        <w:rPr>
          <w:b w:val="0"/>
          <w:bCs w:val="0"/>
          <w:sz w:val="24"/>
          <w:szCs w:val="24"/>
        </w:rPr>
      </w:pPr>
      <w:r>
        <w:rPr>
          <w:b w:val="0"/>
          <w:bCs w:val="0"/>
          <w:sz w:val="24"/>
          <w:szCs w:val="24"/>
        </w:rPr>
        <w:t xml:space="preserve">Oct. 31, 2016: </w:t>
      </w:r>
      <w:r w:rsidRPr="00691C9E">
        <w:rPr>
          <w:b w:val="0"/>
          <w:bCs w:val="0"/>
          <w:sz w:val="24"/>
          <w:szCs w:val="24"/>
        </w:rPr>
        <w:t>“Retired Cleveland Fire Division battalion chief files First Amendment-retaliation suit against City &amp; senior public-safety officials.</w:t>
      </w:r>
      <w:r>
        <w:rPr>
          <w:b w:val="0"/>
          <w:bCs w:val="0"/>
          <w:sz w:val="24"/>
          <w:szCs w:val="24"/>
        </w:rPr>
        <w:t>”</w:t>
      </w:r>
      <w:r w:rsidRPr="00691C9E">
        <w:rPr>
          <w:b w:val="0"/>
          <w:bCs w:val="0"/>
          <w:sz w:val="24"/>
          <w:szCs w:val="24"/>
        </w:rPr>
        <w:t xml:space="preserve"> </w:t>
      </w:r>
      <w:hyperlink r:id="rId1243" w:history="1">
        <w:r w:rsidRPr="00721AFF">
          <w:rPr>
            <w:rStyle w:val="Hyperlink"/>
            <w:b w:val="0"/>
            <w:bCs w:val="0"/>
            <w:sz w:val="24"/>
            <w:szCs w:val="24"/>
          </w:rPr>
          <w:t>https://www.chandralaw.com/blog/retired-cleveland-fire-division-battalion-chief-files-first-amendment-retaliation-suit-against-city-senior-public-safety-officials</w:t>
        </w:r>
      </w:hyperlink>
      <w:r w:rsidRPr="00721AFF">
        <w:rPr>
          <w:b w:val="0"/>
          <w:bCs w:val="0"/>
          <w:sz w:val="24"/>
          <w:szCs w:val="24"/>
        </w:rPr>
        <w:t xml:space="preserve"> </w:t>
      </w:r>
    </w:p>
    <w:p w14:paraId="2110C89D" w14:textId="77777777" w:rsidR="005E132A" w:rsidRDefault="005E132A" w:rsidP="00EF1133">
      <w:pPr>
        <w:rPr>
          <w:rFonts w:ascii="Arial Black" w:hAnsi="Arial Black"/>
          <w:b/>
          <w:sz w:val="24"/>
          <w:szCs w:val="24"/>
        </w:rPr>
      </w:pPr>
    </w:p>
    <w:p w14:paraId="711C5C5B" w14:textId="755259BB" w:rsidR="005E132A" w:rsidRDefault="005E132A" w:rsidP="00EF1133">
      <w:pPr>
        <w:rPr>
          <w:rFonts w:ascii="Arial Black" w:hAnsi="Arial Black"/>
          <w:b/>
          <w:sz w:val="24"/>
          <w:szCs w:val="24"/>
        </w:rPr>
      </w:pPr>
      <w:r>
        <w:rPr>
          <w:rFonts w:ascii="Arial Black" w:hAnsi="Arial Black"/>
          <w:b/>
          <w:sz w:val="24"/>
          <w:szCs w:val="24"/>
        </w:rPr>
        <w:t>6-</w:t>
      </w:r>
      <w:r w:rsidR="008F02C3">
        <w:rPr>
          <w:rFonts w:ascii="Arial Black" w:hAnsi="Arial Black"/>
          <w:b/>
          <w:sz w:val="24"/>
          <w:szCs w:val="24"/>
        </w:rPr>
        <w:t>59</w:t>
      </w:r>
    </w:p>
    <w:p w14:paraId="3B72369B" w14:textId="77777777" w:rsidR="00737B49" w:rsidRDefault="00737B49" w:rsidP="00737B49">
      <w:pPr>
        <w:tabs>
          <w:tab w:val="left" w:pos="6670"/>
        </w:tabs>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14, 2020, in </w:t>
      </w:r>
      <w:r>
        <w:rPr>
          <w:rFonts w:ascii="Times New Roman" w:hAnsi="Times New Roman"/>
          <w:sz w:val="24"/>
          <w:szCs w:val="24"/>
          <w:u w:val="single"/>
        </w:rPr>
        <w:t>Sean T. Heneghan v. City of Evanston</w:t>
      </w:r>
      <w:r>
        <w:rPr>
          <w:rFonts w:ascii="Times New Roman" w:hAnsi="Times New Roman"/>
          <w:sz w:val="24"/>
          <w:szCs w:val="24"/>
        </w:rPr>
        <w:t>, the Appellate Court of Illinois, First District (First Division), held (3 to 0; unpublished decision) that the City properly denied the firefighter life-time health benefits since he was not responding to an emergency when he and his partner were performing ventilation, the saw malfunctioned, he retrieved an ax from the ground, lost his balance when peeling off roof cover with the ax and severely injured both feet when he fell off the roof.  The Illinois statute provides for life-time insurance or firefighters and family who are killed or suffer catastrophic injury responding to “what is reasonably believed to be an emergency.”</w:t>
      </w:r>
    </w:p>
    <w:p w14:paraId="27A59A2C" w14:textId="77777777" w:rsidR="00737B49" w:rsidRDefault="00737B49" w:rsidP="00737B49">
      <w:pPr>
        <w:tabs>
          <w:tab w:val="left" w:pos="6670"/>
        </w:tabs>
        <w:spacing w:before="100" w:beforeAutospacing="1" w:after="100" w:afterAutospacing="1" w:line="240" w:lineRule="auto"/>
        <w:ind w:left="630"/>
        <w:rPr>
          <w:rFonts w:ascii="Times New Roman" w:hAnsi="Times New Roman"/>
          <w:sz w:val="24"/>
          <w:szCs w:val="24"/>
        </w:rPr>
      </w:pPr>
      <w:r>
        <w:rPr>
          <w:rFonts w:ascii="Times New Roman" w:hAnsi="Times New Roman"/>
          <w:sz w:val="24"/>
          <w:szCs w:val="24"/>
        </w:rPr>
        <w:lastRenderedPageBreak/>
        <w:t>“Plaintiff argues that he was responding to what he reasonably believed to be an emergency when the saw failed during the exercise. We are not persuaded by this argument.</w:t>
      </w:r>
    </w:p>
    <w:p w14:paraId="171856DD" w14:textId="77777777" w:rsidR="00737B49" w:rsidRDefault="00737B49" w:rsidP="00737B49">
      <w:pPr>
        <w:spacing w:before="100" w:beforeAutospacing="1" w:after="100" w:afterAutospacing="1" w:line="240" w:lineRule="auto"/>
        <w:ind w:left="630"/>
        <w:rPr>
          <w:rFonts w:ascii="Times New Roman" w:hAnsi="Times New Roman"/>
          <w:sz w:val="24"/>
          <w:szCs w:val="24"/>
        </w:rPr>
      </w:pPr>
      <w:r>
        <w:rPr>
          <w:rFonts w:ascii="Times New Roman" w:hAnsi="Times New Roman"/>
          <w:sz w:val="24"/>
          <w:szCs w:val="24"/>
        </w:rPr>
        <w:t xml:space="preserve">The failure of the </w:t>
      </w:r>
      <w:proofErr w:type="gramStart"/>
      <w:r>
        <w:rPr>
          <w:rFonts w:ascii="Times New Roman" w:hAnsi="Times New Roman"/>
          <w:sz w:val="24"/>
          <w:szCs w:val="24"/>
        </w:rPr>
        <w:t>saw</w:t>
      </w:r>
      <w:proofErr w:type="gramEnd"/>
      <w:r>
        <w:rPr>
          <w:rFonts w:ascii="Times New Roman" w:hAnsi="Times New Roman"/>
          <w:sz w:val="24"/>
          <w:szCs w:val="24"/>
        </w:rPr>
        <w:t xml:space="preserve"> was certainly an unforeseen development and could reasonably be regarded as an emergency. If the vent covers were not removed, then the firefighters inside the structure would be in imminent danger from fire and explosions. However, plaintiff was able to climb from the roof, retrieve his axe, return to the roof, and pry open the first vent cover. The emergency that plaintiff describes was the failure of the saw and his belief that the vent covers could not be opened. That emergency ended once plaintiff was able to successfully pry open this first cover with his axe.</w:t>
      </w:r>
    </w:p>
    <w:p w14:paraId="1BC91DB3" w14:textId="77777777" w:rsidR="00737B49" w:rsidRDefault="00737B49" w:rsidP="00737B49">
      <w:pPr>
        <w:spacing w:before="100" w:beforeAutospacing="1" w:after="100" w:afterAutospacing="1" w:line="240" w:lineRule="auto"/>
        <w:ind w:left="630"/>
        <w:rPr>
          <w:rFonts w:ascii="Times New Roman" w:hAnsi="Times New Roman"/>
          <w:sz w:val="24"/>
          <w:szCs w:val="24"/>
        </w:rPr>
      </w:pPr>
      <w:r>
        <w:rPr>
          <w:rFonts w:ascii="Times New Roman" w:hAnsi="Times New Roman"/>
          <w:sz w:val="24"/>
          <w:szCs w:val="24"/>
        </w:rPr>
        <w:t>***</w:t>
      </w:r>
    </w:p>
    <w:p w14:paraId="0D852576" w14:textId="77777777" w:rsidR="00737B49" w:rsidRDefault="00737B49" w:rsidP="00737B49">
      <w:pPr>
        <w:spacing w:before="100" w:beforeAutospacing="1" w:after="100" w:afterAutospacing="1" w:line="240" w:lineRule="auto"/>
        <w:ind w:left="630"/>
        <w:rPr>
          <w:rFonts w:ascii="Times New Roman" w:eastAsia="Times New Roman" w:hAnsi="Times New Roman"/>
          <w:sz w:val="24"/>
          <w:szCs w:val="24"/>
        </w:rPr>
      </w:pPr>
      <w:r>
        <w:rPr>
          <w:rFonts w:ascii="Times New Roman" w:eastAsia="Times New Roman" w:hAnsi="Times New Roman"/>
          <w:sz w:val="24"/>
          <w:szCs w:val="24"/>
        </w:rPr>
        <w:t xml:space="preserve">Once he had a suitable replacement for the saw, he was able to continue with the rest of the exercise. He could not reasonably believe that his fellow firefighters were still in imminent danger after finding a replacement tool. He also would have known that it was possible </w:t>
      </w:r>
      <w:proofErr w:type="gramStart"/>
      <w:r>
        <w:rPr>
          <w:rFonts w:ascii="Times New Roman" w:eastAsia="Times New Roman" w:hAnsi="Times New Roman"/>
          <w:sz w:val="24"/>
          <w:szCs w:val="24"/>
        </w:rPr>
        <w:t>the open</w:t>
      </w:r>
      <w:proofErr w:type="gramEnd"/>
      <w:r>
        <w:rPr>
          <w:rFonts w:ascii="Times New Roman" w:eastAsia="Times New Roman" w:hAnsi="Times New Roman"/>
          <w:sz w:val="24"/>
          <w:szCs w:val="24"/>
        </w:rPr>
        <w:t xml:space="preserve"> the remaining vent with his axe. More importantly, he was not injured because of his actions addressing the saw's </w:t>
      </w:r>
      <w:proofErr w:type="gramStart"/>
      <w:r>
        <w:rPr>
          <w:rFonts w:ascii="Times New Roman" w:eastAsia="Times New Roman" w:hAnsi="Times New Roman"/>
          <w:sz w:val="24"/>
          <w:szCs w:val="24"/>
        </w:rPr>
        <w:t>failure.”</w:t>
      </w:r>
      <w:proofErr w:type="gramEnd"/>
      <w:r>
        <w:rPr>
          <w:rFonts w:ascii="Times New Roman" w:eastAsia="Times New Roman" w:hAnsi="Times New Roman"/>
          <w:sz w:val="24"/>
          <w:szCs w:val="24"/>
        </w:rPr>
        <w:t xml:space="preserve"> </w:t>
      </w:r>
      <w:hyperlink r:id="rId1244" w:history="1">
        <w:r>
          <w:rPr>
            <w:rStyle w:val="Hyperlink"/>
          </w:rPr>
          <w:t>https://casetext.com/case/heneghan-v-city-of-evanston</w:t>
        </w:r>
      </w:hyperlink>
      <w:r>
        <w:rPr>
          <w:rFonts w:ascii="Times New Roman" w:eastAsia="Times New Roman" w:hAnsi="Times New Roman"/>
          <w:sz w:val="24"/>
          <w:szCs w:val="24"/>
        </w:rPr>
        <w:t xml:space="preserve"> </w:t>
      </w:r>
    </w:p>
    <w:p w14:paraId="4B99668C" w14:textId="77777777" w:rsidR="00737B49" w:rsidRDefault="00737B49" w:rsidP="00737B49">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Legal Lesson Learned: Terrible injury, but facts clearly show did not occur during an “emergency.”</w:t>
      </w:r>
    </w:p>
    <w:p w14:paraId="56FFDA15" w14:textId="77777777" w:rsidR="00737B49" w:rsidRDefault="00737B49" w:rsidP="00737B49">
      <w:pPr>
        <w:spacing w:before="100" w:beforeAutospacing="1" w:after="100" w:afterAutospacing="1" w:line="240" w:lineRule="auto"/>
        <w:ind w:left="720"/>
        <w:rPr>
          <w:rFonts w:asciiTheme="minorHAnsi" w:hAnsiTheme="minorHAnsi" w:cstheme="minorBidi"/>
        </w:rPr>
      </w:pPr>
      <w:r>
        <w:rPr>
          <w:rFonts w:ascii="Times New Roman" w:hAnsi="Times New Roman"/>
          <w:sz w:val="24"/>
          <w:szCs w:val="24"/>
        </w:rPr>
        <w:t xml:space="preserve">Note:  The Court referenced that Illinois case law does support life-time medical coverage during a training exercise if there is a true emergency. </w:t>
      </w:r>
      <w:r>
        <w:rPr>
          <w:rFonts w:ascii="Times New Roman" w:hAnsi="Times New Roman"/>
          <w:sz w:val="24"/>
          <w:szCs w:val="24"/>
          <w:u w:val="single"/>
        </w:rPr>
        <w:t>Gaffney v. Board of Trustees of Orland Fire Protection District</w:t>
      </w:r>
      <w:r>
        <w:rPr>
          <w:rFonts w:ascii="Times New Roman" w:hAnsi="Times New Roman"/>
          <w:sz w:val="24"/>
          <w:szCs w:val="24"/>
        </w:rPr>
        <w:t xml:space="preserve">, 2012 IL 110012, May 29, 2012, Illinois Supreme Court: </w:t>
      </w:r>
      <w:hyperlink r:id="rId1245" w:history="1">
        <w:r>
          <w:rPr>
            <w:rStyle w:val="Hyperlink"/>
          </w:rPr>
          <w:t>https://courts.illinois.gov/opinions/SupremeCourt/2012/110012.pdf</w:t>
        </w:r>
      </w:hyperlink>
      <w:r>
        <w:t xml:space="preserve"> </w:t>
      </w:r>
    </w:p>
    <w:p w14:paraId="779F75AC" w14:textId="11A9219B" w:rsidR="00737B49" w:rsidRDefault="00737B49" w:rsidP="00737B49">
      <w:pPr>
        <w:rPr>
          <w:rStyle w:val="Hyperlink"/>
        </w:rPr>
      </w:pPr>
      <w:r>
        <w:rPr>
          <w:rFonts w:ascii="Times New Roman" w:hAnsi="Times New Roman"/>
          <w:sz w:val="24"/>
          <w:szCs w:val="24"/>
        </w:rPr>
        <w:t xml:space="preserve">“Gaffney was injured during a live fire training exercise on the third floor of a building. Gaffney wore full fire gear for the exercise, and his battalion chief instructed him to treat the exercise as an actual emergency. As the crew was moving the fire hose from the second floor to the third floor, it became entangled. The smoke from the fire left no visibility. Gaffney followed the hose back down to the second floor and discovered that it was hooked around a loveseat. When Gaffney flipped the loveseat backward, he injured his shoulder. The court held that Gaffney's training exercise became an emergency when the hose became entangled. </w:t>
      </w:r>
      <w:r>
        <w:rPr>
          <w:rFonts w:ascii="Times New Roman" w:hAnsi="Times New Roman"/>
          <w:i/>
          <w:iCs/>
          <w:sz w:val="24"/>
          <w:szCs w:val="24"/>
        </w:rPr>
        <w:t>Id</w:t>
      </w:r>
      <w:r>
        <w:rPr>
          <w:rFonts w:ascii="Times New Roman" w:hAnsi="Times New Roman"/>
          <w:sz w:val="24"/>
          <w:szCs w:val="24"/>
        </w:rPr>
        <w:t xml:space="preserve">. ¶ 66. This unforeseen development involved imminent danger and required an urgent response because it left the crew ‘stranded on the stairwell to the third floor </w:t>
      </w:r>
      <w:r>
        <w:rPr>
          <w:rFonts w:ascii="Times New Roman" w:eastAsia="Times New Roman" w:hAnsi="Times New Roman"/>
          <w:sz w:val="24"/>
          <w:szCs w:val="24"/>
        </w:rPr>
        <w:t>of the burning building with no visibility and no water to put out the fire.</w:t>
      </w:r>
      <w:r>
        <w:rPr>
          <w:rFonts w:ascii="Times New Roman" w:hAnsi="Times New Roman"/>
          <w:sz w:val="24"/>
          <w:szCs w:val="24"/>
        </w:rPr>
        <w:t>’”</w:t>
      </w:r>
      <w:r>
        <w:t xml:space="preserve"> </w:t>
      </w:r>
      <w:hyperlink r:id="rId1246" w:history="1">
        <w:r>
          <w:rPr>
            <w:rStyle w:val="Hyperlink"/>
          </w:rPr>
          <w:t>https://casetext.com/case/heneghan-v-city-of-evanston</w:t>
        </w:r>
      </w:hyperlink>
    </w:p>
    <w:p w14:paraId="207AFA86" w14:textId="28E99789" w:rsidR="00737B49" w:rsidRDefault="00737B49" w:rsidP="00737B49">
      <w:pPr>
        <w:rPr>
          <w:rStyle w:val="Hyperlink"/>
        </w:rPr>
      </w:pPr>
    </w:p>
    <w:p w14:paraId="138B301C" w14:textId="77777777" w:rsidR="00737B49" w:rsidRDefault="00737B49" w:rsidP="00737B49">
      <w:pPr>
        <w:spacing w:before="100" w:beforeAutospacing="1" w:after="100" w:afterAutospacing="1" w:line="240" w:lineRule="auto"/>
        <w:rPr>
          <w:rFonts w:ascii="Arial Black" w:hAnsi="Arial Black"/>
          <w:sz w:val="28"/>
          <w:szCs w:val="28"/>
        </w:rPr>
      </w:pPr>
    </w:p>
    <w:p w14:paraId="5C3EFBA4" w14:textId="77777777" w:rsidR="00737B49" w:rsidRDefault="00737B49" w:rsidP="00737B49">
      <w:pPr>
        <w:spacing w:before="100" w:beforeAutospacing="1" w:after="100" w:afterAutospacing="1" w:line="240" w:lineRule="auto"/>
        <w:rPr>
          <w:rFonts w:ascii="Arial Black" w:hAnsi="Arial Black"/>
          <w:sz w:val="28"/>
          <w:szCs w:val="28"/>
        </w:rPr>
      </w:pPr>
    </w:p>
    <w:p w14:paraId="38B69A42" w14:textId="5A7C67F8" w:rsidR="00737B49" w:rsidRDefault="00737B49" w:rsidP="00737B49">
      <w:pPr>
        <w:spacing w:before="100" w:beforeAutospacing="1" w:after="100" w:afterAutospacing="1" w:line="240" w:lineRule="auto"/>
        <w:rPr>
          <w:rFonts w:ascii="Arial Black" w:hAnsi="Arial Black"/>
          <w:sz w:val="28"/>
          <w:szCs w:val="28"/>
        </w:rPr>
      </w:pPr>
      <w:r>
        <w:rPr>
          <w:rFonts w:ascii="Arial Black" w:hAnsi="Arial Black"/>
          <w:sz w:val="28"/>
          <w:szCs w:val="28"/>
        </w:rPr>
        <w:t>6-5</w:t>
      </w:r>
      <w:r w:rsidR="008F02C3">
        <w:rPr>
          <w:rFonts w:ascii="Arial Black" w:hAnsi="Arial Black"/>
          <w:sz w:val="28"/>
          <w:szCs w:val="28"/>
        </w:rPr>
        <w:t>8</w:t>
      </w:r>
    </w:p>
    <w:p w14:paraId="25825208" w14:textId="7748A388" w:rsidR="00737B49" w:rsidRPr="00950C0A" w:rsidRDefault="00737B49" w:rsidP="00737B49">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MA: INTERNAL INVESTIGATION – EMPLOYEES PROVIDE INFO – CONDITIONALLY PROTECTED FROM DEFAMATION </w:t>
      </w:r>
    </w:p>
    <w:p w14:paraId="1391B508" w14:textId="77777777" w:rsidR="00737B49" w:rsidRDefault="00737B49" w:rsidP="00737B49">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10, 2020, in </w:t>
      </w:r>
      <w:r w:rsidRPr="005202DF">
        <w:rPr>
          <w:rFonts w:ascii="Times New Roman" w:hAnsi="Times New Roman"/>
          <w:sz w:val="24"/>
          <w:szCs w:val="24"/>
          <w:u w:val="single"/>
        </w:rPr>
        <w:t>Diane Lawless v, Cheryl Estrella</w:t>
      </w:r>
      <w:r>
        <w:rPr>
          <w:rFonts w:ascii="Times New Roman" w:hAnsi="Times New Roman"/>
          <w:sz w:val="24"/>
          <w:szCs w:val="24"/>
        </w:rPr>
        <w:t xml:space="preserve">, the Massachusetts Court of Appeals held (3 to 0) that the trial court properly granted summary judgment and dismissed the lawsuit filed by the former Town </w:t>
      </w:r>
      <w:r>
        <w:rPr>
          <w:rFonts w:ascii="Times New Roman" w:hAnsi="Times New Roman"/>
          <w:sz w:val="24"/>
          <w:szCs w:val="24"/>
        </w:rPr>
        <w:lastRenderedPageBreak/>
        <w:t xml:space="preserve">Treasurer against a Senior Clerk who provided investigators with a 6-page e-mail documenting misconduct by the Treasurer. </w:t>
      </w:r>
    </w:p>
    <w:p w14:paraId="57DAA941" w14:textId="77777777" w:rsidR="00737B49" w:rsidRPr="005202DF" w:rsidRDefault="00737B49" w:rsidP="00737B49">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5202DF">
        <w:rPr>
          <w:rFonts w:ascii="Times New Roman" w:hAnsi="Times New Roman"/>
          <w:sz w:val="24"/>
          <w:szCs w:val="24"/>
        </w:rPr>
        <w:t>We conclude that an opinion based on disclosed, nondefamatory facts is not defamatory and that many of the allegedly defamatory statements constitute such opinions.</w:t>
      </w:r>
      <w:r>
        <w:rPr>
          <w:rFonts w:ascii="Times New Roman" w:hAnsi="Times New Roman"/>
          <w:sz w:val="24"/>
          <w:szCs w:val="24"/>
        </w:rPr>
        <w:t xml:space="preserve"> </w:t>
      </w:r>
      <w:r w:rsidRPr="005202DF">
        <w:rPr>
          <w:rFonts w:ascii="Times New Roman" w:hAnsi="Times New Roman"/>
          <w:sz w:val="24"/>
          <w:szCs w:val="24"/>
        </w:rPr>
        <w:t>Further concluding that an employee has a conditional privilege to provide information concerning another employee upon the request of a supervisor and that the plaintiff failed to raise a genuine issue of material fact that would allow a jury to find that this privilege was abused regarding the other statements, we affirm</w:t>
      </w:r>
      <w:r>
        <w:rPr>
          <w:rFonts w:ascii="Times New Roman" w:hAnsi="Times New Roman"/>
          <w:sz w:val="24"/>
          <w:szCs w:val="24"/>
        </w:rPr>
        <w:t xml:space="preserve">.” </w:t>
      </w:r>
      <w:hyperlink r:id="rId1247" w:history="1">
        <w:r w:rsidRPr="007F3E99">
          <w:rPr>
            <w:rStyle w:val="Hyperlink"/>
            <w:rFonts w:ascii="Times New Roman" w:hAnsi="Times New Roman"/>
            <w:sz w:val="24"/>
            <w:szCs w:val="24"/>
          </w:rPr>
          <w:t>https://www.massmunilaw.org/wp-content/uploads/2020/12/DIANE-LAWLESS-v.-CHERYL-ESTRELLA.pdf</w:t>
        </w:r>
      </w:hyperlink>
      <w:r>
        <w:rPr>
          <w:rFonts w:ascii="Times New Roman" w:hAnsi="Times New Roman"/>
          <w:sz w:val="24"/>
          <w:szCs w:val="24"/>
        </w:rPr>
        <w:t xml:space="preserve"> </w:t>
      </w:r>
    </w:p>
    <w:p w14:paraId="1273528A" w14:textId="77777777" w:rsidR="00737B49" w:rsidRDefault="00737B49" w:rsidP="00737B49">
      <w:pPr>
        <w:spacing w:before="100" w:beforeAutospacing="1" w:after="100" w:afterAutospacing="1" w:line="240" w:lineRule="auto"/>
        <w:rPr>
          <w:rFonts w:ascii="Times New Roman" w:hAnsi="Times New Roman"/>
          <w:b/>
          <w:bCs/>
          <w:sz w:val="24"/>
          <w:szCs w:val="24"/>
        </w:rPr>
      </w:pPr>
      <w:r w:rsidRPr="005202DF">
        <w:rPr>
          <w:rFonts w:ascii="Times New Roman" w:hAnsi="Times New Roman"/>
          <w:b/>
          <w:bCs/>
          <w:sz w:val="24"/>
          <w:szCs w:val="24"/>
        </w:rPr>
        <w:t>Legal Lesson Learned:</w:t>
      </w:r>
      <w:r>
        <w:rPr>
          <w:rFonts w:ascii="Times New Roman" w:hAnsi="Times New Roman"/>
          <w:b/>
          <w:bCs/>
          <w:sz w:val="24"/>
          <w:szCs w:val="24"/>
        </w:rPr>
        <w:t xml:space="preserve"> Internal investigations of a public official will often involve co-workers providing statements.  The “conditional privilege” is an important protection of these co-workers.</w:t>
      </w:r>
    </w:p>
    <w:p w14:paraId="6D3234E6" w14:textId="77777777" w:rsidR="00737B49" w:rsidRPr="005D50F1" w:rsidRDefault="00737B49" w:rsidP="00737B49">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Note: The Court of Appeals referenced a Fire Department case where a co-worker also enjoyed protection from defamation lawsuit under the “conditional privilege.”  Kevin Barrows v. Wareham Fire District (Mass Court of Appeals; Oct. 12, 2012). </w:t>
      </w:r>
      <w:hyperlink r:id="rId1248" w:history="1">
        <w:r w:rsidRPr="007F3E99">
          <w:rPr>
            <w:rStyle w:val="Hyperlink"/>
          </w:rPr>
          <w:t>http://masscases.com/cases/app/82/82massappct623.html</w:t>
        </w:r>
      </w:hyperlink>
      <w:r>
        <w:t xml:space="preserve"> </w:t>
      </w:r>
    </w:p>
    <w:p w14:paraId="4946449C" w14:textId="77777777" w:rsidR="005E132A" w:rsidRDefault="005E132A" w:rsidP="00EF1133">
      <w:pPr>
        <w:rPr>
          <w:rFonts w:ascii="Arial Black" w:hAnsi="Arial Black"/>
          <w:b/>
          <w:sz w:val="24"/>
          <w:szCs w:val="24"/>
        </w:rPr>
      </w:pPr>
    </w:p>
    <w:p w14:paraId="2FEF57CE" w14:textId="77777777" w:rsidR="00737B49" w:rsidRDefault="00737B49" w:rsidP="00EF1133">
      <w:pPr>
        <w:rPr>
          <w:rFonts w:ascii="Arial Black" w:hAnsi="Arial Black"/>
          <w:b/>
          <w:sz w:val="24"/>
          <w:szCs w:val="24"/>
        </w:rPr>
      </w:pPr>
    </w:p>
    <w:p w14:paraId="259B3C9D" w14:textId="7679324B" w:rsidR="005E132A" w:rsidRDefault="005E132A" w:rsidP="00EF1133">
      <w:pPr>
        <w:rPr>
          <w:rFonts w:ascii="Arial Black" w:hAnsi="Arial Black"/>
          <w:b/>
          <w:sz w:val="24"/>
          <w:szCs w:val="24"/>
        </w:rPr>
      </w:pPr>
      <w:r>
        <w:rPr>
          <w:rFonts w:ascii="Arial Black" w:hAnsi="Arial Black"/>
          <w:b/>
          <w:sz w:val="24"/>
          <w:szCs w:val="24"/>
        </w:rPr>
        <w:t>6-5</w:t>
      </w:r>
      <w:r w:rsidR="008F02C3">
        <w:rPr>
          <w:rFonts w:ascii="Arial Black" w:hAnsi="Arial Black"/>
          <w:b/>
          <w:sz w:val="24"/>
          <w:szCs w:val="24"/>
        </w:rPr>
        <w:t>7</w:t>
      </w:r>
    </w:p>
    <w:p w14:paraId="61010149" w14:textId="77777777" w:rsidR="00737B49" w:rsidRDefault="00737B49" w:rsidP="00737B49">
      <w:pPr>
        <w:pStyle w:val="NoSpacing"/>
        <w:rPr>
          <w:rFonts w:ascii="Arial Black" w:eastAsiaTheme="minorHAnsi" w:hAnsi="Arial Black" w:cstheme="minorBidi"/>
          <w:sz w:val="28"/>
          <w:szCs w:val="28"/>
        </w:rPr>
      </w:pPr>
      <w:r>
        <w:rPr>
          <w:rFonts w:ascii="Arial Black" w:hAnsi="Arial Black"/>
          <w:sz w:val="28"/>
          <w:szCs w:val="28"/>
        </w:rPr>
        <w:t>WV: EMT INJURED SHOULDER - FIRED 16 MO. LATER FOR FALSIFICATION DOC. – JURY DECIDED NO RETALIATION</w:t>
      </w:r>
    </w:p>
    <w:p w14:paraId="7E9B45ED" w14:textId="77777777" w:rsidR="00737B49" w:rsidRDefault="00737B49" w:rsidP="00737B49">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On Dec. 7, 2020, in </w:t>
      </w:r>
      <w:r>
        <w:rPr>
          <w:rFonts w:ascii="Times New Roman" w:eastAsia="Times New Roman" w:hAnsi="Times New Roman"/>
          <w:sz w:val="24"/>
          <w:szCs w:val="24"/>
          <w:u w:val="single"/>
        </w:rPr>
        <w:t>Terri Smith v. Kanawha County Emergency Ambulance Authority</w:t>
      </w:r>
      <w:r>
        <w:rPr>
          <w:rFonts w:ascii="Times New Roman" w:eastAsia="Times New Roman" w:hAnsi="Times New Roman"/>
          <w:sz w:val="24"/>
          <w:szCs w:val="24"/>
        </w:rPr>
        <w:t xml:space="preserve">, the State of West Virginia Supreme Court of Appeals, held (3 to 2) that after a four-day jury trial the jury held for the employer, and the Court of Appeals held there were no errors in the jury instructions.  The Court also held there was no need to schedule oral argument by counsel (2 Justices disagreed).  The Court did not describe the document that was allegedly falsified.  </w:t>
      </w:r>
    </w:p>
    <w:p w14:paraId="25D69155" w14:textId="77777777" w:rsidR="00737B49" w:rsidRDefault="00737B49" w:rsidP="00737B49">
      <w:pPr>
        <w:spacing w:before="100" w:beforeAutospacing="1" w:after="100" w:afterAutospacing="1" w:line="240" w:lineRule="auto"/>
        <w:ind w:left="720"/>
        <w:rPr>
          <w:rFonts w:ascii="Times New Roman" w:eastAsiaTheme="minorHAnsi" w:hAnsi="Times New Roman"/>
          <w:sz w:val="24"/>
          <w:szCs w:val="24"/>
        </w:rPr>
      </w:pPr>
      <w:r>
        <w:rPr>
          <w:rFonts w:ascii="Times New Roman" w:hAnsi="Times New Roman"/>
          <w:sz w:val="24"/>
          <w:szCs w:val="24"/>
        </w:rPr>
        <w:t>“There is no dispute that petitioner sustained an on-the-job injury or that she instituted proceedings under the Workers' Compensation Act. However, the jury was asked to determine whether the filing of that workers' compensation claim was a ‘significant factor in the employer's decision to discharge’ and found that it was not.</w:t>
      </w:r>
    </w:p>
    <w:p w14:paraId="339223A6" w14:textId="77777777" w:rsidR="00737B49" w:rsidRDefault="00737B49" w:rsidP="00737B49">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The jury had the opportunity to observe the witnesses during their testimony and examine </w:t>
      </w:r>
      <w:proofErr w:type="gramStart"/>
      <w:r>
        <w:rPr>
          <w:rFonts w:ascii="Times New Roman" w:hAnsi="Times New Roman"/>
          <w:sz w:val="24"/>
          <w:szCs w:val="24"/>
        </w:rPr>
        <w:t>all of</w:t>
      </w:r>
      <w:proofErr w:type="gramEnd"/>
      <w:r>
        <w:rPr>
          <w:rFonts w:ascii="Times New Roman" w:hAnsi="Times New Roman"/>
          <w:sz w:val="24"/>
          <w:szCs w:val="24"/>
        </w:rPr>
        <w:t xml:space="preserve"> the evidence presented. The jury's finding that petitioner's filing of a workers' compensation claim was not a significant factor in her termination satisfies this Court's previously established standard, as petitioner was required to show that it was a significant factor </w:t>
      </w:r>
      <w:proofErr w:type="gramStart"/>
      <w:r>
        <w:rPr>
          <w:rFonts w:ascii="Times New Roman" w:hAnsi="Times New Roman"/>
          <w:sz w:val="24"/>
          <w:szCs w:val="24"/>
        </w:rPr>
        <w:t>in order to</w:t>
      </w:r>
      <w:proofErr w:type="gramEnd"/>
      <w:r>
        <w:rPr>
          <w:rFonts w:ascii="Times New Roman" w:hAnsi="Times New Roman"/>
          <w:sz w:val="24"/>
          <w:szCs w:val="24"/>
        </w:rPr>
        <w:t xml:space="preserve"> establish a prima facie case of discrimination. Syl. Pt. 1, </w:t>
      </w:r>
      <w:r>
        <w:rPr>
          <w:rFonts w:ascii="Times New Roman" w:hAnsi="Times New Roman"/>
          <w:i/>
          <w:iCs/>
          <w:sz w:val="24"/>
          <w:szCs w:val="24"/>
        </w:rPr>
        <w:t>Powell</w:t>
      </w:r>
      <w:r>
        <w:rPr>
          <w:rFonts w:ascii="Times New Roman" w:hAnsi="Times New Roman"/>
          <w:sz w:val="24"/>
          <w:szCs w:val="24"/>
        </w:rPr>
        <w:t xml:space="preserve">, 184 W.Va. at 701, 403 S.E.2d at 718. Therefore, we will not overturn the jury's verdict in favor of respondent on this </w:t>
      </w:r>
      <w:proofErr w:type="gramStart"/>
      <w:r>
        <w:rPr>
          <w:rFonts w:ascii="Times New Roman" w:hAnsi="Times New Roman"/>
          <w:sz w:val="24"/>
          <w:szCs w:val="24"/>
        </w:rPr>
        <w:t>ground.”</w:t>
      </w:r>
      <w:proofErr w:type="gramEnd"/>
      <w:r>
        <w:rPr>
          <w:rFonts w:ascii="Times New Roman" w:hAnsi="Times New Roman"/>
          <w:sz w:val="24"/>
          <w:szCs w:val="24"/>
        </w:rPr>
        <w:t xml:space="preserve"> </w:t>
      </w:r>
      <w:hyperlink r:id="rId1249" w:history="1">
        <w:r>
          <w:rPr>
            <w:rStyle w:val="Hyperlink"/>
          </w:rPr>
          <w:t>https://www.courtlistener.com/opinion/4836452/terri-smith-v-kanawha-county-emergency-ambulance-authority/</w:t>
        </w:r>
      </w:hyperlink>
      <w:r>
        <w:rPr>
          <w:rFonts w:ascii="Times New Roman" w:hAnsi="Times New Roman"/>
          <w:sz w:val="24"/>
          <w:szCs w:val="24"/>
        </w:rPr>
        <w:t xml:space="preserve">? </w:t>
      </w:r>
    </w:p>
    <w:p w14:paraId="5D7D330A" w14:textId="77777777" w:rsidR="00737B49" w:rsidRDefault="00737B49" w:rsidP="00737B49">
      <w:pPr>
        <w:pStyle w:val="NormalWeb"/>
        <w:rPr>
          <w:b/>
          <w:bCs/>
        </w:rPr>
      </w:pPr>
      <w:r>
        <w:rPr>
          <w:b/>
          <w:bCs/>
        </w:rPr>
        <w:t xml:space="preserve">Legal Lesson Learned: Under West Virginia statute, the employee must prove that the workers’ compensation claim was a “significant factor in the employer’s decision to discharge” the employee.  </w:t>
      </w:r>
    </w:p>
    <w:p w14:paraId="35F4EBBA" w14:textId="271BF514" w:rsidR="00737B49" w:rsidRDefault="00737B49" w:rsidP="00737B49">
      <w:pPr>
        <w:ind w:left="720"/>
        <w:rPr>
          <w:rFonts w:ascii="Arial Black" w:hAnsi="Arial Black"/>
          <w:b/>
          <w:sz w:val="24"/>
          <w:szCs w:val="24"/>
        </w:rPr>
      </w:pPr>
      <w:r>
        <w:rPr>
          <w:rFonts w:ascii="Times New Roman" w:hAnsi="Times New Roman"/>
          <w:sz w:val="24"/>
          <w:szCs w:val="24"/>
        </w:rPr>
        <w:lastRenderedPageBreak/>
        <w:t xml:space="preserve">Note: See Jan. 25, </w:t>
      </w:r>
      <w:proofErr w:type="gramStart"/>
      <w:r>
        <w:rPr>
          <w:rFonts w:ascii="Times New Roman" w:hAnsi="Times New Roman"/>
          <w:sz w:val="24"/>
          <w:szCs w:val="24"/>
        </w:rPr>
        <w:t>2017</w:t>
      </w:r>
      <w:proofErr w:type="gramEnd"/>
      <w:r>
        <w:rPr>
          <w:rFonts w:ascii="Times New Roman" w:hAnsi="Times New Roman"/>
          <w:sz w:val="24"/>
          <w:szCs w:val="24"/>
        </w:rPr>
        <w:t xml:space="preserve"> article: “Ambulance service worker blames multiple defendants for injuries.”  *** “According to the complaint, on Dec. 31, 2014, </w:t>
      </w:r>
      <w:proofErr w:type="gramStart"/>
      <w:r>
        <w:rPr>
          <w:rFonts w:ascii="Times New Roman" w:hAnsi="Times New Roman"/>
          <w:sz w:val="24"/>
          <w:szCs w:val="24"/>
        </w:rPr>
        <w:t>as a result of</w:t>
      </w:r>
      <w:proofErr w:type="gramEnd"/>
      <w:r>
        <w:rPr>
          <w:rFonts w:ascii="Times New Roman" w:hAnsi="Times New Roman"/>
          <w:sz w:val="24"/>
          <w:szCs w:val="24"/>
        </w:rPr>
        <w:t xml:space="preserve"> the defendants' negligence, Smith was seriously injured while lifting an obese patient she was required to transport from the Charleston Area Medical Center. The plaintiff alleges the defendants failed to provide sufficient staff and other resources to safely lift the obese patient.” </w:t>
      </w:r>
      <w:hyperlink r:id="rId1250" w:history="1">
        <w:r>
          <w:rPr>
            <w:rStyle w:val="Hyperlink"/>
          </w:rPr>
          <w:t>https://wvrecord.com/stories/511075521-ambulance-service-worker-blames-multiple-defendants-for-injuries</w:t>
        </w:r>
      </w:hyperlink>
    </w:p>
    <w:p w14:paraId="61538E8B" w14:textId="77777777" w:rsidR="005E132A" w:rsidRDefault="005E132A" w:rsidP="00EF1133">
      <w:pPr>
        <w:rPr>
          <w:rFonts w:ascii="Arial Black" w:hAnsi="Arial Black"/>
          <w:b/>
          <w:sz w:val="24"/>
          <w:szCs w:val="24"/>
        </w:rPr>
      </w:pPr>
    </w:p>
    <w:p w14:paraId="1E960E05" w14:textId="3C9006D4" w:rsidR="009E093C" w:rsidRDefault="009E093C" w:rsidP="00EF1133">
      <w:pPr>
        <w:rPr>
          <w:rFonts w:ascii="Arial Black" w:hAnsi="Arial Black"/>
          <w:b/>
          <w:sz w:val="24"/>
          <w:szCs w:val="24"/>
        </w:rPr>
      </w:pPr>
      <w:r>
        <w:rPr>
          <w:rFonts w:ascii="Arial Black" w:hAnsi="Arial Black"/>
          <w:b/>
          <w:sz w:val="24"/>
          <w:szCs w:val="24"/>
        </w:rPr>
        <w:t>6-5</w:t>
      </w:r>
      <w:r w:rsidR="008F02C3">
        <w:rPr>
          <w:rFonts w:ascii="Arial Black" w:hAnsi="Arial Black"/>
          <w:b/>
          <w:sz w:val="24"/>
          <w:szCs w:val="24"/>
        </w:rPr>
        <w:t>6</w:t>
      </w:r>
    </w:p>
    <w:p w14:paraId="61C2B7D2" w14:textId="77777777" w:rsidR="009E093C" w:rsidRPr="00E24ECF" w:rsidRDefault="009E093C" w:rsidP="009E093C">
      <w:pPr>
        <w:pStyle w:val="NoSpacing"/>
        <w:rPr>
          <w:rFonts w:ascii="Arial Black" w:hAnsi="Arial Black"/>
          <w:sz w:val="28"/>
          <w:szCs w:val="28"/>
        </w:rPr>
      </w:pPr>
      <w:r>
        <w:rPr>
          <w:rFonts w:ascii="Arial Black" w:hAnsi="Arial Black"/>
          <w:sz w:val="28"/>
          <w:szCs w:val="28"/>
        </w:rPr>
        <w:t>MO: MANDATORY AGE 65 RETIREMENT – CITY POLICE DEPT - LAWFUL UNDER FEDERAL ADEA FOR POLICE / FIRE</w:t>
      </w:r>
    </w:p>
    <w:p w14:paraId="0612D3BA" w14:textId="77777777" w:rsidR="009E093C" w:rsidRDefault="009E093C" w:rsidP="009E093C">
      <w:pPr>
        <w:pStyle w:val="NormalWeb"/>
      </w:pPr>
      <w:r>
        <w:t xml:space="preserve">On Nov. 16, 2020, in </w:t>
      </w:r>
      <w:r w:rsidRPr="003C0A09">
        <w:rPr>
          <w:u w:val="single"/>
        </w:rPr>
        <w:t>Michael Caruso v. St. Louis, Missouri</w:t>
      </w:r>
      <w:r>
        <w:t xml:space="preserve">, U.S. Magistrate Judge Shirley P. Mensah, U.S. District Court, Eastern District of Missouri (Eastern Division), granted the City’s motion to dismiss; the City has a mandatory age 65 for its police officers, and while occasionally they will grant a one-year extension, there is no requirement to do so.  This is authorized under the federal ADEA, Age Discrimination in Employment Act amendments in 1986; see also EEOC guidance: </w:t>
      </w:r>
      <w:hyperlink r:id="rId1251" w:history="1">
        <w:r w:rsidRPr="00D74D0C">
          <w:rPr>
            <w:rStyle w:val="Hyperlink"/>
          </w:rPr>
          <w:t>https://www.eeoc.gov/statutes/age-discrimination-employment-act-1967</w:t>
        </w:r>
      </w:hyperlink>
      <w:r>
        <w:t xml:space="preserve">  </w:t>
      </w:r>
    </w:p>
    <w:p w14:paraId="1B513148" w14:textId="77777777" w:rsidR="009E093C" w:rsidRPr="003C0A09" w:rsidRDefault="009E093C" w:rsidP="009E093C">
      <w:pPr>
        <w:pStyle w:val="NormalWeb"/>
        <w:ind w:left="720"/>
      </w:pPr>
      <w:r>
        <w:t xml:space="preserve">“Defendant concedes Plaintiff was terminated because of his age but argues Plaintiff's discharge fell within an exemption in the ADEA that allows state and local governments to set a mandatory retirement age for police officers provided certain requirements are met. Specifically, under 29 U.S.C.§ 623(j), state and local governments are allowed to set mandatory retirement ages for firefighters and law enforcement officers if the following two requirements are met: First, the discharge must have been pursuant to a state or local law requiring mandatory retirement by a certain age; and, second, the discharge must be pursuant to a bona fide retirement plan that is not a subterfuge for impermissible age discrimination. 29 U.S.C. § 623(j)(1)-(2). </w:t>
      </w:r>
      <w:r w:rsidRPr="00E24ECF">
        <w:t xml:space="preserve"> To satisfy the first</w:t>
      </w:r>
      <w:r>
        <w:t xml:space="preserve"> </w:t>
      </w:r>
      <w:r w:rsidRPr="00E24ECF">
        <w:t xml:space="preserve">requirement, the mandatory retirement law must </w:t>
      </w:r>
      <w:r w:rsidRPr="00E24ECF">
        <w:rPr>
          <w:i/>
          <w:iCs/>
        </w:rPr>
        <w:t>either</w:t>
      </w:r>
      <w:r w:rsidRPr="00E24ECF">
        <w:t xml:space="preserve"> have been in effect on March 3, </w:t>
      </w:r>
      <w:proofErr w:type="gramStart"/>
      <w:r w:rsidRPr="00E24ECF">
        <w:t>1983</w:t>
      </w:r>
      <w:proofErr w:type="gramEnd"/>
      <w:r w:rsidRPr="00E24ECF">
        <w:t xml:space="preserve"> </w:t>
      </w:r>
      <w:r w:rsidRPr="00E24ECF">
        <w:rPr>
          <w:i/>
          <w:iCs/>
        </w:rPr>
        <w:t>or</w:t>
      </w:r>
      <w:r w:rsidRPr="00E24ECF">
        <w:t xml:space="preserve"> must have been enacted after September 30, 1996; and, if the latter, the discharge must occur no earlier than age fifty-five. </w:t>
      </w:r>
      <w:r w:rsidRPr="00E24ECF">
        <w:rPr>
          <w:i/>
          <w:iCs/>
        </w:rPr>
        <w:t>See Correa-Ruiz v</w:t>
      </w:r>
      <w:r w:rsidRPr="00E24ECF">
        <w:t xml:space="preserve">. </w:t>
      </w:r>
      <w:r w:rsidRPr="00E24ECF">
        <w:rPr>
          <w:i/>
          <w:iCs/>
        </w:rPr>
        <w:t>Fortuno</w:t>
      </w:r>
      <w:r w:rsidRPr="00E24ECF">
        <w:t>, 572 F.3d 1, 9 (1st Cir. 2009) (construing 29 U.S.C.</w:t>
      </w:r>
      <w:r>
        <w:t xml:space="preserve"> </w:t>
      </w:r>
      <w:r w:rsidRPr="00E24ECF">
        <w:t xml:space="preserve">§623(j)(1)(A) and (B)(ii) to mean the discharge must have been </w:t>
      </w:r>
      <w:r>
        <w:t>‘</w:t>
      </w:r>
      <w:r w:rsidRPr="00E24ECF">
        <w:t xml:space="preserve">pursuant to a mandatory retirement plan that </w:t>
      </w:r>
      <w:r w:rsidRPr="00E24ECF">
        <w:rPr>
          <w:i/>
          <w:iCs/>
        </w:rPr>
        <w:t>either</w:t>
      </w:r>
      <w:r w:rsidRPr="00E24ECF">
        <w:t xml:space="preserve"> was in effect on March 3, 1983 </w:t>
      </w:r>
      <w:r w:rsidRPr="00E24ECF">
        <w:rPr>
          <w:i/>
          <w:iCs/>
        </w:rPr>
        <w:t>or</w:t>
      </w:r>
      <w:r w:rsidRPr="00E24ECF">
        <w:t xml:space="preserve"> was enacted after September 30, 1996. The only-age related limitation on the latter option is that the discharge occurs no earlier than age fifty-five.</w:t>
      </w:r>
      <w:r>
        <w:t>’</w:t>
      </w:r>
      <w:r w:rsidRPr="00E24ECF">
        <w:t>).</w:t>
      </w:r>
      <w:r>
        <w:t xml:space="preserve"> </w:t>
      </w:r>
      <w:hyperlink r:id="rId1252" w:history="1">
        <w:r w:rsidRPr="003C0A09">
          <w:rPr>
            <w:rStyle w:val="Hyperlink"/>
          </w:rPr>
          <w:t>https://public.fastcase.com/Wl%2B2t%2BeVuI35%2FN70vAMFZjoMXHbjadZDEq7kSjk%2BwtWPLJ9YZycRPzxEYilorv6v</w:t>
        </w:r>
      </w:hyperlink>
      <w:r w:rsidRPr="003C0A09">
        <w:t xml:space="preserve"> </w:t>
      </w:r>
    </w:p>
    <w:p w14:paraId="22DBC5E7" w14:textId="77777777" w:rsidR="009E093C" w:rsidRDefault="009E093C" w:rsidP="009E093C">
      <w:pPr>
        <w:spacing w:before="100" w:beforeAutospacing="1" w:after="100" w:afterAutospacing="1" w:line="240" w:lineRule="auto"/>
        <w:rPr>
          <w:rFonts w:ascii="Times New Roman" w:eastAsia="Times New Roman" w:hAnsi="Times New Roman"/>
          <w:b/>
          <w:bCs/>
          <w:sz w:val="24"/>
          <w:szCs w:val="24"/>
        </w:rPr>
      </w:pPr>
      <w:r w:rsidRPr="00D53EBE">
        <w:rPr>
          <w:rFonts w:ascii="Times New Roman" w:hAnsi="Times New Roman"/>
          <w:b/>
          <w:bCs/>
          <w:sz w:val="24"/>
          <w:szCs w:val="24"/>
        </w:rPr>
        <w:t>Legal Lesson Learned:</w:t>
      </w:r>
      <w:r w:rsidRPr="00D53EBE">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Federal ADEA statute, amended 1986, authorizes mandatory retirement ages for police and fire. </w:t>
      </w:r>
    </w:p>
    <w:p w14:paraId="6443F067" w14:textId="77777777" w:rsidR="009E093C" w:rsidRPr="003C0A09" w:rsidRDefault="009E093C" w:rsidP="009E093C">
      <w:pPr>
        <w:spacing w:before="100" w:beforeAutospacing="1" w:after="100" w:afterAutospacing="1" w:line="240" w:lineRule="auto"/>
        <w:ind w:left="1440"/>
        <w:rPr>
          <w:rFonts w:ascii="Times New Roman" w:eastAsia="Times New Roman" w:hAnsi="Times New Roman"/>
          <w:sz w:val="24"/>
          <w:szCs w:val="24"/>
        </w:rPr>
      </w:pPr>
      <w:r w:rsidRPr="00D53EBE">
        <w:rPr>
          <w:rFonts w:ascii="Times New Roman" w:eastAsia="Times New Roman" w:hAnsi="Times New Roman"/>
          <w:sz w:val="24"/>
          <w:szCs w:val="24"/>
        </w:rPr>
        <w:t>Note: See Congressional testimony</w:t>
      </w:r>
      <w:r>
        <w:rPr>
          <w:rFonts w:ascii="Times New Roman" w:eastAsia="Times New Roman" w:hAnsi="Times New Roman"/>
          <w:sz w:val="24"/>
          <w:szCs w:val="24"/>
        </w:rPr>
        <w:t>, March 12,</w:t>
      </w:r>
      <w:r w:rsidRPr="00D53EBE">
        <w:rPr>
          <w:rFonts w:ascii="Times New Roman" w:eastAsia="Times New Roman" w:hAnsi="Times New Roman"/>
          <w:sz w:val="24"/>
          <w:szCs w:val="24"/>
        </w:rPr>
        <w:t xml:space="preserve"> 1986</w:t>
      </w:r>
      <w:r>
        <w:rPr>
          <w:rFonts w:ascii="Times New Roman" w:eastAsia="Times New Roman" w:hAnsi="Times New Roman"/>
          <w:sz w:val="24"/>
          <w:szCs w:val="24"/>
        </w:rPr>
        <w:t>, on the proposed exemptions to the ADEA for police and fire.  “</w:t>
      </w:r>
      <w:r w:rsidRPr="00D53EBE">
        <w:rPr>
          <w:rFonts w:ascii="Times New Roman" w:hAnsi="Times New Roman"/>
          <w:sz w:val="24"/>
          <w:szCs w:val="24"/>
        </w:rPr>
        <w:t xml:space="preserve">Air traffic controllers, for instance, must retire at age 56, foreign service officers at age 65, and Federal firefighters and law enforcement officers, including employees of the FBI, Secret Service, and Federal Prison System, must retire at the age of 55. </w:t>
      </w:r>
      <w:hyperlink r:id="rId1253" w:history="1">
        <w:r w:rsidRPr="002F20C3">
          <w:rPr>
            <w:rStyle w:val="Hyperlink"/>
            <w:rFonts w:ascii="Times New Roman" w:hAnsi="Times New Roman"/>
            <w:sz w:val="24"/>
            <w:szCs w:val="24"/>
          </w:rPr>
          <w:t>https://www.ncjrs.gov/pdffiles1/Digitization/103277NCJRS.pdf</w:t>
        </w:r>
      </w:hyperlink>
      <w:r>
        <w:rPr>
          <w:rFonts w:ascii="Times New Roman" w:hAnsi="Times New Roman"/>
          <w:sz w:val="24"/>
          <w:szCs w:val="24"/>
        </w:rPr>
        <w:t xml:space="preserve"> </w:t>
      </w:r>
    </w:p>
    <w:p w14:paraId="2BCB2F69" w14:textId="77777777" w:rsidR="009E093C" w:rsidRDefault="009E093C" w:rsidP="00EF1133">
      <w:pPr>
        <w:rPr>
          <w:rFonts w:ascii="Arial Black" w:hAnsi="Arial Black"/>
          <w:b/>
          <w:sz w:val="24"/>
          <w:szCs w:val="24"/>
        </w:rPr>
      </w:pPr>
    </w:p>
    <w:p w14:paraId="2D648636" w14:textId="77777777" w:rsidR="009E093C" w:rsidRDefault="009E093C" w:rsidP="00EF1133">
      <w:pPr>
        <w:rPr>
          <w:rFonts w:ascii="Arial Black" w:hAnsi="Arial Black"/>
          <w:b/>
          <w:sz w:val="24"/>
          <w:szCs w:val="24"/>
        </w:rPr>
      </w:pPr>
    </w:p>
    <w:p w14:paraId="61699EB5" w14:textId="3CFB7D1A" w:rsidR="009E093C" w:rsidRDefault="009E093C" w:rsidP="00EF1133">
      <w:pPr>
        <w:rPr>
          <w:rFonts w:ascii="Arial Black" w:hAnsi="Arial Black"/>
          <w:b/>
          <w:sz w:val="24"/>
          <w:szCs w:val="24"/>
        </w:rPr>
      </w:pPr>
      <w:r>
        <w:rPr>
          <w:rFonts w:ascii="Arial Black" w:hAnsi="Arial Black"/>
          <w:b/>
          <w:sz w:val="24"/>
          <w:szCs w:val="24"/>
        </w:rPr>
        <w:t>6-5</w:t>
      </w:r>
      <w:r w:rsidR="008F02C3">
        <w:rPr>
          <w:rFonts w:ascii="Arial Black" w:hAnsi="Arial Black"/>
          <w:b/>
          <w:sz w:val="24"/>
          <w:szCs w:val="24"/>
        </w:rPr>
        <w:t>5</w:t>
      </w:r>
    </w:p>
    <w:p w14:paraId="7445A0E6" w14:textId="77777777" w:rsidR="009E093C" w:rsidRPr="00DF42AC" w:rsidRDefault="009E093C" w:rsidP="009E093C">
      <w:pPr>
        <w:pStyle w:val="NoSpacing"/>
        <w:rPr>
          <w:rFonts w:ascii="Arial Black" w:hAnsi="Arial Black"/>
          <w:sz w:val="28"/>
          <w:szCs w:val="28"/>
        </w:rPr>
      </w:pPr>
      <w:r>
        <w:rPr>
          <w:rFonts w:ascii="Arial Black" w:hAnsi="Arial Black"/>
          <w:sz w:val="28"/>
          <w:szCs w:val="28"/>
        </w:rPr>
        <w:t xml:space="preserve">NJ: PENSION SURVIVOR BENEFITS – ONLY IF FEMALE WAS MARRIED TO MALE FF OR “SAME SEX DOMESTIC PARTNER” </w:t>
      </w:r>
    </w:p>
    <w:p w14:paraId="2E3A87CC" w14:textId="77777777" w:rsidR="009E093C" w:rsidRDefault="009E093C" w:rsidP="009E093C">
      <w:pPr>
        <w:pStyle w:val="NoSpacing"/>
      </w:pPr>
    </w:p>
    <w:p w14:paraId="16787AD9" w14:textId="77777777" w:rsidR="009E093C" w:rsidRDefault="009E093C" w:rsidP="009E093C">
      <w:pPr>
        <w:rPr>
          <w:rFonts w:ascii="Times New Roman" w:hAnsi="Times New Roman"/>
          <w:sz w:val="24"/>
          <w:szCs w:val="24"/>
        </w:rPr>
      </w:pPr>
      <w:r w:rsidRPr="00D60D8C">
        <w:rPr>
          <w:rFonts w:ascii="Times New Roman" w:hAnsi="Times New Roman"/>
          <w:sz w:val="24"/>
          <w:szCs w:val="24"/>
        </w:rPr>
        <w:t xml:space="preserve">On Nov. 5, 2020, </w:t>
      </w:r>
      <w:r>
        <w:rPr>
          <w:rFonts w:ascii="Times New Roman" w:hAnsi="Times New Roman"/>
          <w:sz w:val="24"/>
          <w:szCs w:val="24"/>
        </w:rPr>
        <w:t xml:space="preserve">in </w:t>
      </w:r>
      <w:r w:rsidRPr="00D60D8C">
        <w:rPr>
          <w:rFonts w:ascii="Times New Roman" w:hAnsi="Times New Roman"/>
          <w:sz w:val="24"/>
          <w:szCs w:val="24"/>
          <w:u w:val="single"/>
        </w:rPr>
        <w:t>The Matter Of Board Of Trustees Of The Police And Firemen’s Retirement System Of New Jersey – Denial Of Dolores Ortega’s Right To Receive Survivor Benefits</w:t>
      </w:r>
      <w:r>
        <w:rPr>
          <w:rFonts w:ascii="Times New Roman" w:hAnsi="Times New Roman"/>
          <w:sz w:val="24"/>
          <w:szCs w:val="24"/>
        </w:rPr>
        <w:t xml:space="preserve">, the Superior Court of New Jersey Appellate Division, held (3 to 0; unpublished decision) that Ms. Ortega did not qualify for survivor benefits because she was not the member’s widow. </w:t>
      </w:r>
    </w:p>
    <w:p w14:paraId="270D933A" w14:textId="77777777" w:rsidR="009E093C" w:rsidRDefault="009E093C" w:rsidP="009E093C">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CB3AF5">
        <w:rPr>
          <w:rFonts w:ascii="Times New Roman" w:hAnsi="Times New Roman"/>
          <w:sz w:val="24"/>
          <w:szCs w:val="24"/>
        </w:rPr>
        <w:t xml:space="preserve">Contrary to appellant's contention, the statutory and regulatory scheme did not discriminate against her </w:t>
      </w:r>
      <w:proofErr w:type="gramStart"/>
      <w:r w:rsidRPr="00CB3AF5">
        <w:rPr>
          <w:rFonts w:ascii="Times New Roman" w:hAnsi="Times New Roman"/>
          <w:sz w:val="24"/>
          <w:szCs w:val="24"/>
        </w:rPr>
        <w:t>on the basis of</w:t>
      </w:r>
      <w:proofErr w:type="gramEnd"/>
      <w:r w:rsidRPr="00CB3AF5">
        <w:rPr>
          <w:rFonts w:ascii="Times New Roman" w:hAnsi="Times New Roman"/>
          <w:sz w:val="24"/>
          <w:szCs w:val="24"/>
        </w:rPr>
        <w:t xml:space="preserve"> her gender. Because she and Koncsol were of opposite sexes, they were free to marry, which would have enabled her to qualify for the </w:t>
      </w:r>
      <w:proofErr w:type="gramStart"/>
      <w:r w:rsidRPr="00CB3AF5">
        <w:rPr>
          <w:rFonts w:ascii="Times New Roman" w:hAnsi="Times New Roman"/>
          <w:sz w:val="24"/>
          <w:szCs w:val="24"/>
        </w:rPr>
        <w:t>survivor</w:t>
      </w:r>
      <w:proofErr w:type="gramEnd"/>
      <w:r w:rsidRPr="00CB3AF5">
        <w:rPr>
          <w:rFonts w:ascii="Times New Roman" w:hAnsi="Times New Roman"/>
          <w:sz w:val="24"/>
          <w:szCs w:val="24"/>
        </w:rPr>
        <w:t xml:space="preserve"> benefit. On the other hand, same-sex couples could not marry when the Act went into effect and, therefore, the Legislature wanted to provide a mechanism limited to them in the Act to ensure that these individuals would have the same right to this benefit as an opposite-sex couple. Thus, there was </w:t>
      </w:r>
      <w:r>
        <w:rPr>
          <w:rFonts w:ascii="Times New Roman" w:hAnsi="Times New Roman"/>
          <w:sz w:val="24"/>
          <w:szCs w:val="24"/>
        </w:rPr>
        <w:t>‘</w:t>
      </w:r>
      <w:r w:rsidRPr="00CB3AF5">
        <w:rPr>
          <w:rFonts w:ascii="Times New Roman" w:hAnsi="Times New Roman"/>
          <w:sz w:val="24"/>
          <w:szCs w:val="24"/>
        </w:rPr>
        <w:t xml:space="preserve">a clear and rational </w:t>
      </w:r>
      <w:proofErr w:type="spellStart"/>
      <w:r w:rsidRPr="00CB3AF5">
        <w:rPr>
          <w:rFonts w:ascii="Times New Roman" w:hAnsi="Times New Roman"/>
          <w:sz w:val="24"/>
          <w:szCs w:val="24"/>
        </w:rPr>
        <w:t>basis</w:t>
      </w:r>
      <w:r>
        <w:rPr>
          <w:rFonts w:ascii="Times New Roman" w:hAnsi="Times New Roman"/>
          <w:sz w:val="24"/>
          <w:szCs w:val="24"/>
        </w:rPr>
        <w:t>’</w:t>
      </w:r>
      <w:proofErr w:type="spellEnd"/>
      <w:r w:rsidRPr="00CB3AF5">
        <w:rPr>
          <w:rFonts w:ascii="Times New Roman" w:hAnsi="Times New Roman"/>
          <w:sz w:val="24"/>
          <w:szCs w:val="24"/>
        </w:rPr>
        <w:t xml:space="preserve"> underlying the Legislature's decision to </w:t>
      </w:r>
      <w:r>
        <w:rPr>
          <w:rFonts w:ascii="Times New Roman" w:hAnsi="Times New Roman"/>
          <w:sz w:val="24"/>
          <w:szCs w:val="24"/>
        </w:rPr>
        <w:t>‘</w:t>
      </w:r>
      <w:proofErr w:type="spellStart"/>
      <w:r w:rsidRPr="00CB3AF5">
        <w:rPr>
          <w:rFonts w:ascii="Times New Roman" w:hAnsi="Times New Roman"/>
          <w:sz w:val="24"/>
          <w:szCs w:val="24"/>
        </w:rPr>
        <w:t>mak</w:t>
      </w:r>
      <w:proofErr w:type="spellEnd"/>
      <w:r w:rsidRPr="00CB3AF5">
        <w:rPr>
          <w:rFonts w:ascii="Times New Roman" w:hAnsi="Times New Roman"/>
          <w:sz w:val="24"/>
          <w:szCs w:val="24"/>
        </w:rPr>
        <w:t>[e] certain health and pension benefits available to dependent domestic partners only in the case of domestic partnerships in which both persons are of the same sex . . . .</w:t>
      </w:r>
      <w:r>
        <w:rPr>
          <w:rFonts w:ascii="Times New Roman" w:hAnsi="Times New Roman"/>
          <w:sz w:val="24"/>
          <w:szCs w:val="24"/>
        </w:rPr>
        <w:t>’</w:t>
      </w:r>
      <w:r w:rsidRPr="00CB3AF5">
        <w:rPr>
          <w:rFonts w:ascii="Times New Roman" w:hAnsi="Times New Roman"/>
          <w:sz w:val="24"/>
          <w:szCs w:val="24"/>
        </w:rPr>
        <w:t xml:space="preserve"> N.J.S.A. 26:8A-2(e).</w:t>
      </w:r>
      <w:r>
        <w:rPr>
          <w:rFonts w:ascii="Times New Roman" w:hAnsi="Times New Roman"/>
          <w:sz w:val="24"/>
          <w:szCs w:val="24"/>
        </w:rPr>
        <w:t xml:space="preserve">” </w:t>
      </w:r>
      <w:hyperlink r:id="rId1254" w:history="1">
        <w:r w:rsidRPr="00D35A04">
          <w:rPr>
            <w:rStyle w:val="Hyperlink"/>
            <w:rFonts w:ascii="Times New Roman" w:hAnsi="Times New Roman"/>
            <w:sz w:val="24"/>
            <w:szCs w:val="24"/>
          </w:rPr>
          <w:t>https://public.fastcase.com/Wl%2B2t%2BeVuI35%2FN70vAMFZvIVF%2BSpwi61gSoehD%2F89NWJSNvj394DBr50iS5GXrLH</w:t>
        </w:r>
      </w:hyperlink>
      <w:r>
        <w:rPr>
          <w:rFonts w:ascii="Times New Roman" w:hAnsi="Times New Roman"/>
          <w:sz w:val="24"/>
          <w:szCs w:val="24"/>
        </w:rPr>
        <w:t xml:space="preserve"> </w:t>
      </w:r>
    </w:p>
    <w:p w14:paraId="5D24A226" w14:textId="77777777" w:rsidR="009E093C" w:rsidRPr="00DF42AC" w:rsidRDefault="009E093C" w:rsidP="009E093C">
      <w:pPr>
        <w:spacing w:before="100" w:beforeAutospacing="1" w:after="100" w:afterAutospacing="1" w:line="240" w:lineRule="auto"/>
        <w:rPr>
          <w:rFonts w:ascii="Times New Roman" w:eastAsia="Times New Roman" w:hAnsi="Times New Roman"/>
          <w:b/>
          <w:bCs/>
          <w:sz w:val="24"/>
          <w:szCs w:val="24"/>
        </w:rPr>
      </w:pPr>
      <w:r w:rsidRPr="00CB3AF5">
        <w:rPr>
          <w:rFonts w:ascii="Times New Roman" w:hAnsi="Times New Roman"/>
          <w:b/>
          <w:bCs/>
          <w:sz w:val="24"/>
          <w:szCs w:val="24"/>
        </w:rPr>
        <w:t>Legal Lesson Learned:</w:t>
      </w:r>
      <w:r>
        <w:rPr>
          <w:rFonts w:ascii="Times New Roman" w:hAnsi="Times New Roman"/>
          <w:b/>
          <w:bCs/>
          <w:sz w:val="24"/>
          <w:szCs w:val="24"/>
        </w:rPr>
        <w:t xml:space="preserve">  It would have been helpful if the state retirement Board had promptly notified the </w:t>
      </w:r>
      <w:proofErr w:type="gramStart"/>
      <w:r>
        <w:rPr>
          <w:rFonts w:ascii="Times New Roman" w:hAnsi="Times New Roman"/>
          <w:b/>
          <w:bCs/>
          <w:sz w:val="24"/>
          <w:szCs w:val="24"/>
        </w:rPr>
        <w:t>firefighter,</w:t>
      </w:r>
      <w:proofErr w:type="gramEnd"/>
      <w:r>
        <w:rPr>
          <w:rFonts w:ascii="Times New Roman" w:hAnsi="Times New Roman"/>
          <w:b/>
          <w:bCs/>
          <w:sz w:val="24"/>
          <w:szCs w:val="24"/>
        </w:rPr>
        <w:t xml:space="preserve"> when he submitted his change of beneficiary, that he had to marry Dolores Ortega. </w:t>
      </w:r>
    </w:p>
    <w:p w14:paraId="3EED1EFF" w14:textId="77777777" w:rsidR="009E093C" w:rsidRDefault="009E093C" w:rsidP="00EF1133">
      <w:pPr>
        <w:rPr>
          <w:rFonts w:ascii="Arial Black" w:hAnsi="Arial Black"/>
          <w:b/>
          <w:sz w:val="24"/>
          <w:szCs w:val="24"/>
        </w:rPr>
      </w:pPr>
    </w:p>
    <w:p w14:paraId="67E054B3" w14:textId="77777777" w:rsidR="009E093C" w:rsidRDefault="009E093C" w:rsidP="00EF1133">
      <w:pPr>
        <w:rPr>
          <w:rFonts w:ascii="Arial Black" w:hAnsi="Arial Black"/>
          <w:b/>
          <w:sz w:val="24"/>
          <w:szCs w:val="24"/>
        </w:rPr>
      </w:pPr>
    </w:p>
    <w:p w14:paraId="7B22431A" w14:textId="77777777" w:rsidR="00B03268" w:rsidRDefault="00B03268" w:rsidP="00EF1133">
      <w:pPr>
        <w:rPr>
          <w:rFonts w:ascii="Arial Black" w:hAnsi="Arial Black"/>
          <w:b/>
          <w:sz w:val="24"/>
          <w:szCs w:val="24"/>
        </w:rPr>
      </w:pPr>
    </w:p>
    <w:p w14:paraId="56ABCC56" w14:textId="61240802" w:rsidR="009E093C" w:rsidRDefault="009E093C" w:rsidP="00EF1133">
      <w:pPr>
        <w:rPr>
          <w:rFonts w:ascii="Arial Black" w:hAnsi="Arial Black"/>
          <w:b/>
          <w:sz w:val="24"/>
          <w:szCs w:val="24"/>
        </w:rPr>
      </w:pPr>
      <w:r>
        <w:rPr>
          <w:rFonts w:ascii="Arial Black" w:hAnsi="Arial Black"/>
          <w:b/>
          <w:sz w:val="24"/>
          <w:szCs w:val="24"/>
        </w:rPr>
        <w:t>6-5</w:t>
      </w:r>
      <w:r w:rsidR="008F02C3">
        <w:rPr>
          <w:rFonts w:ascii="Arial Black" w:hAnsi="Arial Black"/>
          <w:b/>
          <w:sz w:val="24"/>
          <w:szCs w:val="24"/>
        </w:rPr>
        <w:t>4</w:t>
      </w:r>
    </w:p>
    <w:p w14:paraId="0EA378CC" w14:textId="77777777" w:rsidR="009E093C" w:rsidRDefault="009E093C" w:rsidP="009E093C">
      <w:pPr>
        <w:pStyle w:val="NoSpacing"/>
        <w:rPr>
          <w:rFonts w:ascii="Arial Black" w:hAnsi="Arial Black"/>
          <w:sz w:val="28"/>
          <w:szCs w:val="28"/>
        </w:rPr>
      </w:pPr>
      <w:r>
        <w:rPr>
          <w:rFonts w:ascii="Arial Black" w:hAnsi="Arial Black"/>
          <w:sz w:val="28"/>
          <w:szCs w:val="28"/>
        </w:rPr>
        <w:t xml:space="preserve">DE:  WHISTLEBLOWER CASE DISMISSED – FIRE CHIEF CONVICTED, TO PRISON, BUT MONEY STOLEN NOT CITY FUNDS </w:t>
      </w:r>
    </w:p>
    <w:p w14:paraId="305DF530" w14:textId="77777777" w:rsidR="009E093C" w:rsidRDefault="009E093C" w:rsidP="009E093C">
      <w:pPr>
        <w:pStyle w:val="NoSpacing"/>
        <w:rPr>
          <w:rFonts w:ascii="Times New Roman" w:hAnsi="Times New Roman"/>
          <w:sz w:val="24"/>
          <w:szCs w:val="24"/>
        </w:rPr>
      </w:pPr>
    </w:p>
    <w:p w14:paraId="1F940C6E" w14:textId="77777777" w:rsidR="009E093C" w:rsidRPr="00BF6BAF" w:rsidRDefault="009E093C" w:rsidP="009E093C">
      <w:pPr>
        <w:pStyle w:val="NoSpacing"/>
        <w:rPr>
          <w:rFonts w:ascii="Times New Roman" w:hAnsi="Times New Roman"/>
          <w:sz w:val="24"/>
          <w:szCs w:val="24"/>
        </w:rPr>
      </w:pPr>
      <w:r w:rsidRPr="00BF6BAF">
        <w:rPr>
          <w:rFonts w:ascii="Times New Roman" w:hAnsi="Times New Roman"/>
          <w:sz w:val="24"/>
          <w:szCs w:val="24"/>
        </w:rPr>
        <w:t xml:space="preserve">On Oct. 29, 2020, in </w:t>
      </w:r>
      <w:r w:rsidRPr="00BF6BAF">
        <w:rPr>
          <w:rFonts w:ascii="Times New Roman" w:hAnsi="Times New Roman"/>
          <w:sz w:val="24"/>
          <w:szCs w:val="24"/>
          <w:u w:val="single"/>
        </w:rPr>
        <w:t>Thomas Hayman, Jr. v. City of Willington, et al</w:t>
      </w:r>
      <w:r w:rsidRPr="00BF6BAF">
        <w:rPr>
          <w:rFonts w:ascii="Times New Roman" w:hAnsi="Times New Roman"/>
          <w:sz w:val="24"/>
          <w:szCs w:val="24"/>
        </w:rPr>
        <w:t>., U.S. District Court Judge Vivian L. Medinilla granted the City’s motion to dismiss</w:t>
      </w:r>
      <w:r>
        <w:rPr>
          <w:rFonts w:ascii="Times New Roman" w:hAnsi="Times New Roman"/>
          <w:sz w:val="24"/>
          <w:szCs w:val="24"/>
        </w:rPr>
        <w:t xml:space="preserve"> federal Whistleblower lawsuit for his termination for alleged retaliation</w:t>
      </w:r>
      <w:r w:rsidRPr="00BF6BAF">
        <w:rPr>
          <w:rFonts w:ascii="Times New Roman" w:hAnsi="Times New Roman"/>
          <w:sz w:val="24"/>
          <w:szCs w:val="24"/>
        </w:rPr>
        <w:t xml:space="preserve">, since the theft of money by the Fire Chief was not from the </w:t>
      </w:r>
      <w:proofErr w:type="gramStart"/>
      <w:r w:rsidRPr="00BF6BAF">
        <w:rPr>
          <w:rFonts w:ascii="Times New Roman" w:hAnsi="Times New Roman"/>
          <w:sz w:val="24"/>
          <w:szCs w:val="24"/>
        </w:rPr>
        <w:t>City</w:t>
      </w:r>
      <w:proofErr w:type="gramEnd"/>
      <w:r>
        <w:rPr>
          <w:rFonts w:ascii="Times New Roman" w:hAnsi="Times New Roman"/>
          <w:sz w:val="24"/>
          <w:szCs w:val="24"/>
        </w:rPr>
        <w:t xml:space="preserve">.  The money </w:t>
      </w:r>
      <w:r w:rsidRPr="00BF6BAF">
        <w:rPr>
          <w:rFonts w:ascii="Times New Roman" w:hAnsi="Times New Roman"/>
          <w:sz w:val="24"/>
          <w:szCs w:val="24"/>
        </w:rPr>
        <w:t xml:space="preserve">was from “Gallant Blazers Organization,” where </w:t>
      </w:r>
      <w:r>
        <w:rPr>
          <w:rFonts w:ascii="Times New Roman" w:hAnsi="Times New Roman"/>
          <w:sz w:val="24"/>
          <w:szCs w:val="24"/>
        </w:rPr>
        <w:t xml:space="preserve">Fire Chief </w:t>
      </w:r>
      <w:r w:rsidRPr="00BF6BAF">
        <w:rPr>
          <w:rFonts w:ascii="Times New Roman" w:hAnsi="Times New Roman"/>
          <w:sz w:val="24"/>
          <w:szCs w:val="24"/>
        </w:rPr>
        <w:t xml:space="preserve">was President of this professional development group that helped minority firefighters in Wilmington.  See April 26, </w:t>
      </w:r>
      <w:proofErr w:type="gramStart"/>
      <w:r w:rsidRPr="00BF6BAF">
        <w:rPr>
          <w:rFonts w:ascii="Times New Roman" w:hAnsi="Times New Roman"/>
          <w:sz w:val="24"/>
          <w:szCs w:val="24"/>
        </w:rPr>
        <w:t>2019</w:t>
      </w:r>
      <w:proofErr w:type="gramEnd"/>
      <w:r w:rsidRPr="00BF6BAF">
        <w:rPr>
          <w:rFonts w:ascii="Times New Roman" w:hAnsi="Times New Roman"/>
          <w:sz w:val="24"/>
          <w:szCs w:val="24"/>
        </w:rPr>
        <w:t xml:space="preserve"> article: “Former Wilmington fire Chief Anthony Goode gets prison time for theft.” </w:t>
      </w:r>
      <w:hyperlink r:id="rId1255" w:history="1">
        <w:r w:rsidRPr="00BF6BAF">
          <w:rPr>
            <w:rStyle w:val="Hyperlink"/>
            <w:rFonts w:ascii="Times New Roman" w:hAnsi="Times New Roman"/>
            <w:sz w:val="24"/>
            <w:szCs w:val="24"/>
          </w:rPr>
          <w:t>https://www.delawareonline.com/story/news/2019/04/26/former-wilmington-fire-chief-gets-prison-time-theft/3588123002/</w:t>
        </w:r>
      </w:hyperlink>
      <w:r w:rsidRPr="00BF6BAF">
        <w:rPr>
          <w:rFonts w:ascii="Times New Roman" w:hAnsi="Times New Roman"/>
          <w:sz w:val="24"/>
          <w:szCs w:val="24"/>
        </w:rPr>
        <w:t xml:space="preserve"> </w:t>
      </w:r>
    </w:p>
    <w:p w14:paraId="0DAD9136" w14:textId="77777777" w:rsidR="009E093C" w:rsidRDefault="009E093C" w:rsidP="009E093C">
      <w:pPr>
        <w:pStyle w:val="NoSpacing"/>
        <w:rPr>
          <w:rFonts w:ascii="Times New Roman" w:hAnsi="Times New Roman"/>
          <w:sz w:val="24"/>
          <w:szCs w:val="24"/>
        </w:rPr>
      </w:pPr>
    </w:p>
    <w:p w14:paraId="56A86F66" w14:textId="77777777" w:rsidR="009E093C" w:rsidRDefault="009E093C" w:rsidP="009E093C">
      <w:pPr>
        <w:ind w:left="720"/>
        <w:rPr>
          <w:rFonts w:ascii="Times New Roman" w:hAnsi="Times New Roman"/>
          <w:sz w:val="24"/>
          <w:szCs w:val="24"/>
        </w:rPr>
      </w:pPr>
      <w:r>
        <w:rPr>
          <w:rFonts w:ascii="Times New Roman" w:hAnsi="Times New Roman"/>
          <w:sz w:val="24"/>
          <w:szCs w:val="24"/>
        </w:rPr>
        <w:t>“</w:t>
      </w:r>
      <w:r w:rsidRPr="001A3F57">
        <w:rPr>
          <w:rFonts w:ascii="Times New Roman" w:hAnsi="Times New Roman"/>
          <w:sz w:val="24"/>
          <w:szCs w:val="24"/>
        </w:rPr>
        <w:t xml:space="preserve">Accordingly, to state a claim under the Whistleblower Protection Act, Plaintiff must show that any alleged retaliation was for reporting: (1) a violation of financial management or accounting standards; </w:t>
      </w:r>
      <w:r w:rsidRPr="001A3F57">
        <w:rPr>
          <w:rFonts w:ascii="Times New Roman" w:hAnsi="Times New Roman"/>
          <w:sz w:val="24"/>
          <w:szCs w:val="24"/>
        </w:rPr>
        <w:lastRenderedPageBreak/>
        <w:t xml:space="preserve">(2) that the violation was related to funds or assets under the control of his </w:t>
      </w:r>
      <w:proofErr w:type="spellStart"/>
      <w:r w:rsidRPr="001A3F57">
        <w:rPr>
          <w:rFonts w:ascii="Times New Roman" w:hAnsi="Times New Roman"/>
          <w:sz w:val="24"/>
          <w:szCs w:val="24"/>
        </w:rPr>
        <w:t>employer;</w:t>
      </w:r>
      <w:bookmarkStart w:id="238" w:name="fn19"/>
      <w:r w:rsidRPr="001A3F57">
        <w:rPr>
          <w:rFonts w:ascii="Times New Roman" w:hAnsi="Times New Roman"/>
          <w:sz w:val="24"/>
          <w:szCs w:val="24"/>
          <w:vertAlign w:val="superscript"/>
        </w:rPr>
        <w:fldChar w:fldCharType="begin"/>
      </w:r>
      <w:r w:rsidRPr="001A3F57">
        <w:rPr>
          <w:rFonts w:ascii="Times New Roman" w:hAnsi="Times New Roman"/>
          <w:sz w:val="24"/>
          <w:szCs w:val="24"/>
          <w:vertAlign w:val="superscript"/>
        </w:rPr>
        <w:instrText xml:space="preserve"> HYPERLINK "https://public.fastcase.com/" \l "fr19" </w:instrText>
      </w:r>
      <w:r w:rsidRPr="001A3F57">
        <w:rPr>
          <w:rFonts w:ascii="Times New Roman" w:hAnsi="Times New Roman"/>
          <w:sz w:val="24"/>
          <w:szCs w:val="24"/>
          <w:vertAlign w:val="superscript"/>
        </w:rPr>
      </w:r>
      <w:r w:rsidRPr="001A3F57">
        <w:rPr>
          <w:rFonts w:ascii="Times New Roman" w:hAnsi="Times New Roman"/>
          <w:sz w:val="24"/>
          <w:szCs w:val="24"/>
          <w:vertAlign w:val="superscript"/>
        </w:rPr>
        <w:fldChar w:fldCharType="separate"/>
      </w:r>
      <w:r w:rsidR="00814FB6">
        <w:rPr>
          <w:rStyle w:val="Hyperlink"/>
        </w:rPr>
        <w:t>https</w:t>
      </w:r>
      <w:proofErr w:type="spellEnd"/>
      <w:r w:rsidR="00814FB6">
        <w:rPr>
          <w:rStyle w:val="Hyperlink"/>
        </w:rPr>
        <w:t>://public.fastcase.com/ - fr19</w:t>
      </w:r>
      <w:r w:rsidRPr="001A3F57">
        <w:rPr>
          <w:rFonts w:ascii="Times New Roman" w:hAnsi="Times New Roman"/>
          <w:sz w:val="24"/>
          <w:szCs w:val="24"/>
          <w:vertAlign w:val="superscript"/>
        </w:rPr>
        <w:fldChar w:fldCharType="end"/>
      </w:r>
      <w:bookmarkEnd w:id="238"/>
      <w:r>
        <w:rPr>
          <w:rFonts w:ascii="Times New Roman" w:hAnsi="Times New Roman"/>
          <w:sz w:val="24"/>
          <w:szCs w:val="24"/>
          <w:vertAlign w:val="superscript"/>
        </w:rPr>
        <w:t xml:space="preserve"> </w:t>
      </w:r>
      <w:r w:rsidRPr="001A3F57">
        <w:rPr>
          <w:rFonts w:ascii="Times New Roman" w:hAnsi="Times New Roman"/>
          <w:sz w:val="24"/>
          <w:szCs w:val="24"/>
        </w:rPr>
        <w:t xml:space="preserve">and (3) that the violation was due to an act or omission of his employer or an agent </w:t>
      </w:r>
      <w:proofErr w:type="spellStart"/>
      <w:r w:rsidRPr="001A3F57">
        <w:rPr>
          <w:rFonts w:ascii="Times New Roman" w:hAnsi="Times New Roman"/>
          <w:sz w:val="24"/>
          <w:szCs w:val="24"/>
        </w:rPr>
        <w:t>thereof.</w:t>
      </w:r>
      <w:bookmarkStart w:id="239" w:name="fn20"/>
      <w:r w:rsidRPr="001A3F57">
        <w:rPr>
          <w:rFonts w:ascii="Times New Roman" w:hAnsi="Times New Roman"/>
          <w:sz w:val="24"/>
          <w:szCs w:val="24"/>
          <w:vertAlign w:val="superscript"/>
        </w:rPr>
        <w:fldChar w:fldCharType="begin"/>
      </w:r>
      <w:r w:rsidRPr="001A3F57">
        <w:rPr>
          <w:rFonts w:ascii="Times New Roman" w:hAnsi="Times New Roman"/>
          <w:sz w:val="24"/>
          <w:szCs w:val="24"/>
          <w:vertAlign w:val="superscript"/>
        </w:rPr>
        <w:instrText xml:space="preserve"> HYPERLINK "https://public.fastcase.com/" \l "fr20" </w:instrText>
      </w:r>
      <w:r w:rsidRPr="001A3F57">
        <w:rPr>
          <w:rFonts w:ascii="Times New Roman" w:hAnsi="Times New Roman"/>
          <w:sz w:val="24"/>
          <w:szCs w:val="24"/>
          <w:vertAlign w:val="superscript"/>
        </w:rPr>
      </w:r>
      <w:r w:rsidRPr="001A3F57">
        <w:rPr>
          <w:rFonts w:ascii="Times New Roman" w:hAnsi="Times New Roman"/>
          <w:sz w:val="24"/>
          <w:szCs w:val="24"/>
          <w:vertAlign w:val="superscript"/>
        </w:rPr>
        <w:fldChar w:fldCharType="separate"/>
      </w:r>
      <w:r w:rsidR="00814FB6">
        <w:rPr>
          <w:rStyle w:val="Hyperlink"/>
        </w:rPr>
        <w:t>https</w:t>
      </w:r>
      <w:proofErr w:type="spellEnd"/>
      <w:r w:rsidR="00814FB6">
        <w:rPr>
          <w:rStyle w:val="Hyperlink"/>
        </w:rPr>
        <w:t>://public.fastcase.com/ - fr20</w:t>
      </w:r>
      <w:r w:rsidRPr="001A3F57">
        <w:rPr>
          <w:rFonts w:ascii="Times New Roman" w:hAnsi="Times New Roman"/>
          <w:sz w:val="24"/>
          <w:szCs w:val="24"/>
          <w:vertAlign w:val="superscript"/>
        </w:rPr>
        <w:fldChar w:fldCharType="end"/>
      </w:r>
      <w:bookmarkEnd w:id="239"/>
      <w:r>
        <w:rPr>
          <w:rFonts w:ascii="Times New Roman" w:hAnsi="Times New Roman"/>
          <w:sz w:val="24"/>
          <w:szCs w:val="24"/>
          <w:vertAlign w:val="superscript"/>
        </w:rPr>
        <w:t xml:space="preserve"> </w:t>
      </w:r>
      <w:r w:rsidRPr="001A3F57">
        <w:rPr>
          <w:rFonts w:ascii="Times New Roman" w:hAnsi="Times New Roman"/>
          <w:sz w:val="24"/>
          <w:szCs w:val="24"/>
        </w:rPr>
        <w:t>Plaintiff fails to satisfy prongs two and three.</w:t>
      </w:r>
    </w:p>
    <w:p w14:paraId="16C69165" w14:textId="77777777" w:rsidR="009E093C" w:rsidRDefault="009E093C" w:rsidP="009E093C">
      <w:pPr>
        <w:ind w:left="720"/>
        <w:rPr>
          <w:rFonts w:ascii="Times New Roman" w:hAnsi="Times New Roman"/>
          <w:sz w:val="24"/>
          <w:szCs w:val="24"/>
        </w:rPr>
      </w:pPr>
      <w:r>
        <w:rPr>
          <w:rFonts w:ascii="Times New Roman" w:hAnsi="Times New Roman"/>
          <w:sz w:val="24"/>
          <w:szCs w:val="24"/>
        </w:rPr>
        <w:t>***</w:t>
      </w:r>
    </w:p>
    <w:p w14:paraId="5AC49466" w14:textId="77777777" w:rsidR="009E093C" w:rsidRDefault="009E093C" w:rsidP="009E093C">
      <w:pPr>
        <w:pStyle w:val="NoSpacing"/>
        <w:ind w:left="720"/>
        <w:rPr>
          <w:rFonts w:ascii="Times New Roman" w:hAnsi="Times New Roman"/>
          <w:sz w:val="24"/>
          <w:szCs w:val="24"/>
        </w:rPr>
      </w:pPr>
      <w:r w:rsidRPr="001A3F57">
        <w:rPr>
          <w:rFonts w:ascii="Times New Roman" w:hAnsi="Times New Roman"/>
          <w:sz w:val="24"/>
          <w:szCs w:val="24"/>
        </w:rPr>
        <w:t xml:space="preserve">Following an investigation, public records </w:t>
      </w:r>
      <w:proofErr w:type="gramStart"/>
      <w:r w:rsidRPr="001A3F57">
        <w:rPr>
          <w:rFonts w:ascii="Times New Roman" w:hAnsi="Times New Roman"/>
          <w:sz w:val="24"/>
          <w:szCs w:val="24"/>
        </w:rPr>
        <w:t>reflect</w:t>
      </w:r>
      <w:proofErr w:type="gramEnd"/>
      <w:r w:rsidRPr="001A3F57">
        <w:rPr>
          <w:rFonts w:ascii="Times New Roman" w:hAnsi="Times New Roman"/>
          <w:sz w:val="24"/>
          <w:szCs w:val="24"/>
        </w:rPr>
        <w:t xml:space="preserve"> that the DOJ brought criminal charges including criminal racketeering and theft against Goode, who subsequently pled guilty to theft of $50,000 or more and unlawful use of a payment card. In 2019, he was sentenced to one year in prison followed by a period of probation</w:t>
      </w:r>
      <w:r>
        <w:rPr>
          <w:rFonts w:ascii="Times New Roman" w:hAnsi="Times New Roman"/>
          <w:sz w:val="24"/>
          <w:szCs w:val="24"/>
        </w:rPr>
        <w:t xml:space="preserve"> </w:t>
      </w:r>
      <w:r w:rsidRPr="001A3F57">
        <w:rPr>
          <w:rFonts w:ascii="Times New Roman" w:hAnsi="Times New Roman"/>
          <w:sz w:val="24"/>
          <w:szCs w:val="24"/>
        </w:rPr>
        <w:t xml:space="preserve">and </w:t>
      </w:r>
      <w:proofErr w:type="gramStart"/>
      <w:r w:rsidRPr="001A3F57">
        <w:rPr>
          <w:rFonts w:ascii="Times New Roman" w:hAnsi="Times New Roman"/>
          <w:sz w:val="24"/>
          <w:szCs w:val="24"/>
        </w:rPr>
        <w:t>repay</w:t>
      </w:r>
      <w:proofErr w:type="gramEnd"/>
      <w:r w:rsidRPr="001A3F57">
        <w:rPr>
          <w:rFonts w:ascii="Times New Roman" w:hAnsi="Times New Roman"/>
          <w:sz w:val="24"/>
          <w:szCs w:val="24"/>
        </w:rPr>
        <w:t xml:space="preserve"> the Gallant Blazers more than $</w:t>
      </w:r>
      <w:proofErr w:type="gramStart"/>
      <w:r w:rsidRPr="001A3F57">
        <w:rPr>
          <w:rFonts w:ascii="Times New Roman" w:hAnsi="Times New Roman"/>
          <w:sz w:val="24"/>
          <w:szCs w:val="24"/>
        </w:rPr>
        <w:t>62,000.</w:t>
      </w:r>
      <w:r>
        <w:rPr>
          <w:rFonts w:ascii="Times New Roman" w:hAnsi="Times New Roman"/>
          <w:sz w:val="24"/>
          <w:szCs w:val="24"/>
        </w:rPr>
        <w:t>”</w:t>
      </w:r>
      <w:proofErr w:type="gramEnd"/>
      <w:r>
        <w:rPr>
          <w:rFonts w:ascii="Times New Roman" w:hAnsi="Times New Roman"/>
          <w:sz w:val="24"/>
          <w:szCs w:val="24"/>
        </w:rPr>
        <w:t xml:space="preserve">  [Footnote 3.]</w:t>
      </w:r>
    </w:p>
    <w:p w14:paraId="427DFC8C" w14:textId="77777777" w:rsidR="009E093C" w:rsidRPr="001A3F57" w:rsidRDefault="009E093C" w:rsidP="009E093C">
      <w:pPr>
        <w:pStyle w:val="NoSpacing"/>
        <w:ind w:left="720"/>
        <w:rPr>
          <w:rFonts w:ascii="Times New Roman" w:hAnsi="Times New Roman"/>
          <w:sz w:val="24"/>
          <w:szCs w:val="24"/>
        </w:rPr>
      </w:pPr>
      <w:hyperlink r:id="rId1256" w:history="1">
        <w:r w:rsidRPr="00BA14DC">
          <w:rPr>
            <w:rStyle w:val="Hyperlink"/>
            <w:rFonts w:ascii="Times New Roman" w:hAnsi="Times New Roman"/>
            <w:sz w:val="24"/>
            <w:szCs w:val="24"/>
          </w:rPr>
          <w:t>https://casetext.com/case/hayman-v-city-of-wilmington</w:t>
        </w:r>
      </w:hyperlink>
      <w:r>
        <w:rPr>
          <w:rFonts w:ascii="Times New Roman" w:hAnsi="Times New Roman"/>
          <w:sz w:val="24"/>
          <w:szCs w:val="24"/>
        </w:rPr>
        <w:t xml:space="preserve"> </w:t>
      </w:r>
    </w:p>
    <w:p w14:paraId="764E6B7C" w14:textId="77777777" w:rsidR="009E093C" w:rsidRPr="00500FB1" w:rsidRDefault="009E093C" w:rsidP="009E093C">
      <w:pPr>
        <w:pStyle w:val="NoSpacing"/>
        <w:tabs>
          <w:tab w:val="left" w:pos="7640"/>
        </w:tabs>
        <w:rPr>
          <w:rFonts w:ascii="Times New Roman" w:hAnsi="Times New Roman"/>
          <w:sz w:val="24"/>
          <w:szCs w:val="24"/>
        </w:rPr>
      </w:pPr>
    </w:p>
    <w:p w14:paraId="55985BD9" w14:textId="77777777" w:rsidR="009E093C" w:rsidRDefault="009E093C" w:rsidP="009E093C">
      <w:pPr>
        <w:pStyle w:val="Heading1"/>
        <w:rPr>
          <w:b w:val="0"/>
          <w:bCs w:val="0"/>
          <w:sz w:val="24"/>
          <w:szCs w:val="24"/>
        </w:rPr>
      </w:pPr>
      <w:r w:rsidRPr="00885D66">
        <w:rPr>
          <w:sz w:val="24"/>
          <w:szCs w:val="24"/>
        </w:rPr>
        <w:t>Legal Lesson Learned: It is unfortunate that the firefighter did not retain legal counsel.</w:t>
      </w:r>
      <w:r w:rsidRPr="00885D66">
        <w:rPr>
          <w:b w:val="0"/>
          <w:bCs w:val="0"/>
          <w:sz w:val="24"/>
          <w:szCs w:val="24"/>
        </w:rPr>
        <w:t xml:space="preserve">  </w:t>
      </w:r>
    </w:p>
    <w:p w14:paraId="51088426" w14:textId="77777777" w:rsidR="009E093C" w:rsidRPr="007668F4" w:rsidRDefault="009E093C" w:rsidP="009E093C">
      <w:pPr>
        <w:pStyle w:val="Heading1"/>
        <w:ind w:left="720"/>
        <w:rPr>
          <w:b w:val="0"/>
          <w:bCs w:val="0"/>
          <w:sz w:val="24"/>
          <w:szCs w:val="24"/>
        </w:rPr>
      </w:pPr>
      <w:r>
        <w:rPr>
          <w:b w:val="0"/>
          <w:bCs w:val="0"/>
          <w:sz w:val="24"/>
          <w:szCs w:val="24"/>
        </w:rPr>
        <w:t xml:space="preserve">Note: </w:t>
      </w:r>
      <w:r w:rsidRPr="00885D66">
        <w:rPr>
          <w:b w:val="0"/>
          <w:bCs w:val="0"/>
          <w:sz w:val="24"/>
          <w:szCs w:val="24"/>
        </w:rPr>
        <w:t xml:space="preserve">If there were any federal funds involved in the theft, </w:t>
      </w:r>
      <w:r>
        <w:rPr>
          <w:b w:val="0"/>
          <w:bCs w:val="0"/>
          <w:sz w:val="24"/>
          <w:szCs w:val="24"/>
        </w:rPr>
        <w:t xml:space="preserve">plaintiff </w:t>
      </w:r>
      <w:r w:rsidRPr="00885D66">
        <w:rPr>
          <w:b w:val="0"/>
          <w:bCs w:val="0"/>
          <w:sz w:val="24"/>
          <w:szCs w:val="24"/>
        </w:rPr>
        <w:t>could have filed a civil whistleblower claim under seal</w:t>
      </w:r>
      <w:r>
        <w:rPr>
          <w:b w:val="0"/>
          <w:bCs w:val="0"/>
          <w:sz w:val="24"/>
          <w:szCs w:val="24"/>
        </w:rPr>
        <w:t xml:space="preserve">, and then </w:t>
      </w:r>
      <w:r w:rsidRPr="00885D66">
        <w:rPr>
          <w:b w:val="0"/>
          <w:bCs w:val="0"/>
          <w:sz w:val="24"/>
          <w:szCs w:val="24"/>
        </w:rPr>
        <w:t>U.S. Attorney’s Office in Delaware</w:t>
      </w:r>
      <w:r>
        <w:rPr>
          <w:b w:val="0"/>
          <w:bCs w:val="0"/>
          <w:sz w:val="24"/>
          <w:szCs w:val="24"/>
        </w:rPr>
        <w:t xml:space="preserve"> and FBI could help  pursue his civil action. </w:t>
      </w:r>
      <w:r w:rsidRPr="00885D66">
        <w:rPr>
          <w:b w:val="0"/>
          <w:bCs w:val="0"/>
          <w:sz w:val="24"/>
          <w:szCs w:val="24"/>
        </w:rPr>
        <w:t xml:space="preserve"> </w:t>
      </w:r>
      <w:r>
        <w:rPr>
          <w:b w:val="0"/>
          <w:bCs w:val="0"/>
          <w:sz w:val="24"/>
          <w:szCs w:val="24"/>
        </w:rPr>
        <w:t>“</w:t>
      </w:r>
      <w:r w:rsidRPr="00C03B09">
        <w:rPr>
          <w:b w:val="0"/>
          <w:bCs w:val="0"/>
          <w:sz w:val="24"/>
          <w:szCs w:val="24"/>
        </w:rPr>
        <w:t>In FY2019, qui tam whistleblowers received $272 million in rewards</w:t>
      </w:r>
      <w:r>
        <w:rPr>
          <w:b w:val="0"/>
          <w:bCs w:val="0"/>
          <w:sz w:val="24"/>
          <w:szCs w:val="24"/>
        </w:rPr>
        <w:t>.”</w:t>
      </w:r>
      <w:r w:rsidRPr="00C03B09">
        <w:t xml:space="preserve"> </w:t>
      </w:r>
      <w:r w:rsidRPr="00C03B09">
        <w:rPr>
          <w:i/>
          <w:iCs/>
          <w:sz w:val="24"/>
          <w:szCs w:val="24"/>
        </w:rPr>
        <w:t>Department of Justice Report Shows Whistleblowers Consistently Rewarded through Qui Tam Lawsuits</w:t>
      </w:r>
      <w:r>
        <w:rPr>
          <w:i/>
          <w:iCs/>
          <w:sz w:val="24"/>
          <w:szCs w:val="24"/>
        </w:rPr>
        <w:t xml:space="preserve">. </w:t>
      </w:r>
      <w:hyperlink r:id="rId1257" w:history="1">
        <w:r w:rsidRPr="007668F4">
          <w:rPr>
            <w:rStyle w:val="Hyperlink"/>
            <w:b w:val="0"/>
            <w:bCs w:val="0"/>
            <w:sz w:val="24"/>
            <w:szCs w:val="24"/>
          </w:rPr>
          <w:t>https://www.natlawreview.com/article/department-justice-report-shows-whistleblowers-consistently-rewarded-through-qui-tam</w:t>
        </w:r>
      </w:hyperlink>
      <w:r w:rsidRPr="007668F4">
        <w:rPr>
          <w:b w:val="0"/>
          <w:bCs w:val="0"/>
          <w:sz w:val="24"/>
          <w:szCs w:val="24"/>
        </w:rPr>
        <w:t xml:space="preserve"> </w:t>
      </w:r>
    </w:p>
    <w:p w14:paraId="4EC28A5C" w14:textId="77777777" w:rsidR="009E093C" w:rsidRDefault="009E093C" w:rsidP="009E093C">
      <w:pPr>
        <w:pStyle w:val="Heading1"/>
        <w:ind w:left="1440" w:hanging="720"/>
        <w:rPr>
          <w:b w:val="0"/>
          <w:bCs w:val="0"/>
          <w:sz w:val="24"/>
          <w:szCs w:val="24"/>
        </w:rPr>
      </w:pPr>
      <w:r>
        <w:rPr>
          <w:b w:val="0"/>
          <w:bCs w:val="0"/>
          <w:sz w:val="24"/>
          <w:szCs w:val="24"/>
        </w:rPr>
        <w:t xml:space="preserve">The State of Delaware also has a whistleblower protection statute. It provides, in part:  </w:t>
      </w:r>
    </w:p>
    <w:p w14:paraId="1842BC1F" w14:textId="77777777" w:rsidR="009E093C" w:rsidRPr="007668F4" w:rsidRDefault="009E093C" w:rsidP="009E093C">
      <w:pPr>
        <w:pStyle w:val="Heading1"/>
        <w:ind w:left="1440"/>
        <w:rPr>
          <w:b w:val="0"/>
          <w:bCs w:val="0"/>
          <w:sz w:val="24"/>
          <w:szCs w:val="24"/>
        </w:rPr>
      </w:pPr>
      <w:r>
        <w:rPr>
          <w:b w:val="0"/>
          <w:bCs w:val="0"/>
          <w:sz w:val="24"/>
          <w:szCs w:val="24"/>
        </w:rPr>
        <w:t>“</w:t>
      </w:r>
      <w:r w:rsidRPr="00C03B09">
        <w:rPr>
          <w:b w:val="0"/>
          <w:bCs w:val="0"/>
          <w:sz w:val="24"/>
          <w:szCs w:val="24"/>
        </w:rPr>
        <w:t>A court, in rendering a judgment in an action brought under this chapter, shall order, as the court considers appropriate, reinstatement of the employee, the payment of back wages, full reinstatement of fringe benefits and seniority rights, expungement of records relating to the disciplinary action or discharge, actual damages, or any combination of these remedies. A court may also award, as part of a judgment in an action brought under this chapter, all or a portion of the costs of litigation, including attorneys’ fees, if the court determines that such an award is appropriate.</w:t>
      </w:r>
      <w:r>
        <w:rPr>
          <w:b w:val="0"/>
          <w:bCs w:val="0"/>
          <w:sz w:val="24"/>
          <w:szCs w:val="24"/>
        </w:rPr>
        <w:t xml:space="preserve">” </w:t>
      </w:r>
      <w:hyperlink r:id="rId1258" w:history="1">
        <w:r w:rsidRPr="007668F4">
          <w:rPr>
            <w:rStyle w:val="Hyperlink"/>
            <w:b w:val="0"/>
            <w:bCs w:val="0"/>
            <w:sz w:val="24"/>
            <w:szCs w:val="24"/>
          </w:rPr>
          <w:t>https://delcode.delaware.gov/title19/c017/index.shtml</w:t>
        </w:r>
      </w:hyperlink>
      <w:r w:rsidRPr="007668F4">
        <w:rPr>
          <w:b w:val="0"/>
          <w:bCs w:val="0"/>
          <w:sz w:val="24"/>
          <w:szCs w:val="24"/>
        </w:rPr>
        <w:t xml:space="preserve"> </w:t>
      </w:r>
    </w:p>
    <w:p w14:paraId="5337BCCA" w14:textId="77777777" w:rsidR="009E093C" w:rsidRDefault="009E093C" w:rsidP="009E093C">
      <w:pPr>
        <w:rPr>
          <w:rFonts w:ascii="Times New Roman" w:hAnsi="Times New Roman"/>
          <w:sz w:val="24"/>
          <w:szCs w:val="24"/>
        </w:rPr>
      </w:pPr>
    </w:p>
    <w:p w14:paraId="3449CF53" w14:textId="77777777" w:rsidR="009E093C" w:rsidRDefault="009E093C" w:rsidP="00EF1133">
      <w:pPr>
        <w:rPr>
          <w:rFonts w:ascii="Arial Black" w:hAnsi="Arial Black"/>
          <w:b/>
          <w:sz w:val="24"/>
          <w:szCs w:val="24"/>
        </w:rPr>
      </w:pPr>
    </w:p>
    <w:p w14:paraId="5BB4AF46" w14:textId="77777777" w:rsidR="009E093C" w:rsidRDefault="009E093C" w:rsidP="00EF1133">
      <w:pPr>
        <w:rPr>
          <w:rFonts w:ascii="Arial Black" w:hAnsi="Arial Black"/>
          <w:b/>
          <w:sz w:val="24"/>
          <w:szCs w:val="24"/>
        </w:rPr>
      </w:pPr>
    </w:p>
    <w:p w14:paraId="7330DF42" w14:textId="41CE56AD" w:rsidR="009E093C" w:rsidRDefault="009E093C" w:rsidP="00EF1133">
      <w:pPr>
        <w:rPr>
          <w:rFonts w:ascii="Arial Black" w:hAnsi="Arial Black"/>
          <w:b/>
          <w:sz w:val="24"/>
          <w:szCs w:val="24"/>
        </w:rPr>
      </w:pPr>
      <w:r>
        <w:rPr>
          <w:rFonts w:ascii="Arial Black" w:hAnsi="Arial Black"/>
          <w:b/>
          <w:sz w:val="24"/>
          <w:szCs w:val="24"/>
        </w:rPr>
        <w:t>6-5</w:t>
      </w:r>
      <w:r w:rsidR="008F02C3">
        <w:rPr>
          <w:rFonts w:ascii="Arial Black" w:hAnsi="Arial Black"/>
          <w:b/>
          <w:sz w:val="24"/>
          <w:szCs w:val="24"/>
        </w:rPr>
        <w:t>3</w:t>
      </w:r>
    </w:p>
    <w:p w14:paraId="3862857D" w14:textId="77777777" w:rsidR="009E093C" w:rsidRDefault="009E093C" w:rsidP="009E093C">
      <w:pPr>
        <w:pStyle w:val="NoSpacing"/>
        <w:rPr>
          <w:rFonts w:ascii="Arial Black" w:hAnsi="Arial Black"/>
          <w:sz w:val="28"/>
          <w:szCs w:val="28"/>
        </w:rPr>
      </w:pPr>
      <w:r>
        <w:rPr>
          <w:rFonts w:ascii="Arial Black" w:hAnsi="Arial Black"/>
          <w:sz w:val="28"/>
          <w:szCs w:val="28"/>
        </w:rPr>
        <w:t>MI: DEPUTY SHERIFF REPORTED MISUSE DRUG FORFEITURE FUNDS – 1</w:t>
      </w:r>
      <w:r w:rsidRPr="00EB4193">
        <w:rPr>
          <w:rFonts w:ascii="Arial Black" w:hAnsi="Arial Black"/>
          <w:sz w:val="28"/>
          <w:szCs w:val="28"/>
          <w:vertAlign w:val="superscript"/>
        </w:rPr>
        <w:t>st</w:t>
      </w:r>
      <w:r>
        <w:rPr>
          <w:rFonts w:ascii="Arial Black" w:hAnsi="Arial Black"/>
          <w:sz w:val="28"/>
          <w:szCs w:val="28"/>
        </w:rPr>
        <w:t xml:space="preserve"> AMEND. ONLY IF SPEAKING AS “PRIVATE CITIZEN” </w:t>
      </w:r>
    </w:p>
    <w:p w14:paraId="36A7E55A" w14:textId="77777777" w:rsidR="009E093C" w:rsidRDefault="009E093C" w:rsidP="009E093C">
      <w:pPr>
        <w:pStyle w:val="NoSpacing"/>
        <w:rPr>
          <w:rFonts w:ascii="Arial Black" w:hAnsi="Arial Black"/>
          <w:sz w:val="28"/>
          <w:szCs w:val="28"/>
        </w:rPr>
      </w:pPr>
    </w:p>
    <w:p w14:paraId="62167879" w14:textId="77777777" w:rsidR="009E093C" w:rsidRDefault="009E093C" w:rsidP="009E093C">
      <w:pPr>
        <w:pStyle w:val="NoSpacing"/>
        <w:rPr>
          <w:rFonts w:ascii="Times New Roman" w:hAnsi="Times New Roman"/>
          <w:sz w:val="24"/>
          <w:szCs w:val="24"/>
        </w:rPr>
      </w:pPr>
      <w:r>
        <w:rPr>
          <w:rFonts w:ascii="Times New Roman" w:hAnsi="Times New Roman"/>
          <w:sz w:val="24"/>
          <w:szCs w:val="24"/>
        </w:rPr>
        <w:t xml:space="preserve">On Oct. 9, 2020, in </w:t>
      </w:r>
      <w:r w:rsidRPr="00FE06D1">
        <w:rPr>
          <w:rFonts w:ascii="Times New Roman" w:hAnsi="Times New Roman"/>
          <w:sz w:val="24"/>
          <w:szCs w:val="24"/>
          <w:u w:val="single"/>
        </w:rPr>
        <w:t>Garrett De</w:t>
      </w:r>
      <w:r>
        <w:rPr>
          <w:rFonts w:ascii="Times New Roman" w:hAnsi="Times New Roman"/>
          <w:sz w:val="24"/>
          <w:szCs w:val="24"/>
          <w:u w:val="single"/>
        </w:rPr>
        <w:t>W</w:t>
      </w:r>
      <w:r w:rsidRPr="00FE06D1">
        <w:rPr>
          <w:rFonts w:ascii="Times New Roman" w:hAnsi="Times New Roman"/>
          <w:sz w:val="24"/>
          <w:szCs w:val="24"/>
          <w:u w:val="single"/>
        </w:rPr>
        <w:t xml:space="preserve">yse v. </w:t>
      </w:r>
      <w:r>
        <w:rPr>
          <w:rFonts w:ascii="Times New Roman" w:hAnsi="Times New Roman"/>
          <w:sz w:val="24"/>
          <w:szCs w:val="24"/>
          <w:u w:val="single"/>
        </w:rPr>
        <w:t xml:space="preserve">William L. Federspiel, Heather Beyerlein, and </w:t>
      </w:r>
      <w:r w:rsidRPr="00FE06D1">
        <w:rPr>
          <w:rFonts w:ascii="Times New Roman" w:hAnsi="Times New Roman"/>
          <w:sz w:val="24"/>
          <w:szCs w:val="24"/>
          <w:u w:val="single"/>
        </w:rPr>
        <w:t>County of Saginaw, et al</w:t>
      </w:r>
      <w:r>
        <w:rPr>
          <w:rFonts w:ascii="Times New Roman" w:hAnsi="Times New Roman"/>
          <w:sz w:val="24"/>
          <w:szCs w:val="24"/>
        </w:rPr>
        <w:t>., the U.S. Court of Appeals for 6</w:t>
      </w:r>
      <w:r w:rsidRPr="00FE06D1">
        <w:rPr>
          <w:rFonts w:ascii="Times New Roman" w:hAnsi="Times New Roman"/>
          <w:sz w:val="24"/>
          <w:szCs w:val="24"/>
          <w:vertAlign w:val="superscript"/>
        </w:rPr>
        <w:t>th</w:t>
      </w:r>
      <w:r>
        <w:rPr>
          <w:rFonts w:ascii="Times New Roman" w:hAnsi="Times New Roman"/>
          <w:sz w:val="24"/>
          <w:szCs w:val="24"/>
        </w:rPr>
        <w:t xml:space="preserve"> Circuit (Cincinnati), held (3 to 0; unreported decision) the trial court judge properly dismissed the First Amendment retaliation lawsuit by Deputy who reported to County Finance Director possible misuse of drug forfeiture funds.  The Deputy </w:t>
      </w:r>
      <w:proofErr w:type="gramStart"/>
      <w:r>
        <w:rPr>
          <w:rFonts w:ascii="Times New Roman" w:hAnsi="Times New Roman"/>
          <w:sz w:val="24"/>
          <w:szCs w:val="24"/>
        </w:rPr>
        <w:t>was in charge of</w:t>
      </w:r>
      <w:proofErr w:type="gramEnd"/>
      <w:r>
        <w:rPr>
          <w:rFonts w:ascii="Times New Roman" w:hAnsi="Times New Roman"/>
          <w:sz w:val="24"/>
          <w:szCs w:val="24"/>
        </w:rPr>
        <w:t xml:space="preserve"> Property &amp; Evidence Room and was reporting on an item related to his official duties; he was not “speaking” as a private citizen reporting on an item of great public concern.   </w:t>
      </w:r>
    </w:p>
    <w:p w14:paraId="13189E70" w14:textId="77777777" w:rsidR="009E093C" w:rsidRDefault="009E093C" w:rsidP="009E093C">
      <w:pPr>
        <w:pStyle w:val="NoSpacing"/>
        <w:rPr>
          <w:rFonts w:ascii="Times New Roman" w:hAnsi="Times New Roman"/>
          <w:sz w:val="24"/>
          <w:szCs w:val="24"/>
        </w:rPr>
      </w:pPr>
    </w:p>
    <w:p w14:paraId="3282F86B" w14:textId="77777777" w:rsidR="009E093C" w:rsidRDefault="009E093C" w:rsidP="009E093C">
      <w:pPr>
        <w:pStyle w:val="NoSpacing"/>
        <w:ind w:left="720"/>
        <w:rPr>
          <w:rFonts w:ascii="Times New Roman" w:hAnsi="Times New Roman"/>
          <w:sz w:val="24"/>
          <w:szCs w:val="24"/>
        </w:rPr>
      </w:pPr>
      <w:r>
        <w:rPr>
          <w:rFonts w:ascii="Times New Roman" w:hAnsi="Times New Roman"/>
          <w:sz w:val="24"/>
          <w:szCs w:val="24"/>
        </w:rPr>
        <w:t>“</w:t>
      </w:r>
      <w:r w:rsidRPr="002D5EC1">
        <w:rPr>
          <w:rFonts w:ascii="Times New Roman" w:hAnsi="Times New Roman"/>
          <w:sz w:val="24"/>
          <w:szCs w:val="24"/>
        </w:rPr>
        <w:t>In reaching this</w:t>
      </w:r>
      <w:r>
        <w:rPr>
          <w:rFonts w:ascii="Times New Roman" w:hAnsi="Times New Roman"/>
          <w:sz w:val="24"/>
          <w:szCs w:val="24"/>
        </w:rPr>
        <w:t xml:space="preserve"> </w:t>
      </w:r>
      <w:r w:rsidRPr="002D5EC1">
        <w:rPr>
          <w:rFonts w:ascii="Times New Roman" w:hAnsi="Times New Roman"/>
          <w:sz w:val="24"/>
          <w:szCs w:val="24"/>
        </w:rPr>
        <w:t>outcome, we do not question DeWyse’s motivation, nor</w:t>
      </w:r>
      <w:r>
        <w:rPr>
          <w:rFonts w:ascii="Times New Roman" w:hAnsi="Times New Roman"/>
          <w:sz w:val="24"/>
          <w:szCs w:val="24"/>
        </w:rPr>
        <w:t xml:space="preserve"> </w:t>
      </w:r>
      <w:r w:rsidRPr="002D5EC1">
        <w:rPr>
          <w:rFonts w:ascii="Times New Roman" w:hAnsi="Times New Roman"/>
          <w:sz w:val="24"/>
          <w:szCs w:val="24"/>
        </w:rPr>
        <w:t>do we</w:t>
      </w:r>
      <w:r>
        <w:rPr>
          <w:rFonts w:ascii="Times New Roman" w:hAnsi="Times New Roman"/>
          <w:sz w:val="24"/>
          <w:szCs w:val="24"/>
        </w:rPr>
        <w:t xml:space="preserve"> </w:t>
      </w:r>
      <w:r w:rsidRPr="002D5EC1">
        <w:rPr>
          <w:rFonts w:ascii="Times New Roman" w:hAnsi="Times New Roman"/>
          <w:sz w:val="24"/>
          <w:szCs w:val="24"/>
        </w:rPr>
        <w:t>condone</w:t>
      </w:r>
      <w:r>
        <w:rPr>
          <w:rFonts w:ascii="Times New Roman" w:hAnsi="Times New Roman"/>
          <w:sz w:val="24"/>
          <w:szCs w:val="24"/>
        </w:rPr>
        <w:t xml:space="preserve"> </w:t>
      </w:r>
      <w:r w:rsidRPr="002D5EC1">
        <w:rPr>
          <w:rFonts w:ascii="Times New Roman" w:hAnsi="Times New Roman"/>
          <w:sz w:val="24"/>
          <w:szCs w:val="24"/>
        </w:rPr>
        <w:t>disciplining</w:t>
      </w:r>
      <w:r>
        <w:rPr>
          <w:rFonts w:ascii="Times New Roman" w:hAnsi="Times New Roman"/>
          <w:sz w:val="24"/>
          <w:szCs w:val="24"/>
        </w:rPr>
        <w:t xml:space="preserve"> </w:t>
      </w:r>
      <w:r w:rsidRPr="002D5EC1">
        <w:rPr>
          <w:rFonts w:ascii="Times New Roman" w:hAnsi="Times New Roman"/>
          <w:sz w:val="24"/>
          <w:szCs w:val="24"/>
        </w:rPr>
        <w:t>public employees</w:t>
      </w:r>
      <w:r>
        <w:rPr>
          <w:rFonts w:ascii="Times New Roman" w:hAnsi="Times New Roman"/>
          <w:sz w:val="24"/>
          <w:szCs w:val="24"/>
        </w:rPr>
        <w:t xml:space="preserve"> </w:t>
      </w:r>
      <w:r w:rsidRPr="002D5EC1">
        <w:rPr>
          <w:rFonts w:ascii="Times New Roman" w:hAnsi="Times New Roman"/>
          <w:sz w:val="24"/>
          <w:szCs w:val="24"/>
        </w:rPr>
        <w:t>for raising concerns about government mismanagement or</w:t>
      </w:r>
      <w:r>
        <w:rPr>
          <w:rFonts w:ascii="Times New Roman" w:hAnsi="Times New Roman"/>
          <w:sz w:val="24"/>
          <w:szCs w:val="24"/>
        </w:rPr>
        <w:t xml:space="preserve"> </w:t>
      </w:r>
      <w:r w:rsidRPr="002D5EC1">
        <w:rPr>
          <w:rFonts w:ascii="Times New Roman" w:hAnsi="Times New Roman"/>
          <w:sz w:val="24"/>
          <w:szCs w:val="24"/>
        </w:rPr>
        <w:t>corruption.</w:t>
      </w:r>
      <w:r>
        <w:rPr>
          <w:rFonts w:ascii="Times New Roman" w:hAnsi="Times New Roman"/>
          <w:sz w:val="24"/>
          <w:szCs w:val="24"/>
        </w:rPr>
        <w:t xml:space="preserve"> </w:t>
      </w:r>
      <w:r w:rsidRPr="002D5EC1">
        <w:rPr>
          <w:rFonts w:ascii="Times New Roman" w:hAnsi="Times New Roman"/>
          <w:sz w:val="24"/>
          <w:szCs w:val="24"/>
        </w:rPr>
        <w:t>See Mayhew, 859 F.3d at 466.</w:t>
      </w:r>
      <w:r>
        <w:rPr>
          <w:rFonts w:ascii="Times New Roman" w:hAnsi="Times New Roman"/>
          <w:sz w:val="24"/>
          <w:szCs w:val="24"/>
        </w:rPr>
        <w:t xml:space="preserve"> </w:t>
      </w:r>
      <w:r w:rsidRPr="002D5EC1">
        <w:rPr>
          <w:rFonts w:ascii="Times New Roman" w:hAnsi="Times New Roman"/>
          <w:sz w:val="24"/>
          <w:szCs w:val="24"/>
        </w:rPr>
        <w:t>But</w:t>
      </w:r>
      <w:r>
        <w:rPr>
          <w:rFonts w:ascii="Times New Roman" w:hAnsi="Times New Roman"/>
          <w:sz w:val="24"/>
          <w:szCs w:val="24"/>
        </w:rPr>
        <w:t xml:space="preserve"> </w:t>
      </w:r>
      <w:r w:rsidRPr="002D5EC1">
        <w:rPr>
          <w:rFonts w:ascii="Times New Roman" w:hAnsi="Times New Roman"/>
          <w:sz w:val="24"/>
          <w:szCs w:val="24"/>
        </w:rPr>
        <w:t>in this public employment setting, laudable intent</w:t>
      </w:r>
      <w:r>
        <w:rPr>
          <w:rFonts w:ascii="Times New Roman" w:hAnsi="Times New Roman"/>
          <w:sz w:val="24"/>
          <w:szCs w:val="24"/>
        </w:rPr>
        <w:t xml:space="preserve"> </w:t>
      </w:r>
      <w:r w:rsidRPr="002D5EC1">
        <w:rPr>
          <w:rFonts w:ascii="Times New Roman" w:hAnsi="Times New Roman"/>
          <w:sz w:val="24"/>
          <w:szCs w:val="24"/>
        </w:rPr>
        <w:t>alone</w:t>
      </w:r>
      <w:r>
        <w:rPr>
          <w:rFonts w:ascii="Times New Roman" w:hAnsi="Times New Roman"/>
          <w:sz w:val="24"/>
          <w:szCs w:val="24"/>
        </w:rPr>
        <w:t xml:space="preserve"> </w:t>
      </w:r>
      <w:r w:rsidRPr="002D5EC1">
        <w:rPr>
          <w:rFonts w:ascii="Times New Roman" w:hAnsi="Times New Roman"/>
          <w:sz w:val="24"/>
          <w:szCs w:val="24"/>
        </w:rPr>
        <w:t>is not enough to secure First Amendment protection. See Haddad, 910 F.3d at 249–50. As</w:t>
      </w:r>
      <w:r>
        <w:rPr>
          <w:rFonts w:ascii="Times New Roman" w:hAnsi="Times New Roman"/>
          <w:sz w:val="24"/>
          <w:szCs w:val="24"/>
        </w:rPr>
        <w:t xml:space="preserve"> </w:t>
      </w:r>
      <w:r w:rsidRPr="002D5EC1">
        <w:rPr>
          <w:rFonts w:ascii="Times New Roman" w:hAnsi="Times New Roman"/>
          <w:sz w:val="24"/>
          <w:szCs w:val="24"/>
        </w:rPr>
        <w:t>DeWyse’s communications</w:t>
      </w:r>
      <w:r>
        <w:rPr>
          <w:rFonts w:ascii="Times New Roman" w:hAnsi="Times New Roman"/>
          <w:sz w:val="24"/>
          <w:szCs w:val="24"/>
        </w:rPr>
        <w:t xml:space="preserve"> </w:t>
      </w:r>
      <w:r w:rsidRPr="002D5EC1">
        <w:rPr>
          <w:rFonts w:ascii="Times New Roman" w:hAnsi="Times New Roman"/>
          <w:sz w:val="24"/>
          <w:szCs w:val="24"/>
        </w:rPr>
        <w:t>fell within the scope of his employment and were</w:t>
      </w:r>
      <w:r>
        <w:rPr>
          <w:rFonts w:ascii="Times New Roman" w:hAnsi="Times New Roman"/>
          <w:sz w:val="24"/>
          <w:szCs w:val="24"/>
        </w:rPr>
        <w:t xml:space="preserve"> </w:t>
      </w:r>
      <w:r w:rsidRPr="002D5EC1">
        <w:rPr>
          <w:rFonts w:ascii="Times New Roman" w:hAnsi="Times New Roman"/>
          <w:sz w:val="24"/>
          <w:szCs w:val="24"/>
        </w:rPr>
        <w:t>made pursuant to his assigned duties, he</w:t>
      </w:r>
      <w:r>
        <w:rPr>
          <w:rFonts w:ascii="Times New Roman" w:hAnsi="Times New Roman"/>
          <w:sz w:val="24"/>
          <w:szCs w:val="24"/>
        </w:rPr>
        <w:t xml:space="preserve"> </w:t>
      </w:r>
      <w:r w:rsidRPr="002D5EC1">
        <w:rPr>
          <w:rFonts w:ascii="Times New Roman" w:hAnsi="Times New Roman"/>
          <w:sz w:val="24"/>
          <w:szCs w:val="24"/>
        </w:rPr>
        <w:t>spoke as a public employee, meaning</w:t>
      </w:r>
      <w:r>
        <w:rPr>
          <w:rFonts w:ascii="Times New Roman" w:hAnsi="Times New Roman"/>
          <w:sz w:val="24"/>
          <w:szCs w:val="24"/>
        </w:rPr>
        <w:t xml:space="preserve"> </w:t>
      </w:r>
      <w:r w:rsidRPr="002D5EC1">
        <w:rPr>
          <w:rFonts w:ascii="Times New Roman" w:hAnsi="Times New Roman"/>
          <w:sz w:val="24"/>
          <w:szCs w:val="24"/>
        </w:rPr>
        <w:t>his speech is unprotected.</w:t>
      </w:r>
      <w:r>
        <w:rPr>
          <w:rFonts w:ascii="Times New Roman" w:hAnsi="Times New Roman"/>
          <w:sz w:val="24"/>
          <w:szCs w:val="24"/>
        </w:rPr>
        <w:t xml:space="preserve">” </w:t>
      </w:r>
      <w:hyperlink r:id="rId1259" w:history="1">
        <w:r w:rsidRPr="00AA126E">
          <w:rPr>
            <w:rStyle w:val="Hyperlink"/>
            <w:rFonts w:ascii="Times New Roman" w:hAnsi="Times New Roman"/>
            <w:sz w:val="24"/>
            <w:szCs w:val="24"/>
          </w:rPr>
          <w:t>https://www.opn.ca6.uscourts.gov/opinions.pdf/20a0579n-06.pdf</w:t>
        </w:r>
      </w:hyperlink>
      <w:r>
        <w:rPr>
          <w:rFonts w:ascii="Times New Roman" w:hAnsi="Times New Roman"/>
          <w:sz w:val="24"/>
          <w:szCs w:val="24"/>
        </w:rPr>
        <w:t xml:space="preserve"> </w:t>
      </w:r>
    </w:p>
    <w:p w14:paraId="09F5DE6C" w14:textId="538036CD" w:rsidR="009E093C" w:rsidRDefault="009E093C" w:rsidP="00EF1133">
      <w:pPr>
        <w:rPr>
          <w:rFonts w:ascii="Arial Black" w:hAnsi="Arial Black"/>
          <w:b/>
          <w:sz w:val="24"/>
          <w:szCs w:val="24"/>
        </w:rPr>
      </w:pPr>
    </w:p>
    <w:p w14:paraId="75AAE181" w14:textId="77777777" w:rsidR="009E093C" w:rsidRDefault="009E093C" w:rsidP="009E093C">
      <w:pPr>
        <w:pStyle w:val="NoSpacing"/>
        <w:rPr>
          <w:rFonts w:ascii="Times New Roman" w:hAnsi="Times New Roman"/>
          <w:b/>
          <w:bCs/>
          <w:sz w:val="24"/>
          <w:szCs w:val="24"/>
        </w:rPr>
      </w:pPr>
      <w:r w:rsidRPr="00323F41">
        <w:rPr>
          <w:rFonts w:ascii="Times New Roman" w:hAnsi="Times New Roman"/>
          <w:b/>
          <w:bCs/>
          <w:sz w:val="24"/>
          <w:szCs w:val="24"/>
        </w:rPr>
        <w:t>Legal Lesson Learned:</w:t>
      </w:r>
      <w:r>
        <w:rPr>
          <w:rFonts w:ascii="Times New Roman" w:hAnsi="Times New Roman"/>
          <w:b/>
          <w:bCs/>
          <w:sz w:val="24"/>
          <w:szCs w:val="24"/>
        </w:rPr>
        <w:t xml:space="preserve"> If the Deputy Sheriff had gone to his union, County Prosecutor, FBI or County Commissioners, then his “speech” may have been protected.</w:t>
      </w:r>
    </w:p>
    <w:p w14:paraId="379A06FA" w14:textId="77777777" w:rsidR="009E093C" w:rsidRDefault="009E093C" w:rsidP="009E093C">
      <w:pPr>
        <w:pStyle w:val="NoSpacing"/>
        <w:rPr>
          <w:rFonts w:ascii="Times New Roman" w:hAnsi="Times New Roman"/>
          <w:b/>
          <w:bCs/>
          <w:sz w:val="24"/>
          <w:szCs w:val="24"/>
        </w:rPr>
      </w:pPr>
    </w:p>
    <w:p w14:paraId="2B0A7B10" w14:textId="77777777" w:rsidR="009E093C" w:rsidRPr="00EA56DC" w:rsidRDefault="009E093C" w:rsidP="009E093C">
      <w:pPr>
        <w:pStyle w:val="NoSpacing"/>
        <w:ind w:left="720"/>
        <w:rPr>
          <w:rFonts w:ascii="Times New Roman" w:hAnsi="Times New Roman"/>
          <w:sz w:val="24"/>
          <w:szCs w:val="24"/>
        </w:rPr>
      </w:pPr>
      <w:r w:rsidRPr="00EA56DC">
        <w:rPr>
          <w:rFonts w:ascii="Times New Roman" w:hAnsi="Times New Roman"/>
          <w:sz w:val="24"/>
          <w:szCs w:val="24"/>
        </w:rPr>
        <w:t>Note: The 6</w:t>
      </w:r>
      <w:r w:rsidRPr="00EA56DC">
        <w:rPr>
          <w:rFonts w:ascii="Times New Roman" w:hAnsi="Times New Roman"/>
          <w:sz w:val="24"/>
          <w:szCs w:val="24"/>
          <w:vertAlign w:val="superscript"/>
        </w:rPr>
        <w:t>th</w:t>
      </w:r>
      <w:r w:rsidRPr="00EA56DC">
        <w:rPr>
          <w:rFonts w:ascii="Times New Roman" w:hAnsi="Times New Roman"/>
          <w:sz w:val="24"/>
          <w:szCs w:val="24"/>
        </w:rPr>
        <w:t xml:space="preserve"> Circuit </w:t>
      </w:r>
      <w:r>
        <w:rPr>
          <w:rFonts w:ascii="Times New Roman" w:hAnsi="Times New Roman"/>
          <w:sz w:val="24"/>
          <w:szCs w:val="24"/>
        </w:rPr>
        <w:t xml:space="preserve">judges in this case </w:t>
      </w:r>
      <w:r w:rsidRPr="00EA56DC">
        <w:rPr>
          <w:rFonts w:ascii="Times New Roman" w:hAnsi="Times New Roman"/>
          <w:sz w:val="24"/>
          <w:szCs w:val="24"/>
        </w:rPr>
        <w:t xml:space="preserve">described </w:t>
      </w:r>
      <w:r>
        <w:rPr>
          <w:rFonts w:ascii="Times New Roman" w:hAnsi="Times New Roman"/>
          <w:sz w:val="24"/>
          <w:szCs w:val="24"/>
        </w:rPr>
        <w:t xml:space="preserve">a </w:t>
      </w:r>
      <w:r w:rsidRPr="00EA56DC">
        <w:rPr>
          <w:rFonts w:ascii="Times New Roman" w:hAnsi="Times New Roman"/>
          <w:sz w:val="24"/>
          <w:szCs w:val="24"/>
        </w:rPr>
        <w:t>recent decision where public employee was protected by 1</w:t>
      </w:r>
      <w:r w:rsidRPr="00EA56DC">
        <w:rPr>
          <w:rFonts w:ascii="Times New Roman" w:hAnsi="Times New Roman"/>
          <w:sz w:val="24"/>
          <w:szCs w:val="24"/>
          <w:vertAlign w:val="superscript"/>
        </w:rPr>
        <w:t>st</w:t>
      </w:r>
      <w:r w:rsidRPr="00EA56DC">
        <w:rPr>
          <w:rFonts w:ascii="Times New Roman" w:hAnsi="Times New Roman"/>
          <w:sz w:val="24"/>
          <w:szCs w:val="24"/>
        </w:rPr>
        <w:t xml:space="preserve"> Amendment. </w:t>
      </w:r>
    </w:p>
    <w:p w14:paraId="4C1FF146" w14:textId="77777777" w:rsidR="009E093C" w:rsidRDefault="009E093C" w:rsidP="009E093C">
      <w:pPr>
        <w:pStyle w:val="NoSpacing"/>
        <w:ind w:left="720"/>
        <w:rPr>
          <w:rFonts w:ascii="Times New Roman" w:hAnsi="Times New Roman"/>
          <w:sz w:val="24"/>
          <w:szCs w:val="24"/>
        </w:rPr>
      </w:pPr>
    </w:p>
    <w:p w14:paraId="0077E9D1" w14:textId="77777777" w:rsidR="009E093C" w:rsidRPr="00323F41" w:rsidRDefault="009E093C" w:rsidP="009E093C">
      <w:pPr>
        <w:pStyle w:val="NoSpacing"/>
        <w:ind w:left="1440"/>
        <w:rPr>
          <w:rFonts w:ascii="Times New Roman" w:hAnsi="Times New Roman"/>
          <w:sz w:val="24"/>
          <w:szCs w:val="24"/>
        </w:rPr>
      </w:pPr>
      <w:r>
        <w:rPr>
          <w:rFonts w:ascii="Times New Roman" w:hAnsi="Times New Roman"/>
          <w:sz w:val="24"/>
          <w:szCs w:val="24"/>
        </w:rPr>
        <w:t>“</w:t>
      </w:r>
      <w:r w:rsidRPr="00323F41">
        <w:rPr>
          <w:rFonts w:ascii="Times New Roman" w:hAnsi="Times New Roman"/>
          <w:sz w:val="24"/>
          <w:szCs w:val="24"/>
        </w:rPr>
        <w:t>Our recent decision,</w:t>
      </w:r>
      <w:r>
        <w:rPr>
          <w:rFonts w:ascii="Times New Roman" w:hAnsi="Times New Roman"/>
          <w:sz w:val="24"/>
          <w:szCs w:val="24"/>
        </w:rPr>
        <w:t xml:space="preserve"> </w:t>
      </w:r>
      <w:r w:rsidRPr="00323F41">
        <w:rPr>
          <w:rFonts w:ascii="Times New Roman" w:hAnsi="Times New Roman"/>
          <w:sz w:val="24"/>
          <w:szCs w:val="24"/>
        </w:rPr>
        <w:t xml:space="preserve">Mertins v. City of Mount Clemens, 817 F. </w:t>
      </w:r>
      <w:proofErr w:type="spellStart"/>
      <w:r w:rsidRPr="00323F41">
        <w:rPr>
          <w:rFonts w:ascii="Times New Roman" w:hAnsi="Times New Roman"/>
          <w:sz w:val="24"/>
          <w:szCs w:val="24"/>
        </w:rPr>
        <w:t>App’x</w:t>
      </w:r>
      <w:proofErr w:type="spellEnd"/>
      <w:r w:rsidRPr="00323F41">
        <w:rPr>
          <w:rFonts w:ascii="Times New Roman" w:hAnsi="Times New Roman"/>
          <w:sz w:val="24"/>
          <w:szCs w:val="24"/>
        </w:rPr>
        <w:t xml:space="preserve"> 126 (6</w:t>
      </w:r>
      <w:r w:rsidRPr="00753DA9">
        <w:rPr>
          <w:rFonts w:ascii="Times New Roman" w:hAnsi="Times New Roman"/>
          <w:sz w:val="24"/>
          <w:szCs w:val="24"/>
          <w:vertAlign w:val="superscript"/>
        </w:rPr>
        <w:t>th</w:t>
      </w:r>
      <w:r w:rsidRPr="00323F41">
        <w:rPr>
          <w:rFonts w:ascii="Times New Roman" w:hAnsi="Times New Roman"/>
          <w:sz w:val="24"/>
          <w:szCs w:val="24"/>
        </w:rPr>
        <w:t xml:space="preserve"> Cir. 2020),</w:t>
      </w:r>
      <w:r>
        <w:rPr>
          <w:rFonts w:ascii="Times New Roman" w:hAnsi="Times New Roman"/>
          <w:sz w:val="24"/>
          <w:szCs w:val="24"/>
        </w:rPr>
        <w:t xml:space="preserve"> </w:t>
      </w:r>
      <w:r w:rsidRPr="00323F41">
        <w:rPr>
          <w:rFonts w:ascii="Times New Roman" w:hAnsi="Times New Roman"/>
          <w:sz w:val="24"/>
          <w:szCs w:val="24"/>
        </w:rPr>
        <w:t>does not counsel otherwise. There, a city finance department employee discovered the city was overbilling residents for utilities</w:t>
      </w:r>
      <w:r>
        <w:rPr>
          <w:rFonts w:ascii="Times New Roman" w:hAnsi="Times New Roman"/>
          <w:sz w:val="24"/>
          <w:szCs w:val="24"/>
        </w:rPr>
        <w:t>….</w:t>
      </w:r>
      <w:r w:rsidRPr="00323F41">
        <w:rPr>
          <w:rFonts w:ascii="Times New Roman" w:hAnsi="Times New Roman"/>
          <w:sz w:val="24"/>
          <w:szCs w:val="24"/>
        </w:rPr>
        <w:t>Yet when the employee raised the issue with her supervisors, she was subjected to reprimands and harassment</w:t>
      </w:r>
      <w:r>
        <w:rPr>
          <w:rFonts w:ascii="Times New Roman" w:hAnsi="Times New Roman"/>
          <w:sz w:val="24"/>
          <w:szCs w:val="24"/>
        </w:rPr>
        <w:t>…</w:t>
      </w:r>
      <w:r w:rsidRPr="00323F41">
        <w:rPr>
          <w:rFonts w:ascii="Times New Roman" w:hAnsi="Times New Roman"/>
          <w:sz w:val="24"/>
          <w:szCs w:val="24"/>
        </w:rPr>
        <w:t xml:space="preserve"> The employee then raised these same concerns with her union, local prosecutors, the FBI, and city commissioners. Id.</w:t>
      </w:r>
      <w:r>
        <w:rPr>
          <w:rFonts w:ascii="Times New Roman" w:hAnsi="Times New Roman"/>
          <w:sz w:val="24"/>
          <w:szCs w:val="24"/>
        </w:rPr>
        <w:t xml:space="preserve"> </w:t>
      </w:r>
      <w:r w:rsidRPr="00323F41">
        <w:rPr>
          <w:rFonts w:ascii="Times New Roman" w:hAnsi="Times New Roman"/>
          <w:sz w:val="24"/>
          <w:szCs w:val="24"/>
        </w:rPr>
        <w:t>At the same time, she continued to face discipline from her supervisors. Id.</w:t>
      </w:r>
      <w:r>
        <w:rPr>
          <w:rFonts w:ascii="Times New Roman" w:hAnsi="Times New Roman"/>
          <w:sz w:val="24"/>
          <w:szCs w:val="24"/>
        </w:rPr>
        <w:t xml:space="preserve"> </w:t>
      </w:r>
      <w:r w:rsidRPr="00323F41">
        <w:rPr>
          <w:rFonts w:ascii="Times New Roman" w:hAnsi="Times New Roman"/>
          <w:sz w:val="24"/>
          <w:szCs w:val="24"/>
        </w:rPr>
        <w:t xml:space="preserve">The employee eventually filed a First Amendment retaliation claim against her supervisors, and we later reversed the district court’s grant of summary judgment for the </w:t>
      </w:r>
      <w:proofErr w:type="gramStart"/>
      <w:r w:rsidRPr="00323F41">
        <w:rPr>
          <w:rFonts w:ascii="Times New Roman" w:hAnsi="Times New Roman"/>
          <w:sz w:val="24"/>
          <w:szCs w:val="24"/>
        </w:rPr>
        <w:t>defendants.</w:t>
      </w:r>
      <w:r>
        <w:rPr>
          <w:rFonts w:ascii="Times New Roman" w:hAnsi="Times New Roman"/>
          <w:sz w:val="24"/>
          <w:szCs w:val="24"/>
        </w:rPr>
        <w:t>”</w:t>
      </w:r>
      <w:proofErr w:type="gramEnd"/>
      <w:r>
        <w:rPr>
          <w:rFonts w:ascii="Times New Roman" w:hAnsi="Times New Roman"/>
          <w:sz w:val="24"/>
          <w:szCs w:val="24"/>
        </w:rPr>
        <w:t xml:space="preserve">   [June 5, </w:t>
      </w:r>
      <w:proofErr w:type="gramStart"/>
      <w:r>
        <w:rPr>
          <w:rFonts w:ascii="Times New Roman" w:hAnsi="Times New Roman"/>
          <w:sz w:val="24"/>
          <w:szCs w:val="24"/>
        </w:rPr>
        <w:t>2020</w:t>
      </w:r>
      <w:proofErr w:type="gramEnd"/>
      <w:r>
        <w:rPr>
          <w:rFonts w:ascii="Times New Roman" w:hAnsi="Times New Roman"/>
          <w:sz w:val="24"/>
          <w:szCs w:val="24"/>
        </w:rPr>
        <w:t xml:space="preserve"> decision of 6</w:t>
      </w:r>
      <w:r w:rsidRPr="000C02CA">
        <w:rPr>
          <w:rFonts w:ascii="Times New Roman" w:hAnsi="Times New Roman"/>
          <w:sz w:val="24"/>
          <w:szCs w:val="24"/>
          <w:vertAlign w:val="superscript"/>
        </w:rPr>
        <w:t>th</w:t>
      </w:r>
      <w:r>
        <w:rPr>
          <w:rFonts w:ascii="Times New Roman" w:hAnsi="Times New Roman"/>
          <w:sz w:val="24"/>
          <w:szCs w:val="24"/>
        </w:rPr>
        <w:t xml:space="preserve"> Circuit: </w:t>
      </w:r>
      <w:hyperlink r:id="rId1260" w:history="1">
        <w:r w:rsidRPr="00AA126E">
          <w:rPr>
            <w:rStyle w:val="Hyperlink"/>
            <w:rFonts w:ascii="Times New Roman" w:hAnsi="Times New Roman"/>
            <w:sz w:val="24"/>
            <w:szCs w:val="24"/>
          </w:rPr>
          <w:t>https://law.justia.com/cases/federal/appellate-courts/ca6/19-1416/19-1416-2020-06-05.html</w:t>
        </w:r>
      </w:hyperlink>
      <w:r>
        <w:rPr>
          <w:rFonts w:ascii="Times New Roman" w:hAnsi="Times New Roman"/>
          <w:sz w:val="24"/>
          <w:szCs w:val="24"/>
        </w:rPr>
        <w:t xml:space="preserve">] </w:t>
      </w:r>
    </w:p>
    <w:p w14:paraId="1351B32C" w14:textId="77777777" w:rsidR="009E093C" w:rsidRDefault="009E093C" w:rsidP="009E093C">
      <w:pPr>
        <w:pStyle w:val="NoSpacing"/>
        <w:rPr>
          <w:rFonts w:ascii="Times New Roman" w:hAnsi="Times New Roman"/>
          <w:b/>
          <w:bCs/>
          <w:sz w:val="24"/>
          <w:szCs w:val="24"/>
        </w:rPr>
      </w:pPr>
    </w:p>
    <w:p w14:paraId="405353F6" w14:textId="77777777" w:rsidR="009E093C" w:rsidRDefault="009E093C" w:rsidP="009E093C">
      <w:pPr>
        <w:pStyle w:val="NoSpacing"/>
        <w:ind w:left="1440"/>
      </w:pPr>
      <w:r w:rsidRPr="000C02CA">
        <w:rPr>
          <w:rFonts w:ascii="Times New Roman" w:hAnsi="Times New Roman"/>
          <w:sz w:val="24"/>
          <w:szCs w:val="24"/>
        </w:rPr>
        <w:t xml:space="preserve">Many states have enacted whistleblower protection statutes. </w:t>
      </w:r>
      <w:r w:rsidRPr="00323F41">
        <w:rPr>
          <w:rFonts w:ascii="Times New Roman" w:hAnsi="Times New Roman"/>
          <w:sz w:val="24"/>
          <w:szCs w:val="24"/>
        </w:rPr>
        <w:t xml:space="preserve">For example: </w:t>
      </w:r>
      <w:r>
        <w:rPr>
          <w:rFonts w:ascii="Times New Roman" w:hAnsi="Times New Roman"/>
          <w:sz w:val="24"/>
          <w:szCs w:val="24"/>
        </w:rPr>
        <w:t>Ohio Revised Code</w:t>
      </w:r>
      <w:r w:rsidRPr="00323F41">
        <w:rPr>
          <w:rFonts w:ascii="Times New Roman" w:hAnsi="Times New Roman"/>
          <w:sz w:val="24"/>
          <w:szCs w:val="24"/>
        </w:rPr>
        <w:t xml:space="preserve"> 4113.52</w:t>
      </w:r>
      <w:r>
        <w:rPr>
          <w:rFonts w:ascii="Times New Roman" w:hAnsi="Times New Roman"/>
          <w:sz w:val="24"/>
          <w:szCs w:val="24"/>
        </w:rPr>
        <w:t>, ”</w:t>
      </w:r>
      <w:r w:rsidRPr="00323F41">
        <w:rPr>
          <w:rFonts w:ascii="Times New Roman" w:hAnsi="Times New Roman"/>
          <w:sz w:val="24"/>
          <w:szCs w:val="24"/>
        </w:rPr>
        <w:t>Reporting violation of law by employer or fellow employee</w:t>
      </w:r>
      <w:r>
        <w:t>.”</w:t>
      </w:r>
    </w:p>
    <w:p w14:paraId="57C8D374" w14:textId="77777777" w:rsidR="009E093C" w:rsidRDefault="009E093C" w:rsidP="009E093C">
      <w:pPr>
        <w:pStyle w:val="NormalWeb"/>
        <w:ind w:left="1830"/>
      </w:pPr>
      <w:r>
        <w:t xml:space="preserve">“(1)  (a) If an employee becomes aware in the course of the employee’s employment of a violation of any state or federal statute or any ordinance or regulation of a political subdivision that the employee’s employer has authority to correct, and the employee reasonably believes that the violation is a criminal offense that is likely to cause an imminent risk of physical harm to persons or a hazard to public health or safety , a felony, or an improper solicitation for a contribution, the employee orally shall notify the employee’s supervisor or other responsible officer of the employee’s employer of the violation and subsequently shall file with that supervisor or officer a written report that provides sufficient detail to identify and describe the violation. If the employer does not correct the violation or make a reasonable and good faith effort to correct the violation within twenty-four hours after the oral notification or the receipt of the report, whichever is earlier, the employee may file a written report that provides sufficient detail to identify and describe the violation with the prosecuting authority of the county or municipal corporation where the violation occurred, with a peace officer, with the inspector general if the violation is within the inspector general’s jurisdiction, or with any other appropriate public official or agency that has regulatory authority over the employer and the industry, trade, or business in which the employer is engaged.”  </w:t>
      </w:r>
      <w:hyperlink r:id="rId1261" w:history="1">
        <w:r w:rsidRPr="00AA126E">
          <w:rPr>
            <w:rStyle w:val="Hyperlink"/>
          </w:rPr>
          <w:t>http://codes.ohio.gov/orc/4113.52</w:t>
        </w:r>
      </w:hyperlink>
      <w:r>
        <w:t xml:space="preserve"> </w:t>
      </w:r>
    </w:p>
    <w:p w14:paraId="4E64EB72" w14:textId="77777777" w:rsidR="009E093C" w:rsidRDefault="009E093C" w:rsidP="009E093C">
      <w:pPr>
        <w:pStyle w:val="NoSpacing"/>
        <w:ind w:left="720" w:firstLine="720"/>
        <w:rPr>
          <w:rFonts w:ascii="Times New Roman" w:hAnsi="Times New Roman"/>
          <w:sz w:val="24"/>
          <w:szCs w:val="24"/>
        </w:rPr>
      </w:pPr>
      <w:r>
        <w:rPr>
          <w:rFonts w:ascii="Times New Roman" w:hAnsi="Times New Roman"/>
          <w:sz w:val="24"/>
          <w:szCs w:val="24"/>
        </w:rPr>
        <w:t xml:space="preserve">See also other Ohio statutes:  </w:t>
      </w:r>
    </w:p>
    <w:p w14:paraId="10A95A3F" w14:textId="77777777" w:rsidR="009E093C" w:rsidRDefault="009E093C" w:rsidP="009E093C">
      <w:pPr>
        <w:pStyle w:val="NoSpacing"/>
        <w:ind w:left="720" w:firstLine="720"/>
        <w:rPr>
          <w:rFonts w:ascii="Times New Roman" w:hAnsi="Times New Roman"/>
          <w:sz w:val="24"/>
          <w:szCs w:val="24"/>
        </w:rPr>
      </w:pPr>
    </w:p>
    <w:p w14:paraId="4BF7D098" w14:textId="77777777" w:rsidR="009E093C" w:rsidRPr="00323F41" w:rsidRDefault="009E093C" w:rsidP="009E093C">
      <w:pPr>
        <w:pStyle w:val="NoSpacing"/>
        <w:ind w:left="1440"/>
        <w:rPr>
          <w:rFonts w:ascii="Times New Roman" w:hAnsi="Times New Roman"/>
          <w:b/>
          <w:bCs/>
          <w:sz w:val="24"/>
          <w:szCs w:val="24"/>
        </w:rPr>
      </w:pPr>
      <w:r>
        <w:rPr>
          <w:rFonts w:ascii="Times New Roman" w:hAnsi="Times New Roman"/>
          <w:sz w:val="24"/>
          <w:szCs w:val="24"/>
        </w:rPr>
        <w:t>“</w:t>
      </w:r>
      <w:r w:rsidRPr="00323F41">
        <w:rPr>
          <w:rFonts w:ascii="Times New Roman" w:hAnsi="Times New Roman"/>
          <w:sz w:val="24"/>
          <w:szCs w:val="24"/>
        </w:rPr>
        <w:t xml:space="preserve">Ohio has a general whistleblower protection statute that protects whistleblowers who report suspected felonies, crimes that may cause physical harm, and crimes that may produce a hazard </w:t>
      </w:r>
      <w:r w:rsidRPr="00323F41">
        <w:rPr>
          <w:rFonts w:ascii="Times New Roman" w:hAnsi="Times New Roman"/>
          <w:sz w:val="24"/>
          <w:szCs w:val="24"/>
        </w:rPr>
        <w:lastRenderedPageBreak/>
        <w:t>to the public health or safety. Also, several other Ohio statutes contain anti-retaliation provisions. Employees who engage in protected activities under laws in the following subject areas are protected from retaliation: abuse or neglect of residents at health-care facility, discrimination, minimum wage, wage discrimination, and workers</w:t>
      </w:r>
      <w:r>
        <w:rPr>
          <w:rFonts w:ascii="Times New Roman" w:hAnsi="Times New Roman"/>
          <w:sz w:val="24"/>
          <w:szCs w:val="24"/>
        </w:rPr>
        <w:t>’</w:t>
      </w:r>
      <w:r w:rsidRPr="00323F41">
        <w:rPr>
          <w:rFonts w:ascii="Times New Roman" w:hAnsi="Times New Roman"/>
          <w:sz w:val="24"/>
          <w:szCs w:val="24"/>
        </w:rPr>
        <w:t xml:space="preserve"> compensation.” </w:t>
      </w:r>
      <w:hyperlink r:id="rId1262" w:history="1">
        <w:r w:rsidRPr="00323F41">
          <w:rPr>
            <w:rStyle w:val="Hyperlink"/>
            <w:rFonts w:ascii="Times New Roman" w:hAnsi="Times New Roman"/>
            <w:sz w:val="24"/>
            <w:szCs w:val="24"/>
          </w:rPr>
          <w:t>https://www.workplacefairness.org/whistleblower-retaliation-claim-OH</w:t>
        </w:r>
      </w:hyperlink>
      <w:r w:rsidRPr="00323F41">
        <w:rPr>
          <w:rFonts w:ascii="Times New Roman" w:hAnsi="Times New Roman"/>
          <w:sz w:val="24"/>
          <w:szCs w:val="24"/>
        </w:rPr>
        <w:t xml:space="preserve"> </w:t>
      </w:r>
    </w:p>
    <w:p w14:paraId="78C3413E" w14:textId="77777777" w:rsidR="009E093C" w:rsidRDefault="009E093C" w:rsidP="00EF1133">
      <w:pPr>
        <w:rPr>
          <w:rFonts w:ascii="Arial Black" w:hAnsi="Arial Black"/>
          <w:b/>
          <w:sz w:val="24"/>
          <w:szCs w:val="24"/>
        </w:rPr>
      </w:pPr>
    </w:p>
    <w:p w14:paraId="3ED44651" w14:textId="77777777" w:rsidR="009E093C" w:rsidRDefault="009E093C" w:rsidP="00EF1133">
      <w:pPr>
        <w:rPr>
          <w:rFonts w:ascii="Arial Black" w:hAnsi="Arial Black"/>
          <w:b/>
          <w:sz w:val="24"/>
          <w:szCs w:val="24"/>
        </w:rPr>
      </w:pPr>
    </w:p>
    <w:p w14:paraId="70F1EBC6" w14:textId="77777777" w:rsidR="009E093C" w:rsidRDefault="009E093C" w:rsidP="00EF1133">
      <w:pPr>
        <w:rPr>
          <w:rFonts w:ascii="Arial Black" w:hAnsi="Arial Black"/>
          <w:b/>
          <w:sz w:val="24"/>
          <w:szCs w:val="24"/>
        </w:rPr>
      </w:pPr>
    </w:p>
    <w:p w14:paraId="330431A7" w14:textId="15C107A1" w:rsidR="00DD03E3" w:rsidRDefault="00DD03E3" w:rsidP="00EF1133">
      <w:pPr>
        <w:rPr>
          <w:rFonts w:ascii="Arial Black" w:hAnsi="Arial Black"/>
          <w:b/>
          <w:sz w:val="24"/>
          <w:szCs w:val="24"/>
        </w:rPr>
      </w:pPr>
      <w:r>
        <w:rPr>
          <w:rFonts w:ascii="Arial Black" w:hAnsi="Arial Black"/>
          <w:b/>
          <w:sz w:val="24"/>
          <w:szCs w:val="24"/>
        </w:rPr>
        <w:t>6-5</w:t>
      </w:r>
      <w:r w:rsidR="008F02C3">
        <w:rPr>
          <w:rFonts w:ascii="Arial Black" w:hAnsi="Arial Black"/>
          <w:b/>
          <w:sz w:val="24"/>
          <w:szCs w:val="24"/>
        </w:rPr>
        <w:t>2</w:t>
      </w:r>
    </w:p>
    <w:p w14:paraId="11CDA428" w14:textId="77777777" w:rsidR="00DD03E3" w:rsidRPr="001A1A8E" w:rsidRDefault="00DD03E3" w:rsidP="00DD03E3">
      <w:pPr>
        <w:pStyle w:val="NormalWeb"/>
        <w:rPr>
          <w:rFonts w:ascii="Arial Black" w:hAnsi="Arial Black"/>
          <w:sz w:val="28"/>
          <w:szCs w:val="28"/>
        </w:rPr>
      </w:pPr>
      <w:r w:rsidRPr="001A1A8E">
        <w:rPr>
          <w:rFonts w:ascii="Arial Black" w:hAnsi="Arial Black"/>
          <w:sz w:val="28"/>
          <w:szCs w:val="28"/>
        </w:rPr>
        <w:t>NJ:</w:t>
      </w:r>
      <w:r>
        <w:rPr>
          <w:rFonts w:ascii="Arial Black" w:hAnsi="Arial Black"/>
          <w:sz w:val="28"/>
          <w:szCs w:val="28"/>
        </w:rPr>
        <w:t xml:space="preserve"> RECRUIT FIRED AFTER GRADUATION – PRIOR TO ACADEMY HAD ALTERED INSURANCE CARD TO SHOW ADDRESS IN CITY - REINSTATED</w:t>
      </w:r>
    </w:p>
    <w:p w14:paraId="191F5C43" w14:textId="77777777" w:rsidR="00DD03E3" w:rsidRDefault="00DD03E3" w:rsidP="00DD03E3">
      <w:pPr>
        <w:spacing w:before="100" w:beforeAutospacing="1" w:after="100" w:afterAutospacing="1" w:line="240" w:lineRule="auto"/>
        <w:rPr>
          <w:rFonts w:ascii="Times New Roman" w:eastAsia="Times New Roman" w:hAnsi="Times New Roman"/>
          <w:sz w:val="24"/>
          <w:szCs w:val="24"/>
        </w:rPr>
      </w:pPr>
      <w:r w:rsidRPr="001A48DE">
        <w:rPr>
          <w:rFonts w:ascii="Times New Roman" w:eastAsia="Times New Roman" w:hAnsi="Times New Roman"/>
          <w:sz w:val="24"/>
          <w:szCs w:val="24"/>
        </w:rPr>
        <w:t xml:space="preserve">On Oct. 19, 2020, </w:t>
      </w:r>
      <w:r w:rsidRPr="001A48DE">
        <w:rPr>
          <w:rFonts w:ascii="Times New Roman" w:eastAsia="Times New Roman" w:hAnsi="Times New Roman"/>
          <w:sz w:val="24"/>
          <w:szCs w:val="24"/>
          <w:u w:val="single"/>
        </w:rPr>
        <w:t>In The Matter of Christopher D’Amico, City of Plainfield, Fire Department</w:t>
      </w:r>
      <w:r>
        <w:rPr>
          <w:rFonts w:ascii="Times New Roman" w:eastAsia="Times New Roman" w:hAnsi="Times New Roman"/>
          <w:sz w:val="24"/>
          <w:szCs w:val="24"/>
          <w:u w:val="single"/>
        </w:rPr>
        <w:t xml:space="preserve">, </w:t>
      </w:r>
      <w:r>
        <w:rPr>
          <w:rFonts w:ascii="Times New Roman" w:eastAsia="Times New Roman" w:hAnsi="Times New Roman"/>
          <w:sz w:val="24"/>
          <w:szCs w:val="24"/>
        </w:rPr>
        <w:t>the Superior Court of New Jersey, Appellate Division, held (2 to 0) in unpublished decision, that  the New Jersey Civil Service Commission, based on the findings of their Administrative Law Judge, properly ordered the City to rehire the firefighter, with back and seniority rights. The Fire Chief also supported the re-hire decision.</w:t>
      </w:r>
    </w:p>
    <w:p w14:paraId="632345FD" w14:textId="77777777" w:rsidR="00DD03E3" w:rsidRPr="001A48DE" w:rsidRDefault="00DD03E3" w:rsidP="00DD03E3">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r w:rsidRPr="001A48DE">
        <w:rPr>
          <w:rFonts w:ascii="Times New Roman" w:hAnsi="Times New Roman"/>
          <w:sz w:val="24"/>
          <w:szCs w:val="24"/>
        </w:rPr>
        <w:t xml:space="preserve">After reviewing the City's exceptions, the Commission agreed with the ALJ. It held D'Amico provided his true address on the card and the addition of correct information on the document did not indicate a lack of character or morals to be a firefighter. Even if it were, the Commission concluded the </w:t>
      </w:r>
      <w:proofErr w:type="gramStart"/>
      <w:r w:rsidRPr="001A48DE">
        <w:rPr>
          <w:rFonts w:ascii="Times New Roman" w:hAnsi="Times New Roman"/>
          <w:sz w:val="24"/>
          <w:szCs w:val="24"/>
        </w:rPr>
        <w:t>City</w:t>
      </w:r>
      <w:proofErr w:type="gramEnd"/>
      <w:r w:rsidRPr="001A48DE">
        <w:rPr>
          <w:rFonts w:ascii="Times New Roman" w:hAnsi="Times New Roman"/>
          <w:sz w:val="24"/>
          <w:szCs w:val="24"/>
        </w:rPr>
        <w:t xml:space="preserve"> was aware of the altered document in May 2017, before D'Amico was hired and attended the fire academy. In addition, because D'Amico was on the job for only three or four hours at the time he was terminated, the Commission concluded the </w:t>
      </w:r>
      <w:proofErr w:type="gramStart"/>
      <w:r w:rsidRPr="001A48DE">
        <w:rPr>
          <w:rFonts w:ascii="Times New Roman" w:hAnsi="Times New Roman"/>
          <w:sz w:val="24"/>
          <w:szCs w:val="24"/>
        </w:rPr>
        <w:t>City</w:t>
      </w:r>
      <w:proofErr w:type="gramEnd"/>
      <w:r w:rsidRPr="001A48DE">
        <w:rPr>
          <w:rFonts w:ascii="Times New Roman" w:hAnsi="Times New Roman"/>
          <w:sz w:val="24"/>
          <w:szCs w:val="24"/>
        </w:rPr>
        <w:t xml:space="preserve"> had the burden of proving D'Amico was guilty of the charges. Based on its findings, the Commission reinstated D'Amico, and awarded him back pay, benefits, and seniority status.</w:t>
      </w:r>
      <w:r>
        <w:rPr>
          <w:rFonts w:ascii="Times New Roman" w:hAnsi="Times New Roman"/>
          <w:sz w:val="24"/>
          <w:szCs w:val="24"/>
        </w:rPr>
        <w:t xml:space="preserve">” </w:t>
      </w:r>
      <w:hyperlink r:id="rId1263" w:history="1">
        <w:r w:rsidRPr="003B2E68">
          <w:rPr>
            <w:rStyle w:val="Hyperlink"/>
            <w:rFonts w:ascii="Times New Roman" w:hAnsi="Times New Roman"/>
            <w:sz w:val="24"/>
            <w:szCs w:val="24"/>
          </w:rPr>
          <w:t>https://public.fastcase.com/Wl%2B2t%2BeVuI35%2FN70vAMFZt8kW6J16QTt9TZ%2FuwcLGfAQlmvmDCIs7SYJL9UeqqRt</w:t>
        </w:r>
      </w:hyperlink>
      <w:r>
        <w:rPr>
          <w:rFonts w:ascii="Times New Roman" w:hAnsi="Times New Roman"/>
          <w:sz w:val="24"/>
          <w:szCs w:val="24"/>
        </w:rPr>
        <w:t xml:space="preserve"> </w:t>
      </w:r>
    </w:p>
    <w:p w14:paraId="764015A2" w14:textId="77777777" w:rsidR="00DD03E3" w:rsidRDefault="00DD03E3" w:rsidP="00DD03E3">
      <w:pPr>
        <w:spacing w:before="100" w:beforeAutospacing="1" w:after="100" w:afterAutospacing="1" w:line="240" w:lineRule="auto"/>
        <w:rPr>
          <w:rFonts w:ascii="Times New Roman" w:eastAsia="Times New Roman" w:hAnsi="Times New Roman"/>
          <w:b/>
          <w:bCs/>
          <w:sz w:val="24"/>
          <w:szCs w:val="24"/>
        </w:rPr>
      </w:pPr>
      <w:r w:rsidRPr="006D1272">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Civil Service Commissions can perform valuable service; Courts will normally uphold unless “arbitrary, capricious, unreasonable, or lacked sufficient credible evidence in the record. </w:t>
      </w:r>
    </w:p>
    <w:p w14:paraId="138AECDA" w14:textId="77777777" w:rsidR="00DD03E3" w:rsidRDefault="00DD03E3" w:rsidP="00DD03E3">
      <w:pPr>
        <w:spacing w:before="100" w:beforeAutospacing="1" w:after="100" w:afterAutospacing="1" w:line="240" w:lineRule="auto"/>
        <w:ind w:left="720"/>
        <w:rPr>
          <w:rFonts w:ascii="Times New Roman" w:hAnsi="Times New Roman"/>
          <w:sz w:val="24"/>
          <w:szCs w:val="24"/>
        </w:rPr>
      </w:pPr>
      <w:r w:rsidRPr="006F79CC">
        <w:rPr>
          <w:rFonts w:ascii="Times New Roman" w:eastAsia="Times New Roman" w:hAnsi="Times New Roman"/>
          <w:sz w:val="24"/>
          <w:szCs w:val="24"/>
        </w:rPr>
        <w:t>Note:</w:t>
      </w:r>
      <w:r>
        <w:rPr>
          <w:rFonts w:ascii="Times New Roman" w:eastAsia="Times New Roman" w:hAnsi="Times New Roman"/>
          <w:b/>
          <w:bCs/>
          <w:sz w:val="24"/>
          <w:szCs w:val="24"/>
        </w:rPr>
        <w:t xml:space="preserve"> </w:t>
      </w:r>
      <w:r w:rsidRPr="006D1272">
        <w:rPr>
          <w:rFonts w:ascii="Times New Roman" w:hAnsi="Times New Roman"/>
          <w:sz w:val="24"/>
          <w:szCs w:val="24"/>
        </w:rPr>
        <w:t>The Ohio Supreme Court, in Lima v State,</w:t>
      </w:r>
      <w:r>
        <w:rPr>
          <w:rFonts w:ascii="Times New Roman" w:hAnsi="Times New Roman"/>
          <w:sz w:val="24"/>
          <w:szCs w:val="24"/>
        </w:rPr>
        <w:t xml:space="preserve"> on June 10, 2009, </w:t>
      </w:r>
      <w:r w:rsidRPr="006D1272">
        <w:rPr>
          <w:rFonts w:ascii="Times New Roman" w:hAnsi="Times New Roman"/>
          <w:sz w:val="24"/>
          <w:szCs w:val="24"/>
        </w:rPr>
        <w:t>2009-Ohio-2597, held 5-2 that a state law</w:t>
      </w:r>
      <w:r>
        <w:rPr>
          <w:rFonts w:ascii="Times New Roman" w:hAnsi="Times New Roman"/>
          <w:sz w:val="24"/>
          <w:szCs w:val="24"/>
        </w:rPr>
        <w:t xml:space="preserve"> </w:t>
      </w:r>
      <w:r w:rsidRPr="006D1272">
        <w:rPr>
          <w:rFonts w:ascii="Times New Roman" w:hAnsi="Times New Roman"/>
          <w:sz w:val="24"/>
          <w:szCs w:val="24"/>
        </w:rPr>
        <w:t>prohibiting general residency requirements for public</w:t>
      </w:r>
      <w:r>
        <w:rPr>
          <w:rFonts w:ascii="Times New Roman" w:hAnsi="Times New Roman"/>
          <w:sz w:val="24"/>
          <w:szCs w:val="24"/>
        </w:rPr>
        <w:t xml:space="preserve"> </w:t>
      </w:r>
      <w:r w:rsidRPr="006D1272">
        <w:rPr>
          <w:rFonts w:ascii="Times New Roman" w:hAnsi="Times New Roman"/>
          <w:sz w:val="24"/>
          <w:szCs w:val="24"/>
        </w:rPr>
        <w:t>employees is valid and supersedes local laws</w:t>
      </w:r>
      <w:r>
        <w:rPr>
          <w:rFonts w:ascii="Times New Roman" w:hAnsi="Times New Roman"/>
          <w:sz w:val="24"/>
          <w:szCs w:val="24"/>
        </w:rPr>
        <w:t xml:space="preserve"> that might require residency.  </w:t>
      </w:r>
      <w:hyperlink r:id="rId1264" w:history="1">
        <w:r w:rsidRPr="003B2E68">
          <w:rPr>
            <w:rStyle w:val="Hyperlink"/>
            <w:rFonts w:ascii="Times New Roman" w:hAnsi="Times New Roman"/>
            <w:sz w:val="24"/>
            <w:szCs w:val="24"/>
          </w:rPr>
          <w:t>https://www.supremecourt.ohio.gov/rod/docs/pdf/0/2009/2009-Ohio-2597.pdf</w:t>
        </w:r>
      </w:hyperlink>
      <w:r>
        <w:rPr>
          <w:rFonts w:ascii="Times New Roman" w:hAnsi="Times New Roman"/>
          <w:sz w:val="24"/>
          <w:szCs w:val="24"/>
        </w:rPr>
        <w:t xml:space="preserve"> </w:t>
      </w:r>
    </w:p>
    <w:p w14:paraId="53AD2A8E" w14:textId="77777777" w:rsidR="00DD03E3" w:rsidRPr="00B5449A" w:rsidRDefault="00DD03E3" w:rsidP="00DD03E3">
      <w:pPr>
        <w:spacing w:before="100" w:beforeAutospacing="1" w:after="100" w:afterAutospacing="1" w:line="240" w:lineRule="auto"/>
        <w:ind w:left="720"/>
        <w:rPr>
          <w:rFonts w:ascii="Times New Roman" w:eastAsia="Times New Roman" w:hAnsi="Times New Roman"/>
          <w:sz w:val="24"/>
          <w:szCs w:val="24"/>
        </w:rPr>
      </w:pPr>
      <w:r w:rsidRPr="00B5449A">
        <w:rPr>
          <w:rFonts w:ascii="Times New Roman" w:eastAsia="Times New Roman" w:hAnsi="Times New Roman"/>
          <w:sz w:val="24"/>
          <w:szCs w:val="24"/>
        </w:rPr>
        <w:t>For Ohio firefighters</w:t>
      </w:r>
      <w:r>
        <w:rPr>
          <w:rFonts w:ascii="Times New Roman" w:eastAsia="Times New Roman" w:hAnsi="Times New Roman"/>
          <w:sz w:val="24"/>
          <w:szCs w:val="24"/>
        </w:rPr>
        <w:t xml:space="preserve"> and other emergency responders</w:t>
      </w:r>
      <w:r w:rsidRPr="00B5449A">
        <w:rPr>
          <w:rFonts w:ascii="Times New Roman" w:eastAsia="Times New Roman" w:hAnsi="Times New Roman"/>
          <w:sz w:val="24"/>
          <w:szCs w:val="24"/>
        </w:rPr>
        <w:t xml:space="preserve">, </w:t>
      </w:r>
      <w:r>
        <w:rPr>
          <w:rFonts w:ascii="Times New Roman" w:eastAsia="Times New Roman" w:hAnsi="Times New Roman"/>
          <w:sz w:val="24"/>
          <w:szCs w:val="24"/>
        </w:rPr>
        <w:t xml:space="preserve">a </w:t>
      </w:r>
      <w:r w:rsidRPr="00B5449A">
        <w:rPr>
          <w:rFonts w:ascii="Times New Roman" w:eastAsia="Times New Roman" w:hAnsi="Times New Roman"/>
          <w:sz w:val="24"/>
          <w:szCs w:val="24"/>
        </w:rPr>
        <w:t xml:space="preserve">political subdivision may require </w:t>
      </w:r>
      <w:r>
        <w:rPr>
          <w:rFonts w:ascii="Times New Roman" w:eastAsia="Times New Roman" w:hAnsi="Times New Roman"/>
          <w:sz w:val="24"/>
          <w:szCs w:val="24"/>
        </w:rPr>
        <w:t xml:space="preserve">that they </w:t>
      </w:r>
      <w:r w:rsidRPr="00B5449A">
        <w:rPr>
          <w:rFonts w:ascii="Times New Roman" w:eastAsia="Times New Roman" w:hAnsi="Times New Roman"/>
          <w:sz w:val="24"/>
          <w:szCs w:val="24"/>
        </w:rPr>
        <w:t>live in the county or adjacent county</w:t>
      </w:r>
      <w:r>
        <w:rPr>
          <w:rFonts w:ascii="Times New Roman" w:eastAsia="Times New Roman" w:hAnsi="Times New Roman"/>
          <w:sz w:val="24"/>
          <w:szCs w:val="24"/>
        </w:rPr>
        <w:t xml:space="preserve">. </w:t>
      </w:r>
      <w:r w:rsidRPr="00B5449A">
        <w:rPr>
          <w:rFonts w:ascii="Times New Roman" w:eastAsia="Times New Roman" w:hAnsi="Times New Roman"/>
          <w:sz w:val="24"/>
          <w:szCs w:val="24"/>
        </w:rPr>
        <w:t xml:space="preserve"> ORC 9.481: </w:t>
      </w:r>
      <w:hyperlink r:id="rId1265" w:history="1">
        <w:r w:rsidRPr="00B5449A">
          <w:rPr>
            <w:rStyle w:val="Hyperlink"/>
            <w:rFonts w:ascii="Times New Roman" w:eastAsia="Times New Roman" w:hAnsi="Times New Roman"/>
            <w:sz w:val="24"/>
            <w:szCs w:val="24"/>
          </w:rPr>
          <w:t>http://codes.ohio.gov/orc/gp9.481</w:t>
        </w:r>
      </w:hyperlink>
      <w:r w:rsidRPr="00B5449A">
        <w:rPr>
          <w:rFonts w:ascii="Times New Roman" w:eastAsia="Times New Roman" w:hAnsi="Times New Roman"/>
          <w:sz w:val="24"/>
          <w:szCs w:val="24"/>
        </w:rPr>
        <w:t xml:space="preserve"> </w:t>
      </w:r>
    </w:p>
    <w:p w14:paraId="35466EBD" w14:textId="77777777" w:rsidR="00DD03E3" w:rsidRPr="006D1272" w:rsidRDefault="00DD03E3" w:rsidP="00DD03E3">
      <w:pPr>
        <w:spacing w:before="100" w:beforeAutospacing="1" w:after="100" w:afterAutospacing="1" w:line="240" w:lineRule="auto"/>
        <w:ind w:left="1440"/>
        <w:rPr>
          <w:rFonts w:ascii="Times New Roman" w:eastAsia="Times New Roman" w:hAnsi="Times New Roman"/>
          <w:b/>
          <w:bCs/>
          <w:sz w:val="24"/>
          <w:szCs w:val="24"/>
        </w:rPr>
      </w:pPr>
      <w:r>
        <w:rPr>
          <w:rFonts w:ascii="Times New Roman" w:hAnsi="Times New Roman"/>
          <w:sz w:val="24"/>
          <w:szCs w:val="24"/>
        </w:rPr>
        <w:t>“</w:t>
      </w:r>
      <w:r w:rsidRPr="00B5449A">
        <w:rPr>
          <w:rFonts w:ascii="Times New Roman" w:hAnsi="Times New Roman"/>
          <w:sz w:val="24"/>
          <w:szCs w:val="24"/>
        </w:rPr>
        <w:t xml:space="preserve">To ensure adequate response times by certain employees of political subdivisions to emergencies or disasters while ensuring that those employees generally are free to reside throughout the state, the electors of any political subdivision may file an initiative petition to submit a local law to the electorate, or the legislative authority of the political subdivision may adopt an ordinance or resolution, that requires any individual employed by that political </w:t>
      </w:r>
      <w:r w:rsidRPr="00B5449A">
        <w:rPr>
          <w:rFonts w:ascii="Times New Roman" w:hAnsi="Times New Roman"/>
          <w:sz w:val="24"/>
          <w:szCs w:val="24"/>
        </w:rPr>
        <w:lastRenderedPageBreak/>
        <w:t xml:space="preserve">subdivision, as a condition of employment, to reside either in the county where the political subdivision is located or in any adjacent county in this state. </w:t>
      </w:r>
      <w:r>
        <w:rPr>
          <w:rFonts w:ascii="Times New Roman" w:hAnsi="Times New Roman"/>
          <w:sz w:val="24"/>
          <w:szCs w:val="24"/>
        </w:rPr>
        <w:t>“</w:t>
      </w:r>
    </w:p>
    <w:p w14:paraId="6CEB703A" w14:textId="77777777" w:rsidR="00F824FE" w:rsidRPr="00033598" w:rsidRDefault="00F824FE" w:rsidP="00F824FE">
      <w:pPr>
        <w:spacing w:before="100" w:beforeAutospacing="1" w:after="100" w:afterAutospacing="1" w:line="240" w:lineRule="auto"/>
        <w:rPr>
          <w:rFonts w:ascii="Times New Roman" w:eastAsia="Times New Roman" w:hAnsi="Times New Roman"/>
          <w:b/>
          <w:bCs/>
          <w:sz w:val="24"/>
          <w:szCs w:val="24"/>
        </w:rPr>
      </w:pPr>
      <w:r w:rsidRPr="00033598">
        <w:rPr>
          <w:rFonts w:ascii="Times New Roman" w:hAnsi="Times New Roman"/>
          <w:b/>
          <w:bCs/>
          <w:sz w:val="24"/>
          <w:szCs w:val="24"/>
        </w:rPr>
        <w:t>Legal Lessons Learned</w:t>
      </w:r>
      <w:r>
        <w:rPr>
          <w:rFonts w:ascii="Times New Roman" w:hAnsi="Times New Roman"/>
          <w:b/>
          <w:bCs/>
          <w:sz w:val="24"/>
          <w:szCs w:val="24"/>
        </w:rPr>
        <w:t xml:space="preserve">:  If unclear about records being requested, City had obligation to request clarification. </w:t>
      </w:r>
    </w:p>
    <w:p w14:paraId="1F3D3F8F" w14:textId="77777777" w:rsidR="00F824FE" w:rsidRDefault="00F824FE" w:rsidP="00F824FE">
      <w:pPr>
        <w:spacing w:before="100" w:beforeAutospacing="1" w:after="100" w:afterAutospacing="1" w:line="240" w:lineRule="auto"/>
        <w:ind w:firstLine="720"/>
        <w:rPr>
          <w:rFonts w:ascii="Times New Roman" w:hAnsi="Times New Roman"/>
          <w:sz w:val="24"/>
          <w:szCs w:val="24"/>
        </w:rPr>
      </w:pPr>
      <w:r>
        <w:rPr>
          <w:rFonts w:ascii="Times New Roman" w:hAnsi="Times New Roman"/>
          <w:sz w:val="24"/>
          <w:szCs w:val="24"/>
        </w:rPr>
        <w:t xml:space="preserve">Note: </w:t>
      </w:r>
    </w:p>
    <w:p w14:paraId="0BBC0660" w14:textId="77777777" w:rsidR="00F824FE" w:rsidRDefault="00F824FE" w:rsidP="00F824F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RECOVER ONLY FILING FEE: Ohio Rev. Code Section 2743.75(F)(3)(b): </w:t>
      </w:r>
      <w:hyperlink r:id="rId1266" w:history="1">
        <w:r w:rsidRPr="005E64DB">
          <w:rPr>
            <w:rStyle w:val="Hyperlink"/>
            <w:rFonts w:ascii="Times New Roman" w:hAnsi="Times New Roman"/>
            <w:sz w:val="24"/>
            <w:szCs w:val="24"/>
          </w:rPr>
          <w:t>http://codes.ohio.gov/orc/2743.75</w:t>
        </w:r>
      </w:hyperlink>
    </w:p>
    <w:p w14:paraId="474D57E8" w14:textId="77777777" w:rsidR="00F824FE" w:rsidRDefault="00F824FE" w:rsidP="00F824FE">
      <w:pPr>
        <w:spacing w:before="100" w:beforeAutospacing="1" w:after="100" w:afterAutospacing="1" w:line="240" w:lineRule="auto"/>
        <w:ind w:left="720"/>
        <w:rPr>
          <w:rFonts w:ascii="Times New Roman" w:hAnsi="Times New Roman"/>
          <w:sz w:val="24"/>
          <w:szCs w:val="24"/>
        </w:rPr>
      </w:pPr>
      <w:r w:rsidRPr="003801C1">
        <w:rPr>
          <w:rFonts w:ascii="Times New Roman" w:hAnsi="Times New Roman"/>
          <w:sz w:val="24"/>
          <w:szCs w:val="24"/>
        </w:rPr>
        <w:t xml:space="preserve">(b) The aggrieved person shall be entitled to recover from the public office or person responsible for the public records the amount of the filing fee of twenty-five dollars and any other costs associated with the action that are incurred by the aggrieved person, but shall not be entitled to recover attorney's fees, except that division (G)(2) of this section applies if an appeal is taken under division (G)(1) of this section. </w:t>
      </w:r>
    </w:p>
    <w:p w14:paraId="7D32409C" w14:textId="77777777" w:rsidR="00F824FE" w:rsidRDefault="00F824FE" w:rsidP="00F824FE">
      <w:pPr>
        <w:spacing w:before="100" w:beforeAutospacing="1" w:after="100" w:afterAutospacing="1" w:line="240" w:lineRule="auto"/>
        <w:ind w:left="720"/>
        <w:rPr>
          <w:rFonts w:ascii="Times New Roman" w:hAnsi="Times New Roman"/>
          <w:sz w:val="24"/>
          <w:szCs w:val="24"/>
        </w:rPr>
      </w:pPr>
    </w:p>
    <w:p w14:paraId="0BE59F01" w14:textId="77777777" w:rsidR="00F824FE" w:rsidRPr="00D2685F" w:rsidRDefault="00F824FE" w:rsidP="00F824F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RECOVER ATTORNEY FEES:  Section </w:t>
      </w:r>
      <w:r w:rsidRPr="00D2685F">
        <w:rPr>
          <w:rFonts w:ascii="Times New Roman" w:hAnsi="Times New Roman"/>
          <w:sz w:val="24"/>
          <w:szCs w:val="24"/>
        </w:rPr>
        <w:t xml:space="preserve">149.43: </w:t>
      </w:r>
      <w:hyperlink r:id="rId1267" w:history="1">
        <w:r w:rsidRPr="005E64DB">
          <w:rPr>
            <w:rStyle w:val="Hyperlink"/>
            <w:rFonts w:ascii="Times New Roman" w:hAnsi="Times New Roman"/>
            <w:sz w:val="24"/>
            <w:szCs w:val="24"/>
          </w:rPr>
          <w:t>https://law.justia.com/codes/ohio/2006/orc/jd_14943-4d7.html</w:t>
        </w:r>
      </w:hyperlink>
      <w:r w:rsidRPr="00D2685F">
        <w:rPr>
          <w:rFonts w:ascii="Times New Roman" w:hAnsi="Times New Roman"/>
          <w:sz w:val="24"/>
          <w:szCs w:val="24"/>
        </w:rPr>
        <w:t xml:space="preserve"> </w:t>
      </w:r>
    </w:p>
    <w:p w14:paraId="0311A66F" w14:textId="77777777" w:rsidR="00F824FE" w:rsidRPr="00033598" w:rsidRDefault="00F824FE" w:rsidP="00F824FE">
      <w:pPr>
        <w:spacing w:before="100" w:beforeAutospacing="1" w:after="100" w:afterAutospacing="1" w:line="240" w:lineRule="auto"/>
        <w:ind w:left="720"/>
        <w:rPr>
          <w:rFonts w:ascii="Times New Roman" w:hAnsi="Times New Roman"/>
          <w:sz w:val="24"/>
          <w:szCs w:val="24"/>
        </w:rPr>
      </w:pPr>
      <w:r w:rsidRPr="00033598">
        <w:rPr>
          <w:rFonts w:ascii="Times New Roman" w:hAnsi="Times New Roman"/>
          <w:sz w:val="24"/>
          <w:szCs w:val="24"/>
        </w:rPr>
        <w:t>(C)  If a person allegedly is aggrieved by the failure of a public office to promptly prepare a public record and to make it available to the person for inspection in accordance with division (B) of this section, or if a person who has requested a copy of a public record allegedly is aggrieved by the failure of a public office or the person responsible for the public record to make a copy available to the person allegedly aggrieved in accordance with division (B) of this section, the person allegedly aggrieved may commence a mandamus action to obtain a judgment that orders the public office or the person responsible for the public record to comply with division (B) of this section and that awards reasonable attorney's fees to the person that instituted the mandamus action. The mandamus action may be commenced in the court of common pleas of the county in which division (B) of this section allegedly was not complied with, in the supreme court pursuant to its original jurisdiction under Section 2 of Article IV, Ohio Constitution, or in the court of appeals for the appellate district in which division (B) of this section allegedly was not complied with pursuant to its original jurisdiction under Section 3 of Article IV, Ohio Constitution. </w:t>
      </w:r>
    </w:p>
    <w:p w14:paraId="44E05360" w14:textId="77777777" w:rsidR="00F824FE" w:rsidRDefault="00F824FE" w:rsidP="00EF1133">
      <w:pPr>
        <w:rPr>
          <w:rFonts w:ascii="Arial Black" w:hAnsi="Arial Black"/>
          <w:b/>
          <w:sz w:val="24"/>
          <w:szCs w:val="24"/>
        </w:rPr>
      </w:pPr>
    </w:p>
    <w:p w14:paraId="0CF2D171" w14:textId="77777777" w:rsidR="00F824FE" w:rsidRDefault="00F824FE" w:rsidP="00EF1133">
      <w:pPr>
        <w:rPr>
          <w:rFonts w:ascii="Arial Black" w:hAnsi="Arial Black"/>
          <w:b/>
          <w:sz w:val="24"/>
          <w:szCs w:val="24"/>
        </w:rPr>
      </w:pPr>
    </w:p>
    <w:p w14:paraId="4457B992" w14:textId="5F38466E" w:rsidR="00F824FE" w:rsidRDefault="00F824FE" w:rsidP="00EF1133">
      <w:pPr>
        <w:rPr>
          <w:rFonts w:ascii="Arial Black" w:hAnsi="Arial Black"/>
          <w:b/>
          <w:sz w:val="24"/>
          <w:szCs w:val="24"/>
        </w:rPr>
      </w:pPr>
      <w:r>
        <w:rPr>
          <w:rFonts w:ascii="Arial Black" w:hAnsi="Arial Black"/>
          <w:b/>
          <w:sz w:val="24"/>
          <w:szCs w:val="24"/>
        </w:rPr>
        <w:t>6-51</w:t>
      </w:r>
    </w:p>
    <w:p w14:paraId="2813E3F4" w14:textId="77777777" w:rsidR="00F824FE" w:rsidRDefault="00F824FE" w:rsidP="00F824FE">
      <w:pPr>
        <w:spacing w:before="100" w:beforeAutospacing="1" w:after="100" w:afterAutospacing="1" w:line="240" w:lineRule="auto"/>
        <w:rPr>
          <w:rFonts w:ascii="Arial Black" w:hAnsi="Arial Black"/>
          <w:sz w:val="28"/>
          <w:szCs w:val="28"/>
        </w:rPr>
      </w:pPr>
      <w:r>
        <w:rPr>
          <w:rFonts w:ascii="Arial Black" w:hAnsi="Arial Black"/>
          <w:sz w:val="28"/>
          <w:szCs w:val="28"/>
        </w:rPr>
        <w:t>OH:  CLEVELAND LOCAL 93 – PUBLIC RECORDS REQUEST FOR FD’s 2019 EXPENSE REPORTS – CITY RESPONSE WAS INADEQUATE</w:t>
      </w:r>
    </w:p>
    <w:p w14:paraId="1E1CC502" w14:textId="77777777" w:rsidR="00F824FE" w:rsidRDefault="00F824FE" w:rsidP="00F824FE">
      <w:pPr>
        <w:spacing w:before="100" w:beforeAutospacing="1" w:after="100" w:afterAutospacing="1" w:line="240" w:lineRule="auto"/>
        <w:rPr>
          <w:rFonts w:ascii="Times New Roman" w:hAnsi="Times New Roman"/>
          <w:sz w:val="24"/>
          <w:szCs w:val="24"/>
        </w:rPr>
      </w:pPr>
      <w:r w:rsidRPr="005713F8">
        <w:rPr>
          <w:rFonts w:ascii="Times New Roman" w:hAnsi="Times New Roman"/>
          <w:sz w:val="24"/>
          <w:szCs w:val="24"/>
        </w:rPr>
        <w:t xml:space="preserve">On Sept. 22, 2020, in </w:t>
      </w:r>
      <w:r w:rsidRPr="005713F8">
        <w:rPr>
          <w:rFonts w:ascii="Times New Roman" w:hAnsi="Times New Roman"/>
          <w:sz w:val="24"/>
          <w:szCs w:val="24"/>
          <w:u w:val="single"/>
        </w:rPr>
        <w:t>Association of Cleveland Fire Fighters IAFF Local 93 v. City of Cleveland,</w:t>
      </w:r>
      <w:r>
        <w:rPr>
          <w:rFonts w:ascii="Times New Roman" w:hAnsi="Times New Roman"/>
          <w:sz w:val="24"/>
          <w:szCs w:val="24"/>
        </w:rPr>
        <w:t xml:space="preserve"> Court of Claims of Ohio, Special Master Jeff Clark, after mediation, published his Report and Recommendations to the Court of Claim, findings that City failed to promptly produce Excel records showing 2019 expense records [Dec. 31, 2019 request; City produced some financial records Feb. 12, 2020, but FD expense records not produced until May 20, 2020].  If the City was unclear about the records being </w:t>
      </w:r>
      <w:proofErr w:type="gramStart"/>
      <w:r>
        <w:rPr>
          <w:rFonts w:ascii="Times New Roman" w:hAnsi="Times New Roman"/>
          <w:sz w:val="24"/>
          <w:szCs w:val="24"/>
        </w:rPr>
        <w:t>requested</w:t>
      </w:r>
      <w:proofErr w:type="gramEnd"/>
      <w:r>
        <w:rPr>
          <w:rFonts w:ascii="Times New Roman" w:hAnsi="Times New Roman"/>
          <w:sz w:val="24"/>
          <w:szCs w:val="24"/>
        </w:rPr>
        <w:t xml:space="preserve"> it had obligation under </w:t>
      </w:r>
      <w:r>
        <w:rPr>
          <w:rFonts w:ascii="Times New Roman" w:hAnsi="Times New Roman"/>
          <w:sz w:val="24"/>
          <w:szCs w:val="24"/>
        </w:rPr>
        <w:lastRenderedPageBreak/>
        <w:t xml:space="preserve">Ohio code to ask Local 93 to clarify.  The only remedy, however, is $25 filing fee under Ohio Revised Code </w:t>
      </w:r>
      <w:r w:rsidRPr="003801C1">
        <w:rPr>
          <w:rFonts w:ascii="Times New Roman" w:hAnsi="Times New Roman"/>
          <w:sz w:val="24"/>
          <w:szCs w:val="24"/>
        </w:rPr>
        <w:t>2743.75(F)(3)(b).</w:t>
      </w:r>
      <w:r>
        <w:rPr>
          <w:rFonts w:ascii="Times New Roman" w:hAnsi="Times New Roman"/>
          <w:sz w:val="24"/>
          <w:szCs w:val="24"/>
        </w:rPr>
        <w:t xml:space="preserve"> </w:t>
      </w:r>
      <w:proofErr w:type="gramStart"/>
      <w:r>
        <w:rPr>
          <w:rFonts w:ascii="Times New Roman" w:hAnsi="Times New Roman"/>
          <w:sz w:val="24"/>
          <w:szCs w:val="24"/>
        </w:rPr>
        <w:t>In order to</w:t>
      </w:r>
      <w:proofErr w:type="gramEnd"/>
      <w:r>
        <w:rPr>
          <w:rFonts w:ascii="Times New Roman" w:hAnsi="Times New Roman"/>
          <w:sz w:val="24"/>
          <w:szCs w:val="24"/>
        </w:rPr>
        <w:t xml:space="preserve"> recover </w:t>
      </w:r>
      <w:proofErr w:type="spellStart"/>
      <w:proofErr w:type="gramStart"/>
      <w:r>
        <w:rPr>
          <w:rFonts w:ascii="Times New Roman" w:hAnsi="Times New Roman"/>
          <w:sz w:val="24"/>
          <w:szCs w:val="24"/>
        </w:rPr>
        <w:t>attorneys</w:t>
      </w:r>
      <w:proofErr w:type="spellEnd"/>
      <w:proofErr w:type="gramEnd"/>
      <w:r>
        <w:rPr>
          <w:rFonts w:ascii="Times New Roman" w:hAnsi="Times New Roman"/>
          <w:sz w:val="24"/>
          <w:szCs w:val="24"/>
        </w:rPr>
        <w:t xml:space="preserve"> fees, Local 93 </w:t>
      </w:r>
      <w:proofErr w:type="gramStart"/>
      <w:r>
        <w:rPr>
          <w:rFonts w:ascii="Times New Roman" w:hAnsi="Times New Roman"/>
          <w:sz w:val="24"/>
          <w:szCs w:val="24"/>
        </w:rPr>
        <w:t>would have had</w:t>
      </w:r>
      <w:proofErr w:type="gramEnd"/>
      <w:r>
        <w:rPr>
          <w:rFonts w:ascii="Times New Roman" w:hAnsi="Times New Roman"/>
          <w:sz w:val="24"/>
          <w:szCs w:val="24"/>
        </w:rPr>
        <w:t xml:space="preserve"> to file a mandamus action in Court of Common Pleas under Section 149.43.  </w:t>
      </w:r>
    </w:p>
    <w:p w14:paraId="50BEAE80" w14:textId="77777777" w:rsidR="00F824FE" w:rsidRPr="00D2685F" w:rsidRDefault="00F824FE" w:rsidP="00F824F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D2685F">
        <w:rPr>
          <w:rFonts w:ascii="Times New Roman" w:hAnsi="Times New Roman"/>
          <w:sz w:val="24"/>
          <w:szCs w:val="24"/>
        </w:rPr>
        <w:t xml:space="preserve">Presented with a request that it considered ambiguous, Cleveland had an obligation to </w:t>
      </w:r>
      <w:r>
        <w:rPr>
          <w:rFonts w:ascii="Times New Roman" w:hAnsi="Times New Roman"/>
          <w:sz w:val="24"/>
          <w:szCs w:val="24"/>
        </w:rPr>
        <w:t>‘</w:t>
      </w:r>
      <w:r w:rsidRPr="00D2685F">
        <w:rPr>
          <w:rFonts w:ascii="Times New Roman" w:hAnsi="Times New Roman"/>
          <w:sz w:val="24"/>
          <w:szCs w:val="24"/>
        </w:rPr>
        <w:t>provide the requester with an opportunity to revise the request by informing the requester of the manner in which records are maintained by the public office and accessed in the ordinary course of the public office's or person's duties.</w:t>
      </w:r>
      <w:r>
        <w:rPr>
          <w:rFonts w:ascii="Times New Roman" w:hAnsi="Times New Roman"/>
          <w:sz w:val="24"/>
          <w:szCs w:val="24"/>
        </w:rPr>
        <w:t>’</w:t>
      </w:r>
      <w:r w:rsidRPr="00D2685F">
        <w:rPr>
          <w:rFonts w:ascii="Times New Roman" w:hAnsi="Times New Roman"/>
          <w:sz w:val="24"/>
          <w:szCs w:val="24"/>
        </w:rPr>
        <w:t xml:space="preserve"> R.C. 149.43(B)(2). When Local 93 contacted Cleveland on February 12, 2020 and objected that the record provided was not the record that it sought, Cleveland's proper response was not to offer that Local 93 could send another email (Response at 4), but instead to affirmatively </w:t>
      </w:r>
      <w:r w:rsidRPr="00D2685F">
        <w:rPr>
          <w:rFonts w:ascii="Times New Roman" w:hAnsi="Times New Roman"/>
          <w:i/>
          <w:iCs/>
          <w:sz w:val="24"/>
          <w:szCs w:val="24"/>
        </w:rPr>
        <w:t>inform</w:t>
      </w:r>
      <w:r w:rsidRPr="00D2685F">
        <w:rPr>
          <w:rFonts w:ascii="Times New Roman" w:hAnsi="Times New Roman"/>
          <w:sz w:val="24"/>
          <w:szCs w:val="24"/>
        </w:rPr>
        <w:t xml:space="preserve"> Local 93 of the manner in which itemized expense reports for the Cleveland Division of Fire were maintained and accessed in the ordinary course of duty. As demonstrated in the record, Cleveland kept and used more than one such report.</w:t>
      </w:r>
      <w:r>
        <w:rPr>
          <w:rFonts w:ascii="Times New Roman" w:hAnsi="Times New Roman"/>
          <w:sz w:val="24"/>
          <w:szCs w:val="24"/>
        </w:rPr>
        <w:t xml:space="preserve">” </w:t>
      </w:r>
      <w:hyperlink r:id="rId1268" w:history="1">
        <w:r w:rsidRPr="005E64DB">
          <w:rPr>
            <w:rStyle w:val="Hyperlink"/>
            <w:rFonts w:ascii="Times New Roman" w:hAnsi="Times New Roman"/>
            <w:sz w:val="24"/>
            <w:szCs w:val="24"/>
          </w:rPr>
          <w:t>https://scholar.google.com/scholar_case?case=5871380462060471996&amp;q=Association+of+Cleveland+Fire+Fighters+IAFF+Local+93+v.+City+of+Cleveland,&amp;hl=en&amp;as_sdt=6,36&amp;as_vis=1</w:t>
        </w:r>
      </w:hyperlink>
      <w:r>
        <w:rPr>
          <w:rFonts w:ascii="Times New Roman" w:hAnsi="Times New Roman"/>
          <w:sz w:val="24"/>
          <w:szCs w:val="24"/>
        </w:rPr>
        <w:t xml:space="preserve"> </w:t>
      </w:r>
    </w:p>
    <w:p w14:paraId="7964B8D6" w14:textId="77777777" w:rsidR="00F824FE" w:rsidRDefault="00F824FE" w:rsidP="00EF1133">
      <w:pPr>
        <w:rPr>
          <w:rFonts w:ascii="Arial Black" w:hAnsi="Arial Black"/>
          <w:b/>
          <w:sz w:val="24"/>
          <w:szCs w:val="24"/>
        </w:rPr>
      </w:pPr>
    </w:p>
    <w:p w14:paraId="11EBBBC4" w14:textId="77777777" w:rsidR="00F824FE" w:rsidRDefault="00F824FE" w:rsidP="00EF1133">
      <w:pPr>
        <w:rPr>
          <w:rFonts w:ascii="Arial Black" w:hAnsi="Arial Black"/>
          <w:b/>
          <w:sz w:val="24"/>
          <w:szCs w:val="24"/>
        </w:rPr>
      </w:pPr>
    </w:p>
    <w:p w14:paraId="5ADB23E1" w14:textId="77777777" w:rsidR="00F824FE" w:rsidRDefault="00F824FE" w:rsidP="00EF1133">
      <w:pPr>
        <w:rPr>
          <w:rFonts w:ascii="Arial Black" w:hAnsi="Arial Black"/>
          <w:b/>
          <w:sz w:val="24"/>
          <w:szCs w:val="24"/>
        </w:rPr>
      </w:pPr>
    </w:p>
    <w:p w14:paraId="259B3B12" w14:textId="1B8F1311" w:rsidR="00557CA2" w:rsidRDefault="00557CA2" w:rsidP="00EF1133">
      <w:pPr>
        <w:rPr>
          <w:rFonts w:ascii="Arial Black" w:hAnsi="Arial Black"/>
          <w:b/>
          <w:sz w:val="24"/>
          <w:szCs w:val="24"/>
        </w:rPr>
      </w:pPr>
      <w:r>
        <w:rPr>
          <w:rFonts w:ascii="Arial Black" w:hAnsi="Arial Black"/>
          <w:b/>
          <w:sz w:val="24"/>
          <w:szCs w:val="24"/>
        </w:rPr>
        <w:t>6-50</w:t>
      </w:r>
    </w:p>
    <w:p w14:paraId="22465E70" w14:textId="77777777" w:rsidR="00557CA2" w:rsidRDefault="00557CA2" w:rsidP="00557CA2">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MD: EMT NECK INJURY – STATE STATUTE INCLUDED PARAMEDICS, FF BUT NOT “EMTs” – SHE IS COVERED</w:t>
      </w:r>
    </w:p>
    <w:p w14:paraId="00A1BD24" w14:textId="77777777" w:rsidR="00557CA2" w:rsidRDefault="00557CA2" w:rsidP="00557CA2">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Aug. 26, 2020, in </w:t>
      </w:r>
      <w:r>
        <w:rPr>
          <w:rFonts w:ascii="Times New Roman" w:eastAsia="Times New Roman" w:hAnsi="Times New Roman"/>
          <w:sz w:val="24"/>
          <w:szCs w:val="24"/>
          <w:u w:val="single"/>
        </w:rPr>
        <w:t>Ashley N. Downer v. Baltimore County, Maryland</w:t>
      </w:r>
      <w:r>
        <w:rPr>
          <w:rFonts w:ascii="Times New Roman" w:eastAsia="Times New Roman" w:hAnsi="Times New Roman"/>
          <w:sz w:val="24"/>
          <w:szCs w:val="24"/>
        </w:rPr>
        <w:t xml:space="preserve">, the Court of Special Appeals of Maryland, held (3 to 0) that EMTs are covered by the 1987 statute that awards increased compensation to a “public safety employee” injured on the job, even though the statute did not specifically include EMTs in its definitions [receives two-thirds of her average weekly wage, instead of one-third].  The Court reversed the Circuit Court trial judge and held: </w:t>
      </w:r>
    </w:p>
    <w:p w14:paraId="57E1C85F" w14:textId="77777777" w:rsidR="00557CA2" w:rsidRDefault="00557CA2" w:rsidP="00557CA2">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Pr>
          <w:rFonts w:ascii="Times New Roman" w:hAnsi="Times New Roman"/>
          <w:sz w:val="24"/>
          <w:szCs w:val="24"/>
        </w:rPr>
        <w:t xml:space="preserve">The Court concludes that the term "paramedic" was used by the legislature in accordance with its commonly understood </w:t>
      </w:r>
      <w:proofErr w:type="gramStart"/>
      <w:r>
        <w:rPr>
          <w:rFonts w:ascii="Times New Roman" w:hAnsi="Times New Roman"/>
          <w:sz w:val="24"/>
          <w:szCs w:val="24"/>
        </w:rPr>
        <w:t>meaning,  and</w:t>
      </w:r>
      <w:proofErr w:type="gramEnd"/>
      <w:r>
        <w:rPr>
          <w:rFonts w:ascii="Times New Roman" w:hAnsi="Times New Roman"/>
          <w:sz w:val="24"/>
          <w:szCs w:val="24"/>
        </w:rPr>
        <w:t xml:space="preserve"> includes persons who are also known as emergency medical technicians.</w:t>
      </w:r>
      <w:r>
        <w:rPr>
          <w:rFonts w:ascii="Times New Roman" w:eastAsia="Times New Roman" w:hAnsi="Times New Roman"/>
          <w:sz w:val="24"/>
          <w:szCs w:val="24"/>
        </w:rPr>
        <w:t xml:space="preserve"> *** </w:t>
      </w:r>
      <w:r>
        <w:rPr>
          <w:rFonts w:ascii="Times New Roman" w:hAnsi="Times New Roman"/>
          <w:sz w:val="24"/>
          <w:szCs w:val="24"/>
        </w:rPr>
        <w:t>We conclude that Ms. Downer should have been considered a public safety employee within the definition of LE § 9-628(a)(1).”</w:t>
      </w:r>
      <w:r>
        <w:rPr>
          <w:rFonts w:ascii="Times New Roman" w:eastAsia="Times New Roman" w:hAnsi="Times New Roman"/>
          <w:sz w:val="24"/>
          <w:szCs w:val="24"/>
        </w:rPr>
        <w:t xml:space="preserve"> </w:t>
      </w:r>
      <w:hyperlink r:id="rId1269" w:history="1">
        <w:r>
          <w:rPr>
            <w:rStyle w:val="Hyperlink"/>
            <w:sz w:val="24"/>
            <w:szCs w:val="24"/>
          </w:rPr>
          <w:t>https://law.justia.com/cases/maryland/court-of-special-appeals/2020/2498-17.html</w:t>
        </w:r>
      </w:hyperlink>
      <w:r>
        <w:rPr>
          <w:rFonts w:ascii="Times New Roman" w:eastAsia="Times New Roman" w:hAnsi="Times New Roman"/>
          <w:sz w:val="24"/>
          <w:szCs w:val="24"/>
        </w:rPr>
        <w:t xml:space="preserve"> </w:t>
      </w:r>
    </w:p>
    <w:p w14:paraId="7721E80A" w14:textId="77777777" w:rsidR="00557CA2" w:rsidRDefault="00557CA2" w:rsidP="00557CA2">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Nice to see Court broadly interpreting a workers compensation statute broadly. </w:t>
      </w:r>
    </w:p>
    <w:p w14:paraId="62CEC2DE" w14:textId="77777777" w:rsidR="00557CA2" w:rsidRDefault="00557CA2" w:rsidP="00EF1133">
      <w:pPr>
        <w:rPr>
          <w:rFonts w:ascii="Arial Black" w:hAnsi="Arial Black"/>
          <w:b/>
          <w:sz w:val="24"/>
          <w:szCs w:val="24"/>
        </w:rPr>
      </w:pPr>
    </w:p>
    <w:p w14:paraId="2701FB75" w14:textId="4F35ECEB" w:rsidR="00557CA2" w:rsidRDefault="00557CA2" w:rsidP="00EF1133">
      <w:pPr>
        <w:rPr>
          <w:rFonts w:ascii="Arial Black" w:hAnsi="Arial Black"/>
          <w:b/>
          <w:sz w:val="24"/>
          <w:szCs w:val="24"/>
        </w:rPr>
      </w:pPr>
      <w:r>
        <w:rPr>
          <w:rFonts w:ascii="Arial Black" w:hAnsi="Arial Black"/>
          <w:b/>
          <w:sz w:val="24"/>
          <w:szCs w:val="24"/>
        </w:rPr>
        <w:t>6-49</w:t>
      </w:r>
    </w:p>
    <w:p w14:paraId="08E1822B" w14:textId="77777777" w:rsidR="00557CA2" w:rsidRDefault="00557CA2" w:rsidP="00557CA2">
      <w:pPr>
        <w:spacing w:before="100" w:beforeAutospacing="1" w:after="100" w:afterAutospacing="1" w:line="240" w:lineRule="auto"/>
        <w:rPr>
          <w:rFonts w:ascii="Arial Black" w:hAnsi="Arial Black" w:cstheme="minorBidi"/>
          <w:sz w:val="28"/>
          <w:szCs w:val="28"/>
        </w:rPr>
      </w:pPr>
      <w:r>
        <w:rPr>
          <w:rFonts w:ascii="Arial Black" w:hAnsi="Arial Black"/>
          <w:sz w:val="28"/>
          <w:szCs w:val="28"/>
        </w:rPr>
        <w:t>WA: FF HEART ATTACK – FAMILY HISTORY - JURY FOUND CAUSED BY PLAQUE – STAT. PRESUMPTION OVERCOME</w:t>
      </w:r>
    </w:p>
    <w:p w14:paraId="4E4B7234" w14:textId="77777777" w:rsidR="00557CA2" w:rsidRDefault="00557CA2" w:rsidP="00557CA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lastRenderedPageBreak/>
        <w:t xml:space="preserve">On Aug. 18, 2020, in </w:t>
      </w:r>
      <w:r>
        <w:rPr>
          <w:rFonts w:ascii="Times New Roman" w:hAnsi="Times New Roman"/>
          <w:sz w:val="24"/>
          <w:szCs w:val="24"/>
          <w:u w:val="single"/>
        </w:rPr>
        <w:t xml:space="preserve">Andrew P. Leitner v. City of Tacoma and Department of Labor </w:t>
      </w:r>
      <w:proofErr w:type="gramStart"/>
      <w:r>
        <w:rPr>
          <w:rFonts w:ascii="Times New Roman" w:hAnsi="Times New Roman"/>
          <w:sz w:val="24"/>
          <w:szCs w:val="24"/>
          <w:u w:val="single"/>
        </w:rPr>
        <w:t>And</w:t>
      </w:r>
      <w:proofErr w:type="gramEnd"/>
      <w:r>
        <w:rPr>
          <w:rFonts w:ascii="Times New Roman" w:hAnsi="Times New Roman"/>
          <w:sz w:val="24"/>
          <w:szCs w:val="24"/>
          <w:u w:val="single"/>
        </w:rPr>
        <w:t xml:space="preserve"> Industries</w:t>
      </w:r>
      <w:r>
        <w:rPr>
          <w:rFonts w:ascii="Times New Roman" w:hAnsi="Times New Roman"/>
          <w:sz w:val="24"/>
          <w:szCs w:val="24"/>
        </w:rPr>
        <w:t xml:space="preserve">, the Court of Appeals of the State of Washington, Division II, held (3 to 0; unpublished decision) that the trial court gave a proper instruction to the jury, and the jury’s verdict will not be reversed. </w:t>
      </w:r>
    </w:p>
    <w:p w14:paraId="3F6912C7" w14:textId="77777777" w:rsidR="00557CA2" w:rsidRDefault="00557CA2" w:rsidP="00557CA2">
      <w:pPr>
        <w:pStyle w:val="NormalWeb"/>
        <w:ind w:left="720"/>
      </w:pPr>
      <w:r>
        <w:t xml:space="preserve">“Ultimately, the question of whether Leitner's other heart problems qualified for application of the statutory presumption was a factual question for the jury. The question of whether the Board incorrectly applied the presumption by failing to address Leitner's other heart problems was also a question for the jury. Therefore, we conclude that Leitner's argument that the superior court erred by failing to reverse or modify the Board's findings and decision lacks merit.”   </w:t>
      </w:r>
      <w:hyperlink r:id="rId1270" w:history="1">
        <w:r>
          <w:rPr>
            <w:rStyle w:val="Hyperlink"/>
            <w:rFonts w:eastAsiaTheme="majorEastAsia"/>
          </w:rPr>
          <w:t>https://law.justia.com/cases/washington/court-of-appeals-division-ii/2020/52908-4.html</w:t>
        </w:r>
      </w:hyperlink>
    </w:p>
    <w:p w14:paraId="3F5314E1" w14:textId="77777777" w:rsidR="00557CA2" w:rsidRDefault="00557CA2" w:rsidP="00557CA2">
      <w:pPr>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sz w:val="24"/>
          <w:szCs w:val="24"/>
        </w:rPr>
        <w:t xml:space="preserve">Legal Lessons Learned: Under the State of Washington statute, the employer can seek a jury trial on the issue of the cause of a firefighter’s heart attack. </w:t>
      </w:r>
    </w:p>
    <w:p w14:paraId="7154E4B6" w14:textId="77777777" w:rsidR="00557CA2" w:rsidRDefault="00557CA2" w:rsidP="00557CA2">
      <w:pPr>
        <w:spacing w:before="100" w:beforeAutospacing="1" w:after="100" w:afterAutospacing="1" w:line="240" w:lineRule="auto"/>
        <w:ind w:left="720"/>
        <w:rPr>
          <w:rFonts w:ascii="Times New Roman" w:eastAsiaTheme="minorHAnsi" w:hAnsi="Times New Roman"/>
          <w:sz w:val="24"/>
          <w:szCs w:val="24"/>
        </w:rPr>
      </w:pPr>
      <w:r>
        <w:rPr>
          <w:rFonts w:ascii="Times New Roman" w:hAnsi="Times New Roman"/>
          <w:sz w:val="24"/>
          <w:szCs w:val="24"/>
        </w:rPr>
        <w:t xml:space="preserve">Note: The State of Washington statutory presumption, RCW 51.32.185: </w:t>
      </w:r>
      <w:hyperlink r:id="rId1271" w:history="1">
        <w:r>
          <w:rPr>
            <w:rStyle w:val="Hyperlink"/>
            <w:sz w:val="24"/>
            <w:szCs w:val="24"/>
          </w:rPr>
          <w:t>https://app.leg.wa.gov/rcw/default.aspx?cite=51.32.185</w:t>
        </w:r>
      </w:hyperlink>
      <w:r>
        <w:rPr>
          <w:rFonts w:ascii="Times New Roman" w:hAnsi="Times New Roman"/>
          <w:sz w:val="24"/>
          <w:szCs w:val="24"/>
        </w:rPr>
        <w:t xml:space="preserve"> </w:t>
      </w:r>
    </w:p>
    <w:p w14:paraId="66E45073" w14:textId="0D87694C" w:rsidR="00557CA2" w:rsidRDefault="00557CA2" w:rsidP="00557CA2">
      <w:pPr>
        <w:ind w:left="1440"/>
        <w:rPr>
          <w:rFonts w:ascii="Times New Roman" w:hAnsi="Times New Roman"/>
          <w:sz w:val="24"/>
          <w:szCs w:val="24"/>
        </w:rPr>
      </w:pPr>
      <w:r>
        <w:rPr>
          <w:rFonts w:ascii="Times New Roman" w:hAnsi="Times New Roman"/>
          <w:sz w:val="24"/>
          <w:szCs w:val="24"/>
        </w:rPr>
        <w:t xml:space="preserve">(1)(a) In the case of firefighters as defined in RCW </w:t>
      </w:r>
      <w:hyperlink r:id="rId1272" w:history="1">
        <w:r>
          <w:rPr>
            <w:rStyle w:val="Hyperlink"/>
            <w:sz w:val="24"/>
            <w:szCs w:val="24"/>
          </w:rPr>
          <w:t>41.26.030</w:t>
        </w:r>
      </w:hyperlink>
      <w:r>
        <w:rPr>
          <w:rFonts w:ascii="Times New Roman" w:hAnsi="Times New Roman"/>
          <w:sz w:val="24"/>
          <w:szCs w:val="24"/>
        </w:rPr>
        <w:t>(17) (a), (b), (c), and (h) who are covered under this title and firefighters, including supervisors, employed on a full-time, fully compensated basis as a firefighter of a private sector employer's fire department that includes over fifty such firefighters, and public employee fire investigators, there shall exist a prima facie presumption that: (</w:t>
      </w:r>
      <w:proofErr w:type="spellStart"/>
      <w:r>
        <w:rPr>
          <w:rFonts w:ascii="Times New Roman" w:hAnsi="Times New Roman"/>
          <w:sz w:val="24"/>
          <w:szCs w:val="24"/>
        </w:rPr>
        <w:t>i</w:t>
      </w:r>
      <w:proofErr w:type="spellEnd"/>
      <w:r>
        <w:rPr>
          <w:rFonts w:ascii="Times New Roman" w:hAnsi="Times New Roman"/>
          <w:sz w:val="24"/>
          <w:szCs w:val="24"/>
        </w:rPr>
        <w:t xml:space="preserve">) Respiratory disease; (ii) any heart problems, experienced within seventy-two hours of exposure to smoke, fumes, or toxic substances, or experienced within twenty-four hours of strenuous physical exertion due to firefighting activities; (iii) cancer; and (iv) infectious diseases are occupational diseases under RCW </w:t>
      </w:r>
      <w:hyperlink r:id="rId1273" w:history="1">
        <w:r>
          <w:rPr>
            <w:rStyle w:val="Hyperlink"/>
            <w:sz w:val="24"/>
            <w:szCs w:val="24"/>
          </w:rPr>
          <w:t>51.08.140</w:t>
        </w:r>
      </w:hyperlink>
      <w:r>
        <w:rPr>
          <w:rFonts w:ascii="Times New Roman" w:hAnsi="Times New Roman"/>
          <w:sz w:val="24"/>
          <w:szCs w:val="24"/>
        </w:rPr>
        <w:t>.</w:t>
      </w:r>
    </w:p>
    <w:p w14:paraId="5FEF2910" w14:textId="77777777" w:rsidR="00557CA2" w:rsidRDefault="00557CA2" w:rsidP="00557CA2">
      <w:pPr>
        <w:pStyle w:val="NormalWeb"/>
        <w:ind w:left="720"/>
      </w:pPr>
      <w:r>
        <w:t>On April 24, 2019, the Governor signed an amendment to the statute, including additional cancers covered by the statutory presumption:</w:t>
      </w:r>
    </w:p>
    <w:p w14:paraId="0B6A523C" w14:textId="75072A1E" w:rsidR="00557CA2" w:rsidRDefault="00557CA2" w:rsidP="00557CA2">
      <w:pPr>
        <w:rPr>
          <w:rFonts w:ascii="Arial Black" w:hAnsi="Arial Black"/>
          <w:b/>
          <w:sz w:val="24"/>
          <w:szCs w:val="24"/>
        </w:rPr>
      </w:pPr>
      <w:r>
        <w:t xml:space="preserve">(10)(a)The director must create an advisory committee on occupational disease presumptions. The purposes of the advisory30committee are to review scientific evidence and to make recommendations to the legislature on additional diseases or disorders for inclusion under this section. </w:t>
      </w:r>
      <w:hyperlink r:id="rId1274" w:history="1">
        <w:r>
          <w:rPr>
            <w:rStyle w:val="Hyperlink"/>
            <w:rFonts w:eastAsiaTheme="majorEastAsia"/>
          </w:rPr>
          <w:t>http://lawfilesext.leg.wa.gov/biennium/2019-20/Pdf/Bills/Session%20Laws/House/1913.SL.pdf?cite=2019%20c%20133%20%C2%A7%201</w:t>
        </w:r>
      </w:hyperlink>
    </w:p>
    <w:p w14:paraId="4FCF79B5" w14:textId="77777777" w:rsidR="00557CA2" w:rsidRDefault="00557CA2" w:rsidP="00EF1133">
      <w:pPr>
        <w:rPr>
          <w:rFonts w:ascii="Arial Black" w:hAnsi="Arial Black"/>
          <w:b/>
          <w:sz w:val="24"/>
          <w:szCs w:val="24"/>
        </w:rPr>
      </w:pPr>
    </w:p>
    <w:p w14:paraId="1EFB8E91" w14:textId="12187865" w:rsidR="006B2083" w:rsidRDefault="006B2083" w:rsidP="00EF1133">
      <w:pPr>
        <w:rPr>
          <w:rFonts w:ascii="Arial Black" w:hAnsi="Arial Black"/>
          <w:b/>
          <w:sz w:val="24"/>
          <w:szCs w:val="24"/>
        </w:rPr>
      </w:pPr>
      <w:r>
        <w:rPr>
          <w:rFonts w:ascii="Arial Black" w:hAnsi="Arial Black"/>
          <w:b/>
          <w:sz w:val="24"/>
          <w:szCs w:val="24"/>
        </w:rPr>
        <w:t>6-48</w:t>
      </w:r>
    </w:p>
    <w:p w14:paraId="741951BD" w14:textId="77777777" w:rsidR="006B2083" w:rsidRPr="00683FEB" w:rsidRDefault="006B2083" w:rsidP="006B2083">
      <w:pPr>
        <w:pStyle w:val="NoSpacing"/>
        <w:rPr>
          <w:rFonts w:ascii="Arial Black" w:hAnsi="Arial Black"/>
          <w:sz w:val="28"/>
          <w:szCs w:val="28"/>
        </w:rPr>
      </w:pPr>
      <w:r w:rsidRPr="00683FEB">
        <w:rPr>
          <w:rFonts w:ascii="Arial Black" w:hAnsi="Arial Black"/>
          <w:sz w:val="28"/>
          <w:szCs w:val="28"/>
        </w:rPr>
        <w:t>NY:</w:t>
      </w:r>
      <w:r>
        <w:rPr>
          <w:rFonts w:ascii="Arial Black" w:hAnsi="Arial Black"/>
          <w:sz w:val="28"/>
          <w:szCs w:val="28"/>
        </w:rPr>
        <w:t xml:space="preserve"> FF WITH BAD HIP -– CLAIMED ON DUTY INJURY CAUSED – DEGENTIVE HISTORY - GETS ONLY “ORDINARY” PENSION</w:t>
      </w:r>
    </w:p>
    <w:p w14:paraId="0A61C137" w14:textId="77777777" w:rsidR="006B2083" w:rsidRDefault="006B2083" w:rsidP="006B2083">
      <w:pPr>
        <w:pStyle w:val="NoSpacing"/>
        <w:rPr>
          <w:rFonts w:ascii="Times New Roman" w:hAnsi="Times New Roman"/>
          <w:sz w:val="24"/>
          <w:szCs w:val="24"/>
        </w:rPr>
      </w:pPr>
    </w:p>
    <w:p w14:paraId="633E10B4" w14:textId="77777777" w:rsidR="006B2083" w:rsidRDefault="006B2083" w:rsidP="006B2083">
      <w:pPr>
        <w:pStyle w:val="NoSpacing"/>
        <w:rPr>
          <w:rFonts w:ascii="Times New Roman" w:hAnsi="Times New Roman"/>
          <w:sz w:val="24"/>
          <w:szCs w:val="24"/>
        </w:rPr>
      </w:pPr>
      <w:r w:rsidRPr="00D32613">
        <w:rPr>
          <w:rFonts w:ascii="Times New Roman" w:hAnsi="Times New Roman"/>
          <w:sz w:val="24"/>
          <w:szCs w:val="24"/>
        </w:rPr>
        <w:t xml:space="preserve">On July 15, 2020, in the case of </w:t>
      </w:r>
      <w:r w:rsidRPr="00D32613">
        <w:rPr>
          <w:rFonts w:ascii="Times New Roman" w:hAnsi="Times New Roman"/>
          <w:sz w:val="24"/>
          <w:szCs w:val="24"/>
          <w:u w:val="single"/>
        </w:rPr>
        <w:t>In the Matter of Robert Giuliano v. New York Fire Department Pension Fund, et al</w:t>
      </w:r>
      <w:r w:rsidRPr="00D32613">
        <w:rPr>
          <w:rFonts w:ascii="Times New Roman" w:hAnsi="Times New Roman"/>
          <w:sz w:val="24"/>
          <w:szCs w:val="24"/>
        </w:rPr>
        <w:t xml:space="preserve">., </w:t>
      </w:r>
      <w:r w:rsidRPr="00D32613">
        <w:rPr>
          <w:rFonts w:ascii="Times New Roman" w:eastAsia="Times New Roman" w:hAnsi="Times New Roman"/>
          <w:sz w:val="24"/>
          <w:szCs w:val="24"/>
        </w:rPr>
        <w:t>the Supreme Court of the State of New York, Appellate Division, Second</w:t>
      </w:r>
      <w:r>
        <w:rPr>
          <w:rFonts w:ascii="Times New Roman" w:eastAsia="Times New Roman" w:hAnsi="Times New Roman"/>
          <w:sz w:val="24"/>
          <w:szCs w:val="24"/>
        </w:rPr>
        <w:t xml:space="preserve"> </w:t>
      </w:r>
      <w:r w:rsidRPr="00D32613">
        <w:rPr>
          <w:rFonts w:ascii="Times New Roman" w:eastAsia="Times New Roman" w:hAnsi="Times New Roman"/>
          <w:sz w:val="24"/>
          <w:szCs w:val="24"/>
        </w:rPr>
        <w:t xml:space="preserve">Judicial Department, upheld (5 to 0) the trial court’s decision denying the firefighter’s </w:t>
      </w:r>
      <w:r w:rsidRPr="00D32613">
        <w:rPr>
          <w:rFonts w:ascii="Times New Roman" w:hAnsi="Times New Roman"/>
          <w:sz w:val="24"/>
          <w:szCs w:val="24"/>
        </w:rPr>
        <w:t>application for accidental disability retirement benefits; while he and his surgeon claimed likely caused by on the job injury, MRI showed degenerative history.</w:t>
      </w:r>
      <w:r>
        <w:rPr>
          <w:rFonts w:ascii="Times New Roman" w:hAnsi="Times New Roman"/>
          <w:sz w:val="24"/>
          <w:szCs w:val="24"/>
        </w:rPr>
        <w:t xml:space="preserve"> Court wrote: “</w:t>
      </w:r>
      <w:r w:rsidRPr="00FB2CC3">
        <w:rPr>
          <w:rFonts w:ascii="Times New Roman" w:hAnsi="Times New Roman"/>
          <w:sz w:val="24"/>
          <w:szCs w:val="24"/>
        </w:rPr>
        <w:t>The Medical Board’s findings differ from</w:t>
      </w:r>
      <w:r>
        <w:rPr>
          <w:rFonts w:ascii="Times New Roman" w:hAnsi="Times New Roman"/>
          <w:sz w:val="24"/>
          <w:szCs w:val="24"/>
        </w:rPr>
        <w:t xml:space="preserve"> </w:t>
      </w:r>
      <w:r w:rsidRPr="00FB2CC3">
        <w:rPr>
          <w:rFonts w:ascii="Times New Roman" w:hAnsi="Times New Roman"/>
          <w:sz w:val="24"/>
          <w:szCs w:val="24"/>
        </w:rPr>
        <w:t>those of</w:t>
      </w:r>
      <w:r>
        <w:rPr>
          <w:rFonts w:ascii="Times New Roman" w:hAnsi="Times New Roman"/>
          <w:sz w:val="24"/>
          <w:szCs w:val="24"/>
        </w:rPr>
        <w:t xml:space="preserve"> </w:t>
      </w:r>
      <w:r w:rsidRPr="00FB2CC3">
        <w:rPr>
          <w:rFonts w:ascii="Times New Roman" w:hAnsi="Times New Roman"/>
          <w:sz w:val="24"/>
          <w:szCs w:val="24"/>
        </w:rPr>
        <w:t>the petitioner’s</w:t>
      </w:r>
      <w:r>
        <w:rPr>
          <w:rFonts w:ascii="Times New Roman" w:hAnsi="Times New Roman"/>
          <w:sz w:val="24"/>
          <w:szCs w:val="24"/>
        </w:rPr>
        <w:t xml:space="preserve"> </w:t>
      </w:r>
      <w:r w:rsidRPr="00FB2CC3">
        <w:rPr>
          <w:rFonts w:ascii="Times New Roman" w:hAnsi="Times New Roman"/>
          <w:sz w:val="24"/>
          <w:szCs w:val="24"/>
        </w:rPr>
        <w:t>surgeon,</w:t>
      </w:r>
      <w:r>
        <w:rPr>
          <w:rFonts w:ascii="Times New Roman" w:hAnsi="Times New Roman"/>
          <w:sz w:val="24"/>
          <w:szCs w:val="24"/>
        </w:rPr>
        <w:t xml:space="preserve"> </w:t>
      </w:r>
      <w:r w:rsidRPr="00FB2CC3">
        <w:rPr>
          <w:rFonts w:ascii="Times New Roman" w:hAnsi="Times New Roman"/>
          <w:sz w:val="24"/>
          <w:szCs w:val="24"/>
        </w:rPr>
        <w:t>who found that it was likely that the petitioner’s condition was causally</w:t>
      </w:r>
      <w:r>
        <w:rPr>
          <w:rFonts w:ascii="Times New Roman" w:hAnsi="Times New Roman"/>
          <w:sz w:val="24"/>
          <w:szCs w:val="24"/>
        </w:rPr>
        <w:t xml:space="preserve"> </w:t>
      </w:r>
      <w:r w:rsidRPr="00FB2CC3">
        <w:rPr>
          <w:rFonts w:ascii="Times New Roman" w:hAnsi="Times New Roman"/>
          <w:sz w:val="24"/>
          <w:szCs w:val="24"/>
        </w:rPr>
        <w:t xml:space="preserve">related to work injuries and that the petitioner may have exacerbated a pre-existing condition. However, </w:t>
      </w:r>
      <w:r>
        <w:rPr>
          <w:rFonts w:ascii="Times New Roman" w:hAnsi="Times New Roman"/>
          <w:sz w:val="24"/>
          <w:szCs w:val="24"/>
        </w:rPr>
        <w:t>‘</w:t>
      </w:r>
      <w:r w:rsidRPr="00FB2CC3">
        <w:rPr>
          <w:rFonts w:ascii="Times New Roman" w:hAnsi="Times New Roman"/>
          <w:sz w:val="24"/>
          <w:szCs w:val="24"/>
        </w:rPr>
        <w:t>[w]here conflicting medical evidence and medical reports are presented to the Medical</w:t>
      </w:r>
      <w:r>
        <w:rPr>
          <w:rFonts w:ascii="Times New Roman" w:hAnsi="Times New Roman"/>
          <w:sz w:val="24"/>
          <w:szCs w:val="24"/>
        </w:rPr>
        <w:t xml:space="preserve"> </w:t>
      </w:r>
      <w:r w:rsidRPr="00FB2CC3">
        <w:rPr>
          <w:rFonts w:ascii="Times New Roman" w:hAnsi="Times New Roman"/>
          <w:sz w:val="24"/>
          <w:szCs w:val="24"/>
        </w:rPr>
        <w:t>Board, it is solely within the province of the Medical Board to resolve such conflicts</w:t>
      </w:r>
      <w:r>
        <w:rPr>
          <w:rFonts w:ascii="Times New Roman" w:hAnsi="Times New Roman"/>
          <w:sz w:val="24"/>
          <w:szCs w:val="24"/>
        </w:rPr>
        <w:t xml:space="preserve">.’” </w:t>
      </w:r>
    </w:p>
    <w:p w14:paraId="5F13AC4B" w14:textId="77777777" w:rsidR="006B2083" w:rsidRDefault="006B2083" w:rsidP="006B2083">
      <w:pPr>
        <w:pStyle w:val="NoSpacing"/>
        <w:rPr>
          <w:rFonts w:ascii="Times New Roman" w:hAnsi="Times New Roman"/>
          <w:sz w:val="24"/>
          <w:szCs w:val="24"/>
        </w:rPr>
      </w:pPr>
      <w:hyperlink r:id="rId1275" w:history="1">
        <w:r w:rsidRPr="000603D4">
          <w:rPr>
            <w:rStyle w:val="Hyperlink"/>
            <w:rFonts w:ascii="Times New Roman" w:hAnsi="Times New Roman"/>
            <w:sz w:val="24"/>
            <w:szCs w:val="24"/>
          </w:rPr>
          <w:t>http://www.nycourts.gov/courts/AD2/Handdowns/2020/Decisions/D63333.pdf</w:t>
        </w:r>
      </w:hyperlink>
      <w:r>
        <w:rPr>
          <w:rFonts w:ascii="Times New Roman" w:hAnsi="Times New Roman"/>
          <w:sz w:val="24"/>
          <w:szCs w:val="24"/>
        </w:rPr>
        <w:t xml:space="preserve"> </w:t>
      </w:r>
    </w:p>
    <w:p w14:paraId="0A2161B7" w14:textId="77777777" w:rsidR="006B2083" w:rsidRDefault="006B2083" w:rsidP="006B2083">
      <w:pPr>
        <w:pStyle w:val="NoSpacing"/>
        <w:rPr>
          <w:rFonts w:ascii="Times New Roman" w:hAnsi="Times New Roman"/>
          <w:b/>
          <w:bCs/>
          <w:sz w:val="24"/>
          <w:szCs w:val="24"/>
        </w:rPr>
      </w:pPr>
    </w:p>
    <w:p w14:paraId="338F91CF" w14:textId="6B3C7A01" w:rsidR="006B2083" w:rsidRPr="00D32613" w:rsidRDefault="006B2083" w:rsidP="006B2083">
      <w:pPr>
        <w:pStyle w:val="NoSpacing"/>
        <w:rPr>
          <w:rFonts w:ascii="Times New Roman" w:hAnsi="Times New Roman"/>
          <w:b/>
          <w:bCs/>
          <w:sz w:val="24"/>
          <w:szCs w:val="24"/>
        </w:rPr>
      </w:pPr>
      <w:r w:rsidRPr="00D32613">
        <w:rPr>
          <w:rFonts w:ascii="Times New Roman" w:hAnsi="Times New Roman"/>
          <w:b/>
          <w:bCs/>
          <w:sz w:val="24"/>
          <w:szCs w:val="24"/>
        </w:rPr>
        <w:t xml:space="preserve">Legal Lesson Learned: </w:t>
      </w:r>
      <w:r>
        <w:rPr>
          <w:rFonts w:ascii="Times New Roman" w:hAnsi="Times New Roman"/>
          <w:b/>
          <w:bCs/>
          <w:sz w:val="24"/>
          <w:szCs w:val="24"/>
        </w:rPr>
        <w:t>Appellate courts will generally follow the findings of a Medical Board, supported by medical documentation.</w:t>
      </w:r>
    </w:p>
    <w:p w14:paraId="40D48217" w14:textId="77777777" w:rsidR="006B2083" w:rsidRDefault="006B2083" w:rsidP="00EF1133">
      <w:pPr>
        <w:rPr>
          <w:rFonts w:ascii="Arial Black" w:hAnsi="Arial Black"/>
          <w:b/>
          <w:sz w:val="24"/>
          <w:szCs w:val="24"/>
        </w:rPr>
      </w:pPr>
    </w:p>
    <w:p w14:paraId="13FB72E8" w14:textId="77777777" w:rsidR="006B2083" w:rsidRDefault="006B2083" w:rsidP="00EF1133">
      <w:pPr>
        <w:rPr>
          <w:rFonts w:ascii="Arial Black" w:hAnsi="Arial Black"/>
          <w:b/>
          <w:sz w:val="24"/>
          <w:szCs w:val="24"/>
        </w:rPr>
      </w:pPr>
    </w:p>
    <w:p w14:paraId="6A85CBAE" w14:textId="77777777" w:rsidR="006B2083" w:rsidRDefault="006B2083" w:rsidP="00EF1133">
      <w:pPr>
        <w:rPr>
          <w:rFonts w:ascii="Arial Black" w:hAnsi="Arial Black"/>
          <w:b/>
          <w:sz w:val="24"/>
          <w:szCs w:val="24"/>
        </w:rPr>
      </w:pPr>
    </w:p>
    <w:p w14:paraId="27B9AF9A" w14:textId="3073EE32" w:rsidR="006B2083" w:rsidRDefault="006B2083" w:rsidP="00EF1133">
      <w:pPr>
        <w:rPr>
          <w:rFonts w:ascii="Arial Black" w:hAnsi="Arial Black"/>
          <w:b/>
          <w:sz w:val="24"/>
          <w:szCs w:val="24"/>
        </w:rPr>
      </w:pPr>
      <w:r>
        <w:rPr>
          <w:rFonts w:ascii="Arial Black" w:hAnsi="Arial Black"/>
          <w:b/>
          <w:sz w:val="24"/>
          <w:szCs w:val="24"/>
        </w:rPr>
        <w:t>6-47</w:t>
      </w:r>
    </w:p>
    <w:p w14:paraId="38923EA9" w14:textId="77777777" w:rsidR="006B2083" w:rsidRDefault="006B2083" w:rsidP="006B2083">
      <w:pPr>
        <w:pStyle w:val="NoSpacing"/>
        <w:rPr>
          <w:rFonts w:ascii="Arial" w:hAnsi="Arial" w:cs="Arial"/>
          <w:sz w:val="30"/>
          <w:szCs w:val="30"/>
        </w:rPr>
      </w:pPr>
      <w:r w:rsidRPr="00244752">
        <w:rPr>
          <w:rFonts w:ascii="Arial Black" w:hAnsi="Arial Black"/>
          <w:sz w:val="28"/>
          <w:szCs w:val="28"/>
        </w:rPr>
        <w:t>R</w:t>
      </w:r>
      <w:r>
        <w:rPr>
          <w:rFonts w:ascii="Arial Black" w:hAnsi="Arial Black"/>
          <w:sz w:val="28"/>
          <w:szCs w:val="28"/>
        </w:rPr>
        <w:t>I: FISCAL EMERGENCY – FIRE &amp; POLICE RETIREES MUST NOW ENROLL IN MEDICARE - CITY MUST PAY GAP COVERAGE</w:t>
      </w:r>
    </w:p>
    <w:p w14:paraId="5D7ABA6D" w14:textId="77777777" w:rsidR="006B2083" w:rsidRDefault="006B2083" w:rsidP="006B2083">
      <w:pPr>
        <w:pStyle w:val="NoSpacing"/>
        <w:rPr>
          <w:rFonts w:ascii="Times New Roman" w:hAnsi="Times New Roman"/>
          <w:sz w:val="24"/>
          <w:szCs w:val="24"/>
        </w:rPr>
      </w:pPr>
    </w:p>
    <w:p w14:paraId="484ECA0E" w14:textId="77777777" w:rsidR="006B2083" w:rsidRPr="004473E9" w:rsidRDefault="006B2083" w:rsidP="006B2083">
      <w:pPr>
        <w:pStyle w:val="NoSpacing"/>
        <w:rPr>
          <w:rFonts w:ascii="Times New Roman" w:hAnsi="Times New Roman"/>
          <w:sz w:val="24"/>
          <w:szCs w:val="24"/>
        </w:rPr>
      </w:pPr>
      <w:r w:rsidRPr="004473E9">
        <w:rPr>
          <w:rFonts w:ascii="Times New Roman" w:hAnsi="Times New Roman"/>
          <w:sz w:val="24"/>
          <w:szCs w:val="24"/>
        </w:rPr>
        <w:t xml:space="preserve">On June 30, 2020, in </w:t>
      </w:r>
      <w:r w:rsidRPr="004473E9">
        <w:rPr>
          <w:rFonts w:ascii="Times New Roman" w:hAnsi="Times New Roman"/>
          <w:sz w:val="24"/>
          <w:szCs w:val="24"/>
          <w:u w:val="single"/>
        </w:rPr>
        <w:t>Manuel Andrews, Jr. et al. v. James Lombardi, Treasurer of the City of Providence, Rhode Island</w:t>
      </w:r>
      <w:r w:rsidRPr="004473E9">
        <w:rPr>
          <w:rFonts w:ascii="Times New Roman" w:hAnsi="Times New Roman"/>
          <w:sz w:val="24"/>
          <w:szCs w:val="24"/>
        </w:rPr>
        <w:t xml:space="preserve">, the Supreme Court of Rhode Island held (5 to 0) that the 2011 state statute authorizing municipalities to require retirees at age 65 to go on Medicare Part A was lawful, but the City of Providence must also pay for retiree supplemental benefits under Medicare Parts B &amp; D, as the City had agreed in a settlement with some of the retirees. The Court wrote: </w:t>
      </w:r>
      <w:r>
        <w:rPr>
          <w:rFonts w:ascii="Times New Roman" w:hAnsi="Times New Roman"/>
          <w:sz w:val="24"/>
          <w:szCs w:val="24"/>
        </w:rPr>
        <w:t>“</w:t>
      </w:r>
      <w:r w:rsidRPr="004473E9">
        <w:rPr>
          <w:rFonts w:ascii="Times New Roman" w:hAnsi="Times New Roman"/>
          <w:sz w:val="24"/>
          <w:szCs w:val="24"/>
        </w:rPr>
        <w:t>We are convinced nevertheless that the controversy ought to be resolved by awarding the plaintiffs the same remedies for health care</w:t>
      </w:r>
      <w:r>
        <w:rPr>
          <w:rFonts w:ascii="Times New Roman" w:hAnsi="Times New Roman"/>
          <w:sz w:val="24"/>
          <w:szCs w:val="24"/>
        </w:rPr>
        <w:t xml:space="preserve"> </w:t>
      </w:r>
      <w:r w:rsidRPr="004473E9">
        <w:rPr>
          <w:rFonts w:ascii="Times New Roman" w:hAnsi="Times New Roman"/>
          <w:sz w:val="24"/>
          <w:szCs w:val="24"/>
        </w:rPr>
        <w:t>as provided in the 2011 lawsuit’s settlement agreement</w:t>
      </w:r>
      <w:r>
        <w:rPr>
          <w:rFonts w:ascii="Times New Roman" w:hAnsi="Times New Roman"/>
          <w:sz w:val="24"/>
          <w:szCs w:val="24"/>
        </w:rPr>
        <w:t xml:space="preserve"> </w:t>
      </w:r>
      <w:r w:rsidRPr="004473E9">
        <w:rPr>
          <w:rFonts w:ascii="Times New Roman" w:hAnsi="Times New Roman"/>
          <w:sz w:val="24"/>
          <w:szCs w:val="24"/>
        </w:rPr>
        <w:t>approved in the 2013 Final and Consent Judgment. It is nothing more than what the City has agreed to provide for the opt-in retirees and indeed</w:t>
      </w:r>
      <w:r>
        <w:rPr>
          <w:rFonts w:ascii="Times New Roman" w:hAnsi="Times New Roman"/>
          <w:sz w:val="24"/>
          <w:szCs w:val="24"/>
        </w:rPr>
        <w:t xml:space="preserve"> </w:t>
      </w:r>
      <w:r w:rsidRPr="004473E9">
        <w:rPr>
          <w:rFonts w:ascii="Times New Roman" w:hAnsi="Times New Roman"/>
          <w:sz w:val="24"/>
          <w:szCs w:val="24"/>
        </w:rPr>
        <w:t>is contemplated in the 2011 Medicare Ordinance,</w:t>
      </w:r>
      <w:r>
        <w:rPr>
          <w:rFonts w:ascii="Times New Roman" w:hAnsi="Times New Roman"/>
          <w:sz w:val="24"/>
          <w:szCs w:val="24"/>
        </w:rPr>
        <w:t xml:space="preserve"> </w:t>
      </w:r>
      <w:r w:rsidRPr="004473E9">
        <w:rPr>
          <w:rFonts w:ascii="Times New Roman" w:hAnsi="Times New Roman"/>
          <w:sz w:val="24"/>
          <w:szCs w:val="24"/>
        </w:rPr>
        <w:t xml:space="preserve">which allows for the City’s payment of </w:t>
      </w:r>
      <w:r>
        <w:rPr>
          <w:rFonts w:ascii="Times New Roman" w:hAnsi="Times New Roman"/>
          <w:sz w:val="24"/>
          <w:szCs w:val="24"/>
        </w:rPr>
        <w:t>‘</w:t>
      </w:r>
      <w:r w:rsidRPr="004473E9">
        <w:rPr>
          <w:rFonts w:ascii="Times New Roman" w:hAnsi="Times New Roman"/>
          <w:sz w:val="24"/>
          <w:szCs w:val="24"/>
        </w:rPr>
        <w:t>Medicare supplement or gap coverage</w:t>
      </w:r>
      <w:r>
        <w:rPr>
          <w:rFonts w:ascii="Times New Roman" w:hAnsi="Times New Roman"/>
          <w:sz w:val="24"/>
          <w:szCs w:val="24"/>
        </w:rPr>
        <w:t>’</w:t>
      </w:r>
      <w:r w:rsidRPr="004473E9">
        <w:rPr>
          <w:rFonts w:ascii="Times New Roman" w:hAnsi="Times New Roman"/>
          <w:sz w:val="24"/>
          <w:szCs w:val="24"/>
        </w:rPr>
        <w:t xml:space="preserve"> when </w:t>
      </w:r>
      <w:r>
        <w:rPr>
          <w:rFonts w:ascii="Times New Roman" w:hAnsi="Times New Roman"/>
          <w:sz w:val="24"/>
          <w:szCs w:val="24"/>
        </w:rPr>
        <w:t>‘</w:t>
      </w:r>
      <w:r w:rsidRPr="004473E9">
        <w:rPr>
          <w:rFonts w:ascii="Times New Roman" w:hAnsi="Times New Roman"/>
          <w:sz w:val="24"/>
          <w:szCs w:val="24"/>
        </w:rPr>
        <w:t>otherwise provided by ordinance or contract.</w:t>
      </w:r>
      <w:r>
        <w:rPr>
          <w:rFonts w:ascii="Times New Roman" w:hAnsi="Times New Roman"/>
          <w:sz w:val="24"/>
          <w:szCs w:val="24"/>
        </w:rPr>
        <w:t>’”</w:t>
      </w:r>
      <w:r w:rsidRPr="004473E9">
        <w:t xml:space="preserve"> </w:t>
      </w:r>
      <w:hyperlink r:id="rId1276" w:anchor="search=Manuel%20Andrews%2C%20Jr" w:history="1">
        <w:r w:rsidRPr="00BC34AA">
          <w:rPr>
            <w:rStyle w:val="Hyperlink"/>
            <w:rFonts w:ascii="Times New Roman" w:hAnsi="Times New Roman"/>
            <w:sz w:val="24"/>
            <w:szCs w:val="24"/>
          </w:rPr>
          <w:t>https://www.courts.ri.gov/Courts/SupremeCourt/SupremeOpinions/17-255,256,257,260.pdf#search=Manuel%20Andrews%2C%20Jr</w:t>
        </w:r>
      </w:hyperlink>
      <w:r>
        <w:rPr>
          <w:rFonts w:ascii="Times New Roman" w:hAnsi="Times New Roman"/>
          <w:sz w:val="24"/>
          <w:szCs w:val="24"/>
        </w:rPr>
        <w:t xml:space="preserve"> </w:t>
      </w:r>
    </w:p>
    <w:p w14:paraId="5DEB734B" w14:textId="77777777" w:rsidR="006B2083" w:rsidRDefault="006B2083" w:rsidP="006B2083">
      <w:pPr>
        <w:pStyle w:val="NoSpacing"/>
        <w:rPr>
          <w:rFonts w:ascii="Times New Roman" w:hAnsi="Times New Roman"/>
          <w:b/>
          <w:bCs/>
          <w:sz w:val="24"/>
          <w:szCs w:val="24"/>
        </w:rPr>
      </w:pPr>
    </w:p>
    <w:p w14:paraId="4236FDB0" w14:textId="3C3BD1C6" w:rsidR="006B2083" w:rsidRPr="0002321F" w:rsidRDefault="006B2083" w:rsidP="006B2083">
      <w:pPr>
        <w:pStyle w:val="NoSpacing"/>
        <w:rPr>
          <w:rFonts w:ascii="Times New Roman" w:hAnsi="Times New Roman"/>
          <w:b/>
          <w:bCs/>
          <w:sz w:val="24"/>
          <w:szCs w:val="24"/>
        </w:rPr>
      </w:pPr>
      <w:r w:rsidRPr="0002321F">
        <w:rPr>
          <w:rFonts w:ascii="Times New Roman" w:hAnsi="Times New Roman"/>
          <w:b/>
          <w:bCs/>
          <w:sz w:val="24"/>
          <w:szCs w:val="24"/>
        </w:rPr>
        <w:t>Legal Lesson Learned:</w:t>
      </w:r>
      <w:r>
        <w:rPr>
          <w:rFonts w:ascii="Times New Roman" w:hAnsi="Times New Roman"/>
          <w:b/>
          <w:bCs/>
          <w:sz w:val="24"/>
          <w:szCs w:val="24"/>
        </w:rPr>
        <w:t xml:space="preserve"> State can enact a statute authorizing municipalities to require retirees to switch to Medicare coverage, but litigation may lead to settlements and Court decisions requiring the “gap” insurance is also paid by the municipality. </w:t>
      </w:r>
    </w:p>
    <w:p w14:paraId="14635816" w14:textId="77777777" w:rsidR="006B2083" w:rsidRDefault="006B2083" w:rsidP="00EF1133">
      <w:pPr>
        <w:rPr>
          <w:rFonts w:ascii="Arial Black" w:hAnsi="Arial Black"/>
          <w:b/>
          <w:sz w:val="24"/>
          <w:szCs w:val="24"/>
        </w:rPr>
      </w:pPr>
    </w:p>
    <w:p w14:paraId="248BAEE2" w14:textId="77777777" w:rsidR="006B2083" w:rsidRDefault="006B2083" w:rsidP="00EF1133">
      <w:pPr>
        <w:rPr>
          <w:rFonts w:ascii="Arial Black" w:hAnsi="Arial Black"/>
          <w:b/>
          <w:sz w:val="24"/>
          <w:szCs w:val="24"/>
        </w:rPr>
      </w:pPr>
    </w:p>
    <w:p w14:paraId="0A7E2A5E" w14:textId="77777777" w:rsidR="006B2083" w:rsidRDefault="006B2083" w:rsidP="00EF1133">
      <w:pPr>
        <w:rPr>
          <w:rFonts w:ascii="Arial Black" w:hAnsi="Arial Black"/>
          <w:b/>
          <w:sz w:val="24"/>
          <w:szCs w:val="24"/>
        </w:rPr>
      </w:pPr>
    </w:p>
    <w:p w14:paraId="716809E7" w14:textId="1DC0DA29" w:rsidR="007105B3" w:rsidRDefault="007105B3" w:rsidP="00EF1133">
      <w:pPr>
        <w:rPr>
          <w:rFonts w:ascii="Arial Black" w:hAnsi="Arial Black"/>
          <w:b/>
          <w:sz w:val="24"/>
          <w:szCs w:val="24"/>
        </w:rPr>
      </w:pPr>
      <w:r>
        <w:rPr>
          <w:rFonts w:ascii="Arial Black" w:hAnsi="Arial Black"/>
          <w:b/>
          <w:sz w:val="24"/>
          <w:szCs w:val="24"/>
        </w:rPr>
        <w:t>6-46</w:t>
      </w:r>
    </w:p>
    <w:p w14:paraId="46930089" w14:textId="77777777" w:rsidR="007105B3" w:rsidRPr="004F5401" w:rsidRDefault="007105B3" w:rsidP="007105B3">
      <w:pPr>
        <w:pStyle w:val="NoSpacing"/>
        <w:rPr>
          <w:rFonts w:ascii="Arial Black" w:hAnsi="Arial Black"/>
          <w:sz w:val="28"/>
          <w:szCs w:val="28"/>
        </w:rPr>
      </w:pPr>
      <w:r w:rsidRPr="004F5401">
        <w:rPr>
          <w:rFonts w:ascii="Arial Black" w:hAnsi="Arial Black"/>
          <w:sz w:val="28"/>
          <w:szCs w:val="28"/>
        </w:rPr>
        <w:t xml:space="preserve">OH: </w:t>
      </w:r>
      <w:r>
        <w:rPr>
          <w:rFonts w:ascii="Arial Black" w:hAnsi="Arial Black"/>
          <w:sz w:val="28"/>
          <w:szCs w:val="28"/>
        </w:rPr>
        <w:t xml:space="preserve">FF SUES MAYOR – FIRST AMEND. RIGHT POST YARD SIGNS – UPSET CITY INSPECTOR DIDN’T FIND DEFECTS NEW HOME </w:t>
      </w:r>
    </w:p>
    <w:p w14:paraId="108853C0" w14:textId="77777777" w:rsidR="007105B3" w:rsidRDefault="007105B3" w:rsidP="007105B3">
      <w:pPr>
        <w:pStyle w:val="NoSpacing"/>
        <w:rPr>
          <w:rFonts w:ascii="Times New Roman" w:hAnsi="Times New Roman"/>
          <w:sz w:val="24"/>
          <w:szCs w:val="24"/>
        </w:rPr>
      </w:pPr>
    </w:p>
    <w:p w14:paraId="1BAD5EE1" w14:textId="04906921" w:rsidR="007105B3" w:rsidRDefault="007105B3" w:rsidP="007105B3">
      <w:pPr>
        <w:rPr>
          <w:rStyle w:val="Hyperlink"/>
          <w:rFonts w:ascii="Times New Roman" w:hAnsi="Times New Roman"/>
          <w:sz w:val="24"/>
          <w:szCs w:val="24"/>
        </w:rPr>
      </w:pPr>
      <w:r w:rsidRPr="008263A3">
        <w:rPr>
          <w:rFonts w:ascii="Times New Roman" w:hAnsi="Times New Roman"/>
          <w:sz w:val="24"/>
          <w:szCs w:val="24"/>
        </w:rPr>
        <w:t xml:space="preserve">On </w:t>
      </w:r>
      <w:r>
        <w:rPr>
          <w:rFonts w:ascii="Times New Roman" w:hAnsi="Times New Roman"/>
          <w:sz w:val="24"/>
          <w:szCs w:val="24"/>
        </w:rPr>
        <w:t xml:space="preserve">June 22, 2020, in </w:t>
      </w:r>
      <w:r w:rsidRPr="008263A3">
        <w:rPr>
          <w:rFonts w:ascii="Times New Roman" w:hAnsi="Times New Roman"/>
          <w:sz w:val="24"/>
          <w:szCs w:val="24"/>
          <w:u w:val="single"/>
        </w:rPr>
        <w:t>Scott Solarz v. James Gaven &amp; City of Olmstead Falls</w:t>
      </w:r>
      <w:r>
        <w:rPr>
          <w:rFonts w:ascii="Times New Roman" w:hAnsi="Times New Roman"/>
          <w:sz w:val="24"/>
          <w:szCs w:val="24"/>
        </w:rPr>
        <w:t xml:space="preserve">, U.S. District Court Judge Christopher A Boyko, U.S. District Court for Northern District of Ohio (Eastern Division), denied the </w:t>
      </w:r>
      <w:proofErr w:type="gramStart"/>
      <w:r>
        <w:rPr>
          <w:rFonts w:ascii="Times New Roman" w:hAnsi="Times New Roman"/>
          <w:sz w:val="24"/>
          <w:szCs w:val="24"/>
        </w:rPr>
        <w:t>Mayor’s</w:t>
      </w:r>
      <w:proofErr w:type="gramEnd"/>
      <w:r>
        <w:rPr>
          <w:rFonts w:ascii="Times New Roman" w:hAnsi="Times New Roman"/>
          <w:sz w:val="24"/>
          <w:szCs w:val="24"/>
        </w:rPr>
        <w:t xml:space="preserve"> motion to dismiss based on qualified immunity, but did dismiss the </w:t>
      </w:r>
      <w:proofErr w:type="gramStart"/>
      <w:r>
        <w:rPr>
          <w:rFonts w:ascii="Times New Roman" w:hAnsi="Times New Roman"/>
          <w:sz w:val="24"/>
          <w:szCs w:val="24"/>
        </w:rPr>
        <w:t>City</w:t>
      </w:r>
      <w:proofErr w:type="gramEnd"/>
      <w:r>
        <w:rPr>
          <w:rFonts w:ascii="Times New Roman" w:hAnsi="Times New Roman"/>
          <w:sz w:val="24"/>
          <w:szCs w:val="24"/>
        </w:rPr>
        <w:t xml:space="preserve"> on basis of governmental immunity. as a defendant. Court wrote: “</w:t>
      </w:r>
      <w:r w:rsidRPr="004F5401">
        <w:rPr>
          <w:rFonts w:ascii="Times New Roman" w:eastAsia="Times New Roman" w:hAnsi="Times New Roman"/>
          <w:sz w:val="24"/>
          <w:szCs w:val="24"/>
        </w:rPr>
        <w:t>On May 14, 2019, Plaintiff attended a City Council meeting</w:t>
      </w:r>
      <w:r>
        <w:rPr>
          <w:rFonts w:ascii="Times New Roman" w:eastAsia="Times New Roman" w:hAnsi="Times New Roman"/>
          <w:sz w:val="24"/>
          <w:szCs w:val="24"/>
        </w:rPr>
        <w:t xml:space="preserve"> [he lives in City of Olmstead </w:t>
      </w:r>
      <w:proofErr w:type="gramStart"/>
      <w:r>
        <w:rPr>
          <w:rFonts w:ascii="Times New Roman" w:eastAsia="Times New Roman" w:hAnsi="Times New Roman"/>
          <w:sz w:val="24"/>
          <w:szCs w:val="24"/>
        </w:rPr>
        <w:t>Falls, and</w:t>
      </w:r>
      <w:proofErr w:type="gramEnd"/>
      <w:r>
        <w:rPr>
          <w:rFonts w:ascii="Times New Roman" w:eastAsia="Times New Roman" w:hAnsi="Times New Roman"/>
          <w:sz w:val="24"/>
          <w:szCs w:val="24"/>
        </w:rPr>
        <w:t xml:space="preserve"> is a firefighter with City of Rocky River]</w:t>
      </w:r>
      <w:r w:rsidRPr="004F5401">
        <w:rPr>
          <w:rFonts w:ascii="Times New Roman" w:eastAsia="Times New Roman" w:hAnsi="Times New Roman"/>
          <w:sz w:val="24"/>
          <w:szCs w:val="24"/>
        </w:rPr>
        <w:t xml:space="preserve">. Allegedly, Plaintiff and Defendant Graven had a heated exchange over the improper inspection </w:t>
      </w:r>
      <w:r>
        <w:rPr>
          <w:rFonts w:ascii="Times New Roman" w:eastAsia="Times New Roman" w:hAnsi="Times New Roman"/>
          <w:sz w:val="24"/>
          <w:szCs w:val="24"/>
        </w:rPr>
        <w:t xml:space="preserve">[of his home in 2016] </w:t>
      </w:r>
      <w:r w:rsidRPr="004F5401">
        <w:rPr>
          <w:rFonts w:ascii="Times New Roman" w:eastAsia="Times New Roman" w:hAnsi="Times New Roman"/>
          <w:sz w:val="24"/>
          <w:szCs w:val="24"/>
        </w:rPr>
        <w:t>and the refusal to provide Plaintiff with reimbursement</w:t>
      </w:r>
      <w:r>
        <w:rPr>
          <w:rFonts w:ascii="Times New Roman" w:eastAsia="Times New Roman" w:hAnsi="Times New Roman"/>
          <w:sz w:val="24"/>
          <w:szCs w:val="24"/>
        </w:rPr>
        <w:t xml:space="preserve"> [for cost of arbitration with builder]</w:t>
      </w:r>
      <w:r w:rsidRPr="004F5401">
        <w:rPr>
          <w:rFonts w:ascii="Times New Roman" w:eastAsia="Times New Roman" w:hAnsi="Times New Roman"/>
          <w:sz w:val="24"/>
          <w:szCs w:val="24"/>
        </w:rPr>
        <w:t xml:space="preserve">. Plaintiff felt the </w:t>
      </w:r>
      <w:proofErr w:type="gramStart"/>
      <w:r w:rsidRPr="004F5401">
        <w:rPr>
          <w:rFonts w:ascii="Times New Roman" w:eastAsia="Times New Roman" w:hAnsi="Times New Roman"/>
          <w:sz w:val="24"/>
          <w:szCs w:val="24"/>
        </w:rPr>
        <w:t>Mayor</w:t>
      </w:r>
      <w:proofErr w:type="gramEnd"/>
      <w:r w:rsidRPr="004F5401">
        <w:rPr>
          <w:rFonts w:ascii="Times New Roman" w:eastAsia="Times New Roman" w:hAnsi="Times New Roman"/>
          <w:sz w:val="24"/>
          <w:szCs w:val="24"/>
        </w:rPr>
        <w:t xml:space="preserve"> treated him disrespectfully and </w:t>
      </w:r>
      <w:r w:rsidRPr="004F5401">
        <w:rPr>
          <w:rFonts w:ascii="Times New Roman" w:eastAsia="Times New Roman" w:hAnsi="Times New Roman"/>
          <w:sz w:val="24"/>
          <w:szCs w:val="24"/>
        </w:rPr>
        <w:lastRenderedPageBreak/>
        <w:t>caused him to suffer public humiliation.</w:t>
      </w:r>
      <w:r>
        <w:rPr>
          <w:rFonts w:ascii="Times New Roman" w:eastAsia="Times New Roman" w:hAnsi="Times New Roman"/>
          <w:sz w:val="24"/>
          <w:szCs w:val="24"/>
        </w:rPr>
        <w:t xml:space="preserve"> </w:t>
      </w:r>
      <w:r w:rsidRPr="004F5401">
        <w:rPr>
          <w:rFonts w:ascii="Times New Roman" w:eastAsia="Times New Roman" w:hAnsi="Times New Roman"/>
          <w:sz w:val="24"/>
          <w:szCs w:val="24"/>
        </w:rPr>
        <w:t xml:space="preserve"> In June of 2019, Plaintiff created </w:t>
      </w:r>
      <w:proofErr w:type="gramStart"/>
      <w:r w:rsidRPr="004F5401">
        <w:rPr>
          <w:rFonts w:ascii="Times New Roman" w:eastAsia="Times New Roman" w:hAnsi="Times New Roman"/>
          <w:sz w:val="24"/>
          <w:szCs w:val="24"/>
        </w:rPr>
        <w:t>three</w:t>
      </w:r>
      <w:r>
        <w:rPr>
          <w:rFonts w:ascii="Times New Roman" w:eastAsia="Times New Roman" w:hAnsi="Times New Roman"/>
          <w:sz w:val="24"/>
          <w:szCs w:val="24"/>
        </w:rPr>
        <w:t xml:space="preserve"> </w:t>
      </w:r>
      <w:r w:rsidRPr="004F5401">
        <w:rPr>
          <w:rFonts w:ascii="Times New Roman" w:eastAsia="Times New Roman" w:hAnsi="Times New Roman"/>
          <w:sz w:val="24"/>
          <w:szCs w:val="24"/>
        </w:rPr>
        <w:t>yard</w:t>
      </w:r>
      <w:proofErr w:type="gramEnd"/>
      <w:r w:rsidRPr="004F5401">
        <w:rPr>
          <w:rFonts w:ascii="Times New Roman" w:eastAsia="Times New Roman" w:hAnsi="Times New Roman"/>
          <w:sz w:val="24"/>
          <w:szCs w:val="24"/>
        </w:rPr>
        <w:t xml:space="preserve"> signs - one was placed in his yard and the others in his two friends' yards. The signs </w:t>
      </w:r>
      <w:proofErr w:type="gramStart"/>
      <w:r w:rsidRPr="004F5401">
        <w:rPr>
          <w:rFonts w:ascii="Times New Roman" w:eastAsia="Times New Roman" w:hAnsi="Times New Roman"/>
          <w:sz w:val="24"/>
          <w:szCs w:val="24"/>
        </w:rPr>
        <w:t xml:space="preserve">read: </w:t>
      </w:r>
      <w:r>
        <w:rPr>
          <w:rFonts w:ascii="Times New Roman" w:eastAsia="Times New Roman" w:hAnsi="Times New Roman"/>
          <w:sz w:val="24"/>
          <w:szCs w:val="24"/>
        </w:rPr>
        <w:t>‘</w:t>
      </w:r>
      <w:proofErr w:type="gramEnd"/>
      <w:r w:rsidRPr="004F5401">
        <w:rPr>
          <w:rFonts w:ascii="Times New Roman" w:eastAsia="Times New Roman" w:hAnsi="Times New Roman"/>
          <w:sz w:val="24"/>
          <w:szCs w:val="24"/>
        </w:rPr>
        <w:t>VETERANS AND FIRE FIGHTERS AGAINST NO HONOR MAYOR GRAVEN.</w:t>
      </w:r>
      <w:r>
        <w:rPr>
          <w:rFonts w:ascii="Times New Roman" w:eastAsia="Times New Roman" w:hAnsi="Times New Roman"/>
          <w:sz w:val="24"/>
          <w:szCs w:val="24"/>
        </w:rPr>
        <w:t xml:space="preserve">’ *** </w:t>
      </w:r>
      <w:r w:rsidRPr="004F5401">
        <w:rPr>
          <w:rFonts w:ascii="Times New Roman" w:eastAsia="Times New Roman" w:hAnsi="Times New Roman"/>
          <w:sz w:val="24"/>
          <w:szCs w:val="24"/>
        </w:rPr>
        <w:t xml:space="preserve">According to the Complaint, </w:t>
      </w:r>
      <w:proofErr w:type="gramStart"/>
      <w:r w:rsidRPr="004F5401">
        <w:rPr>
          <w:rFonts w:ascii="Times New Roman" w:eastAsia="Times New Roman" w:hAnsi="Times New Roman"/>
          <w:sz w:val="24"/>
          <w:szCs w:val="24"/>
        </w:rPr>
        <w:t>in an effort to</w:t>
      </w:r>
      <w:proofErr w:type="gramEnd"/>
      <w:r w:rsidRPr="004F5401">
        <w:rPr>
          <w:rFonts w:ascii="Times New Roman" w:eastAsia="Times New Roman" w:hAnsi="Times New Roman"/>
          <w:sz w:val="24"/>
          <w:szCs w:val="24"/>
        </w:rPr>
        <w:t xml:space="preserve"> punish Plaintiff and to force him to remove</w:t>
      </w:r>
      <w:r>
        <w:rPr>
          <w:rFonts w:ascii="Times New Roman" w:eastAsia="Times New Roman" w:hAnsi="Times New Roman"/>
          <w:sz w:val="24"/>
          <w:szCs w:val="24"/>
        </w:rPr>
        <w:t xml:space="preserve"> </w:t>
      </w:r>
      <w:r w:rsidRPr="004F5401">
        <w:rPr>
          <w:rFonts w:ascii="Times New Roman" w:eastAsia="Times New Roman" w:hAnsi="Times New Roman"/>
          <w:sz w:val="24"/>
          <w:szCs w:val="24"/>
        </w:rPr>
        <w:t>the signs, Defendant Graven</w:t>
      </w:r>
      <w:r>
        <w:rPr>
          <w:rFonts w:ascii="Times New Roman" w:eastAsia="Times New Roman" w:hAnsi="Times New Roman"/>
          <w:sz w:val="24"/>
          <w:szCs w:val="24"/>
        </w:rPr>
        <w:t xml:space="preserve"> … </w:t>
      </w:r>
      <w:r w:rsidRPr="004F5401">
        <w:rPr>
          <w:rFonts w:ascii="Times New Roman" w:eastAsia="Times New Roman" w:hAnsi="Times New Roman"/>
          <w:sz w:val="24"/>
          <w:szCs w:val="24"/>
        </w:rPr>
        <w:t>contacted the Mayor of the City of Rocky River, the Fire Chief for the City of Rocky River, and Plaintiff's union president on or about June 29, 2019.</w:t>
      </w:r>
      <w:r>
        <w:rPr>
          <w:rFonts w:ascii="Times New Roman" w:eastAsia="Times New Roman" w:hAnsi="Times New Roman"/>
          <w:sz w:val="24"/>
          <w:szCs w:val="24"/>
        </w:rPr>
        <w:t xml:space="preserve"> *** </w:t>
      </w:r>
      <w:r w:rsidRPr="00897312">
        <w:rPr>
          <w:rFonts w:ascii="Times New Roman" w:hAnsi="Times New Roman"/>
          <w:sz w:val="24"/>
          <w:szCs w:val="24"/>
        </w:rPr>
        <w:t>Throughout the Complaint, Plaintiff alleges that Graven acted in his official capacity and/or under color of state law</w:t>
      </w:r>
      <w:r>
        <w:rPr>
          <w:rFonts w:ascii="Times New Roman" w:hAnsi="Times New Roman"/>
          <w:sz w:val="24"/>
          <w:szCs w:val="24"/>
        </w:rPr>
        <w:t>…</w:t>
      </w:r>
      <w:r w:rsidRPr="00897312">
        <w:rPr>
          <w:rFonts w:ascii="Times New Roman" w:hAnsi="Times New Roman"/>
          <w:sz w:val="24"/>
          <w:szCs w:val="24"/>
        </w:rPr>
        <w:t xml:space="preserve">. A mayor is a "person" who is constitutionally subject to liability under § 1983. </w:t>
      </w:r>
      <w:r w:rsidRPr="00897312">
        <w:rPr>
          <w:rFonts w:ascii="Times New Roman" w:hAnsi="Times New Roman"/>
          <w:i/>
          <w:iCs/>
          <w:sz w:val="24"/>
          <w:szCs w:val="24"/>
        </w:rPr>
        <w:t>Monell v</w:t>
      </w:r>
      <w:r w:rsidRPr="00897312">
        <w:rPr>
          <w:rFonts w:ascii="Times New Roman" w:hAnsi="Times New Roman"/>
          <w:sz w:val="24"/>
          <w:szCs w:val="24"/>
        </w:rPr>
        <w:t xml:space="preserve">. </w:t>
      </w:r>
      <w:r w:rsidRPr="00897312">
        <w:rPr>
          <w:rFonts w:ascii="Times New Roman" w:hAnsi="Times New Roman"/>
          <w:i/>
          <w:iCs/>
          <w:sz w:val="24"/>
          <w:szCs w:val="24"/>
        </w:rPr>
        <w:t>Department of Social Services</w:t>
      </w:r>
      <w:r w:rsidRPr="00897312">
        <w:rPr>
          <w:rFonts w:ascii="Times New Roman" w:hAnsi="Times New Roman"/>
          <w:sz w:val="24"/>
          <w:szCs w:val="24"/>
        </w:rPr>
        <w:t>, 436 U.S. 658 (1978).</w:t>
      </w:r>
      <w:r>
        <w:rPr>
          <w:rFonts w:ascii="Times New Roman" w:hAnsi="Times New Roman"/>
          <w:sz w:val="24"/>
          <w:szCs w:val="24"/>
        </w:rPr>
        <w:t xml:space="preserve"> *** T</w:t>
      </w:r>
      <w:r w:rsidRPr="00897312">
        <w:rPr>
          <w:rFonts w:ascii="Times New Roman" w:hAnsi="Times New Roman"/>
          <w:sz w:val="24"/>
          <w:szCs w:val="24"/>
        </w:rPr>
        <w:t>he Court concludes that, without some factual elucidation, it cannot find that Defendant Graven is entitled to qualified immunity.</w:t>
      </w:r>
      <w:r>
        <w:rPr>
          <w:rFonts w:ascii="Times New Roman" w:hAnsi="Times New Roman"/>
          <w:sz w:val="24"/>
          <w:szCs w:val="24"/>
        </w:rPr>
        <w:t xml:space="preserve">” </w:t>
      </w:r>
      <w:hyperlink r:id="rId1277" w:history="1">
        <w:r w:rsidRPr="0037669D">
          <w:rPr>
            <w:rStyle w:val="Hyperlink"/>
            <w:rFonts w:ascii="Times New Roman" w:hAnsi="Times New Roman"/>
            <w:sz w:val="24"/>
            <w:szCs w:val="24"/>
          </w:rPr>
          <w:t>https://public.fastcase.com/Wl%2B2t%2BeVuI35%2FN70vAMFZp5steAbFsjz8D5zs28wLVD2J2xhMYzUEH8PyP%2BVbQO%2B</w:t>
        </w:r>
      </w:hyperlink>
    </w:p>
    <w:p w14:paraId="6F2BF62F" w14:textId="77777777" w:rsidR="007105B3" w:rsidRDefault="007105B3" w:rsidP="007105B3">
      <w:pPr>
        <w:pStyle w:val="NoSpacing"/>
        <w:rPr>
          <w:rFonts w:ascii="Times New Roman" w:hAnsi="Times New Roman"/>
          <w:b/>
          <w:bCs/>
          <w:sz w:val="24"/>
          <w:szCs w:val="24"/>
        </w:rPr>
      </w:pPr>
    </w:p>
    <w:p w14:paraId="221CF47D" w14:textId="54FFAA0F" w:rsidR="007105B3" w:rsidRDefault="007105B3" w:rsidP="007105B3">
      <w:pPr>
        <w:pStyle w:val="NoSpacing"/>
        <w:rPr>
          <w:rFonts w:ascii="Times New Roman" w:hAnsi="Times New Roman"/>
          <w:b/>
          <w:bCs/>
          <w:sz w:val="24"/>
          <w:szCs w:val="24"/>
        </w:rPr>
      </w:pPr>
      <w:r w:rsidRPr="00C254E9">
        <w:rPr>
          <w:rFonts w:ascii="Times New Roman" w:hAnsi="Times New Roman"/>
          <w:b/>
          <w:bCs/>
          <w:sz w:val="24"/>
          <w:szCs w:val="24"/>
        </w:rPr>
        <w:t>Legal Lessons Learned:</w:t>
      </w:r>
      <w:r>
        <w:rPr>
          <w:rFonts w:ascii="Times New Roman" w:hAnsi="Times New Roman"/>
          <w:b/>
          <w:bCs/>
          <w:sz w:val="24"/>
          <w:szCs w:val="24"/>
        </w:rPr>
        <w:t xml:space="preserve"> Firefighters enjoy First Amendment rights to post yard signs involving personal matters; only limited rights concerning fire department matters.  </w:t>
      </w:r>
    </w:p>
    <w:p w14:paraId="4BDC1EE0" w14:textId="77777777" w:rsidR="007105B3" w:rsidRDefault="007105B3" w:rsidP="007105B3">
      <w:pPr>
        <w:pStyle w:val="NoSpacing"/>
        <w:rPr>
          <w:rFonts w:ascii="Times New Roman" w:hAnsi="Times New Roman"/>
          <w:b/>
          <w:bCs/>
          <w:sz w:val="24"/>
          <w:szCs w:val="24"/>
        </w:rPr>
      </w:pPr>
    </w:p>
    <w:p w14:paraId="56994B72" w14:textId="77777777" w:rsidR="007105B3" w:rsidRPr="00F65042" w:rsidRDefault="007105B3" w:rsidP="007105B3">
      <w:pPr>
        <w:pStyle w:val="NoSpacing"/>
        <w:ind w:left="720"/>
        <w:rPr>
          <w:rFonts w:ascii="Times New Roman" w:hAnsi="Times New Roman"/>
          <w:b/>
          <w:bCs/>
          <w:sz w:val="24"/>
          <w:szCs w:val="24"/>
        </w:rPr>
      </w:pPr>
      <w:r w:rsidRPr="00572796">
        <w:rPr>
          <w:rFonts w:ascii="Times New Roman" w:hAnsi="Times New Roman"/>
          <w:sz w:val="24"/>
          <w:szCs w:val="24"/>
        </w:rPr>
        <w:t xml:space="preserve">Note: City of Olmstead Falls was dismissed from </w:t>
      </w:r>
      <w:r>
        <w:rPr>
          <w:rFonts w:ascii="Times New Roman" w:hAnsi="Times New Roman"/>
          <w:sz w:val="24"/>
          <w:szCs w:val="24"/>
        </w:rPr>
        <w:t xml:space="preserve">lawsuit since this case did not involve any City policy or ordinances, based on the </w:t>
      </w:r>
      <w:r w:rsidRPr="00572796">
        <w:rPr>
          <w:rFonts w:ascii="Times New Roman" w:hAnsi="Times New Roman"/>
          <w:sz w:val="24"/>
          <w:szCs w:val="24"/>
        </w:rPr>
        <w:t xml:space="preserve">U.S. Supreme Court decision in </w:t>
      </w:r>
      <w:r w:rsidRPr="00F65042">
        <w:rPr>
          <w:rStyle w:val="Strong"/>
          <w:rFonts w:ascii="Times New Roman" w:hAnsi="Times New Roman"/>
          <w:b w:val="0"/>
          <w:bCs w:val="0"/>
          <w:sz w:val="24"/>
          <w:szCs w:val="24"/>
          <w:u w:val="single"/>
        </w:rPr>
        <w:t xml:space="preserve">Monell v. Department of Soc. </w:t>
      </w:r>
      <w:proofErr w:type="spellStart"/>
      <w:r w:rsidRPr="00F65042">
        <w:rPr>
          <w:rStyle w:val="Strong"/>
          <w:rFonts w:ascii="Times New Roman" w:hAnsi="Times New Roman"/>
          <w:b w:val="0"/>
          <w:bCs w:val="0"/>
          <w:sz w:val="24"/>
          <w:szCs w:val="24"/>
          <w:u w:val="single"/>
        </w:rPr>
        <w:t>Svcs</w:t>
      </w:r>
      <w:proofErr w:type="spellEnd"/>
      <w:r w:rsidRPr="00F65042">
        <w:rPr>
          <w:rStyle w:val="Strong"/>
          <w:rFonts w:ascii="Times New Roman" w:hAnsi="Times New Roman"/>
          <w:b w:val="0"/>
          <w:bCs w:val="0"/>
          <w:sz w:val="24"/>
          <w:szCs w:val="24"/>
        </w:rPr>
        <w:t xml:space="preserve">., 436 U.S. 658 (1978), where the New York City Board of Education forced pregnant teachers to take medical leave before such leave was required for medical reasons.  The U.S. Supreme Court held that NYC can be sued for damages for their unconstitutional policy, which the city wisely dropped. </w:t>
      </w:r>
      <w:hyperlink r:id="rId1278" w:history="1">
        <w:r w:rsidRPr="00F65042">
          <w:rPr>
            <w:rStyle w:val="Hyperlink"/>
            <w:rFonts w:ascii="Times New Roman" w:hAnsi="Times New Roman"/>
            <w:b/>
            <w:bCs/>
            <w:sz w:val="24"/>
            <w:szCs w:val="24"/>
          </w:rPr>
          <w:t>https://supreme.justia.com/cases/federal/us/436/658/</w:t>
        </w:r>
      </w:hyperlink>
      <w:r w:rsidRPr="00F65042">
        <w:rPr>
          <w:rStyle w:val="Strong"/>
          <w:rFonts w:ascii="Times New Roman" w:hAnsi="Times New Roman"/>
          <w:b w:val="0"/>
          <w:bCs w:val="0"/>
          <w:sz w:val="24"/>
          <w:szCs w:val="24"/>
        </w:rPr>
        <w:t xml:space="preserve"> </w:t>
      </w:r>
      <w:r w:rsidRPr="00F65042">
        <w:rPr>
          <w:rFonts w:ascii="Times New Roman" w:hAnsi="Times New Roman"/>
          <w:b/>
          <w:bCs/>
          <w:sz w:val="24"/>
          <w:szCs w:val="24"/>
        </w:rPr>
        <w:t xml:space="preserve">  </w:t>
      </w:r>
    </w:p>
    <w:p w14:paraId="756E88BB" w14:textId="2C8073E8" w:rsidR="007105B3" w:rsidRDefault="007105B3" w:rsidP="007105B3">
      <w:pPr>
        <w:rPr>
          <w:rStyle w:val="Hyperlink"/>
          <w:rFonts w:ascii="Times New Roman" w:hAnsi="Times New Roman"/>
          <w:sz w:val="24"/>
          <w:szCs w:val="24"/>
        </w:rPr>
      </w:pPr>
    </w:p>
    <w:p w14:paraId="56EB5C6D" w14:textId="77777777" w:rsidR="007105B3" w:rsidRDefault="007105B3" w:rsidP="007105B3">
      <w:pPr>
        <w:rPr>
          <w:rFonts w:ascii="Arial Black" w:hAnsi="Arial Black"/>
          <w:b/>
          <w:sz w:val="24"/>
          <w:szCs w:val="24"/>
        </w:rPr>
      </w:pPr>
    </w:p>
    <w:p w14:paraId="41FE17E2" w14:textId="3F50D94E" w:rsidR="006744D3" w:rsidRDefault="006744D3" w:rsidP="00EF1133">
      <w:pPr>
        <w:rPr>
          <w:rFonts w:ascii="Arial Black" w:hAnsi="Arial Black"/>
          <w:b/>
          <w:sz w:val="24"/>
          <w:szCs w:val="24"/>
        </w:rPr>
      </w:pPr>
      <w:r>
        <w:rPr>
          <w:rFonts w:ascii="Arial Black" w:hAnsi="Arial Black"/>
          <w:b/>
          <w:sz w:val="24"/>
          <w:szCs w:val="24"/>
        </w:rPr>
        <w:t>6-45</w:t>
      </w:r>
    </w:p>
    <w:p w14:paraId="404F3775" w14:textId="77777777" w:rsidR="006744D3" w:rsidRPr="00575185" w:rsidRDefault="006744D3" w:rsidP="006744D3">
      <w:pPr>
        <w:spacing w:after="0" w:line="240" w:lineRule="auto"/>
        <w:jc w:val="both"/>
        <w:rPr>
          <w:rFonts w:ascii="Arial Black" w:eastAsia="Times New Roman" w:hAnsi="Arial Black"/>
          <w:b/>
          <w:bCs/>
          <w:sz w:val="28"/>
          <w:szCs w:val="28"/>
        </w:rPr>
      </w:pPr>
      <w:r w:rsidRPr="00575185">
        <w:rPr>
          <w:rFonts w:ascii="Arial Black" w:eastAsia="Times New Roman" w:hAnsi="Arial Black"/>
          <w:b/>
          <w:bCs/>
          <w:sz w:val="28"/>
          <w:szCs w:val="28"/>
        </w:rPr>
        <w:t xml:space="preserve">MD:  FF </w:t>
      </w:r>
      <w:r>
        <w:rPr>
          <w:rFonts w:ascii="Arial Black" w:eastAsia="Times New Roman" w:hAnsi="Arial Black"/>
          <w:b/>
          <w:bCs/>
          <w:sz w:val="28"/>
          <w:szCs w:val="28"/>
        </w:rPr>
        <w:t xml:space="preserve">WITH </w:t>
      </w:r>
      <w:r w:rsidRPr="00575185">
        <w:rPr>
          <w:rFonts w:ascii="Arial Black" w:eastAsia="Times New Roman" w:hAnsi="Arial Black"/>
          <w:b/>
          <w:bCs/>
          <w:sz w:val="28"/>
          <w:szCs w:val="28"/>
        </w:rPr>
        <w:t>HERNIA</w:t>
      </w:r>
      <w:r>
        <w:rPr>
          <w:rFonts w:ascii="Arial Black" w:eastAsia="Times New Roman" w:hAnsi="Arial Black"/>
          <w:b/>
          <w:bCs/>
          <w:sz w:val="28"/>
          <w:szCs w:val="28"/>
        </w:rPr>
        <w:t xml:space="preserve"> – DENIED WORKERS COMP – IN MARYLAND JUST “SPRAIN” – NOT OCCPATIONAL DISEASE UNLESS CAUSED BY “ACCIDENTAL PERSONAL INJURY” </w:t>
      </w:r>
    </w:p>
    <w:p w14:paraId="3A0F5194" w14:textId="77777777" w:rsidR="006744D3" w:rsidRPr="00025F21" w:rsidRDefault="006744D3" w:rsidP="006744D3">
      <w:pPr>
        <w:spacing w:after="0" w:line="240" w:lineRule="auto"/>
        <w:ind w:left="720"/>
        <w:jc w:val="both"/>
        <w:rPr>
          <w:rFonts w:ascii="Times New Roman" w:eastAsia="Times New Roman" w:hAnsi="Times New Roman"/>
          <w:sz w:val="27"/>
          <w:szCs w:val="27"/>
        </w:rPr>
      </w:pPr>
    </w:p>
    <w:p w14:paraId="78B97EF1" w14:textId="77777777" w:rsidR="006744D3" w:rsidRDefault="006744D3" w:rsidP="006744D3">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On May 28, 2020, in </w:t>
      </w:r>
      <w:r w:rsidRPr="00575185">
        <w:rPr>
          <w:rFonts w:ascii="Times New Roman" w:eastAsia="Times New Roman" w:hAnsi="Times New Roman"/>
          <w:sz w:val="24"/>
          <w:szCs w:val="24"/>
          <w:u w:val="single"/>
        </w:rPr>
        <w:t>Justin Greer v. Montgomery County, Maryland</w:t>
      </w:r>
      <w:r>
        <w:rPr>
          <w:rFonts w:ascii="Times New Roman" w:eastAsia="Times New Roman" w:hAnsi="Times New Roman"/>
          <w:sz w:val="24"/>
          <w:szCs w:val="24"/>
        </w:rPr>
        <w:t xml:space="preserve">, the Court of Special Appeals of Maryland held (3 to 0) that the Workers Compensation Commission, and the trial court properly denied the firefighter’s workers comp claim for inguinal (groin area) hernia. </w:t>
      </w:r>
      <w:hyperlink r:id="rId1279" w:history="1">
        <w:r w:rsidRPr="003F3822">
          <w:rPr>
            <w:rStyle w:val="Hyperlink"/>
            <w:sz w:val="24"/>
            <w:szCs w:val="24"/>
          </w:rPr>
          <w:t>https://mdcourts.gov/data/opinions/cosa/2020/3381s18.pdf</w:t>
        </w:r>
      </w:hyperlink>
      <w:r>
        <w:rPr>
          <w:rFonts w:ascii="Times New Roman" w:eastAsia="Times New Roman" w:hAnsi="Times New Roman"/>
          <w:sz w:val="24"/>
          <w:szCs w:val="24"/>
        </w:rPr>
        <w:t xml:space="preserve"> </w:t>
      </w:r>
    </w:p>
    <w:p w14:paraId="74ED129D" w14:textId="77777777" w:rsidR="006744D3" w:rsidRDefault="006744D3" w:rsidP="006744D3">
      <w:pPr>
        <w:spacing w:after="0" w:line="240" w:lineRule="auto"/>
        <w:jc w:val="both"/>
        <w:rPr>
          <w:rFonts w:ascii="Times New Roman" w:hAnsi="Times New Roman"/>
          <w:b/>
          <w:bCs/>
          <w:sz w:val="24"/>
          <w:szCs w:val="24"/>
        </w:rPr>
      </w:pPr>
    </w:p>
    <w:p w14:paraId="493DD709" w14:textId="361C40C2" w:rsidR="006744D3" w:rsidRDefault="006744D3" w:rsidP="006744D3">
      <w:pPr>
        <w:spacing w:after="0" w:line="240" w:lineRule="auto"/>
        <w:jc w:val="both"/>
        <w:rPr>
          <w:rFonts w:ascii="Times New Roman" w:hAnsi="Times New Roman"/>
          <w:b/>
          <w:bCs/>
          <w:sz w:val="24"/>
          <w:szCs w:val="24"/>
        </w:rPr>
      </w:pPr>
      <w:r w:rsidRPr="001759E2">
        <w:rPr>
          <w:rFonts w:ascii="Times New Roman" w:hAnsi="Times New Roman"/>
          <w:b/>
          <w:bCs/>
          <w:sz w:val="24"/>
          <w:szCs w:val="24"/>
        </w:rPr>
        <w:t>Legal Lessons Learned:</w:t>
      </w:r>
      <w:r>
        <w:rPr>
          <w:rFonts w:ascii="Times New Roman" w:hAnsi="Times New Roman"/>
          <w:b/>
          <w:bCs/>
          <w:sz w:val="24"/>
          <w:szCs w:val="24"/>
        </w:rPr>
        <w:t xml:space="preserve"> Courts when reviewing administrative agency decisions will generally give deference to the agency’s interpretation of a statute enforced by that agency.  </w:t>
      </w:r>
    </w:p>
    <w:p w14:paraId="01273A2A" w14:textId="77777777" w:rsidR="006744D3" w:rsidRDefault="006744D3" w:rsidP="00EF1133">
      <w:pPr>
        <w:rPr>
          <w:rFonts w:ascii="Arial Black" w:hAnsi="Arial Black"/>
          <w:b/>
          <w:sz w:val="24"/>
          <w:szCs w:val="24"/>
        </w:rPr>
      </w:pPr>
    </w:p>
    <w:p w14:paraId="7B97B02B" w14:textId="77777777" w:rsidR="006744D3" w:rsidRDefault="006744D3" w:rsidP="00EF1133">
      <w:pPr>
        <w:rPr>
          <w:rFonts w:ascii="Arial Black" w:hAnsi="Arial Black"/>
          <w:b/>
          <w:sz w:val="24"/>
          <w:szCs w:val="24"/>
        </w:rPr>
      </w:pPr>
    </w:p>
    <w:p w14:paraId="0D5E6818" w14:textId="4BE7182F" w:rsidR="004E22C3" w:rsidRDefault="004E22C3" w:rsidP="00EF1133">
      <w:pPr>
        <w:rPr>
          <w:rFonts w:ascii="Arial Black" w:hAnsi="Arial Black"/>
          <w:b/>
          <w:sz w:val="24"/>
          <w:szCs w:val="24"/>
        </w:rPr>
      </w:pPr>
      <w:r>
        <w:rPr>
          <w:rFonts w:ascii="Arial Black" w:hAnsi="Arial Black"/>
          <w:b/>
          <w:sz w:val="24"/>
          <w:szCs w:val="24"/>
        </w:rPr>
        <w:t>6-44</w:t>
      </w:r>
    </w:p>
    <w:p w14:paraId="72871779" w14:textId="77777777" w:rsidR="004E22C3" w:rsidRPr="00970612" w:rsidRDefault="004E22C3" w:rsidP="004E22C3">
      <w:pPr>
        <w:spacing w:before="100" w:beforeAutospacing="1" w:after="100" w:afterAutospacing="1" w:line="240" w:lineRule="auto"/>
        <w:jc w:val="both"/>
        <w:rPr>
          <w:rFonts w:ascii="Arial Black" w:eastAsia="Times New Roman" w:hAnsi="Arial Black"/>
          <w:b/>
          <w:bCs/>
          <w:sz w:val="28"/>
          <w:szCs w:val="28"/>
        </w:rPr>
      </w:pPr>
      <w:r w:rsidRPr="00970612">
        <w:rPr>
          <w:rFonts w:ascii="Arial Black" w:eastAsia="Times New Roman" w:hAnsi="Arial Black"/>
          <w:b/>
          <w:bCs/>
          <w:sz w:val="28"/>
          <w:szCs w:val="28"/>
        </w:rPr>
        <w:lastRenderedPageBreak/>
        <w:t>OR:</w:t>
      </w:r>
      <w:r>
        <w:rPr>
          <w:rFonts w:ascii="Arial Black" w:eastAsia="Times New Roman" w:hAnsi="Arial Black"/>
          <w:b/>
          <w:bCs/>
          <w:sz w:val="28"/>
          <w:szCs w:val="28"/>
        </w:rPr>
        <w:t xml:space="preserve"> WORKERS COMP DENIED – FF WITH NON-HODGKIN’S LYMPHOMA – MEDICAL EXPERT DID NOT ESTABLISH THAT SMOKE EXPOSURE WAS MAJOR CONTRIBUTING CAUSE</w:t>
      </w:r>
    </w:p>
    <w:p w14:paraId="439C6C4D" w14:textId="077BE0DE" w:rsidR="004E22C3" w:rsidRDefault="004E22C3" w:rsidP="004E22C3">
      <w:pPr>
        <w:spacing w:before="100" w:beforeAutospacing="1" w:after="100" w:afterAutospacing="1" w:line="240" w:lineRule="auto"/>
        <w:jc w:val="both"/>
        <w:rPr>
          <w:rFonts w:ascii="Times New Roman" w:hAnsi="Times New Roman"/>
          <w:sz w:val="24"/>
          <w:szCs w:val="24"/>
        </w:rPr>
      </w:pPr>
      <w:r w:rsidRPr="00970612">
        <w:rPr>
          <w:rFonts w:ascii="Times New Roman" w:eastAsia="Times New Roman" w:hAnsi="Times New Roman"/>
          <w:sz w:val="24"/>
          <w:szCs w:val="24"/>
        </w:rPr>
        <w:t xml:space="preserve">On May 21, 2020, </w:t>
      </w:r>
      <w:r w:rsidRPr="00970612">
        <w:rPr>
          <w:rFonts w:ascii="Times New Roman" w:hAnsi="Times New Roman"/>
          <w:sz w:val="24"/>
          <w:szCs w:val="24"/>
          <w:u w:val="single"/>
        </w:rPr>
        <w:t xml:space="preserve">In </w:t>
      </w:r>
      <w:proofErr w:type="gramStart"/>
      <w:r w:rsidRPr="00970612">
        <w:rPr>
          <w:rFonts w:ascii="Times New Roman" w:hAnsi="Times New Roman"/>
          <w:sz w:val="24"/>
          <w:szCs w:val="24"/>
          <w:u w:val="single"/>
        </w:rPr>
        <w:t>The</w:t>
      </w:r>
      <w:proofErr w:type="gramEnd"/>
      <w:r w:rsidRPr="00970612">
        <w:rPr>
          <w:rFonts w:ascii="Times New Roman" w:hAnsi="Times New Roman"/>
          <w:sz w:val="24"/>
          <w:szCs w:val="24"/>
          <w:u w:val="single"/>
        </w:rPr>
        <w:t xml:space="preserve"> Matter </w:t>
      </w:r>
      <w:proofErr w:type="gramStart"/>
      <w:r w:rsidRPr="00970612">
        <w:rPr>
          <w:rFonts w:ascii="Times New Roman" w:hAnsi="Times New Roman"/>
          <w:sz w:val="24"/>
          <w:szCs w:val="24"/>
          <w:u w:val="single"/>
        </w:rPr>
        <w:t>Of</w:t>
      </w:r>
      <w:proofErr w:type="gramEnd"/>
      <w:r w:rsidRPr="00970612">
        <w:rPr>
          <w:rFonts w:ascii="Times New Roman" w:hAnsi="Times New Roman"/>
          <w:sz w:val="24"/>
          <w:szCs w:val="24"/>
          <w:u w:val="single"/>
        </w:rPr>
        <w:t xml:space="preserve"> </w:t>
      </w:r>
      <w:proofErr w:type="gramStart"/>
      <w:r w:rsidRPr="00970612">
        <w:rPr>
          <w:rFonts w:ascii="Times New Roman" w:hAnsi="Times New Roman"/>
          <w:sz w:val="24"/>
          <w:szCs w:val="24"/>
          <w:u w:val="single"/>
        </w:rPr>
        <w:t>The</w:t>
      </w:r>
      <w:proofErr w:type="gramEnd"/>
      <w:r w:rsidRPr="00970612">
        <w:rPr>
          <w:rFonts w:ascii="Times New Roman" w:hAnsi="Times New Roman"/>
          <w:sz w:val="24"/>
          <w:szCs w:val="24"/>
          <w:u w:val="single"/>
        </w:rPr>
        <w:t xml:space="preserve"> Compensation </w:t>
      </w:r>
      <w:proofErr w:type="gramStart"/>
      <w:r w:rsidRPr="00970612">
        <w:rPr>
          <w:rFonts w:ascii="Times New Roman" w:hAnsi="Times New Roman"/>
          <w:sz w:val="24"/>
          <w:szCs w:val="24"/>
          <w:u w:val="single"/>
        </w:rPr>
        <w:t>Of</w:t>
      </w:r>
      <w:proofErr w:type="gramEnd"/>
      <w:r w:rsidRPr="00970612">
        <w:rPr>
          <w:rFonts w:ascii="Times New Roman" w:hAnsi="Times New Roman"/>
          <w:sz w:val="24"/>
          <w:szCs w:val="24"/>
          <w:u w:val="single"/>
        </w:rPr>
        <w:t xml:space="preserve"> Alvin D. Rohrscheib, Claimant</w:t>
      </w:r>
      <w:r>
        <w:rPr>
          <w:b/>
          <w:bCs/>
        </w:rPr>
        <w:t xml:space="preserve">,  </w:t>
      </w:r>
      <w:r w:rsidRPr="00685BD9">
        <w:rPr>
          <w:rFonts w:ascii="Times New Roman" w:eastAsia="Times New Roman" w:hAnsi="Times New Roman"/>
          <w:sz w:val="24"/>
          <w:szCs w:val="24"/>
        </w:rPr>
        <w:t xml:space="preserve">72 </w:t>
      </w:r>
      <w:r w:rsidRPr="002F309C">
        <w:rPr>
          <w:rFonts w:ascii="Times New Roman" w:eastAsia="Times New Roman" w:hAnsi="Times New Roman"/>
          <w:sz w:val="24"/>
          <w:szCs w:val="24"/>
        </w:rPr>
        <w:t>Van Natta 421, WCB Case No. 18-02473</w:t>
      </w:r>
      <w:r>
        <w:rPr>
          <w:rFonts w:ascii="Times New Roman" w:eastAsia="Times New Roman" w:hAnsi="Times New Roman"/>
          <w:sz w:val="24"/>
          <w:szCs w:val="24"/>
        </w:rPr>
        <w:t xml:space="preserve">, </w:t>
      </w:r>
      <w:r>
        <w:rPr>
          <w:b/>
          <w:bCs/>
        </w:rPr>
        <w:t xml:space="preserve"> </w:t>
      </w:r>
      <w:r w:rsidRPr="00970612">
        <w:rPr>
          <w:rFonts w:ascii="Times New Roman" w:hAnsi="Times New Roman"/>
          <w:sz w:val="24"/>
          <w:szCs w:val="24"/>
        </w:rPr>
        <w:t>the Oregon Workers' Compensation Division</w:t>
      </w:r>
      <w:r>
        <w:rPr>
          <w:rFonts w:ascii="Times New Roman" w:hAnsi="Times New Roman"/>
          <w:sz w:val="24"/>
          <w:szCs w:val="24"/>
        </w:rPr>
        <w:t xml:space="preserve">, Reviewing Panel upheld (2 to 0) the Administrative Law Judge </w:t>
      </w:r>
      <w:r w:rsidRPr="00970612">
        <w:rPr>
          <w:rFonts w:ascii="Times New Roman" w:hAnsi="Times New Roman"/>
          <w:sz w:val="24"/>
          <w:szCs w:val="24"/>
        </w:rPr>
        <w:t>order that upheld the self-insured employer's denials of his occupational disease claim for non-Hodgkin's lymphoma</w:t>
      </w:r>
      <w:r>
        <w:rPr>
          <w:rFonts w:ascii="Times New Roman" w:hAnsi="Times New Roman"/>
          <w:sz w:val="24"/>
          <w:szCs w:val="24"/>
        </w:rPr>
        <w:t xml:space="preserve">.  </w:t>
      </w:r>
      <w:hyperlink r:id="rId1280" w:history="1">
        <w:r w:rsidR="006744D3" w:rsidRPr="00E74BA3">
          <w:rPr>
            <w:rStyle w:val="Hyperlink"/>
            <w:rFonts w:ascii="Times New Roman" w:hAnsi="Times New Roman"/>
            <w:sz w:val="24"/>
            <w:szCs w:val="24"/>
          </w:rPr>
          <w:t>https://public.fastcase.com/Wl%2B2t%2BeVuI35%2FN70vAMFZmh5C6Al26quhK4NpqFpqP3dNIvTBMbQP47YmW18oezY</w:t>
        </w:r>
      </w:hyperlink>
      <w:r w:rsidR="006744D3">
        <w:rPr>
          <w:rFonts w:ascii="Times New Roman" w:hAnsi="Times New Roman"/>
          <w:sz w:val="24"/>
          <w:szCs w:val="24"/>
        </w:rPr>
        <w:t xml:space="preserve"> </w:t>
      </w:r>
    </w:p>
    <w:p w14:paraId="088DFF40" w14:textId="77777777" w:rsidR="006744D3" w:rsidRDefault="006744D3" w:rsidP="006744D3">
      <w:pPr>
        <w:spacing w:before="100" w:beforeAutospacing="1" w:after="100" w:afterAutospacing="1" w:line="240" w:lineRule="auto"/>
        <w:rPr>
          <w:rFonts w:ascii="Times New Roman" w:eastAsia="Times New Roman" w:hAnsi="Times New Roman"/>
          <w:b/>
          <w:bCs/>
          <w:sz w:val="24"/>
          <w:szCs w:val="24"/>
        </w:rPr>
      </w:pPr>
      <w:r w:rsidRPr="00970612">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Many states have now enacted statutory presumption laws, including Oregon.  </w:t>
      </w:r>
      <w:hyperlink r:id="rId1281" w:history="1">
        <w:r w:rsidRPr="00E26203">
          <w:rPr>
            <w:rStyle w:val="Hyperlink"/>
            <w:sz w:val="24"/>
            <w:szCs w:val="24"/>
          </w:rPr>
          <w:t>https://www.firstrespondercenter.org/cancer/toolsresources/presumptive-legislation-firefighter-cancer-state/</w:t>
        </w:r>
      </w:hyperlink>
      <w:r>
        <w:rPr>
          <w:rFonts w:ascii="Times New Roman" w:eastAsia="Times New Roman" w:hAnsi="Times New Roman"/>
          <w:b/>
          <w:bCs/>
          <w:sz w:val="24"/>
          <w:szCs w:val="24"/>
        </w:rPr>
        <w:t xml:space="preserve">  </w:t>
      </w:r>
    </w:p>
    <w:p w14:paraId="4A85E050" w14:textId="77777777" w:rsidR="006744D3" w:rsidRDefault="006744D3" w:rsidP="006744D3">
      <w:pPr>
        <w:pStyle w:val="Heading3"/>
        <w:ind w:left="1440"/>
        <w:jc w:val="both"/>
        <w:rPr>
          <w:rFonts w:ascii="Times New Roman" w:hAnsi="Times New Roman" w:cs="Times New Roman"/>
          <w:color w:val="auto"/>
        </w:rPr>
      </w:pPr>
      <w:r w:rsidRPr="002F309C">
        <w:rPr>
          <w:rFonts w:ascii="Times New Roman" w:eastAsia="Times New Roman" w:hAnsi="Times New Roman" w:cs="Times New Roman"/>
          <w:color w:val="auto"/>
        </w:rPr>
        <w:t>Note: See article, Jan. 4, 2010,</w:t>
      </w:r>
      <w:r w:rsidRPr="002F309C">
        <w:rPr>
          <w:rFonts w:ascii="Times New Roman" w:eastAsia="Times New Roman" w:hAnsi="Times New Roman" w:cs="Times New Roman"/>
          <w:b/>
          <w:bCs/>
          <w:color w:val="auto"/>
        </w:rPr>
        <w:t xml:space="preserve"> “</w:t>
      </w:r>
      <w:r w:rsidRPr="002F309C">
        <w:rPr>
          <w:rFonts w:ascii="Times New Roman" w:hAnsi="Times New Roman" w:cs="Times New Roman"/>
          <w:color w:val="auto"/>
        </w:rPr>
        <w:t>Oregon's Expanded Cancer Presumption Law Takes Effect,</w:t>
      </w:r>
      <w:r>
        <w:rPr>
          <w:rFonts w:ascii="Times New Roman" w:hAnsi="Times New Roman" w:cs="Times New Roman"/>
          <w:color w:val="auto"/>
        </w:rPr>
        <w:t xml:space="preserve"> s</w:t>
      </w:r>
      <w:r w:rsidRPr="002F309C">
        <w:rPr>
          <w:rFonts w:ascii="Times New Roman" w:hAnsi="Times New Roman" w:cs="Times New Roman"/>
          <w:color w:val="auto"/>
        </w:rPr>
        <w:t>igned by Gov. Ted Kulongoski last March, the law added 12 types of cancer to existing firefighter presumptions for employment-caused occupational diseases under workers' comp.</w:t>
      </w:r>
      <w:r>
        <w:rPr>
          <w:rFonts w:ascii="Times New Roman" w:hAnsi="Times New Roman" w:cs="Times New Roman"/>
          <w:color w:val="auto"/>
        </w:rPr>
        <w:t>”</w:t>
      </w:r>
      <w:r w:rsidRPr="002F309C">
        <w:t xml:space="preserve"> </w:t>
      </w:r>
      <w:r w:rsidRPr="002F309C">
        <w:rPr>
          <w:rFonts w:ascii="Times New Roman" w:hAnsi="Times New Roman" w:cs="Times New Roman"/>
          <w:color w:val="auto"/>
        </w:rPr>
        <w:t>[including non-Hodgkin's lymphoma]</w:t>
      </w:r>
      <w:r>
        <w:rPr>
          <w:rFonts w:ascii="Times New Roman" w:hAnsi="Times New Roman" w:cs="Times New Roman"/>
          <w:color w:val="auto"/>
        </w:rPr>
        <w:t>.</w:t>
      </w:r>
    </w:p>
    <w:p w14:paraId="0CFB4165" w14:textId="77777777" w:rsidR="006744D3" w:rsidRPr="006744D3" w:rsidRDefault="006744D3" w:rsidP="006744D3">
      <w:pPr>
        <w:pStyle w:val="Heading3"/>
        <w:ind w:left="1440"/>
        <w:jc w:val="both"/>
        <w:rPr>
          <w:rFonts w:ascii="Times New Roman" w:eastAsia="Times New Roman" w:hAnsi="Times New Roman" w:cs="Times New Roman"/>
          <w:b/>
          <w:bCs/>
        </w:rPr>
      </w:pPr>
      <w:hyperlink r:id="rId1282" w:history="1">
        <w:r w:rsidRPr="006744D3">
          <w:rPr>
            <w:rStyle w:val="Hyperlink"/>
            <w:rFonts w:ascii="Times New Roman" w:hAnsi="Times New Roman" w:cs="Times New Roman"/>
          </w:rPr>
          <w:t>https://ohsonline.com/articles/2010/01/04/expanded-cancer-presumption-law.aspx</w:t>
        </w:r>
      </w:hyperlink>
    </w:p>
    <w:p w14:paraId="557487B5" w14:textId="77777777" w:rsidR="004E22C3" w:rsidRDefault="004E22C3" w:rsidP="00EF1133">
      <w:pPr>
        <w:rPr>
          <w:rFonts w:ascii="Arial Black" w:hAnsi="Arial Black"/>
          <w:b/>
          <w:sz w:val="24"/>
          <w:szCs w:val="24"/>
        </w:rPr>
      </w:pPr>
    </w:p>
    <w:p w14:paraId="232FEADC" w14:textId="77777777" w:rsidR="004E22C3" w:rsidRDefault="004E22C3" w:rsidP="00EF1133">
      <w:pPr>
        <w:rPr>
          <w:rFonts w:ascii="Arial Black" w:hAnsi="Arial Black"/>
          <w:b/>
          <w:sz w:val="24"/>
          <w:szCs w:val="24"/>
        </w:rPr>
      </w:pPr>
    </w:p>
    <w:p w14:paraId="5E1B444F" w14:textId="77777777" w:rsidR="00B03268" w:rsidRDefault="00B03268" w:rsidP="00EF1133">
      <w:pPr>
        <w:rPr>
          <w:rFonts w:ascii="Arial Black" w:hAnsi="Arial Black"/>
          <w:b/>
          <w:sz w:val="24"/>
          <w:szCs w:val="24"/>
        </w:rPr>
      </w:pPr>
    </w:p>
    <w:p w14:paraId="5DE15349" w14:textId="77777777" w:rsidR="00B03268" w:rsidRDefault="00B03268" w:rsidP="00EF1133">
      <w:pPr>
        <w:rPr>
          <w:rFonts w:ascii="Arial Black" w:hAnsi="Arial Black"/>
          <w:b/>
          <w:sz w:val="24"/>
          <w:szCs w:val="24"/>
        </w:rPr>
      </w:pPr>
    </w:p>
    <w:p w14:paraId="73C7402E" w14:textId="571864D6" w:rsidR="004E22C3" w:rsidRDefault="004E22C3" w:rsidP="00EF1133">
      <w:pPr>
        <w:rPr>
          <w:rFonts w:ascii="Arial Black" w:hAnsi="Arial Black"/>
          <w:b/>
          <w:sz w:val="24"/>
          <w:szCs w:val="24"/>
        </w:rPr>
      </w:pPr>
      <w:r>
        <w:rPr>
          <w:rFonts w:ascii="Arial Black" w:hAnsi="Arial Black"/>
          <w:b/>
          <w:sz w:val="24"/>
          <w:szCs w:val="24"/>
        </w:rPr>
        <w:t>6-43</w:t>
      </w:r>
    </w:p>
    <w:p w14:paraId="7525322D" w14:textId="77777777" w:rsidR="004E22C3" w:rsidRPr="003A738E" w:rsidRDefault="004E22C3" w:rsidP="004E22C3">
      <w:pPr>
        <w:spacing w:before="100" w:beforeAutospacing="1" w:after="100" w:afterAutospacing="1" w:line="240" w:lineRule="auto"/>
        <w:jc w:val="both"/>
        <w:rPr>
          <w:rFonts w:ascii="Arial Black" w:eastAsia="Times New Roman" w:hAnsi="Arial Black"/>
          <w:b/>
          <w:bCs/>
          <w:sz w:val="28"/>
          <w:szCs w:val="28"/>
        </w:rPr>
      </w:pPr>
      <w:r w:rsidRPr="003A738E">
        <w:rPr>
          <w:rFonts w:ascii="Arial Black" w:eastAsia="Times New Roman" w:hAnsi="Arial Black"/>
          <w:b/>
          <w:bCs/>
          <w:sz w:val="28"/>
          <w:szCs w:val="28"/>
        </w:rPr>
        <w:t xml:space="preserve">LA: </w:t>
      </w:r>
      <w:r>
        <w:rPr>
          <w:rFonts w:ascii="Arial Black" w:eastAsia="Times New Roman" w:hAnsi="Arial Black"/>
          <w:b/>
          <w:bCs/>
          <w:sz w:val="28"/>
          <w:szCs w:val="28"/>
        </w:rPr>
        <w:t>HEARING LOSS – WORKERS COMP DENIED – UNDER LOUISIANA LAW ONLY IF LOSS FROM A SINGLE TRAUMATIC ACCIDENT</w:t>
      </w:r>
    </w:p>
    <w:p w14:paraId="2F02E46F" w14:textId="77777777" w:rsidR="004E22C3" w:rsidRPr="00685BD9" w:rsidRDefault="004E22C3" w:rsidP="004E22C3">
      <w:pPr>
        <w:pStyle w:val="NoSpacing"/>
        <w:rPr>
          <w:rFonts w:ascii="Times New Roman" w:hAnsi="Times New Roman"/>
          <w:sz w:val="24"/>
          <w:szCs w:val="24"/>
        </w:rPr>
      </w:pPr>
      <w:r w:rsidRPr="00685BD9">
        <w:rPr>
          <w:rFonts w:ascii="Times New Roman" w:hAnsi="Times New Roman"/>
          <w:sz w:val="24"/>
          <w:szCs w:val="24"/>
        </w:rPr>
        <w:t xml:space="preserve">On May 20, 2020, in </w:t>
      </w:r>
      <w:r w:rsidRPr="00685BD9">
        <w:rPr>
          <w:rFonts w:ascii="Times New Roman" w:hAnsi="Times New Roman"/>
          <w:sz w:val="24"/>
          <w:szCs w:val="24"/>
          <w:u w:val="single"/>
        </w:rPr>
        <w:t>James L. Hartman, Jr. v. St. Bernard Parish Fire Department, et al</w:t>
      </w:r>
      <w:r w:rsidRPr="00685BD9">
        <w:rPr>
          <w:rFonts w:ascii="Times New Roman" w:hAnsi="Times New Roman"/>
          <w:sz w:val="24"/>
          <w:szCs w:val="24"/>
        </w:rPr>
        <w:t>., the Court of Appeals, Fourth Circuit, State of Louisiana, affirmed the Office of Workers’ Compensation judge, deny benefits to District Chief Hartman.</w:t>
      </w:r>
    </w:p>
    <w:p w14:paraId="1D023916" w14:textId="77777777" w:rsidR="004E22C3" w:rsidRPr="003A738E" w:rsidRDefault="004E22C3" w:rsidP="004E22C3">
      <w:pPr>
        <w:pStyle w:val="NoSpacing"/>
      </w:pPr>
      <w:hyperlink r:id="rId1283" w:history="1">
        <w:r w:rsidRPr="00685BD9">
          <w:rPr>
            <w:rStyle w:val="Hyperlink"/>
            <w:rFonts w:ascii="Times New Roman" w:eastAsia="Times New Roman" w:hAnsi="Times New Roman"/>
            <w:sz w:val="24"/>
            <w:szCs w:val="24"/>
          </w:rPr>
          <w:t>http://41af3k34gprx4f6bg12df75i.wpengine.netdna-cdn.com/wp-content/uploads/sites/19/2020/05/Hartman-v.-St.-Bernard-Parish-Fire-Dep_t_-2020-La.-App.pdf</w:t>
        </w:r>
      </w:hyperlink>
      <w:r>
        <w:t xml:space="preserve"> </w:t>
      </w:r>
    </w:p>
    <w:p w14:paraId="4E386935" w14:textId="77777777" w:rsidR="004E22C3" w:rsidRPr="00EF0D90" w:rsidRDefault="004E22C3" w:rsidP="004E22C3">
      <w:pPr>
        <w:spacing w:before="100" w:beforeAutospacing="1" w:after="100" w:afterAutospacing="1" w:line="240" w:lineRule="auto"/>
        <w:jc w:val="both"/>
        <w:rPr>
          <w:rFonts w:ascii="Times New Roman" w:hAnsi="Times New Roman"/>
          <w:b/>
          <w:bCs/>
          <w:sz w:val="24"/>
          <w:szCs w:val="24"/>
        </w:rPr>
      </w:pPr>
      <w:r w:rsidRPr="00EF0D90">
        <w:rPr>
          <w:rFonts w:ascii="Times New Roman" w:hAnsi="Times New Roman"/>
          <w:b/>
          <w:bCs/>
          <w:sz w:val="24"/>
          <w:szCs w:val="24"/>
        </w:rPr>
        <w:t>Legal Lessons Learned: Where hearing protection when on apparatus using siren, or near equipment with load noises.</w:t>
      </w:r>
    </w:p>
    <w:p w14:paraId="2737F3A7" w14:textId="77777777" w:rsidR="004E22C3" w:rsidRDefault="004E22C3" w:rsidP="00EF1133">
      <w:pPr>
        <w:rPr>
          <w:rFonts w:ascii="Arial Black" w:hAnsi="Arial Black"/>
          <w:b/>
          <w:sz w:val="24"/>
          <w:szCs w:val="24"/>
        </w:rPr>
      </w:pPr>
    </w:p>
    <w:p w14:paraId="7B1EB2ED" w14:textId="77777777" w:rsidR="004E22C3" w:rsidRDefault="004E22C3" w:rsidP="00EF1133">
      <w:pPr>
        <w:rPr>
          <w:rFonts w:ascii="Arial Black" w:hAnsi="Arial Black"/>
          <w:b/>
          <w:sz w:val="24"/>
          <w:szCs w:val="24"/>
        </w:rPr>
      </w:pPr>
    </w:p>
    <w:p w14:paraId="2490850D" w14:textId="288B17D9" w:rsidR="004E22C3" w:rsidRDefault="004E22C3" w:rsidP="00EF1133">
      <w:pPr>
        <w:rPr>
          <w:rFonts w:ascii="Arial Black" w:hAnsi="Arial Black"/>
          <w:b/>
          <w:sz w:val="24"/>
          <w:szCs w:val="24"/>
        </w:rPr>
      </w:pPr>
      <w:r>
        <w:rPr>
          <w:rFonts w:ascii="Arial Black" w:hAnsi="Arial Black"/>
          <w:b/>
          <w:sz w:val="24"/>
          <w:szCs w:val="24"/>
        </w:rPr>
        <w:t>6-42</w:t>
      </w:r>
    </w:p>
    <w:p w14:paraId="3F9CEED3" w14:textId="77777777" w:rsidR="004E22C3" w:rsidRPr="00450CB3" w:rsidRDefault="004E22C3" w:rsidP="004E22C3">
      <w:pPr>
        <w:spacing w:before="100" w:beforeAutospacing="1" w:after="100" w:afterAutospacing="1" w:line="240" w:lineRule="auto"/>
        <w:rPr>
          <w:rFonts w:ascii="Arial Black" w:hAnsi="Arial Black" w:cs="Arial"/>
          <w:sz w:val="28"/>
          <w:szCs w:val="28"/>
        </w:rPr>
      </w:pPr>
      <w:r w:rsidRPr="00450CB3">
        <w:rPr>
          <w:rFonts w:ascii="Arial Black" w:hAnsi="Arial Black" w:cs="Arial"/>
          <w:sz w:val="28"/>
          <w:szCs w:val="28"/>
        </w:rPr>
        <w:lastRenderedPageBreak/>
        <w:t xml:space="preserve">PA: </w:t>
      </w:r>
      <w:r>
        <w:rPr>
          <w:rFonts w:ascii="Arial Black" w:hAnsi="Arial Black" w:cs="Arial"/>
          <w:sz w:val="28"/>
          <w:szCs w:val="28"/>
        </w:rPr>
        <w:t xml:space="preserve">KIDNEY CANCER – FF RETIRED 2006, KIDNEY CANCER / SURGERY IN 2015 – PA 2011 STATUTORY PRESUMPTION LAW ALLOWS COVERAGE BACK TO 600 WEEKS  </w:t>
      </w:r>
    </w:p>
    <w:p w14:paraId="1BB9BD39" w14:textId="0282FA8F" w:rsidR="004E22C3" w:rsidRDefault="004E22C3" w:rsidP="004E22C3">
      <w:pPr>
        <w:rPr>
          <w:rFonts w:ascii="Arial Black" w:hAnsi="Arial Black"/>
          <w:b/>
          <w:sz w:val="24"/>
          <w:szCs w:val="24"/>
        </w:rPr>
      </w:pPr>
      <w:r w:rsidRPr="00450CB3">
        <w:rPr>
          <w:rFonts w:ascii="Times New Roman" w:hAnsi="Times New Roman"/>
          <w:sz w:val="24"/>
          <w:szCs w:val="24"/>
        </w:rPr>
        <w:t xml:space="preserve">On May 6, 2020, in </w:t>
      </w:r>
      <w:r w:rsidRPr="00450CB3">
        <w:rPr>
          <w:rFonts w:ascii="Times New Roman" w:hAnsi="Times New Roman"/>
          <w:sz w:val="24"/>
          <w:szCs w:val="24"/>
          <w:u w:val="single"/>
        </w:rPr>
        <w:t>City of Johnstown v. Workers’ Compensation Appeals Board</w:t>
      </w:r>
      <w:r>
        <w:rPr>
          <w:rFonts w:ascii="Times New Roman" w:hAnsi="Times New Roman"/>
          <w:sz w:val="24"/>
          <w:szCs w:val="24"/>
        </w:rPr>
        <w:t xml:space="preserve"> (Michael Sevanick), the Commonwealth Court of Pennsylvania held (3 to 0) in unreported decision that </w:t>
      </w:r>
      <w:r w:rsidRPr="00BD099B">
        <w:rPr>
          <w:rFonts w:ascii="Times New Roman" w:hAnsi="Times New Roman"/>
          <w:sz w:val="24"/>
          <w:szCs w:val="24"/>
        </w:rPr>
        <w:t>“Claimant timely filed his Petition, and it was supported by the substantial, competent evidence of record. The WCJ and the Board correctly applied the standards set out in the Act</w:t>
      </w:r>
      <w:r>
        <w:rPr>
          <w:rFonts w:ascii="Times New Roman" w:hAnsi="Times New Roman"/>
          <w:sz w:val="24"/>
          <w:szCs w:val="24"/>
        </w:rPr>
        <w:t xml:space="preserve"> </w:t>
      </w:r>
      <w:r w:rsidRPr="00BD099B">
        <w:rPr>
          <w:rFonts w:ascii="Times New Roman" w:hAnsi="Times New Roman"/>
          <w:sz w:val="24"/>
          <w:szCs w:val="24"/>
        </w:rPr>
        <w:t>and in the pertinent case law.”</w:t>
      </w:r>
      <w:r>
        <w:rPr>
          <w:rFonts w:ascii="Times New Roman" w:hAnsi="Times New Roman"/>
          <w:sz w:val="24"/>
          <w:szCs w:val="24"/>
        </w:rPr>
        <w:t xml:space="preserve"> </w:t>
      </w:r>
      <w:hyperlink r:id="rId1284" w:anchor="search=%22Sevanick%22" w:history="1">
        <w:r w:rsidRPr="008C168C">
          <w:rPr>
            <w:rStyle w:val="Hyperlink"/>
            <w:sz w:val="24"/>
            <w:szCs w:val="24"/>
          </w:rPr>
          <w:t>http://www.pacourts.us/assets/opinions/Commonwealth/out/1156cd19_5-6-20.pdf#search=%22Sevanick%22</w:t>
        </w:r>
      </w:hyperlink>
    </w:p>
    <w:p w14:paraId="2462C1EB" w14:textId="77777777" w:rsidR="004E22C3" w:rsidRPr="00F200DE" w:rsidRDefault="004E22C3" w:rsidP="004E22C3">
      <w:pPr>
        <w:spacing w:before="100" w:beforeAutospacing="1" w:after="100" w:afterAutospacing="1" w:line="240" w:lineRule="auto"/>
        <w:rPr>
          <w:rFonts w:ascii="Times New Roman" w:hAnsi="Times New Roman"/>
          <w:b/>
          <w:bCs/>
          <w:sz w:val="24"/>
          <w:szCs w:val="24"/>
        </w:rPr>
      </w:pPr>
      <w:r w:rsidRPr="00F200DE">
        <w:rPr>
          <w:rFonts w:ascii="Times New Roman" w:hAnsi="Times New Roman"/>
          <w:b/>
          <w:bCs/>
          <w:sz w:val="24"/>
          <w:szCs w:val="24"/>
        </w:rPr>
        <w:t>Legal Lessons Learned:</w:t>
      </w:r>
      <w:r>
        <w:rPr>
          <w:rFonts w:ascii="Times New Roman" w:hAnsi="Times New Roman"/>
          <w:b/>
          <w:bCs/>
          <w:sz w:val="24"/>
          <w:szCs w:val="24"/>
        </w:rPr>
        <w:t xml:space="preserve"> Fortunately, PA has enacted a statutory presumption statute that includes firefighters who retired within 600 weeks prior to enactment of the statute. </w:t>
      </w:r>
    </w:p>
    <w:p w14:paraId="61AA1F94" w14:textId="77777777" w:rsidR="004E22C3" w:rsidRDefault="004E22C3" w:rsidP="00EF1133">
      <w:pPr>
        <w:rPr>
          <w:rFonts w:ascii="Arial Black" w:hAnsi="Arial Black"/>
          <w:b/>
          <w:sz w:val="24"/>
          <w:szCs w:val="24"/>
        </w:rPr>
      </w:pPr>
    </w:p>
    <w:p w14:paraId="6DB5995D" w14:textId="0D75221B" w:rsidR="002147DA" w:rsidRDefault="002147DA" w:rsidP="00EF1133">
      <w:pPr>
        <w:rPr>
          <w:rFonts w:ascii="Arial Black" w:hAnsi="Arial Black"/>
          <w:b/>
          <w:sz w:val="24"/>
          <w:szCs w:val="24"/>
        </w:rPr>
      </w:pPr>
      <w:r>
        <w:rPr>
          <w:rFonts w:ascii="Arial Black" w:hAnsi="Arial Black"/>
          <w:b/>
          <w:sz w:val="24"/>
          <w:szCs w:val="24"/>
        </w:rPr>
        <w:t>6-41</w:t>
      </w:r>
    </w:p>
    <w:p w14:paraId="6F7E75C0" w14:textId="77777777" w:rsidR="002147DA" w:rsidRDefault="002147DA" w:rsidP="002147DA">
      <w:pPr>
        <w:pStyle w:val="NoSpacing"/>
        <w:rPr>
          <w:b/>
          <w:bCs/>
          <w:sz w:val="24"/>
          <w:szCs w:val="24"/>
        </w:rPr>
      </w:pPr>
      <w:bookmarkStart w:id="240" w:name="_Hlk39764354"/>
      <w:r w:rsidRPr="00FF2F39">
        <w:rPr>
          <w:rFonts w:ascii="Arial Black" w:hAnsi="Arial Black"/>
          <w:sz w:val="28"/>
          <w:szCs w:val="28"/>
        </w:rPr>
        <w:t>KY:</w:t>
      </w:r>
      <w:r>
        <w:rPr>
          <w:rFonts w:ascii="Arial Black" w:hAnsi="Arial Black"/>
          <w:sz w:val="28"/>
          <w:szCs w:val="28"/>
        </w:rPr>
        <w:t xml:space="preserve">  HARASSMENT OF ATHEIST FF – SUPERVISOR TOOK NO ACTION, URGED RESIGN - RETALIATION CASE REINSTATED</w:t>
      </w:r>
    </w:p>
    <w:p w14:paraId="6178327F" w14:textId="77777777" w:rsidR="002147DA" w:rsidRDefault="002147DA" w:rsidP="002147DA">
      <w:pPr>
        <w:pStyle w:val="NoSpacing"/>
        <w:rPr>
          <w:b/>
          <w:bCs/>
          <w:sz w:val="24"/>
          <w:szCs w:val="24"/>
        </w:rPr>
      </w:pPr>
    </w:p>
    <w:p w14:paraId="5B3613C4" w14:textId="77777777" w:rsidR="002147DA" w:rsidRPr="000A5D76" w:rsidRDefault="002147DA" w:rsidP="002147DA">
      <w:pPr>
        <w:pStyle w:val="NoSpacing"/>
        <w:tabs>
          <w:tab w:val="left" w:pos="7070"/>
        </w:tabs>
        <w:rPr>
          <w:rFonts w:ascii="Times New Roman" w:hAnsi="Times New Roman"/>
          <w:b/>
          <w:bCs/>
          <w:sz w:val="24"/>
          <w:szCs w:val="24"/>
        </w:rPr>
      </w:pPr>
      <w:r w:rsidRPr="000A5D76">
        <w:rPr>
          <w:rFonts w:ascii="Times New Roman" w:hAnsi="Times New Roman"/>
          <w:bCs/>
          <w:sz w:val="24"/>
          <w:szCs w:val="24"/>
        </w:rPr>
        <w:t xml:space="preserve">On April 22, 2020, in </w:t>
      </w:r>
      <w:r w:rsidRPr="000A5D76">
        <w:rPr>
          <w:rFonts w:ascii="Times New Roman" w:hAnsi="Times New Roman"/>
          <w:bCs/>
          <w:sz w:val="24"/>
          <w:szCs w:val="24"/>
          <w:u w:val="single"/>
        </w:rPr>
        <w:t>Jeffery Queen v. City of Bowling Green, KY</w:t>
      </w:r>
      <w:r w:rsidRPr="000A5D76">
        <w:rPr>
          <w:rFonts w:ascii="Times New Roman" w:hAnsi="Times New Roman"/>
          <w:bCs/>
          <w:sz w:val="24"/>
          <w:szCs w:val="24"/>
        </w:rPr>
        <w:t>, the U.S. Court of Appeals for the 6</w:t>
      </w:r>
      <w:r w:rsidRPr="000A5D76">
        <w:rPr>
          <w:rFonts w:ascii="Times New Roman" w:hAnsi="Times New Roman"/>
          <w:bCs/>
          <w:sz w:val="24"/>
          <w:szCs w:val="24"/>
          <w:vertAlign w:val="superscript"/>
        </w:rPr>
        <w:t>th</w:t>
      </w:r>
      <w:r w:rsidRPr="000A5D76">
        <w:rPr>
          <w:rFonts w:ascii="Times New Roman" w:hAnsi="Times New Roman"/>
          <w:bCs/>
          <w:sz w:val="24"/>
          <w:szCs w:val="24"/>
        </w:rPr>
        <w:t xml:space="preserve"> Circuit (Cincinnati) held (3 to 0) that the U.S. District Court judge in Bowling Green improperly dismissed the retaliation lawsuit against the plaintiff’s supervisor.  The firefighter worked at Bowling Green FD for five years, and after one year he complained to his </w:t>
      </w:r>
      <w:proofErr w:type="gramStart"/>
      <w:r w:rsidRPr="000A5D76">
        <w:rPr>
          <w:rFonts w:ascii="Times New Roman" w:hAnsi="Times New Roman"/>
          <w:bCs/>
          <w:sz w:val="24"/>
          <w:szCs w:val="24"/>
        </w:rPr>
        <w:t>Supervisor</w:t>
      </w:r>
      <w:proofErr w:type="gramEnd"/>
      <w:r w:rsidRPr="000A5D76">
        <w:rPr>
          <w:rFonts w:ascii="Times New Roman" w:hAnsi="Times New Roman"/>
          <w:bCs/>
          <w:sz w:val="24"/>
          <w:szCs w:val="24"/>
        </w:rPr>
        <w:t xml:space="preserve">.  He was urged to quit, and no corrective action was taken; he finally resigned in </w:t>
      </w:r>
      <w:proofErr w:type="gramStart"/>
      <w:r w:rsidRPr="000A5D76">
        <w:rPr>
          <w:rFonts w:ascii="Times New Roman" w:hAnsi="Times New Roman"/>
          <w:bCs/>
          <w:sz w:val="24"/>
          <w:szCs w:val="24"/>
        </w:rPr>
        <w:t>May,</w:t>
      </w:r>
      <w:proofErr w:type="gramEnd"/>
      <w:r w:rsidRPr="000A5D76">
        <w:rPr>
          <w:rFonts w:ascii="Times New Roman" w:hAnsi="Times New Roman"/>
          <w:bCs/>
          <w:sz w:val="24"/>
          <w:szCs w:val="24"/>
        </w:rPr>
        <w:t xml:space="preserve"> 2016. </w:t>
      </w:r>
    </w:p>
    <w:p w14:paraId="44A13A0B" w14:textId="77777777" w:rsidR="002147DA" w:rsidRPr="000A5D76" w:rsidRDefault="002147DA" w:rsidP="002147DA">
      <w:pPr>
        <w:pStyle w:val="NoSpacing"/>
        <w:ind w:left="720"/>
        <w:rPr>
          <w:rFonts w:ascii="Times New Roman" w:hAnsi="Times New Roman"/>
          <w:b/>
          <w:bCs/>
          <w:sz w:val="24"/>
          <w:szCs w:val="24"/>
        </w:rPr>
      </w:pPr>
    </w:p>
    <w:p w14:paraId="783C8ACA" w14:textId="77777777" w:rsidR="002147DA" w:rsidRPr="000A5D76" w:rsidRDefault="002147DA" w:rsidP="002147DA">
      <w:pPr>
        <w:pStyle w:val="NoSpacing"/>
        <w:ind w:left="720"/>
        <w:rPr>
          <w:rFonts w:ascii="Times New Roman" w:hAnsi="Times New Roman"/>
          <w:b/>
          <w:bCs/>
          <w:sz w:val="24"/>
          <w:szCs w:val="24"/>
        </w:rPr>
      </w:pPr>
      <w:r w:rsidRPr="000A5D76">
        <w:rPr>
          <w:rFonts w:ascii="Times New Roman" w:hAnsi="Times New Roman"/>
          <w:bCs/>
          <w:sz w:val="24"/>
          <w:szCs w:val="24"/>
        </w:rPr>
        <w:t xml:space="preserve">“A reasonable jury could conclude that [the Supervisor] Rockrohr’s subsequent conduct after receiving Queen’s complaint about the harassment he faced at the Bowling Green Fire Department (which conduct included Rockrohr’s suggestion that Queen ‘should get employment elsewhere’  because ‘things [were] not working out’) went far enough to amount to a materially adverse action. Indeed, Rockrohr’s specific admonition made directly to Queen that he ‘should get employment elsewhere’ could be interpreted by reasonable jurors to convey the message that Queen was no longer welcome at the Fire Department, thus amounting to a constructive termination of Queen’s </w:t>
      </w:r>
      <w:proofErr w:type="gramStart"/>
      <w:r w:rsidRPr="000A5D76">
        <w:rPr>
          <w:rFonts w:ascii="Times New Roman" w:hAnsi="Times New Roman"/>
          <w:bCs/>
          <w:sz w:val="24"/>
          <w:szCs w:val="24"/>
        </w:rPr>
        <w:t>employment.”</w:t>
      </w:r>
      <w:proofErr w:type="gramEnd"/>
    </w:p>
    <w:p w14:paraId="45A55C92" w14:textId="77777777" w:rsidR="002147DA" w:rsidRPr="000A5D76" w:rsidRDefault="002147DA" w:rsidP="002147DA">
      <w:pPr>
        <w:pStyle w:val="NoSpacing"/>
        <w:ind w:left="720"/>
        <w:rPr>
          <w:rFonts w:ascii="Times New Roman" w:hAnsi="Times New Roman"/>
          <w:b/>
          <w:bCs/>
          <w:sz w:val="24"/>
          <w:szCs w:val="24"/>
        </w:rPr>
      </w:pPr>
      <w:hyperlink r:id="rId1285" w:history="1">
        <w:r w:rsidRPr="000A5D76">
          <w:rPr>
            <w:rStyle w:val="Hyperlink"/>
            <w:rFonts w:ascii="Times New Roman" w:hAnsi="Times New Roman"/>
            <w:b/>
            <w:sz w:val="24"/>
            <w:szCs w:val="24"/>
          </w:rPr>
          <w:t>https://www.opn.ca6.uscourts.gov/opinions.pdf/20a0123p-06.pdf</w:t>
        </w:r>
      </w:hyperlink>
      <w:r w:rsidRPr="000A5D76">
        <w:rPr>
          <w:rFonts w:ascii="Times New Roman" w:hAnsi="Times New Roman"/>
          <w:bCs/>
          <w:sz w:val="24"/>
          <w:szCs w:val="24"/>
        </w:rPr>
        <w:t xml:space="preserve"> </w:t>
      </w:r>
    </w:p>
    <w:bookmarkEnd w:id="240"/>
    <w:p w14:paraId="0FC60F57" w14:textId="77777777" w:rsidR="002147DA" w:rsidRDefault="002147DA" w:rsidP="002147DA">
      <w:pPr>
        <w:pStyle w:val="NoSpacing"/>
        <w:rPr>
          <w:rFonts w:ascii="Times New Roman" w:hAnsi="Times New Roman"/>
          <w:b/>
          <w:bCs/>
          <w:sz w:val="24"/>
          <w:szCs w:val="24"/>
        </w:rPr>
      </w:pPr>
    </w:p>
    <w:p w14:paraId="08754EA9" w14:textId="73D4EBCB" w:rsidR="002147DA" w:rsidRPr="000A5D76" w:rsidRDefault="002147DA" w:rsidP="002147DA">
      <w:pPr>
        <w:pStyle w:val="NoSpacing"/>
        <w:rPr>
          <w:rFonts w:ascii="Times New Roman" w:hAnsi="Times New Roman"/>
          <w:b/>
          <w:bCs/>
          <w:sz w:val="24"/>
          <w:szCs w:val="24"/>
        </w:rPr>
      </w:pPr>
      <w:bookmarkStart w:id="241" w:name="_Hlk40510447"/>
      <w:r w:rsidRPr="000A5D76">
        <w:rPr>
          <w:rFonts w:ascii="Times New Roman" w:hAnsi="Times New Roman"/>
          <w:b/>
          <w:bCs/>
          <w:sz w:val="24"/>
          <w:szCs w:val="24"/>
        </w:rPr>
        <w:t xml:space="preserve">Legal Lessons Learned: When a firefighter complains of harassment, the </w:t>
      </w:r>
      <w:r w:rsidR="00C4249D">
        <w:rPr>
          <w:rFonts w:ascii="Times New Roman" w:hAnsi="Times New Roman"/>
          <w:b/>
          <w:bCs/>
          <w:sz w:val="24"/>
          <w:szCs w:val="24"/>
        </w:rPr>
        <w:t xml:space="preserve">FD Officer should promptly advise the Fire </w:t>
      </w:r>
      <w:proofErr w:type="gramStart"/>
      <w:r w:rsidR="00C4249D">
        <w:rPr>
          <w:rFonts w:ascii="Times New Roman" w:hAnsi="Times New Roman"/>
          <w:b/>
          <w:bCs/>
          <w:sz w:val="24"/>
          <w:szCs w:val="24"/>
        </w:rPr>
        <w:t xml:space="preserve">Chief, </w:t>
      </w:r>
      <w:r w:rsidRPr="000A5D76">
        <w:rPr>
          <w:rFonts w:ascii="Times New Roman" w:hAnsi="Times New Roman"/>
          <w:b/>
          <w:bCs/>
          <w:sz w:val="24"/>
          <w:szCs w:val="24"/>
        </w:rPr>
        <w:t>and</w:t>
      </w:r>
      <w:proofErr w:type="gramEnd"/>
      <w:r w:rsidRPr="000A5D76">
        <w:rPr>
          <w:rFonts w:ascii="Times New Roman" w:hAnsi="Times New Roman"/>
          <w:b/>
          <w:bCs/>
          <w:sz w:val="24"/>
          <w:szCs w:val="24"/>
        </w:rPr>
        <w:t xml:space="preserve"> promptly investigate and stop any harassment behavior. </w:t>
      </w:r>
    </w:p>
    <w:bookmarkEnd w:id="241"/>
    <w:p w14:paraId="6F2563DF" w14:textId="77777777" w:rsidR="002147DA" w:rsidRDefault="002147DA" w:rsidP="00EF1133">
      <w:pPr>
        <w:rPr>
          <w:rFonts w:ascii="Arial Black" w:hAnsi="Arial Black"/>
          <w:b/>
          <w:sz w:val="24"/>
          <w:szCs w:val="24"/>
        </w:rPr>
      </w:pPr>
    </w:p>
    <w:p w14:paraId="4C39DB1C" w14:textId="77777777" w:rsidR="002147DA" w:rsidRDefault="002147DA" w:rsidP="00EF1133">
      <w:pPr>
        <w:rPr>
          <w:rFonts w:ascii="Arial Black" w:hAnsi="Arial Black"/>
          <w:b/>
          <w:sz w:val="24"/>
          <w:szCs w:val="24"/>
        </w:rPr>
      </w:pPr>
    </w:p>
    <w:p w14:paraId="697CCD76" w14:textId="6AC96BCF" w:rsidR="002147DA" w:rsidRDefault="002147DA" w:rsidP="00EF1133">
      <w:pPr>
        <w:rPr>
          <w:rFonts w:ascii="Arial Black" w:hAnsi="Arial Black"/>
          <w:b/>
          <w:sz w:val="24"/>
          <w:szCs w:val="24"/>
        </w:rPr>
      </w:pPr>
      <w:r>
        <w:rPr>
          <w:rFonts w:ascii="Arial Black" w:hAnsi="Arial Black"/>
          <w:b/>
          <w:sz w:val="24"/>
          <w:szCs w:val="24"/>
        </w:rPr>
        <w:t>6-40</w:t>
      </w:r>
    </w:p>
    <w:p w14:paraId="780420E9" w14:textId="77777777" w:rsidR="002147DA" w:rsidRDefault="002147DA" w:rsidP="002147DA">
      <w:pPr>
        <w:pStyle w:val="NoSpacing"/>
        <w:rPr>
          <w:rFonts w:ascii="Arial Black" w:hAnsi="Arial Black"/>
          <w:sz w:val="28"/>
          <w:szCs w:val="28"/>
        </w:rPr>
      </w:pPr>
      <w:bookmarkStart w:id="242" w:name="_Hlk39764432"/>
      <w:r>
        <w:rPr>
          <w:rFonts w:ascii="Arial Black" w:hAnsi="Arial Black"/>
          <w:sz w:val="28"/>
          <w:szCs w:val="28"/>
        </w:rPr>
        <w:t xml:space="preserve">AR: WORKER’S COMP DENIED - TESTICULAR CANCER – HAD AS YOUTH – NOT COVERED BY PRESUMPTION STATUTE </w:t>
      </w:r>
    </w:p>
    <w:p w14:paraId="516F8082" w14:textId="77777777" w:rsidR="002147DA" w:rsidRDefault="002147DA" w:rsidP="002147DA">
      <w:pPr>
        <w:pStyle w:val="NoSpacing"/>
        <w:ind w:left="720"/>
        <w:rPr>
          <w:b/>
          <w:bCs/>
          <w:sz w:val="24"/>
          <w:szCs w:val="24"/>
        </w:rPr>
      </w:pPr>
    </w:p>
    <w:p w14:paraId="3DA1CA6D" w14:textId="77777777" w:rsidR="002147DA" w:rsidRPr="000A5D76" w:rsidRDefault="002147DA" w:rsidP="002147DA">
      <w:pPr>
        <w:pStyle w:val="NoSpacing"/>
        <w:rPr>
          <w:rFonts w:ascii="Times New Roman" w:hAnsi="Times New Roman"/>
          <w:b/>
          <w:bCs/>
          <w:sz w:val="24"/>
          <w:szCs w:val="24"/>
        </w:rPr>
      </w:pPr>
      <w:r w:rsidRPr="000A5D76">
        <w:rPr>
          <w:rFonts w:ascii="Times New Roman" w:hAnsi="Times New Roman"/>
          <w:bCs/>
          <w:sz w:val="24"/>
          <w:szCs w:val="24"/>
        </w:rPr>
        <w:lastRenderedPageBreak/>
        <w:t xml:space="preserve">On April 21, 2020, </w:t>
      </w:r>
      <w:r w:rsidRPr="000A5D76">
        <w:rPr>
          <w:rFonts w:ascii="Times New Roman" w:hAnsi="Times New Roman"/>
          <w:bCs/>
          <w:sz w:val="24"/>
          <w:szCs w:val="24"/>
          <w:u w:val="single"/>
        </w:rPr>
        <w:t>Wesley Forbach v. The Industrial Commission of Arizona &amp; City of Flagstaff</w:t>
      </w:r>
      <w:r w:rsidRPr="000A5D76">
        <w:rPr>
          <w:rFonts w:ascii="Times New Roman" w:hAnsi="Times New Roman"/>
          <w:bCs/>
          <w:sz w:val="24"/>
          <w:szCs w:val="24"/>
        </w:rPr>
        <w:t xml:space="preserve">, the Arizona Court of Appeal (Division One), held in unpublished opinion (3 to 0) that his surgery for removal of left testicle was not covered by worker’s comp.  The Arizona statutory presumption statute requires proof that the “carcinogen is reasonably related to the cancer.” The proof was particularly difficult in this case since the firefighter as a </w:t>
      </w:r>
      <w:proofErr w:type="gramStart"/>
      <w:r w:rsidRPr="000A5D76">
        <w:rPr>
          <w:rFonts w:ascii="Times New Roman" w:hAnsi="Times New Roman"/>
          <w:bCs/>
          <w:sz w:val="24"/>
          <w:szCs w:val="24"/>
        </w:rPr>
        <w:t>teenage</w:t>
      </w:r>
      <w:proofErr w:type="gramEnd"/>
      <w:r w:rsidRPr="000A5D76">
        <w:rPr>
          <w:rFonts w:ascii="Times New Roman" w:hAnsi="Times New Roman"/>
          <w:bCs/>
          <w:sz w:val="24"/>
          <w:szCs w:val="24"/>
        </w:rPr>
        <w:t xml:space="preserve"> had testicular cancer and his right testicle was removed.</w:t>
      </w:r>
    </w:p>
    <w:p w14:paraId="02DF9137" w14:textId="77777777" w:rsidR="002147DA" w:rsidRPr="000A5D76" w:rsidRDefault="002147DA" w:rsidP="002147DA">
      <w:pPr>
        <w:pStyle w:val="NoSpacing"/>
        <w:ind w:left="720"/>
        <w:rPr>
          <w:rFonts w:ascii="Times New Roman" w:hAnsi="Times New Roman"/>
          <w:b/>
          <w:bCs/>
          <w:sz w:val="24"/>
          <w:szCs w:val="24"/>
        </w:rPr>
      </w:pPr>
    </w:p>
    <w:p w14:paraId="55D2A7BF" w14:textId="77777777" w:rsidR="002147DA" w:rsidRPr="000A5D76" w:rsidRDefault="002147DA" w:rsidP="002147DA">
      <w:pPr>
        <w:pStyle w:val="NoSpacing"/>
        <w:ind w:left="720"/>
        <w:rPr>
          <w:rFonts w:ascii="Times New Roman" w:hAnsi="Times New Roman"/>
          <w:b/>
          <w:bCs/>
          <w:sz w:val="24"/>
          <w:szCs w:val="24"/>
        </w:rPr>
      </w:pPr>
      <w:r w:rsidRPr="000A5D76">
        <w:rPr>
          <w:rFonts w:ascii="Times New Roman" w:hAnsi="Times New Roman"/>
          <w:bCs/>
          <w:sz w:val="24"/>
          <w:szCs w:val="24"/>
        </w:rPr>
        <w:t>“The Administrative Law Judge (‘ALJ’) determined that Forbach was not entitled to a statutory presumption in his favor and, therefore, had not established a causal connection between his disease and his employment. We affirm.”</w:t>
      </w:r>
    </w:p>
    <w:p w14:paraId="0D7A3025" w14:textId="77777777" w:rsidR="002147DA" w:rsidRPr="000A5D76" w:rsidRDefault="002147DA" w:rsidP="002147DA">
      <w:pPr>
        <w:pStyle w:val="NoSpacing"/>
        <w:ind w:left="720"/>
        <w:rPr>
          <w:rFonts w:ascii="Times New Roman" w:hAnsi="Times New Roman"/>
          <w:b/>
          <w:bCs/>
          <w:sz w:val="24"/>
          <w:szCs w:val="24"/>
        </w:rPr>
      </w:pPr>
      <w:hyperlink r:id="rId1286" w:history="1">
        <w:r w:rsidRPr="000A5D76">
          <w:rPr>
            <w:rStyle w:val="Hyperlink"/>
            <w:rFonts w:ascii="Times New Roman" w:hAnsi="Times New Roman"/>
            <w:b/>
            <w:sz w:val="24"/>
            <w:szCs w:val="24"/>
          </w:rPr>
          <w:t>https://www.azcourts.gov/Portals/0/OpinionFiles/Div1/2020/1%20CA-IC%2019-0036%20-%20Forbach.pdf</w:t>
        </w:r>
      </w:hyperlink>
      <w:r w:rsidRPr="000A5D76">
        <w:rPr>
          <w:rFonts w:ascii="Times New Roman" w:hAnsi="Times New Roman"/>
          <w:bCs/>
          <w:sz w:val="24"/>
          <w:szCs w:val="24"/>
        </w:rPr>
        <w:t xml:space="preserve"> </w:t>
      </w:r>
    </w:p>
    <w:bookmarkEnd w:id="242"/>
    <w:p w14:paraId="394C0AF5" w14:textId="77777777" w:rsidR="002147DA" w:rsidRDefault="002147DA" w:rsidP="002147DA">
      <w:pPr>
        <w:pStyle w:val="NoSpacing"/>
        <w:rPr>
          <w:rFonts w:ascii="Times New Roman" w:hAnsi="Times New Roman"/>
          <w:b/>
          <w:bCs/>
          <w:sz w:val="24"/>
          <w:szCs w:val="24"/>
        </w:rPr>
      </w:pPr>
    </w:p>
    <w:p w14:paraId="21A9C70B" w14:textId="2B50B759" w:rsidR="002147DA" w:rsidRPr="000A5D76" w:rsidRDefault="002147DA" w:rsidP="002147DA">
      <w:pPr>
        <w:pStyle w:val="NoSpacing"/>
        <w:rPr>
          <w:rFonts w:ascii="Times New Roman" w:hAnsi="Times New Roman"/>
          <w:b/>
          <w:bCs/>
          <w:sz w:val="24"/>
          <w:szCs w:val="24"/>
        </w:rPr>
      </w:pPr>
      <w:bookmarkStart w:id="243" w:name="_Hlk40510494"/>
      <w:r w:rsidRPr="000A5D76">
        <w:rPr>
          <w:rFonts w:ascii="Times New Roman" w:hAnsi="Times New Roman"/>
          <w:b/>
          <w:bCs/>
          <w:sz w:val="24"/>
          <w:szCs w:val="24"/>
        </w:rPr>
        <w:t xml:space="preserve">Legal Lessons Learned:  Firefighters should keep a list of runs where they have been exposed to smoke or </w:t>
      </w:r>
      <w:r w:rsidR="00C4249D">
        <w:rPr>
          <w:rFonts w:ascii="Times New Roman" w:hAnsi="Times New Roman"/>
          <w:b/>
          <w:bCs/>
          <w:sz w:val="24"/>
          <w:szCs w:val="24"/>
        </w:rPr>
        <w:t xml:space="preserve">other </w:t>
      </w:r>
      <w:r w:rsidRPr="000A5D76">
        <w:rPr>
          <w:rFonts w:ascii="Times New Roman" w:hAnsi="Times New Roman"/>
          <w:b/>
          <w:bCs/>
          <w:sz w:val="24"/>
          <w:szCs w:val="24"/>
        </w:rPr>
        <w:t xml:space="preserve">chemicals, but even with such a list, without a State statutory presumption statute that specifically includes testicular cancer, it is very difficult to prove what caused this particular cancer. </w:t>
      </w:r>
    </w:p>
    <w:bookmarkEnd w:id="243"/>
    <w:p w14:paraId="0945C119" w14:textId="77777777" w:rsidR="002147DA" w:rsidRPr="000A5D76" w:rsidRDefault="002147DA" w:rsidP="002147DA">
      <w:pPr>
        <w:pStyle w:val="NoSpacing"/>
        <w:rPr>
          <w:rFonts w:ascii="Times New Roman" w:hAnsi="Times New Roman"/>
          <w:sz w:val="24"/>
          <w:szCs w:val="24"/>
        </w:rPr>
      </w:pPr>
    </w:p>
    <w:p w14:paraId="540D963A" w14:textId="77777777" w:rsidR="002147DA" w:rsidRPr="000A5D76" w:rsidRDefault="002147DA" w:rsidP="002147DA">
      <w:pPr>
        <w:pStyle w:val="NoSpacing"/>
        <w:ind w:left="720"/>
        <w:rPr>
          <w:rFonts w:ascii="Times New Roman" w:hAnsi="Times New Roman"/>
          <w:b/>
          <w:bCs/>
          <w:sz w:val="24"/>
          <w:szCs w:val="24"/>
        </w:rPr>
      </w:pPr>
      <w:r w:rsidRPr="000A5D76">
        <w:rPr>
          <w:rFonts w:ascii="Times New Roman" w:hAnsi="Times New Roman"/>
          <w:bCs/>
          <w:sz w:val="24"/>
          <w:szCs w:val="24"/>
        </w:rPr>
        <w:t xml:space="preserve">Note: Court described the Arizona statutory presumption.  </w:t>
      </w:r>
    </w:p>
    <w:p w14:paraId="2849071D" w14:textId="77777777" w:rsidR="002147DA" w:rsidRPr="000A5D76" w:rsidRDefault="002147DA" w:rsidP="002147DA">
      <w:pPr>
        <w:pStyle w:val="NoSpacing"/>
        <w:ind w:left="720"/>
        <w:rPr>
          <w:rFonts w:ascii="Times New Roman" w:hAnsi="Times New Roman"/>
          <w:b/>
          <w:bCs/>
          <w:sz w:val="24"/>
          <w:szCs w:val="24"/>
        </w:rPr>
      </w:pPr>
    </w:p>
    <w:p w14:paraId="14A2A76C" w14:textId="77777777" w:rsidR="002147DA" w:rsidRPr="000A5D76" w:rsidRDefault="002147DA" w:rsidP="002147DA">
      <w:pPr>
        <w:pStyle w:val="NoSpacing"/>
        <w:ind w:left="1440"/>
        <w:rPr>
          <w:rFonts w:ascii="Times New Roman" w:hAnsi="Times New Roman"/>
          <w:b/>
          <w:bCs/>
          <w:sz w:val="24"/>
          <w:szCs w:val="24"/>
        </w:rPr>
      </w:pPr>
      <w:r w:rsidRPr="000A5D76">
        <w:rPr>
          <w:rFonts w:ascii="Times New Roman" w:hAnsi="Times New Roman"/>
          <w:bCs/>
          <w:sz w:val="24"/>
          <w:szCs w:val="24"/>
        </w:rPr>
        <w:t>“Starting in 2001, with a significant amendment in 2017, the Legislature created a statutory presumption of industrial causation for firefighters and police officers who contract certain diseases under certain conditions. *** Arizona Revised Statutes section 23-901.01(B) lists diseases that, if contracted by firefighters or police officers, will be presumed to be occupational diseases that arose out of employment if the four requirements in subsection (C) of the statute are met….</w:t>
      </w:r>
    </w:p>
    <w:p w14:paraId="3EFDA371" w14:textId="77777777" w:rsidR="002147DA" w:rsidRPr="000A5D76" w:rsidRDefault="002147DA" w:rsidP="002147DA">
      <w:pPr>
        <w:pStyle w:val="NoSpacing"/>
        <w:rPr>
          <w:rFonts w:ascii="Times New Roman" w:hAnsi="Times New Roman"/>
          <w:b/>
          <w:bCs/>
          <w:sz w:val="24"/>
          <w:szCs w:val="24"/>
        </w:rPr>
      </w:pPr>
    </w:p>
    <w:p w14:paraId="2373EB49" w14:textId="77777777" w:rsidR="002147DA" w:rsidRPr="000A5D76" w:rsidRDefault="002147DA" w:rsidP="002147DA">
      <w:pPr>
        <w:pStyle w:val="NoSpacing"/>
        <w:ind w:left="2160"/>
        <w:rPr>
          <w:rFonts w:ascii="Times New Roman" w:hAnsi="Times New Roman"/>
          <w:b/>
          <w:bCs/>
          <w:sz w:val="24"/>
          <w:szCs w:val="24"/>
        </w:rPr>
      </w:pPr>
      <w:r>
        <w:rPr>
          <w:rFonts w:ascii="Times New Roman" w:hAnsi="Times New Roman"/>
          <w:bCs/>
          <w:sz w:val="24"/>
          <w:szCs w:val="24"/>
        </w:rPr>
        <w:t>“</w:t>
      </w:r>
      <w:r w:rsidRPr="000A5D76">
        <w:rPr>
          <w:rFonts w:ascii="Times New Roman" w:hAnsi="Times New Roman"/>
          <w:bCs/>
          <w:sz w:val="24"/>
          <w:szCs w:val="24"/>
        </w:rPr>
        <w:t>3. The firefighter or peace officer was [</w:t>
      </w:r>
      <w:proofErr w:type="spellStart"/>
      <w:r w:rsidRPr="000A5D76">
        <w:rPr>
          <w:rFonts w:ascii="Times New Roman" w:hAnsi="Times New Roman"/>
          <w:bCs/>
          <w:sz w:val="24"/>
          <w:szCs w:val="24"/>
        </w:rPr>
        <w:t>i</w:t>
      </w:r>
      <w:proofErr w:type="spellEnd"/>
      <w:r w:rsidRPr="000A5D76">
        <w:rPr>
          <w:rFonts w:ascii="Times New Roman" w:hAnsi="Times New Roman"/>
          <w:bCs/>
          <w:sz w:val="24"/>
          <w:szCs w:val="24"/>
        </w:rPr>
        <w:t>]exposed to a known carcinogen as defined by the international agency for research on cancer and [ii] informed the department of this exposure, and [iii] the carcinogen is reasonably related to the cancer.”</w:t>
      </w:r>
    </w:p>
    <w:p w14:paraId="6C23509B" w14:textId="5D13BC10" w:rsidR="002147DA" w:rsidRDefault="002147DA" w:rsidP="00EF1133">
      <w:pPr>
        <w:rPr>
          <w:rFonts w:ascii="Arial Black" w:hAnsi="Arial Black"/>
          <w:b/>
          <w:sz w:val="24"/>
          <w:szCs w:val="24"/>
        </w:rPr>
      </w:pPr>
    </w:p>
    <w:p w14:paraId="5922A0C8" w14:textId="207EF2DF" w:rsidR="002147DA" w:rsidRDefault="002147DA" w:rsidP="00EF1133">
      <w:pPr>
        <w:rPr>
          <w:rFonts w:ascii="Arial Black" w:hAnsi="Arial Black"/>
          <w:b/>
          <w:sz w:val="24"/>
          <w:szCs w:val="24"/>
        </w:rPr>
      </w:pPr>
    </w:p>
    <w:p w14:paraId="4138232A" w14:textId="77777777" w:rsidR="002147DA" w:rsidRDefault="002147DA" w:rsidP="00EF1133">
      <w:pPr>
        <w:rPr>
          <w:rFonts w:ascii="Arial Black" w:hAnsi="Arial Black"/>
          <w:b/>
          <w:sz w:val="24"/>
          <w:szCs w:val="24"/>
        </w:rPr>
      </w:pPr>
    </w:p>
    <w:p w14:paraId="1EB2C408" w14:textId="73E32585" w:rsidR="002147DA" w:rsidRDefault="002147DA" w:rsidP="00EF1133">
      <w:pPr>
        <w:rPr>
          <w:rFonts w:ascii="Arial Black" w:hAnsi="Arial Black"/>
          <w:b/>
          <w:sz w:val="24"/>
          <w:szCs w:val="24"/>
        </w:rPr>
      </w:pPr>
      <w:r>
        <w:rPr>
          <w:rFonts w:ascii="Arial Black" w:hAnsi="Arial Black"/>
          <w:b/>
          <w:sz w:val="24"/>
          <w:szCs w:val="24"/>
        </w:rPr>
        <w:t>6-39</w:t>
      </w:r>
    </w:p>
    <w:p w14:paraId="37FF7DA4" w14:textId="3B071FAC" w:rsidR="002147DA" w:rsidRPr="00AC4AF3" w:rsidRDefault="002147DA" w:rsidP="002147DA">
      <w:pPr>
        <w:pStyle w:val="NoSpacing"/>
        <w:rPr>
          <w:rFonts w:ascii="Arial Black" w:hAnsi="Arial Black"/>
          <w:sz w:val="28"/>
          <w:szCs w:val="28"/>
        </w:rPr>
      </w:pPr>
      <w:bookmarkStart w:id="244" w:name="_Hlk39764496"/>
      <w:r w:rsidRPr="00AC4AF3">
        <w:rPr>
          <w:rFonts w:ascii="Arial Black" w:hAnsi="Arial Black"/>
          <w:sz w:val="28"/>
          <w:szCs w:val="28"/>
        </w:rPr>
        <w:t xml:space="preserve">NC: </w:t>
      </w:r>
      <w:r>
        <w:rPr>
          <w:rFonts w:ascii="Arial Black" w:hAnsi="Arial Black"/>
          <w:sz w:val="28"/>
          <w:szCs w:val="28"/>
        </w:rPr>
        <w:t>WORKER’S COMP - DENIED FOR HEARING LOSS – MINOR MVA AMBULANCE - BACK INJURY WAS COVERED</w:t>
      </w:r>
    </w:p>
    <w:p w14:paraId="5F83D9B6" w14:textId="77777777" w:rsidR="002147DA" w:rsidRDefault="002147DA" w:rsidP="002147DA">
      <w:pPr>
        <w:pStyle w:val="NoSpacing"/>
        <w:rPr>
          <w:b/>
          <w:bCs/>
          <w:sz w:val="24"/>
          <w:szCs w:val="24"/>
        </w:rPr>
      </w:pPr>
    </w:p>
    <w:p w14:paraId="604412DA" w14:textId="77777777" w:rsidR="002147DA" w:rsidRPr="000A5D76" w:rsidRDefault="002147DA" w:rsidP="002147DA">
      <w:pPr>
        <w:pStyle w:val="NoSpacing"/>
        <w:rPr>
          <w:rFonts w:ascii="Times New Roman" w:hAnsi="Times New Roman"/>
          <w:b/>
          <w:bCs/>
          <w:sz w:val="24"/>
          <w:szCs w:val="24"/>
        </w:rPr>
      </w:pPr>
      <w:r w:rsidRPr="000A5D76">
        <w:rPr>
          <w:rFonts w:ascii="Times New Roman" w:hAnsi="Times New Roman"/>
          <w:bCs/>
          <w:sz w:val="24"/>
          <w:szCs w:val="24"/>
        </w:rPr>
        <w:t xml:space="preserve">On April 7, 2020, in </w:t>
      </w:r>
      <w:r w:rsidRPr="000A5D76">
        <w:rPr>
          <w:rFonts w:ascii="Times New Roman" w:hAnsi="Times New Roman"/>
          <w:bCs/>
          <w:sz w:val="24"/>
          <w:szCs w:val="24"/>
          <w:u w:val="single"/>
        </w:rPr>
        <w:t xml:space="preserve">Travis Martin v. WakeMed &amp; Key Risk Management Services, </w:t>
      </w:r>
      <w:r w:rsidRPr="000A5D76">
        <w:rPr>
          <w:rFonts w:ascii="Times New Roman" w:hAnsi="Times New Roman"/>
          <w:bCs/>
          <w:sz w:val="24"/>
          <w:szCs w:val="24"/>
        </w:rPr>
        <w:t xml:space="preserve">the Court of Appeals of North Carolina held (3 to 0) in an unpublished opinion that the North Carolina Industrial Compensation properly denied the EMT’s claim for loss of hearing in both ears. </w:t>
      </w:r>
    </w:p>
    <w:p w14:paraId="2E941913" w14:textId="77777777" w:rsidR="002147DA" w:rsidRPr="000A5D76" w:rsidRDefault="002147DA" w:rsidP="002147DA">
      <w:pPr>
        <w:pStyle w:val="NoSpacing"/>
        <w:rPr>
          <w:rFonts w:ascii="Times New Roman" w:hAnsi="Times New Roman"/>
          <w:b/>
          <w:bCs/>
          <w:sz w:val="24"/>
          <w:szCs w:val="24"/>
        </w:rPr>
      </w:pPr>
    </w:p>
    <w:p w14:paraId="0292CC9E" w14:textId="77777777" w:rsidR="002147DA" w:rsidRPr="000A5D76" w:rsidRDefault="002147DA" w:rsidP="002147DA">
      <w:pPr>
        <w:pStyle w:val="NoSpacing"/>
        <w:ind w:left="720"/>
        <w:rPr>
          <w:rFonts w:ascii="Times New Roman" w:hAnsi="Times New Roman"/>
          <w:b/>
          <w:bCs/>
          <w:sz w:val="24"/>
          <w:szCs w:val="24"/>
        </w:rPr>
      </w:pPr>
      <w:r w:rsidRPr="000A5D76">
        <w:rPr>
          <w:rFonts w:ascii="Times New Roman" w:hAnsi="Times New Roman"/>
          <w:bCs/>
          <w:sz w:val="24"/>
          <w:szCs w:val="24"/>
        </w:rPr>
        <w:t xml:space="preserve">“The Commission found that the record evidence, including plaintiff’s testimony, did not reveal plaintiff ever discussing a loud noise or a certain degree of noise during the motor vehicle accident sufficient to cause plaintiff to sustain asymmetric bilateral hearing loss. Moreover, the motor vehicle collision on 13 April 2016 “’resulted in only minimal damage to [the vehicle plaintiff was driving].’ Based on the preponderance of evidence in view of the entire record, the Commission found that ‘insufficient evidence exists to establish a causal connection between the 13 April 2016 motor vehicle accident and </w:t>
      </w:r>
      <w:r w:rsidRPr="000A5D76">
        <w:rPr>
          <w:rFonts w:ascii="Times New Roman" w:hAnsi="Times New Roman"/>
          <w:bCs/>
          <w:sz w:val="24"/>
          <w:szCs w:val="24"/>
        </w:rPr>
        <w:lastRenderedPageBreak/>
        <w:t>[p]</w:t>
      </w:r>
      <w:proofErr w:type="spellStart"/>
      <w:r w:rsidRPr="000A5D76">
        <w:rPr>
          <w:rFonts w:ascii="Times New Roman" w:hAnsi="Times New Roman"/>
          <w:bCs/>
          <w:sz w:val="24"/>
          <w:szCs w:val="24"/>
        </w:rPr>
        <w:t>laintiff’s</w:t>
      </w:r>
      <w:proofErr w:type="spellEnd"/>
      <w:r w:rsidRPr="000A5D76">
        <w:rPr>
          <w:rFonts w:ascii="Times New Roman" w:hAnsi="Times New Roman"/>
          <w:bCs/>
          <w:sz w:val="24"/>
          <w:szCs w:val="24"/>
        </w:rPr>
        <w:t xml:space="preserve"> alleged injury to his ears, including bilateral hearing loss.” </w:t>
      </w:r>
      <w:hyperlink r:id="rId1287" w:history="1">
        <w:r w:rsidRPr="000A5D76">
          <w:rPr>
            <w:rStyle w:val="Hyperlink"/>
            <w:rFonts w:ascii="Times New Roman" w:hAnsi="Times New Roman"/>
            <w:b/>
            <w:sz w:val="24"/>
            <w:szCs w:val="24"/>
          </w:rPr>
          <w:t>https://appellate.nccourts.org/opinions/?c=2&amp;pdf=38946</w:t>
        </w:r>
      </w:hyperlink>
      <w:r w:rsidRPr="000A5D76">
        <w:rPr>
          <w:rFonts w:ascii="Times New Roman" w:hAnsi="Times New Roman"/>
          <w:bCs/>
          <w:sz w:val="24"/>
          <w:szCs w:val="24"/>
        </w:rPr>
        <w:t xml:space="preserve"> </w:t>
      </w:r>
    </w:p>
    <w:bookmarkEnd w:id="244"/>
    <w:p w14:paraId="5D759841" w14:textId="77777777" w:rsidR="002147DA" w:rsidRDefault="002147DA" w:rsidP="002147DA">
      <w:pPr>
        <w:pStyle w:val="NoSpacing"/>
        <w:rPr>
          <w:rFonts w:ascii="Times New Roman" w:hAnsi="Times New Roman"/>
          <w:b/>
          <w:bCs/>
          <w:sz w:val="24"/>
          <w:szCs w:val="24"/>
        </w:rPr>
      </w:pPr>
    </w:p>
    <w:p w14:paraId="6F12067E" w14:textId="18C1CA2B" w:rsidR="002147DA" w:rsidRPr="000A5D76" w:rsidRDefault="002147DA" w:rsidP="002147DA">
      <w:pPr>
        <w:pStyle w:val="NoSpacing"/>
        <w:rPr>
          <w:rFonts w:ascii="Times New Roman" w:hAnsi="Times New Roman"/>
          <w:b/>
          <w:bCs/>
          <w:sz w:val="24"/>
          <w:szCs w:val="24"/>
        </w:rPr>
      </w:pPr>
      <w:bookmarkStart w:id="245" w:name="_Hlk40510594"/>
      <w:r w:rsidRPr="000A5D76">
        <w:rPr>
          <w:rFonts w:ascii="Times New Roman" w:hAnsi="Times New Roman"/>
          <w:b/>
          <w:bCs/>
          <w:sz w:val="24"/>
          <w:szCs w:val="24"/>
        </w:rPr>
        <w:t xml:space="preserve">Legal Lessons Learned:  With a minor MVA, it is difficult to understand the EMT’s claim that he lost hearing in both ears. </w:t>
      </w:r>
    </w:p>
    <w:bookmarkEnd w:id="245"/>
    <w:p w14:paraId="218FFA19" w14:textId="77777777" w:rsidR="002147DA" w:rsidRPr="000A5D76" w:rsidRDefault="002147DA" w:rsidP="002147DA">
      <w:pPr>
        <w:pStyle w:val="NoSpacing"/>
        <w:rPr>
          <w:rFonts w:ascii="Times New Roman" w:hAnsi="Times New Roman"/>
          <w:b/>
          <w:bCs/>
          <w:sz w:val="24"/>
          <w:szCs w:val="24"/>
        </w:rPr>
      </w:pPr>
    </w:p>
    <w:p w14:paraId="52DCF66F" w14:textId="77777777" w:rsidR="002147DA" w:rsidRDefault="002147DA" w:rsidP="00EF1133">
      <w:pPr>
        <w:rPr>
          <w:rFonts w:ascii="Arial Black" w:hAnsi="Arial Black"/>
          <w:b/>
          <w:sz w:val="24"/>
          <w:szCs w:val="24"/>
        </w:rPr>
      </w:pPr>
    </w:p>
    <w:p w14:paraId="107D2CBC" w14:textId="77777777" w:rsidR="002147DA" w:rsidRDefault="002147DA" w:rsidP="00EF1133">
      <w:pPr>
        <w:rPr>
          <w:rFonts w:ascii="Arial Black" w:hAnsi="Arial Black"/>
          <w:b/>
          <w:sz w:val="24"/>
          <w:szCs w:val="24"/>
        </w:rPr>
      </w:pPr>
    </w:p>
    <w:p w14:paraId="31257DA4" w14:textId="01E6DB71" w:rsidR="002147DA" w:rsidRDefault="002147DA" w:rsidP="00EF1133">
      <w:pPr>
        <w:rPr>
          <w:rFonts w:ascii="Arial Black" w:hAnsi="Arial Black"/>
          <w:b/>
          <w:sz w:val="24"/>
          <w:szCs w:val="24"/>
        </w:rPr>
      </w:pPr>
      <w:r>
        <w:rPr>
          <w:rFonts w:ascii="Arial Black" w:hAnsi="Arial Black"/>
          <w:b/>
          <w:sz w:val="24"/>
          <w:szCs w:val="24"/>
        </w:rPr>
        <w:t>6-38</w:t>
      </w:r>
    </w:p>
    <w:p w14:paraId="0A0CEA28" w14:textId="77777777" w:rsidR="002147DA" w:rsidRPr="00B71D71" w:rsidRDefault="002147DA" w:rsidP="002147DA">
      <w:pPr>
        <w:pStyle w:val="NoSpacing"/>
        <w:rPr>
          <w:rFonts w:ascii="Arial Black" w:hAnsi="Arial Black"/>
          <w:sz w:val="28"/>
          <w:szCs w:val="28"/>
        </w:rPr>
      </w:pPr>
      <w:r w:rsidRPr="00B71D71">
        <w:rPr>
          <w:rFonts w:ascii="Arial Black" w:hAnsi="Arial Black"/>
          <w:sz w:val="28"/>
          <w:szCs w:val="28"/>
        </w:rPr>
        <w:t xml:space="preserve">MD: </w:t>
      </w:r>
      <w:r>
        <w:rPr>
          <w:rFonts w:ascii="Arial Black" w:hAnsi="Arial Black"/>
          <w:sz w:val="28"/>
          <w:szCs w:val="28"/>
        </w:rPr>
        <w:t xml:space="preserve"> WORKER’S COMP – GRANTED FOR ANKLE INJURY – AFTER SHIFT SPENT NIGHT AT STATION – AUTHORIZED</w:t>
      </w:r>
    </w:p>
    <w:p w14:paraId="3AD8DA83" w14:textId="38226C02" w:rsidR="002147DA" w:rsidRDefault="002147DA" w:rsidP="002147DA">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April 7, 2020, in </w:t>
      </w:r>
      <w:r w:rsidRPr="00EC156E">
        <w:rPr>
          <w:rFonts w:ascii="Times New Roman" w:eastAsia="Times New Roman" w:hAnsi="Times New Roman"/>
          <w:sz w:val="24"/>
          <w:szCs w:val="24"/>
          <w:u w:val="single"/>
        </w:rPr>
        <w:t>Montgomery County, Maryland v. John T. Maloney</w:t>
      </w:r>
      <w:r>
        <w:rPr>
          <w:rFonts w:ascii="Times New Roman" w:eastAsia="Times New Roman" w:hAnsi="Times New Roman"/>
          <w:sz w:val="24"/>
          <w:szCs w:val="24"/>
        </w:rPr>
        <w:t xml:space="preserve">, the Court of Special Appeals of Maryland, held (3 to 0) that the FF, even though he was off duty, was entitled to workers comp, confirming the holdings of both the Workers Compensation Commission, and Circuit Court judge who held evidentiary hearing.    </w:t>
      </w:r>
    </w:p>
    <w:p w14:paraId="2C4397C7" w14:textId="77777777" w:rsidR="002147DA" w:rsidRDefault="002147DA" w:rsidP="002147D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B71D71">
        <w:rPr>
          <w:rFonts w:ascii="Times New Roman" w:eastAsia="Times New Roman" w:hAnsi="Times New Roman"/>
          <w:sz w:val="24"/>
          <w:szCs w:val="24"/>
        </w:rPr>
        <w:t xml:space="preserve">In Maryland, employers must compensate </w:t>
      </w:r>
      <w:r>
        <w:rPr>
          <w:rFonts w:ascii="Times New Roman" w:eastAsia="Times New Roman" w:hAnsi="Times New Roman"/>
          <w:sz w:val="24"/>
          <w:szCs w:val="24"/>
        </w:rPr>
        <w:t>‘</w:t>
      </w:r>
      <w:r w:rsidRPr="00B71D71">
        <w:rPr>
          <w:rFonts w:ascii="Times New Roman" w:eastAsia="Times New Roman" w:hAnsi="Times New Roman"/>
          <w:sz w:val="24"/>
          <w:szCs w:val="24"/>
        </w:rPr>
        <w:t>covered employee[s]</w:t>
      </w:r>
      <w:r>
        <w:rPr>
          <w:rFonts w:ascii="Times New Roman" w:eastAsia="Times New Roman" w:hAnsi="Times New Roman"/>
          <w:sz w:val="24"/>
          <w:szCs w:val="24"/>
        </w:rPr>
        <w:t>’</w:t>
      </w:r>
      <w:r w:rsidRPr="00B71D71">
        <w:rPr>
          <w:rFonts w:ascii="Times New Roman" w:eastAsia="Times New Roman" w:hAnsi="Times New Roman"/>
          <w:sz w:val="24"/>
          <w:szCs w:val="24"/>
        </w:rPr>
        <w:t xml:space="preserve"> for certain accidental personal injuries. Lab. &amp; </w:t>
      </w:r>
      <w:proofErr w:type="spellStart"/>
      <w:r w:rsidRPr="00B71D71">
        <w:rPr>
          <w:rFonts w:ascii="Times New Roman" w:eastAsia="Times New Roman" w:hAnsi="Times New Roman"/>
          <w:sz w:val="24"/>
          <w:szCs w:val="24"/>
        </w:rPr>
        <w:t>Empl</w:t>
      </w:r>
      <w:proofErr w:type="spellEnd"/>
      <w:r w:rsidRPr="00B71D71">
        <w:rPr>
          <w:rFonts w:ascii="Times New Roman" w:eastAsia="Times New Roman" w:hAnsi="Times New Roman"/>
          <w:sz w:val="24"/>
          <w:szCs w:val="24"/>
        </w:rPr>
        <w:t xml:space="preserve">. § 9-501. A compensable </w:t>
      </w:r>
      <w:r>
        <w:rPr>
          <w:rFonts w:ascii="Times New Roman" w:eastAsia="Times New Roman" w:hAnsi="Times New Roman"/>
          <w:sz w:val="24"/>
          <w:szCs w:val="24"/>
        </w:rPr>
        <w:t>‘</w:t>
      </w:r>
      <w:r w:rsidRPr="00B71D71">
        <w:rPr>
          <w:rFonts w:ascii="Times New Roman" w:eastAsia="Times New Roman" w:hAnsi="Times New Roman"/>
          <w:sz w:val="24"/>
          <w:szCs w:val="24"/>
        </w:rPr>
        <w:t>accidental personal injury</w:t>
      </w:r>
      <w:r>
        <w:rPr>
          <w:rFonts w:ascii="Times New Roman" w:eastAsia="Times New Roman" w:hAnsi="Times New Roman"/>
          <w:sz w:val="24"/>
          <w:szCs w:val="24"/>
        </w:rPr>
        <w:t>’</w:t>
      </w:r>
      <w:r w:rsidRPr="00B71D71">
        <w:rPr>
          <w:rFonts w:ascii="Times New Roman" w:eastAsia="Times New Roman" w:hAnsi="Times New Roman"/>
          <w:sz w:val="24"/>
          <w:szCs w:val="24"/>
        </w:rPr>
        <w:t xml:space="preserve"> is one that </w:t>
      </w:r>
      <w:r>
        <w:rPr>
          <w:rFonts w:ascii="Times New Roman" w:eastAsia="Times New Roman" w:hAnsi="Times New Roman"/>
          <w:sz w:val="24"/>
          <w:szCs w:val="24"/>
        </w:rPr>
        <w:t>‘</w:t>
      </w:r>
      <w:r w:rsidRPr="00B71D71">
        <w:rPr>
          <w:rFonts w:ascii="Times New Roman" w:eastAsia="Times New Roman" w:hAnsi="Times New Roman"/>
          <w:sz w:val="24"/>
          <w:szCs w:val="24"/>
        </w:rPr>
        <w:t>arises out of and in the course of employment.</w:t>
      </w:r>
      <w:r>
        <w:rPr>
          <w:rFonts w:ascii="Times New Roman" w:eastAsia="Times New Roman" w:hAnsi="Times New Roman"/>
          <w:sz w:val="24"/>
          <w:szCs w:val="24"/>
        </w:rPr>
        <w:t>’</w:t>
      </w:r>
      <w:r w:rsidRPr="00B71D71">
        <w:rPr>
          <w:rFonts w:ascii="Times New Roman" w:eastAsia="Times New Roman" w:hAnsi="Times New Roman"/>
          <w:sz w:val="24"/>
          <w:szCs w:val="24"/>
        </w:rPr>
        <w:t xml:space="preserve"> Lab. &amp; </w:t>
      </w:r>
      <w:proofErr w:type="spellStart"/>
      <w:r w:rsidRPr="00B71D71">
        <w:rPr>
          <w:rFonts w:ascii="Times New Roman" w:eastAsia="Times New Roman" w:hAnsi="Times New Roman"/>
          <w:sz w:val="24"/>
          <w:szCs w:val="24"/>
        </w:rPr>
        <w:t>Empl</w:t>
      </w:r>
      <w:proofErr w:type="spellEnd"/>
      <w:r w:rsidRPr="00B71D71">
        <w:rPr>
          <w:rFonts w:ascii="Times New Roman" w:eastAsia="Times New Roman" w:hAnsi="Times New Roman"/>
          <w:sz w:val="24"/>
          <w:szCs w:val="24"/>
        </w:rPr>
        <w:t xml:space="preserve">. § 9-101(b). At the end of the </w:t>
      </w:r>
      <w:r w:rsidRPr="00B71D71">
        <w:rPr>
          <w:rFonts w:ascii="Times New Roman" w:eastAsia="Times New Roman" w:hAnsi="Times New Roman"/>
          <w:i/>
          <w:iCs/>
          <w:sz w:val="24"/>
          <w:szCs w:val="24"/>
        </w:rPr>
        <w:t>de novo</w:t>
      </w:r>
      <w:r w:rsidRPr="00B71D71">
        <w:rPr>
          <w:rFonts w:ascii="Times New Roman" w:eastAsia="Times New Roman" w:hAnsi="Times New Roman"/>
          <w:sz w:val="24"/>
          <w:szCs w:val="24"/>
        </w:rPr>
        <w:t xml:space="preserve"> evidentiary hearing, the circuit court concluded that Maloney's firehouse injury met these criteria—that it arose out of and in the course of his employment. The County's second appellate contention is that this conclusion by the circuit court was in error. To support its position, the County focuses mainly on the </w:t>
      </w:r>
      <w:proofErr w:type="gramStart"/>
      <w:r w:rsidRPr="00B71D71">
        <w:rPr>
          <w:rFonts w:ascii="Times New Roman" w:eastAsia="Times New Roman" w:hAnsi="Times New Roman"/>
          <w:sz w:val="24"/>
          <w:szCs w:val="24"/>
        </w:rPr>
        <w:t>facts</w:t>
      </w:r>
      <w:proofErr w:type="gramEnd"/>
      <w:r>
        <w:rPr>
          <w:rFonts w:ascii="Times New Roman" w:eastAsia="Times New Roman" w:hAnsi="Times New Roman"/>
          <w:sz w:val="24"/>
          <w:szCs w:val="24"/>
        </w:rPr>
        <w:t xml:space="preserve"> </w:t>
      </w:r>
      <w:r w:rsidRPr="00B71D71">
        <w:rPr>
          <w:rFonts w:ascii="Times New Roman" w:eastAsia="Times New Roman" w:hAnsi="Times New Roman"/>
          <w:sz w:val="24"/>
          <w:szCs w:val="24"/>
        </w:rPr>
        <w:t>that Maloney was not on duty when he was injured, that he was not required to stay at Station 33 that night, and that he chose to stay there for his own convenience.</w:t>
      </w:r>
      <w:r>
        <w:rPr>
          <w:rFonts w:ascii="Times New Roman" w:eastAsia="Times New Roman" w:hAnsi="Times New Roman"/>
          <w:sz w:val="24"/>
          <w:szCs w:val="24"/>
        </w:rPr>
        <w:t xml:space="preserve"> </w:t>
      </w:r>
      <w:r w:rsidRPr="00B71D71">
        <w:rPr>
          <w:rFonts w:ascii="Times New Roman" w:eastAsia="Times New Roman" w:hAnsi="Times New Roman"/>
          <w:sz w:val="24"/>
          <w:szCs w:val="24"/>
        </w:rPr>
        <w:t>  These arguments are not persuasive.</w:t>
      </w:r>
      <w:r>
        <w:rPr>
          <w:rFonts w:ascii="Times New Roman" w:eastAsia="Times New Roman" w:hAnsi="Times New Roman"/>
          <w:sz w:val="24"/>
          <w:szCs w:val="24"/>
        </w:rPr>
        <w:t xml:space="preserve">” </w:t>
      </w:r>
      <w:hyperlink r:id="rId1288" w:history="1">
        <w:r w:rsidRPr="000B08B8">
          <w:rPr>
            <w:rStyle w:val="Hyperlink"/>
            <w:rFonts w:ascii="Times New Roman" w:hAnsi="Times New Roman"/>
            <w:sz w:val="24"/>
            <w:szCs w:val="24"/>
          </w:rPr>
          <w:t>https://public.fastcase.com/Wl%2B2t%2BeVuI35%2FN70vAMFZv4uc1sCbMG5dFxJ8lan7QREifr4yKlj8U3C7mB5N4Yr</w:t>
        </w:r>
      </w:hyperlink>
      <w:r>
        <w:rPr>
          <w:rFonts w:ascii="Times New Roman" w:eastAsia="Times New Roman" w:hAnsi="Times New Roman"/>
          <w:sz w:val="24"/>
          <w:szCs w:val="24"/>
        </w:rPr>
        <w:t xml:space="preserve"> </w:t>
      </w:r>
    </w:p>
    <w:p w14:paraId="73810425" w14:textId="77777777" w:rsidR="002147DA" w:rsidRPr="000A5D76" w:rsidRDefault="002147DA" w:rsidP="002147DA">
      <w:pPr>
        <w:pStyle w:val="NoSpacing"/>
        <w:rPr>
          <w:rFonts w:ascii="Times New Roman" w:eastAsia="Times New Roman" w:hAnsi="Times New Roman"/>
          <w:b/>
          <w:bCs/>
          <w:sz w:val="24"/>
          <w:szCs w:val="24"/>
        </w:rPr>
      </w:pPr>
      <w:r w:rsidRPr="000A5D76">
        <w:rPr>
          <w:rFonts w:ascii="Times New Roman" w:hAnsi="Times New Roman"/>
          <w:b/>
          <w:bCs/>
          <w:sz w:val="24"/>
          <w:szCs w:val="24"/>
        </w:rPr>
        <w:t xml:space="preserve">Legal Lessons Learned: Given the fact that off duty firefighters are routinely allowed to spend the night at a station, it is hard to understand why the County fought this claim. </w:t>
      </w:r>
    </w:p>
    <w:p w14:paraId="092C001F" w14:textId="77777777" w:rsidR="002147DA" w:rsidRDefault="002147DA" w:rsidP="00EF1133">
      <w:pPr>
        <w:rPr>
          <w:rFonts w:ascii="Arial Black" w:hAnsi="Arial Black"/>
          <w:b/>
          <w:sz w:val="24"/>
          <w:szCs w:val="24"/>
        </w:rPr>
      </w:pPr>
    </w:p>
    <w:p w14:paraId="6D5B2668" w14:textId="0651BF7E" w:rsidR="005F0E6D" w:rsidRDefault="005F0E6D" w:rsidP="00EF1133">
      <w:pPr>
        <w:rPr>
          <w:rFonts w:ascii="Arial Black" w:hAnsi="Arial Black"/>
          <w:b/>
          <w:sz w:val="24"/>
          <w:szCs w:val="24"/>
        </w:rPr>
      </w:pPr>
      <w:r>
        <w:rPr>
          <w:rFonts w:ascii="Arial Black" w:hAnsi="Arial Black"/>
          <w:b/>
          <w:sz w:val="24"/>
          <w:szCs w:val="24"/>
        </w:rPr>
        <w:t>6-37</w:t>
      </w:r>
    </w:p>
    <w:p w14:paraId="7CDDC22B" w14:textId="77777777" w:rsidR="002147DA" w:rsidRPr="00B21DE4" w:rsidRDefault="002147DA" w:rsidP="002147DA">
      <w:pPr>
        <w:pStyle w:val="NoSpacing"/>
        <w:rPr>
          <w:rFonts w:ascii="Arial Black" w:hAnsi="Arial Black"/>
          <w:sz w:val="28"/>
          <w:szCs w:val="28"/>
        </w:rPr>
      </w:pPr>
      <w:r w:rsidRPr="00B21DE4">
        <w:rPr>
          <w:rFonts w:ascii="Arial Black" w:hAnsi="Arial Black"/>
          <w:sz w:val="28"/>
          <w:szCs w:val="28"/>
        </w:rPr>
        <w:t>IL</w:t>
      </w:r>
      <w:r>
        <w:rPr>
          <w:rFonts w:ascii="Arial Black" w:hAnsi="Arial Black"/>
          <w:sz w:val="28"/>
          <w:szCs w:val="28"/>
        </w:rPr>
        <w:t xml:space="preserve">:  VILLAGE RESIDENCY REQ. – FIRED – MARRIED CHICAGO TEACHER, PRIMARY RESIDENCE NOT MOTHER’S HOUSE </w:t>
      </w:r>
    </w:p>
    <w:p w14:paraId="7569A9FB" w14:textId="536481C6" w:rsidR="002147DA" w:rsidRDefault="002147DA" w:rsidP="002147D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March 31, 2020, in </w:t>
      </w:r>
      <w:r w:rsidRPr="00B21DE4">
        <w:rPr>
          <w:rFonts w:ascii="Times New Roman" w:hAnsi="Times New Roman"/>
          <w:sz w:val="24"/>
          <w:szCs w:val="24"/>
          <w:u w:val="single"/>
        </w:rPr>
        <w:t>Anthony Figueroa v. The Board of Fire And Police Commissioners Of The Village of Melrose Park, Illinois</w:t>
      </w:r>
      <w:r>
        <w:rPr>
          <w:rFonts w:ascii="Times New Roman" w:hAnsi="Times New Roman"/>
          <w:sz w:val="24"/>
          <w:szCs w:val="24"/>
        </w:rPr>
        <w:t xml:space="preserve">, the Appellate Court of Illinois (First District) held (3 to 0) in unpublished decision, held that the trial judge in Circuit Court properly refused to overturn the Board’s decision to terminate the firefighter’s employment, even though he showed he had part-time residency in his mother’s home in the Village.  The room he used in his mother’s house was also used by his mother. </w:t>
      </w:r>
    </w:p>
    <w:p w14:paraId="35F115CA" w14:textId="71AB0BD3" w:rsidR="002147DA" w:rsidRDefault="002147DA" w:rsidP="002147DA">
      <w:pPr>
        <w:ind w:left="720"/>
        <w:rPr>
          <w:rFonts w:ascii="Arial Black" w:hAnsi="Arial Black"/>
          <w:b/>
          <w:sz w:val="24"/>
          <w:szCs w:val="24"/>
        </w:rPr>
      </w:pPr>
      <w:r>
        <w:rPr>
          <w:rFonts w:ascii="Times New Roman" w:hAnsi="Times New Roman"/>
          <w:sz w:val="24"/>
          <w:szCs w:val="24"/>
        </w:rPr>
        <w:t>“</w:t>
      </w:r>
      <w:r w:rsidRPr="00B21DE4">
        <w:rPr>
          <w:rFonts w:ascii="Times New Roman" w:hAnsi="Times New Roman"/>
          <w:sz w:val="24"/>
          <w:szCs w:val="24"/>
        </w:rPr>
        <w:t xml:space="preserve">Giving the statutory language its plain and ordinary meaning, the Village’s residency requirement clearly and unambiguously </w:t>
      </w:r>
      <w:proofErr w:type="gramStart"/>
      <w:r w:rsidRPr="00B21DE4">
        <w:rPr>
          <w:rFonts w:ascii="Times New Roman" w:hAnsi="Times New Roman"/>
          <w:sz w:val="24"/>
          <w:szCs w:val="24"/>
        </w:rPr>
        <w:t>provided that</w:t>
      </w:r>
      <w:proofErr w:type="gramEnd"/>
      <w:r w:rsidRPr="00B21DE4">
        <w:rPr>
          <w:rFonts w:ascii="Times New Roman" w:hAnsi="Times New Roman"/>
          <w:sz w:val="24"/>
          <w:szCs w:val="24"/>
        </w:rPr>
        <w:t xml:space="preserve"> Figueroa had to live within the boundaries of the Village in a home that was his primary or most important residence throughout his period of employment. Contrary </w:t>
      </w:r>
      <w:r w:rsidRPr="00B21DE4">
        <w:rPr>
          <w:rFonts w:ascii="Times New Roman" w:hAnsi="Times New Roman"/>
          <w:sz w:val="24"/>
          <w:szCs w:val="24"/>
        </w:rPr>
        <w:lastRenderedPageBreak/>
        <w:t>to Figueroa’s argument on appeal, the record establishes that the Board did not erroneously construe the ordinance to mean that he could not have more than one residence.</w:t>
      </w:r>
      <w:r>
        <w:rPr>
          <w:rFonts w:ascii="Times New Roman" w:hAnsi="Times New Roman"/>
          <w:sz w:val="24"/>
          <w:szCs w:val="24"/>
        </w:rPr>
        <w:t xml:space="preserve">”  </w:t>
      </w:r>
      <w:hyperlink r:id="rId1289" w:history="1">
        <w:r w:rsidRPr="00656322">
          <w:rPr>
            <w:rStyle w:val="Hyperlink"/>
            <w:rFonts w:ascii="Times New Roman" w:hAnsi="Times New Roman"/>
            <w:sz w:val="24"/>
            <w:szCs w:val="24"/>
          </w:rPr>
          <w:t>https://courts.illinois.gov/R23_Orders/AppellateCourt/2020/1stDistrict/1181708_R23.pdf</w:t>
        </w:r>
      </w:hyperlink>
    </w:p>
    <w:p w14:paraId="3C2361A7" w14:textId="77777777" w:rsidR="002147DA" w:rsidRPr="00AE3A49" w:rsidRDefault="002147DA" w:rsidP="002147DA">
      <w:pPr>
        <w:tabs>
          <w:tab w:val="left" w:pos="2930"/>
        </w:tabs>
        <w:spacing w:before="100" w:beforeAutospacing="1" w:after="100" w:afterAutospacing="1" w:line="240" w:lineRule="auto"/>
        <w:rPr>
          <w:rFonts w:ascii="Times New Roman" w:hAnsi="Times New Roman"/>
          <w:b/>
          <w:bCs/>
          <w:sz w:val="24"/>
          <w:szCs w:val="24"/>
        </w:rPr>
      </w:pPr>
      <w:r w:rsidRPr="00AE3A49">
        <w:rPr>
          <w:rFonts w:ascii="Times New Roman" w:hAnsi="Times New Roman"/>
          <w:b/>
          <w:bCs/>
          <w:sz w:val="24"/>
          <w:szCs w:val="24"/>
        </w:rPr>
        <w:t xml:space="preserve">Legal Lessons Learned: If the FF had purchased a home, or leased an apartment in the Village, took all his mail there, and kept Fire Chief informed, there may have never been charges brought. </w:t>
      </w:r>
    </w:p>
    <w:p w14:paraId="34660BE6" w14:textId="77777777" w:rsidR="002147DA" w:rsidRPr="00AE3A49" w:rsidRDefault="002147DA" w:rsidP="002147DA">
      <w:pPr>
        <w:pStyle w:val="NoSpacing"/>
        <w:ind w:left="720"/>
        <w:rPr>
          <w:rFonts w:ascii="Times New Roman" w:hAnsi="Times New Roman"/>
          <w:b/>
          <w:bCs/>
          <w:sz w:val="24"/>
          <w:szCs w:val="24"/>
        </w:rPr>
      </w:pPr>
      <w:r w:rsidRPr="00AE3A49">
        <w:rPr>
          <w:rFonts w:ascii="Times New Roman" w:hAnsi="Times New Roman"/>
          <w:bCs/>
          <w:sz w:val="24"/>
          <w:szCs w:val="24"/>
        </w:rPr>
        <w:t xml:space="preserve">Note: Some states, including Ohio, have abolished local residency requirements for emergency responders.  See Ohio Revised Code 9.481, “reside either in the county where the political subdivision is located or in any adjacent county in this state.” </w:t>
      </w:r>
      <w:hyperlink r:id="rId1290" w:history="1">
        <w:r w:rsidRPr="00AE3A49">
          <w:rPr>
            <w:rStyle w:val="Hyperlink"/>
            <w:rFonts w:ascii="Times New Roman" w:hAnsi="Times New Roman"/>
            <w:b/>
            <w:sz w:val="24"/>
            <w:szCs w:val="24"/>
          </w:rPr>
          <w:t>http://codes.ohio.gov/orc/gp9.481</w:t>
        </w:r>
      </w:hyperlink>
      <w:r w:rsidRPr="00AE3A49">
        <w:rPr>
          <w:rFonts w:ascii="Times New Roman" w:hAnsi="Times New Roman"/>
          <w:bCs/>
          <w:sz w:val="24"/>
          <w:szCs w:val="24"/>
        </w:rPr>
        <w:t xml:space="preserve"> </w:t>
      </w:r>
    </w:p>
    <w:p w14:paraId="3263228A" w14:textId="77777777" w:rsidR="005F0E6D" w:rsidRDefault="005F0E6D" w:rsidP="00EF1133">
      <w:pPr>
        <w:rPr>
          <w:rFonts w:ascii="Arial Black" w:hAnsi="Arial Black"/>
          <w:b/>
          <w:sz w:val="24"/>
          <w:szCs w:val="24"/>
        </w:rPr>
      </w:pPr>
    </w:p>
    <w:p w14:paraId="0FECC280" w14:textId="5CDD5718" w:rsidR="007540BD" w:rsidRDefault="007540BD" w:rsidP="00EF1133">
      <w:pPr>
        <w:rPr>
          <w:rFonts w:ascii="Arial Black" w:hAnsi="Arial Black"/>
          <w:b/>
          <w:sz w:val="24"/>
          <w:szCs w:val="24"/>
        </w:rPr>
      </w:pPr>
      <w:r>
        <w:rPr>
          <w:rFonts w:ascii="Arial Black" w:hAnsi="Arial Black"/>
          <w:b/>
          <w:sz w:val="24"/>
          <w:szCs w:val="24"/>
        </w:rPr>
        <w:t>6-36</w:t>
      </w:r>
    </w:p>
    <w:p w14:paraId="5B00557E" w14:textId="77777777" w:rsidR="007540BD" w:rsidRPr="00E81CA1" w:rsidRDefault="007540BD" w:rsidP="007540BD">
      <w:pPr>
        <w:spacing w:before="100" w:beforeAutospacing="1" w:after="100" w:afterAutospacing="1" w:line="240" w:lineRule="auto"/>
        <w:rPr>
          <w:rFonts w:ascii="Arial Black" w:eastAsia="Times New Roman" w:hAnsi="Arial Black"/>
          <w:b/>
          <w:bCs/>
          <w:sz w:val="28"/>
          <w:szCs w:val="28"/>
        </w:rPr>
      </w:pPr>
      <w:r w:rsidRPr="00E81CA1">
        <w:rPr>
          <w:rFonts w:ascii="Arial Black" w:eastAsia="Times New Roman" w:hAnsi="Arial Black"/>
          <w:b/>
          <w:bCs/>
          <w:sz w:val="28"/>
          <w:szCs w:val="28"/>
        </w:rPr>
        <w:t xml:space="preserve">TX: </w:t>
      </w:r>
      <w:r>
        <w:rPr>
          <w:rFonts w:ascii="Arial Black" w:eastAsia="Times New Roman" w:hAnsi="Arial Black"/>
          <w:b/>
          <w:bCs/>
          <w:sz w:val="28"/>
          <w:szCs w:val="28"/>
        </w:rPr>
        <w:t xml:space="preserve"> TESTICULAR CANCER – FF WORKERS COMP – CITY FAILED TO RAISE DEFENSE THAT FF DIDN’T FILE CLAIM WITHIN 1-YEAR </w:t>
      </w:r>
    </w:p>
    <w:p w14:paraId="36DCB9FC" w14:textId="77777777" w:rsidR="007540BD" w:rsidRDefault="007540BD" w:rsidP="007540BD">
      <w:pPr>
        <w:spacing w:before="100" w:beforeAutospacing="1" w:after="100" w:afterAutospacing="1" w:line="240" w:lineRule="auto"/>
        <w:rPr>
          <w:rFonts w:ascii="Times New Roman" w:eastAsia="Times New Roman" w:hAnsi="Times New Roman"/>
          <w:sz w:val="24"/>
          <w:szCs w:val="24"/>
        </w:rPr>
      </w:pPr>
      <w:r w:rsidRPr="009A62F9">
        <w:rPr>
          <w:rFonts w:ascii="Times New Roman" w:eastAsia="Times New Roman" w:hAnsi="Times New Roman"/>
          <w:sz w:val="24"/>
          <w:szCs w:val="24"/>
        </w:rPr>
        <w:t xml:space="preserve">On March 25, 2020, in </w:t>
      </w:r>
      <w:r w:rsidRPr="009A62F9">
        <w:rPr>
          <w:rFonts w:ascii="Times New Roman" w:eastAsia="Times New Roman" w:hAnsi="Times New Roman"/>
          <w:sz w:val="24"/>
          <w:szCs w:val="24"/>
          <w:u w:val="single"/>
        </w:rPr>
        <w:t>City of Dallas v. Gregory D. Thompson</w:t>
      </w:r>
      <w:r>
        <w:rPr>
          <w:rFonts w:ascii="Times New Roman" w:eastAsia="Times New Roman" w:hAnsi="Times New Roman"/>
          <w:sz w:val="24"/>
          <w:szCs w:val="24"/>
        </w:rPr>
        <w:t xml:space="preserve">, the Court of Appeals, Twelfth Court of Appeals District, Tyler, Texas held (3 to 0) that the firefighter is entitled to workers compensation coverage for his cancer. </w:t>
      </w:r>
    </w:p>
    <w:p w14:paraId="4CD7D203" w14:textId="77777777" w:rsidR="007540BD" w:rsidRDefault="007540BD" w:rsidP="007540BD">
      <w:pPr>
        <w:pStyle w:val="NoSpacing"/>
        <w:ind w:left="720"/>
        <w:rPr>
          <w:rFonts w:ascii="Times New Roman" w:hAnsi="Times New Roman"/>
          <w:bCs/>
          <w:sz w:val="24"/>
          <w:szCs w:val="24"/>
        </w:rPr>
      </w:pPr>
      <w:r w:rsidRPr="007C7258">
        <w:rPr>
          <w:rFonts w:ascii="Times New Roman" w:hAnsi="Times New Roman"/>
          <w:bCs/>
          <w:sz w:val="24"/>
          <w:szCs w:val="24"/>
        </w:rPr>
        <w:t xml:space="preserve">“The record supports the ALJ’s determination that Dallas did not raise its defense regarding Thompson’s failure to file a claim within one year of his injury within a reasonable amount of time after it became </w:t>
      </w:r>
    </w:p>
    <w:p w14:paraId="0EA09249" w14:textId="77777777" w:rsidR="007540BD" w:rsidRDefault="007540BD" w:rsidP="007540BD">
      <w:pPr>
        <w:pStyle w:val="NoSpacing"/>
        <w:rPr>
          <w:rFonts w:ascii="Times New Roman" w:hAnsi="Times New Roman"/>
          <w:bCs/>
          <w:sz w:val="24"/>
          <w:szCs w:val="24"/>
        </w:rPr>
      </w:pPr>
    </w:p>
    <w:p w14:paraId="4118C227" w14:textId="77777777" w:rsidR="007540BD" w:rsidRDefault="007540BD" w:rsidP="007540BD">
      <w:pPr>
        <w:pStyle w:val="NoSpacing"/>
        <w:rPr>
          <w:rFonts w:ascii="Times New Roman" w:hAnsi="Times New Roman"/>
          <w:bCs/>
          <w:sz w:val="24"/>
          <w:szCs w:val="24"/>
        </w:rPr>
      </w:pPr>
    </w:p>
    <w:p w14:paraId="6DDD1E84" w14:textId="77777777" w:rsidR="007540BD" w:rsidRDefault="007540BD" w:rsidP="007540BD">
      <w:pPr>
        <w:pStyle w:val="NoSpacing"/>
        <w:ind w:left="720"/>
        <w:rPr>
          <w:rFonts w:ascii="Times New Roman" w:hAnsi="Times New Roman"/>
          <w:bCs/>
          <w:sz w:val="24"/>
          <w:szCs w:val="24"/>
        </w:rPr>
      </w:pPr>
      <w:r w:rsidRPr="007C7258">
        <w:rPr>
          <w:rFonts w:ascii="Times New Roman" w:hAnsi="Times New Roman"/>
          <w:bCs/>
          <w:sz w:val="24"/>
          <w:szCs w:val="24"/>
        </w:rPr>
        <w:t xml:space="preserve">available. Therefore, Thompson showed as a matter of law that Dallas waived its one-year defense. Accordingly, the trial court did not err in denying Dallas’s motion for summary judgment and granting </w:t>
      </w:r>
    </w:p>
    <w:p w14:paraId="56E8B1AD" w14:textId="77777777" w:rsidR="007540BD" w:rsidRPr="007C7258" w:rsidRDefault="007540BD" w:rsidP="007540BD">
      <w:pPr>
        <w:pStyle w:val="NoSpacing"/>
        <w:ind w:left="720"/>
        <w:rPr>
          <w:rFonts w:ascii="Times New Roman" w:eastAsia="Times New Roman" w:hAnsi="Times New Roman"/>
          <w:b/>
          <w:bCs/>
          <w:sz w:val="24"/>
          <w:szCs w:val="24"/>
        </w:rPr>
      </w:pPr>
      <w:r w:rsidRPr="007C7258">
        <w:rPr>
          <w:rFonts w:ascii="Times New Roman" w:hAnsi="Times New Roman"/>
          <w:bCs/>
          <w:sz w:val="24"/>
          <w:szCs w:val="24"/>
        </w:rPr>
        <w:t xml:space="preserve">Thompson’s cross-motion for summary judgment.” </w:t>
      </w:r>
      <w:hyperlink r:id="rId1291" w:history="1">
        <w:r w:rsidRPr="007C7258">
          <w:rPr>
            <w:rStyle w:val="Hyperlink"/>
            <w:rFonts w:ascii="Times New Roman" w:hAnsi="Times New Roman"/>
            <w:b/>
            <w:sz w:val="24"/>
            <w:szCs w:val="24"/>
          </w:rPr>
          <w:t>http://www.search.txcourts.gov/SearchMedia.aspx?MediaVersionID=0d5f8f8d-dca0-42cf-9f3d-0b9f0ec4a868&amp;coa=coa12&amp;DT=Opinion&amp;MediaID=3cca35a6-dea2-4898-8844-a6d0a0f59f70</w:t>
        </w:r>
      </w:hyperlink>
    </w:p>
    <w:p w14:paraId="37F52047" w14:textId="77777777" w:rsidR="007540BD" w:rsidRPr="007C7258" w:rsidRDefault="007540BD" w:rsidP="007540BD">
      <w:pPr>
        <w:pStyle w:val="NoSpacing"/>
        <w:rPr>
          <w:rFonts w:ascii="Times New Roman" w:hAnsi="Times New Roman"/>
          <w:b/>
          <w:bCs/>
          <w:sz w:val="24"/>
          <w:szCs w:val="24"/>
        </w:rPr>
      </w:pPr>
    </w:p>
    <w:p w14:paraId="218A7C68" w14:textId="334F6FB2" w:rsidR="007540BD" w:rsidRDefault="007540BD" w:rsidP="00EF1133">
      <w:pPr>
        <w:rPr>
          <w:rFonts w:ascii="Arial Black" w:hAnsi="Arial Black"/>
          <w:b/>
          <w:sz w:val="24"/>
          <w:szCs w:val="24"/>
        </w:rPr>
      </w:pPr>
      <w:r w:rsidRPr="007C7258">
        <w:rPr>
          <w:rFonts w:ascii="Times New Roman" w:hAnsi="Times New Roman"/>
          <w:b/>
          <w:bCs/>
          <w:sz w:val="24"/>
          <w:szCs w:val="24"/>
        </w:rPr>
        <w:t>Legal Lessons Learned:  Many states have now enacted a “statutory presumption” regarding firefighter cancer</w:t>
      </w:r>
      <w:r w:rsidRPr="007C7258">
        <w:rPr>
          <w:rFonts w:ascii="Times New Roman" w:hAnsi="Times New Roman"/>
          <w:sz w:val="24"/>
          <w:szCs w:val="24"/>
        </w:rPr>
        <w:t xml:space="preserve">.  </w:t>
      </w:r>
      <w:r w:rsidRPr="007C7258">
        <w:rPr>
          <w:rFonts w:ascii="Times New Roman" w:hAnsi="Times New Roman"/>
          <w:bCs/>
          <w:sz w:val="24"/>
          <w:szCs w:val="24"/>
        </w:rPr>
        <w:t xml:space="preserve">See list of 33 states with statutory presumption statutes: </w:t>
      </w:r>
      <w:hyperlink r:id="rId1292" w:history="1">
        <w:r w:rsidRPr="007C7258">
          <w:rPr>
            <w:rStyle w:val="Hyperlink"/>
            <w:rFonts w:ascii="Times New Roman" w:hAnsi="Times New Roman"/>
            <w:b/>
            <w:sz w:val="24"/>
            <w:szCs w:val="24"/>
          </w:rPr>
          <w:t>https://www.firstrespondercenter.org/cancer/toolsresources/presumptive-legislation-firefighter-cancer-state/</w:t>
        </w:r>
      </w:hyperlink>
    </w:p>
    <w:p w14:paraId="3645B285" w14:textId="77777777" w:rsidR="007540BD" w:rsidRDefault="007540BD" w:rsidP="00A06387">
      <w:pPr>
        <w:pStyle w:val="NoSpacing"/>
        <w:rPr>
          <w:rFonts w:ascii="Arial Black" w:hAnsi="Arial Black"/>
          <w:sz w:val="28"/>
          <w:szCs w:val="28"/>
        </w:rPr>
      </w:pPr>
    </w:p>
    <w:p w14:paraId="39FFD0B3" w14:textId="0880F60A" w:rsidR="007540BD" w:rsidRDefault="007540BD" w:rsidP="00A06387">
      <w:pPr>
        <w:pStyle w:val="NoSpacing"/>
        <w:rPr>
          <w:rFonts w:ascii="Arial Black" w:hAnsi="Arial Black"/>
          <w:sz w:val="28"/>
          <w:szCs w:val="28"/>
        </w:rPr>
      </w:pPr>
      <w:r>
        <w:rPr>
          <w:rFonts w:ascii="Arial Black" w:hAnsi="Arial Black"/>
          <w:sz w:val="28"/>
          <w:szCs w:val="28"/>
        </w:rPr>
        <w:t>6-35</w:t>
      </w:r>
    </w:p>
    <w:p w14:paraId="566B8DA9" w14:textId="772676CA" w:rsidR="007540BD" w:rsidRDefault="007540BD" w:rsidP="00A06387">
      <w:pPr>
        <w:pStyle w:val="NoSpacing"/>
        <w:rPr>
          <w:rFonts w:ascii="Arial Black" w:hAnsi="Arial Black"/>
          <w:sz w:val="28"/>
          <w:szCs w:val="28"/>
        </w:rPr>
      </w:pPr>
    </w:p>
    <w:p w14:paraId="2ABB613A" w14:textId="77777777" w:rsidR="007540BD" w:rsidRPr="001456AA" w:rsidRDefault="007540BD" w:rsidP="007540BD">
      <w:pPr>
        <w:pStyle w:val="NoSpacing"/>
        <w:rPr>
          <w:rFonts w:ascii="Arial Black" w:hAnsi="Arial Black"/>
          <w:sz w:val="28"/>
          <w:szCs w:val="28"/>
        </w:rPr>
      </w:pPr>
      <w:r w:rsidRPr="001456AA">
        <w:rPr>
          <w:rFonts w:ascii="Arial Black" w:hAnsi="Arial Black"/>
          <w:sz w:val="28"/>
          <w:szCs w:val="28"/>
        </w:rPr>
        <w:t xml:space="preserve">IL: </w:t>
      </w:r>
      <w:r>
        <w:rPr>
          <w:rFonts w:ascii="Arial Black" w:hAnsi="Arial Black"/>
          <w:sz w:val="28"/>
          <w:szCs w:val="28"/>
        </w:rPr>
        <w:t>MANDATORY RETIREMENT FOR CHICAGO FF – AGE 63 – FF’S AGE DISCRIMINATION CASE DISMISSED</w:t>
      </w:r>
    </w:p>
    <w:p w14:paraId="718DBCBE" w14:textId="77777777" w:rsidR="007540BD" w:rsidRDefault="007540BD" w:rsidP="007540BD">
      <w:pPr>
        <w:pStyle w:val="NoSpacing"/>
      </w:pPr>
    </w:p>
    <w:p w14:paraId="658EBA95" w14:textId="77777777" w:rsidR="007540BD" w:rsidRPr="00E32D40" w:rsidRDefault="007540BD" w:rsidP="007540BD">
      <w:pPr>
        <w:pStyle w:val="NoSpacing"/>
        <w:rPr>
          <w:rFonts w:ascii="Times New Roman" w:hAnsi="Times New Roman"/>
          <w:b/>
          <w:bCs/>
          <w:sz w:val="24"/>
          <w:szCs w:val="24"/>
        </w:rPr>
      </w:pPr>
      <w:r w:rsidRPr="00E32D40">
        <w:rPr>
          <w:rFonts w:ascii="Times New Roman" w:hAnsi="Times New Roman"/>
          <w:bCs/>
          <w:sz w:val="24"/>
          <w:szCs w:val="24"/>
        </w:rPr>
        <w:t xml:space="preserve">On March 25, 2020, in </w:t>
      </w:r>
      <w:r w:rsidRPr="00E32D40">
        <w:rPr>
          <w:rFonts w:ascii="Times New Roman" w:hAnsi="Times New Roman"/>
          <w:bCs/>
          <w:sz w:val="24"/>
          <w:szCs w:val="24"/>
          <w:u w:val="single"/>
        </w:rPr>
        <w:t>Gerald Barry v. City of Chicago</w:t>
      </w:r>
      <w:r w:rsidRPr="00E32D40">
        <w:rPr>
          <w:rFonts w:ascii="Times New Roman" w:hAnsi="Times New Roman"/>
          <w:bCs/>
          <w:sz w:val="24"/>
          <w:szCs w:val="24"/>
        </w:rPr>
        <w:t xml:space="preserve">, U.S. District Court Judge John Robert Blakey, U.S. District Court for the Northern District of Illinois, Eastern Division, granted the City’s motion to dismiss.  This is his fourth amended complaint; the first three were dismissed because he failed to file an EEOC complaint within 300 days of the alleged discriminatory events.   </w:t>
      </w:r>
    </w:p>
    <w:p w14:paraId="2F98E62F" w14:textId="77777777" w:rsidR="007540BD" w:rsidRDefault="007540BD" w:rsidP="007540BD">
      <w:pPr>
        <w:pStyle w:val="NoSpacing"/>
        <w:rPr>
          <w:b/>
          <w:bCs/>
          <w:sz w:val="24"/>
          <w:szCs w:val="24"/>
        </w:rPr>
      </w:pPr>
    </w:p>
    <w:p w14:paraId="17C35CD0"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lastRenderedPageBreak/>
        <w:t>“Consistent with this new allegation, the operative complaint alleges that, on April 1, 2018, Plaintiff ‘lost the health care coverage that he had from the City of Chicago, resulting in a significant diminishment of his benefits.’ [39] at 5. He alleges that the loss of health care benefits is ‘consequential to the misapplication of the Mandatory Retirement Ordinance’ and that the City's decision to take away his health care coverage violates his rights under the ‘Lilly Ledbetter amendment to the Equal Pay Act.’</w:t>
      </w:r>
    </w:p>
    <w:p w14:paraId="3CCC52D5" w14:textId="77777777" w:rsidR="007540BD" w:rsidRPr="007C7258" w:rsidRDefault="007540BD" w:rsidP="007540BD">
      <w:pPr>
        <w:pStyle w:val="NoSpacing"/>
        <w:ind w:left="720"/>
        <w:rPr>
          <w:rFonts w:ascii="Times New Roman" w:hAnsi="Times New Roman"/>
          <w:b/>
          <w:bCs/>
          <w:sz w:val="24"/>
          <w:szCs w:val="24"/>
        </w:rPr>
      </w:pPr>
    </w:p>
    <w:p w14:paraId="059282DC"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w:t>
      </w:r>
    </w:p>
    <w:p w14:paraId="60B2DE5A" w14:textId="77777777" w:rsidR="007540BD" w:rsidRPr="007C7258" w:rsidRDefault="007540BD" w:rsidP="007540BD">
      <w:pPr>
        <w:pStyle w:val="NoSpacing"/>
        <w:ind w:left="720"/>
        <w:rPr>
          <w:rFonts w:ascii="Times New Roman" w:hAnsi="Times New Roman"/>
          <w:b/>
          <w:bCs/>
          <w:sz w:val="24"/>
          <w:szCs w:val="24"/>
        </w:rPr>
      </w:pPr>
    </w:p>
    <w:p w14:paraId="490917E2"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 xml:space="preserve">Thus, to state a claim under the ADEA, Plaintiff must at least allege that age was the reason for the challenged adverse employment action. </w:t>
      </w:r>
      <w:r w:rsidRPr="007C7258">
        <w:rPr>
          <w:rFonts w:ascii="Times New Roman" w:hAnsi="Times New Roman"/>
          <w:bCs/>
          <w:i/>
          <w:iCs/>
          <w:sz w:val="24"/>
          <w:szCs w:val="24"/>
        </w:rPr>
        <w:t>E</w:t>
      </w:r>
      <w:r w:rsidRPr="007C7258">
        <w:rPr>
          <w:rFonts w:ascii="Times New Roman" w:hAnsi="Times New Roman"/>
          <w:bCs/>
          <w:sz w:val="24"/>
          <w:szCs w:val="24"/>
        </w:rPr>
        <w:t>.</w:t>
      </w:r>
      <w:r w:rsidRPr="007C7258">
        <w:rPr>
          <w:rFonts w:ascii="Times New Roman" w:hAnsi="Times New Roman"/>
          <w:bCs/>
          <w:i/>
          <w:iCs/>
          <w:sz w:val="24"/>
          <w:szCs w:val="24"/>
        </w:rPr>
        <w:t>g</w:t>
      </w:r>
      <w:r w:rsidRPr="007C7258">
        <w:rPr>
          <w:rFonts w:ascii="Times New Roman" w:hAnsi="Times New Roman"/>
          <w:bCs/>
          <w:sz w:val="24"/>
          <w:szCs w:val="24"/>
        </w:rPr>
        <w:t xml:space="preserve">., </w:t>
      </w:r>
      <w:r w:rsidRPr="007C7258">
        <w:rPr>
          <w:rFonts w:ascii="Times New Roman" w:hAnsi="Times New Roman"/>
          <w:bCs/>
          <w:i/>
          <w:iCs/>
          <w:sz w:val="24"/>
          <w:szCs w:val="24"/>
        </w:rPr>
        <w:t>Gross v</w:t>
      </w:r>
      <w:r w:rsidRPr="007C7258">
        <w:rPr>
          <w:rFonts w:ascii="Times New Roman" w:hAnsi="Times New Roman"/>
          <w:bCs/>
          <w:sz w:val="24"/>
          <w:szCs w:val="24"/>
        </w:rPr>
        <w:t xml:space="preserve">. </w:t>
      </w:r>
      <w:r w:rsidRPr="007C7258">
        <w:rPr>
          <w:rFonts w:ascii="Times New Roman" w:hAnsi="Times New Roman"/>
          <w:bCs/>
          <w:i/>
          <w:iCs/>
          <w:sz w:val="24"/>
          <w:szCs w:val="24"/>
        </w:rPr>
        <w:t>FBL Fin</w:t>
      </w:r>
      <w:r w:rsidRPr="007C7258">
        <w:rPr>
          <w:rFonts w:ascii="Times New Roman" w:hAnsi="Times New Roman"/>
          <w:bCs/>
          <w:sz w:val="24"/>
          <w:szCs w:val="24"/>
        </w:rPr>
        <w:t xml:space="preserve">. </w:t>
      </w:r>
      <w:r w:rsidRPr="007C7258">
        <w:rPr>
          <w:rFonts w:ascii="Times New Roman" w:hAnsi="Times New Roman"/>
          <w:bCs/>
          <w:i/>
          <w:iCs/>
          <w:sz w:val="24"/>
          <w:szCs w:val="24"/>
        </w:rPr>
        <w:t>Servs</w:t>
      </w:r>
      <w:r w:rsidRPr="007C7258">
        <w:rPr>
          <w:rFonts w:ascii="Times New Roman" w:hAnsi="Times New Roman"/>
          <w:bCs/>
          <w:sz w:val="24"/>
          <w:szCs w:val="24"/>
        </w:rPr>
        <w:t xml:space="preserve">., </w:t>
      </w:r>
      <w:r w:rsidRPr="007C7258">
        <w:rPr>
          <w:rFonts w:ascii="Times New Roman" w:hAnsi="Times New Roman"/>
          <w:bCs/>
          <w:i/>
          <w:iCs/>
          <w:sz w:val="24"/>
          <w:szCs w:val="24"/>
        </w:rPr>
        <w:t>Inc</w:t>
      </w:r>
      <w:r w:rsidRPr="007C7258">
        <w:rPr>
          <w:rFonts w:ascii="Times New Roman" w:hAnsi="Times New Roman"/>
          <w:bCs/>
          <w:sz w:val="24"/>
          <w:szCs w:val="24"/>
        </w:rPr>
        <w:t xml:space="preserve">., 557 U.S. 167, 180 (2009). And such an allegation is wholly absent here. Plaintiff checked the box marked ‘age’ on the Court's form employment discrimination complaint, </w:t>
      </w:r>
      <w:r w:rsidRPr="007C7258">
        <w:rPr>
          <w:rFonts w:ascii="Times New Roman" w:hAnsi="Times New Roman"/>
          <w:bCs/>
          <w:i/>
          <w:iCs/>
          <w:sz w:val="24"/>
          <w:szCs w:val="24"/>
        </w:rPr>
        <w:t>see</w:t>
      </w:r>
      <w:r w:rsidRPr="007C7258">
        <w:rPr>
          <w:rFonts w:ascii="Times New Roman" w:hAnsi="Times New Roman"/>
          <w:bCs/>
          <w:sz w:val="24"/>
          <w:szCs w:val="24"/>
        </w:rPr>
        <w:t xml:space="preserve"> [39] at 3; Case No. 19 C 2275, [1] at 3, but he fails to allege any facts to support an age discrimination claim. He alleges that the loss of health care coverage ‘was a violation of his rights under the Lilly Ledbetter amendment to the Equal Pay Act,’ [39] at 5; [1] at 5, but he does not say why or how. He alleges that the loss of health care: resulted ‘from the discriminatory mandatory retirement on April 16, 2016’; was ‘consequential to the misapplication of the Mandatory Retirement Ordinance’; and was part of a "continual effort of discrimination." [39] at 5; [1] at 5. But he never explains why the forced retirement constituted </w:t>
      </w:r>
      <w:proofErr w:type="gramStart"/>
      <w:r w:rsidRPr="007C7258">
        <w:rPr>
          <w:rFonts w:ascii="Times New Roman" w:hAnsi="Times New Roman"/>
          <w:bCs/>
          <w:sz w:val="24"/>
          <w:szCs w:val="24"/>
        </w:rPr>
        <w:t>a discriminatory</w:t>
      </w:r>
      <w:proofErr w:type="gramEnd"/>
      <w:r w:rsidRPr="007C7258">
        <w:rPr>
          <w:rFonts w:ascii="Times New Roman" w:hAnsi="Times New Roman"/>
          <w:bCs/>
          <w:sz w:val="24"/>
          <w:szCs w:val="24"/>
        </w:rPr>
        <w:t xml:space="preserve"> action or how the </w:t>
      </w:r>
      <w:proofErr w:type="gramStart"/>
      <w:r w:rsidRPr="007C7258">
        <w:rPr>
          <w:rFonts w:ascii="Times New Roman" w:hAnsi="Times New Roman"/>
          <w:bCs/>
          <w:sz w:val="24"/>
          <w:szCs w:val="24"/>
        </w:rPr>
        <w:t>City</w:t>
      </w:r>
      <w:proofErr w:type="gramEnd"/>
      <w:r w:rsidRPr="007C7258">
        <w:rPr>
          <w:rFonts w:ascii="Times New Roman" w:hAnsi="Times New Roman"/>
          <w:bCs/>
          <w:sz w:val="24"/>
          <w:szCs w:val="24"/>
        </w:rPr>
        <w:t xml:space="preserve"> misapplied the MRO.</w:t>
      </w:r>
    </w:p>
    <w:p w14:paraId="7CE6163C" w14:textId="77777777" w:rsidR="007540BD" w:rsidRPr="007C7258" w:rsidRDefault="007540BD" w:rsidP="007540BD">
      <w:pPr>
        <w:pStyle w:val="NoSpacing"/>
        <w:ind w:left="720"/>
        <w:rPr>
          <w:rFonts w:ascii="Times New Roman" w:hAnsi="Times New Roman"/>
          <w:b/>
          <w:bCs/>
          <w:sz w:val="24"/>
          <w:szCs w:val="24"/>
        </w:rPr>
      </w:pPr>
      <w:hyperlink r:id="rId1293" w:history="1">
        <w:r w:rsidRPr="007C7258">
          <w:rPr>
            <w:rStyle w:val="Hyperlink"/>
            <w:rFonts w:ascii="Times New Roman" w:hAnsi="Times New Roman"/>
            <w:b/>
            <w:sz w:val="24"/>
            <w:szCs w:val="24"/>
          </w:rPr>
          <w:t>https://public.fastcase.com/Wl%2B2t%2BeVuI35%2FN70vAMFZqIZGQiBixrRs%2FhIZFdJSEICCexWSoup5Rgc2fSfyUDA</w:t>
        </w:r>
      </w:hyperlink>
      <w:r w:rsidRPr="007C7258">
        <w:rPr>
          <w:rFonts w:ascii="Times New Roman" w:hAnsi="Times New Roman"/>
          <w:bCs/>
          <w:sz w:val="24"/>
          <w:szCs w:val="24"/>
        </w:rPr>
        <w:t xml:space="preserve"> </w:t>
      </w:r>
    </w:p>
    <w:p w14:paraId="21EFF389" w14:textId="77777777" w:rsidR="007540BD" w:rsidRPr="007C7258" w:rsidRDefault="007540BD" w:rsidP="007540BD">
      <w:pPr>
        <w:pStyle w:val="NoSpacing"/>
        <w:ind w:left="720"/>
        <w:rPr>
          <w:rFonts w:ascii="Times New Roman" w:hAnsi="Times New Roman"/>
          <w:b/>
          <w:bCs/>
          <w:sz w:val="24"/>
          <w:szCs w:val="24"/>
        </w:rPr>
      </w:pPr>
    </w:p>
    <w:p w14:paraId="0D5E8C70"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 xml:space="preserve">Note: “As of December 31, 2000, the CFD’s compulsory retirement age is 63 for firefighters. There is no current compulsory retirement age for paramedics.” </w:t>
      </w:r>
      <w:hyperlink r:id="rId1294" w:history="1">
        <w:r w:rsidRPr="007C7258">
          <w:rPr>
            <w:rStyle w:val="Hyperlink"/>
            <w:rFonts w:ascii="Times New Roman" w:hAnsi="Times New Roman"/>
            <w:b/>
            <w:sz w:val="24"/>
            <w:szCs w:val="24"/>
          </w:rPr>
          <w:t>https://www.fabf.org/PDF/SummaryOfBenefits.pdf</w:t>
        </w:r>
      </w:hyperlink>
    </w:p>
    <w:p w14:paraId="7F3E6AF7" w14:textId="77777777" w:rsidR="007540BD" w:rsidRPr="007C7258" w:rsidRDefault="007540BD" w:rsidP="007540BD">
      <w:pPr>
        <w:pStyle w:val="NoSpacing"/>
        <w:ind w:left="720"/>
        <w:rPr>
          <w:rFonts w:ascii="Times New Roman" w:hAnsi="Times New Roman"/>
          <w:b/>
          <w:bCs/>
          <w:sz w:val="24"/>
          <w:szCs w:val="24"/>
        </w:rPr>
      </w:pPr>
    </w:p>
    <w:p w14:paraId="7D3E9A7A" w14:textId="77777777" w:rsidR="007540BD" w:rsidRPr="007C7258" w:rsidRDefault="007540BD" w:rsidP="007540BD">
      <w:pPr>
        <w:pStyle w:val="NoSpacing"/>
        <w:rPr>
          <w:rFonts w:ascii="Times New Roman" w:hAnsi="Times New Roman"/>
          <w:b/>
          <w:bCs/>
          <w:sz w:val="24"/>
          <w:szCs w:val="24"/>
        </w:rPr>
      </w:pPr>
      <w:r w:rsidRPr="007C7258">
        <w:rPr>
          <w:rFonts w:ascii="Times New Roman" w:hAnsi="Times New Roman"/>
          <w:b/>
          <w:bCs/>
          <w:sz w:val="24"/>
          <w:szCs w:val="24"/>
        </w:rPr>
        <w:t xml:space="preserve">Legal Lessons Learned: </w:t>
      </w:r>
      <w:r>
        <w:rPr>
          <w:rFonts w:ascii="Times New Roman" w:hAnsi="Times New Roman"/>
          <w:b/>
          <w:bCs/>
          <w:sz w:val="24"/>
          <w:szCs w:val="24"/>
        </w:rPr>
        <w:t xml:space="preserve">A city ordinance mandating a </w:t>
      </w:r>
      <w:r w:rsidRPr="007C7258">
        <w:rPr>
          <w:rFonts w:ascii="Times New Roman" w:hAnsi="Times New Roman"/>
          <w:b/>
          <w:bCs/>
          <w:sz w:val="24"/>
          <w:szCs w:val="24"/>
        </w:rPr>
        <w:t xml:space="preserve">retirement age for firefighters does not violate the Age Discrimination in Employment Act of 1967, or the </w:t>
      </w:r>
      <w:r w:rsidRPr="007C7258">
        <w:rPr>
          <w:rFonts w:ascii="Times New Roman" w:eastAsia="Times New Roman" w:hAnsi="Times New Roman"/>
          <w:b/>
          <w:bCs/>
          <w:sz w:val="24"/>
          <w:szCs w:val="24"/>
        </w:rPr>
        <w:t>Lilly Ledbetter Fair Pay Act of 2009.</w:t>
      </w:r>
    </w:p>
    <w:p w14:paraId="19A820E4" w14:textId="77777777" w:rsidR="007540BD" w:rsidRDefault="007540BD" w:rsidP="00A06387">
      <w:pPr>
        <w:pStyle w:val="NoSpacing"/>
        <w:rPr>
          <w:rFonts w:ascii="Arial Black" w:hAnsi="Arial Black"/>
          <w:sz w:val="28"/>
          <w:szCs w:val="28"/>
        </w:rPr>
      </w:pPr>
    </w:p>
    <w:p w14:paraId="72A3C127" w14:textId="77777777" w:rsidR="007540BD" w:rsidRDefault="007540BD" w:rsidP="00A06387">
      <w:pPr>
        <w:pStyle w:val="NoSpacing"/>
        <w:rPr>
          <w:rFonts w:ascii="Arial Black" w:hAnsi="Arial Black"/>
          <w:sz w:val="28"/>
          <w:szCs w:val="28"/>
        </w:rPr>
      </w:pPr>
    </w:p>
    <w:p w14:paraId="2432ADEA" w14:textId="77777777" w:rsidR="007540BD" w:rsidRDefault="007540BD" w:rsidP="00A06387">
      <w:pPr>
        <w:pStyle w:val="NoSpacing"/>
        <w:rPr>
          <w:rFonts w:ascii="Arial Black" w:hAnsi="Arial Black"/>
          <w:sz w:val="28"/>
          <w:szCs w:val="28"/>
        </w:rPr>
      </w:pPr>
    </w:p>
    <w:p w14:paraId="33A2F0A2" w14:textId="0F35F633" w:rsidR="007540BD" w:rsidRDefault="007540BD" w:rsidP="00A06387">
      <w:pPr>
        <w:pStyle w:val="NoSpacing"/>
        <w:rPr>
          <w:rFonts w:ascii="Arial Black" w:hAnsi="Arial Black"/>
          <w:sz w:val="28"/>
          <w:szCs w:val="28"/>
        </w:rPr>
      </w:pPr>
      <w:r>
        <w:rPr>
          <w:rFonts w:ascii="Arial Black" w:hAnsi="Arial Black"/>
          <w:sz w:val="28"/>
          <w:szCs w:val="28"/>
        </w:rPr>
        <w:t>6-34</w:t>
      </w:r>
    </w:p>
    <w:p w14:paraId="7BC4ED62" w14:textId="4CD3CFB2" w:rsidR="007540BD" w:rsidRDefault="007540BD" w:rsidP="00A06387">
      <w:pPr>
        <w:pStyle w:val="NoSpacing"/>
        <w:rPr>
          <w:rFonts w:ascii="Arial Black" w:hAnsi="Arial Black"/>
          <w:sz w:val="28"/>
          <w:szCs w:val="28"/>
        </w:rPr>
      </w:pPr>
    </w:p>
    <w:p w14:paraId="7C603A6D" w14:textId="77777777" w:rsidR="007540BD" w:rsidRPr="00651DAF" w:rsidRDefault="007540BD" w:rsidP="007540BD">
      <w:pPr>
        <w:pStyle w:val="NoSpacing"/>
        <w:rPr>
          <w:rFonts w:ascii="Arial Black" w:hAnsi="Arial Black"/>
          <w:b/>
          <w:bCs/>
          <w:sz w:val="28"/>
          <w:szCs w:val="28"/>
        </w:rPr>
      </w:pPr>
      <w:r w:rsidRPr="00651DAF">
        <w:rPr>
          <w:rFonts w:ascii="Arial Black" w:hAnsi="Arial Black"/>
          <w:bCs/>
          <w:sz w:val="28"/>
          <w:szCs w:val="28"/>
        </w:rPr>
        <w:t xml:space="preserve">CT: </w:t>
      </w:r>
      <w:r>
        <w:rPr>
          <w:rFonts w:ascii="Arial Black" w:hAnsi="Arial Black"/>
          <w:bCs/>
          <w:sz w:val="28"/>
          <w:szCs w:val="28"/>
        </w:rPr>
        <w:t xml:space="preserve">RETIRED FF – WORKER’S COMP FOR HYPERTENSION – NOW CORONARY ARTERY DISEASE IS ALSO COVERED </w:t>
      </w:r>
    </w:p>
    <w:p w14:paraId="12AE5452" w14:textId="77777777" w:rsidR="007540BD" w:rsidRDefault="007540BD" w:rsidP="007540BD">
      <w:pPr>
        <w:pStyle w:val="NoSpacing"/>
        <w:rPr>
          <w:b/>
          <w:bCs/>
          <w:sz w:val="24"/>
          <w:szCs w:val="24"/>
        </w:rPr>
      </w:pPr>
    </w:p>
    <w:p w14:paraId="44E596D8" w14:textId="77777777" w:rsidR="007540BD" w:rsidRPr="00E0273B" w:rsidRDefault="007540BD" w:rsidP="007540BD">
      <w:pPr>
        <w:pStyle w:val="NoSpacing"/>
        <w:rPr>
          <w:rFonts w:ascii="Times New Roman" w:hAnsi="Times New Roman"/>
          <w:b/>
          <w:bCs/>
          <w:sz w:val="24"/>
          <w:szCs w:val="24"/>
        </w:rPr>
      </w:pPr>
      <w:r w:rsidRPr="00E0273B">
        <w:rPr>
          <w:rFonts w:ascii="Times New Roman" w:hAnsi="Times New Roman"/>
          <w:bCs/>
          <w:sz w:val="24"/>
          <w:szCs w:val="24"/>
        </w:rPr>
        <w:t xml:space="preserve">On March 10, 2020, in </w:t>
      </w:r>
      <w:r w:rsidRPr="00E0273B">
        <w:rPr>
          <w:rFonts w:ascii="Times New Roman" w:hAnsi="Times New Roman"/>
          <w:bCs/>
          <w:sz w:val="24"/>
          <w:szCs w:val="24"/>
          <w:u w:val="single"/>
        </w:rPr>
        <w:t>John Coughlin v. Stamford Fire Department, et al</w:t>
      </w:r>
      <w:r w:rsidRPr="00E0273B">
        <w:rPr>
          <w:rFonts w:ascii="Times New Roman" w:hAnsi="Times New Roman"/>
          <w:bCs/>
          <w:sz w:val="24"/>
          <w:szCs w:val="24"/>
        </w:rPr>
        <w:t xml:space="preserve">., the Supreme Court of Connecticut held (7 to 0) that a firefighter who had a compensable </w:t>
      </w:r>
      <w:proofErr w:type="gramStart"/>
      <w:r w:rsidRPr="00E0273B">
        <w:rPr>
          <w:rFonts w:ascii="Times New Roman" w:hAnsi="Times New Roman"/>
          <w:bCs/>
          <w:sz w:val="24"/>
          <w:szCs w:val="24"/>
        </w:rPr>
        <w:t>workers</w:t>
      </w:r>
      <w:proofErr w:type="gramEnd"/>
      <w:r w:rsidRPr="00E0273B">
        <w:rPr>
          <w:rFonts w:ascii="Times New Roman" w:hAnsi="Times New Roman"/>
          <w:bCs/>
          <w:sz w:val="24"/>
          <w:szCs w:val="24"/>
        </w:rPr>
        <w:t xml:space="preserve"> comp claim approved in 2011, and retired in 2013, is also covered for heart disease detected after his retirement. </w:t>
      </w:r>
    </w:p>
    <w:p w14:paraId="36D8BA21" w14:textId="77777777" w:rsidR="007540BD" w:rsidRDefault="007540BD" w:rsidP="007540BD">
      <w:pPr>
        <w:pStyle w:val="NoSpacing"/>
        <w:rPr>
          <w:b/>
          <w:bCs/>
          <w:sz w:val="24"/>
          <w:szCs w:val="24"/>
        </w:rPr>
      </w:pPr>
    </w:p>
    <w:p w14:paraId="56277D7C" w14:textId="43100AFC" w:rsidR="007540BD" w:rsidRDefault="007540BD" w:rsidP="007540BD">
      <w:pPr>
        <w:pStyle w:val="NoSpacing"/>
        <w:ind w:left="720"/>
        <w:rPr>
          <w:rFonts w:ascii="Times New Roman" w:hAnsi="Times New Roman"/>
          <w:bCs/>
          <w:sz w:val="24"/>
          <w:szCs w:val="24"/>
        </w:rPr>
      </w:pPr>
      <w:r w:rsidRPr="007C7258">
        <w:rPr>
          <w:rFonts w:ascii="Times New Roman" w:hAnsi="Times New Roman"/>
          <w:bCs/>
          <w:sz w:val="24"/>
          <w:szCs w:val="24"/>
        </w:rPr>
        <w:t>“The plaintiff responds that his heart disease claim was timely because it flowed from his compensable claim for hypertension, and neither a plain reading of § 7-433c nor this court’s interpretation of that statute requires</w:t>
      </w:r>
    </w:p>
    <w:p w14:paraId="4405D616" w14:textId="77777777" w:rsidR="007540BD" w:rsidRDefault="007540BD" w:rsidP="007540BD">
      <w:pPr>
        <w:pStyle w:val="NoSpacing"/>
        <w:ind w:left="720"/>
        <w:rPr>
          <w:rFonts w:ascii="Times New Roman" w:hAnsi="Times New Roman"/>
          <w:bCs/>
          <w:sz w:val="24"/>
          <w:szCs w:val="24"/>
        </w:rPr>
      </w:pPr>
      <w:r w:rsidRPr="007C7258">
        <w:rPr>
          <w:rFonts w:ascii="Times New Roman" w:hAnsi="Times New Roman"/>
          <w:bCs/>
          <w:sz w:val="24"/>
          <w:szCs w:val="24"/>
        </w:rPr>
        <w:t xml:space="preserve">hypertension and heart disease to be treated as separate diseases when they are causally related. We agree with the plaintiff and, accordingly, affirm the decision of the board. </w:t>
      </w:r>
    </w:p>
    <w:p w14:paraId="2EF2F43E" w14:textId="77777777" w:rsidR="007540BD" w:rsidRDefault="007540BD" w:rsidP="007540BD">
      <w:pPr>
        <w:pStyle w:val="NoSpacing"/>
        <w:ind w:firstLine="720"/>
        <w:rPr>
          <w:rFonts w:ascii="Times New Roman" w:hAnsi="Times New Roman"/>
          <w:bCs/>
          <w:sz w:val="24"/>
          <w:szCs w:val="24"/>
        </w:rPr>
      </w:pPr>
    </w:p>
    <w:p w14:paraId="3990B7BB" w14:textId="77777777" w:rsidR="007540BD" w:rsidRPr="007C7258" w:rsidRDefault="007540BD" w:rsidP="007540BD">
      <w:pPr>
        <w:pStyle w:val="NoSpacing"/>
        <w:ind w:firstLine="720"/>
        <w:rPr>
          <w:rFonts w:ascii="Times New Roman" w:hAnsi="Times New Roman"/>
          <w:b/>
          <w:bCs/>
          <w:sz w:val="24"/>
          <w:szCs w:val="24"/>
        </w:rPr>
      </w:pPr>
      <w:r w:rsidRPr="007C7258">
        <w:rPr>
          <w:rFonts w:ascii="Times New Roman" w:hAnsi="Times New Roman"/>
          <w:bCs/>
          <w:sz w:val="24"/>
          <w:szCs w:val="24"/>
        </w:rPr>
        <w:t>***</w:t>
      </w:r>
    </w:p>
    <w:p w14:paraId="7FE5462A" w14:textId="77777777" w:rsidR="007540BD" w:rsidRPr="007C7258" w:rsidRDefault="007540BD" w:rsidP="007540BD">
      <w:pPr>
        <w:pStyle w:val="NoSpacing"/>
        <w:rPr>
          <w:rFonts w:ascii="Times New Roman" w:hAnsi="Times New Roman"/>
          <w:b/>
          <w:bCs/>
          <w:sz w:val="24"/>
          <w:szCs w:val="24"/>
        </w:rPr>
      </w:pPr>
    </w:p>
    <w:p w14:paraId="19C1B32B"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lastRenderedPageBreak/>
        <w:t>It follows that a claim for a heart disease that occurred after an initial compensable claim for hypertension pursuant to § 7-433c may qualify for benefits without the need to file a new notice of claim, as long as there is a causal connection between the two injuries, as required by the act.</w:t>
      </w:r>
    </w:p>
    <w:p w14:paraId="3703407A" w14:textId="77777777" w:rsidR="007540BD" w:rsidRPr="007C7258" w:rsidRDefault="007540BD" w:rsidP="007540BD">
      <w:pPr>
        <w:pStyle w:val="NoSpacing"/>
        <w:ind w:firstLine="720"/>
        <w:rPr>
          <w:rFonts w:ascii="Times New Roman" w:hAnsi="Times New Roman"/>
          <w:b/>
          <w:bCs/>
          <w:sz w:val="24"/>
          <w:szCs w:val="24"/>
        </w:rPr>
      </w:pPr>
      <w:hyperlink r:id="rId1295" w:history="1">
        <w:r w:rsidRPr="007C7258">
          <w:rPr>
            <w:rStyle w:val="Hyperlink"/>
            <w:rFonts w:ascii="Times New Roman" w:hAnsi="Times New Roman"/>
            <w:b/>
            <w:sz w:val="24"/>
            <w:szCs w:val="24"/>
          </w:rPr>
          <w:t>https://www.jud.ct.gov/external/supapp/Cases/AROcr/CR334/334CR12.pdf</w:t>
        </w:r>
      </w:hyperlink>
      <w:r w:rsidRPr="007C7258">
        <w:rPr>
          <w:rFonts w:ascii="Times New Roman" w:hAnsi="Times New Roman"/>
          <w:bCs/>
          <w:sz w:val="24"/>
          <w:szCs w:val="24"/>
        </w:rPr>
        <w:t xml:space="preserve"> </w:t>
      </w:r>
    </w:p>
    <w:p w14:paraId="74D3CCAF" w14:textId="6D5823C3" w:rsidR="007540BD" w:rsidRDefault="007540BD" w:rsidP="00A06387">
      <w:pPr>
        <w:pStyle w:val="NoSpacing"/>
        <w:rPr>
          <w:rFonts w:ascii="Arial Black" w:hAnsi="Arial Black"/>
          <w:sz w:val="28"/>
          <w:szCs w:val="28"/>
        </w:rPr>
      </w:pPr>
    </w:p>
    <w:p w14:paraId="432E327A" w14:textId="77777777" w:rsidR="007540BD" w:rsidRPr="007C7258" w:rsidRDefault="007540BD" w:rsidP="007540BD">
      <w:pPr>
        <w:spacing w:before="100" w:beforeAutospacing="1" w:after="100" w:afterAutospacing="1" w:line="240" w:lineRule="auto"/>
        <w:rPr>
          <w:rFonts w:ascii="Times New Roman" w:eastAsia="Times New Roman" w:hAnsi="Times New Roman"/>
          <w:b/>
          <w:bCs/>
          <w:sz w:val="24"/>
          <w:szCs w:val="24"/>
        </w:rPr>
      </w:pPr>
      <w:r w:rsidRPr="007C7258">
        <w:rPr>
          <w:rFonts w:ascii="Times New Roman" w:eastAsia="Times New Roman" w:hAnsi="Times New Roman"/>
          <w:b/>
          <w:bCs/>
          <w:sz w:val="24"/>
          <w:szCs w:val="24"/>
        </w:rPr>
        <w:t xml:space="preserve">Legal Lessons Learned:  A helpful decision that makes lots of sense; clear relationship between hypertension and </w:t>
      </w:r>
      <w:r>
        <w:rPr>
          <w:rFonts w:ascii="Times New Roman" w:eastAsia="Times New Roman" w:hAnsi="Times New Roman"/>
          <w:b/>
          <w:bCs/>
          <w:sz w:val="24"/>
          <w:szCs w:val="24"/>
        </w:rPr>
        <w:t xml:space="preserve">later having </w:t>
      </w:r>
      <w:r w:rsidRPr="007C7258">
        <w:rPr>
          <w:rFonts w:ascii="Times New Roman" w:eastAsia="Times New Roman" w:hAnsi="Times New Roman"/>
          <w:b/>
          <w:bCs/>
          <w:sz w:val="24"/>
          <w:szCs w:val="24"/>
        </w:rPr>
        <w:t>coronary heart disease.</w:t>
      </w:r>
    </w:p>
    <w:p w14:paraId="6960D73D" w14:textId="77777777" w:rsidR="007540BD" w:rsidRDefault="007540BD" w:rsidP="00A06387">
      <w:pPr>
        <w:pStyle w:val="NoSpacing"/>
        <w:rPr>
          <w:rFonts w:ascii="Arial Black" w:hAnsi="Arial Black"/>
          <w:sz w:val="28"/>
          <w:szCs w:val="28"/>
        </w:rPr>
      </w:pPr>
    </w:p>
    <w:p w14:paraId="60BBE562" w14:textId="77777777" w:rsidR="007540BD" w:rsidRDefault="007540BD" w:rsidP="00A06387">
      <w:pPr>
        <w:pStyle w:val="NoSpacing"/>
        <w:rPr>
          <w:rFonts w:ascii="Arial Black" w:hAnsi="Arial Black"/>
          <w:sz w:val="28"/>
          <w:szCs w:val="28"/>
        </w:rPr>
      </w:pPr>
    </w:p>
    <w:p w14:paraId="0313E65B" w14:textId="0CF65231" w:rsidR="00663160" w:rsidRDefault="00997329" w:rsidP="00A06387">
      <w:pPr>
        <w:pStyle w:val="NoSpacing"/>
        <w:rPr>
          <w:rFonts w:ascii="Arial Black" w:hAnsi="Arial Black"/>
          <w:sz w:val="28"/>
          <w:szCs w:val="28"/>
        </w:rPr>
      </w:pPr>
      <w:r>
        <w:rPr>
          <w:rFonts w:ascii="Arial Black" w:hAnsi="Arial Black"/>
          <w:sz w:val="28"/>
          <w:szCs w:val="28"/>
        </w:rPr>
        <w:t>6-33</w:t>
      </w:r>
    </w:p>
    <w:p w14:paraId="5561702C" w14:textId="16193B9A" w:rsidR="00997329" w:rsidRDefault="00997329" w:rsidP="00A06387">
      <w:pPr>
        <w:pStyle w:val="NoSpacing"/>
        <w:rPr>
          <w:rFonts w:ascii="Arial Black" w:hAnsi="Arial Black"/>
          <w:sz w:val="28"/>
          <w:szCs w:val="28"/>
        </w:rPr>
      </w:pPr>
    </w:p>
    <w:p w14:paraId="214B212A" w14:textId="77777777" w:rsidR="00997329" w:rsidRPr="00455FEE" w:rsidRDefault="00997329" w:rsidP="00997329">
      <w:pPr>
        <w:pStyle w:val="NoSpacing"/>
        <w:rPr>
          <w:rFonts w:ascii="Arial Black" w:hAnsi="Arial Black"/>
          <w:sz w:val="28"/>
          <w:szCs w:val="28"/>
        </w:rPr>
      </w:pPr>
      <w:r w:rsidRPr="00455FEE">
        <w:rPr>
          <w:rFonts w:ascii="Arial Black" w:hAnsi="Arial Black"/>
          <w:sz w:val="28"/>
          <w:szCs w:val="28"/>
        </w:rPr>
        <w:t xml:space="preserve">LA: </w:t>
      </w:r>
      <w:r>
        <w:rPr>
          <w:rFonts w:ascii="Arial Black" w:hAnsi="Arial Black"/>
          <w:sz w:val="28"/>
          <w:szCs w:val="28"/>
        </w:rPr>
        <w:t xml:space="preserve">RIDING OUT-OF-RANK – INJUNCTION UPHELD - FD MAY NOT THREATEN FF WITH DISCIPLINE FOR REFUSING </w:t>
      </w:r>
    </w:p>
    <w:p w14:paraId="5A43FAFC" w14:textId="77777777" w:rsidR="00997329" w:rsidRPr="00465FB3" w:rsidRDefault="00997329" w:rsidP="00997329">
      <w:pPr>
        <w:spacing w:before="100" w:beforeAutospacing="1" w:after="100" w:afterAutospacing="1" w:line="240" w:lineRule="auto"/>
        <w:rPr>
          <w:rFonts w:ascii="Times New Roman" w:eastAsia="Times New Roman" w:hAnsi="Times New Roman"/>
          <w:sz w:val="24"/>
          <w:szCs w:val="24"/>
        </w:rPr>
      </w:pPr>
      <w:r w:rsidRPr="00465FB3">
        <w:rPr>
          <w:rFonts w:ascii="Times New Roman" w:eastAsia="Times New Roman" w:hAnsi="Times New Roman"/>
          <w:sz w:val="24"/>
          <w:szCs w:val="24"/>
        </w:rPr>
        <w:t xml:space="preserve">On March 4, 2020, in </w:t>
      </w:r>
      <w:r w:rsidRPr="00465FB3">
        <w:rPr>
          <w:rFonts w:ascii="Times New Roman" w:eastAsia="Times New Roman" w:hAnsi="Times New Roman"/>
          <w:sz w:val="24"/>
          <w:szCs w:val="24"/>
          <w:u w:val="single"/>
        </w:rPr>
        <w:t>Brian Drumm, et al. v. City of Kenner</w:t>
      </w:r>
      <w:r w:rsidRPr="00465FB3">
        <w:rPr>
          <w:rFonts w:ascii="Times New Roman" w:eastAsia="Times New Roman" w:hAnsi="Times New Roman"/>
          <w:sz w:val="24"/>
          <w:szCs w:val="24"/>
        </w:rPr>
        <w:t>, the Fifth Circuit Court of Appeals of Louisiana upheld (2 to 1) the trial court’s injunction.</w:t>
      </w:r>
    </w:p>
    <w:p w14:paraId="611040D6" w14:textId="4B39DEE1" w:rsidR="00997329" w:rsidRDefault="00997329" w:rsidP="00997329">
      <w:pPr>
        <w:pStyle w:val="NoSpacing"/>
        <w:ind w:left="720"/>
        <w:rPr>
          <w:rStyle w:val="Hyperlink"/>
          <w:rFonts w:ascii="Times New Roman" w:hAnsi="Times New Roman"/>
          <w:bCs/>
          <w:sz w:val="24"/>
          <w:szCs w:val="24"/>
        </w:rPr>
      </w:pPr>
      <w:r w:rsidRPr="00465FB3">
        <w:rPr>
          <w:rFonts w:ascii="Times New Roman" w:hAnsi="Times New Roman"/>
          <w:bCs/>
          <w:sz w:val="24"/>
          <w:szCs w:val="24"/>
        </w:rPr>
        <w:t xml:space="preserve">“Kenner’s position, that the Fire Chief may force persons to work jobs outside their class against their will under threat of disciplinary action denies the existence of a voluntary, contractual agreement of employment in which both parties may freely negotiate their duties and responsibilities. Recognizing that plaintiffs’ employment with Kenner is a voluntary, contractual agreement, we conclude that the ‘appointment’ referenced in La. R.S. 33:2496 is </w:t>
      </w:r>
      <w:proofErr w:type="gramStart"/>
      <w:r w:rsidRPr="00465FB3">
        <w:rPr>
          <w:rFonts w:ascii="Times New Roman" w:hAnsi="Times New Roman"/>
          <w:bCs/>
          <w:sz w:val="24"/>
          <w:szCs w:val="24"/>
        </w:rPr>
        <w:t>in the nature of an</w:t>
      </w:r>
      <w:proofErr w:type="gramEnd"/>
      <w:r w:rsidRPr="00465FB3">
        <w:rPr>
          <w:rFonts w:ascii="Times New Roman" w:hAnsi="Times New Roman"/>
          <w:bCs/>
          <w:sz w:val="24"/>
          <w:szCs w:val="24"/>
        </w:rPr>
        <w:t xml:space="preserve"> offer and acceptance of employment. Forcing an employee to work out of class against his will under threat of discipline or other employment action is an unlawful act, and therefore plaintiffs were not required to show irreparable harm. Accordingly, we find Kenner’s argument that the district court legally erred in granting the preliminary injunction is without merit. </w:t>
      </w:r>
      <w:hyperlink r:id="rId1296" w:history="1">
        <w:r w:rsidRPr="00465FB3">
          <w:rPr>
            <w:rStyle w:val="Hyperlink"/>
            <w:rFonts w:ascii="Times New Roman" w:hAnsi="Times New Roman"/>
            <w:bCs/>
            <w:sz w:val="24"/>
            <w:szCs w:val="24"/>
          </w:rPr>
          <w:t>http://www.fifthcircuit.org/dmzdocs/OI/PO/2020/54FCDF86-AA62-4720-B56D-B5FDC85663B0.pdf</w:t>
        </w:r>
      </w:hyperlink>
    </w:p>
    <w:p w14:paraId="092731D0" w14:textId="77777777" w:rsidR="00997329" w:rsidRDefault="00997329" w:rsidP="00997329">
      <w:pPr>
        <w:pStyle w:val="NoSpacing"/>
        <w:rPr>
          <w:rFonts w:ascii="Times New Roman" w:hAnsi="Times New Roman"/>
          <w:b/>
          <w:bCs/>
          <w:sz w:val="24"/>
          <w:szCs w:val="24"/>
        </w:rPr>
      </w:pPr>
    </w:p>
    <w:p w14:paraId="4E36EDF7" w14:textId="2D5AA2E0" w:rsidR="00997329" w:rsidRPr="00465FB3" w:rsidRDefault="00997329" w:rsidP="00997329">
      <w:pPr>
        <w:pStyle w:val="NoSpacing"/>
        <w:rPr>
          <w:rFonts w:ascii="Times New Roman" w:hAnsi="Times New Roman"/>
          <w:b/>
          <w:bCs/>
          <w:sz w:val="24"/>
          <w:szCs w:val="24"/>
        </w:rPr>
      </w:pPr>
      <w:r w:rsidRPr="00465FB3">
        <w:rPr>
          <w:rFonts w:ascii="Times New Roman" w:hAnsi="Times New Roman"/>
          <w:b/>
          <w:bCs/>
          <w:sz w:val="24"/>
          <w:szCs w:val="24"/>
        </w:rPr>
        <w:t>Legal Lessons Learned:  Riding-out-rank is quite common in career FDs and is obviously a method to reduce overtime costs. The Court noted this testimony:  “The interim Fire Chief testified that when he needed a captain for a shift, he did not ask already qualified captains to step in temporarily because paying them overtime is more expensive than paying lower ranked employees an extra $1.16/hour to work out of class.”</w:t>
      </w:r>
    </w:p>
    <w:p w14:paraId="2C53FE97" w14:textId="77777777" w:rsidR="00997329" w:rsidRPr="00465FB3" w:rsidRDefault="00997329" w:rsidP="00997329">
      <w:pPr>
        <w:pStyle w:val="NoSpacing"/>
        <w:ind w:left="720"/>
        <w:rPr>
          <w:rFonts w:ascii="Times New Roman" w:hAnsi="Times New Roman"/>
          <w:sz w:val="24"/>
          <w:szCs w:val="24"/>
        </w:rPr>
      </w:pPr>
    </w:p>
    <w:p w14:paraId="06282C44" w14:textId="77777777" w:rsidR="00997329" w:rsidRDefault="00997329" w:rsidP="00997329">
      <w:pPr>
        <w:pStyle w:val="NoSpacing"/>
        <w:rPr>
          <w:rFonts w:ascii="Arial Black" w:hAnsi="Arial Black"/>
          <w:sz w:val="28"/>
          <w:szCs w:val="28"/>
        </w:rPr>
      </w:pPr>
    </w:p>
    <w:p w14:paraId="03EADC05" w14:textId="77777777" w:rsidR="00997329" w:rsidRDefault="00997329" w:rsidP="00A06387">
      <w:pPr>
        <w:pStyle w:val="NoSpacing"/>
        <w:rPr>
          <w:rFonts w:ascii="Arial Black" w:hAnsi="Arial Black"/>
          <w:sz w:val="28"/>
          <w:szCs w:val="28"/>
        </w:rPr>
      </w:pPr>
    </w:p>
    <w:p w14:paraId="0365AE14" w14:textId="19F5C09C" w:rsidR="00663160" w:rsidRDefault="00663160" w:rsidP="00A06387">
      <w:pPr>
        <w:pStyle w:val="NoSpacing"/>
        <w:rPr>
          <w:rFonts w:ascii="Arial Black" w:hAnsi="Arial Black"/>
          <w:sz w:val="28"/>
          <w:szCs w:val="28"/>
        </w:rPr>
      </w:pPr>
      <w:r>
        <w:rPr>
          <w:rFonts w:ascii="Arial Black" w:hAnsi="Arial Black"/>
          <w:sz w:val="28"/>
          <w:szCs w:val="28"/>
        </w:rPr>
        <w:t>6-32</w:t>
      </w:r>
    </w:p>
    <w:p w14:paraId="53A88647" w14:textId="77777777" w:rsidR="00663160" w:rsidRDefault="00663160" w:rsidP="00A06387">
      <w:pPr>
        <w:pStyle w:val="NoSpacing"/>
        <w:rPr>
          <w:rFonts w:ascii="Arial Black" w:hAnsi="Arial Black"/>
          <w:sz w:val="28"/>
          <w:szCs w:val="28"/>
        </w:rPr>
      </w:pPr>
    </w:p>
    <w:p w14:paraId="47E311C1" w14:textId="77777777" w:rsidR="00997329" w:rsidRPr="00D7391F" w:rsidRDefault="00997329" w:rsidP="00997329">
      <w:pPr>
        <w:pStyle w:val="NoSpacing"/>
        <w:rPr>
          <w:rFonts w:ascii="Arial Black" w:hAnsi="Arial Black"/>
          <w:sz w:val="28"/>
          <w:szCs w:val="28"/>
        </w:rPr>
      </w:pPr>
      <w:r w:rsidRPr="00D7391F">
        <w:rPr>
          <w:rFonts w:ascii="Arial Black" w:hAnsi="Arial Black"/>
          <w:sz w:val="28"/>
          <w:szCs w:val="28"/>
        </w:rPr>
        <w:t>NC</w:t>
      </w:r>
      <w:r>
        <w:rPr>
          <w:rFonts w:ascii="Arial Black" w:hAnsi="Arial Black"/>
          <w:sz w:val="28"/>
          <w:szCs w:val="28"/>
        </w:rPr>
        <w:t>:  FIREFIGHTER / ALSO FD BOARD MEMBER – OPPOSED NEW AERIAL - FIRED – FREE SPEECH LAWSUIT TO PROCEED</w:t>
      </w:r>
    </w:p>
    <w:p w14:paraId="6D2CFDBD" w14:textId="77777777" w:rsidR="00997329" w:rsidRPr="00465FB3" w:rsidRDefault="00997329" w:rsidP="00997329">
      <w:pPr>
        <w:spacing w:before="100" w:beforeAutospacing="1" w:after="100" w:afterAutospacing="1" w:line="240" w:lineRule="auto"/>
        <w:rPr>
          <w:rFonts w:ascii="Times New Roman" w:eastAsia="Times New Roman" w:hAnsi="Times New Roman"/>
          <w:sz w:val="24"/>
          <w:szCs w:val="24"/>
        </w:rPr>
      </w:pPr>
      <w:r w:rsidRPr="00465FB3">
        <w:rPr>
          <w:rFonts w:ascii="Times New Roman" w:eastAsia="Times New Roman" w:hAnsi="Times New Roman"/>
          <w:sz w:val="24"/>
          <w:szCs w:val="24"/>
        </w:rPr>
        <w:t xml:space="preserve">On March 2, 2020, in </w:t>
      </w:r>
      <w:r w:rsidRPr="00465FB3">
        <w:rPr>
          <w:rFonts w:ascii="Times New Roman" w:eastAsia="Times New Roman" w:hAnsi="Times New Roman"/>
          <w:sz w:val="24"/>
          <w:szCs w:val="24"/>
          <w:u w:val="single"/>
        </w:rPr>
        <w:t xml:space="preserve">Michael Cole v. Andrew Weatherman &amp; Lake Norman Volunteer Fire </w:t>
      </w:r>
      <w:proofErr w:type="gramStart"/>
      <w:r w:rsidRPr="00465FB3">
        <w:rPr>
          <w:rFonts w:ascii="Times New Roman" w:eastAsia="Times New Roman" w:hAnsi="Times New Roman"/>
          <w:sz w:val="24"/>
          <w:szCs w:val="24"/>
          <w:u w:val="single"/>
        </w:rPr>
        <w:t>And</w:t>
      </w:r>
      <w:proofErr w:type="gramEnd"/>
      <w:r w:rsidRPr="00465FB3">
        <w:rPr>
          <w:rFonts w:ascii="Times New Roman" w:eastAsia="Times New Roman" w:hAnsi="Times New Roman"/>
          <w:sz w:val="24"/>
          <w:szCs w:val="24"/>
          <w:u w:val="single"/>
        </w:rPr>
        <w:t xml:space="preserve"> Rescue Department</w:t>
      </w:r>
      <w:r w:rsidRPr="00465FB3">
        <w:rPr>
          <w:rFonts w:ascii="Times New Roman" w:eastAsia="Times New Roman" w:hAnsi="Times New Roman"/>
          <w:sz w:val="24"/>
          <w:szCs w:val="24"/>
        </w:rPr>
        <w:t xml:space="preserve">, et al., U.S. District Court Judge Kenneth D. Ball, Western District of North Carolina (Statesville </w:t>
      </w:r>
      <w:r w:rsidRPr="00465FB3">
        <w:rPr>
          <w:rFonts w:ascii="Times New Roman" w:eastAsia="Times New Roman" w:hAnsi="Times New Roman"/>
          <w:sz w:val="24"/>
          <w:szCs w:val="24"/>
        </w:rPr>
        <w:lastRenderedPageBreak/>
        <w:t xml:space="preserve">Division) held that the lawsuit may proceed; plaintiff was one of 20 paid firefighters on this “volunteer” fire department. </w:t>
      </w:r>
    </w:p>
    <w:p w14:paraId="1FEB7762" w14:textId="36A0BDB8" w:rsidR="00997329" w:rsidRPr="00465FB3" w:rsidRDefault="00997329" w:rsidP="00997329">
      <w:pPr>
        <w:spacing w:before="100" w:beforeAutospacing="1" w:after="100" w:afterAutospacing="1" w:line="240" w:lineRule="auto"/>
        <w:ind w:left="720"/>
        <w:rPr>
          <w:rFonts w:ascii="Times New Roman" w:eastAsia="Times New Roman" w:hAnsi="Times New Roman"/>
          <w:sz w:val="24"/>
          <w:szCs w:val="24"/>
        </w:rPr>
      </w:pPr>
      <w:r w:rsidRPr="00465FB3">
        <w:rPr>
          <w:rFonts w:ascii="Times New Roman" w:eastAsia="Times New Roman" w:hAnsi="Times New Roman"/>
          <w:sz w:val="24"/>
          <w:szCs w:val="24"/>
        </w:rPr>
        <w:t xml:space="preserve">“Defendants contend that Plaintiff's free speech claim fails because he was speaking as an employee on an internal LKNVFD[Lake Norman Volunteer Fire &amp; Rescue Department] matter. The Court disagrees. Plaintiff's Amended Complaint alleges that he was a member of ‘the statutorily authorized commission of the fire protection district, which administered the taxes levied for and appropriated to it by the County.’ (Doc. No. 13, at ¶ 11). This Board is comprised of employees and volunteers of the LKNVFD as well as members of the community at large. </w:t>
      </w:r>
      <w:r w:rsidRPr="00465FB3">
        <w:rPr>
          <w:rFonts w:ascii="Times New Roman" w:eastAsia="Times New Roman" w:hAnsi="Times New Roman"/>
          <w:i/>
          <w:iCs/>
          <w:sz w:val="24"/>
          <w:szCs w:val="24"/>
        </w:rPr>
        <w:t>Id</w:t>
      </w:r>
      <w:r w:rsidRPr="00465FB3">
        <w:rPr>
          <w:rFonts w:ascii="Times New Roman" w:eastAsia="Times New Roman" w:hAnsi="Times New Roman"/>
          <w:sz w:val="24"/>
          <w:szCs w:val="24"/>
        </w:rPr>
        <w:t xml:space="preserve">. Even though Plaintiff was an employee of LKNVFD, Plaintiff alleges that his statements opposing the purchase of the new truck were made as a citizen duly elected to the board and not as a firefighter exercising his job duties as an employee of LKNVFD. His comments on the wasteful expenditure of public money appropriated from a special tax levy on property in the fire protection district are adequately alleged to be a public matter, not purely an internal employment issue. </w:t>
      </w:r>
      <w:r w:rsidRPr="00465FB3">
        <w:rPr>
          <w:rFonts w:ascii="Times New Roman" w:eastAsia="Times New Roman" w:hAnsi="Times New Roman"/>
          <w:i/>
          <w:iCs/>
          <w:sz w:val="24"/>
          <w:szCs w:val="24"/>
        </w:rPr>
        <w:t>See Pickering v</w:t>
      </w:r>
      <w:r w:rsidRPr="00465FB3">
        <w:rPr>
          <w:rFonts w:ascii="Times New Roman" w:eastAsia="Times New Roman" w:hAnsi="Times New Roman"/>
          <w:sz w:val="24"/>
          <w:szCs w:val="24"/>
        </w:rPr>
        <w:t xml:space="preserve">. </w:t>
      </w:r>
      <w:r w:rsidRPr="00465FB3">
        <w:rPr>
          <w:rFonts w:ascii="Times New Roman" w:eastAsia="Times New Roman" w:hAnsi="Times New Roman"/>
          <w:i/>
          <w:iCs/>
          <w:sz w:val="24"/>
          <w:szCs w:val="24"/>
        </w:rPr>
        <w:t>Bd</w:t>
      </w:r>
      <w:r w:rsidRPr="00465FB3">
        <w:rPr>
          <w:rFonts w:ascii="Times New Roman" w:eastAsia="Times New Roman" w:hAnsi="Times New Roman"/>
          <w:sz w:val="24"/>
          <w:szCs w:val="24"/>
        </w:rPr>
        <w:t xml:space="preserve">. </w:t>
      </w:r>
      <w:r w:rsidRPr="00465FB3">
        <w:rPr>
          <w:rFonts w:ascii="Times New Roman" w:eastAsia="Times New Roman" w:hAnsi="Times New Roman"/>
          <w:i/>
          <w:iCs/>
          <w:sz w:val="24"/>
          <w:szCs w:val="24"/>
        </w:rPr>
        <w:t>of Educ</w:t>
      </w:r>
      <w:r w:rsidRPr="00465FB3">
        <w:rPr>
          <w:rFonts w:ascii="Times New Roman" w:eastAsia="Times New Roman" w:hAnsi="Times New Roman"/>
          <w:sz w:val="24"/>
          <w:szCs w:val="24"/>
        </w:rPr>
        <w:t xml:space="preserve">., 391 U.S. 563, (1968) (holding that a teacher's concerns about a school board's use of tax dollars was a matter of public concern); </w:t>
      </w:r>
      <w:proofErr w:type="spellStart"/>
      <w:r w:rsidRPr="00465FB3">
        <w:rPr>
          <w:rFonts w:ascii="Times New Roman" w:eastAsia="Times New Roman" w:hAnsi="Times New Roman"/>
          <w:i/>
          <w:iCs/>
          <w:sz w:val="24"/>
          <w:szCs w:val="24"/>
        </w:rPr>
        <w:t>Urofsky</w:t>
      </w:r>
      <w:proofErr w:type="spellEnd"/>
      <w:r w:rsidRPr="00465FB3">
        <w:rPr>
          <w:rFonts w:ascii="Times New Roman" w:eastAsia="Times New Roman" w:hAnsi="Times New Roman"/>
          <w:i/>
          <w:iCs/>
          <w:sz w:val="24"/>
          <w:szCs w:val="24"/>
        </w:rPr>
        <w:t xml:space="preserve"> v</w:t>
      </w:r>
      <w:r w:rsidRPr="00465FB3">
        <w:rPr>
          <w:rFonts w:ascii="Times New Roman" w:eastAsia="Times New Roman" w:hAnsi="Times New Roman"/>
          <w:sz w:val="24"/>
          <w:szCs w:val="24"/>
        </w:rPr>
        <w:t xml:space="preserve">. </w:t>
      </w:r>
      <w:r w:rsidRPr="00465FB3">
        <w:rPr>
          <w:rFonts w:ascii="Times New Roman" w:eastAsia="Times New Roman" w:hAnsi="Times New Roman"/>
          <w:i/>
          <w:iCs/>
          <w:sz w:val="24"/>
          <w:szCs w:val="24"/>
        </w:rPr>
        <w:t>Gilmore</w:t>
      </w:r>
      <w:r w:rsidRPr="00465FB3">
        <w:rPr>
          <w:rFonts w:ascii="Times New Roman" w:eastAsia="Times New Roman" w:hAnsi="Times New Roman"/>
          <w:sz w:val="24"/>
          <w:szCs w:val="24"/>
        </w:rPr>
        <w:t>, 216 F.3d 401, 406-07 (4th Cir. 2000) (</w:t>
      </w:r>
      <w:proofErr w:type="spellStart"/>
      <w:r w:rsidRPr="00465FB3">
        <w:rPr>
          <w:rFonts w:ascii="Times New Roman" w:eastAsia="Times New Roman" w:hAnsi="Times New Roman"/>
          <w:sz w:val="24"/>
          <w:szCs w:val="24"/>
        </w:rPr>
        <w:t>en</w:t>
      </w:r>
      <w:proofErr w:type="spellEnd"/>
      <w:r w:rsidRPr="00465FB3">
        <w:rPr>
          <w:rFonts w:ascii="Times New Roman" w:eastAsia="Times New Roman" w:hAnsi="Times New Roman"/>
          <w:sz w:val="24"/>
          <w:szCs w:val="24"/>
        </w:rPr>
        <w:t xml:space="preserve"> banc) (noting speech upon matters of ‘social, political, or other interest to a community’ is protected under the First Amendment). </w:t>
      </w:r>
      <w:hyperlink r:id="rId1297" w:history="1">
        <w:r w:rsidRPr="00465FB3">
          <w:rPr>
            <w:rStyle w:val="Hyperlink"/>
            <w:rFonts w:ascii="Times New Roman" w:eastAsia="Times New Roman" w:hAnsi="Times New Roman"/>
            <w:sz w:val="24"/>
            <w:szCs w:val="24"/>
          </w:rPr>
          <w:t>https://public.fastcase.com/Wl%2B2t%2BeVuI35%2FN70vAMFZnbY8dI3hkArUDoxTqO4WI%2Fa6TeM7CmZuz1%2Ftkv0oKJ0</w:t>
        </w:r>
      </w:hyperlink>
      <w:r w:rsidRPr="00465FB3">
        <w:rPr>
          <w:rFonts w:ascii="Times New Roman" w:eastAsia="Times New Roman" w:hAnsi="Times New Roman"/>
          <w:sz w:val="24"/>
          <w:szCs w:val="24"/>
        </w:rPr>
        <w:t xml:space="preserve"> </w:t>
      </w:r>
    </w:p>
    <w:p w14:paraId="79F275FA" w14:textId="77777777" w:rsidR="00997329" w:rsidRPr="00465FB3" w:rsidRDefault="00997329" w:rsidP="00997329">
      <w:pPr>
        <w:pStyle w:val="NoSpacing"/>
        <w:rPr>
          <w:rFonts w:ascii="Times New Roman" w:hAnsi="Times New Roman"/>
          <w:b/>
          <w:bCs/>
          <w:sz w:val="24"/>
          <w:szCs w:val="24"/>
        </w:rPr>
      </w:pPr>
      <w:r w:rsidRPr="00465FB3">
        <w:rPr>
          <w:rFonts w:ascii="Times New Roman" w:hAnsi="Times New Roman"/>
          <w:b/>
          <w:bCs/>
          <w:sz w:val="24"/>
          <w:szCs w:val="24"/>
        </w:rPr>
        <w:t xml:space="preserve">Legal Lessons Learned: Another decision reviewing the U.S. Supreme Court’s “balancing test.”  FD </w:t>
      </w:r>
      <w:proofErr w:type="gramStart"/>
      <w:r w:rsidRPr="00465FB3">
        <w:rPr>
          <w:rFonts w:ascii="Times New Roman" w:hAnsi="Times New Roman"/>
          <w:b/>
          <w:bCs/>
          <w:sz w:val="24"/>
          <w:szCs w:val="24"/>
        </w:rPr>
        <w:t>need</w:t>
      </w:r>
      <w:proofErr w:type="gramEnd"/>
      <w:r w:rsidRPr="00465FB3">
        <w:rPr>
          <w:rFonts w:ascii="Times New Roman" w:hAnsi="Times New Roman"/>
          <w:b/>
          <w:bCs/>
          <w:sz w:val="24"/>
          <w:szCs w:val="24"/>
        </w:rPr>
        <w:t xml:space="preserve"> to use extreme caution in terminating a firefighter for speaking on matters of public concern, particularly if they also serve on the FD’s Board. </w:t>
      </w:r>
    </w:p>
    <w:p w14:paraId="65A4F446" w14:textId="77777777" w:rsidR="00997329" w:rsidRPr="00465FB3" w:rsidRDefault="00997329" w:rsidP="00997329">
      <w:pPr>
        <w:spacing w:before="100" w:beforeAutospacing="1" w:after="100" w:afterAutospacing="1" w:line="240" w:lineRule="auto"/>
        <w:rPr>
          <w:rFonts w:ascii="Times New Roman" w:eastAsia="Times New Roman" w:hAnsi="Times New Roman"/>
          <w:b/>
          <w:bCs/>
          <w:sz w:val="24"/>
          <w:szCs w:val="24"/>
        </w:rPr>
      </w:pPr>
    </w:p>
    <w:p w14:paraId="07630A86" w14:textId="77777777" w:rsidR="00663160" w:rsidRDefault="00663160" w:rsidP="00A06387">
      <w:pPr>
        <w:pStyle w:val="NoSpacing"/>
        <w:rPr>
          <w:rFonts w:ascii="Arial Black" w:hAnsi="Arial Black"/>
          <w:sz w:val="28"/>
          <w:szCs w:val="28"/>
        </w:rPr>
      </w:pPr>
    </w:p>
    <w:p w14:paraId="328BC352" w14:textId="77777777" w:rsidR="00663160" w:rsidRDefault="00663160" w:rsidP="00A06387">
      <w:pPr>
        <w:pStyle w:val="NoSpacing"/>
        <w:rPr>
          <w:rFonts w:ascii="Arial Black" w:hAnsi="Arial Black"/>
          <w:sz w:val="28"/>
          <w:szCs w:val="28"/>
        </w:rPr>
      </w:pPr>
    </w:p>
    <w:p w14:paraId="6F146580" w14:textId="77777777" w:rsidR="00B03268" w:rsidRDefault="00B03268" w:rsidP="00A06387">
      <w:pPr>
        <w:pStyle w:val="NoSpacing"/>
        <w:rPr>
          <w:rFonts w:ascii="Arial Black" w:hAnsi="Arial Black"/>
          <w:sz w:val="28"/>
          <w:szCs w:val="28"/>
        </w:rPr>
      </w:pPr>
    </w:p>
    <w:p w14:paraId="0FC4E5E4" w14:textId="702FA686" w:rsidR="00663160" w:rsidRDefault="00663160" w:rsidP="00A06387">
      <w:pPr>
        <w:pStyle w:val="NoSpacing"/>
        <w:rPr>
          <w:rFonts w:ascii="Arial Black" w:hAnsi="Arial Black"/>
          <w:sz w:val="28"/>
          <w:szCs w:val="28"/>
        </w:rPr>
      </w:pPr>
      <w:r>
        <w:rPr>
          <w:rFonts w:ascii="Arial Black" w:hAnsi="Arial Black"/>
          <w:sz w:val="28"/>
          <w:szCs w:val="28"/>
        </w:rPr>
        <w:t>6-31</w:t>
      </w:r>
    </w:p>
    <w:p w14:paraId="6C9E9F66" w14:textId="1C55F183" w:rsidR="00663160" w:rsidRDefault="00663160" w:rsidP="00A06387">
      <w:pPr>
        <w:pStyle w:val="NoSpacing"/>
        <w:rPr>
          <w:rFonts w:ascii="Arial Black" w:hAnsi="Arial Black"/>
          <w:sz w:val="28"/>
          <w:szCs w:val="28"/>
        </w:rPr>
      </w:pPr>
    </w:p>
    <w:p w14:paraId="7788273E" w14:textId="77777777" w:rsidR="00663160" w:rsidRPr="00504D9F" w:rsidRDefault="00663160" w:rsidP="00663160">
      <w:pPr>
        <w:pStyle w:val="NoSpacing"/>
        <w:rPr>
          <w:rFonts w:ascii="Arial Black" w:hAnsi="Arial Black"/>
          <w:b/>
          <w:bCs/>
          <w:sz w:val="28"/>
          <w:szCs w:val="28"/>
        </w:rPr>
      </w:pPr>
      <w:r>
        <w:rPr>
          <w:rFonts w:ascii="Arial Black" w:hAnsi="Arial Black"/>
          <w:bCs/>
          <w:sz w:val="28"/>
          <w:szCs w:val="28"/>
        </w:rPr>
        <w:t>OH: CAPTAIN PROMOTION – SENIORITY POINTS ONLY FOR THOSE SCORED AT LEAST 70 – NEW SELECTION</w:t>
      </w:r>
    </w:p>
    <w:p w14:paraId="3D56695E" w14:textId="77777777" w:rsidR="00663160" w:rsidRPr="00465FB3" w:rsidRDefault="00663160" w:rsidP="00663160">
      <w:pPr>
        <w:pStyle w:val="Heading1"/>
        <w:rPr>
          <w:b w:val="0"/>
          <w:bCs w:val="0"/>
          <w:sz w:val="24"/>
          <w:szCs w:val="24"/>
        </w:rPr>
      </w:pPr>
      <w:r w:rsidRPr="00465FB3">
        <w:rPr>
          <w:b w:val="0"/>
          <w:bCs w:val="0"/>
          <w:sz w:val="24"/>
          <w:szCs w:val="24"/>
        </w:rPr>
        <w:t xml:space="preserve">On Feb. 5, 2020, in </w:t>
      </w:r>
      <w:r w:rsidRPr="00465FB3">
        <w:rPr>
          <w:b w:val="0"/>
          <w:bCs w:val="0"/>
          <w:sz w:val="24"/>
          <w:szCs w:val="24"/>
          <w:u w:val="single"/>
        </w:rPr>
        <w:t xml:space="preserve">State ex rel. Michael A. </w:t>
      </w:r>
      <w:proofErr w:type="spellStart"/>
      <w:r w:rsidRPr="00465FB3">
        <w:rPr>
          <w:b w:val="0"/>
          <w:bCs w:val="0"/>
          <w:sz w:val="24"/>
          <w:szCs w:val="24"/>
          <w:u w:val="single"/>
        </w:rPr>
        <w:t>Rimroth</w:t>
      </w:r>
      <w:proofErr w:type="spellEnd"/>
      <w:r w:rsidRPr="00465FB3">
        <w:rPr>
          <w:b w:val="0"/>
          <w:bCs w:val="0"/>
          <w:sz w:val="24"/>
          <w:szCs w:val="24"/>
          <w:u w:val="single"/>
        </w:rPr>
        <w:t xml:space="preserve"> v. City of Harrison</w:t>
      </w:r>
      <w:r w:rsidRPr="00465FB3">
        <w:rPr>
          <w:b w:val="0"/>
          <w:bCs w:val="0"/>
          <w:sz w:val="24"/>
          <w:szCs w:val="24"/>
        </w:rPr>
        <w:t xml:space="preserve">, the Ohio Court of Appeals for the First District (Hamilton County), held (3 to 0) that the promotion of the candidate who only scored 65 was inappropriate, since only the two candidates (plaintiff and one other) who scored 70 or higher were entitled to added points for seniority.  The Court reversed the trial judge’s order for a new written test, since the test was fair.  Case sent back to the city’s Civil Service Commission, and Mayor can now make a new promotion decision between plaintiff (scored 74) and the other candidate (scored 75).  </w:t>
      </w:r>
    </w:p>
    <w:p w14:paraId="3714FEA9" w14:textId="77777777" w:rsidR="00663160" w:rsidRPr="00465FB3" w:rsidRDefault="00663160" w:rsidP="00663160">
      <w:pPr>
        <w:pStyle w:val="NoSpacing"/>
        <w:ind w:left="720"/>
        <w:rPr>
          <w:rFonts w:ascii="Times New Roman" w:hAnsi="Times New Roman"/>
          <w:b/>
          <w:bCs/>
          <w:sz w:val="24"/>
          <w:szCs w:val="24"/>
        </w:rPr>
      </w:pPr>
      <w:r w:rsidRPr="00465FB3">
        <w:rPr>
          <w:rFonts w:ascii="Times New Roman" w:hAnsi="Times New Roman"/>
          <w:bCs/>
          <w:sz w:val="24"/>
          <w:szCs w:val="24"/>
        </w:rPr>
        <w:t xml:space="preserve">“[Michael] </w:t>
      </w:r>
      <w:proofErr w:type="spellStart"/>
      <w:r w:rsidRPr="00465FB3">
        <w:rPr>
          <w:rFonts w:ascii="Times New Roman" w:hAnsi="Times New Roman"/>
          <w:bCs/>
          <w:sz w:val="24"/>
          <w:szCs w:val="24"/>
        </w:rPr>
        <w:t>Rimroth</w:t>
      </w:r>
      <w:proofErr w:type="spellEnd"/>
      <w:r w:rsidRPr="00465FB3">
        <w:rPr>
          <w:rFonts w:ascii="Times New Roman" w:hAnsi="Times New Roman"/>
          <w:bCs/>
          <w:sz w:val="24"/>
          <w:szCs w:val="24"/>
        </w:rPr>
        <w:t xml:space="preserve"> was a firefighter employed by the city of Harrison. On April 4, 2015, he took the written promotional examination for the position of fire captain, along with firefighters Dennis Helcher and Cameron Kugler. Kugler received a score of 75, </w:t>
      </w:r>
      <w:proofErr w:type="spellStart"/>
      <w:r w:rsidRPr="00465FB3">
        <w:rPr>
          <w:rFonts w:ascii="Times New Roman" w:hAnsi="Times New Roman"/>
          <w:bCs/>
          <w:sz w:val="24"/>
          <w:szCs w:val="24"/>
        </w:rPr>
        <w:t>Rimroth</w:t>
      </w:r>
      <w:proofErr w:type="spellEnd"/>
      <w:r w:rsidRPr="00465FB3">
        <w:rPr>
          <w:rFonts w:ascii="Times New Roman" w:hAnsi="Times New Roman"/>
          <w:bCs/>
          <w:sz w:val="24"/>
          <w:szCs w:val="24"/>
        </w:rPr>
        <w:t xml:space="preserve"> received a 74, and </w:t>
      </w:r>
      <w:proofErr w:type="spellStart"/>
      <w:r w:rsidRPr="00465FB3">
        <w:rPr>
          <w:rFonts w:ascii="Times New Roman" w:hAnsi="Times New Roman"/>
          <w:bCs/>
          <w:sz w:val="24"/>
          <w:szCs w:val="24"/>
        </w:rPr>
        <w:t>Helcher</w:t>
      </w:r>
      <w:proofErr w:type="spellEnd"/>
      <w:r w:rsidRPr="00465FB3">
        <w:rPr>
          <w:rFonts w:ascii="Times New Roman" w:hAnsi="Times New Roman"/>
          <w:bCs/>
          <w:sz w:val="24"/>
          <w:szCs w:val="24"/>
        </w:rPr>
        <w:t xml:space="preserve"> received a 65. </w:t>
      </w:r>
      <w:proofErr w:type="gramStart"/>
      <w:r w:rsidRPr="00465FB3">
        <w:rPr>
          <w:rFonts w:ascii="Times New Roman" w:hAnsi="Times New Roman"/>
          <w:bCs/>
          <w:sz w:val="24"/>
          <w:szCs w:val="24"/>
        </w:rPr>
        <w:t>A passing</w:t>
      </w:r>
      <w:proofErr w:type="gramEnd"/>
      <w:r w:rsidRPr="00465FB3">
        <w:rPr>
          <w:rFonts w:ascii="Times New Roman" w:hAnsi="Times New Roman"/>
          <w:bCs/>
          <w:sz w:val="24"/>
          <w:szCs w:val="24"/>
        </w:rPr>
        <w:t xml:space="preserve"> score for the examination was 70. As a result, only Kugler and </w:t>
      </w:r>
      <w:proofErr w:type="spellStart"/>
      <w:r w:rsidRPr="00465FB3">
        <w:rPr>
          <w:rFonts w:ascii="Times New Roman" w:hAnsi="Times New Roman"/>
          <w:bCs/>
          <w:sz w:val="24"/>
          <w:szCs w:val="24"/>
        </w:rPr>
        <w:t>Rimroth</w:t>
      </w:r>
      <w:proofErr w:type="spellEnd"/>
      <w:r w:rsidRPr="00465FB3">
        <w:rPr>
          <w:rFonts w:ascii="Times New Roman" w:hAnsi="Times New Roman"/>
          <w:bCs/>
          <w:sz w:val="24"/>
          <w:szCs w:val="24"/>
        </w:rPr>
        <w:t xml:space="preserve"> were listed as having passed the examination. ***  In this case, both sides agree that it was inappropriate for the commission to include the service credit before determining if the candidates received a passing score. We agree with this consensus. The issue that remains is determining if the trial court's remedy was proper and, if not, what remedy lies for the violation of the statute. *** The proper remedy, therefore, is to remand the </w:t>
      </w:r>
      <w:r w:rsidRPr="00465FB3">
        <w:rPr>
          <w:rFonts w:ascii="Times New Roman" w:hAnsi="Times New Roman"/>
          <w:bCs/>
          <w:sz w:val="24"/>
          <w:szCs w:val="24"/>
        </w:rPr>
        <w:lastRenderedPageBreak/>
        <w:t xml:space="preserve">cause to the civil service commission for the appropriate award of credit to only those individuals who had received a passing score on the written examination: Kugler and </w:t>
      </w:r>
      <w:proofErr w:type="spellStart"/>
      <w:r w:rsidRPr="00465FB3">
        <w:rPr>
          <w:rFonts w:ascii="Times New Roman" w:hAnsi="Times New Roman"/>
          <w:bCs/>
          <w:sz w:val="24"/>
          <w:szCs w:val="24"/>
        </w:rPr>
        <w:t>Rimroth</w:t>
      </w:r>
      <w:proofErr w:type="spellEnd"/>
      <w:r w:rsidRPr="00465FB3">
        <w:rPr>
          <w:rFonts w:ascii="Times New Roman" w:hAnsi="Times New Roman"/>
          <w:bCs/>
          <w:sz w:val="24"/>
          <w:szCs w:val="24"/>
        </w:rPr>
        <w:t xml:space="preserve">. Once those scores are calculated, the commission should forward the resulting list for further </w:t>
      </w:r>
      <w:proofErr w:type="gramStart"/>
      <w:r w:rsidRPr="00465FB3">
        <w:rPr>
          <w:rFonts w:ascii="Times New Roman" w:hAnsi="Times New Roman"/>
          <w:bCs/>
          <w:sz w:val="24"/>
          <w:szCs w:val="24"/>
        </w:rPr>
        <w:t>consideration.”</w:t>
      </w:r>
      <w:proofErr w:type="gramEnd"/>
      <w:r w:rsidRPr="00465FB3">
        <w:rPr>
          <w:rFonts w:ascii="Times New Roman" w:hAnsi="Times New Roman"/>
          <w:bCs/>
          <w:sz w:val="24"/>
          <w:szCs w:val="24"/>
        </w:rPr>
        <w:t xml:space="preserve"> </w:t>
      </w:r>
      <w:hyperlink r:id="rId1298" w:history="1">
        <w:r w:rsidRPr="00465FB3">
          <w:rPr>
            <w:rStyle w:val="Hyperlink"/>
            <w:rFonts w:ascii="Times New Roman" w:hAnsi="Times New Roman"/>
            <w:bCs/>
            <w:sz w:val="24"/>
            <w:szCs w:val="24"/>
          </w:rPr>
          <w:t>https://www.leagle.com/decision/inohco20200205714</w:t>
        </w:r>
      </w:hyperlink>
      <w:r w:rsidRPr="00465FB3">
        <w:rPr>
          <w:rFonts w:ascii="Times New Roman" w:hAnsi="Times New Roman"/>
          <w:bCs/>
          <w:sz w:val="24"/>
          <w:szCs w:val="24"/>
        </w:rPr>
        <w:t xml:space="preserve"> </w:t>
      </w:r>
    </w:p>
    <w:p w14:paraId="281EDFF8" w14:textId="61AC8D19" w:rsidR="00663160" w:rsidRDefault="00663160" w:rsidP="00A06387">
      <w:pPr>
        <w:pStyle w:val="NoSpacing"/>
        <w:rPr>
          <w:rFonts w:ascii="Arial Black" w:hAnsi="Arial Black"/>
          <w:sz w:val="28"/>
          <w:szCs w:val="28"/>
        </w:rPr>
      </w:pPr>
    </w:p>
    <w:p w14:paraId="32E1884A" w14:textId="77777777" w:rsidR="00663160" w:rsidRPr="00465FB3" w:rsidRDefault="00663160" w:rsidP="00663160">
      <w:pPr>
        <w:pStyle w:val="NoSpacing"/>
        <w:tabs>
          <w:tab w:val="left" w:pos="2880"/>
        </w:tabs>
        <w:rPr>
          <w:rFonts w:ascii="Times New Roman" w:eastAsia="Times New Roman" w:hAnsi="Times New Roman"/>
          <w:b/>
          <w:bCs/>
          <w:sz w:val="24"/>
          <w:szCs w:val="24"/>
        </w:rPr>
      </w:pPr>
      <w:r w:rsidRPr="00465FB3">
        <w:rPr>
          <w:rFonts w:ascii="Times New Roman" w:hAnsi="Times New Roman"/>
          <w:b/>
          <w:bCs/>
          <w:sz w:val="24"/>
          <w:szCs w:val="24"/>
        </w:rPr>
        <w:t xml:space="preserve">Legal Lessons Learned: Promotion processes should clearly specify when seniority and military credits can be added to test scores. </w:t>
      </w:r>
    </w:p>
    <w:p w14:paraId="33ADF01E" w14:textId="11364D1C" w:rsidR="00663160" w:rsidRDefault="00663160" w:rsidP="00A06387">
      <w:pPr>
        <w:pStyle w:val="NoSpacing"/>
        <w:rPr>
          <w:rFonts w:ascii="Arial Black" w:hAnsi="Arial Black"/>
          <w:sz w:val="28"/>
          <w:szCs w:val="28"/>
        </w:rPr>
      </w:pPr>
      <w:r>
        <w:rPr>
          <w:rFonts w:ascii="Arial Black" w:hAnsi="Arial Black"/>
          <w:sz w:val="28"/>
          <w:szCs w:val="28"/>
        </w:rPr>
        <w:t xml:space="preserve"> </w:t>
      </w:r>
    </w:p>
    <w:p w14:paraId="091AFC41" w14:textId="77777777" w:rsidR="00663160" w:rsidRDefault="00663160" w:rsidP="00A06387">
      <w:pPr>
        <w:pStyle w:val="NoSpacing"/>
        <w:rPr>
          <w:rFonts w:ascii="Arial Black" w:hAnsi="Arial Black"/>
          <w:sz w:val="28"/>
          <w:szCs w:val="28"/>
        </w:rPr>
      </w:pPr>
    </w:p>
    <w:p w14:paraId="5D3EECC4" w14:textId="77777777" w:rsidR="00663160" w:rsidRDefault="00663160" w:rsidP="00A06387">
      <w:pPr>
        <w:pStyle w:val="NoSpacing"/>
        <w:rPr>
          <w:rFonts w:ascii="Arial Black" w:hAnsi="Arial Black"/>
          <w:sz w:val="28"/>
          <w:szCs w:val="28"/>
        </w:rPr>
      </w:pPr>
    </w:p>
    <w:p w14:paraId="72A34ECB" w14:textId="6B4BFD3D" w:rsidR="00C9355B" w:rsidRDefault="00C9355B" w:rsidP="00A06387">
      <w:pPr>
        <w:pStyle w:val="NoSpacing"/>
        <w:rPr>
          <w:rFonts w:ascii="Arial Black" w:hAnsi="Arial Black"/>
          <w:sz w:val="28"/>
          <w:szCs w:val="28"/>
        </w:rPr>
      </w:pPr>
      <w:r>
        <w:rPr>
          <w:rFonts w:ascii="Arial Black" w:hAnsi="Arial Black"/>
          <w:sz w:val="28"/>
          <w:szCs w:val="28"/>
        </w:rPr>
        <w:t>6-</w:t>
      </w:r>
      <w:r w:rsidR="00177094">
        <w:rPr>
          <w:rFonts w:ascii="Arial Black" w:hAnsi="Arial Black"/>
          <w:sz w:val="28"/>
          <w:szCs w:val="28"/>
        </w:rPr>
        <w:t>30</w:t>
      </w:r>
    </w:p>
    <w:p w14:paraId="6D154D02" w14:textId="65382B1A" w:rsidR="00C9355B" w:rsidRDefault="00C9355B" w:rsidP="00A06387">
      <w:pPr>
        <w:pStyle w:val="NoSpacing"/>
        <w:rPr>
          <w:rFonts w:ascii="Arial Black" w:hAnsi="Arial Black"/>
          <w:sz w:val="28"/>
          <w:szCs w:val="28"/>
        </w:rPr>
      </w:pPr>
    </w:p>
    <w:p w14:paraId="76C0F5C0" w14:textId="77777777" w:rsidR="00C9355B" w:rsidRDefault="00C9355B" w:rsidP="00C9355B">
      <w:pPr>
        <w:pStyle w:val="NoSpacing"/>
        <w:rPr>
          <w:rFonts w:ascii="Arial Black" w:hAnsi="Arial Black"/>
          <w:b/>
          <w:bCs/>
          <w:sz w:val="28"/>
          <w:szCs w:val="28"/>
        </w:rPr>
      </w:pPr>
      <w:r>
        <w:rPr>
          <w:rFonts w:ascii="Arial Black" w:hAnsi="Arial Black"/>
          <w:bCs/>
          <w:sz w:val="28"/>
          <w:szCs w:val="28"/>
        </w:rPr>
        <w:t xml:space="preserve">IL: HOUSE FIRE - FF FELL BACKWARDS, INJURED HER BACK – AWARDED LINE-OF-DUTY PENSION – CITY APPEAL DENIED </w:t>
      </w:r>
    </w:p>
    <w:p w14:paraId="63A0CA8C" w14:textId="77777777" w:rsidR="00C9355B" w:rsidRDefault="00C9355B" w:rsidP="00C9355B">
      <w:pPr>
        <w:pStyle w:val="NoSpacing"/>
        <w:rPr>
          <w:b/>
          <w:bCs/>
          <w:sz w:val="24"/>
          <w:szCs w:val="24"/>
        </w:rPr>
      </w:pPr>
    </w:p>
    <w:p w14:paraId="2A874A2E" w14:textId="77777777" w:rsidR="00C9355B" w:rsidRPr="00695030" w:rsidRDefault="00C9355B" w:rsidP="00C9355B">
      <w:pPr>
        <w:pStyle w:val="NoSpacing"/>
        <w:rPr>
          <w:rFonts w:ascii="Times New Roman" w:hAnsi="Times New Roman"/>
          <w:b/>
          <w:bCs/>
          <w:sz w:val="24"/>
          <w:szCs w:val="24"/>
        </w:rPr>
      </w:pPr>
      <w:r w:rsidRPr="00695030">
        <w:rPr>
          <w:rFonts w:ascii="Times New Roman" w:hAnsi="Times New Roman"/>
          <w:bCs/>
          <w:sz w:val="24"/>
          <w:szCs w:val="24"/>
        </w:rPr>
        <w:t xml:space="preserve">On Jan. 27, 2020, in </w:t>
      </w:r>
      <w:r w:rsidRPr="00695030">
        <w:rPr>
          <w:rFonts w:ascii="Times New Roman" w:hAnsi="Times New Roman"/>
          <w:bCs/>
          <w:sz w:val="24"/>
          <w:szCs w:val="24"/>
          <w:u w:val="single"/>
        </w:rPr>
        <w:t>City of Peoria v. The Firefighters Pension Fund of the City of Peoria and Angela Allen</w:t>
      </w:r>
      <w:r w:rsidRPr="00695030">
        <w:rPr>
          <w:rFonts w:ascii="Times New Roman" w:hAnsi="Times New Roman"/>
          <w:bCs/>
          <w:sz w:val="24"/>
          <w:szCs w:val="24"/>
        </w:rPr>
        <w:t xml:space="preserve">, the Appellate Court of Illinois, Third District, held (3 to 0) upheld the decision of the Board of Trustees of the pension fund to award line-of-duty death benefits. The city sought to reverse the Trustees, arguing the firefighter had a psychological disorder not caused by her fall. </w:t>
      </w:r>
    </w:p>
    <w:p w14:paraId="2335A114" w14:textId="77777777" w:rsidR="00C9355B" w:rsidRPr="00695030" w:rsidRDefault="00C9355B" w:rsidP="00C9355B">
      <w:pPr>
        <w:pStyle w:val="NoSpacing"/>
        <w:rPr>
          <w:rFonts w:ascii="Times New Roman" w:hAnsi="Times New Roman"/>
          <w:b/>
          <w:bCs/>
          <w:sz w:val="24"/>
          <w:szCs w:val="24"/>
        </w:rPr>
      </w:pPr>
    </w:p>
    <w:p w14:paraId="5B7131FD" w14:textId="77777777" w:rsidR="00C9355B" w:rsidRPr="00695030" w:rsidRDefault="00C9355B" w:rsidP="00C9355B">
      <w:pPr>
        <w:pStyle w:val="NoSpacing"/>
        <w:ind w:left="720"/>
        <w:rPr>
          <w:rFonts w:ascii="Times New Roman" w:hAnsi="Times New Roman"/>
          <w:b/>
          <w:bCs/>
          <w:sz w:val="24"/>
          <w:szCs w:val="24"/>
        </w:rPr>
      </w:pPr>
      <w:r w:rsidRPr="00695030">
        <w:rPr>
          <w:rFonts w:ascii="Times New Roman" w:hAnsi="Times New Roman"/>
          <w:bCs/>
          <w:sz w:val="24"/>
          <w:szCs w:val="24"/>
        </w:rPr>
        <w:t xml:space="preserve">“In reaching that conclusion, we reject the City's assertion that the Pension Board somehow erred by finding that Allen was disabled due to her psychological conditions when Allen's specific allegation in her disability pension application was that she was disabled due to a vestibular/ocular motor disorder. Although Allen listed her condition in the application as a vestibular/ocular motor disorder, many of the symptoms that Allen also listed in the application as being from a vestibular disorder were the same symptoms that Allen was found to be suffering from </w:t>
      </w:r>
      <w:proofErr w:type="gramStart"/>
      <w:r w:rsidRPr="00695030">
        <w:rPr>
          <w:rFonts w:ascii="Times New Roman" w:hAnsi="Times New Roman"/>
          <w:bCs/>
          <w:sz w:val="24"/>
          <w:szCs w:val="24"/>
        </w:rPr>
        <w:t>as a result of</w:t>
      </w:r>
      <w:proofErr w:type="gramEnd"/>
      <w:r w:rsidRPr="00695030">
        <w:rPr>
          <w:rFonts w:ascii="Times New Roman" w:hAnsi="Times New Roman"/>
          <w:bCs/>
          <w:sz w:val="24"/>
          <w:szCs w:val="24"/>
        </w:rPr>
        <w:t xml:space="preserve"> her psychological disorders. Thus, we believe that Allen sufficiently alleged the nature of her disability in her disability pension application. Indeed, the City has made no argument on appeal that it was surprised by the evidence presented or that the </w:t>
      </w:r>
      <w:proofErr w:type="gramStart"/>
      <w:r w:rsidRPr="00695030">
        <w:rPr>
          <w:rFonts w:ascii="Times New Roman" w:hAnsi="Times New Roman"/>
          <w:bCs/>
          <w:sz w:val="24"/>
          <w:szCs w:val="24"/>
        </w:rPr>
        <w:t>manner in which</w:t>
      </w:r>
      <w:proofErr w:type="gramEnd"/>
      <w:r w:rsidRPr="00695030">
        <w:rPr>
          <w:rFonts w:ascii="Times New Roman" w:hAnsi="Times New Roman"/>
          <w:bCs/>
          <w:sz w:val="24"/>
          <w:szCs w:val="24"/>
        </w:rPr>
        <w:t xml:space="preserve"> Allen's condition was described in the application somehow deprived the City of a fair opportunity to prepare for the hearing before the Pension Board.” </w:t>
      </w:r>
      <w:hyperlink r:id="rId1299" w:history="1">
        <w:r w:rsidRPr="00695030">
          <w:rPr>
            <w:rStyle w:val="Hyperlink"/>
            <w:rFonts w:ascii="Times New Roman" w:hAnsi="Times New Roman"/>
            <w:b/>
            <w:sz w:val="24"/>
            <w:szCs w:val="24"/>
          </w:rPr>
          <w:t>https://courts.illinois.gov/R23_Orders/AppellateCourt/2020/3rdDistrict/3190055_R23.pdf</w:t>
        </w:r>
      </w:hyperlink>
      <w:r w:rsidRPr="00695030">
        <w:rPr>
          <w:rFonts w:ascii="Times New Roman" w:hAnsi="Times New Roman"/>
          <w:bCs/>
          <w:sz w:val="24"/>
          <w:szCs w:val="24"/>
        </w:rPr>
        <w:t xml:space="preserve"> </w:t>
      </w:r>
    </w:p>
    <w:p w14:paraId="3F8AF809" w14:textId="77777777" w:rsidR="00C9355B" w:rsidRDefault="00C9355B" w:rsidP="00C9355B">
      <w:pPr>
        <w:pStyle w:val="NoSpacing"/>
        <w:rPr>
          <w:rFonts w:ascii="Times New Roman" w:hAnsi="Times New Roman"/>
          <w:b/>
          <w:bCs/>
          <w:sz w:val="24"/>
          <w:szCs w:val="24"/>
        </w:rPr>
      </w:pPr>
    </w:p>
    <w:p w14:paraId="72F4B7C5" w14:textId="313B0065" w:rsidR="00C9355B" w:rsidRPr="00695030" w:rsidRDefault="00C9355B" w:rsidP="00C9355B">
      <w:pPr>
        <w:pStyle w:val="NoSpacing"/>
        <w:rPr>
          <w:rFonts w:ascii="Times New Roman" w:hAnsi="Times New Roman"/>
          <w:b/>
          <w:bCs/>
          <w:sz w:val="24"/>
          <w:szCs w:val="24"/>
        </w:rPr>
      </w:pPr>
      <w:r w:rsidRPr="00695030">
        <w:rPr>
          <w:rFonts w:ascii="Times New Roman" w:hAnsi="Times New Roman"/>
          <w:b/>
          <w:bCs/>
          <w:sz w:val="24"/>
          <w:szCs w:val="24"/>
        </w:rPr>
        <w:t xml:space="preserve">Legal Lessons Learned:  </w:t>
      </w:r>
      <w:r>
        <w:rPr>
          <w:rFonts w:ascii="Times New Roman" w:hAnsi="Times New Roman"/>
          <w:b/>
          <w:bCs/>
          <w:sz w:val="24"/>
          <w:szCs w:val="24"/>
        </w:rPr>
        <w:t xml:space="preserve">Under </w:t>
      </w:r>
      <w:r w:rsidRPr="00695030">
        <w:rPr>
          <w:rFonts w:ascii="Times New Roman" w:hAnsi="Times New Roman"/>
          <w:b/>
          <w:bCs/>
          <w:sz w:val="24"/>
          <w:szCs w:val="24"/>
        </w:rPr>
        <w:t>Illinois statute and court precedents</w:t>
      </w:r>
      <w:r>
        <w:rPr>
          <w:rFonts w:ascii="Times New Roman" w:hAnsi="Times New Roman"/>
          <w:b/>
          <w:bCs/>
          <w:sz w:val="24"/>
          <w:szCs w:val="24"/>
        </w:rPr>
        <w:t xml:space="preserve">, </w:t>
      </w:r>
      <w:r w:rsidRPr="00695030">
        <w:rPr>
          <w:rFonts w:ascii="Times New Roman" w:hAnsi="Times New Roman"/>
          <w:b/>
          <w:bCs/>
          <w:sz w:val="24"/>
          <w:szCs w:val="24"/>
        </w:rPr>
        <w:t xml:space="preserve">pension applications by firefighters must be “liberally construed” in favor of the firefighter. </w:t>
      </w:r>
    </w:p>
    <w:p w14:paraId="36DA7B82" w14:textId="77777777" w:rsidR="00C9355B" w:rsidRDefault="00C9355B" w:rsidP="00A06387">
      <w:pPr>
        <w:pStyle w:val="NoSpacing"/>
        <w:rPr>
          <w:rFonts w:ascii="Arial Black" w:hAnsi="Arial Black"/>
          <w:sz w:val="28"/>
          <w:szCs w:val="28"/>
        </w:rPr>
      </w:pPr>
    </w:p>
    <w:p w14:paraId="43495ADD" w14:textId="77777777" w:rsidR="00B03268" w:rsidRDefault="00B03268" w:rsidP="00A06387">
      <w:pPr>
        <w:pStyle w:val="NoSpacing"/>
        <w:rPr>
          <w:rFonts w:ascii="Arial Black" w:hAnsi="Arial Black"/>
          <w:sz w:val="28"/>
          <w:szCs w:val="28"/>
        </w:rPr>
      </w:pPr>
    </w:p>
    <w:p w14:paraId="2E0F56D3" w14:textId="768E11AF" w:rsidR="00C9355B" w:rsidRDefault="00C9355B" w:rsidP="00A06387">
      <w:pPr>
        <w:pStyle w:val="NoSpacing"/>
        <w:rPr>
          <w:rFonts w:ascii="Arial Black" w:hAnsi="Arial Black"/>
          <w:sz w:val="28"/>
          <w:szCs w:val="28"/>
        </w:rPr>
      </w:pPr>
      <w:r>
        <w:rPr>
          <w:rFonts w:ascii="Arial Black" w:hAnsi="Arial Black"/>
          <w:sz w:val="28"/>
          <w:szCs w:val="28"/>
        </w:rPr>
        <w:t>6-29</w:t>
      </w:r>
    </w:p>
    <w:p w14:paraId="2F4A87B0" w14:textId="77777777" w:rsidR="00C9355B" w:rsidRDefault="00C9355B" w:rsidP="00C9355B">
      <w:pPr>
        <w:spacing w:before="100" w:beforeAutospacing="1" w:after="100" w:afterAutospacing="1"/>
        <w:rPr>
          <w:rFonts w:ascii="Arial Black" w:eastAsia="Times New Roman" w:hAnsi="Arial Black"/>
          <w:bCs/>
          <w:sz w:val="28"/>
          <w:szCs w:val="28"/>
        </w:rPr>
      </w:pPr>
      <w:r w:rsidRPr="005463FA">
        <w:rPr>
          <w:rFonts w:ascii="Arial Black" w:eastAsia="Times New Roman" w:hAnsi="Arial Black"/>
          <w:bCs/>
          <w:sz w:val="28"/>
          <w:szCs w:val="28"/>
        </w:rPr>
        <w:t xml:space="preserve">IL: </w:t>
      </w:r>
      <w:r>
        <w:rPr>
          <w:rFonts w:ascii="Arial Black" w:eastAsia="Times New Roman" w:hAnsi="Arial Black"/>
          <w:bCs/>
          <w:sz w:val="28"/>
          <w:szCs w:val="28"/>
        </w:rPr>
        <w:t>PARAMEDIC LIFTING WEIGHTS – CLAIMED RIGHT FOOT INJURY – LATER VIDEOTAPED WORKING OUT, WALKING OK – CLAIM DENIED</w:t>
      </w:r>
    </w:p>
    <w:p w14:paraId="5793B94E" w14:textId="71B5CDF1" w:rsidR="00C9355B" w:rsidRDefault="00C9355B" w:rsidP="00E40E39">
      <w:pPr>
        <w:spacing w:before="100" w:beforeAutospacing="1" w:after="100" w:afterAutospacing="1"/>
        <w:rPr>
          <w:rFonts w:ascii="Times New Roman" w:hAnsi="Times New Roman"/>
          <w:bCs/>
          <w:sz w:val="24"/>
          <w:szCs w:val="24"/>
        </w:rPr>
      </w:pPr>
      <w:r w:rsidRPr="004236BE">
        <w:rPr>
          <w:rFonts w:ascii="Times New Roman" w:eastAsia="Times New Roman" w:hAnsi="Times New Roman"/>
          <w:sz w:val="24"/>
          <w:szCs w:val="24"/>
        </w:rPr>
        <w:t xml:space="preserve">On Dec. 27, 2019, in </w:t>
      </w:r>
      <w:r w:rsidRPr="004236BE">
        <w:rPr>
          <w:rFonts w:ascii="Times New Roman" w:eastAsia="Times New Roman" w:hAnsi="Times New Roman"/>
          <w:sz w:val="24"/>
          <w:szCs w:val="24"/>
          <w:u w:val="single"/>
        </w:rPr>
        <w:t>Brian Isenhardt v. Illinois Workers’ Compensation Commission</w:t>
      </w:r>
      <w:r w:rsidRPr="004236BE">
        <w:rPr>
          <w:rFonts w:ascii="Times New Roman" w:eastAsia="Times New Roman" w:hAnsi="Times New Roman"/>
          <w:sz w:val="24"/>
          <w:szCs w:val="24"/>
        </w:rPr>
        <w:t xml:space="preserve">, the Appellate Court of Illinois, First District / Workers’ Compensation Commission Division, held (5 to 0) that the Commission had properly denied the firefighter’s claim.  </w:t>
      </w:r>
    </w:p>
    <w:p w14:paraId="5938BA74" w14:textId="77777777" w:rsidR="00C9355B" w:rsidRPr="004236BE" w:rsidRDefault="00C9355B" w:rsidP="00C9355B">
      <w:pPr>
        <w:spacing w:before="100" w:beforeAutospacing="1" w:after="100" w:afterAutospacing="1"/>
        <w:ind w:left="720"/>
        <w:rPr>
          <w:rFonts w:ascii="Times New Roman" w:hAnsi="Times New Roman"/>
          <w:b/>
          <w:bCs/>
          <w:sz w:val="24"/>
          <w:szCs w:val="24"/>
        </w:rPr>
      </w:pPr>
      <w:r w:rsidRPr="004236BE">
        <w:rPr>
          <w:rFonts w:ascii="Times New Roman" w:hAnsi="Times New Roman"/>
          <w:bCs/>
          <w:sz w:val="24"/>
          <w:szCs w:val="24"/>
        </w:rPr>
        <w:lastRenderedPageBreak/>
        <w:t xml:space="preserve">“The Village also called Erik Ekstrom, a private investigator hired to investigate the claimant. Ekstrom testified that, during his surveillance on January 13, 2015, he observed the claimant walking with a normal gait, taking out the trash, and performing chest exercises at the gym. According to Ekstrom, on January 15, 2015, he observed the claimant walking with a usual gait without the assistance of crutches on his entrance and exit from the gym. He also observed the claimant on the treadmill, lifting </w:t>
      </w:r>
      <w:proofErr w:type="gramStart"/>
      <w:r w:rsidRPr="004236BE">
        <w:rPr>
          <w:rFonts w:ascii="Times New Roman" w:hAnsi="Times New Roman"/>
          <w:bCs/>
          <w:sz w:val="24"/>
          <w:szCs w:val="24"/>
        </w:rPr>
        <w:t>50 to 70 pound</w:t>
      </w:r>
      <w:proofErr w:type="gramEnd"/>
      <w:r w:rsidRPr="004236BE">
        <w:rPr>
          <w:rFonts w:ascii="Times New Roman" w:hAnsi="Times New Roman"/>
          <w:bCs/>
          <w:sz w:val="24"/>
          <w:szCs w:val="24"/>
        </w:rPr>
        <w:t xml:space="preserve"> weights above his head, while simultaneously </w:t>
      </w:r>
      <w:proofErr w:type="spellStart"/>
      <w:r w:rsidRPr="004236BE">
        <w:rPr>
          <w:rFonts w:ascii="Times New Roman" w:hAnsi="Times New Roman"/>
          <w:bCs/>
          <w:sz w:val="24"/>
          <w:szCs w:val="24"/>
        </w:rPr>
        <w:t>lexing</w:t>
      </w:r>
      <w:proofErr w:type="spellEnd"/>
      <w:r w:rsidRPr="004236BE">
        <w:rPr>
          <w:rFonts w:ascii="Times New Roman" w:hAnsi="Times New Roman"/>
          <w:bCs/>
          <w:sz w:val="24"/>
          <w:szCs w:val="24"/>
        </w:rPr>
        <w:t xml:space="preserve"> both ankles and standing on his “tippy toes,” without appearing to be in pain. Ekstrom recorded video during his surveillance, and a DVD of that video was admitted into evidence. </w:t>
      </w:r>
    </w:p>
    <w:p w14:paraId="7055DB2A" w14:textId="77777777" w:rsidR="00C9355B" w:rsidRPr="004236BE" w:rsidRDefault="00C9355B" w:rsidP="00C9355B">
      <w:pPr>
        <w:spacing w:before="100" w:beforeAutospacing="1" w:after="100" w:afterAutospacing="1"/>
        <w:ind w:left="720"/>
        <w:rPr>
          <w:rFonts w:ascii="Times New Roman" w:eastAsia="Times New Roman" w:hAnsi="Times New Roman"/>
          <w:b/>
          <w:bCs/>
          <w:sz w:val="24"/>
          <w:szCs w:val="24"/>
        </w:rPr>
      </w:pPr>
      <w:r w:rsidRPr="004236BE">
        <w:rPr>
          <w:rFonts w:ascii="Times New Roman" w:hAnsi="Times New Roman"/>
          <w:bCs/>
          <w:sz w:val="24"/>
          <w:szCs w:val="24"/>
        </w:rPr>
        <w:t>***</w:t>
      </w:r>
    </w:p>
    <w:p w14:paraId="28C5D119" w14:textId="77777777" w:rsidR="00C9355B" w:rsidRPr="004236BE" w:rsidRDefault="00C9355B" w:rsidP="00C9355B">
      <w:pPr>
        <w:pStyle w:val="NoSpacing"/>
        <w:ind w:left="720"/>
        <w:rPr>
          <w:rFonts w:ascii="Times New Roman" w:hAnsi="Times New Roman"/>
          <w:b/>
          <w:bCs/>
          <w:sz w:val="24"/>
          <w:szCs w:val="24"/>
        </w:rPr>
      </w:pPr>
      <w:r w:rsidRPr="004236BE">
        <w:rPr>
          <w:rFonts w:ascii="Times New Roman" w:hAnsi="Times New Roman"/>
          <w:bCs/>
          <w:sz w:val="24"/>
          <w:szCs w:val="24"/>
        </w:rPr>
        <w:t xml:space="preserve">The Commission found the claimant’s testimony not credible and found his ‘subjective complaints’ of pain ‘questionable’ based on his ankle and foot MRIs, which did not reveal any acute pathology, as well as the testimonies of both [HR employee] Majda and Eriksom, who observed the claimant, subsequent to November 8, 2014, weightlifting and walking normally without assistance or apparent pain.” </w:t>
      </w:r>
      <w:hyperlink r:id="rId1300" w:history="1">
        <w:r w:rsidRPr="004236BE">
          <w:rPr>
            <w:rStyle w:val="Hyperlink"/>
            <w:rFonts w:ascii="Times New Roman" w:hAnsi="Times New Roman"/>
            <w:b/>
            <w:sz w:val="24"/>
            <w:szCs w:val="24"/>
          </w:rPr>
          <w:t>https://courts.illinois.gov/R23_Orders/WorkersComp/2020/1190373WC_R23.pdf</w:t>
        </w:r>
      </w:hyperlink>
      <w:r w:rsidRPr="004236BE">
        <w:rPr>
          <w:rFonts w:ascii="Times New Roman" w:hAnsi="Times New Roman"/>
          <w:bCs/>
          <w:sz w:val="24"/>
          <w:szCs w:val="24"/>
        </w:rPr>
        <w:t xml:space="preserve"> </w:t>
      </w:r>
    </w:p>
    <w:p w14:paraId="68909A50" w14:textId="77777777" w:rsidR="00C9355B" w:rsidRDefault="00C9355B" w:rsidP="00C9355B">
      <w:pPr>
        <w:pStyle w:val="NoSpacing"/>
        <w:tabs>
          <w:tab w:val="left" w:pos="3210"/>
        </w:tabs>
        <w:rPr>
          <w:rFonts w:ascii="Times New Roman" w:hAnsi="Times New Roman"/>
          <w:b/>
          <w:bCs/>
          <w:sz w:val="24"/>
          <w:szCs w:val="24"/>
        </w:rPr>
      </w:pPr>
    </w:p>
    <w:p w14:paraId="5F243CEE" w14:textId="0C425A58" w:rsidR="00C9355B" w:rsidRPr="004236BE" w:rsidRDefault="00C9355B" w:rsidP="00C9355B">
      <w:pPr>
        <w:pStyle w:val="NoSpacing"/>
        <w:tabs>
          <w:tab w:val="left" w:pos="3210"/>
        </w:tabs>
        <w:rPr>
          <w:rFonts w:ascii="Times New Roman" w:hAnsi="Times New Roman"/>
          <w:b/>
          <w:bCs/>
          <w:sz w:val="24"/>
          <w:szCs w:val="24"/>
        </w:rPr>
      </w:pPr>
      <w:r w:rsidRPr="004236BE">
        <w:rPr>
          <w:rFonts w:ascii="Times New Roman" w:hAnsi="Times New Roman"/>
          <w:b/>
          <w:bCs/>
          <w:sz w:val="24"/>
          <w:szCs w:val="24"/>
        </w:rPr>
        <w:t>Legal Lessons Learned:  The private investigator’s video, and the report of the independent medical examiner</w:t>
      </w:r>
      <w:r>
        <w:rPr>
          <w:rFonts w:ascii="Times New Roman" w:hAnsi="Times New Roman"/>
          <w:b/>
          <w:bCs/>
          <w:sz w:val="24"/>
          <w:szCs w:val="24"/>
        </w:rPr>
        <w:t>, and testimony by HR employee, all</w:t>
      </w:r>
      <w:r w:rsidRPr="004236BE">
        <w:rPr>
          <w:rFonts w:ascii="Times New Roman" w:hAnsi="Times New Roman"/>
          <w:b/>
          <w:bCs/>
          <w:sz w:val="24"/>
          <w:szCs w:val="24"/>
        </w:rPr>
        <w:t xml:space="preserve"> led to denial of the claim. </w:t>
      </w:r>
    </w:p>
    <w:p w14:paraId="6D995B25" w14:textId="77777777" w:rsidR="00C9355B" w:rsidRDefault="00C9355B" w:rsidP="00A06387">
      <w:pPr>
        <w:pStyle w:val="NoSpacing"/>
        <w:rPr>
          <w:rFonts w:ascii="Arial Black" w:hAnsi="Arial Black"/>
          <w:sz w:val="28"/>
          <w:szCs w:val="28"/>
        </w:rPr>
      </w:pPr>
    </w:p>
    <w:p w14:paraId="27D8882C" w14:textId="38ECBFAD" w:rsidR="00C9355B" w:rsidRDefault="00C9355B" w:rsidP="00A06387">
      <w:pPr>
        <w:pStyle w:val="NoSpacing"/>
        <w:rPr>
          <w:rFonts w:ascii="Arial Black" w:hAnsi="Arial Black"/>
          <w:sz w:val="28"/>
          <w:szCs w:val="28"/>
        </w:rPr>
      </w:pPr>
    </w:p>
    <w:p w14:paraId="6D821275" w14:textId="320AFEB4" w:rsidR="00C9355B" w:rsidRDefault="00C9355B" w:rsidP="00A06387">
      <w:pPr>
        <w:pStyle w:val="NoSpacing"/>
        <w:rPr>
          <w:rFonts w:ascii="Arial Black" w:hAnsi="Arial Black"/>
          <w:sz w:val="28"/>
          <w:szCs w:val="28"/>
        </w:rPr>
      </w:pPr>
    </w:p>
    <w:p w14:paraId="6AD9FDF4" w14:textId="77777777" w:rsidR="00C9355B" w:rsidRDefault="00C9355B" w:rsidP="00A06387">
      <w:pPr>
        <w:pStyle w:val="NoSpacing"/>
        <w:rPr>
          <w:rFonts w:ascii="Arial Black" w:hAnsi="Arial Black"/>
          <w:sz w:val="28"/>
          <w:szCs w:val="28"/>
        </w:rPr>
      </w:pPr>
    </w:p>
    <w:p w14:paraId="1BB8B635" w14:textId="77777777" w:rsidR="00F27CD5" w:rsidRDefault="00F27CD5" w:rsidP="00A06387">
      <w:pPr>
        <w:pStyle w:val="NoSpacing"/>
        <w:rPr>
          <w:rFonts w:ascii="Arial Black" w:hAnsi="Arial Black"/>
          <w:sz w:val="28"/>
          <w:szCs w:val="28"/>
        </w:rPr>
      </w:pPr>
    </w:p>
    <w:p w14:paraId="35303F2E" w14:textId="4AB1A2A0" w:rsidR="007C6FEF" w:rsidRDefault="007C6FEF" w:rsidP="00A06387">
      <w:pPr>
        <w:pStyle w:val="NoSpacing"/>
        <w:rPr>
          <w:rFonts w:ascii="Arial Black" w:hAnsi="Arial Black"/>
          <w:sz w:val="28"/>
          <w:szCs w:val="28"/>
        </w:rPr>
      </w:pPr>
      <w:r>
        <w:rPr>
          <w:rFonts w:ascii="Arial Black" w:hAnsi="Arial Black"/>
          <w:sz w:val="28"/>
          <w:szCs w:val="28"/>
        </w:rPr>
        <w:t>6-28</w:t>
      </w:r>
    </w:p>
    <w:p w14:paraId="526835EF" w14:textId="5C60C775" w:rsidR="007C6FEF" w:rsidRDefault="007C6FEF" w:rsidP="00A06387">
      <w:pPr>
        <w:pStyle w:val="NoSpacing"/>
        <w:rPr>
          <w:rFonts w:ascii="Arial Black" w:hAnsi="Arial Black"/>
          <w:sz w:val="28"/>
          <w:szCs w:val="28"/>
        </w:rPr>
      </w:pPr>
    </w:p>
    <w:p w14:paraId="6B8E3B07" w14:textId="77777777" w:rsidR="007C6FEF" w:rsidRPr="00B01F90" w:rsidRDefault="007C6FEF" w:rsidP="007C6FEF">
      <w:pPr>
        <w:rPr>
          <w:rFonts w:ascii="Arial Black" w:hAnsi="Arial Black"/>
          <w:sz w:val="28"/>
          <w:szCs w:val="28"/>
        </w:rPr>
      </w:pPr>
      <w:r w:rsidRPr="00B01F90">
        <w:rPr>
          <w:rFonts w:ascii="Arial Black" w:hAnsi="Arial Black"/>
          <w:sz w:val="28"/>
          <w:szCs w:val="28"/>
        </w:rPr>
        <w:t>PA</w:t>
      </w:r>
      <w:r>
        <w:rPr>
          <w:rFonts w:ascii="Arial Black" w:hAnsi="Arial Black"/>
          <w:sz w:val="28"/>
          <w:szCs w:val="28"/>
        </w:rPr>
        <w:t xml:space="preserve">: </w:t>
      </w:r>
      <w:r w:rsidRPr="00B01F90">
        <w:rPr>
          <w:rFonts w:ascii="Arial Black" w:hAnsi="Arial Black"/>
          <w:sz w:val="28"/>
          <w:szCs w:val="28"/>
        </w:rPr>
        <w:t>PHIL</w:t>
      </w:r>
      <w:r>
        <w:rPr>
          <w:rFonts w:ascii="Arial Black" w:hAnsi="Arial Black"/>
          <w:sz w:val="28"/>
          <w:szCs w:val="28"/>
        </w:rPr>
        <w:t xml:space="preserve">ADEPHIA </w:t>
      </w:r>
      <w:r w:rsidRPr="00B01F90">
        <w:rPr>
          <w:rFonts w:ascii="Arial Black" w:hAnsi="Arial Black"/>
          <w:sz w:val="28"/>
          <w:szCs w:val="28"/>
        </w:rPr>
        <w:t xml:space="preserve">FF WITH LUNG CANCER – SMOKER </w:t>
      </w:r>
      <w:r>
        <w:rPr>
          <w:rFonts w:ascii="Arial Black" w:hAnsi="Arial Black"/>
          <w:sz w:val="28"/>
          <w:szCs w:val="28"/>
        </w:rPr>
        <w:t>–</w:t>
      </w:r>
      <w:r w:rsidRPr="00B01F90">
        <w:rPr>
          <w:rFonts w:ascii="Arial Black" w:hAnsi="Arial Black"/>
          <w:sz w:val="28"/>
          <w:szCs w:val="28"/>
        </w:rPr>
        <w:t xml:space="preserve"> </w:t>
      </w:r>
      <w:r>
        <w:rPr>
          <w:rFonts w:ascii="Arial Black" w:hAnsi="Arial Black"/>
          <w:sz w:val="28"/>
          <w:szCs w:val="28"/>
        </w:rPr>
        <w:t xml:space="preserve">WILL RECEIVE WORKERS COMP BENEFITS – 2011 </w:t>
      </w:r>
      <w:r w:rsidRPr="00B01F90">
        <w:rPr>
          <w:rFonts w:ascii="Arial Black" w:hAnsi="Arial Black"/>
          <w:sz w:val="28"/>
          <w:szCs w:val="28"/>
        </w:rPr>
        <w:t>STATUTORY PRESUMPTION</w:t>
      </w:r>
      <w:r>
        <w:rPr>
          <w:rFonts w:ascii="Arial Black" w:hAnsi="Arial Black"/>
          <w:sz w:val="28"/>
          <w:szCs w:val="28"/>
        </w:rPr>
        <w:t xml:space="preserve"> LAW</w:t>
      </w:r>
    </w:p>
    <w:p w14:paraId="4A7B614C" w14:textId="77777777" w:rsidR="007C6FEF" w:rsidRDefault="007C6FEF" w:rsidP="007C6FEF">
      <w:pPr>
        <w:rPr>
          <w:rFonts w:ascii="Times New Roman" w:hAnsi="Times New Roman"/>
          <w:sz w:val="24"/>
          <w:szCs w:val="24"/>
        </w:rPr>
      </w:pPr>
      <w:r w:rsidRPr="00B01F90">
        <w:rPr>
          <w:rFonts w:ascii="Times New Roman" w:hAnsi="Times New Roman"/>
          <w:sz w:val="24"/>
          <w:szCs w:val="24"/>
        </w:rPr>
        <w:t xml:space="preserve">On Jan. 3, 2020, in </w:t>
      </w:r>
      <w:r w:rsidRPr="00B01F90">
        <w:rPr>
          <w:rFonts w:ascii="Times New Roman" w:hAnsi="Times New Roman"/>
          <w:sz w:val="24"/>
          <w:szCs w:val="24"/>
          <w:u w:val="single"/>
        </w:rPr>
        <w:t>Wayne Deloatch v. Workers’ Compensation Appeal Board (City of Philadelphia)</w:t>
      </w:r>
      <w:r>
        <w:rPr>
          <w:rFonts w:ascii="Times New Roman" w:hAnsi="Times New Roman"/>
          <w:sz w:val="24"/>
          <w:szCs w:val="24"/>
        </w:rPr>
        <w:t xml:space="preserve">, the Commonwealth Court of Pennsylvania held (3 to 0) that the firefighter is entitled to benefits.  </w:t>
      </w:r>
    </w:p>
    <w:p w14:paraId="7A506DDB" w14:textId="77777777" w:rsidR="007C6FEF" w:rsidRPr="00F56F6D" w:rsidRDefault="007C6FEF" w:rsidP="007C6FEF">
      <w:pPr>
        <w:spacing w:before="100" w:beforeAutospacing="1" w:after="100" w:afterAutospacing="1" w:line="240" w:lineRule="auto"/>
        <w:ind w:left="720"/>
        <w:rPr>
          <w:rFonts w:ascii="Times New Roman" w:eastAsia="Times New Roman" w:hAnsi="Times New Roman"/>
          <w:sz w:val="24"/>
          <w:szCs w:val="24"/>
        </w:rPr>
      </w:pPr>
      <w:r w:rsidRPr="00B01F90">
        <w:rPr>
          <w:rFonts w:ascii="Times New Roman" w:eastAsia="Times New Roman" w:hAnsi="Times New Roman"/>
          <w:sz w:val="24"/>
          <w:szCs w:val="24"/>
        </w:rPr>
        <w:t>“</w:t>
      </w:r>
      <w:r w:rsidRPr="00B01F90">
        <w:rPr>
          <w:rFonts w:ascii="Times New Roman" w:hAnsi="Times New Roman"/>
          <w:sz w:val="24"/>
          <w:szCs w:val="24"/>
        </w:rPr>
        <w:t>During Claimant's firefighting career (20 years), he fought approximately 200-300 fires, including building, house, car, dumpster, trash, grass, and field fires, which exposed him to smoke.</w:t>
      </w:r>
      <w:r>
        <w:rPr>
          <w:rFonts w:ascii="Times New Roman" w:hAnsi="Times New Roman"/>
          <w:sz w:val="24"/>
          <w:szCs w:val="24"/>
        </w:rPr>
        <w:t xml:space="preserve"> *** </w:t>
      </w:r>
      <w:r w:rsidRPr="00B01F90">
        <w:rPr>
          <w:rFonts w:ascii="Times New Roman" w:eastAsia="Times New Roman" w:hAnsi="Times New Roman"/>
          <w:sz w:val="24"/>
          <w:szCs w:val="24"/>
        </w:rPr>
        <w:t>Claimant did not use the SCBA during exterior firefighting—</w:t>
      </w:r>
      <w:r w:rsidRPr="00B01F90">
        <w:rPr>
          <w:rFonts w:ascii="Times New Roman" w:eastAsia="Times New Roman" w:hAnsi="Times New Roman"/>
          <w:i/>
          <w:iCs/>
          <w:sz w:val="24"/>
          <w:szCs w:val="24"/>
        </w:rPr>
        <w:t>i</w:t>
      </w:r>
      <w:r w:rsidRPr="00B01F90">
        <w:rPr>
          <w:rFonts w:ascii="Times New Roman" w:eastAsia="Times New Roman" w:hAnsi="Times New Roman"/>
          <w:sz w:val="24"/>
          <w:szCs w:val="24"/>
        </w:rPr>
        <w:t>.</w:t>
      </w:r>
      <w:r w:rsidRPr="00B01F90">
        <w:rPr>
          <w:rFonts w:ascii="Times New Roman" w:eastAsia="Times New Roman" w:hAnsi="Times New Roman"/>
          <w:i/>
          <w:iCs/>
          <w:sz w:val="24"/>
          <w:szCs w:val="24"/>
        </w:rPr>
        <w:t>e</w:t>
      </w:r>
      <w:r w:rsidRPr="00B01F90">
        <w:rPr>
          <w:rFonts w:ascii="Times New Roman" w:eastAsia="Times New Roman" w:hAnsi="Times New Roman"/>
          <w:sz w:val="24"/>
          <w:szCs w:val="24"/>
        </w:rPr>
        <w:t xml:space="preserve">., outdoor firefighting—or overhaul, which entailed </w:t>
      </w:r>
      <w:r>
        <w:rPr>
          <w:rFonts w:ascii="Times New Roman" w:eastAsia="Times New Roman" w:hAnsi="Times New Roman"/>
          <w:sz w:val="24"/>
          <w:szCs w:val="24"/>
        </w:rPr>
        <w:t>‘</w:t>
      </w:r>
      <w:r w:rsidRPr="00B01F90">
        <w:rPr>
          <w:rFonts w:ascii="Times New Roman" w:eastAsia="Times New Roman" w:hAnsi="Times New Roman"/>
          <w:sz w:val="24"/>
          <w:szCs w:val="24"/>
        </w:rPr>
        <w:t>ripping of walls, ceilings, searching for any hidden fire and extinguishing that if it's visible.</w:t>
      </w:r>
      <w:r>
        <w:rPr>
          <w:rFonts w:ascii="Times New Roman" w:eastAsia="Times New Roman" w:hAnsi="Times New Roman"/>
          <w:sz w:val="24"/>
          <w:szCs w:val="24"/>
        </w:rPr>
        <w:t xml:space="preserve">’… </w:t>
      </w:r>
      <w:r w:rsidRPr="00B01F90">
        <w:rPr>
          <w:rFonts w:ascii="Times New Roman" w:eastAsia="Times New Roman" w:hAnsi="Times New Roman"/>
          <w:sz w:val="24"/>
          <w:szCs w:val="24"/>
        </w:rPr>
        <w:t>After exposure to each fire incident, Claimant's body would be coated in soot, and Claimant would often find soot in his nasal secretions up to a week after exposure</w:t>
      </w:r>
      <w:r>
        <w:rPr>
          <w:rFonts w:ascii="Times New Roman" w:eastAsia="Times New Roman" w:hAnsi="Times New Roman"/>
          <w:sz w:val="24"/>
          <w:szCs w:val="24"/>
        </w:rPr>
        <w:t xml:space="preserve">…. </w:t>
      </w:r>
      <w:r w:rsidRPr="00B01F90">
        <w:rPr>
          <w:rFonts w:ascii="Times New Roman" w:eastAsia="Times New Roman" w:hAnsi="Times New Roman"/>
          <w:sz w:val="24"/>
          <w:szCs w:val="24"/>
        </w:rPr>
        <w:t>Claimant further testified that he stopped smoking cigarettes in 2011, but had a 30 to 35-year-long smoking history</w:t>
      </w:r>
      <w:r>
        <w:rPr>
          <w:rFonts w:ascii="Times New Roman" w:eastAsia="Times New Roman" w:hAnsi="Times New Roman"/>
          <w:sz w:val="24"/>
          <w:szCs w:val="24"/>
        </w:rPr>
        <w:t xml:space="preserve">… </w:t>
      </w:r>
      <w:r w:rsidRPr="00B01F90">
        <w:rPr>
          <w:rFonts w:ascii="Times New Roman" w:eastAsia="Times New Roman" w:hAnsi="Times New Roman"/>
          <w:sz w:val="24"/>
          <w:szCs w:val="24"/>
        </w:rPr>
        <w:t>During that period, Claimant recalled smoking only one pack of cigarettes per week</w:t>
      </w:r>
      <w:r>
        <w:rPr>
          <w:rFonts w:ascii="Times New Roman" w:eastAsia="Times New Roman" w:hAnsi="Times New Roman"/>
          <w:sz w:val="24"/>
          <w:szCs w:val="24"/>
        </w:rPr>
        <w:t xml:space="preserve">…. </w:t>
      </w:r>
      <w:r w:rsidRPr="00B01F90">
        <w:rPr>
          <w:rFonts w:ascii="Times New Roman" w:eastAsia="Times New Roman" w:hAnsi="Times New Roman"/>
          <w:sz w:val="24"/>
          <w:szCs w:val="24"/>
        </w:rPr>
        <w:t xml:space="preserve">Firefighters were permitted to smoke in the fire stations, and Claimant worked with smokers during his career as a firefighter. </w:t>
      </w:r>
      <w:r>
        <w:rPr>
          <w:rFonts w:ascii="Times New Roman" w:eastAsia="Times New Roman" w:hAnsi="Times New Roman"/>
          <w:sz w:val="24"/>
          <w:szCs w:val="24"/>
        </w:rPr>
        <w:t xml:space="preserve">*** </w:t>
      </w:r>
      <w:r w:rsidRPr="00F56F6D">
        <w:rPr>
          <w:rFonts w:ascii="Times New Roman" w:eastAsia="Times New Roman" w:hAnsi="Times New Roman"/>
          <w:sz w:val="24"/>
          <w:szCs w:val="24"/>
        </w:rPr>
        <w:t>For the reasons set forth above, Claimant established that he was entitled to the statutory presumption under Section 301(f) of the Act, being that his lung cancer was caused by the occupation of firefighting. Employer failed to rebut the statutory presumption with substantial competent evidence that Claimant's</w:t>
      </w:r>
      <w:r>
        <w:rPr>
          <w:rFonts w:ascii="Times New Roman" w:eastAsia="Times New Roman" w:hAnsi="Times New Roman"/>
          <w:sz w:val="24"/>
          <w:szCs w:val="24"/>
        </w:rPr>
        <w:t xml:space="preserve"> </w:t>
      </w:r>
      <w:r w:rsidRPr="00F56F6D">
        <w:rPr>
          <w:rFonts w:ascii="Times New Roman" w:eastAsia="Times New Roman" w:hAnsi="Times New Roman"/>
          <w:sz w:val="24"/>
          <w:szCs w:val="24"/>
        </w:rPr>
        <w:t xml:space="preserve">cancer was caused by something other than his workplace exposure to IARC Group 1 carcinogens linked to lung cancer. </w:t>
      </w:r>
      <w:hyperlink r:id="rId1301" w:history="1">
        <w:r w:rsidRPr="00B01F90">
          <w:rPr>
            <w:rStyle w:val="Hyperlink"/>
            <w:rFonts w:ascii="Times New Roman" w:eastAsia="Times New Roman" w:hAnsi="Times New Roman"/>
            <w:sz w:val="24"/>
            <w:szCs w:val="24"/>
          </w:rPr>
          <w:t>https://public.fastcase.com/Wl%2B2t%2BeVuI35%2FN70vAMFZi2NtCwkTvdiKyrWKXTmtjwARSxGp50rXf7QoqUpwr%2BO</w:t>
        </w:r>
      </w:hyperlink>
      <w:r w:rsidRPr="00B01F90">
        <w:rPr>
          <w:rFonts w:ascii="Times New Roman" w:eastAsia="Times New Roman" w:hAnsi="Times New Roman"/>
          <w:sz w:val="24"/>
          <w:szCs w:val="24"/>
        </w:rPr>
        <w:t xml:space="preserve"> </w:t>
      </w:r>
    </w:p>
    <w:p w14:paraId="07D0AD1F" w14:textId="77777777" w:rsidR="007C6FEF" w:rsidRDefault="007C6FEF" w:rsidP="00A06387">
      <w:pPr>
        <w:pStyle w:val="NoSpacing"/>
        <w:rPr>
          <w:rFonts w:ascii="Arial Black" w:hAnsi="Arial Black"/>
          <w:sz w:val="28"/>
          <w:szCs w:val="28"/>
        </w:rPr>
      </w:pPr>
    </w:p>
    <w:p w14:paraId="3F6E0C59" w14:textId="77777777" w:rsidR="007C6FEF" w:rsidRDefault="007C6FEF" w:rsidP="00A06387">
      <w:pPr>
        <w:pStyle w:val="NoSpacing"/>
        <w:rPr>
          <w:rFonts w:ascii="Arial Black" w:hAnsi="Arial Black"/>
          <w:sz w:val="28"/>
          <w:szCs w:val="28"/>
        </w:rPr>
      </w:pPr>
    </w:p>
    <w:p w14:paraId="54CC9EBF" w14:textId="77777777" w:rsidR="007C6FEF" w:rsidRDefault="007C6FEF" w:rsidP="00A06387">
      <w:pPr>
        <w:pStyle w:val="NoSpacing"/>
        <w:rPr>
          <w:rFonts w:ascii="Arial Black" w:hAnsi="Arial Black"/>
          <w:sz w:val="28"/>
          <w:szCs w:val="28"/>
        </w:rPr>
      </w:pPr>
    </w:p>
    <w:p w14:paraId="1BF140C3" w14:textId="7BDC7DA2" w:rsidR="007C6FEF" w:rsidRDefault="007C6FEF" w:rsidP="00A06387">
      <w:pPr>
        <w:pStyle w:val="NoSpacing"/>
        <w:rPr>
          <w:rFonts w:ascii="Arial Black" w:hAnsi="Arial Black"/>
          <w:sz w:val="28"/>
          <w:szCs w:val="28"/>
        </w:rPr>
      </w:pPr>
      <w:r>
        <w:rPr>
          <w:rFonts w:ascii="Arial Black" w:hAnsi="Arial Black"/>
          <w:sz w:val="28"/>
          <w:szCs w:val="28"/>
        </w:rPr>
        <w:t>6-27</w:t>
      </w:r>
    </w:p>
    <w:p w14:paraId="2FD1BD7D" w14:textId="3EF71137" w:rsidR="007C6FEF" w:rsidRDefault="007C6FEF" w:rsidP="007C6FEF">
      <w:pPr>
        <w:rPr>
          <w:rFonts w:ascii="Arial Black" w:hAnsi="Arial Black"/>
          <w:sz w:val="28"/>
          <w:szCs w:val="28"/>
        </w:rPr>
      </w:pPr>
      <w:r w:rsidRPr="00407E0E">
        <w:rPr>
          <w:rFonts w:ascii="Arial Black" w:hAnsi="Arial Black"/>
          <w:sz w:val="28"/>
          <w:szCs w:val="28"/>
        </w:rPr>
        <w:t>RI:</w:t>
      </w:r>
      <w:r>
        <w:rPr>
          <w:rFonts w:ascii="Arial Black" w:hAnsi="Arial Black"/>
          <w:sz w:val="28"/>
          <w:szCs w:val="28"/>
        </w:rPr>
        <w:t xml:space="preserve"> CRANSTON FF – 20 YRS ON FD - DIED COLON CANCER 2017 – RI SUPREME COURT DENIES WIDOW ACCIDENTAL DISABILITY PENSION</w:t>
      </w:r>
    </w:p>
    <w:p w14:paraId="1C5F38B5" w14:textId="77777777" w:rsidR="007C6FEF" w:rsidRDefault="007C6FEF" w:rsidP="007C6FEF">
      <w:pPr>
        <w:rPr>
          <w:b/>
          <w:bCs/>
        </w:rPr>
      </w:pPr>
      <w:r w:rsidRPr="00212873">
        <w:rPr>
          <w:rFonts w:ascii="Times New Roman" w:hAnsi="Times New Roman"/>
          <w:sz w:val="24"/>
          <w:szCs w:val="24"/>
        </w:rPr>
        <w:t xml:space="preserve">On Dec. 18, </w:t>
      </w:r>
      <w:proofErr w:type="gramStart"/>
      <w:r w:rsidRPr="00212873">
        <w:rPr>
          <w:rFonts w:ascii="Times New Roman" w:hAnsi="Times New Roman"/>
          <w:sz w:val="24"/>
          <w:szCs w:val="24"/>
        </w:rPr>
        <w:t>2019</w:t>
      </w:r>
      <w:proofErr w:type="gramEnd"/>
      <w:r w:rsidRPr="00212873">
        <w:rPr>
          <w:rFonts w:ascii="Times New Roman" w:hAnsi="Times New Roman"/>
          <w:sz w:val="24"/>
          <w:szCs w:val="24"/>
        </w:rPr>
        <w:t xml:space="preserve"> in </w:t>
      </w:r>
      <w:r w:rsidRPr="00212873">
        <w:rPr>
          <w:rFonts w:ascii="Times New Roman" w:hAnsi="Times New Roman"/>
          <w:sz w:val="24"/>
          <w:szCs w:val="24"/>
          <w:u w:val="single"/>
        </w:rPr>
        <w:t>Corrine A. Lang as Executrix of Estate of Kevin Land v. Municipal Employees’ Retirement System of Rhode Island</w:t>
      </w:r>
      <w:r w:rsidRPr="00212873">
        <w:rPr>
          <w:rFonts w:ascii="Times New Roman" w:hAnsi="Times New Roman"/>
          <w:sz w:val="24"/>
          <w:szCs w:val="24"/>
        </w:rPr>
        <w:t xml:space="preserve">, the Supreme Court of Rode Island </w:t>
      </w:r>
      <w:r>
        <w:rPr>
          <w:rFonts w:ascii="Times New Roman" w:hAnsi="Times New Roman"/>
          <w:sz w:val="24"/>
          <w:szCs w:val="24"/>
        </w:rPr>
        <w:t xml:space="preserve">ruled </w:t>
      </w:r>
      <w:r w:rsidRPr="00212873">
        <w:rPr>
          <w:rFonts w:ascii="Times New Roman" w:hAnsi="Times New Roman"/>
          <w:sz w:val="24"/>
          <w:szCs w:val="24"/>
        </w:rPr>
        <w:t>(4 to 1)</w:t>
      </w:r>
      <w:r>
        <w:rPr>
          <w:rFonts w:ascii="Times New Roman" w:hAnsi="Times New Roman"/>
          <w:sz w:val="24"/>
          <w:szCs w:val="24"/>
        </w:rPr>
        <w:t xml:space="preserve"> that the widow was not entitled to an award of accidental disability benefits, reversing the </w:t>
      </w:r>
      <w:r w:rsidRPr="00212873">
        <w:rPr>
          <w:rFonts w:ascii="Times New Roman" w:hAnsi="Times New Roman"/>
          <w:sz w:val="24"/>
          <w:szCs w:val="24"/>
        </w:rPr>
        <w:t>Appellate Division of the Workers’ Compensation Court</w:t>
      </w:r>
      <w:r>
        <w:rPr>
          <w:rFonts w:ascii="Times New Roman" w:hAnsi="Times New Roman"/>
          <w:sz w:val="24"/>
          <w:szCs w:val="24"/>
        </w:rPr>
        <w:t>.</w:t>
      </w:r>
    </w:p>
    <w:p w14:paraId="0E961C8B" w14:textId="0C0F387F" w:rsidR="007C6FEF" w:rsidRDefault="007C6FEF" w:rsidP="009F1927">
      <w:pPr>
        <w:pStyle w:val="NoSpacing"/>
        <w:ind w:left="720"/>
        <w:rPr>
          <w:rFonts w:ascii="Arial Black" w:hAnsi="Arial Black"/>
          <w:sz w:val="28"/>
          <w:szCs w:val="28"/>
        </w:rPr>
      </w:pPr>
      <w:r>
        <w:rPr>
          <w:rFonts w:ascii="Times New Roman" w:hAnsi="Times New Roman"/>
          <w:sz w:val="24"/>
          <w:szCs w:val="24"/>
        </w:rPr>
        <w:t>“</w:t>
      </w:r>
      <w:r w:rsidRPr="00212873">
        <w:rPr>
          <w:rFonts w:ascii="Times New Roman" w:hAnsi="Times New Roman"/>
          <w:sz w:val="24"/>
          <w:szCs w:val="24"/>
        </w:rPr>
        <w:t>To conclude that the language in § 45-19.1-1 creates a conclusive presumption would not only render the statutory definition of occupational cancer in § 45-19.1-2(d) meaningless</w:t>
      </w:r>
      <w:r>
        <w:rPr>
          <w:rFonts w:ascii="Times New Roman" w:hAnsi="Times New Roman"/>
          <w:sz w:val="24"/>
          <w:szCs w:val="24"/>
        </w:rPr>
        <w:t xml:space="preserve"> </w:t>
      </w:r>
      <w:r w:rsidRPr="00212873">
        <w:rPr>
          <w:rFonts w:ascii="Times New Roman" w:hAnsi="Times New Roman"/>
          <w:sz w:val="24"/>
          <w:szCs w:val="24"/>
        </w:rPr>
        <w:t xml:space="preserve">and create a right not found within the </w:t>
      </w:r>
      <w:proofErr w:type="gramStart"/>
      <w:r w:rsidRPr="00212873">
        <w:rPr>
          <w:rFonts w:ascii="Times New Roman" w:hAnsi="Times New Roman"/>
          <w:sz w:val="24"/>
          <w:szCs w:val="24"/>
        </w:rPr>
        <w:t>statute,</w:t>
      </w:r>
      <w:r>
        <w:rPr>
          <w:rFonts w:ascii="Times New Roman" w:hAnsi="Times New Roman"/>
          <w:sz w:val="24"/>
          <w:szCs w:val="24"/>
        </w:rPr>
        <w:t xml:space="preserve"> </w:t>
      </w:r>
      <w:r w:rsidRPr="00212873">
        <w:rPr>
          <w:rFonts w:ascii="Times New Roman" w:hAnsi="Times New Roman"/>
          <w:sz w:val="24"/>
          <w:szCs w:val="24"/>
        </w:rPr>
        <w:t>but</w:t>
      </w:r>
      <w:proofErr w:type="gramEnd"/>
      <w:r w:rsidRPr="00212873">
        <w:rPr>
          <w:rFonts w:ascii="Times New Roman" w:hAnsi="Times New Roman"/>
          <w:sz w:val="24"/>
          <w:szCs w:val="24"/>
        </w:rPr>
        <w:t xml:space="preserve"> would also construe the statute to reach an absurd result. For example, a conclusive presumption that all cancers in firefighters are occupational cancers would mean that a firefighter who</w:t>
      </w:r>
      <w:r>
        <w:rPr>
          <w:rFonts w:ascii="Times New Roman" w:hAnsi="Times New Roman"/>
          <w:sz w:val="24"/>
          <w:szCs w:val="24"/>
        </w:rPr>
        <w:t xml:space="preserve"> </w:t>
      </w:r>
      <w:r w:rsidRPr="00212873">
        <w:rPr>
          <w:rFonts w:ascii="Times New Roman" w:hAnsi="Times New Roman"/>
          <w:sz w:val="24"/>
          <w:szCs w:val="24"/>
        </w:rPr>
        <w:t>smoked four packs</w:t>
      </w:r>
      <w:r>
        <w:rPr>
          <w:rFonts w:ascii="Times New Roman" w:hAnsi="Times New Roman"/>
          <w:sz w:val="24"/>
          <w:szCs w:val="24"/>
        </w:rPr>
        <w:t xml:space="preserve"> </w:t>
      </w:r>
      <w:r w:rsidRPr="00212873">
        <w:rPr>
          <w:rFonts w:ascii="Times New Roman" w:hAnsi="Times New Roman"/>
          <w:sz w:val="24"/>
          <w:szCs w:val="24"/>
        </w:rPr>
        <w:t>of cigarettes a day</w:t>
      </w:r>
      <w:r>
        <w:rPr>
          <w:rFonts w:ascii="Times New Roman" w:hAnsi="Times New Roman"/>
          <w:sz w:val="24"/>
          <w:szCs w:val="24"/>
        </w:rPr>
        <w:t xml:space="preserve"> </w:t>
      </w:r>
      <w:r w:rsidRPr="00212873">
        <w:rPr>
          <w:rFonts w:ascii="Times New Roman" w:hAnsi="Times New Roman"/>
          <w:sz w:val="24"/>
          <w:szCs w:val="24"/>
        </w:rPr>
        <w:t>for decades</w:t>
      </w:r>
      <w:r>
        <w:rPr>
          <w:rFonts w:ascii="Times New Roman" w:hAnsi="Times New Roman"/>
          <w:sz w:val="24"/>
          <w:szCs w:val="24"/>
        </w:rPr>
        <w:t xml:space="preserve"> </w:t>
      </w:r>
      <w:r w:rsidRPr="00212873">
        <w:rPr>
          <w:rFonts w:ascii="Times New Roman" w:hAnsi="Times New Roman"/>
          <w:sz w:val="24"/>
          <w:szCs w:val="24"/>
        </w:rPr>
        <w:t>would receive an occupational cancer disability benefit despite not having proved</w:t>
      </w:r>
      <w:r>
        <w:rPr>
          <w:rFonts w:ascii="Times New Roman" w:hAnsi="Times New Roman"/>
          <w:sz w:val="24"/>
          <w:szCs w:val="24"/>
        </w:rPr>
        <w:t xml:space="preserve"> </w:t>
      </w:r>
      <w:r w:rsidRPr="00212873">
        <w:rPr>
          <w:rFonts w:ascii="Times New Roman" w:hAnsi="Times New Roman"/>
          <w:sz w:val="24"/>
          <w:szCs w:val="24"/>
        </w:rPr>
        <w:t>that his cancer was related</w:t>
      </w:r>
      <w:r>
        <w:rPr>
          <w:rFonts w:ascii="Times New Roman" w:hAnsi="Times New Roman"/>
          <w:sz w:val="24"/>
          <w:szCs w:val="24"/>
        </w:rPr>
        <w:t xml:space="preserve"> </w:t>
      </w:r>
      <w:r w:rsidRPr="00212873">
        <w:rPr>
          <w:rFonts w:ascii="Times New Roman" w:hAnsi="Times New Roman"/>
          <w:sz w:val="24"/>
          <w:szCs w:val="24"/>
        </w:rPr>
        <w:t>to exposure on the job.</w:t>
      </w:r>
      <w:r>
        <w:rPr>
          <w:rFonts w:ascii="Times New Roman" w:hAnsi="Times New Roman"/>
          <w:sz w:val="24"/>
          <w:szCs w:val="24"/>
        </w:rPr>
        <w:t xml:space="preserve"> </w:t>
      </w:r>
      <w:r w:rsidRPr="00212873">
        <w:rPr>
          <w:rFonts w:ascii="Times New Roman" w:hAnsi="Times New Roman"/>
          <w:sz w:val="24"/>
          <w:szCs w:val="24"/>
        </w:rPr>
        <w:t xml:space="preserve">Similarly, a conclusive presumption would provide occupational cancer benefits to a firefighter who contracted cancer </w:t>
      </w:r>
      <w:proofErr w:type="gramStart"/>
      <w:r w:rsidRPr="00212873">
        <w:rPr>
          <w:rFonts w:ascii="Times New Roman" w:hAnsi="Times New Roman"/>
          <w:sz w:val="24"/>
          <w:szCs w:val="24"/>
        </w:rPr>
        <w:t>as a result of</w:t>
      </w:r>
      <w:proofErr w:type="gramEnd"/>
      <w:r w:rsidRPr="00212873">
        <w:rPr>
          <w:rFonts w:ascii="Times New Roman" w:hAnsi="Times New Roman"/>
          <w:sz w:val="24"/>
          <w:szCs w:val="24"/>
        </w:rPr>
        <w:t xml:space="preserve"> exposure to</w:t>
      </w:r>
      <w:r>
        <w:rPr>
          <w:rFonts w:ascii="Times New Roman" w:hAnsi="Times New Roman"/>
          <w:sz w:val="24"/>
          <w:szCs w:val="24"/>
        </w:rPr>
        <w:t xml:space="preserve"> </w:t>
      </w:r>
      <w:r w:rsidRPr="00212873">
        <w:rPr>
          <w:rFonts w:ascii="Times New Roman" w:hAnsi="Times New Roman"/>
          <w:sz w:val="24"/>
          <w:szCs w:val="24"/>
        </w:rPr>
        <w:t>pesticides while landscaping in his</w:t>
      </w:r>
      <w:r>
        <w:rPr>
          <w:rFonts w:ascii="Times New Roman" w:hAnsi="Times New Roman"/>
          <w:sz w:val="24"/>
          <w:szCs w:val="24"/>
        </w:rPr>
        <w:t xml:space="preserve"> </w:t>
      </w:r>
      <w:r w:rsidRPr="00212873">
        <w:rPr>
          <w:rFonts w:ascii="Times New Roman" w:hAnsi="Times New Roman"/>
          <w:sz w:val="24"/>
          <w:szCs w:val="24"/>
        </w:rPr>
        <w:t>or her</w:t>
      </w:r>
      <w:r>
        <w:rPr>
          <w:rFonts w:ascii="Times New Roman" w:hAnsi="Times New Roman"/>
          <w:sz w:val="24"/>
          <w:szCs w:val="24"/>
        </w:rPr>
        <w:t xml:space="preserve"> </w:t>
      </w:r>
      <w:r w:rsidRPr="00212873">
        <w:rPr>
          <w:rFonts w:ascii="Times New Roman" w:hAnsi="Times New Roman"/>
          <w:sz w:val="24"/>
          <w:szCs w:val="24"/>
        </w:rPr>
        <w:t>yard.</w:t>
      </w:r>
      <w:r>
        <w:rPr>
          <w:rFonts w:ascii="Times New Roman" w:hAnsi="Times New Roman"/>
          <w:sz w:val="24"/>
          <w:szCs w:val="24"/>
        </w:rPr>
        <w:t xml:space="preserve"> </w:t>
      </w:r>
      <w:r w:rsidRPr="00212873">
        <w:rPr>
          <w:rFonts w:ascii="Times New Roman" w:hAnsi="Times New Roman"/>
          <w:sz w:val="24"/>
          <w:szCs w:val="24"/>
        </w:rPr>
        <w:t>We do not believe the General Assembly would have extended such broad</w:t>
      </w:r>
      <w:r>
        <w:rPr>
          <w:rFonts w:ascii="Times New Roman" w:hAnsi="Times New Roman"/>
          <w:sz w:val="24"/>
          <w:szCs w:val="24"/>
        </w:rPr>
        <w:t xml:space="preserve"> </w:t>
      </w:r>
      <w:r w:rsidRPr="00212873">
        <w:rPr>
          <w:rFonts w:ascii="Times New Roman" w:hAnsi="Times New Roman"/>
          <w:sz w:val="24"/>
          <w:szCs w:val="24"/>
        </w:rPr>
        <w:t>benefits to all firefighters without expressly providing for</w:t>
      </w:r>
      <w:r>
        <w:rPr>
          <w:rFonts w:ascii="Times New Roman" w:hAnsi="Times New Roman"/>
          <w:sz w:val="24"/>
          <w:szCs w:val="24"/>
        </w:rPr>
        <w:t xml:space="preserve"> </w:t>
      </w:r>
      <w:r w:rsidRPr="00212873">
        <w:rPr>
          <w:rFonts w:ascii="Times New Roman" w:hAnsi="Times New Roman"/>
          <w:sz w:val="24"/>
          <w:szCs w:val="24"/>
        </w:rPr>
        <w:t>such</w:t>
      </w:r>
      <w:r>
        <w:rPr>
          <w:rFonts w:ascii="Times New Roman" w:hAnsi="Times New Roman"/>
          <w:sz w:val="24"/>
          <w:szCs w:val="24"/>
        </w:rPr>
        <w:t xml:space="preserve"> </w:t>
      </w:r>
      <w:r w:rsidRPr="00212873">
        <w:rPr>
          <w:rFonts w:ascii="Times New Roman" w:hAnsi="Times New Roman"/>
          <w:sz w:val="24"/>
          <w:szCs w:val="24"/>
        </w:rPr>
        <w:t>in clear and unambiguous language.</w:t>
      </w:r>
      <w:r>
        <w:rPr>
          <w:rFonts w:ascii="Times New Roman" w:hAnsi="Times New Roman"/>
          <w:sz w:val="24"/>
          <w:szCs w:val="24"/>
        </w:rPr>
        <w:t xml:space="preserve">” </w:t>
      </w:r>
      <w:hyperlink r:id="rId1302" w:history="1">
        <w:r w:rsidRPr="005F7F38">
          <w:rPr>
            <w:rStyle w:val="Hyperlink"/>
            <w:rFonts w:ascii="Times New Roman" w:hAnsi="Times New Roman"/>
            <w:sz w:val="24"/>
            <w:szCs w:val="24"/>
          </w:rPr>
          <w:t>https://www.courts.ri.gov/Courts/SupremeCourt/SupremeOpinions/17-295.pdf</w:t>
        </w:r>
      </w:hyperlink>
    </w:p>
    <w:p w14:paraId="078BFD58" w14:textId="38B0BF00" w:rsidR="007C6FEF" w:rsidRDefault="007C6FEF" w:rsidP="00A06387">
      <w:pPr>
        <w:pStyle w:val="NoSpacing"/>
        <w:rPr>
          <w:rFonts w:ascii="Arial Black" w:hAnsi="Arial Black"/>
          <w:sz w:val="28"/>
          <w:szCs w:val="28"/>
        </w:rPr>
      </w:pPr>
    </w:p>
    <w:p w14:paraId="6F9C3319" w14:textId="14D33386" w:rsidR="009F1927" w:rsidRPr="009F1927" w:rsidRDefault="009F1927" w:rsidP="00A06387">
      <w:pPr>
        <w:pStyle w:val="NoSpacing"/>
        <w:rPr>
          <w:rFonts w:ascii="Times New Roman" w:hAnsi="Times New Roman"/>
          <w:b/>
          <w:bCs/>
          <w:sz w:val="24"/>
          <w:szCs w:val="24"/>
        </w:rPr>
      </w:pPr>
      <w:r w:rsidRPr="009F1927">
        <w:rPr>
          <w:rFonts w:ascii="Times New Roman" w:hAnsi="Times New Roman"/>
          <w:b/>
          <w:bCs/>
          <w:sz w:val="24"/>
          <w:szCs w:val="24"/>
        </w:rPr>
        <w:t>Legal Lessons Learned:</w:t>
      </w:r>
      <w:r>
        <w:rPr>
          <w:rFonts w:ascii="Times New Roman" w:hAnsi="Times New Roman"/>
          <w:b/>
          <w:bCs/>
          <w:sz w:val="24"/>
          <w:szCs w:val="24"/>
        </w:rPr>
        <w:t xml:space="preserve"> </w:t>
      </w:r>
      <w:r w:rsidRPr="009F1927">
        <w:rPr>
          <w:rFonts w:ascii="Times New Roman" w:hAnsi="Times New Roman"/>
          <w:b/>
          <w:bCs/>
          <w:sz w:val="24"/>
          <w:szCs w:val="24"/>
        </w:rPr>
        <w:t>Hopefully the Rhode Island legislature will promptly amend the statutory presumption statute</w:t>
      </w:r>
      <w:r>
        <w:rPr>
          <w:rFonts w:ascii="Times New Roman" w:hAnsi="Times New Roman"/>
          <w:b/>
          <w:bCs/>
          <w:sz w:val="24"/>
          <w:szCs w:val="24"/>
        </w:rPr>
        <w:t xml:space="preserve"> t</w:t>
      </w:r>
      <w:r w:rsidRPr="009F1927">
        <w:rPr>
          <w:rFonts w:ascii="Times New Roman" w:hAnsi="Times New Roman"/>
          <w:b/>
          <w:bCs/>
          <w:sz w:val="24"/>
          <w:szCs w:val="24"/>
        </w:rPr>
        <w:t xml:space="preserve">o clarify the burden of proof when firefighters have can </w:t>
      </w:r>
      <w:r>
        <w:rPr>
          <w:rFonts w:ascii="Times New Roman" w:hAnsi="Times New Roman"/>
          <w:b/>
          <w:bCs/>
          <w:sz w:val="24"/>
          <w:szCs w:val="24"/>
        </w:rPr>
        <w:t>be entitled to coverage.</w:t>
      </w:r>
    </w:p>
    <w:p w14:paraId="2C46F1A3" w14:textId="77777777" w:rsidR="009F1927" w:rsidRDefault="009F1927" w:rsidP="003464C5">
      <w:pPr>
        <w:rPr>
          <w:rFonts w:ascii="Times New Roman" w:hAnsi="Times New Roman"/>
          <w:bCs/>
          <w:sz w:val="24"/>
          <w:szCs w:val="24"/>
        </w:rPr>
      </w:pPr>
    </w:p>
    <w:p w14:paraId="557F7C5C" w14:textId="77777777" w:rsidR="007C6FEF" w:rsidRDefault="007C6FEF" w:rsidP="00A06387">
      <w:pPr>
        <w:pStyle w:val="NoSpacing"/>
        <w:rPr>
          <w:rFonts w:ascii="Arial Black" w:hAnsi="Arial Black"/>
          <w:sz w:val="28"/>
          <w:szCs w:val="28"/>
        </w:rPr>
      </w:pPr>
    </w:p>
    <w:p w14:paraId="29B521B5" w14:textId="2082D058" w:rsidR="00A52325" w:rsidRDefault="00A52325" w:rsidP="00A06387">
      <w:pPr>
        <w:pStyle w:val="NoSpacing"/>
        <w:rPr>
          <w:rFonts w:ascii="Arial Black" w:hAnsi="Arial Black"/>
          <w:sz w:val="28"/>
          <w:szCs w:val="28"/>
        </w:rPr>
      </w:pPr>
      <w:r>
        <w:rPr>
          <w:rFonts w:ascii="Arial Black" w:hAnsi="Arial Black"/>
          <w:sz w:val="28"/>
          <w:szCs w:val="28"/>
        </w:rPr>
        <w:t>6-26</w:t>
      </w:r>
    </w:p>
    <w:p w14:paraId="704048D5" w14:textId="6D3719CC" w:rsidR="00A52325" w:rsidRDefault="00A52325" w:rsidP="00A06387">
      <w:pPr>
        <w:pStyle w:val="NoSpacing"/>
        <w:rPr>
          <w:rFonts w:ascii="Arial Black" w:hAnsi="Arial Black"/>
          <w:sz w:val="28"/>
          <w:szCs w:val="28"/>
        </w:rPr>
      </w:pPr>
    </w:p>
    <w:p w14:paraId="00F9FC01" w14:textId="77777777" w:rsidR="00A52325" w:rsidRDefault="00A52325" w:rsidP="00A52325">
      <w:pPr>
        <w:pStyle w:val="NoSpacing"/>
        <w:rPr>
          <w:rFonts w:ascii="Arial Black" w:hAnsi="Arial Black" w:cstheme="minorBidi"/>
          <w:sz w:val="28"/>
          <w:szCs w:val="28"/>
        </w:rPr>
      </w:pPr>
      <w:r>
        <w:rPr>
          <w:rFonts w:ascii="Arial Black" w:hAnsi="Arial Black"/>
          <w:sz w:val="28"/>
          <w:szCs w:val="28"/>
        </w:rPr>
        <w:t xml:space="preserve">NY:  FDNY FF RESIGNED – PLED GUILTY TO FELONY - LYING TO FBI &amp; DOJ – NO RIGHT TO REINSTATEMENT </w:t>
      </w:r>
    </w:p>
    <w:p w14:paraId="11456ED5" w14:textId="77777777" w:rsidR="00A52325" w:rsidRDefault="00A52325" w:rsidP="00A52325">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Nov. 8, 2019, in </w:t>
      </w:r>
      <w:r>
        <w:rPr>
          <w:rFonts w:ascii="Times New Roman" w:hAnsi="Times New Roman"/>
          <w:sz w:val="24"/>
          <w:szCs w:val="24"/>
          <w:u w:val="single"/>
        </w:rPr>
        <w:t xml:space="preserve">Stephen </w:t>
      </w:r>
      <w:proofErr w:type="spellStart"/>
      <w:r>
        <w:rPr>
          <w:rFonts w:ascii="Times New Roman" w:hAnsi="Times New Roman"/>
          <w:sz w:val="24"/>
          <w:szCs w:val="24"/>
          <w:u w:val="single"/>
        </w:rPr>
        <w:t>Mcanulty</w:t>
      </w:r>
      <w:proofErr w:type="spellEnd"/>
      <w:r>
        <w:rPr>
          <w:rFonts w:ascii="Times New Roman" w:hAnsi="Times New Roman"/>
          <w:sz w:val="24"/>
          <w:szCs w:val="24"/>
          <w:u w:val="single"/>
        </w:rPr>
        <w:t xml:space="preserve"> v. Fire Department of City of New York</w:t>
      </w:r>
      <w:r>
        <w:rPr>
          <w:rFonts w:ascii="Times New Roman" w:hAnsi="Times New Roman"/>
          <w:sz w:val="24"/>
          <w:szCs w:val="24"/>
        </w:rPr>
        <w:t>, NY Supreme Court / Kings County (Judge Katherine A. Levine), the judge held the FDNY had no obligation to rehire the firefighter eight years after he resigned.</w:t>
      </w:r>
    </w:p>
    <w:p w14:paraId="2FB9AB43" w14:textId="77777777" w:rsidR="00A52325" w:rsidRDefault="00A52325" w:rsidP="00A52325">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“In sum, petitioner has not shown that the FDNY in any way violated lawful </w:t>
      </w:r>
      <w:proofErr w:type="gramStart"/>
      <w:r>
        <w:rPr>
          <w:rFonts w:ascii="Times New Roman" w:hAnsi="Times New Roman"/>
          <w:sz w:val="24"/>
          <w:szCs w:val="24"/>
        </w:rPr>
        <w:t>procedure, or</w:t>
      </w:r>
      <w:proofErr w:type="gramEnd"/>
      <w:r>
        <w:rPr>
          <w:rFonts w:ascii="Times New Roman" w:hAnsi="Times New Roman"/>
          <w:sz w:val="24"/>
          <w:szCs w:val="24"/>
        </w:rPr>
        <w:t xml:space="preserve"> deviated from the standards set forth in the PRR (55 RCNY Appendix A) § 6.2.1(a) and (b), and POL § 30(1)(e). The court finds that </w:t>
      </w:r>
      <w:proofErr w:type="gramStart"/>
      <w:r>
        <w:rPr>
          <w:rFonts w:ascii="Times New Roman" w:hAnsi="Times New Roman"/>
          <w:sz w:val="24"/>
          <w:szCs w:val="24"/>
        </w:rPr>
        <w:t>respondent's</w:t>
      </w:r>
      <w:proofErr w:type="gramEnd"/>
      <w:r>
        <w:rPr>
          <w:rFonts w:ascii="Times New Roman" w:hAnsi="Times New Roman"/>
          <w:sz w:val="24"/>
          <w:szCs w:val="24"/>
        </w:rPr>
        <w:t xml:space="preserve"> determination was reasonably based on the facts and </w:t>
      </w:r>
      <w:proofErr w:type="gramStart"/>
      <w:r>
        <w:rPr>
          <w:rFonts w:ascii="Times New Roman" w:hAnsi="Times New Roman"/>
          <w:sz w:val="24"/>
          <w:szCs w:val="24"/>
        </w:rPr>
        <w:t>law, and</w:t>
      </w:r>
      <w:proofErr w:type="gramEnd"/>
      <w:r>
        <w:rPr>
          <w:rFonts w:ascii="Times New Roman" w:hAnsi="Times New Roman"/>
          <w:sz w:val="24"/>
          <w:szCs w:val="24"/>
        </w:rPr>
        <w:t xml:space="preserve"> was not arbitrary and capricious or an abuse of discretion. Therefore, the petition is denied. This constitutes the </w:t>
      </w:r>
      <w:r>
        <w:rPr>
          <w:rFonts w:ascii="Times New Roman" w:hAnsi="Times New Roman"/>
          <w:sz w:val="24"/>
          <w:szCs w:val="24"/>
        </w:rPr>
        <w:lastRenderedPageBreak/>
        <w:t xml:space="preserve">decision and order of the court.” </w:t>
      </w:r>
      <w:hyperlink r:id="rId1303" w:history="1">
        <w:r>
          <w:rPr>
            <w:rStyle w:val="Hyperlink"/>
            <w:rFonts w:ascii="Times New Roman" w:hAnsi="Times New Roman"/>
            <w:sz w:val="24"/>
            <w:szCs w:val="24"/>
          </w:rPr>
          <w:t>https://law.justia.com/cases/new-york/other-courts/2019/2019-ny-slip-op-29363.html</w:t>
        </w:r>
      </w:hyperlink>
      <w:r>
        <w:rPr>
          <w:rFonts w:ascii="Times New Roman" w:hAnsi="Times New Roman"/>
          <w:sz w:val="24"/>
          <w:szCs w:val="24"/>
        </w:rPr>
        <w:t xml:space="preserve"> </w:t>
      </w:r>
    </w:p>
    <w:p w14:paraId="75CC0547" w14:textId="77777777" w:rsidR="00A52325" w:rsidRDefault="00A52325" w:rsidP="00A52325">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 xml:space="preserve">Legal Lessons Learned:  FDNY was legally barred from reinstating a convicted felon whose conviction had never been vacated.  </w:t>
      </w:r>
    </w:p>
    <w:p w14:paraId="7E21E32C" w14:textId="77777777" w:rsidR="00A52325" w:rsidRDefault="00A52325" w:rsidP="00A06387">
      <w:pPr>
        <w:pStyle w:val="NoSpacing"/>
        <w:rPr>
          <w:rFonts w:ascii="Arial Black" w:hAnsi="Arial Black"/>
          <w:sz w:val="28"/>
          <w:szCs w:val="28"/>
        </w:rPr>
      </w:pPr>
    </w:p>
    <w:p w14:paraId="45110975" w14:textId="77777777" w:rsidR="00A52325" w:rsidRDefault="00A52325" w:rsidP="00A06387">
      <w:pPr>
        <w:pStyle w:val="NoSpacing"/>
        <w:rPr>
          <w:rFonts w:ascii="Arial Black" w:hAnsi="Arial Black"/>
          <w:sz w:val="28"/>
          <w:szCs w:val="28"/>
        </w:rPr>
      </w:pPr>
    </w:p>
    <w:p w14:paraId="0694928F" w14:textId="7515169A" w:rsidR="00A06387" w:rsidRDefault="00A06387" w:rsidP="00A06387">
      <w:pPr>
        <w:pStyle w:val="NoSpacing"/>
        <w:rPr>
          <w:rFonts w:ascii="Arial Black" w:hAnsi="Arial Black"/>
          <w:sz w:val="28"/>
          <w:szCs w:val="28"/>
        </w:rPr>
      </w:pPr>
      <w:r>
        <w:rPr>
          <w:rFonts w:ascii="Arial Black" w:hAnsi="Arial Black"/>
          <w:sz w:val="28"/>
          <w:szCs w:val="28"/>
        </w:rPr>
        <w:t>6-25</w:t>
      </w:r>
    </w:p>
    <w:p w14:paraId="2C6180D5" w14:textId="77777777" w:rsidR="00A06387" w:rsidRDefault="00A06387" w:rsidP="00A06387">
      <w:pPr>
        <w:pStyle w:val="NoSpacing"/>
        <w:rPr>
          <w:rFonts w:ascii="Arial Black" w:hAnsi="Arial Black"/>
          <w:sz w:val="28"/>
          <w:szCs w:val="28"/>
        </w:rPr>
      </w:pPr>
    </w:p>
    <w:p w14:paraId="2FD2CAC0" w14:textId="2AAE94F0" w:rsidR="00A06387" w:rsidRDefault="00A06387" w:rsidP="00A06387">
      <w:pPr>
        <w:pStyle w:val="NoSpacing"/>
        <w:rPr>
          <w:rFonts w:ascii="Arial Black" w:hAnsi="Arial Black"/>
          <w:sz w:val="28"/>
          <w:szCs w:val="28"/>
        </w:rPr>
      </w:pPr>
      <w:r>
        <w:rPr>
          <w:rFonts w:ascii="Arial Black" w:hAnsi="Arial Black"/>
          <w:sz w:val="28"/>
          <w:szCs w:val="28"/>
        </w:rPr>
        <w:t xml:space="preserve">WA: FF BRAIN MELANOMA - WINS PERMANENT DISABILITY – PREV. DENIED TEMPORARY DISAB, MELANOMA ON BACK </w:t>
      </w:r>
      <w:r>
        <w:rPr>
          <w:rFonts w:ascii="Arial Black" w:hAnsi="Arial Black"/>
          <w:sz w:val="28"/>
          <w:szCs w:val="28"/>
        </w:rPr>
        <w:br/>
      </w:r>
    </w:p>
    <w:p w14:paraId="44B8FB12" w14:textId="77777777" w:rsidR="00A06387" w:rsidRPr="009F1927" w:rsidRDefault="00A06387" w:rsidP="00A06387">
      <w:pPr>
        <w:pStyle w:val="NoSpacing"/>
        <w:rPr>
          <w:rFonts w:ascii="Times New Roman" w:hAnsi="Times New Roman"/>
          <w:sz w:val="24"/>
          <w:szCs w:val="24"/>
        </w:rPr>
      </w:pPr>
      <w:r w:rsidRPr="009F1927">
        <w:rPr>
          <w:rFonts w:ascii="Times New Roman" w:hAnsi="Times New Roman"/>
          <w:bCs/>
          <w:sz w:val="24"/>
          <w:szCs w:val="24"/>
        </w:rPr>
        <w:t xml:space="preserve">On Oct. 17, 2019, in </w:t>
      </w:r>
      <w:r w:rsidRPr="009F1927">
        <w:rPr>
          <w:rFonts w:ascii="Times New Roman" w:hAnsi="Times New Roman"/>
          <w:bCs/>
          <w:sz w:val="24"/>
          <w:szCs w:val="24"/>
          <w:u w:val="single"/>
        </w:rPr>
        <w:t>Michael Weaver v. City of Everett and State of Washington, Department of Labor &amp; Industries</w:t>
      </w:r>
      <w:r w:rsidRPr="009F1927">
        <w:rPr>
          <w:rFonts w:ascii="Times New Roman" w:hAnsi="Times New Roman"/>
          <w:bCs/>
          <w:sz w:val="24"/>
          <w:szCs w:val="24"/>
        </w:rPr>
        <w:t xml:space="preserve">, the Supreme Court of State of Washington, held (9 to 0) that the firefighter’s melanoma was an occupational disease entitling his to permanent disability benefits, even though the State had previously denied him temporary disability. </w:t>
      </w:r>
    </w:p>
    <w:p w14:paraId="0784BAC8" w14:textId="77777777" w:rsidR="00A06387" w:rsidRPr="009F1927" w:rsidRDefault="00A06387" w:rsidP="00A06387">
      <w:pPr>
        <w:pStyle w:val="NoSpacing"/>
        <w:rPr>
          <w:rFonts w:ascii="Times New Roman" w:hAnsi="Times New Roman"/>
          <w:b/>
          <w:bCs/>
          <w:sz w:val="24"/>
          <w:szCs w:val="24"/>
        </w:rPr>
      </w:pPr>
    </w:p>
    <w:p w14:paraId="09FE4AF3" w14:textId="77777777" w:rsidR="00A06387" w:rsidRPr="009F1927" w:rsidRDefault="00A06387" w:rsidP="00A06387">
      <w:pPr>
        <w:pStyle w:val="NoSpacing"/>
        <w:ind w:left="720"/>
        <w:rPr>
          <w:rFonts w:ascii="Times New Roman" w:hAnsi="Times New Roman"/>
          <w:b/>
          <w:bCs/>
          <w:sz w:val="24"/>
          <w:szCs w:val="24"/>
        </w:rPr>
      </w:pPr>
      <w:r w:rsidRPr="009F1927">
        <w:rPr>
          <w:rFonts w:ascii="Times New Roman" w:hAnsi="Times New Roman"/>
          <w:bCs/>
          <w:sz w:val="24"/>
          <w:szCs w:val="24"/>
        </w:rPr>
        <w:t xml:space="preserve">“We conclude that the substantial disparity of relief between Weaver's temporary and permanent disability claims kept Weaver from fully and vigorously litigating the issue at the temporary disability claim stage. Therefore, because applying the doctrine in this instance would work an injustice and contravene public policy, we hold that collateral estoppel does not </w:t>
      </w:r>
      <w:proofErr w:type="gramStart"/>
      <w:r w:rsidRPr="009F1927">
        <w:rPr>
          <w:rFonts w:ascii="Times New Roman" w:hAnsi="Times New Roman"/>
          <w:bCs/>
          <w:sz w:val="24"/>
          <w:szCs w:val="24"/>
        </w:rPr>
        <w:t>apply.”</w:t>
      </w:r>
      <w:proofErr w:type="gramEnd"/>
    </w:p>
    <w:p w14:paraId="7B8DF9E8" w14:textId="77777777" w:rsidR="00A06387" w:rsidRPr="009F1927" w:rsidRDefault="00A06387" w:rsidP="00A06387">
      <w:pPr>
        <w:pStyle w:val="NoSpacing"/>
        <w:ind w:left="720"/>
        <w:rPr>
          <w:rFonts w:ascii="Times New Roman" w:hAnsi="Times New Roman"/>
          <w:b/>
          <w:bCs/>
          <w:sz w:val="24"/>
          <w:szCs w:val="24"/>
        </w:rPr>
      </w:pPr>
      <w:hyperlink r:id="rId1304" w:history="1">
        <w:r w:rsidRPr="009F1927">
          <w:rPr>
            <w:rStyle w:val="Hyperlink"/>
            <w:rFonts w:ascii="Times New Roman" w:hAnsi="Times New Roman"/>
            <w:bCs/>
            <w:sz w:val="24"/>
            <w:szCs w:val="24"/>
          </w:rPr>
          <w:t>https://cases.justia.com/washington/supreme-court/2019-96189-1.pdf?ts=1571325618</w:t>
        </w:r>
      </w:hyperlink>
      <w:r w:rsidRPr="009F1927">
        <w:rPr>
          <w:rFonts w:ascii="Times New Roman" w:hAnsi="Times New Roman"/>
          <w:bCs/>
          <w:sz w:val="24"/>
          <w:szCs w:val="24"/>
        </w:rPr>
        <w:t xml:space="preserve"> </w:t>
      </w:r>
    </w:p>
    <w:p w14:paraId="6D0105BF" w14:textId="77777777" w:rsidR="009F1927" w:rsidRPr="009F1927" w:rsidRDefault="009F1927" w:rsidP="00A06387">
      <w:pPr>
        <w:pStyle w:val="NoSpacing"/>
        <w:rPr>
          <w:rFonts w:ascii="Times New Roman" w:hAnsi="Times New Roman"/>
          <w:b/>
          <w:bCs/>
          <w:sz w:val="24"/>
          <w:szCs w:val="24"/>
        </w:rPr>
      </w:pPr>
    </w:p>
    <w:p w14:paraId="395EE568" w14:textId="274DC165" w:rsidR="00A06387" w:rsidRPr="009F1927" w:rsidRDefault="00A06387" w:rsidP="00A06387">
      <w:pPr>
        <w:pStyle w:val="NoSpacing"/>
        <w:rPr>
          <w:rFonts w:ascii="Times New Roman" w:hAnsi="Times New Roman"/>
          <w:b/>
          <w:bCs/>
          <w:sz w:val="24"/>
          <w:szCs w:val="24"/>
        </w:rPr>
      </w:pPr>
      <w:r w:rsidRPr="009F1927">
        <w:rPr>
          <w:rFonts w:ascii="Times New Roman" w:hAnsi="Times New Roman"/>
          <w:b/>
          <w:bCs/>
          <w:sz w:val="24"/>
          <w:szCs w:val="24"/>
        </w:rPr>
        <w:t>Legal Lessons Learned: Nice to see Court supporting a firefighter’s cancer claim, to avoid an “injustice.”</w:t>
      </w:r>
    </w:p>
    <w:p w14:paraId="08939695" w14:textId="77777777" w:rsidR="00A06387" w:rsidRPr="009F1927" w:rsidRDefault="00A06387" w:rsidP="00A06387">
      <w:pPr>
        <w:pStyle w:val="NoSpacing"/>
        <w:ind w:left="720"/>
        <w:rPr>
          <w:rFonts w:ascii="Times New Roman" w:hAnsi="Times New Roman"/>
          <w:b/>
          <w:bCs/>
          <w:sz w:val="24"/>
          <w:szCs w:val="24"/>
        </w:rPr>
      </w:pPr>
    </w:p>
    <w:p w14:paraId="10B92AE0" w14:textId="77777777" w:rsidR="00A06387" w:rsidRDefault="00A06387" w:rsidP="00A06387">
      <w:pPr>
        <w:pStyle w:val="NoSpacing"/>
        <w:rPr>
          <w:b/>
          <w:bCs/>
          <w:sz w:val="24"/>
          <w:szCs w:val="24"/>
        </w:rPr>
      </w:pPr>
    </w:p>
    <w:p w14:paraId="4F08270A" w14:textId="056C5035" w:rsidR="00A06387" w:rsidRPr="0005503D" w:rsidRDefault="00A06387" w:rsidP="0005503D">
      <w:pPr>
        <w:pStyle w:val="NoSpacing"/>
        <w:rPr>
          <w:rFonts w:ascii="Times New Roman" w:hAnsi="Times New Roman"/>
          <w:sz w:val="24"/>
          <w:szCs w:val="24"/>
        </w:rPr>
      </w:pPr>
    </w:p>
    <w:p w14:paraId="3AC5B2C0" w14:textId="77777777" w:rsidR="00A06387" w:rsidRDefault="00A06387" w:rsidP="00EF1133">
      <w:pPr>
        <w:rPr>
          <w:rFonts w:ascii="Arial Black" w:hAnsi="Arial Black"/>
          <w:b/>
          <w:sz w:val="24"/>
          <w:szCs w:val="24"/>
        </w:rPr>
      </w:pPr>
    </w:p>
    <w:p w14:paraId="0FCC6887" w14:textId="77777777" w:rsidR="00A06387" w:rsidRDefault="00A06387" w:rsidP="00EF1133">
      <w:pPr>
        <w:rPr>
          <w:rFonts w:ascii="Arial Black" w:hAnsi="Arial Black"/>
          <w:b/>
          <w:sz w:val="24"/>
          <w:szCs w:val="24"/>
        </w:rPr>
      </w:pPr>
    </w:p>
    <w:p w14:paraId="1003FB7E" w14:textId="4D675248" w:rsidR="00853142" w:rsidRDefault="00853142" w:rsidP="00EF1133">
      <w:pPr>
        <w:rPr>
          <w:rFonts w:ascii="Arial Black" w:hAnsi="Arial Black"/>
          <w:b/>
          <w:sz w:val="24"/>
          <w:szCs w:val="24"/>
        </w:rPr>
      </w:pPr>
      <w:r>
        <w:rPr>
          <w:rFonts w:ascii="Arial Black" w:hAnsi="Arial Black"/>
          <w:b/>
          <w:sz w:val="24"/>
          <w:szCs w:val="24"/>
        </w:rPr>
        <w:t>6-2</w:t>
      </w:r>
      <w:r w:rsidR="005B0774">
        <w:rPr>
          <w:rFonts w:ascii="Arial Black" w:hAnsi="Arial Black"/>
          <w:b/>
          <w:sz w:val="24"/>
          <w:szCs w:val="24"/>
        </w:rPr>
        <w:t>4</w:t>
      </w:r>
    </w:p>
    <w:p w14:paraId="142BC532" w14:textId="77777777" w:rsidR="00853142" w:rsidRPr="00866BD5" w:rsidRDefault="00853142" w:rsidP="00853142">
      <w:pPr>
        <w:pStyle w:val="NoSpacing"/>
        <w:rPr>
          <w:rFonts w:ascii="Arial Black" w:hAnsi="Arial Black"/>
          <w:b/>
          <w:bCs/>
          <w:sz w:val="28"/>
          <w:szCs w:val="28"/>
        </w:rPr>
      </w:pPr>
      <w:r w:rsidRPr="00866BD5">
        <w:rPr>
          <w:rFonts w:ascii="Arial Black" w:hAnsi="Arial Black"/>
          <w:b/>
          <w:bCs/>
          <w:sz w:val="28"/>
          <w:szCs w:val="28"/>
        </w:rPr>
        <w:t xml:space="preserve">OH: </w:t>
      </w:r>
      <w:r>
        <w:rPr>
          <w:rFonts w:ascii="Arial Black" w:hAnsi="Arial Black"/>
          <w:b/>
          <w:bCs/>
          <w:sz w:val="28"/>
          <w:szCs w:val="28"/>
        </w:rPr>
        <w:t>FD LT. DEMOTED WITHIN 1-YR OF PROMOTION – NOT “PROBATIONARY EMPLOYEE” – MAY FILE GRIEVANCE / ARBITRATION</w:t>
      </w:r>
    </w:p>
    <w:p w14:paraId="6E38D84B" w14:textId="77777777" w:rsidR="00853142" w:rsidRDefault="00853142" w:rsidP="00853142">
      <w:pPr>
        <w:pStyle w:val="NoSpacing"/>
      </w:pPr>
    </w:p>
    <w:p w14:paraId="15CE99E1" w14:textId="77777777" w:rsidR="00853142" w:rsidRPr="00866BD5" w:rsidRDefault="00853142" w:rsidP="00853142">
      <w:pPr>
        <w:pStyle w:val="NoSpacing"/>
        <w:rPr>
          <w:rFonts w:ascii="Times New Roman" w:hAnsi="Times New Roman"/>
          <w:sz w:val="24"/>
          <w:szCs w:val="24"/>
        </w:rPr>
      </w:pPr>
      <w:r w:rsidRPr="00866BD5">
        <w:rPr>
          <w:rFonts w:ascii="Times New Roman" w:hAnsi="Times New Roman"/>
          <w:sz w:val="24"/>
          <w:szCs w:val="24"/>
        </w:rPr>
        <w:t xml:space="preserve">On Sept. 18, 2019, in </w:t>
      </w:r>
      <w:r w:rsidRPr="00866BD5">
        <w:rPr>
          <w:rFonts w:ascii="Times New Roman" w:hAnsi="Times New Roman"/>
          <w:sz w:val="24"/>
          <w:szCs w:val="24"/>
          <w:u w:val="single"/>
        </w:rPr>
        <w:t>Steve Conti v. Mayfield Village</w:t>
      </w:r>
      <w:r>
        <w:rPr>
          <w:rFonts w:ascii="Times New Roman" w:hAnsi="Times New Roman"/>
          <w:sz w:val="24"/>
          <w:szCs w:val="24"/>
        </w:rPr>
        <w:t>,  U.S. District Court Judge James S. Gwin, U.S. District Court for the Northern District of Ohio, denied the City’s motion for summary judgement, and rejected the City’s claim that the Lieutenant “</w:t>
      </w:r>
      <w:r w:rsidRPr="00866BD5">
        <w:rPr>
          <w:rFonts w:ascii="Times New Roman" w:hAnsi="Times New Roman"/>
          <w:sz w:val="24"/>
          <w:szCs w:val="24"/>
        </w:rPr>
        <w:t>did not have a property interest in his probationary lieutenant position</w:t>
      </w:r>
      <w:r>
        <w:rPr>
          <w:rFonts w:ascii="Times New Roman" w:hAnsi="Times New Roman"/>
          <w:sz w:val="24"/>
          <w:szCs w:val="24"/>
        </w:rPr>
        <w:t xml:space="preserve">.” </w:t>
      </w:r>
      <w:hyperlink r:id="rId1305" w:history="1">
        <w:r w:rsidRPr="00BA29A7">
          <w:rPr>
            <w:rStyle w:val="Hyperlink"/>
            <w:rFonts w:ascii="Times New Roman" w:hAnsi="Times New Roman"/>
            <w:sz w:val="24"/>
            <w:szCs w:val="24"/>
          </w:rPr>
          <w:t>https://www.courtlistener.com/recap/gov.uscourts.ohnd.252466/gov.uscourts.ohnd.252466.26.0.pdf</w:t>
        </w:r>
      </w:hyperlink>
      <w:r>
        <w:rPr>
          <w:rFonts w:ascii="Times New Roman" w:hAnsi="Times New Roman"/>
          <w:sz w:val="24"/>
          <w:szCs w:val="24"/>
        </w:rPr>
        <w:t xml:space="preserve"> </w:t>
      </w:r>
    </w:p>
    <w:p w14:paraId="31F1FE1E" w14:textId="77777777" w:rsidR="00853142" w:rsidRPr="00866BD5" w:rsidRDefault="00853142" w:rsidP="00853142">
      <w:pPr>
        <w:pStyle w:val="NoSpacing"/>
        <w:rPr>
          <w:rFonts w:ascii="Times New Roman" w:hAnsi="Times New Roman"/>
          <w:sz w:val="24"/>
          <w:szCs w:val="24"/>
        </w:rPr>
      </w:pPr>
    </w:p>
    <w:p w14:paraId="2BAE9346" w14:textId="77777777" w:rsidR="00853142" w:rsidRDefault="00853142" w:rsidP="00853142">
      <w:pPr>
        <w:pStyle w:val="NoSpacing"/>
        <w:ind w:firstLine="720"/>
        <w:rPr>
          <w:rFonts w:ascii="Times New Roman" w:hAnsi="Times New Roman"/>
          <w:sz w:val="24"/>
          <w:szCs w:val="24"/>
        </w:rPr>
      </w:pPr>
      <w:r>
        <w:rPr>
          <w:rFonts w:ascii="Times New Roman" w:hAnsi="Times New Roman"/>
          <w:sz w:val="24"/>
          <w:szCs w:val="24"/>
        </w:rPr>
        <w:t>Judge Gwin wrote:</w:t>
      </w:r>
    </w:p>
    <w:p w14:paraId="6354BE1E" w14:textId="77777777" w:rsidR="00853142" w:rsidRDefault="00853142" w:rsidP="00853142">
      <w:pPr>
        <w:pStyle w:val="NoSpacing"/>
        <w:ind w:firstLine="720"/>
        <w:rPr>
          <w:rFonts w:ascii="Times New Roman" w:hAnsi="Times New Roman"/>
          <w:sz w:val="24"/>
          <w:szCs w:val="24"/>
        </w:rPr>
      </w:pPr>
    </w:p>
    <w:p w14:paraId="450E6EFF" w14:textId="77777777" w:rsidR="00853142" w:rsidRPr="00866BD5" w:rsidRDefault="00853142" w:rsidP="00853142">
      <w:pPr>
        <w:pStyle w:val="NoSpacing"/>
        <w:ind w:left="720"/>
        <w:rPr>
          <w:rFonts w:ascii="Times New Roman" w:hAnsi="Times New Roman"/>
          <w:sz w:val="24"/>
          <w:szCs w:val="24"/>
        </w:rPr>
      </w:pPr>
      <w:r>
        <w:rPr>
          <w:rFonts w:ascii="Times New Roman" w:hAnsi="Times New Roman"/>
          <w:sz w:val="24"/>
          <w:szCs w:val="24"/>
        </w:rPr>
        <w:t>“</w:t>
      </w:r>
      <w:r w:rsidRPr="00866BD5">
        <w:rPr>
          <w:rFonts w:ascii="Times New Roman" w:hAnsi="Times New Roman"/>
          <w:sz w:val="24"/>
          <w:szCs w:val="24"/>
        </w:rPr>
        <w:t xml:space="preserve">Defendant points to the </w:t>
      </w:r>
      <w:r>
        <w:rPr>
          <w:rFonts w:ascii="Times New Roman" w:hAnsi="Times New Roman"/>
          <w:sz w:val="24"/>
          <w:szCs w:val="24"/>
        </w:rPr>
        <w:t>‘</w:t>
      </w:r>
      <w:r w:rsidRPr="00866BD5">
        <w:rPr>
          <w:rFonts w:ascii="Times New Roman" w:hAnsi="Times New Roman"/>
          <w:sz w:val="24"/>
          <w:szCs w:val="24"/>
        </w:rPr>
        <w:t>Fire Lieutenant, Class B – Probationary</w:t>
      </w:r>
      <w:r>
        <w:rPr>
          <w:rFonts w:ascii="Times New Roman" w:hAnsi="Times New Roman"/>
          <w:sz w:val="24"/>
          <w:szCs w:val="24"/>
        </w:rPr>
        <w:t>’</w:t>
      </w:r>
      <w:r w:rsidRPr="00866BD5">
        <w:rPr>
          <w:rFonts w:ascii="Times New Roman" w:hAnsi="Times New Roman"/>
          <w:sz w:val="24"/>
          <w:szCs w:val="24"/>
        </w:rPr>
        <w:t xml:space="preserve"> position in Section 21.1’s salary schedule as support its reading that Plaintiff was a probationary employee. However, the placement of the undefined term </w:t>
      </w:r>
      <w:r>
        <w:rPr>
          <w:rFonts w:ascii="Times New Roman" w:hAnsi="Times New Roman"/>
          <w:sz w:val="24"/>
          <w:szCs w:val="24"/>
        </w:rPr>
        <w:t>‘</w:t>
      </w:r>
      <w:r w:rsidRPr="00866BD5">
        <w:rPr>
          <w:rFonts w:ascii="Times New Roman" w:hAnsi="Times New Roman"/>
          <w:sz w:val="24"/>
          <w:szCs w:val="24"/>
        </w:rPr>
        <w:t>Probationary</w:t>
      </w:r>
      <w:r>
        <w:rPr>
          <w:rFonts w:ascii="Times New Roman" w:hAnsi="Times New Roman"/>
          <w:sz w:val="24"/>
          <w:szCs w:val="24"/>
        </w:rPr>
        <w:t xml:space="preserve">’ </w:t>
      </w:r>
      <w:r w:rsidRPr="00866BD5">
        <w:rPr>
          <w:rFonts w:ascii="Times New Roman" w:hAnsi="Times New Roman"/>
          <w:sz w:val="24"/>
          <w:szCs w:val="24"/>
        </w:rPr>
        <w:t xml:space="preserve">after a promotional position without further explanation is hardly </w:t>
      </w:r>
      <w:r w:rsidRPr="00866BD5">
        <w:rPr>
          <w:rFonts w:ascii="Times New Roman" w:hAnsi="Times New Roman"/>
          <w:sz w:val="24"/>
          <w:szCs w:val="24"/>
        </w:rPr>
        <w:lastRenderedPageBreak/>
        <w:t>dispositive of this matter. Defendant’s argument ignores the other CBA references to probationary employees that distinguishes between probationary employees and promoted employees.</w:t>
      </w:r>
    </w:p>
    <w:p w14:paraId="55C50E44" w14:textId="77777777" w:rsidR="00853142" w:rsidRDefault="00853142" w:rsidP="00853142">
      <w:pPr>
        <w:pStyle w:val="NoSpacing"/>
      </w:pPr>
    </w:p>
    <w:p w14:paraId="1B226892" w14:textId="77777777" w:rsidR="00853142" w:rsidRPr="007438B9" w:rsidRDefault="00853142" w:rsidP="00853142">
      <w:pPr>
        <w:pStyle w:val="NoSpacing"/>
        <w:rPr>
          <w:rFonts w:ascii="Times New Roman" w:hAnsi="Times New Roman"/>
          <w:b/>
          <w:bCs/>
          <w:sz w:val="24"/>
          <w:szCs w:val="24"/>
        </w:rPr>
      </w:pPr>
      <w:r w:rsidRPr="007438B9">
        <w:rPr>
          <w:rFonts w:ascii="Times New Roman" w:hAnsi="Times New Roman"/>
          <w:b/>
          <w:bCs/>
          <w:sz w:val="24"/>
          <w:szCs w:val="24"/>
        </w:rPr>
        <w:t xml:space="preserve">Legal Lessons Learned: </w:t>
      </w:r>
      <w:r>
        <w:rPr>
          <w:rFonts w:ascii="Times New Roman" w:hAnsi="Times New Roman"/>
          <w:b/>
          <w:bCs/>
          <w:sz w:val="24"/>
          <w:szCs w:val="24"/>
        </w:rPr>
        <w:t xml:space="preserve">If promoted personnel are to be treated as “probationary” for the first year after probation, clearly state this in the CBA or Employee Handbook.   See Sept. 18, </w:t>
      </w:r>
      <w:proofErr w:type="gramStart"/>
      <w:r>
        <w:rPr>
          <w:rFonts w:ascii="Times New Roman" w:hAnsi="Times New Roman"/>
          <w:b/>
          <w:bCs/>
          <w:sz w:val="24"/>
          <w:szCs w:val="24"/>
        </w:rPr>
        <w:t>2013</w:t>
      </w:r>
      <w:proofErr w:type="gramEnd"/>
      <w:r>
        <w:rPr>
          <w:rFonts w:ascii="Times New Roman" w:hAnsi="Times New Roman"/>
          <w:b/>
          <w:bCs/>
          <w:sz w:val="24"/>
          <w:szCs w:val="24"/>
        </w:rPr>
        <w:t xml:space="preserve"> article and photo – hiring Steve Conti and two other firefighters: </w:t>
      </w:r>
      <w:hyperlink r:id="rId1306" w:history="1">
        <w:r w:rsidRPr="00BA29A7">
          <w:rPr>
            <w:rStyle w:val="Hyperlink"/>
            <w:rFonts w:ascii="Times New Roman" w:hAnsi="Times New Roman"/>
            <w:b/>
            <w:bCs/>
            <w:sz w:val="24"/>
            <w:szCs w:val="24"/>
          </w:rPr>
          <w:t>https://patch.com/ohio/mayfield-hillcrest/mayfield-village-introduces-three-new-firefighters</w:t>
        </w:r>
      </w:hyperlink>
      <w:r>
        <w:rPr>
          <w:rFonts w:ascii="Times New Roman" w:hAnsi="Times New Roman"/>
          <w:b/>
          <w:bCs/>
          <w:sz w:val="24"/>
          <w:szCs w:val="24"/>
        </w:rPr>
        <w:t xml:space="preserve"> </w:t>
      </w:r>
    </w:p>
    <w:p w14:paraId="12125F24" w14:textId="77777777" w:rsidR="00853142" w:rsidRPr="001C6D4E" w:rsidRDefault="00853142" w:rsidP="00853142">
      <w:pPr>
        <w:pStyle w:val="NoSpacing"/>
        <w:rPr>
          <w:rFonts w:ascii="Times New Roman" w:hAnsi="Times New Roman"/>
          <w:sz w:val="24"/>
          <w:szCs w:val="24"/>
        </w:rPr>
      </w:pPr>
    </w:p>
    <w:p w14:paraId="17D20D29" w14:textId="77777777" w:rsidR="00A67C57" w:rsidRPr="001C6D4E" w:rsidRDefault="00A67C57" w:rsidP="00853142">
      <w:pPr>
        <w:pStyle w:val="NoSpacing"/>
        <w:rPr>
          <w:rFonts w:ascii="Times New Roman" w:hAnsi="Times New Roman"/>
          <w:sz w:val="24"/>
          <w:szCs w:val="24"/>
        </w:rPr>
      </w:pPr>
    </w:p>
    <w:p w14:paraId="42A91EB0" w14:textId="77777777" w:rsidR="00853142" w:rsidRDefault="00853142" w:rsidP="00853142">
      <w:pPr>
        <w:pStyle w:val="NoSpacing"/>
        <w:rPr>
          <w:rFonts w:ascii="Times New Roman" w:hAnsi="Times New Roman"/>
          <w:sz w:val="24"/>
          <w:szCs w:val="24"/>
        </w:rPr>
      </w:pPr>
    </w:p>
    <w:p w14:paraId="6B7190DE" w14:textId="099DB33C" w:rsidR="009F0F05" w:rsidRDefault="009F0F05" w:rsidP="00EF1133">
      <w:pPr>
        <w:rPr>
          <w:rFonts w:ascii="Arial Black" w:hAnsi="Arial Black"/>
          <w:b/>
          <w:sz w:val="24"/>
          <w:szCs w:val="24"/>
        </w:rPr>
      </w:pPr>
      <w:r>
        <w:rPr>
          <w:rFonts w:ascii="Arial Black" w:hAnsi="Arial Black"/>
          <w:b/>
          <w:sz w:val="24"/>
          <w:szCs w:val="24"/>
        </w:rPr>
        <w:t>6-2</w:t>
      </w:r>
      <w:r w:rsidR="005B0774">
        <w:rPr>
          <w:rFonts w:ascii="Arial Black" w:hAnsi="Arial Black"/>
          <w:b/>
          <w:sz w:val="24"/>
          <w:szCs w:val="24"/>
        </w:rPr>
        <w:t>3</w:t>
      </w:r>
    </w:p>
    <w:p w14:paraId="69342D9A" w14:textId="77777777" w:rsidR="009F0F05" w:rsidRDefault="009F0F05" w:rsidP="009F0F05">
      <w:pPr>
        <w:rPr>
          <w:rFonts w:ascii="Arial Black" w:hAnsi="Arial Black"/>
          <w:sz w:val="28"/>
          <w:szCs w:val="28"/>
        </w:rPr>
      </w:pPr>
      <w:r w:rsidRPr="00F03F21">
        <w:rPr>
          <w:rFonts w:ascii="Arial Black" w:hAnsi="Arial Black"/>
          <w:sz w:val="28"/>
          <w:szCs w:val="28"/>
        </w:rPr>
        <w:t xml:space="preserve">IL: </w:t>
      </w:r>
      <w:r>
        <w:rPr>
          <w:rFonts w:ascii="Arial Black" w:hAnsi="Arial Black"/>
          <w:sz w:val="28"/>
          <w:szCs w:val="28"/>
        </w:rPr>
        <w:t xml:space="preserve"> BACK INJURIES - COURT AWARDS “ON DUTY” DISABILITY - CUMULATIVE EFFECT OF FIREFIGHTING </w:t>
      </w:r>
    </w:p>
    <w:p w14:paraId="11C65BB1" w14:textId="77777777" w:rsidR="009F0F05" w:rsidRPr="00076FC1" w:rsidRDefault="009F0F05" w:rsidP="009F0F05">
      <w:pPr>
        <w:rPr>
          <w:rFonts w:ascii="Times New Roman" w:hAnsi="Times New Roman"/>
          <w:sz w:val="24"/>
          <w:szCs w:val="24"/>
        </w:rPr>
      </w:pPr>
      <w:r w:rsidRPr="00FD63A6">
        <w:rPr>
          <w:rFonts w:ascii="Times New Roman" w:hAnsi="Times New Roman"/>
          <w:sz w:val="24"/>
          <w:szCs w:val="24"/>
        </w:rPr>
        <w:t xml:space="preserve">On Sept. 6, 2019, in </w:t>
      </w:r>
      <w:r w:rsidRPr="003D1DE7">
        <w:rPr>
          <w:rFonts w:ascii="Times New Roman" w:hAnsi="Times New Roman"/>
          <w:sz w:val="24"/>
          <w:szCs w:val="24"/>
          <w:u w:val="single"/>
        </w:rPr>
        <w:t>Jerry Valadez v. Harvey Firefighter’s Pension Fund, et al.</w:t>
      </w:r>
      <w:r>
        <w:rPr>
          <w:rFonts w:ascii="Times New Roman" w:hAnsi="Times New Roman"/>
          <w:sz w:val="24"/>
          <w:szCs w:val="24"/>
        </w:rPr>
        <w:t>, the Appellate Court of Illinois, First Judicial District / 6</w:t>
      </w:r>
      <w:r w:rsidRPr="00F67974">
        <w:rPr>
          <w:rFonts w:ascii="Times New Roman" w:hAnsi="Times New Roman"/>
          <w:sz w:val="24"/>
          <w:szCs w:val="24"/>
          <w:vertAlign w:val="superscript"/>
        </w:rPr>
        <w:t>th</w:t>
      </w:r>
      <w:r>
        <w:rPr>
          <w:rFonts w:ascii="Times New Roman" w:hAnsi="Times New Roman"/>
          <w:sz w:val="24"/>
          <w:szCs w:val="24"/>
        </w:rPr>
        <w:t xml:space="preserve"> Division, held (3 to 0) that the firefighter is entitled to a “on duty” disability.  </w:t>
      </w:r>
      <w:r w:rsidRPr="00F67974">
        <w:rPr>
          <w:rFonts w:ascii="Times New Roman" w:hAnsi="Times New Roman"/>
          <w:sz w:val="24"/>
          <w:szCs w:val="24"/>
        </w:rPr>
        <w:t>2019 IL App (1st) 181900-U (Ill. App., 2019)</w:t>
      </w:r>
      <w:r>
        <w:rPr>
          <w:rFonts w:ascii="Times New Roman" w:hAnsi="Times New Roman"/>
          <w:sz w:val="24"/>
          <w:szCs w:val="24"/>
        </w:rPr>
        <w:t xml:space="preserve">.  </w:t>
      </w:r>
      <w:hyperlink r:id="rId1307" w:history="1">
        <w:r w:rsidRPr="00076FC1">
          <w:rPr>
            <w:rStyle w:val="Hyperlink"/>
            <w:rFonts w:ascii="Times New Roman" w:hAnsi="Times New Roman"/>
            <w:sz w:val="24"/>
            <w:szCs w:val="24"/>
          </w:rPr>
          <w:t>https://courts.illinois.gov/R23_Orders/AppellateCourt/2019/1stDistrict/1181900_R23.pdf</w:t>
        </w:r>
      </w:hyperlink>
    </w:p>
    <w:p w14:paraId="01B85A9D" w14:textId="77777777" w:rsidR="009F0F05" w:rsidRDefault="009F0F05" w:rsidP="009F0F05">
      <w:pPr>
        <w:rPr>
          <w:rFonts w:ascii="Times New Roman" w:hAnsi="Times New Roman"/>
          <w:sz w:val="24"/>
          <w:szCs w:val="24"/>
        </w:rPr>
      </w:pPr>
      <w:r>
        <w:rPr>
          <w:rFonts w:ascii="Times New Roman" w:hAnsi="Times New Roman"/>
          <w:sz w:val="24"/>
          <w:szCs w:val="24"/>
        </w:rPr>
        <w:t xml:space="preserve">Justice Harris wrote opinion, overturning the Administrative Board:  </w:t>
      </w:r>
    </w:p>
    <w:p w14:paraId="3899C6C0" w14:textId="70C74AF2" w:rsidR="009F0F05" w:rsidRDefault="009F0F05" w:rsidP="009F1927">
      <w:pPr>
        <w:ind w:left="720"/>
        <w:rPr>
          <w:rFonts w:ascii="Times New Roman" w:hAnsi="Times New Roman"/>
          <w:sz w:val="24"/>
          <w:szCs w:val="24"/>
        </w:rPr>
      </w:pPr>
      <w:r>
        <w:rPr>
          <w:rFonts w:ascii="Times New Roman" w:hAnsi="Times New Roman"/>
          <w:sz w:val="24"/>
          <w:szCs w:val="24"/>
        </w:rPr>
        <w:t>“</w:t>
      </w:r>
      <w:r w:rsidRPr="006C49C9">
        <w:rPr>
          <w:rFonts w:ascii="Times New Roman" w:hAnsi="Times New Roman"/>
          <w:sz w:val="24"/>
          <w:szCs w:val="24"/>
        </w:rPr>
        <w:t xml:space="preserve">Although the Board agreed with Dr. </w:t>
      </w:r>
      <w:proofErr w:type="spellStart"/>
      <w:r w:rsidRPr="006C49C9">
        <w:rPr>
          <w:rFonts w:ascii="Times New Roman" w:hAnsi="Times New Roman"/>
          <w:sz w:val="24"/>
          <w:szCs w:val="24"/>
        </w:rPr>
        <w:t>Pelinkovic</w:t>
      </w:r>
      <w:proofErr w:type="spellEnd"/>
      <w:r w:rsidRPr="006C49C9">
        <w:rPr>
          <w:rFonts w:ascii="Times New Roman" w:hAnsi="Times New Roman"/>
          <w:sz w:val="24"/>
          <w:szCs w:val="24"/>
        </w:rPr>
        <w:t xml:space="preserve"> and Dr. Gleason that plaintiff was permanently disabled, it disagreed with their determination that the October 21, 2015, incident, or the cumulative effects of acts of </w:t>
      </w:r>
      <w:proofErr w:type="spellStart"/>
      <w:r w:rsidRPr="006C49C9">
        <w:rPr>
          <w:rFonts w:ascii="Times New Roman" w:hAnsi="Times New Roman"/>
          <w:sz w:val="24"/>
          <w:szCs w:val="24"/>
        </w:rPr>
        <w:t>fire fighting</w:t>
      </w:r>
      <w:proofErr w:type="spellEnd"/>
      <w:r w:rsidRPr="006C49C9">
        <w:rPr>
          <w:rFonts w:ascii="Times New Roman" w:hAnsi="Times New Roman"/>
          <w:sz w:val="24"/>
          <w:szCs w:val="24"/>
        </w:rPr>
        <w:t>, contributed to his disability. Instead, they credited Dr. Graf’s opinion that plaintiff’s condition is solely the result of his preexisting lower back issues.</w:t>
      </w:r>
      <w:r>
        <w:rPr>
          <w:rFonts w:ascii="Times New Roman" w:hAnsi="Times New Roman"/>
          <w:sz w:val="24"/>
          <w:szCs w:val="24"/>
        </w:rPr>
        <w:t xml:space="preserve">  ***</w:t>
      </w:r>
      <w:r w:rsidR="009F1927">
        <w:rPr>
          <w:rFonts w:ascii="Times New Roman" w:hAnsi="Times New Roman"/>
          <w:sz w:val="24"/>
          <w:szCs w:val="24"/>
        </w:rPr>
        <w:t xml:space="preserve"> </w:t>
      </w:r>
      <w:r w:rsidRPr="004A2CCB">
        <w:rPr>
          <w:rFonts w:ascii="Times New Roman" w:hAnsi="Times New Roman"/>
          <w:sz w:val="24"/>
          <w:szCs w:val="24"/>
        </w:rPr>
        <w:t>Dr. Graf’s decision to place great weight on plaintiff’s MRIs, with no consideration of whether plaintiff’s extrication of a victim weighing over 300 pounds and another over 200 pounds could have aggravated his preexisting condition, renders his opinion unreliable.</w:t>
      </w:r>
      <w:r>
        <w:rPr>
          <w:rFonts w:ascii="Times New Roman" w:hAnsi="Times New Roman"/>
          <w:sz w:val="24"/>
          <w:szCs w:val="24"/>
        </w:rPr>
        <w:t>”</w:t>
      </w:r>
    </w:p>
    <w:p w14:paraId="56318945" w14:textId="77777777" w:rsidR="009F0F05" w:rsidRPr="00AD64CA" w:rsidRDefault="009F0F05" w:rsidP="009F0F05">
      <w:pPr>
        <w:pStyle w:val="NoSpacing"/>
        <w:rPr>
          <w:b/>
          <w:bCs/>
        </w:rPr>
      </w:pPr>
      <w:r w:rsidRPr="00AD64CA">
        <w:rPr>
          <w:rFonts w:ascii="Times New Roman" w:hAnsi="Times New Roman"/>
          <w:b/>
          <w:bCs/>
          <w:sz w:val="24"/>
          <w:szCs w:val="24"/>
        </w:rPr>
        <w:t xml:space="preserve">Legal Lessons Learned: </w:t>
      </w:r>
      <w:r>
        <w:rPr>
          <w:rFonts w:ascii="Times New Roman" w:hAnsi="Times New Roman"/>
          <w:b/>
          <w:bCs/>
          <w:sz w:val="24"/>
          <w:szCs w:val="24"/>
        </w:rPr>
        <w:t xml:space="preserve"> Overturning Administrative Board decision is rare; the firefighter made an excellent record with testimony of two treating physicians. </w:t>
      </w:r>
    </w:p>
    <w:p w14:paraId="6D256988" w14:textId="77777777" w:rsidR="00715CF2" w:rsidRDefault="00715CF2" w:rsidP="00715CF2">
      <w:pPr>
        <w:rPr>
          <w:rFonts w:ascii="Times New Roman" w:hAnsi="Times New Roman"/>
          <w:bCs/>
          <w:sz w:val="24"/>
          <w:szCs w:val="24"/>
        </w:rPr>
      </w:pPr>
    </w:p>
    <w:p w14:paraId="3A27B6C1" w14:textId="25E5382A" w:rsidR="00EF1133" w:rsidRDefault="00EF1133" w:rsidP="00EF1133">
      <w:pPr>
        <w:rPr>
          <w:rFonts w:ascii="Arial Black" w:hAnsi="Arial Black"/>
          <w:b/>
          <w:sz w:val="24"/>
          <w:szCs w:val="24"/>
        </w:rPr>
      </w:pPr>
      <w:r>
        <w:rPr>
          <w:rFonts w:ascii="Arial Black" w:hAnsi="Arial Black"/>
          <w:b/>
          <w:sz w:val="24"/>
          <w:szCs w:val="24"/>
        </w:rPr>
        <w:t>6</w:t>
      </w:r>
      <w:r w:rsidRPr="00EF1133">
        <w:rPr>
          <w:rFonts w:ascii="Arial Black" w:hAnsi="Arial Black"/>
          <w:b/>
          <w:sz w:val="24"/>
          <w:szCs w:val="24"/>
        </w:rPr>
        <w:t>-</w:t>
      </w:r>
      <w:r>
        <w:rPr>
          <w:rFonts w:ascii="Arial Black" w:hAnsi="Arial Black"/>
          <w:b/>
          <w:sz w:val="24"/>
          <w:szCs w:val="24"/>
        </w:rPr>
        <w:t>2</w:t>
      </w:r>
      <w:r w:rsidR="005B0774">
        <w:rPr>
          <w:rFonts w:ascii="Arial Black" w:hAnsi="Arial Black"/>
          <w:b/>
          <w:sz w:val="24"/>
          <w:szCs w:val="24"/>
        </w:rPr>
        <w:t>2</w:t>
      </w:r>
    </w:p>
    <w:p w14:paraId="506BFCEA" w14:textId="7263A9C4" w:rsidR="00F326E5" w:rsidRDefault="00F326E5" w:rsidP="00F326E5">
      <w:pPr>
        <w:pStyle w:val="NoSpacing"/>
        <w:rPr>
          <w:rFonts w:ascii="Arial Black" w:hAnsi="Arial Black"/>
          <w:b/>
          <w:sz w:val="28"/>
          <w:szCs w:val="28"/>
        </w:rPr>
      </w:pPr>
      <w:bookmarkStart w:id="246" w:name="_Hlk7343020"/>
      <w:r w:rsidRPr="00680B03">
        <w:rPr>
          <w:rFonts w:ascii="Arial Black" w:hAnsi="Arial Black"/>
          <w:sz w:val="28"/>
          <w:szCs w:val="28"/>
        </w:rPr>
        <w:t xml:space="preserve">PA: </w:t>
      </w:r>
      <w:r>
        <w:rPr>
          <w:rFonts w:ascii="Arial Black" w:hAnsi="Arial Black"/>
          <w:sz w:val="28"/>
          <w:szCs w:val="28"/>
        </w:rPr>
        <w:t xml:space="preserve"> CAN’T RETIRE AT AGE 50 –CITY AND UNION IN CBA ESTABLISHED MINIMUM AGE AT 55 </w:t>
      </w:r>
    </w:p>
    <w:p w14:paraId="0F32058C" w14:textId="77777777" w:rsidR="009F1927" w:rsidRDefault="00F326E5" w:rsidP="00F326E5">
      <w:pPr>
        <w:pStyle w:val="NoSpacing"/>
        <w:rPr>
          <w:rFonts w:ascii="Times New Roman" w:hAnsi="Times New Roman"/>
          <w:sz w:val="24"/>
          <w:szCs w:val="24"/>
        </w:rPr>
      </w:pPr>
      <w:r w:rsidRPr="009F1927">
        <w:rPr>
          <w:rFonts w:ascii="Times New Roman" w:hAnsi="Times New Roman"/>
          <w:sz w:val="24"/>
          <w:szCs w:val="24"/>
        </w:rPr>
        <w:t xml:space="preserve">On March 25, 2019, in </w:t>
      </w:r>
      <w:r w:rsidRPr="009F1927">
        <w:rPr>
          <w:rFonts w:ascii="Times New Roman" w:hAnsi="Times New Roman"/>
          <w:sz w:val="24"/>
          <w:szCs w:val="24"/>
          <w:u w:val="single"/>
        </w:rPr>
        <w:t>Joseph C. Bongivengo v. City of New Castle Pension Plan Board and The City of New Castle</w:t>
      </w:r>
      <w:r w:rsidRPr="009F1927">
        <w:rPr>
          <w:rFonts w:ascii="Times New Roman" w:hAnsi="Times New Roman"/>
          <w:sz w:val="24"/>
          <w:szCs w:val="24"/>
        </w:rPr>
        <w:t xml:space="preserve">, the Commonwealth Court of Pennsylvania held (3 to 0): </w:t>
      </w:r>
    </w:p>
    <w:p w14:paraId="0BB6A836" w14:textId="77777777" w:rsidR="009F1927" w:rsidRDefault="009F1927" w:rsidP="00F326E5">
      <w:pPr>
        <w:pStyle w:val="NoSpacing"/>
        <w:rPr>
          <w:rFonts w:ascii="Times New Roman" w:hAnsi="Times New Roman"/>
          <w:sz w:val="24"/>
          <w:szCs w:val="24"/>
        </w:rPr>
      </w:pPr>
    </w:p>
    <w:p w14:paraId="59D28EF9" w14:textId="795FE72C" w:rsidR="00F326E5" w:rsidRPr="009F1927" w:rsidRDefault="00F326E5" w:rsidP="009F1927">
      <w:pPr>
        <w:pStyle w:val="NoSpacing"/>
        <w:ind w:left="720" w:firstLine="60"/>
        <w:rPr>
          <w:rFonts w:ascii="Times New Roman" w:hAnsi="Times New Roman"/>
          <w:sz w:val="24"/>
          <w:szCs w:val="24"/>
        </w:rPr>
      </w:pPr>
      <w:r w:rsidRPr="009F1927">
        <w:rPr>
          <w:rFonts w:ascii="Times New Roman" w:hAnsi="Times New Roman"/>
          <w:sz w:val="24"/>
          <w:szCs w:val="24"/>
        </w:rPr>
        <w:t xml:space="preserve">“This ruling also disposes of Bongivengo’s argument that the </w:t>
      </w:r>
      <w:proofErr w:type="gramStart"/>
      <w:r w:rsidRPr="009F1927">
        <w:rPr>
          <w:rFonts w:ascii="Times New Roman" w:hAnsi="Times New Roman"/>
          <w:sz w:val="24"/>
          <w:szCs w:val="24"/>
        </w:rPr>
        <w:t>City</w:t>
      </w:r>
      <w:proofErr w:type="gramEnd"/>
      <w:r w:rsidRPr="009F1927">
        <w:rPr>
          <w:rFonts w:ascii="Times New Roman" w:hAnsi="Times New Roman"/>
          <w:sz w:val="24"/>
          <w:szCs w:val="24"/>
        </w:rPr>
        <w:t xml:space="preserve"> violated Section 607(e) of Act 205 because it did not engage in collective bargaining before it implemented the new age and years of service requirements. As noted above, the </w:t>
      </w:r>
      <w:proofErr w:type="gramStart"/>
      <w:r w:rsidRPr="009F1927">
        <w:rPr>
          <w:rFonts w:ascii="Times New Roman" w:hAnsi="Times New Roman"/>
          <w:sz w:val="24"/>
          <w:szCs w:val="24"/>
        </w:rPr>
        <w:t>City</w:t>
      </w:r>
      <w:proofErr w:type="gramEnd"/>
      <w:r w:rsidRPr="009F1927">
        <w:rPr>
          <w:rFonts w:ascii="Times New Roman" w:hAnsi="Times New Roman"/>
          <w:sz w:val="24"/>
          <w:szCs w:val="24"/>
        </w:rPr>
        <w:t xml:space="preserve"> and the Union did collectively bargain for the age and years of service requirement, as first reflected in the 1992 CBA and subsequently in every CBA </w:t>
      </w:r>
      <w:proofErr w:type="gramStart"/>
      <w:r w:rsidRPr="009F1927">
        <w:rPr>
          <w:rFonts w:ascii="Times New Roman" w:hAnsi="Times New Roman"/>
          <w:sz w:val="24"/>
          <w:szCs w:val="24"/>
        </w:rPr>
        <w:t>thereafter.”</w:t>
      </w:r>
      <w:proofErr w:type="gramEnd"/>
      <w:r w:rsidRPr="009F1927">
        <w:rPr>
          <w:rFonts w:ascii="Times New Roman" w:hAnsi="Times New Roman"/>
          <w:sz w:val="24"/>
          <w:szCs w:val="24"/>
        </w:rPr>
        <w:t xml:space="preserve"> </w:t>
      </w:r>
      <w:hyperlink r:id="rId1308" w:history="1">
        <w:r w:rsidRPr="009F1927">
          <w:rPr>
            <w:rStyle w:val="Hyperlink"/>
            <w:rFonts w:ascii="Times New Roman" w:hAnsi="Times New Roman"/>
            <w:sz w:val="24"/>
            <w:szCs w:val="24"/>
          </w:rPr>
          <w:t>http://www.pacourts.us/assets/opinions/Commonwealth/out/877CD18_3-25-19.pdf?cb=1</w:t>
        </w:r>
      </w:hyperlink>
      <w:r w:rsidRPr="009F1927">
        <w:rPr>
          <w:rFonts w:ascii="Times New Roman" w:hAnsi="Times New Roman"/>
          <w:sz w:val="24"/>
          <w:szCs w:val="24"/>
        </w:rPr>
        <w:t xml:space="preserve"> </w:t>
      </w:r>
    </w:p>
    <w:p w14:paraId="4CC2526E" w14:textId="77777777" w:rsidR="00E40E39" w:rsidRDefault="00E40E39" w:rsidP="00F326E5">
      <w:pPr>
        <w:pStyle w:val="NoSpacing"/>
        <w:rPr>
          <w:rFonts w:ascii="Times New Roman" w:hAnsi="Times New Roman"/>
          <w:b/>
          <w:sz w:val="24"/>
          <w:szCs w:val="24"/>
        </w:rPr>
      </w:pPr>
      <w:bookmarkStart w:id="247" w:name="_Hlk6755053"/>
    </w:p>
    <w:p w14:paraId="7DC3CADC" w14:textId="181084C6" w:rsidR="00F326E5" w:rsidRPr="009F1927" w:rsidRDefault="00F326E5" w:rsidP="00F326E5">
      <w:pPr>
        <w:pStyle w:val="NoSpacing"/>
        <w:rPr>
          <w:rFonts w:ascii="Times New Roman" w:hAnsi="Times New Roman"/>
          <w:b/>
          <w:sz w:val="24"/>
          <w:szCs w:val="24"/>
        </w:rPr>
      </w:pPr>
      <w:r w:rsidRPr="009F1927">
        <w:rPr>
          <w:rFonts w:ascii="Times New Roman" w:hAnsi="Times New Roman"/>
          <w:b/>
          <w:sz w:val="24"/>
          <w:szCs w:val="24"/>
        </w:rPr>
        <w:t xml:space="preserve">Legal Lessons Learned: City and Union agreement controls minimum retirement age. </w:t>
      </w:r>
      <w:bookmarkEnd w:id="247"/>
    </w:p>
    <w:bookmarkEnd w:id="246"/>
    <w:p w14:paraId="217F3DDB" w14:textId="6F346EBB" w:rsidR="00527EDF" w:rsidRDefault="00527EDF" w:rsidP="00F326E5">
      <w:pPr>
        <w:pStyle w:val="NoSpacing"/>
        <w:rPr>
          <w:b/>
          <w:sz w:val="24"/>
          <w:szCs w:val="24"/>
        </w:rPr>
      </w:pPr>
    </w:p>
    <w:p w14:paraId="4988DD91" w14:textId="22A8D13B" w:rsidR="009F1927" w:rsidRDefault="009F1927" w:rsidP="00F326E5">
      <w:pPr>
        <w:pStyle w:val="NoSpacing"/>
        <w:rPr>
          <w:b/>
          <w:sz w:val="24"/>
          <w:szCs w:val="24"/>
        </w:rPr>
      </w:pPr>
    </w:p>
    <w:p w14:paraId="416F77D6" w14:textId="77777777" w:rsidR="009F1927" w:rsidRDefault="009F1927" w:rsidP="00F326E5">
      <w:pPr>
        <w:pStyle w:val="NoSpacing"/>
        <w:rPr>
          <w:sz w:val="24"/>
          <w:szCs w:val="24"/>
        </w:rPr>
      </w:pPr>
    </w:p>
    <w:p w14:paraId="6E8B5245" w14:textId="7DCE07A4" w:rsidR="00EF1133" w:rsidRDefault="00EF1133" w:rsidP="00EF1133">
      <w:pPr>
        <w:rPr>
          <w:rFonts w:ascii="Arial Black" w:hAnsi="Arial Black"/>
          <w:b/>
          <w:sz w:val="24"/>
          <w:szCs w:val="24"/>
        </w:rPr>
      </w:pPr>
      <w:r>
        <w:rPr>
          <w:rFonts w:ascii="Arial Black" w:hAnsi="Arial Black"/>
          <w:b/>
          <w:sz w:val="24"/>
          <w:szCs w:val="24"/>
        </w:rPr>
        <w:t>6</w:t>
      </w:r>
      <w:r w:rsidRPr="00EF1133">
        <w:rPr>
          <w:rFonts w:ascii="Arial Black" w:hAnsi="Arial Black"/>
          <w:b/>
          <w:sz w:val="24"/>
          <w:szCs w:val="24"/>
        </w:rPr>
        <w:t>-</w:t>
      </w:r>
      <w:r w:rsidR="005F7D6B">
        <w:rPr>
          <w:rFonts w:ascii="Arial Black" w:hAnsi="Arial Black"/>
          <w:b/>
          <w:sz w:val="24"/>
          <w:szCs w:val="24"/>
        </w:rPr>
        <w:t>2</w:t>
      </w:r>
      <w:r w:rsidR="005B0774">
        <w:rPr>
          <w:rFonts w:ascii="Arial Black" w:hAnsi="Arial Black"/>
          <w:b/>
          <w:sz w:val="24"/>
          <w:szCs w:val="24"/>
        </w:rPr>
        <w:t>1</w:t>
      </w:r>
    </w:p>
    <w:p w14:paraId="5724CFAB" w14:textId="7474B963" w:rsidR="00527EDF" w:rsidRDefault="00527EDF" w:rsidP="00527EDF">
      <w:pPr>
        <w:pStyle w:val="NoSpacing"/>
        <w:rPr>
          <w:rFonts w:ascii="Arial Black" w:hAnsi="Arial Black"/>
          <w:sz w:val="28"/>
          <w:szCs w:val="28"/>
        </w:rPr>
      </w:pPr>
      <w:bookmarkStart w:id="248" w:name="_Hlk10126961"/>
      <w:r>
        <w:rPr>
          <w:rFonts w:ascii="Arial Black" w:hAnsi="Arial Black"/>
          <w:sz w:val="28"/>
          <w:szCs w:val="28"/>
        </w:rPr>
        <w:t xml:space="preserve">OH: FF CANCER - LUMBAR SPINE LYMPHOMA – CITY CONTESTED – FF FILED FOR COSTS / ATTY FEES, CITY LATE IN RESPONDING, MUST PAY </w:t>
      </w:r>
    </w:p>
    <w:p w14:paraId="3A3FAB1F" w14:textId="77777777" w:rsidR="00527EDF" w:rsidRDefault="00527EDF" w:rsidP="00527EDF">
      <w:pPr>
        <w:pStyle w:val="NoSpacing"/>
        <w:rPr>
          <w:rFonts w:ascii="Arial Black" w:hAnsi="Arial Black"/>
          <w:sz w:val="28"/>
          <w:szCs w:val="28"/>
        </w:rPr>
      </w:pPr>
    </w:p>
    <w:p w14:paraId="3794A73E" w14:textId="77777777" w:rsidR="00527EDF" w:rsidRPr="002F51DD" w:rsidRDefault="00527EDF" w:rsidP="00527EDF">
      <w:pPr>
        <w:pStyle w:val="NoSpacing"/>
        <w:rPr>
          <w:rFonts w:ascii="Times New Roman" w:hAnsi="Times New Roman"/>
          <w:sz w:val="24"/>
          <w:szCs w:val="24"/>
        </w:rPr>
      </w:pPr>
      <w:r w:rsidRPr="002F51DD">
        <w:rPr>
          <w:rFonts w:ascii="Times New Roman" w:hAnsi="Times New Roman"/>
          <w:sz w:val="24"/>
          <w:szCs w:val="24"/>
        </w:rPr>
        <w:t xml:space="preserve">On May 23, 2019, in </w:t>
      </w:r>
      <w:r w:rsidRPr="002F51DD">
        <w:rPr>
          <w:rFonts w:ascii="Times New Roman" w:hAnsi="Times New Roman"/>
          <w:sz w:val="24"/>
          <w:szCs w:val="24"/>
          <w:u w:val="single"/>
        </w:rPr>
        <w:t>Robert T. Rodgers v. City of Rocky River, et al</w:t>
      </w:r>
      <w:r>
        <w:rPr>
          <w:rFonts w:ascii="Times New Roman" w:hAnsi="Times New Roman"/>
          <w:sz w:val="24"/>
          <w:szCs w:val="24"/>
        </w:rPr>
        <w:t xml:space="preserve">., 2010 Ohio 2006 (Ohio App, 2019), the Ohio Court of Appeals for Cuyahoga County (3 to 0), upheld the trial court’s order that City reimburse the firefighter for his costs and attorney fees of $3,734.45. </w:t>
      </w:r>
    </w:p>
    <w:p w14:paraId="5CE0CD57" w14:textId="77777777" w:rsidR="00527EDF" w:rsidRDefault="00527EDF" w:rsidP="00527EDF">
      <w:pPr>
        <w:pStyle w:val="NoSpacing"/>
        <w:rPr>
          <w:rFonts w:ascii="Arial Black" w:hAnsi="Arial Black"/>
          <w:sz w:val="28"/>
          <w:szCs w:val="28"/>
        </w:rPr>
      </w:pPr>
    </w:p>
    <w:p w14:paraId="373257F3" w14:textId="77777777" w:rsidR="00527EDF" w:rsidRDefault="00527EDF" w:rsidP="00527EDF">
      <w:pPr>
        <w:pStyle w:val="NoSpacing"/>
        <w:ind w:left="720"/>
      </w:pPr>
      <w:r>
        <w:rPr>
          <w:rFonts w:ascii="Times New Roman" w:hAnsi="Times New Roman"/>
          <w:sz w:val="24"/>
          <w:szCs w:val="24"/>
        </w:rPr>
        <w:t>“[W]e</w:t>
      </w:r>
      <w:r w:rsidRPr="00D82AA5">
        <w:rPr>
          <w:rFonts w:ascii="Times New Roman" w:hAnsi="Times New Roman"/>
          <w:sz w:val="24"/>
          <w:szCs w:val="24"/>
        </w:rPr>
        <w:t xml:space="preserve"> note that the plain language of R.C. 4123.512(F) authorizes the award of attorney fees and costs against </w:t>
      </w:r>
      <w:r>
        <w:rPr>
          <w:rFonts w:ascii="Times New Roman" w:hAnsi="Times New Roman"/>
          <w:sz w:val="24"/>
          <w:szCs w:val="24"/>
        </w:rPr>
        <w:t>‘</w:t>
      </w:r>
      <w:r w:rsidRPr="00D82AA5">
        <w:rPr>
          <w:rFonts w:ascii="Times New Roman" w:hAnsi="Times New Roman"/>
          <w:sz w:val="24"/>
          <w:szCs w:val="24"/>
        </w:rPr>
        <w:t>the employer</w:t>
      </w:r>
      <w:r>
        <w:rPr>
          <w:rFonts w:ascii="Times New Roman" w:hAnsi="Times New Roman"/>
          <w:sz w:val="24"/>
          <w:szCs w:val="24"/>
        </w:rPr>
        <w:t xml:space="preserve">’ </w:t>
      </w:r>
      <w:r w:rsidRPr="00D82AA5">
        <w:rPr>
          <w:rFonts w:ascii="Times New Roman" w:hAnsi="Times New Roman"/>
          <w:sz w:val="24"/>
          <w:szCs w:val="24"/>
        </w:rPr>
        <w:t xml:space="preserve">who contests an injured worker’s right to participate in the workers’ compensation system after an injured worker’s right to participate is established. The statute does not differentiate between public and private employers, unlike in R.C. 4123.01(B) where the legislature provided different definitions of “employers” — public (political subdivisions) and private. This demonstrates that the legislature had the ability to establish immunity for political subdivisions or public employers from an award of attorney fees and </w:t>
      </w:r>
      <w:proofErr w:type="gramStart"/>
      <w:r w:rsidRPr="00D82AA5">
        <w:rPr>
          <w:rFonts w:ascii="Times New Roman" w:hAnsi="Times New Roman"/>
          <w:sz w:val="24"/>
          <w:szCs w:val="24"/>
        </w:rPr>
        <w:t>costs,</w:t>
      </w:r>
      <w:r>
        <w:rPr>
          <w:rFonts w:ascii="Times New Roman" w:hAnsi="Times New Roman"/>
          <w:sz w:val="24"/>
          <w:szCs w:val="24"/>
        </w:rPr>
        <w:t xml:space="preserve"> </w:t>
      </w:r>
      <w:r w:rsidRPr="00D82AA5">
        <w:rPr>
          <w:rFonts w:ascii="Times New Roman" w:hAnsi="Times New Roman"/>
          <w:sz w:val="24"/>
          <w:szCs w:val="24"/>
        </w:rPr>
        <w:t>but</w:t>
      </w:r>
      <w:proofErr w:type="gramEnd"/>
      <w:r w:rsidRPr="00D82AA5">
        <w:rPr>
          <w:rFonts w:ascii="Times New Roman" w:hAnsi="Times New Roman"/>
          <w:sz w:val="24"/>
          <w:szCs w:val="24"/>
        </w:rPr>
        <w:t xml:space="preserve"> elected not to do so. </w:t>
      </w:r>
    </w:p>
    <w:p w14:paraId="2164DAD9" w14:textId="77777777" w:rsidR="00527EDF" w:rsidRDefault="00527EDF" w:rsidP="00527EDF">
      <w:pPr>
        <w:pStyle w:val="NoSpacing"/>
        <w:ind w:firstLine="720"/>
      </w:pPr>
      <w:hyperlink r:id="rId1309" w:history="1">
        <w:r w:rsidRPr="00BA6FF6">
          <w:rPr>
            <w:rStyle w:val="Hyperlink"/>
          </w:rPr>
          <w:t>https://cases.justia.com/ohio/eighth-district-court-of-appeals/2019-108059.pdf?ts=1558624525</w:t>
        </w:r>
      </w:hyperlink>
      <w:r>
        <w:t xml:space="preserve"> </w:t>
      </w:r>
    </w:p>
    <w:p w14:paraId="42639428" w14:textId="77777777" w:rsidR="00527EDF" w:rsidRDefault="00527EDF" w:rsidP="00527EDF">
      <w:pPr>
        <w:pStyle w:val="NoSpacing"/>
        <w:rPr>
          <w:rFonts w:ascii="Times New Roman" w:hAnsi="Times New Roman"/>
          <w:b/>
          <w:sz w:val="24"/>
          <w:szCs w:val="24"/>
        </w:rPr>
      </w:pPr>
      <w:bookmarkStart w:id="249" w:name="_Hlk10127002"/>
      <w:bookmarkEnd w:id="248"/>
    </w:p>
    <w:p w14:paraId="06754DAA" w14:textId="5D312BA0" w:rsidR="00527EDF" w:rsidRPr="00135A21" w:rsidRDefault="00527EDF" w:rsidP="00527EDF">
      <w:pPr>
        <w:pStyle w:val="NoSpacing"/>
        <w:rPr>
          <w:rFonts w:ascii="Times New Roman" w:hAnsi="Times New Roman"/>
          <w:b/>
          <w:sz w:val="24"/>
          <w:szCs w:val="24"/>
        </w:rPr>
      </w:pPr>
      <w:r w:rsidRPr="00135A21">
        <w:rPr>
          <w:rFonts w:ascii="Times New Roman" w:hAnsi="Times New Roman"/>
          <w:b/>
          <w:sz w:val="24"/>
          <w:szCs w:val="24"/>
        </w:rPr>
        <w:t xml:space="preserve">Legal Lessons Learned: </w:t>
      </w:r>
      <w:r>
        <w:rPr>
          <w:rFonts w:ascii="Times New Roman" w:hAnsi="Times New Roman"/>
          <w:b/>
          <w:sz w:val="24"/>
          <w:szCs w:val="24"/>
        </w:rPr>
        <w:t xml:space="preserve"> City failed to timely appeal award of costs and attorney fees; no statute protects city from liability for court cost and attorney fees. </w:t>
      </w:r>
    </w:p>
    <w:bookmarkEnd w:id="249"/>
    <w:p w14:paraId="00B1EDFE" w14:textId="032C577C" w:rsidR="00527EDF" w:rsidRPr="00254438" w:rsidRDefault="00527EDF" w:rsidP="00F326E5">
      <w:pPr>
        <w:pStyle w:val="NoSpacing"/>
        <w:rPr>
          <w:sz w:val="24"/>
          <w:szCs w:val="24"/>
        </w:rPr>
      </w:pPr>
    </w:p>
    <w:p w14:paraId="4AFAF734" w14:textId="77777777" w:rsidR="00F326E5" w:rsidRDefault="00F326E5" w:rsidP="00F326E5">
      <w:pPr>
        <w:pStyle w:val="NoSpacing"/>
        <w:rPr>
          <w:b/>
          <w:sz w:val="24"/>
          <w:szCs w:val="24"/>
        </w:rPr>
      </w:pPr>
    </w:p>
    <w:p w14:paraId="5653F92F" w14:textId="77777777" w:rsidR="00EF1133" w:rsidRDefault="00EF1133" w:rsidP="00EF1133">
      <w:pPr>
        <w:rPr>
          <w:rFonts w:ascii="Arial Black" w:hAnsi="Arial Black"/>
          <w:b/>
          <w:sz w:val="24"/>
          <w:szCs w:val="24"/>
        </w:rPr>
      </w:pPr>
      <w:bookmarkStart w:id="250" w:name="_Hlk7343060"/>
    </w:p>
    <w:p w14:paraId="44FFF05F" w14:textId="71A89486" w:rsidR="00EF1133" w:rsidRDefault="00EF1133" w:rsidP="00EF1133">
      <w:pPr>
        <w:rPr>
          <w:rFonts w:ascii="Arial Black" w:hAnsi="Arial Black"/>
          <w:b/>
          <w:sz w:val="24"/>
          <w:szCs w:val="24"/>
        </w:rPr>
      </w:pPr>
      <w:r>
        <w:rPr>
          <w:rFonts w:ascii="Arial Black" w:hAnsi="Arial Black"/>
          <w:b/>
          <w:sz w:val="24"/>
          <w:szCs w:val="24"/>
        </w:rPr>
        <w:t>6</w:t>
      </w:r>
      <w:r w:rsidRPr="00EF1133">
        <w:rPr>
          <w:rFonts w:ascii="Arial Black" w:hAnsi="Arial Black"/>
          <w:b/>
          <w:sz w:val="24"/>
          <w:szCs w:val="24"/>
        </w:rPr>
        <w:t>-</w:t>
      </w:r>
      <w:r w:rsidR="005B0774">
        <w:rPr>
          <w:rFonts w:ascii="Arial Black" w:hAnsi="Arial Black"/>
          <w:b/>
          <w:sz w:val="24"/>
          <w:szCs w:val="24"/>
        </w:rPr>
        <w:t>20</w:t>
      </w:r>
    </w:p>
    <w:p w14:paraId="7C5CCD6C" w14:textId="675932CE" w:rsidR="00527EDF" w:rsidRDefault="00527EDF" w:rsidP="00527EDF">
      <w:pPr>
        <w:pStyle w:val="NoSpacing"/>
        <w:rPr>
          <w:rFonts w:ascii="Arial Black" w:hAnsi="Arial Black"/>
          <w:sz w:val="28"/>
          <w:szCs w:val="28"/>
        </w:rPr>
      </w:pPr>
      <w:r w:rsidRPr="008C7754">
        <w:rPr>
          <w:rFonts w:ascii="Arial Black" w:hAnsi="Arial Black"/>
          <w:sz w:val="28"/>
          <w:szCs w:val="28"/>
        </w:rPr>
        <w:t xml:space="preserve">IL: </w:t>
      </w:r>
      <w:r>
        <w:rPr>
          <w:rFonts w:ascii="Arial Black" w:hAnsi="Arial Black"/>
          <w:sz w:val="28"/>
          <w:szCs w:val="28"/>
        </w:rPr>
        <w:t xml:space="preserve">FF KIDNEY CANCER – WORK. COMP. GRANTED – EXPERT WITNESS CAUSED BY JOB, NOT OBESITY &amp; HYPERTENSION </w:t>
      </w:r>
    </w:p>
    <w:p w14:paraId="637A92C8" w14:textId="44A1892E" w:rsidR="00527EDF" w:rsidRPr="00114E9B" w:rsidRDefault="00527EDF" w:rsidP="00527EDF">
      <w:pPr>
        <w:rPr>
          <w:rFonts w:ascii="Times New Roman" w:hAnsi="Times New Roman"/>
          <w:sz w:val="24"/>
          <w:szCs w:val="24"/>
        </w:rPr>
      </w:pPr>
      <w:r w:rsidRPr="00114E9B">
        <w:rPr>
          <w:rFonts w:ascii="Times New Roman" w:hAnsi="Times New Roman"/>
          <w:sz w:val="24"/>
          <w:szCs w:val="24"/>
        </w:rPr>
        <w:t xml:space="preserve">On May 10, 2019, in </w:t>
      </w:r>
      <w:r w:rsidRPr="00114E9B">
        <w:rPr>
          <w:rFonts w:ascii="Times New Roman" w:hAnsi="Times New Roman"/>
          <w:sz w:val="24"/>
          <w:szCs w:val="24"/>
          <w:u w:val="single"/>
        </w:rPr>
        <w:t>City of Peoria v. Illinois Workers’ Compensation Commission (Bryan Grant</w:t>
      </w:r>
      <w:r w:rsidRPr="00114E9B">
        <w:rPr>
          <w:rFonts w:ascii="Times New Roman" w:hAnsi="Times New Roman"/>
          <w:sz w:val="24"/>
          <w:szCs w:val="24"/>
        </w:rPr>
        <w:t>), the Appellate Court of Illinois, Third District, Workers Comp Division, held (5 to 0) that the firefighter’s cancer was caused by the job.</w:t>
      </w:r>
    </w:p>
    <w:p w14:paraId="093AD023" w14:textId="77777777" w:rsidR="00527EDF" w:rsidRDefault="00527EDF" w:rsidP="00527EDF">
      <w:pPr>
        <w:pStyle w:val="NoSpacing"/>
        <w:ind w:left="720"/>
        <w:rPr>
          <w:rFonts w:ascii="Times New Roman" w:hAnsi="Times New Roman"/>
          <w:sz w:val="24"/>
          <w:szCs w:val="24"/>
        </w:rPr>
      </w:pPr>
      <w:r w:rsidRPr="00114E9B">
        <w:rPr>
          <w:rFonts w:ascii="Times New Roman" w:hAnsi="Times New Roman"/>
          <w:sz w:val="24"/>
          <w:szCs w:val="24"/>
        </w:rPr>
        <w:t>“By finding that the petitioner’s workplace exposures to carcinogenic gases caused his kidney cancer, the Illinois Workers’ Compensation Commission did not make a finding that was against the manifest weight of the evidence.”</w:t>
      </w:r>
    </w:p>
    <w:p w14:paraId="1F32BC66" w14:textId="304F7E4C" w:rsidR="00527EDF" w:rsidRDefault="00527EDF" w:rsidP="00527EDF">
      <w:pPr>
        <w:pStyle w:val="NoSpacing"/>
        <w:ind w:left="720"/>
        <w:rPr>
          <w:rStyle w:val="Hyperlink"/>
          <w:rFonts w:ascii="Times New Roman" w:hAnsi="Times New Roman"/>
          <w:sz w:val="24"/>
          <w:szCs w:val="24"/>
        </w:rPr>
      </w:pPr>
      <w:hyperlink r:id="rId1310" w:history="1">
        <w:r w:rsidRPr="00114E9B">
          <w:rPr>
            <w:rStyle w:val="Hyperlink"/>
            <w:rFonts w:ascii="Times New Roman" w:hAnsi="Times New Roman"/>
            <w:sz w:val="24"/>
            <w:szCs w:val="24"/>
          </w:rPr>
          <w:t>http://www.illinoiscourts.gov/R23_Orders/WorkersComp/2019/3180397WC_R23.pdf</w:t>
        </w:r>
      </w:hyperlink>
    </w:p>
    <w:p w14:paraId="23429176" w14:textId="4BD31590" w:rsidR="00527EDF" w:rsidRDefault="00527EDF" w:rsidP="00527EDF">
      <w:pPr>
        <w:pStyle w:val="NoSpacing"/>
        <w:rPr>
          <w:rStyle w:val="Hyperlink"/>
          <w:rFonts w:ascii="Times New Roman" w:hAnsi="Times New Roman"/>
          <w:sz w:val="24"/>
          <w:szCs w:val="24"/>
        </w:rPr>
      </w:pPr>
    </w:p>
    <w:p w14:paraId="6BA0AE4E" w14:textId="77777777" w:rsidR="00527EDF" w:rsidRDefault="00527EDF" w:rsidP="00527EDF">
      <w:pPr>
        <w:pStyle w:val="NoSpacing"/>
        <w:rPr>
          <w:rFonts w:ascii="Times New Roman" w:hAnsi="Times New Roman"/>
          <w:b/>
          <w:sz w:val="24"/>
          <w:szCs w:val="24"/>
        </w:rPr>
      </w:pPr>
      <w:bookmarkStart w:id="251" w:name="_Hlk10127098"/>
      <w:r w:rsidRPr="00A0664F">
        <w:rPr>
          <w:rFonts w:ascii="Times New Roman" w:hAnsi="Times New Roman"/>
          <w:b/>
          <w:sz w:val="24"/>
          <w:szCs w:val="24"/>
        </w:rPr>
        <w:t xml:space="preserve">Legal Lessons Learned: </w:t>
      </w:r>
      <w:r>
        <w:rPr>
          <w:rFonts w:ascii="Times New Roman" w:hAnsi="Times New Roman"/>
          <w:b/>
          <w:sz w:val="24"/>
          <w:szCs w:val="24"/>
        </w:rPr>
        <w:t xml:space="preserve"> Many states, including Illinois, have now enacted a statutory presumption on FF cancer.  But some employers are contesting claims, particularly if FF has poor health history.   </w:t>
      </w:r>
    </w:p>
    <w:p w14:paraId="0E4BD0D0" w14:textId="77777777" w:rsidR="00527EDF" w:rsidRDefault="00527EDF" w:rsidP="00527EDF">
      <w:pPr>
        <w:pStyle w:val="NoSpacing"/>
        <w:ind w:left="720"/>
        <w:rPr>
          <w:rFonts w:ascii="Times New Roman" w:hAnsi="Times New Roman"/>
          <w:sz w:val="24"/>
          <w:szCs w:val="24"/>
        </w:rPr>
      </w:pPr>
    </w:p>
    <w:p w14:paraId="0D967363" w14:textId="77777777" w:rsidR="00527EDF" w:rsidRPr="001922D5" w:rsidRDefault="00527EDF" w:rsidP="00527EDF">
      <w:pPr>
        <w:pStyle w:val="NoSpacing"/>
        <w:ind w:left="720"/>
        <w:rPr>
          <w:rFonts w:ascii="Times New Roman" w:hAnsi="Times New Roman"/>
          <w:sz w:val="24"/>
          <w:szCs w:val="24"/>
        </w:rPr>
      </w:pPr>
      <w:r>
        <w:rPr>
          <w:rFonts w:ascii="Times New Roman" w:hAnsi="Times New Roman"/>
          <w:sz w:val="24"/>
          <w:szCs w:val="24"/>
        </w:rPr>
        <w:t>S</w:t>
      </w:r>
      <w:r w:rsidRPr="00A0664F">
        <w:rPr>
          <w:rFonts w:ascii="Times New Roman" w:hAnsi="Times New Roman"/>
          <w:sz w:val="24"/>
          <w:szCs w:val="24"/>
        </w:rPr>
        <w:t xml:space="preserve">ee </w:t>
      </w:r>
      <w:r>
        <w:rPr>
          <w:rFonts w:ascii="Times New Roman" w:hAnsi="Times New Roman"/>
          <w:sz w:val="24"/>
          <w:szCs w:val="24"/>
        </w:rPr>
        <w:t xml:space="preserve">also </w:t>
      </w:r>
      <w:r w:rsidRPr="00A0664F">
        <w:rPr>
          <w:rFonts w:ascii="Times New Roman" w:hAnsi="Times New Roman"/>
          <w:sz w:val="24"/>
          <w:szCs w:val="24"/>
        </w:rPr>
        <w:t xml:space="preserve">this article on </w:t>
      </w:r>
      <w:r>
        <w:rPr>
          <w:rFonts w:ascii="Times New Roman" w:hAnsi="Times New Roman"/>
          <w:sz w:val="24"/>
          <w:szCs w:val="24"/>
        </w:rPr>
        <w:t xml:space="preserve">2017 </w:t>
      </w:r>
      <w:r w:rsidRPr="00A0664F">
        <w:rPr>
          <w:rFonts w:ascii="Times New Roman" w:hAnsi="Times New Roman"/>
          <w:sz w:val="24"/>
          <w:szCs w:val="24"/>
        </w:rPr>
        <w:t>case involving Illinois firefighter who suffered a heart attack</w:t>
      </w:r>
      <w:r>
        <w:rPr>
          <w:rFonts w:ascii="Times New Roman" w:hAnsi="Times New Roman"/>
          <w:sz w:val="24"/>
          <w:szCs w:val="24"/>
        </w:rPr>
        <w:t>. “</w:t>
      </w:r>
      <w:r w:rsidRPr="001922D5">
        <w:rPr>
          <w:rFonts w:ascii="Times New Roman" w:hAnsi="Times New Roman"/>
          <w:sz w:val="24"/>
          <w:szCs w:val="24"/>
        </w:rPr>
        <w:t>In this case, the petitioner was an obese smoker, mildly diabetic, and with a family history of heart disease.</w:t>
      </w:r>
      <w:r>
        <w:rPr>
          <w:rFonts w:ascii="Times New Roman" w:hAnsi="Times New Roman"/>
          <w:sz w:val="24"/>
          <w:szCs w:val="24"/>
        </w:rPr>
        <w:t>”</w:t>
      </w:r>
      <w:r w:rsidRPr="001922D5">
        <w:rPr>
          <w:rFonts w:ascii="Times New Roman" w:hAnsi="Times New Roman"/>
          <w:sz w:val="24"/>
          <w:szCs w:val="24"/>
        </w:rPr>
        <w:t xml:space="preserve"> </w:t>
      </w:r>
      <w:hyperlink r:id="rId1311" w:history="1">
        <w:r w:rsidRPr="001922D5">
          <w:rPr>
            <w:rStyle w:val="Hyperlink"/>
            <w:rFonts w:ascii="Times New Roman" w:hAnsi="Times New Roman"/>
            <w:sz w:val="24"/>
            <w:szCs w:val="24"/>
          </w:rPr>
          <w:t>http://inmanfitzgibbons.com/illinois-wc-alert-rebutting-the-6f-presumption/</w:t>
        </w:r>
      </w:hyperlink>
      <w:r w:rsidRPr="001922D5">
        <w:rPr>
          <w:rFonts w:ascii="Times New Roman" w:hAnsi="Times New Roman"/>
          <w:sz w:val="24"/>
          <w:szCs w:val="24"/>
        </w:rPr>
        <w:t xml:space="preserve"> </w:t>
      </w:r>
    </w:p>
    <w:p w14:paraId="5FD55CCD" w14:textId="77777777" w:rsidR="00527EDF" w:rsidRPr="006E0B93" w:rsidRDefault="00527EDF" w:rsidP="00527EDF">
      <w:pPr>
        <w:pStyle w:val="NoSpacing"/>
        <w:ind w:left="720"/>
        <w:rPr>
          <w:rFonts w:ascii="Times New Roman" w:hAnsi="Times New Roman"/>
          <w:sz w:val="24"/>
          <w:szCs w:val="24"/>
        </w:rPr>
      </w:pPr>
      <w:r w:rsidRPr="00A0664F">
        <w:rPr>
          <w:rFonts w:ascii="Times New Roman" w:hAnsi="Times New Roman"/>
          <w:sz w:val="24"/>
          <w:szCs w:val="24"/>
        </w:rPr>
        <w:t xml:space="preserve">The Court further quoted the bill sponsor as saying, “[s]o don’t think it’s conclusive that simply because you have lung cancer, you’re going to get compensation of the Worker’s Compensation Act. What we’re </w:t>
      </w:r>
      <w:r w:rsidRPr="00A0664F">
        <w:rPr>
          <w:rFonts w:ascii="Times New Roman" w:hAnsi="Times New Roman"/>
          <w:sz w:val="24"/>
          <w:szCs w:val="24"/>
        </w:rPr>
        <w:lastRenderedPageBreak/>
        <w:t>saying is, we’ll get you to the hearing. Then the other side can bring in evidence that you smoked for thirty (30) years and therefore, it wasn’t a result of the actions taken at work.” </w:t>
      </w:r>
      <w:r w:rsidRPr="00A0664F">
        <w:rPr>
          <w:rStyle w:val="Emphasis"/>
          <w:rFonts w:ascii="Times New Roman" w:hAnsi="Times New Roman"/>
          <w:sz w:val="24"/>
          <w:szCs w:val="24"/>
        </w:rPr>
        <w:t>Id.</w:t>
      </w:r>
      <w:r w:rsidRPr="00A0664F">
        <w:rPr>
          <w:rFonts w:ascii="Times New Roman" w:hAnsi="Times New Roman"/>
          <w:sz w:val="24"/>
          <w:szCs w:val="24"/>
        </w:rPr>
        <w:t> at 82.</w:t>
      </w:r>
      <w:r>
        <w:rPr>
          <w:rFonts w:ascii="Times New Roman" w:hAnsi="Times New Roman"/>
          <w:sz w:val="24"/>
          <w:szCs w:val="24"/>
        </w:rPr>
        <w:t xml:space="preserve"> </w:t>
      </w:r>
      <w:r w:rsidRPr="006E0B93">
        <w:rPr>
          <w:rStyle w:val="Emphasis"/>
          <w:rFonts w:ascii="Times New Roman" w:hAnsi="Times New Roman"/>
          <w:sz w:val="24"/>
          <w:szCs w:val="24"/>
        </w:rPr>
        <w:t>Johnston v. Illinois Workers’ Comp. Comm’n</w:t>
      </w:r>
      <w:r w:rsidRPr="006E0B93">
        <w:rPr>
          <w:rFonts w:ascii="Times New Roman" w:hAnsi="Times New Roman"/>
          <w:sz w:val="24"/>
          <w:szCs w:val="24"/>
        </w:rPr>
        <w:t>, 2017 IL App (2d) 160010WC.</w:t>
      </w:r>
    </w:p>
    <w:bookmarkEnd w:id="251"/>
    <w:p w14:paraId="7BEF09E7" w14:textId="1C5BE5E5" w:rsidR="00527EDF" w:rsidRDefault="00527EDF" w:rsidP="00527EDF">
      <w:pPr>
        <w:pStyle w:val="NoSpacing"/>
        <w:rPr>
          <w:rStyle w:val="Hyperlink"/>
          <w:rFonts w:ascii="Times New Roman" w:hAnsi="Times New Roman"/>
          <w:sz w:val="24"/>
          <w:szCs w:val="24"/>
        </w:rPr>
      </w:pPr>
    </w:p>
    <w:p w14:paraId="770C6CAF" w14:textId="77777777" w:rsidR="00EF1133" w:rsidRDefault="00EF1133" w:rsidP="00527EDF">
      <w:pPr>
        <w:pStyle w:val="NoSpacing"/>
        <w:rPr>
          <w:rFonts w:ascii="Arial Black" w:hAnsi="Arial Black"/>
          <w:sz w:val="28"/>
          <w:szCs w:val="28"/>
        </w:rPr>
      </w:pPr>
      <w:bookmarkStart w:id="252" w:name="_Hlk10127150"/>
    </w:p>
    <w:p w14:paraId="0057E7E8" w14:textId="3613A613" w:rsidR="00EF1133" w:rsidRDefault="00EF1133" w:rsidP="00EF1133">
      <w:pPr>
        <w:rPr>
          <w:rFonts w:ascii="Arial Black" w:hAnsi="Arial Black"/>
          <w:sz w:val="28"/>
          <w:szCs w:val="28"/>
        </w:rPr>
      </w:pPr>
      <w:r>
        <w:rPr>
          <w:rFonts w:ascii="Arial Black" w:hAnsi="Arial Black"/>
          <w:b/>
          <w:sz w:val="24"/>
          <w:szCs w:val="24"/>
        </w:rPr>
        <w:t>6</w:t>
      </w:r>
      <w:r w:rsidRPr="00EF1133">
        <w:rPr>
          <w:rFonts w:ascii="Arial Black" w:hAnsi="Arial Black"/>
          <w:b/>
          <w:sz w:val="24"/>
          <w:szCs w:val="24"/>
        </w:rPr>
        <w:t>-1</w:t>
      </w:r>
      <w:r w:rsidR="005B0774">
        <w:rPr>
          <w:rFonts w:ascii="Arial Black" w:hAnsi="Arial Black"/>
          <w:b/>
          <w:sz w:val="24"/>
          <w:szCs w:val="24"/>
        </w:rPr>
        <w:t>9</w:t>
      </w:r>
    </w:p>
    <w:p w14:paraId="0292BE1A" w14:textId="32B2619F" w:rsidR="00527EDF" w:rsidRDefault="00527EDF" w:rsidP="00527EDF">
      <w:pPr>
        <w:pStyle w:val="NoSpacing"/>
        <w:rPr>
          <w:rFonts w:ascii="Arial Black" w:hAnsi="Arial Black"/>
          <w:sz w:val="28"/>
          <w:szCs w:val="28"/>
        </w:rPr>
      </w:pPr>
      <w:r w:rsidRPr="005F044F">
        <w:rPr>
          <w:rFonts w:ascii="Arial Black" w:hAnsi="Arial Black"/>
          <w:sz w:val="28"/>
          <w:szCs w:val="28"/>
        </w:rPr>
        <w:t xml:space="preserve">NJ: </w:t>
      </w:r>
      <w:r>
        <w:rPr>
          <w:rFonts w:ascii="Arial Black" w:hAnsi="Arial Black"/>
          <w:sz w:val="28"/>
          <w:szCs w:val="28"/>
        </w:rPr>
        <w:t>FF’s BACK INJURY - PLASTIC CHAIR COLLAPSED - PRIOR BACK ISSUES – NOT “ACCIDENTAL” DISABILITY, ONLY “ORDINARY” DISAB.</w:t>
      </w:r>
    </w:p>
    <w:p w14:paraId="5293A597" w14:textId="77777777" w:rsidR="00527EDF" w:rsidRDefault="00527EDF" w:rsidP="00527EDF">
      <w:pPr>
        <w:pStyle w:val="NoSpacing"/>
        <w:rPr>
          <w:rFonts w:ascii="Arial Black" w:hAnsi="Arial Black"/>
          <w:sz w:val="28"/>
          <w:szCs w:val="28"/>
        </w:rPr>
      </w:pPr>
    </w:p>
    <w:p w14:paraId="054469E7" w14:textId="77777777" w:rsidR="00527EDF" w:rsidRPr="00BE460E" w:rsidRDefault="00527EDF" w:rsidP="00527EDF">
      <w:pPr>
        <w:pStyle w:val="NoSpacing"/>
        <w:rPr>
          <w:rFonts w:ascii="Times New Roman" w:hAnsi="Times New Roman"/>
          <w:sz w:val="24"/>
          <w:szCs w:val="24"/>
        </w:rPr>
      </w:pPr>
      <w:r>
        <w:rPr>
          <w:rFonts w:ascii="Times New Roman" w:hAnsi="Times New Roman"/>
          <w:sz w:val="24"/>
          <w:szCs w:val="24"/>
        </w:rPr>
        <w:t xml:space="preserve">On </w:t>
      </w:r>
      <w:bookmarkStart w:id="253" w:name="_Hlk39831259"/>
      <w:r>
        <w:rPr>
          <w:rFonts w:ascii="Times New Roman" w:hAnsi="Times New Roman"/>
          <w:sz w:val="24"/>
          <w:szCs w:val="24"/>
        </w:rPr>
        <w:t xml:space="preserve">May 10, 2019, in </w:t>
      </w:r>
      <w:r w:rsidRPr="00BE460E">
        <w:rPr>
          <w:rFonts w:ascii="Times New Roman" w:hAnsi="Times New Roman"/>
          <w:sz w:val="24"/>
          <w:szCs w:val="24"/>
          <w:u w:val="single"/>
        </w:rPr>
        <w:t>Terrence Crowder v. Board of Trustees, Police &amp; Firemen’s Retirement System</w:t>
      </w:r>
      <w:bookmarkEnd w:id="253"/>
      <w:r w:rsidRPr="00BE460E">
        <w:rPr>
          <w:rFonts w:ascii="Times New Roman" w:hAnsi="Times New Roman"/>
          <w:sz w:val="24"/>
          <w:szCs w:val="24"/>
        </w:rPr>
        <w:t>, the Superior Court of New Jersey, Appellate Division,</w:t>
      </w:r>
      <w:r>
        <w:rPr>
          <w:rFonts w:ascii="Times New Roman" w:hAnsi="Times New Roman"/>
          <w:sz w:val="24"/>
          <w:szCs w:val="24"/>
          <w:u w:val="single"/>
        </w:rPr>
        <w:t xml:space="preserve"> </w:t>
      </w:r>
      <w:r>
        <w:rPr>
          <w:rFonts w:ascii="Times New Roman" w:hAnsi="Times New Roman"/>
          <w:sz w:val="24"/>
          <w:szCs w:val="24"/>
        </w:rPr>
        <w:t>held (2 to 0) that Deputy Chief was not entitled to 72.7% accidental disability retirement, only “ordinary” disability retirement (43.6%).</w:t>
      </w:r>
    </w:p>
    <w:p w14:paraId="2C9F7772" w14:textId="77777777" w:rsidR="00527EDF" w:rsidRDefault="00527EDF" w:rsidP="00527EDF">
      <w:pPr>
        <w:pStyle w:val="NoSpacing"/>
        <w:rPr>
          <w:rFonts w:ascii="Times New Roman" w:hAnsi="Times New Roman"/>
          <w:sz w:val="24"/>
          <w:szCs w:val="24"/>
        </w:rPr>
      </w:pPr>
    </w:p>
    <w:p w14:paraId="7CB6108D" w14:textId="77777777" w:rsidR="00527EDF" w:rsidRDefault="00527EDF" w:rsidP="00527EDF">
      <w:pPr>
        <w:pStyle w:val="NoSpacing"/>
        <w:ind w:left="720"/>
        <w:rPr>
          <w:rFonts w:ascii="Times New Roman" w:hAnsi="Times New Roman"/>
          <w:sz w:val="24"/>
          <w:szCs w:val="24"/>
        </w:rPr>
      </w:pPr>
      <w:r>
        <w:rPr>
          <w:rFonts w:ascii="Times New Roman" w:hAnsi="Times New Roman"/>
          <w:sz w:val="24"/>
          <w:szCs w:val="24"/>
        </w:rPr>
        <w:t>“</w:t>
      </w:r>
      <w:r w:rsidRPr="00CA7133">
        <w:rPr>
          <w:rFonts w:ascii="Times New Roman" w:hAnsi="Times New Roman"/>
          <w:sz w:val="24"/>
          <w:szCs w:val="24"/>
        </w:rPr>
        <w:t>The 2008 incident was not the direct cause of</w:t>
      </w:r>
      <w:r>
        <w:rPr>
          <w:rFonts w:ascii="Times New Roman" w:hAnsi="Times New Roman"/>
          <w:sz w:val="24"/>
          <w:szCs w:val="24"/>
        </w:rPr>
        <w:t xml:space="preserve"> </w:t>
      </w:r>
      <w:r w:rsidRPr="00CA7133">
        <w:rPr>
          <w:rFonts w:ascii="Times New Roman" w:hAnsi="Times New Roman"/>
          <w:sz w:val="24"/>
          <w:szCs w:val="24"/>
        </w:rPr>
        <w:t>Crowder's disability. Rather,</w:t>
      </w:r>
      <w:r>
        <w:rPr>
          <w:rFonts w:ascii="Times New Roman" w:hAnsi="Times New Roman"/>
          <w:sz w:val="24"/>
          <w:szCs w:val="24"/>
        </w:rPr>
        <w:t xml:space="preserve"> </w:t>
      </w:r>
      <w:r w:rsidRPr="00CA7133">
        <w:rPr>
          <w:rFonts w:ascii="Times New Roman" w:hAnsi="Times New Roman"/>
          <w:sz w:val="24"/>
          <w:szCs w:val="24"/>
        </w:rPr>
        <w:t>as the ALJ correctly found, Crowder's</w:t>
      </w:r>
      <w:r>
        <w:rPr>
          <w:rFonts w:ascii="Times New Roman" w:hAnsi="Times New Roman"/>
          <w:sz w:val="24"/>
          <w:szCs w:val="24"/>
        </w:rPr>
        <w:t xml:space="preserve"> </w:t>
      </w:r>
      <w:r w:rsidRPr="00CA7133">
        <w:rPr>
          <w:rFonts w:ascii="Times New Roman" w:hAnsi="Times New Roman"/>
          <w:sz w:val="24"/>
          <w:szCs w:val="24"/>
        </w:rPr>
        <w:t xml:space="preserve">preexisting degenerative condition, which was aggravated by the 2008 incident, was the essential significant or the substantial contributing cause of his </w:t>
      </w:r>
      <w:proofErr w:type="gramStart"/>
      <w:r w:rsidRPr="00CA7133">
        <w:rPr>
          <w:rFonts w:ascii="Times New Roman" w:hAnsi="Times New Roman"/>
          <w:sz w:val="24"/>
          <w:szCs w:val="24"/>
        </w:rPr>
        <w:t>disability.</w:t>
      </w:r>
      <w:r>
        <w:rPr>
          <w:rFonts w:ascii="Times New Roman" w:hAnsi="Times New Roman"/>
          <w:sz w:val="24"/>
          <w:szCs w:val="24"/>
        </w:rPr>
        <w:t>”</w:t>
      </w:r>
      <w:proofErr w:type="gramEnd"/>
    </w:p>
    <w:bookmarkStart w:id="254" w:name="_Hlk39831287"/>
    <w:p w14:paraId="6FA5DDA4" w14:textId="77777777" w:rsidR="00527EDF" w:rsidRPr="00CA7133" w:rsidRDefault="00374417" w:rsidP="00527EDF">
      <w:pPr>
        <w:pStyle w:val="NoSpacing"/>
        <w:ind w:left="720"/>
        <w:rPr>
          <w:rFonts w:ascii="Times New Roman" w:hAnsi="Times New Roman"/>
          <w:sz w:val="24"/>
          <w:szCs w:val="24"/>
        </w:rPr>
      </w:pPr>
      <w:r>
        <w:fldChar w:fldCharType="begin"/>
      </w:r>
      <w:r>
        <w:instrText xml:space="preserve"> HYPERLINK "https://njcourts.gov/attorneys/assets/opinions/appellate/unpublished/a0094-17.pdf" </w:instrText>
      </w:r>
      <w:r>
        <w:fldChar w:fldCharType="separate"/>
      </w:r>
      <w:r w:rsidR="00527EDF" w:rsidRPr="002620E3">
        <w:rPr>
          <w:rStyle w:val="Hyperlink"/>
          <w:rFonts w:ascii="Times New Roman" w:hAnsi="Times New Roman"/>
          <w:sz w:val="24"/>
          <w:szCs w:val="24"/>
        </w:rPr>
        <w:t>https://njcourts.gov/attorneys/assets/opinions/appellate/unpublished/a0094-17.pdf</w:t>
      </w:r>
      <w:r>
        <w:rPr>
          <w:rStyle w:val="Hyperlink"/>
          <w:rFonts w:ascii="Times New Roman" w:hAnsi="Times New Roman"/>
          <w:sz w:val="24"/>
          <w:szCs w:val="24"/>
        </w:rPr>
        <w:fldChar w:fldCharType="end"/>
      </w:r>
      <w:r w:rsidR="00527EDF">
        <w:rPr>
          <w:rFonts w:ascii="Times New Roman" w:hAnsi="Times New Roman"/>
          <w:sz w:val="24"/>
          <w:szCs w:val="24"/>
        </w:rPr>
        <w:t xml:space="preserve"> </w:t>
      </w:r>
    </w:p>
    <w:p w14:paraId="3EDAB032" w14:textId="77777777" w:rsidR="00527EDF" w:rsidRDefault="00527EDF" w:rsidP="00527EDF">
      <w:pPr>
        <w:pStyle w:val="NoSpacing"/>
        <w:rPr>
          <w:rFonts w:ascii="Times New Roman" w:hAnsi="Times New Roman"/>
          <w:b/>
          <w:sz w:val="24"/>
          <w:szCs w:val="24"/>
        </w:rPr>
      </w:pPr>
      <w:bookmarkStart w:id="255" w:name="_Hlk10127233"/>
      <w:bookmarkEnd w:id="252"/>
      <w:bookmarkEnd w:id="254"/>
    </w:p>
    <w:p w14:paraId="3CD6AB30" w14:textId="58AEA41C" w:rsidR="00527EDF" w:rsidRPr="00C8192B" w:rsidRDefault="00527EDF" w:rsidP="00527EDF">
      <w:pPr>
        <w:pStyle w:val="NoSpacing"/>
        <w:rPr>
          <w:rFonts w:ascii="Times New Roman" w:hAnsi="Times New Roman"/>
          <w:b/>
          <w:sz w:val="24"/>
          <w:szCs w:val="24"/>
        </w:rPr>
      </w:pPr>
      <w:r w:rsidRPr="00C8192B">
        <w:rPr>
          <w:rFonts w:ascii="Times New Roman" w:hAnsi="Times New Roman"/>
          <w:b/>
          <w:sz w:val="24"/>
          <w:szCs w:val="24"/>
        </w:rPr>
        <w:t xml:space="preserve">Legal Lessons Learned: </w:t>
      </w:r>
      <w:r>
        <w:rPr>
          <w:rFonts w:ascii="Times New Roman" w:hAnsi="Times New Roman"/>
          <w:b/>
          <w:sz w:val="24"/>
          <w:szCs w:val="24"/>
        </w:rPr>
        <w:t xml:space="preserve">Aggravating a pre-existing degenerative condition does not meet the requirements of the state statute. Suggestion - get rid of plastic chairs in the station. </w:t>
      </w:r>
    </w:p>
    <w:p w14:paraId="12721D64" w14:textId="77777777" w:rsidR="00527EDF" w:rsidRDefault="00527EDF" w:rsidP="00527EDF">
      <w:pPr>
        <w:pStyle w:val="NoSpacing"/>
        <w:ind w:firstLine="720"/>
        <w:rPr>
          <w:rFonts w:ascii="Times New Roman" w:hAnsi="Times New Roman"/>
          <w:sz w:val="24"/>
          <w:szCs w:val="24"/>
        </w:rPr>
      </w:pPr>
    </w:p>
    <w:p w14:paraId="3EDE4DB6" w14:textId="77777777" w:rsidR="00527EDF" w:rsidRPr="00DE64B9" w:rsidRDefault="00527EDF" w:rsidP="00527EDF">
      <w:pPr>
        <w:pStyle w:val="NoSpacing"/>
        <w:ind w:left="720"/>
        <w:rPr>
          <w:rFonts w:ascii="Times New Roman" w:hAnsi="Times New Roman"/>
          <w:b/>
          <w:sz w:val="24"/>
          <w:szCs w:val="24"/>
        </w:rPr>
      </w:pPr>
      <w:r w:rsidRPr="00DE64B9">
        <w:rPr>
          <w:rFonts w:ascii="Times New Roman" w:hAnsi="Times New Roman"/>
          <w:sz w:val="24"/>
          <w:szCs w:val="24"/>
        </w:rPr>
        <w:t xml:space="preserve">See this article on the case, </w:t>
      </w:r>
      <w:bookmarkStart w:id="256" w:name="_Hlk39831133"/>
      <w:r w:rsidRPr="00DE64B9">
        <w:rPr>
          <w:rFonts w:ascii="Times New Roman" w:hAnsi="Times New Roman"/>
          <w:sz w:val="24"/>
          <w:szCs w:val="24"/>
        </w:rPr>
        <w:t xml:space="preserve">“Former Camden firefighter loses court fight over disability retirement benefits.” (May 14, 2019). </w:t>
      </w:r>
      <w:hyperlink r:id="rId1312" w:history="1">
        <w:r w:rsidRPr="00DE64B9">
          <w:rPr>
            <w:rStyle w:val="Hyperlink"/>
            <w:rFonts w:ascii="Times New Roman" w:hAnsi="Times New Roman"/>
            <w:sz w:val="24"/>
            <w:szCs w:val="24"/>
          </w:rPr>
          <w:t>https://www.courierpostonline.com/story/news/2019/05/14/terremce-crowder-camden-fire-department-deputy-chief-loses-disability-benefits-dispute/1194598001/</w:t>
        </w:r>
      </w:hyperlink>
      <w:bookmarkEnd w:id="256"/>
      <w:r w:rsidRPr="00DE64B9">
        <w:rPr>
          <w:rFonts w:ascii="Times New Roman" w:hAnsi="Times New Roman"/>
          <w:sz w:val="24"/>
          <w:szCs w:val="24"/>
        </w:rPr>
        <w:t xml:space="preserve"> </w:t>
      </w:r>
    </w:p>
    <w:p w14:paraId="7158046C" w14:textId="77777777" w:rsidR="00527EDF" w:rsidRPr="00DE64B9" w:rsidRDefault="00527EDF" w:rsidP="00527EDF">
      <w:pPr>
        <w:pStyle w:val="NoSpacing"/>
        <w:ind w:left="720"/>
        <w:rPr>
          <w:rFonts w:ascii="Times New Roman" w:hAnsi="Times New Roman"/>
          <w:sz w:val="24"/>
          <w:szCs w:val="24"/>
        </w:rPr>
      </w:pPr>
      <w:r w:rsidRPr="00DE64B9">
        <w:rPr>
          <w:rFonts w:ascii="Times New Roman" w:hAnsi="Times New Roman"/>
          <w:sz w:val="24"/>
          <w:szCs w:val="24"/>
        </w:rPr>
        <w:t>“According to the state Treasury’s website, an ordinary disability retirement pays 43.6 percent of an employee’s salary averaged over his or her last three years of service. In contrast, an accidental disability retirement pays 72.7 percent of the base salary at the time of the ‘traumatic event.’”</w:t>
      </w:r>
    </w:p>
    <w:bookmarkEnd w:id="255"/>
    <w:p w14:paraId="0CD1D77B" w14:textId="77777777" w:rsidR="0097592D" w:rsidRDefault="0097592D" w:rsidP="0097592D">
      <w:pPr>
        <w:pStyle w:val="NoSpacing"/>
        <w:rPr>
          <w:rFonts w:ascii="Times New Roman" w:hAnsi="Times New Roman"/>
          <w:sz w:val="24"/>
          <w:szCs w:val="24"/>
        </w:rPr>
      </w:pPr>
    </w:p>
    <w:p w14:paraId="0B140BCA" w14:textId="28931B8E" w:rsidR="0097592D" w:rsidRDefault="0097592D" w:rsidP="0097592D">
      <w:pPr>
        <w:pStyle w:val="NoSpacing"/>
        <w:rPr>
          <w:rFonts w:ascii="Times New Roman" w:hAnsi="Times New Roman"/>
          <w:sz w:val="24"/>
          <w:szCs w:val="24"/>
        </w:rPr>
      </w:pPr>
    </w:p>
    <w:p w14:paraId="1F5AEF7C" w14:textId="77777777" w:rsidR="005F7D6B" w:rsidRDefault="005F7D6B" w:rsidP="00EF1133">
      <w:pPr>
        <w:rPr>
          <w:rFonts w:ascii="Arial Black" w:hAnsi="Arial Black"/>
          <w:b/>
          <w:sz w:val="24"/>
          <w:szCs w:val="24"/>
        </w:rPr>
      </w:pPr>
    </w:p>
    <w:p w14:paraId="083A518F" w14:textId="6768BE79" w:rsidR="00660046" w:rsidRDefault="00660046" w:rsidP="00EF1133">
      <w:pPr>
        <w:rPr>
          <w:rFonts w:ascii="Arial Black" w:hAnsi="Arial Black"/>
          <w:b/>
          <w:sz w:val="24"/>
          <w:szCs w:val="24"/>
        </w:rPr>
      </w:pPr>
      <w:r>
        <w:rPr>
          <w:rFonts w:ascii="Arial Black" w:hAnsi="Arial Black"/>
          <w:b/>
          <w:sz w:val="24"/>
          <w:szCs w:val="24"/>
        </w:rPr>
        <w:t>6-18</w:t>
      </w:r>
    </w:p>
    <w:p w14:paraId="5779DE15" w14:textId="77777777" w:rsidR="00660046" w:rsidRPr="00660046" w:rsidRDefault="00660046" w:rsidP="00EF1133">
      <w:pPr>
        <w:rPr>
          <w:rFonts w:ascii="Arial Black" w:hAnsi="Arial Black" w:cs="Arial"/>
          <w:sz w:val="28"/>
          <w:szCs w:val="28"/>
        </w:rPr>
      </w:pPr>
      <w:r w:rsidRPr="00660046">
        <w:rPr>
          <w:rFonts w:ascii="Arial Black" w:hAnsi="Arial Black" w:cs="Arial"/>
          <w:sz w:val="28"/>
          <w:szCs w:val="28"/>
        </w:rPr>
        <w:t>NY: FDNY APPLICANT - PLED GUILTY MJ – CIVIL SERVICE COMM. PUT HIM BACK ON ELIGIBILITY LIST – LIST NOW EXPIRED - NOT HIRED</w:t>
      </w:r>
    </w:p>
    <w:p w14:paraId="386005B1" w14:textId="21EF063F" w:rsidR="00660046" w:rsidRPr="0036327D" w:rsidRDefault="00660046" w:rsidP="00EF1133">
      <w:pPr>
        <w:rPr>
          <w:rFonts w:ascii="Times New Roman" w:hAnsi="Times New Roman"/>
          <w:sz w:val="24"/>
          <w:szCs w:val="24"/>
        </w:rPr>
      </w:pPr>
      <w:r w:rsidRPr="0036327D">
        <w:rPr>
          <w:rFonts w:ascii="Times New Roman" w:hAnsi="Times New Roman"/>
          <w:sz w:val="24"/>
          <w:szCs w:val="24"/>
        </w:rPr>
        <w:t xml:space="preserve">On April 18, 2019, In </w:t>
      </w:r>
      <w:proofErr w:type="gramStart"/>
      <w:r w:rsidRPr="0036327D">
        <w:rPr>
          <w:rFonts w:ascii="Times New Roman" w:hAnsi="Times New Roman"/>
          <w:sz w:val="24"/>
          <w:szCs w:val="24"/>
        </w:rPr>
        <w:t>The</w:t>
      </w:r>
      <w:proofErr w:type="gramEnd"/>
      <w:r w:rsidRPr="0036327D">
        <w:rPr>
          <w:rFonts w:ascii="Times New Roman" w:hAnsi="Times New Roman"/>
          <w:sz w:val="24"/>
          <w:szCs w:val="24"/>
        </w:rPr>
        <w:t xml:space="preserve"> Matter </w:t>
      </w:r>
      <w:proofErr w:type="gramStart"/>
      <w:r w:rsidRPr="0036327D">
        <w:rPr>
          <w:rFonts w:ascii="Times New Roman" w:hAnsi="Times New Roman"/>
          <w:sz w:val="24"/>
          <w:szCs w:val="24"/>
        </w:rPr>
        <w:t>Of</w:t>
      </w:r>
      <w:proofErr w:type="gramEnd"/>
      <w:r w:rsidRPr="0036327D">
        <w:rPr>
          <w:rFonts w:ascii="Times New Roman" w:hAnsi="Times New Roman"/>
          <w:sz w:val="24"/>
          <w:szCs w:val="24"/>
        </w:rPr>
        <w:t xml:space="preserve"> </w:t>
      </w:r>
      <w:proofErr w:type="gramStart"/>
      <w:r w:rsidRPr="0036327D">
        <w:rPr>
          <w:rFonts w:ascii="Times New Roman" w:hAnsi="Times New Roman"/>
          <w:sz w:val="24"/>
          <w:szCs w:val="24"/>
        </w:rPr>
        <w:t>The</w:t>
      </w:r>
      <w:proofErr w:type="gramEnd"/>
      <w:r w:rsidRPr="0036327D">
        <w:rPr>
          <w:rFonts w:ascii="Times New Roman" w:hAnsi="Times New Roman"/>
          <w:sz w:val="24"/>
          <w:szCs w:val="24"/>
        </w:rPr>
        <w:t xml:space="preserve"> Application </w:t>
      </w:r>
      <w:proofErr w:type="gramStart"/>
      <w:r w:rsidRPr="0036327D">
        <w:rPr>
          <w:rFonts w:ascii="Times New Roman" w:hAnsi="Times New Roman"/>
          <w:sz w:val="24"/>
          <w:szCs w:val="24"/>
        </w:rPr>
        <w:t>Of</w:t>
      </w:r>
      <w:proofErr w:type="gramEnd"/>
      <w:r w:rsidRPr="0036327D">
        <w:rPr>
          <w:rFonts w:ascii="Times New Roman" w:hAnsi="Times New Roman"/>
          <w:sz w:val="24"/>
          <w:szCs w:val="24"/>
        </w:rPr>
        <w:t xml:space="preserve"> Christopher Redden v. The City of New York, a judge on NY Supreme Court, Kings County, denied the applicant’s request to be placed on a “special eligible list.” Redden v. City of N.Y., 2019 NY Slip Op 50647(U) (N.Y. Sup. Ct., 2019). “Being named on an eligible list does not create any vested right to be appointed; at most it conveys the right to be considered and the possibility of an appointment. *** Thus, the FDNY, as a civil service department, has the discretion to disqualify a candidate on the eligible list who has been found guilty of a crime. </w:t>
      </w:r>
      <w:hyperlink r:id="rId1313" w:history="1">
        <w:r w:rsidRPr="0036327D">
          <w:rPr>
            <w:rStyle w:val="Hyperlink"/>
            <w:rFonts w:ascii="Times New Roman" w:hAnsi="Times New Roman"/>
            <w:sz w:val="24"/>
            <w:szCs w:val="24"/>
          </w:rPr>
          <w:t>https://law.justia.com/cases/new-york/other-courts/2019/2019-ny-slip-op-50647-u.html</w:t>
        </w:r>
      </w:hyperlink>
      <w:r w:rsidRPr="0036327D">
        <w:rPr>
          <w:rFonts w:ascii="Times New Roman" w:hAnsi="Times New Roman"/>
          <w:sz w:val="24"/>
          <w:szCs w:val="24"/>
        </w:rPr>
        <w:t xml:space="preserve"> </w:t>
      </w:r>
    </w:p>
    <w:p w14:paraId="69CF6E62" w14:textId="5FBD5542" w:rsidR="00660046" w:rsidRPr="0036327D" w:rsidRDefault="00660046" w:rsidP="00EF1133">
      <w:pPr>
        <w:rPr>
          <w:rFonts w:ascii="Times New Roman" w:hAnsi="Times New Roman"/>
          <w:b/>
          <w:bCs/>
          <w:sz w:val="24"/>
          <w:szCs w:val="24"/>
        </w:rPr>
      </w:pPr>
      <w:r w:rsidRPr="0036327D">
        <w:rPr>
          <w:rFonts w:ascii="Times New Roman" w:hAnsi="Times New Roman"/>
          <w:b/>
          <w:bCs/>
          <w:sz w:val="24"/>
          <w:szCs w:val="24"/>
        </w:rPr>
        <w:lastRenderedPageBreak/>
        <w:t xml:space="preserve">Legal Lessons Learned: After eligibility list expires, applicant must wait for next exam. If he </w:t>
      </w:r>
      <w:proofErr w:type="gramStart"/>
      <w:r w:rsidRPr="0036327D">
        <w:rPr>
          <w:rFonts w:ascii="Times New Roman" w:hAnsi="Times New Roman"/>
          <w:b/>
          <w:bCs/>
          <w:sz w:val="24"/>
          <w:szCs w:val="24"/>
        </w:rPr>
        <w:t>is then</w:t>
      </w:r>
      <w:proofErr w:type="gramEnd"/>
      <w:r w:rsidRPr="0036327D">
        <w:rPr>
          <w:rFonts w:ascii="Times New Roman" w:hAnsi="Times New Roman"/>
          <w:b/>
          <w:bCs/>
          <w:sz w:val="24"/>
          <w:szCs w:val="24"/>
        </w:rPr>
        <w:t xml:space="preserve"> too old to apply, then he is without a remedy. </w:t>
      </w:r>
    </w:p>
    <w:p w14:paraId="7B13B0DA" w14:textId="2E94D0F5" w:rsidR="00660046" w:rsidRPr="0036327D" w:rsidRDefault="00660046" w:rsidP="00EF1133">
      <w:pPr>
        <w:rPr>
          <w:rFonts w:ascii="Times New Roman" w:hAnsi="Times New Roman"/>
          <w:sz w:val="24"/>
          <w:szCs w:val="24"/>
        </w:rPr>
      </w:pPr>
    </w:p>
    <w:p w14:paraId="3B9D3F45" w14:textId="77777777" w:rsidR="00660046" w:rsidRPr="00660046" w:rsidRDefault="00660046" w:rsidP="00EF1133">
      <w:pPr>
        <w:rPr>
          <w:rFonts w:ascii="Arial Black" w:hAnsi="Arial Black"/>
          <w:b/>
          <w:bCs/>
          <w:sz w:val="24"/>
          <w:szCs w:val="24"/>
        </w:rPr>
      </w:pPr>
    </w:p>
    <w:p w14:paraId="2BE436E8" w14:textId="3D748EF6" w:rsidR="005F7D6B" w:rsidRDefault="005F7D6B" w:rsidP="00EF1133">
      <w:pPr>
        <w:rPr>
          <w:rFonts w:ascii="Arial Black" w:hAnsi="Arial Black"/>
          <w:b/>
          <w:sz w:val="24"/>
          <w:szCs w:val="24"/>
        </w:rPr>
      </w:pPr>
      <w:r>
        <w:rPr>
          <w:rFonts w:ascii="Arial Black" w:hAnsi="Arial Black"/>
          <w:b/>
          <w:sz w:val="24"/>
          <w:szCs w:val="24"/>
        </w:rPr>
        <w:t>6-17</w:t>
      </w:r>
    </w:p>
    <w:p w14:paraId="7817ECAB" w14:textId="77777777" w:rsidR="005F7D6B" w:rsidRDefault="005F7D6B" w:rsidP="00EF1133">
      <w:pPr>
        <w:rPr>
          <w:rFonts w:ascii="Arial Black" w:hAnsi="Arial Black" w:cs="Arial"/>
          <w:sz w:val="28"/>
          <w:szCs w:val="28"/>
        </w:rPr>
      </w:pPr>
      <w:r w:rsidRPr="005F7D6B">
        <w:rPr>
          <w:rFonts w:ascii="Arial Black" w:hAnsi="Arial Black" w:cs="Arial"/>
          <w:sz w:val="28"/>
          <w:szCs w:val="28"/>
        </w:rPr>
        <w:t>PA: FIREFIGHTER TRIED TO RETIRE AT AGE 50 – BUT CITY AND UNION IN CBA SET THE MINIMUM AGE AT 55 – STATE MIN. OF 50 NOT APPLY</w:t>
      </w:r>
    </w:p>
    <w:p w14:paraId="21EC1437" w14:textId="2788C3EC" w:rsidR="005F7D6B" w:rsidRPr="0036327D" w:rsidRDefault="005F7D6B" w:rsidP="00EF1133">
      <w:pPr>
        <w:rPr>
          <w:rFonts w:ascii="Times New Roman" w:hAnsi="Times New Roman"/>
          <w:b/>
          <w:sz w:val="24"/>
          <w:szCs w:val="24"/>
        </w:rPr>
      </w:pPr>
      <w:r w:rsidRPr="0036327D">
        <w:rPr>
          <w:rFonts w:ascii="Times New Roman" w:hAnsi="Times New Roman"/>
          <w:sz w:val="24"/>
          <w:szCs w:val="24"/>
        </w:rPr>
        <w:t xml:space="preserve">On March 25, 2019, in Joseph C. Bongivengo v. City of New Castle Pension Plan Board and The City of New Castle, the Commonwealth Court of Pennsylvania held (3 to 0): “This ruling also disposes of Bongivengo’s argument that the City violated Section 607(e) of Act 205 because it did not engage in collective bargaining before it implemented the new age and years of service requirements. As noted above, the </w:t>
      </w:r>
      <w:proofErr w:type="gramStart"/>
      <w:r w:rsidRPr="0036327D">
        <w:rPr>
          <w:rFonts w:ascii="Times New Roman" w:hAnsi="Times New Roman"/>
          <w:sz w:val="24"/>
          <w:szCs w:val="24"/>
        </w:rPr>
        <w:t>City</w:t>
      </w:r>
      <w:proofErr w:type="gramEnd"/>
      <w:r w:rsidRPr="0036327D">
        <w:rPr>
          <w:rFonts w:ascii="Times New Roman" w:hAnsi="Times New Roman"/>
          <w:sz w:val="24"/>
          <w:szCs w:val="24"/>
        </w:rPr>
        <w:t xml:space="preserve"> and the Union did collectively bargain for the age and years of service requirement, as first reflected in the 1992 CBA and subsequently in every CBA </w:t>
      </w:r>
      <w:proofErr w:type="gramStart"/>
      <w:r w:rsidRPr="0036327D">
        <w:rPr>
          <w:rFonts w:ascii="Times New Roman" w:hAnsi="Times New Roman"/>
          <w:sz w:val="24"/>
          <w:szCs w:val="24"/>
        </w:rPr>
        <w:t>thereafter.”</w:t>
      </w:r>
      <w:proofErr w:type="gramEnd"/>
      <w:r w:rsidRPr="0036327D">
        <w:rPr>
          <w:rFonts w:ascii="Times New Roman" w:hAnsi="Times New Roman"/>
          <w:sz w:val="24"/>
          <w:szCs w:val="24"/>
        </w:rPr>
        <w:t xml:space="preserve"> </w:t>
      </w:r>
      <w:hyperlink r:id="rId1314" w:history="1">
        <w:r w:rsidRPr="0036327D">
          <w:rPr>
            <w:rStyle w:val="Hyperlink"/>
            <w:rFonts w:ascii="Times New Roman" w:hAnsi="Times New Roman"/>
            <w:sz w:val="24"/>
            <w:szCs w:val="24"/>
          </w:rPr>
          <w:t>http://www.pacourts.us/assets/opinions/Commonwealth/out/877CD18_3-25-19.pdf?cb=1</w:t>
        </w:r>
      </w:hyperlink>
      <w:r w:rsidRPr="0036327D">
        <w:rPr>
          <w:rFonts w:ascii="Times New Roman" w:hAnsi="Times New Roman"/>
          <w:sz w:val="24"/>
          <w:szCs w:val="24"/>
        </w:rPr>
        <w:t xml:space="preserve"> </w:t>
      </w:r>
    </w:p>
    <w:p w14:paraId="44BC7287" w14:textId="5990DA7C" w:rsidR="005F7D6B" w:rsidRPr="0036327D" w:rsidRDefault="005F7D6B" w:rsidP="00EF1133">
      <w:pPr>
        <w:rPr>
          <w:rFonts w:ascii="Times New Roman" w:hAnsi="Times New Roman"/>
          <w:b/>
          <w:bCs/>
          <w:sz w:val="24"/>
          <w:szCs w:val="24"/>
        </w:rPr>
      </w:pPr>
      <w:r w:rsidRPr="0036327D">
        <w:rPr>
          <w:rFonts w:ascii="Times New Roman" w:hAnsi="Times New Roman"/>
          <w:b/>
          <w:bCs/>
          <w:sz w:val="24"/>
          <w:szCs w:val="24"/>
        </w:rPr>
        <w:t xml:space="preserve">Legal Lessons Learned: Firefighters represented by a union are bound to the terms of the CBA, including minimum age until eligible to retire. </w:t>
      </w:r>
    </w:p>
    <w:p w14:paraId="0F63D48B" w14:textId="1E210D97" w:rsidR="005F7D6B" w:rsidRPr="0036327D" w:rsidRDefault="005F7D6B" w:rsidP="00EF1133">
      <w:pPr>
        <w:rPr>
          <w:rFonts w:ascii="Times New Roman" w:hAnsi="Times New Roman"/>
          <w:bCs/>
          <w:sz w:val="24"/>
          <w:szCs w:val="24"/>
        </w:rPr>
      </w:pPr>
    </w:p>
    <w:p w14:paraId="77177B4A" w14:textId="77777777" w:rsidR="005F7D6B" w:rsidRDefault="005F7D6B" w:rsidP="00EF1133">
      <w:pPr>
        <w:rPr>
          <w:rFonts w:ascii="Arial Black" w:hAnsi="Arial Black"/>
          <w:b/>
          <w:sz w:val="24"/>
          <w:szCs w:val="24"/>
        </w:rPr>
      </w:pPr>
    </w:p>
    <w:p w14:paraId="6D7592A8" w14:textId="797818FF" w:rsidR="00527EDF" w:rsidRDefault="00EF1133" w:rsidP="00EF1133">
      <w:pPr>
        <w:rPr>
          <w:sz w:val="24"/>
          <w:szCs w:val="24"/>
        </w:rPr>
      </w:pPr>
      <w:r>
        <w:rPr>
          <w:rFonts w:ascii="Arial Black" w:hAnsi="Arial Black"/>
          <w:b/>
          <w:sz w:val="24"/>
          <w:szCs w:val="24"/>
        </w:rPr>
        <w:t>6</w:t>
      </w:r>
      <w:r w:rsidRPr="00EF1133">
        <w:rPr>
          <w:rFonts w:ascii="Arial Black" w:hAnsi="Arial Black"/>
          <w:b/>
          <w:sz w:val="24"/>
          <w:szCs w:val="24"/>
        </w:rPr>
        <w:t>-1</w:t>
      </w:r>
      <w:r>
        <w:rPr>
          <w:rFonts w:ascii="Arial Black" w:hAnsi="Arial Black"/>
          <w:b/>
          <w:sz w:val="24"/>
          <w:szCs w:val="24"/>
        </w:rPr>
        <w:t>6</w:t>
      </w:r>
    </w:p>
    <w:p w14:paraId="73DFE9A9" w14:textId="71E0331B" w:rsidR="00F326E5" w:rsidRDefault="00F326E5" w:rsidP="00F326E5">
      <w:pPr>
        <w:pStyle w:val="NoSpacing"/>
        <w:rPr>
          <w:rFonts w:ascii="Arial Black" w:hAnsi="Arial Black"/>
          <w:sz w:val="28"/>
          <w:szCs w:val="28"/>
        </w:rPr>
      </w:pPr>
      <w:r w:rsidRPr="009120E5">
        <w:rPr>
          <w:rFonts w:ascii="Arial Black" w:hAnsi="Arial Black"/>
          <w:sz w:val="28"/>
          <w:szCs w:val="28"/>
        </w:rPr>
        <w:t>MI</w:t>
      </w:r>
      <w:r>
        <w:rPr>
          <w:rFonts w:ascii="Arial Black" w:hAnsi="Arial Black"/>
          <w:sz w:val="28"/>
          <w:szCs w:val="28"/>
        </w:rPr>
        <w:t>:  FIRE CHIEF RESIGNED, TOWNSHIP ISSUED PRESS RELEASE - NOT DEFAMATION OR “FALSE LIGHT”</w:t>
      </w:r>
    </w:p>
    <w:p w14:paraId="7C49A7E3" w14:textId="77777777" w:rsidR="009F1927" w:rsidRDefault="00F326E5" w:rsidP="00F326E5">
      <w:pPr>
        <w:pStyle w:val="NoSpacing"/>
        <w:rPr>
          <w:rFonts w:ascii="Times New Roman" w:hAnsi="Times New Roman"/>
          <w:sz w:val="24"/>
          <w:szCs w:val="24"/>
        </w:rPr>
      </w:pPr>
      <w:r w:rsidRPr="009F1927">
        <w:rPr>
          <w:rFonts w:ascii="Times New Roman" w:hAnsi="Times New Roman"/>
          <w:sz w:val="24"/>
          <w:szCs w:val="24"/>
        </w:rPr>
        <w:t xml:space="preserve">On Feb. 26, 2019, in </w:t>
      </w:r>
      <w:r w:rsidRPr="009F1927">
        <w:rPr>
          <w:rStyle w:val="highlight"/>
          <w:rFonts w:ascii="Times New Roman" w:hAnsi="Times New Roman"/>
          <w:sz w:val="24"/>
          <w:szCs w:val="24"/>
          <w:u w:val="single"/>
        </w:rPr>
        <w:t>Richard</w:t>
      </w:r>
      <w:r w:rsidRPr="009F1927">
        <w:rPr>
          <w:rFonts w:ascii="Times New Roman" w:hAnsi="Times New Roman"/>
          <w:sz w:val="24"/>
          <w:szCs w:val="24"/>
          <w:u w:val="single"/>
        </w:rPr>
        <w:t xml:space="preserve"> </w:t>
      </w:r>
      <w:r w:rsidRPr="009F1927">
        <w:rPr>
          <w:rStyle w:val="highlight"/>
          <w:rFonts w:ascii="Times New Roman" w:hAnsi="Times New Roman"/>
          <w:sz w:val="24"/>
          <w:szCs w:val="24"/>
          <w:u w:val="single"/>
        </w:rPr>
        <w:t>Marinucci</w:t>
      </w:r>
      <w:r w:rsidRPr="009F1927">
        <w:rPr>
          <w:rFonts w:ascii="Times New Roman" w:hAnsi="Times New Roman"/>
          <w:sz w:val="24"/>
          <w:szCs w:val="24"/>
          <w:u w:val="single"/>
        </w:rPr>
        <w:t xml:space="preserve"> v. Charter Township of Northville, et al.</w:t>
      </w:r>
      <w:r w:rsidRPr="009F1927">
        <w:rPr>
          <w:rFonts w:ascii="Times New Roman" w:hAnsi="Times New Roman"/>
          <w:sz w:val="24"/>
          <w:szCs w:val="24"/>
        </w:rPr>
        <w:t xml:space="preserve">, State of Michigan Court of Appeals, held (3 to 0) in an unpublished decision, </w:t>
      </w:r>
    </w:p>
    <w:p w14:paraId="02658227" w14:textId="77777777" w:rsidR="009F1927" w:rsidRDefault="009F1927" w:rsidP="00F326E5">
      <w:pPr>
        <w:pStyle w:val="NoSpacing"/>
        <w:rPr>
          <w:rFonts w:ascii="Times New Roman" w:hAnsi="Times New Roman"/>
          <w:sz w:val="24"/>
          <w:szCs w:val="24"/>
        </w:rPr>
      </w:pPr>
    </w:p>
    <w:p w14:paraId="7013F55F" w14:textId="30BA9EA9" w:rsidR="00F326E5" w:rsidRPr="009F1927" w:rsidRDefault="00F326E5" w:rsidP="009F1927">
      <w:pPr>
        <w:pStyle w:val="NoSpacing"/>
        <w:ind w:left="720"/>
        <w:rPr>
          <w:rFonts w:ascii="Times New Roman" w:hAnsi="Times New Roman"/>
          <w:sz w:val="24"/>
          <w:szCs w:val="24"/>
        </w:rPr>
      </w:pPr>
      <w:r w:rsidRPr="009F1927">
        <w:rPr>
          <w:rFonts w:ascii="Times New Roman" w:hAnsi="Times New Roman"/>
          <w:sz w:val="24"/>
          <w:szCs w:val="24"/>
        </w:rPr>
        <w:t xml:space="preserve">“Further, plaintiff offers no evidence to show that informing the public that he had resigned was unreasonable or highly objectionable. Although plaintiff contends that the statements made to the media placed him in a false light, plaintiff does not explain how the statements negatively affected him.” </w:t>
      </w:r>
      <w:hyperlink r:id="rId1315" w:anchor="search=%22RICHARD%20A.%20MARINUCCI%22" w:history="1">
        <w:r w:rsidRPr="009F1927">
          <w:rPr>
            <w:rStyle w:val="Hyperlink"/>
            <w:rFonts w:ascii="Times New Roman" w:hAnsi="Times New Roman"/>
            <w:sz w:val="24"/>
            <w:szCs w:val="24"/>
          </w:rPr>
          <w:t>http://publicdocs.courts.mi.gov/opinions/final/coa/20190226_c340579_35_340579.opn.pdf#search=%22RICHARD%20A.%20MARINUCCI%22</w:t>
        </w:r>
      </w:hyperlink>
    </w:p>
    <w:p w14:paraId="045623EB" w14:textId="77777777" w:rsidR="009F1927" w:rsidRDefault="009F1927" w:rsidP="00F326E5">
      <w:pPr>
        <w:pStyle w:val="NoSpacing"/>
        <w:rPr>
          <w:rFonts w:ascii="Times New Roman" w:hAnsi="Times New Roman"/>
          <w:b/>
          <w:sz w:val="24"/>
          <w:szCs w:val="24"/>
        </w:rPr>
      </w:pPr>
    </w:p>
    <w:p w14:paraId="48B93CD1" w14:textId="0B3ED3F5" w:rsidR="00F326E5" w:rsidRPr="009F1927" w:rsidRDefault="00F326E5" w:rsidP="00F326E5">
      <w:pPr>
        <w:pStyle w:val="NoSpacing"/>
        <w:rPr>
          <w:rFonts w:ascii="Times New Roman" w:hAnsi="Times New Roman"/>
          <w:b/>
          <w:sz w:val="24"/>
          <w:szCs w:val="24"/>
        </w:rPr>
      </w:pPr>
      <w:r w:rsidRPr="009F1927">
        <w:rPr>
          <w:rFonts w:ascii="Times New Roman" w:hAnsi="Times New Roman"/>
          <w:b/>
          <w:sz w:val="24"/>
          <w:szCs w:val="24"/>
        </w:rPr>
        <w:t>Legal Lessons Learned:  When a Fire Chief resigns, the employer may report this fact to the press.  Avoid financial situations where there may be an “appearance of impropriety.”</w:t>
      </w:r>
    </w:p>
    <w:p w14:paraId="4A1ED720" w14:textId="77777777" w:rsidR="00C17A9D" w:rsidRDefault="00C17A9D" w:rsidP="00F326E5">
      <w:pPr>
        <w:rPr>
          <w:bCs/>
          <w:sz w:val="24"/>
          <w:szCs w:val="24"/>
        </w:rPr>
      </w:pPr>
    </w:p>
    <w:bookmarkEnd w:id="250"/>
    <w:p w14:paraId="251505BE" w14:textId="77ACA488" w:rsidR="00F326E5" w:rsidRDefault="00F326E5" w:rsidP="00F326E5">
      <w:pPr>
        <w:pStyle w:val="NoSpacing"/>
        <w:rPr>
          <w:b/>
          <w:sz w:val="24"/>
          <w:szCs w:val="24"/>
        </w:rPr>
      </w:pPr>
    </w:p>
    <w:p w14:paraId="3530F2DE" w14:textId="52DC2559" w:rsidR="009F1927" w:rsidRDefault="009F1927" w:rsidP="00F326E5">
      <w:pPr>
        <w:pStyle w:val="NoSpacing"/>
        <w:rPr>
          <w:b/>
          <w:sz w:val="24"/>
          <w:szCs w:val="24"/>
        </w:rPr>
      </w:pPr>
    </w:p>
    <w:p w14:paraId="6291A165" w14:textId="77777777" w:rsidR="009F1927" w:rsidRDefault="009F1927" w:rsidP="00F326E5">
      <w:pPr>
        <w:pStyle w:val="NoSpacing"/>
        <w:rPr>
          <w:b/>
          <w:sz w:val="24"/>
          <w:szCs w:val="24"/>
        </w:rPr>
      </w:pPr>
    </w:p>
    <w:p w14:paraId="0B9D5D54" w14:textId="3F0AC817" w:rsidR="00EF1133" w:rsidRDefault="00EF1133" w:rsidP="00EF1133">
      <w:pPr>
        <w:rPr>
          <w:rFonts w:ascii="Arial Black" w:hAnsi="Arial Black"/>
          <w:bCs/>
          <w:sz w:val="28"/>
          <w:szCs w:val="28"/>
        </w:rPr>
      </w:pPr>
      <w:r>
        <w:rPr>
          <w:rFonts w:ascii="Arial Black" w:hAnsi="Arial Black"/>
          <w:b/>
          <w:sz w:val="24"/>
          <w:szCs w:val="24"/>
        </w:rPr>
        <w:lastRenderedPageBreak/>
        <w:t>6</w:t>
      </w:r>
      <w:r w:rsidRPr="00EF1133">
        <w:rPr>
          <w:rFonts w:ascii="Arial Black" w:hAnsi="Arial Black"/>
          <w:b/>
          <w:sz w:val="24"/>
          <w:szCs w:val="24"/>
        </w:rPr>
        <w:t>-1</w:t>
      </w:r>
      <w:r>
        <w:rPr>
          <w:rFonts w:ascii="Arial Black" w:hAnsi="Arial Black"/>
          <w:b/>
          <w:sz w:val="24"/>
          <w:szCs w:val="24"/>
        </w:rPr>
        <w:t>5</w:t>
      </w:r>
      <w:bookmarkStart w:id="257" w:name="_Hlk7343098"/>
    </w:p>
    <w:p w14:paraId="758689DF" w14:textId="5ECD78BA" w:rsidR="00F326E5" w:rsidRDefault="00F326E5" w:rsidP="00F326E5">
      <w:pPr>
        <w:pStyle w:val="NoSpacing"/>
        <w:rPr>
          <w:rFonts w:ascii="Arial Black" w:hAnsi="Arial Black"/>
          <w:b/>
          <w:bCs/>
          <w:sz w:val="28"/>
          <w:szCs w:val="28"/>
        </w:rPr>
      </w:pPr>
      <w:r w:rsidRPr="00B555E0">
        <w:rPr>
          <w:rFonts w:ascii="Arial Black" w:hAnsi="Arial Black"/>
          <w:bCs/>
          <w:sz w:val="28"/>
          <w:szCs w:val="28"/>
        </w:rPr>
        <w:t>KS: WORKERS COMP –</w:t>
      </w:r>
      <w:r>
        <w:rPr>
          <w:rFonts w:ascii="Arial Black" w:hAnsi="Arial Black"/>
          <w:bCs/>
          <w:sz w:val="28"/>
          <w:szCs w:val="28"/>
        </w:rPr>
        <w:t xml:space="preserve"> 2008 &amp; 2010 BACK INJURIES –COVERED SINCE FILED CLAIM 2 YEARS OF LAST PAYMENT </w:t>
      </w:r>
    </w:p>
    <w:p w14:paraId="13719D2B" w14:textId="77777777" w:rsidR="009F1927" w:rsidRDefault="009F1927" w:rsidP="00F326E5">
      <w:pPr>
        <w:pStyle w:val="NoSpacing"/>
        <w:rPr>
          <w:rFonts w:ascii="Times New Roman" w:hAnsi="Times New Roman"/>
          <w:sz w:val="24"/>
          <w:szCs w:val="24"/>
        </w:rPr>
      </w:pPr>
    </w:p>
    <w:p w14:paraId="0FF6AE63" w14:textId="77777777" w:rsidR="009F1927" w:rsidRDefault="00F326E5" w:rsidP="00F326E5">
      <w:pPr>
        <w:pStyle w:val="NoSpacing"/>
        <w:rPr>
          <w:rFonts w:ascii="Times New Roman" w:hAnsi="Times New Roman"/>
          <w:sz w:val="24"/>
          <w:szCs w:val="24"/>
        </w:rPr>
      </w:pPr>
      <w:r w:rsidRPr="009F1927">
        <w:rPr>
          <w:rFonts w:ascii="Times New Roman" w:hAnsi="Times New Roman"/>
          <w:sz w:val="24"/>
          <w:szCs w:val="24"/>
        </w:rPr>
        <w:t xml:space="preserve">On Feb. 8, 2019, in </w:t>
      </w:r>
      <w:r w:rsidRPr="009F1927">
        <w:rPr>
          <w:rFonts w:ascii="Times New Roman" w:hAnsi="Times New Roman"/>
          <w:sz w:val="24"/>
          <w:szCs w:val="24"/>
          <w:u w:val="single"/>
        </w:rPr>
        <w:t>Paul H. Schneider v. City of Lawrence</w:t>
      </w:r>
      <w:r w:rsidRPr="009F1927">
        <w:rPr>
          <w:rFonts w:ascii="Times New Roman" w:hAnsi="Times New Roman"/>
          <w:sz w:val="24"/>
          <w:szCs w:val="24"/>
        </w:rPr>
        <w:t xml:space="preserve">, the Court of Appeals of State of Kansas (3 to 0), overturned the Workers Compensation Board, and granted the firefighter’s claim for coverage of two on-duty back injuries (2008; 2010). Kansas statute requires workers comp request for a hearing be filed within 3 years of the injury, or “within two years of the date of the last payment of compensation.” The Court held, </w:t>
      </w:r>
    </w:p>
    <w:p w14:paraId="05792E21" w14:textId="77777777" w:rsidR="009F1927" w:rsidRDefault="009F1927" w:rsidP="00F326E5">
      <w:pPr>
        <w:pStyle w:val="NoSpacing"/>
        <w:rPr>
          <w:rFonts w:ascii="Times New Roman" w:hAnsi="Times New Roman"/>
          <w:sz w:val="24"/>
          <w:szCs w:val="24"/>
        </w:rPr>
      </w:pPr>
    </w:p>
    <w:p w14:paraId="45642FEA" w14:textId="058CCBF5" w:rsidR="00F326E5" w:rsidRPr="009F1927" w:rsidRDefault="00F326E5" w:rsidP="009F1927">
      <w:pPr>
        <w:pStyle w:val="NoSpacing"/>
        <w:ind w:left="720"/>
        <w:rPr>
          <w:rFonts w:ascii="Times New Roman" w:hAnsi="Times New Roman"/>
          <w:sz w:val="24"/>
          <w:szCs w:val="24"/>
        </w:rPr>
      </w:pPr>
      <w:r w:rsidRPr="009F1927">
        <w:rPr>
          <w:rFonts w:ascii="Times New Roman" w:hAnsi="Times New Roman"/>
          <w:sz w:val="24"/>
          <w:szCs w:val="24"/>
        </w:rPr>
        <w:t xml:space="preserve">“Here, because Schneider received compensation from the City in December 2015 and in January 2016 and because he filed his applications for hearings in January 2016, his applications under the revived two-year statute of limitations were timely.” </w:t>
      </w:r>
      <w:hyperlink r:id="rId1316" w:history="1">
        <w:r w:rsidRPr="009F1927">
          <w:rPr>
            <w:rStyle w:val="Hyperlink"/>
            <w:rFonts w:ascii="Times New Roman" w:hAnsi="Times New Roman"/>
            <w:sz w:val="24"/>
            <w:szCs w:val="24"/>
          </w:rPr>
          <w:t>https://www.courtlistener.com/pdf/2019/02/08/schneider_v._city_of_lawrence.pdf</w:t>
        </w:r>
      </w:hyperlink>
      <w:r w:rsidRPr="009F1927">
        <w:rPr>
          <w:rFonts w:ascii="Times New Roman" w:hAnsi="Times New Roman"/>
          <w:sz w:val="24"/>
          <w:szCs w:val="24"/>
        </w:rPr>
        <w:t xml:space="preserve"> </w:t>
      </w:r>
    </w:p>
    <w:p w14:paraId="246892AC" w14:textId="77777777" w:rsidR="009F1927" w:rsidRDefault="009F1927" w:rsidP="00F326E5">
      <w:pPr>
        <w:pStyle w:val="NoSpacing"/>
        <w:rPr>
          <w:rFonts w:ascii="Times New Roman" w:hAnsi="Times New Roman"/>
          <w:b/>
          <w:sz w:val="24"/>
          <w:szCs w:val="24"/>
        </w:rPr>
      </w:pPr>
    </w:p>
    <w:p w14:paraId="2F8F003F" w14:textId="14EB5D57" w:rsidR="00F326E5" w:rsidRPr="009F1927" w:rsidRDefault="00F326E5" w:rsidP="00F326E5">
      <w:pPr>
        <w:pStyle w:val="NoSpacing"/>
        <w:rPr>
          <w:rFonts w:ascii="Times New Roman" w:hAnsi="Times New Roman"/>
          <w:b/>
          <w:sz w:val="24"/>
          <w:szCs w:val="24"/>
        </w:rPr>
      </w:pPr>
      <w:r w:rsidRPr="009F1927">
        <w:rPr>
          <w:rFonts w:ascii="Times New Roman" w:hAnsi="Times New Roman"/>
          <w:b/>
          <w:sz w:val="24"/>
          <w:szCs w:val="24"/>
        </w:rPr>
        <w:t>Legal Lesson Learned:  Workers comp statutes of limitation are designed to require prompt disclosure of workplace injuries.  The City may decide to appeal this decision to the Kansas Supreme Court.</w:t>
      </w:r>
    </w:p>
    <w:p w14:paraId="29374DC1" w14:textId="77777777" w:rsidR="00F326E5" w:rsidRPr="00BB2214" w:rsidRDefault="00F326E5" w:rsidP="00F326E5">
      <w:pPr>
        <w:pStyle w:val="NoSpacing"/>
        <w:rPr>
          <w:b/>
          <w:sz w:val="24"/>
          <w:szCs w:val="24"/>
        </w:rPr>
      </w:pPr>
    </w:p>
    <w:p w14:paraId="49AEBF54" w14:textId="77777777" w:rsidR="00F326E5" w:rsidRPr="009F1927" w:rsidRDefault="00F326E5" w:rsidP="00F326E5">
      <w:pPr>
        <w:pStyle w:val="NoSpacing"/>
        <w:ind w:left="720"/>
        <w:rPr>
          <w:rFonts w:ascii="Times New Roman" w:hAnsi="Times New Roman"/>
          <w:sz w:val="24"/>
          <w:szCs w:val="24"/>
        </w:rPr>
      </w:pPr>
      <w:r w:rsidRPr="009F1927">
        <w:rPr>
          <w:rFonts w:ascii="Times New Roman" w:hAnsi="Times New Roman"/>
          <w:sz w:val="24"/>
          <w:szCs w:val="24"/>
        </w:rPr>
        <w:t xml:space="preserve">Note:  See Aug. 4, </w:t>
      </w:r>
      <w:proofErr w:type="gramStart"/>
      <w:r w:rsidRPr="009F1927">
        <w:rPr>
          <w:rFonts w:ascii="Times New Roman" w:hAnsi="Times New Roman"/>
          <w:sz w:val="24"/>
          <w:szCs w:val="24"/>
        </w:rPr>
        <w:t>2017</w:t>
      </w:r>
      <w:proofErr w:type="gramEnd"/>
      <w:r w:rsidRPr="009F1927">
        <w:rPr>
          <w:rFonts w:ascii="Times New Roman" w:hAnsi="Times New Roman"/>
          <w:sz w:val="24"/>
          <w:szCs w:val="24"/>
        </w:rPr>
        <w:t xml:space="preserve"> article: “Ohio General Assembly Alters Statute of Limitation for Workers' Compensation Claims”</w:t>
      </w:r>
    </w:p>
    <w:p w14:paraId="4FEEC7AA" w14:textId="77777777" w:rsidR="00F326E5" w:rsidRPr="009F1927" w:rsidRDefault="00F326E5" w:rsidP="00F326E5">
      <w:pPr>
        <w:ind w:left="720"/>
        <w:rPr>
          <w:rFonts w:ascii="Times New Roman" w:hAnsi="Times New Roman"/>
          <w:sz w:val="24"/>
          <w:szCs w:val="24"/>
        </w:rPr>
      </w:pPr>
      <w:hyperlink r:id="rId1317" w:history="1">
        <w:r w:rsidRPr="009F1927">
          <w:rPr>
            <w:rStyle w:val="Hyperlink"/>
            <w:rFonts w:ascii="Times New Roman" w:hAnsi="Times New Roman"/>
            <w:sz w:val="24"/>
            <w:szCs w:val="24"/>
          </w:rPr>
          <w:t>http://www.kwgd.com/ohio-general-assembly-alters-statute-of-limitation-for-workers-compensation-claims</w:t>
        </w:r>
      </w:hyperlink>
      <w:r w:rsidRPr="009F1927">
        <w:rPr>
          <w:rStyle w:val="access"/>
          <w:rFonts w:ascii="Times New Roman" w:hAnsi="Times New Roman"/>
          <w:sz w:val="24"/>
          <w:szCs w:val="24"/>
        </w:rPr>
        <w:t xml:space="preserve"> </w:t>
      </w:r>
      <w:r w:rsidRPr="009F1927">
        <w:rPr>
          <w:rFonts w:ascii="Times New Roman" w:hAnsi="Times New Roman"/>
          <w:sz w:val="24"/>
          <w:szCs w:val="24"/>
        </w:rPr>
        <w:t xml:space="preserve"> </w:t>
      </w:r>
    </w:p>
    <w:p w14:paraId="166EAFE8" w14:textId="77777777" w:rsidR="00F326E5" w:rsidRPr="009F2867" w:rsidRDefault="00F326E5" w:rsidP="00F326E5">
      <w:pPr>
        <w:pStyle w:val="NormalWeb"/>
        <w:ind w:left="720"/>
      </w:pPr>
      <w:r w:rsidRPr="009F2867">
        <w:t xml:space="preserve">“As part of the biennial budget process the Ohio General Assembly passed House Bill 27 to create the workers compensation budget for 2018-2019. In addition to establishing the budget the bill also amended sections of the Ohio Revised Code that </w:t>
      </w:r>
      <w:proofErr w:type="gramStart"/>
      <w:r w:rsidRPr="009F2867">
        <w:t>relate</w:t>
      </w:r>
      <w:proofErr w:type="gramEnd"/>
      <w:r w:rsidRPr="009F2867">
        <w:t xml:space="preserve"> to workers compensation law. Mainly among the changes, the bill shortens the statute of limitations for an employee to file a workers compensation claim against Ohio Employers.</w:t>
      </w:r>
      <w:r w:rsidRPr="009F2867">
        <w:br/>
      </w:r>
      <w:r w:rsidRPr="009F2867">
        <w:br/>
        <w:t xml:space="preserve">Current law requires an employee to bring a workers’ compensation claim within two years from the date of injury or death.  Effective September 29, 2017, all workers compensation claims must be filed within one year from the date of injury or death. After that date, if new claims are not brought within the </w:t>
      </w:r>
      <w:proofErr w:type="gramStart"/>
      <w:r w:rsidRPr="009F2867">
        <w:t>one year</w:t>
      </w:r>
      <w:proofErr w:type="gramEnd"/>
      <w:r w:rsidRPr="009F2867">
        <w:t xml:space="preserve"> limitation the claim will be forever barred and there can be no recovery.  All claims with a date of injury after September 29, </w:t>
      </w:r>
      <w:proofErr w:type="gramStart"/>
      <w:r w:rsidRPr="009F2867">
        <w:t>2017</w:t>
      </w:r>
      <w:proofErr w:type="gramEnd"/>
      <w:r w:rsidRPr="009F2867">
        <w:t xml:space="preserve"> are subject to the new limitation.  The amendment attempts to strike a balance between allowing a sufficient time for a claim to be brought while not prejudicing employers by allowing claims to be filed long after any contemporaneous evidence has since vanished.”  </w:t>
      </w:r>
    </w:p>
    <w:bookmarkEnd w:id="257"/>
    <w:p w14:paraId="10353B6E" w14:textId="77777777" w:rsidR="00F326E5" w:rsidRDefault="00F326E5" w:rsidP="00F326E5">
      <w:pPr>
        <w:rPr>
          <w:sz w:val="24"/>
          <w:szCs w:val="24"/>
        </w:rPr>
      </w:pPr>
    </w:p>
    <w:p w14:paraId="1D407CE4" w14:textId="2EED406E" w:rsidR="00EF1133" w:rsidRDefault="00EF1133" w:rsidP="00F326E5">
      <w:pPr>
        <w:rPr>
          <w:rFonts w:ascii="Arial Black" w:hAnsi="Arial Black"/>
          <w:sz w:val="28"/>
          <w:szCs w:val="28"/>
        </w:rPr>
      </w:pPr>
      <w:bookmarkStart w:id="258" w:name="_Hlk7343175"/>
      <w:r>
        <w:rPr>
          <w:rFonts w:ascii="Arial Black" w:hAnsi="Arial Black"/>
          <w:b/>
          <w:sz w:val="24"/>
          <w:szCs w:val="24"/>
        </w:rPr>
        <w:t>6</w:t>
      </w:r>
      <w:r w:rsidRPr="00EF1133">
        <w:rPr>
          <w:rFonts w:ascii="Arial Black" w:hAnsi="Arial Black"/>
          <w:b/>
          <w:sz w:val="24"/>
          <w:szCs w:val="24"/>
        </w:rPr>
        <w:t>-1</w:t>
      </w:r>
      <w:r>
        <w:rPr>
          <w:rFonts w:ascii="Arial Black" w:hAnsi="Arial Black"/>
          <w:b/>
          <w:sz w:val="24"/>
          <w:szCs w:val="24"/>
        </w:rPr>
        <w:t>4</w:t>
      </w:r>
    </w:p>
    <w:p w14:paraId="6535AEEB" w14:textId="360C9F1A" w:rsidR="00F326E5" w:rsidRDefault="00F326E5" w:rsidP="00F326E5">
      <w:pPr>
        <w:rPr>
          <w:rFonts w:ascii="Arial Black" w:hAnsi="Arial Black"/>
          <w:sz w:val="28"/>
          <w:szCs w:val="28"/>
        </w:rPr>
      </w:pPr>
      <w:r w:rsidRPr="00C34523">
        <w:rPr>
          <w:rFonts w:ascii="Arial Black" w:hAnsi="Arial Black"/>
          <w:sz w:val="28"/>
          <w:szCs w:val="28"/>
        </w:rPr>
        <w:t xml:space="preserve">OH: </w:t>
      </w:r>
      <w:r>
        <w:rPr>
          <w:rFonts w:ascii="Arial Black" w:hAnsi="Arial Black"/>
          <w:sz w:val="28"/>
          <w:szCs w:val="28"/>
        </w:rPr>
        <w:t xml:space="preserve">FIRE CHIEF’S AGE / ADA LAWSUIT DISMISSED – DIDN’T FILE WITH EEOC – </w:t>
      </w:r>
      <w:r w:rsidR="005353F2">
        <w:rPr>
          <w:rFonts w:ascii="Arial Black" w:hAnsi="Arial Black"/>
          <w:sz w:val="28"/>
          <w:szCs w:val="28"/>
        </w:rPr>
        <w:t xml:space="preserve">MUST </w:t>
      </w:r>
      <w:r>
        <w:rPr>
          <w:rFonts w:ascii="Arial Black" w:hAnsi="Arial Black"/>
          <w:sz w:val="28"/>
          <w:szCs w:val="28"/>
        </w:rPr>
        <w:t>EXHAUST ADMIN</w:t>
      </w:r>
      <w:r w:rsidR="005353F2">
        <w:rPr>
          <w:rFonts w:ascii="Arial Black" w:hAnsi="Arial Black"/>
          <w:sz w:val="28"/>
          <w:szCs w:val="28"/>
        </w:rPr>
        <w:t xml:space="preserve">ISTRATIVE </w:t>
      </w:r>
      <w:r>
        <w:rPr>
          <w:rFonts w:ascii="Arial Black" w:hAnsi="Arial Black"/>
          <w:sz w:val="28"/>
          <w:szCs w:val="28"/>
        </w:rPr>
        <w:t>REMEDIES</w:t>
      </w:r>
    </w:p>
    <w:p w14:paraId="1E9F24DE" w14:textId="77777777" w:rsidR="009F1927" w:rsidRDefault="00F326E5" w:rsidP="00F326E5">
      <w:pPr>
        <w:rPr>
          <w:rFonts w:ascii="Times New Roman" w:hAnsi="Times New Roman"/>
          <w:bCs/>
          <w:sz w:val="24"/>
          <w:szCs w:val="24"/>
        </w:rPr>
      </w:pPr>
      <w:r w:rsidRPr="009F1927">
        <w:rPr>
          <w:rFonts w:ascii="Times New Roman" w:hAnsi="Times New Roman"/>
          <w:bCs/>
          <w:sz w:val="24"/>
          <w:szCs w:val="24"/>
        </w:rPr>
        <w:t xml:space="preserve">On Dec. 6, 2018, in </w:t>
      </w:r>
      <w:bookmarkStart w:id="259" w:name="_Hlk7178252"/>
      <w:r w:rsidRPr="009F1927">
        <w:rPr>
          <w:rFonts w:ascii="Times New Roman" w:hAnsi="Times New Roman"/>
          <w:bCs/>
          <w:sz w:val="24"/>
          <w:szCs w:val="24"/>
          <w:u w:val="single"/>
        </w:rPr>
        <w:t>Jay W. Keller v. City of Bucyrus</w:t>
      </w:r>
      <w:r w:rsidRPr="009F1927">
        <w:rPr>
          <w:rFonts w:ascii="Times New Roman" w:hAnsi="Times New Roman"/>
          <w:bCs/>
          <w:sz w:val="24"/>
          <w:szCs w:val="24"/>
        </w:rPr>
        <w:t>,</w:t>
      </w:r>
      <w:bookmarkEnd w:id="259"/>
      <w:r w:rsidRPr="009F1927">
        <w:rPr>
          <w:rFonts w:ascii="Times New Roman" w:hAnsi="Times New Roman"/>
          <w:bCs/>
          <w:sz w:val="24"/>
          <w:szCs w:val="24"/>
        </w:rPr>
        <w:t xml:space="preserve"> U.S. District Court Judge James S. Gwin, granted the City’s motion to dismiss. </w:t>
      </w:r>
    </w:p>
    <w:p w14:paraId="578463E8" w14:textId="5A560A06" w:rsidR="00F326E5" w:rsidRPr="009F1927" w:rsidRDefault="00F326E5" w:rsidP="009F1927">
      <w:pPr>
        <w:ind w:left="720"/>
        <w:rPr>
          <w:rFonts w:ascii="Times New Roman" w:hAnsi="Times New Roman"/>
          <w:sz w:val="24"/>
          <w:szCs w:val="24"/>
        </w:rPr>
      </w:pPr>
      <w:r w:rsidRPr="009F1927">
        <w:rPr>
          <w:rFonts w:ascii="Times New Roman" w:hAnsi="Times New Roman"/>
          <w:sz w:val="24"/>
          <w:szCs w:val="24"/>
        </w:rPr>
        <w:t xml:space="preserve">“Plaintiff Keller claims that Defendants discriminated against him because of his age and his disability in violation of federal law by requiring him to complete a physical examination. However, Plaintiff </w:t>
      </w:r>
      <w:r w:rsidRPr="009F1927">
        <w:rPr>
          <w:rFonts w:ascii="Times New Roman" w:hAnsi="Times New Roman"/>
          <w:sz w:val="24"/>
          <w:szCs w:val="24"/>
        </w:rPr>
        <w:lastRenderedPageBreak/>
        <w:t xml:space="preserve">needed to file his age and disability discrimination claims with the Equal Employment Opportunity </w:t>
      </w:r>
      <w:proofErr w:type="gramStart"/>
      <w:r w:rsidRPr="009F1927">
        <w:rPr>
          <w:rFonts w:ascii="Times New Roman" w:hAnsi="Times New Roman"/>
          <w:sz w:val="24"/>
          <w:szCs w:val="24"/>
        </w:rPr>
        <w:t>Commission (‘</w:t>
      </w:r>
      <w:proofErr w:type="gramEnd"/>
      <w:r w:rsidRPr="009F1927">
        <w:rPr>
          <w:rFonts w:ascii="Times New Roman" w:hAnsi="Times New Roman"/>
          <w:sz w:val="24"/>
          <w:szCs w:val="24"/>
        </w:rPr>
        <w:t xml:space="preserve">EEOC’) before bringing this lawsuit. Because Plaintiff has not exhausted his administrative remedies, the Court dismisses his federal discrimination claims without prejudice.”  </w:t>
      </w:r>
      <w:hyperlink r:id="rId1318" w:history="1">
        <w:r w:rsidRPr="009F1927">
          <w:rPr>
            <w:rStyle w:val="Hyperlink"/>
            <w:rFonts w:ascii="Times New Roman" w:hAnsi="Times New Roman"/>
            <w:sz w:val="24"/>
            <w:szCs w:val="24"/>
          </w:rPr>
          <w:t>https://cases.justia.com/federal/district-courts/ohio/ohndce/1:2018cv02242/247535/15/0.pdf?ts=1544190248</w:t>
        </w:r>
      </w:hyperlink>
      <w:r w:rsidRPr="009F1927">
        <w:rPr>
          <w:rFonts w:ascii="Times New Roman" w:hAnsi="Times New Roman"/>
          <w:sz w:val="24"/>
          <w:szCs w:val="24"/>
        </w:rPr>
        <w:t xml:space="preserve"> </w:t>
      </w:r>
    </w:p>
    <w:p w14:paraId="0CF9A2C3" w14:textId="77777777" w:rsidR="00F326E5" w:rsidRPr="009F1927" w:rsidRDefault="00F326E5" w:rsidP="00F326E5">
      <w:pPr>
        <w:pStyle w:val="NoSpacing"/>
        <w:rPr>
          <w:rFonts w:ascii="Times New Roman" w:hAnsi="Times New Roman"/>
          <w:b/>
          <w:sz w:val="24"/>
          <w:szCs w:val="24"/>
        </w:rPr>
      </w:pPr>
      <w:r w:rsidRPr="009F1927">
        <w:rPr>
          <w:rFonts w:ascii="Times New Roman" w:hAnsi="Times New Roman"/>
          <w:b/>
          <w:sz w:val="24"/>
          <w:szCs w:val="24"/>
        </w:rPr>
        <w:t>Legal Lessons Learned: (1) FDs should have written policy regarding when personnel on leave will be required to pass medical or physical fitness for duty testing, and any retraining of job skills; and (2) must timely file EEOC charge to pursue federal ADA case.</w:t>
      </w:r>
    </w:p>
    <w:p w14:paraId="66841D0F" w14:textId="77777777" w:rsidR="009F1927" w:rsidRDefault="00F326E5" w:rsidP="00F326E5">
      <w:pPr>
        <w:pStyle w:val="NoSpacing"/>
        <w:rPr>
          <w:rFonts w:ascii="Times New Roman" w:hAnsi="Times New Roman"/>
          <w:b/>
          <w:sz w:val="24"/>
          <w:szCs w:val="24"/>
        </w:rPr>
      </w:pPr>
      <w:r w:rsidRPr="009F1927">
        <w:rPr>
          <w:rFonts w:ascii="Times New Roman" w:hAnsi="Times New Roman"/>
          <w:b/>
          <w:sz w:val="24"/>
          <w:szCs w:val="24"/>
        </w:rPr>
        <w:t xml:space="preserve"> </w:t>
      </w:r>
      <w:r w:rsidRPr="009F1927">
        <w:rPr>
          <w:rFonts w:ascii="Times New Roman" w:hAnsi="Times New Roman"/>
          <w:b/>
          <w:sz w:val="24"/>
          <w:szCs w:val="24"/>
        </w:rPr>
        <w:tab/>
      </w:r>
    </w:p>
    <w:p w14:paraId="0C12CD51" w14:textId="31CB7CEB" w:rsidR="00F326E5" w:rsidRPr="009F1927" w:rsidRDefault="00F326E5" w:rsidP="009F1927">
      <w:pPr>
        <w:pStyle w:val="NoSpacing"/>
        <w:ind w:firstLine="720"/>
        <w:rPr>
          <w:rFonts w:ascii="Times New Roman" w:hAnsi="Times New Roman"/>
          <w:sz w:val="24"/>
          <w:szCs w:val="24"/>
        </w:rPr>
      </w:pPr>
      <w:r w:rsidRPr="009F1927">
        <w:rPr>
          <w:rFonts w:ascii="Times New Roman" w:hAnsi="Times New Roman"/>
          <w:sz w:val="24"/>
          <w:szCs w:val="24"/>
        </w:rPr>
        <w:t xml:space="preserve">See U.S. Department of Justice web: </w:t>
      </w:r>
    </w:p>
    <w:p w14:paraId="485B621C" w14:textId="77777777" w:rsidR="00F326E5" w:rsidRPr="009F1927" w:rsidRDefault="00F326E5" w:rsidP="00F326E5">
      <w:pPr>
        <w:pStyle w:val="NoSpacing"/>
        <w:ind w:firstLine="720"/>
        <w:rPr>
          <w:rFonts w:ascii="Times New Roman" w:eastAsia="Times New Roman" w:hAnsi="Times New Roman"/>
          <w:sz w:val="24"/>
          <w:szCs w:val="24"/>
        </w:rPr>
      </w:pPr>
      <w:r w:rsidRPr="009F1927">
        <w:rPr>
          <w:rFonts w:ascii="Times New Roman" w:hAnsi="Times New Roman"/>
          <w:sz w:val="24"/>
          <w:szCs w:val="24"/>
        </w:rPr>
        <w:t xml:space="preserve">“Filing a Complaint with the Equal Employment Opportunity Commission.  </w:t>
      </w:r>
    </w:p>
    <w:p w14:paraId="74CFA329" w14:textId="77777777" w:rsidR="00F326E5" w:rsidRPr="009F1927" w:rsidRDefault="00F326E5" w:rsidP="00F326E5">
      <w:pPr>
        <w:pStyle w:val="NoSpacing"/>
        <w:ind w:left="720"/>
        <w:rPr>
          <w:rFonts w:ascii="Times New Roman" w:eastAsia="Times New Roman" w:hAnsi="Times New Roman"/>
          <w:sz w:val="24"/>
          <w:szCs w:val="24"/>
        </w:rPr>
      </w:pPr>
      <w:r w:rsidRPr="009F1927">
        <w:rPr>
          <w:rFonts w:ascii="Times New Roman" w:eastAsia="Times New Roman" w:hAnsi="Times New Roman"/>
          <w:sz w:val="24"/>
          <w:szCs w:val="24"/>
        </w:rPr>
        <w:t xml:space="preserve">If you think you have been discriminated against in employment </w:t>
      </w:r>
      <w:proofErr w:type="gramStart"/>
      <w:r w:rsidRPr="009F1927">
        <w:rPr>
          <w:rFonts w:ascii="Times New Roman" w:eastAsia="Times New Roman" w:hAnsi="Times New Roman"/>
          <w:sz w:val="24"/>
          <w:szCs w:val="24"/>
        </w:rPr>
        <w:t>on the basis of</w:t>
      </w:r>
      <w:proofErr w:type="gramEnd"/>
      <w:r w:rsidRPr="009F1927">
        <w:rPr>
          <w:rFonts w:ascii="Times New Roman" w:eastAsia="Times New Roman" w:hAnsi="Times New Roman"/>
          <w:sz w:val="24"/>
          <w:szCs w:val="24"/>
        </w:rPr>
        <w:t xml:space="preserve"> disability, you should contact the </w:t>
      </w:r>
      <w:hyperlink r:id="rId1319" w:history="1">
        <w:r w:rsidRPr="009F1927">
          <w:rPr>
            <w:rFonts w:ascii="Times New Roman" w:eastAsia="Times New Roman" w:hAnsi="Times New Roman"/>
            <w:bCs/>
            <w:color w:val="0000FF"/>
            <w:sz w:val="24"/>
            <w:szCs w:val="24"/>
            <w:u w:val="single"/>
          </w:rPr>
          <w:t>U.S. Equal Employment Opportunity Commission</w:t>
        </w:r>
      </w:hyperlink>
      <w:r w:rsidRPr="009F1927">
        <w:rPr>
          <w:rFonts w:ascii="Times New Roman" w:eastAsia="Times New Roman" w:hAnsi="Times New Roman"/>
          <w:sz w:val="24"/>
          <w:szCs w:val="24"/>
        </w:rPr>
        <w:t xml:space="preserve"> (EEOC).  A charge of discrimination generally must be filed within 180 days of the alleged discrimination. You may have up to 300 days to file a charge if there is a State or local law that provides relief for discrimination </w:t>
      </w:r>
      <w:proofErr w:type="gramStart"/>
      <w:r w:rsidRPr="009F1927">
        <w:rPr>
          <w:rFonts w:ascii="Times New Roman" w:eastAsia="Times New Roman" w:hAnsi="Times New Roman"/>
          <w:sz w:val="24"/>
          <w:szCs w:val="24"/>
        </w:rPr>
        <w:t>on the basis of</w:t>
      </w:r>
      <w:proofErr w:type="gramEnd"/>
      <w:r w:rsidRPr="009F1927">
        <w:rPr>
          <w:rFonts w:ascii="Times New Roman" w:eastAsia="Times New Roman" w:hAnsi="Times New Roman"/>
          <w:sz w:val="24"/>
          <w:szCs w:val="24"/>
        </w:rPr>
        <w:t xml:space="preserve"> disability.  However, to protect your rights, it is best to </w:t>
      </w:r>
      <w:hyperlink r:id="rId1320" w:history="1">
        <w:r w:rsidRPr="009F1927">
          <w:rPr>
            <w:rFonts w:ascii="Times New Roman" w:eastAsia="Times New Roman" w:hAnsi="Times New Roman"/>
            <w:bCs/>
            <w:color w:val="0000FF"/>
            <w:sz w:val="24"/>
            <w:szCs w:val="24"/>
            <w:u w:val="single"/>
          </w:rPr>
          <w:t>contact the EEOC</w:t>
        </w:r>
      </w:hyperlink>
      <w:r w:rsidRPr="009F1927">
        <w:rPr>
          <w:rFonts w:ascii="Times New Roman" w:eastAsia="Times New Roman" w:hAnsi="Times New Roman"/>
          <w:sz w:val="24"/>
          <w:szCs w:val="24"/>
        </w:rPr>
        <w:t xml:space="preserve"> promptly if discrimination is suspected. After your complaint is filed with the EEOC, the EEOC investigates the charge.  If the EEOC determines that there is reasonable cause to believe that the charge is true, the EEOC attempts to conciliate or settle the charge.  If conciliation is unsuccessful, the EEOC refers charges against state and local government </w:t>
      </w:r>
      <w:proofErr w:type="gramStart"/>
      <w:r w:rsidRPr="009F1927">
        <w:rPr>
          <w:rFonts w:ascii="Times New Roman" w:eastAsia="Times New Roman" w:hAnsi="Times New Roman"/>
          <w:sz w:val="24"/>
          <w:szCs w:val="24"/>
        </w:rPr>
        <w:t>employers</w:t>
      </w:r>
      <w:proofErr w:type="gramEnd"/>
      <w:r w:rsidRPr="009F1927">
        <w:rPr>
          <w:rFonts w:ascii="Times New Roman" w:eastAsia="Times New Roman" w:hAnsi="Times New Roman"/>
          <w:sz w:val="24"/>
          <w:szCs w:val="24"/>
        </w:rPr>
        <w:t xml:space="preserve"> to the Department of Justice.  The Department of Justice </w:t>
      </w:r>
      <w:proofErr w:type="gramStart"/>
      <w:r w:rsidRPr="009F1927">
        <w:rPr>
          <w:rFonts w:ascii="Times New Roman" w:eastAsia="Times New Roman" w:hAnsi="Times New Roman"/>
          <w:sz w:val="24"/>
          <w:szCs w:val="24"/>
        </w:rPr>
        <w:t>makes a determination</w:t>
      </w:r>
      <w:proofErr w:type="gramEnd"/>
      <w:r w:rsidRPr="009F1927">
        <w:rPr>
          <w:rFonts w:ascii="Times New Roman" w:eastAsia="Times New Roman" w:hAnsi="Times New Roman"/>
          <w:sz w:val="24"/>
          <w:szCs w:val="24"/>
        </w:rPr>
        <w:t xml:space="preserve"> whether to bring a lawsuit based on the charge.  If it decides not to bring a lawsuit, the Department </w:t>
      </w:r>
      <w:proofErr w:type="gramStart"/>
      <w:r w:rsidRPr="009F1927">
        <w:rPr>
          <w:rFonts w:ascii="Times New Roman" w:eastAsia="Times New Roman" w:hAnsi="Times New Roman"/>
          <w:sz w:val="24"/>
          <w:szCs w:val="24"/>
        </w:rPr>
        <w:t>issues</w:t>
      </w:r>
      <w:proofErr w:type="gramEnd"/>
      <w:r w:rsidRPr="009F1927">
        <w:rPr>
          <w:rFonts w:ascii="Times New Roman" w:eastAsia="Times New Roman" w:hAnsi="Times New Roman"/>
          <w:sz w:val="24"/>
          <w:szCs w:val="24"/>
        </w:rPr>
        <w:t xml:space="preserve"> </w:t>
      </w:r>
      <w:proofErr w:type="gramStart"/>
      <w:r w:rsidRPr="009F1927">
        <w:rPr>
          <w:rFonts w:ascii="Times New Roman" w:eastAsia="Times New Roman" w:hAnsi="Times New Roman"/>
          <w:sz w:val="24"/>
          <w:szCs w:val="24"/>
        </w:rPr>
        <w:t>to the</w:t>
      </w:r>
      <w:proofErr w:type="gramEnd"/>
      <w:r w:rsidRPr="009F1927">
        <w:rPr>
          <w:rFonts w:ascii="Times New Roman" w:eastAsia="Times New Roman" w:hAnsi="Times New Roman"/>
          <w:sz w:val="24"/>
          <w:szCs w:val="24"/>
        </w:rPr>
        <w:t xml:space="preserve"> charging </w:t>
      </w:r>
      <w:proofErr w:type="gramStart"/>
      <w:r w:rsidRPr="009F1927">
        <w:rPr>
          <w:rFonts w:ascii="Times New Roman" w:eastAsia="Times New Roman" w:hAnsi="Times New Roman"/>
          <w:sz w:val="24"/>
          <w:szCs w:val="24"/>
        </w:rPr>
        <w:t>party</w:t>
      </w:r>
      <w:proofErr w:type="gramEnd"/>
      <w:r w:rsidRPr="009F1927">
        <w:rPr>
          <w:rFonts w:ascii="Times New Roman" w:eastAsia="Times New Roman" w:hAnsi="Times New Roman"/>
          <w:sz w:val="24"/>
          <w:szCs w:val="24"/>
        </w:rPr>
        <w:t xml:space="preserve"> </w:t>
      </w:r>
      <w:proofErr w:type="gramStart"/>
      <w:r w:rsidRPr="009F1927">
        <w:rPr>
          <w:rFonts w:ascii="Times New Roman" w:eastAsia="Times New Roman" w:hAnsi="Times New Roman"/>
          <w:sz w:val="24"/>
          <w:szCs w:val="24"/>
        </w:rPr>
        <w:t>a notice</w:t>
      </w:r>
      <w:proofErr w:type="gramEnd"/>
      <w:r w:rsidRPr="009F1927">
        <w:rPr>
          <w:rFonts w:ascii="Times New Roman" w:eastAsia="Times New Roman" w:hAnsi="Times New Roman"/>
          <w:sz w:val="24"/>
          <w:szCs w:val="24"/>
        </w:rPr>
        <w:t xml:space="preserve"> of right to sue.  Charges against private employers are retained by the EEOC for a determination of whether to bring a lawsuit based on the charge or issue a notice of right to sue.” </w:t>
      </w:r>
      <w:hyperlink r:id="rId1321" w:history="1">
        <w:r w:rsidRPr="009F1927">
          <w:rPr>
            <w:rStyle w:val="Hyperlink"/>
            <w:rFonts w:ascii="Times New Roman" w:hAnsi="Times New Roman"/>
            <w:sz w:val="24"/>
            <w:szCs w:val="24"/>
          </w:rPr>
          <w:t>https://www.ada.gov/filing_eeoc_complaint.htm</w:t>
        </w:r>
      </w:hyperlink>
      <w:r w:rsidRPr="009F1927">
        <w:rPr>
          <w:rFonts w:ascii="Times New Roman" w:eastAsia="Times New Roman" w:hAnsi="Times New Roman"/>
          <w:sz w:val="24"/>
          <w:szCs w:val="24"/>
        </w:rPr>
        <w:t xml:space="preserve"> </w:t>
      </w:r>
    </w:p>
    <w:bookmarkEnd w:id="258"/>
    <w:p w14:paraId="3D694FAE" w14:textId="77777777" w:rsidR="00FB71EA" w:rsidRPr="009F1927" w:rsidRDefault="00FB71EA" w:rsidP="00F326E5">
      <w:pPr>
        <w:rPr>
          <w:rFonts w:ascii="Times New Roman" w:hAnsi="Times New Roman"/>
          <w:sz w:val="24"/>
          <w:szCs w:val="24"/>
        </w:rPr>
      </w:pPr>
    </w:p>
    <w:p w14:paraId="67376462" w14:textId="77777777" w:rsidR="00F326E5" w:rsidRDefault="00F326E5" w:rsidP="00F326E5">
      <w:pPr>
        <w:pStyle w:val="NoSpacing"/>
        <w:rPr>
          <w:rStyle w:val="dfm-title"/>
          <w:sz w:val="24"/>
          <w:szCs w:val="24"/>
        </w:rPr>
      </w:pPr>
    </w:p>
    <w:p w14:paraId="5312E9F4" w14:textId="77777777" w:rsidR="00F326E5" w:rsidRDefault="00F326E5" w:rsidP="00F326E5">
      <w:pPr>
        <w:pStyle w:val="NoSpacing"/>
        <w:rPr>
          <w:rStyle w:val="dfm-title"/>
          <w:sz w:val="24"/>
          <w:szCs w:val="24"/>
        </w:rPr>
      </w:pPr>
    </w:p>
    <w:p w14:paraId="446BEABA" w14:textId="520572A9" w:rsidR="00EF1133" w:rsidRDefault="00EF1133" w:rsidP="00EF1133">
      <w:pPr>
        <w:rPr>
          <w:rStyle w:val="dfm-title"/>
          <w:rFonts w:ascii="Arial Black" w:hAnsi="Arial Black"/>
          <w:b/>
          <w:sz w:val="28"/>
          <w:szCs w:val="28"/>
        </w:rPr>
      </w:pPr>
      <w:r>
        <w:rPr>
          <w:rFonts w:ascii="Arial Black" w:hAnsi="Arial Black"/>
          <w:b/>
          <w:sz w:val="24"/>
          <w:szCs w:val="24"/>
        </w:rPr>
        <w:t>6</w:t>
      </w:r>
      <w:r w:rsidRPr="00EF1133">
        <w:rPr>
          <w:rFonts w:ascii="Arial Black" w:hAnsi="Arial Black"/>
          <w:b/>
          <w:sz w:val="24"/>
          <w:szCs w:val="24"/>
        </w:rPr>
        <w:t>-1</w:t>
      </w:r>
      <w:r>
        <w:rPr>
          <w:rFonts w:ascii="Arial Black" w:hAnsi="Arial Black"/>
          <w:b/>
          <w:sz w:val="24"/>
          <w:szCs w:val="24"/>
        </w:rPr>
        <w:t>3</w:t>
      </w:r>
      <w:bookmarkStart w:id="260" w:name="_Hlk7343200"/>
    </w:p>
    <w:p w14:paraId="595EEB56" w14:textId="57E69841" w:rsidR="00F326E5" w:rsidRPr="00CA3D6F" w:rsidRDefault="00F326E5" w:rsidP="00F326E5">
      <w:pPr>
        <w:pStyle w:val="NoSpacing"/>
        <w:rPr>
          <w:rStyle w:val="dfm-title"/>
          <w:b/>
          <w:sz w:val="24"/>
          <w:szCs w:val="24"/>
        </w:rPr>
      </w:pPr>
      <w:r w:rsidRPr="00732C84">
        <w:rPr>
          <w:rStyle w:val="dfm-title"/>
          <w:rFonts w:ascii="Arial Black" w:hAnsi="Arial Black"/>
          <w:b/>
          <w:sz w:val="28"/>
          <w:szCs w:val="28"/>
        </w:rPr>
        <w:t>PA: HOSPITAL EMPLOYEE RECORDS HACKED; EMPLOYEES MAY SUE HOSPITAL</w:t>
      </w:r>
      <w:r>
        <w:rPr>
          <w:rStyle w:val="dfm-title"/>
          <w:rFonts w:ascii="Arial Black" w:hAnsi="Arial Black"/>
          <w:b/>
          <w:sz w:val="24"/>
          <w:szCs w:val="24"/>
        </w:rPr>
        <w:t xml:space="preserve"> </w:t>
      </w:r>
      <w:r w:rsidRPr="00CA3D6F">
        <w:rPr>
          <w:rStyle w:val="dfm-title"/>
          <w:b/>
          <w:sz w:val="24"/>
          <w:szCs w:val="24"/>
        </w:rPr>
        <w:t>[also filed, Chap. 13]</w:t>
      </w:r>
    </w:p>
    <w:p w14:paraId="37C0205F" w14:textId="77777777" w:rsidR="009F1927" w:rsidRDefault="00F326E5" w:rsidP="00F326E5">
      <w:pPr>
        <w:rPr>
          <w:rFonts w:ascii="Times New Roman" w:eastAsia="Times New Roman" w:hAnsi="Times New Roman"/>
          <w:sz w:val="24"/>
          <w:szCs w:val="24"/>
        </w:rPr>
      </w:pPr>
      <w:r w:rsidRPr="009F1927">
        <w:rPr>
          <w:rFonts w:ascii="Times New Roman" w:hAnsi="Times New Roman"/>
          <w:sz w:val="24"/>
          <w:szCs w:val="24"/>
        </w:rPr>
        <w:t xml:space="preserve">On Nov. 21, 2018, in </w:t>
      </w:r>
      <w:r w:rsidRPr="009F1927">
        <w:rPr>
          <w:rFonts w:ascii="Times New Roman" w:hAnsi="Times New Roman"/>
          <w:sz w:val="24"/>
          <w:szCs w:val="24"/>
          <w:u w:val="single"/>
        </w:rPr>
        <w:t>Barbara A. Dittman, et al. v.</w:t>
      </w:r>
      <w:r w:rsidRPr="009F1927">
        <w:rPr>
          <w:rFonts w:ascii="Times New Roman" w:hAnsi="Times New Roman"/>
          <w:sz w:val="24"/>
          <w:szCs w:val="24"/>
        </w:rPr>
        <w:t xml:space="preserve"> </w:t>
      </w:r>
      <w:r w:rsidRPr="009F1927">
        <w:rPr>
          <w:rFonts w:ascii="Times New Roman" w:eastAsia="Times New Roman" w:hAnsi="Times New Roman"/>
          <w:sz w:val="24"/>
          <w:szCs w:val="24"/>
          <w:u w:val="single"/>
        </w:rPr>
        <w:t>UPMC d/b/a The University of Pittsburgh Medical Center, et al.</w:t>
      </w:r>
      <w:r w:rsidRPr="009F1927">
        <w:rPr>
          <w:rFonts w:ascii="Times New Roman" w:eastAsia="Times New Roman" w:hAnsi="Times New Roman"/>
          <w:sz w:val="24"/>
          <w:szCs w:val="24"/>
        </w:rPr>
        <w:t xml:space="preserve">, the PA Supreme Court ruled (4 to 3), the lawsuit was reinstated against the hospital. </w:t>
      </w:r>
    </w:p>
    <w:p w14:paraId="297728AC" w14:textId="0F187152" w:rsidR="00F326E5" w:rsidRPr="009F1927" w:rsidRDefault="00F326E5" w:rsidP="009F1927">
      <w:pPr>
        <w:ind w:left="720"/>
        <w:rPr>
          <w:rFonts w:ascii="Times New Roman" w:hAnsi="Times New Roman"/>
          <w:sz w:val="24"/>
          <w:szCs w:val="24"/>
        </w:rPr>
      </w:pPr>
      <w:r w:rsidRPr="009F1927">
        <w:rPr>
          <w:rFonts w:ascii="Times New Roman" w:eastAsia="Times New Roman" w:hAnsi="Times New Roman"/>
          <w:sz w:val="24"/>
          <w:szCs w:val="24"/>
        </w:rPr>
        <w:t>“We hold that an employer has a legal duty to exercise reasonable care to safeguard its employees’ sensitive personal information stored by the employer on an internet-</w:t>
      </w:r>
      <w:r w:rsidRPr="009F1927">
        <w:rPr>
          <w:rFonts w:ascii="Times New Roman" w:hAnsi="Times New Roman"/>
          <w:sz w:val="24"/>
          <w:szCs w:val="24"/>
        </w:rPr>
        <w:t xml:space="preserve">accessible computer system.” </w:t>
      </w:r>
      <w:bookmarkStart w:id="261" w:name="_Hlk39831698"/>
      <w:r w:rsidR="00374417">
        <w:fldChar w:fldCharType="begin"/>
      </w:r>
      <w:r w:rsidR="00374417">
        <w:instrText xml:space="preserve"> HYPERLINK "http://www.pacourts.us/assets/opinions/Supreme/out/Majority%20Opinion%20%20VacatedRemanded%20%2010378165044604409.pdf?cb=1" </w:instrText>
      </w:r>
      <w:r w:rsidR="00374417">
        <w:fldChar w:fldCharType="separate"/>
      </w:r>
      <w:r w:rsidRPr="009F1927">
        <w:rPr>
          <w:rStyle w:val="Hyperlink"/>
          <w:rFonts w:ascii="Times New Roman" w:hAnsi="Times New Roman"/>
          <w:sz w:val="24"/>
          <w:szCs w:val="24"/>
        </w:rPr>
        <w:t>http://www.pacourts.us/assets/opinions/Supreme/out/Majority%20Opinion%20%20VacatedRemanded%20%2010378165044604409.pdf?cb=1</w:t>
      </w:r>
      <w:r w:rsidR="00374417">
        <w:rPr>
          <w:rStyle w:val="Hyperlink"/>
          <w:rFonts w:ascii="Times New Roman" w:hAnsi="Times New Roman"/>
          <w:sz w:val="24"/>
          <w:szCs w:val="24"/>
        </w:rPr>
        <w:fldChar w:fldCharType="end"/>
      </w:r>
      <w:r w:rsidRPr="009F1927">
        <w:rPr>
          <w:rFonts w:ascii="Times New Roman" w:hAnsi="Times New Roman"/>
          <w:sz w:val="24"/>
          <w:szCs w:val="24"/>
        </w:rPr>
        <w:t xml:space="preserve"> </w:t>
      </w:r>
    </w:p>
    <w:bookmarkEnd w:id="261"/>
    <w:p w14:paraId="5B600D93" w14:textId="77777777" w:rsidR="00F326E5" w:rsidRPr="009F1927" w:rsidRDefault="00F326E5" w:rsidP="00F326E5">
      <w:pPr>
        <w:pStyle w:val="Heading1"/>
        <w:rPr>
          <w:b w:val="0"/>
          <w:sz w:val="24"/>
          <w:szCs w:val="24"/>
        </w:rPr>
      </w:pPr>
      <w:r w:rsidRPr="009F1927">
        <w:rPr>
          <w:sz w:val="24"/>
          <w:szCs w:val="24"/>
        </w:rPr>
        <w:t xml:space="preserve">Legal Lessons Learned:  This is an important decision that will now proceed to trial or settlement. Hopefully this decision will prompt employers in PA, and other states, including Fire &amp; EMS agencies, to review their electronic data safeguards with IT experts.  </w:t>
      </w:r>
    </w:p>
    <w:bookmarkEnd w:id="260"/>
    <w:p w14:paraId="676CE6FE" w14:textId="77777777" w:rsidR="00EF1133" w:rsidRDefault="00EF1133" w:rsidP="00EF1133">
      <w:pPr>
        <w:rPr>
          <w:rFonts w:ascii="Arial Black" w:hAnsi="Arial Black"/>
          <w:b/>
          <w:sz w:val="24"/>
          <w:szCs w:val="24"/>
        </w:rPr>
      </w:pPr>
    </w:p>
    <w:p w14:paraId="068610BE" w14:textId="1DB2978E" w:rsidR="00EF1133" w:rsidRDefault="00EF1133" w:rsidP="00EF1133">
      <w:pPr>
        <w:rPr>
          <w:rFonts w:ascii="Arial Black" w:hAnsi="Arial Black"/>
          <w:b/>
          <w:sz w:val="24"/>
          <w:szCs w:val="24"/>
        </w:rPr>
      </w:pPr>
      <w:r>
        <w:rPr>
          <w:rFonts w:ascii="Arial Black" w:hAnsi="Arial Black"/>
          <w:b/>
          <w:sz w:val="24"/>
          <w:szCs w:val="24"/>
        </w:rPr>
        <w:t>6</w:t>
      </w:r>
      <w:r w:rsidRPr="00EF1133">
        <w:rPr>
          <w:rFonts w:ascii="Arial Black" w:hAnsi="Arial Black"/>
          <w:b/>
          <w:sz w:val="24"/>
          <w:szCs w:val="24"/>
        </w:rPr>
        <w:t>-1</w:t>
      </w:r>
      <w:r>
        <w:rPr>
          <w:rFonts w:ascii="Arial Black" w:hAnsi="Arial Black"/>
          <w:b/>
          <w:sz w:val="24"/>
          <w:szCs w:val="24"/>
        </w:rPr>
        <w:t>2</w:t>
      </w:r>
    </w:p>
    <w:p w14:paraId="458C04D5" w14:textId="3E7F0DA6" w:rsidR="00F326E5" w:rsidRPr="00732C84" w:rsidRDefault="00F326E5" w:rsidP="00F326E5">
      <w:pPr>
        <w:pStyle w:val="NoSpacing"/>
        <w:rPr>
          <w:rStyle w:val="dfm-title"/>
          <w:rFonts w:ascii="Arial Black" w:hAnsi="Arial Black"/>
          <w:b/>
          <w:sz w:val="28"/>
          <w:szCs w:val="28"/>
        </w:rPr>
      </w:pPr>
      <w:bookmarkStart w:id="262" w:name="_Hlk7343236"/>
      <w:r>
        <w:rPr>
          <w:rStyle w:val="dfm-title"/>
          <w:rFonts w:ascii="Arial Black" w:hAnsi="Arial Black"/>
          <w:b/>
          <w:sz w:val="28"/>
          <w:szCs w:val="28"/>
        </w:rPr>
        <w:lastRenderedPageBreak/>
        <w:t xml:space="preserve">U.S. </w:t>
      </w:r>
      <w:r w:rsidRPr="00732C84">
        <w:rPr>
          <w:rStyle w:val="dfm-title"/>
          <w:rFonts w:ascii="Arial Black" w:hAnsi="Arial Black"/>
          <w:b/>
          <w:sz w:val="28"/>
          <w:szCs w:val="28"/>
        </w:rPr>
        <w:t>SUPREME COURT: AGE DISCRIMINATION ACT APPLIES PUBLIC AGENCIES</w:t>
      </w:r>
      <w:r>
        <w:rPr>
          <w:rStyle w:val="dfm-title"/>
          <w:rFonts w:ascii="Arial Black" w:hAnsi="Arial Black"/>
          <w:b/>
          <w:sz w:val="28"/>
          <w:szCs w:val="28"/>
        </w:rPr>
        <w:t xml:space="preserve"> – EVEN LESS 20 EMPLOYEES</w:t>
      </w:r>
    </w:p>
    <w:p w14:paraId="17BC8F00" w14:textId="77777777" w:rsidR="009F1927" w:rsidRDefault="00F326E5" w:rsidP="00F326E5">
      <w:pPr>
        <w:rPr>
          <w:rFonts w:ascii="Times New Roman" w:eastAsia="Times New Roman" w:hAnsi="Times New Roman"/>
          <w:sz w:val="24"/>
          <w:szCs w:val="24"/>
        </w:rPr>
      </w:pPr>
      <w:r w:rsidRPr="009F1927">
        <w:rPr>
          <w:rFonts w:ascii="Times New Roman" w:eastAsia="Times New Roman" w:hAnsi="Times New Roman"/>
          <w:sz w:val="24"/>
          <w:szCs w:val="24"/>
        </w:rPr>
        <w:t xml:space="preserve">On </w:t>
      </w:r>
      <w:bookmarkStart w:id="263" w:name="_Hlk39831926"/>
      <w:r w:rsidRPr="009F1927">
        <w:rPr>
          <w:rFonts w:ascii="Times New Roman" w:eastAsia="Times New Roman" w:hAnsi="Times New Roman"/>
          <w:sz w:val="24"/>
          <w:szCs w:val="24"/>
        </w:rPr>
        <w:t xml:space="preserve">Nov. 6, 2018, in </w:t>
      </w:r>
      <w:r w:rsidRPr="009F1927">
        <w:rPr>
          <w:rFonts w:ascii="Times New Roman" w:eastAsia="Times New Roman" w:hAnsi="Times New Roman"/>
          <w:sz w:val="24"/>
          <w:szCs w:val="24"/>
          <w:u w:val="single"/>
        </w:rPr>
        <w:t>Mount Lemmon Fire District v. Guido, et al.</w:t>
      </w:r>
      <w:r w:rsidRPr="009F1927">
        <w:rPr>
          <w:rFonts w:ascii="Times New Roman" w:eastAsia="Times New Roman" w:hAnsi="Times New Roman"/>
          <w:sz w:val="24"/>
          <w:szCs w:val="24"/>
        </w:rPr>
        <w:t xml:space="preserve">, </w:t>
      </w:r>
      <w:bookmarkEnd w:id="263"/>
      <w:r w:rsidRPr="009F1927">
        <w:rPr>
          <w:rFonts w:ascii="Times New Roman" w:eastAsia="Times New Roman" w:hAnsi="Times New Roman"/>
          <w:sz w:val="24"/>
          <w:szCs w:val="24"/>
        </w:rPr>
        <w:t xml:space="preserve">the U.S. Supreme Court (8 to 0) held: </w:t>
      </w:r>
    </w:p>
    <w:p w14:paraId="27A248CE" w14:textId="053D323A" w:rsidR="00F326E5" w:rsidRPr="009F1927" w:rsidRDefault="00F326E5" w:rsidP="009F1927">
      <w:pPr>
        <w:ind w:left="720"/>
        <w:rPr>
          <w:rFonts w:ascii="Times New Roman" w:eastAsia="Times New Roman" w:hAnsi="Times New Roman"/>
          <w:sz w:val="24"/>
          <w:szCs w:val="24"/>
        </w:rPr>
      </w:pPr>
      <w:r w:rsidRPr="009F1927">
        <w:rPr>
          <w:rFonts w:ascii="Times New Roman" w:eastAsia="Times New Roman" w:hAnsi="Times New Roman"/>
          <w:sz w:val="24"/>
          <w:szCs w:val="24"/>
        </w:rPr>
        <w:t>“</w:t>
      </w:r>
      <w:proofErr w:type="gramStart"/>
      <w:r w:rsidRPr="009F1927">
        <w:rPr>
          <w:rFonts w:ascii="Times New Roman" w:eastAsia="Times New Roman" w:hAnsi="Times New Roman"/>
          <w:sz w:val="24"/>
          <w:szCs w:val="24"/>
        </w:rPr>
        <w:t>that</w:t>
      </w:r>
      <w:proofErr w:type="gramEnd"/>
      <w:r w:rsidRPr="009F1927">
        <w:rPr>
          <w:rFonts w:ascii="Times New Roman" w:eastAsia="Times New Roman" w:hAnsi="Times New Roman"/>
          <w:sz w:val="24"/>
          <w:szCs w:val="24"/>
        </w:rPr>
        <w:t xml:space="preserve"> state and local governments are ‘employer[s]’ covered by the ADEA regardless of their size” [while private employers are only covered if have 20 or more employees]. </w:t>
      </w:r>
      <w:bookmarkStart w:id="264" w:name="_Hlk39831949"/>
      <w:r w:rsidR="00374417">
        <w:fldChar w:fldCharType="begin"/>
      </w:r>
      <w:r w:rsidR="00374417">
        <w:instrText xml:space="preserve"> HYPERLINK "https://www.supremecourt.gov/opinions/18pdf/17-587_n7ip.pdf" </w:instrText>
      </w:r>
      <w:r w:rsidR="00374417">
        <w:fldChar w:fldCharType="separate"/>
      </w:r>
      <w:r w:rsidRPr="009F1927">
        <w:rPr>
          <w:rStyle w:val="Hyperlink"/>
          <w:rFonts w:ascii="Times New Roman" w:hAnsi="Times New Roman"/>
          <w:sz w:val="24"/>
          <w:szCs w:val="24"/>
        </w:rPr>
        <w:t>https://www.supremecourt.gov/opinions/18pdf/17-587_n7ip.pdf</w:t>
      </w:r>
      <w:r w:rsidR="00374417">
        <w:rPr>
          <w:rStyle w:val="Hyperlink"/>
          <w:rFonts w:ascii="Times New Roman" w:hAnsi="Times New Roman"/>
          <w:sz w:val="24"/>
          <w:szCs w:val="24"/>
        </w:rPr>
        <w:fldChar w:fldCharType="end"/>
      </w:r>
      <w:r w:rsidRPr="009F1927">
        <w:rPr>
          <w:rFonts w:ascii="Times New Roman" w:eastAsia="Times New Roman" w:hAnsi="Times New Roman"/>
          <w:sz w:val="24"/>
          <w:szCs w:val="24"/>
        </w:rPr>
        <w:t xml:space="preserve"> </w:t>
      </w:r>
    </w:p>
    <w:bookmarkEnd w:id="264"/>
    <w:p w14:paraId="17CFD01E" w14:textId="77777777" w:rsidR="00F326E5" w:rsidRPr="009F1927" w:rsidRDefault="00F326E5" w:rsidP="00F326E5">
      <w:pPr>
        <w:rPr>
          <w:rFonts w:ascii="Times New Roman" w:eastAsia="Times New Roman" w:hAnsi="Times New Roman"/>
          <w:b/>
          <w:sz w:val="24"/>
          <w:szCs w:val="24"/>
        </w:rPr>
      </w:pPr>
      <w:r w:rsidRPr="009F1927">
        <w:rPr>
          <w:rFonts w:ascii="Times New Roman" w:eastAsia="Times New Roman" w:hAnsi="Times New Roman"/>
          <w:b/>
          <w:sz w:val="24"/>
          <w:szCs w:val="24"/>
        </w:rPr>
        <w:t>Legal Lessons Learned:  The two former Captains may now proceed with their lawsuit.  Fire &amp; EMS departments, when conducting layoffs, should carefully document their rational for any layoffs not involving the “last hired.”</w:t>
      </w:r>
    </w:p>
    <w:p w14:paraId="503543DE" w14:textId="37C6A1C2" w:rsidR="00F326E5" w:rsidRPr="009F1927" w:rsidRDefault="00F326E5" w:rsidP="009F1927">
      <w:pPr>
        <w:rPr>
          <w:rFonts w:ascii="Times New Roman" w:eastAsia="Times New Roman" w:hAnsi="Times New Roman"/>
          <w:sz w:val="24"/>
          <w:szCs w:val="24"/>
        </w:rPr>
      </w:pPr>
      <w:r w:rsidRPr="009F1927">
        <w:rPr>
          <w:rFonts w:ascii="Times New Roman" w:eastAsia="Times New Roman" w:hAnsi="Times New Roman"/>
          <w:sz w:val="24"/>
          <w:szCs w:val="24"/>
        </w:rPr>
        <w:t xml:space="preserve">   See 9</w:t>
      </w:r>
      <w:r w:rsidRPr="009F1927">
        <w:rPr>
          <w:rFonts w:ascii="Times New Roman" w:eastAsia="Times New Roman" w:hAnsi="Times New Roman"/>
          <w:sz w:val="24"/>
          <w:szCs w:val="24"/>
          <w:vertAlign w:val="superscript"/>
        </w:rPr>
        <w:t>th</w:t>
      </w:r>
      <w:r w:rsidRPr="009F1927">
        <w:rPr>
          <w:rFonts w:ascii="Times New Roman" w:eastAsia="Times New Roman" w:hAnsi="Times New Roman"/>
          <w:sz w:val="24"/>
          <w:szCs w:val="24"/>
        </w:rPr>
        <w:t xml:space="preserve"> Circuit decision:</w:t>
      </w:r>
    </w:p>
    <w:p w14:paraId="26798A2B" w14:textId="77777777" w:rsidR="00F326E5" w:rsidRPr="009F1927" w:rsidRDefault="00F326E5" w:rsidP="00F326E5">
      <w:pPr>
        <w:ind w:left="720"/>
        <w:rPr>
          <w:rFonts w:ascii="Times New Roman" w:eastAsia="Times New Roman" w:hAnsi="Times New Roman"/>
          <w:sz w:val="24"/>
          <w:szCs w:val="24"/>
        </w:rPr>
      </w:pPr>
      <w:r w:rsidRPr="009F1927">
        <w:rPr>
          <w:rFonts w:ascii="Times New Roman" w:hAnsi="Times New Roman"/>
          <w:sz w:val="24"/>
          <w:szCs w:val="24"/>
        </w:rPr>
        <w:t xml:space="preserve">“John Guido and Dennis Rankin were both hired in 2000 by Mount Lemmon Fire District, a political subdivision of the State of Arizona. Guido and Rankin served as full-time firefighter Captains. They were the two oldest full-time employees at the Fire District when they were terminated on June 15, 2009, Guido at forty-six years of age and Rankin at fifty-four.” </w:t>
      </w:r>
      <w:hyperlink r:id="rId1322" w:history="1">
        <w:r w:rsidRPr="009F1927">
          <w:rPr>
            <w:rStyle w:val="Hyperlink"/>
            <w:rFonts w:ascii="Times New Roman" w:hAnsi="Times New Roman"/>
            <w:sz w:val="24"/>
            <w:szCs w:val="24"/>
          </w:rPr>
          <w:t>https://caselaw.findlaw.com/us-9th-circuit/1864754.html</w:t>
        </w:r>
      </w:hyperlink>
      <w:r w:rsidRPr="009F1927">
        <w:rPr>
          <w:rFonts w:ascii="Times New Roman" w:hAnsi="Times New Roman"/>
          <w:sz w:val="24"/>
          <w:szCs w:val="24"/>
        </w:rPr>
        <w:t xml:space="preserve"> </w:t>
      </w:r>
    </w:p>
    <w:p w14:paraId="1FB66A64" w14:textId="77777777" w:rsidR="00F326E5" w:rsidRPr="009F1927" w:rsidRDefault="00F326E5" w:rsidP="00F326E5">
      <w:pPr>
        <w:pStyle w:val="NoSpacing"/>
        <w:ind w:left="720"/>
        <w:rPr>
          <w:rFonts w:ascii="Times New Roman" w:hAnsi="Times New Roman"/>
          <w:sz w:val="24"/>
          <w:szCs w:val="24"/>
        </w:rPr>
      </w:pPr>
      <w:r w:rsidRPr="009F1927">
        <w:rPr>
          <w:rFonts w:ascii="Times New Roman" w:hAnsi="Times New Roman"/>
          <w:sz w:val="24"/>
          <w:szCs w:val="24"/>
        </w:rPr>
        <w:t xml:space="preserve">Note:  Ohio has enacted the Ohio Data Protection Act, effective Nov. 2, 2018 (to be in Ohio Revised Code 1354.01-05), which provides companies with an affirmative defense to lawsuits involving release of personal information, if the company has a written cybersecurity program that conforms to the NIST Cybersecurity Framework. </w:t>
      </w:r>
      <w:hyperlink r:id="rId1323" w:history="1">
        <w:r w:rsidRPr="009F1927">
          <w:rPr>
            <w:rStyle w:val="Hyperlink"/>
            <w:rFonts w:ascii="Times New Roman" w:hAnsi="Times New Roman"/>
            <w:sz w:val="24"/>
            <w:szCs w:val="24"/>
          </w:rPr>
          <w:t>https://www.legislature.ohio.gov/legislation/legislation-summary?id=GA132-SB-220</w:t>
        </w:r>
      </w:hyperlink>
      <w:r w:rsidRPr="009F1927">
        <w:rPr>
          <w:rFonts w:ascii="Times New Roman" w:hAnsi="Times New Roman"/>
          <w:sz w:val="24"/>
          <w:szCs w:val="24"/>
        </w:rPr>
        <w:t xml:space="preserve">.  See Sept. 20, </w:t>
      </w:r>
      <w:proofErr w:type="gramStart"/>
      <w:r w:rsidRPr="009F1927">
        <w:rPr>
          <w:rFonts w:ascii="Times New Roman" w:hAnsi="Times New Roman"/>
          <w:sz w:val="24"/>
          <w:szCs w:val="24"/>
        </w:rPr>
        <w:t>2018</w:t>
      </w:r>
      <w:proofErr w:type="gramEnd"/>
      <w:r w:rsidRPr="009F1927">
        <w:rPr>
          <w:rFonts w:ascii="Times New Roman" w:hAnsi="Times New Roman"/>
          <w:sz w:val="24"/>
          <w:szCs w:val="24"/>
        </w:rPr>
        <w:t xml:space="preserve"> article, “New Ohio law incentivizes businesses that comply with cybersecurity programs,” </w:t>
      </w:r>
      <w:hyperlink r:id="rId1324" w:history="1">
        <w:r w:rsidRPr="009F1927">
          <w:rPr>
            <w:rStyle w:val="Hyperlink"/>
            <w:rFonts w:ascii="Times New Roman" w:hAnsi="Times New Roman"/>
            <w:sz w:val="24"/>
            <w:szCs w:val="24"/>
          </w:rPr>
          <w:t>https://www.bizjournals.com/columbus/news/2018/09/20/new-ohio-law-incentivizes-businesses-that-comply.html</w:t>
        </w:r>
      </w:hyperlink>
    </w:p>
    <w:p w14:paraId="341C3ED8" w14:textId="77777777" w:rsidR="00F326E5" w:rsidRPr="009F1927" w:rsidRDefault="00F326E5" w:rsidP="00F326E5">
      <w:pPr>
        <w:pStyle w:val="NoSpacing"/>
        <w:rPr>
          <w:rStyle w:val="dfm-title"/>
          <w:rFonts w:ascii="Times New Roman" w:hAnsi="Times New Roman"/>
          <w:sz w:val="24"/>
          <w:szCs w:val="24"/>
        </w:rPr>
      </w:pPr>
    </w:p>
    <w:bookmarkEnd w:id="262"/>
    <w:p w14:paraId="14C842DA" w14:textId="6DA8F9DA" w:rsidR="00EF1133" w:rsidRDefault="00EF1133" w:rsidP="00EF1133">
      <w:pPr>
        <w:rPr>
          <w:rFonts w:ascii="Arial Black" w:hAnsi="Arial Black"/>
          <w:sz w:val="28"/>
          <w:szCs w:val="28"/>
        </w:rPr>
      </w:pPr>
      <w:r>
        <w:rPr>
          <w:rFonts w:ascii="Arial Black" w:hAnsi="Arial Black"/>
          <w:b/>
          <w:sz w:val="24"/>
          <w:szCs w:val="24"/>
        </w:rPr>
        <w:t>6</w:t>
      </w:r>
      <w:r w:rsidRPr="00EF1133">
        <w:rPr>
          <w:rFonts w:ascii="Arial Black" w:hAnsi="Arial Black"/>
          <w:b/>
          <w:sz w:val="24"/>
          <w:szCs w:val="24"/>
        </w:rPr>
        <w:t>-1</w:t>
      </w:r>
      <w:r>
        <w:rPr>
          <w:rFonts w:ascii="Arial Black" w:hAnsi="Arial Black"/>
          <w:b/>
          <w:sz w:val="24"/>
          <w:szCs w:val="24"/>
        </w:rPr>
        <w:t>1</w:t>
      </w:r>
      <w:bookmarkStart w:id="265" w:name="_Hlk7343286"/>
    </w:p>
    <w:p w14:paraId="334AB698" w14:textId="12093068" w:rsidR="00F326E5" w:rsidRDefault="00F326E5" w:rsidP="00F326E5">
      <w:pPr>
        <w:pStyle w:val="NoSpacing"/>
        <w:rPr>
          <w:rFonts w:ascii="Arial Black" w:hAnsi="Arial Black"/>
          <w:sz w:val="28"/>
          <w:szCs w:val="28"/>
        </w:rPr>
      </w:pPr>
      <w:r w:rsidRPr="002C2C77">
        <w:rPr>
          <w:rFonts w:ascii="Arial Black" w:hAnsi="Arial Black"/>
          <w:sz w:val="28"/>
          <w:szCs w:val="28"/>
        </w:rPr>
        <w:t>TN</w:t>
      </w:r>
      <w:r>
        <w:rPr>
          <w:rFonts w:ascii="Arial Black" w:hAnsi="Arial Black"/>
          <w:sz w:val="28"/>
          <w:szCs w:val="28"/>
        </w:rPr>
        <w:t>:  FIRE CHIEF FIRED – AT-WILL EMPLOYEE –</w:t>
      </w:r>
      <w:r w:rsidR="009F1927">
        <w:rPr>
          <w:rFonts w:ascii="Arial Black" w:hAnsi="Arial Black"/>
          <w:sz w:val="28"/>
          <w:szCs w:val="28"/>
        </w:rPr>
        <w:t xml:space="preserve"> </w:t>
      </w:r>
      <w:r>
        <w:rPr>
          <w:rFonts w:ascii="Arial Black" w:hAnsi="Arial Black"/>
          <w:sz w:val="28"/>
          <w:szCs w:val="28"/>
        </w:rPr>
        <w:t>COUNTY CAN</w:t>
      </w:r>
      <w:r w:rsidR="005353F2">
        <w:rPr>
          <w:rFonts w:ascii="Arial Black" w:hAnsi="Arial Black"/>
          <w:sz w:val="28"/>
          <w:szCs w:val="28"/>
        </w:rPr>
        <w:t>’T</w:t>
      </w:r>
      <w:r>
        <w:rPr>
          <w:rFonts w:ascii="Arial Black" w:hAnsi="Arial Black"/>
          <w:sz w:val="28"/>
          <w:szCs w:val="28"/>
        </w:rPr>
        <w:t xml:space="preserve"> GRANT CIVIL SERVICE PROTECTION</w:t>
      </w:r>
    </w:p>
    <w:p w14:paraId="544BA7E7" w14:textId="77777777" w:rsidR="00F326E5" w:rsidRPr="009F1927" w:rsidRDefault="00F326E5" w:rsidP="00F326E5">
      <w:pPr>
        <w:rPr>
          <w:rFonts w:ascii="Times New Roman" w:eastAsia="Times New Roman" w:hAnsi="Times New Roman"/>
          <w:sz w:val="24"/>
          <w:szCs w:val="24"/>
        </w:rPr>
      </w:pPr>
      <w:r w:rsidRPr="009F1927">
        <w:rPr>
          <w:rFonts w:ascii="Times New Roman" w:hAnsi="Times New Roman"/>
          <w:sz w:val="24"/>
          <w:szCs w:val="24"/>
        </w:rPr>
        <w:t xml:space="preserve">On Oct. 19, 2018, in </w:t>
      </w:r>
      <w:r w:rsidRPr="009F1927">
        <w:rPr>
          <w:rFonts w:ascii="Times New Roman" w:hAnsi="Times New Roman"/>
          <w:sz w:val="24"/>
          <w:szCs w:val="24"/>
          <w:u w:val="single"/>
        </w:rPr>
        <w:t>William Smallwood v. Cocke County Government</w:t>
      </w:r>
      <w:r w:rsidRPr="009F1927">
        <w:rPr>
          <w:rFonts w:ascii="Times New Roman" w:hAnsi="Times New Roman"/>
          <w:sz w:val="24"/>
          <w:szCs w:val="24"/>
        </w:rPr>
        <w:t>, the U.S. Court of Appeals for 6</w:t>
      </w:r>
      <w:r w:rsidRPr="009F1927">
        <w:rPr>
          <w:rFonts w:ascii="Times New Roman" w:hAnsi="Times New Roman"/>
          <w:sz w:val="24"/>
          <w:szCs w:val="24"/>
          <w:vertAlign w:val="superscript"/>
        </w:rPr>
        <w:t>th</w:t>
      </w:r>
      <w:r w:rsidRPr="009F1927">
        <w:rPr>
          <w:rFonts w:ascii="Times New Roman" w:hAnsi="Times New Roman"/>
          <w:sz w:val="24"/>
          <w:szCs w:val="24"/>
        </w:rPr>
        <w:t xml:space="preserve"> Circuit (Cincinnati, OH), held (3 to 0) in an unpublished opinion, that the District Court properly granted summary judgment to the County. “</w:t>
      </w:r>
      <w:r w:rsidRPr="009F1927">
        <w:rPr>
          <w:rFonts w:ascii="Times New Roman" w:eastAsia="Times New Roman" w:hAnsi="Times New Roman"/>
          <w:sz w:val="24"/>
          <w:szCs w:val="24"/>
        </w:rPr>
        <w:t>Regardless of whether Smallwood’s termination was politically motivated, as Fire Chief, he could be terminated for political reasons.”</w:t>
      </w:r>
      <w:r w:rsidRPr="009F1927">
        <w:rPr>
          <w:rFonts w:ascii="Times New Roman" w:hAnsi="Times New Roman"/>
          <w:sz w:val="24"/>
          <w:szCs w:val="24"/>
        </w:rPr>
        <w:t xml:space="preserve"> </w:t>
      </w:r>
      <w:hyperlink r:id="rId1325" w:history="1">
        <w:r w:rsidRPr="009F1927">
          <w:rPr>
            <w:rStyle w:val="Hyperlink"/>
            <w:rFonts w:ascii="Times New Roman" w:hAnsi="Times New Roman"/>
            <w:sz w:val="24"/>
            <w:szCs w:val="24"/>
          </w:rPr>
          <w:t>http://www.opn.ca6.uscourts.gov/opinions.pdf/18a0522n-06.pdf</w:t>
        </w:r>
      </w:hyperlink>
      <w:r w:rsidRPr="009F1927">
        <w:rPr>
          <w:rFonts w:ascii="Times New Roman" w:eastAsia="Times New Roman" w:hAnsi="Times New Roman"/>
          <w:sz w:val="24"/>
          <w:szCs w:val="24"/>
        </w:rPr>
        <w:t xml:space="preserve"> </w:t>
      </w:r>
    </w:p>
    <w:p w14:paraId="75753C14" w14:textId="77777777" w:rsidR="00F326E5" w:rsidRPr="009F1927" w:rsidRDefault="00F326E5" w:rsidP="00F326E5">
      <w:pPr>
        <w:pStyle w:val="NoSpacing"/>
        <w:rPr>
          <w:rFonts w:ascii="Times New Roman" w:hAnsi="Times New Roman"/>
          <w:b/>
          <w:sz w:val="24"/>
          <w:szCs w:val="24"/>
        </w:rPr>
      </w:pPr>
      <w:r w:rsidRPr="009F1927">
        <w:rPr>
          <w:rFonts w:ascii="Times New Roman" w:hAnsi="Times New Roman"/>
          <w:b/>
          <w:sz w:val="24"/>
          <w:szCs w:val="24"/>
        </w:rPr>
        <w:t xml:space="preserve">Legal Lessons Learned:  At-will employees may be terminated without </w:t>
      </w:r>
      <w:proofErr w:type="gramStart"/>
      <w:r w:rsidRPr="009F1927">
        <w:rPr>
          <w:rFonts w:ascii="Times New Roman" w:hAnsi="Times New Roman"/>
          <w:b/>
          <w:sz w:val="24"/>
          <w:szCs w:val="24"/>
        </w:rPr>
        <w:t>a hearing</w:t>
      </w:r>
      <w:proofErr w:type="gramEnd"/>
      <w:r w:rsidRPr="009F1927">
        <w:rPr>
          <w:rFonts w:ascii="Times New Roman" w:hAnsi="Times New Roman"/>
          <w:b/>
          <w:sz w:val="24"/>
          <w:szCs w:val="24"/>
        </w:rPr>
        <w:t xml:space="preserve">.  </w:t>
      </w:r>
    </w:p>
    <w:bookmarkEnd w:id="265"/>
    <w:p w14:paraId="2D8ED270" w14:textId="77777777" w:rsidR="00F326E5" w:rsidRPr="009F1927" w:rsidRDefault="00F326E5" w:rsidP="00F326E5">
      <w:pPr>
        <w:ind w:left="720"/>
        <w:rPr>
          <w:rFonts w:ascii="Times New Roman" w:eastAsia="Times New Roman" w:hAnsi="Times New Roman"/>
          <w:sz w:val="24"/>
          <w:szCs w:val="24"/>
        </w:rPr>
      </w:pPr>
    </w:p>
    <w:p w14:paraId="6B119D7E" w14:textId="77777777" w:rsidR="009F1927" w:rsidRDefault="009F1927" w:rsidP="00EF1133">
      <w:pPr>
        <w:rPr>
          <w:rFonts w:ascii="Arial Black" w:hAnsi="Arial Black"/>
          <w:b/>
          <w:sz w:val="24"/>
          <w:szCs w:val="24"/>
        </w:rPr>
      </w:pPr>
    </w:p>
    <w:p w14:paraId="02A7C8E7" w14:textId="3C9995B9" w:rsidR="00EF1133" w:rsidRDefault="00EF1133" w:rsidP="00EF1133">
      <w:pPr>
        <w:rPr>
          <w:rFonts w:ascii="Arial Black" w:hAnsi="Arial Black"/>
          <w:b/>
          <w:sz w:val="24"/>
          <w:szCs w:val="24"/>
        </w:rPr>
      </w:pPr>
      <w:r>
        <w:rPr>
          <w:rFonts w:ascii="Arial Black" w:hAnsi="Arial Black"/>
          <w:b/>
          <w:sz w:val="24"/>
          <w:szCs w:val="24"/>
        </w:rPr>
        <w:t>6</w:t>
      </w:r>
      <w:r w:rsidRPr="00EF1133">
        <w:rPr>
          <w:rFonts w:ascii="Arial Black" w:hAnsi="Arial Black"/>
          <w:b/>
          <w:sz w:val="24"/>
          <w:szCs w:val="24"/>
        </w:rPr>
        <w:t>-1</w:t>
      </w:r>
      <w:r>
        <w:rPr>
          <w:rFonts w:ascii="Arial Black" w:hAnsi="Arial Black"/>
          <w:b/>
          <w:sz w:val="24"/>
          <w:szCs w:val="24"/>
        </w:rPr>
        <w:t>0</w:t>
      </w:r>
    </w:p>
    <w:p w14:paraId="3D465DED" w14:textId="20086348" w:rsidR="00F326E5" w:rsidRPr="00732C84" w:rsidRDefault="00F326E5" w:rsidP="00F326E5">
      <w:pPr>
        <w:rPr>
          <w:rFonts w:ascii="Times New Roman" w:hAnsi="Times New Roman"/>
          <w:sz w:val="24"/>
          <w:szCs w:val="24"/>
        </w:rPr>
      </w:pPr>
      <w:bookmarkStart w:id="266" w:name="_Hlk7343322"/>
      <w:r w:rsidRPr="00732C84">
        <w:rPr>
          <w:rFonts w:ascii="Arial Black" w:hAnsi="Arial Black"/>
          <w:sz w:val="28"/>
          <w:szCs w:val="28"/>
        </w:rPr>
        <w:t xml:space="preserve">NY: </w:t>
      </w:r>
      <w:r>
        <w:rPr>
          <w:rFonts w:ascii="Arial Black" w:hAnsi="Arial Black"/>
          <w:sz w:val="28"/>
          <w:szCs w:val="28"/>
        </w:rPr>
        <w:t xml:space="preserve">AMBULANCE BACK STEP NOT LOWERED - </w:t>
      </w:r>
      <w:r w:rsidRPr="00732C84">
        <w:rPr>
          <w:rFonts w:ascii="Arial Black" w:hAnsi="Arial Black"/>
          <w:sz w:val="28"/>
          <w:szCs w:val="28"/>
        </w:rPr>
        <w:t xml:space="preserve">FF </w:t>
      </w:r>
      <w:r>
        <w:rPr>
          <w:rFonts w:ascii="Arial Black" w:hAnsi="Arial Black"/>
          <w:sz w:val="28"/>
          <w:szCs w:val="28"/>
        </w:rPr>
        <w:t xml:space="preserve">ENTITLED TO ACCIDENTAL RETIREMENT BENEFITS </w:t>
      </w:r>
      <w:r w:rsidRPr="00732C84">
        <w:rPr>
          <w:rFonts w:ascii="Times New Roman" w:hAnsi="Times New Roman"/>
          <w:sz w:val="24"/>
          <w:szCs w:val="24"/>
        </w:rPr>
        <w:t xml:space="preserve">[also filed, Chap. 13] </w:t>
      </w:r>
    </w:p>
    <w:p w14:paraId="4F8E17CD" w14:textId="77777777" w:rsidR="00F326E5" w:rsidRPr="009F1927" w:rsidRDefault="00F326E5" w:rsidP="00F326E5">
      <w:pPr>
        <w:rPr>
          <w:rFonts w:ascii="Times New Roman" w:eastAsia="Times New Roman" w:hAnsi="Times New Roman"/>
          <w:sz w:val="24"/>
          <w:szCs w:val="24"/>
        </w:rPr>
      </w:pPr>
      <w:r w:rsidRPr="009F1927">
        <w:rPr>
          <w:rFonts w:ascii="Times New Roman" w:eastAsia="Times New Roman" w:hAnsi="Times New Roman"/>
          <w:sz w:val="24"/>
          <w:szCs w:val="24"/>
        </w:rPr>
        <w:lastRenderedPageBreak/>
        <w:t xml:space="preserve">On Sept. 6, 2018, </w:t>
      </w:r>
      <w:r w:rsidRPr="009F1927">
        <w:rPr>
          <w:rFonts w:ascii="Times New Roman" w:eastAsia="Times New Roman" w:hAnsi="Times New Roman"/>
          <w:sz w:val="24"/>
          <w:szCs w:val="24"/>
          <w:u w:val="single"/>
        </w:rPr>
        <w:t>In The Matter Of Gregg A. Loia v. Thomas P. Di Napoli, State Comptroller</w:t>
      </w:r>
      <w:r w:rsidRPr="009F1927">
        <w:rPr>
          <w:rFonts w:ascii="Times New Roman" w:eastAsia="Times New Roman" w:hAnsi="Times New Roman"/>
          <w:sz w:val="24"/>
          <w:szCs w:val="24"/>
        </w:rPr>
        <w:t xml:space="preserve">,  the NY Supreme Court, Appellate Division (Third Judicial Department) held (3 to 0) the injured firefighter is entitled to accidental retirement benefits since the back step of the ambulance had not been lowered by EMS personnel, and he suffered an “accident” on the “malfunctioning piece of equipment that was designed, under normal circumstances, to promote safety.” </w:t>
      </w:r>
      <w:hyperlink r:id="rId1326" w:history="1">
        <w:r w:rsidRPr="009F1927">
          <w:rPr>
            <w:rStyle w:val="Hyperlink"/>
            <w:rFonts w:ascii="Times New Roman" w:hAnsi="Times New Roman"/>
            <w:sz w:val="24"/>
            <w:szCs w:val="24"/>
          </w:rPr>
          <w:t>http://decisions.courts.state.ny.us/ad3/Decisions/2018/526165.pdf</w:t>
        </w:r>
      </w:hyperlink>
      <w:r w:rsidRPr="009F1927">
        <w:rPr>
          <w:rFonts w:ascii="Times New Roman" w:eastAsia="Times New Roman" w:hAnsi="Times New Roman"/>
          <w:sz w:val="24"/>
          <w:szCs w:val="24"/>
        </w:rPr>
        <w:t xml:space="preserve"> </w:t>
      </w:r>
    </w:p>
    <w:p w14:paraId="1933F0FC" w14:textId="77777777" w:rsidR="00F326E5" w:rsidRPr="009F1927" w:rsidRDefault="00F326E5" w:rsidP="00F326E5">
      <w:pPr>
        <w:rPr>
          <w:rFonts w:ascii="Times New Roman" w:eastAsia="Times New Roman" w:hAnsi="Times New Roman"/>
          <w:b/>
          <w:sz w:val="24"/>
          <w:szCs w:val="24"/>
        </w:rPr>
      </w:pPr>
      <w:r w:rsidRPr="009F1927">
        <w:rPr>
          <w:rFonts w:ascii="Times New Roman" w:eastAsia="Times New Roman" w:hAnsi="Times New Roman"/>
          <w:b/>
          <w:sz w:val="24"/>
          <w:szCs w:val="24"/>
        </w:rPr>
        <w:t xml:space="preserve">Legal Lessons Learned:  Fire &amp; EMS personnel should document any on the job injury (including, in this case, photos of the ambulance step) and obtain statements from others on the scene.  It is unfortunate that a dispute over disability retirement benefits has been in litigation since 2012.  </w:t>
      </w:r>
    </w:p>
    <w:bookmarkEnd w:id="266"/>
    <w:p w14:paraId="78B0C165" w14:textId="77777777" w:rsidR="00F326E5" w:rsidRDefault="00F326E5" w:rsidP="00F326E5">
      <w:pPr>
        <w:pStyle w:val="NoSpacing"/>
        <w:rPr>
          <w:rStyle w:val="dfm-title"/>
          <w:b/>
          <w:sz w:val="24"/>
          <w:szCs w:val="24"/>
        </w:rPr>
      </w:pPr>
    </w:p>
    <w:p w14:paraId="149F5F5A" w14:textId="77777777" w:rsidR="00F27CD5" w:rsidRDefault="00F27CD5" w:rsidP="00F326E5">
      <w:pPr>
        <w:rPr>
          <w:rFonts w:ascii="Arial Black" w:hAnsi="Arial Black"/>
          <w:b/>
          <w:sz w:val="24"/>
          <w:szCs w:val="24"/>
        </w:rPr>
      </w:pPr>
    </w:p>
    <w:p w14:paraId="1293C9CE" w14:textId="77777777" w:rsidR="00F27CD5" w:rsidRDefault="00F27CD5" w:rsidP="00F326E5">
      <w:pPr>
        <w:rPr>
          <w:rFonts w:ascii="Arial Black" w:hAnsi="Arial Black"/>
          <w:b/>
          <w:sz w:val="24"/>
          <w:szCs w:val="24"/>
        </w:rPr>
      </w:pPr>
    </w:p>
    <w:p w14:paraId="2FF83555" w14:textId="4119B724" w:rsidR="00F326E5" w:rsidRPr="009F2867" w:rsidRDefault="00EF1133" w:rsidP="00F326E5">
      <w:pPr>
        <w:rPr>
          <w:sz w:val="24"/>
          <w:szCs w:val="24"/>
        </w:rPr>
      </w:pPr>
      <w:r>
        <w:rPr>
          <w:rFonts w:ascii="Arial Black" w:hAnsi="Arial Black"/>
          <w:b/>
          <w:sz w:val="24"/>
          <w:szCs w:val="24"/>
        </w:rPr>
        <w:t>6</w:t>
      </w:r>
      <w:r w:rsidRPr="00EF1133">
        <w:rPr>
          <w:rFonts w:ascii="Arial Black" w:hAnsi="Arial Black"/>
          <w:b/>
          <w:sz w:val="24"/>
          <w:szCs w:val="24"/>
        </w:rPr>
        <w:t>-</w:t>
      </w:r>
      <w:r>
        <w:rPr>
          <w:rFonts w:ascii="Arial Black" w:hAnsi="Arial Black"/>
          <w:b/>
          <w:sz w:val="24"/>
          <w:szCs w:val="24"/>
        </w:rPr>
        <w:t>9</w:t>
      </w:r>
    </w:p>
    <w:p w14:paraId="29350A44" w14:textId="7CD59645" w:rsidR="00F326E5" w:rsidRPr="00732C84" w:rsidRDefault="00F326E5" w:rsidP="00F326E5">
      <w:pPr>
        <w:rPr>
          <w:rFonts w:ascii="Arial Black" w:hAnsi="Arial Black"/>
          <w:sz w:val="28"/>
          <w:szCs w:val="28"/>
        </w:rPr>
      </w:pPr>
      <w:bookmarkStart w:id="267" w:name="_Hlk7343376"/>
      <w:r w:rsidRPr="00732C84">
        <w:rPr>
          <w:rFonts w:ascii="Arial Black" w:hAnsi="Arial Black"/>
          <w:sz w:val="28"/>
          <w:szCs w:val="28"/>
        </w:rPr>
        <w:t>MD: P</w:t>
      </w:r>
      <w:r>
        <w:rPr>
          <w:rFonts w:ascii="Arial Black" w:hAnsi="Arial Black"/>
          <w:sz w:val="28"/>
          <w:szCs w:val="28"/>
        </w:rPr>
        <w:t xml:space="preserve">ARAMEDIC WTH DEGENERATIVE KNEE TEARS – JURY FOUND WORK RELATED – COURT UPHOLDS </w:t>
      </w:r>
    </w:p>
    <w:p w14:paraId="54012B00" w14:textId="77777777" w:rsidR="009F1927" w:rsidRDefault="00F326E5" w:rsidP="00F326E5">
      <w:pPr>
        <w:rPr>
          <w:rFonts w:ascii="Times New Roman" w:hAnsi="Times New Roman"/>
          <w:sz w:val="24"/>
          <w:szCs w:val="24"/>
        </w:rPr>
      </w:pPr>
      <w:r w:rsidRPr="009F1927">
        <w:rPr>
          <w:rFonts w:ascii="Times New Roman" w:hAnsi="Times New Roman"/>
          <w:sz w:val="24"/>
          <w:szCs w:val="24"/>
        </w:rPr>
        <w:t xml:space="preserve">On Aug. 30, 2018, in </w:t>
      </w:r>
      <w:r w:rsidRPr="009F1927">
        <w:rPr>
          <w:rFonts w:ascii="Times New Roman" w:hAnsi="Times New Roman"/>
          <w:sz w:val="24"/>
          <w:szCs w:val="24"/>
          <w:u w:val="single"/>
        </w:rPr>
        <w:t>Baltimore County v. Michael Quinlan</w:t>
      </w:r>
      <w:r w:rsidRPr="009F1927">
        <w:rPr>
          <w:rFonts w:ascii="Times New Roman" w:hAnsi="Times New Roman"/>
          <w:sz w:val="24"/>
          <w:szCs w:val="24"/>
        </w:rPr>
        <w:t xml:space="preserve">, the Court </w:t>
      </w:r>
      <w:proofErr w:type="gramStart"/>
      <w:r w:rsidRPr="009F1927">
        <w:rPr>
          <w:rFonts w:ascii="Times New Roman" w:hAnsi="Times New Roman"/>
          <w:sz w:val="24"/>
          <w:szCs w:val="24"/>
        </w:rPr>
        <w:t>Of</w:t>
      </w:r>
      <w:proofErr w:type="gramEnd"/>
      <w:r w:rsidRPr="009F1927">
        <w:rPr>
          <w:rFonts w:ascii="Times New Roman" w:hAnsi="Times New Roman"/>
          <w:sz w:val="24"/>
          <w:szCs w:val="24"/>
        </w:rPr>
        <w:t xml:space="preserve"> Special Appeals </w:t>
      </w:r>
      <w:proofErr w:type="gramStart"/>
      <w:r w:rsidRPr="009F1927">
        <w:rPr>
          <w:rFonts w:ascii="Times New Roman" w:hAnsi="Times New Roman"/>
          <w:sz w:val="24"/>
          <w:szCs w:val="24"/>
        </w:rPr>
        <w:t>Of</w:t>
      </w:r>
      <w:proofErr w:type="gramEnd"/>
      <w:r w:rsidRPr="009F1927">
        <w:rPr>
          <w:rFonts w:ascii="Times New Roman" w:hAnsi="Times New Roman"/>
          <w:sz w:val="24"/>
          <w:szCs w:val="24"/>
        </w:rPr>
        <w:t xml:space="preserve"> Maryland, held (3 to 0) that his menisci tears are work related.  The Court wrote:  </w:t>
      </w:r>
    </w:p>
    <w:p w14:paraId="54B01CF0" w14:textId="7D7386A4" w:rsidR="00F326E5" w:rsidRPr="009F1927" w:rsidRDefault="00F326E5" w:rsidP="009F1927">
      <w:pPr>
        <w:ind w:left="720"/>
        <w:rPr>
          <w:rFonts w:ascii="Times New Roman" w:eastAsia="Times New Roman" w:hAnsi="Times New Roman"/>
          <w:b/>
          <w:sz w:val="24"/>
          <w:szCs w:val="24"/>
        </w:rPr>
      </w:pPr>
      <w:r w:rsidRPr="009F1927">
        <w:rPr>
          <w:rFonts w:ascii="Times New Roman" w:hAnsi="Times New Roman"/>
          <w:sz w:val="24"/>
          <w:szCs w:val="24"/>
        </w:rPr>
        <w:t>“</w:t>
      </w:r>
      <w:r w:rsidRPr="009F1927">
        <w:rPr>
          <w:rFonts w:ascii="Times New Roman" w:eastAsia="Times New Roman" w:hAnsi="Times New Roman"/>
          <w:sz w:val="24"/>
          <w:szCs w:val="24"/>
        </w:rPr>
        <w:t>In sum, Mr. Quinlan met the statutory requirements of LE § 9-502(d)(1) by establishing at trial that the degenerative menisci tears were an occupational disease through testimony that showed That repetitive kneeling and squatting is (1) a regular part of a paramedic’s job and (2) a risk factor for developing menisci tears, which Dr. Cochran explained are ‘part of the continuum of osteoarthritis. ‘…. This was sufficient evidence for the jury to determine that, ‘but for the work-related activities[,]’ his condition would not have developed…. We will not second guess the jury’s fact finding on appeal.”</w:t>
      </w:r>
      <w:r w:rsidR="009F1927">
        <w:rPr>
          <w:rFonts w:ascii="Times New Roman" w:eastAsia="Times New Roman" w:hAnsi="Times New Roman"/>
          <w:sz w:val="24"/>
          <w:szCs w:val="24"/>
        </w:rPr>
        <w:t xml:space="preserve"> </w:t>
      </w:r>
      <w:hyperlink r:id="rId1327" w:history="1">
        <w:r w:rsidRPr="009F1927">
          <w:rPr>
            <w:rStyle w:val="Hyperlink"/>
            <w:rFonts w:ascii="Times New Roman" w:hAnsi="Times New Roman"/>
            <w:sz w:val="24"/>
            <w:szCs w:val="24"/>
          </w:rPr>
          <w:t>https://www.courts.state.md.us/data/opinions/cosa/2018/0319s17.pdf</w:t>
        </w:r>
      </w:hyperlink>
      <w:r w:rsidRPr="009F1927">
        <w:rPr>
          <w:rFonts w:ascii="Times New Roman" w:eastAsia="Times New Roman" w:hAnsi="Times New Roman"/>
          <w:b/>
          <w:sz w:val="24"/>
          <w:szCs w:val="24"/>
        </w:rPr>
        <w:t xml:space="preserve"> </w:t>
      </w:r>
    </w:p>
    <w:p w14:paraId="035305B9" w14:textId="77777777" w:rsidR="00F326E5" w:rsidRPr="009F1927" w:rsidRDefault="00F326E5" w:rsidP="00F326E5">
      <w:pPr>
        <w:rPr>
          <w:rFonts w:ascii="Times New Roman" w:eastAsia="Times New Roman" w:hAnsi="Times New Roman"/>
          <w:b/>
          <w:sz w:val="24"/>
          <w:szCs w:val="24"/>
        </w:rPr>
      </w:pPr>
      <w:r w:rsidRPr="009F1927">
        <w:rPr>
          <w:rFonts w:ascii="Times New Roman" w:eastAsia="Times New Roman" w:hAnsi="Times New Roman"/>
          <w:b/>
          <w:sz w:val="24"/>
          <w:szCs w:val="24"/>
        </w:rPr>
        <w:t>Legal Lessons Learned:  Expert testimony particularly critical for claims involving degenerative knee or other similar conditions.</w:t>
      </w:r>
    </w:p>
    <w:bookmarkEnd w:id="267"/>
    <w:p w14:paraId="230F3837" w14:textId="77777777" w:rsidR="00F326E5" w:rsidRPr="00FE294E" w:rsidRDefault="00F326E5" w:rsidP="00F326E5">
      <w:pPr>
        <w:rPr>
          <w:rFonts w:eastAsia="Times New Roman"/>
          <w:sz w:val="24"/>
          <w:szCs w:val="24"/>
        </w:rPr>
      </w:pPr>
    </w:p>
    <w:p w14:paraId="275477DC" w14:textId="62C07030" w:rsidR="005353F2" w:rsidRDefault="00EF1133" w:rsidP="00EF1133">
      <w:pPr>
        <w:rPr>
          <w:sz w:val="24"/>
          <w:szCs w:val="24"/>
        </w:rPr>
      </w:pPr>
      <w:bookmarkStart w:id="268" w:name="_Hlk7343415"/>
      <w:r>
        <w:rPr>
          <w:rFonts w:ascii="Arial Black" w:hAnsi="Arial Black"/>
          <w:b/>
          <w:sz w:val="24"/>
          <w:szCs w:val="24"/>
        </w:rPr>
        <w:t>6</w:t>
      </w:r>
      <w:r w:rsidRPr="00EF1133">
        <w:rPr>
          <w:rFonts w:ascii="Arial Black" w:hAnsi="Arial Black"/>
          <w:b/>
          <w:sz w:val="24"/>
          <w:szCs w:val="24"/>
        </w:rPr>
        <w:t>-</w:t>
      </w:r>
      <w:r>
        <w:rPr>
          <w:rFonts w:ascii="Arial Black" w:hAnsi="Arial Black"/>
          <w:b/>
          <w:sz w:val="24"/>
          <w:szCs w:val="24"/>
        </w:rPr>
        <w:t>8</w:t>
      </w:r>
    </w:p>
    <w:p w14:paraId="19EC5DB1" w14:textId="28F2E275" w:rsidR="00F326E5" w:rsidRPr="008A5B80" w:rsidRDefault="00F326E5" w:rsidP="00F326E5">
      <w:pPr>
        <w:pStyle w:val="NoSpacing"/>
        <w:rPr>
          <w:rFonts w:ascii="Arial Black" w:hAnsi="Arial Black"/>
          <w:sz w:val="24"/>
          <w:szCs w:val="24"/>
        </w:rPr>
      </w:pPr>
      <w:r w:rsidRPr="00732C84">
        <w:rPr>
          <w:rFonts w:ascii="Arial Black" w:hAnsi="Arial Black"/>
          <w:b/>
          <w:sz w:val="28"/>
          <w:szCs w:val="28"/>
        </w:rPr>
        <w:t xml:space="preserve">LA: </w:t>
      </w:r>
      <w:r>
        <w:rPr>
          <w:rFonts w:ascii="Arial Black" w:hAnsi="Arial Black"/>
          <w:b/>
          <w:sz w:val="28"/>
          <w:szCs w:val="28"/>
        </w:rPr>
        <w:t xml:space="preserve">FREE SPEECH CASE </w:t>
      </w:r>
      <w:r w:rsidR="005353F2">
        <w:rPr>
          <w:rFonts w:ascii="Arial Black" w:hAnsi="Arial Black"/>
          <w:b/>
          <w:sz w:val="28"/>
          <w:szCs w:val="28"/>
        </w:rPr>
        <w:t xml:space="preserve">NOT DISMISSED </w:t>
      </w:r>
      <w:r>
        <w:rPr>
          <w:rFonts w:ascii="Arial Black" w:hAnsi="Arial Black"/>
          <w:b/>
          <w:sz w:val="28"/>
          <w:szCs w:val="28"/>
        </w:rPr>
        <w:t xml:space="preserve">- TWO PARAMEDICS FIRED AFTER LETTER TO BOARD ABOUT MGT </w:t>
      </w:r>
      <w:r w:rsidRPr="008A5B80">
        <w:rPr>
          <w:sz w:val="24"/>
          <w:szCs w:val="24"/>
        </w:rPr>
        <w:t>[also filed, Chap. 13]</w:t>
      </w:r>
    </w:p>
    <w:p w14:paraId="23B2BDC5" w14:textId="77777777" w:rsidR="009F1927" w:rsidRDefault="00F326E5" w:rsidP="00F326E5">
      <w:pPr>
        <w:rPr>
          <w:rFonts w:ascii="Times New Roman" w:hAnsi="Times New Roman"/>
          <w:sz w:val="24"/>
          <w:szCs w:val="24"/>
        </w:rPr>
      </w:pPr>
      <w:r w:rsidRPr="009F1927">
        <w:rPr>
          <w:rFonts w:ascii="Times New Roman" w:hAnsi="Times New Roman"/>
          <w:sz w:val="24"/>
          <w:szCs w:val="24"/>
        </w:rPr>
        <w:t xml:space="preserve">On July 18, 2018, in </w:t>
      </w:r>
      <w:r w:rsidRPr="009F1927">
        <w:rPr>
          <w:rFonts w:ascii="Times New Roman" w:hAnsi="Times New Roman"/>
          <w:sz w:val="24"/>
          <w:szCs w:val="24"/>
          <w:u w:val="single"/>
        </w:rPr>
        <w:t>Patrick Alan Benfield &amp; Brian Warren v. Joe Magee, et al</w:t>
      </w:r>
      <w:r w:rsidRPr="009F1927">
        <w:rPr>
          <w:rFonts w:ascii="Times New Roman" w:hAnsi="Times New Roman"/>
          <w:sz w:val="24"/>
          <w:szCs w:val="24"/>
        </w:rPr>
        <w:t xml:space="preserve">., U.S. District Court Judge Elizabeth Foote, Western District of Louisiana, held that a lawsuit by two paramedics fired by Desoto Parish EMS may proceed to trial.  They were fired after Warren wrote a letter to a member of the Desoto Parish Police Jury (they </w:t>
      </w:r>
      <w:proofErr w:type="gramStart"/>
      <w:r w:rsidRPr="009F1927">
        <w:rPr>
          <w:rFonts w:ascii="Times New Roman" w:hAnsi="Times New Roman"/>
          <w:sz w:val="24"/>
          <w:szCs w:val="24"/>
        </w:rPr>
        <w:t>appoint</w:t>
      </w:r>
      <w:proofErr w:type="gramEnd"/>
      <w:r w:rsidRPr="009F1927">
        <w:rPr>
          <w:rFonts w:ascii="Times New Roman" w:hAnsi="Times New Roman"/>
          <w:sz w:val="24"/>
          <w:szCs w:val="24"/>
        </w:rPr>
        <w:t xml:space="preserve"> the Board of Commissioners of the Desoto Parish EMS).   The Judge ruled:</w:t>
      </w:r>
    </w:p>
    <w:p w14:paraId="0B96C184" w14:textId="1B270064" w:rsidR="00F326E5" w:rsidRPr="009F1927" w:rsidRDefault="00F326E5" w:rsidP="009F1927">
      <w:pPr>
        <w:ind w:left="720"/>
        <w:rPr>
          <w:rFonts w:ascii="Times New Roman" w:hAnsi="Times New Roman"/>
          <w:sz w:val="24"/>
          <w:szCs w:val="24"/>
        </w:rPr>
      </w:pPr>
      <w:r w:rsidRPr="009F1927">
        <w:rPr>
          <w:rFonts w:ascii="Times New Roman" w:hAnsi="Times New Roman"/>
          <w:sz w:val="24"/>
          <w:szCs w:val="24"/>
        </w:rPr>
        <w:lastRenderedPageBreak/>
        <w:t xml:space="preserve">“The motion [to dismiss] is DENIED as to Warren’s free speech claim because the facts alleged establish that his letter was protected speech.”  </w:t>
      </w:r>
      <w:hyperlink r:id="rId1328" w:history="1">
        <w:r w:rsidRPr="009F1927">
          <w:rPr>
            <w:rStyle w:val="Hyperlink"/>
            <w:rFonts w:ascii="Times New Roman" w:hAnsi="Times New Roman"/>
            <w:sz w:val="24"/>
            <w:szCs w:val="24"/>
          </w:rPr>
          <w:t>https://cases.justia.com/federal/district-courts/louisiana/lawdce/5:2018cv00034/160852/18/0.pdf?ts=1532079100</w:t>
        </w:r>
      </w:hyperlink>
    </w:p>
    <w:p w14:paraId="318AA611" w14:textId="77777777" w:rsidR="00F326E5" w:rsidRPr="009F1927" w:rsidRDefault="00F326E5" w:rsidP="00F326E5">
      <w:pPr>
        <w:rPr>
          <w:rFonts w:ascii="Times New Roman" w:hAnsi="Times New Roman"/>
          <w:b/>
          <w:sz w:val="24"/>
          <w:szCs w:val="24"/>
        </w:rPr>
      </w:pPr>
      <w:r w:rsidRPr="009F1927">
        <w:rPr>
          <w:rFonts w:ascii="Times New Roman" w:hAnsi="Times New Roman"/>
          <w:b/>
          <w:sz w:val="24"/>
          <w:szCs w:val="24"/>
        </w:rPr>
        <w:t xml:space="preserve">Legal Lessons Learned: First Amendment </w:t>
      </w:r>
      <w:proofErr w:type="gramStart"/>
      <w:r w:rsidRPr="009F1927">
        <w:rPr>
          <w:rFonts w:ascii="Times New Roman" w:hAnsi="Times New Roman"/>
          <w:b/>
          <w:sz w:val="24"/>
          <w:szCs w:val="24"/>
        </w:rPr>
        <w:t>free speech</w:t>
      </w:r>
      <w:proofErr w:type="gramEnd"/>
      <w:r w:rsidRPr="009F1927">
        <w:rPr>
          <w:rFonts w:ascii="Times New Roman" w:hAnsi="Times New Roman"/>
          <w:b/>
          <w:sz w:val="24"/>
          <w:szCs w:val="24"/>
        </w:rPr>
        <w:t xml:space="preserve"> cases are </w:t>
      </w:r>
      <w:proofErr w:type="gramStart"/>
      <w:r w:rsidRPr="009F1927">
        <w:rPr>
          <w:rFonts w:ascii="Times New Roman" w:hAnsi="Times New Roman"/>
          <w:b/>
          <w:sz w:val="24"/>
          <w:szCs w:val="24"/>
        </w:rPr>
        <w:t>increasing</w:t>
      </w:r>
      <w:proofErr w:type="gramEnd"/>
      <w:r w:rsidRPr="009F1927">
        <w:rPr>
          <w:rFonts w:ascii="Times New Roman" w:hAnsi="Times New Roman"/>
          <w:b/>
          <w:sz w:val="24"/>
          <w:szCs w:val="24"/>
        </w:rPr>
        <w:t xml:space="preserve"> </w:t>
      </w:r>
      <w:proofErr w:type="gramStart"/>
      <w:r w:rsidRPr="009F1927">
        <w:rPr>
          <w:rFonts w:ascii="Times New Roman" w:hAnsi="Times New Roman"/>
          <w:b/>
          <w:sz w:val="24"/>
          <w:szCs w:val="24"/>
        </w:rPr>
        <w:t>being permitted</w:t>
      </w:r>
      <w:proofErr w:type="gramEnd"/>
      <w:r w:rsidRPr="009F1927">
        <w:rPr>
          <w:rFonts w:ascii="Times New Roman" w:hAnsi="Times New Roman"/>
          <w:b/>
          <w:sz w:val="24"/>
          <w:szCs w:val="24"/>
        </w:rPr>
        <w:t xml:space="preserve"> to go to the jury.  Fire &amp; EMS Departments should thoroughly document reasons for termination, including employees who serve “at will.”</w:t>
      </w:r>
    </w:p>
    <w:bookmarkEnd w:id="268"/>
    <w:p w14:paraId="2F11AE19" w14:textId="77777777" w:rsidR="00F326E5" w:rsidRPr="0002048B" w:rsidRDefault="00F326E5" w:rsidP="00F326E5">
      <w:pPr>
        <w:pStyle w:val="NoSpacing"/>
        <w:rPr>
          <w:b/>
          <w:sz w:val="24"/>
          <w:szCs w:val="24"/>
        </w:rPr>
      </w:pPr>
      <w:r>
        <w:rPr>
          <w:b/>
          <w:sz w:val="24"/>
          <w:szCs w:val="24"/>
        </w:rPr>
        <w:t xml:space="preserve"> </w:t>
      </w:r>
    </w:p>
    <w:p w14:paraId="27F63C96" w14:textId="5DB5F1BD" w:rsidR="00EF1133" w:rsidRDefault="00EF1133" w:rsidP="00EF1133">
      <w:pPr>
        <w:rPr>
          <w:rFonts w:ascii="Arial Black" w:hAnsi="Arial Black"/>
          <w:b/>
          <w:sz w:val="24"/>
          <w:szCs w:val="24"/>
        </w:rPr>
      </w:pPr>
      <w:r>
        <w:rPr>
          <w:rFonts w:ascii="Arial Black" w:hAnsi="Arial Black"/>
          <w:b/>
          <w:sz w:val="24"/>
          <w:szCs w:val="24"/>
        </w:rPr>
        <w:t>6-7</w:t>
      </w:r>
    </w:p>
    <w:p w14:paraId="37E32AA7" w14:textId="08E6730E" w:rsidR="00F326E5" w:rsidRPr="009F1927" w:rsidRDefault="00F326E5" w:rsidP="00F326E5">
      <w:pPr>
        <w:pStyle w:val="NoSpacing"/>
        <w:rPr>
          <w:rFonts w:ascii="Times New Roman" w:hAnsi="Times New Roman"/>
          <w:sz w:val="24"/>
          <w:szCs w:val="24"/>
        </w:rPr>
      </w:pPr>
      <w:bookmarkStart w:id="269" w:name="_Hlk7343500"/>
      <w:r w:rsidRPr="008A5B80">
        <w:rPr>
          <w:rFonts w:ascii="Arial Black" w:hAnsi="Arial Black"/>
          <w:b/>
          <w:sz w:val="28"/>
          <w:szCs w:val="28"/>
        </w:rPr>
        <w:t xml:space="preserve">WY:  </w:t>
      </w:r>
      <w:r>
        <w:rPr>
          <w:rFonts w:ascii="Arial Black" w:hAnsi="Arial Black"/>
          <w:b/>
          <w:sz w:val="28"/>
          <w:szCs w:val="28"/>
        </w:rPr>
        <w:t xml:space="preserve">VOLUNTEER FIREFIGHTERS MAY BE IN UNION – STATE STATUTE </w:t>
      </w:r>
      <w:r w:rsidRPr="009F1927">
        <w:rPr>
          <w:rFonts w:ascii="Times New Roman" w:hAnsi="Times New Roman"/>
          <w:sz w:val="24"/>
          <w:szCs w:val="24"/>
        </w:rPr>
        <w:t>[also filed, Chap. 18]</w:t>
      </w:r>
    </w:p>
    <w:p w14:paraId="20E81FA9" w14:textId="4876AB86" w:rsidR="00F326E5" w:rsidRDefault="00F326E5" w:rsidP="00F326E5">
      <w:pPr>
        <w:pStyle w:val="NoSpacing"/>
        <w:rPr>
          <w:rFonts w:ascii="Times New Roman" w:hAnsi="Times New Roman"/>
          <w:bCs/>
          <w:sz w:val="24"/>
          <w:szCs w:val="24"/>
        </w:rPr>
      </w:pPr>
      <w:r w:rsidRPr="009F1927">
        <w:rPr>
          <w:rFonts w:ascii="Times New Roman" w:hAnsi="Times New Roman"/>
          <w:bCs/>
          <w:sz w:val="24"/>
          <w:szCs w:val="24"/>
        </w:rPr>
        <w:t xml:space="preserve">On July 6, 2018, in </w:t>
      </w:r>
      <w:r w:rsidRPr="009F1927">
        <w:rPr>
          <w:rFonts w:ascii="Times New Roman" w:hAnsi="Times New Roman"/>
          <w:bCs/>
          <w:sz w:val="24"/>
          <w:szCs w:val="24"/>
          <w:u w:val="single"/>
        </w:rPr>
        <w:t>IAFF Local 5058 v. Gillette / Wright / Campbell County Fire Protection Joint Powers Board, and IAFF Local 5067 v. Teton County and Town of Jackson</w:t>
      </w:r>
      <w:r w:rsidRPr="009F1927">
        <w:rPr>
          <w:rFonts w:ascii="Times New Roman" w:hAnsi="Times New Roman"/>
          <w:bCs/>
          <w:sz w:val="24"/>
          <w:szCs w:val="24"/>
        </w:rPr>
        <w:t xml:space="preserve">, the Wyoming Supreme Court held (5 to 0) that the two new unions were not properly elected, and the Fire Districts did not need to negotiate collective bargaining agreements, because the “volunteer” and “pool” firefighters all receive pay for making runs.  </w:t>
      </w:r>
    </w:p>
    <w:p w14:paraId="0B9F17DD" w14:textId="77777777" w:rsidR="009F1927" w:rsidRPr="009F1927" w:rsidRDefault="009F1927" w:rsidP="00F326E5">
      <w:pPr>
        <w:pStyle w:val="NoSpacing"/>
        <w:rPr>
          <w:rFonts w:ascii="Times New Roman" w:hAnsi="Times New Roman"/>
          <w:bCs/>
          <w:sz w:val="24"/>
          <w:szCs w:val="24"/>
        </w:rPr>
      </w:pPr>
    </w:p>
    <w:p w14:paraId="04136BD1" w14:textId="77777777" w:rsidR="00F326E5" w:rsidRPr="009F1927" w:rsidRDefault="00F326E5" w:rsidP="00F326E5">
      <w:pPr>
        <w:ind w:left="720"/>
        <w:rPr>
          <w:rFonts w:ascii="Times New Roman" w:hAnsi="Times New Roman"/>
          <w:bCs/>
          <w:sz w:val="24"/>
          <w:szCs w:val="24"/>
        </w:rPr>
      </w:pPr>
      <w:r w:rsidRPr="009F1927">
        <w:rPr>
          <w:rFonts w:ascii="Times New Roman" w:eastAsia="Times New Roman" w:hAnsi="Times New Roman"/>
          <w:sz w:val="24"/>
          <w:szCs w:val="24"/>
        </w:rPr>
        <w:t xml:space="preserve">“The district courts in both cases held that the Wyoming Collective Bargaining for Fire Fighters Act’s definition of ‘fire fighters’ includes volunteers because they are ‘paid members of . . . regularly constituted fire department[s].’ Consequently, the district courts concluded that IAFF Local 5058 and IAFF Local 5067, which were formed by and consist of only full-time, career fire fighters, were not properly constituted bargaining units under the Act. We affirm. </w:t>
      </w:r>
      <w:hyperlink r:id="rId1329" w:history="1">
        <w:r w:rsidRPr="009F1927">
          <w:rPr>
            <w:rStyle w:val="Hyperlink"/>
            <w:rFonts w:ascii="Times New Roman" w:hAnsi="Times New Roman"/>
            <w:sz w:val="24"/>
            <w:szCs w:val="24"/>
          </w:rPr>
          <w:t>https://services.courts.state.wy.us/Documents/Opinions/2018WY75.pdf</w:t>
        </w:r>
      </w:hyperlink>
      <w:r w:rsidRPr="009F1927">
        <w:rPr>
          <w:rFonts w:ascii="Times New Roman" w:hAnsi="Times New Roman"/>
          <w:bCs/>
          <w:sz w:val="24"/>
          <w:szCs w:val="24"/>
        </w:rPr>
        <w:t xml:space="preserve"> </w:t>
      </w:r>
    </w:p>
    <w:p w14:paraId="781BE719" w14:textId="77777777" w:rsidR="00F326E5" w:rsidRPr="009F1927" w:rsidRDefault="00F326E5" w:rsidP="00F326E5">
      <w:pPr>
        <w:rPr>
          <w:rFonts w:ascii="Times New Roman" w:hAnsi="Times New Roman"/>
          <w:b/>
          <w:sz w:val="24"/>
          <w:szCs w:val="24"/>
        </w:rPr>
      </w:pPr>
      <w:r w:rsidRPr="009F1927">
        <w:rPr>
          <w:rFonts w:ascii="Times New Roman" w:hAnsi="Times New Roman"/>
          <w:b/>
          <w:sz w:val="24"/>
          <w:szCs w:val="24"/>
        </w:rPr>
        <w:t>Legal Lessons Learned:  Drafting of legislative language is very important, along with creating a clear “legislative history” to avoid any question about whether volunteer and part-time firefighters can be covered in a collective bargaining agreement.</w:t>
      </w:r>
    </w:p>
    <w:bookmarkEnd w:id="269"/>
    <w:p w14:paraId="617D906F" w14:textId="77777777" w:rsidR="00F326E5" w:rsidRDefault="00F326E5" w:rsidP="00F326E5">
      <w:pPr>
        <w:pStyle w:val="NoSpacing"/>
        <w:rPr>
          <w:rFonts w:eastAsia="Times New Roman"/>
          <w:sz w:val="24"/>
          <w:szCs w:val="24"/>
        </w:rPr>
      </w:pPr>
    </w:p>
    <w:p w14:paraId="291AD0F6" w14:textId="77777777" w:rsidR="00F326E5" w:rsidRDefault="00F326E5" w:rsidP="00F326E5">
      <w:pPr>
        <w:pStyle w:val="NoSpacing"/>
        <w:rPr>
          <w:rFonts w:eastAsia="Times New Roman"/>
          <w:sz w:val="24"/>
          <w:szCs w:val="24"/>
        </w:rPr>
      </w:pPr>
    </w:p>
    <w:p w14:paraId="75A9B025" w14:textId="77777777" w:rsidR="00EF1133" w:rsidRDefault="00EF1133" w:rsidP="00F326E5">
      <w:pPr>
        <w:pStyle w:val="NoSpacing"/>
        <w:rPr>
          <w:rFonts w:ascii="Arial Black" w:eastAsia="Times New Roman" w:hAnsi="Arial Black"/>
          <w:sz w:val="28"/>
          <w:szCs w:val="28"/>
        </w:rPr>
      </w:pPr>
      <w:bookmarkStart w:id="270" w:name="_Hlk7343549"/>
    </w:p>
    <w:p w14:paraId="50DA2D35" w14:textId="47C692B0" w:rsidR="00EF1133" w:rsidRDefault="00EF1133" w:rsidP="00EF1133">
      <w:pPr>
        <w:rPr>
          <w:rFonts w:ascii="Arial Black" w:eastAsia="Times New Roman" w:hAnsi="Arial Black"/>
          <w:sz w:val="28"/>
          <w:szCs w:val="28"/>
        </w:rPr>
      </w:pPr>
      <w:r>
        <w:rPr>
          <w:rFonts w:ascii="Arial Black" w:hAnsi="Arial Black"/>
          <w:b/>
          <w:sz w:val="24"/>
          <w:szCs w:val="24"/>
        </w:rPr>
        <w:t>6</w:t>
      </w:r>
      <w:r w:rsidRPr="00EF1133">
        <w:rPr>
          <w:rFonts w:ascii="Arial Black" w:hAnsi="Arial Black"/>
          <w:b/>
          <w:sz w:val="24"/>
          <w:szCs w:val="24"/>
        </w:rPr>
        <w:t>-</w:t>
      </w:r>
      <w:r>
        <w:rPr>
          <w:rFonts w:ascii="Arial Black" w:hAnsi="Arial Black"/>
          <w:b/>
          <w:sz w:val="24"/>
          <w:szCs w:val="24"/>
        </w:rPr>
        <w:t>6</w:t>
      </w:r>
    </w:p>
    <w:p w14:paraId="04CF30A8" w14:textId="48932AB5" w:rsidR="00F326E5" w:rsidRPr="008A5B80" w:rsidRDefault="00F326E5" w:rsidP="00F326E5">
      <w:pPr>
        <w:pStyle w:val="NoSpacing"/>
        <w:rPr>
          <w:rFonts w:ascii="Arial Black" w:eastAsia="Times New Roman" w:hAnsi="Arial Black"/>
          <w:sz w:val="28"/>
          <w:szCs w:val="28"/>
        </w:rPr>
      </w:pPr>
      <w:r w:rsidRPr="008A5B80">
        <w:rPr>
          <w:rFonts w:ascii="Arial Black" w:eastAsia="Times New Roman" w:hAnsi="Arial Black"/>
          <w:sz w:val="28"/>
          <w:szCs w:val="28"/>
        </w:rPr>
        <w:t>NJ: BOROUGH CANNOT ENFORCE $5,000 PENALTY – PROB</w:t>
      </w:r>
      <w:r>
        <w:rPr>
          <w:rFonts w:ascii="Arial Black" w:eastAsia="Times New Roman" w:hAnsi="Arial Black"/>
          <w:sz w:val="28"/>
          <w:szCs w:val="28"/>
        </w:rPr>
        <w:t xml:space="preserve">. POLICE OFFICER </w:t>
      </w:r>
      <w:r w:rsidRPr="008A5B80">
        <w:rPr>
          <w:rFonts w:ascii="Arial Black" w:eastAsia="Times New Roman" w:hAnsi="Arial Black"/>
          <w:sz w:val="28"/>
          <w:szCs w:val="28"/>
        </w:rPr>
        <w:t xml:space="preserve">JOINS ANOTHER PD </w:t>
      </w:r>
    </w:p>
    <w:p w14:paraId="445E9BAE" w14:textId="77777777" w:rsidR="009F1927" w:rsidRDefault="00F326E5" w:rsidP="00F326E5">
      <w:pPr>
        <w:pStyle w:val="NoSpacing"/>
        <w:rPr>
          <w:rFonts w:ascii="Times New Roman" w:eastAsia="Times New Roman" w:hAnsi="Times New Roman"/>
          <w:sz w:val="24"/>
          <w:szCs w:val="24"/>
        </w:rPr>
      </w:pPr>
      <w:r w:rsidRPr="009F1927">
        <w:rPr>
          <w:rFonts w:ascii="Times New Roman" w:eastAsia="Times New Roman" w:hAnsi="Times New Roman"/>
          <w:sz w:val="24"/>
          <w:szCs w:val="24"/>
        </w:rPr>
        <w:t xml:space="preserve">On June 21, 2018, in </w:t>
      </w:r>
      <w:r w:rsidRPr="009F1927">
        <w:rPr>
          <w:rFonts w:ascii="Times New Roman" w:eastAsia="Times New Roman" w:hAnsi="Times New Roman"/>
          <w:sz w:val="24"/>
          <w:szCs w:val="24"/>
          <w:u w:val="single"/>
        </w:rPr>
        <w:t>Borough of Madison v. Kevin Marhefka</w:t>
      </w:r>
      <w:r w:rsidRPr="009F1927">
        <w:rPr>
          <w:rFonts w:ascii="Times New Roman" w:eastAsia="Times New Roman" w:hAnsi="Times New Roman"/>
          <w:sz w:val="24"/>
          <w:szCs w:val="24"/>
        </w:rPr>
        <w:t xml:space="preserve">, the Superior Court of New Jersey / Appellate Division (2 to 0) held </w:t>
      </w:r>
    </w:p>
    <w:p w14:paraId="1B8A54DB" w14:textId="545B0F16" w:rsidR="00F326E5" w:rsidRPr="009F1927" w:rsidRDefault="00F326E5" w:rsidP="009F1927">
      <w:pPr>
        <w:pStyle w:val="NoSpacing"/>
        <w:ind w:left="720"/>
        <w:rPr>
          <w:rFonts w:ascii="Times New Roman" w:eastAsia="Times New Roman" w:hAnsi="Times New Roman"/>
          <w:sz w:val="24"/>
          <w:szCs w:val="24"/>
        </w:rPr>
      </w:pPr>
      <w:r w:rsidRPr="009F1927">
        <w:rPr>
          <w:rFonts w:ascii="Times New Roman" w:eastAsia="Times New Roman" w:hAnsi="Times New Roman"/>
          <w:sz w:val="24"/>
          <w:szCs w:val="24"/>
        </w:rPr>
        <w:t xml:space="preserve">“As the Borough's complaint sought only to collect that unenforceable $5000 penalty, the complaint was properly dismissed with prejudice regardless of whether the penalty was negotiated with the PBA.” </w:t>
      </w:r>
      <w:hyperlink r:id="rId1330" w:history="1">
        <w:r w:rsidRPr="009F1927">
          <w:rPr>
            <w:rStyle w:val="Hyperlink"/>
            <w:rFonts w:ascii="Times New Roman" w:hAnsi="Times New Roman"/>
            <w:sz w:val="24"/>
            <w:szCs w:val="24"/>
          </w:rPr>
          <w:t>https://www.njcourts.gov/attorneys/assets/opinions/appellate/unpublished/a5206-15.pdf?cacheID=tO9Al6f</w:t>
        </w:r>
      </w:hyperlink>
      <w:r w:rsidRPr="009F1927">
        <w:rPr>
          <w:rFonts w:ascii="Times New Roman" w:eastAsia="Times New Roman" w:hAnsi="Times New Roman"/>
          <w:sz w:val="24"/>
          <w:szCs w:val="24"/>
        </w:rPr>
        <w:t xml:space="preserve"> </w:t>
      </w:r>
    </w:p>
    <w:p w14:paraId="4644B185" w14:textId="77777777" w:rsidR="009F1927" w:rsidRDefault="009F1927" w:rsidP="00F326E5">
      <w:pPr>
        <w:rPr>
          <w:rFonts w:ascii="Times New Roman" w:eastAsia="Times New Roman" w:hAnsi="Times New Roman"/>
          <w:b/>
          <w:sz w:val="24"/>
          <w:szCs w:val="24"/>
        </w:rPr>
      </w:pPr>
    </w:p>
    <w:p w14:paraId="24E61566" w14:textId="6426F9A9" w:rsidR="00F326E5" w:rsidRPr="009F1927" w:rsidRDefault="00F326E5" w:rsidP="00F326E5">
      <w:pPr>
        <w:rPr>
          <w:rFonts w:ascii="Times New Roman" w:eastAsia="Times New Roman" w:hAnsi="Times New Roman"/>
          <w:b/>
          <w:sz w:val="24"/>
          <w:szCs w:val="24"/>
        </w:rPr>
      </w:pPr>
      <w:r w:rsidRPr="009F1927">
        <w:rPr>
          <w:rFonts w:ascii="Times New Roman" w:eastAsia="Times New Roman" w:hAnsi="Times New Roman"/>
          <w:b/>
          <w:sz w:val="24"/>
          <w:szCs w:val="24"/>
        </w:rPr>
        <w:t>Legal Lessons Learned: Penalties for resigning to take a new job are often challenged, and difficult to enforce, as compared to reimbursement for training costs and equipment. Some states impose training costs on the new public employer, such as NJ (2013 statute).</w:t>
      </w:r>
    </w:p>
    <w:p w14:paraId="29CFBA9B" w14:textId="77777777" w:rsidR="00F326E5" w:rsidRPr="00776A71" w:rsidRDefault="00F326E5" w:rsidP="00F326E5">
      <w:pPr>
        <w:pStyle w:val="NormalWeb"/>
        <w:ind w:firstLine="720"/>
        <w:rPr>
          <w:bCs/>
        </w:rPr>
      </w:pPr>
      <w:hyperlink r:id="rId1331" w:history="1">
        <w:r w:rsidRPr="00776A71">
          <w:rPr>
            <w:rStyle w:val="Hyperlink"/>
          </w:rPr>
          <w:t>https://law.justia.com/codes/new-jersey/2013/title-40a/section-40a-14-178/</w:t>
        </w:r>
      </w:hyperlink>
      <w:r w:rsidRPr="00776A71">
        <w:rPr>
          <w:bCs/>
        </w:rPr>
        <w:t xml:space="preserve"> </w:t>
      </w:r>
    </w:p>
    <w:p w14:paraId="213689E7" w14:textId="77777777" w:rsidR="00F326E5" w:rsidRPr="00776A71" w:rsidRDefault="00F326E5" w:rsidP="00F326E5">
      <w:pPr>
        <w:pStyle w:val="NormalWeb"/>
        <w:ind w:left="720"/>
        <w:rPr>
          <w:bCs/>
        </w:rPr>
      </w:pPr>
      <w:r w:rsidRPr="00776A71">
        <w:rPr>
          <w:bCs/>
        </w:rPr>
        <w:t>40A:14-178 Liability for training costs; terms defined.</w:t>
      </w:r>
      <w:r w:rsidRPr="00776A71">
        <w:br/>
      </w:r>
      <w:r w:rsidRPr="00776A71">
        <w:br/>
        <w:t>1. a. Whenever a person who resigned as a member of a county or municipal law enforcement agency is appointed to another county or municipal law enforcement agency, the police department of an educational institution pursuant to P.L.1970, c.211 (C.18A:6-4.2 et seq.), a State law enforcement agency or the New Jersey Transit Police Department pursuant to section 2 of P.L.1989, c.291 (C.27:25-15.1) within 120 days of resignation, and that person held a probationary appointment at the time of resignation or held a permanent appointment for 30 days or less prior to resignation, the county or municipal law enforcement agency, educational institution or State law enforcement agency appointing the person, or the New Jersey Transit Corporation, is liable to the former county or municipal employer, as appropriate, for the total certified costs incurred by the former employer in the examination, hiring, and training of the person.</w:t>
      </w:r>
    </w:p>
    <w:bookmarkEnd w:id="270"/>
    <w:p w14:paraId="00832108" w14:textId="77777777" w:rsidR="005353F2" w:rsidRDefault="005353F2" w:rsidP="00F326E5">
      <w:pPr>
        <w:pStyle w:val="NoSpacing"/>
        <w:rPr>
          <w:sz w:val="24"/>
          <w:szCs w:val="24"/>
        </w:rPr>
      </w:pPr>
    </w:p>
    <w:p w14:paraId="587B0A56" w14:textId="77777777" w:rsidR="00F27CD5" w:rsidRDefault="00F27CD5" w:rsidP="00EF1133">
      <w:pPr>
        <w:rPr>
          <w:rFonts w:ascii="Arial Black" w:hAnsi="Arial Black"/>
          <w:b/>
          <w:sz w:val="24"/>
          <w:szCs w:val="24"/>
        </w:rPr>
      </w:pPr>
    </w:p>
    <w:p w14:paraId="54B7D71C" w14:textId="36AAFB64" w:rsidR="005353F2" w:rsidRDefault="00EF1133" w:rsidP="00EF1133">
      <w:pPr>
        <w:rPr>
          <w:sz w:val="24"/>
          <w:szCs w:val="24"/>
        </w:rPr>
      </w:pPr>
      <w:r>
        <w:rPr>
          <w:rFonts w:ascii="Arial Black" w:hAnsi="Arial Black"/>
          <w:b/>
          <w:sz w:val="24"/>
          <w:szCs w:val="24"/>
        </w:rPr>
        <w:t>6</w:t>
      </w:r>
      <w:r w:rsidRPr="00EF1133">
        <w:rPr>
          <w:rFonts w:ascii="Arial Black" w:hAnsi="Arial Black"/>
          <w:b/>
          <w:sz w:val="24"/>
          <w:szCs w:val="24"/>
        </w:rPr>
        <w:t>-</w:t>
      </w:r>
      <w:r>
        <w:rPr>
          <w:rFonts w:ascii="Arial Black" w:hAnsi="Arial Black"/>
          <w:b/>
          <w:sz w:val="24"/>
          <w:szCs w:val="24"/>
        </w:rPr>
        <w:t>5</w:t>
      </w:r>
    </w:p>
    <w:p w14:paraId="20F0DA8E" w14:textId="77777777" w:rsidR="005353F2" w:rsidRDefault="005353F2" w:rsidP="00F326E5">
      <w:pPr>
        <w:pStyle w:val="NoSpacing"/>
        <w:rPr>
          <w:sz w:val="24"/>
          <w:szCs w:val="24"/>
        </w:rPr>
      </w:pPr>
    </w:p>
    <w:p w14:paraId="4455223C" w14:textId="1025DB87" w:rsidR="00F326E5" w:rsidRDefault="00F326E5" w:rsidP="00F326E5">
      <w:pPr>
        <w:pStyle w:val="NoSpacing"/>
        <w:rPr>
          <w:rFonts w:ascii="Arial Black" w:hAnsi="Arial Black"/>
          <w:b/>
          <w:sz w:val="28"/>
          <w:szCs w:val="28"/>
        </w:rPr>
      </w:pPr>
      <w:bookmarkStart w:id="271" w:name="_Hlk7343575"/>
      <w:r w:rsidRPr="009C2749">
        <w:rPr>
          <w:rFonts w:ascii="Arial Black" w:hAnsi="Arial Black"/>
          <w:b/>
          <w:sz w:val="28"/>
          <w:szCs w:val="28"/>
        </w:rPr>
        <w:t>VA</w:t>
      </w:r>
      <w:r>
        <w:rPr>
          <w:rFonts w:ascii="Arial Black" w:hAnsi="Arial Black"/>
          <w:b/>
          <w:sz w:val="28"/>
          <w:szCs w:val="28"/>
        </w:rPr>
        <w:t xml:space="preserve">: THROAT CANCER – RETIRED FF GETS WORKERS COMP – BUT NOT HEALTH INSURANCE </w:t>
      </w:r>
    </w:p>
    <w:p w14:paraId="0BFC0DE7" w14:textId="757E1C74" w:rsidR="00F326E5" w:rsidRPr="009F1927" w:rsidRDefault="00F326E5" w:rsidP="00F326E5">
      <w:pPr>
        <w:rPr>
          <w:rStyle w:val="Hyperlink"/>
          <w:rFonts w:ascii="Times New Roman" w:hAnsi="Times New Roman"/>
          <w:sz w:val="24"/>
          <w:szCs w:val="24"/>
        </w:rPr>
      </w:pPr>
      <w:r w:rsidRPr="009F1927">
        <w:rPr>
          <w:rFonts w:ascii="Times New Roman" w:eastAsia="Times New Roman" w:hAnsi="Times New Roman"/>
          <w:sz w:val="24"/>
          <w:szCs w:val="24"/>
        </w:rPr>
        <w:t xml:space="preserve">On June 7, 2018, in </w:t>
      </w:r>
      <w:r w:rsidRPr="009F1927">
        <w:rPr>
          <w:rFonts w:ascii="Times New Roman" w:eastAsia="Times New Roman" w:hAnsi="Times New Roman"/>
          <w:sz w:val="24"/>
          <w:szCs w:val="24"/>
          <w:u w:val="single"/>
        </w:rPr>
        <w:t>Eddie R. Jones, Sr. v. Commonwealth of Virginia</w:t>
      </w:r>
      <w:r w:rsidRPr="009F1927">
        <w:rPr>
          <w:rFonts w:ascii="Times New Roman" w:eastAsia="Times New Roman" w:hAnsi="Times New Roman"/>
          <w:sz w:val="24"/>
          <w:szCs w:val="24"/>
        </w:rPr>
        <w:t xml:space="preserve">, the VA Supreme Court (7 to 0) held: “Throat cancer is properly considered an occupational disease which arose out of Jones’s employment. He is entitled to and has been awarded benefits under the Workers’ Compensation Act. However, the occupational disease did not result in a disability while Jones was still carrying out his duties as a firefighter. Therefore, he is not entitled to insurance benefits under Code § 9.1-401(B), because he does not meet the definition of a ‘disabled person’ under the Act.”   </w:t>
      </w:r>
      <w:r w:rsidRPr="009F1927">
        <w:rPr>
          <w:rStyle w:val="Hyperlink"/>
          <w:rFonts w:ascii="Times New Roman" w:hAnsi="Times New Roman"/>
          <w:sz w:val="24"/>
          <w:szCs w:val="24"/>
        </w:rPr>
        <w:t>http://www.courts.state.va.us/opinions/opnscvwp/1170639.pdf</w:t>
      </w:r>
    </w:p>
    <w:p w14:paraId="5FAE139C" w14:textId="77777777" w:rsidR="00F326E5" w:rsidRPr="009F1927" w:rsidRDefault="00F326E5" w:rsidP="00F326E5">
      <w:pPr>
        <w:rPr>
          <w:rFonts w:ascii="Times New Roman" w:eastAsia="Times New Roman" w:hAnsi="Times New Roman"/>
          <w:b/>
          <w:sz w:val="24"/>
          <w:szCs w:val="24"/>
        </w:rPr>
      </w:pPr>
      <w:r w:rsidRPr="009F1927">
        <w:rPr>
          <w:rFonts w:ascii="Times New Roman" w:eastAsia="Times New Roman" w:hAnsi="Times New Roman"/>
          <w:b/>
          <w:sz w:val="24"/>
          <w:szCs w:val="24"/>
        </w:rPr>
        <w:t xml:space="preserve">Legal Lessons Learned: At least 34 states have now enacted statutory presumptions, with wide variety of coverages.  This case illustrates the importance of clear statutory language about disability benefits when cancer is detected after retirement. </w:t>
      </w:r>
    </w:p>
    <w:p w14:paraId="34332675" w14:textId="77777777" w:rsidR="00F326E5" w:rsidRPr="009F1927" w:rsidRDefault="00F326E5" w:rsidP="00F326E5">
      <w:pPr>
        <w:ind w:firstLine="720"/>
        <w:rPr>
          <w:rFonts w:ascii="Times New Roman" w:eastAsia="Times New Roman" w:hAnsi="Times New Roman"/>
          <w:sz w:val="24"/>
          <w:szCs w:val="24"/>
        </w:rPr>
      </w:pPr>
      <w:r w:rsidRPr="009F1927">
        <w:rPr>
          <w:rFonts w:ascii="Times New Roman" w:eastAsia="Times New Roman" w:hAnsi="Times New Roman"/>
          <w:sz w:val="24"/>
          <w:szCs w:val="24"/>
        </w:rPr>
        <w:t xml:space="preserve">See these resources: </w:t>
      </w:r>
    </w:p>
    <w:p w14:paraId="295727BA" w14:textId="77777777" w:rsidR="00F326E5" w:rsidRPr="009F1927" w:rsidRDefault="00F326E5" w:rsidP="00F326E5">
      <w:pPr>
        <w:ind w:firstLine="720"/>
        <w:rPr>
          <w:rStyle w:val="Hyperlink"/>
          <w:rFonts w:ascii="Times New Roman" w:hAnsi="Times New Roman"/>
          <w:sz w:val="24"/>
          <w:szCs w:val="24"/>
        </w:rPr>
      </w:pPr>
      <w:hyperlink r:id="rId1332" w:anchor="contentid=48598" w:history="1">
        <w:r w:rsidRPr="009F1927">
          <w:rPr>
            <w:rStyle w:val="Hyperlink"/>
            <w:rFonts w:ascii="Times New Roman" w:hAnsi="Times New Roman"/>
            <w:sz w:val="24"/>
            <w:szCs w:val="24"/>
          </w:rPr>
          <w:t>http://client.prod.iaff.org/#contentid=48598</w:t>
        </w:r>
      </w:hyperlink>
      <w:r w:rsidRPr="009F1927">
        <w:rPr>
          <w:rStyle w:val="Hyperlink"/>
          <w:rFonts w:ascii="Times New Roman" w:hAnsi="Times New Roman"/>
          <w:sz w:val="24"/>
          <w:szCs w:val="24"/>
        </w:rPr>
        <w:t>;</w:t>
      </w:r>
    </w:p>
    <w:p w14:paraId="0F9BE084" w14:textId="77777777" w:rsidR="00F326E5" w:rsidRPr="009F1927" w:rsidRDefault="00F326E5" w:rsidP="00F326E5">
      <w:pPr>
        <w:ind w:left="720"/>
        <w:rPr>
          <w:rFonts w:ascii="Times New Roman" w:eastAsia="Times New Roman" w:hAnsi="Times New Roman"/>
          <w:sz w:val="24"/>
          <w:szCs w:val="24"/>
        </w:rPr>
      </w:pPr>
      <w:hyperlink r:id="rId1333" w:history="1">
        <w:r w:rsidRPr="009F1927">
          <w:rPr>
            <w:rStyle w:val="Hyperlink"/>
            <w:rFonts w:ascii="Times New Roman" w:hAnsi="Times New Roman"/>
            <w:sz w:val="24"/>
            <w:szCs w:val="24"/>
          </w:rPr>
          <w:t>https://legislature.vermont.gov/assets/Documents/2018/WorkGroups/House%20Commerce/Bills/H.197/H.197~Laura%20Backus%20Hall~NCCI%20White%20Paper%20on%20Firefighter%20Presumptive%20Coverage~3-16-2017.pdf</w:t>
        </w:r>
      </w:hyperlink>
      <w:r w:rsidRPr="009F1927">
        <w:rPr>
          <w:rFonts w:ascii="Times New Roman" w:eastAsia="Times New Roman" w:hAnsi="Times New Roman"/>
          <w:sz w:val="24"/>
          <w:szCs w:val="24"/>
        </w:rPr>
        <w:t xml:space="preserve"> </w:t>
      </w:r>
    </w:p>
    <w:p w14:paraId="6A00E88A" w14:textId="77777777" w:rsidR="00F326E5" w:rsidRPr="009F1927" w:rsidRDefault="00F326E5" w:rsidP="00F326E5">
      <w:pPr>
        <w:ind w:firstLine="720"/>
        <w:rPr>
          <w:rFonts w:ascii="Times New Roman" w:eastAsia="Times New Roman" w:hAnsi="Times New Roman"/>
          <w:sz w:val="24"/>
          <w:szCs w:val="24"/>
        </w:rPr>
      </w:pPr>
      <w:hyperlink r:id="rId1334" w:history="1">
        <w:r w:rsidRPr="009F1927">
          <w:rPr>
            <w:rStyle w:val="Hyperlink"/>
            <w:rFonts w:ascii="Times New Roman" w:hAnsi="Times New Roman"/>
            <w:sz w:val="24"/>
            <w:szCs w:val="24"/>
          </w:rPr>
          <w:t>http://tkolb.net/firereports/presumptionreport2009.pdf</w:t>
        </w:r>
      </w:hyperlink>
      <w:r w:rsidRPr="009F1927">
        <w:rPr>
          <w:rFonts w:ascii="Times New Roman" w:eastAsia="Times New Roman" w:hAnsi="Times New Roman"/>
          <w:sz w:val="24"/>
          <w:szCs w:val="24"/>
        </w:rPr>
        <w:t xml:space="preserve"> </w:t>
      </w:r>
    </w:p>
    <w:p w14:paraId="3FE5E600" w14:textId="77777777" w:rsidR="00F326E5" w:rsidRPr="009F2867" w:rsidRDefault="00F326E5" w:rsidP="00F326E5">
      <w:pPr>
        <w:ind w:left="720"/>
        <w:rPr>
          <w:rFonts w:eastAsia="Times New Roman"/>
          <w:sz w:val="24"/>
          <w:szCs w:val="24"/>
        </w:rPr>
      </w:pPr>
      <w:hyperlink r:id="rId1335" w:history="1">
        <w:r w:rsidRPr="009F2867">
          <w:rPr>
            <w:rStyle w:val="Hyperlink"/>
            <w:sz w:val="24"/>
            <w:szCs w:val="24"/>
          </w:rPr>
          <w:t>https://www.firstrespondercenter.org/cancer/toolsresources/presumptive-legislation-firefighter-cancer-state/</w:t>
        </w:r>
      </w:hyperlink>
      <w:r w:rsidRPr="009F2867">
        <w:rPr>
          <w:rFonts w:eastAsia="Times New Roman"/>
          <w:sz w:val="24"/>
          <w:szCs w:val="24"/>
        </w:rPr>
        <w:t xml:space="preserve"> </w:t>
      </w:r>
    </w:p>
    <w:bookmarkEnd w:id="271"/>
    <w:p w14:paraId="5B39C82D" w14:textId="77777777" w:rsidR="00EF1133" w:rsidRDefault="00EF1133" w:rsidP="00F326E5">
      <w:pPr>
        <w:rPr>
          <w:rFonts w:ascii="Arial Black" w:hAnsi="Arial Black"/>
          <w:b/>
          <w:sz w:val="24"/>
          <w:szCs w:val="24"/>
        </w:rPr>
      </w:pPr>
    </w:p>
    <w:p w14:paraId="71B56F1B" w14:textId="2833831D" w:rsidR="00F326E5" w:rsidRPr="00145CFB" w:rsidRDefault="00EF1133" w:rsidP="00F326E5">
      <w:pPr>
        <w:rPr>
          <w:rFonts w:eastAsia="Times New Roman"/>
          <w:b/>
          <w:sz w:val="24"/>
          <w:szCs w:val="24"/>
        </w:rPr>
      </w:pPr>
      <w:r>
        <w:rPr>
          <w:rFonts w:ascii="Arial Black" w:hAnsi="Arial Black"/>
          <w:b/>
          <w:sz w:val="24"/>
          <w:szCs w:val="24"/>
        </w:rPr>
        <w:lastRenderedPageBreak/>
        <w:t>6</w:t>
      </w:r>
      <w:r w:rsidRPr="00EF1133">
        <w:rPr>
          <w:rFonts w:ascii="Arial Black" w:hAnsi="Arial Black"/>
          <w:b/>
          <w:sz w:val="24"/>
          <w:szCs w:val="24"/>
        </w:rPr>
        <w:t>-</w:t>
      </w:r>
      <w:r>
        <w:rPr>
          <w:rFonts w:ascii="Arial Black" w:hAnsi="Arial Black"/>
          <w:b/>
          <w:sz w:val="24"/>
          <w:szCs w:val="24"/>
        </w:rPr>
        <w:t>4</w:t>
      </w:r>
    </w:p>
    <w:p w14:paraId="5874483B" w14:textId="1763902E" w:rsidR="00F326E5" w:rsidRPr="00512C93" w:rsidRDefault="00F326E5" w:rsidP="00F326E5">
      <w:pPr>
        <w:pStyle w:val="NoSpacing"/>
        <w:rPr>
          <w:rFonts w:ascii="Arial Black" w:hAnsi="Arial Black"/>
          <w:b/>
          <w:sz w:val="28"/>
          <w:szCs w:val="28"/>
        </w:rPr>
      </w:pPr>
      <w:bookmarkStart w:id="272" w:name="_Hlk7343609"/>
      <w:r w:rsidRPr="00512C93">
        <w:rPr>
          <w:rFonts w:ascii="Arial Black" w:hAnsi="Arial Black"/>
          <w:b/>
          <w:sz w:val="28"/>
          <w:szCs w:val="28"/>
        </w:rPr>
        <w:t>PA</w:t>
      </w:r>
      <w:r>
        <w:rPr>
          <w:rFonts w:ascii="Arial Black" w:hAnsi="Arial Black"/>
          <w:b/>
          <w:sz w:val="28"/>
          <w:szCs w:val="28"/>
        </w:rPr>
        <w:t xml:space="preserve">: </w:t>
      </w:r>
      <w:r w:rsidR="005353F2">
        <w:rPr>
          <w:rFonts w:ascii="Arial Black" w:hAnsi="Arial Black"/>
          <w:b/>
          <w:sz w:val="28"/>
          <w:szCs w:val="28"/>
        </w:rPr>
        <w:t xml:space="preserve">BREAST </w:t>
      </w:r>
      <w:r w:rsidRPr="00512C93">
        <w:rPr>
          <w:rFonts w:ascii="Arial Black" w:hAnsi="Arial Black"/>
          <w:b/>
          <w:sz w:val="28"/>
          <w:szCs w:val="28"/>
        </w:rPr>
        <w:t>C</w:t>
      </w:r>
      <w:r>
        <w:rPr>
          <w:rFonts w:ascii="Arial Black" w:hAnsi="Arial Black"/>
          <w:b/>
          <w:sz w:val="28"/>
          <w:szCs w:val="28"/>
        </w:rPr>
        <w:t>ANCER – RETIRED FF GETS MEDICAL COVERAGE BACK TO DATE OF RETIREMENT</w:t>
      </w:r>
    </w:p>
    <w:p w14:paraId="48A8ED2A" w14:textId="77777777" w:rsidR="009F1927" w:rsidRDefault="00F326E5" w:rsidP="00F326E5">
      <w:pPr>
        <w:rPr>
          <w:rFonts w:ascii="Times New Roman" w:eastAsia="Times New Roman" w:hAnsi="Times New Roman"/>
          <w:sz w:val="24"/>
          <w:szCs w:val="24"/>
        </w:rPr>
      </w:pPr>
      <w:r w:rsidRPr="009F1927">
        <w:rPr>
          <w:rFonts w:ascii="Times New Roman" w:eastAsia="Times New Roman" w:hAnsi="Times New Roman"/>
          <w:sz w:val="24"/>
          <w:szCs w:val="24"/>
        </w:rPr>
        <w:t xml:space="preserve">On June 1, 2018, in </w:t>
      </w:r>
      <w:r w:rsidRPr="009F1927">
        <w:rPr>
          <w:rFonts w:ascii="Times New Roman" w:eastAsia="Times New Roman" w:hAnsi="Times New Roman"/>
          <w:sz w:val="24"/>
          <w:szCs w:val="24"/>
          <w:u w:val="single"/>
        </w:rPr>
        <w:t>City of Pittsburg and UPMC Benefit Management Systems, Inv. v. Workers Compensation Appeal Board (Flaherty</w:t>
      </w:r>
      <w:r w:rsidRPr="009F1927">
        <w:rPr>
          <w:rFonts w:ascii="Times New Roman" w:eastAsia="Times New Roman" w:hAnsi="Times New Roman"/>
          <w:sz w:val="24"/>
          <w:szCs w:val="24"/>
        </w:rPr>
        <w:t xml:space="preserve">), the Commonwealth Court of Pennsylvania upheld (3 to 0) the Board, </w:t>
      </w:r>
    </w:p>
    <w:p w14:paraId="0003EF28" w14:textId="6F23BA24" w:rsidR="00F326E5" w:rsidRPr="009F1927" w:rsidRDefault="00F326E5" w:rsidP="009F1927">
      <w:pPr>
        <w:ind w:left="720"/>
        <w:rPr>
          <w:rFonts w:ascii="Times New Roman" w:hAnsi="Times New Roman"/>
          <w:sz w:val="24"/>
          <w:szCs w:val="24"/>
        </w:rPr>
      </w:pPr>
      <w:r w:rsidRPr="009F1927">
        <w:rPr>
          <w:rFonts w:ascii="Times New Roman" w:eastAsia="Times New Roman" w:hAnsi="Times New Roman"/>
          <w:sz w:val="24"/>
          <w:szCs w:val="24"/>
        </w:rPr>
        <w:t>“</w:t>
      </w:r>
      <w:proofErr w:type="gramStart"/>
      <w:r w:rsidRPr="009F1927">
        <w:rPr>
          <w:rFonts w:ascii="Times New Roman" w:hAnsi="Times New Roman"/>
          <w:sz w:val="24"/>
          <w:szCs w:val="24"/>
        </w:rPr>
        <w:t>holding</w:t>
      </w:r>
      <w:proofErr w:type="gramEnd"/>
      <w:r w:rsidRPr="009F1927">
        <w:rPr>
          <w:rFonts w:ascii="Times New Roman" w:hAnsi="Times New Roman"/>
          <w:sz w:val="24"/>
          <w:szCs w:val="24"/>
        </w:rPr>
        <w:t xml:space="preserve"> that Anne Marie Flaherty (Claimant) gave notice to Employer within 21 days of when she knew or should have known that her cancer was work-related. Because Claimant gave notice within 21 days, she was entitled to benefits from September 10, 2004, the date she left </w:t>
      </w:r>
      <w:proofErr w:type="gramStart"/>
      <w:r w:rsidRPr="009F1927">
        <w:rPr>
          <w:rFonts w:ascii="Times New Roman" w:hAnsi="Times New Roman"/>
          <w:sz w:val="24"/>
          <w:szCs w:val="24"/>
        </w:rPr>
        <w:t>work</w:t>
      </w:r>
      <w:proofErr w:type="gramEnd"/>
      <w:r w:rsidRPr="009F1927">
        <w:rPr>
          <w:rFonts w:ascii="Times New Roman" w:hAnsi="Times New Roman"/>
          <w:sz w:val="24"/>
          <w:szCs w:val="24"/>
        </w:rPr>
        <w:t xml:space="preserve"> due to her injury, as opposed to September 23, 2011, the date she filed her claim petition.” </w:t>
      </w:r>
      <w:hyperlink r:id="rId1336" w:history="1">
        <w:r w:rsidRPr="009F1927">
          <w:rPr>
            <w:rStyle w:val="Hyperlink"/>
            <w:rFonts w:ascii="Times New Roman" w:hAnsi="Times New Roman"/>
            <w:sz w:val="24"/>
            <w:szCs w:val="24"/>
          </w:rPr>
          <w:t>https://caselaw.findlaw.com/pa-commonwealth-court/1897108.html</w:t>
        </w:r>
      </w:hyperlink>
      <w:r w:rsidRPr="009F1927">
        <w:rPr>
          <w:rFonts w:ascii="Times New Roman" w:hAnsi="Times New Roman"/>
          <w:sz w:val="24"/>
          <w:szCs w:val="24"/>
        </w:rPr>
        <w:t xml:space="preserve"> </w:t>
      </w:r>
    </w:p>
    <w:p w14:paraId="31FA7E57" w14:textId="77777777" w:rsidR="00F326E5" w:rsidRPr="009F1927" w:rsidRDefault="00F326E5" w:rsidP="00F326E5">
      <w:pPr>
        <w:rPr>
          <w:rFonts w:ascii="Times New Roman" w:eastAsia="Times New Roman" w:hAnsi="Times New Roman"/>
          <w:b/>
          <w:sz w:val="24"/>
          <w:szCs w:val="24"/>
        </w:rPr>
      </w:pPr>
      <w:r w:rsidRPr="009F1927">
        <w:rPr>
          <w:rFonts w:ascii="Times New Roman" w:eastAsia="Times New Roman" w:hAnsi="Times New Roman"/>
          <w:b/>
          <w:sz w:val="24"/>
          <w:szCs w:val="24"/>
        </w:rPr>
        <w:t>Legal Lessons Learned:  Timely notice of claim is important, even with statutory presumption.</w:t>
      </w:r>
    </w:p>
    <w:bookmarkEnd w:id="272"/>
    <w:p w14:paraId="71CD9AE8" w14:textId="77777777" w:rsidR="00F326E5" w:rsidRPr="009F2867" w:rsidRDefault="00F326E5" w:rsidP="00F326E5">
      <w:pPr>
        <w:pStyle w:val="NoSpacing"/>
        <w:rPr>
          <w:rFonts w:ascii="Arial Black" w:hAnsi="Arial Black"/>
          <w:b/>
          <w:sz w:val="24"/>
          <w:szCs w:val="24"/>
        </w:rPr>
      </w:pPr>
    </w:p>
    <w:p w14:paraId="77BCB2FF" w14:textId="77777777" w:rsidR="00F326E5" w:rsidRPr="009F2867" w:rsidRDefault="00F326E5" w:rsidP="00F326E5">
      <w:pPr>
        <w:pStyle w:val="NoSpacing"/>
        <w:rPr>
          <w:b/>
          <w:sz w:val="24"/>
          <w:szCs w:val="24"/>
        </w:rPr>
      </w:pPr>
    </w:p>
    <w:p w14:paraId="18635B1C" w14:textId="77777777" w:rsidR="00F27CD5" w:rsidRDefault="00F27CD5" w:rsidP="00F326E5">
      <w:pPr>
        <w:rPr>
          <w:rFonts w:ascii="Arial Black" w:hAnsi="Arial Black"/>
          <w:b/>
          <w:sz w:val="24"/>
          <w:szCs w:val="24"/>
        </w:rPr>
      </w:pPr>
    </w:p>
    <w:p w14:paraId="1D2BDAD9" w14:textId="7C95C2E9" w:rsidR="00F326E5" w:rsidRDefault="00EF1133" w:rsidP="00F326E5">
      <w:pPr>
        <w:rPr>
          <w:sz w:val="24"/>
          <w:szCs w:val="24"/>
        </w:rPr>
      </w:pPr>
      <w:r>
        <w:rPr>
          <w:rFonts w:ascii="Arial Black" w:hAnsi="Arial Black"/>
          <w:b/>
          <w:sz w:val="24"/>
          <w:szCs w:val="24"/>
        </w:rPr>
        <w:t>6</w:t>
      </w:r>
      <w:r w:rsidRPr="00EF1133">
        <w:rPr>
          <w:rFonts w:ascii="Arial Black" w:hAnsi="Arial Black"/>
          <w:b/>
          <w:sz w:val="24"/>
          <w:szCs w:val="24"/>
        </w:rPr>
        <w:t>-</w:t>
      </w:r>
      <w:r>
        <w:rPr>
          <w:rFonts w:ascii="Arial Black" w:hAnsi="Arial Black"/>
          <w:b/>
          <w:sz w:val="24"/>
          <w:szCs w:val="24"/>
        </w:rPr>
        <w:t>3</w:t>
      </w:r>
    </w:p>
    <w:p w14:paraId="36777433" w14:textId="619EE8C9" w:rsidR="00F326E5" w:rsidRPr="009F2867" w:rsidRDefault="00F326E5" w:rsidP="00F326E5">
      <w:pPr>
        <w:rPr>
          <w:sz w:val="24"/>
          <w:szCs w:val="24"/>
        </w:rPr>
      </w:pPr>
      <w:bookmarkStart w:id="273" w:name="_Hlk7343690"/>
      <w:r w:rsidRPr="00512C93">
        <w:rPr>
          <w:rFonts w:ascii="Arial Black" w:hAnsi="Arial Black"/>
          <w:b/>
          <w:sz w:val="28"/>
          <w:szCs w:val="28"/>
        </w:rPr>
        <w:t>U.S. S</w:t>
      </w:r>
      <w:r>
        <w:rPr>
          <w:rFonts w:ascii="Arial Black" w:hAnsi="Arial Black"/>
          <w:b/>
          <w:sz w:val="28"/>
          <w:szCs w:val="28"/>
        </w:rPr>
        <w:t xml:space="preserve">UP. COURT – ENFORCES ARBITRATION AGREEMENTS – EMPLOYEE CAN’T SUE </w:t>
      </w:r>
      <w:r w:rsidRPr="009F2867">
        <w:rPr>
          <w:sz w:val="24"/>
          <w:szCs w:val="24"/>
        </w:rPr>
        <w:t>[also filed, Chap. 17]</w:t>
      </w:r>
    </w:p>
    <w:p w14:paraId="1FB1994D" w14:textId="77777777" w:rsidR="00F326E5" w:rsidRPr="009F1927" w:rsidRDefault="00F326E5" w:rsidP="00F326E5">
      <w:pPr>
        <w:pStyle w:val="NoSpacing"/>
        <w:rPr>
          <w:rFonts w:ascii="Times New Roman" w:hAnsi="Times New Roman"/>
          <w:sz w:val="24"/>
          <w:szCs w:val="24"/>
        </w:rPr>
      </w:pPr>
      <w:r w:rsidRPr="009F1927">
        <w:rPr>
          <w:rFonts w:ascii="Times New Roman" w:hAnsi="Times New Roman"/>
          <w:sz w:val="24"/>
          <w:szCs w:val="24"/>
        </w:rPr>
        <w:t xml:space="preserve">On May 21, 2018, in </w:t>
      </w:r>
      <w:r w:rsidRPr="009F1927">
        <w:rPr>
          <w:rFonts w:ascii="Times New Roman" w:hAnsi="Times New Roman"/>
          <w:sz w:val="24"/>
          <w:szCs w:val="24"/>
          <w:u w:val="single"/>
        </w:rPr>
        <w:t>Epic Systems Corp. v. Lewis</w:t>
      </w:r>
      <w:r w:rsidRPr="009F1927">
        <w:rPr>
          <w:rFonts w:ascii="Times New Roman" w:hAnsi="Times New Roman"/>
          <w:sz w:val="24"/>
          <w:szCs w:val="24"/>
        </w:rPr>
        <w:t>, the U.S. Supreme Court (5 to 4), 584 U.S. ___ (2018), in a decision written by newly appointed Justice Gorsuch, held:</w:t>
      </w:r>
    </w:p>
    <w:p w14:paraId="4405A5B4" w14:textId="77777777" w:rsidR="009F1927" w:rsidRDefault="009F1927" w:rsidP="00F326E5">
      <w:pPr>
        <w:pStyle w:val="NoSpacing"/>
        <w:ind w:left="720"/>
        <w:rPr>
          <w:rFonts w:ascii="Times New Roman" w:eastAsia="Times New Roman" w:hAnsi="Times New Roman"/>
          <w:sz w:val="24"/>
          <w:szCs w:val="24"/>
        </w:rPr>
      </w:pPr>
    </w:p>
    <w:p w14:paraId="7B52F177" w14:textId="2AEC3DA5" w:rsidR="00F326E5" w:rsidRPr="009F1927" w:rsidRDefault="00F326E5" w:rsidP="00F326E5">
      <w:pPr>
        <w:pStyle w:val="NoSpacing"/>
        <w:ind w:left="720"/>
        <w:rPr>
          <w:rFonts w:ascii="Times New Roman" w:hAnsi="Times New Roman"/>
          <w:sz w:val="24"/>
          <w:szCs w:val="24"/>
        </w:rPr>
      </w:pPr>
      <w:r w:rsidRPr="009F1927">
        <w:rPr>
          <w:rFonts w:ascii="Times New Roman" w:eastAsia="Times New Roman" w:hAnsi="Times New Roman"/>
          <w:sz w:val="24"/>
          <w:szCs w:val="24"/>
        </w:rPr>
        <w:t xml:space="preserve">“Should employees and employers be allowed to agree that any disputes between them will be resolved through one-on-one arbitration? Or should employees always be permitted to bring their claims in class or collective actions, no matter what they agreed with their employers?  As a matter of policy these questions are surely debatable. But as a matter of law the answer is clear. In the Federal Arbitration Act, Congress has instructed federal courts to enforce arbitration agreements according to their terms—including terms providing for individualized proceedings.” </w:t>
      </w:r>
      <w:hyperlink r:id="rId1337" w:history="1">
        <w:r w:rsidRPr="009F1927">
          <w:rPr>
            <w:rStyle w:val="Hyperlink"/>
            <w:rFonts w:ascii="Times New Roman" w:hAnsi="Times New Roman"/>
            <w:sz w:val="24"/>
            <w:szCs w:val="24"/>
          </w:rPr>
          <w:t>https://www.supremecourt.gov/opinions/17pdf/16-285_q8l1.pdf</w:t>
        </w:r>
      </w:hyperlink>
    </w:p>
    <w:p w14:paraId="380661E9" w14:textId="77777777" w:rsidR="00F326E5" w:rsidRPr="009F1927" w:rsidRDefault="00F326E5" w:rsidP="00F326E5">
      <w:pPr>
        <w:pStyle w:val="statutory-body-3em"/>
        <w:rPr>
          <w:b/>
        </w:rPr>
      </w:pPr>
      <w:r w:rsidRPr="009F1927">
        <w:rPr>
          <w:b/>
        </w:rPr>
        <w:t xml:space="preserve">Legal Lessons Learned:  This decision is one of the most important businesses cases before the Court.  Many employers, including private ambulance companies, will now be encouraged to have new hires sign an arbitration document.  </w:t>
      </w:r>
    </w:p>
    <w:p w14:paraId="67E6EEE6" w14:textId="77777777" w:rsidR="00F326E5" w:rsidRPr="00776A71" w:rsidRDefault="00F326E5" w:rsidP="00F326E5">
      <w:pPr>
        <w:pStyle w:val="statutory-body-3em"/>
        <w:ind w:left="720"/>
      </w:pPr>
      <w:r w:rsidRPr="00776A71">
        <w:t xml:space="preserve">AFL-CIO President Richard Trauma was quoted, “Five justices on the Supreme Court decided that it is acceptable for working people to have their legal rights taken away by corporations in order to keep their jobs.” </w:t>
      </w:r>
      <w:hyperlink r:id="rId1338" w:history="1">
        <w:r w:rsidRPr="00776A71">
          <w:rPr>
            <w:rStyle w:val="Hyperlink"/>
          </w:rPr>
          <w:t>https://www.sfgate.com/news/article/Supreme-Court-rules-that-companies-can-require-12931130.php</w:t>
        </w:r>
      </w:hyperlink>
      <w:r w:rsidRPr="00776A71">
        <w:t xml:space="preserve"> </w:t>
      </w:r>
    </w:p>
    <w:p w14:paraId="2167E3CB" w14:textId="77777777" w:rsidR="00F326E5" w:rsidRPr="009F2867" w:rsidRDefault="00F326E5" w:rsidP="00F326E5">
      <w:pPr>
        <w:pStyle w:val="NormalWeb"/>
        <w:ind w:left="720"/>
      </w:pPr>
      <w:r w:rsidRPr="009F1927">
        <w:t xml:space="preserve">Note:  see Jan. 15, 2019 U.S. Supreme Court decision in New Prime, Inc. v. Oliveira, </w:t>
      </w:r>
      <w:r w:rsidRPr="009F1927">
        <w:rPr>
          <w:rStyle w:val="Strong"/>
        </w:rPr>
        <w:t>Holding</w:t>
      </w:r>
      <w:r w:rsidRPr="009F1927">
        <w:t xml:space="preserve">: A court should determine whether the Federal Arbitration Act’s Section 1 exclusion for disputes involving the “contracts of employment” of certain transportation workers applies before ordering arbitration; here, truck driver Dominic Oliveira’s independent contractor operating agreement with New Prime Inc. falls within that exception. </w:t>
      </w:r>
      <w:r w:rsidRPr="009F1927">
        <w:rPr>
          <w:rStyle w:val="Strong"/>
        </w:rPr>
        <w:t>Judgment</w:t>
      </w:r>
      <w:r w:rsidRPr="009F1927">
        <w:t xml:space="preserve">: </w:t>
      </w:r>
      <w:hyperlink r:id="rId1339" w:tgtFrame="_blank" w:history="1">
        <w:r w:rsidRPr="009F1927">
          <w:rPr>
            <w:rStyle w:val="Hyperlink"/>
          </w:rPr>
          <w:t>Affirmed</w:t>
        </w:r>
      </w:hyperlink>
      <w:r w:rsidRPr="009F1927">
        <w:t xml:space="preserve">, 8-0, in an opinion by Justice Gorsuch on January 15, 2019. </w:t>
      </w:r>
      <w:r w:rsidRPr="009F1927">
        <w:lastRenderedPageBreak/>
        <w:t>Justice</w:t>
      </w:r>
      <w:r w:rsidRPr="009F2867">
        <w:t xml:space="preserve"> Ginsburg filed a concurring opinion. Justice Kavanaugh took no part in the consideration or decision of the case. </w:t>
      </w:r>
      <w:hyperlink r:id="rId1340" w:history="1">
        <w:r w:rsidRPr="009F2867">
          <w:rPr>
            <w:rStyle w:val="Hyperlink"/>
          </w:rPr>
          <w:t>https://www.scotusblog.com/case-files/cases/new-prime-inc-v-oliveira/</w:t>
        </w:r>
      </w:hyperlink>
      <w:r w:rsidRPr="009F2867">
        <w:t xml:space="preserve"> </w:t>
      </w:r>
    </w:p>
    <w:p w14:paraId="2CAA8189" w14:textId="77777777" w:rsidR="00EF1133" w:rsidRDefault="00EF1133" w:rsidP="00EF1133">
      <w:pPr>
        <w:rPr>
          <w:rFonts w:ascii="Arial Black" w:hAnsi="Arial Black"/>
          <w:b/>
          <w:sz w:val="24"/>
          <w:szCs w:val="24"/>
        </w:rPr>
      </w:pPr>
      <w:bookmarkStart w:id="274" w:name="_Hlk515004207"/>
      <w:bookmarkEnd w:id="273"/>
    </w:p>
    <w:p w14:paraId="2E1F70BD" w14:textId="3822DDFA" w:rsidR="00F326E5" w:rsidRDefault="00EF1133" w:rsidP="00EF1133">
      <w:pPr>
        <w:rPr>
          <w:b/>
          <w:sz w:val="24"/>
          <w:szCs w:val="24"/>
        </w:rPr>
      </w:pPr>
      <w:r>
        <w:rPr>
          <w:rFonts w:ascii="Arial Black" w:hAnsi="Arial Black"/>
          <w:b/>
          <w:sz w:val="24"/>
          <w:szCs w:val="24"/>
        </w:rPr>
        <w:t>6</w:t>
      </w:r>
      <w:r w:rsidRPr="00EF1133">
        <w:rPr>
          <w:rFonts w:ascii="Arial Black" w:hAnsi="Arial Black"/>
          <w:b/>
          <w:sz w:val="24"/>
          <w:szCs w:val="24"/>
        </w:rPr>
        <w:t>-</w:t>
      </w:r>
      <w:r>
        <w:rPr>
          <w:rFonts w:ascii="Arial Black" w:hAnsi="Arial Black"/>
          <w:b/>
          <w:sz w:val="24"/>
          <w:szCs w:val="24"/>
        </w:rPr>
        <w:t>2</w:t>
      </w:r>
    </w:p>
    <w:p w14:paraId="0734C56D" w14:textId="28554A14" w:rsidR="00F326E5" w:rsidRDefault="00F326E5" w:rsidP="00F326E5">
      <w:pPr>
        <w:pStyle w:val="NoSpacing"/>
        <w:rPr>
          <w:rFonts w:ascii="Arial Black" w:hAnsi="Arial Black"/>
          <w:sz w:val="28"/>
          <w:szCs w:val="28"/>
        </w:rPr>
      </w:pPr>
      <w:bookmarkStart w:id="275" w:name="_Hlk7343724"/>
      <w:r>
        <w:rPr>
          <w:rFonts w:ascii="Arial Black" w:hAnsi="Arial Black"/>
          <w:sz w:val="28"/>
          <w:szCs w:val="28"/>
        </w:rPr>
        <w:t>MD: COLLECTIVE BARGAINING – COUNTY MUST BARGAIN OVER CHANGE IN HEALTH INSURANCE BENEFITS</w:t>
      </w:r>
    </w:p>
    <w:bookmarkEnd w:id="274"/>
    <w:p w14:paraId="6588E62D" w14:textId="77777777" w:rsidR="009F1927" w:rsidRDefault="00F326E5" w:rsidP="00F326E5">
      <w:pPr>
        <w:rPr>
          <w:rFonts w:ascii="Times New Roman" w:hAnsi="Times New Roman"/>
          <w:sz w:val="24"/>
          <w:szCs w:val="24"/>
        </w:rPr>
      </w:pPr>
      <w:r w:rsidRPr="009F1927">
        <w:rPr>
          <w:rFonts w:ascii="Times New Roman" w:hAnsi="Times New Roman"/>
          <w:sz w:val="24"/>
          <w:szCs w:val="24"/>
        </w:rPr>
        <w:t xml:space="preserve">On March 28, 2018, in </w:t>
      </w:r>
      <w:r w:rsidRPr="009F1927">
        <w:rPr>
          <w:rFonts w:ascii="Times New Roman" w:hAnsi="Times New Roman"/>
          <w:sz w:val="24"/>
          <w:szCs w:val="24"/>
          <w:u w:val="single"/>
        </w:rPr>
        <w:t>O’Brien Atkinson, et al. v. Anne Arundel County</w:t>
      </w:r>
      <w:r w:rsidRPr="009F1927">
        <w:rPr>
          <w:rFonts w:ascii="Times New Roman" w:hAnsi="Times New Roman"/>
          <w:sz w:val="24"/>
          <w:szCs w:val="24"/>
        </w:rPr>
        <w:t xml:space="preserve">, the Court of Appeals of Maryland, held (3 to 0) that the County cannot unilaterally change health benefits; case is remanded to trial court. </w:t>
      </w:r>
    </w:p>
    <w:p w14:paraId="0E869402" w14:textId="1E029E8A" w:rsidR="00F326E5" w:rsidRPr="009F1927" w:rsidRDefault="00F326E5" w:rsidP="009F1927">
      <w:pPr>
        <w:ind w:left="720"/>
        <w:rPr>
          <w:rFonts w:ascii="Times New Roman" w:hAnsi="Times New Roman"/>
          <w:sz w:val="24"/>
          <w:szCs w:val="24"/>
        </w:rPr>
      </w:pPr>
      <w:r w:rsidRPr="009F1927">
        <w:rPr>
          <w:rFonts w:ascii="Times New Roman" w:hAnsi="Times New Roman"/>
          <w:sz w:val="24"/>
          <w:szCs w:val="24"/>
        </w:rPr>
        <w:t xml:space="preserve">“We leave it to the parties and trial court, applying the balancing test on remand, to ascertain the scope of collective bargaining rights over health insurance benefits as mandated under §§ 811 and 812 of the Charter.” </w:t>
      </w:r>
      <w:hyperlink r:id="rId1341" w:history="1">
        <w:r w:rsidRPr="009F1927">
          <w:rPr>
            <w:rStyle w:val="Hyperlink"/>
            <w:rFonts w:ascii="Times New Roman" w:hAnsi="Times New Roman"/>
            <w:sz w:val="24"/>
            <w:szCs w:val="24"/>
          </w:rPr>
          <w:t>file:///C:/Users/lawre/AppData/Local/Microsoft/Windows/INetCache/IE/CTCRXJ99/0788s16.pdf</w:t>
        </w:r>
      </w:hyperlink>
      <w:r w:rsidRPr="009F1927">
        <w:rPr>
          <w:rFonts w:ascii="Times New Roman" w:hAnsi="Times New Roman"/>
          <w:sz w:val="24"/>
          <w:szCs w:val="24"/>
        </w:rPr>
        <w:t xml:space="preserve"> </w:t>
      </w:r>
    </w:p>
    <w:p w14:paraId="5BE8C70C" w14:textId="77777777" w:rsidR="00F326E5" w:rsidRPr="009F1927" w:rsidRDefault="00F326E5" w:rsidP="00F326E5">
      <w:pPr>
        <w:rPr>
          <w:rFonts w:ascii="Times New Roman" w:hAnsi="Times New Roman"/>
          <w:b/>
          <w:sz w:val="24"/>
          <w:szCs w:val="24"/>
        </w:rPr>
      </w:pPr>
      <w:r w:rsidRPr="009F1927">
        <w:rPr>
          <w:rFonts w:ascii="Times New Roman" w:hAnsi="Times New Roman"/>
          <w:b/>
          <w:sz w:val="24"/>
          <w:szCs w:val="24"/>
        </w:rPr>
        <w:t xml:space="preserve">LEGAL LESSONS LEARNED: The County Charter mandated collective bargaining and arbitration. </w:t>
      </w:r>
    </w:p>
    <w:bookmarkEnd w:id="275"/>
    <w:p w14:paraId="0DFA70BF" w14:textId="77777777" w:rsidR="00EF1133" w:rsidRDefault="00EF1133" w:rsidP="00EF1133">
      <w:pPr>
        <w:rPr>
          <w:rFonts w:ascii="Arial Black" w:hAnsi="Arial Black"/>
          <w:b/>
          <w:sz w:val="24"/>
          <w:szCs w:val="24"/>
        </w:rPr>
      </w:pPr>
    </w:p>
    <w:p w14:paraId="297EB295" w14:textId="77777777" w:rsidR="00F27CD5" w:rsidRDefault="00F27CD5" w:rsidP="00EF1133">
      <w:pPr>
        <w:rPr>
          <w:rFonts w:ascii="Arial Black" w:hAnsi="Arial Black"/>
          <w:b/>
          <w:sz w:val="24"/>
          <w:szCs w:val="24"/>
        </w:rPr>
      </w:pPr>
    </w:p>
    <w:p w14:paraId="5A4F467D" w14:textId="13E09346" w:rsidR="00EF1133" w:rsidRDefault="00EF1133" w:rsidP="00EF1133">
      <w:pPr>
        <w:rPr>
          <w:rFonts w:ascii="Arial Black" w:hAnsi="Arial Black"/>
          <w:b/>
          <w:sz w:val="24"/>
          <w:szCs w:val="24"/>
        </w:rPr>
      </w:pPr>
      <w:r>
        <w:rPr>
          <w:rFonts w:ascii="Arial Black" w:hAnsi="Arial Black"/>
          <w:b/>
          <w:sz w:val="24"/>
          <w:szCs w:val="24"/>
        </w:rPr>
        <w:t>6</w:t>
      </w:r>
      <w:r w:rsidRPr="00EF1133">
        <w:rPr>
          <w:rFonts w:ascii="Arial Black" w:hAnsi="Arial Black"/>
          <w:b/>
          <w:sz w:val="24"/>
          <w:szCs w:val="24"/>
        </w:rPr>
        <w:t>-1</w:t>
      </w:r>
    </w:p>
    <w:p w14:paraId="6C6185C1" w14:textId="48D52178" w:rsidR="00255E41" w:rsidRPr="00255E41" w:rsidRDefault="00F326E5" w:rsidP="00255E41">
      <w:pPr>
        <w:pStyle w:val="NoSpacing"/>
        <w:rPr>
          <w:rFonts w:ascii="Times New Roman" w:hAnsi="Times New Roman"/>
          <w:b/>
          <w:sz w:val="24"/>
          <w:szCs w:val="24"/>
        </w:rPr>
      </w:pPr>
      <w:bookmarkStart w:id="276" w:name="_Hlk515004318"/>
      <w:bookmarkStart w:id="277" w:name="_Hlk7343765"/>
      <w:r>
        <w:rPr>
          <w:rFonts w:ascii="Arial Black" w:hAnsi="Arial Black"/>
          <w:sz w:val="28"/>
          <w:szCs w:val="28"/>
        </w:rPr>
        <w:t>RI: “DISABLED” FF IS VIDEOTAPED WEIGHTLIFTING – DISABILITY PENSION BENEFITS TERMINATED</w:t>
      </w:r>
      <w:r w:rsidR="00255E41">
        <w:rPr>
          <w:rFonts w:ascii="Arial Black" w:hAnsi="Arial Black"/>
          <w:sz w:val="28"/>
          <w:szCs w:val="28"/>
        </w:rPr>
        <w:t xml:space="preserve"> </w:t>
      </w:r>
      <w:r w:rsidR="00255E41" w:rsidRPr="00255E41">
        <w:rPr>
          <w:rFonts w:ascii="Times New Roman" w:hAnsi="Times New Roman"/>
          <w:sz w:val="24"/>
          <w:szCs w:val="24"/>
        </w:rPr>
        <w:t>[also filed, Chap. 16]</w:t>
      </w:r>
    </w:p>
    <w:p w14:paraId="1DB0B58D" w14:textId="299FA3F4" w:rsidR="00F326E5" w:rsidRDefault="00F326E5" w:rsidP="00F326E5">
      <w:pPr>
        <w:pStyle w:val="NoSpacing"/>
        <w:rPr>
          <w:b/>
          <w:sz w:val="24"/>
          <w:szCs w:val="24"/>
        </w:rPr>
      </w:pPr>
    </w:p>
    <w:bookmarkEnd w:id="276"/>
    <w:p w14:paraId="3A4BE366" w14:textId="1AB834EE" w:rsidR="009F1927" w:rsidRDefault="00F326E5" w:rsidP="00F326E5">
      <w:pPr>
        <w:pStyle w:val="NoSpacing"/>
        <w:rPr>
          <w:rFonts w:ascii="Times New Roman" w:hAnsi="Times New Roman"/>
          <w:color w:val="4A4A4A"/>
          <w:sz w:val="24"/>
          <w:szCs w:val="24"/>
          <w:lang w:val="en"/>
        </w:rPr>
      </w:pPr>
      <w:r w:rsidRPr="009F1927">
        <w:rPr>
          <w:rFonts w:ascii="Times New Roman" w:hAnsi="Times New Roman"/>
          <w:color w:val="4A4A4A"/>
          <w:sz w:val="24"/>
          <w:szCs w:val="24"/>
          <w:lang w:val="en"/>
        </w:rPr>
        <w:t xml:space="preserve">On </w:t>
      </w:r>
      <w:bookmarkStart w:id="278" w:name="_Hlk39832586"/>
      <w:r w:rsidRPr="009F1927">
        <w:rPr>
          <w:rFonts w:ascii="Times New Roman" w:hAnsi="Times New Roman"/>
          <w:color w:val="4A4A4A"/>
          <w:sz w:val="24"/>
          <w:szCs w:val="24"/>
          <w:lang w:val="en"/>
        </w:rPr>
        <w:t>Feb. 2</w:t>
      </w:r>
      <w:r w:rsidR="007E6FE3">
        <w:rPr>
          <w:rFonts w:ascii="Times New Roman" w:hAnsi="Times New Roman"/>
          <w:color w:val="4A4A4A"/>
          <w:sz w:val="24"/>
          <w:szCs w:val="24"/>
          <w:lang w:val="en"/>
        </w:rPr>
        <w:t>0</w:t>
      </w:r>
      <w:r w:rsidRPr="009F1927">
        <w:rPr>
          <w:rFonts w:ascii="Times New Roman" w:hAnsi="Times New Roman"/>
          <w:color w:val="4A4A4A"/>
          <w:sz w:val="24"/>
          <w:szCs w:val="24"/>
          <w:lang w:val="en"/>
        </w:rPr>
        <w:t xml:space="preserve">, 2018, in </w:t>
      </w:r>
      <w:r w:rsidRPr="009F1927">
        <w:rPr>
          <w:rFonts w:ascii="Times New Roman" w:hAnsi="Times New Roman"/>
          <w:color w:val="4A4A4A"/>
          <w:sz w:val="24"/>
          <w:szCs w:val="24"/>
          <w:u w:val="single"/>
          <w:lang w:val="en"/>
        </w:rPr>
        <w:t>John Sauro v. James Lombardi, in his capacity as Treasurer of the City of Providence, et al</w:t>
      </w:r>
      <w:bookmarkEnd w:id="278"/>
      <w:r w:rsidRPr="009F1927">
        <w:rPr>
          <w:rFonts w:ascii="Times New Roman" w:hAnsi="Times New Roman"/>
          <w:color w:val="4A4A4A"/>
          <w:sz w:val="24"/>
          <w:szCs w:val="24"/>
          <w:u w:val="single"/>
          <w:lang w:val="en"/>
        </w:rPr>
        <w:t>.</w:t>
      </w:r>
      <w:r w:rsidRPr="009F1927">
        <w:rPr>
          <w:rFonts w:ascii="Times New Roman" w:hAnsi="Times New Roman"/>
          <w:color w:val="4A4A4A"/>
          <w:sz w:val="24"/>
          <w:szCs w:val="24"/>
          <w:lang w:val="en"/>
        </w:rPr>
        <w:t>, the State Supreme Court held,</w:t>
      </w:r>
    </w:p>
    <w:p w14:paraId="49B40278" w14:textId="77777777" w:rsidR="009F1927" w:rsidRDefault="009F1927" w:rsidP="00F326E5">
      <w:pPr>
        <w:pStyle w:val="NoSpacing"/>
        <w:rPr>
          <w:rFonts w:ascii="Times New Roman" w:hAnsi="Times New Roman"/>
          <w:color w:val="4A4A4A"/>
          <w:sz w:val="24"/>
          <w:szCs w:val="24"/>
          <w:lang w:val="en"/>
        </w:rPr>
      </w:pPr>
    </w:p>
    <w:p w14:paraId="1F319853" w14:textId="09BAA657" w:rsidR="00F326E5" w:rsidRPr="009F1927" w:rsidRDefault="00F326E5" w:rsidP="009F1927">
      <w:pPr>
        <w:pStyle w:val="NoSpacing"/>
        <w:ind w:left="720" w:firstLine="60"/>
        <w:rPr>
          <w:rFonts w:ascii="Times New Roman" w:hAnsi="Times New Roman"/>
          <w:sz w:val="24"/>
          <w:szCs w:val="24"/>
        </w:rPr>
      </w:pPr>
      <w:r w:rsidRPr="009F1927">
        <w:rPr>
          <w:rFonts w:ascii="Times New Roman" w:hAnsi="Times New Roman"/>
          <w:color w:val="4A4A4A"/>
          <w:sz w:val="24"/>
          <w:szCs w:val="24"/>
          <w:lang w:val="en"/>
        </w:rPr>
        <w:t>“</w:t>
      </w:r>
      <w:proofErr w:type="gramStart"/>
      <w:r w:rsidRPr="009F1927">
        <w:rPr>
          <w:rFonts w:ascii="Times New Roman" w:hAnsi="Times New Roman"/>
          <w:color w:val="4A4A4A"/>
          <w:sz w:val="24"/>
          <w:szCs w:val="24"/>
          <w:lang w:val="en"/>
        </w:rPr>
        <w:t>we</w:t>
      </w:r>
      <w:proofErr w:type="gramEnd"/>
      <w:r w:rsidRPr="009F1927">
        <w:rPr>
          <w:rFonts w:ascii="Times New Roman" w:hAnsi="Times New Roman"/>
          <w:color w:val="4A4A4A"/>
          <w:sz w:val="24"/>
          <w:szCs w:val="24"/>
          <w:lang w:val="en"/>
        </w:rPr>
        <w:t xml:space="preserve"> conclude that the decision of the trial justice declaring that the plaintiff’s pension benefits should be reinstated and he should be placed on a waiting list to resume active service was erroneous, overlooked material evidence, and was clearly wrong</w:t>
      </w:r>
      <w:hyperlink r:id="rId1342" w:history="1">
        <w:r w:rsidR="007E6FE3" w:rsidRPr="00C200DE">
          <w:rPr>
            <w:rStyle w:val="Hyperlink"/>
            <w:rFonts w:ascii="Times New Roman" w:hAnsi="Times New Roman"/>
            <w:sz w:val="24"/>
            <w:szCs w:val="24"/>
            <w:lang w:val="en"/>
          </w:rPr>
          <w:t>https://www.courts.ri.gov/Courts/SupremeCourt/SupremeOpinions/16-170.pdf</w:t>
        </w:r>
      </w:hyperlink>
      <w:r w:rsidR="007E6FE3">
        <w:rPr>
          <w:rFonts w:ascii="Times New Roman" w:hAnsi="Times New Roman"/>
          <w:color w:val="4A4A4A"/>
          <w:sz w:val="24"/>
          <w:szCs w:val="24"/>
          <w:u w:val="single"/>
          <w:lang w:val="en"/>
        </w:rPr>
        <w:t xml:space="preserve"> </w:t>
      </w:r>
      <w:r w:rsidR="007E6FE3">
        <w:rPr>
          <w:rFonts w:ascii="Times New Roman" w:hAnsi="Times New Roman"/>
          <w:color w:val="4A4A4A"/>
          <w:sz w:val="24"/>
          <w:szCs w:val="24"/>
          <w:lang w:val="en"/>
        </w:rPr>
        <w:t xml:space="preserve"> </w:t>
      </w:r>
    </w:p>
    <w:p w14:paraId="682AC40C" w14:textId="77777777" w:rsidR="009F1927" w:rsidRDefault="009F1927" w:rsidP="00F326E5">
      <w:pPr>
        <w:rPr>
          <w:rFonts w:ascii="Times New Roman" w:hAnsi="Times New Roman"/>
          <w:b/>
          <w:color w:val="4A4A4A"/>
          <w:sz w:val="24"/>
          <w:szCs w:val="24"/>
          <w:lang w:val="en"/>
        </w:rPr>
      </w:pPr>
    </w:p>
    <w:p w14:paraId="4CAD612C" w14:textId="346A2C1A" w:rsidR="00F326E5" w:rsidRPr="009F1927" w:rsidRDefault="00F326E5" w:rsidP="00F326E5">
      <w:pPr>
        <w:rPr>
          <w:rFonts w:ascii="Times New Roman" w:hAnsi="Times New Roman"/>
          <w:b/>
          <w:color w:val="4A4A4A"/>
          <w:sz w:val="24"/>
          <w:szCs w:val="24"/>
          <w:lang w:val="en"/>
        </w:rPr>
      </w:pPr>
      <w:r w:rsidRPr="009F1927">
        <w:rPr>
          <w:rFonts w:ascii="Times New Roman" w:hAnsi="Times New Roman"/>
          <w:b/>
          <w:color w:val="4A4A4A"/>
          <w:sz w:val="24"/>
          <w:szCs w:val="24"/>
          <w:lang w:val="en"/>
        </w:rPr>
        <w:t>LEGAL LESSONS LEARNED:  Accidental disability pension benefits are for those with a continuing work-place injury; cases like this can lead to public perception of pension fraud.</w:t>
      </w:r>
    </w:p>
    <w:bookmarkEnd w:id="277"/>
    <w:p w14:paraId="40D82572" w14:textId="77777777" w:rsidR="00F326E5" w:rsidRPr="009F2867" w:rsidRDefault="00F326E5" w:rsidP="00F326E5">
      <w:pPr>
        <w:rPr>
          <w:rFonts w:ascii="Arial Black" w:hAnsi="Arial Black"/>
          <w:b/>
          <w:sz w:val="40"/>
          <w:szCs w:val="40"/>
        </w:rPr>
      </w:pPr>
    </w:p>
    <w:p w14:paraId="6C2FBDF2" w14:textId="77777777" w:rsidR="007C4C98" w:rsidRDefault="00F326E5" w:rsidP="009F1927">
      <w:pPr>
        <w:rPr>
          <w:rFonts w:ascii="Arial Black" w:hAnsi="Arial Black"/>
          <w:sz w:val="40"/>
          <w:szCs w:val="40"/>
        </w:rPr>
      </w:pPr>
      <w:r>
        <w:rPr>
          <w:rFonts w:ascii="Arial Black" w:hAnsi="Arial Black"/>
          <w:sz w:val="40"/>
          <w:szCs w:val="40"/>
        </w:rPr>
        <w:br w:type="page"/>
      </w:r>
    </w:p>
    <w:p w14:paraId="6B0FDAAC" w14:textId="3D9604EC" w:rsidR="0097062D" w:rsidRDefault="0097062D">
      <w:pPr>
        <w:spacing w:after="0" w:line="240" w:lineRule="auto"/>
        <w:rPr>
          <w:rFonts w:ascii="Arial Black" w:hAnsi="Arial Black"/>
          <w:sz w:val="40"/>
          <w:szCs w:val="40"/>
        </w:rPr>
      </w:pPr>
      <w:r>
        <w:rPr>
          <w:rFonts w:ascii="Arial Black" w:hAnsi="Arial Black"/>
          <w:sz w:val="40"/>
          <w:szCs w:val="40"/>
        </w:rPr>
        <w:lastRenderedPageBreak/>
        <w:br w:type="page"/>
      </w:r>
    </w:p>
    <w:p w14:paraId="6F775CEC" w14:textId="2A8A7ED3" w:rsidR="00F326E5" w:rsidRDefault="0097062D" w:rsidP="009F1927">
      <w:pPr>
        <w:rPr>
          <w:rFonts w:ascii="Arial Black" w:hAnsi="Arial Black"/>
          <w:sz w:val="40"/>
          <w:szCs w:val="40"/>
        </w:rPr>
      </w:pPr>
      <w:r>
        <w:rPr>
          <w:rFonts w:ascii="Arial Black" w:hAnsi="Arial Black"/>
          <w:sz w:val="40"/>
          <w:szCs w:val="40"/>
        </w:rPr>
        <w:lastRenderedPageBreak/>
        <w:t>C</w:t>
      </w:r>
      <w:r w:rsidR="00F326E5" w:rsidRPr="007732FA">
        <w:rPr>
          <w:rFonts w:ascii="Arial Black" w:hAnsi="Arial Black"/>
          <w:sz w:val="40"/>
          <w:szCs w:val="40"/>
        </w:rPr>
        <w:t>hap. 7</w:t>
      </w:r>
      <w:r w:rsidR="002B1283">
        <w:rPr>
          <w:rFonts w:ascii="Arial Black" w:hAnsi="Arial Black"/>
          <w:sz w:val="40"/>
          <w:szCs w:val="40"/>
        </w:rPr>
        <w:t xml:space="preserve">   </w:t>
      </w:r>
      <w:r w:rsidR="00F326E5" w:rsidRPr="007732FA">
        <w:rPr>
          <w:rFonts w:ascii="Arial Black" w:hAnsi="Arial Black"/>
          <w:sz w:val="40"/>
          <w:szCs w:val="40"/>
        </w:rPr>
        <w:t>Sexual Harassment</w:t>
      </w:r>
      <w:r w:rsidR="002147DA">
        <w:rPr>
          <w:rFonts w:ascii="Arial Black" w:hAnsi="Arial Black"/>
          <w:sz w:val="40"/>
          <w:szCs w:val="40"/>
        </w:rPr>
        <w:t>,</w:t>
      </w:r>
      <w:r w:rsidR="003F660F">
        <w:rPr>
          <w:rFonts w:ascii="Arial Black" w:hAnsi="Arial Black"/>
          <w:sz w:val="40"/>
          <w:szCs w:val="40"/>
        </w:rPr>
        <w:t xml:space="preserve"> including </w:t>
      </w:r>
      <w:r w:rsidR="00F326E5" w:rsidRPr="007732FA">
        <w:rPr>
          <w:rFonts w:ascii="Arial Black" w:hAnsi="Arial Black"/>
          <w:sz w:val="40"/>
          <w:szCs w:val="40"/>
        </w:rPr>
        <w:t>Pregnancy Discrimination</w:t>
      </w:r>
    </w:p>
    <w:p w14:paraId="07D875E2" w14:textId="1D8FD73D" w:rsidR="00B52DF4" w:rsidRDefault="00B52DF4" w:rsidP="00B52DF4">
      <w:pPr>
        <w:pStyle w:val="NoSpacing"/>
        <w:rPr>
          <w:rFonts w:ascii="Arial Black" w:hAnsi="Arial Black"/>
          <w:sz w:val="28"/>
          <w:szCs w:val="28"/>
        </w:rPr>
      </w:pPr>
      <w:r>
        <w:rPr>
          <w:rFonts w:ascii="Arial Black" w:hAnsi="Arial Black"/>
          <w:sz w:val="28"/>
          <w:szCs w:val="28"/>
        </w:rPr>
        <w:t>7-9</w:t>
      </w:r>
      <w:r w:rsidR="002B205A">
        <w:rPr>
          <w:rFonts w:ascii="Arial Black" w:hAnsi="Arial Black"/>
          <w:sz w:val="28"/>
          <w:szCs w:val="28"/>
        </w:rPr>
        <w:t>5</w:t>
      </w:r>
    </w:p>
    <w:p w14:paraId="64EA33F7" w14:textId="77777777" w:rsidR="00B52DF4" w:rsidRDefault="00B52DF4" w:rsidP="00BC3D44">
      <w:pPr>
        <w:pStyle w:val="NoSpacing"/>
        <w:rPr>
          <w:rFonts w:ascii="Arial Black" w:hAnsi="Arial Black"/>
          <w:sz w:val="28"/>
          <w:szCs w:val="28"/>
        </w:rPr>
      </w:pPr>
    </w:p>
    <w:p w14:paraId="0BEC6784" w14:textId="2B0C9512" w:rsidR="00B52DF4" w:rsidRPr="00103CA1" w:rsidRDefault="00B52DF4" w:rsidP="00B52DF4">
      <w:pPr>
        <w:rPr>
          <w:rFonts w:ascii="Arial Black" w:hAnsi="Arial Black"/>
          <w:b/>
          <w:sz w:val="28"/>
          <w:szCs w:val="28"/>
        </w:rPr>
      </w:pPr>
      <w:r>
        <w:rPr>
          <w:rFonts w:ascii="Arial Black" w:hAnsi="Arial Black"/>
          <w:b/>
          <w:sz w:val="28"/>
          <w:szCs w:val="28"/>
        </w:rPr>
        <w:t xml:space="preserve">CA: </w:t>
      </w:r>
      <w:r w:rsidR="006B071F">
        <w:rPr>
          <w:rFonts w:ascii="Arial Black" w:hAnsi="Arial Black"/>
          <w:b/>
          <w:sz w:val="28"/>
          <w:szCs w:val="28"/>
        </w:rPr>
        <w:t xml:space="preserve">INTERNAL AFFAIRS </w:t>
      </w:r>
      <w:r w:rsidR="002E38BF">
        <w:rPr>
          <w:rFonts w:ascii="Arial Black" w:hAnsi="Arial Black"/>
          <w:b/>
          <w:sz w:val="28"/>
          <w:szCs w:val="28"/>
        </w:rPr>
        <w:t>–</w:t>
      </w:r>
      <w:r w:rsidR="00962CFF">
        <w:rPr>
          <w:rFonts w:ascii="Arial Black" w:hAnsi="Arial Black"/>
          <w:b/>
          <w:sz w:val="28"/>
          <w:szCs w:val="28"/>
        </w:rPr>
        <w:t xml:space="preserve"> </w:t>
      </w:r>
      <w:r w:rsidR="002E38BF">
        <w:rPr>
          <w:rFonts w:ascii="Arial Black" w:hAnsi="Arial Black"/>
          <w:b/>
          <w:sz w:val="28"/>
          <w:szCs w:val="28"/>
        </w:rPr>
        <w:t xml:space="preserve">FOCUS 2 </w:t>
      </w:r>
      <w:r w:rsidR="00FB0696">
        <w:rPr>
          <w:rFonts w:ascii="Arial Black" w:hAnsi="Arial Black"/>
          <w:b/>
          <w:sz w:val="28"/>
          <w:szCs w:val="28"/>
        </w:rPr>
        <w:t>MALE</w:t>
      </w:r>
      <w:r w:rsidR="006B071F">
        <w:rPr>
          <w:rFonts w:ascii="Arial Black" w:hAnsi="Arial Black"/>
          <w:b/>
          <w:sz w:val="28"/>
          <w:szCs w:val="28"/>
        </w:rPr>
        <w:t xml:space="preserve"> PD</w:t>
      </w:r>
      <w:r w:rsidR="002E38BF">
        <w:rPr>
          <w:rFonts w:ascii="Arial Black" w:hAnsi="Arial Black"/>
          <w:b/>
          <w:sz w:val="28"/>
          <w:szCs w:val="28"/>
        </w:rPr>
        <w:t xml:space="preserve"> - JURY </w:t>
      </w:r>
      <w:r>
        <w:rPr>
          <w:rFonts w:ascii="Arial Black" w:hAnsi="Arial Black"/>
          <w:b/>
          <w:sz w:val="28"/>
          <w:szCs w:val="28"/>
        </w:rPr>
        <w:t xml:space="preserve">$8M / $4M </w:t>
      </w:r>
    </w:p>
    <w:p w14:paraId="074BEBD4" w14:textId="77777777" w:rsidR="00B52DF4" w:rsidRDefault="00B52DF4" w:rsidP="00B52DF4">
      <w:pPr>
        <w:pStyle w:val="NoSpacing"/>
        <w:rPr>
          <w:bCs/>
        </w:rPr>
      </w:pPr>
      <w:r>
        <w:t xml:space="preserve">On July 30, 2026, in </w:t>
      </w:r>
      <w:r w:rsidRPr="00814D5F">
        <w:rPr>
          <w:u w:val="single"/>
        </w:rPr>
        <w:t>Stephen Glick and Alfred Garcia v. City of Los Angeles</w:t>
      </w:r>
      <w:r>
        <w:t xml:space="preserve">, the California </w:t>
      </w:r>
      <w:r w:rsidRPr="00814D5F">
        <w:t>Court of Appeal, Second District, Division 2,</w:t>
      </w:r>
      <w:r>
        <w:t xml:space="preserve"> held (3 to 0) that the trial court improperly granted the City a new trial, and reinstated jury’s September 2023 gender discrimination verdict for Officer </w:t>
      </w:r>
      <w:r w:rsidRPr="00281F18">
        <w:t xml:space="preserve">Glick </w:t>
      </w:r>
      <w:r>
        <w:t>(</w:t>
      </w:r>
      <w:r w:rsidRPr="00281F18">
        <w:t>$8,621,358</w:t>
      </w:r>
      <w:r>
        <w:t xml:space="preserve">, including emotional stress </w:t>
      </w:r>
      <w:r w:rsidRPr="00281F18">
        <w:t>damages</w:t>
      </w:r>
      <w:r>
        <w:t>)</w:t>
      </w:r>
      <w:r w:rsidRPr="00281F18">
        <w:t xml:space="preserve"> and</w:t>
      </w:r>
      <w:r>
        <w:t xml:space="preserve"> Officer </w:t>
      </w:r>
      <w:r w:rsidRPr="00281F18">
        <w:t xml:space="preserve">Garcia </w:t>
      </w:r>
      <w:r>
        <w:t>(</w:t>
      </w:r>
      <w:r w:rsidRPr="00281F18">
        <w:t>$4.5 million</w:t>
      </w:r>
      <w:r>
        <w:t xml:space="preserve">, including emotional stress).  The prisoner (Raul C.) was arrested on Jan. 26, </w:t>
      </w:r>
      <w:proofErr w:type="gramStart"/>
      <w:r>
        <w:t>2017</w:t>
      </w:r>
      <w:proofErr w:type="gramEnd"/>
      <w:r>
        <w:t xml:space="preserve"> for DUI after he struck a child with his car.  While in the holding cell Officer Alfred </w:t>
      </w:r>
      <w:r w:rsidRPr="00460004">
        <w:t xml:space="preserve">Garcia </w:t>
      </w:r>
      <w:r>
        <w:t>“</w:t>
      </w:r>
      <w:r w:rsidRPr="00460004">
        <w:t>used</w:t>
      </w:r>
      <w:r>
        <w:t xml:space="preserve"> </w:t>
      </w:r>
      <w:r w:rsidRPr="00460004">
        <w:t>his personal cell phone to take a picture of Raul lying on the</w:t>
      </w:r>
      <w:r>
        <w:t xml:space="preserve"> </w:t>
      </w:r>
      <w:r w:rsidRPr="00460004">
        <w:t>floor in his own vomit. At some point it was determined that</w:t>
      </w:r>
      <w:r>
        <w:t xml:space="preserve"> </w:t>
      </w:r>
      <w:r w:rsidRPr="00460004">
        <w:t>Raul needed medical attention. Paramedics took Raul to the</w:t>
      </w:r>
      <w:r>
        <w:t xml:space="preserve"> </w:t>
      </w:r>
      <w:r w:rsidRPr="00460004">
        <w:t>hospital, where he was intubated and treated for acute alcohol</w:t>
      </w:r>
      <w:r>
        <w:t xml:space="preserve">  </w:t>
      </w:r>
      <w:r w:rsidRPr="00460004">
        <w:t>poisoning.</w:t>
      </w:r>
      <w:r>
        <w:t xml:space="preserve">” The prisoner filed a complaint that an </w:t>
      </w:r>
      <w:r w:rsidRPr="00C0635C">
        <w:t>unknown officer</w:t>
      </w:r>
      <w:r>
        <w:t xml:space="preserve"> </w:t>
      </w:r>
      <w:r w:rsidRPr="00C0635C">
        <w:t>shaved off his eyebrows, shaved his mustache to look like Adolf</w:t>
      </w:r>
      <w:r>
        <w:t xml:space="preserve"> </w:t>
      </w:r>
      <w:r w:rsidRPr="00C0635C">
        <w:t>Hitler’s, and drew a penis and wrote the word “puto” on his</w:t>
      </w:r>
      <w:r>
        <w:t xml:space="preserve"> </w:t>
      </w:r>
      <w:r w:rsidRPr="00C0635C">
        <w:t>abdomen with a marker</w:t>
      </w:r>
      <w:r>
        <w:t>. LA PD Internal Affairs launched a “major” investigation concerning “battery” of the prisoner; subpoenas were obtained on cell phones of two male PD, their two female PD partners, and two medics who transported the prisoner from police station to hospital.  Only the male officers were ordered to desk duty and then to their homes pending possible termination.  Internal Affairs failed to identify who shaved the prisoner.  The police chief eventually officially reprimanded only Officer Garcia for failing to get Raul prompt medical treatment.  The jury heard testimony that “</w:t>
      </w:r>
      <w:r w:rsidRPr="00FC7EA7">
        <w:t>When a police union representative complained to a high-ranking LAPD official about the disparate treatment between</w:t>
      </w:r>
      <w:r>
        <w:t xml:space="preserve"> </w:t>
      </w:r>
      <w:r w:rsidRPr="00FC7EA7">
        <w:t>plaintiffs, who are male, and their partners, who are female, he</w:t>
      </w:r>
      <w:r>
        <w:t xml:space="preserve"> </w:t>
      </w:r>
      <w:r w:rsidRPr="00FC7EA7">
        <w:t>was told that</w:t>
      </w:r>
      <w:r>
        <w:t xml:space="preserve"> ‘</w:t>
      </w:r>
      <w:r w:rsidRPr="00FC7EA7">
        <w:t>this is something guys would do, not females</w:t>
      </w:r>
      <w:r>
        <w:t xml:space="preserve">.’”  </w:t>
      </w:r>
      <w:hyperlink r:id="rId1343" w:history="1">
        <w:r w:rsidRPr="00AF2250">
          <w:rPr>
            <w:rStyle w:val="Hyperlink"/>
          </w:rPr>
          <w:t>https://www4.courts.ca.gov/opinions/documents/B334953.PDF</w:t>
        </w:r>
      </w:hyperlink>
      <w:r>
        <w:t xml:space="preserve"> </w:t>
      </w:r>
    </w:p>
    <w:p w14:paraId="06A2D253" w14:textId="77777777" w:rsidR="00B52DF4" w:rsidRDefault="00B52DF4" w:rsidP="00B52DF4">
      <w:pPr>
        <w:pStyle w:val="NoSpacing"/>
        <w:rPr>
          <w:bCs/>
        </w:rPr>
      </w:pPr>
    </w:p>
    <w:p w14:paraId="2F6B775F" w14:textId="77777777" w:rsidR="00B52DF4" w:rsidRDefault="00B52DF4" w:rsidP="00B52DF4">
      <w:pPr>
        <w:pStyle w:val="NoSpacing"/>
        <w:rPr>
          <w:bCs/>
        </w:rPr>
      </w:pPr>
      <w:r>
        <w:t xml:space="preserve">THE COURT WROTE: </w:t>
      </w:r>
    </w:p>
    <w:p w14:paraId="48CF3A59" w14:textId="77777777" w:rsidR="00B52DF4" w:rsidRDefault="00B52DF4" w:rsidP="00B52DF4">
      <w:pPr>
        <w:pStyle w:val="NoSpacing"/>
        <w:rPr>
          <w:bCs/>
        </w:rPr>
      </w:pPr>
    </w:p>
    <w:p w14:paraId="50FE4312" w14:textId="77777777" w:rsidR="00B52DF4" w:rsidRPr="009F3D64" w:rsidRDefault="00B52DF4" w:rsidP="00B52DF4">
      <w:pPr>
        <w:pStyle w:val="NoSpacing"/>
        <w:ind w:left="720" w:firstLine="60"/>
        <w:rPr>
          <w:bCs/>
        </w:rPr>
      </w:pPr>
      <w:r>
        <w:t>“</w:t>
      </w:r>
      <w:r w:rsidRPr="009F3D64">
        <w:t>A jury found in favor of Stephen Glick (Glick) and Alfred</w:t>
      </w:r>
      <w:r>
        <w:t xml:space="preserve"> </w:t>
      </w:r>
      <w:r w:rsidRPr="009F3D64">
        <w:t>Garcia (Garcia) (collectively, plaintiffs) on their claims for gender</w:t>
      </w:r>
      <w:r>
        <w:t xml:space="preserve"> </w:t>
      </w:r>
      <w:r w:rsidRPr="009F3D64">
        <w:t>discrimination and retaliation against the City of Los Angeles</w:t>
      </w:r>
      <w:r>
        <w:t xml:space="preserve">  </w:t>
      </w:r>
      <w:r w:rsidRPr="009F3D64">
        <w:t>(City). The jury awarded Glick $8,621,358 in damages and</w:t>
      </w:r>
      <w:r>
        <w:t xml:space="preserve"> </w:t>
      </w:r>
      <w:r w:rsidRPr="009F3D64">
        <w:t>Garcia $4.5 million, and the trial court entered judgment in that</w:t>
      </w:r>
      <w:r>
        <w:t xml:space="preserve"> </w:t>
      </w:r>
      <w:r w:rsidRPr="009F3D64">
        <w:t>amount. The court later conditionally granted the City’s new</w:t>
      </w:r>
      <w:r>
        <w:t xml:space="preserve"> </w:t>
      </w:r>
      <w:r w:rsidRPr="009F3D64">
        <w:t>trial motion unless Glick agreed to a remittitur reducing his</w:t>
      </w:r>
      <w:r>
        <w:t xml:space="preserve"> </w:t>
      </w:r>
      <w:r w:rsidRPr="009F3D64">
        <w:t>damages to $250,000 and Garcia agreed to reduce his damages to</w:t>
      </w:r>
      <w:r>
        <w:t xml:space="preserve"> </w:t>
      </w:r>
      <w:r w:rsidRPr="009F3D64">
        <w:t>$125,000. Plaintiffs rejected the reduced awards. Plaintiffs and</w:t>
      </w:r>
      <w:r>
        <w:t xml:space="preserve"> </w:t>
      </w:r>
      <w:r w:rsidRPr="009F3D64">
        <w:t>the City both appealed.</w:t>
      </w:r>
      <w:r>
        <w:t xml:space="preserve"> </w:t>
      </w:r>
      <w:r w:rsidRPr="009F3D64">
        <w:t>We reverse the order granting a new trial on damages. The</w:t>
      </w:r>
      <w:r>
        <w:t xml:space="preserve"> </w:t>
      </w:r>
      <w:r w:rsidRPr="009F3D64">
        <w:t>trial court abused its discretion by capping the amount of</w:t>
      </w:r>
    </w:p>
    <w:p w14:paraId="455FE21B" w14:textId="77777777" w:rsidR="00B52DF4" w:rsidRPr="009F3D64" w:rsidRDefault="00B52DF4" w:rsidP="00B52DF4">
      <w:pPr>
        <w:pStyle w:val="NoSpacing"/>
        <w:ind w:left="720" w:firstLine="60"/>
        <w:rPr>
          <w:bCs/>
        </w:rPr>
      </w:pPr>
      <w:r w:rsidRPr="009F3D64">
        <w:t>damages a jury can award for so-called “garden-variety emotional</w:t>
      </w:r>
      <w:r>
        <w:t xml:space="preserve"> </w:t>
      </w:r>
      <w:r w:rsidRPr="009F3D64">
        <w:t>distress.” The court also abused its discretion by erroneously</w:t>
      </w:r>
      <w:r>
        <w:t xml:space="preserve"> </w:t>
      </w:r>
      <w:r w:rsidRPr="009F3D64">
        <w:t>rejecting as inadmissible Glick’s own testimony about his future</w:t>
      </w:r>
      <w:r>
        <w:t xml:space="preserve"> </w:t>
      </w:r>
      <w:r w:rsidRPr="009F3D64">
        <w:t>economic damages. Because the jury’s damages awards were not</w:t>
      </w:r>
    </w:p>
    <w:p w14:paraId="0A71F41D" w14:textId="77777777" w:rsidR="00B52DF4" w:rsidRDefault="00B52DF4" w:rsidP="00B52DF4">
      <w:pPr>
        <w:pStyle w:val="NoSpacing"/>
        <w:ind w:left="720" w:firstLine="60"/>
        <w:rPr>
          <w:bCs/>
        </w:rPr>
      </w:pPr>
      <w:r w:rsidRPr="009F3D64">
        <w:t>excessive as a matter of law or unsupported by the evidence, we</w:t>
      </w:r>
      <w:r>
        <w:t xml:space="preserve"> </w:t>
      </w:r>
      <w:r w:rsidRPr="009F3D64">
        <w:t>reinstate the judgment and affirm it.</w:t>
      </w:r>
    </w:p>
    <w:p w14:paraId="50AEA8E4" w14:textId="77777777" w:rsidR="00B52DF4" w:rsidRDefault="00B52DF4" w:rsidP="00B52DF4">
      <w:pPr>
        <w:pStyle w:val="NoSpacing"/>
        <w:ind w:left="720" w:firstLine="60"/>
        <w:rPr>
          <w:bCs/>
        </w:rPr>
      </w:pPr>
    </w:p>
    <w:p w14:paraId="5792210C" w14:textId="77777777" w:rsidR="00B52DF4" w:rsidRDefault="00B52DF4" w:rsidP="00B52DF4">
      <w:pPr>
        <w:pStyle w:val="NoSpacing"/>
        <w:ind w:left="720" w:firstLine="60"/>
        <w:rPr>
          <w:bCs/>
        </w:rPr>
      </w:pPr>
      <w:r>
        <w:t>***</w:t>
      </w:r>
    </w:p>
    <w:p w14:paraId="1C0AAA9E" w14:textId="77777777" w:rsidR="00B52DF4" w:rsidRDefault="00B52DF4" w:rsidP="00B52DF4">
      <w:pPr>
        <w:pStyle w:val="NoSpacing"/>
        <w:ind w:left="720" w:firstLine="60"/>
        <w:rPr>
          <w:bCs/>
        </w:rPr>
      </w:pPr>
    </w:p>
    <w:p w14:paraId="60404065" w14:textId="77777777" w:rsidR="00B52DF4" w:rsidRDefault="00B52DF4" w:rsidP="00B52DF4">
      <w:pPr>
        <w:pStyle w:val="NoSpacing"/>
        <w:ind w:left="720"/>
        <w:rPr>
          <w:bCs/>
        </w:rPr>
      </w:pPr>
      <w:r w:rsidRPr="00371851">
        <w:t>LAPD’s Internal Affairs department (Internal Affairs)</w:t>
      </w:r>
      <w:r>
        <w:t xml:space="preserve"> </w:t>
      </w:r>
      <w:r w:rsidRPr="00371851">
        <w:t xml:space="preserve">conducted a </w:t>
      </w:r>
      <w:r>
        <w:t>‘</w:t>
      </w:r>
      <w:r w:rsidRPr="00371851">
        <w:t>major investigation</w:t>
      </w:r>
      <w:r>
        <w:t>’</w:t>
      </w:r>
      <w:r w:rsidRPr="00371851">
        <w:t xml:space="preserve"> into Raul’s allegations.</w:t>
      </w:r>
      <w:r>
        <w:t xml:space="preserve"> </w:t>
      </w:r>
      <w:r w:rsidRPr="00371851">
        <w:t>Internal Affairs obtained a search warrant for the cellular</w:t>
      </w:r>
      <w:r>
        <w:t xml:space="preserve"> </w:t>
      </w:r>
      <w:r w:rsidRPr="00371851">
        <w:t>telephone records of plaintiffs, their partners, and two</w:t>
      </w:r>
      <w:r>
        <w:t xml:space="preserve"> </w:t>
      </w:r>
      <w:r w:rsidRPr="00371851">
        <w:t>paramedics. A second search warrant was obtained to seize</w:t>
      </w:r>
      <w:r>
        <w:t xml:space="preserve"> </w:t>
      </w:r>
      <w:r w:rsidRPr="00371851">
        <w:t>plaintiffs’ cellular telephones but not those belonging to their</w:t>
      </w:r>
      <w:r>
        <w:t xml:space="preserve"> </w:t>
      </w:r>
      <w:r w:rsidRPr="00371851">
        <w:t>partners. Internal Affairs also searched plaintiffs’ lockers and</w:t>
      </w:r>
      <w:r>
        <w:t xml:space="preserve"> </w:t>
      </w:r>
      <w:r w:rsidRPr="00371851">
        <w:t>police and personal vehicles. Internal Affairs later served search</w:t>
      </w:r>
      <w:r>
        <w:t xml:space="preserve"> </w:t>
      </w:r>
      <w:r w:rsidRPr="00371851">
        <w:t>warrants on plaintiffs’ partners to seize their cellular telephones</w:t>
      </w:r>
      <w:r>
        <w:t xml:space="preserve"> </w:t>
      </w:r>
      <w:r w:rsidRPr="00371851">
        <w:t>but did not search their lockers or cars.</w:t>
      </w:r>
    </w:p>
    <w:p w14:paraId="1BF34A18" w14:textId="77777777" w:rsidR="00B52DF4" w:rsidRDefault="00B52DF4" w:rsidP="00B52DF4">
      <w:pPr>
        <w:pStyle w:val="NoSpacing"/>
        <w:rPr>
          <w:bCs/>
        </w:rPr>
      </w:pPr>
    </w:p>
    <w:p w14:paraId="5F6E47AB" w14:textId="77777777" w:rsidR="00B52DF4" w:rsidRDefault="00B52DF4" w:rsidP="00B52DF4">
      <w:pPr>
        <w:pStyle w:val="NoSpacing"/>
        <w:ind w:left="720"/>
        <w:rPr>
          <w:bCs/>
        </w:rPr>
      </w:pPr>
      <w:r w:rsidRPr="00494A10">
        <w:lastRenderedPageBreak/>
        <w:t xml:space="preserve">Plaintiffs were </w:t>
      </w:r>
      <w:r>
        <w:t>‘</w:t>
      </w:r>
      <w:r w:rsidRPr="00494A10">
        <w:t>benched,</w:t>
      </w:r>
      <w:r>
        <w:t>’</w:t>
      </w:r>
      <w:r w:rsidRPr="00494A10">
        <w:t xml:space="preserve"> meaning that they were removed</w:t>
      </w:r>
      <w:r>
        <w:t xml:space="preserve"> </w:t>
      </w:r>
      <w:r w:rsidRPr="00494A10">
        <w:t>from field duties and assigned to work at the front desk of the</w:t>
      </w:r>
      <w:r>
        <w:t xml:space="preserve"> </w:t>
      </w:r>
      <w:r w:rsidRPr="007E253B">
        <w:t>station. Their partners, Orefice and Spitaleri, remained in the</w:t>
      </w:r>
      <w:r>
        <w:t xml:space="preserve"> </w:t>
      </w:r>
      <w:r w:rsidRPr="007E253B">
        <w:t>field.</w:t>
      </w:r>
      <w:r>
        <w:t xml:space="preserve"> </w:t>
      </w:r>
      <w:r w:rsidRPr="007E253B">
        <w:t>Because Internal Affairs was unable to identify who</w:t>
      </w:r>
      <w:r>
        <w:t xml:space="preserve"> </w:t>
      </w:r>
      <w:r w:rsidRPr="007E253B">
        <w:t>committed the battery on Raul, the commanding officer</w:t>
      </w:r>
      <w:r>
        <w:t xml:space="preserve"> </w:t>
      </w:r>
      <w:r w:rsidRPr="007E253B">
        <w:t xml:space="preserve">recommended that those allegations be adjudicated as </w:t>
      </w:r>
      <w:r>
        <w:t>‘</w:t>
      </w:r>
      <w:r w:rsidRPr="007E253B">
        <w:t>not</w:t>
      </w:r>
      <w:r>
        <w:t xml:space="preserve"> </w:t>
      </w:r>
      <w:r w:rsidRPr="007E253B">
        <w:t>resolved.</w:t>
      </w:r>
      <w:r>
        <w:t>’</w:t>
      </w:r>
      <w:r w:rsidRPr="007E253B">
        <w:t xml:space="preserve"> As for the failure to request medical attention for Raul</w:t>
      </w:r>
      <w:r>
        <w:t xml:space="preserve"> </w:t>
      </w:r>
      <w:r w:rsidRPr="007E253B">
        <w:t>in a timely matter, the commanding officer recommended that</w:t>
      </w:r>
      <w:r>
        <w:t xml:space="preserve"> </w:t>
      </w:r>
      <w:r w:rsidRPr="007E253B">
        <w:t>Garcia be suspended for three days and that Glick, Spitaleri, and</w:t>
      </w:r>
      <w:r>
        <w:t xml:space="preserve"> </w:t>
      </w:r>
      <w:r w:rsidRPr="007E253B">
        <w:t>Orefice receive official reprimands. LAPD’s deputy chief later</w:t>
      </w:r>
      <w:r>
        <w:t xml:space="preserve"> </w:t>
      </w:r>
      <w:r w:rsidRPr="007E253B">
        <w:t>recommended increasing Garcia’s suspension to 10 days.</w:t>
      </w:r>
      <w:r>
        <w:t xml:space="preserve"> </w:t>
      </w:r>
      <w:r w:rsidRPr="007E253B">
        <w:t>The chief of police, however, rejected the disciplinary</w:t>
      </w:r>
      <w:r>
        <w:t xml:space="preserve"> </w:t>
      </w:r>
      <w:r w:rsidRPr="007E253B">
        <w:t>recommendations. Instead, the chief relieved plaintiffs from duty</w:t>
      </w:r>
      <w:r>
        <w:t xml:space="preserve"> </w:t>
      </w:r>
      <w:r w:rsidRPr="007E253B">
        <w:t>pending a hearing before the Board of Rights to terminate their</w:t>
      </w:r>
      <w:r>
        <w:t xml:space="preserve"> </w:t>
      </w:r>
      <w:r w:rsidRPr="007E253B">
        <w:t>employment. While awaiting the hearing, plaintiffs were</w:t>
      </w:r>
      <w:r>
        <w:t xml:space="preserve"> </w:t>
      </w:r>
      <w:r w:rsidRPr="007E253B">
        <w:t>required to stay at their homes unless they received approval to</w:t>
      </w:r>
      <w:r>
        <w:t xml:space="preserve"> </w:t>
      </w:r>
      <w:r w:rsidRPr="007E253B">
        <w:t>leave.</w:t>
      </w:r>
      <w:r>
        <w:t xml:space="preserve"> </w:t>
      </w:r>
      <w:r w:rsidRPr="007E253B">
        <w:t>The chief of police later canceled the Board of Rights</w:t>
      </w:r>
      <w:r>
        <w:t xml:space="preserve"> </w:t>
      </w:r>
      <w:r w:rsidRPr="007E253B">
        <w:t>hearing and adjudicated the battery counts against plaintiffs as</w:t>
      </w:r>
      <w:r>
        <w:t xml:space="preserve"> ‘</w:t>
      </w:r>
      <w:r w:rsidRPr="007E253B">
        <w:t>not resolved.</w:t>
      </w:r>
      <w:r>
        <w:t>’</w:t>
      </w:r>
      <w:r w:rsidRPr="007E253B">
        <w:t xml:space="preserve"> The chief officially reprimanded plaintiffs for</w:t>
      </w:r>
      <w:r>
        <w:t xml:space="preserve"> </w:t>
      </w:r>
      <w:r w:rsidRPr="007E253B">
        <w:t>failing to get Raul medical treatment.</w:t>
      </w:r>
      <w:r>
        <w:t>”</w:t>
      </w:r>
    </w:p>
    <w:p w14:paraId="24C059DE" w14:textId="77777777" w:rsidR="00B52DF4" w:rsidRDefault="00B52DF4" w:rsidP="00B52DF4">
      <w:pPr>
        <w:pStyle w:val="NoSpacing"/>
        <w:rPr>
          <w:bCs/>
        </w:rPr>
      </w:pPr>
    </w:p>
    <w:p w14:paraId="02445EF6" w14:textId="77777777" w:rsidR="00B52DF4" w:rsidRPr="009D5F6D" w:rsidRDefault="00B52DF4" w:rsidP="00B52DF4">
      <w:pPr>
        <w:pStyle w:val="NoSpacing"/>
        <w:rPr>
          <w:b/>
          <w:bCs/>
        </w:rPr>
      </w:pPr>
      <w:r>
        <w:rPr>
          <w:b/>
        </w:rPr>
        <w:t>Legal lesson learned: Internal Affairs investigations and discipline must be thorough involving both male and female officers.  Jury obviously found gender discrimination.</w:t>
      </w:r>
    </w:p>
    <w:p w14:paraId="13FBB785" w14:textId="77777777" w:rsidR="00B52DF4" w:rsidRDefault="00B52DF4" w:rsidP="00B52DF4">
      <w:pPr>
        <w:rPr>
          <w:b/>
        </w:rPr>
      </w:pPr>
    </w:p>
    <w:p w14:paraId="3880C740" w14:textId="77777777" w:rsidR="00B52DF4" w:rsidRDefault="00B52DF4" w:rsidP="00BC3D44">
      <w:pPr>
        <w:pStyle w:val="NoSpacing"/>
        <w:rPr>
          <w:rFonts w:ascii="Arial Black" w:hAnsi="Arial Black"/>
          <w:sz w:val="28"/>
          <w:szCs w:val="28"/>
        </w:rPr>
      </w:pPr>
    </w:p>
    <w:p w14:paraId="2FB6F385" w14:textId="77777777" w:rsidR="00B52DF4" w:rsidRDefault="00B52DF4" w:rsidP="00BC3D44">
      <w:pPr>
        <w:pStyle w:val="NoSpacing"/>
        <w:rPr>
          <w:rFonts w:ascii="Arial Black" w:hAnsi="Arial Black"/>
          <w:sz w:val="28"/>
          <w:szCs w:val="28"/>
        </w:rPr>
      </w:pPr>
    </w:p>
    <w:p w14:paraId="28136A94" w14:textId="77777777" w:rsidR="00B52DF4" w:rsidRDefault="00B52DF4" w:rsidP="00BC3D44">
      <w:pPr>
        <w:pStyle w:val="NoSpacing"/>
        <w:rPr>
          <w:rFonts w:ascii="Arial Black" w:hAnsi="Arial Black"/>
          <w:sz w:val="28"/>
          <w:szCs w:val="28"/>
        </w:rPr>
      </w:pPr>
    </w:p>
    <w:p w14:paraId="6B8B0762" w14:textId="18A90AE3" w:rsidR="00BC3D44" w:rsidRDefault="00BC3D44" w:rsidP="00BC3D44">
      <w:pPr>
        <w:pStyle w:val="NoSpacing"/>
        <w:rPr>
          <w:rFonts w:ascii="Arial Black" w:hAnsi="Arial Black"/>
          <w:sz w:val="28"/>
          <w:szCs w:val="28"/>
        </w:rPr>
      </w:pPr>
      <w:r>
        <w:rPr>
          <w:rFonts w:ascii="Arial Black" w:hAnsi="Arial Black"/>
          <w:sz w:val="28"/>
          <w:szCs w:val="28"/>
        </w:rPr>
        <w:t>7-94</w:t>
      </w:r>
    </w:p>
    <w:p w14:paraId="59B66E8D" w14:textId="77777777" w:rsidR="00BC3D44" w:rsidRDefault="00BC3D44" w:rsidP="00BC3D44">
      <w:pPr>
        <w:pStyle w:val="NoSpacing"/>
        <w:rPr>
          <w:rFonts w:ascii="Arial Black" w:hAnsi="Arial Black"/>
          <w:sz w:val="28"/>
          <w:szCs w:val="28"/>
        </w:rPr>
      </w:pPr>
    </w:p>
    <w:p w14:paraId="2323249A" w14:textId="4FA72154" w:rsidR="00BC3D44" w:rsidRPr="00C26E83" w:rsidRDefault="00BC3D44" w:rsidP="00BC3D44">
      <w:pPr>
        <w:pStyle w:val="NoSpacing"/>
        <w:rPr>
          <w:rFonts w:ascii="Arial Black" w:hAnsi="Arial Black"/>
          <w:sz w:val="28"/>
          <w:szCs w:val="28"/>
        </w:rPr>
      </w:pPr>
      <w:r w:rsidRPr="00C26E83">
        <w:rPr>
          <w:rFonts w:ascii="Arial Black" w:hAnsi="Arial Black"/>
          <w:sz w:val="28"/>
          <w:szCs w:val="28"/>
        </w:rPr>
        <w:t xml:space="preserve">OH: </w:t>
      </w:r>
      <w:r>
        <w:rPr>
          <w:rFonts w:ascii="Arial Black" w:hAnsi="Arial Black"/>
          <w:sz w:val="28"/>
          <w:szCs w:val="28"/>
        </w:rPr>
        <w:t xml:space="preserve">FEMALE </w:t>
      </w:r>
      <w:r>
        <w:rPr>
          <w:rFonts w:ascii="Arial Black" w:hAnsi="Arial Black"/>
          <w:b/>
          <w:sz w:val="28"/>
          <w:szCs w:val="28"/>
        </w:rPr>
        <w:t xml:space="preserve">EMT FIRED – PORN PHOTOS MALE EMT / WIFE </w:t>
      </w:r>
    </w:p>
    <w:p w14:paraId="163FE5C4" w14:textId="77777777" w:rsidR="00BC3D44" w:rsidRPr="00C26E83" w:rsidRDefault="00BC3D44" w:rsidP="00BC3D44">
      <w:pPr>
        <w:pStyle w:val="NoSpacing"/>
      </w:pPr>
    </w:p>
    <w:p w14:paraId="2C5E3E10" w14:textId="77777777" w:rsidR="00BC3D44" w:rsidRPr="00C26E83" w:rsidRDefault="00BC3D44" w:rsidP="00BC3D44">
      <w:pPr>
        <w:pStyle w:val="NoSpacing"/>
      </w:pPr>
      <w:r w:rsidRPr="00C26E83">
        <w:t xml:space="preserve">On July 17, 2026, in </w:t>
      </w:r>
      <w:r w:rsidRPr="00C26E83">
        <w:rPr>
          <w:u w:val="single"/>
        </w:rPr>
        <w:t>Gertrude Crisp v. Scioto Ambulance District</w:t>
      </w:r>
      <w:r w:rsidRPr="00C26E83">
        <w:t xml:space="preserve">, the United States Court of Appeals for the Sixth Circuit (Cincinnati) held (3 to 0) that U.S. District Court judge properly granted summary judgment to the Ambulance District in Portsmouth, Ohio; the court discussed the “craziness” conduct of a male EMT trying to put plaintiff in a trash can, and also the plaintiff’s conduct several years later sharing online pornographic images of the male EMT and his wife.  </w:t>
      </w:r>
      <w:hyperlink r:id="rId1344" w:history="1">
        <w:r w:rsidRPr="00C26E83">
          <w:rPr>
            <w:rStyle w:val="Hyperlink"/>
          </w:rPr>
          <w:t>https://cases.justia.com/federal/appellate-courts/ca6/25-3885/25-3885-2026-07-17.pdf?ts=1784323840</w:t>
        </w:r>
      </w:hyperlink>
      <w:r w:rsidRPr="00C26E83">
        <w:t xml:space="preserve"> </w:t>
      </w:r>
    </w:p>
    <w:p w14:paraId="367FA595" w14:textId="77777777" w:rsidR="00BC3D44" w:rsidRDefault="00BC3D44" w:rsidP="00BC3D44">
      <w:pPr>
        <w:pStyle w:val="NoSpacing"/>
      </w:pPr>
    </w:p>
    <w:p w14:paraId="5A0020B1" w14:textId="77777777" w:rsidR="00BC3D44" w:rsidRDefault="00BC3D44" w:rsidP="00BC3D44">
      <w:pPr>
        <w:pStyle w:val="NoSpacing"/>
      </w:pPr>
    </w:p>
    <w:p w14:paraId="51F2FECA" w14:textId="77777777" w:rsidR="00BC3D44" w:rsidRDefault="00BC3D44" w:rsidP="00BC3D44">
      <w:pPr>
        <w:pStyle w:val="NoSpacing"/>
      </w:pPr>
      <w:r w:rsidRPr="00C26E83">
        <w:t>THE COURT WROTE: “According to Gertrude Crisp, an emergency medical technician, ‘the inmates run[] the insane asylum’ at her former workplace, the Scioto Ambulance District…. Part of the craziness, Crisp claims, is a time when another EMT at Scioto (Joshua Gullett) groped her and tried to stuff her into a trash can while on the job. When Crisp complained, a supervisor separated them and required that they never work the same shift, but Gullett faced no other repercussions. Crisp pursued no legal redress against Gullett or Scioto at that time. Instead, Crisp waited several years to respond, and when she did, it was in her own way crazy. One day, she recalled that there were allegedly pornographic images of Gullett and his wife online. While at work, she showed those images to several EMTs. Scioto fired Crisp for doing that, and Crisp sued, asserting that the firing was retaliatory under state and federal anti-discrimination law. The district court disagreed, and so do we.</w:t>
      </w:r>
    </w:p>
    <w:p w14:paraId="72257913" w14:textId="77777777" w:rsidR="00BC3D44" w:rsidRDefault="00BC3D44" w:rsidP="00BC3D44">
      <w:pPr>
        <w:pStyle w:val="NoSpacing"/>
      </w:pPr>
    </w:p>
    <w:p w14:paraId="22A2CB1C" w14:textId="77777777" w:rsidR="00BC3D44" w:rsidRDefault="00BC3D44" w:rsidP="00BC3D44">
      <w:pPr>
        <w:pStyle w:val="NoSpacing"/>
      </w:pPr>
      <w:r w:rsidRPr="00C26E83">
        <w:t xml:space="preserve"> *** </w:t>
      </w:r>
    </w:p>
    <w:p w14:paraId="5A56B8BA" w14:textId="77777777" w:rsidR="00BC3D44" w:rsidRPr="00C26E83" w:rsidRDefault="00BC3D44" w:rsidP="00BC3D44">
      <w:pPr>
        <w:pStyle w:val="NoSpacing"/>
      </w:pPr>
      <w:r w:rsidRPr="00C26E83">
        <w:t xml:space="preserve">Thus, to win relief from our court, Crisp is essentially left to persuade us that a jury could find her employer violated Title VII when it fired her for sharing nude images of a co-worker while on the clock. That she has not done. The district court’s judgment is AFFIRMED.” </w:t>
      </w:r>
    </w:p>
    <w:p w14:paraId="4BF9A351" w14:textId="77777777" w:rsidR="00BC3D44" w:rsidRDefault="00BC3D44" w:rsidP="00BC3D44">
      <w:pPr>
        <w:pStyle w:val="NoSpacing"/>
      </w:pPr>
    </w:p>
    <w:p w14:paraId="42FB3BE8" w14:textId="77777777" w:rsidR="00BC3D44" w:rsidRPr="00C53A3F" w:rsidRDefault="00BC3D44" w:rsidP="00BC3D44">
      <w:pPr>
        <w:pStyle w:val="NoSpacing"/>
        <w:rPr>
          <w:b/>
          <w:bCs/>
        </w:rPr>
      </w:pPr>
      <w:r w:rsidRPr="00C53A3F">
        <w:rPr>
          <w:b/>
        </w:rPr>
        <w:t xml:space="preserve">Legal lesson learned: If employer had formally disciplined the male EMT, then perhaps the “craziness” would have stopped. </w:t>
      </w:r>
    </w:p>
    <w:p w14:paraId="35A84683" w14:textId="77777777" w:rsidR="00C26E25" w:rsidRDefault="00C26E25" w:rsidP="00851CFA">
      <w:pPr>
        <w:pStyle w:val="NoSpacing"/>
        <w:rPr>
          <w:rFonts w:ascii="Arial Black" w:hAnsi="Arial Black"/>
          <w:sz w:val="28"/>
          <w:szCs w:val="28"/>
        </w:rPr>
      </w:pPr>
    </w:p>
    <w:p w14:paraId="6E21BF92" w14:textId="77777777" w:rsidR="00BC3D44" w:rsidRDefault="00BC3D44" w:rsidP="00851CFA">
      <w:pPr>
        <w:pStyle w:val="NoSpacing"/>
        <w:rPr>
          <w:rFonts w:ascii="Arial Black" w:hAnsi="Arial Black"/>
          <w:sz w:val="28"/>
          <w:szCs w:val="28"/>
        </w:rPr>
      </w:pPr>
    </w:p>
    <w:p w14:paraId="03D87C3F" w14:textId="77777777" w:rsidR="00BC3D44" w:rsidRDefault="00BC3D44" w:rsidP="00851CFA">
      <w:pPr>
        <w:pStyle w:val="NoSpacing"/>
        <w:rPr>
          <w:rFonts w:ascii="Arial Black" w:hAnsi="Arial Black"/>
          <w:sz w:val="28"/>
          <w:szCs w:val="28"/>
        </w:rPr>
      </w:pPr>
    </w:p>
    <w:p w14:paraId="7921A524" w14:textId="1FBF2AC5" w:rsidR="00851CFA" w:rsidRDefault="00851CFA" w:rsidP="00851CFA">
      <w:pPr>
        <w:pStyle w:val="NoSpacing"/>
        <w:rPr>
          <w:rFonts w:ascii="Arial Black" w:hAnsi="Arial Black"/>
          <w:sz w:val="28"/>
          <w:szCs w:val="28"/>
        </w:rPr>
      </w:pPr>
      <w:r>
        <w:rPr>
          <w:rFonts w:ascii="Arial Black" w:hAnsi="Arial Black"/>
          <w:sz w:val="28"/>
          <w:szCs w:val="28"/>
        </w:rPr>
        <w:t>7-93</w:t>
      </w:r>
    </w:p>
    <w:p w14:paraId="73FAD747" w14:textId="77777777" w:rsidR="00851CFA" w:rsidRDefault="00851CFA" w:rsidP="00C235E8">
      <w:pPr>
        <w:pStyle w:val="NoSpacing"/>
        <w:rPr>
          <w:rFonts w:ascii="Arial Black" w:hAnsi="Arial Black"/>
          <w:sz w:val="28"/>
          <w:szCs w:val="28"/>
        </w:rPr>
      </w:pPr>
    </w:p>
    <w:p w14:paraId="1FA2CC72" w14:textId="77777777" w:rsidR="00BC4C9B" w:rsidRPr="008129D1" w:rsidRDefault="00BC4C9B" w:rsidP="00BC4C9B">
      <w:pPr>
        <w:pStyle w:val="NoSpacing"/>
        <w:rPr>
          <w:rFonts w:ascii="Arial Black" w:hAnsi="Arial Black"/>
          <w:b/>
          <w:sz w:val="28"/>
          <w:szCs w:val="28"/>
        </w:rPr>
      </w:pPr>
      <w:r>
        <w:rPr>
          <w:rFonts w:ascii="Arial Black" w:hAnsi="Arial Black"/>
          <w:b/>
          <w:sz w:val="28"/>
          <w:szCs w:val="28"/>
        </w:rPr>
        <w:t xml:space="preserve">IL: ONLY FEM - PORN MAG – SEX TALK - “SHEENA BUCKS”  </w:t>
      </w:r>
    </w:p>
    <w:p w14:paraId="438A0209" w14:textId="77777777" w:rsidR="00BC4C9B" w:rsidRDefault="00BC4C9B" w:rsidP="00BC4C9B">
      <w:pPr>
        <w:pStyle w:val="NoSpacing"/>
        <w:rPr>
          <w:b/>
        </w:rPr>
      </w:pPr>
    </w:p>
    <w:p w14:paraId="207CFE32" w14:textId="77777777" w:rsidR="00BC4C9B" w:rsidRDefault="00BC4C9B" w:rsidP="00BC4C9B">
      <w:pPr>
        <w:pStyle w:val="NoSpacing"/>
      </w:pPr>
      <w:r w:rsidRPr="005024CF">
        <w:t xml:space="preserve">On June 26, 2026, in </w:t>
      </w:r>
      <w:r w:rsidRPr="00EE302B">
        <w:rPr>
          <w:u w:val="single"/>
        </w:rPr>
        <w:t>Sheena Amble v. City of Rockford Fire Department</w:t>
      </w:r>
      <w:r>
        <w:t>, U.S. District Court Judge Iain D. Johnston, United States District Court for Northern District of Illinois, Western Division, held that her sexual harassment claim may proceed. However, conditions were not so severe that jury will not be asked if she was constructively forced to retire. The Court wrote: “</w:t>
      </w:r>
      <w:r w:rsidRPr="0080289D">
        <w:t>Within a few months</w:t>
      </w:r>
      <w:r>
        <w:t xml:space="preserve"> [of being </w:t>
      </w:r>
      <w:r w:rsidRPr="00A51A98">
        <w:t>transferred to Fire Station #4 in January 2019</w:t>
      </w:r>
      <w:r>
        <w:t>; only female at that station]</w:t>
      </w:r>
      <w:r w:rsidRPr="0080289D">
        <w:t>, pornographic magazines depicting nude females were left in a restroom, at least one crude conversation regarding oral sex occurred in Amble's presence, and play money depicting Amble's image was left on at least two occasions on a fire station bulletin board. This is sufficiently related to Amble's sex to survive summary judgment.</w:t>
      </w:r>
      <w:r>
        <w:t xml:space="preserve">” </w:t>
      </w:r>
      <w:hyperlink r:id="rId1345" w:history="1">
        <w:r w:rsidRPr="00E96FE1">
          <w:rPr>
            <w:rStyle w:val="Hyperlink"/>
          </w:rPr>
          <w:t>https://public.fastcase.com/Jhe1Qn%2BmJndQYQU6z%2FeNm4EknQ9bna34cDUqwi843otGfsnh4A%2FeYA9Hr6KrteFypi4%2BJsSKfbktA3m%2FwjVXVmU7hL2EQjK1ikmyt15wjVE%3D?utm_medium=email&amp;_hsenc=p2ANqtz--0s-Gqa1uWmBF4bwmJiG-zFePE1DiZBvElWG9MDL4AExGpxO5pGHEbiE5NOgiOIpfGRDMDibK3WS6s5HJa2qaBlry6oQ&amp;_hsmi=226712652&amp;utm_content=226712652&amp;utm_source=hs_email</w:t>
        </w:r>
      </w:hyperlink>
      <w:r>
        <w:t xml:space="preserve"> </w:t>
      </w:r>
    </w:p>
    <w:p w14:paraId="76307F5B" w14:textId="77777777" w:rsidR="00BC4C9B" w:rsidRDefault="00BC4C9B" w:rsidP="00BC4C9B">
      <w:pPr>
        <w:pStyle w:val="NoSpacing"/>
      </w:pPr>
    </w:p>
    <w:p w14:paraId="3D92B2EE" w14:textId="77777777" w:rsidR="00BC4C9B" w:rsidRDefault="00BC4C9B" w:rsidP="00BC4C9B">
      <w:pPr>
        <w:pStyle w:val="NoSpacing"/>
        <w:rPr>
          <w:bCs/>
        </w:rPr>
      </w:pPr>
    </w:p>
    <w:p w14:paraId="3FE72B74" w14:textId="77777777" w:rsidR="00BC4C9B" w:rsidRDefault="00BC4C9B" w:rsidP="00BC4C9B">
      <w:pPr>
        <w:pStyle w:val="NoSpacing"/>
        <w:rPr>
          <w:b/>
        </w:rPr>
      </w:pPr>
      <w:r w:rsidRPr="00613EDA">
        <w:rPr>
          <w:b/>
        </w:rPr>
        <w:t>FACTS:</w:t>
      </w:r>
    </w:p>
    <w:p w14:paraId="227AD690" w14:textId="77777777" w:rsidR="00BC4C9B" w:rsidRDefault="00BC4C9B" w:rsidP="00BC4C9B">
      <w:pPr>
        <w:pStyle w:val="NoSpacing"/>
        <w:rPr>
          <w:b/>
        </w:rPr>
      </w:pPr>
    </w:p>
    <w:p w14:paraId="5D86087C" w14:textId="77777777" w:rsidR="00BC4C9B" w:rsidRDefault="00BC4C9B" w:rsidP="00BC4C9B">
      <w:pPr>
        <w:pStyle w:val="NoSpacing"/>
      </w:pPr>
      <w:r>
        <w:t>“</w:t>
      </w:r>
      <w:r w:rsidRPr="00EB4692">
        <w:t>Amble was hired by RFD on March 29, 2004</w:t>
      </w:r>
      <w:r>
        <w:t xml:space="preserve">. </w:t>
      </w:r>
      <w:r w:rsidRPr="00EB4692">
        <w:t xml:space="preserve">Other than a short stint of employment with the Madison, Wisconsin Fire Department in 2006-2007, Amble remained employed by RFD until her resignation in May 2019. </w:t>
      </w:r>
    </w:p>
    <w:p w14:paraId="7A006365" w14:textId="77777777" w:rsidR="00BC4C9B" w:rsidRDefault="00BC4C9B" w:rsidP="00BC4C9B">
      <w:pPr>
        <w:pStyle w:val="NoSpacing"/>
      </w:pPr>
    </w:p>
    <w:p w14:paraId="7BF21E89" w14:textId="77777777" w:rsidR="00BC4C9B" w:rsidRDefault="00BC4C9B" w:rsidP="00BC4C9B">
      <w:pPr>
        <w:pStyle w:val="NoSpacing"/>
      </w:pPr>
      <w:r>
        <w:t>***</w:t>
      </w:r>
    </w:p>
    <w:p w14:paraId="128A6FEC" w14:textId="77777777" w:rsidR="00BC4C9B" w:rsidRDefault="00BC4C9B" w:rsidP="00BC4C9B">
      <w:pPr>
        <w:pStyle w:val="NoSpacing"/>
      </w:pPr>
      <w:r w:rsidRPr="00A51A98">
        <w:t>Notwithstanding the denied station transfer in 2011, Amble was transferred to Fire Station #4 in January 2019</w:t>
      </w:r>
      <w:r>
        <w:t xml:space="preserve">…. </w:t>
      </w:r>
      <w:r w:rsidRPr="00A51A98">
        <w:t xml:space="preserve">While at Fire Station #4, Amble was present or subject to at least one conversation of a sexual nature, including two male firefighters crudely conversing in Amble's presence, questioning how vegans would </w:t>
      </w:r>
      <w:r>
        <w:t>‘</w:t>
      </w:r>
      <w:r w:rsidRPr="00A51A98">
        <w:t>suck dick,</w:t>
      </w:r>
      <w:r>
        <w:t>’</w:t>
      </w:r>
      <w:r w:rsidRPr="00A51A98">
        <w:t xml:space="preserve"> with one of them also stating that he would </w:t>
      </w:r>
      <w:r>
        <w:t>‘</w:t>
      </w:r>
      <w:r w:rsidRPr="00A51A98">
        <w:t>suck your dick so good.</w:t>
      </w:r>
      <w:r>
        <w:t xml:space="preserve">’ </w:t>
      </w:r>
    </w:p>
    <w:p w14:paraId="63F477D7" w14:textId="77777777" w:rsidR="00BC4C9B" w:rsidRDefault="00BC4C9B" w:rsidP="00BC4C9B">
      <w:pPr>
        <w:pStyle w:val="NoSpacing"/>
      </w:pPr>
    </w:p>
    <w:p w14:paraId="34A65B68" w14:textId="77777777" w:rsidR="00BC4C9B" w:rsidRDefault="00BC4C9B" w:rsidP="00BC4C9B">
      <w:pPr>
        <w:pStyle w:val="NoSpacing"/>
      </w:pPr>
      <w:r>
        <w:t>***</w:t>
      </w:r>
    </w:p>
    <w:p w14:paraId="6D0D78A0" w14:textId="77777777" w:rsidR="00BC4C9B" w:rsidRDefault="00BC4C9B" w:rsidP="00BC4C9B">
      <w:pPr>
        <w:pStyle w:val="NoSpacing"/>
      </w:pPr>
    </w:p>
    <w:p w14:paraId="38D975C8" w14:textId="77777777" w:rsidR="00BC4C9B" w:rsidRDefault="00BC4C9B" w:rsidP="00BC4C9B">
      <w:pPr>
        <w:pStyle w:val="NoSpacing"/>
      </w:pPr>
      <w:r w:rsidRPr="00686CD2">
        <w:t>Next, Amble found pornographic magazines in the restroom of another station</w:t>
      </w:r>
      <w:r>
        <w:t xml:space="preserve">…. </w:t>
      </w:r>
      <w:r w:rsidRPr="00686CD2">
        <w:t xml:space="preserve"> And Amble reported finding play money photoshopped with her image on it- apparently dubbed </w:t>
      </w:r>
      <w:r>
        <w:t>‘</w:t>
      </w:r>
      <w:r w:rsidRPr="00686CD2">
        <w:t>Sheena Bucks</w:t>
      </w:r>
      <w:r>
        <w:t>’</w:t>
      </w:r>
      <w:r w:rsidRPr="00686CD2">
        <w:t>-</w:t>
      </w:r>
      <w:r>
        <w:t xml:space="preserve"> </w:t>
      </w:r>
      <w:r w:rsidRPr="00686CD2">
        <w:t xml:space="preserve">on two separate occasions. Amble was the only female assigned to Fire Station #4. </w:t>
      </w:r>
    </w:p>
    <w:p w14:paraId="0988439D" w14:textId="77777777" w:rsidR="00BC4C9B" w:rsidRDefault="00BC4C9B" w:rsidP="00BC4C9B">
      <w:pPr>
        <w:pStyle w:val="NoSpacing"/>
      </w:pPr>
    </w:p>
    <w:p w14:paraId="4B969C3A" w14:textId="77777777" w:rsidR="00BC4C9B" w:rsidRDefault="00BC4C9B" w:rsidP="00BC4C9B">
      <w:pPr>
        <w:pStyle w:val="NoSpacing"/>
      </w:pPr>
      <w:r>
        <w:t xml:space="preserve">Paragraph 6: </w:t>
      </w:r>
      <w:r w:rsidRPr="001C7B3D">
        <w:t xml:space="preserve">As to this last point, a disputed fact remains </w:t>
      </w:r>
      <w:r w:rsidRPr="001C7B3D">
        <w:rPr>
          <w:i/>
          <w:iCs/>
        </w:rPr>
        <w:t>why</w:t>
      </w:r>
      <w:r w:rsidRPr="001C7B3D">
        <w:t xml:space="preserve"> another RFD employee made and published this image. Amble uses it as evidence of further sexual harassment, describing it as a “humiliating display[]... contributing] to a hostile environment.” </w:t>
      </w:r>
      <w:r>
        <w:t>…</w:t>
      </w:r>
      <w:r w:rsidRPr="001C7B3D">
        <w:t xml:space="preserve">RFD argues that the money was </w:t>
      </w:r>
      <w:proofErr w:type="gramStart"/>
      <w:r w:rsidRPr="001C7B3D">
        <w:t>actually posted</w:t>
      </w:r>
      <w:proofErr w:type="gramEnd"/>
      <w:r w:rsidRPr="001C7B3D">
        <w:t xml:space="preserve"> in response to Amble's reputation for paying other RFD employees to take shifts for her</w:t>
      </w:r>
      <w:r>
        <w:t xml:space="preserve">…. </w:t>
      </w:r>
      <w:r w:rsidRPr="001C7B3D">
        <w:t xml:space="preserve"> To the extent RFD uses an unproduced document detailing time trades that was sprung on Amble mid-deposition, Amble's objection is sustained for the purpose of summary judgment. In any event, there being an imbalance in time trades doesn't foreclose the possibility that the play money still constituted sexual harassment. That's a question for a jury.</w:t>
      </w:r>
    </w:p>
    <w:p w14:paraId="6BF42DC4" w14:textId="77777777" w:rsidR="00BC4C9B" w:rsidRPr="00EB4692" w:rsidRDefault="00BC4C9B" w:rsidP="00BC4C9B">
      <w:pPr>
        <w:pStyle w:val="NoSpacing"/>
      </w:pPr>
    </w:p>
    <w:p w14:paraId="118CAA19" w14:textId="77777777" w:rsidR="00BC4C9B" w:rsidRDefault="00BC4C9B" w:rsidP="00BC4C9B">
      <w:pPr>
        <w:pStyle w:val="NoSpacing"/>
      </w:pPr>
      <w:r>
        <w:t>***</w:t>
      </w:r>
    </w:p>
    <w:p w14:paraId="5C663827" w14:textId="77777777" w:rsidR="00BC4C9B" w:rsidRDefault="00BC4C9B" w:rsidP="00BC4C9B">
      <w:pPr>
        <w:pStyle w:val="NoSpacing"/>
      </w:pPr>
      <w:r w:rsidRPr="00875D03">
        <w:t>Amble complained to Captain Willie Brown and Human Resources Director Shaurice Hunter about this conduct and an investigation was conducted</w:t>
      </w:r>
      <w:r>
        <w:t xml:space="preserve">…. </w:t>
      </w:r>
      <w:r w:rsidRPr="00875D03">
        <w:t xml:space="preserve">This wasn't a formal disciplinary investigation, but rather an </w:t>
      </w:r>
      <w:r>
        <w:t>‘</w:t>
      </w:r>
      <w:r w:rsidRPr="00875D03">
        <w:t>informal fact-finding process.</w:t>
      </w:r>
      <w:r>
        <w:t>’ …</w:t>
      </w:r>
      <w:r w:rsidRPr="00875D03">
        <w:t xml:space="preserve"> Hunter found violations of rules and regulations but recommended only additional training be provided in sexual harassment, diversity, and business etiquette and professionalism</w:t>
      </w:r>
      <w:r>
        <w:t>…</w:t>
      </w:r>
      <w:r>
        <w:rPr>
          <w:vertAlign w:val="superscript"/>
        </w:rPr>
        <w:t xml:space="preserve">. </w:t>
      </w:r>
      <w:r w:rsidRPr="00875D03">
        <w:t xml:space="preserve"> Brown held meetings to try to resolve the conflict, but after these were unsuccessful, Amble insisted on escalating the </w:t>
      </w:r>
      <w:proofErr w:type="gramStart"/>
      <w:r w:rsidRPr="00875D03">
        <w:t>issues</w:t>
      </w:r>
      <w:r>
        <w:t>.”</w:t>
      </w:r>
      <w:proofErr w:type="gramEnd"/>
    </w:p>
    <w:p w14:paraId="58851D6A" w14:textId="77777777" w:rsidR="00BC4C9B" w:rsidRDefault="00BC4C9B" w:rsidP="00BC4C9B">
      <w:pPr>
        <w:pStyle w:val="NoSpacing"/>
      </w:pPr>
    </w:p>
    <w:p w14:paraId="05C63EE8" w14:textId="77777777" w:rsidR="00BC4C9B" w:rsidRPr="00875D03" w:rsidRDefault="00BC4C9B" w:rsidP="00BC4C9B">
      <w:pPr>
        <w:pStyle w:val="NoSpacing"/>
        <w:rPr>
          <w:b/>
          <w:bCs/>
        </w:rPr>
      </w:pPr>
      <w:r w:rsidRPr="00875D03">
        <w:rPr>
          <w:b/>
        </w:rPr>
        <w:lastRenderedPageBreak/>
        <w:t>COURT HELD:</w:t>
      </w:r>
    </w:p>
    <w:p w14:paraId="21680421" w14:textId="77777777" w:rsidR="00BC4C9B" w:rsidRDefault="00BC4C9B" w:rsidP="00BC4C9B">
      <w:pPr>
        <w:pStyle w:val="NoSpacing"/>
      </w:pPr>
    </w:p>
    <w:p w14:paraId="2E732228" w14:textId="77777777" w:rsidR="00BC4C9B" w:rsidRDefault="00BC4C9B" w:rsidP="00BC4C9B">
      <w:pPr>
        <w:pStyle w:val="NoSpacing"/>
      </w:pPr>
      <w:r>
        <w:t>“</w:t>
      </w:r>
      <w:r w:rsidRPr="00613EDA">
        <w:t xml:space="preserve">In a single paragraph, RFD claims that the harassment suffered by Amble was not sexual harassment, in that it was not “based on” her sex. RFD Memorandum [64] at 15. Amble responds by pointing toward the record indicating sexually inappropriate conversations in the workplace and the presence of pornography- specifically </w:t>
      </w:r>
      <w:proofErr w:type="spellStart"/>
      <w:r w:rsidRPr="00613EDA">
        <w:t>PlayBoy</w:t>
      </w:r>
      <w:proofErr w:type="spellEnd"/>
      <w:r w:rsidRPr="00613EDA">
        <w:t xml:space="preserve"> and </w:t>
      </w:r>
      <w:proofErr w:type="spellStart"/>
      <w:r w:rsidRPr="00613EDA">
        <w:t>PentHouse</w:t>
      </w:r>
      <w:proofErr w:type="spellEnd"/>
      <w:r w:rsidRPr="00613EDA">
        <w:t xml:space="preserve"> magazines-in a setting where she was the only female employee. Amble Response Brief [73] at 4-5</w:t>
      </w:r>
      <w:r>
        <w:t xml:space="preserve">…. </w:t>
      </w:r>
      <w:r w:rsidRPr="00FF490D">
        <w:t xml:space="preserve">Looking specifically to the conduct occurring at RFD though, a reasonable jury </w:t>
      </w:r>
      <w:r>
        <w:t xml:space="preserve"> </w:t>
      </w:r>
      <w:r w:rsidRPr="00FF490D">
        <w:t>could find that the harassment was related to Amble's sex sufficient to constitute sexual harassment</w:t>
      </w:r>
      <w:r>
        <w:t>.”</w:t>
      </w:r>
    </w:p>
    <w:p w14:paraId="11F22CE7" w14:textId="77777777" w:rsidR="00BC4C9B" w:rsidRDefault="00BC4C9B" w:rsidP="00BC4C9B">
      <w:pPr>
        <w:pStyle w:val="NoSpacing"/>
      </w:pPr>
    </w:p>
    <w:p w14:paraId="12B161A1" w14:textId="77777777" w:rsidR="00BC4C9B" w:rsidRDefault="00BC4C9B" w:rsidP="00BC4C9B">
      <w:pPr>
        <w:pStyle w:val="NoSpacing"/>
      </w:pPr>
      <w:r>
        <w:rPr>
          <w:b/>
        </w:rPr>
        <w:t xml:space="preserve">Legal lesson learned: Captain tried to informally handle; best to promptly inform Chief and conduct formal investigation. </w:t>
      </w:r>
      <w:r>
        <w:t xml:space="preserve"> </w:t>
      </w:r>
    </w:p>
    <w:p w14:paraId="39FB0A72" w14:textId="77777777" w:rsidR="00BC4C9B" w:rsidRDefault="00BC4C9B" w:rsidP="00BC4C9B">
      <w:pPr>
        <w:pStyle w:val="NoSpacing"/>
      </w:pPr>
    </w:p>
    <w:p w14:paraId="3658B674" w14:textId="77777777" w:rsidR="00BC4C9B" w:rsidRDefault="00BC4C9B" w:rsidP="00C235E8">
      <w:pPr>
        <w:pStyle w:val="NoSpacing"/>
        <w:rPr>
          <w:rFonts w:ascii="Arial Black" w:hAnsi="Arial Black"/>
          <w:sz w:val="28"/>
          <w:szCs w:val="28"/>
        </w:rPr>
      </w:pPr>
    </w:p>
    <w:p w14:paraId="64E0D045" w14:textId="77777777" w:rsidR="00BC4C9B" w:rsidRDefault="00BC4C9B" w:rsidP="00C235E8">
      <w:pPr>
        <w:pStyle w:val="NoSpacing"/>
        <w:rPr>
          <w:rFonts w:ascii="Arial Black" w:hAnsi="Arial Black"/>
          <w:sz w:val="28"/>
          <w:szCs w:val="28"/>
        </w:rPr>
      </w:pPr>
    </w:p>
    <w:p w14:paraId="615A3AC4" w14:textId="045C52CA" w:rsidR="008E1A23" w:rsidRDefault="00174D48" w:rsidP="00C235E8">
      <w:pPr>
        <w:pStyle w:val="NoSpacing"/>
        <w:rPr>
          <w:rFonts w:ascii="Arial Black" w:hAnsi="Arial Black"/>
          <w:sz w:val="28"/>
          <w:szCs w:val="28"/>
        </w:rPr>
      </w:pPr>
      <w:r>
        <w:rPr>
          <w:rFonts w:ascii="Arial Black" w:hAnsi="Arial Black"/>
          <w:sz w:val="28"/>
          <w:szCs w:val="28"/>
        </w:rPr>
        <w:t>7-92</w:t>
      </w:r>
    </w:p>
    <w:p w14:paraId="627D7365" w14:textId="77777777" w:rsidR="008E1A23" w:rsidRPr="00C028F5" w:rsidRDefault="008E1A23" w:rsidP="008E1A23">
      <w:pPr>
        <w:pStyle w:val="NoSpacing"/>
        <w:rPr>
          <w:bCs/>
        </w:rPr>
      </w:pPr>
    </w:p>
    <w:p w14:paraId="01C0C8DB" w14:textId="77777777" w:rsidR="008E1A23" w:rsidRPr="00387B27" w:rsidRDefault="008E1A23" w:rsidP="008E1A23">
      <w:pPr>
        <w:rPr>
          <w:rFonts w:ascii="Arial Black" w:hAnsi="Arial Black"/>
          <w:b/>
          <w:sz w:val="28"/>
          <w:szCs w:val="28"/>
        </w:rPr>
      </w:pPr>
      <w:r>
        <w:rPr>
          <w:rFonts w:ascii="Arial Black" w:hAnsi="Arial Black"/>
          <w:b/>
          <w:sz w:val="28"/>
          <w:szCs w:val="28"/>
        </w:rPr>
        <w:t>MA: FORMER CHIEF – $1.5M – PROTESTED NIECE DISCRIM</w:t>
      </w:r>
    </w:p>
    <w:p w14:paraId="5BE620E5" w14:textId="77777777" w:rsidR="008E1A23" w:rsidRDefault="008E1A23" w:rsidP="008E1A23">
      <w:pPr>
        <w:pStyle w:val="NoSpacing"/>
        <w:rPr>
          <w:bCs/>
        </w:rPr>
      </w:pPr>
      <w:r>
        <w:t xml:space="preserve">On May 15, 2026, in </w:t>
      </w:r>
      <w:r w:rsidRPr="00EC782D">
        <w:rPr>
          <w:u w:val="single"/>
        </w:rPr>
        <w:t>Kevin C. Robinson v. Town of Mansfield</w:t>
      </w:r>
      <w:r>
        <w:t xml:space="preserve">, the </w:t>
      </w:r>
      <w:r w:rsidRPr="00467B0D">
        <w:t>Supreme Judicial Court of Massachusetts, Plymouth</w:t>
      </w:r>
      <w:r>
        <w:t xml:space="preserve"> held (6 to 0) that the jury award of compensatory and punitive damages is affirmed, and the former Fire Chief can also apply for reimbursement of attorney fees for the appeal.  </w:t>
      </w:r>
      <w:r w:rsidRPr="00E31486">
        <w:t>Robinson began working as a</w:t>
      </w:r>
      <w:r>
        <w:t xml:space="preserve"> </w:t>
      </w:r>
      <w:r w:rsidRPr="00E31486">
        <w:t>firefighter for the town in 1978. In 2003, Robinson was</w:t>
      </w:r>
      <w:r>
        <w:t xml:space="preserve"> </w:t>
      </w:r>
      <w:r w:rsidRPr="00E31486">
        <w:t>appointed fire chief by the town's board of selectmen</w:t>
      </w:r>
      <w:r>
        <w:t>. THE COURT WROTE: “</w:t>
      </w:r>
      <w:r w:rsidRPr="00FA570B">
        <w:t>Both Robinson's brother, Shaun, and Robinson's son, Craig,</w:t>
      </w:r>
      <w:r>
        <w:t xml:space="preserve"> </w:t>
      </w:r>
      <w:r w:rsidRPr="00FA570B">
        <w:t>were firefighters in the department and worked under Robinson's</w:t>
      </w:r>
      <w:r>
        <w:t xml:space="preserve"> </w:t>
      </w:r>
      <w:r w:rsidRPr="00FA570B">
        <w:t>supervision for several years.</w:t>
      </w:r>
      <w:r>
        <w:t xml:space="preserve"> </w:t>
      </w:r>
      <w:r w:rsidRPr="00081490">
        <w:t>In February 2013,</w:t>
      </w:r>
      <w:r>
        <w:t xml:space="preserve"> </w:t>
      </w:r>
      <w:r w:rsidRPr="00081490">
        <w:t>the department had two vacancies. The top two candidates on the</w:t>
      </w:r>
      <w:r>
        <w:t xml:space="preserve"> </w:t>
      </w:r>
      <w:r w:rsidRPr="00081490">
        <w:t>civil service examination, both women, were Jodi Corrigan and</w:t>
      </w:r>
      <w:r>
        <w:t xml:space="preserve"> </w:t>
      </w:r>
      <w:r w:rsidRPr="00081490">
        <w:t>Robinson's niece, Shauna, who was a paramedic. Before Shauna</w:t>
      </w:r>
      <w:r>
        <w:t xml:space="preserve"> </w:t>
      </w:r>
      <w:r w:rsidRPr="00081490">
        <w:t>was hired, Robinson met with the board to discuss potential</w:t>
      </w:r>
      <w:r>
        <w:t xml:space="preserve"> </w:t>
      </w:r>
      <w:r w:rsidRPr="00081490">
        <w:t>conflicts of interest in connection with her employment.</w:t>
      </w:r>
      <w:r>
        <w:t xml:space="preserve"> </w:t>
      </w:r>
      <w:r w:rsidRPr="00081490">
        <w:t>Although nieces are not immediate family members under G. L.</w:t>
      </w:r>
      <w:r>
        <w:t xml:space="preserve"> </w:t>
      </w:r>
      <w:r w:rsidRPr="00081490">
        <w:t>c. 268A, Robinson nevertheless submitted the forms disclosing</w:t>
      </w:r>
      <w:r>
        <w:t xml:space="preserve"> </w:t>
      </w:r>
      <w:r w:rsidRPr="00081490">
        <w:t>his financial interest and the appearance of a conflict of</w:t>
      </w:r>
      <w:r>
        <w:t xml:space="preserve"> </w:t>
      </w:r>
      <w:r w:rsidRPr="00081490">
        <w:t>interest, under § 19 (b) and § 23 (b) (3), as he had done when</w:t>
      </w:r>
      <w:r>
        <w:t xml:space="preserve"> </w:t>
      </w:r>
      <w:r w:rsidRPr="00081490">
        <w:t>Shaun and Craig were hired.</w:t>
      </w:r>
      <w:r>
        <w:t xml:space="preserve"> </w:t>
      </w:r>
      <w:r w:rsidRPr="009B2829">
        <w:t>Robinson also recused himself from</w:t>
      </w:r>
      <w:r>
        <w:t xml:space="preserve"> </w:t>
      </w:r>
      <w:r w:rsidRPr="009B2829">
        <w:t>the hiring process.</w:t>
      </w:r>
      <w:r>
        <w:t xml:space="preserve"> </w:t>
      </w:r>
      <w:r w:rsidRPr="00714E6C">
        <w:t>In October 2013, the board approved Shauna's selection and</w:t>
      </w:r>
      <w:r>
        <w:t xml:space="preserve"> </w:t>
      </w:r>
      <w:r w:rsidRPr="00714E6C">
        <w:t>Robinson's disclosure forms but set several conditions with</w:t>
      </w:r>
      <w:r>
        <w:t xml:space="preserve"> </w:t>
      </w:r>
      <w:r w:rsidRPr="00714E6C">
        <w:t>respect to Robinson's involvement in Shauna, Craig, or Shaun's</w:t>
      </w:r>
      <w:r>
        <w:t xml:space="preserve"> </w:t>
      </w:r>
      <w:r w:rsidRPr="00714E6C">
        <w:t>work. Specifically, as to these family members, Robinson was</w:t>
      </w:r>
      <w:r>
        <w:t xml:space="preserve"> </w:t>
      </w:r>
      <w:r w:rsidRPr="00714E6C">
        <w:t>required to recuse himself from decisions relating to</w:t>
      </w:r>
      <w:r>
        <w:t xml:space="preserve"> </w:t>
      </w:r>
      <w:r w:rsidRPr="00714E6C">
        <w:t>appointments or promotions; prohibited from making any</w:t>
      </w:r>
      <w:r>
        <w:t xml:space="preserve"> </w:t>
      </w:r>
      <w:r w:rsidRPr="00714E6C">
        <w:t>discretionary assignments resulting in additional wages or</w:t>
      </w:r>
      <w:r>
        <w:t xml:space="preserve"> </w:t>
      </w:r>
      <w:r w:rsidRPr="00714E6C">
        <w:t>overtime; and required to refer any disciplinary matters to the</w:t>
      </w:r>
      <w:r>
        <w:t xml:space="preserve"> </w:t>
      </w:r>
      <w:r w:rsidRPr="00A33750">
        <w:t>town administrator, Rocco Longo, who would be responsible for</w:t>
      </w:r>
      <w:r>
        <w:t xml:space="preserve"> </w:t>
      </w:r>
      <w:r w:rsidRPr="00A33750">
        <w:t>investigating the matter and making a recommendation to</w:t>
      </w:r>
      <w:r>
        <w:t xml:space="preserve"> </w:t>
      </w:r>
      <w:r w:rsidRPr="00A33750">
        <w:t>Robinson.</w:t>
      </w:r>
      <w:r>
        <w:t xml:space="preserve"> *** </w:t>
      </w:r>
      <w:r w:rsidRPr="00154D65">
        <w:t xml:space="preserve">Robinson </w:t>
      </w:r>
      <w:r>
        <w:t xml:space="preserve"> </w:t>
      </w:r>
      <w:r w:rsidRPr="00154D65">
        <w:t>alleged that the</w:t>
      </w:r>
      <w:r>
        <w:t xml:space="preserve"> </w:t>
      </w:r>
      <w:r w:rsidRPr="00154D65">
        <w:t>town retaliated against him for complaining that his niece</w:t>
      </w:r>
      <w:r>
        <w:t xml:space="preserve"> … </w:t>
      </w:r>
      <w:r w:rsidRPr="00154D65">
        <w:t>was being</w:t>
      </w:r>
      <w:r>
        <w:t xml:space="preserve"> </w:t>
      </w:r>
      <w:r w:rsidRPr="00154D65">
        <w:t>discriminated against because of her gender. After trial, a</w:t>
      </w:r>
      <w:r>
        <w:t xml:space="preserve"> </w:t>
      </w:r>
      <w:r w:rsidRPr="00154D65">
        <w:t>jury found the town liable for retaliation and awarded Robinson</w:t>
      </w:r>
      <w:r>
        <w:t xml:space="preserve"> </w:t>
      </w:r>
      <w:r w:rsidRPr="00154D65">
        <w:t>compensatory and punitive damages</w:t>
      </w:r>
      <w:r>
        <w:t xml:space="preserve">… </w:t>
      </w:r>
      <w:r w:rsidRPr="00663491">
        <w:t>We conclude that there was sufficient evidence for the jury</w:t>
      </w:r>
      <w:r>
        <w:t xml:space="preserve"> </w:t>
      </w:r>
      <w:r w:rsidRPr="00663491">
        <w:t>to find that the town retaliated against Robinson because he</w:t>
      </w:r>
      <w:r>
        <w:t xml:space="preserve"> </w:t>
      </w:r>
      <w:r w:rsidRPr="00663491">
        <w:t xml:space="preserve">complained of gender </w:t>
      </w:r>
      <w:proofErr w:type="gramStart"/>
      <w:r w:rsidRPr="00663491">
        <w:t>discrimination</w:t>
      </w:r>
      <w:r>
        <w:t>.”</w:t>
      </w:r>
      <w:proofErr w:type="gramEnd"/>
      <w:r>
        <w:t xml:space="preserve"> </w:t>
      </w:r>
      <w:hyperlink r:id="rId1346" w:history="1">
        <w:r w:rsidRPr="008966A9">
          <w:rPr>
            <w:rStyle w:val="Hyperlink"/>
          </w:rPr>
          <w:t>https://www.mass.gov/doc/robinson-v-marshfield-sjc-f13825/download</w:t>
        </w:r>
      </w:hyperlink>
      <w:r>
        <w:t xml:space="preserve"> </w:t>
      </w:r>
    </w:p>
    <w:p w14:paraId="2688D8E5" w14:textId="77777777" w:rsidR="008E1A23" w:rsidRDefault="008E1A23" w:rsidP="008E1A23">
      <w:pPr>
        <w:pStyle w:val="NoSpacing"/>
        <w:rPr>
          <w:bCs/>
        </w:rPr>
      </w:pPr>
    </w:p>
    <w:p w14:paraId="6AF5A2A7" w14:textId="77777777" w:rsidR="008E1A23" w:rsidRDefault="008E1A23" w:rsidP="008E1A23">
      <w:pPr>
        <w:pStyle w:val="NoSpacing"/>
        <w:rPr>
          <w:bCs/>
        </w:rPr>
      </w:pPr>
      <w:r>
        <w:t xml:space="preserve">THE COURT HELD: </w:t>
      </w:r>
      <w:r w:rsidRPr="00154D65">
        <w:t xml:space="preserve"> </w:t>
      </w:r>
      <w:r>
        <w:t xml:space="preserve"> </w:t>
      </w:r>
    </w:p>
    <w:p w14:paraId="6C6DDC39" w14:textId="77777777" w:rsidR="008E1A23" w:rsidRDefault="008E1A23" w:rsidP="008E1A23">
      <w:pPr>
        <w:pStyle w:val="NoSpacing"/>
        <w:rPr>
          <w:bCs/>
        </w:rPr>
      </w:pPr>
    </w:p>
    <w:p w14:paraId="4DA664C7" w14:textId="77777777" w:rsidR="008E1A23" w:rsidRDefault="008E1A23" w:rsidP="008E1A23">
      <w:pPr>
        <w:pStyle w:val="NoSpacing"/>
        <w:ind w:left="720"/>
        <w:rPr>
          <w:bCs/>
        </w:rPr>
      </w:pPr>
      <w:r>
        <w:t xml:space="preserve">“In November 2023, the Town authorized the hiring of the Fire Chief’s niece, Shauna, and another female firefighter, Jodi Corrigan.  While Jodi successfully completed her one-year probationary training, by </w:t>
      </w:r>
      <w:r w:rsidRPr="00E144F8">
        <w:t>early January 2014, multiple supervisors had expressed concerns</w:t>
      </w:r>
      <w:r>
        <w:t xml:space="preserve"> </w:t>
      </w:r>
      <w:r w:rsidRPr="00E144F8">
        <w:t>that Shauna was struggling with her training</w:t>
      </w:r>
      <w:r>
        <w:t xml:space="preserve">. </w:t>
      </w:r>
      <w:r w:rsidRPr="00E75635">
        <w:t>Shauna was evaluated by two outside fire chiefs and a paramedic, none of whom recommended that she be fired. However,</w:t>
      </w:r>
      <w:r>
        <w:t xml:space="preserve"> </w:t>
      </w:r>
      <w:r w:rsidRPr="00E75635">
        <w:t>Town Administrator Rocco Longo</w:t>
      </w:r>
      <w:r>
        <w:t xml:space="preserve"> </w:t>
      </w:r>
      <w:r w:rsidRPr="00E75635">
        <w:t xml:space="preserve">recommended that she be fired. </w:t>
      </w:r>
      <w:r>
        <w:t xml:space="preserve">Chief </w:t>
      </w:r>
      <w:r w:rsidRPr="00E75635">
        <w:t>Robinson spoke up for his niece.</w:t>
      </w:r>
      <w:r>
        <w:t xml:space="preserve">  </w:t>
      </w:r>
      <w:r w:rsidRPr="008B6C87">
        <w:t>Shauna ultimately suffered a shoulder</w:t>
      </w:r>
      <w:r>
        <w:t xml:space="preserve"> </w:t>
      </w:r>
      <w:r w:rsidRPr="008B6C87">
        <w:t>injury that prevented her from reporting to the fire academy,</w:t>
      </w:r>
      <w:r>
        <w:t xml:space="preserve"> </w:t>
      </w:r>
      <w:r w:rsidRPr="008B6C87">
        <w:t>and she resigned on April 13, 2014</w:t>
      </w:r>
      <w:r>
        <w:t xml:space="preserve">…. </w:t>
      </w:r>
      <w:r w:rsidRPr="00C8736C">
        <w:t>Corrigan likewise</w:t>
      </w:r>
      <w:r>
        <w:t xml:space="preserve"> </w:t>
      </w:r>
      <w:r w:rsidRPr="00C8736C">
        <w:t>resigned before the end of her first year and accepted</w:t>
      </w:r>
      <w:r>
        <w:t xml:space="preserve"> </w:t>
      </w:r>
      <w:r w:rsidRPr="00455DC7">
        <w:t>employment with a different fire department because morale at</w:t>
      </w:r>
      <w:r>
        <w:t xml:space="preserve"> </w:t>
      </w:r>
      <w:r w:rsidRPr="00455DC7">
        <w:t>the department was low and there was conflict among the union,</w:t>
      </w:r>
      <w:r>
        <w:t xml:space="preserve"> </w:t>
      </w:r>
      <w:r w:rsidRPr="00455DC7">
        <w:t>Robinson, and other employees</w:t>
      </w:r>
      <w:r>
        <w:t xml:space="preserve">.  </w:t>
      </w:r>
      <w:r w:rsidRPr="00A5359B">
        <w:t xml:space="preserve">On March 12, 2015, Robinson </w:t>
      </w:r>
      <w:r>
        <w:t xml:space="preserve">facing termination </w:t>
      </w:r>
      <w:r w:rsidRPr="00A5359B">
        <w:t>resigned.</w:t>
      </w:r>
      <w:r>
        <w:t xml:space="preserve">  </w:t>
      </w:r>
      <w:r>
        <w:lastRenderedPageBreak/>
        <w:t xml:space="preserve">The jury awarded him </w:t>
      </w:r>
      <w:r w:rsidRPr="000A5539">
        <w:t>$1,532,652.80. </w:t>
      </w:r>
      <w:r>
        <w:t xml:space="preserve">THE COURT WROTE: </w:t>
      </w:r>
      <w:r w:rsidRPr="00663491">
        <w:t>We conclude that there was sufficient evidence for the jury</w:t>
      </w:r>
      <w:r>
        <w:t xml:space="preserve"> </w:t>
      </w:r>
      <w:r w:rsidRPr="00663491">
        <w:t>to find that the town retaliated against Robinson because he</w:t>
      </w:r>
      <w:r>
        <w:t xml:space="preserve"> </w:t>
      </w:r>
      <w:r w:rsidRPr="00663491">
        <w:t>complained of gender discrimination.</w:t>
      </w:r>
    </w:p>
    <w:p w14:paraId="0374F9B1" w14:textId="77777777" w:rsidR="008E1A23" w:rsidRDefault="008E1A23" w:rsidP="008E1A23">
      <w:pPr>
        <w:pStyle w:val="NoSpacing"/>
        <w:ind w:left="720"/>
        <w:rPr>
          <w:bCs/>
        </w:rPr>
      </w:pPr>
    </w:p>
    <w:p w14:paraId="399BB525" w14:textId="77777777" w:rsidR="008E1A23" w:rsidRDefault="008E1A23" w:rsidP="008E1A23">
      <w:pPr>
        <w:pStyle w:val="NoSpacing"/>
        <w:ind w:left="720"/>
        <w:rPr>
          <w:bCs/>
        </w:rPr>
      </w:pPr>
      <w:r>
        <w:t>***</w:t>
      </w:r>
    </w:p>
    <w:p w14:paraId="25812EF9" w14:textId="77777777" w:rsidR="008E1A23" w:rsidRDefault="008E1A23" w:rsidP="008E1A23">
      <w:pPr>
        <w:ind w:left="720"/>
        <w:rPr>
          <w:bCs/>
        </w:rPr>
      </w:pPr>
      <w:r w:rsidRPr="00CC2969">
        <w:t>Finally, the evidence was also sufficient for the jury to</w:t>
      </w:r>
      <w:r>
        <w:t xml:space="preserve"> </w:t>
      </w:r>
      <w:r w:rsidRPr="00CC2969">
        <w:t>infer causation, that is, that the town retaliated against</w:t>
      </w:r>
      <w:r>
        <w:t xml:space="preserve"> </w:t>
      </w:r>
      <w:r w:rsidRPr="00CC2969">
        <w:t>Robinson because he complained of gender discrimination</w:t>
      </w:r>
      <w:r>
        <w:t xml:space="preserve">…. </w:t>
      </w:r>
      <w:r w:rsidRPr="002E25C3">
        <w:t>When Robinson began to complain about the unfair</w:t>
      </w:r>
      <w:r>
        <w:t xml:space="preserve"> </w:t>
      </w:r>
      <w:r w:rsidRPr="002E25C3">
        <w:t>treatment of Shauna</w:t>
      </w:r>
      <w:r>
        <w:t xml:space="preserve"> [his niece]</w:t>
      </w:r>
      <w:r w:rsidRPr="002E25C3">
        <w:t>, he had been successfully employed in the</w:t>
      </w:r>
      <w:r>
        <w:t xml:space="preserve"> </w:t>
      </w:r>
      <w:r w:rsidRPr="002E25C3">
        <w:t>department for more than three decades and had been the chief</w:t>
      </w:r>
      <w:r>
        <w:t xml:space="preserve"> </w:t>
      </w:r>
      <w:r w:rsidRPr="002E25C3">
        <w:t>for over one decade. After his complaint, a series of</w:t>
      </w:r>
      <w:r>
        <w:t xml:space="preserve"> </w:t>
      </w:r>
      <w:r w:rsidRPr="002E25C3">
        <w:t>interrelated actions occurred in relatively short order in a way</w:t>
      </w:r>
      <w:r>
        <w:t xml:space="preserve"> </w:t>
      </w:r>
      <w:r w:rsidRPr="002E25C3">
        <w:t>that could be reasonably interpreted as retaliatory</w:t>
      </w:r>
      <w:r>
        <w:t xml:space="preserve">…. </w:t>
      </w:r>
      <w:r w:rsidRPr="00E002D3">
        <w:t>Within ten days of Robinson's reporting of Shaun's</w:t>
      </w:r>
      <w:r>
        <w:t xml:space="preserve"> </w:t>
      </w:r>
      <w:r w:rsidRPr="00E002D3">
        <w:t>complaint that she had not been treated the same as similarly</w:t>
      </w:r>
      <w:r>
        <w:t xml:space="preserve"> </w:t>
      </w:r>
      <w:r w:rsidRPr="00E002D3">
        <w:t xml:space="preserve">situated male employees, Longo </w:t>
      </w:r>
      <w:r>
        <w:t>[</w:t>
      </w:r>
      <w:r w:rsidRPr="00A25082">
        <w:t>Town Administrator Rocco</w:t>
      </w:r>
      <w:r>
        <w:t xml:space="preserve">] </w:t>
      </w:r>
      <w:r w:rsidRPr="00E002D3">
        <w:t xml:space="preserve">and Clifford </w:t>
      </w:r>
      <w:r>
        <w:t>[</w:t>
      </w:r>
      <w:r w:rsidRPr="009640D4">
        <w:t>John Clifford</w:t>
      </w:r>
      <w:r>
        <w:t xml:space="preserve">, the </w:t>
      </w:r>
      <w:r w:rsidRPr="00F23D88">
        <w:t>town's labor</w:t>
      </w:r>
      <w:r>
        <w:t xml:space="preserve"> c</w:t>
      </w:r>
      <w:r w:rsidRPr="00F23D88">
        <w:t>ounsel</w:t>
      </w:r>
      <w:r>
        <w:t xml:space="preserve">] </w:t>
      </w:r>
      <w:r w:rsidRPr="00E002D3">
        <w:t>met with Robinson to</w:t>
      </w:r>
      <w:r>
        <w:t xml:space="preserve"> </w:t>
      </w:r>
      <w:r w:rsidRPr="00E002D3">
        <w:t>discuss a possible conflict of interest in violation of G. L.</w:t>
      </w:r>
      <w:r>
        <w:t xml:space="preserve"> </w:t>
      </w:r>
      <w:r w:rsidRPr="00E002D3">
        <w:t>c. 268A. Approximately three months after Robinson complained</w:t>
      </w:r>
      <w:r>
        <w:t xml:space="preserve"> </w:t>
      </w:r>
      <w:r w:rsidRPr="00E002D3">
        <w:t>to the board that Shauna was being treated unfairly, the board</w:t>
      </w:r>
      <w:r>
        <w:t xml:space="preserve"> </w:t>
      </w:r>
      <w:r w:rsidRPr="00E002D3">
        <w:t>voted not to renew his employment contract and not to increase</w:t>
      </w:r>
      <w:r>
        <w:t xml:space="preserve"> </w:t>
      </w:r>
      <w:r w:rsidRPr="00E002D3">
        <w:t>his salary. Then, almost two months after he refused to retire,</w:t>
      </w:r>
      <w:r>
        <w:t xml:space="preserve"> </w:t>
      </w:r>
      <w:r w:rsidRPr="00E002D3">
        <w:t>the Smith investigation began. Finally, about one month after</w:t>
      </w:r>
      <w:r>
        <w:t xml:space="preserve"> </w:t>
      </w:r>
      <w:r w:rsidRPr="00E002D3">
        <w:t>Galvin notified Smith</w:t>
      </w:r>
      <w:r>
        <w:t xml:space="preserve"> [outside legal counsel conducting Town’s investigation] </w:t>
      </w:r>
      <w:r w:rsidRPr="00E002D3">
        <w:t>about Robinson's apparent assistance in</w:t>
      </w:r>
      <w:r>
        <w:t xml:space="preserve"> </w:t>
      </w:r>
      <w:r w:rsidRPr="00E002D3">
        <w:t xml:space="preserve">Shauna's MCAD </w:t>
      </w:r>
      <w:r>
        <w:t>[</w:t>
      </w:r>
      <w:r w:rsidRPr="006A6DBE">
        <w:t>Massachusetts Commission Against Discrimination</w:t>
      </w:r>
      <w:r>
        <w:t xml:space="preserve">] </w:t>
      </w:r>
      <w:r w:rsidRPr="00E002D3">
        <w:t>complaint, Robinson was escorted from the</w:t>
      </w:r>
      <w:r>
        <w:t xml:space="preserve"> </w:t>
      </w:r>
      <w:r w:rsidRPr="00F065E1">
        <w:t>influence offenses. The timing of these events, demonstrating</w:t>
      </w:r>
      <w:r>
        <w:t xml:space="preserve"> </w:t>
      </w:r>
      <w:r w:rsidRPr="00F065E1">
        <w:t>temporal connections between complaints of discrimination and</w:t>
      </w:r>
      <w:r>
        <w:t xml:space="preserve"> </w:t>
      </w:r>
      <w:r w:rsidRPr="00F065E1">
        <w:t>the town's reaction, is sufficient evidence to support the</w:t>
      </w:r>
      <w:r>
        <w:t xml:space="preserve"> </w:t>
      </w:r>
      <w:r w:rsidRPr="00F065E1">
        <w:t>jury's determination that the town retaliated against Robinson</w:t>
      </w:r>
      <w:r>
        <w:t xml:space="preserve"> </w:t>
      </w:r>
      <w:r w:rsidRPr="00F065E1">
        <w:t>because of his protected activity.</w:t>
      </w:r>
      <w:r>
        <w:t>”</w:t>
      </w:r>
    </w:p>
    <w:p w14:paraId="67F3DAD3" w14:textId="77777777" w:rsidR="008E1A23" w:rsidRDefault="008E1A23" w:rsidP="008E1A23">
      <w:pPr>
        <w:rPr>
          <w:b/>
        </w:rPr>
      </w:pPr>
      <w:r>
        <w:rPr>
          <w:b/>
        </w:rPr>
        <w:t xml:space="preserve">Legal lesson learned:  A Fire Chief was required to recuse himself from discipline concerning his brother, his son and his niece; but had legal right to express concern to Town about gender discrimination to wars his niece. </w:t>
      </w:r>
    </w:p>
    <w:p w14:paraId="111EBEBA" w14:textId="77777777" w:rsidR="008E1A23" w:rsidRDefault="008E1A23" w:rsidP="008E1A23">
      <w:pPr>
        <w:ind w:left="720"/>
        <w:rPr>
          <w:bCs/>
        </w:rPr>
      </w:pPr>
      <w:r>
        <w:t>Note: The niece may have had some training issues.</w:t>
      </w:r>
    </w:p>
    <w:p w14:paraId="63879287" w14:textId="77777777" w:rsidR="008E1A23" w:rsidRDefault="008E1A23" w:rsidP="008E1A23">
      <w:pPr>
        <w:ind w:left="720"/>
        <w:rPr>
          <w:bCs/>
        </w:rPr>
      </w:pPr>
      <w:r>
        <w:t xml:space="preserve">Footnote 4: </w:t>
      </w:r>
    </w:p>
    <w:p w14:paraId="630D1E48" w14:textId="77777777" w:rsidR="008E1A23" w:rsidRDefault="008E1A23" w:rsidP="008E1A23">
      <w:pPr>
        <w:ind w:left="720"/>
        <w:rPr>
          <w:bCs/>
        </w:rPr>
      </w:pPr>
      <w:r>
        <w:t>“</w:t>
      </w:r>
      <w:r w:rsidRPr="00D82CF8">
        <w:t xml:space="preserve">For example, Cipullo </w:t>
      </w:r>
      <w:r>
        <w:t>[</w:t>
      </w:r>
      <w:r w:rsidRPr="00AB76E2">
        <w:t>Captain Louis</w:t>
      </w:r>
      <w:r>
        <w:t xml:space="preserve">] </w:t>
      </w:r>
      <w:r w:rsidRPr="00D82CF8">
        <w:t xml:space="preserve">was concerned that Shauna was too short for the job and that she </w:t>
      </w:r>
      <w:proofErr w:type="gramStart"/>
      <w:r w:rsidRPr="00D82CF8">
        <w:t>was not able to</w:t>
      </w:r>
      <w:proofErr w:type="gramEnd"/>
      <w:r w:rsidRPr="00D82CF8">
        <w:t xml:space="preserve"> reach the trucks’ side ladders, physically throw ground ladders, or raise a twenty-four-foot ladder. Morgan expressed concerns about Shauna's decision-making during emergency calls and indicated on most of her evaluation forms that Shauna needed retraining and her performance fell below expectations. The firefighters union president, Matthew Cohen, observed that Shauna was unable to complete </w:t>
      </w:r>
      <w:r>
        <w:t>‘</w:t>
      </w:r>
      <w:r w:rsidRPr="00D82CF8">
        <w:t>the stair chair of a patient down a few steps</w:t>
      </w:r>
      <w:r>
        <w:t>’</w:t>
      </w:r>
      <w:r w:rsidRPr="00D82CF8">
        <w:t xml:space="preserve"> or interpret </w:t>
      </w:r>
      <w:r>
        <w:t>‘</w:t>
      </w:r>
      <w:r w:rsidRPr="00D82CF8">
        <w:t>a 12-lead [electrocardiogram]</w:t>
      </w:r>
      <w:r>
        <w:t>’</w:t>
      </w:r>
      <w:r w:rsidRPr="00D82CF8">
        <w:t>; she failed to report a gastrointestinal bleed to hospital staff; and she did not know that all patients who accidentally received epinephrine injections had to be transported to the hospital. On January 1, 2014, two months into her one-year probationary period, Cipullo told Shauna that she was running out of time to improve her skills.</w:t>
      </w:r>
      <w:r>
        <w:t xml:space="preserve">” </w:t>
      </w:r>
    </w:p>
    <w:p w14:paraId="094F96D0" w14:textId="77777777" w:rsidR="008E1A23" w:rsidRDefault="008E1A23" w:rsidP="008E1A23">
      <w:pPr>
        <w:ind w:left="720"/>
      </w:pPr>
      <w:r>
        <w:t>See this article: “</w:t>
      </w:r>
      <w:r w:rsidRPr="00707FE8">
        <w:t>Former Marshfield fire chief won more than $1.5 million in retaliation lawsuit against town.</w:t>
      </w:r>
      <w:r>
        <w:t xml:space="preserve">” </w:t>
      </w:r>
      <w:r>
        <w:rPr>
          <w:b/>
        </w:rPr>
        <w:t xml:space="preserve"> </w:t>
      </w:r>
      <w:r w:rsidRPr="0072612F">
        <w:t>Kevin Robinson, chief of the fire department from 2003, was allegedly forced to retire from the department in 2015 when he spoke up for a female family member in the department facing discrimination.</w:t>
      </w:r>
      <w:r>
        <w:t xml:space="preserve"> </w:t>
      </w:r>
      <w:hyperlink r:id="rId1347" w:history="1">
        <w:r w:rsidRPr="006B0B97">
          <w:rPr>
            <w:rStyle w:val="Hyperlink"/>
          </w:rPr>
          <w:t>https://www.boston.com/news/local-news/2024/05/15/former-marshfield-fire-chief-won-more-than-1-5-million-in-retaliation-lawsuit-against-town/</w:t>
        </w:r>
      </w:hyperlink>
    </w:p>
    <w:p w14:paraId="4D595731" w14:textId="77777777" w:rsidR="008E1A23" w:rsidRDefault="008E1A23" w:rsidP="008E1A23">
      <w:pPr>
        <w:pStyle w:val="NoSpacing"/>
        <w:rPr>
          <w:bCs/>
        </w:rPr>
      </w:pPr>
    </w:p>
    <w:p w14:paraId="7772E464" w14:textId="77777777" w:rsidR="008E1A23" w:rsidRDefault="008E1A23" w:rsidP="008E1A23">
      <w:pPr>
        <w:pStyle w:val="NoSpacing"/>
        <w:rPr>
          <w:bCs/>
        </w:rPr>
      </w:pPr>
    </w:p>
    <w:p w14:paraId="0DB0B842" w14:textId="77777777" w:rsidR="008E1A23" w:rsidRDefault="008E1A23" w:rsidP="008E1A23">
      <w:pPr>
        <w:pStyle w:val="NoSpacing"/>
        <w:rPr>
          <w:bCs/>
        </w:rPr>
      </w:pPr>
    </w:p>
    <w:p w14:paraId="4BF98AF3" w14:textId="3A115AE1" w:rsidR="008E1A23" w:rsidRPr="00174D48" w:rsidRDefault="00174D48" w:rsidP="008E1A23">
      <w:pPr>
        <w:pStyle w:val="NoSpacing"/>
        <w:rPr>
          <w:rFonts w:ascii="Arial Black" w:hAnsi="Arial Black"/>
          <w:bCs/>
          <w:sz w:val="24"/>
          <w:szCs w:val="24"/>
        </w:rPr>
      </w:pPr>
      <w:r w:rsidRPr="00174D48">
        <w:rPr>
          <w:rFonts w:ascii="Arial Black" w:hAnsi="Arial Black"/>
          <w:bCs/>
          <w:sz w:val="24"/>
          <w:szCs w:val="24"/>
        </w:rPr>
        <w:t>7-91</w:t>
      </w:r>
    </w:p>
    <w:p w14:paraId="72CA893E" w14:textId="77777777" w:rsidR="00174D48" w:rsidRPr="006C3CFB" w:rsidRDefault="00174D48" w:rsidP="008E1A23">
      <w:pPr>
        <w:pStyle w:val="NoSpacing"/>
        <w:rPr>
          <w:bCs/>
        </w:rPr>
      </w:pPr>
    </w:p>
    <w:p w14:paraId="3F547673" w14:textId="77777777" w:rsidR="008E1A23" w:rsidRDefault="008E1A23" w:rsidP="008E1A23">
      <w:pPr>
        <w:pStyle w:val="NoSpacing"/>
        <w:rPr>
          <w:rFonts w:ascii="Arial Black" w:hAnsi="Arial Black"/>
          <w:sz w:val="28"/>
          <w:szCs w:val="28"/>
        </w:rPr>
      </w:pPr>
      <w:r>
        <w:rPr>
          <w:rFonts w:ascii="Arial Black" w:hAnsi="Arial Black"/>
          <w:sz w:val="28"/>
          <w:szCs w:val="28"/>
        </w:rPr>
        <w:lastRenderedPageBreak/>
        <w:t>VA: FEMALE BC – OUTSIDE FIRM INTERVIEWS - FIRE CHIEF</w:t>
      </w:r>
    </w:p>
    <w:p w14:paraId="26510261" w14:textId="77777777" w:rsidR="008E1A23" w:rsidRDefault="008E1A23" w:rsidP="008E1A23">
      <w:pPr>
        <w:pStyle w:val="NoSpacing"/>
        <w:rPr>
          <w:rFonts w:ascii="Arial Black" w:hAnsi="Arial Black"/>
          <w:sz w:val="28"/>
          <w:szCs w:val="28"/>
        </w:rPr>
      </w:pPr>
    </w:p>
    <w:p w14:paraId="0CD50C99" w14:textId="77777777" w:rsidR="008E1A23" w:rsidRPr="008E7970" w:rsidRDefault="008E1A23" w:rsidP="008E1A23">
      <w:pPr>
        <w:pStyle w:val="NoSpacing"/>
      </w:pPr>
      <w:r>
        <w:t xml:space="preserve">On May 14, 2026, in </w:t>
      </w:r>
      <w:r w:rsidRPr="006C7B0D">
        <w:rPr>
          <w:u w:val="single"/>
        </w:rPr>
        <w:t>Kathleen Stanley McCaffery v. Fairfax County</w:t>
      </w:r>
      <w:r>
        <w:t xml:space="preserve">, U.S. District Court Judge Rossie D. Alston, Jr., </w:t>
      </w:r>
      <w:r w:rsidRPr="00C93EE3">
        <w:t>United States District Court, E</w:t>
      </w:r>
      <w:r>
        <w:t xml:space="preserve">astern District of </w:t>
      </w:r>
      <w:r w:rsidRPr="00C93EE3">
        <w:t>Virginia</w:t>
      </w:r>
      <w:r>
        <w:t xml:space="preserve">, Alexandia Division, held that the Battalion Chief </w:t>
      </w:r>
      <w:r w:rsidRPr="008E7970">
        <w:t>failed to meet her burden as to pretext, and summary judgment will be granted to Defendant on her denial of promotion claims.</w:t>
      </w:r>
      <w:r>
        <w:t xml:space="preserve">  O</w:t>
      </w:r>
      <w:r w:rsidRPr="00181FCF">
        <w:t xml:space="preserve">n June 20, 2018, Plaintiff was interviewed by William Howland from </w:t>
      </w:r>
      <w:proofErr w:type="spellStart"/>
      <w:r w:rsidRPr="00181FCF">
        <w:t>PoliHire</w:t>
      </w:r>
      <w:proofErr w:type="spellEnd"/>
      <w:r w:rsidRPr="00181FCF">
        <w:t>, LLC, a third-party executive recruitment firm that was retained by the County to lead the recruitment and selection process for the Fire Chief vacancy</w:t>
      </w:r>
      <w:r>
        <w:t xml:space="preserve">; she was not selected as one of the three </w:t>
      </w:r>
      <w:proofErr w:type="gramStart"/>
      <w:r>
        <w:t>finalist</w:t>
      </w:r>
      <w:proofErr w:type="gramEnd"/>
      <w:r>
        <w:t>. THE COURT WROTE:</w:t>
      </w:r>
    </w:p>
    <w:p w14:paraId="6450F663" w14:textId="77777777" w:rsidR="008E1A23" w:rsidRDefault="008E1A23" w:rsidP="008E1A23">
      <w:pPr>
        <w:pStyle w:val="NoSpacing"/>
      </w:pPr>
      <w:r>
        <w:t>“</w:t>
      </w:r>
      <w:r w:rsidRPr="00714A3B">
        <w:t>Here, Plaintiff has presented no evidence, beyond her own conclusory opinion, that she was more qualified than Butler</w:t>
      </w:r>
      <w:r>
        <w:t xml:space="preserve"> [</w:t>
      </w:r>
      <w:r w:rsidRPr="009E1E48">
        <w:t>John Butler</w:t>
      </w:r>
      <w:r>
        <w:t xml:space="preserve">, </w:t>
      </w:r>
      <w:r w:rsidRPr="009E1E48">
        <w:t>Fire Chief, Howard County, Maryland, Fire and Rescue Department</w:t>
      </w:r>
      <w:r>
        <w:t xml:space="preserve">]…. </w:t>
      </w:r>
      <w:r w:rsidRPr="00714A3B">
        <w:t xml:space="preserve"> Additionally, even considering Plaintiff's inability to compete theory, based on the record before the Court, any inference of sex discrimination is undermined by: (</w:t>
      </w:r>
      <w:proofErr w:type="spellStart"/>
      <w:r w:rsidRPr="00714A3B">
        <w:t>i</w:t>
      </w:r>
      <w:proofErr w:type="spellEnd"/>
      <w:r w:rsidRPr="00714A3B">
        <w:t>) the fact that Plaintiff fails to allege any sex-based bias on behalf of the third-party selection firm; and (ii) the fact that the third-party selection firm did refer Merrell</w:t>
      </w:r>
      <w:r>
        <w:t xml:space="preserve"> [</w:t>
      </w:r>
      <w:r w:rsidRPr="009E1E48">
        <w:t>Moore Merrell</w:t>
      </w:r>
      <w:r>
        <w:t xml:space="preserve">, </w:t>
      </w:r>
      <w:r w:rsidRPr="009E1E48">
        <w:t>Senior Executive, IAFF</w:t>
      </w:r>
      <w:r>
        <w:t>]</w:t>
      </w:r>
      <w:r w:rsidRPr="00714A3B">
        <w:t>—a woman—for an interview.</w:t>
      </w:r>
      <w:r>
        <w:t xml:space="preserve">” </w:t>
      </w:r>
      <w:r w:rsidRPr="00714A3B">
        <w:t xml:space="preserve"> </w:t>
      </w:r>
      <w:hyperlink r:id="rId1348" w:history="1">
        <w:r w:rsidRPr="003823BB">
          <w:rPr>
            <w:rStyle w:val="Hyperlink"/>
          </w:rPr>
          <w:t>https://www.casemine.com/judgement/us/6a0be85df21cf013d419bfe6</w:t>
        </w:r>
      </w:hyperlink>
      <w:r>
        <w:t xml:space="preserve"> </w:t>
      </w:r>
    </w:p>
    <w:p w14:paraId="110925A2" w14:textId="77777777" w:rsidR="008E1A23" w:rsidRDefault="008E1A23" w:rsidP="008E1A23">
      <w:pPr>
        <w:pStyle w:val="NoSpacing"/>
      </w:pPr>
    </w:p>
    <w:p w14:paraId="26F58062" w14:textId="77777777" w:rsidR="008E1A23" w:rsidRDefault="008E1A23" w:rsidP="008E1A23">
      <w:pPr>
        <w:pStyle w:val="NoSpacing"/>
      </w:pPr>
    </w:p>
    <w:p w14:paraId="334B02D9" w14:textId="77777777" w:rsidR="008E1A23" w:rsidRDefault="008E1A23" w:rsidP="008E1A23">
      <w:pPr>
        <w:pStyle w:val="NoSpacing"/>
      </w:pPr>
      <w:r>
        <w:t>THE COURT HELD:</w:t>
      </w:r>
    </w:p>
    <w:p w14:paraId="5FB9111A" w14:textId="77777777" w:rsidR="008E1A23" w:rsidRDefault="008E1A23" w:rsidP="008E1A23">
      <w:pPr>
        <w:pStyle w:val="NoSpacing"/>
      </w:pPr>
    </w:p>
    <w:p w14:paraId="59D1FD38" w14:textId="77777777" w:rsidR="008E1A23" w:rsidRPr="00D41E9D" w:rsidRDefault="008E1A23" w:rsidP="008E1A23">
      <w:pPr>
        <w:pStyle w:val="NoSpacing"/>
        <w:ind w:firstLine="720"/>
      </w:pPr>
      <w:r>
        <w:t>“</w:t>
      </w:r>
      <w:r w:rsidRPr="00D41E9D">
        <w:t>The undisputed facts are as follows:</w:t>
      </w:r>
    </w:p>
    <w:p w14:paraId="67EC20F6" w14:textId="77777777" w:rsidR="008E1A23" w:rsidRDefault="008E1A23" w:rsidP="008E1A23">
      <w:pPr>
        <w:pStyle w:val="NoSpacing"/>
        <w:ind w:firstLine="720"/>
      </w:pPr>
    </w:p>
    <w:p w14:paraId="68B9727A" w14:textId="77777777" w:rsidR="008E1A23" w:rsidRDefault="008E1A23" w:rsidP="008E1A23">
      <w:pPr>
        <w:pStyle w:val="NoSpacing"/>
        <w:numPr>
          <w:ilvl w:val="0"/>
          <w:numId w:val="43"/>
        </w:numPr>
      </w:pPr>
      <w:r w:rsidRPr="00D41E9D">
        <w:t>Plaintiff was hired by the Fairfax County Fire and Rescue Department ("FRD") in January 1995 and promoted through the ranks throughout her career. Ultimately, Plaintiff was promoted to Battalion Chief in June 2011.</w:t>
      </w:r>
    </w:p>
    <w:p w14:paraId="2D69AEDA" w14:textId="77777777" w:rsidR="008E1A23" w:rsidRDefault="008E1A23" w:rsidP="008E1A23">
      <w:pPr>
        <w:pStyle w:val="NoSpacing"/>
      </w:pPr>
    </w:p>
    <w:p w14:paraId="4A65B6B0" w14:textId="77777777" w:rsidR="008E1A23" w:rsidRPr="00D41E9D" w:rsidRDefault="008E1A23" w:rsidP="008E1A23">
      <w:pPr>
        <w:pStyle w:val="NoSpacing"/>
        <w:ind w:left="720"/>
      </w:pPr>
      <w:r>
        <w:t>***</w:t>
      </w:r>
    </w:p>
    <w:p w14:paraId="3B1E6171" w14:textId="77777777" w:rsidR="008E1A23" w:rsidRDefault="008E1A23" w:rsidP="008E1A23">
      <w:pPr>
        <w:pStyle w:val="NoSpacing"/>
      </w:pPr>
    </w:p>
    <w:p w14:paraId="178D0E49" w14:textId="77777777" w:rsidR="008E1A23" w:rsidRDefault="008E1A23" w:rsidP="008E1A23">
      <w:pPr>
        <w:pStyle w:val="NoSpacing"/>
        <w:ind w:left="720"/>
      </w:pPr>
      <w:r w:rsidRPr="009E1E48">
        <w:t xml:space="preserve">106. </w:t>
      </w:r>
      <w:proofErr w:type="spellStart"/>
      <w:r w:rsidRPr="009E1E48">
        <w:t>PoliHire</w:t>
      </w:r>
      <w:proofErr w:type="spellEnd"/>
      <w:r w:rsidRPr="009E1E48">
        <w:t xml:space="preserve"> independently reviewed and interviewed numerous applicants for the FRD Fire Chief position. Of the applicants initially reviewed and interviewed, Derek Baker (Division Chief of Training and Interim Training and Operations Chief, Virginia Department of Fire Programs); John Butler (Fire Chief, Howard County, Maryland, Fire and Rescue Department); Manuel Fonseca (Assistant Chief (ret.), Nashville, Tennessee, Fire and Rescue Department); Lori Moore Merrell (Senior Executive, IAFF); and Charles Ryan (Assistant Chief, FRD) were selected and referred by </w:t>
      </w:r>
      <w:proofErr w:type="spellStart"/>
      <w:r w:rsidRPr="009E1E48">
        <w:t>PoliHire</w:t>
      </w:r>
      <w:proofErr w:type="spellEnd"/>
      <w:r w:rsidRPr="009E1E48">
        <w:t xml:space="preserve"> to advance to a panel interview for further consideration.</w:t>
      </w:r>
    </w:p>
    <w:p w14:paraId="1969BF05" w14:textId="77777777" w:rsidR="008E1A23" w:rsidRDefault="008E1A23" w:rsidP="008E1A23">
      <w:pPr>
        <w:pStyle w:val="NoSpacing"/>
        <w:ind w:left="720"/>
      </w:pPr>
    </w:p>
    <w:p w14:paraId="08D1D4A6" w14:textId="77777777" w:rsidR="008E1A23" w:rsidRDefault="008E1A23" w:rsidP="008E1A23">
      <w:pPr>
        <w:pStyle w:val="NoSpacing"/>
        <w:ind w:left="720"/>
      </w:pPr>
      <w:r>
        <w:t>***</w:t>
      </w:r>
    </w:p>
    <w:p w14:paraId="74D78FC3" w14:textId="77777777" w:rsidR="008E1A23" w:rsidRPr="009E1E48" w:rsidRDefault="008E1A23" w:rsidP="008E1A23">
      <w:pPr>
        <w:pStyle w:val="NoSpacing"/>
        <w:ind w:left="720"/>
      </w:pPr>
    </w:p>
    <w:p w14:paraId="0CB3132B" w14:textId="77777777" w:rsidR="008E1A23" w:rsidRDefault="008E1A23" w:rsidP="008E1A23">
      <w:pPr>
        <w:pStyle w:val="NoSpacing"/>
        <w:ind w:left="720"/>
      </w:pPr>
      <w:r w:rsidRPr="00A7465B">
        <w:t>108. Of the applicants who advanced to a panel interview, Butler, Merrell, and Ryan were selected and referred by the panel to advance to a final interview with Hill and the Fairfax County Board of Supervisors (the "Board").</w:t>
      </w:r>
    </w:p>
    <w:p w14:paraId="4CF31EAE" w14:textId="77777777" w:rsidR="008E1A23" w:rsidRDefault="008E1A23" w:rsidP="008E1A23">
      <w:pPr>
        <w:pStyle w:val="NoSpacing"/>
        <w:ind w:left="720"/>
      </w:pPr>
    </w:p>
    <w:p w14:paraId="25ECCCAF" w14:textId="77777777" w:rsidR="008E1A23" w:rsidRDefault="008E1A23" w:rsidP="008E1A23">
      <w:pPr>
        <w:pStyle w:val="NoSpacing"/>
        <w:ind w:left="720"/>
      </w:pPr>
      <w:r w:rsidRPr="00A7465B">
        <w:t>109. On July 10, 2018, the Board appointed Butler to serve as the Fire Chief, effective September 1, 2018.</w:t>
      </w:r>
    </w:p>
    <w:p w14:paraId="08751664" w14:textId="77777777" w:rsidR="008E1A23" w:rsidRDefault="008E1A23" w:rsidP="008E1A23">
      <w:pPr>
        <w:pStyle w:val="NoSpacing"/>
      </w:pPr>
    </w:p>
    <w:p w14:paraId="0EE8B261" w14:textId="77777777" w:rsidR="008E1A23" w:rsidRDefault="008E1A23" w:rsidP="008E1A23">
      <w:pPr>
        <w:pStyle w:val="NoSpacing"/>
        <w:ind w:firstLine="720"/>
        <w:rPr>
          <w:vertAlign w:val="superscript"/>
        </w:rPr>
      </w:pPr>
      <w:r w:rsidRPr="00E8660A">
        <w:t xml:space="preserve">110. Plaintiff does not contend that she was more qualified than </w:t>
      </w:r>
      <w:proofErr w:type="gramStart"/>
      <w:r w:rsidRPr="00E8660A">
        <w:t>Butler.</w:t>
      </w:r>
      <w:r>
        <w:rPr>
          <w:vertAlign w:val="superscript"/>
        </w:rPr>
        <w:t>”</w:t>
      </w:r>
      <w:proofErr w:type="gramEnd"/>
    </w:p>
    <w:p w14:paraId="100FE19F" w14:textId="77777777" w:rsidR="008E1A23" w:rsidRDefault="008E1A23" w:rsidP="008E1A23">
      <w:pPr>
        <w:pStyle w:val="NoSpacing"/>
        <w:ind w:firstLine="720"/>
        <w:rPr>
          <w:vertAlign w:val="superscript"/>
        </w:rPr>
      </w:pPr>
    </w:p>
    <w:p w14:paraId="4C4F54F2" w14:textId="77777777" w:rsidR="008E1A23" w:rsidRPr="009E16C5" w:rsidRDefault="008E1A23" w:rsidP="008E1A23">
      <w:pPr>
        <w:rPr>
          <w:b/>
          <w:bCs/>
        </w:rPr>
      </w:pPr>
      <w:r>
        <w:rPr>
          <w:b/>
        </w:rPr>
        <w:t xml:space="preserve">Legal lesson learned: </w:t>
      </w:r>
      <w:r w:rsidRPr="009E16C5">
        <w:rPr>
          <w:b/>
        </w:rPr>
        <w:t>Outside firm independently selected three lead candidates for Fire Chief position</w:t>
      </w:r>
      <w:r>
        <w:rPr>
          <w:b/>
        </w:rPr>
        <w:t>, and plaintiff did not make the cut</w:t>
      </w:r>
      <w:r w:rsidRPr="009E16C5">
        <w:rPr>
          <w:b/>
        </w:rPr>
        <w:t xml:space="preserve">. </w:t>
      </w:r>
    </w:p>
    <w:p w14:paraId="29C03DEA" w14:textId="77777777" w:rsidR="008E1A23" w:rsidRDefault="008E1A23" w:rsidP="00C235E8">
      <w:pPr>
        <w:pStyle w:val="NoSpacing"/>
        <w:rPr>
          <w:rFonts w:ascii="Arial Black" w:hAnsi="Arial Black"/>
          <w:sz w:val="28"/>
          <w:szCs w:val="28"/>
        </w:rPr>
      </w:pPr>
    </w:p>
    <w:p w14:paraId="4D6A5E9C" w14:textId="77777777" w:rsidR="008E1A23" w:rsidRDefault="008E1A23" w:rsidP="00C235E8">
      <w:pPr>
        <w:pStyle w:val="NoSpacing"/>
        <w:rPr>
          <w:rFonts w:ascii="Arial Black" w:hAnsi="Arial Black"/>
          <w:sz w:val="28"/>
          <w:szCs w:val="28"/>
        </w:rPr>
      </w:pPr>
    </w:p>
    <w:p w14:paraId="4C9DF2EE" w14:textId="77777777" w:rsidR="008E1A23" w:rsidRDefault="008E1A23" w:rsidP="00C235E8">
      <w:pPr>
        <w:pStyle w:val="NoSpacing"/>
        <w:rPr>
          <w:rFonts w:ascii="Arial Black" w:hAnsi="Arial Black"/>
          <w:sz w:val="28"/>
          <w:szCs w:val="28"/>
        </w:rPr>
      </w:pPr>
    </w:p>
    <w:p w14:paraId="67202560" w14:textId="04BC733F" w:rsidR="002D45B5" w:rsidRDefault="002D45B5" w:rsidP="00C235E8">
      <w:pPr>
        <w:pStyle w:val="NoSpacing"/>
        <w:rPr>
          <w:rFonts w:ascii="Arial Black" w:hAnsi="Arial Black"/>
          <w:sz w:val="28"/>
          <w:szCs w:val="28"/>
        </w:rPr>
      </w:pPr>
      <w:r>
        <w:rPr>
          <w:rFonts w:ascii="Arial Black" w:hAnsi="Arial Black"/>
          <w:sz w:val="28"/>
          <w:szCs w:val="28"/>
        </w:rPr>
        <w:t>7-90</w:t>
      </w:r>
    </w:p>
    <w:p w14:paraId="4F82C022" w14:textId="77777777" w:rsidR="002D45B5" w:rsidRDefault="002D45B5" w:rsidP="00C235E8">
      <w:pPr>
        <w:pStyle w:val="NoSpacing"/>
        <w:rPr>
          <w:rFonts w:ascii="Arial Black" w:hAnsi="Arial Black"/>
          <w:sz w:val="28"/>
          <w:szCs w:val="28"/>
        </w:rPr>
      </w:pPr>
    </w:p>
    <w:p w14:paraId="2D3A39BE" w14:textId="5746BB0D" w:rsidR="00C235E8" w:rsidRPr="006D598E" w:rsidRDefault="00C235E8" w:rsidP="00C235E8">
      <w:pPr>
        <w:pStyle w:val="NoSpacing"/>
        <w:rPr>
          <w:rFonts w:ascii="Arial Black" w:hAnsi="Arial Black"/>
          <w:sz w:val="28"/>
          <w:szCs w:val="28"/>
        </w:rPr>
      </w:pPr>
      <w:r>
        <w:rPr>
          <w:rFonts w:ascii="Arial Black" w:hAnsi="Arial Black"/>
          <w:sz w:val="28"/>
          <w:szCs w:val="28"/>
        </w:rPr>
        <w:lastRenderedPageBreak/>
        <w:t>IL: CHICAGO - LACK FEMALE BATHROOMS – NO CASE</w:t>
      </w:r>
    </w:p>
    <w:p w14:paraId="2DC5FCC6" w14:textId="77777777" w:rsidR="00C235E8" w:rsidRDefault="00C235E8" w:rsidP="00C235E8">
      <w:pPr>
        <w:pStyle w:val="NoSpacing"/>
      </w:pPr>
    </w:p>
    <w:p w14:paraId="1F7F0E19" w14:textId="77777777" w:rsidR="00C235E8" w:rsidRPr="0005481A" w:rsidRDefault="00C235E8" w:rsidP="00C235E8">
      <w:pPr>
        <w:pStyle w:val="NoSpacing"/>
        <w:rPr>
          <w:bCs/>
        </w:rPr>
      </w:pPr>
      <w:r>
        <w:t xml:space="preserve">On April 23, 2026, in </w:t>
      </w:r>
      <w:r w:rsidRPr="00372C97">
        <w:rPr>
          <w:u w:val="single"/>
        </w:rPr>
        <w:t>Lee Ann McKay v. City of Chicago</w:t>
      </w:r>
      <w:r>
        <w:t xml:space="preserve">, U.S. District Court Judge Rebecca R. </w:t>
      </w:r>
      <w:proofErr w:type="spellStart"/>
      <w:r>
        <w:t>Pallmeyer</w:t>
      </w:r>
      <w:proofErr w:type="spellEnd"/>
      <w:r>
        <w:t xml:space="preserve">, United States District Court for Northern District, </w:t>
      </w:r>
      <w:r w:rsidRPr="0005481A">
        <w:t>Eastern Division</w:t>
      </w:r>
      <w:r>
        <w:t xml:space="preserve"> granted the City’s motion for summary judgment. The plaintiff Fire Engineer-EMT filed a lawsuit pro se [no attorney] referencing that </w:t>
      </w:r>
      <w:r w:rsidRPr="00FA5BCB">
        <w:t>only 32 out of 96 total firehouses in Chicago have dedicated women's facilities</w:t>
      </w:r>
      <w:r>
        <w:t>.  However, “</w:t>
      </w:r>
      <w:r w:rsidRPr="00FA5BCB">
        <w:t>McKay identifies no evidence of that, or anything else that could support a jury finding that her use of a bathroom that was also used by male firefighters created a hostile work environment.</w:t>
      </w:r>
      <w:r>
        <w:t xml:space="preserve">”  </w:t>
      </w:r>
      <w:hyperlink r:id="rId1349" w:history="1">
        <w:r w:rsidRPr="003C3573">
          <w:rPr>
            <w:rStyle w:val="Hyperlink"/>
          </w:rPr>
          <w:t>https://public.fastcase.com/Jhe1Qn%2BmJndQYQU6z%2FeNm28hiR351dlql3mVrX%2BsW%2FImhVx6LSAbrfZ7R6LP8TbVpSsTp59uwiaa1M%2BxYMu%2FQBeMVJpWoOyQUcFN4LagzoA%3D?utm_medium=email&amp;_hsenc=p2ANqtz-_AWahbnWxhCpMGQYhqfNcYdYivaiXkQGNq4hyWsJQjqDO6KUeS-ltttGyoOKYk2fjuNkb2NzSqvCRrJD1Iyf-ei7DoTw&amp;_hsmi=226712652&amp;utm_content=226712652&amp;utm_source=hs_email</w:t>
        </w:r>
      </w:hyperlink>
      <w:r>
        <w:t xml:space="preserve"> </w:t>
      </w:r>
    </w:p>
    <w:p w14:paraId="684CAA93" w14:textId="77777777" w:rsidR="00C235E8" w:rsidRDefault="00C235E8" w:rsidP="00C235E8">
      <w:pPr>
        <w:pStyle w:val="NoSpacing"/>
      </w:pPr>
    </w:p>
    <w:p w14:paraId="6038ACE8" w14:textId="77777777" w:rsidR="00C235E8" w:rsidRDefault="00C235E8" w:rsidP="00C235E8">
      <w:pPr>
        <w:pStyle w:val="NoSpacing"/>
      </w:pPr>
      <w:r w:rsidRPr="00CA2CA0">
        <w:t xml:space="preserve">  </w:t>
      </w:r>
      <w:r>
        <w:t>THE COURT HELD:</w:t>
      </w:r>
    </w:p>
    <w:p w14:paraId="794E2282" w14:textId="77777777" w:rsidR="00C235E8" w:rsidRDefault="00C235E8" w:rsidP="00C235E8">
      <w:pPr>
        <w:pStyle w:val="NoSpacing"/>
      </w:pPr>
    </w:p>
    <w:p w14:paraId="458EDA73" w14:textId="77777777" w:rsidR="00C235E8" w:rsidRDefault="00C235E8" w:rsidP="00C235E8">
      <w:pPr>
        <w:pStyle w:val="NoSpacing"/>
        <w:ind w:left="720"/>
      </w:pPr>
      <w:r>
        <w:t>“</w:t>
      </w:r>
      <w:r w:rsidRPr="00FA5BCB">
        <w:t>She first cites to an affidavit submitted by Marek Wisniewski, Deputy Commissioner of the City's Department of Fleet and Facility Management, who states as of January 9, 2026, only 32 out of 96 total firehouses in Chicago have dedicated women's facilities</w:t>
      </w:r>
      <w:r>
        <w:t>….</w:t>
      </w:r>
      <w:r w:rsidRPr="00FA5BCB">
        <w:t xml:space="preserve"> The court presumes Plaintiff contends that the lack of a bathroom available only to women is a violation of Title VII. But the lack of a gendered bathroom, without more, is not discriminatory. There is no indication that women were not allowed to use </w:t>
      </w:r>
      <w:r w:rsidRPr="00FA5BCB">
        <w:rPr>
          <w:i/>
          <w:iCs/>
        </w:rPr>
        <w:t>any</w:t>
      </w:r>
      <w:r w:rsidRPr="00FA5BCB">
        <w:t xml:space="preserve"> restroom, only that the firehouse did not have a women-only restroom on site. Ms. McKay was not being treated differently because of her sex simply because she was asked to share a gender-neutral restroom with her male colleagues. McKay might be able to proceed to trial on a hostile work environment theory if she could show that she was regularly forced to use the toilet or shower in view of her male colleagues, for example, or if the situation in the restrooms led to sexual harassment by coworkers. But McKay identifies no evidence of that, or anything else that could support a jury finding that her use of a bathroom that was also used by male firefighters created a hostile work environment. </w:t>
      </w:r>
      <w:r w:rsidRPr="00FA5BCB">
        <w:rPr>
          <w:i/>
          <w:iCs/>
        </w:rPr>
        <w:t xml:space="preserve">See </w:t>
      </w:r>
      <w:proofErr w:type="spellStart"/>
      <w:r w:rsidRPr="00FA5BCB">
        <w:rPr>
          <w:i/>
          <w:iCs/>
        </w:rPr>
        <w:t>Swyear</w:t>
      </w:r>
      <w:proofErr w:type="spellEnd"/>
      <w:r w:rsidRPr="00FA5BCB">
        <w:rPr>
          <w:i/>
          <w:iCs/>
        </w:rPr>
        <w:t xml:space="preserve"> v. Fare Foods Corp</w:t>
      </w:r>
      <w:r w:rsidRPr="00FA5BCB">
        <w:t xml:space="preserve">., 911 F.3d 874, 880 (7th Cir. 2018) (observing that a plaintiff asserting a hostile work environment claim must show the </w:t>
      </w:r>
      <w:r>
        <w:t>‘</w:t>
      </w:r>
      <w:r w:rsidRPr="00FA5BCB">
        <w:t xml:space="preserve">conduct was so severe or pervasive as to alter the conditions of employment and create a hostile or abusive working environment). </w:t>
      </w:r>
    </w:p>
    <w:p w14:paraId="145F461F" w14:textId="77777777" w:rsidR="00C235E8" w:rsidRDefault="00C235E8" w:rsidP="00C235E8">
      <w:pPr>
        <w:pStyle w:val="NoSpacing"/>
        <w:ind w:left="720"/>
      </w:pPr>
    </w:p>
    <w:p w14:paraId="2611CCA9" w14:textId="77777777" w:rsidR="00C235E8" w:rsidRDefault="00C235E8" w:rsidP="00C235E8">
      <w:pPr>
        <w:pStyle w:val="NoSpacing"/>
        <w:ind w:left="720"/>
      </w:pPr>
      <w:r>
        <w:t>***</w:t>
      </w:r>
    </w:p>
    <w:p w14:paraId="13E5281E" w14:textId="77777777" w:rsidR="00C235E8" w:rsidRDefault="00C235E8" w:rsidP="00C235E8">
      <w:pPr>
        <w:pStyle w:val="NoSpacing"/>
        <w:ind w:left="720"/>
      </w:pPr>
    </w:p>
    <w:p w14:paraId="5940CDA1" w14:textId="77777777" w:rsidR="00C235E8" w:rsidRDefault="00C235E8" w:rsidP="00C235E8">
      <w:pPr>
        <w:pStyle w:val="NoSpacing"/>
        <w:ind w:left="720"/>
      </w:pPr>
      <w:r>
        <w:t>M</w:t>
      </w:r>
      <w:r w:rsidRPr="00457FA7">
        <w:t xml:space="preserve">cKay appears to argue that the City's policy of advantaging members of minority races in making promotion decisions constitutes discrimination </w:t>
      </w:r>
      <w:proofErr w:type="gramStart"/>
      <w:r w:rsidRPr="00457FA7">
        <w:t>on the basis of</w:t>
      </w:r>
      <w:proofErr w:type="gramEnd"/>
      <w:r w:rsidRPr="00457FA7">
        <w:t xml:space="preserve"> race</w:t>
      </w:r>
      <w:r>
        <w:t>….</w:t>
      </w:r>
      <w:r w:rsidRPr="00457FA7">
        <w:t xml:space="preserve"> </w:t>
      </w:r>
    </w:p>
    <w:p w14:paraId="261D8550" w14:textId="77777777" w:rsidR="00C235E8" w:rsidRDefault="00C235E8" w:rsidP="00C235E8">
      <w:pPr>
        <w:pStyle w:val="NoSpacing"/>
        <w:ind w:left="720"/>
      </w:pPr>
    </w:p>
    <w:p w14:paraId="55901026" w14:textId="77777777" w:rsidR="00C235E8" w:rsidRDefault="00C235E8" w:rsidP="00C235E8">
      <w:pPr>
        <w:pStyle w:val="NoSpacing"/>
        <w:ind w:left="1440"/>
      </w:pPr>
      <w:r>
        <w:t xml:space="preserve">Footnote 8: </w:t>
      </w:r>
      <w:r w:rsidRPr="002A757E">
        <w:t xml:space="preserve">The court observes that McKay was eventually offered the promotion more than once, but the offers down out of fear of retaliation. </w:t>
      </w:r>
      <w:r>
        <w:t xml:space="preserve"> </w:t>
      </w:r>
    </w:p>
    <w:p w14:paraId="12C86397" w14:textId="77777777" w:rsidR="00C235E8" w:rsidRDefault="00C235E8" w:rsidP="00C235E8">
      <w:pPr>
        <w:pStyle w:val="NoSpacing"/>
        <w:ind w:left="720"/>
      </w:pPr>
    </w:p>
    <w:p w14:paraId="2CA14CE8" w14:textId="77777777" w:rsidR="00C235E8" w:rsidRDefault="00C235E8" w:rsidP="00C235E8">
      <w:pPr>
        <w:pStyle w:val="NoSpacing"/>
        <w:ind w:left="720"/>
      </w:pPr>
      <w:r w:rsidRPr="00457FA7">
        <w:t xml:space="preserve">The problem with this claim is that the city has offered a lawful justification for its actions: the </w:t>
      </w:r>
      <w:r w:rsidRPr="00457FA7">
        <w:rPr>
          <w:i/>
          <w:iCs/>
        </w:rPr>
        <w:t>Albrecht</w:t>
      </w:r>
      <w:r w:rsidRPr="00457FA7">
        <w:t xml:space="preserve"> consent decree. As the City explains, a consent decree </w:t>
      </w:r>
      <w:proofErr w:type="gramStart"/>
      <w:r w:rsidRPr="00457FA7">
        <w:t>entered into</w:t>
      </w:r>
      <w:proofErr w:type="gramEnd"/>
      <w:r w:rsidRPr="00457FA7">
        <w:t xml:space="preserve"> between the United States and the City of Chicago in the case </w:t>
      </w:r>
      <w:r w:rsidRPr="00457FA7">
        <w:rPr>
          <w:i/>
          <w:iCs/>
        </w:rPr>
        <w:t>United States v. Albrecht</w:t>
      </w:r>
      <w:r w:rsidRPr="00457FA7">
        <w:t>, 80 C 1590 (N.D. Ill. March 31, 1980), required the use of limited racial preferences in promotion decisions at the Chicago Fire Department. McKay does not dispute that the consent decree was in place at the time the promotion decisions at issue were made, or that those individuals promoted before her were promoted due to the consent decree</w:t>
      </w:r>
      <w:r>
        <w:t xml:space="preserve">…. </w:t>
      </w:r>
      <w:r w:rsidRPr="00457FA7">
        <w:t xml:space="preserve">Since she has offered no alternative basis to hold the </w:t>
      </w:r>
      <w:proofErr w:type="gramStart"/>
      <w:r w:rsidRPr="00457FA7">
        <w:t>City</w:t>
      </w:r>
      <w:proofErr w:type="gramEnd"/>
      <w:r w:rsidRPr="00457FA7">
        <w:t xml:space="preserve"> liable under Title VII for its compliance with </w:t>
      </w:r>
      <w:r w:rsidRPr="00457FA7">
        <w:rPr>
          <w:i/>
          <w:iCs/>
        </w:rPr>
        <w:t>Albrecht</w:t>
      </w:r>
      <w:r w:rsidRPr="00457FA7">
        <w:t>, summary judgment is warranted on her race discrimination claim</w:t>
      </w:r>
      <w:r>
        <w:t xml:space="preserve">…. </w:t>
      </w:r>
    </w:p>
    <w:p w14:paraId="43102AD6" w14:textId="77777777" w:rsidR="00C235E8" w:rsidRDefault="00C235E8" w:rsidP="00C235E8">
      <w:pPr>
        <w:pStyle w:val="NoSpacing"/>
        <w:ind w:left="720"/>
      </w:pPr>
    </w:p>
    <w:p w14:paraId="5E482351" w14:textId="77777777" w:rsidR="00C235E8" w:rsidRDefault="00C235E8" w:rsidP="00C235E8">
      <w:pPr>
        <w:pStyle w:val="NoSpacing"/>
        <w:ind w:left="1440"/>
      </w:pPr>
      <w:r>
        <w:t xml:space="preserve">Footnote 5: </w:t>
      </w:r>
      <w:r w:rsidRPr="00C05B5C">
        <w:t xml:space="preserve">The United States and the City of Chicago later jointly moved to terminate the </w:t>
      </w:r>
      <w:r w:rsidRPr="00C05B5C">
        <w:rPr>
          <w:i/>
          <w:iCs/>
        </w:rPr>
        <w:t>Albrecht</w:t>
      </w:r>
      <w:r w:rsidRPr="00C05B5C">
        <w:t xml:space="preserve"> consent decree. On June 16, 2022, this court granted that motion in a separate case. (</w:t>
      </w:r>
      <w:r w:rsidRPr="00C05B5C">
        <w:rPr>
          <w:i/>
          <w:iCs/>
        </w:rPr>
        <w:t>See</w:t>
      </w:r>
      <w:r w:rsidRPr="00C05B5C">
        <w:t xml:space="preserve"> Order Granting Joint Motion to Dissolve in </w:t>
      </w:r>
      <w:r w:rsidRPr="00C05B5C">
        <w:rPr>
          <w:i/>
          <w:iCs/>
        </w:rPr>
        <w:t>Albrecht</w:t>
      </w:r>
      <w:r w:rsidRPr="00C05B5C">
        <w:t>, 80 C 01590 (</w:t>
      </w:r>
      <w:proofErr w:type="spellStart"/>
      <w:r w:rsidRPr="00C05B5C">
        <w:t>Pallmeyer</w:t>
      </w:r>
      <w:proofErr w:type="spellEnd"/>
      <w:r w:rsidRPr="00C05B5C">
        <w:t>, C.J.).)</w:t>
      </w:r>
    </w:p>
    <w:p w14:paraId="107FB086" w14:textId="77777777" w:rsidR="00C235E8" w:rsidRDefault="00C235E8" w:rsidP="00C235E8">
      <w:pPr>
        <w:pStyle w:val="NoSpacing"/>
        <w:ind w:left="720"/>
      </w:pPr>
    </w:p>
    <w:p w14:paraId="0DA3ACD8" w14:textId="77777777" w:rsidR="00C235E8" w:rsidRPr="00A92326" w:rsidRDefault="00C235E8" w:rsidP="00C235E8">
      <w:pPr>
        <w:pStyle w:val="NoSpacing"/>
        <w:rPr>
          <w:b/>
          <w:bCs/>
        </w:rPr>
      </w:pPr>
      <w:r>
        <w:rPr>
          <w:b/>
        </w:rPr>
        <w:t xml:space="preserve">Legal lesson learned: The lack of a “gendered bathroom” without more is not discriminatory. </w:t>
      </w:r>
    </w:p>
    <w:p w14:paraId="5B2A9BBB" w14:textId="77777777" w:rsidR="00C235E8" w:rsidRDefault="00C235E8" w:rsidP="00C235E8">
      <w:pPr>
        <w:pStyle w:val="NoSpacing"/>
      </w:pPr>
    </w:p>
    <w:p w14:paraId="0CA536CB" w14:textId="77777777" w:rsidR="00C235E8" w:rsidRDefault="00C235E8" w:rsidP="00C235E8">
      <w:pPr>
        <w:pStyle w:val="NoSpacing"/>
        <w:rPr>
          <w:bCs/>
        </w:rPr>
      </w:pPr>
    </w:p>
    <w:p w14:paraId="4772163E" w14:textId="13D0174D" w:rsidR="002D45B5" w:rsidRDefault="002D45B5" w:rsidP="002D45B5">
      <w:pPr>
        <w:pStyle w:val="NoSpacing"/>
        <w:rPr>
          <w:rFonts w:ascii="Arial Black" w:hAnsi="Arial Black"/>
          <w:sz w:val="28"/>
          <w:szCs w:val="28"/>
        </w:rPr>
      </w:pPr>
      <w:r>
        <w:rPr>
          <w:rFonts w:ascii="Arial Black" w:hAnsi="Arial Black"/>
          <w:sz w:val="28"/>
          <w:szCs w:val="28"/>
        </w:rPr>
        <w:lastRenderedPageBreak/>
        <w:t>7-89</w:t>
      </w:r>
    </w:p>
    <w:p w14:paraId="3E4E7E33" w14:textId="77777777" w:rsidR="00C6586C" w:rsidRDefault="00C6586C" w:rsidP="00292E1C">
      <w:pPr>
        <w:pStyle w:val="NoSpacing"/>
        <w:rPr>
          <w:rFonts w:ascii="Arial Black" w:hAnsi="Arial Black"/>
          <w:sz w:val="28"/>
          <w:szCs w:val="28"/>
        </w:rPr>
      </w:pPr>
    </w:p>
    <w:p w14:paraId="46415F72" w14:textId="77777777" w:rsidR="002D45B5" w:rsidRDefault="002D45B5" w:rsidP="002D45B5">
      <w:pPr>
        <w:pStyle w:val="NoSpacing"/>
        <w:rPr>
          <w:rFonts w:ascii="Arial Black" w:hAnsi="Arial Black"/>
          <w:b/>
          <w:sz w:val="28"/>
          <w:szCs w:val="28"/>
        </w:rPr>
      </w:pPr>
      <w:r>
        <w:rPr>
          <w:rFonts w:ascii="Arial Black" w:hAnsi="Arial Black"/>
          <w:b/>
          <w:sz w:val="28"/>
          <w:szCs w:val="28"/>
        </w:rPr>
        <w:t>OH: FEMALE EMT – SHOWED PHOTOS NAKED MALE - FIRED</w:t>
      </w:r>
    </w:p>
    <w:p w14:paraId="54F76E95" w14:textId="77777777" w:rsidR="002D45B5" w:rsidRDefault="002D45B5" w:rsidP="002D45B5">
      <w:pPr>
        <w:pStyle w:val="NoSpacing"/>
        <w:rPr>
          <w:rFonts w:ascii="Arial Black" w:hAnsi="Arial Black"/>
          <w:b/>
          <w:sz w:val="28"/>
          <w:szCs w:val="28"/>
        </w:rPr>
      </w:pPr>
    </w:p>
    <w:p w14:paraId="335A1FA0" w14:textId="77777777" w:rsidR="002D45B5" w:rsidRDefault="002D45B5" w:rsidP="002D45B5">
      <w:pPr>
        <w:pStyle w:val="NoSpacing"/>
      </w:pPr>
      <w:r w:rsidRPr="004B4E00">
        <w:t xml:space="preserve">On September 30, 2026, in </w:t>
      </w:r>
      <w:r w:rsidRPr="00F74F59">
        <w:rPr>
          <w:u w:val="single"/>
        </w:rPr>
        <w:t>Gertrude Crisp v. Scioto Ambulance District</w:t>
      </w:r>
      <w:r>
        <w:t>, U.S. District Court Judge J</w:t>
      </w:r>
      <w:r w:rsidRPr="005C66FA">
        <w:t>effery P. Hopkins</w:t>
      </w:r>
      <w:r>
        <w:t xml:space="preserve">, United States District Court for Southern District of Ohio, Western Division, granted summary judgment to the Ambulance District.  The female paramedic, who has been harassed by </w:t>
      </w:r>
      <w:r w:rsidRPr="00367F97">
        <w:t>Joshua Gullett,</w:t>
      </w:r>
      <w:r>
        <w:t xml:space="preserve"> complained to management in Fall 2018, and the Board </w:t>
      </w:r>
      <w:r w:rsidRPr="001E1E28">
        <w:t>responded by directing that Crisp and Gullett would no longer be scheduled together</w:t>
      </w:r>
      <w:r>
        <w:t>.  Thereafter they had limited contact with one another.  But “o</w:t>
      </w:r>
      <w:r w:rsidRPr="00924D3B">
        <w:t>n</w:t>
      </w:r>
      <w:r>
        <w:t xml:space="preserve"> </w:t>
      </w:r>
      <w:r w:rsidRPr="00924D3B">
        <w:t>June 9, 2022, Crisp showed two new Scioto Ambulance District employees—Marissa</w:t>
      </w:r>
      <w:r>
        <w:t xml:space="preserve"> </w:t>
      </w:r>
      <w:r w:rsidRPr="00924D3B">
        <w:t>Campbell and Sandra Thacker—a profile that Gullet maintained on the website Fetlife.com,</w:t>
      </w:r>
      <w:r>
        <w:t xml:space="preserve"> </w:t>
      </w:r>
      <w:r w:rsidRPr="00924D3B">
        <w:t>a sex-solicitation site that Gullet and his wife, Crystal Gullet, used to seek sexual partners.</w:t>
      </w:r>
      <w:r>
        <w:t xml:space="preserve"> </w:t>
      </w:r>
      <w:r w:rsidRPr="00323558">
        <w:t>The profile included several pictures of himself, as well</w:t>
      </w:r>
      <w:r>
        <w:t xml:space="preserve"> </w:t>
      </w:r>
      <w:r w:rsidRPr="0093640C">
        <w:t>as pictures of his wife, and pictures of his erect penis.</w:t>
      </w:r>
      <w:r>
        <w:t xml:space="preserve">”  Gullett learned of this a complained to management. Eric Lutz, a Scioto Ambulance District board member, </w:t>
      </w:r>
      <w:proofErr w:type="gramStart"/>
      <w:r>
        <w:t>conducted an investigation</w:t>
      </w:r>
      <w:proofErr w:type="gramEnd"/>
      <w:r>
        <w:t xml:space="preserve"> that </w:t>
      </w:r>
      <w:proofErr w:type="gramStart"/>
      <w:r>
        <w:t>lead</w:t>
      </w:r>
      <w:proofErr w:type="gramEnd"/>
      <w:r>
        <w:t xml:space="preserve"> to her termination on July 3, 2022.   </w:t>
      </w:r>
    </w:p>
    <w:p w14:paraId="237BFA45" w14:textId="77777777" w:rsidR="002D45B5" w:rsidRDefault="002D45B5" w:rsidP="002D45B5">
      <w:pPr>
        <w:pStyle w:val="NoSpacing"/>
      </w:pPr>
      <w:hyperlink r:id="rId1350" w:history="1">
        <w:r w:rsidRPr="003A6F30">
          <w:rPr>
            <w:rStyle w:val="Hyperlink"/>
          </w:rPr>
          <w:t>https://cases.justia.com/federal/district-courts/ohio/ohsdce/1:2023cv00273/279746/32/0.pdf?ts=1759344788</w:t>
        </w:r>
      </w:hyperlink>
      <w:r>
        <w:t xml:space="preserve"> </w:t>
      </w:r>
    </w:p>
    <w:p w14:paraId="663CE4EF" w14:textId="77777777" w:rsidR="002D45B5" w:rsidRDefault="002D45B5" w:rsidP="002D45B5">
      <w:pPr>
        <w:pStyle w:val="NoSpacing"/>
      </w:pPr>
    </w:p>
    <w:p w14:paraId="492783AF" w14:textId="77777777" w:rsidR="002D45B5" w:rsidRDefault="002D45B5" w:rsidP="002D45B5">
      <w:pPr>
        <w:pStyle w:val="NoSpacing"/>
        <w:rPr>
          <w:bCs/>
        </w:rPr>
      </w:pPr>
      <w:r>
        <w:t xml:space="preserve">THE COURT HELD: </w:t>
      </w:r>
    </w:p>
    <w:p w14:paraId="0BF3A8C5" w14:textId="77777777" w:rsidR="002D45B5" w:rsidRDefault="002D45B5" w:rsidP="002D45B5">
      <w:pPr>
        <w:pStyle w:val="NoSpacing"/>
        <w:rPr>
          <w:bCs/>
        </w:rPr>
      </w:pPr>
    </w:p>
    <w:p w14:paraId="1D9E3907" w14:textId="77777777" w:rsidR="002D45B5" w:rsidRPr="00AA05E2" w:rsidRDefault="002D45B5" w:rsidP="002D45B5">
      <w:pPr>
        <w:pStyle w:val="NoSpacing"/>
        <w:ind w:firstLine="720"/>
        <w:rPr>
          <w:bCs/>
        </w:rPr>
      </w:pPr>
      <w:r>
        <w:t>“</w:t>
      </w:r>
      <w:r w:rsidRPr="00AA05E2">
        <w:t>The details—including that the photos were from Fetlife.com—came out in Lutz’s</w:t>
      </w:r>
    </w:p>
    <w:p w14:paraId="59FE8281" w14:textId="77777777" w:rsidR="002D45B5" w:rsidRPr="00AA05E2" w:rsidRDefault="002D45B5" w:rsidP="002D45B5">
      <w:pPr>
        <w:pStyle w:val="NoSpacing"/>
        <w:ind w:firstLine="720"/>
        <w:rPr>
          <w:bCs/>
        </w:rPr>
      </w:pPr>
      <w:r w:rsidRPr="00AA05E2">
        <w:t>investigation, which he undertook shortly after receiving the report. In his report, Lutz</w:t>
      </w:r>
    </w:p>
    <w:p w14:paraId="13E17B36" w14:textId="77777777" w:rsidR="002D45B5" w:rsidRPr="00AA05E2" w:rsidRDefault="002D45B5" w:rsidP="002D45B5">
      <w:pPr>
        <w:pStyle w:val="NoSpacing"/>
        <w:ind w:firstLine="720"/>
        <w:rPr>
          <w:bCs/>
        </w:rPr>
      </w:pPr>
      <w:r w:rsidRPr="00AA05E2">
        <w:t>summarized his interview with Crisp as follows:</w:t>
      </w:r>
    </w:p>
    <w:p w14:paraId="4C40931E" w14:textId="77777777" w:rsidR="002D45B5" w:rsidRDefault="002D45B5" w:rsidP="002D45B5">
      <w:pPr>
        <w:pStyle w:val="NoSpacing"/>
        <w:rPr>
          <w:bCs/>
        </w:rPr>
      </w:pPr>
    </w:p>
    <w:p w14:paraId="6458D132" w14:textId="77777777" w:rsidR="002D45B5" w:rsidRDefault="002D45B5" w:rsidP="002D45B5">
      <w:pPr>
        <w:pStyle w:val="NoSpacing"/>
        <w:ind w:left="1440"/>
        <w:rPr>
          <w:bCs/>
        </w:rPr>
      </w:pPr>
      <w:r w:rsidRPr="00AA05E2">
        <w:t>She [Crisp] stated without reservation and without apology that she had shown nude</w:t>
      </w:r>
      <w:r>
        <w:t xml:space="preserve"> </w:t>
      </w:r>
      <w:r w:rsidRPr="00AA05E2">
        <w:t>photos of co-worker Josh Gullett to other employees while on duty and while on</w:t>
      </w:r>
      <w:r>
        <w:t xml:space="preserve"> </w:t>
      </w:r>
      <w:r w:rsidRPr="00AA05E2">
        <w:t>premises. Her reported reason for doing so was that (paraphrased) She (Ms. Crisp) did</w:t>
      </w:r>
      <w:r>
        <w:t xml:space="preserve"> </w:t>
      </w:r>
      <w:r w:rsidRPr="00AA05E2">
        <w:t>show the nude photos of Mr. Gullett to the other employees to “warn” them about</w:t>
      </w:r>
      <w:r>
        <w:t xml:space="preserve"> </w:t>
      </w:r>
      <w:r w:rsidRPr="00AA05E2">
        <w:t>“perverted and predatory” men in EMS, that there is a “list” of males in EMS who act</w:t>
      </w:r>
      <w:r>
        <w:t xml:space="preserve"> </w:t>
      </w:r>
      <w:r w:rsidRPr="00166533">
        <w:t>inappropriately toward other women in EMS, that those men may make professionally</w:t>
      </w:r>
      <w:r>
        <w:t xml:space="preserve"> </w:t>
      </w:r>
      <w:r w:rsidRPr="00166533">
        <w:t>inappropriate statements or make inappropriate requests of them . . . . In short, it is</w:t>
      </w:r>
      <w:r>
        <w:t xml:space="preserve"> </w:t>
      </w:r>
      <w:r w:rsidRPr="00166533">
        <w:t>Ms. Crisp’s contention that she showed the photos with the legitimate intention of</w:t>
      </w:r>
      <w:r>
        <w:t xml:space="preserve"> </w:t>
      </w:r>
      <w:r w:rsidRPr="00166533">
        <w:t>“warning” the other employees about alleged and potential male behavior, and that</w:t>
      </w:r>
      <w:r>
        <w:t xml:space="preserve"> </w:t>
      </w:r>
      <w:r w:rsidRPr="00166533">
        <w:t>this nude photo somehow “showed a pattern of behavior,” justified, and verified her</w:t>
      </w:r>
      <w:r>
        <w:t xml:space="preserve"> </w:t>
      </w:r>
      <w:r w:rsidRPr="00166533">
        <w:t>allegations about the other employees.</w:t>
      </w:r>
    </w:p>
    <w:p w14:paraId="3E5E4933" w14:textId="77777777" w:rsidR="002D45B5" w:rsidRDefault="002D45B5" w:rsidP="002D45B5">
      <w:pPr>
        <w:pStyle w:val="NoSpacing"/>
        <w:ind w:left="1440"/>
        <w:rPr>
          <w:bCs/>
        </w:rPr>
      </w:pPr>
    </w:p>
    <w:p w14:paraId="422B01CB" w14:textId="77777777" w:rsidR="002D45B5" w:rsidRPr="001A795C" w:rsidRDefault="002D45B5" w:rsidP="002D45B5">
      <w:pPr>
        <w:pStyle w:val="NoSpacing"/>
        <w:rPr>
          <w:bCs/>
        </w:rPr>
      </w:pPr>
      <w:r>
        <w:tab/>
      </w:r>
      <w:r w:rsidRPr="001A795C">
        <w:t>Lutz concluded the report by</w:t>
      </w:r>
      <w:r>
        <w:t xml:space="preserve"> </w:t>
      </w:r>
      <w:r w:rsidRPr="001A795C">
        <w:t>stating:</w:t>
      </w:r>
    </w:p>
    <w:p w14:paraId="06F0A18A" w14:textId="77777777" w:rsidR="002D45B5" w:rsidRDefault="002D45B5" w:rsidP="002D45B5">
      <w:pPr>
        <w:pStyle w:val="NoSpacing"/>
        <w:rPr>
          <w:bCs/>
        </w:rPr>
      </w:pPr>
    </w:p>
    <w:p w14:paraId="5871E7F9" w14:textId="77777777" w:rsidR="002D45B5" w:rsidRPr="001A795C" w:rsidRDefault="002D45B5" w:rsidP="002D45B5">
      <w:pPr>
        <w:pStyle w:val="NoSpacing"/>
        <w:ind w:left="1440"/>
        <w:rPr>
          <w:bCs/>
        </w:rPr>
      </w:pPr>
      <w:r w:rsidRPr="001A795C">
        <w:t>Showing these photos while on duty, regardless of justification, is inappropriate and</w:t>
      </w:r>
      <w:r>
        <w:t xml:space="preserve"> </w:t>
      </w:r>
      <w:r w:rsidRPr="001A795C">
        <w:t>unprofessional. . . Her actions increase the potential for undesirable work</w:t>
      </w:r>
    </w:p>
    <w:p w14:paraId="24DD282E" w14:textId="77777777" w:rsidR="002D45B5" w:rsidRPr="001A795C" w:rsidRDefault="002D45B5" w:rsidP="002D45B5">
      <w:pPr>
        <w:pStyle w:val="NoSpacing"/>
        <w:ind w:left="720" w:firstLine="720"/>
        <w:rPr>
          <w:bCs/>
        </w:rPr>
      </w:pPr>
      <w:r w:rsidRPr="001A795C">
        <w:t>environments and disagreeable work relationships at [Scioto Ambulance District].</w:t>
      </w:r>
    </w:p>
    <w:p w14:paraId="535B35B1" w14:textId="77777777" w:rsidR="002D45B5" w:rsidRPr="001A795C" w:rsidRDefault="002D45B5" w:rsidP="002D45B5">
      <w:pPr>
        <w:pStyle w:val="NoSpacing"/>
        <w:ind w:left="720" w:firstLine="720"/>
        <w:rPr>
          <w:bCs/>
        </w:rPr>
      </w:pPr>
      <w:r w:rsidRPr="001A795C">
        <w:t>Further, spreading rumors among employees about another staff member being</w:t>
      </w:r>
    </w:p>
    <w:p w14:paraId="6D279DFE" w14:textId="77777777" w:rsidR="002D45B5" w:rsidRDefault="002D45B5" w:rsidP="002D45B5">
      <w:pPr>
        <w:pStyle w:val="NoSpacing"/>
        <w:ind w:left="1440"/>
        <w:rPr>
          <w:bCs/>
        </w:rPr>
      </w:pPr>
      <w:r w:rsidRPr="001A795C">
        <w:t>“perverted” or “being a predator” are inflammatory and unprofessional. Furthermore,</w:t>
      </w:r>
      <w:r>
        <w:t xml:space="preserve"> </w:t>
      </w:r>
      <w:r w:rsidRPr="001A795C">
        <w:t xml:space="preserve">there have been no reports or accusations of any employee </w:t>
      </w:r>
      <w:r w:rsidRPr="00392CE9">
        <w:t>engaging in this type of</w:t>
      </w:r>
      <w:r>
        <w:t xml:space="preserve"> </w:t>
      </w:r>
      <w:r w:rsidRPr="00392CE9">
        <w:t>behavior while on duty or with other employees at any time.</w:t>
      </w:r>
    </w:p>
    <w:p w14:paraId="23E4F92F" w14:textId="77777777" w:rsidR="002D45B5" w:rsidRDefault="002D45B5" w:rsidP="002D45B5">
      <w:pPr>
        <w:pStyle w:val="NoSpacing"/>
        <w:rPr>
          <w:bCs/>
        </w:rPr>
      </w:pPr>
    </w:p>
    <w:p w14:paraId="223846BC" w14:textId="77777777" w:rsidR="002D45B5" w:rsidRDefault="002D45B5" w:rsidP="002D45B5">
      <w:pPr>
        <w:pStyle w:val="NoSpacing"/>
        <w:rPr>
          <w:bCs/>
        </w:rPr>
      </w:pPr>
      <w:r>
        <w:tab/>
        <w:t>***</w:t>
      </w:r>
    </w:p>
    <w:p w14:paraId="63FE58C9" w14:textId="77777777" w:rsidR="002D45B5" w:rsidRDefault="002D45B5" w:rsidP="002D45B5">
      <w:pPr>
        <w:pStyle w:val="NoSpacing"/>
        <w:rPr>
          <w:bCs/>
        </w:rPr>
      </w:pPr>
    </w:p>
    <w:p w14:paraId="2FA10398" w14:textId="77777777" w:rsidR="002D45B5" w:rsidRDefault="002D45B5" w:rsidP="002D45B5">
      <w:pPr>
        <w:pStyle w:val="NoSpacing"/>
        <w:ind w:left="720"/>
        <w:rPr>
          <w:bCs/>
        </w:rPr>
      </w:pPr>
      <w:r w:rsidRPr="00DC4776">
        <w:t>Crisp’s statements to</w:t>
      </w:r>
      <w:r>
        <w:t xml:space="preserve"> </w:t>
      </w:r>
      <w:r w:rsidRPr="00DC4776">
        <w:t>Campbell and Thacker about Mr. Gullett did not, however, amount to reporting sexual</w:t>
      </w:r>
      <w:r>
        <w:t xml:space="preserve"> </w:t>
      </w:r>
      <w:r w:rsidRPr="00DC4776">
        <w:t>misconduct, as they were made to co-workers and did not advocate for any particular action</w:t>
      </w:r>
      <w:r>
        <w:t xml:space="preserve"> </w:t>
      </w:r>
      <w:r w:rsidRPr="00DC4776">
        <w:t>by Scioto Ambulance District. Instead, her reporting was intended to encourage her</w:t>
      </w:r>
      <w:r>
        <w:t xml:space="preserve"> </w:t>
      </w:r>
      <w:r w:rsidRPr="00DC4776">
        <w:t>coworkers—not Scioto Ambulance—to take particular action, such as avoiding Gullett and</w:t>
      </w:r>
      <w:r>
        <w:t xml:space="preserve"> </w:t>
      </w:r>
      <w:r w:rsidRPr="00DC4776">
        <w:t>being on-guard against his advances.</w:t>
      </w:r>
    </w:p>
    <w:p w14:paraId="4F139943" w14:textId="77777777" w:rsidR="002D45B5" w:rsidRDefault="002D45B5" w:rsidP="002D45B5">
      <w:pPr>
        <w:pStyle w:val="NoSpacing"/>
        <w:ind w:firstLine="720"/>
        <w:rPr>
          <w:bCs/>
        </w:rPr>
      </w:pPr>
      <w:r>
        <w:t>***</w:t>
      </w:r>
    </w:p>
    <w:p w14:paraId="3DEB7E46" w14:textId="77777777" w:rsidR="002D45B5" w:rsidRPr="00DF000D" w:rsidRDefault="002D45B5" w:rsidP="002D45B5">
      <w:pPr>
        <w:pStyle w:val="NoSpacing"/>
        <w:ind w:firstLine="720"/>
        <w:rPr>
          <w:bCs/>
        </w:rPr>
      </w:pPr>
      <w:r w:rsidRPr="00DF000D">
        <w:t>The Court further notes that while the category of protected activity for purposes of</w:t>
      </w:r>
    </w:p>
    <w:p w14:paraId="0E582298" w14:textId="77777777" w:rsidR="002D45B5" w:rsidRDefault="002D45B5" w:rsidP="002D45B5">
      <w:pPr>
        <w:pStyle w:val="NoSpacing"/>
        <w:ind w:left="720"/>
        <w:rPr>
          <w:bCs/>
        </w:rPr>
      </w:pPr>
      <w:r w:rsidRPr="00DF000D">
        <w:lastRenderedPageBreak/>
        <w:t xml:space="preserve">Title VII is not tightly </w:t>
      </w:r>
      <w:proofErr w:type="gramStart"/>
      <w:r w:rsidRPr="00DF000D">
        <w:t>constrained,</w:t>
      </w:r>
      <w:proofErr w:type="gramEnd"/>
      <w:r w:rsidRPr="00DF000D">
        <w:t xml:space="preserve"> it also is not unlimited</w:t>
      </w:r>
      <w:r>
        <w:t xml:space="preserve">…. </w:t>
      </w:r>
      <w:r w:rsidRPr="00F6713F">
        <w:t>To summarize, it would stretch the facts of this case too far to conclude that by</w:t>
      </w:r>
      <w:r>
        <w:t xml:space="preserve"> </w:t>
      </w:r>
      <w:r w:rsidRPr="00F6713F">
        <w:t>showing other employees Gullett’s Fetlife.com profile in the course of warning them about</w:t>
      </w:r>
      <w:r>
        <w:t xml:space="preserve"> </w:t>
      </w:r>
      <w:r w:rsidRPr="00AB4407">
        <w:t>possible sexual harassment by him,9 she was “opposing a[] practice,” 42 U.S.C. § 2000e-3(a),</w:t>
      </w:r>
      <w:r>
        <w:t xml:space="preserve"> </w:t>
      </w:r>
      <w:r w:rsidRPr="00AB4407">
        <w:t>of the Scioto County Ambulance District. Further, nothing in the record before the Court</w:t>
      </w:r>
      <w:r>
        <w:t xml:space="preserve"> </w:t>
      </w:r>
      <w:r w:rsidRPr="00AB4407">
        <w:t>suggests that Scioto Ambulance District ignored Crisp’s complaints about Gullet at the</w:t>
      </w:r>
      <w:r>
        <w:t xml:space="preserve"> </w:t>
      </w:r>
      <w:r w:rsidRPr="00AB4407">
        <w:t xml:space="preserve">relevant </w:t>
      </w:r>
      <w:proofErr w:type="gramStart"/>
      <w:r w:rsidRPr="00AB4407">
        <w:t>time period</w:t>
      </w:r>
      <w:proofErr w:type="gramEnd"/>
      <w:r w:rsidRPr="00AB4407">
        <w:t>, given that Crisp chose to make those complaints to coworkers, not to</w:t>
      </w:r>
      <w:r>
        <w:t xml:space="preserve"> </w:t>
      </w:r>
      <w:r w:rsidRPr="00AB4407">
        <w:t>their employer. For these reasons, Defendant is entitled to summary judgment on Crisp’s</w:t>
      </w:r>
      <w:r>
        <w:t xml:space="preserve"> </w:t>
      </w:r>
      <w:r w:rsidRPr="00AB4407">
        <w:t>retaliation claims (Counts II and IV).</w:t>
      </w:r>
      <w:r>
        <w:t>”</w:t>
      </w:r>
    </w:p>
    <w:p w14:paraId="6633C88E" w14:textId="77777777" w:rsidR="002D45B5" w:rsidRDefault="002D45B5" w:rsidP="002D45B5">
      <w:pPr>
        <w:pStyle w:val="NoSpacing"/>
        <w:ind w:left="720"/>
        <w:rPr>
          <w:bCs/>
        </w:rPr>
      </w:pPr>
    </w:p>
    <w:p w14:paraId="6BA1D749" w14:textId="77777777" w:rsidR="002D45B5" w:rsidRDefault="002D45B5" w:rsidP="002D45B5">
      <w:pPr>
        <w:pStyle w:val="NoSpacing"/>
        <w:rPr>
          <w:bCs/>
        </w:rPr>
      </w:pPr>
      <w:r>
        <w:rPr>
          <w:b/>
        </w:rPr>
        <w:t>Legal lesson learned:  The plaintiff may have been motivated to “warn” co-workers, but it was not a “protected activity” to show a web profile and nude photo of the male.</w:t>
      </w:r>
    </w:p>
    <w:p w14:paraId="1CAA245A" w14:textId="77777777" w:rsidR="002D45B5" w:rsidRDefault="002D45B5" w:rsidP="00292E1C">
      <w:pPr>
        <w:pStyle w:val="NoSpacing"/>
        <w:rPr>
          <w:rFonts w:ascii="Arial Black" w:hAnsi="Arial Black"/>
          <w:sz w:val="28"/>
          <w:szCs w:val="28"/>
        </w:rPr>
      </w:pPr>
    </w:p>
    <w:p w14:paraId="55F84FA4" w14:textId="77777777" w:rsidR="00C235E8" w:rsidRDefault="00C235E8" w:rsidP="00292E1C">
      <w:pPr>
        <w:pStyle w:val="NoSpacing"/>
        <w:rPr>
          <w:rFonts w:ascii="Arial Black" w:hAnsi="Arial Black"/>
          <w:sz w:val="28"/>
          <w:szCs w:val="28"/>
        </w:rPr>
      </w:pPr>
    </w:p>
    <w:p w14:paraId="4C543634" w14:textId="77777777" w:rsidR="00C235E8" w:rsidRDefault="00C235E8" w:rsidP="00292E1C">
      <w:pPr>
        <w:pStyle w:val="NoSpacing"/>
        <w:rPr>
          <w:rFonts w:ascii="Arial Black" w:hAnsi="Arial Black"/>
          <w:sz w:val="28"/>
          <w:szCs w:val="28"/>
        </w:rPr>
      </w:pPr>
    </w:p>
    <w:p w14:paraId="64DA7EAA" w14:textId="77777777" w:rsidR="00C235E8" w:rsidRDefault="00C235E8" w:rsidP="00292E1C">
      <w:pPr>
        <w:pStyle w:val="NoSpacing"/>
        <w:rPr>
          <w:rFonts w:ascii="Arial Black" w:hAnsi="Arial Black"/>
          <w:sz w:val="28"/>
          <w:szCs w:val="28"/>
        </w:rPr>
      </w:pPr>
    </w:p>
    <w:p w14:paraId="393A4E8B" w14:textId="55B03B29" w:rsidR="007B6232" w:rsidRDefault="007B6232" w:rsidP="00292E1C">
      <w:pPr>
        <w:pStyle w:val="NoSpacing"/>
        <w:rPr>
          <w:rFonts w:ascii="Arial Black" w:hAnsi="Arial Black"/>
          <w:sz w:val="28"/>
          <w:szCs w:val="28"/>
        </w:rPr>
      </w:pPr>
      <w:r>
        <w:rPr>
          <w:rFonts w:ascii="Arial Black" w:hAnsi="Arial Black"/>
          <w:sz w:val="28"/>
          <w:szCs w:val="28"/>
        </w:rPr>
        <w:t>7-88</w:t>
      </w:r>
    </w:p>
    <w:p w14:paraId="6033FD87" w14:textId="77777777" w:rsidR="007B6232" w:rsidRDefault="007B6232" w:rsidP="00292E1C">
      <w:pPr>
        <w:pStyle w:val="NoSpacing"/>
        <w:rPr>
          <w:rFonts w:ascii="Arial Black" w:hAnsi="Arial Black"/>
          <w:sz w:val="28"/>
          <w:szCs w:val="28"/>
        </w:rPr>
      </w:pPr>
    </w:p>
    <w:p w14:paraId="1A27B3E5" w14:textId="77777777" w:rsidR="00487B33" w:rsidRPr="00E50243" w:rsidRDefault="00487B33" w:rsidP="00487B33">
      <w:pPr>
        <w:pStyle w:val="NoSpacing"/>
        <w:rPr>
          <w:rFonts w:ascii="Arial Black" w:hAnsi="Arial Black"/>
          <w:b/>
          <w:sz w:val="28"/>
          <w:szCs w:val="28"/>
        </w:rPr>
      </w:pPr>
      <w:r>
        <w:rPr>
          <w:rFonts w:ascii="Arial Black" w:hAnsi="Arial Black"/>
          <w:b/>
          <w:sz w:val="28"/>
          <w:szCs w:val="28"/>
        </w:rPr>
        <w:t>CT: FEMALE CAPT – ORDER PORN REMOVED – RETALIATION</w:t>
      </w:r>
    </w:p>
    <w:p w14:paraId="002D0C45" w14:textId="77777777" w:rsidR="00487B33" w:rsidRDefault="00487B33" w:rsidP="00487B33">
      <w:pPr>
        <w:pStyle w:val="NoSpacing"/>
      </w:pPr>
    </w:p>
    <w:p w14:paraId="5B3C6FC2" w14:textId="77777777" w:rsidR="00487B33" w:rsidRDefault="00487B33" w:rsidP="00487B33">
      <w:pPr>
        <w:pStyle w:val="NoSpacing"/>
      </w:pPr>
      <w:r>
        <w:t xml:space="preserve">On March 10, 2026, in </w:t>
      </w:r>
      <w:r w:rsidRPr="00726ABA">
        <w:rPr>
          <w:u w:val="single"/>
        </w:rPr>
        <w:t>Melanie Depamphilis v. Town of Newington</w:t>
      </w:r>
      <w:r w:rsidRPr="00AC20D2">
        <w:t>, et al.,</w:t>
      </w:r>
      <w:r>
        <w:t xml:space="preserve"> U.S. District Court Judge Sarala v. </w:t>
      </w:r>
      <w:proofErr w:type="spellStart"/>
      <w:r>
        <w:t>Nagala</w:t>
      </w:r>
      <w:proofErr w:type="spellEnd"/>
      <w:r>
        <w:t xml:space="preserve">, United States District Court for the District of Connecticut, denied the municipal defendant’s motion to dismiss the hostile work environment claims, which will now proceed to pre-trial discovery.  Claims alleging a Town official policy or custom that led to the hostile work environment were dismissed.  The plaintiff was the </w:t>
      </w:r>
      <w:proofErr w:type="gramStart"/>
      <w:r>
        <w:t>Captain</w:t>
      </w:r>
      <w:proofErr w:type="gramEnd"/>
      <w:r>
        <w:t xml:space="preserve"> in charge of the Town’s Fire Company No. 2 (and a 2018 retired lieutenant from Hartford Fire Department). On July 10, </w:t>
      </w:r>
      <w:proofErr w:type="gramStart"/>
      <w:r>
        <w:t>2023</w:t>
      </w:r>
      <w:proofErr w:type="gramEnd"/>
      <w:r>
        <w:t xml:space="preserve"> she learned of a firefighter having pornography in his locker, and she ordered it removed; the firefighter did so but demanded to know who told her about the materials.  Based on other allegations, on August 17, </w:t>
      </w:r>
      <w:proofErr w:type="gramStart"/>
      <w:r>
        <w:t>2023</w:t>
      </w:r>
      <w:proofErr w:type="gramEnd"/>
      <w:r>
        <w:t xml:space="preserve"> she was placed on administrative leave; and restored to her position as Captain on November 6, </w:t>
      </w:r>
      <w:proofErr w:type="gramStart"/>
      <w:r>
        <w:t>2023</w:t>
      </w:r>
      <w:proofErr w:type="gramEnd"/>
      <w:r>
        <w:t xml:space="preserve"> </w:t>
      </w:r>
      <w:r w:rsidRPr="002A7501">
        <w:t>but also that she would be placed on a one-year probation based on her “actions and behaviors” and “issues related to the morale at Company 2</w:t>
      </w:r>
      <w:r>
        <w:t>.</w:t>
      </w:r>
      <w:r w:rsidRPr="002A7501">
        <w:t>”</w:t>
      </w:r>
      <w:r>
        <w:t xml:space="preserve"> </w:t>
      </w:r>
      <w:hyperlink r:id="rId1351" w:history="1">
        <w:r w:rsidRPr="00502BCE">
          <w:rPr>
            <w:rStyle w:val="Hyperlink"/>
          </w:rPr>
          <w:t>https://cases.justia.com/federal/district-courts/connecticut/ctdce/3:2025cv00524/164327/45/0.pdf?ts=1773222843</w:t>
        </w:r>
      </w:hyperlink>
      <w:r>
        <w:t xml:space="preserve"> </w:t>
      </w:r>
    </w:p>
    <w:p w14:paraId="38984443" w14:textId="77777777" w:rsidR="00487B33" w:rsidRDefault="00487B33" w:rsidP="00487B33">
      <w:pPr>
        <w:pStyle w:val="NoSpacing"/>
      </w:pPr>
    </w:p>
    <w:p w14:paraId="447F9DF3" w14:textId="77777777" w:rsidR="00487B33" w:rsidRDefault="00487B33" w:rsidP="00487B33">
      <w:pPr>
        <w:pStyle w:val="NoSpacing"/>
      </w:pPr>
      <w:r>
        <w:t>THE COURT HELD:  “</w:t>
      </w:r>
      <w:r w:rsidRPr="006764CD">
        <w:t>The Court concludes that Plaintiff has plausibly stated a claim that she was subjected to a hostile work environment under both Title VII and the CFEPA</w:t>
      </w:r>
      <w:r>
        <w:t xml:space="preserve">…. </w:t>
      </w:r>
      <w:r w:rsidRPr="00F562F1">
        <w:t>Examining the totality of the circumstances, Plaintiff's complaint alleges facts supporting a reasonable inference that the Municipal Defendants subjected Plaintiff to negative treatment because of her sex.</w:t>
      </w:r>
    </w:p>
    <w:p w14:paraId="6EDB446C" w14:textId="77777777" w:rsidR="00487B33" w:rsidRDefault="00487B33" w:rsidP="00487B33">
      <w:pPr>
        <w:pStyle w:val="NoSpacing"/>
      </w:pPr>
    </w:p>
    <w:p w14:paraId="6CDCD892" w14:textId="77777777" w:rsidR="00487B33" w:rsidRDefault="00487B33" w:rsidP="00487B33">
      <w:pPr>
        <w:pStyle w:val="NoSpacing"/>
      </w:pPr>
      <w:r>
        <w:t>***</w:t>
      </w:r>
    </w:p>
    <w:p w14:paraId="6F6D4442" w14:textId="77777777" w:rsidR="00487B33" w:rsidRDefault="00487B33" w:rsidP="00487B33">
      <w:pPr>
        <w:pStyle w:val="NoSpacing"/>
      </w:pPr>
    </w:p>
    <w:p w14:paraId="4DE0957B" w14:textId="77777777" w:rsidR="00487B33" w:rsidRPr="008655CD" w:rsidRDefault="00487B33" w:rsidP="00487B33">
      <w:pPr>
        <w:pStyle w:val="NoSpacing"/>
      </w:pPr>
      <w:r w:rsidRPr="008655CD">
        <w:t xml:space="preserve">First, the Second Circuit has noted that the mere presence of pornography in a workplace can alter a female plaintiff's </w:t>
      </w:r>
      <w:r>
        <w:t>‘</w:t>
      </w:r>
      <w:r w:rsidRPr="008655CD">
        <w:t xml:space="preserve">status in </w:t>
      </w:r>
      <w:proofErr w:type="spellStart"/>
      <w:r w:rsidRPr="008655CD">
        <w:t>th</w:t>
      </w:r>
      <w:proofErr w:type="spellEnd"/>
      <w:r w:rsidRPr="008655CD">
        <w:t>[at] workplace.</w:t>
      </w:r>
      <w:r>
        <w:t>’</w:t>
      </w:r>
      <w:r w:rsidRPr="008655CD">
        <w:t xml:space="preserve"> </w:t>
      </w:r>
      <w:r w:rsidRPr="008655CD">
        <w:rPr>
          <w:i/>
          <w:iCs/>
        </w:rPr>
        <w:t>Wolak v. Spucci</w:t>
      </w:r>
      <w:r w:rsidRPr="008655CD">
        <w:t xml:space="preserve">, 217 F.3d 157, 161 (2d Cir. 2000); </w:t>
      </w:r>
      <w:proofErr w:type="gramStart"/>
      <w:r w:rsidRPr="008655CD">
        <w:rPr>
          <w:i/>
          <w:iCs/>
        </w:rPr>
        <w:t>see also</w:t>
      </w:r>
      <w:proofErr w:type="gramEnd"/>
      <w:r w:rsidRPr="008655CD">
        <w:rPr>
          <w:i/>
          <w:iCs/>
        </w:rPr>
        <w:t xml:space="preserve"> Patane</w:t>
      </w:r>
      <w:r w:rsidRPr="008655CD">
        <w:t xml:space="preserve">, 508 F.3d at 114. Although Plaintiff does not allege she was directly exposed to these materials like the plaintiffs in </w:t>
      </w:r>
      <w:r w:rsidRPr="008655CD">
        <w:rPr>
          <w:i/>
          <w:iCs/>
        </w:rPr>
        <w:t>Wolak</w:t>
      </w:r>
      <w:r w:rsidRPr="008655CD">
        <w:t xml:space="preserve"> and </w:t>
      </w:r>
      <w:r w:rsidRPr="008655CD">
        <w:rPr>
          <w:i/>
          <w:iCs/>
        </w:rPr>
        <w:t>Patane</w:t>
      </w:r>
      <w:r w:rsidRPr="008655CD">
        <w:t xml:space="preserve">, the presence of </w:t>
      </w:r>
    </w:p>
    <w:p w14:paraId="3BD3731D" w14:textId="77777777" w:rsidR="00487B33" w:rsidRDefault="00487B33" w:rsidP="00487B33">
      <w:pPr>
        <w:pStyle w:val="NoSpacing"/>
      </w:pPr>
      <w:r w:rsidRPr="008655CD">
        <w:t xml:space="preserve">pornography in a male firefighter's locker can be considered </w:t>
      </w:r>
      <w:r>
        <w:t>‘</w:t>
      </w:r>
      <w:r w:rsidRPr="008655CD">
        <w:t>particularly offensive to women and intended to provoke Plaintiff's reaction as a woman,</w:t>
      </w:r>
      <w:r>
        <w:t>’</w:t>
      </w:r>
      <w:r w:rsidRPr="008655CD">
        <w:t xml:space="preserve"> for purposes of stating a plausible claim of a hostile work environment</w:t>
      </w:r>
      <w:r>
        <w:t xml:space="preserve">…. </w:t>
      </w:r>
    </w:p>
    <w:p w14:paraId="39F3FACC" w14:textId="77777777" w:rsidR="00487B33" w:rsidRDefault="00487B33" w:rsidP="00487B33">
      <w:pPr>
        <w:pStyle w:val="NoSpacing"/>
      </w:pPr>
    </w:p>
    <w:p w14:paraId="5FE94717" w14:textId="77777777" w:rsidR="00487B33" w:rsidRDefault="00487B33" w:rsidP="00487B33">
      <w:pPr>
        <w:pStyle w:val="NoSpacing"/>
      </w:pPr>
      <w:r w:rsidRPr="007478EC">
        <w:t>When considered in combination with the pornography incident, these allegations, taken as true, show that both the Individual and Municipal Defendants undermined, denigrated, and affirmatively sidelined Plaintiff—a decorated female leader in the NVPD. Thus, they state a plausible claim that the Municipal Defendants created hostile work environment for Plaintiff because of her sex.</w:t>
      </w:r>
      <w:r>
        <w:t>”</w:t>
      </w:r>
    </w:p>
    <w:p w14:paraId="1359152D" w14:textId="77777777" w:rsidR="00487B33" w:rsidRDefault="00487B33" w:rsidP="00487B33">
      <w:pPr>
        <w:pStyle w:val="NoSpacing"/>
      </w:pPr>
    </w:p>
    <w:p w14:paraId="5B8E0E54" w14:textId="77777777" w:rsidR="00487B33" w:rsidRPr="006A39CE" w:rsidRDefault="00487B33" w:rsidP="00487B33">
      <w:pPr>
        <w:pStyle w:val="NoSpacing"/>
        <w:rPr>
          <w:b/>
          <w:bCs/>
        </w:rPr>
      </w:pPr>
      <w:r w:rsidRPr="006A39CE">
        <w:rPr>
          <w:b/>
        </w:rPr>
        <w:t xml:space="preserve">Legal lesson learned: </w:t>
      </w:r>
      <w:r>
        <w:rPr>
          <w:b/>
        </w:rPr>
        <w:t xml:space="preserve">The presence of pornography can “alter a female’s status in the workplace. </w:t>
      </w:r>
    </w:p>
    <w:p w14:paraId="73C88215" w14:textId="77777777" w:rsidR="00487B33" w:rsidRDefault="00487B33" w:rsidP="00487B33">
      <w:pPr>
        <w:pStyle w:val="NoSpacing"/>
      </w:pPr>
    </w:p>
    <w:p w14:paraId="10F8A869" w14:textId="77777777" w:rsidR="007B6232" w:rsidRDefault="007B6232" w:rsidP="00292E1C">
      <w:pPr>
        <w:pStyle w:val="NoSpacing"/>
        <w:rPr>
          <w:rFonts w:ascii="Arial Black" w:hAnsi="Arial Black"/>
          <w:sz w:val="28"/>
          <w:szCs w:val="28"/>
        </w:rPr>
      </w:pPr>
    </w:p>
    <w:p w14:paraId="1F738C5A" w14:textId="77777777" w:rsidR="007B6232" w:rsidRDefault="007B6232" w:rsidP="00292E1C">
      <w:pPr>
        <w:pStyle w:val="NoSpacing"/>
        <w:rPr>
          <w:rFonts w:ascii="Arial Black" w:hAnsi="Arial Black"/>
          <w:sz w:val="28"/>
          <w:szCs w:val="28"/>
        </w:rPr>
      </w:pPr>
    </w:p>
    <w:p w14:paraId="55E7E88D" w14:textId="0CE3EFCF" w:rsidR="004578CE" w:rsidRDefault="00027641" w:rsidP="00292E1C">
      <w:pPr>
        <w:pStyle w:val="NoSpacing"/>
        <w:rPr>
          <w:rFonts w:ascii="Arial Black" w:hAnsi="Arial Black"/>
          <w:sz w:val="28"/>
          <w:szCs w:val="28"/>
        </w:rPr>
      </w:pPr>
      <w:r>
        <w:rPr>
          <w:rFonts w:ascii="Arial Black" w:hAnsi="Arial Black"/>
          <w:sz w:val="28"/>
          <w:szCs w:val="28"/>
        </w:rPr>
        <w:t>7-</w:t>
      </w:r>
      <w:r w:rsidR="001C06FF">
        <w:rPr>
          <w:rFonts w:ascii="Arial Black" w:hAnsi="Arial Black"/>
          <w:sz w:val="28"/>
          <w:szCs w:val="28"/>
        </w:rPr>
        <w:t>87</w:t>
      </w:r>
    </w:p>
    <w:p w14:paraId="78524C4A" w14:textId="77777777" w:rsidR="001C06FF" w:rsidRDefault="001C06FF" w:rsidP="00292E1C">
      <w:pPr>
        <w:pStyle w:val="NoSpacing"/>
        <w:rPr>
          <w:rFonts w:ascii="Arial Black" w:hAnsi="Arial Black"/>
          <w:sz w:val="28"/>
          <w:szCs w:val="28"/>
        </w:rPr>
      </w:pPr>
    </w:p>
    <w:p w14:paraId="12FE208E" w14:textId="77777777" w:rsidR="003F5F35" w:rsidRPr="00D6142A" w:rsidRDefault="003F5F35" w:rsidP="003F5F35">
      <w:pPr>
        <w:pStyle w:val="NoSpacing"/>
        <w:rPr>
          <w:rFonts w:ascii="Arial Black" w:hAnsi="Arial Black"/>
          <w:bCs/>
          <w:sz w:val="28"/>
          <w:szCs w:val="28"/>
        </w:rPr>
      </w:pPr>
      <w:r>
        <w:rPr>
          <w:rFonts w:ascii="Arial Black" w:hAnsi="Arial Black"/>
          <w:sz w:val="28"/>
          <w:szCs w:val="28"/>
        </w:rPr>
        <w:t>DC: HOSTILE WORK ENVIRON – BY SGT – CASE PROCEED</w:t>
      </w:r>
    </w:p>
    <w:p w14:paraId="3A33B01E" w14:textId="77777777" w:rsidR="003F5F35" w:rsidRDefault="003F5F35" w:rsidP="003F5F35">
      <w:pPr>
        <w:pStyle w:val="NoSpacing"/>
        <w:rPr>
          <w:bCs/>
        </w:rPr>
      </w:pPr>
    </w:p>
    <w:p w14:paraId="6BF84224" w14:textId="77777777" w:rsidR="003F5F35" w:rsidRDefault="003F5F35" w:rsidP="003F5F35">
      <w:pPr>
        <w:pStyle w:val="NoSpacing"/>
        <w:rPr>
          <w:bCs/>
        </w:rPr>
      </w:pPr>
      <w:r>
        <w:t xml:space="preserve">On February 12, 2026, in </w:t>
      </w:r>
      <w:r w:rsidRPr="00DD44A7">
        <w:rPr>
          <w:u w:val="single"/>
        </w:rPr>
        <w:t>Whitney Ward v. District of Columbia</w:t>
      </w:r>
      <w:r>
        <w:t xml:space="preserve">, U.S. District Court Judge Reggie B. Walton, </w:t>
      </w:r>
      <w:r w:rsidRPr="00A610BD">
        <w:t>United States District Court, District of Columbia</w:t>
      </w:r>
      <w:r>
        <w:t xml:space="preserve">, held that the hostile work atmosphere case may proceed based on her allegation [black female in Fire Investigations Unit] of conduct by her direct supervisor, but there was no evidence of retaliation by the fire department after filing an EEOC complaint (she was promoted to Sergeant in October 2024 and transferred to an Engine company).  THE COURT HELD: </w:t>
      </w:r>
      <w:r w:rsidRPr="003358D2">
        <w:t>The plaintiff alleges that Sgt. F</w:t>
      </w:r>
      <w:r>
        <w:t>ord  ‘</w:t>
      </w:r>
      <w:r w:rsidRPr="003358D2">
        <w:t>inappropriate and overly sexual conduct</w:t>
      </w:r>
      <w:r>
        <w:t>’</w:t>
      </w:r>
      <w:r w:rsidRPr="003358D2">
        <w:t xml:space="preserve"> continued </w:t>
      </w:r>
      <w:r>
        <w:t>‘</w:t>
      </w:r>
      <w:r w:rsidRPr="003358D2">
        <w:t>over the course of years,</w:t>
      </w:r>
      <w:r>
        <w:t xml:space="preserve">’ … </w:t>
      </w:r>
      <w:r w:rsidRPr="003358D2">
        <w:t xml:space="preserve">and that </w:t>
      </w:r>
      <w:r>
        <w:t>‘</w:t>
      </w:r>
      <w:r w:rsidRPr="003358D2">
        <w:t>Sgt. F</w:t>
      </w:r>
      <w:r>
        <w:t>ord</w:t>
      </w:r>
      <w:r w:rsidRPr="003358D2">
        <w:t xml:space="preserve"> </w:t>
      </w:r>
      <w:r>
        <w:t xml:space="preserve"> </w:t>
      </w:r>
      <w:r w:rsidRPr="003358D2">
        <w:t>comments were accompanied by lewd and suggestive non-verbal traits, such as tone of voice and facial expressions</w:t>
      </w:r>
      <w:r>
        <w:t xml:space="preserve">’ </w:t>
      </w:r>
      <w:r w:rsidRPr="003358D2">
        <w:t xml:space="preserve"> that the plaintiff represents </w:t>
      </w:r>
      <w:r>
        <w:t>‘</w:t>
      </w:r>
      <w:r w:rsidRPr="003358D2">
        <w:t>made clear that his comments were of a flirtatious or solicitous nature, which made [her] extremely uncomfortable[,]</w:t>
      </w:r>
      <w:r>
        <w:t xml:space="preserve">’ … </w:t>
      </w:r>
      <w:r w:rsidRPr="003358D2">
        <w:t xml:space="preserve">The plaintiff states that she was the only woman on her shift and </w:t>
      </w:r>
      <w:r>
        <w:t>‘</w:t>
      </w:r>
      <w:r w:rsidRPr="003358D2">
        <w:t>[Sgt.]</w:t>
      </w:r>
      <w:r>
        <w:t xml:space="preserve"> </w:t>
      </w:r>
      <w:r w:rsidRPr="003358D2">
        <w:t>F</w:t>
      </w:r>
      <w:r>
        <w:t xml:space="preserve">ord </w:t>
      </w:r>
      <w:r w:rsidRPr="003358D2">
        <w:t>repeated objectification and sexualization</w:t>
      </w:r>
      <w:r>
        <w:t>’</w:t>
      </w:r>
      <w:r w:rsidRPr="003358D2">
        <w:t xml:space="preserve"> made her </w:t>
      </w:r>
      <w:r>
        <w:t>‘</w:t>
      </w:r>
      <w:r w:rsidRPr="003358D2">
        <w:t>go [through] extra lengths and efforts to be taken seriously by her male colleagues.</w:t>
      </w:r>
      <w:r>
        <w:t xml:space="preserve">’ … </w:t>
      </w:r>
      <w:r w:rsidRPr="003358D2">
        <w:t xml:space="preserve"> </w:t>
      </w:r>
      <w:r w:rsidRPr="00AB090B">
        <w:t>Then, during a shift change on or about June 21, 2023, while the plaintiff was speaking with a friend and colleague about a new tattoo on her leg</w:t>
      </w:r>
      <w:r>
        <w:t xml:space="preserve"> … </w:t>
      </w:r>
      <w:r w:rsidRPr="00AB090B">
        <w:t>Sgt</w:t>
      </w:r>
      <w:r>
        <w:t xml:space="preserve">, </w:t>
      </w:r>
      <w:r w:rsidRPr="003358D2">
        <w:t>F</w:t>
      </w:r>
      <w:r>
        <w:t xml:space="preserve">ord </w:t>
      </w:r>
      <w:r w:rsidRPr="00AB090B">
        <w:t xml:space="preserve">approached the plaintiff </w:t>
      </w:r>
      <w:r>
        <w:t>‘</w:t>
      </w:r>
      <w:r w:rsidRPr="00AB090B">
        <w:t>in an aggressive manner and stated, ‘Is that flavored ink they used? What flavor is that?</w:t>
      </w:r>
      <w:r>
        <w:t xml:space="preserve">’ … </w:t>
      </w:r>
      <w:r w:rsidRPr="00AB090B">
        <w:t xml:space="preserve">with </w:t>
      </w:r>
      <w:r>
        <w:t>‘</w:t>
      </w:r>
      <w:r w:rsidRPr="00AB090B">
        <w:t>an expression on his face like he was salivating or hungry to taste something[,]</w:t>
      </w:r>
      <w:r>
        <w:t xml:space="preserve">’ …  </w:t>
      </w:r>
      <w:r w:rsidRPr="00AB090B">
        <w:t>Another colleague intervened, telling Sgt. F</w:t>
      </w:r>
      <w:r>
        <w:t xml:space="preserve"> </w:t>
      </w:r>
      <w:r w:rsidRPr="00AB090B">
        <w:t xml:space="preserve">that he </w:t>
      </w:r>
      <w:r>
        <w:t>‘</w:t>
      </w:r>
      <w:r w:rsidRPr="00AB090B">
        <w:t>better back up and leave her alone[.]</w:t>
      </w:r>
      <w:r>
        <w:t xml:space="preserve"> … </w:t>
      </w:r>
      <w:r w:rsidRPr="000215FD">
        <w:t>The plaintiff reported Sgt.</w:t>
      </w:r>
      <w:r>
        <w:t xml:space="preserve"> </w:t>
      </w:r>
      <w:r w:rsidRPr="003358D2">
        <w:t>F</w:t>
      </w:r>
      <w:r>
        <w:t xml:space="preserve">ord </w:t>
      </w:r>
      <w:r w:rsidRPr="000215FD">
        <w:t>to Capt. Brian Phillips</w:t>
      </w:r>
      <w:r>
        <w:t xml:space="preserve"> … </w:t>
      </w:r>
      <w:r w:rsidRPr="000215FD">
        <w:t xml:space="preserve">who </w:t>
      </w:r>
      <w:r>
        <w:t>‘</w:t>
      </w:r>
      <w:r w:rsidRPr="000215FD">
        <w:t>called Sgt. Ford into his office and told [him] that his conduct was unacceptable, especially given that Sgt. Ford was ostensibly an [Equal Employment Opportunity (‘EEO')] counselor for the department</w:t>
      </w:r>
      <w:r>
        <w:t xml:space="preserve">.’… </w:t>
      </w:r>
      <w:r w:rsidRPr="004A28FA">
        <w:t>In response to what had occurred, the plaintiff filed an EEO complaint on January 8, 2024</w:t>
      </w:r>
      <w:r>
        <w:t xml:space="preserve">. *** </w:t>
      </w:r>
      <w:r w:rsidRPr="00A07375">
        <w:t>As the Court has already concluded, the plaintiff alleges that Sgt.</w:t>
      </w:r>
      <w:r>
        <w:t xml:space="preserve"> </w:t>
      </w:r>
      <w:r w:rsidRPr="003358D2">
        <w:t>F</w:t>
      </w:r>
      <w:r>
        <w:t xml:space="preserve">ord </w:t>
      </w:r>
      <w:r w:rsidRPr="00A07375">
        <w:t>conduct was both frequent and lasted over the course of years, and that Sgt.</w:t>
      </w:r>
      <w:r w:rsidRPr="00FB3525">
        <w:t xml:space="preserve"> </w:t>
      </w:r>
      <w:r w:rsidRPr="003358D2">
        <w:t>F</w:t>
      </w:r>
      <w:r>
        <w:t>ord.</w:t>
      </w:r>
      <w:r w:rsidRPr="00A07375">
        <w:t xml:space="preserve"> comments and actions were sufficiently humiliating or degrading to support her Title VII hostile work environment claim at this stage of the case.</w:t>
      </w:r>
      <w:r>
        <w:t>”</w:t>
      </w:r>
    </w:p>
    <w:p w14:paraId="2E0E57B7" w14:textId="77777777" w:rsidR="003F5F35" w:rsidRDefault="003F5F35" w:rsidP="003F5F35">
      <w:pPr>
        <w:pStyle w:val="NoSpacing"/>
        <w:rPr>
          <w:bCs/>
        </w:rPr>
      </w:pPr>
    </w:p>
    <w:p w14:paraId="7747CC09" w14:textId="77777777" w:rsidR="003F5F35" w:rsidRPr="00704126" w:rsidRDefault="003F5F35" w:rsidP="003F5F35">
      <w:pPr>
        <w:pStyle w:val="NoSpacing"/>
        <w:rPr>
          <w:b/>
          <w:bCs/>
        </w:rPr>
      </w:pPr>
      <w:r>
        <w:rPr>
          <w:b/>
        </w:rPr>
        <w:t xml:space="preserve">Legal lesson learned: Comments by a Supervisor can lead to a hostile work environment lawsuit against the employer. </w:t>
      </w:r>
    </w:p>
    <w:p w14:paraId="186B7D31" w14:textId="77777777" w:rsidR="003F5F35" w:rsidRDefault="003F5F35" w:rsidP="003F5F35">
      <w:pPr>
        <w:pStyle w:val="NoSpacing"/>
      </w:pPr>
    </w:p>
    <w:p w14:paraId="721A1120" w14:textId="77777777" w:rsidR="001C06FF" w:rsidRDefault="001C06FF" w:rsidP="00292E1C">
      <w:pPr>
        <w:pStyle w:val="NoSpacing"/>
        <w:rPr>
          <w:rFonts w:ascii="Arial Black" w:hAnsi="Arial Black"/>
          <w:sz w:val="28"/>
          <w:szCs w:val="28"/>
        </w:rPr>
      </w:pPr>
    </w:p>
    <w:p w14:paraId="42B6121B" w14:textId="77777777" w:rsidR="004578CE" w:rsidRDefault="004578CE" w:rsidP="00292E1C">
      <w:pPr>
        <w:pStyle w:val="NoSpacing"/>
        <w:rPr>
          <w:rFonts w:ascii="Arial Black" w:hAnsi="Arial Black"/>
          <w:sz w:val="28"/>
          <w:szCs w:val="28"/>
        </w:rPr>
      </w:pPr>
    </w:p>
    <w:p w14:paraId="2C7F453D" w14:textId="77777777" w:rsidR="004578CE" w:rsidRDefault="004578CE" w:rsidP="00292E1C">
      <w:pPr>
        <w:pStyle w:val="NoSpacing"/>
        <w:rPr>
          <w:rFonts w:ascii="Arial Black" w:hAnsi="Arial Black"/>
          <w:sz w:val="28"/>
          <w:szCs w:val="28"/>
        </w:rPr>
      </w:pPr>
    </w:p>
    <w:p w14:paraId="59780365" w14:textId="5DE16F7F" w:rsidR="00C6586C" w:rsidRDefault="00C6586C" w:rsidP="00292E1C">
      <w:pPr>
        <w:pStyle w:val="NoSpacing"/>
        <w:rPr>
          <w:rFonts w:ascii="Arial Black" w:hAnsi="Arial Black"/>
          <w:sz w:val="28"/>
          <w:szCs w:val="28"/>
        </w:rPr>
      </w:pPr>
      <w:r>
        <w:rPr>
          <w:rFonts w:ascii="Arial Black" w:hAnsi="Arial Black"/>
          <w:sz w:val="28"/>
          <w:szCs w:val="28"/>
        </w:rPr>
        <w:t>7-86</w:t>
      </w:r>
    </w:p>
    <w:p w14:paraId="488FA2E9" w14:textId="77777777" w:rsidR="00C6586C" w:rsidRDefault="00C6586C" w:rsidP="00292E1C">
      <w:pPr>
        <w:pStyle w:val="NoSpacing"/>
        <w:rPr>
          <w:rFonts w:ascii="Arial Black" w:hAnsi="Arial Black"/>
          <w:sz w:val="28"/>
          <w:szCs w:val="28"/>
        </w:rPr>
      </w:pPr>
    </w:p>
    <w:p w14:paraId="27C9FC8E" w14:textId="345E2555" w:rsidR="00C6586C" w:rsidRPr="00111FFC" w:rsidRDefault="00C6586C" w:rsidP="00C6586C">
      <w:pPr>
        <w:rPr>
          <w:rFonts w:ascii="Arial Black" w:hAnsi="Arial Black"/>
          <w:b/>
          <w:sz w:val="28"/>
          <w:szCs w:val="28"/>
        </w:rPr>
      </w:pPr>
      <w:r>
        <w:rPr>
          <w:rFonts w:ascii="Arial Black" w:hAnsi="Arial Black"/>
          <w:b/>
          <w:sz w:val="28"/>
          <w:szCs w:val="28"/>
        </w:rPr>
        <w:t xml:space="preserve">VA: FEMALE EMT - FIRED WRONG DATE </w:t>
      </w:r>
      <w:r w:rsidR="007E7FBC">
        <w:rPr>
          <w:rFonts w:ascii="Arial Black" w:hAnsi="Arial Black"/>
          <w:b/>
          <w:sz w:val="28"/>
          <w:szCs w:val="28"/>
        </w:rPr>
        <w:t xml:space="preserve">ON </w:t>
      </w:r>
      <w:r>
        <w:rPr>
          <w:rFonts w:ascii="Arial Black" w:hAnsi="Arial Black"/>
          <w:b/>
          <w:sz w:val="28"/>
          <w:szCs w:val="28"/>
        </w:rPr>
        <w:t xml:space="preserve">RPT – </w:t>
      </w:r>
      <w:r w:rsidR="004035C1">
        <w:rPr>
          <w:rFonts w:ascii="Arial Black" w:hAnsi="Arial Black"/>
          <w:b/>
          <w:sz w:val="28"/>
          <w:szCs w:val="28"/>
        </w:rPr>
        <w:t xml:space="preserve">CASE </w:t>
      </w:r>
      <w:r>
        <w:rPr>
          <w:rFonts w:ascii="Arial Black" w:hAnsi="Arial Black"/>
          <w:b/>
          <w:sz w:val="28"/>
          <w:szCs w:val="28"/>
        </w:rPr>
        <w:t xml:space="preserve">PROCEED  </w:t>
      </w:r>
    </w:p>
    <w:p w14:paraId="0AEA9899" w14:textId="77777777" w:rsidR="00C6586C" w:rsidRPr="00A47355" w:rsidRDefault="00C6586C" w:rsidP="00C6586C">
      <w:pPr>
        <w:pStyle w:val="NoSpacing"/>
      </w:pPr>
      <w:r>
        <w:t xml:space="preserve">On January 22, 2026, in </w:t>
      </w:r>
      <w:r w:rsidRPr="00F05AFE">
        <w:rPr>
          <w:u w:val="single"/>
        </w:rPr>
        <w:t>Jada Marshall v. Accomack County Department of Public Safety</w:t>
      </w:r>
      <w:r>
        <w:t>, U.S. District Court Judge Raymond A. Jackson, United States District Court for Eastern District of Virginia,  Norfolk, denied defense motion to dismiss the lawsuit. “</w:t>
      </w:r>
      <w:r w:rsidRPr="000F0BD1">
        <w:t>When reviewed in totality, Plaintiffs workplace circumstances establish conditions sufficient for a sex-based hostile workplace claim to survive at this stage.</w:t>
      </w:r>
      <w:r>
        <w:t xml:space="preserve">” </w:t>
      </w:r>
      <w:hyperlink r:id="rId1352" w:history="1">
        <w:r w:rsidRPr="003F4532">
          <w:rPr>
            <w:rStyle w:val="Hyperlink"/>
          </w:rPr>
          <w:t>https://cases.justia.com/federal/district-courts/virginia/vaedce/2:2025cv00255/573201/8/0.pdf?ts=1769187301</w:t>
        </w:r>
      </w:hyperlink>
      <w:r>
        <w:t xml:space="preserve"> </w:t>
      </w:r>
    </w:p>
    <w:p w14:paraId="64ECE438" w14:textId="77777777" w:rsidR="00C6586C" w:rsidRDefault="00C6586C" w:rsidP="00C6586C">
      <w:pPr>
        <w:pStyle w:val="NoSpacing"/>
      </w:pPr>
    </w:p>
    <w:p w14:paraId="6EFC32D9" w14:textId="77777777" w:rsidR="00C6586C" w:rsidRDefault="00C6586C" w:rsidP="00C6586C">
      <w:pPr>
        <w:pStyle w:val="NoSpacing"/>
      </w:pPr>
      <w:r>
        <w:t xml:space="preserve">THE COURT HELD: </w:t>
      </w:r>
    </w:p>
    <w:p w14:paraId="5C37AE5C" w14:textId="77777777" w:rsidR="00C6586C" w:rsidRDefault="00C6586C" w:rsidP="00C6586C">
      <w:pPr>
        <w:pStyle w:val="NoSpacing"/>
      </w:pPr>
    </w:p>
    <w:p w14:paraId="5F28DF41" w14:textId="77777777" w:rsidR="00C6586C" w:rsidRDefault="00C6586C" w:rsidP="00C6586C">
      <w:pPr>
        <w:pStyle w:val="NoSpacing"/>
        <w:ind w:left="720"/>
      </w:pPr>
      <w:r>
        <w:t>“</w:t>
      </w:r>
      <w:r w:rsidRPr="00FD2B4B">
        <w:t>Plaintiff began employment on September 5, 2023</w:t>
      </w:r>
      <w:r>
        <w:t xml:space="preserve">…. </w:t>
      </w:r>
      <w:r w:rsidRPr="00FD2B4B">
        <w:t xml:space="preserve"> As a condition of her employment, Plaintiff was required to complete Advanced EMT and Firefighter training at the Fire Academy within 12 months of her date of hire</w:t>
      </w:r>
      <w:r>
        <w:t xml:space="preserve">… </w:t>
      </w:r>
      <w:r w:rsidRPr="00FD2B4B">
        <w:t xml:space="preserve"> On October 12, 2023, Plaintiffs Fire Academy instructor, Phillip </w:t>
      </w:r>
      <w:proofErr w:type="gramStart"/>
      <w:r w:rsidRPr="00FD2B4B">
        <w:t>Kelly (</w:t>
      </w:r>
      <w:r>
        <w:t>‘</w:t>
      </w:r>
      <w:proofErr w:type="gramEnd"/>
      <w:r w:rsidRPr="00FD2B4B">
        <w:t xml:space="preserve">Instructor </w:t>
      </w:r>
      <w:proofErr w:type="gramStart"/>
      <w:r w:rsidRPr="00FD2B4B">
        <w:t>Kelly</w:t>
      </w:r>
      <w:r>
        <w:t>’</w:t>
      </w:r>
      <w:r w:rsidRPr="00FD2B4B">
        <w:t>)</w:t>
      </w:r>
      <w:proofErr w:type="gramEnd"/>
      <w:r w:rsidRPr="00FD2B4B">
        <w:t xml:space="preserve">, sent Plaintiff a text message stating, </w:t>
      </w:r>
      <w:r>
        <w:t>‘</w:t>
      </w:r>
      <w:r w:rsidRPr="00FD2B4B">
        <w:t>I would ask you out if I was not married.</w:t>
      </w:r>
      <w:r>
        <w:t xml:space="preserve">’ … </w:t>
      </w:r>
      <w:r w:rsidRPr="006B05C1">
        <w:t xml:space="preserve">Plaintiff reported the perceived harassment to her </w:t>
      </w:r>
      <w:r w:rsidRPr="006B05C1">
        <w:lastRenderedPageBreak/>
        <w:t>supervisor, Captain Shawn Malone (</w:t>
      </w:r>
      <w:r>
        <w:t>‘</w:t>
      </w:r>
      <w:r w:rsidRPr="006B05C1">
        <w:t>Cpt. Malone</w:t>
      </w:r>
      <w:r>
        <w:t>’</w:t>
      </w:r>
      <w:r w:rsidRPr="006B05C1">
        <w:t>)</w:t>
      </w:r>
      <w:r>
        <w:t>…. P</w:t>
      </w:r>
      <w:r w:rsidRPr="006B05C1">
        <w:t xml:space="preserve">laintiff alleges that, following this report, Cpt. Malone </w:t>
      </w:r>
      <w:r>
        <w:t>‘</w:t>
      </w:r>
      <w:r w:rsidRPr="006B05C1">
        <w:t>blamed</w:t>
      </w:r>
      <w:r>
        <w:t>’</w:t>
      </w:r>
      <w:r w:rsidRPr="006B05C1">
        <w:t xml:space="preserve"> and </w:t>
      </w:r>
      <w:r>
        <w:t>‘</w:t>
      </w:r>
      <w:r w:rsidRPr="006B05C1">
        <w:t>belittled</w:t>
      </w:r>
      <w:r>
        <w:t>’</w:t>
      </w:r>
      <w:r w:rsidRPr="006B05C1">
        <w:t xml:space="preserve"> her, rather than disciplining Instructor Kelly or reporting her complaint to the County Administrator as required by DPS policy</w:t>
      </w:r>
      <w:r>
        <w:t xml:space="preserve">…. </w:t>
      </w:r>
      <w:r w:rsidRPr="006B05C1">
        <w:t xml:space="preserve">Cpt. Malone also told Plaintiff that </w:t>
      </w:r>
      <w:r>
        <w:t>‘</w:t>
      </w:r>
      <w:r w:rsidRPr="006B05C1">
        <w:t>she was not mature or mentally fit enough to work for DPS,</w:t>
      </w:r>
      <w:r>
        <w:t>’</w:t>
      </w:r>
      <w:r w:rsidRPr="006B05C1">
        <w:t xml:space="preserve"> </w:t>
      </w:r>
      <w:r>
        <w:t>‘</w:t>
      </w:r>
      <w:r w:rsidRPr="006B05C1">
        <w:t>she needed therapy</w:t>
      </w:r>
      <w:r>
        <w:t>’</w:t>
      </w:r>
      <w:r w:rsidRPr="006B05C1">
        <w:t xml:space="preserve"> and </w:t>
      </w:r>
      <w:r>
        <w:t>‘</w:t>
      </w:r>
      <w:r w:rsidRPr="006B05C1">
        <w:t>she should get her home life straight.</w:t>
      </w:r>
      <w:r>
        <w:t xml:space="preserve">’ … </w:t>
      </w:r>
      <w:r w:rsidRPr="006B05C1">
        <w:t xml:space="preserve">Cpt. Malone also spoke to coworkers about Plaintiff, allegedly saying Plaintiff had engaged in sexual relationships with other co-workers and that Plaintiff should </w:t>
      </w:r>
      <w:r>
        <w:t>‘</w:t>
      </w:r>
      <w:r w:rsidRPr="006B05C1">
        <w:t>close her legs and do her job.</w:t>
      </w:r>
      <w:r>
        <w:t xml:space="preserve">’ … </w:t>
      </w:r>
      <w:r w:rsidRPr="00A47355">
        <w:t>On March 1, 2024, HR sent Plaintiff a letter granting her thirty additional days to complete the required training shifts</w:t>
      </w:r>
      <w:r>
        <w:t xml:space="preserve">…. </w:t>
      </w:r>
      <w:r w:rsidRPr="00A47355">
        <w:t>Plaintiff subsequently completed all required clinical shifts during the granted extension and submitted documentation to Defendant to verify the completed shifts</w:t>
      </w:r>
      <w:r>
        <w:t xml:space="preserve">…. </w:t>
      </w:r>
      <w:r w:rsidRPr="00A47355">
        <w:t>However, Plaintiff realized she incorrectly entered a date on the paperwork</w:t>
      </w:r>
      <w:r>
        <w:t xml:space="preserve">…. </w:t>
      </w:r>
      <w:r w:rsidRPr="00A47355">
        <w:t>Plaintiff attempted to correct the documents, but Defendant did not accept her correction</w:t>
      </w:r>
      <w:r>
        <w:t xml:space="preserve">…. </w:t>
      </w:r>
      <w:r w:rsidRPr="00A47355">
        <w:t>Instead, Defendant informed Plaintiff that she was being terminated, and cited the filing error as the sole reason for her termination</w:t>
      </w:r>
      <w:r>
        <w:t xml:space="preserve">…. </w:t>
      </w:r>
      <w:r w:rsidRPr="00A47355">
        <w:t>On March 26, 2024, Plaintiff received a letter from Defendant formalizing her termination.</w:t>
      </w:r>
    </w:p>
    <w:p w14:paraId="3E09A6AB" w14:textId="77777777" w:rsidR="00C6586C" w:rsidRDefault="00C6586C" w:rsidP="00C6586C">
      <w:pPr>
        <w:pStyle w:val="NoSpacing"/>
        <w:ind w:left="720"/>
      </w:pPr>
    </w:p>
    <w:p w14:paraId="134BB0BC" w14:textId="77777777" w:rsidR="00C6586C" w:rsidRPr="00A47355" w:rsidRDefault="00C6586C" w:rsidP="00C6586C">
      <w:pPr>
        <w:pStyle w:val="NoSpacing"/>
        <w:ind w:left="720"/>
      </w:pPr>
      <w:r>
        <w:t xml:space="preserve">*** </w:t>
      </w:r>
      <w:r w:rsidRPr="00A47355">
        <w:t xml:space="preserve"> </w:t>
      </w:r>
    </w:p>
    <w:p w14:paraId="59C7E221" w14:textId="77777777" w:rsidR="00C6586C" w:rsidRDefault="00C6586C" w:rsidP="00C6586C">
      <w:pPr>
        <w:pStyle w:val="NoSpacing"/>
        <w:ind w:left="720"/>
        <w:rPr>
          <w:b/>
          <w:bCs/>
        </w:rPr>
      </w:pPr>
      <w:r w:rsidRPr="00962B39">
        <w:t xml:space="preserve">Instructor Kelly's implicit proposition, in addition to Cpt. Malone's disparaging comments about Plaintiff </w:t>
      </w:r>
      <w:r>
        <w:t>‘</w:t>
      </w:r>
      <w:r w:rsidRPr="00962B39">
        <w:t>keeping her legs closed,</w:t>
      </w:r>
      <w:r>
        <w:t>’</w:t>
      </w:r>
      <w:r w:rsidRPr="00962B39">
        <w:t xml:space="preserve"> indicate inappropriate sexual discussion by Plaintiffs superiors in her workplace. And, although a hostile workplace claim must meet a demanding standard, courts in this district have found that sexual harassment by one's supervisor is more likely to meet that standard because of the influence the supervisor may have on the workplace and </w:t>
      </w:r>
      <w:proofErr w:type="gramStart"/>
      <w:r w:rsidRPr="00962B39">
        <w:t>in light of</w:t>
      </w:r>
      <w:proofErr w:type="gramEnd"/>
      <w:r w:rsidRPr="00962B39">
        <w:t xml:space="preserve"> the inherent power imbalance</w:t>
      </w:r>
      <w:r>
        <w:t xml:space="preserve">.” </w:t>
      </w:r>
    </w:p>
    <w:p w14:paraId="643AF0EA" w14:textId="77777777" w:rsidR="00C6586C" w:rsidRDefault="00C6586C" w:rsidP="00C6586C">
      <w:pPr>
        <w:pStyle w:val="NoSpacing"/>
        <w:rPr>
          <w:b/>
          <w:bCs/>
        </w:rPr>
      </w:pPr>
    </w:p>
    <w:p w14:paraId="4439348C" w14:textId="77777777" w:rsidR="00C6586C" w:rsidRDefault="00C6586C" w:rsidP="00C6586C">
      <w:pPr>
        <w:pStyle w:val="NoSpacing"/>
        <w:rPr>
          <w:b/>
          <w:bCs/>
        </w:rPr>
      </w:pPr>
      <w:r>
        <w:rPr>
          <w:b/>
        </w:rPr>
        <w:t xml:space="preserve">Legal lesson learned: If an officer believes FF / EMT is not mentally “not fit for the job” then work with HR to get employee professionally evaluated. </w:t>
      </w:r>
    </w:p>
    <w:p w14:paraId="61A1BC25" w14:textId="77777777" w:rsidR="00C6586C" w:rsidRDefault="00C6586C" w:rsidP="00C6586C">
      <w:pPr>
        <w:pStyle w:val="NoSpacing"/>
        <w:rPr>
          <w:b/>
          <w:bCs/>
        </w:rPr>
      </w:pPr>
    </w:p>
    <w:p w14:paraId="75F73570" w14:textId="77777777" w:rsidR="00C6586C" w:rsidRDefault="00C6586C" w:rsidP="00292E1C">
      <w:pPr>
        <w:pStyle w:val="NoSpacing"/>
        <w:rPr>
          <w:rFonts w:ascii="Arial Black" w:hAnsi="Arial Black"/>
          <w:sz w:val="28"/>
          <w:szCs w:val="28"/>
        </w:rPr>
      </w:pPr>
    </w:p>
    <w:p w14:paraId="31562364" w14:textId="77777777" w:rsidR="00C6586C" w:rsidRDefault="00C6586C" w:rsidP="00292E1C">
      <w:pPr>
        <w:pStyle w:val="NoSpacing"/>
        <w:rPr>
          <w:rFonts w:ascii="Arial Black" w:hAnsi="Arial Black"/>
          <w:sz w:val="28"/>
          <w:szCs w:val="28"/>
        </w:rPr>
      </w:pPr>
    </w:p>
    <w:p w14:paraId="7E211B60" w14:textId="6C270E22" w:rsidR="007774D2" w:rsidRDefault="00215605" w:rsidP="00292E1C">
      <w:pPr>
        <w:pStyle w:val="NoSpacing"/>
        <w:rPr>
          <w:rFonts w:ascii="Arial Black" w:hAnsi="Arial Black"/>
          <w:sz w:val="28"/>
          <w:szCs w:val="28"/>
        </w:rPr>
      </w:pPr>
      <w:r>
        <w:rPr>
          <w:rFonts w:ascii="Arial Black" w:hAnsi="Arial Black"/>
          <w:sz w:val="28"/>
          <w:szCs w:val="28"/>
        </w:rPr>
        <w:t>7-85</w:t>
      </w:r>
    </w:p>
    <w:p w14:paraId="57612908" w14:textId="77777777" w:rsidR="00215605" w:rsidRDefault="00215605" w:rsidP="00292E1C">
      <w:pPr>
        <w:pStyle w:val="NoSpacing"/>
        <w:rPr>
          <w:rFonts w:ascii="Arial Black" w:hAnsi="Arial Black"/>
          <w:sz w:val="28"/>
          <w:szCs w:val="28"/>
        </w:rPr>
      </w:pPr>
    </w:p>
    <w:p w14:paraId="4365C3FE" w14:textId="77777777" w:rsidR="00215605" w:rsidRPr="00475917" w:rsidRDefault="00215605" w:rsidP="00215605">
      <w:pPr>
        <w:rPr>
          <w:rFonts w:ascii="Arial Black" w:hAnsi="Arial Black"/>
          <w:sz w:val="28"/>
          <w:szCs w:val="28"/>
        </w:rPr>
      </w:pPr>
      <w:r>
        <w:rPr>
          <w:rFonts w:ascii="Arial Black" w:hAnsi="Arial Black"/>
          <w:sz w:val="28"/>
          <w:szCs w:val="28"/>
        </w:rPr>
        <w:t xml:space="preserve">DE: EMT / VOL. FD – “OFFENSIVE JOKES” – FIRING UPHELD </w:t>
      </w:r>
    </w:p>
    <w:p w14:paraId="321CC0D0" w14:textId="77777777" w:rsidR="00215605" w:rsidRPr="00CC347E" w:rsidRDefault="00215605" w:rsidP="00215605">
      <w:r>
        <w:t xml:space="preserve">On November 25, 2025, in </w:t>
      </w:r>
      <w:r w:rsidRPr="00161B10">
        <w:rPr>
          <w:u w:val="single"/>
        </w:rPr>
        <w:t xml:space="preserve">Steven Germain v. Cara Viera, </w:t>
      </w:r>
      <w:r>
        <w:rPr>
          <w:u w:val="single"/>
        </w:rPr>
        <w:t xml:space="preserve">et al., </w:t>
      </w:r>
      <w:r w:rsidRPr="00161B10">
        <w:rPr>
          <w:u w:val="single"/>
        </w:rPr>
        <w:t xml:space="preserve">Mill Creek Board of Directors, </w:t>
      </w:r>
      <w:r>
        <w:t xml:space="preserve">Judge </w:t>
      </w:r>
      <w:r w:rsidRPr="00FE1B2D">
        <w:t>Sonia Augusthy</w:t>
      </w:r>
      <w:r>
        <w:t xml:space="preserve">, </w:t>
      </w:r>
      <w:r w:rsidRPr="00FE1B2D">
        <w:t>Superior Court of Delaware</w:t>
      </w:r>
      <w:r>
        <w:t>, granted the defendants’ motion to dismiss.  The Fire Department is a non-profit, non-governmental entity.  The plaintiff claimed [pro se – not represented by an attorney] was not granted due process; fired by the Board of Directors without a hearing five days after sending an e-mail to female that he claimed was merely an “offensive joke.” THE COURT WROTE: “</w:t>
      </w:r>
      <w:r w:rsidRPr="00706508">
        <w:t xml:space="preserve">Steven Germain, a longtime volunteer of a non-profit private entity, admittedly sent a text message to a female associate, indicating he </w:t>
      </w:r>
      <w:r>
        <w:t>‘</w:t>
      </w:r>
      <w:r w:rsidRPr="00706508">
        <w:t>had a mental thought of slapping her on the butt.</w:t>
      </w:r>
      <w:r>
        <w:t xml:space="preserve"> </w:t>
      </w:r>
      <w:r w:rsidRPr="00AD6501">
        <w:t>She responded that would be inappropriate. He acknowledged she was correct and apologized. This incident was reported.</w:t>
      </w:r>
      <w:r>
        <w:t xml:space="preserve">*** </w:t>
      </w:r>
      <w:r w:rsidRPr="006115E8">
        <w:t xml:space="preserve">Plaintiff was notified of the issue and given an opportunity to respond. In a written response he admitted to </w:t>
      </w:r>
      <w:r>
        <w:t>‘</w:t>
      </w:r>
      <w:r w:rsidRPr="006115E8">
        <w:t>offensive jokes,</w:t>
      </w:r>
      <w:r>
        <w:t>’</w:t>
      </w:r>
      <w:r w:rsidRPr="006115E8">
        <w:t xml:space="preserve"> which expressly violates the policy he cites. The </w:t>
      </w:r>
      <w:r>
        <w:t>‘</w:t>
      </w:r>
      <w:r w:rsidRPr="006115E8">
        <w:t>government</w:t>
      </w:r>
      <w:r>
        <w:t>’</w:t>
      </w:r>
      <w:r w:rsidRPr="006115E8">
        <w:t xml:space="preserve"> interest of Mill Creek is to ensure a safe and respectful environment for members and the community they serve. Even under the facts as alleged by Plaintiff, he received sufficient due process</w:t>
      </w:r>
      <w:r>
        <w:t xml:space="preserve">…. </w:t>
      </w:r>
      <w:r w:rsidRPr="002724DC">
        <w:t>As for defamation, Defendants argue Plaintiff failed to identify a defamatory statement within the Complaint. Further, they argue because Plaintiff admitted making the comment, and acknowledged it as an offensive joke</w:t>
      </w:r>
      <w:r>
        <w:t xml:space="preserve">.” </w:t>
      </w:r>
      <w:hyperlink r:id="rId1353" w:history="1">
        <w:r w:rsidRPr="00CC347E">
          <w:rPr>
            <w:rStyle w:val="Hyperlink"/>
          </w:rPr>
          <w:t>https://cases.justia.com/delaware/superior-court/2025-n25c-08-098-ssa.pdf?ts=1764099129</w:t>
        </w:r>
      </w:hyperlink>
      <w:r w:rsidRPr="00CC347E">
        <w:t xml:space="preserve"> </w:t>
      </w:r>
    </w:p>
    <w:p w14:paraId="141DC7BA" w14:textId="77777777" w:rsidR="00215605" w:rsidRDefault="00215605" w:rsidP="00215605">
      <w:r>
        <w:t>THE COURT HELD:</w:t>
      </w:r>
    </w:p>
    <w:p w14:paraId="5583EE14" w14:textId="77777777" w:rsidR="00215605" w:rsidRDefault="00215605" w:rsidP="00215605">
      <w:pPr>
        <w:ind w:firstLine="720"/>
      </w:pPr>
      <w:r>
        <w:t>“</w:t>
      </w:r>
      <w:r w:rsidRPr="00B8450A">
        <w:t>Plaintiff was a volunteer with the Fire Department for over 14 years.</w:t>
      </w:r>
    </w:p>
    <w:p w14:paraId="4151685B" w14:textId="77777777" w:rsidR="00215605" w:rsidRDefault="00215605" w:rsidP="00215605">
      <w:pPr>
        <w:ind w:firstLine="720"/>
      </w:pPr>
      <w:r>
        <w:t>***</w:t>
      </w:r>
    </w:p>
    <w:p w14:paraId="6B1D44E5" w14:textId="77777777" w:rsidR="00215605" w:rsidRPr="00B73F86" w:rsidRDefault="00215605" w:rsidP="00215605">
      <w:pPr>
        <w:ind w:left="720"/>
      </w:pPr>
      <w:r w:rsidRPr="00B73F86">
        <w:lastRenderedPageBreak/>
        <w:t xml:space="preserve">After the text exchange outlined above, Plaintiff was notified by letter that Fire Department leadership received a formal complaint, alleging a violation of the sexual harassment and conduct policies. The letter notified </w:t>
      </w:r>
      <w:proofErr w:type="gramStart"/>
      <w:r w:rsidRPr="00B73F86">
        <w:t>Plaintiff</w:t>
      </w:r>
      <w:proofErr w:type="gramEnd"/>
      <w:r w:rsidRPr="00B73F86">
        <w:t xml:space="preserve"> an investigation had been initiated. He was suspended. He was instructed not to have contact with the Fire Department while the investigation was pending. The letter from leadership did not specify the conduct at issue. </w:t>
      </w:r>
    </w:p>
    <w:p w14:paraId="5CE8FD3A" w14:textId="77777777" w:rsidR="00215605" w:rsidRDefault="00215605" w:rsidP="00215605">
      <w:pPr>
        <w:ind w:left="720"/>
      </w:pPr>
      <w:r w:rsidRPr="00B73F86">
        <w:t xml:space="preserve">The same day, Plaintiff replied via email. Within, he provided the factual background for the incident outlined above and attached to the Complaint. Specifically, the email advised Plaintiff engaged a female colleague in a text exchange wherein he stated he had </w:t>
      </w:r>
      <w:r>
        <w:t>‘</w:t>
      </w:r>
      <w:r w:rsidRPr="00B73F86">
        <w:t>a funny thing to share, but don't get mad or something like that.</w:t>
      </w:r>
      <w:r>
        <w:t>’</w:t>
      </w:r>
      <w:r w:rsidRPr="00B73F86">
        <w:t xml:space="preserve"> This responsive email from Plaintiff went on to describe his next text to his female colleague as, </w:t>
      </w:r>
      <w:r>
        <w:t>‘</w:t>
      </w:r>
      <w:r w:rsidRPr="00B73F86">
        <w:t>I said it was funny when I was coming into the meeting hall, and everyone was there she was reaching over the table to Andrew, and I said it was funny because I had a mental thought of slapping her on the butt.</w:t>
      </w:r>
      <w:r>
        <w:t>’</w:t>
      </w:r>
      <w:r w:rsidRPr="00B73F86">
        <w:t xml:space="preserve"> This email from Plaintiff described the exchange as </w:t>
      </w:r>
      <w:r>
        <w:t>‘</w:t>
      </w:r>
      <w:r w:rsidRPr="00B73F86">
        <w:t>common silly banter.</w:t>
      </w:r>
      <w:r>
        <w:t>’</w:t>
      </w:r>
      <w:r w:rsidRPr="00B73F86">
        <w:t xml:space="preserve"> Plaintiff stated he </w:t>
      </w:r>
      <w:r>
        <w:t>‘</w:t>
      </w:r>
      <w:r w:rsidRPr="00B73F86">
        <w:t>will take 100% responsibility for my comment</w:t>
      </w:r>
      <w:r>
        <w:t>.’”</w:t>
      </w:r>
    </w:p>
    <w:p w14:paraId="7147739B" w14:textId="77777777" w:rsidR="00215605" w:rsidRDefault="00215605" w:rsidP="00215605">
      <w:pPr>
        <w:rPr>
          <w:b/>
          <w:bCs/>
        </w:rPr>
      </w:pPr>
      <w:r>
        <w:rPr>
          <w:b/>
        </w:rPr>
        <w:t xml:space="preserve">Legal lesson learned: Sexual comments are not “common silly banter.”  </w:t>
      </w:r>
    </w:p>
    <w:p w14:paraId="7662B279" w14:textId="77777777" w:rsidR="00215605" w:rsidRDefault="00215605" w:rsidP="00292E1C">
      <w:pPr>
        <w:pStyle w:val="NoSpacing"/>
        <w:rPr>
          <w:rFonts w:ascii="Arial Black" w:hAnsi="Arial Black"/>
          <w:sz w:val="28"/>
          <w:szCs w:val="28"/>
        </w:rPr>
      </w:pPr>
    </w:p>
    <w:p w14:paraId="5176852C" w14:textId="77777777" w:rsidR="00215605" w:rsidRDefault="00215605" w:rsidP="00292E1C">
      <w:pPr>
        <w:pStyle w:val="NoSpacing"/>
        <w:rPr>
          <w:rFonts w:ascii="Arial Black" w:hAnsi="Arial Black"/>
          <w:sz w:val="28"/>
          <w:szCs w:val="28"/>
        </w:rPr>
      </w:pPr>
    </w:p>
    <w:p w14:paraId="059B0652" w14:textId="335D0A1D" w:rsidR="00215605" w:rsidRDefault="00215605" w:rsidP="00292E1C">
      <w:pPr>
        <w:pStyle w:val="NoSpacing"/>
        <w:rPr>
          <w:rFonts w:ascii="Arial Black" w:hAnsi="Arial Black"/>
          <w:sz w:val="28"/>
          <w:szCs w:val="28"/>
        </w:rPr>
      </w:pPr>
      <w:r>
        <w:rPr>
          <w:rFonts w:ascii="Arial Black" w:hAnsi="Arial Black"/>
          <w:sz w:val="28"/>
          <w:szCs w:val="28"/>
        </w:rPr>
        <w:t>7-84</w:t>
      </w:r>
    </w:p>
    <w:p w14:paraId="318D1917" w14:textId="77777777" w:rsidR="00BC64C2" w:rsidRDefault="00BC64C2" w:rsidP="00292E1C">
      <w:pPr>
        <w:pStyle w:val="NoSpacing"/>
        <w:rPr>
          <w:rFonts w:ascii="Arial Black" w:hAnsi="Arial Black"/>
          <w:sz w:val="28"/>
          <w:szCs w:val="28"/>
        </w:rPr>
      </w:pPr>
    </w:p>
    <w:p w14:paraId="53B4D2D7" w14:textId="6AAD6556" w:rsidR="00BC64C2" w:rsidRPr="00D2161F" w:rsidRDefault="00BC64C2" w:rsidP="00BC64C2">
      <w:pPr>
        <w:pStyle w:val="NoSpacing"/>
        <w:rPr>
          <w:rFonts w:ascii="Arial Black" w:hAnsi="Arial Black"/>
          <w:sz w:val="28"/>
          <w:szCs w:val="28"/>
        </w:rPr>
      </w:pPr>
      <w:r>
        <w:rPr>
          <w:rFonts w:ascii="Arial Black" w:hAnsi="Arial Black"/>
          <w:sz w:val="28"/>
          <w:szCs w:val="28"/>
        </w:rPr>
        <w:t xml:space="preserve">TX: CHIEF 30 DAY SUSP – FEMALE B/C &amp; CAPT FIRED </w:t>
      </w:r>
    </w:p>
    <w:p w14:paraId="5B0956C6" w14:textId="77777777" w:rsidR="00BC64C2" w:rsidRDefault="00BC64C2" w:rsidP="00BC64C2">
      <w:pPr>
        <w:pStyle w:val="NoSpacing"/>
      </w:pPr>
    </w:p>
    <w:p w14:paraId="1052CD83" w14:textId="77777777" w:rsidR="00BC64C2" w:rsidRDefault="00BC64C2" w:rsidP="00BC64C2">
      <w:pPr>
        <w:pStyle w:val="NoSpacing"/>
      </w:pPr>
      <w:r>
        <w:t xml:space="preserve">On October 29, 2025, in </w:t>
      </w:r>
      <w:r w:rsidRPr="000D00D9">
        <w:rPr>
          <w:u w:val="single"/>
        </w:rPr>
        <w:t>Brittany Garner and David Daigle v. Travis County Emergency Services District No</w:t>
      </w:r>
      <w:r>
        <w:rPr>
          <w:u w:val="single"/>
        </w:rPr>
        <w:t>.</w:t>
      </w:r>
      <w:r w:rsidRPr="000D00D9">
        <w:rPr>
          <w:u w:val="single"/>
        </w:rPr>
        <w:t xml:space="preserve"> 1</w:t>
      </w:r>
      <w:r>
        <w:t xml:space="preserve">, U.S. District Court Judge Robert Pitman, </w:t>
      </w:r>
      <w:r w:rsidRPr="00234FD9">
        <w:t xml:space="preserve">United States District Court, </w:t>
      </w:r>
      <w:r>
        <w:t xml:space="preserve">Western District, </w:t>
      </w:r>
      <w:r w:rsidRPr="00234FD9">
        <w:t>Austin Division</w:t>
      </w:r>
      <w:r>
        <w:t xml:space="preserve">, held that Battalion Chief Brittany Garner (fired Dec. 23, 2023), and Captain David Daigle (fired Dec. 15, 2023) may proceed together in a joint trial for alleged retaliation.  The Fire Chief was suspended for one month in May 2023 after Brittany Garner made allegations sexual harassment by the Chief. She </w:t>
      </w:r>
      <w:r w:rsidRPr="00BE05C9">
        <w:t>is the only woman in upper management within TCESD1, and her EEOC charge alleges that Chief Norman criticized her for “mothering” her crew.</w:t>
      </w:r>
      <w:r>
        <w:t xml:space="preserve"> David made other complaints about the Fire Chief.  THE COURT WROTE: “</w:t>
      </w:r>
      <w:r w:rsidRPr="00B73C81">
        <w:t>Plaintiffs plead that they worked for the same entity at the same location, worked under the same chief, both reported th</w:t>
      </w:r>
      <w:r>
        <w:t>e</w:t>
      </w:r>
      <w:r w:rsidRPr="00B73C81">
        <w:t xml:space="preserve"> chief for sexual harassment, were both terminated within one week of each other in December 2023, and were terminated based upon fabricated allegations without the opportunity to meaningfully defend themselves</w:t>
      </w:r>
      <w:r>
        <w:t xml:space="preserve">. </w:t>
      </w:r>
      <w:r w:rsidRPr="005E3A18">
        <w:t xml:space="preserve">Their retaliation claims are therefore logically related and do arise out of the same series of transactions or </w:t>
      </w:r>
      <w:proofErr w:type="gramStart"/>
      <w:r w:rsidRPr="005E3A18">
        <w:t>occurrences</w:t>
      </w:r>
      <w:r>
        <w:t>.”</w:t>
      </w:r>
      <w:proofErr w:type="gramEnd"/>
      <w:r>
        <w:t xml:space="preserve"> </w:t>
      </w:r>
    </w:p>
    <w:p w14:paraId="53A2DD6D" w14:textId="77777777" w:rsidR="00BC64C2" w:rsidRDefault="00BC64C2" w:rsidP="00BC64C2">
      <w:pPr>
        <w:pStyle w:val="NoSpacing"/>
      </w:pPr>
    </w:p>
    <w:p w14:paraId="2A157956" w14:textId="77777777" w:rsidR="00BC64C2" w:rsidRDefault="00BC64C2" w:rsidP="00BC64C2">
      <w:pPr>
        <w:pStyle w:val="NoSpacing"/>
      </w:pPr>
      <w:r>
        <w:t>THE COURT HELD:</w:t>
      </w:r>
    </w:p>
    <w:p w14:paraId="14DCB0CF" w14:textId="77777777" w:rsidR="00BC64C2" w:rsidRDefault="00BC64C2" w:rsidP="00BC64C2">
      <w:pPr>
        <w:pStyle w:val="NoSpacing"/>
        <w:ind w:left="720"/>
      </w:pPr>
    </w:p>
    <w:p w14:paraId="7177C37F" w14:textId="77777777" w:rsidR="00BC64C2" w:rsidRDefault="00BC64C2" w:rsidP="00BC64C2">
      <w:pPr>
        <w:pStyle w:val="NoSpacing"/>
        <w:ind w:left="720"/>
      </w:pPr>
      <w:r>
        <w:t>“</w:t>
      </w:r>
      <w:r w:rsidRPr="00D55493">
        <w:t>Garner was employed as a Battalion Chief; she alleges that she was the highest-ranking woman within TCESD1 and the only woman in upper management</w:t>
      </w:r>
      <w:r>
        <w:t xml:space="preserve">…. </w:t>
      </w:r>
      <w:r w:rsidRPr="00D55493">
        <w:t>Daigle was employed as a Captain</w:t>
      </w:r>
      <w:r>
        <w:t xml:space="preserve">…. </w:t>
      </w:r>
      <w:r w:rsidRPr="00D55493">
        <w:t>Both had worked at TCESD1 since 2008.</w:t>
      </w:r>
    </w:p>
    <w:p w14:paraId="1A93D839" w14:textId="77777777" w:rsidR="00BC64C2" w:rsidRDefault="00BC64C2" w:rsidP="00BC64C2">
      <w:pPr>
        <w:pStyle w:val="NoSpacing"/>
        <w:ind w:left="720"/>
      </w:pPr>
    </w:p>
    <w:p w14:paraId="34DACA90" w14:textId="77777777" w:rsidR="00BC64C2" w:rsidRDefault="00BC64C2" w:rsidP="00BC64C2">
      <w:pPr>
        <w:pStyle w:val="NoSpacing"/>
        <w:ind w:left="720"/>
      </w:pPr>
      <w:r>
        <w:t>***</w:t>
      </w:r>
    </w:p>
    <w:p w14:paraId="4899D792" w14:textId="77777777" w:rsidR="00BC64C2" w:rsidRDefault="00BC64C2" w:rsidP="00BC64C2">
      <w:pPr>
        <w:pStyle w:val="NoSpacing"/>
        <w:ind w:left="720"/>
      </w:pPr>
      <w:r w:rsidRPr="00CD35A3">
        <w:t xml:space="preserve">The timeline of Garner's protected activities and the alleged adverse actions taken against  harassment and gender discrimination in February 2023; (2) she subsequently repeated these complaints to Borchardt, who was </w:t>
      </w:r>
      <w:r>
        <w:t>‘</w:t>
      </w:r>
      <w:r w:rsidRPr="00CD35A3">
        <w:t>a friend</w:t>
      </w:r>
      <w:r>
        <w:t>’</w:t>
      </w:r>
      <w:r w:rsidRPr="00CD35A3">
        <w:t xml:space="preserve"> of Chief Norman's and </w:t>
      </w:r>
      <w:r>
        <w:t>‘</w:t>
      </w:r>
      <w:r w:rsidRPr="00CD35A3">
        <w:t>re-surveyed</w:t>
      </w:r>
      <w:r>
        <w:t>’</w:t>
      </w:r>
      <w:r w:rsidRPr="00CD35A3">
        <w:t xml:space="preserve"> the TCESD1 employees in approximately April 2023; (3) in May 2023, which was approximately one month after she made complaints to Borchardt, Chief Norman </w:t>
      </w:r>
      <w:r>
        <w:t>‘</w:t>
      </w:r>
      <w:r w:rsidRPr="00CD35A3">
        <w:t>blamed</w:t>
      </w:r>
      <w:r>
        <w:t>’</w:t>
      </w:r>
      <w:r w:rsidRPr="00CD35A3">
        <w:t xml:space="preserve"> schedule changes on Garner, such that she was </w:t>
      </w:r>
      <w:r>
        <w:t>‘</w:t>
      </w:r>
      <w:r w:rsidRPr="00CD35A3">
        <w:t>ostracized . . . by the other male officers and firefighters,</w:t>
      </w:r>
      <w:r>
        <w:t>’</w:t>
      </w:r>
      <w:r w:rsidRPr="00CD35A3">
        <w:t xml:space="preserve"> and Chief Norman allegedly asked one of Garner's subordinates to report to him any information he could use to justify terminating Garner; (4) on October 4, 2023, Garner was placed on leave pending an investigation into her </w:t>
      </w:r>
      <w:r w:rsidRPr="00CD35A3">
        <w:lastRenderedPageBreak/>
        <w:t>conversation with FF Colunga; (5) on October 26, 2023, Garner filed a written complaint of retaliation against ESD1 and Chief Norman; and (6) on December 23, 2023, Garner was terminated.</w:t>
      </w:r>
    </w:p>
    <w:p w14:paraId="50EFCD09" w14:textId="77777777" w:rsidR="00BC64C2" w:rsidRDefault="00BC64C2" w:rsidP="00BC64C2">
      <w:pPr>
        <w:pStyle w:val="NoSpacing"/>
        <w:ind w:left="720"/>
      </w:pPr>
    </w:p>
    <w:p w14:paraId="1A99B9AC" w14:textId="77777777" w:rsidR="00BC64C2" w:rsidRDefault="00BC64C2" w:rsidP="00BC64C2">
      <w:pPr>
        <w:pStyle w:val="NoSpacing"/>
        <w:ind w:left="720"/>
      </w:pPr>
      <w:r>
        <w:t>***</w:t>
      </w:r>
      <w:r w:rsidRPr="00CD35A3">
        <w:t xml:space="preserve"> </w:t>
      </w:r>
    </w:p>
    <w:p w14:paraId="1674C870" w14:textId="77777777" w:rsidR="00BC64C2" w:rsidRDefault="00BC64C2" w:rsidP="00BC64C2">
      <w:pPr>
        <w:pStyle w:val="NoSpacing"/>
      </w:pPr>
    </w:p>
    <w:p w14:paraId="193A3912" w14:textId="77777777" w:rsidR="00BC64C2" w:rsidRDefault="00BC64C2" w:rsidP="00BC64C2">
      <w:pPr>
        <w:pStyle w:val="NoSpacing"/>
        <w:ind w:left="720"/>
      </w:pPr>
      <w:r w:rsidRPr="00D73FD2">
        <w:t>Finally, many of the same witnesses would be expected to testify regarding each Plaintiffs' claims, and it would be burdensome for those witnesses to be required to testify on a similar issue- retaliation at TCESD1 for reporting sexual harassment-twice. This factor therefore weighs against severance. For the reasons stated above, the Court finds that Plaintiffs' claims should not be severed.</w:t>
      </w:r>
      <w:r>
        <w:t>”</w:t>
      </w:r>
    </w:p>
    <w:p w14:paraId="69AC2CD8" w14:textId="77777777" w:rsidR="00BC64C2" w:rsidRDefault="00BC64C2" w:rsidP="00BC64C2">
      <w:pPr>
        <w:pStyle w:val="NoSpacing"/>
        <w:ind w:left="720"/>
      </w:pPr>
    </w:p>
    <w:p w14:paraId="0D415B59" w14:textId="77777777" w:rsidR="00BC64C2" w:rsidRPr="00CD35A3" w:rsidRDefault="00BC64C2" w:rsidP="00BC64C2">
      <w:pPr>
        <w:pStyle w:val="NoSpacing"/>
        <w:rPr>
          <w:b/>
          <w:bCs/>
        </w:rPr>
      </w:pPr>
      <w:r>
        <w:rPr>
          <w:b/>
        </w:rPr>
        <w:t xml:space="preserve">Legal lesson learned: Case will now proceed to trial with both plaintiffs. </w:t>
      </w:r>
    </w:p>
    <w:p w14:paraId="1243F258" w14:textId="77777777" w:rsidR="00BC64C2" w:rsidRDefault="00BC64C2" w:rsidP="00292E1C">
      <w:pPr>
        <w:pStyle w:val="NoSpacing"/>
        <w:rPr>
          <w:rFonts w:ascii="Arial Black" w:hAnsi="Arial Black"/>
          <w:sz w:val="28"/>
          <w:szCs w:val="28"/>
        </w:rPr>
      </w:pPr>
    </w:p>
    <w:p w14:paraId="7AE79801" w14:textId="77777777" w:rsidR="00215605" w:rsidRDefault="00215605" w:rsidP="00292E1C">
      <w:pPr>
        <w:pStyle w:val="NoSpacing"/>
        <w:rPr>
          <w:rFonts w:ascii="Arial Black" w:hAnsi="Arial Black"/>
          <w:sz w:val="28"/>
          <w:szCs w:val="28"/>
        </w:rPr>
      </w:pPr>
    </w:p>
    <w:p w14:paraId="22FB1715" w14:textId="274E1E27" w:rsidR="007774D2" w:rsidRDefault="007774D2" w:rsidP="00292E1C">
      <w:pPr>
        <w:pStyle w:val="NoSpacing"/>
        <w:rPr>
          <w:rFonts w:ascii="Arial Black" w:hAnsi="Arial Black"/>
          <w:sz w:val="28"/>
          <w:szCs w:val="28"/>
        </w:rPr>
      </w:pPr>
      <w:r>
        <w:rPr>
          <w:rFonts w:ascii="Arial Black" w:hAnsi="Arial Black"/>
          <w:sz w:val="28"/>
          <w:szCs w:val="28"/>
        </w:rPr>
        <w:t>7-83</w:t>
      </w:r>
    </w:p>
    <w:p w14:paraId="4C0B4FCA" w14:textId="77777777" w:rsidR="009D5C36" w:rsidRDefault="009D5C36" w:rsidP="00292E1C">
      <w:pPr>
        <w:pStyle w:val="NoSpacing"/>
        <w:rPr>
          <w:rFonts w:ascii="Arial Black" w:hAnsi="Arial Black"/>
          <w:sz w:val="28"/>
          <w:szCs w:val="28"/>
        </w:rPr>
      </w:pPr>
    </w:p>
    <w:p w14:paraId="0FA5AE58" w14:textId="3B2221E3" w:rsidR="009D5C36" w:rsidRDefault="009D5C36" w:rsidP="009D5C36">
      <w:pPr>
        <w:pStyle w:val="NoSpacing"/>
        <w:rPr>
          <w:rFonts w:ascii="Arial Black" w:hAnsi="Arial Black"/>
          <w:sz w:val="28"/>
          <w:szCs w:val="28"/>
        </w:rPr>
      </w:pPr>
      <w:r w:rsidRPr="00ED6A85">
        <w:rPr>
          <w:rFonts w:ascii="Arial Black" w:hAnsi="Arial Black"/>
          <w:sz w:val="28"/>
          <w:szCs w:val="28"/>
        </w:rPr>
        <w:t xml:space="preserve">MT: </w:t>
      </w:r>
      <w:r>
        <w:rPr>
          <w:rFonts w:ascii="Arial Black" w:hAnsi="Arial Black"/>
          <w:sz w:val="28"/>
          <w:szCs w:val="28"/>
        </w:rPr>
        <w:t xml:space="preserve">EMT - NO RETALIATION </w:t>
      </w:r>
      <w:r w:rsidR="00CD4C27">
        <w:rPr>
          <w:rFonts w:ascii="Arial Black" w:hAnsi="Arial Black"/>
          <w:sz w:val="28"/>
          <w:szCs w:val="28"/>
        </w:rPr>
        <w:t>–</w:t>
      </w:r>
      <w:r>
        <w:rPr>
          <w:rFonts w:ascii="Arial Black" w:hAnsi="Arial Black"/>
          <w:sz w:val="28"/>
          <w:szCs w:val="28"/>
        </w:rPr>
        <w:t xml:space="preserve"> </w:t>
      </w:r>
      <w:r w:rsidR="00CD4C27">
        <w:rPr>
          <w:rFonts w:ascii="Arial Black" w:hAnsi="Arial Black"/>
          <w:sz w:val="28"/>
          <w:szCs w:val="28"/>
        </w:rPr>
        <w:t xml:space="preserve">DEPT. </w:t>
      </w:r>
      <w:r>
        <w:rPr>
          <w:rFonts w:ascii="Arial Black" w:hAnsi="Arial Black"/>
          <w:sz w:val="28"/>
          <w:szCs w:val="28"/>
        </w:rPr>
        <w:t>NARCAN TRAINING BY MD</w:t>
      </w:r>
    </w:p>
    <w:p w14:paraId="1CEC0E7B" w14:textId="77777777" w:rsidR="00AF2FA3" w:rsidRDefault="00AF2FA3" w:rsidP="009D5C36">
      <w:pPr>
        <w:pStyle w:val="NoSpacing"/>
      </w:pPr>
    </w:p>
    <w:p w14:paraId="386C9475" w14:textId="69C09A4B" w:rsidR="009D5C36" w:rsidRDefault="009D5C36" w:rsidP="009D5C36">
      <w:pPr>
        <w:pStyle w:val="NoSpacing"/>
        <w:rPr>
          <w:b/>
        </w:rPr>
      </w:pPr>
      <w:r>
        <w:t xml:space="preserve">On Oct. 7, 2025, in </w:t>
      </w:r>
      <w:r w:rsidRPr="00A50E57">
        <w:rPr>
          <w:u w:val="single"/>
        </w:rPr>
        <w:t>Daniela Vaccaro v. Three Forks Area Ambulance Service</w:t>
      </w:r>
      <w:r>
        <w:t xml:space="preserve">, the Supreme Court of Montana held (5 to 0; unpublished opinion) that District Court judge properly affirmed the Human Rights Commission investigators findings of no retaliation with her two complaints of retaliation.   The Plaintiff became a volunteer EMT in Feb. 2021, but was terminated in </w:t>
      </w:r>
      <w:proofErr w:type="gramStart"/>
      <w:r>
        <w:t>June,</w:t>
      </w:r>
      <w:proofErr w:type="gramEnd"/>
      <w:r>
        <w:t xml:space="preserve"> 2021 (court did not describe reason).  She filed a claim of “</w:t>
      </w:r>
      <w:r w:rsidRPr="00853552">
        <w:t>marital status discriminatio</w:t>
      </w:r>
      <w:r>
        <w:t xml:space="preserve">n” (her husband is on 5-member Board) with the Human Rights Commission and the Ambulance Service agreed to a “no fault” settlement and returned her to duty.  In the first Board meeting upon her return, she offered to teach a Narcan class, but instead the Board retained services of a well-known physician.  She filed a complaint of retaliation with the Commission.  When she returned from vacation, she was asked to pass a skills test on Narcan and filed another complaint with the Commission. </w:t>
      </w:r>
      <w:hyperlink r:id="rId1354" w:history="1">
        <w:r w:rsidRPr="006D5F93">
          <w:rPr>
            <w:rStyle w:val="Hyperlink"/>
            <w:b/>
          </w:rPr>
          <w:t>https://cases.justia.com/montana/supreme-court/2025-da-24-0672.pdf?ts=1759872027</w:t>
        </w:r>
      </w:hyperlink>
      <w:r>
        <w:rPr>
          <w:b/>
        </w:rPr>
        <w:t xml:space="preserve"> </w:t>
      </w:r>
    </w:p>
    <w:p w14:paraId="388818EE" w14:textId="77777777" w:rsidR="009D5C36" w:rsidRDefault="009D5C36" w:rsidP="009D5C36">
      <w:pPr>
        <w:pStyle w:val="NoSpacing"/>
        <w:rPr>
          <w:bCs/>
        </w:rPr>
      </w:pPr>
    </w:p>
    <w:p w14:paraId="583146CA" w14:textId="77777777" w:rsidR="009D5C36" w:rsidRDefault="009D5C36" w:rsidP="009D5C36">
      <w:pPr>
        <w:pStyle w:val="NoSpacing"/>
        <w:rPr>
          <w:bCs/>
        </w:rPr>
      </w:pPr>
      <w:r>
        <w:t>THE COURT HELD:</w:t>
      </w:r>
    </w:p>
    <w:p w14:paraId="75759589" w14:textId="77777777" w:rsidR="009D5C36" w:rsidRDefault="009D5C36" w:rsidP="009D5C36">
      <w:pPr>
        <w:pStyle w:val="NoSpacing"/>
        <w:rPr>
          <w:bCs/>
        </w:rPr>
      </w:pPr>
    </w:p>
    <w:p w14:paraId="3AF6A706" w14:textId="77777777" w:rsidR="009D5C36" w:rsidRPr="0044125F" w:rsidRDefault="009D5C36" w:rsidP="009D5C36">
      <w:pPr>
        <w:pStyle w:val="NoSpacing"/>
        <w:rPr>
          <w:bCs/>
        </w:rPr>
      </w:pPr>
      <w:r>
        <w:tab/>
        <w:t>“</w:t>
      </w:r>
      <w:r w:rsidRPr="0044125F">
        <w:t>Upon review of the administrative record, we agree with the District Court that the</w:t>
      </w:r>
    </w:p>
    <w:p w14:paraId="23726D91" w14:textId="77777777" w:rsidR="009D5C36" w:rsidRPr="0044125F" w:rsidRDefault="009D5C36" w:rsidP="009D5C36">
      <w:pPr>
        <w:pStyle w:val="NoSpacing"/>
        <w:ind w:firstLine="720"/>
        <w:rPr>
          <w:bCs/>
        </w:rPr>
      </w:pPr>
      <w:r w:rsidRPr="0044125F">
        <w:t>investigations into Vaccaro’s complaints were comprehensively conducted, an apparent</w:t>
      </w:r>
    </w:p>
    <w:p w14:paraId="77E22C17" w14:textId="77777777" w:rsidR="009D5C36" w:rsidRDefault="009D5C36" w:rsidP="009D5C36">
      <w:pPr>
        <w:pStyle w:val="NoSpacing"/>
        <w:ind w:firstLine="720"/>
        <w:rPr>
          <w:bCs/>
        </w:rPr>
      </w:pPr>
      <w:r w:rsidRPr="0044125F">
        <w:t>effort to leave no stone unturned to review her allegations.</w:t>
      </w:r>
    </w:p>
    <w:p w14:paraId="3AC25515" w14:textId="77777777" w:rsidR="009D5C36" w:rsidRDefault="009D5C36" w:rsidP="009D5C36">
      <w:pPr>
        <w:pStyle w:val="NoSpacing"/>
        <w:ind w:firstLine="720"/>
        <w:rPr>
          <w:bCs/>
        </w:rPr>
      </w:pPr>
    </w:p>
    <w:p w14:paraId="4C46E1AB" w14:textId="77777777" w:rsidR="009D5C36" w:rsidRDefault="009D5C36" w:rsidP="009D5C36">
      <w:pPr>
        <w:pStyle w:val="NoSpacing"/>
        <w:ind w:firstLine="720"/>
        <w:rPr>
          <w:bCs/>
        </w:rPr>
      </w:pPr>
      <w:r>
        <w:t>***</w:t>
      </w:r>
    </w:p>
    <w:p w14:paraId="564C2B32" w14:textId="77777777" w:rsidR="009D5C36" w:rsidRDefault="009D5C36" w:rsidP="009D5C36">
      <w:pPr>
        <w:pStyle w:val="NoSpacing"/>
        <w:ind w:firstLine="720"/>
        <w:rPr>
          <w:bCs/>
        </w:rPr>
      </w:pPr>
    </w:p>
    <w:p w14:paraId="43220158" w14:textId="77777777" w:rsidR="009D5C36" w:rsidRDefault="009D5C36" w:rsidP="009D5C36">
      <w:pPr>
        <w:pStyle w:val="NoSpacing"/>
        <w:ind w:left="720"/>
        <w:rPr>
          <w:bCs/>
        </w:rPr>
      </w:pPr>
      <w:r>
        <w:t>T</w:t>
      </w:r>
      <w:r w:rsidRPr="00915E7C">
        <w:t>urning to the evidence, the</w:t>
      </w:r>
      <w:r>
        <w:t xml:space="preserve"> </w:t>
      </w:r>
      <w:r w:rsidRPr="00915E7C">
        <w:t>investigator found that, although a formal process was not conducted for selection of a</w:t>
      </w:r>
      <w:r>
        <w:t xml:space="preserve"> </w:t>
      </w:r>
      <w:r w:rsidRPr="001B63BA">
        <w:t xml:space="preserve">trainer, the evidence showed that </w:t>
      </w:r>
      <w:r>
        <w:t>‘</w:t>
      </w:r>
      <w:r w:rsidRPr="001B63BA">
        <w:t>Dr. Andrews, a trainer well known to TFAAS, offered</w:t>
      </w:r>
      <w:r>
        <w:t xml:space="preserve"> </w:t>
      </w:r>
      <w:r w:rsidRPr="001B63BA">
        <w:t>extensive medical experience and hands on administration of Narcan in emergencies. In</w:t>
      </w:r>
      <w:r>
        <w:t xml:space="preserve"> </w:t>
      </w:r>
      <w:r w:rsidRPr="001B63BA">
        <w:t>contrast, Vaccaro offered limited EMT experience and no experience administering Narcan</w:t>
      </w:r>
      <w:r>
        <w:t xml:space="preserve"> </w:t>
      </w:r>
      <w:r w:rsidRPr="001B63BA">
        <w:t>outside of a classroom setting.</w:t>
      </w:r>
      <w:r>
        <w:t>’</w:t>
      </w:r>
    </w:p>
    <w:p w14:paraId="0A9A6131" w14:textId="77777777" w:rsidR="009D5C36" w:rsidRDefault="009D5C36" w:rsidP="009D5C36">
      <w:pPr>
        <w:pStyle w:val="NoSpacing"/>
        <w:ind w:left="720"/>
        <w:rPr>
          <w:bCs/>
        </w:rPr>
      </w:pPr>
    </w:p>
    <w:p w14:paraId="5F8F4E92" w14:textId="77777777" w:rsidR="009D5C36" w:rsidRDefault="009D5C36" w:rsidP="009D5C36">
      <w:pPr>
        <w:pStyle w:val="NoSpacing"/>
        <w:ind w:left="720"/>
        <w:rPr>
          <w:bCs/>
        </w:rPr>
      </w:pPr>
      <w:r>
        <w:t>***</w:t>
      </w:r>
    </w:p>
    <w:p w14:paraId="17C6129B" w14:textId="77777777" w:rsidR="009D5C36" w:rsidRDefault="009D5C36" w:rsidP="009D5C36">
      <w:pPr>
        <w:pStyle w:val="NoSpacing"/>
        <w:ind w:left="720"/>
        <w:rPr>
          <w:bCs/>
        </w:rPr>
      </w:pPr>
      <w:r w:rsidRPr="005363C9">
        <w:t>Shortly thereafter, Vaccaro filed the second discrimination by retaliation claim</w:t>
      </w:r>
      <w:r>
        <w:t xml:space="preserve"> [</w:t>
      </w:r>
      <w:proofErr w:type="gramStart"/>
      <w:r>
        <w:t>July,</w:t>
      </w:r>
      <w:proofErr w:type="gramEnd"/>
      <w:r>
        <w:t xml:space="preserve"> 2022]</w:t>
      </w:r>
      <w:r w:rsidRPr="005363C9">
        <w:t>,</w:t>
      </w:r>
      <w:r>
        <w:t xml:space="preserve"> </w:t>
      </w:r>
      <w:r w:rsidRPr="005363C9">
        <w:t>which was given claim number HRB Case No. 0230107 and assigned to a different</w:t>
      </w:r>
      <w:r>
        <w:t xml:space="preserve"> </w:t>
      </w:r>
      <w:r w:rsidRPr="005363C9">
        <w:t>investigator. Vaccaro alleged that the Board had required her to complete a skills test</w:t>
      </w:r>
      <w:r>
        <w:t xml:space="preserve"> [August 2022]… </w:t>
      </w:r>
      <w:r w:rsidRPr="007E487B">
        <w:t>Assessing the evidence,</w:t>
      </w:r>
      <w:r>
        <w:t xml:space="preserve"> </w:t>
      </w:r>
      <w:r w:rsidRPr="007E487B">
        <w:t>the investigator found that Vaccaro was not the only EMT who was asked to perform a</w:t>
      </w:r>
      <w:r>
        <w:t xml:space="preserve"> </w:t>
      </w:r>
      <w:r w:rsidRPr="007E487B">
        <w:t>skills test for administration of Narcan, and that other EMTs had completed the test.</w:t>
      </w:r>
      <w:r>
        <w:t>”</w:t>
      </w:r>
    </w:p>
    <w:p w14:paraId="24C47670" w14:textId="77777777" w:rsidR="009D5C36" w:rsidRDefault="009D5C36" w:rsidP="009D5C36">
      <w:pPr>
        <w:pStyle w:val="NoSpacing"/>
        <w:ind w:left="720"/>
        <w:rPr>
          <w:bCs/>
        </w:rPr>
      </w:pPr>
    </w:p>
    <w:p w14:paraId="20006E06" w14:textId="74E0775E" w:rsidR="009D5C36" w:rsidRPr="007E487B" w:rsidRDefault="009D5C36" w:rsidP="009D5C36">
      <w:pPr>
        <w:pStyle w:val="NoSpacing"/>
        <w:rPr>
          <w:b/>
        </w:rPr>
      </w:pPr>
      <w:r>
        <w:rPr>
          <w:b/>
        </w:rPr>
        <w:t xml:space="preserve">Lesson learned:  The Ambulance company provided HR Commission investigators with legitimate business reasons for its decisions. </w:t>
      </w:r>
    </w:p>
    <w:p w14:paraId="4B898CA8" w14:textId="77777777" w:rsidR="009D5C36" w:rsidRDefault="009D5C36" w:rsidP="009D5C36">
      <w:pPr>
        <w:pStyle w:val="NoSpacing"/>
        <w:rPr>
          <w:bCs/>
        </w:rPr>
      </w:pPr>
    </w:p>
    <w:p w14:paraId="5DBBFB54" w14:textId="77777777" w:rsidR="009D5C36" w:rsidRDefault="009D5C36" w:rsidP="00292E1C">
      <w:pPr>
        <w:pStyle w:val="NoSpacing"/>
        <w:rPr>
          <w:rFonts w:ascii="Arial Black" w:hAnsi="Arial Black"/>
          <w:sz w:val="28"/>
          <w:szCs w:val="28"/>
        </w:rPr>
      </w:pPr>
    </w:p>
    <w:p w14:paraId="4A48600F" w14:textId="77777777" w:rsidR="007774D2" w:rsidRDefault="007774D2" w:rsidP="00292E1C">
      <w:pPr>
        <w:pStyle w:val="NoSpacing"/>
        <w:rPr>
          <w:rFonts w:ascii="Arial Black" w:hAnsi="Arial Black"/>
          <w:sz w:val="28"/>
          <w:szCs w:val="28"/>
        </w:rPr>
      </w:pPr>
    </w:p>
    <w:p w14:paraId="0DE0CA5C" w14:textId="77777777" w:rsidR="007774D2" w:rsidRDefault="007774D2" w:rsidP="00292E1C">
      <w:pPr>
        <w:pStyle w:val="NoSpacing"/>
        <w:rPr>
          <w:rFonts w:ascii="Arial Black" w:hAnsi="Arial Black"/>
          <w:sz w:val="28"/>
          <w:szCs w:val="28"/>
        </w:rPr>
      </w:pPr>
    </w:p>
    <w:p w14:paraId="77AAB3B3" w14:textId="5599F1DF" w:rsidR="001567BB" w:rsidRDefault="001567BB" w:rsidP="00292E1C">
      <w:pPr>
        <w:pStyle w:val="NoSpacing"/>
        <w:rPr>
          <w:rFonts w:ascii="Arial Black" w:hAnsi="Arial Black"/>
          <w:sz w:val="28"/>
          <w:szCs w:val="28"/>
        </w:rPr>
      </w:pPr>
      <w:r>
        <w:rPr>
          <w:rFonts w:ascii="Arial Black" w:hAnsi="Arial Black"/>
          <w:sz w:val="28"/>
          <w:szCs w:val="28"/>
        </w:rPr>
        <w:t>7</w:t>
      </w:r>
      <w:r w:rsidR="00283EDF">
        <w:rPr>
          <w:rFonts w:ascii="Arial Black" w:hAnsi="Arial Black"/>
          <w:sz w:val="28"/>
          <w:szCs w:val="28"/>
        </w:rPr>
        <w:t>-</w:t>
      </w:r>
      <w:r>
        <w:rPr>
          <w:rFonts w:ascii="Arial Black" w:hAnsi="Arial Black"/>
          <w:sz w:val="28"/>
          <w:szCs w:val="28"/>
        </w:rPr>
        <w:t>82</w:t>
      </w:r>
    </w:p>
    <w:p w14:paraId="695D8324" w14:textId="77777777" w:rsidR="001567BB" w:rsidRDefault="001567BB" w:rsidP="00292E1C">
      <w:pPr>
        <w:pStyle w:val="NoSpacing"/>
        <w:rPr>
          <w:rFonts w:ascii="Arial Black" w:hAnsi="Arial Black"/>
          <w:sz w:val="28"/>
          <w:szCs w:val="28"/>
        </w:rPr>
      </w:pPr>
    </w:p>
    <w:p w14:paraId="3C8CB1D8" w14:textId="6ABCD5A8" w:rsidR="00292E1C" w:rsidRDefault="00292E1C" w:rsidP="00292E1C">
      <w:pPr>
        <w:pStyle w:val="NoSpacing"/>
        <w:rPr>
          <w:rFonts w:ascii="Arial Black" w:hAnsi="Arial Black"/>
          <w:bCs/>
          <w:sz w:val="28"/>
          <w:szCs w:val="28"/>
        </w:rPr>
      </w:pPr>
      <w:r>
        <w:rPr>
          <w:rFonts w:ascii="Arial Black" w:hAnsi="Arial Black"/>
          <w:sz w:val="28"/>
          <w:szCs w:val="28"/>
        </w:rPr>
        <w:t xml:space="preserve">NY: FD 20 YRS – NO FEMALE FF – CONSENT DECREE / CPAT </w:t>
      </w:r>
    </w:p>
    <w:p w14:paraId="7C8F7917" w14:textId="77777777" w:rsidR="00292E1C" w:rsidRDefault="00292E1C" w:rsidP="00292E1C">
      <w:pPr>
        <w:pStyle w:val="NoSpacing"/>
        <w:rPr>
          <w:bCs/>
        </w:rPr>
      </w:pPr>
    </w:p>
    <w:p w14:paraId="27256E74" w14:textId="3EABC648" w:rsidR="00292E1C" w:rsidRDefault="00292E1C" w:rsidP="00292E1C">
      <w:pPr>
        <w:pStyle w:val="NoSpacing"/>
      </w:pPr>
      <w:r>
        <w:t xml:space="preserve">On September 26, 2025, in </w:t>
      </w:r>
      <w:r w:rsidRPr="00D65A20">
        <w:rPr>
          <w:u w:val="single"/>
        </w:rPr>
        <w:t>Brittany Montana v. City of Mount Vernon</w:t>
      </w:r>
      <w:r>
        <w:t xml:space="preserve">, U.S. District Court Judge Kenneth M. Karas, United States District Court for Southern District of New York, denied Ms. Montana’s motion for summary judgment; must prove discrimination at trial using statistical evidence.  She took written exam on March 8, </w:t>
      </w:r>
      <w:proofErr w:type="gramStart"/>
      <w:r>
        <w:t>2014</w:t>
      </w:r>
      <w:proofErr w:type="gramEnd"/>
      <w:r>
        <w:t xml:space="preserve"> and scored the highest, but her times on physical fitness agility ranked her 119 on eligibility list (never hired during 2015 – 2019 list period).  After pre-trial discovery in this case, plaintiff sought summary judgment based on fact that Mount Vernon Fire Department has not hired any female firefighters in 25 years.  The Court “</w:t>
      </w:r>
      <w:r w:rsidRPr="00D675AA">
        <w:t>is certainly troubled by the lack of women hired by MVFD, this fact, alone, demonstrates nothing more than a “bottom line [gender] imbalance</w:t>
      </w:r>
      <w:r>
        <w:t>.</w:t>
      </w:r>
      <w:r w:rsidRPr="00D675AA">
        <w:t>”</w:t>
      </w:r>
      <w:r>
        <w:t xml:space="preserve">  On </w:t>
      </w:r>
      <w:proofErr w:type="gramStart"/>
      <w:r>
        <w:t>Dec,</w:t>
      </w:r>
      <w:proofErr w:type="gramEnd"/>
      <w:r>
        <w:t xml:space="preserve"> 23, 2024, the United States filed a motion to amend its two consent decrees (entered 1981) with the fire department, and on June 3, 2025, with concurrence of Vulcan Society of Westchester County, the consent decree now requires use of </w:t>
      </w:r>
      <w:r w:rsidRPr="0072608B">
        <w:t>Candidate Physical Ability Test (CPAT)</w:t>
      </w:r>
      <w:r>
        <w:t xml:space="preserve"> in future testing. </w:t>
      </w:r>
      <w:r w:rsidR="00416BB6">
        <w:t xml:space="preserve"> </w:t>
      </w:r>
      <w:hyperlink r:id="rId1355" w:history="1">
        <w:r w:rsidR="00416BB6" w:rsidRPr="00824C83">
          <w:rPr>
            <w:rStyle w:val="Hyperlink"/>
          </w:rPr>
          <w:t>https://cases.justia.com/federal/district-courts/new-york/nysdce/7:2021cv00260/552036/95/0.pdf?ts=1758978240</w:t>
        </w:r>
      </w:hyperlink>
    </w:p>
    <w:p w14:paraId="0510406D" w14:textId="77777777" w:rsidR="00416BB6" w:rsidRDefault="00416BB6" w:rsidP="00292E1C">
      <w:pPr>
        <w:pStyle w:val="NoSpacing"/>
      </w:pPr>
    </w:p>
    <w:p w14:paraId="620B1ECC" w14:textId="77777777" w:rsidR="00292E1C" w:rsidRDefault="00292E1C" w:rsidP="00292E1C">
      <w:pPr>
        <w:pStyle w:val="NoSpacing"/>
      </w:pPr>
    </w:p>
    <w:p w14:paraId="5FA95CF6" w14:textId="77777777" w:rsidR="00292E1C" w:rsidRPr="002F708D" w:rsidRDefault="00292E1C" w:rsidP="00292E1C">
      <w:pPr>
        <w:pStyle w:val="NoSpacing"/>
        <w:rPr>
          <w:b/>
          <w:bCs/>
        </w:rPr>
      </w:pPr>
      <w:r w:rsidRPr="002F708D">
        <w:rPr>
          <w:b/>
        </w:rPr>
        <w:t xml:space="preserve">THE COURT HELD: </w:t>
      </w:r>
    </w:p>
    <w:p w14:paraId="7F6035EF" w14:textId="77777777" w:rsidR="00292E1C" w:rsidRPr="002F708D" w:rsidRDefault="00292E1C" w:rsidP="00292E1C">
      <w:pPr>
        <w:pStyle w:val="NoSpacing"/>
        <w:rPr>
          <w:b/>
          <w:bCs/>
        </w:rPr>
      </w:pPr>
    </w:p>
    <w:p w14:paraId="29021999" w14:textId="77777777" w:rsidR="00292E1C" w:rsidRDefault="00292E1C" w:rsidP="00292E1C">
      <w:pPr>
        <w:pStyle w:val="NoSpacing"/>
        <w:ind w:left="720"/>
      </w:pPr>
      <w:r>
        <w:t>“</w:t>
      </w:r>
      <w:r w:rsidRPr="001A5D64">
        <w:t>Plaintiff, who is a woman</w:t>
      </w:r>
      <w:r>
        <w:t xml:space="preserve"> … </w:t>
      </w:r>
      <w:r w:rsidRPr="001A5D64">
        <w:t>took the written exam on or about March 8, 2014</w:t>
      </w:r>
      <w:r>
        <w:t xml:space="preserve">…. </w:t>
      </w:r>
      <w:r w:rsidRPr="001A5D64">
        <w:t xml:space="preserve"> She passed the written examination and then took the physical agility test</w:t>
      </w:r>
      <w:r>
        <w:t xml:space="preserve">…. </w:t>
      </w:r>
      <w:r w:rsidRPr="003876D4">
        <w:t>The physical agility test was composed of several tasks, some of which were pass/fail and some of which were timed</w:t>
      </w:r>
      <w:r>
        <w:t>….</w:t>
      </w:r>
      <w:r w:rsidRPr="003876D4">
        <w:t xml:space="preserve">Those with the highest scores (i.e., those who had the fastest times) on the agility test were ranked highest on an </w:t>
      </w:r>
      <w:r>
        <w:t>‘</w:t>
      </w:r>
      <w:r w:rsidRPr="003876D4">
        <w:t>eligibility list.</w:t>
      </w:r>
      <w:r>
        <w:t xml:space="preserve">’,,, </w:t>
      </w:r>
      <w:r w:rsidRPr="001A5D64">
        <w:t>Based on her performance in the agility test, Plaintiff ranked 119th on the “eligibility list</w:t>
      </w:r>
      <w:r>
        <w:t xml:space="preserve">….’ </w:t>
      </w:r>
      <w:r w:rsidRPr="001A5D64">
        <w:t>That performance made her the highest scoring female on the examination</w:t>
      </w:r>
      <w:r>
        <w:t xml:space="preserve"> ….</w:t>
      </w:r>
      <w:r w:rsidRPr="001A5D64">
        <w:t>, but because she was not a top ranked candidate on the eligibility list, she was not interviewed for a position at MVFD</w:t>
      </w:r>
      <w:r>
        <w:t xml:space="preserve">… </w:t>
      </w:r>
      <w:r w:rsidRPr="001A5D64">
        <w:t xml:space="preserve"> The eligibility list remained in use from 2015 to 2019</w:t>
      </w:r>
      <w:r>
        <w:t xml:space="preserve"> ….</w:t>
      </w:r>
      <w:r w:rsidRPr="001A5D64">
        <w:t>and no female firefighters were hired from that list</w:t>
      </w:r>
      <w:r>
        <w:t xml:space="preserve"> …. </w:t>
      </w:r>
      <w:r w:rsidRPr="001A5D64">
        <w:t xml:space="preserve">In fact, MVFD has not hired a female firefighter in 25 years. </w:t>
      </w:r>
    </w:p>
    <w:p w14:paraId="509CBB27" w14:textId="77777777" w:rsidR="00292E1C" w:rsidRDefault="00292E1C" w:rsidP="00292E1C">
      <w:pPr>
        <w:pStyle w:val="NoSpacing"/>
        <w:ind w:left="720"/>
      </w:pPr>
    </w:p>
    <w:p w14:paraId="27C4A654" w14:textId="77777777" w:rsidR="00292E1C" w:rsidRDefault="00292E1C" w:rsidP="00292E1C">
      <w:pPr>
        <w:pStyle w:val="NoSpacing"/>
        <w:ind w:left="720"/>
      </w:pPr>
      <w:r>
        <w:t>***</w:t>
      </w:r>
    </w:p>
    <w:p w14:paraId="3E2DB237" w14:textId="77777777" w:rsidR="00292E1C" w:rsidRDefault="00292E1C" w:rsidP="00292E1C">
      <w:pPr>
        <w:pStyle w:val="NoSpacing"/>
        <w:ind w:left="720"/>
      </w:pPr>
      <w:r w:rsidRPr="000A483E">
        <w:t xml:space="preserve">In the instant case, Plaintiff </w:t>
      </w:r>
      <w:r>
        <w:t>‘</w:t>
      </w:r>
      <w:r w:rsidRPr="000A483E">
        <w:t>has not come forward with a statistical analysis of any kind.</w:t>
      </w:r>
      <w:r>
        <w:t>’</w:t>
      </w:r>
      <w:r w:rsidRPr="000A483E">
        <w:t xml:space="preserve"> </w:t>
      </w:r>
      <w:r>
        <w:rPr>
          <w:i/>
          <w:iCs/>
        </w:rPr>
        <w:t xml:space="preserve">… </w:t>
      </w:r>
      <w:r w:rsidRPr="000A483E">
        <w:t>She has not demonstrated a statistically significant disparity in the hiring of women versus men based on the testing regime at issue.</w:t>
      </w:r>
      <w:r>
        <w:t xml:space="preserve"> </w:t>
      </w:r>
      <w:r w:rsidRPr="002F708D">
        <w:t xml:space="preserve">Instead, she contends that the fact that MVFD has not hired a single woman in nearly 25 years is </w:t>
      </w:r>
      <w:r>
        <w:t>‘</w:t>
      </w:r>
      <w:r w:rsidRPr="002F708D">
        <w:t>a fact that by itself is sufficient to support an inference of discrimination.</w:t>
      </w:r>
      <w:r>
        <w:t xml:space="preserve">’ … </w:t>
      </w:r>
      <w:r w:rsidRPr="002F708D">
        <w:t xml:space="preserve">Although the Court is certainly troubled by the lack of women hired by MVFD, this fact, alone, demonstrates nothing more than a </w:t>
      </w:r>
      <w:r>
        <w:t>‘</w:t>
      </w:r>
      <w:r w:rsidRPr="002F708D">
        <w:t>bottom line [gender] imbalance,</w:t>
      </w:r>
      <w:r>
        <w:t>’</w:t>
      </w:r>
      <w:r w:rsidRPr="002F708D">
        <w:t xml:space="preserve"> </w:t>
      </w:r>
      <w:r w:rsidRPr="002F708D">
        <w:rPr>
          <w:i/>
          <w:iCs/>
        </w:rPr>
        <w:t xml:space="preserve">United Prob. Officers </w:t>
      </w:r>
      <w:proofErr w:type="spellStart"/>
      <w:r w:rsidRPr="002F708D">
        <w:rPr>
          <w:i/>
          <w:iCs/>
        </w:rPr>
        <w:t>Ass'n</w:t>
      </w:r>
      <w:proofErr w:type="spellEnd"/>
      <w:r w:rsidRPr="002F708D">
        <w:t xml:space="preserve">, 2022 WL 875864, at *6, and is therefore insufficient to allow the Court to conclude that Defendants' testing practices violate Title VII and the NYSHRL as a matter of law, </w:t>
      </w:r>
      <w:r w:rsidRPr="002F708D">
        <w:rPr>
          <w:i/>
          <w:iCs/>
        </w:rPr>
        <w:t>see Hopkins v. Bridgeport Bd. of Educ</w:t>
      </w:r>
      <w:r w:rsidRPr="002F708D">
        <w:t>., 834 F.Supp.2d 58, 69 (D. Conn. 2011) (</w:t>
      </w:r>
      <w:r>
        <w:t>‘</w:t>
      </w:r>
      <w:r w:rsidRPr="002F708D">
        <w:t>[The p]</w:t>
      </w:r>
      <w:proofErr w:type="spellStart"/>
      <w:r w:rsidRPr="002F708D">
        <w:t>laintiff</w:t>
      </w:r>
      <w:proofErr w:type="spellEnd"/>
      <w:r w:rsidRPr="002F708D">
        <w:t xml:space="preserve"> has only demonstrated that at the bottom line there is a [gender] imbalance in the workforce which could be the result of any number of factors. Plaintiff has failed to provide evidence that links this </w:t>
      </w:r>
      <w:proofErr w:type="gramStart"/>
      <w:r w:rsidRPr="002F708D">
        <w:t>bottom line</w:t>
      </w:r>
      <w:proofErr w:type="gramEnd"/>
      <w:r w:rsidRPr="002F708D">
        <w:t xml:space="preserve"> imbalance to Defendant's purported practice or policy ....</w:t>
      </w:r>
      <w:r>
        <w:t>’</w:t>
      </w:r>
      <w:r w:rsidRPr="002F708D">
        <w:t>).</w:t>
      </w:r>
      <w:r>
        <w:t>”</w:t>
      </w:r>
      <w:r w:rsidRPr="005A40A8">
        <w:t xml:space="preserve"> </w:t>
      </w:r>
      <w:hyperlink r:id="rId1356" w:history="1">
        <w:r w:rsidRPr="00586BA9">
          <w:rPr>
            <w:rStyle w:val="Hyperlink"/>
          </w:rPr>
          <w:t>https://public.fastcase.com/jaEE2PXzRXmZ99jOLMt1Iuq7qc0gfVcydq4UksJKYaPvhnQoV2Tur9kW43Sd%2BCHWkw1LFd5eYMpsqupxEAJwLBiVNyDEOcfOyFpt494LsV4%3D?utm_medium=email&amp;_hsenc=p2ANqtz-9JDPujkqcb7TpRksmi2p_USQgVGerxf-hzLRNOYIOWKeqjT-lj5XLhttLuYWUDIXmtoE1M_nS89zbeKXXmbJi1pvu4VQ&amp;_hsmi=226712652&amp;utm_content=226712652&amp;utm_source=hs_email</w:t>
        </w:r>
      </w:hyperlink>
      <w:r>
        <w:t xml:space="preserve"> </w:t>
      </w:r>
    </w:p>
    <w:p w14:paraId="7A1ACFAE" w14:textId="77777777" w:rsidR="00292E1C" w:rsidRDefault="00292E1C" w:rsidP="00292E1C">
      <w:pPr>
        <w:pStyle w:val="NoSpacing"/>
        <w:ind w:left="720"/>
      </w:pPr>
    </w:p>
    <w:p w14:paraId="719E2F08" w14:textId="77777777" w:rsidR="00292E1C" w:rsidRDefault="00292E1C" w:rsidP="00292E1C">
      <w:pPr>
        <w:pStyle w:val="NoSpacing"/>
      </w:pPr>
    </w:p>
    <w:p w14:paraId="5C7F4A9A" w14:textId="77777777" w:rsidR="00292E1C" w:rsidRDefault="00292E1C" w:rsidP="00292E1C">
      <w:pPr>
        <w:pStyle w:val="NoSpacing"/>
        <w:rPr>
          <w:b/>
          <w:bCs/>
        </w:rPr>
      </w:pPr>
      <w:r>
        <w:rPr>
          <w:b/>
        </w:rPr>
        <w:lastRenderedPageBreak/>
        <w:t>KEY FACTS:</w:t>
      </w:r>
    </w:p>
    <w:p w14:paraId="1A5DEA29" w14:textId="77777777" w:rsidR="00292E1C" w:rsidRDefault="00292E1C" w:rsidP="00292E1C">
      <w:pPr>
        <w:pStyle w:val="NoSpacing"/>
        <w:ind w:left="720"/>
      </w:pPr>
    </w:p>
    <w:p w14:paraId="1FECF62C" w14:textId="77777777" w:rsidR="00292E1C" w:rsidRDefault="00292E1C" w:rsidP="00292E1C">
      <w:pPr>
        <w:pStyle w:val="NoSpacing"/>
        <w:ind w:left="720"/>
      </w:pPr>
      <w:r>
        <w:t>“</w:t>
      </w:r>
      <w:r w:rsidRPr="00974082">
        <w:t>At the time of Plaintiff's application, applicants to MVFD were required to pass a written exam and a physical agility test before they could be considered for employment</w:t>
      </w:r>
      <w:r>
        <w:t xml:space="preserve">…. </w:t>
      </w:r>
      <w:r w:rsidRPr="00974082">
        <w:t>The written test was pass/fail</w:t>
      </w:r>
      <w:r>
        <w:t>….</w:t>
      </w:r>
      <w:r w:rsidRPr="00974082">
        <w:t>If an applicant passed the written test, they were permitted to take the physical agility test</w:t>
      </w:r>
      <w:r>
        <w:t>….</w:t>
      </w:r>
      <w:r w:rsidRPr="00974082">
        <w:t>The physical agility test was composed of several tasks, some of which were pass/fail and some of which were timed</w:t>
      </w:r>
      <w:r>
        <w:t>….</w:t>
      </w:r>
      <w:r w:rsidRPr="00974082">
        <w:t xml:space="preserve">Those with the highest scores (i.e., those who had the fastest times) on the agility test were ranked highest on an </w:t>
      </w:r>
      <w:r>
        <w:t>‘</w:t>
      </w:r>
      <w:r w:rsidRPr="00974082">
        <w:t>eligibility list</w:t>
      </w:r>
      <w:r>
        <w:t>….’</w:t>
      </w:r>
    </w:p>
    <w:p w14:paraId="60ACB034" w14:textId="77777777" w:rsidR="00292E1C" w:rsidRDefault="00292E1C" w:rsidP="00292E1C">
      <w:pPr>
        <w:pStyle w:val="NoSpacing"/>
        <w:ind w:left="720"/>
      </w:pPr>
    </w:p>
    <w:p w14:paraId="5BF099E6" w14:textId="77777777" w:rsidR="00292E1C" w:rsidRPr="00974082" w:rsidRDefault="00292E1C" w:rsidP="00292E1C">
      <w:pPr>
        <w:pStyle w:val="NoSpacing"/>
        <w:ind w:left="720"/>
      </w:pPr>
      <w:r w:rsidRPr="00974082">
        <w:t>The Civil Service Commission pulled its applicants to interview for open positions from the eligibility list in rank order</w:t>
      </w:r>
      <w:r>
        <w:t xml:space="preserve">…. </w:t>
      </w:r>
      <w:r w:rsidRPr="00974082">
        <w:t xml:space="preserve">Thus, the applicants who performed best on the agility test were most likely to be asked to interview for an open position. This testing structure was mandated by two consent decrees </w:t>
      </w:r>
      <w:proofErr w:type="gramStart"/>
      <w:r w:rsidRPr="00974082">
        <w:t>entered</w:t>
      </w:r>
      <w:r>
        <w:t xml:space="preserve"> </w:t>
      </w:r>
      <w:r w:rsidRPr="00974082">
        <w:t>into</w:t>
      </w:r>
      <w:proofErr w:type="gramEnd"/>
      <w:r w:rsidRPr="00974082">
        <w:t xml:space="preserve"> by Defendants with the Department of Justice in 1981. See generally Vulcan Soc. of Westchester </w:t>
      </w:r>
      <w:proofErr w:type="spellStart"/>
      <w:r w:rsidRPr="00974082">
        <w:t>Cnty</w:t>
      </w:r>
      <w:proofErr w:type="spellEnd"/>
      <w:r w:rsidRPr="00974082">
        <w:t xml:space="preserve">., Inc. v. Fire </w:t>
      </w:r>
      <w:proofErr w:type="spellStart"/>
      <w:r w:rsidRPr="00974082">
        <w:t>Dep't</w:t>
      </w:r>
      <w:proofErr w:type="spellEnd"/>
      <w:r w:rsidRPr="00974082">
        <w:t xml:space="preserve"> of City of White Plains, 505 </w:t>
      </w:r>
      <w:proofErr w:type="spellStart"/>
      <w:r w:rsidRPr="00974082">
        <w:t>F.Supp</w:t>
      </w:r>
      <w:proofErr w:type="spellEnd"/>
      <w:r w:rsidRPr="00974082">
        <w:t>. 955 (S.D.N.Y. 1981).</w:t>
      </w:r>
      <w:r>
        <w:t>”</w:t>
      </w:r>
      <w:r w:rsidRPr="00974082">
        <w:t xml:space="preserve"> </w:t>
      </w:r>
      <w:r>
        <w:t xml:space="preserve"> </w:t>
      </w:r>
      <w:r w:rsidRPr="00974082">
        <w:t>         </w:t>
      </w:r>
    </w:p>
    <w:p w14:paraId="384CF2AF" w14:textId="77777777" w:rsidR="00292E1C" w:rsidRPr="002F708D" w:rsidRDefault="00292E1C" w:rsidP="00292E1C">
      <w:pPr>
        <w:pStyle w:val="NoSpacing"/>
        <w:rPr>
          <w:b/>
          <w:bCs/>
        </w:rPr>
      </w:pPr>
    </w:p>
    <w:p w14:paraId="7B06ED27" w14:textId="77777777" w:rsidR="00292E1C" w:rsidRPr="00D4601C" w:rsidRDefault="00292E1C" w:rsidP="00292E1C">
      <w:pPr>
        <w:pStyle w:val="NoSpacing"/>
        <w:rPr>
          <w:b/>
          <w:bCs/>
        </w:rPr>
      </w:pPr>
      <w:r>
        <w:rPr>
          <w:b/>
        </w:rPr>
        <w:t xml:space="preserve">Legal lesson learned: The CPAT has been approved in numerous cases. </w:t>
      </w:r>
    </w:p>
    <w:p w14:paraId="53C4D93E" w14:textId="77777777" w:rsidR="00292E1C" w:rsidRDefault="00292E1C" w:rsidP="00292E1C">
      <w:pPr>
        <w:pStyle w:val="NoSpacing"/>
      </w:pPr>
    </w:p>
    <w:p w14:paraId="41CF04E7" w14:textId="77777777" w:rsidR="00292E1C" w:rsidRDefault="00292E1C" w:rsidP="00292E1C">
      <w:pPr>
        <w:pStyle w:val="NoSpacing"/>
        <w:ind w:left="720"/>
      </w:pPr>
      <w:r>
        <w:t>Note: “</w:t>
      </w:r>
      <w:r w:rsidRPr="00793F18">
        <w:t xml:space="preserve">The IAFF/IAFC Fire Service Joint Labor-Management Wellness-Fitness Task Force was established in 1997 to address the need for a holistic, non-punitive approach to wellness and fitness in the fire service. </w:t>
      </w:r>
      <w:r>
        <w:t xml:space="preserve"> </w:t>
      </w:r>
      <w:r w:rsidRPr="00793F18">
        <w:t>Recognizing that some municipalities were hiring candidates who lacked the physical capacity for a successful career, the Task Force unanimously agreed to create a standardized pre-employment test. This effort led to the development and validation of the Candidate Physical Ability Test (CPAT), now the industry standard for hiring fire fighters.</w:t>
      </w:r>
      <w:r>
        <w:t xml:space="preserve">” </w:t>
      </w:r>
      <w:hyperlink r:id="rId1357" w:history="1">
        <w:r w:rsidRPr="00586BA9">
          <w:rPr>
            <w:rStyle w:val="Hyperlink"/>
          </w:rPr>
          <w:t>https://www.iaff.org/cpat/</w:t>
        </w:r>
      </w:hyperlink>
    </w:p>
    <w:p w14:paraId="7210320E" w14:textId="77777777" w:rsidR="00292E1C" w:rsidRDefault="00292E1C" w:rsidP="00F326E5">
      <w:pPr>
        <w:pStyle w:val="NoSpacing"/>
        <w:rPr>
          <w:rFonts w:ascii="Arial Black" w:hAnsi="Arial Black"/>
          <w:b/>
          <w:bCs/>
          <w:sz w:val="24"/>
          <w:szCs w:val="24"/>
        </w:rPr>
      </w:pPr>
    </w:p>
    <w:p w14:paraId="7D810FEC" w14:textId="77777777" w:rsidR="00292E1C" w:rsidRDefault="00292E1C" w:rsidP="00F326E5">
      <w:pPr>
        <w:pStyle w:val="NoSpacing"/>
        <w:rPr>
          <w:rFonts w:ascii="Arial Black" w:hAnsi="Arial Black"/>
          <w:b/>
          <w:bCs/>
          <w:sz w:val="24"/>
          <w:szCs w:val="24"/>
        </w:rPr>
      </w:pPr>
    </w:p>
    <w:p w14:paraId="2B492C56" w14:textId="77777777" w:rsidR="00292E1C" w:rsidRDefault="00292E1C" w:rsidP="00F326E5">
      <w:pPr>
        <w:pStyle w:val="NoSpacing"/>
        <w:rPr>
          <w:rFonts w:ascii="Arial Black" w:hAnsi="Arial Black"/>
          <w:b/>
          <w:bCs/>
          <w:sz w:val="24"/>
          <w:szCs w:val="24"/>
        </w:rPr>
      </w:pPr>
    </w:p>
    <w:p w14:paraId="1294D04C" w14:textId="77777777" w:rsidR="00292E1C" w:rsidRDefault="00292E1C" w:rsidP="00F326E5">
      <w:pPr>
        <w:pStyle w:val="NoSpacing"/>
        <w:rPr>
          <w:rFonts w:ascii="Arial Black" w:hAnsi="Arial Black"/>
          <w:b/>
          <w:bCs/>
          <w:sz w:val="24"/>
          <w:szCs w:val="24"/>
        </w:rPr>
      </w:pPr>
    </w:p>
    <w:p w14:paraId="2DDAC38D" w14:textId="77777777" w:rsidR="00292E1C" w:rsidRDefault="00292E1C" w:rsidP="00F326E5">
      <w:pPr>
        <w:pStyle w:val="NoSpacing"/>
        <w:rPr>
          <w:rFonts w:ascii="Arial Black" w:hAnsi="Arial Black"/>
          <w:b/>
          <w:bCs/>
          <w:sz w:val="24"/>
          <w:szCs w:val="24"/>
        </w:rPr>
      </w:pPr>
    </w:p>
    <w:p w14:paraId="13C1DAF6" w14:textId="7207BC96" w:rsidR="00571037" w:rsidRDefault="000624FD" w:rsidP="00F326E5">
      <w:pPr>
        <w:pStyle w:val="NoSpacing"/>
        <w:rPr>
          <w:rFonts w:ascii="Arial Black" w:hAnsi="Arial Black"/>
          <w:b/>
          <w:bCs/>
          <w:sz w:val="24"/>
          <w:szCs w:val="24"/>
        </w:rPr>
      </w:pPr>
      <w:r>
        <w:rPr>
          <w:rFonts w:ascii="Arial Black" w:hAnsi="Arial Black"/>
          <w:b/>
          <w:bCs/>
          <w:sz w:val="24"/>
          <w:szCs w:val="24"/>
        </w:rPr>
        <w:t>7-81</w:t>
      </w:r>
    </w:p>
    <w:p w14:paraId="0B203811" w14:textId="77777777" w:rsidR="000624FD" w:rsidRDefault="000624FD" w:rsidP="00F326E5">
      <w:pPr>
        <w:pStyle w:val="NoSpacing"/>
        <w:rPr>
          <w:rFonts w:ascii="Arial Black" w:hAnsi="Arial Black"/>
          <w:b/>
          <w:bCs/>
          <w:sz w:val="24"/>
          <w:szCs w:val="24"/>
        </w:rPr>
      </w:pPr>
    </w:p>
    <w:p w14:paraId="7A93A472" w14:textId="0ADBE1E4" w:rsidR="001567BB" w:rsidRDefault="001567BB" w:rsidP="001567BB">
      <w:pPr>
        <w:rPr>
          <w:rFonts w:ascii="Arial Black" w:hAnsi="Arial Black"/>
          <w:b/>
          <w:sz w:val="28"/>
          <w:szCs w:val="28"/>
        </w:rPr>
      </w:pPr>
      <w:r>
        <w:rPr>
          <w:rFonts w:ascii="Arial Black" w:hAnsi="Arial Black"/>
          <w:b/>
          <w:sz w:val="28"/>
          <w:szCs w:val="28"/>
        </w:rPr>
        <w:t>NY: FEMALE COMPLAINT - B/C TRANSFER - NO</w:t>
      </w:r>
      <w:r w:rsidR="00830C38">
        <w:rPr>
          <w:rFonts w:ascii="Arial Black" w:hAnsi="Arial Black"/>
          <w:b/>
          <w:sz w:val="28"/>
          <w:szCs w:val="28"/>
        </w:rPr>
        <w:t>T</w:t>
      </w:r>
      <w:r>
        <w:rPr>
          <w:rFonts w:ascii="Arial Black" w:hAnsi="Arial Black"/>
          <w:b/>
          <w:sz w:val="28"/>
          <w:szCs w:val="28"/>
        </w:rPr>
        <w:t xml:space="preserve"> RETALIATION</w:t>
      </w:r>
    </w:p>
    <w:p w14:paraId="0D18AAE5" w14:textId="77777777" w:rsidR="001567BB" w:rsidRDefault="001567BB" w:rsidP="001567BB">
      <w:pPr>
        <w:rPr>
          <w:bCs/>
        </w:rPr>
      </w:pPr>
      <w:r w:rsidRPr="00242546">
        <w:t xml:space="preserve">On September 22, 2025, in </w:t>
      </w:r>
      <w:r w:rsidRPr="00242546">
        <w:rPr>
          <w:u w:val="single"/>
        </w:rPr>
        <w:t>Michael McGraff v. Fire Department of City of New York and the City of New York</w:t>
      </w:r>
      <w:r>
        <w:t xml:space="preserve">, U.S. District Court Judge Nicholas G. </w:t>
      </w:r>
      <w:proofErr w:type="spellStart"/>
      <w:r>
        <w:t>Garaufis</w:t>
      </w:r>
      <w:proofErr w:type="spellEnd"/>
      <w:r>
        <w:t xml:space="preserve">, United States District Court for Eastern District of New York, granted the City’s motion for summary judgment. Female medic filed complaint on April 3, </w:t>
      </w:r>
      <w:proofErr w:type="gramStart"/>
      <w:r>
        <w:t>2015</w:t>
      </w:r>
      <w:proofErr w:type="gramEnd"/>
      <w:r>
        <w:t xml:space="preserve"> with </w:t>
      </w:r>
      <w:r w:rsidRPr="00823799">
        <w:t>FDNY EEO</w:t>
      </w:r>
      <w:r>
        <w:t xml:space="preserve">.   Battalion Chief </w:t>
      </w:r>
      <w:r w:rsidRPr="00146805">
        <w:t xml:space="preserve">McGrath's </w:t>
      </w:r>
      <w:r>
        <w:t xml:space="preserve">was transferred from </w:t>
      </w:r>
      <w:r w:rsidRPr="0004737E">
        <w:t>Battalion 47 in Far Rockaway, Queens</w:t>
      </w:r>
      <w:r>
        <w:t xml:space="preserve"> to </w:t>
      </w:r>
      <w:r w:rsidRPr="00BB6518">
        <w:t>Queens Borough Command</w:t>
      </w:r>
      <w:r>
        <w:t xml:space="preserve">. </w:t>
      </w:r>
      <w:r w:rsidRPr="00823799">
        <w:t>On May 16, 2016, McGrath filed his own complaints with the FDNY EEO</w:t>
      </w:r>
      <w:r>
        <w:t xml:space="preserve">, </w:t>
      </w:r>
      <w:r w:rsidRPr="00146805">
        <w:t xml:space="preserve">alleged </w:t>
      </w:r>
      <w:r>
        <w:t>he</w:t>
      </w:r>
      <w:r w:rsidRPr="00146805">
        <w:t xml:space="preserve"> “was transferred and demoted due to his race (Caucasian) and gender (male), and that Arroyo received differential treatment because she is female and Hispanic.” </w:t>
      </w:r>
      <w:r>
        <w:t xml:space="preserve"> On</w:t>
      </w:r>
      <w:r w:rsidRPr="00002337">
        <w:t xml:space="preserve"> August 15, 2016, the FDNY EEO Office issued a memorandum to the Fire Commissioner Daniel A. Nigro substantiating Arroyo's sexual harassment complaint against McGrath</w:t>
      </w:r>
      <w:r>
        <w:t xml:space="preserve">.  November 10, 2016, McGrath’s complaint was dismissed with a </w:t>
      </w:r>
      <w:r w:rsidRPr="00B67D5B">
        <w:t>“no probable cause” determination</w:t>
      </w:r>
      <w:r>
        <w:t xml:space="preserve">.  He filed this lawsuit on March 15, 2017, against the female medic and the FD,  </w:t>
      </w:r>
      <w:r w:rsidRPr="00CC3044">
        <w:t xml:space="preserve">alleging </w:t>
      </w:r>
      <w:r>
        <w:t>“</w:t>
      </w:r>
      <w:r w:rsidRPr="00CC3044">
        <w:t>racial discrimination and retaliation under federal, state, and local laws, violation of his free speech rights, and several tort and contract claims</w:t>
      </w:r>
      <w:r>
        <w:t>.”</w:t>
      </w:r>
    </w:p>
    <w:p w14:paraId="0660C1E0" w14:textId="77777777" w:rsidR="001567BB" w:rsidRPr="004554EA" w:rsidRDefault="001567BB" w:rsidP="001567BB">
      <w:pPr>
        <w:rPr>
          <w:bCs/>
        </w:rPr>
      </w:pPr>
      <w:r w:rsidRPr="00EF6273">
        <w:rPr>
          <w:b/>
        </w:rPr>
        <w:t>THE COURT HELD</w:t>
      </w:r>
      <w:r>
        <w:t>: “</w:t>
      </w:r>
      <w:r w:rsidRPr="004554EA">
        <w:t xml:space="preserve">Based on this extensive investigation, the FDNY EEO Office determined as follows: </w:t>
      </w:r>
    </w:p>
    <w:p w14:paraId="48FA6812" w14:textId="77777777" w:rsidR="001567BB" w:rsidRPr="004554EA" w:rsidRDefault="001567BB" w:rsidP="001567BB">
      <w:pPr>
        <w:ind w:left="720"/>
        <w:rPr>
          <w:bCs/>
        </w:rPr>
      </w:pPr>
      <w:r w:rsidRPr="004554EA">
        <w:t xml:space="preserve">[T]he evidence shows that it is more likely than not that: McGrath and Arroyo spent time together after work hours in a non-platonic manner; Arroyo advised McGrath that she did not wish to purse a relationship; McGrath confronted Arroyo about unsubstantiated rumors of sexual misconduct in the workplace without addressing </w:t>
      </w:r>
      <w:r w:rsidRPr="004554EA">
        <w:lastRenderedPageBreak/>
        <w:t xml:space="preserve">such alleged misconduct within his, and Arroyo's, chain of command; suggested and/or threatened Arroyo with a transfer to a different station; and recommended to Arroyo's supervisors that she be transferred to a different station. Viewing the totality of circumstances, such conduct constitutes sexual harassment in violation of the EEO Policy. </w:t>
      </w:r>
    </w:p>
    <w:p w14:paraId="49774F22" w14:textId="77777777" w:rsidR="001567BB" w:rsidRDefault="001567BB" w:rsidP="001567BB">
      <w:pPr>
        <w:rPr>
          <w:bCs/>
        </w:rPr>
      </w:pPr>
      <w:r>
        <w:t>***</w:t>
      </w:r>
    </w:p>
    <w:p w14:paraId="0123A7F8" w14:textId="77777777" w:rsidR="001567BB" w:rsidRPr="00705FAD" w:rsidRDefault="001567BB" w:rsidP="001567BB">
      <w:r w:rsidRPr="00284816">
        <w:t>The evidence shows that the FDNY</w:t>
      </w:r>
      <w:r>
        <w:t xml:space="preserve"> </w:t>
      </w:r>
      <w:r w:rsidRPr="00284816">
        <w:t xml:space="preserve">EEO Office substantiated Arroyo's complaint against McGrath and brought disciplinary charges against McGrath not </w:t>
      </w:r>
      <w:proofErr w:type="gramStart"/>
      <w:r w:rsidRPr="00284816">
        <w:t>as a result of</w:t>
      </w:r>
      <w:proofErr w:type="gramEnd"/>
      <w:r w:rsidRPr="00284816">
        <w:t xml:space="preserve"> McGrath's Agency Complaints, but because of the FDNY EEO Office's extensive fact-finding that validated Arroyo's sexual harassment allegations. McGrath's scant evidence showing a causal link between his protected activity and the alleged retaliatory actions is insufficient to defeat Defendants' motion for summary judgment.</w:t>
      </w:r>
      <w:r>
        <w:t xml:space="preserve">” </w:t>
      </w:r>
      <w:hyperlink r:id="rId1358" w:history="1">
        <w:r w:rsidRPr="00705FAD">
          <w:rPr>
            <w:rStyle w:val="Hyperlink"/>
          </w:rPr>
          <w:t>https://public.fastcase.com/jaEE2PXzRXmZ99jOLMt1Ith2qIaSeggCoLDpY1bED9tguFhWPV6Zo6qPtk3o63Z4?utm_medium=email&amp;_hsenc=p2ANqtz-_k3-Q52FXjJQN9NeOgWdHNDXhdU7FtsE1Qhtjng3_RTOztkpkvOWiDZxLNU-kndNaS-F1RaBe3KZirW8vwSyzK6BF9eQ&amp;_hsmi=226712652&amp;utm_content=226712652&amp;utm_source=hs_email</w:t>
        </w:r>
      </w:hyperlink>
    </w:p>
    <w:p w14:paraId="4FEF75B0" w14:textId="77777777" w:rsidR="001567BB" w:rsidRDefault="001567BB" w:rsidP="001567BB">
      <w:r w:rsidRPr="00EF6273">
        <w:rPr>
          <w:b/>
        </w:rPr>
        <w:t>KEY FACTS</w:t>
      </w:r>
      <w:r>
        <w:t xml:space="preserve">: </w:t>
      </w:r>
    </w:p>
    <w:p w14:paraId="3082BB4E" w14:textId="77777777" w:rsidR="001567BB" w:rsidRDefault="001567BB" w:rsidP="001567BB">
      <w:pPr>
        <w:ind w:left="720"/>
      </w:pPr>
      <w:r>
        <w:t>“</w:t>
      </w:r>
      <w:r w:rsidRPr="00A841D8">
        <w:t>Michael McGrath is a white, male, retired FDNY officer</w:t>
      </w:r>
      <w:r>
        <w:t xml:space="preserve">…. </w:t>
      </w:r>
      <w:r w:rsidRPr="00A841D8">
        <w:t>McGrath began his career as a fireman at the FDNY in 1979 and was employed by the FDNY until he retired on February 15, 2018</w:t>
      </w:r>
      <w:r>
        <w:t xml:space="preserve">…. </w:t>
      </w:r>
      <w:r w:rsidRPr="00A841D8">
        <w:t>Throughout his career at the FDNY, he was promoted several times, eventually becoming Battalion Commander for FDNY Battalion 47 in Far Rockaway, Queens in 2003</w:t>
      </w:r>
      <w:r>
        <w:t xml:space="preserve">…. </w:t>
      </w:r>
      <w:r w:rsidRPr="00A841D8">
        <w:t xml:space="preserve">Two years into his command of FNDY Battalion 47, Battalion 47 became a </w:t>
      </w:r>
      <w:r>
        <w:t>‘</w:t>
      </w:r>
      <w:r w:rsidRPr="00A841D8">
        <w:t xml:space="preserve">joint </w:t>
      </w:r>
      <w:proofErr w:type="spellStart"/>
      <w:r w:rsidRPr="00A841D8">
        <w:t>facilit</w:t>
      </w:r>
      <w:proofErr w:type="spellEnd"/>
      <w:r w:rsidRPr="00A841D8">
        <w:t>[y]</w:t>
      </w:r>
      <w:r>
        <w:t xml:space="preserve">’ </w:t>
      </w:r>
      <w:r w:rsidRPr="00A841D8">
        <w:t>housing both Fire Operations and EMS Operations</w:t>
      </w:r>
      <w:r>
        <w:t xml:space="preserve">…. </w:t>
      </w:r>
      <w:r w:rsidRPr="00A841D8">
        <w:t xml:space="preserve">The court refers to the joint facility where McGrath worked as the </w:t>
      </w:r>
      <w:r>
        <w:t>‘</w:t>
      </w:r>
      <w:r w:rsidRPr="00A841D8">
        <w:t>Firehouse.</w:t>
      </w:r>
      <w:r>
        <w:t>’</w:t>
      </w:r>
      <w:r w:rsidRPr="00A841D8">
        <w:t xml:space="preserve"> Both Fire Operations and EMS Operations housed in the Firehouse share common areas, including a gym, terrace, locker rooms, and bathrooms</w:t>
      </w:r>
      <w:r>
        <w:t xml:space="preserve">…. </w:t>
      </w:r>
    </w:p>
    <w:p w14:paraId="22586087" w14:textId="77777777" w:rsidR="001567BB" w:rsidRDefault="001567BB" w:rsidP="001567BB">
      <w:pPr>
        <w:ind w:left="720"/>
      </w:pPr>
      <w:r w:rsidRPr="00BC781F">
        <w:t>In January 2014, McGrath met Marilyn Arroyo, an EMS Paramedic, when Arroyo was involved in a motor vehicle accident to which McGrath responded</w:t>
      </w:r>
      <w:r>
        <w:t xml:space="preserve">…. </w:t>
      </w:r>
      <w:r w:rsidRPr="00BC781F">
        <w:t>It is undisputed that McGrath and Arroyo met several times after they first met</w:t>
      </w:r>
      <w:r>
        <w:t xml:space="preserve"> … </w:t>
      </w:r>
      <w:r w:rsidRPr="00BC781F">
        <w:t xml:space="preserve">but the parties dispute whether these meetings were dates or </w:t>
      </w:r>
      <w:r>
        <w:t>‘</w:t>
      </w:r>
      <w:r w:rsidRPr="00BC781F">
        <w:t>merely two co-workers getting together because Arroyo asked for job-related advice due to having family members interested in applying to the FDNY,</w:t>
      </w:r>
      <w:r>
        <w:t xml:space="preserve">’ …. </w:t>
      </w:r>
      <w:r w:rsidRPr="00BC781F">
        <w:t>McGrath claims that shortly after meeting Arroyo, he began hearing rumors that Arroyo was having sex with a firefighter inside of the Firehouse</w:t>
      </w:r>
      <w:r>
        <w:t xml:space="preserve">…. </w:t>
      </w:r>
      <w:r w:rsidRPr="00BC781F">
        <w:t>McGrath first approached Arroyo's supervisor Chief Steven Russo with the allegations; Russo told McGrath that he would speak with Arroyo and get back to McGrath by the end of the day</w:t>
      </w:r>
      <w:r>
        <w:t>….</w:t>
      </w:r>
      <w:r w:rsidRPr="00BC781F">
        <w:t xml:space="preserve"> Russo did not get back to McGrath that day</w:t>
      </w:r>
      <w:r>
        <w:t xml:space="preserve">…. </w:t>
      </w:r>
      <w:r w:rsidRPr="00BC781F">
        <w:t>On March 15, 2015, McGrath approached Arroyo and discussed the allegations with her</w:t>
      </w:r>
      <w:r>
        <w:t xml:space="preserve">…. </w:t>
      </w:r>
      <w:r w:rsidRPr="00BC781F">
        <w:t>McGrath then brought the allegations to Assistant Chief Edward Baggott and Division Commander James DiDomencio</w:t>
      </w:r>
      <w:r>
        <w:t xml:space="preserve">…. </w:t>
      </w:r>
      <w:r w:rsidRPr="00BC781F">
        <w:t>DiDomenico told McGrath that while the FDNY Bureau of Investigations and Trials (</w:t>
      </w:r>
      <w:r>
        <w:t>‘</w:t>
      </w:r>
      <w:proofErr w:type="spellStart"/>
      <w:r w:rsidRPr="00BC781F">
        <w:t>BITs</w:t>
      </w:r>
      <w:r>
        <w:t>’</w:t>
      </w:r>
      <w:proofErr w:type="spellEnd"/>
      <w:r w:rsidRPr="00BC781F">
        <w:t>) was not going to investigate the allegations, Arroyo's EMS supervisor would speak with her</w:t>
      </w:r>
      <w:r>
        <w:t xml:space="preserve">…. </w:t>
      </w:r>
      <w:r w:rsidRPr="00BC781F">
        <w:t xml:space="preserve">Shortly thereafter, DiDomenico instructed all Battalion Commanders (including McGrath) to give </w:t>
      </w:r>
      <w:r>
        <w:t>‘</w:t>
      </w:r>
      <w:r w:rsidRPr="00BC781F">
        <w:t>drills on inappropriate behavior.</w:t>
      </w:r>
      <w:r>
        <w:t>’</w:t>
      </w:r>
      <w:r w:rsidRPr="00BC781F">
        <w:t xml:space="preserve"> </w:t>
      </w:r>
    </w:p>
    <w:p w14:paraId="337BCF92" w14:textId="77777777" w:rsidR="001567BB" w:rsidRDefault="001567BB" w:rsidP="001567BB">
      <w:pPr>
        <w:ind w:left="720"/>
      </w:pPr>
      <w:r>
        <w:t>***</w:t>
      </w:r>
    </w:p>
    <w:p w14:paraId="2FD6D42E" w14:textId="77777777" w:rsidR="001567BB" w:rsidRPr="002C11C5" w:rsidRDefault="001567BB" w:rsidP="001567BB">
      <w:pPr>
        <w:ind w:left="720"/>
      </w:pPr>
      <w:r w:rsidRPr="002C11C5">
        <w:t xml:space="preserve"> 1. Arroyo FDNY EEO Complaint </w:t>
      </w:r>
    </w:p>
    <w:p w14:paraId="5F96AEC4" w14:textId="77777777" w:rsidR="001567BB" w:rsidRDefault="001567BB" w:rsidP="001567BB">
      <w:pPr>
        <w:ind w:left="720"/>
      </w:pPr>
      <w:r w:rsidRPr="002C11C5">
        <w:t> On April 3, 2015, Arroyo submitted a complaint to the FDNYs Equal Opportunity Employment (</w:t>
      </w:r>
      <w:r>
        <w:t>‘</w:t>
      </w:r>
      <w:r w:rsidRPr="002C11C5">
        <w:t>EEO</w:t>
      </w:r>
      <w:r>
        <w:t>’</w:t>
      </w:r>
      <w:r w:rsidRPr="002C11C5">
        <w:t>) Office alleging that McGrath sexually harassed her</w:t>
      </w:r>
      <w:r>
        <w:t xml:space="preserve">…. </w:t>
      </w:r>
      <w:r w:rsidRPr="002C11C5">
        <w:t xml:space="preserve">The Arroyo FDNY EEO Complaint alleged that on March 15, 2015, McGrath asked Arroyo to meet him in the Firehouse's mechanical room, where McGrath </w:t>
      </w:r>
      <w:r>
        <w:t>‘</w:t>
      </w:r>
      <w:r w:rsidRPr="002C11C5">
        <w:t>informed [Arroyo] that firemen's wives were making complaints about [Arroyo] with regard to rumors of inappropriate behavior with numerous firefighters from Battalion 47 as well as police officers from the local precincts.</w:t>
      </w:r>
      <w:r>
        <w:t>’ …</w:t>
      </w:r>
      <w:r w:rsidRPr="002C11C5">
        <w:t xml:space="preserve">Arroyo alleged </w:t>
      </w:r>
      <w:r w:rsidRPr="002C11C5">
        <w:lastRenderedPageBreak/>
        <w:t xml:space="preserve">further that McGrath </w:t>
      </w:r>
      <w:r>
        <w:t>‘</w:t>
      </w:r>
      <w:r w:rsidRPr="002C11C5">
        <w:t xml:space="preserve">claimed that the wives were unhappy with [Arroyo] having a personal relationship with a </w:t>
      </w:r>
      <w:proofErr w:type="gramStart"/>
      <w:r w:rsidRPr="002C11C5">
        <w:t>35 year old</w:t>
      </w:r>
      <w:proofErr w:type="gramEnd"/>
      <w:r w:rsidRPr="002C11C5">
        <w:t xml:space="preserve"> fireman from E268.” </w:t>
      </w:r>
      <w:r>
        <w:t xml:space="preserve">… </w:t>
      </w:r>
      <w:r w:rsidRPr="002C11C5">
        <w:t xml:space="preserve"> Arroyo claimed that McGrath said he could </w:t>
      </w:r>
      <w:r>
        <w:t>‘</w:t>
      </w:r>
      <w:r w:rsidRPr="002C11C5">
        <w:t>make this all go away</w:t>
      </w:r>
      <w:r>
        <w:t>’</w:t>
      </w:r>
      <w:r w:rsidRPr="002C11C5">
        <w:t xml:space="preserve"> if she agreed to transfer to another EMS Station and gave her until the following day to let him know her decision.</w:t>
      </w:r>
    </w:p>
    <w:p w14:paraId="32BB8F0A" w14:textId="77777777" w:rsidR="001567BB" w:rsidRPr="002C11C5" w:rsidRDefault="001567BB" w:rsidP="001567BB">
      <w:pPr>
        <w:ind w:left="720"/>
      </w:pPr>
      <w:r>
        <w:t>***</w:t>
      </w:r>
    </w:p>
    <w:p w14:paraId="606B3372" w14:textId="77777777" w:rsidR="001567BB" w:rsidRDefault="001567BB" w:rsidP="001567BB">
      <w:pPr>
        <w:ind w:left="720"/>
      </w:pPr>
      <w:r w:rsidRPr="00AC185E">
        <w:t> In March or April 2015, the FDNY reassigned McGrath to Queens Borough Command</w:t>
      </w:r>
      <w:proofErr w:type="gramStart"/>
      <w:r>
        <w:t>…..</w:t>
      </w:r>
      <w:proofErr w:type="gramEnd"/>
      <w:r>
        <w:t xml:space="preserve"> </w:t>
      </w:r>
      <w:r w:rsidRPr="00AC185E">
        <w:t xml:space="preserve">McGrath alleges that he was reassigned </w:t>
      </w:r>
      <w:r>
        <w:t>‘</w:t>
      </w:r>
      <w:r w:rsidRPr="00AC185E">
        <w:t>without warning</w:t>
      </w:r>
      <w:r>
        <w:t>’</w:t>
      </w:r>
      <w:r w:rsidRPr="00AC185E">
        <w:t xml:space="preserve"> and </w:t>
      </w:r>
      <w:r>
        <w:t>‘</w:t>
      </w:r>
      <w:r w:rsidRPr="00AC185E">
        <w:t xml:space="preserve">stripped </w:t>
      </w:r>
      <w:proofErr w:type="gramStart"/>
      <w:r w:rsidRPr="00AC185E">
        <w:t>of</w:t>
      </w:r>
      <w:proofErr w:type="gramEnd"/>
      <w:r w:rsidRPr="00AC185E">
        <w:t xml:space="preserve"> his duties.</w:t>
      </w:r>
      <w:r>
        <w:t>’</w:t>
      </w:r>
    </w:p>
    <w:p w14:paraId="0BA17AD4" w14:textId="77777777" w:rsidR="001567BB" w:rsidRDefault="001567BB" w:rsidP="001567BB">
      <w:pPr>
        <w:ind w:left="720"/>
      </w:pPr>
      <w:r>
        <w:t>***</w:t>
      </w:r>
    </w:p>
    <w:p w14:paraId="4CF1C565" w14:textId="77777777" w:rsidR="001567BB" w:rsidRDefault="001567BB" w:rsidP="001567BB">
      <w:pPr>
        <w:ind w:left="720"/>
      </w:pPr>
      <w:r w:rsidRPr="00B13F8B">
        <w:t>2. McGrath Agency Complaints</w:t>
      </w:r>
    </w:p>
    <w:p w14:paraId="722E9E3D" w14:textId="77777777" w:rsidR="001567BB" w:rsidRDefault="001567BB" w:rsidP="001567BB">
      <w:pPr>
        <w:ind w:left="720"/>
      </w:pPr>
      <w:r w:rsidRPr="0064124C">
        <w:t>On May 16, 2016, McGrath filed his own complaints with the FDNY EEO Office, the New York State Department of Human Rights (</w:t>
      </w:r>
      <w:r>
        <w:t>‘</w:t>
      </w:r>
      <w:r w:rsidRPr="0064124C">
        <w:t>NYSDHR</w:t>
      </w:r>
      <w:r>
        <w:t>’</w:t>
      </w:r>
      <w:r w:rsidRPr="0064124C">
        <w:t>), and the United States Equal Employment Opportunity Commission (</w:t>
      </w:r>
      <w:r>
        <w:t>‘</w:t>
      </w:r>
      <w:r w:rsidRPr="0064124C">
        <w:t>US EEOC</w:t>
      </w:r>
      <w:r>
        <w:t>’</w:t>
      </w:r>
      <w:r w:rsidRPr="0064124C">
        <w:t xml:space="preserve">) (collectively, </w:t>
      </w:r>
      <w:r>
        <w:t>‘</w:t>
      </w:r>
      <w:r w:rsidRPr="0064124C">
        <w:t>Agency Complaints</w:t>
      </w:r>
      <w:r>
        <w:t>’</w:t>
      </w:r>
      <w:r w:rsidRPr="0064124C">
        <w:t>)</w:t>
      </w:r>
      <w:r>
        <w:t xml:space="preserve">…. </w:t>
      </w:r>
      <w:r w:rsidRPr="0064124C">
        <w:t xml:space="preserve">According to an internal FDNY memorandum, McGrath's FDNY EEO complaint alleged that McGrath </w:t>
      </w:r>
      <w:r>
        <w:t>‘</w:t>
      </w:r>
      <w:r w:rsidRPr="0064124C">
        <w:t>was transferred and demoted due to his race (Caucasian) and gender (male), and that Arroyo received differential treatment because she is female and Hispanic.</w:t>
      </w:r>
      <w:r>
        <w:t>’</w:t>
      </w:r>
      <w:r w:rsidRPr="0064124C">
        <w:t xml:space="preserve"> (Nguyen Mem.)</w:t>
      </w:r>
    </w:p>
    <w:p w14:paraId="01796F3E" w14:textId="77777777" w:rsidR="001567BB" w:rsidRDefault="001567BB" w:rsidP="001567BB">
      <w:pPr>
        <w:ind w:left="720"/>
      </w:pPr>
      <w:r>
        <w:t>***</w:t>
      </w:r>
    </w:p>
    <w:p w14:paraId="2AAD5259" w14:textId="77777777" w:rsidR="001567BB" w:rsidRDefault="001567BB" w:rsidP="001567BB">
      <w:pPr>
        <w:ind w:left="720"/>
      </w:pPr>
      <w:r w:rsidRPr="00A8314F">
        <w:t>On September 9, 2016, BIT served McGrath with four charges under the FDNYs internal rules and regulations relating to sexual harassment, making false statements, and general conduct</w:t>
      </w:r>
      <w:r>
        <w:t>.”</w:t>
      </w:r>
    </w:p>
    <w:p w14:paraId="563CFC58" w14:textId="77777777" w:rsidR="001567BB" w:rsidRPr="00284816" w:rsidRDefault="001567BB" w:rsidP="001567BB">
      <w:pPr>
        <w:rPr>
          <w:b/>
          <w:bCs/>
        </w:rPr>
      </w:pPr>
      <w:r>
        <w:rPr>
          <w:b/>
        </w:rPr>
        <w:t>Legal lesson learned: FD conducted thorough investigation.</w:t>
      </w:r>
    </w:p>
    <w:p w14:paraId="7CA9A367" w14:textId="77777777" w:rsidR="001567BB" w:rsidRPr="00F05C98" w:rsidRDefault="001567BB" w:rsidP="001567BB">
      <w:pPr>
        <w:ind w:left="720"/>
      </w:pPr>
    </w:p>
    <w:p w14:paraId="6F1D9EFD" w14:textId="77777777" w:rsidR="000624FD" w:rsidRDefault="000624FD" w:rsidP="004C2EC5">
      <w:pPr>
        <w:pStyle w:val="NoSpacing"/>
        <w:rPr>
          <w:rFonts w:ascii="Arial Black" w:hAnsi="Arial Black"/>
          <w:b/>
          <w:bCs/>
          <w:sz w:val="24"/>
          <w:szCs w:val="24"/>
        </w:rPr>
      </w:pPr>
    </w:p>
    <w:p w14:paraId="4BF9CE48" w14:textId="19E4870C" w:rsidR="002F205D" w:rsidRDefault="002F205D" w:rsidP="004C2EC5">
      <w:pPr>
        <w:pStyle w:val="NoSpacing"/>
        <w:rPr>
          <w:rFonts w:ascii="Arial Black" w:hAnsi="Arial Black"/>
          <w:b/>
          <w:bCs/>
          <w:sz w:val="24"/>
          <w:szCs w:val="24"/>
        </w:rPr>
      </w:pPr>
      <w:r>
        <w:rPr>
          <w:rFonts w:ascii="Arial Black" w:hAnsi="Arial Black"/>
          <w:b/>
          <w:bCs/>
          <w:sz w:val="24"/>
          <w:szCs w:val="24"/>
        </w:rPr>
        <w:t>7-80</w:t>
      </w:r>
    </w:p>
    <w:p w14:paraId="2D439DEF" w14:textId="77777777" w:rsidR="002F205D" w:rsidRDefault="002F205D" w:rsidP="002F205D">
      <w:pPr>
        <w:pStyle w:val="NoSpacing"/>
        <w:rPr>
          <w:rFonts w:ascii="Arial Black" w:hAnsi="Arial Black"/>
          <w:sz w:val="28"/>
          <w:szCs w:val="28"/>
        </w:rPr>
      </w:pPr>
      <w:r>
        <w:rPr>
          <w:rFonts w:ascii="Arial Black" w:hAnsi="Arial Black"/>
          <w:sz w:val="28"/>
          <w:szCs w:val="28"/>
        </w:rPr>
        <w:t xml:space="preserve">IL: GENITALIA / HOMO / RACIST - TEXT MESSAGE GROUP </w:t>
      </w:r>
    </w:p>
    <w:p w14:paraId="160E9399" w14:textId="77777777" w:rsidR="002F205D" w:rsidRPr="006959F8" w:rsidRDefault="002F205D" w:rsidP="002F205D">
      <w:pPr>
        <w:pStyle w:val="NoSpacing"/>
        <w:rPr>
          <w:rFonts w:ascii="Times New Roman" w:hAnsi="Times New Roman"/>
          <w:sz w:val="24"/>
          <w:szCs w:val="24"/>
        </w:rPr>
      </w:pPr>
      <w:r w:rsidRPr="006959F8">
        <w:rPr>
          <w:rFonts w:ascii="Times New Roman" w:hAnsi="Times New Roman"/>
          <w:sz w:val="24"/>
          <w:szCs w:val="24"/>
        </w:rPr>
        <w:t xml:space="preserve"> </w:t>
      </w:r>
    </w:p>
    <w:p w14:paraId="0587292F" w14:textId="484109C8" w:rsidR="002F205D" w:rsidRPr="006959F8" w:rsidRDefault="002F205D" w:rsidP="002F205D">
      <w:pPr>
        <w:pStyle w:val="NoSpacing"/>
        <w:rPr>
          <w:rFonts w:ascii="Times New Roman" w:hAnsi="Times New Roman"/>
          <w:sz w:val="24"/>
          <w:szCs w:val="24"/>
        </w:rPr>
      </w:pPr>
      <w:r w:rsidRPr="006959F8">
        <w:rPr>
          <w:rFonts w:ascii="Times New Roman" w:hAnsi="Times New Roman"/>
          <w:sz w:val="24"/>
          <w:szCs w:val="24"/>
        </w:rPr>
        <w:t xml:space="preserve">On July 23, 2025, in </w:t>
      </w:r>
      <w:r w:rsidRPr="006959F8">
        <w:rPr>
          <w:rFonts w:ascii="Times New Roman" w:hAnsi="Times New Roman"/>
          <w:sz w:val="24"/>
          <w:szCs w:val="24"/>
          <w:u w:val="single"/>
        </w:rPr>
        <w:t>David Stieglitz v. City of Chicago, et al</w:t>
      </w:r>
      <w:r w:rsidRPr="006959F8">
        <w:rPr>
          <w:rFonts w:ascii="Times New Roman" w:hAnsi="Times New Roman"/>
          <w:sz w:val="24"/>
          <w:szCs w:val="24"/>
        </w:rPr>
        <w:t xml:space="preserve">., U.S. District Court Judge Franklin U. Valderrama, United States District Court for Northern District of Illinois (Eastern Division) denied the City’s motion to dismiss retaliation lawsuit; pre-trial discovery will now proceed for plaintiff (who is white).  The plaintiff has been a Chicago firefighter since 2005; in July 2000 he was added to a text message group from his firehouse; the chat excluded female firefighters, and included pictures of genitalia, homophobic and racist texts and inappropriate gifs.  He also complained about inappropriate conduct directed at his minor son during a visit to the firehouse, during which he was asked about his sexual orientation. He asked his Lieutenant and his Battalion Chief to be removed from the text message group and stop the conduct, but they took no action. In 2021 and 2022 he filed complaints with City EEOC and OIG, and retaliation started. His lawsuit claims: “he was ostracized by his coworkers, threatened with discipline for reporting illegal behavior, brought up on false internal review charges, the station cook spit on his plate at dinner, he had doors slammed in his face, and he was transferred from his assigned house.”  THE COURT HELD: “The Supreme Court recently clarified that to establish an adverse employment action under Title VII, a plaintiff need only show ‘some harm’ respecting an identifiable term or condition of employment, rather than a ‘significant’ disadvantage. </w:t>
      </w:r>
      <w:r w:rsidRPr="006959F8">
        <w:rPr>
          <w:rFonts w:ascii="Times New Roman" w:hAnsi="Times New Roman"/>
          <w:i/>
          <w:iCs/>
          <w:sz w:val="24"/>
          <w:szCs w:val="24"/>
        </w:rPr>
        <w:t>Muldrow v. City of St. Louis</w:t>
      </w:r>
      <w:r w:rsidRPr="006959F8">
        <w:rPr>
          <w:rFonts w:ascii="Times New Roman" w:hAnsi="Times New Roman"/>
          <w:sz w:val="24"/>
          <w:szCs w:val="24"/>
        </w:rPr>
        <w:t xml:space="preserve">, Mo., 601 U.S. 346, 355 (2024). </w:t>
      </w:r>
      <w:hyperlink r:id="rId1359" w:history="1">
        <w:r w:rsidRPr="006959F8">
          <w:rPr>
            <w:rStyle w:val="Hyperlink"/>
            <w:rFonts w:ascii="Times New Roman" w:hAnsi="Times New Roman"/>
            <w:sz w:val="24"/>
            <w:szCs w:val="24"/>
          </w:rPr>
          <w:t>https://www.courthousenews.com/wp-content/uploads/2025/07/illinois-court-allows-firefighter-emt-to-sue-over-sexually-hostile-environment.pdf</w:t>
        </w:r>
      </w:hyperlink>
    </w:p>
    <w:p w14:paraId="68862B53" w14:textId="77777777" w:rsidR="00E73444" w:rsidRPr="006959F8" w:rsidRDefault="00E73444" w:rsidP="002F205D">
      <w:pPr>
        <w:pStyle w:val="NoSpacing"/>
        <w:rPr>
          <w:rFonts w:ascii="Times New Roman" w:hAnsi="Times New Roman"/>
          <w:b/>
          <w:bCs/>
          <w:sz w:val="24"/>
          <w:szCs w:val="24"/>
        </w:rPr>
      </w:pPr>
    </w:p>
    <w:p w14:paraId="2281D8AD" w14:textId="77777777" w:rsidR="0069598C" w:rsidRPr="006959F8" w:rsidRDefault="0069598C" w:rsidP="0069598C">
      <w:pPr>
        <w:pStyle w:val="NoSpacing"/>
        <w:rPr>
          <w:rFonts w:ascii="Times New Roman" w:hAnsi="Times New Roman"/>
          <w:b/>
          <w:bCs/>
          <w:sz w:val="24"/>
          <w:szCs w:val="24"/>
        </w:rPr>
      </w:pPr>
      <w:r w:rsidRPr="006959F8">
        <w:rPr>
          <w:rFonts w:ascii="Times New Roman" w:hAnsi="Times New Roman"/>
          <w:b/>
          <w:sz w:val="24"/>
          <w:szCs w:val="24"/>
        </w:rPr>
        <w:t xml:space="preserve">Legal lesson learned:   Fire Station text message groups, like other forms of communication, can lead to litigation.  Under the U.S. Supreme Court’s April 17, </w:t>
      </w:r>
      <w:proofErr w:type="gramStart"/>
      <w:r w:rsidRPr="006959F8">
        <w:rPr>
          <w:rFonts w:ascii="Times New Roman" w:hAnsi="Times New Roman"/>
          <w:b/>
          <w:sz w:val="24"/>
          <w:szCs w:val="24"/>
        </w:rPr>
        <w:t>2024</w:t>
      </w:r>
      <w:proofErr w:type="gramEnd"/>
      <w:r w:rsidRPr="006959F8">
        <w:rPr>
          <w:rFonts w:ascii="Times New Roman" w:hAnsi="Times New Roman"/>
          <w:b/>
          <w:sz w:val="24"/>
          <w:szCs w:val="24"/>
        </w:rPr>
        <w:t xml:space="preserve"> decision in </w:t>
      </w:r>
      <w:r w:rsidRPr="006959F8">
        <w:rPr>
          <w:rFonts w:ascii="Times New Roman" w:hAnsi="Times New Roman"/>
          <w:b/>
          <w:i/>
          <w:iCs/>
          <w:sz w:val="24"/>
          <w:szCs w:val="24"/>
        </w:rPr>
        <w:t xml:space="preserve">Muldrow v. City of St. Louis, </w:t>
      </w:r>
      <w:r w:rsidRPr="006959F8">
        <w:rPr>
          <w:rFonts w:ascii="Times New Roman" w:hAnsi="Times New Roman"/>
          <w:b/>
          <w:sz w:val="24"/>
          <w:szCs w:val="24"/>
        </w:rPr>
        <w:lastRenderedPageBreak/>
        <w:t xml:space="preserve">lawsuits claiming retaliation need only allege “some harms” to proceed with pre-trial discovery. </w:t>
      </w:r>
      <w:hyperlink r:id="rId1360" w:history="1">
        <w:r w:rsidRPr="006959F8">
          <w:rPr>
            <w:rStyle w:val="Hyperlink"/>
            <w:rFonts w:ascii="Times New Roman" w:hAnsi="Times New Roman"/>
            <w:b/>
            <w:sz w:val="24"/>
            <w:szCs w:val="24"/>
          </w:rPr>
          <w:t>https://www.supremecourt.gov/opinions/23pdf/22-193_q86b.pdf</w:t>
        </w:r>
      </w:hyperlink>
      <w:r w:rsidRPr="006959F8">
        <w:rPr>
          <w:rFonts w:ascii="Times New Roman" w:hAnsi="Times New Roman"/>
          <w:b/>
          <w:sz w:val="24"/>
          <w:szCs w:val="24"/>
        </w:rPr>
        <w:t xml:space="preserve"> </w:t>
      </w:r>
    </w:p>
    <w:p w14:paraId="6A62170C" w14:textId="77777777" w:rsidR="0069598C" w:rsidRPr="006959F8" w:rsidRDefault="0069598C" w:rsidP="0069598C">
      <w:pPr>
        <w:pStyle w:val="NoSpacing"/>
        <w:rPr>
          <w:rFonts w:ascii="Times New Roman" w:hAnsi="Times New Roman"/>
          <w:b/>
          <w:bCs/>
          <w:sz w:val="24"/>
          <w:szCs w:val="24"/>
        </w:rPr>
      </w:pPr>
    </w:p>
    <w:p w14:paraId="501B1C06" w14:textId="77777777" w:rsidR="0069598C" w:rsidRPr="006959F8" w:rsidRDefault="0069598C" w:rsidP="0069598C">
      <w:pPr>
        <w:pStyle w:val="NoSpacing"/>
        <w:ind w:left="720"/>
        <w:rPr>
          <w:rFonts w:ascii="Times New Roman" w:hAnsi="Times New Roman"/>
          <w:sz w:val="24"/>
          <w:szCs w:val="24"/>
        </w:rPr>
      </w:pPr>
      <w:r w:rsidRPr="006959F8">
        <w:rPr>
          <w:rFonts w:ascii="Times New Roman" w:hAnsi="Times New Roman"/>
          <w:sz w:val="24"/>
          <w:szCs w:val="24"/>
        </w:rPr>
        <w:t xml:space="preserve">Note:  Plaintiff in 2017 filed an EEOC complaint and then sued the </w:t>
      </w:r>
      <w:proofErr w:type="gramStart"/>
      <w:r w:rsidRPr="006959F8">
        <w:rPr>
          <w:rFonts w:ascii="Times New Roman" w:hAnsi="Times New Roman"/>
          <w:sz w:val="24"/>
          <w:szCs w:val="24"/>
        </w:rPr>
        <w:t>City</w:t>
      </w:r>
      <w:proofErr w:type="gramEnd"/>
      <w:r w:rsidRPr="006959F8">
        <w:rPr>
          <w:rFonts w:ascii="Times New Roman" w:hAnsi="Times New Roman"/>
          <w:sz w:val="24"/>
          <w:szCs w:val="24"/>
        </w:rPr>
        <w:t xml:space="preserve">, claiming racial discrimination (he is white) about his Black Captain assigning two additional firefighters to drive Truck 19. The trial court judge after pre-trial discovery granted summary judgement to the </w:t>
      </w:r>
      <w:proofErr w:type="gramStart"/>
      <w:r w:rsidRPr="006959F8">
        <w:rPr>
          <w:rFonts w:ascii="Times New Roman" w:hAnsi="Times New Roman"/>
          <w:sz w:val="24"/>
          <w:szCs w:val="24"/>
        </w:rPr>
        <w:t>City</w:t>
      </w:r>
      <w:proofErr w:type="gramEnd"/>
      <w:r w:rsidRPr="006959F8">
        <w:rPr>
          <w:rFonts w:ascii="Times New Roman" w:hAnsi="Times New Roman"/>
          <w:sz w:val="24"/>
          <w:szCs w:val="24"/>
        </w:rPr>
        <w:t>.  On July 12, 2022, the U.S. Court of Appeals for 7</w:t>
      </w:r>
      <w:r w:rsidRPr="006959F8">
        <w:rPr>
          <w:rFonts w:ascii="Times New Roman" w:hAnsi="Times New Roman"/>
          <w:sz w:val="24"/>
          <w:szCs w:val="24"/>
          <w:vertAlign w:val="superscript"/>
        </w:rPr>
        <w:t>th</w:t>
      </w:r>
      <w:r w:rsidRPr="006959F8">
        <w:rPr>
          <w:rFonts w:ascii="Times New Roman" w:hAnsi="Times New Roman"/>
          <w:sz w:val="24"/>
          <w:szCs w:val="24"/>
        </w:rPr>
        <w:t xml:space="preserve"> Circuit (Chicago) held that his race discrimination case was properly dismissed. </w:t>
      </w:r>
      <w:hyperlink r:id="rId1361" w:history="1">
        <w:r w:rsidRPr="006959F8">
          <w:rPr>
            <w:rStyle w:val="Hyperlink"/>
            <w:rFonts w:ascii="Times New Roman" w:hAnsi="Times New Roman"/>
            <w:sz w:val="24"/>
            <w:szCs w:val="24"/>
          </w:rPr>
          <w:t>https://media.ca7.uscourts.gov/cgi-bin/rssExec.pl?Submit=Display&amp;Path=Y2022/D07-12/C:21-2784:J:PerCuriam:aut:T:npDp:N:2902357:S:0</w:t>
        </w:r>
      </w:hyperlink>
      <w:r w:rsidRPr="006959F8">
        <w:rPr>
          <w:rFonts w:ascii="Times New Roman" w:hAnsi="Times New Roman"/>
          <w:sz w:val="24"/>
          <w:szCs w:val="24"/>
        </w:rPr>
        <w:t xml:space="preserve"> </w:t>
      </w:r>
    </w:p>
    <w:p w14:paraId="3B0EE4E7" w14:textId="77777777" w:rsidR="0069598C" w:rsidRPr="006959F8" w:rsidRDefault="0069598C" w:rsidP="0069598C">
      <w:pPr>
        <w:pStyle w:val="NoSpacing"/>
        <w:ind w:left="720"/>
        <w:rPr>
          <w:rFonts w:ascii="Times New Roman" w:hAnsi="Times New Roman"/>
          <w:sz w:val="24"/>
          <w:szCs w:val="24"/>
        </w:rPr>
      </w:pPr>
    </w:p>
    <w:p w14:paraId="457039C6" w14:textId="77777777" w:rsidR="0069598C" w:rsidRPr="006959F8" w:rsidRDefault="0069598C" w:rsidP="0069598C">
      <w:pPr>
        <w:pStyle w:val="NoSpacing"/>
        <w:ind w:left="1440"/>
        <w:rPr>
          <w:rFonts w:ascii="Times New Roman" w:hAnsi="Times New Roman"/>
          <w:sz w:val="24"/>
          <w:szCs w:val="24"/>
        </w:rPr>
      </w:pPr>
      <w:r w:rsidRPr="006959F8">
        <w:rPr>
          <w:rFonts w:ascii="Times New Roman" w:hAnsi="Times New Roman"/>
          <w:sz w:val="24"/>
          <w:szCs w:val="24"/>
        </w:rPr>
        <w:t>“David Stieglitz, a Chicago firefighter, sued the City of Chicago under Title VII of the Civil Rights Act of 1964 for race discrimination and retaliation. He alleged that his captain deprived him of lucrative opportunities to drive a fire truck because of his race (White) and that, after he protested, the Chicago Fire Department retaliated against him by briefly suspending him from driving. The district court granted the City’s motion for summary judgment, concluding that Stieglitz lacked evidence to dispute the City’s non-discriminatory reasons for scheduling multiple drivers and for the suspension. Because a jury could not reasonably infer from the evidence any intent to discriminate or retaliate, we affirm”</w:t>
      </w:r>
    </w:p>
    <w:p w14:paraId="4E3D58BB" w14:textId="77777777" w:rsidR="0069598C" w:rsidRDefault="0069598C" w:rsidP="002F205D">
      <w:pPr>
        <w:pStyle w:val="NoSpacing"/>
        <w:rPr>
          <w:rFonts w:ascii="Arial Black" w:hAnsi="Arial Black"/>
          <w:b/>
          <w:bCs/>
          <w:sz w:val="24"/>
          <w:szCs w:val="24"/>
        </w:rPr>
      </w:pPr>
    </w:p>
    <w:p w14:paraId="3CAC8C5E" w14:textId="77777777" w:rsidR="002F205D" w:rsidRDefault="002F205D" w:rsidP="004C2EC5">
      <w:pPr>
        <w:pStyle w:val="NoSpacing"/>
        <w:rPr>
          <w:rFonts w:ascii="Arial Black" w:hAnsi="Arial Black"/>
          <w:b/>
          <w:bCs/>
          <w:sz w:val="24"/>
          <w:szCs w:val="24"/>
        </w:rPr>
      </w:pPr>
    </w:p>
    <w:p w14:paraId="6DCFE024" w14:textId="77777777" w:rsidR="002F205D" w:rsidRDefault="002F205D" w:rsidP="004C2EC5">
      <w:pPr>
        <w:pStyle w:val="NoSpacing"/>
        <w:rPr>
          <w:rFonts w:ascii="Arial Black" w:hAnsi="Arial Black"/>
          <w:b/>
          <w:bCs/>
          <w:sz w:val="24"/>
          <w:szCs w:val="24"/>
        </w:rPr>
      </w:pPr>
    </w:p>
    <w:p w14:paraId="7A1966F8" w14:textId="77777777" w:rsidR="002F205D" w:rsidRDefault="002F205D" w:rsidP="004C2EC5">
      <w:pPr>
        <w:pStyle w:val="NoSpacing"/>
        <w:rPr>
          <w:rFonts w:ascii="Arial Black" w:hAnsi="Arial Black"/>
          <w:b/>
          <w:bCs/>
          <w:sz w:val="24"/>
          <w:szCs w:val="24"/>
        </w:rPr>
      </w:pPr>
    </w:p>
    <w:p w14:paraId="2679312F" w14:textId="77777777" w:rsidR="002F205D" w:rsidRDefault="002F205D" w:rsidP="004C2EC5">
      <w:pPr>
        <w:pStyle w:val="NoSpacing"/>
        <w:rPr>
          <w:rFonts w:ascii="Arial Black" w:hAnsi="Arial Black"/>
          <w:b/>
          <w:bCs/>
          <w:sz w:val="24"/>
          <w:szCs w:val="24"/>
        </w:rPr>
      </w:pPr>
    </w:p>
    <w:p w14:paraId="6F5FED96" w14:textId="3B903620" w:rsidR="004C2EC5" w:rsidRDefault="004C2EC5" w:rsidP="004C2EC5">
      <w:pPr>
        <w:pStyle w:val="NoSpacing"/>
        <w:rPr>
          <w:rFonts w:ascii="Arial Black" w:hAnsi="Arial Black"/>
          <w:b/>
          <w:bCs/>
          <w:sz w:val="24"/>
          <w:szCs w:val="24"/>
        </w:rPr>
      </w:pPr>
      <w:r>
        <w:rPr>
          <w:rFonts w:ascii="Arial Black" w:hAnsi="Arial Black"/>
          <w:b/>
          <w:bCs/>
          <w:sz w:val="24"/>
          <w:szCs w:val="24"/>
        </w:rPr>
        <w:t>7-7</w:t>
      </w:r>
      <w:r w:rsidR="00092DAC">
        <w:rPr>
          <w:rFonts w:ascii="Arial Black" w:hAnsi="Arial Black"/>
          <w:b/>
          <w:bCs/>
          <w:sz w:val="24"/>
          <w:szCs w:val="24"/>
        </w:rPr>
        <w:t>9</w:t>
      </w:r>
    </w:p>
    <w:p w14:paraId="6BAFD43F" w14:textId="77777777" w:rsidR="002F205D" w:rsidRDefault="002F205D" w:rsidP="00FB15FE">
      <w:pPr>
        <w:rPr>
          <w:rFonts w:ascii="Arial Black" w:hAnsi="Arial Black"/>
          <w:b/>
          <w:sz w:val="28"/>
          <w:szCs w:val="28"/>
        </w:rPr>
      </w:pPr>
    </w:p>
    <w:p w14:paraId="1F9489F4" w14:textId="65ECB607" w:rsidR="00FB15FE" w:rsidRPr="00221AA5" w:rsidRDefault="00FB15FE" w:rsidP="00FB15FE">
      <w:pPr>
        <w:rPr>
          <w:rFonts w:ascii="Arial Black" w:hAnsi="Arial Black"/>
          <w:b/>
          <w:sz w:val="28"/>
          <w:szCs w:val="28"/>
        </w:rPr>
      </w:pPr>
      <w:r>
        <w:rPr>
          <w:rFonts w:ascii="Arial Black" w:hAnsi="Arial Black"/>
          <w:b/>
          <w:sz w:val="28"/>
          <w:szCs w:val="28"/>
        </w:rPr>
        <w:t>U.S. SUP. CT: “STRAIGHT” FEMALE</w:t>
      </w:r>
      <w:r w:rsidR="00E6658C">
        <w:rPr>
          <w:rFonts w:ascii="Arial Black" w:hAnsi="Arial Black"/>
          <w:b/>
          <w:sz w:val="28"/>
          <w:szCs w:val="28"/>
        </w:rPr>
        <w:t xml:space="preserve"> RIGHTS</w:t>
      </w:r>
      <w:r>
        <w:rPr>
          <w:rFonts w:ascii="Arial Black" w:hAnsi="Arial Black"/>
          <w:b/>
          <w:sz w:val="28"/>
          <w:szCs w:val="28"/>
        </w:rPr>
        <w:t xml:space="preserve"> – MGT FAVORED GAYS</w:t>
      </w:r>
    </w:p>
    <w:p w14:paraId="207D15DB" w14:textId="77777777" w:rsidR="00FB15FE" w:rsidRPr="002A313D" w:rsidRDefault="00FB15FE" w:rsidP="00FB15FE">
      <w:pPr>
        <w:pStyle w:val="NoSpacing"/>
        <w:rPr>
          <w:rFonts w:ascii="Times New Roman" w:hAnsi="Times New Roman"/>
          <w:bCs/>
          <w:sz w:val="24"/>
          <w:szCs w:val="24"/>
        </w:rPr>
      </w:pPr>
      <w:r w:rsidRPr="002A313D">
        <w:rPr>
          <w:rFonts w:ascii="Times New Roman" w:hAnsi="Times New Roman"/>
          <w:sz w:val="24"/>
          <w:szCs w:val="24"/>
        </w:rPr>
        <w:t xml:space="preserve">On June 5, 2025, in </w:t>
      </w:r>
      <w:r w:rsidRPr="002A313D">
        <w:rPr>
          <w:rFonts w:ascii="Times New Roman" w:hAnsi="Times New Roman"/>
          <w:sz w:val="24"/>
          <w:szCs w:val="24"/>
          <w:u w:val="single"/>
        </w:rPr>
        <w:t>Marlean Ames v. Ohio Department of Youth Services</w:t>
      </w:r>
      <w:r w:rsidRPr="002A313D">
        <w:rPr>
          <w:rFonts w:ascii="Times New Roman" w:hAnsi="Times New Roman"/>
          <w:sz w:val="24"/>
          <w:szCs w:val="24"/>
        </w:rPr>
        <w:t>, the United States Supreme Court held (9 to 0) that heterosexual and other majority group employees may sue employers who they allege made promotion or other job assignments in favor of gay employees.  The Court rejected the requirement of the 6</w:t>
      </w:r>
      <w:r w:rsidRPr="002A313D">
        <w:rPr>
          <w:rFonts w:ascii="Times New Roman" w:hAnsi="Times New Roman"/>
          <w:sz w:val="24"/>
          <w:szCs w:val="24"/>
          <w:vertAlign w:val="superscript"/>
        </w:rPr>
        <w:t>th</w:t>
      </w:r>
      <w:r w:rsidRPr="002A313D">
        <w:rPr>
          <w:rFonts w:ascii="Times New Roman" w:hAnsi="Times New Roman"/>
          <w:sz w:val="24"/>
          <w:szCs w:val="24"/>
        </w:rPr>
        <w:t xml:space="preserve"> Circuit (Cincinnati) and some other Circuits that for lawsuit by majority employee making claim of discrimination to survive summary judgment, the majority plaintiff must include detailed facts showing the “background circumstances” of the workplace “rare” discriminatory practices.  THE COURT HELD: “Congress left no room for courts to impose special requirements on majority-group plaintiffs alone.”</w:t>
      </w:r>
    </w:p>
    <w:p w14:paraId="79BC3F95" w14:textId="77777777" w:rsidR="00FB15FE" w:rsidRPr="002A313D" w:rsidRDefault="00FB15FE" w:rsidP="00FB15FE">
      <w:pPr>
        <w:rPr>
          <w:rFonts w:ascii="Times New Roman" w:hAnsi="Times New Roman"/>
          <w:bCs/>
          <w:sz w:val="24"/>
          <w:szCs w:val="24"/>
        </w:rPr>
      </w:pPr>
      <w:hyperlink r:id="rId1362" w:history="1">
        <w:r w:rsidRPr="002A313D">
          <w:rPr>
            <w:rStyle w:val="Hyperlink"/>
            <w:rFonts w:ascii="Times New Roman" w:hAnsi="Times New Roman"/>
            <w:sz w:val="24"/>
            <w:szCs w:val="24"/>
          </w:rPr>
          <w:t>https://www.supremecourt.gov/opinions/24pdf/23-1039_c0n2.pdf</w:t>
        </w:r>
      </w:hyperlink>
      <w:r w:rsidRPr="002A313D">
        <w:rPr>
          <w:rFonts w:ascii="Times New Roman" w:hAnsi="Times New Roman"/>
          <w:sz w:val="24"/>
          <w:szCs w:val="24"/>
        </w:rPr>
        <w:t xml:space="preserve"> </w:t>
      </w:r>
    </w:p>
    <w:p w14:paraId="70F9452D" w14:textId="77777777" w:rsidR="002A313D" w:rsidRPr="002A313D" w:rsidRDefault="002A313D" w:rsidP="002A313D">
      <w:pPr>
        <w:pStyle w:val="NoSpacing"/>
        <w:rPr>
          <w:rFonts w:ascii="Times New Roman" w:hAnsi="Times New Roman"/>
          <w:b/>
          <w:sz w:val="24"/>
          <w:szCs w:val="24"/>
        </w:rPr>
      </w:pPr>
      <w:r w:rsidRPr="002A313D">
        <w:rPr>
          <w:rFonts w:ascii="Times New Roman" w:hAnsi="Times New Roman"/>
          <w:b/>
          <w:sz w:val="24"/>
          <w:szCs w:val="24"/>
        </w:rPr>
        <w:t xml:space="preserve">Legal lesson learned: Unanimous Court opinion – Title VII of the Civil Rights Act of 1964 does not impose a high standard of proof for majority-group plaintiffs. </w:t>
      </w:r>
    </w:p>
    <w:p w14:paraId="5A2822D8" w14:textId="77777777" w:rsidR="00F40B03" w:rsidRPr="002A313D" w:rsidRDefault="00F40B03" w:rsidP="00F326E5">
      <w:pPr>
        <w:pStyle w:val="NoSpacing"/>
        <w:rPr>
          <w:rFonts w:ascii="Times New Roman" w:hAnsi="Times New Roman"/>
          <w:b/>
          <w:bCs/>
          <w:sz w:val="24"/>
          <w:szCs w:val="24"/>
        </w:rPr>
      </w:pPr>
    </w:p>
    <w:p w14:paraId="7C5E10BE" w14:textId="77777777" w:rsidR="00F40B03" w:rsidRDefault="00F40B03" w:rsidP="00F326E5">
      <w:pPr>
        <w:pStyle w:val="NoSpacing"/>
        <w:rPr>
          <w:rFonts w:ascii="Arial Black" w:hAnsi="Arial Black"/>
          <w:b/>
          <w:bCs/>
          <w:sz w:val="24"/>
          <w:szCs w:val="24"/>
        </w:rPr>
      </w:pPr>
    </w:p>
    <w:p w14:paraId="12E4BEF7" w14:textId="77777777" w:rsidR="004C2EC5" w:rsidRDefault="004C2EC5" w:rsidP="00BD31D3">
      <w:pPr>
        <w:rPr>
          <w:rFonts w:ascii="Arial Black" w:hAnsi="Arial Black"/>
          <w:sz w:val="28"/>
          <w:szCs w:val="28"/>
        </w:rPr>
      </w:pPr>
    </w:p>
    <w:p w14:paraId="23FFF287" w14:textId="7C8074F8" w:rsidR="004C2EC5" w:rsidRDefault="004C2EC5" w:rsidP="004C2EC5">
      <w:pPr>
        <w:pStyle w:val="NoSpacing"/>
        <w:rPr>
          <w:rFonts w:ascii="Arial Black" w:hAnsi="Arial Black"/>
          <w:b/>
          <w:bCs/>
          <w:sz w:val="24"/>
          <w:szCs w:val="24"/>
        </w:rPr>
      </w:pPr>
      <w:r>
        <w:rPr>
          <w:rFonts w:ascii="Arial Black" w:hAnsi="Arial Black"/>
          <w:b/>
          <w:bCs/>
          <w:sz w:val="24"/>
          <w:szCs w:val="24"/>
        </w:rPr>
        <w:t>7-78</w:t>
      </w:r>
    </w:p>
    <w:p w14:paraId="26D823E5" w14:textId="77777777" w:rsidR="004C2EC5" w:rsidRDefault="004C2EC5" w:rsidP="00BD31D3">
      <w:pPr>
        <w:rPr>
          <w:rFonts w:ascii="Arial Black" w:hAnsi="Arial Black"/>
          <w:sz w:val="28"/>
          <w:szCs w:val="28"/>
        </w:rPr>
      </w:pPr>
    </w:p>
    <w:p w14:paraId="04FDF0FB" w14:textId="2F4C8D5E" w:rsidR="00BD31D3" w:rsidRPr="00427BC4" w:rsidRDefault="00BD31D3" w:rsidP="00BD31D3">
      <w:pPr>
        <w:rPr>
          <w:rFonts w:ascii="Arial Black" w:hAnsi="Arial Black"/>
          <w:sz w:val="28"/>
          <w:szCs w:val="28"/>
        </w:rPr>
      </w:pPr>
      <w:r>
        <w:rPr>
          <w:rFonts w:ascii="Arial Black" w:hAnsi="Arial Black"/>
          <w:sz w:val="28"/>
          <w:szCs w:val="28"/>
        </w:rPr>
        <w:t xml:space="preserve">OK: 2 FEMALES NOT PROMOTED – NO OUTSIDE PANEL USED </w:t>
      </w:r>
    </w:p>
    <w:p w14:paraId="1D128C33" w14:textId="77777777" w:rsidR="00BD31D3" w:rsidRPr="00DB7CAF" w:rsidRDefault="00BD31D3" w:rsidP="00BD31D3">
      <w:pPr>
        <w:pStyle w:val="NoSpacing"/>
        <w:rPr>
          <w:rFonts w:ascii="Times New Roman" w:hAnsi="Times New Roman"/>
          <w:sz w:val="24"/>
          <w:szCs w:val="24"/>
        </w:rPr>
      </w:pPr>
      <w:r w:rsidRPr="00DB7CAF">
        <w:rPr>
          <w:rFonts w:ascii="Times New Roman" w:hAnsi="Times New Roman"/>
          <w:sz w:val="24"/>
          <w:szCs w:val="24"/>
        </w:rPr>
        <w:lastRenderedPageBreak/>
        <w:t xml:space="preserve">On June 2, 2025, in </w:t>
      </w:r>
      <w:r w:rsidRPr="00DB7CAF">
        <w:rPr>
          <w:rFonts w:ascii="Times New Roman" w:hAnsi="Times New Roman"/>
          <w:sz w:val="24"/>
          <w:szCs w:val="24"/>
          <w:u w:val="single"/>
        </w:rPr>
        <w:t>Greta J. Hurt; Julie D, Lynn v. City of Tulsa, Oklahoma</w:t>
      </w:r>
      <w:r w:rsidRPr="00DB7CAF">
        <w:rPr>
          <w:rFonts w:ascii="Times New Roman" w:hAnsi="Times New Roman"/>
          <w:sz w:val="24"/>
          <w:szCs w:val="24"/>
        </w:rPr>
        <w:t xml:space="preserve">, U.S. District Court Judge John D. Russell, United States District Court for the Northern District of Oklahoma, denied the City’s motion for summary judgment on the “failure-to-promote” claim, after two male District Chiefs were selected by 3-person Panel (including Fire Chief and Deputy Chief, and a retired Fire Chief from Georgia), because “the evidence of record could permit a jury to find that the Department's stated reasons for promoting the [two males] are pretextual.”  Plaintiffs’ claims of retaliation after filing EEOC charge and hostile work atmosphere were dismissed.  In 2021, the Department announced two openings for Assistant Fire Chief – four applicants were all qualified.  In </w:t>
      </w:r>
      <w:proofErr w:type="gramStart"/>
      <w:r w:rsidRPr="00DB7CAF">
        <w:rPr>
          <w:rFonts w:ascii="Times New Roman" w:hAnsi="Times New Roman"/>
          <w:sz w:val="24"/>
          <w:szCs w:val="24"/>
        </w:rPr>
        <w:t>July,</w:t>
      </w:r>
      <w:proofErr w:type="gramEnd"/>
      <w:r w:rsidRPr="00DB7CAF">
        <w:rPr>
          <w:rFonts w:ascii="Times New Roman" w:hAnsi="Times New Roman"/>
          <w:sz w:val="24"/>
          <w:szCs w:val="24"/>
        </w:rPr>
        <w:t xml:space="preserve"> 2021 the Fire Chief changed process, with union permission – instead of an outside assessment panel, with rank order of best candidates, he established the internal panel.   THE COURT HELD: “Could a jury find that the Department's decision to forgo the established procedure was the product of a desire to save the city and the candidates the cost and burden of an assessment? The answer to that question is yes. Could a jury also find, based on Mr. Lay's testimony, that Chief Baker and Deputy Chief Goins departed from the AOP process because they wanted to pick their preferred candidates, regardless of how well they performed on an impartial assessment? The answer to that question is also yes.” </w:t>
      </w:r>
    </w:p>
    <w:p w14:paraId="1F497530" w14:textId="6B995126" w:rsidR="007426EF" w:rsidRPr="00DB7CAF" w:rsidRDefault="00BD31D3" w:rsidP="00BD31D3">
      <w:pPr>
        <w:pStyle w:val="NoSpacing"/>
        <w:rPr>
          <w:rFonts w:ascii="Times New Roman" w:hAnsi="Times New Roman"/>
          <w:sz w:val="24"/>
          <w:szCs w:val="24"/>
        </w:rPr>
      </w:pPr>
      <w:hyperlink r:id="rId1363" w:history="1">
        <w:r w:rsidRPr="00DB7CAF">
          <w:rPr>
            <w:rStyle w:val="Hyperlink"/>
            <w:rFonts w:ascii="Times New Roman" w:hAnsi="Times New Roman"/>
            <w:sz w:val="24"/>
            <w:szCs w:val="24"/>
          </w:rPr>
          <w:t>https://ktul.com/resources/pdf/dc103f10-071a-4876-bf70-774bb3ddb220-HurtLynnv.COTSummaryJudgmentDecision.pdf</w:t>
        </w:r>
      </w:hyperlink>
    </w:p>
    <w:p w14:paraId="4E2717BE" w14:textId="77777777" w:rsidR="00DB7CAF" w:rsidRPr="00DB7CAF" w:rsidRDefault="00DB7CAF" w:rsidP="00BD31D3">
      <w:pPr>
        <w:pStyle w:val="NoSpacing"/>
        <w:rPr>
          <w:rFonts w:ascii="Times New Roman" w:hAnsi="Times New Roman"/>
          <w:sz w:val="24"/>
          <w:szCs w:val="24"/>
        </w:rPr>
      </w:pPr>
    </w:p>
    <w:p w14:paraId="332898EB" w14:textId="77777777" w:rsidR="00DB7CAF" w:rsidRPr="00DB7CAF" w:rsidRDefault="00DB7CAF" w:rsidP="00DB7CAF">
      <w:pPr>
        <w:rPr>
          <w:rFonts w:ascii="Times New Roman" w:hAnsi="Times New Roman"/>
          <w:b/>
          <w:bCs/>
          <w:sz w:val="24"/>
          <w:szCs w:val="24"/>
        </w:rPr>
      </w:pPr>
      <w:r w:rsidRPr="00DB7CAF">
        <w:rPr>
          <w:rFonts w:ascii="Times New Roman" w:hAnsi="Times New Roman"/>
          <w:b/>
          <w:sz w:val="24"/>
          <w:szCs w:val="24"/>
        </w:rPr>
        <w:t xml:space="preserve">Legal lesson learned: Follow the </w:t>
      </w:r>
      <w:r w:rsidRPr="00DB7CAF">
        <w:rPr>
          <w:rFonts w:ascii="Times New Roman" w:hAnsi="Times New Roman"/>
          <w:b/>
          <w:bCs/>
          <w:sz w:val="24"/>
          <w:szCs w:val="24"/>
        </w:rPr>
        <w:t xml:space="preserve">normal </w:t>
      </w:r>
      <w:r w:rsidRPr="00DB7CAF">
        <w:rPr>
          <w:rFonts w:ascii="Times New Roman" w:hAnsi="Times New Roman"/>
          <w:b/>
          <w:sz w:val="24"/>
          <w:szCs w:val="24"/>
        </w:rPr>
        <w:t xml:space="preserve">promotion process, including </w:t>
      </w:r>
      <w:r w:rsidRPr="00DB7CAF">
        <w:rPr>
          <w:rFonts w:ascii="Times New Roman" w:hAnsi="Times New Roman"/>
          <w:b/>
          <w:bCs/>
          <w:sz w:val="24"/>
          <w:szCs w:val="24"/>
        </w:rPr>
        <w:t>use of an</w:t>
      </w:r>
      <w:r w:rsidRPr="00DB7CAF">
        <w:rPr>
          <w:rFonts w:ascii="Times New Roman" w:hAnsi="Times New Roman"/>
          <w:b/>
          <w:sz w:val="24"/>
          <w:szCs w:val="24"/>
        </w:rPr>
        <w:t xml:space="preserve"> outside Assessment Panel doing ranking order. unless all applicants </w:t>
      </w:r>
      <w:r w:rsidRPr="00DB7CAF">
        <w:rPr>
          <w:rFonts w:ascii="Times New Roman" w:hAnsi="Times New Roman"/>
          <w:b/>
          <w:bCs/>
          <w:sz w:val="24"/>
          <w:szCs w:val="24"/>
        </w:rPr>
        <w:t xml:space="preserve">voluntarily </w:t>
      </w:r>
      <w:r w:rsidRPr="00DB7CAF">
        <w:rPr>
          <w:rFonts w:ascii="Times New Roman" w:hAnsi="Times New Roman"/>
          <w:b/>
          <w:sz w:val="24"/>
          <w:szCs w:val="24"/>
        </w:rPr>
        <w:t xml:space="preserve">agree </w:t>
      </w:r>
      <w:r w:rsidRPr="00DB7CAF">
        <w:rPr>
          <w:rFonts w:ascii="Times New Roman" w:hAnsi="Times New Roman"/>
          <w:b/>
          <w:bCs/>
          <w:sz w:val="24"/>
          <w:szCs w:val="24"/>
        </w:rPr>
        <w:t xml:space="preserve">in writing </w:t>
      </w:r>
      <w:r w:rsidRPr="00DB7CAF">
        <w:rPr>
          <w:rFonts w:ascii="Times New Roman" w:hAnsi="Times New Roman"/>
          <w:b/>
          <w:sz w:val="24"/>
          <w:szCs w:val="24"/>
        </w:rPr>
        <w:t xml:space="preserve">to the change. </w:t>
      </w:r>
    </w:p>
    <w:p w14:paraId="1BCC75B2" w14:textId="77777777" w:rsidR="004C2EC5" w:rsidRDefault="004C2EC5" w:rsidP="004C2EC5">
      <w:pPr>
        <w:pStyle w:val="NoSpacing"/>
        <w:rPr>
          <w:rFonts w:ascii="Arial Black" w:hAnsi="Arial Black"/>
          <w:b/>
          <w:bCs/>
          <w:sz w:val="24"/>
          <w:szCs w:val="24"/>
        </w:rPr>
      </w:pPr>
    </w:p>
    <w:p w14:paraId="65D5E237" w14:textId="77777777" w:rsidR="004C2EC5" w:rsidRDefault="004C2EC5" w:rsidP="004C2EC5">
      <w:pPr>
        <w:pStyle w:val="NoSpacing"/>
        <w:rPr>
          <w:rFonts w:ascii="Arial Black" w:hAnsi="Arial Black"/>
          <w:b/>
          <w:bCs/>
          <w:sz w:val="24"/>
          <w:szCs w:val="24"/>
        </w:rPr>
      </w:pPr>
    </w:p>
    <w:p w14:paraId="090D1872" w14:textId="0DCBFDD7" w:rsidR="004C2EC5" w:rsidRDefault="004C2EC5" w:rsidP="004C2EC5">
      <w:pPr>
        <w:pStyle w:val="NoSpacing"/>
        <w:rPr>
          <w:rFonts w:ascii="Arial Black" w:hAnsi="Arial Black"/>
          <w:b/>
          <w:bCs/>
          <w:sz w:val="24"/>
          <w:szCs w:val="24"/>
        </w:rPr>
      </w:pPr>
      <w:r>
        <w:rPr>
          <w:rFonts w:ascii="Arial Black" w:hAnsi="Arial Black"/>
          <w:b/>
          <w:bCs/>
          <w:sz w:val="24"/>
          <w:szCs w:val="24"/>
        </w:rPr>
        <w:t>7-77</w:t>
      </w:r>
    </w:p>
    <w:p w14:paraId="7FA68AD2" w14:textId="77777777" w:rsidR="00DB7CAF" w:rsidRDefault="00DB7CAF" w:rsidP="00BD31D3">
      <w:pPr>
        <w:pStyle w:val="NoSpacing"/>
        <w:rPr>
          <w:rFonts w:ascii="Arial Black" w:hAnsi="Arial Black"/>
          <w:b/>
          <w:bCs/>
          <w:sz w:val="24"/>
          <w:szCs w:val="24"/>
        </w:rPr>
      </w:pPr>
    </w:p>
    <w:p w14:paraId="346B078A" w14:textId="77777777" w:rsidR="004C2EC5" w:rsidRDefault="004C2EC5" w:rsidP="00BD31D3">
      <w:pPr>
        <w:pStyle w:val="NoSpacing"/>
        <w:rPr>
          <w:rFonts w:ascii="Arial Black" w:hAnsi="Arial Black"/>
          <w:b/>
          <w:bCs/>
          <w:sz w:val="24"/>
          <w:szCs w:val="24"/>
        </w:rPr>
      </w:pPr>
    </w:p>
    <w:p w14:paraId="1C3EEDAA" w14:textId="77777777" w:rsidR="00A307BA" w:rsidRPr="00EB6137" w:rsidRDefault="00A307BA" w:rsidP="00A307BA">
      <w:pPr>
        <w:rPr>
          <w:rFonts w:ascii="Arial Black" w:hAnsi="Arial Black"/>
          <w:sz w:val="28"/>
          <w:szCs w:val="28"/>
        </w:rPr>
      </w:pPr>
      <w:r>
        <w:rPr>
          <w:rFonts w:ascii="Arial Black" w:hAnsi="Arial Black"/>
          <w:sz w:val="28"/>
          <w:szCs w:val="28"/>
        </w:rPr>
        <w:t>KS: FEMALE NOT PROMOTED - HR DIDN’T REVIEW SCORES</w:t>
      </w:r>
    </w:p>
    <w:p w14:paraId="291D43F0" w14:textId="35304A21" w:rsidR="00F40B03" w:rsidRPr="005A38AE" w:rsidRDefault="00A307BA" w:rsidP="00A307BA">
      <w:pPr>
        <w:pStyle w:val="NoSpacing"/>
        <w:rPr>
          <w:rFonts w:ascii="Times New Roman" w:hAnsi="Times New Roman"/>
          <w:b/>
          <w:bCs/>
          <w:sz w:val="24"/>
          <w:szCs w:val="24"/>
        </w:rPr>
      </w:pPr>
      <w:r w:rsidRPr="005A38AE">
        <w:rPr>
          <w:rFonts w:ascii="Times New Roman" w:hAnsi="Times New Roman"/>
          <w:sz w:val="24"/>
          <w:szCs w:val="24"/>
        </w:rPr>
        <w:t xml:space="preserve">On May 30, 2025, in </w:t>
      </w:r>
      <w:r w:rsidRPr="005A38AE">
        <w:rPr>
          <w:rFonts w:ascii="Times New Roman" w:hAnsi="Times New Roman"/>
          <w:sz w:val="24"/>
          <w:szCs w:val="24"/>
          <w:u w:val="single"/>
        </w:rPr>
        <w:t>Barbara Hack v. City of Topeka, Kansas</w:t>
      </w:r>
      <w:r w:rsidRPr="005A38AE">
        <w:rPr>
          <w:rFonts w:ascii="Times New Roman" w:hAnsi="Times New Roman"/>
          <w:sz w:val="24"/>
          <w:szCs w:val="24"/>
        </w:rPr>
        <w:t xml:space="preserve">, U.S. District Court Judge Julie A. Robinson, United States District Court for the District of Kansas, denied the City’s motion for summary judgment; retired Captain Hack can now proceed to jury trial.  “In sum, the Court finds that the City’s failure to utilize H.R. during the promotion process is the type of procedural irregularity that calls into question whether the City’s stated reason for failing to promote Plaintiff is a pretext for discrimination.”  In 2022, the Fire Department had several senior management positions open, including four District Chief positions.  </w:t>
      </w:r>
      <w:proofErr w:type="gramStart"/>
      <w:r w:rsidRPr="005A38AE">
        <w:rPr>
          <w:rFonts w:ascii="Times New Roman" w:hAnsi="Times New Roman"/>
          <w:sz w:val="24"/>
          <w:szCs w:val="24"/>
        </w:rPr>
        <w:t>So</w:t>
      </w:r>
      <w:proofErr w:type="gramEnd"/>
      <w:r w:rsidRPr="005A38AE">
        <w:rPr>
          <w:rFonts w:ascii="Times New Roman" w:hAnsi="Times New Roman"/>
          <w:sz w:val="24"/>
          <w:szCs w:val="24"/>
        </w:rPr>
        <w:t xml:space="preserve"> Fire Chief decided to “streamline” the process, where one Panel would consider all seven applicants for the four positions, instead holding four separate promotion Panel interviews. The Panel included one internal member (Deputy Fire Chief Antony Standifer) and three external member (an attorney / former counsel for union; retired Kansas City Fire Chief; Deputy Fire Chief of Olathe Fire Department) and they rated Plaintiff 6</w:t>
      </w:r>
      <w:r w:rsidRPr="005A38AE">
        <w:rPr>
          <w:rFonts w:ascii="Times New Roman" w:hAnsi="Times New Roman"/>
          <w:sz w:val="24"/>
          <w:szCs w:val="24"/>
          <w:vertAlign w:val="superscript"/>
        </w:rPr>
        <w:t>th</w:t>
      </w:r>
      <w:r w:rsidRPr="005A38AE">
        <w:rPr>
          <w:rFonts w:ascii="Times New Roman" w:hAnsi="Times New Roman"/>
          <w:sz w:val="24"/>
          <w:szCs w:val="24"/>
        </w:rPr>
        <w:t xml:space="preserve"> of the 7 candidates (score of 131; top four were 171, 168, 164, 161).  The Director of HR testified that scores by Deputy Fire Chief Standifer would be “outliers” had H.R. reviewed them before the offers were made; he scored plaintiff only 23, compared to her ratings by others of 41, 34. 34]. THE COURT HELD: “However, when the totality of the evidence is reviewed, including the minimal role played by the City’s H.R. department, a reasonable jury could determine that the City’s stated reason for not promoting Plaintiff is pretext for gender discrimination…. H.R. was not used to </w:t>
      </w:r>
      <w:proofErr w:type="gramStart"/>
      <w:r w:rsidRPr="005A38AE">
        <w:rPr>
          <w:rFonts w:ascii="Times New Roman" w:hAnsi="Times New Roman"/>
          <w:sz w:val="24"/>
          <w:szCs w:val="24"/>
        </w:rPr>
        <w:t>review</w:t>
      </w:r>
      <w:proofErr w:type="gramEnd"/>
      <w:r w:rsidRPr="005A38AE">
        <w:rPr>
          <w:rFonts w:ascii="Times New Roman" w:hAnsi="Times New Roman"/>
          <w:sz w:val="24"/>
          <w:szCs w:val="24"/>
        </w:rPr>
        <w:t xml:space="preserve"> the interview questions or interview packets. H.R. was not used to review or provide Phillips with the applicants’ disciplinary histories. H.R. was not used to review the selections before job offers were made.”  </w:t>
      </w:r>
      <w:hyperlink r:id="rId1364" w:history="1">
        <w:r w:rsidRPr="005A38AE">
          <w:rPr>
            <w:rStyle w:val="Hyperlink"/>
            <w:rFonts w:ascii="Times New Roman" w:hAnsi="Times New Roman"/>
            <w:sz w:val="24"/>
            <w:szCs w:val="24"/>
          </w:rPr>
          <w:t>https://cases.justia.com/federal/district-courts/kansas/ksdce/2:2023cv02410/149154/93/0.pdf?ts=1748685326</w:t>
        </w:r>
      </w:hyperlink>
    </w:p>
    <w:p w14:paraId="00B463A5" w14:textId="77777777" w:rsidR="00A307BA" w:rsidRPr="005A38AE" w:rsidRDefault="00A307BA" w:rsidP="00F326E5">
      <w:pPr>
        <w:pStyle w:val="NoSpacing"/>
        <w:rPr>
          <w:rFonts w:ascii="Times New Roman" w:hAnsi="Times New Roman"/>
          <w:b/>
          <w:bCs/>
          <w:sz w:val="24"/>
          <w:szCs w:val="24"/>
        </w:rPr>
      </w:pPr>
    </w:p>
    <w:p w14:paraId="6593B960" w14:textId="77777777" w:rsidR="005A38AE" w:rsidRPr="005A38AE" w:rsidRDefault="005A38AE" w:rsidP="005A38AE">
      <w:pPr>
        <w:pStyle w:val="NoSpacing"/>
        <w:rPr>
          <w:rFonts w:ascii="Times New Roman" w:hAnsi="Times New Roman"/>
          <w:b/>
          <w:bCs/>
          <w:sz w:val="24"/>
          <w:szCs w:val="24"/>
        </w:rPr>
      </w:pPr>
      <w:r w:rsidRPr="005A38AE">
        <w:rPr>
          <w:rFonts w:ascii="Times New Roman" w:hAnsi="Times New Roman"/>
          <w:b/>
          <w:sz w:val="24"/>
          <w:szCs w:val="24"/>
        </w:rPr>
        <w:t xml:space="preserve">Legal Lesson learned: </w:t>
      </w:r>
      <w:r w:rsidRPr="005A38AE">
        <w:rPr>
          <w:rFonts w:ascii="Times New Roman" w:hAnsi="Times New Roman"/>
          <w:b/>
          <w:bCs/>
          <w:sz w:val="24"/>
          <w:szCs w:val="24"/>
        </w:rPr>
        <w:t xml:space="preserve">Follow normal promotion process, including </w:t>
      </w:r>
      <w:r w:rsidRPr="005A38AE">
        <w:rPr>
          <w:rFonts w:ascii="Times New Roman" w:hAnsi="Times New Roman"/>
          <w:b/>
          <w:sz w:val="24"/>
          <w:szCs w:val="24"/>
        </w:rPr>
        <w:t xml:space="preserve">HR reviewing Panel scores and providing Fire Chief with disciplinary history of candidates prior to promotion decisions. </w:t>
      </w:r>
    </w:p>
    <w:p w14:paraId="1DBEACFF" w14:textId="77777777" w:rsidR="00A307BA" w:rsidRPr="005A38AE" w:rsidRDefault="00A307BA" w:rsidP="00F326E5">
      <w:pPr>
        <w:pStyle w:val="NoSpacing"/>
        <w:rPr>
          <w:rFonts w:ascii="Times New Roman" w:hAnsi="Times New Roman"/>
          <w:b/>
          <w:bCs/>
          <w:sz w:val="24"/>
          <w:szCs w:val="24"/>
        </w:rPr>
      </w:pPr>
    </w:p>
    <w:p w14:paraId="7EFBC845" w14:textId="77777777" w:rsidR="00A307BA" w:rsidRDefault="00A307BA" w:rsidP="00F326E5">
      <w:pPr>
        <w:pStyle w:val="NoSpacing"/>
        <w:rPr>
          <w:rFonts w:ascii="Arial Black" w:hAnsi="Arial Black"/>
          <w:b/>
          <w:bCs/>
          <w:sz w:val="24"/>
          <w:szCs w:val="24"/>
        </w:rPr>
      </w:pPr>
    </w:p>
    <w:p w14:paraId="19F2C9B6" w14:textId="77777777" w:rsidR="00F40B03" w:rsidRDefault="00F40B03" w:rsidP="00F326E5">
      <w:pPr>
        <w:pStyle w:val="NoSpacing"/>
        <w:rPr>
          <w:rFonts w:ascii="Arial Black" w:hAnsi="Arial Black"/>
          <w:b/>
          <w:bCs/>
          <w:sz w:val="24"/>
          <w:szCs w:val="24"/>
        </w:rPr>
      </w:pPr>
    </w:p>
    <w:p w14:paraId="21104EFC" w14:textId="62C42600" w:rsidR="00571037" w:rsidRDefault="00571037" w:rsidP="00F326E5">
      <w:pPr>
        <w:pStyle w:val="NoSpacing"/>
        <w:rPr>
          <w:rFonts w:ascii="Arial Black" w:hAnsi="Arial Black"/>
          <w:b/>
          <w:bCs/>
          <w:sz w:val="24"/>
          <w:szCs w:val="24"/>
        </w:rPr>
      </w:pPr>
      <w:r>
        <w:rPr>
          <w:rFonts w:ascii="Arial Black" w:hAnsi="Arial Black"/>
          <w:b/>
          <w:bCs/>
          <w:sz w:val="24"/>
          <w:szCs w:val="24"/>
        </w:rPr>
        <w:t>7-76</w:t>
      </w:r>
    </w:p>
    <w:p w14:paraId="4ECDB932" w14:textId="77777777" w:rsidR="00571037" w:rsidRDefault="00571037" w:rsidP="00F326E5">
      <w:pPr>
        <w:pStyle w:val="NoSpacing"/>
        <w:rPr>
          <w:rFonts w:ascii="Arial Black" w:hAnsi="Arial Black"/>
          <w:b/>
          <w:bCs/>
          <w:sz w:val="24"/>
          <w:szCs w:val="24"/>
        </w:rPr>
      </w:pPr>
    </w:p>
    <w:p w14:paraId="3240C7D4" w14:textId="5D0AD8CE" w:rsidR="00F366B5" w:rsidRDefault="00F366B5" w:rsidP="00F366B5">
      <w:pPr>
        <w:pStyle w:val="NoSpacing"/>
        <w:rPr>
          <w:rFonts w:ascii="Arial Black" w:hAnsi="Arial Black"/>
          <w:b/>
          <w:sz w:val="28"/>
          <w:szCs w:val="28"/>
        </w:rPr>
      </w:pPr>
      <w:r w:rsidRPr="006F2B87">
        <w:rPr>
          <w:rFonts w:ascii="Arial Black" w:hAnsi="Arial Black"/>
          <w:b/>
          <w:sz w:val="28"/>
          <w:szCs w:val="28"/>
        </w:rPr>
        <w:t xml:space="preserve">CA: TOPLESS PHOTO – </w:t>
      </w:r>
      <w:r w:rsidR="00D90945">
        <w:rPr>
          <w:rFonts w:ascii="Arial Black" w:hAnsi="Arial Black"/>
          <w:b/>
          <w:sz w:val="28"/>
          <w:szCs w:val="28"/>
        </w:rPr>
        <w:t xml:space="preserve">WAS </w:t>
      </w:r>
      <w:r w:rsidRPr="006F2B87">
        <w:rPr>
          <w:rFonts w:ascii="Arial Black" w:hAnsi="Arial Black"/>
          <w:b/>
          <w:sz w:val="28"/>
          <w:szCs w:val="28"/>
        </w:rPr>
        <w:t xml:space="preserve">NOT </w:t>
      </w:r>
      <w:r w:rsidR="00D90945">
        <w:rPr>
          <w:rFonts w:ascii="Arial Black" w:hAnsi="Arial Black"/>
          <w:b/>
          <w:sz w:val="28"/>
          <w:szCs w:val="28"/>
        </w:rPr>
        <w:t xml:space="preserve">FEMALE </w:t>
      </w:r>
      <w:r w:rsidRPr="006F2B87">
        <w:rPr>
          <w:rFonts w:ascii="Arial Black" w:hAnsi="Arial Black"/>
          <w:b/>
          <w:sz w:val="28"/>
          <w:szCs w:val="28"/>
        </w:rPr>
        <w:t>PD CAPT</w:t>
      </w:r>
      <w:r>
        <w:rPr>
          <w:rFonts w:ascii="Arial Black" w:hAnsi="Arial Black"/>
          <w:b/>
          <w:bCs/>
          <w:sz w:val="28"/>
          <w:szCs w:val="28"/>
        </w:rPr>
        <w:t xml:space="preserve"> – MGT. INACTION </w:t>
      </w:r>
      <w:r w:rsidR="00D90945">
        <w:rPr>
          <w:rFonts w:ascii="Arial Black" w:hAnsi="Arial Black"/>
          <w:b/>
          <w:bCs/>
          <w:sz w:val="28"/>
          <w:szCs w:val="28"/>
        </w:rPr>
        <w:t>–</w:t>
      </w:r>
      <w:r>
        <w:rPr>
          <w:rFonts w:ascii="Arial Black" w:hAnsi="Arial Black"/>
          <w:b/>
          <w:bCs/>
          <w:sz w:val="28"/>
          <w:szCs w:val="28"/>
        </w:rPr>
        <w:t xml:space="preserve"> </w:t>
      </w:r>
      <w:r w:rsidR="00D90945">
        <w:rPr>
          <w:rFonts w:ascii="Arial Black" w:hAnsi="Arial Black"/>
          <w:b/>
          <w:bCs/>
          <w:sz w:val="28"/>
          <w:szCs w:val="28"/>
        </w:rPr>
        <w:t xml:space="preserve">JURY </w:t>
      </w:r>
      <w:r w:rsidRPr="006F2B87">
        <w:rPr>
          <w:rFonts w:ascii="Arial Black" w:hAnsi="Arial Black"/>
          <w:b/>
          <w:sz w:val="28"/>
          <w:szCs w:val="28"/>
        </w:rPr>
        <w:t xml:space="preserve">$4M </w:t>
      </w:r>
    </w:p>
    <w:p w14:paraId="718305C4" w14:textId="77777777" w:rsidR="00300DA5" w:rsidRDefault="00300DA5" w:rsidP="00F366B5">
      <w:pPr>
        <w:pStyle w:val="NoSpacing"/>
        <w:rPr>
          <w:rFonts w:ascii="Times New Roman" w:hAnsi="Times New Roman"/>
          <w:sz w:val="24"/>
          <w:szCs w:val="24"/>
        </w:rPr>
      </w:pPr>
    </w:p>
    <w:p w14:paraId="5AEEC49C" w14:textId="403FFABD" w:rsidR="00F366B5" w:rsidRPr="00F366B5" w:rsidRDefault="00F366B5" w:rsidP="00F366B5">
      <w:pPr>
        <w:pStyle w:val="NoSpacing"/>
        <w:rPr>
          <w:rFonts w:ascii="Times New Roman" w:hAnsi="Times New Roman"/>
          <w:bCs/>
          <w:sz w:val="24"/>
          <w:szCs w:val="24"/>
        </w:rPr>
      </w:pPr>
      <w:r w:rsidRPr="00F366B5">
        <w:rPr>
          <w:rFonts w:ascii="Times New Roman" w:hAnsi="Times New Roman"/>
          <w:sz w:val="24"/>
          <w:szCs w:val="24"/>
        </w:rPr>
        <w:t xml:space="preserve">On May 23, 2025, in </w:t>
      </w:r>
      <w:r w:rsidRPr="00F366B5">
        <w:rPr>
          <w:rFonts w:ascii="Times New Roman" w:hAnsi="Times New Roman"/>
          <w:sz w:val="24"/>
          <w:szCs w:val="24"/>
          <w:u w:val="single"/>
        </w:rPr>
        <w:t>Lillian Carranza v. City of Los Angeles</w:t>
      </w:r>
      <w:r w:rsidRPr="00F366B5">
        <w:rPr>
          <w:rFonts w:ascii="Times New Roman" w:hAnsi="Times New Roman"/>
          <w:sz w:val="24"/>
          <w:szCs w:val="24"/>
        </w:rPr>
        <w:t xml:space="preserve">, the Court of Appeal of California, Second Appellate District (Division Seven) held (3 to 0) that jury properly awarded the LA PD Captain $4 million, plus attorney fees of $610,050.  While the photo was </w:t>
      </w:r>
      <w:proofErr w:type="gramStart"/>
      <w:r w:rsidRPr="00F366B5">
        <w:rPr>
          <w:rFonts w:ascii="Times New Roman" w:hAnsi="Times New Roman"/>
          <w:sz w:val="24"/>
          <w:szCs w:val="24"/>
        </w:rPr>
        <w:t>actually not</w:t>
      </w:r>
      <w:proofErr w:type="gramEnd"/>
      <w:r w:rsidRPr="00F366B5">
        <w:rPr>
          <w:rFonts w:ascii="Times New Roman" w:hAnsi="Times New Roman"/>
          <w:sz w:val="24"/>
          <w:szCs w:val="24"/>
        </w:rPr>
        <w:t xml:space="preserve"> of Captain Carranza, many officers shared the photo and believed it was her.  </w:t>
      </w:r>
    </w:p>
    <w:p w14:paraId="14F96DEA" w14:textId="77777777" w:rsidR="00F366B5" w:rsidRPr="00F366B5" w:rsidRDefault="00F366B5" w:rsidP="00F366B5">
      <w:pPr>
        <w:pStyle w:val="NoSpacing"/>
        <w:rPr>
          <w:rFonts w:ascii="Times New Roman" w:hAnsi="Times New Roman"/>
          <w:bCs/>
          <w:sz w:val="24"/>
          <w:szCs w:val="24"/>
        </w:rPr>
      </w:pPr>
    </w:p>
    <w:p w14:paraId="3FFA6A4C" w14:textId="77777777" w:rsidR="00F366B5" w:rsidRPr="00F366B5" w:rsidRDefault="00F366B5" w:rsidP="00F366B5">
      <w:pPr>
        <w:pStyle w:val="NoSpacing"/>
        <w:rPr>
          <w:rFonts w:ascii="Times New Roman" w:hAnsi="Times New Roman"/>
          <w:bCs/>
          <w:sz w:val="24"/>
          <w:szCs w:val="24"/>
        </w:rPr>
      </w:pPr>
      <w:r w:rsidRPr="00F366B5">
        <w:rPr>
          <w:rFonts w:ascii="Times New Roman" w:hAnsi="Times New Roman"/>
          <w:sz w:val="24"/>
          <w:szCs w:val="24"/>
        </w:rPr>
        <w:t xml:space="preserve">The Court wrote: “On appeal, the City does not challenge the jury’s findings that the challenged conduct was unwelcome, that it occurred because of Carranza’s sex, and that the City failed to take immediate corrective action after learning that on-duty LAPD officers were viewing, electronically sharing, and joking with colleagues about the degrading photo of Carranza. Instead, the City contends only that there was insubstantial evidence that the harassment was sufficiently severe or pervasive to alter the conditions of Carranza’s employment and create an abusive work environment. *** We conclude substantial evidence supported the jury’s determination that Carranza endured severe or pervasive harassment that altered the conditions of her workplace, based on her secondhand knowledge that the photo was widely circulating around the Department.” </w:t>
      </w:r>
    </w:p>
    <w:p w14:paraId="04CCB99C" w14:textId="77777777" w:rsidR="00F366B5" w:rsidRDefault="00F366B5" w:rsidP="00F366B5">
      <w:pPr>
        <w:pStyle w:val="NoSpacing"/>
        <w:rPr>
          <w:rFonts w:ascii="Times New Roman" w:hAnsi="Times New Roman"/>
          <w:sz w:val="24"/>
          <w:szCs w:val="24"/>
        </w:rPr>
      </w:pPr>
      <w:hyperlink r:id="rId1365" w:history="1">
        <w:r w:rsidRPr="00F366B5">
          <w:rPr>
            <w:rStyle w:val="Hyperlink"/>
            <w:rFonts w:ascii="Times New Roman" w:hAnsi="Times New Roman"/>
            <w:sz w:val="24"/>
            <w:szCs w:val="24"/>
          </w:rPr>
          <w:t>https://cases.justia.com/california/court-of-appeal/2025-b327196.pdf?ts=1748039442</w:t>
        </w:r>
      </w:hyperlink>
      <w:r w:rsidRPr="00F366B5">
        <w:rPr>
          <w:rFonts w:ascii="Times New Roman" w:hAnsi="Times New Roman"/>
          <w:sz w:val="24"/>
          <w:szCs w:val="24"/>
        </w:rPr>
        <w:t xml:space="preserve"> </w:t>
      </w:r>
    </w:p>
    <w:p w14:paraId="13E63EFE" w14:textId="77777777" w:rsidR="00F366B5" w:rsidRDefault="00F366B5" w:rsidP="00F366B5">
      <w:pPr>
        <w:pStyle w:val="NoSpacing"/>
        <w:rPr>
          <w:rFonts w:ascii="Times New Roman" w:hAnsi="Times New Roman"/>
          <w:sz w:val="24"/>
          <w:szCs w:val="24"/>
        </w:rPr>
      </w:pPr>
    </w:p>
    <w:p w14:paraId="4D06125C" w14:textId="77777777" w:rsidR="004B09B1" w:rsidRPr="004B09B1" w:rsidRDefault="004B09B1" w:rsidP="004B09B1">
      <w:pPr>
        <w:pStyle w:val="NoSpacing"/>
        <w:rPr>
          <w:rFonts w:ascii="Times New Roman" w:hAnsi="Times New Roman"/>
          <w:b/>
          <w:bCs/>
          <w:sz w:val="24"/>
          <w:szCs w:val="24"/>
        </w:rPr>
      </w:pPr>
      <w:r w:rsidRPr="004B09B1">
        <w:rPr>
          <w:rFonts w:ascii="Times New Roman" w:hAnsi="Times New Roman"/>
          <w:b/>
          <w:sz w:val="24"/>
          <w:szCs w:val="24"/>
        </w:rPr>
        <w:t xml:space="preserve">Legal Lesson Learned: Given the widespread sharing of the photo, LAPD management needed to take prompt corrective action. </w:t>
      </w:r>
    </w:p>
    <w:p w14:paraId="7CFB2B3C" w14:textId="77777777" w:rsidR="004B09B1" w:rsidRPr="006F2B87" w:rsidRDefault="004B09B1" w:rsidP="004B09B1">
      <w:pPr>
        <w:pStyle w:val="NoSpacing"/>
      </w:pPr>
    </w:p>
    <w:p w14:paraId="662F98DB" w14:textId="77777777" w:rsidR="00F366B5" w:rsidRPr="00F366B5" w:rsidRDefault="00F366B5" w:rsidP="00F366B5">
      <w:pPr>
        <w:pStyle w:val="NoSpacing"/>
        <w:rPr>
          <w:rFonts w:ascii="Times New Roman" w:hAnsi="Times New Roman"/>
          <w:sz w:val="24"/>
          <w:szCs w:val="24"/>
        </w:rPr>
      </w:pPr>
    </w:p>
    <w:p w14:paraId="505ED953" w14:textId="77777777" w:rsidR="00571037" w:rsidRDefault="00571037" w:rsidP="00F326E5">
      <w:pPr>
        <w:pStyle w:val="NoSpacing"/>
        <w:rPr>
          <w:rFonts w:ascii="Arial Black" w:hAnsi="Arial Black"/>
          <w:b/>
          <w:bCs/>
          <w:sz w:val="24"/>
          <w:szCs w:val="24"/>
        </w:rPr>
      </w:pPr>
    </w:p>
    <w:p w14:paraId="212EF325" w14:textId="4E91F488" w:rsidR="006D679A" w:rsidRDefault="001E56C7" w:rsidP="00F326E5">
      <w:pPr>
        <w:pStyle w:val="NoSpacing"/>
        <w:rPr>
          <w:rFonts w:ascii="Arial Black" w:hAnsi="Arial Black"/>
          <w:b/>
          <w:bCs/>
          <w:sz w:val="24"/>
          <w:szCs w:val="24"/>
        </w:rPr>
      </w:pPr>
      <w:r>
        <w:rPr>
          <w:rFonts w:ascii="Arial Black" w:hAnsi="Arial Black"/>
          <w:b/>
          <w:bCs/>
          <w:sz w:val="24"/>
          <w:szCs w:val="24"/>
        </w:rPr>
        <w:t>7-7</w:t>
      </w:r>
      <w:r w:rsidR="006A6ED6">
        <w:rPr>
          <w:rFonts w:ascii="Arial Black" w:hAnsi="Arial Black"/>
          <w:b/>
          <w:bCs/>
          <w:sz w:val="24"/>
          <w:szCs w:val="24"/>
        </w:rPr>
        <w:t>5</w:t>
      </w:r>
    </w:p>
    <w:p w14:paraId="3EBABEE4" w14:textId="77777777" w:rsidR="001E56C7" w:rsidRDefault="001E56C7" w:rsidP="00F326E5">
      <w:pPr>
        <w:pStyle w:val="NoSpacing"/>
        <w:rPr>
          <w:rFonts w:ascii="Arial Black" w:hAnsi="Arial Black"/>
          <w:b/>
          <w:bCs/>
          <w:sz w:val="24"/>
          <w:szCs w:val="24"/>
        </w:rPr>
      </w:pPr>
    </w:p>
    <w:p w14:paraId="457FA534" w14:textId="77777777" w:rsidR="00A25870" w:rsidRPr="002D3594" w:rsidRDefault="00A25870" w:rsidP="00A25870">
      <w:pPr>
        <w:pStyle w:val="NoSpacing"/>
        <w:rPr>
          <w:rFonts w:ascii="Arial Black" w:hAnsi="Arial Black"/>
          <w:sz w:val="28"/>
          <w:szCs w:val="28"/>
        </w:rPr>
      </w:pPr>
      <w:r>
        <w:rPr>
          <w:rFonts w:ascii="Arial Black" w:hAnsi="Arial Black"/>
          <w:sz w:val="28"/>
          <w:szCs w:val="28"/>
        </w:rPr>
        <w:t xml:space="preserve">OH: FD APPLICANT – ALLEGEDLY RAPED BY RECRUITING LT. </w:t>
      </w:r>
    </w:p>
    <w:p w14:paraId="4CF192BB" w14:textId="77777777" w:rsidR="00A25870" w:rsidRDefault="00A25870" w:rsidP="00A25870">
      <w:pPr>
        <w:pStyle w:val="NoSpacing"/>
      </w:pPr>
    </w:p>
    <w:p w14:paraId="744CE87B" w14:textId="6A96FDC7" w:rsidR="00A25870" w:rsidRPr="001E56C7" w:rsidRDefault="00A25870" w:rsidP="00A25870">
      <w:pPr>
        <w:pStyle w:val="NoSpacing"/>
        <w:rPr>
          <w:rFonts w:ascii="Times New Roman" w:hAnsi="Times New Roman"/>
          <w:b/>
          <w:bCs/>
          <w:sz w:val="24"/>
          <w:szCs w:val="24"/>
        </w:rPr>
      </w:pPr>
      <w:r w:rsidRPr="001E56C7">
        <w:rPr>
          <w:rFonts w:ascii="Times New Roman" w:hAnsi="Times New Roman"/>
          <w:sz w:val="24"/>
          <w:szCs w:val="24"/>
        </w:rPr>
        <w:t xml:space="preserve">On March 19, 2025, in </w:t>
      </w:r>
      <w:r w:rsidRPr="001E56C7">
        <w:rPr>
          <w:rFonts w:ascii="Times New Roman" w:hAnsi="Times New Roman"/>
          <w:sz w:val="24"/>
          <w:szCs w:val="24"/>
          <w:u w:val="single"/>
        </w:rPr>
        <w:t>Rebecca Bryant v. City of Cincinnati, et al</w:t>
      </w:r>
      <w:r w:rsidRPr="001E56C7">
        <w:rPr>
          <w:rFonts w:ascii="Times New Roman" w:hAnsi="Times New Roman"/>
          <w:sz w:val="24"/>
          <w:szCs w:val="24"/>
        </w:rPr>
        <w:t xml:space="preserve">., U.S. District Court Judge Douglas R. Cole. U.S. District Court for Southern District of Ohio, Western Division, denied the city’s motion to dismiss claims of hostile work atmosphere, based on her allegation that she was raped by a Lieutenant – FD recruiting officer. The Court rejected the city’s argument that the alleged rape occurred before she was hired, and therefore as a non-employee she cannot claim hostile work atmosphere.  “The </w:t>
      </w:r>
      <w:proofErr w:type="gramStart"/>
      <w:r w:rsidRPr="001E56C7">
        <w:rPr>
          <w:rFonts w:ascii="Times New Roman" w:hAnsi="Times New Roman"/>
          <w:sz w:val="24"/>
          <w:szCs w:val="24"/>
        </w:rPr>
        <w:t>City</w:t>
      </w:r>
      <w:proofErr w:type="gramEnd"/>
      <w:r w:rsidRPr="001E56C7">
        <w:rPr>
          <w:rFonts w:ascii="Times New Roman" w:hAnsi="Times New Roman"/>
          <w:sz w:val="24"/>
          <w:szCs w:val="24"/>
        </w:rPr>
        <w:t xml:space="preserve"> next argues that the Court should dismiss Bryant's hostile-work-environment claims because the principal conduct of which she complains occurred while she was an applicant, not an employee…. True, Title VII applies only to employers. And a hostile work environment refers to conditions that an employee experienced during his or her employment…. But here, Bryant </w:t>
      </w:r>
      <w:r w:rsidRPr="001E56C7">
        <w:rPr>
          <w:rFonts w:ascii="Times New Roman" w:hAnsi="Times New Roman"/>
          <w:i/>
          <w:iCs/>
          <w:sz w:val="24"/>
          <w:szCs w:val="24"/>
        </w:rPr>
        <w:t>is</w:t>
      </w:r>
      <w:r w:rsidRPr="001E56C7">
        <w:rPr>
          <w:rFonts w:ascii="Times New Roman" w:hAnsi="Times New Roman"/>
          <w:sz w:val="24"/>
          <w:szCs w:val="24"/>
        </w:rPr>
        <w:t xml:space="preserve"> complaining about her experience as an employee. As noted above, in her Amended Complaint, she points to a host of alleged wrongs that happened to her while she was employed at CFD. True, she also points to the rape, and that occurred while she was an applicant, but that is, at least in part, to provide context for why working with [the Lieutenant] (while she was employed) might constitute a hostile work environment.”  </w:t>
      </w:r>
      <w:hyperlink r:id="rId1366" w:history="1">
        <w:r w:rsidRPr="001E56C7">
          <w:rPr>
            <w:rStyle w:val="Hyperlink"/>
            <w:rFonts w:ascii="Times New Roman" w:hAnsi="Times New Roman"/>
            <w:sz w:val="24"/>
            <w:szCs w:val="24"/>
          </w:rPr>
          <w:t>https://public.fastcase.com/jaEE2PXzRXmZ99jOLMt1IsID3yHeWup657c7MnfFCGnetXQu%2F2QtQOpoVmwfdEc%2F?utm_medium=email&amp;_hsenc=p2ANqtz-_zTSxdS0F5WCwBxFxJfAdL2TYRGfHTDF8aVNcZ9gK5T6kDk6rrKhGST-fn4w1vDtBgvaoCFHlAWmUNSPCbepcJBy8zVw&amp;_hsmi=226712652&amp;utm_content=226712652&amp;utm_source=hs_email</w:t>
        </w:r>
      </w:hyperlink>
    </w:p>
    <w:p w14:paraId="00B8E806" w14:textId="77777777" w:rsidR="0052426F" w:rsidRPr="001E56C7" w:rsidRDefault="0052426F" w:rsidP="00F326E5">
      <w:pPr>
        <w:pStyle w:val="NoSpacing"/>
        <w:rPr>
          <w:rFonts w:ascii="Times New Roman" w:hAnsi="Times New Roman"/>
          <w:b/>
          <w:bCs/>
          <w:sz w:val="24"/>
          <w:szCs w:val="24"/>
        </w:rPr>
      </w:pPr>
    </w:p>
    <w:p w14:paraId="13EED63C" w14:textId="77777777" w:rsidR="006E0FA5" w:rsidRPr="002729C0" w:rsidRDefault="006E0FA5" w:rsidP="006E0FA5">
      <w:pPr>
        <w:pStyle w:val="NoSpacing"/>
        <w:rPr>
          <w:rFonts w:ascii="Times New Roman" w:hAnsi="Times New Roman"/>
          <w:b/>
          <w:bCs/>
          <w:sz w:val="24"/>
          <w:szCs w:val="24"/>
        </w:rPr>
      </w:pPr>
      <w:r w:rsidRPr="002729C0">
        <w:rPr>
          <w:rFonts w:ascii="Times New Roman" w:hAnsi="Times New Roman"/>
          <w:b/>
          <w:sz w:val="24"/>
          <w:szCs w:val="24"/>
        </w:rPr>
        <w:lastRenderedPageBreak/>
        <w:t xml:space="preserve">Legal Lesson Learned: The City promptly </w:t>
      </w:r>
      <w:proofErr w:type="gramStart"/>
      <w:r w:rsidRPr="002729C0">
        <w:rPr>
          <w:rFonts w:ascii="Times New Roman" w:hAnsi="Times New Roman"/>
          <w:b/>
          <w:sz w:val="24"/>
          <w:szCs w:val="24"/>
        </w:rPr>
        <w:t>conducted an investigation</w:t>
      </w:r>
      <w:proofErr w:type="gramEnd"/>
      <w:r w:rsidRPr="002729C0">
        <w:rPr>
          <w:rFonts w:ascii="Times New Roman" w:hAnsi="Times New Roman"/>
          <w:b/>
          <w:sz w:val="24"/>
          <w:szCs w:val="24"/>
        </w:rPr>
        <w:t xml:space="preserve">; the case will now proceed with pre-trial discovery, including a review of the adequacy of the investigation. </w:t>
      </w:r>
    </w:p>
    <w:p w14:paraId="1E65912D" w14:textId="77777777" w:rsidR="0052426F" w:rsidRDefault="0052426F" w:rsidP="00F326E5">
      <w:pPr>
        <w:pStyle w:val="NoSpacing"/>
        <w:rPr>
          <w:rFonts w:ascii="Arial Black" w:hAnsi="Arial Black"/>
          <w:b/>
          <w:bCs/>
          <w:sz w:val="24"/>
          <w:szCs w:val="24"/>
        </w:rPr>
      </w:pPr>
    </w:p>
    <w:p w14:paraId="50F5BC4A" w14:textId="77777777" w:rsidR="00320105" w:rsidRDefault="00320105" w:rsidP="00F326E5">
      <w:pPr>
        <w:pStyle w:val="NoSpacing"/>
        <w:rPr>
          <w:rFonts w:ascii="Arial Black" w:hAnsi="Arial Black"/>
          <w:b/>
          <w:bCs/>
          <w:sz w:val="24"/>
          <w:szCs w:val="24"/>
        </w:rPr>
      </w:pPr>
    </w:p>
    <w:p w14:paraId="5D7DAE6F" w14:textId="0CC08688" w:rsidR="0052426F" w:rsidRDefault="00642CE9" w:rsidP="00F326E5">
      <w:pPr>
        <w:pStyle w:val="NoSpacing"/>
        <w:rPr>
          <w:rFonts w:ascii="Arial Black" w:hAnsi="Arial Black"/>
          <w:b/>
          <w:bCs/>
          <w:sz w:val="24"/>
          <w:szCs w:val="24"/>
        </w:rPr>
      </w:pPr>
      <w:r>
        <w:rPr>
          <w:rFonts w:ascii="Arial Black" w:hAnsi="Arial Black"/>
          <w:b/>
          <w:bCs/>
          <w:sz w:val="24"/>
          <w:szCs w:val="24"/>
        </w:rPr>
        <w:t>7-74</w:t>
      </w:r>
    </w:p>
    <w:p w14:paraId="2628F80B" w14:textId="77777777" w:rsidR="00320105" w:rsidRDefault="00320105" w:rsidP="00642CE9">
      <w:pPr>
        <w:rPr>
          <w:rFonts w:ascii="Arial Black" w:hAnsi="Arial Black"/>
          <w:sz w:val="28"/>
          <w:szCs w:val="28"/>
        </w:rPr>
      </w:pPr>
    </w:p>
    <w:p w14:paraId="0E4714DF" w14:textId="0DB2F9E1" w:rsidR="00642CE9" w:rsidRPr="00D13FB9" w:rsidRDefault="00642CE9" w:rsidP="00642CE9">
      <w:r>
        <w:rPr>
          <w:rFonts w:ascii="Arial Black" w:hAnsi="Arial Black"/>
          <w:sz w:val="28"/>
          <w:szCs w:val="28"/>
        </w:rPr>
        <w:t xml:space="preserve">DE: D/C RAPED CADET – 35 YRS PRISON - FIRE CHIEF SUED </w:t>
      </w:r>
    </w:p>
    <w:p w14:paraId="57F86795" w14:textId="77777777" w:rsidR="00642CE9" w:rsidRPr="000B584F" w:rsidRDefault="00642CE9" w:rsidP="00642CE9">
      <w:pPr>
        <w:pStyle w:val="NoSpacing"/>
        <w:rPr>
          <w:rFonts w:ascii="Times New Roman" w:hAnsi="Times New Roman"/>
          <w:sz w:val="24"/>
          <w:szCs w:val="24"/>
        </w:rPr>
      </w:pPr>
      <w:r w:rsidRPr="000B584F">
        <w:rPr>
          <w:rFonts w:ascii="Times New Roman" w:hAnsi="Times New Roman"/>
          <w:sz w:val="24"/>
          <w:szCs w:val="24"/>
        </w:rPr>
        <w:t xml:space="preserve">On March 5, 2025, in </w:t>
      </w:r>
      <w:r w:rsidRPr="000B584F">
        <w:rPr>
          <w:rFonts w:ascii="Times New Roman" w:hAnsi="Times New Roman"/>
          <w:sz w:val="24"/>
          <w:szCs w:val="24"/>
          <w:u w:val="single"/>
        </w:rPr>
        <w:t>Laura Liebal, as next friend and guardian of M.M., a minor v. Belvedere Fire Company, et al.</w:t>
      </w:r>
      <w:r w:rsidRPr="000B584F">
        <w:rPr>
          <w:rFonts w:ascii="Times New Roman" w:hAnsi="Times New Roman"/>
          <w:sz w:val="24"/>
          <w:szCs w:val="24"/>
        </w:rPr>
        <w:t xml:space="preserve">, Judge Charkes Butler, Superior Court of Delaware, denied the motion to dismiss the Fire Chief and Board members from this lawsuit. “The Amended Complaint alleges that in 2022, M.M., a 15-year-old minor girl, (‘Plaintiff’), volunteered with the Mill Creek Fire Company. During a joint training exercise between the Mill Creek Fire Company and Defendant Belvedere Volunteer Fire </w:t>
      </w:r>
      <w:proofErr w:type="gramStart"/>
      <w:r w:rsidRPr="000B584F">
        <w:rPr>
          <w:rFonts w:ascii="Times New Roman" w:hAnsi="Times New Roman"/>
          <w:sz w:val="24"/>
          <w:szCs w:val="24"/>
        </w:rPr>
        <w:t>Company (‘</w:t>
      </w:r>
      <w:proofErr w:type="gramEnd"/>
      <w:r w:rsidRPr="000B584F">
        <w:rPr>
          <w:rFonts w:ascii="Times New Roman" w:hAnsi="Times New Roman"/>
          <w:sz w:val="24"/>
          <w:szCs w:val="24"/>
        </w:rPr>
        <w:t xml:space="preserve">Belvedere’), the Deputy Fire Chief for Belvedere Dwayne </w:t>
      </w:r>
      <w:proofErr w:type="gramStart"/>
      <w:r w:rsidRPr="000B584F">
        <w:rPr>
          <w:rFonts w:ascii="Times New Roman" w:hAnsi="Times New Roman"/>
          <w:sz w:val="24"/>
          <w:szCs w:val="24"/>
        </w:rPr>
        <w:t>Pearson (‘</w:t>
      </w:r>
      <w:proofErr w:type="gramEnd"/>
      <w:r w:rsidRPr="000B584F">
        <w:rPr>
          <w:rFonts w:ascii="Times New Roman" w:hAnsi="Times New Roman"/>
          <w:sz w:val="24"/>
          <w:szCs w:val="24"/>
        </w:rPr>
        <w:t xml:space="preserve">Pearson’), began ‘flirting’ with Plaintiff. The Belvedere Fire Chief, Robert </w:t>
      </w:r>
      <w:proofErr w:type="gramStart"/>
      <w:r w:rsidRPr="000B584F">
        <w:rPr>
          <w:rFonts w:ascii="Times New Roman" w:hAnsi="Times New Roman"/>
          <w:sz w:val="24"/>
          <w:szCs w:val="24"/>
        </w:rPr>
        <w:t>Johnson (‘</w:t>
      </w:r>
      <w:proofErr w:type="gramEnd"/>
      <w:r w:rsidRPr="000B584F">
        <w:rPr>
          <w:rFonts w:ascii="Times New Roman" w:hAnsi="Times New Roman"/>
          <w:sz w:val="24"/>
          <w:szCs w:val="24"/>
        </w:rPr>
        <w:t xml:space="preserve">Johnson’), observed Pearson’s behavior. Johnson contacted the Mill Creek Fire Company and learned that Plaintiff was 15 years old. Johnson warned Pearson to ‘stay away’ from Plaintiff. But Pearson did not. The Amended Complaint says that Pearson used one of Belvedere’s vehicles to pick up Plaintiff and commit sex crimes on two separate days in August 2022.”  The Court held that while volunteer fire departments and Board members  have immunity, the Fire Chief can be sued personally if they acted with “wanton negligence.” </w:t>
      </w:r>
      <w:hyperlink r:id="rId1367" w:history="1">
        <w:r w:rsidRPr="000B584F">
          <w:rPr>
            <w:rStyle w:val="Hyperlink"/>
            <w:rFonts w:ascii="Times New Roman" w:hAnsi="Times New Roman"/>
            <w:sz w:val="24"/>
            <w:szCs w:val="24"/>
          </w:rPr>
          <w:t>https://cases.justia.com/delaware/superior-court/2025-n24c-08-154-ceb.pdf?ts=1741208566</w:t>
        </w:r>
      </w:hyperlink>
      <w:r w:rsidRPr="000B584F">
        <w:rPr>
          <w:rFonts w:ascii="Times New Roman" w:hAnsi="Times New Roman"/>
          <w:sz w:val="24"/>
          <w:szCs w:val="24"/>
        </w:rPr>
        <w:t xml:space="preserve"> </w:t>
      </w:r>
    </w:p>
    <w:p w14:paraId="01D61DEF" w14:textId="77777777" w:rsidR="00642CE9" w:rsidRPr="000B584F" w:rsidRDefault="00642CE9" w:rsidP="00F326E5">
      <w:pPr>
        <w:pStyle w:val="NoSpacing"/>
        <w:rPr>
          <w:rFonts w:ascii="Times New Roman" w:hAnsi="Times New Roman"/>
          <w:b/>
          <w:bCs/>
          <w:sz w:val="24"/>
          <w:szCs w:val="24"/>
        </w:rPr>
      </w:pPr>
    </w:p>
    <w:p w14:paraId="1F2B39E9" w14:textId="77777777" w:rsidR="000B584F" w:rsidRPr="000B584F" w:rsidRDefault="000B584F" w:rsidP="000B584F">
      <w:pPr>
        <w:pStyle w:val="NoSpacing"/>
        <w:rPr>
          <w:rFonts w:ascii="Times New Roman" w:hAnsi="Times New Roman"/>
          <w:b/>
          <w:sz w:val="24"/>
          <w:szCs w:val="24"/>
        </w:rPr>
      </w:pPr>
      <w:r w:rsidRPr="000B584F">
        <w:rPr>
          <w:rFonts w:ascii="Times New Roman" w:hAnsi="Times New Roman"/>
          <w:b/>
          <w:sz w:val="24"/>
          <w:szCs w:val="24"/>
        </w:rPr>
        <w:t xml:space="preserve">Legal Lesson Learned: Fire Chiefs must be very aggressive in investigating allegations of sexual and other forms of misconduct, particularly involving minors. </w:t>
      </w:r>
    </w:p>
    <w:p w14:paraId="58596986" w14:textId="77777777" w:rsidR="000B584F" w:rsidRPr="000B584F" w:rsidRDefault="000B584F" w:rsidP="000B584F">
      <w:pPr>
        <w:pStyle w:val="NoSpacing"/>
        <w:rPr>
          <w:rFonts w:ascii="Times New Roman" w:hAnsi="Times New Roman"/>
          <w:bCs/>
          <w:sz w:val="24"/>
          <w:szCs w:val="24"/>
        </w:rPr>
      </w:pPr>
    </w:p>
    <w:p w14:paraId="79321743" w14:textId="77777777" w:rsidR="000B584F" w:rsidRPr="000B584F" w:rsidRDefault="000B584F" w:rsidP="000B584F">
      <w:pPr>
        <w:pStyle w:val="NoSpacing"/>
        <w:ind w:left="720"/>
        <w:rPr>
          <w:rFonts w:ascii="Times New Roman" w:hAnsi="Times New Roman"/>
          <w:bCs/>
          <w:sz w:val="24"/>
          <w:szCs w:val="24"/>
        </w:rPr>
      </w:pPr>
      <w:r w:rsidRPr="000B584F">
        <w:rPr>
          <w:rFonts w:ascii="Times New Roman" w:hAnsi="Times New Roman"/>
          <w:sz w:val="24"/>
          <w:szCs w:val="24"/>
        </w:rPr>
        <w:t xml:space="preserve">Note: See June 14, </w:t>
      </w:r>
      <w:proofErr w:type="gramStart"/>
      <w:r w:rsidRPr="000B584F">
        <w:rPr>
          <w:rFonts w:ascii="Times New Roman" w:hAnsi="Times New Roman"/>
          <w:sz w:val="24"/>
          <w:szCs w:val="24"/>
        </w:rPr>
        <w:t>2024</w:t>
      </w:r>
      <w:proofErr w:type="gramEnd"/>
      <w:r w:rsidRPr="000B584F">
        <w:rPr>
          <w:rFonts w:ascii="Times New Roman" w:hAnsi="Times New Roman"/>
          <w:sz w:val="24"/>
          <w:szCs w:val="24"/>
        </w:rPr>
        <w:t xml:space="preserve"> article, “'Tell the truth now': Girl addresses rapist, former deputy fire chief at sentencing.”</w:t>
      </w:r>
    </w:p>
    <w:p w14:paraId="11B36086" w14:textId="77777777" w:rsidR="000B584F" w:rsidRPr="000B584F" w:rsidRDefault="000B584F" w:rsidP="000B584F">
      <w:pPr>
        <w:pStyle w:val="NoSpacing"/>
        <w:ind w:left="720"/>
        <w:rPr>
          <w:rFonts w:ascii="Times New Roman" w:hAnsi="Times New Roman"/>
          <w:bCs/>
          <w:sz w:val="24"/>
          <w:szCs w:val="24"/>
        </w:rPr>
      </w:pPr>
    </w:p>
    <w:p w14:paraId="298ABFD6" w14:textId="77777777" w:rsidR="000B584F" w:rsidRPr="000B584F" w:rsidRDefault="000B584F" w:rsidP="000B584F">
      <w:pPr>
        <w:pStyle w:val="NoSpacing"/>
        <w:ind w:left="1440"/>
        <w:rPr>
          <w:rFonts w:ascii="Times New Roman" w:hAnsi="Times New Roman"/>
          <w:bCs/>
          <w:sz w:val="24"/>
          <w:szCs w:val="24"/>
        </w:rPr>
      </w:pPr>
      <w:r w:rsidRPr="000B584F">
        <w:rPr>
          <w:rFonts w:ascii="Times New Roman" w:hAnsi="Times New Roman"/>
          <w:sz w:val="24"/>
          <w:szCs w:val="24"/>
        </w:rPr>
        <w:t xml:space="preserve">A girl raped by a former Belvedere deputy fire chief asked him in a courtroom Friday to admit what he had done. Her request was made shortly before Dwayne L. Pearson Jr. was sentenced to 35 years in prison for raping the girl he met through his job in 2022. She was 15 at the time of the </w:t>
      </w:r>
      <w:proofErr w:type="gramStart"/>
      <w:r w:rsidRPr="000B584F">
        <w:rPr>
          <w:rFonts w:ascii="Times New Roman" w:hAnsi="Times New Roman"/>
          <w:sz w:val="24"/>
          <w:szCs w:val="24"/>
        </w:rPr>
        <w:t>incidents</w:t>
      </w:r>
      <w:proofErr w:type="gramEnd"/>
      <w:r w:rsidRPr="000B584F">
        <w:rPr>
          <w:rFonts w:ascii="Times New Roman" w:hAnsi="Times New Roman"/>
          <w:sz w:val="24"/>
          <w:szCs w:val="24"/>
        </w:rPr>
        <w:t xml:space="preserve">. ‘Tell the truth now,’ she told the 41-year-old man who did not look at her, "... so I can find peace in my heart.’” </w:t>
      </w:r>
      <w:hyperlink r:id="rId1368" w:history="1">
        <w:r w:rsidRPr="000B584F">
          <w:rPr>
            <w:rStyle w:val="Hyperlink"/>
            <w:rFonts w:ascii="Times New Roman" w:hAnsi="Times New Roman"/>
            <w:sz w:val="24"/>
            <w:szCs w:val="24"/>
          </w:rPr>
          <w:t>https://www.yahoo.com/news/tell-truth-now-girl-addresses-164857744.html</w:t>
        </w:r>
      </w:hyperlink>
      <w:r w:rsidRPr="000B584F">
        <w:rPr>
          <w:rFonts w:ascii="Times New Roman" w:hAnsi="Times New Roman"/>
          <w:sz w:val="24"/>
          <w:szCs w:val="24"/>
        </w:rPr>
        <w:t xml:space="preserve"> </w:t>
      </w:r>
    </w:p>
    <w:p w14:paraId="3996A09C" w14:textId="77777777" w:rsidR="00642CE9" w:rsidRPr="000B584F" w:rsidRDefault="00642CE9" w:rsidP="00F326E5">
      <w:pPr>
        <w:pStyle w:val="NoSpacing"/>
        <w:rPr>
          <w:rFonts w:ascii="Times New Roman" w:hAnsi="Times New Roman"/>
          <w:b/>
          <w:bCs/>
          <w:sz w:val="24"/>
          <w:szCs w:val="24"/>
        </w:rPr>
      </w:pPr>
    </w:p>
    <w:p w14:paraId="24997622" w14:textId="77777777" w:rsidR="00642CE9" w:rsidRDefault="00642CE9" w:rsidP="00F326E5">
      <w:pPr>
        <w:pStyle w:val="NoSpacing"/>
        <w:rPr>
          <w:rFonts w:ascii="Arial Black" w:hAnsi="Arial Black"/>
          <w:b/>
          <w:bCs/>
          <w:sz w:val="24"/>
          <w:szCs w:val="24"/>
        </w:rPr>
      </w:pPr>
    </w:p>
    <w:p w14:paraId="29CAFFE2" w14:textId="77777777" w:rsidR="00642CE9" w:rsidRDefault="00642CE9" w:rsidP="00F326E5">
      <w:pPr>
        <w:pStyle w:val="NoSpacing"/>
        <w:rPr>
          <w:rFonts w:ascii="Arial Black" w:hAnsi="Arial Black"/>
          <w:b/>
          <w:bCs/>
          <w:sz w:val="24"/>
          <w:szCs w:val="24"/>
        </w:rPr>
      </w:pPr>
    </w:p>
    <w:p w14:paraId="4F98C50D" w14:textId="2E55B9F0" w:rsidR="0089221B" w:rsidRDefault="0086464C" w:rsidP="00F326E5">
      <w:pPr>
        <w:pStyle w:val="NoSpacing"/>
        <w:rPr>
          <w:rFonts w:ascii="Arial Black" w:hAnsi="Arial Black"/>
          <w:b/>
          <w:bCs/>
          <w:sz w:val="24"/>
          <w:szCs w:val="24"/>
        </w:rPr>
      </w:pPr>
      <w:r>
        <w:rPr>
          <w:rFonts w:ascii="Arial Black" w:hAnsi="Arial Black"/>
          <w:b/>
          <w:bCs/>
          <w:sz w:val="24"/>
          <w:szCs w:val="24"/>
        </w:rPr>
        <w:t>7-73</w:t>
      </w:r>
    </w:p>
    <w:p w14:paraId="7B4C1105" w14:textId="77777777" w:rsidR="0086464C" w:rsidRDefault="0086464C" w:rsidP="00F326E5">
      <w:pPr>
        <w:pStyle w:val="NoSpacing"/>
        <w:rPr>
          <w:rFonts w:ascii="Arial Black" w:hAnsi="Arial Black"/>
          <w:b/>
          <w:bCs/>
          <w:sz w:val="24"/>
          <w:szCs w:val="24"/>
        </w:rPr>
      </w:pPr>
    </w:p>
    <w:p w14:paraId="3FB93016" w14:textId="77777777" w:rsidR="00785AA7" w:rsidRDefault="007C5936" w:rsidP="007C5936">
      <w:pPr>
        <w:rPr>
          <w:rFonts w:ascii="Arial Black" w:hAnsi="Arial Black"/>
          <w:sz w:val="28"/>
          <w:szCs w:val="28"/>
        </w:rPr>
      </w:pPr>
      <w:r w:rsidRPr="000B7F2C">
        <w:rPr>
          <w:rFonts w:ascii="Arial Black" w:hAnsi="Arial Black"/>
          <w:sz w:val="28"/>
          <w:szCs w:val="28"/>
        </w:rPr>
        <w:t>TX: FEM</w:t>
      </w:r>
      <w:r w:rsidR="00FD5150">
        <w:rPr>
          <w:rFonts w:ascii="Arial Black" w:hAnsi="Arial Black"/>
          <w:sz w:val="28"/>
          <w:szCs w:val="28"/>
        </w:rPr>
        <w:t xml:space="preserve">. </w:t>
      </w:r>
      <w:r w:rsidRPr="000B7F2C">
        <w:rPr>
          <w:rFonts w:ascii="Arial Black" w:hAnsi="Arial Black"/>
          <w:sz w:val="28"/>
          <w:szCs w:val="28"/>
        </w:rPr>
        <w:t>DIR. EMS FIRED</w:t>
      </w:r>
      <w:r w:rsidR="00785AA7">
        <w:rPr>
          <w:rFonts w:ascii="Arial Black" w:hAnsi="Arial Black"/>
          <w:sz w:val="28"/>
          <w:szCs w:val="28"/>
        </w:rPr>
        <w:t xml:space="preserve"> (60s)</w:t>
      </w:r>
      <w:r w:rsidRPr="000B7F2C">
        <w:rPr>
          <w:rFonts w:ascii="Arial Black" w:hAnsi="Arial Black"/>
          <w:sz w:val="28"/>
          <w:szCs w:val="28"/>
        </w:rPr>
        <w:t xml:space="preserve"> – MALE</w:t>
      </w:r>
      <w:r w:rsidR="00785AA7">
        <w:rPr>
          <w:rFonts w:ascii="Arial Black" w:hAnsi="Arial Black"/>
          <w:sz w:val="28"/>
          <w:szCs w:val="28"/>
        </w:rPr>
        <w:t xml:space="preserve"> (35) HIRED</w:t>
      </w:r>
      <w:r w:rsidRPr="000B7F2C">
        <w:rPr>
          <w:rFonts w:ascii="Arial Black" w:hAnsi="Arial Black"/>
          <w:sz w:val="28"/>
          <w:szCs w:val="28"/>
        </w:rPr>
        <w:t xml:space="preserve"> – </w:t>
      </w:r>
      <w:r w:rsidR="00FD5150">
        <w:rPr>
          <w:rFonts w:ascii="Arial Black" w:hAnsi="Arial Black"/>
          <w:sz w:val="28"/>
          <w:szCs w:val="28"/>
        </w:rPr>
        <w:t>CASE PROCEED</w:t>
      </w:r>
    </w:p>
    <w:p w14:paraId="6153AD38" w14:textId="7AC32483" w:rsidR="00785AA7" w:rsidRPr="000B7F2C" w:rsidRDefault="00785AA7" w:rsidP="007C5936">
      <w:pPr>
        <w:rPr>
          <w:rFonts w:ascii="Arial Black" w:hAnsi="Arial Black"/>
          <w:sz w:val="28"/>
          <w:szCs w:val="28"/>
        </w:rPr>
      </w:pPr>
      <w:hyperlink r:id="rId1369" w:history="1">
        <w:r w:rsidRPr="00004FA3">
          <w:rPr>
            <w:rStyle w:val="Hyperlink"/>
            <w:rFonts w:ascii="Times New Roman" w:hAnsi="Times New Roman"/>
            <w:bCs/>
            <w:sz w:val="24"/>
            <w:szCs w:val="24"/>
          </w:rPr>
          <w:t>https://cases.justia.com/federal/district-courts/texas/txsdce/6:2022cv00002/1858056/21/0.pdf?ts=1664555743</w:t>
        </w:r>
      </w:hyperlink>
    </w:p>
    <w:p w14:paraId="11BD5B26" w14:textId="63E583D3" w:rsidR="004C28EA" w:rsidRPr="004C28EA" w:rsidRDefault="007C5936" w:rsidP="007C5936">
      <w:pPr>
        <w:rPr>
          <w:rFonts w:ascii="Times New Roman" w:hAnsi="Times New Roman"/>
          <w:bCs/>
          <w:sz w:val="24"/>
          <w:szCs w:val="24"/>
        </w:rPr>
      </w:pPr>
      <w:r w:rsidRPr="007C5936">
        <w:rPr>
          <w:rFonts w:ascii="Times New Roman" w:hAnsi="Times New Roman"/>
          <w:sz w:val="24"/>
          <w:szCs w:val="24"/>
        </w:rPr>
        <w:t xml:space="preserve">On Feb. 28, 2025, in </w:t>
      </w:r>
      <w:r w:rsidRPr="007C5936">
        <w:rPr>
          <w:rFonts w:ascii="Times New Roman" w:hAnsi="Times New Roman"/>
          <w:sz w:val="24"/>
          <w:szCs w:val="24"/>
          <w:u w:val="single"/>
        </w:rPr>
        <w:t>Debra Fishbeck v. Lavaca County, Texas, et al</w:t>
      </w:r>
      <w:r w:rsidRPr="007C5936">
        <w:rPr>
          <w:rFonts w:ascii="Times New Roman" w:hAnsi="Times New Roman"/>
          <w:sz w:val="24"/>
          <w:szCs w:val="24"/>
        </w:rPr>
        <w:t xml:space="preserve">., United States District Court Judge Drew B. Tipton, U.S. District Court for Southern District of Texas,  Victoria Division, held that the sexual discrimination and age discrimination claims may proceed to trial.  She is in her 60s; her replacement, Michael Furrh, 35-year-old male, was given large salary increase </w:t>
      </w:r>
      <w:proofErr w:type="gramStart"/>
      <w:r w:rsidRPr="007C5936">
        <w:rPr>
          <w:rFonts w:ascii="Times New Roman" w:hAnsi="Times New Roman"/>
          <w:sz w:val="24"/>
          <w:szCs w:val="24"/>
        </w:rPr>
        <w:t>and also</w:t>
      </w:r>
      <w:proofErr w:type="gramEnd"/>
      <w:r w:rsidRPr="007C5936">
        <w:rPr>
          <w:rFonts w:ascii="Times New Roman" w:hAnsi="Times New Roman"/>
          <w:sz w:val="24"/>
          <w:szCs w:val="24"/>
        </w:rPr>
        <w:t xml:space="preserve"> was allowed to hire a Deputy Director with increased budge.  She, however, cannot sue Furrh for libel or slander; he told local newspaper (without naming </w:t>
      </w:r>
      <w:r w:rsidRPr="007C5936">
        <w:rPr>
          <w:rFonts w:ascii="Times New Roman" w:hAnsi="Times New Roman"/>
          <w:sz w:val="24"/>
          <w:szCs w:val="24"/>
        </w:rPr>
        <w:lastRenderedPageBreak/>
        <w:t xml:space="preserve">her) and Board about missing DEA drug license and a problem with bed bugs at station; no proof false or malice on his part.  </w:t>
      </w:r>
      <w:hyperlink r:id="rId1370" w:history="1">
        <w:r w:rsidR="004C28EA" w:rsidRPr="004C28EA">
          <w:rPr>
            <w:rStyle w:val="Hyperlink"/>
            <w:rFonts w:ascii="Times New Roman" w:hAnsi="Times New Roman"/>
            <w:bCs/>
            <w:sz w:val="24"/>
            <w:szCs w:val="24"/>
          </w:rPr>
          <w:t>https://cases.justia.com/federal/district-courts/texas/txsdce/6:2022cv00002/1858056/21/0.pdf?ts=1664555743</w:t>
        </w:r>
      </w:hyperlink>
      <w:r w:rsidR="004C28EA" w:rsidRPr="004C28EA">
        <w:rPr>
          <w:rFonts w:ascii="Times New Roman" w:hAnsi="Times New Roman"/>
          <w:bCs/>
          <w:sz w:val="24"/>
          <w:szCs w:val="24"/>
        </w:rPr>
        <w:t xml:space="preserve"> </w:t>
      </w:r>
    </w:p>
    <w:p w14:paraId="38A41D60" w14:textId="77777777" w:rsidR="007C5936" w:rsidRPr="007C5936" w:rsidRDefault="007C5936" w:rsidP="007C5936">
      <w:pPr>
        <w:pStyle w:val="NoSpacing"/>
        <w:rPr>
          <w:rFonts w:ascii="Times New Roman" w:hAnsi="Times New Roman"/>
          <w:sz w:val="24"/>
          <w:szCs w:val="24"/>
        </w:rPr>
      </w:pPr>
      <w:r w:rsidRPr="007C5936">
        <w:rPr>
          <w:rFonts w:ascii="Times New Roman" w:hAnsi="Times New Roman"/>
          <w:sz w:val="24"/>
          <w:szCs w:val="24"/>
        </w:rPr>
        <w:t xml:space="preserve">The Court wrote: </w:t>
      </w:r>
    </w:p>
    <w:p w14:paraId="0B07BBFA" w14:textId="77777777" w:rsidR="007C5936" w:rsidRPr="007C5936" w:rsidRDefault="007C5936" w:rsidP="007C5936">
      <w:pPr>
        <w:pStyle w:val="NoSpacing"/>
        <w:rPr>
          <w:rFonts w:ascii="Times New Roman" w:hAnsi="Times New Roman"/>
          <w:sz w:val="24"/>
          <w:szCs w:val="24"/>
        </w:rPr>
      </w:pPr>
    </w:p>
    <w:p w14:paraId="42C31FF7" w14:textId="77777777" w:rsidR="007C5936" w:rsidRPr="007C5936" w:rsidRDefault="007C5936" w:rsidP="007C5936">
      <w:pPr>
        <w:pStyle w:val="NoSpacing"/>
        <w:ind w:left="720"/>
        <w:rPr>
          <w:rFonts w:ascii="Times New Roman" w:hAnsi="Times New Roman"/>
          <w:sz w:val="24"/>
          <w:szCs w:val="24"/>
        </w:rPr>
      </w:pPr>
      <w:r w:rsidRPr="007C5936">
        <w:rPr>
          <w:rFonts w:ascii="Times New Roman" w:hAnsi="Times New Roman"/>
          <w:sz w:val="24"/>
          <w:szCs w:val="24"/>
        </w:rPr>
        <w:t xml:space="preserve">“Defendants offer the following reasons for Fishbeck's termination, which they allege are legitimate and nondiscriminatory: (1) LCRS's operational revenue declined significantly for three years in a row; (2) LCRS received an unsatisfactory third-party audit of its bookkeeping; (3) an EMT resigned shortly after accepting a job with LCRS because of concerns with the department; (4) Fishbeck did not attend Lavaca County Medical Center meetings for several years; and (5) a lack of cleanliness at LCRS facilities. </w:t>
      </w:r>
    </w:p>
    <w:p w14:paraId="52AE1EC5" w14:textId="77777777" w:rsidR="007C5936" w:rsidRPr="007C5936" w:rsidRDefault="007C5936" w:rsidP="007C5936">
      <w:pPr>
        <w:pStyle w:val="NoSpacing"/>
        <w:rPr>
          <w:rFonts w:ascii="Times New Roman" w:hAnsi="Times New Roman"/>
          <w:sz w:val="24"/>
          <w:szCs w:val="24"/>
        </w:rPr>
      </w:pPr>
    </w:p>
    <w:p w14:paraId="7CDF55D0" w14:textId="77777777" w:rsidR="007C5936" w:rsidRPr="007C5936" w:rsidRDefault="007C5936" w:rsidP="007C5936">
      <w:pPr>
        <w:pStyle w:val="NoSpacing"/>
        <w:ind w:firstLine="720"/>
        <w:rPr>
          <w:rFonts w:ascii="Times New Roman" w:hAnsi="Times New Roman"/>
          <w:sz w:val="24"/>
          <w:szCs w:val="24"/>
        </w:rPr>
      </w:pPr>
      <w:r w:rsidRPr="007C5936">
        <w:rPr>
          <w:rFonts w:ascii="Times New Roman" w:hAnsi="Times New Roman"/>
          <w:sz w:val="24"/>
          <w:szCs w:val="24"/>
        </w:rPr>
        <w:t>***</w:t>
      </w:r>
    </w:p>
    <w:p w14:paraId="1EEBFC22" w14:textId="77777777" w:rsidR="007C5936" w:rsidRPr="007C5936" w:rsidRDefault="007C5936" w:rsidP="007C5936">
      <w:pPr>
        <w:pStyle w:val="NoSpacing"/>
        <w:rPr>
          <w:rFonts w:ascii="Times New Roman" w:hAnsi="Times New Roman"/>
          <w:sz w:val="24"/>
          <w:szCs w:val="24"/>
        </w:rPr>
      </w:pPr>
    </w:p>
    <w:p w14:paraId="5E3469A9" w14:textId="77777777" w:rsidR="007C5936" w:rsidRPr="007C5936" w:rsidRDefault="007C5936" w:rsidP="007C5936">
      <w:pPr>
        <w:pStyle w:val="NoSpacing"/>
        <w:ind w:left="720"/>
        <w:rPr>
          <w:rFonts w:ascii="Times New Roman" w:hAnsi="Times New Roman"/>
          <w:sz w:val="24"/>
          <w:szCs w:val="24"/>
        </w:rPr>
      </w:pPr>
      <w:r w:rsidRPr="007C5936">
        <w:rPr>
          <w:rFonts w:ascii="Times New Roman" w:hAnsi="Times New Roman"/>
          <w:sz w:val="24"/>
          <w:szCs w:val="24"/>
        </w:rPr>
        <w:t>Yet after they hired Furrh, he was given every resource (and more) that Fishbeck requested to fix those very deficiencies in the department. (</w:t>
      </w:r>
      <w:r w:rsidRPr="007C5936">
        <w:rPr>
          <w:rFonts w:ascii="Times New Roman" w:hAnsi="Times New Roman"/>
          <w:i/>
          <w:iCs/>
          <w:sz w:val="24"/>
          <w:szCs w:val="24"/>
        </w:rPr>
        <w:t>Id.</w:t>
      </w:r>
      <w:r w:rsidRPr="007C5936">
        <w:rPr>
          <w:rFonts w:ascii="Times New Roman" w:hAnsi="Times New Roman"/>
          <w:sz w:val="24"/>
          <w:szCs w:val="24"/>
        </w:rPr>
        <w:t xml:space="preserve"> at 4-5). In other words, Defendants knew about LCRS's problems, did not give Fishbeck the tools to succeed, and only considered the problems a terminable offense because they wanted to replace her with a man-one whom they equipped with the same resources they withheld from her…. Fishbeck's evidence, when viewed in the light most favorable to her, shows a genuine dispute about whether Defendants' proffered reasons are a pretext.</w:t>
      </w:r>
    </w:p>
    <w:p w14:paraId="1BC652E9" w14:textId="77777777" w:rsidR="007C5936" w:rsidRPr="007C5936" w:rsidRDefault="007C5936" w:rsidP="007C5936">
      <w:pPr>
        <w:pStyle w:val="NoSpacing"/>
        <w:rPr>
          <w:rFonts w:ascii="Times New Roman" w:hAnsi="Times New Roman"/>
          <w:sz w:val="24"/>
          <w:szCs w:val="24"/>
        </w:rPr>
      </w:pPr>
    </w:p>
    <w:p w14:paraId="2267784F" w14:textId="77777777" w:rsidR="007C5936" w:rsidRPr="007C5936" w:rsidRDefault="007C5936" w:rsidP="007C5936">
      <w:pPr>
        <w:pStyle w:val="NoSpacing"/>
        <w:ind w:firstLine="720"/>
        <w:rPr>
          <w:rFonts w:ascii="Times New Roman" w:hAnsi="Times New Roman"/>
          <w:sz w:val="24"/>
          <w:szCs w:val="24"/>
        </w:rPr>
      </w:pPr>
      <w:r w:rsidRPr="007C5936">
        <w:rPr>
          <w:rFonts w:ascii="Times New Roman" w:hAnsi="Times New Roman"/>
          <w:sz w:val="24"/>
          <w:szCs w:val="24"/>
        </w:rPr>
        <w:t>***</w:t>
      </w:r>
    </w:p>
    <w:p w14:paraId="767F22FF" w14:textId="77777777" w:rsidR="007C5936" w:rsidRPr="007C5936" w:rsidRDefault="007C5936" w:rsidP="007C5936">
      <w:pPr>
        <w:pStyle w:val="NoSpacing"/>
        <w:rPr>
          <w:rFonts w:ascii="Times New Roman" w:hAnsi="Times New Roman"/>
          <w:sz w:val="24"/>
          <w:szCs w:val="24"/>
        </w:rPr>
      </w:pPr>
    </w:p>
    <w:p w14:paraId="066E889A" w14:textId="77777777" w:rsidR="007C5936" w:rsidRPr="007C5936" w:rsidRDefault="007C5936" w:rsidP="007C5936">
      <w:pPr>
        <w:pStyle w:val="NoSpacing"/>
        <w:ind w:left="720"/>
        <w:rPr>
          <w:rFonts w:ascii="Times New Roman" w:hAnsi="Times New Roman"/>
          <w:sz w:val="24"/>
          <w:szCs w:val="24"/>
        </w:rPr>
      </w:pPr>
      <w:r w:rsidRPr="007C5936">
        <w:rPr>
          <w:rFonts w:ascii="Times New Roman" w:hAnsi="Times New Roman"/>
          <w:sz w:val="24"/>
          <w:szCs w:val="24"/>
        </w:rPr>
        <w:t>Fishbeck also offers the Lavaca County 2021 Fiscal Year Budget as evidence of disparate treatment between her and Furrh…. Among other things, the budget shows that the salary for the LCRS Director increased 27.73% after Fishbeck was fired. (</w:t>
      </w:r>
      <w:r w:rsidRPr="007C5936">
        <w:rPr>
          <w:rFonts w:ascii="Times New Roman" w:hAnsi="Times New Roman"/>
          <w:i/>
          <w:iCs/>
          <w:sz w:val="24"/>
          <w:szCs w:val="24"/>
        </w:rPr>
        <w:t>Id.</w:t>
      </w:r>
      <w:r w:rsidRPr="007C5936">
        <w:rPr>
          <w:rFonts w:ascii="Times New Roman" w:hAnsi="Times New Roman"/>
          <w:sz w:val="24"/>
          <w:szCs w:val="24"/>
        </w:rPr>
        <w:t xml:space="preserve"> at 3</w:t>
      </w:r>
      <w:proofErr w:type="gramStart"/>
      <w:r w:rsidRPr="007C5936">
        <w:rPr>
          <w:rFonts w:ascii="Times New Roman" w:hAnsi="Times New Roman"/>
          <w:sz w:val="24"/>
          <w:szCs w:val="24"/>
        </w:rPr>
        <w:t>);…</w:t>
      </w:r>
      <w:proofErr w:type="gramEnd"/>
      <w:r w:rsidRPr="007C5936">
        <w:rPr>
          <w:rFonts w:ascii="Times New Roman" w:hAnsi="Times New Roman"/>
          <w:sz w:val="24"/>
          <w:szCs w:val="24"/>
        </w:rPr>
        <w:t xml:space="preserve"> Fishbeck was paid $58,718 annually, while Furrh was paid $75,000….Fishbeck was not allotted a budget for an assistant; but in FY 2021, the Commissioners Court approved an allocation of $64,500 to hire an LCRS Assistant Director</w:t>
      </w:r>
      <w:proofErr w:type="gramStart"/>
      <w:r w:rsidRPr="007C5936">
        <w:rPr>
          <w:rFonts w:ascii="Times New Roman" w:hAnsi="Times New Roman"/>
          <w:sz w:val="24"/>
          <w:szCs w:val="24"/>
        </w:rPr>
        <w:t>…..</w:t>
      </w:r>
      <w:proofErr w:type="gramEnd"/>
      <w:r w:rsidRPr="007C5936">
        <w:rPr>
          <w:rFonts w:ascii="Times New Roman" w:hAnsi="Times New Roman"/>
          <w:sz w:val="24"/>
          <w:szCs w:val="24"/>
        </w:rPr>
        <w:t xml:space="preserve"> Fishbeck received no financial support from the County's General Fund to supplement LCRS's operations; but in 2021, the Commissioners Court approved a $1,000,000 transfer to supplement LCRS's revenue for Furrh.</w:t>
      </w:r>
    </w:p>
    <w:p w14:paraId="597B2814" w14:textId="77777777" w:rsidR="007C5936" w:rsidRPr="007C5936" w:rsidRDefault="007C5936" w:rsidP="007C5936">
      <w:pPr>
        <w:pStyle w:val="NoSpacing"/>
        <w:rPr>
          <w:rFonts w:ascii="Times New Roman" w:hAnsi="Times New Roman"/>
          <w:sz w:val="24"/>
          <w:szCs w:val="24"/>
        </w:rPr>
      </w:pPr>
    </w:p>
    <w:p w14:paraId="64BD6094" w14:textId="77777777" w:rsidR="007C5936" w:rsidRPr="007C5936" w:rsidRDefault="007C5936" w:rsidP="007C5936">
      <w:pPr>
        <w:pStyle w:val="NoSpacing"/>
        <w:ind w:firstLine="720"/>
        <w:rPr>
          <w:rFonts w:ascii="Times New Roman" w:hAnsi="Times New Roman"/>
          <w:sz w:val="24"/>
          <w:szCs w:val="24"/>
        </w:rPr>
      </w:pPr>
      <w:r w:rsidRPr="007C5936">
        <w:rPr>
          <w:rFonts w:ascii="Times New Roman" w:hAnsi="Times New Roman"/>
          <w:sz w:val="24"/>
          <w:szCs w:val="24"/>
        </w:rPr>
        <w:t>***</w:t>
      </w:r>
    </w:p>
    <w:p w14:paraId="502EFB63" w14:textId="77777777" w:rsidR="007C5936" w:rsidRPr="007C5936" w:rsidRDefault="007C5936" w:rsidP="007C5936">
      <w:pPr>
        <w:pStyle w:val="NoSpacing"/>
        <w:rPr>
          <w:rFonts w:ascii="Times New Roman" w:hAnsi="Times New Roman"/>
          <w:sz w:val="24"/>
          <w:szCs w:val="24"/>
        </w:rPr>
      </w:pPr>
    </w:p>
    <w:p w14:paraId="356ED4D7" w14:textId="77777777" w:rsidR="007C5936" w:rsidRPr="007C5936" w:rsidRDefault="007C5936" w:rsidP="007C5936">
      <w:pPr>
        <w:pStyle w:val="NoSpacing"/>
        <w:ind w:left="720"/>
        <w:rPr>
          <w:rFonts w:ascii="Times New Roman" w:hAnsi="Times New Roman"/>
          <w:sz w:val="24"/>
          <w:szCs w:val="24"/>
        </w:rPr>
      </w:pPr>
      <w:r w:rsidRPr="007C5936">
        <w:rPr>
          <w:rFonts w:ascii="Times New Roman" w:hAnsi="Times New Roman"/>
          <w:sz w:val="24"/>
          <w:szCs w:val="24"/>
        </w:rPr>
        <w:t>As discussed above, Fishbeck has made out her prima facie case of intentional sex discrimination under Title VII and satisfied her burden of disputing Defendants' reasons for firing her.”</w:t>
      </w:r>
    </w:p>
    <w:p w14:paraId="77E807B4" w14:textId="77777777" w:rsidR="007C5936" w:rsidRPr="007C5936" w:rsidRDefault="007C5936" w:rsidP="007C5936">
      <w:pPr>
        <w:pStyle w:val="NoSpacing"/>
        <w:rPr>
          <w:rFonts w:ascii="Times New Roman" w:hAnsi="Times New Roman"/>
          <w:sz w:val="24"/>
          <w:szCs w:val="24"/>
        </w:rPr>
      </w:pPr>
    </w:p>
    <w:p w14:paraId="1B7C8F29" w14:textId="77777777" w:rsidR="007C5936" w:rsidRPr="007C5936" w:rsidRDefault="007C5936" w:rsidP="007C5936">
      <w:pPr>
        <w:pStyle w:val="NoSpacing"/>
        <w:rPr>
          <w:rFonts w:ascii="Times New Roman" w:hAnsi="Times New Roman"/>
          <w:b/>
          <w:bCs/>
          <w:sz w:val="24"/>
          <w:szCs w:val="24"/>
        </w:rPr>
      </w:pPr>
      <w:r w:rsidRPr="007C5936">
        <w:rPr>
          <w:rFonts w:ascii="Times New Roman" w:hAnsi="Times New Roman"/>
          <w:b/>
          <w:sz w:val="24"/>
          <w:szCs w:val="24"/>
        </w:rPr>
        <w:t>Legal Lesson Learned:  Giving 27% increase in salary to younger new hire ($75,000 v. $58,718) is certainly a “red flag” for a jury.  The case will now proceed to trial</w:t>
      </w:r>
      <w:r w:rsidRPr="007C5936">
        <w:rPr>
          <w:rFonts w:ascii="Times New Roman" w:hAnsi="Times New Roman"/>
          <w:b/>
          <w:bCs/>
          <w:sz w:val="24"/>
          <w:szCs w:val="24"/>
        </w:rPr>
        <w:t>.</w:t>
      </w:r>
    </w:p>
    <w:p w14:paraId="1D3208D4" w14:textId="77777777" w:rsidR="0086464C" w:rsidRPr="007C5936" w:rsidRDefault="0086464C" w:rsidP="00F326E5">
      <w:pPr>
        <w:pStyle w:val="NoSpacing"/>
        <w:rPr>
          <w:rFonts w:ascii="Times New Roman" w:hAnsi="Times New Roman"/>
          <w:b/>
          <w:bCs/>
          <w:sz w:val="24"/>
          <w:szCs w:val="24"/>
        </w:rPr>
      </w:pPr>
    </w:p>
    <w:p w14:paraId="6533EEB9" w14:textId="77777777" w:rsidR="0089221B" w:rsidRPr="007C5936" w:rsidRDefault="0089221B" w:rsidP="00F326E5">
      <w:pPr>
        <w:pStyle w:val="NoSpacing"/>
        <w:rPr>
          <w:rFonts w:ascii="Times New Roman" w:hAnsi="Times New Roman"/>
          <w:b/>
          <w:bCs/>
          <w:sz w:val="24"/>
          <w:szCs w:val="24"/>
        </w:rPr>
      </w:pPr>
    </w:p>
    <w:p w14:paraId="618C2FD1" w14:textId="77777777" w:rsidR="0089221B" w:rsidRDefault="0089221B" w:rsidP="00F326E5">
      <w:pPr>
        <w:pStyle w:val="NoSpacing"/>
        <w:rPr>
          <w:rFonts w:ascii="Arial Black" w:hAnsi="Arial Black"/>
          <w:b/>
          <w:bCs/>
          <w:sz w:val="24"/>
          <w:szCs w:val="24"/>
        </w:rPr>
      </w:pPr>
    </w:p>
    <w:p w14:paraId="68FB15DE" w14:textId="145A26B8" w:rsidR="00A84216" w:rsidRDefault="00A84216" w:rsidP="00F326E5">
      <w:pPr>
        <w:pStyle w:val="NoSpacing"/>
        <w:rPr>
          <w:rFonts w:ascii="Arial Black" w:hAnsi="Arial Black"/>
          <w:b/>
          <w:bCs/>
          <w:sz w:val="24"/>
          <w:szCs w:val="24"/>
        </w:rPr>
      </w:pPr>
      <w:r>
        <w:rPr>
          <w:rFonts w:ascii="Arial Black" w:hAnsi="Arial Black"/>
          <w:b/>
          <w:bCs/>
          <w:sz w:val="24"/>
          <w:szCs w:val="24"/>
        </w:rPr>
        <w:t>7-72</w:t>
      </w:r>
    </w:p>
    <w:p w14:paraId="51D6BECF" w14:textId="77777777" w:rsidR="00A84216" w:rsidRDefault="00A84216" w:rsidP="00F326E5">
      <w:pPr>
        <w:pStyle w:val="NoSpacing"/>
        <w:rPr>
          <w:rFonts w:ascii="Arial Black" w:hAnsi="Arial Black"/>
          <w:b/>
          <w:bCs/>
          <w:sz w:val="24"/>
          <w:szCs w:val="24"/>
        </w:rPr>
      </w:pPr>
    </w:p>
    <w:p w14:paraId="522704EB" w14:textId="77777777" w:rsidR="0089221B" w:rsidRPr="000B7F2C" w:rsidRDefault="0089221B" w:rsidP="0089221B">
      <w:pPr>
        <w:rPr>
          <w:rFonts w:ascii="Arial Black" w:hAnsi="Arial Black"/>
          <w:sz w:val="28"/>
          <w:szCs w:val="28"/>
        </w:rPr>
      </w:pPr>
      <w:r w:rsidRPr="000B7F2C">
        <w:rPr>
          <w:rFonts w:ascii="Arial Black" w:hAnsi="Arial Black"/>
          <w:sz w:val="28"/>
          <w:szCs w:val="28"/>
        </w:rPr>
        <w:t>NY: FIRED</w:t>
      </w:r>
      <w:r>
        <w:rPr>
          <w:rFonts w:ascii="Arial Black" w:hAnsi="Arial Black"/>
          <w:sz w:val="28"/>
          <w:szCs w:val="28"/>
        </w:rPr>
        <w:t xml:space="preserve"> - </w:t>
      </w:r>
      <w:r w:rsidRPr="000B7F2C">
        <w:rPr>
          <w:rFonts w:ascii="Arial Black" w:hAnsi="Arial Black"/>
          <w:sz w:val="28"/>
          <w:szCs w:val="28"/>
        </w:rPr>
        <w:t>PROTOCOL C</w:t>
      </w:r>
      <w:r>
        <w:rPr>
          <w:rFonts w:ascii="Arial Black" w:hAnsi="Arial Black"/>
          <w:sz w:val="28"/>
          <w:szCs w:val="28"/>
        </w:rPr>
        <w:t xml:space="preserve">OURSE </w:t>
      </w:r>
      <w:r w:rsidRPr="000B7F2C">
        <w:rPr>
          <w:rFonts w:ascii="Arial Black" w:hAnsi="Arial Black"/>
          <w:sz w:val="28"/>
          <w:szCs w:val="28"/>
        </w:rPr>
        <w:t xml:space="preserve"> - </w:t>
      </w:r>
      <w:r>
        <w:rPr>
          <w:rFonts w:ascii="Arial Black" w:hAnsi="Arial Black"/>
          <w:sz w:val="28"/>
          <w:szCs w:val="28"/>
        </w:rPr>
        <w:t>NOT HOSTILE WORK</w:t>
      </w:r>
    </w:p>
    <w:p w14:paraId="3DF47C12" w14:textId="77777777" w:rsidR="0089221B" w:rsidRPr="0089221B" w:rsidRDefault="0089221B" w:rsidP="0089221B">
      <w:pPr>
        <w:rPr>
          <w:rFonts w:ascii="Times New Roman" w:hAnsi="Times New Roman"/>
          <w:sz w:val="24"/>
          <w:szCs w:val="24"/>
        </w:rPr>
      </w:pPr>
      <w:r w:rsidRPr="0089221B">
        <w:rPr>
          <w:rFonts w:ascii="Times New Roman" w:hAnsi="Times New Roman"/>
          <w:sz w:val="24"/>
          <w:szCs w:val="24"/>
        </w:rPr>
        <w:t xml:space="preserve">On Feb. 17, 2025, in </w:t>
      </w:r>
      <w:r w:rsidRPr="0089221B">
        <w:rPr>
          <w:rFonts w:ascii="Times New Roman" w:hAnsi="Times New Roman"/>
          <w:sz w:val="24"/>
          <w:szCs w:val="24"/>
          <w:u w:val="single"/>
        </w:rPr>
        <w:t>Marcia Parke v. Assist Ambulance</w:t>
      </w:r>
      <w:r w:rsidRPr="0089221B">
        <w:rPr>
          <w:rFonts w:ascii="Times New Roman" w:hAnsi="Times New Roman"/>
          <w:sz w:val="24"/>
          <w:szCs w:val="24"/>
        </w:rPr>
        <w:t xml:space="preserve">, United States District Court Judge Orelia E. Merchant, U.S. District Court for Eastern District of New York, granted the defense motion to dismiss; she was fired for not completing protocol updated course by Dec. 29, 2020.  Her claims of gender and racial discrimination, retaliation, and hostile work environment dismissed – including  claim that there was a hostile workplace when </w:t>
      </w:r>
      <w:r w:rsidRPr="0089221B">
        <w:rPr>
          <w:rFonts w:ascii="Times New Roman" w:hAnsi="Times New Roman"/>
          <w:sz w:val="24"/>
          <w:szCs w:val="24"/>
        </w:rPr>
        <w:lastRenderedPageBreak/>
        <w:t xml:space="preserve">her Supervisor on December 23, </w:t>
      </w:r>
      <w:proofErr w:type="gramStart"/>
      <w:r w:rsidRPr="0089221B">
        <w:rPr>
          <w:rFonts w:ascii="Times New Roman" w:hAnsi="Times New Roman"/>
          <w:sz w:val="24"/>
          <w:szCs w:val="24"/>
        </w:rPr>
        <w:t>2020</w:t>
      </w:r>
      <w:proofErr w:type="gramEnd"/>
      <w:r w:rsidRPr="0089221B">
        <w:rPr>
          <w:rFonts w:ascii="Times New Roman" w:hAnsi="Times New Roman"/>
          <w:sz w:val="24"/>
          <w:szCs w:val="24"/>
        </w:rPr>
        <w:t xml:space="preserve"> ordered to take off her work jacket to confirm she was not wearing uniform shirt.  She had on “low cut” tee shirt.  </w:t>
      </w:r>
      <w:hyperlink r:id="rId1371" w:history="1">
        <w:r w:rsidRPr="0089221B">
          <w:rPr>
            <w:rStyle w:val="Hyperlink"/>
            <w:rFonts w:ascii="Times New Roman" w:hAnsi="Times New Roman"/>
            <w:sz w:val="24"/>
            <w:szCs w:val="24"/>
          </w:rPr>
          <w:t>https://cases.justia.com/federal/district-courts/new-york/nyedce/1:2023cv09066/507538/25/0.pdf?ts=1739862975%20https://media.cadc.uscourts.gov/orders/docs/2025/02/25-5028LDSD.pdf</w:t>
        </w:r>
      </w:hyperlink>
      <w:r w:rsidRPr="0089221B">
        <w:rPr>
          <w:rFonts w:ascii="Times New Roman" w:hAnsi="Times New Roman"/>
          <w:sz w:val="24"/>
          <w:szCs w:val="24"/>
        </w:rPr>
        <w:t xml:space="preserve"> </w:t>
      </w:r>
    </w:p>
    <w:p w14:paraId="67488A11" w14:textId="77777777" w:rsidR="0089221B" w:rsidRPr="0089221B" w:rsidRDefault="0089221B" w:rsidP="0089221B">
      <w:pPr>
        <w:rPr>
          <w:rFonts w:ascii="Times New Roman" w:hAnsi="Times New Roman"/>
          <w:sz w:val="24"/>
          <w:szCs w:val="24"/>
        </w:rPr>
      </w:pPr>
      <w:r w:rsidRPr="0089221B">
        <w:rPr>
          <w:rFonts w:ascii="Times New Roman" w:hAnsi="Times New Roman"/>
          <w:sz w:val="24"/>
          <w:szCs w:val="24"/>
        </w:rPr>
        <w:t>The Court wrote:</w:t>
      </w:r>
    </w:p>
    <w:p w14:paraId="64E58B9C" w14:textId="77777777" w:rsidR="0089221B" w:rsidRPr="0089221B" w:rsidRDefault="0089221B" w:rsidP="0089221B">
      <w:pPr>
        <w:pStyle w:val="NoSpacing"/>
        <w:ind w:firstLine="720"/>
        <w:rPr>
          <w:rFonts w:ascii="Times New Roman" w:hAnsi="Times New Roman"/>
          <w:sz w:val="24"/>
          <w:szCs w:val="24"/>
        </w:rPr>
      </w:pPr>
      <w:r w:rsidRPr="0089221B">
        <w:rPr>
          <w:rFonts w:ascii="Times New Roman" w:hAnsi="Times New Roman"/>
          <w:sz w:val="24"/>
          <w:szCs w:val="24"/>
        </w:rPr>
        <w:t>“Plaintiff alleges that, on or about December 23, 2020, she had spilled coffee on her shirt</w:t>
      </w:r>
    </w:p>
    <w:p w14:paraId="5529CCEB" w14:textId="77777777" w:rsidR="0089221B" w:rsidRPr="0089221B" w:rsidRDefault="0089221B" w:rsidP="0089221B">
      <w:pPr>
        <w:pStyle w:val="NoSpacing"/>
        <w:ind w:left="720"/>
        <w:rPr>
          <w:rFonts w:ascii="Times New Roman" w:hAnsi="Times New Roman"/>
          <w:sz w:val="24"/>
          <w:szCs w:val="24"/>
        </w:rPr>
      </w:pPr>
      <w:r w:rsidRPr="0089221B">
        <w:rPr>
          <w:rFonts w:ascii="Times New Roman" w:hAnsi="Times New Roman"/>
          <w:sz w:val="24"/>
          <w:szCs w:val="24"/>
        </w:rPr>
        <w:t>on her way to work and that because the shirt was soaked, she removed it…. While Plaintiff was at work, her supervisor Jason Cohen (“Cohen”) asked her whether she was wearing a work uniform shirt under her jacket….Plaintiff was wearing a ‘low-cut’ t-shirt under her jacket, and she responded that she was not wearing a uniform shirt…. She states that Cohen could have seen that she was not wearing her work uniform, but Cohen nonetheless asked that she unzip her jacket so that he could confirm Plaintiff was not wearing a work uniform shirt and ‘insisted [that] she unzip her jacket more so he could see more.… Plaintiff alleges that Cohen asked her to unzip her jacket a ‘third time’ thereby ‘exposing part of her [upper] breast.’ … Later that day, Plaintiff met with Cohen, Assistant Ambulance employees Carey Peguese [and another]…where she was informed that she would be suspended.</w:t>
      </w:r>
    </w:p>
    <w:p w14:paraId="3FA726C4" w14:textId="77777777" w:rsidR="0089221B" w:rsidRPr="0089221B" w:rsidRDefault="0089221B" w:rsidP="0089221B">
      <w:pPr>
        <w:pStyle w:val="NoSpacing"/>
        <w:rPr>
          <w:rFonts w:ascii="Times New Roman" w:hAnsi="Times New Roman"/>
          <w:sz w:val="24"/>
          <w:szCs w:val="24"/>
        </w:rPr>
      </w:pPr>
    </w:p>
    <w:p w14:paraId="0A870D6A" w14:textId="77777777" w:rsidR="0089221B" w:rsidRPr="0089221B" w:rsidRDefault="0089221B" w:rsidP="0089221B">
      <w:pPr>
        <w:pStyle w:val="NoSpacing"/>
        <w:ind w:firstLine="720"/>
        <w:rPr>
          <w:rFonts w:ascii="Times New Roman" w:hAnsi="Times New Roman"/>
          <w:sz w:val="24"/>
          <w:szCs w:val="24"/>
        </w:rPr>
      </w:pPr>
      <w:r w:rsidRPr="0089221B">
        <w:rPr>
          <w:rFonts w:ascii="Times New Roman" w:hAnsi="Times New Roman"/>
          <w:sz w:val="24"/>
          <w:szCs w:val="24"/>
        </w:rPr>
        <w:t>***</w:t>
      </w:r>
    </w:p>
    <w:p w14:paraId="7A1A57AC" w14:textId="77777777" w:rsidR="0089221B" w:rsidRPr="0089221B" w:rsidRDefault="0089221B" w:rsidP="0089221B">
      <w:pPr>
        <w:pStyle w:val="NoSpacing"/>
        <w:rPr>
          <w:rFonts w:ascii="Times New Roman" w:hAnsi="Times New Roman"/>
          <w:sz w:val="24"/>
          <w:szCs w:val="24"/>
        </w:rPr>
      </w:pPr>
    </w:p>
    <w:p w14:paraId="5FA25C37" w14:textId="77777777" w:rsidR="0089221B" w:rsidRPr="0089221B" w:rsidRDefault="0089221B" w:rsidP="0089221B">
      <w:pPr>
        <w:pStyle w:val="NoSpacing"/>
        <w:ind w:left="720"/>
        <w:rPr>
          <w:rFonts w:ascii="Times New Roman" w:hAnsi="Times New Roman"/>
          <w:sz w:val="24"/>
          <w:szCs w:val="24"/>
        </w:rPr>
      </w:pPr>
      <w:r w:rsidRPr="0089221B">
        <w:rPr>
          <w:rFonts w:ascii="Times New Roman" w:hAnsi="Times New Roman"/>
          <w:sz w:val="24"/>
          <w:szCs w:val="24"/>
        </w:rPr>
        <w:t>Plaintiff asserts a Title VII sex discrimination claim for harassment on numerous occasions, including the December 23, 2020 incident involving Cohen….to state a claim for hostile work environment, a plaintiff must plead facts that would tend to show the complained of conduct: (1) “is objectively severe or pervasive—that it creates an environment that a reasonable person would find hostile or abusive”; (2) creates an</w:t>
      </w:r>
    </w:p>
    <w:p w14:paraId="72B89832" w14:textId="77777777" w:rsidR="0089221B" w:rsidRPr="0089221B" w:rsidRDefault="0089221B" w:rsidP="0089221B">
      <w:pPr>
        <w:pStyle w:val="NoSpacing"/>
        <w:ind w:left="720"/>
        <w:rPr>
          <w:rFonts w:ascii="Times New Roman" w:hAnsi="Times New Roman"/>
          <w:sz w:val="24"/>
          <w:szCs w:val="24"/>
        </w:rPr>
      </w:pPr>
      <w:r w:rsidRPr="0089221B">
        <w:rPr>
          <w:rFonts w:ascii="Times New Roman" w:hAnsi="Times New Roman"/>
          <w:sz w:val="24"/>
          <w:szCs w:val="24"/>
        </w:rPr>
        <w:t>environment “that the plaintiff subjectively perceives as hostile or abusive”; and (3) ‘creates such an environment because of the plaintiff’s sex.’ Patane v. Clark, 508 F.3d 106, 113 (2d Cir. 2007) (citing Gregory v. Daly, 243 F.3d 687, 691–92 (2d Cir. 2001)) (cleaned up).”</w:t>
      </w:r>
    </w:p>
    <w:p w14:paraId="2EB3BDC9" w14:textId="77777777" w:rsidR="0089221B" w:rsidRPr="0089221B" w:rsidRDefault="0089221B" w:rsidP="0089221B">
      <w:pPr>
        <w:pStyle w:val="NoSpacing"/>
        <w:rPr>
          <w:rFonts w:ascii="Times New Roman" w:hAnsi="Times New Roman"/>
          <w:sz w:val="24"/>
          <w:szCs w:val="24"/>
        </w:rPr>
      </w:pPr>
    </w:p>
    <w:p w14:paraId="4084992B" w14:textId="77777777" w:rsidR="0089221B" w:rsidRPr="0089221B" w:rsidRDefault="0089221B" w:rsidP="0089221B">
      <w:pPr>
        <w:pStyle w:val="NoSpacing"/>
        <w:rPr>
          <w:rFonts w:ascii="Times New Roman" w:hAnsi="Times New Roman"/>
          <w:b/>
          <w:bCs/>
          <w:sz w:val="24"/>
          <w:szCs w:val="24"/>
        </w:rPr>
      </w:pPr>
      <w:r w:rsidRPr="0089221B">
        <w:rPr>
          <w:rFonts w:ascii="Times New Roman" w:hAnsi="Times New Roman"/>
          <w:b/>
          <w:sz w:val="24"/>
          <w:szCs w:val="24"/>
        </w:rPr>
        <w:t xml:space="preserve">Legal Lesson Learned: Hostile work environment claim based on her wearing tee shirt in place of her work shirt properly dismissed. </w:t>
      </w:r>
    </w:p>
    <w:p w14:paraId="39F4D599" w14:textId="77777777" w:rsidR="0089221B" w:rsidRPr="0089221B" w:rsidRDefault="0089221B" w:rsidP="0089221B">
      <w:pPr>
        <w:pStyle w:val="NoSpacing"/>
        <w:rPr>
          <w:rFonts w:ascii="Times New Roman" w:hAnsi="Times New Roman"/>
          <w:sz w:val="24"/>
          <w:szCs w:val="24"/>
        </w:rPr>
      </w:pPr>
    </w:p>
    <w:p w14:paraId="0C413F07" w14:textId="77777777" w:rsidR="00A84216" w:rsidRPr="0089221B" w:rsidRDefault="00A84216" w:rsidP="00F326E5">
      <w:pPr>
        <w:pStyle w:val="NoSpacing"/>
        <w:rPr>
          <w:rFonts w:ascii="Times New Roman" w:hAnsi="Times New Roman"/>
          <w:b/>
          <w:bCs/>
          <w:sz w:val="24"/>
          <w:szCs w:val="24"/>
        </w:rPr>
      </w:pPr>
    </w:p>
    <w:p w14:paraId="4CAAD10B" w14:textId="77777777" w:rsidR="00A84216" w:rsidRPr="0089221B" w:rsidRDefault="00A84216" w:rsidP="00F326E5">
      <w:pPr>
        <w:pStyle w:val="NoSpacing"/>
        <w:rPr>
          <w:rFonts w:ascii="Times New Roman" w:hAnsi="Times New Roman"/>
          <w:b/>
          <w:bCs/>
          <w:sz w:val="24"/>
          <w:szCs w:val="24"/>
        </w:rPr>
      </w:pPr>
    </w:p>
    <w:p w14:paraId="54E6D1B4" w14:textId="77777777" w:rsidR="00A84216" w:rsidRDefault="00A84216" w:rsidP="00F326E5">
      <w:pPr>
        <w:pStyle w:val="NoSpacing"/>
        <w:rPr>
          <w:rFonts w:ascii="Arial Black" w:hAnsi="Arial Black"/>
          <w:b/>
          <w:bCs/>
          <w:sz w:val="24"/>
          <w:szCs w:val="24"/>
        </w:rPr>
      </w:pPr>
    </w:p>
    <w:p w14:paraId="6455727A" w14:textId="502274C7" w:rsidR="000A5F54" w:rsidRDefault="000A5F54" w:rsidP="00F326E5">
      <w:pPr>
        <w:pStyle w:val="NoSpacing"/>
        <w:rPr>
          <w:rFonts w:ascii="Arial Black" w:hAnsi="Arial Black"/>
          <w:b/>
          <w:bCs/>
          <w:sz w:val="24"/>
          <w:szCs w:val="24"/>
        </w:rPr>
      </w:pPr>
      <w:r>
        <w:rPr>
          <w:rFonts w:ascii="Arial Black" w:hAnsi="Arial Black"/>
          <w:b/>
          <w:bCs/>
          <w:sz w:val="24"/>
          <w:szCs w:val="24"/>
        </w:rPr>
        <w:t>7-71</w:t>
      </w:r>
    </w:p>
    <w:p w14:paraId="697340CA" w14:textId="77777777" w:rsidR="00A84216" w:rsidRDefault="00A84216" w:rsidP="00F326E5">
      <w:pPr>
        <w:pStyle w:val="NoSpacing"/>
        <w:rPr>
          <w:rFonts w:ascii="Arial Black" w:hAnsi="Arial Black"/>
          <w:b/>
          <w:bCs/>
          <w:sz w:val="24"/>
          <w:szCs w:val="24"/>
        </w:rPr>
      </w:pPr>
    </w:p>
    <w:p w14:paraId="0B51A222" w14:textId="77777777" w:rsidR="00A84216" w:rsidRPr="000B7F2C" w:rsidRDefault="00A84216" w:rsidP="00A84216">
      <w:pPr>
        <w:rPr>
          <w:rFonts w:ascii="Arial Black" w:hAnsi="Arial Black"/>
          <w:b/>
          <w:sz w:val="28"/>
          <w:szCs w:val="28"/>
        </w:rPr>
      </w:pPr>
      <w:r w:rsidRPr="000B7F2C">
        <w:rPr>
          <w:rFonts w:ascii="Arial Black" w:hAnsi="Arial Black"/>
          <w:b/>
          <w:sz w:val="28"/>
          <w:szCs w:val="28"/>
        </w:rPr>
        <w:t>VA: NEG JOB REFERENCES – SHE “SWINGER” - NO CASE</w:t>
      </w:r>
    </w:p>
    <w:p w14:paraId="55C5A634" w14:textId="77777777" w:rsidR="00A84216" w:rsidRPr="00A84216" w:rsidRDefault="00A84216" w:rsidP="00A84216">
      <w:pPr>
        <w:rPr>
          <w:rFonts w:ascii="Times New Roman" w:hAnsi="Times New Roman"/>
          <w:sz w:val="24"/>
          <w:szCs w:val="24"/>
        </w:rPr>
      </w:pPr>
      <w:r w:rsidRPr="00A84216">
        <w:rPr>
          <w:rFonts w:ascii="Times New Roman" w:hAnsi="Times New Roman"/>
          <w:sz w:val="24"/>
          <w:szCs w:val="24"/>
        </w:rPr>
        <w:t xml:space="preserve">On Jan. 31, 2025, in </w:t>
      </w:r>
      <w:r w:rsidRPr="00A84216">
        <w:rPr>
          <w:rFonts w:ascii="Times New Roman" w:hAnsi="Times New Roman"/>
          <w:sz w:val="24"/>
          <w:szCs w:val="24"/>
          <w:u w:val="single"/>
        </w:rPr>
        <w:t>Natalie Lundberg v. Delta Response Team, LLC and Thomas Walton</w:t>
      </w:r>
      <w:r w:rsidRPr="00A84216">
        <w:rPr>
          <w:rFonts w:ascii="Times New Roman" w:hAnsi="Times New Roman"/>
          <w:sz w:val="24"/>
          <w:szCs w:val="24"/>
        </w:rPr>
        <w:t xml:space="preserve">, United States District Court Judge Jasmine H. Yoon, U.S. District Court for Western District of Virginia, Charlottesville Division, granted defense motion for summary judgment.  The plaintiff applied to two different municipal fire departments; DRT Vice President Tom Walton told the prospective employers she was a “swinger.” He claimed Lundberg had “a very different view on her private life” and that “her and her fiancé are open swingers and partiers and so forth.” </w:t>
      </w:r>
      <w:hyperlink r:id="rId1372" w:history="1">
        <w:r w:rsidRPr="00A84216">
          <w:rPr>
            <w:rStyle w:val="Hyperlink"/>
            <w:rFonts w:ascii="Times New Roman" w:hAnsi="Times New Roman"/>
            <w:sz w:val="24"/>
            <w:szCs w:val="24"/>
          </w:rPr>
          <w:t>https://casetext.com/case/lundberg-v-delta-response-team-llc-1</w:t>
        </w:r>
      </w:hyperlink>
      <w:r w:rsidRPr="00A84216">
        <w:rPr>
          <w:rFonts w:ascii="Times New Roman" w:hAnsi="Times New Roman"/>
          <w:sz w:val="24"/>
          <w:szCs w:val="24"/>
        </w:rPr>
        <w:t xml:space="preserve"> </w:t>
      </w:r>
    </w:p>
    <w:p w14:paraId="1A85FE09" w14:textId="77777777" w:rsidR="00A84216" w:rsidRPr="00A84216" w:rsidRDefault="00A84216" w:rsidP="00A84216">
      <w:pPr>
        <w:rPr>
          <w:rFonts w:ascii="Times New Roman" w:hAnsi="Times New Roman"/>
          <w:sz w:val="24"/>
          <w:szCs w:val="24"/>
        </w:rPr>
      </w:pPr>
      <w:r w:rsidRPr="00A84216">
        <w:rPr>
          <w:rFonts w:ascii="Times New Roman" w:hAnsi="Times New Roman"/>
          <w:sz w:val="24"/>
          <w:szCs w:val="24"/>
        </w:rPr>
        <w:t>The Court wrote:</w:t>
      </w:r>
    </w:p>
    <w:p w14:paraId="216F7211" w14:textId="77777777" w:rsidR="00A84216" w:rsidRPr="00A84216" w:rsidRDefault="00A84216" w:rsidP="00A84216">
      <w:pPr>
        <w:ind w:left="720"/>
        <w:rPr>
          <w:rFonts w:ascii="Times New Roman" w:hAnsi="Times New Roman"/>
          <w:sz w:val="24"/>
          <w:szCs w:val="24"/>
        </w:rPr>
      </w:pPr>
      <w:r w:rsidRPr="00A84216">
        <w:rPr>
          <w:rFonts w:ascii="Times New Roman" w:hAnsi="Times New Roman"/>
          <w:sz w:val="24"/>
          <w:szCs w:val="24"/>
        </w:rPr>
        <w:t xml:space="preserve">“Lundberg applied to two positions with municipal fire departments in late 2021 and early 2022. In November 2021, she applied to work as a firefighter for the City of Lynchburg Fire Department (‘City </w:t>
      </w:r>
      <w:r w:rsidRPr="00A84216">
        <w:rPr>
          <w:rFonts w:ascii="Times New Roman" w:hAnsi="Times New Roman"/>
          <w:sz w:val="24"/>
          <w:szCs w:val="24"/>
        </w:rPr>
        <w:lastRenderedPageBreak/>
        <w:t xml:space="preserve">of Lynchburg’)…. Following the background check, the City of Lynchburg informed Lundberg that she had not been selected for the position. </w:t>
      </w:r>
    </w:p>
    <w:p w14:paraId="4B77C500" w14:textId="77777777" w:rsidR="00A84216" w:rsidRPr="00A84216" w:rsidRDefault="00A84216" w:rsidP="00A84216">
      <w:pPr>
        <w:ind w:firstLine="720"/>
        <w:rPr>
          <w:rFonts w:ascii="Times New Roman" w:hAnsi="Times New Roman"/>
          <w:sz w:val="24"/>
          <w:szCs w:val="24"/>
        </w:rPr>
      </w:pPr>
      <w:r w:rsidRPr="00A84216">
        <w:rPr>
          <w:rFonts w:ascii="Times New Roman" w:hAnsi="Times New Roman"/>
          <w:sz w:val="24"/>
          <w:szCs w:val="24"/>
        </w:rPr>
        <w:t>***</w:t>
      </w:r>
    </w:p>
    <w:p w14:paraId="4CCD6E23" w14:textId="77777777" w:rsidR="00A84216" w:rsidRPr="00A84216" w:rsidRDefault="00A84216" w:rsidP="00A84216">
      <w:pPr>
        <w:ind w:left="720"/>
        <w:rPr>
          <w:rFonts w:ascii="Times New Roman" w:hAnsi="Times New Roman"/>
          <w:sz w:val="24"/>
          <w:szCs w:val="24"/>
        </w:rPr>
      </w:pPr>
      <w:r w:rsidRPr="00A84216">
        <w:rPr>
          <w:rFonts w:ascii="Times New Roman" w:hAnsi="Times New Roman"/>
          <w:sz w:val="24"/>
          <w:szCs w:val="24"/>
        </w:rPr>
        <w:t>Lundberg next applied for a position with Bedford County Fire and Rescue (“Bedford County”)…. On February 16, 2022, she received and accepted a conditional offer of employment, which was contingent on a background investigation and physical and psychological examinations…. Bedford County's background investigator spoke to Lundberg, Walton, and a couple personal references…. On March 7, 2022, Bedford County informed Lundberg that it was rescinding her conditional offer of employment…. The official who made the decision, Bedford County Fire and Rescue Chief Janet Blankenship, affirmatively states that it was not based on the background investigation report or the information Walton provided to the investigator….Instead, Blankenship explains that her decision was based on the results of Lundberg's psychological health evaluation.</w:t>
      </w:r>
    </w:p>
    <w:p w14:paraId="00070617" w14:textId="77777777" w:rsidR="00A84216" w:rsidRPr="00A84216" w:rsidRDefault="00A84216" w:rsidP="00A84216">
      <w:pPr>
        <w:rPr>
          <w:rFonts w:ascii="Times New Roman" w:hAnsi="Times New Roman"/>
          <w:sz w:val="24"/>
          <w:szCs w:val="24"/>
        </w:rPr>
      </w:pPr>
      <w:r w:rsidRPr="00A84216">
        <w:rPr>
          <w:rFonts w:ascii="Times New Roman" w:hAnsi="Times New Roman"/>
          <w:sz w:val="24"/>
          <w:szCs w:val="24"/>
        </w:rPr>
        <w:tab/>
        <w:t>***</w:t>
      </w:r>
    </w:p>
    <w:p w14:paraId="28815DE0" w14:textId="77777777" w:rsidR="00A84216" w:rsidRPr="00A84216" w:rsidRDefault="00A84216" w:rsidP="00A84216">
      <w:pPr>
        <w:ind w:left="720"/>
        <w:rPr>
          <w:rFonts w:ascii="Times New Roman" w:hAnsi="Times New Roman"/>
          <w:sz w:val="24"/>
          <w:szCs w:val="24"/>
        </w:rPr>
      </w:pPr>
      <w:r w:rsidRPr="00A84216">
        <w:rPr>
          <w:rFonts w:ascii="Times New Roman" w:hAnsi="Times New Roman"/>
          <w:sz w:val="24"/>
          <w:szCs w:val="24"/>
        </w:rPr>
        <w:t xml:space="preserve">With four independent references outright recommending against hiring Lundberg for the position, and one (Millner) sharing even more detailed allegations about her sex life, the record does not support a finding that Walton's comments made the City of Lynchburg less likely to hire her. While Lundberg suggests that Walton is well-known in the first-responder community, that fact does not create a jury question on this issue, particularly when all four references who </w:t>
      </w:r>
      <w:proofErr w:type="gramStart"/>
      <w:r w:rsidRPr="00A84216">
        <w:rPr>
          <w:rFonts w:ascii="Times New Roman" w:hAnsi="Times New Roman"/>
          <w:sz w:val="24"/>
          <w:szCs w:val="24"/>
        </w:rPr>
        <w:t>recommended against</w:t>
      </w:r>
      <w:proofErr w:type="gramEnd"/>
      <w:r w:rsidRPr="00A84216">
        <w:rPr>
          <w:rFonts w:ascii="Times New Roman" w:hAnsi="Times New Roman"/>
          <w:sz w:val="24"/>
          <w:szCs w:val="24"/>
        </w:rPr>
        <w:t xml:space="preserve"> hiring her worked as firefighters for the City of Lynchburg at the time she applied.</w:t>
      </w:r>
    </w:p>
    <w:p w14:paraId="05FB12BA" w14:textId="77777777" w:rsidR="00A84216" w:rsidRPr="00A84216" w:rsidRDefault="00A84216" w:rsidP="00A84216">
      <w:pPr>
        <w:ind w:firstLine="720"/>
        <w:rPr>
          <w:rFonts w:ascii="Times New Roman" w:hAnsi="Times New Roman"/>
          <w:sz w:val="24"/>
          <w:szCs w:val="24"/>
        </w:rPr>
      </w:pPr>
      <w:r w:rsidRPr="00A84216">
        <w:rPr>
          <w:rFonts w:ascii="Times New Roman" w:hAnsi="Times New Roman"/>
          <w:sz w:val="24"/>
          <w:szCs w:val="24"/>
        </w:rPr>
        <w:t>***</w:t>
      </w:r>
    </w:p>
    <w:p w14:paraId="0C0A1B1A" w14:textId="77777777" w:rsidR="00A84216" w:rsidRPr="00A84216" w:rsidRDefault="00A84216" w:rsidP="00A84216">
      <w:pPr>
        <w:ind w:left="720"/>
        <w:rPr>
          <w:rFonts w:ascii="Times New Roman" w:hAnsi="Times New Roman"/>
          <w:sz w:val="24"/>
          <w:szCs w:val="24"/>
        </w:rPr>
      </w:pPr>
      <w:r w:rsidRPr="00A84216">
        <w:rPr>
          <w:rFonts w:ascii="Times New Roman" w:hAnsi="Times New Roman"/>
          <w:sz w:val="24"/>
          <w:szCs w:val="24"/>
        </w:rPr>
        <w:t>In sum, even if an employment reference can support a Title VII discrimination claim when it negatively impacts a job application, there is insufficient evidence that Walton's references had such an impact here. For that reason, the court concludes that Lundberg's disparate-</w:t>
      </w:r>
      <w:proofErr w:type="gramStart"/>
      <w:r w:rsidRPr="00A84216">
        <w:rPr>
          <w:rFonts w:ascii="Times New Roman" w:hAnsi="Times New Roman"/>
          <w:sz w:val="24"/>
          <w:szCs w:val="24"/>
        </w:rPr>
        <w:t>treatment discrimination</w:t>
      </w:r>
      <w:proofErr w:type="gramEnd"/>
      <w:r w:rsidRPr="00A84216">
        <w:rPr>
          <w:rFonts w:ascii="Times New Roman" w:hAnsi="Times New Roman"/>
          <w:sz w:val="24"/>
          <w:szCs w:val="24"/>
        </w:rPr>
        <w:t xml:space="preserve"> claims fail as a matter of </w:t>
      </w:r>
      <w:proofErr w:type="gramStart"/>
      <w:r w:rsidRPr="00A84216">
        <w:rPr>
          <w:rFonts w:ascii="Times New Roman" w:hAnsi="Times New Roman"/>
          <w:sz w:val="24"/>
          <w:szCs w:val="24"/>
        </w:rPr>
        <w:t>law.”</w:t>
      </w:r>
      <w:proofErr w:type="gramEnd"/>
    </w:p>
    <w:p w14:paraId="7ABE6A64" w14:textId="77777777" w:rsidR="00A84216" w:rsidRPr="00A84216" w:rsidRDefault="00A84216" w:rsidP="00A84216">
      <w:pPr>
        <w:rPr>
          <w:rFonts w:ascii="Times New Roman" w:hAnsi="Times New Roman"/>
          <w:b/>
          <w:bCs/>
          <w:sz w:val="24"/>
          <w:szCs w:val="24"/>
        </w:rPr>
      </w:pPr>
      <w:r w:rsidRPr="00A84216">
        <w:rPr>
          <w:rFonts w:ascii="Times New Roman" w:hAnsi="Times New Roman"/>
          <w:b/>
          <w:sz w:val="24"/>
          <w:szCs w:val="24"/>
        </w:rPr>
        <w:t>Legal Lesson Learned: Negative job references were from several individuals.</w:t>
      </w:r>
    </w:p>
    <w:p w14:paraId="76047623" w14:textId="77777777" w:rsidR="00A84216" w:rsidRPr="00A84216" w:rsidRDefault="00A84216" w:rsidP="00A84216">
      <w:pPr>
        <w:ind w:left="720"/>
        <w:rPr>
          <w:rFonts w:ascii="Times New Roman" w:hAnsi="Times New Roman"/>
          <w:sz w:val="24"/>
          <w:szCs w:val="24"/>
        </w:rPr>
      </w:pPr>
      <w:r w:rsidRPr="00A84216">
        <w:rPr>
          <w:rFonts w:ascii="Times New Roman" w:hAnsi="Times New Roman"/>
          <w:sz w:val="24"/>
          <w:szCs w:val="24"/>
        </w:rPr>
        <w:t>Note: See Ohio Revised Code: “Section 4113.71 | Immunity of employer as to job performance information disclosures. (B) An employer who is requested by an employee or a prospective employer of an employee to disclose to a prospective employer of that employee information pertaining to the job performance of that employee for the employer and who discloses the requested information to the prospective employer is not liable in damages in a civil action to that employee, the prospective employer, or any other person for any harm sustained as a proximate result of making the disclosure or of any information disclosed, unless the plaintiff in a civil action establishes, either or both of the following:</w:t>
      </w:r>
    </w:p>
    <w:p w14:paraId="243507A4" w14:textId="77777777" w:rsidR="00A84216" w:rsidRPr="00A84216" w:rsidRDefault="00A84216" w:rsidP="00A84216">
      <w:pPr>
        <w:ind w:left="720"/>
        <w:rPr>
          <w:rFonts w:ascii="Times New Roman" w:hAnsi="Times New Roman"/>
          <w:sz w:val="24"/>
          <w:szCs w:val="24"/>
        </w:rPr>
      </w:pPr>
      <w:r w:rsidRPr="00A84216">
        <w:rPr>
          <w:rFonts w:ascii="Times New Roman" w:hAnsi="Times New Roman"/>
          <w:sz w:val="24"/>
          <w:szCs w:val="24"/>
        </w:rPr>
        <w:t xml:space="preserve">(1) By a preponderance of the evidence that the employer disclosed </w:t>
      </w:r>
      <w:proofErr w:type="gramStart"/>
      <w:r w:rsidRPr="00A84216">
        <w:rPr>
          <w:rFonts w:ascii="Times New Roman" w:hAnsi="Times New Roman"/>
          <w:sz w:val="24"/>
          <w:szCs w:val="24"/>
        </w:rPr>
        <w:t>particular information</w:t>
      </w:r>
      <w:proofErr w:type="gramEnd"/>
      <w:r w:rsidRPr="00A84216">
        <w:rPr>
          <w:rFonts w:ascii="Times New Roman" w:hAnsi="Times New Roman"/>
          <w:sz w:val="24"/>
          <w:szCs w:val="24"/>
        </w:rPr>
        <w:t xml:space="preserve"> with the knowledge that it was false, with the deliberate intent to mislead the prospective employer or another person, in bad faith, or with malicious purpose;</w:t>
      </w:r>
    </w:p>
    <w:p w14:paraId="2172D9D9" w14:textId="77777777" w:rsidR="00A84216" w:rsidRPr="00A84216" w:rsidRDefault="00A84216" w:rsidP="00A84216">
      <w:pPr>
        <w:ind w:left="720"/>
        <w:rPr>
          <w:rFonts w:ascii="Times New Roman" w:hAnsi="Times New Roman"/>
          <w:sz w:val="24"/>
          <w:szCs w:val="24"/>
        </w:rPr>
      </w:pPr>
      <w:r w:rsidRPr="00A84216">
        <w:rPr>
          <w:rFonts w:ascii="Times New Roman" w:hAnsi="Times New Roman"/>
          <w:sz w:val="24"/>
          <w:szCs w:val="24"/>
        </w:rPr>
        <w:t xml:space="preserve">(2) By a preponderance of the evidence that the disclosure of particular information by the employer constitutes an unlawful discriminatory practice described in section </w:t>
      </w:r>
      <w:hyperlink r:id="rId1373" w:history="1">
        <w:r w:rsidRPr="00A84216">
          <w:rPr>
            <w:rStyle w:val="Hyperlink"/>
            <w:rFonts w:ascii="Times New Roman" w:hAnsi="Times New Roman"/>
            <w:sz w:val="24"/>
            <w:szCs w:val="24"/>
          </w:rPr>
          <w:t>4112.02</w:t>
        </w:r>
      </w:hyperlink>
      <w:r w:rsidRPr="00A84216">
        <w:rPr>
          <w:rFonts w:ascii="Times New Roman" w:hAnsi="Times New Roman"/>
          <w:sz w:val="24"/>
          <w:szCs w:val="24"/>
        </w:rPr>
        <w:t xml:space="preserve">, </w:t>
      </w:r>
      <w:hyperlink r:id="rId1374" w:history="1">
        <w:r w:rsidRPr="00A84216">
          <w:rPr>
            <w:rStyle w:val="Hyperlink"/>
            <w:rFonts w:ascii="Times New Roman" w:hAnsi="Times New Roman"/>
            <w:sz w:val="24"/>
            <w:szCs w:val="24"/>
          </w:rPr>
          <w:t>4112.021</w:t>
        </w:r>
      </w:hyperlink>
      <w:r w:rsidRPr="00A84216">
        <w:rPr>
          <w:rFonts w:ascii="Times New Roman" w:hAnsi="Times New Roman"/>
          <w:sz w:val="24"/>
          <w:szCs w:val="24"/>
        </w:rPr>
        <w:t xml:space="preserve">, or </w:t>
      </w:r>
      <w:hyperlink r:id="rId1375" w:history="1">
        <w:r w:rsidRPr="00A84216">
          <w:rPr>
            <w:rStyle w:val="Hyperlink"/>
            <w:rFonts w:ascii="Times New Roman" w:hAnsi="Times New Roman"/>
            <w:sz w:val="24"/>
            <w:szCs w:val="24"/>
          </w:rPr>
          <w:t>4112.022</w:t>
        </w:r>
      </w:hyperlink>
      <w:r w:rsidRPr="00A84216">
        <w:rPr>
          <w:rFonts w:ascii="Times New Roman" w:hAnsi="Times New Roman"/>
          <w:sz w:val="24"/>
          <w:szCs w:val="24"/>
        </w:rPr>
        <w:t xml:space="preserve"> of the Revised Code.” </w:t>
      </w:r>
      <w:hyperlink r:id="rId1376" w:history="1">
        <w:r w:rsidRPr="00A84216">
          <w:rPr>
            <w:rStyle w:val="Hyperlink"/>
            <w:rFonts w:ascii="Times New Roman" w:hAnsi="Times New Roman"/>
            <w:sz w:val="24"/>
            <w:szCs w:val="24"/>
          </w:rPr>
          <w:t>https://codes.ohio.gov/ohio-revised-code/section-4113.71</w:t>
        </w:r>
      </w:hyperlink>
      <w:r w:rsidRPr="00A84216">
        <w:rPr>
          <w:rFonts w:ascii="Times New Roman" w:hAnsi="Times New Roman"/>
          <w:sz w:val="24"/>
          <w:szCs w:val="24"/>
        </w:rPr>
        <w:t xml:space="preserve"> </w:t>
      </w:r>
    </w:p>
    <w:p w14:paraId="0272DB3F" w14:textId="77777777" w:rsidR="00A84216" w:rsidRPr="00A84216" w:rsidRDefault="00A84216" w:rsidP="00F326E5">
      <w:pPr>
        <w:pStyle w:val="NoSpacing"/>
        <w:rPr>
          <w:rFonts w:ascii="Times New Roman" w:hAnsi="Times New Roman"/>
          <w:b/>
          <w:bCs/>
          <w:sz w:val="24"/>
          <w:szCs w:val="24"/>
        </w:rPr>
      </w:pPr>
    </w:p>
    <w:p w14:paraId="01D0CE7D" w14:textId="77777777" w:rsidR="000A5F54" w:rsidRDefault="000A5F54" w:rsidP="00F326E5">
      <w:pPr>
        <w:pStyle w:val="NoSpacing"/>
        <w:rPr>
          <w:rFonts w:ascii="Arial Black" w:hAnsi="Arial Black"/>
          <w:b/>
          <w:bCs/>
          <w:sz w:val="24"/>
          <w:szCs w:val="24"/>
        </w:rPr>
      </w:pPr>
    </w:p>
    <w:p w14:paraId="670F68F9" w14:textId="77777777" w:rsidR="000A5F54" w:rsidRDefault="000A5F54" w:rsidP="00F326E5">
      <w:pPr>
        <w:pStyle w:val="NoSpacing"/>
        <w:rPr>
          <w:rFonts w:ascii="Arial Black" w:hAnsi="Arial Black"/>
          <w:b/>
          <w:bCs/>
          <w:sz w:val="24"/>
          <w:szCs w:val="24"/>
        </w:rPr>
      </w:pPr>
    </w:p>
    <w:p w14:paraId="1B3A9AC6" w14:textId="428E458F" w:rsidR="00B83DEF" w:rsidRDefault="006905F6" w:rsidP="00F326E5">
      <w:pPr>
        <w:pStyle w:val="NoSpacing"/>
        <w:rPr>
          <w:rFonts w:ascii="Arial Black" w:hAnsi="Arial Black"/>
          <w:b/>
          <w:bCs/>
          <w:sz w:val="24"/>
          <w:szCs w:val="24"/>
        </w:rPr>
      </w:pPr>
      <w:r>
        <w:rPr>
          <w:rFonts w:ascii="Arial Black" w:hAnsi="Arial Black"/>
          <w:b/>
          <w:bCs/>
          <w:sz w:val="24"/>
          <w:szCs w:val="24"/>
        </w:rPr>
        <w:t>7-70</w:t>
      </w:r>
    </w:p>
    <w:p w14:paraId="7D7EBA32" w14:textId="77777777" w:rsidR="006905F6" w:rsidRDefault="006905F6" w:rsidP="00F326E5">
      <w:pPr>
        <w:pStyle w:val="NoSpacing"/>
        <w:rPr>
          <w:rFonts w:ascii="Arial Black" w:hAnsi="Arial Black"/>
          <w:b/>
          <w:bCs/>
          <w:sz w:val="24"/>
          <w:szCs w:val="24"/>
        </w:rPr>
      </w:pPr>
    </w:p>
    <w:p w14:paraId="782EF4C2" w14:textId="77777777" w:rsidR="006905F6" w:rsidRPr="00A55556" w:rsidRDefault="006905F6" w:rsidP="006905F6">
      <w:pPr>
        <w:pStyle w:val="NoSpacing"/>
        <w:rPr>
          <w:rFonts w:ascii="Arial Black" w:hAnsi="Arial Black"/>
          <w:sz w:val="28"/>
          <w:szCs w:val="28"/>
        </w:rPr>
      </w:pPr>
      <w:r>
        <w:rPr>
          <w:rFonts w:ascii="Arial Black" w:hAnsi="Arial Black"/>
          <w:sz w:val="28"/>
          <w:szCs w:val="28"/>
        </w:rPr>
        <w:t>DC: GENDER IDENTITY – TRUMP EXEC ORDER – US SUP CT</w:t>
      </w:r>
    </w:p>
    <w:p w14:paraId="3C70AA04" w14:textId="77777777" w:rsidR="006905F6" w:rsidRDefault="006905F6" w:rsidP="006905F6">
      <w:pPr>
        <w:pStyle w:val="NoSpacing"/>
      </w:pPr>
    </w:p>
    <w:p w14:paraId="493738E3" w14:textId="77777777" w:rsidR="006905F6" w:rsidRPr="006905F6" w:rsidRDefault="006905F6" w:rsidP="006905F6">
      <w:pPr>
        <w:pStyle w:val="NoSpacing"/>
        <w:rPr>
          <w:rFonts w:ascii="Times New Roman" w:hAnsi="Times New Roman"/>
          <w:sz w:val="24"/>
          <w:szCs w:val="24"/>
        </w:rPr>
      </w:pPr>
      <w:r w:rsidRPr="006905F6">
        <w:rPr>
          <w:rFonts w:ascii="Times New Roman" w:hAnsi="Times New Roman"/>
          <w:sz w:val="24"/>
          <w:szCs w:val="24"/>
        </w:rPr>
        <w:t xml:space="preserve">Jan. 20, 2025: President Trump’s Executive Order - DEFENDING WOMEN FROM GENDER IDEOLOGY EXTREMISM AND RESTORING BIOLOGICAL TRUTH TO THE FEDERAL GOVERNMENT – can modify federal advice to schools and employers on “single-sex spaces” such as bathrooms.   However,  employers must still follow U.S. Supreme Court’s 2020 decision “making it illegal for an employer to rely on an employee’s sex [gay; trans] when deciding to fire that employee.” </w:t>
      </w:r>
      <w:hyperlink r:id="rId1377" w:history="1">
        <w:r w:rsidRPr="006905F6">
          <w:rPr>
            <w:rStyle w:val="Hyperlink"/>
            <w:rFonts w:ascii="Times New Roman" w:hAnsi="Times New Roman"/>
            <w:sz w:val="24"/>
            <w:szCs w:val="24"/>
          </w:rPr>
          <w:t>uch https://www.whitehouse.gov/presidential-actions/2025/01/defending-women-from-gender-ideology-extremism-and-restoring-biological-truth-to-the-federal-government/?utm_medium=email&amp;utm_source=web_app&amp;utm_campaign=digest</w:t>
        </w:r>
      </w:hyperlink>
    </w:p>
    <w:p w14:paraId="668E49B5" w14:textId="77777777" w:rsidR="006905F6" w:rsidRPr="006905F6" w:rsidRDefault="006905F6" w:rsidP="006905F6">
      <w:pPr>
        <w:pStyle w:val="NoSpacing"/>
        <w:rPr>
          <w:rFonts w:ascii="Times New Roman" w:hAnsi="Times New Roman"/>
          <w:sz w:val="24"/>
          <w:szCs w:val="24"/>
        </w:rPr>
      </w:pPr>
    </w:p>
    <w:p w14:paraId="7BAE9E82" w14:textId="77777777" w:rsidR="006905F6" w:rsidRPr="006905F6" w:rsidRDefault="006905F6" w:rsidP="006905F6">
      <w:pPr>
        <w:pStyle w:val="NoSpacing"/>
        <w:rPr>
          <w:rFonts w:ascii="Times New Roman" w:hAnsi="Times New Roman"/>
          <w:sz w:val="24"/>
          <w:szCs w:val="24"/>
        </w:rPr>
      </w:pPr>
      <w:r w:rsidRPr="006905F6">
        <w:rPr>
          <w:rFonts w:ascii="Times New Roman" w:hAnsi="Times New Roman"/>
          <w:sz w:val="24"/>
          <w:szCs w:val="24"/>
        </w:rPr>
        <w:t xml:space="preserve">Executive Order includes the following: </w:t>
      </w:r>
    </w:p>
    <w:p w14:paraId="7503E7CB" w14:textId="77777777" w:rsidR="006905F6" w:rsidRPr="006905F6" w:rsidRDefault="006905F6" w:rsidP="006905F6">
      <w:pPr>
        <w:pStyle w:val="NoSpacing"/>
        <w:rPr>
          <w:rFonts w:ascii="Times New Roman" w:hAnsi="Times New Roman"/>
          <w:sz w:val="24"/>
          <w:szCs w:val="24"/>
        </w:rPr>
      </w:pPr>
    </w:p>
    <w:p w14:paraId="31E05FA4"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“The prior Administration argued that the Supreme Court’s decision in </w:t>
      </w:r>
      <w:r w:rsidRPr="006905F6">
        <w:rPr>
          <w:rFonts w:ascii="Times New Roman" w:hAnsi="Times New Roman"/>
          <w:i/>
          <w:iCs/>
          <w:sz w:val="24"/>
          <w:szCs w:val="24"/>
        </w:rPr>
        <w:t>Bostock v. Clayton County</w:t>
      </w:r>
      <w:r w:rsidRPr="006905F6">
        <w:rPr>
          <w:rFonts w:ascii="Times New Roman" w:hAnsi="Times New Roman"/>
          <w:sz w:val="24"/>
          <w:szCs w:val="24"/>
        </w:rPr>
        <w:t> (2020), which addressed Title VII of the Civil Rights Act of 1964, requires gender identity-based access to single-sex spaces under, for example, Title IX of the Educational Amendments Act.  This position is legally untenable and has harmed women.  The Attorney General shall therefore immediately issue guidance to agencies to correct the misapplication of the Supreme Court’s decision in </w:t>
      </w:r>
      <w:r w:rsidRPr="006905F6">
        <w:rPr>
          <w:rFonts w:ascii="Times New Roman" w:hAnsi="Times New Roman"/>
          <w:i/>
          <w:iCs/>
          <w:sz w:val="24"/>
          <w:szCs w:val="24"/>
        </w:rPr>
        <w:t>Bostock v. Clayton County</w:t>
      </w:r>
      <w:r w:rsidRPr="006905F6">
        <w:rPr>
          <w:rFonts w:ascii="Times New Roman" w:hAnsi="Times New Roman"/>
          <w:sz w:val="24"/>
          <w:szCs w:val="24"/>
        </w:rPr>
        <w:t xml:space="preserve"> (2020) to sex-based distinctions in agency activities.  In addition, the Attorney General shall issue guidance and assist agencies in protecting sex-based distinctions, which are explicitly permitted under Constitutional and statutory precedent. </w:t>
      </w:r>
    </w:p>
    <w:p w14:paraId="07C1EB07" w14:textId="77777777" w:rsidR="006905F6" w:rsidRPr="006905F6" w:rsidRDefault="006905F6" w:rsidP="006905F6">
      <w:pPr>
        <w:pStyle w:val="NoSpacing"/>
        <w:rPr>
          <w:rFonts w:ascii="Times New Roman" w:hAnsi="Times New Roman"/>
          <w:sz w:val="24"/>
          <w:szCs w:val="24"/>
        </w:rPr>
      </w:pPr>
    </w:p>
    <w:p w14:paraId="356213DB" w14:textId="77777777" w:rsidR="006905F6" w:rsidRPr="006905F6" w:rsidRDefault="006905F6" w:rsidP="006905F6">
      <w:pPr>
        <w:pStyle w:val="NoSpacing"/>
        <w:rPr>
          <w:rFonts w:ascii="Times New Roman" w:hAnsi="Times New Roman"/>
          <w:sz w:val="24"/>
          <w:szCs w:val="24"/>
        </w:rPr>
      </w:pPr>
      <w:r w:rsidRPr="006905F6">
        <w:rPr>
          <w:rFonts w:ascii="Times New Roman" w:hAnsi="Times New Roman"/>
          <w:sz w:val="24"/>
          <w:szCs w:val="24"/>
        </w:rPr>
        <w:t xml:space="preserve">The U.S. Supreme Court in </w:t>
      </w:r>
      <w:r w:rsidRPr="006905F6">
        <w:rPr>
          <w:rFonts w:ascii="Times New Roman" w:hAnsi="Times New Roman"/>
          <w:sz w:val="24"/>
          <w:szCs w:val="24"/>
          <w:u w:val="single"/>
        </w:rPr>
        <w:t>Bostock v. Clayton County</w:t>
      </w:r>
      <w:r w:rsidRPr="006905F6">
        <w:rPr>
          <w:rFonts w:ascii="Times New Roman" w:hAnsi="Times New Roman"/>
          <w:sz w:val="24"/>
          <w:szCs w:val="24"/>
        </w:rPr>
        <w:t xml:space="preserve">, on June 15, </w:t>
      </w:r>
      <w:proofErr w:type="gramStart"/>
      <w:r w:rsidRPr="006905F6">
        <w:rPr>
          <w:rFonts w:ascii="Times New Roman" w:hAnsi="Times New Roman"/>
          <w:sz w:val="24"/>
          <w:szCs w:val="24"/>
        </w:rPr>
        <w:t>2020</w:t>
      </w:r>
      <w:proofErr w:type="gramEnd"/>
      <w:r w:rsidRPr="006905F6">
        <w:rPr>
          <w:rFonts w:ascii="Times New Roman" w:hAnsi="Times New Roman"/>
          <w:sz w:val="24"/>
          <w:szCs w:val="24"/>
        </w:rPr>
        <w:t xml:space="preserve"> held (6 to 3; majority opinion by Justice Neil Gorsuch):  </w:t>
      </w:r>
    </w:p>
    <w:p w14:paraId="0EA087C3" w14:textId="77777777" w:rsidR="006905F6" w:rsidRPr="006905F6" w:rsidRDefault="006905F6" w:rsidP="006905F6">
      <w:pPr>
        <w:pStyle w:val="NoSpacing"/>
        <w:rPr>
          <w:rFonts w:ascii="Times New Roman" w:hAnsi="Times New Roman"/>
          <w:sz w:val="24"/>
          <w:szCs w:val="24"/>
        </w:rPr>
      </w:pPr>
    </w:p>
    <w:p w14:paraId="3F84F717"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 xml:space="preserve">“Today, we must decide whether an employer can fire someone simply for being homosexual or transgender. The answer is clear. An employer who fires an individual for being homosexual or transgender fires that person for traits or actions it would not have questioned in members of a different sex. Sex plays a necessary and undisguisable role in the decision, exactly what Title VII forbids.” </w:t>
      </w:r>
      <w:hyperlink r:id="rId1378" w:history="1">
        <w:r w:rsidRPr="006905F6">
          <w:rPr>
            <w:rStyle w:val="Hyperlink"/>
            <w:rFonts w:ascii="Times New Roman" w:hAnsi="Times New Roman"/>
            <w:sz w:val="24"/>
            <w:szCs w:val="24"/>
          </w:rPr>
          <w:t>https://www.supremecourt.gov/opinions/19pdf/17-1618_hfci.pdf</w:t>
        </w:r>
      </w:hyperlink>
      <w:r w:rsidRPr="006905F6">
        <w:rPr>
          <w:rFonts w:ascii="Times New Roman" w:hAnsi="Times New Roman"/>
          <w:sz w:val="24"/>
          <w:szCs w:val="24"/>
        </w:rPr>
        <w:t xml:space="preserve"> </w:t>
      </w:r>
    </w:p>
    <w:p w14:paraId="6B08107C" w14:textId="77777777" w:rsidR="006905F6" w:rsidRPr="006905F6" w:rsidRDefault="006905F6" w:rsidP="006905F6">
      <w:pPr>
        <w:pStyle w:val="NoSpacing"/>
        <w:rPr>
          <w:rFonts w:ascii="Times New Roman" w:hAnsi="Times New Roman"/>
          <w:sz w:val="24"/>
          <w:szCs w:val="24"/>
        </w:rPr>
      </w:pPr>
    </w:p>
    <w:p w14:paraId="2F6D4ACD" w14:textId="77777777" w:rsidR="006905F6" w:rsidRPr="006905F6" w:rsidRDefault="006905F6" w:rsidP="006905F6">
      <w:pPr>
        <w:pStyle w:val="NoSpacing"/>
        <w:rPr>
          <w:rFonts w:ascii="Times New Roman" w:hAnsi="Times New Roman"/>
          <w:sz w:val="24"/>
          <w:szCs w:val="24"/>
        </w:rPr>
      </w:pPr>
      <w:r w:rsidRPr="006905F6">
        <w:rPr>
          <w:rFonts w:ascii="Times New Roman" w:hAnsi="Times New Roman"/>
          <w:sz w:val="24"/>
          <w:szCs w:val="24"/>
        </w:rPr>
        <w:t xml:space="preserve">Justice Gorsuch reviewed three cases where employees were fired: </w:t>
      </w:r>
    </w:p>
    <w:p w14:paraId="0EDB67BA" w14:textId="77777777" w:rsidR="006905F6" w:rsidRPr="006905F6" w:rsidRDefault="006905F6" w:rsidP="006905F6">
      <w:pPr>
        <w:pStyle w:val="NoSpacing"/>
        <w:rPr>
          <w:rFonts w:ascii="Times New Roman" w:hAnsi="Times New Roman"/>
          <w:sz w:val="24"/>
          <w:szCs w:val="24"/>
        </w:rPr>
      </w:pPr>
    </w:p>
    <w:p w14:paraId="12270877"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“Few facts are needed to appreciate the legal question we face. Each of the three cases before us started the same way: An employer fired a long-time employee shortly after</w:t>
      </w:r>
    </w:p>
    <w:p w14:paraId="7E7C720D"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the employee revealed that he or she is homosexual or transgender—and allegedly for no reason other than the employee’s homosexuality or transgender status.</w:t>
      </w:r>
    </w:p>
    <w:p w14:paraId="07305F1A" w14:textId="77777777" w:rsidR="006905F6" w:rsidRPr="006905F6" w:rsidRDefault="006905F6" w:rsidP="006905F6">
      <w:pPr>
        <w:pStyle w:val="NoSpacing"/>
        <w:ind w:left="720"/>
        <w:rPr>
          <w:rFonts w:ascii="Times New Roman" w:hAnsi="Times New Roman"/>
          <w:sz w:val="24"/>
          <w:szCs w:val="24"/>
        </w:rPr>
      </w:pPr>
    </w:p>
    <w:p w14:paraId="65BD1E04"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[1] Gerald Bostock worked for Clayton County, Georgia, as a child welfare advocate. Under his leadership, the county won national awards for its work. After a decade with the county, Mr. Bostock began participating in a gay recreational softball league. Not long after that, influential members of the community allegedly made disparaging comments about Mr. Bostock’s sexual orientation and participation in the league. Soon, he was fired for conduct ‘unbecoming’ a county employee.</w:t>
      </w:r>
    </w:p>
    <w:p w14:paraId="23357ACA" w14:textId="77777777" w:rsidR="006905F6" w:rsidRPr="006905F6" w:rsidRDefault="006905F6" w:rsidP="006905F6">
      <w:pPr>
        <w:pStyle w:val="NoSpacing"/>
        <w:ind w:left="720"/>
        <w:rPr>
          <w:rFonts w:ascii="Times New Roman" w:hAnsi="Times New Roman"/>
          <w:sz w:val="24"/>
          <w:szCs w:val="24"/>
        </w:rPr>
      </w:pPr>
    </w:p>
    <w:p w14:paraId="55B44A1C"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lastRenderedPageBreak/>
        <w:t>[2] Donald Zarda worked as a skydiving instructor at Altitude Express in New York. After several seasons with the company, Mr. Zarda mentioned that he was gay and, days later, was fired.</w:t>
      </w:r>
    </w:p>
    <w:p w14:paraId="008BECE4" w14:textId="77777777" w:rsidR="006905F6" w:rsidRPr="006905F6" w:rsidRDefault="006905F6" w:rsidP="006905F6">
      <w:pPr>
        <w:pStyle w:val="NoSpacing"/>
        <w:ind w:left="720"/>
        <w:rPr>
          <w:rFonts w:ascii="Times New Roman" w:hAnsi="Times New Roman"/>
          <w:sz w:val="24"/>
          <w:szCs w:val="24"/>
        </w:rPr>
      </w:pPr>
    </w:p>
    <w:p w14:paraId="130B9CB4"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 xml:space="preserve">[3] Aimee Stephens worked at R. G. &amp; G. R. Harris Funeral Homes in Garden City, Michigan. When she got the job, Ms. Stephens presented as a male. </w:t>
      </w:r>
      <w:proofErr w:type="gramStart"/>
      <w:r w:rsidRPr="006905F6">
        <w:rPr>
          <w:rFonts w:ascii="Times New Roman" w:hAnsi="Times New Roman"/>
          <w:sz w:val="24"/>
          <w:szCs w:val="24"/>
        </w:rPr>
        <w:t>But</w:t>
      </w:r>
      <w:proofErr w:type="gramEnd"/>
      <w:r w:rsidRPr="006905F6">
        <w:rPr>
          <w:rFonts w:ascii="Times New Roman" w:hAnsi="Times New Roman"/>
          <w:sz w:val="24"/>
          <w:szCs w:val="24"/>
        </w:rPr>
        <w:t xml:space="preserve"> two years </w:t>
      </w:r>
      <w:proofErr w:type="gramStart"/>
      <w:r w:rsidRPr="006905F6">
        <w:rPr>
          <w:rFonts w:ascii="Times New Roman" w:hAnsi="Times New Roman"/>
          <w:sz w:val="24"/>
          <w:szCs w:val="24"/>
        </w:rPr>
        <w:t>into</w:t>
      </w:r>
      <w:proofErr w:type="gramEnd"/>
      <w:r w:rsidRPr="006905F6">
        <w:rPr>
          <w:rFonts w:ascii="Times New Roman" w:hAnsi="Times New Roman"/>
          <w:sz w:val="24"/>
          <w:szCs w:val="24"/>
        </w:rPr>
        <w:t xml:space="preserve"> her service with the company, she began treatment for despair and loneliness. Ultimately, clinicians diagnosed her with gender dysphoria and recommended that she begin living</w:t>
      </w:r>
    </w:p>
    <w:p w14:paraId="3F876FDF"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as a woman. In her sixth year with the company, Ms. Stephens wrote a letter to her employer explaining that she planned to ‘live and work full-time as a woman’ after she</w:t>
      </w:r>
    </w:p>
    <w:p w14:paraId="49DB921E" w14:textId="77777777" w:rsidR="006905F6" w:rsidRPr="006905F6" w:rsidRDefault="006905F6" w:rsidP="006905F6">
      <w:pPr>
        <w:pStyle w:val="NoSpacing"/>
        <w:ind w:left="720"/>
        <w:rPr>
          <w:rFonts w:ascii="Times New Roman" w:hAnsi="Times New Roman"/>
          <w:sz w:val="24"/>
          <w:szCs w:val="24"/>
        </w:rPr>
      </w:pPr>
      <w:r w:rsidRPr="006905F6">
        <w:rPr>
          <w:rFonts w:ascii="Times New Roman" w:hAnsi="Times New Roman"/>
          <w:sz w:val="24"/>
          <w:szCs w:val="24"/>
        </w:rPr>
        <w:t xml:space="preserve">returned from an upcoming vacation. The funeral home fired her before she left, telling </w:t>
      </w:r>
      <w:proofErr w:type="gramStart"/>
      <w:r w:rsidRPr="006905F6">
        <w:rPr>
          <w:rFonts w:ascii="Times New Roman" w:hAnsi="Times New Roman"/>
          <w:sz w:val="24"/>
          <w:szCs w:val="24"/>
        </w:rPr>
        <w:t>her</w:t>
      </w:r>
      <w:proofErr w:type="gramEnd"/>
      <w:r w:rsidRPr="006905F6">
        <w:rPr>
          <w:rFonts w:ascii="Times New Roman" w:hAnsi="Times New Roman"/>
          <w:sz w:val="24"/>
          <w:szCs w:val="24"/>
        </w:rPr>
        <w:t xml:space="preserve"> ‘this is not going to work out.’”</w:t>
      </w:r>
    </w:p>
    <w:p w14:paraId="078171CD" w14:textId="77777777" w:rsidR="006905F6" w:rsidRPr="006905F6" w:rsidRDefault="006905F6" w:rsidP="006905F6">
      <w:pPr>
        <w:pStyle w:val="NoSpacing"/>
        <w:ind w:left="720"/>
        <w:rPr>
          <w:rFonts w:ascii="Times New Roman" w:hAnsi="Times New Roman"/>
          <w:sz w:val="24"/>
          <w:szCs w:val="24"/>
        </w:rPr>
      </w:pPr>
    </w:p>
    <w:p w14:paraId="0BF78457" w14:textId="77777777" w:rsidR="006905F6" w:rsidRPr="006905F6" w:rsidRDefault="006905F6" w:rsidP="006905F6">
      <w:pPr>
        <w:pStyle w:val="NoSpacing"/>
        <w:rPr>
          <w:rFonts w:ascii="Times New Roman" w:hAnsi="Times New Roman"/>
          <w:b/>
          <w:bCs/>
          <w:sz w:val="24"/>
          <w:szCs w:val="24"/>
        </w:rPr>
      </w:pPr>
      <w:r w:rsidRPr="006905F6">
        <w:rPr>
          <w:rFonts w:ascii="Times New Roman" w:hAnsi="Times New Roman"/>
          <w:b/>
          <w:sz w:val="24"/>
          <w:szCs w:val="24"/>
        </w:rPr>
        <w:t xml:space="preserve">Legal Lesson Learned:  The U.S. Supreme Court decision in </w:t>
      </w:r>
      <w:r w:rsidRPr="006905F6">
        <w:rPr>
          <w:rFonts w:ascii="Times New Roman" w:hAnsi="Times New Roman"/>
          <w:b/>
          <w:sz w:val="24"/>
          <w:szCs w:val="24"/>
          <w:u w:val="single"/>
        </w:rPr>
        <w:t>Bostock</w:t>
      </w:r>
      <w:r w:rsidRPr="006905F6">
        <w:rPr>
          <w:rFonts w:ascii="Times New Roman" w:hAnsi="Times New Roman"/>
          <w:b/>
          <w:sz w:val="24"/>
          <w:szCs w:val="24"/>
        </w:rPr>
        <w:t xml:space="preserve"> still applies to all employers, including Fire &amp; EMS.  As the Court wrote: “An employer who fires an individual merely for being gay or transgender defies the law.”</w:t>
      </w:r>
    </w:p>
    <w:p w14:paraId="572D1943" w14:textId="77777777" w:rsidR="006905F6" w:rsidRPr="006905F6" w:rsidRDefault="006905F6" w:rsidP="00F326E5">
      <w:pPr>
        <w:pStyle w:val="NoSpacing"/>
        <w:rPr>
          <w:rFonts w:ascii="Times New Roman" w:hAnsi="Times New Roman"/>
          <w:b/>
          <w:bCs/>
          <w:sz w:val="24"/>
          <w:szCs w:val="24"/>
        </w:rPr>
      </w:pPr>
    </w:p>
    <w:p w14:paraId="5074DBC0" w14:textId="77777777" w:rsidR="00B83DEF" w:rsidRDefault="00B83DEF" w:rsidP="00F326E5">
      <w:pPr>
        <w:pStyle w:val="NoSpacing"/>
        <w:rPr>
          <w:rFonts w:ascii="Arial Black" w:hAnsi="Arial Black"/>
          <w:b/>
          <w:bCs/>
          <w:sz w:val="24"/>
          <w:szCs w:val="24"/>
        </w:rPr>
      </w:pPr>
    </w:p>
    <w:p w14:paraId="7FFFE95B" w14:textId="77777777" w:rsidR="00B83DEF" w:rsidRDefault="00B83DEF" w:rsidP="00F326E5">
      <w:pPr>
        <w:pStyle w:val="NoSpacing"/>
        <w:rPr>
          <w:rFonts w:ascii="Arial Black" w:hAnsi="Arial Black"/>
          <w:b/>
          <w:bCs/>
          <w:sz w:val="24"/>
          <w:szCs w:val="24"/>
        </w:rPr>
      </w:pPr>
    </w:p>
    <w:p w14:paraId="477961CE" w14:textId="2E1F40A6" w:rsidR="00AE2F67" w:rsidRDefault="00AB6ADC" w:rsidP="00F326E5">
      <w:pPr>
        <w:pStyle w:val="NoSpacing"/>
        <w:rPr>
          <w:rFonts w:ascii="Arial Black" w:hAnsi="Arial Black"/>
          <w:b/>
          <w:bCs/>
          <w:sz w:val="24"/>
          <w:szCs w:val="24"/>
        </w:rPr>
      </w:pPr>
      <w:r>
        <w:rPr>
          <w:rFonts w:ascii="Arial Black" w:hAnsi="Arial Black"/>
          <w:b/>
          <w:bCs/>
          <w:sz w:val="24"/>
          <w:szCs w:val="24"/>
        </w:rPr>
        <w:t>7-69</w:t>
      </w:r>
    </w:p>
    <w:p w14:paraId="3FA53D05" w14:textId="77777777" w:rsidR="00AB6ADC" w:rsidRDefault="00AB6ADC" w:rsidP="00F326E5">
      <w:pPr>
        <w:pStyle w:val="NoSpacing"/>
        <w:rPr>
          <w:rFonts w:ascii="Arial Black" w:hAnsi="Arial Black"/>
          <w:b/>
          <w:bCs/>
          <w:sz w:val="24"/>
          <w:szCs w:val="24"/>
        </w:rPr>
      </w:pPr>
    </w:p>
    <w:p w14:paraId="67065B1E" w14:textId="77777777" w:rsidR="00562ACD" w:rsidRDefault="00562ACD" w:rsidP="00562ACD">
      <w:pPr>
        <w:pStyle w:val="NoSpacing"/>
        <w:rPr>
          <w:rFonts w:ascii="Arial Black" w:hAnsi="Arial Black"/>
          <w:bCs/>
          <w:sz w:val="28"/>
          <w:szCs w:val="28"/>
        </w:rPr>
      </w:pPr>
      <w:r>
        <w:rPr>
          <w:rFonts w:ascii="Arial Black" w:hAnsi="Arial Black"/>
          <w:sz w:val="28"/>
          <w:szCs w:val="28"/>
        </w:rPr>
        <w:t xml:space="preserve">MD: FIRED – </w:t>
      </w:r>
      <w:r>
        <w:rPr>
          <w:rFonts w:ascii="Arial Black" w:hAnsi="Arial Black"/>
          <w:bCs/>
          <w:sz w:val="28"/>
          <w:szCs w:val="28"/>
        </w:rPr>
        <w:t xml:space="preserve">VOTE </w:t>
      </w:r>
      <w:r>
        <w:rPr>
          <w:rFonts w:ascii="Arial Black" w:hAnsi="Arial Black"/>
          <w:sz w:val="28"/>
          <w:szCs w:val="28"/>
        </w:rPr>
        <w:t>2</w:t>
      </w:r>
      <w:r>
        <w:rPr>
          <w:rFonts w:ascii="Arial Black" w:hAnsi="Arial Black"/>
          <w:bCs/>
          <w:sz w:val="28"/>
          <w:szCs w:val="28"/>
        </w:rPr>
        <w:t xml:space="preserve">-2, NEW HEARING – NO PENSION </w:t>
      </w:r>
    </w:p>
    <w:p w14:paraId="5E94E49A" w14:textId="77777777" w:rsidR="002C54F5" w:rsidRDefault="002C54F5" w:rsidP="002C54F5">
      <w:pPr>
        <w:pStyle w:val="NoSpacing"/>
        <w:rPr>
          <w:bCs/>
        </w:rPr>
      </w:pPr>
    </w:p>
    <w:p w14:paraId="1C191A39" w14:textId="453AC8AE" w:rsidR="002C54F5" w:rsidRPr="008E38FF" w:rsidRDefault="008E38FF" w:rsidP="002C54F5">
      <w:pPr>
        <w:pStyle w:val="NoSpacing"/>
        <w:rPr>
          <w:rFonts w:ascii="Times New Roman" w:hAnsi="Times New Roman"/>
          <w:bCs/>
          <w:sz w:val="24"/>
          <w:szCs w:val="24"/>
        </w:rPr>
      </w:pPr>
      <w:r w:rsidRPr="008E38FF">
        <w:rPr>
          <w:rFonts w:ascii="Times New Roman" w:hAnsi="Times New Roman"/>
          <w:sz w:val="24"/>
          <w:szCs w:val="24"/>
        </w:rPr>
        <w:t xml:space="preserve">On Dec. 17, 2024, in </w:t>
      </w:r>
      <w:r w:rsidRPr="008E38FF">
        <w:rPr>
          <w:rFonts w:ascii="Times New Roman" w:hAnsi="Times New Roman"/>
          <w:sz w:val="24"/>
          <w:szCs w:val="24"/>
          <w:u w:val="single"/>
        </w:rPr>
        <w:t>Baltimore County, Maryland v. Theodore C. Priester, Jr.</w:t>
      </w:r>
      <w:r w:rsidRPr="008E38FF">
        <w:rPr>
          <w:rFonts w:ascii="Times New Roman" w:hAnsi="Times New Roman"/>
          <w:sz w:val="24"/>
          <w:szCs w:val="24"/>
        </w:rPr>
        <w:t xml:space="preserve">, the Appellate Court of Maryland held (3 to 0; unreported decision) that the now retired Captain is entitled to a new decision (instead of a tie vote of 2 to 2) before the Baltimore County Personnel and Salary Advisory Board  (“PSAB”).  While he is no longer entitled to reinstatement, the Board could decide to award him back pay for time from his termination (May 16, 2013) until he applied for retirement (July 31, 2014).  The case has been through numerous appeals and </w:t>
      </w:r>
      <w:proofErr w:type="gramStart"/>
      <w:r w:rsidRPr="008E38FF">
        <w:rPr>
          <w:rFonts w:ascii="Times New Roman" w:hAnsi="Times New Roman"/>
          <w:sz w:val="24"/>
          <w:szCs w:val="24"/>
        </w:rPr>
        <w:t>remands</w:t>
      </w:r>
      <w:proofErr w:type="gramEnd"/>
      <w:r w:rsidRPr="008E38FF">
        <w:rPr>
          <w:rFonts w:ascii="Times New Roman" w:hAnsi="Times New Roman"/>
          <w:sz w:val="24"/>
          <w:szCs w:val="24"/>
        </w:rPr>
        <w:t xml:space="preserve">, including prior decision </w:t>
      </w:r>
      <w:proofErr w:type="gramStart"/>
      <w:r w:rsidRPr="008E38FF">
        <w:rPr>
          <w:rFonts w:ascii="Times New Roman" w:hAnsi="Times New Roman"/>
          <w:sz w:val="24"/>
          <w:szCs w:val="24"/>
        </w:rPr>
        <w:t>denying</w:t>
      </w:r>
      <w:proofErr w:type="gramEnd"/>
      <w:r w:rsidRPr="008E38FF">
        <w:rPr>
          <w:rFonts w:ascii="Times New Roman" w:hAnsi="Times New Roman"/>
          <w:sz w:val="24"/>
          <w:szCs w:val="24"/>
        </w:rPr>
        <w:t xml:space="preserve"> him a pension.  </w:t>
      </w:r>
      <w:hyperlink r:id="rId1379" w:history="1">
        <w:r w:rsidRPr="008E38FF">
          <w:rPr>
            <w:rStyle w:val="Hyperlink"/>
            <w:rFonts w:ascii="Times New Roman" w:hAnsi="Times New Roman"/>
            <w:sz w:val="24"/>
            <w:szCs w:val="24"/>
          </w:rPr>
          <w:t>https://www.mdcourts.gov/sites/default/files/unreported-opinions/1316s22.pdf</w:t>
        </w:r>
      </w:hyperlink>
    </w:p>
    <w:p w14:paraId="4CDCB126" w14:textId="77777777" w:rsidR="008E38FF" w:rsidRPr="008E38FF" w:rsidRDefault="008E38FF" w:rsidP="002C54F5">
      <w:pPr>
        <w:pStyle w:val="NoSpacing"/>
        <w:rPr>
          <w:rFonts w:ascii="Times New Roman" w:hAnsi="Times New Roman"/>
          <w:sz w:val="24"/>
          <w:szCs w:val="24"/>
        </w:rPr>
      </w:pPr>
    </w:p>
    <w:p w14:paraId="0A0FB92E" w14:textId="4BF9E540" w:rsidR="002C54F5" w:rsidRPr="000A21C0" w:rsidRDefault="002C54F5" w:rsidP="002C54F5">
      <w:pPr>
        <w:pStyle w:val="NoSpacing"/>
        <w:rPr>
          <w:rFonts w:ascii="Times New Roman" w:hAnsi="Times New Roman"/>
          <w:bCs/>
          <w:sz w:val="24"/>
          <w:szCs w:val="24"/>
        </w:rPr>
      </w:pPr>
      <w:r w:rsidRPr="000A21C0">
        <w:rPr>
          <w:rFonts w:ascii="Times New Roman" w:hAnsi="Times New Roman"/>
          <w:sz w:val="24"/>
          <w:szCs w:val="24"/>
        </w:rPr>
        <w:t>The Court wrote:</w:t>
      </w:r>
    </w:p>
    <w:p w14:paraId="183FBD3B" w14:textId="77777777" w:rsidR="002C54F5" w:rsidRPr="000A21C0" w:rsidRDefault="002C54F5" w:rsidP="002C54F5">
      <w:pPr>
        <w:pStyle w:val="NoSpacing"/>
        <w:rPr>
          <w:rFonts w:ascii="Times New Roman" w:hAnsi="Times New Roman"/>
          <w:bCs/>
          <w:sz w:val="24"/>
          <w:szCs w:val="24"/>
        </w:rPr>
      </w:pPr>
    </w:p>
    <w:p w14:paraId="604B37A7" w14:textId="77777777" w:rsidR="002C54F5" w:rsidRPr="000A21C0" w:rsidRDefault="002C54F5" w:rsidP="002C54F5">
      <w:pPr>
        <w:pStyle w:val="NoSpacing"/>
        <w:ind w:firstLine="720"/>
        <w:rPr>
          <w:rFonts w:ascii="Times New Roman" w:hAnsi="Times New Roman"/>
          <w:bCs/>
          <w:sz w:val="24"/>
          <w:szCs w:val="24"/>
        </w:rPr>
      </w:pPr>
      <w:r w:rsidRPr="000A21C0">
        <w:rPr>
          <w:rFonts w:ascii="Times New Roman" w:hAnsi="Times New Roman"/>
          <w:sz w:val="24"/>
          <w:szCs w:val="24"/>
        </w:rPr>
        <w:t>“Returning to the appeal before us, we conclude that the circuit court correctly</w:t>
      </w:r>
    </w:p>
    <w:p w14:paraId="40A2FCDA" w14:textId="77777777" w:rsidR="002C54F5" w:rsidRPr="000A21C0" w:rsidRDefault="002C54F5" w:rsidP="002C54F5">
      <w:pPr>
        <w:pStyle w:val="NoSpacing"/>
        <w:ind w:firstLine="720"/>
        <w:rPr>
          <w:rFonts w:ascii="Times New Roman" w:hAnsi="Times New Roman"/>
          <w:bCs/>
          <w:sz w:val="24"/>
          <w:szCs w:val="24"/>
        </w:rPr>
      </w:pPr>
      <w:r w:rsidRPr="000A21C0">
        <w:rPr>
          <w:rFonts w:ascii="Times New Roman" w:hAnsi="Times New Roman"/>
          <w:sz w:val="24"/>
          <w:szCs w:val="24"/>
        </w:rPr>
        <w:t>determined that the PSAB erred in denying Priester’s grievance appeal as moot. Priester’s</w:t>
      </w:r>
    </w:p>
    <w:p w14:paraId="47CB0259" w14:textId="77777777" w:rsidR="002C54F5" w:rsidRPr="000A21C0" w:rsidRDefault="002C54F5" w:rsidP="002C54F5">
      <w:pPr>
        <w:pStyle w:val="NoSpacing"/>
        <w:ind w:firstLine="720"/>
        <w:rPr>
          <w:rFonts w:ascii="Times New Roman" w:hAnsi="Times New Roman"/>
          <w:bCs/>
          <w:sz w:val="24"/>
          <w:szCs w:val="24"/>
        </w:rPr>
      </w:pPr>
      <w:r w:rsidRPr="000A21C0">
        <w:rPr>
          <w:rFonts w:ascii="Times New Roman" w:hAnsi="Times New Roman"/>
          <w:sz w:val="24"/>
          <w:szCs w:val="24"/>
        </w:rPr>
        <w:t>resignation from employment does not preclude him from pursuing a grievance that was</w:t>
      </w:r>
    </w:p>
    <w:p w14:paraId="5225F14A" w14:textId="77777777" w:rsidR="002C54F5" w:rsidRPr="000A21C0" w:rsidRDefault="002C54F5" w:rsidP="002C54F5">
      <w:pPr>
        <w:pStyle w:val="NoSpacing"/>
        <w:ind w:left="720"/>
        <w:rPr>
          <w:rFonts w:ascii="Times New Roman" w:hAnsi="Times New Roman"/>
          <w:bCs/>
          <w:sz w:val="24"/>
          <w:szCs w:val="24"/>
        </w:rPr>
      </w:pPr>
      <w:r w:rsidRPr="000A21C0">
        <w:rPr>
          <w:rFonts w:ascii="Times New Roman" w:hAnsi="Times New Roman"/>
          <w:sz w:val="24"/>
          <w:szCs w:val="24"/>
        </w:rPr>
        <w:t xml:space="preserve">properly filed while he was still employed. Neither the plain language of the County Code nor the MOU supports the County’s claim that an employee’s resignation automatically terminates an ongoing grievance process. *** Therefore, even if PSAB could no longer “reinstate” Priester back to his original position under the MOU should it determine that the termination was not justified, it could still award Priester backpay for the period of time between May 16, 2013 (the date of his effective termination) and July 31, 2014 (when Priester filed for retirement)…. On remand, the PSAB may give the parties an opportunity to submit additional evidence for its consideration. Whether this requires </w:t>
      </w:r>
      <w:proofErr w:type="gramStart"/>
      <w:r w:rsidRPr="000A21C0">
        <w:rPr>
          <w:rFonts w:ascii="Times New Roman" w:hAnsi="Times New Roman"/>
          <w:sz w:val="24"/>
          <w:szCs w:val="24"/>
        </w:rPr>
        <w:t>a full</w:t>
      </w:r>
      <w:proofErr w:type="gramEnd"/>
      <w:r w:rsidRPr="000A21C0">
        <w:rPr>
          <w:rFonts w:ascii="Times New Roman" w:hAnsi="Times New Roman"/>
          <w:sz w:val="24"/>
          <w:szCs w:val="24"/>
        </w:rPr>
        <w:t xml:space="preserve"> evidentiary rehearing is left to the PSAB’s discretion.</w:t>
      </w:r>
    </w:p>
    <w:p w14:paraId="14A67F60" w14:textId="77777777" w:rsidR="002C54F5" w:rsidRPr="000A21C0" w:rsidRDefault="002C54F5" w:rsidP="002C54F5">
      <w:pPr>
        <w:pStyle w:val="NoSpacing"/>
        <w:ind w:left="720"/>
        <w:rPr>
          <w:rFonts w:ascii="Times New Roman" w:hAnsi="Times New Roman"/>
          <w:bCs/>
          <w:sz w:val="24"/>
          <w:szCs w:val="24"/>
        </w:rPr>
      </w:pPr>
    </w:p>
    <w:p w14:paraId="52713108" w14:textId="77777777" w:rsidR="002C54F5" w:rsidRPr="000A21C0" w:rsidRDefault="002C54F5" w:rsidP="002C54F5">
      <w:pPr>
        <w:pStyle w:val="NoSpacing"/>
        <w:ind w:left="720"/>
        <w:rPr>
          <w:rFonts w:ascii="Times New Roman" w:hAnsi="Times New Roman"/>
          <w:bCs/>
          <w:sz w:val="24"/>
          <w:szCs w:val="24"/>
        </w:rPr>
      </w:pPr>
      <w:r w:rsidRPr="000A21C0">
        <w:rPr>
          <w:rFonts w:ascii="Times New Roman" w:hAnsi="Times New Roman"/>
          <w:sz w:val="24"/>
          <w:szCs w:val="24"/>
        </w:rPr>
        <w:t>***</w:t>
      </w:r>
    </w:p>
    <w:p w14:paraId="472122B6" w14:textId="21CC2032" w:rsidR="002C54F5" w:rsidRDefault="002C54F5" w:rsidP="002C54F5">
      <w:pPr>
        <w:pStyle w:val="NoSpacing"/>
        <w:ind w:left="720"/>
        <w:rPr>
          <w:rFonts w:ascii="Times New Roman" w:hAnsi="Times New Roman"/>
          <w:sz w:val="24"/>
          <w:szCs w:val="24"/>
        </w:rPr>
      </w:pPr>
      <w:r w:rsidRPr="000A21C0">
        <w:rPr>
          <w:rFonts w:ascii="Times New Roman" w:hAnsi="Times New Roman"/>
          <w:sz w:val="24"/>
          <w:szCs w:val="24"/>
        </w:rPr>
        <w:t>In Priester II, we reviewed and affirmed the Board’s decision to deny Priester’s</w:t>
      </w:r>
      <w:r w:rsidR="000A21C0">
        <w:rPr>
          <w:rFonts w:ascii="Times New Roman" w:hAnsi="Times New Roman"/>
          <w:sz w:val="24"/>
          <w:szCs w:val="24"/>
        </w:rPr>
        <w:t xml:space="preserve"> </w:t>
      </w:r>
      <w:r w:rsidRPr="000A21C0">
        <w:rPr>
          <w:rFonts w:ascii="Times New Roman" w:hAnsi="Times New Roman"/>
          <w:sz w:val="24"/>
          <w:szCs w:val="24"/>
        </w:rPr>
        <w:t>entire claim for pension benefits. In reaching that conclusion, we recounted the extensive</w:t>
      </w:r>
      <w:r w:rsidR="000A21C0">
        <w:rPr>
          <w:rFonts w:ascii="Times New Roman" w:hAnsi="Times New Roman"/>
          <w:sz w:val="24"/>
          <w:szCs w:val="24"/>
        </w:rPr>
        <w:t xml:space="preserve"> </w:t>
      </w:r>
      <w:r w:rsidRPr="000A21C0">
        <w:rPr>
          <w:rFonts w:ascii="Times New Roman" w:hAnsi="Times New Roman"/>
          <w:sz w:val="24"/>
          <w:szCs w:val="24"/>
        </w:rPr>
        <w:t>testimony offered by Priester’s former colleagues and subordinates regarding his pattern</w:t>
      </w:r>
      <w:r w:rsidR="000A21C0">
        <w:rPr>
          <w:rFonts w:ascii="Times New Roman" w:hAnsi="Times New Roman"/>
          <w:sz w:val="24"/>
          <w:szCs w:val="24"/>
        </w:rPr>
        <w:t xml:space="preserve"> </w:t>
      </w:r>
      <w:r w:rsidRPr="000A21C0">
        <w:rPr>
          <w:rFonts w:ascii="Times New Roman" w:hAnsi="Times New Roman"/>
          <w:sz w:val="24"/>
          <w:szCs w:val="24"/>
        </w:rPr>
        <w:t xml:space="preserve">of sexually harassing behaviors. Rather, we agreed with the Board that any ‘average adult citizen’ would have known the potential sanctions that might follow from Priester’s behavior, noting that Captain Priester abused his status as a captain by creating a </w:t>
      </w:r>
      <w:r w:rsidRPr="000A21C0">
        <w:rPr>
          <w:rFonts w:ascii="Times New Roman" w:hAnsi="Times New Roman"/>
          <w:sz w:val="24"/>
          <w:szCs w:val="24"/>
        </w:rPr>
        <w:lastRenderedPageBreak/>
        <w:t>hostile and predatory environment, in which he exhibited a pattern of sexually harassing</w:t>
      </w:r>
      <w:r w:rsidR="000A21C0">
        <w:rPr>
          <w:rFonts w:ascii="Times New Roman" w:hAnsi="Times New Roman"/>
          <w:sz w:val="24"/>
          <w:szCs w:val="24"/>
        </w:rPr>
        <w:t xml:space="preserve"> </w:t>
      </w:r>
      <w:r w:rsidRPr="000A21C0">
        <w:rPr>
          <w:rFonts w:ascii="Times New Roman" w:hAnsi="Times New Roman"/>
          <w:sz w:val="24"/>
          <w:szCs w:val="24"/>
        </w:rPr>
        <w:t>women for his amusement and the amusement of his minions. . . . He was responsible, as captain, for enforcing the very rules that he flagrantly violated.”</w:t>
      </w:r>
    </w:p>
    <w:p w14:paraId="6F8A0645" w14:textId="77777777" w:rsidR="000630E9" w:rsidRDefault="000630E9" w:rsidP="002C54F5">
      <w:pPr>
        <w:pStyle w:val="NoSpacing"/>
        <w:ind w:left="720"/>
        <w:rPr>
          <w:rFonts w:ascii="Times New Roman" w:hAnsi="Times New Roman"/>
          <w:sz w:val="24"/>
          <w:szCs w:val="24"/>
        </w:rPr>
      </w:pPr>
    </w:p>
    <w:p w14:paraId="5A48FC44" w14:textId="77777777" w:rsidR="000630E9" w:rsidRDefault="000630E9" w:rsidP="002C54F5">
      <w:pPr>
        <w:pStyle w:val="NoSpacing"/>
        <w:ind w:left="720"/>
        <w:rPr>
          <w:rFonts w:ascii="Times New Roman" w:hAnsi="Times New Roman"/>
          <w:sz w:val="24"/>
          <w:szCs w:val="24"/>
        </w:rPr>
      </w:pPr>
    </w:p>
    <w:p w14:paraId="6F0E3F81" w14:textId="77777777" w:rsidR="000630E9" w:rsidRPr="000630E9" w:rsidRDefault="000630E9" w:rsidP="000630E9">
      <w:pPr>
        <w:pStyle w:val="NoSpacing"/>
        <w:rPr>
          <w:rFonts w:ascii="Times New Roman" w:hAnsi="Times New Roman"/>
          <w:bCs/>
          <w:sz w:val="24"/>
          <w:szCs w:val="24"/>
        </w:rPr>
      </w:pPr>
      <w:r w:rsidRPr="000630E9">
        <w:rPr>
          <w:rFonts w:ascii="Times New Roman" w:hAnsi="Times New Roman"/>
          <w:sz w:val="24"/>
          <w:szCs w:val="24"/>
        </w:rPr>
        <w:t>HOLDING:</w:t>
      </w:r>
    </w:p>
    <w:p w14:paraId="10A739DE" w14:textId="77777777" w:rsidR="000630E9" w:rsidRPr="000630E9" w:rsidRDefault="000630E9" w:rsidP="000630E9">
      <w:pPr>
        <w:pStyle w:val="NoSpacing"/>
        <w:rPr>
          <w:rFonts w:ascii="Times New Roman" w:hAnsi="Times New Roman"/>
          <w:bCs/>
          <w:sz w:val="24"/>
          <w:szCs w:val="24"/>
        </w:rPr>
      </w:pPr>
    </w:p>
    <w:p w14:paraId="7A63B2D1" w14:textId="77777777" w:rsidR="000630E9" w:rsidRPr="000630E9" w:rsidRDefault="000630E9" w:rsidP="000630E9">
      <w:pPr>
        <w:pStyle w:val="NoSpacing"/>
        <w:ind w:left="720"/>
        <w:rPr>
          <w:rFonts w:ascii="Times New Roman" w:hAnsi="Times New Roman"/>
          <w:bCs/>
          <w:sz w:val="24"/>
          <w:szCs w:val="24"/>
        </w:rPr>
      </w:pPr>
      <w:r w:rsidRPr="000630E9">
        <w:rPr>
          <w:rFonts w:ascii="Times New Roman" w:hAnsi="Times New Roman"/>
          <w:sz w:val="24"/>
          <w:szCs w:val="24"/>
        </w:rPr>
        <w:t>“Without articulating the relevant findings, the PSAB properly apply the relevant law to decide on Priester’s termination. This deficiency—compounded by the reliance on a ‘prior decision’ that does not exist— warrants a remand for the PSAB to make additional factual findings that would enable meaningful judicial review.”</w:t>
      </w:r>
    </w:p>
    <w:p w14:paraId="5DCFEC77" w14:textId="77777777" w:rsidR="000630E9" w:rsidRPr="000630E9" w:rsidRDefault="000630E9" w:rsidP="000630E9">
      <w:pPr>
        <w:pStyle w:val="NoSpacing"/>
        <w:ind w:left="720"/>
        <w:rPr>
          <w:rFonts w:ascii="Times New Roman" w:hAnsi="Times New Roman"/>
          <w:bCs/>
          <w:sz w:val="24"/>
          <w:szCs w:val="24"/>
        </w:rPr>
      </w:pPr>
    </w:p>
    <w:p w14:paraId="0CAF8AD8" w14:textId="77777777" w:rsidR="000630E9" w:rsidRPr="000630E9" w:rsidRDefault="000630E9" w:rsidP="000630E9">
      <w:pPr>
        <w:pStyle w:val="NoSpacing"/>
        <w:rPr>
          <w:rFonts w:ascii="Times New Roman" w:hAnsi="Times New Roman"/>
          <w:b/>
          <w:sz w:val="24"/>
          <w:szCs w:val="24"/>
        </w:rPr>
      </w:pPr>
      <w:r w:rsidRPr="000630E9">
        <w:rPr>
          <w:rFonts w:ascii="Times New Roman" w:hAnsi="Times New Roman"/>
          <w:b/>
          <w:sz w:val="24"/>
          <w:szCs w:val="24"/>
        </w:rPr>
        <w:t>Legal Lesson Learned: This case illustrates the importance of Civil Service Boards making final decisions, supported by findings of fact.   In the event of a tie vote, rehear the case.</w:t>
      </w:r>
    </w:p>
    <w:p w14:paraId="456E2C60" w14:textId="77777777" w:rsidR="000630E9" w:rsidRPr="000630E9" w:rsidRDefault="000630E9" w:rsidP="000630E9">
      <w:pPr>
        <w:pStyle w:val="NoSpacing"/>
        <w:rPr>
          <w:rFonts w:ascii="Times New Roman" w:hAnsi="Times New Roman"/>
          <w:b/>
          <w:sz w:val="24"/>
          <w:szCs w:val="24"/>
        </w:rPr>
      </w:pPr>
    </w:p>
    <w:p w14:paraId="2EA949A6" w14:textId="77777777" w:rsidR="000630E9" w:rsidRDefault="000630E9" w:rsidP="000630E9">
      <w:pPr>
        <w:rPr>
          <w:bCs/>
        </w:rPr>
      </w:pPr>
    </w:p>
    <w:p w14:paraId="2B3017D0" w14:textId="77777777" w:rsidR="000630E9" w:rsidRPr="000A21C0" w:rsidRDefault="000630E9" w:rsidP="002C54F5">
      <w:pPr>
        <w:pStyle w:val="NoSpacing"/>
        <w:ind w:left="720"/>
        <w:rPr>
          <w:rFonts w:ascii="Times New Roman" w:hAnsi="Times New Roman"/>
          <w:bCs/>
          <w:sz w:val="24"/>
          <w:szCs w:val="24"/>
        </w:rPr>
      </w:pPr>
    </w:p>
    <w:p w14:paraId="11238DFE" w14:textId="77777777" w:rsidR="00AE2F67" w:rsidRDefault="00AE2F67" w:rsidP="00F326E5">
      <w:pPr>
        <w:pStyle w:val="NoSpacing"/>
        <w:rPr>
          <w:rFonts w:ascii="Arial Black" w:hAnsi="Arial Black"/>
          <w:b/>
          <w:bCs/>
          <w:sz w:val="24"/>
          <w:szCs w:val="24"/>
        </w:rPr>
      </w:pPr>
    </w:p>
    <w:p w14:paraId="6DFFD68C" w14:textId="096F6287" w:rsidR="00922A0A" w:rsidRDefault="00922A0A" w:rsidP="00F326E5">
      <w:pPr>
        <w:pStyle w:val="NoSpacing"/>
        <w:rPr>
          <w:rFonts w:ascii="Arial Black" w:hAnsi="Arial Black"/>
          <w:b/>
          <w:bCs/>
          <w:sz w:val="24"/>
          <w:szCs w:val="24"/>
        </w:rPr>
      </w:pPr>
      <w:r>
        <w:rPr>
          <w:rFonts w:ascii="Arial Black" w:hAnsi="Arial Black"/>
          <w:b/>
          <w:bCs/>
          <w:sz w:val="24"/>
          <w:szCs w:val="24"/>
        </w:rPr>
        <w:t>7-</w:t>
      </w:r>
      <w:r w:rsidR="00534272">
        <w:rPr>
          <w:rFonts w:ascii="Arial Black" w:hAnsi="Arial Black"/>
          <w:b/>
          <w:bCs/>
          <w:sz w:val="24"/>
          <w:szCs w:val="24"/>
        </w:rPr>
        <w:t>68</w:t>
      </w:r>
    </w:p>
    <w:p w14:paraId="007E59A2" w14:textId="77777777" w:rsidR="00087209" w:rsidRDefault="00087209" w:rsidP="00F326E5">
      <w:pPr>
        <w:pStyle w:val="NoSpacing"/>
        <w:rPr>
          <w:rFonts w:ascii="Arial Black" w:hAnsi="Arial Black"/>
          <w:b/>
          <w:bCs/>
          <w:sz w:val="24"/>
          <w:szCs w:val="24"/>
        </w:rPr>
      </w:pPr>
    </w:p>
    <w:p w14:paraId="21608962" w14:textId="77777777" w:rsidR="00087209" w:rsidRPr="00A54508" w:rsidRDefault="00087209" w:rsidP="00087209">
      <w:pPr>
        <w:rPr>
          <w:rFonts w:ascii="Arial Black" w:hAnsi="Arial Black"/>
          <w:b/>
          <w:sz w:val="28"/>
          <w:szCs w:val="28"/>
        </w:rPr>
      </w:pPr>
      <w:r w:rsidRPr="00A54508">
        <w:rPr>
          <w:rFonts w:ascii="Arial Black" w:hAnsi="Arial Black"/>
          <w:b/>
          <w:sz w:val="28"/>
          <w:szCs w:val="28"/>
        </w:rPr>
        <w:t>US S</w:t>
      </w:r>
      <w:r>
        <w:rPr>
          <w:rFonts w:ascii="Arial Black" w:hAnsi="Arial Black"/>
          <w:b/>
          <w:sz w:val="28"/>
          <w:szCs w:val="28"/>
        </w:rPr>
        <w:t xml:space="preserve">UP CT: “STRAIGHT” CLAIMS DISC BY GAY MGR </w:t>
      </w:r>
    </w:p>
    <w:p w14:paraId="4DFE54B9" w14:textId="77777777" w:rsidR="007F5FF3" w:rsidRPr="007F5FF3" w:rsidRDefault="007F5FF3" w:rsidP="007F5FF3">
      <w:pPr>
        <w:rPr>
          <w:rStyle w:val="Hyperlink"/>
          <w:rFonts w:ascii="Times New Roman" w:hAnsi="Times New Roman"/>
          <w:sz w:val="24"/>
          <w:szCs w:val="24"/>
        </w:rPr>
      </w:pPr>
      <w:r w:rsidRPr="007F5FF3">
        <w:rPr>
          <w:rFonts w:ascii="Times New Roman" w:hAnsi="Times New Roman"/>
          <w:sz w:val="24"/>
          <w:szCs w:val="24"/>
        </w:rPr>
        <w:t xml:space="preserve">On Dec. 16, 2024, in </w:t>
      </w:r>
      <w:r w:rsidRPr="007F5FF3">
        <w:rPr>
          <w:rFonts w:ascii="Times New Roman" w:hAnsi="Times New Roman"/>
          <w:sz w:val="24"/>
          <w:szCs w:val="24"/>
          <w:u w:val="single"/>
        </w:rPr>
        <w:t>Marlean A. Ames, Petitioner v. Ohio Department of Youth Services</w:t>
      </w:r>
      <w:r w:rsidRPr="007F5FF3">
        <w:rPr>
          <w:rFonts w:ascii="Times New Roman" w:hAnsi="Times New Roman"/>
          <w:sz w:val="24"/>
          <w:szCs w:val="24"/>
        </w:rPr>
        <w:t>, the U.S. Department of Justice, Solicitor General, filed an amicus brief with the U.S. Supreme Court that Title VII prohibits racial discrimination against both minorities and those who are in majority (including white and heterosexual plaintiffs), with same standards of proof.  The  6</w:t>
      </w:r>
      <w:r w:rsidRPr="007F5FF3">
        <w:rPr>
          <w:rFonts w:ascii="Times New Roman" w:hAnsi="Times New Roman"/>
          <w:sz w:val="24"/>
          <w:szCs w:val="24"/>
          <w:vertAlign w:val="superscript"/>
        </w:rPr>
        <w:t>th</w:t>
      </w:r>
      <w:r w:rsidRPr="007F5FF3">
        <w:rPr>
          <w:rFonts w:ascii="Times New Roman" w:hAnsi="Times New Roman"/>
          <w:sz w:val="24"/>
          <w:szCs w:val="24"/>
        </w:rPr>
        <w:t xml:space="preserve"> Circuit had upheld the dismissal of the lawsuit by Ms. Ames (heterosexual) since she did show “background circumstances” to support her claim; such as statistical evidence showing a pattern of discrimination at her workplace in favor of gays.  The U.S. Supreme Court on Oct. 4, </w:t>
      </w:r>
      <w:proofErr w:type="gramStart"/>
      <w:r w:rsidRPr="007F5FF3">
        <w:rPr>
          <w:rFonts w:ascii="Times New Roman" w:hAnsi="Times New Roman"/>
          <w:sz w:val="24"/>
          <w:szCs w:val="24"/>
        </w:rPr>
        <w:t>2024</w:t>
      </w:r>
      <w:proofErr w:type="gramEnd"/>
      <w:r w:rsidRPr="007F5FF3">
        <w:rPr>
          <w:rFonts w:ascii="Times New Roman" w:hAnsi="Times New Roman"/>
          <w:sz w:val="24"/>
          <w:szCs w:val="24"/>
        </w:rPr>
        <w:t xml:space="preserve"> agreed to hear Ms. Ames’ appeal; a decision in this case could have significant impact on “reverse discrimination” cases, including fire &amp; EMS. </w:t>
      </w:r>
      <w:hyperlink r:id="rId1380" w:history="1">
        <w:r w:rsidRPr="007F5FF3">
          <w:rPr>
            <w:rStyle w:val="Hyperlink"/>
            <w:rFonts w:ascii="Times New Roman" w:hAnsi="Times New Roman"/>
            <w:sz w:val="24"/>
            <w:szCs w:val="24"/>
          </w:rPr>
          <w:t>https://www.supremecourt.gov/DocketPDF/23/23-1039/335322/20241216192608136_23-1039_Ames_Amicus_Brief_iso_Vacatur.pdf</w:t>
        </w:r>
      </w:hyperlink>
    </w:p>
    <w:p w14:paraId="3575EB13" w14:textId="77777777" w:rsidR="00087209" w:rsidRPr="00087209" w:rsidRDefault="00087209" w:rsidP="00087209">
      <w:pPr>
        <w:pStyle w:val="NoSpacing"/>
        <w:rPr>
          <w:rFonts w:ascii="Times New Roman" w:hAnsi="Times New Roman"/>
          <w:sz w:val="24"/>
          <w:szCs w:val="24"/>
        </w:rPr>
      </w:pPr>
    </w:p>
    <w:p w14:paraId="07C7F563" w14:textId="77777777" w:rsidR="00087209" w:rsidRPr="00087209" w:rsidRDefault="00087209" w:rsidP="00087209">
      <w:pPr>
        <w:pStyle w:val="NoSpacing"/>
        <w:rPr>
          <w:rFonts w:ascii="Times New Roman" w:hAnsi="Times New Roman"/>
          <w:sz w:val="24"/>
          <w:szCs w:val="24"/>
        </w:rPr>
      </w:pPr>
      <w:r w:rsidRPr="00087209">
        <w:rPr>
          <w:rFonts w:ascii="Times New Roman" w:hAnsi="Times New Roman"/>
          <w:sz w:val="24"/>
          <w:szCs w:val="24"/>
        </w:rPr>
        <w:t>The Solicitor General brief included:</w:t>
      </w:r>
    </w:p>
    <w:p w14:paraId="1D1D78AF" w14:textId="77777777" w:rsidR="00087209" w:rsidRPr="00087209" w:rsidRDefault="00087209" w:rsidP="00087209">
      <w:pPr>
        <w:pStyle w:val="NoSpacing"/>
        <w:rPr>
          <w:rFonts w:ascii="Times New Roman" w:hAnsi="Times New Roman"/>
          <w:sz w:val="24"/>
          <w:szCs w:val="24"/>
        </w:rPr>
      </w:pPr>
    </w:p>
    <w:p w14:paraId="0EABA160" w14:textId="77777777" w:rsidR="00087209" w:rsidRPr="00087209" w:rsidRDefault="00087209" w:rsidP="00087209">
      <w:pPr>
        <w:pStyle w:val="NoSpacing"/>
        <w:ind w:firstLine="720"/>
        <w:rPr>
          <w:rFonts w:ascii="Times New Roman" w:hAnsi="Times New Roman"/>
          <w:sz w:val="24"/>
          <w:szCs w:val="24"/>
        </w:rPr>
      </w:pPr>
      <w:r w:rsidRPr="00087209">
        <w:rPr>
          <w:rFonts w:ascii="Times New Roman" w:hAnsi="Times New Roman"/>
          <w:sz w:val="24"/>
          <w:szCs w:val="24"/>
        </w:rPr>
        <w:t>“She [Ms. Ames] alleged, as relevant here, that the denial of a promotion</w:t>
      </w:r>
    </w:p>
    <w:p w14:paraId="695AA482" w14:textId="77777777" w:rsidR="00087209" w:rsidRPr="00087209" w:rsidRDefault="00087209" w:rsidP="00087209">
      <w:pPr>
        <w:pStyle w:val="NoSpacing"/>
        <w:ind w:firstLine="720"/>
        <w:rPr>
          <w:rFonts w:ascii="Times New Roman" w:hAnsi="Times New Roman"/>
          <w:sz w:val="24"/>
          <w:szCs w:val="24"/>
        </w:rPr>
      </w:pPr>
      <w:r w:rsidRPr="00087209">
        <w:rPr>
          <w:rFonts w:ascii="Times New Roman" w:hAnsi="Times New Roman"/>
          <w:sz w:val="24"/>
          <w:szCs w:val="24"/>
        </w:rPr>
        <w:t xml:space="preserve">to Bureau Chief in favor of Frierson, a gay woman, was discrimination based </w:t>
      </w:r>
    </w:p>
    <w:p w14:paraId="5565F7C0" w14:textId="77777777" w:rsidR="00087209" w:rsidRPr="00087209" w:rsidRDefault="00087209" w:rsidP="00087209">
      <w:pPr>
        <w:pStyle w:val="NoSpacing"/>
        <w:ind w:firstLine="720"/>
        <w:rPr>
          <w:rFonts w:ascii="Times New Roman" w:hAnsi="Times New Roman"/>
          <w:sz w:val="24"/>
          <w:szCs w:val="24"/>
        </w:rPr>
      </w:pPr>
      <w:r w:rsidRPr="00087209">
        <w:rPr>
          <w:rFonts w:ascii="Times New Roman" w:hAnsi="Times New Roman"/>
          <w:sz w:val="24"/>
          <w:szCs w:val="24"/>
        </w:rPr>
        <w:t xml:space="preserve">on sexual orientation and that her demotion in favor of Stojsavljevic, a gay man, </w:t>
      </w:r>
    </w:p>
    <w:p w14:paraId="43DE6980" w14:textId="77777777" w:rsidR="00087209" w:rsidRPr="00087209" w:rsidRDefault="00087209" w:rsidP="00087209">
      <w:pPr>
        <w:pStyle w:val="NoSpacing"/>
        <w:ind w:firstLine="720"/>
        <w:rPr>
          <w:rFonts w:ascii="Times New Roman" w:hAnsi="Times New Roman"/>
          <w:sz w:val="24"/>
          <w:szCs w:val="24"/>
        </w:rPr>
      </w:pPr>
      <w:r w:rsidRPr="00087209">
        <w:rPr>
          <w:rFonts w:ascii="Times New Roman" w:hAnsi="Times New Roman"/>
          <w:sz w:val="24"/>
          <w:szCs w:val="24"/>
        </w:rPr>
        <w:t xml:space="preserve">was discrimination based on sexual orientation and sex. *** The requirements of a </w:t>
      </w:r>
    </w:p>
    <w:p w14:paraId="0AB078AE" w14:textId="6895CCDF" w:rsidR="00087209" w:rsidRDefault="00087209" w:rsidP="005A5089">
      <w:pPr>
        <w:pStyle w:val="NoSpacing"/>
        <w:ind w:left="720"/>
      </w:pPr>
      <w:proofErr w:type="gramStart"/>
      <w:r w:rsidRPr="00087209">
        <w:rPr>
          <w:rFonts w:ascii="Times New Roman" w:hAnsi="Times New Roman"/>
          <w:sz w:val="24"/>
          <w:szCs w:val="24"/>
        </w:rPr>
        <w:t>prima</w:t>
      </w:r>
      <w:proofErr w:type="gramEnd"/>
      <w:r w:rsidRPr="00087209">
        <w:rPr>
          <w:rFonts w:ascii="Times New Roman" w:hAnsi="Times New Roman"/>
          <w:sz w:val="24"/>
          <w:szCs w:val="24"/>
        </w:rPr>
        <w:t xml:space="preserve"> facie case </w:t>
      </w:r>
      <w:proofErr w:type="gramStart"/>
      <w:r w:rsidRPr="00087209">
        <w:rPr>
          <w:rFonts w:ascii="Times New Roman" w:hAnsi="Times New Roman"/>
          <w:sz w:val="24"/>
          <w:szCs w:val="24"/>
        </w:rPr>
        <w:t>do</w:t>
      </w:r>
      <w:proofErr w:type="gramEnd"/>
      <w:r w:rsidRPr="00087209">
        <w:rPr>
          <w:rFonts w:ascii="Times New Roman" w:hAnsi="Times New Roman"/>
          <w:sz w:val="24"/>
          <w:szCs w:val="24"/>
        </w:rPr>
        <w:t xml:space="preserve"> not vary depending on the plaintiff ’s protected characteristics. To the contrary, this Court has squarely held that Title VII ‘prohibits racial discrimination against * * * white [plaintiffs] upon the same standards as would be applicable’ if they were Black. </w:t>
      </w:r>
      <w:r w:rsidRPr="00087209">
        <w:rPr>
          <w:rFonts w:ascii="Times New Roman" w:hAnsi="Times New Roman"/>
          <w:sz w:val="24"/>
          <w:szCs w:val="24"/>
          <w:u w:val="single"/>
        </w:rPr>
        <w:t>McDonald</w:t>
      </w:r>
      <w:r w:rsidRPr="00087209">
        <w:rPr>
          <w:rFonts w:ascii="Times New Roman" w:hAnsi="Times New Roman"/>
          <w:sz w:val="24"/>
          <w:szCs w:val="24"/>
        </w:rPr>
        <w:t xml:space="preserve">, 427 U.S. at 280. The EEOC, too, has long understood Title VII to require that the claims of minority- and majority-group plaintiffs be assessed in the same fashion.”   </w:t>
      </w:r>
    </w:p>
    <w:p w14:paraId="0792AF6C" w14:textId="77777777" w:rsidR="00087209" w:rsidRDefault="00087209" w:rsidP="00F326E5">
      <w:pPr>
        <w:pStyle w:val="NoSpacing"/>
        <w:rPr>
          <w:rFonts w:ascii="Arial Black" w:hAnsi="Arial Black"/>
          <w:b/>
          <w:bCs/>
          <w:sz w:val="24"/>
          <w:szCs w:val="24"/>
        </w:rPr>
      </w:pPr>
    </w:p>
    <w:p w14:paraId="37B649D1" w14:textId="77777777" w:rsidR="00AE2F67" w:rsidRPr="00AE2F67" w:rsidRDefault="00AE2F67" w:rsidP="00AE2F67">
      <w:pPr>
        <w:pStyle w:val="NoSpacing"/>
        <w:rPr>
          <w:rFonts w:ascii="Times New Roman" w:hAnsi="Times New Roman"/>
          <w:sz w:val="24"/>
          <w:szCs w:val="24"/>
        </w:rPr>
      </w:pPr>
      <w:r w:rsidRPr="00AE2F67">
        <w:rPr>
          <w:rFonts w:ascii="Times New Roman" w:hAnsi="Times New Roman"/>
          <w:sz w:val="24"/>
          <w:szCs w:val="24"/>
        </w:rPr>
        <w:t>HOLDING: [Note: We must now wait for the U.S. Supreme Court to hear oral argument, and decide the appeal, or remand it to the 6</w:t>
      </w:r>
      <w:r w:rsidRPr="00AE2F67">
        <w:rPr>
          <w:rFonts w:ascii="Times New Roman" w:hAnsi="Times New Roman"/>
          <w:sz w:val="24"/>
          <w:szCs w:val="24"/>
          <w:vertAlign w:val="superscript"/>
        </w:rPr>
        <w:t>th</w:t>
      </w:r>
      <w:r w:rsidRPr="00AE2F67">
        <w:rPr>
          <w:rFonts w:ascii="Times New Roman" w:hAnsi="Times New Roman"/>
          <w:sz w:val="24"/>
          <w:szCs w:val="24"/>
        </w:rPr>
        <w:t xml:space="preserve"> Circuit.]</w:t>
      </w:r>
    </w:p>
    <w:p w14:paraId="673AAD3E" w14:textId="77777777" w:rsidR="00AE2F67" w:rsidRPr="00AE2F67" w:rsidRDefault="00AE2F67" w:rsidP="00AE2F67">
      <w:pPr>
        <w:pStyle w:val="NoSpacing"/>
        <w:rPr>
          <w:rFonts w:ascii="Times New Roman" w:hAnsi="Times New Roman"/>
          <w:sz w:val="24"/>
          <w:szCs w:val="24"/>
        </w:rPr>
      </w:pPr>
    </w:p>
    <w:p w14:paraId="511506F4" w14:textId="77777777" w:rsidR="00AE2F67" w:rsidRPr="00AE2F67" w:rsidRDefault="00AE2F67" w:rsidP="00AE2F67">
      <w:pPr>
        <w:pStyle w:val="NoSpacing"/>
        <w:rPr>
          <w:rFonts w:ascii="Times New Roman" w:hAnsi="Times New Roman"/>
          <w:sz w:val="24"/>
          <w:szCs w:val="24"/>
        </w:rPr>
      </w:pPr>
      <w:r w:rsidRPr="00AE2F67">
        <w:rPr>
          <w:rFonts w:ascii="Times New Roman" w:hAnsi="Times New Roman"/>
          <w:sz w:val="24"/>
          <w:szCs w:val="24"/>
        </w:rPr>
        <w:lastRenderedPageBreak/>
        <w:t>See the 6</w:t>
      </w:r>
      <w:r w:rsidRPr="00AE2F67">
        <w:rPr>
          <w:rFonts w:ascii="Times New Roman" w:hAnsi="Times New Roman"/>
          <w:sz w:val="24"/>
          <w:szCs w:val="24"/>
          <w:vertAlign w:val="superscript"/>
        </w:rPr>
        <w:t>th</w:t>
      </w:r>
      <w:r w:rsidRPr="00AE2F67">
        <w:rPr>
          <w:rFonts w:ascii="Times New Roman" w:hAnsi="Times New Roman"/>
          <w:sz w:val="24"/>
          <w:szCs w:val="24"/>
        </w:rPr>
        <w:t xml:space="preserve"> Circuit decision, Dec. 4, 2023:</w:t>
      </w:r>
    </w:p>
    <w:p w14:paraId="2EB899E8" w14:textId="77777777" w:rsidR="00AE2F67" w:rsidRPr="00AE2F67" w:rsidRDefault="00AE2F67" w:rsidP="00AE2F67">
      <w:pPr>
        <w:pStyle w:val="NoSpacing"/>
        <w:rPr>
          <w:rFonts w:ascii="Times New Roman" w:hAnsi="Times New Roman"/>
          <w:sz w:val="24"/>
          <w:szCs w:val="24"/>
        </w:rPr>
      </w:pPr>
    </w:p>
    <w:p w14:paraId="7AF515E5" w14:textId="77777777" w:rsidR="00AE2F67" w:rsidRPr="00AE2F67" w:rsidRDefault="00AE2F67" w:rsidP="00AE2F67">
      <w:pPr>
        <w:pStyle w:val="NoSpacing"/>
        <w:ind w:left="720"/>
        <w:rPr>
          <w:rFonts w:ascii="Times New Roman" w:hAnsi="Times New Roman"/>
          <w:sz w:val="24"/>
          <w:szCs w:val="24"/>
        </w:rPr>
      </w:pPr>
      <w:r w:rsidRPr="00AE2F67">
        <w:rPr>
          <w:rFonts w:ascii="Times New Roman" w:hAnsi="Times New Roman"/>
          <w:sz w:val="24"/>
          <w:szCs w:val="24"/>
        </w:rPr>
        <w:t xml:space="preserve">“In January 2019, Ohio’s governor appointed Ryan Gies to be the Department’s Director. Walburn [Assistant Director Julie Walburn] and Gies are both heterosexual. *** First, Ames was terminated as PREA Administrator by Walburn and Gies, who are both heterosexual. *** Second, Ames’s only evidence of a pattern of discrimination against heterosexuals is her own demotion and the denial of the Bureau Chief position. Under our caselaw, however, a plaintiff cannot point to her own experience to establish a pattern of discrimination. *** Ames therefore has not made the necessary showing of “background circumstances.” For that </w:t>
      </w:r>
      <w:proofErr w:type="gramStart"/>
      <w:r w:rsidRPr="00AE2F67">
        <w:rPr>
          <w:rFonts w:ascii="Times New Roman" w:hAnsi="Times New Roman"/>
          <w:sz w:val="24"/>
          <w:szCs w:val="24"/>
        </w:rPr>
        <w:t>reason</w:t>
      </w:r>
      <w:proofErr w:type="gramEnd"/>
      <w:r w:rsidRPr="00AE2F67">
        <w:rPr>
          <w:rFonts w:ascii="Times New Roman" w:hAnsi="Times New Roman"/>
          <w:sz w:val="24"/>
          <w:szCs w:val="24"/>
        </w:rPr>
        <w:t xml:space="preserve"> her claim of sexual-orientation discrimination fails.”  </w:t>
      </w:r>
      <w:hyperlink r:id="rId1381" w:history="1">
        <w:r w:rsidRPr="00AE2F67">
          <w:rPr>
            <w:rStyle w:val="Hyperlink"/>
            <w:rFonts w:ascii="Times New Roman" w:hAnsi="Times New Roman"/>
            <w:sz w:val="24"/>
            <w:szCs w:val="24"/>
          </w:rPr>
          <w:t>https://www.opn.ca6.uscourts.gov/opinions.pdf/23a0264p-06.pdf</w:t>
        </w:r>
      </w:hyperlink>
      <w:r w:rsidRPr="00AE2F67">
        <w:rPr>
          <w:rFonts w:ascii="Times New Roman" w:hAnsi="Times New Roman"/>
          <w:sz w:val="24"/>
          <w:szCs w:val="24"/>
        </w:rPr>
        <w:t xml:space="preserve"> </w:t>
      </w:r>
    </w:p>
    <w:p w14:paraId="2755F05F" w14:textId="77777777" w:rsidR="00AE2F67" w:rsidRPr="00AE2F67" w:rsidRDefault="00AE2F67" w:rsidP="00AE2F67">
      <w:pPr>
        <w:pStyle w:val="NoSpacing"/>
        <w:ind w:left="720"/>
        <w:rPr>
          <w:rFonts w:ascii="Times New Roman" w:hAnsi="Times New Roman"/>
          <w:sz w:val="24"/>
          <w:szCs w:val="24"/>
        </w:rPr>
      </w:pPr>
    </w:p>
    <w:p w14:paraId="26F341DB" w14:textId="77777777" w:rsidR="00AE2F67" w:rsidRPr="00AE2F67" w:rsidRDefault="00AE2F67" w:rsidP="00AE2F67">
      <w:pPr>
        <w:pStyle w:val="NoSpacing"/>
        <w:rPr>
          <w:rFonts w:ascii="Times New Roman" w:hAnsi="Times New Roman"/>
          <w:b/>
          <w:bCs/>
          <w:sz w:val="24"/>
          <w:szCs w:val="24"/>
        </w:rPr>
      </w:pPr>
      <w:r w:rsidRPr="00AE2F67">
        <w:rPr>
          <w:rFonts w:ascii="Times New Roman" w:hAnsi="Times New Roman"/>
          <w:b/>
          <w:sz w:val="24"/>
          <w:szCs w:val="24"/>
        </w:rPr>
        <w:t xml:space="preserve">Legal Lesson Learned:  Important case to clarify that Title VII rights are not just for minority employees. </w:t>
      </w:r>
    </w:p>
    <w:p w14:paraId="5D324420" w14:textId="77777777" w:rsidR="00AE2F67" w:rsidRPr="00AE2F67" w:rsidRDefault="00AE2F67" w:rsidP="00AE2F67">
      <w:pPr>
        <w:pStyle w:val="NoSpacing"/>
        <w:rPr>
          <w:rFonts w:ascii="Times New Roman" w:hAnsi="Times New Roman"/>
          <w:sz w:val="24"/>
          <w:szCs w:val="24"/>
        </w:rPr>
      </w:pPr>
    </w:p>
    <w:p w14:paraId="6B1BE5D5" w14:textId="77777777" w:rsidR="00922A0A" w:rsidRDefault="00922A0A" w:rsidP="00F326E5">
      <w:pPr>
        <w:pStyle w:val="NoSpacing"/>
        <w:rPr>
          <w:rFonts w:ascii="Arial Black" w:hAnsi="Arial Black"/>
          <w:b/>
          <w:bCs/>
          <w:sz w:val="24"/>
          <w:szCs w:val="24"/>
        </w:rPr>
      </w:pPr>
    </w:p>
    <w:p w14:paraId="2EEA0D80" w14:textId="77777777" w:rsidR="00922A0A" w:rsidRDefault="00922A0A" w:rsidP="00F326E5">
      <w:pPr>
        <w:pStyle w:val="NoSpacing"/>
        <w:rPr>
          <w:rFonts w:ascii="Arial Black" w:hAnsi="Arial Black"/>
          <w:b/>
          <w:bCs/>
          <w:sz w:val="24"/>
          <w:szCs w:val="24"/>
        </w:rPr>
      </w:pPr>
    </w:p>
    <w:p w14:paraId="2D5636DE" w14:textId="284D0CA0" w:rsidR="006D679A" w:rsidRDefault="006D679A" w:rsidP="00F326E5">
      <w:pPr>
        <w:pStyle w:val="NoSpacing"/>
        <w:rPr>
          <w:rFonts w:ascii="Arial Black" w:hAnsi="Arial Black"/>
          <w:b/>
          <w:bCs/>
          <w:sz w:val="24"/>
          <w:szCs w:val="24"/>
        </w:rPr>
      </w:pPr>
      <w:r>
        <w:rPr>
          <w:rFonts w:ascii="Arial Black" w:hAnsi="Arial Black"/>
          <w:b/>
          <w:bCs/>
          <w:sz w:val="24"/>
          <w:szCs w:val="24"/>
        </w:rPr>
        <w:t>7-67</w:t>
      </w:r>
    </w:p>
    <w:p w14:paraId="012F81BD" w14:textId="77777777" w:rsidR="006D679A" w:rsidRDefault="006D679A" w:rsidP="00F326E5">
      <w:pPr>
        <w:pStyle w:val="NoSpacing"/>
        <w:rPr>
          <w:rFonts w:ascii="Arial Black" w:hAnsi="Arial Black"/>
          <w:b/>
          <w:bCs/>
          <w:sz w:val="24"/>
          <w:szCs w:val="24"/>
        </w:rPr>
      </w:pPr>
    </w:p>
    <w:p w14:paraId="1E9B3EBF" w14:textId="77777777" w:rsidR="005904B5" w:rsidRPr="00D0761D" w:rsidRDefault="005904B5" w:rsidP="005904B5">
      <w:pPr>
        <w:pStyle w:val="NoSpacing"/>
        <w:rPr>
          <w:rFonts w:ascii="Arial Black" w:hAnsi="Arial Black"/>
          <w:sz w:val="28"/>
        </w:rPr>
      </w:pPr>
      <w:r>
        <w:rPr>
          <w:rFonts w:ascii="Arial Black" w:hAnsi="Arial Black"/>
          <w:sz w:val="28"/>
        </w:rPr>
        <w:t>NM: DEPUTY CHIEF FIRED – OFFENSIVE COMMENTS FEMALE CADET: “BEAUTIFUL WOMAN IN HER UNDERWEAR”</w:t>
      </w:r>
    </w:p>
    <w:p w14:paraId="44C2D604" w14:textId="77777777" w:rsidR="005904B5" w:rsidRPr="005904B5" w:rsidRDefault="005904B5" w:rsidP="005904B5">
      <w:pPr>
        <w:pStyle w:val="NoSpacing"/>
        <w:rPr>
          <w:rFonts w:ascii="Times New Roman" w:hAnsi="Times New Roman"/>
          <w:sz w:val="24"/>
          <w:szCs w:val="24"/>
        </w:rPr>
      </w:pPr>
    </w:p>
    <w:p w14:paraId="01992CE0" w14:textId="77777777" w:rsidR="005904B5" w:rsidRPr="005904B5" w:rsidRDefault="005904B5" w:rsidP="005904B5">
      <w:pPr>
        <w:pStyle w:val="NoSpacing"/>
        <w:rPr>
          <w:rFonts w:ascii="Times New Roman" w:hAnsi="Times New Roman"/>
          <w:sz w:val="24"/>
          <w:szCs w:val="24"/>
        </w:rPr>
      </w:pPr>
      <w:r w:rsidRPr="005904B5">
        <w:rPr>
          <w:rFonts w:ascii="Times New Roman" w:hAnsi="Times New Roman"/>
          <w:sz w:val="24"/>
          <w:szCs w:val="24"/>
        </w:rPr>
        <w:t xml:space="preserve">On September 30, 2024, in </w:t>
      </w:r>
      <w:r w:rsidRPr="005904B5">
        <w:rPr>
          <w:rFonts w:ascii="Times New Roman" w:hAnsi="Times New Roman"/>
          <w:sz w:val="24"/>
          <w:szCs w:val="24"/>
          <w:u w:val="single"/>
        </w:rPr>
        <w:t xml:space="preserve">Eric Tafoya v. City of </w:t>
      </w:r>
      <w:proofErr w:type="spellStart"/>
      <w:r w:rsidRPr="005904B5">
        <w:rPr>
          <w:rFonts w:ascii="Times New Roman" w:hAnsi="Times New Roman"/>
          <w:sz w:val="24"/>
          <w:szCs w:val="24"/>
          <w:u w:val="single"/>
        </w:rPr>
        <w:t>Espaaola</w:t>
      </w:r>
      <w:proofErr w:type="spellEnd"/>
      <w:r w:rsidRPr="005904B5">
        <w:rPr>
          <w:rFonts w:ascii="Times New Roman" w:hAnsi="Times New Roman"/>
          <w:sz w:val="24"/>
          <w:szCs w:val="24"/>
        </w:rPr>
        <w:t xml:space="preserve">, the Court of Appeals of New Mexico (3 to 0; unpublished decision) upheld the City’s termination of the Deputy Fire Chief; he made comments to female Cadet who needed smaller fire boots (in front of her female Lieutenant), about his liking her small feet and male firefighters will not complain about working with her -  “I don’t know why they’d complain about seeing a beautiful woman in her underwear.” The City’s Civil Service Commission hearing officer reversed the termination because the inappropriate comments did not create a “hostile work environment.”   The City appealed to state District Court judge, who upheld the termination; the Court of Appeals agreed.  The Court wrote: “[T]he hearing officer appears to have relied on cases involving claims of sexual harassment under the New Mexico Human Rights Act, NMSA 1978, §§ 28-1-1 to -14 (1969, as amended through 2024), when reaching its decision that Tafoya did not violate the City’s sexual harassment policy. Using those cases, Tafoya argued that New Mexico only recognizes ‘hostile work environment’ and ‘quid pro quo’ sexual harassment claims. *** In that regard, we note that the City’s policy is much broader than Tafoya argues. It provides discipline for sexually harassing conduct that had ‘the effect of creating an offensive, intimidating, degrading or hostile work environment.’ Personnel Policy § 1.4.1(B) at 5 (emphasis added).” </w:t>
      </w:r>
      <w:hyperlink r:id="rId1382" w:history="1">
        <w:r w:rsidRPr="005904B5">
          <w:rPr>
            <w:rStyle w:val="Hyperlink"/>
            <w:rFonts w:ascii="Times New Roman" w:hAnsi="Times New Roman"/>
            <w:sz w:val="24"/>
            <w:szCs w:val="24"/>
          </w:rPr>
          <w:t>https://coa.nmcourts.gov/wp-content/uploads/sites/43/2024/09/September-30-2024-Eric-Tafoya-v.-City-of-Espanola-No.-A-1-CA-40276.pdf</w:t>
        </w:r>
      </w:hyperlink>
      <w:r w:rsidRPr="005904B5">
        <w:rPr>
          <w:rFonts w:ascii="Times New Roman" w:hAnsi="Times New Roman"/>
          <w:sz w:val="24"/>
          <w:szCs w:val="24"/>
        </w:rPr>
        <w:t xml:space="preserve"> </w:t>
      </w:r>
    </w:p>
    <w:p w14:paraId="6C5B438C" w14:textId="77777777" w:rsidR="005904B5" w:rsidRPr="005904B5" w:rsidRDefault="005904B5" w:rsidP="005904B5">
      <w:pPr>
        <w:pStyle w:val="NoSpacing"/>
        <w:rPr>
          <w:rFonts w:ascii="Times New Roman" w:hAnsi="Times New Roman"/>
          <w:sz w:val="24"/>
          <w:szCs w:val="24"/>
        </w:rPr>
      </w:pPr>
    </w:p>
    <w:p w14:paraId="043B3837" w14:textId="77777777" w:rsidR="005904B5" w:rsidRPr="005904B5" w:rsidRDefault="005904B5" w:rsidP="005904B5">
      <w:pPr>
        <w:pStyle w:val="NoSpacing"/>
        <w:rPr>
          <w:rFonts w:ascii="Times New Roman" w:hAnsi="Times New Roman"/>
          <w:sz w:val="24"/>
          <w:szCs w:val="24"/>
        </w:rPr>
      </w:pPr>
    </w:p>
    <w:p w14:paraId="6EE859A3" w14:textId="77777777" w:rsidR="005904B5" w:rsidRPr="005904B5" w:rsidRDefault="005904B5" w:rsidP="005904B5">
      <w:pPr>
        <w:pStyle w:val="NoSpacing"/>
        <w:rPr>
          <w:rFonts w:ascii="Times New Roman" w:hAnsi="Times New Roman"/>
          <w:sz w:val="24"/>
          <w:szCs w:val="24"/>
        </w:rPr>
      </w:pPr>
      <w:r w:rsidRPr="005904B5">
        <w:rPr>
          <w:rFonts w:ascii="Times New Roman" w:hAnsi="Times New Roman"/>
          <w:sz w:val="24"/>
          <w:szCs w:val="24"/>
        </w:rPr>
        <w:t>THE COURT HELD:</w:t>
      </w:r>
    </w:p>
    <w:p w14:paraId="62C3C33D" w14:textId="77777777" w:rsidR="005904B5" w:rsidRPr="005904B5" w:rsidRDefault="005904B5" w:rsidP="005904B5">
      <w:pPr>
        <w:pStyle w:val="NoSpacing"/>
        <w:rPr>
          <w:rFonts w:ascii="Times New Roman" w:hAnsi="Times New Roman"/>
          <w:sz w:val="24"/>
          <w:szCs w:val="24"/>
        </w:rPr>
      </w:pPr>
    </w:p>
    <w:p w14:paraId="0B25F346" w14:textId="77777777" w:rsidR="005904B5" w:rsidRPr="005904B5" w:rsidRDefault="005904B5" w:rsidP="005904B5">
      <w:pPr>
        <w:pStyle w:val="NoSpacing"/>
        <w:ind w:left="720"/>
        <w:rPr>
          <w:rFonts w:ascii="Times New Roman" w:hAnsi="Times New Roman"/>
          <w:sz w:val="24"/>
          <w:szCs w:val="24"/>
        </w:rPr>
      </w:pPr>
      <w:r w:rsidRPr="005904B5">
        <w:rPr>
          <w:rFonts w:ascii="Times New Roman" w:hAnsi="Times New Roman"/>
          <w:sz w:val="24"/>
          <w:szCs w:val="24"/>
        </w:rPr>
        <w:t>“The record supports the district court’s determination that Tafoya’s comments, detailed above, constitute sexual flirtation, verbal comments of a sexual nature, or suggestive comments about Cadet Hart’s body, in violation of the City’s sexual harassment policy.</w:t>
      </w:r>
    </w:p>
    <w:p w14:paraId="49F27E6D" w14:textId="77777777" w:rsidR="005904B5" w:rsidRPr="005904B5" w:rsidRDefault="005904B5" w:rsidP="005904B5">
      <w:pPr>
        <w:pStyle w:val="NoSpacing"/>
        <w:ind w:left="720"/>
        <w:rPr>
          <w:rFonts w:ascii="Times New Roman" w:hAnsi="Times New Roman"/>
          <w:sz w:val="24"/>
          <w:szCs w:val="24"/>
        </w:rPr>
      </w:pPr>
    </w:p>
    <w:p w14:paraId="76E8E5B3" w14:textId="77777777" w:rsidR="005904B5" w:rsidRPr="005904B5" w:rsidRDefault="005904B5" w:rsidP="005904B5">
      <w:pPr>
        <w:pStyle w:val="NoSpacing"/>
        <w:ind w:left="720"/>
        <w:rPr>
          <w:rFonts w:ascii="Times New Roman" w:hAnsi="Times New Roman"/>
          <w:sz w:val="24"/>
          <w:szCs w:val="24"/>
        </w:rPr>
      </w:pPr>
      <w:r w:rsidRPr="005904B5">
        <w:rPr>
          <w:rFonts w:ascii="Times New Roman" w:hAnsi="Times New Roman"/>
          <w:sz w:val="24"/>
          <w:szCs w:val="24"/>
        </w:rPr>
        <w:t>***</w:t>
      </w:r>
    </w:p>
    <w:p w14:paraId="5FC0F684" w14:textId="77777777" w:rsidR="005904B5" w:rsidRPr="005904B5" w:rsidRDefault="005904B5" w:rsidP="005904B5">
      <w:pPr>
        <w:pStyle w:val="NoSpacing"/>
        <w:rPr>
          <w:rFonts w:ascii="Times New Roman" w:hAnsi="Times New Roman"/>
          <w:sz w:val="24"/>
          <w:szCs w:val="24"/>
        </w:rPr>
      </w:pPr>
    </w:p>
    <w:p w14:paraId="08BE14C7" w14:textId="77777777" w:rsidR="005904B5" w:rsidRPr="005904B5" w:rsidRDefault="005904B5" w:rsidP="005904B5">
      <w:pPr>
        <w:pStyle w:val="NoSpacing"/>
        <w:ind w:left="720"/>
        <w:rPr>
          <w:rFonts w:ascii="Times New Roman" w:hAnsi="Times New Roman"/>
          <w:sz w:val="24"/>
          <w:szCs w:val="24"/>
        </w:rPr>
      </w:pPr>
      <w:r w:rsidRPr="005904B5">
        <w:rPr>
          <w:rFonts w:ascii="Times New Roman" w:hAnsi="Times New Roman"/>
          <w:sz w:val="24"/>
          <w:szCs w:val="24"/>
        </w:rPr>
        <w:t xml:space="preserve">The hearing officer made the following findings, which were adopted by the district court: (1) in response to Lieutenant Martinez’s statement that Tafoya’s boots would not fit Cadet Hart because she has ‘tiny feet,’ Tafoya stated that he ‘loves tiny feet’; (2) in response to Cadet Hart’s statement that ‘my feet are tiny because I have high arches,’ Tafoya stated that he ‘loves high arches and flat feet were </w:t>
      </w:r>
      <w:r w:rsidRPr="005904B5">
        <w:rPr>
          <w:rFonts w:ascii="Times New Roman" w:hAnsi="Times New Roman"/>
          <w:sz w:val="24"/>
          <w:szCs w:val="24"/>
        </w:rPr>
        <w:lastRenderedPageBreak/>
        <w:t>ugly’; (3) Tafoya instructed Cadet Hart to try on his turnout gear, and Lieutenant Martinez stated it was okay to do so; (4) Tafoya stated, ‘Oh, good, now we get to see her feet’; and (5) when male firefighters were questioning sharing space with a female and seeing her in her underwear, Tafoya interjected, ‘I don’t know why they’d complain about seeing a beautiful woman in her underwear,’ which Cadet Hart perceived as having sexual connotations and made her feel uncomfortable. These findings are supported by the affidavits of both Lieutenant Martinez and Cadet Hart.”</w:t>
      </w:r>
    </w:p>
    <w:p w14:paraId="7F2FBC34" w14:textId="77777777" w:rsidR="005904B5" w:rsidRPr="005904B5" w:rsidRDefault="005904B5" w:rsidP="005904B5">
      <w:pPr>
        <w:pStyle w:val="NoSpacing"/>
        <w:ind w:left="720"/>
        <w:rPr>
          <w:rFonts w:ascii="Times New Roman" w:hAnsi="Times New Roman"/>
          <w:sz w:val="24"/>
          <w:szCs w:val="24"/>
        </w:rPr>
      </w:pPr>
    </w:p>
    <w:p w14:paraId="30AB6E86" w14:textId="77777777" w:rsidR="005904B5" w:rsidRPr="005904B5" w:rsidRDefault="005904B5" w:rsidP="005904B5">
      <w:pPr>
        <w:pStyle w:val="NoSpacing"/>
        <w:rPr>
          <w:rFonts w:ascii="Times New Roman" w:hAnsi="Times New Roman"/>
          <w:b/>
          <w:bCs/>
          <w:sz w:val="24"/>
          <w:szCs w:val="24"/>
        </w:rPr>
      </w:pPr>
      <w:r w:rsidRPr="005904B5">
        <w:rPr>
          <w:rFonts w:ascii="Times New Roman" w:hAnsi="Times New Roman"/>
          <w:b/>
          <w:bCs/>
          <w:sz w:val="24"/>
          <w:szCs w:val="24"/>
        </w:rPr>
        <w:t xml:space="preserve">Legal Lesson Learned: Avoid offensive or degrading comments. </w:t>
      </w:r>
    </w:p>
    <w:p w14:paraId="4E2A559D" w14:textId="77777777" w:rsidR="006D679A" w:rsidRDefault="006D679A" w:rsidP="00F326E5">
      <w:pPr>
        <w:pStyle w:val="NoSpacing"/>
        <w:rPr>
          <w:rFonts w:ascii="Arial Black" w:hAnsi="Arial Black"/>
          <w:b/>
          <w:bCs/>
          <w:sz w:val="24"/>
          <w:szCs w:val="24"/>
        </w:rPr>
      </w:pPr>
    </w:p>
    <w:p w14:paraId="5A8FA857" w14:textId="77777777" w:rsidR="006D679A" w:rsidRDefault="006D679A" w:rsidP="00F326E5">
      <w:pPr>
        <w:pStyle w:val="NoSpacing"/>
        <w:rPr>
          <w:rFonts w:ascii="Arial Black" w:hAnsi="Arial Black"/>
          <w:b/>
          <w:bCs/>
          <w:sz w:val="24"/>
          <w:szCs w:val="24"/>
        </w:rPr>
      </w:pPr>
    </w:p>
    <w:p w14:paraId="1C9CBF3E" w14:textId="5F83B3A5" w:rsidR="00E04891" w:rsidRDefault="00E04891" w:rsidP="00F326E5">
      <w:pPr>
        <w:pStyle w:val="NoSpacing"/>
        <w:rPr>
          <w:rFonts w:ascii="Arial Black" w:hAnsi="Arial Black"/>
          <w:b/>
          <w:bCs/>
          <w:sz w:val="24"/>
          <w:szCs w:val="24"/>
        </w:rPr>
      </w:pPr>
      <w:r>
        <w:rPr>
          <w:rFonts w:ascii="Arial Black" w:hAnsi="Arial Black"/>
          <w:b/>
          <w:bCs/>
          <w:sz w:val="24"/>
          <w:szCs w:val="24"/>
        </w:rPr>
        <w:t>7-66</w:t>
      </w:r>
    </w:p>
    <w:p w14:paraId="5FE19DEC" w14:textId="77777777" w:rsidR="00235836" w:rsidRDefault="00235836" w:rsidP="00F326E5">
      <w:pPr>
        <w:pStyle w:val="NoSpacing"/>
        <w:rPr>
          <w:rFonts w:ascii="Arial Black" w:hAnsi="Arial Black"/>
          <w:b/>
          <w:bCs/>
          <w:sz w:val="24"/>
          <w:szCs w:val="24"/>
        </w:rPr>
      </w:pPr>
    </w:p>
    <w:p w14:paraId="54F3F4A6" w14:textId="77777777" w:rsidR="00235836" w:rsidRDefault="00235836" w:rsidP="00235836">
      <w:pPr>
        <w:pStyle w:val="NoSpacing"/>
        <w:rPr>
          <w:rFonts w:ascii="Arial Black" w:hAnsi="Arial Black"/>
          <w:sz w:val="28"/>
        </w:rPr>
      </w:pPr>
      <w:r>
        <w:rPr>
          <w:rFonts w:ascii="Arial Black" w:hAnsi="Arial Black"/>
          <w:sz w:val="28"/>
        </w:rPr>
        <w:t xml:space="preserve">LA: OFFICE ROMANCE – ADMIN. AIDE FIRED – TROUBLE IN WORKPLACE - DIVORCED A/C, MARRIED FORMER D/C </w:t>
      </w:r>
    </w:p>
    <w:p w14:paraId="2DFD5946" w14:textId="77777777" w:rsidR="00235836" w:rsidRDefault="00235836" w:rsidP="00235836">
      <w:pPr>
        <w:pStyle w:val="NoSpacing"/>
        <w:rPr>
          <w:rFonts w:ascii="Arial Black" w:hAnsi="Arial Black"/>
          <w:sz w:val="28"/>
        </w:rPr>
      </w:pPr>
    </w:p>
    <w:p w14:paraId="6B56AB84" w14:textId="77777777" w:rsidR="00235836" w:rsidRPr="00235836" w:rsidRDefault="00235836" w:rsidP="00235836">
      <w:pPr>
        <w:pStyle w:val="NoSpacing"/>
        <w:rPr>
          <w:rFonts w:ascii="Times New Roman" w:hAnsi="Times New Roman"/>
          <w:sz w:val="24"/>
          <w:szCs w:val="24"/>
        </w:rPr>
      </w:pPr>
      <w:r w:rsidRPr="00235836">
        <w:rPr>
          <w:rFonts w:ascii="Times New Roman" w:hAnsi="Times New Roman"/>
          <w:sz w:val="24"/>
          <w:szCs w:val="24"/>
        </w:rPr>
        <w:t xml:space="preserve">On August 7, 2024, in Stacie </w:t>
      </w:r>
      <w:proofErr w:type="spellStart"/>
      <w:r w:rsidRPr="00235836">
        <w:rPr>
          <w:rFonts w:ascii="Times New Roman" w:hAnsi="Times New Roman"/>
          <w:sz w:val="24"/>
          <w:szCs w:val="24"/>
        </w:rPr>
        <w:t>Dellucky</w:t>
      </w:r>
      <w:proofErr w:type="spellEnd"/>
      <w:r w:rsidRPr="00235836">
        <w:rPr>
          <w:rFonts w:ascii="Times New Roman" w:hAnsi="Times New Roman"/>
          <w:sz w:val="24"/>
          <w:szCs w:val="24"/>
        </w:rPr>
        <w:t xml:space="preserve"> and Frank Dellucky v, St. George Fire Protection District, et al., U.S. Court of Appeals for 5</w:t>
      </w:r>
      <w:r w:rsidRPr="00235836">
        <w:rPr>
          <w:rFonts w:ascii="Times New Roman" w:hAnsi="Times New Roman"/>
          <w:sz w:val="24"/>
          <w:szCs w:val="24"/>
          <w:vertAlign w:val="superscript"/>
        </w:rPr>
        <w:t>th</w:t>
      </w:r>
      <w:r w:rsidRPr="00235836">
        <w:rPr>
          <w:rFonts w:ascii="Times New Roman" w:hAnsi="Times New Roman"/>
          <w:sz w:val="24"/>
          <w:szCs w:val="24"/>
        </w:rPr>
        <w:t xml:space="preserve"> Circuit (New Orleans) held (3 to 0) that trial court properly summary judgment to the FD and fire chief.   The Court wrote: “Here, the challenged government action-the Chief's termination of Stacie-did not prohibit whole classes of people from marrying. Appellants adduced no evidence of a St. George policy barring co-workers from marrying or banning marriages between members of management and their subordinates. The evidence shows that the Chief's decision was motivated by the fact that </w:t>
      </w:r>
      <w:r w:rsidRPr="00235836">
        <w:rPr>
          <w:rFonts w:ascii="Times New Roman" w:hAnsi="Times New Roman"/>
          <w:i/>
          <w:iCs/>
          <w:sz w:val="24"/>
          <w:szCs w:val="24"/>
        </w:rPr>
        <w:t>Stacie</w:t>
      </w:r>
      <w:r w:rsidRPr="00235836">
        <w:rPr>
          <w:rFonts w:ascii="Times New Roman" w:hAnsi="Times New Roman"/>
          <w:sz w:val="24"/>
          <w:szCs w:val="24"/>
        </w:rPr>
        <w:t xml:space="preserve"> [who divorced  Assistant Fire Chief Chad Roberson] married </w:t>
      </w:r>
      <w:r w:rsidRPr="00235836">
        <w:rPr>
          <w:rFonts w:ascii="Times New Roman" w:hAnsi="Times New Roman"/>
          <w:i/>
          <w:iCs/>
          <w:sz w:val="24"/>
          <w:szCs w:val="24"/>
        </w:rPr>
        <w:t xml:space="preserve">Frank </w:t>
      </w:r>
      <w:r w:rsidRPr="00235836">
        <w:rPr>
          <w:rFonts w:ascii="Times New Roman" w:hAnsi="Times New Roman"/>
          <w:sz w:val="24"/>
          <w:szCs w:val="24"/>
        </w:rPr>
        <w:t xml:space="preserve">[Dellucky, now former District Chief]; there is no evidence that the outcome would have been the same if the marriage had been between two other employees. Moreover, Stacie's termination clearly did not discourage or render practically impossible her marriage to Frank: the record indicates that they remain married today. The challenged government action did not directly and substantially interfere with Stacie's or Frank's right to marry. The district court correctly determined that the appropriate standard of review, therefore, is rational basis review. *** Here, the Chief justified terminating Stacie in their conversation in July 2020: Stacie's and Frank's relationship had caused trouble in the workplace in the past, and the Chief had warned them that if their relationship became permanent, they would not be able to work at St. George. Maintaining workplace order and morale and ensuring that the chain-of-command operates effectively is a legitimate objective.” </w:t>
      </w:r>
      <w:hyperlink r:id="rId1383" w:history="1">
        <w:r w:rsidRPr="00235836">
          <w:rPr>
            <w:rStyle w:val="Hyperlink"/>
            <w:rFonts w:ascii="Times New Roman" w:hAnsi="Times New Roman"/>
            <w:sz w:val="24"/>
            <w:szCs w:val="24"/>
          </w:rPr>
          <w:t>https://www.ca5.uscourts.gov/opinions/unpub/23/23-30810.0.pdf</w:t>
        </w:r>
      </w:hyperlink>
      <w:r w:rsidRPr="00235836">
        <w:rPr>
          <w:rFonts w:ascii="Times New Roman" w:hAnsi="Times New Roman"/>
          <w:sz w:val="24"/>
          <w:szCs w:val="24"/>
        </w:rPr>
        <w:t xml:space="preserve"> </w:t>
      </w:r>
    </w:p>
    <w:p w14:paraId="76FEE607" w14:textId="77777777" w:rsidR="00235836" w:rsidRPr="00235836" w:rsidRDefault="00235836" w:rsidP="00235836">
      <w:pPr>
        <w:pStyle w:val="NoSpacing"/>
        <w:rPr>
          <w:rFonts w:ascii="Times New Roman" w:hAnsi="Times New Roman"/>
          <w:sz w:val="24"/>
          <w:szCs w:val="24"/>
        </w:rPr>
      </w:pPr>
    </w:p>
    <w:p w14:paraId="2BCB9D25" w14:textId="77777777" w:rsidR="00235836" w:rsidRPr="00235836" w:rsidRDefault="00235836" w:rsidP="00235836">
      <w:pPr>
        <w:pStyle w:val="NoSpacing"/>
        <w:rPr>
          <w:rFonts w:ascii="Times New Roman" w:hAnsi="Times New Roman"/>
          <w:sz w:val="24"/>
          <w:szCs w:val="24"/>
        </w:rPr>
      </w:pPr>
      <w:r w:rsidRPr="00235836">
        <w:rPr>
          <w:rFonts w:ascii="Times New Roman" w:hAnsi="Times New Roman"/>
          <w:sz w:val="24"/>
          <w:szCs w:val="24"/>
        </w:rPr>
        <w:t>THE COURT HELD:</w:t>
      </w:r>
    </w:p>
    <w:p w14:paraId="3D585EFF" w14:textId="77777777" w:rsidR="00235836" w:rsidRPr="00235836" w:rsidRDefault="00235836" w:rsidP="00235836">
      <w:pPr>
        <w:pStyle w:val="NoSpacing"/>
        <w:ind w:left="720"/>
        <w:rPr>
          <w:rFonts w:ascii="Times New Roman" w:hAnsi="Times New Roman"/>
          <w:sz w:val="24"/>
          <w:szCs w:val="24"/>
        </w:rPr>
      </w:pPr>
    </w:p>
    <w:p w14:paraId="02412C37" w14:textId="77777777" w:rsidR="00235836" w:rsidRPr="00235836" w:rsidRDefault="00235836" w:rsidP="00235836">
      <w:pPr>
        <w:pStyle w:val="NoSpacing"/>
        <w:ind w:left="720"/>
        <w:rPr>
          <w:rFonts w:ascii="Times New Roman" w:hAnsi="Times New Roman"/>
          <w:sz w:val="24"/>
          <w:szCs w:val="24"/>
        </w:rPr>
      </w:pPr>
      <w:r w:rsidRPr="00235836">
        <w:rPr>
          <w:rFonts w:ascii="Times New Roman" w:hAnsi="Times New Roman"/>
          <w:sz w:val="24"/>
          <w:szCs w:val="24"/>
        </w:rPr>
        <w:t xml:space="preserve">”And Appellants' unsupported assertions notwithstanding, the summary judgment record suggests that Stacie's and Frank's relationship threatened the Chief's ability to accomplish that objective. Appellees have proffered summary judgment evidence showing that the Chief's decision to terminate Stacie bore a ‘rational relationship’ to a legitimate objective. </w:t>
      </w:r>
      <w:r w:rsidRPr="00235836">
        <w:rPr>
          <w:rFonts w:ascii="Times New Roman" w:hAnsi="Times New Roman"/>
          <w:i/>
          <w:iCs/>
          <w:sz w:val="24"/>
          <w:szCs w:val="24"/>
        </w:rPr>
        <w:t>Lewis</w:t>
      </w:r>
      <w:r w:rsidRPr="00235836">
        <w:rPr>
          <w:rFonts w:ascii="Times New Roman" w:hAnsi="Times New Roman"/>
          <w:sz w:val="24"/>
          <w:szCs w:val="24"/>
        </w:rPr>
        <w:t>, 2022 WL 10965839, at *3. Accordingly, the Chief's decision to terminate Stacie's employment passes the rational basis test.”</w:t>
      </w:r>
    </w:p>
    <w:p w14:paraId="1949E9B6" w14:textId="77777777" w:rsidR="00235836" w:rsidRPr="00235836" w:rsidRDefault="00235836" w:rsidP="00235836">
      <w:pPr>
        <w:pStyle w:val="NoSpacing"/>
        <w:ind w:left="720"/>
        <w:rPr>
          <w:rFonts w:ascii="Times New Roman" w:hAnsi="Times New Roman"/>
          <w:sz w:val="24"/>
          <w:szCs w:val="24"/>
        </w:rPr>
      </w:pPr>
    </w:p>
    <w:p w14:paraId="06D5F80A" w14:textId="77777777" w:rsidR="00235836" w:rsidRPr="00235836" w:rsidRDefault="00235836" w:rsidP="00235836">
      <w:pPr>
        <w:pStyle w:val="NoSpacing"/>
        <w:rPr>
          <w:rFonts w:ascii="Times New Roman" w:hAnsi="Times New Roman"/>
          <w:b/>
          <w:bCs/>
          <w:sz w:val="24"/>
          <w:szCs w:val="24"/>
        </w:rPr>
      </w:pPr>
      <w:r w:rsidRPr="00235836">
        <w:rPr>
          <w:rFonts w:ascii="Times New Roman" w:hAnsi="Times New Roman"/>
          <w:b/>
          <w:bCs/>
          <w:sz w:val="24"/>
          <w:szCs w:val="24"/>
        </w:rPr>
        <w:t>Legal Lesson Learned:  As the Court wrote: “Maintaining workplace order and morale and ensuring that the chain-of-command operates effectively is a legitimate objective.”</w:t>
      </w:r>
    </w:p>
    <w:p w14:paraId="59993FB8" w14:textId="77777777" w:rsidR="00235836" w:rsidRDefault="00235836" w:rsidP="00235836">
      <w:pPr>
        <w:pStyle w:val="NoSpacing"/>
        <w:jc w:val="center"/>
        <w:rPr>
          <w:szCs w:val="24"/>
        </w:rPr>
      </w:pPr>
    </w:p>
    <w:p w14:paraId="672E5680" w14:textId="77777777" w:rsidR="00235836" w:rsidRDefault="00235836" w:rsidP="00235836">
      <w:pPr>
        <w:pStyle w:val="NoSpacing"/>
        <w:rPr>
          <w:szCs w:val="24"/>
        </w:rPr>
      </w:pPr>
    </w:p>
    <w:p w14:paraId="07309D66" w14:textId="77777777" w:rsidR="00E04891" w:rsidRDefault="00E04891" w:rsidP="00F326E5">
      <w:pPr>
        <w:pStyle w:val="NoSpacing"/>
        <w:rPr>
          <w:rFonts w:ascii="Arial Black" w:hAnsi="Arial Black"/>
          <w:b/>
          <w:bCs/>
          <w:sz w:val="24"/>
          <w:szCs w:val="24"/>
        </w:rPr>
      </w:pPr>
    </w:p>
    <w:p w14:paraId="0395F36F" w14:textId="74F57258" w:rsidR="005D56E5" w:rsidRDefault="00DD6FAF" w:rsidP="00F326E5">
      <w:pPr>
        <w:pStyle w:val="NoSpacing"/>
        <w:rPr>
          <w:rFonts w:ascii="Arial Black" w:hAnsi="Arial Black"/>
          <w:b/>
          <w:bCs/>
          <w:sz w:val="24"/>
          <w:szCs w:val="24"/>
        </w:rPr>
      </w:pPr>
      <w:r>
        <w:rPr>
          <w:rFonts w:ascii="Arial Black" w:hAnsi="Arial Black"/>
          <w:b/>
          <w:bCs/>
          <w:sz w:val="24"/>
          <w:szCs w:val="24"/>
        </w:rPr>
        <w:t>7-65</w:t>
      </w:r>
    </w:p>
    <w:p w14:paraId="74C84B6B" w14:textId="77777777" w:rsidR="00D6205D" w:rsidRDefault="00D6205D" w:rsidP="00F326E5">
      <w:pPr>
        <w:pStyle w:val="NoSpacing"/>
        <w:rPr>
          <w:rFonts w:ascii="Arial Black" w:hAnsi="Arial Black"/>
          <w:b/>
          <w:bCs/>
          <w:sz w:val="24"/>
          <w:szCs w:val="24"/>
        </w:rPr>
      </w:pPr>
    </w:p>
    <w:p w14:paraId="41CF91FD" w14:textId="36FEA821" w:rsidR="00E04891" w:rsidRPr="003E239A" w:rsidRDefault="00E04891" w:rsidP="00E04891">
      <w:pPr>
        <w:pStyle w:val="NoSpacing"/>
        <w:rPr>
          <w:rFonts w:ascii="Arial Black" w:hAnsi="Arial Black"/>
          <w:sz w:val="28"/>
        </w:rPr>
      </w:pPr>
      <w:r>
        <w:rPr>
          <w:rFonts w:ascii="Arial Black" w:hAnsi="Arial Black"/>
          <w:sz w:val="28"/>
        </w:rPr>
        <w:lastRenderedPageBreak/>
        <w:t>VI: SHE WOKE UP FF “SUCKING ON HER BREAST” - CONT. VIOL. - PRIOR CLAIMS ALSO ADMISSIBLE</w:t>
      </w:r>
    </w:p>
    <w:p w14:paraId="28C50595" w14:textId="77777777" w:rsidR="00EA6854" w:rsidRPr="00EA6854" w:rsidRDefault="00EA6854" w:rsidP="00EA6854">
      <w:pPr>
        <w:pStyle w:val="NoSpacing"/>
        <w:rPr>
          <w:rFonts w:ascii="Times New Roman" w:hAnsi="Times New Roman"/>
          <w:sz w:val="24"/>
          <w:szCs w:val="24"/>
        </w:rPr>
      </w:pPr>
    </w:p>
    <w:p w14:paraId="2973F873" w14:textId="77777777" w:rsidR="00EA6854" w:rsidRPr="00EA6854" w:rsidRDefault="00EA6854" w:rsidP="00EA6854">
      <w:pPr>
        <w:pStyle w:val="NoSpacing"/>
        <w:rPr>
          <w:rFonts w:ascii="Times New Roman" w:hAnsi="Times New Roman"/>
          <w:sz w:val="24"/>
          <w:szCs w:val="24"/>
        </w:rPr>
      </w:pPr>
      <w:r w:rsidRPr="00EA6854">
        <w:rPr>
          <w:rFonts w:ascii="Times New Roman" w:hAnsi="Times New Roman"/>
          <w:sz w:val="24"/>
          <w:szCs w:val="24"/>
        </w:rPr>
        <w:t xml:space="preserve">On Aug. 6, 2024, </w:t>
      </w:r>
      <w:r w:rsidRPr="00EA6854">
        <w:rPr>
          <w:rFonts w:ascii="Times New Roman" w:hAnsi="Times New Roman"/>
          <w:sz w:val="24"/>
          <w:szCs w:val="24"/>
          <w:u w:val="single"/>
        </w:rPr>
        <w:t>in Syreeta Gumbs v. Government of the Virgin Island and Association of Firefighters Local 2125</w:t>
      </w:r>
      <w:r w:rsidRPr="00EA6854">
        <w:rPr>
          <w:rFonts w:ascii="Times New Roman" w:hAnsi="Times New Roman"/>
          <w:sz w:val="24"/>
          <w:szCs w:val="24"/>
        </w:rPr>
        <w:t xml:space="preserve">, Judge Denise M. Francois, Superior Court of the Virgin Island, denied the defense motion for summary judgment, finding that the FD failed to adequately investigate complaints of harassment. Her 2017 complaint about “breast sucking” was timely, however under the “continuing violation doctrine” prior incidents can also go to jury. The Court wrote: “It is reasonable to expect that when faced with a sexual harassment complaint, an employer is not relieved of its duty to ensure the work environment is free from sexual harassment once a complaint is made, regardless of whether the alleged victim cooperates or not. *** November 6, 2017, is the date of the last alleged injury…. by fellow firefighter Lionel Warrell while they were both stationed in St. John. After Hurricanes Irma and Maria destroyed the Cruz Bay fire stations' lodging quarters, firefighters working 24-hour shifts were housed at the St. John Westin, and Gumbs was given her own room within a suite. During the early morning on November 6, Gumbs was asleep in her suite when she was ‘woke up to her shirt lifted above her breast and Warrell sucking on her breast without her consent.’ Gumbs screamed and immediately told Worrell to get out of her room; she later confronted him about the incident. Warrell subsequently admitted to Gumbs' allegations.” </w:t>
      </w:r>
      <w:hyperlink r:id="rId1384" w:history="1">
        <w:r w:rsidRPr="00EA6854">
          <w:rPr>
            <w:rStyle w:val="Hyperlink"/>
            <w:rFonts w:ascii="Times New Roman" w:hAnsi="Times New Roman"/>
            <w:sz w:val="24"/>
            <w:szCs w:val="24"/>
          </w:rPr>
          <w:t>https://cdnsm5-hosted.civiclive.com/UserFiles/Servers/Server_12810747/File/Opinions/2024/st2020cv00154%2029U.pdf</w:t>
        </w:r>
      </w:hyperlink>
      <w:r w:rsidRPr="00EA6854">
        <w:rPr>
          <w:rFonts w:ascii="Times New Roman" w:hAnsi="Times New Roman"/>
          <w:sz w:val="24"/>
          <w:szCs w:val="24"/>
        </w:rPr>
        <w:t xml:space="preserve"> </w:t>
      </w:r>
    </w:p>
    <w:p w14:paraId="610F2D04" w14:textId="77777777" w:rsidR="00EA6854" w:rsidRPr="00EA6854" w:rsidRDefault="00EA6854" w:rsidP="00EA6854">
      <w:pPr>
        <w:pStyle w:val="NoSpacing"/>
        <w:rPr>
          <w:rFonts w:ascii="Times New Roman" w:hAnsi="Times New Roman"/>
          <w:sz w:val="24"/>
          <w:szCs w:val="24"/>
        </w:rPr>
      </w:pPr>
    </w:p>
    <w:p w14:paraId="1E3ED91B" w14:textId="77777777" w:rsidR="00EA6854" w:rsidRPr="00EA6854" w:rsidRDefault="00EA6854" w:rsidP="00EA6854">
      <w:pPr>
        <w:pStyle w:val="NoSpacing"/>
        <w:rPr>
          <w:rFonts w:ascii="Times New Roman" w:hAnsi="Times New Roman"/>
          <w:sz w:val="24"/>
          <w:szCs w:val="24"/>
        </w:rPr>
      </w:pPr>
      <w:r w:rsidRPr="00EA6854">
        <w:rPr>
          <w:rFonts w:ascii="Times New Roman" w:hAnsi="Times New Roman"/>
          <w:sz w:val="24"/>
          <w:szCs w:val="24"/>
        </w:rPr>
        <w:t>THE COURT HELD:</w:t>
      </w:r>
    </w:p>
    <w:p w14:paraId="6C1BB4CD" w14:textId="77777777" w:rsidR="00EA6854" w:rsidRPr="00EA6854" w:rsidRDefault="00EA6854" w:rsidP="00EA6854">
      <w:pPr>
        <w:pStyle w:val="NoSpacing"/>
        <w:rPr>
          <w:rFonts w:ascii="Times New Roman" w:hAnsi="Times New Roman"/>
          <w:sz w:val="24"/>
          <w:szCs w:val="24"/>
        </w:rPr>
      </w:pPr>
    </w:p>
    <w:p w14:paraId="7DF40E0F" w14:textId="77777777" w:rsidR="00EA6854" w:rsidRPr="00EA6854" w:rsidRDefault="00EA6854" w:rsidP="00EA6854">
      <w:pPr>
        <w:pStyle w:val="NoSpacing"/>
        <w:ind w:left="720"/>
        <w:rPr>
          <w:rFonts w:ascii="Times New Roman" w:hAnsi="Times New Roman"/>
          <w:sz w:val="24"/>
          <w:szCs w:val="24"/>
        </w:rPr>
      </w:pPr>
      <w:r w:rsidRPr="00EA6854">
        <w:rPr>
          <w:rFonts w:ascii="Times New Roman" w:hAnsi="Times New Roman"/>
          <w:sz w:val="24"/>
          <w:szCs w:val="24"/>
        </w:rPr>
        <w:t xml:space="preserve">“Because Gumbs' most recent claimed injury occurred within the limitations period, the continuing violation doctrine renders Gumbs' 2009 and 2013 claims timely. The Court concludes that a reasonable jury could enter judgment in favor of Gumbs and consider the 2009, 2013, and 2017 incidents of alleged sexual harassment and the </w:t>
      </w:r>
      <w:proofErr w:type="gramStart"/>
      <w:r w:rsidRPr="00EA6854">
        <w:rPr>
          <w:rFonts w:ascii="Times New Roman" w:hAnsi="Times New Roman"/>
          <w:sz w:val="24"/>
          <w:szCs w:val="24"/>
        </w:rPr>
        <w:t>manner in which</w:t>
      </w:r>
      <w:proofErr w:type="gramEnd"/>
      <w:r w:rsidRPr="00EA6854">
        <w:rPr>
          <w:rFonts w:ascii="Times New Roman" w:hAnsi="Times New Roman"/>
          <w:sz w:val="24"/>
          <w:szCs w:val="24"/>
        </w:rPr>
        <w:t xml:space="preserve"> GVI handled those complaints as ongoing, discriminatory practice that created a hostile work environment. Accordingly, summary judgment is denied.</w:t>
      </w:r>
    </w:p>
    <w:p w14:paraId="16CC63BE" w14:textId="77777777" w:rsidR="00EA6854" w:rsidRPr="00EA6854" w:rsidRDefault="00EA6854" w:rsidP="00EA6854">
      <w:pPr>
        <w:pStyle w:val="NoSpacing"/>
        <w:ind w:left="720"/>
        <w:rPr>
          <w:rFonts w:ascii="Times New Roman" w:hAnsi="Times New Roman"/>
          <w:sz w:val="24"/>
          <w:szCs w:val="24"/>
        </w:rPr>
      </w:pPr>
    </w:p>
    <w:p w14:paraId="3A1B211A" w14:textId="77777777" w:rsidR="00EA6854" w:rsidRPr="00EA6854" w:rsidRDefault="00EA6854" w:rsidP="00EA6854">
      <w:pPr>
        <w:pStyle w:val="NoSpacing"/>
        <w:ind w:left="720"/>
        <w:rPr>
          <w:rFonts w:ascii="Times New Roman" w:hAnsi="Times New Roman"/>
          <w:sz w:val="24"/>
          <w:szCs w:val="24"/>
        </w:rPr>
      </w:pPr>
      <w:r w:rsidRPr="00EA6854">
        <w:rPr>
          <w:rFonts w:ascii="Times New Roman" w:hAnsi="Times New Roman"/>
          <w:sz w:val="24"/>
          <w:szCs w:val="24"/>
        </w:rPr>
        <w:t>***</w:t>
      </w:r>
    </w:p>
    <w:p w14:paraId="3DD1BB50" w14:textId="77777777" w:rsidR="00EA6854" w:rsidRPr="00EA6854" w:rsidRDefault="00EA6854" w:rsidP="00EA6854">
      <w:pPr>
        <w:pStyle w:val="NoSpacing"/>
        <w:ind w:left="720"/>
        <w:rPr>
          <w:rFonts w:ascii="Times New Roman" w:hAnsi="Times New Roman"/>
          <w:sz w:val="24"/>
          <w:szCs w:val="24"/>
        </w:rPr>
      </w:pPr>
    </w:p>
    <w:p w14:paraId="320BAFE0" w14:textId="77777777" w:rsidR="00EA6854" w:rsidRPr="00EA6854" w:rsidRDefault="00EA6854" w:rsidP="00EA6854">
      <w:pPr>
        <w:pStyle w:val="NoSpacing"/>
        <w:ind w:left="720"/>
        <w:rPr>
          <w:rFonts w:ascii="Times New Roman" w:hAnsi="Times New Roman"/>
          <w:sz w:val="24"/>
          <w:szCs w:val="24"/>
        </w:rPr>
      </w:pPr>
      <w:r w:rsidRPr="00EA6854">
        <w:rPr>
          <w:rFonts w:ascii="Times New Roman" w:hAnsi="Times New Roman"/>
          <w:sz w:val="24"/>
          <w:szCs w:val="24"/>
        </w:rPr>
        <w:t xml:space="preserve">Drawing all reasonable inferences in favor of Gumbs as the nonmoving party, a trier of fact could find that the incidents reported were not discrete and unrelated but were part of an ongoing discriminatory pattern or practice of sexual based harassment. Although several years lapsed between the alleged conduct, Andre Smith was the same superior to whom Gumbs reported her harassment claims to in both 2009 and 2013. Furthermore, Chief Smith acknowledged that at the time of Gumbs' initial complaint, female fire fighters were relatively new to VIFS. In addition, the agency had not dealt with sexual harassment complaints before </w:t>
      </w:r>
      <w:proofErr w:type="gramStart"/>
      <w:r w:rsidRPr="00EA6854">
        <w:rPr>
          <w:rFonts w:ascii="Times New Roman" w:hAnsi="Times New Roman"/>
          <w:sz w:val="24"/>
          <w:szCs w:val="24"/>
        </w:rPr>
        <w:t>Gumbs</w:t>
      </w:r>
      <w:proofErr w:type="gramEnd"/>
      <w:r w:rsidRPr="00EA6854">
        <w:rPr>
          <w:rFonts w:ascii="Times New Roman" w:hAnsi="Times New Roman"/>
          <w:sz w:val="24"/>
          <w:szCs w:val="24"/>
        </w:rPr>
        <w:t xml:space="preserve"> and the record demonstrates a lack of consistency in the protocol followed in response to each of her complaints.”</w:t>
      </w:r>
    </w:p>
    <w:p w14:paraId="0566E69E" w14:textId="77777777" w:rsidR="00EA6854" w:rsidRPr="00EA6854" w:rsidRDefault="00EA6854" w:rsidP="00EA6854">
      <w:pPr>
        <w:pStyle w:val="NoSpacing"/>
        <w:ind w:left="720"/>
        <w:rPr>
          <w:rFonts w:ascii="Times New Roman" w:hAnsi="Times New Roman"/>
          <w:sz w:val="24"/>
          <w:szCs w:val="24"/>
        </w:rPr>
      </w:pPr>
    </w:p>
    <w:p w14:paraId="57A9DE64" w14:textId="77777777" w:rsidR="00EA6854" w:rsidRPr="00EA6854" w:rsidRDefault="00EA6854" w:rsidP="00EA6854">
      <w:pPr>
        <w:pStyle w:val="NoSpacing"/>
        <w:rPr>
          <w:rFonts w:ascii="Times New Roman" w:hAnsi="Times New Roman"/>
          <w:sz w:val="24"/>
          <w:szCs w:val="24"/>
        </w:rPr>
      </w:pPr>
      <w:r w:rsidRPr="00EA6854">
        <w:rPr>
          <w:rFonts w:ascii="Times New Roman" w:hAnsi="Times New Roman"/>
          <w:sz w:val="24"/>
          <w:szCs w:val="24"/>
        </w:rPr>
        <w:t>FACTS:</w:t>
      </w:r>
    </w:p>
    <w:p w14:paraId="2AC57580" w14:textId="77777777" w:rsidR="00EA6854" w:rsidRPr="00EA6854" w:rsidRDefault="00EA6854" w:rsidP="00EA6854">
      <w:pPr>
        <w:pStyle w:val="NoSpacing"/>
        <w:rPr>
          <w:rFonts w:ascii="Times New Roman" w:hAnsi="Times New Roman"/>
          <w:sz w:val="24"/>
          <w:szCs w:val="24"/>
        </w:rPr>
      </w:pPr>
    </w:p>
    <w:p w14:paraId="74397ACD" w14:textId="77777777" w:rsidR="00EA6854" w:rsidRPr="00EA6854" w:rsidRDefault="00EA6854" w:rsidP="00EA6854">
      <w:pPr>
        <w:pStyle w:val="NoSpacing"/>
        <w:ind w:left="720"/>
        <w:rPr>
          <w:rFonts w:ascii="Times New Roman" w:hAnsi="Times New Roman"/>
          <w:sz w:val="24"/>
          <w:szCs w:val="24"/>
        </w:rPr>
      </w:pPr>
      <w:r w:rsidRPr="00EA6854">
        <w:rPr>
          <w:rFonts w:ascii="Times New Roman" w:hAnsi="Times New Roman"/>
          <w:sz w:val="24"/>
          <w:szCs w:val="24"/>
        </w:rPr>
        <w:t xml:space="preserve">“Gumbs began working as a firefighter with the Virgin Islands Fire Service ("VIFS") in 2007 and alleges that she encountered sexual harassment and sexual assault at the hands of her employer. Gumbs was also a member of VIFS' associated union, the Association of Firefighters Local </w:t>
      </w:r>
      <w:proofErr w:type="gramStart"/>
      <w:r w:rsidRPr="00EA6854">
        <w:rPr>
          <w:rFonts w:ascii="Times New Roman" w:hAnsi="Times New Roman"/>
          <w:sz w:val="24"/>
          <w:szCs w:val="24"/>
        </w:rPr>
        <w:t>2125 (‘</w:t>
      </w:r>
      <w:proofErr w:type="gramEnd"/>
      <w:r w:rsidRPr="00EA6854">
        <w:rPr>
          <w:rFonts w:ascii="Times New Roman" w:hAnsi="Times New Roman"/>
          <w:sz w:val="24"/>
          <w:szCs w:val="24"/>
        </w:rPr>
        <w:t>the Union’).</w:t>
      </w:r>
    </w:p>
    <w:p w14:paraId="5C28F95D" w14:textId="77777777" w:rsidR="00EA6854" w:rsidRPr="00EA6854" w:rsidRDefault="00EA6854" w:rsidP="00EA6854">
      <w:pPr>
        <w:pStyle w:val="NoSpacing"/>
        <w:ind w:left="720"/>
        <w:rPr>
          <w:rFonts w:ascii="Times New Roman" w:hAnsi="Times New Roman"/>
          <w:sz w:val="24"/>
          <w:szCs w:val="24"/>
        </w:rPr>
      </w:pPr>
    </w:p>
    <w:p w14:paraId="2AF35E65" w14:textId="77777777" w:rsidR="00EA6854" w:rsidRPr="00EA6854" w:rsidRDefault="00EA6854" w:rsidP="00EA6854">
      <w:pPr>
        <w:pStyle w:val="NoSpacing"/>
        <w:ind w:left="720"/>
        <w:rPr>
          <w:rFonts w:ascii="Times New Roman" w:hAnsi="Times New Roman"/>
          <w:sz w:val="24"/>
          <w:szCs w:val="24"/>
        </w:rPr>
      </w:pPr>
      <w:r w:rsidRPr="00EA6854">
        <w:rPr>
          <w:rFonts w:ascii="Times New Roman" w:hAnsi="Times New Roman"/>
          <w:sz w:val="24"/>
          <w:szCs w:val="24"/>
        </w:rPr>
        <w:t>***</w:t>
      </w:r>
    </w:p>
    <w:p w14:paraId="55791AF6" w14:textId="77777777" w:rsidR="00EA6854" w:rsidRPr="00EA6854" w:rsidRDefault="00EA6854" w:rsidP="00EA6854">
      <w:pPr>
        <w:pStyle w:val="NoSpacing"/>
        <w:ind w:left="720"/>
        <w:rPr>
          <w:rFonts w:ascii="Times New Roman" w:hAnsi="Times New Roman"/>
          <w:sz w:val="24"/>
          <w:szCs w:val="24"/>
        </w:rPr>
      </w:pPr>
      <w:r w:rsidRPr="00EA6854">
        <w:rPr>
          <w:rFonts w:ascii="Times New Roman" w:hAnsi="Times New Roman"/>
          <w:sz w:val="24"/>
          <w:szCs w:val="24"/>
        </w:rPr>
        <w:t>First, in 2009, Gumbs alleges she was groped by her supervisor [Captain] that she asked to be moved to St. John as a result, and that it took a full month before action was taken on her behalf.</w:t>
      </w:r>
    </w:p>
    <w:p w14:paraId="220C3A24" w14:textId="77777777" w:rsidR="00EA6854" w:rsidRPr="00EA6854" w:rsidRDefault="00EA6854" w:rsidP="00EA6854">
      <w:pPr>
        <w:pStyle w:val="NoSpacing"/>
        <w:ind w:left="720"/>
        <w:rPr>
          <w:rFonts w:ascii="Times New Roman" w:hAnsi="Times New Roman"/>
          <w:sz w:val="24"/>
          <w:szCs w:val="24"/>
        </w:rPr>
      </w:pPr>
    </w:p>
    <w:p w14:paraId="4A1F4AB3" w14:textId="77777777" w:rsidR="00EA6854" w:rsidRPr="00EA6854" w:rsidRDefault="00EA6854" w:rsidP="00EA6854">
      <w:pPr>
        <w:pStyle w:val="NoSpacing"/>
        <w:ind w:left="720"/>
        <w:rPr>
          <w:rFonts w:ascii="Times New Roman" w:hAnsi="Times New Roman"/>
          <w:sz w:val="24"/>
          <w:szCs w:val="24"/>
        </w:rPr>
      </w:pPr>
      <w:r w:rsidRPr="00EA6854">
        <w:rPr>
          <w:rFonts w:ascii="Times New Roman" w:hAnsi="Times New Roman"/>
          <w:sz w:val="24"/>
          <w:szCs w:val="24"/>
        </w:rPr>
        <w:t>***</w:t>
      </w:r>
    </w:p>
    <w:p w14:paraId="2D8183C7" w14:textId="77777777" w:rsidR="00EA6854" w:rsidRPr="00EA6854" w:rsidRDefault="00EA6854" w:rsidP="00EA6854">
      <w:pPr>
        <w:pStyle w:val="NoSpacing"/>
        <w:ind w:left="720"/>
        <w:rPr>
          <w:rFonts w:ascii="Times New Roman" w:hAnsi="Times New Roman"/>
          <w:sz w:val="24"/>
          <w:szCs w:val="24"/>
        </w:rPr>
      </w:pPr>
      <w:r w:rsidRPr="00EA6854">
        <w:rPr>
          <w:rFonts w:ascii="Times New Roman" w:hAnsi="Times New Roman"/>
          <w:sz w:val="24"/>
          <w:szCs w:val="24"/>
        </w:rPr>
        <w:t xml:space="preserve">Looking next to the 2013 complaint, all parties agree that Gumbs reported that Sargeant </w:t>
      </w:r>
      <w:proofErr w:type="spellStart"/>
      <w:r w:rsidRPr="00EA6854">
        <w:rPr>
          <w:rFonts w:ascii="Times New Roman" w:hAnsi="Times New Roman"/>
          <w:sz w:val="24"/>
          <w:szCs w:val="24"/>
        </w:rPr>
        <w:t>Chazmal</w:t>
      </w:r>
      <w:proofErr w:type="spellEnd"/>
      <w:r w:rsidRPr="00EA6854">
        <w:rPr>
          <w:rFonts w:ascii="Times New Roman" w:hAnsi="Times New Roman"/>
          <w:sz w:val="24"/>
          <w:szCs w:val="24"/>
        </w:rPr>
        <w:t xml:space="preserve"> Miller - a fellow firefighter who later became Gumbs' supervisor -showed her sex acts on his phone.”</w:t>
      </w:r>
    </w:p>
    <w:p w14:paraId="5CA93F76" w14:textId="77777777" w:rsidR="00EA6854" w:rsidRPr="00EA6854" w:rsidRDefault="00EA6854" w:rsidP="00EA6854">
      <w:pPr>
        <w:pStyle w:val="NoSpacing"/>
        <w:ind w:left="720"/>
        <w:rPr>
          <w:rFonts w:ascii="Times New Roman" w:hAnsi="Times New Roman"/>
          <w:sz w:val="24"/>
          <w:szCs w:val="24"/>
        </w:rPr>
      </w:pPr>
    </w:p>
    <w:p w14:paraId="63F4675C" w14:textId="77777777" w:rsidR="00EA6854" w:rsidRPr="00EA6854" w:rsidRDefault="00EA6854" w:rsidP="00EA6854">
      <w:pPr>
        <w:pStyle w:val="NoSpacing"/>
        <w:rPr>
          <w:rFonts w:ascii="Times New Roman" w:hAnsi="Times New Roman"/>
          <w:b/>
          <w:bCs/>
          <w:sz w:val="24"/>
          <w:szCs w:val="24"/>
        </w:rPr>
      </w:pPr>
      <w:r w:rsidRPr="00EA6854">
        <w:rPr>
          <w:rFonts w:ascii="Times New Roman" w:hAnsi="Times New Roman"/>
          <w:b/>
          <w:bCs/>
          <w:sz w:val="24"/>
          <w:szCs w:val="24"/>
        </w:rPr>
        <w:t>Legal Lesson Learned: Thoroughly investigate and document correct actions taken for each complaint received, including when complainant does not wish to further proceed.</w:t>
      </w:r>
    </w:p>
    <w:p w14:paraId="322E17EE" w14:textId="77777777" w:rsidR="00EA6854" w:rsidRDefault="00EA6854" w:rsidP="00EA6854">
      <w:pPr>
        <w:pStyle w:val="NoSpacing"/>
        <w:ind w:left="720"/>
        <w:rPr>
          <w:szCs w:val="24"/>
        </w:rPr>
      </w:pPr>
    </w:p>
    <w:p w14:paraId="2D58C155" w14:textId="77777777" w:rsidR="00EA6854" w:rsidRDefault="00EA6854" w:rsidP="00EA6854">
      <w:pPr>
        <w:jc w:val="center"/>
        <w:rPr>
          <w:b/>
          <w:bCs/>
          <w:szCs w:val="24"/>
        </w:rPr>
      </w:pPr>
    </w:p>
    <w:p w14:paraId="52C37CF5" w14:textId="77777777" w:rsidR="00EA6854" w:rsidRDefault="00EA6854" w:rsidP="00F326E5">
      <w:pPr>
        <w:pStyle w:val="NoSpacing"/>
        <w:rPr>
          <w:rFonts w:ascii="Arial Black" w:hAnsi="Arial Black"/>
          <w:b/>
          <w:bCs/>
          <w:sz w:val="24"/>
          <w:szCs w:val="24"/>
        </w:rPr>
      </w:pPr>
    </w:p>
    <w:p w14:paraId="02683A45" w14:textId="77777777" w:rsidR="00DD6FAF" w:rsidRDefault="00DD6FAF" w:rsidP="00F326E5">
      <w:pPr>
        <w:pStyle w:val="NoSpacing"/>
        <w:rPr>
          <w:rFonts w:ascii="Arial Black" w:hAnsi="Arial Black"/>
          <w:b/>
          <w:bCs/>
          <w:sz w:val="24"/>
          <w:szCs w:val="24"/>
        </w:rPr>
      </w:pPr>
    </w:p>
    <w:p w14:paraId="796A8043" w14:textId="77777777" w:rsidR="00DD6FAF" w:rsidRDefault="00DD6FAF" w:rsidP="00F326E5">
      <w:pPr>
        <w:pStyle w:val="NoSpacing"/>
        <w:rPr>
          <w:rFonts w:ascii="Arial Black" w:hAnsi="Arial Black"/>
          <w:b/>
          <w:bCs/>
          <w:sz w:val="24"/>
          <w:szCs w:val="24"/>
        </w:rPr>
      </w:pPr>
    </w:p>
    <w:p w14:paraId="21F311E1" w14:textId="7390145F" w:rsidR="005D56E5" w:rsidRDefault="005D56E5" w:rsidP="00F326E5">
      <w:pPr>
        <w:pStyle w:val="NoSpacing"/>
        <w:rPr>
          <w:rFonts w:ascii="Arial Black" w:hAnsi="Arial Black"/>
          <w:b/>
          <w:bCs/>
          <w:sz w:val="24"/>
          <w:szCs w:val="24"/>
        </w:rPr>
      </w:pPr>
      <w:r>
        <w:rPr>
          <w:rFonts w:ascii="Arial Black" w:hAnsi="Arial Black"/>
          <w:b/>
          <w:bCs/>
          <w:sz w:val="24"/>
          <w:szCs w:val="24"/>
        </w:rPr>
        <w:t>7-64</w:t>
      </w:r>
    </w:p>
    <w:p w14:paraId="3E499C97" w14:textId="77777777" w:rsidR="005D56E5" w:rsidRDefault="005D56E5" w:rsidP="00F326E5">
      <w:pPr>
        <w:pStyle w:val="NoSpacing"/>
        <w:rPr>
          <w:rFonts w:ascii="Arial Black" w:hAnsi="Arial Black"/>
          <w:b/>
          <w:bCs/>
          <w:sz w:val="24"/>
          <w:szCs w:val="24"/>
        </w:rPr>
      </w:pPr>
    </w:p>
    <w:p w14:paraId="6DCAEB3F" w14:textId="77777777" w:rsidR="00257D9A" w:rsidRDefault="00257D9A" w:rsidP="00257D9A">
      <w:pPr>
        <w:pStyle w:val="NormalWeb"/>
        <w:spacing w:before="0" w:beforeAutospacing="0"/>
      </w:pPr>
      <w:r>
        <w:rPr>
          <w:rFonts w:ascii="Arial Black" w:hAnsi="Arial Black"/>
          <w:sz w:val="28"/>
          <w:szCs w:val="28"/>
        </w:rPr>
        <w:t>NB: FEMALE FF FIRED – INVEST. CAPT.  WAREHOUSE FIRE – WON ARBITRATION - CITY SETTLES $650K / ATTY FEES</w:t>
      </w:r>
    </w:p>
    <w:p w14:paraId="1CAFC6BA" w14:textId="77777777" w:rsidR="00257D9A" w:rsidRDefault="00257D9A" w:rsidP="00257D9A">
      <w:pPr>
        <w:rPr>
          <w:rFonts w:ascii="Times New Roman" w:hAnsi="Times New Roman"/>
          <w:sz w:val="24"/>
          <w:szCs w:val="24"/>
        </w:rPr>
      </w:pPr>
      <w:r w:rsidRPr="00A73A7C">
        <w:rPr>
          <w:rFonts w:ascii="Times New Roman" w:hAnsi="Times New Roman"/>
          <w:sz w:val="24"/>
          <w:szCs w:val="24"/>
        </w:rPr>
        <w:t xml:space="preserve">On May 13, 2024, in </w:t>
      </w:r>
      <w:r w:rsidRPr="00A73A7C">
        <w:rPr>
          <w:rFonts w:ascii="Times New Roman" w:hAnsi="Times New Roman"/>
          <w:sz w:val="24"/>
          <w:szCs w:val="24"/>
          <w:u w:val="single"/>
        </w:rPr>
        <w:t>Amanda Benson v. City of Lincoln, et al</w:t>
      </w:r>
      <w:r w:rsidRPr="00A73A7C">
        <w:rPr>
          <w:rFonts w:ascii="Times New Roman" w:hAnsi="Times New Roman"/>
          <w:sz w:val="24"/>
          <w:szCs w:val="24"/>
        </w:rPr>
        <w:t>., United States District Court Judge Brian C. Buescher</w:t>
      </w:r>
      <w:r>
        <w:rPr>
          <w:rFonts w:ascii="Times New Roman" w:hAnsi="Times New Roman"/>
          <w:sz w:val="24"/>
          <w:szCs w:val="24"/>
        </w:rPr>
        <w:t xml:space="preserve"> greatly reduced attorney fees to be award to the plaintiff’s attorneys for “over litigation” of the case [claim. $1,666,600, but court awarded only $638,156].   The judge first described how litigation arose.</w:t>
      </w:r>
    </w:p>
    <w:p w14:paraId="1E678458" w14:textId="77777777" w:rsidR="00257D9A" w:rsidRDefault="00257D9A" w:rsidP="00257D9A">
      <w:pPr>
        <w:pStyle w:val="NormalWeb"/>
        <w:ind w:left="720"/>
      </w:pPr>
      <w:r>
        <w:t xml:space="preserve">“Matters between Benson and Mahler came to a head on April 26, 2021, when LFR was called to a cardboard fire within a warehouse. </w:t>
      </w:r>
      <w:r>
        <w:rPr>
          <w:rStyle w:val="Emphasis"/>
          <w:rFonts w:eastAsiaTheme="majorEastAsia"/>
        </w:rPr>
        <w:t>Filing 378 at 43</w:t>
      </w:r>
      <w:r>
        <w:t xml:space="preserve"> (¶ 224). Benson and T1 arrived at the scene before Mahler and T8. </w:t>
      </w:r>
      <w:r>
        <w:rPr>
          <w:rStyle w:val="Emphasis"/>
          <w:rFonts w:eastAsiaTheme="majorEastAsia"/>
        </w:rPr>
        <w:t>Filing 378 at 44</w:t>
      </w:r>
      <w:r>
        <w:t xml:space="preserve"> (¶ 233). Mahler and his crew were called to the warehouse fire mid-morning. </w:t>
      </w:r>
      <w:proofErr w:type="gramStart"/>
      <w:r>
        <w:rPr>
          <w:rStyle w:val="Emphasis"/>
          <w:rFonts w:eastAsiaTheme="majorEastAsia"/>
        </w:rPr>
        <w:t>Filing</w:t>
      </w:r>
      <w:proofErr w:type="gramEnd"/>
      <w:r>
        <w:rPr>
          <w:rStyle w:val="Emphasis"/>
          <w:rFonts w:eastAsiaTheme="majorEastAsia"/>
        </w:rPr>
        <w:t xml:space="preserve"> 378 at 44</w:t>
      </w:r>
      <w:r>
        <w:t xml:space="preserve"> (¶ 230). The parties disputed several circumstances about that fire and the interaction between Benson and Mahler during that fire. When Benson spoke to and submitted a complaint to her superiors at LFR on May 5, 2021, Benson alleged Mahler had abandoned her during the fire, and that she and her crew could have been killed or injured. </w:t>
      </w:r>
      <w:r>
        <w:rPr>
          <w:rStyle w:val="Emphasis"/>
          <w:rFonts w:eastAsiaTheme="majorEastAsia"/>
        </w:rPr>
        <w:t>Filing 397 at 59</w:t>
      </w:r>
      <w:r>
        <w:t xml:space="preserve"> (¶ 290) (admitting this much of ¶ 290). The LFR </w:t>
      </w:r>
      <w:proofErr w:type="gramStart"/>
      <w:r>
        <w:t>conducted an investigation</w:t>
      </w:r>
      <w:proofErr w:type="gramEnd"/>
      <w:r>
        <w:t xml:space="preserve"> that found no rules violations, although Benson disputed its adequacy. </w:t>
      </w:r>
      <w:proofErr w:type="gramStart"/>
      <w:r>
        <w:rPr>
          <w:rStyle w:val="Emphasis"/>
          <w:rFonts w:eastAsiaTheme="majorEastAsia"/>
        </w:rPr>
        <w:t>Filing</w:t>
      </w:r>
      <w:proofErr w:type="gramEnd"/>
      <w:r>
        <w:rPr>
          <w:rStyle w:val="Emphasis"/>
          <w:rFonts w:eastAsiaTheme="majorEastAsia"/>
        </w:rPr>
        <w:t xml:space="preserve"> 397 at</w:t>
      </w:r>
      <w:r>
        <w:t xml:space="preserve"> </w:t>
      </w:r>
      <w:r>
        <w:rPr>
          <w:rStyle w:val="Emphasis"/>
          <w:rFonts w:eastAsiaTheme="majorEastAsia"/>
        </w:rPr>
        <w:t>60</w:t>
      </w:r>
      <w:r>
        <w:t xml:space="preserve"> (¶ 292). </w:t>
      </w:r>
    </w:p>
    <w:p w14:paraId="044CF558" w14:textId="77777777" w:rsidR="00257D9A" w:rsidRDefault="00257D9A" w:rsidP="00257D9A">
      <w:pPr>
        <w:pStyle w:val="NormalWeb"/>
        <w:ind w:left="720"/>
      </w:pPr>
      <w:r>
        <w:t>***</w:t>
      </w:r>
    </w:p>
    <w:p w14:paraId="176CEE7D" w14:textId="77777777" w:rsidR="00257D9A" w:rsidRDefault="00257D9A" w:rsidP="00257D9A">
      <w:pPr>
        <w:pStyle w:val="NormalWeb"/>
        <w:ind w:left="720"/>
      </w:pPr>
      <w:r>
        <w:t xml:space="preserve">After pre-disciplinary investigations and proceedings, Benson was terminated effective November 2, 2021. </w:t>
      </w:r>
      <w:r>
        <w:rPr>
          <w:rStyle w:val="Emphasis"/>
          <w:rFonts w:eastAsiaTheme="majorEastAsia"/>
        </w:rPr>
        <w:t>Filing 394 at 1</w:t>
      </w:r>
      <w:r>
        <w:t xml:space="preserve"> (¶ 1); </w:t>
      </w:r>
      <w:r>
        <w:rPr>
          <w:rStyle w:val="Emphasis"/>
          <w:rFonts w:eastAsiaTheme="majorEastAsia"/>
        </w:rPr>
        <w:t>see also</w:t>
      </w:r>
      <w:r>
        <w:t xml:space="preserve"> </w:t>
      </w:r>
      <w:r>
        <w:rPr>
          <w:rStyle w:val="Emphasis"/>
          <w:rFonts w:eastAsiaTheme="majorEastAsia"/>
        </w:rPr>
        <w:t>Filing 380</w:t>
      </w:r>
      <w:r>
        <w:t xml:space="preserve">-83 at 4 (dismissal letter). Fire Chief David Engler, who is not a party to this litigation, determined that Benson had made false allegations against Mahler and that her actions were ‘a direct hindrance to the effective performance of LFR's functions and reflect[ed] undue discredit upon the department,’ establishing ‘good cause’ for dismissal. </w:t>
      </w:r>
      <w:r>
        <w:rPr>
          <w:rStyle w:val="Emphasis"/>
          <w:rFonts w:eastAsiaTheme="majorEastAsia"/>
        </w:rPr>
        <w:t>Filing 380 at 3</w:t>
      </w:r>
      <w:r>
        <w:t xml:space="preserve"> (dismissal letter). </w:t>
      </w:r>
    </w:p>
    <w:p w14:paraId="4905E9C2" w14:textId="77777777" w:rsidR="00257D9A" w:rsidRDefault="00257D9A" w:rsidP="00257D9A">
      <w:pPr>
        <w:pStyle w:val="NormalWeb"/>
        <w:ind w:left="720"/>
      </w:pPr>
      <w:r>
        <w:t>***</w:t>
      </w:r>
    </w:p>
    <w:p w14:paraId="02E581BC" w14:textId="77777777" w:rsidR="00257D9A" w:rsidRDefault="00257D9A" w:rsidP="00257D9A">
      <w:pPr>
        <w:pStyle w:val="NormalWeb"/>
        <w:ind w:left="720"/>
      </w:pPr>
      <w:r>
        <w:t xml:space="preserve">Plaintiff's Motion for Approval of Application for Attorney Fees, Expenses, and Costs, </w:t>
      </w:r>
      <w:proofErr w:type="gramStart"/>
      <w:r>
        <w:rPr>
          <w:rStyle w:val="Emphasis"/>
          <w:rFonts w:eastAsiaTheme="majorEastAsia"/>
        </w:rPr>
        <w:t>Filing</w:t>
      </w:r>
      <w:proofErr w:type="gramEnd"/>
      <w:r>
        <w:rPr>
          <w:rStyle w:val="Emphasis"/>
          <w:rFonts w:eastAsiaTheme="majorEastAsia"/>
        </w:rPr>
        <w:t xml:space="preserve"> 502,</w:t>
      </w:r>
      <w:r>
        <w:t xml:space="preserve"> and Plaintiff's Supplemental Motion for Approval of Supplemental Application for Attorney Fees, Expenses, and Costs, </w:t>
      </w:r>
      <w:proofErr w:type="gramStart"/>
      <w:r>
        <w:rPr>
          <w:rStyle w:val="Emphasis"/>
          <w:rFonts w:eastAsiaTheme="majorEastAsia"/>
        </w:rPr>
        <w:t>Filing</w:t>
      </w:r>
      <w:proofErr w:type="gramEnd"/>
      <w:r>
        <w:rPr>
          <w:rStyle w:val="Emphasis"/>
          <w:rFonts w:eastAsiaTheme="majorEastAsia"/>
        </w:rPr>
        <w:t xml:space="preserve"> 513,</w:t>
      </w:r>
      <w:r>
        <w:t xml:space="preserve"> are granted in part and denied in part as follows: </w:t>
      </w:r>
    </w:p>
    <w:p w14:paraId="39AEBD00" w14:textId="77777777" w:rsidR="00257D9A" w:rsidRPr="00F81F98" w:rsidRDefault="00257D9A" w:rsidP="00257D9A">
      <w:pPr>
        <w:ind w:left="720" w:firstLine="720"/>
        <w:rPr>
          <w:rFonts w:ascii="Times New Roman" w:hAnsi="Times New Roman"/>
          <w:sz w:val="24"/>
          <w:szCs w:val="24"/>
        </w:rPr>
      </w:pPr>
      <w:r w:rsidRPr="00F81F98">
        <w:rPr>
          <w:rFonts w:ascii="Times New Roman" w:hAnsi="Times New Roman"/>
          <w:sz w:val="24"/>
          <w:szCs w:val="24"/>
        </w:rPr>
        <w:t xml:space="preserve">a. Plaintiff is awarded $638,156.07 in attorney fees; and </w:t>
      </w:r>
    </w:p>
    <w:p w14:paraId="7F956936" w14:textId="77777777" w:rsidR="00257D9A" w:rsidRPr="00F81F98" w:rsidRDefault="00257D9A" w:rsidP="00257D9A">
      <w:pPr>
        <w:ind w:left="720" w:firstLine="720"/>
        <w:rPr>
          <w:rFonts w:ascii="Times New Roman" w:hAnsi="Times New Roman"/>
          <w:sz w:val="24"/>
          <w:szCs w:val="24"/>
        </w:rPr>
      </w:pPr>
      <w:r w:rsidRPr="00F81F98">
        <w:rPr>
          <w:rFonts w:ascii="Times New Roman" w:hAnsi="Times New Roman"/>
          <w:sz w:val="24"/>
          <w:szCs w:val="24"/>
        </w:rPr>
        <w:t xml:space="preserve">b. Plaintiff is awarded $88,719.97 in expenses and costs. </w:t>
      </w:r>
    </w:p>
    <w:p w14:paraId="6A983F8D" w14:textId="21F24703" w:rsidR="00257D9A" w:rsidRDefault="00257D9A" w:rsidP="00257D9A">
      <w:pPr>
        <w:pStyle w:val="NoSpacing"/>
        <w:rPr>
          <w:rStyle w:val="Hyperlink"/>
          <w:rFonts w:ascii="Times New Roman" w:hAnsi="Times New Roman"/>
          <w:sz w:val="24"/>
          <w:szCs w:val="24"/>
        </w:rPr>
      </w:pPr>
      <w:hyperlink r:id="rId1385" w:history="1">
        <w:r w:rsidRPr="008C767B">
          <w:rPr>
            <w:rStyle w:val="Hyperlink"/>
            <w:rFonts w:ascii="Times New Roman" w:hAnsi="Times New Roman"/>
            <w:sz w:val="24"/>
            <w:szCs w:val="24"/>
          </w:rPr>
          <w:t>https://public.fastcase.com/H1P9uiW3J20SFp%2BGCG%2BxLdAy%2Fo69TrR1K6MVQcVakXAVjkfoheCj%2FALYO7mhCcaM?utm_medium=email&amp;_hsenc=p2ANqtz-_QVKpYjRM7B2Q5-</w:t>
        </w:r>
        <w:r w:rsidRPr="008C767B">
          <w:rPr>
            <w:rStyle w:val="Hyperlink"/>
            <w:rFonts w:ascii="Times New Roman" w:hAnsi="Times New Roman"/>
            <w:sz w:val="24"/>
            <w:szCs w:val="24"/>
          </w:rPr>
          <w:lastRenderedPageBreak/>
          <w:t>sqKd1q9ccEl8nSIxeJoGOvaUfjL9Y5LBcGC98GOiGM8SvSGdTXKNaMFLIGTEL-_cGBVPHnVUR_G4Q&amp;_hsmi=226712652&amp;utm_content=226712652&amp;utm_source=hs_email</w:t>
        </w:r>
      </w:hyperlink>
    </w:p>
    <w:p w14:paraId="275B6416" w14:textId="77777777" w:rsidR="00DD0039" w:rsidRPr="00F81F98" w:rsidRDefault="00DD0039" w:rsidP="00DD0039">
      <w:pPr>
        <w:rPr>
          <w:rFonts w:ascii="Times New Roman" w:hAnsi="Times New Roman"/>
          <w:b/>
          <w:bCs/>
          <w:sz w:val="24"/>
          <w:szCs w:val="24"/>
        </w:rPr>
      </w:pPr>
      <w:r w:rsidRPr="00F81F98">
        <w:rPr>
          <w:rFonts w:ascii="Times New Roman" w:hAnsi="Times New Roman"/>
          <w:b/>
          <w:bCs/>
          <w:sz w:val="24"/>
          <w:szCs w:val="24"/>
        </w:rPr>
        <w:t xml:space="preserve">Legal Lesson Learned: </w:t>
      </w:r>
      <w:r>
        <w:rPr>
          <w:rFonts w:ascii="Times New Roman" w:hAnsi="Times New Roman"/>
          <w:b/>
          <w:bCs/>
          <w:sz w:val="24"/>
          <w:szCs w:val="24"/>
        </w:rPr>
        <w:t xml:space="preserve">Case wisely settled; along with another case by female FF – see below.   </w:t>
      </w:r>
    </w:p>
    <w:p w14:paraId="781B5C9B" w14:textId="77777777" w:rsidR="00DD0039" w:rsidRPr="00C4461F" w:rsidRDefault="00DD0039" w:rsidP="00DD0039">
      <w:pPr>
        <w:ind w:left="720"/>
        <w:rPr>
          <w:rFonts w:ascii="Times New Roman" w:hAnsi="Times New Roman"/>
          <w:sz w:val="24"/>
          <w:szCs w:val="24"/>
        </w:rPr>
      </w:pPr>
      <w:r>
        <w:rPr>
          <w:rFonts w:ascii="Times New Roman" w:hAnsi="Times New Roman"/>
          <w:sz w:val="24"/>
          <w:szCs w:val="24"/>
        </w:rPr>
        <w:t xml:space="preserve">Note:  Feb. 5, </w:t>
      </w:r>
      <w:proofErr w:type="gramStart"/>
      <w:r>
        <w:rPr>
          <w:rFonts w:ascii="Times New Roman" w:hAnsi="Times New Roman"/>
          <w:sz w:val="24"/>
          <w:szCs w:val="24"/>
        </w:rPr>
        <w:t>2024</w:t>
      </w:r>
      <w:proofErr w:type="gramEnd"/>
      <w:r>
        <w:rPr>
          <w:rFonts w:ascii="Times New Roman" w:hAnsi="Times New Roman"/>
          <w:sz w:val="24"/>
          <w:szCs w:val="24"/>
        </w:rPr>
        <w:t xml:space="preserve"> article. “</w:t>
      </w:r>
      <w:r w:rsidRPr="00C4461F">
        <w:rPr>
          <w:rFonts w:ascii="Times New Roman" w:hAnsi="Times New Roman"/>
          <w:sz w:val="24"/>
          <w:szCs w:val="24"/>
        </w:rPr>
        <w:t>City of Lincoln settles LFR sexual discrimination lawsuits for $900,000</w:t>
      </w:r>
      <w:r>
        <w:rPr>
          <w:rFonts w:ascii="Times New Roman" w:hAnsi="Times New Roman"/>
          <w:sz w:val="24"/>
          <w:szCs w:val="24"/>
        </w:rPr>
        <w:t xml:space="preserve">.” </w:t>
      </w:r>
      <w:hyperlink r:id="rId1386" w:history="1">
        <w:r w:rsidRPr="008C767B">
          <w:rPr>
            <w:rStyle w:val="Hyperlink"/>
            <w:rFonts w:ascii="Times New Roman" w:hAnsi="Times New Roman"/>
            <w:sz w:val="24"/>
            <w:szCs w:val="24"/>
          </w:rPr>
          <w:t>https://www.1011now.com/2024/02/05/city-lincoln-settles-lfr-sexual-discrimination-lawsuits-900000/</w:t>
        </w:r>
      </w:hyperlink>
      <w:r>
        <w:rPr>
          <w:rFonts w:ascii="Times New Roman" w:hAnsi="Times New Roman"/>
          <w:sz w:val="24"/>
          <w:szCs w:val="24"/>
        </w:rPr>
        <w:t xml:space="preserve"> </w:t>
      </w:r>
    </w:p>
    <w:p w14:paraId="4CBCA47D" w14:textId="77777777" w:rsidR="00DD0039" w:rsidRDefault="00DD0039" w:rsidP="00DD0039">
      <w:pPr>
        <w:pStyle w:val="text"/>
        <w:ind w:left="1440"/>
      </w:pPr>
      <w:r>
        <w:t>“The city of Lincoln has settled two lawsuits which alleged sexual discrimination against two former firefighters. City officials released settlement agreements for Jessie Lundvall and Amanda Benson, both of whom had been fired following their lawsuits. Lundvall and Benson will be paid $250,000 and $650,000, respectively. The agreements also ensure city officials and the former firefighters won’t defame one another. In the settlement, the city denied any wrongdoing. Notably, Benson’s agreement allows her to continue pursuing a separate claim against the city as well as her disability pension. Lundvall’s agreement also acknowledges her good standing within Lincoln Fire and Rescue. Benson’s agreement, however, prevents her ability to be reemployed by the city at any time.”</w:t>
      </w:r>
    </w:p>
    <w:p w14:paraId="69D83AF9" w14:textId="77777777" w:rsidR="00DD0039" w:rsidRDefault="00DD0039" w:rsidP="00257D9A">
      <w:pPr>
        <w:pStyle w:val="NoSpacing"/>
        <w:rPr>
          <w:rFonts w:ascii="Arial Black" w:hAnsi="Arial Black"/>
          <w:b/>
          <w:bCs/>
          <w:sz w:val="24"/>
          <w:szCs w:val="24"/>
        </w:rPr>
      </w:pPr>
    </w:p>
    <w:p w14:paraId="2BC5CA4C" w14:textId="77777777" w:rsidR="005D56E5" w:rsidRDefault="005D56E5" w:rsidP="00F326E5">
      <w:pPr>
        <w:pStyle w:val="NoSpacing"/>
        <w:rPr>
          <w:rFonts w:ascii="Arial Black" w:hAnsi="Arial Black"/>
          <w:b/>
          <w:bCs/>
          <w:sz w:val="24"/>
          <w:szCs w:val="24"/>
        </w:rPr>
      </w:pPr>
    </w:p>
    <w:p w14:paraId="24204AB4" w14:textId="77777777" w:rsidR="005D56E5" w:rsidRDefault="005D56E5" w:rsidP="00F326E5">
      <w:pPr>
        <w:pStyle w:val="NoSpacing"/>
        <w:rPr>
          <w:rFonts w:ascii="Arial Black" w:hAnsi="Arial Black"/>
          <w:b/>
          <w:bCs/>
          <w:sz w:val="24"/>
          <w:szCs w:val="24"/>
        </w:rPr>
      </w:pPr>
    </w:p>
    <w:p w14:paraId="4AAD97AF" w14:textId="77777777" w:rsidR="005D56E5" w:rsidRDefault="005D56E5" w:rsidP="00F326E5">
      <w:pPr>
        <w:pStyle w:val="NoSpacing"/>
        <w:rPr>
          <w:rFonts w:ascii="Arial Black" w:hAnsi="Arial Black"/>
          <w:b/>
          <w:bCs/>
          <w:sz w:val="24"/>
          <w:szCs w:val="24"/>
        </w:rPr>
      </w:pPr>
    </w:p>
    <w:p w14:paraId="6741A460" w14:textId="05DEAD5E" w:rsidR="00B52921" w:rsidRDefault="009C6DC9" w:rsidP="00F326E5">
      <w:pPr>
        <w:pStyle w:val="NoSpacing"/>
        <w:rPr>
          <w:rFonts w:ascii="Arial Black" w:hAnsi="Arial Black"/>
          <w:b/>
          <w:bCs/>
          <w:sz w:val="24"/>
          <w:szCs w:val="24"/>
        </w:rPr>
      </w:pPr>
      <w:r>
        <w:rPr>
          <w:rFonts w:ascii="Arial Black" w:hAnsi="Arial Black"/>
          <w:b/>
          <w:bCs/>
          <w:sz w:val="24"/>
          <w:szCs w:val="24"/>
        </w:rPr>
        <w:t>7-63</w:t>
      </w:r>
    </w:p>
    <w:p w14:paraId="5CF10875" w14:textId="77777777" w:rsidR="009C6DC9" w:rsidRDefault="009C6DC9" w:rsidP="00F326E5">
      <w:pPr>
        <w:pStyle w:val="NoSpacing"/>
        <w:rPr>
          <w:rFonts w:ascii="Arial Black" w:hAnsi="Arial Black"/>
          <w:b/>
          <w:bCs/>
          <w:sz w:val="24"/>
          <w:szCs w:val="24"/>
        </w:rPr>
      </w:pPr>
    </w:p>
    <w:p w14:paraId="572EC960" w14:textId="77777777" w:rsidR="0038653D" w:rsidRDefault="0038653D" w:rsidP="0038653D">
      <w:pPr>
        <w:pStyle w:val="NoSpacing"/>
        <w:rPr>
          <w:rFonts w:ascii="Arial Black" w:hAnsi="Arial Black"/>
          <w:sz w:val="28"/>
          <w:szCs w:val="28"/>
          <w:shd w:val="clear" w:color="auto" w:fill="FFFFFF"/>
        </w:rPr>
      </w:pPr>
      <w:r>
        <w:rPr>
          <w:rFonts w:ascii="Arial Black" w:hAnsi="Arial Black"/>
          <w:sz w:val="28"/>
          <w:szCs w:val="28"/>
          <w:shd w:val="clear" w:color="auto" w:fill="FFFFFF"/>
        </w:rPr>
        <w:t>U.S. SUP. CT: FEMALE POLICE OFFICER - JOB TRANSFER WITH NO LOSS OF PAY – LAWSUIT PROCEED “SOME HARM”</w:t>
      </w:r>
    </w:p>
    <w:p w14:paraId="38F059B1" w14:textId="77777777" w:rsidR="0038653D" w:rsidRDefault="0038653D" w:rsidP="0038653D">
      <w:pPr>
        <w:pStyle w:val="NoSpacing"/>
        <w:rPr>
          <w:rFonts w:ascii="Arial Black" w:hAnsi="Arial Black"/>
          <w:sz w:val="28"/>
          <w:szCs w:val="28"/>
          <w:shd w:val="clear" w:color="auto" w:fill="FFFFFF"/>
        </w:rPr>
      </w:pPr>
    </w:p>
    <w:p w14:paraId="77ADB1C4" w14:textId="77777777" w:rsidR="0038653D" w:rsidRDefault="0038653D" w:rsidP="0038653D">
      <w:pPr>
        <w:pStyle w:val="NoSpacing"/>
        <w:rPr>
          <w:rFonts w:ascii="Times New Roman" w:hAnsi="Times New Roman"/>
          <w:sz w:val="24"/>
          <w:szCs w:val="24"/>
        </w:rPr>
      </w:pPr>
      <w:r>
        <w:rPr>
          <w:rFonts w:ascii="Times New Roman" w:hAnsi="Times New Roman"/>
          <w:sz w:val="24"/>
          <w:szCs w:val="24"/>
          <w:shd w:val="clear" w:color="auto" w:fill="FFFFFF"/>
        </w:rPr>
        <w:t xml:space="preserve">On April 17, 2024, in </w:t>
      </w:r>
      <w:r w:rsidRPr="00512F10">
        <w:rPr>
          <w:rFonts w:ascii="Times New Roman" w:hAnsi="Times New Roman"/>
          <w:sz w:val="24"/>
          <w:szCs w:val="24"/>
          <w:u w:val="single"/>
          <w:shd w:val="clear" w:color="auto" w:fill="FFFFFF"/>
        </w:rPr>
        <w:t>Jatonya Clayborn Muldrow v. City of St. Louis, Missouri, et al</w:t>
      </w:r>
      <w:r>
        <w:rPr>
          <w:rFonts w:ascii="Times New Roman" w:hAnsi="Times New Roman"/>
          <w:sz w:val="24"/>
          <w:szCs w:val="24"/>
          <w:shd w:val="clear" w:color="auto" w:fill="FFFFFF"/>
        </w:rPr>
        <w:t>., the United States Supreme Court held (9 to 0) that Police Sergeant Muldrow’s lawsuit may proceed with pre-trial discovery; the case had been dismissed by a U.S. District Court judge, and the dismissal upheld by three-judge panel of U.S. Court of Appeals for 8</w:t>
      </w:r>
      <w:r w:rsidRPr="003A2084">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Circuit. T</w:t>
      </w:r>
      <w:r w:rsidRPr="00AD5F6F">
        <w:rPr>
          <w:rFonts w:ascii="Times New Roman" w:hAnsi="Times New Roman"/>
          <w:sz w:val="24"/>
          <w:szCs w:val="24"/>
          <w:shd w:val="clear" w:color="auto" w:fill="FFFFFF"/>
        </w:rPr>
        <w:t xml:space="preserve">he </w:t>
      </w:r>
      <w:r>
        <w:rPr>
          <w:rFonts w:ascii="Times New Roman" w:hAnsi="Times New Roman"/>
          <w:sz w:val="24"/>
          <w:szCs w:val="24"/>
          <w:shd w:val="clear" w:color="auto" w:fill="FFFFFF"/>
        </w:rPr>
        <w:t xml:space="preserve">U.S. Supreme </w:t>
      </w:r>
      <w:r w:rsidRPr="00AD5F6F">
        <w:rPr>
          <w:rFonts w:ascii="Times New Roman" w:hAnsi="Times New Roman"/>
          <w:sz w:val="24"/>
          <w:szCs w:val="24"/>
          <w:shd w:val="clear" w:color="auto" w:fill="FFFFFF"/>
        </w:rPr>
        <w:t xml:space="preserve">Court held (opinion by Justice </w:t>
      </w:r>
      <w:r w:rsidRPr="00AD5F6F">
        <w:rPr>
          <w:rFonts w:ascii="Times New Roman" w:hAnsi="Times New Roman"/>
          <w:sz w:val="24"/>
          <w:szCs w:val="24"/>
        </w:rPr>
        <w:t>Elena Kagan) held:</w:t>
      </w:r>
    </w:p>
    <w:p w14:paraId="5D899D91" w14:textId="77777777" w:rsidR="0038653D" w:rsidRDefault="0038653D" w:rsidP="0038653D">
      <w:pPr>
        <w:pStyle w:val="NoSpacing"/>
        <w:rPr>
          <w:rFonts w:ascii="Times New Roman" w:hAnsi="Times New Roman"/>
          <w:sz w:val="24"/>
          <w:szCs w:val="24"/>
        </w:rPr>
      </w:pPr>
    </w:p>
    <w:p w14:paraId="036EBD23" w14:textId="77777777" w:rsidR="0038653D" w:rsidRDefault="0038653D" w:rsidP="0038653D">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1855A6">
        <w:rPr>
          <w:rFonts w:ascii="Times New Roman" w:hAnsi="Times New Roman"/>
          <w:sz w:val="24"/>
          <w:szCs w:val="24"/>
          <w:shd w:val="clear" w:color="auto" w:fill="FFFFFF"/>
        </w:rPr>
        <w:t>The courts below rejected the claim on the ground that the</w:t>
      </w:r>
      <w:r>
        <w:rPr>
          <w:rFonts w:ascii="Times New Roman" w:hAnsi="Times New Roman"/>
          <w:sz w:val="24"/>
          <w:szCs w:val="24"/>
          <w:shd w:val="clear" w:color="auto" w:fill="FFFFFF"/>
        </w:rPr>
        <w:t xml:space="preserve"> </w:t>
      </w:r>
      <w:r w:rsidRPr="001855A6">
        <w:rPr>
          <w:rFonts w:ascii="Times New Roman" w:hAnsi="Times New Roman"/>
          <w:sz w:val="24"/>
          <w:szCs w:val="24"/>
          <w:shd w:val="clear" w:color="auto" w:fill="FFFFFF"/>
        </w:rPr>
        <w:t xml:space="preserve">transfer did not cause Muldrow a </w:t>
      </w:r>
      <w:r>
        <w:rPr>
          <w:rFonts w:ascii="Times New Roman" w:hAnsi="Times New Roman"/>
          <w:sz w:val="24"/>
          <w:szCs w:val="24"/>
          <w:shd w:val="clear" w:color="auto" w:fill="FFFFFF"/>
        </w:rPr>
        <w:t>‘</w:t>
      </w:r>
      <w:r w:rsidRPr="001855A6">
        <w:rPr>
          <w:rFonts w:ascii="Times New Roman" w:hAnsi="Times New Roman"/>
          <w:sz w:val="24"/>
          <w:szCs w:val="24"/>
          <w:shd w:val="clear" w:color="auto" w:fill="FFFFFF"/>
        </w:rPr>
        <w:t>significant</w:t>
      </w:r>
      <w:r>
        <w:rPr>
          <w:rFonts w:ascii="Times New Roman" w:hAnsi="Times New Roman"/>
          <w:sz w:val="24"/>
          <w:szCs w:val="24"/>
          <w:shd w:val="clear" w:color="auto" w:fill="FFFFFF"/>
        </w:rPr>
        <w:t>’</w:t>
      </w:r>
      <w:r w:rsidRPr="001855A6">
        <w:rPr>
          <w:rFonts w:ascii="Times New Roman" w:hAnsi="Times New Roman"/>
          <w:sz w:val="24"/>
          <w:szCs w:val="24"/>
          <w:shd w:val="clear" w:color="auto" w:fill="FFFFFF"/>
        </w:rPr>
        <w:t xml:space="preserve"> employment</w:t>
      </w:r>
      <w:r>
        <w:rPr>
          <w:rFonts w:ascii="Times New Roman" w:hAnsi="Times New Roman"/>
          <w:sz w:val="24"/>
          <w:szCs w:val="24"/>
          <w:shd w:val="clear" w:color="auto" w:fill="FFFFFF"/>
        </w:rPr>
        <w:t xml:space="preserve"> </w:t>
      </w:r>
      <w:r w:rsidRPr="001855A6">
        <w:rPr>
          <w:rFonts w:ascii="Times New Roman" w:hAnsi="Times New Roman"/>
          <w:sz w:val="24"/>
          <w:szCs w:val="24"/>
          <w:shd w:val="clear" w:color="auto" w:fill="FFFFFF"/>
        </w:rPr>
        <w:t>disadvantage. Other courts have used similar standards in</w:t>
      </w:r>
      <w:r>
        <w:rPr>
          <w:rFonts w:ascii="Times New Roman" w:hAnsi="Times New Roman"/>
          <w:sz w:val="24"/>
          <w:szCs w:val="24"/>
          <w:shd w:val="clear" w:color="auto" w:fill="FFFFFF"/>
        </w:rPr>
        <w:t xml:space="preserve"> </w:t>
      </w:r>
      <w:r w:rsidRPr="001855A6">
        <w:rPr>
          <w:rFonts w:ascii="Times New Roman" w:hAnsi="Times New Roman"/>
          <w:sz w:val="24"/>
          <w:szCs w:val="24"/>
          <w:shd w:val="clear" w:color="auto" w:fill="FFFFFF"/>
        </w:rPr>
        <w:t>addressing Title VII suits arising from job transfers.</w:t>
      </w:r>
      <w:r>
        <w:rPr>
          <w:rFonts w:ascii="Times New Roman" w:hAnsi="Times New Roman"/>
          <w:sz w:val="24"/>
          <w:szCs w:val="24"/>
          <w:shd w:val="clear" w:color="auto" w:fill="FFFFFF"/>
        </w:rPr>
        <w:t xml:space="preserve"> </w:t>
      </w:r>
      <w:r w:rsidRPr="001855A6">
        <w:rPr>
          <w:rFonts w:ascii="Times New Roman" w:hAnsi="Times New Roman"/>
          <w:sz w:val="24"/>
          <w:szCs w:val="24"/>
          <w:shd w:val="clear" w:color="auto" w:fill="FFFFFF"/>
        </w:rPr>
        <w:t xml:space="preserve">Today, we </w:t>
      </w:r>
      <w:proofErr w:type="gramStart"/>
      <w:r w:rsidRPr="001855A6">
        <w:rPr>
          <w:rFonts w:ascii="Times New Roman" w:hAnsi="Times New Roman"/>
          <w:sz w:val="24"/>
          <w:szCs w:val="24"/>
          <w:shd w:val="clear" w:color="auto" w:fill="FFFFFF"/>
        </w:rPr>
        <w:t>disapprove</w:t>
      </w:r>
      <w:proofErr w:type="gramEnd"/>
      <w:r w:rsidRPr="001855A6">
        <w:rPr>
          <w:rFonts w:ascii="Times New Roman" w:hAnsi="Times New Roman"/>
          <w:sz w:val="24"/>
          <w:szCs w:val="24"/>
          <w:shd w:val="clear" w:color="auto" w:fill="FFFFFF"/>
        </w:rPr>
        <w:t xml:space="preserve"> that approach. Although an employee must show some harm from a forced transfer to prevail in a Title VII suit, she need not show that the injury</w:t>
      </w:r>
      <w:r>
        <w:rPr>
          <w:rFonts w:ascii="Times New Roman" w:hAnsi="Times New Roman"/>
          <w:sz w:val="24"/>
          <w:szCs w:val="24"/>
          <w:shd w:val="clear" w:color="auto" w:fill="FFFFFF"/>
        </w:rPr>
        <w:t xml:space="preserve"> </w:t>
      </w:r>
      <w:r w:rsidRPr="001855A6">
        <w:rPr>
          <w:rFonts w:ascii="Times New Roman" w:hAnsi="Times New Roman"/>
          <w:sz w:val="24"/>
          <w:szCs w:val="24"/>
          <w:shd w:val="clear" w:color="auto" w:fill="FFFFFF"/>
        </w:rPr>
        <w:t>satisfies a significance test. Title VII’s text nowhere establishes that high bar.</w:t>
      </w:r>
      <w:r>
        <w:rPr>
          <w:rFonts w:ascii="Times New Roman" w:hAnsi="Times New Roman"/>
          <w:sz w:val="24"/>
          <w:szCs w:val="24"/>
          <w:shd w:val="clear" w:color="auto" w:fill="FFFFFF"/>
        </w:rPr>
        <w:t xml:space="preserve">”  </w:t>
      </w:r>
      <w:hyperlink r:id="rId1387" w:history="1">
        <w:r w:rsidRPr="0018507D">
          <w:rPr>
            <w:rStyle w:val="Hyperlink"/>
            <w:rFonts w:ascii="Times New Roman" w:hAnsi="Times New Roman"/>
            <w:sz w:val="24"/>
            <w:szCs w:val="24"/>
            <w:shd w:val="clear" w:color="auto" w:fill="FFFFFF"/>
          </w:rPr>
          <w:t>https://www.supremecourt.gov/opinions/23pdf/22-193_q86b.pdf</w:t>
        </w:r>
      </w:hyperlink>
      <w:r>
        <w:rPr>
          <w:rFonts w:ascii="Times New Roman" w:hAnsi="Times New Roman"/>
          <w:sz w:val="24"/>
          <w:szCs w:val="24"/>
          <w:shd w:val="clear" w:color="auto" w:fill="FFFFFF"/>
        </w:rPr>
        <w:t xml:space="preserve"> </w:t>
      </w:r>
    </w:p>
    <w:p w14:paraId="4A5AAC0D" w14:textId="77777777" w:rsidR="0038653D" w:rsidRDefault="0038653D" w:rsidP="0038653D">
      <w:pPr>
        <w:pStyle w:val="NoSpacing"/>
        <w:ind w:left="720"/>
        <w:rPr>
          <w:rFonts w:ascii="Times New Roman" w:hAnsi="Times New Roman"/>
          <w:sz w:val="24"/>
          <w:szCs w:val="24"/>
          <w:shd w:val="clear" w:color="auto" w:fill="FFFFFF"/>
        </w:rPr>
      </w:pPr>
    </w:p>
    <w:p w14:paraId="71F58FE7" w14:textId="77777777" w:rsidR="005D56E5" w:rsidRPr="00F0094C" w:rsidRDefault="005D56E5" w:rsidP="005D56E5">
      <w:pPr>
        <w:pStyle w:val="NoSpacing"/>
        <w:rPr>
          <w:rFonts w:ascii="Times New Roman" w:hAnsi="Times New Roman"/>
          <w:b/>
          <w:bCs/>
          <w:sz w:val="24"/>
          <w:szCs w:val="24"/>
          <w:shd w:val="clear" w:color="auto" w:fill="FFFFFF"/>
        </w:rPr>
      </w:pPr>
      <w:r w:rsidRPr="00F0094C">
        <w:rPr>
          <w:rFonts w:ascii="Times New Roman" w:hAnsi="Times New Roman"/>
          <w:b/>
          <w:bCs/>
          <w:sz w:val="24"/>
          <w:szCs w:val="24"/>
          <w:shd w:val="clear" w:color="auto" w:fill="FFFFFF"/>
        </w:rPr>
        <w:t>Legal Lesson Learned:</w:t>
      </w:r>
      <w:r>
        <w:rPr>
          <w:rFonts w:ascii="Times New Roman" w:hAnsi="Times New Roman"/>
          <w:b/>
          <w:bCs/>
          <w:sz w:val="24"/>
          <w:szCs w:val="24"/>
          <w:shd w:val="clear" w:color="auto" w:fill="FFFFFF"/>
        </w:rPr>
        <w:t xml:space="preserve"> This unanimous decision sends a clear message that job transfers can be basis of Title VII litigation. </w:t>
      </w:r>
    </w:p>
    <w:p w14:paraId="749E92FE" w14:textId="77777777" w:rsidR="005D56E5" w:rsidRDefault="005D56E5" w:rsidP="005D56E5">
      <w:pPr>
        <w:pStyle w:val="NoSpacing"/>
        <w:rPr>
          <w:shd w:val="clear" w:color="auto" w:fill="FFFFFF"/>
        </w:rPr>
      </w:pPr>
    </w:p>
    <w:p w14:paraId="5D04B60F" w14:textId="77777777" w:rsidR="009C6DC9" w:rsidRDefault="009C6DC9" w:rsidP="00F326E5">
      <w:pPr>
        <w:pStyle w:val="NoSpacing"/>
        <w:rPr>
          <w:rFonts w:ascii="Arial Black" w:hAnsi="Arial Black"/>
          <w:b/>
          <w:bCs/>
          <w:sz w:val="24"/>
          <w:szCs w:val="24"/>
        </w:rPr>
      </w:pPr>
    </w:p>
    <w:p w14:paraId="6764222E" w14:textId="77777777" w:rsidR="00B52921" w:rsidRDefault="00B52921" w:rsidP="00F326E5">
      <w:pPr>
        <w:pStyle w:val="NoSpacing"/>
        <w:rPr>
          <w:rFonts w:ascii="Arial Black" w:hAnsi="Arial Black"/>
          <w:b/>
          <w:bCs/>
          <w:sz w:val="24"/>
          <w:szCs w:val="24"/>
        </w:rPr>
      </w:pPr>
    </w:p>
    <w:p w14:paraId="78056E9C" w14:textId="73785EF4" w:rsidR="00B52921" w:rsidRDefault="00480F72" w:rsidP="00F326E5">
      <w:pPr>
        <w:pStyle w:val="NoSpacing"/>
        <w:rPr>
          <w:rFonts w:ascii="Arial Black" w:hAnsi="Arial Black"/>
          <w:b/>
          <w:bCs/>
          <w:sz w:val="24"/>
          <w:szCs w:val="24"/>
        </w:rPr>
      </w:pPr>
      <w:r>
        <w:rPr>
          <w:rFonts w:ascii="Arial Black" w:hAnsi="Arial Black"/>
          <w:b/>
          <w:bCs/>
          <w:sz w:val="24"/>
          <w:szCs w:val="24"/>
        </w:rPr>
        <w:t>7-62</w:t>
      </w:r>
    </w:p>
    <w:p w14:paraId="2B560460" w14:textId="77777777" w:rsidR="00B52921" w:rsidRDefault="00B52921" w:rsidP="00B52921">
      <w:pPr>
        <w:pStyle w:val="NormalWeb"/>
        <w:rPr>
          <w:rFonts w:ascii="Arial Black" w:hAnsi="Arial Black"/>
          <w:sz w:val="28"/>
          <w:szCs w:val="28"/>
        </w:rPr>
      </w:pPr>
      <w:r>
        <w:rPr>
          <w:rFonts w:ascii="Arial Black" w:hAnsi="Arial Black"/>
          <w:sz w:val="28"/>
          <w:szCs w:val="28"/>
        </w:rPr>
        <w:t>FL:  DELAY REINSTATING FEMALE RECRUIT - TRIAL COURT $150 / DAY FINE FD SET ASIDE - $750K JURY VERDICT 2021</w:t>
      </w:r>
    </w:p>
    <w:p w14:paraId="1DF29837" w14:textId="77777777" w:rsidR="00B52921" w:rsidRDefault="00B52921" w:rsidP="00B52921">
      <w:pPr>
        <w:pStyle w:val="NormalWeb"/>
      </w:pPr>
      <w:r>
        <w:lastRenderedPageBreak/>
        <w:t xml:space="preserve">On April 24, 2024, in </w:t>
      </w:r>
      <w:r w:rsidRPr="00E7263C">
        <w:rPr>
          <w:u w:val="single"/>
        </w:rPr>
        <w:t>Palm Beach County v. Sharon Wilson</w:t>
      </w:r>
      <w:r>
        <w:t xml:space="preserve">, the </w:t>
      </w:r>
      <w:r w:rsidRPr="004979C1">
        <w:t>District Court of Appeal of Florida, Fourth District</w:t>
      </w:r>
      <w:r>
        <w:t xml:space="preserve">, held that trial court improperly imposed a $150 / day fine on the FD for any delay in reinstating her to the next training academy.  Wilson was hired in April 2015 and fractured her wrist in recruit school; written up for violations and resigned.  In Dec. 2021 Jury awarded her $750,000 and Court ordered her reinstated.  The Court of Appeals held that trial court judge violated FD’s due process rights when the judge proposed sanctioning the County if the County failed to reinstate Wilson by the specified reinstatement date. The trial court stated, “if I just ordered [Wilson] to be reinstated, you know what, [the County] could just sit on [its] hands and wait years and years and years to reinstate her. So, there </w:t>
      </w:r>
      <w:proofErr w:type="gramStart"/>
      <w:r>
        <w:t>has to</w:t>
      </w:r>
      <w:proofErr w:type="gramEnd"/>
      <w:r>
        <w:t xml:space="preserve"> be a monetary sanction, so to speak, for [the County] to act in a timely manner on the Court's directives that [the County] hire[s] her.” </w:t>
      </w:r>
      <w:hyperlink r:id="rId1388" w:history="1">
        <w:r w:rsidRPr="00E2199F">
          <w:rPr>
            <w:rStyle w:val="Hyperlink"/>
          </w:rPr>
          <w:t>https://caselaw.findlaw.com/court/fl-district-court-of-appeal/116085347.html</w:t>
        </w:r>
      </w:hyperlink>
      <w:r>
        <w:t xml:space="preserve"> </w:t>
      </w:r>
    </w:p>
    <w:p w14:paraId="7EC63870" w14:textId="77777777" w:rsidR="00B52921" w:rsidRDefault="00B52921" w:rsidP="00B52921">
      <w:pPr>
        <w:pStyle w:val="NormalWeb"/>
      </w:pPr>
      <w:r>
        <w:t>COURT HELD:</w:t>
      </w:r>
    </w:p>
    <w:p w14:paraId="15702550" w14:textId="77777777" w:rsidR="00B52921" w:rsidRDefault="00B52921" w:rsidP="00B52921">
      <w:pPr>
        <w:pStyle w:val="NormalWeb"/>
        <w:ind w:left="720"/>
      </w:pPr>
      <w:r>
        <w:t xml:space="preserve">“As discussed below, we reverse the trial court's premature and speculative imposition of a daily fine…. The County argues that the trial court denied the County due process when, during the hearing on Wilson's motion, it </w:t>
      </w:r>
      <w:proofErr w:type="spellStart"/>
      <w:r>
        <w:t>sua</w:t>
      </w:r>
      <w:proofErr w:type="spellEnd"/>
      <w:r>
        <w:t xml:space="preserve"> sponte proposed a monetary sanction if the County failed to timely reinstate Wilson. We agree with the County.”</w:t>
      </w:r>
    </w:p>
    <w:p w14:paraId="0A1CF24E" w14:textId="77777777" w:rsidR="00B52921" w:rsidRPr="00B06CBE" w:rsidRDefault="00B52921" w:rsidP="00B52921">
      <w:pPr>
        <w:pStyle w:val="NormalWeb"/>
        <w:rPr>
          <w:b/>
          <w:bCs/>
        </w:rPr>
      </w:pPr>
      <w:r w:rsidRPr="00B06CBE">
        <w:rPr>
          <w:b/>
          <w:bCs/>
        </w:rPr>
        <w:t>Legal Lesson Learned:</w:t>
      </w:r>
      <w:r>
        <w:rPr>
          <w:b/>
          <w:bCs/>
        </w:rPr>
        <w:t xml:space="preserve"> Monetary sanction on employer cannot be imposed without evidence of breach of a court order.  </w:t>
      </w:r>
    </w:p>
    <w:p w14:paraId="62A99C01" w14:textId="77777777" w:rsidR="00480F72" w:rsidRDefault="00480F72" w:rsidP="00B52921">
      <w:pPr>
        <w:rPr>
          <w:rFonts w:ascii="Arial Black" w:hAnsi="Arial Black"/>
          <w:sz w:val="28"/>
          <w:szCs w:val="28"/>
        </w:rPr>
      </w:pPr>
    </w:p>
    <w:p w14:paraId="13884D71" w14:textId="72B9F2EE" w:rsidR="00B52921" w:rsidRDefault="00480F72" w:rsidP="00B52921">
      <w:pPr>
        <w:rPr>
          <w:rFonts w:ascii="Arial Black" w:hAnsi="Arial Black"/>
          <w:sz w:val="28"/>
          <w:szCs w:val="28"/>
        </w:rPr>
      </w:pPr>
      <w:r>
        <w:rPr>
          <w:rFonts w:ascii="Arial Black" w:hAnsi="Arial Black"/>
          <w:sz w:val="28"/>
          <w:szCs w:val="28"/>
        </w:rPr>
        <w:t>7-61</w:t>
      </w:r>
    </w:p>
    <w:p w14:paraId="441C23BC" w14:textId="77777777" w:rsidR="00B52921" w:rsidRPr="0041351C" w:rsidRDefault="00B52921" w:rsidP="00B52921">
      <w:pPr>
        <w:pStyle w:val="NormalWeb"/>
        <w:spacing w:before="0" w:beforeAutospacing="0"/>
        <w:rPr>
          <w:rFonts w:ascii="Arial Black" w:hAnsi="Arial Black"/>
          <w:sz w:val="28"/>
          <w:szCs w:val="28"/>
        </w:rPr>
      </w:pPr>
      <w:r>
        <w:rPr>
          <w:rFonts w:ascii="Arial Black" w:hAnsi="Arial Black"/>
          <w:sz w:val="28"/>
          <w:szCs w:val="28"/>
        </w:rPr>
        <w:t>VA: “OPENLY BISEXUAL” EMT – NEG. JOB REFERENCES - VP AMBUL. CO. TOLD OTHERS “ODD DUCK” – CASE PROCEED</w:t>
      </w:r>
    </w:p>
    <w:p w14:paraId="0693AFA7" w14:textId="77777777" w:rsidR="00B52921" w:rsidRDefault="00B52921" w:rsidP="00B52921">
      <w:pPr>
        <w:pStyle w:val="NormalWeb"/>
      </w:pPr>
      <w:r w:rsidRPr="00480F72">
        <w:rPr>
          <w:rStyle w:val="Strong"/>
          <w:rFonts w:eastAsiaTheme="majorEastAsia"/>
          <w:b w:val="0"/>
          <w:bCs w:val="0"/>
        </w:rPr>
        <w:t xml:space="preserve">On April 18, 2024, in </w:t>
      </w:r>
      <w:r w:rsidRPr="00480F72">
        <w:rPr>
          <w:rStyle w:val="Strong"/>
          <w:rFonts w:eastAsiaTheme="majorEastAsia"/>
          <w:b w:val="0"/>
          <w:bCs w:val="0"/>
          <w:u w:val="single"/>
        </w:rPr>
        <w:t>Natalie Lundberg v, Delta Response Team, LLC and Thomas Walton</w:t>
      </w:r>
      <w:r w:rsidRPr="00480F72">
        <w:rPr>
          <w:rStyle w:val="Strong"/>
          <w:rFonts w:eastAsiaTheme="majorEastAsia"/>
          <w:b w:val="0"/>
          <w:bCs w:val="0"/>
        </w:rPr>
        <w:t xml:space="preserve">, United States District Court Judge Robert S. Ballo, U.S. District Court for Western District of Virginia (Charlottesville Division) held that defense motion to dismiss claims is denied regarding her claim of “sexual orientation discrimination / disparate treatment theory.” </w:t>
      </w:r>
      <w:r>
        <w:t xml:space="preserve">Lundberg </w:t>
      </w:r>
      <w:proofErr w:type="gramStart"/>
      <w:r>
        <w:t>interviewed with</w:t>
      </w:r>
      <w:proofErr w:type="gramEnd"/>
      <w:r>
        <w:t xml:space="preserve"> both the City of Lynchburg Fire Department and Bedford County Fire and Rescue and accepted a conditional offer of employment from Bedford on February 16, 2022. Both FDs withdrew their interest after speaking with Walton. The Court dismissed other claims, including the claim for intentional infliction of emotional distress.  </w:t>
      </w:r>
      <w:hyperlink r:id="rId1389" w:history="1">
        <w:r w:rsidRPr="00E2199F">
          <w:rPr>
            <w:rStyle w:val="Hyperlink"/>
          </w:rPr>
          <w:t>https://casetext.com/case/lundberg-v-delta-response-team-llc</w:t>
        </w:r>
      </w:hyperlink>
      <w:r>
        <w:t xml:space="preserve"> </w:t>
      </w:r>
    </w:p>
    <w:p w14:paraId="6AC650AA" w14:textId="77777777" w:rsidR="00B52921" w:rsidRDefault="00B52921" w:rsidP="00B52921">
      <w:pPr>
        <w:pStyle w:val="NormalWeb"/>
      </w:pPr>
      <w:r>
        <w:t xml:space="preserve">COURT HELD: </w:t>
      </w:r>
    </w:p>
    <w:p w14:paraId="55117009" w14:textId="77777777" w:rsidR="00B52921" w:rsidRDefault="00B52921" w:rsidP="00B52921">
      <w:pPr>
        <w:pStyle w:val="NormalWeb"/>
        <w:ind w:left="720"/>
      </w:pPr>
      <w:r>
        <w:t>“Lundberg states a plausible claim for sexual orientation discrimination against Delta Response based on her allegations of disparate treatment in the workplace. Lundberg alleges discrimination based on her sexual orientation when Walton provided a negative job reference, which for purposes of the motion to dismiss, I consider an adverse employment action. Absent direct evidence</w:t>
      </w:r>
      <w:r>
        <w:rPr>
          <w:vertAlign w:val="superscript"/>
        </w:rPr>
        <w:t>[</w:t>
      </w:r>
      <w:bookmarkStart w:id="279" w:name="FN12"/>
      <w:r>
        <w:rPr>
          <w:vertAlign w:val="superscript"/>
        </w:rPr>
        <w:fldChar w:fldCharType="begin"/>
      </w:r>
      <w:r>
        <w:rPr>
          <w:vertAlign w:val="superscript"/>
        </w:rPr>
        <w:instrText>HYPERLINK "https://public.fastcase.com/" \l "ftn.FN12"</w:instrText>
      </w:r>
      <w:r>
        <w:rPr>
          <w:vertAlign w:val="superscript"/>
        </w:rPr>
      </w:r>
      <w:r>
        <w:rPr>
          <w:vertAlign w:val="superscript"/>
        </w:rPr>
        <w:fldChar w:fldCharType="separate"/>
      </w:r>
      <w:r>
        <w:rPr>
          <w:rStyle w:val="Hyperlink"/>
          <w:rFonts w:eastAsiaTheme="majorEastAsia"/>
          <w:vertAlign w:val="superscript"/>
        </w:rPr>
        <w:t>12</w:t>
      </w:r>
      <w:r>
        <w:rPr>
          <w:vertAlign w:val="superscript"/>
        </w:rPr>
        <w:fldChar w:fldCharType="end"/>
      </w:r>
      <w:bookmarkEnd w:id="279"/>
      <w:r>
        <w:rPr>
          <w:vertAlign w:val="superscript"/>
        </w:rPr>
        <w:t>]</w:t>
      </w:r>
      <w:r>
        <w:t xml:space="preserve">, the elements of a </w:t>
      </w:r>
      <w:r>
        <w:rPr>
          <w:rStyle w:val="Emphasis"/>
          <w:rFonts w:eastAsiaTheme="majorEastAsia"/>
        </w:rPr>
        <w:t>prima facie</w:t>
      </w:r>
      <w:r>
        <w:t xml:space="preserve"> case of disparate treatment under Title VII are (1) membership in a protected class; (2) satisfactory job performance; (3) an adverse employment action; and (4) similarly situated employees outside the protected class who received more favorable treatment. </w:t>
      </w:r>
      <w:r>
        <w:rPr>
          <w:rStyle w:val="Emphasis"/>
          <w:rFonts w:eastAsiaTheme="majorEastAsia"/>
        </w:rPr>
        <w:t xml:space="preserve">Tabb v. Bd. Of Educ. Of Durham Pub. </w:t>
      </w:r>
      <w:proofErr w:type="spellStart"/>
      <w:r>
        <w:rPr>
          <w:rStyle w:val="Emphasis"/>
          <w:rFonts w:eastAsiaTheme="majorEastAsia"/>
        </w:rPr>
        <w:t>Scs</w:t>
      </w:r>
      <w:proofErr w:type="spellEnd"/>
      <w:r>
        <w:t xml:space="preserve">. 29 F.4th 148, 157 (4th Cir. 2022); </w:t>
      </w:r>
      <w:r>
        <w:rPr>
          <w:rStyle w:val="Emphasis"/>
          <w:rFonts w:eastAsiaTheme="majorEastAsia"/>
        </w:rPr>
        <w:t>Coleman</w:t>
      </w:r>
      <w:r>
        <w:t xml:space="preserve">, 626 F.3d at 190. Disparate treatment requires proof of discriminatory motive ‘although [that motive] can in some situations be inferred from the mere fact of differences in treatment.’ </w:t>
      </w:r>
      <w:r>
        <w:rPr>
          <w:rStyle w:val="Emphasis"/>
          <w:rFonts w:eastAsiaTheme="majorEastAsia"/>
        </w:rPr>
        <w:t>Int'l Bhd. of Teamsters v. United States</w:t>
      </w:r>
      <w:r>
        <w:t>, 431 U.S. 324, 335 n.15 (1977).”</w:t>
      </w:r>
    </w:p>
    <w:p w14:paraId="5DC9EECF" w14:textId="77777777" w:rsidR="00B52921" w:rsidRPr="002C51E2" w:rsidRDefault="00B52921" w:rsidP="00B52921">
      <w:pPr>
        <w:pStyle w:val="NormalWeb"/>
        <w:rPr>
          <w:b/>
          <w:bCs/>
        </w:rPr>
      </w:pPr>
      <w:r w:rsidRPr="002C51E2">
        <w:rPr>
          <w:b/>
          <w:bCs/>
        </w:rPr>
        <w:lastRenderedPageBreak/>
        <w:t>Legal Lesson Learned:</w:t>
      </w:r>
      <w:r>
        <w:rPr>
          <w:b/>
          <w:bCs/>
        </w:rPr>
        <w:t xml:space="preserve"> If an employee requests a job reference, consider declining the request if this </w:t>
      </w:r>
      <w:proofErr w:type="gramStart"/>
      <w:r>
        <w:rPr>
          <w:b/>
          <w:bCs/>
        </w:rPr>
        <w:t>would not all be</w:t>
      </w:r>
      <w:proofErr w:type="gramEnd"/>
      <w:r>
        <w:rPr>
          <w:b/>
          <w:bCs/>
        </w:rPr>
        <w:t xml:space="preserve"> positive. Some employers direct Managers to not give job references, positive or negative. </w:t>
      </w:r>
    </w:p>
    <w:p w14:paraId="26DB5138" w14:textId="77777777" w:rsidR="00B52921" w:rsidRDefault="00B52921" w:rsidP="00B52921">
      <w:pPr>
        <w:pStyle w:val="Heading1"/>
        <w:ind w:left="720"/>
        <w:rPr>
          <w:color w:val="000000" w:themeColor="text1"/>
          <w:sz w:val="24"/>
          <w:szCs w:val="24"/>
        </w:rPr>
      </w:pPr>
      <w:r w:rsidRPr="001C276F">
        <w:rPr>
          <w:color w:val="000000" w:themeColor="text1"/>
          <w:sz w:val="24"/>
          <w:szCs w:val="24"/>
        </w:rPr>
        <w:t xml:space="preserve">Note: See Ohio Revised Code Section 4113.71 </w:t>
      </w:r>
      <w:r w:rsidRPr="001C276F">
        <w:rPr>
          <w:rStyle w:val="codes-separator"/>
          <w:color w:val="000000" w:themeColor="text1"/>
          <w:sz w:val="24"/>
          <w:szCs w:val="24"/>
        </w:rPr>
        <w:t>|</w:t>
      </w:r>
      <w:r w:rsidRPr="001C276F">
        <w:rPr>
          <w:color w:val="000000" w:themeColor="text1"/>
          <w:sz w:val="24"/>
          <w:szCs w:val="24"/>
        </w:rPr>
        <w:t xml:space="preserve"> Immunity of employer as to job performance information disclosures.</w:t>
      </w:r>
      <w:r>
        <w:rPr>
          <w:color w:val="000000" w:themeColor="text1"/>
          <w:sz w:val="24"/>
          <w:szCs w:val="24"/>
        </w:rPr>
        <w:t xml:space="preserve"> </w:t>
      </w:r>
      <w:hyperlink r:id="rId1390" w:history="1">
        <w:r w:rsidRPr="00E2199F">
          <w:rPr>
            <w:rStyle w:val="Hyperlink"/>
            <w:sz w:val="24"/>
            <w:szCs w:val="24"/>
          </w:rPr>
          <w:t>https://codes.ohio.gov/ohio-revised-code/section-4113.71</w:t>
        </w:r>
      </w:hyperlink>
      <w:r>
        <w:rPr>
          <w:color w:val="000000" w:themeColor="text1"/>
          <w:sz w:val="24"/>
          <w:szCs w:val="24"/>
        </w:rPr>
        <w:t xml:space="preserve"> </w:t>
      </w:r>
    </w:p>
    <w:p w14:paraId="46C798E6" w14:textId="77777777" w:rsidR="00B52921" w:rsidRDefault="00B52921" w:rsidP="00B52921">
      <w:pPr>
        <w:pStyle w:val="NormalWeb"/>
        <w:ind w:left="720"/>
      </w:pPr>
      <w:r>
        <w:t>(B) An employer who is requested by an employee or a prospective employer of an employee to disclose to a prospective employer of that employee information pertaining to the job performance of that employee for the employer and who discloses the requested information to the prospective employer is not liable in damages in a civil action to that employee, the prospective employer, or any other person for any harm sustained as a proximate result of making the disclosure or of any information disclosed, unless the plaintiff in a civil action establishes, either or both of the following:</w:t>
      </w:r>
    </w:p>
    <w:p w14:paraId="72419B4C" w14:textId="77777777" w:rsidR="00B52921" w:rsidRDefault="00B52921" w:rsidP="00B52921">
      <w:pPr>
        <w:pStyle w:val="NormalWeb"/>
        <w:ind w:left="720"/>
      </w:pPr>
      <w:r>
        <w:t xml:space="preserve">(1) By a preponderance of the evidence that the employer disclosed </w:t>
      </w:r>
      <w:proofErr w:type="gramStart"/>
      <w:r>
        <w:t>particular information</w:t>
      </w:r>
      <w:proofErr w:type="gramEnd"/>
      <w:r>
        <w:t xml:space="preserve"> with the knowledge that it was false, with the deliberate intent to mislead the prospective employer or another person, in bad faith, or with malicious purpose;</w:t>
      </w:r>
    </w:p>
    <w:p w14:paraId="59EFBA74" w14:textId="77777777" w:rsidR="00B52921" w:rsidRDefault="00B52921" w:rsidP="00B52921">
      <w:pPr>
        <w:pStyle w:val="NormalWeb"/>
        <w:ind w:left="720"/>
      </w:pPr>
      <w:r>
        <w:t xml:space="preserve">(2) By a preponderance of the evidence that the disclosure of </w:t>
      </w:r>
      <w:proofErr w:type="gramStart"/>
      <w:r>
        <w:t>particular information</w:t>
      </w:r>
      <w:proofErr w:type="gramEnd"/>
      <w:r>
        <w:t xml:space="preserve"> by the employer constitutes an unlawful discriminatory practice described in section </w:t>
      </w:r>
      <w:hyperlink r:id="rId1391" w:history="1">
        <w:r>
          <w:rPr>
            <w:rStyle w:val="Hyperlink"/>
            <w:rFonts w:eastAsiaTheme="majorEastAsia"/>
          </w:rPr>
          <w:t>4112.02</w:t>
        </w:r>
      </w:hyperlink>
      <w:r>
        <w:t xml:space="preserve">, </w:t>
      </w:r>
      <w:hyperlink r:id="rId1392" w:history="1">
        <w:r>
          <w:rPr>
            <w:rStyle w:val="Hyperlink"/>
            <w:rFonts w:eastAsiaTheme="majorEastAsia"/>
          </w:rPr>
          <w:t>4112.021</w:t>
        </w:r>
      </w:hyperlink>
      <w:r>
        <w:t xml:space="preserve">, or </w:t>
      </w:r>
      <w:hyperlink r:id="rId1393" w:history="1">
        <w:r>
          <w:rPr>
            <w:rStyle w:val="Hyperlink"/>
            <w:rFonts w:eastAsiaTheme="majorEastAsia"/>
          </w:rPr>
          <w:t>4112.022</w:t>
        </w:r>
      </w:hyperlink>
      <w:r>
        <w:t xml:space="preserve"> of the Revised Code.</w:t>
      </w:r>
    </w:p>
    <w:p w14:paraId="71517D17" w14:textId="77777777" w:rsidR="00B52921" w:rsidRDefault="00B52921" w:rsidP="00B52921">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7-60</w:t>
      </w:r>
    </w:p>
    <w:p w14:paraId="3BAC983C" w14:textId="2EC25C08" w:rsidR="00B52921" w:rsidRDefault="00B52921" w:rsidP="00B52921">
      <w:pPr>
        <w:pStyle w:val="NormalWeb"/>
        <w:spacing w:before="0" w:beforeAutospacing="0"/>
        <w:rPr>
          <w:b/>
          <w:bCs/>
          <w:color w:val="454545"/>
          <w:shd w:val="clear" w:color="auto" w:fill="FFFFFF"/>
        </w:rPr>
      </w:pPr>
      <w:r>
        <w:rPr>
          <w:rFonts w:ascii="Arial Black" w:hAnsi="Arial Black"/>
          <w:b/>
          <w:bCs/>
          <w:color w:val="454545"/>
          <w:sz w:val="28"/>
          <w:szCs w:val="28"/>
          <w:shd w:val="clear" w:color="auto" w:fill="FFFFFF"/>
        </w:rPr>
        <w:t xml:space="preserve">U.S. SUP. CT. – LANDMARK CASE: JOB TRANSFER / SEXUAL HAR. – FEMALE SGT. MUST ONLY SHOW “SOME HARM” </w:t>
      </w:r>
    </w:p>
    <w:p w14:paraId="67591A59" w14:textId="77777777" w:rsidR="00B52921" w:rsidRPr="00EB06FE" w:rsidRDefault="00B52921" w:rsidP="00B52921">
      <w:pPr>
        <w:pStyle w:val="NoSpacing"/>
        <w:rPr>
          <w:rFonts w:ascii="Times New Roman" w:hAnsi="Times New Roman"/>
          <w:color w:val="454545"/>
          <w:sz w:val="24"/>
          <w:szCs w:val="24"/>
          <w:shd w:val="clear" w:color="auto" w:fill="FFFFFF"/>
        </w:rPr>
      </w:pPr>
      <w:r w:rsidRPr="00EB06FE">
        <w:rPr>
          <w:rFonts w:ascii="Times New Roman" w:hAnsi="Times New Roman"/>
          <w:color w:val="454545"/>
          <w:sz w:val="24"/>
          <w:szCs w:val="24"/>
          <w:shd w:val="clear" w:color="auto" w:fill="FFFFFF"/>
        </w:rPr>
        <w:t xml:space="preserve">On April 17, 2024, in </w:t>
      </w:r>
      <w:r w:rsidRPr="00EB06FE">
        <w:rPr>
          <w:rFonts w:ascii="Times New Roman" w:hAnsi="Times New Roman"/>
          <w:color w:val="454545"/>
          <w:sz w:val="24"/>
          <w:szCs w:val="24"/>
          <w:u w:val="single"/>
          <w:shd w:val="clear" w:color="auto" w:fill="FFFFFF"/>
        </w:rPr>
        <w:t>Jatonya Clayborn Muldrow v. City of St. Louis, Missouri, et al.,</w:t>
      </w:r>
      <w:r w:rsidRPr="00EB06FE">
        <w:rPr>
          <w:rFonts w:ascii="Times New Roman" w:hAnsi="Times New Roman"/>
          <w:color w:val="454545"/>
          <w:sz w:val="24"/>
          <w:szCs w:val="24"/>
          <w:shd w:val="clear" w:color="auto" w:fill="FFFFFF"/>
        </w:rPr>
        <w:t xml:space="preserve"> the United States Supreme Court held (9 to 0) that trial court should not have granted summary judgment to the city, and 8</w:t>
      </w:r>
      <w:r w:rsidRPr="00EB06FE">
        <w:rPr>
          <w:rFonts w:ascii="Times New Roman" w:hAnsi="Times New Roman"/>
          <w:color w:val="454545"/>
          <w:sz w:val="24"/>
          <w:szCs w:val="24"/>
          <w:shd w:val="clear" w:color="auto" w:fill="FFFFFF"/>
          <w:vertAlign w:val="superscript"/>
        </w:rPr>
        <w:t>th</w:t>
      </w:r>
      <w:r w:rsidRPr="00EB06FE">
        <w:rPr>
          <w:rFonts w:ascii="Times New Roman" w:hAnsi="Times New Roman"/>
          <w:color w:val="454545"/>
          <w:sz w:val="24"/>
          <w:szCs w:val="24"/>
          <w:shd w:val="clear" w:color="auto" w:fill="FFFFFF"/>
        </w:rPr>
        <w:t xml:space="preserve"> Circuit Court of Appeals had applied too tough a standard for employees claiming job transfer was because of sexual harassment (“materially significant disadvantage”).  </w:t>
      </w:r>
      <w:r w:rsidRPr="00EB06FE">
        <w:rPr>
          <w:rFonts w:ascii="Times New Roman" w:hAnsi="Times New Roman"/>
          <w:sz w:val="24"/>
          <w:szCs w:val="24"/>
        </w:rPr>
        <w:t xml:space="preserve">Sergeant Jatonya Clayborn Muldrow maintains that her employer, the St. Louis Police Department, transferred her from one job to another because she is a woman. </w:t>
      </w:r>
      <w:r w:rsidRPr="00EB06FE">
        <w:rPr>
          <w:rFonts w:ascii="Times New Roman" w:hAnsi="Times New Roman"/>
          <w:color w:val="454545"/>
          <w:sz w:val="24"/>
          <w:szCs w:val="24"/>
          <w:shd w:val="clear" w:color="auto" w:fill="FFFFFF"/>
        </w:rPr>
        <w:t xml:space="preserve">Sergeant Muldrow was in Intelligence Division, worked M-F, vehicle, FBI cases, and her new male boss moved her out (back to street patrol) because wanted male sergeant.  Under new </w:t>
      </w:r>
      <w:proofErr w:type="gramStart"/>
      <w:r w:rsidRPr="00EB06FE">
        <w:rPr>
          <w:rFonts w:ascii="Times New Roman" w:hAnsi="Times New Roman"/>
          <w:color w:val="454545"/>
          <w:sz w:val="24"/>
          <w:szCs w:val="24"/>
          <w:shd w:val="clear" w:color="auto" w:fill="FFFFFF"/>
        </w:rPr>
        <w:t>standard</w:t>
      </w:r>
      <w:proofErr w:type="gramEnd"/>
      <w:r w:rsidRPr="00EB06FE">
        <w:rPr>
          <w:rFonts w:ascii="Times New Roman" w:hAnsi="Times New Roman"/>
          <w:color w:val="454545"/>
          <w:sz w:val="24"/>
          <w:szCs w:val="24"/>
          <w:shd w:val="clear" w:color="auto" w:fill="FFFFFF"/>
        </w:rPr>
        <w:t xml:space="preserve">, she must only that that the job transfer brought about some harm with respect to an identifiable term or condition of employment, but that harm need not be significant. </w:t>
      </w:r>
      <w:hyperlink r:id="rId1394" w:history="1">
        <w:r w:rsidRPr="00EB06FE">
          <w:rPr>
            <w:rStyle w:val="Hyperlink"/>
            <w:rFonts w:ascii="Times New Roman" w:hAnsi="Times New Roman"/>
            <w:sz w:val="24"/>
            <w:szCs w:val="24"/>
            <w:shd w:val="clear" w:color="auto" w:fill="FFFFFF"/>
          </w:rPr>
          <w:t>https://www.supremecourt.gov/opinions/23pdf/22-193_q86b.pdf</w:t>
        </w:r>
      </w:hyperlink>
      <w:r w:rsidRPr="00EB06FE">
        <w:rPr>
          <w:rFonts w:ascii="Times New Roman" w:hAnsi="Times New Roman"/>
          <w:color w:val="454545"/>
          <w:sz w:val="24"/>
          <w:szCs w:val="24"/>
          <w:shd w:val="clear" w:color="auto" w:fill="FFFFFF"/>
        </w:rPr>
        <w:t xml:space="preserve"> </w:t>
      </w:r>
    </w:p>
    <w:p w14:paraId="6054BF64" w14:textId="77777777" w:rsidR="00B52921" w:rsidRDefault="00B52921" w:rsidP="00B52921">
      <w:pPr>
        <w:pStyle w:val="NormalWeb"/>
        <w:spacing w:before="0" w:beforeAutospacing="0"/>
        <w:rPr>
          <w:color w:val="454545"/>
          <w:shd w:val="clear" w:color="auto" w:fill="FFFFFF"/>
        </w:rPr>
      </w:pPr>
    </w:p>
    <w:p w14:paraId="2E3F5138" w14:textId="77777777" w:rsidR="00B52921" w:rsidRPr="00A0436B" w:rsidRDefault="00B52921" w:rsidP="00B52921">
      <w:pPr>
        <w:pStyle w:val="NormalWeb"/>
        <w:spacing w:before="0" w:beforeAutospacing="0"/>
        <w:rPr>
          <w:color w:val="454545"/>
          <w:shd w:val="clear" w:color="auto" w:fill="FFFFFF"/>
        </w:rPr>
      </w:pPr>
      <w:r>
        <w:rPr>
          <w:color w:val="454545"/>
          <w:shd w:val="clear" w:color="auto" w:fill="FFFFFF"/>
        </w:rPr>
        <w:t xml:space="preserve">COURT HELD (opinion by Justice Elena Kagan): </w:t>
      </w:r>
    </w:p>
    <w:p w14:paraId="4E1BAEC7" w14:textId="77777777" w:rsidR="00B52921" w:rsidRDefault="00B52921" w:rsidP="00B52921">
      <w:pPr>
        <w:pStyle w:val="NoSpacing"/>
        <w:ind w:left="720"/>
        <w:rPr>
          <w:rFonts w:ascii="Times New Roman" w:hAnsi="Times New Roman"/>
          <w:sz w:val="24"/>
          <w:szCs w:val="24"/>
          <w:shd w:val="clear" w:color="auto" w:fill="FFFFFF"/>
        </w:rPr>
      </w:pPr>
      <w:r>
        <w:rPr>
          <w:shd w:val="clear" w:color="auto" w:fill="FFFFFF"/>
        </w:rPr>
        <w:t>“</w:t>
      </w:r>
      <w:r w:rsidRPr="00EB06FE">
        <w:rPr>
          <w:rFonts w:ascii="Times New Roman" w:hAnsi="Times New Roman"/>
          <w:sz w:val="24"/>
          <w:szCs w:val="24"/>
          <w:shd w:val="clear" w:color="auto" w:fill="FFFFFF"/>
        </w:rPr>
        <w:t>The courts below rejected the claim on the ground that the</w:t>
      </w:r>
      <w:r>
        <w:rPr>
          <w:rFonts w:ascii="Times New Roman" w:hAnsi="Times New Roman"/>
          <w:sz w:val="24"/>
          <w:szCs w:val="24"/>
          <w:shd w:val="clear" w:color="auto" w:fill="FFFFFF"/>
        </w:rPr>
        <w:t xml:space="preserve"> </w:t>
      </w:r>
      <w:r w:rsidRPr="00EB06FE">
        <w:rPr>
          <w:rFonts w:ascii="Times New Roman" w:hAnsi="Times New Roman"/>
          <w:sz w:val="24"/>
          <w:szCs w:val="24"/>
          <w:shd w:val="clear" w:color="auto" w:fill="FFFFFF"/>
        </w:rPr>
        <w:t xml:space="preserve">transfer did not cause Muldrow a </w:t>
      </w:r>
      <w:r>
        <w:rPr>
          <w:rFonts w:ascii="Times New Roman" w:hAnsi="Times New Roman"/>
          <w:sz w:val="24"/>
          <w:szCs w:val="24"/>
          <w:shd w:val="clear" w:color="auto" w:fill="FFFFFF"/>
        </w:rPr>
        <w:t>‘</w:t>
      </w:r>
      <w:r w:rsidRPr="00EB06FE">
        <w:rPr>
          <w:rFonts w:ascii="Times New Roman" w:hAnsi="Times New Roman"/>
          <w:sz w:val="24"/>
          <w:szCs w:val="24"/>
          <w:shd w:val="clear" w:color="auto" w:fill="FFFFFF"/>
        </w:rPr>
        <w:t>significant</w:t>
      </w:r>
      <w:r>
        <w:rPr>
          <w:rFonts w:ascii="Times New Roman" w:hAnsi="Times New Roman"/>
          <w:sz w:val="24"/>
          <w:szCs w:val="24"/>
          <w:shd w:val="clear" w:color="auto" w:fill="FFFFFF"/>
        </w:rPr>
        <w:t xml:space="preserve">’ </w:t>
      </w:r>
      <w:r w:rsidRPr="00EB06FE">
        <w:rPr>
          <w:rFonts w:ascii="Times New Roman" w:hAnsi="Times New Roman"/>
          <w:sz w:val="24"/>
          <w:szCs w:val="24"/>
          <w:shd w:val="clear" w:color="auto" w:fill="FFFFFF"/>
        </w:rPr>
        <w:t>employment</w:t>
      </w:r>
      <w:r>
        <w:rPr>
          <w:rFonts w:ascii="Times New Roman" w:hAnsi="Times New Roman"/>
          <w:sz w:val="24"/>
          <w:szCs w:val="24"/>
          <w:shd w:val="clear" w:color="auto" w:fill="FFFFFF"/>
        </w:rPr>
        <w:t xml:space="preserve"> </w:t>
      </w:r>
      <w:r w:rsidRPr="00EB06FE">
        <w:rPr>
          <w:rFonts w:ascii="Times New Roman" w:hAnsi="Times New Roman"/>
          <w:sz w:val="24"/>
          <w:szCs w:val="24"/>
          <w:shd w:val="clear" w:color="auto" w:fill="FFFFFF"/>
        </w:rPr>
        <w:t>disadvantage. Other courts have used similar standards in</w:t>
      </w:r>
      <w:r>
        <w:rPr>
          <w:rFonts w:ascii="Times New Roman" w:hAnsi="Times New Roman"/>
          <w:sz w:val="24"/>
          <w:szCs w:val="24"/>
          <w:shd w:val="clear" w:color="auto" w:fill="FFFFFF"/>
        </w:rPr>
        <w:t xml:space="preserve"> </w:t>
      </w:r>
      <w:r w:rsidRPr="00EB06FE">
        <w:rPr>
          <w:rFonts w:ascii="Times New Roman" w:hAnsi="Times New Roman"/>
          <w:sz w:val="24"/>
          <w:szCs w:val="24"/>
          <w:shd w:val="clear" w:color="auto" w:fill="FFFFFF"/>
        </w:rPr>
        <w:t>addressing Title VII suits arising from job transfers.</w:t>
      </w:r>
      <w:r>
        <w:rPr>
          <w:rFonts w:ascii="Times New Roman" w:hAnsi="Times New Roman"/>
          <w:sz w:val="24"/>
          <w:szCs w:val="24"/>
          <w:shd w:val="clear" w:color="auto" w:fill="FFFFFF"/>
        </w:rPr>
        <w:t xml:space="preserve"> </w:t>
      </w:r>
      <w:r w:rsidRPr="00EB06FE">
        <w:rPr>
          <w:rFonts w:ascii="Times New Roman" w:hAnsi="Times New Roman"/>
          <w:sz w:val="24"/>
          <w:szCs w:val="24"/>
          <w:shd w:val="clear" w:color="auto" w:fill="FFFFFF"/>
        </w:rPr>
        <w:t xml:space="preserve">Today, we </w:t>
      </w:r>
      <w:proofErr w:type="gramStart"/>
      <w:r w:rsidRPr="00EB06FE">
        <w:rPr>
          <w:rFonts w:ascii="Times New Roman" w:hAnsi="Times New Roman"/>
          <w:sz w:val="24"/>
          <w:szCs w:val="24"/>
          <w:shd w:val="clear" w:color="auto" w:fill="FFFFFF"/>
        </w:rPr>
        <w:t>disapprove</w:t>
      </w:r>
      <w:proofErr w:type="gramEnd"/>
      <w:r w:rsidRPr="00EB06FE">
        <w:rPr>
          <w:rFonts w:ascii="Times New Roman" w:hAnsi="Times New Roman"/>
          <w:sz w:val="24"/>
          <w:szCs w:val="24"/>
          <w:shd w:val="clear" w:color="auto" w:fill="FFFFFF"/>
        </w:rPr>
        <w:t xml:space="preserve"> that approach. Although an employee must show some harm from a forced transfer to prevail in a Title VII suit, she need not show that the injury</w:t>
      </w:r>
      <w:r>
        <w:rPr>
          <w:rFonts w:ascii="Times New Roman" w:hAnsi="Times New Roman"/>
          <w:sz w:val="24"/>
          <w:szCs w:val="24"/>
          <w:shd w:val="clear" w:color="auto" w:fill="FFFFFF"/>
        </w:rPr>
        <w:t xml:space="preserve"> </w:t>
      </w:r>
      <w:r w:rsidRPr="00EB06FE">
        <w:rPr>
          <w:rFonts w:ascii="Times New Roman" w:hAnsi="Times New Roman"/>
          <w:sz w:val="24"/>
          <w:szCs w:val="24"/>
          <w:shd w:val="clear" w:color="auto" w:fill="FFFFFF"/>
        </w:rPr>
        <w:t>satisfies a significance test. Title VII’s text nowhere establishes that high bar.</w:t>
      </w:r>
    </w:p>
    <w:p w14:paraId="170CF58B" w14:textId="77777777" w:rsidR="00B52921" w:rsidRPr="00EB06FE" w:rsidRDefault="00B52921" w:rsidP="00B52921">
      <w:pPr>
        <w:pStyle w:val="NoSpacing"/>
        <w:ind w:left="720"/>
        <w:rPr>
          <w:rFonts w:ascii="Times New Roman" w:hAnsi="Times New Roman"/>
          <w:sz w:val="24"/>
          <w:szCs w:val="24"/>
          <w:shd w:val="clear" w:color="auto" w:fill="FFFFFF"/>
        </w:rPr>
      </w:pPr>
    </w:p>
    <w:p w14:paraId="67348287" w14:textId="77777777" w:rsidR="00B52921" w:rsidRDefault="00B52921" w:rsidP="00B52921">
      <w:pPr>
        <w:pStyle w:val="NoSpacing"/>
        <w:ind w:left="720"/>
        <w:rPr>
          <w:rFonts w:ascii="Times New Roman" w:hAnsi="Times New Roman"/>
          <w:sz w:val="24"/>
          <w:szCs w:val="24"/>
        </w:rPr>
      </w:pPr>
      <w:r w:rsidRPr="00EB06FE">
        <w:rPr>
          <w:rFonts w:ascii="Times New Roman" w:hAnsi="Times New Roman"/>
          <w:sz w:val="24"/>
          <w:szCs w:val="24"/>
        </w:rPr>
        <w:t xml:space="preserve">The District Court, viewing the matter differently, granted the </w:t>
      </w:r>
      <w:proofErr w:type="gramStart"/>
      <w:r w:rsidRPr="00EB06FE">
        <w:rPr>
          <w:rFonts w:ascii="Times New Roman" w:hAnsi="Times New Roman"/>
          <w:sz w:val="24"/>
          <w:szCs w:val="24"/>
        </w:rPr>
        <w:t>City</w:t>
      </w:r>
      <w:proofErr w:type="gramEnd"/>
      <w:r w:rsidRPr="00EB06FE">
        <w:rPr>
          <w:rFonts w:ascii="Times New Roman" w:hAnsi="Times New Roman"/>
          <w:sz w:val="24"/>
          <w:szCs w:val="24"/>
        </w:rPr>
        <w:t xml:space="preserve"> summary judgment. Under Circuit precedent, the court explained, Muldrow needed to show that her transfer effected a ‘significant’ change in working</w:t>
      </w:r>
      <w:r w:rsidRPr="00356E5C">
        <w:rPr>
          <w:rFonts w:ascii="Times New Roman" w:hAnsi="Times New Roman"/>
          <w:sz w:val="24"/>
          <w:szCs w:val="24"/>
        </w:rPr>
        <w:t xml:space="preserve"> conditions producing </w:t>
      </w:r>
      <w:r>
        <w:rPr>
          <w:rFonts w:ascii="Times New Roman" w:hAnsi="Times New Roman"/>
          <w:sz w:val="24"/>
          <w:szCs w:val="24"/>
        </w:rPr>
        <w:t>‘</w:t>
      </w:r>
      <w:r w:rsidRPr="00356E5C">
        <w:rPr>
          <w:rFonts w:ascii="Times New Roman" w:hAnsi="Times New Roman"/>
          <w:sz w:val="24"/>
          <w:szCs w:val="24"/>
        </w:rPr>
        <w:t>material employment disadvantage.</w:t>
      </w:r>
      <w:r>
        <w:rPr>
          <w:rFonts w:ascii="Times New Roman" w:hAnsi="Times New Roman"/>
          <w:sz w:val="24"/>
          <w:szCs w:val="24"/>
        </w:rPr>
        <w:t xml:space="preserve">’ </w:t>
      </w:r>
      <w:r w:rsidRPr="00356E5C">
        <w:rPr>
          <w:rFonts w:ascii="Times New Roman" w:hAnsi="Times New Roman"/>
          <w:sz w:val="24"/>
          <w:szCs w:val="24"/>
        </w:rPr>
        <w:t>2020 WL 5505113, *8–*9. And Muldrow, the court held,</w:t>
      </w:r>
      <w:r>
        <w:rPr>
          <w:rFonts w:ascii="Times New Roman" w:hAnsi="Times New Roman"/>
          <w:sz w:val="24"/>
          <w:szCs w:val="24"/>
        </w:rPr>
        <w:t xml:space="preserve"> </w:t>
      </w:r>
      <w:r w:rsidRPr="00356E5C">
        <w:rPr>
          <w:rFonts w:ascii="Times New Roman" w:hAnsi="Times New Roman"/>
          <w:sz w:val="24"/>
          <w:szCs w:val="24"/>
        </w:rPr>
        <w:t xml:space="preserve">could not meet that </w:t>
      </w:r>
      <w:proofErr w:type="gramStart"/>
      <w:r w:rsidRPr="00356E5C">
        <w:rPr>
          <w:rFonts w:ascii="Times New Roman" w:hAnsi="Times New Roman"/>
          <w:sz w:val="24"/>
          <w:szCs w:val="24"/>
        </w:rPr>
        <w:t>heightened-injury</w:t>
      </w:r>
      <w:proofErr w:type="gramEnd"/>
      <w:r w:rsidRPr="00356E5C">
        <w:rPr>
          <w:rFonts w:ascii="Times New Roman" w:hAnsi="Times New Roman"/>
          <w:sz w:val="24"/>
          <w:szCs w:val="24"/>
        </w:rPr>
        <w:t xml:space="preserve"> standard. </w:t>
      </w:r>
      <w:r>
        <w:rPr>
          <w:rFonts w:ascii="Times New Roman" w:hAnsi="Times New Roman"/>
          <w:sz w:val="24"/>
          <w:szCs w:val="24"/>
        </w:rPr>
        <w:t>‘</w:t>
      </w:r>
      <w:r w:rsidRPr="00356E5C">
        <w:rPr>
          <w:rFonts w:ascii="Times New Roman" w:hAnsi="Times New Roman"/>
          <w:sz w:val="24"/>
          <w:szCs w:val="24"/>
        </w:rPr>
        <w:t xml:space="preserve">[S]he experienced no change </w:t>
      </w:r>
      <w:r w:rsidRPr="00356E5C">
        <w:rPr>
          <w:rFonts w:ascii="Times New Roman" w:hAnsi="Times New Roman"/>
          <w:sz w:val="24"/>
          <w:szCs w:val="24"/>
        </w:rPr>
        <w:lastRenderedPageBreak/>
        <w:t>in salary or rank.</w:t>
      </w:r>
      <w:r>
        <w:rPr>
          <w:rFonts w:ascii="Times New Roman" w:hAnsi="Times New Roman"/>
          <w:sz w:val="24"/>
          <w:szCs w:val="24"/>
        </w:rPr>
        <w:t xml:space="preserve">’ </w:t>
      </w:r>
      <w:r w:rsidRPr="00356E5C">
        <w:rPr>
          <w:rFonts w:ascii="Times New Roman" w:hAnsi="Times New Roman"/>
          <w:sz w:val="24"/>
          <w:szCs w:val="24"/>
        </w:rPr>
        <w:t>Id., at *9. Her loss</w:t>
      </w:r>
      <w:r>
        <w:rPr>
          <w:rFonts w:ascii="Times New Roman" w:hAnsi="Times New Roman"/>
          <w:sz w:val="24"/>
          <w:szCs w:val="24"/>
        </w:rPr>
        <w:t xml:space="preserve"> </w:t>
      </w:r>
      <w:r w:rsidRPr="00356E5C">
        <w:rPr>
          <w:rFonts w:ascii="Times New Roman" w:hAnsi="Times New Roman"/>
          <w:sz w:val="24"/>
          <w:szCs w:val="24"/>
        </w:rPr>
        <w:t xml:space="preserve">of </w:t>
      </w:r>
      <w:r>
        <w:rPr>
          <w:rFonts w:ascii="Times New Roman" w:hAnsi="Times New Roman"/>
          <w:sz w:val="24"/>
          <w:szCs w:val="24"/>
        </w:rPr>
        <w:t>‘</w:t>
      </w:r>
      <w:r w:rsidRPr="00356E5C">
        <w:rPr>
          <w:rFonts w:ascii="Times New Roman" w:hAnsi="Times New Roman"/>
          <w:sz w:val="24"/>
          <w:szCs w:val="24"/>
        </w:rPr>
        <w:t>the networking [opportunities] available in Intelligence</w:t>
      </w:r>
      <w:r>
        <w:rPr>
          <w:rFonts w:ascii="Times New Roman" w:hAnsi="Times New Roman"/>
          <w:sz w:val="24"/>
          <w:szCs w:val="24"/>
        </w:rPr>
        <w:t xml:space="preserve"> </w:t>
      </w:r>
      <w:r w:rsidRPr="00356E5C">
        <w:rPr>
          <w:rFonts w:ascii="Times New Roman" w:hAnsi="Times New Roman"/>
          <w:sz w:val="24"/>
          <w:szCs w:val="24"/>
        </w:rPr>
        <w:t>was immaterial because she had not provided evidence that</w:t>
      </w:r>
      <w:r>
        <w:rPr>
          <w:rFonts w:ascii="Times New Roman" w:hAnsi="Times New Roman"/>
          <w:sz w:val="24"/>
          <w:szCs w:val="24"/>
        </w:rPr>
        <w:t xml:space="preserve"> </w:t>
      </w:r>
      <w:r w:rsidRPr="00356E5C">
        <w:rPr>
          <w:rFonts w:ascii="Times New Roman" w:hAnsi="Times New Roman"/>
          <w:sz w:val="24"/>
          <w:szCs w:val="24"/>
        </w:rPr>
        <w:t xml:space="preserve">it had harmed her </w:t>
      </w:r>
      <w:r>
        <w:rPr>
          <w:rFonts w:ascii="Times New Roman" w:hAnsi="Times New Roman"/>
          <w:sz w:val="24"/>
          <w:szCs w:val="24"/>
        </w:rPr>
        <w:t>‘</w:t>
      </w:r>
      <w:r w:rsidRPr="00356E5C">
        <w:rPr>
          <w:rFonts w:ascii="Times New Roman" w:hAnsi="Times New Roman"/>
          <w:sz w:val="24"/>
          <w:szCs w:val="24"/>
        </w:rPr>
        <w:t>career prospects.</w:t>
      </w:r>
      <w:r>
        <w:rPr>
          <w:rFonts w:ascii="Times New Roman" w:hAnsi="Times New Roman"/>
          <w:sz w:val="24"/>
          <w:szCs w:val="24"/>
        </w:rPr>
        <w:t>’</w:t>
      </w:r>
      <w:r w:rsidRPr="00356E5C">
        <w:rPr>
          <w:rFonts w:ascii="Times New Roman" w:hAnsi="Times New Roman"/>
          <w:sz w:val="24"/>
          <w:szCs w:val="24"/>
        </w:rPr>
        <w:t xml:space="preserve"> Id., at *8. And given</w:t>
      </w:r>
      <w:r>
        <w:rPr>
          <w:rFonts w:ascii="Times New Roman" w:hAnsi="Times New Roman"/>
          <w:sz w:val="24"/>
          <w:szCs w:val="24"/>
        </w:rPr>
        <w:t xml:space="preserve"> </w:t>
      </w:r>
      <w:r w:rsidRPr="00356E5C">
        <w:rPr>
          <w:rFonts w:ascii="Times New Roman" w:hAnsi="Times New Roman"/>
          <w:sz w:val="24"/>
          <w:szCs w:val="24"/>
        </w:rPr>
        <w:t xml:space="preserve">her continued </w:t>
      </w:r>
      <w:r>
        <w:rPr>
          <w:rFonts w:ascii="Times New Roman" w:hAnsi="Times New Roman"/>
          <w:sz w:val="24"/>
          <w:szCs w:val="24"/>
        </w:rPr>
        <w:t>‘</w:t>
      </w:r>
      <w:r w:rsidRPr="00356E5C">
        <w:rPr>
          <w:rFonts w:ascii="Times New Roman" w:hAnsi="Times New Roman"/>
          <w:sz w:val="24"/>
          <w:szCs w:val="24"/>
        </w:rPr>
        <w:t>supervisory role,</w:t>
      </w:r>
      <w:r>
        <w:rPr>
          <w:rFonts w:ascii="Times New Roman" w:hAnsi="Times New Roman"/>
          <w:sz w:val="24"/>
          <w:szCs w:val="24"/>
        </w:rPr>
        <w:t>’</w:t>
      </w:r>
      <w:r w:rsidRPr="00356E5C">
        <w:rPr>
          <w:rFonts w:ascii="Times New Roman" w:hAnsi="Times New Roman"/>
          <w:sz w:val="24"/>
          <w:szCs w:val="24"/>
        </w:rPr>
        <w:t xml:space="preserve"> she had not </w:t>
      </w:r>
      <w:r>
        <w:rPr>
          <w:rFonts w:ascii="Times New Roman" w:hAnsi="Times New Roman"/>
          <w:sz w:val="24"/>
          <w:szCs w:val="24"/>
        </w:rPr>
        <w:t>‘</w:t>
      </w:r>
      <w:r w:rsidRPr="00356E5C">
        <w:rPr>
          <w:rFonts w:ascii="Times New Roman" w:hAnsi="Times New Roman"/>
          <w:sz w:val="24"/>
          <w:szCs w:val="24"/>
        </w:rPr>
        <w:t>suffered a</w:t>
      </w:r>
      <w:r>
        <w:rPr>
          <w:rFonts w:ascii="Times New Roman" w:hAnsi="Times New Roman"/>
          <w:sz w:val="24"/>
          <w:szCs w:val="24"/>
        </w:rPr>
        <w:t xml:space="preserve"> </w:t>
      </w:r>
      <w:r w:rsidRPr="00356E5C">
        <w:rPr>
          <w:rFonts w:ascii="Times New Roman" w:hAnsi="Times New Roman"/>
          <w:sz w:val="24"/>
          <w:szCs w:val="24"/>
        </w:rPr>
        <w:t xml:space="preserve">significant alteration to her work </w:t>
      </w:r>
      <w:proofErr w:type="gramStart"/>
      <w:r w:rsidRPr="00356E5C">
        <w:rPr>
          <w:rFonts w:ascii="Times New Roman" w:hAnsi="Times New Roman"/>
          <w:sz w:val="24"/>
          <w:szCs w:val="24"/>
        </w:rPr>
        <w:t>responsibilities.”</w:t>
      </w:r>
      <w:proofErr w:type="gramEnd"/>
    </w:p>
    <w:p w14:paraId="64805540" w14:textId="77777777" w:rsidR="00B52921" w:rsidRDefault="00B52921" w:rsidP="00B52921">
      <w:pPr>
        <w:pStyle w:val="NoSpacing"/>
        <w:ind w:left="720"/>
        <w:rPr>
          <w:rFonts w:ascii="Times New Roman" w:hAnsi="Times New Roman"/>
          <w:sz w:val="24"/>
          <w:szCs w:val="24"/>
        </w:rPr>
      </w:pPr>
    </w:p>
    <w:p w14:paraId="3A183DA4" w14:textId="77777777" w:rsidR="00B52921" w:rsidRDefault="00B52921" w:rsidP="00B52921">
      <w:pPr>
        <w:pStyle w:val="NoSpacing"/>
        <w:ind w:left="720"/>
        <w:rPr>
          <w:rFonts w:ascii="Times New Roman" w:hAnsi="Times New Roman"/>
          <w:sz w:val="24"/>
          <w:szCs w:val="24"/>
        </w:rPr>
      </w:pPr>
    </w:p>
    <w:p w14:paraId="4F01906C" w14:textId="77777777" w:rsidR="00B52921" w:rsidRPr="002E281A" w:rsidRDefault="00B52921" w:rsidP="00B52921">
      <w:pPr>
        <w:pStyle w:val="NoSpacing"/>
        <w:rPr>
          <w:rFonts w:ascii="Times New Roman" w:hAnsi="Times New Roman"/>
          <w:b/>
          <w:bCs/>
          <w:sz w:val="24"/>
          <w:szCs w:val="24"/>
        </w:rPr>
      </w:pPr>
      <w:r w:rsidRPr="002E281A">
        <w:rPr>
          <w:rFonts w:ascii="Times New Roman" w:hAnsi="Times New Roman"/>
          <w:b/>
          <w:bCs/>
          <w:sz w:val="24"/>
          <w:szCs w:val="24"/>
        </w:rPr>
        <w:t>Legal Lesson Learned:</w:t>
      </w:r>
      <w:r>
        <w:rPr>
          <w:rFonts w:ascii="Times New Roman" w:hAnsi="Times New Roman"/>
          <w:b/>
          <w:bCs/>
          <w:sz w:val="24"/>
          <w:szCs w:val="24"/>
        </w:rPr>
        <w:t xml:space="preserve"> This is a “landmark” decision; the new “some harm” standard will be widely applied not only in job transfer cases but also a wide variety of other employment decisions. </w:t>
      </w:r>
    </w:p>
    <w:p w14:paraId="0A0E62E5" w14:textId="77777777" w:rsidR="00B52921" w:rsidRDefault="00B52921" w:rsidP="00B52921">
      <w:pPr>
        <w:pStyle w:val="NoSpacing"/>
        <w:rPr>
          <w:rFonts w:ascii="Times New Roman" w:hAnsi="Times New Roman"/>
          <w:sz w:val="24"/>
          <w:szCs w:val="24"/>
        </w:rPr>
      </w:pPr>
    </w:p>
    <w:p w14:paraId="64F48EA1" w14:textId="77777777" w:rsidR="00B52921" w:rsidRPr="00CD1C63" w:rsidRDefault="00B52921" w:rsidP="00B52921">
      <w:pPr>
        <w:pStyle w:val="NoSpacing"/>
        <w:ind w:left="720"/>
        <w:rPr>
          <w:rFonts w:ascii="Times New Roman" w:hAnsi="Times New Roman"/>
          <w:sz w:val="24"/>
          <w:szCs w:val="24"/>
        </w:rPr>
      </w:pPr>
      <w:r w:rsidRPr="00CD1C63">
        <w:rPr>
          <w:rFonts w:ascii="Times New Roman" w:hAnsi="Times New Roman"/>
          <w:sz w:val="24"/>
          <w:szCs w:val="24"/>
        </w:rPr>
        <w:t>Note: Justice</w:t>
      </w:r>
      <w:r>
        <w:rPr>
          <w:rFonts w:ascii="Times New Roman" w:hAnsi="Times New Roman"/>
          <w:sz w:val="24"/>
          <w:szCs w:val="24"/>
        </w:rPr>
        <w:t xml:space="preserve"> Michael</w:t>
      </w:r>
      <w:r w:rsidRPr="00CD1C63">
        <w:rPr>
          <w:rFonts w:ascii="Times New Roman" w:hAnsi="Times New Roman"/>
          <w:sz w:val="24"/>
          <w:szCs w:val="24"/>
        </w:rPr>
        <w:t xml:space="preserve"> Kavanaugh in his concurring decision focused on impact of this decision</w:t>
      </w:r>
    </w:p>
    <w:p w14:paraId="1510B379" w14:textId="77777777" w:rsidR="00B52921" w:rsidRDefault="00B52921" w:rsidP="00B52921">
      <w:pPr>
        <w:pStyle w:val="NoSpacing"/>
        <w:ind w:left="720"/>
        <w:rPr>
          <w:rFonts w:ascii="Times New Roman" w:hAnsi="Times New Roman"/>
          <w:sz w:val="24"/>
          <w:szCs w:val="24"/>
        </w:rPr>
      </w:pPr>
    </w:p>
    <w:p w14:paraId="3CC1DB89" w14:textId="77777777" w:rsidR="00B52921" w:rsidRPr="00CD1C63" w:rsidRDefault="00B52921" w:rsidP="00B52921">
      <w:pPr>
        <w:pStyle w:val="NoSpacing"/>
        <w:ind w:left="720"/>
        <w:rPr>
          <w:rFonts w:ascii="Times New Roman" w:hAnsi="Times New Roman"/>
          <w:sz w:val="24"/>
          <w:szCs w:val="24"/>
        </w:rPr>
      </w:pPr>
      <w:r>
        <w:rPr>
          <w:rFonts w:ascii="Times New Roman" w:hAnsi="Times New Roman"/>
          <w:sz w:val="24"/>
          <w:szCs w:val="24"/>
        </w:rPr>
        <w:t>“</w:t>
      </w:r>
      <w:r w:rsidRPr="00CD1C63">
        <w:rPr>
          <w:rFonts w:ascii="Times New Roman" w:hAnsi="Times New Roman"/>
          <w:sz w:val="24"/>
          <w:szCs w:val="24"/>
        </w:rPr>
        <w:t>All of that said, the Court’s new some-harm requirement</w:t>
      </w:r>
      <w:r>
        <w:rPr>
          <w:rFonts w:ascii="Times New Roman" w:hAnsi="Times New Roman"/>
          <w:sz w:val="24"/>
          <w:szCs w:val="24"/>
        </w:rPr>
        <w:t xml:space="preserve"> </w:t>
      </w:r>
      <w:r w:rsidRPr="00CD1C63">
        <w:rPr>
          <w:rFonts w:ascii="Times New Roman" w:hAnsi="Times New Roman"/>
          <w:sz w:val="24"/>
          <w:szCs w:val="24"/>
        </w:rPr>
        <w:t>appears to be a relatively low bar. Importantly, the Court</w:t>
      </w:r>
      <w:r>
        <w:rPr>
          <w:rFonts w:ascii="Times New Roman" w:hAnsi="Times New Roman"/>
          <w:sz w:val="24"/>
          <w:szCs w:val="24"/>
        </w:rPr>
        <w:t xml:space="preserve"> </w:t>
      </w:r>
      <w:r w:rsidRPr="00CD1C63">
        <w:rPr>
          <w:rFonts w:ascii="Times New Roman" w:hAnsi="Times New Roman"/>
          <w:sz w:val="24"/>
          <w:szCs w:val="24"/>
        </w:rPr>
        <w:t xml:space="preserve">emphasizes that </w:t>
      </w:r>
      <w:r>
        <w:rPr>
          <w:rFonts w:ascii="Times New Roman" w:hAnsi="Times New Roman"/>
          <w:sz w:val="24"/>
          <w:szCs w:val="24"/>
        </w:rPr>
        <w:t>‘</w:t>
      </w:r>
      <w:r w:rsidRPr="00CD1C63">
        <w:rPr>
          <w:rFonts w:ascii="Times New Roman" w:hAnsi="Times New Roman"/>
          <w:sz w:val="24"/>
          <w:szCs w:val="24"/>
        </w:rPr>
        <w:t>some harm</w:t>
      </w:r>
      <w:r>
        <w:rPr>
          <w:rFonts w:ascii="Times New Roman" w:hAnsi="Times New Roman"/>
          <w:sz w:val="24"/>
          <w:szCs w:val="24"/>
        </w:rPr>
        <w:t>’</w:t>
      </w:r>
      <w:r w:rsidRPr="00CD1C63">
        <w:rPr>
          <w:rFonts w:ascii="Times New Roman" w:hAnsi="Times New Roman"/>
          <w:sz w:val="24"/>
          <w:szCs w:val="24"/>
        </w:rPr>
        <w:t xml:space="preserve"> is less than significant harm,</w:t>
      </w:r>
    </w:p>
    <w:p w14:paraId="740FE18C" w14:textId="77777777" w:rsidR="00B52921" w:rsidRPr="00CD1C63" w:rsidRDefault="00B52921" w:rsidP="00B52921">
      <w:pPr>
        <w:pStyle w:val="NoSpacing"/>
        <w:ind w:left="720"/>
        <w:rPr>
          <w:rFonts w:ascii="Times New Roman" w:hAnsi="Times New Roman"/>
          <w:sz w:val="24"/>
          <w:szCs w:val="24"/>
        </w:rPr>
      </w:pPr>
      <w:r w:rsidRPr="00CD1C63">
        <w:rPr>
          <w:rFonts w:ascii="Times New Roman" w:hAnsi="Times New Roman"/>
          <w:sz w:val="24"/>
          <w:szCs w:val="24"/>
        </w:rPr>
        <w:t>serious harm, or substantial harm. Ante, at 6. Therefore,</w:t>
      </w:r>
      <w:r>
        <w:rPr>
          <w:rFonts w:ascii="Times New Roman" w:hAnsi="Times New Roman"/>
          <w:sz w:val="24"/>
          <w:szCs w:val="24"/>
        </w:rPr>
        <w:t xml:space="preserve"> </w:t>
      </w:r>
      <w:r w:rsidRPr="00CD1C63">
        <w:rPr>
          <w:rFonts w:ascii="Times New Roman" w:hAnsi="Times New Roman"/>
          <w:sz w:val="24"/>
          <w:szCs w:val="24"/>
        </w:rPr>
        <w:t>anyone who has been transferred because of race, color,</w:t>
      </w:r>
      <w:r>
        <w:rPr>
          <w:rFonts w:ascii="Times New Roman" w:hAnsi="Times New Roman"/>
          <w:sz w:val="24"/>
          <w:szCs w:val="24"/>
        </w:rPr>
        <w:t xml:space="preserve"> </w:t>
      </w:r>
      <w:r w:rsidRPr="00CD1C63">
        <w:rPr>
          <w:rFonts w:ascii="Times New Roman" w:hAnsi="Times New Roman"/>
          <w:sz w:val="24"/>
          <w:szCs w:val="24"/>
        </w:rPr>
        <w:t>religion, sex, or national origin should easily be able to show</w:t>
      </w:r>
    </w:p>
    <w:p w14:paraId="204C9C57" w14:textId="77777777" w:rsidR="00B52921" w:rsidRPr="00CD1C63" w:rsidRDefault="00B52921" w:rsidP="00B52921">
      <w:pPr>
        <w:pStyle w:val="NoSpacing"/>
        <w:ind w:left="720"/>
        <w:rPr>
          <w:rFonts w:ascii="Times New Roman" w:hAnsi="Times New Roman"/>
          <w:sz w:val="24"/>
          <w:szCs w:val="24"/>
        </w:rPr>
      </w:pPr>
      <w:r w:rsidRPr="00CD1C63">
        <w:rPr>
          <w:rFonts w:ascii="Times New Roman" w:hAnsi="Times New Roman"/>
          <w:sz w:val="24"/>
          <w:szCs w:val="24"/>
        </w:rPr>
        <w:t>some additional harm—whether in money, time,</w:t>
      </w:r>
      <w:r>
        <w:rPr>
          <w:rFonts w:ascii="Times New Roman" w:hAnsi="Times New Roman"/>
          <w:sz w:val="24"/>
          <w:szCs w:val="24"/>
        </w:rPr>
        <w:t xml:space="preserve"> </w:t>
      </w:r>
      <w:r w:rsidRPr="00CD1C63">
        <w:rPr>
          <w:rFonts w:ascii="Times New Roman" w:hAnsi="Times New Roman"/>
          <w:sz w:val="24"/>
          <w:szCs w:val="24"/>
        </w:rPr>
        <w:t>satisfaction, schedule, convenience, commuting costs or</w:t>
      </w:r>
      <w:r>
        <w:rPr>
          <w:rFonts w:ascii="Times New Roman" w:hAnsi="Times New Roman"/>
          <w:sz w:val="24"/>
          <w:szCs w:val="24"/>
        </w:rPr>
        <w:t xml:space="preserve"> </w:t>
      </w:r>
      <w:r w:rsidRPr="00CD1C63">
        <w:rPr>
          <w:rFonts w:ascii="Times New Roman" w:hAnsi="Times New Roman"/>
          <w:sz w:val="24"/>
          <w:szCs w:val="24"/>
        </w:rPr>
        <w:t>time, prestige, status, career prospects, interest level,</w:t>
      </w:r>
      <w:r>
        <w:rPr>
          <w:rFonts w:ascii="Times New Roman" w:hAnsi="Times New Roman"/>
          <w:sz w:val="24"/>
          <w:szCs w:val="24"/>
        </w:rPr>
        <w:t xml:space="preserve"> </w:t>
      </w:r>
      <w:r w:rsidRPr="00CD1C63">
        <w:rPr>
          <w:rFonts w:ascii="Times New Roman" w:hAnsi="Times New Roman"/>
          <w:sz w:val="24"/>
          <w:szCs w:val="24"/>
        </w:rPr>
        <w:t>perks, professional relationships, networking</w:t>
      </w:r>
      <w:r>
        <w:rPr>
          <w:rFonts w:ascii="Times New Roman" w:hAnsi="Times New Roman"/>
          <w:sz w:val="24"/>
          <w:szCs w:val="24"/>
        </w:rPr>
        <w:t xml:space="preserve"> </w:t>
      </w:r>
      <w:r w:rsidRPr="00CD1C63">
        <w:rPr>
          <w:rFonts w:ascii="Times New Roman" w:hAnsi="Times New Roman"/>
          <w:sz w:val="24"/>
          <w:szCs w:val="24"/>
        </w:rPr>
        <w:t>opportunities, effects on family obligations, or the like.</w:t>
      </w:r>
      <w:r>
        <w:rPr>
          <w:rFonts w:ascii="Times New Roman" w:hAnsi="Times New Roman"/>
          <w:sz w:val="24"/>
          <w:szCs w:val="24"/>
        </w:rPr>
        <w:t>”</w:t>
      </w:r>
    </w:p>
    <w:p w14:paraId="36167F69" w14:textId="77777777" w:rsidR="00B52921" w:rsidRDefault="00B52921" w:rsidP="00B52921">
      <w:pPr>
        <w:rPr>
          <w:rFonts w:ascii="Arial Black" w:hAnsi="Arial Black"/>
          <w:sz w:val="28"/>
          <w:szCs w:val="28"/>
        </w:rPr>
      </w:pPr>
    </w:p>
    <w:p w14:paraId="2CE26F59" w14:textId="77777777" w:rsidR="00B52921" w:rsidRDefault="00B52921" w:rsidP="00F326E5">
      <w:pPr>
        <w:pStyle w:val="NoSpacing"/>
        <w:rPr>
          <w:rFonts w:ascii="Arial Black" w:hAnsi="Arial Black"/>
          <w:b/>
          <w:bCs/>
          <w:sz w:val="24"/>
          <w:szCs w:val="24"/>
        </w:rPr>
      </w:pPr>
    </w:p>
    <w:p w14:paraId="115EE191" w14:textId="77777777" w:rsidR="00B52921" w:rsidRDefault="00B52921" w:rsidP="00F326E5">
      <w:pPr>
        <w:pStyle w:val="NoSpacing"/>
        <w:rPr>
          <w:rFonts w:ascii="Arial Black" w:hAnsi="Arial Black"/>
          <w:b/>
          <w:bCs/>
          <w:sz w:val="24"/>
          <w:szCs w:val="24"/>
        </w:rPr>
      </w:pPr>
    </w:p>
    <w:p w14:paraId="2005FA0B" w14:textId="77777777" w:rsidR="00B52921" w:rsidRDefault="00B52921" w:rsidP="00F326E5">
      <w:pPr>
        <w:pStyle w:val="NoSpacing"/>
        <w:rPr>
          <w:rFonts w:ascii="Arial Black" w:hAnsi="Arial Black"/>
          <w:b/>
          <w:bCs/>
          <w:sz w:val="24"/>
          <w:szCs w:val="24"/>
        </w:rPr>
      </w:pPr>
    </w:p>
    <w:p w14:paraId="2663EE2F" w14:textId="77777777" w:rsidR="00B52921" w:rsidRDefault="00B52921" w:rsidP="00F326E5">
      <w:pPr>
        <w:pStyle w:val="NoSpacing"/>
        <w:rPr>
          <w:rFonts w:ascii="Arial Black" w:hAnsi="Arial Black"/>
          <w:b/>
          <w:bCs/>
          <w:sz w:val="24"/>
          <w:szCs w:val="24"/>
        </w:rPr>
      </w:pPr>
    </w:p>
    <w:p w14:paraId="5E31E56F" w14:textId="77777777" w:rsidR="00B52921" w:rsidRDefault="00B52921" w:rsidP="00F326E5">
      <w:pPr>
        <w:pStyle w:val="NoSpacing"/>
        <w:rPr>
          <w:rFonts w:ascii="Arial Black" w:hAnsi="Arial Black"/>
          <w:b/>
          <w:bCs/>
          <w:sz w:val="24"/>
          <w:szCs w:val="24"/>
        </w:rPr>
      </w:pPr>
    </w:p>
    <w:p w14:paraId="7E3AB5B9" w14:textId="77777777" w:rsidR="00B52921" w:rsidRDefault="00B52921" w:rsidP="00F326E5">
      <w:pPr>
        <w:pStyle w:val="NoSpacing"/>
        <w:rPr>
          <w:rFonts w:ascii="Arial Black" w:hAnsi="Arial Black"/>
          <w:b/>
          <w:bCs/>
          <w:sz w:val="24"/>
          <w:szCs w:val="24"/>
        </w:rPr>
      </w:pPr>
    </w:p>
    <w:p w14:paraId="04787010" w14:textId="77777777" w:rsidR="00B52921" w:rsidRDefault="00B52921" w:rsidP="00F326E5">
      <w:pPr>
        <w:pStyle w:val="NoSpacing"/>
        <w:rPr>
          <w:rFonts w:ascii="Arial Black" w:hAnsi="Arial Black"/>
          <w:b/>
          <w:bCs/>
          <w:sz w:val="24"/>
          <w:szCs w:val="24"/>
        </w:rPr>
      </w:pPr>
    </w:p>
    <w:p w14:paraId="2D864645" w14:textId="2D5A83A1" w:rsidR="00820998" w:rsidRDefault="00772D62" w:rsidP="00F326E5">
      <w:pPr>
        <w:pStyle w:val="NoSpacing"/>
        <w:rPr>
          <w:rFonts w:ascii="Arial Black" w:hAnsi="Arial Black"/>
          <w:b/>
          <w:bCs/>
          <w:sz w:val="24"/>
          <w:szCs w:val="24"/>
        </w:rPr>
      </w:pPr>
      <w:r>
        <w:rPr>
          <w:rFonts w:ascii="Arial Black" w:hAnsi="Arial Black"/>
          <w:b/>
          <w:bCs/>
          <w:sz w:val="24"/>
          <w:szCs w:val="24"/>
        </w:rPr>
        <w:t>7-59</w:t>
      </w:r>
    </w:p>
    <w:p w14:paraId="5F3343AD" w14:textId="77777777" w:rsidR="005251B2" w:rsidRPr="001E7114" w:rsidRDefault="005251B2" w:rsidP="005251B2">
      <w:pPr>
        <w:pStyle w:val="NormalWeb"/>
        <w:rPr>
          <w:rFonts w:ascii="Arial Black" w:hAnsi="Arial Black"/>
          <w:b/>
          <w:bCs/>
          <w:sz w:val="28"/>
          <w:szCs w:val="28"/>
        </w:rPr>
      </w:pPr>
      <w:r w:rsidRPr="001E7114">
        <w:rPr>
          <w:rFonts w:ascii="Arial Black" w:hAnsi="Arial Black"/>
          <w:b/>
          <w:bCs/>
          <w:sz w:val="28"/>
          <w:szCs w:val="28"/>
        </w:rPr>
        <w:t xml:space="preserve">NV: FD VISITOR – KISSING </w:t>
      </w:r>
      <w:r>
        <w:rPr>
          <w:rFonts w:ascii="Arial Black" w:hAnsi="Arial Black"/>
          <w:b/>
          <w:bCs/>
          <w:sz w:val="28"/>
          <w:szCs w:val="28"/>
        </w:rPr>
        <w:t xml:space="preserve">IN </w:t>
      </w:r>
      <w:r w:rsidRPr="001E7114">
        <w:rPr>
          <w:rFonts w:ascii="Arial Black" w:hAnsi="Arial Black"/>
          <w:b/>
          <w:bCs/>
          <w:sz w:val="28"/>
          <w:szCs w:val="28"/>
        </w:rPr>
        <w:t xml:space="preserve">BUNK ROOM - FF REPORTED </w:t>
      </w:r>
      <w:r>
        <w:rPr>
          <w:rFonts w:ascii="Arial Black" w:hAnsi="Arial Black"/>
          <w:b/>
          <w:bCs/>
          <w:sz w:val="28"/>
          <w:szCs w:val="28"/>
        </w:rPr>
        <w:t>TO MGT</w:t>
      </w:r>
      <w:r w:rsidRPr="001E7114">
        <w:rPr>
          <w:rFonts w:ascii="Arial Black" w:hAnsi="Arial Black"/>
          <w:b/>
          <w:bCs/>
          <w:sz w:val="28"/>
          <w:szCs w:val="28"/>
        </w:rPr>
        <w:t>, NEWSPAPER</w:t>
      </w:r>
      <w:r>
        <w:rPr>
          <w:rFonts w:ascii="Arial Black" w:hAnsi="Arial Black"/>
          <w:b/>
          <w:bCs/>
          <w:sz w:val="28"/>
          <w:szCs w:val="28"/>
        </w:rPr>
        <w:t xml:space="preserve"> ARTICLE</w:t>
      </w:r>
      <w:r w:rsidRPr="001E7114">
        <w:rPr>
          <w:rFonts w:ascii="Arial Black" w:hAnsi="Arial Black"/>
          <w:b/>
          <w:bCs/>
          <w:sz w:val="28"/>
          <w:szCs w:val="28"/>
        </w:rPr>
        <w:t xml:space="preserve"> – CASE DISMISSED</w:t>
      </w:r>
    </w:p>
    <w:p w14:paraId="4CB827A7" w14:textId="77777777" w:rsidR="005251B2" w:rsidRPr="005535D1" w:rsidRDefault="005251B2" w:rsidP="005251B2">
      <w:pPr>
        <w:pStyle w:val="NoSpacing"/>
        <w:rPr>
          <w:rFonts w:ascii="Times New Roman" w:hAnsi="Times New Roman"/>
          <w:sz w:val="24"/>
          <w:szCs w:val="24"/>
        </w:rPr>
      </w:pPr>
      <w:r w:rsidRPr="005535D1">
        <w:rPr>
          <w:rFonts w:ascii="Times New Roman" w:hAnsi="Times New Roman"/>
          <w:sz w:val="24"/>
          <w:szCs w:val="24"/>
        </w:rPr>
        <w:t xml:space="preserve">On Feb. 29, </w:t>
      </w:r>
      <w:proofErr w:type="gramStart"/>
      <w:r w:rsidRPr="005535D1">
        <w:rPr>
          <w:rFonts w:ascii="Times New Roman" w:hAnsi="Times New Roman"/>
          <w:sz w:val="24"/>
          <w:szCs w:val="24"/>
        </w:rPr>
        <w:t>2024</w:t>
      </w:r>
      <w:proofErr w:type="gramEnd"/>
      <w:r w:rsidRPr="005535D1">
        <w:rPr>
          <w:rFonts w:ascii="Times New Roman" w:hAnsi="Times New Roman"/>
          <w:sz w:val="24"/>
          <w:szCs w:val="24"/>
        </w:rPr>
        <w:t xml:space="preserve"> in </w:t>
      </w:r>
      <w:r w:rsidRPr="005535D1">
        <w:rPr>
          <w:rFonts w:ascii="Times New Roman" w:hAnsi="Times New Roman"/>
          <w:sz w:val="24"/>
          <w:szCs w:val="24"/>
          <w:u w:val="single"/>
        </w:rPr>
        <w:t>Eric Scheumann v. City of Las Vegas, Las Vegas Fire &amp; Rescue</w:t>
      </w:r>
      <w:r w:rsidRPr="005535D1">
        <w:rPr>
          <w:rFonts w:ascii="Times New Roman" w:hAnsi="Times New Roman"/>
          <w:sz w:val="24"/>
          <w:szCs w:val="24"/>
        </w:rPr>
        <w:t>, U.S. District Court Judge Jennifer A. Dorsey granted the defense motion for summary judgment. “Eric Scheumann brings this employment action against City of Las Vegas Fire &amp; Rescue for events arising from an August 2017 visit to his fire station by guests of a coworker. Scheumann claims that he overheard kissing noises coming from his coworker’s dorm, the same coworker showed him and the visiting guests a 15-second pornographic video of ‘a man’s genitalia eclipsing the sun’ later that same day, and Scheumann suffered retaliation because he reported the incidents and his superiors’ inadequate handling of them.”</w:t>
      </w:r>
    </w:p>
    <w:p w14:paraId="4FD60969" w14:textId="77777777" w:rsidR="005251B2" w:rsidRDefault="005251B2" w:rsidP="005251B2">
      <w:pPr>
        <w:pStyle w:val="NormalWeb"/>
      </w:pPr>
      <w:r>
        <w:t>Court held:</w:t>
      </w:r>
    </w:p>
    <w:p w14:paraId="6133CF85" w14:textId="77777777" w:rsidR="005251B2" w:rsidRPr="00C676FC" w:rsidRDefault="005251B2" w:rsidP="005251B2">
      <w:pPr>
        <w:pStyle w:val="NoSpacing"/>
        <w:ind w:firstLine="720"/>
        <w:rPr>
          <w:rFonts w:ascii="Times New Roman" w:hAnsi="Times New Roman"/>
          <w:sz w:val="24"/>
          <w:szCs w:val="24"/>
        </w:rPr>
      </w:pPr>
      <w:r>
        <w:rPr>
          <w:rFonts w:ascii="Times New Roman" w:hAnsi="Times New Roman"/>
          <w:sz w:val="24"/>
          <w:szCs w:val="24"/>
        </w:rPr>
        <w:t>“</w:t>
      </w:r>
      <w:proofErr w:type="gramStart"/>
      <w:r w:rsidRPr="00C676FC">
        <w:rPr>
          <w:rFonts w:ascii="Times New Roman" w:hAnsi="Times New Roman"/>
          <w:sz w:val="24"/>
          <w:szCs w:val="24"/>
        </w:rPr>
        <w:t>So</w:t>
      </w:r>
      <w:proofErr w:type="gramEnd"/>
      <w:r w:rsidRPr="00C676FC">
        <w:rPr>
          <w:rFonts w:ascii="Times New Roman" w:hAnsi="Times New Roman"/>
          <w:sz w:val="24"/>
          <w:szCs w:val="24"/>
        </w:rPr>
        <w:t xml:space="preserve"> there is no evidence to support Scheumann’s negligent-retention theory, and his</w:t>
      </w:r>
    </w:p>
    <w:p w14:paraId="1BACFB02" w14:textId="77777777" w:rsidR="005251B2" w:rsidRDefault="005251B2" w:rsidP="005251B2">
      <w:pPr>
        <w:pStyle w:val="NoSpacing"/>
        <w:ind w:left="720"/>
      </w:pPr>
      <w:r w:rsidRPr="00C676FC">
        <w:rPr>
          <w:rFonts w:ascii="Times New Roman" w:hAnsi="Times New Roman"/>
          <w:sz w:val="24"/>
          <w:szCs w:val="24"/>
        </w:rPr>
        <w:t>negligent-training and negligent-supervision theories suffer from breach and causation voids.</w:t>
      </w:r>
      <w:r>
        <w:rPr>
          <w:rFonts w:ascii="Times New Roman" w:hAnsi="Times New Roman"/>
          <w:sz w:val="24"/>
          <w:szCs w:val="24"/>
        </w:rPr>
        <w:t xml:space="preserve"> </w:t>
      </w:r>
      <w:r w:rsidRPr="00C676FC">
        <w:rPr>
          <w:rFonts w:ascii="Times New Roman" w:hAnsi="Times New Roman"/>
          <w:sz w:val="24"/>
          <w:szCs w:val="24"/>
        </w:rPr>
        <w:t>This leaves no genuine disputes of fact as to Scheumann’s negligent training, supervision, and</w:t>
      </w:r>
      <w:r>
        <w:rPr>
          <w:rFonts w:ascii="Times New Roman" w:hAnsi="Times New Roman"/>
          <w:sz w:val="24"/>
          <w:szCs w:val="24"/>
        </w:rPr>
        <w:t xml:space="preserve"> </w:t>
      </w:r>
      <w:r w:rsidRPr="00C676FC">
        <w:rPr>
          <w:rFonts w:ascii="Times New Roman" w:hAnsi="Times New Roman"/>
          <w:sz w:val="24"/>
          <w:szCs w:val="24"/>
        </w:rPr>
        <w:t xml:space="preserve">retention claim because he hasn’t shown that Fire &amp; Rescue </w:t>
      </w:r>
      <w:r>
        <w:rPr>
          <w:rFonts w:ascii="Times New Roman" w:hAnsi="Times New Roman"/>
          <w:sz w:val="24"/>
          <w:szCs w:val="24"/>
        </w:rPr>
        <w:t>‘</w:t>
      </w:r>
      <w:r w:rsidRPr="00C676FC">
        <w:rPr>
          <w:rFonts w:ascii="Times New Roman" w:hAnsi="Times New Roman"/>
          <w:sz w:val="24"/>
          <w:szCs w:val="24"/>
        </w:rPr>
        <w:t>failed to use reasonable care in the</w:t>
      </w:r>
      <w:r>
        <w:rPr>
          <w:rFonts w:ascii="Times New Roman" w:hAnsi="Times New Roman"/>
          <w:sz w:val="24"/>
          <w:szCs w:val="24"/>
        </w:rPr>
        <w:t xml:space="preserve"> </w:t>
      </w:r>
      <w:r w:rsidRPr="00C676FC">
        <w:rPr>
          <w:rFonts w:ascii="Times New Roman" w:hAnsi="Times New Roman"/>
          <w:sz w:val="24"/>
          <w:szCs w:val="24"/>
        </w:rPr>
        <w:t>training, supervision, and retention of its employees to ensure their fitness for their respective</w:t>
      </w:r>
      <w:r>
        <w:rPr>
          <w:rFonts w:ascii="Times New Roman" w:hAnsi="Times New Roman"/>
          <w:sz w:val="24"/>
          <w:szCs w:val="24"/>
        </w:rPr>
        <w:t xml:space="preserve"> </w:t>
      </w:r>
      <w:r w:rsidRPr="00C676FC">
        <w:rPr>
          <w:rFonts w:ascii="Times New Roman" w:hAnsi="Times New Roman"/>
          <w:sz w:val="24"/>
          <w:szCs w:val="24"/>
        </w:rPr>
        <w:t>positions.”145 So I grant summary judgment in Fire &amp; Rescue’s favor on these remaining</w:t>
      </w:r>
      <w:r>
        <w:rPr>
          <w:rFonts w:ascii="Times New Roman" w:hAnsi="Times New Roman"/>
          <w:sz w:val="24"/>
          <w:szCs w:val="24"/>
        </w:rPr>
        <w:t xml:space="preserve"> </w:t>
      </w:r>
      <w:r w:rsidRPr="00C676FC">
        <w:rPr>
          <w:rFonts w:ascii="Times New Roman" w:hAnsi="Times New Roman"/>
          <w:sz w:val="24"/>
          <w:szCs w:val="24"/>
        </w:rPr>
        <w:t>negligence-based claims, too</w:t>
      </w:r>
      <w:r>
        <w:rPr>
          <w:rFonts w:ascii="Times New Roman" w:hAnsi="Times New Roman"/>
          <w:sz w:val="24"/>
          <w:szCs w:val="24"/>
        </w:rPr>
        <w:t xml:space="preserve">.” </w:t>
      </w:r>
      <w:hyperlink r:id="rId1395" w:history="1">
        <w:r w:rsidRPr="00644350">
          <w:rPr>
            <w:rStyle w:val="Hyperlink"/>
          </w:rPr>
          <w:t>https://cases.justia.com/federal/district-courts/nevada/nvdce/2:2021cv01405/151510/46/0.pdf</w:t>
        </w:r>
      </w:hyperlink>
      <w:r>
        <w:t xml:space="preserve"> </w:t>
      </w:r>
    </w:p>
    <w:p w14:paraId="6024C2F9" w14:textId="77777777" w:rsidR="005251B2" w:rsidRPr="00A932F2" w:rsidRDefault="005251B2" w:rsidP="005251B2">
      <w:pPr>
        <w:pStyle w:val="NormalWeb"/>
        <w:rPr>
          <w:b/>
          <w:bCs/>
        </w:rPr>
      </w:pPr>
      <w:r w:rsidRPr="00A932F2">
        <w:rPr>
          <w:b/>
          <w:bCs/>
        </w:rPr>
        <w:lastRenderedPageBreak/>
        <w:t xml:space="preserve">Legal Lesson Learned: Have a clear visitor policy that </w:t>
      </w:r>
      <w:r>
        <w:rPr>
          <w:b/>
          <w:bCs/>
        </w:rPr>
        <w:t xml:space="preserve">prohibits </w:t>
      </w:r>
      <w:r w:rsidRPr="00A932F2">
        <w:rPr>
          <w:b/>
          <w:bCs/>
        </w:rPr>
        <w:t xml:space="preserve">visitors </w:t>
      </w:r>
      <w:r>
        <w:rPr>
          <w:b/>
          <w:bCs/>
        </w:rPr>
        <w:t xml:space="preserve">in bunk </w:t>
      </w:r>
      <w:proofErr w:type="gramStart"/>
      <w:r>
        <w:rPr>
          <w:b/>
          <w:bCs/>
        </w:rPr>
        <w:t>room</w:t>
      </w:r>
      <w:proofErr w:type="gramEnd"/>
      <w:r>
        <w:rPr>
          <w:b/>
          <w:bCs/>
        </w:rPr>
        <w:t xml:space="preserve">. </w:t>
      </w:r>
    </w:p>
    <w:p w14:paraId="7D58C39D" w14:textId="77777777" w:rsidR="005251B2" w:rsidRDefault="005251B2" w:rsidP="005251B2">
      <w:pPr>
        <w:pStyle w:val="Heading1"/>
        <w:ind w:left="720"/>
        <w:rPr>
          <w:b w:val="0"/>
          <w:bCs w:val="0"/>
          <w:sz w:val="24"/>
          <w:szCs w:val="24"/>
        </w:rPr>
      </w:pPr>
      <w:r w:rsidRPr="000542CC">
        <w:rPr>
          <w:b w:val="0"/>
          <w:bCs w:val="0"/>
          <w:sz w:val="24"/>
          <w:szCs w:val="24"/>
        </w:rPr>
        <w:t xml:space="preserve">Note: See Sept. 21, </w:t>
      </w:r>
      <w:proofErr w:type="gramStart"/>
      <w:r w:rsidRPr="000542CC">
        <w:rPr>
          <w:b w:val="0"/>
          <w:bCs w:val="0"/>
          <w:sz w:val="24"/>
          <w:szCs w:val="24"/>
        </w:rPr>
        <w:t>2017</w:t>
      </w:r>
      <w:proofErr w:type="gramEnd"/>
      <w:r w:rsidRPr="000542CC">
        <w:rPr>
          <w:b w:val="0"/>
          <w:bCs w:val="0"/>
          <w:sz w:val="24"/>
          <w:szCs w:val="24"/>
        </w:rPr>
        <w:t xml:space="preserve"> article: “Sex, cover-up at Las Vegas fire station alleged in document.” </w:t>
      </w:r>
      <w:hyperlink r:id="rId1396" w:history="1">
        <w:r w:rsidRPr="000542CC">
          <w:rPr>
            <w:rStyle w:val="Hyperlink"/>
            <w:b w:val="0"/>
            <w:bCs w:val="0"/>
            <w:sz w:val="24"/>
            <w:szCs w:val="24"/>
          </w:rPr>
          <w:t>https://www.reviewjournal.com/local/sex-cover-up-at-las-vegas-fire-station-alleged-in-document/</w:t>
        </w:r>
      </w:hyperlink>
      <w:r w:rsidRPr="000542CC">
        <w:rPr>
          <w:b w:val="0"/>
          <w:bCs w:val="0"/>
          <w:sz w:val="24"/>
          <w:szCs w:val="24"/>
        </w:rPr>
        <w:t xml:space="preserve"> </w:t>
      </w:r>
    </w:p>
    <w:p w14:paraId="51555339" w14:textId="77777777" w:rsidR="005251B2" w:rsidRDefault="005251B2" w:rsidP="005251B2">
      <w:pPr>
        <w:pStyle w:val="NormalWeb"/>
      </w:pPr>
    </w:p>
    <w:p w14:paraId="06DCC9B8" w14:textId="77777777" w:rsidR="005251B2" w:rsidRDefault="005251B2" w:rsidP="00F326E5">
      <w:pPr>
        <w:pStyle w:val="NoSpacing"/>
        <w:rPr>
          <w:rFonts w:ascii="Arial Black" w:hAnsi="Arial Black"/>
          <w:b/>
          <w:bCs/>
          <w:sz w:val="24"/>
          <w:szCs w:val="24"/>
        </w:rPr>
      </w:pPr>
    </w:p>
    <w:p w14:paraId="23B63846" w14:textId="77777777" w:rsidR="00772D62" w:rsidRDefault="00772D62" w:rsidP="00F326E5">
      <w:pPr>
        <w:pStyle w:val="NoSpacing"/>
        <w:rPr>
          <w:rFonts w:ascii="Arial Black" w:hAnsi="Arial Black"/>
          <w:b/>
          <w:bCs/>
          <w:sz w:val="24"/>
          <w:szCs w:val="24"/>
        </w:rPr>
      </w:pPr>
    </w:p>
    <w:p w14:paraId="40F1923E" w14:textId="77777777" w:rsidR="00772D62" w:rsidRDefault="00772D62" w:rsidP="00F326E5">
      <w:pPr>
        <w:pStyle w:val="NoSpacing"/>
        <w:rPr>
          <w:rFonts w:ascii="Arial Black" w:hAnsi="Arial Black"/>
          <w:b/>
          <w:bCs/>
          <w:sz w:val="24"/>
          <w:szCs w:val="24"/>
        </w:rPr>
      </w:pPr>
    </w:p>
    <w:p w14:paraId="1CFEF835" w14:textId="2099A23C" w:rsidR="0061488E" w:rsidRDefault="0061488E" w:rsidP="00F326E5">
      <w:pPr>
        <w:pStyle w:val="NoSpacing"/>
        <w:rPr>
          <w:rFonts w:ascii="Arial Black" w:hAnsi="Arial Black"/>
          <w:b/>
          <w:bCs/>
          <w:sz w:val="24"/>
          <w:szCs w:val="24"/>
        </w:rPr>
      </w:pPr>
      <w:r>
        <w:rPr>
          <w:rFonts w:ascii="Arial Black" w:hAnsi="Arial Black"/>
          <w:b/>
          <w:bCs/>
          <w:sz w:val="24"/>
          <w:szCs w:val="24"/>
        </w:rPr>
        <w:t>7-58</w:t>
      </w:r>
    </w:p>
    <w:p w14:paraId="605B9E92" w14:textId="77777777" w:rsidR="00451608" w:rsidRPr="004A5B4B" w:rsidRDefault="00451608" w:rsidP="00451608">
      <w:pPr>
        <w:pStyle w:val="NormalWeb"/>
        <w:rPr>
          <w:rFonts w:ascii="Arial Black" w:hAnsi="Arial Black"/>
          <w:b/>
          <w:bCs/>
          <w:sz w:val="28"/>
          <w:szCs w:val="28"/>
        </w:rPr>
      </w:pPr>
      <w:r>
        <w:rPr>
          <w:rFonts w:ascii="Arial Black" w:hAnsi="Arial Black"/>
          <w:b/>
          <w:bCs/>
          <w:sz w:val="28"/>
          <w:szCs w:val="28"/>
        </w:rPr>
        <w:t>DC: LT. ON DUTY GRABBED BREASTS FEMALE FF – CONV. –HOSTILE WORKPLACE CASE PROCEED - NOT RETALIATION</w:t>
      </w:r>
    </w:p>
    <w:p w14:paraId="35DF2F57" w14:textId="77777777" w:rsidR="00451608" w:rsidRPr="005235E2" w:rsidRDefault="00451608" w:rsidP="00451608">
      <w:pPr>
        <w:pStyle w:val="NormalWeb"/>
      </w:pPr>
      <w:r w:rsidRPr="005235E2">
        <w:t xml:space="preserve">On Jan. 29, 2024, in </w:t>
      </w:r>
      <w:r w:rsidRPr="005235E2">
        <w:rPr>
          <w:u w:val="single"/>
        </w:rPr>
        <w:t>Anaje Boyd v. District of Columbia</w:t>
      </w:r>
      <w:r w:rsidRPr="005235E2">
        <w:t>, U.S. District Court Judge Rudolph Contreras, U.S. District Court for District of Columbia, held that the plaintiffs claim for hostile work environment may proceed with pre-trial discovery, but the claim of retaliation for FD delay in conducting are internal investigation is dismissed.  When she filed a complaint with the Police Department, the FD’s EEO officer (Amy Mauro) and Internal Affairs Captain Melonie Barnes told her to hold off filing EEOC charge while criminal case was proceeding.</w:t>
      </w:r>
    </w:p>
    <w:p w14:paraId="169C4CE5" w14:textId="4E27F073" w:rsidR="0061488E" w:rsidRPr="005235E2" w:rsidRDefault="00451608" w:rsidP="00451608">
      <w:pPr>
        <w:pStyle w:val="NoSpacing"/>
        <w:rPr>
          <w:rStyle w:val="Hyperlink"/>
          <w:rFonts w:ascii="Times New Roman" w:hAnsi="Times New Roman"/>
          <w:sz w:val="24"/>
          <w:szCs w:val="24"/>
        </w:rPr>
      </w:pPr>
      <w:r w:rsidRPr="005235E2">
        <w:rPr>
          <w:rFonts w:ascii="Times New Roman" w:hAnsi="Times New Roman"/>
          <w:sz w:val="24"/>
          <w:szCs w:val="24"/>
        </w:rPr>
        <w:t xml:space="preserve">“Although Boyd's written narrative does mention that Mauro and Cpt. Barnes instructed her that she could not file an EEO complaint until the criminal proceedings against Lt. Jordan had concluded, </w:t>
      </w:r>
      <w:r w:rsidRPr="005235E2">
        <w:rPr>
          <w:rStyle w:val="Emphasis"/>
          <w:rFonts w:ascii="Times New Roman" w:hAnsi="Times New Roman"/>
          <w:sz w:val="24"/>
          <w:szCs w:val="24"/>
        </w:rPr>
        <w:t>see</w:t>
      </w:r>
      <w:r w:rsidRPr="005235E2">
        <w:rPr>
          <w:rFonts w:ascii="Times New Roman" w:hAnsi="Times New Roman"/>
          <w:sz w:val="24"/>
          <w:szCs w:val="24"/>
        </w:rPr>
        <w:t xml:space="preserve"> EEOC Charge at 5; </w:t>
      </w:r>
      <w:r w:rsidRPr="005235E2">
        <w:rPr>
          <w:rStyle w:val="Emphasis"/>
          <w:rFonts w:ascii="Times New Roman" w:hAnsi="Times New Roman"/>
          <w:sz w:val="24"/>
          <w:szCs w:val="24"/>
        </w:rPr>
        <w:t>see also</w:t>
      </w:r>
      <w:r w:rsidRPr="005235E2">
        <w:rPr>
          <w:rFonts w:ascii="Times New Roman" w:hAnsi="Times New Roman"/>
          <w:sz w:val="24"/>
          <w:szCs w:val="24"/>
        </w:rPr>
        <w:t xml:space="preserve"> Pl.'s </w:t>
      </w:r>
      <w:proofErr w:type="spellStart"/>
      <w:r w:rsidRPr="005235E2">
        <w:rPr>
          <w:rFonts w:ascii="Times New Roman" w:hAnsi="Times New Roman"/>
          <w:sz w:val="24"/>
          <w:szCs w:val="24"/>
        </w:rPr>
        <w:t>Opp'n</w:t>
      </w:r>
      <w:proofErr w:type="spellEnd"/>
      <w:r w:rsidRPr="005235E2">
        <w:rPr>
          <w:rFonts w:ascii="Times New Roman" w:hAnsi="Times New Roman"/>
          <w:sz w:val="24"/>
          <w:szCs w:val="24"/>
        </w:rPr>
        <w:t xml:space="preserve"> at 9 (arguing that the inclusion of these facts satisfies the exhaustion requirement), there is nothing in that narrative that suggests-in any way-that Boyd viewed Mauro's or Cpt. Barnes's instructions to be retaliatory…. Rather, Boyd's description of Mauro's and Cpt. Barnes's acts is best (and most reasonably) understood as providing support for why she delayed in filing her formal discrimination complaint. That being so-and given the absence of any other factual allegations that suggest Boyd was describing a retaliation claim-the Court cannot conclude that Boyd's complaint would have ‘reasonably give[n] rise to an investigation’ into retaliation (as opposed to an investigation solely focused on sex discrimination and sexual harassment).” </w:t>
      </w:r>
      <w:hyperlink r:id="rId1397" w:history="1">
        <w:r w:rsidRPr="005235E2">
          <w:rPr>
            <w:rStyle w:val="Hyperlink"/>
            <w:rFonts w:ascii="Times New Roman" w:hAnsi="Times New Roman"/>
            <w:sz w:val="24"/>
            <w:szCs w:val="24"/>
          </w:rPr>
          <w:t>https://public.fastcase.com/ZZhmr5v9wN%2FXOe5IsQ%2FqD6jMQR25voU2zetCo1HgS1zBk8tCI%2FmKZ0pb%2BYQBY4PYbj2YxbwIVSZ2pGprXwG4UQ35c6nwrJlu7u4tvaka%2BGk%3D?utm_medium=email&amp;_hsmi=226712652&amp;_hsenc=p2ANqtz-8k0z7Ow52c-ClX2b2IdaHNx0isoBG6vg98c6p6ibbt9CVV8mr3zs9YYXJjoYif24S7rYOdhr1XcCDTZ_K6Y2uCJJR3PQ&amp;utm_content=226712652&amp;utm_source=hs_email</w:t>
        </w:r>
      </w:hyperlink>
    </w:p>
    <w:p w14:paraId="51C14711" w14:textId="77777777" w:rsidR="005235E2" w:rsidRPr="005235E2" w:rsidRDefault="005235E2" w:rsidP="00451608">
      <w:pPr>
        <w:pStyle w:val="NoSpacing"/>
        <w:rPr>
          <w:rStyle w:val="Hyperlink"/>
          <w:rFonts w:ascii="Times New Roman" w:hAnsi="Times New Roman"/>
          <w:sz w:val="24"/>
          <w:szCs w:val="24"/>
        </w:rPr>
      </w:pPr>
    </w:p>
    <w:p w14:paraId="1FAC7ACC" w14:textId="77777777" w:rsidR="005235E2" w:rsidRPr="005235E2" w:rsidRDefault="005235E2" w:rsidP="005235E2">
      <w:pPr>
        <w:rPr>
          <w:rFonts w:ascii="Times New Roman" w:hAnsi="Times New Roman"/>
          <w:b/>
          <w:bCs/>
          <w:sz w:val="24"/>
          <w:szCs w:val="24"/>
        </w:rPr>
      </w:pPr>
      <w:r w:rsidRPr="005235E2">
        <w:rPr>
          <w:rFonts w:ascii="Times New Roman" w:hAnsi="Times New Roman"/>
          <w:b/>
          <w:bCs/>
          <w:sz w:val="24"/>
          <w:szCs w:val="24"/>
        </w:rPr>
        <w:t xml:space="preserve">Legal Lesson Learned:  An on-duty assault is shocking. The court opinion does not mention whether the Lt. Antwan Jordan was fired, or whether he received jail time.  </w:t>
      </w:r>
    </w:p>
    <w:p w14:paraId="36EFB27C" w14:textId="77777777" w:rsidR="005235E2" w:rsidRPr="005235E2" w:rsidRDefault="005235E2" w:rsidP="005235E2">
      <w:pPr>
        <w:pStyle w:val="Heading1"/>
        <w:ind w:left="720"/>
        <w:rPr>
          <w:b w:val="0"/>
          <w:bCs w:val="0"/>
          <w:sz w:val="24"/>
          <w:szCs w:val="24"/>
        </w:rPr>
      </w:pPr>
      <w:r w:rsidRPr="005235E2">
        <w:rPr>
          <w:b w:val="0"/>
          <w:bCs w:val="0"/>
          <w:sz w:val="24"/>
          <w:szCs w:val="24"/>
        </w:rPr>
        <w:t xml:space="preserve">Note:  A Google search reveals a prior incident on March 7, </w:t>
      </w:r>
      <w:proofErr w:type="gramStart"/>
      <w:r w:rsidRPr="005235E2">
        <w:rPr>
          <w:b w:val="0"/>
          <w:bCs w:val="0"/>
          <w:sz w:val="24"/>
          <w:szCs w:val="24"/>
        </w:rPr>
        <w:t>2014</w:t>
      </w:r>
      <w:proofErr w:type="gramEnd"/>
      <w:r w:rsidRPr="005235E2">
        <w:rPr>
          <w:b w:val="0"/>
          <w:bCs w:val="0"/>
          <w:sz w:val="24"/>
          <w:szCs w:val="24"/>
        </w:rPr>
        <w:t xml:space="preserve"> that appears to be same individual. “Wednesday, firefighter Antwan Jordon was arrested outside of firehouse Engine 15 and charged with misdemeanor sex abuse. Surveillance video shows Jordan, in uniform, slapping a woman’s buttocks at a Southeast D.C. elementary school, according to Fox 5.  A fire department spokesman says … Jordan [has] been placed on administrative leave.” </w:t>
      </w:r>
      <w:hyperlink r:id="rId1398" w:history="1">
        <w:r w:rsidRPr="005235E2">
          <w:rPr>
            <w:rStyle w:val="Hyperlink"/>
            <w:b w:val="0"/>
            <w:bCs w:val="0"/>
            <w:sz w:val="24"/>
            <w:szCs w:val="24"/>
          </w:rPr>
          <w:t>https://wtop.com/news/2014/03/dc-firefighter-charged-with-filling-fake-prescriptions/</w:t>
        </w:r>
      </w:hyperlink>
    </w:p>
    <w:p w14:paraId="15D82267" w14:textId="77777777" w:rsidR="005235E2" w:rsidRDefault="005235E2" w:rsidP="00451608">
      <w:pPr>
        <w:pStyle w:val="NoSpacing"/>
        <w:rPr>
          <w:rFonts w:ascii="Arial Black" w:hAnsi="Arial Black"/>
          <w:b/>
          <w:bCs/>
          <w:sz w:val="24"/>
          <w:szCs w:val="24"/>
        </w:rPr>
      </w:pPr>
    </w:p>
    <w:p w14:paraId="4FB4C5A3" w14:textId="77777777" w:rsidR="0061488E" w:rsidRDefault="0061488E" w:rsidP="00F326E5">
      <w:pPr>
        <w:pStyle w:val="NoSpacing"/>
        <w:rPr>
          <w:rFonts w:ascii="Arial Black" w:hAnsi="Arial Black"/>
          <w:b/>
          <w:bCs/>
          <w:sz w:val="24"/>
          <w:szCs w:val="24"/>
        </w:rPr>
      </w:pPr>
    </w:p>
    <w:p w14:paraId="0FA1918F" w14:textId="77777777" w:rsidR="0061488E" w:rsidRDefault="0061488E" w:rsidP="00F326E5">
      <w:pPr>
        <w:pStyle w:val="NoSpacing"/>
        <w:rPr>
          <w:rFonts w:ascii="Arial Black" w:hAnsi="Arial Black"/>
          <w:b/>
          <w:bCs/>
          <w:sz w:val="24"/>
          <w:szCs w:val="24"/>
        </w:rPr>
      </w:pPr>
    </w:p>
    <w:p w14:paraId="471C94E6" w14:textId="7C84D9B9" w:rsidR="002C6181" w:rsidRDefault="002C6181" w:rsidP="00F326E5">
      <w:pPr>
        <w:pStyle w:val="NoSpacing"/>
        <w:rPr>
          <w:rFonts w:ascii="Arial Black" w:hAnsi="Arial Black"/>
          <w:b/>
          <w:bCs/>
          <w:sz w:val="24"/>
          <w:szCs w:val="24"/>
        </w:rPr>
      </w:pPr>
      <w:r>
        <w:rPr>
          <w:rFonts w:ascii="Arial Black" w:hAnsi="Arial Black"/>
          <w:b/>
          <w:bCs/>
          <w:sz w:val="24"/>
          <w:szCs w:val="24"/>
        </w:rPr>
        <w:t>7-</w:t>
      </w:r>
      <w:r w:rsidR="006164CF">
        <w:rPr>
          <w:rFonts w:ascii="Arial Black" w:hAnsi="Arial Black"/>
          <w:b/>
          <w:bCs/>
          <w:sz w:val="24"/>
          <w:szCs w:val="24"/>
        </w:rPr>
        <w:t>57</w:t>
      </w:r>
    </w:p>
    <w:p w14:paraId="59C00EAC" w14:textId="77777777" w:rsidR="006164CF" w:rsidRDefault="006164CF" w:rsidP="00F326E5">
      <w:pPr>
        <w:pStyle w:val="NoSpacing"/>
        <w:rPr>
          <w:rFonts w:ascii="Arial Black" w:hAnsi="Arial Black"/>
          <w:b/>
          <w:bCs/>
          <w:sz w:val="24"/>
          <w:szCs w:val="24"/>
        </w:rPr>
      </w:pPr>
    </w:p>
    <w:p w14:paraId="69E1F1F5" w14:textId="77777777" w:rsidR="00B1569B" w:rsidRDefault="00B1569B" w:rsidP="00B1569B">
      <w:pPr>
        <w:pStyle w:val="NoSpacing"/>
        <w:rPr>
          <w:rFonts w:ascii="Arial Black" w:hAnsi="Arial Black"/>
          <w:sz w:val="28"/>
          <w:szCs w:val="28"/>
        </w:rPr>
      </w:pPr>
      <w:r>
        <w:rPr>
          <w:rFonts w:ascii="Arial Black" w:hAnsi="Arial Black"/>
          <w:sz w:val="28"/>
          <w:szCs w:val="28"/>
        </w:rPr>
        <w:t>IL: CHICAGO FD – FEMALES FAILED PHYSICAL FITNESS – SETTLEMENT / REHIRED – CAN NOW SEEK DAMAGES</w:t>
      </w:r>
    </w:p>
    <w:p w14:paraId="1C0C342D" w14:textId="77777777" w:rsidR="00B1569B" w:rsidRDefault="00B1569B" w:rsidP="00B1569B">
      <w:pPr>
        <w:pStyle w:val="NoSpacing"/>
        <w:rPr>
          <w:rFonts w:ascii="Times New Roman" w:hAnsi="Times New Roman"/>
          <w:sz w:val="24"/>
          <w:szCs w:val="24"/>
        </w:rPr>
      </w:pPr>
    </w:p>
    <w:p w14:paraId="1B3A529B" w14:textId="77777777" w:rsidR="00B1569B" w:rsidRDefault="00B1569B" w:rsidP="00B1569B">
      <w:pPr>
        <w:pStyle w:val="NoSpacing"/>
        <w:rPr>
          <w:rFonts w:ascii="Times New Roman" w:hAnsi="Times New Roman"/>
          <w:sz w:val="24"/>
          <w:szCs w:val="24"/>
        </w:rPr>
      </w:pPr>
      <w:r>
        <w:rPr>
          <w:rFonts w:ascii="Times New Roman" w:hAnsi="Times New Roman"/>
          <w:sz w:val="24"/>
          <w:szCs w:val="24"/>
        </w:rPr>
        <w:t xml:space="preserve">On Jan. 7, 2024, in </w:t>
      </w:r>
      <w:r w:rsidRPr="00D351A0">
        <w:rPr>
          <w:rFonts w:ascii="Times New Roman" w:hAnsi="Times New Roman"/>
          <w:sz w:val="24"/>
          <w:szCs w:val="24"/>
          <w:u w:val="single"/>
        </w:rPr>
        <w:t>Jennifer Livingston, et al. v. City of Chicago</w:t>
      </w:r>
      <w:r>
        <w:rPr>
          <w:rFonts w:ascii="Times New Roman" w:hAnsi="Times New Roman"/>
          <w:sz w:val="24"/>
          <w:szCs w:val="24"/>
        </w:rPr>
        <w:t xml:space="preserve">, U.S. District Court Judge Sara L. Ellis, U.S. District Court for Northern District of Illinois (Eastern Division) held that while most of the five female paramedics (fired 2014 – 2016) have been re-hired under a 2019 settlement agreement, an amended complaint may now be filed to seek uncapped damages. One of the </w:t>
      </w:r>
      <w:proofErr w:type="gramStart"/>
      <w:r>
        <w:rPr>
          <w:rFonts w:ascii="Times New Roman" w:hAnsi="Times New Roman"/>
          <w:sz w:val="24"/>
          <w:szCs w:val="24"/>
        </w:rPr>
        <w:t>medic</w:t>
      </w:r>
      <w:proofErr w:type="gramEnd"/>
      <w:r>
        <w:rPr>
          <w:rFonts w:ascii="Times New Roman" w:hAnsi="Times New Roman"/>
          <w:sz w:val="24"/>
          <w:szCs w:val="24"/>
        </w:rPr>
        <w:t xml:space="preserve"> failed her medical - i</w:t>
      </w:r>
      <w:r w:rsidRPr="00C405EC">
        <w:rPr>
          <w:rFonts w:ascii="Times New Roman" w:hAnsi="Times New Roman"/>
          <w:sz w:val="24"/>
          <w:szCs w:val="24"/>
        </w:rPr>
        <w:t>n March 2019, Dr. William Wong, CFD’s medical director, indicated that he would not</w:t>
      </w:r>
      <w:r>
        <w:rPr>
          <w:rFonts w:ascii="Times New Roman" w:hAnsi="Times New Roman"/>
          <w:sz w:val="24"/>
          <w:szCs w:val="24"/>
        </w:rPr>
        <w:t xml:space="preserve"> c</w:t>
      </w:r>
      <w:r w:rsidRPr="00C405EC">
        <w:rPr>
          <w:rFonts w:ascii="Times New Roman" w:hAnsi="Times New Roman"/>
          <w:sz w:val="24"/>
          <w:szCs w:val="24"/>
        </w:rPr>
        <w:t>lear</w:t>
      </w:r>
      <w:r>
        <w:rPr>
          <w:rFonts w:ascii="Times New Roman" w:hAnsi="Times New Roman"/>
          <w:sz w:val="24"/>
          <w:szCs w:val="24"/>
        </w:rPr>
        <w:t xml:space="preserve"> Donna</w:t>
      </w:r>
      <w:r w:rsidRPr="00C405EC">
        <w:rPr>
          <w:rFonts w:ascii="Times New Roman" w:hAnsi="Times New Roman"/>
          <w:sz w:val="24"/>
          <w:szCs w:val="24"/>
        </w:rPr>
        <w:t xml:space="preserve"> Griffin for reinstatement because she used </w:t>
      </w:r>
      <w:r>
        <w:rPr>
          <w:rFonts w:ascii="Times New Roman" w:hAnsi="Times New Roman"/>
          <w:sz w:val="24"/>
          <w:szCs w:val="24"/>
        </w:rPr>
        <w:t xml:space="preserve">prescription </w:t>
      </w:r>
      <w:r w:rsidRPr="00C405EC">
        <w:rPr>
          <w:rFonts w:ascii="Times New Roman" w:hAnsi="Times New Roman"/>
          <w:sz w:val="24"/>
          <w:szCs w:val="24"/>
        </w:rPr>
        <w:t>alprazolam and trazadone</w:t>
      </w:r>
      <w:r>
        <w:rPr>
          <w:rFonts w:ascii="Times New Roman" w:hAnsi="Times New Roman"/>
          <w:sz w:val="24"/>
          <w:szCs w:val="24"/>
        </w:rPr>
        <w:t xml:space="preserve"> for “</w:t>
      </w:r>
      <w:r w:rsidRPr="0010197C">
        <w:rPr>
          <w:rFonts w:ascii="Times New Roman" w:hAnsi="Times New Roman"/>
          <w:sz w:val="24"/>
          <w:szCs w:val="24"/>
        </w:rPr>
        <w:t xml:space="preserve">adjustment disorder with anxious mood and secondary insomnia.”  </w:t>
      </w:r>
      <w:r>
        <w:rPr>
          <w:rFonts w:ascii="Times New Roman" w:hAnsi="Times New Roman"/>
          <w:sz w:val="24"/>
          <w:szCs w:val="24"/>
        </w:rPr>
        <w:t xml:space="preserve">Ms. Griffin has filed a separate lawsuit, and Judge Ellis declined to combine it with this case.  [See note below for information in </w:t>
      </w:r>
      <w:r w:rsidRPr="00E96729">
        <w:rPr>
          <w:rFonts w:ascii="Times New Roman" w:hAnsi="Times New Roman"/>
          <w:sz w:val="24"/>
          <w:szCs w:val="24"/>
          <w:u w:val="single"/>
        </w:rPr>
        <w:t>Griffin v. City of Chicago</w:t>
      </w:r>
      <w:r>
        <w:rPr>
          <w:rFonts w:ascii="Times New Roman" w:hAnsi="Times New Roman"/>
          <w:sz w:val="24"/>
          <w:szCs w:val="24"/>
        </w:rPr>
        <w:t xml:space="preserve"> case.] </w:t>
      </w:r>
    </w:p>
    <w:p w14:paraId="277FB6E3" w14:textId="77777777" w:rsidR="00B1569B" w:rsidRDefault="00B1569B" w:rsidP="00B1569B">
      <w:pPr>
        <w:pStyle w:val="NoSpacing"/>
        <w:rPr>
          <w:rFonts w:ascii="Times New Roman" w:hAnsi="Times New Roman"/>
          <w:sz w:val="24"/>
          <w:szCs w:val="24"/>
        </w:rPr>
      </w:pPr>
    </w:p>
    <w:p w14:paraId="6997ED3E" w14:textId="77777777" w:rsidR="00B1569B" w:rsidRDefault="00B1569B" w:rsidP="00B1569B">
      <w:pPr>
        <w:pStyle w:val="NoSpacing"/>
        <w:ind w:left="720"/>
        <w:rPr>
          <w:rFonts w:ascii="Times New Roman" w:hAnsi="Times New Roman"/>
          <w:sz w:val="24"/>
          <w:szCs w:val="24"/>
        </w:rPr>
      </w:pPr>
      <w:r>
        <w:rPr>
          <w:rFonts w:ascii="Times New Roman" w:hAnsi="Times New Roman"/>
          <w:sz w:val="24"/>
          <w:szCs w:val="24"/>
        </w:rPr>
        <w:t>“T</w:t>
      </w:r>
      <w:r w:rsidRPr="00D32039">
        <w:rPr>
          <w:rFonts w:ascii="Times New Roman" w:hAnsi="Times New Roman"/>
          <w:sz w:val="24"/>
          <w:szCs w:val="24"/>
        </w:rPr>
        <w:t xml:space="preserve">he </w:t>
      </w:r>
      <w:r>
        <w:rPr>
          <w:rFonts w:ascii="Times New Roman" w:hAnsi="Times New Roman"/>
          <w:sz w:val="24"/>
          <w:szCs w:val="24"/>
        </w:rPr>
        <w:t xml:space="preserve">(Oct. 2016) </w:t>
      </w:r>
      <w:r w:rsidRPr="00D32039">
        <w:rPr>
          <w:rFonts w:ascii="Times New Roman" w:hAnsi="Times New Roman"/>
          <w:sz w:val="24"/>
          <w:szCs w:val="24"/>
        </w:rPr>
        <w:t>complaint alleges that this hostility manifests itself in a</w:t>
      </w:r>
      <w:r>
        <w:rPr>
          <w:rFonts w:ascii="Times New Roman" w:hAnsi="Times New Roman"/>
          <w:sz w:val="24"/>
          <w:szCs w:val="24"/>
        </w:rPr>
        <w:t xml:space="preserve"> </w:t>
      </w:r>
      <w:r w:rsidRPr="00D32039">
        <w:rPr>
          <w:rFonts w:ascii="Times New Roman" w:hAnsi="Times New Roman"/>
          <w:sz w:val="24"/>
          <w:szCs w:val="24"/>
        </w:rPr>
        <w:t>number of other contexts,</w:t>
      </w:r>
      <w:r>
        <w:rPr>
          <w:rFonts w:ascii="Times New Roman" w:hAnsi="Times New Roman"/>
          <w:sz w:val="24"/>
          <w:szCs w:val="24"/>
        </w:rPr>
        <w:t xml:space="preserve"> </w:t>
      </w:r>
      <w:r w:rsidRPr="00D32039">
        <w:rPr>
          <w:rFonts w:ascii="Times New Roman" w:hAnsi="Times New Roman"/>
          <w:sz w:val="24"/>
          <w:szCs w:val="24"/>
        </w:rPr>
        <w:t>including: 1) the City’s failure to properly accommodate nursing mothers; 2) the City’s failure to</w:t>
      </w:r>
      <w:r>
        <w:rPr>
          <w:rFonts w:ascii="Times New Roman" w:hAnsi="Times New Roman"/>
          <w:sz w:val="24"/>
          <w:szCs w:val="24"/>
        </w:rPr>
        <w:t xml:space="preserve"> </w:t>
      </w:r>
      <w:r w:rsidRPr="00D32039">
        <w:rPr>
          <w:rFonts w:ascii="Times New Roman" w:hAnsi="Times New Roman"/>
          <w:sz w:val="24"/>
          <w:szCs w:val="24"/>
        </w:rPr>
        <w:t>provide adequate bathrooms, locker facilities, and sleeping quarters; 3) episodes of verbal and</w:t>
      </w:r>
      <w:r>
        <w:rPr>
          <w:rFonts w:ascii="Times New Roman" w:hAnsi="Times New Roman"/>
          <w:sz w:val="24"/>
          <w:szCs w:val="24"/>
        </w:rPr>
        <w:t xml:space="preserve"> </w:t>
      </w:r>
      <w:r w:rsidRPr="00D32039">
        <w:rPr>
          <w:rFonts w:ascii="Times New Roman" w:hAnsi="Times New Roman"/>
          <w:sz w:val="24"/>
          <w:szCs w:val="24"/>
        </w:rPr>
        <w:t>physical harassment and intimidation; and 4) sexually discriminatory treatment by the CFD’s</w:t>
      </w:r>
      <w:r>
        <w:rPr>
          <w:rFonts w:ascii="Times New Roman" w:hAnsi="Times New Roman"/>
          <w:sz w:val="24"/>
          <w:szCs w:val="24"/>
        </w:rPr>
        <w:t xml:space="preserve"> </w:t>
      </w:r>
      <w:r w:rsidRPr="00D32039">
        <w:rPr>
          <w:rFonts w:ascii="Times New Roman" w:hAnsi="Times New Roman"/>
          <w:sz w:val="24"/>
          <w:szCs w:val="24"/>
        </w:rPr>
        <w:t>Medical Division.</w:t>
      </w:r>
      <w:r>
        <w:rPr>
          <w:rFonts w:ascii="Times New Roman" w:hAnsi="Times New Roman"/>
          <w:sz w:val="24"/>
          <w:szCs w:val="24"/>
        </w:rPr>
        <w:t xml:space="preserve">  </w:t>
      </w:r>
    </w:p>
    <w:p w14:paraId="04754802" w14:textId="77777777" w:rsidR="00B1569B" w:rsidRDefault="00B1569B" w:rsidP="00B1569B">
      <w:pPr>
        <w:pStyle w:val="NoSpacing"/>
        <w:ind w:left="720"/>
        <w:rPr>
          <w:rFonts w:ascii="Times New Roman" w:hAnsi="Times New Roman"/>
          <w:sz w:val="24"/>
          <w:szCs w:val="24"/>
        </w:rPr>
      </w:pPr>
    </w:p>
    <w:p w14:paraId="22581818" w14:textId="77777777" w:rsidR="00B1569B" w:rsidRDefault="00B1569B" w:rsidP="00B1569B">
      <w:pPr>
        <w:pStyle w:val="NoSpacing"/>
        <w:ind w:left="720"/>
        <w:rPr>
          <w:rFonts w:ascii="Times New Roman" w:hAnsi="Times New Roman"/>
          <w:sz w:val="24"/>
          <w:szCs w:val="24"/>
        </w:rPr>
      </w:pPr>
      <w:r>
        <w:rPr>
          <w:rFonts w:ascii="Times New Roman" w:hAnsi="Times New Roman"/>
          <w:sz w:val="24"/>
          <w:szCs w:val="24"/>
        </w:rPr>
        <w:t>***</w:t>
      </w:r>
    </w:p>
    <w:p w14:paraId="28A1205F" w14:textId="77777777" w:rsidR="00B1569B" w:rsidRDefault="00B1569B" w:rsidP="00B1569B">
      <w:pPr>
        <w:pStyle w:val="NoSpacing"/>
        <w:rPr>
          <w:rFonts w:ascii="Times New Roman" w:hAnsi="Times New Roman"/>
          <w:sz w:val="24"/>
          <w:szCs w:val="24"/>
        </w:rPr>
      </w:pPr>
    </w:p>
    <w:p w14:paraId="48639336" w14:textId="77777777" w:rsidR="00B1569B" w:rsidRDefault="00B1569B" w:rsidP="00B1569B">
      <w:pPr>
        <w:pStyle w:val="NoSpacing"/>
        <w:ind w:left="720"/>
        <w:rPr>
          <w:rFonts w:ascii="Times New Roman" w:hAnsi="Times New Roman"/>
          <w:sz w:val="24"/>
          <w:szCs w:val="24"/>
        </w:rPr>
      </w:pPr>
      <w:r w:rsidRPr="00F6220F">
        <w:rPr>
          <w:rFonts w:ascii="Times New Roman" w:hAnsi="Times New Roman"/>
          <w:sz w:val="24"/>
          <w:szCs w:val="24"/>
        </w:rPr>
        <w:t xml:space="preserve">Plaintiffs seek to add new theories of recovery under § 1983 </w:t>
      </w:r>
      <w:r>
        <w:rPr>
          <w:rFonts w:ascii="Times New Roman" w:hAnsi="Times New Roman"/>
          <w:sz w:val="24"/>
          <w:szCs w:val="24"/>
        </w:rPr>
        <w:t xml:space="preserve">[violation of Constitutional rights under 42 USC 1983] </w:t>
      </w:r>
      <w:r w:rsidRPr="00F6220F">
        <w:rPr>
          <w:rFonts w:ascii="Times New Roman" w:hAnsi="Times New Roman"/>
          <w:sz w:val="24"/>
          <w:szCs w:val="24"/>
        </w:rPr>
        <w:t xml:space="preserve">and ICRA </w:t>
      </w:r>
      <w:r>
        <w:rPr>
          <w:rFonts w:ascii="Times New Roman" w:hAnsi="Times New Roman"/>
          <w:sz w:val="24"/>
          <w:szCs w:val="24"/>
        </w:rPr>
        <w:t>[</w:t>
      </w:r>
      <w:r w:rsidRPr="004167DE">
        <w:rPr>
          <w:rFonts w:ascii="Times New Roman" w:hAnsi="Times New Roman"/>
          <w:sz w:val="24"/>
          <w:szCs w:val="24"/>
        </w:rPr>
        <w:t>Illinois Civil</w:t>
      </w:r>
      <w:r>
        <w:rPr>
          <w:rFonts w:ascii="Times New Roman" w:hAnsi="Times New Roman"/>
          <w:sz w:val="24"/>
          <w:szCs w:val="24"/>
        </w:rPr>
        <w:t xml:space="preserve"> </w:t>
      </w:r>
      <w:r w:rsidRPr="004167DE">
        <w:rPr>
          <w:rFonts w:ascii="Times New Roman" w:hAnsi="Times New Roman"/>
          <w:sz w:val="24"/>
          <w:szCs w:val="24"/>
        </w:rPr>
        <w:t>Rights Act of 200</w:t>
      </w:r>
      <w:r>
        <w:rPr>
          <w:rFonts w:ascii="Times New Roman" w:hAnsi="Times New Roman"/>
          <w:sz w:val="24"/>
          <w:szCs w:val="24"/>
        </w:rPr>
        <w:t xml:space="preserve">3] </w:t>
      </w:r>
      <w:r w:rsidRPr="00F6220F">
        <w:rPr>
          <w:rFonts w:ascii="Times New Roman" w:hAnsi="Times New Roman"/>
          <w:sz w:val="24"/>
          <w:szCs w:val="24"/>
        </w:rPr>
        <w:t>based on the same</w:t>
      </w:r>
      <w:r>
        <w:rPr>
          <w:rFonts w:ascii="Times New Roman" w:hAnsi="Times New Roman"/>
          <w:sz w:val="24"/>
          <w:szCs w:val="24"/>
        </w:rPr>
        <w:t xml:space="preserve"> </w:t>
      </w:r>
      <w:r w:rsidRPr="00F6220F">
        <w:rPr>
          <w:rFonts w:ascii="Times New Roman" w:hAnsi="Times New Roman"/>
          <w:sz w:val="24"/>
          <w:szCs w:val="24"/>
        </w:rPr>
        <w:t>factual allegations laid out in the original complaint. Plaintiffs argue this is because § 1983 and</w:t>
      </w:r>
      <w:r>
        <w:rPr>
          <w:rFonts w:ascii="Times New Roman" w:hAnsi="Times New Roman"/>
          <w:sz w:val="24"/>
          <w:szCs w:val="24"/>
        </w:rPr>
        <w:t xml:space="preserve"> </w:t>
      </w:r>
      <w:r w:rsidRPr="00F6220F">
        <w:rPr>
          <w:rFonts w:ascii="Times New Roman" w:hAnsi="Times New Roman"/>
          <w:sz w:val="24"/>
          <w:szCs w:val="24"/>
        </w:rPr>
        <w:t>ICRA do not carry a statutory cap on economic damages as Title VII does</w:t>
      </w:r>
      <w:r>
        <w:rPr>
          <w:rFonts w:ascii="Times New Roman" w:hAnsi="Times New Roman"/>
          <w:sz w:val="24"/>
          <w:szCs w:val="24"/>
        </w:rPr>
        <w:t xml:space="preserve">…. </w:t>
      </w:r>
      <w:r w:rsidRPr="0041110B">
        <w:rPr>
          <w:rFonts w:ascii="Times New Roman" w:hAnsi="Times New Roman"/>
          <w:sz w:val="24"/>
          <w:szCs w:val="24"/>
        </w:rPr>
        <w:t>As such, Plaintiffs</w:t>
      </w:r>
      <w:r>
        <w:rPr>
          <w:rFonts w:ascii="Times New Roman" w:hAnsi="Times New Roman"/>
          <w:sz w:val="24"/>
          <w:szCs w:val="24"/>
        </w:rPr>
        <w:t xml:space="preserve"> </w:t>
      </w:r>
      <w:r w:rsidRPr="0041110B">
        <w:rPr>
          <w:rFonts w:ascii="Times New Roman" w:hAnsi="Times New Roman"/>
          <w:sz w:val="24"/>
          <w:szCs w:val="24"/>
        </w:rPr>
        <w:t>may amend their complaint to include their proposed § 1983 and ICRA claims.</w:t>
      </w:r>
    </w:p>
    <w:p w14:paraId="2F134906" w14:textId="77777777" w:rsidR="00B1569B" w:rsidRDefault="00B1569B" w:rsidP="00B1569B">
      <w:pPr>
        <w:pStyle w:val="NoSpacing"/>
        <w:ind w:left="720"/>
        <w:rPr>
          <w:rFonts w:ascii="Times New Roman" w:hAnsi="Times New Roman"/>
          <w:sz w:val="24"/>
          <w:szCs w:val="24"/>
        </w:rPr>
      </w:pPr>
    </w:p>
    <w:p w14:paraId="11E52CD2" w14:textId="77777777" w:rsidR="00B1569B" w:rsidRDefault="00B1569B" w:rsidP="00B1569B">
      <w:pPr>
        <w:pStyle w:val="NoSpacing"/>
        <w:ind w:left="720"/>
        <w:rPr>
          <w:rFonts w:ascii="Times New Roman" w:hAnsi="Times New Roman"/>
          <w:sz w:val="24"/>
          <w:szCs w:val="24"/>
        </w:rPr>
      </w:pPr>
      <w:r>
        <w:rPr>
          <w:rFonts w:ascii="Times New Roman" w:hAnsi="Times New Roman"/>
          <w:sz w:val="24"/>
          <w:szCs w:val="24"/>
        </w:rPr>
        <w:t>***</w:t>
      </w:r>
    </w:p>
    <w:p w14:paraId="1FF52C43" w14:textId="77777777" w:rsidR="00B1569B" w:rsidRDefault="00B1569B" w:rsidP="00B1569B">
      <w:pPr>
        <w:pStyle w:val="NoSpacing"/>
        <w:ind w:left="720"/>
        <w:rPr>
          <w:rFonts w:ascii="Times New Roman" w:hAnsi="Times New Roman"/>
          <w:sz w:val="24"/>
          <w:szCs w:val="24"/>
        </w:rPr>
      </w:pPr>
    </w:p>
    <w:p w14:paraId="1BAFD41E" w14:textId="77777777" w:rsidR="00B1569B" w:rsidRDefault="00B1569B" w:rsidP="00B1569B">
      <w:pPr>
        <w:pStyle w:val="NoSpacing"/>
        <w:ind w:left="720"/>
        <w:rPr>
          <w:rFonts w:ascii="Times New Roman" w:hAnsi="Times New Roman"/>
          <w:sz w:val="24"/>
          <w:szCs w:val="24"/>
        </w:rPr>
      </w:pPr>
      <w:r w:rsidRPr="009B574D">
        <w:rPr>
          <w:rFonts w:ascii="Times New Roman" w:hAnsi="Times New Roman"/>
          <w:sz w:val="24"/>
          <w:szCs w:val="24"/>
        </w:rPr>
        <w:t xml:space="preserve">Plaintiffs may file a first amended complaint to add these theories of liability. </w:t>
      </w:r>
    </w:p>
    <w:p w14:paraId="43694B34" w14:textId="77777777" w:rsidR="00B1569B" w:rsidRDefault="00B1569B" w:rsidP="00B1569B">
      <w:pPr>
        <w:pStyle w:val="NoSpacing"/>
        <w:ind w:left="720"/>
        <w:rPr>
          <w:rFonts w:ascii="Times New Roman" w:hAnsi="Times New Roman"/>
          <w:sz w:val="24"/>
          <w:szCs w:val="24"/>
        </w:rPr>
      </w:pPr>
      <w:r w:rsidRPr="009B574D">
        <w:rPr>
          <w:rFonts w:ascii="Times New Roman" w:hAnsi="Times New Roman"/>
          <w:sz w:val="24"/>
          <w:szCs w:val="24"/>
        </w:rPr>
        <w:t>But because</w:t>
      </w:r>
      <w:r>
        <w:rPr>
          <w:rFonts w:ascii="Times New Roman" w:hAnsi="Times New Roman"/>
          <w:sz w:val="24"/>
          <w:szCs w:val="24"/>
        </w:rPr>
        <w:t xml:space="preserve"> </w:t>
      </w:r>
      <w:r w:rsidRPr="009B574D">
        <w:rPr>
          <w:rFonts w:ascii="Times New Roman" w:hAnsi="Times New Roman"/>
          <w:sz w:val="24"/>
          <w:szCs w:val="24"/>
        </w:rPr>
        <w:t>Griffin’s additional claims</w:t>
      </w:r>
      <w:r>
        <w:rPr>
          <w:rFonts w:ascii="Times New Roman" w:hAnsi="Times New Roman"/>
          <w:sz w:val="24"/>
          <w:szCs w:val="24"/>
        </w:rPr>
        <w:t xml:space="preserve"> </w:t>
      </w:r>
      <w:r w:rsidRPr="009B574D">
        <w:rPr>
          <w:rFonts w:ascii="Times New Roman" w:hAnsi="Times New Roman"/>
          <w:sz w:val="24"/>
          <w:szCs w:val="24"/>
        </w:rPr>
        <w:t>and the allegations regarding the veteran’s preference are either</w:t>
      </w:r>
      <w:r>
        <w:rPr>
          <w:rFonts w:ascii="Times New Roman" w:hAnsi="Times New Roman"/>
          <w:sz w:val="24"/>
          <w:szCs w:val="24"/>
        </w:rPr>
        <w:t xml:space="preserve"> </w:t>
      </w:r>
      <w:r w:rsidRPr="009B574D">
        <w:rPr>
          <w:rFonts w:ascii="Times New Roman" w:hAnsi="Times New Roman"/>
          <w:sz w:val="24"/>
          <w:szCs w:val="24"/>
        </w:rPr>
        <w:t>unnecessary or depend on new factual allegations, Plaintiffs may not include these claims or</w:t>
      </w:r>
      <w:r>
        <w:rPr>
          <w:rFonts w:ascii="Times New Roman" w:hAnsi="Times New Roman"/>
          <w:sz w:val="24"/>
          <w:szCs w:val="24"/>
        </w:rPr>
        <w:t xml:space="preserve"> </w:t>
      </w:r>
      <w:r w:rsidRPr="009B574D">
        <w:rPr>
          <w:rFonts w:ascii="Times New Roman" w:hAnsi="Times New Roman"/>
          <w:sz w:val="24"/>
          <w:szCs w:val="24"/>
        </w:rPr>
        <w:t xml:space="preserve">allegations in their first amended </w:t>
      </w:r>
      <w:proofErr w:type="gramStart"/>
      <w:r w:rsidRPr="009B574D">
        <w:rPr>
          <w:rFonts w:ascii="Times New Roman" w:hAnsi="Times New Roman"/>
          <w:sz w:val="24"/>
          <w:szCs w:val="24"/>
        </w:rPr>
        <w:t>complaint.</w:t>
      </w:r>
      <w:r>
        <w:rPr>
          <w:rFonts w:ascii="Times New Roman" w:hAnsi="Times New Roman"/>
          <w:sz w:val="24"/>
          <w:szCs w:val="24"/>
        </w:rPr>
        <w:t>”</w:t>
      </w:r>
      <w:proofErr w:type="gramEnd"/>
      <w:r>
        <w:rPr>
          <w:rFonts w:ascii="Times New Roman" w:hAnsi="Times New Roman"/>
          <w:sz w:val="24"/>
          <w:szCs w:val="24"/>
        </w:rPr>
        <w:t xml:space="preserve">  </w:t>
      </w:r>
      <w:hyperlink r:id="rId1399" w:history="1">
        <w:r w:rsidRPr="008E4998">
          <w:rPr>
            <w:rStyle w:val="Hyperlink"/>
            <w:rFonts w:ascii="Times New Roman" w:hAnsi="Times New Roman"/>
            <w:sz w:val="24"/>
            <w:szCs w:val="24"/>
          </w:rPr>
          <w:t>https://cases.justia.com/federal/district-courts/illinois/ilndce/1:2016cv10156/332956/258/0.pdf?ts=1582820345</w:t>
        </w:r>
      </w:hyperlink>
      <w:r>
        <w:rPr>
          <w:rFonts w:ascii="Times New Roman" w:hAnsi="Times New Roman"/>
          <w:sz w:val="24"/>
          <w:szCs w:val="24"/>
        </w:rPr>
        <w:t xml:space="preserve"> </w:t>
      </w:r>
    </w:p>
    <w:p w14:paraId="3976EE98" w14:textId="77777777" w:rsidR="00B1569B" w:rsidRDefault="00B1569B" w:rsidP="00B1569B">
      <w:pPr>
        <w:pStyle w:val="NoSpacing"/>
        <w:rPr>
          <w:rFonts w:ascii="Times New Roman" w:hAnsi="Times New Roman"/>
          <w:sz w:val="24"/>
          <w:szCs w:val="24"/>
        </w:rPr>
      </w:pPr>
    </w:p>
    <w:p w14:paraId="3C4E74F6" w14:textId="77777777" w:rsidR="0061488E" w:rsidRPr="007F42F0" w:rsidRDefault="0061488E" w:rsidP="0061488E">
      <w:pPr>
        <w:pStyle w:val="NoSpacing"/>
        <w:rPr>
          <w:rFonts w:ascii="Times New Roman" w:hAnsi="Times New Roman"/>
          <w:b/>
          <w:bCs/>
          <w:sz w:val="24"/>
          <w:szCs w:val="24"/>
        </w:rPr>
      </w:pPr>
      <w:r w:rsidRPr="007F42F0">
        <w:rPr>
          <w:rFonts w:ascii="Times New Roman" w:hAnsi="Times New Roman"/>
          <w:b/>
          <w:bCs/>
          <w:sz w:val="24"/>
          <w:szCs w:val="24"/>
        </w:rPr>
        <w:t xml:space="preserve">Legal Lesson Learned: </w:t>
      </w:r>
      <w:r>
        <w:rPr>
          <w:rFonts w:ascii="Times New Roman" w:hAnsi="Times New Roman"/>
          <w:b/>
          <w:bCs/>
          <w:sz w:val="24"/>
          <w:szCs w:val="24"/>
        </w:rPr>
        <w:t xml:space="preserve">The pre-trial discovery may now proceed in this case seeking uncapped damages.  </w:t>
      </w:r>
    </w:p>
    <w:p w14:paraId="28E9CB40" w14:textId="77777777" w:rsidR="0061488E" w:rsidRDefault="0061488E" w:rsidP="0061488E">
      <w:pPr>
        <w:spacing w:before="100" w:beforeAutospacing="1" w:after="100" w:afterAutospacing="1" w:line="240" w:lineRule="auto"/>
        <w:ind w:left="360"/>
        <w:rPr>
          <w:rFonts w:ascii="Times New Roman" w:eastAsia="Times New Roman" w:hAnsi="Times New Roman"/>
          <w:sz w:val="24"/>
          <w:szCs w:val="24"/>
        </w:rPr>
      </w:pPr>
      <w:r>
        <w:rPr>
          <w:rFonts w:ascii="Times New Roman" w:eastAsia="Times New Roman" w:hAnsi="Times New Roman"/>
          <w:sz w:val="24"/>
          <w:szCs w:val="24"/>
        </w:rPr>
        <w:t>Note: Title VII of the Civil Right Act i</w:t>
      </w:r>
      <w:r w:rsidRPr="00253890">
        <w:rPr>
          <w:rFonts w:ascii="Times New Roman" w:eastAsia="Times New Roman" w:hAnsi="Times New Roman"/>
          <w:sz w:val="24"/>
          <w:szCs w:val="24"/>
        </w:rPr>
        <w:t xml:space="preserve">s subject to the following </w:t>
      </w:r>
      <w:r>
        <w:rPr>
          <w:rFonts w:ascii="Times New Roman" w:eastAsia="Times New Roman" w:hAnsi="Times New Roman"/>
          <w:sz w:val="24"/>
          <w:szCs w:val="24"/>
        </w:rPr>
        <w:t xml:space="preserve">statutory </w:t>
      </w:r>
      <w:r w:rsidRPr="00253890">
        <w:rPr>
          <w:rFonts w:ascii="Times New Roman" w:eastAsia="Times New Roman" w:hAnsi="Times New Roman"/>
          <w:sz w:val="24"/>
          <w:szCs w:val="24"/>
        </w:rPr>
        <w:t>caps</w:t>
      </w:r>
      <w:r>
        <w:rPr>
          <w:rFonts w:ascii="Times New Roman" w:eastAsia="Times New Roman" w:hAnsi="Times New Roman"/>
          <w:sz w:val="24"/>
          <w:szCs w:val="24"/>
        </w:rPr>
        <w:t>.</w:t>
      </w:r>
    </w:p>
    <w:p w14:paraId="2C270D79" w14:textId="77777777" w:rsidR="0061488E" w:rsidRDefault="0061488E" w:rsidP="0061488E">
      <w:pPr>
        <w:pStyle w:val="NormalWeb"/>
        <w:ind w:left="360"/>
      </w:pPr>
      <w:r>
        <w:rPr>
          <w:b/>
          <w:bCs/>
        </w:rPr>
        <w:t>“</w:t>
      </w:r>
      <w:r>
        <w:t xml:space="preserve">Statutory caps limits exists for combined awards of front pay, punitive damages, and compensatory damages. The </w:t>
      </w:r>
      <w:hyperlink r:id="rId1400" w:tgtFrame="_blank" w:tooltip="Title VII Damage Caps: Calculating Your Maximum Exposure" w:history="1">
        <w:r>
          <w:rPr>
            <w:rStyle w:val="Hyperlink"/>
          </w:rPr>
          <w:t>caps</w:t>
        </w:r>
      </w:hyperlink>
      <w:r>
        <w:t xml:space="preserve"> are based upon the number of employees employed by the employer against whom the charge of discrimination has been made. The caps are as follows:</w:t>
      </w:r>
    </w:p>
    <w:p w14:paraId="713CAFC6" w14:textId="77777777" w:rsidR="0061488E" w:rsidRPr="009244F8" w:rsidRDefault="0061488E" w:rsidP="0061488E">
      <w:pPr>
        <w:numPr>
          <w:ilvl w:val="0"/>
          <w:numId w:val="19"/>
        </w:numPr>
        <w:spacing w:before="100" w:beforeAutospacing="1" w:after="100" w:afterAutospacing="1" w:line="240" w:lineRule="auto"/>
        <w:rPr>
          <w:rFonts w:ascii="Times New Roman" w:hAnsi="Times New Roman"/>
          <w:sz w:val="24"/>
          <w:szCs w:val="24"/>
        </w:rPr>
      </w:pPr>
      <w:r w:rsidRPr="009244F8">
        <w:rPr>
          <w:rFonts w:ascii="Times New Roman" w:hAnsi="Times New Roman"/>
          <w:sz w:val="24"/>
          <w:szCs w:val="24"/>
        </w:rPr>
        <w:t>For more than fourteen (14) and less than one hundred and one (101) employees in each of twenty (20) or more calendar weeks in the current or preceding year the cap is $50,000;</w:t>
      </w:r>
    </w:p>
    <w:p w14:paraId="40303072" w14:textId="77777777" w:rsidR="0061488E" w:rsidRPr="009244F8" w:rsidRDefault="0061488E" w:rsidP="0061488E">
      <w:pPr>
        <w:numPr>
          <w:ilvl w:val="0"/>
          <w:numId w:val="19"/>
        </w:numPr>
        <w:spacing w:before="100" w:beforeAutospacing="1" w:after="100" w:afterAutospacing="1" w:line="240" w:lineRule="auto"/>
        <w:rPr>
          <w:rFonts w:ascii="Times New Roman" w:hAnsi="Times New Roman"/>
          <w:sz w:val="24"/>
          <w:szCs w:val="24"/>
        </w:rPr>
      </w:pPr>
      <w:r w:rsidRPr="009244F8">
        <w:rPr>
          <w:rFonts w:ascii="Times New Roman" w:hAnsi="Times New Roman"/>
          <w:sz w:val="24"/>
          <w:szCs w:val="24"/>
        </w:rPr>
        <w:t>For more than one hundred (100) but fewer than two hundred and one (201) employees, the cap is $100,000;</w:t>
      </w:r>
    </w:p>
    <w:p w14:paraId="13BF6673" w14:textId="77777777" w:rsidR="0061488E" w:rsidRPr="009244F8" w:rsidRDefault="0061488E" w:rsidP="0061488E">
      <w:pPr>
        <w:numPr>
          <w:ilvl w:val="0"/>
          <w:numId w:val="19"/>
        </w:numPr>
        <w:spacing w:before="100" w:beforeAutospacing="1" w:after="100" w:afterAutospacing="1" w:line="240" w:lineRule="auto"/>
        <w:rPr>
          <w:rFonts w:ascii="Times New Roman" w:hAnsi="Times New Roman"/>
          <w:sz w:val="24"/>
          <w:szCs w:val="24"/>
        </w:rPr>
      </w:pPr>
      <w:r w:rsidRPr="009244F8">
        <w:rPr>
          <w:rFonts w:ascii="Times New Roman" w:hAnsi="Times New Roman"/>
          <w:sz w:val="24"/>
          <w:szCs w:val="24"/>
        </w:rPr>
        <w:t>For more than two hundred (200) employees but fewer than five hundred and one (501) employees, the cap is $200,000; and</w:t>
      </w:r>
    </w:p>
    <w:p w14:paraId="30CA05DF" w14:textId="77777777" w:rsidR="0061488E" w:rsidRDefault="0061488E" w:rsidP="0061488E">
      <w:pPr>
        <w:numPr>
          <w:ilvl w:val="0"/>
          <w:numId w:val="19"/>
        </w:numPr>
        <w:spacing w:before="100" w:beforeAutospacing="1" w:after="100" w:afterAutospacing="1" w:line="240" w:lineRule="auto"/>
        <w:rPr>
          <w:rFonts w:ascii="Times New Roman" w:hAnsi="Times New Roman"/>
          <w:sz w:val="24"/>
          <w:szCs w:val="24"/>
        </w:rPr>
      </w:pPr>
      <w:r w:rsidRPr="009244F8">
        <w:rPr>
          <w:rFonts w:ascii="Times New Roman" w:hAnsi="Times New Roman"/>
          <w:sz w:val="24"/>
          <w:szCs w:val="24"/>
        </w:rPr>
        <w:lastRenderedPageBreak/>
        <w:t>For an employer with more than five hundred (500) employees, the cap is $300,000.</w:t>
      </w:r>
      <w:r>
        <w:rPr>
          <w:rFonts w:ascii="Times New Roman" w:hAnsi="Times New Roman"/>
          <w:sz w:val="24"/>
          <w:szCs w:val="24"/>
        </w:rPr>
        <w:t>”</w:t>
      </w:r>
    </w:p>
    <w:p w14:paraId="51500969" w14:textId="77777777" w:rsidR="0061488E" w:rsidRDefault="0061488E" w:rsidP="0061488E">
      <w:pPr>
        <w:spacing w:before="100" w:beforeAutospacing="1" w:after="100" w:afterAutospacing="1" w:line="240" w:lineRule="auto"/>
        <w:ind w:left="360"/>
        <w:rPr>
          <w:rFonts w:ascii="Times New Roman" w:eastAsia="Times New Roman" w:hAnsi="Times New Roman"/>
          <w:sz w:val="24"/>
          <w:szCs w:val="24"/>
        </w:rPr>
      </w:pPr>
      <w:r>
        <w:rPr>
          <w:rFonts w:ascii="Times New Roman" w:eastAsia="Times New Roman" w:hAnsi="Times New Roman"/>
          <w:sz w:val="24"/>
          <w:szCs w:val="24"/>
        </w:rPr>
        <w:t xml:space="preserve">Note:  Judge Ellis is also assigned to the separate lawsuit by Donna Griffin.  On Jan. 22, 2024, the Judge ruled: </w:t>
      </w:r>
    </w:p>
    <w:p w14:paraId="0685F357" w14:textId="77777777" w:rsidR="0061488E" w:rsidRDefault="0061488E" w:rsidP="0061488E">
      <w:pPr>
        <w:pStyle w:val="NormalWeb"/>
        <w:ind w:left="720"/>
        <w:rPr>
          <w:b/>
          <w:bCs/>
          <w:sz w:val="40"/>
          <w:szCs w:val="40"/>
        </w:rPr>
      </w:pPr>
      <w:r w:rsidRPr="000F0881">
        <w:t>“Because Griffin presents sufficient evidence to establish a dispute of fact as to whether she was a qualified individual and whether her disability caused her termination from the Academy, the Court denies the City's motion as to Griffin's discrimination claim under the ADA and IHRA. However, because Griffin cannot present admissible evidence that she made a request for accommodation, the Court grants the City's motion as to Griffin's reasonable accommodation claim under the ADA and IHRA.”</w:t>
      </w:r>
      <w:r>
        <w:t xml:space="preserve"> </w:t>
      </w:r>
      <w:hyperlink r:id="rId1401" w:history="1">
        <w:r w:rsidRPr="00663E4B">
          <w:rPr>
            <w:rStyle w:val="Hyperlink"/>
          </w:rPr>
          <w:t>https://public.fastcase.com/ZZhmr5v9wN%2FXOe5IsQ%2FqD6X8aBICmIyWVJScKPpCyRhR7mDWsTx8EU8Grq%2B%2B4ZtL7A%2BZetNPKoBujU7we%2BcNkmURNKpv4aGWRHQtd1T1moA%3D?utm_medium=email&amp;_hsmi=226712652&amp;_hsenc=p2ANqtz-9OBKIBZDi8r8oE28UFobupYGxopyoQah8HvX1c9zj34g5f00t_mZAGDNIEFbeFR3R6TbvecwhsL2yyD5Q92lFJJe2-2g&amp;utm_content=226712652&amp;utm_source=hs_email</w:t>
        </w:r>
      </w:hyperlink>
    </w:p>
    <w:p w14:paraId="3BCE06A6" w14:textId="77777777" w:rsidR="00B1569B" w:rsidRDefault="00B1569B" w:rsidP="00F326E5">
      <w:pPr>
        <w:pStyle w:val="NoSpacing"/>
        <w:rPr>
          <w:rFonts w:ascii="Arial Black" w:hAnsi="Arial Black"/>
          <w:b/>
          <w:bCs/>
          <w:sz w:val="24"/>
          <w:szCs w:val="24"/>
        </w:rPr>
      </w:pPr>
    </w:p>
    <w:p w14:paraId="5E091E36" w14:textId="77777777" w:rsidR="002C6181" w:rsidRDefault="002C6181" w:rsidP="00F326E5">
      <w:pPr>
        <w:pStyle w:val="NoSpacing"/>
        <w:rPr>
          <w:rFonts w:ascii="Arial Black" w:hAnsi="Arial Black"/>
          <w:b/>
          <w:bCs/>
          <w:sz w:val="24"/>
          <w:szCs w:val="24"/>
        </w:rPr>
      </w:pPr>
    </w:p>
    <w:p w14:paraId="042CA2DF" w14:textId="77777777" w:rsidR="002C6181" w:rsidRDefault="002C6181" w:rsidP="00F326E5">
      <w:pPr>
        <w:pStyle w:val="NoSpacing"/>
        <w:rPr>
          <w:rFonts w:ascii="Arial Black" w:hAnsi="Arial Black"/>
          <w:b/>
          <w:bCs/>
          <w:sz w:val="24"/>
          <w:szCs w:val="24"/>
        </w:rPr>
      </w:pPr>
    </w:p>
    <w:p w14:paraId="7D2D6394" w14:textId="1ED8F49B" w:rsidR="00820998" w:rsidRDefault="00820998" w:rsidP="00F326E5">
      <w:pPr>
        <w:pStyle w:val="NoSpacing"/>
        <w:rPr>
          <w:rFonts w:ascii="Arial Black" w:hAnsi="Arial Black"/>
          <w:b/>
          <w:bCs/>
          <w:sz w:val="24"/>
          <w:szCs w:val="24"/>
        </w:rPr>
      </w:pPr>
      <w:r>
        <w:rPr>
          <w:rFonts w:ascii="Arial Black" w:hAnsi="Arial Black"/>
          <w:b/>
          <w:bCs/>
          <w:sz w:val="24"/>
          <w:szCs w:val="24"/>
        </w:rPr>
        <w:t>7-56</w:t>
      </w:r>
    </w:p>
    <w:p w14:paraId="354578E4" w14:textId="77777777" w:rsidR="00C37775" w:rsidRDefault="00C37775" w:rsidP="00C37775">
      <w:pPr>
        <w:pStyle w:val="NormalWeb"/>
        <w:rPr>
          <w:rFonts w:ascii="Arial Black" w:hAnsi="Arial Black"/>
          <w:b/>
          <w:bCs/>
          <w:sz w:val="28"/>
          <w:szCs w:val="28"/>
        </w:rPr>
      </w:pPr>
      <w:r>
        <w:rPr>
          <w:rFonts w:ascii="Arial Black" w:hAnsi="Arial Black"/>
          <w:b/>
          <w:bCs/>
          <w:sz w:val="28"/>
          <w:szCs w:val="28"/>
        </w:rPr>
        <w:t>OH: TRANSGENDER WOMAN / EMT – FIRED FOR SOCIAL MEDIA POSTS / OUTBURST HOSP - CASE DISMISSED</w:t>
      </w:r>
    </w:p>
    <w:p w14:paraId="453B8271" w14:textId="77777777" w:rsidR="00C37775" w:rsidRDefault="00C37775" w:rsidP="00C37775">
      <w:pPr>
        <w:pStyle w:val="NormalWeb"/>
      </w:pPr>
      <w:r w:rsidRPr="00DA2452">
        <w:t>On Dec. 28, 2023</w:t>
      </w:r>
      <w:r>
        <w:t xml:space="preserve">, </w:t>
      </w:r>
      <w:r w:rsidRPr="00DA2452">
        <w:t xml:space="preserve">in </w:t>
      </w:r>
      <w:r w:rsidRPr="00DA2452">
        <w:rPr>
          <w:u w:val="single"/>
        </w:rPr>
        <w:t>Rayne Fedder v. Ohio Medical Transportation, Inc</w:t>
      </w:r>
      <w:r>
        <w:t xml:space="preserve">., U.S. District Court Judge Sarah D. Morrison, U.S. District Court for Southern District of Ohio, Eastern Division, granted the employer’s motion to dismiss; judge overturned recommendation by U.S. Magistrate judge that her ADA claim that she “appeared” as disabled.   </w:t>
      </w:r>
      <w:hyperlink r:id="rId1402" w:history="1">
        <w:r w:rsidRPr="003C00DD">
          <w:rPr>
            <w:rStyle w:val="Hyperlink"/>
          </w:rPr>
          <w:t>https://public.fastcase.com/ZZhmr5v9wN%2FXOe5IsQ%2FqD9BUVBv1kUZp9ZGh4udwVOZOikyKuqCQ4FBlGwYEPhOQ?utm_medium=email&amp;_hsmi=226712652&amp;_hsenc=p2ANqtz-8T0ew8oNT-12TbgKrs2ORAj7WbRAGASG77xIYUvebbTcAbFOuK4r9xkTZLpSPqAw77_8KgP47FqlehaZADxsQlpR3k0g&amp;utm_content=226712652&amp;utm_source=hs_email</w:t>
        </w:r>
      </w:hyperlink>
      <w:r>
        <w:t xml:space="preserve"> </w:t>
      </w:r>
    </w:p>
    <w:p w14:paraId="689DA17C" w14:textId="77777777" w:rsidR="007F6B94" w:rsidRPr="00D6645E" w:rsidRDefault="007F6B94" w:rsidP="007F6B94">
      <w:pPr>
        <w:pStyle w:val="NormalWeb"/>
        <w:rPr>
          <w:b/>
          <w:bCs/>
        </w:rPr>
      </w:pPr>
      <w:r w:rsidRPr="00D6645E">
        <w:rPr>
          <w:b/>
          <w:bCs/>
        </w:rPr>
        <w:t xml:space="preserve">Legal Lesson Learned: </w:t>
      </w:r>
      <w:r>
        <w:rPr>
          <w:b/>
          <w:bCs/>
        </w:rPr>
        <w:t xml:space="preserve">The Supervisor wisely told co-workers to keep am “open mind.” </w:t>
      </w:r>
    </w:p>
    <w:p w14:paraId="606F9F77" w14:textId="77777777" w:rsidR="00C37775" w:rsidRDefault="00C37775" w:rsidP="00F326E5">
      <w:pPr>
        <w:pStyle w:val="NoSpacing"/>
        <w:rPr>
          <w:rFonts w:ascii="Arial Black" w:hAnsi="Arial Black"/>
          <w:b/>
          <w:bCs/>
          <w:sz w:val="24"/>
          <w:szCs w:val="24"/>
        </w:rPr>
      </w:pPr>
    </w:p>
    <w:p w14:paraId="59411A51" w14:textId="77777777" w:rsidR="00820998" w:rsidRDefault="00820998" w:rsidP="00F326E5">
      <w:pPr>
        <w:pStyle w:val="NoSpacing"/>
        <w:rPr>
          <w:rFonts w:ascii="Arial Black" w:hAnsi="Arial Black"/>
          <w:b/>
          <w:bCs/>
          <w:sz w:val="24"/>
          <w:szCs w:val="24"/>
        </w:rPr>
      </w:pPr>
    </w:p>
    <w:p w14:paraId="4467A0D5" w14:textId="5152317B" w:rsidR="00AC3E10" w:rsidRDefault="00AC3E10" w:rsidP="00F326E5">
      <w:pPr>
        <w:pStyle w:val="NoSpacing"/>
        <w:rPr>
          <w:rFonts w:ascii="Arial Black" w:hAnsi="Arial Black"/>
          <w:b/>
          <w:bCs/>
          <w:sz w:val="24"/>
          <w:szCs w:val="24"/>
        </w:rPr>
      </w:pPr>
      <w:r>
        <w:rPr>
          <w:rFonts w:ascii="Arial Black" w:hAnsi="Arial Black"/>
          <w:b/>
          <w:bCs/>
          <w:sz w:val="24"/>
          <w:szCs w:val="24"/>
        </w:rPr>
        <w:t>7-55</w:t>
      </w:r>
    </w:p>
    <w:p w14:paraId="03CF5697" w14:textId="77777777" w:rsidR="00AC3E10" w:rsidRPr="00A151D3" w:rsidRDefault="00AC3E10" w:rsidP="00AC3E10">
      <w:pPr>
        <w:pStyle w:val="NormalWeb"/>
        <w:rPr>
          <w:rFonts w:ascii="Arial Black" w:hAnsi="Arial Black"/>
          <w:sz w:val="28"/>
          <w:szCs w:val="28"/>
        </w:rPr>
      </w:pPr>
      <w:r>
        <w:rPr>
          <w:rFonts w:ascii="Arial Black" w:hAnsi="Arial Black"/>
          <w:sz w:val="28"/>
          <w:szCs w:val="28"/>
        </w:rPr>
        <w:t>CT: FEMALE BAT. CHIEF NOT PROMOTED A/C – JOB DESC. CHANGED - WRITTEN EXAM DROPPED – CASE PROCEED</w:t>
      </w:r>
    </w:p>
    <w:p w14:paraId="443983CC" w14:textId="77777777" w:rsidR="00AC3E10" w:rsidRDefault="00AC3E10" w:rsidP="00AC3E10">
      <w:pPr>
        <w:pStyle w:val="NormalWeb"/>
      </w:pPr>
      <w:r>
        <w:rPr>
          <w:rFonts w:eastAsiaTheme="minorHAnsi"/>
          <w:kern w:val="2"/>
          <w14:ligatures w14:val="standardContextual"/>
        </w:rPr>
        <w:t xml:space="preserve">On Aug. 14, 2023, in </w:t>
      </w:r>
      <w:r w:rsidRPr="00C14243">
        <w:rPr>
          <w:rFonts w:eastAsiaTheme="minorHAnsi"/>
          <w:kern w:val="2"/>
          <w:u w:val="single"/>
          <w14:ligatures w14:val="standardContextual"/>
        </w:rPr>
        <w:t>Eileen Parlato v. Town of East Haven and East Haven Fire Department</w:t>
      </w:r>
      <w:r>
        <w:rPr>
          <w:rFonts w:eastAsiaTheme="minorHAnsi"/>
          <w:kern w:val="2"/>
          <w14:ligatures w14:val="standardContextual"/>
        </w:rPr>
        <w:t xml:space="preserve">, U.S. District Court Judge </w:t>
      </w:r>
      <w:r>
        <w:t xml:space="preserve">Sarala V. </w:t>
      </w:r>
      <w:proofErr w:type="spellStart"/>
      <w:r>
        <w:t>Nagala</w:t>
      </w:r>
      <w:proofErr w:type="spellEnd"/>
      <w:r>
        <w:t xml:space="preserve"> denied in part the Town’s motion to dismiss, holding that the now-retired Battalion Chief, with 29 years on the Fire Department, may proceed with her equal protection / gender discrimination claim that she was not promoted to Assistant Fire Chief in November 2021 because the Fire </w:t>
      </w:r>
      <w:r>
        <w:lastRenderedPageBreak/>
        <w:t xml:space="preserve">Chief changed promotion process (including no written exam), she was never presented to the Board of Fire Commissioners, which selected another Battalion Chief with much less experience. </w:t>
      </w:r>
    </w:p>
    <w:p w14:paraId="6D81F1A3" w14:textId="77777777" w:rsidR="00AC3E10" w:rsidRDefault="00AC3E10" w:rsidP="00AC3E10">
      <w:pPr>
        <w:pStyle w:val="NormalWeb"/>
      </w:pPr>
      <w:r>
        <w:tab/>
        <w:t>The Judge held that the complaint identifies specific changes made by the Fire Chief.</w:t>
      </w:r>
    </w:p>
    <w:p w14:paraId="2D1FF3D3" w14:textId="77777777" w:rsidR="00AC3E10" w:rsidRDefault="00AC3E10" w:rsidP="00AC3E10">
      <w:pPr>
        <w:pStyle w:val="NormalWeb"/>
        <w:ind w:left="720"/>
        <w:rPr>
          <w:rFonts w:eastAsiaTheme="minorHAnsi"/>
          <w:kern w:val="2"/>
          <w14:ligatures w14:val="standardContextual"/>
        </w:rPr>
      </w:pPr>
      <w:r>
        <w:rPr>
          <w:rFonts w:eastAsiaTheme="minorHAnsi"/>
          <w:kern w:val="2"/>
          <w14:ligatures w14:val="standardContextual"/>
        </w:rPr>
        <w:t>“</w:t>
      </w:r>
      <w:r w:rsidRPr="00353B08">
        <w:rPr>
          <w:rFonts w:eastAsiaTheme="minorHAnsi"/>
          <w:kern w:val="2"/>
          <w14:ligatures w14:val="standardContextual"/>
        </w:rPr>
        <w:t xml:space="preserve">The Court next concludes, however, that Plaintiff has plausibly alleged a </w:t>
      </w:r>
      <w:r w:rsidRPr="00353B08">
        <w:rPr>
          <w:rFonts w:eastAsiaTheme="minorHAnsi"/>
          <w:i/>
          <w:iCs/>
          <w:kern w:val="2"/>
          <w14:ligatures w14:val="standardContextual"/>
        </w:rPr>
        <w:t>Monell</w:t>
      </w:r>
      <w:r w:rsidRPr="00353B08">
        <w:rPr>
          <w:rFonts w:eastAsiaTheme="minorHAnsi"/>
          <w:kern w:val="2"/>
          <w14:ligatures w14:val="standardContextual"/>
        </w:rPr>
        <w:t xml:space="preserve"> claim for gender discrimination under the theory that Marcarelli was a final policymaker with respect to the decisions he made that prevented Plaintiff from being considered by the Board of Fire Commissioners for the Assistant Chief position. </w:t>
      </w:r>
      <w:proofErr w:type="spellStart"/>
      <w:r w:rsidRPr="00353B08">
        <w:rPr>
          <w:rFonts w:eastAsiaTheme="minorHAnsi"/>
          <w:kern w:val="2"/>
          <w14:ligatures w14:val="standardContextual"/>
        </w:rPr>
        <w:t>Compl</w:t>
      </w:r>
      <w:proofErr w:type="spellEnd"/>
      <w:r w:rsidRPr="00353B08">
        <w:rPr>
          <w:rFonts w:eastAsiaTheme="minorHAnsi"/>
          <w:kern w:val="2"/>
          <w14:ligatures w14:val="standardContextual"/>
        </w:rPr>
        <w:t>. ¶ 116.</w:t>
      </w:r>
    </w:p>
    <w:p w14:paraId="3DD9B800" w14:textId="77777777" w:rsidR="00AC3E10" w:rsidRDefault="00AC3E10" w:rsidP="00AC3E10">
      <w:pPr>
        <w:pStyle w:val="NormalWeb"/>
        <w:ind w:left="720"/>
      </w:pPr>
      <w:r>
        <w:rPr>
          <w:rFonts w:eastAsiaTheme="minorHAnsi"/>
          <w:kern w:val="2"/>
          <w14:ligatures w14:val="standardContextual"/>
        </w:rPr>
        <w:t>***</w:t>
      </w:r>
    </w:p>
    <w:p w14:paraId="6474A360" w14:textId="77777777" w:rsidR="00AC3E10" w:rsidRDefault="00AC3E10" w:rsidP="00AC3E10">
      <w:pPr>
        <w:spacing w:before="100" w:beforeAutospacing="1" w:after="100" w:afterAutospacing="1" w:line="240" w:lineRule="auto"/>
        <w:ind w:left="720"/>
        <w:rPr>
          <w:rFonts w:ascii="Times New Roman" w:hAnsi="Times New Roman"/>
          <w:sz w:val="24"/>
          <w:szCs w:val="24"/>
        </w:rPr>
      </w:pPr>
      <w:r w:rsidRPr="00C14243">
        <w:rPr>
          <w:rFonts w:ascii="Times New Roman" w:hAnsi="Times New Roman"/>
          <w:sz w:val="24"/>
          <w:szCs w:val="24"/>
        </w:rPr>
        <w:t xml:space="preserve">Specifically, the Assistant Chief job posting stated that an external candidate required ten years of supervisory experience, but that an internal candidate required only ten years with the EHFD, regardless of whether the candidate had any supervisory experience during that time. </w:t>
      </w:r>
      <w:r w:rsidRPr="00C14243">
        <w:rPr>
          <w:rFonts w:ascii="Times New Roman" w:hAnsi="Times New Roman"/>
          <w:i/>
          <w:iCs/>
          <w:sz w:val="24"/>
          <w:szCs w:val="24"/>
        </w:rPr>
        <w:t>Id.</w:t>
      </w:r>
      <w:r w:rsidRPr="00C14243">
        <w:rPr>
          <w:rFonts w:ascii="Times New Roman" w:hAnsi="Times New Roman"/>
          <w:sz w:val="24"/>
          <w:szCs w:val="24"/>
        </w:rPr>
        <w:t xml:space="preserve"> In addition, </w:t>
      </w:r>
      <w:r>
        <w:rPr>
          <w:rFonts w:ascii="Times New Roman" w:hAnsi="Times New Roman"/>
          <w:sz w:val="24"/>
          <w:szCs w:val="24"/>
        </w:rPr>
        <w:t xml:space="preserve">[Fire Chief] </w:t>
      </w:r>
      <w:r w:rsidRPr="00C14243">
        <w:rPr>
          <w:rFonts w:ascii="Times New Roman" w:hAnsi="Times New Roman"/>
          <w:sz w:val="24"/>
          <w:szCs w:val="24"/>
        </w:rPr>
        <w:t xml:space="preserve">Marcarelli changed the format of the Assistant Chief hiring process by setting only an oral exam and eliminating the typical written exam requirement, despite that Plaintiff had historically performed well on written exams. </w:t>
      </w:r>
      <w:r w:rsidRPr="00C14243">
        <w:rPr>
          <w:rFonts w:ascii="Times New Roman" w:hAnsi="Times New Roman"/>
          <w:i/>
          <w:iCs/>
          <w:sz w:val="24"/>
          <w:szCs w:val="24"/>
        </w:rPr>
        <w:t>Id.</w:t>
      </w:r>
      <w:r w:rsidRPr="00C14243">
        <w:rPr>
          <w:rFonts w:ascii="Times New Roman" w:hAnsi="Times New Roman"/>
          <w:sz w:val="24"/>
          <w:szCs w:val="24"/>
        </w:rPr>
        <w:t xml:space="preserve"> ¶ 53. Marcarelli also selected the individuals who would comprise the panel of interviewers for the oral exam. </w:t>
      </w:r>
      <w:r w:rsidRPr="00C14243">
        <w:rPr>
          <w:rFonts w:ascii="Times New Roman" w:hAnsi="Times New Roman"/>
          <w:i/>
          <w:iCs/>
          <w:sz w:val="24"/>
          <w:szCs w:val="24"/>
        </w:rPr>
        <w:t>Id.</w:t>
      </w:r>
      <w:r w:rsidRPr="00C14243">
        <w:rPr>
          <w:rFonts w:ascii="Times New Roman" w:hAnsi="Times New Roman"/>
          <w:sz w:val="24"/>
          <w:szCs w:val="24"/>
        </w:rPr>
        <w:t xml:space="preserve"> ¶ 54.</w:t>
      </w:r>
    </w:p>
    <w:p w14:paraId="69AC8FBC" w14:textId="77777777" w:rsidR="00AC3E10" w:rsidRDefault="00AC3E10" w:rsidP="00AC3E10">
      <w:pPr>
        <w:spacing w:before="100" w:beforeAutospacing="1" w:after="100" w:afterAutospacing="1" w:line="240" w:lineRule="auto"/>
        <w:ind w:left="720"/>
      </w:pPr>
      <w:r>
        <w:rPr>
          <w:rFonts w:ascii="Times New Roman" w:hAnsi="Times New Roman"/>
          <w:sz w:val="24"/>
          <w:szCs w:val="24"/>
        </w:rPr>
        <w:t>***</w:t>
      </w:r>
    </w:p>
    <w:p w14:paraId="0BC44673" w14:textId="1C1314C9" w:rsidR="00AC3E10" w:rsidRPr="00AC3E10" w:rsidRDefault="00AC3E10" w:rsidP="00AC3E10">
      <w:pPr>
        <w:pStyle w:val="NoSpacing"/>
        <w:ind w:left="720"/>
        <w:rPr>
          <w:rFonts w:ascii="Times New Roman" w:hAnsi="Times New Roman"/>
          <w:b/>
          <w:bCs/>
          <w:sz w:val="24"/>
          <w:szCs w:val="24"/>
        </w:rPr>
      </w:pPr>
      <w:r w:rsidRPr="00AC3E10">
        <w:rPr>
          <w:rFonts w:ascii="Times New Roman" w:hAnsi="Times New Roman"/>
          <w:sz w:val="24"/>
          <w:szCs w:val="24"/>
        </w:rPr>
        <w:t xml:space="preserve">Importantly, the complaint alleges that Marcarelli </w:t>
      </w:r>
      <w:r w:rsidRPr="00AC3E10">
        <w:rPr>
          <w:rStyle w:val="Emphasis"/>
          <w:rFonts w:ascii="Times New Roman" w:eastAsiaTheme="majorEastAsia" w:hAnsi="Times New Roman"/>
          <w:sz w:val="24"/>
          <w:szCs w:val="24"/>
        </w:rPr>
        <w:t>drafted</w:t>
      </w:r>
      <w:r w:rsidRPr="00AC3E10">
        <w:rPr>
          <w:rFonts w:ascii="Times New Roman" w:hAnsi="Times New Roman"/>
          <w:sz w:val="24"/>
          <w:szCs w:val="24"/>
        </w:rPr>
        <w:t xml:space="preserve"> the job description, </w:t>
      </w:r>
      <w:r w:rsidRPr="00AC3E10">
        <w:rPr>
          <w:rStyle w:val="Emphasis"/>
          <w:rFonts w:ascii="Times New Roman" w:eastAsiaTheme="majorEastAsia" w:hAnsi="Times New Roman"/>
          <w:sz w:val="24"/>
          <w:szCs w:val="24"/>
        </w:rPr>
        <w:t>eliminated</w:t>
      </w:r>
      <w:r w:rsidRPr="00AC3E10">
        <w:rPr>
          <w:rFonts w:ascii="Times New Roman" w:hAnsi="Times New Roman"/>
          <w:sz w:val="24"/>
          <w:szCs w:val="24"/>
        </w:rPr>
        <w:t xml:space="preserve"> the written exam requirement, and </w:t>
      </w:r>
      <w:r w:rsidRPr="00AC3E10">
        <w:rPr>
          <w:rStyle w:val="Emphasis"/>
          <w:rFonts w:ascii="Times New Roman" w:eastAsiaTheme="majorEastAsia" w:hAnsi="Times New Roman"/>
          <w:sz w:val="24"/>
          <w:szCs w:val="24"/>
        </w:rPr>
        <w:t>hand-picked</w:t>
      </w:r>
      <w:r w:rsidRPr="00AC3E10">
        <w:rPr>
          <w:rFonts w:ascii="Times New Roman" w:hAnsi="Times New Roman"/>
          <w:sz w:val="24"/>
          <w:szCs w:val="24"/>
        </w:rPr>
        <w:t xml:space="preserve"> the interviewers. </w:t>
      </w:r>
      <w:proofErr w:type="spellStart"/>
      <w:r w:rsidRPr="00AC3E10">
        <w:rPr>
          <w:rFonts w:ascii="Times New Roman" w:hAnsi="Times New Roman"/>
          <w:sz w:val="24"/>
          <w:szCs w:val="24"/>
        </w:rPr>
        <w:t>Compl</w:t>
      </w:r>
      <w:proofErr w:type="spellEnd"/>
      <w:r w:rsidRPr="00AC3E10">
        <w:rPr>
          <w:rFonts w:ascii="Times New Roman" w:hAnsi="Times New Roman"/>
          <w:sz w:val="24"/>
          <w:szCs w:val="24"/>
        </w:rPr>
        <w:t>. ¶¶ 48, 53-54.</w:t>
      </w:r>
      <w:r w:rsidRPr="00AC3E10">
        <w:rPr>
          <w:rFonts w:ascii="Times New Roman" w:hAnsi="Times New Roman"/>
          <w:sz w:val="24"/>
          <w:szCs w:val="24"/>
          <w:vertAlign w:val="superscript"/>
        </w:rPr>
        <w:t>[</w:t>
      </w:r>
      <w:hyperlink r:id="rId1403" w:anchor="ftn.FN8" w:history="1">
        <w:r w:rsidRPr="00AC3E10">
          <w:rPr>
            <w:rStyle w:val="Hyperlink"/>
            <w:rFonts w:ascii="Times New Roman" w:eastAsiaTheme="majorEastAsia" w:hAnsi="Times New Roman"/>
            <w:sz w:val="24"/>
            <w:szCs w:val="24"/>
            <w:vertAlign w:val="superscript"/>
          </w:rPr>
          <w:t>8</w:t>
        </w:r>
      </w:hyperlink>
      <w:r w:rsidRPr="00AC3E10">
        <w:rPr>
          <w:rFonts w:ascii="Times New Roman" w:hAnsi="Times New Roman"/>
          <w:sz w:val="24"/>
          <w:szCs w:val="24"/>
          <w:vertAlign w:val="superscript"/>
        </w:rPr>
        <w:t>]</w:t>
      </w:r>
      <w:r w:rsidRPr="00AC3E10">
        <w:rPr>
          <w:rFonts w:ascii="Times New Roman" w:hAnsi="Times New Roman"/>
          <w:sz w:val="24"/>
          <w:szCs w:val="24"/>
        </w:rPr>
        <w:t xml:space="preserve"> To the extent further discovery reveals that those decisions were reviewable by the Board of Fire Commissioners, or to the extent that further research demonstrates that the authority to make those decisions was vested in the Board or some other person or entity, Plaintiff may not ultimately prevail on this theory of her </w:t>
      </w:r>
      <w:r w:rsidRPr="00AC3E10">
        <w:rPr>
          <w:rStyle w:val="Emphasis"/>
          <w:rFonts w:ascii="Times New Roman" w:eastAsiaTheme="majorEastAsia" w:hAnsi="Times New Roman"/>
          <w:sz w:val="24"/>
          <w:szCs w:val="24"/>
        </w:rPr>
        <w:t>Monell</w:t>
      </w:r>
      <w:r w:rsidRPr="00AC3E10">
        <w:rPr>
          <w:rFonts w:ascii="Times New Roman" w:hAnsi="Times New Roman"/>
          <w:sz w:val="24"/>
          <w:szCs w:val="24"/>
        </w:rPr>
        <w:t xml:space="preserve"> claim.” </w:t>
      </w:r>
      <w:hyperlink r:id="rId1404" w:history="1">
        <w:r w:rsidRPr="00AC3E10">
          <w:rPr>
            <w:rStyle w:val="Hyperlink"/>
            <w:rFonts w:ascii="Times New Roman" w:eastAsiaTheme="majorEastAsia" w:hAnsi="Times New Roman"/>
            <w:sz w:val="24"/>
            <w:szCs w:val="24"/>
          </w:rPr>
          <w:t>https://public.fastcase.com/ZZhmr5v9wN%2FXOe5IsQ%2FqD%2FNGb7gFooJuC7EPCkPbb8zYGJ%2BdPMtTRazA4SgxbA0Hq%2Bqtj6iK5eurCbJj4Cn6ySK1qzuHHpkHA9cN2Vx6eWo%3D?utm_medium=email&amp;_hsmi=226712652&amp;_hsenc=p2ANqtz-_M4ZQ75NqvFrlpX3gz1MCu7xTgTM0sg-yZbWDDZft-2cApXVRPMU-C3jBD2GmP4Ff9YuyLw19xTYwQuDOoCvQcSGp93w&amp;utm_content=226712652&amp;utm_source=hs_email</w:t>
        </w:r>
      </w:hyperlink>
    </w:p>
    <w:p w14:paraId="36EDDD30" w14:textId="77777777" w:rsidR="00AC3E10" w:rsidRDefault="00AC3E10" w:rsidP="00F326E5">
      <w:pPr>
        <w:pStyle w:val="NoSpacing"/>
        <w:rPr>
          <w:rFonts w:ascii="Arial Black" w:hAnsi="Arial Black"/>
          <w:b/>
          <w:bCs/>
          <w:sz w:val="24"/>
          <w:szCs w:val="24"/>
        </w:rPr>
      </w:pPr>
    </w:p>
    <w:p w14:paraId="0F8D2805" w14:textId="77777777" w:rsidR="00AC3E10" w:rsidRPr="00353B08" w:rsidRDefault="00AC3E10" w:rsidP="00AC3E10">
      <w:pPr>
        <w:pStyle w:val="NormalWeb"/>
        <w:rPr>
          <w:b/>
          <w:bCs/>
        </w:rPr>
      </w:pPr>
      <w:r w:rsidRPr="00353B08">
        <w:rPr>
          <w:rFonts w:eastAsiaTheme="minorHAnsi"/>
          <w:b/>
          <w:bCs/>
          <w:kern w:val="2"/>
          <w14:ligatures w14:val="standardContextual"/>
        </w:rPr>
        <w:t xml:space="preserve">Legal Lesson Learned: </w:t>
      </w:r>
      <w:r>
        <w:rPr>
          <w:rFonts w:eastAsiaTheme="minorHAnsi"/>
          <w:b/>
          <w:bCs/>
          <w:kern w:val="2"/>
          <w14:ligatures w14:val="standardContextual"/>
        </w:rPr>
        <w:t xml:space="preserve">Lawsuit will now proceed with pre-trial discovery.  Be very cautious in changing the promotion process. </w:t>
      </w:r>
    </w:p>
    <w:p w14:paraId="09EA451C" w14:textId="77777777" w:rsidR="00AC3E10" w:rsidRDefault="00AC3E10" w:rsidP="00F326E5">
      <w:pPr>
        <w:pStyle w:val="NoSpacing"/>
        <w:rPr>
          <w:rFonts w:ascii="Arial Black" w:hAnsi="Arial Black"/>
          <w:b/>
          <w:bCs/>
          <w:sz w:val="24"/>
          <w:szCs w:val="24"/>
        </w:rPr>
      </w:pPr>
    </w:p>
    <w:p w14:paraId="1A2EC069" w14:textId="5E4B4D88" w:rsidR="00664ABE" w:rsidRPr="000644B6" w:rsidRDefault="00664ABE" w:rsidP="00F326E5">
      <w:pPr>
        <w:pStyle w:val="NoSpacing"/>
        <w:rPr>
          <w:rFonts w:ascii="Arial Black" w:hAnsi="Arial Black"/>
          <w:b/>
          <w:bCs/>
          <w:sz w:val="24"/>
          <w:szCs w:val="24"/>
        </w:rPr>
      </w:pPr>
      <w:r w:rsidRPr="000644B6">
        <w:rPr>
          <w:rFonts w:ascii="Arial Black" w:hAnsi="Arial Black"/>
          <w:b/>
          <w:bCs/>
          <w:sz w:val="24"/>
          <w:szCs w:val="24"/>
        </w:rPr>
        <w:t>7-54</w:t>
      </w:r>
    </w:p>
    <w:p w14:paraId="16C6CF28" w14:textId="77777777" w:rsidR="000644B6" w:rsidRPr="000644B6" w:rsidRDefault="000644B6" w:rsidP="000644B6">
      <w:pPr>
        <w:pStyle w:val="NormalWeb"/>
        <w:rPr>
          <w:rFonts w:ascii="Arial Black" w:hAnsi="Arial Black"/>
          <w:sz w:val="28"/>
          <w:szCs w:val="28"/>
        </w:rPr>
      </w:pPr>
      <w:r w:rsidRPr="000644B6">
        <w:rPr>
          <w:rFonts w:ascii="Arial Black" w:hAnsi="Arial Black"/>
          <w:sz w:val="28"/>
          <w:szCs w:val="28"/>
        </w:rPr>
        <w:t xml:space="preserve">KY: FF HAD SEX 17-YR-OLD – HE IS IN PRISON 35 YEARS – NO CASE AGAINST CITY / FD FOR “FAILURE TO SUPERVISE” </w:t>
      </w:r>
    </w:p>
    <w:p w14:paraId="6405F185" w14:textId="77777777" w:rsidR="000644B6" w:rsidRPr="000644B6" w:rsidRDefault="000644B6" w:rsidP="000644B6">
      <w:pPr>
        <w:pStyle w:val="NormalWeb"/>
      </w:pPr>
      <w:r w:rsidRPr="000644B6">
        <w:t xml:space="preserve">On July 25, 2023, in </w:t>
      </w:r>
      <w:r w:rsidRPr="000644B6">
        <w:rPr>
          <w:u w:val="single"/>
        </w:rPr>
        <w:t>Emmalee Young v. City of Paris, et al.</w:t>
      </w:r>
      <w:r w:rsidRPr="000644B6">
        <w:t xml:space="preserve">, U.S. District Court Judge Karen K. Caldwell, U.S. District Court for Eastern District of Kentucky, Central Division (Lexington), granted motion for summary judgment on behalf of the </w:t>
      </w:r>
      <w:proofErr w:type="gramStart"/>
      <w:r w:rsidRPr="000644B6">
        <w:t>City</w:t>
      </w:r>
      <w:proofErr w:type="gramEnd"/>
      <w:r w:rsidRPr="000644B6">
        <w:t xml:space="preserve">, Fire Chief, Battalion Chief and police officials. The only remaining defendant is former firefighter William Michael Fields, Jr., now serving 35 years in federal prison. A failure-to-supervise claim is a “rare” claim.  </w:t>
      </w:r>
    </w:p>
    <w:p w14:paraId="13BB30E2" w14:textId="530F59CD" w:rsidR="00664ABE" w:rsidRPr="000644B6" w:rsidRDefault="000644B6" w:rsidP="000644B6">
      <w:pPr>
        <w:pStyle w:val="NoSpacing"/>
        <w:rPr>
          <w:rFonts w:ascii="Times New Roman" w:hAnsi="Times New Roman"/>
          <w:sz w:val="24"/>
          <w:szCs w:val="24"/>
        </w:rPr>
      </w:pPr>
      <w:r w:rsidRPr="000644B6">
        <w:rPr>
          <w:rFonts w:ascii="Times New Roman" w:hAnsi="Times New Roman"/>
          <w:sz w:val="24"/>
          <w:szCs w:val="24"/>
        </w:rPr>
        <w:lastRenderedPageBreak/>
        <w:t xml:space="preserve">The Court held: “As to a failure-to-supervise claim, this is a ‘rare’ claim. *** Young could show the city was deliberately indifferent to the risk that its employees would have sexual intercourse with minors or other nonconsenting individuals with evidence of a pattern of similar constitutional violations, with a record of city employees ‘going unpunished’ for similar constitutional violations or other circumstances tending to show that the city was aware or could have been aware that Fields was prone to have sexual intercourse with minors or other nonconsenting individuals. </w:t>
      </w:r>
      <w:r w:rsidRPr="000644B6">
        <w:rPr>
          <w:rStyle w:val="Emphasis"/>
          <w:rFonts w:ascii="Times New Roman" w:hAnsi="Times New Roman"/>
          <w:sz w:val="24"/>
          <w:szCs w:val="24"/>
        </w:rPr>
        <w:t>Id</w:t>
      </w:r>
      <w:r w:rsidRPr="000644B6">
        <w:rPr>
          <w:rFonts w:ascii="Times New Roman" w:hAnsi="Times New Roman"/>
          <w:sz w:val="24"/>
          <w:szCs w:val="24"/>
        </w:rPr>
        <w:t xml:space="preserve">. Young presents no such evidence. Accordingly, the Court will enter summary judgment in favor of the city of Paris, Kentucky on Young's constitutional claims. *** The issue on this motion is whether Young has presented sufficient facts to lead a reasonable juror to find that the city of Paris, Fields' supervisors at the fire department, or Paris law enforcement officers Royse and Boyer should also be liable for Fields' wrongful conduct. *** Young does not allege, however, that any of the individual defendants other than Fields personally sexually harassed her or violated her bodily integrity. She does not allege that any of the other defendants even had substantial direct interactions with her. She asserts, however, that the other defendants should be held liable for Fields' actions. *** As to Chief Duffy and Battalion Chief Hensley, Young asserts that both are liable for Fields' conduct because they were his supervisors at the Paris Fire Department. *** Young has produced no evidence that Duffy or Hensley was aware that Fields had sexually harassed or violated the bodily integrity of Young or anyone else or that he intended to. Though the deposition testimony established that other members of the Fire Department were aware that Fields had engaged in multiple sexual encounters outside of his marriage, </w:t>
      </w:r>
      <w:proofErr w:type="gramStart"/>
      <w:r w:rsidRPr="000644B6">
        <w:rPr>
          <w:rFonts w:ascii="Times New Roman" w:hAnsi="Times New Roman"/>
          <w:sz w:val="24"/>
          <w:szCs w:val="24"/>
        </w:rPr>
        <w:t>Young</w:t>
      </w:r>
      <w:proofErr w:type="gramEnd"/>
      <w:r w:rsidRPr="000644B6">
        <w:rPr>
          <w:rFonts w:ascii="Times New Roman" w:hAnsi="Times New Roman"/>
          <w:sz w:val="24"/>
          <w:szCs w:val="24"/>
        </w:rPr>
        <w:t xml:space="preserve"> points to no evidence that any other employee was aware that any of Fields' sexual encounters involved nonconsenting women or minors or otherwise constituted sexual harassment or violations of bodily integrity. *** She presents evidence that fire department employees discussed sexual activities and shared nude images of females while on duty. She has also produced evidence that at least some fire department employees engaged in sexual activities with nonemployees at facilities used by the Paris Fire Department like Safety City. Young has pointed to no evidence, however, that any fire department employee other than Fields engaged in sexual behavior with an underage or otherwise nonconsenting individual, which is the kind of constitutional violation suffered by Young.” </w:t>
      </w:r>
      <w:hyperlink r:id="rId1405" w:history="1">
        <w:r w:rsidRPr="000644B6">
          <w:rPr>
            <w:rStyle w:val="Hyperlink"/>
            <w:rFonts w:ascii="Times New Roman" w:eastAsiaTheme="majorEastAsia" w:hAnsi="Times New Roman"/>
            <w:sz w:val="24"/>
            <w:szCs w:val="24"/>
          </w:rPr>
          <w:t>https://public.fastcase.com/ZZhmr5v9wN%2FXOe5IsQ%2FqD4teBhUqY7wvbGAswNzyBMaksiAAx9CoK%2F0glr7LeyIGy7%2BIvTMMfnsD4C1w01llLSbg%2FSmkDMg22UrZNbleClI%3D?utm_medium=email&amp;_hsmi=226712652&amp;_hsenc=p2ANqtz--0kKIYBqY11A1vHL3K3LnOM9OT3ZDxvHId5EPEJRai0C-xgNPiCQqUNedXVxiPbPjxDggmQ5V534mtY9qGSRF7_b-8gg&amp;utm_content=226712652&amp;utm_source=hs_email</w:t>
        </w:r>
      </w:hyperlink>
    </w:p>
    <w:p w14:paraId="7F031CF5" w14:textId="77777777" w:rsidR="00664ABE" w:rsidRDefault="00664ABE" w:rsidP="00F326E5">
      <w:pPr>
        <w:pStyle w:val="NoSpacing"/>
        <w:rPr>
          <w:rFonts w:ascii="Arial Black" w:hAnsi="Arial Black"/>
          <w:sz w:val="24"/>
          <w:szCs w:val="24"/>
        </w:rPr>
      </w:pPr>
    </w:p>
    <w:p w14:paraId="537B694A" w14:textId="77777777" w:rsidR="000644B6" w:rsidRPr="008B55B1" w:rsidRDefault="000644B6" w:rsidP="000644B6">
      <w:pPr>
        <w:pStyle w:val="NormalWeb"/>
        <w:rPr>
          <w:b/>
          <w:bCs/>
        </w:rPr>
      </w:pPr>
      <w:r w:rsidRPr="008B55B1">
        <w:rPr>
          <w:b/>
          <w:bCs/>
        </w:rPr>
        <w:t xml:space="preserve">Legal Lesson Learned: </w:t>
      </w:r>
      <w:r>
        <w:rPr>
          <w:b/>
          <w:bCs/>
        </w:rPr>
        <w:t xml:space="preserve">A “failure to supervise” claim must be backed up with facts showing management knowledge of improper conduct. </w:t>
      </w:r>
    </w:p>
    <w:p w14:paraId="1F89B981" w14:textId="77777777" w:rsidR="000644B6" w:rsidRDefault="000644B6" w:rsidP="00F326E5">
      <w:pPr>
        <w:pStyle w:val="NoSpacing"/>
        <w:rPr>
          <w:rFonts w:ascii="Arial Black" w:hAnsi="Arial Black"/>
          <w:sz w:val="24"/>
          <w:szCs w:val="24"/>
        </w:rPr>
      </w:pPr>
    </w:p>
    <w:p w14:paraId="32610B35" w14:textId="77777777" w:rsidR="000644B6" w:rsidRDefault="000644B6" w:rsidP="00F326E5">
      <w:pPr>
        <w:pStyle w:val="NoSpacing"/>
        <w:rPr>
          <w:rFonts w:ascii="Arial Black" w:hAnsi="Arial Black"/>
          <w:sz w:val="24"/>
          <w:szCs w:val="24"/>
        </w:rPr>
      </w:pPr>
    </w:p>
    <w:p w14:paraId="6E47CC74" w14:textId="77777777" w:rsidR="000644B6" w:rsidRDefault="000644B6" w:rsidP="00F326E5">
      <w:pPr>
        <w:pStyle w:val="NoSpacing"/>
        <w:rPr>
          <w:rFonts w:ascii="Arial Black" w:hAnsi="Arial Black"/>
          <w:sz w:val="24"/>
          <w:szCs w:val="24"/>
        </w:rPr>
      </w:pPr>
    </w:p>
    <w:p w14:paraId="0D4D71D9" w14:textId="4FF7BE2E" w:rsidR="00227BDE" w:rsidRDefault="00411936" w:rsidP="00F326E5">
      <w:pPr>
        <w:pStyle w:val="NoSpacing"/>
        <w:rPr>
          <w:rFonts w:ascii="Arial Black" w:hAnsi="Arial Black"/>
          <w:sz w:val="24"/>
          <w:szCs w:val="24"/>
        </w:rPr>
      </w:pPr>
      <w:r>
        <w:rPr>
          <w:rFonts w:ascii="Arial Black" w:hAnsi="Arial Black"/>
          <w:sz w:val="24"/>
          <w:szCs w:val="24"/>
        </w:rPr>
        <w:t>7-53</w:t>
      </w:r>
    </w:p>
    <w:p w14:paraId="0AD9E391" w14:textId="77777777" w:rsidR="00664ABE" w:rsidRPr="001C1F46" w:rsidRDefault="00664ABE" w:rsidP="00664ABE">
      <w:pPr>
        <w:pStyle w:val="NormalWeb"/>
        <w:rPr>
          <w:rFonts w:ascii="Arial Black" w:hAnsi="Arial Black"/>
          <w:sz w:val="28"/>
          <w:szCs w:val="28"/>
        </w:rPr>
      </w:pPr>
      <w:r>
        <w:rPr>
          <w:rFonts w:ascii="Arial Black" w:hAnsi="Arial Black"/>
          <w:sz w:val="28"/>
          <w:szCs w:val="28"/>
        </w:rPr>
        <w:t>CA: SAN FRAN. FF – HARASSMENT, NASTY COMMENTS BY SUPERVISOR TO FF HUSBAND – LACTATION NOT PRIVATE</w:t>
      </w:r>
    </w:p>
    <w:p w14:paraId="63FBDA5C" w14:textId="77777777" w:rsidR="00664ABE" w:rsidRDefault="00664ABE" w:rsidP="00664ABE">
      <w:pPr>
        <w:pStyle w:val="NormalWeb"/>
      </w:pPr>
      <w:r>
        <w:t xml:space="preserve">On July 13, 2023, in </w:t>
      </w:r>
      <w:r w:rsidRPr="001C1F46">
        <w:rPr>
          <w:u w:val="single"/>
        </w:rPr>
        <w:t>Sarah Perata v. City and County of San Francisco</w:t>
      </w:r>
      <w:r>
        <w:t xml:space="preserve">, U.S. Magistrate Judge Thomas S. Hixson, denied the City’s motion for summary judgment on claims of gender discrimination, including lack of location with a lock for lactation.  She was hired in 2018 as EMT and was a training instructor at Treasure Island.  In 2020 she received a promotion to Captain, subject to six-month probationary period and transferred to Station 49.  Unfortunately, on Dec. 7, 2020, Fire Chief Janine Nicholson sent Plaintiff a letter revoking the promotion based on two investigations - text message incident and training binder incident.  Text Message Incident – proposed 7-day suspension.  Plaintiff's new supervisor at Station 49, Chief Niels Tangherlini, </w:t>
      </w:r>
      <w:r>
        <w:lastRenderedPageBreak/>
        <w:t xml:space="preserve">received a message from what appeared to be Plaintiff's phone number stating, “I fucking hate this place.” Multiple other coworkers received texts from what appeared to be Plaintiff's phone number stating, “I hate you,” or “Fuck you.”   Training Binder Incident – proposed 3-day suspension. On February 13, 2020, she and her husband went to Tresure Island to gather her belongings for transfer to Station </w:t>
      </w:r>
      <w:proofErr w:type="gramStart"/>
      <w:r>
        <w:t>49, and</w:t>
      </w:r>
      <w:proofErr w:type="gramEnd"/>
      <w:r>
        <w:t xml:space="preserve"> apparently took training materials. That suspension was withdrawn when Plaintiff provided SFFD relevant materials. </w:t>
      </w:r>
    </w:p>
    <w:p w14:paraId="4FF4ED76" w14:textId="77777777" w:rsidR="00664ABE" w:rsidRDefault="00664ABE" w:rsidP="00664ABE">
      <w:pPr>
        <w:pStyle w:val="NormalWeb"/>
      </w:pPr>
      <w:r>
        <w:t>The Magistrate Judge held:</w:t>
      </w:r>
    </w:p>
    <w:p w14:paraId="0246B33E" w14:textId="77777777" w:rsidR="00664ABE" w:rsidRDefault="00664ABE" w:rsidP="00664ABE">
      <w:pPr>
        <w:pStyle w:val="NormalWeb"/>
      </w:pPr>
      <w:r>
        <w:t xml:space="preserve">HARASSMENT: “Although a close call, the Court finds Plaintiff has established material facts to preclude summary judgment on her harassment claims. Plaintiff testified that her supervisor, Payne [Nicholas Payne, Emergency Medical Services Training section chief for Treasure Island] and his supervisor, ‘constantly’ called Plaintiff and her fellow female coworkers ‘minions,’ and asked them to do the office administrative work. *** Defendant argues that many of the comments are not references to gender, but the Court finds there is sufficient evidence to infer gender bias. For example, Plaintiff's husband testified that Payne said Plaintiff “must give great head because I don't know why you are with </w:t>
      </w:r>
      <w:proofErr w:type="gramStart"/>
      <w:r>
        <w:t>her.”</w:t>
      </w:r>
      <w:proofErr w:type="gramEnd"/>
      <w:r>
        <w:t xml:space="preserve"> *** There is also evidence that Payne and Tibbits [Zachary Tibbits, co-worker] would put Plaintiff's desk figurines in sexual positions.”</w:t>
      </w:r>
    </w:p>
    <w:p w14:paraId="6D571029" w14:textId="77777777" w:rsidR="00664ABE" w:rsidRDefault="00664ABE" w:rsidP="00664ABE">
      <w:pPr>
        <w:pStyle w:val="NormalWeb"/>
      </w:pPr>
      <w:r>
        <w:t>LACTATION: “Plaintiff testified that after she was walked in on while using the captain's room she would occasionally go downstairs and ask to use another officer's room…. Drawing all inferences in Plaintiff's favor, it is reasonable to infer that if Plaintiff had access to a classroom that reasonably accommodated her lactation, she would not have sought out the officer's room and asked the officer to stand outside. In sum, the Court finds a sufficient factual dispute as to the reasonableness of the accommodations…. Cal. Code Regs. tit. 2, § 11035. ‘An employer shall provide an employee with the use of a room or other location for the employee to express milk in private.... A lactation room or location shall not be a bathroom and shall be . . . shielded from view, and free from intrusion while the employee is expressing milk.’ Cal. Lab. Code § 1031(a)-(b).”</w:t>
      </w:r>
    </w:p>
    <w:p w14:paraId="75B89A7E" w14:textId="4013EF68" w:rsidR="00411936" w:rsidRDefault="00664ABE" w:rsidP="00664ABE">
      <w:pPr>
        <w:pStyle w:val="NoSpacing"/>
        <w:rPr>
          <w:rStyle w:val="Hyperlink"/>
          <w:rFonts w:eastAsiaTheme="majorEastAsia"/>
        </w:rPr>
      </w:pPr>
      <w:hyperlink r:id="rId1406" w:history="1">
        <w:r w:rsidRPr="00AD70CC">
          <w:rPr>
            <w:rStyle w:val="Hyperlink"/>
            <w:rFonts w:eastAsiaTheme="majorEastAsia"/>
          </w:rPr>
          <w:t>https://public.fastcase.com/ZZhmr5v9wN%2FXOe5IsQ%2FqDyz5rhb%2FyBrIG8Au%2Ft3V919eqRG814zcJAmxY3jo6zPUS7MBeKfAuG868JSXjuCSoaubFv3fklmg5wPl%2B%2FhuGG8%3D?utm_medium=email&amp;_hsmi=226712652&amp;_hsenc=p2ANqtz-_V_ICNjbd2RZxHYCrc4la9bLeUstsyddFe2y3dzHQoT8LejGxKFn7KSEl6HhmqEbKKnasxkhMyKJsJTXSn_Oay7PK5pg&amp;utm_content=226712652&amp;utm_source=hs_email</w:t>
        </w:r>
      </w:hyperlink>
    </w:p>
    <w:p w14:paraId="1224AAC8" w14:textId="77777777" w:rsidR="00664ABE" w:rsidRPr="00F266A7" w:rsidRDefault="00664ABE" w:rsidP="00664ABE">
      <w:pPr>
        <w:pStyle w:val="NormalWeb"/>
        <w:rPr>
          <w:b/>
          <w:bCs/>
        </w:rPr>
      </w:pPr>
      <w:r w:rsidRPr="00F266A7">
        <w:rPr>
          <w:b/>
          <w:bCs/>
        </w:rPr>
        <w:t xml:space="preserve">Legal Lesson Learned: Inappropriate comments by a supervisor to </w:t>
      </w:r>
      <w:r>
        <w:rPr>
          <w:b/>
          <w:bCs/>
        </w:rPr>
        <w:t>an e</w:t>
      </w:r>
      <w:r w:rsidRPr="00F266A7">
        <w:rPr>
          <w:b/>
          <w:bCs/>
        </w:rPr>
        <w:t xml:space="preserve">mployee, or to the employee’s spouse, can be used as evidence in a harassment case. </w:t>
      </w:r>
      <w:r>
        <w:rPr>
          <w:b/>
          <w:bCs/>
        </w:rPr>
        <w:t xml:space="preserve"> For </w:t>
      </w:r>
      <w:proofErr w:type="gramStart"/>
      <w:r>
        <w:rPr>
          <w:b/>
          <w:bCs/>
        </w:rPr>
        <w:t>lactating</w:t>
      </w:r>
      <w:proofErr w:type="gramEnd"/>
      <w:r>
        <w:rPr>
          <w:b/>
          <w:bCs/>
        </w:rPr>
        <w:t xml:space="preserve"> employees, provide a location with a lock on the door. </w:t>
      </w:r>
    </w:p>
    <w:p w14:paraId="23B8660B" w14:textId="77777777" w:rsidR="00664ABE" w:rsidRPr="0073072D" w:rsidRDefault="00664ABE" w:rsidP="00664ABE">
      <w:pPr>
        <w:pStyle w:val="Heading1"/>
        <w:ind w:left="720"/>
        <w:rPr>
          <w:b w:val="0"/>
          <w:bCs w:val="0"/>
          <w:sz w:val="24"/>
          <w:szCs w:val="24"/>
        </w:rPr>
      </w:pPr>
      <w:r w:rsidRPr="0073072D">
        <w:rPr>
          <w:b w:val="0"/>
          <w:bCs w:val="0"/>
          <w:sz w:val="24"/>
          <w:szCs w:val="24"/>
        </w:rPr>
        <w:t xml:space="preserve">Note: See U.S. Department of Labor - Fact Sheet #73: FLSA Protections for Employees to Pump Breast Milk at Work, </w:t>
      </w:r>
      <w:hyperlink r:id="rId1407" w:history="1">
        <w:r w:rsidRPr="0073072D">
          <w:rPr>
            <w:rStyle w:val="Hyperlink"/>
            <w:b w:val="0"/>
            <w:bCs w:val="0"/>
            <w:sz w:val="24"/>
            <w:szCs w:val="24"/>
          </w:rPr>
          <w:t>https://www.dol.gov/agencies/whd/fact-sheets/73-flsa-break-time-nursing-mothers</w:t>
        </w:r>
      </w:hyperlink>
      <w:r>
        <w:rPr>
          <w:b w:val="0"/>
          <w:bCs w:val="0"/>
          <w:sz w:val="24"/>
          <w:szCs w:val="24"/>
        </w:rPr>
        <w:t xml:space="preserve">. </w:t>
      </w:r>
      <w:r w:rsidRPr="0073072D">
        <w:rPr>
          <w:b w:val="0"/>
          <w:bCs w:val="0"/>
          <w:sz w:val="24"/>
          <w:szCs w:val="24"/>
        </w:rPr>
        <w:t xml:space="preserve">As of December 29, 2022, nearly all FLSA-covered employees have the right to take needed time and to access an appropriate space to express breast milk for a nursing child for up to one year after the child’s birth. </w:t>
      </w:r>
    </w:p>
    <w:p w14:paraId="742F6DFD" w14:textId="77777777" w:rsidR="00664ABE" w:rsidRPr="0073072D" w:rsidRDefault="00664ABE" w:rsidP="00664ABE">
      <w:pPr>
        <w:pStyle w:val="NormalWeb"/>
        <w:ind w:left="720"/>
      </w:pPr>
      <w:r>
        <w:t xml:space="preserve">PUMP FOR NURSING MOTHERS ACT. </w:t>
      </w:r>
      <w:hyperlink r:id="rId1408" w:history="1">
        <w:r w:rsidRPr="00907E23">
          <w:rPr>
            <w:rStyle w:val="Hyperlink"/>
          </w:rPr>
          <w:t>https://www.dol.gov/sites/dolgov/files/WHD/flsa/PUMP-act_hr2617.pdf</w:t>
        </w:r>
      </w:hyperlink>
      <w:r>
        <w:t xml:space="preserve"> </w:t>
      </w:r>
      <w:r w:rsidRPr="0073072D">
        <w:t>‘(a) IN GENERAL .—An employer shall provide—‘‘(1) a reasonable break time for an employee to express</w:t>
      </w:r>
      <w:r>
        <w:t xml:space="preserve"> </w:t>
      </w:r>
      <w:r w:rsidRPr="0073072D">
        <w:t>breast milk for such employee’s nursing child for 1 year after</w:t>
      </w:r>
      <w:r>
        <w:t xml:space="preserve"> </w:t>
      </w:r>
      <w:r w:rsidRPr="0073072D">
        <w:t>the child’s birth each time such employee has need to express</w:t>
      </w:r>
      <w:r>
        <w:t xml:space="preserve"> </w:t>
      </w:r>
      <w:r w:rsidRPr="0073072D">
        <w:t>the milk; and</w:t>
      </w:r>
      <w:r>
        <w:t xml:space="preserve"> </w:t>
      </w:r>
      <w:r w:rsidRPr="0073072D">
        <w:t>‘‘(2) a place, other than a bathroom, that is shielded from</w:t>
      </w:r>
      <w:r>
        <w:t xml:space="preserve"> </w:t>
      </w:r>
      <w:r w:rsidRPr="0073072D">
        <w:t>view and free from intrusion from coworkers and the public,</w:t>
      </w:r>
      <w:r>
        <w:t xml:space="preserve"> </w:t>
      </w:r>
      <w:r w:rsidRPr="0073072D">
        <w:t>which may be used by an employee to express breast milk.</w:t>
      </w:r>
    </w:p>
    <w:p w14:paraId="7C1A25AF" w14:textId="77777777" w:rsidR="00664ABE" w:rsidRDefault="00664ABE" w:rsidP="00664ABE">
      <w:pPr>
        <w:pStyle w:val="NoSpacing"/>
        <w:rPr>
          <w:rFonts w:ascii="Arial Black" w:hAnsi="Arial Black"/>
          <w:sz w:val="24"/>
          <w:szCs w:val="24"/>
        </w:rPr>
      </w:pPr>
    </w:p>
    <w:p w14:paraId="41538E71" w14:textId="6BFAD39F" w:rsidR="00BC4628" w:rsidRDefault="00BC4628" w:rsidP="00F326E5">
      <w:pPr>
        <w:pStyle w:val="NoSpacing"/>
        <w:rPr>
          <w:rFonts w:ascii="Arial Black" w:hAnsi="Arial Black"/>
          <w:sz w:val="24"/>
          <w:szCs w:val="24"/>
        </w:rPr>
      </w:pPr>
      <w:r>
        <w:rPr>
          <w:rFonts w:ascii="Arial Black" w:hAnsi="Arial Black"/>
          <w:sz w:val="24"/>
          <w:szCs w:val="24"/>
        </w:rPr>
        <w:t>7-52</w:t>
      </w:r>
    </w:p>
    <w:p w14:paraId="365DCC1E" w14:textId="77777777" w:rsidR="00BC4628" w:rsidRPr="00913BD5" w:rsidRDefault="00BC4628" w:rsidP="00BC4628">
      <w:pPr>
        <w:spacing w:before="100" w:beforeAutospacing="1" w:after="100" w:afterAutospacing="1" w:line="240" w:lineRule="auto"/>
        <w:rPr>
          <w:rFonts w:ascii="Arial Black" w:hAnsi="Arial Black"/>
          <w:sz w:val="28"/>
          <w:szCs w:val="28"/>
        </w:rPr>
      </w:pPr>
      <w:r>
        <w:rPr>
          <w:rFonts w:ascii="Arial Black" w:hAnsi="Arial Black"/>
          <w:sz w:val="28"/>
          <w:szCs w:val="28"/>
        </w:rPr>
        <w:lastRenderedPageBreak/>
        <w:t xml:space="preserve">NY: FF STALKING – FEMALE FF STOPPED DATING HIM – U.S. DEPT. JUSTICE SUES – RETALIATION - CONSENT DECREE </w:t>
      </w:r>
    </w:p>
    <w:p w14:paraId="476C7723" w14:textId="77777777" w:rsidR="00BC4628" w:rsidRDefault="00BC4628" w:rsidP="00BC4628">
      <w:pPr>
        <w:rPr>
          <w:rFonts w:ascii="Times New Roman" w:hAnsi="Times New Roman"/>
          <w:sz w:val="24"/>
          <w:szCs w:val="24"/>
        </w:rPr>
      </w:pPr>
      <w:r>
        <w:rPr>
          <w:rFonts w:ascii="Times New Roman" w:hAnsi="Times New Roman"/>
          <w:sz w:val="24"/>
          <w:szCs w:val="24"/>
        </w:rPr>
        <w:t xml:space="preserve">On June 21, 2023, in </w:t>
      </w:r>
      <w:r w:rsidRPr="002549D5">
        <w:rPr>
          <w:rFonts w:ascii="Times New Roman" w:hAnsi="Times New Roman"/>
          <w:sz w:val="24"/>
          <w:szCs w:val="24"/>
          <w:u w:val="single"/>
        </w:rPr>
        <w:t>United States of America v. Town / Village of Harrison, New York; Fire District Two of Harrison, New York; Harrison Volunteer No. 1 of Harrison, New York</w:t>
      </w:r>
      <w:r>
        <w:rPr>
          <w:rFonts w:ascii="Times New Roman" w:hAnsi="Times New Roman"/>
          <w:sz w:val="24"/>
          <w:szCs w:val="24"/>
        </w:rPr>
        <w:t xml:space="preserve">,  U.S. District Court Judge Cathy Seibel, U.S. District Court for Southern District of New York, published the Consent Decree agreed to by all parties, including $425,000 up front payment, new Town policy, annual training.  Volunteer firefighter </w:t>
      </w:r>
      <w:r w:rsidRPr="002549D5">
        <w:rPr>
          <w:rFonts w:ascii="Times New Roman" w:hAnsi="Times New Roman"/>
          <w:sz w:val="24"/>
          <w:szCs w:val="24"/>
        </w:rPr>
        <w:t>Angela Bommarito</w:t>
      </w:r>
      <w:r>
        <w:rPr>
          <w:rFonts w:ascii="Times New Roman" w:hAnsi="Times New Roman"/>
          <w:sz w:val="24"/>
          <w:szCs w:val="24"/>
        </w:rPr>
        <w:t xml:space="preserve">, complained to FD after ending her dating relationship with </w:t>
      </w:r>
      <w:r w:rsidRPr="002549D5">
        <w:rPr>
          <w:rFonts w:ascii="Times New Roman" w:hAnsi="Times New Roman"/>
          <w:sz w:val="24"/>
          <w:szCs w:val="24"/>
        </w:rPr>
        <w:t>Henry Mohr, a senior firefighter</w:t>
      </w:r>
      <w:r>
        <w:rPr>
          <w:rFonts w:ascii="Times New Roman" w:hAnsi="Times New Roman"/>
          <w:sz w:val="24"/>
          <w:szCs w:val="24"/>
        </w:rPr>
        <w:t xml:space="preserve">.  When FD took no action, she filed a police report.  The Police Chief not only took no </w:t>
      </w:r>
      <w:proofErr w:type="gramStart"/>
      <w:r>
        <w:rPr>
          <w:rFonts w:ascii="Times New Roman" w:hAnsi="Times New Roman"/>
          <w:sz w:val="24"/>
          <w:szCs w:val="24"/>
        </w:rPr>
        <w:t>action, but</w:t>
      </w:r>
      <w:proofErr w:type="gramEnd"/>
      <w:r>
        <w:rPr>
          <w:rFonts w:ascii="Times New Roman" w:hAnsi="Times New Roman"/>
          <w:sz w:val="24"/>
          <w:szCs w:val="24"/>
        </w:rPr>
        <w:t xml:space="preserve"> threatened to charge her with filing a false report and prepared a resignation letter which she signed.  Mr. Mohr continued to stalk her even after her resignation, and was arrested May 3, </w:t>
      </w:r>
      <w:proofErr w:type="gramStart"/>
      <w:r>
        <w:rPr>
          <w:rFonts w:ascii="Times New Roman" w:hAnsi="Times New Roman"/>
          <w:sz w:val="24"/>
          <w:szCs w:val="24"/>
        </w:rPr>
        <w:t>2016</w:t>
      </w:r>
      <w:proofErr w:type="gramEnd"/>
      <w:r>
        <w:rPr>
          <w:rFonts w:ascii="Times New Roman" w:hAnsi="Times New Roman"/>
          <w:sz w:val="24"/>
          <w:szCs w:val="24"/>
        </w:rPr>
        <w:t xml:space="preserve"> and </w:t>
      </w:r>
      <w:proofErr w:type="gramStart"/>
      <w:r>
        <w:rPr>
          <w:rFonts w:ascii="Times New Roman" w:hAnsi="Times New Roman"/>
          <w:sz w:val="24"/>
          <w:szCs w:val="24"/>
        </w:rPr>
        <w:t>in</w:t>
      </w:r>
      <w:proofErr w:type="gramEnd"/>
      <w:r>
        <w:rPr>
          <w:rFonts w:ascii="Times New Roman" w:hAnsi="Times New Roman"/>
          <w:sz w:val="24"/>
          <w:szCs w:val="24"/>
        </w:rPr>
        <w:t xml:space="preserve"> July 19, </w:t>
      </w:r>
      <w:proofErr w:type="gramStart"/>
      <w:r>
        <w:rPr>
          <w:rFonts w:ascii="Times New Roman" w:hAnsi="Times New Roman"/>
          <w:sz w:val="24"/>
          <w:szCs w:val="24"/>
        </w:rPr>
        <w:t>2016</w:t>
      </w:r>
      <w:proofErr w:type="gramEnd"/>
      <w:r>
        <w:rPr>
          <w:rFonts w:ascii="Times New Roman" w:hAnsi="Times New Roman"/>
          <w:sz w:val="24"/>
          <w:szCs w:val="24"/>
        </w:rPr>
        <w:t xml:space="preserve"> pled guilty, with protective order.  </w:t>
      </w:r>
    </w:p>
    <w:p w14:paraId="27234432" w14:textId="77777777" w:rsidR="00BC4628" w:rsidRDefault="00BC4628" w:rsidP="00BC4628">
      <w:pPr>
        <w:rPr>
          <w:rFonts w:ascii="Times New Roman" w:hAnsi="Times New Roman"/>
          <w:sz w:val="24"/>
          <w:szCs w:val="24"/>
        </w:rPr>
      </w:pPr>
      <w:r>
        <w:rPr>
          <w:rFonts w:ascii="Times New Roman" w:hAnsi="Times New Roman"/>
          <w:sz w:val="24"/>
          <w:szCs w:val="24"/>
        </w:rPr>
        <w:t>The Consent Decree details the retaliation by Police Chief:</w:t>
      </w:r>
    </w:p>
    <w:p w14:paraId="0EFBFAC6" w14:textId="77777777" w:rsidR="00BC4628" w:rsidRDefault="00BC4628" w:rsidP="00BC4628">
      <w:pPr>
        <w:ind w:left="720"/>
        <w:rPr>
          <w:rFonts w:ascii="Times New Roman" w:hAnsi="Times New Roman"/>
          <w:sz w:val="24"/>
          <w:szCs w:val="24"/>
        </w:rPr>
      </w:pPr>
      <w:r>
        <w:rPr>
          <w:rFonts w:ascii="Times New Roman" w:hAnsi="Times New Roman"/>
          <w:sz w:val="24"/>
          <w:szCs w:val="24"/>
        </w:rPr>
        <w:t>“</w:t>
      </w:r>
      <w:r w:rsidRPr="00FB79A6">
        <w:rPr>
          <w:rFonts w:ascii="Times New Roman" w:hAnsi="Times New Roman"/>
          <w:sz w:val="24"/>
          <w:szCs w:val="24"/>
        </w:rPr>
        <w:t xml:space="preserve">On January 22, 2016, </w:t>
      </w:r>
      <w:r>
        <w:rPr>
          <w:rFonts w:ascii="Times New Roman" w:hAnsi="Times New Roman"/>
          <w:sz w:val="24"/>
          <w:szCs w:val="24"/>
        </w:rPr>
        <w:t xml:space="preserve">[Harrison Police Chief Anthony] </w:t>
      </w:r>
      <w:r w:rsidRPr="00FB79A6">
        <w:rPr>
          <w:rFonts w:ascii="Times New Roman" w:hAnsi="Times New Roman"/>
          <w:sz w:val="24"/>
          <w:szCs w:val="24"/>
        </w:rPr>
        <w:t>Marraccini met with Bommarito. During their meeting, Marraccini suggested that he could arrest Bommarito for her presentation of what Marraccini claimed was incomplete and false information to the Police Department regarding her relationship with Mohr. Marraccini also noted Bommarito's sexual relationships with other Harrison employees. Marraccini told Bommarito that he had to report this information to the Fire Commissioners unless Bommarito resigned. Marraccini prepared a resignation letter for Bommarito, which stated that she would resign from the Fire Department. Bommarito signed the resignation letter.</w:t>
      </w:r>
      <w:r>
        <w:rPr>
          <w:rFonts w:ascii="Times New Roman" w:hAnsi="Times New Roman"/>
          <w:sz w:val="24"/>
          <w:szCs w:val="24"/>
        </w:rPr>
        <w:t xml:space="preserve">” </w:t>
      </w:r>
      <w:hyperlink r:id="rId1409" w:history="1">
        <w:r w:rsidRPr="00812663">
          <w:rPr>
            <w:rStyle w:val="Hyperlink"/>
            <w:sz w:val="24"/>
            <w:szCs w:val="24"/>
          </w:rPr>
          <w:t>https://casetext.com/case/united-states-v-townvill-of-harrison</w:t>
        </w:r>
      </w:hyperlink>
      <w:r>
        <w:rPr>
          <w:rFonts w:ascii="Times New Roman" w:hAnsi="Times New Roman"/>
          <w:sz w:val="24"/>
          <w:szCs w:val="24"/>
        </w:rPr>
        <w:t xml:space="preserve"> </w:t>
      </w:r>
    </w:p>
    <w:p w14:paraId="73925511" w14:textId="77777777" w:rsidR="00BC4628" w:rsidRPr="00133A61" w:rsidRDefault="00BC4628" w:rsidP="00BC4628">
      <w:pPr>
        <w:spacing w:before="100" w:beforeAutospacing="1" w:after="100" w:afterAutospacing="1" w:line="240" w:lineRule="auto"/>
        <w:rPr>
          <w:rFonts w:ascii="Times New Roman" w:eastAsia="Times New Roman" w:hAnsi="Times New Roman"/>
          <w:b/>
          <w:bCs/>
          <w:sz w:val="24"/>
          <w:szCs w:val="24"/>
        </w:rPr>
      </w:pPr>
      <w:r w:rsidRPr="00133A61">
        <w:rPr>
          <w:rFonts w:ascii="Times New Roman" w:hAnsi="Times New Roman"/>
          <w:b/>
          <w:bCs/>
          <w:sz w:val="24"/>
          <w:szCs w:val="24"/>
        </w:rPr>
        <w:t>Legal Lesson Learned:</w:t>
      </w:r>
      <w:r>
        <w:rPr>
          <w:rFonts w:ascii="Times New Roman" w:hAnsi="Times New Roman"/>
          <w:b/>
          <w:bCs/>
          <w:sz w:val="24"/>
          <w:szCs w:val="24"/>
        </w:rPr>
        <w:t xml:space="preserve"> Complaints </w:t>
      </w:r>
      <w:proofErr w:type="gramStart"/>
      <w:r>
        <w:rPr>
          <w:rFonts w:ascii="Times New Roman" w:hAnsi="Times New Roman"/>
          <w:b/>
          <w:bCs/>
          <w:sz w:val="24"/>
          <w:szCs w:val="24"/>
        </w:rPr>
        <w:t>of</w:t>
      </w:r>
      <w:proofErr w:type="gramEnd"/>
      <w:r>
        <w:rPr>
          <w:rFonts w:ascii="Times New Roman" w:hAnsi="Times New Roman"/>
          <w:b/>
          <w:bCs/>
          <w:sz w:val="24"/>
          <w:szCs w:val="24"/>
        </w:rPr>
        <w:t xml:space="preserve"> stalking must be promptly investigated either by FD or the Police Department. </w:t>
      </w:r>
    </w:p>
    <w:p w14:paraId="591FDC93" w14:textId="4FD6509B" w:rsidR="00BC4628" w:rsidRDefault="00BC4628" w:rsidP="00BC4628">
      <w:pPr>
        <w:pStyle w:val="NoSpacing"/>
        <w:rPr>
          <w:rFonts w:ascii="Arial Black" w:hAnsi="Arial Black"/>
          <w:sz w:val="24"/>
          <w:szCs w:val="24"/>
        </w:rPr>
      </w:pPr>
      <w:r w:rsidRPr="0003518A">
        <w:rPr>
          <w:rFonts w:ascii="Times New Roman" w:eastAsia="Times New Roman" w:hAnsi="Times New Roman"/>
          <w:sz w:val="24"/>
          <w:szCs w:val="24"/>
        </w:rPr>
        <w:t xml:space="preserve">Note: See June 8, </w:t>
      </w:r>
      <w:proofErr w:type="gramStart"/>
      <w:r w:rsidRPr="0003518A">
        <w:rPr>
          <w:rFonts w:ascii="Times New Roman" w:eastAsia="Times New Roman" w:hAnsi="Times New Roman"/>
          <w:sz w:val="24"/>
          <w:szCs w:val="24"/>
        </w:rPr>
        <w:t>2023</w:t>
      </w:r>
      <w:proofErr w:type="gramEnd"/>
      <w:r w:rsidRPr="0003518A">
        <w:rPr>
          <w:rFonts w:ascii="Times New Roman" w:eastAsia="Times New Roman" w:hAnsi="Times New Roman"/>
          <w:sz w:val="24"/>
          <w:szCs w:val="24"/>
        </w:rPr>
        <w:t xml:space="preserve"> U.S. Department of Justice Press Release: </w:t>
      </w:r>
      <w:hyperlink r:id="rId1410" w:history="1">
        <w:r w:rsidRPr="00812663">
          <w:rPr>
            <w:rStyle w:val="Hyperlink"/>
            <w:sz w:val="24"/>
            <w:szCs w:val="24"/>
          </w:rPr>
          <w:t>https://www.justice.gov/usao-sdny/pr/united-states-sues-townvillage-harrison-new-york-and-its-fire-department-discrimination</w:t>
        </w:r>
      </w:hyperlink>
    </w:p>
    <w:p w14:paraId="4EAAF0C8" w14:textId="77777777" w:rsidR="00BC4628" w:rsidRDefault="00BC4628" w:rsidP="00F326E5">
      <w:pPr>
        <w:pStyle w:val="NoSpacing"/>
        <w:rPr>
          <w:rFonts w:ascii="Arial Black" w:hAnsi="Arial Black"/>
          <w:sz w:val="24"/>
          <w:szCs w:val="24"/>
        </w:rPr>
      </w:pPr>
    </w:p>
    <w:p w14:paraId="4D8F73B9" w14:textId="3D8C6928" w:rsidR="00477016" w:rsidRDefault="00477016" w:rsidP="00F326E5">
      <w:pPr>
        <w:pStyle w:val="NoSpacing"/>
        <w:rPr>
          <w:rFonts w:ascii="Arial Black" w:hAnsi="Arial Black"/>
          <w:sz w:val="24"/>
          <w:szCs w:val="24"/>
        </w:rPr>
      </w:pPr>
      <w:r>
        <w:rPr>
          <w:rFonts w:ascii="Arial Black" w:hAnsi="Arial Black"/>
          <w:sz w:val="24"/>
          <w:szCs w:val="24"/>
        </w:rPr>
        <w:t>7-51</w:t>
      </w:r>
    </w:p>
    <w:p w14:paraId="6D9DDA1C" w14:textId="77777777" w:rsidR="00477016" w:rsidRPr="00E836C6" w:rsidRDefault="00477016" w:rsidP="00477016">
      <w:pPr>
        <w:pStyle w:val="NormalWeb"/>
        <w:rPr>
          <w:rFonts w:ascii="Arial Black" w:hAnsi="Arial Black"/>
          <w:sz w:val="28"/>
          <w:szCs w:val="28"/>
        </w:rPr>
      </w:pPr>
      <w:bookmarkStart w:id="280" w:name="_Hlk136859646"/>
      <w:r>
        <w:rPr>
          <w:rFonts w:ascii="Arial Black" w:hAnsi="Arial Black"/>
          <w:sz w:val="28"/>
          <w:szCs w:val="28"/>
        </w:rPr>
        <w:t>NY: “CALENDAR GIRL” – FDNY CALENDAR - CASE PROCEED “DISPARATE TREAMENT” AGAINST HER FEMALE CAPTAIN</w:t>
      </w:r>
    </w:p>
    <w:bookmarkEnd w:id="280"/>
    <w:p w14:paraId="5BC54A73" w14:textId="77777777" w:rsidR="00477016" w:rsidRPr="00477016" w:rsidRDefault="00477016" w:rsidP="00477016">
      <w:pPr>
        <w:pStyle w:val="NormalWeb"/>
      </w:pPr>
      <w:r w:rsidRPr="00477016">
        <w:t xml:space="preserve">On May 15, 2023, in </w:t>
      </w:r>
      <w:r w:rsidRPr="00477016">
        <w:rPr>
          <w:u w:val="single"/>
        </w:rPr>
        <w:t>Margot Loth v. City of New York</w:t>
      </w:r>
      <w:r w:rsidRPr="00477016">
        <w:t xml:space="preserve">, Judge Nicholas W. Moyne, Superior Court, New York County, denied the City’s motion to dismiss the lawsuit (unpublished decision).  In this early stage of litigation, the specific allegations support a claim of disparate treatment by female Captain against females.  The Court described allegations. </w:t>
      </w:r>
    </w:p>
    <w:p w14:paraId="13B3A3C1" w14:textId="3AC5F55F" w:rsidR="00477016" w:rsidRPr="00477016" w:rsidRDefault="00477016" w:rsidP="00477016">
      <w:pPr>
        <w:pStyle w:val="NoSpacing"/>
        <w:ind w:left="720"/>
        <w:rPr>
          <w:rFonts w:ascii="Times New Roman" w:hAnsi="Times New Roman"/>
          <w:sz w:val="24"/>
          <w:szCs w:val="24"/>
        </w:rPr>
      </w:pPr>
      <w:r w:rsidRPr="00477016">
        <w:rPr>
          <w:rFonts w:ascii="Times New Roman" w:hAnsi="Times New Roman"/>
          <w:sz w:val="24"/>
          <w:szCs w:val="24"/>
        </w:rPr>
        <w:t xml:space="preserve">“Plaintiff began working for Defendant as a FDNY Haz-Tac Emergency Medical Technician on February 14, 2011. In July 2018, Plaintiff was featured in the FDNY's 2019 Calendar of Heroes. Thereafter, on multiple occasions, Captain Donna Lynn Hannon Tiberi (‘Tiberi’) allegedly referred to Complainant as a ‘calendar girl’ to other FDNY members in a disparaging manner. In November 2018, Plaintiff agreed to participate as a witness in connection with a gender discrimination complaint filed with the FDNY's Equal Employment Opportunity (‘EEO’) office by female Paramedic Carin Rosado (‘Rosado’) against Tiberi. Both Plaintiff and Rosado claimed that they regularly observed Tiberi </w:t>
      </w:r>
      <w:r w:rsidRPr="00477016">
        <w:rPr>
          <w:rFonts w:ascii="Times New Roman" w:hAnsi="Times New Roman"/>
          <w:sz w:val="24"/>
          <w:szCs w:val="24"/>
        </w:rPr>
        <w:lastRenderedPageBreak/>
        <w:t xml:space="preserve">subjecting female employees to disparate treatment as compared to similarly situated male employees. ***At this early stage of the litigation, dismissal would be inappropriate as the plaintiff has sufficiently pled claims for gender discrimination pursuant to the SHRL {New York State Human Rights Law] and CHR [New York City Human Rights Law]. </w:t>
      </w:r>
      <w:hyperlink r:id="rId1411" w:history="1">
        <w:r w:rsidRPr="00477016">
          <w:rPr>
            <w:rStyle w:val="Hyperlink"/>
            <w:rFonts w:ascii="Times New Roman" w:eastAsiaTheme="majorEastAsia" w:hAnsi="Times New Roman"/>
            <w:sz w:val="24"/>
            <w:szCs w:val="24"/>
          </w:rPr>
          <w:t>https://public.fastcase.com/ZZhmr5v9wN%2FXOe5IsQ%2FqD5GEiR8JSLFSN2NHQUjL%2BLjuVtwCOTZwj5nD2zQQ%2BwtpHt7pljoilZmodoPEUPL5r9NdmF5u2B1LY%2FXPhwSo6GU%3D?utm_medium=email&amp;_hsmi=226712652&amp;_hsenc=p2ANqtz-8SXYDP1HnWQE4kbMGe0V_9TllXrxMri8_HVcmLnhw39Rwsl622P5fZw6IGKcYm90xDZflJsj-2gnz1pneYjju0n1QAHw&amp;utm_content=226712652&amp;utm_source=hs_email</w:t>
        </w:r>
      </w:hyperlink>
    </w:p>
    <w:p w14:paraId="3E5AE0A8" w14:textId="77777777" w:rsidR="00477016" w:rsidRDefault="00477016" w:rsidP="00477016">
      <w:pPr>
        <w:pStyle w:val="NormalWeb"/>
        <w:rPr>
          <w:b/>
          <w:bCs/>
        </w:rPr>
      </w:pPr>
      <w:r>
        <w:rPr>
          <w:b/>
          <w:bCs/>
        </w:rPr>
        <w:t xml:space="preserve">Legal Lesson Learned: Supervisor’s negative comments such as “Calendar girl” can be basis of disparate treatment litigation. </w:t>
      </w:r>
    </w:p>
    <w:p w14:paraId="1AAD3E72" w14:textId="77777777" w:rsidR="00477016" w:rsidRPr="00477016" w:rsidRDefault="00477016" w:rsidP="00F326E5">
      <w:pPr>
        <w:pStyle w:val="NoSpacing"/>
        <w:rPr>
          <w:rFonts w:ascii="Arial Black" w:hAnsi="Arial Black"/>
          <w:b/>
          <w:bCs/>
          <w:sz w:val="24"/>
          <w:szCs w:val="24"/>
        </w:rPr>
      </w:pPr>
    </w:p>
    <w:p w14:paraId="7DA9F968" w14:textId="77777777" w:rsidR="00477016" w:rsidRDefault="00477016" w:rsidP="00F326E5">
      <w:pPr>
        <w:pStyle w:val="NoSpacing"/>
        <w:rPr>
          <w:rFonts w:ascii="Arial Black" w:hAnsi="Arial Black"/>
          <w:sz w:val="24"/>
          <w:szCs w:val="24"/>
        </w:rPr>
      </w:pPr>
    </w:p>
    <w:p w14:paraId="1DA93E07" w14:textId="03415D6E" w:rsidR="00227BDE" w:rsidRDefault="00227BDE" w:rsidP="00F326E5">
      <w:pPr>
        <w:pStyle w:val="NoSpacing"/>
        <w:rPr>
          <w:rFonts w:ascii="Arial Black" w:hAnsi="Arial Black"/>
          <w:sz w:val="24"/>
          <w:szCs w:val="24"/>
        </w:rPr>
      </w:pPr>
      <w:r>
        <w:rPr>
          <w:rFonts w:ascii="Arial Black" w:hAnsi="Arial Black"/>
          <w:sz w:val="24"/>
          <w:szCs w:val="24"/>
        </w:rPr>
        <w:t>7-50</w:t>
      </w:r>
    </w:p>
    <w:p w14:paraId="27E6132D" w14:textId="77777777" w:rsidR="00227BDE" w:rsidRDefault="00227BDE" w:rsidP="00F326E5">
      <w:pPr>
        <w:pStyle w:val="NoSpacing"/>
        <w:rPr>
          <w:rFonts w:ascii="Arial Black" w:hAnsi="Arial Black"/>
          <w:sz w:val="24"/>
          <w:szCs w:val="24"/>
        </w:rPr>
      </w:pPr>
    </w:p>
    <w:p w14:paraId="26CAF472" w14:textId="77777777" w:rsidR="00227BDE" w:rsidRPr="003D49D7" w:rsidRDefault="00227BDE" w:rsidP="00227BDE">
      <w:pPr>
        <w:pStyle w:val="NoSpacing"/>
        <w:rPr>
          <w:rFonts w:ascii="Arial Black" w:hAnsi="Arial Black"/>
          <w:sz w:val="28"/>
          <w:szCs w:val="28"/>
        </w:rPr>
      </w:pPr>
      <w:r w:rsidRPr="003D49D7">
        <w:rPr>
          <w:rFonts w:ascii="Arial Black" w:hAnsi="Arial Black"/>
          <w:sz w:val="28"/>
          <w:szCs w:val="28"/>
        </w:rPr>
        <w:t xml:space="preserve">OH (4/19/2023): EMT </w:t>
      </w:r>
      <w:r>
        <w:rPr>
          <w:rFonts w:ascii="Arial Black" w:hAnsi="Arial Black"/>
          <w:sz w:val="28"/>
          <w:szCs w:val="28"/>
        </w:rPr>
        <w:t xml:space="preserve">IS </w:t>
      </w:r>
      <w:r w:rsidRPr="003D49D7">
        <w:rPr>
          <w:rFonts w:ascii="Arial Black" w:hAnsi="Arial Black"/>
          <w:sz w:val="28"/>
          <w:szCs w:val="28"/>
        </w:rPr>
        <w:t xml:space="preserve">TRANSGENDER WOMAN – FIRED FOR </w:t>
      </w:r>
      <w:r>
        <w:rPr>
          <w:rFonts w:ascii="Arial Black" w:hAnsi="Arial Black"/>
          <w:sz w:val="28"/>
          <w:szCs w:val="28"/>
        </w:rPr>
        <w:t xml:space="preserve">NEG. </w:t>
      </w:r>
      <w:r w:rsidRPr="003D49D7">
        <w:rPr>
          <w:rFonts w:ascii="Arial Black" w:hAnsi="Arial Black"/>
          <w:sz w:val="28"/>
          <w:szCs w:val="28"/>
        </w:rPr>
        <w:t>COMMENTS HOSPITAL STAFF –</w:t>
      </w:r>
      <w:r>
        <w:rPr>
          <w:rFonts w:ascii="Arial Black" w:hAnsi="Arial Black"/>
          <w:sz w:val="28"/>
          <w:szCs w:val="28"/>
        </w:rPr>
        <w:t xml:space="preserve"> CASE BE </w:t>
      </w:r>
      <w:r w:rsidRPr="003D49D7">
        <w:rPr>
          <w:rFonts w:ascii="Arial Black" w:hAnsi="Arial Black"/>
          <w:sz w:val="28"/>
          <w:szCs w:val="28"/>
        </w:rPr>
        <w:t>DISMISSED</w:t>
      </w:r>
    </w:p>
    <w:p w14:paraId="531073EF" w14:textId="77777777" w:rsidR="00227BDE" w:rsidRDefault="00227BDE" w:rsidP="00227BDE">
      <w:pPr>
        <w:pStyle w:val="NoSpacing"/>
      </w:pPr>
    </w:p>
    <w:p w14:paraId="393C6C58" w14:textId="77777777" w:rsidR="00227BDE" w:rsidRPr="003C1643" w:rsidRDefault="00227BDE" w:rsidP="00227BDE">
      <w:pPr>
        <w:pStyle w:val="NoSpacing"/>
        <w:rPr>
          <w:rFonts w:ascii="Times New Roman" w:hAnsi="Times New Roman"/>
          <w:sz w:val="24"/>
          <w:szCs w:val="24"/>
        </w:rPr>
      </w:pPr>
      <w:r w:rsidRPr="003C1643">
        <w:rPr>
          <w:rFonts w:ascii="Times New Roman" w:hAnsi="Times New Roman"/>
          <w:sz w:val="24"/>
          <w:szCs w:val="24"/>
          <w:u w:val="single"/>
        </w:rPr>
        <w:t>Rayne S. Fedder v. Ohio Medical Transportation, Inc</w:t>
      </w:r>
      <w:r w:rsidRPr="003C1643">
        <w:rPr>
          <w:rFonts w:ascii="Times New Roman" w:hAnsi="Times New Roman"/>
          <w:sz w:val="24"/>
          <w:szCs w:val="24"/>
        </w:rPr>
        <w:t xml:space="preserve">., U. S. Magistrate Judge Chelsey M. </w:t>
      </w:r>
      <w:proofErr w:type="spellStart"/>
      <w:r w:rsidRPr="003C1643">
        <w:rPr>
          <w:rFonts w:ascii="Times New Roman" w:hAnsi="Times New Roman"/>
          <w:sz w:val="24"/>
          <w:szCs w:val="24"/>
        </w:rPr>
        <w:t>Vascura</w:t>
      </w:r>
      <w:proofErr w:type="spellEnd"/>
      <w:r w:rsidRPr="003C1643">
        <w:rPr>
          <w:rFonts w:ascii="Times New Roman" w:hAnsi="Times New Roman"/>
          <w:sz w:val="24"/>
          <w:szCs w:val="24"/>
        </w:rPr>
        <w:t xml:space="preserve">, U.S. District Court for Southern District of Ohio, Eastern Division. </w:t>
      </w:r>
    </w:p>
    <w:p w14:paraId="412D34B6" w14:textId="77777777" w:rsidR="00227BDE" w:rsidRPr="003C1643" w:rsidRDefault="00227BDE" w:rsidP="00227BDE">
      <w:pPr>
        <w:pStyle w:val="NoSpacing"/>
        <w:rPr>
          <w:rFonts w:ascii="Times New Roman" w:hAnsi="Times New Roman"/>
          <w:sz w:val="24"/>
          <w:szCs w:val="24"/>
        </w:rPr>
      </w:pPr>
      <w:hyperlink r:id="rId1412" w:history="1">
        <w:r w:rsidRPr="003C1643">
          <w:rPr>
            <w:rStyle w:val="Hyperlink"/>
            <w:rFonts w:ascii="Times New Roman" w:hAnsi="Times New Roman"/>
            <w:sz w:val="24"/>
            <w:szCs w:val="24"/>
          </w:rPr>
          <w:t>https://public.fastcase.com/ZZhmr5v9wN%2FXOe5IsQ%2FqD%2Bhqb5sNCIqd5RJe%2FxM2hjFRyaJ31hb16ZTOa0HcnlDHTYd64r6bH4XUHVSC8TORCsm2%2BcMn7uR9MfnM7VfyK9g%3D?utm_medium=email&amp;_hsmi=226712652&amp;_hsenc=p2ANqtz-9j81kRsw27tcbjTzGhgoW98dbte_kRv0VGtzskzMbh4aiP0Af373qngGXkbsJh41xl15DsBfvJ97QkgeVHOPx0003AwA&amp;utm_content=226712652&amp;utm_source=hs_email</w:t>
        </w:r>
      </w:hyperlink>
      <w:r w:rsidRPr="003C1643">
        <w:rPr>
          <w:rFonts w:ascii="Times New Roman" w:hAnsi="Times New Roman"/>
          <w:sz w:val="24"/>
          <w:szCs w:val="24"/>
        </w:rPr>
        <w:t xml:space="preserve"> </w:t>
      </w:r>
    </w:p>
    <w:p w14:paraId="7E4BEF92" w14:textId="77777777" w:rsidR="00227BDE" w:rsidRPr="003C1643" w:rsidRDefault="00227BDE" w:rsidP="00227BDE">
      <w:pPr>
        <w:pStyle w:val="NoSpacing"/>
        <w:rPr>
          <w:rFonts w:ascii="Times New Roman" w:hAnsi="Times New Roman"/>
          <w:sz w:val="24"/>
          <w:szCs w:val="24"/>
        </w:rPr>
      </w:pPr>
      <w:r w:rsidRPr="003C1643">
        <w:rPr>
          <w:rFonts w:ascii="Times New Roman" w:hAnsi="Times New Roman"/>
          <w:sz w:val="24"/>
          <w:szCs w:val="24"/>
        </w:rPr>
        <w:t xml:space="preserve"> </w:t>
      </w:r>
    </w:p>
    <w:p w14:paraId="4232C2DA" w14:textId="77777777" w:rsidR="00227BDE" w:rsidRPr="00A5293B" w:rsidRDefault="00227BDE" w:rsidP="00227BDE">
      <w:pPr>
        <w:pStyle w:val="NoSpacing"/>
        <w:rPr>
          <w:b/>
          <w:bCs/>
        </w:rPr>
      </w:pPr>
      <w:r w:rsidRPr="003C1643">
        <w:rPr>
          <w:rFonts w:ascii="Times New Roman" w:hAnsi="Times New Roman"/>
          <w:b/>
          <w:bCs/>
          <w:sz w:val="24"/>
          <w:szCs w:val="24"/>
        </w:rPr>
        <w:t>Legal Lesson Learned: EMS must act professionally, not only with patients but also with hospital staff</w:t>
      </w:r>
      <w:r>
        <w:rPr>
          <w:b/>
          <w:bCs/>
        </w:rPr>
        <w:t xml:space="preserve">. </w:t>
      </w:r>
    </w:p>
    <w:p w14:paraId="0B8274E4" w14:textId="77777777" w:rsidR="00227BDE" w:rsidRDefault="00227BDE" w:rsidP="00F326E5">
      <w:pPr>
        <w:pStyle w:val="NoSpacing"/>
        <w:rPr>
          <w:rFonts w:ascii="Arial Black" w:hAnsi="Arial Black"/>
          <w:sz w:val="24"/>
          <w:szCs w:val="24"/>
        </w:rPr>
      </w:pPr>
    </w:p>
    <w:p w14:paraId="7D24C695" w14:textId="77777777" w:rsidR="00227BDE" w:rsidRDefault="00227BDE" w:rsidP="00F326E5">
      <w:pPr>
        <w:pStyle w:val="NoSpacing"/>
        <w:rPr>
          <w:rFonts w:ascii="Arial Black" w:hAnsi="Arial Black"/>
          <w:sz w:val="24"/>
          <w:szCs w:val="24"/>
        </w:rPr>
      </w:pPr>
    </w:p>
    <w:p w14:paraId="3CFF1B6C" w14:textId="00BD66FE" w:rsidR="00104A4C" w:rsidRDefault="003F788B" w:rsidP="00F326E5">
      <w:pPr>
        <w:pStyle w:val="NoSpacing"/>
        <w:rPr>
          <w:rFonts w:ascii="Arial Black" w:hAnsi="Arial Black"/>
          <w:sz w:val="24"/>
          <w:szCs w:val="24"/>
        </w:rPr>
      </w:pPr>
      <w:r>
        <w:rPr>
          <w:rFonts w:ascii="Arial Black" w:hAnsi="Arial Black"/>
          <w:sz w:val="24"/>
          <w:szCs w:val="24"/>
        </w:rPr>
        <w:t>7-49</w:t>
      </w:r>
    </w:p>
    <w:p w14:paraId="5EA3B7A5" w14:textId="49C91F1D" w:rsidR="003F788B" w:rsidRDefault="003F788B" w:rsidP="00F326E5">
      <w:pPr>
        <w:pStyle w:val="NoSpacing"/>
        <w:rPr>
          <w:rFonts w:ascii="Arial Black" w:hAnsi="Arial Black"/>
          <w:sz w:val="24"/>
          <w:szCs w:val="24"/>
        </w:rPr>
      </w:pPr>
    </w:p>
    <w:p w14:paraId="5FD56BF8" w14:textId="77777777" w:rsidR="003F788B" w:rsidRDefault="003F788B" w:rsidP="003F788B">
      <w:pPr>
        <w:pStyle w:val="NormalWeb"/>
        <w:rPr>
          <w:rFonts w:ascii="Arial Black" w:hAnsi="Arial Black"/>
          <w:b/>
          <w:bCs/>
          <w:sz w:val="28"/>
          <w:szCs w:val="28"/>
        </w:rPr>
      </w:pPr>
      <w:r>
        <w:rPr>
          <w:rFonts w:ascii="Arial Black" w:hAnsi="Arial Black"/>
          <w:b/>
          <w:bCs/>
          <w:sz w:val="28"/>
          <w:szCs w:val="28"/>
        </w:rPr>
        <w:t>PA: CRUDE COMMENTS BY MALE SENIOR EMS TO FEMALE EMT – ONE INCIDENT - NOT “HOSTILE WORKPLACE”</w:t>
      </w:r>
    </w:p>
    <w:p w14:paraId="199BFE36" w14:textId="77777777" w:rsidR="003F788B" w:rsidRDefault="003F788B" w:rsidP="003F788B">
      <w:pPr>
        <w:pStyle w:val="NormalWeb"/>
      </w:pPr>
      <w:r>
        <w:t xml:space="preserve">On March 22, 2023, in </w:t>
      </w:r>
      <w:r>
        <w:rPr>
          <w:u w:val="single"/>
        </w:rPr>
        <w:t>Tracy Szyper v. American Medical Response Mid-Atlantic, Inc., et al</w:t>
      </w:r>
      <w:r>
        <w:t>., the U.S. Court of Appeals for Third Circuit (Philadelphia), held (3 to 0; “</w:t>
      </w:r>
      <w:proofErr w:type="gramStart"/>
      <w:r>
        <w:t>Non Precedential</w:t>
      </w:r>
      <w:proofErr w:type="gramEnd"/>
      <w:r>
        <w:t xml:space="preserve">” decision) upheld the dismissal of the lawsuit by U.S. District Court judge Chad F. Kenney.  The plaintiff had only been on the job for one month, when a senior EMS person made crude remarks to her.  When the company did not fire the employee, she resigned and sued.  </w:t>
      </w:r>
    </w:p>
    <w:p w14:paraId="10740D6D" w14:textId="77777777" w:rsidR="003F788B" w:rsidRDefault="003F788B" w:rsidP="003F788B">
      <w:pPr>
        <w:pStyle w:val="NormalWeb"/>
        <w:ind w:left="720"/>
      </w:pPr>
      <w:r>
        <w:t>The 3</w:t>
      </w:r>
      <w:r>
        <w:rPr>
          <w:vertAlign w:val="superscript"/>
        </w:rPr>
        <w:t>rd</w:t>
      </w:r>
      <w:r>
        <w:t xml:space="preserve"> Circuit held: “District Court granted the Defendants' motions for summary judgment on all claims "because the record evidence, even when viewed in the light most favorable to Plaintiff, does not establish that the alleged harassment was sufficiently 'severe or pervasive' to rise to the level of a Title VII or PHRA violation. *** We agree with the District Court that Szyper did not show that Brock's conduct was sufficiently ‘severe or pervasive’ as to ‘alter the conditions of [her] employment and create </w:t>
      </w:r>
      <w:r>
        <w:lastRenderedPageBreak/>
        <w:t xml:space="preserve">an abusive working environment.’ </w:t>
      </w:r>
      <w:r>
        <w:rPr>
          <w:rStyle w:val="Emphasis"/>
        </w:rPr>
        <w:t>Meritor Sav. Bank, FSB</w:t>
      </w:r>
      <w:r>
        <w:t xml:space="preserve">, 477 U.S. at 67 (citation and quotation marks omitted). When assessing hostility or abusiveness, courts must look ‘at all the </w:t>
      </w:r>
      <w:proofErr w:type="gramStart"/>
      <w:r>
        <w:t>circumstances,’</w:t>
      </w:r>
      <w:proofErr w:type="gramEnd"/>
      <w:r>
        <w:t xml:space="preserve"> such as the ‘frequency of </w:t>
      </w:r>
      <w:proofErr w:type="gramStart"/>
      <w:r>
        <w:t>the discriminatory</w:t>
      </w:r>
      <w:proofErr w:type="gramEnd"/>
      <w:r>
        <w:t xml:space="preserve"> conduct; its severity; whether it is physically threatening or humiliating, or a mere offensive utterance; and whether it unreasonably interferes with an employee's work performance.’ </w:t>
      </w:r>
      <w:r>
        <w:rPr>
          <w:rStyle w:val="Emphasis"/>
        </w:rPr>
        <w:t>Faragher v. City of Boca Raton,</w:t>
      </w:r>
      <w:r>
        <w:t xml:space="preserve"> 524 U.S. 775, 787-88 (1998) (citation omitted). ‘[O]</w:t>
      </w:r>
      <w:proofErr w:type="spellStart"/>
      <w:r>
        <w:t>ffhand</w:t>
      </w:r>
      <w:proofErr w:type="spellEnd"/>
      <w:r>
        <w:t xml:space="preserve"> comments[ ] and isolated incidents (unless extremely serious) will not amount to discriminatory changes in the 'terms and conditions of employment.'’ </w:t>
      </w:r>
      <w:r>
        <w:rPr>
          <w:rStyle w:val="Emphasis"/>
        </w:rPr>
        <w:t>Id.</w:t>
      </w:r>
      <w:r>
        <w:t xml:space="preserve"> at 788.” </w:t>
      </w:r>
      <w:hyperlink r:id="rId1413" w:history="1">
        <w:r>
          <w:rPr>
            <w:rStyle w:val="Hyperlink"/>
          </w:rPr>
          <w:t>https://www2.ca3.uscourts.gov/opinarch/213272np.pdf</w:t>
        </w:r>
      </w:hyperlink>
      <w:r>
        <w:t xml:space="preserve"> </w:t>
      </w:r>
    </w:p>
    <w:p w14:paraId="4F33BDBA" w14:textId="77777777" w:rsidR="003F788B" w:rsidRDefault="003F788B" w:rsidP="003F788B">
      <w:pPr>
        <w:pStyle w:val="NormalWeb"/>
        <w:ind w:left="720" w:firstLine="60"/>
      </w:pPr>
      <w:r>
        <w:t>“AMR hired Szyper to work as an emergency medical technician…. About a month after Szyper started, [Mr.] Leslie Brock, a more senior employee, grabbed Szyper's wrist and made two crude and offensive sexual comments.</w:t>
      </w:r>
      <w:r>
        <w:rPr>
          <w:vertAlign w:val="superscript"/>
        </w:rPr>
        <w:t xml:space="preserve">  1 </w:t>
      </w:r>
      <w:r>
        <w:t xml:space="preserve"> </w:t>
      </w:r>
    </w:p>
    <w:p w14:paraId="0F026C14" w14:textId="77777777" w:rsidR="003F788B" w:rsidRDefault="003F788B" w:rsidP="003F788B">
      <w:pPr>
        <w:pStyle w:val="NormalWeb"/>
        <w:ind w:left="1440"/>
      </w:pPr>
      <w:r>
        <w:t xml:space="preserve">[Footnote 1] Szyper documented the incident in a report recounting that ‘Brock had told me to cover my ears. I looked at him &amp; said </w:t>
      </w:r>
      <w:proofErr w:type="gramStart"/>
      <w:r>
        <w:t>jokingly</w:t>
      </w:r>
      <w:proofErr w:type="gramEnd"/>
      <w:r>
        <w:t xml:space="preserve"> 'I'm not listening to you anyway.' He asked me again to cover my ears. I cupped my hands over my ears but could still hear what was said. Brock said to [two other employees], 'that made my dick hard.' I </w:t>
      </w:r>
      <w:proofErr w:type="spellStart"/>
      <w:r>
        <w:t>uncupped</w:t>
      </w:r>
      <w:proofErr w:type="spellEnd"/>
      <w:r>
        <w:t xml:space="preserve"> my hands and told him I heard what he said. Brock then proceeded to grab me </w:t>
      </w:r>
      <w:proofErr w:type="gramStart"/>
      <w:r>
        <w:t>by</w:t>
      </w:r>
      <w:proofErr w:type="gramEnd"/>
      <w:r>
        <w:t xml:space="preserve"> my wrist and say something along the lines of 'Help me fix my problem.' I told him to 'get the fuck off me.' I proceeded to put my cigarette out and go back inside. This incident made me feel extremely uncomfortable." </w:t>
      </w:r>
    </w:p>
    <w:p w14:paraId="6AF8F722" w14:textId="77777777" w:rsidR="003F788B" w:rsidRDefault="003F788B" w:rsidP="003F788B">
      <w:pPr>
        <w:pStyle w:val="NormalWeb"/>
        <w:ind w:left="720"/>
      </w:pPr>
      <w:r>
        <w:t xml:space="preserve">Szyper filed a complaint and was interviewed by Daniel Brown, AMR's operations manager in charge of AMR's Essington Avenue location, and </w:t>
      </w:r>
      <w:proofErr w:type="spellStart"/>
      <w:r>
        <w:t>Sonsaraye</w:t>
      </w:r>
      <w:proofErr w:type="spellEnd"/>
      <w:r>
        <w:t xml:space="preserve"> Byers, an AMR human resources generalist…. Szyper alleged no other incidents of harassment by Brock or any other AMR employees. Byers recommended Brock's termination…. Brown preferred sanctions short of firing, a conclusion shared by Edward Powers, the AMR regional director responsible for Brock's discipline…. AMR issued Brock a ‘Final Written Warning’ for inappropriate behavior, punishment just short of termination…. Szyper resigned from AMR as a result, stating she could not continue working with Brock.’”</w:t>
      </w:r>
    </w:p>
    <w:p w14:paraId="6C2DB235" w14:textId="77777777" w:rsidR="003F788B" w:rsidRDefault="003F788B" w:rsidP="003F788B">
      <w:pPr>
        <w:pStyle w:val="NormalWeb"/>
        <w:rPr>
          <w:b/>
          <w:bCs/>
        </w:rPr>
      </w:pPr>
      <w:r>
        <w:rPr>
          <w:b/>
          <w:bCs/>
        </w:rPr>
        <w:t>Legal Lesson Learned: Inappropriate comments, worthy of discipline; but hard to understand how this resulted in a lawsuit and an appeal to 3</w:t>
      </w:r>
      <w:r>
        <w:rPr>
          <w:b/>
          <w:bCs/>
          <w:vertAlign w:val="superscript"/>
        </w:rPr>
        <w:t>rd</w:t>
      </w:r>
      <w:r>
        <w:rPr>
          <w:b/>
          <w:bCs/>
        </w:rPr>
        <w:t xml:space="preserve"> Circuit. </w:t>
      </w:r>
    </w:p>
    <w:p w14:paraId="43BB8423" w14:textId="77777777" w:rsidR="003F788B" w:rsidRDefault="003F788B" w:rsidP="00F326E5">
      <w:pPr>
        <w:pStyle w:val="NoSpacing"/>
        <w:rPr>
          <w:rFonts w:ascii="Arial Black" w:hAnsi="Arial Black"/>
          <w:sz w:val="24"/>
          <w:szCs w:val="24"/>
        </w:rPr>
      </w:pPr>
    </w:p>
    <w:p w14:paraId="5725F227" w14:textId="77777777" w:rsidR="003F788B" w:rsidRDefault="003F788B" w:rsidP="00F326E5">
      <w:pPr>
        <w:pStyle w:val="NoSpacing"/>
        <w:rPr>
          <w:rFonts w:ascii="Arial Black" w:hAnsi="Arial Black"/>
          <w:sz w:val="24"/>
          <w:szCs w:val="24"/>
        </w:rPr>
      </w:pPr>
    </w:p>
    <w:p w14:paraId="364E43AD" w14:textId="77777777" w:rsidR="003F788B" w:rsidRDefault="003F788B" w:rsidP="00F326E5">
      <w:pPr>
        <w:pStyle w:val="NoSpacing"/>
        <w:rPr>
          <w:rFonts w:ascii="Arial Black" w:hAnsi="Arial Black"/>
          <w:sz w:val="24"/>
          <w:szCs w:val="24"/>
        </w:rPr>
      </w:pPr>
    </w:p>
    <w:p w14:paraId="2380AA56" w14:textId="65C79FE7" w:rsidR="00104A4C" w:rsidRDefault="00104A4C" w:rsidP="00F326E5">
      <w:pPr>
        <w:pStyle w:val="NoSpacing"/>
        <w:rPr>
          <w:rFonts w:ascii="Arial Black" w:hAnsi="Arial Black"/>
          <w:sz w:val="24"/>
          <w:szCs w:val="24"/>
        </w:rPr>
      </w:pPr>
      <w:r>
        <w:rPr>
          <w:rFonts w:ascii="Arial Black" w:hAnsi="Arial Black"/>
          <w:sz w:val="24"/>
          <w:szCs w:val="24"/>
        </w:rPr>
        <w:t>7-48</w:t>
      </w:r>
    </w:p>
    <w:p w14:paraId="2485684A" w14:textId="77777777" w:rsidR="00104A4C" w:rsidRPr="00DF5D1F" w:rsidRDefault="00104A4C" w:rsidP="00104A4C">
      <w:pPr>
        <w:pStyle w:val="Heading1"/>
        <w:rPr>
          <w:rFonts w:ascii="Arial Black" w:hAnsi="Arial Black"/>
          <w:sz w:val="28"/>
          <w:szCs w:val="28"/>
        </w:rPr>
      </w:pPr>
      <w:r>
        <w:rPr>
          <w:rFonts w:ascii="Arial Black" w:hAnsi="Arial Black"/>
          <w:sz w:val="28"/>
          <w:szCs w:val="28"/>
        </w:rPr>
        <w:t xml:space="preserve">DOL: NURSING MOTHERS – FEDERAL “PUMP ACT” – REQUIRES EMPLOYER PROVIDE PRIVATE PLACE TO PUMP </w:t>
      </w:r>
    </w:p>
    <w:p w14:paraId="2CFEA864" w14:textId="77777777" w:rsidR="00104A4C" w:rsidRPr="00DF5D1F" w:rsidRDefault="00104A4C" w:rsidP="00104A4C">
      <w:pPr>
        <w:pStyle w:val="Heading1"/>
        <w:rPr>
          <w:sz w:val="24"/>
          <w:szCs w:val="24"/>
        </w:rPr>
      </w:pPr>
      <w:r>
        <w:rPr>
          <w:b w:val="0"/>
          <w:bCs w:val="0"/>
          <w:sz w:val="24"/>
          <w:szCs w:val="24"/>
        </w:rPr>
        <w:t xml:space="preserve">The U.S. Department of Labor, Wage &amp; Hour Division, has published guidance that Fire &amp; EMS department may find helpful.  All </w:t>
      </w:r>
      <w:proofErr w:type="gramStart"/>
      <w:r>
        <w:rPr>
          <w:b w:val="0"/>
          <w:bCs w:val="0"/>
          <w:sz w:val="24"/>
          <w:szCs w:val="24"/>
        </w:rPr>
        <w:t>employers</w:t>
      </w:r>
      <w:proofErr w:type="gramEnd"/>
      <w:r>
        <w:rPr>
          <w:b w:val="0"/>
          <w:bCs w:val="0"/>
          <w:sz w:val="24"/>
          <w:szCs w:val="24"/>
        </w:rPr>
        <w:t xml:space="preserve"> covered by Fair Labor Standards Act, including Fire &amp; EMS departments, must comply with the new law.  </w:t>
      </w:r>
      <w:r w:rsidRPr="00DF5D1F">
        <w:rPr>
          <w:b w:val="0"/>
          <w:bCs w:val="0"/>
          <w:sz w:val="24"/>
          <w:szCs w:val="24"/>
        </w:rPr>
        <w:t xml:space="preserve">“Frequently Asked Questions – Break Time for Nursing Mothers.” </w:t>
      </w:r>
      <w:hyperlink r:id="rId1414" w:history="1">
        <w:r w:rsidRPr="00DF5D1F">
          <w:rPr>
            <w:rStyle w:val="Hyperlink"/>
            <w:rFonts w:eastAsiaTheme="majorEastAsia"/>
            <w:b w:val="0"/>
            <w:bCs w:val="0"/>
            <w:sz w:val="24"/>
            <w:szCs w:val="24"/>
          </w:rPr>
          <w:t>https://www.dol.gov/agencies/whd/nursing-mothers/faq</w:t>
        </w:r>
      </w:hyperlink>
      <w:r>
        <w:rPr>
          <w:sz w:val="24"/>
          <w:szCs w:val="24"/>
        </w:rPr>
        <w:t xml:space="preserve"> </w:t>
      </w:r>
    </w:p>
    <w:p w14:paraId="408EBF12" w14:textId="77777777" w:rsidR="00104A4C" w:rsidRDefault="00104A4C" w:rsidP="00104A4C">
      <w:pPr>
        <w:pStyle w:val="Heading1"/>
        <w:ind w:left="720"/>
        <w:rPr>
          <w:b w:val="0"/>
          <w:bCs w:val="0"/>
          <w:sz w:val="24"/>
          <w:szCs w:val="24"/>
        </w:rPr>
      </w:pPr>
      <w:r>
        <w:rPr>
          <w:b w:val="0"/>
          <w:bCs w:val="0"/>
          <w:sz w:val="24"/>
          <w:szCs w:val="24"/>
        </w:rPr>
        <w:t>“</w:t>
      </w:r>
      <w:r w:rsidRPr="00C83B69">
        <w:rPr>
          <w:b w:val="0"/>
          <w:bCs w:val="0"/>
          <w:sz w:val="24"/>
          <w:szCs w:val="24"/>
        </w:rPr>
        <w:t xml:space="preserve">On December 29, 2022, President Biden signed the Consolidated Appropriations Act, 2023, into law. The law includes the PUMP for Nursing Mothers Act (“PUMP Act”), which extends to more nursing employees the rights to receive break time to pump and a private place to pump at work and may impact some of the other information provided below. Under the PUMP Act, most nursing employees have the </w:t>
      </w:r>
      <w:r w:rsidRPr="00C83B69">
        <w:rPr>
          <w:b w:val="0"/>
          <w:bCs w:val="0"/>
          <w:sz w:val="24"/>
          <w:szCs w:val="24"/>
        </w:rPr>
        <w:lastRenderedPageBreak/>
        <w:t>right to reasonable break time and a place, other than a bathroom, that is shielded from view to express breast milk while at work. This right is available for up to one year after the child’s birth.</w:t>
      </w:r>
    </w:p>
    <w:p w14:paraId="3F44FEF7" w14:textId="77777777" w:rsidR="00104A4C" w:rsidRDefault="00104A4C" w:rsidP="00104A4C">
      <w:pPr>
        <w:pStyle w:val="Heading1"/>
        <w:ind w:left="720"/>
        <w:rPr>
          <w:b w:val="0"/>
          <w:bCs w:val="0"/>
          <w:sz w:val="24"/>
          <w:szCs w:val="24"/>
        </w:rPr>
      </w:pPr>
      <w:r>
        <w:rPr>
          <w:b w:val="0"/>
          <w:bCs w:val="0"/>
          <w:sz w:val="24"/>
          <w:szCs w:val="24"/>
        </w:rPr>
        <w:t>***</w:t>
      </w:r>
    </w:p>
    <w:p w14:paraId="54F61302" w14:textId="77777777" w:rsidR="00104A4C" w:rsidRPr="00CA5605" w:rsidRDefault="00104A4C" w:rsidP="00104A4C">
      <w:pPr>
        <w:pStyle w:val="Heading3"/>
        <w:ind w:left="720"/>
        <w:rPr>
          <w:rFonts w:ascii="Times New Roman" w:hAnsi="Times New Roman" w:cs="Times New Roman"/>
          <w:color w:val="auto"/>
        </w:rPr>
      </w:pPr>
      <w:r w:rsidRPr="00CA5605">
        <w:rPr>
          <w:rFonts w:ascii="Times New Roman" w:hAnsi="Times New Roman" w:cs="Times New Roman"/>
          <w:color w:val="auto"/>
        </w:rPr>
        <w:t>What must an employer provide to workers who need to express breast milk in the workplace?</w:t>
      </w:r>
    </w:p>
    <w:p w14:paraId="7F44264A" w14:textId="77777777" w:rsidR="00104A4C" w:rsidRDefault="00104A4C" w:rsidP="00104A4C">
      <w:pPr>
        <w:pStyle w:val="NormalWeb"/>
        <w:ind w:left="720"/>
      </w:pPr>
      <w:r>
        <w:t>Employers are required to provide a reasonable amount of break time and a space to express milk as frequently as needed by the nursing mother, for up to one year following the birth of the employee’s child. The frequency of breaks needed to express breast milk as well as the duration of each break will likely vary. The space provided by the employer cannot be a bathroom and it must be shielded from view and free from intrusion by coworkers or the public.</w:t>
      </w:r>
    </w:p>
    <w:p w14:paraId="747DDAAB" w14:textId="77777777" w:rsidR="00104A4C" w:rsidRDefault="00104A4C" w:rsidP="00104A4C">
      <w:pPr>
        <w:pStyle w:val="NormalWeb"/>
        <w:ind w:left="720"/>
      </w:pPr>
      <w:r>
        <w:t>***</w:t>
      </w:r>
    </w:p>
    <w:p w14:paraId="1B3AC0A5" w14:textId="77777777" w:rsidR="00104A4C" w:rsidRPr="00CA5605" w:rsidRDefault="00104A4C" w:rsidP="00104A4C">
      <w:pPr>
        <w:pStyle w:val="Heading3"/>
        <w:ind w:left="720"/>
        <w:rPr>
          <w:rFonts w:ascii="Times New Roman" w:hAnsi="Times New Roman" w:cs="Times New Roman"/>
          <w:color w:val="auto"/>
        </w:rPr>
      </w:pPr>
      <w:r w:rsidRPr="00CA5605">
        <w:rPr>
          <w:rFonts w:ascii="Times New Roman" w:hAnsi="Times New Roman" w:cs="Times New Roman"/>
          <w:color w:val="auto"/>
        </w:rPr>
        <w:t>Do employers need to create a permanent, dedicated space for use by nursing mother employees?</w:t>
      </w:r>
    </w:p>
    <w:p w14:paraId="37FD2A6C" w14:textId="77777777" w:rsidR="00104A4C" w:rsidRDefault="00104A4C" w:rsidP="00104A4C">
      <w:pPr>
        <w:pStyle w:val="NormalWeb"/>
        <w:ind w:left="720"/>
      </w:pPr>
      <w:r>
        <w:t xml:space="preserve">No. A space temporarily created or converted into a space for expressing milk or made available when needed by the nursing mother is sufficient provided that the space is shielded from view, and free from any intrusion from co-workers and the public. The location provided must be functional as a space for expressing breast milk. If the space is not dedicated to </w:t>
      </w:r>
      <w:proofErr w:type="gramStart"/>
      <w:r>
        <w:t>the nursing</w:t>
      </w:r>
      <w:proofErr w:type="gramEnd"/>
      <w:r>
        <w:t xml:space="preserve"> mothers’ use, it must be available when needed </w:t>
      </w:r>
      <w:proofErr w:type="gramStart"/>
      <w:r>
        <w:t>in order to</w:t>
      </w:r>
      <w:proofErr w:type="gramEnd"/>
      <w:r>
        <w:t xml:space="preserve"> meet the statutory requirement. Of course, employers may choose to create permanent, dedicated space if they determine that is the best way to meet their obligations under the law.”</w:t>
      </w:r>
    </w:p>
    <w:p w14:paraId="065138B8" w14:textId="77777777" w:rsidR="00104A4C" w:rsidRPr="00CA5605" w:rsidRDefault="00104A4C" w:rsidP="00104A4C">
      <w:pPr>
        <w:pStyle w:val="NormalWeb"/>
        <w:rPr>
          <w:b/>
          <w:bCs/>
        </w:rPr>
      </w:pPr>
      <w:r w:rsidRPr="00CA5605">
        <w:rPr>
          <w:b/>
          <w:bCs/>
        </w:rPr>
        <w:t>Legal Lesson Learned:</w:t>
      </w:r>
      <w:r>
        <w:rPr>
          <w:b/>
          <w:bCs/>
        </w:rPr>
        <w:t xml:space="preserve"> Fire &amp; EMS departments must comply with this new federal law if they have nursing mothers. </w:t>
      </w:r>
    </w:p>
    <w:p w14:paraId="2691054F" w14:textId="77777777" w:rsidR="00104A4C" w:rsidRDefault="00104A4C" w:rsidP="00F326E5">
      <w:pPr>
        <w:pStyle w:val="NoSpacing"/>
        <w:rPr>
          <w:rFonts w:ascii="Arial Black" w:hAnsi="Arial Black"/>
          <w:sz w:val="24"/>
          <w:szCs w:val="24"/>
        </w:rPr>
      </w:pPr>
    </w:p>
    <w:p w14:paraId="75BD7FCD" w14:textId="77777777" w:rsidR="00104A4C" w:rsidRDefault="00104A4C" w:rsidP="00F326E5">
      <w:pPr>
        <w:pStyle w:val="NoSpacing"/>
        <w:rPr>
          <w:rFonts w:ascii="Arial Black" w:hAnsi="Arial Black"/>
          <w:sz w:val="24"/>
          <w:szCs w:val="24"/>
        </w:rPr>
      </w:pPr>
    </w:p>
    <w:p w14:paraId="0B227DBC" w14:textId="1A13695B" w:rsidR="00BA3CDE" w:rsidRDefault="00BA3CDE" w:rsidP="00F326E5">
      <w:pPr>
        <w:pStyle w:val="NoSpacing"/>
        <w:rPr>
          <w:rFonts w:ascii="Arial Black" w:hAnsi="Arial Black"/>
          <w:sz w:val="24"/>
          <w:szCs w:val="24"/>
        </w:rPr>
      </w:pPr>
      <w:r>
        <w:rPr>
          <w:rFonts w:ascii="Arial Black" w:hAnsi="Arial Black"/>
          <w:sz w:val="24"/>
          <w:szCs w:val="24"/>
        </w:rPr>
        <w:t>7-47</w:t>
      </w:r>
    </w:p>
    <w:p w14:paraId="410E1011" w14:textId="77777777" w:rsidR="00BA3CDE" w:rsidRPr="00EB0580" w:rsidRDefault="00BA3CDE" w:rsidP="00BA3CDE">
      <w:pPr>
        <w:rPr>
          <w:rFonts w:ascii="Arial Black" w:hAnsi="Arial Black"/>
          <w:sz w:val="28"/>
          <w:szCs w:val="28"/>
        </w:rPr>
      </w:pPr>
      <w:r>
        <w:rPr>
          <w:rFonts w:ascii="Arial Black" w:hAnsi="Arial Black"/>
          <w:sz w:val="28"/>
          <w:szCs w:val="28"/>
        </w:rPr>
        <w:t>NB: MEDIC 90 DAYS IN JAIL - PRECEPTOR KISSED STUDENT RIDE-ALONG 3 RUNS – WARNED HER NOT TELL - $1000 FINE</w:t>
      </w:r>
    </w:p>
    <w:p w14:paraId="538B3364" w14:textId="77777777" w:rsidR="00BA3CDE" w:rsidRDefault="00BA3CDE" w:rsidP="00BA3CDE">
      <w:pPr>
        <w:pStyle w:val="NormalWeb"/>
      </w:pPr>
      <w:r>
        <w:t xml:space="preserve">On Dec. 20, 2022, in </w:t>
      </w:r>
      <w:r w:rsidRPr="00FA60DB">
        <w:rPr>
          <w:u w:val="single"/>
        </w:rPr>
        <w:t>State of Nebraska v. Monty Betancur</w:t>
      </w:r>
      <w:r>
        <w:t xml:space="preserve">, the Court of Appeals of Nebraska, held (3 to 0; unpublished decision) affirmed the convictions by a jury of for two counts of </w:t>
      </w:r>
      <w:proofErr w:type="gramStart"/>
      <w:r>
        <w:t>third degree</w:t>
      </w:r>
      <w:proofErr w:type="gramEnd"/>
      <w:r>
        <w:t xml:space="preserve"> sexual assault, one count of </w:t>
      </w:r>
      <w:proofErr w:type="gramStart"/>
      <w:r>
        <w:t>first degree</w:t>
      </w:r>
      <w:proofErr w:type="gramEnd"/>
      <w:r>
        <w:t xml:space="preserve"> false imprisonment, and one count of tampering. On Oct. 11, 2020, </w:t>
      </w:r>
      <w:r>
        <w:rPr>
          <w:rStyle w:val="markedcontent"/>
        </w:rPr>
        <w:t xml:space="preserve">22-year-old Ashley M. _____an EMT (and volunteer FF for 3 years), enrolled in paramedic program at </w:t>
      </w:r>
      <w:r>
        <w:t xml:space="preserve">Western Nebraska Community College, did a ride-along shift from 7 am – 7 pm at Valley Ambulance.   </w:t>
      </w:r>
      <w:proofErr w:type="spellStart"/>
      <w:r>
        <w:t>Betanbcur</w:t>
      </w:r>
      <w:proofErr w:type="spellEnd"/>
      <w:r>
        <w:t xml:space="preserve"> was a preceptor for the paramedic program. The Court described the three runs where he kissed her without consent.</w:t>
      </w:r>
    </w:p>
    <w:p w14:paraId="1E3F6DA7" w14:textId="77777777" w:rsidR="00BA3CDE" w:rsidRDefault="00BA3CDE" w:rsidP="00BA3CDE">
      <w:pPr>
        <w:pStyle w:val="NormalWeb"/>
      </w:pPr>
      <w:r>
        <w:t xml:space="preserve">Run No. 1: </w:t>
      </w:r>
    </w:p>
    <w:p w14:paraId="025E6FD8" w14:textId="77777777" w:rsidR="00BA3CDE" w:rsidRDefault="00BA3CDE" w:rsidP="00BA3CDE">
      <w:pPr>
        <w:pStyle w:val="NormalWeb"/>
      </w:pPr>
      <w:r>
        <w:t xml:space="preserve">“After unloading the patient at the hospital, [EMT Taylor] Severyn reported to the ER nurses while Ashley and Betancur walked back to the ambulance bay to clean the ambulance. Ashley </w:t>
      </w:r>
      <w:proofErr w:type="gramStart"/>
      <w:r>
        <w:t>stated, ‘[</w:t>
      </w:r>
      <w:proofErr w:type="gramEnd"/>
      <w:r>
        <w:t xml:space="preserve">Betancur] pulled me to the backside of the ambulance and kind of [grabbed my arm and] pulled me into him, and then through our facemasks, kissed me on the </w:t>
      </w:r>
      <w:proofErr w:type="gramStart"/>
      <w:r>
        <w:t>lips.’”</w:t>
      </w:r>
      <w:proofErr w:type="gramEnd"/>
    </w:p>
    <w:p w14:paraId="7BF57294" w14:textId="77777777" w:rsidR="00BA3CDE" w:rsidRDefault="00BA3CDE" w:rsidP="00BA3CDE">
      <w:pPr>
        <w:pStyle w:val="NormalWeb"/>
      </w:pPr>
      <w:r>
        <w:t>Run No. 2:</w:t>
      </w:r>
    </w:p>
    <w:p w14:paraId="1239920E" w14:textId="77777777" w:rsidR="00BA3CDE" w:rsidRDefault="00BA3CDE" w:rsidP="00BA3CDE">
      <w:pPr>
        <w:pStyle w:val="NormalWeb"/>
      </w:pPr>
      <w:r>
        <w:lastRenderedPageBreak/>
        <w:t>“According to Ashley, when the signal for the second call went off later that morning, the crew was working on stretcher lifting techniques in the ambulance bay at the station. Ashley testified that Severyn went inside the living quarters ‘and at that time [Betancur] came back over to me and [grabbed my arm and] pulled me back in towards him and kissed me for the second time’ while both were wearing masks.”</w:t>
      </w:r>
    </w:p>
    <w:p w14:paraId="45A4D80F" w14:textId="77777777" w:rsidR="00BA3CDE" w:rsidRDefault="00BA3CDE" w:rsidP="00BA3CDE">
      <w:pPr>
        <w:pStyle w:val="NormalWeb"/>
      </w:pPr>
      <w:r>
        <w:t>Run No. 3:</w:t>
      </w:r>
    </w:p>
    <w:p w14:paraId="6001A165" w14:textId="77777777" w:rsidR="00BA3CDE" w:rsidRDefault="00BA3CDE" w:rsidP="00BA3CDE">
      <w:pPr>
        <w:pStyle w:val="NormalWeb"/>
      </w:pPr>
      <w:r>
        <w:t>“Ashley said she was inserting an IV into the patient's wrist and had the patient's wrist ‘on my right leg and was kind of stabilizing it to insert the IV,’ and ‘[Betancur] had one of his hands helping me stabilize it and the other hand was squeezing the inside of my left thigh the whole time.’</w:t>
      </w:r>
    </w:p>
    <w:p w14:paraId="399999C0" w14:textId="77777777" w:rsidR="00BA3CDE" w:rsidRDefault="00BA3CDE" w:rsidP="00BA3CDE">
      <w:pPr>
        <w:pStyle w:val="NormalWeb"/>
      </w:pPr>
      <w:r>
        <w:t>***</w:t>
      </w:r>
    </w:p>
    <w:p w14:paraId="54AC3078" w14:textId="77777777" w:rsidR="00BA3CDE" w:rsidRDefault="00BA3CDE" w:rsidP="00BA3CDE">
      <w:pPr>
        <w:pStyle w:val="NormalWeb"/>
      </w:pPr>
      <w:r>
        <w:t xml:space="preserve">Ashley stated that when the crew arrived back </w:t>
      </w:r>
      <w:proofErr w:type="gramStart"/>
      <w:r>
        <w:t>to</w:t>
      </w:r>
      <w:proofErr w:type="gramEnd"/>
      <w:r>
        <w:t xml:space="preserve"> the Valley Ambulance station, they got out of the ambulance. She </w:t>
      </w:r>
      <w:proofErr w:type="gramStart"/>
      <w:r>
        <w:t>said, ‘</w:t>
      </w:r>
      <w:proofErr w:type="gramEnd"/>
      <w:r>
        <w:t xml:space="preserve">as I got out of the side door, [Betancur] got </w:t>
      </w:r>
      <w:proofErr w:type="gramStart"/>
      <w:r>
        <w:t>of</w:t>
      </w:r>
      <w:proofErr w:type="gramEnd"/>
      <w:r>
        <w:t xml:space="preserve"> [sic] the passenger door and he, again, pulled me to him and kissed me for the third time’; both were still wearing masks. Neither one of them said anything, but Ashley pulled her body back away from him.”</w:t>
      </w:r>
    </w:p>
    <w:p w14:paraId="6CCC3DA3" w14:textId="77777777" w:rsidR="00BA3CDE" w:rsidRDefault="00BA3CDE" w:rsidP="00BA3CDE">
      <w:pPr>
        <w:pStyle w:val="NormalWeb"/>
      </w:pPr>
      <w:r>
        <w:t>End Of Shift Threat / Facebook Messenger</w:t>
      </w:r>
    </w:p>
    <w:p w14:paraId="72659271" w14:textId="77777777" w:rsidR="00BA3CDE" w:rsidRDefault="00BA3CDE" w:rsidP="00BA3CDE">
      <w:pPr>
        <w:pStyle w:val="NormalWeb"/>
      </w:pPr>
      <w:r>
        <w:t xml:space="preserve">“[At end of her shift at 7 pm] as Ashley was getting ready to leave Betancur said, ’If you say anything, I will make your life hell.’” </w:t>
      </w:r>
    </w:p>
    <w:p w14:paraId="3DAFFF8C" w14:textId="77777777" w:rsidR="00BA3CDE" w:rsidRDefault="00BA3CDE" w:rsidP="00BA3CDE">
      <w:pPr>
        <w:pStyle w:val="NormalWeb"/>
      </w:pPr>
      <w:r>
        <w:t>***</w:t>
      </w:r>
    </w:p>
    <w:p w14:paraId="23EB7980" w14:textId="77777777" w:rsidR="00BA3CDE" w:rsidRDefault="00BA3CDE" w:rsidP="00BA3CDE">
      <w:pPr>
        <w:pStyle w:val="NormalWeb"/>
        <w:rPr>
          <w:rStyle w:val="markedcontent"/>
        </w:rPr>
      </w:pPr>
      <w:r w:rsidRPr="009973A1">
        <w:rPr>
          <w:rStyle w:val="markedcontent"/>
        </w:rPr>
        <w:t>At 9:42 p.m. on October 11, 2020, Betancur reached out to Ashley via Facebook</w:t>
      </w:r>
      <w:r w:rsidRPr="009973A1">
        <w:br/>
      </w:r>
      <w:r w:rsidRPr="009973A1">
        <w:rPr>
          <w:rStyle w:val="markedcontent"/>
        </w:rPr>
        <w:t xml:space="preserve">Messenger. Ashley said that she did not open the message </w:t>
      </w:r>
      <w:r>
        <w:rPr>
          <w:rStyle w:val="markedcontent"/>
        </w:rPr>
        <w:t>‘</w:t>
      </w:r>
      <w:r w:rsidRPr="009973A1">
        <w:rPr>
          <w:rStyle w:val="markedcontent"/>
        </w:rPr>
        <w:t>because I didn’t want him to see that I</w:t>
      </w:r>
      <w:r>
        <w:rPr>
          <w:rStyle w:val="markedcontent"/>
        </w:rPr>
        <w:t xml:space="preserve"> </w:t>
      </w:r>
      <w:r w:rsidRPr="009973A1">
        <w:rPr>
          <w:rStyle w:val="markedcontent"/>
        </w:rPr>
        <w:t>had read the message, but I had seen the message</w:t>
      </w:r>
      <w:r>
        <w:rPr>
          <w:rStyle w:val="markedcontent"/>
        </w:rPr>
        <w:t>’</w:t>
      </w:r>
      <w:r w:rsidRPr="009973A1">
        <w:rPr>
          <w:rStyle w:val="markedcontent"/>
        </w:rPr>
        <w:t xml:space="preserve"> on the screen saver. The message, which was</w:t>
      </w:r>
      <w:r>
        <w:rPr>
          <w:rStyle w:val="markedcontent"/>
        </w:rPr>
        <w:t xml:space="preserve"> </w:t>
      </w:r>
      <w:r w:rsidRPr="009973A1">
        <w:rPr>
          <w:rStyle w:val="markedcontent"/>
        </w:rPr>
        <w:t xml:space="preserve">received into evidence, stated, </w:t>
      </w:r>
      <w:r>
        <w:rPr>
          <w:rStyle w:val="markedcontent"/>
        </w:rPr>
        <w:t>‘</w:t>
      </w:r>
      <w:r w:rsidRPr="009973A1">
        <w:rPr>
          <w:rStyle w:val="markedcontent"/>
        </w:rPr>
        <w:t>I want you to be completely honest</w:t>
      </w:r>
      <w:proofErr w:type="gramStart"/>
      <w:r w:rsidRPr="009973A1">
        <w:rPr>
          <w:rStyle w:val="markedcontent"/>
        </w:rPr>
        <w:t>.</w:t>
      </w:r>
      <w:proofErr w:type="gramEnd"/>
      <w:r w:rsidRPr="009973A1">
        <w:rPr>
          <w:rStyle w:val="markedcontent"/>
        </w:rPr>
        <w:t xml:space="preserve"> Were you </w:t>
      </w:r>
      <w:proofErr w:type="gramStart"/>
      <w:r w:rsidRPr="009973A1">
        <w:rPr>
          <w:rStyle w:val="markedcontent"/>
        </w:rPr>
        <w:t xml:space="preserve">at </w:t>
      </w:r>
      <w:proofErr w:type="spellStart"/>
      <w:r w:rsidRPr="009973A1">
        <w:rPr>
          <w:rStyle w:val="markedcontent"/>
        </w:rPr>
        <w:t>anytime</w:t>
      </w:r>
      <w:proofErr w:type="spellEnd"/>
      <w:r w:rsidRPr="009973A1">
        <w:rPr>
          <w:rStyle w:val="markedcontent"/>
        </w:rPr>
        <w:t xml:space="preserve"> today</w:t>
      </w:r>
      <w:r>
        <w:rPr>
          <w:rStyle w:val="markedcontent"/>
        </w:rPr>
        <w:t xml:space="preserve"> </w:t>
      </w:r>
      <w:r w:rsidRPr="009973A1">
        <w:rPr>
          <w:rStyle w:val="markedcontent"/>
        </w:rPr>
        <w:t>uncomfortable</w:t>
      </w:r>
      <w:proofErr w:type="gramEnd"/>
      <w:r w:rsidRPr="009973A1">
        <w:rPr>
          <w:rStyle w:val="markedcontent"/>
        </w:rPr>
        <w:t>??</w:t>
      </w:r>
      <w:r>
        <w:rPr>
          <w:rStyle w:val="markedcontent"/>
        </w:rPr>
        <w:t>’</w:t>
      </w:r>
      <w:r w:rsidRPr="009973A1">
        <w:rPr>
          <w:rStyle w:val="markedcontent"/>
        </w:rPr>
        <w:t xml:space="preserve"> Ashley did not respond to Betancur’s message.</w:t>
      </w:r>
      <w:r>
        <w:rPr>
          <w:rStyle w:val="markedcontent"/>
        </w:rPr>
        <w:t>”</w:t>
      </w:r>
    </w:p>
    <w:p w14:paraId="1BA0DC99" w14:textId="77777777" w:rsidR="00BA3CDE" w:rsidRDefault="00BA3CDE" w:rsidP="00BA3CDE">
      <w:pPr>
        <w:pStyle w:val="NormalWeb"/>
        <w:ind w:left="720"/>
      </w:pPr>
      <w:r>
        <w:rPr>
          <w:rStyle w:val="markedcontent"/>
        </w:rPr>
        <w:t>“</w:t>
      </w:r>
      <w:r w:rsidRPr="009973A1">
        <w:rPr>
          <w:rStyle w:val="markedcontent"/>
        </w:rPr>
        <w:t xml:space="preserve">We disagree with Betancur’s contention that </w:t>
      </w:r>
      <w:r>
        <w:rPr>
          <w:rStyle w:val="markedcontent"/>
        </w:rPr>
        <w:t>‘</w:t>
      </w:r>
      <w:r w:rsidRPr="009973A1">
        <w:rPr>
          <w:rStyle w:val="markedcontent"/>
        </w:rPr>
        <w:t>an unwanted kiss on the victim’s lips by an</w:t>
      </w:r>
      <w:r>
        <w:rPr>
          <w:rStyle w:val="markedcontent"/>
        </w:rPr>
        <w:t xml:space="preserve"> </w:t>
      </w:r>
      <w:r w:rsidRPr="009973A1">
        <w:rPr>
          <w:rStyle w:val="markedcontent"/>
        </w:rPr>
        <w:t>actor using his own lips</w:t>
      </w:r>
      <w:r>
        <w:rPr>
          <w:rStyle w:val="markedcontent"/>
        </w:rPr>
        <w:t>’</w:t>
      </w:r>
      <w:r w:rsidRPr="009973A1">
        <w:rPr>
          <w:rStyle w:val="markedcontent"/>
        </w:rPr>
        <w:t xml:space="preserve"> does not satisfy the requirements for third degree sexua</w:t>
      </w:r>
      <w:r>
        <w:rPr>
          <w:rStyle w:val="markedcontent"/>
        </w:rPr>
        <w:t>l</w:t>
      </w:r>
      <w:r w:rsidRPr="009973A1">
        <w:rPr>
          <w:rStyle w:val="markedcontent"/>
        </w:rPr>
        <w:t xml:space="preserve"> assault in</w:t>
      </w:r>
      <w:r>
        <w:rPr>
          <w:rStyle w:val="markedcontent"/>
        </w:rPr>
        <w:t xml:space="preserve"> </w:t>
      </w:r>
      <w:r w:rsidRPr="009973A1">
        <w:rPr>
          <w:rStyle w:val="markedcontent"/>
        </w:rPr>
        <w:t xml:space="preserve">§ 28-320(1) and (3) because it does not meet the definition of </w:t>
      </w:r>
      <w:r>
        <w:rPr>
          <w:rStyle w:val="markedcontent"/>
        </w:rPr>
        <w:t>‘</w:t>
      </w:r>
      <w:r w:rsidRPr="009973A1">
        <w:rPr>
          <w:rStyle w:val="markedcontent"/>
        </w:rPr>
        <w:t>sexual contact</w:t>
      </w:r>
      <w:r>
        <w:rPr>
          <w:rStyle w:val="markedcontent"/>
        </w:rPr>
        <w:t>’</w:t>
      </w:r>
      <w:r w:rsidRPr="009973A1">
        <w:rPr>
          <w:rStyle w:val="markedcontent"/>
        </w:rPr>
        <w:t xml:space="preserve"> set forth in</w:t>
      </w:r>
      <w:r>
        <w:rPr>
          <w:rStyle w:val="markedcontent"/>
        </w:rPr>
        <w:t xml:space="preserve"> </w:t>
      </w:r>
      <w:r w:rsidRPr="009973A1">
        <w:rPr>
          <w:rStyle w:val="markedcontent"/>
        </w:rPr>
        <w:t xml:space="preserve">§ 28-318(5). As noted by the State, </w:t>
      </w:r>
      <w:r>
        <w:rPr>
          <w:rStyle w:val="markedcontent"/>
        </w:rPr>
        <w:t>‘</w:t>
      </w:r>
      <w:r w:rsidRPr="009973A1">
        <w:rPr>
          <w:rStyle w:val="markedcontent"/>
        </w:rPr>
        <w:t>[§ 28-318(5)] defines sexual contact as the touching of the</w:t>
      </w:r>
      <w:r>
        <w:rPr>
          <w:rStyle w:val="markedcontent"/>
        </w:rPr>
        <w:t xml:space="preserve"> </w:t>
      </w:r>
      <w:r w:rsidRPr="009973A1">
        <w:rPr>
          <w:rStyle w:val="markedcontent"/>
        </w:rPr>
        <w:t xml:space="preserve">victim’s sexual or intimate </w:t>
      </w:r>
      <w:proofErr w:type="spellStart"/>
      <w:r w:rsidRPr="009973A1">
        <w:rPr>
          <w:rStyle w:val="markedcontent"/>
        </w:rPr>
        <w:t>parts”</w:t>
      </w:r>
      <w:r>
        <w:rPr>
          <w:rStyle w:val="markedcontent"/>
        </w:rPr>
        <w:t>’</w:t>
      </w:r>
      <w:r w:rsidRPr="009973A1">
        <w:rPr>
          <w:rStyle w:val="markedcontent"/>
        </w:rPr>
        <w:t>and</w:t>
      </w:r>
      <w:proofErr w:type="spellEnd"/>
      <w:r w:rsidRPr="009973A1">
        <w:rPr>
          <w:rStyle w:val="markedcontent"/>
        </w:rPr>
        <w:t xml:space="preserve"> </w:t>
      </w:r>
      <w:r>
        <w:rPr>
          <w:rStyle w:val="markedcontent"/>
        </w:rPr>
        <w:t>‘</w:t>
      </w:r>
      <w:r w:rsidRPr="009973A1">
        <w:rPr>
          <w:rStyle w:val="markedcontent"/>
        </w:rPr>
        <w:t>in order to give effect to all words of the statute, ‘sexual’</w:t>
      </w:r>
      <w:r>
        <w:rPr>
          <w:rStyle w:val="markedcontent"/>
        </w:rPr>
        <w:t xml:space="preserve"> </w:t>
      </w:r>
      <w:r w:rsidRPr="009973A1">
        <w:rPr>
          <w:rStyle w:val="markedcontent"/>
        </w:rPr>
        <w:t>parts must be something different from ‘intimate’ parts.</w:t>
      </w:r>
      <w:r>
        <w:rPr>
          <w:rStyle w:val="markedcontent"/>
        </w:rPr>
        <w:t>”</w:t>
      </w:r>
      <w:hyperlink r:id="rId1415" w:history="1">
        <w:r w:rsidRPr="007E32CA">
          <w:rPr>
            <w:rStyle w:val="Hyperlink"/>
            <w:rFonts w:eastAsiaTheme="majorEastAsia"/>
          </w:rPr>
          <w:t>https://supremecourt.nebraska.gov/sites/default/files/a21-954m.pdf</w:t>
        </w:r>
      </w:hyperlink>
      <w:r>
        <w:t xml:space="preserve"> </w:t>
      </w:r>
    </w:p>
    <w:p w14:paraId="053B9CCC" w14:textId="77777777" w:rsidR="00BA3CDE" w:rsidRPr="005376D6" w:rsidRDefault="00BA3CDE" w:rsidP="00BA3CDE">
      <w:pPr>
        <w:pStyle w:val="NormalWeb"/>
        <w:rPr>
          <w:b/>
          <w:bCs/>
        </w:rPr>
      </w:pPr>
      <w:r w:rsidRPr="005376D6">
        <w:rPr>
          <w:b/>
          <w:bCs/>
        </w:rPr>
        <w:t xml:space="preserve">Legal Lesson Learned:  The </w:t>
      </w:r>
      <w:r>
        <w:rPr>
          <w:b/>
          <w:bCs/>
        </w:rPr>
        <w:t xml:space="preserve">EMT </w:t>
      </w:r>
      <w:r w:rsidRPr="005376D6">
        <w:rPr>
          <w:b/>
          <w:bCs/>
        </w:rPr>
        <w:t>victim promptly reported the assaults to the Fire Chief, and to the Scottsbluff Police Department</w:t>
      </w:r>
    </w:p>
    <w:p w14:paraId="0C129C97" w14:textId="77777777" w:rsidR="00BA3CDE" w:rsidRDefault="00BA3CDE" w:rsidP="00F326E5">
      <w:pPr>
        <w:pStyle w:val="NoSpacing"/>
        <w:rPr>
          <w:rFonts w:ascii="Arial Black" w:hAnsi="Arial Black"/>
          <w:sz w:val="24"/>
          <w:szCs w:val="24"/>
        </w:rPr>
      </w:pPr>
    </w:p>
    <w:p w14:paraId="023E1CD0" w14:textId="77777777" w:rsidR="00BA3CDE" w:rsidRDefault="00BA3CDE" w:rsidP="00F326E5">
      <w:pPr>
        <w:pStyle w:val="NoSpacing"/>
        <w:rPr>
          <w:rFonts w:ascii="Arial Black" w:hAnsi="Arial Black"/>
          <w:sz w:val="24"/>
          <w:szCs w:val="24"/>
        </w:rPr>
      </w:pPr>
    </w:p>
    <w:p w14:paraId="7CB6A541" w14:textId="77777777" w:rsidR="00BA3CDE" w:rsidRDefault="00BA3CDE" w:rsidP="00F326E5">
      <w:pPr>
        <w:pStyle w:val="NoSpacing"/>
        <w:rPr>
          <w:rFonts w:ascii="Arial Black" w:hAnsi="Arial Black"/>
          <w:sz w:val="24"/>
          <w:szCs w:val="24"/>
        </w:rPr>
      </w:pPr>
    </w:p>
    <w:p w14:paraId="4E1B0688" w14:textId="23E3FEE7" w:rsidR="00727951" w:rsidRDefault="00E8117B" w:rsidP="00F326E5">
      <w:pPr>
        <w:pStyle w:val="NoSpacing"/>
        <w:rPr>
          <w:rFonts w:ascii="Arial Black" w:hAnsi="Arial Black"/>
          <w:sz w:val="24"/>
          <w:szCs w:val="24"/>
        </w:rPr>
      </w:pPr>
      <w:r>
        <w:rPr>
          <w:rFonts w:ascii="Arial Black" w:hAnsi="Arial Black"/>
          <w:sz w:val="24"/>
          <w:szCs w:val="24"/>
        </w:rPr>
        <w:t>7-46</w:t>
      </w:r>
    </w:p>
    <w:p w14:paraId="65415E1E" w14:textId="77777777" w:rsidR="00AC5FED" w:rsidRPr="00921E8A" w:rsidRDefault="00AC5FED" w:rsidP="00AC5FED">
      <w:pPr>
        <w:pStyle w:val="NormalWeb"/>
        <w:rPr>
          <w:rFonts w:ascii="Arial Black" w:hAnsi="Arial Black"/>
          <w:sz w:val="28"/>
          <w:szCs w:val="28"/>
        </w:rPr>
      </w:pPr>
      <w:r>
        <w:rPr>
          <w:rFonts w:ascii="Arial Black" w:hAnsi="Arial Black"/>
          <w:sz w:val="28"/>
          <w:szCs w:val="28"/>
        </w:rPr>
        <w:t xml:space="preserve">NY: EMT WITH ANXIETY – CLAIMED 98% MALES HOSTILE – RETALIATION PROCEED - FIRED 1 MO. SHE FILED EEOC </w:t>
      </w:r>
    </w:p>
    <w:p w14:paraId="17C48D20" w14:textId="77777777" w:rsidR="00AC5FED" w:rsidRDefault="00AC5FED" w:rsidP="00AC5FED">
      <w:pPr>
        <w:pStyle w:val="NormalWeb"/>
      </w:pPr>
      <w:r>
        <w:lastRenderedPageBreak/>
        <w:t xml:space="preserve">On Sept. 30, 2022, in </w:t>
      </w:r>
      <w:r w:rsidRPr="00921E8A">
        <w:rPr>
          <w:u w:val="single"/>
        </w:rPr>
        <w:t xml:space="preserve">Malva M. Freckleton v. </w:t>
      </w:r>
      <w:proofErr w:type="spellStart"/>
      <w:r w:rsidRPr="00921E8A">
        <w:rPr>
          <w:u w:val="single"/>
        </w:rPr>
        <w:t>Ambulnz</w:t>
      </w:r>
      <w:proofErr w:type="spellEnd"/>
      <w:r w:rsidRPr="00921E8A">
        <w:rPr>
          <w:u w:val="single"/>
        </w:rPr>
        <w:t xml:space="preserve"> LLC</w:t>
      </w:r>
      <w:r>
        <w:t xml:space="preserve">, U.S. District Court Judge Ann M. Donnelly, U.S. District Court for Eastern District of New York, granted defense motion to dismiss most of the EMT’s charges (race, age, disability)), but recognizing the plaintiff is proceeding pro se (no attorney), held that her “retaliation” claim may proceed to pre-trial discovery since she was fired within one month of her filing a complaint of discrimination with New York State Division of Human Rights and the federal EEOC.  </w:t>
      </w:r>
    </w:p>
    <w:p w14:paraId="6A66D180" w14:textId="77777777" w:rsidR="00AC5FED" w:rsidRDefault="00AC5FED" w:rsidP="00AC5FED">
      <w:pPr>
        <w:pStyle w:val="NormalWeb"/>
        <w:ind w:left="720"/>
      </w:pPr>
      <w:r>
        <w:t xml:space="preserve">“The plaintiff alleges that “98% [of] male employees harassed [her]…’and ‘there is a conduct of hostility towards a gender which demonstrate the plaintiff is a female’ and ‘male co-workers treated [her] differently by bullying, intimidating, and sabotaging’ her …  and the defendant's adverse actions against are ‘because of sex (male coworkers)….’ These allegations are conclusory and insufficient, even giving the plaintiff the special solicitude that is due </w:t>
      </w:r>
      <w:r>
        <w:rPr>
          <w:rStyle w:val="Emphasis"/>
          <w:rFonts w:eastAsiaTheme="majorEastAsia"/>
        </w:rPr>
        <w:t>pro se</w:t>
      </w:r>
      <w:r>
        <w:t xml:space="preserve"> litigants.</w:t>
      </w:r>
    </w:p>
    <w:p w14:paraId="05800348" w14:textId="77777777" w:rsidR="00AC5FED" w:rsidRDefault="00AC5FED" w:rsidP="00AC5FED">
      <w:pPr>
        <w:pStyle w:val="NormalWeb"/>
        <w:ind w:left="720"/>
      </w:pPr>
      <w:r>
        <w:t>***</w:t>
      </w:r>
    </w:p>
    <w:p w14:paraId="1C8B647A" w14:textId="1B0A843A" w:rsidR="00AC5FED" w:rsidRDefault="00AC5FED" w:rsidP="00AC5FED">
      <w:pPr>
        <w:pStyle w:val="NoSpacing"/>
        <w:rPr>
          <w:rFonts w:ascii="Arial Black" w:hAnsi="Arial Black"/>
          <w:sz w:val="24"/>
          <w:szCs w:val="24"/>
        </w:rPr>
      </w:pPr>
      <w:r>
        <w:t xml:space="preserve">The plaintiff filed her NYSDHR complaint on August 16, 2019, and was fired in September 2019. Recognizing that it is appropriate to take a ‘generous view of retaliatory acts at the motion to dismiss stage,’ </w:t>
      </w:r>
      <w:r>
        <w:rPr>
          <w:rStyle w:val="Emphasis"/>
          <w:rFonts w:eastAsiaTheme="majorEastAsia"/>
        </w:rPr>
        <w:t>Ingrassia</w:t>
      </w:r>
      <w:r>
        <w:t xml:space="preserve">, 130 F.Supp.3d at 723-24 (citing </w:t>
      </w:r>
      <w:r>
        <w:rPr>
          <w:rStyle w:val="Emphasis"/>
          <w:rFonts w:eastAsiaTheme="majorEastAsia"/>
        </w:rPr>
        <w:t>Kelly v. Howard I. Shapiro &amp; Assocs. Consulting Engineers, P.C.</w:t>
      </w:r>
      <w:r>
        <w:t xml:space="preserve">, 716 F.3d 10, 17 (2d Cir. 2013)), and drawing all reasonable inferences in the plaintiff's favor, I conclude that she has adequately alleged causation based on temporal proximity…. Accordingly, the plaintiff sufficiently alleges a retaliation claim based on the filing of her NYSDHR complaint and her subsequent termination.”  </w:t>
      </w:r>
      <w:hyperlink r:id="rId1416" w:history="1">
        <w:r w:rsidRPr="00E7591A">
          <w:rPr>
            <w:rStyle w:val="Hyperlink"/>
          </w:rPr>
          <w:t>https://public.fastcase.com/J%2FJP6pdidelsXxEE4k%2BLMhHGbq56VzoTk1JFKDMbyAsW64naZ9EKqTmGK9O1R3Wr9GeihMDs1Zh2VHQfJhn6l7jf8Y6MJiDUL4WQvVsRKlE%3D?utm_medium=email&amp;_hsmi=226712652&amp;_hsenc=p2ANqtz-8S41Im3p2bNEgWstI4h7IIgl63Egh37Z-OzcnjQev0mJue-BzqLfMZTGtGKB_KMNSyA32EmSFNwIWzkboUxTkEerO4Tg&amp;utm_content=226712652&amp;utm_source=hs_email</w:t>
        </w:r>
      </w:hyperlink>
    </w:p>
    <w:p w14:paraId="7C925B2D" w14:textId="15C0BFC4" w:rsidR="00AC5FED" w:rsidRDefault="00AC5FED" w:rsidP="00F326E5">
      <w:pPr>
        <w:pStyle w:val="NoSpacing"/>
        <w:rPr>
          <w:rFonts w:ascii="Arial Black" w:hAnsi="Arial Black"/>
          <w:sz w:val="24"/>
          <w:szCs w:val="24"/>
        </w:rPr>
      </w:pPr>
    </w:p>
    <w:p w14:paraId="196FCA53" w14:textId="77777777" w:rsidR="00AC5FED" w:rsidRPr="003E1C8A" w:rsidRDefault="00AC5FED" w:rsidP="00AC5FED">
      <w:pPr>
        <w:pStyle w:val="NormalWeb"/>
        <w:rPr>
          <w:b/>
          <w:bCs/>
        </w:rPr>
      </w:pPr>
      <w:r w:rsidRPr="003E1C8A">
        <w:rPr>
          <w:b/>
          <w:bCs/>
        </w:rPr>
        <w:t>Legal Lesson Learned:</w:t>
      </w:r>
      <w:r>
        <w:rPr>
          <w:b/>
          <w:bCs/>
        </w:rPr>
        <w:t xml:space="preserve"> Pro se [no attorney] plaintiff was given opportunity to try to prove retaliation in pre-trial discovery. </w:t>
      </w:r>
    </w:p>
    <w:p w14:paraId="1E8983C5" w14:textId="1C90CD92" w:rsidR="00AC5FED" w:rsidRDefault="00AC5FED" w:rsidP="00F326E5">
      <w:pPr>
        <w:pStyle w:val="NoSpacing"/>
        <w:rPr>
          <w:rFonts w:ascii="Arial Black" w:hAnsi="Arial Black"/>
          <w:sz w:val="24"/>
          <w:szCs w:val="24"/>
        </w:rPr>
      </w:pPr>
    </w:p>
    <w:p w14:paraId="7A2B2BEF" w14:textId="77777777" w:rsidR="00AC5FED" w:rsidRDefault="00AC5FED" w:rsidP="00F326E5">
      <w:pPr>
        <w:pStyle w:val="NoSpacing"/>
        <w:rPr>
          <w:rFonts w:ascii="Arial Black" w:hAnsi="Arial Black"/>
          <w:sz w:val="24"/>
          <w:szCs w:val="24"/>
        </w:rPr>
      </w:pPr>
    </w:p>
    <w:p w14:paraId="44D85E54" w14:textId="37E95864" w:rsidR="00D5141D" w:rsidRDefault="00D5141D" w:rsidP="00F326E5">
      <w:pPr>
        <w:pStyle w:val="NoSpacing"/>
        <w:rPr>
          <w:rFonts w:ascii="Arial Black" w:hAnsi="Arial Black"/>
          <w:sz w:val="24"/>
          <w:szCs w:val="24"/>
        </w:rPr>
      </w:pPr>
      <w:r>
        <w:rPr>
          <w:rFonts w:ascii="Arial Black" w:hAnsi="Arial Black"/>
          <w:sz w:val="24"/>
          <w:szCs w:val="24"/>
        </w:rPr>
        <w:t>7-45</w:t>
      </w:r>
    </w:p>
    <w:p w14:paraId="5AD43885" w14:textId="1A892C5F" w:rsidR="00D5141D" w:rsidRDefault="00D5141D" w:rsidP="00F326E5">
      <w:pPr>
        <w:pStyle w:val="NoSpacing"/>
        <w:rPr>
          <w:rFonts w:ascii="Arial Black" w:hAnsi="Arial Black"/>
          <w:sz w:val="24"/>
          <w:szCs w:val="24"/>
        </w:rPr>
      </w:pPr>
    </w:p>
    <w:p w14:paraId="64E9C075" w14:textId="77777777" w:rsidR="00D5141D" w:rsidRPr="00A81005" w:rsidRDefault="00D5141D" w:rsidP="00D5141D">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OR: FF TERMINATED SEXUAL HARASSMENT – TEXT MESSAGES, THEFT OF FEMALE UNDERWEAR, ON DUTY SEX </w:t>
      </w:r>
    </w:p>
    <w:p w14:paraId="76892D6E" w14:textId="77777777" w:rsidR="00D5141D" w:rsidRPr="009C2A06" w:rsidRDefault="00D5141D" w:rsidP="00D5141D">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July 19, 2022, in </w:t>
      </w:r>
      <w:r w:rsidRPr="00A81005">
        <w:rPr>
          <w:rFonts w:ascii="Times New Roman" w:eastAsia="Times New Roman" w:hAnsi="Times New Roman"/>
          <w:sz w:val="24"/>
          <w:szCs w:val="24"/>
          <w:u w:val="single"/>
        </w:rPr>
        <w:t>Larry W. Merrill v. Lane Fire Authority</w:t>
      </w:r>
      <w:r>
        <w:rPr>
          <w:rFonts w:ascii="Times New Roman" w:eastAsia="Times New Roman" w:hAnsi="Times New Roman"/>
          <w:sz w:val="24"/>
          <w:szCs w:val="24"/>
          <w:u w:val="single"/>
        </w:rPr>
        <w:t xml:space="preserve"> </w:t>
      </w:r>
      <w:r w:rsidRPr="001331F1">
        <w:rPr>
          <w:rFonts w:ascii="Times New Roman" w:eastAsia="Times New Roman" w:hAnsi="Times New Roman"/>
          <w:sz w:val="24"/>
          <w:szCs w:val="24"/>
          <w:u w:val="single"/>
        </w:rPr>
        <w:t xml:space="preserve">and </w:t>
      </w:r>
      <w:proofErr w:type="spellStart"/>
      <w:r w:rsidRPr="001331F1">
        <w:rPr>
          <w:rFonts w:ascii="Times New Roman" w:hAnsi="Times New Roman"/>
          <w:sz w:val="24"/>
          <w:szCs w:val="24"/>
          <w:u w:val="single"/>
        </w:rPr>
        <w:t>Stoelk</w:t>
      </w:r>
      <w:proofErr w:type="spellEnd"/>
      <w:r w:rsidRPr="001331F1">
        <w:rPr>
          <w:rFonts w:ascii="Times New Roman" w:hAnsi="Times New Roman"/>
          <w:sz w:val="24"/>
          <w:szCs w:val="24"/>
          <w:u w:val="single"/>
        </w:rPr>
        <w:t xml:space="preserve"> Investigation </w:t>
      </w:r>
      <w:proofErr w:type="gramStart"/>
      <w:r w:rsidRPr="001331F1">
        <w:rPr>
          <w:rFonts w:ascii="Times New Roman" w:hAnsi="Times New Roman"/>
          <w:sz w:val="24"/>
          <w:szCs w:val="24"/>
          <w:u w:val="single"/>
        </w:rPr>
        <w:t>And</w:t>
      </w:r>
      <w:proofErr w:type="gramEnd"/>
      <w:r w:rsidRPr="001331F1">
        <w:rPr>
          <w:rFonts w:ascii="Times New Roman" w:hAnsi="Times New Roman"/>
          <w:sz w:val="24"/>
          <w:szCs w:val="24"/>
          <w:u w:val="single"/>
        </w:rPr>
        <w:t xml:space="preserve"> Consultation, LLC</w:t>
      </w:r>
      <w:r>
        <w:rPr>
          <w:rFonts w:ascii="Times New Roman" w:hAnsi="Times New Roman"/>
          <w:sz w:val="24"/>
          <w:szCs w:val="24"/>
        </w:rPr>
        <w:t xml:space="preserve">, </w:t>
      </w:r>
      <w:r>
        <w:rPr>
          <w:rFonts w:ascii="Times New Roman" w:eastAsia="Times New Roman" w:hAnsi="Times New Roman"/>
          <w:sz w:val="24"/>
          <w:szCs w:val="24"/>
        </w:rPr>
        <w:t xml:space="preserve">U.S. Magistrate Judge Mustafa T. </w:t>
      </w:r>
      <w:proofErr w:type="spellStart"/>
      <w:r>
        <w:rPr>
          <w:rFonts w:ascii="Times New Roman" w:eastAsia="Times New Roman" w:hAnsi="Times New Roman"/>
          <w:sz w:val="24"/>
          <w:szCs w:val="24"/>
        </w:rPr>
        <w:t>Kasubhai</w:t>
      </w:r>
      <w:proofErr w:type="spellEnd"/>
      <w:r>
        <w:rPr>
          <w:rFonts w:ascii="Times New Roman" w:eastAsia="Times New Roman" w:hAnsi="Times New Roman"/>
          <w:sz w:val="24"/>
          <w:szCs w:val="24"/>
        </w:rPr>
        <w:t xml:space="preserve">, U.S. District Court of Oregon (Eugene Division) issued Findings </w:t>
      </w:r>
      <w:proofErr w:type="gramStart"/>
      <w:r>
        <w:rPr>
          <w:rFonts w:ascii="Times New Roman" w:eastAsia="Times New Roman" w:hAnsi="Times New Roman"/>
          <w:sz w:val="24"/>
          <w:szCs w:val="24"/>
        </w:rPr>
        <w:t>And</w:t>
      </w:r>
      <w:proofErr w:type="gramEnd"/>
      <w:r>
        <w:rPr>
          <w:rFonts w:ascii="Times New Roman" w:eastAsia="Times New Roman" w:hAnsi="Times New Roman"/>
          <w:sz w:val="24"/>
          <w:szCs w:val="24"/>
        </w:rPr>
        <w:t xml:space="preserve"> Recommendations that the defense motion for summary judgment be granted. </w:t>
      </w:r>
      <w:r w:rsidRPr="00AA6F0A">
        <w:rPr>
          <w:rFonts w:ascii="Times New Roman" w:eastAsia="Times New Roman" w:hAnsi="Times New Roman"/>
          <w:sz w:val="24"/>
          <w:szCs w:val="24"/>
        </w:rPr>
        <w:t>“</w:t>
      </w:r>
      <w:r w:rsidRPr="00AA6F0A">
        <w:rPr>
          <w:rFonts w:ascii="Times New Roman" w:hAnsi="Times New Roman"/>
          <w:sz w:val="24"/>
          <w:szCs w:val="24"/>
        </w:rPr>
        <w:t>At bottom, Ms. Hutcheson-Warren reported an inappropriate text message that resulted in an investigation into Plaintiff for sexual harassment. Plaintiff received notice of the investigation. The investigation found serious allegations of misconduct. Plaintiff received detailed notice of the allegations-including allegations unrelated to the text message that served as the investigation's genesis-well in advance of his pre-disciplinary hearing and Plaintiff had ample time to prepare written or verbal responses to those allegations. A hearing was held at which Plaintiff had the right to present his side of the story. At the conclusion of the hearing, Chief Ney determined that termination of Plaintiff was appropriate. On this record, the Court concludes Plaintiff received all the process he was due.</w:t>
      </w:r>
      <w:r>
        <w:rPr>
          <w:rFonts w:ascii="Times New Roman" w:hAnsi="Times New Roman"/>
          <w:sz w:val="24"/>
          <w:szCs w:val="24"/>
        </w:rPr>
        <w:t xml:space="preserve">” </w:t>
      </w:r>
      <w:hyperlink r:id="rId1417" w:history="1">
        <w:r w:rsidRPr="00696C47">
          <w:rPr>
            <w:rStyle w:val="Hyperlink"/>
            <w:rFonts w:ascii="Times New Roman" w:hAnsi="Times New Roman"/>
          </w:rPr>
          <w:t>https://casetext.com/case/merrill-v-lane-fire-auth-1</w:t>
        </w:r>
      </w:hyperlink>
      <w:r>
        <w:rPr>
          <w:rFonts w:ascii="Times New Roman" w:hAnsi="Times New Roman"/>
          <w:sz w:val="24"/>
          <w:szCs w:val="24"/>
        </w:rPr>
        <w:t xml:space="preserve"> </w:t>
      </w:r>
    </w:p>
    <w:p w14:paraId="35C7B1B4" w14:textId="77777777" w:rsidR="00D5141D" w:rsidRPr="00AA6F0A" w:rsidRDefault="00D5141D" w:rsidP="00D5141D">
      <w:pPr>
        <w:spacing w:before="100" w:beforeAutospacing="1" w:after="100" w:afterAutospacing="1" w:line="240" w:lineRule="auto"/>
        <w:rPr>
          <w:rFonts w:ascii="Times New Roman" w:eastAsia="Times New Roman" w:hAnsi="Times New Roman"/>
          <w:b/>
          <w:bCs/>
          <w:sz w:val="24"/>
          <w:szCs w:val="24"/>
        </w:rPr>
      </w:pPr>
      <w:r w:rsidRPr="00C358F9">
        <w:rPr>
          <w:rFonts w:ascii="Times New Roman" w:eastAsia="Times New Roman" w:hAnsi="Times New Roman"/>
          <w:b/>
          <w:bCs/>
          <w:sz w:val="24"/>
          <w:szCs w:val="24"/>
        </w:rPr>
        <w:lastRenderedPageBreak/>
        <w:t>Legal Lesson Learned:</w:t>
      </w:r>
      <w:r w:rsidRPr="00AA6F0A">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It was a wise move by the FD’s Legal Counsel to bring in an outside, professional investigator. </w:t>
      </w:r>
    </w:p>
    <w:p w14:paraId="1B77FB20" w14:textId="77777777" w:rsidR="00D5141D" w:rsidRDefault="00D5141D" w:rsidP="00F326E5">
      <w:pPr>
        <w:pStyle w:val="NoSpacing"/>
        <w:rPr>
          <w:rFonts w:ascii="Arial Black" w:hAnsi="Arial Black"/>
          <w:sz w:val="24"/>
          <w:szCs w:val="24"/>
        </w:rPr>
      </w:pPr>
    </w:p>
    <w:p w14:paraId="24B64FF6" w14:textId="77777777" w:rsidR="00D5141D" w:rsidRDefault="00D5141D" w:rsidP="00F326E5">
      <w:pPr>
        <w:pStyle w:val="NoSpacing"/>
        <w:rPr>
          <w:rFonts w:ascii="Arial Black" w:hAnsi="Arial Black"/>
          <w:sz w:val="24"/>
          <w:szCs w:val="24"/>
        </w:rPr>
      </w:pPr>
    </w:p>
    <w:p w14:paraId="402357A4" w14:textId="3BA7856C" w:rsidR="006C4BDE" w:rsidRDefault="006C4BDE" w:rsidP="00F326E5">
      <w:pPr>
        <w:pStyle w:val="NoSpacing"/>
        <w:rPr>
          <w:rFonts w:ascii="Arial Black" w:hAnsi="Arial Black"/>
          <w:sz w:val="24"/>
          <w:szCs w:val="24"/>
        </w:rPr>
      </w:pPr>
      <w:r>
        <w:rPr>
          <w:rFonts w:ascii="Arial Black" w:hAnsi="Arial Black"/>
          <w:sz w:val="24"/>
          <w:szCs w:val="24"/>
        </w:rPr>
        <w:t>7-44 [Also filed, Chap. 14]</w:t>
      </w:r>
    </w:p>
    <w:p w14:paraId="615B8934" w14:textId="77777777" w:rsidR="006C4BDE" w:rsidRPr="00F315B4" w:rsidRDefault="006C4BDE" w:rsidP="006C4BDE">
      <w:pPr>
        <w:spacing w:before="100" w:beforeAutospacing="1" w:after="100" w:afterAutospacing="1" w:line="240" w:lineRule="auto"/>
        <w:rPr>
          <w:rFonts w:ascii="Arial Black" w:hAnsi="Arial Black"/>
          <w:sz w:val="28"/>
          <w:szCs w:val="28"/>
        </w:rPr>
      </w:pPr>
      <w:r>
        <w:rPr>
          <w:rFonts w:ascii="Arial Black" w:hAnsi="Arial Black"/>
          <w:sz w:val="28"/>
          <w:szCs w:val="28"/>
        </w:rPr>
        <w:t>WI: FEMALE FAILS APPLICANT PHYSICAL FITNESS TEST –NOT CPAT, BUT MEETS EEOC GUIDELINES – TEST UPHELD</w:t>
      </w:r>
    </w:p>
    <w:p w14:paraId="0FAB85C2" w14:textId="77777777" w:rsidR="006C4BDE" w:rsidRPr="005403E6" w:rsidRDefault="006C4BDE" w:rsidP="006C4BDE">
      <w:pPr>
        <w:spacing w:before="100" w:beforeAutospacing="1" w:after="100" w:afterAutospacing="1" w:line="240" w:lineRule="auto"/>
        <w:rPr>
          <w:rFonts w:ascii="Times New Roman" w:eastAsia="Times New Roman" w:hAnsi="Times New Roman"/>
          <w:sz w:val="24"/>
          <w:szCs w:val="24"/>
        </w:rPr>
      </w:pPr>
      <w:r w:rsidRPr="00A4532F">
        <w:rPr>
          <w:rFonts w:ascii="Times New Roman" w:hAnsi="Times New Roman"/>
          <w:sz w:val="24"/>
          <w:szCs w:val="24"/>
        </w:rPr>
        <w:t xml:space="preserve">On July 20, 2022, in </w:t>
      </w:r>
      <w:r w:rsidRPr="00A4532F">
        <w:rPr>
          <w:rFonts w:ascii="Times New Roman" w:hAnsi="Times New Roman"/>
          <w:sz w:val="24"/>
          <w:szCs w:val="24"/>
          <w:u w:val="single"/>
        </w:rPr>
        <w:t>Catherine Erdman v. City of Madison</w:t>
      </w:r>
      <w:r>
        <w:rPr>
          <w:rFonts w:ascii="Times New Roman" w:hAnsi="Times New Roman"/>
          <w:sz w:val="24"/>
          <w:szCs w:val="24"/>
        </w:rPr>
        <w:t xml:space="preserve">, U.S. District Court Judge William M. Conley dismissed the lawsuit, findings that the Madison Fire Department in their 2014 applicant testing did not violate Title VII of the Civil Rights Act of 1964, even if more female failed compared to fire departments using the CPAT, since the tests were developed by consultants to assess actual job duties and meet the EEOC’s </w:t>
      </w:r>
      <w:r w:rsidRPr="005403E6">
        <w:rPr>
          <w:rFonts w:ascii="Times New Roman" w:eastAsia="Times New Roman" w:hAnsi="Times New Roman"/>
          <w:sz w:val="24"/>
          <w:szCs w:val="24"/>
        </w:rPr>
        <w:t>Uniform Guidelines on Employee Selection Procedures</w:t>
      </w:r>
      <w:r>
        <w:rPr>
          <w:rFonts w:ascii="Times New Roman" w:eastAsia="Times New Roman" w:hAnsi="Times New Roman"/>
          <w:sz w:val="24"/>
          <w:szCs w:val="24"/>
        </w:rPr>
        <w:t xml:space="preserve">. Plaintiff’s lawsuit claimed that she would have passed CPAT [Madison FD’s pass rate for women was 14%; the pass rate for women taking CPAT at Austin, Teas FD was 48%].  </w:t>
      </w:r>
      <w:r>
        <w:rPr>
          <w:rFonts w:ascii="Times New Roman" w:hAnsi="Times New Roman"/>
          <w:sz w:val="24"/>
          <w:szCs w:val="24"/>
        </w:rPr>
        <w:t xml:space="preserve">Plaintiff failed the “pike pole” which required </w:t>
      </w:r>
      <w:r w:rsidRPr="005403E6">
        <w:rPr>
          <w:rFonts w:ascii="Times New Roman" w:eastAsia="Times New Roman" w:hAnsi="Times New Roman"/>
          <w:sz w:val="24"/>
          <w:szCs w:val="24"/>
        </w:rPr>
        <w:t>applicants to stand at least 18 inches back from the ceiling being pulled down with a pike pole to account for safety concerns with</w:t>
      </w:r>
      <w:r>
        <w:rPr>
          <w:rFonts w:ascii="Times New Roman" w:eastAsia="Times New Roman" w:hAnsi="Times New Roman"/>
          <w:sz w:val="24"/>
          <w:szCs w:val="24"/>
        </w:rPr>
        <w:t xml:space="preserve"> test takers </w:t>
      </w:r>
      <w:r w:rsidRPr="005403E6">
        <w:rPr>
          <w:rFonts w:ascii="Times New Roman" w:eastAsia="Times New Roman" w:hAnsi="Times New Roman"/>
          <w:sz w:val="24"/>
          <w:szCs w:val="24"/>
        </w:rPr>
        <w:t>standing directly under the ceiling</w:t>
      </w:r>
      <w:r>
        <w:rPr>
          <w:rFonts w:ascii="Times New Roman" w:eastAsia="Times New Roman" w:hAnsi="Times New Roman"/>
          <w:sz w:val="24"/>
          <w:szCs w:val="24"/>
        </w:rPr>
        <w:t xml:space="preserve">; </w:t>
      </w:r>
      <w:r w:rsidRPr="005403E6">
        <w:rPr>
          <w:rFonts w:ascii="Times New Roman" w:eastAsia="Times New Roman" w:hAnsi="Times New Roman"/>
          <w:sz w:val="24"/>
          <w:szCs w:val="24"/>
        </w:rPr>
        <w:t>the pole was long enough to allow applicants of different heights to adjust the hold to account for that differential.</w:t>
      </w:r>
      <w:r>
        <w:rPr>
          <w:rFonts w:ascii="Times New Roman" w:eastAsia="Times New Roman" w:hAnsi="Times New Roman"/>
          <w:sz w:val="24"/>
          <w:szCs w:val="24"/>
        </w:rPr>
        <w:t xml:space="preserve"> </w:t>
      </w:r>
      <w:hyperlink r:id="rId1418" w:history="1">
        <w:r w:rsidRPr="00355029">
          <w:rPr>
            <w:rStyle w:val="Hyperlink"/>
            <w:rFonts w:ascii="Times New Roman" w:hAnsi="Times New Roman"/>
            <w:sz w:val="24"/>
            <w:szCs w:val="24"/>
          </w:rPr>
          <w:t>https://public.fastcase.com/J%2FJP6pdidelsXxEE4k%2BLMiptlpkB0gZD0zq9ZoOKNJuhacmaRfGRvhQDw8Dzjp093sUgUkI4CwYYkhqoix%2B0P6g4YOgoDnx2kMnRYwj%2FWdA%3D</w:t>
        </w:r>
      </w:hyperlink>
      <w:r>
        <w:rPr>
          <w:rFonts w:ascii="Times New Roman" w:hAnsi="Times New Roman"/>
          <w:sz w:val="24"/>
          <w:szCs w:val="24"/>
        </w:rPr>
        <w:t xml:space="preserve"> </w:t>
      </w:r>
    </w:p>
    <w:p w14:paraId="6149F00D" w14:textId="77777777" w:rsidR="006C4BDE" w:rsidRPr="006E479D" w:rsidRDefault="006C4BDE" w:rsidP="006C4BDE">
      <w:pPr>
        <w:spacing w:before="100" w:beforeAutospacing="1" w:after="100" w:afterAutospacing="1" w:line="240" w:lineRule="auto"/>
        <w:rPr>
          <w:rFonts w:ascii="Times New Roman" w:hAnsi="Times New Roman"/>
          <w:b/>
          <w:bCs/>
          <w:sz w:val="24"/>
          <w:szCs w:val="24"/>
        </w:rPr>
      </w:pPr>
      <w:r w:rsidRPr="00604285">
        <w:rPr>
          <w:rFonts w:ascii="Times New Roman" w:hAnsi="Times New Roman"/>
          <w:b/>
          <w:bCs/>
          <w:sz w:val="24"/>
          <w:szCs w:val="24"/>
        </w:rPr>
        <w:t>Legal Lesson Learned:</w:t>
      </w:r>
      <w:r>
        <w:rPr>
          <w:rFonts w:ascii="Times New Roman" w:hAnsi="Times New Roman"/>
          <w:b/>
          <w:bCs/>
          <w:sz w:val="24"/>
          <w:szCs w:val="24"/>
        </w:rPr>
        <w:t xml:space="preserve"> </w:t>
      </w:r>
      <w:r w:rsidRPr="006E479D">
        <w:rPr>
          <w:rFonts w:ascii="Times New Roman" w:hAnsi="Times New Roman"/>
          <w:b/>
          <w:bCs/>
          <w:sz w:val="24"/>
          <w:szCs w:val="24"/>
        </w:rPr>
        <w:t xml:space="preserve">This alternative test passed EEOC “Uniform Guidelines </w:t>
      </w:r>
      <w:r w:rsidRPr="006E479D">
        <w:rPr>
          <w:rFonts w:ascii="Times New Roman" w:eastAsia="Times New Roman" w:hAnsi="Times New Roman"/>
          <w:b/>
          <w:bCs/>
          <w:sz w:val="24"/>
          <w:szCs w:val="24"/>
        </w:rPr>
        <w:t xml:space="preserve">on Employee Selection Procedures (1978), 29 C.F.R. § 1607, </w:t>
      </w:r>
      <w:r w:rsidRPr="006E479D">
        <w:rPr>
          <w:rFonts w:ascii="Times New Roman" w:eastAsia="Times New Roman" w:hAnsi="Times New Roman"/>
          <w:b/>
          <w:bCs/>
          <w:i/>
          <w:iCs/>
          <w:sz w:val="24"/>
          <w:szCs w:val="24"/>
        </w:rPr>
        <w:t xml:space="preserve">et seq.” </w:t>
      </w:r>
      <w:r w:rsidRPr="006E479D">
        <w:rPr>
          <w:rFonts w:ascii="Times New Roman" w:hAnsi="Times New Roman"/>
          <w:b/>
          <w:bCs/>
          <w:sz w:val="24"/>
          <w:szCs w:val="24"/>
        </w:rPr>
        <w:t xml:space="preserve">  </w:t>
      </w:r>
    </w:p>
    <w:p w14:paraId="568FAFE3" w14:textId="77777777" w:rsidR="006C4BDE" w:rsidRDefault="006C4BDE" w:rsidP="00F326E5">
      <w:pPr>
        <w:pStyle w:val="NoSpacing"/>
        <w:rPr>
          <w:rFonts w:ascii="Arial Black" w:hAnsi="Arial Black"/>
          <w:sz w:val="24"/>
          <w:szCs w:val="24"/>
        </w:rPr>
      </w:pPr>
    </w:p>
    <w:p w14:paraId="5D05D398" w14:textId="77777777" w:rsidR="006C4BDE" w:rsidRDefault="006C4BDE" w:rsidP="00F326E5">
      <w:pPr>
        <w:pStyle w:val="NoSpacing"/>
        <w:rPr>
          <w:rFonts w:ascii="Arial Black" w:hAnsi="Arial Black"/>
          <w:sz w:val="24"/>
          <w:szCs w:val="24"/>
        </w:rPr>
      </w:pPr>
    </w:p>
    <w:p w14:paraId="632853AB" w14:textId="77777777" w:rsidR="006C4BDE" w:rsidRDefault="006C4BDE" w:rsidP="00F326E5">
      <w:pPr>
        <w:pStyle w:val="NoSpacing"/>
        <w:rPr>
          <w:rFonts w:ascii="Arial Black" w:hAnsi="Arial Black"/>
          <w:sz w:val="24"/>
          <w:szCs w:val="24"/>
        </w:rPr>
      </w:pPr>
    </w:p>
    <w:p w14:paraId="19DCDD72" w14:textId="26E61109" w:rsidR="0002742E" w:rsidRDefault="0002742E" w:rsidP="00F326E5">
      <w:pPr>
        <w:pStyle w:val="NoSpacing"/>
        <w:rPr>
          <w:rFonts w:ascii="Arial Black" w:hAnsi="Arial Black"/>
          <w:sz w:val="24"/>
          <w:szCs w:val="24"/>
        </w:rPr>
      </w:pPr>
      <w:r>
        <w:rPr>
          <w:rFonts w:ascii="Arial Black" w:hAnsi="Arial Black"/>
          <w:sz w:val="24"/>
          <w:szCs w:val="24"/>
        </w:rPr>
        <w:t>7-43</w:t>
      </w:r>
    </w:p>
    <w:p w14:paraId="4574BFBB" w14:textId="0AEF07FA" w:rsidR="0002742E" w:rsidRPr="008D7229" w:rsidRDefault="0002742E" w:rsidP="0002742E">
      <w:pPr>
        <w:pStyle w:val="NormalWeb"/>
        <w:rPr>
          <w:rFonts w:ascii="Arial Black" w:hAnsi="Arial Black"/>
          <w:sz w:val="28"/>
          <w:szCs w:val="28"/>
        </w:rPr>
      </w:pPr>
      <w:r>
        <w:rPr>
          <w:rFonts w:ascii="Arial Black" w:hAnsi="Arial Black"/>
          <w:sz w:val="28"/>
          <w:szCs w:val="28"/>
        </w:rPr>
        <w:t xml:space="preserve">GA: TRANSGENDER FIRE CHIEF – FIRED 18 MONTHS AFTER CHANGE - “AT WILL” - NO PROPERTY INTEREST IN JOB </w:t>
      </w:r>
    </w:p>
    <w:p w14:paraId="2AEC4698" w14:textId="77777777" w:rsidR="0002742E" w:rsidRDefault="0002742E" w:rsidP="0002742E">
      <w:pPr>
        <w:pStyle w:val="NormalWeb"/>
      </w:pPr>
      <w:r>
        <w:t xml:space="preserve">On April 18, 2022, in </w:t>
      </w:r>
      <w:r w:rsidRPr="008D7229">
        <w:rPr>
          <w:u w:val="single"/>
        </w:rPr>
        <w:t>Rachel Mosby v. City of Bryson, Georgia</w:t>
      </w:r>
      <w:r>
        <w:t>, the U.S. Court of Appeals for the 11</w:t>
      </w:r>
      <w:r w:rsidRPr="008D7229">
        <w:rPr>
          <w:vertAlign w:val="superscript"/>
        </w:rPr>
        <w:t>th</w:t>
      </w:r>
      <w:r>
        <w:t xml:space="preserve"> Circuit (Atlanta) held (3 to 0; unpublished decision) that the U.S. District Court properly granted summary judgment to the City on her claim of violation of Title VII and ADA [she alleged the City fired her for be transgender; fired 18 months after coming to work dressed as a female].  Mosby was the City of Byron's fire chief for eleven years before being terminated in 2019.  Her initial complaint to EEOC on June 28, </w:t>
      </w:r>
      <w:proofErr w:type="gramStart"/>
      <w:r>
        <w:t>2019</w:t>
      </w:r>
      <w:proofErr w:type="gramEnd"/>
      <w:r>
        <w:t xml:space="preserve"> failed include a sworn statement or notarized affirmation, and U.S. District Court Judge Tilman E. Self III dismissed the lawsuit on that basis. On appeal the 11 Circuit also rejected her claim that Mosby had a property interest in continued employment as the City's fire chief based on a "long-standing personnel policy" allowing department heads to appeal adverse employment actions. </w:t>
      </w:r>
      <w:hyperlink r:id="rId1419" w:history="1">
        <w:r w:rsidRPr="00463170">
          <w:rPr>
            <w:rStyle w:val="Hyperlink"/>
          </w:rPr>
          <w:t>https://media.ca11.uscourts.gov/opinions/unpub/files/202110377.pdf</w:t>
        </w:r>
      </w:hyperlink>
      <w:r>
        <w:t xml:space="preserve"> </w:t>
      </w:r>
    </w:p>
    <w:p w14:paraId="396D1ECD" w14:textId="77777777" w:rsidR="0002742E" w:rsidRPr="0079197C" w:rsidRDefault="0002742E" w:rsidP="0002742E">
      <w:pPr>
        <w:spacing w:before="100" w:beforeAutospacing="1" w:after="100" w:afterAutospacing="1" w:line="240" w:lineRule="auto"/>
        <w:rPr>
          <w:rFonts w:ascii="Times New Roman" w:eastAsia="Times New Roman" w:hAnsi="Times New Roman"/>
          <w:b/>
          <w:bCs/>
          <w:sz w:val="24"/>
          <w:szCs w:val="24"/>
        </w:rPr>
      </w:pPr>
      <w:r w:rsidRPr="009D459E">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“At will” employee, unless protected by “whistleblower” or other statute. </w:t>
      </w:r>
    </w:p>
    <w:p w14:paraId="2A437E9B" w14:textId="77777777" w:rsidR="0002742E" w:rsidRPr="00810D4A" w:rsidRDefault="0002742E" w:rsidP="0002742E">
      <w:pPr>
        <w:spacing w:before="100" w:beforeAutospacing="1" w:after="100" w:afterAutospacing="1" w:line="240" w:lineRule="auto"/>
        <w:ind w:left="720"/>
        <w:rPr>
          <w:rFonts w:ascii="Times New Roman" w:eastAsia="Times New Roman" w:hAnsi="Times New Roman"/>
          <w:b/>
          <w:bCs/>
          <w:sz w:val="24"/>
          <w:szCs w:val="24"/>
        </w:rPr>
      </w:pPr>
      <w:r w:rsidRPr="00810D4A">
        <w:rPr>
          <w:rFonts w:ascii="Times New Roman" w:eastAsia="Times New Roman" w:hAnsi="Times New Roman"/>
          <w:sz w:val="24"/>
          <w:szCs w:val="24"/>
        </w:rPr>
        <w:lastRenderedPageBreak/>
        <w:t>Note: See this article:</w:t>
      </w:r>
      <w:r w:rsidRPr="00810D4A">
        <w:rPr>
          <w:rFonts w:ascii="Times New Roman" w:eastAsia="Times New Roman" w:hAnsi="Times New Roman"/>
          <w:b/>
          <w:bCs/>
          <w:sz w:val="24"/>
          <w:szCs w:val="24"/>
        </w:rPr>
        <w:t xml:space="preserve"> </w:t>
      </w:r>
      <w:r w:rsidRPr="00810D4A">
        <w:rPr>
          <w:rFonts w:ascii="Times New Roman" w:hAnsi="Times New Roman"/>
          <w:sz w:val="24"/>
          <w:szCs w:val="24"/>
        </w:rPr>
        <w:t xml:space="preserve">See this article (Feb. 18, 2021): “Judge dismisses Georgia lawsuit by transgender fire chief.” </w:t>
      </w:r>
      <w:hyperlink r:id="rId1420" w:history="1">
        <w:r w:rsidRPr="00C37F44">
          <w:rPr>
            <w:rStyle w:val="Hyperlink"/>
            <w:rFonts w:ascii="Times New Roman" w:hAnsi="Times New Roman"/>
            <w:sz w:val="24"/>
            <w:szCs w:val="24"/>
          </w:rPr>
          <w:t>https://apnews.com/article/savannah-discrimination-lawsuits-georgia-courts-181c735cb3d5f318ea6a76e14d237b4a</w:t>
        </w:r>
      </w:hyperlink>
      <w:r>
        <w:rPr>
          <w:rFonts w:ascii="Times New Roman" w:hAnsi="Times New Roman"/>
          <w:sz w:val="24"/>
          <w:szCs w:val="24"/>
        </w:rPr>
        <w:t xml:space="preserve"> </w:t>
      </w:r>
    </w:p>
    <w:p w14:paraId="571FC5CA" w14:textId="77777777" w:rsidR="0002742E" w:rsidRDefault="0002742E" w:rsidP="00F326E5">
      <w:pPr>
        <w:pStyle w:val="NoSpacing"/>
        <w:rPr>
          <w:rFonts w:ascii="Arial Black" w:hAnsi="Arial Black"/>
          <w:sz w:val="24"/>
          <w:szCs w:val="24"/>
        </w:rPr>
      </w:pPr>
    </w:p>
    <w:p w14:paraId="23A48E16" w14:textId="77777777" w:rsidR="0002742E" w:rsidRDefault="0002742E" w:rsidP="00F326E5">
      <w:pPr>
        <w:pStyle w:val="NoSpacing"/>
        <w:rPr>
          <w:rFonts w:ascii="Arial Black" w:hAnsi="Arial Black"/>
          <w:sz w:val="24"/>
          <w:szCs w:val="24"/>
        </w:rPr>
      </w:pPr>
    </w:p>
    <w:p w14:paraId="23ECBA71" w14:textId="492821C6" w:rsidR="00727951" w:rsidRDefault="00727951" w:rsidP="00F326E5">
      <w:pPr>
        <w:pStyle w:val="NoSpacing"/>
        <w:rPr>
          <w:rFonts w:ascii="Arial Black" w:hAnsi="Arial Black"/>
          <w:sz w:val="24"/>
          <w:szCs w:val="24"/>
        </w:rPr>
      </w:pPr>
      <w:r>
        <w:rPr>
          <w:rFonts w:ascii="Arial Black" w:hAnsi="Arial Black"/>
          <w:sz w:val="24"/>
          <w:szCs w:val="24"/>
        </w:rPr>
        <w:t>7-42</w:t>
      </w:r>
    </w:p>
    <w:p w14:paraId="4D05FF46" w14:textId="77777777" w:rsidR="00727951" w:rsidRDefault="00727951" w:rsidP="00727951">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VA: FEMALE FIRE INSPECTOR – MADE COMPLAINT PASSED OVER PROMOTIONS – RETALIATION – CASE TO PROCEED</w:t>
      </w:r>
    </w:p>
    <w:p w14:paraId="7A1EECA1" w14:textId="77777777" w:rsidR="00727951" w:rsidRDefault="00727951" w:rsidP="00727951">
      <w:pPr>
        <w:spacing w:before="100" w:beforeAutospacing="1" w:after="100" w:afterAutospacing="1" w:line="240" w:lineRule="auto"/>
        <w:rPr>
          <w:rStyle w:val="Hyperlink"/>
          <w:rFonts w:ascii="Times New Roman" w:hAnsi="Times New Roman"/>
          <w:sz w:val="24"/>
          <w:szCs w:val="24"/>
        </w:rPr>
      </w:pPr>
      <w:r w:rsidRPr="00447DAF">
        <w:rPr>
          <w:rFonts w:ascii="Times New Roman" w:eastAsia="Times New Roman" w:hAnsi="Times New Roman"/>
          <w:sz w:val="24"/>
          <w:szCs w:val="24"/>
        </w:rPr>
        <w:t xml:space="preserve">On </w:t>
      </w:r>
      <w:r>
        <w:rPr>
          <w:rFonts w:ascii="Times New Roman" w:eastAsia="Times New Roman" w:hAnsi="Times New Roman"/>
          <w:sz w:val="24"/>
          <w:szCs w:val="24"/>
        </w:rPr>
        <w:t xml:space="preserve">March 11, 2022, in </w:t>
      </w:r>
      <w:r w:rsidRPr="00447DAF">
        <w:rPr>
          <w:rFonts w:ascii="Times New Roman" w:eastAsia="Times New Roman" w:hAnsi="Times New Roman"/>
          <w:sz w:val="24"/>
          <w:szCs w:val="24"/>
          <w:u w:val="single"/>
        </w:rPr>
        <w:t>Karen Baka v, City of Norfolk, Virginia</w:t>
      </w:r>
      <w:r>
        <w:rPr>
          <w:rFonts w:ascii="Times New Roman" w:eastAsia="Times New Roman" w:hAnsi="Times New Roman"/>
          <w:sz w:val="24"/>
          <w:szCs w:val="24"/>
        </w:rPr>
        <w:t xml:space="preserve">, U.S. District Court Judge Raymond A. Jackson, U.S. District Court for Eastern District of Virginia (Norfolk Division) denied the City’s motion to dismiss this lawsuit by the plaintiff, who is a Fire Investigator in the Norfolk Fire Marshal’s Office and complained about being passed over for several promotions in retaliation for filing internal complaints with the City.  Another female Fire Investigator, who retired after 30 years, has filed a similar lawsuit. The Court referenced in  Footnote 1 a TV story about the alleged hostile workplace experience by the two Investigators. </w:t>
      </w:r>
      <w:hyperlink r:id="rId1421" w:history="1">
        <w:r w:rsidRPr="000247F2">
          <w:rPr>
            <w:rStyle w:val="Hyperlink"/>
            <w:rFonts w:ascii="Times New Roman" w:hAnsi="Times New Roman"/>
            <w:sz w:val="24"/>
            <w:szCs w:val="24"/>
          </w:rPr>
          <w:t>https://public.fastcase.com/waZtJvSA54UAurM2rmIZzzCYJhAha3GGo3AEN0d5yD5AXzBU0GIzy8sJKIx0m%2BEEHwIyJuWgbxH4Xd2BL4DW9aTliyBT6bOFBbV5rp7%2BS3s%3D</w:t>
        </w:r>
      </w:hyperlink>
    </w:p>
    <w:p w14:paraId="0F68D247" w14:textId="77777777" w:rsidR="00727951" w:rsidRDefault="00727951" w:rsidP="00727951">
      <w:pPr>
        <w:spacing w:before="100" w:beforeAutospacing="1" w:after="100" w:afterAutospacing="1" w:line="240" w:lineRule="auto"/>
        <w:ind w:left="720"/>
        <w:rPr>
          <w:rFonts w:ascii="Times New Roman" w:hAnsi="Times New Roman"/>
          <w:sz w:val="24"/>
          <w:szCs w:val="24"/>
        </w:rPr>
      </w:pPr>
      <w:r>
        <w:t>“</w:t>
      </w:r>
      <w:r w:rsidRPr="006539C7">
        <w:rPr>
          <w:rFonts w:ascii="Times New Roman" w:hAnsi="Times New Roman"/>
          <w:sz w:val="24"/>
          <w:szCs w:val="24"/>
        </w:rPr>
        <w:t xml:space="preserve">Defendant also claims that it is "immune from tort liability for governmental functions, absent an express waiver of such immunity." </w:t>
      </w:r>
      <w:proofErr w:type="spellStart"/>
      <w:r w:rsidRPr="006539C7">
        <w:rPr>
          <w:rFonts w:ascii="Times New Roman" w:hAnsi="Times New Roman"/>
          <w:sz w:val="24"/>
          <w:szCs w:val="24"/>
        </w:rPr>
        <w:t>Def.'s</w:t>
      </w:r>
      <w:proofErr w:type="spellEnd"/>
      <w:r w:rsidRPr="006539C7">
        <w:rPr>
          <w:rFonts w:ascii="Times New Roman" w:hAnsi="Times New Roman"/>
          <w:sz w:val="24"/>
          <w:szCs w:val="24"/>
        </w:rPr>
        <w:t xml:space="preserve"> Mem. Supp. at 4. Yet, the Supreme Court of Virginia in </w:t>
      </w:r>
      <w:r w:rsidRPr="006539C7">
        <w:rPr>
          <w:rStyle w:val="Emphasis"/>
          <w:rFonts w:ascii="Times New Roman" w:hAnsi="Times New Roman"/>
          <w:sz w:val="24"/>
          <w:szCs w:val="24"/>
        </w:rPr>
        <w:t>Massenburg -</w:t>
      </w:r>
      <w:r w:rsidRPr="006539C7">
        <w:rPr>
          <w:rFonts w:ascii="Times New Roman" w:hAnsi="Times New Roman"/>
          <w:sz w:val="24"/>
          <w:szCs w:val="24"/>
        </w:rPr>
        <w:t xml:space="preserve"> a case upon which Defendant relies - explicitly stated: </w:t>
      </w:r>
      <w:r>
        <w:rPr>
          <w:rFonts w:ascii="Times New Roman" w:hAnsi="Times New Roman"/>
          <w:sz w:val="24"/>
          <w:szCs w:val="24"/>
        </w:rPr>
        <w:t>‘</w:t>
      </w:r>
      <w:r w:rsidRPr="006539C7">
        <w:rPr>
          <w:rFonts w:ascii="Times New Roman" w:hAnsi="Times New Roman"/>
          <w:sz w:val="24"/>
          <w:szCs w:val="24"/>
        </w:rPr>
        <w:t>Unlike counties, which share fully in the sovereign's immunity from tort, whether a municipal corporation is entitled to sovereign immunity protection depends on the type of function it exercises when liability arises.</w:t>
      </w:r>
      <w:r>
        <w:rPr>
          <w:rFonts w:ascii="Times New Roman" w:hAnsi="Times New Roman"/>
          <w:sz w:val="24"/>
          <w:szCs w:val="24"/>
        </w:rPr>
        <w:t>’</w:t>
      </w:r>
      <w:r w:rsidRPr="006539C7">
        <w:rPr>
          <w:rFonts w:ascii="Times New Roman" w:hAnsi="Times New Roman"/>
          <w:sz w:val="24"/>
          <w:szCs w:val="24"/>
        </w:rPr>
        <w:t xml:space="preserve"> 298 Va. at 218 (2019). Indeed, Defendant's reliance on </w:t>
      </w:r>
      <w:r w:rsidRPr="006539C7">
        <w:rPr>
          <w:rStyle w:val="Emphasis"/>
          <w:rFonts w:ascii="Times New Roman" w:hAnsi="Times New Roman"/>
          <w:sz w:val="24"/>
          <w:szCs w:val="24"/>
        </w:rPr>
        <w:t>Ligon</w:t>
      </w:r>
      <w:r w:rsidRPr="006539C7">
        <w:rPr>
          <w:rFonts w:ascii="Times New Roman" w:hAnsi="Times New Roman"/>
          <w:sz w:val="24"/>
          <w:szCs w:val="24"/>
        </w:rPr>
        <w:t xml:space="preserve"> is misplaced because that case dealt specifically with a county employee who </w:t>
      </w:r>
      <w:proofErr w:type="gramStart"/>
      <w:r w:rsidRPr="006539C7">
        <w:rPr>
          <w:rFonts w:ascii="Times New Roman" w:hAnsi="Times New Roman"/>
          <w:sz w:val="24"/>
          <w:szCs w:val="24"/>
        </w:rPr>
        <w:t>brought suit against</w:t>
      </w:r>
      <w:proofErr w:type="gramEnd"/>
      <w:r w:rsidRPr="006539C7">
        <w:rPr>
          <w:rFonts w:ascii="Times New Roman" w:hAnsi="Times New Roman"/>
          <w:sz w:val="24"/>
          <w:szCs w:val="24"/>
        </w:rPr>
        <w:t xml:space="preserve"> the county for which he worked. </w:t>
      </w:r>
      <w:r w:rsidRPr="006539C7">
        <w:rPr>
          <w:rStyle w:val="Emphasis"/>
          <w:rFonts w:ascii="Times New Roman" w:hAnsi="Times New Roman"/>
          <w:sz w:val="24"/>
          <w:szCs w:val="24"/>
        </w:rPr>
        <w:t xml:space="preserve">See Ligon v. </w:t>
      </w:r>
      <w:proofErr w:type="spellStart"/>
      <w:r w:rsidRPr="006539C7">
        <w:rPr>
          <w:rStyle w:val="Emphasis"/>
          <w:rFonts w:ascii="Times New Roman" w:hAnsi="Times New Roman"/>
          <w:sz w:val="24"/>
          <w:szCs w:val="24"/>
        </w:rPr>
        <w:t>Cnty</w:t>
      </w:r>
      <w:proofErr w:type="spellEnd"/>
      <w:r w:rsidRPr="006539C7">
        <w:rPr>
          <w:rStyle w:val="Emphasis"/>
          <w:rFonts w:ascii="Times New Roman" w:hAnsi="Times New Roman"/>
          <w:sz w:val="24"/>
          <w:szCs w:val="24"/>
        </w:rPr>
        <w:t>. of Goochland,</w:t>
      </w:r>
      <w:r w:rsidRPr="006539C7">
        <w:rPr>
          <w:rFonts w:ascii="Times New Roman" w:hAnsi="Times New Roman"/>
          <w:sz w:val="24"/>
          <w:szCs w:val="24"/>
        </w:rPr>
        <w:t xml:space="preserve"> 279 Va. 312, 314 (2010). The </w:t>
      </w:r>
      <w:r w:rsidRPr="006539C7">
        <w:rPr>
          <w:rStyle w:val="Emphasis"/>
          <w:rFonts w:ascii="Times New Roman" w:hAnsi="Times New Roman"/>
          <w:sz w:val="24"/>
          <w:szCs w:val="24"/>
        </w:rPr>
        <w:t>Massenburg</w:t>
      </w:r>
      <w:r w:rsidRPr="006539C7">
        <w:rPr>
          <w:rFonts w:ascii="Times New Roman" w:hAnsi="Times New Roman"/>
          <w:sz w:val="24"/>
          <w:szCs w:val="24"/>
        </w:rPr>
        <w:t xml:space="preserve"> court made clear that counties enjoy immunity protections distinct from those enjoyed by municipalities. Defendant is a municipality, not the Commonwealth or one of its counties.</w:t>
      </w:r>
      <w:r>
        <w:rPr>
          <w:rFonts w:ascii="Times New Roman" w:hAnsi="Times New Roman"/>
          <w:sz w:val="24"/>
          <w:szCs w:val="24"/>
        </w:rPr>
        <w:t xml:space="preserve">’ </w:t>
      </w:r>
      <w:hyperlink r:id="rId1422" w:history="1">
        <w:r w:rsidRPr="000247F2">
          <w:rPr>
            <w:rStyle w:val="Hyperlink"/>
            <w:rFonts w:ascii="Times New Roman" w:hAnsi="Times New Roman"/>
            <w:sz w:val="24"/>
            <w:szCs w:val="24"/>
          </w:rPr>
          <w:t>https://public.fastcase.com/waZtJvSA54UAurM2rmIZzzCYJhAha3GGo3AEN0d5yD5AXzBU0GIzy8sJKIx0m%2BEEHwIyJuWgbxH4Xd2BL4DW9aTliyBT6bOFBbV5rp7%2BS3s%3D</w:t>
        </w:r>
      </w:hyperlink>
    </w:p>
    <w:p w14:paraId="0CF40B0E" w14:textId="77777777" w:rsidR="00727951" w:rsidRDefault="00727951" w:rsidP="0072795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Footnote 1: </w:t>
      </w:r>
      <w:r w:rsidRPr="003342D2">
        <w:rPr>
          <w:rStyle w:val="Emphasis"/>
          <w:rFonts w:ascii="Times New Roman" w:hAnsi="Times New Roman"/>
          <w:sz w:val="24"/>
          <w:szCs w:val="24"/>
        </w:rPr>
        <w:t>See</w:t>
      </w:r>
      <w:r w:rsidRPr="003342D2">
        <w:rPr>
          <w:rFonts w:ascii="Times New Roman" w:hAnsi="Times New Roman"/>
          <w:sz w:val="24"/>
          <w:szCs w:val="24"/>
        </w:rPr>
        <w:t xml:space="preserve"> Jason Marks, </w:t>
      </w:r>
      <w:r w:rsidRPr="003342D2">
        <w:rPr>
          <w:rStyle w:val="Emphasis"/>
          <w:rFonts w:ascii="Times New Roman" w:hAnsi="Times New Roman"/>
          <w:sz w:val="24"/>
          <w:szCs w:val="24"/>
        </w:rPr>
        <w:t>Special Report: Norfolk Under Fire for Treatment of Female Employees, WAVY.com</w:t>
      </w:r>
      <w:r w:rsidRPr="003342D2">
        <w:rPr>
          <w:rFonts w:ascii="Times New Roman" w:hAnsi="Times New Roman"/>
          <w:sz w:val="24"/>
          <w:szCs w:val="24"/>
        </w:rPr>
        <w:t xml:space="preserve"> (Oct. 24, 2019, 4:11 PM)</w:t>
      </w:r>
      <w:r>
        <w:rPr>
          <w:rFonts w:ascii="Times New Roman" w:hAnsi="Times New Roman"/>
          <w:sz w:val="24"/>
          <w:szCs w:val="24"/>
        </w:rPr>
        <w:t>….</w:t>
      </w:r>
      <w:r w:rsidRPr="003342D2">
        <w:rPr>
          <w:rFonts w:ascii="Times New Roman" w:hAnsi="Times New Roman"/>
          <w:sz w:val="24"/>
          <w:szCs w:val="24"/>
        </w:rPr>
        <w:t xml:space="preserve"> </w:t>
      </w:r>
    </w:p>
    <w:p w14:paraId="0958D754" w14:textId="77777777" w:rsidR="00727951" w:rsidRDefault="00727951" w:rsidP="00727951">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 xml:space="preserve">[Watch the video and read the article.] </w:t>
      </w:r>
      <w:hyperlink r:id="rId1423" w:history="1">
        <w:r w:rsidRPr="00BA2523">
          <w:rPr>
            <w:rStyle w:val="Hyperlink"/>
            <w:rFonts w:ascii="Times New Roman" w:eastAsia="Times New Roman" w:hAnsi="Times New Roman"/>
            <w:sz w:val="24"/>
            <w:szCs w:val="24"/>
          </w:rPr>
          <w:t>https://www.wavy.com/news/local-news/norfolk/special-report-norfolk-under-fire-for-treatment-of-female-employees/</w:t>
        </w:r>
      </w:hyperlink>
      <w:r w:rsidRPr="003342D2">
        <w:rPr>
          <w:rFonts w:ascii="Times New Roman" w:eastAsia="Times New Roman" w:hAnsi="Times New Roman"/>
          <w:sz w:val="24"/>
          <w:szCs w:val="24"/>
        </w:rPr>
        <w:t xml:space="preserve"> </w:t>
      </w:r>
    </w:p>
    <w:p w14:paraId="304970AE" w14:textId="77777777" w:rsidR="00727951" w:rsidRDefault="00727951" w:rsidP="00727951">
      <w:pPr>
        <w:spacing w:before="100" w:beforeAutospacing="1" w:after="100" w:afterAutospacing="1" w:line="240" w:lineRule="auto"/>
        <w:ind w:left="720"/>
        <w:rPr>
          <w:rFonts w:ascii="Times New Roman" w:hAnsi="Times New Roman"/>
          <w:sz w:val="24"/>
          <w:szCs w:val="24"/>
        </w:rPr>
      </w:pPr>
      <w:r w:rsidRPr="003342D2">
        <w:rPr>
          <w:rFonts w:ascii="Times New Roman" w:hAnsi="Times New Roman"/>
          <w:sz w:val="24"/>
          <w:szCs w:val="24"/>
        </w:rPr>
        <w:t>NORFOLK, Va. (WAVY) – Humiliation and hostility.  That’s what two women claim happened to them in the Norfolk Fire Marshal’s Office.  The women feel they are treated differently than their male co-workers and are taking the city to court.</w:t>
      </w:r>
    </w:p>
    <w:p w14:paraId="0C74A1C6" w14:textId="77777777" w:rsidR="00727951" w:rsidRPr="007D487F" w:rsidRDefault="00727951" w:rsidP="00727951">
      <w:pPr>
        <w:spacing w:before="100" w:beforeAutospacing="1" w:after="100" w:afterAutospacing="1" w:line="240" w:lineRule="auto"/>
        <w:ind w:left="720"/>
        <w:rPr>
          <w:rFonts w:ascii="Times New Roman" w:eastAsia="Times New Roman" w:hAnsi="Times New Roman"/>
          <w:sz w:val="24"/>
          <w:szCs w:val="24"/>
        </w:rPr>
      </w:pPr>
      <w:r w:rsidRPr="007D487F">
        <w:rPr>
          <w:rFonts w:ascii="Times New Roman" w:eastAsia="Times New Roman" w:hAnsi="Times New Roman"/>
          <w:sz w:val="24"/>
          <w:szCs w:val="24"/>
        </w:rPr>
        <w:t>“Changes tend to happen when people pay attention to the problems,” said attorney Barry Montgomery.</w:t>
      </w:r>
      <w:r>
        <w:rPr>
          <w:rFonts w:ascii="Times New Roman" w:eastAsia="Times New Roman" w:hAnsi="Times New Roman"/>
          <w:sz w:val="24"/>
          <w:szCs w:val="24"/>
        </w:rPr>
        <w:t xml:space="preserve"> </w:t>
      </w:r>
      <w:r w:rsidRPr="007D487F">
        <w:rPr>
          <w:rFonts w:ascii="Times New Roman" w:eastAsia="Times New Roman" w:hAnsi="Times New Roman"/>
          <w:sz w:val="24"/>
          <w:szCs w:val="24"/>
        </w:rPr>
        <w:t>Montgomery is the attorney for the two women: Karen Baka, a current Norfolk Fire Marshal, and Karen Barnes, who retired from the Fire Marshal’s Office after 30 years of service.</w:t>
      </w:r>
      <w:r>
        <w:rPr>
          <w:rFonts w:ascii="Times New Roman" w:eastAsia="Times New Roman" w:hAnsi="Times New Roman"/>
          <w:sz w:val="24"/>
          <w:szCs w:val="24"/>
        </w:rPr>
        <w:t xml:space="preserve"> </w:t>
      </w:r>
      <w:r w:rsidRPr="007D487F">
        <w:rPr>
          <w:rFonts w:ascii="Times New Roman" w:eastAsia="Times New Roman" w:hAnsi="Times New Roman"/>
          <w:sz w:val="24"/>
          <w:szCs w:val="24"/>
        </w:rPr>
        <w:t>Baka, who has been with Norfolk Fire since 1985, says she has been overlooked on purpose for promotions.</w:t>
      </w:r>
      <w:r>
        <w:rPr>
          <w:rFonts w:ascii="Times New Roman" w:eastAsia="Times New Roman" w:hAnsi="Times New Roman"/>
          <w:sz w:val="24"/>
          <w:szCs w:val="24"/>
        </w:rPr>
        <w:t xml:space="preserve"> ‘</w:t>
      </w:r>
      <w:r w:rsidRPr="007D487F">
        <w:rPr>
          <w:rFonts w:ascii="Times New Roman" w:eastAsia="Times New Roman" w:hAnsi="Times New Roman"/>
          <w:sz w:val="24"/>
          <w:szCs w:val="24"/>
        </w:rPr>
        <w:t>One of her major complaints is failure to not get promoted,</w:t>
      </w:r>
      <w:r>
        <w:rPr>
          <w:rFonts w:ascii="Times New Roman" w:eastAsia="Times New Roman" w:hAnsi="Times New Roman"/>
          <w:sz w:val="24"/>
          <w:szCs w:val="24"/>
        </w:rPr>
        <w:t>’</w:t>
      </w:r>
      <w:r w:rsidRPr="007D487F">
        <w:rPr>
          <w:rFonts w:ascii="Times New Roman" w:eastAsia="Times New Roman" w:hAnsi="Times New Roman"/>
          <w:sz w:val="24"/>
          <w:szCs w:val="24"/>
        </w:rPr>
        <w:t xml:space="preserve"> Montgomery said.  “She filed for promotion three separate times for lieutenant and was denied each time.  The job went to male firefighters who did not have as much experience as she did.  She noticed that happened after she made her complaints.”</w:t>
      </w:r>
      <w:r>
        <w:rPr>
          <w:rFonts w:ascii="Times New Roman" w:eastAsia="Times New Roman" w:hAnsi="Times New Roman"/>
          <w:sz w:val="24"/>
          <w:szCs w:val="24"/>
        </w:rPr>
        <w:t xml:space="preserve"> </w:t>
      </w:r>
      <w:r w:rsidRPr="007D487F">
        <w:rPr>
          <w:rFonts w:ascii="Times New Roman" w:eastAsia="Times New Roman" w:hAnsi="Times New Roman"/>
          <w:sz w:val="24"/>
          <w:szCs w:val="24"/>
        </w:rPr>
        <w:t xml:space="preserve">Barnes, who </w:t>
      </w:r>
      <w:r w:rsidRPr="007D487F">
        <w:rPr>
          <w:rFonts w:ascii="Times New Roman" w:eastAsia="Times New Roman" w:hAnsi="Times New Roman"/>
          <w:sz w:val="24"/>
          <w:szCs w:val="24"/>
        </w:rPr>
        <w:lastRenderedPageBreak/>
        <w:t xml:space="preserve">retired as a lieutenant, says she felt threatened, humiliated and picked on by her boss.  She was told at times that if she went behind his </w:t>
      </w:r>
      <w:proofErr w:type="gramStart"/>
      <w:r w:rsidRPr="007D487F">
        <w:rPr>
          <w:rFonts w:ascii="Times New Roman" w:eastAsia="Times New Roman" w:hAnsi="Times New Roman"/>
          <w:sz w:val="24"/>
          <w:szCs w:val="24"/>
        </w:rPr>
        <w:t>back</w:t>
      </w:r>
      <w:proofErr w:type="gramEnd"/>
      <w:r w:rsidRPr="007D487F">
        <w:rPr>
          <w:rFonts w:ascii="Times New Roman" w:eastAsia="Times New Roman" w:hAnsi="Times New Roman"/>
          <w:sz w:val="24"/>
          <w:szCs w:val="24"/>
        </w:rPr>
        <w:t xml:space="preserve"> she would feel his wrath.</w:t>
      </w:r>
      <w:r>
        <w:rPr>
          <w:rFonts w:ascii="Times New Roman" w:eastAsia="Times New Roman" w:hAnsi="Times New Roman"/>
          <w:sz w:val="24"/>
          <w:szCs w:val="24"/>
        </w:rPr>
        <w:t>”</w:t>
      </w:r>
    </w:p>
    <w:p w14:paraId="37C43A5F" w14:textId="77777777" w:rsidR="00727951" w:rsidRPr="006539C7" w:rsidRDefault="00727951" w:rsidP="00727951">
      <w:pPr>
        <w:spacing w:before="100" w:beforeAutospacing="1" w:after="100" w:afterAutospacing="1" w:line="240" w:lineRule="auto"/>
        <w:rPr>
          <w:rFonts w:ascii="Times New Roman" w:eastAsia="Times New Roman" w:hAnsi="Times New Roman"/>
          <w:b/>
          <w:bCs/>
          <w:sz w:val="24"/>
          <w:szCs w:val="24"/>
        </w:rPr>
      </w:pPr>
      <w:r w:rsidRPr="006539C7">
        <w:rPr>
          <w:rFonts w:ascii="Times New Roman" w:hAnsi="Times New Roman"/>
          <w:b/>
          <w:bCs/>
          <w:sz w:val="24"/>
          <w:szCs w:val="24"/>
        </w:rPr>
        <w:t>Legal Lesson Learned:</w:t>
      </w:r>
      <w:r>
        <w:rPr>
          <w:rFonts w:ascii="Times New Roman" w:hAnsi="Times New Roman"/>
          <w:b/>
          <w:bCs/>
          <w:sz w:val="24"/>
          <w:szCs w:val="24"/>
        </w:rPr>
        <w:t xml:space="preserve"> Claims of retaliation, particularly after an internal complaint of hostile workplace has been submitted to the employer, can be difficult to defend before a jury. </w:t>
      </w:r>
    </w:p>
    <w:p w14:paraId="7E001876" w14:textId="77777777" w:rsidR="00727951" w:rsidRDefault="00727951" w:rsidP="00727951">
      <w:pPr>
        <w:pStyle w:val="Heading1"/>
        <w:ind w:left="720"/>
        <w:rPr>
          <w:b w:val="0"/>
          <w:bCs w:val="0"/>
          <w:sz w:val="24"/>
          <w:szCs w:val="24"/>
        </w:rPr>
      </w:pPr>
      <w:r w:rsidRPr="00FF3DE1">
        <w:rPr>
          <w:b w:val="0"/>
          <w:bCs w:val="0"/>
          <w:sz w:val="24"/>
          <w:szCs w:val="24"/>
        </w:rPr>
        <w:t xml:space="preserve">Note: </w:t>
      </w:r>
      <w:r>
        <w:rPr>
          <w:b w:val="0"/>
          <w:bCs w:val="0"/>
          <w:sz w:val="24"/>
          <w:szCs w:val="24"/>
        </w:rPr>
        <w:t xml:space="preserve">Reportedly, plaintiff settled a prior lawsuit against the </w:t>
      </w:r>
      <w:proofErr w:type="gramStart"/>
      <w:r>
        <w:rPr>
          <w:b w:val="0"/>
          <w:bCs w:val="0"/>
          <w:sz w:val="24"/>
          <w:szCs w:val="24"/>
        </w:rPr>
        <w:t>City</w:t>
      </w:r>
      <w:proofErr w:type="gramEnd"/>
      <w:r>
        <w:rPr>
          <w:b w:val="0"/>
          <w:bCs w:val="0"/>
          <w:sz w:val="24"/>
          <w:szCs w:val="24"/>
        </w:rPr>
        <w:t xml:space="preserve"> for $87,000. </w:t>
      </w:r>
    </w:p>
    <w:p w14:paraId="64B771C8" w14:textId="77777777" w:rsidR="00727951" w:rsidRPr="00FF3DE1" w:rsidRDefault="00727951" w:rsidP="00727951">
      <w:pPr>
        <w:pStyle w:val="Heading1"/>
        <w:ind w:left="720"/>
        <w:rPr>
          <w:b w:val="0"/>
          <w:bCs w:val="0"/>
          <w:sz w:val="24"/>
          <w:szCs w:val="24"/>
        </w:rPr>
      </w:pPr>
      <w:r>
        <w:rPr>
          <w:b w:val="0"/>
          <w:bCs w:val="0"/>
          <w:sz w:val="24"/>
          <w:szCs w:val="24"/>
        </w:rPr>
        <w:t xml:space="preserve">See </w:t>
      </w:r>
      <w:r w:rsidRPr="00FF3DE1">
        <w:rPr>
          <w:b w:val="0"/>
          <w:bCs w:val="0"/>
          <w:sz w:val="24"/>
          <w:szCs w:val="24"/>
        </w:rPr>
        <w:t xml:space="preserve">March 13, </w:t>
      </w:r>
      <w:proofErr w:type="gramStart"/>
      <w:r w:rsidRPr="00FF3DE1">
        <w:rPr>
          <w:b w:val="0"/>
          <w:bCs w:val="0"/>
          <w:sz w:val="24"/>
          <w:szCs w:val="24"/>
        </w:rPr>
        <w:t>2022</w:t>
      </w:r>
      <w:proofErr w:type="gramEnd"/>
      <w:r>
        <w:rPr>
          <w:b w:val="0"/>
          <w:bCs w:val="0"/>
          <w:sz w:val="24"/>
          <w:szCs w:val="24"/>
        </w:rPr>
        <w:t xml:space="preserve"> article</w:t>
      </w:r>
      <w:r w:rsidRPr="00FF3DE1">
        <w:rPr>
          <w:b w:val="0"/>
          <w:bCs w:val="0"/>
          <w:sz w:val="24"/>
          <w:szCs w:val="24"/>
        </w:rPr>
        <w:t>.</w:t>
      </w:r>
      <w:r>
        <w:rPr>
          <w:sz w:val="24"/>
          <w:szCs w:val="24"/>
        </w:rPr>
        <w:t xml:space="preserve"> “</w:t>
      </w:r>
      <w:r w:rsidRPr="00FF3DE1">
        <w:rPr>
          <w:b w:val="0"/>
          <w:bCs w:val="0"/>
          <w:sz w:val="24"/>
          <w:szCs w:val="24"/>
        </w:rPr>
        <w:t xml:space="preserve">Court Refuses to Dismiss State Law Claims in Norfolk Retaliation Suit.” </w:t>
      </w:r>
      <w:hyperlink r:id="rId1424" w:history="1">
        <w:r w:rsidRPr="000247F2">
          <w:rPr>
            <w:rStyle w:val="Hyperlink"/>
            <w:rFonts w:eastAsiaTheme="majorEastAsia"/>
            <w:b w:val="0"/>
            <w:bCs w:val="0"/>
            <w:sz w:val="24"/>
            <w:szCs w:val="24"/>
          </w:rPr>
          <w:t>https://www.firelawblog.com/2022/03/13/court-refuses-to-dismiss-state-law-claims-in-norfolk-retaliation-suit/</w:t>
        </w:r>
      </w:hyperlink>
      <w:r>
        <w:rPr>
          <w:b w:val="0"/>
          <w:bCs w:val="0"/>
          <w:sz w:val="24"/>
          <w:szCs w:val="24"/>
        </w:rPr>
        <w:t xml:space="preserve"> </w:t>
      </w:r>
    </w:p>
    <w:p w14:paraId="6C94FCDD" w14:textId="77777777" w:rsidR="00727951" w:rsidRDefault="00727951" w:rsidP="00727951">
      <w:pPr>
        <w:pStyle w:val="NormalWeb"/>
        <w:ind w:left="1440"/>
      </w:pPr>
      <w:r>
        <w:t>The US District Court for the Eastern District of Virginia has refused to dismiss the state law claims of a fire investigator with Norfolk Fire-Rescue who alleges sexual harassment, discrimination, retaliation, and violation of Virginia’s Whistleblower Protection Act.</w:t>
      </w:r>
    </w:p>
    <w:p w14:paraId="2AB5AA1D" w14:textId="77777777" w:rsidR="00727951" w:rsidRDefault="00727951" w:rsidP="00727951">
      <w:pPr>
        <w:pStyle w:val="NormalWeb"/>
        <w:ind w:left="1440"/>
      </w:pPr>
      <w:r>
        <w:t xml:space="preserve">Karen Baka filed the suit last year. It was her second suit against the city. Baka had previously filed a gender discrimination suit in 2019. That suit ultimately settled for $87,000. </w:t>
      </w:r>
    </w:p>
    <w:p w14:paraId="68768599" w14:textId="77777777" w:rsidR="00E3473F" w:rsidRDefault="00E3473F" w:rsidP="00F326E5">
      <w:pPr>
        <w:pStyle w:val="NoSpacing"/>
        <w:rPr>
          <w:rFonts w:ascii="Arial Black" w:hAnsi="Arial Black"/>
          <w:sz w:val="24"/>
          <w:szCs w:val="24"/>
        </w:rPr>
      </w:pPr>
    </w:p>
    <w:p w14:paraId="24BCAEE5" w14:textId="4D704E3E" w:rsidR="00727951" w:rsidRDefault="00727951" w:rsidP="00F326E5">
      <w:pPr>
        <w:pStyle w:val="NoSpacing"/>
        <w:rPr>
          <w:rFonts w:ascii="Arial Black" w:hAnsi="Arial Black"/>
          <w:sz w:val="24"/>
          <w:szCs w:val="24"/>
        </w:rPr>
      </w:pPr>
      <w:r>
        <w:rPr>
          <w:rFonts w:ascii="Arial Black" w:hAnsi="Arial Black"/>
          <w:sz w:val="24"/>
          <w:szCs w:val="24"/>
        </w:rPr>
        <w:t xml:space="preserve">7-41 </w:t>
      </w:r>
      <w:r w:rsidRPr="00E3473F">
        <w:rPr>
          <w:rFonts w:ascii="Times New Roman" w:hAnsi="Times New Roman"/>
          <w:sz w:val="24"/>
          <w:szCs w:val="24"/>
        </w:rPr>
        <w:t>[also filed, Chap. 18]</w:t>
      </w:r>
    </w:p>
    <w:p w14:paraId="5155AF29" w14:textId="5F2DA151" w:rsidR="00727951" w:rsidRDefault="00727951" w:rsidP="00F326E5">
      <w:pPr>
        <w:pStyle w:val="NoSpacing"/>
        <w:rPr>
          <w:rFonts w:ascii="Arial Black" w:hAnsi="Arial Black"/>
          <w:sz w:val="24"/>
          <w:szCs w:val="24"/>
        </w:rPr>
      </w:pPr>
    </w:p>
    <w:p w14:paraId="35ADCEBE" w14:textId="77777777" w:rsidR="00727951" w:rsidRPr="00D61E07" w:rsidRDefault="00727951" w:rsidP="00727951">
      <w:pPr>
        <w:pStyle w:val="Heading1"/>
        <w:rPr>
          <w:rFonts w:ascii="Arial Black" w:hAnsi="Arial Black"/>
          <w:sz w:val="28"/>
          <w:szCs w:val="28"/>
        </w:rPr>
      </w:pPr>
      <w:r>
        <w:rPr>
          <w:rFonts w:ascii="Arial Black" w:hAnsi="Arial Black"/>
          <w:sz w:val="28"/>
          <w:szCs w:val="28"/>
        </w:rPr>
        <w:t>DC: SEXUAL HARASSMENT OR ASSAULT – NEW FEDERAL LAW - INVALID EMPLOYEE MANDATORY ARBITRATIONS</w:t>
      </w:r>
    </w:p>
    <w:p w14:paraId="67E11E85" w14:textId="77777777" w:rsidR="00727951" w:rsidRPr="00D61E07" w:rsidRDefault="00727951" w:rsidP="00727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Pr>
          <w:rFonts w:ascii="Times New Roman" w:eastAsia="Times New Roman" w:hAnsi="Times New Roman"/>
          <w:sz w:val="24"/>
          <w:szCs w:val="24"/>
        </w:rPr>
        <w:t>On March 3, 2022, President Biden signed into law the “</w:t>
      </w:r>
      <w:r w:rsidRPr="00D61E07">
        <w:rPr>
          <w:rFonts w:ascii="Times New Roman" w:hAnsi="Times New Roman"/>
          <w:sz w:val="24"/>
          <w:szCs w:val="24"/>
        </w:rPr>
        <w:t>Ending Forced Arbitration of Sexual Assault and Sexual Harassment Act</w:t>
      </w:r>
      <w:r>
        <w:rPr>
          <w:rFonts w:ascii="Times New Roman" w:hAnsi="Times New Roman"/>
          <w:sz w:val="24"/>
          <w:szCs w:val="24"/>
        </w:rPr>
        <w:t xml:space="preserve">.”  The law amends the Federal Arbitration Act to prohibit mandatory arbitration of sexual harassment and sexual assault claims in arbitration agreements. </w:t>
      </w:r>
      <w:hyperlink r:id="rId1425" w:history="1">
        <w:r w:rsidRPr="005A2A16">
          <w:rPr>
            <w:rStyle w:val="Hyperlink"/>
            <w:rFonts w:ascii="Times New Roman" w:eastAsia="Times New Roman" w:hAnsi="Times New Roman"/>
            <w:sz w:val="24"/>
            <w:szCs w:val="24"/>
          </w:rPr>
          <w:t>https://www.congress.gov/bill/117th-congress/house-bill/4445/text</w:t>
        </w:r>
      </w:hyperlink>
    </w:p>
    <w:p w14:paraId="425CC9CE" w14:textId="77777777" w:rsidR="00727951" w:rsidRPr="00AD3667" w:rsidRDefault="00727951" w:rsidP="00727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p w14:paraId="7CB6B67A" w14:textId="77777777" w:rsidR="00727951" w:rsidRPr="00BC5C71" w:rsidRDefault="00727951" w:rsidP="00727951">
      <w:pPr>
        <w:pStyle w:val="ListParagraph"/>
        <w:numPr>
          <w:ilvl w:val="0"/>
          <w:numId w:val="14"/>
        </w:numPr>
        <w:tabs>
          <w:tab w:val="left" w:pos="916"/>
          <w:tab w:val="left" w:pos="9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BC5C71">
        <w:rPr>
          <w:rFonts w:ascii="Times New Roman" w:eastAsia="Times New Roman" w:hAnsi="Times New Roman" w:cs="Times New Roman"/>
          <w:sz w:val="24"/>
          <w:szCs w:val="24"/>
        </w:rPr>
        <w:t xml:space="preserve">In General - Notwithstanding any other provision of this title, at the election of the person alleging conduct constituting a sexual harassment dispute or sexual assault dispute, or the named representative of a class or in a collective action alleging such conduct, no </w:t>
      </w:r>
      <w:proofErr w:type="spellStart"/>
      <w:r w:rsidRPr="00BC5C71">
        <w:rPr>
          <w:rFonts w:ascii="Times New Roman" w:eastAsia="Times New Roman" w:hAnsi="Times New Roman" w:cs="Times New Roman"/>
          <w:sz w:val="24"/>
          <w:szCs w:val="24"/>
        </w:rPr>
        <w:t>predispute</w:t>
      </w:r>
      <w:proofErr w:type="spellEnd"/>
      <w:r w:rsidRPr="00BC5C71">
        <w:rPr>
          <w:rFonts w:ascii="Times New Roman" w:eastAsia="Times New Roman" w:hAnsi="Times New Roman" w:cs="Times New Roman"/>
          <w:sz w:val="24"/>
          <w:szCs w:val="24"/>
        </w:rPr>
        <w:t xml:space="preserve"> arbitration agreement or </w:t>
      </w:r>
      <w:proofErr w:type="spellStart"/>
      <w:r w:rsidRPr="00BC5C71">
        <w:rPr>
          <w:rFonts w:ascii="Times New Roman" w:eastAsia="Times New Roman" w:hAnsi="Times New Roman" w:cs="Times New Roman"/>
          <w:sz w:val="24"/>
          <w:szCs w:val="24"/>
        </w:rPr>
        <w:t>predispute</w:t>
      </w:r>
      <w:proofErr w:type="spellEnd"/>
      <w:r w:rsidRPr="00BC5C71">
        <w:rPr>
          <w:rFonts w:ascii="Times New Roman" w:eastAsia="Times New Roman" w:hAnsi="Times New Roman" w:cs="Times New Roman"/>
          <w:sz w:val="24"/>
          <w:szCs w:val="24"/>
        </w:rPr>
        <w:t xml:space="preserve"> joint-action waiver shall be valid or enforceable with respect to a case which is filed under Federal, Tribal, or State law and relates to the sexual assault dispute or the sexual harassment dispute.</w:t>
      </w:r>
    </w:p>
    <w:p w14:paraId="088373F0" w14:textId="77777777" w:rsidR="00727951" w:rsidRDefault="00727951" w:rsidP="00727951">
      <w:pPr>
        <w:pStyle w:val="HTMLPreformatted"/>
        <w:jc w:val="both"/>
        <w:rPr>
          <w:rFonts w:ascii="Times New Roman" w:hAnsi="Times New Roman" w:cs="Times New Roman"/>
          <w:sz w:val="24"/>
          <w:szCs w:val="24"/>
        </w:rPr>
      </w:pPr>
    </w:p>
    <w:p w14:paraId="36037D5A" w14:textId="77777777" w:rsidR="00727951" w:rsidRPr="002D6970" w:rsidRDefault="00727951" w:rsidP="00727951">
      <w:pPr>
        <w:pStyle w:val="HTMLPreformatted"/>
        <w:numPr>
          <w:ilvl w:val="0"/>
          <w:numId w:val="14"/>
        </w:numPr>
        <w:jc w:val="both"/>
        <w:rPr>
          <w:rFonts w:ascii="Times New Roman" w:hAnsi="Times New Roman" w:cs="Times New Roman"/>
          <w:sz w:val="24"/>
          <w:szCs w:val="24"/>
        </w:rPr>
      </w:pPr>
      <w:r w:rsidRPr="002D6970">
        <w:rPr>
          <w:rFonts w:ascii="Times New Roman" w:hAnsi="Times New Roman" w:cs="Times New Roman"/>
          <w:sz w:val="24"/>
          <w:szCs w:val="24"/>
        </w:rPr>
        <w:t>Determination of Applicability. An issue as to whether this chapter applies with respect to a dispute shall be determined under Federal law. The applicability of this chapter to an agreement to arbitrate and the validity and enforceability of an agreement to which this chapter applies shall be determined by a court, rather than an arbitrator, irrespective of whether the party resisting arbitration challenges the arbitration agreement specifically or in conjunction with other terms of the contract containing such agreement, and irrespective of whether the agreement purports to delegate such determinations to an arbitrator.''</w:t>
      </w:r>
    </w:p>
    <w:p w14:paraId="3EECC441" w14:textId="77777777" w:rsidR="00727951" w:rsidRPr="00D61E07" w:rsidRDefault="00727951" w:rsidP="00727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sz w:val="24"/>
          <w:szCs w:val="24"/>
        </w:rPr>
      </w:pPr>
      <w:hyperlink r:id="rId1426" w:history="1">
        <w:r w:rsidRPr="005A2A16">
          <w:rPr>
            <w:rStyle w:val="Hyperlink"/>
            <w:rFonts w:ascii="Times New Roman" w:eastAsia="Times New Roman" w:hAnsi="Times New Roman"/>
            <w:sz w:val="24"/>
            <w:szCs w:val="24"/>
          </w:rPr>
          <w:t>https://www.congress.gov/bill/117th-congress/house-bill/4445/text</w:t>
        </w:r>
      </w:hyperlink>
    </w:p>
    <w:p w14:paraId="1C31D44C" w14:textId="77777777" w:rsidR="00727951" w:rsidRDefault="00727951" w:rsidP="00727951">
      <w:pPr>
        <w:pStyle w:val="Heading1"/>
        <w:rPr>
          <w:sz w:val="24"/>
          <w:szCs w:val="24"/>
        </w:rPr>
      </w:pPr>
      <w:r w:rsidRPr="002D6970">
        <w:rPr>
          <w:sz w:val="24"/>
          <w:szCs w:val="24"/>
        </w:rPr>
        <w:t xml:space="preserve">Legal Lesson Learned: </w:t>
      </w:r>
      <w:r>
        <w:rPr>
          <w:sz w:val="24"/>
          <w:szCs w:val="24"/>
        </w:rPr>
        <w:t xml:space="preserve">Fire &amp; EMS departments should review their Employee Handbooks and other documents and remove any provision requiring arbitration for claims of sexual harassment or sexual assault. </w:t>
      </w:r>
    </w:p>
    <w:p w14:paraId="3EAA238D" w14:textId="77777777" w:rsidR="00727951" w:rsidRDefault="00727951" w:rsidP="00727951">
      <w:pPr>
        <w:pStyle w:val="Heading1"/>
        <w:ind w:left="720"/>
        <w:rPr>
          <w:b w:val="0"/>
          <w:bCs w:val="0"/>
          <w:sz w:val="24"/>
          <w:szCs w:val="24"/>
        </w:rPr>
      </w:pPr>
      <w:r>
        <w:rPr>
          <w:b w:val="0"/>
          <w:bCs w:val="0"/>
          <w:sz w:val="24"/>
          <w:szCs w:val="24"/>
        </w:rPr>
        <w:t xml:space="preserve">Note:  </w:t>
      </w:r>
    </w:p>
    <w:p w14:paraId="2022BE0D" w14:textId="77777777" w:rsidR="00727951" w:rsidRPr="00AD3667" w:rsidRDefault="00727951" w:rsidP="00727951">
      <w:pPr>
        <w:pStyle w:val="Heading2"/>
        <w:ind w:left="720"/>
        <w:rPr>
          <w:rFonts w:ascii="Times New Roman" w:hAnsi="Times New Roman"/>
          <w:sz w:val="24"/>
          <w:szCs w:val="24"/>
        </w:rPr>
      </w:pPr>
      <w:r w:rsidRPr="00AD3667">
        <w:rPr>
          <w:rFonts w:ascii="Times New Roman" w:hAnsi="Times New Roman"/>
          <w:sz w:val="24"/>
          <w:szCs w:val="24"/>
        </w:rPr>
        <w:lastRenderedPageBreak/>
        <w:t xml:space="preserve">March 28, 2022: </w:t>
      </w:r>
      <w:r>
        <w:rPr>
          <w:rFonts w:ascii="Times New Roman" w:hAnsi="Times New Roman"/>
          <w:sz w:val="24"/>
          <w:szCs w:val="24"/>
        </w:rPr>
        <w:t>“</w:t>
      </w:r>
      <w:r w:rsidRPr="00AD3667">
        <w:rPr>
          <w:rFonts w:ascii="Times New Roman" w:hAnsi="Times New Roman"/>
          <w:sz w:val="24"/>
          <w:szCs w:val="24"/>
        </w:rPr>
        <w:t>Moving Away from Mandatory Arbitration Over Sexual Assault and Harassment Claims</w:t>
      </w:r>
      <w:r>
        <w:rPr>
          <w:rFonts w:ascii="Times New Roman" w:hAnsi="Times New Roman"/>
          <w:sz w:val="24"/>
          <w:szCs w:val="24"/>
        </w:rPr>
        <w:t xml:space="preserve">.” </w:t>
      </w:r>
      <w:hyperlink r:id="rId1427" w:history="1">
        <w:r w:rsidRPr="007C2998">
          <w:rPr>
            <w:rStyle w:val="Hyperlink"/>
            <w:rFonts w:ascii="Times New Roman" w:hAnsi="Times New Roman"/>
            <w:sz w:val="24"/>
            <w:szCs w:val="24"/>
          </w:rPr>
          <w:t>https://fisheldowney.com/moving-away-mandatory-arbitration-sexual-assault-harassment-claims/</w:t>
        </w:r>
      </w:hyperlink>
      <w:r>
        <w:rPr>
          <w:rFonts w:ascii="Times New Roman" w:hAnsi="Times New Roman"/>
          <w:sz w:val="24"/>
          <w:szCs w:val="24"/>
        </w:rPr>
        <w:t xml:space="preserve"> </w:t>
      </w:r>
    </w:p>
    <w:p w14:paraId="6FE1CCCA" w14:textId="77777777" w:rsidR="00727951" w:rsidRPr="00AD3667" w:rsidRDefault="00727951" w:rsidP="00727951">
      <w:pPr>
        <w:pStyle w:val="Heading1"/>
        <w:ind w:left="1440"/>
        <w:rPr>
          <w:b w:val="0"/>
          <w:bCs w:val="0"/>
          <w:sz w:val="24"/>
          <w:szCs w:val="24"/>
        </w:rPr>
      </w:pPr>
      <w:r>
        <w:rPr>
          <w:b w:val="0"/>
          <w:bCs w:val="0"/>
          <w:sz w:val="24"/>
          <w:szCs w:val="24"/>
        </w:rPr>
        <w:t>“</w:t>
      </w:r>
      <w:r w:rsidRPr="00AD3667">
        <w:rPr>
          <w:b w:val="0"/>
          <w:bCs w:val="0"/>
          <w:sz w:val="24"/>
          <w:szCs w:val="24"/>
        </w:rPr>
        <w:t xml:space="preserve">Given these changes to the FAA, it is critical for employers to review their arbitration agreements and remove any language indicating sexual assault or harassment claims must be arbitrated. The existence of such provisions could invalidate the agreement </w:t>
      </w:r>
      <w:proofErr w:type="gramStart"/>
      <w:r w:rsidRPr="00AD3667">
        <w:rPr>
          <w:b w:val="0"/>
          <w:bCs w:val="0"/>
          <w:sz w:val="24"/>
          <w:szCs w:val="24"/>
        </w:rPr>
        <w:t>in whole</w:t>
      </w:r>
      <w:proofErr w:type="gramEnd"/>
      <w:r w:rsidRPr="00AD3667">
        <w:rPr>
          <w:b w:val="0"/>
          <w:bCs w:val="0"/>
          <w:sz w:val="24"/>
          <w:szCs w:val="24"/>
        </w:rPr>
        <w:t xml:space="preserve"> or in part. In addition to revising the arbitration agreement provisions in the employee handbook or collective bargaining agreement, employers should also tighten their procedures and requirements for investigating and reporting sexual harassment and assault to avoid liability. In terms of reporting procedures, employers should have clearly defined persons of contact for reporting.</w:t>
      </w:r>
      <w:r>
        <w:rPr>
          <w:b w:val="0"/>
          <w:bCs w:val="0"/>
          <w:sz w:val="24"/>
          <w:szCs w:val="24"/>
        </w:rPr>
        <w:t>”</w:t>
      </w:r>
    </w:p>
    <w:p w14:paraId="447A59F1" w14:textId="77777777" w:rsidR="00727951" w:rsidRDefault="00727951" w:rsidP="00727951">
      <w:pPr>
        <w:pStyle w:val="Heading1"/>
        <w:ind w:left="720"/>
        <w:rPr>
          <w:b w:val="0"/>
          <w:bCs w:val="0"/>
          <w:sz w:val="24"/>
          <w:szCs w:val="24"/>
        </w:rPr>
      </w:pPr>
      <w:r w:rsidRPr="002D6970">
        <w:rPr>
          <w:b w:val="0"/>
          <w:bCs w:val="0"/>
          <w:sz w:val="24"/>
          <w:szCs w:val="24"/>
        </w:rPr>
        <w:t xml:space="preserve">March 3, 2022: “Biden signs bill to end forced arbitration in sexual harassment, assault cases.” </w:t>
      </w:r>
      <w:hyperlink r:id="rId1428" w:history="1">
        <w:r w:rsidRPr="005A2A16">
          <w:rPr>
            <w:rStyle w:val="Hyperlink"/>
            <w:rFonts w:eastAsiaTheme="majorEastAsia"/>
            <w:b w:val="0"/>
            <w:bCs w:val="0"/>
            <w:sz w:val="24"/>
            <w:szCs w:val="24"/>
          </w:rPr>
          <w:t>https://www.kktv.com/2022/03/03/biden-sign-bill-ending-forced-arbitration-sexual-harassment-assault-cases/</w:t>
        </w:r>
      </w:hyperlink>
    </w:p>
    <w:p w14:paraId="24D9566F" w14:textId="77777777" w:rsidR="00727951" w:rsidRPr="002D6970" w:rsidRDefault="00727951" w:rsidP="00727951">
      <w:pPr>
        <w:pStyle w:val="Heading1"/>
        <w:ind w:left="1440"/>
        <w:rPr>
          <w:b w:val="0"/>
          <w:bCs w:val="0"/>
          <w:sz w:val="24"/>
          <w:szCs w:val="24"/>
        </w:rPr>
      </w:pPr>
      <w:r w:rsidRPr="00E42A32">
        <w:rPr>
          <w:b w:val="0"/>
          <w:bCs w:val="0"/>
          <w:sz w:val="24"/>
          <w:szCs w:val="24"/>
        </w:rPr>
        <w:t xml:space="preserve">The law is retroactive, freeing individuals who have been bound by </w:t>
      </w:r>
      <w:proofErr w:type="gramStart"/>
      <w:r w:rsidRPr="00E42A32">
        <w:rPr>
          <w:b w:val="0"/>
          <w:bCs w:val="0"/>
          <w:sz w:val="24"/>
          <w:szCs w:val="24"/>
        </w:rPr>
        <w:t>arbitration language</w:t>
      </w:r>
      <w:proofErr w:type="gramEnd"/>
      <w:r w:rsidRPr="00E42A32">
        <w:rPr>
          <w:b w:val="0"/>
          <w:bCs w:val="0"/>
          <w:sz w:val="24"/>
          <w:szCs w:val="24"/>
        </w:rPr>
        <w:t xml:space="preserve"> to pursue legal action against their harassers.</w:t>
      </w:r>
      <w:r>
        <w:rPr>
          <w:b w:val="0"/>
          <w:bCs w:val="0"/>
          <w:sz w:val="24"/>
          <w:szCs w:val="24"/>
        </w:rPr>
        <w:t xml:space="preserve"> </w:t>
      </w:r>
    </w:p>
    <w:p w14:paraId="40D598AC" w14:textId="77777777" w:rsidR="00727951" w:rsidRPr="00E42A32" w:rsidRDefault="00727951" w:rsidP="00727951">
      <w:pPr>
        <w:pStyle w:val="Heading1"/>
        <w:ind w:left="720"/>
        <w:rPr>
          <w:b w:val="0"/>
          <w:bCs w:val="0"/>
          <w:sz w:val="24"/>
          <w:szCs w:val="24"/>
        </w:rPr>
      </w:pPr>
      <w:r>
        <w:rPr>
          <w:b w:val="0"/>
          <w:bCs w:val="0"/>
          <w:sz w:val="24"/>
          <w:szCs w:val="24"/>
        </w:rPr>
        <w:t>March 1, 2022: “</w:t>
      </w:r>
      <w:r w:rsidRPr="00E42A32">
        <w:rPr>
          <w:b w:val="0"/>
          <w:bCs w:val="0"/>
          <w:sz w:val="24"/>
          <w:szCs w:val="24"/>
        </w:rPr>
        <w:t xml:space="preserve">Congress Votes </w:t>
      </w:r>
      <w:proofErr w:type="gramStart"/>
      <w:r w:rsidRPr="00E42A32">
        <w:rPr>
          <w:b w:val="0"/>
          <w:bCs w:val="0"/>
          <w:sz w:val="24"/>
          <w:szCs w:val="24"/>
        </w:rPr>
        <w:t>To</w:t>
      </w:r>
      <w:proofErr w:type="gramEnd"/>
      <w:r w:rsidRPr="00E42A32">
        <w:rPr>
          <w:b w:val="0"/>
          <w:bCs w:val="0"/>
          <w:sz w:val="24"/>
          <w:szCs w:val="24"/>
        </w:rPr>
        <w:t xml:space="preserve"> End Mandatory Arbitration </w:t>
      </w:r>
      <w:proofErr w:type="gramStart"/>
      <w:r w:rsidRPr="00E42A32">
        <w:rPr>
          <w:b w:val="0"/>
          <w:bCs w:val="0"/>
          <w:sz w:val="24"/>
          <w:szCs w:val="24"/>
        </w:rPr>
        <w:t>Of</w:t>
      </w:r>
      <w:proofErr w:type="gramEnd"/>
      <w:r w:rsidRPr="00E42A32">
        <w:rPr>
          <w:b w:val="0"/>
          <w:bCs w:val="0"/>
          <w:sz w:val="24"/>
          <w:szCs w:val="24"/>
        </w:rPr>
        <w:t xml:space="preserve"> Sexual Assault </w:t>
      </w:r>
      <w:proofErr w:type="gramStart"/>
      <w:r w:rsidRPr="00E42A32">
        <w:rPr>
          <w:b w:val="0"/>
          <w:bCs w:val="0"/>
          <w:sz w:val="24"/>
          <w:szCs w:val="24"/>
        </w:rPr>
        <w:t>And</w:t>
      </w:r>
      <w:proofErr w:type="gramEnd"/>
      <w:r w:rsidRPr="00E42A32">
        <w:rPr>
          <w:b w:val="0"/>
          <w:bCs w:val="0"/>
          <w:sz w:val="24"/>
          <w:szCs w:val="24"/>
        </w:rPr>
        <w:t xml:space="preserve"> Sexual Harassment Claims</w:t>
      </w:r>
      <w:r>
        <w:rPr>
          <w:b w:val="0"/>
          <w:bCs w:val="0"/>
          <w:sz w:val="24"/>
          <w:szCs w:val="24"/>
        </w:rPr>
        <w:t xml:space="preserve">.: </w:t>
      </w:r>
      <w:hyperlink r:id="rId1429" w:history="1">
        <w:r w:rsidRPr="005A2A16">
          <w:rPr>
            <w:rStyle w:val="Hyperlink"/>
            <w:rFonts w:eastAsiaTheme="majorEastAsia"/>
            <w:b w:val="0"/>
            <w:bCs w:val="0"/>
            <w:sz w:val="24"/>
            <w:szCs w:val="24"/>
          </w:rPr>
          <w:t>https://www.natlawreview.com/article/congress-votes-to-end-mandatory-arbitration-sexual-assault-and-sexual-harassment</w:t>
        </w:r>
      </w:hyperlink>
      <w:r>
        <w:rPr>
          <w:b w:val="0"/>
          <w:bCs w:val="0"/>
          <w:sz w:val="24"/>
          <w:szCs w:val="24"/>
        </w:rPr>
        <w:t xml:space="preserve"> </w:t>
      </w:r>
    </w:p>
    <w:p w14:paraId="74929011" w14:textId="77777777" w:rsidR="00727951" w:rsidRDefault="00727951" w:rsidP="00F326E5">
      <w:pPr>
        <w:pStyle w:val="NoSpacing"/>
        <w:rPr>
          <w:rFonts w:ascii="Arial Black" w:hAnsi="Arial Black"/>
          <w:sz w:val="24"/>
          <w:szCs w:val="24"/>
        </w:rPr>
      </w:pPr>
    </w:p>
    <w:p w14:paraId="1EFDC43B" w14:textId="77777777" w:rsidR="00727951" w:rsidRDefault="00727951" w:rsidP="00F326E5">
      <w:pPr>
        <w:pStyle w:val="NoSpacing"/>
        <w:rPr>
          <w:rFonts w:ascii="Arial Black" w:hAnsi="Arial Black"/>
          <w:sz w:val="24"/>
          <w:szCs w:val="24"/>
        </w:rPr>
      </w:pPr>
    </w:p>
    <w:p w14:paraId="2037CC9C" w14:textId="4BB94E4D" w:rsidR="00255E41" w:rsidRPr="005644A4" w:rsidRDefault="005644A4" w:rsidP="00F326E5">
      <w:pPr>
        <w:pStyle w:val="NoSpacing"/>
        <w:rPr>
          <w:rFonts w:ascii="Arial Black" w:hAnsi="Arial Black"/>
          <w:sz w:val="24"/>
          <w:szCs w:val="24"/>
        </w:rPr>
      </w:pPr>
      <w:r w:rsidRPr="005644A4">
        <w:rPr>
          <w:rFonts w:ascii="Arial Black" w:hAnsi="Arial Black"/>
          <w:sz w:val="24"/>
          <w:szCs w:val="24"/>
        </w:rPr>
        <w:t>7-40</w:t>
      </w:r>
    </w:p>
    <w:p w14:paraId="20065990" w14:textId="77777777" w:rsidR="00727951" w:rsidRDefault="00727951" w:rsidP="005644A4">
      <w:pPr>
        <w:rPr>
          <w:rFonts w:ascii="Arial Black" w:hAnsi="Arial Black" w:cs="Arial"/>
          <w:sz w:val="28"/>
          <w:szCs w:val="28"/>
        </w:rPr>
      </w:pPr>
      <w:bookmarkStart w:id="281" w:name="_Hlk92114256"/>
      <w:bookmarkStart w:id="282" w:name="_Hlk7344031"/>
    </w:p>
    <w:p w14:paraId="3D8D325B" w14:textId="50491DBA" w:rsidR="005644A4" w:rsidRPr="00DB2B5C" w:rsidRDefault="005644A4" w:rsidP="005644A4">
      <w:pPr>
        <w:rPr>
          <w:rFonts w:ascii="Arial Black" w:hAnsi="Arial Black" w:cs="Arial"/>
          <w:sz w:val="28"/>
          <w:szCs w:val="28"/>
        </w:rPr>
      </w:pPr>
      <w:r>
        <w:rPr>
          <w:rFonts w:ascii="Arial Black" w:hAnsi="Arial Black" w:cs="Arial"/>
          <w:sz w:val="28"/>
          <w:szCs w:val="28"/>
        </w:rPr>
        <w:t>DE: FEMALE FF LAWSUIT TO PROCEED – “ME TOO” EVIDENCE BY OTHER FF OF HOSTILE WORKPLACE</w:t>
      </w:r>
    </w:p>
    <w:p w14:paraId="6CD1B0C9" w14:textId="77777777" w:rsidR="005644A4" w:rsidRDefault="005644A4" w:rsidP="005644A4">
      <w:pPr>
        <w:rPr>
          <w:rFonts w:ascii="Times New Roman" w:eastAsia="Times New Roman" w:hAnsi="Times New Roman"/>
          <w:sz w:val="24"/>
          <w:szCs w:val="24"/>
        </w:rPr>
      </w:pPr>
      <w:r w:rsidRPr="00835368">
        <w:rPr>
          <w:rFonts w:ascii="Times New Roman" w:hAnsi="Times New Roman"/>
          <w:sz w:val="24"/>
          <w:szCs w:val="24"/>
        </w:rPr>
        <w:t xml:space="preserve">On </w:t>
      </w:r>
      <w:r>
        <w:rPr>
          <w:rFonts w:ascii="Times New Roman" w:hAnsi="Times New Roman"/>
          <w:sz w:val="24"/>
          <w:szCs w:val="24"/>
        </w:rPr>
        <w:t xml:space="preserve">Dec. 3, 2021, in </w:t>
      </w:r>
      <w:r w:rsidRPr="00835368">
        <w:rPr>
          <w:rFonts w:ascii="Times New Roman" w:hAnsi="Times New Roman"/>
          <w:sz w:val="24"/>
          <w:szCs w:val="24"/>
          <w:u w:val="single"/>
        </w:rPr>
        <w:t>April D. Molchan v. Delmar Fire Department, Inc.</w:t>
      </w:r>
      <w:r>
        <w:rPr>
          <w:rFonts w:ascii="Times New Roman" w:hAnsi="Times New Roman"/>
          <w:sz w:val="24"/>
          <w:szCs w:val="24"/>
        </w:rPr>
        <w:t>, U.S. District Court Judge Maryellen Noreika, U.S. District Court for District of Delaware, denied in part the FD’s motion for summary judgment.  The Judge ruled there is sufficient evidence misconduct by former Fire Chief “</w:t>
      </w:r>
      <w:r w:rsidRPr="0082464F">
        <w:rPr>
          <w:rFonts w:ascii="Times New Roman" w:eastAsia="Times New Roman" w:hAnsi="Times New Roman"/>
          <w:sz w:val="24"/>
          <w:szCs w:val="24"/>
        </w:rPr>
        <w:t>because several declarants appear to have experienced or witnessed</w:t>
      </w:r>
      <w:r>
        <w:rPr>
          <w:rFonts w:ascii="Times New Roman" w:eastAsia="Times New Roman" w:hAnsi="Times New Roman"/>
          <w:sz w:val="24"/>
          <w:szCs w:val="24"/>
        </w:rPr>
        <w:t xml:space="preserve">” conduct.”  The Judge dismissed the plaintiff’s retaliation claim; she was removed from paid position, along with two other paid firefighters, based on bylaw changing requiring all personnel to either be paid or volunteer members.  </w:t>
      </w:r>
    </w:p>
    <w:p w14:paraId="43780628" w14:textId="77777777" w:rsidR="005644A4" w:rsidRPr="0082464F" w:rsidRDefault="005644A4" w:rsidP="005644A4">
      <w:pPr>
        <w:spacing w:before="100" w:beforeAutospacing="1" w:after="100" w:afterAutospacing="1" w:line="240" w:lineRule="auto"/>
        <w:ind w:left="720" w:firstLine="60"/>
        <w:rPr>
          <w:rFonts w:ascii="Times New Roman" w:eastAsia="Times New Roman" w:hAnsi="Times New Roman"/>
          <w:sz w:val="24"/>
          <w:szCs w:val="24"/>
        </w:rPr>
      </w:pPr>
      <w:r>
        <w:rPr>
          <w:rFonts w:ascii="Times New Roman" w:eastAsia="Times New Roman" w:hAnsi="Times New Roman"/>
          <w:sz w:val="24"/>
          <w:szCs w:val="24"/>
        </w:rPr>
        <w:t>“</w:t>
      </w:r>
      <w:r w:rsidRPr="00F02628">
        <w:rPr>
          <w:rFonts w:ascii="Times New Roman" w:eastAsia="Times New Roman" w:hAnsi="Times New Roman"/>
          <w:sz w:val="24"/>
          <w:szCs w:val="24"/>
        </w:rPr>
        <w:t xml:space="preserve">According to the Supreme Court, </w:t>
      </w:r>
      <w:r>
        <w:rPr>
          <w:rFonts w:ascii="Times New Roman" w:eastAsia="Times New Roman" w:hAnsi="Times New Roman"/>
          <w:sz w:val="24"/>
          <w:szCs w:val="24"/>
        </w:rPr>
        <w:t>‘</w:t>
      </w:r>
      <w:r w:rsidRPr="00F02628">
        <w:rPr>
          <w:rFonts w:ascii="Times New Roman" w:eastAsia="Times New Roman" w:hAnsi="Times New Roman"/>
          <w:sz w:val="24"/>
          <w:szCs w:val="24"/>
        </w:rPr>
        <w:t>me too</w:t>
      </w:r>
      <w:r>
        <w:rPr>
          <w:rFonts w:ascii="Times New Roman" w:eastAsia="Times New Roman" w:hAnsi="Times New Roman"/>
          <w:sz w:val="24"/>
          <w:szCs w:val="24"/>
        </w:rPr>
        <w:t>’</w:t>
      </w:r>
      <w:r w:rsidRPr="00F02628">
        <w:rPr>
          <w:rFonts w:ascii="Times New Roman" w:eastAsia="Times New Roman" w:hAnsi="Times New Roman"/>
          <w:sz w:val="24"/>
          <w:szCs w:val="24"/>
        </w:rPr>
        <w:t xml:space="preserve"> evidence is neither </w:t>
      </w:r>
      <w:r>
        <w:rPr>
          <w:rFonts w:ascii="Times New Roman" w:eastAsia="Times New Roman" w:hAnsi="Times New Roman"/>
          <w:sz w:val="24"/>
          <w:szCs w:val="24"/>
        </w:rPr>
        <w:t>‘</w:t>
      </w:r>
      <w:r w:rsidRPr="00F02628">
        <w:rPr>
          <w:rFonts w:ascii="Times New Roman" w:eastAsia="Times New Roman" w:hAnsi="Times New Roman"/>
          <w:i/>
          <w:iCs/>
          <w:sz w:val="24"/>
          <w:szCs w:val="24"/>
        </w:rPr>
        <w:t>per se</w:t>
      </w:r>
      <w:r w:rsidRPr="00F02628">
        <w:rPr>
          <w:rFonts w:ascii="Times New Roman" w:eastAsia="Times New Roman" w:hAnsi="Times New Roman"/>
          <w:sz w:val="24"/>
          <w:szCs w:val="24"/>
        </w:rPr>
        <w:t xml:space="preserve"> admissible or </w:t>
      </w:r>
      <w:r w:rsidRPr="00F02628">
        <w:rPr>
          <w:rFonts w:ascii="Times New Roman" w:eastAsia="Times New Roman" w:hAnsi="Times New Roman"/>
          <w:i/>
          <w:iCs/>
          <w:sz w:val="24"/>
          <w:szCs w:val="24"/>
        </w:rPr>
        <w:t>per se</w:t>
      </w:r>
      <w:r w:rsidRPr="00F02628">
        <w:rPr>
          <w:rFonts w:ascii="Times New Roman" w:eastAsia="Times New Roman" w:hAnsi="Times New Roman"/>
          <w:sz w:val="24"/>
          <w:szCs w:val="24"/>
        </w:rPr>
        <w:t xml:space="preserve"> inadmissible.</w:t>
      </w:r>
      <w:r>
        <w:rPr>
          <w:rFonts w:ascii="Times New Roman" w:eastAsia="Times New Roman" w:hAnsi="Times New Roman"/>
          <w:sz w:val="24"/>
          <w:szCs w:val="24"/>
        </w:rPr>
        <w:t>’</w:t>
      </w:r>
      <w:r w:rsidRPr="00F02628">
        <w:rPr>
          <w:rFonts w:ascii="Times New Roman" w:eastAsia="Times New Roman" w:hAnsi="Times New Roman"/>
          <w:sz w:val="24"/>
          <w:szCs w:val="24"/>
        </w:rPr>
        <w:t xml:space="preserve"> </w:t>
      </w:r>
      <w:r w:rsidRPr="00F02628">
        <w:rPr>
          <w:rFonts w:ascii="Times New Roman" w:eastAsia="Times New Roman" w:hAnsi="Times New Roman"/>
          <w:i/>
          <w:iCs/>
          <w:sz w:val="24"/>
          <w:szCs w:val="24"/>
        </w:rPr>
        <w:t>Sprint/United Mgmt. Co. v. Mendelsohn</w:t>
      </w:r>
      <w:r w:rsidRPr="00F02628">
        <w:rPr>
          <w:rFonts w:ascii="Times New Roman" w:eastAsia="Times New Roman" w:hAnsi="Times New Roman"/>
          <w:sz w:val="24"/>
          <w:szCs w:val="24"/>
        </w:rPr>
        <w:t xml:space="preserve">, 552 U.S. 379, 388 (2008). The determination of the relevance of this evidence </w:t>
      </w:r>
      <w:r>
        <w:rPr>
          <w:rFonts w:ascii="Times New Roman" w:eastAsia="Times New Roman" w:hAnsi="Times New Roman"/>
          <w:sz w:val="24"/>
          <w:szCs w:val="24"/>
        </w:rPr>
        <w:t>‘</w:t>
      </w:r>
      <w:r w:rsidRPr="00F02628">
        <w:rPr>
          <w:rFonts w:ascii="Times New Roman" w:eastAsia="Times New Roman" w:hAnsi="Times New Roman"/>
          <w:sz w:val="24"/>
          <w:szCs w:val="24"/>
        </w:rPr>
        <w:t>is fact based and depends on several factors, including how closely related the evidence is to the plaintiff's circumstances and theory of the case.</w:t>
      </w:r>
      <w:r>
        <w:rPr>
          <w:rFonts w:ascii="Times New Roman" w:eastAsia="Times New Roman" w:hAnsi="Times New Roman"/>
          <w:sz w:val="24"/>
          <w:szCs w:val="24"/>
        </w:rPr>
        <w:t>’</w:t>
      </w:r>
      <w:r w:rsidRPr="00F02628">
        <w:rPr>
          <w:rFonts w:ascii="Times New Roman" w:eastAsia="Times New Roman" w:hAnsi="Times New Roman"/>
          <w:sz w:val="24"/>
          <w:szCs w:val="24"/>
        </w:rPr>
        <w:t xml:space="preserve"> </w:t>
      </w:r>
      <w:r w:rsidRPr="00F02628">
        <w:rPr>
          <w:rFonts w:ascii="Times New Roman" w:eastAsia="Times New Roman" w:hAnsi="Times New Roman"/>
          <w:i/>
          <w:iCs/>
          <w:sz w:val="24"/>
          <w:szCs w:val="24"/>
        </w:rPr>
        <w:t>Mandel</w:t>
      </w:r>
      <w:r w:rsidRPr="00F02628">
        <w:rPr>
          <w:rFonts w:ascii="Times New Roman" w:eastAsia="Times New Roman" w:hAnsi="Times New Roman"/>
          <w:sz w:val="24"/>
          <w:szCs w:val="24"/>
        </w:rPr>
        <w:t xml:space="preserve">, 706 F.3d at 167. Here, the Court is persuaded that at least some of the offered </w:t>
      </w:r>
      <w:r>
        <w:rPr>
          <w:rFonts w:ascii="Times New Roman" w:eastAsia="Times New Roman" w:hAnsi="Times New Roman"/>
          <w:sz w:val="24"/>
          <w:szCs w:val="24"/>
        </w:rPr>
        <w:t>‘</w:t>
      </w:r>
      <w:r w:rsidRPr="00F02628">
        <w:rPr>
          <w:rFonts w:ascii="Times New Roman" w:eastAsia="Times New Roman" w:hAnsi="Times New Roman"/>
          <w:sz w:val="24"/>
          <w:szCs w:val="24"/>
        </w:rPr>
        <w:t>me too</w:t>
      </w:r>
      <w:r>
        <w:rPr>
          <w:rFonts w:ascii="Times New Roman" w:eastAsia="Times New Roman" w:hAnsi="Times New Roman"/>
          <w:sz w:val="24"/>
          <w:szCs w:val="24"/>
        </w:rPr>
        <w:t xml:space="preserve">’ </w:t>
      </w:r>
      <w:r w:rsidRPr="00F02628">
        <w:rPr>
          <w:rFonts w:ascii="Times New Roman" w:eastAsia="Times New Roman" w:hAnsi="Times New Roman"/>
          <w:sz w:val="24"/>
          <w:szCs w:val="24"/>
        </w:rPr>
        <w:t xml:space="preserve">evidence is relevant, at least because several declarants appear to have experienced or witnessed Rementer's harassment and suggest that Delmar FD was aware of repeated instances of it. Some of the evidence also suggests that </w:t>
      </w:r>
      <w:r>
        <w:rPr>
          <w:rFonts w:ascii="Times New Roman" w:eastAsia="Times New Roman" w:hAnsi="Times New Roman"/>
          <w:sz w:val="24"/>
          <w:szCs w:val="24"/>
        </w:rPr>
        <w:t xml:space="preserve">[former Fire Chief Andrew] </w:t>
      </w:r>
      <w:r w:rsidRPr="00F02628">
        <w:rPr>
          <w:rFonts w:ascii="Times New Roman" w:eastAsia="Times New Roman" w:hAnsi="Times New Roman"/>
          <w:sz w:val="24"/>
          <w:szCs w:val="24"/>
        </w:rPr>
        <w:t xml:space="preserve">Rementer's conduct was well-known within the fire department and thus may bear on whether Plaintiff subjectively perceived the environment to be abusive. And finding that, the Court is </w:t>
      </w:r>
      <w:r w:rsidRPr="00F02628">
        <w:rPr>
          <w:rFonts w:ascii="Times New Roman" w:eastAsia="Times New Roman" w:hAnsi="Times New Roman"/>
          <w:sz w:val="24"/>
          <w:szCs w:val="24"/>
        </w:rPr>
        <w:lastRenderedPageBreak/>
        <w:t xml:space="preserve">persuaded that genuine issues of material fact exist that preclude summary judgment of Plaintiff's hostile work environment </w:t>
      </w:r>
      <w:proofErr w:type="gramStart"/>
      <w:r w:rsidRPr="00F02628">
        <w:rPr>
          <w:rFonts w:ascii="Times New Roman" w:eastAsia="Times New Roman" w:hAnsi="Times New Roman"/>
          <w:sz w:val="24"/>
          <w:szCs w:val="24"/>
        </w:rPr>
        <w:t>claim.</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hyperlink r:id="rId1430" w:history="1">
        <w:r w:rsidRPr="004065C6">
          <w:rPr>
            <w:rStyle w:val="Hyperlink"/>
            <w:rFonts w:ascii="Times New Roman" w:eastAsia="Times New Roman" w:hAnsi="Times New Roman"/>
            <w:sz w:val="24"/>
            <w:szCs w:val="24"/>
          </w:rPr>
          <w:t>https://casetext.com/case/molchan-v-delmar-fire-dept-1</w:t>
        </w:r>
      </w:hyperlink>
      <w:r>
        <w:rPr>
          <w:rFonts w:ascii="Times New Roman" w:eastAsia="Times New Roman" w:hAnsi="Times New Roman"/>
          <w:sz w:val="24"/>
          <w:szCs w:val="24"/>
        </w:rPr>
        <w:t xml:space="preserve"> </w:t>
      </w:r>
    </w:p>
    <w:p w14:paraId="43B13FBB" w14:textId="77777777" w:rsidR="005644A4" w:rsidRPr="00FA336A" w:rsidRDefault="005644A4" w:rsidP="005644A4">
      <w:pPr>
        <w:spacing w:before="100" w:beforeAutospacing="1" w:after="100" w:afterAutospacing="1" w:line="240" w:lineRule="auto"/>
        <w:rPr>
          <w:rFonts w:ascii="Times New Roman" w:eastAsia="Times New Roman" w:hAnsi="Times New Roman"/>
          <w:b/>
          <w:bCs/>
          <w:sz w:val="24"/>
          <w:szCs w:val="24"/>
        </w:rPr>
      </w:pPr>
      <w:bookmarkStart w:id="283" w:name="_Hlk92114275"/>
      <w:bookmarkEnd w:id="281"/>
      <w:r w:rsidRPr="00F02628">
        <w:rPr>
          <w:rFonts w:ascii="Times New Roman" w:hAnsi="Times New Roman"/>
          <w:b/>
          <w:bCs/>
          <w:sz w:val="24"/>
          <w:szCs w:val="24"/>
        </w:rPr>
        <w:t>Legal Lesson Learned:</w:t>
      </w:r>
      <w:r>
        <w:rPr>
          <w:rFonts w:ascii="Times New Roman" w:hAnsi="Times New Roman"/>
          <w:b/>
          <w:bCs/>
          <w:sz w:val="24"/>
          <w:szCs w:val="24"/>
        </w:rPr>
        <w:t xml:space="preserve"> “Me too” evidence can be very damaging when presented by numerous witnesses to the jury.  </w:t>
      </w:r>
    </w:p>
    <w:bookmarkEnd w:id="283"/>
    <w:p w14:paraId="003EDB04" w14:textId="77777777" w:rsidR="005644A4" w:rsidRDefault="005644A4" w:rsidP="002B1283">
      <w:pPr>
        <w:rPr>
          <w:rFonts w:ascii="Arial Black" w:hAnsi="Arial Black"/>
          <w:b/>
          <w:sz w:val="24"/>
          <w:szCs w:val="24"/>
        </w:rPr>
      </w:pPr>
    </w:p>
    <w:p w14:paraId="09F88003" w14:textId="77777777" w:rsidR="005644A4" w:rsidRDefault="005644A4" w:rsidP="002B1283">
      <w:pPr>
        <w:rPr>
          <w:rFonts w:ascii="Arial Black" w:hAnsi="Arial Black"/>
          <w:b/>
          <w:sz w:val="24"/>
          <w:szCs w:val="24"/>
        </w:rPr>
      </w:pPr>
    </w:p>
    <w:p w14:paraId="6BC7995B" w14:textId="751D8EB4" w:rsidR="00433119" w:rsidRDefault="00433119" w:rsidP="002B1283">
      <w:pPr>
        <w:rPr>
          <w:rFonts w:ascii="Arial Black" w:hAnsi="Arial Black"/>
          <w:b/>
          <w:sz w:val="24"/>
          <w:szCs w:val="24"/>
        </w:rPr>
      </w:pPr>
      <w:r>
        <w:rPr>
          <w:rFonts w:ascii="Arial Black" w:hAnsi="Arial Black"/>
          <w:b/>
          <w:sz w:val="24"/>
          <w:szCs w:val="24"/>
        </w:rPr>
        <w:t>7-39</w:t>
      </w:r>
    </w:p>
    <w:p w14:paraId="144195DC" w14:textId="77777777" w:rsidR="005644A4" w:rsidRPr="00DB2B5C" w:rsidRDefault="005644A4" w:rsidP="005644A4">
      <w:pPr>
        <w:rPr>
          <w:rFonts w:ascii="Arial Black" w:hAnsi="Arial Black" w:cs="Arial"/>
          <w:sz w:val="28"/>
          <w:szCs w:val="28"/>
        </w:rPr>
      </w:pPr>
      <w:r>
        <w:rPr>
          <w:rFonts w:ascii="Arial Black" w:hAnsi="Arial Black" w:cs="Arial"/>
          <w:sz w:val="28"/>
          <w:szCs w:val="28"/>
        </w:rPr>
        <w:t>DE: FEMALE FF LAWSUIT TO PROCEED – “ME TOO” EVIDENCE BY OTHER FF OF HOSTILE WORKPLACE</w:t>
      </w:r>
    </w:p>
    <w:p w14:paraId="331EC595" w14:textId="77777777" w:rsidR="005644A4" w:rsidRDefault="005644A4" w:rsidP="005644A4">
      <w:pPr>
        <w:rPr>
          <w:rFonts w:ascii="Times New Roman" w:eastAsia="Times New Roman" w:hAnsi="Times New Roman"/>
          <w:sz w:val="24"/>
          <w:szCs w:val="24"/>
        </w:rPr>
      </w:pPr>
      <w:r w:rsidRPr="00835368">
        <w:rPr>
          <w:rFonts w:ascii="Times New Roman" w:hAnsi="Times New Roman"/>
          <w:sz w:val="24"/>
          <w:szCs w:val="24"/>
        </w:rPr>
        <w:t xml:space="preserve">On </w:t>
      </w:r>
      <w:r>
        <w:rPr>
          <w:rFonts w:ascii="Times New Roman" w:hAnsi="Times New Roman"/>
          <w:sz w:val="24"/>
          <w:szCs w:val="24"/>
        </w:rPr>
        <w:t xml:space="preserve">Dec. 3, 2021, in </w:t>
      </w:r>
      <w:r w:rsidRPr="00835368">
        <w:rPr>
          <w:rFonts w:ascii="Times New Roman" w:hAnsi="Times New Roman"/>
          <w:sz w:val="24"/>
          <w:szCs w:val="24"/>
          <w:u w:val="single"/>
        </w:rPr>
        <w:t>April D. Molchan v. Delmar Fire Department, Inc.</w:t>
      </w:r>
      <w:r>
        <w:rPr>
          <w:rFonts w:ascii="Times New Roman" w:hAnsi="Times New Roman"/>
          <w:sz w:val="24"/>
          <w:szCs w:val="24"/>
        </w:rPr>
        <w:t>, U.S. District Court Judge Maryellen Noreika, U.S. District Court for District of Delaware, denied in part the FD’s motion for summary judgment.  The Judge ruled there is sufficient evidence misconduct by former Fire Chief “</w:t>
      </w:r>
      <w:r w:rsidRPr="0082464F">
        <w:rPr>
          <w:rFonts w:ascii="Times New Roman" w:eastAsia="Times New Roman" w:hAnsi="Times New Roman"/>
          <w:sz w:val="24"/>
          <w:szCs w:val="24"/>
        </w:rPr>
        <w:t>because several declarants appear to have experienced or witnessed</w:t>
      </w:r>
      <w:r>
        <w:rPr>
          <w:rFonts w:ascii="Times New Roman" w:eastAsia="Times New Roman" w:hAnsi="Times New Roman"/>
          <w:sz w:val="24"/>
          <w:szCs w:val="24"/>
        </w:rPr>
        <w:t xml:space="preserve">” conduct.”  The Judge dismissed the plaintiff’s retaliation claim; she was removed from paid position, along with two other paid firefighters, based on bylaw changing requiring all personnel to either be paid or volunteer members.  </w:t>
      </w:r>
    </w:p>
    <w:p w14:paraId="3E8EA27F" w14:textId="77777777" w:rsidR="005644A4" w:rsidRPr="0082464F" w:rsidRDefault="005644A4" w:rsidP="005644A4">
      <w:pPr>
        <w:spacing w:before="100" w:beforeAutospacing="1" w:after="100" w:afterAutospacing="1" w:line="240" w:lineRule="auto"/>
        <w:ind w:left="720" w:firstLine="60"/>
        <w:rPr>
          <w:rFonts w:ascii="Times New Roman" w:eastAsia="Times New Roman" w:hAnsi="Times New Roman"/>
          <w:sz w:val="24"/>
          <w:szCs w:val="24"/>
        </w:rPr>
      </w:pPr>
      <w:r>
        <w:rPr>
          <w:rFonts w:ascii="Times New Roman" w:eastAsia="Times New Roman" w:hAnsi="Times New Roman"/>
          <w:sz w:val="24"/>
          <w:szCs w:val="24"/>
        </w:rPr>
        <w:t>“</w:t>
      </w:r>
      <w:r w:rsidRPr="00F02628">
        <w:rPr>
          <w:rFonts w:ascii="Times New Roman" w:eastAsia="Times New Roman" w:hAnsi="Times New Roman"/>
          <w:sz w:val="24"/>
          <w:szCs w:val="24"/>
        </w:rPr>
        <w:t xml:space="preserve">According to the Supreme Court, </w:t>
      </w:r>
      <w:r>
        <w:rPr>
          <w:rFonts w:ascii="Times New Roman" w:eastAsia="Times New Roman" w:hAnsi="Times New Roman"/>
          <w:sz w:val="24"/>
          <w:szCs w:val="24"/>
        </w:rPr>
        <w:t>‘</w:t>
      </w:r>
      <w:r w:rsidRPr="00F02628">
        <w:rPr>
          <w:rFonts w:ascii="Times New Roman" w:eastAsia="Times New Roman" w:hAnsi="Times New Roman"/>
          <w:sz w:val="24"/>
          <w:szCs w:val="24"/>
        </w:rPr>
        <w:t>me too</w:t>
      </w:r>
      <w:r>
        <w:rPr>
          <w:rFonts w:ascii="Times New Roman" w:eastAsia="Times New Roman" w:hAnsi="Times New Roman"/>
          <w:sz w:val="24"/>
          <w:szCs w:val="24"/>
        </w:rPr>
        <w:t>’</w:t>
      </w:r>
      <w:r w:rsidRPr="00F02628">
        <w:rPr>
          <w:rFonts w:ascii="Times New Roman" w:eastAsia="Times New Roman" w:hAnsi="Times New Roman"/>
          <w:sz w:val="24"/>
          <w:szCs w:val="24"/>
        </w:rPr>
        <w:t xml:space="preserve"> evidence is neither </w:t>
      </w:r>
      <w:r>
        <w:rPr>
          <w:rFonts w:ascii="Times New Roman" w:eastAsia="Times New Roman" w:hAnsi="Times New Roman"/>
          <w:sz w:val="24"/>
          <w:szCs w:val="24"/>
        </w:rPr>
        <w:t>‘</w:t>
      </w:r>
      <w:r w:rsidRPr="00F02628">
        <w:rPr>
          <w:rFonts w:ascii="Times New Roman" w:eastAsia="Times New Roman" w:hAnsi="Times New Roman"/>
          <w:i/>
          <w:iCs/>
          <w:sz w:val="24"/>
          <w:szCs w:val="24"/>
        </w:rPr>
        <w:t>per se</w:t>
      </w:r>
      <w:r w:rsidRPr="00F02628">
        <w:rPr>
          <w:rFonts w:ascii="Times New Roman" w:eastAsia="Times New Roman" w:hAnsi="Times New Roman"/>
          <w:sz w:val="24"/>
          <w:szCs w:val="24"/>
        </w:rPr>
        <w:t xml:space="preserve"> admissible or </w:t>
      </w:r>
      <w:r w:rsidRPr="00F02628">
        <w:rPr>
          <w:rFonts w:ascii="Times New Roman" w:eastAsia="Times New Roman" w:hAnsi="Times New Roman"/>
          <w:i/>
          <w:iCs/>
          <w:sz w:val="24"/>
          <w:szCs w:val="24"/>
        </w:rPr>
        <w:t>per se</w:t>
      </w:r>
      <w:r w:rsidRPr="00F02628">
        <w:rPr>
          <w:rFonts w:ascii="Times New Roman" w:eastAsia="Times New Roman" w:hAnsi="Times New Roman"/>
          <w:sz w:val="24"/>
          <w:szCs w:val="24"/>
        </w:rPr>
        <w:t xml:space="preserve"> inadmissible.</w:t>
      </w:r>
      <w:r>
        <w:rPr>
          <w:rFonts w:ascii="Times New Roman" w:eastAsia="Times New Roman" w:hAnsi="Times New Roman"/>
          <w:sz w:val="24"/>
          <w:szCs w:val="24"/>
        </w:rPr>
        <w:t>’</w:t>
      </w:r>
      <w:r w:rsidRPr="00F02628">
        <w:rPr>
          <w:rFonts w:ascii="Times New Roman" w:eastAsia="Times New Roman" w:hAnsi="Times New Roman"/>
          <w:sz w:val="24"/>
          <w:szCs w:val="24"/>
        </w:rPr>
        <w:t xml:space="preserve"> </w:t>
      </w:r>
      <w:r w:rsidRPr="00F02628">
        <w:rPr>
          <w:rFonts w:ascii="Times New Roman" w:eastAsia="Times New Roman" w:hAnsi="Times New Roman"/>
          <w:i/>
          <w:iCs/>
          <w:sz w:val="24"/>
          <w:szCs w:val="24"/>
        </w:rPr>
        <w:t>Sprint/United Mgmt. Co. v. Mendelsohn</w:t>
      </w:r>
      <w:r w:rsidRPr="00F02628">
        <w:rPr>
          <w:rFonts w:ascii="Times New Roman" w:eastAsia="Times New Roman" w:hAnsi="Times New Roman"/>
          <w:sz w:val="24"/>
          <w:szCs w:val="24"/>
        </w:rPr>
        <w:t xml:space="preserve">, 552 U.S. 379, 388 (2008). The determination of the relevance of this evidence </w:t>
      </w:r>
      <w:r>
        <w:rPr>
          <w:rFonts w:ascii="Times New Roman" w:eastAsia="Times New Roman" w:hAnsi="Times New Roman"/>
          <w:sz w:val="24"/>
          <w:szCs w:val="24"/>
        </w:rPr>
        <w:t>‘</w:t>
      </w:r>
      <w:r w:rsidRPr="00F02628">
        <w:rPr>
          <w:rFonts w:ascii="Times New Roman" w:eastAsia="Times New Roman" w:hAnsi="Times New Roman"/>
          <w:sz w:val="24"/>
          <w:szCs w:val="24"/>
        </w:rPr>
        <w:t>is fact based and depends on several factors, including how closely related the evidence is to the plaintiff's circumstances and theory of the case.</w:t>
      </w:r>
      <w:r>
        <w:rPr>
          <w:rFonts w:ascii="Times New Roman" w:eastAsia="Times New Roman" w:hAnsi="Times New Roman"/>
          <w:sz w:val="24"/>
          <w:szCs w:val="24"/>
        </w:rPr>
        <w:t>’</w:t>
      </w:r>
      <w:r w:rsidRPr="00F02628">
        <w:rPr>
          <w:rFonts w:ascii="Times New Roman" w:eastAsia="Times New Roman" w:hAnsi="Times New Roman"/>
          <w:sz w:val="24"/>
          <w:szCs w:val="24"/>
        </w:rPr>
        <w:t xml:space="preserve"> </w:t>
      </w:r>
      <w:r w:rsidRPr="00F02628">
        <w:rPr>
          <w:rFonts w:ascii="Times New Roman" w:eastAsia="Times New Roman" w:hAnsi="Times New Roman"/>
          <w:i/>
          <w:iCs/>
          <w:sz w:val="24"/>
          <w:szCs w:val="24"/>
        </w:rPr>
        <w:t>Mandel</w:t>
      </w:r>
      <w:r w:rsidRPr="00F02628">
        <w:rPr>
          <w:rFonts w:ascii="Times New Roman" w:eastAsia="Times New Roman" w:hAnsi="Times New Roman"/>
          <w:sz w:val="24"/>
          <w:szCs w:val="24"/>
        </w:rPr>
        <w:t xml:space="preserve">, 706 F.3d at 167. Here, the Court is persuaded that at least some of the offered </w:t>
      </w:r>
      <w:r>
        <w:rPr>
          <w:rFonts w:ascii="Times New Roman" w:eastAsia="Times New Roman" w:hAnsi="Times New Roman"/>
          <w:sz w:val="24"/>
          <w:szCs w:val="24"/>
        </w:rPr>
        <w:t>‘</w:t>
      </w:r>
      <w:r w:rsidRPr="00F02628">
        <w:rPr>
          <w:rFonts w:ascii="Times New Roman" w:eastAsia="Times New Roman" w:hAnsi="Times New Roman"/>
          <w:sz w:val="24"/>
          <w:szCs w:val="24"/>
        </w:rPr>
        <w:t>me too</w:t>
      </w:r>
      <w:r>
        <w:rPr>
          <w:rFonts w:ascii="Times New Roman" w:eastAsia="Times New Roman" w:hAnsi="Times New Roman"/>
          <w:sz w:val="24"/>
          <w:szCs w:val="24"/>
        </w:rPr>
        <w:t xml:space="preserve">’ </w:t>
      </w:r>
      <w:r w:rsidRPr="00F02628">
        <w:rPr>
          <w:rFonts w:ascii="Times New Roman" w:eastAsia="Times New Roman" w:hAnsi="Times New Roman"/>
          <w:sz w:val="24"/>
          <w:szCs w:val="24"/>
        </w:rPr>
        <w:t xml:space="preserve">evidence is relevant, at least because several declarants appear to have experienced or witnessed Rementer's harassment and suggest that Delmar FD was aware of repeated instances of it. Some of the evidence also suggests that </w:t>
      </w:r>
      <w:r>
        <w:rPr>
          <w:rFonts w:ascii="Times New Roman" w:eastAsia="Times New Roman" w:hAnsi="Times New Roman"/>
          <w:sz w:val="24"/>
          <w:szCs w:val="24"/>
        </w:rPr>
        <w:t xml:space="preserve">[former Fire Chief Andrew] </w:t>
      </w:r>
      <w:r w:rsidRPr="00F02628">
        <w:rPr>
          <w:rFonts w:ascii="Times New Roman" w:eastAsia="Times New Roman" w:hAnsi="Times New Roman"/>
          <w:sz w:val="24"/>
          <w:szCs w:val="24"/>
        </w:rPr>
        <w:t xml:space="preserve">Rementer's conduct was well-known within the fire department and thus may bear on whether Plaintiff subjectively perceived the environment to be abusive. And finding that, the Court is persuaded that genuine issues of material fact exist that preclude summary judgment of Plaintiff's hostile work environment </w:t>
      </w:r>
      <w:proofErr w:type="gramStart"/>
      <w:r w:rsidRPr="00F02628">
        <w:rPr>
          <w:rFonts w:ascii="Times New Roman" w:eastAsia="Times New Roman" w:hAnsi="Times New Roman"/>
          <w:sz w:val="24"/>
          <w:szCs w:val="24"/>
        </w:rPr>
        <w:t>claim.</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hyperlink r:id="rId1431" w:history="1">
        <w:r w:rsidRPr="004065C6">
          <w:rPr>
            <w:rStyle w:val="Hyperlink"/>
            <w:rFonts w:ascii="Times New Roman" w:eastAsia="Times New Roman" w:hAnsi="Times New Roman"/>
            <w:sz w:val="24"/>
            <w:szCs w:val="24"/>
          </w:rPr>
          <w:t>https://casetext.com/case/molchan-v-delmar-fire-dept-1</w:t>
        </w:r>
      </w:hyperlink>
      <w:r>
        <w:rPr>
          <w:rFonts w:ascii="Times New Roman" w:eastAsia="Times New Roman" w:hAnsi="Times New Roman"/>
          <w:sz w:val="24"/>
          <w:szCs w:val="24"/>
        </w:rPr>
        <w:t xml:space="preserve"> </w:t>
      </w:r>
    </w:p>
    <w:p w14:paraId="65F45A7C" w14:textId="77777777" w:rsidR="005644A4" w:rsidRPr="00FA336A" w:rsidRDefault="005644A4" w:rsidP="005644A4">
      <w:pPr>
        <w:spacing w:before="100" w:beforeAutospacing="1" w:after="100" w:afterAutospacing="1" w:line="240" w:lineRule="auto"/>
        <w:rPr>
          <w:rFonts w:ascii="Times New Roman" w:eastAsia="Times New Roman" w:hAnsi="Times New Roman"/>
          <w:b/>
          <w:bCs/>
          <w:sz w:val="24"/>
          <w:szCs w:val="24"/>
        </w:rPr>
      </w:pPr>
      <w:r w:rsidRPr="00F02628">
        <w:rPr>
          <w:rFonts w:ascii="Times New Roman" w:hAnsi="Times New Roman"/>
          <w:b/>
          <w:bCs/>
          <w:sz w:val="24"/>
          <w:szCs w:val="24"/>
        </w:rPr>
        <w:t>Legal Lesson Learned:</w:t>
      </w:r>
      <w:r>
        <w:rPr>
          <w:rFonts w:ascii="Times New Roman" w:hAnsi="Times New Roman"/>
          <w:b/>
          <w:bCs/>
          <w:sz w:val="24"/>
          <w:szCs w:val="24"/>
        </w:rPr>
        <w:t xml:space="preserve"> “Me too” evidence can be very damaging when presented by numerous witnesses to the jury.  </w:t>
      </w:r>
    </w:p>
    <w:p w14:paraId="1822C4D3" w14:textId="77777777" w:rsidR="00433119" w:rsidRDefault="00433119" w:rsidP="002B1283">
      <w:pPr>
        <w:rPr>
          <w:rFonts w:ascii="Arial Black" w:hAnsi="Arial Black"/>
          <w:b/>
          <w:sz w:val="24"/>
          <w:szCs w:val="24"/>
        </w:rPr>
      </w:pPr>
    </w:p>
    <w:p w14:paraId="08E4A810" w14:textId="77777777" w:rsidR="00433119" w:rsidRDefault="00433119" w:rsidP="002B1283">
      <w:pPr>
        <w:rPr>
          <w:rFonts w:ascii="Arial Black" w:hAnsi="Arial Black"/>
          <w:b/>
          <w:sz w:val="24"/>
          <w:szCs w:val="24"/>
        </w:rPr>
      </w:pPr>
    </w:p>
    <w:p w14:paraId="3D21A657" w14:textId="63532CA5" w:rsidR="00D43015" w:rsidRDefault="00D43015" w:rsidP="002B1283">
      <w:pPr>
        <w:rPr>
          <w:rFonts w:ascii="Arial Black" w:hAnsi="Arial Black"/>
          <w:b/>
          <w:sz w:val="24"/>
          <w:szCs w:val="24"/>
        </w:rPr>
      </w:pPr>
      <w:r>
        <w:rPr>
          <w:rFonts w:ascii="Arial Black" w:hAnsi="Arial Black"/>
          <w:b/>
          <w:sz w:val="24"/>
          <w:szCs w:val="24"/>
        </w:rPr>
        <w:t>7-38</w:t>
      </w:r>
    </w:p>
    <w:p w14:paraId="7A877E36" w14:textId="77777777" w:rsidR="00D43015" w:rsidRDefault="00D43015" w:rsidP="00D43015">
      <w:pPr>
        <w:spacing w:before="100" w:beforeAutospacing="1" w:after="100" w:afterAutospacing="1" w:line="240" w:lineRule="auto"/>
        <w:rPr>
          <w:rStyle w:val="markedcontent"/>
          <w:rFonts w:ascii="Arial" w:hAnsi="Arial" w:cs="Arial"/>
          <w:sz w:val="30"/>
          <w:szCs w:val="30"/>
        </w:rPr>
      </w:pPr>
      <w:r>
        <w:rPr>
          <w:rStyle w:val="markedcontent"/>
          <w:rFonts w:ascii="Arial Black" w:hAnsi="Arial Black" w:cs="Arial"/>
          <w:sz w:val="28"/>
          <w:szCs w:val="28"/>
        </w:rPr>
        <w:t>MA: FEMALE PROMOTED TO CAPT – NO. 2 ASSESSMENT CENTER – THEN “DEEPLY FLAWED” INTERVIEW FIRE CHIEF / CITY OFFICIALS</w:t>
      </w:r>
    </w:p>
    <w:p w14:paraId="3B01E3F7" w14:textId="77777777" w:rsidR="00D43015" w:rsidRDefault="00D43015" w:rsidP="00D43015">
      <w:pPr>
        <w:spacing w:before="100" w:beforeAutospacing="1" w:after="100" w:afterAutospacing="1" w:line="240" w:lineRule="auto"/>
        <w:rPr>
          <w:rStyle w:val="markedcontent"/>
          <w:rFonts w:ascii="Times New Roman" w:hAnsi="Times New Roman"/>
          <w:sz w:val="24"/>
          <w:szCs w:val="24"/>
        </w:rPr>
      </w:pPr>
      <w:r>
        <w:rPr>
          <w:rStyle w:val="markedcontent"/>
          <w:rFonts w:ascii="Times New Roman" w:hAnsi="Times New Roman"/>
          <w:sz w:val="24"/>
          <w:szCs w:val="24"/>
        </w:rPr>
        <w:t xml:space="preserve">On Nov. 18, 2021, in </w:t>
      </w:r>
      <w:r w:rsidRPr="009658E4">
        <w:rPr>
          <w:rStyle w:val="markedcontent"/>
          <w:rFonts w:ascii="Times New Roman" w:hAnsi="Times New Roman"/>
          <w:sz w:val="24"/>
          <w:szCs w:val="24"/>
          <w:u w:val="single"/>
        </w:rPr>
        <w:t>Tracy Blanchette v. City of Methuen</w:t>
      </w:r>
      <w:r>
        <w:rPr>
          <w:rStyle w:val="markedcontent"/>
          <w:rFonts w:ascii="Times New Roman" w:hAnsi="Times New Roman"/>
          <w:sz w:val="24"/>
          <w:szCs w:val="24"/>
          <w:u w:val="single"/>
        </w:rPr>
        <w:t xml:space="preserve"> and Matthew Tulley, </w:t>
      </w:r>
      <w:r>
        <w:rPr>
          <w:rStyle w:val="markedcontent"/>
          <w:rFonts w:ascii="Times New Roman" w:hAnsi="Times New Roman"/>
          <w:sz w:val="24"/>
          <w:szCs w:val="24"/>
        </w:rPr>
        <w:t xml:space="preserve">the Commonwealth of Massachusetts Civil Service Commission held (5 to 0) that firefighter Tracy Blanchette should have been </w:t>
      </w:r>
      <w:r>
        <w:rPr>
          <w:rStyle w:val="markedcontent"/>
          <w:rFonts w:ascii="Times New Roman" w:hAnsi="Times New Roman"/>
          <w:sz w:val="24"/>
          <w:szCs w:val="24"/>
        </w:rPr>
        <w:lastRenderedPageBreak/>
        <w:t xml:space="preserve">promoted when a second Captain position came open, instead of firefighter Matthew Tulley, and rejected the City’s argument that she was not promoted because of a poor interview 14 months earlier during first Captain opening.  During that first promotion opportunity, a comprehensive Assessment Center ranked </w:t>
      </w:r>
      <w:proofErr w:type="spellStart"/>
      <w:r>
        <w:rPr>
          <w:rStyle w:val="markedcontent"/>
          <w:rFonts w:ascii="Times New Roman" w:hAnsi="Times New Roman"/>
          <w:sz w:val="24"/>
          <w:szCs w:val="24"/>
        </w:rPr>
        <w:t>Blanchtte</w:t>
      </w:r>
      <w:proofErr w:type="spellEnd"/>
      <w:r>
        <w:rPr>
          <w:rStyle w:val="markedcontent"/>
          <w:rFonts w:ascii="Times New Roman" w:hAnsi="Times New Roman"/>
          <w:sz w:val="24"/>
          <w:szCs w:val="24"/>
        </w:rPr>
        <w:t xml:space="preserve"> No. 2, but during the post-Assessment interviews of the four finalists by Fire Chief, Assistant Fire Chief, HR and Mayor’s Chief of Staff, she was ranked No. 4.  Civil Service Commissioner Cynthia A. </w:t>
      </w:r>
      <w:proofErr w:type="spellStart"/>
      <w:r>
        <w:rPr>
          <w:rStyle w:val="markedcontent"/>
          <w:rFonts w:ascii="Times New Roman" w:hAnsi="Times New Roman"/>
          <w:sz w:val="24"/>
          <w:szCs w:val="24"/>
        </w:rPr>
        <w:t>Ittleman</w:t>
      </w:r>
      <w:proofErr w:type="spellEnd"/>
      <w:r>
        <w:rPr>
          <w:rStyle w:val="markedcontent"/>
          <w:rFonts w:ascii="Times New Roman" w:hAnsi="Times New Roman"/>
          <w:sz w:val="24"/>
          <w:szCs w:val="24"/>
        </w:rPr>
        <w:t xml:space="preserve"> wrote a lengthy scathing decision, focusing on (1) Fire Chiefs prior friendship and 8-10 years working </w:t>
      </w:r>
      <w:proofErr w:type="gramStart"/>
      <w:r>
        <w:rPr>
          <w:rStyle w:val="markedcontent"/>
          <w:rFonts w:ascii="Times New Roman" w:hAnsi="Times New Roman"/>
          <w:sz w:val="24"/>
          <w:szCs w:val="24"/>
        </w:rPr>
        <w:t>off-duty</w:t>
      </w:r>
      <w:proofErr w:type="gramEnd"/>
      <w:r>
        <w:rPr>
          <w:rStyle w:val="markedcontent"/>
          <w:rFonts w:ascii="Times New Roman" w:hAnsi="Times New Roman"/>
          <w:sz w:val="24"/>
          <w:szCs w:val="24"/>
        </w:rPr>
        <w:t xml:space="preserve"> in Matthew Tully’s electrical business, and (2) the post-Assessment Center interviews were never recorded by video or audio (at HR’s recommendation). </w:t>
      </w:r>
    </w:p>
    <w:p w14:paraId="5293486E" w14:textId="77777777" w:rsidR="00D43015" w:rsidRPr="00356803" w:rsidRDefault="00D43015" w:rsidP="00D43015">
      <w:pPr>
        <w:spacing w:after="0" w:line="240" w:lineRule="auto"/>
        <w:ind w:left="720"/>
        <w:rPr>
          <w:rStyle w:val="markedcontent"/>
          <w:rFonts w:ascii="Times New Roman" w:hAnsi="Times New Roman"/>
          <w:sz w:val="24"/>
          <w:szCs w:val="24"/>
        </w:rPr>
      </w:pPr>
      <w:r>
        <w:rPr>
          <w:rFonts w:ascii="Times New Roman" w:eastAsia="Times New Roman" w:hAnsi="Times New Roman"/>
          <w:sz w:val="24"/>
          <w:szCs w:val="24"/>
        </w:rPr>
        <w:t xml:space="preserve">“[The City of] </w:t>
      </w:r>
      <w:r w:rsidRPr="001A7900">
        <w:rPr>
          <w:rFonts w:ascii="Times New Roman" w:eastAsia="Times New Roman" w:hAnsi="Times New Roman"/>
          <w:sz w:val="24"/>
          <w:szCs w:val="24"/>
        </w:rPr>
        <w:t>Methuen has failed to establish by a preponderance of credible evidence that it had reasonable justification to promote a male MFD firefighter to Fire Captain from an eligible list created after a comprehensive Assessment Center in which he ranked below the Appellant, a female firefighter with greater experience. Rather, the evidence shows that Methuen’s decision</w:t>
      </w:r>
      <w:r>
        <w:rPr>
          <w:rFonts w:ascii="Times New Roman" w:eastAsia="Times New Roman" w:hAnsi="Times New Roman"/>
          <w:sz w:val="24"/>
          <w:szCs w:val="24"/>
        </w:rPr>
        <w:t xml:space="preserve"> </w:t>
      </w:r>
      <w:r w:rsidRPr="001A7900">
        <w:rPr>
          <w:rFonts w:ascii="Times New Roman" w:eastAsia="Times New Roman" w:hAnsi="Times New Roman"/>
          <w:sz w:val="24"/>
          <w:szCs w:val="24"/>
        </w:rPr>
        <w:t>was based on the use of a highly subjective and flawed interview process intended to nullify the results of the Assessment Center in order to effectuate a predetermined decision to select a candidate favored by the Fire Chief as a matter of personal, not professional, preference, as well as to not disturb the MFD’s male-dominated culture. This selection process was not conducted on a level playing field and violates basic merit principles of civil service law.</w:t>
      </w:r>
      <w:r>
        <w:rPr>
          <w:rFonts w:ascii="Times New Roman" w:eastAsia="Times New Roman" w:hAnsi="Times New Roman"/>
          <w:sz w:val="24"/>
          <w:szCs w:val="24"/>
        </w:rPr>
        <w:t>”</w:t>
      </w:r>
      <w:r w:rsidRPr="00034238">
        <w:t xml:space="preserve"> </w:t>
      </w:r>
      <w:hyperlink r:id="rId1432" w:history="1">
        <w:r w:rsidRPr="0085682C">
          <w:rPr>
            <w:rStyle w:val="Hyperlink"/>
            <w:rFonts w:ascii="Times New Roman" w:hAnsi="Times New Roman"/>
            <w:sz w:val="24"/>
            <w:szCs w:val="24"/>
          </w:rPr>
          <w:t>https://www.mass.gov/doc/blanchette-tracy-v-city-of-methuen-111821/download</w:t>
        </w:r>
      </w:hyperlink>
      <w:r>
        <w:rPr>
          <w:rStyle w:val="markedcontent"/>
          <w:rFonts w:ascii="Times New Roman" w:hAnsi="Times New Roman"/>
          <w:sz w:val="24"/>
          <w:szCs w:val="24"/>
        </w:rPr>
        <w:t xml:space="preserve"> </w:t>
      </w:r>
    </w:p>
    <w:p w14:paraId="1329700B" w14:textId="383CB01A" w:rsidR="00D43015" w:rsidRDefault="00D43015" w:rsidP="002B1283">
      <w:pPr>
        <w:rPr>
          <w:rFonts w:ascii="Arial Black" w:hAnsi="Arial Black"/>
          <w:b/>
          <w:sz w:val="24"/>
          <w:szCs w:val="24"/>
        </w:rPr>
      </w:pPr>
    </w:p>
    <w:p w14:paraId="3062A91C" w14:textId="77777777" w:rsidR="00D43015" w:rsidRPr="007E2D4F" w:rsidRDefault="00D43015" w:rsidP="00D43015">
      <w:pPr>
        <w:spacing w:before="100" w:beforeAutospacing="1" w:after="100" w:afterAutospacing="1" w:line="240" w:lineRule="auto"/>
        <w:rPr>
          <w:rStyle w:val="markedcontent"/>
          <w:rFonts w:ascii="Times New Roman" w:hAnsi="Times New Roman"/>
          <w:b/>
          <w:bCs/>
          <w:sz w:val="24"/>
          <w:szCs w:val="24"/>
        </w:rPr>
      </w:pPr>
      <w:r w:rsidRPr="007E2D4F">
        <w:rPr>
          <w:rStyle w:val="markedcontent"/>
          <w:rFonts w:ascii="Times New Roman" w:hAnsi="Times New Roman"/>
          <w:b/>
          <w:bCs/>
          <w:sz w:val="24"/>
          <w:szCs w:val="24"/>
        </w:rPr>
        <w:t>Legal Lesson Learned:</w:t>
      </w:r>
      <w:r>
        <w:rPr>
          <w:rStyle w:val="markedcontent"/>
          <w:rFonts w:ascii="Times New Roman" w:hAnsi="Times New Roman"/>
          <w:b/>
          <w:bCs/>
          <w:sz w:val="24"/>
          <w:szCs w:val="24"/>
        </w:rPr>
        <w:t xml:space="preserve"> Video or audio record the post Assessment Center interviews.  The City may now appeal this decision to a court of law. </w:t>
      </w:r>
    </w:p>
    <w:p w14:paraId="53FE5F07" w14:textId="77777777" w:rsidR="00D43015" w:rsidRPr="005450F9" w:rsidRDefault="00D43015" w:rsidP="00D43015">
      <w:pPr>
        <w:spacing w:before="100" w:beforeAutospacing="1" w:after="100" w:afterAutospacing="1" w:line="240" w:lineRule="auto"/>
        <w:ind w:left="720"/>
        <w:rPr>
          <w:rFonts w:ascii="Times New Roman" w:eastAsia="Times New Roman" w:hAnsi="Times New Roman"/>
          <w:sz w:val="24"/>
          <w:szCs w:val="24"/>
        </w:rPr>
      </w:pPr>
      <w:r w:rsidRPr="005450F9">
        <w:rPr>
          <w:rStyle w:val="markedcontent"/>
          <w:rFonts w:ascii="Times New Roman" w:hAnsi="Times New Roman"/>
          <w:sz w:val="24"/>
          <w:szCs w:val="24"/>
        </w:rPr>
        <w:t>Note: See article on the decision:</w:t>
      </w:r>
      <w:r>
        <w:rPr>
          <w:rStyle w:val="markedcontent"/>
          <w:rFonts w:ascii="Times New Roman" w:hAnsi="Times New Roman"/>
          <w:sz w:val="24"/>
          <w:szCs w:val="24"/>
        </w:rPr>
        <w:t xml:space="preserve"> Nov. 24, 2021: </w:t>
      </w:r>
      <w:r w:rsidRPr="005450F9">
        <w:rPr>
          <w:rStyle w:val="markedcontent"/>
          <w:rFonts w:ascii="Times New Roman" w:hAnsi="Times New Roman"/>
          <w:sz w:val="24"/>
          <w:szCs w:val="24"/>
        </w:rPr>
        <w:t>“</w:t>
      </w:r>
      <w:r w:rsidRPr="005450F9">
        <w:rPr>
          <w:rFonts w:ascii="Times New Roman" w:hAnsi="Times New Roman"/>
          <w:sz w:val="24"/>
          <w:szCs w:val="24"/>
        </w:rPr>
        <w:t xml:space="preserve">Civil Service Commission sides with Mass. female FF-EMT passed over for promotion.” </w:t>
      </w:r>
      <w:hyperlink r:id="rId1433" w:history="1">
        <w:r w:rsidRPr="005450F9">
          <w:rPr>
            <w:rStyle w:val="Hyperlink"/>
            <w:rFonts w:ascii="Times New Roman" w:eastAsia="Times New Roman" w:hAnsi="Times New Roman"/>
            <w:sz w:val="24"/>
            <w:szCs w:val="24"/>
          </w:rPr>
          <w:t>https://www.firerescue1.com/discrimination/articles/civil-service-commission-sides-with-mass-female-ff-emt-passed-over-for-promotion-OvMbsXKeZfDYHswZ/?utm_source=twitter&amp;utm_medium=social&amp;utm_campaign=dlvrit</w:t>
        </w:r>
      </w:hyperlink>
      <w:r w:rsidRPr="005450F9">
        <w:rPr>
          <w:rFonts w:ascii="Times New Roman" w:eastAsia="Times New Roman" w:hAnsi="Times New Roman"/>
          <w:sz w:val="24"/>
          <w:szCs w:val="24"/>
        </w:rPr>
        <w:t xml:space="preserve"> </w:t>
      </w:r>
    </w:p>
    <w:p w14:paraId="0B3CA3C0" w14:textId="609070CC" w:rsidR="00D43015" w:rsidRPr="00D43015" w:rsidRDefault="00D43015" w:rsidP="00D43015">
      <w:pPr>
        <w:ind w:left="720"/>
        <w:rPr>
          <w:rFonts w:ascii="Times New Roman" w:hAnsi="Times New Roman"/>
          <w:b/>
          <w:sz w:val="24"/>
          <w:szCs w:val="24"/>
        </w:rPr>
      </w:pPr>
      <w:r w:rsidRPr="00D43015">
        <w:rPr>
          <w:rFonts w:ascii="Times New Roman" w:hAnsi="Times New Roman"/>
          <w:sz w:val="24"/>
          <w:szCs w:val="24"/>
        </w:rPr>
        <w:t xml:space="preserve">See also lawsuit: Nov. 11, 2020: “Mass. FF-EMT files gender discrimination lawsuit, says she was passed over for promotion.”  </w:t>
      </w:r>
      <w:hyperlink r:id="rId1434" w:history="1">
        <w:r w:rsidRPr="00D43015">
          <w:rPr>
            <w:rStyle w:val="Hyperlink"/>
            <w:rFonts w:ascii="Times New Roman" w:hAnsi="Times New Roman"/>
            <w:sz w:val="24"/>
            <w:szCs w:val="24"/>
          </w:rPr>
          <w:t>https://www.firerescue1.com/lawsuit/articles/mass-ff-emt-files-gender-discrimination-lawsuit-says-she-was-passed-over-for-promotion-k1Q0mMWcivLWcHoy/</w:t>
        </w:r>
      </w:hyperlink>
    </w:p>
    <w:p w14:paraId="797353A3" w14:textId="77777777" w:rsidR="00D43015" w:rsidRDefault="00D43015" w:rsidP="002B1283">
      <w:pPr>
        <w:rPr>
          <w:rFonts w:ascii="Arial Black" w:hAnsi="Arial Black"/>
          <w:b/>
          <w:sz w:val="24"/>
          <w:szCs w:val="24"/>
        </w:rPr>
      </w:pPr>
    </w:p>
    <w:p w14:paraId="6884500F" w14:textId="4EF71F29" w:rsidR="00C67B2A" w:rsidRDefault="00C67B2A" w:rsidP="002B1283">
      <w:pPr>
        <w:rPr>
          <w:rFonts w:ascii="Arial Black" w:hAnsi="Arial Black"/>
          <w:b/>
          <w:sz w:val="24"/>
          <w:szCs w:val="24"/>
        </w:rPr>
      </w:pPr>
      <w:r>
        <w:rPr>
          <w:rFonts w:ascii="Arial Black" w:hAnsi="Arial Black"/>
          <w:b/>
          <w:sz w:val="24"/>
          <w:szCs w:val="24"/>
        </w:rPr>
        <w:t>7-37</w:t>
      </w:r>
    </w:p>
    <w:p w14:paraId="176EE1F8" w14:textId="77777777" w:rsidR="00C67B2A" w:rsidRPr="00212250" w:rsidRDefault="00C67B2A" w:rsidP="00C67B2A">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LA: FIRE CHIEF (Ret) – “AT WILL” JOB – CONFRONTED BY FEMALE HE HAD DISCIPLINED - HE’S FIRED, NO CASE </w:t>
      </w:r>
    </w:p>
    <w:p w14:paraId="13DFA49D" w14:textId="77777777" w:rsidR="00C67B2A" w:rsidRDefault="00C67B2A" w:rsidP="00C67B2A">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Oct. 28, 2021, in </w:t>
      </w:r>
      <w:r w:rsidRPr="00212250">
        <w:rPr>
          <w:rFonts w:ascii="Times New Roman" w:eastAsia="Times New Roman" w:hAnsi="Times New Roman"/>
          <w:sz w:val="24"/>
          <w:szCs w:val="24"/>
          <w:u w:val="single"/>
        </w:rPr>
        <w:t>Paul Smith v. City of Alexandria</w:t>
      </w:r>
      <w:r>
        <w:rPr>
          <w:rFonts w:ascii="Times New Roman" w:eastAsia="Times New Roman" w:hAnsi="Times New Roman"/>
          <w:sz w:val="24"/>
          <w:szCs w:val="24"/>
        </w:rPr>
        <w:t>, U.S. District Court Judge David C. Joseph, U.S. District Court for Western District of Louisiana (Alexandria Division) granted the City’s motion for summary judgment.  The retired Fire Chief was hired as an “at will” city employee to install smoke detectors in the community and was confronted at a retirement reception for Assistant Chief. The woman who then worked for current Fire Chief confronted him about being at the reception. City said he was fired on the basis that his report to HR falsely stated he had been invited to the retirement reception.</w:t>
      </w:r>
    </w:p>
    <w:p w14:paraId="05BAD363" w14:textId="77777777" w:rsidR="00C67B2A" w:rsidRDefault="00C67B2A" w:rsidP="00C67B2A">
      <w:pPr>
        <w:pStyle w:val="NormalWeb"/>
        <w:ind w:left="720"/>
      </w:pPr>
      <w:r>
        <w:t>“</w:t>
      </w:r>
      <w:r w:rsidRPr="00C522AD">
        <w:t>On May 22, 2019, Plaintiff attended a retirement reception for an Assistant Fire Chief</w:t>
      </w:r>
      <w:r>
        <w:t>….</w:t>
      </w:r>
      <w:r w:rsidRPr="00C522AD">
        <w:t xml:space="preserve"> While at the reception, Fire Department employee Debbye Johnson (</w:t>
      </w:r>
      <w:r>
        <w:t>‘</w:t>
      </w:r>
      <w:r w:rsidRPr="00C522AD">
        <w:t>Johnson</w:t>
      </w:r>
      <w:r>
        <w:t>’</w:t>
      </w:r>
      <w:r w:rsidRPr="00C522AD">
        <w:t xml:space="preserve">) allegedly approached Plaintiff, stuck her finger in his face </w:t>
      </w:r>
      <w:r>
        <w:t>‘</w:t>
      </w:r>
      <w:r w:rsidRPr="00C522AD">
        <w:t>in a hostile manner,</w:t>
      </w:r>
      <w:r>
        <w:t>’</w:t>
      </w:r>
      <w:r w:rsidRPr="00C522AD">
        <w:t xml:space="preserve"> and </w:t>
      </w:r>
      <w:r>
        <w:t>‘</w:t>
      </w:r>
      <w:r w:rsidRPr="00C522AD">
        <w:t>loudly shouted</w:t>
      </w:r>
      <w:r>
        <w:t>’</w:t>
      </w:r>
      <w:r w:rsidRPr="00C522AD">
        <w:t xml:space="preserve"> at Plaintiff, stating, </w:t>
      </w:r>
      <w:r>
        <w:t>‘</w:t>
      </w:r>
      <w:r w:rsidRPr="00C522AD">
        <w:t>your balls must be as big as they ever were for you to come up in here you mother fucker</w:t>
      </w:r>
      <w:r>
        <w:t>….</w:t>
      </w:r>
      <w:r w:rsidRPr="00C522AD">
        <w:t xml:space="preserve">” </w:t>
      </w:r>
    </w:p>
    <w:p w14:paraId="6B4C20DA" w14:textId="77777777" w:rsidR="00C67B2A" w:rsidRDefault="00C67B2A" w:rsidP="00C67B2A">
      <w:pPr>
        <w:pStyle w:val="NormalWeb"/>
        <w:ind w:left="720"/>
      </w:pPr>
      <w:r>
        <w:lastRenderedPageBreak/>
        <w:t xml:space="preserve">As one might expect given the nature of this interaction, Plaintiff and Johnson knew each other and, in fact, had a personal history encompassing several decades. Debbye Johnson was hired by the City in August of 1983 as a Secretary or a ‘Fire Records Clerk…’ On August 18, 1997, Plaintiff, who was then Chief of the Alexandria Fire Department, terminated Johnson's employment for allegedly requesting additional time off after exhausting </w:t>
      </w:r>
      <w:proofErr w:type="gramStart"/>
      <w:r>
        <w:t>all of</w:t>
      </w:r>
      <w:proofErr w:type="gramEnd"/>
      <w:r>
        <w:t xml:space="preserve"> her sick leave, annual leave, and vacation days…. Johnson was then re-hired as a Fire Records Clerk for the City after Plaintiff left the Fire Department and remained in that position from September of 2007 until May of 2014, at which time she became the Fire Chief's Secretary…. Although she was still serving as the Fire Chief's Secretary when she interacted with Plaintiff at the May 22</w:t>
      </w:r>
      <w:r>
        <w:rPr>
          <w:vertAlign w:val="superscript"/>
        </w:rPr>
        <w:t>nd</w:t>
      </w:r>
      <w:r>
        <w:t xml:space="preserve"> reception, she was then suffering from Stage IV cancer. She died approximately four and a half months later. </w:t>
      </w:r>
    </w:p>
    <w:p w14:paraId="62954B9F" w14:textId="77777777" w:rsidR="00C67B2A" w:rsidRDefault="00C67B2A" w:rsidP="00C67B2A">
      <w:pPr>
        <w:pStyle w:val="NormalWeb"/>
        <w:ind w:left="720"/>
      </w:pPr>
      <w:r>
        <w:t>***</w:t>
      </w:r>
    </w:p>
    <w:p w14:paraId="1482F97E" w14:textId="77777777" w:rsidR="00C67B2A" w:rsidRPr="00C522AD" w:rsidRDefault="00C67B2A" w:rsidP="00C67B2A">
      <w:pPr>
        <w:pStyle w:val="NormalWeb"/>
        <w:ind w:left="720"/>
      </w:pPr>
      <w:r>
        <w:t>Plaintiff was, in fact, terminated two weeks after his protected activity. Importantly, however, his June 6, 2019, termination date was also two weeks after: (</w:t>
      </w:r>
      <w:proofErr w:type="spellStart"/>
      <w:r>
        <w:t>i</w:t>
      </w:r>
      <w:proofErr w:type="spellEnd"/>
      <w:r>
        <w:t>) Plaintiff's involvement in a public altercation with another City employee at an official retirement reception; and (ii) his alleged untruthfulness about having been invited to the retirement reception, which was the reason proffered by the City as its legitimate non-retaliatory reason for Plaintiff's termination. Plaintiff has not provided evidence to show that his complaint of sexual harassment, as opposed to his involvement in the events at the May 22</w:t>
      </w:r>
      <w:r>
        <w:rPr>
          <w:vertAlign w:val="superscript"/>
        </w:rPr>
        <w:t>nd</w:t>
      </w:r>
      <w:r>
        <w:t xml:space="preserve"> retirement reception or his supervisor's belief that he had lied, was the but-for </w:t>
      </w:r>
      <w:proofErr w:type="gramStart"/>
      <w:r>
        <w:t>cause</w:t>
      </w:r>
      <w:proofErr w:type="gramEnd"/>
      <w:r>
        <w:t xml:space="preserve"> of his termination.” </w:t>
      </w:r>
      <w:hyperlink r:id="rId1435" w:history="1">
        <w:r w:rsidRPr="00410682">
          <w:rPr>
            <w:rStyle w:val="Hyperlink"/>
          </w:rPr>
          <w:t>https://public.fastcase.com/9SKwsfNqTc6OieYDhNMyM7EtuTmvkEcI7U0T89k%2BFJTh0eKfnpK7LfgjErs00V3IPt4y6nTMDAAfexS5sEGnBSDT8xghzv1Bl3HZnDYTQZc%3D</w:t>
        </w:r>
      </w:hyperlink>
      <w:r>
        <w:t xml:space="preserve"> </w:t>
      </w:r>
    </w:p>
    <w:p w14:paraId="50BD01C3" w14:textId="77777777" w:rsidR="00C67B2A" w:rsidRPr="008120B4" w:rsidRDefault="00C67B2A" w:rsidP="00C67B2A">
      <w:pPr>
        <w:spacing w:before="100" w:beforeAutospacing="1" w:after="100" w:afterAutospacing="1" w:line="240" w:lineRule="auto"/>
        <w:rPr>
          <w:rFonts w:ascii="Times New Roman" w:eastAsia="Times New Roman" w:hAnsi="Times New Roman"/>
          <w:b/>
          <w:bCs/>
          <w:sz w:val="24"/>
          <w:szCs w:val="24"/>
        </w:rPr>
      </w:pPr>
      <w:r w:rsidRPr="008120B4">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“At will” employees can be fired “with or without notice or cause.”</w:t>
      </w:r>
    </w:p>
    <w:p w14:paraId="20337FE8" w14:textId="77777777" w:rsidR="00C67B2A" w:rsidRDefault="00C67B2A" w:rsidP="002B1283">
      <w:pPr>
        <w:rPr>
          <w:rFonts w:ascii="Arial Black" w:hAnsi="Arial Black"/>
          <w:b/>
          <w:sz w:val="24"/>
          <w:szCs w:val="24"/>
        </w:rPr>
      </w:pPr>
    </w:p>
    <w:p w14:paraId="0332904E" w14:textId="370043BD" w:rsidR="00BD1702" w:rsidRDefault="00BD1702" w:rsidP="002B1283">
      <w:pPr>
        <w:rPr>
          <w:rFonts w:ascii="Arial Black" w:hAnsi="Arial Black"/>
          <w:b/>
          <w:sz w:val="24"/>
          <w:szCs w:val="24"/>
        </w:rPr>
      </w:pPr>
      <w:r>
        <w:rPr>
          <w:rFonts w:ascii="Arial Black" w:hAnsi="Arial Black"/>
          <w:b/>
          <w:sz w:val="24"/>
          <w:szCs w:val="24"/>
        </w:rPr>
        <w:t>7-36</w:t>
      </w:r>
    </w:p>
    <w:p w14:paraId="02EF9286" w14:textId="77777777" w:rsidR="00BD1702" w:rsidRDefault="00BD1702" w:rsidP="00BD1702">
      <w:pPr>
        <w:pStyle w:val="Heading1"/>
        <w:rPr>
          <w:rFonts w:ascii="Arial Black" w:hAnsi="Arial Black"/>
          <w:b w:val="0"/>
          <w:bCs w:val="0"/>
          <w:sz w:val="28"/>
          <w:szCs w:val="28"/>
        </w:rPr>
      </w:pPr>
      <w:r>
        <w:rPr>
          <w:rFonts w:ascii="Arial Black" w:hAnsi="Arial Black"/>
          <w:b w:val="0"/>
          <w:bCs w:val="0"/>
          <w:sz w:val="28"/>
          <w:szCs w:val="28"/>
        </w:rPr>
        <w:t>NY: FDNY “CALENDAR GIRL” – LAWSUIT DISMISSED – NO PROOF OF DISCRIMINATION BY HER FEMALE SUPERVISOR</w:t>
      </w:r>
    </w:p>
    <w:p w14:paraId="3BD4D860" w14:textId="77777777" w:rsidR="00BD1702" w:rsidRDefault="00BD1702" w:rsidP="00BD1702">
      <w:pPr>
        <w:pStyle w:val="Heading1"/>
        <w:rPr>
          <w:noProof/>
          <w:sz w:val="22"/>
          <w:szCs w:val="22"/>
        </w:rPr>
      </w:pPr>
      <w:r>
        <w:rPr>
          <w:b w:val="0"/>
          <w:bCs w:val="0"/>
          <w:sz w:val="22"/>
          <w:szCs w:val="22"/>
        </w:rPr>
        <w:t xml:space="preserve">On September 21, 2021, in </w:t>
      </w:r>
      <w:r>
        <w:rPr>
          <w:b w:val="0"/>
          <w:bCs w:val="0"/>
          <w:sz w:val="22"/>
          <w:szCs w:val="22"/>
          <w:u w:val="single"/>
        </w:rPr>
        <w:t>Margot Loth v. City of New York,</w:t>
      </w:r>
      <w:r>
        <w:rPr>
          <w:b w:val="0"/>
          <w:bCs w:val="0"/>
          <w:sz w:val="22"/>
          <w:szCs w:val="22"/>
        </w:rPr>
        <w:t xml:space="preserve"> U.S. District Court Judge George B. Daniels granted the City’s motion for summary judgment.  In 2019, plaintiff was featured in the NYFD’s “Calendar of Heroes.”   </w:t>
      </w:r>
    </w:p>
    <w:p w14:paraId="6F7DAF78" w14:textId="77777777" w:rsidR="00BD1702" w:rsidRDefault="00BD1702" w:rsidP="00BD1702">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“With regards to the ‘calendar girl’ moniker, Plaintiff [EMT] argues that Tiberi's [Captain Donna Lynn Hannon Tiberi] ‘inherent reference to [</w:t>
      </w:r>
      <w:proofErr w:type="gramStart"/>
      <w:r>
        <w:rPr>
          <w:rFonts w:ascii="Times New Roman" w:hAnsi="Times New Roman"/>
          <w:sz w:val="24"/>
          <w:szCs w:val="24"/>
        </w:rPr>
        <w:t>Plaintiffs</w:t>
      </w:r>
      <w:proofErr w:type="gramEnd"/>
      <w:r>
        <w:rPr>
          <w:rFonts w:ascii="Times New Roman" w:hAnsi="Times New Roman"/>
          <w:sz w:val="24"/>
          <w:szCs w:val="24"/>
        </w:rPr>
        <w:t xml:space="preserve">] gender’ and the fact that the comment was used in a ‘disparaging’ manner, is sufficient to give rise to an inference of discrimination. (Pl.'s Opp. 19.) However, the mere fact that Plaintiffs gender was mentioned is insufficient to establish an inference of discrimination…. Therefore, Plaintiff has failed to plausibly allege that Tiberi's reference to Plaintiff as ‘calendar girl’ supports an inference of discriminatory animus.” </w:t>
      </w:r>
      <w:hyperlink r:id="rId1436" w:history="1">
        <w:r>
          <w:rPr>
            <w:rStyle w:val="Hyperlink"/>
            <w:sz w:val="24"/>
            <w:szCs w:val="24"/>
          </w:rPr>
          <w:t>https://www.leagle.com/decision/infdco20210924575</w:t>
        </w:r>
      </w:hyperlink>
      <w:r>
        <w:rPr>
          <w:rFonts w:ascii="Times New Roman" w:hAnsi="Times New Roman"/>
          <w:sz w:val="24"/>
          <w:szCs w:val="24"/>
        </w:rPr>
        <w:t xml:space="preserve"> </w:t>
      </w:r>
    </w:p>
    <w:p w14:paraId="5B12B132" w14:textId="77777777" w:rsidR="00BD1702" w:rsidRDefault="00BD1702" w:rsidP="00BD1702">
      <w:pPr>
        <w:pStyle w:val="Heading1"/>
        <w:rPr>
          <w:sz w:val="24"/>
          <w:szCs w:val="24"/>
        </w:rPr>
      </w:pPr>
      <w:r>
        <w:rPr>
          <w:sz w:val="24"/>
          <w:szCs w:val="24"/>
        </w:rPr>
        <w:t xml:space="preserve">Legal Lesson Learned: Plaintiff failed to prove her employment was “materially </w:t>
      </w:r>
      <w:proofErr w:type="gramStart"/>
      <w:r>
        <w:rPr>
          <w:sz w:val="24"/>
          <w:szCs w:val="24"/>
        </w:rPr>
        <w:t>change:</w:t>
      </w:r>
      <w:proofErr w:type="gramEnd"/>
      <w:r>
        <w:rPr>
          <w:sz w:val="24"/>
          <w:szCs w:val="24"/>
        </w:rPr>
        <w:t xml:space="preserve"> based on discipline imposed by her Supervisor. </w:t>
      </w:r>
    </w:p>
    <w:p w14:paraId="3FCBA7C2" w14:textId="7724BABB" w:rsidR="00BD1702" w:rsidRPr="00D43015" w:rsidRDefault="00BD1702" w:rsidP="00D43015">
      <w:pPr>
        <w:ind w:left="720"/>
        <w:rPr>
          <w:rFonts w:ascii="Times New Roman" w:hAnsi="Times New Roman"/>
          <w:b/>
          <w:sz w:val="24"/>
          <w:szCs w:val="24"/>
        </w:rPr>
      </w:pPr>
      <w:r w:rsidRPr="00D43015">
        <w:rPr>
          <w:rFonts w:ascii="Times New Roman" w:hAnsi="Times New Roman"/>
          <w:sz w:val="24"/>
          <w:szCs w:val="24"/>
        </w:rPr>
        <w:t xml:space="preserve">Note: See the Oct. 4, </w:t>
      </w:r>
      <w:proofErr w:type="gramStart"/>
      <w:r w:rsidRPr="00D43015">
        <w:rPr>
          <w:rFonts w:ascii="Times New Roman" w:hAnsi="Times New Roman"/>
          <w:sz w:val="24"/>
          <w:szCs w:val="24"/>
        </w:rPr>
        <w:t>2021</w:t>
      </w:r>
      <w:proofErr w:type="gramEnd"/>
      <w:r w:rsidRPr="00D43015">
        <w:rPr>
          <w:rFonts w:ascii="Times New Roman" w:hAnsi="Times New Roman"/>
          <w:sz w:val="24"/>
          <w:szCs w:val="24"/>
        </w:rPr>
        <w:t xml:space="preserve"> article, “Judge dismisses federal gender discrimination suit of FDNY EMT who posed for calendar.”</w:t>
      </w:r>
      <w:r w:rsidRPr="00D43015">
        <w:rPr>
          <w:rFonts w:ascii="Times New Roman" w:hAnsi="Times New Roman"/>
          <w:b/>
          <w:bCs/>
          <w:sz w:val="24"/>
          <w:szCs w:val="24"/>
        </w:rPr>
        <w:t xml:space="preserve">  </w:t>
      </w:r>
      <w:r w:rsidRPr="00D43015">
        <w:rPr>
          <w:rFonts w:ascii="Times New Roman" w:hAnsi="Times New Roman"/>
          <w:sz w:val="24"/>
          <w:szCs w:val="24"/>
        </w:rPr>
        <w:t xml:space="preserve">In a prior posting on the FDNY Foundation's Facebook page, Loth spoke about her reasons for posing for the calendar. ‘I know some very strong and beautiful women from the previous calendars, and they were such an inspiration to me,’ she said. ‘We are a force to be reckoned </w:t>
      </w:r>
      <w:r w:rsidRPr="00D43015">
        <w:rPr>
          <w:rFonts w:ascii="Times New Roman" w:hAnsi="Times New Roman"/>
          <w:sz w:val="24"/>
          <w:szCs w:val="24"/>
        </w:rPr>
        <w:lastRenderedPageBreak/>
        <w:t xml:space="preserve">with in this department. We are comfortable with our skills, strong, confident, and we look out for each other. We are opening doors and breaking glass ceilings, and I am proud to be a part of it.’ </w:t>
      </w:r>
      <w:hyperlink r:id="rId1437" w:history="1">
        <w:r w:rsidRPr="00D43015">
          <w:rPr>
            <w:rStyle w:val="Hyperlink"/>
            <w:rFonts w:ascii="Times New Roman" w:hAnsi="Times New Roman"/>
            <w:sz w:val="24"/>
            <w:szCs w:val="24"/>
          </w:rPr>
          <w:t>https://www.firerescue1.com/lawsuit/articles/judge-dismisses-federal-gender-discrimination-suit-of-fdny-emt-who-posed-for-calendar-v4FDLqPObm3t3BSV/?utm_source=FireRescue1&amp;utm_campaign=dfa53e36a0-EMAIL_CAMPAIGN_2021_10_08_06_27&amp;utm_medium=email&amp;utm_term=0_1d76c7ca1b-dfa53e36a0-91025172</w:t>
        </w:r>
      </w:hyperlink>
    </w:p>
    <w:p w14:paraId="5A71F094" w14:textId="77777777" w:rsidR="00BD1702" w:rsidRDefault="00BD1702" w:rsidP="002B1283">
      <w:pPr>
        <w:rPr>
          <w:rFonts w:ascii="Arial Black" w:hAnsi="Arial Black"/>
          <w:b/>
          <w:sz w:val="24"/>
          <w:szCs w:val="24"/>
        </w:rPr>
      </w:pPr>
    </w:p>
    <w:p w14:paraId="62DC0B26" w14:textId="45D6BF33" w:rsidR="00BD263B" w:rsidRDefault="00BD263B" w:rsidP="002B1283">
      <w:pPr>
        <w:rPr>
          <w:rFonts w:ascii="Arial Black" w:hAnsi="Arial Black"/>
          <w:b/>
          <w:sz w:val="24"/>
          <w:szCs w:val="24"/>
        </w:rPr>
      </w:pPr>
      <w:r>
        <w:rPr>
          <w:rFonts w:ascii="Arial Black" w:hAnsi="Arial Black"/>
          <w:b/>
          <w:sz w:val="24"/>
          <w:szCs w:val="24"/>
        </w:rPr>
        <w:t>7-35</w:t>
      </w:r>
    </w:p>
    <w:p w14:paraId="5C49381F" w14:textId="77777777" w:rsidR="00BD263B" w:rsidRDefault="00BD263B" w:rsidP="00BD263B">
      <w:pPr>
        <w:pStyle w:val="Heading1"/>
        <w:rPr>
          <w:b w:val="0"/>
          <w:bCs w:val="0"/>
          <w:sz w:val="24"/>
          <w:szCs w:val="24"/>
        </w:rPr>
      </w:pPr>
      <w:bookmarkStart w:id="284" w:name="_Hlk81842187"/>
      <w:r>
        <w:rPr>
          <w:rFonts w:ascii="Arial Black" w:hAnsi="Arial Black"/>
          <w:sz w:val="28"/>
          <w:szCs w:val="28"/>
        </w:rPr>
        <w:t xml:space="preserve">NB: FEMALE FF - DENIED “OUTSIDE” INVESTIGATION BY COURT - CAPTAIN NEVER ABANDONED CREW </w:t>
      </w:r>
    </w:p>
    <w:bookmarkEnd w:id="284"/>
    <w:p w14:paraId="7FFAEE1A" w14:textId="77777777" w:rsidR="00BD263B" w:rsidRPr="002F0EFC" w:rsidRDefault="00BD263B" w:rsidP="00BD263B">
      <w:pPr>
        <w:pStyle w:val="Heading1"/>
        <w:rPr>
          <w:b w:val="0"/>
          <w:bCs w:val="0"/>
          <w:sz w:val="24"/>
          <w:szCs w:val="24"/>
        </w:rPr>
      </w:pPr>
      <w:r>
        <w:rPr>
          <w:b w:val="0"/>
          <w:bCs w:val="0"/>
          <w:sz w:val="24"/>
          <w:szCs w:val="24"/>
        </w:rPr>
        <w:t xml:space="preserve">On Aug. 16, 2021, in </w:t>
      </w:r>
      <w:r w:rsidRPr="002F0EFC">
        <w:rPr>
          <w:b w:val="0"/>
          <w:bCs w:val="0"/>
          <w:sz w:val="24"/>
          <w:szCs w:val="24"/>
          <w:u w:val="single"/>
        </w:rPr>
        <w:t>Amanda Benson v. City of Lincoln, Shawn Mahler, et al</w:t>
      </w:r>
      <w:r>
        <w:rPr>
          <w:b w:val="0"/>
          <w:bCs w:val="0"/>
          <w:sz w:val="24"/>
          <w:szCs w:val="24"/>
        </w:rPr>
        <w:t>., Senior District Judge Richard G. Kopf, U.S. District Court for District of Nebraska, who is presiding over plaintiff’s pending lawsuit claiming sexual harassment over the years by Captain Shawn Mahler denied the plaintiff’s request for a preliminary injunction and hearing.  The judge denied her three requests: “(</w:t>
      </w:r>
      <w:r w:rsidRPr="002F0EFC">
        <w:rPr>
          <w:b w:val="0"/>
          <w:bCs w:val="0"/>
          <w:sz w:val="24"/>
          <w:szCs w:val="24"/>
        </w:rPr>
        <w:t xml:space="preserve">1) order the City of Lincoln to immediately initiate disciplinary proceedings against Mahler; </w:t>
      </w:r>
      <w:r>
        <w:rPr>
          <w:b w:val="0"/>
          <w:bCs w:val="0"/>
          <w:sz w:val="24"/>
          <w:szCs w:val="24"/>
        </w:rPr>
        <w:t>(</w:t>
      </w:r>
      <w:r w:rsidRPr="002F0EFC">
        <w:rPr>
          <w:b w:val="0"/>
          <w:bCs w:val="0"/>
          <w:sz w:val="24"/>
          <w:szCs w:val="24"/>
        </w:rPr>
        <w:t xml:space="preserve">2) enjoin Mahler from assignment/dispatch to any fire scene during the pendency of disciplinary proceedings; and </w:t>
      </w:r>
      <w:r>
        <w:rPr>
          <w:b w:val="0"/>
          <w:bCs w:val="0"/>
          <w:sz w:val="24"/>
          <w:szCs w:val="24"/>
        </w:rPr>
        <w:t>(</w:t>
      </w:r>
      <w:r w:rsidRPr="002F0EFC">
        <w:rPr>
          <w:b w:val="0"/>
          <w:bCs w:val="0"/>
          <w:sz w:val="24"/>
          <w:szCs w:val="24"/>
        </w:rPr>
        <w:t>3) appoint an independent, third-party investigator to investigate Plaintiff's complaint about Mahler's actions at the recent warehouse fire."</w:t>
      </w:r>
      <w:r>
        <w:rPr>
          <w:b w:val="0"/>
          <w:bCs w:val="0"/>
          <w:sz w:val="24"/>
          <w:szCs w:val="24"/>
        </w:rPr>
        <w:t xml:space="preserve">  The judge found that no firefighter or officer at that scene of the warehouse fire confirmed her allegation that Captain Mahler had “abandoned” her and no one reported any safety concerns to the Safety Officer.  Federal courts are not “super-personnel departments.” </w:t>
      </w:r>
    </w:p>
    <w:p w14:paraId="588D4A6A" w14:textId="77777777" w:rsidR="00BD263B" w:rsidRDefault="00BD263B" w:rsidP="00BD263B">
      <w:pPr>
        <w:pStyle w:val="Heading1"/>
        <w:ind w:left="720"/>
        <w:rPr>
          <w:b w:val="0"/>
          <w:bCs w:val="0"/>
          <w:sz w:val="24"/>
          <w:szCs w:val="24"/>
        </w:rPr>
      </w:pPr>
      <w:r>
        <w:rPr>
          <w:b w:val="0"/>
          <w:bCs w:val="0"/>
          <w:sz w:val="24"/>
          <w:szCs w:val="24"/>
        </w:rPr>
        <w:t>“</w:t>
      </w:r>
      <w:r w:rsidRPr="00EA597C">
        <w:rPr>
          <w:b w:val="0"/>
          <w:bCs w:val="0"/>
          <w:sz w:val="24"/>
          <w:szCs w:val="24"/>
        </w:rPr>
        <w:t>The relief requested in Plaintiff's Motion is not to remedy discriminatory employment practices, but to impose directives upon LFR regarding whom it should discipline, whom it should send to fire scenes, and whom to investigate—issues in which federal courts should not be involved</w:t>
      </w:r>
      <w:r>
        <w:rPr>
          <w:b w:val="0"/>
          <w:bCs w:val="0"/>
          <w:sz w:val="24"/>
          <w:szCs w:val="24"/>
        </w:rPr>
        <w:t xml:space="preserve">….  </w:t>
      </w:r>
      <w:r w:rsidRPr="002F0EFC">
        <w:rPr>
          <w:b w:val="0"/>
          <w:bCs w:val="0"/>
          <w:i/>
          <w:iCs/>
          <w:sz w:val="24"/>
          <w:szCs w:val="24"/>
        </w:rPr>
        <w:t>See Gardner v. Wal-Mart Stores, Inc.,</w:t>
      </w:r>
      <w:r w:rsidRPr="002F0EFC">
        <w:rPr>
          <w:b w:val="0"/>
          <w:bCs w:val="0"/>
          <w:sz w:val="24"/>
          <w:szCs w:val="24"/>
        </w:rPr>
        <w:t xml:space="preserve"> 2 F.4th 745, 748-49 (8th Cir. 2021) (federal courts are not super-personnel departments who reexamine an employer's business decisions)</w:t>
      </w:r>
      <w:r>
        <w:rPr>
          <w:b w:val="0"/>
          <w:bCs w:val="0"/>
          <w:sz w:val="24"/>
          <w:szCs w:val="24"/>
        </w:rPr>
        <w:t xml:space="preserve">. </w:t>
      </w:r>
    </w:p>
    <w:p w14:paraId="3F6C9ECC" w14:textId="77777777" w:rsidR="00BD263B" w:rsidRDefault="00BD263B" w:rsidP="00BD263B">
      <w:pPr>
        <w:pStyle w:val="Heading1"/>
        <w:ind w:firstLine="720"/>
        <w:rPr>
          <w:b w:val="0"/>
          <w:bCs w:val="0"/>
          <w:sz w:val="24"/>
          <w:szCs w:val="24"/>
        </w:rPr>
      </w:pPr>
      <w:r>
        <w:rPr>
          <w:b w:val="0"/>
          <w:bCs w:val="0"/>
          <w:sz w:val="24"/>
          <w:szCs w:val="24"/>
        </w:rPr>
        <w:t>***</w:t>
      </w:r>
    </w:p>
    <w:p w14:paraId="4514CD3A" w14:textId="77777777" w:rsidR="00BD263B" w:rsidRDefault="00BD263B" w:rsidP="00BD263B">
      <w:pPr>
        <w:pStyle w:val="Heading1"/>
        <w:ind w:left="720"/>
        <w:rPr>
          <w:b w:val="0"/>
          <w:bCs w:val="0"/>
          <w:sz w:val="24"/>
          <w:szCs w:val="24"/>
          <w:vertAlign w:val="superscript"/>
        </w:rPr>
      </w:pPr>
      <w:r w:rsidRPr="002F0EFC">
        <w:rPr>
          <w:b w:val="0"/>
          <w:bCs w:val="0"/>
          <w:sz w:val="24"/>
          <w:szCs w:val="24"/>
        </w:rPr>
        <w:t xml:space="preserve">The evidence shows that, with the exception of Plaintiff, no person on Mahler's and Plaintiff's crew, nor the Incident Commander or the Safety Officer, believed that Mahler was a Ventilation Group Supervisor, that Mahler abandoned Plaintiff and her crew in a dangerous situation, or that Mahler was duty-bound to direct or supervise Plaintiff and her crew. In short, there is no evidence that Plaintiff and Mahler were anything more than peers in the incident at issue. The court declines to grant an injunction against Mahler for failing to direct, supervise, and protect when he was under no duty to do so. The equities of this situation simply do not warrant preliminary injunctive </w:t>
      </w:r>
      <w:proofErr w:type="gramStart"/>
      <w:r w:rsidRPr="002F0EFC">
        <w:rPr>
          <w:b w:val="0"/>
          <w:bCs w:val="0"/>
          <w:sz w:val="24"/>
          <w:szCs w:val="24"/>
        </w:rPr>
        <w:t>relief</w:t>
      </w:r>
      <w:r>
        <w:rPr>
          <w:b w:val="0"/>
          <w:bCs w:val="0"/>
          <w:sz w:val="24"/>
          <w:szCs w:val="24"/>
        </w:rPr>
        <w:t>.”</w:t>
      </w:r>
      <w:proofErr w:type="gramEnd"/>
      <w:r>
        <w:rPr>
          <w:b w:val="0"/>
          <w:bCs w:val="0"/>
          <w:sz w:val="24"/>
          <w:szCs w:val="24"/>
        </w:rPr>
        <w:t xml:space="preserve"> </w:t>
      </w:r>
      <w:hyperlink r:id="rId1438" w:history="1">
        <w:r w:rsidRPr="00EE73D5">
          <w:rPr>
            <w:rStyle w:val="Hyperlink"/>
            <w:sz w:val="24"/>
            <w:szCs w:val="24"/>
          </w:rPr>
          <w:t>https://scholar.google.com/scholar_case?case=18355840808386135290&amp;hl=en&amp;as_sdt=6&amp;as_vis=1&amp;oi=scholarr</w:t>
        </w:r>
      </w:hyperlink>
      <w:r>
        <w:rPr>
          <w:b w:val="0"/>
          <w:bCs w:val="0"/>
          <w:sz w:val="24"/>
          <w:szCs w:val="24"/>
        </w:rPr>
        <w:t xml:space="preserve"> </w:t>
      </w:r>
    </w:p>
    <w:p w14:paraId="311505C4" w14:textId="77777777" w:rsidR="00BD263B" w:rsidRPr="007C2273" w:rsidRDefault="00BD263B" w:rsidP="00BD263B">
      <w:pPr>
        <w:tabs>
          <w:tab w:val="left" w:pos="3090"/>
        </w:tabs>
        <w:spacing w:after="100" w:line="240" w:lineRule="auto"/>
        <w:rPr>
          <w:rFonts w:ascii="Times New Roman" w:eastAsia="Times New Roman" w:hAnsi="Times New Roman"/>
          <w:b/>
          <w:bCs/>
          <w:sz w:val="24"/>
          <w:szCs w:val="24"/>
        </w:rPr>
      </w:pPr>
      <w:r w:rsidRPr="007C2273">
        <w:rPr>
          <w:rFonts w:ascii="Times New Roman" w:hAnsi="Times New Roman"/>
          <w:b/>
          <w:bCs/>
          <w:sz w:val="24"/>
          <w:szCs w:val="24"/>
        </w:rPr>
        <w:t>Legal Lesson Learned</w:t>
      </w:r>
      <w:r>
        <w:rPr>
          <w:rFonts w:ascii="Times New Roman" w:hAnsi="Times New Roman"/>
          <w:b/>
          <w:bCs/>
          <w:sz w:val="24"/>
          <w:szCs w:val="24"/>
        </w:rPr>
        <w:t xml:space="preserve">:  Federal courts will issue injunctions only when there is a threat of “irreparable harm.” </w:t>
      </w:r>
    </w:p>
    <w:p w14:paraId="0E8AF3B8" w14:textId="77777777" w:rsidR="00BD263B" w:rsidRPr="007A4A18" w:rsidRDefault="00BD263B" w:rsidP="00BD263B">
      <w:pPr>
        <w:pStyle w:val="Heading1"/>
        <w:ind w:left="720"/>
        <w:rPr>
          <w:b w:val="0"/>
          <w:bCs w:val="0"/>
          <w:sz w:val="24"/>
          <w:szCs w:val="24"/>
        </w:rPr>
      </w:pPr>
      <w:r w:rsidRPr="007A4A18">
        <w:rPr>
          <w:b w:val="0"/>
          <w:bCs w:val="0"/>
          <w:sz w:val="24"/>
          <w:szCs w:val="24"/>
        </w:rPr>
        <w:t xml:space="preserve">Note: See Aug. 20, </w:t>
      </w:r>
      <w:proofErr w:type="gramStart"/>
      <w:r w:rsidRPr="007A4A18">
        <w:rPr>
          <w:b w:val="0"/>
          <w:bCs w:val="0"/>
          <w:sz w:val="24"/>
          <w:szCs w:val="24"/>
        </w:rPr>
        <w:t>2021</w:t>
      </w:r>
      <w:proofErr w:type="gramEnd"/>
      <w:r w:rsidRPr="007A4A18">
        <w:rPr>
          <w:b w:val="0"/>
          <w:bCs w:val="0"/>
          <w:sz w:val="24"/>
          <w:szCs w:val="24"/>
        </w:rPr>
        <w:t xml:space="preserve"> article:</w:t>
      </w:r>
      <w:r>
        <w:rPr>
          <w:sz w:val="24"/>
          <w:szCs w:val="24"/>
        </w:rPr>
        <w:t xml:space="preserve"> </w:t>
      </w:r>
      <w:r w:rsidRPr="007A4A18">
        <w:rPr>
          <w:b w:val="0"/>
          <w:bCs w:val="0"/>
          <w:sz w:val="24"/>
          <w:szCs w:val="24"/>
        </w:rPr>
        <w:t xml:space="preserve">“Federal judge denies request for injunction, independent review in firefighter's lawsuit.” </w:t>
      </w:r>
      <w:hyperlink r:id="rId1439" w:history="1">
        <w:r w:rsidRPr="00EE73D5">
          <w:rPr>
            <w:rStyle w:val="Hyperlink"/>
            <w:sz w:val="24"/>
            <w:szCs w:val="24"/>
          </w:rPr>
          <w:t>https://journalstar.com/news/local/crime-and-courts/federal-judge-denies-</w:t>
        </w:r>
        <w:r w:rsidRPr="00EE73D5">
          <w:rPr>
            <w:rStyle w:val="Hyperlink"/>
            <w:sz w:val="24"/>
            <w:szCs w:val="24"/>
          </w:rPr>
          <w:lastRenderedPageBreak/>
          <w:t>request-for-injunction-independent-review-in-firefights-lawsuit/article_57be96fb-75f1-5b57-90b3-87e7c60cfb50.html</w:t>
        </w:r>
      </w:hyperlink>
      <w:r>
        <w:rPr>
          <w:b w:val="0"/>
          <w:bCs w:val="0"/>
          <w:sz w:val="24"/>
          <w:szCs w:val="24"/>
        </w:rPr>
        <w:t xml:space="preserve"> </w:t>
      </w:r>
    </w:p>
    <w:p w14:paraId="03B48036" w14:textId="77777777" w:rsidR="00BD263B" w:rsidRPr="007A4A18" w:rsidRDefault="00BD263B" w:rsidP="00BD263B">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7A4A18">
        <w:rPr>
          <w:rFonts w:ascii="Times New Roman" w:eastAsia="Times New Roman" w:hAnsi="Times New Roman"/>
          <w:sz w:val="24"/>
          <w:szCs w:val="24"/>
        </w:rPr>
        <w:t>In 2018, Benson sued, alleging that the city turned a blind eye to complaints about a hostile work environment, exonerated employees who contributed to it and failed to take steps to fix it.</w:t>
      </w:r>
      <w:r>
        <w:rPr>
          <w:rFonts w:ascii="Times New Roman" w:eastAsia="Times New Roman" w:hAnsi="Times New Roman"/>
          <w:sz w:val="24"/>
          <w:szCs w:val="24"/>
        </w:rPr>
        <w:t xml:space="preserve"> </w:t>
      </w:r>
      <w:r w:rsidRPr="007A4A18">
        <w:rPr>
          <w:rFonts w:ascii="Times New Roman" w:eastAsia="Times New Roman" w:hAnsi="Times New Roman"/>
          <w:sz w:val="24"/>
          <w:szCs w:val="24"/>
        </w:rPr>
        <w:t>The lawsuit followed two others by then-</w:t>
      </w:r>
      <w:proofErr w:type="spellStart"/>
      <w:r w:rsidRPr="007A4A18">
        <w:rPr>
          <w:rFonts w:ascii="Times New Roman" w:eastAsia="Times New Roman" w:hAnsi="Times New Roman"/>
          <w:sz w:val="24"/>
          <w:szCs w:val="24"/>
        </w:rPr>
        <w:t>Capts</w:t>
      </w:r>
      <w:proofErr w:type="spellEnd"/>
      <w:r w:rsidRPr="007A4A18">
        <w:rPr>
          <w:rFonts w:ascii="Times New Roman" w:eastAsia="Times New Roman" w:hAnsi="Times New Roman"/>
          <w:sz w:val="24"/>
          <w:szCs w:val="24"/>
        </w:rPr>
        <w:t>. Brian Giles and Troy Hurd, alleging they faced retaliation for reporting harassment of female firefighters.</w:t>
      </w:r>
      <w:r>
        <w:rPr>
          <w:rFonts w:ascii="Times New Roman" w:eastAsia="Times New Roman" w:hAnsi="Times New Roman"/>
          <w:sz w:val="24"/>
          <w:szCs w:val="24"/>
        </w:rPr>
        <w:t xml:space="preserve"> </w:t>
      </w:r>
      <w:r w:rsidRPr="007A4A18">
        <w:rPr>
          <w:rFonts w:ascii="Times New Roman" w:eastAsia="Times New Roman" w:hAnsi="Times New Roman"/>
          <w:sz w:val="24"/>
          <w:szCs w:val="24"/>
        </w:rPr>
        <w:t>In 2019, a federal jury awarded Hurd $1.1 million. The judgment later was reduced by a judge, and the city agreed to pay Hurd $600,000 to avoid a second trial.</w:t>
      </w:r>
      <w:r>
        <w:rPr>
          <w:rFonts w:ascii="Times New Roman" w:eastAsia="Times New Roman" w:hAnsi="Times New Roman"/>
          <w:sz w:val="24"/>
          <w:szCs w:val="24"/>
        </w:rPr>
        <w:t>”</w:t>
      </w:r>
    </w:p>
    <w:p w14:paraId="6E35847B" w14:textId="77777777" w:rsidR="00BD263B" w:rsidRDefault="00BD263B" w:rsidP="002B1283">
      <w:pPr>
        <w:rPr>
          <w:rFonts w:ascii="Arial Black" w:hAnsi="Arial Black"/>
          <w:b/>
          <w:sz w:val="24"/>
          <w:szCs w:val="24"/>
        </w:rPr>
      </w:pPr>
    </w:p>
    <w:p w14:paraId="7B4A97E2" w14:textId="77777777" w:rsidR="00BD263B" w:rsidRDefault="00BD263B" w:rsidP="002B1283">
      <w:pPr>
        <w:rPr>
          <w:rFonts w:ascii="Arial Black" w:hAnsi="Arial Black"/>
          <w:b/>
          <w:sz w:val="24"/>
          <w:szCs w:val="24"/>
        </w:rPr>
      </w:pPr>
    </w:p>
    <w:p w14:paraId="2D7B7107" w14:textId="2EA4973C" w:rsidR="00BD263B" w:rsidRDefault="00BD263B" w:rsidP="002B1283">
      <w:pPr>
        <w:rPr>
          <w:rFonts w:ascii="Arial Black" w:hAnsi="Arial Black"/>
          <w:b/>
          <w:sz w:val="24"/>
          <w:szCs w:val="24"/>
        </w:rPr>
      </w:pPr>
      <w:r>
        <w:rPr>
          <w:rFonts w:ascii="Arial Black" w:hAnsi="Arial Black"/>
          <w:b/>
          <w:sz w:val="24"/>
          <w:szCs w:val="24"/>
        </w:rPr>
        <w:t>7-34</w:t>
      </w:r>
    </w:p>
    <w:p w14:paraId="3DBF6150" w14:textId="77777777" w:rsidR="00BD263B" w:rsidRPr="0013564B" w:rsidRDefault="00BD263B" w:rsidP="00BD263B">
      <w:pPr>
        <w:pStyle w:val="NormalWeb"/>
        <w:rPr>
          <w:rFonts w:ascii="Arial Black" w:hAnsi="Arial Black"/>
          <w:sz w:val="28"/>
          <w:szCs w:val="28"/>
        </w:rPr>
      </w:pPr>
      <w:bookmarkStart w:id="285" w:name="_Hlk81842244"/>
      <w:r>
        <w:rPr>
          <w:rFonts w:ascii="Arial Black" w:hAnsi="Arial Black"/>
          <w:sz w:val="28"/>
          <w:szCs w:val="28"/>
        </w:rPr>
        <w:t xml:space="preserve">UT: FEMALE BATTALION CHIEF – DEMOTED, TERMINATED –SEXIST COMMENTS SUPERIORS - LAWSUIT MAY PROCEED </w:t>
      </w:r>
    </w:p>
    <w:bookmarkEnd w:id="285"/>
    <w:p w14:paraId="7205176C" w14:textId="77777777" w:rsidR="00BD263B" w:rsidRDefault="00BD263B" w:rsidP="00BD263B">
      <w:pPr>
        <w:pStyle w:val="NormalWeb"/>
        <w:tabs>
          <w:tab w:val="left" w:pos="6730"/>
        </w:tabs>
      </w:pPr>
      <w:r>
        <w:t xml:space="preserve">On Aug. 10, 2021, in </w:t>
      </w:r>
      <w:r w:rsidRPr="0013564B">
        <w:rPr>
          <w:u w:val="single"/>
        </w:rPr>
        <w:t>Martha Ellis v. Salt Lake City Corp, et al</w:t>
      </w:r>
      <w:r>
        <w:t>., U.S. District Court judge Jill N. Parrish granted plaintiff’s motion to reinstate her Equal Protection claim based on her 2016 demotion from Battalion Chief / Fire Marshal to Captain, and termination on March 17, 2017.  The judge referenced her 22-year career with Salt Lake City Fire Department, the first and only female to hold rank of chief officer, and cited numerous offensive comments, including her immediate Supervisor [Deputy Chief] who allegedly “suggested that Ellis ‘throw tampons’ at her employees if they got ‘whiney’ and referred to other women in the Fire Department as ‘bitches’ and called them ‘bitchy.’”</w:t>
      </w:r>
    </w:p>
    <w:p w14:paraId="48607083" w14:textId="77777777" w:rsidR="00BD263B" w:rsidRDefault="00BD263B" w:rsidP="00BD263B">
      <w:pPr>
        <w:pStyle w:val="NormalWeb"/>
        <w:ind w:left="720"/>
      </w:pPr>
      <w:r>
        <w:t xml:space="preserve">“Here, Ellis has included sufficient factual allegations in her Complaint to state a plausible prima facie case of discriminatory demotion. First, she is a woman and is therefore within a protected group. Second, she alleges that she was adversely affected by the demotion because she lost rank and her pay was reduced. </w:t>
      </w:r>
      <w:r>
        <w:rPr>
          <w:rStyle w:val="Emphasis"/>
        </w:rPr>
        <w:t>See</w:t>
      </w:r>
      <w:r>
        <w:t xml:space="preserve"> ECF No. 54 at ¶131. Third, she alleges that she was qualified for the position from which she was demoted because she had held the position for seven years, had obtained postgraduate education, and had an exemplary employment record, including having won various awards. </w:t>
      </w:r>
      <w:r>
        <w:rPr>
          <w:rStyle w:val="Emphasis"/>
        </w:rPr>
        <w:t>See id.</w:t>
      </w:r>
      <w:r>
        <w:t xml:space="preserve"> </w:t>
      </w:r>
      <w:proofErr w:type="gramStart"/>
      <w:r>
        <w:t>at ¶¶</w:t>
      </w:r>
      <w:proofErr w:type="gramEnd"/>
      <w:r>
        <w:t xml:space="preserve"> 20-26. Finally, it can be reasonably inferred from the Complaint that the </w:t>
      </w:r>
      <w:proofErr w:type="gramStart"/>
      <w:r>
        <w:t>City</w:t>
      </w:r>
      <w:proofErr w:type="gramEnd"/>
      <w:r>
        <w:t xml:space="preserve"> did not eliminate the position after Ellis was demoted from it. This is because Ellis alleges that the city improperly failed to reinstate her to her former position even after the Civil Service Commission overturned her demotion. </w:t>
      </w:r>
      <w:r>
        <w:rPr>
          <w:rStyle w:val="Emphasis"/>
        </w:rPr>
        <w:t>See id.</w:t>
      </w:r>
      <w:r>
        <w:t xml:space="preserve"> at ¶¶ 176-178. Accordingly, the court reinstates Ellis's Section 1983 claim for discriminatory </w:t>
      </w:r>
      <w:proofErr w:type="gramStart"/>
      <w:r>
        <w:t>demotion.”</w:t>
      </w:r>
      <w:proofErr w:type="gramEnd"/>
      <w:r>
        <w:t xml:space="preserve"> </w:t>
      </w:r>
      <w:hyperlink r:id="rId1440" w:history="1">
        <w:r w:rsidRPr="00472D9E">
          <w:rPr>
            <w:rStyle w:val="Hyperlink"/>
          </w:rPr>
          <w:t>https://www.leagle.com/decision/infdco20210812991</w:t>
        </w:r>
      </w:hyperlink>
      <w:r>
        <w:t xml:space="preserve"> </w:t>
      </w:r>
    </w:p>
    <w:p w14:paraId="07A6BCD5" w14:textId="77777777" w:rsidR="00BD263B" w:rsidRPr="008729DF" w:rsidRDefault="00BD263B" w:rsidP="00BD263B">
      <w:pPr>
        <w:pStyle w:val="NormalWeb"/>
        <w:rPr>
          <w:b/>
          <w:bCs/>
        </w:rPr>
      </w:pPr>
      <w:r w:rsidRPr="008729DF">
        <w:rPr>
          <w:b/>
          <w:bCs/>
        </w:rPr>
        <w:t>Legal Lesson Learned:</w:t>
      </w:r>
      <w:r>
        <w:rPr>
          <w:b/>
          <w:bCs/>
        </w:rPr>
        <w:t xml:space="preserve"> Inappropriate, sexist comments can lead to EEOC charges and litigation. </w:t>
      </w:r>
    </w:p>
    <w:p w14:paraId="0DB6ED6F" w14:textId="77777777" w:rsidR="00BD263B" w:rsidRDefault="00BD263B" w:rsidP="002B1283">
      <w:pPr>
        <w:rPr>
          <w:rFonts w:ascii="Arial Black" w:hAnsi="Arial Black"/>
          <w:b/>
          <w:sz w:val="24"/>
          <w:szCs w:val="24"/>
        </w:rPr>
      </w:pPr>
    </w:p>
    <w:p w14:paraId="232280B1" w14:textId="77777777" w:rsidR="00BD263B" w:rsidRDefault="00BD263B" w:rsidP="002B1283">
      <w:pPr>
        <w:rPr>
          <w:rFonts w:ascii="Arial Black" w:hAnsi="Arial Black"/>
          <w:b/>
          <w:sz w:val="24"/>
          <w:szCs w:val="24"/>
        </w:rPr>
      </w:pPr>
    </w:p>
    <w:p w14:paraId="3130A682" w14:textId="73ABDBF7" w:rsidR="005217D5" w:rsidRDefault="005217D5" w:rsidP="002B1283">
      <w:pPr>
        <w:rPr>
          <w:rFonts w:ascii="Arial Black" w:hAnsi="Arial Black"/>
          <w:b/>
          <w:sz w:val="24"/>
          <w:szCs w:val="24"/>
        </w:rPr>
      </w:pPr>
      <w:r>
        <w:rPr>
          <w:rFonts w:ascii="Arial Black" w:hAnsi="Arial Black"/>
          <w:b/>
          <w:sz w:val="24"/>
          <w:szCs w:val="24"/>
        </w:rPr>
        <w:t>7-33</w:t>
      </w:r>
    </w:p>
    <w:p w14:paraId="112BE40C" w14:textId="77777777" w:rsidR="005217D5" w:rsidRPr="00827F2A" w:rsidRDefault="005217D5" w:rsidP="005217D5">
      <w:pPr>
        <w:rPr>
          <w:rStyle w:val="markedcontent"/>
          <w:rFonts w:ascii="Arial Black" w:hAnsi="Arial Black"/>
          <w:sz w:val="28"/>
          <w:szCs w:val="28"/>
        </w:rPr>
      </w:pPr>
      <w:r w:rsidRPr="00827F2A">
        <w:rPr>
          <w:rStyle w:val="markedcontent"/>
          <w:rFonts w:ascii="Arial Black" w:hAnsi="Arial Black"/>
          <w:sz w:val="28"/>
          <w:szCs w:val="28"/>
        </w:rPr>
        <w:t>MA:</w:t>
      </w:r>
      <w:r>
        <w:rPr>
          <w:rStyle w:val="markedcontent"/>
          <w:rFonts w:ascii="Arial Black" w:hAnsi="Arial Black"/>
          <w:sz w:val="28"/>
          <w:szCs w:val="28"/>
        </w:rPr>
        <w:t xml:space="preserve">  STATE CIVIL SERVICE COMMISSION ORDERS 3 FF REHIRED – FIRE CHIEF TO BE DISCIPLINED 2016 INCIDENT</w:t>
      </w:r>
    </w:p>
    <w:p w14:paraId="5BD85CAD" w14:textId="77777777" w:rsidR="005217D5" w:rsidRDefault="005217D5" w:rsidP="005217D5">
      <w:pPr>
        <w:rPr>
          <w:rStyle w:val="markedcontent"/>
          <w:rFonts w:ascii="Times New Roman" w:hAnsi="Times New Roman"/>
          <w:sz w:val="24"/>
          <w:szCs w:val="24"/>
        </w:rPr>
      </w:pPr>
      <w:r>
        <w:rPr>
          <w:rStyle w:val="markedcontent"/>
          <w:rFonts w:ascii="Times New Roman" w:hAnsi="Times New Roman"/>
          <w:sz w:val="24"/>
          <w:szCs w:val="24"/>
        </w:rPr>
        <w:lastRenderedPageBreak/>
        <w:t xml:space="preserve">On May 21, 2021, in </w:t>
      </w:r>
      <w:r w:rsidRPr="00827F2A">
        <w:rPr>
          <w:rStyle w:val="markedcontent"/>
          <w:rFonts w:ascii="Times New Roman" w:hAnsi="Times New Roman"/>
          <w:sz w:val="24"/>
          <w:szCs w:val="24"/>
          <w:u w:val="single"/>
        </w:rPr>
        <w:t>Kyle Miltimore, Rebecca Boutin, David Kennedy v. Westfield Fire Commission,</w:t>
      </w:r>
      <w:r>
        <w:rPr>
          <w:rStyle w:val="markedcontent"/>
          <w:rFonts w:ascii="Times New Roman" w:hAnsi="Times New Roman"/>
          <w:sz w:val="24"/>
          <w:szCs w:val="24"/>
        </w:rPr>
        <w:t xml:space="preserve"> the state Civil Service Commission held (5 to 0) that “</w:t>
      </w:r>
      <w:r w:rsidRPr="00827F2A">
        <w:rPr>
          <w:rStyle w:val="markedcontent"/>
          <w:rFonts w:ascii="Times New Roman" w:hAnsi="Times New Roman"/>
          <w:sz w:val="24"/>
          <w:szCs w:val="24"/>
        </w:rPr>
        <w:t>Westfield Fire Commission has not shown, by a preponderance of the evidence, that there was just cause for terminating the Appellants from their employment</w:t>
      </w:r>
      <w:r>
        <w:rPr>
          <w:rStyle w:val="markedcontent"/>
          <w:rFonts w:ascii="Times New Roman" w:hAnsi="Times New Roman"/>
          <w:sz w:val="24"/>
          <w:szCs w:val="24"/>
        </w:rPr>
        <w:t xml:space="preserve">.”  The two male firefighters and female Captain Rebecca Boutin were terminated in December 2019 upon recommendation of outside lawyer hired by the City. Female Captain to serve 30-day suspension, however, for incorrectly telling others that the then-Deputy Chief (now Fire Chief) was going to be arrested for rape.  All to be put back on </w:t>
      </w:r>
      <w:proofErr w:type="gramStart"/>
      <w:r>
        <w:rPr>
          <w:rStyle w:val="markedcontent"/>
          <w:rFonts w:ascii="Times New Roman" w:hAnsi="Times New Roman"/>
          <w:sz w:val="24"/>
          <w:szCs w:val="24"/>
        </w:rPr>
        <w:t>payroll, but</w:t>
      </w:r>
      <w:proofErr w:type="gramEnd"/>
      <w:r>
        <w:rPr>
          <w:rStyle w:val="markedcontent"/>
          <w:rFonts w:ascii="Times New Roman" w:hAnsi="Times New Roman"/>
          <w:sz w:val="24"/>
          <w:szCs w:val="24"/>
        </w:rPr>
        <w:t xml:space="preserve"> not return to work until Fire Chief is disciplined for admittedly grouping a female nurse off duty after a 2016 St. Patrick’s Day parade and the Commission’s other requirements for a “safe work environment” are in place. </w:t>
      </w:r>
    </w:p>
    <w:p w14:paraId="16683B28" w14:textId="77777777" w:rsidR="005217D5" w:rsidRDefault="005217D5" w:rsidP="005217D5">
      <w:pPr>
        <w:ind w:left="720"/>
        <w:rPr>
          <w:rStyle w:val="markedcontent"/>
          <w:rFonts w:ascii="Times New Roman" w:hAnsi="Times New Roman"/>
          <w:sz w:val="24"/>
          <w:szCs w:val="24"/>
        </w:rPr>
      </w:pPr>
      <w:r>
        <w:rPr>
          <w:rStyle w:val="markedcontent"/>
          <w:rFonts w:ascii="Times New Roman" w:hAnsi="Times New Roman"/>
          <w:sz w:val="24"/>
          <w:szCs w:val="24"/>
        </w:rPr>
        <w:t>“</w:t>
      </w:r>
      <w:r w:rsidRPr="00E004CD">
        <w:rPr>
          <w:rStyle w:val="markedcontent"/>
          <w:rFonts w:ascii="Times New Roman" w:hAnsi="Times New Roman"/>
          <w:sz w:val="24"/>
          <w:szCs w:val="24"/>
        </w:rPr>
        <w:t xml:space="preserve">McDonald’s </w:t>
      </w:r>
      <w:r>
        <w:rPr>
          <w:rStyle w:val="markedcontent"/>
          <w:rFonts w:ascii="Times New Roman" w:hAnsi="Times New Roman"/>
          <w:sz w:val="24"/>
          <w:szCs w:val="24"/>
        </w:rPr>
        <w:t xml:space="preserve">[Investigating attorney Dawn McDonald, Esq.] </w:t>
      </w:r>
      <w:r w:rsidRPr="00E004CD">
        <w:rPr>
          <w:rStyle w:val="markedcontent"/>
          <w:rFonts w:ascii="Times New Roman" w:hAnsi="Times New Roman"/>
          <w:sz w:val="24"/>
          <w:szCs w:val="24"/>
        </w:rPr>
        <w:t>conclusion that the Appellants damaged the morale of the Westfield Fire Department is without merit and can be addressed summarily. As discussed in more detail below regarding disparate treatment, any purported poor morale in the Department cannot be traced back exclusively to the Appellants, but, rather, was attributable to many factors, including, in substantial part, the conduct of the individual who the Westfield Fire Commission has now chosen to lead the Department – Patrick Egloff.</w:t>
      </w:r>
    </w:p>
    <w:p w14:paraId="37B22CFF" w14:textId="77777777" w:rsidR="005217D5" w:rsidRDefault="005217D5" w:rsidP="005217D5">
      <w:pPr>
        <w:ind w:left="720"/>
        <w:rPr>
          <w:rStyle w:val="markedcontent"/>
          <w:rFonts w:ascii="Times New Roman" w:hAnsi="Times New Roman"/>
          <w:sz w:val="24"/>
          <w:szCs w:val="24"/>
        </w:rPr>
      </w:pPr>
      <w:r>
        <w:rPr>
          <w:rStyle w:val="markedcontent"/>
          <w:rFonts w:ascii="Times New Roman" w:hAnsi="Times New Roman"/>
          <w:sz w:val="24"/>
          <w:szCs w:val="24"/>
        </w:rPr>
        <w:t>***</w:t>
      </w:r>
    </w:p>
    <w:p w14:paraId="497506B5" w14:textId="77777777" w:rsidR="005217D5" w:rsidRPr="005309C0" w:rsidRDefault="005217D5" w:rsidP="005217D5">
      <w:pPr>
        <w:ind w:left="720"/>
        <w:rPr>
          <w:rStyle w:val="markedcontent"/>
          <w:rFonts w:ascii="Times New Roman" w:hAnsi="Times New Roman"/>
          <w:sz w:val="24"/>
          <w:szCs w:val="24"/>
        </w:rPr>
      </w:pPr>
      <w:r w:rsidRPr="005309C0">
        <w:rPr>
          <w:rStyle w:val="markedcontent"/>
          <w:rFonts w:ascii="Times New Roman" w:hAnsi="Times New Roman"/>
          <w:sz w:val="24"/>
          <w:szCs w:val="24"/>
        </w:rPr>
        <w:t>McDonald reports that Egloff admitted to the assault on Ms. N (</w:t>
      </w:r>
      <w:r>
        <w:rPr>
          <w:rStyle w:val="markedcontent"/>
          <w:rFonts w:ascii="Times New Roman" w:hAnsi="Times New Roman"/>
          <w:sz w:val="24"/>
          <w:szCs w:val="24"/>
        </w:rPr>
        <w:t>‘</w:t>
      </w:r>
      <w:r w:rsidRPr="005309C0">
        <w:rPr>
          <w:rStyle w:val="markedcontent"/>
          <w:rFonts w:ascii="Times New Roman" w:hAnsi="Times New Roman"/>
          <w:sz w:val="24"/>
          <w:szCs w:val="24"/>
        </w:rPr>
        <w:t>grabbed her by the vagina</w:t>
      </w:r>
      <w:r>
        <w:rPr>
          <w:rStyle w:val="markedcontent"/>
          <w:rFonts w:ascii="Times New Roman" w:hAnsi="Times New Roman"/>
          <w:sz w:val="24"/>
          <w:szCs w:val="24"/>
        </w:rPr>
        <w:t>’</w:t>
      </w:r>
      <w:r w:rsidRPr="005309C0">
        <w:rPr>
          <w:rStyle w:val="markedcontent"/>
          <w:rFonts w:ascii="Times New Roman" w:hAnsi="Times New Roman"/>
          <w:sz w:val="24"/>
          <w:szCs w:val="24"/>
        </w:rPr>
        <w:t xml:space="preserve">). Specifically, McDonald’s report states: </w:t>
      </w:r>
      <w:r w:rsidRPr="005309C0">
        <w:rPr>
          <w:rFonts w:ascii="Times New Roman" w:hAnsi="Times New Roman"/>
          <w:sz w:val="24"/>
          <w:szCs w:val="24"/>
        </w:rPr>
        <w:br/>
      </w:r>
      <w:r w:rsidRPr="005309C0">
        <w:rPr>
          <w:rFonts w:ascii="Times New Roman" w:hAnsi="Times New Roman"/>
          <w:sz w:val="24"/>
          <w:szCs w:val="24"/>
        </w:rPr>
        <w:br/>
      </w:r>
      <w:r w:rsidRPr="005309C0">
        <w:rPr>
          <w:rStyle w:val="markedcontent"/>
          <w:rFonts w:ascii="Times New Roman" w:hAnsi="Times New Roman"/>
          <w:sz w:val="24"/>
          <w:szCs w:val="24"/>
        </w:rPr>
        <w:t>“At some point during the day</w:t>
      </w:r>
      <w:r>
        <w:rPr>
          <w:rStyle w:val="markedcontent"/>
          <w:rFonts w:ascii="Times New Roman" w:hAnsi="Times New Roman"/>
          <w:sz w:val="24"/>
          <w:szCs w:val="24"/>
        </w:rPr>
        <w:t xml:space="preserve"> [out drinking after </w:t>
      </w:r>
      <w:r w:rsidRPr="006A5F67">
        <w:rPr>
          <w:rStyle w:val="markedcontent"/>
          <w:rFonts w:ascii="Times New Roman" w:hAnsi="Times New Roman"/>
          <w:sz w:val="24"/>
          <w:szCs w:val="24"/>
        </w:rPr>
        <w:t>2016 St. Patrick’s Day Parade</w:t>
      </w:r>
      <w:r>
        <w:rPr>
          <w:rStyle w:val="markedcontent"/>
          <w:rFonts w:ascii="Times New Roman" w:hAnsi="Times New Roman"/>
          <w:sz w:val="24"/>
          <w:szCs w:val="24"/>
        </w:rPr>
        <w:t>]</w:t>
      </w:r>
      <w:r w:rsidRPr="005309C0">
        <w:rPr>
          <w:rStyle w:val="markedcontent"/>
          <w:rFonts w:ascii="Times New Roman" w:hAnsi="Times New Roman"/>
          <w:sz w:val="24"/>
          <w:szCs w:val="24"/>
        </w:rPr>
        <w:t xml:space="preserve"> Deputy Egloff went up to [Ms. N] and grabbed her by the vagina. [Ms. N] immediately shoved him off and yelled at him, words to the effect that if he ever laid hands on her again, she would knock him out. He apologized, [Ms. N] accepted his </w:t>
      </w:r>
      <w:proofErr w:type="gramStart"/>
      <w:r w:rsidRPr="005309C0">
        <w:rPr>
          <w:rStyle w:val="markedcontent"/>
          <w:rFonts w:ascii="Times New Roman" w:hAnsi="Times New Roman"/>
          <w:sz w:val="24"/>
          <w:szCs w:val="24"/>
        </w:rPr>
        <w:t>apology</w:t>
      </w:r>
      <w:proofErr w:type="gramEnd"/>
      <w:r w:rsidRPr="005309C0">
        <w:rPr>
          <w:rStyle w:val="markedcontent"/>
          <w:rFonts w:ascii="Times New Roman" w:hAnsi="Times New Roman"/>
          <w:sz w:val="24"/>
          <w:szCs w:val="24"/>
        </w:rPr>
        <w:t xml:space="preserve"> and everyone continued with the festivities and </w:t>
      </w:r>
      <w:proofErr w:type="gramStart"/>
      <w:r w:rsidRPr="005309C0">
        <w:rPr>
          <w:rStyle w:val="markedcontent"/>
          <w:rFonts w:ascii="Times New Roman" w:hAnsi="Times New Roman"/>
          <w:sz w:val="24"/>
          <w:szCs w:val="24"/>
        </w:rPr>
        <w:t>having</w:t>
      </w:r>
      <w:proofErr w:type="gramEnd"/>
      <w:r w:rsidRPr="005309C0">
        <w:rPr>
          <w:rStyle w:val="markedcontent"/>
          <w:rFonts w:ascii="Times New Roman" w:hAnsi="Times New Roman"/>
          <w:sz w:val="24"/>
          <w:szCs w:val="24"/>
        </w:rPr>
        <w:t xml:space="preserve"> a good time. Egloff admits to this incident and further states that a few days later he again called [Ms. N] to profusely apologize for his conduct. He is embarrassed, ashamed and full of remorse at his behavior. [Ms. N] verifies this account and states that as far as she was concerned, it was one drunken incident, it was dealt with and over that day, and there was nothing further to apologize for.” </w:t>
      </w:r>
      <w:r>
        <w:rPr>
          <w:rStyle w:val="markedcontent"/>
          <w:rFonts w:ascii="Times New Roman" w:hAnsi="Times New Roman"/>
          <w:sz w:val="24"/>
          <w:szCs w:val="24"/>
        </w:rPr>
        <w:t>[See page 30 of the opinion.]</w:t>
      </w:r>
    </w:p>
    <w:p w14:paraId="298F1FF4" w14:textId="77777777" w:rsidR="005217D5" w:rsidRPr="00E004CD" w:rsidRDefault="005217D5" w:rsidP="005217D5">
      <w:pPr>
        <w:ind w:left="720"/>
        <w:rPr>
          <w:rStyle w:val="markedcontent"/>
          <w:rFonts w:ascii="Times New Roman" w:hAnsi="Times New Roman"/>
          <w:sz w:val="24"/>
          <w:szCs w:val="24"/>
        </w:rPr>
      </w:pPr>
      <w:hyperlink r:id="rId1441" w:history="1">
        <w:r w:rsidRPr="004A379F">
          <w:rPr>
            <w:rStyle w:val="Hyperlink"/>
            <w:sz w:val="24"/>
            <w:szCs w:val="24"/>
          </w:rPr>
          <w:t>https://www.mass.gov/doc/miltimore-boutin-and-kennedy-v-westfield-fire-commission-52121/download</w:t>
        </w:r>
      </w:hyperlink>
      <w:r>
        <w:rPr>
          <w:rStyle w:val="markedcontent"/>
          <w:rFonts w:ascii="Times New Roman" w:hAnsi="Times New Roman"/>
          <w:sz w:val="24"/>
          <w:szCs w:val="24"/>
        </w:rPr>
        <w:t xml:space="preserve"> </w:t>
      </w:r>
    </w:p>
    <w:p w14:paraId="23C0B740" w14:textId="77777777" w:rsidR="005217D5" w:rsidRPr="00474F9A" w:rsidRDefault="005217D5" w:rsidP="005217D5">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L</w:t>
      </w:r>
      <w:r w:rsidRPr="00474F9A">
        <w:rPr>
          <w:rFonts w:ascii="Times New Roman" w:hAnsi="Times New Roman"/>
          <w:b/>
          <w:bCs/>
          <w:sz w:val="24"/>
          <w:szCs w:val="24"/>
        </w:rPr>
        <w:t xml:space="preserve">egal Lesson Learned: </w:t>
      </w:r>
      <w:r>
        <w:rPr>
          <w:rFonts w:ascii="Times New Roman" w:hAnsi="Times New Roman"/>
          <w:b/>
          <w:bCs/>
          <w:sz w:val="24"/>
          <w:szCs w:val="24"/>
        </w:rPr>
        <w:t>Admitted s</w:t>
      </w:r>
      <w:r w:rsidRPr="00474F9A">
        <w:rPr>
          <w:rFonts w:ascii="Times New Roman" w:hAnsi="Times New Roman"/>
          <w:b/>
          <w:bCs/>
          <w:sz w:val="24"/>
          <w:szCs w:val="24"/>
        </w:rPr>
        <w:t xml:space="preserve">exual misconduct by </w:t>
      </w:r>
      <w:r>
        <w:rPr>
          <w:rFonts w:ascii="Times New Roman" w:hAnsi="Times New Roman"/>
          <w:b/>
          <w:bCs/>
          <w:sz w:val="24"/>
          <w:szCs w:val="24"/>
        </w:rPr>
        <w:t>a senior fire officer is particularly shocking, and discipline must now be imposed.</w:t>
      </w:r>
    </w:p>
    <w:p w14:paraId="3342DCBB" w14:textId="77777777" w:rsidR="005217D5" w:rsidRPr="00474F9A" w:rsidRDefault="005217D5" w:rsidP="005217D5">
      <w:pPr>
        <w:pStyle w:val="NormalWeb"/>
        <w:ind w:left="720"/>
      </w:pPr>
      <w:r w:rsidRPr="00474F9A">
        <w:t xml:space="preserve">Note: See May 24, </w:t>
      </w:r>
      <w:proofErr w:type="gramStart"/>
      <w:r w:rsidRPr="00474F9A">
        <w:t>2021</w:t>
      </w:r>
      <w:proofErr w:type="gramEnd"/>
      <w:r w:rsidRPr="00474F9A">
        <w:t xml:space="preserve"> article, “Termination of 3 Westfield firefighters vacated, commission orders investigation of chief.” </w:t>
      </w:r>
    </w:p>
    <w:p w14:paraId="59684BAC" w14:textId="271ABA8A" w:rsidR="005217D5" w:rsidRPr="005217D5" w:rsidRDefault="005217D5" w:rsidP="005217D5">
      <w:pPr>
        <w:ind w:left="720"/>
        <w:rPr>
          <w:rFonts w:ascii="Times New Roman" w:hAnsi="Times New Roman"/>
          <w:b/>
          <w:sz w:val="24"/>
          <w:szCs w:val="24"/>
        </w:rPr>
      </w:pPr>
      <w:r w:rsidRPr="005217D5">
        <w:rPr>
          <w:rFonts w:ascii="Times New Roman" w:hAnsi="Times New Roman"/>
          <w:sz w:val="24"/>
          <w:szCs w:val="24"/>
        </w:rPr>
        <w:t xml:space="preserve">“The three firefighters were fired back in December 2019 by the Westfield Fire Commission, following an independent report conducted by Attorney Dawn McDonald into the sexual harassment allegations. McDonald’s report also recommended that Egloff should not be promoted to the chief for other reasons.” </w:t>
      </w:r>
      <w:hyperlink r:id="rId1442" w:history="1">
        <w:r w:rsidRPr="005217D5">
          <w:rPr>
            <w:rStyle w:val="Hyperlink"/>
            <w:rFonts w:ascii="Times New Roman" w:hAnsi="Times New Roman"/>
            <w:sz w:val="24"/>
            <w:szCs w:val="24"/>
          </w:rPr>
          <w:t>https://www.wwlp.com/news/local-news/hampden-county/termination-of-3-westfield-firefighters-vacated-commission-orders-investigation-of-chief/</w:t>
        </w:r>
      </w:hyperlink>
    </w:p>
    <w:p w14:paraId="23583571" w14:textId="77777777" w:rsidR="005217D5" w:rsidRDefault="005217D5" w:rsidP="002B1283">
      <w:pPr>
        <w:rPr>
          <w:rFonts w:ascii="Arial Black" w:hAnsi="Arial Black"/>
          <w:b/>
          <w:sz w:val="24"/>
          <w:szCs w:val="24"/>
        </w:rPr>
      </w:pPr>
    </w:p>
    <w:p w14:paraId="45A9BFD6" w14:textId="77777777" w:rsidR="005217D5" w:rsidRDefault="005217D5" w:rsidP="002B1283">
      <w:pPr>
        <w:rPr>
          <w:rFonts w:ascii="Arial Black" w:hAnsi="Arial Black"/>
          <w:b/>
          <w:sz w:val="24"/>
          <w:szCs w:val="24"/>
        </w:rPr>
      </w:pPr>
    </w:p>
    <w:p w14:paraId="2778C74D" w14:textId="0A06E5C7" w:rsidR="00B03268" w:rsidRDefault="00B03268" w:rsidP="002B1283">
      <w:pPr>
        <w:rPr>
          <w:rFonts w:ascii="Arial Black" w:hAnsi="Arial Black"/>
          <w:b/>
          <w:sz w:val="24"/>
          <w:szCs w:val="24"/>
        </w:rPr>
      </w:pPr>
      <w:r>
        <w:rPr>
          <w:rFonts w:ascii="Arial Black" w:hAnsi="Arial Black"/>
          <w:b/>
          <w:sz w:val="24"/>
          <w:szCs w:val="24"/>
        </w:rPr>
        <w:t>7-32</w:t>
      </w:r>
    </w:p>
    <w:p w14:paraId="0879EBB3" w14:textId="77777777" w:rsidR="00B03268" w:rsidRDefault="00B03268" w:rsidP="00B03268">
      <w:pPr>
        <w:pStyle w:val="NoSpacing"/>
        <w:rPr>
          <w:rFonts w:ascii="Arial Black" w:hAnsi="Arial Black"/>
          <w:sz w:val="28"/>
          <w:szCs w:val="28"/>
        </w:rPr>
      </w:pPr>
      <w:r>
        <w:rPr>
          <w:rFonts w:ascii="Arial Black" w:hAnsi="Arial Black"/>
          <w:sz w:val="28"/>
          <w:szCs w:val="28"/>
        </w:rPr>
        <w:t>PA: FEMALE FF TERMINATED BY VOLUNTEER FD – FED. CASE DISMISSED – VOL. FD NOT SEC. 1983 “STATE ACTOR”</w:t>
      </w:r>
    </w:p>
    <w:p w14:paraId="4853E4E7" w14:textId="77777777" w:rsidR="00B03268" w:rsidRDefault="00B03268" w:rsidP="00B03268">
      <w:pPr>
        <w:pStyle w:val="NoSpacing"/>
        <w:rPr>
          <w:rFonts w:ascii="Arial Black" w:hAnsi="Arial Black"/>
          <w:sz w:val="28"/>
          <w:szCs w:val="28"/>
        </w:rPr>
      </w:pPr>
    </w:p>
    <w:p w14:paraId="55815892" w14:textId="77777777" w:rsidR="00B03268" w:rsidRDefault="00B03268" w:rsidP="00B03268">
      <w:pPr>
        <w:pStyle w:val="NoSpacing"/>
        <w:rPr>
          <w:rFonts w:ascii="Times New Roman" w:hAnsi="Times New Roman"/>
          <w:sz w:val="24"/>
          <w:szCs w:val="24"/>
        </w:rPr>
      </w:pPr>
      <w:r>
        <w:rPr>
          <w:rFonts w:ascii="Times New Roman" w:hAnsi="Times New Roman"/>
          <w:sz w:val="24"/>
          <w:szCs w:val="24"/>
        </w:rPr>
        <w:t xml:space="preserve">On May 18, 2021, in </w:t>
      </w:r>
      <w:r w:rsidRPr="00151CAC">
        <w:rPr>
          <w:rFonts w:ascii="Times New Roman" w:hAnsi="Times New Roman"/>
          <w:sz w:val="24"/>
          <w:szCs w:val="24"/>
          <w:u w:val="single"/>
        </w:rPr>
        <w:t>Annie M. Papa v. Neshannock VFD, et al</w:t>
      </w:r>
      <w:r>
        <w:rPr>
          <w:rFonts w:ascii="Times New Roman" w:hAnsi="Times New Roman"/>
          <w:sz w:val="24"/>
          <w:szCs w:val="24"/>
        </w:rPr>
        <w:t xml:space="preserve">., U.S. Senior District Court Judge </w:t>
      </w:r>
    </w:p>
    <w:p w14:paraId="5E2FAD08" w14:textId="77777777" w:rsidR="00B03268" w:rsidRDefault="00B03268" w:rsidP="00B03268">
      <w:pPr>
        <w:pStyle w:val="NoSpacing"/>
        <w:rPr>
          <w:rFonts w:ascii="Times New Roman" w:hAnsi="Times New Roman"/>
          <w:sz w:val="24"/>
          <w:szCs w:val="24"/>
        </w:rPr>
      </w:pPr>
      <w:r w:rsidRPr="00151CAC">
        <w:rPr>
          <w:rFonts w:ascii="Times New Roman" w:hAnsi="Times New Roman"/>
          <w:sz w:val="24"/>
          <w:szCs w:val="24"/>
        </w:rPr>
        <w:t>Joy Flowers Conti</w:t>
      </w:r>
      <w:r>
        <w:rPr>
          <w:rFonts w:ascii="Times New Roman" w:hAnsi="Times New Roman"/>
          <w:sz w:val="24"/>
          <w:szCs w:val="24"/>
        </w:rPr>
        <w:t xml:space="preserve">, U.S. District Court for Western District of Pennsylvania, granted the Volunteer Fire Department’s motion to dismiss the federal lawsuit, since this is a private fire company and not involved in “state action” when terminating a volunteer firefighter; her claims are remanded to state court. </w:t>
      </w:r>
    </w:p>
    <w:p w14:paraId="73D333DF" w14:textId="660DFD7F" w:rsidR="00B03268" w:rsidRDefault="00B03268" w:rsidP="00B03268">
      <w:pPr>
        <w:rPr>
          <w:rFonts w:ascii="Arial Black" w:hAnsi="Arial Black"/>
          <w:b/>
          <w:sz w:val="24"/>
          <w:szCs w:val="24"/>
        </w:rPr>
      </w:pPr>
      <w:r>
        <w:t>“</w:t>
      </w:r>
      <w:r w:rsidRPr="00151CAC">
        <w:t xml:space="preserve">In this case, Papa failed to allege any plausible basis for </w:t>
      </w:r>
      <w:r>
        <w:t>‘</w:t>
      </w:r>
      <w:r w:rsidRPr="00151CAC">
        <w:t>state action</w:t>
      </w:r>
      <w:r>
        <w:t>’</w:t>
      </w:r>
      <w:r w:rsidRPr="00151CAC">
        <w:t xml:space="preserve"> with respect to the conduct at issue in the amended complaint. The actions of which she complains occurred within the scope of her membership obligations in the Neshannock VFD. The crux of her § 1983 claims </w:t>
      </w:r>
      <w:proofErr w:type="gramStart"/>
      <w:r w:rsidRPr="00151CAC">
        <w:t>is</w:t>
      </w:r>
      <w:proofErr w:type="gramEnd"/>
      <w:r w:rsidRPr="00151CAC">
        <w:t xml:space="preserve"> that </w:t>
      </w:r>
      <w:proofErr w:type="gramStart"/>
      <w:r w:rsidRPr="00151CAC">
        <w:t>the Neshannock</w:t>
      </w:r>
      <w:proofErr w:type="gramEnd"/>
      <w:r w:rsidRPr="00151CAC">
        <w:t xml:space="preserve"> VFD's internal disciplinary procedures were improper. As the Supreme Court made clear in </w:t>
      </w:r>
      <w:r w:rsidRPr="00151CAC">
        <w:rPr>
          <w:i/>
          <w:iCs/>
        </w:rPr>
        <w:t>Rendell-Baker</w:t>
      </w:r>
      <w:r w:rsidRPr="00151CAC">
        <w:t>, internal disciplinary decisions of a private volunteer organization do not become state action -- even if the organization itself is heavily involved in a state function.</w:t>
      </w:r>
      <w:r>
        <w:t xml:space="preserve"> </w:t>
      </w:r>
      <w:r w:rsidRPr="00151CAC">
        <w:t>The court concludes that the § 1983 claims are subject to dismissal at this stage of the case.</w:t>
      </w:r>
      <w:r>
        <w:t xml:space="preserve">” </w:t>
      </w:r>
      <w:hyperlink r:id="rId1443" w:history="1">
        <w:r w:rsidRPr="007344F4">
          <w:rPr>
            <w:rStyle w:val="Hyperlink"/>
          </w:rPr>
          <w:t>https://public.fastcase.com/9SKwsfNqTc6OieYDhNMyMx8HeCj7%2FDJBNdWBqE3NyzJHPN6vSl1mv%2F8RhqlJqRKR</w:t>
        </w:r>
      </w:hyperlink>
    </w:p>
    <w:p w14:paraId="41D98BB6" w14:textId="77777777" w:rsidR="00B03268" w:rsidRPr="00C35A71" w:rsidRDefault="00B03268" w:rsidP="00B03268">
      <w:pPr>
        <w:pStyle w:val="NormalWeb"/>
        <w:rPr>
          <w:b/>
          <w:bCs/>
        </w:rPr>
      </w:pPr>
      <w:r w:rsidRPr="00C35A71">
        <w:rPr>
          <w:b/>
          <w:bCs/>
        </w:rPr>
        <w:t>Legal Lesson Learned:</w:t>
      </w:r>
      <w:r>
        <w:rPr>
          <w:b/>
          <w:bCs/>
        </w:rPr>
        <w:t xml:space="preserve"> Vol. fire departments are not generally considered “state actors” under 42 U.S.C. 1983 in federal lawsuits; they may be sued in State courts.</w:t>
      </w:r>
    </w:p>
    <w:p w14:paraId="32EC5993" w14:textId="77777777" w:rsidR="00B03268" w:rsidRDefault="00B03268" w:rsidP="002B1283">
      <w:pPr>
        <w:rPr>
          <w:rFonts w:ascii="Arial Black" w:hAnsi="Arial Black"/>
          <w:b/>
          <w:sz w:val="24"/>
          <w:szCs w:val="24"/>
        </w:rPr>
      </w:pPr>
    </w:p>
    <w:p w14:paraId="0021CBBB" w14:textId="77777777" w:rsidR="00B03268" w:rsidRDefault="00B03268" w:rsidP="002B1283">
      <w:pPr>
        <w:rPr>
          <w:rFonts w:ascii="Arial Black" w:hAnsi="Arial Black"/>
          <w:b/>
          <w:sz w:val="24"/>
          <w:szCs w:val="24"/>
        </w:rPr>
      </w:pPr>
    </w:p>
    <w:p w14:paraId="5C1BD0E8" w14:textId="3035198C" w:rsidR="00274525" w:rsidRDefault="00274525" w:rsidP="002B1283">
      <w:pPr>
        <w:rPr>
          <w:rFonts w:ascii="Arial Black" w:hAnsi="Arial Black"/>
          <w:b/>
          <w:sz w:val="24"/>
          <w:szCs w:val="24"/>
        </w:rPr>
      </w:pPr>
      <w:r>
        <w:rPr>
          <w:rFonts w:ascii="Arial Black" w:hAnsi="Arial Black"/>
          <w:b/>
          <w:sz w:val="24"/>
          <w:szCs w:val="24"/>
        </w:rPr>
        <w:t>7-31</w:t>
      </w:r>
    </w:p>
    <w:p w14:paraId="73A4A721" w14:textId="77777777" w:rsidR="00274525" w:rsidRPr="00421215" w:rsidRDefault="00274525" w:rsidP="00274525">
      <w:pPr>
        <w:pStyle w:val="NormalWeb"/>
        <w:rPr>
          <w:rFonts w:ascii="Arial Black" w:hAnsi="Arial Black"/>
          <w:sz w:val="28"/>
          <w:szCs w:val="28"/>
        </w:rPr>
      </w:pPr>
      <w:bookmarkStart w:id="286" w:name="_Hlk68351408"/>
      <w:r>
        <w:rPr>
          <w:rFonts w:ascii="Arial Black" w:hAnsi="Arial Black"/>
          <w:sz w:val="28"/>
          <w:szCs w:val="28"/>
        </w:rPr>
        <w:t>NJ: FEMALE FF ALLEGED ACADEMY INSTRUCTOR “RAPED AND TORTURED” HER – ACADEMY DISMISSED FROM CASE</w:t>
      </w:r>
    </w:p>
    <w:p w14:paraId="0EAC7F99" w14:textId="77777777" w:rsidR="00274525" w:rsidRDefault="00274525" w:rsidP="00274525">
      <w:pPr>
        <w:pStyle w:val="NormalWeb"/>
      </w:pPr>
      <w:r>
        <w:t xml:space="preserve">On March 26, 2021, in </w:t>
      </w:r>
      <w:r w:rsidRPr="00045581">
        <w:rPr>
          <w:u w:val="single"/>
        </w:rPr>
        <w:t>A.S. v. Ocean County Fire Academy, et al</w:t>
      </w:r>
      <w:r>
        <w:t xml:space="preserve">., U.S. District Court Judge Michael A. Shipp, U.S. District Court of New Jersey (decision Not </w:t>
      </w:r>
      <w:proofErr w:type="gramStart"/>
      <w:r>
        <w:t>For</w:t>
      </w:r>
      <w:proofErr w:type="gramEnd"/>
      <w:r>
        <w:t xml:space="preserve"> Publication) granted the Fire Academy’s motion to </w:t>
      </w:r>
      <w:proofErr w:type="gramStart"/>
      <w:r>
        <w:t>dismiss, and</w:t>
      </w:r>
      <w:proofErr w:type="gramEnd"/>
      <w:r>
        <w:t xml:space="preserve"> declined to keep jurisdiction over state law claims (lawsuit against Instructor can proceed in state court). Plaintiff completed her required hours at the Training Center in April 2018 and became an active firefighter with the Seaside Heights Fire Department. According to the Plaintiff, she and the </w:t>
      </w:r>
      <w:proofErr w:type="gramStart"/>
      <w:r>
        <w:t>Instructor</w:t>
      </w:r>
      <w:proofErr w:type="gramEnd"/>
      <w:r>
        <w:t xml:space="preserve"> [John Syers] had a “brief romantic encounter” in April, "had on again/off again conversations" until September 26, 2018, when she alleges that she was "rape[d], torture[d,] and sexually abuse[d].”  </w:t>
      </w:r>
    </w:p>
    <w:p w14:paraId="0AA7C58F" w14:textId="77777777" w:rsidR="00274525" w:rsidRDefault="00274525" w:rsidP="00274525">
      <w:pPr>
        <w:pStyle w:val="NormalWeb"/>
        <w:ind w:left="720"/>
      </w:pPr>
      <w:r>
        <w:t>“As the Ocean County Defendants correctly observe, however, the Complaint fails to allege any facts that would support Plaintiff's assertions that a custom or policy deprived her of a constitutional right. (</w:t>
      </w:r>
      <w:proofErr w:type="spellStart"/>
      <w:r>
        <w:t>Defs</w:t>
      </w:r>
      <w:proofErr w:type="spellEnd"/>
      <w:r>
        <w:t>.' Moving Br. 11.) Aside from one conclusory allegation that Fire Academy and Training Center employees ‘</w:t>
      </w:r>
      <w:proofErr w:type="spellStart"/>
      <w:r>
        <w:t>refus</w:t>
      </w:r>
      <w:proofErr w:type="spellEnd"/>
      <w:r>
        <w:t>[ed] to respond to Plaintiff's sexual assault on academy premises[,]’ (</w:t>
      </w:r>
      <w:proofErr w:type="spellStart"/>
      <w:r>
        <w:t>Compl</w:t>
      </w:r>
      <w:proofErr w:type="spellEnd"/>
      <w:r>
        <w:t>. 32, ¶ 47), Plaintiff fails to provide any facts demonstrating that the Ocean County Defendants were aware of the rape, (</w:t>
      </w:r>
      <w:r>
        <w:rPr>
          <w:i/>
          <w:iCs/>
        </w:rPr>
        <w:t>see generally id</w:t>
      </w:r>
      <w:r>
        <w:t xml:space="preserve">.; </w:t>
      </w:r>
      <w:r>
        <w:rPr>
          <w:i/>
          <w:iCs/>
        </w:rPr>
        <w:t>see also</w:t>
      </w:r>
      <w:r>
        <w:t xml:space="preserve"> </w:t>
      </w:r>
      <w:proofErr w:type="spellStart"/>
      <w:r>
        <w:t>Defs</w:t>
      </w:r>
      <w:proofErr w:type="spellEnd"/>
      <w:r>
        <w:t>.' Moving Br. 11 (‘The [C]</w:t>
      </w:r>
      <w:proofErr w:type="spellStart"/>
      <w:r>
        <w:t>omplaint</w:t>
      </w:r>
      <w:proofErr w:type="spellEnd"/>
      <w:r>
        <w:t xml:space="preserve"> does not assert that Plaintiff filed any type of grievance or report of alleged harassment, discrimination[,] or 'hostile work environment' during her tenure . . . . Moreover, the voluminous [C]</w:t>
      </w:r>
      <w:proofErr w:type="spellStart"/>
      <w:r>
        <w:t>omplaint</w:t>
      </w:r>
      <w:proofErr w:type="spellEnd"/>
      <w:r>
        <w:t xml:space="preserve"> is devoid of any allegations stating that Plaintiff provided notification . . . </w:t>
      </w:r>
      <w:proofErr w:type="gramStart"/>
      <w:r>
        <w:t>with regard to</w:t>
      </w:r>
      <w:proofErr w:type="gramEnd"/>
      <w:r>
        <w:t xml:space="preserve"> any issues concerning . . . employees or </w:t>
      </w:r>
      <w:r>
        <w:lastRenderedPageBreak/>
        <w:t>volunteer instructors[.]")). Without such factual allegations, the Court cannot find that Plaintiff has a plausible claim for relief stemming from the Ocean County Defendants' alleged failure to investigate and respond to Sayer’s conduct or train its employees to respond to sexual discrimination, harassment, or violence.</w:t>
      </w:r>
    </w:p>
    <w:p w14:paraId="6152C288" w14:textId="77777777" w:rsidR="00274525" w:rsidRDefault="00274525" w:rsidP="00274525">
      <w:pPr>
        <w:pStyle w:val="NormalWeb"/>
        <w:ind w:left="720"/>
      </w:pPr>
      <w:r>
        <w:t>***</w:t>
      </w:r>
    </w:p>
    <w:p w14:paraId="3EFDD577" w14:textId="77777777" w:rsidR="00274525" w:rsidRDefault="00274525" w:rsidP="00274525">
      <w:pPr>
        <w:pStyle w:val="NormalWeb"/>
        <w:ind w:left="720"/>
      </w:pPr>
      <w:r>
        <w:t xml:space="preserve">The Court, therefore, will decline to exercise supplemental jurisdiction over the state law claims of the Complaint.”  </w:t>
      </w:r>
      <w:hyperlink r:id="rId1444" w:history="1">
        <w:r w:rsidRPr="00B568EC">
          <w:rPr>
            <w:rStyle w:val="Hyperlink"/>
          </w:rPr>
          <w:t>https://casetext.com/case/as-v-ocean-cnty-fire-acad-2</w:t>
        </w:r>
      </w:hyperlink>
      <w:r>
        <w:t xml:space="preserve"> </w:t>
      </w:r>
    </w:p>
    <w:bookmarkEnd w:id="286"/>
    <w:p w14:paraId="2BAB00AB" w14:textId="77777777" w:rsidR="00274525" w:rsidRPr="00101EB6" w:rsidRDefault="00274525" w:rsidP="00274525">
      <w:pPr>
        <w:pStyle w:val="NormalWeb"/>
        <w:rPr>
          <w:b/>
          <w:bCs/>
        </w:rPr>
      </w:pPr>
      <w:r w:rsidRPr="00101EB6">
        <w:rPr>
          <w:b/>
          <w:bCs/>
        </w:rPr>
        <w:t>Legal Lesson Learned:</w:t>
      </w:r>
      <w:r>
        <w:rPr>
          <w:b/>
          <w:bCs/>
        </w:rPr>
        <w:t xml:space="preserve">  Plaintiff failed to provide any proof she informed the Training Academy of being raped.  It is a “best practice” for Training Academies and Fire &amp; EMS Departments to provide all recruits with written procedure on how to file a complaint.  </w:t>
      </w:r>
    </w:p>
    <w:p w14:paraId="0945F8CC" w14:textId="77777777" w:rsidR="00274525" w:rsidRDefault="00274525" w:rsidP="002B1283">
      <w:pPr>
        <w:rPr>
          <w:rFonts w:ascii="Arial Black" w:hAnsi="Arial Black"/>
          <w:b/>
          <w:sz w:val="24"/>
          <w:szCs w:val="24"/>
        </w:rPr>
      </w:pPr>
    </w:p>
    <w:p w14:paraId="16831515" w14:textId="77777777" w:rsidR="00274525" w:rsidRDefault="00274525" w:rsidP="002B1283">
      <w:pPr>
        <w:rPr>
          <w:rFonts w:ascii="Arial Black" w:hAnsi="Arial Black"/>
          <w:b/>
          <w:sz w:val="24"/>
          <w:szCs w:val="24"/>
        </w:rPr>
      </w:pPr>
    </w:p>
    <w:p w14:paraId="18C69C60" w14:textId="322A2967" w:rsidR="00831847" w:rsidRDefault="00831847" w:rsidP="002B1283">
      <w:pPr>
        <w:rPr>
          <w:rFonts w:ascii="Arial Black" w:hAnsi="Arial Black"/>
          <w:b/>
          <w:sz w:val="24"/>
          <w:szCs w:val="24"/>
        </w:rPr>
      </w:pPr>
      <w:r>
        <w:rPr>
          <w:rFonts w:ascii="Arial Black" w:hAnsi="Arial Black"/>
          <w:b/>
          <w:sz w:val="24"/>
          <w:szCs w:val="24"/>
        </w:rPr>
        <w:t>7-30</w:t>
      </w:r>
    </w:p>
    <w:p w14:paraId="6DBCD745" w14:textId="77777777" w:rsidR="00274525" w:rsidRPr="00BD5B0D" w:rsidRDefault="00274525" w:rsidP="00274525">
      <w:pPr>
        <w:pStyle w:val="NoSpacing"/>
        <w:rPr>
          <w:rFonts w:ascii="Arial Black" w:hAnsi="Arial Black"/>
          <w:sz w:val="28"/>
          <w:szCs w:val="28"/>
        </w:rPr>
      </w:pPr>
      <w:bookmarkStart w:id="287" w:name="_Hlk68350680"/>
      <w:r>
        <w:rPr>
          <w:rFonts w:ascii="Arial Black" w:hAnsi="Arial Black"/>
          <w:sz w:val="28"/>
          <w:szCs w:val="28"/>
        </w:rPr>
        <w:t>AR: FEMALE FF ALLEGEDLY RAPED TWICE BY BATTALION CHIEF - MALE HIT ANTENNA – CASE PROCEED FD &amp; CHIEF</w:t>
      </w:r>
    </w:p>
    <w:p w14:paraId="009B71F9" w14:textId="77777777" w:rsidR="00274525" w:rsidRPr="001707D0" w:rsidRDefault="00274525" w:rsidP="00274525">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March 17, 2021, in </w:t>
      </w:r>
      <w:r w:rsidRPr="00055F09">
        <w:rPr>
          <w:rFonts w:ascii="Times New Roman" w:eastAsia="Times New Roman" w:hAnsi="Times New Roman"/>
          <w:sz w:val="24"/>
          <w:szCs w:val="24"/>
          <w:u w:val="single"/>
        </w:rPr>
        <w:t xml:space="preserve">Rene Mendoza &amp; </w:t>
      </w:r>
      <w:r w:rsidRPr="00055F09">
        <w:rPr>
          <w:rFonts w:ascii="Times New Roman" w:hAnsi="Times New Roman"/>
          <w:sz w:val="24"/>
          <w:szCs w:val="24"/>
          <w:u w:val="single"/>
        </w:rPr>
        <w:t xml:space="preserve">Lani Salazar, </w:t>
      </w:r>
      <w:r w:rsidRPr="00055F09">
        <w:rPr>
          <w:rFonts w:ascii="Times New Roman" w:eastAsia="Times New Roman" w:hAnsi="Times New Roman"/>
          <w:sz w:val="24"/>
          <w:szCs w:val="24"/>
          <w:u w:val="single"/>
        </w:rPr>
        <w:t>et al. v. Rio</w:t>
      </w:r>
      <w:r w:rsidRPr="00BD5B0D">
        <w:rPr>
          <w:rFonts w:ascii="Times New Roman" w:eastAsia="Times New Roman" w:hAnsi="Times New Roman"/>
          <w:sz w:val="24"/>
          <w:szCs w:val="24"/>
          <w:u w:val="single"/>
        </w:rPr>
        <w:t xml:space="preserve"> Rico Medical &amp; Fire District, et al</w:t>
      </w:r>
      <w:r>
        <w:rPr>
          <w:rFonts w:ascii="Times New Roman" w:eastAsia="Times New Roman" w:hAnsi="Times New Roman"/>
          <w:sz w:val="24"/>
          <w:szCs w:val="24"/>
        </w:rPr>
        <w:t xml:space="preserve">., U.S. District Court Judge Cindy K. Jorgenson, U.S. District Court for the District of Arizona, issued a pre-trial order; lawsuit against FD and the Battalion Chief will proceed to trial. The trial judge issued her order with this understatement. </w:t>
      </w:r>
      <w:r>
        <w:rPr>
          <w:rFonts w:ascii="Times New Roman" w:hAnsi="Times New Roman"/>
          <w:sz w:val="24"/>
          <w:szCs w:val="24"/>
        </w:rPr>
        <w:t>“</w:t>
      </w:r>
      <w:r w:rsidRPr="001F0A7D">
        <w:rPr>
          <w:rFonts w:ascii="Times New Roman" w:hAnsi="Times New Roman"/>
          <w:sz w:val="24"/>
          <w:szCs w:val="24"/>
        </w:rPr>
        <w:t>In 2016 and 2017, there was a fair amount of questionable activity unrelated to firefighting happening at the Rio Rico Medical &amp; Fire District (</w:t>
      </w:r>
      <w:r>
        <w:rPr>
          <w:rFonts w:ascii="Times New Roman" w:hAnsi="Times New Roman"/>
          <w:sz w:val="24"/>
          <w:szCs w:val="24"/>
        </w:rPr>
        <w:t>‘</w:t>
      </w:r>
      <w:r w:rsidRPr="001F0A7D">
        <w:rPr>
          <w:rFonts w:ascii="Times New Roman" w:hAnsi="Times New Roman"/>
          <w:sz w:val="24"/>
          <w:szCs w:val="24"/>
        </w:rPr>
        <w:t>District</w:t>
      </w:r>
      <w:r>
        <w:rPr>
          <w:rFonts w:ascii="Times New Roman" w:hAnsi="Times New Roman"/>
          <w:sz w:val="24"/>
          <w:szCs w:val="24"/>
        </w:rPr>
        <w:t>’</w:t>
      </w:r>
      <w:r w:rsidRPr="001F0A7D">
        <w:rPr>
          <w:rFonts w:ascii="Times New Roman" w:hAnsi="Times New Roman"/>
          <w:sz w:val="24"/>
          <w:szCs w:val="24"/>
        </w:rPr>
        <w:t>).</w:t>
      </w:r>
      <w:r>
        <w:rPr>
          <w:rFonts w:ascii="Times New Roman" w:hAnsi="Times New Roman"/>
          <w:sz w:val="24"/>
          <w:szCs w:val="24"/>
        </w:rPr>
        <w:t>”</w:t>
      </w:r>
    </w:p>
    <w:p w14:paraId="66701354" w14:textId="77777777" w:rsidR="00274525" w:rsidRDefault="00274525" w:rsidP="00274525">
      <w:pPr>
        <w:pStyle w:val="NoSpacing"/>
        <w:ind w:left="480"/>
        <w:rPr>
          <w:rFonts w:ascii="Times New Roman" w:hAnsi="Times New Roman"/>
          <w:sz w:val="24"/>
          <w:szCs w:val="24"/>
        </w:rPr>
      </w:pPr>
      <w:r>
        <w:rPr>
          <w:rFonts w:ascii="Times New Roman" w:hAnsi="Times New Roman"/>
          <w:sz w:val="24"/>
          <w:szCs w:val="24"/>
        </w:rPr>
        <w:t>“</w:t>
      </w:r>
      <w:r w:rsidRPr="00D46F33">
        <w:rPr>
          <w:rFonts w:ascii="Times New Roman" w:hAnsi="Times New Roman"/>
          <w:sz w:val="24"/>
          <w:szCs w:val="24"/>
        </w:rPr>
        <w:t xml:space="preserve">Beginning in July 2016, Flores began sexually harassing </w:t>
      </w:r>
      <w:r>
        <w:rPr>
          <w:rFonts w:ascii="Times New Roman" w:hAnsi="Times New Roman"/>
          <w:sz w:val="24"/>
          <w:szCs w:val="24"/>
        </w:rPr>
        <w:t xml:space="preserve">[Mrs. Lani] </w:t>
      </w:r>
      <w:r w:rsidRPr="00D46F33">
        <w:rPr>
          <w:rFonts w:ascii="Times New Roman" w:hAnsi="Times New Roman"/>
          <w:sz w:val="24"/>
          <w:szCs w:val="24"/>
        </w:rPr>
        <w:t xml:space="preserve">Salazar, whose promotion he had recently recommended. What started out as unwelcomed sexual advances soon escalated to alleged incidents of rape, the last of which occurred around the 2017 holiday season. A month earlier, Ibarra had struck rookie firefighter </w:t>
      </w:r>
      <w:r>
        <w:rPr>
          <w:rFonts w:ascii="Times New Roman" w:hAnsi="Times New Roman"/>
          <w:sz w:val="24"/>
          <w:szCs w:val="24"/>
        </w:rPr>
        <w:t xml:space="preserve">[Mr. Rene] </w:t>
      </w:r>
      <w:r w:rsidRPr="00D46F33">
        <w:rPr>
          <w:rFonts w:ascii="Times New Roman" w:hAnsi="Times New Roman"/>
          <w:sz w:val="24"/>
          <w:szCs w:val="24"/>
        </w:rPr>
        <w:t xml:space="preserve">Mendoza in the testicles with a radio antenna, laughed, and ran away. Mendoza was also inundated with countless sexually suggestive images sent to him by a fellow firefighter, who frequently referred to Mendoza using sexually offensive slang terms. Two other firefighters exposed themselves to Mendoza, and when he complained of </w:t>
      </w:r>
      <w:proofErr w:type="gramStart"/>
      <w:r w:rsidRPr="00D46F33">
        <w:rPr>
          <w:rFonts w:ascii="Times New Roman" w:hAnsi="Times New Roman"/>
          <w:sz w:val="24"/>
          <w:szCs w:val="24"/>
        </w:rPr>
        <w:t>the harassing</w:t>
      </w:r>
      <w:proofErr w:type="gramEnd"/>
      <w:r w:rsidRPr="00D46F33">
        <w:rPr>
          <w:rFonts w:ascii="Times New Roman" w:hAnsi="Times New Roman"/>
          <w:sz w:val="24"/>
          <w:szCs w:val="24"/>
        </w:rPr>
        <w:t xml:space="preserve"> behavior to a superior, he was half-heartedly instructed to </w:t>
      </w:r>
      <w:r>
        <w:rPr>
          <w:rFonts w:ascii="Times New Roman" w:hAnsi="Times New Roman"/>
          <w:sz w:val="24"/>
          <w:szCs w:val="24"/>
        </w:rPr>
        <w:t>‘</w:t>
      </w:r>
      <w:r w:rsidRPr="00D46F33">
        <w:rPr>
          <w:rFonts w:ascii="Times New Roman" w:hAnsi="Times New Roman"/>
          <w:sz w:val="24"/>
          <w:szCs w:val="24"/>
        </w:rPr>
        <w:t>write an email about it.</w:t>
      </w:r>
      <w:r>
        <w:rPr>
          <w:rFonts w:ascii="Times New Roman" w:hAnsi="Times New Roman"/>
          <w:sz w:val="24"/>
          <w:szCs w:val="24"/>
        </w:rPr>
        <w:t>’</w:t>
      </w:r>
    </w:p>
    <w:p w14:paraId="74A26E5B" w14:textId="77777777" w:rsidR="00274525" w:rsidRDefault="00274525" w:rsidP="00274525">
      <w:pPr>
        <w:pStyle w:val="NoSpacing"/>
        <w:ind w:left="480"/>
        <w:rPr>
          <w:rFonts w:ascii="Times New Roman" w:hAnsi="Times New Roman"/>
          <w:sz w:val="24"/>
          <w:szCs w:val="24"/>
        </w:rPr>
      </w:pPr>
    </w:p>
    <w:p w14:paraId="1670937F" w14:textId="77777777" w:rsidR="00274525" w:rsidRDefault="00274525" w:rsidP="00274525">
      <w:pPr>
        <w:pStyle w:val="NoSpacing"/>
        <w:ind w:left="480"/>
        <w:rPr>
          <w:rFonts w:ascii="Times New Roman" w:hAnsi="Times New Roman"/>
          <w:sz w:val="24"/>
          <w:szCs w:val="24"/>
        </w:rPr>
      </w:pPr>
      <w:r>
        <w:rPr>
          <w:rFonts w:ascii="Times New Roman" w:hAnsi="Times New Roman"/>
          <w:sz w:val="24"/>
          <w:szCs w:val="24"/>
        </w:rPr>
        <w:t>***</w:t>
      </w:r>
    </w:p>
    <w:p w14:paraId="77D71B1E" w14:textId="77777777" w:rsidR="00274525" w:rsidRDefault="00274525" w:rsidP="00274525">
      <w:pPr>
        <w:pStyle w:val="NoSpacing"/>
        <w:ind w:left="480"/>
        <w:rPr>
          <w:rFonts w:ascii="Times New Roman" w:hAnsi="Times New Roman"/>
          <w:sz w:val="24"/>
          <w:szCs w:val="24"/>
        </w:rPr>
      </w:pPr>
    </w:p>
    <w:p w14:paraId="12383FA5" w14:textId="77777777" w:rsidR="00274525" w:rsidRPr="00D46F33" w:rsidRDefault="00274525" w:rsidP="00274525">
      <w:pPr>
        <w:pStyle w:val="NoSpacing"/>
        <w:ind w:left="480"/>
        <w:rPr>
          <w:rFonts w:ascii="Times New Roman" w:hAnsi="Times New Roman"/>
          <w:sz w:val="24"/>
          <w:szCs w:val="24"/>
        </w:rPr>
      </w:pPr>
      <w:r w:rsidRPr="00072BE7">
        <w:rPr>
          <w:rFonts w:ascii="Times New Roman" w:hAnsi="Times New Roman"/>
          <w:sz w:val="24"/>
          <w:szCs w:val="24"/>
        </w:rPr>
        <w:t>Mendoza's Title VII hostile work environment claim against the District, Salazar's Title VII hostile work environment claim against the District, Salazar's Title VII retaliation claim against the District, Mendoza's common law battery claim against Ibarra and the District, Salazar's common law battery claim against Flores and the District, Mendoza's common law assault claim against Ibarra and the District, Salazar's common law assault claim against Flores and the District, Salazar's IIED claim against Flores and the District, and Mr. Salazar's loss of consortium claim against Flores and the District will proceed to trial.</w:t>
      </w:r>
      <w:r>
        <w:rPr>
          <w:rFonts w:ascii="Times New Roman" w:hAnsi="Times New Roman"/>
          <w:sz w:val="24"/>
          <w:szCs w:val="24"/>
        </w:rPr>
        <w:t xml:space="preserve">” </w:t>
      </w:r>
      <w:hyperlink r:id="rId1445" w:history="1">
        <w:r w:rsidRPr="008F3FAE">
          <w:rPr>
            <w:rStyle w:val="Hyperlink"/>
            <w:sz w:val="24"/>
            <w:szCs w:val="24"/>
          </w:rPr>
          <w:t>https://casetext.com/case/mendoza-v-rio-rico-med-1</w:t>
        </w:r>
      </w:hyperlink>
    </w:p>
    <w:p w14:paraId="6BD36D56" w14:textId="77777777" w:rsidR="00274525" w:rsidRDefault="00274525" w:rsidP="00274525">
      <w:pPr>
        <w:pStyle w:val="NoSpacing"/>
        <w:rPr>
          <w:rFonts w:ascii="Times New Roman" w:hAnsi="Times New Roman"/>
          <w:b/>
          <w:bCs/>
          <w:sz w:val="24"/>
          <w:szCs w:val="24"/>
        </w:rPr>
      </w:pPr>
      <w:bookmarkStart w:id="288" w:name="_Hlk68350713"/>
      <w:bookmarkEnd w:id="287"/>
    </w:p>
    <w:p w14:paraId="452E7DF1" w14:textId="400DC88C" w:rsidR="00274525" w:rsidRPr="007D401D" w:rsidRDefault="00274525" w:rsidP="00274525">
      <w:pPr>
        <w:pStyle w:val="NoSpacing"/>
        <w:rPr>
          <w:rFonts w:ascii="Times New Roman" w:hAnsi="Times New Roman"/>
          <w:b/>
          <w:bCs/>
          <w:sz w:val="24"/>
          <w:szCs w:val="24"/>
        </w:rPr>
      </w:pPr>
      <w:r w:rsidRPr="007D401D">
        <w:rPr>
          <w:rFonts w:ascii="Times New Roman" w:hAnsi="Times New Roman"/>
          <w:b/>
          <w:bCs/>
          <w:sz w:val="24"/>
          <w:szCs w:val="24"/>
        </w:rPr>
        <w:lastRenderedPageBreak/>
        <w:t xml:space="preserve">Legal Lessons Learned: </w:t>
      </w:r>
      <w:r>
        <w:rPr>
          <w:rFonts w:ascii="Times New Roman" w:hAnsi="Times New Roman"/>
          <w:b/>
          <w:bCs/>
          <w:sz w:val="24"/>
          <w:szCs w:val="24"/>
        </w:rPr>
        <w:t>Judge’s comment about FD’s “questionable activity” is an understatement; t</w:t>
      </w:r>
      <w:r w:rsidRPr="007D401D">
        <w:rPr>
          <w:rFonts w:ascii="Times New Roman" w:hAnsi="Times New Roman"/>
          <w:b/>
          <w:bCs/>
          <w:sz w:val="24"/>
          <w:szCs w:val="24"/>
        </w:rPr>
        <w:t xml:space="preserve">errible alleged facts will now go before a jury; FDs must promptly investigate claims of workplace harassment. </w:t>
      </w:r>
    </w:p>
    <w:bookmarkEnd w:id="288"/>
    <w:p w14:paraId="6A3E1FE8" w14:textId="77777777" w:rsidR="00274525" w:rsidRDefault="00274525" w:rsidP="002B1283">
      <w:pPr>
        <w:rPr>
          <w:rFonts w:ascii="Arial Black" w:hAnsi="Arial Black"/>
          <w:b/>
          <w:sz w:val="24"/>
          <w:szCs w:val="24"/>
        </w:rPr>
      </w:pPr>
    </w:p>
    <w:p w14:paraId="7265E776" w14:textId="77777777" w:rsidR="00831847" w:rsidRDefault="00831847" w:rsidP="002B1283">
      <w:pPr>
        <w:rPr>
          <w:rFonts w:ascii="Arial Black" w:hAnsi="Arial Black"/>
          <w:b/>
          <w:sz w:val="24"/>
          <w:szCs w:val="24"/>
        </w:rPr>
      </w:pPr>
    </w:p>
    <w:p w14:paraId="3FD0FFCC" w14:textId="1669C2E1" w:rsidR="00831847" w:rsidRDefault="00831847" w:rsidP="002B1283">
      <w:pPr>
        <w:rPr>
          <w:rFonts w:ascii="Arial Black" w:hAnsi="Arial Black"/>
          <w:b/>
          <w:sz w:val="24"/>
          <w:szCs w:val="24"/>
        </w:rPr>
      </w:pPr>
      <w:r>
        <w:rPr>
          <w:rFonts w:ascii="Arial Black" w:hAnsi="Arial Black"/>
          <w:b/>
          <w:sz w:val="24"/>
          <w:szCs w:val="24"/>
        </w:rPr>
        <w:t>7-29</w:t>
      </w:r>
    </w:p>
    <w:p w14:paraId="08085F32" w14:textId="77777777" w:rsidR="00831847" w:rsidRPr="00BD5B0D" w:rsidRDefault="00831847" w:rsidP="00831847">
      <w:pPr>
        <w:pStyle w:val="NoSpacing"/>
        <w:rPr>
          <w:rFonts w:ascii="Arial Black" w:hAnsi="Arial Black"/>
          <w:sz w:val="28"/>
          <w:szCs w:val="28"/>
        </w:rPr>
      </w:pPr>
      <w:r>
        <w:rPr>
          <w:rFonts w:ascii="Arial Black" w:hAnsi="Arial Black"/>
          <w:sz w:val="28"/>
          <w:szCs w:val="28"/>
        </w:rPr>
        <w:t>AR: FEMALE FF ALLEGEDLY RAPED TWICE BY BATTALION CHIEF - MALE HIT ANTENNA – CASE PROCEED FD &amp; CHIEF</w:t>
      </w:r>
    </w:p>
    <w:p w14:paraId="4438B637" w14:textId="77777777" w:rsidR="00831847" w:rsidRPr="001707D0" w:rsidRDefault="00831847" w:rsidP="00831847">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March 17, 2021, in </w:t>
      </w:r>
      <w:r w:rsidRPr="00055F09">
        <w:rPr>
          <w:rFonts w:ascii="Times New Roman" w:eastAsia="Times New Roman" w:hAnsi="Times New Roman"/>
          <w:sz w:val="24"/>
          <w:szCs w:val="24"/>
          <w:u w:val="single"/>
        </w:rPr>
        <w:t xml:space="preserve">Rene Mendoza &amp; </w:t>
      </w:r>
      <w:r w:rsidRPr="00055F09">
        <w:rPr>
          <w:rFonts w:ascii="Times New Roman" w:hAnsi="Times New Roman"/>
          <w:sz w:val="24"/>
          <w:szCs w:val="24"/>
          <w:u w:val="single"/>
        </w:rPr>
        <w:t xml:space="preserve">Lani Salazar, </w:t>
      </w:r>
      <w:r w:rsidRPr="00055F09">
        <w:rPr>
          <w:rFonts w:ascii="Times New Roman" w:eastAsia="Times New Roman" w:hAnsi="Times New Roman"/>
          <w:sz w:val="24"/>
          <w:szCs w:val="24"/>
          <w:u w:val="single"/>
        </w:rPr>
        <w:t>et al. v. Rio</w:t>
      </w:r>
      <w:r w:rsidRPr="00BD5B0D">
        <w:rPr>
          <w:rFonts w:ascii="Times New Roman" w:eastAsia="Times New Roman" w:hAnsi="Times New Roman"/>
          <w:sz w:val="24"/>
          <w:szCs w:val="24"/>
          <w:u w:val="single"/>
        </w:rPr>
        <w:t xml:space="preserve"> Rico Medical &amp; Fire District, et al</w:t>
      </w:r>
      <w:r>
        <w:rPr>
          <w:rFonts w:ascii="Times New Roman" w:eastAsia="Times New Roman" w:hAnsi="Times New Roman"/>
          <w:sz w:val="24"/>
          <w:szCs w:val="24"/>
        </w:rPr>
        <w:t xml:space="preserve">., U.S. District Court Judge Cindy K. Jorgenson, U.S. District Court for the District of Arizona, issued a pre-trial order; lawsuit against FD and the Battalion Chief will proceed to trial. The trial judge issued her order with this understatement. </w:t>
      </w:r>
      <w:r>
        <w:rPr>
          <w:rFonts w:ascii="Times New Roman" w:hAnsi="Times New Roman"/>
          <w:sz w:val="24"/>
          <w:szCs w:val="24"/>
        </w:rPr>
        <w:t>“</w:t>
      </w:r>
      <w:r w:rsidRPr="001F0A7D">
        <w:rPr>
          <w:rFonts w:ascii="Times New Roman" w:hAnsi="Times New Roman"/>
          <w:sz w:val="24"/>
          <w:szCs w:val="24"/>
        </w:rPr>
        <w:t>In 2016 and 2017, there was a fair amount of questionable activity unrelated to firefighting happening at the Rio Rico Medical &amp; Fire District (</w:t>
      </w:r>
      <w:r>
        <w:rPr>
          <w:rFonts w:ascii="Times New Roman" w:hAnsi="Times New Roman"/>
          <w:sz w:val="24"/>
          <w:szCs w:val="24"/>
        </w:rPr>
        <w:t>‘</w:t>
      </w:r>
      <w:r w:rsidRPr="001F0A7D">
        <w:rPr>
          <w:rFonts w:ascii="Times New Roman" w:hAnsi="Times New Roman"/>
          <w:sz w:val="24"/>
          <w:szCs w:val="24"/>
        </w:rPr>
        <w:t>District</w:t>
      </w:r>
      <w:r>
        <w:rPr>
          <w:rFonts w:ascii="Times New Roman" w:hAnsi="Times New Roman"/>
          <w:sz w:val="24"/>
          <w:szCs w:val="24"/>
        </w:rPr>
        <w:t>’</w:t>
      </w:r>
      <w:r w:rsidRPr="001F0A7D">
        <w:rPr>
          <w:rFonts w:ascii="Times New Roman" w:hAnsi="Times New Roman"/>
          <w:sz w:val="24"/>
          <w:szCs w:val="24"/>
        </w:rPr>
        <w:t>).</w:t>
      </w:r>
      <w:r>
        <w:rPr>
          <w:rFonts w:ascii="Times New Roman" w:hAnsi="Times New Roman"/>
          <w:sz w:val="24"/>
          <w:szCs w:val="24"/>
        </w:rPr>
        <w:t>”</w:t>
      </w:r>
    </w:p>
    <w:p w14:paraId="4EB32689" w14:textId="77777777" w:rsidR="00831847" w:rsidRDefault="00831847" w:rsidP="00831847">
      <w:pPr>
        <w:pStyle w:val="NoSpacing"/>
        <w:ind w:left="480"/>
        <w:rPr>
          <w:rFonts w:ascii="Times New Roman" w:hAnsi="Times New Roman"/>
          <w:sz w:val="24"/>
          <w:szCs w:val="24"/>
        </w:rPr>
      </w:pPr>
      <w:r>
        <w:rPr>
          <w:rFonts w:ascii="Times New Roman" w:hAnsi="Times New Roman"/>
          <w:sz w:val="24"/>
          <w:szCs w:val="24"/>
        </w:rPr>
        <w:t>“</w:t>
      </w:r>
      <w:r w:rsidRPr="00D46F33">
        <w:rPr>
          <w:rFonts w:ascii="Times New Roman" w:hAnsi="Times New Roman"/>
          <w:sz w:val="24"/>
          <w:szCs w:val="24"/>
        </w:rPr>
        <w:t xml:space="preserve">Beginning in July 2016, Flores began sexually harassing </w:t>
      </w:r>
      <w:r>
        <w:rPr>
          <w:rFonts w:ascii="Times New Roman" w:hAnsi="Times New Roman"/>
          <w:sz w:val="24"/>
          <w:szCs w:val="24"/>
        </w:rPr>
        <w:t xml:space="preserve">[Mrs. Lani] </w:t>
      </w:r>
      <w:r w:rsidRPr="00D46F33">
        <w:rPr>
          <w:rFonts w:ascii="Times New Roman" w:hAnsi="Times New Roman"/>
          <w:sz w:val="24"/>
          <w:szCs w:val="24"/>
        </w:rPr>
        <w:t xml:space="preserve">Salazar, whose promotion he had recently recommended. What started out as unwelcomed sexual advances soon escalated to alleged incidents of rape, the last of which occurred around the 2017 holiday season. A month earlier, Ibarra had struck rookie firefighter </w:t>
      </w:r>
      <w:r>
        <w:rPr>
          <w:rFonts w:ascii="Times New Roman" w:hAnsi="Times New Roman"/>
          <w:sz w:val="24"/>
          <w:szCs w:val="24"/>
        </w:rPr>
        <w:t xml:space="preserve">[Mr. Rene] </w:t>
      </w:r>
      <w:r w:rsidRPr="00D46F33">
        <w:rPr>
          <w:rFonts w:ascii="Times New Roman" w:hAnsi="Times New Roman"/>
          <w:sz w:val="24"/>
          <w:szCs w:val="24"/>
        </w:rPr>
        <w:t xml:space="preserve">Mendoza in the testicles with a radio antenna, laughed, and ran away. Mendoza was also inundated with countless sexually suggestive images sent to him by a fellow firefighter, who frequently referred to Mendoza using sexually offensive slang terms. Two other firefighters exposed themselves to Mendoza, and when he complained of </w:t>
      </w:r>
      <w:proofErr w:type="gramStart"/>
      <w:r w:rsidRPr="00D46F33">
        <w:rPr>
          <w:rFonts w:ascii="Times New Roman" w:hAnsi="Times New Roman"/>
          <w:sz w:val="24"/>
          <w:szCs w:val="24"/>
        </w:rPr>
        <w:t>the harassing</w:t>
      </w:r>
      <w:proofErr w:type="gramEnd"/>
      <w:r w:rsidRPr="00D46F33">
        <w:rPr>
          <w:rFonts w:ascii="Times New Roman" w:hAnsi="Times New Roman"/>
          <w:sz w:val="24"/>
          <w:szCs w:val="24"/>
        </w:rPr>
        <w:t xml:space="preserve"> behavior to a superior, he was half-heartedly instructed to </w:t>
      </w:r>
      <w:r>
        <w:rPr>
          <w:rFonts w:ascii="Times New Roman" w:hAnsi="Times New Roman"/>
          <w:sz w:val="24"/>
          <w:szCs w:val="24"/>
        </w:rPr>
        <w:t>‘</w:t>
      </w:r>
      <w:r w:rsidRPr="00D46F33">
        <w:rPr>
          <w:rFonts w:ascii="Times New Roman" w:hAnsi="Times New Roman"/>
          <w:sz w:val="24"/>
          <w:szCs w:val="24"/>
        </w:rPr>
        <w:t>write an email about it.</w:t>
      </w:r>
      <w:r>
        <w:rPr>
          <w:rFonts w:ascii="Times New Roman" w:hAnsi="Times New Roman"/>
          <w:sz w:val="24"/>
          <w:szCs w:val="24"/>
        </w:rPr>
        <w:t>’</w:t>
      </w:r>
    </w:p>
    <w:p w14:paraId="49DA2558" w14:textId="77777777" w:rsidR="00831847" w:rsidRDefault="00831847" w:rsidP="00831847">
      <w:pPr>
        <w:pStyle w:val="NoSpacing"/>
        <w:ind w:left="480"/>
        <w:rPr>
          <w:rFonts w:ascii="Times New Roman" w:hAnsi="Times New Roman"/>
          <w:sz w:val="24"/>
          <w:szCs w:val="24"/>
        </w:rPr>
      </w:pPr>
    </w:p>
    <w:p w14:paraId="50D77710" w14:textId="77777777" w:rsidR="00831847" w:rsidRDefault="00831847" w:rsidP="00831847">
      <w:pPr>
        <w:pStyle w:val="NoSpacing"/>
        <w:ind w:left="480"/>
        <w:rPr>
          <w:rFonts w:ascii="Times New Roman" w:hAnsi="Times New Roman"/>
          <w:sz w:val="24"/>
          <w:szCs w:val="24"/>
        </w:rPr>
      </w:pPr>
      <w:r>
        <w:rPr>
          <w:rFonts w:ascii="Times New Roman" w:hAnsi="Times New Roman"/>
          <w:sz w:val="24"/>
          <w:szCs w:val="24"/>
        </w:rPr>
        <w:t>***</w:t>
      </w:r>
    </w:p>
    <w:p w14:paraId="74FF6F56" w14:textId="77777777" w:rsidR="00831847" w:rsidRDefault="00831847" w:rsidP="00831847">
      <w:pPr>
        <w:pStyle w:val="NoSpacing"/>
        <w:ind w:left="480"/>
        <w:rPr>
          <w:rFonts w:ascii="Times New Roman" w:hAnsi="Times New Roman"/>
          <w:sz w:val="24"/>
          <w:szCs w:val="24"/>
        </w:rPr>
      </w:pPr>
    </w:p>
    <w:p w14:paraId="065F1DDF" w14:textId="77777777" w:rsidR="00831847" w:rsidRPr="00D46F33" w:rsidRDefault="00831847" w:rsidP="00831847">
      <w:pPr>
        <w:pStyle w:val="NoSpacing"/>
        <w:ind w:left="480"/>
        <w:rPr>
          <w:rFonts w:ascii="Times New Roman" w:hAnsi="Times New Roman"/>
          <w:sz w:val="24"/>
          <w:szCs w:val="24"/>
        </w:rPr>
      </w:pPr>
      <w:r w:rsidRPr="00072BE7">
        <w:rPr>
          <w:rFonts w:ascii="Times New Roman" w:hAnsi="Times New Roman"/>
          <w:sz w:val="24"/>
          <w:szCs w:val="24"/>
        </w:rPr>
        <w:t>Mendoza's Title VII hostile work environment claim against the District, Salazar's Title VII hostile work environment claim against the District, Salazar's Title VII retaliation claim against the District, Mendoza's common law battery claim against Ibarra and the District, Salazar's common law battery claim against Flores and the District, Mendoza's common law assault claim against Ibarra and the District, Salazar's common law assault claim against Flores and the District, Salazar's IIED claim against Flores and the District, and Mr. Salazar's loss of consortium claim against Flores and the District will proceed to trial.</w:t>
      </w:r>
      <w:r>
        <w:rPr>
          <w:rFonts w:ascii="Times New Roman" w:hAnsi="Times New Roman"/>
          <w:sz w:val="24"/>
          <w:szCs w:val="24"/>
        </w:rPr>
        <w:t xml:space="preserve">” </w:t>
      </w:r>
      <w:hyperlink r:id="rId1446" w:history="1">
        <w:r w:rsidRPr="008F3FAE">
          <w:rPr>
            <w:rStyle w:val="Hyperlink"/>
            <w:sz w:val="24"/>
            <w:szCs w:val="24"/>
          </w:rPr>
          <w:t>https://casetext.com/case/mendoza-v-rio-rico-med-1</w:t>
        </w:r>
      </w:hyperlink>
    </w:p>
    <w:p w14:paraId="2C3BAA7E" w14:textId="59DA664B" w:rsidR="00831847" w:rsidRDefault="00831847" w:rsidP="002B1283">
      <w:pPr>
        <w:rPr>
          <w:rFonts w:ascii="Arial Black" w:hAnsi="Arial Black"/>
          <w:b/>
          <w:sz w:val="24"/>
          <w:szCs w:val="24"/>
        </w:rPr>
      </w:pPr>
    </w:p>
    <w:p w14:paraId="6B897D13" w14:textId="77777777" w:rsidR="00831847" w:rsidRPr="007D401D" w:rsidRDefault="00831847" w:rsidP="00831847">
      <w:pPr>
        <w:pStyle w:val="NoSpacing"/>
        <w:rPr>
          <w:rFonts w:ascii="Times New Roman" w:hAnsi="Times New Roman"/>
          <w:b/>
          <w:bCs/>
          <w:sz w:val="24"/>
          <w:szCs w:val="24"/>
        </w:rPr>
      </w:pPr>
      <w:r w:rsidRPr="007D401D">
        <w:rPr>
          <w:rFonts w:ascii="Times New Roman" w:hAnsi="Times New Roman"/>
          <w:b/>
          <w:bCs/>
          <w:sz w:val="24"/>
          <w:szCs w:val="24"/>
        </w:rPr>
        <w:t xml:space="preserve">Legal Lessons Learned: </w:t>
      </w:r>
      <w:r>
        <w:rPr>
          <w:rFonts w:ascii="Times New Roman" w:hAnsi="Times New Roman"/>
          <w:b/>
          <w:bCs/>
          <w:sz w:val="24"/>
          <w:szCs w:val="24"/>
        </w:rPr>
        <w:t>Judge’s comment about FD’s “questionable activity” is an understatement; t</w:t>
      </w:r>
      <w:r w:rsidRPr="007D401D">
        <w:rPr>
          <w:rFonts w:ascii="Times New Roman" w:hAnsi="Times New Roman"/>
          <w:b/>
          <w:bCs/>
          <w:sz w:val="24"/>
          <w:szCs w:val="24"/>
        </w:rPr>
        <w:t xml:space="preserve">errible alleged facts will now go before a jury; FDs must promptly investigate claims of workplace harassment. </w:t>
      </w:r>
    </w:p>
    <w:p w14:paraId="2A932F47" w14:textId="77777777" w:rsidR="00831847" w:rsidRDefault="00831847" w:rsidP="002B1283">
      <w:pPr>
        <w:rPr>
          <w:rFonts w:ascii="Arial Black" w:hAnsi="Arial Black"/>
          <w:b/>
          <w:sz w:val="24"/>
          <w:szCs w:val="24"/>
        </w:rPr>
      </w:pPr>
    </w:p>
    <w:p w14:paraId="126E2663" w14:textId="77777777" w:rsidR="00831847" w:rsidRDefault="00831847" w:rsidP="002B1283">
      <w:pPr>
        <w:rPr>
          <w:rFonts w:ascii="Arial Black" w:hAnsi="Arial Black"/>
          <w:b/>
          <w:sz w:val="24"/>
          <w:szCs w:val="24"/>
        </w:rPr>
      </w:pPr>
    </w:p>
    <w:p w14:paraId="33181834" w14:textId="4FF2031C" w:rsidR="00EB2493" w:rsidRDefault="00EB2493" w:rsidP="002B1283">
      <w:pPr>
        <w:rPr>
          <w:rFonts w:ascii="Arial Black" w:hAnsi="Arial Black"/>
          <w:b/>
          <w:sz w:val="24"/>
          <w:szCs w:val="24"/>
        </w:rPr>
      </w:pPr>
      <w:r>
        <w:rPr>
          <w:rFonts w:ascii="Arial Black" w:hAnsi="Arial Black"/>
          <w:b/>
          <w:sz w:val="24"/>
          <w:szCs w:val="24"/>
        </w:rPr>
        <w:t>7-28</w:t>
      </w:r>
    </w:p>
    <w:p w14:paraId="3EA7A1E0" w14:textId="77777777" w:rsidR="00EB2493" w:rsidRPr="001074C7" w:rsidRDefault="00EB2493" w:rsidP="00EB2493">
      <w:pPr>
        <w:pStyle w:val="NoSpacing"/>
        <w:rPr>
          <w:rFonts w:ascii="Arial Black" w:hAnsi="Arial Black"/>
          <w:sz w:val="28"/>
          <w:szCs w:val="28"/>
        </w:rPr>
      </w:pPr>
      <w:r>
        <w:rPr>
          <w:rFonts w:ascii="Arial Black" w:hAnsi="Arial Black"/>
          <w:sz w:val="28"/>
          <w:szCs w:val="28"/>
        </w:rPr>
        <w:t>GA: TRANSGENDER FIRE CHIEF – LAWSUIT DISMISSED – EEOC CHARGE NOT SUBMITTED UNDER OATH – “AT WILL” EMPLOYEE</w:t>
      </w:r>
    </w:p>
    <w:p w14:paraId="3FF9DBA0" w14:textId="77777777" w:rsidR="00EB2493" w:rsidRDefault="00EB2493" w:rsidP="00EB2493">
      <w:pPr>
        <w:pStyle w:val="NoSpacing"/>
      </w:pPr>
    </w:p>
    <w:p w14:paraId="6F6B6D60" w14:textId="77777777" w:rsidR="00EB2493" w:rsidRDefault="00EB2493" w:rsidP="00EB2493">
      <w:pPr>
        <w:pStyle w:val="NoSpacing"/>
        <w:rPr>
          <w:rFonts w:ascii="Times New Roman" w:hAnsi="Times New Roman"/>
          <w:sz w:val="24"/>
          <w:szCs w:val="24"/>
        </w:rPr>
      </w:pPr>
      <w:r>
        <w:rPr>
          <w:rFonts w:ascii="Times New Roman" w:hAnsi="Times New Roman"/>
          <w:sz w:val="24"/>
          <w:szCs w:val="24"/>
        </w:rPr>
        <w:t xml:space="preserve">On Jan. 28, 2021 in </w:t>
      </w:r>
      <w:r w:rsidRPr="001074C7">
        <w:rPr>
          <w:rFonts w:ascii="Times New Roman" w:hAnsi="Times New Roman"/>
          <w:sz w:val="24"/>
          <w:szCs w:val="24"/>
          <w:u w:val="single"/>
        </w:rPr>
        <w:t>Rachel Mosby v. City of Byron, Georgia</w:t>
      </w:r>
      <w:r>
        <w:rPr>
          <w:rFonts w:ascii="Times New Roman" w:hAnsi="Times New Roman"/>
          <w:sz w:val="24"/>
          <w:szCs w:val="24"/>
        </w:rPr>
        <w:t xml:space="preserve">, U.S. District Court Judge Clay D. Land granted the City’s motion to dismiss; plaintiff’s EEOC Charge was never signed under oath (not “Verified” as required by federal law); also Judge held that the plaintiff is an “at will” employee not protected by a civil service commission.  Chief Mosby was fired 18 months after first coming to work for her rural fire department as a woman. </w:t>
      </w:r>
    </w:p>
    <w:p w14:paraId="074FFD6E" w14:textId="77777777" w:rsidR="00EB2493" w:rsidRDefault="00EB2493" w:rsidP="00EB2493">
      <w:pPr>
        <w:pStyle w:val="NoSpacing"/>
        <w:rPr>
          <w:rFonts w:ascii="Times New Roman" w:hAnsi="Times New Roman"/>
          <w:sz w:val="24"/>
          <w:szCs w:val="24"/>
        </w:rPr>
      </w:pPr>
    </w:p>
    <w:p w14:paraId="22BA1AB0" w14:textId="77777777" w:rsidR="00EB2493" w:rsidRDefault="00EB2493" w:rsidP="00EB2493">
      <w:pPr>
        <w:ind w:left="720"/>
        <w:rPr>
          <w:rFonts w:ascii="Times New Roman" w:hAnsi="Times New Roman"/>
          <w:sz w:val="24"/>
          <w:szCs w:val="24"/>
        </w:rPr>
      </w:pPr>
      <w:r>
        <w:rPr>
          <w:rFonts w:ascii="Times New Roman" w:hAnsi="Times New Roman"/>
          <w:sz w:val="24"/>
          <w:szCs w:val="24"/>
        </w:rPr>
        <w:t>“</w:t>
      </w:r>
      <w:r w:rsidRPr="004254B6">
        <w:rPr>
          <w:rFonts w:ascii="Times New Roman" w:hAnsi="Times New Roman"/>
          <w:sz w:val="24"/>
          <w:szCs w:val="24"/>
        </w:rPr>
        <w:t xml:space="preserve">This record, as it stands today, does not contain a verified charge, and </w:t>
      </w:r>
      <w:r>
        <w:rPr>
          <w:rFonts w:ascii="Times New Roman" w:hAnsi="Times New Roman"/>
          <w:sz w:val="24"/>
          <w:szCs w:val="24"/>
        </w:rPr>
        <w:t>‘</w:t>
      </w:r>
      <w:r w:rsidRPr="004254B6">
        <w:rPr>
          <w:rFonts w:ascii="Times New Roman" w:hAnsi="Times New Roman"/>
          <w:sz w:val="24"/>
          <w:szCs w:val="24"/>
        </w:rPr>
        <w:t>the statute mandates that charges be made under oath or affirmation.</w:t>
      </w:r>
      <w:r>
        <w:rPr>
          <w:rFonts w:ascii="Times New Roman" w:hAnsi="Times New Roman"/>
          <w:sz w:val="24"/>
          <w:szCs w:val="24"/>
        </w:rPr>
        <w:t xml:space="preserve">’ </w:t>
      </w:r>
      <w:hyperlink r:id="rId1447" w:history="1">
        <w:r w:rsidRPr="004254B6">
          <w:rPr>
            <w:rStyle w:val="Hyperlink"/>
            <w:rFonts w:ascii="Times New Roman" w:hAnsi="Times New Roman"/>
            <w:i/>
            <w:iCs/>
            <w:sz w:val="24"/>
            <w:szCs w:val="24"/>
          </w:rPr>
          <w:t>Vason,</w:t>
        </w:r>
        <w:r w:rsidRPr="004254B6">
          <w:rPr>
            <w:rStyle w:val="Hyperlink"/>
            <w:rFonts w:ascii="Times New Roman" w:hAnsi="Times New Roman"/>
            <w:sz w:val="24"/>
            <w:szCs w:val="24"/>
          </w:rPr>
          <w:t xml:space="preserve"> 240 F.3d at 907</w:t>
        </w:r>
      </w:hyperlink>
      <w:r w:rsidRPr="004254B6">
        <w:rPr>
          <w:rFonts w:ascii="Times New Roman" w:hAnsi="Times New Roman"/>
          <w:sz w:val="24"/>
          <w:szCs w:val="24"/>
        </w:rPr>
        <w:t xml:space="preserve">. Since </w:t>
      </w:r>
      <w:r>
        <w:rPr>
          <w:rFonts w:ascii="Times New Roman" w:hAnsi="Times New Roman"/>
          <w:sz w:val="24"/>
          <w:szCs w:val="24"/>
        </w:rPr>
        <w:t>‘</w:t>
      </w:r>
      <w:r w:rsidRPr="004254B6">
        <w:rPr>
          <w:rFonts w:ascii="Times New Roman" w:hAnsi="Times New Roman"/>
          <w:sz w:val="24"/>
          <w:szCs w:val="24"/>
        </w:rPr>
        <w:t>verification is an absolute condition precedent to suit</w:t>
      </w:r>
      <w:r>
        <w:rPr>
          <w:rFonts w:ascii="Times New Roman" w:hAnsi="Times New Roman"/>
          <w:sz w:val="24"/>
          <w:szCs w:val="24"/>
        </w:rPr>
        <w:t>’</w:t>
      </w:r>
      <w:r w:rsidRPr="004254B6">
        <w:rPr>
          <w:rFonts w:ascii="Times New Roman" w:hAnsi="Times New Roman"/>
          <w:sz w:val="24"/>
          <w:szCs w:val="24"/>
        </w:rPr>
        <w:t xml:space="preserve"> under Title VII (and the ADA) in this circuit, Mosby's lack of verification demands one simple ruling—she did not satisfy an absolute condition precedent before filing her lawsuit. </w:t>
      </w:r>
      <w:r w:rsidRPr="004254B6">
        <w:rPr>
          <w:rFonts w:ascii="Times New Roman" w:hAnsi="Times New Roman"/>
          <w:i/>
          <w:iCs/>
          <w:sz w:val="24"/>
          <w:szCs w:val="24"/>
        </w:rPr>
        <w:t xml:space="preserve">See </w:t>
      </w:r>
      <w:hyperlink r:id="rId1448" w:history="1">
        <w:r w:rsidRPr="004254B6">
          <w:rPr>
            <w:rStyle w:val="Hyperlink"/>
            <w:rFonts w:ascii="Times New Roman" w:hAnsi="Times New Roman"/>
            <w:i/>
            <w:iCs/>
            <w:sz w:val="24"/>
            <w:szCs w:val="24"/>
          </w:rPr>
          <w:t>Vason v. City of Montgomery,</w:t>
        </w:r>
        <w:r w:rsidRPr="004254B6">
          <w:rPr>
            <w:rStyle w:val="Hyperlink"/>
            <w:rFonts w:ascii="Times New Roman" w:hAnsi="Times New Roman"/>
            <w:sz w:val="24"/>
            <w:szCs w:val="24"/>
          </w:rPr>
          <w:t xml:space="preserve"> 86 F. Supp. 2d 1130, 1133 (M.D. Ala. 2000),</w:t>
        </w:r>
      </w:hyperlink>
      <w:r w:rsidRPr="004254B6">
        <w:rPr>
          <w:rFonts w:ascii="Times New Roman" w:hAnsi="Times New Roman"/>
          <w:sz w:val="24"/>
          <w:szCs w:val="24"/>
        </w:rPr>
        <w:t xml:space="preserve"> </w:t>
      </w:r>
      <w:r w:rsidRPr="004254B6">
        <w:rPr>
          <w:rFonts w:ascii="Times New Roman" w:hAnsi="Times New Roman"/>
          <w:i/>
          <w:iCs/>
          <w:sz w:val="24"/>
          <w:szCs w:val="24"/>
        </w:rPr>
        <w:t>aff'd,</w:t>
      </w:r>
      <w:r w:rsidRPr="004254B6">
        <w:rPr>
          <w:rFonts w:ascii="Times New Roman" w:hAnsi="Times New Roman"/>
          <w:sz w:val="24"/>
          <w:szCs w:val="24"/>
        </w:rPr>
        <w:t xml:space="preserve"> </w:t>
      </w:r>
      <w:hyperlink r:id="rId1449" w:history="1">
        <w:r w:rsidRPr="004254B6">
          <w:rPr>
            <w:rStyle w:val="Hyperlink"/>
            <w:rFonts w:ascii="Times New Roman" w:hAnsi="Times New Roman"/>
            <w:sz w:val="24"/>
            <w:szCs w:val="24"/>
          </w:rPr>
          <w:t>240 F.3d 905</w:t>
        </w:r>
      </w:hyperlink>
      <w:r w:rsidRPr="004254B6">
        <w:rPr>
          <w:rFonts w:ascii="Times New Roman" w:hAnsi="Times New Roman"/>
          <w:sz w:val="24"/>
          <w:szCs w:val="24"/>
        </w:rPr>
        <w:t xml:space="preserve"> (alteration adopted). Consequently, Mosby's Title VII and ADA claims are barred as a matter of law.</w:t>
      </w:r>
      <w:r>
        <w:rPr>
          <w:rFonts w:ascii="Times New Roman" w:hAnsi="Times New Roman"/>
          <w:sz w:val="24"/>
          <w:szCs w:val="24"/>
        </w:rPr>
        <w:t>”</w:t>
      </w:r>
    </w:p>
    <w:p w14:paraId="520FAE89" w14:textId="589E8E7A" w:rsidR="00EB2493" w:rsidRDefault="00EB2493" w:rsidP="00EB2493">
      <w:pPr>
        <w:rPr>
          <w:rFonts w:ascii="Arial Black" w:hAnsi="Arial Black"/>
          <w:b/>
          <w:sz w:val="24"/>
          <w:szCs w:val="24"/>
        </w:rPr>
      </w:pPr>
      <w:hyperlink r:id="rId1450" w:history="1">
        <w:r w:rsidRPr="002013DF">
          <w:rPr>
            <w:rStyle w:val="Hyperlink"/>
            <w:rFonts w:ascii="Times New Roman" w:hAnsi="Times New Roman"/>
            <w:sz w:val="24"/>
            <w:szCs w:val="24"/>
          </w:rPr>
          <w:t>https://scholar.google.com/scholar_case?case=1979118509333189928&amp;q=Rachel+MOSBY+v.+CITY+OF+BYRON,+GEORGIA,&amp;hl=en&amp;as_sdt=6,36</w:t>
        </w:r>
      </w:hyperlink>
    </w:p>
    <w:p w14:paraId="338590CC" w14:textId="6C2767B5" w:rsidR="00EB2493" w:rsidRPr="00321109" w:rsidRDefault="00EB2493" w:rsidP="00EB2493">
      <w:pPr>
        <w:tabs>
          <w:tab w:val="left" w:pos="2830"/>
        </w:tabs>
        <w:rPr>
          <w:rFonts w:ascii="Times New Roman" w:hAnsi="Times New Roman"/>
          <w:b/>
          <w:bCs/>
          <w:sz w:val="24"/>
          <w:szCs w:val="24"/>
        </w:rPr>
      </w:pPr>
      <w:r w:rsidRPr="00321109">
        <w:rPr>
          <w:rFonts w:ascii="Times New Roman" w:hAnsi="Times New Roman"/>
          <w:b/>
          <w:bCs/>
          <w:sz w:val="24"/>
          <w:szCs w:val="24"/>
        </w:rPr>
        <w:t>Legal Lesson Learned</w:t>
      </w:r>
      <w:r>
        <w:rPr>
          <w:rFonts w:ascii="Times New Roman" w:hAnsi="Times New Roman"/>
          <w:b/>
          <w:bCs/>
          <w:sz w:val="24"/>
          <w:szCs w:val="24"/>
        </w:rPr>
        <w:t xml:space="preserve">:  EEOC charges must be “verified” (signed under oath); “at will” employees may be terminated without cause; public officials cannot sue for defamation without proof of “malice.”  </w:t>
      </w:r>
      <w:bookmarkStart w:id="289" w:name="_Hlk65911361"/>
      <w:r>
        <w:rPr>
          <w:rFonts w:ascii="Times New Roman" w:hAnsi="Times New Roman"/>
          <w:b/>
          <w:bCs/>
          <w:sz w:val="24"/>
          <w:szCs w:val="24"/>
        </w:rPr>
        <w:t xml:space="preserve">If this case had gone to trial, the jury might have seriously questioned the actions of the employer. </w:t>
      </w:r>
    </w:p>
    <w:bookmarkEnd w:id="289"/>
    <w:p w14:paraId="2610B9A1" w14:textId="77777777" w:rsidR="00EB2493" w:rsidRPr="00321109" w:rsidRDefault="00EB2493" w:rsidP="00EB2493">
      <w:pPr>
        <w:pStyle w:val="Heading1"/>
        <w:ind w:left="720"/>
        <w:rPr>
          <w:b w:val="0"/>
          <w:bCs w:val="0"/>
          <w:sz w:val="24"/>
          <w:szCs w:val="24"/>
        </w:rPr>
      </w:pPr>
      <w:r w:rsidRPr="00321109">
        <w:rPr>
          <w:b w:val="0"/>
          <w:bCs w:val="0"/>
          <w:sz w:val="24"/>
          <w:szCs w:val="24"/>
        </w:rPr>
        <w:t xml:space="preserve">Note:  </w:t>
      </w:r>
      <w:r>
        <w:rPr>
          <w:b w:val="0"/>
          <w:bCs w:val="0"/>
          <w:sz w:val="24"/>
          <w:szCs w:val="24"/>
        </w:rPr>
        <w:t>See:  Feb. 19, 2021: “</w:t>
      </w:r>
      <w:r w:rsidRPr="004254B6">
        <w:rPr>
          <w:b w:val="0"/>
          <w:bCs w:val="0"/>
          <w:sz w:val="24"/>
          <w:szCs w:val="24"/>
        </w:rPr>
        <w:t>Judge dismisses discrimination lawsuit by transgender fire chief</w:t>
      </w:r>
      <w:r>
        <w:rPr>
          <w:b w:val="0"/>
          <w:bCs w:val="0"/>
          <w:sz w:val="24"/>
          <w:szCs w:val="24"/>
        </w:rPr>
        <w:t xml:space="preserve">.” </w:t>
      </w:r>
      <w:r w:rsidRPr="004254B6">
        <w:rPr>
          <w:b w:val="0"/>
          <w:bCs w:val="0"/>
          <w:sz w:val="24"/>
          <w:szCs w:val="24"/>
        </w:rPr>
        <w:t>SAVANNAH, Ga. — A federal judge has dismissed a discrimination lawsuit by a transgender fire chief who led a rural Georgia city's fire department for more than a decade, then got fired 18 months after first coming to work as a woman</w:t>
      </w:r>
      <w:r>
        <w:rPr>
          <w:b w:val="0"/>
          <w:bCs w:val="0"/>
          <w:sz w:val="24"/>
          <w:szCs w:val="24"/>
        </w:rPr>
        <w:t xml:space="preserve">.” </w:t>
      </w:r>
      <w:hyperlink r:id="rId1451" w:history="1">
        <w:r w:rsidRPr="00D403AF">
          <w:rPr>
            <w:rStyle w:val="Hyperlink"/>
            <w:b w:val="0"/>
            <w:bCs w:val="0"/>
            <w:sz w:val="24"/>
            <w:szCs w:val="24"/>
          </w:rPr>
          <w:t>https://www.firerescue1.com/discrimination/articles/judge-dismisses-discrimination-lawsuit-by-transgender-fire-chief-c9ZJzz1mhPH97dsL/?utm_source=FireRescue1+Daily&amp;utm_campaign=34323ded4f-EMAIL_CAMPAIGN_2021_02_19_07_52&amp;utm_medium=email&amp;utm_term=0_758bdbeffe-34323ded4f-41607823</w:t>
        </w:r>
      </w:hyperlink>
      <w:r>
        <w:rPr>
          <w:b w:val="0"/>
          <w:bCs w:val="0"/>
          <w:sz w:val="24"/>
          <w:szCs w:val="24"/>
        </w:rPr>
        <w:t xml:space="preserve"> </w:t>
      </w:r>
    </w:p>
    <w:p w14:paraId="6AAE0EF5" w14:textId="77777777" w:rsidR="00EB2493" w:rsidRPr="004254B6" w:rsidRDefault="00EB2493" w:rsidP="00EB2493">
      <w:pPr>
        <w:pStyle w:val="NoSpacing"/>
        <w:ind w:left="720"/>
        <w:rPr>
          <w:rFonts w:ascii="Times New Roman" w:hAnsi="Times New Roman"/>
          <w:sz w:val="24"/>
          <w:szCs w:val="24"/>
        </w:rPr>
      </w:pPr>
      <w:r w:rsidRPr="004254B6">
        <w:rPr>
          <w:rFonts w:ascii="Times New Roman" w:hAnsi="Times New Roman"/>
          <w:sz w:val="24"/>
          <w:szCs w:val="24"/>
        </w:rPr>
        <w:t xml:space="preserve">See also: “Federal judge dismisses discrimination lawsuit by transgender fire chief in Georgia.” </w:t>
      </w:r>
      <w:hyperlink r:id="rId1452" w:history="1">
        <w:r w:rsidRPr="004254B6">
          <w:rPr>
            <w:rStyle w:val="Hyperlink"/>
            <w:rFonts w:ascii="Times New Roman" w:hAnsi="Times New Roman"/>
            <w:sz w:val="24"/>
            <w:szCs w:val="24"/>
          </w:rPr>
          <w:t>https://www.nbcnews.com/news/us-news/federal-judge-dismisses-discrimination-lawsuit-transgender-fire-chief-georgia-n1258452</w:t>
        </w:r>
      </w:hyperlink>
    </w:p>
    <w:p w14:paraId="5183A507" w14:textId="77777777" w:rsidR="00EB2493" w:rsidRDefault="00EB2493" w:rsidP="002B1283">
      <w:pPr>
        <w:rPr>
          <w:rFonts w:ascii="Arial Black" w:hAnsi="Arial Black"/>
          <w:b/>
          <w:sz w:val="24"/>
          <w:szCs w:val="24"/>
        </w:rPr>
      </w:pPr>
    </w:p>
    <w:p w14:paraId="4C73B106" w14:textId="77777777" w:rsidR="00EB2493" w:rsidRDefault="00EB2493" w:rsidP="002B1283">
      <w:pPr>
        <w:rPr>
          <w:rFonts w:ascii="Arial Black" w:hAnsi="Arial Black"/>
          <w:b/>
          <w:sz w:val="24"/>
          <w:szCs w:val="24"/>
        </w:rPr>
      </w:pPr>
    </w:p>
    <w:p w14:paraId="1E51D146" w14:textId="425EDDE7" w:rsidR="00737B49" w:rsidRDefault="00737B49" w:rsidP="002B1283">
      <w:pPr>
        <w:rPr>
          <w:rFonts w:ascii="Arial Black" w:hAnsi="Arial Black"/>
          <w:b/>
          <w:sz w:val="24"/>
          <w:szCs w:val="24"/>
        </w:rPr>
      </w:pPr>
      <w:r>
        <w:rPr>
          <w:rFonts w:ascii="Arial Black" w:hAnsi="Arial Black"/>
          <w:b/>
          <w:sz w:val="24"/>
          <w:szCs w:val="24"/>
        </w:rPr>
        <w:t>7-27</w:t>
      </w:r>
    </w:p>
    <w:p w14:paraId="7CD45694" w14:textId="2EF41928" w:rsidR="00863F9E" w:rsidRDefault="00863F9E" w:rsidP="00863F9E">
      <w:pPr>
        <w:spacing w:before="100" w:beforeAutospacing="1" w:after="100" w:afterAutospacing="1" w:line="240" w:lineRule="auto"/>
        <w:rPr>
          <w:rFonts w:ascii="Arial Black" w:hAnsi="Arial Black" w:cstheme="minorBidi"/>
          <w:sz w:val="28"/>
          <w:szCs w:val="28"/>
        </w:rPr>
      </w:pPr>
      <w:bookmarkStart w:id="290" w:name="_Hlk66947567"/>
      <w:r>
        <w:rPr>
          <w:rFonts w:ascii="Arial Black" w:hAnsi="Arial Black"/>
          <w:sz w:val="28"/>
          <w:szCs w:val="28"/>
        </w:rPr>
        <w:t xml:space="preserve">MI: JURY FINDS NO SEX HARASSMENT, NO RETALIATION – FF 29-DAY SUSP - POSTED CELL PHONE PHOTO OF HOUSE FIRE </w:t>
      </w:r>
    </w:p>
    <w:p w14:paraId="790A66CB" w14:textId="77777777" w:rsidR="00863F9E" w:rsidRDefault="00863F9E" w:rsidP="00863F9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29, 2020, in </w:t>
      </w:r>
      <w:r>
        <w:rPr>
          <w:rFonts w:ascii="Times New Roman" w:hAnsi="Times New Roman"/>
          <w:sz w:val="24"/>
          <w:szCs w:val="24"/>
          <w:u w:val="single"/>
        </w:rPr>
        <w:t>Amy Rygwelski v. City of Flint, et al</w:t>
      </w:r>
      <w:r>
        <w:rPr>
          <w:rFonts w:ascii="Times New Roman" w:hAnsi="Times New Roman"/>
          <w:sz w:val="24"/>
          <w:szCs w:val="24"/>
        </w:rPr>
        <w:t>., the State of Michigan Court of Appeals, held (3 to 0) that the trial court properly upheld the jury decision of no harassment or retaliation.  She filed complaint of sexual harassment after one minor incident with fellow firefighter; was reassigned to another station, and later received a 29-day suspension after the department learned that, while on a fire run, she used her cell phone to take a picture of the rising sun while a house burned in the foreground, posted on social media.</w:t>
      </w:r>
    </w:p>
    <w:bookmarkEnd w:id="290"/>
    <w:p w14:paraId="1F1683D7" w14:textId="77777777" w:rsidR="00863F9E" w:rsidRDefault="00863F9E" w:rsidP="00863F9E">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lastRenderedPageBreak/>
        <w:t xml:space="preserve">“If the jury were to believe that plaintiff fabricated her claim of sexual harassment, then plaintiff was not engaged in a protected activity. Reporting a fabricated account of harassment would not be an activity protected by the act, because a plaintiff could not possibly be acting upon </w:t>
      </w:r>
      <w:proofErr w:type="gramStart"/>
      <w:r>
        <w:rPr>
          <w:rFonts w:ascii="Times New Roman" w:hAnsi="Times New Roman"/>
          <w:sz w:val="24"/>
          <w:szCs w:val="24"/>
        </w:rPr>
        <w:t>a good</w:t>
      </w:r>
      <w:proofErr w:type="gramEnd"/>
      <w:r>
        <w:rPr>
          <w:rFonts w:ascii="Times New Roman" w:hAnsi="Times New Roman"/>
          <w:sz w:val="24"/>
          <w:szCs w:val="24"/>
        </w:rPr>
        <w:t xml:space="preserve">-faith or reasonable belief of unlawful activity. And because a question of fact existed with respect to whether the sexual harassment </w:t>
      </w:r>
      <w:proofErr w:type="gramStart"/>
      <w:r>
        <w:rPr>
          <w:rFonts w:ascii="Times New Roman" w:hAnsi="Times New Roman"/>
          <w:sz w:val="24"/>
          <w:szCs w:val="24"/>
        </w:rPr>
        <w:t>actually occurred</w:t>
      </w:r>
      <w:proofErr w:type="gramEnd"/>
      <w:r>
        <w:rPr>
          <w:rFonts w:ascii="Times New Roman" w:hAnsi="Times New Roman"/>
          <w:sz w:val="24"/>
          <w:szCs w:val="24"/>
        </w:rPr>
        <w:t xml:space="preserve">, reasonable jurors could have differed with respect to whether plaintiff engaged in protected activity. Accordingly, the trial court did not err when it denied plaintiff’s motion for a directed verdict.” </w:t>
      </w:r>
      <w:bookmarkStart w:id="291" w:name="_Hlk66947588"/>
      <w:r w:rsidR="00F00958">
        <w:fldChar w:fldCharType="begin"/>
      </w:r>
      <w:r w:rsidR="00F00958">
        <w:instrText xml:space="preserve"> HYPERLINK "https://public.fastcase.com/Wl%2B2t%2BeVuI35%2FN70vAMFZhNKndYLJrOSR04H32IgTwa9kDAt3i1qzZBjDxGzNoxz" </w:instrText>
      </w:r>
      <w:r w:rsidR="00F00958">
        <w:fldChar w:fldCharType="separate"/>
      </w:r>
      <w:r>
        <w:rPr>
          <w:rStyle w:val="Hyperlink"/>
        </w:rPr>
        <w:t>https://public.fastcase.com/Wl%2B2t%2BeVuI35%2FN70vAMFZhNKndYLJrOSR04H32IgTwa9kDAt3i1qzZBjDxGzNoxz</w:t>
      </w:r>
      <w:r w:rsidR="00F00958">
        <w:rPr>
          <w:rStyle w:val="Hyperlink"/>
        </w:rPr>
        <w:fldChar w:fldCharType="end"/>
      </w:r>
      <w:r>
        <w:rPr>
          <w:rFonts w:ascii="Times New Roman" w:hAnsi="Times New Roman"/>
          <w:sz w:val="24"/>
          <w:szCs w:val="24"/>
        </w:rPr>
        <w:t xml:space="preserve">  </w:t>
      </w:r>
    </w:p>
    <w:p w14:paraId="42CE8AC4" w14:textId="77777777" w:rsidR="00863F9E" w:rsidRDefault="00863F9E" w:rsidP="00863F9E">
      <w:pPr>
        <w:spacing w:after="100" w:line="240" w:lineRule="auto"/>
        <w:rPr>
          <w:rFonts w:ascii="Times New Roman" w:eastAsia="Times New Roman" w:hAnsi="Times New Roman"/>
          <w:b/>
          <w:bCs/>
          <w:sz w:val="24"/>
          <w:szCs w:val="24"/>
        </w:rPr>
      </w:pPr>
      <w:r>
        <w:rPr>
          <w:rFonts w:ascii="Times New Roman" w:eastAsia="Times New Roman" w:hAnsi="Times New Roman"/>
          <w:b/>
          <w:bCs/>
          <w:sz w:val="24"/>
          <w:szCs w:val="24"/>
        </w:rPr>
        <w:t>Legal Lesson Learned: Plaintiff failed to prove her allegations to the jury.</w:t>
      </w:r>
    </w:p>
    <w:bookmarkEnd w:id="291"/>
    <w:p w14:paraId="06260D2E" w14:textId="77777777" w:rsidR="00863F9E" w:rsidRDefault="00863F9E" w:rsidP="002B1283">
      <w:pPr>
        <w:rPr>
          <w:rFonts w:ascii="Arial Black" w:hAnsi="Arial Black"/>
          <w:b/>
          <w:sz w:val="24"/>
          <w:szCs w:val="24"/>
        </w:rPr>
      </w:pPr>
    </w:p>
    <w:p w14:paraId="330F4090" w14:textId="6B2CA801" w:rsidR="00737B49" w:rsidRDefault="00737B49" w:rsidP="002B1283">
      <w:pPr>
        <w:rPr>
          <w:rFonts w:ascii="Arial Black" w:hAnsi="Arial Black"/>
          <w:b/>
          <w:sz w:val="24"/>
          <w:szCs w:val="24"/>
        </w:rPr>
      </w:pPr>
    </w:p>
    <w:p w14:paraId="25CE69BD" w14:textId="35D31BFD" w:rsidR="00737B49" w:rsidRDefault="00737B49" w:rsidP="002B1283">
      <w:pPr>
        <w:rPr>
          <w:rFonts w:ascii="Arial Black" w:hAnsi="Arial Black"/>
          <w:b/>
          <w:sz w:val="24"/>
          <w:szCs w:val="24"/>
        </w:rPr>
      </w:pPr>
      <w:r>
        <w:rPr>
          <w:rFonts w:ascii="Arial Black" w:hAnsi="Arial Black"/>
          <w:b/>
          <w:sz w:val="24"/>
          <w:szCs w:val="24"/>
        </w:rPr>
        <w:t>7-26</w:t>
      </w:r>
    </w:p>
    <w:p w14:paraId="136021BB" w14:textId="77777777" w:rsidR="00863F9E" w:rsidRDefault="00863F9E" w:rsidP="00863F9E">
      <w:pPr>
        <w:rPr>
          <w:rFonts w:ascii="Arial Black" w:eastAsiaTheme="minorHAnsi" w:hAnsi="Arial Black" w:cstheme="minorBidi"/>
          <w:sz w:val="28"/>
          <w:szCs w:val="28"/>
        </w:rPr>
      </w:pPr>
      <w:bookmarkStart w:id="292" w:name="_Hlk66947667"/>
      <w:r>
        <w:rPr>
          <w:rFonts w:ascii="Arial Black" w:hAnsi="Arial Black"/>
          <w:sz w:val="28"/>
          <w:szCs w:val="28"/>
        </w:rPr>
        <w:t>NY: FF FIRED – SEMEN INSIDE PANTS BELONGING TO FEMALE FF – ARBITRATOR, COURTS UPHOLD FIRING</w:t>
      </w:r>
    </w:p>
    <w:p w14:paraId="69FAAE9D" w14:textId="1B9BAC19" w:rsidR="00863F9E" w:rsidRDefault="00863F9E" w:rsidP="00863F9E">
      <w:pPr>
        <w:rPr>
          <w:rFonts w:ascii="Times New Roman" w:hAnsi="Times New Roman"/>
          <w:sz w:val="24"/>
          <w:szCs w:val="24"/>
        </w:rPr>
      </w:pPr>
      <w:r>
        <w:rPr>
          <w:rFonts w:ascii="Times New Roman" w:hAnsi="Times New Roman"/>
          <w:sz w:val="24"/>
          <w:szCs w:val="24"/>
        </w:rPr>
        <w:t xml:space="preserve">On Dec. 23, 2020, </w:t>
      </w:r>
      <w:r>
        <w:rPr>
          <w:rFonts w:ascii="Times New Roman" w:hAnsi="Times New Roman"/>
          <w:sz w:val="24"/>
          <w:szCs w:val="24"/>
          <w:u w:val="single"/>
        </w:rPr>
        <w:t>In The Matter Of Arbitration Between City of Utica, and Local 32, IAFF (on Behalf of Richard J. Forte)</w:t>
      </w:r>
      <w:r>
        <w:rPr>
          <w:rFonts w:ascii="Times New Roman" w:hAnsi="Times New Roman"/>
          <w:sz w:val="24"/>
          <w:szCs w:val="24"/>
        </w:rPr>
        <w:t xml:space="preserve">, the Supreme Court of the State of New York, Appellate Division (Fourth Judicial District), 2020 NY Slip Op 07783, held (5 to 0) that trial court properly denied his motion to vacate arbitration award in favor of the City. </w:t>
      </w:r>
    </w:p>
    <w:bookmarkEnd w:id="292"/>
    <w:p w14:paraId="5109B944" w14:textId="77777777" w:rsidR="00863F9E" w:rsidRDefault="00863F9E" w:rsidP="00863F9E">
      <w:pPr>
        <w:ind w:left="720"/>
        <w:rPr>
          <w:rFonts w:asciiTheme="minorHAnsi" w:hAnsiTheme="minorHAnsi" w:cstheme="minorBidi"/>
        </w:rPr>
      </w:pPr>
      <w:r>
        <w:rPr>
          <w:rFonts w:ascii="Times New Roman" w:hAnsi="Times New Roman"/>
          <w:sz w:val="24"/>
          <w:szCs w:val="24"/>
        </w:rPr>
        <w:t>“Respondent contends that the arbitrator improperly found him guilty of committing uncharged conduct, i.e., sexual harassment, and determined that termination was the appropriate penalty for that uncharged conduct. We reject that contention.</w:t>
      </w:r>
    </w:p>
    <w:p w14:paraId="7D1545AF" w14:textId="77777777" w:rsidR="00863F9E" w:rsidRDefault="00863F9E" w:rsidP="00863F9E">
      <w:pPr>
        <w:ind w:left="720"/>
        <w:rPr>
          <w:rFonts w:ascii="Times New Roman" w:hAnsi="Times New Roman"/>
          <w:sz w:val="24"/>
          <w:szCs w:val="24"/>
        </w:rPr>
      </w:pPr>
      <w:r>
        <w:rPr>
          <w:rFonts w:ascii="Times New Roman" w:hAnsi="Times New Roman"/>
          <w:sz w:val="24"/>
          <w:szCs w:val="24"/>
        </w:rPr>
        <w:t>Respondent was charged in the notice of disciplinary charges with, inter alia, conduct unbecoming a member of the Utica Fire Department ‘insofar as [he] knowingly and intentionally damage[d] property belonging to a fellow firefighter’ by ‘intentionally, knowingly, and unlawfully, with the intent to damage property, deposit[</w:t>
      </w:r>
      <w:proofErr w:type="spellStart"/>
      <w:r>
        <w:rPr>
          <w:rFonts w:ascii="Times New Roman" w:hAnsi="Times New Roman"/>
          <w:sz w:val="24"/>
          <w:szCs w:val="24"/>
        </w:rPr>
        <w:t>ing</w:t>
      </w:r>
      <w:proofErr w:type="spellEnd"/>
      <w:r>
        <w:rPr>
          <w:rFonts w:ascii="Times New Roman" w:hAnsi="Times New Roman"/>
          <w:sz w:val="24"/>
          <w:szCs w:val="24"/>
        </w:rPr>
        <w:t xml:space="preserve">] [his] semen onto the inside crotch area of a pair of pants belonging to’ a fellow firefighter.” </w:t>
      </w:r>
      <w:bookmarkStart w:id="293" w:name="_Hlk66947690"/>
      <w:r w:rsidR="00F00958">
        <w:fldChar w:fldCharType="begin"/>
      </w:r>
      <w:r w:rsidR="00F00958">
        <w:instrText xml:space="preserve"> HYPERLINK "https://public.fastcase.com/Wl%2B2t%2BeVuI35%2FN70vAMFZp6hsxXEFbDsO880xeA992QVSgi2XCJKDe%2BRTn9MNoHg" </w:instrText>
      </w:r>
      <w:r w:rsidR="00F00958">
        <w:fldChar w:fldCharType="separate"/>
      </w:r>
      <w:r>
        <w:rPr>
          <w:rStyle w:val="Hyperlink"/>
        </w:rPr>
        <w:t>https://public.fastcase.com/Wl%2B2t%2BeVuI35%2FN70vAMFZp6hsxXEFbDsO880xeA992QVSgi2XCJKDe%2BRTn9MNoHg</w:t>
      </w:r>
      <w:r w:rsidR="00F00958">
        <w:rPr>
          <w:rStyle w:val="Hyperlink"/>
        </w:rPr>
        <w:fldChar w:fldCharType="end"/>
      </w:r>
      <w:r>
        <w:rPr>
          <w:rFonts w:ascii="Times New Roman" w:hAnsi="Times New Roman"/>
          <w:sz w:val="24"/>
          <w:szCs w:val="24"/>
        </w:rPr>
        <w:t xml:space="preserve"> </w:t>
      </w:r>
    </w:p>
    <w:p w14:paraId="0F67507F" w14:textId="77777777" w:rsidR="00863F9E" w:rsidRDefault="00863F9E" w:rsidP="00863F9E">
      <w:pPr>
        <w:spacing w:before="100" w:beforeAutospacing="1" w:after="100" w:afterAutospacing="1" w:line="240" w:lineRule="auto"/>
        <w:rPr>
          <w:rFonts w:ascii="Times New Roman" w:eastAsia="Times New Roman" w:hAnsi="Times New Roman"/>
          <w:b/>
          <w:bCs/>
          <w:sz w:val="24"/>
          <w:szCs w:val="24"/>
        </w:rPr>
      </w:pPr>
      <w:r w:rsidRPr="004D6DF3">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Terrible set of facts.</w:t>
      </w:r>
    </w:p>
    <w:p w14:paraId="0987C420" w14:textId="77777777" w:rsidR="00863F9E" w:rsidRPr="004D6DF3" w:rsidRDefault="00863F9E" w:rsidP="00863F9E">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b/>
          <w:bCs/>
          <w:sz w:val="24"/>
          <w:szCs w:val="24"/>
        </w:rPr>
        <w:tab/>
      </w:r>
      <w:r>
        <w:rPr>
          <w:rFonts w:ascii="Times New Roman" w:eastAsia="Times New Roman" w:hAnsi="Times New Roman"/>
          <w:sz w:val="24"/>
          <w:szCs w:val="24"/>
        </w:rPr>
        <w:t xml:space="preserve">Note: This case has been subject of lots of negative Press. </w:t>
      </w:r>
    </w:p>
    <w:bookmarkEnd w:id="293"/>
    <w:p w14:paraId="387BA4A4" w14:textId="77777777" w:rsidR="00863F9E" w:rsidRPr="004D6DF3" w:rsidRDefault="00863F9E" w:rsidP="00863F9E">
      <w:pPr>
        <w:ind w:left="720"/>
        <w:rPr>
          <w:sz w:val="24"/>
          <w:szCs w:val="24"/>
        </w:rPr>
      </w:pPr>
      <w:r>
        <w:rPr>
          <w:rFonts w:ascii="Times New Roman" w:hAnsi="Times New Roman"/>
          <w:sz w:val="24"/>
          <w:szCs w:val="24"/>
        </w:rPr>
        <w:t xml:space="preserve">July 21, 2020: </w:t>
      </w:r>
      <w:r w:rsidRPr="004D6DF3">
        <w:rPr>
          <w:rFonts w:ascii="Times New Roman" w:hAnsi="Times New Roman"/>
          <w:sz w:val="24"/>
          <w:szCs w:val="24"/>
        </w:rPr>
        <w:t>“Court: Former Utica firefighter not entitled to payment.”</w:t>
      </w:r>
      <w:r>
        <w:rPr>
          <w:rFonts w:ascii="Times New Roman" w:hAnsi="Times New Roman"/>
          <w:sz w:val="24"/>
          <w:szCs w:val="24"/>
        </w:rPr>
        <w:t xml:space="preserve"> “</w:t>
      </w:r>
      <w:r w:rsidRPr="004D6DF3">
        <w:rPr>
          <w:rFonts w:ascii="Times New Roman" w:hAnsi="Times New Roman"/>
          <w:sz w:val="24"/>
          <w:szCs w:val="24"/>
        </w:rPr>
        <w:t>Richard Forte was found guilty last September of charges related to a January 2018 incident, during which he ejaculated on a pair of pants owned by a female firefighter. He was sentenced last December to 60 days in the county jail.</w:t>
      </w:r>
      <w:r>
        <w:rPr>
          <w:rFonts w:ascii="Times New Roman" w:hAnsi="Times New Roman"/>
          <w:sz w:val="24"/>
          <w:szCs w:val="24"/>
        </w:rPr>
        <w:t xml:space="preserve">” </w:t>
      </w:r>
      <w:hyperlink r:id="rId1453" w:history="1">
        <w:r w:rsidRPr="008335C2">
          <w:rPr>
            <w:rStyle w:val="Hyperlink"/>
            <w:sz w:val="24"/>
            <w:szCs w:val="24"/>
          </w:rPr>
          <w:t>https://www.uticaod.com/story/news/2020/07/21/court-former-utica-firefighter-not-entitled-to-payment/42260661/</w:t>
        </w:r>
      </w:hyperlink>
      <w:r w:rsidRPr="004D6DF3">
        <w:rPr>
          <w:sz w:val="24"/>
          <w:szCs w:val="24"/>
        </w:rPr>
        <w:t xml:space="preserve"> </w:t>
      </w:r>
    </w:p>
    <w:p w14:paraId="7A67F713" w14:textId="77777777" w:rsidR="00863F9E" w:rsidRPr="004D6DF3" w:rsidRDefault="00863F9E" w:rsidP="00863F9E">
      <w:pPr>
        <w:pStyle w:val="Heading1"/>
        <w:ind w:left="720"/>
        <w:rPr>
          <w:b w:val="0"/>
          <w:bCs w:val="0"/>
          <w:sz w:val="24"/>
          <w:szCs w:val="24"/>
        </w:rPr>
      </w:pPr>
      <w:r w:rsidRPr="004D6DF3">
        <w:rPr>
          <w:b w:val="0"/>
          <w:bCs w:val="0"/>
          <w:sz w:val="24"/>
          <w:szCs w:val="24"/>
        </w:rPr>
        <w:lastRenderedPageBreak/>
        <w:t xml:space="preserve">Sept. 25, 2019: “Ex-Utica firefighter found guilty on all charges.” </w:t>
      </w:r>
      <w:hyperlink r:id="rId1454" w:history="1">
        <w:r w:rsidRPr="008335C2">
          <w:rPr>
            <w:rStyle w:val="Hyperlink"/>
            <w:b w:val="0"/>
            <w:bCs w:val="0"/>
            <w:sz w:val="24"/>
            <w:szCs w:val="24"/>
          </w:rPr>
          <w:t>https://www.uticaod.com/news/20190925/ex-utica-firefighter-found-guilty-on-all-charges</w:t>
        </w:r>
      </w:hyperlink>
      <w:r w:rsidRPr="004D6DF3">
        <w:rPr>
          <w:b w:val="0"/>
          <w:bCs w:val="0"/>
          <w:sz w:val="24"/>
          <w:szCs w:val="24"/>
        </w:rPr>
        <w:t xml:space="preserve"> </w:t>
      </w:r>
    </w:p>
    <w:p w14:paraId="017E8965" w14:textId="77777777" w:rsidR="00863F9E" w:rsidRPr="004D6DF3" w:rsidRDefault="00863F9E" w:rsidP="00863F9E">
      <w:pPr>
        <w:ind w:left="720"/>
        <w:rPr>
          <w:rFonts w:ascii="Times New Roman" w:hAnsi="Times New Roman"/>
          <w:sz w:val="24"/>
          <w:szCs w:val="24"/>
        </w:rPr>
      </w:pPr>
      <w:r>
        <w:rPr>
          <w:rFonts w:ascii="Times New Roman" w:hAnsi="Times New Roman"/>
          <w:sz w:val="24"/>
          <w:szCs w:val="24"/>
        </w:rPr>
        <w:t xml:space="preserve">April 4, 2019: “Utica firefighter fired after sexual harassment claim.” </w:t>
      </w:r>
      <w:hyperlink r:id="rId1455" w:history="1">
        <w:r w:rsidRPr="008335C2">
          <w:rPr>
            <w:rStyle w:val="Hyperlink"/>
            <w:rFonts w:ascii="Times New Roman" w:hAnsi="Times New Roman"/>
            <w:sz w:val="24"/>
            <w:szCs w:val="24"/>
          </w:rPr>
          <w:t>https://www.uticaod.com/news/20190404/utica-firefighter-fired-after-sexual-harassment-claim</w:t>
        </w:r>
      </w:hyperlink>
      <w:r>
        <w:rPr>
          <w:rFonts w:ascii="Times New Roman" w:hAnsi="Times New Roman"/>
          <w:sz w:val="24"/>
          <w:szCs w:val="24"/>
        </w:rPr>
        <w:t xml:space="preserve"> </w:t>
      </w:r>
    </w:p>
    <w:p w14:paraId="07C7A4A6" w14:textId="77777777" w:rsidR="00737B49" w:rsidRDefault="00737B49" w:rsidP="002B1283">
      <w:pPr>
        <w:rPr>
          <w:rFonts w:ascii="Arial Black" w:hAnsi="Arial Black"/>
          <w:b/>
          <w:sz w:val="24"/>
          <w:szCs w:val="24"/>
        </w:rPr>
      </w:pPr>
    </w:p>
    <w:p w14:paraId="08007798" w14:textId="43D61A9C" w:rsidR="00DD03E3" w:rsidRDefault="00DD03E3" w:rsidP="002B1283">
      <w:pPr>
        <w:rPr>
          <w:rFonts w:ascii="Arial Black" w:hAnsi="Arial Black"/>
          <w:b/>
          <w:sz w:val="24"/>
          <w:szCs w:val="24"/>
        </w:rPr>
      </w:pPr>
      <w:r>
        <w:rPr>
          <w:rFonts w:ascii="Arial Black" w:hAnsi="Arial Black"/>
          <w:b/>
          <w:sz w:val="24"/>
          <w:szCs w:val="24"/>
        </w:rPr>
        <w:t>7-25</w:t>
      </w:r>
    </w:p>
    <w:p w14:paraId="2DCB1B6C" w14:textId="77777777" w:rsidR="00DD03E3" w:rsidRPr="00CB26F0" w:rsidRDefault="00DD03E3" w:rsidP="00DD03E3">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FEMALE IN CHICAGO FD’s PARAMEDIC ACADEMY – INJURED “LIFTING &amp; MOVING SEQUENCE” – REFUSED RE-HIRE - CASE PROCEED</w:t>
      </w:r>
    </w:p>
    <w:p w14:paraId="63E7D3F3" w14:textId="77777777" w:rsidR="00DD03E3" w:rsidRDefault="00DD03E3" w:rsidP="00DD03E3">
      <w:pPr>
        <w:spacing w:before="100" w:beforeAutospacing="1" w:after="100" w:afterAutospacing="1" w:line="240" w:lineRule="auto"/>
        <w:rPr>
          <w:rFonts w:ascii="Times New Roman" w:hAnsi="Times New Roman"/>
          <w:sz w:val="24"/>
          <w:szCs w:val="24"/>
        </w:rPr>
      </w:pPr>
      <w:r w:rsidRPr="009A19BE">
        <w:rPr>
          <w:rFonts w:ascii="Times New Roman" w:eastAsia="Times New Roman" w:hAnsi="Times New Roman"/>
          <w:sz w:val="24"/>
          <w:szCs w:val="24"/>
        </w:rPr>
        <w:t>On Act. 27, 2020, in</w:t>
      </w:r>
      <w:r>
        <w:rPr>
          <w:rFonts w:ascii="Times New Roman" w:eastAsia="Times New Roman" w:hAnsi="Times New Roman"/>
          <w:sz w:val="24"/>
          <w:szCs w:val="24"/>
        </w:rPr>
        <w:t xml:space="preserve"> </w:t>
      </w:r>
      <w:r w:rsidRPr="009A19BE">
        <w:rPr>
          <w:rFonts w:ascii="Times New Roman" w:eastAsia="Times New Roman" w:hAnsi="Times New Roman"/>
          <w:sz w:val="24"/>
          <w:szCs w:val="24"/>
          <w:u w:val="single"/>
        </w:rPr>
        <w:t>Donna Griffin v. City of Chicago</w:t>
      </w:r>
      <w:r>
        <w:rPr>
          <w:rFonts w:ascii="Times New Roman" w:eastAsia="Times New Roman" w:hAnsi="Times New Roman"/>
          <w:sz w:val="24"/>
          <w:szCs w:val="24"/>
        </w:rPr>
        <w:t xml:space="preserve">, U.S. District Court Judge Sara L. Ellis, Northern District of Illinois, denied City’s motion to dismiss the lawsuit; plaintiff may pursue claim that the CFD administered physical fitness tests solely to eliminate women from the Academy, leading to her injury and termination April 11, 2019, and the City’s refusal to allow her to re-apply after she failed a return-to-work Independent Medical Exam in June 2019 (she was prescribed medications for </w:t>
      </w:r>
      <w:r w:rsidRPr="00D272C9">
        <w:rPr>
          <w:rFonts w:ascii="Times New Roman" w:hAnsi="Times New Roman"/>
          <w:sz w:val="24"/>
          <w:szCs w:val="24"/>
        </w:rPr>
        <w:t>insomnia and adjustment disorder</w:t>
      </w:r>
      <w:r>
        <w:rPr>
          <w:rFonts w:ascii="Times New Roman" w:hAnsi="Times New Roman"/>
          <w:sz w:val="24"/>
          <w:szCs w:val="24"/>
        </w:rPr>
        <w:t>).</w:t>
      </w:r>
    </w:p>
    <w:p w14:paraId="4FBB09B0" w14:textId="77777777" w:rsidR="00DD03E3" w:rsidRDefault="00DD03E3" w:rsidP="00DD03E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D272C9">
        <w:rPr>
          <w:rFonts w:ascii="Times New Roman" w:hAnsi="Times New Roman"/>
          <w:sz w:val="24"/>
          <w:szCs w:val="24"/>
        </w:rPr>
        <w:t>In October 2016, Griffin (who was known as Donna Ruch at the time</w:t>
      </w:r>
      <w:proofErr w:type="gramStart"/>
      <w:r w:rsidRPr="00D272C9">
        <w:rPr>
          <w:rFonts w:ascii="Times New Roman" w:hAnsi="Times New Roman"/>
          <w:sz w:val="24"/>
          <w:szCs w:val="24"/>
        </w:rPr>
        <w:t>)</w:t>
      </w:r>
      <w:proofErr w:type="gramEnd"/>
      <w:r w:rsidRPr="00D272C9">
        <w:rPr>
          <w:rFonts w:ascii="Times New Roman" w:hAnsi="Times New Roman"/>
          <w:sz w:val="24"/>
          <w:szCs w:val="24"/>
        </w:rPr>
        <w:t xml:space="preserve"> and several other female paramedics filed the </w:t>
      </w:r>
      <w:r w:rsidRPr="00D272C9">
        <w:rPr>
          <w:rFonts w:ascii="Times New Roman" w:hAnsi="Times New Roman"/>
          <w:i/>
          <w:iCs/>
          <w:sz w:val="24"/>
          <w:szCs w:val="24"/>
        </w:rPr>
        <w:t>Livingston</w:t>
      </w:r>
      <w:r w:rsidRPr="00D272C9">
        <w:rPr>
          <w:rFonts w:ascii="Times New Roman" w:hAnsi="Times New Roman"/>
          <w:sz w:val="24"/>
          <w:szCs w:val="24"/>
        </w:rPr>
        <w:t xml:space="preserve"> lawsuit, alleging that the </w:t>
      </w:r>
      <w:proofErr w:type="gramStart"/>
      <w:r w:rsidRPr="00D272C9">
        <w:rPr>
          <w:rFonts w:ascii="Times New Roman" w:hAnsi="Times New Roman"/>
          <w:sz w:val="24"/>
          <w:szCs w:val="24"/>
        </w:rPr>
        <w:t>City</w:t>
      </w:r>
      <w:proofErr w:type="gramEnd"/>
      <w:r w:rsidRPr="00D272C9">
        <w:rPr>
          <w:rFonts w:ascii="Times New Roman" w:hAnsi="Times New Roman"/>
          <w:sz w:val="24"/>
          <w:szCs w:val="24"/>
        </w:rPr>
        <w:t xml:space="preserve"> discriminated against them based on their sex. In connection with the parties' attempts to make progress in settling </w:t>
      </w:r>
      <w:r w:rsidRPr="00D272C9">
        <w:rPr>
          <w:rFonts w:ascii="Times New Roman" w:hAnsi="Times New Roman"/>
          <w:i/>
          <w:iCs/>
          <w:sz w:val="24"/>
          <w:szCs w:val="24"/>
        </w:rPr>
        <w:t>Livingston</w:t>
      </w:r>
      <w:r w:rsidRPr="00D272C9">
        <w:rPr>
          <w:rFonts w:ascii="Times New Roman" w:hAnsi="Times New Roman"/>
          <w:sz w:val="24"/>
          <w:szCs w:val="24"/>
        </w:rPr>
        <w:t>, the City agreed to conditionally hire Griffin as a CFD Fire Paramedic candidate pending medical processing.</w:t>
      </w:r>
    </w:p>
    <w:p w14:paraId="556F7ACE" w14:textId="77777777" w:rsidR="00DD03E3" w:rsidRDefault="00DD03E3" w:rsidP="00DD03E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30C710D2" w14:textId="77777777" w:rsidR="00DD03E3" w:rsidRPr="00D272C9" w:rsidRDefault="00DD03E3" w:rsidP="00DD03E3">
      <w:pPr>
        <w:spacing w:before="100" w:beforeAutospacing="1" w:after="100" w:afterAutospacing="1" w:line="240" w:lineRule="auto"/>
        <w:ind w:left="720"/>
        <w:rPr>
          <w:rFonts w:ascii="Times New Roman" w:eastAsia="Times New Roman" w:hAnsi="Times New Roman"/>
          <w:sz w:val="24"/>
          <w:szCs w:val="24"/>
        </w:rPr>
      </w:pPr>
      <w:r w:rsidRPr="00375B7C">
        <w:rPr>
          <w:rFonts w:ascii="Times New Roman" w:hAnsi="Times New Roman"/>
          <w:sz w:val="24"/>
          <w:szCs w:val="24"/>
        </w:rPr>
        <w:t xml:space="preserve">The relevant question is whether Griffin has plausibly alleged that discriminatory and retaliatory motives were the bases underlying the City's June 2019 denial of her application. She has. Griffin alleges that the </w:t>
      </w:r>
      <w:proofErr w:type="gramStart"/>
      <w:r w:rsidRPr="00375B7C">
        <w:rPr>
          <w:rFonts w:ascii="Times New Roman" w:hAnsi="Times New Roman"/>
          <w:sz w:val="24"/>
          <w:szCs w:val="24"/>
        </w:rPr>
        <w:t>City</w:t>
      </w:r>
      <w:proofErr w:type="gramEnd"/>
      <w:r w:rsidRPr="00375B7C">
        <w:rPr>
          <w:rFonts w:ascii="Times New Roman" w:hAnsi="Times New Roman"/>
          <w:sz w:val="24"/>
          <w:szCs w:val="24"/>
        </w:rPr>
        <w:t xml:space="preserve"> </w:t>
      </w:r>
      <w:r>
        <w:rPr>
          <w:rFonts w:ascii="Times New Roman" w:hAnsi="Times New Roman"/>
          <w:sz w:val="24"/>
          <w:szCs w:val="24"/>
        </w:rPr>
        <w:t>‘</w:t>
      </w:r>
      <w:r w:rsidRPr="00375B7C">
        <w:rPr>
          <w:rFonts w:ascii="Times New Roman" w:hAnsi="Times New Roman"/>
          <w:sz w:val="24"/>
          <w:szCs w:val="24"/>
        </w:rPr>
        <w:t>refused to allow her to enter a subsequent training academy</w:t>
      </w:r>
      <w:r>
        <w:rPr>
          <w:rFonts w:ascii="Times New Roman" w:hAnsi="Times New Roman"/>
          <w:sz w:val="24"/>
          <w:szCs w:val="24"/>
        </w:rPr>
        <w:t>’</w:t>
      </w:r>
      <w:r w:rsidRPr="00375B7C">
        <w:rPr>
          <w:rFonts w:ascii="Times New Roman" w:hAnsi="Times New Roman"/>
          <w:sz w:val="24"/>
          <w:szCs w:val="24"/>
        </w:rPr>
        <w:t xml:space="preserve"> class because of her gender, her complaints about illegal sex discrimination, and her disability. </w:t>
      </w:r>
      <w:r w:rsidRPr="00375B7C">
        <w:rPr>
          <w:rFonts w:ascii="Times New Roman" w:hAnsi="Times New Roman"/>
          <w:i/>
          <w:iCs/>
          <w:sz w:val="24"/>
          <w:szCs w:val="24"/>
        </w:rPr>
        <w:t>Griffin</w:t>
      </w:r>
      <w:r w:rsidRPr="00375B7C">
        <w:rPr>
          <w:rFonts w:ascii="Times New Roman" w:hAnsi="Times New Roman"/>
          <w:sz w:val="24"/>
          <w:szCs w:val="24"/>
        </w:rPr>
        <w:t>, Doc. 1 ¶¶ 17, 18, 21, 24-26. She further alleges that the City has allowed men who use alprazolam or trazodone—the medications that Griffin had taken or was taking when she went through the medical evaluation process in March and April 2019—to train and work as Fire Paramedics and that the City has also allowed individuals who have not complained of discrimination to use these medications while training or working as Fire Paramedics. These allegations plausibly state claims for relief based upon the City's June 2019 denial of Griffin's application.</w:t>
      </w:r>
      <w:r>
        <w:rPr>
          <w:rFonts w:ascii="Times New Roman" w:hAnsi="Times New Roman"/>
          <w:sz w:val="24"/>
          <w:szCs w:val="24"/>
        </w:rPr>
        <w:t xml:space="preserve">”  </w:t>
      </w:r>
      <w:hyperlink r:id="rId1456" w:history="1">
        <w:r w:rsidRPr="00EF3739">
          <w:rPr>
            <w:rStyle w:val="Hyperlink"/>
            <w:rFonts w:ascii="Times New Roman" w:hAnsi="Times New Roman"/>
            <w:sz w:val="24"/>
            <w:szCs w:val="24"/>
          </w:rPr>
          <w:t>https://public.fastcase.com/Wl%2B2t%2BeVuI35%2FN70vAMFZs1o8oz3pWgS38oNkfNQDzkHmIv0WM8cJL2w%2BtvmrMCm</w:t>
        </w:r>
      </w:hyperlink>
      <w:r>
        <w:rPr>
          <w:rFonts w:ascii="Times New Roman" w:hAnsi="Times New Roman"/>
          <w:sz w:val="24"/>
          <w:szCs w:val="24"/>
        </w:rPr>
        <w:t xml:space="preserve"> </w:t>
      </w:r>
    </w:p>
    <w:p w14:paraId="0BC49D32" w14:textId="77777777" w:rsidR="00DD03E3" w:rsidRPr="009A19BE" w:rsidRDefault="00DD03E3" w:rsidP="00DD03E3">
      <w:pPr>
        <w:spacing w:before="100" w:beforeAutospacing="1" w:after="100" w:afterAutospacing="1" w:line="240" w:lineRule="auto"/>
        <w:rPr>
          <w:rFonts w:ascii="Times New Roman" w:eastAsia="Times New Roman" w:hAnsi="Times New Roman"/>
          <w:b/>
          <w:bCs/>
          <w:sz w:val="24"/>
          <w:szCs w:val="24"/>
        </w:rPr>
      </w:pPr>
      <w:r w:rsidRPr="00375B7C">
        <w:rPr>
          <w:rFonts w:ascii="Times New Roman" w:hAnsi="Times New Roman"/>
          <w:b/>
          <w:bCs/>
          <w:sz w:val="24"/>
          <w:szCs w:val="24"/>
        </w:rPr>
        <w:t>Legal Lesson Learned:</w:t>
      </w:r>
      <w:r>
        <w:rPr>
          <w:rFonts w:ascii="Times New Roman" w:hAnsi="Times New Roman"/>
          <w:b/>
          <w:bCs/>
          <w:sz w:val="24"/>
          <w:szCs w:val="24"/>
        </w:rPr>
        <w:t xml:space="preserve">  Plaintiff may now proceed with pre-trial discovery, including how the FD has medically dealt with male firefighters using the same medications. </w:t>
      </w:r>
    </w:p>
    <w:p w14:paraId="0C803703" w14:textId="77777777" w:rsidR="00DD03E3" w:rsidRDefault="00DD03E3" w:rsidP="002B1283">
      <w:pPr>
        <w:rPr>
          <w:rFonts w:ascii="Arial Black" w:hAnsi="Arial Black"/>
          <w:b/>
          <w:sz w:val="24"/>
          <w:szCs w:val="24"/>
        </w:rPr>
      </w:pPr>
    </w:p>
    <w:p w14:paraId="27619CAE" w14:textId="77777777" w:rsidR="00DD03E3" w:rsidRDefault="00DD03E3" w:rsidP="002B1283">
      <w:pPr>
        <w:rPr>
          <w:rFonts w:ascii="Arial Black" w:hAnsi="Arial Black"/>
          <w:b/>
          <w:sz w:val="24"/>
          <w:szCs w:val="24"/>
        </w:rPr>
      </w:pPr>
    </w:p>
    <w:p w14:paraId="1A95CE6C" w14:textId="77777777" w:rsidR="00DD03E3" w:rsidRDefault="00DD03E3" w:rsidP="002B1283">
      <w:pPr>
        <w:rPr>
          <w:rFonts w:ascii="Arial Black" w:hAnsi="Arial Black"/>
          <w:b/>
          <w:sz w:val="24"/>
          <w:szCs w:val="24"/>
        </w:rPr>
      </w:pPr>
    </w:p>
    <w:p w14:paraId="008056E8" w14:textId="66C47A54" w:rsidR="006B2083" w:rsidRDefault="006B2083" w:rsidP="002B1283">
      <w:pPr>
        <w:rPr>
          <w:rFonts w:ascii="Arial Black" w:hAnsi="Arial Black"/>
          <w:b/>
          <w:sz w:val="24"/>
          <w:szCs w:val="24"/>
        </w:rPr>
      </w:pPr>
      <w:r>
        <w:rPr>
          <w:rFonts w:ascii="Arial Black" w:hAnsi="Arial Black"/>
          <w:b/>
          <w:sz w:val="24"/>
          <w:szCs w:val="24"/>
        </w:rPr>
        <w:lastRenderedPageBreak/>
        <w:t>7-2</w:t>
      </w:r>
      <w:r w:rsidR="001A653A">
        <w:rPr>
          <w:rFonts w:ascii="Arial Black" w:hAnsi="Arial Black"/>
          <w:b/>
          <w:sz w:val="24"/>
          <w:szCs w:val="24"/>
        </w:rPr>
        <w:t>4</w:t>
      </w:r>
    </w:p>
    <w:p w14:paraId="4D84FD34" w14:textId="77777777" w:rsidR="006B2083" w:rsidRDefault="006B2083" w:rsidP="006B2083">
      <w:pPr>
        <w:pStyle w:val="NoSpacing"/>
        <w:rPr>
          <w:rFonts w:ascii="Arial Black" w:hAnsi="Arial Black"/>
          <w:sz w:val="28"/>
          <w:szCs w:val="28"/>
        </w:rPr>
      </w:pPr>
      <w:r w:rsidRPr="00A5652A">
        <w:rPr>
          <w:rFonts w:ascii="Arial Black" w:hAnsi="Arial Black"/>
          <w:sz w:val="28"/>
          <w:szCs w:val="28"/>
        </w:rPr>
        <w:t xml:space="preserve">NY: </w:t>
      </w:r>
      <w:r>
        <w:rPr>
          <w:rFonts w:ascii="Arial Black" w:hAnsi="Arial Black"/>
          <w:sz w:val="28"/>
          <w:szCs w:val="28"/>
        </w:rPr>
        <w:t xml:space="preserve"> FEMALE FF ON RUN – MALE FF MASTERBATED INTO PANTS SHE HAD LEFT AT STATION – NO PAY AWAITING ARBITRATION</w:t>
      </w:r>
    </w:p>
    <w:p w14:paraId="01F287BD" w14:textId="77777777" w:rsidR="006B2083" w:rsidRDefault="006B2083" w:rsidP="006B2083">
      <w:pPr>
        <w:pStyle w:val="NoSpacing"/>
        <w:ind w:left="720"/>
        <w:rPr>
          <w:rFonts w:ascii="Arial Black" w:hAnsi="Arial Black"/>
          <w:sz w:val="28"/>
          <w:szCs w:val="28"/>
        </w:rPr>
      </w:pPr>
    </w:p>
    <w:p w14:paraId="504E1AF3" w14:textId="77777777" w:rsidR="006B2083" w:rsidRPr="00E16775" w:rsidRDefault="006B2083" w:rsidP="006B2083">
      <w:pPr>
        <w:pStyle w:val="NoSpacing"/>
        <w:rPr>
          <w:rFonts w:ascii="Times New Roman" w:hAnsi="Times New Roman"/>
          <w:sz w:val="24"/>
          <w:szCs w:val="24"/>
        </w:rPr>
      </w:pPr>
      <w:r w:rsidRPr="00BE7A38">
        <w:rPr>
          <w:rFonts w:ascii="Times New Roman" w:hAnsi="Times New Roman"/>
          <w:sz w:val="24"/>
          <w:szCs w:val="24"/>
        </w:rPr>
        <w:t xml:space="preserve">On July 17, 2020, in the case </w:t>
      </w:r>
      <w:r w:rsidRPr="00BE7A38">
        <w:rPr>
          <w:rFonts w:ascii="Times New Roman" w:hAnsi="Times New Roman"/>
          <w:sz w:val="24"/>
          <w:szCs w:val="24"/>
          <w:u w:val="single"/>
        </w:rPr>
        <w:t>In The Matter Of Thomas Cacone v. City of Utica</w:t>
      </w:r>
      <w:r w:rsidRPr="00BE7A38">
        <w:rPr>
          <w:rFonts w:ascii="Times New Roman" w:hAnsi="Times New Roman"/>
          <w:sz w:val="24"/>
          <w:szCs w:val="24"/>
        </w:rPr>
        <w:t xml:space="preserve">, </w:t>
      </w:r>
      <w:r>
        <w:rPr>
          <w:rFonts w:ascii="Times New Roman" w:hAnsi="Times New Roman"/>
          <w:sz w:val="24"/>
          <w:szCs w:val="24"/>
        </w:rPr>
        <w:t xml:space="preserve">the Supreme Court of State of New York, Appellate Division, Judicial Department, held  (5 to 0) that trial court improperly ordered the FD to put the firefighter on paid leave awaiting the arbitration more than 30 days; the arbitration was delayed because the firefighter sought disciplinary records of another firefighter who apparently did similar misconduct. Court wrote: </w:t>
      </w:r>
      <w:r w:rsidRPr="00B67C49">
        <w:rPr>
          <w:rFonts w:ascii="Times New Roman" w:hAnsi="Times New Roman"/>
          <w:sz w:val="24"/>
          <w:szCs w:val="24"/>
        </w:rPr>
        <w:t xml:space="preserve">We agree with respondents that petitioner is not entitled to reinstatement or back pay because petitioner was solely responsible for the </w:t>
      </w:r>
      <w:proofErr w:type="gramStart"/>
      <w:r w:rsidRPr="00B67C49">
        <w:rPr>
          <w:rFonts w:ascii="Times New Roman" w:hAnsi="Times New Roman"/>
          <w:sz w:val="24"/>
          <w:szCs w:val="24"/>
        </w:rPr>
        <w:t>delay.</w:t>
      </w:r>
      <w:r>
        <w:rPr>
          <w:rFonts w:ascii="Times New Roman" w:hAnsi="Times New Roman"/>
          <w:sz w:val="24"/>
          <w:szCs w:val="24"/>
        </w:rPr>
        <w:t>”</w:t>
      </w:r>
      <w:proofErr w:type="gramEnd"/>
      <w:r>
        <w:rPr>
          <w:rFonts w:ascii="Times New Roman" w:hAnsi="Times New Roman"/>
          <w:sz w:val="24"/>
          <w:szCs w:val="24"/>
        </w:rPr>
        <w:t xml:space="preserve"> </w:t>
      </w:r>
      <w:hyperlink r:id="rId1457" w:history="1">
        <w:r w:rsidRPr="00E16775">
          <w:rPr>
            <w:rStyle w:val="Hyperlink"/>
            <w:rFonts w:ascii="Times New Roman" w:hAnsi="Times New Roman"/>
            <w:sz w:val="24"/>
            <w:szCs w:val="24"/>
          </w:rPr>
          <w:t>https://public.fastcase.com/Wl%2B2t%2BeVuI35%2FN70vAMFZvXmXpQwu2GjLh16DzgzKzYNu%2FX9mokAK5AXod7BJ9cF</w:t>
        </w:r>
      </w:hyperlink>
      <w:r w:rsidRPr="00E16775">
        <w:rPr>
          <w:rFonts w:ascii="Times New Roman" w:hAnsi="Times New Roman"/>
          <w:sz w:val="24"/>
          <w:szCs w:val="24"/>
        </w:rPr>
        <w:t xml:space="preserve"> </w:t>
      </w:r>
    </w:p>
    <w:p w14:paraId="558F0B1C" w14:textId="77777777" w:rsidR="006B2083" w:rsidRDefault="006B2083" w:rsidP="006B2083">
      <w:pPr>
        <w:pStyle w:val="NoSpacing"/>
        <w:rPr>
          <w:rFonts w:ascii="Times New Roman" w:hAnsi="Times New Roman"/>
          <w:b/>
          <w:bCs/>
          <w:sz w:val="24"/>
          <w:szCs w:val="24"/>
        </w:rPr>
      </w:pPr>
    </w:p>
    <w:p w14:paraId="079B92F7" w14:textId="0E3D0254" w:rsidR="006B2083" w:rsidRDefault="006B2083" w:rsidP="006B2083">
      <w:pPr>
        <w:pStyle w:val="NoSpacing"/>
        <w:rPr>
          <w:rFonts w:ascii="Times New Roman" w:hAnsi="Times New Roman"/>
          <w:b/>
          <w:bCs/>
          <w:sz w:val="24"/>
          <w:szCs w:val="24"/>
        </w:rPr>
      </w:pPr>
      <w:r w:rsidRPr="00BE7A38">
        <w:rPr>
          <w:rFonts w:ascii="Times New Roman" w:hAnsi="Times New Roman"/>
          <w:b/>
          <w:bCs/>
          <w:sz w:val="24"/>
          <w:szCs w:val="24"/>
        </w:rPr>
        <w:t xml:space="preserve">Legal Lessons Learned: </w:t>
      </w:r>
      <w:r>
        <w:rPr>
          <w:rFonts w:ascii="Times New Roman" w:hAnsi="Times New Roman"/>
          <w:b/>
          <w:bCs/>
          <w:sz w:val="24"/>
          <w:szCs w:val="24"/>
        </w:rPr>
        <w:t>The conduct described is totally unacceptable.</w:t>
      </w:r>
    </w:p>
    <w:p w14:paraId="13DFB125" w14:textId="77777777" w:rsidR="006B2083" w:rsidRDefault="006B2083" w:rsidP="002B1283">
      <w:pPr>
        <w:rPr>
          <w:rFonts w:ascii="Arial Black" w:hAnsi="Arial Black"/>
          <w:b/>
          <w:sz w:val="24"/>
          <w:szCs w:val="24"/>
        </w:rPr>
      </w:pPr>
    </w:p>
    <w:p w14:paraId="528AC539" w14:textId="72825A95" w:rsidR="006B2083" w:rsidRPr="001A653A" w:rsidRDefault="001A653A" w:rsidP="002B1283">
      <w:pPr>
        <w:rPr>
          <w:rFonts w:ascii="Times New Roman" w:hAnsi="Times New Roman"/>
          <w:bCs/>
          <w:sz w:val="24"/>
          <w:szCs w:val="24"/>
        </w:rPr>
      </w:pPr>
      <w:r>
        <w:rPr>
          <w:rFonts w:ascii="Arial Black" w:hAnsi="Arial Black"/>
          <w:b/>
          <w:sz w:val="24"/>
          <w:szCs w:val="24"/>
        </w:rPr>
        <w:t xml:space="preserve">7-23 </w:t>
      </w:r>
      <w:r w:rsidRPr="001A653A">
        <w:rPr>
          <w:rFonts w:ascii="Times New Roman" w:hAnsi="Times New Roman"/>
          <w:bCs/>
          <w:sz w:val="24"/>
          <w:szCs w:val="24"/>
        </w:rPr>
        <w:t xml:space="preserve">[also filed, Chap. 16] </w:t>
      </w:r>
    </w:p>
    <w:p w14:paraId="089C12D3" w14:textId="77777777" w:rsidR="001A653A" w:rsidRDefault="001A653A" w:rsidP="001A653A">
      <w:pPr>
        <w:pStyle w:val="NoSpacing"/>
        <w:rPr>
          <w:rFonts w:ascii="Arial Black" w:hAnsi="Arial Black"/>
          <w:sz w:val="28"/>
          <w:szCs w:val="28"/>
        </w:rPr>
      </w:pPr>
      <w:r w:rsidRPr="007B1E77">
        <w:rPr>
          <w:rFonts w:ascii="Arial Black" w:hAnsi="Arial Black"/>
          <w:sz w:val="28"/>
          <w:szCs w:val="28"/>
        </w:rPr>
        <w:t xml:space="preserve">KY: </w:t>
      </w:r>
      <w:r>
        <w:rPr>
          <w:rFonts w:ascii="Arial Black" w:hAnsi="Arial Black"/>
          <w:sz w:val="28"/>
          <w:szCs w:val="28"/>
        </w:rPr>
        <w:t>FF MET 17-YEAR-OLD AT FIRE STATION – CONVICTED HAVING SEX WITH MINOR - TOOK VIDEOS AND PHOTOS</w:t>
      </w:r>
    </w:p>
    <w:p w14:paraId="668AD7EE" w14:textId="77777777" w:rsidR="001A653A" w:rsidRDefault="001A653A" w:rsidP="001A653A">
      <w:pPr>
        <w:pStyle w:val="NoSpacing"/>
        <w:rPr>
          <w:rFonts w:ascii="Times New Roman" w:hAnsi="Times New Roman"/>
          <w:sz w:val="24"/>
          <w:szCs w:val="24"/>
        </w:rPr>
      </w:pPr>
      <w:r w:rsidRPr="007B1E77">
        <w:rPr>
          <w:rFonts w:ascii="Times New Roman" w:hAnsi="Times New Roman"/>
          <w:sz w:val="24"/>
          <w:szCs w:val="24"/>
        </w:rPr>
        <w:t xml:space="preserve">On July 7, 2020, in </w:t>
      </w:r>
      <w:r w:rsidRPr="007B1E77">
        <w:rPr>
          <w:rFonts w:ascii="Times New Roman" w:hAnsi="Times New Roman"/>
          <w:sz w:val="24"/>
          <w:szCs w:val="24"/>
          <w:u w:val="single"/>
        </w:rPr>
        <w:t>United States of America v. William Michael Fields</w:t>
      </w:r>
      <w:r w:rsidRPr="007B1E77">
        <w:rPr>
          <w:rFonts w:ascii="Times New Roman" w:hAnsi="Times New Roman"/>
          <w:sz w:val="24"/>
          <w:szCs w:val="24"/>
        </w:rPr>
        <w:t xml:space="preserve">, </w:t>
      </w:r>
      <w:r>
        <w:rPr>
          <w:rFonts w:ascii="Times New Roman" w:hAnsi="Times New Roman"/>
          <w:sz w:val="24"/>
          <w:szCs w:val="24"/>
        </w:rPr>
        <w:t xml:space="preserve">U.S. District Court Chief Judge Danny C. Reeves, Eastern District of Kentucky, denied the defendant’s motion for judgment of acquittal, or a new trial. The Court wrote: </w:t>
      </w:r>
      <w:r w:rsidRPr="007B1E77">
        <w:rPr>
          <w:rFonts w:ascii="Times New Roman" w:hAnsi="Times New Roman"/>
          <w:sz w:val="24"/>
          <w:szCs w:val="24"/>
        </w:rPr>
        <w:t xml:space="preserve">“Based on the foregoing, there was ample evidence from which the jury could have concluded that, on March 17 and 23, 2019, Fields employed, used, persuaded, induced, or coerced the minor victim to engage in </w:t>
      </w:r>
    </w:p>
    <w:p w14:paraId="778AB6E6" w14:textId="77777777" w:rsidR="001A653A" w:rsidRDefault="001A653A" w:rsidP="001A653A">
      <w:pPr>
        <w:pStyle w:val="NoSpacing"/>
        <w:rPr>
          <w:rFonts w:ascii="Times New Roman" w:hAnsi="Times New Roman"/>
          <w:sz w:val="24"/>
          <w:szCs w:val="24"/>
        </w:rPr>
      </w:pPr>
    </w:p>
    <w:p w14:paraId="1F9795E9" w14:textId="77777777" w:rsidR="001A653A" w:rsidRDefault="001A653A" w:rsidP="001A653A">
      <w:pPr>
        <w:pStyle w:val="NoSpacing"/>
        <w:rPr>
          <w:rFonts w:ascii="Times New Roman" w:hAnsi="Times New Roman"/>
          <w:sz w:val="24"/>
          <w:szCs w:val="24"/>
        </w:rPr>
      </w:pPr>
      <w:r w:rsidRPr="007B1E77">
        <w:rPr>
          <w:rFonts w:ascii="Times New Roman" w:hAnsi="Times New Roman"/>
          <w:sz w:val="24"/>
          <w:szCs w:val="24"/>
        </w:rPr>
        <w:t>sexually explicit conduct for the purpose of producing a visual depiction of that conduct and that the visual depiction was produced or transmitted using materials that were mailed, shipped, or transported in or affecting interstate commerce by any means, including computer.</w:t>
      </w:r>
      <w:r>
        <w:rPr>
          <w:rFonts w:ascii="Times New Roman" w:hAnsi="Times New Roman"/>
          <w:sz w:val="24"/>
          <w:szCs w:val="24"/>
        </w:rPr>
        <w:t xml:space="preserve">” </w:t>
      </w:r>
      <w:hyperlink r:id="rId1458" w:history="1">
        <w:r w:rsidRPr="00FE7BCF">
          <w:rPr>
            <w:rStyle w:val="Hyperlink"/>
            <w:rFonts w:ascii="Times New Roman" w:hAnsi="Times New Roman"/>
            <w:sz w:val="24"/>
            <w:szCs w:val="24"/>
          </w:rPr>
          <w:t>https://casetext.com/case/united-states-v-fields-198</w:t>
        </w:r>
      </w:hyperlink>
      <w:r>
        <w:rPr>
          <w:rFonts w:ascii="Times New Roman" w:hAnsi="Times New Roman"/>
          <w:sz w:val="24"/>
          <w:szCs w:val="24"/>
        </w:rPr>
        <w:t xml:space="preserve"> </w:t>
      </w:r>
    </w:p>
    <w:p w14:paraId="155EC4F8" w14:textId="77777777" w:rsidR="001A653A" w:rsidRDefault="001A653A" w:rsidP="001A653A">
      <w:pPr>
        <w:pStyle w:val="NoSpacing"/>
        <w:rPr>
          <w:rFonts w:ascii="Arial Black" w:hAnsi="Arial Black"/>
          <w:sz w:val="24"/>
          <w:szCs w:val="24"/>
        </w:rPr>
      </w:pPr>
    </w:p>
    <w:p w14:paraId="6FB70FD8" w14:textId="77777777" w:rsidR="001A653A" w:rsidRDefault="001A653A" w:rsidP="001A653A">
      <w:pPr>
        <w:pStyle w:val="NoSpacing"/>
        <w:tabs>
          <w:tab w:val="left" w:pos="2780"/>
        </w:tabs>
        <w:rPr>
          <w:rFonts w:ascii="Times New Roman" w:hAnsi="Times New Roman"/>
          <w:b/>
          <w:bCs/>
          <w:sz w:val="24"/>
          <w:szCs w:val="24"/>
        </w:rPr>
      </w:pPr>
      <w:r w:rsidRPr="00602C23">
        <w:rPr>
          <w:rFonts w:ascii="Times New Roman" w:hAnsi="Times New Roman"/>
          <w:b/>
          <w:bCs/>
          <w:sz w:val="24"/>
          <w:szCs w:val="24"/>
        </w:rPr>
        <w:t>Legal Lesson Learned</w:t>
      </w:r>
      <w:r>
        <w:rPr>
          <w:rFonts w:ascii="Times New Roman" w:hAnsi="Times New Roman"/>
          <w:b/>
          <w:bCs/>
          <w:sz w:val="24"/>
          <w:szCs w:val="24"/>
        </w:rPr>
        <w:t xml:space="preserve">: A firefighter having sex with a minor can be convicted of a federal offense if a video or photos is posted on Internet. </w:t>
      </w:r>
    </w:p>
    <w:p w14:paraId="753836D2" w14:textId="77777777" w:rsidR="001A653A" w:rsidRDefault="001A653A" w:rsidP="002B1283">
      <w:pPr>
        <w:rPr>
          <w:rFonts w:ascii="Arial Black" w:hAnsi="Arial Black"/>
          <w:b/>
          <w:sz w:val="24"/>
          <w:szCs w:val="24"/>
        </w:rPr>
      </w:pPr>
    </w:p>
    <w:p w14:paraId="1B5FACB6" w14:textId="5692A32C" w:rsidR="007105B3" w:rsidRDefault="007105B3" w:rsidP="002B1283">
      <w:pPr>
        <w:rPr>
          <w:rFonts w:ascii="Arial Black" w:hAnsi="Arial Black"/>
          <w:b/>
          <w:sz w:val="24"/>
          <w:szCs w:val="24"/>
        </w:rPr>
      </w:pPr>
      <w:r>
        <w:rPr>
          <w:rFonts w:ascii="Arial Black" w:hAnsi="Arial Black"/>
          <w:b/>
          <w:sz w:val="24"/>
          <w:szCs w:val="24"/>
        </w:rPr>
        <w:t>7-22</w:t>
      </w:r>
    </w:p>
    <w:p w14:paraId="6539743E" w14:textId="77777777" w:rsidR="007105B3" w:rsidRPr="00A71A05" w:rsidRDefault="007105B3" w:rsidP="007105B3">
      <w:pPr>
        <w:spacing w:before="100" w:beforeAutospacing="1" w:after="100" w:afterAutospacing="1" w:line="240" w:lineRule="auto"/>
        <w:rPr>
          <w:rFonts w:ascii="Arial Black" w:hAnsi="Arial Black"/>
          <w:sz w:val="28"/>
          <w:szCs w:val="28"/>
        </w:rPr>
      </w:pPr>
      <w:r w:rsidRPr="00A71A05">
        <w:rPr>
          <w:rFonts w:ascii="Arial Black" w:hAnsi="Arial Black"/>
          <w:sz w:val="28"/>
          <w:szCs w:val="28"/>
        </w:rPr>
        <w:t xml:space="preserve">U.S. SUPREME COURT: </w:t>
      </w:r>
      <w:r>
        <w:rPr>
          <w:rFonts w:ascii="Arial Black" w:hAnsi="Arial Black"/>
          <w:sz w:val="28"/>
          <w:szCs w:val="28"/>
        </w:rPr>
        <w:t xml:space="preserve">HOMESEXUAL AND TRANSGENDER EMPLOYEES COVERED BY TITLE VII </w:t>
      </w:r>
    </w:p>
    <w:p w14:paraId="682D6D86" w14:textId="77777777" w:rsidR="007105B3" w:rsidRDefault="007105B3" w:rsidP="007105B3">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June 15, 2020, in </w:t>
      </w:r>
      <w:r w:rsidRPr="00A71A05">
        <w:rPr>
          <w:rFonts w:ascii="Times New Roman" w:hAnsi="Times New Roman"/>
          <w:sz w:val="24"/>
          <w:szCs w:val="24"/>
          <w:u w:val="single"/>
        </w:rPr>
        <w:t>Gerald Lynn Bostoc v. Clayton County, Georgia</w:t>
      </w:r>
      <w:r>
        <w:rPr>
          <w:rFonts w:ascii="Times New Roman" w:hAnsi="Times New Roman"/>
          <w:sz w:val="24"/>
          <w:szCs w:val="24"/>
        </w:rPr>
        <w:t>, (plus two other combined cases), held (6 to 3) that an employer cannot fire or otherwise discriminate against someone simply for being a homosexual or transgender.  Justice Neil Gorsuch wrote: “</w:t>
      </w:r>
      <w:r w:rsidRPr="00572796">
        <w:rPr>
          <w:rFonts w:ascii="Times New Roman" w:hAnsi="Times New Roman"/>
          <w:sz w:val="24"/>
          <w:szCs w:val="24"/>
        </w:rPr>
        <w:t xml:space="preserve">Sometimes small gestures can have unexpected consequences. Major initiatives practically guarantee them. In our time, few pieces of federal legislation rank in significance with the Civil Rights Act of 1964. There, in Title VII, Congress outlawed discrimination in the workplace </w:t>
      </w:r>
      <w:proofErr w:type="gramStart"/>
      <w:r w:rsidRPr="00572796">
        <w:rPr>
          <w:rFonts w:ascii="Times New Roman" w:hAnsi="Times New Roman"/>
          <w:sz w:val="24"/>
          <w:szCs w:val="24"/>
        </w:rPr>
        <w:t>on the</w:t>
      </w:r>
      <w:r>
        <w:rPr>
          <w:rFonts w:ascii="Times New Roman" w:hAnsi="Times New Roman"/>
          <w:sz w:val="24"/>
          <w:szCs w:val="24"/>
        </w:rPr>
        <w:t xml:space="preserve"> </w:t>
      </w:r>
      <w:r w:rsidRPr="00572796">
        <w:rPr>
          <w:rFonts w:ascii="Times New Roman" w:hAnsi="Times New Roman"/>
          <w:sz w:val="24"/>
          <w:szCs w:val="24"/>
        </w:rPr>
        <w:t>basis of</w:t>
      </w:r>
      <w:proofErr w:type="gramEnd"/>
      <w:r w:rsidRPr="00572796">
        <w:rPr>
          <w:rFonts w:ascii="Times New Roman" w:hAnsi="Times New Roman"/>
          <w:sz w:val="24"/>
          <w:szCs w:val="24"/>
        </w:rPr>
        <w:t xml:space="preserve"> race, color, religion, sex, or national origin. Today,</w:t>
      </w:r>
      <w:r>
        <w:rPr>
          <w:rFonts w:ascii="Times New Roman" w:hAnsi="Times New Roman"/>
          <w:sz w:val="24"/>
          <w:szCs w:val="24"/>
        </w:rPr>
        <w:t xml:space="preserve"> </w:t>
      </w:r>
      <w:r w:rsidRPr="00572796">
        <w:rPr>
          <w:rFonts w:ascii="Times New Roman" w:hAnsi="Times New Roman"/>
          <w:sz w:val="24"/>
          <w:szCs w:val="24"/>
        </w:rPr>
        <w:t>we must decide whether an employer can fire someone</w:t>
      </w:r>
      <w:r>
        <w:rPr>
          <w:rFonts w:ascii="Times New Roman" w:hAnsi="Times New Roman"/>
          <w:sz w:val="24"/>
          <w:szCs w:val="24"/>
        </w:rPr>
        <w:t xml:space="preserve"> </w:t>
      </w:r>
      <w:r w:rsidRPr="00572796">
        <w:rPr>
          <w:rFonts w:ascii="Times New Roman" w:hAnsi="Times New Roman"/>
          <w:sz w:val="24"/>
          <w:szCs w:val="24"/>
        </w:rPr>
        <w:t xml:space="preserve">simply for being homosexual or transgender. The answer is clear. An employer who fires an individual for </w:t>
      </w:r>
      <w:r w:rsidRPr="00572796">
        <w:rPr>
          <w:rFonts w:ascii="Times New Roman" w:hAnsi="Times New Roman"/>
          <w:sz w:val="24"/>
          <w:szCs w:val="24"/>
        </w:rPr>
        <w:lastRenderedPageBreak/>
        <w:t>being homosexual or transgender fires that person for traits or actions it would not have questioned in members of a different sex. Sex plays a necessary and undisguisable role in the decision, exactly what Title VII forbids.</w:t>
      </w:r>
      <w:r>
        <w:rPr>
          <w:rFonts w:ascii="Times New Roman" w:hAnsi="Times New Roman"/>
          <w:sz w:val="24"/>
          <w:szCs w:val="24"/>
        </w:rPr>
        <w:t xml:space="preserve">” </w:t>
      </w:r>
      <w:hyperlink r:id="rId1459" w:history="1">
        <w:r w:rsidRPr="0037669D">
          <w:rPr>
            <w:rStyle w:val="Hyperlink"/>
            <w:rFonts w:ascii="Times New Roman" w:hAnsi="Times New Roman"/>
            <w:sz w:val="24"/>
            <w:szCs w:val="24"/>
          </w:rPr>
          <w:t>https://www.supremecourt.gov/opinions/19pdf/17-1618_hfci.pdf</w:t>
        </w:r>
      </w:hyperlink>
      <w:r>
        <w:rPr>
          <w:rFonts w:ascii="Times New Roman" w:hAnsi="Times New Roman"/>
          <w:sz w:val="24"/>
          <w:szCs w:val="24"/>
        </w:rPr>
        <w:t xml:space="preserve"> </w:t>
      </w:r>
    </w:p>
    <w:p w14:paraId="22C3E0B3" w14:textId="77777777" w:rsidR="007105B3" w:rsidRDefault="007105B3" w:rsidP="007105B3">
      <w:pPr>
        <w:pStyle w:val="NoSpacing"/>
        <w:rPr>
          <w:rFonts w:ascii="Times New Roman" w:hAnsi="Times New Roman"/>
          <w:b/>
          <w:bCs/>
          <w:sz w:val="24"/>
          <w:szCs w:val="24"/>
        </w:rPr>
      </w:pPr>
      <w:r w:rsidRPr="002A3AF8">
        <w:rPr>
          <w:rFonts w:ascii="Times New Roman" w:hAnsi="Times New Roman"/>
          <w:b/>
          <w:bCs/>
          <w:sz w:val="24"/>
          <w:szCs w:val="24"/>
        </w:rPr>
        <w:t>Legal Lessons Learned:</w:t>
      </w:r>
      <w:r>
        <w:rPr>
          <w:rFonts w:ascii="Times New Roman" w:hAnsi="Times New Roman"/>
          <w:b/>
          <w:bCs/>
          <w:sz w:val="24"/>
          <w:szCs w:val="24"/>
        </w:rPr>
        <w:t xml:space="preserve"> This is a “landmark” decision.  Fire &amp; EMS Departments should review their non-discrimination policies to include sexual orientation and gender identity. </w:t>
      </w:r>
    </w:p>
    <w:p w14:paraId="4F8FF5F0" w14:textId="77777777" w:rsidR="007105B3" w:rsidRDefault="007105B3" w:rsidP="007105B3">
      <w:pPr>
        <w:rPr>
          <w:rFonts w:ascii="Arial Black" w:hAnsi="Arial Black"/>
          <w:sz w:val="27"/>
          <w:szCs w:val="27"/>
        </w:rPr>
      </w:pPr>
    </w:p>
    <w:p w14:paraId="063CD165" w14:textId="2F73E14B" w:rsidR="006744D3" w:rsidRDefault="006744D3" w:rsidP="002B1283">
      <w:pPr>
        <w:rPr>
          <w:rFonts w:ascii="Arial Black" w:hAnsi="Arial Black"/>
          <w:b/>
          <w:sz w:val="24"/>
          <w:szCs w:val="24"/>
        </w:rPr>
      </w:pPr>
      <w:r>
        <w:rPr>
          <w:rFonts w:ascii="Arial Black" w:hAnsi="Arial Black"/>
          <w:b/>
          <w:sz w:val="24"/>
          <w:szCs w:val="24"/>
        </w:rPr>
        <w:t>7-21</w:t>
      </w:r>
    </w:p>
    <w:p w14:paraId="48277EC7" w14:textId="77777777" w:rsidR="006744D3" w:rsidRDefault="006744D3" w:rsidP="006744D3">
      <w:pPr>
        <w:spacing w:before="100" w:beforeAutospacing="1" w:after="100" w:afterAutospacing="1" w:line="240" w:lineRule="auto"/>
        <w:rPr>
          <w:rFonts w:ascii="Arial Black" w:eastAsia="Times New Roman" w:hAnsi="Arial Black"/>
          <w:sz w:val="28"/>
          <w:szCs w:val="28"/>
        </w:rPr>
      </w:pPr>
      <w:r w:rsidRPr="00DC60E5">
        <w:rPr>
          <w:rFonts w:ascii="Arial Black" w:eastAsia="Times New Roman" w:hAnsi="Arial Black"/>
          <w:sz w:val="28"/>
          <w:szCs w:val="28"/>
        </w:rPr>
        <w:t xml:space="preserve">TX: </w:t>
      </w:r>
      <w:r>
        <w:rPr>
          <w:rFonts w:ascii="Arial Black" w:eastAsia="Times New Roman" w:hAnsi="Arial Black"/>
          <w:sz w:val="28"/>
          <w:szCs w:val="28"/>
        </w:rPr>
        <w:t>HOUSTON FD – U.S. DEPT. JUSTICE LAWSUIT – MALES URINATING WALLS, FLOORS, SINKS WOMENS’ BATHROOM – COLD WATER SHOWERS DISCONNECTED / SPEAKERS</w:t>
      </w:r>
    </w:p>
    <w:p w14:paraId="2E377475" w14:textId="77777777" w:rsidR="006744D3" w:rsidRDefault="006744D3" w:rsidP="006744D3">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May 15, 2020, </w:t>
      </w:r>
      <w:r w:rsidRPr="00626E79">
        <w:rPr>
          <w:rFonts w:ascii="Times New Roman" w:eastAsia="Times New Roman" w:hAnsi="Times New Roman"/>
          <w:sz w:val="24"/>
          <w:szCs w:val="24"/>
          <w:u w:val="single"/>
        </w:rPr>
        <w:t xml:space="preserve">in United States of America, Jane </w:t>
      </w:r>
      <w:proofErr w:type="spellStart"/>
      <w:r w:rsidRPr="00626E79">
        <w:rPr>
          <w:rFonts w:ascii="Times New Roman" w:eastAsia="Times New Roman" w:hAnsi="Times New Roman"/>
          <w:sz w:val="24"/>
          <w:szCs w:val="24"/>
          <w:u w:val="single"/>
        </w:rPr>
        <w:t>Draycott</w:t>
      </w:r>
      <w:proofErr w:type="spellEnd"/>
      <w:r w:rsidRPr="00626E79">
        <w:rPr>
          <w:rFonts w:ascii="Times New Roman" w:eastAsia="Times New Roman" w:hAnsi="Times New Roman"/>
          <w:sz w:val="24"/>
          <w:szCs w:val="24"/>
          <w:u w:val="single"/>
        </w:rPr>
        <w:t xml:space="preserve"> and Paula Keyes v. The City of Houston, Texas</w:t>
      </w:r>
      <w:r>
        <w:rPr>
          <w:rFonts w:ascii="Times New Roman" w:eastAsia="Times New Roman" w:hAnsi="Times New Roman"/>
          <w:sz w:val="24"/>
          <w:szCs w:val="24"/>
        </w:rPr>
        <w:t xml:space="preserve">, Senior U.S. District Judge Sim Lake, Southern District of Texas (Houston Division) issued a lengthy opinion denying the City’s motion to dismiss case.  U.S. Department of Justice Press Release of Feb. 28, </w:t>
      </w:r>
      <w:proofErr w:type="gramStart"/>
      <w:r>
        <w:rPr>
          <w:rFonts w:ascii="Times New Roman" w:eastAsia="Times New Roman" w:hAnsi="Times New Roman"/>
          <w:sz w:val="24"/>
          <w:szCs w:val="24"/>
        </w:rPr>
        <w:t>2018</w:t>
      </w:r>
      <w:proofErr w:type="gramEnd"/>
      <w:r>
        <w:rPr>
          <w:rFonts w:ascii="Times New Roman" w:eastAsia="Times New Roman" w:hAnsi="Times New Roman"/>
          <w:sz w:val="24"/>
          <w:szCs w:val="24"/>
        </w:rPr>
        <w:t xml:space="preserve"> is eye opening. “</w:t>
      </w:r>
      <w:r w:rsidRPr="009C6CB0">
        <w:rPr>
          <w:rFonts w:ascii="Times New Roman" w:hAnsi="Times New Roman"/>
          <w:sz w:val="24"/>
          <w:szCs w:val="24"/>
        </w:rPr>
        <w:t xml:space="preserve">The lawsuit, filed in the Southern District of Texas, alleges that Jane </w:t>
      </w:r>
      <w:proofErr w:type="spellStart"/>
      <w:r w:rsidRPr="009C6CB0">
        <w:rPr>
          <w:rFonts w:ascii="Times New Roman" w:hAnsi="Times New Roman"/>
          <w:sz w:val="24"/>
          <w:szCs w:val="24"/>
        </w:rPr>
        <w:t>Draycott</w:t>
      </w:r>
      <w:proofErr w:type="spellEnd"/>
      <w:r w:rsidRPr="009C6CB0">
        <w:rPr>
          <w:rFonts w:ascii="Times New Roman" w:hAnsi="Times New Roman"/>
          <w:sz w:val="24"/>
          <w:szCs w:val="24"/>
        </w:rPr>
        <w:t xml:space="preserve"> and Paula Keyes were subjected to a hostile work environment based on sex when they were employed as firefighters at HFD’s Station 54.  According to the complaint, HFD’s hostile work environment included males urinating on the walls, floors and sinks of the women’s bathroom and dormitory, disconnecting the cold water to scald the women while they were showering, and deactivating the female dormitory’s announcement speakers so the women could not respond to emergency calls.  The complaint further alleges that the conduct culminated in death threats and vulgar slurs written on the walls of their work and living spaces at Station 54 and on their personal possessions.  This conduct continued despite at least nine complaints made to management, according to the allegations.”</w:t>
      </w:r>
      <w:r>
        <w:rPr>
          <w:rFonts w:ascii="Times New Roman" w:hAnsi="Times New Roman"/>
          <w:sz w:val="24"/>
          <w:szCs w:val="24"/>
        </w:rPr>
        <w:t xml:space="preserve"> </w:t>
      </w:r>
      <w:hyperlink r:id="rId1460" w:history="1">
        <w:r w:rsidRPr="00931365">
          <w:rPr>
            <w:rStyle w:val="Hyperlink"/>
            <w:sz w:val="24"/>
            <w:szCs w:val="24"/>
          </w:rPr>
          <w:t>https://www.justice.gov/opa/pr/justice-department-files-lawsuit-against-city-houston-sex-discrimination-and-retaliation</w:t>
        </w:r>
      </w:hyperlink>
      <w:r>
        <w:rPr>
          <w:rFonts w:ascii="Times New Roman" w:hAnsi="Times New Roman"/>
          <w:sz w:val="24"/>
          <w:szCs w:val="24"/>
        </w:rPr>
        <w:t xml:space="preserve"> </w:t>
      </w:r>
      <w:r>
        <w:rPr>
          <w:rFonts w:ascii="Times New Roman" w:eastAsia="Times New Roman" w:hAnsi="Times New Roman"/>
          <w:sz w:val="24"/>
          <w:szCs w:val="24"/>
        </w:rPr>
        <w:t xml:space="preserve"> [Jane </w:t>
      </w:r>
      <w:proofErr w:type="spellStart"/>
      <w:r>
        <w:rPr>
          <w:rFonts w:ascii="Times New Roman" w:eastAsia="Times New Roman" w:hAnsi="Times New Roman"/>
          <w:sz w:val="24"/>
          <w:szCs w:val="24"/>
        </w:rPr>
        <w:t>Draycott</w:t>
      </w:r>
      <w:proofErr w:type="spellEnd"/>
      <w:r>
        <w:rPr>
          <w:rFonts w:ascii="Times New Roman" w:eastAsia="Times New Roman" w:hAnsi="Times New Roman"/>
          <w:sz w:val="24"/>
          <w:szCs w:val="24"/>
        </w:rPr>
        <w:t xml:space="preserve"> later resigned from FD; Paula Keyes is now a Captain.] </w:t>
      </w:r>
      <w:hyperlink r:id="rId1461" w:history="1">
        <w:r w:rsidRPr="00931365">
          <w:rPr>
            <w:rStyle w:val="Hyperlink"/>
            <w:sz w:val="24"/>
            <w:szCs w:val="24"/>
          </w:rPr>
          <w:t>https://public.fastcase.com/Wl%2B2t%2BeVuI35%2FN70vAMFZkY2nPlYZ3wtvIBy3YjdhH4Hysc14LIFQvAQrJXSfUWa</w:t>
        </w:r>
      </w:hyperlink>
      <w:r>
        <w:rPr>
          <w:rFonts w:ascii="Times New Roman" w:eastAsia="Times New Roman" w:hAnsi="Times New Roman"/>
          <w:sz w:val="24"/>
          <w:szCs w:val="24"/>
        </w:rPr>
        <w:t xml:space="preserve"> </w:t>
      </w:r>
    </w:p>
    <w:p w14:paraId="11170939" w14:textId="77777777" w:rsidR="00FA7B26" w:rsidRPr="00542658" w:rsidRDefault="00FA7B26" w:rsidP="00FA7B26">
      <w:pPr>
        <w:rPr>
          <w:rFonts w:ascii="Times New Roman" w:hAnsi="Times New Roman"/>
          <w:b/>
          <w:bCs/>
          <w:sz w:val="24"/>
          <w:szCs w:val="24"/>
        </w:rPr>
      </w:pPr>
      <w:r w:rsidRPr="00542658">
        <w:rPr>
          <w:rFonts w:ascii="Times New Roman" w:hAnsi="Times New Roman"/>
          <w:b/>
          <w:bCs/>
          <w:sz w:val="24"/>
          <w:szCs w:val="24"/>
        </w:rPr>
        <w:t>Legal Lessons Learned:</w:t>
      </w:r>
      <w:r>
        <w:rPr>
          <w:rFonts w:ascii="Times New Roman" w:hAnsi="Times New Roman"/>
          <w:b/>
          <w:bCs/>
          <w:sz w:val="24"/>
          <w:szCs w:val="24"/>
        </w:rPr>
        <w:t xml:space="preserve"> Case is now scheduled for trial; serious allegations. </w:t>
      </w:r>
    </w:p>
    <w:p w14:paraId="7FD84642" w14:textId="77777777" w:rsidR="006744D3" w:rsidRDefault="006744D3" w:rsidP="002B1283">
      <w:pPr>
        <w:rPr>
          <w:rFonts w:ascii="Arial Black" w:hAnsi="Arial Black"/>
          <w:b/>
          <w:sz w:val="24"/>
          <w:szCs w:val="24"/>
        </w:rPr>
      </w:pPr>
    </w:p>
    <w:p w14:paraId="6AE2549F" w14:textId="3279A5BE" w:rsidR="002147DA" w:rsidRDefault="002147DA" w:rsidP="002B1283">
      <w:pPr>
        <w:rPr>
          <w:rFonts w:ascii="Arial Black" w:hAnsi="Arial Black"/>
          <w:b/>
          <w:sz w:val="24"/>
          <w:szCs w:val="24"/>
        </w:rPr>
      </w:pPr>
      <w:r>
        <w:rPr>
          <w:rFonts w:ascii="Arial Black" w:hAnsi="Arial Black"/>
          <w:b/>
          <w:sz w:val="24"/>
          <w:szCs w:val="24"/>
        </w:rPr>
        <w:t>7-20 [Also posted, Chap. 14]</w:t>
      </w:r>
    </w:p>
    <w:p w14:paraId="6CCFE8A7" w14:textId="77777777" w:rsidR="002147DA" w:rsidRDefault="002147DA" w:rsidP="002147DA">
      <w:pPr>
        <w:pStyle w:val="NoSpacing"/>
        <w:rPr>
          <w:rFonts w:ascii="Arial Black" w:hAnsi="Arial Black"/>
          <w:sz w:val="28"/>
          <w:szCs w:val="28"/>
        </w:rPr>
      </w:pPr>
      <w:bookmarkStart w:id="294" w:name="_Hlk39764591"/>
      <w:bookmarkStart w:id="295" w:name="_Hlk41155392"/>
      <w:r>
        <w:rPr>
          <w:rFonts w:ascii="Arial Black" w:hAnsi="Arial Black"/>
          <w:sz w:val="28"/>
          <w:szCs w:val="28"/>
        </w:rPr>
        <w:t xml:space="preserve">AL:  PREGNANT EMT – DENIED LIGHT DUTY – AMR CO. PROVIDES ONLY INJURED ON JOB - LAWSUIT REINSTATED </w:t>
      </w:r>
    </w:p>
    <w:p w14:paraId="7F1D3B63" w14:textId="77777777" w:rsidR="002147DA" w:rsidRDefault="002147DA" w:rsidP="002147DA">
      <w:pPr>
        <w:pStyle w:val="NoSpacing"/>
        <w:rPr>
          <w:b/>
          <w:bCs/>
          <w:sz w:val="24"/>
          <w:szCs w:val="24"/>
        </w:rPr>
      </w:pPr>
    </w:p>
    <w:p w14:paraId="1F7C3463" w14:textId="77777777" w:rsidR="002147DA" w:rsidRPr="00AE3A49" w:rsidRDefault="002147DA" w:rsidP="002147DA">
      <w:pPr>
        <w:pStyle w:val="NoSpacing"/>
        <w:rPr>
          <w:rFonts w:ascii="Times New Roman" w:hAnsi="Times New Roman"/>
          <w:b/>
          <w:bCs/>
          <w:sz w:val="24"/>
          <w:szCs w:val="24"/>
        </w:rPr>
      </w:pPr>
      <w:r w:rsidRPr="00AE3A49">
        <w:rPr>
          <w:rFonts w:ascii="Times New Roman" w:hAnsi="Times New Roman"/>
          <w:bCs/>
          <w:sz w:val="24"/>
          <w:szCs w:val="24"/>
        </w:rPr>
        <w:t xml:space="preserve">On April 17, 2020, in </w:t>
      </w:r>
      <w:r w:rsidRPr="00AE3A49">
        <w:rPr>
          <w:rFonts w:ascii="Times New Roman" w:hAnsi="Times New Roman"/>
          <w:bCs/>
          <w:sz w:val="24"/>
          <w:szCs w:val="24"/>
          <w:u w:val="single"/>
        </w:rPr>
        <w:t>Kimberlie Michelle Durham v. Rural/Metro Corporation</w:t>
      </w:r>
      <w:r w:rsidRPr="00AE3A49">
        <w:rPr>
          <w:rFonts w:ascii="Times New Roman" w:hAnsi="Times New Roman"/>
          <w:bCs/>
          <w:sz w:val="24"/>
          <w:szCs w:val="24"/>
        </w:rPr>
        <w:t>, the U.S. Court of Appeals for the 11</w:t>
      </w:r>
      <w:r w:rsidRPr="00AE3A49">
        <w:rPr>
          <w:rFonts w:ascii="Times New Roman" w:hAnsi="Times New Roman"/>
          <w:bCs/>
          <w:sz w:val="24"/>
          <w:szCs w:val="24"/>
          <w:vertAlign w:val="superscript"/>
        </w:rPr>
        <w:t>th</w:t>
      </w:r>
      <w:r w:rsidRPr="00AE3A49">
        <w:rPr>
          <w:rFonts w:ascii="Times New Roman" w:hAnsi="Times New Roman"/>
          <w:bCs/>
          <w:sz w:val="24"/>
          <w:szCs w:val="24"/>
        </w:rPr>
        <w:t xml:space="preserve"> Circuit (Atlanta) held (3 to 0) that the U.S. District Court judge had improperly granted summary judgment to AMR.  </w:t>
      </w:r>
    </w:p>
    <w:p w14:paraId="41F2D2FF" w14:textId="77777777" w:rsidR="002147DA" w:rsidRDefault="002147DA" w:rsidP="002147DA">
      <w:pPr>
        <w:pStyle w:val="NoSpacing"/>
        <w:ind w:left="720"/>
        <w:rPr>
          <w:rFonts w:ascii="Times New Roman" w:hAnsi="Times New Roman"/>
          <w:bCs/>
          <w:sz w:val="24"/>
          <w:szCs w:val="24"/>
        </w:rPr>
      </w:pPr>
    </w:p>
    <w:p w14:paraId="1B956A10" w14:textId="77777777" w:rsidR="002147DA" w:rsidRPr="00AE3A49" w:rsidRDefault="002147DA" w:rsidP="002147DA">
      <w:pPr>
        <w:pStyle w:val="NoSpacing"/>
        <w:ind w:left="720"/>
        <w:rPr>
          <w:rFonts w:ascii="Times New Roman" w:hAnsi="Times New Roman"/>
          <w:sz w:val="24"/>
          <w:szCs w:val="24"/>
        </w:rPr>
      </w:pPr>
      <w:r w:rsidRPr="00AE3A49">
        <w:rPr>
          <w:rFonts w:ascii="Times New Roman" w:hAnsi="Times New Roman"/>
          <w:bCs/>
          <w:sz w:val="24"/>
          <w:szCs w:val="24"/>
        </w:rPr>
        <w:t xml:space="preserve">“We therefore vacate the grant of summary judgment. Neither a non-pregnant EMT who is limited to lifting 10 or 20 pounds nor a pregnant EMT who is restricted to lifting 50 pounds or less can lift the required 100 pounds to serve as an EMT. Since neither can meet the lifting requirement, they are the same in their ‘inability to work’ as an EMT. And that satisfies the plaintiff’s prima facie requirement to </w:t>
      </w:r>
      <w:r w:rsidRPr="00AE3A49">
        <w:rPr>
          <w:rFonts w:ascii="Times New Roman" w:hAnsi="Times New Roman"/>
          <w:bCs/>
          <w:sz w:val="24"/>
          <w:szCs w:val="24"/>
        </w:rPr>
        <w:lastRenderedPageBreak/>
        <w:t>establish that she was ‘similar [to other employees] in their ability or inability to work.’</w:t>
      </w:r>
      <w:r w:rsidRPr="00AE3A49">
        <w:rPr>
          <w:rFonts w:ascii="Times New Roman" w:hAnsi="Times New Roman"/>
          <w:sz w:val="24"/>
          <w:szCs w:val="24"/>
        </w:rPr>
        <w:t xml:space="preserve">” </w:t>
      </w:r>
      <w:hyperlink r:id="rId1462" w:history="1">
        <w:r w:rsidRPr="00AE3A49">
          <w:rPr>
            <w:rStyle w:val="Hyperlink"/>
            <w:rFonts w:ascii="Times New Roman" w:hAnsi="Times New Roman"/>
            <w:b/>
            <w:sz w:val="24"/>
            <w:szCs w:val="24"/>
          </w:rPr>
          <w:t>http://media.ca11.uscourts.gov/opinions/pub/files/201814687.pdf</w:t>
        </w:r>
      </w:hyperlink>
      <w:r w:rsidRPr="00AE3A49">
        <w:rPr>
          <w:rFonts w:ascii="Times New Roman" w:hAnsi="Times New Roman"/>
          <w:sz w:val="24"/>
          <w:szCs w:val="24"/>
        </w:rPr>
        <w:t xml:space="preserve"> </w:t>
      </w:r>
    </w:p>
    <w:bookmarkEnd w:id="294"/>
    <w:p w14:paraId="1B993F0E" w14:textId="77777777" w:rsidR="002147DA" w:rsidRDefault="002147DA" w:rsidP="002147DA">
      <w:pPr>
        <w:pStyle w:val="NoSpacing"/>
        <w:rPr>
          <w:rFonts w:ascii="Times New Roman" w:hAnsi="Times New Roman"/>
          <w:b/>
          <w:bCs/>
          <w:sz w:val="24"/>
          <w:szCs w:val="24"/>
        </w:rPr>
      </w:pPr>
    </w:p>
    <w:p w14:paraId="3E20B1EC" w14:textId="2E5E36CD" w:rsidR="002147DA" w:rsidRPr="00AE3A49" w:rsidRDefault="002147DA" w:rsidP="002147DA">
      <w:pPr>
        <w:pStyle w:val="NoSpacing"/>
        <w:rPr>
          <w:rFonts w:ascii="Times New Roman" w:hAnsi="Times New Roman"/>
          <w:b/>
          <w:bCs/>
          <w:sz w:val="24"/>
          <w:szCs w:val="24"/>
        </w:rPr>
      </w:pPr>
      <w:bookmarkStart w:id="296" w:name="_Hlk40510709"/>
      <w:r w:rsidRPr="00AE3A49">
        <w:rPr>
          <w:rFonts w:ascii="Times New Roman" w:hAnsi="Times New Roman"/>
          <w:b/>
          <w:bCs/>
          <w:sz w:val="24"/>
          <w:szCs w:val="24"/>
        </w:rPr>
        <w:t>Legal Lessons Learned: Congress in enacting the Pregnancy Discrimination Act did not specifically address the issue of light-duty; hopefully</w:t>
      </w:r>
      <w:r w:rsidR="00C4249D">
        <w:rPr>
          <w:rFonts w:ascii="Times New Roman" w:hAnsi="Times New Roman"/>
          <w:b/>
          <w:bCs/>
          <w:sz w:val="24"/>
          <w:szCs w:val="24"/>
        </w:rPr>
        <w:t xml:space="preserve"> </w:t>
      </w:r>
      <w:r w:rsidRPr="00AE3A49">
        <w:rPr>
          <w:rFonts w:ascii="Times New Roman" w:hAnsi="Times New Roman"/>
          <w:b/>
          <w:bCs/>
          <w:sz w:val="24"/>
          <w:szCs w:val="24"/>
        </w:rPr>
        <w:t xml:space="preserve">the U.S. Supreme Court </w:t>
      </w:r>
      <w:r w:rsidR="00C4249D">
        <w:rPr>
          <w:rFonts w:ascii="Times New Roman" w:hAnsi="Times New Roman"/>
          <w:b/>
          <w:bCs/>
          <w:sz w:val="24"/>
          <w:szCs w:val="24"/>
        </w:rPr>
        <w:t xml:space="preserve">in a future case </w:t>
      </w:r>
      <w:r w:rsidRPr="00AE3A49">
        <w:rPr>
          <w:rFonts w:ascii="Times New Roman" w:hAnsi="Times New Roman"/>
          <w:b/>
          <w:bCs/>
          <w:sz w:val="24"/>
          <w:szCs w:val="24"/>
        </w:rPr>
        <w:t xml:space="preserve">will give clear direction on this issue.  </w:t>
      </w:r>
    </w:p>
    <w:bookmarkEnd w:id="296"/>
    <w:p w14:paraId="3B9D1BF8" w14:textId="77777777" w:rsidR="002147DA" w:rsidRDefault="002147DA" w:rsidP="002B1283">
      <w:pPr>
        <w:rPr>
          <w:rFonts w:ascii="Arial Black" w:hAnsi="Arial Black"/>
          <w:b/>
          <w:sz w:val="24"/>
          <w:szCs w:val="24"/>
        </w:rPr>
      </w:pPr>
    </w:p>
    <w:bookmarkEnd w:id="295"/>
    <w:p w14:paraId="1CB0E685" w14:textId="77777777" w:rsidR="002147DA" w:rsidRDefault="002147DA" w:rsidP="002B1283">
      <w:pPr>
        <w:rPr>
          <w:rFonts w:ascii="Arial Black" w:hAnsi="Arial Black"/>
          <w:b/>
          <w:sz w:val="24"/>
          <w:szCs w:val="24"/>
        </w:rPr>
      </w:pPr>
    </w:p>
    <w:p w14:paraId="5B89BE14" w14:textId="07D54B28" w:rsidR="002147DA" w:rsidRDefault="002147DA" w:rsidP="002B1283">
      <w:pPr>
        <w:rPr>
          <w:rFonts w:ascii="Arial Black" w:hAnsi="Arial Black"/>
          <w:b/>
          <w:sz w:val="24"/>
          <w:szCs w:val="24"/>
        </w:rPr>
      </w:pPr>
      <w:r>
        <w:rPr>
          <w:rFonts w:ascii="Arial Black" w:hAnsi="Arial Black"/>
          <w:b/>
          <w:sz w:val="24"/>
          <w:szCs w:val="24"/>
        </w:rPr>
        <w:t>7-19</w:t>
      </w:r>
    </w:p>
    <w:p w14:paraId="693A7B14" w14:textId="77777777" w:rsidR="002147DA" w:rsidRPr="005F2F43" w:rsidRDefault="002147DA" w:rsidP="002147DA">
      <w:pPr>
        <w:pStyle w:val="NoSpacing"/>
        <w:rPr>
          <w:rFonts w:ascii="Arial Black" w:hAnsi="Arial Black"/>
          <w:sz w:val="28"/>
          <w:szCs w:val="28"/>
        </w:rPr>
      </w:pPr>
      <w:bookmarkStart w:id="297" w:name="_Hlk39764654"/>
      <w:r w:rsidRPr="005F2F43">
        <w:rPr>
          <w:rFonts w:ascii="Arial Black" w:hAnsi="Arial Black"/>
          <w:sz w:val="28"/>
          <w:szCs w:val="28"/>
        </w:rPr>
        <w:t>FL:</w:t>
      </w:r>
      <w:r>
        <w:rPr>
          <w:rFonts w:ascii="Arial Black" w:hAnsi="Arial Black"/>
          <w:sz w:val="28"/>
          <w:szCs w:val="28"/>
        </w:rPr>
        <w:t xml:space="preserve"> FEMALE FF RESIGNS, 20 YRS ON FD – CLAIMS HOSTILE WORK ATMOSPHERE, FEW SPECIFICS – CASE DISMISSED</w:t>
      </w:r>
      <w:r w:rsidRPr="005F2F43">
        <w:rPr>
          <w:rFonts w:ascii="Arial Black" w:hAnsi="Arial Black"/>
          <w:sz w:val="28"/>
          <w:szCs w:val="28"/>
        </w:rPr>
        <w:t xml:space="preserve"> </w:t>
      </w:r>
    </w:p>
    <w:p w14:paraId="03909706" w14:textId="77777777" w:rsidR="002147DA" w:rsidRDefault="002147DA" w:rsidP="002147DA">
      <w:pPr>
        <w:pStyle w:val="NoSpacing"/>
        <w:rPr>
          <w:b/>
          <w:bCs/>
          <w:sz w:val="24"/>
          <w:szCs w:val="24"/>
        </w:rPr>
      </w:pPr>
    </w:p>
    <w:p w14:paraId="5CFE62BF" w14:textId="77777777" w:rsidR="002147DA" w:rsidRPr="00AE3A49" w:rsidRDefault="002147DA" w:rsidP="002147DA">
      <w:pPr>
        <w:pStyle w:val="NoSpacing"/>
        <w:rPr>
          <w:rFonts w:ascii="Times New Roman" w:hAnsi="Times New Roman"/>
          <w:b/>
          <w:bCs/>
          <w:sz w:val="24"/>
          <w:szCs w:val="24"/>
        </w:rPr>
      </w:pPr>
      <w:r w:rsidRPr="00AE3A49">
        <w:rPr>
          <w:rFonts w:ascii="Times New Roman" w:hAnsi="Times New Roman"/>
          <w:bCs/>
          <w:sz w:val="24"/>
          <w:szCs w:val="24"/>
        </w:rPr>
        <w:t xml:space="preserve">On </w:t>
      </w:r>
      <w:bookmarkStart w:id="298" w:name="_Hlk39833074"/>
      <w:r w:rsidRPr="00AE3A49">
        <w:rPr>
          <w:rFonts w:ascii="Times New Roman" w:hAnsi="Times New Roman"/>
          <w:bCs/>
          <w:sz w:val="24"/>
          <w:szCs w:val="24"/>
        </w:rPr>
        <w:t xml:space="preserve">April 1, 2020, in </w:t>
      </w:r>
      <w:r w:rsidRPr="00AE3A49">
        <w:rPr>
          <w:rFonts w:ascii="Times New Roman" w:hAnsi="Times New Roman"/>
          <w:bCs/>
          <w:sz w:val="24"/>
          <w:szCs w:val="24"/>
          <w:u w:val="single"/>
        </w:rPr>
        <w:t>Colleen Moore v. San Carlos Park Fire Protection &amp; Rescue</w:t>
      </w:r>
      <w:r w:rsidRPr="00AE3A49">
        <w:rPr>
          <w:rFonts w:ascii="Times New Roman" w:hAnsi="Times New Roman"/>
          <w:bCs/>
          <w:sz w:val="24"/>
          <w:szCs w:val="24"/>
        </w:rPr>
        <w:t xml:space="preserve">, </w:t>
      </w:r>
      <w:bookmarkEnd w:id="298"/>
      <w:r w:rsidRPr="00AE3A49">
        <w:rPr>
          <w:rFonts w:ascii="Times New Roman" w:hAnsi="Times New Roman"/>
          <w:bCs/>
          <w:sz w:val="24"/>
          <w:szCs w:val="24"/>
        </w:rPr>
        <w:t>the U.S. Court of Appeals for the 11</w:t>
      </w:r>
      <w:r w:rsidRPr="00AE3A49">
        <w:rPr>
          <w:rFonts w:ascii="Times New Roman" w:hAnsi="Times New Roman"/>
          <w:bCs/>
          <w:sz w:val="24"/>
          <w:szCs w:val="24"/>
          <w:vertAlign w:val="superscript"/>
        </w:rPr>
        <w:t>th</w:t>
      </w:r>
      <w:r w:rsidRPr="00AE3A49">
        <w:rPr>
          <w:rFonts w:ascii="Times New Roman" w:hAnsi="Times New Roman"/>
          <w:bCs/>
          <w:sz w:val="24"/>
          <w:szCs w:val="24"/>
        </w:rPr>
        <w:t xml:space="preserve"> District (Atlanta) held (3 to 0) in unpublished opinion that the trial court properly granted the FD’s motion to dismiss.  Moore resigned on November 5, 2013, after more than 20 years of service. </w:t>
      </w:r>
    </w:p>
    <w:p w14:paraId="261F219D" w14:textId="77777777" w:rsidR="002147DA" w:rsidRPr="00AE3A49" w:rsidRDefault="002147DA" w:rsidP="002147DA">
      <w:pPr>
        <w:pStyle w:val="NoSpacing"/>
        <w:rPr>
          <w:rFonts w:ascii="Times New Roman" w:hAnsi="Times New Roman"/>
          <w:b/>
          <w:bCs/>
          <w:sz w:val="24"/>
          <w:szCs w:val="24"/>
        </w:rPr>
      </w:pPr>
    </w:p>
    <w:p w14:paraId="135950EA" w14:textId="77777777" w:rsidR="002147DA" w:rsidRPr="00AE3A49" w:rsidRDefault="002147DA" w:rsidP="002147DA">
      <w:pPr>
        <w:pStyle w:val="NoSpacing"/>
        <w:ind w:left="720"/>
        <w:rPr>
          <w:rFonts w:ascii="Times New Roman" w:eastAsia="Times New Roman" w:hAnsi="Times New Roman"/>
          <w:b/>
          <w:bCs/>
          <w:sz w:val="24"/>
          <w:szCs w:val="24"/>
        </w:rPr>
      </w:pPr>
      <w:r w:rsidRPr="00AE3A49">
        <w:rPr>
          <w:rFonts w:ascii="Times New Roman" w:hAnsi="Times New Roman"/>
          <w:bCs/>
          <w:sz w:val="24"/>
          <w:szCs w:val="24"/>
        </w:rPr>
        <w:t xml:space="preserve">“While the complaint lists a series of discrete acts, it does not provide the dates of those acts or mention the supervisor responsible for any alleged acts. Similarly, her EEOC charge alleges Moore was harassed, called ‘the girl,’ and disciplined more severely than men, but does not provide any details supporting those allegations. Without connecting names or dates to each incident, we cannot determine who committed the acts or when they were committed. See Morgan, 536 U.S. at 120. Thus, Moore has not established that the three timely adverse acts are sufficiently related to any of the other </w:t>
      </w:r>
      <w:proofErr w:type="gramStart"/>
      <w:r w:rsidRPr="00AE3A49">
        <w:rPr>
          <w:rFonts w:ascii="Times New Roman" w:hAnsi="Times New Roman"/>
          <w:bCs/>
          <w:sz w:val="24"/>
          <w:szCs w:val="24"/>
        </w:rPr>
        <w:t>complained</w:t>
      </w:r>
      <w:proofErr w:type="gramEnd"/>
      <w:r w:rsidRPr="00AE3A49">
        <w:rPr>
          <w:rFonts w:ascii="Times New Roman" w:hAnsi="Times New Roman"/>
          <w:bCs/>
          <w:sz w:val="24"/>
          <w:szCs w:val="24"/>
        </w:rPr>
        <w:t xml:space="preserve"> of acts, such that they support the same hostile work environment claim. </w:t>
      </w:r>
      <w:bookmarkStart w:id="299" w:name="_Hlk39833092"/>
      <w:r w:rsidR="00374417">
        <w:fldChar w:fldCharType="begin"/>
      </w:r>
      <w:r w:rsidR="00374417">
        <w:instrText xml:space="preserve"> HYPERLINK "http://media.ca11.uscourts.gov/opinions/unpub/files/201910263.pdf" </w:instrText>
      </w:r>
      <w:r w:rsidR="00374417">
        <w:fldChar w:fldCharType="separate"/>
      </w:r>
      <w:r w:rsidRPr="00AE3A49">
        <w:rPr>
          <w:rStyle w:val="Hyperlink"/>
          <w:rFonts w:ascii="Times New Roman" w:hAnsi="Times New Roman"/>
          <w:b/>
          <w:sz w:val="24"/>
          <w:szCs w:val="24"/>
        </w:rPr>
        <w:t>http://media.ca11.uscourts.gov/opinions/unpub/files/201910263.pdf</w:t>
      </w:r>
      <w:r w:rsidR="00374417">
        <w:rPr>
          <w:rStyle w:val="Hyperlink"/>
          <w:rFonts w:ascii="Times New Roman" w:hAnsi="Times New Roman"/>
          <w:b/>
          <w:sz w:val="24"/>
          <w:szCs w:val="24"/>
        </w:rPr>
        <w:fldChar w:fldCharType="end"/>
      </w:r>
      <w:bookmarkEnd w:id="297"/>
      <w:r w:rsidRPr="00AE3A49">
        <w:rPr>
          <w:rFonts w:ascii="Times New Roman" w:hAnsi="Times New Roman"/>
          <w:bCs/>
          <w:sz w:val="24"/>
          <w:szCs w:val="24"/>
        </w:rPr>
        <w:t xml:space="preserve"> </w:t>
      </w:r>
    </w:p>
    <w:bookmarkEnd w:id="299"/>
    <w:p w14:paraId="2AEF925C" w14:textId="77777777" w:rsidR="002147DA" w:rsidRDefault="002147DA" w:rsidP="002147DA">
      <w:pPr>
        <w:pStyle w:val="NoSpacing"/>
        <w:rPr>
          <w:rFonts w:ascii="Times New Roman" w:hAnsi="Times New Roman"/>
          <w:b/>
          <w:bCs/>
          <w:sz w:val="24"/>
          <w:szCs w:val="24"/>
        </w:rPr>
      </w:pPr>
    </w:p>
    <w:p w14:paraId="1AA52516" w14:textId="1B83D0D7" w:rsidR="002147DA" w:rsidRPr="00AE3A49" w:rsidRDefault="002147DA" w:rsidP="002147DA">
      <w:pPr>
        <w:pStyle w:val="NoSpacing"/>
        <w:rPr>
          <w:rFonts w:ascii="Times New Roman" w:hAnsi="Times New Roman"/>
          <w:b/>
          <w:bCs/>
          <w:sz w:val="24"/>
          <w:szCs w:val="24"/>
        </w:rPr>
      </w:pPr>
      <w:r w:rsidRPr="00AE3A49">
        <w:rPr>
          <w:rFonts w:ascii="Times New Roman" w:hAnsi="Times New Roman"/>
          <w:b/>
          <w:bCs/>
          <w:sz w:val="24"/>
          <w:szCs w:val="24"/>
        </w:rPr>
        <w:t xml:space="preserve">Legal Lessons Learned: Fire &amp; EMS departments should have Employee Handbooks requiring employees to promptly file complaints in writing. </w:t>
      </w:r>
    </w:p>
    <w:p w14:paraId="4C8C8346" w14:textId="77777777" w:rsidR="002147DA" w:rsidRPr="00AE3A49" w:rsidRDefault="002147DA" w:rsidP="002147DA">
      <w:pPr>
        <w:pStyle w:val="NoSpacing"/>
        <w:rPr>
          <w:rFonts w:ascii="Times New Roman" w:hAnsi="Times New Roman"/>
          <w:b/>
          <w:bCs/>
          <w:sz w:val="24"/>
          <w:szCs w:val="24"/>
        </w:rPr>
      </w:pPr>
    </w:p>
    <w:p w14:paraId="4594FCCE" w14:textId="77777777" w:rsidR="002147DA" w:rsidRDefault="002147DA" w:rsidP="002147DA">
      <w:pPr>
        <w:pStyle w:val="NoSpacing"/>
        <w:rPr>
          <w:b/>
          <w:bCs/>
          <w:sz w:val="24"/>
          <w:szCs w:val="24"/>
        </w:rPr>
      </w:pPr>
    </w:p>
    <w:p w14:paraId="7FB345A5" w14:textId="77777777" w:rsidR="002147DA" w:rsidRDefault="002147DA" w:rsidP="002147DA">
      <w:pPr>
        <w:pStyle w:val="NoSpacing"/>
        <w:rPr>
          <w:b/>
          <w:bCs/>
          <w:sz w:val="24"/>
          <w:szCs w:val="24"/>
        </w:rPr>
      </w:pPr>
    </w:p>
    <w:p w14:paraId="442D5866" w14:textId="77777777" w:rsidR="002147DA" w:rsidRDefault="002147DA" w:rsidP="002B1283">
      <w:pPr>
        <w:rPr>
          <w:rFonts w:ascii="Arial Black" w:hAnsi="Arial Black"/>
          <w:b/>
          <w:sz w:val="24"/>
          <w:szCs w:val="24"/>
        </w:rPr>
      </w:pPr>
    </w:p>
    <w:p w14:paraId="1E8E684D" w14:textId="77777777" w:rsidR="002147DA" w:rsidRDefault="002147DA" w:rsidP="002B1283">
      <w:pPr>
        <w:rPr>
          <w:rFonts w:ascii="Arial Black" w:hAnsi="Arial Black"/>
          <w:b/>
          <w:sz w:val="24"/>
          <w:szCs w:val="24"/>
        </w:rPr>
      </w:pPr>
    </w:p>
    <w:p w14:paraId="775FA55D" w14:textId="4E4DED1E" w:rsidR="007540BD" w:rsidRDefault="007540BD" w:rsidP="002B1283">
      <w:pPr>
        <w:rPr>
          <w:rFonts w:ascii="Arial Black" w:hAnsi="Arial Black"/>
          <w:b/>
          <w:sz w:val="24"/>
          <w:szCs w:val="24"/>
        </w:rPr>
      </w:pPr>
      <w:r>
        <w:rPr>
          <w:rFonts w:ascii="Arial Black" w:hAnsi="Arial Black"/>
          <w:b/>
          <w:sz w:val="24"/>
          <w:szCs w:val="24"/>
        </w:rPr>
        <w:t>7-18</w:t>
      </w:r>
    </w:p>
    <w:p w14:paraId="1D8E021C" w14:textId="77777777" w:rsidR="007540BD" w:rsidRDefault="007540BD" w:rsidP="007540BD">
      <w:pPr>
        <w:pStyle w:val="NoSpacing"/>
        <w:rPr>
          <w:rFonts w:ascii="Arial Black" w:hAnsi="Arial Black"/>
          <w:sz w:val="28"/>
          <w:szCs w:val="28"/>
        </w:rPr>
      </w:pPr>
      <w:bookmarkStart w:id="300" w:name="_Hlk40510796"/>
      <w:r>
        <w:rPr>
          <w:rFonts w:ascii="Arial Black" w:hAnsi="Arial Black"/>
          <w:sz w:val="28"/>
          <w:szCs w:val="28"/>
        </w:rPr>
        <w:t>TX: “JANE DOE” LAWSUIT DISMISSED - FEMALE FF MUST IDENTIFY HERSELF IN NEW LAWSUIT – CITY, SEVERAL FF DROPPED FROM CASE</w:t>
      </w:r>
    </w:p>
    <w:p w14:paraId="6BF39C46" w14:textId="77777777" w:rsidR="007540BD" w:rsidRPr="00934109" w:rsidRDefault="007540BD" w:rsidP="007540BD">
      <w:pPr>
        <w:pStyle w:val="NoSpacing"/>
        <w:rPr>
          <w:rFonts w:ascii="Arial Black" w:hAnsi="Arial Black"/>
          <w:b/>
          <w:bCs/>
          <w:sz w:val="28"/>
          <w:szCs w:val="28"/>
        </w:rPr>
      </w:pPr>
    </w:p>
    <w:p w14:paraId="7BBF1ACB" w14:textId="77777777" w:rsidR="007540BD" w:rsidRPr="007C7258" w:rsidRDefault="007540BD" w:rsidP="007540BD">
      <w:pPr>
        <w:pStyle w:val="NoSpacing"/>
        <w:rPr>
          <w:rFonts w:ascii="Times New Roman" w:hAnsi="Times New Roman"/>
          <w:b/>
          <w:bCs/>
          <w:sz w:val="24"/>
          <w:szCs w:val="24"/>
        </w:rPr>
      </w:pPr>
      <w:r w:rsidRPr="007C7258">
        <w:rPr>
          <w:rFonts w:ascii="Times New Roman" w:hAnsi="Times New Roman"/>
          <w:bCs/>
          <w:sz w:val="24"/>
          <w:szCs w:val="24"/>
        </w:rPr>
        <w:t xml:space="preserve">On March 10, 2020, in </w:t>
      </w:r>
      <w:r w:rsidRPr="007C7258">
        <w:rPr>
          <w:rFonts w:ascii="Times New Roman" w:hAnsi="Times New Roman"/>
          <w:bCs/>
          <w:sz w:val="24"/>
          <w:szCs w:val="24"/>
          <w:u w:val="single"/>
        </w:rPr>
        <w:t>Female Firefighter Jane Doe v. Fort Worth, Texas, et al.</w:t>
      </w:r>
      <w:r w:rsidRPr="007C7258">
        <w:rPr>
          <w:rFonts w:ascii="Times New Roman" w:hAnsi="Times New Roman"/>
          <w:bCs/>
          <w:sz w:val="24"/>
          <w:szCs w:val="24"/>
        </w:rPr>
        <w:t xml:space="preserve">, U.S. District Court Judge John McBryde, U.S. District Court for Northern District of Texas, Fort Worth Division, ordered that Plaintiff re-file her lawsuit and identify herself.  Only one firefighter remains in the case, since 2-year statute of limitations has run on all her other claims.  The </w:t>
      </w:r>
      <w:proofErr w:type="gramStart"/>
      <w:r w:rsidRPr="007C7258">
        <w:rPr>
          <w:rFonts w:ascii="Times New Roman" w:hAnsi="Times New Roman"/>
          <w:bCs/>
          <w:sz w:val="24"/>
          <w:szCs w:val="24"/>
        </w:rPr>
        <w:t>City</w:t>
      </w:r>
      <w:proofErr w:type="gramEnd"/>
      <w:r w:rsidRPr="007C7258">
        <w:rPr>
          <w:rFonts w:ascii="Times New Roman" w:hAnsi="Times New Roman"/>
          <w:bCs/>
          <w:sz w:val="24"/>
          <w:szCs w:val="24"/>
        </w:rPr>
        <w:t xml:space="preserve"> is also dismissed from the case. </w:t>
      </w:r>
    </w:p>
    <w:bookmarkEnd w:id="300"/>
    <w:p w14:paraId="6D73D734" w14:textId="77777777" w:rsidR="007540BD" w:rsidRPr="007C7258" w:rsidRDefault="007540BD" w:rsidP="007540BD">
      <w:pPr>
        <w:pStyle w:val="NoSpacing"/>
        <w:rPr>
          <w:rFonts w:ascii="Times New Roman" w:hAnsi="Times New Roman"/>
          <w:b/>
          <w:bCs/>
          <w:sz w:val="24"/>
          <w:szCs w:val="24"/>
        </w:rPr>
      </w:pPr>
    </w:p>
    <w:p w14:paraId="1013D0AB"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lastRenderedPageBreak/>
        <w:t xml:space="preserve">“The law is clear that a plaintiff should only be allowed to proceed anonymously in rare and exceptional cases. Doe v. Stegall, </w:t>
      </w:r>
      <w:hyperlink r:id="rId1463" w:history="1">
        <w:r w:rsidRPr="007C7258">
          <w:rPr>
            <w:rStyle w:val="Hyperlink"/>
            <w:rFonts w:ascii="Times New Roman" w:hAnsi="Times New Roman"/>
            <w:b/>
            <w:sz w:val="24"/>
            <w:szCs w:val="24"/>
          </w:rPr>
          <w:t>653 F.2d 180</w:t>
        </w:r>
      </w:hyperlink>
      <w:r w:rsidRPr="007C7258">
        <w:rPr>
          <w:rFonts w:ascii="Times New Roman" w:hAnsi="Times New Roman"/>
          <w:bCs/>
          <w:sz w:val="24"/>
          <w:szCs w:val="24"/>
        </w:rPr>
        <w:t xml:space="preserve"> (5th Cir. Unit A 1981); Southern Methodist Univ. v. Wynn &amp; Jaffe, </w:t>
      </w:r>
      <w:hyperlink r:id="rId1464" w:history="1">
        <w:r w:rsidRPr="007C7258">
          <w:rPr>
            <w:rStyle w:val="Hyperlink"/>
            <w:rFonts w:ascii="Times New Roman" w:hAnsi="Times New Roman"/>
            <w:b/>
            <w:sz w:val="24"/>
            <w:szCs w:val="24"/>
          </w:rPr>
          <w:t>599 F.2d 707</w:t>
        </w:r>
      </w:hyperlink>
      <w:r w:rsidRPr="007C7258">
        <w:rPr>
          <w:rFonts w:ascii="Times New Roman" w:hAnsi="Times New Roman"/>
          <w:bCs/>
          <w:sz w:val="24"/>
          <w:szCs w:val="24"/>
        </w:rPr>
        <w:t xml:space="preserve"> (5th Cir. 1979). Plaintiff has made no attempt to show that this is such a case, probably because she cannot make the required showing. That plaintiff might suffer personal embarrassment is not enough. Doe v. Frank, </w:t>
      </w:r>
      <w:hyperlink r:id="rId1465" w:history="1">
        <w:r w:rsidRPr="007C7258">
          <w:rPr>
            <w:rStyle w:val="Hyperlink"/>
            <w:rFonts w:ascii="Times New Roman" w:hAnsi="Times New Roman"/>
            <w:b/>
            <w:sz w:val="24"/>
            <w:szCs w:val="24"/>
          </w:rPr>
          <w:t>951 F.2d 320</w:t>
        </w:r>
      </w:hyperlink>
      <w:r w:rsidRPr="007C7258">
        <w:rPr>
          <w:rFonts w:ascii="Times New Roman" w:hAnsi="Times New Roman"/>
          <w:bCs/>
          <w:sz w:val="24"/>
          <w:szCs w:val="24"/>
        </w:rPr>
        <w:t>, 324 (11th Cir. 1992). "Indeed, many courts faced with a request by a victim of sexual assault or harassment seeking to pursue a civil action for monetary damages under a pseudonym have concluded that the plaintiff was not entitled to proceed anonymously." Doe ex rel. Doe v. Harris, No. 14-0802, 2014 WL 4207599, at *2 W.D. La. Aug. 25, 2014) (citing cases). Accordingly, the court will require plaintiff to identify herself. Fed. R. Civ. P. 10(a).</w:t>
      </w:r>
    </w:p>
    <w:p w14:paraId="6338DD73" w14:textId="77777777" w:rsidR="007540BD" w:rsidRPr="007C7258" w:rsidRDefault="007540BD" w:rsidP="007540BD">
      <w:pPr>
        <w:pStyle w:val="NoSpacing"/>
        <w:ind w:left="720"/>
        <w:rPr>
          <w:rFonts w:ascii="Times New Roman" w:hAnsi="Times New Roman"/>
          <w:b/>
          <w:bCs/>
          <w:sz w:val="24"/>
          <w:szCs w:val="24"/>
        </w:rPr>
      </w:pPr>
    </w:p>
    <w:p w14:paraId="179480DD"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w:t>
      </w:r>
    </w:p>
    <w:p w14:paraId="372049F8" w14:textId="77777777" w:rsidR="007540BD" w:rsidRPr="007C7258" w:rsidRDefault="007540BD" w:rsidP="007540BD">
      <w:pPr>
        <w:ind w:left="720"/>
        <w:rPr>
          <w:rFonts w:ascii="Times New Roman" w:hAnsi="Times New Roman"/>
          <w:b/>
          <w:bCs/>
          <w:sz w:val="24"/>
          <w:szCs w:val="24"/>
        </w:rPr>
      </w:pPr>
      <w:r w:rsidRPr="007C7258">
        <w:rPr>
          <w:rFonts w:ascii="Times New Roman" w:hAnsi="Times New Roman"/>
          <w:bCs/>
          <w:sz w:val="24"/>
          <w:szCs w:val="24"/>
        </w:rPr>
        <w:t xml:space="preserve">If, as plaintiff contends, she was raped by her co-workers, that was not the result of an intentional choice of City not to provide proper training, especially where plaintiff does not allege that City was ever informed that lack of training was causing its male firefighters to engage in criminal conduct.” </w:t>
      </w:r>
      <w:bookmarkStart w:id="301" w:name="_Hlk40510857"/>
      <w:r w:rsidR="009B50E8">
        <w:fldChar w:fldCharType="begin"/>
      </w:r>
      <w:r w:rsidR="009B50E8">
        <w:instrText xml:space="preserve"> HYPERLINK "https://www.leagle.com/decision/infdco20200316488" </w:instrText>
      </w:r>
      <w:r w:rsidR="009B50E8">
        <w:fldChar w:fldCharType="separate"/>
      </w:r>
      <w:r w:rsidRPr="007C7258">
        <w:rPr>
          <w:rStyle w:val="Hyperlink"/>
          <w:rFonts w:ascii="Times New Roman" w:hAnsi="Times New Roman"/>
          <w:sz w:val="24"/>
          <w:szCs w:val="24"/>
        </w:rPr>
        <w:t>https://www.leagle.com/decision/infdco20200316488</w:t>
      </w:r>
      <w:r w:rsidR="009B50E8">
        <w:rPr>
          <w:rStyle w:val="Hyperlink"/>
          <w:rFonts w:ascii="Times New Roman" w:hAnsi="Times New Roman"/>
          <w:sz w:val="24"/>
          <w:szCs w:val="24"/>
        </w:rPr>
        <w:fldChar w:fldCharType="end"/>
      </w:r>
      <w:r w:rsidRPr="007C7258">
        <w:rPr>
          <w:rFonts w:ascii="Times New Roman" w:hAnsi="Times New Roman"/>
          <w:bCs/>
          <w:sz w:val="24"/>
          <w:szCs w:val="24"/>
        </w:rPr>
        <w:t xml:space="preserve"> </w:t>
      </w:r>
    </w:p>
    <w:p w14:paraId="7D73B159" w14:textId="77777777" w:rsidR="007540BD" w:rsidRPr="007C7258" w:rsidRDefault="007540BD" w:rsidP="007540BD">
      <w:pPr>
        <w:spacing w:before="100" w:beforeAutospacing="1" w:after="100" w:afterAutospacing="1" w:line="240" w:lineRule="auto"/>
        <w:rPr>
          <w:rFonts w:ascii="Times New Roman" w:hAnsi="Times New Roman"/>
          <w:b/>
          <w:bCs/>
          <w:sz w:val="24"/>
          <w:szCs w:val="24"/>
        </w:rPr>
      </w:pPr>
      <w:bookmarkStart w:id="302" w:name="_Hlk40510884"/>
      <w:bookmarkEnd w:id="301"/>
      <w:r w:rsidRPr="007C7258">
        <w:rPr>
          <w:rFonts w:ascii="Times New Roman" w:eastAsia="Times New Roman" w:hAnsi="Times New Roman"/>
          <w:b/>
          <w:bCs/>
          <w:sz w:val="24"/>
          <w:szCs w:val="24"/>
        </w:rPr>
        <w:t xml:space="preserve">Legal Lessons Learned: </w:t>
      </w:r>
      <w:r>
        <w:rPr>
          <w:rFonts w:ascii="Times New Roman" w:eastAsia="Times New Roman" w:hAnsi="Times New Roman"/>
          <w:b/>
          <w:bCs/>
          <w:sz w:val="24"/>
          <w:szCs w:val="24"/>
        </w:rPr>
        <w:t xml:space="preserve">A </w:t>
      </w:r>
      <w:r w:rsidRPr="007C7258">
        <w:rPr>
          <w:rFonts w:ascii="Times New Roman" w:hAnsi="Times New Roman"/>
          <w:b/>
          <w:bCs/>
          <w:sz w:val="24"/>
          <w:szCs w:val="24"/>
        </w:rPr>
        <w:t xml:space="preserve">plaintiff should only be allowed to proceed anonymously in rare and exceptional cases.  </w:t>
      </w:r>
      <w:bookmarkEnd w:id="302"/>
      <w:r w:rsidRPr="007C7258">
        <w:rPr>
          <w:rFonts w:ascii="Times New Roman" w:hAnsi="Times New Roman"/>
          <w:b/>
          <w:bCs/>
          <w:sz w:val="24"/>
          <w:szCs w:val="24"/>
        </w:rPr>
        <w:t>[I have deleted names of the defendants in this case, since Plaintiff hasn’t identified herself.]</w:t>
      </w:r>
    </w:p>
    <w:p w14:paraId="1F9E78D3" w14:textId="204C1D1C" w:rsidR="007540BD" w:rsidRDefault="007540BD" w:rsidP="002B1283">
      <w:pPr>
        <w:rPr>
          <w:rFonts w:ascii="Arial Black" w:hAnsi="Arial Black"/>
          <w:b/>
          <w:sz w:val="24"/>
          <w:szCs w:val="24"/>
        </w:rPr>
      </w:pPr>
    </w:p>
    <w:p w14:paraId="23058EB8" w14:textId="2C71341B" w:rsidR="007540BD" w:rsidRDefault="007540BD" w:rsidP="002B1283">
      <w:pPr>
        <w:rPr>
          <w:rFonts w:ascii="Arial Black" w:hAnsi="Arial Black"/>
          <w:b/>
          <w:sz w:val="24"/>
          <w:szCs w:val="24"/>
        </w:rPr>
      </w:pPr>
      <w:r>
        <w:rPr>
          <w:rFonts w:ascii="Arial Black" w:hAnsi="Arial Black"/>
          <w:b/>
          <w:sz w:val="24"/>
          <w:szCs w:val="24"/>
        </w:rPr>
        <w:t>7-17</w:t>
      </w:r>
    </w:p>
    <w:p w14:paraId="35D1DF62" w14:textId="77777777" w:rsidR="007540BD" w:rsidRPr="00BA763B" w:rsidRDefault="007540BD" w:rsidP="007540BD">
      <w:pPr>
        <w:pStyle w:val="NoSpacing"/>
        <w:rPr>
          <w:rFonts w:ascii="Arial Black" w:hAnsi="Arial Black"/>
          <w:sz w:val="28"/>
          <w:szCs w:val="28"/>
        </w:rPr>
      </w:pPr>
      <w:r>
        <w:rPr>
          <w:rFonts w:ascii="Arial Black" w:hAnsi="Arial Black"/>
          <w:sz w:val="28"/>
          <w:szCs w:val="28"/>
        </w:rPr>
        <w:t xml:space="preserve">IL:  JOKES ABOUT FF BEING “GAY” [HE IS NOT] – CASE DISMISSED – 3 OCCASIONS - NOT AN “OBJECTIVELY” HOSTILE WORK ENVIRONMENT </w:t>
      </w:r>
    </w:p>
    <w:p w14:paraId="4F738B51" w14:textId="77777777" w:rsidR="007540BD" w:rsidRDefault="007540BD" w:rsidP="007540BD">
      <w:pPr>
        <w:pStyle w:val="NoSpacing"/>
      </w:pPr>
    </w:p>
    <w:p w14:paraId="1EB47EAA" w14:textId="77777777" w:rsidR="007540BD" w:rsidRPr="007C7258" w:rsidRDefault="007540BD" w:rsidP="007540BD">
      <w:pPr>
        <w:pStyle w:val="NoSpacing"/>
        <w:rPr>
          <w:rFonts w:ascii="Times New Roman" w:hAnsi="Times New Roman"/>
          <w:b/>
          <w:bCs/>
          <w:sz w:val="24"/>
          <w:szCs w:val="24"/>
        </w:rPr>
      </w:pPr>
      <w:r w:rsidRPr="007C7258">
        <w:rPr>
          <w:rFonts w:ascii="Times New Roman" w:hAnsi="Times New Roman"/>
          <w:bCs/>
          <w:sz w:val="24"/>
          <w:szCs w:val="24"/>
        </w:rPr>
        <w:t xml:space="preserve">On March 9, 2020, in </w:t>
      </w:r>
      <w:r w:rsidRPr="007C7258">
        <w:rPr>
          <w:rFonts w:ascii="Times New Roman" w:hAnsi="Times New Roman"/>
          <w:bCs/>
          <w:sz w:val="24"/>
          <w:szCs w:val="24"/>
          <w:u w:val="single"/>
        </w:rPr>
        <w:t>Justine Bakker v. Mokena Fire Protection District</w:t>
      </w:r>
      <w:r w:rsidRPr="007C7258">
        <w:rPr>
          <w:rFonts w:ascii="Times New Roman" w:hAnsi="Times New Roman"/>
          <w:bCs/>
          <w:sz w:val="24"/>
          <w:szCs w:val="24"/>
        </w:rPr>
        <w:t xml:space="preserve">, U.S. District Court Judge Harry D. </w:t>
      </w:r>
      <w:proofErr w:type="spellStart"/>
      <w:r w:rsidRPr="007C7258">
        <w:rPr>
          <w:rFonts w:ascii="Times New Roman" w:hAnsi="Times New Roman"/>
          <w:bCs/>
          <w:sz w:val="24"/>
          <w:szCs w:val="24"/>
        </w:rPr>
        <w:t>Leinenweber</w:t>
      </w:r>
      <w:proofErr w:type="spellEnd"/>
      <w:r w:rsidRPr="007C7258">
        <w:rPr>
          <w:rFonts w:ascii="Times New Roman" w:hAnsi="Times New Roman"/>
          <w:bCs/>
          <w:sz w:val="24"/>
          <w:szCs w:val="24"/>
        </w:rPr>
        <w:t xml:space="preserve">, U.S. District Court for Northern District of Illinois, Eastern Division, granted the FD’s motion to dismiss. </w:t>
      </w:r>
    </w:p>
    <w:p w14:paraId="0D6C0A3D" w14:textId="77777777" w:rsidR="007540BD" w:rsidRPr="007C7258" w:rsidRDefault="007540BD" w:rsidP="007540BD">
      <w:pPr>
        <w:pStyle w:val="NoSpacing"/>
        <w:rPr>
          <w:rFonts w:ascii="Times New Roman" w:hAnsi="Times New Roman"/>
          <w:b/>
          <w:bCs/>
          <w:sz w:val="24"/>
          <w:szCs w:val="24"/>
        </w:rPr>
      </w:pPr>
    </w:p>
    <w:p w14:paraId="765ECF6A" w14:textId="082D58B0" w:rsidR="007540BD" w:rsidRDefault="007540BD" w:rsidP="007540BD">
      <w:pPr>
        <w:pStyle w:val="NoSpacing"/>
        <w:ind w:left="720"/>
        <w:rPr>
          <w:rFonts w:ascii="Times New Roman" w:hAnsi="Times New Roman"/>
          <w:bCs/>
          <w:sz w:val="24"/>
          <w:szCs w:val="24"/>
        </w:rPr>
      </w:pPr>
      <w:r w:rsidRPr="007C7258">
        <w:rPr>
          <w:rFonts w:ascii="Times New Roman" w:hAnsi="Times New Roman"/>
          <w:bCs/>
          <w:sz w:val="24"/>
          <w:szCs w:val="24"/>
        </w:rPr>
        <w:t xml:space="preserve">The Seventh Circuit set a high bar to establish an objectively hostile work environment. Courts ‘assume employees are generally mature individuals with the thick skin that comes from living in the modern world.’ </w:t>
      </w:r>
    </w:p>
    <w:p w14:paraId="2E480A06" w14:textId="77777777" w:rsidR="007540BD" w:rsidRPr="007C7258" w:rsidRDefault="007540BD" w:rsidP="007540BD">
      <w:pPr>
        <w:pStyle w:val="NoSpacing"/>
        <w:ind w:left="720"/>
        <w:rPr>
          <w:rFonts w:ascii="Times New Roman" w:hAnsi="Times New Roman"/>
          <w:b/>
          <w:bCs/>
          <w:i/>
          <w:iCs/>
          <w:sz w:val="24"/>
          <w:szCs w:val="24"/>
        </w:rPr>
      </w:pPr>
      <w:proofErr w:type="spellStart"/>
      <w:proofErr w:type="gramStart"/>
      <w:r w:rsidRPr="007C7258">
        <w:rPr>
          <w:rFonts w:ascii="Times New Roman" w:hAnsi="Times New Roman"/>
          <w:bCs/>
          <w:i/>
          <w:iCs/>
          <w:sz w:val="24"/>
          <w:szCs w:val="24"/>
        </w:rPr>
        <w:t>Swyear</w:t>
      </w:r>
      <w:proofErr w:type="spellEnd"/>
      <w:proofErr w:type="gramEnd"/>
      <w:r w:rsidRPr="007C7258">
        <w:rPr>
          <w:rFonts w:ascii="Times New Roman" w:hAnsi="Times New Roman"/>
          <w:bCs/>
          <w:sz w:val="24"/>
          <w:szCs w:val="24"/>
        </w:rPr>
        <w:t xml:space="preserve">, 911 F.3d at 881. Employers ‘generally do not face liability for off-color comments, isolated incidents, teasing, and other unpleasantries that are, unfortunately, not uncommon in the workplace.’ </w:t>
      </w:r>
      <w:r w:rsidRPr="007C7258">
        <w:rPr>
          <w:rFonts w:ascii="Times New Roman" w:hAnsi="Times New Roman"/>
          <w:bCs/>
          <w:i/>
          <w:iCs/>
          <w:sz w:val="24"/>
          <w:szCs w:val="24"/>
        </w:rPr>
        <w:t>Id</w:t>
      </w:r>
      <w:r w:rsidRPr="007C7258">
        <w:rPr>
          <w:rFonts w:ascii="Times New Roman" w:hAnsi="Times New Roman"/>
          <w:bCs/>
          <w:sz w:val="24"/>
          <w:szCs w:val="24"/>
        </w:rPr>
        <w:t xml:space="preserve">. Jokes that are ‘crude’ and ‘immature’ do not create employer liability, even though the jokes are ‘boorish,’ inappropriate, and in poor taste. </w:t>
      </w:r>
    </w:p>
    <w:p w14:paraId="1CB54D0B" w14:textId="77777777" w:rsidR="007540BD" w:rsidRPr="007C7258" w:rsidRDefault="007540BD" w:rsidP="007540BD">
      <w:pPr>
        <w:pStyle w:val="NoSpacing"/>
        <w:ind w:left="720"/>
        <w:rPr>
          <w:rFonts w:ascii="Times New Roman" w:hAnsi="Times New Roman"/>
          <w:b/>
          <w:bCs/>
          <w:sz w:val="24"/>
          <w:szCs w:val="24"/>
        </w:rPr>
      </w:pPr>
    </w:p>
    <w:p w14:paraId="72594FB2" w14:textId="77777777" w:rsidR="007540BD" w:rsidRPr="007C7258" w:rsidRDefault="007540BD" w:rsidP="007540BD">
      <w:pPr>
        <w:pStyle w:val="NoSpacing"/>
        <w:ind w:firstLine="720"/>
        <w:rPr>
          <w:rFonts w:ascii="Times New Roman" w:hAnsi="Times New Roman"/>
          <w:b/>
          <w:bCs/>
          <w:sz w:val="24"/>
          <w:szCs w:val="24"/>
        </w:rPr>
      </w:pPr>
      <w:r w:rsidRPr="007C7258">
        <w:rPr>
          <w:rFonts w:ascii="Times New Roman" w:hAnsi="Times New Roman"/>
          <w:bCs/>
          <w:sz w:val="24"/>
          <w:szCs w:val="24"/>
        </w:rPr>
        <w:t>***</w:t>
      </w:r>
    </w:p>
    <w:p w14:paraId="67536269" w14:textId="77777777" w:rsidR="007540BD" w:rsidRPr="007C7258" w:rsidRDefault="007540BD" w:rsidP="007540BD">
      <w:pPr>
        <w:pStyle w:val="NoSpacing"/>
        <w:ind w:left="720"/>
        <w:rPr>
          <w:rFonts w:ascii="Times New Roman" w:hAnsi="Times New Roman"/>
          <w:b/>
          <w:bCs/>
          <w:sz w:val="24"/>
          <w:szCs w:val="24"/>
        </w:rPr>
      </w:pPr>
      <w:r w:rsidRPr="007C7258">
        <w:rPr>
          <w:rFonts w:ascii="Times New Roman" w:hAnsi="Times New Roman"/>
          <w:bCs/>
          <w:sz w:val="24"/>
          <w:szCs w:val="24"/>
        </w:rPr>
        <w:t xml:space="preserve">The set of facts stated in Bakker's Complaint provides no possible path to employer liability. Accordingly, </w:t>
      </w:r>
      <w:proofErr w:type="gramStart"/>
      <w:r w:rsidRPr="007C7258">
        <w:rPr>
          <w:rFonts w:ascii="Times New Roman" w:hAnsi="Times New Roman"/>
          <w:bCs/>
          <w:sz w:val="24"/>
          <w:szCs w:val="24"/>
        </w:rPr>
        <w:t>the Title</w:t>
      </w:r>
      <w:proofErr w:type="gramEnd"/>
      <w:r w:rsidRPr="007C7258">
        <w:rPr>
          <w:rFonts w:ascii="Times New Roman" w:hAnsi="Times New Roman"/>
          <w:bCs/>
          <w:sz w:val="24"/>
          <w:szCs w:val="24"/>
        </w:rPr>
        <w:t xml:space="preserve"> VII claim must fail. Further, because the December 2015 and July 2018 incidents are time-barred and because the August 2018 incident alone cannot establish liability, the Title VII claims must be dismissed with prejudice.”</w:t>
      </w:r>
    </w:p>
    <w:p w14:paraId="04F35501" w14:textId="77777777" w:rsidR="007540BD" w:rsidRPr="007C7258" w:rsidRDefault="007540BD" w:rsidP="007540BD">
      <w:pPr>
        <w:pStyle w:val="NoSpacing"/>
        <w:ind w:left="720"/>
        <w:rPr>
          <w:rFonts w:ascii="Times New Roman" w:hAnsi="Times New Roman"/>
          <w:b/>
          <w:bCs/>
          <w:sz w:val="24"/>
          <w:szCs w:val="24"/>
        </w:rPr>
      </w:pPr>
      <w:hyperlink r:id="rId1466" w:history="1">
        <w:r w:rsidRPr="007C7258">
          <w:rPr>
            <w:rStyle w:val="Hyperlink"/>
            <w:rFonts w:ascii="Times New Roman" w:hAnsi="Times New Roman"/>
            <w:b/>
            <w:sz w:val="24"/>
            <w:szCs w:val="24"/>
          </w:rPr>
          <w:t>https://public.fastcase.com/Wl%2B2t%2BeVuI35%2FN70vAMFZpwObr9UCo7RpBGKfgPOWwVQBI%2BjVLV%2FylH6ScWLGBY%2F</w:t>
        </w:r>
      </w:hyperlink>
      <w:r w:rsidRPr="007C7258">
        <w:rPr>
          <w:rFonts w:ascii="Times New Roman" w:hAnsi="Times New Roman"/>
          <w:bCs/>
          <w:sz w:val="24"/>
          <w:szCs w:val="24"/>
        </w:rPr>
        <w:t xml:space="preserve"> </w:t>
      </w:r>
    </w:p>
    <w:p w14:paraId="0610A856" w14:textId="77777777" w:rsidR="007540BD" w:rsidRPr="007C7258" w:rsidRDefault="007540BD" w:rsidP="007540BD">
      <w:pPr>
        <w:pStyle w:val="NoSpacing"/>
        <w:ind w:left="720"/>
        <w:rPr>
          <w:rFonts w:ascii="Times New Roman" w:hAnsi="Times New Roman"/>
          <w:b/>
          <w:bCs/>
          <w:sz w:val="24"/>
          <w:szCs w:val="24"/>
        </w:rPr>
      </w:pPr>
    </w:p>
    <w:p w14:paraId="6B0C77B7" w14:textId="77777777" w:rsidR="007540BD" w:rsidRPr="007C7258" w:rsidRDefault="007540BD" w:rsidP="007540BD">
      <w:pPr>
        <w:pStyle w:val="NoSpacing"/>
        <w:tabs>
          <w:tab w:val="left" w:pos="3010"/>
        </w:tabs>
        <w:rPr>
          <w:rFonts w:ascii="Times New Roman" w:eastAsia="Times New Roman" w:hAnsi="Times New Roman"/>
          <w:b/>
          <w:bCs/>
          <w:sz w:val="24"/>
          <w:szCs w:val="24"/>
        </w:rPr>
      </w:pPr>
      <w:r w:rsidRPr="007C7258">
        <w:rPr>
          <w:rFonts w:ascii="Times New Roman" w:hAnsi="Times New Roman"/>
          <w:b/>
          <w:bCs/>
          <w:sz w:val="24"/>
          <w:szCs w:val="24"/>
        </w:rPr>
        <w:lastRenderedPageBreak/>
        <w:t xml:space="preserve">Legal Lessons Learned: It’s great to have fun on duty; </w:t>
      </w:r>
      <w:r>
        <w:rPr>
          <w:rFonts w:ascii="Times New Roman" w:hAnsi="Times New Roman"/>
          <w:b/>
          <w:bCs/>
          <w:sz w:val="24"/>
          <w:szCs w:val="24"/>
        </w:rPr>
        <w:t xml:space="preserve">but jokes about sexual orientation are not appropriate. </w:t>
      </w:r>
      <w:r w:rsidRPr="007C7258">
        <w:rPr>
          <w:rFonts w:ascii="Times New Roman" w:hAnsi="Times New Roman"/>
          <w:b/>
          <w:bCs/>
          <w:sz w:val="24"/>
          <w:szCs w:val="24"/>
        </w:rPr>
        <w:t xml:space="preserve">  </w:t>
      </w:r>
    </w:p>
    <w:p w14:paraId="58598D15" w14:textId="77777777" w:rsidR="007540BD" w:rsidRPr="007C7258" w:rsidRDefault="007540BD" w:rsidP="007540BD">
      <w:pPr>
        <w:spacing w:before="100" w:beforeAutospacing="1" w:after="100" w:afterAutospacing="1" w:line="240" w:lineRule="auto"/>
        <w:ind w:left="720"/>
        <w:rPr>
          <w:rFonts w:ascii="Times New Roman" w:eastAsia="Times New Roman" w:hAnsi="Times New Roman"/>
          <w:sz w:val="24"/>
          <w:szCs w:val="24"/>
        </w:rPr>
      </w:pPr>
    </w:p>
    <w:p w14:paraId="0DE8C4C8" w14:textId="77777777" w:rsidR="007540BD" w:rsidRDefault="007540BD" w:rsidP="002B1283">
      <w:pPr>
        <w:rPr>
          <w:rFonts w:ascii="Arial Black" w:hAnsi="Arial Black"/>
          <w:b/>
          <w:sz w:val="24"/>
          <w:szCs w:val="24"/>
        </w:rPr>
      </w:pPr>
    </w:p>
    <w:p w14:paraId="63C40E13" w14:textId="77777777" w:rsidR="007540BD" w:rsidRDefault="007540BD" w:rsidP="002B1283">
      <w:pPr>
        <w:rPr>
          <w:rFonts w:ascii="Arial Black" w:hAnsi="Arial Black"/>
          <w:b/>
          <w:sz w:val="24"/>
          <w:szCs w:val="24"/>
        </w:rPr>
      </w:pPr>
    </w:p>
    <w:p w14:paraId="298F5E61" w14:textId="2B57D646" w:rsidR="00997329" w:rsidRDefault="00997329" w:rsidP="002B1283">
      <w:pPr>
        <w:rPr>
          <w:rFonts w:ascii="Arial Black" w:hAnsi="Arial Black"/>
          <w:b/>
          <w:sz w:val="24"/>
          <w:szCs w:val="24"/>
        </w:rPr>
      </w:pPr>
      <w:r>
        <w:rPr>
          <w:rFonts w:ascii="Arial Black" w:hAnsi="Arial Black"/>
          <w:b/>
          <w:sz w:val="24"/>
          <w:szCs w:val="24"/>
        </w:rPr>
        <w:t>7-16</w:t>
      </w:r>
    </w:p>
    <w:p w14:paraId="0329E2ED" w14:textId="77777777" w:rsidR="00997329" w:rsidRDefault="00997329" w:rsidP="00997329">
      <w:pPr>
        <w:pStyle w:val="NoSpacing"/>
        <w:rPr>
          <w:rFonts w:ascii="Arial Black" w:hAnsi="Arial Black"/>
          <w:sz w:val="28"/>
          <w:szCs w:val="28"/>
        </w:rPr>
      </w:pPr>
      <w:r w:rsidRPr="00855FB3">
        <w:rPr>
          <w:rFonts w:ascii="Arial Black" w:hAnsi="Arial Black"/>
          <w:sz w:val="28"/>
          <w:szCs w:val="28"/>
        </w:rPr>
        <w:t xml:space="preserve">PA: </w:t>
      </w:r>
      <w:r>
        <w:rPr>
          <w:rFonts w:ascii="Arial Black" w:hAnsi="Arial Black"/>
          <w:sz w:val="28"/>
          <w:szCs w:val="28"/>
        </w:rPr>
        <w:t xml:space="preserve">PREGNANT MEDIC – SUPERVISOR COMMENTS – MAY SOON “HATCH” - NOT HOSTILE WORKPLACE – SHE WAS SUSPENDED FOR CAUSE </w:t>
      </w:r>
    </w:p>
    <w:p w14:paraId="33762621" w14:textId="77777777" w:rsidR="00BF4DDE" w:rsidRDefault="00BF4DDE" w:rsidP="00997329">
      <w:pPr>
        <w:pStyle w:val="NoSpacing"/>
        <w:rPr>
          <w:rFonts w:ascii="Arial Black" w:hAnsi="Arial Black"/>
          <w:sz w:val="28"/>
          <w:szCs w:val="28"/>
        </w:rPr>
      </w:pPr>
    </w:p>
    <w:p w14:paraId="267F6941" w14:textId="055BF296" w:rsidR="00997329" w:rsidRPr="00465FB3" w:rsidRDefault="00997329" w:rsidP="00997329">
      <w:pPr>
        <w:pStyle w:val="NoSpacing"/>
        <w:rPr>
          <w:rFonts w:ascii="Times New Roman" w:hAnsi="Times New Roman"/>
          <w:b/>
          <w:bCs/>
          <w:sz w:val="24"/>
          <w:szCs w:val="24"/>
        </w:rPr>
      </w:pPr>
      <w:r w:rsidRPr="00465FB3">
        <w:rPr>
          <w:rFonts w:ascii="Times New Roman" w:hAnsi="Times New Roman"/>
          <w:bCs/>
          <w:sz w:val="24"/>
          <w:szCs w:val="24"/>
        </w:rPr>
        <w:t xml:space="preserve">On March 4, 2020, in </w:t>
      </w:r>
      <w:r w:rsidRPr="00465FB3">
        <w:rPr>
          <w:rFonts w:ascii="Times New Roman" w:hAnsi="Times New Roman"/>
          <w:bCs/>
          <w:sz w:val="24"/>
          <w:szCs w:val="24"/>
          <w:u w:val="single"/>
        </w:rPr>
        <w:t xml:space="preserve">Janel Fritz v. </w:t>
      </w:r>
      <w:proofErr w:type="spellStart"/>
      <w:r w:rsidRPr="00465FB3">
        <w:rPr>
          <w:rFonts w:ascii="Times New Roman" w:hAnsi="Times New Roman"/>
          <w:bCs/>
          <w:sz w:val="24"/>
          <w:szCs w:val="24"/>
          <w:u w:val="single"/>
        </w:rPr>
        <w:t>Uwchlan</w:t>
      </w:r>
      <w:proofErr w:type="spellEnd"/>
      <w:r w:rsidRPr="00465FB3">
        <w:rPr>
          <w:rFonts w:ascii="Times New Roman" w:hAnsi="Times New Roman"/>
          <w:bCs/>
          <w:sz w:val="24"/>
          <w:szCs w:val="24"/>
          <w:u w:val="single"/>
        </w:rPr>
        <w:t xml:space="preserve"> Ambulance Corps, Inc</w:t>
      </w:r>
      <w:r w:rsidRPr="00465FB3">
        <w:rPr>
          <w:rFonts w:ascii="Times New Roman" w:hAnsi="Times New Roman"/>
          <w:bCs/>
          <w:sz w:val="24"/>
          <w:szCs w:val="24"/>
        </w:rPr>
        <w:t xml:space="preserve">., U.S. District Court Judge Nitza I. Alejandro, Eastern District of Pennsylvania, granted defense motion for summary judgment, finding no pregnancy or gender discrimination. </w:t>
      </w:r>
    </w:p>
    <w:p w14:paraId="00F5B51D" w14:textId="77777777" w:rsidR="00997329" w:rsidRPr="00465FB3" w:rsidRDefault="00997329" w:rsidP="00997329">
      <w:pPr>
        <w:pStyle w:val="NoSpacing"/>
        <w:rPr>
          <w:rFonts w:ascii="Times New Roman" w:hAnsi="Times New Roman"/>
          <w:b/>
          <w:bCs/>
          <w:sz w:val="24"/>
          <w:szCs w:val="24"/>
        </w:rPr>
      </w:pPr>
    </w:p>
    <w:p w14:paraId="6D31CC7C" w14:textId="77777777" w:rsidR="00997329" w:rsidRPr="00465FB3" w:rsidRDefault="00997329" w:rsidP="00997329">
      <w:pPr>
        <w:pStyle w:val="NoSpacing"/>
        <w:ind w:left="720"/>
        <w:rPr>
          <w:rFonts w:ascii="Times New Roman" w:hAnsi="Times New Roman"/>
          <w:b/>
          <w:bCs/>
          <w:sz w:val="24"/>
          <w:szCs w:val="24"/>
        </w:rPr>
      </w:pPr>
      <w:r w:rsidRPr="00465FB3">
        <w:rPr>
          <w:rFonts w:ascii="Times New Roman" w:hAnsi="Times New Roman"/>
          <w:bCs/>
          <w:sz w:val="24"/>
          <w:szCs w:val="24"/>
        </w:rPr>
        <w:t xml:space="preserve">“Plaintiff also contends that Defendant's employees repeatedly urged her to begin maternity leave prior to the birth of her child, and prior to the date required and directed by her doctor. When Supervisor John </w:t>
      </w:r>
      <w:proofErr w:type="gramStart"/>
      <w:r w:rsidRPr="00465FB3">
        <w:rPr>
          <w:rFonts w:ascii="Times New Roman" w:hAnsi="Times New Roman"/>
          <w:bCs/>
          <w:sz w:val="24"/>
          <w:szCs w:val="24"/>
        </w:rPr>
        <w:t>Applegate (‘</w:t>
      </w:r>
      <w:proofErr w:type="gramEnd"/>
      <w:r w:rsidRPr="00465FB3">
        <w:rPr>
          <w:rFonts w:ascii="Times New Roman" w:hAnsi="Times New Roman"/>
          <w:bCs/>
          <w:sz w:val="24"/>
          <w:szCs w:val="24"/>
        </w:rPr>
        <w:t xml:space="preserve">Supervisor Applegate’) encouraged Plaintiff to go out on leave earlier than Plaintiff had planned, he told her that he would ‘save her spot’ for twelve weeks. Supervisor Applegate made the following comments to Plaintiff while she was pregnant: 1) Plaintiff's shirt looked like ‘a tent,’ 2) Plaintiff looked like she was ‘ready to pop,’ 3) Plaintiff should not work too hard because she may ‘hatch,’ and 4) Plaintiff should let him know ‘if [she] hatch[es].’ *** “[T]his Court finds that the record does not contain any evidence to support a nexus between Plaintiff's pregnancy and her suspension. The record clearly reflects, and Plaintiff repeatedly acknowledges, that she was suspended for accusing a coworker of benefiting from nepotism. Although Plaintiff baldly contended in her complaint that the proffered reason for her suspension was pretextual and baseless, she continually acknowledges that she was suspended because of her statements about Matthew not being subject to discipline due to his familial relationship with a supervisor. Because there is no nexus between Plaintiff's pregnancy and her suspension, she cannot satisfy the fourth element of her pregnancy discrimination claim. Therefore, summary judgment is granted in favor of Defendant with respect to Plaintiff's pregnancy discrimination </w:t>
      </w:r>
      <w:proofErr w:type="gramStart"/>
      <w:r w:rsidRPr="00465FB3">
        <w:rPr>
          <w:rFonts w:ascii="Times New Roman" w:hAnsi="Times New Roman"/>
          <w:bCs/>
          <w:sz w:val="24"/>
          <w:szCs w:val="24"/>
        </w:rPr>
        <w:t>claim.”</w:t>
      </w:r>
      <w:proofErr w:type="gramEnd"/>
      <w:r w:rsidRPr="00465FB3">
        <w:rPr>
          <w:rFonts w:ascii="Times New Roman" w:hAnsi="Times New Roman"/>
          <w:bCs/>
          <w:sz w:val="24"/>
          <w:szCs w:val="24"/>
        </w:rPr>
        <w:t xml:space="preserve"> </w:t>
      </w:r>
      <w:hyperlink r:id="rId1467" w:history="1">
        <w:r w:rsidRPr="00465FB3">
          <w:rPr>
            <w:rStyle w:val="Hyperlink"/>
            <w:rFonts w:ascii="Times New Roman" w:hAnsi="Times New Roman"/>
            <w:bCs/>
            <w:sz w:val="24"/>
            <w:szCs w:val="24"/>
          </w:rPr>
          <w:t>https://public.fastcase.com/Wl%2B2t%2BeVuI35%2FN70vAMFZsLQ8Zjgb2jk542DjlxpVQs5PCG3jEwwTTQV0VgsrBHY</w:t>
        </w:r>
      </w:hyperlink>
    </w:p>
    <w:p w14:paraId="2A7E9EAB" w14:textId="77777777" w:rsidR="00997329" w:rsidRPr="00465FB3" w:rsidRDefault="00997329" w:rsidP="00997329">
      <w:pPr>
        <w:pStyle w:val="NoSpacing"/>
        <w:ind w:left="720"/>
        <w:rPr>
          <w:rFonts w:ascii="Times New Roman" w:hAnsi="Times New Roman"/>
          <w:b/>
          <w:bCs/>
          <w:sz w:val="24"/>
          <w:szCs w:val="24"/>
        </w:rPr>
      </w:pPr>
    </w:p>
    <w:p w14:paraId="6870EF31" w14:textId="77777777" w:rsidR="00997329" w:rsidRPr="00465FB3" w:rsidRDefault="00997329" w:rsidP="00997329">
      <w:pPr>
        <w:pStyle w:val="NoSpacing"/>
        <w:rPr>
          <w:rFonts w:ascii="Times New Roman" w:hAnsi="Times New Roman"/>
          <w:b/>
          <w:bCs/>
          <w:sz w:val="24"/>
          <w:szCs w:val="24"/>
        </w:rPr>
      </w:pPr>
      <w:r w:rsidRPr="00465FB3">
        <w:rPr>
          <w:rFonts w:ascii="Times New Roman" w:hAnsi="Times New Roman"/>
          <w:b/>
          <w:bCs/>
          <w:sz w:val="24"/>
          <w:szCs w:val="24"/>
        </w:rPr>
        <w:t>Legal Lessons Learned:  Great quote by Court: “As the United States Supreme Court has continuously held, Title VII ‘does not set forth a general civility code for the American workplace.’ Burlington Northern &amp; Santa Fe Ry. v. White, 548 U.S. 53, 68 (2006).”</w:t>
      </w:r>
    </w:p>
    <w:p w14:paraId="1BB8AC47" w14:textId="77777777" w:rsidR="00997329" w:rsidRDefault="00997329" w:rsidP="002B1283">
      <w:pPr>
        <w:rPr>
          <w:rFonts w:ascii="Arial Black" w:hAnsi="Arial Black"/>
          <w:b/>
          <w:sz w:val="24"/>
          <w:szCs w:val="24"/>
        </w:rPr>
      </w:pPr>
    </w:p>
    <w:p w14:paraId="3F7AFB65" w14:textId="123F269A" w:rsidR="00997329" w:rsidRDefault="00997329" w:rsidP="002B1283">
      <w:pPr>
        <w:rPr>
          <w:rFonts w:ascii="Arial Black" w:hAnsi="Arial Black"/>
          <w:b/>
          <w:sz w:val="24"/>
          <w:szCs w:val="24"/>
        </w:rPr>
      </w:pPr>
      <w:r>
        <w:rPr>
          <w:rFonts w:ascii="Arial Black" w:hAnsi="Arial Black"/>
          <w:b/>
          <w:sz w:val="24"/>
          <w:szCs w:val="24"/>
        </w:rPr>
        <w:t>7-15</w:t>
      </w:r>
    </w:p>
    <w:p w14:paraId="50E4C7AE" w14:textId="77777777" w:rsidR="00997329" w:rsidRPr="00AD65BD" w:rsidRDefault="00997329" w:rsidP="00997329">
      <w:pPr>
        <w:pStyle w:val="NoSpacing"/>
        <w:rPr>
          <w:rFonts w:ascii="Arial Black" w:hAnsi="Arial Black"/>
          <w:sz w:val="28"/>
          <w:szCs w:val="28"/>
        </w:rPr>
      </w:pPr>
      <w:r w:rsidRPr="00AD65BD">
        <w:rPr>
          <w:rFonts w:ascii="Arial Black" w:hAnsi="Arial Black"/>
          <w:sz w:val="28"/>
          <w:szCs w:val="28"/>
        </w:rPr>
        <w:t xml:space="preserve">PA:  </w:t>
      </w:r>
      <w:r>
        <w:rPr>
          <w:rFonts w:ascii="Arial Black" w:hAnsi="Arial Black"/>
          <w:sz w:val="28"/>
          <w:szCs w:val="28"/>
        </w:rPr>
        <w:t xml:space="preserve">FEMALE </w:t>
      </w:r>
      <w:r w:rsidRPr="00AD65BD">
        <w:rPr>
          <w:rFonts w:ascii="Arial Black" w:hAnsi="Arial Black"/>
          <w:sz w:val="28"/>
          <w:szCs w:val="28"/>
        </w:rPr>
        <w:t xml:space="preserve">EMS INSTRUCTOR FIRED </w:t>
      </w:r>
      <w:r>
        <w:rPr>
          <w:rFonts w:ascii="Arial Black" w:hAnsi="Arial Black"/>
          <w:sz w:val="28"/>
          <w:szCs w:val="28"/>
        </w:rPr>
        <w:t xml:space="preserve">– RUDE TO </w:t>
      </w:r>
      <w:r w:rsidRPr="00AD65BD">
        <w:rPr>
          <w:rFonts w:ascii="Arial Black" w:hAnsi="Arial Black"/>
          <w:sz w:val="28"/>
          <w:szCs w:val="28"/>
        </w:rPr>
        <w:t>STUDENTS</w:t>
      </w:r>
      <w:r>
        <w:rPr>
          <w:rFonts w:ascii="Arial Black" w:hAnsi="Arial Black"/>
          <w:sz w:val="28"/>
          <w:szCs w:val="28"/>
        </w:rPr>
        <w:t xml:space="preserve"> &amp; STAFF – NOT GENDER DISCRIMINATION </w:t>
      </w:r>
    </w:p>
    <w:p w14:paraId="73CD2DDB" w14:textId="77777777" w:rsidR="00997329" w:rsidRDefault="00997329" w:rsidP="00997329">
      <w:pPr>
        <w:pStyle w:val="NoSpacing"/>
        <w:rPr>
          <w:rFonts w:ascii="EArial Black" w:hAnsi="EArial Black"/>
          <w:sz w:val="28"/>
          <w:szCs w:val="28"/>
        </w:rPr>
      </w:pPr>
    </w:p>
    <w:p w14:paraId="21652DFC" w14:textId="37ED45BA" w:rsidR="00997329" w:rsidRDefault="00997329" w:rsidP="00997329">
      <w:pPr>
        <w:pStyle w:val="NoSpacing"/>
        <w:rPr>
          <w:rFonts w:ascii="Times New Roman" w:hAnsi="Times New Roman"/>
          <w:bCs/>
          <w:sz w:val="24"/>
          <w:szCs w:val="24"/>
        </w:rPr>
      </w:pPr>
      <w:r w:rsidRPr="00465FB3">
        <w:rPr>
          <w:rFonts w:ascii="Times New Roman" w:hAnsi="Times New Roman"/>
          <w:bCs/>
          <w:sz w:val="24"/>
          <w:szCs w:val="24"/>
        </w:rPr>
        <w:lastRenderedPageBreak/>
        <w:t xml:space="preserve">On Feb. 26, 2020, in </w:t>
      </w:r>
      <w:r w:rsidRPr="00465FB3">
        <w:rPr>
          <w:rFonts w:ascii="Times New Roman" w:hAnsi="Times New Roman"/>
          <w:bCs/>
          <w:sz w:val="24"/>
          <w:szCs w:val="24"/>
          <w:u w:val="single"/>
        </w:rPr>
        <w:t>Kimberly Brandt v. Thomas Jefferson University Hospitals, Inc</w:t>
      </w:r>
      <w:r w:rsidRPr="00465FB3">
        <w:rPr>
          <w:rFonts w:ascii="Times New Roman" w:hAnsi="Times New Roman"/>
          <w:bCs/>
          <w:sz w:val="24"/>
          <w:szCs w:val="24"/>
        </w:rPr>
        <w:t xml:space="preserve">., U.S. District Court Judge Harvey Bartle, III, Eastern District of Pennsylvania, granted the Hospital’s motion for summary judgment.  </w:t>
      </w:r>
    </w:p>
    <w:p w14:paraId="2498BE33" w14:textId="77777777" w:rsidR="00997329" w:rsidRPr="00465FB3" w:rsidRDefault="00997329" w:rsidP="00997329">
      <w:pPr>
        <w:pStyle w:val="NoSpacing"/>
        <w:rPr>
          <w:rFonts w:ascii="Times New Roman" w:hAnsi="Times New Roman"/>
          <w:sz w:val="24"/>
          <w:szCs w:val="24"/>
        </w:rPr>
      </w:pPr>
    </w:p>
    <w:p w14:paraId="41A1E71A" w14:textId="77777777" w:rsidR="00997329" w:rsidRPr="00465FB3" w:rsidRDefault="00997329" w:rsidP="00997329">
      <w:pPr>
        <w:ind w:left="720"/>
        <w:rPr>
          <w:rFonts w:ascii="Times New Roman" w:hAnsi="Times New Roman"/>
          <w:sz w:val="24"/>
          <w:szCs w:val="24"/>
        </w:rPr>
      </w:pPr>
      <w:r w:rsidRPr="00465FB3">
        <w:rPr>
          <w:rFonts w:ascii="Times New Roman" w:eastAsia="Times New Roman" w:hAnsi="Times New Roman"/>
          <w:sz w:val="24"/>
          <w:szCs w:val="24"/>
        </w:rPr>
        <w:t xml:space="preserve">“Simply put, the undisputed facts do not suggest that Brandt's employment was terminated due to discrimination in which she was less favored than her male colleagues. By contrast, the record is filled with evidence that suggests her termination was due to her mistreatment of students and unprofessional behavior toward staff. Accordingly, the court will grant the motion of defendant for summary judgment as to Brandt's claims for gender discrimination under Title VII.” </w:t>
      </w:r>
      <w:hyperlink r:id="rId1468" w:history="1">
        <w:r w:rsidRPr="00465FB3">
          <w:rPr>
            <w:rStyle w:val="Hyperlink"/>
            <w:rFonts w:ascii="Times New Roman" w:eastAsia="Times New Roman" w:hAnsi="Times New Roman"/>
            <w:sz w:val="24"/>
            <w:szCs w:val="24"/>
          </w:rPr>
          <w:t>https://public.fastcase.com/Wl%2B2t%2BeVuI35%2FN70vAMFZlbQ%2BrzY3OsVa9hMy3HWGsXkXncgvfLlObTaYTDVckkj</w:t>
        </w:r>
      </w:hyperlink>
    </w:p>
    <w:p w14:paraId="609464D6" w14:textId="77777777" w:rsidR="00997329" w:rsidRPr="00465FB3" w:rsidRDefault="00997329" w:rsidP="00997329">
      <w:pPr>
        <w:spacing w:before="100" w:beforeAutospacing="1" w:after="100" w:afterAutospacing="1" w:line="240" w:lineRule="auto"/>
        <w:rPr>
          <w:rFonts w:ascii="Times New Roman" w:eastAsia="Times New Roman" w:hAnsi="Times New Roman"/>
          <w:b/>
          <w:bCs/>
          <w:sz w:val="24"/>
          <w:szCs w:val="24"/>
        </w:rPr>
      </w:pPr>
      <w:r w:rsidRPr="00465FB3">
        <w:rPr>
          <w:rFonts w:ascii="Times New Roman" w:eastAsia="Times New Roman" w:hAnsi="Times New Roman"/>
          <w:b/>
          <w:bCs/>
          <w:sz w:val="24"/>
          <w:szCs w:val="24"/>
        </w:rPr>
        <w:t>Legal Lessons Learned: Prompt and thorough investigation by employer established breach of Code of Conduct.</w:t>
      </w:r>
    </w:p>
    <w:p w14:paraId="7983D08E" w14:textId="77777777" w:rsidR="00997329" w:rsidRDefault="00997329" w:rsidP="002B1283">
      <w:pPr>
        <w:rPr>
          <w:rFonts w:ascii="Arial Black" w:hAnsi="Arial Black"/>
          <w:b/>
          <w:sz w:val="24"/>
          <w:szCs w:val="24"/>
        </w:rPr>
      </w:pPr>
    </w:p>
    <w:p w14:paraId="1BE30D08" w14:textId="25E7A07E" w:rsidR="00997329" w:rsidRDefault="00997329" w:rsidP="002B1283">
      <w:pPr>
        <w:rPr>
          <w:rFonts w:ascii="Arial Black" w:hAnsi="Arial Black"/>
          <w:b/>
          <w:sz w:val="24"/>
          <w:szCs w:val="24"/>
        </w:rPr>
      </w:pPr>
      <w:r>
        <w:rPr>
          <w:rFonts w:ascii="Arial Black" w:hAnsi="Arial Black"/>
          <w:b/>
          <w:sz w:val="24"/>
          <w:szCs w:val="24"/>
        </w:rPr>
        <w:t>7-14</w:t>
      </w:r>
    </w:p>
    <w:p w14:paraId="32260AA4" w14:textId="77777777" w:rsidR="00997329" w:rsidRPr="009D2D96" w:rsidRDefault="00997329" w:rsidP="00997329">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AR: PUMP BREAST MILK WHILE ON DUTY – FD SPACE “FREE FROM INTRUSION” – $3.8M JURY SET ASIDE / $250K TO SETTLE</w:t>
      </w:r>
    </w:p>
    <w:p w14:paraId="7872FDA8" w14:textId="77777777" w:rsidR="00997329" w:rsidRPr="00465FB3" w:rsidRDefault="00997329" w:rsidP="00997329">
      <w:pPr>
        <w:spacing w:before="100" w:beforeAutospacing="1" w:after="100" w:afterAutospacing="1" w:line="240" w:lineRule="auto"/>
        <w:rPr>
          <w:rFonts w:ascii="Times New Roman" w:hAnsi="Times New Roman"/>
          <w:sz w:val="24"/>
          <w:szCs w:val="24"/>
        </w:rPr>
      </w:pPr>
      <w:r w:rsidRPr="00465FB3">
        <w:rPr>
          <w:rFonts w:ascii="Times New Roman" w:eastAsia="Times New Roman" w:hAnsi="Times New Roman"/>
          <w:sz w:val="24"/>
          <w:szCs w:val="24"/>
        </w:rPr>
        <w:t xml:space="preserve">On </w:t>
      </w:r>
      <w:bookmarkStart w:id="303" w:name="_Hlk39833340"/>
      <w:r w:rsidRPr="00465FB3">
        <w:rPr>
          <w:rFonts w:ascii="Times New Roman" w:eastAsia="Times New Roman" w:hAnsi="Times New Roman"/>
          <w:sz w:val="24"/>
          <w:szCs w:val="24"/>
        </w:rPr>
        <w:t xml:space="preserve">Feb. 24, 2020, in </w:t>
      </w:r>
      <w:r w:rsidRPr="00465FB3">
        <w:rPr>
          <w:rFonts w:ascii="Times New Roman" w:eastAsia="Times New Roman" w:hAnsi="Times New Roman"/>
          <w:sz w:val="24"/>
          <w:szCs w:val="24"/>
          <w:u w:val="single"/>
        </w:rPr>
        <w:t>Carrie Ferrara Clark v. City of Tucson</w:t>
      </w:r>
      <w:bookmarkEnd w:id="303"/>
      <w:r w:rsidRPr="00465FB3">
        <w:rPr>
          <w:rFonts w:ascii="Times New Roman" w:eastAsia="Times New Roman" w:hAnsi="Times New Roman"/>
          <w:sz w:val="24"/>
          <w:szCs w:val="24"/>
        </w:rPr>
        <w:t xml:space="preserve">, U.S. District Court Judge </w:t>
      </w:r>
      <w:r w:rsidRPr="00465FB3">
        <w:rPr>
          <w:rFonts w:ascii="Times New Roman" w:hAnsi="Times New Roman"/>
          <w:sz w:val="24"/>
          <w:szCs w:val="24"/>
        </w:rPr>
        <w:t xml:space="preserve">Cindy K. Jorgenson, District Court for District of Arizona, has given plaintiff thirty days to accept $250,000, or the case must be retried to another jury. The first jury, after 10 days of trial, awarded her $3,800,000. </w:t>
      </w:r>
    </w:p>
    <w:p w14:paraId="6E7A0C31" w14:textId="77777777" w:rsidR="00997329" w:rsidRPr="00465FB3" w:rsidRDefault="00997329" w:rsidP="00997329">
      <w:pPr>
        <w:pStyle w:val="NoSpacing"/>
        <w:ind w:left="810"/>
        <w:rPr>
          <w:rFonts w:ascii="Times New Roman" w:eastAsia="Times New Roman" w:hAnsi="Times New Roman"/>
          <w:b/>
          <w:bCs/>
          <w:sz w:val="24"/>
          <w:szCs w:val="24"/>
        </w:rPr>
      </w:pPr>
      <w:r w:rsidRPr="00465FB3">
        <w:rPr>
          <w:rFonts w:ascii="Times New Roman" w:eastAsia="Times New Roman" w:hAnsi="Times New Roman"/>
          <w:bCs/>
          <w:sz w:val="24"/>
          <w:szCs w:val="24"/>
        </w:rPr>
        <w:t xml:space="preserve">“Plaintiff has been an employee of the City of Tucson Fire Department (‘TFD’) since 2007. In July 2012, Plaintiff gave birth to her first son, Austin Clark, and decided to breast feed while on maternity leave and to pump breast milk when she returned to work. Plaintiff breast fed Austin while on maternity leave and contacted her superiors at TFD to ensure she would have a proper place to pump and express breastmilk when she returned to work. Upon her return to work, Plaintiff believed that the lactation spaces she was being provided were not legally compliant and initiated the underlying lawsuit in 2014. *** </w:t>
      </w:r>
      <w:r w:rsidRPr="00465FB3">
        <w:rPr>
          <w:rFonts w:ascii="Times New Roman" w:hAnsi="Times New Roman"/>
          <w:bCs/>
          <w:sz w:val="24"/>
          <w:szCs w:val="24"/>
        </w:rPr>
        <w:t xml:space="preserve">“The Court finds Defendant's first issue regarding a grossly excessive jury verdict to be sufficient and will not address, in detail, the merits of the remaining issues…. </w:t>
      </w:r>
      <w:r w:rsidRPr="00465FB3">
        <w:rPr>
          <w:rFonts w:ascii="Times New Roman" w:eastAsia="Times New Roman" w:hAnsi="Times New Roman"/>
          <w:bCs/>
          <w:sz w:val="24"/>
          <w:szCs w:val="24"/>
        </w:rPr>
        <w:t xml:space="preserve">Defendant's Motion for Remittitur is granted in the amounts provided above [$250,000]. Plaintiff has thirty (30) days with which to accept or decline the Remittitur. </w:t>
      </w:r>
      <w:bookmarkStart w:id="304" w:name="_Hlk39833376"/>
      <w:r w:rsidR="00374417">
        <w:fldChar w:fldCharType="begin"/>
      </w:r>
      <w:r w:rsidR="00374417">
        <w:instrText xml:space="preserve"> HYPERLINK "https://public.fastcase.com/Wl%2B2t%2BeVuI35%2FN70vAMFZlyCVXNUkgR2hAftJ4kpomV7SzY2G5n3EuslwwvZyCdR" </w:instrText>
      </w:r>
      <w:r w:rsidR="00374417">
        <w:fldChar w:fldCharType="separate"/>
      </w:r>
      <w:r w:rsidRPr="00465FB3">
        <w:rPr>
          <w:rStyle w:val="Hyperlink"/>
          <w:rFonts w:ascii="Times New Roman" w:eastAsia="Times New Roman" w:hAnsi="Times New Roman"/>
          <w:bCs/>
          <w:sz w:val="24"/>
          <w:szCs w:val="24"/>
        </w:rPr>
        <w:t>https://public.fastcase.com/Wl%2B2t%2BeVuI35%2FN70vAMFZlyCVXNUkgR2hAftJ4kpomV7SzY2G5n3EuslwwvZyCdR</w:t>
      </w:r>
      <w:r w:rsidR="00374417">
        <w:rPr>
          <w:rStyle w:val="Hyperlink"/>
          <w:rFonts w:ascii="Times New Roman" w:eastAsia="Times New Roman" w:hAnsi="Times New Roman"/>
          <w:bCs/>
          <w:sz w:val="24"/>
          <w:szCs w:val="24"/>
        </w:rPr>
        <w:fldChar w:fldCharType="end"/>
      </w:r>
      <w:r w:rsidRPr="00465FB3">
        <w:rPr>
          <w:rFonts w:ascii="Times New Roman" w:eastAsia="Times New Roman" w:hAnsi="Times New Roman"/>
          <w:bCs/>
          <w:sz w:val="24"/>
          <w:szCs w:val="24"/>
        </w:rPr>
        <w:t xml:space="preserve"> </w:t>
      </w:r>
    </w:p>
    <w:bookmarkEnd w:id="304"/>
    <w:p w14:paraId="4A1CC36F" w14:textId="77777777" w:rsidR="00997329" w:rsidRDefault="00997329" w:rsidP="00997329">
      <w:pPr>
        <w:spacing w:after="100" w:line="240" w:lineRule="auto"/>
        <w:rPr>
          <w:rFonts w:ascii="Times New Roman" w:eastAsia="Times New Roman" w:hAnsi="Times New Roman"/>
          <w:b/>
          <w:bCs/>
          <w:sz w:val="24"/>
          <w:szCs w:val="24"/>
        </w:rPr>
      </w:pPr>
    </w:p>
    <w:p w14:paraId="6FD49854" w14:textId="672679D5" w:rsidR="00997329" w:rsidRPr="00465FB3" w:rsidRDefault="00997329" w:rsidP="00997329">
      <w:pPr>
        <w:spacing w:after="100" w:line="240" w:lineRule="auto"/>
        <w:rPr>
          <w:rFonts w:ascii="Times New Roman" w:eastAsia="Times New Roman" w:hAnsi="Times New Roman"/>
          <w:b/>
          <w:bCs/>
          <w:sz w:val="24"/>
          <w:szCs w:val="24"/>
        </w:rPr>
      </w:pPr>
      <w:r w:rsidRPr="00465FB3">
        <w:rPr>
          <w:rFonts w:ascii="Times New Roman" w:eastAsia="Times New Roman" w:hAnsi="Times New Roman"/>
          <w:b/>
          <w:bCs/>
          <w:sz w:val="24"/>
          <w:szCs w:val="24"/>
        </w:rPr>
        <w:t>Legal Lessons Learned: Plaintiff must now either accept the lower amount or have new trial.  Employers, including fire &amp; EMS departments must provide “a place, other than a bathroom, that is shielded from view and free from intrusion from coworkers and the public, which may be used by an employee to express breast milk.”</w:t>
      </w:r>
      <w:r w:rsidRPr="00465FB3">
        <w:rPr>
          <w:rFonts w:ascii="Times New Roman" w:eastAsia="Times New Roman" w:hAnsi="Times New Roman"/>
          <w:sz w:val="24"/>
          <w:szCs w:val="24"/>
        </w:rPr>
        <w:t xml:space="preserve"> </w:t>
      </w:r>
      <w:hyperlink r:id="rId1469" w:history="1">
        <w:r w:rsidRPr="00465FB3">
          <w:rPr>
            <w:rStyle w:val="Hyperlink"/>
            <w:rFonts w:ascii="Times New Roman" w:eastAsia="Times New Roman" w:hAnsi="Times New Roman"/>
            <w:b/>
            <w:bCs/>
            <w:sz w:val="24"/>
            <w:szCs w:val="24"/>
          </w:rPr>
          <w:t>https://www.law.cornell.edu/uscode/text/29/207</w:t>
        </w:r>
      </w:hyperlink>
      <w:r w:rsidRPr="00465FB3">
        <w:rPr>
          <w:rFonts w:ascii="Times New Roman" w:eastAsia="Times New Roman" w:hAnsi="Times New Roman"/>
          <w:b/>
          <w:bCs/>
          <w:sz w:val="24"/>
          <w:szCs w:val="24"/>
        </w:rPr>
        <w:t xml:space="preserve"> </w:t>
      </w:r>
    </w:p>
    <w:p w14:paraId="49E4BCA9" w14:textId="77777777" w:rsidR="00997329" w:rsidRDefault="00997329" w:rsidP="00997329">
      <w:pPr>
        <w:spacing w:before="100" w:beforeAutospacing="1" w:after="100" w:afterAutospacing="1" w:line="240" w:lineRule="auto"/>
        <w:rPr>
          <w:rFonts w:ascii="Times New Roman" w:eastAsia="Times New Roman" w:hAnsi="Times New Roman"/>
          <w:sz w:val="24"/>
          <w:szCs w:val="24"/>
        </w:rPr>
      </w:pPr>
      <w:r w:rsidRPr="009D2D96">
        <w:rPr>
          <w:rFonts w:ascii="Times New Roman" w:eastAsia="Times New Roman" w:hAnsi="Times New Roman"/>
          <w:sz w:val="24"/>
          <w:szCs w:val="24"/>
        </w:rPr>
        <w:t xml:space="preserve">         </w:t>
      </w:r>
    </w:p>
    <w:p w14:paraId="5B329EDF" w14:textId="77777777" w:rsidR="00997329" w:rsidRPr="00465FB3" w:rsidRDefault="00997329" w:rsidP="00997329">
      <w:pPr>
        <w:spacing w:before="100" w:beforeAutospacing="1" w:after="100" w:afterAutospacing="1" w:line="240" w:lineRule="auto"/>
        <w:ind w:left="720"/>
        <w:rPr>
          <w:rFonts w:ascii="Times New Roman" w:eastAsia="Times New Roman" w:hAnsi="Times New Roman"/>
          <w:sz w:val="24"/>
          <w:szCs w:val="24"/>
        </w:rPr>
      </w:pPr>
    </w:p>
    <w:p w14:paraId="093F66BC" w14:textId="77777777" w:rsidR="00997329" w:rsidRDefault="00997329" w:rsidP="002B1283">
      <w:pPr>
        <w:rPr>
          <w:rFonts w:ascii="Arial Black" w:hAnsi="Arial Black"/>
          <w:b/>
          <w:sz w:val="24"/>
          <w:szCs w:val="24"/>
        </w:rPr>
      </w:pPr>
    </w:p>
    <w:p w14:paraId="3C7A129D" w14:textId="77777777" w:rsidR="00997329" w:rsidRDefault="00997329" w:rsidP="002B1283">
      <w:pPr>
        <w:rPr>
          <w:rFonts w:ascii="Arial Black" w:hAnsi="Arial Black"/>
          <w:b/>
          <w:sz w:val="24"/>
          <w:szCs w:val="24"/>
        </w:rPr>
      </w:pPr>
    </w:p>
    <w:p w14:paraId="71AD3712" w14:textId="7077BC27" w:rsidR="00177094" w:rsidRDefault="00177094" w:rsidP="002B1283">
      <w:pPr>
        <w:rPr>
          <w:rFonts w:ascii="Arial Black" w:hAnsi="Arial Black"/>
          <w:b/>
          <w:sz w:val="24"/>
          <w:szCs w:val="24"/>
        </w:rPr>
      </w:pPr>
      <w:r>
        <w:rPr>
          <w:rFonts w:ascii="Arial Black" w:hAnsi="Arial Black"/>
          <w:b/>
          <w:sz w:val="24"/>
          <w:szCs w:val="24"/>
        </w:rPr>
        <w:t>7-13</w:t>
      </w:r>
    </w:p>
    <w:p w14:paraId="5D1D0499" w14:textId="77777777" w:rsidR="00177094" w:rsidRDefault="00177094" w:rsidP="00177094">
      <w:pPr>
        <w:pStyle w:val="NoSpacing"/>
        <w:rPr>
          <w:rFonts w:ascii="Arial Black" w:hAnsi="Arial Black"/>
          <w:b/>
          <w:bCs/>
          <w:sz w:val="28"/>
          <w:szCs w:val="28"/>
        </w:rPr>
      </w:pPr>
      <w:bookmarkStart w:id="305" w:name="_Hlk39764858"/>
      <w:r w:rsidRPr="00DE67AC">
        <w:rPr>
          <w:rFonts w:ascii="Arial Black" w:hAnsi="Arial Black"/>
          <w:bCs/>
          <w:sz w:val="28"/>
          <w:szCs w:val="28"/>
        </w:rPr>
        <w:t>GA:</w:t>
      </w:r>
      <w:r>
        <w:rPr>
          <w:rFonts w:ascii="Arial Black" w:hAnsi="Arial Black"/>
          <w:bCs/>
          <w:sz w:val="28"/>
          <w:szCs w:val="28"/>
        </w:rPr>
        <w:t xml:space="preserve"> PRIVATE AMBULANCE – MGR’S OCCASIONAL SEXUAL COMMENTS EMT - WORKED OUT TOGETHER – LAWSUIT DISMISSED</w:t>
      </w:r>
    </w:p>
    <w:p w14:paraId="3D46519A" w14:textId="77777777" w:rsidR="00177094" w:rsidRDefault="00177094" w:rsidP="00177094">
      <w:pPr>
        <w:pStyle w:val="NoSpacing"/>
        <w:rPr>
          <w:rFonts w:ascii="Arial Black" w:hAnsi="Arial Black"/>
          <w:b/>
          <w:bCs/>
          <w:sz w:val="28"/>
          <w:szCs w:val="28"/>
        </w:rPr>
      </w:pPr>
    </w:p>
    <w:p w14:paraId="4DB549A0" w14:textId="6267FF80" w:rsidR="00177094" w:rsidRPr="004236BE" w:rsidRDefault="00177094" w:rsidP="00177094">
      <w:pPr>
        <w:pStyle w:val="NoSpacing"/>
        <w:rPr>
          <w:rFonts w:ascii="Times New Roman" w:hAnsi="Times New Roman"/>
          <w:b/>
          <w:bCs/>
          <w:sz w:val="24"/>
          <w:szCs w:val="24"/>
        </w:rPr>
      </w:pPr>
      <w:r w:rsidRPr="004236BE">
        <w:rPr>
          <w:rFonts w:ascii="Times New Roman" w:hAnsi="Times New Roman"/>
          <w:bCs/>
          <w:sz w:val="24"/>
          <w:szCs w:val="24"/>
        </w:rPr>
        <w:t xml:space="preserve">On Jan. 16, 2020, in </w:t>
      </w:r>
      <w:proofErr w:type="spellStart"/>
      <w:r w:rsidRPr="004236BE">
        <w:rPr>
          <w:rFonts w:ascii="Times New Roman" w:hAnsi="Times New Roman"/>
          <w:bCs/>
          <w:sz w:val="24"/>
          <w:szCs w:val="24"/>
          <w:u w:val="single"/>
        </w:rPr>
        <w:t>D’Marius</w:t>
      </w:r>
      <w:proofErr w:type="spellEnd"/>
      <w:r w:rsidRPr="004236BE">
        <w:rPr>
          <w:rFonts w:ascii="Times New Roman" w:hAnsi="Times New Roman"/>
          <w:bCs/>
          <w:sz w:val="24"/>
          <w:szCs w:val="24"/>
          <w:u w:val="single"/>
        </w:rPr>
        <w:t xml:space="preserve"> Allen v. </w:t>
      </w:r>
      <w:proofErr w:type="spellStart"/>
      <w:r w:rsidRPr="004236BE">
        <w:rPr>
          <w:rFonts w:ascii="Times New Roman" w:hAnsi="Times New Roman"/>
          <w:bCs/>
          <w:sz w:val="24"/>
          <w:szCs w:val="24"/>
          <w:u w:val="single"/>
        </w:rPr>
        <w:t>AmbuiStat</w:t>
      </w:r>
      <w:proofErr w:type="spellEnd"/>
      <w:r w:rsidRPr="004236BE">
        <w:rPr>
          <w:rFonts w:ascii="Times New Roman" w:hAnsi="Times New Roman"/>
          <w:bCs/>
          <w:sz w:val="24"/>
          <w:szCs w:val="24"/>
          <w:u w:val="single"/>
        </w:rPr>
        <w:t>, LLC</w:t>
      </w:r>
      <w:r w:rsidRPr="004236BE">
        <w:rPr>
          <w:rFonts w:ascii="Times New Roman" w:hAnsi="Times New Roman"/>
          <w:bCs/>
          <w:sz w:val="24"/>
          <w:szCs w:val="24"/>
        </w:rPr>
        <w:t>, the U.S. Court of Appeals for the 11</w:t>
      </w:r>
      <w:r w:rsidRPr="004236BE">
        <w:rPr>
          <w:rFonts w:ascii="Times New Roman" w:hAnsi="Times New Roman"/>
          <w:bCs/>
          <w:sz w:val="24"/>
          <w:szCs w:val="24"/>
          <w:vertAlign w:val="superscript"/>
        </w:rPr>
        <w:t>th</w:t>
      </w:r>
      <w:r w:rsidRPr="004236BE">
        <w:rPr>
          <w:rFonts w:ascii="Times New Roman" w:hAnsi="Times New Roman"/>
          <w:bCs/>
          <w:sz w:val="24"/>
          <w:szCs w:val="24"/>
        </w:rPr>
        <w:t xml:space="preserve"> Circuit (Atlanta)</w:t>
      </w:r>
      <w:r w:rsidR="00A84C9A">
        <w:rPr>
          <w:rFonts w:ascii="Times New Roman" w:hAnsi="Times New Roman"/>
          <w:bCs/>
          <w:sz w:val="24"/>
          <w:szCs w:val="24"/>
        </w:rPr>
        <w:t xml:space="preserve">, in unpublished decision, </w:t>
      </w:r>
      <w:r w:rsidRPr="004236BE">
        <w:rPr>
          <w:rFonts w:ascii="Times New Roman" w:hAnsi="Times New Roman"/>
          <w:bCs/>
          <w:sz w:val="24"/>
          <w:szCs w:val="24"/>
        </w:rPr>
        <w:t xml:space="preserve">upheld the U.S. District Court’s grant of summary judgment for the private ambulance company. </w:t>
      </w:r>
    </w:p>
    <w:p w14:paraId="3ED6604F" w14:textId="77777777" w:rsidR="00177094" w:rsidRPr="004236BE" w:rsidRDefault="00177094" w:rsidP="00177094">
      <w:pPr>
        <w:pStyle w:val="NoSpacing"/>
        <w:rPr>
          <w:rFonts w:ascii="Times New Roman" w:hAnsi="Times New Roman"/>
          <w:b/>
          <w:bCs/>
          <w:sz w:val="24"/>
          <w:szCs w:val="24"/>
        </w:rPr>
      </w:pPr>
    </w:p>
    <w:p w14:paraId="6D79E521" w14:textId="09BBAA13" w:rsidR="00177094" w:rsidRPr="004236BE" w:rsidRDefault="00177094" w:rsidP="00177094">
      <w:pPr>
        <w:pStyle w:val="NoSpacing"/>
        <w:ind w:left="720"/>
        <w:rPr>
          <w:rFonts w:ascii="Times New Roman" w:eastAsia="Times New Roman" w:hAnsi="Times New Roman"/>
          <w:b/>
          <w:bCs/>
          <w:sz w:val="24"/>
          <w:szCs w:val="24"/>
        </w:rPr>
      </w:pPr>
      <w:r w:rsidRPr="004236BE">
        <w:rPr>
          <w:rFonts w:ascii="Times New Roman" w:hAnsi="Times New Roman"/>
          <w:bCs/>
          <w:sz w:val="24"/>
          <w:szCs w:val="24"/>
        </w:rPr>
        <w:t xml:space="preserve">“At issue in this case is the fourth element -- whether the harassment was severe or pervasive. As we have </w:t>
      </w:r>
      <w:proofErr w:type="gramStart"/>
      <w:r w:rsidRPr="004236BE">
        <w:rPr>
          <w:rFonts w:ascii="Times New Roman" w:hAnsi="Times New Roman"/>
          <w:bCs/>
          <w:sz w:val="24"/>
          <w:szCs w:val="24"/>
        </w:rPr>
        <w:t>explained, ‘</w:t>
      </w:r>
      <w:proofErr w:type="gramEnd"/>
      <w:r w:rsidRPr="004236BE">
        <w:rPr>
          <w:rFonts w:ascii="Times New Roman" w:hAnsi="Times New Roman"/>
          <w:bCs/>
          <w:sz w:val="24"/>
          <w:szCs w:val="24"/>
        </w:rPr>
        <w:t xml:space="preserve">Title VII is not a civility code, and not all profane or sexual language or conduct will constitute discrimination in the terms and conditions of employment.’ *** Here, Allen points to five isolated comments. These sporadic comments, spread over four months, can hardly be described as </w:t>
      </w:r>
      <w:proofErr w:type="gramStart"/>
      <w:r w:rsidRPr="004236BE">
        <w:rPr>
          <w:rFonts w:ascii="Times New Roman" w:hAnsi="Times New Roman"/>
          <w:bCs/>
          <w:sz w:val="24"/>
          <w:szCs w:val="24"/>
        </w:rPr>
        <w:t>frequent</w:t>
      </w:r>
      <w:proofErr w:type="gramEnd"/>
      <w:r w:rsidRPr="004236BE">
        <w:rPr>
          <w:rFonts w:ascii="Times New Roman" w:hAnsi="Times New Roman"/>
          <w:bCs/>
          <w:sz w:val="24"/>
          <w:szCs w:val="24"/>
        </w:rPr>
        <w:t xml:space="preserve">. Further, the comments appear to have been said in a joking manner, and in the overarching context of Allen being friendly with Santos (or working out together in a gym). Indeed, Allen admitted she was ‘friends outside of work’ with Santos and Rita. </w:t>
      </w:r>
      <w:r w:rsidR="00DB482B">
        <w:rPr>
          <w:rFonts w:ascii="Times New Roman" w:hAnsi="Times New Roman"/>
          <w:bCs/>
          <w:sz w:val="24"/>
          <w:szCs w:val="24"/>
        </w:rPr>
        <w:t xml:space="preserve">*** </w:t>
      </w:r>
      <w:r>
        <w:rPr>
          <w:rFonts w:ascii="Times New Roman" w:hAnsi="Times New Roman"/>
          <w:bCs/>
          <w:sz w:val="24"/>
          <w:szCs w:val="24"/>
        </w:rPr>
        <w:t>I</w:t>
      </w:r>
      <w:r w:rsidRPr="004236BE">
        <w:rPr>
          <w:rFonts w:ascii="Times New Roman" w:hAnsi="Times New Roman"/>
          <w:bCs/>
          <w:sz w:val="24"/>
          <w:szCs w:val="24"/>
        </w:rPr>
        <w:t xml:space="preserve">n short, </w:t>
      </w:r>
      <w:proofErr w:type="gramStart"/>
      <w:r w:rsidRPr="004236BE">
        <w:rPr>
          <w:rFonts w:ascii="Times New Roman" w:hAnsi="Times New Roman"/>
          <w:bCs/>
          <w:sz w:val="24"/>
          <w:szCs w:val="24"/>
        </w:rPr>
        <w:t>Allen’s pervasiveness</w:t>
      </w:r>
      <w:proofErr w:type="gramEnd"/>
      <w:r w:rsidRPr="004236BE">
        <w:rPr>
          <w:rFonts w:ascii="Times New Roman" w:hAnsi="Times New Roman"/>
          <w:bCs/>
          <w:sz w:val="24"/>
          <w:szCs w:val="24"/>
        </w:rPr>
        <w:t xml:space="preserve"> argument fails to </w:t>
      </w:r>
      <w:proofErr w:type="gramStart"/>
      <w:r w:rsidRPr="004236BE">
        <w:rPr>
          <w:rFonts w:ascii="Times New Roman" w:hAnsi="Times New Roman"/>
          <w:bCs/>
          <w:sz w:val="24"/>
          <w:szCs w:val="24"/>
        </w:rPr>
        <w:t>pass</w:t>
      </w:r>
      <w:proofErr w:type="gramEnd"/>
      <w:r w:rsidRPr="004236BE">
        <w:rPr>
          <w:rFonts w:ascii="Times New Roman" w:hAnsi="Times New Roman"/>
          <w:bCs/>
          <w:sz w:val="24"/>
          <w:szCs w:val="24"/>
        </w:rPr>
        <w:t xml:space="preserve"> muster. Plainly, Santos engaged in unsavory and unpleasant conduct. However, as we have emphasized, this type of boorish behavior, with this kind of frequency, is insufficient to constitute pervasiveness for a sexual harassment action under Title VII. After reviewing Allen’s </w:t>
      </w:r>
      <w:proofErr w:type="gramStart"/>
      <w:r w:rsidRPr="004236BE">
        <w:rPr>
          <w:rFonts w:ascii="Times New Roman" w:hAnsi="Times New Roman"/>
          <w:bCs/>
          <w:sz w:val="24"/>
          <w:szCs w:val="24"/>
        </w:rPr>
        <w:t>claims, and</w:t>
      </w:r>
      <w:proofErr w:type="gramEnd"/>
      <w:r w:rsidRPr="004236BE">
        <w:rPr>
          <w:rFonts w:ascii="Times New Roman" w:hAnsi="Times New Roman"/>
          <w:bCs/>
          <w:sz w:val="24"/>
          <w:szCs w:val="24"/>
        </w:rPr>
        <w:t xml:space="preserve"> comparing them against those in which this Court has rejected claims of pervasive harassment, we are required to come to the same </w:t>
      </w:r>
      <w:proofErr w:type="gramStart"/>
      <w:r w:rsidRPr="004236BE">
        <w:rPr>
          <w:rFonts w:ascii="Times New Roman" w:hAnsi="Times New Roman"/>
          <w:bCs/>
          <w:sz w:val="24"/>
          <w:szCs w:val="24"/>
        </w:rPr>
        <w:t>conclusion.</w:t>
      </w:r>
      <w:r w:rsidRPr="004236BE">
        <w:rPr>
          <w:rFonts w:ascii="Times New Roman" w:eastAsia="Times New Roman" w:hAnsi="Times New Roman"/>
          <w:bCs/>
          <w:sz w:val="24"/>
          <w:szCs w:val="24"/>
        </w:rPr>
        <w:t>”</w:t>
      </w:r>
      <w:proofErr w:type="gramEnd"/>
      <w:r w:rsidR="00DB482B">
        <w:rPr>
          <w:rFonts w:ascii="Times New Roman" w:eastAsia="Times New Roman" w:hAnsi="Times New Roman"/>
          <w:bCs/>
          <w:sz w:val="24"/>
          <w:szCs w:val="24"/>
        </w:rPr>
        <w:t xml:space="preserve"> </w:t>
      </w:r>
      <w:hyperlink r:id="rId1470" w:history="1">
        <w:r w:rsidR="00DB482B" w:rsidRPr="007B75B7">
          <w:rPr>
            <w:rStyle w:val="Hyperlink"/>
            <w:rFonts w:ascii="Times New Roman" w:eastAsia="Times New Roman" w:hAnsi="Times New Roman"/>
            <w:bCs/>
            <w:sz w:val="24"/>
            <w:szCs w:val="24"/>
          </w:rPr>
          <w:t>http://media.ca11.uscourts.gov/opinions/unpub/files/201810640.pdf</w:t>
        </w:r>
      </w:hyperlink>
      <w:r w:rsidR="00DB482B">
        <w:rPr>
          <w:rFonts w:ascii="Times New Roman" w:eastAsia="Times New Roman" w:hAnsi="Times New Roman"/>
          <w:bCs/>
          <w:sz w:val="24"/>
          <w:szCs w:val="24"/>
        </w:rPr>
        <w:t xml:space="preserve"> </w:t>
      </w:r>
    </w:p>
    <w:bookmarkEnd w:id="305"/>
    <w:p w14:paraId="7B1C78F8" w14:textId="77777777" w:rsidR="00177094" w:rsidRDefault="00177094" w:rsidP="00177094">
      <w:pPr>
        <w:pStyle w:val="NoSpacing"/>
        <w:tabs>
          <w:tab w:val="left" w:pos="2860"/>
        </w:tabs>
        <w:rPr>
          <w:rFonts w:ascii="Times New Roman" w:hAnsi="Times New Roman"/>
          <w:b/>
          <w:bCs/>
          <w:sz w:val="24"/>
          <w:szCs w:val="24"/>
        </w:rPr>
      </w:pPr>
    </w:p>
    <w:p w14:paraId="669BB3F2" w14:textId="7C664971" w:rsidR="00177094" w:rsidRPr="004236BE" w:rsidRDefault="00177094" w:rsidP="00177094">
      <w:pPr>
        <w:pStyle w:val="NoSpacing"/>
        <w:tabs>
          <w:tab w:val="left" w:pos="2860"/>
        </w:tabs>
        <w:rPr>
          <w:rFonts w:ascii="Times New Roman" w:hAnsi="Times New Roman"/>
          <w:b/>
          <w:bCs/>
          <w:sz w:val="24"/>
          <w:szCs w:val="24"/>
        </w:rPr>
      </w:pPr>
      <w:bookmarkStart w:id="306" w:name="_Hlk40511078"/>
      <w:r w:rsidRPr="004236BE">
        <w:rPr>
          <w:rFonts w:ascii="Times New Roman" w:hAnsi="Times New Roman"/>
          <w:b/>
          <w:bCs/>
          <w:sz w:val="24"/>
          <w:szCs w:val="24"/>
        </w:rPr>
        <w:t xml:space="preserve">Legal Lessons Learned: The manager’s comments to the EMT were clearly inappropriate; if the EMT did not admit to being “friends” and working out together, this lawsuit might have proceeded to trial. </w:t>
      </w:r>
    </w:p>
    <w:bookmarkEnd w:id="306"/>
    <w:p w14:paraId="4A3E8FBC" w14:textId="77777777" w:rsidR="00177094" w:rsidRDefault="00177094" w:rsidP="002B1283">
      <w:pPr>
        <w:rPr>
          <w:rFonts w:ascii="Arial Black" w:hAnsi="Arial Black"/>
          <w:b/>
          <w:sz w:val="24"/>
          <w:szCs w:val="24"/>
        </w:rPr>
      </w:pPr>
    </w:p>
    <w:p w14:paraId="6CB0E8B3" w14:textId="3B86463F" w:rsidR="00177094" w:rsidRDefault="00177094" w:rsidP="002B1283">
      <w:pPr>
        <w:rPr>
          <w:rFonts w:ascii="Arial Black" w:hAnsi="Arial Black"/>
          <w:b/>
          <w:sz w:val="24"/>
          <w:szCs w:val="24"/>
        </w:rPr>
      </w:pPr>
      <w:r>
        <w:rPr>
          <w:rFonts w:ascii="Arial Black" w:hAnsi="Arial Black"/>
          <w:b/>
          <w:sz w:val="24"/>
          <w:szCs w:val="24"/>
        </w:rPr>
        <w:t>7-12</w:t>
      </w:r>
    </w:p>
    <w:p w14:paraId="47E5C330" w14:textId="77777777" w:rsidR="00177094" w:rsidRPr="0066064E" w:rsidRDefault="00177094" w:rsidP="00177094">
      <w:pPr>
        <w:pStyle w:val="NoSpacing"/>
        <w:rPr>
          <w:rFonts w:ascii="Arial Black" w:hAnsi="Arial Black" w:cs="Arial"/>
          <w:sz w:val="28"/>
          <w:szCs w:val="28"/>
        </w:rPr>
      </w:pPr>
      <w:r w:rsidRPr="0066064E">
        <w:rPr>
          <w:rFonts w:ascii="Arial Black" w:hAnsi="Arial Black" w:cs="Arial"/>
          <w:sz w:val="28"/>
          <w:szCs w:val="28"/>
        </w:rPr>
        <w:t xml:space="preserve">KS: </w:t>
      </w:r>
      <w:r>
        <w:rPr>
          <w:rFonts w:ascii="Arial Black" w:hAnsi="Arial Black" w:cs="Arial"/>
          <w:sz w:val="28"/>
          <w:szCs w:val="28"/>
        </w:rPr>
        <w:t xml:space="preserve">FEMALE </w:t>
      </w:r>
      <w:r w:rsidRPr="0066064E">
        <w:rPr>
          <w:rFonts w:ascii="Arial Black" w:hAnsi="Arial Black" w:cs="Arial"/>
          <w:sz w:val="28"/>
          <w:szCs w:val="28"/>
        </w:rPr>
        <w:t>FIRE INSPECTOR</w:t>
      </w:r>
      <w:r>
        <w:rPr>
          <w:rFonts w:ascii="Arial Black" w:hAnsi="Arial Black" w:cs="Arial"/>
          <w:sz w:val="28"/>
          <w:szCs w:val="28"/>
        </w:rPr>
        <w:t xml:space="preserve"> - NEW SCBAs / EXCUSED FROM SCBA TRAINING – RESIGNED - NOT HOSTILE WORKPLACE</w:t>
      </w:r>
    </w:p>
    <w:p w14:paraId="547DF083" w14:textId="77777777" w:rsidR="00177094" w:rsidRPr="0066064E" w:rsidRDefault="00177094" w:rsidP="00177094">
      <w:pPr>
        <w:pStyle w:val="NoSpacing"/>
        <w:rPr>
          <w:b/>
          <w:bCs/>
          <w:sz w:val="24"/>
          <w:szCs w:val="24"/>
        </w:rPr>
      </w:pPr>
    </w:p>
    <w:p w14:paraId="7E80B6E4" w14:textId="77777777" w:rsidR="00177094" w:rsidRPr="004236BE" w:rsidRDefault="00177094" w:rsidP="00177094">
      <w:pPr>
        <w:pStyle w:val="NoSpacing"/>
        <w:rPr>
          <w:rFonts w:ascii="Times New Roman" w:hAnsi="Times New Roman"/>
          <w:b/>
          <w:bCs/>
          <w:sz w:val="24"/>
          <w:szCs w:val="24"/>
        </w:rPr>
      </w:pPr>
      <w:r w:rsidRPr="004236BE">
        <w:rPr>
          <w:rFonts w:ascii="Times New Roman" w:hAnsi="Times New Roman"/>
          <w:bCs/>
          <w:sz w:val="24"/>
          <w:szCs w:val="24"/>
        </w:rPr>
        <w:t xml:space="preserve">On </w:t>
      </w:r>
      <w:bookmarkStart w:id="307" w:name="_Hlk39833617"/>
      <w:r w:rsidRPr="004236BE">
        <w:rPr>
          <w:rFonts w:ascii="Times New Roman" w:hAnsi="Times New Roman"/>
          <w:bCs/>
          <w:sz w:val="24"/>
          <w:szCs w:val="24"/>
        </w:rPr>
        <w:t xml:space="preserve">Jan. 14, 2020, in </w:t>
      </w:r>
      <w:r w:rsidRPr="004236BE">
        <w:rPr>
          <w:rFonts w:ascii="Times New Roman" w:hAnsi="Times New Roman"/>
          <w:bCs/>
          <w:sz w:val="24"/>
          <w:szCs w:val="24"/>
          <w:u w:val="single"/>
        </w:rPr>
        <w:t>Amy Bermudez v. City of Topeka, Kansas</w:t>
      </w:r>
      <w:bookmarkEnd w:id="307"/>
      <w:r w:rsidRPr="004236BE">
        <w:rPr>
          <w:rFonts w:ascii="Times New Roman" w:hAnsi="Times New Roman"/>
          <w:bCs/>
          <w:sz w:val="24"/>
          <w:szCs w:val="24"/>
        </w:rPr>
        <w:t xml:space="preserve">, U.S. District Court Judge Holly L. Teeter, U.S. District Court for the District of Kansas, granted the City’s motion for summary judgment and dismissed the lawsuit. </w:t>
      </w:r>
    </w:p>
    <w:p w14:paraId="2AF538D9" w14:textId="77777777" w:rsidR="00177094" w:rsidRPr="004236BE" w:rsidRDefault="00177094" w:rsidP="00177094">
      <w:pPr>
        <w:pStyle w:val="NoSpacing"/>
        <w:rPr>
          <w:rFonts w:ascii="Times New Roman" w:hAnsi="Times New Roman"/>
          <w:b/>
          <w:bCs/>
          <w:sz w:val="24"/>
          <w:szCs w:val="24"/>
        </w:rPr>
      </w:pPr>
    </w:p>
    <w:p w14:paraId="1C92A597" w14:textId="77777777" w:rsidR="00177094" w:rsidRPr="004236BE" w:rsidRDefault="00177094" w:rsidP="00177094">
      <w:pPr>
        <w:pStyle w:val="NoSpacing"/>
        <w:ind w:left="720"/>
        <w:rPr>
          <w:rFonts w:ascii="Times New Roman" w:hAnsi="Times New Roman"/>
          <w:b/>
          <w:bCs/>
          <w:sz w:val="24"/>
          <w:szCs w:val="24"/>
        </w:rPr>
      </w:pPr>
      <w:r w:rsidRPr="004236BE">
        <w:rPr>
          <w:rFonts w:ascii="Times New Roman" w:hAnsi="Times New Roman"/>
          <w:bCs/>
          <w:sz w:val="24"/>
          <w:szCs w:val="24"/>
        </w:rPr>
        <w:t xml:space="preserve">“The Airpack training incident involved Bermudez asking to be excused from the confidence course, the training chief excusing her, and someone else then making some mild comments to Conway [another female Inspector who didn’t take curse].  Within a week or two, the TFD Twitter account posted a picture of Martin [Fire Marshal; plaintiff’s supervisor] with the caption, ‘No one is immune from training.’ But the tweet featured Martin and did not mention Bermudez. The Court finds that this conduct, even when considered collectively, is not sufficiently severe or pervasive that it would dissuade a reasonable worker from engaging in protected activity…. Both incidents were very </w:t>
      </w:r>
      <w:proofErr w:type="gramStart"/>
      <w:r w:rsidRPr="004236BE">
        <w:rPr>
          <w:rFonts w:ascii="Times New Roman" w:hAnsi="Times New Roman"/>
          <w:bCs/>
          <w:sz w:val="24"/>
          <w:szCs w:val="24"/>
        </w:rPr>
        <w:t>tame</w:t>
      </w:r>
      <w:proofErr w:type="gramEnd"/>
      <w:r w:rsidRPr="004236BE">
        <w:rPr>
          <w:rFonts w:ascii="Times New Roman" w:hAnsi="Times New Roman"/>
          <w:bCs/>
          <w:sz w:val="24"/>
          <w:szCs w:val="24"/>
        </w:rPr>
        <w:t xml:space="preserve"> and neither </w:t>
      </w:r>
      <w:proofErr w:type="gramStart"/>
      <w:r w:rsidRPr="004236BE">
        <w:rPr>
          <w:rFonts w:ascii="Times New Roman" w:hAnsi="Times New Roman"/>
          <w:bCs/>
          <w:sz w:val="24"/>
          <w:szCs w:val="24"/>
        </w:rPr>
        <w:t>was even</w:t>
      </w:r>
      <w:proofErr w:type="gramEnd"/>
      <w:r w:rsidRPr="004236BE">
        <w:rPr>
          <w:rFonts w:ascii="Times New Roman" w:hAnsi="Times New Roman"/>
          <w:bCs/>
          <w:sz w:val="24"/>
          <w:szCs w:val="24"/>
        </w:rPr>
        <w:t xml:space="preserve"> outwardly directed at Bermudez. A remark that someone should do firefighter training to consider themselves a fire inspector and then tweeting that no one is immune from training is, at worst, rude or mildly passive aggressive. But it does not objectively rise to the level of conduct that would dissuade a reasonable employee from engaging in protected conduct….   It is well established that Title </w:t>
      </w:r>
      <w:r w:rsidRPr="004236BE">
        <w:rPr>
          <w:rFonts w:ascii="Times New Roman" w:hAnsi="Times New Roman"/>
          <w:bCs/>
          <w:sz w:val="24"/>
          <w:szCs w:val="24"/>
        </w:rPr>
        <w:lastRenderedPageBreak/>
        <w:t xml:space="preserve">VII is not ‘a general civility code for the American workplace.’ Burlington N. &amp; Santa Fe Ry. Co. v. White, 548 U.S. 53, 68 (2006) (quoting Oncale v. Sundowner Offshore Servs., Inc., 523 U.S. 75, 80 (1998)). Nor is it the Court’s role ‘to mandate </w:t>
      </w:r>
      <w:proofErr w:type="gramStart"/>
      <w:r w:rsidRPr="004236BE">
        <w:rPr>
          <w:rFonts w:ascii="Times New Roman" w:hAnsi="Times New Roman"/>
          <w:bCs/>
          <w:sz w:val="24"/>
          <w:szCs w:val="24"/>
        </w:rPr>
        <w:t>that certain</w:t>
      </w:r>
      <w:proofErr w:type="gramEnd"/>
      <w:r w:rsidRPr="004236BE">
        <w:rPr>
          <w:rFonts w:ascii="Times New Roman" w:hAnsi="Times New Roman"/>
          <w:bCs/>
          <w:sz w:val="24"/>
          <w:szCs w:val="24"/>
        </w:rPr>
        <w:t xml:space="preserve"> individuals work on their interpersonal skills and cease engaging in inter-departmental personality conflicts.’ Somoza v. Univ. of Denver, 513 F.3d 1206, 1218 (10th Cir. 2008). </w:t>
      </w:r>
      <w:bookmarkStart w:id="308" w:name="_Hlk39833594"/>
      <w:r w:rsidR="00374417">
        <w:fldChar w:fldCharType="begin"/>
      </w:r>
      <w:r w:rsidR="00374417">
        <w:instrText xml:space="preserve"> HYPERLINK "https://ecf.ksd.uscourts.gov/cgi-bin/show_public_doc?2018cv4141-61" </w:instrText>
      </w:r>
      <w:r w:rsidR="00374417">
        <w:fldChar w:fldCharType="separate"/>
      </w:r>
      <w:r w:rsidRPr="004236BE">
        <w:rPr>
          <w:rStyle w:val="Hyperlink"/>
          <w:rFonts w:ascii="Times New Roman" w:hAnsi="Times New Roman"/>
          <w:b/>
          <w:sz w:val="24"/>
          <w:szCs w:val="24"/>
        </w:rPr>
        <w:t>https://ecf.ksd.uscourts.gov/cgi-bin/show_public_doc?2018cv4141-61</w:t>
      </w:r>
      <w:r w:rsidR="00374417">
        <w:rPr>
          <w:rStyle w:val="Hyperlink"/>
          <w:rFonts w:ascii="Times New Roman" w:hAnsi="Times New Roman"/>
          <w:b/>
          <w:sz w:val="24"/>
          <w:szCs w:val="24"/>
        </w:rPr>
        <w:fldChar w:fldCharType="end"/>
      </w:r>
      <w:r w:rsidRPr="004236BE">
        <w:rPr>
          <w:rFonts w:ascii="Times New Roman" w:hAnsi="Times New Roman"/>
          <w:bCs/>
          <w:sz w:val="24"/>
          <w:szCs w:val="24"/>
        </w:rPr>
        <w:t xml:space="preserve"> </w:t>
      </w:r>
    </w:p>
    <w:bookmarkEnd w:id="308"/>
    <w:p w14:paraId="635CF095" w14:textId="00623B0D" w:rsidR="00177094" w:rsidRDefault="00177094" w:rsidP="002B1283">
      <w:pPr>
        <w:rPr>
          <w:rFonts w:ascii="Arial Black" w:hAnsi="Arial Black"/>
          <w:b/>
          <w:sz w:val="24"/>
          <w:szCs w:val="24"/>
        </w:rPr>
      </w:pPr>
    </w:p>
    <w:p w14:paraId="53801CB1" w14:textId="74D98A44" w:rsidR="00177094" w:rsidRDefault="00177094" w:rsidP="002B1283">
      <w:pPr>
        <w:rPr>
          <w:rFonts w:ascii="Arial Black" w:hAnsi="Arial Black"/>
          <w:b/>
          <w:sz w:val="24"/>
          <w:szCs w:val="24"/>
        </w:rPr>
      </w:pPr>
      <w:r w:rsidRPr="004236BE">
        <w:rPr>
          <w:rFonts w:ascii="Times New Roman" w:hAnsi="Times New Roman"/>
          <w:b/>
          <w:bCs/>
          <w:sz w:val="24"/>
          <w:szCs w:val="24"/>
        </w:rPr>
        <w:t>Legal Lessons Learned:  Plaintiff failed to prove that no “reasonable person” in her position would have felt compelled to resign.</w:t>
      </w:r>
      <w:r w:rsidRPr="004236BE">
        <w:rPr>
          <w:rFonts w:ascii="Times New Roman" w:hAnsi="Times New Roman"/>
          <w:sz w:val="24"/>
          <w:szCs w:val="24"/>
        </w:rPr>
        <w:t xml:space="preserve">  See article on this decision: </w:t>
      </w:r>
      <w:bookmarkStart w:id="309" w:name="_Hlk39833529"/>
      <w:r w:rsidRPr="004236BE">
        <w:rPr>
          <w:rFonts w:ascii="Times New Roman" w:hAnsi="Times New Roman"/>
          <w:sz w:val="24"/>
          <w:szCs w:val="24"/>
        </w:rPr>
        <w:t>“Former Kan. fire inspector loses discrimination lawsuit,” Jan. 21, 2020,</w:t>
      </w:r>
      <w:r w:rsidRPr="004236BE">
        <w:rPr>
          <w:rFonts w:ascii="Times New Roman" w:hAnsi="Times New Roman"/>
          <w:bCs/>
          <w:sz w:val="24"/>
          <w:szCs w:val="24"/>
        </w:rPr>
        <w:t xml:space="preserve"> </w:t>
      </w:r>
      <w:hyperlink r:id="rId1471" w:history="1">
        <w:r w:rsidRPr="004236BE">
          <w:rPr>
            <w:rStyle w:val="Hyperlink"/>
            <w:rFonts w:ascii="Times New Roman" w:hAnsi="Times New Roman"/>
            <w:sz w:val="24"/>
            <w:szCs w:val="24"/>
          </w:rPr>
          <w:t>https://www.firerescue1.com/lawsuit/articles/former-kan-fire-inspector-loses-discrimination-lawsuit-7znPnJr96hoozkWc/?utm_source=FireRescue1+Member+Newsletter&amp;utm_campaign=c8726896e1-EMAIL_CAMPAIGN_2020_01_21_07_39&amp;utm_medium=email&amp;utm_term=0_758bdbeffe-c8726896e1-41607823</w:t>
        </w:r>
      </w:hyperlink>
      <w:bookmarkEnd w:id="309"/>
    </w:p>
    <w:p w14:paraId="313DB91E" w14:textId="77777777" w:rsidR="00177094" w:rsidRDefault="00177094" w:rsidP="002B1283">
      <w:pPr>
        <w:rPr>
          <w:rFonts w:ascii="Arial Black" w:hAnsi="Arial Black"/>
          <w:b/>
          <w:sz w:val="24"/>
          <w:szCs w:val="24"/>
        </w:rPr>
      </w:pPr>
    </w:p>
    <w:p w14:paraId="459FBCAF" w14:textId="647681AC" w:rsidR="00177094" w:rsidRDefault="00177094" w:rsidP="002B1283">
      <w:pPr>
        <w:rPr>
          <w:rFonts w:ascii="Arial Black" w:hAnsi="Arial Black"/>
          <w:b/>
          <w:sz w:val="24"/>
          <w:szCs w:val="24"/>
        </w:rPr>
      </w:pPr>
      <w:r>
        <w:rPr>
          <w:rFonts w:ascii="Arial Black" w:hAnsi="Arial Black"/>
          <w:b/>
          <w:sz w:val="24"/>
          <w:szCs w:val="24"/>
        </w:rPr>
        <w:t>7-11</w:t>
      </w:r>
    </w:p>
    <w:p w14:paraId="4112A0BA" w14:textId="77777777" w:rsidR="00177094" w:rsidRPr="005E0291" w:rsidRDefault="00177094" w:rsidP="00177094">
      <w:pPr>
        <w:spacing w:before="100" w:beforeAutospacing="1" w:after="100" w:afterAutospacing="1"/>
        <w:rPr>
          <w:rFonts w:ascii="Arial Black" w:eastAsia="Times New Roman" w:hAnsi="Arial Black"/>
          <w:bCs/>
          <w:sz w:val="28"/>
          <w:szCs w:val="28"/>
        </w:rPr>
      </w:pPr>
      <w:r w:rsidRPr="005E0291">
        <w:rPr>
          <w:rFonts w:ascii="Arial Black" w:eastAsia="Times New Roman" w:hAnsi="Arial Black"/>
          <w:bCs/>
          <w:sz w:val="28"/>
          <w:szCs w:val="28"/>
        </w:rPr>
        <w:t xml:space="preserve">IL: </w:t>
      </w:r>
      <w:r>
        <w:rPr>
          <w:rFonts w:ascii="Arial Black" w:eastAsia="Times New Roman" w:hAnsi="Arial Black"/>
          <w:bCs/>
          <w:sz w:val="28"/>
          <w:szCs w:val="28"/>
        </w:rPr>
        <w:t>CHICAGO FD – PARAMEDIC PHYSICAL FITNESS TESTS – 100% MALES, ONLY 79% FEMALES – LAWSUIT TO PROCEED</w:t>
      </w:r>
    </w:p>
    <w:p w14:paraId="02ACDCA3" w14:textId="77777777" w:rsidR="00177094" w:rsidRPr="004236BE" w:rsidRDefault="00177094" w:rsidP="00177094">
      <w:pPr>
        <w:pStyle w:val="NormalWeb"/>
        <w:rPr>
          <w:b/>
          <w:bCs/>
        </w:rPr>
      </w:pPr>
      <w:r w:rsidRPr="004236BE">
        <w:rPr>
          <w:bCs/>
        </w:rPr>
        <w:t xml:space="preserve">On Jan. 14, 2020, in </w:t>
      </w:r>
      <w:r w:rsidRPr="004236BE">
        <w:rPr>
          <w:bCs/>
          <w:u w:val="single"/>
        </w:rPr>
        <w:t>Jennifer Livingston, et al. v. City of Chicago</w:t>
      </w:r>
      <w:r w:rsidRPr="004236BE">
        <w:rPr>
          <w:bCs/>
        </w:rPr>
        <w:t xml:space="preserve">, U.S. District Court Judge Sara L. Ellis, U.S. District Court, Northern District of Illinois, Eastern Division, denied the City’s motion to dismiss.  Twelve (12) female candidates for Firefighter Paramedic positions filed the lawsuit; 8 had timely filed EEOC charges within 300 days and received “Right </w:t>
      </w:r>
      <w:proofErr w:type="gramStart"/>
      <w:r w:rsidRPr="004236BE">
        <w:rPr>
          <w:bCs/>
        </w:rPr>
        <w:t>To</w:t>
      </w:r>
      <w:proofErr w:type="gramEnd"/>
      <w:r w:rsidRPr="004236BE">
        <w:rPr>
          <w:bCs/>
        </w:rPr>
        <w:t xml:space="preserve"> Sue” letters. </w:t>
      </w:r>
    </w:p>
    <w:p w14:paraId="3C98FD42" w14:textId="77777777" w:rsidR="00177094" w:rsidRPr="004236BE" w:rsidRDefault="00177094" w:rsidP="00177094">
      <w:pPr>
        <w:pStyle w:val="NormalWeb"/>
        <w:ind w:left="720"/>
        <w:rPr>
          <w:b/>
          <w:bCs/>
        </w:rPr>
      </w:pPr>
      <w:r w:rsidRPr="004236BE">
        <w:rPr>
          <w:bCs/>
        </w:rPr>
        <w:t xml:space="preserve">“The </w:t>
      </w:r>
      <w:proofErr w:type="gramStart"/>
      <w:r w:rsidRPr="004236BE">
        <w:rPr>
          <w:bCs/>
        </w:rPr>
        <w:t>City</w:t>
      </w:r>
      <w:proofErr w:type="gramEnd"/>
      <w:r w:rsidRPr="004236BE">
        <w:rPr>
          <w:bCs/>
        </w:rPr>
        <w:t xml:space="preserve"> moves to dismiss Bain, Ruch, Youngren, and Venegas (the ‘Non-Filing Plaintiffs’) because they have not exhausted their administrative remedies, as required by Title VII. Because the Non-Filing Plaintiffs can rely on the single-filing rule to bring their claims based on the charges filed by other plaintiffs in this case, the Court denies the City’s motion to dismiss.</w:t>
      </w:r>
    </w:p>
    <w:p w14:paraId="54388E9D" w14:textId="77777777" w:rsidR="00177094" w:rsidRPr="004236BE" w:rsidRDefault="00177094" w:rsidP="00177094">
      <w:pPr>
        <w:pStyle w:val="NormalWeb"/>
        <w:ind w:left="720"/>
        <w:rPr>
          <w:b/>
          <w:bCs/>
        </w:rPr>
      </w:pPr>
      <w:r w:rsidRPr="004236BE">
        <w:rPr>
          <w:bCs/>
        </w:rPr>
        <w:t>***</w:t>
      </w:r>
    </w:p>
    <w:p w14:paraId="18C41260" w14:textId="77777777" w:rsidR="00177094" w:rsidRPr="004236BE" w:rsidRDefault="00177094" w:rsidP="00177094">
      <w:pPr>
        <w:pStyle w:val="NoSpacing"/>
        <w:ind w:left="720"/>
        <w:rPr>
          <w:rFonts w:ascii="Times New Roman" w:hAnsi="Times New Roman"/>
          <w:b/>
          <w:bCs/>
          <w:sz w:val="24"/>
          <w:szCs w:val="24"/>
        </w:rPr>
      </w:pPr>
      <w:r w:rsidRPr="004236BE">
        <w:rPr>
          <w:rFonts w:ascii="Times New Roman" w:hAnsi="Times New Roman"/>
          <w:bCs/>
          <w:sz w:val="24"/>
          <w:szCs w:val="24"/>
        </w:rPr>
        <w:t xml:space="preserve">To bring a Title VII suit, a plaintiff must have exhausted her administrative remedies by filing a timely EEOC charge and receiving a right to sue letter. Allen v. City of Chicago, 828 F. Supp. 543, 555 (N.D. Ill. 1993). Certain exceptions to this rule exist: under the single-filing rule or “piggybacking” doctrine, “an individual who has not exhausted his administrative options may join a lawsuit filed by another individual who has administratively exhausted.” Simpson v. Cook County Sheriff’s Office, No. 18-cv -553, 2018 WL 3753362, at *2 (N.D. Ill. Aug. 8, 2018); see also Anderson v. Montgomery Ward &amp; Co., 852 F.2d 1008, 1017–18 (7th Cir. 1988).” </w:t>
      </w:r>
      <w:hyperlink r:id="rId1472" w:history="1">
        <w:r w:rsidRPr="004236BE">
          <w:rPr>
            <w:rStyle w:val="Hyperlink"/>
            <w:rFonts w:ascii="Times New Roman" w:hAnsi="Times New Roman"/>
            <w:b/>
            <w:sz w:val="24"/>
            <w:szCs w:val="24"/>
          </w:rPr>
          <w:t>https://cases.justia.com/federal/district-courts/illinois/ilndce/1:2016cv10156/332956/114/0.pdf?ts=1547636381</w:t>
        </w:r>
      </w:hyperlink>
      <w:r w:rsidRPr="004236BE">
        <w:rPr>
          <w:rFonts w:ascii="Times New Roman" w:hAnsi="Times New Roman"/>
          <w:bCs/>
          <w:sz w:val="24"/>
          <w:szCs w:val="24"/>
        </w:rPr>
        <w:t xml:space="preserve"> </w:t>
      </w:r>
    </w:p>
    <w:p w14:paraId="0389B6BA" w14:textId="77777777" w:rsidR="00177094" w:rsidRDefault="00177094" w:rsidP="00177094">
      <w:pPr>
        <w:pStyle w:val="NoSpacing"/>
        <w:rPr>
          <w:rFonts w:ascii="Times New Roman" w:hAnsi="Times New Roman"/>
          <w:b/>
          <w:bCs/>
          <w:sz w:val="24"/>
          <w:szCs w:val="24"/>
        </w:rPr>
      </w:pPr>
    </w:p>
    <w:p w14:paraId="2F6952BB" w14:textId="40BBE695" w:rsidR="00177094" w:rsidRPr="004236BE" w:rsidRDefault="00177094" w:rsidP="00177094">
      <w:pPr>
        <w:pStyle w:val="NoSpacing"/>
        <w:rPr>
          <w:rFonts w:ascii="Times New Roman" w:hAnsi="Times New Roman"/>
          <w:sz w:val="24"/>
          <w:szCs w:val="24"/>
        </w:rPr>
      </w:pPr>
      <w:r w:rsidRPr="004236BE">
        <w:rPr>
          <w:rFonts w:ascii="Times New Roman" w:hAnsi="Times New Roman"/>
          <w:b/>
          <w:bCs/>
          <w:sz w:val="24"/>
          <w:szCs w:val="24"/>
        </w:rPr>
        <w:t>Legal Lessons Learned: Lawsuit may proceed; physical ability tests that have an “adverse impact” on female applicants have been subject of litigation, including U.S. Department of Justice cases.</w:t>
      </w:r>
      <w:r w:rsidRPr="004236BE">
        <w:rPr>
          <w:rFonts w:ascii="Times New Roman" w:hAnsi="Times New Roman"/>
          <w:sz w:val="24"/>
          <w:szCs w:val="24"/>
        </w:rPr>
        <w:t xml:space="preserve">  See EEOC review of litigation involving physical agility tests: “Recruitment &amp; Hiring Gender Disparities in Public Safety Occupations” (June 2018): </w:t>
      </w:r>
      <w:hyperlink r:id="rId1473" w:history="1">
        <w:r w:rsidRPr="004236BE">
          <w:rPr>
            <w:rStyle w:val="Hyperlink"/>
            <w:rFonts w:ascii="Times New Roman" w:hAnsi="Times New Roman"/>
            <w:sz w:val="24"/>
            <w:szCs w:val="24"/>
          </w:rPr>
          <w:t>https://www.eeoc.gov/federal/reports/upload/pspe.pdf</w:t>
        </w:r>
      </w:hyperlink>
      <w:r w:rsidRPr="004236BE">
        <w:rPr>
          <w:rFonts w:ascii="Times New Roman" w:hAnsi="Times New Roman"/>
          <w:sz w:val="24"/>
          <w:szCs w:val="24"/>
        </w:rPr>
        <w:t xml:space="preserve"> [pages 12-13].</w:t>
      </w:r>
    </w:p>
    <w:p w14:paraId="76979D55" w14:textId="77777777" w:rsidR="00177094" w:rsidRPr="004236BE" w:rsidRDefault="00177094" w:rsidP="00177094">
      <w:pPr>
        <w:pStyle w:val="NoSpacing"/>
        <w:ind w:left="720"/>
        <w:rPr>
          <w:rFonts w:ascii="Times New Roman" w:hAnsi="Times New Roman"/>
          <w:b/>
          <w:bCs/>
          <w:sz w:val="24"/>
          <w:szCs w:val="24"/>
        </w:rPr>
      </w:pPr>
    </w:p>
    <w:p w14:paraId="317BB812" w14:textId="77777777" w:rsidR="00177094" w:rsidRPr="004236BE" w:rsidRDefault="00177094" w:rsidP="00177094">
      <w:pPr>
        <w:pStyle w:val="NoSpacing"/>
        <w:ind w:left="720"/>
        <w:rPr>
          <w:rFonts w:ascii="Times New Roman" w:hAnsi="Times New Roman"/>
          <w:b/>
          <w:bCs/>
          <w:sz w:val="24"/>
          <w:szCs w:val="24"/>
        </w:rPr>
      </w:pPr>
      <w:r w:rsidRPr="004236BE">
        <w:rPr>
          <w:rFonts w:ascii="Times New Roman" w:hAnsi="Times New Roman"/>
          <w:bCs/>
          <w:sz w:val="24"/>
          <w:szCs w:val="24"/>
        </w:rPr>
        <w:lastRenderedPageBreak/>
        <w:t>“Once employers could no longer segregate women into peripheral jobs, they began using screening tests for public safety occupations. Initially, height and weight restrictions were used in some public safety jobs to screen applicants, because it was thought that taller and heavier people were more able to perform the presumed physically demanding duties</w:t>
      </w:r>
      <w:r>
        <w:rPr>
          <w:rFonts w:ascii="Times New Roman" w:hAnsi="Times New Roman"/>
          <w:bCs/>
          <w:sz w:val="24"/>
          <w:szCs w:val="24"/>
        </w:rPr>
        <w:t xml:space="preserve"> </w:t>
      </w:r>
      <w:r w:rsidRPr="004236BE">
        <w:rPr>
          <w:rFonts w:ascii="Times New Roman" w:hAnsi="Times New Roman"/>
          <w:bCs/>
          <w:sz w:val="24"/>
          <w:szCs w:val="24"/>
        </w:rPr>
        <w:t>of these jobs. In 1977, the Supreme Court addressed this issue when it rejected an Alabama prison facility’s height and weight restriction because it led to an unjustified disproportionate exclusion, or a ‘disparate impact’, on women. [Dothard v. Rawlinson, 433 U.S.321(1977).]</w:t>
      </w:r>
      <w:r w:rsidRPr="004236BE">
        <w:rPr>
          <w:rFonts w:ascii="Times New Roman" w:hAnsi="Times New Roman"/>
          <w:sz w:val="24"/>
          <w:szCs w:val="24"/>
        </w:rPr>
        <w:t xml:space="preserve"> </w:t>
      </w:r>
      <w:r w:rsidRPr="004236BE">
        <w:rPr>
          <w:rFonts w:ascii="Times New Roman" w:hAnsi="Times New Roman"/>
          <w:bCs/>
          <w:sz w:val="24"/>
          <w:szCs w:val="24"/>
        </w:rPr>
        <w:t xml:space="preserve">When height and weight restrictions thus fell by the wayside, they were replaced by physical ability tests (PATs) to qualify applicants for public safety positions…. PATs were gender‐neutral, requiring the same performance for men and women. This still led to a disparate impact on women who had comparable physical fitness levels as qualified </w:t>
      </w:r>
      <w:proofErr w:type="gramStart"/>
      <w:r w:rsidRPr="004236BE">
        <w:rPr>
          <w:rFonts w:ascii="Times New Roman" w:hAnsi="Times New Roman"/>
          <w:bCs/>
          <w:sz w:val="24"/>
          <w:szCs w:val="24"/>
        </w:rPr>
        <w:t>men, but</w:t>
      </w:r>
      <w:proofErr w:type="gramEnd"/>
      <w:r w:rsidRPr="004236BE">
        <w:rPr>
          <w:rFonts w:ascii="Times New Roman" w:hAnsi="Times New Roman"/>
          <w:bCs/>
          <w:sz w:val="24"/>
          <w:szCs w:val="24"/>
        </w:rPr>
        <w:t xml:space="preserve"> could not reach the required threshold of agender‐neutral test. </w:t>
      </w:r>
    </w:p>
    <w:p w14:paraId="72515D7B" w14:textId="77777777" w:rsidR="00177094" w:rsidRPr="004236BE" w:rsidRDefault="00177094" w:rsidP="00177094">
      <w:pPr>
        <w:pStyle w:val="NoSpacing"/>
        <w:ind w:left="720"/>
        <w:rPr>
          <w:rFonts w:ascii="Times New Roman" w:hAnsi="Times New Roman"/>
          <w:b/>
          <w:bCs/>
          <w:sz w:val="24"/>
          <w:szCs w:val="24"/>
        </w:rPr>
      </w:pPr>
    </w:p>
    <w:p w14:paraId="367C3ACF" w14:textId="77777777" w:rsidR="00177094" w:rsidRPr="004236BE" w:rsidRDefault="00177094" w:rsidP="00177094">
      <w:pPr>
        <w:pStyle w:val="NoSpacing"/>
        <w:ind w:left="720"/>
        <w:rPr>
          <w:rFonts w:ascii="Times New Roman" w:hAnsi="Times New Roman"/>
          <w:b/>
          <w:bCs/>
          <w:sz w:val="24"/>
          <w:szCs w:val="24"/>
        </w:rPr>
      </w:pPr>
      <w:r w:rsidRPr="004236BE">
        <w:rPr>
          <w:rFonts w:ascii="Times New Roman" w:hAnsi="Times New Roman"/>
          <w:bCs/>
          <w:sz w:val="24"/>
          <w:szCs w:val="24"/>
        </w:rPr>
        <w:t>[Footnote 17]: In cases involving a state or local government’s use of PATs to screen law enforcement applicants, the Department of Justice (DOJ), not the EEOC, has authority to bring any lawsuit on behalf of the government…. The DOJ has challenged PATs as discriminatory against women. See ,e.g., Lanning v. Southeastern Penn. Transp. Auth.,181 F.3d 478 (3dCir.1999); United States v. Massachusetts, 781 F.Supp.2d 1(D.Mass.2011) (challenging PAT that has disparate impact against women for prison guard jobs); United States v. City of Erie, 411F.Supp.2d 524 (W.D.Pa.2005)(finding for plaintiff DOJ that unitary PAT for police officers created a disparate impact and the defendant failed to prove that requiring a unitary test time was sufficiently job‐related.”</w:t>
      </w:r>
    </w:p>
    <w:p w14:paraId="56E8EC3E" w14:textId="77777777" w:rsidR="00177094" w:rsidRPr="004236BE" w:rsidRDefault="00177094" w:rsidP="00177094">
      <w:pPr>
        <w:pStyle w:val="NoSpacing"/>
        <w:rPr>
          <w:rFonts w:ascii="Times New Roman" w:hAnsi="Times New Roman"/>
          <w:b/>
          <w:bCs/>
          <w:sz w:val="24"/>
          <w:szCs w:val="24"/>
        </w:rPr>
      </w:pPr>
    </w:p>
    <w:p w14:paraId="28E9E0FF" w14:textId="77777777" w:rsidR="00177094" w:rsidRDefault="00177094" w:rsidP="002B1283">
      <w:pPr>
        <w:rPr>
          <w:rFonts w:ascii="Arial Black" w:hAnsi="Arial Black"/>
          <w:b/>
          <w:sz w:val="24"/>
          <w:szCs w:val="24"/>
        </w:rPr>
      </w:pPr>
    </w:p>
    <w:p w14:paraId="337AF670" w14:textId="1C1670B9" w:rsidR="00DE0F03" w:rsidRDefault="00DE0F03" w:rsidP="002B1283">
      <w:pPr>
        <w:rPr>
          <w:rFonts w:ascii="Arial Black" w:hAnsi="Arial Black"/>
          <w:sz w:val="32"/>
          <w:szCs w:val="32"/>
        </w:rPr>
      </w:pPr>
      <w:r>
        <w:rPr>
          <w:rFonts w:ascii="Arial Black" w:hAnsi="Arial Black"/>
          <w:b/>
          <w:sz w:val="24"/>
          <w:szCs w:val="24"/>
        </w:rPr>
        <w:t>7</w:t>
      </w:r>
      <w:r w:rsidRPr="00EF1133">
        <w:rPr>
          <w:rFonts w:ascii="Arial Black" w:hAnsi="Arial Black"/>
          <w:b/>
          <w:sz w:val="24"/>
          <w:szCs w:val="24"/>
        </w:rPr>
        <w:t>-</w:t>
      </w:r>
      <w:r w:rsidR="005B0774">
        <w:rPr>
          <w:rFonts w:ascii="Arial Black" w:hAnsi="Arial Black"/>
          <w:b/>
          <w:sz w:val="24"/>
          <w:szCs w:val="24"/>
        </w:rPr>
        <w:t>1</w:t>
      </w:r>
      <w:r w:rsidR="00AE0ACC">
        <w:rPr>
          <w:rFonts w:ascii="Arial Black" w:hAnsi="Arial Black"/>
          <w:b/>
          <w:sz w:val="24"/>
          <w:szCs w:val="24"/>
        </w:rPr>
        <w:t>0</w:t>
      </w:r>
    </w:p>
    <w:p w14:paraId="47EF7F9B" w14:textId="6029825C" w:rsidR="002B1283" w:rsidRPr="00DB1DCD" w:rsidRDefault="002B1283" w:rsidP="002B1283">
      <w:pPr>
        <w:rPr>
          <w:rFonts w:ascii="Arial Black" w:hAnsi="Arial Black"/>
          <w:sz w:val="32"/>
          <w:szCs w:val="32"/>
        </w:rPr>
      </w:pPr>
      <w:r>
        <w:rPr>
          <w:rFonts w:ascii="Arial Black" w:hAnsi="Arial Black"/>
          <w:sz w:val="32"/>
          <w:szCs w:val="32"/>
        </w:rPr>
        <w:t xml:space="preserve">TX:  DEP. FIRE CHIEF RESIGNED AFTER HE FACED TWO SEXUAL </w:t>
      </w:r>
      <w:proofErr w:type="gramStart"/>
      <w:r>
        <w:rPr>
          <w:rFonts w:ascii="Arial Black" w:hAnsi="Arial Black"/>
          <w:sz w:val="32"/>
          <w:szCs w:val="32"/>
        </w:rPr>
        <w:t>HARASSMENT</w:t>
      </w:r>
      <w:proofErr w:type="gramEnd"/>
      <w:r>
        <w:rPr>
          <w:rFonts w:ascii="Arial Black" w:hAnsi="Arial Black"/>
          <w:sz w:val="32"/>
          <w:szCs w:val="32"/>
        </w:rPr>
        <w:t xml:space="preserve"> INVEST – LAWSUIT DISMISSAL UPHELD </w:t>
      </w:r>
    </w:p>
    <w:p w14:paraId="49FF3114" w14:textId="4AF790DE" w:rsidR="002B1283" w:rsidRDefault="002B1283" w:rsidP="002B1283">
      <w:pPr>
        <w:rPr>
          <w:rFonts w:ascii="Times New Roman" w:hAnsi="Times New Roman"/>
          <w:sz w:val="24"/>
          <w:szCs w:val="24"/>
        </w:rPr>
      </w:pPr>
      <w:r w:rsidRPr="00DB1DCD">
        <w:rPr>
          <w:rFonts w:ascii="Times New Roman" w:hAnsi="Times New Roman"/>
          <w:sz w:val="24"/>
          <w:szCs w:val="24"/>
        </w:rPr>
        <w:t xml:space="preserve">On July 10, 2019, in </w:t>
      </w:r>
      <w:r w:rsidRPr="00DB1DCD">
        <w:rPr>
          <w:rFonts w:ascii="Times New Roman" w:hAnsi="Times New Roman"/>
          <w:sz w:val="24"/>
          <w:szCs w:val="24"/>
          <w:u w:val="single"/>
        </w:rPr>
        <w:t>Carlos Mandujano v. City of Pharr, Texas</w:t>
      </w:r>
      <w:r w:rsidRPr="00DB1DCD">
        <w:rPr>
          <w:rFonts w:ascii="Times New Roman" w:hAnsi="Times New Roman"/>
          <w:sz w:val="24"/>
          <w:szCs w:val="24"/>
        </w:rPr>
        <w:t xml:space="preserve">, </w:t>
      </w:r>
      <w:r>
        <w:rPr>
          <w:rFonts w:ascii="Times New Roman" w:hAnsi="Times New Roman"/>
          <w:sz w:val="24"/>
          <w:szCs w:val="24"/>
        </w:rPr>
        <w:t xml:space="preserve">the U.S. Court of Appeals for the Fifth Circuit held (3 to 0; unpublished opinion ) that the U.S. District Court judge had properly dismissed his lawsuit claiming the City’s investigations created a hostile work environment and resulted in his “constructive discharge.” </w:t>
      </w:r>
    </w:p>
    <w:p w14:paraId="5E0AA8F3" w14:textId="77777777" w:rsidR="002B1283" w:rsidRDefault="002B1283" w:rsidP="002B1283">
      <w:pPr>
        <w:pStyle w:val="NoSpacing"/>
        <w:ind w:left="720"/>
        <w:rPr>
          <w:rFonts w:ascii="Times New Roman" w:hAnsi="Times New Roman"/>
          <w:sz w:val="24"/>
          <w:szCs w:val="24"/>
        </w:rPr>
      </w:pPr>
      <w:r>
        <w:rPr>
          <w:rFonts w:ascii="Times New Roman" w:hAnsi="Times New Roman"/>
          <w:sz w:val="24"/>
          <w:szCs w:val="24"/>
        </w:rPr>
        <w:t>“</w:t>
      </w:r>
      <w:r w:rsidRPr="00AC2240">
        <w:rPr>
          <w:rFonts w:ascii="Times New Roman" w:hAnsi="Times New Roman"/>
          <w:sz w:val="24"/>
          <w:szCs w:val="24"/>
        </w:rPr>
        <w:t xml:space="preserve">Mandujano’s sex-discrimination claim rests on a theory that the City’s investigations into him created a hostile work environment and resulted in his constructive discharge. To state a claim of constructive discharge, a plaintiff must allege that working conditions became </w:t>
      </w:r>
      <w:r>
        <w:rPr>
          <w:rFonts w:ascii="Times New Roman" w:hAnsi="Times New Roman"/>
          <w:sz w:val="24"/>
          <w:szCs w:val="24"/>
        </w:rPr>
        <w:t>‘</w:t>
      </w:r>
      <w:r w:rsidRPr="00AC2240">
        <w:rPr>
          <w:rFonts w:ascii="Times New Roman" w:hAnsi="Times New Roman"/>
          <w:sz w:val="24"/>
          <w:szCs w:val="24"/>
        </w:rPr>
        <w:t>so intolerable that a reasonable person would have felt compelled to resign.</w:t>
      </w:r>
      <w:r>
        <w:rPr>
          <w:rFonts w:ascii="Times New Roman" w:hAnsi="Times New Roman"/>
          <w:sz w:val="24"/>
          <w:szCs w:val="24"/>
        </w:rPr>
        <w:t>’</w:t>
      </w:r>
      <w:r w:rsidRPr="00AC2240">
        <w:rPr>
          <w:rFonts w:ascii="Times New Roman" w:hAnsi="Times New Roman"/>
          <w:sz w:val="24"/>
          <w:szCs w:val="24"/>
        </w:rPr>
        <w:t xml:space="preserve"> Pa. State Police v. Suders, 542 U.S. 129, 147 (2004). Mandujano’s initial complaint did not plausibly allege that this occurred</w:t>
      </w:r>
      <w:r>
        <w:rPr>
          <w:rFonts w:ascii="Times New Roman" w:hAnsi="Times New Roman"/>
          <w:sz w:val="24"/>
          <w:szCs w:val="24"/>
        </w:rPr>
        <w:t>.”</w:t>
      </w:r>
    </w:p>
    <w:p w14:paraId="5A006691" w14:textId="77777777" w:rsidR="002B1283" w:rsidRDefault="002B1283" w:rsidP="002B1283">
      <w:pPr>
        <w:ind w:left="720"/>
        <w:rPr>
          <w:rFonts w:ascii="Times New Roman" w:hAnsi="Times New Roman"/>
          <w:sz w:val="24"/>
          <w:szCs w:val="24"/>
        </w:rPr>
      </w:pPr>
      <w:hyperlink r:id="rId1474" w:history="1">
        <w:r w:rsidRPr="00455844">
          <w:rPr>
            <w:rStyle w:val="Hyperlink"/>
            <w:rFonts w:ascii="Times New Roman" w:hAnsi="Times New Roman"/>
            <w:sz w:val="24"/>
            <w:szCs w:val="24"/>
          </w:rPr>
          <w:t>https://cases.justia.com/federal/appellate-courts/ca5/18-40561/18-40561-2019-07-10.pdf?ts=1562779857</w:t>
        </w:r>
      </w:hyperlink>
      <w:r>
        <w:rPr>
          <w:rFonts w:ascii="Times New Roman" w:hAnsi="Times New Roman"/>
          <w:sz w:val="24"/>
          <w:szCs w:val="24"/>
        </w:rPr>
        <w:t xml:space="preserve"> </w:t>
      </w:r>
    </w:p>
    <w:p w14:paraId="7DD8EB69" w14:textId="003E4D2B" w:rsidR="00AE0ACC" w:rsidRDefault="002B1283" w:rsidP="00AE0ACC">
      <w:pPr>
        <w:rPr>
          <w:rFonts w:ascii="Times New Roman" w:hAnsi="Times New Roman"/>
          <w:sz w:val="24"/>
          <w:szCs w:val="24"/>
        </w:rPr>
      </w:pPr>
      <w:r w:rsidRPr="002A20ED">
        <w:rPr>
          <w:rFonts w:ascii="Times New Roman" w:hAnsi="Times New Roman"/>
          <w:b/>
          <w:bCs/>
          <w:sz w:val="24"/>
          <w:szCs w:val="24"/>
        </w:rPr>
        <w:t xml:space="preserve">Legal Lessons Learned: </w:t>
      </w:r>
      <w:r>
        <w:rPr>
          <w:rFonts w:ascii="Times New Roman" w:hAnsi="Times New Roman"/>
          <w:b/>
          <w:bCs/>
          <w:sz w:val="24"/>
          <w:szCs w:val="24"/>
        </w:rPr>
        <w:t xml:space="preserve"> Fire &amp; EMS departments, like other employers, have an obligation to investigate claims of sexual harassment; individuals being investigated may obviously feel uncomfortable, but that does not support a claim of hostile workplace.</w:t>
      </w:r>
      <w:r w:rsidR="00AE0ACC">
        <w:rPr>
          <w:rFonts w:ascii="Times New Roman" w:hAnsi="Times New Roman"/>
          <w:b/>
          <w:bCs/>
          <w:sz w:val="24"/>
          <w:szCs w:val="24"/>
        </w:rPr>
        <w:t xml:space="preserve">  </w:t>
      </w:r>
      <w:r w:rsidR="00AE0ACC">
        <w:rPr>
          <w:rFonts w:ascii="Times New Roman" w:hAnsi="Times New Roman"/>
          <w:sz w:val="24"/>
          <w:szCs w:val="24"/>
        </w:rPr>
        <w:t xml:space="preserve">Note:  On Sept. 4, </w:t>
      </w:r>
      <w:proofErr w:type="gramStart"/>
      <w:r w:rsidR="00AE0ACC">
        <w:rPr>
          <w:rFonts w:ascii="Times New Roman" w:hAnsi="Times New Roman"/>
          <w:sz w:val="24"/>
          <w:szCs w:val="24"/>
        </w:rPr>
        <w:t>2019</w:t>
      </w:r>
      <w:proofErr w:type="gramEnd"/>
      <w:r w:rsidR="00AE0ACC">
        <w:rPr>
          <w:rFonts w:ascii="Times New Roman" w:hAnsi="Times New Roman"/>
          <w:sz w:val="24"/>
          <w:szCs w:val="24"/>
        </w:rPr>
        <w:t xml:space="preserve"> the 5</w:t>
      </w:r>
      <w:r w:rsidR="00AE0ACC" w:rsidRPr="00D773BE">
        <w:rPr>
          <w:rFonts w:ascii="Times New Roman" w:hAnsi="Times New Roman"/>
          <w:sz w:val="24"/>
          <w:szCs w:val="24"/>
          <w:vertAlign w:val="superscript"/>
        </w:rPr>
        <w:t>th</w:t>
      </w:r>
      <w:r w:rsidR="00AE0ACC">
        <w:rPr>
          <w:rFonts w:ascii="Times New Roman" w:hAnsi="Times New Roman"/>
          <w:sz w:val="24"/>
          <w:szCs w:val="24"/>
        </w:rPr>
        <w:t xml:space="preserve"> Circuit filed replacement opinion, but with same conclusion – lawsuit properly dismissed: </w:t>
      </w:r>
      <w:hyperlink r:id="rId1475" w:history="1">
        <w:r w:rsidR="00AE0ACC" w:rsidRPr="000D05D3">
          <w:rPr>
            <w:rStyle w:val="Hyperlink"/>
            <w:rFonts w:ascii="Times New Roman" w:hAnsi="Times New Roman"/>
            <w:sz w:val="24"/>
            <w:szCs w:val="24"/>
          </w:rPr>
          <w:t>http://www.ca5.uscourts.gov/opinions/unpub/18/18-40561.1.pdf</w:t>
        </w:r>
      </w:hyperlink>
    </w:p>
    <w:p w14:paraId="00F957E0" w14:textId="56A19E52" w:rsidR="00AE0ACC" w:rsidRDefault="00AE0ACC" w:rsidP="002B1283">
      <w:pPr>
        <w:pStyle w:val="NoSpacing"/>
        <w:rPr>
          <w:rFonts w:ascii="Times New Roman" w:hAnsi="Times New Roman"/>
          <w:sz w:val="24"/>
          <w:szCs w:val="24"/>
        </w:rPr>
      </w:pPr>
    </w:p>
    <w:p w14:paraId="1143A3EE" w14:textId="77777777" w:rsidR="00BF4DDE" w:rsidRPr="00AE0ACC" w:rsidRDefault="00BF4DDE" w:rsidP="002B1283">
      <w:pPr>
        <w:pStyle w:val="NoSpacing"/>
        <w:rPr>
          <w:rFonts w:ascii="Times New Roman" w:hAnsi="Times New Roman"/>
          <w:sz w:val="24"/>
          <w:szCs w:val="24"/>
        </w:rPr>
      </w:pPr>
    </w:p>
    <w:p w14:paraId="76CAA9EE" w14:textId="77777777" w:rsidR="00AE0ACC" w:rsidRDefault="00AE0ACC" w:rsidP="00DE0F03">
      <w:pPr>
        <w:rPr>
          <w:rFonts w:ascii="Arial Black" w:hAnsi="Arial Black"/>
          <w:b/>
          <w:sz w:val="24"/>
          <w:szCs w:val="24"/>
        </w:rPr>
      </w:pPr>
    </w:p>
    <w:p w14:paraId="33DD32B8" w14:textId="376347EA" w:rsidR="002B1283" w:rsidRDefault="00DE0F03" w:rsidP="00DE0F03">
      <w:pPr>
        <w:rPr>
          <w:rFonts w:ascii="Arial Black" w:hAnsi="Arial Black"/>
          <w:sz w:val="28"/>
          <w:szCs w:val="28"/>
        </w:rPr>
      </w:pPr>
      <w:r>
        <w:rPr>
          <w:rFonts w:ascii="Arial Black" w:hAnsi="Arial Black"/>
          <w:b/>
          <w:sz w:val="24"/>
          <w:szCs w:val="24"/>
        </w:rPr>
        <w:t>7</w:t>
      </w:r>
      <w:r w:rsidRPr="00EF1133">
        <w:rPr>
          <w:rFonts w:ascii="Arial Black" w:hAnsi="Arial Black"/>
          <w:b/>
          <w:sz w:val="24"/>
          <w:szCs w:val="24"/>
        </w:rPr>
        <w:t>-</w:t>
      </w:r>
      <w:r w:rsidR="005B0774">
        <w:rPr>
          <w:rFonts w:ascii="Arial Black" w:hAnsi="Arial Black"/>
          <w:b/>
          <w:sz w:val="24"/>
          <w:szCs w:val="24"/>
        </w:rPr>
        <w:t>9</w:t>
      </w:r>
    </w:p>
    <w:p w14:paraId="0D9A3912" w14:textId="57460290" w:rsidR="002B1283" w:rsidRPr="00E232C6" w:rsidRDefault="002B1283" w:rsidP="002B1283">
      <w:pPr>
        <w:pStyle w:val="NoSpacing"/>
        <w:rPr>
          <w:rFonts w:ascii="Arial Black" w:hAnsi="Arial Black"/>
          <w:sz w:val="28"/>
          <w:szCs w:val="28"/>
        </w:rPr>
      </w:pPr>
      <w:r w:rsidRPr="00E232C6">
        <w:rPr>
          <w:rFonts w:ascii="Arial Black" w:hAnsi="Arial Black"/>
          <w:sz w:val="28"/>
          <w:szCs w:val="28"/>
        </w:rPr>
        <w:t xml:space="preserve">PA: </w:t>
      </w:r>
      <w:r>
        <w:rPr>
          <w:rFonts w:ascii="Arial Black" w:hAnsi="Arial Black"/>
          <w:sz w:val="28"/>
          <w:szCs w:val="28"/>
        </w:rPr>
        <w:t>PHILADELPHIA FD – FIRST FEMALE DEPUTY COMM. – LAWSUIT FOR HOSTILE WORKPLACE DISMISSED</w:t>
      </w:r>
    </w:p>
    <w:p w14:paraId="708C26B3" w14:textId="77777777" w:rsidR="002B1283" w:rsidRDefault="002B1283" w:rsidP="002B1283">
      <w:pPr>
        <w:pStyle w:val="NoSpacing"/>
        <w:rPr>
          <w:rFonts w:ascii="Times New Roman" w:hAnsi="Times New Roman"/>
          <w:sz w:val="24"/>
          <w:szCs w:val="24"/>
        </w:rPr>
      </w:pPr>
    </w:p>
    <w:p w14:paraId="4BB5A5F3" w14:textId="77777777" w:rsidR="002B1283" w:rsidRDefault="002B1283" w:rsidP="002B1283">
      <w:pPr>
        <w:pStyle w:val="NoSpacing"/>
        <w:rPr>
          <w:rFonts w:ascii="Times New Roman" w:hAnsi="Times New Roman"/>
          <w:sz w:val="24"/>
          <w:szCs w:val="24"/>
        </w:rPr>
      </w:pPr>
      <w:r w:rsidRPr="008522B7">
        <w:rPr>
          <w:rFonts w:ascii="Times New Roman" w:hAnsi="Times New Roman"/>
          <w:sz w:val="24"/>
          <w:szCs w:val="24"/>
        </w:rPr>
        <w:t xml:space="preserve">On July 9, 2019, in </w:t>
      </w:r>
      <w:r w:rsidRPr="008522B7">
        <w:rPr>
          <w:rFonts w:ascii="Times New Roman" w:hAnsi="Times New Roman"/>
          <w:sz w:val="24"/>
          <w:szCs w:val="24"/>
          <w:u w:val="single"/>
        </w:rPr>
        <w:t>Diane M. Schweizer v. City of Philadelphia</w:t>
      </w:r>
      <w:r w:rsidRPr="008522B7">
        <w:rPr>
          <w:rFonts w:ascii="Times New Roman" w:hAnsi="Times New Roman"/>
          <w:sz w:val="24"/>
          <w:szCs w:val="24"/>
        </w:rPr>
        <w:t xml:space="preserve">, U.S. Magistrate Judge Jacob P. Hart granted the City’s motion for summary judgment. </w:t>
      </w:r>
    </w:p>
    <w:p w14:paraId="12AC3E1C" w14:textId="77777777" w:rsidR="002B1283" w:rsidRDefault="002B1283" w:rsidP="002B1283">
      <w:pPr>
        <w:pStyle w:val="NoSpacing"/>
        <w:rPr>
          <w:rFonts w:ascii="Times New Roman" w:hAnsi="Times New Roman"/>
          <w:sz w:val="24"/>
          <w:szCs w:val="24"/>
        </w:rPr>
      </w:pPr>
    </w:p>
    <w:p w14:paraId="74D7820C" w14:textId="77777777" w:rsidR="002B1283" w:rsidRDefault="002B1283" w:rsidP="002B1283">
      <w:pPr>
        <w:pStyle w:val="NoSpacing"/>
        <w:ind w:left="720"/>
        <w:rPr>
          <w:rFonts w:ascii="Times New Roman" w:hAnsi="Times New Roman"/>
          <w:sz w:val="24"/>
          <w:szCs w:val="24"/>
        </w:rPr>
      </w:pPr>
      <w:r>
        <w:rPr>
          <w:rFonts w:ascii="Times New Roman" w:hAnsi="Times New Roman"/>
          <w:sz w:val="24"/>
          <w:szCs w:val="24"/>
        </w:rPr>
        <w:t>“</w:t>
      </w:r>
      <w:r w:rsidRPr="003660EC">
        <w:rPr>
          <w:rFonts w:ascii="Times New Roman" w:hAnsi="Times New Roman"/>
          <w:sz w:val="24"/>
          <w:szCs w:val="24"/>
        </w:rPr>
        <w:t>At her deposition, Schweizer admitted time and time again that she had no facts to support her belief that her gender underlay the treatment of which she complained. She may indeed have developed a hunch that she would have been treated better if she had been a man, but this is not enough to survive summary judgment</w:t>
      </w:r>
      <w:r>
        <w:rPr>
          <w:rFonts w:ascii="Times New Roman" w:hAnsi="Times New Roman"/>
          <w:sz w:val="24"/>
          <w:szCs w:val="24"/>
        </w:rPr>
        <w:t>.”</w:t>
      </w:r>
    </w:p>
    <w:p w14:paraId="0AA50A50" w14:textId="77777777" w:rsidR="002B1283" w:rsidRDefault="002B1283" w:rsidP="002B1283">
      <w:pPr>
        <w:pStyle w:val="NoSpacing"/>
        <w:ind w:left="720"/>
        <w:rPr>
          <w:rFonts w:ascii="Times New Roman" w:hAnsi="Times New Roman"/>
          <w:sz w:val="24"/>
          <w:szCs w:val="24"/>
        </w:rPr>
      </w:pPr>
      <w:hyperlink r:id="rId1476" w:history="1">
        <w:r w:rsidRPr="00455844">
          <w:rPr>
            <w:rStyle w:val="Hyperlink"/>
            <w:rFonts w:ascii="Times New Roman" w:hAnsi="Times New Roman"/>
            <w:sz w:val="24"/>
            <w:szCs w:val="24"/>
          </w:rPr>
          <w:t>https://cases.justia.com/federal/district-courts/pennsylvania/paedce/2:2017cv05388/537208/50/0.pdf?ts=1562761562</w:t>
        </w:r>
      </w:hyperlink>
      <w:r w:rsidRPr="008522B7">
        <w:rPr>
          <w:rFonts w:ascii="Times New Roman" w:hAnsi="Times New Roman"/>
          <w:sz w:val="24"/>
          <w:szCs w:val="24"/>
        </w:rPr>
        <w:t xml:space="preserve"> </w:t>
      </w:r>
    </w:p>
    <w:p w14:paraId="78894D97" w14:textId="77777777" w:rsidR="002B1283" w:rsidRDefault="002B1283" w:rsidP="002B1283">
      <w:pPr>
        <w:pStyle w:val="NoSpacing"/>
        <w:rPr>
          <w:rFonts w:ascii="Times New Roman" w:hAnsi="Times New Roman"/>
          <w:sz w:val="24"/>
          <w:szCs w:val="24"/>
        </w:rPr>
      </w:pPr>
    </w:p>
    <w:p w14:paraId="63EF3A89" w14:textId="77777777" w:rsidR="002B1283" w:rsidRPr="003660EC" w:rsidRDefault="002B1283" w:rsidP="002B1283">
      <w:pPr>
        <w:pStyle w:val="NoSpacing"/>
        <w:rPr>
          <w:rFonts w:ascii="Times New Roman" w:hAnsi="Times New Roman"/>
          <w:sz w:val="24"/>
          <w:szCs w:val="24"/>
        </w:rPr>
      </w:pPr>
    </w:p>
    <w:p w14:paraId="6BA57AE0" w14:textId="77777777" w:rsidR="002B1283" w:rsidRPr="00491621" w:rsidRDefault="002B1283" w:rsidP="002B1283">
      <w:pPr>
        <w:pStyle w:val="NoSpacing"/>
        <w:rPr>
          <w:rFonts w:ascii="Times New Roman" w:hAnsi="Times New Roman"/>
          <w:b/>
          <w:bCs/>
          <w:sz w:val="24"/>
          <w:szCs w:val="24"/>
        </w:rPr>
      </w:pPr>
      <w:r w:rsidRPr="00491621">
        <w:rPr>
          <w:rFonts w:ascii="Times New Roman" w:hAnsi="Times New Roman"/>
          <w:b/>
          <w:bCs/>
          <w:sz w:val="24"/>
          <w:szCs w:val="24"/>
        </w:rPr>
        <w:t xml:space="preserve">Legal Lessons Learned: The EEOC’s description of workplace harassment includes following: “Petty slights, annoyances, and isolated incidents (unless extremely serious) will not rise to the level of illegality. To be unlawful, the conduct must create a work environment that would be intimidating, hostile, or offensive to reasonable people.”  </w:t>
      </w:r>
      <w:hyperlink r:id="rId1477" w:history="1">
        <w:r w:rsidRPr="00491621">
          <w:rPr>
            <w:rStyle w:val="Hyperlink"/>
            <w:rFonts w:ascii="Times New Roman" w:hAnsi="Times New Roman"/>
            <w:b/>
            <w:bCs/>
            <w:sz w:val="24"/>
            <w:szCs w:val="24"/>
          </w:rPr>
          <w:t>https://www.eeoc.gov/laws/types/harassment.cfm</w:t>
        </w:r>
      </w:hyperlink>
      <w:r w:rsidRPr="00491621">
        <w:rPr>
          <w:rFonts w:ascii="Times New Roman" w:hAnsi="Times New Roman"/>
          <w:b/>
          <w:bCs/>
          <w:sz w:val="24"/>
          <w:szCs w:val="24"/>
        </w:rPr>
        <w:t xml:space="preserve"> </w:t>
      </w:r>
    </w:p>
    <w:p w14:paraId="4667CCCD" w14:textId="77777777" w:rsidR="002B1283" w:rsidRDefault="002B1283" w:rsidP="002B1283">
      <w:pPr>
        <w:pStyle w:val="NoSpacing"/>
        <w:ind w:left="1440"/>
        <w:rPr>
          <w:rFonts w:ascii="Times New Roman" w:hAnsi="Times New Roman"/>
          <w:sz w:val="24"/>
          <w:szCs w:val="24"/>
        </w:rPr>
      </w:pPr>
    </w:p>
    <w:p w14:paraId="4079436D" w14:textId="05677F3F" w:rsidR="002B1283" w:rsidRDefault="002B1283" w:rsidP="00F326E5">
      <w:pPr>
        <w:pStyle w:val="NoSpacing"/>
        <w:rPr>
          <w:sz w:val="24"/>
          <w:szCs w:val="24"/>
        </w:rPr>
      </w:pPr>
    </w:p>
    <w:p w14:paraId="6E927A73" w14:textId="5C6E2D04" w:rsidR="00DE0F03" w:rsidRDefault="00DE0F03" w:rsidP="002B1283">
      <w:pPr>
        <w:rPr>
          <w:rFonts w:ascii="Arial Black" w:hAnsi="Arial Black"/>
          <w:sz w:val="28"/>
          <w:szCs w:val="28"/>
        </w:rPr>
      </w:pPr>
      <w:r>
        <w:rPr>
          <w:rFonts w:ascii="Arial Black" w:hAnsi="Arial Black"/>
          <w:b/>
          <w:sz w:val="24"/>
          <w:szCs w:val="24"/>
        </w:rPr>
        <w:t>7</w:t>
      </w:r>
      <w:r w:rsidRPr="00EF1133">
        <w:rPr>
          <w:rFonts w:ascii="Arial Black" w:hAnsi="Arial Black"/>
          <w:b/>
          <w:sz w:val="24"/>
          <w:szCs w:val="24"/>
        </w:rPr>
        <w:t>-</w:t>
      </w:r>
      <w:r w:rsidR="005B0774">
        <w:rPr>
          <w:rFonts w:ascii="Arial Black" w:hAnsi="Arial Black"/>
          <w:b/>
          <w:sz w:val="24"/>
          <w:szCs w:val="24"/>
        </w:rPr>
        <w:t>8</w:t>
      </w:r>
    </w:p>
    <w:p w14:paraId="2504BB21" w14:textId="6C575CDD" w:rsidR="002B1283" w:rsidRDefault="002B1283" w:rsidP="002B1283">
      <w:pPr>
        <w:rPr>
          <w:rFonts w:ascii="Arial Black" w:hAnsi="Arial Black"/>
          <w:sz w:val="28"/>
          <w:szCs w:val="28"/>
        </w:rPr>
      </w:pPr>
      <w:r w:rsidRPr="00ED0F44">
        <w:rPr>
          <w:rFonts w:ascii="Arial Black" w:hAnsi="Arial Black"/>
          <w:sz w:val="28"/>
          <w:szCs w:val="28"/>
        </w:rPr>
        <w:t xml:space="preserve">IL: </w:t>
      </w:r>
      <w:r>
        <w:rPr>
          <w:rFonts w:ascii="Arial Black" w:hAnsi="Arial Black"/>
          <w:sz w:val="28"/>
          <w:szCs w:val="28"/>
        </w:rPr>
        <w:t xml:space="preserve">CHICAGO FEMALE MEDICS (5) SUE FOR INADEQUATE INVEST – MAY SEE COMPLAINT / INVESTIGATION FILE OF MALE RIDE-ALONG </w:t>
      </w:r>
    </w:p>
    <w:p w14:paraId="418BAB3E" w14:textId="77777777" w:rsidR="002B1283" w:rsidRDefault="002B1283" w:rsidP="002B1283">
      <w:pPr>
        <w:pStyle w:val="NoSpacing"/>
        <w:rPr>
          <w:rFonts w:ascii="Times New Roman" w:hAnsi="Times New Roman"/>
          <w:sz w:val="24"/>
          <w:szCs w:val="24"/>
        </w:rPr>
      </w:pPr>
      <w:r w:rsidRPr="000F4C26">
        <w:rPr>
          <w:rFonts w:ascii="Times New Roman" w:hAnsi="Times New Roman"/>
          <w:sz w:val="24"/>
          <w:szCs w:val="24"/>
        </w:rPr>
        <w:t xml:space="preserve">On July 9, 2019, in </w:t>
      </w:r>
      <w:r w:rsidRPr="000F4C26">
        <w:rPr>
          <w:rFonts w:ascii="Times New Roman" w:hAnsi="Times New Roman"/>
          <w:sz w:val="24"/>
          <w:szCs w:val="24"/>
          <w:u w:val="single"/>
        </w:rPr>
        <w:t>Jane Does 1-5 v. City of Chicago</w:t>
      </w:r>
      <w:r w:rsidRPr="000F4C26">
        <w:rPr>
          <w:rFonts w:ascii="Times New Roman" w:hAnsi="Times New Roman"/>
          <w:sz w:val="24"/>
          <w:szCs w:val="24"/>
        </w:rPr>
        <w:t xml:space="preserve">, U.S. District Court Magistrate Judge Sunil R. Harjani granted the plaintiffs’ motion to compel the </w:t>
      </w:r>
      <w:proofErr w:type="gramStart"/>
      <w:r w:rsidRPr="000F4C26">
        <w:rPr>
          <w:rFonts w:ascii="Times New Roman" w:hAnsi="Times New Roman"/>
          <w:sz w:val="24"/>
          <w:szCs w:val="24"/>
        </w:rPr>
        <w:t>City</w:t>
      </w:r>
      <w:proofErr w:type="gramEnd"/>
      <w:r w:rsidRPr="000F4C26">
        <w:rPr>
          <w:rFonts w:ascii="Times New Roman" w:hAnsi="Times New Roman"/>
          <w:sz w:val="24"/>
          <w:szCs w:val="24"/>
        </w:rPr>
        <w:t xml:space="preserve"> to produce a male student’s allegation that the City’s fire department’s employee sexual assaulted and harassed him during an observational ride-along.</w:t>
      </w:r>
      <w:r>
        <w:rPr>
          <w:rFonts w:ascii="Times New Roman" w:hAnsi="Times New Roman"/>
          <w:sz w:val="24"/>
          <w:szCs w:val="24"/>
        </w:rPr>
        <w:t xml:space="preserve"> </w:t>
      </w:r>
    </w:p>
    <w:p w14:paraId="26354397" w14:textId="77777777" w:rsidR="002B1283" w:rsidRDefault="002B1283" w:rsidP="002B1283">
      <w:pPr>
        <w:pStyle w:val="NoSpacing"/>
        <w:rPr>
          <w:rFonts w:ascii="Times New Roman" w:hAnsi="Times New Roman"/>
          <w:sz w:val="24"/>
          <w:szCs w:val="24"/>
        </w:rPr>
      </w:pPr>
    </w:p>
    <w:p w14:paraId="2345FE8B" w14:textId="2C3035EA" w:rsidR="00BF4DDE" w:rsidRPr="00BF4DDE" w:rsidRDefault="002B1283" w:rsidP="00BF4DDE">
      <w:pPr>
        <w:pStyle w:val="NoSpacing"/>
        <w:ind w:left="720"/>
        <w:rPr>
          <w:rFonts w:ascii="Times New Roman" w:hAnsi="Times New Roman"/>
          <w:sz w:val="24"/>
          <w:szCs w:val="24"/>
        </w:rPr>
      </w:pPr>
      <w:r>
        <w:rPr>
          <w:rFonts w:ascii="Times New Roman" w:hAnsi="Times New Roman"/>
          <w:sz w:val="24"/>
          <w:szCs w:val="24"/>
        </w:rPr>
        <w:t>“</w:t>
      </w:r>
      <w:r w:rsidRPr="000F4C26">
        <w:rPr>
          <w:rFonts w:ascii="Times New Roman" w:hAnsi="Times New Roman"/>
          <w:sz w:val="24"/>
          <w:szCs w:val="24"/>
        </w:rPr>
        <w:t xml:space="preserve">Differing treatment of one gender’s sexual misconduct allegations, compared to the other gender’s treatment, has been found to indicate </w:t>
      </w:r>
      <w:r>
        <w:rPr>
          <w:rFonts w:ascii="Times New Roman" w:hAnsi="Times New Roman"/>
          <w:sz w:val="24"/>
          <w:szCs w:val="24"/>
        </w:rPr>
        <w:t>‘</w:t>
      </w:r>
      <w:r w:rsidRPr="000F4C26">
        <w:rPr>
          <w:rFonts w:ascii="Times New Roman" w:hAnsi="Times New Roman"/>
          <w:sz w:val="24"/>
          <w:szCs w:val="24"/>
        </w:rPr>
        <w:t>an informal yet established custom or policy of discrimination</w:t>
      </w:r>
      <w:r>
        <w:rPr>
          <w:rFonts w:ascii="Times New Roman" w:hAnsi="Times New Roman"/>
          <w:sz w:val="24"/>
          <w:szCs w:val="24"/>
        </w:rPr>
        <w:t>’</w:t>
      </w:r>
      <w:r w:rsidRPr="000F4C26">
        <w:rPr>
          <w:rFonts w:ascii="Times New Roman" w:hAnsi="Times New Roman"/>
          <w:sz w:val="24"/>
          <w:szCs w:val="24"/>
        </w:rPr>
        <w:t xml:space="preserve"> against one gender while treating the other gender’s complaints more seriously. Hicks v. Sheahan, No. 03 C 0327, 2004 WL 3119016, at *18 (N.D. Ill. 2004).</w:t>
      </w:r>
      <w:r w:rsidR="00BF4DDE">
        <w:rPr>
          <w:rFonts w:ascii="Times New Roman" w:hAnsi="Times New Roman"/>
          <w:sz w:val="24"/>
          <w:szCs w:val="24"/>
        </w:rPr>
        <w:t xml:space="preserve"> *** </w:t>
      </w:r>
      <w:r w:rsidRPr="000F4C26">
        <w:rPr>
          <w:rFonts w:ascii="Times New Roman" w:hAnsi="Times New Roman"/>
          <w:sz w:val="24"/>
          <w:szCs w:val="24"/>
        </w:rPr>
        <w:t>Specifically, Plaintiffs’ motion seeks the student’s complaint, the OIG Report, witness statements, documents detailing the allegations, and documents that reflect the outcome of the investigation into the student’s allegation.</w:t>
      </w:r>
      <w:r w:rsidR="00BF4DDE">
        <w:rPr>
          <w:rFonts w:ascii="Times New Roman" w:hAnsi="Times New Roman"/>
          <w:sz w:val="24"/>
          <w:szCs w:val="24"/>
        </w:rPr>
        <w:t xml:space="preserve"> *** </w:t>
      </w:r>
      <w:r w:rsidRPr="000F4C26">
        <w:rPr>
          <w:rFonts w:ascii="Times New Roman" w:hAnsi="Times New Roman"/>
          <w:sz w:val="24"/>
          <w:szCs w:val="24"/>
        </w:rPr>
        <w:t xml:space="preserve">Plaintiffs argue that these documents are relevant to compare how Defendant treats male versus female sexual misconduct complainants. *** Here, the Complaint’s </w:t>
      </w:r>
      <w:r w:rsidRPr="000F4C26">
        <w:rPr>
          <w:rFonts w:ascii="Times New Roman" w:hAnsi="Times New Roman"/>
          <w:sz w:val="24"/>
          <w:szCs w:val="24"/>
          <w:u w:val="single"/>
        </w:rPr>
        <w:t xml:space="preserve">Monell [Monell v. </w:t>
      </w:r>
      <w:proofErr w:type="spellStart"/>
      <w:r w:rsidRPr="000F4C26">
        <w:rPr>
          <w:rFonts w:ascii="Times New Roman" w:hAnsi="Times New Roman"/>
          <w:sz w:val="24"/>
          <w:szCs w:val="24"/>
          <w:u w:val="single"/>
        </w:rPr>
        <w:t>Dep’t</w:t>
      </w:r>
      <w:proofErr w:type="spellEnd"/>
      <w:r w:rsidRPr="000F4C26">
        <w:rPr>
          <w:rFonts w:ascii="Times New Roman" w:hAnsi="Times New Roman"/>
          <w:sz w:val="24"/>
          <w:szCs w:val="24"/>
          <w:u w:val="single"/>
        </w:rPr>
        <w:t xml:space="preserve"> of Social Services</w:t>
      </w:r>
      <w:r w:rsidRPr="000F4C26">
        <w:rPr>
          <w:rFonts w:ascii="Times New Roman" w:hAnsi="Times New Roman"/>
          <w:sz w:val="24"/>
          <w:szCs w:val="24"/>
        </w:rPr>
        <w:t>, 436 U.S. 658 (1978)]</w:t>
      </w:r>
      <w:r>
        <w:rPr>
          <w:sz w:val="27"/>
          <w:szCs w:val="27"/>
        </w:rPr>
        <w:t xml:space="preserve"> </w:t>
      </w:r>
      <w:r w:rsidRPr="000F4C26">
        <w:rPr>
          <w:rFonts w:ascii="Times New Roman" w:hAnsi="Times New Roman"/>
          <w:sz w:val="24"/>
          <w:szCs w:val="24"/>
        </w:rPr>
        <w:t>claim alleges, in part, that Defendant had a discriminatory policy or practice of failing to adequately investigate and discipline its employees accused of sexual misconduct.</w:t>
      </w:r>
      <w:r w:rsidR="00BF4DDE">
        <w:rPr>
          <w:rFonts w:ascii="Times New Roman" w:hAnsi="Times New Roman"/>
          <w:sz w:val="24"/>
          <w:szCs w:val="24"/>
        </w:rPr>
        <w:t>”</w:t>
      </w:r>
      <w:hyperlink r:id="rId1478" w:history="1">
        <w:r w:rsidR="00BF4DDE" w:rsidRPr="002F304C">
          <w:rPr>
            <w:rStyle w:val="Hyperlink"/>
            <w:rFonts w:ascii="Times New Roman" w:hAnsi="Times New Roman"/>
            <w:sz w:val="24"/>
            <w:szCs w:val="24"/>
          </w:rPr>
          <w:t>https://law.justia.com/cases/federal/district-courts/illinois/ilndce/1:2018cv03054/351942/211/</w:t>
        </w:r>
      </w:hyperlink>
      <w:r w:rsidR="00BF4DDE" w:rsidRPr="00BF4DDE">
        <w:rPr>
          <w:rFonts w:ascii="Times New Roman" w:hAnsi="Times New Roman"/>
          <w:sz w:val="24"/>
          <w:szCs w:val="24"/>
        </w:rPr>
        <w:t xml:space="preserve"> </w:t>
      </w:r>
    </w:p>
    <w:p w14:paraId="073F3E01" w14:textId="4F42E546" w:rsidR="002B1283" w:rsidRDefault="002B1283" w:rsidP="002B1283">
      <w:pPr>
        <w:pStyle w:val="NoSpacing"/>
        <w:ind w:left="720"/>
        <w:rPr>
          <w:rFonts w:ascii="Times New Roman" w:hAnsi="Times New Roman"/>
          <w:sz w:val="24"/>
          <w:szCs w:val="24"/>
        </w:rPr>
      </w:pPr>
    </w:p>
    <w:p w14:paraId="79B82112" w14:textId="77777777" w:rsidR="002B1283" w:rsidRPr="00A217F1" w:rsidRDefault="002B1283" w:rsidP="002B1283">
      <w:pPr>
        <w:pStyle w:val="NoSpacing"/>
        <w:ind w:firstLine="720"/>
        <w:rPr>
          <w:rFonts w:ascii="Times New Roman" w:hAnsi="Times New Roman"/>
          <w:b/>
          <w:bCs/>
          <w:sz w:val="24"/>
          <w:szCs w:val="24"/>
        </w:rPr>
      </w:pPr>
    </w:p>
    <w:p w14:paraId="309B8F63" w14:textId="1B76C354" w:rsidR="002B1283" w:rsidRDefault="002B1283" w:rsidP="002B1283">
      <w:pPr>
        <w:pStyle w:val="NoSpacing"/>
        <w:rPr>
          <w:rFonts w:ascii="Times New Roman" w:hAnsi="Times New Roman"/>
          <w:b/>
          <w:bCs/>
          <w:sz w:val="24"/>
          <w:szCs w:val="24"/>
        </w:rPr>
      </w:pPr>
      <w:r w:rsidRPr="00A217F1">
        <w:rPr>
          <w:rFonts w:ascii="Times New Roman" w:hAnsi="Times New Roman"/>
          <w:b/>
          <w:bCs/>
          <w:sz w:val="24"/>
          <w:szCs w:val="24"/>
        </w:rPr>
        <w:lastRenderedPageBreak/>
        <w:t xml:space="preserve">Legal Lessons Learned:  Courts favor pre-trial discovery.  The U.S. Supreme Court in Monell held that municipalities can be liable under § 1983 for deprivations pursuant to official policy or entrenched practices. </w:t>
      </w:r>
    </w:p>
    <w:p w14:paraId="5AD8A041" w14:textId="77777777" w:rsidR="002B1283" w:rsidRPr="00A217F1" w:rsidRDefault="002B1283" w:rsidP="002B1283">
      <w:pPr>
        <w:pStyle w:val="NoSpacing"/>
        <w:rPr>
          <w:rFonts w:ascii="Times New Roman" w:hAnsi="Times New Roman"/>
          <w:b/>
          <w:bCs/>
          <w:sz w:val="24"/>
          <w:szCs w:val="24"/>
        </w:rPr>
      </w:pPr>
      <w:r w:rsidRPr="00A217F1">
        <w:rPr>
          <w:rFonts w:ascii="Times New Roman" w:hAnsi="Times New Roman"/>
          <w:b/>
          <w:bCs/>
          <w:sz w:val="24"/>
          <w:szCs w:val="24"/>
        </w:rPr>
        <w:t xml:space="preserve">Monell v. Department of Social Services, 436 U.S. 658 (1978). </w:t>
      </w:r>
      <w:hyperlink r:id="rId1479" w:history="1">
        <w:r w:rsidRPr="00455844">
          <w:rPr>
            <w:rStyle w:val="Hyperlink"/>
            <w:rFonts w:ascii="Times New Roman" w:hAnsi="Times New Roman"/>
            <w:b/>
            <w:bCs/>
            <w:sz w:val="24"/>
            <w:szCs w:val="24"/>
          </w:rPr>
          <w:t>https://caselaw.findlaw.com/us-supreme-court/436/658.html</w:t>
        </w:r>
      </w:hyperlink>
      <w:r>
        <w:rPr>
          <w:rFonts w:ascii="Times New Roman" w:hAnsi="Times New Roman"/>
          <w:b/>
          <w:bCs/>
          <w:sz w:val="24"/>
          <w:szCs w:val="24"/>
        </w:rPr>
        <w:t xml:space="preserve"> </w:t>
      </w:r>
    </w:p>
    <w:p w14:paraId="4388CEE8" w14:textId="77777777" w:rsidR="002B1283" w:rsidRDefault="002B1283" w:rsidP="002B1283">
      <w:pPr>
        <w:pStyle w:val="NoSpacing"/>
        <w:ind w:left="720"/>
        <w:rPr>
          <w:rFonts w:ascii="Times New Roman" w:hAnsi="Times New Roman"/>
          <w:sz w:val="24"/>
          <w:szCs w:val="24"/>
        </w:rPr>
      </w:pPr>
    </w:p>
    <w:p w14:paraId="72766655" w14:textId="77777777" w:rsidR="002B1283" w:rsidRPr="00E232C6" w:rsidRDefault="002B1283" w:rsidP="002B1283">
      <w:pPr>
        <w:pStyle w:val="NoSpacing"/>
        <w:ind w:left="720"/>
        <w:rPr>
          <w:rFonts w:ascii="Times New Roman" w:hAnsi="Times New Roman"/>
          <w:sz w:val="24"/>
          <w:szCs w:val="24"/>
        </w:rPr>
      </w:pPr>
      <w:r>
        <w:rPr>
          <w:rFonts w:ascii="Times New Roman" w:hAnsi="Times New Roman"/>
          <w:sz w:val="24"/>
          <w:szCs w:val="24"/>
        </w:rPr>
        <w:t>“</w:t>
      </w:r>
      <w:r w:rsidRPr="00E232C6">
        <w:rPr>
          <w:rFonts w:ascii="Times New Roman" w:hAnsi="Times New Roman"/>
          <w:sz w:val="24"/>
          <w:szCs w:val="24"/>
        </w:rPr>
        <w:t xml:space="preserve">To prevail on a Monell claim, a plaintiff must show that: </w:t>
      </w:r>
      <w:r>
        <w:rPr>
          <w:rFonts w:ascii="Times New Roman" w:hAnsi="Times New Roman"/>
          <w:sz w:val="24"/>
          <w:szCs w:val="24"/>
        </w:rPr>
        <w:t>‘</w:t>
      </w:r>
      <w:r w:rsidRPr="00E232C6">
        <w:rPr>
          <w:rFonts w:ascii="Times New Roman" w:hAnsi="Times New Roman"/>
          <w:sz w:val="24"/>
          <w:szCs w:val="24"/>
        </w:rPr>
        <w:t>(1) the City had an express policy that, when enforced, causes a constitutional deprivation; (2) the City had a widespread practice that, although not authorized by written law or express municipal policy, is so permanent and well settled as to constitute a custom or usage within the force of law; or (3) plaintiff's constitutional injury was caused by a person with final policymaking authority.</w:t>
      </w:r>
      <w:r>
        <w:rPr>
          <w:rFonts w:ascii="Times New Roman" w:hAnsi="Times New Roman"/>
          <w:sz w:val="24"/>
          <w:szCs w:val="24"/>
        </w:rPr>
        <w:t>’”</w:t>
      </w:r>
      <w:r w:rsidRPr="00E232C6">
        <w:t xml:space="preserve"> </w:t>
      </w:r>
      <w:hyperlink r:id="rId1480" w:history="1">
        <w:r w:rsidRPr="0028432B">
          <w:rPr>
            <w:rStyle w:val="Hyperlink"/>
            <w:rFonts w:ascii="Times New Roman" w:hAnsi="Times New Roman"/>
            <w:sz w:val="24"/>
            <w:szCs w:val="24"/>
          </w:rPr>
          <w:t>https://cases.justia.com/federal/district-courts/illinois/ilndce/1:2018cv03054/351942/211/0.pdf?ts=1558430418</w:t>
        </w:r>
      </w:hyperlink>
      <w:r>
        <w:rPr>
          <w:rFonts w:ascii="Times New Roman" w:hAnsi="Times New Roman"/>
          <w:sz w:val="24"/>
          <w:szCs w:val="24"/>
        </w:rPr>
        <w:t xml:space="preserve"> </w:t>
      </w:r>
    </w:p>
    <w:p w14:paraId="4340B2BB" w14:textId="77777777" w:rsidR="002B1283" w:rsidRDefault="002B1283" w:rsidP="002B1283">
      <w:pPr>
        <w:rPr>
          <w:rFonts w:ascii="Times New Roman" w:hAnsi="Times New Roman"/>
          <w:sz w:val="24"/>
          <w:szCs w:val="24"/>
        </w:rPr>
      </w:pPr>
    </w:p>
    <w:p w14:paraId="15D2623A" w14:textId="77777777" w:rsidR="0097592D" w:rsidRDefault="0097592D" w:rsidP="00F326E5">
      <w:pPr>
        <w:pStyle w:val="NoSpacing"/>
        <w:rPr>
          <w:rFonts w:ascii="Arial Black" w:hAnsi="Arial Black"/>
          <w:sz w:val="24"/>
          <w:szCs w:val="24"/>
        </w:rPr>
      </w:pPr>
    </w:p>
    <w:p w14:paraId="6E895166" w14:textId="1D425C0F" w:rsidR="002B1283" w:rsidRPr="005B0774" w:rsidRDefault="005B0774" w:rsidP="00F326E5">
      <w:pPr>
        <w:pStyle w:val="NoSpacing"/>
        <w:rPr>
          <w:rFonts w:ascii="Arial Black" w:hAnsi="Arial Black"/>
          <w:sz w:val="24"/>
          <w:szCs w:val="24"/>
        </w:rPr>
      </w:pPr>
      <w:r w:rsidRPr="005B0774">
        <w:rPr>
          <w:rFonts w:ascii="Arial Black" w:hAnsi="Arial Black"/>
          <w:sz w:val="24"/>
          <w:szCs w:val="24"/>
        </w:rPr>
        <w:t>7-7</w:t>
      </w:r>
    </w:p>
    <w:p w14:paraId="383E120A" w14:textId="0FE04715" w:rsidR="005B0774" w:rsidRDefault="005B0774" w:rsidP="00DE0F03">
      <w:pPr>
        <w:rPr>
          <w:rFonts w:ascii="Arial Black" w:hAnsi="Arial Black"/>
          <w:b/>
          <w:sz w:val="24"/>
          <w:szCs w:val="24"/>
        </w:rPr>
      </w:pPr>
    </w:p>
    <w:p w14:paraId="6AF499DB" w14:textId="77777777" w:rsidR="005B0774" w:rsidRPr="005B0774" w:rsidRDefault="005B0774" w:rsidP="00DE0F03">
      <w:pPr>
        <w:rPr>
          <w:rFonts w:ascii="Arial Black" w:hAnsi="Arial Black" w:cs="Arial"/>
          <w:sz w:val="28"/>
          <w:szCs w:val="28"/>
        </w:rPr>
      </w:pPr>
      <w:r w:rsidRPr="005B0774">
        <w:rPr>
          <w:rFonts w:ascii="Arial Black" w:hAnsi="Arial Black" w:cs="Arial"/>
          <w:sz w:val="28"/>
          <w:szCs w:val="28"/>
        </w:rPr>
        <w:t xml:space="preserve">NE: FEMALE FF “HOSTILE WORKPLACE” LAWSUIT MAY PROCEED – JUDGE REF. MALE CAPTAIN’S $1.1M JURY VERDICT AGAINST FD </w:t>
      </w:r>
    </w:p>
    <w:p w14:paraId="682D04F7" w14:textId="77777777" w:rsidR="00BF4DDE" w:rsidRDefault="005B0774" w:rsidP="00DE0F03">
      <w:pPr>
        <w:rPr>
          <w:rFonts w:ascii="Times New Roman" w:hAnsi="Times New Roman"/>
          <w:sz w:val="24"/>
          <w:szCs w:val="24"/>
        </w:rPr>
      </w:pPr>
      <w:r w:rsidRPr="0036327D">
        <w:rPr>
          <w:rFonts w:ascii="Times New Roman" w:hAnsi="Times New Roman"/>
          <w:sz w:val="24"/>
          <w:szCs w:val="24"/>
        </w:rPr>
        <w:t>On April 22, 2019, in Manda Benson v. City of Lincoln, Senior U.S. District Court judge Richard G. Kopf, denied the City’s motion to dismiss:</w:t>
      </w:r>
    </w:p>
    <w:p w14:paraId="2A13AB13" w14:textId="2E70E1EC" w:rsidR="005B0774" w:rsidRPr="0036327D" w:rsidRDefault="005B0774" w:rsidP="00BF4DDE">
      <w:pPr>
        <w:ind w:left="720"/>
        <w:rPr>
          <w:rFonts w:ascii="Times New Roman" w:hAnsi="Times New Roman"/>
          <w:sz w:val="24"/>
          <w:szCs w:val="24"/>
        </w:rPr>
      </w:pPr>
      <w:r w:rsidRPr="0036327D">
        <w:rPr>
          <w:rFonts w:ascii="Times New Roman" w:hAnsi="Times New Roman"/>
          <w:sz w:val="24"/>
          <w:szCs w:val="24"/>
        </w:rPr>
        <w:t xml:space="preserve">“In yet another lawsuit[Footnote 1] alleging that employees of the City of Lincoln and Lincoln Fire and Rescue ... discriminated against, retaliated against, and created a hostile work environment for female firefighters on the basis of sex and/or national origin, Plaintiff Amanda Benson asserts in her Second Amended Complaint (Filing No. 18) the following causes of action (‘COA’) against the City of Lincoln and eight other Defendants in their individual and official capacities... Footnote 1: See Hurd v. City of Lincoln (No. 4:16CV3029) (D. Neb. 2016) and Giles v. City of Lincoln (No. 4:17CV3050) (D. Neb. 2017). *** Footnote 9: The court takes judicial notice of the jury verdict in the amount of $1,177,815.43 in Hurd v. City of Lincoln, No. 4:16CV3029, Filing No. 250 (D. Neb. Feb. 26, 2019), in favor of Troy Hurd and against the City of Lincoln on Hurd's Title VII and NFEPA claim that he was retaliated against after complaining about sexual and national-origin discrimination of a fellow female LF&amp;R firefighter and the resulting hostile work environment. Hurd had complained about the discrimination and hostile work environment to LF&amp;R personnel, City management, and the NEOC/EEOC.” </w:t>
      </w:r>
      <w:r w:rsidR="00BF4DDE">
        <w:rPr>
          <w:rFonts w:ascii="Times New Roman" w:hAnsi="Times New Roman"/>
          <w:sz w:val="24"/>
          <w:szCs w:val="24"/>
        </w:rPr>
        <w:t xml:space="preserve"> </w:t>
      </w:r>
      <w:hyperlink r:id="rId1481" w:history="1">
        <w:r w:rsidR="00BF4DDE" w:rsidRPr="002F304C">
          <w:rPr>
            <w:rStyle w:val="Hyperlink"/>
            <w:rFonts w:ascii="Times New Roman" w:hAnsi="Times New Roman"/>
            <w:sz w:val="24"/>
            <w:szCs w:val="24"/>
          </w:rPr>
          <w:t>https://casetext.com/case/benson-v-city-of-lincoln</w:t>
        </w:r>
      </w:hyperlink>
      <w:r w:rsidR="00BF4DDE">
        <w:rPr>
          <w:rFonts w:ascii="Times New Roman" w:hAnsi="Times New Roman"/>
          <w:sz w:val="24"/>
          <w:szCs w:val="24"/>
        </w:rPr>
        <w:t xml:space="preserve"> </w:t>
      </w:r>
    </w:p>
    <w:p w14:paraId="7A0E731C" w14:textId="77777777" w:rsidR="00BF4DDE" w:rsidRDefault="005B0774" w:rsidP="00DE0F03">
      <w:pPr>
        <w:rPr>
          <w:rFonts w:ascii="Times New Roman" w:hAnsi="Times New Roman"/>
          <w:b/>
          <w:bCs/>
          <w:sz w:val="24"/>
          <w:szCs w:val="24"/>
        </w:rPr>
      </w:pPr>
      <w:r w:rsidRPr="0036327D">
        <w:rPr>
          <w:rFonts w:ascii="Times New Roman" w:hAnsi="Times New Roman"/>
          <w:b/>
          <w:bCs/>
          <w:sz w:val="24"/>
          <w:szCs w:val="24"/>
        </w:rPr>
        <w:t xml:space="preserve">Legal Lessons Learned: The lawsuit will now proceed to trial; Federal juries have returned some very large verdicts.  </w:t>
      </w:r>
    </w:p>
    <w:p w14:paraId="40092AA7" w14:textId="3AB62DF9" w:rsidR="00BF4DDE" w:rsidRDefault="005B0774" w:rsidP="00DE0F03">
      <w:pPr>
        <w:rPr>
          <w:rFonts w:ascii="Times New Roman" w:hAnsi="Times New Roman"/>
          <w:sz w:val="24"/>
          <w:szCs w:val="24"/>
        </w:rPr>
      </w:pPr>
      <w:r w:rsidRPr="00BF4DDE">
        <w:rPr>
          <w:rFonts w:ascii="Times New Roman" w:hAnsi="Times New Roman"/>
          <w:sz w:val="24"/>
          <w:szCs w:val="24"/>
        </w:rPr>
        <w:t xml:space="preserve">See complaint: </w:t>
      </w:r>
      <w:hyperlink r:id="rId1482" w:history="1">
        <w:r w:rsidRPr="00BF4DDE">
          <w:rPr>
            <w:rStyle w:val="Hyperlink"/>
            <w:rFonts w:ascii="Times New Roman" w:hAnsi="Times New Roman"/>
            <w:sz w:val="24"/>
            <w:szCs w:val="24"/>
          </w:rPr>
          <w:t>http://41af3k34gprx4f6bg12df75i.wpengine.netdna-cdn.com/wp-content/uploads/sites/19/2016/03/Hurd-v-Lincoln.pdf</w:t>
        </w:r>
      </w:hyperlink>
      <w:r w:rsidRPr="00BF4DDE">
        <w:rPr>
          <w:rFonts w:ascii="Times New Roman" w:hAnsi="Times New Roman"/>
          <w:sz w:val="24"/>
          <w:szCs w:val="24"/>
        </w:rPr>
        <w:t xml:space="preserve"> </w:t>
      </w:r>
    </w:p>
    <w:p w14:paraId="36463C6C" w14:textId="2AF97BA5" w:rsidR="005B0774" w:rsidRPr="00BF4DDE" w:rsidRDefault="005B0774" w:rsidP="00DE0F03">
      <w:pPr>
        <w:rPr>
          <w:rFonts w:ascii="Times New Roman" w:hAnsi="Times New Roman"/>
          <w:sz w:val="24"/>
          <w:szCs w:val="24"/>
        </w:rPr>
      </w:pPr>
      <w:r w:rsidRPr="00BF4DDE">
        <w:rPr>
          <w:rFonts w:ascii="Times New Roman" w:hAnsi="Times New Roman"/>
          <w:sz w:val="24"/>
          <w:szCs w:val="24"/>
        </w:rPr>
        <w:t xml:space="preserve">See article about the case: </w:t>
      </w:r>
      <w:hyperlink r:id="rId1483" w:history="1">
        <w:r w:rsidRPr="00BF4DDE">
          <w:rPr>
            <w:rStyle w:val="Hyperlink"/>
            <w:rFonts w:ascii="Times New Roman" w:hAnsi="Times New Roman"/>
            <w:sz w:val="24"/>
            <w:szCs w:val="24"/>
          </w:rPr>
          <w:t>https://journalstar.com/news/local/crime-and-courts/female-firefighter-s-discrimination-case-against-the-city-of-lincoln/article_97cf8ac8-bb20-5343-8e10-3faf315b0dd8.html</w:t>
        </w:r>
      </w:hyperlink>
      <w:r w:rsidRPr="00BF4DDE">
        <w:rPr>
          <w:rFonts w:ascii="Times New Roman" w:hAnsi="Times New Roman"/>
          <w:sz w:val="24"/>
          <w:szCs w:val="24"/>
        </w:rPr>
        <w:t xml:space="preserve"> </w:t>
      </w:r>
    </w:p>
    <w:p w14:paraId="7A3B2E81" w14:textId="22246162" w:rsidR="005B0774" w:rsidRPr="005B0774" w:rsidRDefault="005B0774" w:rsidP="00DE0F03">
      <w:pPr>
        <w:rPr>
          <w:rFonts w:ascii="Times New Roman" w:hAnsi="Times New Roman"/>
          <w:bCs/>
          <w:sz w:val="24"/>
          <w:szCs w:val="24"/>
        </w:rPr>
      </w:pPr>
    </w:p>
    <w:p w14:paraId="00169B06" w14:textId="77777777" w:rsidR="005B0774" w:rsidRDefault="005B0774" w:rsidP="00DE0F03">
      <w:pPr>
        <w:rPr>
          <w:rFonts w:ascii="Arial Black" w:hAnsi="Arial Black"/>
          <w:b/>
          <w:sz w:val="24"/>
          <w:szCs w:val="24"/>
        </w:rPr>
      </w:pPr>
    </w:p>
    <w:p w14:paraId="4B360F1F" w14:textId="77777777" w:rsidR="00BF4DDE" w:rsidRDefault="00BF4DDE" w:rsidP="00DE0F03">
      <w:pPr>
        <w:rPr>
          <w:rFonts w:ascii="Arial Black" w:hAnsi="Arial Black"/>
          <w:b/>
          <w:sz w:val="24"/>
          <w:szCs w:val="24"/>
        </w:rPr>
      </w:pPr>
    </w:p>
    <w:p w14:paraId="34039C00" w14:textId="77777777" w:rsidR="00BF4DDE" w:rsidRDefault="00BF4DDE" w:rsidP="00DE0F03">
      <w:pPr>
        <w:rPr>
          <w:rFonts w:ascii="Arial Black" w:hAnsi="Arial Black"/>
          <w:b/>
          <w:sz w:val="24"/>
          <w:szCs w:val="24"/>
        </w:rPr>
      </w:pPr>
    </w:p>
    <w:p w14:paraId="72D9EE62" w14:textId="73EF079A" w:rsidR="002B1283" w:rsidRDefault="00EF1133" w:rsidP="00DE0F03">
      <w:pPr>
        <w:rPr>
          <w:sz w:val="24"/>
          <w:szCs w:val="24"/>
        </w:rPr>
      </w:pPr>
      <w:r>
        <w:rPr>
          <w:rFonts w:ascii="Arial Black" w:hAnsi="Arial Black"/>
          <w:b/>
          <w:sz w:val="24"/>
          <w:szCs w:val="24"/>
        </w:rPr>
        <w:t>7</w:t>
      </w:r>
      <w:r w:rsidRPr="00EF1133">
        <w:rPr>
          <w:rFonts w:ascii="Arial Black" w:hAnsi="Arial Black"/>
          <w:b/>
          <w:sz w:val="24"/>
          <w:szCs w:val="24"/>
        </w:rPr>
        <w:t>-</w:t>
      </w:r>
      <w:r>
        <w:rPr>
          <w:rFonts w:ascii="Arial Black" w:hAnsi="Arial Black"/>
          <w:b/>
          <w:sz w:val="24"/>
          <w:szCs w:val="24"/>
        </w:rPr>
        <w:t>6</w:t>
      </w:r>
    </w:p>
    <w:p w14:paraId="6C658549" w14:textId="6FBBAAF4" w:rsidR="00F326E5" w:rsidRDefault="00F326E5" w:rsidP="00F326E5">
      <w:pPr>
        <w:pStyle w:val="NoSpacing"/>
        <w:rPr>
          <w:rFonts w:ascii="Arial Black" w:hAnsi="Arial Black"/>
          <w:sz w:val="28"/>
          <w:szCs w:val="28"/>
        </w:rPr>
      </w:pPr>
      <w:r w:rsidRPr="00284D6A">
        <w:rPr>
          <w:rFonts w:ascii="Arial Black" w:hAnsi="Arial Black"/>
          <w:sz w:val="28"/>
          <w:szCs w:val="28"/>
        </w:rPr>
        <w:t>AL:  PREGNANT EMT</w:t>
      </w:r>
      <w:r>
        <w:rPr>
          <w:rFonts w:ascii="Arial Black" w:hAnsi="Arial Black"/>
          <w:sz w:val="28"/>
          <w:szCs w:val="28"/>
        </w:rPr>
        <w:t>– SEEKS “LIGHT DUTY” - EEOC SUPPORTING HER APPEAL TO 11</w:t>
      </w:r>
      <w:r w:rsidRPr="00642DD2">
        <w:rPr>
          <w:rFonts w:ascii="Arial Black" w:hAnsi="Arial Black"/>
          <w:sz w:val="28"/>
          <w:szCs w:val="28"/>
          <w:vertAlign w:val="superscript"/>
        </w:rPr>
        <w:t>TH</w:t>
      </w:r>
      <w:r>
        <w:rPr>
          <w:rFonts w:ascii="Arial Black" w:hAnsi="Arial Black"/>
          <w:sz w:val="28"/>
          <w:szCs w:val="28"/>
        </w:rPr>
        <w:t xml:space="preserve"> CIRCUIT </w:t>
      </w:r>
    </w:p>
    <w:p w14:paraId="0DB720FB" w14:textId="77777777" w:rsidR="00F326E5" w:rsidRPr="00BF4DDE" w:rsidRDefault="00F326E5" w:rsidP="00F326E5">
      <w:pPr>
        <w:pStyle w:val="NoSpacing"/>
        <w:rPr>
          <w:rFonts w:ascii="Times New Roman" w:hAnsi="Times New Roman"/>
          <w:sz w:val="24"/>
          <w:szCs w:val="24"/>
        </w:rPr>
      </w:pPr>
      <w:r w:rsidRPr="00BF4DDE">
        <w:rPr>
          <w:rFonts w:ascii="Times New Roman" w:hAnsi="Times New Roman"/>
          <w:sz w:val="24"/>
          <w:szCs w:val="24"/>
        </w:rPr>
        <w:t xml:space="preserve">On Feb. 11, 2019, in </w:t>
      </w:r>
      <w:r w:rsidRPr="00BF4DDE">
        <w:rPr>
          <w:rFonts w:ascii="Times New Roman" w:hAnsi="Times New Roman"/>
          <w:sz w:val="24"/>
          <w:szCs w:val="24"/>
          <w:u w:val="single"/>
        </w:rPr>
        <w:t>Kimberly Michell Durham v. Rural / Metro Corporation</w:t>
      </w:r>
      <w:r w:rsidRPr="00BF4DDE">
        <w:rPr>
          <w:rFonts w:ascii="Times New Roman" w:hAnsi="Times New Roman"/>
          <w:sz w:val="24"/>
          <w:szCs w:val="24"/>
        </w:rPr>
        <w:t>, the Equal Employment Opportunity Commission has filed an amicus brief with the 11</w:t>
      </w:r>
      <w:r w:rsidRPr="00BF4DDE">
        <w:rPr>
          <w:rFonts w:ascii="Times New Roman" w:hAnsi="Times New Roman"/>
          <w:sz w:val="24"/>
          <w:szCs w:val="24"/>
          <w:vertAlign w:val="superscript"/>
        </w:rPr>
        <w:t>th</w:t>
      </w:r>
      <w:r w:rsidRPr="00BF4DDE">
        <w:rPr>
          <w:rFonts w:ascii="Times New Roman" w:hAnsi="Times New Roman"/>
          <w:sz w:val="24"/>
          <w:szCs w:val="24"/>
        </w:rPr>
        <w:t xml:space="preserve"> Circuit (Atlanta), arguing: </w:t>
      </w:r>
    </w:p>
    <w:p w14:paraId="4579008B" w14:textId="77777777" w:rsidR="00F326E5" w:rsidRPr="00BF4DDE" w:rsidRDefault="00F326E5" w:rsidP="00F326E5">
      <w:pPr>
        <w:pStyle w:val="NormalWeb"/>
        <w:ind w:left="720"/>
      </w:pPr>
      <w:r w:rsidRPr="00BF4DDE">
        <w:t xml:space="preserve">“The PDA [Pregnancy Discrimination Act] does not categorically bar employers from maintaining a policy of accommodating only a subset of employees, including those employees with on-the-job injuries. See [U.S. Supreme Court’s 2015 decision in </w:t>
      </w:r>
      <w:proofErr w:type="gramStart"/>
      <w:r w:rsidRPr="00BF4DDE">
        <w:rPr>
          <w:i/>
        </w:rPr>
        <w:t>Young</w:t>
      </w:r>
      <w:proofErr w:type="gramEnd"/>
      <w:r w:rsidRPr="00BF4DDE">
        <w:rPr>
          <w:i/>
        </w:rPr>
        <w:t xml:space="preserve"> v. UPS</w:t>
      </w:r>
      <w:r w:rsidRPr="00BF4DDE">
        <w:t xml:space="preserve">] 135 S. Ct. at 1349-51. However, </w:t>
      </w:r>
      <w:r w:rsidRPr="00BF4DDE">
        <w:rPr>
          <w:i/>
        </w:rPr>
        <w:t>Young</w:t>
      </w:r>
      <w:r w:rsidRPr="00BF4DDE">
        <w:t xml:space="preserve"> allows that a jury may find that an employer’s policy of accommodating only some employees is a pretext for pregnancy </w:t>
      </w:r>
      <w:proofErr w:type="gramStart"/>
      <w:r w:rsidRPr="00BF4DDE">
        <w:t>discrimination.”</w:t>
      </w:r>
      <w:proofErr w:type="gramEnd"/>
      <w:r w:rsidRPr="00BF4DDE">
        <w:t xml:space="preserve"> </w:t>
      </w:r>
      <w:hyperlink r:id="rId1484" w:history="1">
        <w:r w:rsidRPr="00BF4DDE">
          <w:rPr>
            <w:rStyle w:val="Hyperlink"/>
          </w:rPr>
          <w:t>https://assets.documentcloud.org/documents/5745041/Eeoc.pdf</w:t>
        </w:r>
      </w:hyperlink>
      <w:r w:rsidRPr="00BF4DDE">
        <w:t xml:space="preserve"> [Page 31]</w:t>
      </w:r>
    </w:p>
    <w:p w14:paraId="4E16B9A6" w14:textId="5711C36B" w:rsidR="00F326E5" w:rsidRPr="00BF4DDE" w:rsidRDefault="00F326E5" w:rsidP="00F326E5">
      <w:pPr>
        <w:pStyle w:val="NoSpacing"/>
        <w:rPr>
          <w:rFonts w:ascii="Times New Roman" w:hAnsi="Times New Roman"/>
          <w:b/>
          <w:sz w:val="24"/>
          <w:szCs w:val="24"/>
        </w:rPr>
      </w:pPr>
      <w:r w:rsidRPr="00BF4DDE">
        <w:rPr>
          <w:rFonts w:ascii="Times New Roman" w:hAnsi="Times New Roman"/>
          <w:b/>
          <w:sz w:val="24"/>
          <w:szCs w:val="24"/>
        </w:rPr>
        <w:t xml:space="preserve">Legal Lessons Learned:  This is an important case for the fire </w:t>
      </w:r>
      <w:proofErr w:type="gramStart"/>
      <w:r w:rsidRPr="00BF4DDE">
        <w:rPr>
          <w:rFonts w:ascii="Times New Roman" w:hAnsi="Times New Roman"/>
          <w:b/>
          <w:sz w:val="24"/>
          <w:szCs w:val="24"/>
        </w:rPr>
        <w:t>service, and</w:t>
      </w:r>
      <w:proofErr w:type="gramEnd"/>
      <w:r w:rsidRPr="00BF4DDE">
        <w:rPr>
          <w:rFonts w:ascii="Times New Roman" w:hAnsi="Times New Roman"/>
          <w:b/>
          <w:sz w:val="24"/>
          <w:szCs w:val="24"/>
        </w:rPr>
        <w:t xml:space="preserve"> may eventually reach the U.S. Supreme Court.  </w:t>
      </w:r>
    </w:p>
    <w:p w14:paraId="5F82BB95" w14:textId="77777777" w:rsidR="005B0774" w:rsidRDefault="005B0774" w:rsidP="00F326E5">
      <w:pPr>
        <w:pStyle w:val="NoSpacing"/>
        <w:rPr>
          <w:b/>
          <w:sz w:val="24"/>
          <w:szCs w:val="24"/>
        </w:rPr>
      </w:pPr>
    </w:p>
    <w:p w14:paraId="3FB721E6" w14:textId="77777777" w:rsidR="00F326E5" w:rsidRPr="00BF4DDE" w:rsidRDefault="00F326E5" w:rsidP="00F326E5">
      <w:pPr>
        <w:pStyle w:val="NoSpacing"/>
        <w:ind w:left="720"/>
        <w:rPr>
          <w:rStyle w:val="Hyperlink"/>
          <w:rFonts w:ascii="Times New Roman" w:hAnsi="Times New Roman"/>
          <w:sz w:val="24"/>
          <w:szCs w:val="24"/>
        </w:rPr>
      </w:pPr>
      <w:r w:rsidRPr="00BF4DDE">
        <w:rPr>
          <w:rFonts w:ascii="Times New Roman" w:hAnsi="Times New Roman"/>
          <w:sz w:val="24"/>
          <w:szCs w:val="24"/>
        </w:rPr>
        <w:t>Note:  Numerous civil rights groups, including a Better Balance, The National Women’s Law Center and the National Employment Law Project, have filed amicus briefs urging the 11</w:t>
      </w:r>
      <w:r w:rsidRPr="00BF4DDE">
        <w:rPr>
          <w:rFonts w:ascii="Times New Roman" w:hAnsi="Times New Roman"/>
          <w:sz w:val="24"/>
          <w:szCs w:val="24"/>
          <w:vertAlign w:val="superscript"/>
        </w:rPr>
        <w:t>th</w:t>
      </w:r>
      <w:r w:rsidRPr="00BF4DDE">
        <w:rPr>
          <w:rFonts w:ascii="Times New Roman" w:hAnsi="Times New Roman"/>
          <w:sz w:val="24"/>
          <w:szCs w:val="24"/>
        </w:rPr>
        <w:t xml:space="preserve"> Circuit to reverse the Federal District court’s decision. </w:t>
      </w:r>
      <w:hyperlink r:id="rId1485" w:history="1">
        <w:r w:rsidRPr="00BF4DDE">
          <w:rPr>
            <w:rStyle w:val="Hyperlink"/>
            <w:rFonts w:ascii="Times New Roman" w:hAnsi="Times New Roman"/>
            <w:sz w:val="24"/>
            <w:szCs w:val="24"/>
          </w:rPr>
          <w:t>https://assets.documentcloud.org/documents/5745040/Better-Balance.pdf</w:t>
        </w:r>
      </w:hyperlink>
      <w:r w:rsidRPr="00BF4DDE">
        <w:rPr>
          <w:rFonts w:ascii="Times New Roman" w:hAnsi="Times New Roman"/>
          <w:sz w:val="24"/>
          <w:szCs w:val="24"/>
        </w:rPr>
        <w:t xml:space="preserve"> .</w:t>
      </w:r>
      <w:r w:rsidRPr="00BF4DDE">
        <w:rPr>
          <w:rFonts w:ascii="Times New Roman" w:hAnsi="Times New Roman"/>
          <w:bCs/>
          <w:kern w:val="36"/>
          <w:sz w:val="24"/>
          <w:szCs w:val="24"/>
        </w:rPr>
        <w:t xml:space="preserve"> See also Feb. 22, </w:t>
      </w:r>
      <w:proofErr w:type="gramStart"/>
      <w:r w:rsidRPr="00BF4DDE">
        <w:rPr>
          <w:rFonts w:ascii="Times New Roman" w:hAnsi="Times New Roman"/>
          <w:bCs/>
          <w:kern w:val="36"/>
          <w:sz w:val="24"/>
          <w:szCs w:val="24"/>
        </w:rPr>
        <w:t>2019</w:t>
      </w:r>
      <w:proofErr w:type="gramEnd"/>
      <w:r w:rsidRPr="00BF4DDE">
        <w:rPr>
          <w:rFonts w:ascii="Times New Roman" w:hAnsi="Times New Roman"/>
          <w:bCs/>
          <w:kern w:val="36"/>
          <w:sz w:val="24"/>
          <w:szCs w:val="24"/>
        </w:rPr>
        <w:t xml:space="preserve"> article, “11th Circuit Pregnancy Bias Case Tests 2015 Supreme Court Ruling,” </w:t>
      </w:r>
      <w:hyperlink r:id="rId1486" w:history="1">
        <w:r w:rsidRPr="00BF4DDE">
          <w:rPr>
            <w:rStyle w:val="Hyperlink"/>
            <w:rFonts w:ascii="Times New Roman" w:hAnsi="Times New Roman"/>
            <w:sz w:val="24"/>
            <w:szCs w:val="24"/>
          </w:rPr>
          <w:t>https://www.law.com/nationallawjournal/2019/02/22/11th-circuit-pregnancy-bias-case-tests-2015-supreme-court-ruling/</w:t>
        </w:r>
      </w:hyperlink>
      <w:r w:rsidRPr="00BF4DDE">
        <w:rPr>
          <w:rStyle w:val="Hyperlink"/>
          <w:rFonts w:ascii="Times New Roman" w:hAnsi="Times New Roman"/>
          <w:sz w:val="24"/>
          <w:szCs w:val="24"/>
        </w:rPr>
        <w:t xml:space="preserve">  </w:t>
      </w:r>
    </w:p>
    <w:p w14:paraId="3CE90402" w14:textId="77777777" w:rsidR="00EF1133" w:rsidRDefault="00EF1133" w:rsidP="00EF1133">
      <w:pPr>
        <w:rPr>
          <w:rFonts w:ascii="Arial Black" w:hAnsi="Arial Black"/>
          <w:b/>
          <w:sz w:val="24"/>
          <w:szCs w:val="24"/>
        </w:rPr>
      </w:pPr>
    </w:p>
    <w:p w14:paraId="64B17E0B" w14:textId="524B8A4E" w:rsidR="00EF1133" w:rsidRDefault="00EF1133" w:rsidP="00EF1133">
      <w:pPr>
        <w:rPr>
          <w:rFonts w:ascii="Arial Black" w:hAnsi="Arial Black"/>
          <w:b/>
          <w:sz w:val="24"/>
          <w:szCs w:val="24"/>
        </w:rPr>
      </w:pPr>
      <w:r>
        <w:rPr>
          <w:rFonts w:ascii="Arial Black" w:hAnsi="Arial Black"/>
          <w:b/>
          <w:sz w:val="24"/>
          <w:szCs w:val="24"/>
        </w:rPr>
        <w:t>7</w:t>
      </w:r>
      <w:r w:rsidRPr="00EF1133">
        <w:rPr>
          <w:rFonts w:ascii="Arial Black" w:hAnsi="Arial Black"/>
          <w:b/>
          <w:sz w:val="24"/>
          <w:szCs w:val="24"/>
        </w:rPr>
        <w:t>-</w:t>
      </w:r>
      <w:r>
        <w:rPr>
          <w:rFonts w:ascii="Arial Black" w:hAnsi="Arial Black"/>
          <w:b/>
          <w:sz w:val="24"/>
          <w:szCs w:val="24"/>
        </w:rPr>
        <w:t>5</w:t>
      </w:r>
    </w:p>
    <w:p w14:paraId="6D9B460A" w14:textId="363DE123" w:rsidR="00F326E5" w:rsidRDefault="00F326E5" w:rsidP="00F326E5">
      <w:pPr>
        <w:pStyle w:val="NoSpacing"/>
        <w:rPr>
          <w:rFonts w:ascii="Arial Black" w:hAnsi="Arial Black"/>
          <w:b/>
          <w:sz w:val="28"/>
          <w:szCs w:val="28"/>
        </w:rPr>
      </w:pPr>
      <w:bookmarkStart w:id="310" w:name="_Hlk7344079"/>
      <w:bookmarkEnd w:id="282"/>
      <w:r>
        <w:rPr>
          <w:rFonts w:ascii="Arial Black" w:hAnsi="Arial Black"/>
          <w:b/>
          <w:sz w:val="28"/>
          <w:szCs w:val="28"/>
        </w:rPr>
        <w:t>IL</w:t>
      </w:r>
      <w:r w:rsidR="00BF4DDE">
        <w:rPr>
          <w:rFonts w:ascii="Arial Black" w:hAnsi="Arial Black"/>
          <w:b/>
          <w:sz w:val="28"/>
          <w:szCs w:val="28"/>
        </w:rPr>
        <w:t xml:space="preserve">: </w:t>
      </w:r>
      <w:r>
        <w:rPr>
          <w:rFonts w:ascii="Arial Black" w:hAnsi="Arial Black"/>
          <w:b/>
          <w:sz w:val="28"/>
          <w:szCs w:val="28"/>
        </w:rPr>
        <w:t>1</w:t>
      </w:r>
      <w:r w:rsidRPr="006A0855">
        <w:rPr>
          <w:rFonts w:ascii="Arial Black" w:hAnsi="Arial Black"/>
          <w:b/>
          <w:sz w:val="28"/>
          <w:szCs w:val="28"/>
        </w:rPr>
        <w:t xml:space="preserve">2 FEMALES FAILED FITNESS TESTING IN CHICAGO FD PARAMEDIC </w:t>
      </w:r>
      <w:r>
        <w:rPr>
          <w:rFonts w:ascii="Arial Black" w:hAnsi="Arial Black"/>
          <w:b/>
          <w:sz w:val="28"/>
          <w:szCs w:val="28"/>
        </w:rPr>
        <w:t xml:space="preserve">RECRUIT SCHOOL </w:t>
      </w:r>
      <w:r w:rsidRPr="006A0855">
        <w:rPr>
          <w:rFonts w:ascii="Arial Black" w:hAnsi="Arial Black"/>
          <w:b/>
          <w:sz w:val="28"/>
          <w:szCs w:val="28"/>
        </w:rPr>
        <w:t xml:space="preserve">MAY SUE  </w:t>
      </w:r>
    </w:p>
    <w:p w14:paraId="6126DD58" w14:textId="77777777" w:rsidR="00BF4DDE" w:rsidRDefault="00BF4DDE" w:rsidP="00F326E5">
      <w:pPr>
        <w:pStyle w:val="NoSpacing"/>
        <w:rPr>
          <w:rFonts w:ascii="Times New Roman" w:hAnsi="Times New Roman"/>
          <w:sz w:val="24"/>
          <w:szCs w:val="24"/>
        </w:rPr>
      </w:pPr>
    </w:p>
    <w:p w14:paraId="6A5ABC8D" w14:textId="6A6FE165" w:rsidR="00BF4DDE" w:rsidRDefault="00F326E5" w:rsidP="00F326E5">
      <w:pPr>
        <w:pStyle w:val="NoSpacing"/>
        <w:rPr>
          <w:rFonts w:ascii="Times New Roman" w:hAnsi="Times New Roman"/>
          <w:sz w:val="24"/>
          <w:szCs w:val="24"/>
        </w:rPr>
      </w:pPr>
      <w:r w:rsidRPr="00BF4DDE">
        <w:rPr>
          <w:rFonts w:ascii="Times New Roman" w:hAnsi="Times New Roman"/>
          <w:sz w:val="24"/>
          <w:szCs w:val="24"/>
        </w:rPr>
        <w:t xml:space="preserve">On Jan. 14, 2019, in </w:t>
      </w:r>
      <w:r w:rsidRPr="00BF4DDE">
        <w:rPr>
          <w:rFonts w:ascii="Times New Roman" w:hAnsi="Times New Roman"/>
          <w:sz w:val="24"/>
          <w:szCs w:val="24"/>
          <w:u w:val="single"/>
        </w:rPr>
        <w:t>Jennifer Livingston, et al. v. City of Chicago</w:t>
      </w:r>
      <w:r w:rsidRPr="00BF4DDE">
        <w:rPr>
          <w:rFonts w:ascii="Times New Roman" w:hAnsi="Times New Roman"/>
          <w:sz w:val="24"/>
          <w:szCs w:val="24"/>
        </w:rPr>
        <w:t xml:space="preserve">, U.S. District Court Judge Sara L. Ellis, held: </w:t>
      </w:r>
    </w:p>
    <w:p w14:paraId="78DAE3B7" w14:textId="539731B5" w:rsidR="00F326E5" w:rsidRPr="00BF4DDE" w:rsidRDefault="00F326E5" w:rsidP="00BF4DDE">
      <w:pPr>
        <w:pStyle w:val="NoSpacing"/>
        <w:ind w:left="720"/>
        <w:rPr>
          <w:rFonts w:ascii="Times New Roman" w:hAnsi="Times New Roman"/>
          <w:sz w:val="24"/>
          <w:szCs w:val="24"/>
        </w:rPr>
      </w:pPr>
      <w:r w:rsidRPr="00BF4DDE">
        <w:rPr>
          <w:rFonts w:ascii="Times New Roman" w:hAnsi="Times New Roman"/>
          <w:sz w:val="24"/>
          <w:szCs w:val="24"/>
        </w:rPr>
        <w:t>“B</w:t>
      </w:r>
      <w:r w:rsidRPr="00BF4DDE">
        <w:rPr>
          <w:rFonts w:ascii="Times New Roman" w:eastAsia="Times New Roman" w:hAnsi="Times New Roman"/>
          <w:sz w:val="24"/>
          <w:szCs w:val="24"/>
        </w:rPr>
        <w:t>ecause the Non-Filing Plaintiffs can rely on the single-filing rule to bring their claims based on the charges filed by other plaintiffs in this case, the Court denies the City’s motion to dismiss.”</w:t>
      </w:r>
      <w:hyperlink r:id="rId1487" w:history="1">
        <w:r w:rsidRPr="00BF4DDE">
          <w:rPr>
            <w:rStyle w:val="Hyperlink"/>
            <w:rFonts w:ascii="Times New Roman" w:hAnsi="Times New Roman"/>
            <w:sz w:val="24"/>
            <w:szCs w:val="24"/>
          </w:rPr>
          <w:t>https://cases.justia.com/federal/district-courts/illinois/ilndce/1:2016cv10156/332956/114/0.pdf?ts=1547630986</w:t>
        </w:r>
      </w:hyperlink>
    </w:p>
    <w:p w14:paraId="464544DE" w14:textId="77777777" w:rsidR="00BF4DDE" w:rsidRDefault="00BF4DDE" w:rsidP="00F326E5">
      <w:pPr>
        <w:pStyle w:val="NoSpacing"/>
        <w:rPr>
          <w:rFonts w:ascii="Times New Roman" w:hAnsi="Times New Roman"/>
          <w:b/>
          <w:sz w:val="24"/>
          <w:szCs w:val="24"/>
        </w:rPr>
      </w:pPr>
    </w:p>
    <w:p w14:paraId="005EEDE1" w14:textId="36005839" w:rsidR="00F326E5" w:rsidRPr="00BF4DDE" w:rsidRDefault="00F326E5" w:rsidP="00F326E5">
      <w:pPr>
        <w:pStyle w:val="NoSpacing"/>
        <w:rPr>
          <w:rFonts w:ascii="Times New Roman" w:hAnsi="Times New Roman"/>
          <w:b/>
          <w:sz w:val="24"/>
          <w:szCs w:val="24"/>
        </w:rPr>
      </w:pPr>
      <w:r w:rsidRPr="00BF4DDE">
        <w:rPr>
          <w:rFonts w:ascii="Times New Roman" w:hAnsi="Times New Roman"/>
          <w:b/>
          <w:sz w:val="24"/>
          <w:szCs w:val="24"/>
        </w:rPr>
        <w:t xml:space="preserve">Legal Lessons Learned: Physical fitness tests, whether during Recruit School or prior to hiring, that have an adverse impact on females, should be validated by an expert.   </w:t>
      </w:r>
    </w:p>
    <w:p w14:paraId="54D870BB" w14:textId="77777777" w:rsidR="00F326E5" w:rsidRPr="00BF4DDE" w:rsidRDefault="00F326E5" w:rsidP="00F326E5">
      <w:pPr>
        <w:pStyle w:val="NoSpacing"/>
        <w:ind w:left="720"/>
        <w:rPr>
          <w:rFonts w:ascii="Times New Roman" w:hAnsi="Times New Roman"/>
          <w:sz w:val="24"/>
          <w:szCs w:val="24"/>
        </w:rPr>
      </w:pPr>
      <w:r w:rsidRPr="00BF4DDE">
        <w:rPr>
          <w:rFonts w:ascii="Times New Roman" w:hAnsi="Times New Roman"/>
          <w:sz w:val="24"/>
          <w:szCs w:val="24"/>
        </w:rPr>
        <w:t xml:space="preserve">See EEOC guidance, “Use of tests and other selection procedures can also violate the federal anti-discrimination laws if they disproportionately exclude people in a particular group by race, sex, or another covered basis, unless the employer can justify the test or procedure under the law.” </w:t>
      </w:r>
      <w:hyperlink r:id="rId1488" w:history="1">
        <w:r w:rsidRPr="00BF4DDE">
          <w:rPr>
            <w:rStyle w:val="Hyperlink"/>
            <w:rFonts w:ascii="Times New Roman" w:hAnsi="Times New Roman"/>
            <w:sz w:val="24"/>
            <w:szCs w:val="24"/>
          </w:rPr>
          <w:t>https://www.eeoc.gov/policy/docs/factemployment_procedures.html</w:t>
        </w:r>
      </w:hyperlink>
      <w:r w:rsidRPr="00BF4DDE">
        <w:rPr>
          <w:rFonts w:ascii="Times New Roman" w:hAnsi="Times New Roman"/>
          <w:sz w:val="24"/>
          <w:szCs w:val="24"/>
        </w:rPr>
        <w:t xml:space="preserve">  </w:t>
      </w:r>
    </w:p>
    <w:p w14:paraId="0E69A548" w14:textId="77777777" w:rsidR="00F326E5" w:rsidRPr="00BF4DDE" w:rsidRDefault="00F326E5" w:rsidP="00F326E5">
      <w:pPr>
        <w:pStyle w:val="NoSpacing"/>
        <w:ind w:left="720"/>
        <w:rPr>
          <w:rFonts w:ascii="Times New Roman" w:hAnsi="Times New Roman"/>
          <w:sz w:val="24"/>
          <w:szCs w:val="24"/>
        </w:rPr>
      </w:pPr>
      <w:r w:rsidRPr="00BF4DDE">
        <w:rPr>
          <w:rFonts w:ascii="Times New Roman" w:hAnsi="Times New Roman"/>
          <w:sz w:val="24"/>
          <w:szCs w:val="24"/>
        </w:rPr>
        <w:lastRenderedPageBreak/>
        <w:t xml:space="preserve">See EEOC June 13, </w:t>
      </w:r>
      <w:proofErr w:type="gramStart"/>
      <w:r w:rsidRPr="00BF4DDE">
        <w:rPr>
          <w:rFonts w:ascii="Times New Roman" w:hAnsi="Times New Roman"/>
          <w:sz w:val="24"/>
          <w:szCs w:val="24"/>
        </w:rPr>
        <w:t>2018</w:t>
      </w:r>
      <w:proofErr w:type="gramEnd"/>
      <w:r w:rsidRPr="00BF4DDE">
        <w:rPr>
          <w:rFonts w:ascii="Times New Roman" w:hAnsi="Times New Roman"/>
          <w:sz w:val="24"/>
          <w:szCs w:val="24"/>
        </w:rPr>
        <w:t xml:space="preserve"> press release: “CSX Transportation to Pay $3.2 Million To Settle EEOC Disparate Impact Sex Discrimination Case… According to the EEOC's lawsuit, CSXT conducted isokinetic strength testing as a requirement for workers to be hired for various jobs. The EEOC said that the strength test used by CSXT, known as the ‘IPCS </w:t>
      </w:r>
      <w:proofErr w:type="spellStart"/>
      <w:r w:rsidRPr="00BF4DDE">
        <w:rPr>
          <w:rFonts w:ascii="Times New Roman" w:hAnsi="Times New Roman"/>
          <w:sz w:val="24"/>
          <w:szCs w:val="24"/>
        </w:rPr>
        <w:t>Biodex</w:t>
      </w:r>
      <w:proofErr w:type="spellEnd"/>
      <w:r w:rsidRPr="00BF4DDE">
        <w:rPr>
          <w:rFonts w:ascii="Times New Roman" w:hAnsi="Times New Roman"/>
          <w:sz w:val="24"/>
          <w:szCs w:val="24"/>
        </w:rPr>
        <w:t xml:space="preserve">’ test, caused an unlawful discriminatory impact on female workers seeking jobs as conductors, material handler/clerks, and </w:t>
      </w:r>
      <w:proofErr w:type="gramStart"/>
      <w:r w:rsidRPr="00BF4DDE">
        <w:rPr>
          <w:rFonts w:ascii="Times New Roman" w:hAnsi="Times New Roman"/>
          <w:sz w:val="24"/>
          <w:szCs w:val="24"/>
        </w:rPr>
        <w:t>a number of</w:t>
      </w:r>
      <w:proofErr w:type="gramEnd"/>
      <w:r w:rsidRPr="00BF4DDE">
        <w:rPr>
          <w:rFonts w:ascii="Times New Roman" w:hAnsi="Times New Roman"/>
          <w:sz w:val="24"/>
          <w:szCs w:val="24"/>
        </w:rPr>
        <w:t xml:space="preserve"> other job categories. The EEOC also charged that CSXT used two other employment tests, a three-minute step test seeking to measure aerobic capacity and a discontinued arm endurance test, as a requirement for selection into certain jobs, and that those tests also caused an unlawful discriminatory effect on female workers.” </w:t>
      </w:r>
      <w:hyperlink r:id="rId1489" w:history="1">
        <w:r w:rsidRPr="00BF4DDE">
          <w:rPr>
            <w:rStyle w:val="Hyperlink"/>
            <w:rFonts w:ascii="Times New Roman" w:hAnsi="Times New Roman"/>
            <w:sz w:val="24"/>
            <w:szCs w:val="24"/>
          </w:rPr>
          <w:t>https://www.eeoc.gov/eeoc/newsroom/release/6-13-18.cfm</w:t>
        </w:r>
      </w:hyperlink>
      <w:r w:rsidRPr="00BF4DDE">
        <w:rPr>
          <w:rFonts w:ascii="Times New Roman" w:hAnsi="Times New Roman"/>
          <w:sz w:val="24"/>
          <w:szCs w:val="24"/>
        </w:rPr>
        <w:t xml:space="preserve"> </w:t>
      </w:r>
    </w:p>
    <w:p w14:paraId="05F679E0" w14:textId="50CBF9F3" w:rsidR="00F326E5" w:rsidRPr="00BF4DDE" w:rsidRDefault="00F326E5" w:rsidP="00F326E5">
      <w:pPr>
        <w:pStyle w:val="NoSpacing"/>
        <w:ind w:left="720"/>
        <w:rPr>
          <w:rFonts w:ascii="Times New Roman" w:hAnsi="Times New Roman"/>
          <w:sz w:val="24"/>
          <w:szCs w:val="24"/>
        </w:rPr>
      </w:pPr>
    </w:p>
    <w:bookmarkEnd w:id="310"/>
    <w:p w14:paraId="4F5CAF60" w14:textId="77777777" w:rsidR="00BF4DDE" w:rsidRDefault="00BF4DDE" w:rsidP="00EF1133">
      <w:pPr>
        <w:rPr>
          <w:rFonts w:ascii="Arial Black" w:hAnsi="Arial Black"/>
          <w:b/>
          <w:sz w:val="24"/>
          <w:szCs w:val="24"/>
        </w:rPr>
      </w:pPr>
    </w:p>
    <w:p w14:paraId="4F46361F" w14:textId="77777777" w:rsidR="00BF4DDE" w:rsidRDefault="00BF4DDE" w:rsidP="00EF1133">
      <w:pPr>
        <w:rPr>
          <w:rFonts w:ascii="Arial Black" w:hAnsi="Arial Black"/>
          <w:b/>
          <w:sz w:val="24"/>
          <w:szCs w:val="24"/>
        </w:rPr>
      </w:pPr>
    </w:p>
    <w:p w14:paraId="6108A106" w14:textId="31C0DF60" w:rsidR="00EF1133" w:rsidRDefault="00EF1133" w:rsidP="00EF1133">
      <w:pPr>
        <w:rPr>
          <w:rFonts w:ascii="Arial Black" w:hAnsi="Arial Black"/>
          <w:b/>
          <w:sz w:val="24"/>
          <w:szCs w:val="24"/>
        </w:rPr>
      </w:pPr>
      <w:r>
        <w:rPr>
          <w:rFonts w:ascii="Arial Black" w:hAnsi="Arial Black"/>
          <w:b/>
          <w:sz w:val="24"/>
          <w:szCs w:val="24"/>
        </w:rPr>
        <w:t>7</w:t>
      </w:r>
      <w:r w:rsidRPr="00EF1133">
        <w:rPr>
          <w:rFonts w:ascii="Arial Black" w:hAnsi="Arial Black"/>
          <w:b/>
          <w:sz w:val="24"/>
          <w:szCs w:val="24"/>
        </w:rPr>
        <w:t>-</w:t>
      </w:r>
      <w:r>
        <w:rPr>
          <w:rFonts w:ascii="Arial Black" w:hAnsi="Arial Black"/>
          <w:b/>
          <w:sz w:val="24"/>
          <w:szCs w:val="24"/>
        </w:rPr>
        <w:t>4</w:t>
      </w:r>
    </w:p>
    <w:p w14:paraId="461F0FAB" w14:textId="0A94B62C" w:rsidR="00F326E5" w:rsidRDefault="00F326E5" w:rsidP="00F326E5">
      <w:pPr>
        <w:pStyle w:val="NoSpacing"/>
        <w:rPr>
          <w:rFonts w:ascii="Arial Black" w:hAnsi="Arial Black"/>
          <w:sz w:val="28"/>
          <w:szCs w:val="28"/>
        </w:rPr>
      </w:pPr>
      <w:bookmarkStart w:id="311" w:name="_Hlk7344131"/>
      <w:r>
        <w:rPr>
          <w:rFonts w:ascii="Arial Black" w:hAnsi="Arial Black"/>
          <w:sz w:val="28"/>
          <w:szCs w:val="28"/>
        </w:rPr>
        <w:t xml:space="preserve">AL:  PREGNANT EMS – NOT ENTITLED TO LIGHT DUTY, COMPANY POLICY ONLY IF INJURED ON THE JOB </w:t>
      </w:r>
    </w:p>
    <w:p w14:paraId="1FE747EC" w14:textId="77777777" w:rsidR="00BF4DDE" w:rsidRDefault="00F326E5" w:rsidP="00F326E5">
      <w:pPr>
        <w:rPr>
          <w:rFonts w:ascii="Times New Roman" w:hAnsi="Times New Roman"/>
          <w:sz w:val="24"/>
          <w:szCs w:val="24"/>
        </w:rPr>
      </w:pPr>
      <w:r w:rsidRPr="00BF4DDE">
        <w:rPr>
          <w:rFonts w:ascii="Times New Roman" w:hAnsi="Times New Roman"/>
          <w:sz w:val="24"/>
          <w:szCs w:val="24"/>
        </w:rPr>
        <w:t xml:space="preserve">On Oct. 9, 2018, in </w:t>
      </w:r>
      <w:r w:rsidRPr="00BF4DDE">
        <w:rPr>
          <w:rFonts w:ascii="Times New Roman" w:hAnsi="Times New Roman"/>
          <w:sz w:val="24"/>
          <w:szCs w:val="24"/>
          <w:u w:val="single"/>
        </w:rPr>
        <w:t>Kimberly Michelle Durham v. Rural/Metro Corporation</w:t>
      </w:r>
      <w:r w:rsidRPr="00BF4DDE">
        <w:rPr>
          <w:rFonts w:ascii="Times New Roman" w:hAnsi="Times New Roman"/>
          <w:sz w:val="24"/>
          <w:szCs w:val="24"/>
        </w:rPr>
        <w:t xml:space="preserve">, Case No. 4:16-CV-01604-ACA, U.S. District Court Judge granted summary judgment to the employer. Three male EMTs had been granted light duty for injuries to their backs while lifting patients.  The court held, </w:t>
      </w:r>
    </w:p>
    <w:p w14:paraId="30A8F32E" w14:textId="566FF3C2" w:rsidR="00F326E5" w:rsidRPr="00BF4DDE" w:rsidRDefault="00F326E5" w:rsidP="00BF4DDE">
      <w:pPr>
        <w:ind w:left="720"/>
        <w:rPr>
          <w:rFonts w:ascii="Times New Roman" w:hAnsi="Times New Roman"/>
          <w:sz w:val="24"/>
          <w:szCs w:val="24"/>
        </w:rPr>
      </w:pPr>
      <w:r w:rsidRPr="00BF4DDE">
        <w:rPr>
          <w:rFonts w:ascii="Times New Roman" w:hAnsi="Times New Roman"/>
          <w:sz w:val="24"/>
          <w:szCs w:val="24"/>
        </w:rPr>
        <w:t>“</w:t>
      </w:r>
      <w:r w:rsidRPr="00BF4DDE">
        <w:rPr>
          <w:rFonts w:ascii="Times New Roman" w:eastAsia="Times New Roman" w:hAnsi="Times New Roman"/>
          <w:sz w:val="24"/>
          <w:szCs w:val="24"/>
        </w:rPr>
        <w:t xml:space="preserve">Rural/Metro contends that Ms. Durham must offer substantial evidence of employees placed on light duty assignment who were injured off the job </w:t>
      </w:r>
      <w:proofErr w:type="gramStart"/>
      <w:r w:rsidRPr="00BF4DDE">
        <w:rPr>
          <w:rFonts w:ascii="Times New Roman" w:eastAsia="Times New Roman" w:hAnsi="Times New Roman"/>
          <w:sz w:val="24"/>
          <w:szCs w:val="24"/>
        </w:rPr>
        <w:t>in order to</w:t>
      </w:r>
      <w:proofErr w:type="gramEnd"/>
      <w:r w:rsidRPr="00BF4DDE">
        <w:rPr>
          <w:rFonts w:ascii="Times New Roman" w:eastAsia="Times New Roman" w:hAnsi="Times New Roman"/>
          <w:sz w:val="24"/>
          <w:szCs w:val="24"/>
        </w:rPr>
        <w:t xml:space="preserve"> survive summary judgment. This court agrees.”  </w:t>
      </w:r>
      <w:hyperlink r:id="rId1490" w:history="1">
        <w:r w:rsidRPr="00BF4DDE">
          <w:rPr>
            <w:rStyle w:val="Hyperlink"/>
            <w:rFonts w:ascii="Times New Roman" w:hAnsi="Times New Roman"/>
            <w:sz w:val="24"/>
            <w:szCs w:val="24"/>
          </w:rPr>
          <w:t>https://law.justia.com/cases/federal/district-courts/alabama/alndce/4:2016cv01604/160190/55/</w:t>
        </w:r>
      </w:hyperlink>
      <w:r w:rsidRPr="00BF4DDE">
        <w:rPr>
          <w:rFonts w:ascii="Times New Roman" w:hAnsi="Times New Roman"/>
          <w:sz w:val="24"/>
          <w:szCs w:val="24"/>
        </w:rPr>
        <w:t xml:space="preserve"> </w:t>
      </w:r>
    </w:p>
    <w:p w14:paraId="5C86004E" w14:textId="77777777" w:rsidR="00F326E5" w:rsidRPr="00BF4DDE" w:rsidRDefault="00F326E5" w:rsidP="00F326E5">
      <w:pPr>
        <w:pStyle w:val="NoSpacing"/>
        <w:rPr>
          <w:rFonts w:ascii="Times New Roman" w:hAnsi="Times New Roman"/>
          <w:b/>
          <w:sz w:val="24"/>
          <w:szCs w:val="24"/>
        </w:rPr>
      </w:pPr>
      <w:r w:rsidRPr="00BF4DDE">
        <w:rPr>
          <w:rFonts w:ascii="Times New Roman" w:hAnsi="Times New Roman"/>
          <w:b/>
          <w:sz w:val="24"/>
          <w:szCs w:val="24"/>
        </w:rPr>
        <w:t xml:space="preserve">Legal Lessons Learned:  Some are urging Congress to broaden the Pregnancy Discrimination Act; see also EEOC Enforcement Guidance </w:t>
      </w:r>
      <w:proofErr w:type="gramStart"/>
      <w:r w:rsidRPr="00BF4DDE">
        <w:rPr>
          <w:rFonts w:ascii="Times New Roman" w:hAnsi="Times New Roman"/>
          <w:b/>
          <w:sz w:val="24"/>
          <w:szCs w:val="24"/>
        </w:rPr>
        <w:t>On</w:t>
      </w:r>
      <w:proofErr w:type="gramEnd"/>
      <w:r w:rsidRPr="00BF4DDE">
        <w:rPr>
          <w:rFonts w:ascii="Times New Roman" w:hAnsi="Times New Roman"/>
          <w:b/>
          <w:sz w:val="24"/>
          <w:szCs w:val="24"/>
        </w:rPr>
        <w:t xml:space="preserve"> Pregnancy Discrimination: </w:t>
      </w:r>
      <w:hyperlink r:id="rId1491" w:history="1">
        <w:r w:rsidRPr="00BF4DDE">
          <w:rPr>
            <w:rStyle w:val="Hyperlink"/>
            <w:rFonts w:ascii="Times New Roman" w:hAnsi="Times New Roman"/>
            <w:sz w:val="24"/>
            <w:szCs w:val="24"/>
          </w:rPr>
          <w:t>https://www.eeoc.gov/laws/guidance/pregnancy_guidance.cfm</w:t>
        </w:r>
      </w:hyperlink>
      <w:r w:rsidRPr="00BF4DDE">
        <w:rPr>
          <w:rFonts w:ascii="Times New Roman" w:hAnsi="Times New Roman"/>
          <w:b/>
          <w:sz w:val="24"/>
          <w:szCs w:val="24"/>
        </w:rPr>
        <w:t xml:space="preserve"> .</w:t>
      </w:r>
    </w:p>
    <w:bookmarkEnd w:id="311"/>
    <w:p w14:paraId="1BC68CF3" w14:textId="77777777" w:rsidR="00F326E5" w:rsidRPr="00BF4DDE" w:rsidRDefault="00F326E5" w:rsidP="00F326E5">
      <w:pPr>
        <w:pStyle w:val="NoSpacing"/>
        <w:rPr>
          <w:rFonts w:ascii="Times New Roman" w:hAnsi="Times New Roman"/>
          <w:b/>
          <w:sz w:val="24"/>
          <w:szCs w:val="24"/>
        </w:rPr>
      </w:pPr>
    </w:p>
    <w:p w14:paraId="2B1A0D3C" w14:textId="77777777" w:rsidR="00F326E5" w:rsidRDefault="00F326E5" w:rsidP="00F326E5">
      <w:pPr>
        <w:pStyle w:val="NoSpacing"/>
        <w:rPr>
          <w:b/>
          <w:sz w:val="24"/>
          <w:szCs w:val="24"/>
        </w:rPr>
      </w:pPr>
    </w:p>
    <w:p w14:paraId="67516467" w14:textId="77777777" w:rsidR="00BF4DDE" w:rsidRDefault="00BF4DDE" w:rsidP="00F326E5">
      <w:pPr>
        <w:rPr>
          <w:rFonts w:ascii="Arial Black" w:hAnsi="Arial Black"/>
          <w:b/>
          <w:sz w:val="24"/>
          <w:szCs w:val="24"/>
        </w:rPr>
      </w:pPr>
    </w:p>
    <w:p w14:paraId="217A912A" w14:textId="06BEF889" w:rsidR="00F326E5" w:rsidRDefault="00EF1133" w:rsidP="00F326E5">
      <w:pPr>
        <w:rPr>
          <w:sz w:val="24"/>
          <w:szCs w:val="24"/>
        </w:rPr>
      </w:pPr>
      <w:r>
        <w:rPr>
          <w:rFonts w:ascii="Arial Black" w:hAnsi="Arial Black"/>
          <w:b/>
          <w:sz w:val="24"/>
          <w:szCs w:val="24"/>
        </w:rPr>
        <w:t>7</w:t>
      </w:r>
      <w:r w:rsidRPr="00EF1133">
        <w:rPr>
          <w:rFonts w:ascii="Arial Black" w:hAnsi="Arial Black"/>
          <w:b/>
          <w:sz w:val="24"/>
          <w:szCs w:val="24"/>
        </w:rPr>
        <w:t>-</w:t>
      </w:r>
      <w:r>
        <w:rPr>
          <w:rFonts w:ascii="Arial Black" w:hAnsi="Arial Black"/>
          <w:b/>
          <w:sz w:val="24"/>
          <w:szCs w:val="24"/>
        </w:rPr>
        <w:t>3</w:t>
      </w:r>
    </w:p>
    <w:p w14:paraId="30009834" w14:textId="061D70BB" w:rsidR="00F326E5" w:rsidRPr="00746228" w:rsidRDefault="00F326E5" w:rsidP="00F326E5">
      <w:pPr>
        <w:rPr>
          <w:rFonts w:ascii="Arial Black" w:hAnsi="Arial Black"/>
          <w:sz w:val="28"/>
          <w:szCs w:val="28"/>
        </w:rPr>
      </w:pPr>
      <w:bookmarkStart w:id="312" w:name="_Hlk7344170"/>
      <w:r w:rsidRPr="00746228">
        <w:rPr>
          <w:rFonts w:ascii="Arial Black" w:hAnsi="Arial Black"/>
          <w:sz w:val="28"/>
          <w:szCs w:val="28"/>
        </w:rPr>
        <w:t>MI: F</w:t>
      </w:r>
      <w:r>
        <w:rPr>
          <w:rFonts w:ascii="Arial Black" w:hAnsi="Arial Black"/>
          <w:sz w:val="28"/>
          <w:szCs w:val="28"/>
        </w:rPr>
        <w:t>EMALE CAPTAIN NOT SELECTED AS FIRE CHIEF – LACK OF INCIDENT COMMAND</w:t>
      </w:r>
    </w:p>
    <w:p w14:paraId="079BE56B" w14:textId="77777777" w:rsidR="00BF4DDE" w:rsidRDefault="00F326E5" w:rsidP="00F326E5">
      <w:pPr>
        <w:rPr>
          <w:rFonts w:ascii="Times New Roman" w:hAnsi="Times New Roman"/>
          <w:bCs/>
          <w:sz w:val="24"/>
          <w:szCs w:val="24"/>
        </w:rPr>
      </w:pPr>
      <w:r w:rsidRPr="00BF4DDE">
        <w:rPr>
          <w:rFonts w:ascii="Times New Roman" w:hAnsi="Times New Roman"/>
          <w:bCs/>
          <w:sz w:val="24"/>
          <w:szCs w:val="24"/>
        </w:rPr>
        <w:t xml:space="preserve">On Aug. 30, 2018, in </w:t>
      </w:r>
      <w:r w:rsidRPr="00BF4DDE">
        <w:rPr>
          <w:rFonts w:ascii="Times New Roman" w:hAnsi="Times New Roman"/>
          <w:bCs/>
          <w:sz w:val="24"/>
          <w:szCs w:val="24"/>
          <w:u w:val="single"/>
        </w:rPr>
        <w:t>Ona Lee Aguilar v. City of Saginaw and IAFF Local 102</w:t>
      </w:r>
      <w:r w:rsidRPr="00BF4DDE">
        <w:rPr>
          <w:rFonts w:ascii="Times New Roman" w:hAnsi="Times New Roman"/>
          <w:bCs/>
          <w:sz w:val="24"/>
          <w:szCs w:val="24"/>
        </w:rPr>
        <w:t>, the State of Michigan Court of Appeals held 3 to 0 (in unpublished opinion) upheld the dismissal of her lawsuit by trial court.</w:t>
      </w:r>
    </w:p>
    <w:p w14:paraId="0AA16441" w14:textId="228BA869" w:rsidR="00F326E5" w:rsidRPr="00BF4DDE" w:rsidRDefault="00F326E5" w:rsidP="00BF4DDE">
      <w:pPr>
        <w:ind w:left="720"/>
        <w:rPr>
          <w:rFonts w:ascii="Times New Roman" w:hAnsi="Times New Roman"/>
          <w:b/>
          <w:sz w:val="24"/>
          <w:szCs w:val="24"/>
        </w:rPr>
      </w:pPr>
      <w:r w:rsidRPr="00BF4DDE">
        <w:rPr>
          <w:rFonts w:ascii="Times New Roman" w:hAnsi="Times New Roman"/>
          <w:bCs/>
          <w:sz w:val="24"/>
          <w:szCs w:val="24"/>
        </w:rPr>
        <w:t>“</w:t>
      </w:r>
      <w:r w:rsidRPr="00BF4DDE">
        <w:rPr>
          <w:rFonts w:ascii="Times New Roman" w:hAnsi="Times New Roman"/>
          <w:sz w:val="24"/>
          <w:szCs w:val="24"/>
        </w:rPr>
        <w:t xml:space="preserve">Aguilar is one of a small number of female employees of the Saginaw Fire Department (SFD) and has dealt with harassment and hostility over the years as she worked her way up the ranks in a male-dominated field. Aguilar’s suit, however, was based solely on the city’s 2013 failure to name her as acting or interim fire chief and its 2014 failure to hire her as the city’s permanent fire chief.  The evidence supports that Aguilar’s union discriminated against her and those parties reached a settlement. Although the evidence also supports that Aguilar continues to work in a hostile environment, Aguilar has not created a triable question of fact on her discrimination claims. Accordingly, we are bound to </w:t>
      </w:r>
      <w:r w:rsidRPr="00BF4DDE">
        <w:rPr>
          <w:rFonts w:ascii="Times New Roman" w:hAnsi="Times New Roman"/>
          <w:sz w:val="24"/>
          <w:szCs w:val="24"/>
        </w:rPr>
        <w:lastRenderedPageBreak/>
        <w:t>affirm.”</w:t>
      </w:r>
      <w:r w:rsidR="00BF4DDE">
        <w:rPr>
          <w:rFonts w:ascii="Times New Roman" w:hAnsi="Times New Roman"/>
          <w:sz w:val="24"/>
          <w:szCs w:val="24"/>
        </w:rPr>
        <w:t xml:space="preserve"> </w:t>
      </w:r>
      <w:hyperlink r:id="rId1492" w:history="1">
        <w:r w:rsidRPr="00BF4DDE">
          <w:rPr>
            <w:rStyle w:val="Hyperlink"/>
            <w:rFonts w:ascii="Times New Roman" w:hAnsi="Times New Roman"/>
            <w:sz w:val="24"/>
            <w:szCs w:val="24"/>
          </w:rPr>
          <w:t>https://cases.justia.com/michigan/court-of-appeals-unpublished/2018-339016.pdf?ts=1535720483</w:t>
        </w:r>
      </w:hyperlink>
      <w:r w:rsidRPr="00BF4DDE">
        <w:rPr>
          <w:rFonts w:ascii="Times New Roman" w:hAnsi="Times New Roman"/>
          <w:b/>
          <w:sz w:val="24"/>
          <w:szCs w:val="24"/>
        </w:rPr>
        <w:t xml:space="preserve"> </w:t>
      </w:r>
    </w:p>
    <w:p w14:paraId="6C8FD93E" w14:textId="77777777" w:rsidR="00F326E5" w:rsidRPr="00BF4DDE" w:rsidRDefault="00F326E5" w:rsidP="00F326E5">
      <w:pPr>
        <w:rPr>
          <w:rFonts w:ascii="Times New Roman" w:eastAsia="Times New Roman" w:hAnsi="Times New Roman"/>
          <w:b/>
          <w:sz w:val="24"/>
          <w:szCs w:val="24"/>
        </w:rPr>
      </w:pPr>
      <w:r w:rsidRPr="00BF4DDE">
        <w:rPr>
          <w:rFonts w:ascii="Times New Roman" w:eastAsia="Times New Roman" w:hAnsi="Times New Roman"/>
          <w:b/>
          <w:sz w:val="24"/>
          <w:szCs w:val="24"/>
        </w:rPr>
        <w:t xml:space="preserve">Legal Lessons Learned:  Lack of experience in Incident Command is a legitimate, nondiscriminatory reason for not selecting an applicant for Fire Chief. </w:t>
      </w:r>
    </w:p>
    <w:p w14:paraId="0E976592" w14:textId="77777777" w:rsidR="00EF1133" w:rsidRDefault="00EF1133" w:rsidP="00EF1133">
      <w:pPr>
        <w:rPr>
          <w:rFonts w:ascii="Arial Black" w:hAnsi="Arial Black"/>
          <w:b/>
          <w:sz w:val="24"/>
          <w:szCs w:val="24"/>
        </w:rPr>
      </w:pPr>
    </w:p>
    <w:p w14:paraId="108C7FF7" w14:textId="27875A13" w:rsidR="00EF1133" w:rsidRDefault="00EF1133" w:rsidP="00EF1133">
      <w:pPr>
        <w:rPr>
          <w:rFonts w:ascii="Arial Black" w:hAnsi="Arial Black"/>
          <w:b/>
          <w:sz w:val="24"/>
          <w:szCs w:val="24"/>
        </w:rPr>
      </w:pPr>
      <w:r>
        <w:rPr>
          <w:rFonts w:ascii="Arial Black" w:hAnsi="Arial Black"/>
          <w:b/>
          <w:sz w:val="24"/>
          <w:szCs w:val="24"/>
        </w:rPr>
        <w:t>7</w:t>
      </w:r>
      <w:r w:rsidRPr="00EF1133">
        <w:rPr>
          <w:rFonts w:ascii="Arial Black" w:hAnsi="Arial Black"/>
          <w:b/>
          <w:sz w:val="24"/>
          <w:szCs w:val="24"/>
        </w:rPr>
        <w:t>-</w:t>
      </w:r>
      <w:r>
        <w:rPr>
          <w:rFonts w:ascii="Arial Black" w:hAnsi="Arial Black"/>
          <w:b/>
          <w:sz w:val="24"/>
          <w:szCs w:val="24"/>
        </w:rPr>
        <w:t>2</w:t>
      </w:r>
    </w:p>
    <w:p w14:paraId="165E8B99" w14:textId="327A78FF" w:rsidR="00F326E5" w:rsidRPr="00255E41" w:rsidRDefault="00F326E5" w:rsidP="00F326E5">
      <w:pPr>
        <w:pStyle w:val="NoSpacing"/>
        <w:rPr>
          <w:rFonts w:ascii="Arial Black" w:hAnsi="Arial Black"/>
          <w:b/>
          <w:sz w:val="28"/>
          <w:szCs w:val="28"/>
        </w:rPr>
      </w:pPr>
      <w:bookmarkStart w:id="313" w:name="_Hlk7344305"/>
      <w:bookmarkEnd w:id="312"/>
      <w:r w:rsidRPr="00255E41">
        <w:rPr>
          <w:rFonts w:ascii="Arial Black" w:hAnsi="Arial Black"/>
          <w:b/>
          <w:sz w:val="28"/>
          <w:szCs w:val="28"/>
        </w:rPr>
        <w:t>LA: S</w:t>
      </w:r>
      <w:r w:rsidR="00255E41">
        <w:rPr>
          <w:rFonts w:ascii="Arial Black" w:hAnsi="Arial Black"/>
          <w:b/>
          <w:sz w:val="28"/>
          <w:szCs w:val="28"/>
        </w:rPr>
        <w:t xml:space="preserve">EXUAL HARASSMENT COMLAINT PROMPTLY INVESTIGATED – OFFENDER WARNED </w:t>
      </w:r>
    </w:p>
    <w:p w14:paraId="441E3377" w14:textId="77777777" w:rsidR="00F326E5" w:rsidRPr="00BF4DDE" w:rsidRDefault="00F326E5" w:rsidP="00F326E5">
      <w:pPr>
        <w:rPr>
          <w:rFonts w:ascii="Times New Roman" w:hAnsi="Times New Roman"/>
          <w:sz w:val="24"/>
          <w:szCs w:val="24"/>
        </w:rPr>
      </w:pPr>
      <w:r w:rsidRPr="00BF4DDE">
        <w:rPr>
          <w:rFonts w:ascii="Times New Roman" w:hAnsi="Times New Roman"/>
          <w:sz w:val="24"/>
          <w:szCs w:val="24"/>
        </w:rPr>
        <w:t xml:space="preserve">On June 5, 2018, in </w:t>
      </w:r>
      <w:r w:rsidRPr="00BF4DDE">
        <w:rPr>
          <w:rFonts w:ascii="Times New Roman" w:hAnsi="Times New Roman"/>
          <w:sz w:val="24"/>
          <w:szCs w:val="24"/>
          <w:u w:val="single"/>
        </w:rPr>
        <w:t>Shelita Tucker v. United Parcel Service, Inc</w:t>
      </w:r>
      <w:r w:rsidRPr="00BF4DDE">
        <w:rPr>
          <w:rFonts w:ascii="Times New Roman" w:hAnsi="Times New Roman"/>
          <w:sz w:val="24"/>
          <w:szCs w:val="24"/>
        </w:rPr>
        <w:t>., the U.S. Court of Appeals for the 5</w:t>
      </w:r>
      <w:r w:rsidRPr="00BF4DDE">
        <w:rPr>
          <w:rFonts w:ascii="Times New Roman" w:hAnsi="Times New Roman"/>
          <w:sz w:val="24"/>
          <w:szCs w:val="24"/>
          <w:vertAlign w:val="superscript"/>
        </w:rPr>
        <w:t>th</w:t>
      </w:r>
      <w:r w:rsidRPr="00BF4DDE">
        <w:rPr>
          <w:rFonts w:ascii="Times New Roman" w:hAnsi="Times New Roman"/>
          <w:sz w:val="24"/>
          <w:szCs w:val="24"/>
        </w:rPr>
        <w:t xml:space="preserve"> Circuit, held (3 to 0) in an unpublished opinion that the federal district judge properly granted summary judgment to UPS: </w:t>
      </w:r>
    </w:p>
    <w:p w14:paraId="5694ED55" w14:textId="2453BC40" w:rsidR="00F326E5" w:rsidRPr="00BF4DDE" w:rsidRDefault="00F326E5" w:rsidP="00F326E5">
      <w:pPr>
        <w:ind w:left="720"/>
        <w:rPr>
          <w:rFonts w:ascii="Times New Roman" w:eastAsia="Times New Roman" w:hAnsi="Times New Roman"/>
          <w:sz w:val="24"/>
          <w:szCs w:val="24"/>
        </w:rPr>
      </w:pPr>
      <w:r w:rsidRPr="00BF4DDE">
        <w:rPr>
          <w:rFonts w:ascii="Times New Roman" w:hAnsi="Times New Roman"/>
          <w:sz w:val="24"/>
          <w:szCs w:val="24"/>
        </w:rPr>
        <w:t>“We agree with the district court that Tucker failed to discharge her burden to raise a fact issue in this regard. UPS's remedial actions stopped the sexual harassment, and McCaleb neither spoke to nor touched Tucker again. Although McCaleb's presence at</w:t>
      </w:r>
      <w:r w:rsidRPr="00BF4DDE">
        <w:rPr>
          <w:rFonts w:ascii="Times New Roman" w:hAnsi="Times New Roman"/>
          <w:b/>
          <w:sz w:val="24"/>
          <w:szCs w:val="24"/>
        </w:rPr>
        <w:t xml:space="preserve"> </w:t>
      </w:r>
      <w:r w:rsidRPr="00BF4DDE">
        <w:rPr>
          <w:rFonts w:ascii="Times New Roman" w:hAnsi="Times New Roman"/>
          <w:sz w:val="24"/>
          <w:szCs w:val="24"/>
        </w:rPr>
        <w:t>work made her feel uncomfortable, Tucker said she was still able to perform her duties.”</w:t>
      </w:r>
      <w:hyperlink r:id="rId1493" w:history="1">
        <w:r w:rsidRPr="00BF4DDE">
          <w:rPr>
            <w:rStyle w:val="Hyperlink"/>
            <w:rFonts w:ascii="Times New Roman" w:hAnsi="Times New Roman"/>
            <w:sz w:val="24"/>
            <w:szCs w:val="24"/>
          </w:rPr>
          <w:t>http://www.ca5.uscourts.gov/opinions/unpub/17/17-30574.0.pdf</w:t>
        </w:r>
      </w:hyperlink>
      <w:r w:rsidRPr="00BF4DDE">
        <w:rPr>
          <w:rFonts w:ascii="Times New Roman" w:eastAsia="Times New Roman" w:hAnsi="Times New Roman"/>
          <w:sz w:val="24"/>
          <w:szCs w:val="24"/>
        </w:rPr>
        <w:t xml:space="preserve"> </w:t>
      </w:r>
    </w:p>
    <w:p w14:paraId="2A61B869" w14:textId="77777777" w:rsidR="00F326E5" w:rsidRPr="00BF4DDE" w:rsidRDefault="00F326E5" w:rsidP="00F326E5">
      <w:pPr>
        <w:rPr>
          <w:rFonts w:ascii="Times New Roman" w:eastAsia="Times New Roman" w:hAnsi="Times New Roman"/>
          <w:b/>
          <w:sz w:val="24"/>
          <w:szCs w:val="24"/>
        </w:rPr>
      </w:pPr>
      <w:r w:rsidRPr="00BF4DDE">
        <w:rPr>
          <w:rFonts w:ascii="Times New Roman" w:eastAsia="Times New Roman" w:hAnsi="Times New Roman"/>
          <w:b/>
          <w:sz w:val="24"/>
          <w:szCs w:val="24"/>
        </w:rPr>
        <w:t xml:space="preserve">Legal Lessons Learned: Fire &amp; EMS employers should likewise get statements, investigate and take prompt corrective action. </w:t>
      </w:r>
    </w:p>
    <w:p w14:paraId="01EC6885" w14:textId="77777777" w:rsidR="00F326E5" w:rsidRDefault="00F326E5" w:rsidP="00F326E5">
      <w:pPr>
        <w:rPr>
          <w:rFonts w:eastAsia="Times New Roman"/>
          <w:b/>
          <w:sz w:val="24"/>
          <w:szCs w:val="24"/>
        </w:rPr>
      </w:pPr>
    </w:p>
    <w:p w14:paraId="00E7C3E1" w14:textId="77777777" w:rsidR="00EF1133" w:rsidRDefault="00EF1133" w:rsidP="00F326E5">
      <w:pPr>
        <w:pStyle w:val="NoSpacing"/>
        <w:rPr>
          <w:rFonts w:ascii="Arial Black" w:hAnsi="Arial Black"/>
          <w:sz w:val="28"/>
          <w:szCs w:val="28"/>
        </w:rPr>
      </w:pPr>
      <w:bookmarkStart w:id="314" w:name="_Hlk515006402"/>
      <w:bookmarkStart w:id="315" w:name="_Hlk7344381"/>
      <w:bookmarkEnd w:id="313"/>
    </w:p>
    <w:p w14:paraId="637BCB5E" w14:textId="699B10AD" w:rsidR="00EF1133" w:rsidRDefault="00EF1133" w:rsidP="00EF1133">
      <w:pPr>
        <w:rPr>
          <w:rFonts w:ascii="Arial Black" w:hAnsi="Arial Black"/>
          <w:b/>
          <w:sz w:val="24"/>
          <w:szCs w:val="24"/>
        </w:rPr>
      </w:pPr>
      <w:r>
        <w:rPr>
          <w:rFonts w:ascii="Arial Black" w:hAnsi="Arial Black"/>
          <w:b/>
          <w:sz w:val="24"/>
          <w:szCs w:val="24"/>
        </w:rPr>
        <w:t>7</w:t>
      </w:r>
      <w:r w:rsidRPr="00EF1133">
        <w:rPr>
          <w:rFonts w:ascii="Arial Black" w:hAnsi="Arial Black"/>
          <w:b/>
          <w:sz w:val="24"/>
          <w:szCs w:val="24"/>
        </w:rPr>
        <w:t>-1</w:t>
      </w:r>
    </w:p>
    <w:p w14:paraId="657257A8" w14:textId="5B743660" w:rsidR="00F326E5" w:rsidRDefault="00F326E5" w:rsidP="00F326E5">
      <w:pPr>
        <w:pStyle w:val="NoSpacing"/>
        <w:rPr>
          <w:rFonts w:ascii="Arial Black" w:hAnsi="Arial Black"/>
          <w:b/>
          <w:sz w:val="24"/>
          <w:szCs w:val="24"/>
        </w:rPr>
      </w:pPr>
      <w:r w:rsidRPr="004D7942">
        <w:rPr>
          <w:rFonts w:ascii="Arial Black" w:hAnsi="Arial Black"/>
          <w:sz w:val="28"/>
          <w:szCs w:val="28"/>
        </w:rPr>
        <w:t>FL</w:t>
      </w:r>
      <w:r>
        <w:rPr>
          <w:rFonts w:ascii="Arial Black" w:hAnsi="Arial Black"/>
          <w:sz w:val="28"/>
          <w:szCs w:val="28"/>
        </w:rPr>
        <w:t xml:space="preserve">: </w:t>
      </w:r>
      <w:r w:rsidRPr="004D7942">
        <w:rPr>
          <w:rFonts w:ascii="Arial Black" w:hAnsi="Arial Black"/>
          <w:sz w:val="28"/>
          <w:szCs w:val="28"/>
        </w:rPr>
        <w:t>FEMALE CANDIDATE FOR FIRE CHIEF NOT SELECTED – NOT GENDER DISCRIMINATION, BOTH CANDIDATES HIGHLY QUALIFIED</w:t>
      </w:r>
      <w:r>
        <w:rPr>
          <w:rFonts w:ascii="Arial Black" w:hAnsi="Arial Black"/>
          <w:sz w:val="28"/>
          <w:szCs w:val="28"/>
        </w:rPr>
        <w:t xml:space="preserve"> </w:t>
      </w:r>
      <w:bookmarkEnd w:id="314"/>
    </w:p>
    <w:p w14:paraId="293BC67A" w14:textId="77777777" w:rsidR="00BF4DDE" w:rsidRDefault="00F326E5" w:rsidP="00F326E5">
      <w:pPr>
        <w:pStyle w:val="NoSpacing"/>
        <w:rPr>
          <w:rFonts w:ascii="Times New Roman" w:hAnsi="Times New Roman"/>
          <w:sz w:val="24"/>
          <w:szCs w:val="24"/>
        </w:rPr>
      </w:pPr>
      <w:r w:rsidRPr="00BF4DDE">
        <w:rPr>
          <w:rFonts w:ascii="Times New Roman" w:hAnsi="Times New Roman"/>
          <w:sz w:val="24"/>
          <w:szCs w:val="24"/>
        </w:rPr>
        <w:t xml:space="preserve">On Jan. 19, 2018, in </w:t>
      </w:r>
      <w:r w:rsidRPr="00BF4DDE">
        <w:rPr>
          <w:rFonts w:ascii="Times New Roman" w:hAnsi="Times New Roman"/>
          <w:sz w:val="24"/>
          <w:szCs w:val="24"/>
          <w:u w:val="single"/>
        </w:rPr>
        <w:t>Shari Hall v. Marion County Board of County Commissioners</w:t>
      </w:r>
      <w:r w:rsidRPr="00BF4DDE">
        <w:rPr>
          <w:rFonts w:ascii="Times New Roman" w:hAnsi="Times New Roman"/>
          <w:sz w:val="24"/>
          <w:szCs w:val="24"/>
        </w:rPr>
        <w:t xml:space="preserve">, the District Court of Appeal of State of Florida, 5th District, held that: </w:t>
      </w:r>
    </w:p>
    <w:p w14:paraId="4F3A4A30" w14:textId="77777777" w:rsidR="00BF4DDE" w:rsidRDefault="00BF4DDE" w:rsidP="00F326E5">
      <w:pPr>
        <w:pStyle w:val="NoSpacing"/>
        <w:rPr>
          <w:rFonts w:ascii="Times New Roman" w:hAnsi="Times New Roman"/>
          <w:sz w:val="24"/>
          <w:szCs w:val="24"/>
        </w:rPr>
      </w:pPr>
    </w:p>
    <w:p w14:paraId="6E99C1B7" w14:textId="753A0E0F" w:rsidR="00F326E5" w:rsidRPr="00BF4DDE" w:rsidRDefault="00F326E5" w:rsidP="00BF4DDE">
      <w:pPr>
        <w:pStyle w:val="NoSpacing"/>
        <w:ind w:left="720"/>
        <w:rPr>
          <w:rFonts w:ascii="Times New Roman" w:hAnsi="Times New Roman"/>
          <w:sz w:val="24"/>
          <w:szCs w:val="24"/>
        </w:rPr>
      </w:pPr>
      <w:r w:rsidRPr="00BF4DDE">
        <w:rPr>
          <w:rFonts w:ascii="Times New Roman" w:hAnsi="Times New Roman"/>
          <w:sz w:val="24"/>
          <w:szCs w:val="24"/>
        </w:rPr>
        <w:t xml:space="preserve">“Appellant failed in her burden of proving the county offered pretextual </w:t>
      </w:r>
      <w:proofErr w:type="gramStart"/>
      <w:r w:rsidRPr="00BF4DDE">
        <w:rPr>
          <w:rFonts w:ascii="Times New Roman" w:hAnsi="Times New Roman"/>
          <w:sz w:val="24"/>
          <w:szCs w:val="24"/>
        </w:rPr>
        <w:t>reasons, and</w:t>
      </w:r>
      <w:proofErr w:type="gramEnd"/>
      <w:r w:rsidRPr="00BF4DDE">
        <w:rPr>
          <w:rFonts w:ascii="Times New Roman" w:hAnsi="Times New Roman"/>
          <w:sz w:val="24"/>
          <w:szCs w:val="24"/>
        </w:rPr>
        <w:t xml:space="preserve"> thus failed to establish a case of gender discrimination using circumstantial evidence.” Case was remanded so Court can next dispose of retaliation claim. </w:t>
      </w:r>
      <w:hyperlink r:id="rId1494" w:history="1">
        <w:r w:rsidRPr="00BF4DDE">
          <w:rPr>
            <w:rStyle w:val="Hyperlink"/>
            <w:rFonts w:ascii="Times New Roman" w:hAnsi="Times New Roman"/>
            <w:sz w:val="24"/>
            <w:szCs w:val="24"/>
          </w:rPr>
          <w:t>http://www.5dca.org/Opinions/Opin2018/011518/5D17-1183.op.pdf</w:t>
        </w:r>
      </w:hyperlink>
    </w:p>
    <w:p w14:paraId="5E678E77" w14:textId="77777777" w:rsidR="00BF4DDE" w:rsidRDefault="00BF4DDE" w:rsidP="00F326E5">
      <w:pPr>
        <w:pStyle w:val="NoSpacing"/>
        <w:rPr>
          <w:rFonts w:ascii="Times New Roman" w:hAnsi="Times New Roman"/>
          <w:b/>
          <w:sz w:val="24"/>
          <w:szCs w:val="24"/>
        </w:rPr>
      </w:pPr>
    </w:p>
    <w:p w14:paraId="2158BC9D" w14:textId="78E20393" w:rsidR="00F326E5" w:rsidRDefault="00F326E5" w:rsidP="00F824FE">
      <w:pPr>
        <w:pStyle w:val="NoSpacing"/>
        <w:rPr>
          <w:rFonts w:ascii="Arial Black" w:hAnsi="Arial Black"/>
          <w:sz w:val="40"/>
          <w:szCs w:val="40"/>
        </w:rPr>
      </w:pPr>
      <w:r w:rsidRPr="00BF4DDE">
        <w:rPr>
          <w:rFonts w:ascii="Times New Roman" w:hAnsi="Times New Roman"/>
          <w:b/>
          <w:sz w:val="24"/>
          <w:szCs w:val="24"/>
        </w:rPr>
        <w:t xml:space="preserve">Legal Lessons Learned: Two well-qualified qualified candidates for Fire Chief; no proof of gender discrimination. Caution when current Chief tells </w:t>
      </w:r>
      <w:proofErr w:type="gramStart"/>
      <w:r w:rsidRPr="00BF4DDE">
        <w:rPr>
          <w:rFonts w:ascii="Times New Roman" w:hAnsi="Times New Roman"/>
          <w:b/>
          <w:sz w:val="24"/>
          <w:szCs w:val="24"/>
        </w:rPr>
        <w:t>subordinate</w:t>
      </w:r>
      <w:proofErr w:type="gramEnd"/>
      <w:r w:rsidRPr="00BF4DDE">
        <w:rPr>
          <w:rFonts w:ascii="Times New Roman" w:hAnsi="Times New Roman"/>
          <w:b/>
          <w:sz w:val="24"/>
          <w:szCs w:val="24"/>
        </w:rPr>
        <w:t xml:space="preserve"> that they are likely the next Chief.  </w:t>
      </w:r>
      <w:bookmarkEnd w:id="315"/>
    </w:p>
    <w:p w14:paraId="2B95FD70" w14:textId="77777777" w:rsidR="00F824FE" w:rsidRDefault="00F824FE" w:rsidP="00F326E5">
      <w:pPr>
        <w:pStyle w:val="NoSpacing"/>
        <w:rPr>
          <w:rFonts w:ascii="Arial Black" w:hAnsi="Arial Black"/>
          <w:sz w:val="40"/>
          <w:szCs w:val="40"/>
        </w:rPr>
      </w:pPr>
    </w:p>
    <w:p w14:paraId="1052C4AE" w14:textId="013AA8C9" w:rsidR="00DD03E3" w:rsidRDefault="00DD03E3">
      <w:pPr>
        <w:spacing w:after="0" w:line="240" w:lineRule="auto"/>
        <w:rPr>
          <w:rFonts w:ascii="Arial Black" w:hAnsi="Arial Black"/>
          <w:sz w:val="40"/>
          <w:szCs w:val="40"/>
        </w:rPr>
      </w:pPr>
      <w:r>
        <w:rPr>
          <w:rFonts w:ascii="Arial Black" w:hAnsi="Arial Black"/>
          <w:sz w:val="40"/>
          <w:szCs w:val="40"/>
        </w:rPr>
        <w:br w:type="page"/>
      </w:r>
    </w:p>
    <w:p w14:paraId="4269C571" w14:textId="77777777" w:rsidR="00F824FE" w:rsidRDefault="00F824FE" w:rsidP="00F326E5">
      <w:pPr>
        <w:pStyle w:val="NoSpacing"/>
        <w:rPr>
          <w:rFonts w:ascii="Arial Black" w:hAnsi="Arial Black"/>
          <w:sz w:val="40"/>
          <w:szCs w:val="40"/>
        </w:rPr>
      </w:pPr>
    </w:p>
    <w:p w14:paraId="132C1B48" w14:textId="77777777" w:rsidR="00092DAC" w:rsidRDefault="00092DAC" w:rsidP="00F326E5">
      <w:pPr>
        <w:pStyle w:val="NoSpacing"/>
        <w:rPr>
          <w:rFonts w:ascii="Arial Black" w:hAnsi="Arial Black"/>
          <w:sz w:val="40"/>
          <w:szCs w:val="40"/>
        </w:rPr>
      </w:pPr>
    </w:p>
    <w:p w14:paraId="3089C302" w14:textId="77777777" w:rsidR="00092DAC" w:rsidRDefault="00092DAC" w:rsidP="00F326E5">
      <w:pPr>
        <w:pStyle w:val="NoSpacing"/>
        <w:rPr>
          <w:rFonts w:ascii="Arial Black" w:hAnsi="Arial Black"/>
          <w:sz w:val="40"/>
          <w:szCs w:val="40"/>
        </w:rPr>
      </w:pPr>
    </w:p>
    <w:p w14:paraId="30CB340E" w14:textId="77777777" w:rsidR="00092DAC" w:rsidRDefault="00092DAC" w:rsidP="00F326E5">
      <w:pPr>
        <w:pStyle w:val="NoSpacing"/>
        <w:rPr>
          <w:rFonts w:ascii="Arial Black" w:hAnsi="Arial Black"/>
          <w:sz w:val="40"/>
          <w:szCs w:val="40"/>
        </w:rPr>
      </w:pPr>
    </w:p>
    <w:p w14:paraId="47FB9976" w14:textId="77777777" w:rsidR="00092DAC" w:rsidRDefault="00092DAC" w:rsidP="00F326E5">
      <w:pPr>
        <w:pStyle w:val="NoSpacing"/>
        <w:rPr>
          <w:rFonts w:ascii="Arial Black" w:hAnsi="Arial Black"/>
          <w:sz w:val="40"/>
          <w:szCs w:val="40"/>
        </w:rPr>
      </w:pPr>
    </w:p>
    <w:p w14:paraId="67518D0C" w14:textId="77777777" w:rsidR="00092DAC" w:rsidRDefault="00092DAC" w:rsidP="00F326E5">
      <w:pPr>
        <w:pStyle w:val="NoSpacing"/>
        <w:rPr>
          <w:rFonts w:ascii="Arial Black" w:hAnsi="Arial Black"/>
          <w:sz w:val="40"/>
          <w:szCs w:val="40"/>
        </w:rPr>
      </w:pPr>
    </w:p>
    <w:p w14:paraId="25CC1AF0" w14:textId="77777777" w:rsidR="00092DAC" w:rsidRDefault="00092DAC" w:rsidP="00F326E5">
      <w:pPr>
        <w:pStyle w:val="NoSpacing"/>
        <w:rPr>
          <w:rFonts w:ascii="Arial Black" w:hAnsi="Arial Black"/>
          <w:sz w:val="40"/>
          <w:szCs w:val="40"/>
        </w:rPr>
      </w:pPr>
    </w:p>
    <w:p w14:paraId="7C67BF0A" w14:textId="77777777" w:rsidR="00092DAC" w:rsidRDefault="00092DAC" w:rsidP="00F326E5">
      <w:pPr>
        <w:pStyle w:val="NoSpacing"/>
        <w:rPr>
          <w:rFonts w:ascii="Arial Black" w:hAnsi="Arial Black"/>
          <w:sz w:val="40"/>
          <w:szCs w:val="40"/>
        </w:rPr>
      </w:pPr>
    </w:p>
    <w:p w14:paraId="5DA33366" w14:textId="77777777" w:rsidR="00092DAC" w:rsidRDefault="00092DAC" w:rsidP="00F326E5">
      <w:pPr>
        <w:pStyle w:val="NoSpacing"/>
        <w:rPr>
          <w:rFonts w:ascii="Arial Black" w:hAnsi="Arial Black"/>
          <w:sz w:val="40"/>
          <w:szCs w:val="40"/>
        </w:rPr>
      </w:pPr>
    </w:p>
    <w:p w14:paraId="34C9B37D" w14:textId="77777777" w:rsidR="00092DAC" w:rsidRDefault="00092DAC" w:rsidP="00F326E5">
      <w:pPr>
        <w:pStyle w:val="NoSpacing"/>
        <w:rPr>
          <w:rFonts w:ascii="Arial Black" w:hAnsi="Arial Black"/>
          <w:sz w:val="40"/>
          <w:szCs w:val="40"/>
        </w:rPr>
      </w:pPr>
    </w:p>
    <w:p w14:paraId="0B385732" w14:textId="77777777" w:rsidR="00092DAC" w:rsidRDefault="00092DAC" w:rsidP="00F326E5">
      <w:pPr>
        <w:pStyle w:val="NoSpacing"/>
        <w:rPr>
          <w:rFonts w:ascii="Arial Black" w:hAnsi="Arial Black"/>
          <w:sz w:val="40"/>
          <w:szCs w:val="40"/>
        </w:rPr>
      </w:pPr>
    </w:p>
    <w:p w14:paraId="43D6431E" w14:textId="77777777" w:rsidR="00092DAC" w:rsidRDefault="00092DAC" w:rsidP="00F326E5">
      <w:pPr>
        <w:pStyle w:val="NoSpacing"/>
        <w:rPr>
          <w:rFonts w:ascii="Arial Black" w:hAnsi="Arial Black"/>
          <w:sz w:val="40"/>
          <w:szCs w:val="40"/>
        </w:rPr>
      </w:pPr>
    </w:p>
    <w:p w14:paraId="72FB5A0C" w14:textId="77777777" w:rsidR="00092DAC" w:rsidRDefault="00092DAC" w:rsidP="00F326E5">
      <w:pPr>
        <w:pStyle w:val="NoSpacing"/>
        <w:rPr>
          <w:rFonts w:ascii="Arial Black" w:hAnsi="Arial Black"/>
          <w:sz w:val="40"/>
          <w:szCs w:val="40"/>
        </w:rPr>
      </w:pPr>
    </w:p>
    <w:p w14:paraId="1C3DBE09" w14:textId="77777777" w:rsidR="00092DAC" w:rsidRDefault="00092DAC" w:rsidP="00F326E5">
      <w:pPr>
        <w:pStyle w:val="NoSpacing"/>
        <w:rPr>
          <w:rFonts w:ascii="Arial Black" w:hAnsi="Arial Black"/>
          <w:sz w:val="40"/>
          <w:szCs w:val="40"/>
        </w:rPr>
      </w:pPr>
    </w:p>
    <w:p w14:paraId="0C04F5F2" w14:textId="77777777" w:rsidR="00092DAC" w:rsidRDefault="00092DAC" w:rsidP="00F326E5">
      <w:pPr>
        <w:pStyle w:val="NoSpacing"/>
        <w:rPr>
          <w:rFonts w:ascii="Arial Black" w:hAnsi="Arial Black"/>
          <w:sz w:val="40"/>
          <w:szCs w:val="40"/>
        </w:rPr>
      </w:pPr>
    </w:p>
    <w:p w14:paraId="253DBB87" w14:textId="77777777" w:rsidR="00092DAC" w:rsidRDefault="00092DAC" w:rsidP="00F326E5">
      <w:pPr>
        <w:pStyle w:val="NoSpacing"/>
        <w:rPr>
          <w:rFonts w:ascii="Arial Black" w:hAnsi="Arial Black"/>
          <w:sz w:val="40"/>
          <w:szCs w:val="40"/>
        </w:rPr>
      </w:pPr>
    </w:p>
    <w:p w14:paraId="309895FB" w14:textId="77777777" w:rsidR="00092DAC" w:rsidRDefault="00092DAC" w:rsidP="00F326E5">
      <w:pPr>
        <w:pStyle w:val="NoSpacing"/>
        <w:rPr>
          <w:rFonts w:ascii="Arial Black" w:hAnsi="Arial Black"/>
          <w:sz w:val="40"/>
          <w:szCs w:val="40"/>
        </w:rPr>
      </w:pPr>
    </w:p>
    <w:p w14:paraId="6E3D8501" w14:textId="77777777" w:rsidR="00092DAC" w:rsidRDefault="00092DAC" w:rsidP="00F326E5">
      <w:pPr>
        <w:pStyle w:val="NoSpacing"/>
        <w:rPr>
          <w:rFonts w:ascii="Arial Black" w:hAnsi="Arial Black"/>
          <w:sz w:val="40"/>
          <w:szCs w:val="40"/>
        </w:rPr>
      </w:pPr>
    </w:p>
    <w:p w14:paraId="12182089" w14:textId="77777777" w:rsidR="00092DAC" w:rsidRDefault="00092DAC" w:rsidP="00F326E5">
      <w:pPr>
        <w:pStyle w:val="NoSpacing"/>
        <w:rPr>
          <w:rFonts w:ascii="Arial Black" w:hAnsi="Arial Black"/>
          <w:sz w:val="40"/>
          <w:szCs w:val="40"/>
        </w:rPr>
      </w:pPr>
    </w:p>
    <w:p w14:paraId="47E683CB" w14:textId="77777777" w:rsidR="00092DAC" w:rsidRDefault="00092DAC" w:rsidP="00F326E5">
      <w:pPr>
        <w:pStyle w:val="NoSpacing"/>
        <w:rPr>
          <w:rFonts w:ascii="Arial Black" w:hAnsi="Arial Black"/>
          <w:sz w:val="40"/>
          <w:szCs w:val="40"/>
        </w:rPr>
      </w:pPr>
    </w:p>
    <w:p w14:paraId="46938F3E" w14:textId="77777777" w:rsidR="00092DAC" w:rsidRDefault="00092DAC" w:rsidP="00F326E5">
      <w:pPr>
        <w:pStyle w:val="NoSpacing"/>
        <w:rPr>
          <w:rFonts w:ascii="Arial Black" w:hAnsi="Arial Black"/>
          <w:sz w:val="40"/>
          <w:szCs w:val="40"/>
        </w:rPr>
      </w:pPr>
    </w:p>
    <w:p w14:paraId="447F3864" w14:textId="77777777" w:rsidR="00092DAC" w:rsidRDefault="00092DAC" w:rsidP="00F326E5">
      <w:pPr>
        <w:pStyle w:val="NoSpacing"/>
        <w:rPr>
          <w:rFonts w:ascii="Arial Black" w:hAnsi="Arial Black"/>
          <w:sz w:val="40"/>
          <w:szCs w:val="40"/>
        </w:rPr>
      </w:pPr>
    </w:p>
    <w:p w14:paraId="1348AC9F" w14:textId="77777777" w:rsidR="00092DAC" w:rsidRDefault="00092DAC" w:rsidP="00F326E5">
      <w:pPr>
        <w:pStyle w:val="NoSpacing"/>
        <w:rPr>
          <w:rFonts w:ascii="Arial Black" w:hAnsi="Arial Black"/>
          <w:sz w:val="40"/>
          <w:szCs w:val="40"/>
        </w:rPr>
      </w:pPr>
    </w:p>
    <w:p w14:paraId="05166E51" w14:textId="77777777" w:rsidR="00092DAC" w:rsidRDefault="00092DAC" w:rsidP="00F326E5">
      <w:pPr>
        <w:pStyle w:val="NoSpacing"/>
        <w:rPr>
          <w:rFonts w:ascii="Arial Black" w:hAnsi="Arial Black"/>
          <w:sz w:val="40"/>
          <w:szCs w:val="40"/>
        </w:rPr>
      </w:pPr>
    </w:p>
    <w:p w14:paraId="40B4E3A5" w14:textId="77777777" w:rsidR="00092DAC" w:rsidRDefault="00092DAC" w:rsidP="00F326E5">
      <w:pPr>
        <w:pStyle w:val="NoSpacing"/>
        <w:rPr>
          <w:rFonts w:ascii="Arial Black" w:hAnsi="Arial Black"/>
          <w:sz w:val="40"/>
          <w:szCs w:val="40"/>
        </w:rPr>
      </w:pPr>
    </w:p>
    <w:p w14:paraId="64488E60" w14:textId="4892BEF7" w:rsidR="00F326E5" w:rsidRDefault="00F326E5" w:rsidP="00F326E5">
      <w:pPr>
        <w:pStyle w:val="NoSpacing"/>
        <w:rPr>
          <w:rFonts w:ascii="Arial Black" w:hAnsi="Arial Black"/>
          <w:sz w:val="40"/>
          <w:szCs w:val="40"/>
        </w:rPr>
      </w:pPr>
      <w:r w:rsidRPr="007732FA">
        <w:rPr>
          <w:rFonts w:ascii="Arial Black" w:hAnsi="Arial Black"/>
          <w:sz w:val="40"/>
          <w:szCs w:val="40"/>
        </w:rPr>
        <w:lastRenderedPageBreak/>
        <w:t>Chap. 8</w:t>
      </w:r>
      <w:r w:rsidR="002B1283">
        <w:rPr>
          <w:rFonts w:ascii="Arial Black" w:hAnsi="Arial Black"/>
          <w:sz w:val="40"/>
          <w:szCs w:val="40"/>
        </w:rPr>
        <w:t xml:space="preserve"> </w:t>
      </w:r>
      <w:r w:rsidRPr="007732FA">
        <w:rPr>
          <w:rFonts w:ascii="Arial Black" w:hAnsi="Arial Black"/>
          <w:sz w:val="40"/>
          <w:szCs w:val="40"/>
        </w:rPr>
        <w:t>Race Discrimination</w:t>
      </w:r>
    </w:p>
    <w:p w14:paraId="20B09CCF" w14:textId="77777777" w:rsidR="0002742E" w:rsidRDefault="0002742E" w:rsidP="00BC70A3">
      <w:pPr>
        <w:rPr>
          <w:rFonts w:ascii="Arial Black" w:hAnsi="Arial Black"/>
          <w:b/>
          <w:sz w:val="24"/>
          <w:szCs w:val="24"/>
        </w:rPr>
      </w:pPr>
    </w:p>
    <w:p w14:paraId="6A4AF60E" w14:textId="39F8B233" w:rsidR="00165BBD" w:rsidRDefault="00165BBD" w:rsidP="00165BBD">
      <w:pPr>
        <w:rPr>
          <w:rFonts w:ascii="Arial Black" w:hAnsi="Arial Black"/>
          <w:b/>
          <w:sz w:val="24"/>
          <w:szCs w:val="24"/>
        </w:rPr>
      </w:pPr>
      <w:r>
        <w:rPr>
          <w:rFonts w:ascii="Arial Black" w:hAnsi="Arial Black"/>
          <w:b/>
          <w:sz w:val="24"/>
          <w:szCs w:val="24"/>
        </w:rPr>
        <w:t>8-9</w:t>
      </w:r>
      <w:r w:rsidR="00515C5E">
        <w:rPr>
          <w:rFonts w:ascii="Arial Black" w:hAnsi="Arial Black"/>
          <w:b/>
          <w:sz w:val="24"/>
          <w:szCs w:val="24"/>
        </w:rPr>
        <w:t>8</w:t>
      </w:r>
    </w:p>
    <w:p w14:paraId="5965BA4C" w14:textId="11990D04" w:rsidR="00320F77" w:rsidRPr="00DB14FE" w:rsidRDefault="00320F77" w:rsidP="00320F77">
      <w:pPr>
        <w:rPr>
          <w:rFonts w:ascii="Arial Black" w:hAnsi="Arial Black"/>
          <w:b/>
          <w:sz w:val="28"/>
          <w:szCs w:val="28"/>
        </w:rPr>
      </w:pPr>
      <w:r>
        <w:rPr>
          <w:rFonts w:ascii="Arial Black" w:hAnsi="Arial Black"/>
          <w:b/>
          <w:sz w:val="28"/>
          <w:szCs w:val="28"/>
        </w:rPr>
        <w:t>IL: BLACK FEMALE BC – NOT PROM 3 TIMES – RANKED LOW</w:t>
      </w:r>
    </w:p>
    <w:p w14:paraId="2EA8DB10" w14:textId="77777777" w:rsidR="00320F77" w:rsidRDefault="00320F77" w:rsidP="00320F77">
      <w:pPr>
        <w:rPr>
          <w:bCs/>
        </w:rPr>
      </w:pPr>
      <w:r>
        <w:t xml:space="preserve">On August 18, 2026, in </w:t>
      </w:r>
      <w:r w:rsidRPr="00E5489A">
        <w:rPr>
          <w:u w:val="single"/>
        </w:rPr>
        <w:t>Rhonda Walker v. City of Chicago</w:t>
      </w:r>
      <w:r>
        <w:t xml:space="preserve">, U.S. District Court Judge Mary M. Rowland, United States District Court for the Northern District of Illinois, granted summary judgment to the </w:t>
      </w:r>
      <w:proofErr w:type="gramStart"/>
      <w:r>
        <w:t>City</w:t>
      </w:r>
      <w:proofErr w:type="gramEnd"/>
      <w:r>
        <w:t xml:space="preserve">; the </w:t>
      </w:r>
      <w:r w:rsidRPr="00DB14FE">
        <w:t>City's proffered non-discriminatory reason for not promoting Walker to Deputy District Chief</w:t>
      </w:r>
      <w:r>
        <w:t xml:space="preserve"> in September 2022. </w:t>
      </w:r>
      <w:proofErr w:type="gramStart"/>
      <w:r>
        <w:t>again</w:t>
      </w:r>
      <w:proofErr w:type="gramEnd"/>
      <w:r>
        <w:t xml:space="preserve"> in November 2022 and again </w:t>
      </w:r>
      <w:r w:rsidRPr="00DB14FE">
        <w:t>in February 2024</w:t>
      </w:r>
      <w:r>
        <w:t xml:space="preserve">. During first panel, </w:t>
      </w:r>
      <w:r w:rsidRPr="00805914">
        <w:t>Deputy Commissioner Ferman ultimately ranked Walker eighth or ninth out of the pool of candidates. Assistant Deputy Commissioner Walker similarly did not rank her highly compared to the other candidates.</w:t>
      </w:r>
      <w:r>
        <w:t xml:space="preserve"> The Court concluded:  “</w:t>
      </w:r>
      <w:r w:rsidRPr="00DB14FE">
        <w:t>Promoting individuals who an employer believes are better qualified for a position is legitimate, nondiscriminatory reason for an action.</w:t>
      </w:r>
      <w:r>
        <w:t xml:space="preserve">” </w:t>
      </w:r>
      <w:hyperlink r:id="rId1495" w:history="1">
        <w:r w:rsidRPr="00444613">
          <w:rPr>
            <w:rStyle w:val="Hyperlink"/>
          </w:rPr>
          <w:t>https://public.fastcase.com/Jhe1Qn%2BmJndQYQU6z%2FeNmwkNGC21ZfGHMzbRo4fP8cpz%2BCEZ70RU4N9i%2B957fR2H?utm_medium=email&amp;_hsenc=p2ANqtz-93BCHKeY8rFUHPxU20EYDUZBKoA8xfPL2gbvtqTb-KfZ-jSuPHcMWp2f3aURAUU2s5vJrKmBa580UVad7TZkqQmEMaRQ&amp;_hsmi=226712652&amp;utm_content=226712652&amp;utm_source=hs_email</w:t>
        </w:r>
      </w:hyperlink>
      <w:r>
        <w:t xml:space="preserve">  </w:t>
      </w:r>
    </w:p>
    <w:p w14:paraId="1EE8CC68" w14:textId="77777777" w:rsidR="00320F77" w:rsidRDefault="00320F77" w:rsidP="00320F77">
      <w:pPr>
        <w:rPr>
          <w:bCs/>
        </w:rPr>
      </w:pPr>
      <w:r>
        <w:t>THE COURT WROTE:</w:t>
      </w:r>
    </w:p>
    <w:p w14:paraId="63F67238" w14:textId="77777777" w:rsidR="00320F77" w:rsidRDefault="00320F77" w:rsidP="00320F77">
      <w:pPr>
        <w:pStyle w:val="NoSpacing"/>
        <w:ind w:left="720"/>
      </w:pPr>
      <w:r>
        <w:t>“</w:t>
      </w:r>
      <w:r w:rsidRPr="00DC1ACB">
        <w:t>Walker, a black female, worked for the Chicago Fire Department (</w:t>
      </w:r>
      <w:r>
        <w:t>‘</w:t>
      </w:r>
      <w:r w:rsidRPr="00DC1ACB">
        <w:t>CFD</w:t>
      </w:r>
      <w:r>
        <w:t>’</w:t>
      </w:r>
      <w:r w:rsidRPr="00DC1ACB">
        <w:t xml:space="preserve">) from October 1, </w:t>
      </w:r>
      <w:proofErr w:type="gramStart"/>
      <w:r w:rsidRPr="00DC1ACB">
        <w:t>1991</w:t>
      </w:r>
      <w:proofErr w:type="gramEnd"/>
      <w:r w:rsidRPr="00DC1ACB">
        <w:t xml:space="preserve"> until her retirement on August 16, 2024</w:t>
      </w:r>
      <w:r>
        <w:t xml:space="preserve">…. </w:t>
      </w:r>
      <w:r w:rsidRPr="00DC1ACB">
        <w:t>Over her tenure, Walker held many roles within CFD, including Firefighter EMT, Lieutenant, Captain, and Battalion Chief</w:t>
      </w:r>
      <w:r>
        <w:t xml:space="preserve">…. </w:t>
      </w:r>
      <w:r w:rsidRPr="00DC1ACB">
        <w:t xml:space="preserve">Of relevance here, from 2021 until her retirement, Walker was a Battalion Chief for CFD Battalion 21, located in Chicago's Beverly </w:t>
      </w:r>
      <w:proofErr w:type="gramStart"/>
      <w:r w:rsidRPr="00DC1ACB">
        <w:t>neighborhood</w:t>
      </w:r>
      <w:proofErr w:type="gramEnd"/>
      <w:r w:rsidRPr="00DC1ACB">
        <w:t>.</w:t>
      </w:r>
    </w:p>
    <w:p w14:paraId="0088B047" w14:textId="77777777" w:rsidR="00320F77" w:rsidRDefault="00320F77" w:rsidP="00320F77">
      <w:pPr>
        <w:pStyle w:val="NoSpacing"/>
        <w:ind w:left="720"/>
      </w:pPr>
    </w:p>
    <w:p w14:paraId="16DF56C8" w14:textId="77777777" w:rsidR="00320F77" w:rsidRPr="00DC1ACB" w:rsidRDefault="00320F77" w:rsidP="00320F77">
      <w:pPr>
        <w:pStyle w:val="NoSpacing"/>
        <w:ind w:left="720"/>
      </w:pPr>
      <w:r>
        <w:t>***</w:t>
      </w:r>
      <w:r w:rsidRPr="00DC1ACB">
        <w:t xml:space="preserve"> </w:t>
      </w:r>
    </w:p>
    <w:p w14:paraId="1110F8F9" w14:textId="77777777" w:rsidR="00320F77" w:rsidRDefault="00320F77" w:rsidP="00320F77">
      <w:pPr>
        <w:pStyle w:val="NoSpacing"/>
      </w:pPr>
      <w:r w:rsidRPr="00DC1ACB">
        <w:t>         </w:t>
      </w:r>
    </w:p>
    <w:p w14:paraId="532C1DEB" w14:textId="77777777" w:rsidR="00320F77" w:rsidRDefault="00320F77" w:rsidP="00320F77">
      <w:pPr>
        <w:pStyle w:val="NoSpacing"/>
        <w:ind w:left="720"/>
      </w:pPr>
      <w:r w:rsidRPr="001B4ACF">
        <w:t>In 2022, due to a shortage of Deputy District Chiefs, CFD determined that additional promotions from Battalion Chief to Deputy District Chief were necessary</w:t>
      </w:r>
      <w:r>
        <w:t xml:space="preserve">…. </w:t>
      </w:r>
      <w:r w:rsidRPr="001B4ACF">
        <w:t xml:space="preserve"> As such, on September 7, 2022, Commissioner Nance-Holt, through her Chief of Staff, sent an email to all Battalion Chiefs seeking applications from those interested in becoming Deputy District Chief</w:t>
      </w:r>
      <w:r>
        <w:t>…. [Nine]</w:t>
      </w:r>
      <w:r w:rsidRPr="001B4ACF">
        <w:t>Battalion Chiefs</w:t>
      </w:r>
      <w:r>
        <w:t xml:space="preserve"> </w:t>
      </w:r>
      <w:r w:rsidRPr="001B4ACF">
        <w:t>submitted applications</w:t>
      </w:r>
      <w:r>
        <w:t xml:space="preserve">…. </w:t>
      </w:r>
      <w:r w:rsidRPr="001B4ACF">
        <w:t>The Battalion Chiefs who submitted applications were later interviewed by a four member-panel</w:t>
      </w:r>
      <w:r>
        <w:t xml:space="preserve">… </w:t>
      </w:r>
      <w:r w:rsidRPr="00D973E2">
        <w:t>The panel eventually selected Haynes</w:t>
      </w:r>
      <w:r>
        <w:t xml:space="preserve"> [Black]</w:t>
      </w:r>
      <w:r w:rsidRPr="00D973E2">
        <w:t xml:space="preserve"> and Burns for promotion to Deputy District Chief.</w:t>
      </w:r>
    </w:p>
    <w:p w14:paraId="5E849E11" w14:textId="77777777" w:rsidR="00320F77" w:rsidRDefault="00320F77" w:rsidP="00320F77">
      <w:pPr>
        <w:pStyle w:val="NoSpacing"/>
      </w:pPr>
    </w:p>
    <w:p w14:paraId="20B0E4AB" w14:textId="77777777" w:rsidR="00320F77" w:rsidRDefault="00320F77" w:rsidP="00320F77">
      <w:pPr>
        <w:pStyle w:val="NoSpacing"/>
      </w:pPr>
    </w:p>
    <w:p w14:paraId="3D413C94" w14:textId="77777777" w:rsidR="00320F77" w:rsidRDefault="00320F77" w:rsidP="00320F77">
      <w:pPr>
        <w:pStyle w:val="NoSpacing"/>
        <w:ind w:left="720"/>
        <w:rPr>
          <w:i/>
          <w:iCs/>
        </w:rPr>
      </w:pPr>
      <w:r w:rsidRPr="00E16215">
        <w:t>Following the November 2022 promotions, a second round of Deputy District Chief promotions occurred in 2023</w:t>
      </w:r>
      <w:r>
        <w:t xml:space="preserve">…. </w:t>
      </w:r>
      <w:r w:rsidRPr="00E16215">
        <w:t>The panel did not conduct another round of interviews for the second round and instead relied on the same materials and interviews from November 2022 promotions</w:t>
      </w:r>
      <w:r>
        <w:t xml:space="preserve">…. </w:t>
      </w:r>
      <w:r w:rsidRPr="00E16215">
        <w:t>The panel eventually selected Brooks, Ochoa, Chris Serb, and Douglas Schick</w:t>
      </w:r>
      <w:r>
        <w:rPr>
          <w:vertAlign w:val="superscript"/>
        </w:rPr>
        <w:t xml:space="preserve"> </w:t>
      </w:r>
      <w:r w:rsidRPr="00E16215">
        <w:t xml:space="preserve">for promotion to Deputy District Chief. </w:t>
      </w:r>
      <w:r w:rsidRPr="00E16215">
        <w:rPr>
          <w:i/>
          <w:iCs/>
        </w:rPr>
        <w:t>Id</w:t>
      </w:r>
      <w:r w:rsidRPr="00E16215">
        <w:t xml:space="preserve">. The second round of promotions were effective on or about March 16, 2023. </w:t>
      </w:r>
    </w:p>
    <w:p w14:paraId="0ABDC60C" w14:textId="77777777" w:rsidR="00320F77" w:rsidRDefault="00320F77" w:rsidP="00320F77">
      <w:pPr>
        <w:pStyle w:val="NoSpacing"/>
        <w:ind w:left="720"/>
        <w:rPr>
          <w:i/>
          <w:iCs/>
        </w:rPr>
      </w:pPr>
    </w:p>
    <w:p w14:paraId="2D636A64" w14:textId="77777777" w:rsidR="00320F77" w:rsidRDefault="00320F77" w:rsidP="00320F77">
      <w:pPr>
        <w:pStyle w:val="NoSpacing"/>
        <w:ind w:left="720"/>
      </w:pPr>
      <w:r>
        <w:t>***</w:t>
      </w:r>
    </w:p>
    <w:p w14:paraId="59F5425D" w14:textId="77777777" w:rsidR="00320F77" w:rsidRDefault="00320F77" w:rsidP="00320F77">
      <w:pPr>
        <w:pStyle w:val="NoSpacing"/>
        <w:ind w:left="720"/>
      </w:pPr>
      <w:r w:rsidRPr="00B10215">
        <w:t>A third round of Deputy District Chief promotions occurred in 2024</w:t>
      </w:r>
      <w:r>
        <w:t xml:space="preserve">…. </w:t>
      </w:r>
      <w:r w:rsidRPr="00B10215">
        <w:t>Applicants who had previously interviewed and were still interested in the role were considered</w:t>
      </w:r>
      <w:proofErr w:type="gramStart"/>
      <w:r>
        <w:t>…..</w:t>
      </w:r>
      <w:proofErr w:type="gramEnd"/>
      <w:r>
        <w:t xml:space="preserve"> </w:t>
      </w:r>
      <w:r w:rsidRPr="00B10215">
        <w:t>Additionally, several new Battalion Chiefs who had expressed interest in the role were interviewed and considered</w:t>
      </w:r>
      <w:r>
        <w:t xml:space="preserve">…. </w:t>
      </w:r>
      <w:r w:rsidRPr="00B10215">
        <w:t xml:space="preserve">The new candidates were interviewed by a different panel consisting of Deputy Commissioner Ferman, Assistant Deputy Commissioner Walker, and Assistant Deputy Commissioner of Airport Operations John Geis. </w:t>
      </w:r>
    </w:p>
    <w:p w14:paraId="30FFC0EE" w14:textId="77777777" w:rsidR="00320F77" w:rsidRDefault="00320F77" w:rsidP="00320F77">
      <w:pPr>
        <w:pStyle w:val="NoSpacing"/>
        <w:ind w:left="720"/>
      </w:pPr>
    </w:p>
    <w:p w14:paraId="5E992773" w14:textId="77777777" w:rsidR="00320F77" w:rsidRDefault="00320F77" w:rsidP="00320F77">
      <w:pPr>
        <w:pStyle w:val="NoSpacing"/>
        <w:ind w:left="720"/>
      </w:pPr>
      <w:r>
        <w:t>***</w:t>
      </w:r>
    </w:p>
    <w:p w14:paraId="348B6170" w14:textId="77777777" w:rsidR="00320F77" w:rsidRDefault="00320F77" w:rsidP="00320F77">
      <w:pPr>
        <w:pStyle w:val="NoSpacing"/>
      </w:pPr>
    </w:p>
    <w:p w14:paraId="6225C66C" w14:textId="77777777" w:rsidR="00320F77" w:rsidRDefault="00320F77" w:rsidP="00320F77">
      <w:pPr>
        <w:pStyle w:val="NoSpacing"/>
        <w:ind w:left="720"/>
      </w:pPr>
      <w:r w:rsidRPr="002D1655">
        <w:t>The City's proffered non-discriminatory reason for not promoting Walker to Deputy District Chief in February 2024 is straightforward: Walker was not a top candidate. When making decisions on Deputy District Chief promotions in February 2024, Deputy Commissioner Ferman testified that the panel was looking to pick the best possible person available at the time, and specifically, those who had the best training, could best handle emergency incidents, and had the best communication skills</w:t>
      </w:r>
      <w:r>
        <w:t xml:space="preserve">…. </w:t>
      </w:r>
      <w:r w:rsidRPr="002D1655">
        <w:t xml:space="preserve">Based on interviews, resumes, and attention to each candidate's radio communications and day-to-day operations, the panel believed that Crowley, Mielnicki, Pinkston, and </w:t>
      </w:r>
      <w:proofErr w:type="spellStart"/>
      <w:r w:rsidRPr="002D1655">
        <w:t>Shawluck</w:t>
      </w:r>
      <w:proofErr w:type="spellEnd"/>
      <w:r w:rsidRPr="002D1655">
        <w:t xml:space="preserve"> each exhibited valuable attributes and skills, had stronger radio communication abilities compared to Walker, and were ultimately the best candidates</w:t>
      </w:r>
      <w:r>
        <w:t xml:space="preserve">…. </w:t>
      </w:r>
      <w:r w:rsidRPr="002D1655">
        <w:t xml:space="preserve">Promoting individuals who an employer believes are better qualified for a position is legitimate, nondiscriminatory reason for an action. </w:t>
      </w:r>
      <w:r w:rsidRPr="002D1655">
        <w:rPr>
          <w:i/>
          <w:iCs/>
        </w:rPr>
        <w:t>See Scruggs</w:t>
      </w:r>
      <w:r w:rsidRPr="002D1655">
        <w:t xml:space="preserve">, 587 F.3d at 838. </w:t>
      </w:r>
      <w:r>
        <w:t xml:space="preserve"> A</w:t>
      </w:r>
      <w:r w:rsidRPr="002D1655">
        <w:t>s the City has articulated a legitimate, nondiscriminatory reason for its promotion decision, Walker must present sufficient evidence to create a genuine issue of material fact as to pretext.</w:t>
      </w:r>
      <w:r>
        <w:t>”</w:t>
      </w:r>
    </w:p>
    <w:p w14:paraId="5E3A1B0A" w14:textId="77777777" w:rsidR="00320F77" w:rsidRDefault="00320F77" w:rsidP="00320F77">
      <w:pPr>
        <w:pStyle w:val="NoSpacing"/>
        <w:ind w:left="720"/>
      </w:pPr>
    </w:p>
    <w:p w14:paraId="762C277F" w14:textId="77777777" w:rsidR="00320F77" w:rsidRPr="003C26E4" w:rsidRDefault="00320F77" w:rsidP="00320F77">
      <w:pPr>
        <w:pStyle w:val="NoSpacing"/>
        <w:rPr>
          <w:b/>
          <w:bCs/>
        </w:rPr>
      </w:pPr>
      <w:r>
        <w:rPr>
          <w:b/>
        </w:rPr>
        <w:t xml:space="preserve">Legal lesson learned:  Promoting the best candidates is legitimate, and non-discriminatory. </w:t>
      </w:r>
    </w:p>
    <w:p w14:paraId="3B576A01" w14:textId="77777777" w:rsidR="00165BBD" w:rsidRDefault="00165BBD" w:rsidP="00165BBD">
      <w:pPr>
        <w:rPr>
          <w:rFonts w:ascii="Arial Black" w:hAnsi="Arial Black"/>
          <w:b/>
          <w:sz w:val="24"/>
          <w:szCs w:val="24"/>
        </w:rPr>
      </w:pPr>
    </w:p>
    <w:p w14:paraId="259B37BF" w14:textId="77777777" w:rsidR="00515C5E" w:rsidRDefault="00515C5E" w:rsidP="00165BBD">
      <w:pPr>
        <w:rPr>
          <w:rFonts w:ascii="Arial Black" w:hAnsi="Arial Black"/>
          <w:b/>
          <w:sz w:val="24"/>
          <w:szCs w:val="24"/>
        </w:rPr>
      </w:pPr>
    </w:p>
    <w:p w14:paraId="30DA5677" w14:textId="656BDCF4" w:rsidR="00515C5E" w:rsidRDefault="00515C5E" w:rsidP="00515C5E">
      <w:pPr>
        <w:rPr>
          <w:rFonts w:ascii="Arial Black" w:hAnsi="Arial Black"/>
          <w:b/>
          <w:sz w:val="24"/>
          <w:szCs w:val="24"/>
        </w:rPr>
      </w:pPr>
      <w:r>
        <w:rPr>
          <w:rFonts w:ascii="Arial Black" w:hAnsi="Arial Black"/>
          <w:b/>
          <w:sz w:val="24"/>
          <w:szCs w:val="24"/>
        </w:rPr>
        <w:t>8-97</w:t>
      </w:r>
    </w:p>
    <w:p w14:paraId="66D631D6" w14:textId="77777777" w:rsidR="00515C5E" w:rsidRPr="00CB7BB6" w:rsidRDefault="00515C5E" w:rsidP="00515C5E">
      <w:pPr>
        <w:rPr>
          <w:rFonts w:ascii="Arial Black" w:hAnsi="Arial Black"/>
          <w:b/>
          <w:sz w:val="28"/>
          <w:szCs w:val="28"/>
        </w:rPr>
      </w:pPr>
      <w:r>
        <w:rPr>
          <w:rFonts w:ascii="Arial Black" w:hAnsi="Arial Black"/>
          <w:b/>
          <w:sz w:val="28"/>
          <w:szCs w:val="28"/>
        </w:rPr>
        <w:t>LA: WHITE B/C – 6HR SUSP / TRANS – DEI MEMO EMS CLASS</w:t>
      </w:r>
    </w:p>
    <w:p w14:paraId="4242CF5C" w14:textId="77777777" w:rsidR="00515C5E" w:rsidRDefault="00515C5E" w:rsidP="00515C5E">
      <w:pPr>
        <w:rPr>
          <w:b/>
        </w:rPr>
      </w:pPr>
      <w:r>
        <w:t xml:space="preserve">On August 6, 2028, in </w:t>
      </w:r>
      <w:r w:rsidRPr="006D58A1">
        <w:rPr>
          <w:u w:val="single"/>
        </w:rPr>
        <w:t>Henry L. Beba, Jr. v. New Orleans City, et al.</w:t>
      </w:r>
      <w:r>
        <w:t xml:space="preserve">, U.S. District Court Judge Lance M. </w:t>
      </w:r>
      <w:proofErr w:type="spellStart"/>
      <w:r>
        <w:t>Africk</w:t>
      </w:r>
      <w:proofErr w:type="spellEnd"/>
      <w:r>
        <w:t xml:space="preserve">, United States District Court for Eastern Louisiana, dismissed </w:t>
      </w:r>
      <w:r w:rsidRPr="004E4B96">
        <w:t>all of Beba's claims against defendants</w:t>
      </w:r>
      <w:r>
        <w:t>, including failure to promote</w:t>
      </w:r>
      <w:r w:rsidRPr="004E4B96">
        <w:t>, with prejudice</w:t>
      </w:r>
      <w:r>
        <w:t xml:space="preserve"> (no further amended complaints can be filed).  “</w:t>
      </w:r>
      <w:r w:rsidRPr="00CB7BB6">
        <w:t xml:space="preserve">The NOFD disciplinary process regarding Beba's statements during the EMT </w:t>
      </w:r>
      <w:r>
        <w:t xml:space="preserve">[course] </w:t>
      </w:r>
      <w:r w:rsidRPr="00CB7BB6">
        <w:t>culminated on March 26, 2025, when he was informed via letter that NOFD was imposing a six-hour suspension for his statements.</w:t>
      </w:r>
      <w:r>
        <w:t xml:space="preserve">”  He was also transferred on March 24, </w:t>
      </w:r>
      <w:proofErr w:type="gramStart"/>
      <w:r>
        <w:t>2025</w:t>
      </w:r>
      <w:proofErr w:type="gramEnd"/>
      <w:r>
        <w:t xml:space="preserve"> from Station 508 to a “floating position” - Staff Platoon 2 (four other District Chiefs received transfers to stations).  The Court held: </w:t>
      </w:r>
      <w:r w:rsidRPr="00437D5B">
        <w:rPr>
          <w:i/>
          <w:iCs/>
        </w:rPr>
        <w:t>Beba fails to state a claim for First Amendment retaliation.</w:t>
      </w:r>
      <w:r>
        <w:rPr>
          <w:i/>
          <w:iCs/>
        </w:rPr>
        <w:t xml:space="preserve"> </w:t>
      </w:r>
      <w:r w:rsidRPr="00A91353">
        <w:t xml:space="preserve">At its core, Beba's statement is that he feels he is more qualified to be deputy chief than a colleague promoted over him. Thus, even within the confines of his slight reference to DEI, the nature of his statement is airing a personal grievance, which weighs against finding that his statement was a matter of public </w:t>
      </w:r>
      <w:proofErr w:type="gramStart"/>
      <w:r w:rsidRPr="00A91353">
        <w:t>concern.</w:t>
      </w:r>
      <w:r>
        <w:t>”</w:t>
      </w:r>
      <w:proofErr w:type="gramEnd"/>
      <w:r>
        <w:t xml:space="preserve"> </w:t>
      </w:r>
      <w:hyperlink r:id="rId1496" w:history="1">
        <w:r w:rsidRPr="009E02D9">
          <w:rPr>
            <w:rStyle w:val="Hyperlink"/>
            <w:b/>
          </w:rPr>
          <w:t>https://cases.justia.com/louisiana/fourth-circuit-court-of-appeal/2026-2025-ca-0870.pdf?ts=1784938638</w:t>
        </w:r>
      </w:hyperlink>
      <w:r>
        <w:rPr>
          <w:b/>
        </w:rPr>
        <w:t xml:space="preserve"> </w:t>
      </w:r>
    </w:p>
    <w:p w14:paraId="1819D67D" w14:textId="77777777" w:rsidR="00515C5E" w:rsidRDefault="00515C5E" w:rsidP="00515C5E">
      <w:pPr>
        <w:rPr>
          <w:bCs/>
        </w:rPr>
      </w:pPr>
      <w:r>
        <w:t xml:space="preserve">THE COURT WROTE: </w:t>
      </w:r>
    </w:p>
    <w:p w14:paraId="324639A0" w14:textId="77777777" w:rsidR="00515C5E" w:rsidRPr="00F20712" w:rsidRDefault="00515C5E" w:rsidP="00515C5E">
      <w:pPr>
        <w:ind w:left="720"/>
        <w:rPr>
          <w:bCs/>
        </w:rPr>
      </w:pPr>
      <w:r>
        <w:t>“</w:t>
      </w:r>
      <w:r w:rsidRPr="00F20712">
        <w:t>Beba is a white, male district chief for the New Orleans Fire Department (</w:t>
      </w:r>
      <w:r>
        <w:t>‘</w:t>
      </w:r>
      <w:r w:rsidRPr="00F20712">
        <w:t>NOFD</w:t>
      </w:r>
      <w:r>
        <w:t>’</w:t>
      </w:r>
      <w:r w:rsidRPr="00F20712">
        <w:t xml:space="preserve">). He first joined NOFD in 1991, and from August 5, </w:t>
      </w:r>
      <w:proofErr w:type="gramStart"/>
      <w:r w:rsidRPr="00F20712">
        <w:t>2018</w:t>
      </w:r>
      <w:proofErr w:type="gramEnd"/>
      <w:r w:rsidRPr="00F20712">
        <w:t xml:space="preserve"> until March 20, 2025, Beba was assigned as a district chief to the </w:t>
      </w:r>
      <w:r>
        <w:t>‘</w:t>
      </w:r>
      <w:r w:rsidRPr="00F20712">
        <w:t xml:space="preserve">8th District, Second Platoon (Station 508), an </w:t>
      </w:r>
      <w:r>
        <w:t>‘</w:t>
      </w:r>
      <w:r w:rsidRPr="00F20712">
        <w:t>assignment</w:t>
      </w:r>
      <w:r>
        <w:t>’</w:t>
      </w:r>
      <w:r w:rsidRPr="00F20712">
        <w:t xml:space="preserve"> he obtained through a </w:t>
      </w:r>
      <w:r>
        <w:t>‘</w:t>
      </w:r>
      <w:r w:rsidRPr="00F20712">
        <w:t xml:space="preserve">seniority-based . . . </w:t>
      </w:r>
      <w:proofErr w:type="gramStart"/>
      <w:r w:rsidRPr="00F20712">
        <w:t>system.</w:t>
      </w:r>
      <w:r>
        <w:t>’</w:t>
      </w:r>
      <w:proofErr w:type="gramEnd"/>
      <w:r w:rsidRPr="00F20712">
        <w:t xml:space="preserve"> </w:t>
      </w:r>
    </w:p>
    <w:p w14:paraId="4B1D7C27" w14:textId="77777777" w:rsidR="00515C5E" w:rsidRPr="00F20712" w:rsidRDefault="00515C5E" w:rsidP="00515C5E">
      <w:pPr>
        <w:ind w:left="720"/>
        <w:rPr>
          <w:bCs/>
        </w:rPr>
      </w:pPr>
      <w:r w:rsidRPr="00F20712">
        <w:t xml:space="preserve">In January 2025, Beba enrolled in </w:t>
      </w:r>
      <w:r>
        <w:t>‘</w:t>
      </w:r>
      <w:r w:rsidRPr="00F20712">
        <w:t>an EMT-BASIC program at Delgado Community College.</w:t>
      </w:r>
      <w:r>
        <w:t xml:space="preserve">’ </w:t>
      </w:r>
      <w:r w:rsidRPr="00F20712">
        <w:t xml:space="preserve"> As an introductory assignment, Beba and other students in the class responded to a series of prompts, including, </w:t>
      </w:r>
      <w:r>
        <w:t>‘</w:t>
      </w:r>
      <w:r w:rsidRPr="00F20712">
        <w:t>[t]</w:t>
      </w:r>
      <w:proofErr w:type="spellStart"/>
      <w:r w:rsidRPr="00F20712">
        <w:t>ell</w:t>
      </w:r>
      <w:proofErr w:type="spellEnd"/>
      <w:r w:rsidRPr="00F20712">
        <w:t xml:space="preserve"> us what's got you [sic] interested in EMS (YES, EVEN YOU FIRE . . .).</w:t>
      </w:r>
      <w:r>
        <w:t>’</w:t>
      </w:r>
      <w:r w:rsidRPr="00F20712">
        <w:t xml:space="preserve"> In response to this prompt, on January 20, 2025, Beba wrote: </w:t>
      </w:r>
    </w:p>
    <w:p w14:paraId="4530B384" w14:textId="77777777" w:rsidR="00515C5E" w:rsidRPr="00F20712" w:rsidRDefault="00515C5E" w:rsidP="00515C5E">
      <w:pPr>
        <w:ind w:left="1440"/>
        <w:rPr>
          <w:bCs/>
        </w:rPr>
      </w:pPr>
      <w:r w:rsidRPr="00F20712">
        <w:t xml:space="preserve">I'll be candid-I initially had no plans to pursue my Basic-EMT certification. My focus was on advancing through </w:t>
      </w:r>
      <w:proofErr w:type="gramStart"/>
      <w:r w:rsidRPr="00F20712">
        <w:t>the promotional</w:t>
      </w:r>
      <w:proofErr w:type="gramEnd"/>
      <w:r w:rsidRPr="00F20712">
        <w:t xml:space="preserve"> ranks, a path that included rigorous training, setting personal goals, and achieving professional milestones. However, after experiencing setbacks in the promotional process and not being a DEI candidate after passing the Deputy Chief Promotional Exam at #6 only to be passed over by the last person on the list at #14 because he fits more the description of a DEI promotion, I realized </w:t>
      </w:r>
      <w:r w:rsidRPr="00F20712">
        <w:lastRenderedPageBreak/>
        <w:t xml:space="preserve">that pursuing my EMT certification could provide a meaningful way to enhance my skills, help others, and secure a 5% increase in my pension going forward cutting my loss of not getting the promotional 10%. </w:t>
      </w:r>
    </w:p>
    <w:p w14:paraId="7863B680" w14:textId="77777777" w:rsidR="00515C5E" w:rsidRPr="00F20712" w:rsidRDefault="00515C5E" w:rsidP="00515C5E">
      <w:pPr>
        <w:ind w:left="1440"/>
        <w:rPr>
          <w:bCs/>
        </w:rPr>
      </w:pPr>
      <w:r w:rsidRPr="00F20712">
        <w:t xml:space="preserve">More importantly, this certification will equip me to better assist others, especially family members, in times of medical need. </w:t>
      </w:r>
    </w:p>
    <w:p w14:paraId="245D4DC1" w14:textId="77777777" w:rsidR="00515C5E" w:rsidRPr="00F20712" w:rsidRDefault="00515C5E" w:rsidP="00515C5E">
      <w:pPr>
        <w:ind w:left="540"/>
        <w:rPr>
          <w:bCs/>
        </w:rPr>
      </w:pPr>
      <w:r w:rsidRPr="00F20712">
        <w:t xml:space="preserve">Beba's response was visible on the online discussion board to his classmates, including multiple members of NOFD. Beba's statements were ultimately shared with members of NOFD outside of the EMT course, including with the individual that he referred to as a </w:t>
      </w:r>
      <w:r>
        <w:t>‘</w:t>
      </w:r>
      <w:r w:rsidRPr="00F20712">
        <w:t>DEI candidate.</w:t>
      </w:r>
      <w:r>
        <w:t>’</w:t>
      </w:r>
      <w:r w:rsidRPr="00F20712">
        <w:t xml:space="preserve"> Shortly thereafter, NOFD leadership became aware of Beba's </w:t>
      </w:r>
      <w:r>
        <w:t>‘</w:t>
      </w:r>
      <w:r w:rsidRPr="00F20712">
        <w:t>derogatory comments,</w:t>
      </w:r>
      <w:r>
        <w:t>’</w:t>
      </w:r>
      <w:r w:rsidRPr="00F20712">
        <w:t xml:space="preserve"> and on February 6, 2025, he received a disciplinary charge for violating NOFD's Workplace Harassment &amp; Discrimination Policy. Following the issuance of the disciplinary charge, an investigation occurred </w:t>
      </w:r>
    </w:p>
    <w:p w14:paraId="2A7CA554" w14:textId="77777777" w:rsidR="00515C5E" w:rsidRDefault="00515C5E" w:rsidP="00515C5E">
      <w:pPr>
        <w:ind w:left="540"/>
        <w:rPr>
          <w:bCs/>
        </w:rPr>
      </w:pPr>
      <w:r w:rsidRPr="00B0520F">
        <w:t xml:space="preserve">While the initial disciplinary process regarding these comments was pending, Beba was reassigned from his post in the 8th District on March 20, 2025. Beba was listed as one of five NOFD district chiefs reassigned in an email from defendant </w:t>
      </w:r>
      <w:r>
        <w:t xml:space="preserve">[Deputy Superintendent of Fire </w:t>
      </w:r>
      <w:r w:rsidRPr="006B01D2">
        <w:t>Armand M.</w:t>
      </w:r>
      <w:r>
        <w:t xml:space="preserve">] </w:t>
      </w:r>
      <w:r w:rsidRPr="00B0520F">
        <w:t xml:space="preserve">Bourdais. While the four other district chiefs were transferred to specific stations, Beba was reassigned as a district chief for </w:t>
      </w:r>
      <w:r>
        <w:t>‘</w:t>
      </w:r>
      <w:r w:rsidRPr="00B0520F">
        <w:t>Staff platoon 2.</w:t>
      </w:r>
      <w:r>
        <w:t>’</w:t>
      </w:r>
      <w:r w:rsidRPr="00B0520F">
        <w:t xml:space="preserve"> District Chief Thomas Ussin (</w:t>
      </w:r>
      <w:r>
        <w:t>‘</w:t>
      </w:r>
      <w:r w:rsidRPr="00B0520F">
        <w:t>Ussin</w:t>
      </w:r>
      <w:r>
        <w:t>’</w:t>
      </w:r>
      <w:r w:rsidRPr="00B0520F">
        <w:t xml:space="preserve">) was transferred to fill Beba's previous assignment with </w:t>
      </w:r>
      <w:r>
        <w:t>‘</w:t>
      </w:r>
      <w:r w:rsidRPr="00B0520F">
        <w:t>[Station] 508 platoon 2.</w:t>
      </w:r>
      <w:r>
        <w:t>’</w:t>
      </w:r>
      <w:r w:rsidRPr="00B0520F">
        <w:t xml:space="preserve"> Beba, Ussin, and a third district chief were designated as </w:t>
      </w:r>
      <w:r>
        <w:t>‘</w:t>
      </w:r>
      <w:r w:rsidRPr="00B0520F">
        <w:t>operational</w:t>
      </w:r>
      <w:r>
        <w:t>’</w:t>
      </w:r>
      <w:r w:rsidRPr="00B0520F">
        <w:t xml:space="preserve"> transfers </w:t>
      </w:r>
    </w:p>
    <w:p w14:paraId="0ADF548C" w14:textId="77777777" w:rsidR="00515C5E" w:rsidRDefault="00515C5E" w:rsidP="00515C5E">
      <w:pPr>
        <w:ind w:left="540"/>
        <w:rPr>
          <w:bCs/>
        </w:rPr>
      </w:pPr>
      <w:r w:rsidRPr="00B0520F">
        <w:t xml:space="preserve">Beba alleges that, before his March 2025 transfer, he had submitted complaints to his supervisor concerning Ussin for </w:t>
      </w:r>
      <w:r>
        <w:t>‘</w:t>
      </w:r>
      <w:r w:rsidRPr="00B0520F">
        <w:t>responding to incidents in a personal vehicle,</w:t>
      </w:r>
      <w:r>
        <w:t>’</w:t>
      </w:r>
      <w:r>
        <w:rPr>
          <w:vertAlign w:val="superscript"/>
        </w:rPr>
        <w:t xml:space="preserve"> </w:t>
      </w:r>
      <w:r>
        <w:t>‘</w:t>
      </w:r>
      <w:r w:rsidRPr="00B0520F">
        <w:t>sleeping at home while on duty[,] and responding to incidents improperly.</w:t>
      </w:r>
      <w:r>
        <w:t>’… A</w:t>
      </w:r>
      <w:r w:rsidRPr="005B5B55">
        <w:t xml:space="preserve">ccording to Beba, his reassignment was the result of racial discrimination, in violation of Title VII, and retaliation for protected speech, in violation of the First Amendment. Beba posits that, despite being informed that the reassignment was not a disciplinary action, it was, in fact, disciplinary. He submitted </w:t>
      </w:r>
      <w:r>
        <w:t>‘</w:t>
      </w:r>
      <w:r w:rsidRPr="005B5B55">
        <w:t>an official Employee Grievance [form]</w:t>
      </w:r>
      <w:r>
        <w:t>’</w:t>
      </w:r>
      <w:r w:rsidRPr="005B5B55">
        <w:t xml:space="preserve"> with respect to his reassignment on March 23, 2025.</w:t>
      </w:r>
      <w:r>
        <w:t xml:space="preserve"> </w:t>
      </w:r>
    </w:p>
    <w:p w14:paraId="34BB27D9" w14:textId="77777777" w:rsidR="00515C5E" w:rsidRDefault="00515C5E" w:rsidP="00515C5E">
      <w:pPr>
        <w:ind w:left="540"/>
        <w:rPr>
          <w:bCs/>
        </w:rPr>
      </w:pPr>
      <w:r>
        <w:t>***</w:t>
      </w:r>
    </w:p>
    <w:p w14:paraId="0AF47106" w14:textId="77777777" w:rsidR="00515C5E" w:rsidRDefault="00515C5E" w:rsidP="00515C5E">
      <w:pPr>
        <w:ind w:left="540"/>
        <w:rPr>
          <w:bCs/>
        </w:rPr>
      </w:pPr>
      <w:r w:rsidRPr="00437D5B">
        <w:rPr>
          <w:i/>
          <w:iCs/>
        </w:rPr>
        <w:t>Beba fails to state a claim for First Amendment retaliation.</w:t>
      </w:r>
    </w:p>
    <w:p w14:paraId="5EA0A7B4" w14:textId="77777777" w:rsidR="00515C5E" w:rsidRDefault="00515C5E" w:rsidP="00515C5E">
      <w:pPr>
        <w:ind w:left="540"/>
      </w:pPr>
      <w:r w:rsidRPr="00A91353">
        <w:t xml:space="preserve">At its core, Beba's statement is that he feels he is more qualified to be deputy chief than a colleague promoted over him. Thus, even within the confines of his slight reference to DEI, the nature of his statement is airing a personal grievance, which weighs against finding that his statement was a matter of public concern. </w:t>
      </w:r>
      <w:r w:rsidRPr="00A91353">
        <w:rPr>
          <w:i/>
          <w:iCs/>
        </w:rPr>
        <w:t>Gibson</w:t>
      </w:r>
      <w:r w:rsidRPr="00A91353">
        <w:t>, 838 F.3d at 485.</w:t>
      </w:r>
      <w:r>
        <w:t>”</w:t>
      </w:r>
    </w:p>
    <w:p w14:paraId="544E8AE4" w14:textId="77777777" w:rsidR="00515C5E" w:rsidRDefault="00515C5E" w:rsidP="00515C5E">
      <w:pPr>
        <w:ind w:left="540"/>
      </w:pPr>
      <w:r>
        <w:t>***</w:t>
      </w:r>
    </w:p>
    <w:p w14:paraId="6433393F" w14:textId="77777777" w:rsidR="00515C5E" w:rsidRDefault="00515C5E" w:rsidP="00515C5E">
      <w:pPr>
        <w:ind w:left="540"/>
        <w:rPr>
          <w:bCs/>
        </w:rPr>
      </w:pPr>
      <w:r w:rsidRPr="00483B54">
        <w:rPr>
          <w:i/>
          <w:iCs/>
        </w:rPr>
        <w:t>Beba fails to plausibly state a claim for deprivation of procedural due process</w:t>
      </w:r>
      <w:r w:rsidRPr="00483B54">
        <w:rPr>
          <w:b/>
        </w:rPr>
        <w:t>.</w:t>
      </w:r>
    </w:p>
    <w:p w14:paraId="1C281FB9" w14:textId="77777777" w:rsidR="00515C5E" w:rsidRPr="00B0520F" w:rsidRDefault="00515C5E" w:rsidP="00515C5E">
      <w:pPr>
        <w:ind w:left="540"/>
        <w:rPr>
          <w:bCs/>
        </w:rPr>
      </w:pPr>
      <w:r w:rsidRPr="00BF47B5">
        <w:t>Beba asserts that defendants violated his right to procedural due process when he was reassigned from his post in the 8th District</w:t>
      </w:r>
      <w:r>
        <w:t xml:space="preserve">…. </w:t>
      </w:r>
      <w:r w:rsidRPr="00613C8D">
        <w:t>The Fifth Circuit has rejected public-employee claims of entitlement when reassignment does not economically impact the plaintiff and does not deprive them of professional duties guaranteed by contract or state law</w:t>
      </w:r>
      <w:r>
        <w:t xml:space="preserve">…. </w:t>
      </w:r>
      <w:r w:rsidRPr="00613C8D">
        <w:t xml:space="preserve">Other than an ambiguous reference to NOFD </w:t>
      </w:r>
      <w:r>
        <w:t>‘</w:t>
      </w:r>
      <w:r w:rsidRPr="00613C8D">
        <w:t>established policies . . . and practices,</w:t>
      </w:r>
      <w:r>
        <w:t>’</w:t>
      </w:r>
      <w:r w:rsidRPr="00613C8D">
        <w:t xml:space="preserve"> Beba does not assert any cognizable right to the responsibilities that he possessed before his reassignment</w:t>
      </w:r>
      <w:r>
        <w:t>.</w:t>
      </w:r>
      <w:r w:rsidRPr="00613C8D">
        <w:t xml:space="preserve"> Indeed, the facts Beba alleges indicate that he retained the duties of a district chief post-transfer, and that his transfer was simply to a </w:t>
      </w:r>
      <w:r>
        <w:t>‘</w:t>
      </w:r>
      <w:r w:rsidRPr="00613C8D">
        <w:t>floating position</w:t>
      </w:r>
      <w:r>
        <w:t>’</w:t>
      </w:r>
      <w:r w:rsidRPr="00613C8D">
        <w:t xml:space="preserve"> without fixed authority in any one district.</w:t>
      </w:r>
      <w:r>
        <w:t>”</w:t>
      </w:r>
    </w:p>
    <w:p w14:paraId="4A55BD05" w14:textId="77777777" w:rsidR="00515C5E" w:rsidRPr="00DA5A8F" w:rsidRDefault="00515C5E" w:rsidP="00515C5E">
      <w:pPr>
        <w:rPr>
          <w:b/>
        </w:rPr>
      </w:pPr>
      <w:r>
        <w:rPr>
          <w:b/>
        </w:rPr>
        <w:t xml:space="preserve">Legal lesson learned: Use care in your posting, whether class work or on </w:t>
      </w:r>
      <w:proofErr w:type="gramStart"/>
      <w:r>
        <w:rPr>
          <w:b/>
        </w:rPr>
        <w:t>Social Media</w:t>
      </w:r>
      <w:proofErr w:type="gramEnd"/>
      <w:r>
        <w:rPr>
          <w:b/>
        </w:rPr>
        <w:t xml:space="preserve">. </w:t>
      </w:r>
    </w:p>
    <w:p w14:paraId="43546344" w14:textId="77777777" w:rsidR="00515C5E" w:rsidRDefault="00515C5E" w:rsidP="00165BBD">
      <w:pPr>
        <w:rPr>
          <w:rFonts w:ascii="Arial Black" w:hAnsi="Arial Black"/>
          <w:b/>
          <w:sz w:val="24"/>
          <w:szCs w:val="24"/>
        </w:rPr>
      </w:pPr>
    </w:p>
    <w:p w14:paraId="13055E53" w14:textId="77777777" w:rsidR="00165BBD" w:rsidRDefault="00165BBD" w:rsidP="00165BBD">
      <w:pPr>
        <w:rPr>
          <w:rFonts w:ascii="Arial Black" w:hAnsi="Arial Black"/>
          <w:b/>
          <w:sz w:val="24"/>
          <w:szCs w:val="24"/>
        </w:rPr>
      </w:pPr>
    </w:p>
    <w:p w14:paraId="1E163365" w14:textId="238A7DB5" w:rsidR="00165BBD" w:rsidRDefault="00165BBD" w:rsidP="00165BBD">
      <w:pPr>
        <w:rPr>
          <w:rFonts w:ascii="Arial Black" w:hAnsi="Arial Black"/>
          <w:b/>
          <w:sz w:val="24"/>
          <w:szCs w:val="24"/>
        </w:rPr>
      </w:pPr>
      <w:r>
        <w:rPr>
          <w:rFonts w:ascii="Arial Black" w:hAnsi="Arial Black"/>
          <w:b/>
          <w:sz w:val="24"/>
          <w:szCs w:val="24"/>
        </w:rPr>
        <w:t>8-96</w:t>
      </w:r>
    </w:p>
    <w:p w14:paraId="4180B439" w14:textId="77777777" w:rsidR="00B530A1" w:rsidRDefault="00B530A1" w:rsidP="00B530A1">
      <w:pPr>
        <w:rPr>
          <w:rFonts w:ascii="Arial Black" w:hAnsi="Arial Black"/>
          <w:sz w:val="28"/>
          <w:szCs w:val="28"/>
        </w:rPr>
      </w:pPr>
      <w:r>
        <w:rPr>
          <w:rFonts w:ascii="Arial Black" w:hAnsi="Arial Black"/>
          <w:sz w:val="28"/>
          <w:szCs w:val="28"/>
        </w:rPr>
        <w:t>MS: NEW MAYOR – BLACK CHIEF – LET GO AFTER 25 YRS</w:t>
      </w:r>
    </w:p>
    <w:p w14:paraId="018ECA46" w14:textId="77777777" w:rsidR="00B530A1" w:rsidRDefault="00B530A1" w:rsidP="00B530A1">
      <w:r>
        <w:t xml:space="preserve">On July 28, 2026, in </w:t>
      </w:r>
      <w:r w:rsidRPr="009D75BB">
        <w:rPr>
          <w:u w:val="single"/>
        </w:rPr>
        <w:t>Derreck Stamps v. City of Vicksburg, et al</w:t>
      </w:r>
      <w:r>
        <w:t xml:space="preserve">., U.S. District Court Judge Daniel P. Jordan III, United States District Court for the Southern District of </w:t>
      </w:r>
      <w:r w:rsidRPr="00150140">
        <w:t>Mississippi, Northern Division</w:t>
      </w:r>
      <w:r>
        <w:t>, granted the City motion to dismiss; the former Chief filed complaint that he was terminated based race and age (51), but actually under Mississippi law he was not “reappointed” by the new Mayor.  The case may not be over if he has evidence of race or age discrimination. “</w:t>
      </w:r>
      <w:r w:rsidRPr="00CC262A">
        <w:t>For the reasons stated below, the Court grants Defendants' motion because Stamps lacks standing, but he will be allowed to seek leave to amend.</w:t>
      </w:r>
      <w:r>
        <w:t xml:space="preserve">”  </w:t>
      </w:r>
      <w:hyperlink r:id="rId1497" w:history="1">
        <w:r w:rsidRPr="009234CB">
          <w:rPr>
            <w:rStyle w:val="Hyperlink"/>
          </w:rPr>
          <w:t>https://cases.justia.com/federal/district-courts/mississippi/mssdce/3:2025cv00733/130626/17/0.pdf?ts=1785351264</w:t>
        </w:r>
      </w:hyperlink>
      <w:r>
        <w:t xml:space="preserve"> </w:t>
      </w:r>
    </w:p>
    <w:p w14:paraId="5DF2918E" w14:textId="77777777" w:rsidR="00B530A1" w:rsidRDefault="00B530A1" w:rsidP="00B530A1">
      <w:r>
        <w:t>THE COURT WROTE:</w:t>
      </w:r>
    </w:p>
    <w:p w14:paraId="3DC6E248" w14:textId="77777777" w:rsidR="00B530A1" w:rsidRDefault="00B530A1" w:rsidP="00B530A1">
      <w:pPr>
        <w:pStyle w:val="NoSpacing"/>
        <w:ind w:left="720"/>
      </w:pPr>
      <w:r>
        <w:t>“S</w:t>
      </w:r>
      <w:r w:rsidRPr="00ED294A">
        <w:t>tamps began serving as the Fire Chief for Vicksburg, Mississippi, in June 2000</w:t>
      </w:r>
      <w:r>
        <w:t>…. T</w:t>
      </w:r>
      <w:r w:rsidRPr="00ED294A">
        <w:t>wenty-five years later, in June 2025, Vicksburg held a mayoral election during which Defendant Willis Thompson ousted incumbent George Flaggs</w:t>
      </w:r>
      <w:r>
        <w:t>…. S</w:t>
      </w:r>
      <w:r w:rsidRPr="00ED294A">
        <w:t xml:space="preserve">tamps </w:t>
      </w:r>
      <w:proofErr w:type="gramStart"/>
      <w:r w:rsidRPr="00ED294A">
        <w:t>was</w:t>
      </w:r>
      <w:proofErr w:type="gramEnd"/>
      <w:r w:rsidRPr="00ED294A">
        <w:t xml:space="preserve"> a </w:t>
      </w:r>
      <w:r>
        <w:t>‘</w:t>
      </w:r>
      <w:r w:rsidRPr="00ED294A">
        <w:t>known supporter[] of Mr. Flaggs.</w:t>
      </w:r>
      <w:r>
        <w:t xml:space="preserve">’ … </w:t>
      </w:r>
      <w:r w:rsidRPr="00ED294A">
        <w:t xml:space="preserve"> After Thompson was sworn in, Stamps learned that the Mayor and Board of Aldermen passed a resolution appointing department heads across the city to interim positions</w:t>
      </w:r>
      <w:r>
        <w:t xml:space="preserve">…. </w:t>
      </w:r>
      <w:r w:rsidRPr="00ED294A">
        <w:t>This resolution listed all current department heads except Stamps and the police chief (another Flaggs supporter)</w:t>
      </w:r>
      <w:r>
        <w:t xml:space="preserve">…. </w:t>
      </w:r>
      <w:r w:rsidRPr="00ED294A">
        <w:t xml:space="preserve"> Mayor Thompson told Stamps about that decision in a text message, telling him that </w:t>
      </w:r>
      <w:r>
        <w:t>‘</w:t>
      </w:r>
      <w:r w:rsidRPr="00ED294A">
        <w:t>the Board had decided to go in a different direction regarding Mr. Stamps' role as Fire Chief.</w:t>
      </w:r>
      <w:r>
        <w:t xml:space="preserve">’ … </w:t>
      </w:r>
      <w:r w:rsidRPr="00ED294A">
        <w:t>Stamps wanted answers, so he attended the next Board of Aldermen meeting to ask about his termination</w:t>
      </w:r>
      <w:r>
        <w:t>…. O</w:t>
      </w:r>
      <w:r w:rsidRPr="00ED294A">
        <w:t>nly the Mayor spoke, claiming he and the Board had the discretion to appoint whomever they wished because Mississippi was an at-will state</w:t>
      </w:r>
      <w:r>
        <w:t xml:space="preserve">…. </w:t>
      </w:r>
      <w:r w:rsidRPr="00ED294A">
        <w:t xml:space="preserve">Stamps was 51 years old at the time. </w:t>
      </w:r>
    </w:p>
    <w:p w14:paraId="11E3C677" w14:textId="77777777" w:rsidR="00B530A1" w:rsidRDefault="00B530A1" w:rsidP="00B530A1">
      <w:pPr>
        <w:pStyle w:val="NoSpacing"/>
        <w:ind w:left="720"/>
      </w:pPr>
    </w:p>
    <w:p w14:paraId="6A4182B1" w14:textId="77777777" w:rsidR="00B530A1" w:rsidRPr="00ED294A" w:rsidRDefault="00B530A1" w:rsidP="00B530A1">
      <w:pPr>
        <w:pStyle w:val="NoSpacing"/>
        <w:ind w:left="720"/>
      </w:pPr>
      <w:r>
        <w:t>***</w:t>
      </w:r>
    </w:p>
    <w:p w14:paraId="6E3FBABB" w14:textId="77777777" w:rsidR="00B530A1" w:rsidRDefault="00B530A1" w:rsidP="00B530A1">
      <w:pPr>
        <w:ind w:left="720"/>
      </w:pPr>
      <w:r w:rsidRPr="004F6D1E">
        <w:t xml:space="preserve">According to Stamps, his claims all </w:t>
      </w:r>
      <w:r>
        <w:t>‘</w:t>
      </w:r>
      <w:r w:rsidRPr="004F6D1E">
        <w:t xml:space="preserve">arise from Plaintiff's abrupt </w:t>
      </w:r>
      <w:r w:rsidRPr="004F6D1E">
        <w:rPr>
          <w:i/>
          <w:iCs/>
        </w:rPr>
        <w:t>termination</w:t>
      </w:r>
      <w:r w:rsidRPr="004F6D1E">
        <w:t xml:space="preserve"> as Fire Chief for the City of Vicksburg after more than two decades of service.</w:t>
      </w:r>
      <w:r>
        <w:t xml:space="preserve">’ … </w:t>
      </w:r>
      <w:r w:rsidRPr="00C90055">
        <w:t xml:space="preserve">But that's not what happened. In Mississippi, mayors and boards of aldermen </w:t>
      </w:r>
      <w:r>
        <w:t>‘</w:t>
      </w:r>
      <w:r w:rsidRPr="00C90055">
        <w:t>have the power and authority to appoint . . . officers and employees as may be necessary . . . [who] shall hold office at the pleasure of the governing authorities and may be discharged by such governing authorities at any time, either with or without cause.</w:t>
      </w:r>
      <w:r>
        <w:t>’</w:t>
      </w:r>
      <w:r w:rsidRPr="00C90055">
        <w:t xml:space="preserve"> Miss. Code Ann. § 21-3-5. Notably</w:t>
      </w:r>
      <w:proofErr w:type="gramStart"/>
      <w:r w:rsidRPr="00C90055">
        <w:t xml:space="preserve">, </w:t>
      </w:r>
      <w:r>
        <w:t>‘</w:t>
      </w:r>
      <w:r w:rsidRPr="00C90055">
        <w:t>[t]he</w:t>
      </w:r>
      <w:proofErr w:type="gramEnd"/>
      <w:r w:rsidRPr="00C90055">
        <w:t xml:space="preserve"> terms of office or employment of all officers and employees so appointed </w:t>
      </w:r>
      <w:r w:rsidRPr="00C90055">
        <w:rPr>
          <w:i/>
          <w:iCs/>
        </w:rPr>
        <w:t>shall expire</w:t>
      </w:r>
      <w:r w:rsidRPr="00C90055">
        <w:t xml:space="preserve"> at the expiration of the term of office of the governing authorities making the </w:t>
      </w:r>
      <w:proofErr w:type="gramStart"/>
      <w:r w:rsidRPr="00C90055">
        <w:t>appointment.”</w:t>
      </w:r>
      <w:proofErr w:type="gramEnd"/>
      <w:r w:rsidRPr="00C90055">
        <w:t xml:space="preserve"> </w:t>
      </w:r>
      <w:r w:rsidRPr="00C90055">
        <w:rPr>
          <w:i/>
          <w:iCs/>
        </w:rPr>
        <w:t>Id.</w:t>
      </w:r>
      <w:r w:rsidRPr="00C90055">
        <w:t xml:space="preserve"> (emphasis added). So, Defendants did not terminate Stamps's tenure, his position ended by statute as did the positions of every other department head. </w:t>
      </w:r>
      <w:r w:rsidRPr="00C90055">
        <w:rPr>
          <w:i/>
          <w:iCs/>
        </w:rPr>
        <w:t>See</w:t>
      </w:r>
      <w:r w:rsidRPr="00C90055">
        <w:t xml:space="preserve"> </w:t>
      </w:r>
      <w:proofErr w:type="spellStart"/>
      <w:r w:rsidRPr="00C90055">
        <w:t>Compl</w:t>
      </w:r>
      <w:proofErr w:type="spellEnd"/>
      <w:r w:rsidRPr="00C90055">
        <w:t>. [1] ¶ 14. He simply was not reappointed.</w:t>
      </w:r>
      <w:r>
        <w:t>”</w:t>
      </w:r>
    </w:p>
    <w:p w14:paraId="1DEB907F" w14:textId="77777777" w:rsidR="00B530A1" w:rsidRPr="004F6D1E" w:rsidRDefault="00B530A1" w:rsidP="00B530A1">
      <w:pPr>
        <w:rPr>
          <w:b/>
          <w:bCs/>
        </w:rPr>
      </w:pPr>
      <w:r>
        <w:rPr>
          <w:b/>
        </w:rPr>
        <w:t xml:space="preserve">Legal lesson learned: Mississippi is an “at will” state; </w:t>
      </w:r>
      <w:r>
        <w:rPr>
          <w:b/>
          <w:bCs/>
        </w:rPr>
        <w:t xml:space="preserve">this can </w:t>
      </w:r>
      <w:r>
        <w:rPr>
          <w:b/>
        </w:rPr>
        <w:t xml:space="preserve">result in </w:t>
      </w:r>
      <w:r>
        <w:rPr>
          <w:b/>
          <w:bCs/>
        </w:rPr>
        <w:t xml:space="preserve">unfair </w:t>
      </w:r>
      <w:r>
        <w:rPr>
          <w:b/>
        </w:rPr>
        <w:t xml:space="preserve">employment decisions. </w:t>
      </w:r>
    </w:p>
    <w:p w14:paraId="0824C679" w14:textId="7BD96449" w:rsidR="00BC3D44" w:rsidRDefault="002E0A5D" w:rsidP="00BC70A3">
      <w:pPr>
        <w:rPr>
          <w:rFonts w:ascii="Arial Black" w:hAnsi="Arial Black"/>
          <w:b/>
          <w:sz w:val="24"/>
          <w:szCs w:val="24"/>
        </w:rPr>
      </w:pPr>
      <w:r>
        <w:rPr>
          <w:rFonts w:ascii="Arial Black" w:hAnsi="Arial Black"/>
          <w:b/>
          <w:sz w:val="24"/>
          <w:szCs w:val="24"/>
        </w:rPr>
        <w:t>8-95</w:t>
      </w:r>
    </w:p>
    <w:p w14:paraId="164399C8" w14:textId="77777777" w:rsidR="002E0A5D" w:rsidRDefault="002E0A5D" w:rsidP="002E0A5D">
      <w:pPr>
        <w:pStyle w:val="NoSpacing"/>
        <w:rPr>
          <w:rFonts w:ascii="Arial Black" w:hAnsi="Arial Black"/>
          <w:b/>
          <w:sz w:val="28"/>
          <w:szCs w:val="28"/>
        </w:rPr>
      </w:pPr>
      <w:r>
        <w:rPr>
          <w:rFonts w:ascii="Arial Black" w:hAnsi="Arial Black"/>
          <w:b/>
          <w:sz w:val="28"/>
          <w:szCs w:val="28"/>
        </w:rPr>
        <w:t>IL: CHICAGO FF PROPERLY FIRED – SEVERAL RACIST POSTS</w:t>
      </w:r>
    </w:p>
    <w:p w14:paraId="3A6F4EFF" w14:textId="77777777" w:rsidR="002E0A5D" w:rsidRDefault="002E0A5D" w:rsidP="002E0A5D">
      <w:pPr>
        <w:pStyle w:val="NoSpacing"/>
        <w:rPr>
          <w:bCs/>
        </w:rPr>
      </w:pPr>
    </w:p>
    <w:p w14:paraId="5B364F19" w14:textId="77777777" w:rsidR="002E0A5D" w:rsidRPr="006B52A4" w:rsidRDefault="002E0A5D" w:rsidP="002E0A5D">
      <w:pPr>
        <w:pStyle w:val="NoSpacing"/>
      </w:pPr>
      <w:r w:rsidRPr="0038059A">
        <w:t xml:space="preserve">On July 16, 2026, in </w:t>
      </w:r>
      <w:r w:rsidRPr="0038059A">
        <w:rPr>
          <w:u w:val="single"/>
        </w:rPr>
        <w:t>Sam Inendino v. Annettee Nance-Holt</w:t>
      </w:r>
      <w:r w:rsidRPr="0038059A">
        <w:t xml:space="preserve">, </w:t>
      </w:r>
      <w:r>
        <w:t xml:space="preserve">the </w:t>
      </w:r>
      <w:r w:rsidRPr="0038059A">
        <w:t>United States Court of Appeals, Seventh Circuit</w:t>
      </w:r>
      <w:r>
        <w:t xml:space="preserve"> (Chicago) held (3 to 0) that trial court properly grated summary judgment to the City based on the firefighter’s 13 racist Facebook posts.  </w:t>
      </w:r>
      <w:hyperlink r:id="rId1498" w:history="1">
        <w:r w:rsidRPr="002B5610">
          <w:rPr>
            <w:rStyle w:val="Hyperlink"/>
          </w:rPr>
          <w:t>https://cases.justia.com/federal/appellate-courts/ca7/24-2908/24-2908-2026-07-16.pdf?ts=1784221283</w:t>
        </w:r>
      </w:hyperlink>
      <w:r>
        <w:t xml:space="preserve"> </w:t>
      </w:r>
    </w:p>
    <w:p w14:paraId="4D855057" w14:textId="77777777" w:rsidR="002E0A5D" w:rsidRDefault="002E0A5D" w:rsidP="002E0A5D">
      <w:pPr>
        <w:pStyle w:val="NoSpacing"/>
        <w:rPr>
          <w:bCs/>
        </w:rPr>
      </w:pPr>
    </w:p>
    <w:p w14:paraId="0E6806C8" w14:textId="77777777" w:rsidR="002E0A5D" w:rsidRDefault="002E0A5D" w:rsidP="002E0A5D">
      <w:pPr>
        <w:pStyle w:val="NoSpacing"/>
        <w:rPr>
          <w:bCs/>
        </w:rPr>
      </w:pPr>
    </w:p>
    <w:p w14:paraId="47D8CCB8" w14:textId="77777777" w:rsidR="002E0A5D" w:rsidRDefault="002E0A5D" w:rsidP="002E0A5D">
      <w:pPr>
        <w:pStyle w:val="NoSpacing"/>
      </w:pPr>
      <w:r>
        <w:t>THE COURT WROTE: “</w:t>
      </w:r>
      <w:r w:rsidRPr="006B52A4">
        <w:t>For sixteen years, Sam Inendino worked</w:t>
      </w:r>
      <w:r>
        <w:t xml:space="preserve"> </w:t>
      </w:r>
      <w:r w:rsidRPr="006B52A4">
        <w:t>as a firefighter for the Chicago Fire Department (</w:t>
      </w:r>
      <w:r>
        <w:t>‘</w:t>
      </w:r>
      <w:r w:rsidRPr="006B52A4">
        <w:t>CFD</w:t>
      </w:r>
      <w:r>
        <w:t>’</w:t>
      </w:r>
      <w:r w:rsidRPr="006B52A4">
        <w:t>). He</w:t>
      </w:r>
      <w:r>
        <w:t xml:space="preserve"> </w:t>
      </w:r>
      <w:r w:rsidRPr="006B52A4">
        <w:t>was fired following a workplace investigation into his public</w:t>
      </w:r>
      <w:r>
        <w:t xml:space="preserve"> </w:t>
      </w:r>
      <w:r w:rsidRPr="006B52A4">
        <w:t>Facebook account, which contained several racially charged</w:t>
      </w:r>
      <w:r>
        <w:t xml:space="preserve"> </w:t>
      </w:r>
      <w:r w:rsidRPr="006B52A4">
        <w:t>and offensive posts</w:t>
      </w:r>
      <w:r>
        <w:t xml:space="preserve">…. </w:t>
      </w:r>
      <w:proofErr w:type="spellStart"/>
      <w:r>
        <w:t>Inendino</w:t>
      </w:r>
      <w:proofErr w:type="spellEnd"/>
      <w:r>
        <w:t xml:space="preserve"> prominently identified himself as a CFD firefighter on his Facebook page. On October 29, 2019, the Chicago Office of Inspector General (‘OIG’) received a complaint from a member of the public concerning a Facebook comment made by </w:t>
      </w:r>
      <w:proofErr w:type="spellStart"/>
      <w:r>
        <w:t>Inendino</w:t>
      </w:r>
      <w:proofErr w:type="spellEnd"/>
      <w:r>
        <w:t xml:space="preserve"> in which he told individuals to ‘take your ass back over the border where </w:t>
      </w:r>
      <w:proofErr w:type="spellStart"/>
      <w:r>
        <w:t>ya</w:t>
      </w:r>
      <w:proofErr w:type="spellEnd"/>
      <w:r>
        <w:t xml:space="preserve"> belong … </w:t>
      </w:r>
      <w:proofErr w:type="spellStart"/>
      <w:r>
        <w:t>gotta</w:t>
      </w:r>
      <w:proofErr w:type="spellEnd"/>
      <w:r>
        <w:t xml:space="preserve"> go I have a real job.’… In other words, we must decide whether </w:t>
      </w:r>
      <w:proofErr w:type="spellStart"/>
      <w:r>
        <w:t>Inendino’s</w:t>
      </w:r>
      <w:proofErr w:type="spellEnd"/>
      <w:r>
        <w:t xml:space="preserve"> thirteen Facebook posts constituted speech protected by the First  Amendment. Making this determination, as we have noted, requires us to apply the Supreme Court’s holding in </w:t>
      </w:r>
      <w:r w:rsidRPr="006E5F6C">
        <w:rPr>
          <w:u w:val="single"/>
        </w:rPr>
        <w:t>Pickering</w:t>
      </w:r>
      <w:r>
        <w:t xml:space="preserve"> and balance the government employer’s interest in efficiency against the employee’s speech interests.</w:t>
      </w:r>
    </w:p>
    <w:p w14:paraId="6332932C" w14:textId="77777777" w:rsidR="002E0A5D" w:rsidRDefault="002E0A5D" w:rsidP="002E0A5D">
      <w:pPr>
        <w:pStyle w:val="NoSpacing"/>
      </w:pPr>
    </w:p>
    <w:p w14:paraId="2644E124" w14:textId="77777777" w:rsidR="002E0A5D" w:rsidRDefault="002E0A5D" w:rsidP="002E0A5D">
      <w:pPr>
        <w:pStyle w:val="NoSpacing"/>
      </w:pPr>
      <w:r>
        <w:t>***</w:t>
      </w:r>
    </w:p>
    <w:p w14:paraId="3B7DF9F8" w14:textId="77777777" w:rsidR="002E0A5D" w:rsidRPr="006B52A4" w:rsidRDefault="002E0A5D" w:rsidP="002E0A5D">
      <w:pPr>
        <w:pStyle w:val="NoSpacing"/>
      </w:pPr>
      <w:r>
        <w:t xml:space="preserve">Firefighters too occupy a place of immense trust and authority. Residents place their faith in firefighters, often without question, because they believe these dedicated public servants will come to their aid without fear or favor. By posting disparaging remarks of Black people, </w:t>
      </w:r>
      <w:proofErr w:type="spellStart"/>
      <w:r>
        <w:t>Inendino</w:t>
      </w:r>
      <w:proofErr w:type="spellEnd"/>
      <w:r>
        <w:t xml:space="preserve"> undermined that trust by demonstrating that he, though a firefighter, did not view all residents as equals but rather looked upon certain communities with racial disdain…. On balance, we conclude that the City’s interests in ensuring that the CFD succeeds in performing its public safety mission substantially outweigh </w:t>
      </w:r>
      <w:proofErr w:type="spellStart"/>
      <w:r>
        <w:t>Inendino’s</w:t>
      </w:r>
      <w:proofErr w:type="spellEnd"/>
      <w:r>
        <w:t xml:space="preserve"> interest in posting the contested memes and comments on Facebook.” </w:t>
      </w:r>
    </w:p>
    <w:p w14:paraId="6AEB7B67" w14:textId="77777777" w:rsidR="002E0A5D" w:rsidRDefault="002E0A5D" w:rsidP="002E0A5D">
      <w:pPr>
        <w:pStyle w:val="NoSpacing"/>
        <w:rPr>
          <w:b/>
        </w:rPr>
      </w:pPr>
    </w:p>
    <w:p w14:paraId="66EA163A" w14:textId="77777777" w:rsidR="002E0A5D" w:rsidRPr="00FE3F9B" w:rsidRDefault="002E0A5D" w:rsidP="002E0A5D">
      <w:pPr>
        <w:pStyle w:val="NoSpacing"/>
        <w:rPr>
          <w:b/>
        </w:rPr>
      </w:pPr>
      <w:r w:rsidRPr="00DB654C">
        <w:rPr>
          <w:b/>
        </w:rPr>
        <w:t xml:space="preserve">Legal lesson learned: </w:t>
      </w:r>
      <w:r>
        <w:rPr>
          <w:b/>
        </w:rPr>
        <w:t>The Court said it best</w:t>
      </w:r>
      <w:r w:rsidRPr="00BA540A">
        <w:rPr>
          <w:b/>
        </w:rPr>
        <w:t>: “Firefighters too occupy a place of immense trust and authority.</w:t>
      </w:r>
      <w:r>
        <w:rPr>
          <w:b/>
        </w:rPr>
        <w:t xml:space="preserve">” Racist posts can lead to termination under the U.S. Supreme Court’s “balancing test” in </w:t>
      </w:r>
      <w:r w:rsidRPr="00B513E5">
        <w:rPr>
          <w:b/>
          <w:i/>
          <w:iCs/>
        </w:rPr>
        <w:t>Pickering v. Board of Education</w:t>
      </w:r>
      <w:r>
        <w:rPr>
          <w:b/>
          <w:i/>
          <w:iCs/>
        </w:rPr>
        <w:t xml:space="preserve"> </w:t>
      </w:r>
      <w:r>
        <w:rPr>
          <w:b/>
        </w:rPr>
        <w:t xml:space="preserve">(June 3, 1968),  </w:t>
      </w:r>
      <w:hyperlink r:id="rId1499" w:history="1">
        <w:r w:rsidRPr="002B5610">
          <w:rPr>
            <w:rStyle w:val="Hyperlink"/>
            <w:b/>
          </w:rPr>
          <w:t>https://www.oyez.org/cases/1967/510</w:t>
        </w:r>
      </w:hyperlink>
      <w:r>
        <w:rPr>
          <w:b/>
        </w:rPr>
        <w:t xml:space="preserve">.  </w:t>
      </w:r>
    </w:p>
    <w:p w14:paraId="3D6399FE" w14:textId="77777777" w:rsidR="002E0A5D" w:rsidRDefault="002E0A5D" w:rsidP="002E0A5D">
      <w:pPr>
        <w:pStyle w:val="NoSpacing"/>
        <w:rPr>
          <w:b/>
        </w:rPr>
      </w:pPr>
    </w:p>
    <w:p w14:paraId="311786D5" w14:textId="77777777" w:rsidR="002E0A5D" w:rsidRPr="00DB654C" w:rsidRDefault="002E0A5D" w:rsidP="002E0A5D">
      <w:pPr>
        <w:pStyle w:val="NoSpacing"/>
        <w:rPr>
          <w:b/>
        </w:rPr>
      </w:pPr>
    </w:p>
    <w:p w14:paraId="6E9C5FE2" w14:textId="77777777" w:rsidR="002E0A5D" w:rsidRDefault="002E0A5D" w:rsidP="002E0A5D">
      <w:pPr>
        <w:pStyle w:val="NoSpacing"/>
        <w:rPr>
          <w:b/>
          <w:sz w:val="20"/>
          <w:szCs w:val="20"/>
        </w:rPr>
      </w:pPr>
    </w:p>
    <w:p w14:paraId="13329324" w14:textId="77777777" w:rsidR="002E0A5D" w:rsidRDefault="002E0A5D" w:rsidP="00BC70A3">
      <w:pPr>
        <w:rPr>
          <w:rFonts w:ascii="Arial Black" w:hAnsi="Arial Black"/>
          <w:b/>
          <w:sz w:val="24"/>
          <w:szCs w:val="24"/>
        </w:rPr>
      </w:pPr>
    </w:p>
    <w:p w14:paraId="4DB18E5C" w14:textId="77777777" w:rsidR="00BC3D44" w:rsidRDefault="00BC3D44" w:rsidP="00BC70A3">
      <w:pPr>
        <w:rPr>
          <w:rFonts w:ascii="Arial Black" w:hAnsi="Arial Black"/>
          <w:b/>
          <w:sz w:val="24"/>
          <w:szCs w:val="24"/>
        </w:rPr>
      </w:pPr>
    </w:p>
    <w:p w14:paraId="6EF29F7E" w14:textId="77777777" w:rsidR="00BC3D44" w:rsidRDefault="00BC3D44" w:rsidP="00BC70A3">
      <w:pPr>
        <w:rPr>
          <w:rFonts w:ascii="Arial Black" w:hAnsi="Arial Black"/>
          <w:b/>
          <w:sz w:val="24"/>
          <w:szCs w:val="24"/>
        </w:rPr>
      </w:pPr>
    </w:p>
    <w:p w14:paraId="193D8866" w14:textId="2FAF30DF" w:rsidR="002C1FF2" w:rsidRDefault="002C1FF2" w:rsidP="00BC70A3">
      <w:pPr>
        <w:rPr>
          <w:rFonts w:ascii="Arial Black" w:hAnsi="Arial Black"/>
          <w:b/>
          <w:sz w:val="24"/>
          <w:szCs w:val="24"/>
        </w:rPr>
      </w:pPr>
      <w:r>
        <w:rPr>
          <w:rFonts w:ascii="Arial Black" w:hAnsi="Arial Black"/>
          <w:b/>
          <w:sz w:val="24"/>
          <w:szCs w:val="24"/>
        </w:rPr>
        <w:t>8-94</w:t>
      </w:r>
    </w:p>
    <w:p w14:paraId="299BC1A0" w14:textId="77777777" w:rsidR="002C1FF2" w:rsidRPr="00C958FE" w:rsidRDefault="002C1FF2" w:rsidP="002C1FF2">
      <w:pPr>
        <w:pStyle w:val="NoSpacing"/>
        <w:rPr>
          <w:rFonts w:ascii="Arial Black" w:hAnsi="Arial Black"/>
          <w:b/>
          <w:sz w:val="28"/>
          <w:szCs w:val="28"/>
        </w:rPr>
      </w:pPr>
      <w:r>
        <w:rPr>
          <w:rFonts w:ascii="Arial Black" w:hAnsi="Arial Black"/>
          <w:b/>
          <w:sz w:val="28"/>
          <w:szCs w:val="28"/>
        </w:rPr>
        <w:t xml:space="preserve">MD: BLACK – LATE FOR WORK / RACIAL TEXTS – NO CASE </w:t>
      </w:r>
    </w:p>
    <w:p w14:paraId="575FD4A4" w14:textId="77777777" w:rsidR="002C1FF2" w:rsidRDefault="002C1FF2" w:rsidP="002C1FF2">
      <w:pPr>
        <w:pStyle w:val="NoSpacing"/>
        <w:rPr>
          <w:b/>
        </w:rPr>
      </w:pPr>
    </w:p>
    <w:p w14:paraId="126D764A" w14:textId="77777777" w:rsidR="002C1FF2" w:rsidRPr="0018661C" w:rsidRDefault="002C1FF2" w:rsidP="002C1FF2">
      <w:pPr>
        <w:pStyle w:val="NoSpacing"/>
        <w:rPr>
          <w:bCs/>
        </w:rPr>
      </w:pPr>
      <w:r w:rsidRPr="0018661C">
        <w:t xml:space="preserve">On June 24, 2026, in </w:t>
      </w:r>
      <w:r w:rsidRPr="0018661C">
        <w:rPr>
          <w:u w:val="single"/>
        </w:rPr>
        <w:t>Mitchell Waters v. The Mayor and City Council of Baltimore</w:t>
      </w:r>
      <w:r w:rsidRPr="0018661C">
        <w:t xml:space="preserve">, </w:t>
      </w:r>
      <w:r>
        <w:t xml:space="preserve">the United States Court of Appeal for Fourth Circuit (Baltimore) held (3 to 0; unpublished decision) that trial court properly granted summary judgment to the City. The </w:t>
      </w:r>
      <w:proofErr w:type="gramStart"/>
      <w:r>
        <w:t>City</w:t>
      </w:r>
      <w:proofErr w:type="gramEnd"/>
      <w:r>
        <w:t xml:space="preserve"> adequately investigated anonymous racial messages and found no proof they were sent by fellow firefighters. The Court wrote: “The text messages were sent anonymously, and BCFD did undertake an investigation to attempt to identify the sender. Therefore, the district court did not err in granting judgment on the hostile work environment claim.” </w:t>
      </w:r>
      <w:hyperlink r:id="rId1500" w:history="1">
        <w:r w:rsidRPr="00014504">
          <w:rPr>
            <w:rStyle w:val="Hyperlink"/>
          </w:rPr>
          <w:t>https://cases.justia.com/federal/appellate-courts/ca4/25-1440/25-1440-2026-06-24.pdf?ts=1782325881</w:t>
        </w:r>
      </w:hyperlink>
      <w:r>
        <w:t xml:space="preserve"> </w:t>
      </w:r>
    </w:p>
    <w:p w14:paraId="0C5FBF24" w14:textId="77777777" w:rsidR="002C1FF2" w:rsidRPr="0018661C" w:rsidRDefault="002C1FF2" w:rsidP="002C1FF2">
      <w:pPr>
        <w:pStyle w:val="NoSpacing"/>
        <w:rPr>
          <w:bCs/>
        </w:rPr>
      </w:pPr>
    </w:p>
    <w:p w14:paraId="50347BC7" w14:textId="77777777" w:rsidR="002C1FF2" w:rsidRDefault="002C1FF2" w:rsidP="002C1FF2">
      <w:pPr>
        <w:pStyle w:val="NoSpacing"/>
        <w:rPr>
          <w:b/>
        </w:rPr>
      </w:pPr>
    </w:p>
    <w:p w14:paraId="087D67E0" w14:textId="77777777" w:rsidR="002C1FF2" w:rsidRDefault="002C1FF2" w:rsidP="002C1FF2">
      <w:pPr>
        <w:pStyle w:val="NoSpacing"/>
        <w:rPr>
          <w:b/>
        </w:rPr>
      </w:pPr>
      <w:r w:rsidRPr="00AF250A">
        <w:rPr>
          <w:b/>
        </w:rPr>
        <w:t>FACTS:</w:t>
      </w:r>
    </w:p>
    <w:p w14:paraId="4E06A30A" w14:textId="77777777" w:rsidR="002C1FF2" w:rsidRDefault="002C1FF2" w:rsidP="002C1FF2">
      <w:pPr>
        <w:pStyle w:val="NoSpacing"/>
        <w:rPr>
          <w:b/>
        </w:rPr>
      </w:pPr>
    </w:p>
    <w:p w14:paraId="6FA985FB" w14:textId="77777777" w:rsidR="002C1FF2" w:rsidRPr="00AF250A" w:rsidRDefault="002C1FF2" w:rsidP="002C1FF2">
      <w:pPr>
        <w:pStyle w:val="NoSpacing"/>
      </w:pPr>
      <w:r>
        <w:t>“</w:t>
      </w:r>
      <w:r w:rsidRPr="00AF250A">
        <w:t>Waters is a Black man employed by the Baltimore City Fire Department (BCFD).</w:t>
      </w:r>
    </w:p>
    <w:p w14:paraId="5585D5BC" w14:textId="77777777" w:rsidR="002C1FF2" w:rsidRPr="00AF250A" w:rsidRDefault="002C1FF2" w:rsidP="002C1FF2">
      <w:pPr>
        <w:pStyle w:val="NoSpacing"/>
      </w:pPr>
      <w:r w:rsidRPr="00AF250A">
        <w:t>The thrust of Waters’s complaint is that he was treated less favorably than non-Black peers</w:t>
      </w:r>
    </w:p>
    <w:p w14:paraId="0A656857" w14:textId="77777777" w:rsidR="002C1FF2" w:rsidRDefault="002C1FF2" w:rsidP="002C1FF2">
      <w:pPr>
        <w:pStyle w:val="NoSpacing"/>
      </w:pPr>
      <w:r w:rsidRPr="00AF250A">
        <w:t>when he was subject to BCFD’s disciplinary process</w:t>
      </w:r>
      <w:r>
        <w:t>…. Waters lists five examples of disparate treatment concerning himself and a comparator and four additional examples concerning other Black employees and non-Black comparators.</w:t>
      </w:r>
    </w:p>
    <w:p w14:paraId="6F607951" w14:textId="77777777" w:rsidR="002C1FF2" w:rsidRDefault="002C1FF2" w:rsidP="002C1FF2">
      <w:pPr>
        <w:pStyle w:val="NoSpacing"/>
      </w:pPr>
    </w:p>
    <w:p w14:paraId="631AFC9A" w14:textId="77777777" w:rsidR="002C1FF2" w:rsidRDefault="002C1FF2" w:rsidP="002C1FF2">
      <w:pPr>
        <w:pStyle w:val="NoSpacing"/>
      </w:pPr>
      <w:r>
        <w:t>***</w:t>
      </w:r>
    </w:p>
    <w:p w14:paraId="1D599A9B" w14:textId="77777777" w:rsidR="002C1FF2" w:rsidRDefault="002C1FF2" w:rsidP="002C1FF2">
      <w:pPr>
        <w:pStyle w:val="NoSpacing"/>
      </w:pPr>
    </w:p>
    <w:p w14:paraId="118CED0D" w14:textId="77777777" w:rsidR="002C1FF2" w:rsidRPr="00607F7B" w:rsidRDefault="002C1FF2" w:rsidP="002C1FF2">
      <w:pPr>
        <w:pStyle w:val="NoSpacing"/>
      </w:pPr>
      <w:r w:rsidRPr="00607F7B">
        <w:t xml:space="preserve">Waters’s last example concerns </w:t>
      </w:r>
      <w:r>
        <w:t>‘</w:t>
      </w:r>
      <w:r w:rsidRPr="00607F7B">
        <w:t>anonymous, racist, and threatening messages</w:t>
      </w:r>
      <w:r>
        <w:t>’</w:t>
      </w:r>
      <w:r w:rsidRPr="00607F7B">
        <w:t xml:space="preserve"> he</w:t>
      </w:r>
    </w:p>
    <w:p w14:paraId="666EBCCC" w14:textId="77777777" w:rsidR="002C1FF2" w:rsidRPr="00607F7B" w:rsidRDefault="002C1FF2" w:rsidP="002C1FF2">
      <w:pPr>
        <w:pStyle w:val="NoSpacing"/>
      </w:pPr>
      <w:r w:rsidRPr="00607F7B">
        <w:t xml:space="preserve">received. Opening Br. at 33. Waters claims </w:t>
      </w:r>
      <w:r>
        <w:t>‘</w:t>
      </w:r>
      <w:r w:rsidRPr="00607F7B">
        <w:t>no investigation or intervention was</w:t>
      </w:r>
    </w:p>
    <w:p w14:paraId="414DDD56" w14:textId="77777777" w:rsidR="002C1FF2" w:rsidRPr="00607F7B" w:rsidRDefault="002C1FF2" w:rsidP="002C1FF2">
      <w:pPr>
        <w:pStyle w:val="NoSpacing"/>
      </w:pPr>
      <w:r w:rsidRPr="00607F7B">
        <w:t>conducted,</w:t>
      </w:r>
      <w:r>
        <w:t>’</w:t>
      </w:r>
      <w:r w:rsidRPr="00607F7B">
        <w:t xml:space="preserve"> and again points to complaints by Lt. Cole and Lt. DiRusso which he says</w:t>
      </w:r>
    </w:p>
    <w:p w14:paraId="6331166A" w14:textId="77777777" w:rsidR="002C1FF2" w:rsidRPr="00607F7B" w:rsidRDefault="002C1FF2" w:rsidP="002C1FF2">
      <w:pPr>
        <w:pStyle w:val="NoSpacing"/>
      </w:pPr>
      <w:r>
        <w:t>‘</w:t>
      </w:r>
      <w:proofErr w:type="gramStart"/>
      <w:r w:rsidRPr="00607F7B">
        <w:t>were</w:t>
      </w:r>
      <w:proofErr w:type="gramEnd"/>
      <w:r w:rsidRPr="00607F7B">
        <w:t xml:space="preserve"> investigated immediately.</w:t>
      </w:r>
      <w:r>
        <w:t>’</w:t>
      </w:r>
      <w:r w:rsidRPr="00607F7B">
        <w:t xml:space="preserve"> Id. Although these anonymous racist messages are</w:t>
      </w:r>
    </w:p>
    <w:p w14:paraId="6D35C91B" w14:textId="77777777" w:rsidR="002C1FF2" w:rsidRPr="00607F7B" w:rsidRDefault="002C1FF2" w:rsidP="002C1FF2">
      <w:pPr>
        <w:pStyle w:val="NoSpacing"/>
      </w:pPr>
      <w:r w:rsidRPr="00607F7B">
        <w:t>disturbing, the anonymity renders this conduct incomparable to the other complaints.</w:t>
      </w:r>
    </w:p>
    <w:p w14:paraId="43710087" w14:textId="77777777" w:rsidR="002C1FF2" w:rsidRDefault="002C1FF2" w:rsidP="002C1FF2">
      <w:pPr>
        <w:pStyle w:val="NoSpacing"/>
      </w:pPr>
      <w:r w:rsidRPr="00607F7B">
        <w:t xml:space="preserve">Waters </w:t>
      </w:r>
      <w:proofErr w:type="gramStart"/>
      <w:r w:rsidRPr="00607F7B">
        <w:t>characterizes</w:t>
      </w:r>
      <w:proofErr w:type="gramEnd"/>
      <w:r w:rsidRPr="00607F7B">
        <w:t xml:space="preserve"> BCFD’s actions in response to the anonymous messages as </w:t>
      </w:r>
      <w:r>
        <w:t>‘</w:t>
      </w:r>
      <w:r w:rsidRPr="00607F7B">
        <w:t>Smoke</w:t>
      </w:r>
      <w:r>
        <w:t xml:space="preserve"> and Mirrors</w:t>
      </w:r>
      <w:proofErr w:type="gramStart"/>
      <w:r>
        <w:t>,’ ‘</w:t>
      </w:r>
      <w:proofErr w:type="gramEnd"/>
      <w:r>
        <w:t>half-hearted,’ and ‘inauthentic.’  Id. at 34. But Waters does not identify</w:t>
      </w:r>
    </w:p>
    <w:p w14:paraId="612E0E49" w14:textId="77777777" w:rsidR="002C1FF2" w:rsidRDefault="002C1FF2" w:rsidP="002C1FF2">
      <w:pPr>
        <w:pStyle w:val="NoSpacing"/>
      </w:pPr>
      <w:r>
        <w:t>any other instance where BCFD undertook a more serious or rigorous investigation after a</w:t>
      </w:r>
    </w:p>
    <w:p w14:paraId="3EE6FF28" w14:textId="77777777" w:rsidR="002C1FF2" w:rsidRPr="00607F7B" w:rsidRDefault="002C1FF2" w:rsidP="002C1FF2">
      <w:pPr>
        <w:pStyle w:val="NoSpacing"/>
      </w:pPr>
      <w:r>
        <w:t>peer was subject to anonymous harassment. We cannot find that BCFD’s prompt investigation of a complaint identifying a specific employee is comparable to its response to a complaint regarding anonymous conduct.”</w:t>
      </w:r>
    </w:p>
    <w:p w14:paraId="3ED765F1" w14:textId="77777777" w:rsidR="002C1FF2" w:rsidRPr="00607F7B" w:rsidRDefault="002C1FF2" w:rsidP="002C1FF2">
      <w:pPr>
        <w:pStyle w:val="NoSpacing"/>
      </w:pPr>
    </w:p>
    <w:p w14:paraId="686EA22B" w14:textId="77777777" w:rsidR="002C1FF2" w:rsidRPr="00607F7B" w:rsidRDefault="002C1FF2" w:rsidP="002C1FF2">
      <w:pPr>
        <w:pStyle w:val="NoSpacing"/>
      </w:pPr>
    </w:p>
    <w:p w14:paraId="775040BB" w14:textId="77777777" w:rsidR="002C1FF2" w:rsidRPr="00667370" w:rsidRDefault="002C1FF2" w:rsidP="002C1FF2">
      <w:pPr>
        <w:pStyle w:val="NoSpacing"/>
        <w:rPr>
          <w:b/>
          <w:bCs/>
        </w:rPr>
      </w:pPr>
      <w:r w:rsidRPr="00667370">
        <w:rPr>
          <w:b/>
        </w:rPr>
        <w:t>COURT HELD:</w:t>
      </w:r>
    </w:p>
    <w:p w14:paraId="5CD04277" w14:textId="77777777" w:rsidR="002C1FF2" w:rsidRDefault="002C1FF2" w:rsidP="002C1FF2">
      <w:pPr>
        <w:pStyle w:val="NoSpacing"/>
      </w:pPr>
    </w:p>
    <w:p w14:paraId="3C92A4E0" w14:textId="77777777" w:rsidR="002C1FF2" w:rsidRDefault="002C1FF2" w:rsidP="002C1FF2">
      <w:pPr>
        <w:pStyle w:val="NoSpacing"/>
      </w:pPr>
      <w:r>
        <w:t>“Only the anonymous racist text messages Waters received are related to his race, but as the district court correctly noted, Waters was ‘unable to link [the messages] to any of his coworkers,’ J.A. 1257, and he does not establish how the messages are imputable to BCFD. ‘An employer may be held liable for a hostile work environment if it knew or should have known about the harassment and failed to take effective action to stop it by responding with remedial action reasonably calculated to end the harassment.’ Webster, 38 F.4th at 415 (citation modified). The text messages were sent anonymously, and BCFD did undertake an investigation to attempt to identify the sender. Therefore, the district court did not err in granting judgment on the hostile work environment claim.”</w:t>
      </w:r>
    </w:p>
    <w:p w14:paraId="60CBF074" w14:textId="77777777" w:rsidR="002C1FF2" w:rsidRPr="00AF250A" w:rsidRDefault="002C1FF2" w:rsidP="002C1FF2">
      <w:pPr>
        <w:pStyle w:val="NoSpacing"/>
      </w:pPr>
    </w:p>
    <w:p w14:paraId="0AD46C22" w14:textId="77777777" w:rsidR="002C1FF2" w:rsidRDefault="002C1FF2" w:rsidP="002C1FF2">
      <w:pPr>
        <w:pStyle w:val="NoSpacing"/>
        <w:rPr>
          <w:b/>
        </w:rPr>
      </w:pPr>
      <w:r>
        <w:rPr>
          <w:b/>
        </w:rPr>
        <w:t xml:space="preserve">Legal lesson learned: Anonymous racial text messages were investigated; no proof sent by fellow firefighters.  </w:t>
      </w:r>
    </w:p>
    <w:p w14:paraId="531EAD67" w14:textId="77777777" w:rsidR="002C1FF2" w:rsidRDefault="002C1FF2" w:rsidP="00BC70A3">
      <w:pPr>
        <w:rPr>
          <w:rFonts w:ascii="Arial Black" w:hAnsi="Arial Black"/>
          <w:b/>
          <w:sz w:val="24"/>
          <w:szCs w:val="24"/>
        </w:rPr>
      </w:pPr>
    </w:p>
    <w:p w14:paraId="26E782C6" w14:textId="77777777" w:rsidR="002C1FF2" w:rsidRDefault="002C1FF2" w:rsidP="00BC70A3">
      <w:pPr>
        <w:rPr>
          <w:rFonts w:ascii="Arial Black" w:hAnsi="Arial Black"/>
          <w:b/>
          <w:sz w:val="24"/>
          <w:szCs w:val="24"/>
        </w:rPr>
      </w:pPr>
    </w:p>
    <w:p w14:paraId="3C732D40" w14:textId="77777777" w:rsidR="002C1FF2" w:rsidRDefault="002C1FF2" w:rsidP="00BC70A3">
      <w:pPr>
        <w:rPr>
          <w:rFonts w:ascii="Arial Black" w:hAnsi="Arial Black"/>
          <w:b/>
          <w:sz w:val="24"/>
          <w:szCs w:val="24"/>
        </w:rPr>
      </w:pPr>
    </w:p>
    <w:p w14:paraId="2FC034A7" w14:textId="1A90B4C2" w:rsidR="00F429B5" w:rsidRDefault="00F429B5" w:rsidP="00BC70A3">
      <w:pPr>
        <w:rPr>
          <w:rFonts w:ascii="Arial Black" w:hAnsi="Arial Black"/>
          <w:b/>
          <w:sz w:val="24"/>
          <w:szCs w:val="24"/>
        </w:rPr>
      </w:pPr>
      <w:r>
        <w:rPr>
          <w:rFonts w:ascii="Arial Black" w:hAnsi="Arial Black"/>
          <w:b/>
          <w:sz w:val="24"/>
          <w:szCs w:val="24"/>
        </w:rPr>
        <w:t>8-93</w:t>
      </w:r>
    </w:p>
    <w:p w14:paraId="5A8D6746" w14:textId="77777777" w:rsidR="00F429B5" w:rsidRPr="001079BC" w:rsidRDefault="00F429B5" w:rsidP="00F429B5">
      <w:pPr>
        <w:rPr>
          <w:rFonts w:ascii="Arial Black" w:hAnsi="Arial Black"/>
          <w:b/>
          <w:sz w:val="28"/>
          <w:szCs w:val="28"/>
        </w:rPr>
      </w:pPr>
      <w:r>
        <w:rPr>
          <w:rFonts w:ascii="Arial Black" w:hAnsi="Arial Black"/>
          <w:b/>
          <w:sz w:val="28"/>
          <w:szCs w:val="28"/>
        </w:rPr>
        <w:t>OH: BLACK CAPT – EXAM SOFTWARE ISSUES – NOT RACE</w:t>
      </w:r>
    </w:p>
    <w:p w14:paraId="7DBFC497" w14:textId="77777777" w:rsidR="00F429B5" w:rsidRDefault="00F429B5" w:rsidP="00F429B5">
      <w:pPr>
        <w:pStyle w:val="NoSpacing"/>
        <w:rPr>
          <w:b/>
        </w:rPr>
      </w:pPr>
      <w:r>
        <w:t xml:space="preserve">On June 15, 2026, in </w:t>
      </w:r>
      <w:r w:rsidRPr="00A002DC">
        <w:rPr>
          <w:u w:val="single"/>
        </w:rPr>
        <w:t>Janos Roper v. City of Cincinnati Fire Department</w:t>
      </w:r>
      <w:r>
        <w:t>, the United States Court of Appeals for the Sixth Circuit held (3 to 0) that trial court properly granted summary judgment to the City.  Race was not a factor in the formatting of answers on the promotion exam for District Chief.  The software company found it to be “user error” – but in any event the issue was “race neutral.” He wound up 16</w:t>
      </w:r>
      <w:r w:rsidRPr="00BA3FF7">
        <w:rPr>
          <w:vertAlign w:val="superscript"/>
        </w:rPr>
        <w:t>th</w:t>
      </w:r>
      <w:r>
        <w:t xml:space="preserve"> on the list; 11 promoted.  The Court wrote: “</w:t>
      </w:r>
      <w:r w:rsidRPr="007C2488">
        <w:t>But Title VII provides a remedy for</w:t>
      </w:r>
      <w:r>
        <w:t xml:space="preserve"> </w:t>
      </w:r>
      <w:r w:rsidRPr="007C2488">
        <w:t>racial discrimination, not for defective tests.</w:t>
      </w:r>
      <w:r>
        <w:t xml:space="preserve">” </w:t>
      </w:r>
      <w:hyperlink r:id="rId1501" w:history="1">
        <w:r w:rsidRPr="00014504">
          <w:rPr>
            <w:rStyle w:val="Hyperlink"/>
            <w:b/>
          </w:rPr>
          <w:t>https://cases.justia.com/federal/appellate-courts/ca6/25-3700/25-3700-2026-06-15.pdf?ts=1781553648</w:t>
        </w:r>
      </w:hyperlink>
      <w:r>
        <w:rPr>
          <w:b/>
        </w:rPr>
        <w:t xml:space="preserve"> </w:t>
      </w:r>
    </w:p>
    <w:p w14:paraId="40E5BEBB" w14:textId="77777777" w:rsidR="00F429B5" w:rsidRDefault="00F429B5" w:rsidP="00F429B5">
      <w:pPr>
        <w:rPr>
          <w:bCs/>
        </w:rPr>
      </w:pPr>
    </w:p>
    <w:p w14:paraId="48D2D8BC" w14:textId="77777777" w:rsidR="00F429B5" w:rsidRDefault="00F429B5" w:rsidP="00F429B5">
      <w:pPr>
        <w:rPr>
          <w:b/>
        </w:rPr>
      </w:pPr>
      <w:r>
        <w:t xml:space="preserve"> </w:t>
      </w:r>
      <w:r>
        <w:rPr>
          <w:b/>
        </w:rPr>
        <w:t>FACTS:</w:t>
      </w:r>
    </w:p>
    <w:p w14:paraId="5BD1851A" w14:textId="77777777" w:rsidR="00F429B5" w:rsidRPr="00DD65B2" w:rsidRDefault="00F429B5" w:rsidP="00F429B5">
      <w:pPr>
        <w:pStyle w:val="NoSpacing"/>
        <w:rPr>
          <w:bCs/>
        </w:rPr>
      </w:pPr>
      <w:r>
        <w:t>“</w:t>
      </w:r>
      <w:r w:rsidRPr="00DD65B2">
        <w:t>In 2019, Roper—a longtime Cincinnati firefighter—sat for a test to be promoted to district</w:t>
      </w:r>
    </w:p>
    <w:p w14:paraId="0FEC2A5D" w14:textId="77777777" w:rsidR="00F429B5" w:rsidRPr="00DD65B2" w:rsidRDefault="00F429B5" w:rsidP="00F429B5">
      <w:pPr>
        <w:pStyle w:val="NoSpacing"/>
        <w:rPr>
          <w:bCs/>
        </w:rPr>
      </w:pPr>
      <w:r w:rsidRPr="00DD65B2">
        <w:t>chief. During one typewritten section, Roper and several other candidates experienced a problem</w:t>
      </w:r>
    </w:p>
    <w:p w14:paraId="7221E52F" w14:textId="77777777" w:rsidR="00F429B5" w:rsidRPr="00DD65B2" w:rsidRDefault="00F429B5" w:rsidP="00F429B5">
      <w:pPr>
        <w:pStyle w:val="NoSpacing"/>
        <w:rPr>
          <w:bCs/>
        </w:rPr>
      </w:pPr>
      <w:r w:rsidRPr="00DD65B2">
        <w:t>with the testing software, which upset the formatting of their answers. According to Roper, this</w:t>
      </w:r>
    </w:p>
    <w:p w14:paraId="19622D25" w14:textId="77777777" w:rsidR="00F429B5" w:rsidRPr="00DD65B2" w:rsidRDefault="00F429B5" w:rsidP="00F429B5">
      <w:pPr>
        <w:pStyle w:val="NoSpacing"/>
        <w:rPr>
          <w:bCs/>
        </w:rPr>
      </w:pPr>
      <w:r w:rsidRPr="00DD65B2">
        <w:t>problem cost him time during the test and was “very damaging” to his performance.</w:t>
      </w:r>
    </w:p>
    <w:p w14:paraId="666A9BA9" w14:textId="77777777" w:rsidR="00F429B5" w:rsidRPr="00DD65B2" w:rsidRDefault="00F429B5" w:rsidP="00F429B5">
      <w:pPr>
        <w:pStyle w:val="NoSpacing"/>
        <w:rPr>
          <w:bCs/>
        </w:rPr>
      </w:pPr>
      <w:r w:rsidRPr="00DD65B2">
        <w:t>Roper reported the problem to one of the Department’s human-resources employees, who</w:t>
      </w:r>
    </w:p>
    <w:p w14:paraId="22E29D94" w14:textId="77777777" w:rsidR="00F429B5" w:rsidRDefault="00F429B5" w:rsidP="00F429B5">
      <w:pPr>
        <w:pStyle w:val="NoSpacing"/>
        <w:rPr>
          <w:bCs/>
        </w:rPr>
      </w:pPr>
      <w:r w:rsidRPr="00DD65B2">
        <w:t xml:space="preserve">relayed Roper’s complaint to the company that had created the test. </w:t>
      </w:r>
    </w:p>
    <w:p w14:paraId="6AC401EB" w14:textId="77777777" w:rsidR="00F429B5" w:rsidRDefault="00F429B5" w:rsidP="00F429B5">
      <w:pPr>
        <w:pStyle w:val="NoSpacing"/>
        <w:rPr>
          <w:bCs/>
        </w:rPr>
      </w:pPr>
    </w:p>
    <w:p w14:paraId="7C8A7553" w14:textId="77777777" w:rsidR="00F429B5" w:rsidRDefault="00F429B5" w:rsidP="00F429B5">
      <w:pPr>
        <w:pStyle w:val="NoSpacing"/>
        <w:rPr>
          <w:bCs/>
        </w:rPr>
      </w:pPr>
      <w:r w:rsidRPr="00DD65B2">
        <w:lastRenderedPageBreak/>
        <w:t>The company investigated</w:t>
      </w:r>
      <w:r>
        <w:t xml:space="preserve"> </w:t>
      </w:r>
      <w:r w:rsidRPr="00DD65B2">
        <w:t>and said the problem had been the result of user error. The company scored the test, however,</w:t>
      </w:r>
      <w:r>
        <w:t xml:space="preserve"> </w:t>
      </w:r>
      <w:r w:rsidRPr="00DD65B2">
        <w:t>without regard to any formatting errors. The Department then promoted candidates (or not) based</w:t>
      </w:r>
      <w:r>
        <w:t xml:space="preserve"> </w:t>
      </w:r>
      <w:r w:rsidRPr="00854040">
        <w:t>solely on their test scores. Roper’s score placed him 16th among the candidates eligible for 11</w:t>
      </w:r>
      <w:r>
        <w:t xml:space="preserve"> </w:t>
      </w:r>
      <w:r w:rsidRPr="00854040">
        <w:t xml:space="preserve">vacant positions, so the Department did not promote him to district </w:t>
      </w:r>
      <w:proofErr w:type="gramStart"/>
      <w:r w:rsidRPr="00854040">
        <w:t>chief.</w:t>
      </w:r>
      <w:r>
        <w:t>”</w:t>
      </w:r>
      <w:proofErr w:type="gramEnd"/>
    </w:p>
    <w:p w14:paraId="66C3F300" w14:textId="77777777" w:rsidR="00F429B5" w:rsidRDefault="00F429B5" w:rsidP="00F429B5">
      <w:pPr>
        <w:pStyle w:val="NoSpacing"/>
        <w:rPr>
          <w:bCs/>
        </w:rPr>
      </w:pPr>
    </w:p>
    <w:p w14:paraId="064E3EF7" w14:textId="77777777" w:rsidR="00F429B5" w:rsidRDefault="00F429B5" w:rsidP="00F429B5">
      <w:pPr>
        <w:pStyle w:val="NoSpacing"/>
        <w:rPr>
          <w:b/>
        </w:rPr>
      </w:pPr>
      <w:r w:rsidRPr="00854040">
        <w:rPr>
          <w:b/>
        </w:rPr>
        <w:t>COURT HELD:</w:t>
      </w:r>
    </w:p>
    <w:p w14:paraId="02D235CB" w14:textId="77777777" w:rsidR="00F429B5" w:rsidRDefault="00F429B5" w:rsidP="00F429B5">
      <w:pPr>
        <w:pStyle w:val="NoSpacing"/>
        <w:rPr>
          <w:b/>
        </w:rPr>
      </w:pPr>
    </w:p>
    <w:p w14:paraId="556658BA" w14:textId="77777777" w:rsidR="00F429B5" w:rsidRPr="007C2488" w:rsidRDefault="00F429B5" w:rsidP="00F429B5">
      <w:pPr>
        <w:pStyle w:val="NoSpacing"/>
      </w:pPr>
      <w:r>
        <w:t>“</w:t>
      </w:r>
      <w:r w:rsidRPr="007C2488">
        <w:t>Roper responds that his claim (in part) is that the test itself was defective, and so its results</w:t>
      </w:r>
    </w:p>
    <w:p w14:paraId="5266C950" w14:textId="77777777" w:rsidR="00F429B5" w:rsidRPr="007C2488" w:rsidRDefault="00F429B5" w:rsidP="00F429B5">
      <w:pPr>
        <w:pStyle w:val="NoSpacing"/>
      </w:pPr>
      <w:r w:rsidRPr="007C2488">
        <w:t>should not render him dissimilar to the promoted candidates. But Title VII provides a remedy for</w:t>
      </w:r>
    </w:p>
    <w:p w14:paraId="4C45E890" w14:textId="77777777" w:rsidR="00F429B5" w:rsidRPr="007C2488" w:rsidRDefault="00F429B5" w:rsidP="00F429B5">
      <w:pPr>
        <w:pStyle w:val="NoSpacing"/>
      </w:pPr>
      <w:r w:rsidRPr="007C2488">
        <w:t>racial discrimination, not for defective tests. Here, the test results were undisputedly the sole</w:t>
      </w:r>
    </w:p>
    <w:p w14:paraId="30F7C8BC" w14:textId="77777777" w:rsidR="00F429B5" w:rsidRPr="007C2488" w:rsidRDefault="00F429B5" w:rsidP="00F429B5">
      <w:pPr>
        <w:pStyle w:val="NoSpacing"/>
      </w:pPr>
      <w:r w:rsidRPr="007C2488">
        <w:t>criterion on which candidates were promoted; and the Department’s application of that criterion</w:t>
      </w:r>
    </w:p>
    <w:p w14:paraId="2CDCA7C5" w14:textId="77777777" w:rsidR="00F429B5" w:rsidRDefault="00F429B5" w:rsidP="00F429B5">
      <w:pPr>
        <w:pStyle w:val="NoSpacing"/>
      </w:pPr>
      <w:r w:rsidRPr="007C2488">
        <w:t>was undisputedly race neutral. To make out a prima facie case of discrimination, therefore, Rope</w:t>
      </w:r>
      <w:r>
        <w:t>r</w:t>
      </w:r>
      <w:r w:rsidRPr="001079BC">
        <w:t xml:space="preserve"> </w:t>
      </w:r>
      <w:r>
        <w:t>must present evidence that the formatting problem (which he says impaired his test performance)</w:t>
      </w:r>
    </w:p>
    <w:p w14:paraId="281CF162" w14:textId="77777777" w:rsidR="00F429B5" w:rsidRDefault="00F429B5" w:rsidP="00F429B5">
      <w:pPr>
        <w:pStyle w:val="NoSpacing"/>
      </w:pPr>
      <w:r>
        <w:t>was itself the result of racial discrimination. And Roper has developed no argument to that effect</w:t>
      </w:r>
    </w:p>
    <w:p w14:paraId="7964F4A5" w14:textId="77777777" w:rsidR="00F429B5" w:rsidRDefault="00F429B5" w:rsidP="00F429B5">
      <w:pPr>
        <w:pStyle w:val="NoSpacing"/>
      </w:pPr>
      <w:r>
        <w:t>in the district court or this court. The district court was therefore correct to grant summary</w:t>
      </w:r>
    </w:p>
    <w:p w14:paraId="310A590D" w14:textId="77777777" w:rsidR="00F429B5" w:rsidRPr="007C2488" w:rsidRDefault="00F429B5" w:rsidP="00F429B5">
      <w:pPr>
        <w:pStyle w:val="NoSpacing"/>
      </w:pPr>
      <w:r>
        <w:t>judgment to the Department.”</w:t>
      </w:r>
    </w:p>
    <w:p w14:paraId="75070BFB" w14:textId="77777777" w:rsidR="00F429B5" w:rsidRDefault="00F429B5" w:rsidP="00F429B5">
      <w:pPr>
        <w:rPr>
          <w:b/>
        </w:rPr>
      </w:pPr>
    </w:p>
    <w:p w14:paraId="2A63883B" w14:textId="77777777" w:rsidR="00F429B5" w:rsidRDefault="00F429B5" w:rsidP="00F429B5">
      <w:pPr>
        <w:rPr>
          <w:b/>
        </w:rPr>
      </w:pPr>
      <w:r>
        <w:rPr>
          <w:b/>
        </w:rPr>
        <w:t xml:space="preserve">Legal lesson learned: Computer software issues can be very frustrating – particularly in a promotion exam – but no evidence of racial discrimination. </w:t>
      </w:r>
    </w:p>
    <w:p w14:paraId="43D4CA69" w14:textId="77777777" w:rsidR="00F429B5" w:rsidRDefault="00F429B5" w:rsidP="00BC70A3">
      <w:pPr>
        <w:rPr>
          <w:rFonts w:ascii="Arial Black" w:hAnsi="Arial Black"/>
          <w:b/>
          <w:sz w:val="24"/>
          <w:szCs w:val="24"/>
        </w:rPr>
      </w:pPr>
    </w:p>
    <w:p w14:paraId="469EF0EC" w14:textId="77777777" w:rsidR="00F429B5" w:rsidRDefault="00F429B5" w:rsidP="00BC70A3">
      <w:pPr>
        <w:rPr>
          <w:rFonts w:ascii="Arial Black" w:hAnsi="Arial Black"/>
          <w:b/>
          <w:sz w:val="24"/>
          <w:szCs w:val="24"/>
        </w:rPr>
      </w:pPr>
    </w:p>
    <w:p w14:paraId="33A4F702" w14:textId="55660A1D" w:rsidR="00B85F14" w:rsidRDefault="006A662D" w:rsidP="00BC70A3">
      <w:pPr>
        <w:rPr>
          <w:rFonts w:ascii="Arial Black" w:hAnsi="Arial Black"/>
          <w:b/>
          <w:sz w:val="24"/>
          <w:szCs w:val="24"/>
        </w:rPr>
      </w:pPr>
      <w:r>
        <w:rPr>
          <w:rFonts w:ascii="Arial Black" w:hAnsi="Arial Black"/>
          <w:b/>
          <w:sz w:val="24"/>
          <w:szCs w:val="24"/>
        </w:rPr>
        <w:t>8-92</w:t>
      </w:r>
    </w:p>
    <w:p w14:paraId="10E843E5" w14:textId="77777777" w:rsidR="00B85F14" w:rsidRPr="00ED155B" w:rsidRDefault="00B85F14" w:rsidP="00B85F14">
      <w:pPr>
        <w:pStyle w:val="NoSpacing"/>
        <w:rPr>
          <w:rFonts w:ascii="Arial Black" w:hAnsi="Arial Black"/>
          <w:sz w:val="28"/>
          <w:szCs w:val="28"/>
        </w:rPr>
      </w:pPr>
      <w:r>
        <w:rPr>
          <w:rFonts w:ascii="Arial Black" w:hAnsi="Arial Black"/>
          <w:sz w:val="28"/>
          <w:szCs w:val="28"/>
        </w:rPr>
        <w:t>ID: HISPANIC / CATHOLIC - ASSESSMENT CTR WAS FAIR</w:t>
      </w:r>
    </w:p>
    <w:p w14:paraId="39815B5E" w14:textId="77777777" w:rsidR="00B85F14" w:rsidRDefault="00B85F14" w:rsidP="00B85F14">
      <w:pPr>
        <w:pStyle w:val="NoSpacing"/>
      </w:pPr>
    </w:p>
    <w:p w14:paraId="329B0150" w14:textId="77777777" w:rsidR="00B85F14" w:rsidRDefault="00B85F14" w:rsidP="00B85F14">
      <w:r>
        <w:t xml:space="preserve">On June 3, 2026, in </w:t>
      </w:r>
      <w:r w:rsidRPr="00B37A0F">
        <w:rPr>
          <w:u w:val="single"/>
        </w:rPr>
        <w:t>Henry Munoz v. City of Burley</w:t>
      </w:r>
      <w:r>
        <w:t xml:space="preserve">, U.S. District Court Judge </w:t>
      </w:r>
      <w:r w:rsidRPr="00E66C66">
        <w:t>Amanda K. Brailsford,</w:t>
      </w:r>
      <w:r>
        <w:t xml:space="preserve"> </w:t>
      </w:r>
      <w:r w:rsidRPr="00F5578E">
        <w:t>United States District Court for District of Idaho</w:t>
      </w:r>
      <w:r>
        <w:t xml:space="preserve">, granted the city’s motion for summary judgment; lack of proof of discrimination against Hispanics or Catholics (many officers are members of </w:t>
      </w:r>
      <w:r w:rsidRPr="006C0980">
        <w:t>Church of Jesus Christ of Latter-day Saints</w:t>
      </w:r>
      <w:r>
        <w:t xml:space="preserve">).  The </w:t>
      </w:r>
      <w:proofErr w:type="gramStart"/>
      <w:r>
        <w:t>City</w:t>
      </w:r>
      <w:proofErr w:type="gramEnd"/>
      <w:r>
        <w:t xml:space="preserve"> held an assessment center, including outside graders, and promoted the lieutenant with highest score (</w:t>
      </w:r>
      <w:r w:rsidRPr="008E3238">
        <w:t>957 out of 1,200</w:t>
      </w:r>
      <w:r>
        <w:t>; compared to plaintiff’s 760). The Court wrote: “</w:t>
      </w:r>
      <w:r w:rsidRPr="00527BF6">
        <w:t>Defendant has articulated a legitimate, nondiscriminatory reason for promoting Boden instead of Plaintiff: they selected Boden because he received the highest total score in the assessment center</w:t>
      </w:r>
      <w:r>
        <w:t xml:space="preserve">.” </w:t>
      </w:r>
      <w:hyperlink r:id="rId1502" w:history="1">
        <w:r w:rsidRPr="003E6F82">
          <w:rPr>
            <w:rStyle w:val="Hyperlink"/>
          </w:rPr>
          <w:t>https://www.govinfo.gov/content/pkg/USCOURTS-idd-4_24-cv-00303/pdf/USCOURTS-idd-4_24-cv-00303-0.pdf</w:t>
        </w:r>
      </w:hyperlink>
      <w:r>
        <w:t xml:space="preserve"> </w:t>
      </w:r>
    </w:p>
    <w:p w14:paraId="7F8E1D92" w14:textId="77777777" w:rsidR="00B85F14" w:rsidRDefault="00B85F14" w:rsidP="00B85F14">
      <w:pPr>
        <w:rPr>
          <w:b/>
        </w:rPr>
      </w:pPr>
      <w:r>
        <w:rPr>
          <w:b/>
        </w:rPr>
        <w:t>FACTS:</w:t>
      </w:r>
    </w:p>
    <w:p w14:paraId="0A115D22" w14:textId="77777777" w:rsidR="00B85F14" w:rsidRDefault="00B85F14" w:rsidP="00B85F14">
      <w:pPr>
        <w:pStyle w:val="NoSpacing"/>
      </w:pPr>
      <w:r>
        <w:t>“</w:t>
      </w:r>
      <w:r w:rsidRPr="009C1094">
        <w:t> Plaintiff is Hispanic and Catholic</w:t>
      </w:r>
      <w:r>
        <w:t xml:space="preserve"> …. </w:t>
      </w:r>
      <w:r w:rsidRPr="009C1094">
        <w:t>He began working for the BFD as a volunteer firefighter in March 2001, became a full-time firefighter in November 2003, and was promoted to Lieutenant in 2013</w:t>
      </w:r>
      <w:r>
        <w:t xml:space="preserve"> …. </w:t>
      </w:r>
      <w:r w:rsidRPr="009C1094">
        <w:t xml:space="preserve">Plaintiff remained a Lieutenant when he applied for the </w:t>
      </w:r>
      <w:proofErr w:type="gramStart"/>
      <w:r w:rsidRPr="009C1094">
        <w:t>Captain</w:t>
      </w:r>
      <w:proofErr w:type="gramEnd"/>
      <w:r w:rsidRPr="009C1094">
        <w:t xml:space="preserve"> position at issue in this case</w:t>
      </w:r>
      <w:r>
        <w:t xml:space="preserve"> ….</w:t>
      </w:r>
      <w:r w:rsidRPr="009C1094">
        <w:t>Plaintiff declares that he has served BFD for more than twenty-four years and has never been disciplined for misconduct</w:t>
      </w:r>
      <w:r>
        <w:t xml:space="preserve">. </w:t>
      </w:r>
    </w:p>
    <w:p w14:paraId="572E94D4" w14:textId="77777777" w:rsidR="00B85F14" w:rsidRDefault="00B85F14" w:rsidP="00B85F14">
      <w:pPr>
        <w:pStyle w:val="NoSpacing"/>
      </w:pPr>
    </w:p>
    <w:p w14:paraId="31105AB0" w14:textId="77777777" w:rsidR="00B85F14" w:rsidRDefault="00B85F14" w:rsidP="00B85F14">
      <w:pPr>
        <w:pStyle w:val="NoSpacing"/>
      </w:pPr>
      <w:r>
        <w:t>***</w:t>
      </w:r>
    </w:p>
    <w:p w14:paraId="5B73EB53" w14:textId="77777777" w:rsidR="00B85F14" w:rsidRDefault="00B85F14" w:rsidP="00B85F14">
      <w:pPr>
        <w:pStyle w:val="NoSpacing"/>
      </w:pPr>
    </w:p>
    <w:p w14:paraId="0917C3BF" w14:textId="77777777" w:rsidR="00B85F14" w:rsidRDefault="00B85F14" w:rsidP="00B85F14">
      <w:pPr>
        <w:pStyle w:val="NoSpacing"/>
      </w:pPr>
      <w:r w:rsidRPr="00925E40">
        <w:t xml:space="preserve">BFD used an </w:t>
      </w:r>
      <w:r>
        <w:t>‘</w:t>
      </w:r>
      <w:r w:rsidRPr="00925E40">
        <w:t>assessment center</w:t>
      </w:r>
      <w:r>
        <w:t>’</w:t>
      </w:r>
      <w:r w:rsidRPr="00925E40">
        <w:t xml:space="preserve"> to evaluate the three candidates. The assessment center used five evaluators: Chief Shannon Tolman; Deputy Chief Harman; Human Resources (HR) Director, Carol Anderson; Cassia Regional Hospital ambulance department manager, Keisha Hendrickson; and College of Southern Idaho Lead Fire Science Instructor, Brad Buehler </w:t>
      </w:r>
      <w:r>
        <w:t>….</w:t>
      </w:r>
      <w:r w:rsidRPr="00925E40">
        <w:t xml:space="preserve"> Deputy Chief Harman selected the internal evaluators and Buehler and Hendrickson as outside evaluators</w:t>
      </w:r>
      <w:r>
        <w:t xml:space="preserve"> </w:t>
      </w:r>
      <w:r>
        <w:lastRenderedPageBreak/>
        <w:t>….</w:t>
      </w:r>
      <w:r w:rsidRPr="00925E40">
        <w:t>Of those evaluators, Plaintiffs identifies only Chief Tolman as having LDS involvement</w:t>
      </w:r>
      <w:r>
        <w:t>. [</w:t>
      </w:r>
      <w:r w:rsidRPr="006C0980">
        <w:t>LDS</w:t>
      </w:r>
      <w:r>
        <w:t xml:space="preserve"> - </w:t>
      </w:r>
      <w:r w:rsidRPr="006C0980">
        <w:t>shorthand reference for the Church of Jesus Christ of Latter-day Saints</w:t>
      </w:r>
      <w:r>
        <w:t>]</w:t>
      </w:r>
      <w:r w:rsidRPr="006C0980">
        <w:t>.</w:t>
      </w:r>
    </w:p>
    <w:p w14:paraId="6FBD1BC6" w14:textId="77777777" w:rsidR="00B85F14" w:rsidRDefault="00B85F14" w:rsidP="00B85F14">
      <w:pPr>
        <w:pStyle w:val="NoSpacing"/>
      </w:pPr>
    </w:p>
    <w:p w14:paraId="44DF6D45" w14:textId="77777777" w:rsidR="00B85F14" w:rsidRDefault="00B85F14" w:rsidP="00B85F14">
      <w:pPr>
        <w:pStyle w:val="NoSpacing"/>
      </w:pPr>
      <w:r w:rsidRPr="004E7397">
        <w:t>The assessment center has three components: an incident-scenario exercise, an oral</w:t>
      </w:r>
      <w:r>
        <w:t xml:space="preserve"> </w:t>
      </w:r>
      <w:r w:rsidRPr="004E7397">
        <w:t>presentation exercise, and an oral interview</w:t>
      </w:r>
      <w:r>
        <w:t xml:space="preserve"> …. </w:t>
      </w:r>
      <w:r w:rsidRPr="004E7397">
        <w:t>Each component's individual score sheets included job-related scoring dimensions such as scene size-up, leadership/organization, communication, problem analysis and decision-making, time management, strategy and tactics, command presence/ICS, safety, presentation-related criteria, accountability, and interview performance</w:t>
      </w:r>
      <w:r>
        <w:t xml:space="preserve"> ….</w:t>
      </w:r>
      <w:r w:rsidRPr="004E7397">
        <w:t xml:space="preserve">The score sheets used an </w:t>
      </w:r>
      <w:r>
        <w:t xml:space="preserve"> </w:t>
      </w:r>
      <w:r w:rsidRPr="004E7397">
        <w:t xml:space="preserve">unevenly-banded numerical scale: 1 through 4 meant </w:t>
      </w:r>
      <w:r>
        <w:t>‘</w:t>
      </w:r>
      <w:r w:rsidRPr="004E7397">
        <w:t>Not Qualified,</w:t>
      </w:r>
      <w:r>
        <w:t>’</w:t>
      </w:r>
      <w:r w:rsidRPr="004E7397">
        <w:t xml:space="preserve"> 5 meant </w:t>
      </w:r>
      <w:r>
        <w:t>‘</w:t>
      </w:r>
      <w:r w:rsidRPr="004E7397">
        <w:t>Minimally Qualified,</w:t>
      </w:r>
      <w:r>
        <w:t>’</w:t>
      </w:r>
      <w:r w:rsidRPr="004E7397">
        <w:t xml:space="preserve"> 6 meant </w:t>
      </w:r>
      <w:r>
        <w:t>‘</w:t>
      </w:r>
      <w:r w:rsidRPr="004E7397">
        <w:t>Qualified,</w:t>
      </w:r>
      <w:r>
        <w:t>’</w:t>
      </w:r>
      <w:r w:rsidRPr="004E7397">
        <w:t xml:space="preserve"> and 7 through 10 meant </w:t>
      </w:r>
      <w:r>
        <w:t>‘</w:t>
      </w:r>
      <w:r w:rsidRPr="004E7397">
        <w:t>Especially Qualified</w:t>
      </w:r>
      <w:r>
        <w:t xml:space="preserve">’ …. </w:t>
      </w:r>
      <w:r w:rsidRPr="004E7397">
        <w:t xml:space="preserve"> Hypothetically applied, a </w:t>
      </w:r>
      <w:r>
        <w:t>‘</w:t>
      </w:r>
      <w:r w:rsidRPr="004E7397">
        <w:t>4</w:t>
      </w:r>
      <w:r>
        <w:t>’</w:t>
      </w:r>
      <w:r w:rsidRPr="004E7397">
        <w:t xml:space="preserve"> means the evaluator found the applicant not qualified in that dimension of that component, whereas a </w:t>
      </w:r>
      <w:r>
        <w:t>‘</w:t>
      </w:r>
      <w:r w:rsidRPr="004E7397">
        <w:t>7</w:t>
      </w:r>
      <w:r>
        <w:t>’</w:t>
      </w:r>
      <w:r w:rsidRPr="004E7397">
        <w:t xml:space="preserve"> means the applicant was especially qualified. The scoring draws no distinction between a 1 and a 4 (both </w:t>
      </w:r>
      <w:r>
        <w:t>‘</w:t>
      </w:r>
      <w:r w:rsidRPr="004E7397">
        <w:t>not qualified</w:t>
      </w:r>
      <w:r>
        <w:t>’</w:t>
      </w:r>
      <w:r w:rsidRPr="004E7397">
        <w:t xml:space="preserve">) or a 7 and a 10 (both </w:t>
      </w:r>
      <w:r>
        <w:t>‘</w:t>
      </w:r>
      <w:r w:rsidRPr="004E7397">
        <w:t>especially qualified</w:t>
      </w:r>
      <w:r>
        <w:t>’</w:t>
      </w:r>
      <w:r w:rsidRPr="004E7397">
        <w:t xml:space="preserve">). </w:t>
      </w:r>
    </w:p>
    <w:p w14:paraId="4A6FD119" w14:textId="77777777" w:rsidR="00B85F14" w:rsidRDefault="00B85F14" w:rsidP="00B85F14">
      <w:pPr>
        <w:pStyle w:val="NoSpacing"/>
      </w:pPr>
    </w:p>
    <w:p w14:paraId="3EB58E8A" w14:textId="77777777" w:rsidR="00B85F14" w:rsidRDefault="00B85F14" w:rsidP="00B85F14">
      <w:pPr>
        <w:pStyle w:val="NoSpacing"/>
      </w:pPr>
      <w:r>
        <w:t>***</w:t>
      </w:r>
    </w:p>
    <w:p w14:paraId="562A1188" w14:textId="77777777" w:rsidR="00B85F14" w:rsidRDefault="00B85F14" w:rsidP="00B85F14">
      <w:pPr>
        <w:pStyle w:val="NoSpacing"/>
      </w:pPr>
      <w:r w:rsidRPr="008E3238">
        <w:t> After the assessment, Chief Tolman and Deputy Chief Harman totaled the evaluators' scores. The completed score sheets reflect that Plaintiff received a total score of 760 out of 1,200, while Boden received the highest total score, 957 out of 1,200</w:t>
      </w:r>
      <w:r>
        <w:t xml:space="preserve">…. </w:t>
      </w:r>
      <w:r w:rsidRPr="008E3238">
        <w:t xml:space="preserve"> According to Defendant, the promotion was offered to the candidate who received the highest score, and Deputy Chief Harman testified that </w:t>
      </w:r>
      <w:r>
        <w:t>‘</w:t>
      </w:r>
      <w:r w:rsidRPr="008E3238">
        <w:t>the past processes since ‘21 have all gone based off of the score</w:t>
      </w:r>
      <w:r>
        <w:t xml:space="preserve">’ …. </w:t>
      </w:r>
    </w:p>
    <w:p w14:paraId="26EF8099" w14:textId="77777777" w:rsidR="00B85F14" w:rsidRDefault="00B85F14" w:rsidP="00B85F14">
      <w:pPr>
        <w:pStyle w:val="NoSpacing"/>
      </w:pPr>
    </w:p>
    <w:p w14:paraId="4D254087" w14:textId="77777777" w:rsidR="00B85F14" w:rsidRDefault="00B85F14" w:rsidP="00B85F14">
      <w:pPr>
        <w:pStyle w:val="NoSpacing"/>
        <w:rPr>
          <w:b/>
          <w:bCs/>
        </w:rPr>
      </w:pPr>
      <w:r w:rsidRPr="005C0BF8">
        <w:rPr>
          <w:b/>
        </w:rPr>
        <w:t xml:space="preserve">COURT HELD: </w:t>
      </w:r>
    </w:p>
    <w:p w14:paraId="292957CE" w14:textId="77777777" w:rsidR="00B85F14" w:rsidRDefault="00B85F14" w:rsidP="00B85F14">
      <w:pPr>
        <w:pStyle w:val="NoSpacing"/>
        <w:rPr>
          <w:b/>
          <w:bCs/>
        </w:rPr>
      </w:pPr>
    </w:p>
    <w:p w14:paraId="321A4EBB" w14:textId="77777777" w:rsidR="00B85F14" w:rsidRDefault="00B85F14" w:rsidP="00B85F14">
      <w:pPr>
        <w:pStyle w:val="NoSpacing"/>
      </w:pPr>
      <w:r>
        <w:t>“</w:t>
      </w:r>
      <w:r w:rsidRPr="004177CA">
        <w:t>Plaintiff testified that religion did not come up during the interview or testing process; no panelist raised religion during the process; Chief Tolman and Deputy Chief Harman never talked with him about his religion; he never raised religion with them; and he did not know whether Chief Tolman or Deputy Chief Harman knew his religion</w:t>
      </w:r>
      <w:r>
        <w:t xml:space="preserve"> …. </w:t>
      </w:r>
      <w:r w:rsidRPr="004177CA">
        <w:t xml:space="preserve"> Buehler testified that he was not aware of any applicant's religious affiliation or whether one applicant was affiliated religiously differently from the others, and that the scores he gave Plaintiff were not motivated by Plaintiff's religion or national origin</w:t>
      </w:r>
      <w:r>
        <w:t xml:space="preserve"> ….</w:t>
      </w:r>
      <w:r w:rsidRPr="004177CA">
        <w:t xml:space="preserve"> Hendrickson likewise testified she was not aware of the religion of any applicant and that the scores she gave Plaintiff were not motivated by Plaintiff's religion or national origin</w:t>
      </w:r>
      <w:r>
        <w:t xml:space="preserve"> ….</w:t>
      </w:r>
    </w:p>
    <w:p w14:paraId="364B2E0E" w14:textId="77777777" w:rsidR="00B85F14" w:rsidRDefault="00B85F14" w:rsidP="00B85F14">
      <w:pPr>
        <w:pStyle w:val="NoSpacing"/>
      </w:pPr>
    </w:p>
    <w:p w14:paraId="7D32ABEB" w14:textId="77777777" w:rsidR="00B85F14" w:rsidRDefault="00B85F14" w:rsidP="00B85F14">
      <w:pPr>
        <w:pStyle w:val="NoSpacing"/>
      </w:pPr>
      <w:r>
        <w:t>***</w:t>
      </w:r>
    </w:p>
    <w:p w14:paraId="1BFA5899" w14:textId="77777777" w:rsidR="00B85F14" w:rsidRPr="004177CA" w:rsidRDefault="00B85F14" w:rsidP="00B85F14">
      <w:pPr>
        <w:pStyle w:val="NoSpacing"/>
      </w:pPr>
    </w:p>
    <w:p w14:paraId="6E25B3BB" w14:textId="77777777" w:rsidR="00B85F14" w:rsidRDefault="00B85F14" w:rsidP="00B85F14">
      <w:pPr>
        <w:pStyle w:val="NoSpacing"/>
      </w:pPr>
      <w:r w:rsidRPr="005D6029">
        <w:t>For these reasons, the scoring evidence does not create a triable issue of discriminatory pretext. Even if a reasonable jury could find that subjective judgment, evaluator harshness, or favoritism influenced the process, Plaintiff has not identified evidence permitting a reasonable jury to find that race, religion, Catholic status, or non-LDS status was one of the motivating factors. On this record, Plaintiff has not identified sufficient admissible evidence from which a reasonable jury could infer Defendant's stated explanation is false or motivated by a discriminatory purpose.</w:t>
      </w:r>
    </w:p>
    <w:p w14:paraId="376CF815" w14:textId="77777777" w:rsidR="00B85F14" w:rsidRDefault="00B85F14" w:rsidP="00B85F14">
      <w:pPr>
        <w:pStyle w:val="NoSpacing"/>
      </w:pPr>
    </w:p>
    <w:p w14:paraId="6A760DE0" w14:textId="77777777" w:rsidR="00B85F14" w:rsidRDefault="00B85F14" w:rsidP="00B85F14">
      <w:pPr>
        <w:pStyle w:val="NoSpacing"/>
      </w:pPr>
      <w:r>
        <w:t>***</w:t>
      </w:r>
    </w:p>
    <w:p w14:paraId="4DFF38D2" w14:textId="77777777" w:rsidR="00B85F14" w:rsidRDefault="00B85F14" w:rsidP="00B85F14">
      <w:pPr>
        <w:pStyle w:val="NoSpacing"/>
      </w:pPr>
      <w:r w:rsidRPr="00391FBA">
        <w:t>Considered cumulatively, Plaintiff's evidence shows a discretionary process, a small leadership pool with limited Hispanic and non-LDS representation, sharp evaluator disparities, and Plaintiff's perception that Hispanic firefighters received less recognition. That evidence is sufficient to require careful review, but it remains insufficient to permit a reasonable jury to find that Defendant's score-based explanation was false or that the June 2022 decision was motivated by race or religion.</w:t>
      </w:r>
    </w:p>
    <w:p w14:paraId="5333A016" w14:textId="77777777" w:rsidR="00B85F14" w:rsidRDefault="00B85F14" w:rsidP="00B85F14">
      <w:pPr>
        <w:pStyle w:val="NoSpacing"/>
      </w:pPr>
    </w:p>
    <w:p w14:paraId="7E9156FC" w14:textId="77777777" w:rsidR="00B85F14" w:rsidRPr="00AF0956" w:rsidRDefault="00B85F14" w:rsidP="00B85F14">
      <w:pPr>
        <w:pStyle w:val="NoSpacing"/>
        <w:rPr>
          <w:b/>
          <w:bCs/>
        </w:rPr>
      </w:pPr>
      <w:r>
        <w:rPr>
          <w:b/>
        </w:rPr>
        <w:t xml:space="preserve">Legal lesson learned: Assessment Centers are an excellent tool in the promotion process. </w:t>
      </w:r>
    </w:p>
    <w:p w14:paraId="00016549" w14:textId="77777777" w:rsidR="00B85F14" w:rsidRDefault="00B85F14" w:rsidP="00BC70A3">
      <w:pPr>
        <w:rPr>
          <w:rFonts w:ascii="Arial Black" w:hAnsi="Arial Black"/>
          <w:b/>
          <w:sz w:val="24"/>
          <w:szCs w:val="24"/>
        </w:rPr>
      </w:pPr>
    </w:p>
    <w:p w14:paraId="59BE3FA3" w14:textId="77777777" w:rsidR="00B85F14" w:rsidRDefault="00B85F14" w:rsidP="00BC70A3">
      <w:pPr>
        <w:rPr>
          <w:rFonts w:ascii="Arial Black" w:hAnsi="Arial Black"/>
          <w:b/>
          <w:sz w:val="24"/>
          <w:szCs w:val="24"/>
        </w:rPr>
      </w:pPr>
    </w:p>
    <w:p w14:paraId="6B009886" w14:textId="77777777" w:rsidR="00B85F14" w:rsidRDefault="00B85F14" w:rsidP="00BC70A3">
      <w:pPr>
        <w:rPr>
          <w:rFonts w:ascii="Arial Black" w:hAnsi="Arial Black"/>
          <w:b/>
          <w:sz w:val="24"/>
          <w:szCs w:val="24"/>
        </w:rPr>
      </w:pPr>
    </w:p>
    <w:p w14:paraId="67163217" w14:textId="729C233C" w:rsidR="006323EA" w:rsidRDefault="006B7C41" w:rsidP="00BC70A3">
      <w:pPr>
        <w:rPr>
          <w:rFonts w:ascii="Arial Black" w:hAnsi="Arial Black"/>
          <w:b/>
          <w:sz w:val="24"/>
          <w:szCs w:val="24"/>
        </w:rPr>
      </w:pPr>
      <w:r>
        <w:rPr>
          <w:rFonts w:ascii="Arial Black" w:hAnsi="Arial Black"/>
          <w:b/>
          <w:sz w:val="24"/>
          <w:szCs w:val="24"/>
        </w:rPr>
        <w:t>8-91</w:t>
      </w:r>
    </w:p>
    <w:p w14:paraId="18269774" w14:textId="77777777" w:rsidR="009F0FF3" w:rsidRPr="00AB57EE" w:rsidRDefault="009F0FF3" w:rsidP="009F0FF3">
      <w:pPr>
        <w:rPr>
          <w:rFonts w:ascii="Arial Black" w:hAnsi="Arial Black"/>
          <w:b/>
          <w:bCs/>
          <w:sz w:val="28"/>
          <w:szCs w:val="28"/>
        </w:rPr>
      </w:pPr>
      <w:r>
        <w:rPr>
          <w:rFonts w:ascii="Arial Black" w:hAnsi="Arial Black"/>
          <w:b/>
          <w:sz w:val="28"/>
          <w:szCs w:val="28"/>
        </w:rPr>
        <w:lastRenderedPageBreak/>
        <w:t xml:space="preserve">IL: BLACK – FIRED – DROP STATE CASE / CAN PROCEED FED  </w:t>
      </w:r>
    </w:p>
    <w:p w14:paraId="1B8D0C91" w14:textId="77777777" w:rsidR="009F0FF3" w:rsidRDefault="009F0FF3" w:rsidP="009F0FF3">
      <w:pPr>
        <w:rPr>
          <w:b/>
          <w:bCs/>
        </w:rPr>
      </w:pPr>
      <w:r>
        <w:t xml:space="preserve">On June 8, 2026, in </w:t>
      </w:r>
      <w:proofErr w:type="spellStart"/>
      <w:r w:rsidRPr="00D53D61">
        <w:rPr>
          <w:u w:val="single"/>
        </w:rPr>
        <w:t>Vairrun</w:t>
      </w:r>
      <w:proofErr w:type="spellEnd"/>
      <w:r w:rsidRPr="00D53D61">
        <w:rPr>
          <w:u w:val="single"/>
        </w:rPr>
        <w:t xml:space="preserve"> Strickland v</w:t>
      </w:r>
      <w:r>
        <w:rPr>
          <w:u w:val="single"/>
        </w:rPr>
        <w:t>.</w:t>
      </w:r>
      <w:r w:rsidRPr="00D53D61">
        <w:rPr>
          <w:u w:val="single"/>
        </w:rPr>
        <w:t xml:space="preserve"> City of Markham, et al</w:t>
      </w:r>
      <w:r>
        <w:t xml:space="preserve">., the United States Court of Appeals for the Seventh District (Chicago) held (3 to 0) that trial court improperly dismissed his federal Title VII case alleging retaliation - </w:t>
      </w:r>
      <w:r w:rsidRPr="00036255">
        <w:t>singling him out for minor disciplinary issues and denying</w:t>
      </w:r>
      <w:r>
        <w:t xml:space="preserve"> </w:t>
      </w:r>
      <w:r w:rsidRPr="00036255">
        <w:t>him a promotion</w:t>
      </w:r>
      <w:r>
        <w:t xml:space="preserve"> when he supported another FF’s EEOC case. Case to continue in federal court even though voluntarily dismissed his lawsuit in state court. The Court wrote: “</w:t>
      </w:r>
      <w:r w:rsidRPr="009B102D">
        <w:t>The district</w:t>
      </w:r>
      <w:r>
        <w:t xml:space="preserve"> </w:t>
      </w:r>
      <w:r w:rsidRPr="009B102D">
        <w:t>court thus erred in dismissing Strickland’s Title VII claims on</w:t>
      </w:r>
      <w:r>
        <w:t xml:space="preserve"> </w:t>
      </w:r>
      <w:r w:rsidRPr="009B102D">
        <w:t>claim preclusion grounds</w:t>
      </w:r>
      <w:r>
        <w:t xml:space="preserve">.” </w:t>
      </w:r>
      <w:hyperlink r:id="rId1503" w:history="1">
        <w:r w:rsidRPr="00014504">
          <w:rPr>
            <w:rStyle w:val="Hyperlink"/>
            <w:b/>
          </w:rPr>
          <w:t>https://cases.justia.com/federal/appellate-courts/ca7/24-3262/24-3262-2026-06-08.pdf?ts=1780948846</w:t>
        </w:r>
      </w:hyperlink>
      <w:r>
        <w:rPr>
          <w:b/>
        </w:rPr>
        <w:t xml:space="preserve"> </w:t>
      </w:r>
    </w:p>
    <w:p w14:paraId="0D27DED6" w14:textId="77777777" w:rsidR="009F0FF3" w:rsidRDefault="009F0FF3" w:rsidP="009F0FF3">
      <w:pPr>
        <w:pStyle w:val="NoSpacing"/>
        <w:rPr>
          <w:bCs/>
        </w:rPr>
      </w:pPr>
      <w:r w:rsidRPr="00AB37D4">
        <w:rPr>
          <w:b/>
        </w:rPr>
        <w:t>FACTS:</w:t>
      </w:r>
      <w:r>
        <w:t xml:space="preserve"> </w:t>
      </w:r>
    </w:p>
    <w:p w14:paraId="4D9C6825" w14:textId="77777777" w:rsidR="009F0FF3" w:rsidRDefault="009F0FF3" w:rsidP="009F0FF3">
      <w:pPr>
        <w:pStyle w:val="NoSpacing"/>
        <w:rPr>
          <w:bCs/>
        </w:rPr>
      </w:pPr>
    </w:p>
    <w:p w14:paraId="04543A52" w14:textId="77777777" w:rsidR="009F0FF3" w:rsidRPr="00B74B2A" w:rsidRDefault="009F0FF3" w:rsidP="009F0FF3">
      <w:pPr>
        <w:pStyle w:val="NoSpacing"/>
        <w:rPr>
          <w:bCs/>
        </w:rPr>
      </w:pPr>
      <w:r>
        <w:t>“</w:t>
      </w:r>
      <w:r w:rsidRPr="00131A6D">
        <w:t>Strickland worked as a firefighter for the City of Markham</w:t>
      </w:r>
      <w:r>
        <w:t xml:space="preserve"> </w:t>
      </w:r>
      <w:r w:rsidRPr="00131A6D">
        <w:t>Fire Department for over a decade. In 2020, the Equal</w:t>
      </w:r>
      <w:r>
        <w:t xml:space="preserve"> </w:t>
      </w:r>
      <w:r w:rsidRPr="00036255">
        <w:t>Employment Opportunity Commission interviewed</w:t>
      </w:r>
      <w:r>
        <w:t xml:space="preserve"> </w:t>
      </w:r>
      <w:r w:rsidRPr="00036255">
        <w:t>Strickland during an investigation into discrimination claims</w:t>
      </w:r>
      <w:r>
        <w:t xml:space="preserve"> </w:t>
      </w:r>
      <w:r w:rsidRPr="00036255">
        <w:t>brought by a former firefighter. In the interview, Strickland</w:t>
      </w:r>
      <w:r>
        <w:t xml:space="preserve"> </w:t>
      </w:r>
      <w:r w:rsidRPr="00036255">
        <w:t>described race-based discrimination he had witnessed against</w:t>
      </w:r>
      <w:r>
        <w:t xml:space="preserve"> </w:t>
      </w:r>
      <w:r w:rsidRPr="00036255">
        <w:t>the former firefighter and how Chief Mazziotta had failed to</w:t>
      </w:r>
      <w:r>
        <w:t xml:space="preserve"> </w:t>
      </w:r>
      <w:r w:rsidRPr="00036255">
        <w:t>address it. Strickland alleged that after the interview, Chief</w:t>
      </w:r>
      <w:r>
        <w:t xml:space="preserve"> </w:t>
      </w:r>
      <w:r w:rsidRPr="00036255">
        <w:t>Mazziotta and the Department retaliated against him by</w:t>
      </w:r>
      <w:r>
        <w:t xml:space="preserve"> </w:t>
      </w:r>
      <w:proofErr w:type="gramStart"/>
      <w:r w:rsidRPr="00036255">
        <w:t>singling</w:t>
      </w:r>
      <w:proofErr w:type="gramEnd"/>
      <w:r w:rsidRPr="00036255">
        <w:t xml:space="preserve"> him out for minor disciplinary issues and denying</w:t>
      </w:r>
      <w:r>
        <w:t xml:space="preserve"> </w:t>
      </w:r>
      <w:r w:rsidRPr="00036255">
        <w:t>him a promotion.</w:t>
      </w:r>
      <w:r>
        <w:t xml:space="preserve"> </w:t>
      </w:r>
      <w:r w:rsidRPr="00036255">
        <w:t>In January 2021, the Department brought administrative</w:t>
      </w:r>
      <w:r>
        <w:t xml:space="preserve"> </w:t>
      </w:r>
      <w:r w:rsidRPr="00036255">
        <w:t>charges against Strickland. After hearings on the charges, the</w:t>
      </w:r>
      <w:r>
        <w:t xml:space="preserve"> </w:t>
      </w:r>
      <w:r w:rsidRPr="00036255">
        <w:t>Board of Fire and Police Commissioners terminated his</w:t>
      </w:r>
      <w:r>
        <w:t xml:space="preserve"> </w:t>
      </w:r>
      <w:r w:rsidRPr="00036255">
        <w:t>employment in April 2021, finding that Strickland had lied to</w:t>
      </w:r>
      <w:r>
        <w:t xml:space="preserve"> </w:t>
      </w:r>
      <w:r w:rsidRPr="00036255">
        <w:t>detectives during an arson investigation and had put</w:t>
      </w:r>
      <w:r>
        <w:t xml:space="preserve"> </w:t>
      </w:r>
      <w:r w:rsidRPr="00036255">
        <w:t>Department employees at risk by coming to work while</w:t>
      </w:r>
      <w:r>
        <w:t xml:space="preserve"> </w:t>
      </w:r>
      <w:r w:rsidRPr="00036255">
        <w:t>infected with COVID-19.</w:t>
      </w:r>
      <w:r>
        <w:t xml:space="preserve">  </w:t>
      </w:r>
      <w:r w:rsidRPr="00B74B2A">
        <w:t>The next month, Strickland filed a lawsuit in state court</w:t>
      </w:r>
    </w:p>
    <w:p w14:paraId="2E4E1E54" w14:textId="77777777" w:rsidR="009F0FF3" w:rsidRDefault="009F0FF3" w:rsidP="009F0FF3">
      <w:pPr>
        <w:pStyle w:val="NoSpacing"/>
        <w:rPr>
          <w:bCs/>
        </w:rPr>
      </w:pPr>
      <w:r w:rsidRPr="00B74B2A">
        <w:t xml:space="preserve">challenging the Board’s decision. The court </w:t>
      </w:r>
      <w:proofErr w:type="gramStart"/>
      <w:r w:rsidRPr="00B74B2A">
        <w:t>remanded</w:t>
      </w:r>
      <w:proofErr w:type="gramEnd"/>
      <w:r w:rsidRPr="00B74B2A">
        <w:t xml:space="preserve"> while</w:t>
      </w:r>
      <w:r>
        <w:t xml:space="preserve"> </w:t>
      </w:r>
      <w:r w:rsidRPr="00B74B2A">
        <w:t>retaining jurisdiction over the case and instructed the Board</w:t>
      </w:r>
      <w:r>
        <w:t xml:space="preserve"> </w:t>
      </w:r>
      <w:r w:rsidRPr="00B74B2A">
        <w:t>to enter an amended decision with additional information.</w:t>
      </w:r>
      <w:r>
        <w:t xml:space="preserve"> </w:t>
      </w:r>
      <w:r w:rsidRPr="00B74B2A">
        <w:t>The Board did so and again discharged Strickland. After the</w:t>
      </w:r>
      <w:r>
        <w:t xml:space="preserve"> </w:t>
      </w:r>
      <w:r w:rsidRPr="00B74B2A">
        <w:t>Board issued its amended decision in April 2022, Strickland</w:t>
      </w:r>
      <w:r>
        <w:t xml:space="preserve"> </w:t>
      </w:r>
      <w:r w:rsidRPr="00B74B2A">
        <w:t>voluntarily dismissed his state-court lawsuit. He did not</w:t>
      </w:r>
      <w:r>
        <w:t xml:space="preserve"> </w:t>
      </w:r>
      <w:r w:rsidRPr="00B74B2A">
        <w:t>otherwise seek direct review of the amended decision in state</w:t>
      </w:r>
      <w:r>
        <w:t xml:space="preserve"> </w:t>
      </w:r>
      <w:r w:rsidRPr="00B74B2A">
        <w:t>court.</w:t>
      </w:r>
      <w:r>
        <w:t>”</w:t>
      </w:r>
    </w:p>
    <w:p w14:paraId="05EE3B62" w14:textId="77777777" w:rsidR="009F0FF3" w:rsidRDefault="009F0FF3" w:rsidP="009F0FF3">
      <w:pPr>
        <w:pStyle w:val="NoSpacing"/>
        <w:rPr>
          <w:bCs/>
        </w:rPr>
      </w:pPr>
    </w:p>
    <w:p w14:paraId="1F68E14A" w14:textId="77777777" w:rsidR="009F0FF3" w:rsidRDefault="009F0FF3" w:rsidP="009F0FF3">
      <w:pPr>
        <w:pStyle w:val="NoSpacing"/>
        <w:rPr>
          <w:bCs/>
        </w:rPr>
      </w:pPr>
      <w:r w:rsidRPr="00AB37D4">
        <w:rPr>
          <w:b/>
        </w:rPr>
        <w:t>COURT HELD:</w:t>
      </w:r>
      <w:r>
        <w:t xml:space="preserve"> </w:t>
      </w:r>
    </w:p>
    <w:p w14:paraId="1597A0B0" w14:textId="77777777" w:rsidR="009F0FF3" w:rsidRDefault="009F0FF3" w:rsidP="009F0FF3">
      <w:pPr>
        <w:pStyle w:val="NoSpacing"/>
        <w:rPr>
          <w:bCs/>
        </w:rPr>
      </w:pPr>
    </w:p>
    <w:p w14:paraId="74FC3A61" w14:textId="77777777" w:rsidR="009F0FF3" w:rsidRDefault="009F0FF3" w:rsidP="009F0FF3">
      <w:pPr>
        <w:pStyle w:val="NoSpacing"/>
        <w:rPr>
          <w:bCs/>
        </w:rPr>
      </w:pPr>
      <w:r>
        <w:t>“</w:t>
      </w:r>
      <w:r w:rsidRPr="000C51C9">
        <w:t>Strickland argues that the court improperly</w:t>
      </w:r>
      <w:r>
        <w:t xml:space="preserve"> </w:t>
      </w:r>
      <w:r w:rsidRPr="000C51C9">
        <w:t>rested the first element on the Board’s decision and resolved</w:t>
      </w:r>
      <w:r>
        <w:t xml:space="preserve"> </w:t>
      </w:r>
      <w:r w:rsidRPr="000C51C9">
        <w:t>the other questions based on the state suit. He maintains that</w:t>
      </w:r>
      <w:r>
        <w:t xml:space="preserve"> </w:t>
      </w:r>
      <w:r w:rsidRPr="000C51C9">
        <w:t>administrative proceedings and state-court judgments should</w:t>
      </w:r>
      <w:r>
        <w:t xml:space="preserve"> </w:t>
      </w:r>
      <w:r w:rsidRPr="000C51C9">
        <w:t>be evaluated differently for purposes of claim preclusion.</w:t>
      </w:r>
      <w:r>
        <w:t xml:space="preserve"> </w:t>
      </w:r>
      <w:r w:rsidRPr="000C51C9">
        <w:t>Strickland is partially correct that the administrative</w:t>
      </w:r>
      <w:r>
        <w:t xml:space="preserve"> </w:t>
      </w:r>
      <w:r w:rsidRPr="000C51C9">
        <w:t>proceedings and state litigation cannot be treated as</w:t>
      </w:r>
      <w:r>
        <w:t xml:space="preserve"> </w:t>
      </w:r>
      <w:r w:rsidRPr="000C51C9">
        <w:t>equivalents. The Supreme Court’s decisions on the federal</w:t>
      </w:r>
      <w:r>
        <w:t xml:space="preserve"> </w:t>
      </w:r>
      <w:r w:rsidRPr="000C51C9">
        <w:t>law of preclusion distinguish between state-court judgments</w:t>
      </w:r>
      <w:r>
        <w:t xml:space="preserve"> </w:t>
      </w:r>
      <w:r w:rsidRPr="000C51C9">
        <w:t>and administrative decisions, particularly as applied to Title</w:t>
      </w:r>
      <w:r>
        <w:t xml:space="preserve"> </w:t>
      </w:r>
      <w:r w:rsidRPr="000C51C9">
        <w:t>VII claims</w:t>
      </w:r>
      <w:r>
        <w:t xml:space="preserve">…. </w:t>
      </w:r>
      <w:r w:rsidRPr="009B102D">
        <w:t>The district</w:t>
      </w:r>
      <w:r>
        <w:t xml:space="preserve"> </w:t>
      </w:r>
      <w:r w:rsidRPr="009B102D">
        <w:t>court thus erred in dismissing Strickland’s Title VII claims on</w:t>
      </w:r>
      <w:r>
        <w:t xml:space="preserve"> </w:t>
      </w:r>
      <w:r w:rsidRPr="009B102D">
        <w:t>claim preclusion grounds.</w:t>
      </w:r>
      <w:r>
        <w:t>”</w:t>
      </w:r>
    </w:p>
    <w:p w14:paraId="0B588F28" w14:textId="77777777" w:rsidR="009F0FF3" w:rsidRDefault="009F0FF3" w:rsidP="009F0FF3">
      <w:pPr>
        <w:pStyle w:val="NoSpacing"/>
        <w:rPr>
          <w:bCs/>
        </w:rPr>
      </w:pPr>
    </w:p>
    <w:p w14:paraId="5F78A501" w14:textId="77777777" w:rsidR="009F0FF3" w:rsidRPr="00FD2071" w:rsidRDefault="009F0FF3" w:rsidP="009F0FF3">
      <w:pPr>
        <w:pStyle w:val="NoSpacing"/>
        <w:rPr>
          <w:b/>
        </w:rPr>
      </w:pPr>
      <w:r>
        <w:rPr>
          <w:b/>
        </w:rPr>
        <w:t xml:space="preserve">Legal lesson learned: Title VII claims may proceed in federal court, even if firefighter voluntarily dropped his state court case. </w:t>
      </w:r>
    </w:p>
    <w:p w14:paraId="325F0F66" w14:textId="77777777" w:rsidR="009F0FF3" w:rsidRDefault="009F0FF3" w:rsidP="009F0FF3">
      <w:pPr>
        <w:pStyle w:val="NoSpacing"/>
        <w:rPr>
          <w:bCs/>
        </w:rPr>
      </w:pPr>
    </w:p>
    <w:p w14:paraId="01EF2D04" w14:textId="77777777" w:rsidR="00D46618" w:rsidRDefault="00D46618" w:rsidP="00BC70A3">
      <w:pPr>
        <w:rPr>
          <w:rFonts w:ascii="Arial Black" w:hAnsi="Arial Black"/>
          <w:b/>
          <w:sz w:val="24"/>
          <w:szCs w:val="24"/>
        </w:rPr>
      </w:pPr>
    </w:p>
    <w:p w14:paraId="13F47147" w14:textId="77777777" w:rsidR="00D46618" w:rsidRDefault="00D46618" w:rsidP="00BC70A3">
      <w:pPr>
        <w:rPr>
          <w:rFonts w:ascii="Arial Black" w:hAnsi="Arial Black"/>
          <w:b/>
          <w:sz w:val="24"/>
          <w:szCs w:val="24"/>
        </w:rPr>
      </w:pPr>
    </w:p>
    <w:p w14:paraId="168C3B58" w14:textId="4F9EA388" w:rsidR="007265BA" w:rsidRPr="00EB490D" w:rsidRDefault="007265BA" w:rsidP="00BC70A3">
      <w:pPr>
        <w:rPr>
          <w:rFonts w:ascii="Arial Black" w:hAnsi="Arial Black"/>
          <w:b/>
          <w:sz w:val="24"/>
          <w:szCs w:val="24"/>
        </w:rPr>
      </w:pPr>
      <w:r>
        <w:rPr>
          <w:rFonts w:ascii="Arial Black" w:hAnsi="Arial Black"/>
          <w:b/>
          <w:sz w:val="24"/>
          <w:szCs w:val="24"/>
        </w:rPr>
        <w:t xml:space="preserve">8-90 </w:t>
      </w:r>
      <w:r w:rsidRPr="00EB490D">
        <w:rPr>
          <w:rFonts w:ascii="Arial Black" w:hAnsi="Arial Black"/>
          <w:bCs/>
          <w:sz w:val="24"/>
          <w:szCs w:val="24"/>
        </w:rPr>
        <w:t>[also filed, Chap. 16 – Discipline]</w:t>
      </w:r>
    </w:p>
    <w:p w14:paraId="7D5A8E7C" w14:textId="77777777" w:rsidR="007265BA" w:rsidRPr="00DA19ED" w:rsidRDefault="007265BA" w:rsidP="007265BA">
      <w:pPr>
        <w:rPr>
          <w:rFonts w:ascii="Arial Black" w:hAnsi="Arial Black"/>
          <w:b/>
          <w:sz w:val="28"/>
          <w:szCs w:val="28"/>
        </w:rPr>
      </w:pPr>
      <w:r>
        <w:rPr>
          <w:rFonts w:ascii="Arial Black" w:hAnsi="Arial Black"/>
          <w:b/>
          <w:sz w:val="28"/>
          <w:szCs w:val="28"/>
        </w:rPr>
        <w:t xml:space="preserve">VA: BLACK FF – FIRED – THREATS VIOLENCE IN STATION </w:t>
      </w:r>
    </w:p>
    <w:p w14:paraId="16192602" w14:textId="77777777" w:rsidR="007265BA" w:rsidRDefault="007265BA" w:rsidP="007265BA">
      <w:pPr>
        <w:pStyle w:val="NoSpacing"/>
        <w:rPr>
          <w:b/>
        </w:rPr>
      </w:pPr>
      <w:r>
        <w:t xml:space="preserve">On May 19, 2026, in </w:t>
      </w:r>
      <w:r w:rsidRPr="00AD6041">
        <w:rPr>
          <w:u w:val="single"/>
        </w:rPr>
        <w:t>Brian Younger v. City of Lynchburg</w:t>
      </w:r>
      <w:r>
        <w:t xml:space="preserve">, U.S. District Court Judge Norman K. Moon, United States District Court for the Western District of Virginia, </w:t>
      </w:r>
      <w:r w:rsidRPr="00D12863">
        <w:t>Lynchburg Division</w:t>
      </w:r>
      <w:r>
        <w:t xml:space="preserve">, granted the City’s motion for summary judgment.  The firefighter was fired on June 4, </w:t>
      </w:r>
      <w:proofErr w:type="gramStart"/>
      <w:r>
        <w:t>2024</w:t>
      </w:r>
      <w:proofErr w:type="gramEnd"/>
      <w:r>
        <w:t xml:space="preserve"> after an incident on July 16, </w:t>
      </w:r>
      <w:proofErr w:type="gramStart"/>
      <w:r>
        <w:t>2024</w:t>
      </w:r>
      <w:proofErr w:type="gramEnd"/>
      <w:r>
        <w:t xml:space="preserve"> where he asked a white firefighter. At start of morning shift, to move his personal items to another bunkbed, and Younger became upset it was not done immediately.  THE COURT WROTE:  “Younger complains that he was treated differently from his White co-workers. Younger, however, does not establish sufficient similarity between what he did on July 16, 2022, and what his White co-workers did. </w:t>
      </w:r>
      <w:r>
        <w:lastRenderedPageBreak/>
        <w:t xml:space="preserve">Specifically, several fellow firefighters were recorded using racial slurs off-duty and those firefighters were not disciplined by the LFD. In contrast, though, Younger used racialized and threatening language against a co-worker in the fire station.” </w:t>
      </w:r>
      <w:hyperlink r:id="rId1504" w:history="1">
        <w:r w:rsidRPr="00D00712">
          <w:rPr>
            <w:rStyle w:val="Hyperlink"/>
            <w:b/>
          </w:rPr>
          <w:t>https://cases.justia.com/federal/district-courts/virginia/vawdce/6:2024cv00051/132979/41/0.pdf?ts=1779390167</w:t>
        </w:r>
      </w:hyperlink>
      <w:r>
        <w:rPr>
          <w:b/>
        </w:rPr>
        <w:t xml:space="preserve"> </w:t>
      </w:r>
    </w:p>
    <w:p w14:paraId="5DD3D10C" w14:textId="77777777" w:rsidR="007265BA" w:rsidRDefault="007265BA" w:rsidP="007265BA">
      <w:pPr>
        <w:pStyle w:val="NoSpacing"/>
        <w:rPr>
          <w:bCs/>
        </w:rPr>
      </w:pPr>
    </w:p>
    <w:p w14:paraId="2207ADA6" w14:textId="77777777" w:rsidR="007265BA" w:rsidRDefault="007265BA" w:rsidP="007265BA">
      <w:pPr>
        <w:pStyle w:val="NoSpacing"/>
        <w:rPr>
          <w:bCs/>
        </w:rPr>
      </w:pPr>
      <w:r>
        <w:t>THE COURT HELD:</w:t>
      </w:r>
    </w:p>
    <w:p w14:paraId="1B9D8F8D" w14:textId="77777777" w:rsidR="007265BA" w:rsidRDefault="007265BA" w:rsidP="007265BA">
      <w:pPr>
        <w:pStyle w:val="NoSpacing"/>
        <w:rPr>
          <w:bCs/>
        </w:rPr>
      </w:pPr>
    </w:p>
    <w:p w14:paraId="0698CA53" w14:textId="77777777" w:rsidR="007265BA" w:rsidRDefault="007265BA" w:rsidP="007265BA">
      <w:pPr>
        <w:pStyle w:val="NoSpacing"/>
        <w:ind w:left="720"/>
      </w:pPr>
      <w:r>
        <w:t xml:space="preserve">“The </w:t>
      </w:r>
      <w:proofErr w:type="gramStart"/>
      <w:r>
        <w:t>City</w:t>
      </w:r>
      <w:proofErr w:type="gramEnd"/>
      <w:r>
        <w:t xml:space="preserve"> claims it terminated Younger because of events that occurred on the morning of July 16, 2022. During the early morning shift change at LFD Station 5, Younger entered the station bedroom to place his belongings on a bunkbed. However, upon his arrival, he discovered that Firefighter Brennen Lawson, who had worked the previous shift, had already placed his items on the bed Younger intended to use….Younger found Lawson and asked him to move his belongings…. Lawson agreed but did not move his</w:t>
      </w:r>
    </w:p>
    <w:p w14:paraId="2E968B2D" w14:textId="77777777" w:rsidR="007265BA" w:rsidRDefault="007265BA" w:rsidP="007265BA">
      <w:pPr>
        <w:pStyle w:val="NoSpacing"/>
        <w:ind w:firstLine="720"/>
      </w:pPr>
      <w:r>
        <w:t xml:space="preserve">belongings as promptly as Younger expected. </w:t>
      </w:r>
    </w:p>
    <w:p w14:paraId="6065F997" w14:textId="77777777" w:rsidR="007265BA" w:rsidRDefault="007265BA" w:rsidP="007265BA">
      <w:pPr>
        <w:pStyle w:val="NoSpacing"/>
      </w:pPr>
    </w:p>
    <w:p w14:paraId="4324F131" w14:textId="77777777" w:rsidR="007265BA" w:rsidRDefault="007265BA" w:rsidP="007265BA">
      <w:pPr>
        <w:pStyle w:val="NoSpacing"/>
        <w:ind w:firstLine="720"/>
      </w:pPr>
      <w:r>
        <w:t>Although accounts differ as to whether either party made threatening movements towards</w:t>
      </w:r>
    </w:p>
    <w:p w14:paraId="7B45CEBF" w14:textId="77777777" w:rsidR="007265BA" w:rsidRDefault="007265BA" w:rsidP="007265BA">
      <w:pPr>
        <w:pStyle w:val="NoSpacing"/>
        <w:ind w:left="720"/>
      </w:pPr>
      <w:r>
        <w:t>the other during the exchange, neither party disputes that Younger made several comments directed at Lawson, who is a White male, including that: (</w:t>
      </w:r>
      <w:proofErr w:type="spellStart"/>
      <w:r>
        <w:t>i</w:t>
      </w:r>
      <w:proofErr w:type="spellEnd"/>
      <w:r>
        <w:t xml:space="preserve">) Lawson was ‘a racist scumbag that couldn’t keep his wife happy’; (ii) that Lawson had ‘pushed’ his wife ‘right into the embrace of another Black man’; (iii) that his wife was ‘in California’ ‘loving that black dick she was taking out West’; (iv) that Younger did not know why ‘y’all racists keep dating and marrying women who aren’t racists’; (v) that if Lawson came towards him he would ‘fuck you all up out here’; and (iv) that Lawson better ‘stay away from [Younger] or else.’” </w:t>
      </w:r>
    </w:p>
    <w:p w14:paraId="40196F72" w14:textId="77777777" w:rsidR="007265BA" w:rsidRDefault="007265BA" w:rsidP="007265BA">
      <w:pPr>
        <w:pStyle w:val="NoSpacing"/>
        <w:ind w:left="720"/>
      </w:pPr>
    </w:p>
    <w:p w14:paraId="2AD53E35" w14:textId="77777777" w:rsidR="007265BA" w:rsidRDefault="007265BA" w:rsidP="007265BA">
      <w:pPr>
        <w:pStyle w:val="NoSpacing"/>
        <w:rPr>
          <w:b/>
        </w:rPr>
      </w:pPr>
      <w:r>
        <w:rPr>
          <w:b/>
        </w:rPr>
        <w:t xml:space="preserve">Legal lesson learned: Threats of violence cannot be tolerated, without regard to the race of the offender.  </w:t>
      </w:r>
    </w:p>
    <w:p w14:paraId="25F2A4A7" w14:textId="77777777" w:rsidR="00EC3DBD" w:rsidRDefault="00EC3DBD" w:rsidP="007265BA">
      <w:pPr>
        <w:pStyle w:val="NoSpacing"/>
        <w:rPr>
          <w:b/>
        </w:rPr>
      </w:pPr>
    </w:p>
    <w:p w14:paraId="4DB831D8" w14:textId="77777777" w:rsidR="00EC3DBD" w:rsidRPr="00C958FE" w:rsidRDefault="00EC3DBD" w:rsidP="00EC3DBD">
      <w:pPr>
        <w:pStyle w:val="NoSpacing"/>
        <w:rPr>
          <w:rFonts w:ascii="Arial Black" w:hAnsi="Arial Black"/>
          <w:b/>
          <w:sz w:val="28"/>
          <w:szCs w:val="28"/>
        </w:rPr>
      </w:pPr>
      <w:r>
        <w:rPr>
          <w:rFonts w:ascii="Arial Black" w:hAnsi="Arial Black"/>
          <w:b/>
          <w:sz w:val="28"/>
          <w:szCs w:val="28"/>
        </w:rPr>
        <w:t xml:space="preserve">MD: BLACK – LATE FOR WORK / RACIAL TEXTS – NO CASE </w:t>
      </w:r>
    </w:p>
    <w:p w14:paraId="2E5D1A37" w14:textId="77777777" w:rsidR="00EC3DBD" w:rsidRDefault="00EC3DBD" w:rsidP="00EC3DBD">
      <w:pPr>
        <w:pStyle w:val="NoSpacing"/>
        <w:rPr>
          <w:b/>
        </w:rPr>
      </w:pPr>
    </w:p>
    <w:p w14:paraId="44C3754A" w14:textId="77777777" w:rsidR="00EC3DBD" w:rsidRPr="0018661C" w:rsidRDefault="00EC3DBD" w:rsidP="00EC3DBD">
      <w:pPr>
        <w:pStyle w:val="NoSpacing"/>
        <w:rPr>
          <w:bCs/>
        </w:rPr>
      </w:pPr>
      <w:r w:rsidRPr="0018661C">
        <w:t xml:space="preserve">On June 24, 2026, in </w:t>
      </w:r>
      <w:r w:rsidRPr="0018661C">
        <w:rPr>
          <w:u w:val="single"/>
        </w:rPr>
        <w:t>Mitchell Waters v. The Mayor and City Council of Baltimore</w:t>
      </w:r>
      <w:r w:rsidRPr="0018661C">
        <w:t xml:space="preserve">, </w:t>
      </w:r>
      <w:r>
        <w:t xml:space="preserve">the United States Court of Appeal for Fourth Circuit (Baltimore) held (3 to 0; unpublished decision) that trial court properly granted summary judgment to the City. The </w:t>
      </w:r>
      <w:proofErr w:type="gramStart"/>
      <w:r>
        <w:t>City</w:t>
      </w:r>
      <w:proofErr w:type="gramEnd"/>
      <w:r>
        <w:t xml:space="preserve"> adequately investigated anonymous racial messages and found no proof they were sent by fellow firefighters. The Court wrote: “The text messages were sent anonymously, and BCFD did undertake an investigation to attempt to identify the sender. Therefore, the district court did not err in granting judgment on the hostile work environment claim.” </w:t>
      </w:r>
      <w:hyperlink r:id="rId1505" w:history="1">
        <w:r w:rsidRPr="00014504">
          <w:rPr>
            <w:rStyle w:val="Hyperlink"/>
          </w:rPr>
          <w:t>https://cases.justia.com/federal/appellate-courts/ca4/25-1440/25-1440-2026-06-24.pdf?ts=1782325881</w:t>
        </w:r>
      </w:hyperlink>
      <w:r>
        <w:t xml:space="preserve"> </w:t>
      </w:r>
    </w:p>
    <w:p w14:paraId="19777266" w14:textId="77777777" w:rsidR="00EC3DBD" w:rsidRPr="0018661C" w:rsidRDefault="00EC3DBD" w:rsidP="00EC3DBD">
      <w:pPr>
        <w:pStyle w:val="NoSpacing"/>
        <w:rPr>
          <w:bCs/>
        </w:rPr>
      </w:pPr>
    </w:p>
    <w:p w14:paraId="166C76B8" w14:textId="77777777" w:rsidR="00EC3DBD" w:rsidRDefault="00EC3DBD" w:rsidP="00EC3DBD">
      <w:pPr>
        <w:pStyle w:val="NoSpacing"/>
        <w:rPr>
          <w:b/>
        </w:rPr>
      </w:pPr>
    </w:p>
    <w:p w14:paraId="5A132524" w14:textId="77777777" w:rsidR="00EC3DBD" w:rsidRDefault="00EC3DBD" w:rsidP="00EC3DBD">
      <w:pPr>
        <w:pStyle w:val="NoSpacing"/>
        <w:rPr>
          <w:b/>
        </w:rPr>
      </w:pPr>
      <w:r w:rsidRPr="00AF250A">
        <w:rPr>
          <w:b/>
        </w:rPr>
        <w:t>FACTS:</w:t>
      </w:r>
    </w:p>
    <w:p w14:paraId="2B84CE0A" w14:textId="77777777" w:rsidR="00EC3DBD" w:rsidRDefault="00EC3DBD" w:rsidP="00EC3DBD">
      <w:pPr>
        <w:pStyle w:val="NoSpacing"/>
        <w:rPr>
          <w:b/>
        </w:rPr>
      </w:pPr>
    </w:p>
    <w:p w14:paraId="20E1280E" w14:textId="77777777" w:rsidR="00EC3DBD" w:rsidRPr="00AF250A" w:rsidRDefault="00EC3DBD" w:rsidP="00EC3DBD">
      <w:pPr>
        <w:pStyle w:val="NoSpacing"/>
      </w:pPr>
      <w:r>
        <w:t>“</w:t>
      </w:r>
      <w:r w:rsidRPr="00AF250A">
        <w:t>Waters is a Black man employed by the Baltimore City Fire Department (BCFD).</w:t>
      </w:r>
    </w:p>
    <w:p w14:paraId="78CA736E" w14:textId="77777777" w:rsidR="00EC3DBD" w:rsidRPr="00AF250A" w:rsidRDefault="00EC3DBD" w:rsidP="00EC3DBD">
      <w:pPr>
        <w:pStyle w:val="NoSpacing"/>
      </w:pPr>
      <w:r w:rsidRPr="00AF250A">
        <w:t>The thrust of Waters’s complaint is that he was treated less favorably than non-Black peers</w:t>
      </w:r>
    </w:p>
    <w:p w14:paraId="09BB34B5" w14:textId="77777777" w:rsidR="00EC3DBD" w:rsidRDefault="00EC3DBD" w:rsidP="00EC3DBD">
      <w:pPr>
        <w:pStyle w:val="NoSpacing"/>
      </w:pPr>
      <w:r w:rsidRPr="00AF250A">
        <w:t>when he was subject to BCFD’s disciplinary process</w:t>
      </w:r>
      <w:r>
        <w:t>…. Waters lists five examples of disparate treatment concerning himself and a comparator and four additional examples concerning other Black employees and non-Black comparators.</w:t>
      </w:r>
    </w:p>
    <w:p w14:paraId="6DE1AD09" w14:textId="77777777" w:rsidR="00EC3DBD" w:rsidRDefault="00EC3DBD" w:rsidP="00EC3DBD">
      <w:pPr>
        <w:pStyle w:val="NoSpacing"/>
      </w:pPr>
    </w:p>
    <w:p w14:paraId="05B835B3" w14:textId="77777777" w:rsidR="00EC3DBD" w:rsidRDefault="00EC3DBD" w:rsidP="00EC3DBD">
      <w:pPr>
        <w:pStyle w:val="NoSpacing"/>
      </w:pPr>
      <w:r>
        <w:t>***</w:t>
      </w:r>
    </w:p>
    <w:p w14:paraId="06F0B839" w14:textId="77777777" w:rsidR="00EC3DBD" w:rsidRDefault="00EC3DBD" w:rsidP="00EC3DBD">
      <w:pPr>
        <w:pStyle w:val="NoSpacing"/>
      </w:pPr>
    </w:p>
    <w:p w14:paraId="5BD80BEB" w14:textId="77777777" w:rsidR="00EC3DBD" w:rsidRPr="00607F7B" w:rsidRDefault="00EC3DBD" w:rsidP="00EC3DBD">
      <w:pPr>
        <w:pStyle w:val="NoSpacing"/>
      </w:pPr>
      <w:r w:rsidRPr="00607F7B">
        <w:t xml:space="preserve">Waters’s last example concerns </w:t>
      </w:r>
      <w:r>
        <w:t>‘</w:t>
      </w:r>
      <w:r w:rsidRPr="00607F7B">
        <w:t>anonymous, racist, and threatening messages</w:t>
      </w:r>
      <w:r>
        <w:t>’</w:t>
      </w:r>
      <w:r w:rsidRPr="00607F7B">
        <w:t xml:space="preserve"> he</w:t>
      </w:r>
    </w:p>
    <w:p w14:paraId="0A4E0C78" w14:textId="77777777" w:rsidR="00EC3DBD" w:rsidRPr="00607F7B" w:rsidRDefault="00EC3DBD" w:rsidP="00EC3DBD">
      <w:pPr>
        <w:pStyle w:val="NoSpacing"/>
      </w:pPr>
      <w:r w:rsidRPr="00607F7B">
        <w:t xml:space="preserve">received. Opening Br. at 33. Waters claims </w:t>
      </w:r>
      <w:r>
        <w:t>‘</w:t>
      </w:r>
      <w:r w:rsidRPr="00607F7B">
        <w:t>no investigation or intervention was</w:t>
      </w:r>
    </w:p>
    <w:p w14:paraId="6F40FFC1" w14:textId="77777777" w:rsidR="00EC3DBD" w:rsidRPr="00607F7B" w:rsidRDefault="00EC3DBD" w:rsidP="00EC3DBD">
      <w:pPr>
        <w:pStyle w:val="NoSpacing"/>
      </w:pPr>
      <w:r w:rsidRPr="00607F7B">
        <w:t>conducted,</w:t>
      </w:r>
      <w:r>
        <w:t>’</w:t>
      </w:r>
      <w:r w:rsidRPr="00607F7B">
        <w:t xml:space="preserve"> and again points to complaints by Lt. Cole and Lt. DiRusso which he says</w:t>
      </w:r>
    </w:p>
    <w:p w14:paraId="2BA076BE" w14:textId="77777777" w:rsidR="00EC3DBD" w:rsidRPr="00607F7B" w:rsidRDefault="00EC3DBD" w:rsidP="00EC3DBD">
      <w:pPr>
        <w:pStyle w:val="NoSpacing"/>
      </w:pPr>
      <w:r>
        <w:t>‘</w:t>
      </w:r>
      <w:proofErr w:type="gramStart"/>
      <w:r w:rsidRPr="00607F7B">
        <w:t>were</w:t>
      </w:r>
      <w:proofErr w:type="gramEnd"/>
      <w:r w:rsidRPr="00607F7B">
        <w:t xml:space="preserve"> investigated immediately.</w:t>
      </w:r>
      <w:r>
        <w:t>’</w:t>
      </w:r>
      <w:r w:rsidRPr="00607F7B">
        <w:t xml:space="preserve"> Id. Although these anonymous racist messages are</w:t>
      </w:r>
    </w:p>
    <w:p w14:paraId="45F81297" w14:textId="77777777" w:rsidR="00EC3DBD" w:rsidRPr="00607F7B" w:rsidRDefault="00EC3DBD" w:rsidP="00EC3DBD">
      <w:pPr>
        <w:pStyle w:val="NoSpacing"/>
      </w:pPr>
      <w:r w:rsidRPr="00607F7B">
        <w:t>disturbing, the anonymity renders this conduct incomparable to the other complaints.</w:t>
      </w:r>
    </w:p>
    <w:p w14:paraId="58EE1434" w14:textId="77777777" w:rsidR="00EC3DBD" w:rsidRDefault="00EC3DBD" w:rsidP="00EC3DBD">
      <w:pPr>
        <w:pStyle w:val="NoSpacing"/>
      </w:pPr>
      <w:r w:rsidRPr="00607F7B">
        <w:t xml:space="preserve">Waters </w:t>
      </w:r>
      <w:proofErr w:type="gramStart"/>
      <w:r w:rsidRPr="00607F7B">
        <w:t>characterizes</w:t>
      </w:r>
      <w:proofErr w:type="gramEnd"/>
      <w:r w:rsidRPr="00607F7B">
        <w:t xml:space="preserve"> BCFD’s actions in response to the anonymous messages as </w:t>
      </w:r>
      <w:r>
        <w:t>‘</w:t>
      </w:r>
      <w:r w:rsidRPr="00607F7B">
        <w:t>Smoke</w:t>
      </w:r>
      <w:r>
        <w:t xml:space="preserve"> and Mirrors</w:t>
      </w:r>
      <w:proofErr w:type="gramStart"/>
      <w:r>
        <w:t>,’ ‘</w:t>
      </w:r>
      <w:proofErr w:type="gramEnd"/>
      <w:r>
        <w:t>half-hearted,’ and ‘inauthentic.’  Id. at 34. But Waters does not identify</w:t>
      </w:r>
    </w:p>
    <w:p w14:paraId="4089F791" w14:textId="77777777" w:rsidR="00EC3DBD" w:rsidRDefault="00EC3DBD" w:rsidP="00EC3DBD">
      <w:pPr>
        <w:pStyle w:val="NoSpacing"/>
      </w:pPr>
      <w:r>
        <w:t>any other instance where BCFD undertook a more serious or rigorous investigation after a</w:t>
      </w:r>
    </w:p>
    <w:p w14:paraId="07EB4601" w14:textId="77777777" w:rsidR="00EC3DBD" w:rsidRPr="00607F7B" w:rsidRDefault="00EC3DBD" w:rsidP="00EC3DBD">
      <w:pPr>
        <w:pStyle w:val="NoSpacing"/>
      </w:pPr>
      <w:r>
        <w:lastRenderedPageBreak/>
        <w:t>peer was subject to anonymous harassment. We cannot find that BCFD’s prompt investigation of a complaint identifying a specific employee is comparable to its response to a complaint regarding anonymous conduct.”</w:t>
      </w:r>
    </w:p>
    <w:p w14:paraId="67E93D0C" w14:textId="77777777" w:rsidR="00EC3DBD" w:rsidRPr="00607F7B" w:rsidRDefault="00EC3DBD" w:rsidP="00EC3DBD">
      <w:pPr>
        <w:pStyle w:val="NoSpacing"/>
      </w:pPr>
    </w:p>
    <w:p w14:paraId="79D7E766" w14:textId="77777777" w:rsidR="00EC3DBD" w:rsidRPr="00607F7B" w:rsidRDefault="00EC3DBD" w:rsidP="00EC3DBD">
      <w:pPr>
        <w:pStyle w:val="NoSpacing"/>
      </w:pPr>
    </w:p>
    <w:p w14:paraId="6AD51F6D" w14:textId="77777777" w:rsidR="00EC3DBD" w:rsidRPr="00667370" w:rsidRDefault="00EC3DBD" w:rsidP="00EC3DBD">
      <w:pPr>
        <w:pStyle w:val="NoSpacing"/>
        <w:rPr>
          <w:b/>
          <w:bCs/>
        </w:rPr>
      </w:pPr>
      <w:r w:rsidRPr="00667370">
        <w:rPr>
          <w:b/>
        </w:rPr>
        <w:t>COURT HELD:</w:t>
      </w:r>
    </w:p>
    <w:p w14:paraId="0D237DAE" w14:textId="77777777" w:rsidR="00EC3DBD" w:rsidRDefault="00EC3DBD" w:rsidP="00EC3DBD">
      <w:pPr>
        <w:pStyle w:val="NoSpacing"/>
      </w:pPr>
    </w:p>
    <w:p w14:paraId="2599310A" w14:textId="77777777" w:rsidR="00EC3DBD" w:rsidRDefault="00EC3DBD" w:rsidP="00EC3DBD">
      <w:pPr>
        <w:pStyle w:val="NoSpacing"/>
      </w:pPr>
      <w:r>
        <w:t>“Only the anonymous racist text messages Waters received are related to his race, but as the district court correctly noted, Waters was ‘unable to link [the messages] to any of his coworkers,’ J.A. 1257, and he does not establish how the messages are imputable to BCFD. ‘An employer may be held liable for a hostile work environment if it knew or should have known about the harassment and failed to take effective action to stop it by responding with remedial action reasonably calculated to end the harassment.’ Webster, 38 F.4th at 415 (citation modified). The text messages were sent anonymously, and BCFD did undertake an investigation to attempt to identify the sender. Therefore, the district court did not err in granting judgment on the hostile work environment claim.”</w:t>
      </w:r>
    </w:p>
    <w:p w14:paraId="00FB0249" w14:textId="77777777" w:rsidR="00EC3DBD" w:rsidRPr="00AF250A" w:rsidRDefault="00EC3DBD" w:rsidP="00EC3DBD">
      <w:pPr>
        <w:pStyle w:val="NoSpacing"/>
      </w:pPr>
    </w:p>
    <w:p w14:paraId="38936018" w14:textId="77777777" w:rsidR="00EC3DBD" w:rsidRDefault="00EC3DBD" w:rsidP="00EC3DBD">
      <w:pPr>
        <w:pStyle w:val="NoSpacing"/>
        <w:rPr>
          <w:b/>
        </w:rPr>
      </w:pPr>
      <w:r>
        <w:rPr>
          <w:b/>
        </w:rPr>
        <w:t xml:space="preserve">Legal lesson learned: Anonymous racial text messages were investigated; no proof sent by fellow firefighters.  </w:t>
      </w:r>
    </w:p>
    <w:p w14:paraId="08DA4DB1" w14:textId="77777777" w:rsidR="00EC3DBD" w:rsidRDefault="00EC3DBD" w:rsidP="00EC3DBD">
      <w:pPr>
        <w:pStyle w:val="NoSpacing"/>
        <w:rPr>
          <w:b/>
        </w:rPr>
      </w:pPr>
    </w:p>
    <w:p w14:paraId="39E33D7E" w14:textId="77777777" w:rsidR="00EC3DBD" w:rsidRDefault="00EC3DBD" w:rsidP="00EC3DBD">
      <w:pPr>
        <w:pStyle w:val="NoSpacing"/>
        <w:rPr>
          <w:b/>
        </w:rPr>
      </w:pPr>
    </w:p>
    <w:p w14:paraId="5DBADB78" w14:textId="77777777" w:rsidR="00EC3DBD" w:rsidRDefault="00EC3DBD" w:rsidP="00EC3DBD">
      <w:pPr>
        <w:rPr>
          <w:b/>
        </w:rPr>
      </w:pPr>
      <w:r w:rsidRPr="00F922D6">
        <w:rPr>
          <w:sz w:val="20"/>
          <w:szCs w:val="20"/>
        </w:rPr>
        <w:t>Chap. 8 – Race / National Origin Discrimination</w:t>
      </w:r>
    </w:p>
    <w:p w14:paraId="64827C7C" w14:textId="77777777" w:rsidR="00EC3DBD" w:rsidRPr="001079BC" w:rsidRDefault="00EC3DBD" w:rsidP="00EC3DBD">
      <w:pPr>
        <w:rPr>
          <w:rFonts w:ascii="Arial Black" w:hAnsi="Arial Black"/>
          <w:b/>
          <w:sz w:val="28"/>
          <w:szCs w:val="28"/>
        </w:rPr>
      </w:pPr>
      <w:r>
        <w:rPr>
          <w:rFonts w:ascii="Arial Black" w:hAnsi="Arial Black"/>
          <w:b/>
          <w:sz w:val="28"/>
          <w:szCs w:val="28"/>
        </w:rPr>
        <w:t>OH: BLACK CAPT – EXAM SOFTWARE ISSUES – NOT RACE</w:t>
      </w:r>
    </w:p>
    <w:p w14:paraId="7CEE7E7B" w14:textId="77777777" w:rsidR="00EC3DBD" w:rsidRDefault="00EC3DBD" w:rsidP="00EC3DBD">
      <w:pPr>
        <w:pStyle w:val="NoSpacing"/>
        <w:rPr>
          <w:b/>
        </w:rPr>
      </w:pPr>
      <w:r>
        <w:t xml:space="preserve">On June 15, 2026, in </w:t>
      </w:r>
      <w:r w:rsidRPr="00A002DC">
        <w:rPr>
          <w:u w:val="single"/>
        </w:rPr>
        <w:t>Janos Roper v. City of Cincinnati Fire Department</w:t>
      </w:r>
      <w:r>
        <w:t>, the United States Court of Appeals for the Sixth Circuit held (3 to 0) that trial court properly granted summary judgment to the City.  Race was not a factor in the formatting of answers on the promotion exam for District Chief.  The software company found it to be “user error” – but in any event the issue was “race neutral.” He wound up 16</w:t>
      </w:r>
      <w:r w:rsidRPr="00BA3FF7">
        <w:rPr>
          <w:vertAlign w:val="superscript"/>
        </w:rPr>
        <w:t>th</w:t>
      </w:r>
      <w:r>
        <w:t xml:space="preserve"> on the list; 11 promoted.  The Court wrote: “</w:t>
      </w:r>
      <w:r w:rsidRPr="007C2488">
        <w:t>But Title VII provides a remedy for</w:t>
      </w:r>
      <w:r>
        <w:t xml:space="preserve"> </w:t>
      </w:r>
      <w:r w:rsidRPr="007C2488">
        <w:t>racial discrimination, not for defective tests.</w:t>
      </w:r>
      <w:r>
        <w:t xml:space="preserve">” </w:t>
      </w:r>
      <w:hyperlink r:id="rId1506" w:history="1">
        <w:r w:rsidRPr="00014504">
          <w:rPr>
            <w:rStyle w:val="Hyperlink"/>
            <w:b/>
          </w:rPr>
          <w:t>https://cases.justia.com/federal/appellate-courts/ca6/25-3700/25-3700-2026-06-15.pdf?ts=1781553648</w:t>
        </w:r>
      </w:hyperlink>
      <w:r>
        <w:rPr>
          <w:b/>
        </w:rPr>
        <w:t xml:space="preserve"> </w:t>
      </w:r>
    </w:p>
    <w:p w14:paraId="647721ED" w14:textId="77777777" w:rsidR="00EC3DBD" w:rsidRDefault="00EC3DBD" w:rsidP="00EC3DBD">
      <w:pPr>
        <w:rPr>
          <w:bCs/>
        </w:rPr>
      </w:pPr>
    </w:p>
    <w:p w14:paraId="495D7B01" w14:textId="77777777" w:rsidR="00EC3DBD" w:rsidRDefault="00EC3DBD" w:rsidP="00EC3DBD">
      <w:pPr>
        <w:rPr>
          <w:b/>
        </w:rPr>
      </w:pPr>
      <w:r>
        <w:t xml:space="preserve"> </w:t>
      </w:r>
      <w:r>
        <w:rPr>
          <w:b/>
        </w:rPr>
        <w:t>FACTS:</w:t>
      </w:r>
    </w:p>
    <w:p w14:paraId="2244C383" w14:textId="77777777" w:rsidR="00EC3DBD" w:rsidRPr="00DD65B2" w:rsidRDefault="00EC3DBD" w:rsidP="00EC3DBD">
      <w:pPr>
        <w:pStyle w:val="NoSpacing"/>
        <w:rPr>
          <w:bCs/>
        </w:rPr>
      </w:pPr>
      <w:r>
        <w:t>“</w:t>
      </w:r>
      <w:r w:rsidRPr="00DD65B2">
        <w:t>In 2019, Roper—a longtime Cincinnati firefighter—sat for a test to be promoted to district</w:t>
      </w:r>
    </w:p>
    <w:p w14:paraId="430D2C84" w14:textId="77777777" w:rsidR="00EC3DBD" w:rsidRPr="00DD65B2" w:rsidRDefault="00EC3DBD" w:rsidP="00EC3DBD">
      <w:pPr>
        <w:pStyle w:val="NoSpacing"/>
        <w:rPr>
          <w:bCs/>
        </w:rPr>
      </w:pPr>
      <w:r w:rsidRPr="00DD65B2">
        <w:t>chief. During one typewritten section, Roper and several other candidates experienced a problem</w:t>
      </w:r>
    </w:p>
    <w:p w14:paraId="6B719912" w14:textId="77777777" w:rsidR="00EC3DBD" w:rsidRPr="00DD65B2" w:rsidRDefault="00EC3DBD" w:rsidP="00EC3DBD">
      <w:pPr>
        <w:pStyle w:val="NoSpacing"/>
        <w:rPr>
          <w:bCs/>
        </w:rPr>
      </w:pPr>
      <w:r w:rsidRPr="00DD65B2">
        <w:t>with the testing software, which upset the formatting of their answers. According to Roper, this</w:t>
      </w:r>
    </w:p>
    <w:p w14:paraId="000A2E92" w14:textId="77777777" w:rsidR="00EC3DBD" w:rsidRPr="00DD65B2" w:rsidRDefault="00EC3DBD" w:rsidP="00EC3DBD">
      <w:pPr>
        <w:pStyle w:val="NoSpacing"/>
        <w:rPr>
          <w:bCs/>
        </w:rPr>
      </w:pPr>
      <w:r w:rsidRPr="00DD65B2">
        <w:t>problem cost him time during the test and was “very damaging” to his performance.</w:t>
      </w:r>
    </w:p>
    <w:p w14:paraId="21A9413A" w14:textId="77777777" w:rsidR="00EC3DBD" w:rsidRPr="00DD65B2" w:rsidRDefault="00EC3DBD" w:rsidP="00EC3DBD">
      <w:pPr>
        <w:pStyle w:val="NoSpacing"/>
        <w:rPr>
          <w:bCs/>
        </w:rPr>
      </w:pPr>
      <w:r w:rsidRPr="00DD65B2">
        <w:t>Roper reported the problem to one of the Department’s human-resources employees, who</w:t>
      </w:r>
    </w:p>
    <w:p w14:paraId="75380BA9" w14:textId="77777777" w:rsidR="00EC3DBD" w:rsidRDefault="00EC3DBD" w:rsidP="00EC3DBD">
      <w:pPr>
        <w:pStyle w:val="NoSpacing"/>
        <w:rPr>
          <w:bCs/>
        </w:rPr>
      </w:pPr>
      <w:r w:rsidRPr="00DD65B2">
        <w:t xml:space="preserve">relayed Roper’s complaint to the company that had created the test. </w:t>
      </w:r>
    </w:p>
    <w:p w14:paraId="022445B7" w14:textId="77777777" w:rsidR="00EC3DBD" w:rsidRDefault="00EC3DBD" w:rsidP="00EC3DBD">
      <w:pPr>
        <w:pStyle w:val="NoSpacing"/>
        <w:rPr>
          <w:bCs/>
        </w:rPr>
      </w:pPr>
    </w:p>
    <w:p w14:paraId="44931F93" w14:textId="77777777" w:rsidR="00EC3DBD" w:rsidRDefault="00EC3DBD" w:rsidP="00EC3DBD">
      <w:pPr>
        <w:pStyle w:val="NoSpacing"/>
        <w:rPr>
          <w:bCs/>
        </w:rPr>
      </w:pPr>
      <w:r w:rsidRPr="00DD65B2">
        <w:t>The company investigated</w:t>
      </w:r>
      <w:r>
        <w:t xml:space="preserve"> </w:t>
      </w:r>
      <w:r w:rsidRPr="00DD65B2">
        <w:t>and said the problem had been the result of user error. The company scored the test, however,</w:t>
      </w:r>
      <w:r>
        <w:t xml:space="preserve"> </w:t>
      </w:r>
      <w:r w:rsidRPr="00DD65B2">
        <w:t>without regard to any formatting errors. The Department then promoted candidates (or not) based</w:t>
      </w:r>
      <w:r>
        <w:t xml:space="preserve"> </w:t>
      </w:r>
      <w:r w:rsidRPr="00854040">
        <w:t>solely on their test scores. Roper’s score placed him 16th among the candidates eligible for 11</w:t>
      </w:r>
      <w:r>
        <w:t xml:space="preserve"> </w:t>
      </w:r>
      <w:r w:rsidRPr="00854040">
        <w:t xml:space="preserve">vacant positions, so the Department did not promote him to district </w:t>
      </w:r>
      <w:proofErr w:type="gramStart"/>
      <w:r w:rsidRPr="00854040">
        <w:t>chief.</w:t>
      </w:r>
      <w:r>
        <w:t>”</w:t>
      </w:r>
      <w:proofErr w:type="gramEnd"/>
    </w:p>
    <w:p w14:paraId="5B2F16AE" w14:textId="77777777" w:rsidR="00EC3DBD" w:rsidRDefault="00EC3DBD" w:rsidP="00EC3DBD">
      <w:pPr>
        <w:pStyle w:val="NoSpacing"/>
        <w:rPr>
          <w:bCs/>
        </w:rPr>
      </w:pPr>
    </w:p>
    <w:p w14:paraId="3885FE9B" w14:textId="77777777" w:rsidR="00EC3DBD" w:rsidRDefault="00EC3DBD" w:rsidP="00EC3DBD">
      <w:pPr>
        <w:pStyle w:val="NoSpacing"/>
        <w:rPr>
          <w:b/>
        </w:rPr>
      </w:pPr>
      <w:r w:rsidRPr="00854040">
        <w:rPr>
          <w:b/>
        </w:rPr>
        <w:t>COURT HELD:</w:t>
      </w:r>
    </w:p>
    <w:p w14:paraId="078561A5" w14:textId="77777777" w:rsidR="00EC3DBD" w:rsidRDefault="00EC3DBD" w:rsidP="00EC3DBD">
      <w:pPr>
        <w:pStyle w:val="NoSpacing"/>
        <w:rPr>
          <w:b/>
        </w:rPr>
      </w:pPr>
    </w:p>
    <w:p w14:paraId="22FFA88C" w14:textId="77777777" w:rsidR="00EC3DBD" w:rsidRPr="007C2488" w:rsidRDefault="00EC3DBD" w:rsidP="00EC3DBD">
      <w:pPr>
        <w:pStyle w:val="NoSpacing"/>
      </w:pPr>
      <w:r>
        <w:t>“</w:t>
      </w:r>
      <w:r w:rsidRPr="007C2488">
        <w:t>Roper responds that his claim (in part) is that the test itself was defective, and so its results</w:t>
      </w:r>
    </w:p>
    <w:p w14:paraId="44F1BFC7" w14:textId="77777777" w:rsidR="00EC3DBD" w:rsidRPr="007C2488" w:rsidRDefault="00EC3DBD" w:rsidP="00EC3DBD">
      <w:pPr>
        <w:pStyle w:val="NoSpacing"/>
      </w:pPr>
      <w:r w:rsidRPr="007C2488">
        <w:t>should not render him dissimilar to the promoted candidates. But Title VII provides a remedy for</w:t>
      </w:r>
    </w:p>
    <w:p w14:paraId="0957029F" w14:textId="77777777" w:rsidR="00EC3DBD" w:rsidRPr="007C2488" w:rsidRDefault="00EC3DBD" w:rsidP="00EC3DBD">
      <w:pPr>
        <w:pStyle w:val="NoSpacing"/>
      </w:pPr>
      <w:r w:rsidRPr="007C2488">
        <w:t>racial discrimination, not for defective tests. Here, the test results were undisputedly the sole</w:t>
      </w:r>
    </w:p>
    <w:p w14:paraId="6A0C529E" w14:textId="77777777" w:rsidR="00EC3DBD" w:rsidRPr="007C2488" w:rsidRDefault="00EC3DBD" w:rsidP="00EC3DBD">
      <w:pPr>
        <w:pStyle w:val="NoSpacing"/>
      </w:pPr>
      <w:r w:rsidRPr="007C2488">
        <w:t>criterion on which candidates were promoted; and the Department’s application of that criterion</w:t>
      </w:r>
    </w:p>
    <w:p w14:paraId="75CA74D3" w14:textId="77777777" w:rsidR="00EC3DBD" w:rsidRDefault="00EC3DBD" w:rsidP="00EC3DBD">
      <w:pPr>
        <w:pStyle w:val="NoSpacing"/>
      </w:pPr>
      <w:r w:rsidRPr="007C2488">
        <w:t>was undisputedly race neutral. To make out a prima facie case of discrimination, therefore, Rope</w:t>
      </w:r>
      <w:r>
        <w:t>r</w:t>
      </w:r>
      <w:r w:rsidRPr="001079BC">
        <w:t xml:space="preserve"> </w:t>
      </w:r>
      <w:r>
        <w:t>must present evidence that the formatting problem (which he says impaired his test performance)</w:t>
      </w:r>
    </w:p>
    <w:p w14:paraId="72F0C566" w14:textId="77777777" w:rsidR="00EC3DBD" w:rsidRDefault="00EC3DBD" w:rsidP="00EC3DBD">
      <w:pPr>
        <w:pStyle w:val="NoSpacing"/>
      </w:pPr>
      <w:r>
        <w:t>was itself the result of racial discrimination. And Roper has developed no argument to that effect</w:t>
      </w:r>
    </w:p>
    <w:p w14:paraId="19D1D8E9" w14:textId="77777777" w:rsidR="00EC3DBD" w:rsidRDefault="00EC3DBD" w:rsidP="00EC3DBD">
      <w:pPr>
        <w:pStyle w:val="NoSpacing"/>
      </w:pPr>
      <w:r>
        <w:t>in the district court or this court. The district court was therefore correct to grant summary</w:t>
      </w:r>
    </w:p>
    <w:p w14:paraId="227B2A0E" w14:textId="77777777" w:rsidR="00EC3DBD" w:rsidRPr="007C2488" w:rsidRDefault="00EC3DBD" w:rsidP="00EC3DBD">
      <w:pPr>
        <w:pStyle w:val="NoSpacing"/>
      </w:pPr>
      <w:r>
        <w:lastRenderedPageBreak/>
        <w:t>judgment to the Department.”</w:t>
      </w:r>
    </w:p>
    <w:p w14:paraId="6A091288" w14:textId="77777777" w:rsidR="00EC3DBD" w:rsidRDefault="00EC3DBD" w:rsidP="00EC3DBD">
      <w:pPr>
        <w:rPr>
          <w:b/>
        </w:rPr>
      </w:pPr>
    </w:p>
    <w:p w14:paraId="7918D520" w14:textId="77777777" w:rsidR="00EC3DBD" w:rsidRDefault="00EC3DBD" w:rsidP="00EC3DBD">
      <w:pPr>
        <w:rPr>
          <w:b/>
        </w:rPr>
      </w:pPr>
      <w:r>
        <w:rPr>
          <w:b/>
        </w:rPr>
        <w:t xml:space="preserve">Legal lesson learned: Computer software issues can be very frustrating – particularly in a promotion exam – but no evidence of racial discrimination. </w:t>
      </w:r>
    </w:p>
    <w:p w14:paraId="48B53824" w14:textId="77777777" w:rsidR="00EC3DBD" w:rsidRDefault="00EC3DBD" w:rsidP="00EC3DBD">
      <w:pPr>
        <w:pStyle w:val="NoSpacing"/>
        <w:rPr>
          <w:b/>
        </w:rPr>
      </w:pPr>
    </w:p>
    <w:p w14:paraId="6B379F4F" w14:textId="77777777" w:rsidR="00EC3DBD" w:rsidRDefault="00EC3DBD" w:rsidP="00EC3DBD">
      <w:pPr>
        <w:pStyle w:val="NoSpacing"/>
        <w:rPr>
          <w:sz w:val="20"/>
          <w:szCs w:val="20"/>
        </w:rPr>
      </w:pPr>
    </w:p>
    <w:p w14:paraId="4FE7788F" w14:textId="77777777" w:rsidR="00EC3DBD" w:rsidRDefault="00EC3DBD" w:rsidP="00EC3DBD">
      <w:pPr>
        <w:pStyle w:val="NoSpacing"/>
        <w:rPr>
          <w:rFonts w:ascii="Arial Black" w:hAnsi="Arial Black"/>
          <w:sz w:val="28"/>
          <w:szCs w:val="28"/>
        </w:rPr>
      </w:pPr>
      <w:r w:rsidRPr="00F922D6">
        <w:rPr>
          <w:sz w:val="20"/>
          <w:szCs w:val="20"/>
        </w:rPr>
        <w:t>Chap. 8 – Race / National Origin Discrimination</w:t>
      </w:r>
    </w:p>
    <w:p w14:paraId="7E08DE49" w14:textId="77777777" w:rsidR="00EC3DBD" w:rsidRDefault="00EC3DBD" w:rsidP="00EC3DBD">
      <w:pPr>
        <w:pStyle w:val="NoSpacing"/>
        <w:rPr>
          <w:rFonts w:ascii="Arial Black" w:hAnsi="Arial Black"/>
          <w:sz w:val="28"/>
          <w:szCs w:val="28"/>
        </w:rPr>
      </w:pPr>
    </w:p>
    <w:p w14:paraId="35449CA4" w14:textId="77777777" w:rsidR="00EC3DBD" w:rsidRPr="00ED155B" w:rsidRDefault="00EC3DBD" w:rsidP="00EC3DBD">
      <w:pPr>
        <w:pStyle w:val="NoSpacing"/>
        <w:rPr>
          <w:rFonts w:ascii="Arial Black" w:hAnsi="Arial Black"/>
          <w:sz w:val="28"/>
          <w:szCs w:val="28"/>
        </w:rPr>
      </w:pPr>
      <w:r>
        <w:rPr>
          <w:rFonts w:ascii="Arial Black" w:hAnsi="Arial Black"/>
          <w:sz w:val="28"/>
          <w:szCs w:val="28"/>
        </w:rPr>
        <w:t>ID: HISPANIC / CATHOLIC - ASSESSMENT CTR WAS FAIR</w:t>
      </w:r>
    </w:p>
    <w:p w14:paraId="243A1ED0" w14:textId="77777777" w:rsidR="00EC3DBD" w:rsidRDefault="00EC3DBD" w:rsidP="00EC3DBD">
      <w:pPr>
        <w:pStyle w:val="NoSpacing"/>
      </w:pPr>
    </w:p>
    <w:p w14:paraId="64BCE63B" w14:textId="77777777" w:rsidR="00EC3DBD" w:rsidRDefault="00EC3DBD" w:rsidP="00EC3DBD">
      <w:r>
        <w:t xml:space="preserve">On June 3, 2026, in </w:t>
      </w:r>
      <w:r w:rsidRPr="00B37A0F">
        <w:rPr>
          <w:u w:val="single"/>
        </w:rPr>
        <w:t>Henry Munoz v. City of Burley</w:t>
      </w:r>
      <w:r>
        <w:t xml:space="preserve">, U.S. District Court Judge </w:t>
      </w:r>
      <w:r w:rsidRPr="00E66C66">
        <w:t>Amanda K. Brailsford,</w:t>
      </w:r>
      <w:r>
        <w:t xml:space="preserve"> </w:t>
      </w:r>
      <w:r w:rsidRPr="00F5578E">
        <w:t>United States District Court for District of Idaho</w:t>
      </w:r>
      <w:r>
        <w:t xml:space="preserve">, granted the city’s motion for summary judgment; lack of proof of discrimination against Hispanics or Catholics (many officers are members of </w:t>
      </w:r>
      <w:r w:rsidRPr="006C0980">
        <w:t>Church of Jesus Christ of Latter-day Saints</w:t>
      </w:r>
      <w:r>
        <w:t xml:space="preserve">).  The </w:t>
      </w:r>
      <w:proofErr w:type="gramStart"/>
      <w:r>
        <w:t>City</w:t>
      </w:r>
      <w:proofErr w:type="gramEnd"/>
      <w:r>
        <w:t xml:space="preserve"> held an assessment center, including outside graders, and promoted the lieutenant with highest score (</w:t>
      </w:r>
      <w:r w:rsidRPr="008E3238">
        <w:t>957 out of 1,200</w:t>
      </w:r>
      <w:r>
        <w:t>; compared to plaintiff’s 760). The Court wrote: “</w:t>
      </w:r>
      <w:r w:rsidRPr="00527BF6">
        <w:t>Defendant has articulated a legitimate, nondiscriminatory reason for promoting Boden instead of Plaintiff: they selected Boden because he received the highest total score in the assessment center</w:t>
      </w:r>
      <w:r>
        <w:t xml:space="preserve">.” </w:t>
      </w:r>
      <w:hyperlink r:id="rId1507" w:history="1">
        <w:r w:rsidRPr="003E6F82">
          <w:rPr>
            <w:rStyle w:val="Hyperlink"/>
          </w:rPr>
          <w:t>https://www.govinfo.gov/content/pkg/USCOURTS-idd-4_24-cv-00303/pdf/USCOURTS-idd-4_24-cv-00303-0.pdf</w:t>
        </w:r>
      </w:hyperlink>
      <w:r>
        <w:t xml:space="preserve"> </w:t>
      </w:r>
    </w:p>
    <w:p w14:paraId="3DD94904" w14:textId="77777777" w:rsidR="00EC3DBD" w:rsidRDefault="00EC3DBD" w:rsidP="00EC3DBD">
      <w:pPr>
        <w:rPr>
          <w:b/>
        </w:rPr>
      </w:pPr>
      <w:r>
        <w:rPr>
          <w:b/>
        </w:rPr>
        <w:t>FACTS:</w:t>
      </w:r>
    </w:p>
    <w:p w14:paraId="53D2E14A" w14:textId="77777777" w:rsidR="00EC3DBD" w:rsidRDefault="00EC3DBD" w:rsidP="00EC3DBD">
      <w:pPr>
        <w:pStyle w:val="NoSpacing"/>
      </w:pPr>
      <w:r>
        <w:t>“</w:t>
      </w:r>
      <w:r w:rsidRPr="009C1094">
        <w:t> Plaintiff is Hispanic and Catholic</w:t>
      </w:r>
      <w:r>
        <w:t xml:space="preserve"> …. </w:t>
      </w:r>
      <w:r w:rsidRPr="009C1094">
        <w:t>He began working for the BFD as a volunteer firefighter in March 2001, became a full-time firefighter in November 2003, and was promoted to Lieutenant in 2013</w:t>
      </w:r>
      <w:r>
        <w:t xml:space="preserve"> …. </w:t>
      </w:r>
      <w:r w:rsidRPr="009C1094">
        <w:t xml:space="preserve">Plaintiff remained a Lieutenant when he applied for the </w:t>
      </w:r>
      <w:proofErr w:type="gramStart"/>
      <w:r w:rsidRPr="009C1094">
        <w:t>Captain</w:t>
      </w:r>
      <w:proofErr w:type="gramEnd"/>
      <w:r w:rsidRPr="009C1094">
        <w:t xml:space="preserve"> position at issue in this case</w:t>
      </w:r>
      <w:r>
        <w:t xml:space="preserve"> ….</w:t>
      </w:r>
      <w:r w:rsidRPr="009C1094">
        <w:t>Plaintiff declares that he has served BFD for more than twenty-four years and has never been disciplined for misconduct</w:t>
      </w:r>
      <w:r>
        <w:t xml:space="preserve">. </w:t>
      </w:r>
    </w:p>
    <w:p w14:paraId="5C19AE9F" w14:textId="77777777" w:rsidR="00EC3DBD" w:rsidRDefault="00EC3DBD" w:rsidP="00EC3DBD">
      <w:pPr>
        <w:pStyle w:val="NoSpacing"/>
      </w:pPr>
    </w:p>
    <w:p w14:paraId="604CE253" w14:textId="77777777" w:rsidR="00EC3DBD" w:rsidRDefault="00EC3DBD" w:rsidP="00EC3DBD">
      <w:pPr>
        <w:pStyle w:val="NoSpacing"/>
      </w:pPr>
      <w:r>
        <w:t>***</w:t>
      </w:r>
    </w:p>
    <w:p w14:paraId="00937ED2" w14:textId="77777777" w:rsidR="00EC3DBD" w:rsidRDefault="00EC3DBD" w:rsidP="00EC3DBD">
      <w:pPr>
        <w:pStyle w:val="NoSpacing"/>
      </w:pPr>
    </w:p>
    <w:p w14:paraId="3574EAA6" w14:textId="77777777" w:rsidR="00EC3DBD" w:rsidRDefault="00EC3DBD" w:rsidP="00EC3DBD">
      <w:pPr>
        <w:pStyle w:val="NoSpacing"/>
      </w:pPr>
      <w:r w:rsidRPr="00925E40">
        <w:t xml:space="preserve">BFD used an </w:t>
      </w:r>
      <w:r>
        <w:t>‘</w:t>
      </w:r>
      <w:r w:rsidRPr="00925E40">
        <w:t>assessment center</w:t>
      </w:r>
      <w:r>
        <w:t>’</w:t>
      </w:r>
      <w:r w:rsidRPr="00925E40">
        <w:t xml:space="preserve"> to evaluate the three candidates. The assessment center used five evaluators: Chief Shannon Tolman; Deputy Chief Harman; Human Resources (HR) Director, Carol Anderson; Cassia Regional Hospital ambulance department manager, Keisha Hendrickson; and College of Southern Idaho Lead Fire Science Instructor, Brad Buehler </w:t>
      </w:r>
      <w:r>
        <w:t>….</w:t>
      </w:r>
      <w:r w:rsidRPr="00925E40">
        <w:t xml:space="preserve"> Deputy Chief Harman selected the internal evaluators and Buehler and Hendrickson as outside evaluators</w:t>
      </w:r>
      <w:r>
        <w:t xml:space="preserve"> ….</w:t>
      </w:r>
      <w:r w:rsidRPr="00925E40">
        <w:t>Of those evaluators, Plaintiffs identifies only Chief Tolman as having LDS involvement</w:t>
      </w:r>
      <w:r>
        <w:t>. [</w:t>
      </w:r>
      <w:r w:rsidRPr="006C0980">
        <w:t>LDS</w:t>
      </w:r>
      <w:r>
        <w:t xml:space="preserve"> - </w:t>
      </w:r>
      <w:r w:rsidRPr="006C0980">
        <w:t>shorthand reference for the Church of Jesus Christ of Latter-day Saints</w:t>
      </w:r>
      <w:r>
        <w:t>]</w:t>
      </w:r>
      <w:r w:rsidRPr="006C0980">
        <w:t>.</w:t>
      </w:r>
    </w:p>
    <w:p w14:paraId="615AAA29" w14:textId="77777777" w:rsidR="00EC3DBD" w:rsidRDefault="00EC3DBD" w:rsidP="00EC3DBD">
      <w:pPr>
        <w:pStyle w:val="NoSpacing"/>
      </w:pPr>
    </w:p>
    <w:p w14:paraId="6E3ED39D" w14:textId="77777777" w:rsidR="00EC3DBD" w:rsidRDefault="00EC3DBD" w:rsidP="00EC3DBD">
      <w:pPr>
        <w:pStyle w:val="NoSpacing"/>
      </w:pPr>
      <w:r w:rsidRPr="004E7397">
        <w:t>The assessment center has three components: an incident-scenario exercise, an oral</w:t>
      </w:r>
      <w:r>
        <w:t xml:space="preserve"> </w:t>
      </w:r>
      <w:r w:rsidRPr="004E7397">
        <w:t>presentation exercise, and an oral interview</w:t>
      </w:r>
      <w:r>
        <w:t xml:space="preserve"> …. </w:t>
      </w:r>
      <w:r w:rsidRPr="004E7397">
        <w:t>Each component's individual score sheets included job-related scoring dimensions such as scene size-up, leadership/organization, communication, problem analysis and decision-making, time management, strategy and tactics, command presence/ICS, safety, presentation-related criteria, accountability, and interview performance</w:t>
      </w:r>
      <w:r>
        <w:t xml:space="preserve"> ….</w:t>
      </w:r>
      <w:r w:rsidRPr="004E7397">
        <w:t xml:space="preserve">The score sheets used an </w:t>
      </w:r>
      <w:r>
        <w:t xml:space="preserve"> </w:t>
      </w:r>
      <w:r w:rsidRPr="004E7397">
        <w:t xml:space="preserve">unevenly-banded numerical scale: 1 through 4 meant </w:t>
      </w:r>
      <w:r>
        <w:t>‘</w:t>
      </w:r>
      <w:r w:rsidRPr="004E7397">
        <w:t>Not Qualified,</w:t>
      </w:r>
      <w:r>
        <w:t>’</w:t>
      </w:r>
      <w:r w:rsidRPr="004E7397">
        <w:t xml:space="preserve"> 5 meant </w:t>
      </w:r>
      <w:r>
        <w:t>‘</w:t>
      </w:r>
      <w:r w:rsidRPr="004E7397">
        <w:t>Minimally Qualified,</w:t>
      </w:r>
      <w:r>
        <w:t>’</w:t>
      </w:r>
      <w:r w:rsidRPr="004E7397">
        <w:t xml:space="preserve"> 6 meant </w:t>
      </w:r>
      <w:r>
        <w:t>‘</w:t>
      </w:r>
      <w:r w:rsidRPr="004E7397">
        <w:t>Qualified,</w:t>
      </w:r>
      <w:r>
        <w:t>’</w:t>
      </w:r>
      <w:r w:rsidRPr="004E7397">
        <w:t xml:space="preserve"> and 7 through 10 meant </w:t>
      </w:r>
      <w:r>
        <w:t>‘</w:t>
      </w:r>
      <w:r w:rsidRPr="004E7397">
        <w:t>Especially Qualified</w:t>
      </w:r>
      <w:r>
        <w:t xml:space="preserve">’ …. </w:t>
      </w:r>
      <w:r w:rsidRPr="004E7397">
        <w:t xml:space="preserve"> Hypothetically applied, a </w:t>
      </w:r>
      <w:r>
        <w:t>‘</w:t>
      </w:r>
      <w:r w:rsidRPr="004E7397">
        <w:t>4</w:t>
      </w:r>
      <w:r>
        <w:t>’</w:t>
      </w:r>
      <w:r w:rsidRPr="004E7397">
        <w:t xml:space="preserve"> means the evaluator found the applicant not qualified in that dimension of that component, whereas a </w:t>
      </w:r>
      <w:r>
        <w:t>‘</w:t>
      </w:r>
      <w:r w:rsidRPr="004E7397">
        <w:t>7</w:t>
      </w:r>
      <w:r>
        <w:t>’</w:t>
      </w:r>
      <w:r w:rsidRPr="004E7397">
        <w:t xml:space="preserve"> means the applicant was especially qualified. The scoring draws no distinction between a 1 and a 4 (both </w:t>
      </w:r>
      <w:r>
        <w:t>‘</w:t>
      </w:r>
      <w:r w:rsidRPr="004E7397">
        <w:t>not qualified</w:t>
      </w:r>
      <w:r>
        <w:t>’</w:t>
      </w:r>
      <w:r w:rsidRPr="004E7397">
        <w:t xml:space="preserve">) or a 7 and a 10 (both </w:t>
      </w:r>
      <w:r>
        <w:t>‘</w:t>
      </w:r>
      <w:r w:rsidRPr="004E7397">
        <w:t>especially qualified</w:t>
      </w:r>
      <w:r>
        <w:t>’</w:t>
      </w:r>
      <w:r w:rsidRPr="004E7397">
        <w:t xml:space="preserve">). </w:t>
      </w:r>
    </w:p>
    <w:p w14:paraId="7B491D60" w14:textId="77777777" w:rsidR="00EC3DBD" w:rsidRDefault="00EC3DBD" w:rsidP="00EC3DBD">
      <w:pPr>
        <w:pStyle w:val="NoSpacing"/>
      </w:pPr>
    </w:p>
    <w:p w14:paraId="3EF8E915" w14:textId="77777777" w:rsidR="00EC3DBD" w:rsidRDefault="00EC3DBD" w:rsidP="00EC3DBD">
      <w:pPr>
        <w:pStyle w:val="NoSpacing"/>
      </w:pPr>
      <w:r>
        <w:t>***</w:t>
      </w:r>
    </w:p>
    <w:p w14:paraId="6E12922F" w14:textId="77777777" w:rsidR="00EC3DBD" w:rsidRDefault="00EC3DBD" w:rsidP="00EC3DBD">
      <w:pPr>
        <w:pStyle w:val="NoSpacing"/>
      </w:pPr>
      <w:r w:rsidRPr="008E3238">
        <w:t> After the assessment, Chief Tolman and Deputy Chief Harman totaled the evaluators' scores. The completed score sheets reflect that Plaintiff received a total score of 760 out of 1,200, while Boden received the highest total score, 957 out of 1,200</w:t>
      </w:r>
      <w:r>
        <w:t xml:space="preserve">…. </w:t>
      </w:r>
      <w:r w:rsidRPr="008E3238">
        <w:t xml:space="preserve"> According to Defendant, the promotion was offered to the candidate who received the highest score, and Deputy Chief Harman testified that </w:t>
      </w:r>
      <w:r>
        <w:t>‘</w:t>
      </w:r>
      <w:r w:rsidRPr="008E3238">
        <w:t>the past processes since ‘21 have all gone based off of the score</w:t>
      </w:r>
      <w:r>
        <w:t xml:space="preserve">’ …. </w:t>
      </w:r>
    </w:p>
    <w:p w14:paraId="597F00D2" w14:textId="77777777" w:rsidR="00EC3DBD" w:rsidRDefault="00EC3DBD" w:rsidP="00EC3DBD">
      <w:pPr>
        <w:pStyle w:val="NoSpacing"/>
      </w:pPr>
    </w:p>
    <w:p w14:paraId="784F59EB" w14:textId="77777777" w:rsidR="00EC3DBD" w:rsidRDefault="00EC3DBD" w:rsidP="00EC3DBD">
      <w:pPr>
        <w:pStyle w:val="NoSpacing"/>
        <w:rPr>
          <w:b/>
          <w:bCs/>
        </w:rPr>
      </w:pPr>
      <w:r w:rsidRPr="005C0BF8">
        <w:rPr>
          <w:b/>
        </w:rPr>
        <w:lastRenderedPageBreak/>
        <w:t xml:space="preserve">COURT HELD: </w:t>
      </w:r>
    </w:p>
    <w:p w14:paraId="17398037" w14:textId="77777777" w:rsidR="00EC3DBD" w:rsidRDefault="00EC3DBD" w:rsidP="00EC3DBD">
      <w:pPr>
        <w:pStyle w:val="NoSpacing"/>
        <w:rPr>
          <w:b/>
          <w:bCs/>
        </w:rPr>
      </w:pPr>
    </w:p>
    <w:p w14:paraId="13F86A91" w14:textId="77777777" w:rsidR="00EC3DBD" w:rsidRDefault="00EC3DBD" w:rsidP="00EC3DBD">
      <w:pPr>
        <w:pStyle w:val="NoSpacing"/>
      </w:pPr>
      <w:r>
        <w:t>“</w:t>
      </w:r>
      <w:r w:rsidRPr="004177CA">
        <w:t>Plaintiff testified that religion did not come up during the interview or testing process; no panelist raised religion during the process; Chief Tolman and Deputy Chief Harman never talked with him about his religion; he never raised religion with them; and he did not know whether Chief Tolman or Deputy Chief Harman knew his religion</w:t>
      </w:r>
      <w:r>
        <w:t xml:space="preserve"> …. </w:t>
      </w:r>
      <w:r w:rsidRPr="004177CA">
        <w:t xml:space="preserve"> Buehler testified that he was not aware of any applicant's religious affiliation or whether one applicant was affiliated religiously differently from the others, and that the scores he gave Plaintiff were not motivated by Plaintiff's religion or national origin</w:t>
      </w:r>
      <w:r>
        <w:t xml:space="preserve"> ….</w:t>
      </w:r>
      <w:r w:rsidRPr="004177CA">
        <w:t xml:space="preserve"> Hendrickson likewise testified she was not aware of the religion of any applicant and that the scores she gave Plaintiff were not motivated by Plaintiff's religion or national origin</w:t>
      </w:r>
      <w:r>
        <w:t xml:space="preserve"> ….</w:t>
      </w:r>
    </w:p>
    <w:p w14:paraId="3C1CF313" w14:textId="77777777" w:rsidR="00EC3DBD" w:rsidRDefault="00EC3DBD" w:rsidP="00EC3DBD">
      <w:pPr>
        <w:pStyle w:val="NoSpacing"/>
      </w:pPr>
    </w:p>
    <w:p w14:paraId="3DA5F4CC" w14:textId="77777777" w:rsidR="00EC3DBD" w:rsidRDefault="00EC3DBD" w:rsidP="00EC3DBD">
      <w:pPr>
        <w:pStyle w:val="NoSpacing"/>
      </w:pPr>
      <w:r>
        <w:t>***</w:t>
      </w:r>
    </w:p>
    <w:p w14:paraId="22AD083C" w14:textId="77777777" w:rsidR="00EC3DBD" w:rsidRPr="004177CA" w:rsidRDefault="00EC3DBD" w:rsidP="00EC3DBD">
      <w:pPr>
        <w:pStyle w:val="NoSpacing"/>
      </w:pPr>
    </w:p>
    <w:p w14:paraId="63219C45" w14:textId="77777777" w:rsidR="00EC3DBD" w:rsidRDefault="00EC3DBD" w:rsidP="00EC3DBD">
      <w:pPr>
        <w:pStyle w:val="NoSpacing"/>
      </w:pPr>
      <w:r w:rsidRPr="005D6029">
        <w:t>For these reasons, the scoring evidence does not create a triable issue of discriminatory pretext. Even if a reasonable jury could find that subjective judgment, evaluator harshness, or favoritism influenced the process, Plaintiff has not identified evidence permitting a reasonable jury to find that race, religion, Catholic status, or non-LDS status was one of the motivating factors. On this record, Plaintiff has not identified sufficient admissible evidence from which a reasonable jury could infer Defendant's stated explanation is false or motivated by a discriminatory purpose.</w:t>
      </w:r>
    </w:p>
    <w:p w14:paraId="1B74DEEE" w14:textId="77777777" w:rsidR="00EC3DBD" w:rsidRDefault="00EC3DBD" w:rsidP="00EC3DBD">
      <w:pPr>
        <w:pStyle w:val="NoSpacing"/>
      </w:pPr>
    </w:p>
    <w:p w14:paraId="6D991E75" w14:textId="77777777" w:rsidR="00EC3DBD" w:rsidRDefault="00EC3DBD" w:rsidP="00EC3DBD">
      <w:pPr>
        <w:pStyle w:val="NoSpacing"/>
      </w:pPr>
      <w:r>
        <w:t>***</w:t>
      </w:r>
    </w:p>
    <w:p w14:paraId="26327214" w14:textId="77777777" w:rsidR="00EC3DBD" w:rsidRDefault="00EC3DBD" w:rsidP="00EC3DBD">
      <w:pPr>
        <w:pStyle w:val="NoSpacing"/>
      </w:pPr>
      <w:r w:rsidRPr="00391FBA">
        <w:t>Considered cumulatively, Plaintiff's evidence shows a discretionary process, a small leadership pool with limited Hispanic and non-LDS representation, sharp evaluator disparities, and Plaintiff's perception that Hispanic firefighters received less recognition. That evidence is sufficient to require careful review, but it remains insufficient to permit a reasonable jury to find that Defendant's score-based explanation was false or that the June 2022 decision was motivated by race or religion.</w:t>
      </w:r>
    </w:p>
    <w:p w14:paraId="784F419A" w14:textId="77777777" w:rsidR="00EC3DBD" w:rsidRDefault="00EC3DBD" w:rsidP="00EC3DBD">
      <w:pPr>
        <w:pStyle w:val="NoSpacing"/>
      </w:pPr>
    </w:p>
    <w:p w14:paraId="1394B712" w14:textId="77777777" w:rsidR="00EC3DBD" w:rsidRPr="00AF0956" w:rsidRDefault="00EC3DBD" w:rsidP="00EC3DBD">
      <w:pPr>
        <w:pStyle w:val="NoSpacing"/>
        <w:rPr>
          <w:b/>
          <w:bCs/>
        </w:rPr>
      </w:pPr>
      <w:r>
        <w:rPr>
          <w:b/>
        </w:rPr>
        <w:t xml:space="preserve">Legal lesson learned: Assessment Centers are an excellent tool in the promotion process. </w:t>
      </w:r>
    </w:p>
    <w:p w14:paraId="4B3FE669" w14:textId="77777777" w:rsidR="00EC3DBD" w:rsidRDefault="00EC3DBD" w:rsidP="00EC3DBD">
      <w:pPr>
        <w:pStyle w:val="NoSpacing"/>
      </w:pPr>
    </w:p>
    <w:p w14:paraId="6D771ED0" w14:textId="77777777" w:rsidR="00EC3DBD" w:rsidRDefault="00EC3DBD" w:rsidP="00EC3DBD">
      <w:pPr>
        <w:pStyle w:val="NoSpacing"/>
        <w:rPr>
          <w:sz w:val="20"/>
          <w:szCs w:val="20"/>
        </w:rPr>
      </w:pPr>
    </w:p>
    <w:p w14:paraId="0DE5F525" w14:textId="77777777" w:rsidR="00EC3DBD" w:rsidRDefault="00EC3DBD" w:rsidP="00EC3DBD">
      <w:pPr>
        <w:pStyle w:val="NoSpacing"/>
        <w:rPr>
          <w:sz w:val="20"/>
          <w:szCs w:val="20"/>
        </w:rPr>
      </w:pPr>
    </w:p>
    <w:p w14:paraId="49FA4F5A" w14:textId="77777777" w:rsidR="00EC3DBD" w:rsidRDefault="00EC3DBD" w:rsidP="00EC3DBD">
      <w:pPr>
        <w:rPr>
          <w:b/>
          <w:bCs/>
        </w:rPr>
      </w:pPr>
      <w:r w:rsidRPr="00F922D6">
        <w:rPr>
          <w:sz w:val="20"/>
          <w:szCs w:val="20"/>
        </w:rPr>
        <w:t>Chap. 8 – Race / National Origin Discrimination</w:t>
      </w:r>
    </w:p>
    <w:p w14:paraId="22C31167" w14:textId="77777777" w:rsidR="00EC3DBD" w:rsidRPr="00AB57EE" w:rsidRDefault="00EC3DBD" w:rsidP="00EC3DBD">
      <w:pPr>
        <w:rPr>
          <w:rFonts w:ascii="Arial Black" w:hAnsi="Arial Black"/>
          <w:b/>
          <w:bCs/>
          <w:sz w:val="28"/>
          <w:szCs w:val="28"/>
        </w:rPr>
      </w:pPr>
      <w:r>
        <w:rPr>
          <w:rFonts w:ascii="Arial Black" w:hAnsi="Arial Black"/>
          <w:b/>
          <w:sz w:val="28"/>
          <w:szCs w:val="28"/>
        </w:rPr>
        <w:t xml:space="preserve">IL: BLACK – FIRED – DROP STATE CASE / CAN PROCEED FED  </w:t>
      </w:r>
    </w:p>
    <w:p w14:paraId="307F70DD" w14:textId="77777777" w:rsidR="00EC3DBD" w:rsidRDefault="00EC3DBD" w:rsidP="00EC3DBD">
      <w:pPr>
        <w:rPr>
          <w:b/>
          <w:bCs/>
        </w:rPr>
      </w:pPr>
      <w:r>
        <w:t xml:space="preserve">On June 8, 2026, in </w:t>
      </w:r>
      <w:proofErr w:type="spellStart"/>
      <w:r w:rsidRPr="00D53D61">
        <w:rPr>
          <w:u w:val="single"/>
        </w:rPr>
        <w:t>Vairrun</w:t>
      </w:r>
      <w:proofErr w:type="spellEnd"/>
      <w:r w:rsidRPr="00D53D61">
        <w:rPr>
          <w:u w:val="single"/>
        </w:rPr>
        <w:t xml:space="preserve"> Strickland v</w:t>
      </w:r>
      <w:r>
        <w:rPr>
          <w:u w:val="single"/>
        </w:rPr>
        <w:t>.</w:t>
      </w:r>
      <w:r w:rsidRPr="00D53D61">
        <w:rPr>
          <w:u w:val="single"/>
        </w:rPr>
        <w:t xml:space="preserve"> City of Markham, et al</w:t>
      </w:r>
      <w:r>
        <w:t xml:space="preserve">., the United States Court of Appeals for the Seventh District (Chicago) held (3 to 0) that trial court improperly dismissed his federal Title VII case alleging retaliation - </w:t>
      </w:r>
      <w:r w:rsidRPr="00036255">
        <w:t>singling him out for minor disciplinary issues and denying</w:t>
      </w:r>
      <w:r>
        <w:t xml:space="preserve"> </w:t>
      </w:r>
      <w:r w:rsidRPr="00036255">
        <w:t>him a promotion</w:t>
      </w:r>
      <w:r>
        <w:t xml:space="preserve"> when he supported another FF’s EEOC case. Case to continue in federal court even though voluntarily dismissed his lawsuit in state court. The Court wrote: “</w:t>
      </w:r>
      <w:r w:rsidRPr="009B102D">
        <w:t>The district</w:t>
      </w:r>
      <w:r>
        <w:t xml:space="preserve"> </w:t>
      </w:r>
      <w:r w:rsidRPr="009B102D">
        <w:t>court thus erred in dismissing Strickland’s Title VII claims on</w:t>
      </w:r>
      <w:r>
        <w:t xml:space="preserve"> </w:t>
      </w:r>
      <w:r w:rsidRPr="009B102D">
        <w:t>claim preclusion grounds</w:t>
      </w:r>
      <w:r>
        <w:t xml:space="preserve">.” </w:t>
      </w:r>
      <w:hyperlink r:id="rId1508" w:history="1">
        <w:r w:rsidRPr="00014504">
          <w:rPr>
            <w:rStyle w:val="Hyperlink"/>
            <w:b/>
          </w:rPr>
          <w:t>https://cases.justia.com/federal/appellate-courts/ca7/24-3262/24-3262-2026-06-08.pdf?ts=1780948846</w:t>
        </w:r>
      </w:hyperlink>
      <w:r>
        <w:rPr>
          <w:b/>
        </w:rPr>
        <w:t xml:space="preserve"> </w:t>
      </w:r>
    </w:p>
    <w:p w14:paraId="24199CF6" w14:textId="77777777" w:rsidR="00EC3DBD" w:rsidRDefault="00EC3DBD" w:rsidP="00EC3DBD">
      <w:pPr>
        <w:pStyle w:val="NoSpacing"/>
        <w:rPr>
          <w:bCs/>
        </w:rPr>
      </w:pPr>
      <w:r w:rsidRPr="00AB37D4">
        <w:rPr>
          <w:b/>
        </w:rPr>
        <w:t>FACTS:</w:t>
      </w:r>
      <w:r>
        <w:t xml:space="preserve"> </w:t>
      </w:r>
    </w:p>
    <w:p w14:paraId="05A75892" w14:textId="77777777" w:rsidR="00EC3DBD" w:rsidRDefault="00EC3DBD" w:rsidP="00EC3DBD">
      <w:pPr>
        <w:pStyle w:val="NoSpacing"/>
        <w:rPr>
          <w:bCs/>
        </w:rPr>
      </w:pPr>
    </w:p>
    <w:p w14:paraId="7FFD8C49" w14:textId="77777777" w:rsidR="00EC3DBD" w:rsidRPr="00B74B2A" w:rsidRDefault="00EC3DBD" w:rsidP="00EC3DBD">
      <w:pPr>
        <w:pStyle w:val="NoSpacing"/>
        <w:rPr>
          <w:bCs/>
        </w:rPr>
      </w:pPr>
      <w:r>
        <w:t>“</w:t>
      </w:r>
      <w:r w:rsidRPr="00131A6D">
        <w:t>Strickland worked as a firefighter for the City of Markham</w:t>
      </w:r>
      <w:r>
        <w:t xml:space="preserve"> </w:t>
      </w:r>
      <w:r w:rsidRPr="00131A6D">
        <w:t>Fire Department for over a decade. In 2020, the Equal</w:t>
      </w:r>
      <w:r>
        <w:t xml:space="preserve"> </w:t>
      </w:r>
      <w:r w:rsidRPr="00036255">
        <w:t>Employment Opportunity Commission interviewed</w:t>
      </w:r>
      <w:r>
        <w:t xml:space="preserve"> </w:t>
      </w:r>
      <w:r w:rsidRPr="00036255">
        <w:t>Strickland during an investigation into discrimination claims</w:t>
      </w:r>
      <w:r>
        <w:t xml:space="preserve"> </w:t>
      </w:r>
      <w:r w:rsidRPr="00036255">
        <w:t>brought by a former firefighter. In the interview, Strickland</w:t>
      </w:r>
      <w:r>
        <w:t xml:space="preserve"> </w:t>
      </w:r>
      <w:r w:rsidRPr="00036255">
        <w:t>described race-based discrimination he had witnessed against</w:t>
      </w:r>
      <w:r>
        <w:t xml:space="preserve"> </w:t>
      </w:r>
      <w:r w:rsidRPr="00036255">
        <w:t>the former firefighter and how Chief Mazziotta had failed to</w:t>
      </w:r>
      <w:r>
        <w:t xml:space="preserve"> </w:t>
      </w:r>
      <w:r w:rsidRPr="00036255">
        <w:t>address it. Strickland alleged that after the interview, Chief</w:t>
      </w:r>
      <w:r>
        <w:t xml:space="preserve"> </w:t>
      </w:r>
      <w:r w:rsidRPr="00036255">
        <w:t>Mazziotta and the Department retaliated against him by</w:t>
      </w:r>
      <w:r>
        <w:t xml:space="preserve"> </w:t>
      </w:r>
      <w:proofErr w:type="gramStart"/>
      <w:r w:rsidRPr="00036255">
        <w:t>singling</w:t>
      </w:r>
      <w:proofErr w:type="gramEnd"/>
      <w:r w:rsidRPr="00036255">
        <w:t xml:space="preserve"> him out for minor disciplinary issues and denying</w:t>
      </w:r>
      <w:r>
        <w:t xml:space="preserve"> </w:t>
      </w:r>
      <w:r w:rsidRPr="00036255">
        <w:t>him a promotion.</w:t>
      </w:r>
      <w:r>
        <w:t xml:space="preserve"> </w:t>
      </w:r>
      <w:r w:rsidRPr="00036255">
        <w:t>In January 2021, the Department brought administrative</w:t>
      </w:r>
      <w:r>
        <w:t xml:space="preserve"> </w:t>
      </w:r>
      <w:r w:rsidRPr="00036255">
        <w:t>charges against Strickland. After hearings on the charges, the</w:t>
      </w:r>
      <w:r>
        <w:t xml:space="preserve"> </w:t>
      </w:r>
      <w:r w:rsidRPr="00036255">
        <w:t>Board of Fire and Police Commissioners terminated his</w:t>
      </w:r>
      <w:r>
        <w:t xml:space="preserve"> </w:t>
      </w:r>
      <w:r w:rsidRPr="00036255">
        <w:t>employment in April 2021, finding that Strickland had lied to</w:t>
      </w:r>
      <w:r>
        <w:t xml:space="preserve"> </w:t>
      </w:r>
      <w:r w:rsidRPr="00036255">
        <w:t>detectives during an arson investigation and had put</w:t>
      </w:r>
      <w:r>
        <w:t xml:space="preserve"> </w:t>
      </w:r>
      <w:r w:rsidRPr="00036255">
        <w:t>Department employees at risk by coming to work while</w:t>
      </w:r>
      <w:r>
        <w:t xml:space="preserve"> </w:t>
      </w:r>
      <w:r w:rsidRPr="00036255">
        <w:t>infected with COVID-19.</w:t>
      </w:r>
      <w:r>
        <w:t xml:space="preserve">  </w:t>
      </w:r>
      <w:r w:rsidRPr="00B74B2A">
        <w:t>The next month, Strickland filed a lawsuit in state court</w:t>
      </w:r>
    </w:p>
    <w:p w14:paraId="3CFBD603" w14:textId="77777777" w:rsidR="00EC3DBD" w:rsidRDefault="00EC3DBD" w:rsidP="00EC3DBD">
      <w:pPr>
        <w:pStyle w:val="NoSpacing"/>
        <w:rPr>
          <w:bCs/>
        </w:rPr>
      </w:pPr>
      <w:r w:rsidRPr="00B74B2A">
        <w:lastRenderedPageBreak/>
        <w:t xml:space="preserve">challenging the Board’s decision. The court </w:t>
      </w:r>
      <w:proofErr w:type="gramStart"/>
      <w:r w:rsidRPr="00B74B2A">
        <w:t>remanded</w:t>
      </w:r>
      <w:proofErr w:type="gramEnd"/>
      <w:r w:rsidRPr="00B74B2A">
        <w:t xml:space="preserve"> while</w:t>
      </w:r>
      <w:r>
        <w:t xml:space="preserve"> </w:t>
      </w:r>
      <w:r w:rsidRPr="00B74B2A">
        <w:t>retaining jurisdiction over the case and instructed the Board</w:t>
      </w:r>
      <w:r>
        <w:t xml:space="preserve"> </w:t>
      </w:r>
      <w:r w:rsidRPr="00B74B2A">
        <w:t>to enter an amended decision with additional information.</w:t>
      </w:r>
      <w:r>
        <w:t xml:space="preserve"> </w:t>
      </w:r>
      <w:r w:rsidRPr="00B74B2A">
        <w:t>The Board did so and again discharged Strickland. After the</w:t>
      </w:r>
      <w:r>
        <w:t xml:space="preserve"> </w:t>
      </w:r>
      <w:r w:rsidRPr="00B74B2A">
        <w:t>Board issued its amended decision in April 2022, Strickland</w:t>
      </w:r>
      <w:r>
        <w:t xml:space="preserve"> </w:t>
      </w:r>
      <w:r w:rsidRPr="00B74B2A">
        <w:t>voluntarily dismissed his state-court lawsuit. He did not</w:t>
      </w:r>
      <w:r>
        <w:t xml:space="preserve"> </w:t>
      </w:r>
      <w:r w:rsidRPr="00B74B2A">
        <w:t>otherwise seek direct review of the amended decision in state</w:t>
      </w:r>
      <w:r>
        <w:t xml:space="preserve"> </w:t>
      </w:r>
      <w:r w:rsidRPr="00B74B2A">
        <w:t>court.</w:t>
      </w:r>
      <w:r>
        <w:t>”</w:t>
      </w:r>
    </w:p>
    <w:p w14:paraId="244E16EB" w14:textId="77777777" w:rsidR="00EC3DBD" w:rsidRDefault="00EC3DBD" w:rsidP="00EC3DBD">
      <w:pPr>
        <w:pStyle w:val="NoSpacing"/>
        <w:rPr>
          <w:bCs/>
        </w:rPr>
      </w:pPr>
    </w:p>
    <w:p w14:paraId="62D20970" w14:textId="77777777" w:rsidR="00EC3DBD" w:rsidRDefault="00EC3DBD" w:rsidP="00EC3DBD">
      <w:pPr>
        <w:pStyle w:val="NoSpacing"/>
        <w:rPr>
          <w:bCs/>
        </w:rPr>
      </w:pPr>
      <w:r w:rsidRPr="00AB37D4">
        <w:rPr>
          <w:b/>
        </w:rPr>
        <w:t>COURT HELD:</w:t>
      </w:r>
      <w:r>
        <w:t xml:space="preserve"> </w:t>
      </w:r>
    </w:p>
    <w:p w14:paraId="2EC10640" w14:textId="77777777" w:rsidR="00EC3DBD" w:rsidRDefault="00EC3DBD" w:rsidP="00EC3DBD">
      <w:pPr>
        <w:pStyle w:val="NoSpacing"/>
        <w:rPr>
          <w:bCs/>
        </w:rPr>
      </w:pPr>
    </w:p>
    <w:p w14:paraId="3E1982B1" w14:textId="77777777" w:rsidR="00EC3DBD" w:rsidRDefault="00EC3DBD" w:rsidP="00EC3DBD">
      <w:pPr>
        <w:pStyle w:val="NoSpacing"/>
        <w:rPr>
          <w:bCs/>
        </w:rPr>
      </w:pPr>
      <w:r>
        <w:t>“</w:t>
      </w:r>
      <w:r w:rsidRPr="000C51C9">
        <w:t>Strickland argues that the court improperly</w:t>
      </w:r>
      <w:r>
        <w:t xml:space="preserve"> </w:t>
      </w:r>
      <w:r w:rsidRPr="000C51C9">
        <w:t>rested the first element on the Board’s decision and resolved</w:t>
      </w:r>
      <w:r>
        <w:t xml:space="preserve"> </w:t>
      </w:r>
      <w:r w:rsidRPr="000C51C9">
        <w:t>the other questions based on the state suit. He maintains that</w:t>
      </w:r>
      <w:r>
        <w:t xml:space="preserve"> </w:t>
      </w:r>
      <w:r w:rsidRPr="000C51C9">
        <w:t>administrative proceedings and state-court judgments should</w:t>
      </w:r>
      <w:r>
        <w:t xml:space="preserve"> </w:t>
      </w:r>
      <w:r w:rsidRPr="000C51C9">
        <w:t>be evaluated differently for purposes of claim preclusion.</w:t>
      </w:r>
      <w:r>
        <w:t xml:space="preserve"> </w:t>
      </w:r>
      <w:r w:rsidRPr="000C51C9">
        <w:t>Strickland is partially correct that the administrative</w:t>
      </w:r>
      <w:r>
        <w:t xml:space="preserve"> </w:t>
      </w:r>
      <w:r w:rsidRPr="000C51C9">
        <w:t>proceedings and state litigation cannot be treated as</w:t>
      </w:r>
      <w:r>
        <w:t xml:space="preserve"> </w:t>
      </w:r>
      <w:r w:rsidRPr="000C51C9">
        <w:t>equivalents. The Supreme Court’s decisions on the federal</w:t>
      </w:r>
      <w:r>
        <w:t xml:space="preserve"> </w:t>
      </w:r>
      <w:r w:rsidRPr="000C51C9">
        <w:t>law of preclusion distinguish between state-court judgments</w:t>
      </w:r>
      <w:r>
        <w:t xml:space="preserve"> </w:t>
      </w:r>
      <w:r w:rsidRPr="000C51C9">
        <w:t>and administrative decisions, particularly as applied to Title</w:t>
      </w:r>
      <w:r>
        <w:t xml:space="preserve"> </w:t>
      </w:r>
      <w:r w:rsidRPr="000C51C9">
        <w:t>VII claims</w:t>
      </w:r>
      <w:r>
        <w:t xml:space="preserve">…. </w:t>
      </w:r>
      <w:r w:rsidRPr="009B102D">
        <w:t>The district</w:t>
      </w:r>
      <w:r>
        <w:t xml:space="preserve"> </w:t>
      </w:r>
      <w:r w:rsidRPr="009B102D">
        <w:t>court thus erred in dismissing Strickland’s Title VII claims on</w:t>
      </w:r>
      <w:r>
        <w:t xml:space="preserve"> </w:t>
      </w:r>
      <w:r w:rsidRPr="009B102D">
        <w:t>claim preclusion grounds.</w:t>
      </w:r>
      <w:r>
        <w:t>”</w:t>
      </w:r>
    </w:p>
    <w:p w14:paraId="73B7980A" w14:textId="77777777" w:rsidR="00EC3DBD" w:rsidRDefault="00EC3DBD" w:rsidP="00EC3DBD">
      <w:pPr>
        <w:pStyle w:val="NoSpacing"/>
        <w:rPr>
          <w:bCs/>
        </w:rPr>
      </w:pPr>
    </w:p>
    <w:p w14:paraId="6550AC5F" w14:textId="77777777" w:rsidR="00EC3DBD" w:rsidRPr="00FD2071" w:rsidRDefault="00EC3DBD" w:rsidP="00EC3DBD">
      <w:pPr>
        <w:pStyle w:val="NoSpacing"/>
        <w:rPr>
          <w:b/>
        </w:rPr>
      </w:pPr>
      <w:r>
        <w:rPr>
          <w:b/>
        </w:rPr>
        <w:t xml:space="preserve">Legal lesson learned: Title VII claims may proceed in federal court, even if firefighter voluntarily dropped his state court case. </w:t>
      </w:r>
    </w:p>
    <w:p w14:paraId="60664028" w14:textId="77777777" w:rsidR="00EC3DBD" w:rsidRDefault="00EC3DBD" w:rsidP="007265BA">
      <w:pPr>
        <w:pStyle w:val="NoSpacing"/>
        <w:rPr>
          <w:b/>
          <w:bCs/>
        </w:rPr>
      </w:pPr>
    </w:p>
    <w:p w14:paraId="108BCFDE" w14:textId="77777777" w:rsidR="007265BA" w:rsidRDefault="007265BA" w:rsidP="009B3A7B">
      <w:pPr>
        <w:rPr>
          <w:rFonts w:ascii="Arial Black" w:hAnsi="Arial Black"/>
          <w:b/>
          <w:sz w:val="24"/>
          <w:szCs w:val="24"/>
        </w:rPr>
      </w:pPr>
    </w:p>
    <w:p w14:paraId="77D37243" w14:textId="77777777" w:rsidR="007265BA" w:rsidRDefault="007265BA" w:rsidP="009B3A7B">
      <w:pPr>
        <w:rPr>
          <w:rFonts w:ascii="Arial Black" w:hAnsi="Arial Black"/>
          <w:b/>
          <w:sz w:val="24"/>
          <w:szCs w:val="24"/>
        </w:rPr>
      </w:pPr>
    </w:p>
    <w:p w14:paraId="1C9AE547" w14:textId="77777777" w:rsidR="007265BA" w:rsidRDefault="007265BA" w:rsidP="009B3A7B">
      <w:pPr>
        <w:rPr>
          <w:rFonts w:ascii="Arial Black" w:hAnsi="Arial Black"/>
          <w:b/>
          <w:sz w:val="24"/>
          <w:szCs w:val="24"/>
        </w:rPr>
      </w:pPr>
    </w:p>
    <w:p w14:paraId="03A2A792" w14:textId="05D37778" w:rsidR="009B3A7B" w:rsidRDefault="009B3A7B" w:rsidP="009B3A7B">
      <w:pPr>
        <w:rPr>
          <w:rFonts w:ascii="Arial Black" w:hAnsi="Arial Black"/>
          <w:sz w:val="28"/>
          <w:szCs w:val="28"/>
        </w:rPr>
      </w:pPr>
      <w:r>
        <w:rPr>
          <w:rFonts w:ascii="Arial Black" w:hAnsi="Arial Black"/>
          <w:b/>
          <w:sz w:val="24"/>
          <w:szCs w:val="24"/>
        </w:rPr>
        <w:t>8-89</w:t>
      </w:r>
    </w:p>
    <w:p w14:paraId="67201691" w14:textId="5C99641E" w:rsidR="00EA21DB" w:rsidRPr="001A4A62" w:rsidRDefault="00EA21DB" w:rsidP="00EA21DB">
      <w:pPr>
        <w:pStyle w:val="NoSpacing"/>
        <w:rPr>
          <w:rFonts w:ascii="Arial Black" w:hAnsi="Arial Black"/>
          <w:sz w:val="28"/>
          <w:szCs w:val="28"/>
        </w:rPr>
      </w:pPr>
      <w:r>
        <w:rPr>
          <w:rFonts w:ascii="Arial Black" w:hAnsi="Arial Black"/>
          <w:sz w:val="28"/>
          <w:szCs w:val="28"/>
        </w:rPr>
        <w:t xml:space="preserve">U.S. SUP. CT: VOTING - “RACIAL GERRYMANDERING” </w:t>
      </w:r>
    </w:p>
    <w:p w14:paraId="550E9DD4" w14:textId="77777777" w:rsidR="00EA21DB" w:rsidRDefault="00EA21DB" w:rsidP="00EA21DB">
      <w:pPr>
        <w:pStyle w:val="NoSpacing"/>
      </w:pPr>
    </w:p>
    <w:p w14:paraId="2CC9B019" w14:textId="77777777" w:rsidR="00EA21DB" w:rsidRDefault="00EA21DB" w:rsidP="00EA21DB">
      <w:pPr>
        <w:pStyle w:val="NoSpacing"/>
      </w:pPr>
      <w:r>
        <w:t xml:space="preserve">On April 29, 2026, in </w:t>
      </w:r>
      <w:r w:rsidRPr="004E1D28">
        <w:rPr>
          <w:u w:val="single"/>
        </w:rPr>
        <w:t xml:space="preserve">Louisiana v. </w:t>
      </w:r>
      <w:r>
        <w:rPr>
          <w:u w:val="single"/>
        </w:rPr>
        <w:t xml:space="preserve">Phillip </w:t>
      </w:r>
      <w:r w:rsidRPr="004E1D28">
        <w:rPr>
          <w:u w:val="single"/>
        </w:rPr>
        <w:t>Callais, et al</w:t>
      </w:r>
      <w:r>
        <w:t xml:space="preserve">., the U.S. Supreme Court held (6 to 3) that the Louisiana Legislature improperly created a second majority-black congressional voting district. It is predicted that the decision will result in a new map that likely will cost </w:t>
      </w:r>
      <w:r w:rsidRPr="00AC6148">
        <w:t>Democrats at least one seat in Congress. </w:t>
      </w:r>
    </w:p>
    <w:p w14:paraId="50758001" w14:textId="77777777" w:rsidR="00EA21DB" w:rsidRDefault="00EA21DB" w:rsidP="00EA21DB">
      <w:pPr>
        <w:pStyle w:val="NoSpacing"/>
      </w:pPr>
    </w:p>
    <w:p w14:paraId="46BC86CC" w14:textId="77777777" w:rsidR="00EA21DB" w:rsidRDefault="00EA21DB" w:rsidP="00EA21DB">
      <w:pPr>
        <w:pStyle w:val="NoSpacing"/>
      </w:pPr>
      <w:r>
        <w:t xml:space="preserve">In 2022, a federal judge in Louisiana held 5-days of hearing on a new congressional map written </w:t>
      </w:r>
    </w:p>
    <w:p w14:paraId="498C112E" w14:textId="77777777" w:rsidR="00EA21DB" w:rsidRDefault="00EA21DB" w:rsidP="00EA21DB">
      <w:pPr>
        <w:pStyle w:val="NoSpacing"/>
      </w:pPr>
      <w:r>
        <w:t xml:space="preserve">after the 2020 census.  He determined that the new map improperly kept in place only the one majority-black district [created in 1983], and ordered a new map be drawn </w:t>
      </w:r>
      <w:proofErr w:type="gramStart"/>
      <w:r>
        <w:t>per</w:t>
      </w:r>
      <w:proofErr w:type="gramEnd"/>
      <w:r>
        <w:t xml:space="preserve"> the Voting Rights Act of 1965.  The second map created a second majority-black district, which stretches “some 250 miles from Shreveport in the northwest corner of the state to Baton Rouge in southeast Louisiana, slicing through metropolitan areas to scoop up pockets of predominantly Black populations from Shreveport, Alexandria, Lafayette, and Baton Rouge.”   A three-judge court found the second map was unconstitutional “racial gerrymander.”  The U.S. Supreme Court’s six majority Justices agreed with three-judge court.  </w:t>
      </w:r>
      <w:hyperlink r:id="rId1509" w:history="1">
        <w:r w:rsidRPr="00A02756">
          <w:rPr>
            <w:rStyle w:val="Hyperlink"/>
          </w:rPr>
          <w:t>https://www.supremecourt.gov/opinions/25pdf/24-109_21o3.pdf</w:t>
        </w:r>
      </w:hyperlink>
      <w:r>
        <w:t xml:space="preserve"> </w:t>
      </w:r>
    </w:p>
    <w:p w14:paraId="1D7C0015" w14:textId="77777777" w:rsidR="00EA21DB" w:rsidRDefault="00EA21DB" w:rsidP="00EA21DB">
      <w:pPr>
        <w:pStyle w:val="NoSpacing"/>
      </w:pPr>
    </w:p>
    <w:p w14:paraId="391BEE76" w14:textId="77777777" w:rsidR="00EA21DB" w:rsidRDefault="00EA21DB" w:rsidP="00EA21DB">
      <w:pPr>
        <w:pStyle w:val="NoSpacing"/>
      </w:pPr>
    </w:p>
    <w:p w14:paraId="7F97ED9E" w14:textId="77777777" w:rsidR="00EA21DB" w:rsidRDefault="00EA21DB" w:rsidP="00EA21DB">
      <w:pPr>
        <w:pStyle w:val="NoSpacing"/>
      </w:pPr>
      <w:r>
        <w:t>THE COURT HELD: (opinion by Justice Samuel Alito):</w:t>
      </w:r>
    </w:p>
    <w:p w14:paraId="0283D4EB" w14:textId="77777777" w:rsidR="00EA21DB" w:rsidRDefault="00EA21DB" w:rsidP="00EA21DB">
      <w:pPr>
        <w:pStyle w:val="NoSpacing"/>
      </w:pPr>
    </w:p>
    <w:p w14:paraId="168BDB12" w14:textId="77777777" w:rsidR="00EA21DB" w:rsidRDefault="00EA21DB" w:rsidP="00EA21DB">
      <w:pPr>
        <w:pStyle w:val="NoSpacing"/>
        <w:ind w:left="720"/>
      </w:pPr>
      <w:r>
        <w:t xml:space="preserve">“Section 2 of the Voting Rights Act of 1965, 52 U. S. C. §10301 et seq., was designed to enforce the Constitution— not collide with it. Unfortunately, lower courts have </w:t>
      </w:r>
    </w:p>
    <w:p w14:paraId="0E5FEEA7" w14:textId="77777777" w:rsidR="00EA21DB" w:rsidRDefault="00EA21DB" w:rsidP="00EA21DB">
      <w:pPr>
        <w:pStyle w:val="NoSpacing"/>
        <w:ind w:left="720"/>
      </w:pPr>
      <w:r>
        <w:t>sometimes applied this Court’s §2 precedents in a way that forces States to engage in the very race-based discrimination that the Constitution forbids…. {A]</w:t>
      </w:r>
      <w:proofErr w:type="spellStart"/>
      <w:r>
        <w:t>llowing</w:t>
      </w:r>
      <w:proofErr w:type="spellEnd"/>
      <w:r>
        <w:t xml:space="preserve"> race to play any part in government decision making represents a departure from the constitutional rule that applies in almost every other context…. Compliance with §2 [of Voting Rights Act] thus could not justify the State’s use of race-based redistricting here. The State’s attempt to satisfy the [federal judge’s] ruling, although understandable, was an unconstitutional racial gerrymander….” </w:t>
      </w:r>
      <w:hyperlink r:id="rId1510" w:history="1">
        <w:r w:rsidRPr="00A02756">
          <w:rPr>
            <w:rStyle w:val="Hyperlink"/>
          </w:rPr>
          <w:t>https://www.supremecourt.gov/opinions/25pdf/24-109_21o3.pdf</w:t>
        </w:r>
      </w:hyperlink>
      <w:r>
        <w:t xml:space="preserve"> </w:t>
      </w:r>
    </w:p>
    <w:p w14:paraId="11532E20" w14:textId="77777777" w:rsidR="00EA21DB" w:rsidRDefault="00EA21DB" w:rsidP="00EA21DB">
      <w:pPr>
        <w:pStyle w:val="NoSpacing"/>
      </w:pPr>
    </w:p>
    <w:p w14:paraId="3F1D309B" w14:textId="77777777" w:rsidR="00EA21DB" w:rsidRDefault="00EA21DB" w:rsidP="00EA21DB">
      <w:pPr>
        <w:pStyle w:val="NoSpacing"/>
      </w:pPr>
    </w:p>
    <w:p w14:paraId="5DDE7FE0" w14:textId="77777777" w:rsidR="00EA21DB" w:rsidRDefault="00EA21DB" w:rsidP="00EA21DB">
      <w:pPr>
        <w:pStyle w:val="NoSpacing"/>
      </w:pPr>
      <w:r>
        <w:t xml:space="preserve">JUSTICE THOMAS [Concurring opinion]: </w:t>
      </w:r>
    </w:p>
    <w:p w14:paraId="3BDC9ED9" w14:textId="77777777" w:rsidR="00EA21DB" w:rsidRDefault="00EA21DB" w:rsidP="00EA21DB">
      <w:pPr>
        <w:pStyle w:val="NoSpacing"/>
        <w:ind w:left="720"/>
      </w:pPr>
    </w:p>
    <w:p w14:paraId="19C6C8F2" w14:textId="77777777" w:rsidR="00EA21DB" w:rsidRDefault="00EA21DB" w:rsidP="00EA21DB">
      <w:pPr>
        <w:pStyle w:val="NoSpacing"/>
        <w:ind w:left="720"/>
      </w:pPr>
      <w:r>
        <w:t xml:space="preserve">“I join the Court’s opinion in full. This Court should never have interpreted §2 of the Voting Rights Act of 1965 to effectively give racial groups ‘an entitlement to roughly proportional representation.’….   Today’s decision </w:t>
      </w:r>
      <w:proofErr w:type="gramStart"/>
      <w:r>
        <w:t>should largely</w:t>
      </w:r>
      <w:proofErr w:type="gramEnd"/>
      <w:r>
        <w:t xml:space="preserve"> put an end to this</w:t>
      </w:r>
    </w:p>
    <w:p w14:paraId="7A17A4C8" w14:textId="77777777" w:rsidR="00EA21DB" w:rsidRDefault="00EA21DB" w:rsidP="00EA21DB">
      <w:pPr>
        <w:pStyle w:val="NoSpacing"/>
        <w:ind w:left="720"/>
      </w:pPr>
      <w:r>
        <w:t>“</w:t>
      </w:r>
      <w:proofErr w:type="gramStart"/>
      <w:r>
        <w:t>disastrous</w:t>
      </w:r>
      <w:proofErr w:type="gramEnd"/>
      <w:r>
        <w:t xml:space="preserve"> misadventure” in voting-rights jurisprudence…. As I explained more than 30 years ago, I would go further and hold that §2 of the Voting Rights Act does not regulate districting at all.”</w:t>
      </w:r>
    </w:p>
    <w:p w14:paraId="781987AF" w14:textId="77777777" w:rsidR="00EA21DB" w:rsidRDefault="00EA21DB" w:rsidP="00EA21DB">
      <w:pPr>
        <w:pStyle w:val="NoSpacing"/>
      </w:pPr>
    </w:p>
    <w:p w14:paraId="06774EAC" w14:textId="77777777" w:rsidR="00EA21DB" w:rsidRDefault="00EA21DB" w:rsidP="00EA21DB">
      <w:pPr>
        <w:pStyle w:val="NoSpacing"/>
      </w:pPr>
      <w:r>
        <w:t xml:space="preserve">DISSENT [opinion by Justice Elena Kagan]:  </w:t>
      </w:r>
    </w:p>
    <w:p w14:paraId="2A11C6F8" w14:textId="77777777" w:rsidR="00EA21DB" w:rsidRDefault="00EA21DB" w:rsidP="00EA21DB">
      <w:pPr>
        <w:pStyle w:val="NoSpacing"/>
      </w:pPr>
    </w:p>
    <w:p w14:paraId="070AF190" w14:textId="77777777" w:rsidR="00EA21DB" w:rsidRDefault="00EA21DB" w:rsidP="00EA21DB">
      <w:pPr>
        <w:pStyle w:val="NoSpacing"/>
        <w:ind w:left="720"/>
      </w:pPr>
      <w:r>
        <w:t xml:space="preserve">“The State’s District 2 has had a Black majority since 1983, when a vote-dilution suit forced its creation. If Louisiana were tomorrow to slice up District 2, dispersing its Black residents among the rest, it is hard to see how the now judicially amended Section 2 could stand in the way. The State presumably would assert as its ‘political goal’ an </w:t>
      </w:r>
    </w:p>
    <w:p w14:paraId="49E1D024" w14:textId="77777777" w:rsidR="00EA21DB" w:rsidRDefault="00EA21DB" w:rsidP="00EA21DB">
      <w:pPr>
        <w:pStyle w:val="NoSpacing"/>
        <w:ind w:left="720"/>
      </w:pPr>
      <w:r>
        <w:t>all-Republican congressional delegation; in other words, it would announce a partisan gerrymander….  And because of the severe racial polarization in the State, that</w:t>
      </w:r>
    </w:p>
    <w:p w14:paraId="76FAE312" w14:textId="77777777" w:rsidR="00EA21DB" w:rsidRDefault="00EA21DB" w:rsidP="00EA21DB">
      <w:pPr>
        <w:pStyle w:val="NoSpacing"/>
        <w:ind w:left="720"/>
      </w:pPr>
      <w:r>
        <w:t xml:space="preserve">goal would be incompatible with maintaining District 2 as is. So those advocating for its majority-minority composition would almost surely lose at the first </w:t>
      </w:r>
      <w:r w:rsidRPr="00F729DF">
        <w:rPr>
          <w:i/>
          <w:iCs/>
        </w:rPr>
        <w:t>Callais</w:t>
      </w:r>
      <w:r>
        <w:t xml:space="preserve"> requirement (and, as above, at the others as well). Repeated often enough across the country, the same districting practice— really, hinging only on the partisan ambitions (or restraint) of state legislatures—could destroy most of the majority- minority districts that in the past 40 years the Voting Rights Act created.”</w:t>
      </w:r>
    </w:p>
    <w:p w14:paraId="11E61C42" w14:textId="77777777" w:rsidR="00EA21DB" w:rsidRDefault="00EA21DB" w:rsidP="00EA21DB">
      <w:pPr>
        <w:pStyle w:val="NoSpacing"/>
        <w:ind w:left="720"/>
      </w:pPr>
    </w:p>
    <w:p w14:paraId="43D6C70D" w14:textId="77777777" w:rsidR="00EA21DB" w:rsidRPr="00E04FBC" w:rsidRDefault="00EA21DB" w:rsidP="00EA21DB">
      <w:pPr>
        <w:rPr>
          <w:b/>
          <w:bCs/>
        </w:rPr>
      </w:pPr>
      <w:r w:rsidRPr="001C33AB">
        <w:rPr>
          <w:b/>
        </w:rPr>
        <w:t xml:space="preserve">Legal lesson learned: </w:t>
      </w:r>
      <w:r>
        <w:rPr>
          <w:b/>
        </w:rPr>
        <w:t xml:space="preserve"> This is a “landmark” decision, with lots of potential political impact.  </w:t>
      </w:r>
    </w:p>
    <w:p w14:paraId="4DE862B8" w14:textId="77777777" w:rsidR="00EA21DB" w:rsidRDefault="00EA21DB" w:rsidP="00BC70A3">
      <w:pPr>
        <w:rPr>
          <w:rFonts w:ascii="Arial Black" w:hAnsi="Arial Black"/>
          <w:b/>
          <w:sz w:val="24"/>
          <w:szCs w:val="24"/>
        </w:rPr>
      </w:pPr>
    </w:p>
    <w:p w14:paraId="2AD73CEC" w14:textId="726098F9" w:rsidR="007A3239" w:rsidRDefault="007A3239" w:rsidP="00456C91">
      <w:pPr>
        <w:rPr>
          <w:rFonts w:ascii="Arial Black" w:hAnsi="Arial Black"/>
          <w:b/>
          <w:sz w:val="24"/>
          <w:szCs w:val="24"/>
        </w:rPr>
      </w:pPr>
      <w:r>
        <w:rPr>
          <w:rFonts w:ascii="Arial Black" w:hAnsi="Arial Black"/>
          <w:b/>
          <w:sz w:val="24"/>
          <w:szCs w:val="24"/>
        </w:rPr>
        <w:t>8-88</w:t>
      </w:r>
    </w:p>
    <w:p w14:paraId="4ACD4B84" w14:textId="77777777" w:rsidR="008626B6" w:rsidRPr="000A0D97" w:rsidRDefault="008626B6" w:rsidP="008626B6">
      <w:pPr>
        <w:pStyle w:val="NoSpacing"/>
        <w:rPr>
          <w:rFonts w:ascii="Arial Black" w:hAnsi="Arial Black"/>
          <w:sz w:val="28"/>
          <w:szCs w:val="28"/>
        </w:rPr>
      </w:pPr>
      <w:r>
        <w:rPr>
          <w:rFonts w:ascii="Arial Black" w:hAnsi="Arial Black"/>
          <w:sz w:val="28"/>
          <w:szCs w:val="28"/>
        </w:rPr>
        <w:t>OH: WHITE CAPT – No.1 LIST - NOT PROMOTED D/C TWICE</w:t>
      </w:r>
    </w:p>
    <w:p w14:paraId="40D6E9B5" w14:textId="77777777" w:rsidR="008626B6" w:rsidRDefault="008626B6" w:rsidP="008626B6">
      <w:pPr>
        <w:pStyle w:val="NoSpacing"/>
      </w:pPr>
    </w:p>
    <w:p w14:paraId="0FD0AE08" w14:textId="77777777" w:rsidR="008626B6" w:rsidRDefault="008626B6" w:rsidP="008626B6">
      <w:pPr>
        <w:pStyle w:val="NoSpacing"/>
      </w:pPr>
      <w:r>
        <w:t xml:space="preserve">On December 29, 2025, in </w:t>
      </w:r>
      <w:r w:rsidRPr="00B92028">
        <w:rPr>
          <w:u w:val="single"/>
        </w:rPr>
        <w:t>Michael Haas v. City of Akron, et al</w:t>
      </w:r>
      <w:r>
        <w:t xml:space="preserve">., U.S. District Court Judge . Philip Calabrese, United States District Court for the Northern District of Ohio, Eastern Division, held that individual defendants, including the Fire Chief cannot be individually sued for </w:t>
      </w:r>
      <w:r w:rsidRPr="009806C0">
        <w:t xml:space="preserve">conspiracy </w:t>
      </w:r>
      <w:r>
        <w:t xml:space="preserve">to deny him promotion.  Case may now proceed </w:t>
      </w:r>
      <w:proofErr w:type="gramStart"/>
      <w:r>
        <w:t>to</w:t>
      </w:r>
      <w:proofErr w:type="gramEnd"/>
      <w:r>
        <w:t xml:space="preserve"> pretrial discovery against the </w:t>
      </w:r>
      <w:proofErr w:type="gramStart"/>
      <w:r>
        <w:t>City</w:t>
      </w:r>
      <w:proofErr w:type="gramEnd"/>
      <w:r>
        <w:t xml:space="preserve">. In April 2024, he was ranked first of six candidates for District Chief.  </w:t>
      </w:r>
      <w:proofErr w:type="gramStart"/>
      <w:r>
        <w:t>August,</w:t>
      </w:r>
      <w:proofErr w:type="gramEnd"/>
      <w:r>
        <w:t xml:space="preserve"> 2024 a black female (ranked No. 5 on list) was promoted (using the “Rule of five) to District Chief; and in </w:t>
      </w:r>
      <w:r w:rsidRPr="00C159C1">
        <w:t>September 2024, Haas filed a charge of discrimination with the Equal Employment Opportunity Commission</w:t>
      </w:r>
      <w:r>
        <w:t>.  I</w:t>
      </w:r>
      <w:r w:rsidRPr="004D6CA4">
        <w:t xml:space="preserve">n March 2025, another District Chief retired, and the position was left vacant. The next month, Local 330 urged </w:t>
      </w:r>
      <w:r>
        <w:t xml:space="preserve">the Fire Chief </w:t>
      </w:r>
      <w:r w:rsidRPr="004D6CA4">
        <w:t>to fill the position using the 2024 promotional list, which ranked</w:t>
      </w:r>
      <w:r>
        <w:t xml:space="preserve"> </w:t>
      </w:r>
      <w:r w:rsidRPr="004D6CA4">
        <w:t>Haas as the top candidate</w:t>
      </w:r>
      <w:r>
        <w:t xml:space="preserve">, but the Chief </w:t>
      </w:r>
      <w:r w:rsidRPr="004D6CA4">
        <w:t xml:space="preserve">denied Local 330's grievance and refused to promote Mr. Haas to the open position. </w:t>
      </w:r>
      <w:hyperlink r:id="rId1511" w:history="1">
        <w:r w:rsidRPr="00091B3B">
          <w:rPr>
            <w:rStyle w:val="Hyperlink"/>
          </w:rPr>
          <w:t>https://cases.justia.com/federal/district-courts/ohio/ohndce/5:2025cv00885/316724/27/0.pdf?ts=1767103886</w:t>
        </w:r>
      </w:hyperlink>
      <w:r>
        <w:t xml:space="preserve"> </w:t>
      </w:r>
    </w:p>
    <w:p w14:paraId="53B12440" w14:textId="77777777" w:rsidR="008626B6" w:rsidRDefault="008626B6" w:rsidP="008626B6">
      <w:pPr>
        <w:pStyle w:val="NoSpacing"/>
      </w:pPr>
    </w:p>
    <w:p w14:paraId="4DC87FB2" w14:textId="77777777" w:rsidR="008626B6" w:rsidRDefault="008626B6" w:rsidP="008626B6">
      <w:pPr>
        <w:pStyle w:val="NoSpacing"/>
        <w:rPr>
          <w:b/>
        </w:rPr>
      </w:pPr>
      <w:r>
        <w:t>THE COURT HELD:</w:t>
      </w:r>
    </w:p>
    <w:p w14:paraId="1FD79E57" w14:textId="77777777" w:rsidR="008626B6" w:rsidRDefault="008626B6" w:rsidP="008626B6">
      <w:pPr>
        <w:pStyle w:val="NoSpacing"/>
      </w:pPr>
    </w:p>
    <w:p w14:paraId="2DE23ECE" w14:textId="77777777" w:rsidR="008626B6" w:rsidRDefault="008626B6" w:rsidP="008626B6">
      <w:pPr>
        <w:pStyle w:val="NoSpacing"/>
        <w:ind w:left="720"/>
      </w:pPr>
      <w:r>
        <w:t>“</w:t>
      </w:r>
      <w:r w:rsidRPr="00BE7DD9">
        <w:t>Plaintiff Michael Haas is a white male who became a firefighter for the City of Akron, Ohio in July 1997</w:t>
      </w:r>
      <w:r>
        <w:t xml:space="preserve">…. </w:t>
      </w:r>
      <w:r w:rsidRPr="00BE7DD9">
        <w:t>From 2017 to 2024, Mr. Haas served as Akron's Captain of Fire Prevention and Fire Training and Safety Officer</w:t>
      </w:r>
      <w:r>
        <w:t>….</w:t>
      </w:r>
      <w:r w:rsidRPr="00BE7DD9">
        <w:t>From 2021 to 2023, Mr. Haas also served as Provisional Chief in Fire Training and in Fire Prevention</w:t>
      </w:r>
      <w:r>
        <w:t>….</w:t>
      </w:r>
      <w:r w:rsidRPr="00BE7DD9">
        <w:t>In 2024, at the age of 57, Mr. Haas participated in Akron's promotional process for consideration for a recently opened District Chief position</w:t>
      </w:r>
      <w:r>
        <w:t>….</w:t>
      </w:r>
      <w:r w:rsidRPr="00BE7DD9">
        <w:t>In April 2024, Mr. Haas was ranked first of six potential candidates for the position</w:t>
      </w:r>
      <w:r>
        <w:t>….</w:t>
      </w:r>
      <w:r w:rsidRPr="00BE7DD9">
        <w:t xml:space="preserve"> Before this ranking, Mr. Haas had no disciplinary history.</w:t>
      </w:r>
    </w:p>
    <w:p w14:paraId="5B903E73" w14:textId="77777777" w:rsidR="008626B6" w:rsidRDefault="008626B6" w:rsidP="008626B6">
      <w:pPr>
        <w:pStyle w:val="NoSpacing"/>
        <w:ind w:left="720"/>
      </w:pPr>
    </w:p>
    <w:p w14:paraId="47B8A4E8" w14:textId="77777777" w:rsidR="008626B6" w:rsidRDefault="008626B6" w:rsidP="008626B6">
      <w:pPr>
        <w:pStyle w:val="NoSpacing"/>
        <w:ind w:left="720"/>
      </w:pPr>
      <w:r>
        <w:t>***</w:t>
      </w:r>
    </w:p>
    <w:p w14:paraId="119B3E09" w14:textId="77777777" w:rsidR="008626B6" w:rsidRDefault="008626B6" w:rsidP="008626B6">
      <w:pPr>
        <w:ind w:left="720"/>
        <w:rPr>
          <w:bCs/>
        </w:rPr>
      </w:pPr>
      <w:r w:rsidRPr="00951C21">
        <w:lastRenderedPageBreak/>
        <w:t xml:space="preserve">At all relevant times, Defendant Leon Henderson, an African American man, served as the acting Fire Chief for the City of Akron. </w:t>
      </w:r>
    </w:p>
    <w:p w14:paraId="0BA7AC60" w14:textId="77777777" w:rsidR="008626B6" w:rsidRDefault="008626B6" w:rsidP="008626B6">
      <w:pPr>
        <w:ind w:left="720"/>
        <w:rPr>
          <w:bCs/>
        </w:rPr>
      </w:pPr>
      <w:r>
        <w:t>***</w:t>
      </w:r>
    </w:p>
    <w:p w14:paraId="3A8C8ED4" w14:textId="77777777" w:rsidR="008626B6" w:rsidRPr="00BA60D7" w:rsidRDefault="008626B6" w:rsidP="008626B6">
      <w:pPr>
        <w:pStyle w:val="NoSpacing"/>
        <w:ind w:left="720"/>
        <w:rPr>
          <w:bCs/>
        </w:rPr>
      </w:pPr>
      <w:r w:rsidRPr="00BA60D7">
        <w:t xml:space="preserve">Following the promotion of </w:t>
      </w:r>
      <w:r>
        <w:t>[</w:t>
      </w:r>
      <w:proofErr w:type="spellStart"/>
      <w:r w:rsidRPr="003B5000">
        <w:t>Sierjie</w:t>
      </w:r>
      <w:proofErr w:type="spellEnd"/>
      <w:r>
        <w:t xml:space="preserve">] </w:t>
      </w:r>
      <w:r w:rsidRPr="00BA60D7">
        <w:t>Lash</w:t>
      </w:r>
      <w:r>
        <w:t xml:space="preserve"> [ranked 5</w:t>
      </w:r>
      <w:r w:rsidRPr="00296663">
        <w:rPr>
          <w:vertAlign w:val="superscript"/>
        </w:rPr>
        <w:t>th</w:t>
      </w:r>
      <w:r>
        <w:t xml:space="preserve"> on list]</w:t>
      </w:r>
      <w:r w:rsidRPr="00BA60D7">
        <w:t xml:space="preserve"> to District Chief in August 2024, retaliatory</w:t>
      </w:r>
      <w:r>
        <w:t xml:space="preserve"> </w:t>
      </w:r>
      <w:r w:rsidRPr="00BA60D7">
        <w:t>actions were taken against Mr. Haas</w:t>
      </w:r>
      <w:r>
        <w:t>….</w:t>
      </w:r>
      <w:r w:rsidRPr="00BA60D7">
        <w:t>When he learned</w:t>
      </w:r>
    </w:p>
    <w:p w14:paraId="3D503E72" w14:textId="77777777" w:rsidR="008626B6" w:rsidRPr="00BA60D7" w:rsidRDefault="008626B6" w:rsidP="008626B6">
      <w:pPr>
        <w:pStyle w:val="NoSpacing"/>
        <w:ind w:firstLine="720"/>
        <w:rPr>
          <w:bCs/>
        </w:rPr>
      </w:pPr>
      <w:r w:rsidRPr="00BA60D7">
        <w:t xml:space="preserve">about Lash’s promotion, Mr. Haas complained to </w:t>
      </w:r>
      <w:r>
        <w:t xml:space="preserve">[Chief] </w:t>
      </w:r>
      <w:r w:rsidRPr="00BA60D7">
        <w:t>Henderson that the promotion</w:t>
      </w:r>
    </w:p>
    <w:p w14:paraId="4A7876AD" w14:textId="77777777" w:rsidR="008626B6" w:rsidRPr="00BA60D7" w:rsidRDefault="008626B6" w:rsidP="008626B6">
      <w:pPr>
        <w:pStyle w:val="NoSpacing"/>
        <w:ind w:left="720"/>
        <w:rPr>
          <w:bCs/>
        </w:rPr>
      </w:pPr>
      <w:r w:rsidRPr="00BA60D7">
        <w:t>was discriminatory</w:t>
      </w:r>
      <w:r>
        <w:t>….</w:t>
      </w:r>
      <w:r w:rsidRPr="00BA60D7">
        <w:t xml:space="preserve"> </w:t>
      </w:r>
      <w:r>
        <w:t xml:space="preserve">[Plaintiff alleged that Chief] </w:t>
      </w:r>
      <w:r w:rsidRPr="00BA60D7">
        <w:t>Henderson failed to document,</w:t>
      </w:r>
      <w:r>
        <w:t xml:space="preserve"> </w:t>
      </w:r>
      <w:r w:rsidRPr="00BA60D7">
        <w:t>investigate, and report this complaint to upper management or human resources, in</w:t>
      </w:r>
    </w:p>
    <w:p w14:paraId="0A6DADD5" w14:textId="77777777" w:rsidR="008626B6" w:rsidRDefault="008626B6" w:rsidP="008626B6">
      <w:pPr>
        <w:pStyle w:val="NoSpacing"/>
        <w:ind w:firstLine="720"/>
        <w:rPr>
          <w:bCs/>
        </w:rPr>
      </w:pPr>
      <w:r w:rsidRPr="00BA60D7">
        <w:t>violation of Akron’s policies</w:t>
      </w:r>
      <w:r>
        <w:t xml:space="preserve">…. </w:t>
      </w:r>
    </w:p>
    <w:p w14:paraId="2CB275D5" w14:textId="77777777" w:rsidR="008626B6" w:rsidRDefault="008626B6" w:rsidP="008626B6">
      <w:pPr>
        <w:pStyle w:val="NoSpacing"/>
        <w:ind w:firstLine="720"/>
        <w:rPr>
          <w:bCs/>
        </w:rPr>
      </w:pPr>
    </w:p>
    <w:p w14:paraId="555F41B9" w14:textId="77777777" w:rsidR="008626B6" w:rsidRDefault="008626B6" w:rsidP="008626B6">
      <w:pPr>
        <w:pStyle w:val="NoSpacing"/>
        <w:ind w:firstLine="720"/>
        <w:rPr>
          <w:bCs/>
        </w:rPr>
      </w:pPr>
      <w:r>
        <w:t>***</w:t>
      </w:r>
    </w:p>
    <w:p w14:paraId="42692BC6" w14:textId="77777777" w:rsidR="008626B6" w:rsidRDefault="008626B6" w:rsidP="008626B6">
      <w:pPr>
        <w:ind w:left="720"/>
        <w:rPr>
          <w:bCs/>
        </w:rPr>
      </w:pPr>
      <w:r w:rsidRPr="00C159C1">
        <w:t>The next month in September 2024, Mr. Haas filed a charge of discrimination with the Equal Employment Opportunity Commission and sent a second complaint of discrimination to Mr. Henderson</w:t>
      </w:r>
      <w:r>
        <w:t>….</w:t>
      </w:r>
      <w:r w:rsidRPr="00C159C1">
        <w:t>Later that same day, Mr. Henderson added Mr. Haas to the August 2024 transfer list</w:t>
      </w:r>
      <w:r>
        <w:t>….</w:t>
      </w:r>
      <w:r w:rsidRPr="00C159C1">
        <w:t xml:space="preserve"> Mr. Haas was transferred </w:t>
      </w:r>
      <w:r>
        <w:t xml:space="preserve">[from </w:t>
      </w:r>
      <w:r w:rsidRPr="00BE7DD9">
        <w:t>Captain of Fire Prevention and Fire Training and Safety Officer</w:t>
      </w:r>
      <w:r>
        <w:t xml:space="preserve">] </w:t>
      </w:r>
      <w:r w:rsidRPr="00C159C1">
        <w:t xml:space="preserve">to a </w:t>
      </w:r>
      <w:r>
        <w:t>‘</w:t>
      </w:r>
      <w:r w:rsidRPr="00C159C1">
        <w:t>48-hour position on the line</w:t>
      </w:r>
      <w:r>
        <w:t>’</w:t>
      </w:r>
      <w:r w:rsidRPr="00C159C1">
        <w:t xml:space="preserve"> which required him to work 24-hour shifts</w:t>
      </w:r>
      <w:r>
        <w:t>….</w:t>
      </w:r>
      <w:r w:rsidRPr="00C159C1">
        <w:t xml:space="preserve">According to Mr. Haas, </w:t>
      </w:r>
      <w:r>
        <w:t>‘</w:t>
      </w:r>
      <w:r w:rsidRPr="00C159C1">
        <w:t>[n]o other Captain . . . has been transferred to a 48-hour position without first either requesting it or as a result of discipline.</w:t>
      </w:r>
      <w:r>
        <w:t>’</w:t>
      </w:r>
    </w:p>
    <w:p w14:paraId="57C13567" w14:textId="77777777" w:rsidR="008626B6" w:rsidRDefault="008626B6" w:rsidP="008626B6">
      <w:pPr>
        <w:ind w:left="720"/>
        <w:rPr>
          <w:bCs/>
        </w:rPr>
      </w:pPr>
      <w:r>
        <w:t>***</w:t>
      </w:r>
    </w:p>
    <w:p w14:paraId="2A2A8E88" w14:textId="77777777" w:rsidR="008626B6" w:rsidRDefault="008626B6" w:rsidP="008626B6">
      <w:pPr>
        <w:pStyle w:val="NoSpacing"/>
        <w:ind w:left="720"/>
        <w:rPr>
          <w:bCs/>
        </w:rPr>
      </w:pPr>
      <w:r w:rsidRPr="00606539">
        <w:t xml:space="preserve">Under the law of this Circuit, </w:t>
      </w:r>
      <w:proofErr w:type="spellStart"/>
      <w:r w:rsidRPr="00606539">
        <w:t>intracorporate</w:t>
      </w:r>
      <w:proofErr w:type="spellEnd"/>
      <w:r w:rsidRPr="00606539">
        <w:t xml:space="preserve"> conspiracy doctrine applies</w:t>
      </w:r>
      <w:r>
        <w:t xml:space="preserve"> </w:t>
      </w:r>
      <w:r w:rsidRPr="00606539">
        <w:t>where individuals were employed in different departments. Hull, 926 F.2d at 510</w:t>
      </w:r>
      <w:r>
        <w:t xml:space="preserve"> </w:t>
      </w:r>
      <w:r w:rsidRPr="00606539">
        <w:t>(holding that a school’s superintendent, executive director, and administrator could</w:t>
      </w:r>
      <w:r>
        <w:t xml:space="preserve"> </w:t>
      </w:r>
      <w:r w:rsidRPr="00606539">
        <w:t xml:space="preserve">not conspire because they were all </w:t>
      </w:r>
      <w:r>
        <w:t>‘</w:t>
      </w:r>
      <w:r w:rsidRPr="00606539">
        <w:t>employees or agents of the [school] Board</w:t>
      </w:r>
      <w:r>
        <w:t>’</w:t>
      </w:r>
      <w:r w:rsidRPr="00606539">
        <w:t>); Upton</w:t>
      </w:r>
      <w:r>
        <w:t xml:space="preserve"> </w:t>
      </w:r>
      <w:r w:rsidRPr="00606539">
        <w:t xml:space="preserve">v. City of Royal Oak, 492 F. </w:t>
      </w:r>
      <w:proofErr w:type="spellStart"/>
      <w:r w:rsidRPr="00606539">
        <w:t>App'x</w:t>
      </w:r>
      <w:proofErr w:type="spellEnd"/>
      <w:r w:rsidRPr="00606539">
        <w:t xml:space="preserve"> 492, 493 n.1 (6th Cir. 2012) (holding that the</w:t>
      </w:r>
      <w:r>
        <w:t xml:space="preserve"> </w:t>
      </w:r>
      <w:proofErr w:type="spellStart"/>
      <w:r w:rsidRPr="00606539">
        <w:t>intracorporate</w:t>
      </w:r>
      <w:proofErr w:type="spellEnd"/>
      <w:r w:rsidRPr="00606539">
        <w:t xml:space="preserve"> conspiracy doctrine prevented a firefighter from bringing Section</w:t>
      </w:r>
      <w:r>
        <w:t xml:space="preserve"> </w:t>
      </w:r>
      <w:r w:rsidRPr="00606539">
        <w:t>1985(3) action against the mayor, city manager, assistant city attorney, and director</w:t>
      </w:r>
      <w:r>
        <w:t xml:space="preserve"> </w:t>
      </w:r>
      <w:r w:rsidRPr="00606539">
        <w:t>of human resources). What matters is that the individual Defendants are “members</w:t>
      </w:r>
      <w:r>
        <w:t xml:space="preserve"> </w:t>
      </w:r>
      <w:r w:rsidRPr="00606539">
        <w:t>of the same collective entity.” Hull, 926 F.2d at 510. Such is the case here, and each</w:t>
      </w:r>
      <w:r>
        <w:t xml:space="preserve"> </w:t>
      </w:r>
      <w:r w:rsidRPr="00606539">
        <w:t>participated in the promotional process about which Plaintiff complains as employees</w:t>
      </w:r>
      <w:r>
        <w:t xml:space="preserve"> </w:t>
      </w:r>
      <w:r w:rsidRPr="00606539">
        <w:t>or agents of the City of Akron</w:t>
      </w:r>
      <w:r>
        <w:t xml:space="preserve">…. </w:t>
      </w:r>
      <w:r w:rsidRPr="001C0C11">
        <w:t xml:space="preserve">For these reasons, the </w:t>
      </w:r>
      <w:proofErr w:type="spellStart"/>
      <w:r w:rsidRPr="001C0C11">
        <w:t>intracorporate</w:t>
      </w:r>
      <w:proofErr w:type="spellEnd"/>
      <w:r w:rsidRPr="001C0C11">
        <w:t xml:space="preserve"> conspiracy doctrine bars Mr. Hass’s civil</w:t>
      </w:r>
      <w:r>
        <w:t xml:space="preserve"> </w:t>
      </w:r>
      <w:r w:rsidRPr="001C0C11">
        <w:t>conspiracy claim under Section 1985(3) against the individual Defendants.</w:t>
      </w:r>
      <w:r>
        <w:t>”</w:t>
      </w:r>
    </w:p>
    <w:p w14:paraId="3DAAB047" w14:textId="77777777" w:rsidR="008626B6" w:rsidRDefault="008626B6" w:rsidP="008626B6">
      <w:pPr>
        <w:pStyle w:val="NoSpacing"/>
        <w:ind w:left="720"/>
        <w:rPr>
          <w:bCs/>
        </w:rPr>
      </w:pPr>
    </w:p>
    <w:p w14:paraId="58396876" w14:textId="77777777" w:rsidR="008626B6" w:rsidRPr="0092040A" w:rsidRDefault="008626B6" w:rsidP="008626B6">
      <w:pPr>
        <w:pStyle w:val="NoSpacing"/>
        <w:rPr>
          <w:b/>
        </w:rPr>
      </w:pPr>
      <w:r>
        <w:rPr>
          <w:b/>
        </w:rPr>
        <w:t>Legal lesson learned:  Race discrimination case by white officer may now proceed to pre-trial discovery.</w:t>
      </w:r>
    </w:p>
    <w:p w14:paraId="2D695A73" w14:textId="77777777" w:rsidR="008626B6" w:rsidRPr="00951C21" w:rsidRDefault="008626B6" w:rsidP="008626B6">
      <w:pPr>
        <w:ind w:left="720"/>
        <w:rPr>
          <w:bCs/>
        </w:rPr>
      </w:pPr>
    </w:p>
    <w:p w14:paraId="3DBFB09D" w14:textId="77777777" w:rsidR="008626B6" w:rsidRDefault="008626B6" w:rsidP="008626B6">
      <w:pPr>
        <w:pStyle w:val="NoSpacing"/>
        <w:rPr>
          <w:b/>
          <w:bCs/>
        </w:rPr>
      </w:pPr>
    </w:p>
    <w:p w14:paraId="6F1B729A" w14:textId="77777777" w:rsidR="007A3239" w:rsidRDefault="007A3239" w:rsidP="00456C91">
      <w:pPr>
        <w:rPr>
          <w:rFonts w:ascii="Arial Black" w:hAnsi="Arial Black"/>
          <w:b/>
          <w:sz w:val="24"/>
          <w:szCs w:val="24"/>
        </w:rPr>
      </w:pPr>
    </w:p>
    <w:p w14:paraId="5DF67F7B" w14:textId="77777777" w:rsidR="007A3239" w:rsidRDefault="007A3239" w:rsidP="00456C91">
      <w:pPr>
        <w:rPr>
          <w:rFonts w:ascii="Arial Black" w:hAnsi="Arial Black"/>
          <w:b/>
          <w:sz w:val="24"/>
          <w:szCs w:val="24"/>
        </w:rPr>
      </w:pPr>
    </w:p>
    <w:p w14:paraId="36E52733" w14:textId="0B08717D" w:rsidR="00EC0328" w:rsidRDefault="00EC0328" w:rsidP="00456C91">
      <w:pPr>
        <w:rPr>
          <w:rFonts w:ascii="Arial Black" w:hAnsi="Arial Black"/>
          <w:b/>
          <w:sz w:val="24"/>
          <w:szCs w:val="24"/>
        </w:rPr>
      </w:pPr>
      <w:r>
        <w:rPr>
          <w:rFonts w:ascii="Arial Black" w:hAnsi="Arial Black"/>
          <w:b/>
          <w:sz w:val="24"/>
          <w:szCs w:val="24"/>
        </w:rPr>
        <w:t>8-87</w:t>
      </w:r>
    </w:p>
    <w:p w14:paraId="2A1336CA" w14:textId="77777777" w:rsidR="00FA2E76" w:rsidRPr="007B049A" w:rsidRDefault="00FA2E76" w:rsidP="00FA2E76">
      <w:pPr>
        <w:rPr>
          <w:rFonts w:ascii="Arial Black" w:hAnsi="Arial Black"/>
          <w:sz w:val="28"/>
          <w:szCs w:val="28"/>
        </w:rPr>
      </w:pPr>
      <w:r>
        <w:rPr>
          <w:rFonts w:ascii="Arial Black" w:hAnsi="Arial Black"/>
          <w:sz w:val="28"/>
          <w:szCs w:val="28"/>
        </w:rPr>
        <w:t>OH: 47-YR BLACK - RESIGNED – DEFAMATION / FILED LATE</w:t>
      </w:r>
    </w:p>
    <w:p w14:paraId="3E29BC19" w14:textId="77777777" w:rsidR="00FA2E76" w:rsidRPr="0024556B" w:rsidRDefault="00FA2E76" w:rsidP="00FA2E76">
      <w:pPr>
        <w:rPr>
          <w:b/>
        </w:rPr>
      </w:pPr>
      <w:r>
        <w:t xml:space="preserve">On December 15, 2025, in </w:t>
      </w:r>
      <w:r w:rsidRPr="00C02EC5">
        <w:rPr>
          <w:u w:val="single"/>
        </w:rPr>
        <w:t>Christian Baccus v. City of Columbus Division of Fire</w:t>
      </w:r>
      <w:r>
        <w:t xml:space="preserve">, U.S. District Court Judge </w:t>
      </w:r>
      <w:r w:rsidRPr="00C02EC5">
        <w:t xml:space="preserve">Edmund A. </w:t>
      </w:r>
      <w:proofErr w:type="spellStart"/>
      <w:r w:rsidRPr="00C02EC5">
        <w:t>Sargus</w:t>
      </w:r>
      <w:proofErr w:type="spellEnd"/>
      <w:r>
        <w:t xml:space="preserve">, </w:t>
      </w:r>
      <w:r w:rsidRPr="00C02EC5">
        <w:t>United States District Court, S.D. Ohio, Eastern Division</w:t>
      </w:r>
      <w:r>
        <w:t xml:space="preserve">, as recommended in a Report and Recommendation by U.S. Magistrate Judge Kimberly A. Jolson,  granted the City’s partial motion to dismiss his claims of defamation by training officers. </w:t>
      </w:r>
      <w:r w:rsidRPr="000172AE">
        <w:t>Under Ohio law, an action for libel and slander must be brought “within one year after the cause of action accrued.” Ohio Revised Code § 2305.11(A).</w:t>
      </w:r>
      <w:r>
        <w:t xml:space="preserve">  He resigned on March 14, 2024, and his pro se [no attorney] lawsuit was not filed until </w:t>
      </w:r>
      <w:r w:rsidRPr="0014146E">
        <w:t>June 30, 2025</w:t>
      </w:r>
      <w:r>
        <w:t xml:space="preserve">.  </w:t>
      </w:r>
      <w:hyperlink r:id="rId1512" w:history="1">
        <w:r w:rsidRPr="00B346EB">
          <w:rPr>
            <w:rStyle w:val="Hyperlink"/>
          </w:rPr>
          <w:t>https://public.fastcase.com/Jhe1Qn%2BmJndQYQU6z%2FeNm77nYWugAlzsBoxNmmqkM3E6Q88Vkqy0VZ5SiNrQruK%2B?utm_medium=email&amp;_hsenc=p2ANqtz-9AvFND94NtmZ3W9IwgKnyu4_gZwqiYmIH5_4QpXW_NHE8WVWhb5SJK4Whyo4GFBslMpA9EnrqLvXRYy-</w:t>
        </w:r>
      </w:hyperlink>
      <w:r>
        <w:t xml:space="preserve"> </w:t>
      </w:r>
    </w:p>
    <w:p w14:paraId="6221E751" w14:textId="77777777" w:rsidR="00FA2E76" w:rsidRDefault="00FA2E76" w:rsidP="00FA2E76">
      <w:r>
        <w:t>THE COURT HELD:</w:t>
      </w:r>
    </w:p>
    <w:p w14:paraId="49B3FF44" w14:textId="77777777" w:rsidR="00FA2E76" w:rsidRDefault="00FA2E76" w:rsidP="00FA2E76">
      <w:pPr>
        <w:ind w:left="720"/>
      </w:pPr>
      <w:r>
        <w:t>“</w:t>
      </w:r>
      <w:r w:rsidRPr="001F3E66">
        <w:t xml:space="preserve">This case is about discrimination Plaintiff Christian Baccus allegedly experienced at the hands of the City of Columbus, Division of Fire (the “City”). As told by his </w:t>
      </w:r>
      <w:r w:rsidRPr="001F3E66">
        <w:rPr>
          <w:i/>
          <w:iCs/>
        </w:rPr>
        <w:t>pro se</w:t>
      </w:r>
      <w:r w:rsidRPr="001F3E66">
        <w:t xml:space="preserve"> Amended Complaint, Plaintiff-a Black, 47-year-old man-was employed by the </w:t>
      </w:r>
      <w:proofErr w:type="gramStart"/>
      <w:r w:rsidRPr="001F3E66">
        <w:t>City</w:t>
      </w:r>
      <w:proofErr w:type="gramEnd"/>
      <w:r w:rsidRPr="001F3E66">
        <w:t xml:space="preserve"> as a firefighter in </w:t>
      </w:r>
      <w:r>
        <w:t>‘</w:t>
      </w:r>
      <w:r w:rsidRPr="001F3E66">
        <w:t>Recruit Class #119.</w:t>
      </w:r>
      <w:r>
        <w:t>’</w:t>
      </w:r>
    </w:p>
    <w:p w14:paraId="1954C2AD" w14:textId="77777777" w:rsidR="00FA2E76" w:rsidRDefault="00FA2E76" w:rsidP="00FA2E76">
      <w:pPr>
        <w:ind w:left="720"/>
      </w:pPr>
      <w:r>
        <w:t>***</w:t>
      </w:r>
    </w:p>
    <w:p w14:paraId="63BD1AB2" w14:textId="77777777" w:rsidR="00FA2E76" w:rsidRDefault="00FA2E76" w:rsidP="00FA2E76">
      <w:pPr>
        <w:ind w:left="720"/>
      </w:pPr>
      <w:r w:rsidRPr="00531DA3">
        <w:t>Though not completely clear, it seems that during Fire Assignments, Plaintiff was disciplined by his superiors for aspects of his practical performance</w:t>
      </w:r>
      <w:r>
        <w:t xml:space="preserve">…. </w:t>
      </w:r>
      <w:r w:rsidRPr="00531DA3">
        <w:t xml:space="preserve">He also experienced </w:t>
      </w:r>
      <w:r>
        <w:t>‘</w:t>
      </w:r>
      <w:r w:rsidRPr="00531DA3">
        <w:t>ridicule</w:t>
      </w:r>
      <w:r>
        <w:t>’</w:t>
      </w:r>
      <w:r w:rsidRPr="00531DA3">
        <w:t xml:space="preserve"> at the hands of one of his instructors, and he alleges his superiors </w:t>
      </w:r>
      <w:r>
        <w:t>‘</w:t>
      </w:r>
      <w:r w:rsidRPr="00531DA3">
        <w:t>lied</w:t>
      </w:r>
      <w:r>
        <w:t>’</w:t>
      </w:r>
      <w:r w:rsidRPr="00531DA3">
        <w:t xml:space="preserve"> about him on evaluations and elsewhere</w:t>
      </w:r>
      <w:r>
        <w:t xml:space="preserve">…. </w:t>
      </w:r>
      <w:r w:rsidRPr="00531DA3">
        <w:t xml:space="preserve">Then on March 14, 2024, the </w:t>
      </w:r>
      <w:proofErr w:type="gramStart"/>
      <w:r w:rsidRPr="00531DA3">
        <w:t>City</w:t>
      </w:r>
      <w:proofErr w:type="gramEnd"/>
      <w:r w:rsidRPr="00531DA3">
        <w:t xml:space="preserve"> gave Plaintiff the </w:t>
      </w:r>
      <w:r>
        <w:t>‘</w:t>
      </w:r>
      <w:r w:rsidRPr="00531DA3">
        <w:t>option to resign or be terminated.</w:t>
      </w:r>
      <w:r>
        <w:t xml:space="preserve">’ … </w:t>
      </w:r>
      <w:r w:rsidRPr="00531DA3">
        <w:t xml:space="preserve">Initially Plaintiff opted for termination, but he later </w:t>
      </w:r>
      <w:r>
        <w:t>‘</w:t>
      </w:r>
      <w:r w:rsidRPr="00531DA3">
        <w:t>changed [his] decision to resign.</w:t>
      </w:r>
      <w:r>
        <w:t xml:space="preserve">’ … </w:t>
      </w:r>
      <w:r w:rsidRPr="00531DA3">
        <w:t>Plaintiff further claims that other recruits who were white or women were not treated similarly</w:t>
      </w:r>
      <w:proofErr w:type="gramStart"/>
      <w:r>
        <w:t>…..</w:t>
      </w:r>
      <w:proofErr w:type="gramEnd"/>
      <w:r>
        <w:t xml:space="preserve"> </w:t>
      </w:r>
      <w:r w:rsidRPr="00531DA3">
        <w:t xml:space="preserve">For some, the </w:t>
      </w:r>
      <w:proofErr w:type="gramStart"/>
      <w:r w:rsidRPr="00531DA3">
        <w:t>City</w:t>
      </w:r>
      <w:proofErr w:type="gramEnd"/>
      <w:r w:rsidRPr="00531DA3">
        <w:t xml:space="preserve"> authorized additional training; and for others, the </w:t>
      </w:r>
      <w:proofErr w:type="gramStart"/>
      <w:r w:rsidRPr="00531DA3">
        <w:t>City</w:t>
      </w:r>
      <w:proofErr w:type="gramEnd"/>
      <w:r w:rsidRPr="00531DA3">
        <w:t xml:space="preserve"> allowed enrollment in other recruit classes</w:t>
      </w:r>
      <w:r>
        <w:t xml:space="preserve">…. </w:t>
      </w:r>
      <w:r w:rsidRPr="00531DA3">
        <w:t xml:space="preserve">Plaintiff also says he was </w:t>
      </w:r>
      <w:r>
        <w:t>‘</w:t>
      </w:r>
      <w:r w:rsidRPr="00531DA3">
        <w:t>treated differently</w:t>
      </w:r>
      <w:r>
        <w:t>’</w:t>
      </w:r>
      <w:r w:rsidRPr="00531DA3">
        <w:t xml:space="preserve"> because of his age</w:t>
      </w:r>
      <w:r>
        <w:t xml:space="preserve">…. </w:t>
      </w:r>
      <w:r w:rsidRPr="00531DA3">
        <w:t>Finally, Plaintiff alleges that the City's firefighter recruit evaluation methods are subjective and result in Black male recruits being dismissed at a higher rate than white or female recruits.</w:t>
      </w:r>
    </w:p>
    <w:p w14:paraId="68B6132D" w14:textId="77777777" w:rsidR="00FA2E76" w:rsidRDefault="00FA2E76" w:rsidP="00FA2E76">
      <w:pPr>
        <w:ind w:left="720"/>
      </w:pPr>
      <w:r>
        <w:t>***</w:t>
      </w:r>
    </w:p>
    <w:p w14:paraId="2C0A907F" w14:textId="77777777" w:rsidR="00FA2E76" w:rsidRDefault="00FA2E76" w:rsidP="00FA2E76">
      <w:pPr>
        <w:ind w:left="720"/>
      </w:pPr>
      <w:r w:rsidRPr="00F94BBA">
        <w:t xml:space="preserve">Ultimately, though, the Undersigned need not designate the exact day any of the allegedly defamatory statements happened. As stated, Ohio law is clear that an action for defamation must be brought within one year after the cause of action accrued, and the general rule is the statute of limitations begins to run when the defendant first speaks or publishes the allegedly defamatory words. </w:t>
      </w:r>
      <w:r w:rsidRPr="00F94BBA">
        <w:rPr>
          <w:i/>
          <w:iCs/>
        </w:rPr>
        <w:t>See</w:t>
      </w:r>
      <w:r w:rsidRPr="00F94BBA">
        <w:t xml:space="preserve"> Ohio Revised Code § 2305.11(A); </w:t>
      </w:r>
      <w:r w:rsidRPr="00F94BBA">
        <w:rPr>
          <w:i/>
          <w:iCs/>
        </w:rPr>
        <w:t>Haas</w:t>
      </w:r>
      <w:r w:rsidRPr="00F94BBA">
        <w:t>, 2024 WL 3925724, at *3</w:t>
      </w:r>
      <w:r>
        <w:t>.</w:t>
      </w:r>
    </w:p>
    <w:p w14:paraId="2C56283D" w14:textId="77777777" w:rsidR="00FA2E76" w:rsidRDefault="00FA2E76" w:rsidP="00FA2E76">
      <w:pPr>
        <w:ind w:left="720"/>
      </w:pPr>
      <w:r>
        <w:t>***</w:t>
      </w:r>
    </w:p>
    <w:p w14:paraId="0052664F" w14:textId="77777777" w:rsidR="00FA2E76" w:rsidRDefault="00FA2E76" w:rsidP="00FA2E76">
      <w:pPr>
        <w:ind w:left="720"/>
      </w:pPr>
      <w:r w:rsidRPr="000214B3">
        <w:t>Taken together, this means that Plaintiff's Amended Complaint may assert defamation claims only for statements spoken or published on or after June 30, 2024-within one year of when he initiated this action. Any prior claims are time-barred.</w:t>
      </w:r>
      <w:r>
        <w:t>”</w:t>
      </w:r>
    </w:p>
    <w:p w14:paraId="742B9660" w14:textId="77777777" w:rsidR="00FA2E76" w:rsidRPr="00F94BBA" w:rsidRDefault="00FA2E76" w:rsidP="00FA2E76">
      <w:pPr>
        <w:rPr>
          <w:b/>
          <w:bCs/>
        </w:rPr>
      </w:pPr>
      <w:r>
        <w:rPr>
          <w:b/>
        </w:rPr>
        <w:t xml:space="preserve">Legal lesson learned:  The defamation claims are dismissed; pretrial discovery may now proceed on the race and age claims. </w:t>
      </w:r>
    </w:p>
    <w:p w14:paraId="5B7BDDE4" w14:textId="77777777" w:rsidR="00EC0328" w:rsidRDefault="00EC0328" w:rsidP="00456C91">
      <w:pPr>
        <w:rPr>
          <w:rFonts w:ascii="Arial Black" w:hAnsi="Arial Black"/>
          <w:b/>
          <w:sz w:val="24"/>
          <w:szCs w:val="24"/>
        </w:rPr>
      </w:pPr>
    </w:p>
    <w:p w14:paraId="375F1D20" w14:textId="101D9F7B" w:rsidR="005D6817" w:rsidRDefault="005D6817" w:rsidP="00456C91">
      <w:pPr>
        <w:rPr>
          <w:rFonts w:ascii="Arial Black" w:hAnsi="Arial Black"/>
          <w:b/>
          <w:sz w:val="24"/>
          <w:szCs w:val="24"/>
        </w:rPr>
      </w:pPr>
      <w:r>
        <w:rPr>
          <w:rFonts w:ascii="Arial Black" w:hAnsi="Arial Black"/>
          <w:b/>
          <w:sz w:val="24"/>
          <w:szCs w:val="24"/>
        </w:rPr>
        <w:t>8-86</w:t>
      </w:r>
    </w:p>
    <w:p w14:paraId="45AA0B71" w14:textId="046811E4" w:rsidR="005D6817" w:rsidRDefault="005D6817" w:rsidP="005D6817">
      <w:pPr>
        <w:pStyle w:val="NoSpacing"/>
        <w:rPr>
          <w:rFonts w:ascii="Arial Black" w:hAnsi="Arial Black"/>
          <w:sz w:val="28"/>
          <w:szCs w:val="28"/>
        </w:rPr>
      </w:pPr>
      <w:r>
        <w:rPr>
          <w:rFonts w:ascii="Arial Black" w:hAnsi="Arial Black"/>
          <w:sz w:val="28"/>
          <w:szCs w:val="28"/>
        </w:rPr>
        <w:t>MD: BLACK FF – NO PROMOTION</w:t>
      </w:r>
      <w:r w:rsidR="00F70392">
        <w:rPr>
          <w:rFonts w:ascii="Arial Black" w:hAnsi="Arial Black"/>
          <w:sz w:val="28"/>
          <w:szCs w:val="28"/>
        </w:rPr>
        <w:t xml:space="preserve"> / RETALIATION</w:t>
      </w:r>
      <w:r>
        <w:rPr>
          <w:rFonts w:ascii="Arial Black" w:hAnsi="Arial Black"/>
          <w:sz w:val="28"/>
          <w:szCs w:val="28"/>
        </w:rPr>
        <w:t xml:space="preserve"> – JURY $311K </w:t>
      </w:r>
    </w:p>
    <w:p w14:paraId="5F1ED2D5" w14:textId="77777777" w:rsidR="00E024F9" w:rsidRDefault="00E024F9" w:rsidP="005D6817">
      <w:pPr>
        <w:pStyle w:val="NoSpacing"/>
      </w:pPr>
    </w:p>
    <w:p w14:paraId="53469C82" w14:textId="150E42A1" w:rsidR="005D6817" w:rsidRPr="00F2752F" w:rsidRDefault="005D6817" w:rsidP="005D6817">
      <w:pPr>
        <w:pStyle w:val="NoSpacing"/>
        <w:rPr>
          <w:bCs/>
        </w:rPr>
      </w:pPr>
      <w:r>
        <w:t xml:space="preserve">On November 4, 2025, in </w:t>
      </w:r>
      <w:r w:rsidRPr="0049359A">
        <w:rPr>
          <w:u w:val="single"/>
        </w:rPr>
        <w:t>Anne Arundel County, Maryland v. Bradley Willis</w:t>
      </w:r>
      <w:r>
        <w:t xml:space="preserve">, the </w:t>
      </w:r>
      <w:r w:rsidRPr="0049359A">
        <w:t>Court of Special Appeals of Maryland</w:t>
      </w:r>
      <w:r>
        <w:t xml:space="preserve">, held (3 to 0) that trial court </w:t>
      </w:r>
      <w:r w:rsidRPr="003B7259">
        <w:t>was well within its discretion to find a reasonable jury intended to award Willis $173,000.00</w:t>
      </w:r>
      <w:r>
        <w:t xml:space="preserve"> </w:t>
      </w:r>
      <w:r w:rsidRPr="003B7259">
        <w:t>in backpay.</w:t>
      </w:r>
      <w:r>
        <w:t xml:space="preserve">  THE COURT WROTE: “</w:t>
      </w:r>
      <w:r w:rsidRPr="00F2752F">
        <w:t>Bradley Willis was a Captain in the Anne Arundel County Fire Department until he</w:t>
      </w:r>
    </w:p>
    <w:p w14:paraId="39E0BE34" w14:textId="09870186" w:rsidR="005D6817" w:rsidRDefault="005D6817" w:rsidP="005D6817">
      <w:pPr>
        <w:pStyle w:val="NoSpacing"/>
        <w:rPr>
          <w:bCs/>
        </w:rPr>
      </w:pPr>
      <w:r w:rsidRPr="00F2752F">
        <w:t>was demoted to Firefighter II, suspended temporarily, and prohibited from a promotion for</w:t>
      </w:r>
      <w:r w:rsidR="00C62C35">
        <w:t xml:space="preserve"> </w:t>
      </w:r>
      <w:r w:rsidRPr="00F2752F">
        <w:t>three years after he was found guilty of misconduct. Willis unsuccessfully sued the County</w:t>
      </w:r>
      <w:r w:rsidR="00C62C35">
        <w:t xml:space="preserve"> </w:t>
      </w:r>
      <w:r w:rsidRPr="00F2752F">
        <w:t>claiming his demotion was racially motivated</w:t>
      </w:r>
      <w:r>
        <w:t xml:space="preserve">…. </w:t>
      </w:r>
      <w:r w:rsidRPr="0081665D">
        <w:t xml:space="preserve">Allan </w:t>
      </w:r>
      <w:r w:rsidRPr="0081665D">
        <w:lastRenderedPageBreak/>
        <w:t>Graves (“Chief Graves”) was the Fire Chief of Anne Arundel County when</w:t>
      </w:r>
      <w:r>
        <w:t xml:space="preserve"> </w:t>
      </w:r>
      <w:r w:rsidRPr="0081665D">
        <w:t xml:space="preserve">Willis sued. </w:t>
      </w:r>
      <w:proofErr w:type="spellStart"/>
      <w:r w:rsidRPr="0081665D">
        <w:t>Some time</w:t>
      </w:r>
      <w:proofErr w:type="spellEnd"/>
      <w:r w:rsidRPr="0081665D">
        <w:t xml:space="preserve"> after his unsuccessful lawsuit, Willis became eligible for a</w:t>
      </w:r>
      <w:r>
        <w:t xml:space="preserve"> </w:t>
      </w:r>
      <w:r w:rsidRPr="0081665D">
        <w:t>promotion to the rank of Lieutenant. Willis scored second out of 100 candidates on the</w:t>
      </w:r>
      <w:r>
        <w:t xml:space="preserve"> </w:t>
      </w:r>
      <w:r w:rsidRPr="0081665D">
        <w:t>Lieutenant’s examination. When a vacancy became available, Chief Graves appointed the</w:t>
      </w:r>
      <w:r>
        <w:t xml:space="preserve"> </w:t>
      </w:r>
      <w:r w:rsidRPr="0081665D">
        <w:t>first ranked candidate; however, when a second vacancy opened, Chief Graves passed over</w:t>
      </w:r>
      <w:r>
        <w:t xml:space="preserve"> </w:t>
      </w:r>
      <w:r w:rsidRPr="0081665D">
        <w:t xml:space="preserve">Willis </w:t>
      </w:r>
      <w:r>
        <w:t xml:space="preserve">[on </w:t>
      </w:r>
      <w:r w:rsidRPr="009159FB">
        <w:t>September 20, 2018</w:t>
      </w:r>
      <w:r>
        <w:t xml:space="preserve">] </w:t>
      </w:r>
      <w:r w:rsidRPr="0081665D">
        <w:t>and promoted the third ranked candidate. Willis became a Lieutenant</w:t>
      </w:r>
      <w:r>
        <w:t xml:space="preserve"> [on </w:t>
      </w:r>
      <w:r w:rsidRPr="001C3EBB">
        <w:t>September 5, 2019</w:t>
      </w:r>
      <w:r>
        <w:t>]</w:t>
      </w:r>
      <w:r w:rsidRPr="0081665D">
        <w:t xml:space="preserve"> only after</w:t>
      </w:r>
      <w:r>
        <w:t xml:space="preserve"> </w:t>
      </w:r>
      <w:r w:rsidRPr="0081665D">
        <w:t>Chief Trisha Wolford succeeded Chief Graves</w:t>
      </w:r>
      <w:r>
        <w:t xml:space="preserve">…. </w:t>
      </w:r>
      <w:r w:rsidRPr="00A50C52">
        <w:t>The trial</w:t>
      </w:r>
      <w:r>
        <w:t xml:space="preserve"> </w:t>
      </w:r>
      <w:r w:rsidRPr="00A50C52">
        <w:t>eventually took place over four days in April 2024</w:t>
      </w:r>
      <w:r>
        <w:t xml:space="preserve">…. </w:t>
      </w:r>
      <w:r w:rsidRPr="007A44FF">
        <w:t>The jury ultimately ruled in Willis’ favor, finding that Chief’s Graves’ decision not</w:t>
      </w:r>
      <w:r>
        <w:t xml:space="preserve"> </w:t>
      </w:r>
      <w:r w:rsidRPr="007A44FF">
        <w:t>to promote Willis was retaliatory. After reaching that conclusion, the jury calculated</w:t>
      </w:r>
      <w:r>
        <w:t xml:space="preserve"> </w:t>
      </w:r>
      <w:r w:rsidRPr="007A44FF">
        <w:t>Willis’ damages</w:t>
      </w:r>
      <w:r>
        <w:t xml:space="preserve">…. </w:t>
      </w:r>
      <w:r w:rsidRPr="00074004">
        <w:t>The jury awarded Willis $311,000.00 in total, with the verdict sheet detailing their award</w:t>
      </w:r>
      <w:r>
        <w:t xml:space="preserve"> </w:t>
      </w:r>
      <w:r w:rsidRPr="00074004">
        <w:t xml:space="preserve">of $173,000.00 for </w:t>
      </w:r>
      <w:r>
        <w:t>‘</w:t>
      </w:r>
      <w:r w:rsidRPr="00074004">
        <w:t>Back Pay</w:t>
      </w:r>
      <w:r>
        <w:t>’</w:t>
      </w:r>
      <w:r w:rsidRPr="00074004">
        <w:t xml:space="preserve"> and $138,000.00 for </w:t>
      </w:r>
      <w:r>
        <w:t>‘</w:t>
      </w:r>
      <w:r w:rsidRPr="00074004">
        <w:t>Other Damages.</w:t>
      </w:r>
      <w:r>
        <w:t xml:space="preserve">’ </w:t>
      </w:r>
      <w:r w:rsidRPr="005069C2">
        <w:t>Following the</w:t>
      </w:r>
      <w:r>
        <w:t xml:space="preserve"> </w:t>
      </w:r>
      <w:r w:rsidRPr="005069C2">
        <w:t>court’s entry of final judgment, the County filed a Motion for Judgment Notwithstanding</w:t>
      </w:r>
      <w:r>
        <w:t xml:space="preserve"> </w:t>
      </w:r>
      <w:r w:rsidRPr="005069C2">
        <w:t>the Verdict, which the court denied.</w:t>
      </w:r>
      <w:r>
        <w:t>”</w:t>
      </w:r>
    </w:p>
    <w:p w14:paraId="7DEDAA20" w14:textId="77777777" w:rsidR="005D6817" w:rsidRDefault="005D6817" w:rsidP="005D6817">
      <w:pPr>
        <w:pStyle w:val="NoSpacing"/>
        <w:rPr>
          <w:bCs/>
        </w:rPr>
      </w:pPr>
      <w:hyperlink r:id="rId1513" w:history="1">
        <w:r w:rsidRPr="005B3B90">
          <w:rPr>
            <w:rStyle w:val="Hyperlink"/>
          </w:rPr>
          <w:t>https://www.mdcourts.gov/sites/default/files/unreported-opinions/1234s24.pdf</w:t>
        </w:r>
      </w:hyperlink>
      <w:r>
        <w:t xml:space="preserve"> </w:t>
      </w:r>
    </w:p>
    <w:p w14:paraId="21A49AA4" w14:textId="77777777" w:rsidR="005D6817" w:rsidRDefault="005D6817" w:rsidP="005D6817">
      <w:pPr>
        <w:pStyle w:val="NoSpacing"/>
        <w:rPr>
          <w:bCs/>
        </w:rPr>
      </w:pPr>
    </w:p>
    <w:p w14:paraId="42CD59B9" w14:textId="77777777" w:rsidR="005D6817" w:rsidRDefault="005D6817" w:rsidP="005D6817">
      <w:pPr>
        <w:pStyle w:val="NoSpacing"/>
        <w:rPr>
          <w:bCs/>
        </w:rPr>
      </w:pPr>
      <w:r>
        <w:t>THE COURT HELD:</w:t>
      </w:r>
    </w:p>
    <w:p w14:paraId="5AF7E75F" w14:textId="77777777" w:rsidR="005D6817" w:rsidRDefault="005D6817" w:rsidP="005D6817">
      <w:pPr>
        <w:pStyle w:val="NoSpacing"/>
        <w:rPr>
          <w:bCs/>
        </w:rPr>
      </w:pPr>
    </w:p>
    <w:p w14:paraId="73740731" w14:textId="77777777" w:rsidR="005D6817" w:rsidRDefault="005D6817" w:rsidP="005D6817">
      <w:pPr>
        <w:pStyle w:val="NoSpacing"/>
        <w:ind w:firstLine="720"/>
      </w:pPr>
      <w:r>
        <w:t>“Willis contends the jury’s verdict was supported by ample facts and expert opinion</w:t>
      </w:r>
    </w:p>
    <w:p w14:paraId="4544E148" w14:textId="77777777" w:rsidR="005D6817" w:rsidRDefault="005D6817" w:rsidP="005D6817">
      <w:pPr>
        <w:pStyle w:val="NoSpacing"/>
        <w:ind w:firstLine="720"/>
      </w:pPr>
      <w:r>
        <w:t>evidence. Specifically, he argues his expert economist, Rosenberg, provided several</w:t>
      </w:r>
    </w:p>
    <w:p w14:paraId="7E835202" w14:textId="77777777" w:rsidR="005D6817" w:rsidRDefault="005D6817" w:rsidP="005D6817">
      <w:pPr>
        <w:pStyle w:val="NoSpacing"/>
        <w:ind w:firstLine="720"/>
      </w:pPr>
      <w:r>
        <w:t>scenarios to guide the jury’s assessment of a damages award. Willis further maintains the</w:t>
      </w:r>
    </w:p>
    <w:p w14:paraId="0EEE022D" w14:textId="77777777" w:rsidR="005D6817" w:rsidRDefault="005D6817" w:rsidP="005D6817">
      <w:pPr>
        <w:pStyle w:val="NoSpacing"/>
        <w:ind w:firstLine="720"/>
      </w:pPr>
      <w:r>
        <w:t>County did not rebut Rosenberg’s calculations with its own economist’s opinion or other</w:t>
      </w:r>
    </w:p>
    <w:p w14:paraId="5BD63E1B" w14:textId="77777777" w:rsidR="005D6817" w:rsidRDefault="005D6817" w:rsidP="005D6817">
      <w:pPr>
        <w:pStyle w:val="NoSpacing"/>
        <w:ind w:firstLine="720"/>
      </w:pPr>
      <w:r>
        <w:t>contrary evidence. Willis argues his being passed over for the promotion had a cascading</w:t>
      </w:r>
    </w:p>
    <w:p w14:paraId="45196FC5" w14:textId="77777777" w:rsidR="005D6817" w:rsidRDefault="005D6817" w:rsidP="005D6817">
      <w:pPr>
        <w:pStyle w:val="NoSpacing"/>
        <w:ind w:firstLine="720"/>
      </w:pPr>
      <w:r>
        <w:t>effect on his career because it caused him to not be able to apply for further promotions,</w:t>
      </w:r>
    </w:p>
    <w:p w14:paraId="7BE1A9DC" w14:textId="77777777" w:rsidR="005D6817" w:rsidRDefault="005D6817" w:rsidP="005D6817">
      <w:pPr>
        <w:pStyle w:val="NoSpacing"/>
        <w:ind w:firstLine="720"/>
      </w:pPr>
      <w:r>
        <w:t>such as to Captain, for several years. Finally, Willis contends the jury’s verdict was not</w:t>
      </w:r>
    </w:p>
    <w:p w14:paraId="1B3E6033" w14:textId="77777777" w:rsidR="005D6817" w:rsidRDefault="005D6817" w:rsidP="005D6817">
      <w:pPr>
        <w:pStyle w:val="NoSpacing"/>
        <w:ind w:firstLine="720"/>
      </w:pPr>
      <w:r>
        <w:t>based on speculation. Indeed, the jury’s award of $173,000.00 reflected almost precisely</w:t>
      </w:r>
    </w:p>
    <w:p w14:paraId="42FD40FF" w14:textId="77777777" w:rsidR="005D6817" w:rsidRDefault="005D6817" w:rsidP="005D6817">
      <w:pPr>
        <w:pStyle w:val="NoSpacing"/>
        <w:ind w:firstLine="720"/>
      </w:pPr>
      <w:r>
        <w:t>the amount of total economic damages Rosenberg projected, assuming Willis would have</w:t>
      </w:r>
    </w:p>
    <w:p w14:paraId="08B34085" w14:textId="77777777" w:rsidR="005D6817" w:rsidRDefault="005D6817" w:rsidP="005D6817">
      <w:pPr>
        <w:pStyle w:val="NoSpacing"/>
        <w:ind w:firstLine="720"/>
      </w:pPr>
      <w:r>
        <w:t>re-obtained rank of Captain during the remainder of his career.</w:t>
      </w:r>
    </w:p>
    <w:p w14:paraId="5FBEE589" w14:textId="77777777" w:rsidR="005D6817" w:rsidRDefault="005D6817" w:rsidP="005D6817">
      <w:pPr>
        <w:pStyle w:val="NoSpacing"/>
        <w:ind w:firstLine="720"/>
      </w:pPr>
    </w:p>
    <w:p w14:paraId="3978B3F4" w14:textId="77777777" w:rsidR="005D6817" w:rsidRDefault="005D6817" w:rsidP="005D6817">
      <w:pPr>
        <w:pStyle w:val="NoSpacing"/>
        <w:ind w:firstLine="720"/>
      </w:pPr>
      <w:r>
        <w:t>***</w:t>
      </w:r>
    </w:p>
    <w:p w14:paraId="669C62CB" w14:textId="77777777" w:rsidR="005D6817" w:rsidRDefault="005D6817" w:rsidP="005D6817">
      <w:pPr>
        <w:pStyle w:val="NoSpacing"/>
        <w:ind w:left="720"/>
      </w:pPr>
      <w:r>
        <w:t xml:space="preserve">Here, as discussed, Rosenberg [Joseph Rosenberg, a forensic economist] went further than flatly saying what he believed the </w:t>
      </w:r>
      <w:proofErr w:type="gramStart"/>
      <w:r>
        <w:t>damages were</w:t>
      </w:r>
      <w:proofErr w:type="gramEnd"/>
      <w:r>
        <w:t>. He presented the jury with four possible scenarios to guide their calculations. These scenarios were backed with data such as salary projections and excerpts from the firefighter’s handbook. The four forecasts were adjusted for multiple factors such as taxes, mortality rates over the years, and cost of living.</w:t>
      </w:r>
    </w:p>
    <w:p w14:paraId="1886E6B5" w14:textId="77777777" w:rsidR="005D6817" w:rsidRDefault="005D6817" w:rsidP="005D6817">
      <w:pPr>
        <w:pStyle w:val="NoSpacing"/>
        <w:ind w:left="720"/>
      </w:pPr>
    </w:p>
    <w:p w14:paraId="0A4D62E2" w14:textId="77777777" w:rsidR="005D6817" w:rsidRDefault="005D6817" w:rsidP="005D6817">
      <w:pPr>
        <w:pStyle w:val="NoSpacing"/>
        <w:ind w:left="720"/>
      </w:pPr>
      <w:r w:rsidRPr="00E328A8">
        <w:t>What is telling, however, is that the</w:t>
      </w:r>
      <w:r>
        <w:t xml:space="preserve"> jury’s award for backpay of $173,000.00 matched, almost precisely, the total award suggested by Rosenberg ($173,077.00) in one of his four possible scenarios. This suggests the jury </w:t>
      </w:r>
      <w:proofErr w:type="gramStart"/>
      <w:r>
        <w:t>considered</w:t>
      </w:r>
      <w:proofErr w:type="gramEnd"/>
      <w:r>
        <w:t xml:space="preserve"> the evidence and testimony presented, and their verdict reflected their understanding and intent to award Willis total economic damages. Thus, the evidence produced at trial rose above speculation, hypothesis, or conjecture, and it supported the jury’s verdict with reasonable certainty. Therefore, we affirm”</w:t>
      </w:r>
    </w:p>
    <w:p w14:paraId="55D72342" w14:textId="77777777" w:rsidR="005D6817" w:rsidRDefault="005D6817" w:rsidP="005D6817">
      <w:pPr>
        <w:pStyle w:val="NoSpacing"/>
        <w:ind w:left="720"/>
      </w:pPr>
    </w:p>
    <w:p w14:paraId="39708CCB" w14:textId="0C3240A5" w:rsidR="005D6817" w:rsidRDefault="005D6817" w:rsidP="005D6817">
      <w:pPr>
        <w:pStyle w:val="NoSpacing"/>
        <w:rPr>
          <w:b/>
          <w:bCs/>
        </w:rPr>
      </w:pPr>
      <w:r>
        <w:rPr>
          <w:b/>
        </w:rPr>
        <w:t>Legal lesson learned: The plaintiff won back pay</w:t>
      </w:r>
      <w:r w:rsidR="00C14B11">
        <w:rPr>
          <w:b/>
        </w:rPr>
        <w:t xml:space="preserve"> from the jury</w:t>
      </w:r>
      <w:r>
        <w:rPr>
          <w:b/>
        </w:rPr>
        <w:t xml:space="preserve">, </w:t>
      </w:r>
      <w:r w:rsidR="008F4842">
        <w:rPr>
          <w:b/>
        </w:rPr>
        <w:t xml:space="preserve">and </w:t>
      </w:r>
      <w:r>
        <w:rPr>
          <w:b/>
        </w:rPr>
        <w:t>the trial c</w:t>
      </w:r>
      <w:r w:rsidRPr="003E385E">
        <w:rPr>
          <w:b/>
        </w:rPr>
        <w:t xml:space="preserve">ourt </w:t>
      </w:r>
      <w:r>
        <w:rPr>
          <w:b/>
        </w:rPr>
        <w:t xml:space="preserve">judge </w:t>
      </w:r>
      <w:r w:rsidRPr="003E385E">
        <w:rPr>
          <w:b/>
        </w:rPr>
        <w:t>awarded $317,016.28 in attorneys’ fees and costs</w:t>
      </w:r>
      <w:r>
        <w:rPr>
          <w:b/>
        </w:rPr>
        <w:t xml:space="preserve"> </w:t>
      </w:r>
      <w:r w:rsidRPr="003E385E">
        <w:rPr>
          <w:b/>
        </w:rPr>
        <w:t>of $19,942.84.</w:t>
      </w:r>
    </w:p>
    <w:p w14:paraId="2DD61E37" w14:textId="77777777" w:rsidR="005D6817" w:rsidRDefault="005D6817" w:rsidP="005D6817">
      <w:pPr>
        <w:pStyle w:val="NoSpacing"/>
        <w:rPr>
          <w:b/>
          <w:bCs/>
        </w:rPr>
      </w:pPr>
    </w:p>
    <w:p w14:paraId="2864FF7C" w14:textId="77777777" w:rsidR="005D6817" w:rsidRDefault="005D6817" w:rsidP="00456C91">
      <w:pPr>
        <w:rPr>
          <w:rFonts w:ascii="Arial Black" w:hAnsi="Arial Black"/>
          <w:b/>
          <w:sz w:val="24"/>
          <w:szCs w:val="24"/>
        </w:rPr>
      </w:pPr>
    </w:p>
    <w:p w14:paraId="62928E9E" w14:textId="77777777" w:rsidR="005D6817" w:rsidRDefault="005D6817" w:rsidP="00456C91">
      <w:pPr>
        <w:rPr>
          <w:rFonts w:ascii="Arial Black" w:hAnsi="Arial Black"/>
          <w:b/>
          <w:sz w:val="24"/>
          <w:szCs w:val="24"/>
        </w:rPr>
      </w:pPr>
    </w:p>
    <w:p w14:paraId="08DBF633" w14:textId="56ED2433" w:rsidR="009D5C36" w:rsidRDefault="009D5C36" w:rsidP="00456C91">
      <w:pPr>
        <w:rPr>
          <w:rFonts w:ascii="Arial Black" w:hAnsi="Arial Black"/>
          <w:b/>
          <w:sz w:val="24"/>
          <w:szCs w:val="24"/>
        </w:rPr>
      </w:pPr>
      <w:r>
        <w:rPr>
          <w:rFonts w:ascii="Arial Black" w:hAnsi="Arial Black"/>
          <w:b/>
          <w:sz w:val="24"/>
          <w:szCs w:val="24"/>
        </w:rPr>
        <w:t>8-85</w:t>
      </w:r>
    </w:p>
    <w:p w14:paraId="567E36C3" w14:textId="77777777" w:rsidR="00E22376" w:rsidRPr="00586222" w:rsidRDefault="00E22376" w:rsidP="00E22376">
      <w:pPr>
        <w:pStyle w:val="NoSpacing"/>
        <w:rPr>
          <w:rFonts w:ascii="Arial Black" w:hAnsi="Arial Black"/>
          <w:sz w:val="28"/>
          <w:szCs w:val="28"/>
        </w:rPr>
      </w:pPr>
      <w:r>
        <w:rPr>
          <w:rFonts w:ascii="Arial Black" w:hAnsi="Arial Black"/>
          <w:sz w:val="28"/>
          <w:szCs w:val="28"/>
        </w:rPr>
        <w:t>CA: CAPT PROMOTION – PAPERWORK ERROR / NOT RACE</w:t>
      </w:r>
    </w:p>
    <w:p w14:paraId="4307C9EE" w14:textId="77777777" w:rsidR="00E22376" w:rsidRDefault="00E22376" w:rsidP="00E22376">
      <w:pPr>
        <w:pStyle w:val="NoSpacing"/>
      </w:pPr>
    </w:p>
    <w:p w14:paraId="1CDA894D" w14:textId="77777777" w:rsidR="00E22376" w:rsidRDefault="00E22376" w:rsidP="00E22376">
      <w:pPr>
        <w:pStyle w:val="NoSpacing"/>
        <w:rPr>
          <w:b/>
        </w:rPr>
      </w:pPr>
      <w:r>
        <w:t xml:space="preserve">On Oct. 21, 2025, in </w:t>
      </w:r>
      <w:r w:rsidRPr="00032EE9">
        <w:rPr>
          <w:u w:val="single"/>
        </w:rPr>
        <w:t>Christopher Davis v. County of Los Angeles</w:t>
      </w:r>
      <w:r>
        <w:t xml:space="preserve">, the </w:t>
      </w:r>
      <w:r w:rsidRPr="00032EE9">
        <w:t xml:space="preserve">California Court of </w:t>
      </w:r>
      <w:proofErr w:type="gramStart"/>
      <w:r w:rsidRPr="00032EE9">
        <w:t>Appeals</w:t>
      </w:r>
      <w:proofErr w:type="gramEnd"/>
      <w:r w:rsidRPr="00032EE9">
        <w:t>, Second District, Second Division</w:t>
      </w:r>
      <w:r>
        <w:t xml:space="preserve"> held (3 to 0) that trial court granted summary judgment to the County. He was not promoted to Captain in 2018; his Captain (also </w:t>
      </w:r>
      <w:proofErr w:type="gramStart"/>
      <w:r>
        <w:t>African-American</w:t>
      </w:r>
      <w:proofErr w:type="gramEnd"/>
      <w:r>
        <w:t xml:space="preserve">) prepared a memo updating plaintiff’s work activities (7 “Emergency Action Plan” activities, instead of 2 ) but memo never made it into FF’s personnel file. Six other candidates had similar issues </w:t>
      </w:r>
      <w:r>
        <w:lastRenderedPageBreak/>
        <w:t xml:space="preserve">with lack of records in their personnel file.   He was promoted in 2021 with corrected paperwork in his file.  </w:t>
      </w:r>
      <w:hyperlink r:id="rId1514" w:history="1">
        <w:r w:rsidRPr="00222699">
          <w:rPr>
            <w:rStyle w:val="Hyperlink"/>
            <w:b/>
          </w:rPr>
          <w:t>https://www4.courts.ca.gov/opinions/nonpub/B332575.PDF</w:t>
        </w:r>
      </w:hyperlink>
      <w:r>
        <w:rPr>
          <w:b/>
        </w:rPr>
        <w:t xml:space="preserve"> </w:t>
      </w:r>
    </w:p>
    <w:p w14:paraId="06D220A6" w14:textId="77777777" w:rsidR="00E22376" w:rsidRDefault="00E22376" w:rsidP="00E22376">
      <w:pPr>
        <w:pStyle w:val="NoSpacing"/>
        <w:rPr>
          <w:bCs/>
        </w:rPr>
      </w:pPr>
    </w:p>
    <w:p w14:paraId="463B3355" w14:textId="77777777" w:rsidR="00E22376" w:rsidRDefault="00E22376" w:rsidP="00E22376">
      <w:pPr>
        <w:pStyle w:val="NoSpacing"/>
        <w:rPr>
          <w:bCs/>
        </w:rPr>
      </w:pPr>
      <w:r>
        <w:t xml:space="preserve">THE COURT HELD:  </w:t>
      </w:r>
    </w:p>
    <w:p w14:paraId="682D121A" w14:textId="77777777" w:rsidR="00E22376" w:rsidRDefault="00E22376" w:rsidP="00E22376">
      <w:pPr>
        <w:pStyle w:val="NoSpacing"/>
        <w:rPr>
          <w:bCs/>
        </w:rPr>
      </w:pPr>
    </w:p>
    <w:p w14:paraId="241C6190" w14:textId="77777777" w:rsidR="00E22376" w:rsidRDefault="00E22376" w:rsidP="00E22376">
      <w:pPr>
        <w:pStyle w:val="NoSpacing"/>
        <w:ind w:left="720"/>
      </w:pPr>
      <w:r>
        <w:t xml:space="preserve">“First, there is no evidence the fire department—led by an </w:t>
      </w:r>
      <w:proofErr w:type="gramStart"/>
      <w:r>
        <w:t>African-American</w:t>
      </w:r>
      <w:proofErr w:type="gramEnd"/>
      <w:r>
        <w:t xml:space="preserve"> fire chief—harbored discriminatory intent. Davis’s direct supervisor, Captain Williams, is </w:t>
      </w:r>
      <w:proofErr w:type="gramStart"/>
      <w:r>
        <w:t>African-American</w:t>
      </w:r>
      <w:proofErr w:type="gramEnd"/>
      <w:r>
        <w:t xml:space="preserve">. Eleven </w:t>
      </w:r>
      <w:proofErr w:type="gramStart"/>
      <w:r>
        <w:t>African-Americans</w:t>
      </w:r>
      <w:proofErr w:type="gramEnd"/>
      <w:r>
        <w:t xml:space="preserve"> applied for a captainship, and 10 of them were promoted. Davis himself was promoted to captain the next year when he reapplied using improved paperwork.</w:t>
      </w:r>
    </w:p>
    <w:p w14:paraId="6FD79D4A" w14:textId="77777777" w:rsidR="00E22376" w:rsidRDefault="00E22376" w:rsidP="00E22376">
      <w:pPr>
        <w:pStyle w:val="NoSpacing"/>
        <w:ind w:left="720"/>
      </w:pPr>
    </w:p>
    <w:p w14:paraId="3DBA00C4" w14:textId="77777777" w:rsidR="00E22376" w:rsidRDefault="00E22376" w:rsidP="00E22376">
      <w:pPr>
        <w:pStyle w:val="NoSpacing"/>
        <w:ind w:left="720"/>
      </w:pPr>
      <w:r>
        <w:t>***</w:t>
      </w:r>
    </w:p>
    <w:p w14:paraId="23BC33CD" w14:textId="77777777" w:rsidR="00E22376" w:rsidRPr="004A682C" w:rsidRDefault="00E22376" w:rsidP="00E22376">
      <w:pPr>
        <w:pStyle w:val="NoSpacing"/>
        <w:ind w:left="720"/>
        <w:rPr>
          <w:bCs/>
        </w:rPr>
      </w:pPr>
    </w:p>
    <w:p w14:paraId="061BF5B9" w14:textId="77777777" w:rsidR="00E22376" w:rsidRDefault="00E22376" w:rsidP="00E22376">
      <w:pPr>
        <w:pStyle w:val="NoSpacing"/>
        <w:ind w:left="720"/>
      </w:pPr>
      <w:r>
        <w:t xml:space="preserve">Davis’s description of events in his brief shows his promotion was delayed by administrative error. He writes that his supervisor, Captain </w:t>
      </w:r>
      <w:proofErr w:type="gramStart"/>
      <w:r>
        <w:t>Williams, ‘</w:t>
      </w:r>
      <w:proofErr w:type="gramEnd"/>
      <w:r>
        <w:t xml:space="preserve">originally failed to include a list of [Davis’s] EAP’s in </w:t>
      </w:r>
      <w:proofErr w:type="spellStart"/>
      <w:r>
        <w:t>Davis’</w:t>
      </w:r>
      <w:proofErr w:type="spellEnd"/>
      <w:r>
        <w:t xml:space="preserve"> Performance Evaluation.’ Davis does not claim Williams, who is </w:t>
      </w:r>
      <w:proofErr w:type="gramStart"/>
      <w:r>
        <w:t>African-American</w:t>
      </w:r>
      <w:proofErr w:type="gramEnd"/>
      <w:r>
        <w:t xml:space="preserve">, was motivated by racism. Davis further writes that Williams agreed to amend the evaluation, and ‘was expected to send the amended page to the appropriate person or department such that the Performance Evaluation could be officially amended and an amended copy placed in </w:t>
      </w:r>
      <w:proofErr w:type="spellStart"/>
      <w:r>
        <w:t>Davis’</w:t>
      </w:r>
      <w:proofErr w:type="spellEnd"/>
      <w:r>
        <w:t xml:space="preserve"> personnel file. . . . While Williams intended to send the amendment page of the performance evaluation up through channels, Davis later discovered his performance evaluation that should have contained the amendment was not back in his personnel file. He surmises, ‘it is highly likely that the amended performance evaluation got lost in the chain.’</w:t>
      </w:r>
    </w:p>
    <w:p w14:paraId="79AE8129" w14:textId="77777777" w:rsidR="00E22376" w:rsidRDefault="00E22376" w:rsidP="00E22376">
      <w:pPr>
        <w:pStyle w:val="NoSpacing"/>
        <w:ind w:left="720"/>
      </w:pPr>
    </w:p>
    <w:p w14:paraId="369E029F" w14:textId="77777777" w:rsidR="00E22376" w:rsidRDefault="00E22376" w:rsidP="00E22376">
      <w:pPr>
        <w:pStyle w:val="NoSpacing"/>
        <w:ind w:left="720"/>
      </w:pPr>
      <w:r>
        <w:t>***</w:t>
      </w:r>
    </w:p>
    <w:p w14:paraId="66D769FF" w14:textId="77777777" w:rsidR="00E22376" w:rsidRDefault="00E22376" w:rsidP="00E22376">
      <w:pPr>
        <w:pStyle w:val="NoSpacing"/>
        <w:ind w:left="720"/>
      </w:pPr>
      <w:r>
        <w:t>County offered evidence that six candidates of various races (Latino, White, and Filipino) were denied points for insufficiently documented work activities; Davis was not treated differently.”</w:t>
      </w:r>
    </w:p>
    <w:p w14:paraId="710A4C7A" w14:textId="77777777" w:rsidR="00E22376" w:rsidRDefault="00E22376" w:rsidP="00E22376">
      <w:pPr>
        <w:pStyle w:val="NoSpacing"/>
        <w:ind w:left="720"/>
      </w:pPr>
    </w:p>
    <w:p w14:paraId="3324D34A" w14:textId="7F8AA682" w:rsidR="00E22376" w:rsidRDefault="00E22376" w:rsidP="00E22376">
      <w:pPr>
        <w:pStyle w:val="NoSpacing"/>
        <w:rPr>
          <w:b/>
          <w:bCs/>
        </w:rPr>
      </w:pPr>
      <w:r>
        <w:rPr>
          <w:b/>
        </w:rPr>
        <w:t xml:space="preserve">Lesson learned: The County proved that there was a paperwork issue, </w:t>
      </w:r>
      <w:proofErr w:type="gramStart"/>
      <w:r>
        <w:rPr>
          <w:b/>
        </w:rPr>
        <w:t>similar to</w:t>
      </w:r>
      <w:proofErr w:type="gramEnd"/>
      <w:r>
        <w:rPr>
          <w:b/>
        </w:rPr>
        <w:t xml:space="preserve"> six other candidates, not race.  </w:t>
      </w:r>
    </w:p>
    <w:p w14:paraId="0CF017CB" w14:textId="77777777" w:rsidR="009D5C36" w:rsidRDefault="009D5C36" w:rsidP="00456C91">
      <w:pPr>
        <w:rPr>
          <w:rFonts w:ascii="Arial Black" w:hAnsi="Arial Black"/>
          <w:b/>
          <w:sz w:val="24"/>
          <w:szCs w:val="24"/>
        </w:rPr>
      </w:pPr>
    </w:p>
    <w:p w14:paraId="1D8FC3DD" w14:textId="77777777" w:rsidR="001B367D" w:rsidRDefault="001B367D" w:rsidP="00456C91">
      <w:pPr>
        <w:rPr>
          <w:rFonts w:ascii="Arial Black" w:hAnsi="Arial Black"/>
          <w:b/>
          <w:sz w:val="24"/>
          <w:szCs w:val="24"/>
        </w:rPr>
      </w:pPr>
    </w:p>
    <w:p w14:paraId="1E6F89B8" w14:textId="7E002B3E" w:rsidR="001B367D" w:rsidRDefault="001B367D" w:rsidP="00456C91">
      <w:pPr>
        <w:rPr>
          <w:rFonts w:ascii="Arial Black" w:hAnsi="Arial Black"/>
          <w:b/>
          <w:sz w:val="24"/>
          <w:szCs w:val="24"/>
        </w:rPr>
      </w:pPr>
      <w:r>
        <w:rPr>
          <w:rFonts w:ascii="Arial Black" w:hAnsi="Arial Black"/>
          <w:b/>
          <w:sz w:val="24"/>
          <w:szCs w:val="24"/>
        </w:rPr>
        <w:t>8-84</w:t>
      </w:r>
    </w:p>
    <w:p w14:paraId="4805D631" w14:textId="1703EA61" w:rsidR="00BE5492" w:rsidRDefault="00BE5492" w:rsidP="00BE5492">
      <w:pPr>
        <w:pStyle w:val="NoSpacing"/>
        <w:rPr>
          <w:rFonts w:ascii="Arial Black" w:hAnsi="Arial Black"/>
          <w:sz w:val="28"/>
          <w:szCs w:val="28"/>
        </w:rPr>
      </w:pPr>
      <w:r>
        <w:rPr>
          <w:rFonts w:ascii="Arial Black" w:hAnsi="Arial Black"/>
          <w:sz w:val="28"/>
          <w:szCs w:val="28"/>
        </w:rPr>
        <w:t>LA: NOT RACE  – COMPETENCY EXAM</w:t>
      </w:r>
      <w:r w:rsidR="0012290C">
        <w:rPr>
          <w:rFonts w:ascii="Arial Black" w:hAnsi="Arial Black"/>
          <w:sz w:val="28"/>
          <w:szCs w:val="28"/>
        </w:rPr>
        <w:t xml:space="preserve"> IN</w:t>
      </w:r>
      <w:r>
        <w:rPr>
          <w:rFonts w:ascii="Arial Black" w:hAnsi="Arial Black"/>
          <w:sz w:val="28"/>
          <w:szCs w:val="28"/>
        </w:rPr>
        <w:t xml:space="preserve"> PRE-PLANS JOB REQ. </w:t>
      </w:r>
    </w:p>
    <w:p w14:paraId="22F6F27D" w14:textId="77777777" w:rsidR="00BE5492" w:rsidRDefault="00BE5492" w:rsidP="00BE5492">
      <w:pPr>
        <w:pStyle w:val="NoSpacing"/>
      </w:pPr>
    </w:p>
    <w:p w14:paraId="76C17355" w14:textId="77777777" w:rsidR="00BE5492" w:rsidRPr="005D412D" w:rsidRDefault="00BE5492" w:rsidP="00BE5492">
      <w:pPr>
        <w:pStyle w:val="NoSpacing"/>
        <w:rPr>
          <w:bCs/>
        </w:rPr>
      </w:pPr>
      <w:r>
        <w:t xml:space="preserve">On Oct. 17, 2025, in </w:t>
      </w:r>
      <w:r w:rsidRPr="005D412D">
        <w:rPr>
          <w:u w:val="single"/>
        </w:rPr>
        <w:t>Felicia Scroggins v. City of Shreveport</w:t>
      </w:r>
      <w:r w:rsidRPr="005D412D">
        <w:t xml:space="preserve">, </w:t>
      </w:r>
      <w:r>
        <w:t>the U.S. Court of Appeals for 5</w:t>
      </w:r>
      <w:r w:rsidRPr="005D412D">
        <w:rPr>
          <w:vertAlign w:val="superscript"/>
        </w:rPr>
        <w:t>th</w:t>
      </w:r>
      <w:r>
        <w:t xml:space="preserve"> Circuit (New Orleans) upheld (3 to 0) the dismissal of her race and sex discrimination lawsuit. In her pro se appeal brief “</w:t>
      </w:r>
      <w:r w:rsidRPr="00012AD3">
        <w:t>of the ten cases Scroggins cites, four appear to be fake</w:t>
      </w:r>
      <w:r>
        <w:t>.”  The fire department conducted a competency exam for personnel seeking to join the pre-plan review unit;   she didn’t even take the exam for the second bid process. Court held that the U.S. District Court judge granted summary judgment to the city, and “</w:t>
      </w:r>
      <w:r w:rsidRPr="00AE3FCF">
        <w:t xml:space="preserve">explained that she had failed to </w:t>
      </w:r>
      <w:r>
        <w:t>‘</w:t>
      </w:r>
      <w:r w:rsidRPr="00AE3FCF">
        <w:t>produce[] . . .</w:t>
      </w:r>
      <w:r>
        <w:t xml:space="preserve"> </w:t>
      </w:r>
      <w:r w:rsidRPr="00AE3FCF">
        <w:t>competent summary judgment evidence</w:t>
      </w:r>
      <w:r>
        <w:t>’</w:t>
      </w:r>
      <w:r w:rsidRPr="00AE3FCF">
        <w:t xml:space="preserve"> of pretext necessary to survive</w:t>
      </w:r>
      <w:r>
        <w:t xml:space="preserve"> </w:t>
      </w:r>
      <w:r w:rsidRPr="00AE3FCF">
        <w:t>summary judgment on any theory of retaliation</w:t>
      </w:r>
      <w:r>
        <w:t xml:space="preserve">… </w:t>
      </w:r>
      <w:r w:rsidRPr="00AE3FCF">
        <w:t>She points us to no part of</w:t>
      </w:r>
      <w:r>
        <w:t xml:space="preserve"> </w:t>
      </w:r>
      <w:r w:rsidRPr="00AE3FCF">
        <w:t>the record showing otherwise and has accordingly forfeited her challenge.</w:t>
      </w:r>
      <w:r>
        <w:t xml:space="preserve">” </w:t>
      </w:r>
      <w:r w:rsidRPr="00226503">
        <w:t>Scroggins ceased employment with the SFD in January 2023.</w:t>
      </w:r>
    </w:p>
    <w:p w14:paraId="7672807B" w14:textId="77777777" w:rsidR="00BE5492" w:rsidRDefault="00BE5492" w:rsidP="00BE5492">
      <w:pPr>
        <w:pStyle w:val="NoSpacing"/>
        <w:rPr>
          <w:bCs/>
        </w:rPr>
      </w:pPr>
      <w:hyperlink r:id="rId1515" w:history="1">
        <w:r w:rsidRPr="00D86B5D">
          <w:rPr>
            <w:rStyle w:val="Hyperlink"/>
          </w:rPr>
          <w:t>https://www.ca5.uscourts.gov/opinions/pub/24/24-30777-CV0.pdf</w:t>
        </w:r>
      </w:hyperlink>
      <w:r>
        <w:t xml:space="preserve"> </w:t>
      </w:r>
    </w:p>
    <w:p w14:paraId="21B7F196" w14:textId="77777777" w:rsidR="00BE5492" w:rsidRDefault="00BE5492" w:rsidP="00BE5492">
      <w:pPr>
        <w:pStyle w:val="NoSpacing"/>
        <w:rPr>
          <w:bCs/>
        </w:rPr>
      </w:pPr>
    </w:p>
    <w:p w14:paraId="28BBC78F" w14:textId="77777777" w:rsidR="00BE5492" w:rsidRDefault="00BE5492" w:rsidP="00BE5492">
      <w:pPr>
        <w:pStyle w:val="NoSpacing"/>
        <w:rPr>
          <w:bCs/>
        </w:rPr>
      </w:pPr>
      <w:r>
        <w:t xml:space="preserve">THE DISRICT COURT HOLDING: </w:t>
      </w:r>
    </w:p>
    <w:p w14:paraId="46E3780A" w14:textId="77777777" w:rsidR="00BE5492" w:rsidRDefault="00BE5492" w:rsidP="00BE5492">
      <w:pPr>
        <w:pStyle w:val="NoSpacing"/>
        <w:rPr>
          <w:bCs/>
        </w:rPr>
      </w:pPr>
    </w:p>
    <w:p w14:paraId="1F80EF3A" w14:textId="77777777" w:rsidR="00BE5492" w:rsidRDefault="00BE5492" w:rsidP="00BE5492">
      <w:pPr>
        <w:pStyle w:val="NoSpacing"/>
        <w:rPr>
          <w:bCs/>
        </w:rPr>
      </w:pPr>
      <w:r>
        <w:t xml:space="preserve">On Nov. 13, 2024, United States District Court Judge S. Maurica Hicks, Jr. granted summary judgment to the </w:t>
      </w:r>
      <w:proofErr w:type="gramStart"/>
      <w:r>
        <w:t>City</w:t>
      </w:r>
      <w:proofErr w:type="gramEnd"/>
      <w:r>
        <w:t xml:space="preserve">. </w:t>
      </w:r>
      <w:hyperlink r:id="rId1516" w:history="1">
        <w:r w:rsidRPr="00D86B5D">
          <w:rPr>
            <w:rStyle w:val="Hyperlink"/>
          </w:rPr>
          <w:t>https://www.casemine.com/judgement/us/6736ce6c5891a561b0d805aa</w:t>
        </w:r>
      </w:hyperlink>
      <w:r>
        <w:t xml:space="preserve"> </w:t>
      </w:r>
    </w:p>
    <w:p w14:paraId="30664483" w14:textId="77777777" w:rsidR="00BE5492" w:rsidRDefault="00BE5492" w:rsidP="00BE5492">
      <w:pPr>
        <w:pStyle w:val="NoSpacing"/>
      </w:pPr>
    </w:p>
    <w:p w14:paraId="5E5F1128" w14:textId="77777777" w:rsidR="00BE5492" w:rsidRPr="000E3394" w:rsidRDefault="00BE5492" w:rsidP="00BE5492">
      <w:pPr>
        <w:pStyle w:val="NoSpacing"/>
      </w:pPr>
      <w:r>
        <w:tab/>
        <w:t>“</w:t>
      </w:r>
      <w:r w:rsidRPr="000E3394">
        <w:t>In his sworn declaration, Chief Scott Wolverton (</w:t>
      </w:r>
      <w:r>
        <w:t>‘</w:t>
      </w:r>
      <w:r w:rsidRPr="000E3394">
        <w:t>Chief Wolverton</w:t>
      </w:r>
      <w:r>
        <w:t>’</w:t>
      </w:r>
      <w:r w:rsidRPr="000E3394">
        <w:t xml:space="preserve">) stated: </w:t>
      </w:r>
    </w:p>
    <w:p w14:paraId="002214E2" w14:textId="77777777" w:rsidR="00BE5492" w:rsidRDefault="00BE5492" w:rsidP="00BE5492">
      <w:pPr>
        <w:pStyle w:val="NoSpacing"/>
        <w:ind w:left="1440"/>
      </w:pPr>
      <w:r w:rsidRPr="000E3394">
        <w:lastRenderedPageBreak/>
        <w:t xml:space="preserve">After I became Chief in February 2015, I decided to implement a competency test on pre-plans for all SFD personnel bidding for as assignment at Station 22. I did so to ensure that Station 22 would be staffed </w:t>
      </w:r>
      <w:r>
        <w:t xml:space="preserve"> </w:t>
      </w:r>
      <w:r w:rsidRPr="000E3394">
        <w:t>by individuals that were the most knowledgeable on pre-</w:t>
      </w:r>
      <w:proofErr w:type="gramStart"/>
      <w:r w:rsidRPr="000E3394">
        <w:t>plans</w:t>
      </w:r>
      <w:proofErr w:type="gramEnd"/>
      <w:r w:rsidRPr="000E3394">
        <w:t xml:space="preserve">, because they are vitally important to the SFD's mission and operations. </w:t>
      </w:r>
    </w:p>
    <w:p w14:paraId="3687E46A" w14:textId="77777777" w:rsidR="00BE5492" w:rsidRDefault="00BE5492" w:rsidP="00BE5492">
      <w:pPr>
        <w:pStyle w:val="NoSpacing"/>
      </w:pPr>
      <w:r>
        <w:tab/>
        <w:t>***</w:t>
      </w:r>
    </w:p>
    <w:p w14:paraId="165286D6" w14:textId="77777777" w:rsidR="00BE5492" w:rsidRDefault="00BE5492" w:rsidP="00BE5492">
      <w:pPr>
        <w:pStyle w:val="NoSpacing"/>
      </w:pPr>
    </w:p>
    <w:p w14:paraId="770B76D0" w14:textId="77777777" w:rsidR="00BE5492" w:rsidRDefault="00BE5492" w:rsidP="00BE5492">
      <w:pPr>
        <w:pStyle w:val="NoSpacing"/>
        <w:ind w:left="720"/>
      </w:pPr>
      <w:r w:rsidRPr="007805E1">
        <w:t>On August 10, 2015, Deputy Chief Jones issued an Inter-Office Memorandum to all SFD personnel advising that all personnel - regardless of rank - bidding for a position at Station 22 would be required to complete a competency test to ensure they have the necessary skills for the assignment</w:t>
      </w:r>
      <w:r>
        <w:t>….</w:t>
      </w:r>
      <w:r w:rsidRPr="005C5356">
        <w:t>The competency test was administered between September 10-16, 2015</w:t>
      </w:r>
      <w:r>
        <w:t xml:space="preserve">…. </w:t>
      </w:r>
      <w:r w:rsidRPr="007D1E86">
        <w:t>Scroggins admits that she “chose not to even begin the test.”</w:t>
      </w:r>
    </w:p>
    <w:p w14:paraId="0DD9F6D0" w14:textId="77777777" w:rsidR="00BE5492" w:rsidRDefault="00BE5492" w:rsidP="00BE5492">
      <w:pPr>
        <w:pStyle w:val="NoSpacing"/>
        <w:ind w:left="720"/>
      </w:pPr>
    </w:p>
    <w:p w14:paraId="7DDE36BE" w14:textId="04273A6C" w:rsidR="00BE5492" w:rsidRPr="008D55C4" w:rsidRDefault="00BE5492" w:rsidP="00BE5492">
      <w:pPr>
        <w:pStyle w:val="NoSpacing"/>
        <w:rPr>
          <w:b/>
          <w:bCs/>
        </w:rPr>
      </w:pPr>
      <w:r>
        <w:rPr>
          <w:b/>
        </w:rPr>
        <w:t>Lesson learned: Competency exam is excellent way to fill a pre-plan review position.</w:t>
      </w:r>
    </w:p>
    <w:p w14:paraId="50E7052B" w14:textId="77777777" w:rsidR="00BE5492" w:rsidRDefault="00BE5492" w:rsidP="00BE5492">
      <w:pPr>
        <w:pStyle w:val="NoSpacing"/>
        <w:ind w:left="720"/>
      </w:pPr>
    </w:p>
    <w:p w14:paraId="03710A78" w14:textId="77777777" w:rsidR="009D5C36" w:rsidRDefault="009D5C36" w:rsidP="00456C91">
      <w:pPr>
        <w:rPr>
          <w:rFonts w:ascii="Arial Black" w:hAnsi="Arial Black"/>
          <w:b/>
          <w:sz w:val="24"/>
          <w:szCs w:val="24"/>
        </w:rPr>
      </w:pPr>
    </w:p>
    <w:p w14:paraId="22A92447" w14:textId="5560F3AD" w:rsidR="000F3890" w:rsidRDefault="000F3890" w:rsidP="00456C91">
      <w:pPr>
        <w:rPr>
          <w:rFonts w:ascii="Arial Black" w:hAnsi="Arial Black"/>
          <w:b/>
          <w:sz w:val="24"/>
          <w:szCs w:val="24"/>
        </w:rPr>
      </w:pPr>
      <w:r>
        <w:rPr>
          <w:rFonts w:ascii="Arial Black" w:hAnsi="Arial Black"/>
          <w:b/>
          <w:sz w:val="24"/>
          <w:szCs w:val="24"/>
        </w:rPr>
        <w:t>8-83</w:t>
      </w:r>
    </w:p>
    <w:p w14:paraId="6E4CA291" w14:textId="77777777" w:rsidR="000F3890" w:rsidRDefault="000F3890" w:rsidP="000F3890">
      <w:pPr>
        <w:rPr>
          <w:rFonts w:ascii="Arial Black" w:hAnsi="Arial Black"/>
          <w:b/>
          <w:sz w:val="28"/>
          <w:szCs w:val="28"/>
        </w:rPr>
      </w:pPr>
      <w:r>
        <w:rPr>
          <w:rFonts w:ascii="Arial Black" w:hAnsi="Arial Black"/>
          <w:b/>
          <w:sz w:val="28"/>
          <w:szCs w:val="28"/>
        </w:rPr>
        <w:t xml:space="preserve">KS: PROMOTION 4 D/C – PANEL RATED BLACK LOWEST </w:t>
      </w:r>
    </w:p>
    <w:p w14:paraId="0D05824D" w14:textId="77777777" w:rsidR="000F3890" w:rsidRDefault="000F3890" w:rsidP="000F3890">
      <w:pPr>
        <w:rPr>
          <w:bCs/>
        </w:rPr>
      </w:pPr>
      <w:r w:rsidRPr="00291724">
        <w:t xml:space="preserve">On Sept. 3, 2025, in </w:t>
      </w:r>
      <w:r w:rsidRPr="00291724">
        <w:rPr>
          <w:u w:val="single"/>
        </w:rPr>
        <w:t>Brently Dorsey v. City of Topeka, Kansas</w:t>
      </w:r>
      <w:r w:rsidRPr="00291724">
        <w:t xml:space="preserve">, </w:t>
      </w:r>
      <w:r>
        <w:t xml:space="preserve">U.S. District Court Judge Holly L. Teeter, United States District Court for District of Kansas, granted defense motion for summary judgment after close of discovery concerning Black Captain’s allegations of race discrimination and violation of Americans with Disabilities Act.  He had been on light duty for </w:t>
      </w:r>
      <w:r w:rsidRPr="00F54F8D">
        <w:t>leukemia</w:t>
      </w:r>
      <w:r>
        <w:t xml:space="preserve">. Seven candidates were interviewed for the four open District Chief positions.  They were interviewed by panel of four (3 outside the FD ).  Plaintiff scored lowest (117 points); four highest were promoted (174; 168; 164; 161).  </w:t>
      </w:r>
    </w:p>
    <w:p w14:paraId="27646D8F" w14:textId="77777777" w:rsidR="000F3890" w:rsidRDefault="000F3890" w:rsidP="000F3890">
      <w:r w:rsidRPr="0028702B">
        <w:rPr>
          <w:b/>
        </w:rPr>
        <w:t xml:space="preserve">THE COURT HELD: </w:t>
      </w:r>
      <w:r>
        <w:t>“</w:t>
      </w:r>
      <w:r w:rsidRPr="00404A20">
        <w:t xml:space="preserve">He scored seventh out of seven and there were only four open Division Chief positions. The promotions went to the top four scorers…. </w:t>
      </w:r>
      <w:r w:rsidRPr="003C5836">
        <w:t>In sum, Dorsey points to almost nothing that would allow a factfinder to believe that the stated, non-discriminatory reason for the promotions was unworthy of belief</w:t>
      </w:r>
      <w:r>
        <w:t xml:space="preserve">…. </w:t>
      </w:r>
      <w:r w:rsidRPr="000F378A">
        <w:t xml:space="preserve">But there is nothing in the record that </w:t>
      </w:r>
      <w:r>
        <w:t xml:space="preserve">[Fire Chief Randy] </w:t>
      </w:r>
      <w:r w:rsidRPr="000F378A">
        <w:t>Phillips</w:t>
      </w:r>
      <w:r>
        <w:t xml:space="preserve"> (white male)</w:t>
      </w:r>
      <w:r w:rsidRPr="000F378A">
        <w:t xml:space="preserve"> or </w:t>
      </w:r>
      <w:r>
        <w:t xml:space="preserve">[Deputy </w:t>
      </w:r>
      <w:r w:rsidRPr="004D25A2">
        <w:t>Antony</w:t>
      </w:r>
      <w:r>
        <w:t xml:space="preserve">] </w:t>
      </w:r>
      <w:r w:rsidRPr="000F378A">
        <w:t xml:space="preserve">Standifer </w:t>
      </w:r>
      <w:r>
        <w:t xml:space="preserve">(Hispanic male) </w:t>
      </w:r>
      <w:r w:rsidRPr="000F378A">
        <w:t>have any racial animus toward Dorsey or anyone else. Dorsey is not entitled to a trial for race discrimination simply because there have been historical issues or because other firefighters have brought claims of race discrimination unrelated to this case. Mere conjecture that race discrimination is afoot is not enough to defeat summary judgment.</w:t>
      </w:r>
      <w:r>
        <w:t xml:space="preserve">” </w:t>
      </w:r>
      <w:hyperlink r:id="rId1517" w:history="1">
        <w:r w:rsidRPr="00204094">
          <w:rPr>
            <w:rStyle w:val="Hyperlink"/>
          </w:rPr>
          <w:t>https://cases.justia.com/federal/district-courts/kansas/ksdce/2:2023cv02422/149254/113/0.pdf?ts=1756979784</w:t>
        </w:r>
      </w:hyperlink>
      <w:r>
        <w:t xml:space="preserve"> </w:t>
      </w:r>
    </w:p>
    <w:p w14:paraId="52CBD985" w14:textId="77777777" w:rsidR="000F3890" w:rsidRPr="008A2BFE" w:rsidRDefault="000F3890" w:rsidP="000F3890">
      <w:pPr>
        <w:rPr>
          <w:b/>
          <w:bCs/>
        </w:rPr>
      </w:pPr>
      <w:r w:rsidRPr="008A2BFE">
        <w:rPr>
          <w:b/>
        </w:rPr>
        <w:t xml:space="preserve">KEY FACTS: </w:t>
      </w:r>
    </w:p>
    <w:p w14:paraId="7164A399" w14:textId="77777777" w:rsidR="000F3890" w:rsidRDefault="000F3890" w:rsidP="000F3890">
      <w:pPr>
        <w:pStyle w:val="NoSpacing"/>
        <w:ind w:left="720"/>
      </w:pPr>
      <w:r>
        <w:t xml:space="preserve">“Dorsey was not promoted to Division Chief in 2022 and contends the decision not to promote him was discrimination based on race and disability. The </w:t>
      </w:r>
      <w:proofErr w:type="gramStart"/>
      <w:r>
        <w:t>City</w:t>
      </w:r>
      <w:proofErr w:type="gramEnd"/>
      <w:r>
        <w:t xml:space="preserve"> contends it did not promote Dorsey because he received the lowest scores. The </w:t>
      </w:r>
      <w:proofErr w:type="gramStart"/>
      <w:r>
        <w:t>City</w:t>
      </w:r>
      <w:proofErr w:type="gramEnd"/>
      <w:r>
        <w:t xml:space="preserve"> notes that Dorsey and six others interviewed for four open positions. Dorsey scored the lowest; the top four scorers were promoted into the four open positions. The </w:t>
      </w:r>
      <w:proofErr w:type="gramStart"/>
      <w:r>
        <w:t>City</w:t>
      </w:r>
      <w:proofErr w:type="gramEnd"/>
      <w:r>
        <w:t xml:space="preserve"> moves for summary judgment on all claims. Doc. 97.</w:t>
      </w:r>
    </w:p>
    <w:p w14:paraId="3CE50E15" w14:textId="77777777" w:rsidR="000F3890" w:rsidRDefault="000F3890" w:rsidP="000F3890">
      <w:pPr>
        <w:pStyle w:val="NoSpacing"/>
        <w:ind w:left="720"/>
      </w:pPr>
    </w:p>
    <w:p w14:paraId="3A5A0BE1" w14:textId="77777777" w:rsidR="000F3890" w:rsidRDefault="000F3890" w:rsidP="000F3890">
      <w:pPr>
        <w:pStyle w:val="NoSpacing"/>
        <w:ind w:left="720"/>
      </w:pPr>
      <w:r>
        <w:t xml:space="preserve">The Court grants the motion and enters judgment in favor of the </w:t>
      </w:r>
      <w:proofErr w:type="gramStart"/>
      <w:r>
        <w:t>City</w:t>
      </w:r>
      <w:proofErr w:type="gramEnd"/>
      <w:r>
        <w:t>. Dorsey’s claim for</w:t>
      </w:r>
    </w:p>
    <w:p w14:paraId="2B867ED2" w14:textId="77777777" w:rsidR="000F3890" w:rsidRDefault="000F3890" w:rsidP="000F3890">
      <w:pPr>
        <w:pStyle w:val="NoSpacing"/>
        <w:ind w:left="720"/>
      </w:pPr>
      <w:r>
        <w:t xml:space="preserve">race discrimination fails because he has not come forward with evidence of pretext. Dorsey’s claim for disability discrimination fails because he can’t show discrimination or pretext. Dorsey’s claim for constructive discharge fails because he voluntarily retired. And Dorsey’s failure-to-accommodate claim fails because a promotion is not a reasonable accommodation and because </w:t>
      </w:r>
      <w:proofErr w:type="spellStart"/>
      <w:r>
        <w:t>hewas</w:t>
      </w:r>
      <w:proofErr w:type="spellEnd"/>
      <w:r>
        <w:t xml:space="preserve"> otherwise accommodated until he voluntarily retired.”</w:t>
      </w:r>
    </w:p>
    <w:p w14:paraId="61BC0E16" w14:textId="77777777" w:rsidR="000F3890" w:rsidRDefault="000F3890" w:rsidP="000F3890"/>
    <w:p w14:paraId="06754CFE" w14:textId="77777777" w:rsidR="000F3890" w:rsidRPr="00272DFC" w:rsidRDefault="000F3890" w:rsidP="000F3890">
      <w:pPr>
        <w:rPr>
          <w:b/>
          <w:bCs/>
        </w:rPr>
      </w:pPr>
      <w:r>
        <w:lastRenderedPageBreak/>
        <w:t>“</w:t>
      </w:r>
      <w:r w:rsidRPr="00272DFC">
        <w:rPr>
          <w:b/>
        </w:rPr>
        <w:t>Legal lesson learned: The promotion process was fair; plaintiff had no evidence of race discrimination or disability discrimination.</w:t>
      </w:r>
    </w:p>
    <w:p w14:paraId="30DFE481" w14:textId="77777777" w:rsidR="000F3890" w:rsidRDefault="000F3890" w:rsidP="00456C91">
      <w:pPr>
        <w:rPr>
          <w:rFonts w:ascii="Arial Black" w:hAnsi="Arial Black"/>
          <w:b/>
          <w:sz w:val="24"/>
          <w:szCs w:val="24"/>
        </w:rPr>
      </w:pPr>
    </w:p>
    <w:p w14:paraId="2AB86CF2" w14:textId="7081712E" w:rsidR="006959F8" w:rsidRDefault="006959F8" w:rsidP="00456C91">
      <w:pPr>
        <w:rPr>
          <w:rFonts w:ascii="Arial Black" w:hAnsi="Arial Black"/>
          <w:b/>
          <w:sz w:val="24"/>
          <w:szCs w:val="24"/>
        </w:rPr>
      </w:pPr>
      <w:r>
        <w:rPr>
          <w:rFonts w:ascii="Arial Black" w:hAnsi="Arial Black"/>
          <w:b/>
          <w:sz w:val="24"/>
          <w:szCs w:val="24"/>
        </w:rPr>
        <w:t>8-</w:t>
      </w:r>
      <w:r w:rsidR="008409F5">
        <w:rPr>
          <w:rFonts w:ascii="Arial Black" w:hAnsi="Arial Black"/>
          <w:b/>
          <w:sz w:val="24"/>
          <w:szCs w:val="24"/>
        </w:rPr>
        <w:t>8</w:t>
      </w:r>
      <w:r w:rsidR="00113A3A">
        <w:rPr>
          <w:rFonts w:ascii="Arial Black" w:hAnsi="Arial Black"/>
          <w:b/>
          <w:sz w:val="24"/>
          <w:szCs w:val="24"/>
        </w:rPr>
        <w:t>2</w:t>
      </w:r>
    </w:p>
    <w:p w14:paraId="3CA66241" w14:textId="77777777" w:rsidR="00FD4027" w:rsidRDefault="00F779AB" w:rsidP="00F779AB">
      <w:pPr>
        <w:rPr>
          <w:rFonts w:ascii="Arial Black" w:hAnsi="Arial Black"/>
          <w:b/>
          <w:sz w:val="28"/>
          <w:szCs w:val="28"/>
        </w:rPr>
      </w:pPr>
      <w:r>
        <w:rPr>
          <w:rFonts w:ascii="Arial Black" w:hAnsi="Arial Black"/>
          <w:b/>
          <w:sz w:val="28"/>
          <w:szCs w:val="28"/>
        </w:rPr>
        <w:t xml:space="preserve">CA: </w:t>
      </w:r>
      <w:r w:rsidR="005779CA">
        <w:rPr>
          <w:rFonts w:ascii="Arial Black" w:hAnsi="Arial Black"/>
          <w:b/>
          <w:sz w:val="28"/>
          <w:szCs w:val="28"/>
        </w:rPr>
        <w:t xml:space="preserve">REPRIMANDS </w:t>
      </w:r>
      <w:r w:rsidR="00C4400E">
        <w:rPr>
          <w:rFonts w:ascii="Arial Black" w:hAnsi="Arial Black"/>
          <w:b/>
          <w:sz w:val="28"/>
          <w:szCs w:val="28"/>
        </w:rPr>
        <w:t xml:space="preserve">/ </w:t>
      </w:r>
      <w:r>
        <w:rPr>
          <w:rFonts w:ascii="Arial Black" w:hAnsi="Arial Black"/>
          <w:b/>
          <w:sz w:val="28"/>
          <w:szCs w:val="28"/>
        </w:rPr>
        <w:t xml:space="preserve">NEG. PERFORM. REVIEWS </w:t>
      </w:r>
      <w:r w:rsidR="00075181">
        <w:rPr>
          <w:rFonts w:ascii="Arial Black" w:hAnsi="Arial Black"/>
          <w:b/>
          <w:sz w:val="28"/>
          <w:szCs w:val="28"/>
        </w:rPr>
        <w:t>–</w:t>
      </w:r>
      <w:r>
        <w:rPr>
          <w:rFonts w:ascii="Arial Black" w:hAnsi="Arial Black"/>
          <w:b/>
          <w:sz w:val="28"/>
          <w:szCs w:val="28"/>
        </w:rPr>
        <w:t xml:space="preserve"> </w:t>
      </w:r>
      <w:r w:rsidR="00D262D0">
        <w:rPr>
          <w:rFonts w:ascii="Arial Black" w:hAnsi="Arial Black"/>
          <w:b/>
          <w:sz w:val="28"/>
          <w:szCs w:val="28"/>
        </w:rPr>
        <w:t xml:space="preserve">BLACK </w:t>
      </w:r>
      <w:r w:rsidR="005779CA">
        <w:rPr>
          <w:rFonts w:ascii="Arial Black" w:hAnsi="Arial Black"/>
          <w:b/>
          <w:sz w:val="28"/>
          <w:szCs w:val="28"/>
        </w:rPr>
        <w:t xml:space="preserve">PROB FF - </w:t>
      </w:r>
      <w:r w:rsidR="00075181">
        <w:rPr>
          <w:rFonts w:ascii="Arial Black" w:hAnsi="Arial Black"/>
          <w:b/>
          <w:sz w:val="28"/>
          <w:szCs w:val="28"/>
        </w:rPr>
        <w:t xml:space="preserve">NO CASE </w:t>
      </w:r>
    </w:p>
    <w:p w14:paraId="4EBC2363" w14:textId="3227D1BF" w:rsidR="00910090" w:rsidRPr="007E74FE" w:rsidRDefault="00F779AB" w:rsidP="00F779AB">
      <w:pPr>
        <w:rPr>
          <w:rFonts w:ascii="Times New Roman" w:hAnsi="Times New Roman"/>
          <w:sz w:val="24"/>
          <w:szCs w:val="24"/>
        </w:rPr>
      </w:pPr>
      <w:r w:rsidRPr="007E74FE">
        <w:rPr>
          <w:rFonts w:ascii="Times New Roman" w:hAnsi="Times New Roman"/>
          <w:sz w:val="24"/>
          <w:szCs w:val="24"/>
        </w:rPr>
        <w:t xml:space="preserve">On July 28, 2025, in </w:t>
      </w:r>
      <w:r w:rsidRPr="007E74FE">
        <w:rPr>
          <w:rFonts w:ascii="Times New Roman" w:hAnsi="Times New Roman"/>
          <w:sz w:val="24"/>
          <w:szCs w:val="24"/>
          <w:u w:val="single"/>
        </w:rPr>
        <w:t>Waris Gildersleeve v. City of Sacramento, Grian Brust, David Lauchner, et al.</w:t>
      </w:r>
      <w:r w:rsidRPr="007E74FE">
        <w:rPr>
          <w:rFonts w:ascii="Times New Roman" w:hAnsi="Times New Roman"/>
          <w:sz w:val="24"/>
          <w:szCs w:val="24"/>
        </w:rPr>
        <w:t xml:space="preserve">, Senior U.S. District Court Judge John A. Mendez, granted summary judgment to the two officers.  Gildersleeve is a firefighter with the City of Sacramento and has been an employee since 2005. During his probationary </w:t>
      </w:r>
      <w:proofErr w:type="gramStart"/>
      <w:r w:rsidRPr="007E74FE">
        <w:rPr>
          <w:rFonts w:ascii="Times New Roman" w:hAnsi="Times New Roman"/>
          <w:sz w:val="24"/>
          <w:szCs w:val="24"/>
        </w:rPr>
        <w:t>period</w:t>
      </w:r>
      <w:proofErr w:type="gramEnd"/>
      <w:r w:rsidRPr="007E74FE">
        <w:rPr>
          <w:rFonts w:ascii="Times New Roman" w:hAnsi="Times New Roman"/>
          <w:sz w:val="24"/>
          <w:szCs w:val="24"/>
        </w:rPr>
        <w:t xml:space="preserve"> he rotated through several fire stations, and when at  Station No. 6 he was supervised by Brust and </w:t>
      </w:r>
      <w:proofErr w:type="gramStart"/>
      <w:r w:rsidRPr="007E74FE">
        <w:rPr>
          <w:rFonts w:ascii="Times New Roman" w:hAnsi="Times New Roman"/>
          <w:sz w:val="24"/>
          <w:szCs w:val="24"/>
        </w:rPr>
        <w:t>Laucher, and</w:t>
      </w:r>
      <w:proofErr w:type="gramEnd"/>
      <w:r w:rsidRPr="007E74FE">
        <w:rPr>
          <w:rFonts w:ascii="Times New Roman" w:hAnsi="Times New Roman"/>
          <w:sz w:val="24"/>
          <w:szCs w:val="24"/>
        </w:rPr>
        <w:t xml:space="preserve"> received some negative performance reviews.   He got through probation, and he ultimately was promoted to a senior fire prevention officer in 2023.  THE COURT HELD: “Thus, the reprimands or negative reviews Gildersleeve received during his temporary probationary period did not ultimately impact his ‘compensation, terms, conditions, or privileges of employment.’ </w:t>
      </w:r>
      <w:r w:rsidRPr="007E74FE">
        <w:rPr>
          <w:rFonts w:ascii="Times New Roman" w:hAnsi="Times New Roman"/>
          <w:i/>
          <w:iCs/>
          <w:sz w:val="24"/>
          <w:szCs w:val="24"/>
        </w:rPr>
        <w:t>Spokoiny</w:t>
      </w:r>
      <w:r w:rsidRPr="007E74FE">
        <w:rPr>
          <w:rFonts w:ascii="Times New Roman" w:hAnsi="Times New Roman"/>
          <w:sz w:val="24"/>
          <w:szCs w:val="24"/>
        </w:rPr>
        <w:t xml:space="preserve">, 2025 WL 752492 at *1. *** Based on </w:t>
      </w:r>
      <w:proofErr w:type="gramStart"/>
      <w:r w:rsidRPr="007E74FE">
        <w:rPr>
          <w:rFonts w:ascii="Times New Roman" w:hAnsi="Times New Roman"/>
          <w:sz w:val="24"/>
          <w:szCs w:val="24"/>
        </w:rPr>
        <w:t>all of</w:t>
      </w:r>
      <w:proofErr w:type="gramEnd"/>
      <w:r w:rsidRPr="007E74FE">
        <w:rPr>
          <w:rFonts w:ascii="Times New Roman" w:hAnsi="Times New Roman"/>
          <w:sz w:val="24"/>
          <w:szCs w:val="24"/>
        </w:rPr>
        <w:t xml:space="preserve"> this evidence, Plaintiff cannot demonstrate a material adverse employment action and therefore cannot establish a prima facie case of racial discrimination. *** Plaintiff does not put forth any evidence that Brust or Lauchner physically threatened him or that their actions unreasonably interfered with his work performance. At best, the record pertaining to Brust and Lauchner demonstrates that they were indifferent to comments by others and engaged in race-neutral scolding, but not that they affirmatively aided or abetted any racial harassment on their own.” </w:t>
      </w:r>
      <w:hyperlink r:id="rId1518" w:history="1">
        <w:r w:rsidR="00022E5C" w:rsidRPr="00004FA3">
          <w:rPr>
            <w:rStyle w:val="Hyperlink"/>
            <w:rFonts w:ascii="Times New Roman" w:hAnsi="Times New Roman"/>
            <w:sz w:val="24"/>
            <w:szCs w:val="24"/>
          </w:rPr>
          <w:t>https://public.fastcase.com/jaEE2PXzRXmZ99jOLMt1IuS%2F9HpBr5oZUxWDfnHZUAClV0FMS0FkyPj2D073HVCd?utm_medium=email&amp;_hsenc=p2ANqtz-8Af1EW_JVwBhx0UDxsfrXH8_2s6MlC6Pm7CWzCebAgUkWejdyZMRNp9kjbmr3YiOjRBOAIc4DZsyAhk1nZpl--uaoeAg&amp;_hsmi=226712652&amp;utm_content=226712652&amp;utm_source=hs_email</w:t>
        </w:r>
      </w:hyperlink>
      <w:r w:rsidR="00022E5C">
        <w:rPr>
          <w:rFonts w:ascii="Times New Roman" w:hAnsi="Times New Roman"/>
          <w:sz w:val="24"/>
          <w:szCs w:val="24"/>
        </w:rPr>
        <w:t xml:space="preserve"> </w:t>
      </w:r>
    </w:p>
    <w:p w14:paraId="03BB67BD" w14:textId="77777777" w:rsidR="007E74FE" w:rsidRDefault="007E74FE" w:rsidP="007E74FE">
      <w:pPr>
        <w:rPr>
          <w:rFonts w:ascii="Times New Roman" w:hAnsi="Times New Roman"/>
          <w:b/>
          <w:sz w:val="24"/>
          <w:szCs w:val="24"/>
        </w:rPr>
      </w:pPr>
      <w:r w:rsidRPr="007E74FE">
        <w:rPr>
          <w:rFonts w:ascii="Times New Roman" w:hAnsi="Times New Roman"/>
          <w:b/>
          <w:sz w:val="24"/>
          <w:szCs w:val="24"/>
        </w:rPr>
        <w:t>Legal lesson learned:   Plaintiff failed to prove any material adverse employment action by his two supervisors.  The case against the city will proceed on “a failure to prevent racial harassment theory.”</w:t>
      </w:r>
    </w:p>
    <w:p w14:paraId="058C54C0" w14:textId="77777777" w:rsidR="00113A3A" w:rsidRDefault="00113A3A" w:rsidP="007E74FE">
      <w:pPr>
        <w:rPr>
          <w:rFonts w:ascii="Times New Roman" w:hAnsi="Times New Roman"/>
          <w:b/>
          <w:sz w:val="24"/>
          <w:szCs w:val="24"/>
        </w:rPr>
      </w:pPr>
    </w:p>
    <w:p w14:paraId="3F886BB0" w14:textId="68840207" w:rsidR="00113A3A" w:rsidRPr="00C37677" w:rsidRDefault="00C37677" w:rsidP="007E74FE">
      <w:pPr>
        <w:rPr>
          <w:rFonts w:ascii="Arial Black" w:hAnsi="Arial Black"/>
          <w:b/>
          <w:sz w:val="24"/>
          <w:szCs w:val="24"/>
        </w:rPr>
      </w:pPr>
      <w:r w:rsidRPr="00C37677">
        <w:rPr>
          <w:rFonts w:ascii="Arial Black" w:hAnsi="Arial Black"/>
          <w:b/>
          <w:sz w:val="24"/>
          <w:szCs w:val="24"/>
        </w:rPr>
        <w:t>8-81</w:t>
      </w:r>
    </w:p>
    <w:p w14:paraId="7F033586" w14:textId="77777777" w:rsidR="00C37677" w:rsidRDefault="00C37677" w:rsidP="00C37677">
      <w:pPr>
        <w:rPr>
          <w:rFonts w:ascii="Arial Black" w:hAnsi="Arial Black"/>
          <w:b/>
          <w:sz w:val="28"/>
          <w:szCs w:val="28"/>
        </w:rPr>
      </w:pPr>
      <w:r>
        <w:rPr>
          <w:rFonts w:ascii="Arial Black" w:hAnsi="Arial Black"/>
          <w:b/>
          <w:sz w:val="28"/>
          <w:szCs w:val="28"/>
        </w:rPr>
        <w:t>MO: CITY 2022 RETIRED 2013 PROM. LIST B/C AND CAPT</w:t>
      </w:r>
    </w:p>
    <w:p w14:paraId="363DFB85" w14:textId="392955E2" w:rsidR="00113A3A" w:rsidRPr="008B5C50" w:rsidRDefault="00C37677" w:rsidP="00C37677">
      <w:pPr>
        <w:rPr>
          <w:rFonts w:ascii="Times New Roman" w:hAnsi="Times New Roman"/>
          <w:sz w:val="24"/>
          <w:szCs w:val="24"/>
        </w:rPr>
      </w:pPr>
      <w:r w:rsidRPr="008B5C50">
        <w:rPr>
          <w:rFonts w:ascii="Times New Roman" w:hAnsi="Times New Roman"/>
          <w:sz w:val="24"/>
          <w:szCs w:val="24"/>
        </w:rPr>
        <w:t xml:space="preserve">On July 8, 2025, in </w:t>
      </w:r>
      <w:r w:rsidRPr="008B5C50">
        <w:rPr>
          <w:rFonts w:ascii="Times New Roman" w:hAnsi="Times New Roman"/>
          <w:sz w:val="24"/>
          <w:szCs w:val="24"/>
          <w:u w:val="single"/>
        </w:rPr>
        <w:t>Robert Eveland, et al. v. City of St. Louis; Firefighters' Institute for Racial Equality, Inc.; Charles Coyle, Director of the St. Louis Department of Public Safety</w:t>
      </w:r>
      <w:r w:rsidRPr="008B5C50">
        <w:rPr>
          <w:rFonts w:ascii="Times New Roman" w:hAnsi="Times New Roman"/>
          <w:sz w:val="24"/>
          <w:szCs w:val="24"/>
        </w:rPr>
        <w:t xml:space="preserve">, the United States Court of Appeals, Eighth Circuit (St. Louis) held (3 to 0) that the trial court properly granted defense motion to dismiss because the Battalion Chiefs and Captains lacked sufficient property interests in their desired promotions off of the 2013 lists, which were cancelled by Public Safety Director in 2022. The </w:t>
      </w:r>
      <w:proofErr w:type="gramStart"/>
      <w:r w:rsidRPr="008B5C50">
        <w:rPr>
          <w:rFonts w:ascii="Times New Roman" w:hAnsi="Times New Roman"/>
          <w:sz w:val="24"/>
          <w:szCs w:val="24"/>
        </w:rPr>
        <w:t>City</w:t>
      </w:r>
      <w:proofErr w:type="gramEnd"/>
      <w:r w:rsidRPr="008B5C50">
        <w:rPr>
          <w:rFonts w:ascii="Times New Roman" w:hAnsi="Times New Roman"/>
          <w:sz w:val="24"/>
          <w:szCs w:val="24"/>
        </w:rPr>
        <w:t xml:space="preserve"> had previously entered into a settlement agreement concerning the 2013 promotional exams, “to ensure that future promotional examinations are valid and fair and do not unlawfully discriminate against any promotional candidate on the basis of race.”  New exams were supposed to be held in December 2018 (and every three years thereafter) but due to budget cuts the </w:t>
      </w:r>
      <w:r w:rsidRPr="008B5C50">
        <w:rPr>
          <w:rFonts w:ascii="Times New Roman" w:hAnsi="Times New Roman"/>
          <w:sz w:val="24"/>
          <w:szCs w:val="24"/>
        </w:rPr>
        <w:lastRenderedPageBreak/>
        <w:t xml:space="preserve">2013 lists were used until early 2022 when then-Director of Public Safety Dan Isom decided to stop using 10-year-old lists. “[The] current Director of Public Safety Charles Coyle concurred with this decision because in his opinion, using 10-year-old lists to make promotions is problematic because the individuals being promoted did not score as highly on the test and therefore are potentially not the best-qualified candidates.” See Jan. 1, 2024, DEFENDANTS’ MEMORANDUM OF LAW IN SUPPORT OF MOTION FOR SUMMARY JUDGMENT.  </w:t>
      </w:r>
      <w:hyperlink r:id="rId1519" w:history="1">
        <w:r w:rsidRPr="008B5C50">
          <w:rPr>
            <w:rStyle w:val="Hyperlink"/>
            <w:rFonts w:ascii="Times New Roman" w:hAnsi="Times New Roman"/>
            <w:sz w:val="24"/>
            <w:szCs w:val="24"/>
          </w:rPr>
          <w:t>https://storage.courtlistener.com/recap/gov.uscourts.moed.198347/gov.uscourts.moed.198347.70.0.pdf</w:t>
        </w:r>
      </w:hyperlink>
      <w:r w:rsidRPr="008B5C50">
        <w:rPr>
          <w:rFonts w:ascii="Times New Roman" w:hAnsi="Times New Roman"/>
          <w:sz w:val="24"/>
          <w:szCs w:val="24"/>
        </w:rPr>
        <w:t xml:space="preserve">   THE COURT HELD: “The usual promotional process broke down when the fire chief’s former supervisor, purportedly without authority, halted promotions due to the age of qualifying exam scores, which were about nine years old when the freeze began…. [Fire Chief has always promoted the top candidate on list, even though Civil Service rules allow him to select from top 6 on list.] Even assuming all of this is true, the firefighters had no property interests in their desired promotions that the due process clause protected. They just anticipated receiving them…. So, no matter how regular the fire chief’s practice of promoting high scorers was, it could not give any of the firefighters a property interest in a promotion on </w:t>
      </w:r>
      <w:proofErr w:type="gramStart"/>
      <w:r w:rsidRPr="008B5C50">
        <w:rPr>
          <w:rFonts w:ascii="Times New Roman" w:hAnsi="Times New Roman"/>
          <w:sz w:val="24"/>
          <w:szCs w:val="24"/>
        </w:rPr>
        <w:t>its</w:t>
      </w:r>
      <w:proofErr w:type="gramEnd"/>
      <w:r w:rsidRPr="008B5C50">
        <w:rPr>
          <w:rFonts w:ascii="Times New Roman" w:hAnsi="Times New Roman"/>
          <w:sz w:val="24"/>
          <w:szCs w:val="24"/>
        </w:rPr>
        <w:t xml:space="preserve"> own. What is missing is evidence that the city bound itself in some fashion to adhere to that practice. It makes no difference that the fire chief testified to his intention to promote  the firefighters in accordance with his custom. That intention, however firm, did not limit his discretion to promote different candidates or no </w:t>
      </w:r>
      <w:proofErr w:type="gramStart"/>
      <w:r w:rsidRPr="008B5C50">
        <w:rPr>
          <w:rFonts w:ascii="Times New Roman" w:hAnsi="Times New Roman"/>
          <w:sz w:val="24"/>
          <w:szCs w:val="24"/>
        </w:rPr>
        <w:t>candidates.”</w:t>
      </w:r>
      <w:proofErr w:type="gramEnd"/>
      <w:r w:rsidRPr="008B5C50">
        <w:rPr>
          <w:rFonts w:ascii="Times New Roman" w:hAnsi="Times New Roman"/>
          <w:sz w:val="24"/>
          <w:szCs w:val="24"/>
        </w:rPr>
        <w:t xml:space="preserve"> </w:t>
      </w:r>
      <w:hyperlink r:id="rId1520" w:history="1">
        <w:r w:rsidRPr="008B5C50">
          <w:rPr>
            <w:rStyle w:val="Hyperlink"/>
            <w:rFonts w:ascii="Times New Roman" w:hAnsi="Times New Roman"/>
            <w:sz w:val="24"/>
            <w:szCs w:val="24"/>
          </w:rPr>
          <w:t>https://cases.justia.com/federal/appellate-courts/ca8/24-2646/24-2646-2025-07-08.pdf?ts=1751988624</w:t>
        </w:r>
      </w:hyperlink>
    </w:p>
    <w:p w14:paraId="580DE426" w14:textId="77777777" w:rsidR="008B5C50" w:rsidRPr="008B5C50" w:rsidRDefault="008B5C50" w:rsidP="008B5C50">
      <w:pPr>
        <w:pStyle w:val="NoSpacing"/>
        <w:rPr>
          <w:rFonts w:ascii="Times New Roman" w:hAnsi="Times New Roman"/>
          <w:b/>
          <w:bCs/>
          <w:sz w:val="24"/>
          <w:szCs w:val="24"/>
        </w:rPr>
      </w:pPr>
      <w:r w:rsidRPr="008B5C50">
        <w:rPr>
          <w:rFonts w:ascii="Times New Roman" w:hAnsi="Times New Roman"/>
          <w:b/>
          <w:sz w:val="24"/>
          <w:szCs w:val="24"/>
        </w:rPr>
        <w:t>Legal lesson learned: No Constitutionally protected property interests in desired promotions.</w:t>
      </w:r>
    </w:p>
    <w:p w14:paraId="27F675D3" w14:textId="77777777" w:rsidR="008B5C50" w:rsidRPr="008B5C50" w:rsidRDefault="008B5C50" w:rsidP="008B5C50">
      <w:pPr>
        <w:pStyle w:val="NoSpacing"/>
        <w:rPr>
          <w:rFonts w:ascii="Times New Roman" w:hAnsi="Times New Roman"/>
          <w:b/>
          <w:bCs/>
          <w:sz w:val="24"/>
          <w:szCs w:val="24"/>
        </w:rPr>
      </w:pPr>
    </w:p>
    <w:p w14:paraId="3512E855" w14:textId="77777777" w:rsidR="008B5C50" w:rsidRPr="008B5C50" w:rsidRDefault="008B5C50" w:rsidP="008B5C50">
      <w:pPr>
        <w:pStyle w:val="NoSpacing"/>
        <w:ind w:left="720"/>
        <w:rPr>
          <w:rFonts w:ascii="Times New Roman" w:hAnsi="Times New Roman"/>
          <w:sz w:val="24"/>
          <w:szCs w:val="24"/>
        </w:rPr>
      </w:pPr>
      <w:r w:rsidRPr="008B5C50">
        <w:rPr>
          <w:rFonts w:ascii="Times New Roman" w:hAnsi="Times New Roman"/>
          <w:sz w:val="24"/>
          <w:szCs w:val="24"/>
        </w:rPr>
        <w:t xml:space="preserve">Note: See City of Cincinnati 6/15/2023 list for Lieutenants.  “List may be used on or before two years from first hire date.” </w:t>
      </w:r>
      <w:hyperlink r:id="rId1521" w:history="1">
        <w:r w:rsidRPr="008B5C50">
          <w:rPr>
            <w:rStyle w:val="Hyperlink"/>
            <w:rFonts w:ascii="Times New Roman" w:hAnsi="Times New Roman"/>
            <w:sz w:val="24"/>
            <w:szCs w:val="24"/>
          </w:rPr>
          <w:t>https://www.cincinnati-oh.gov/hr/eligible-lists1/promotional/fire-lieutenant/</w:t>
        </w:r>
      </w:hyperlink>
      <w:r w:rsidRPr="008B5C50">
        <w:rPr>
          <w:rFonts w:ascii="Times New Roman" w:hAnsi="Times New Roman"/>
          <w:sz w:val="24"/>
          <w:szCs w:val="24"/>
        </w:rPr>
        <w:t xml:space="preserve"> </w:t>
      </w:r>
    </w:p>
    <w:p w14:paraId="3167E610" w14:textId="77777777" w:rsidR="008B5C50" w:rsidRPr="008B5C50" w:rsidRDefault="008B5C50" w:rsidP="008B5C50">
      <w:pPr>
        <w:rPr>
          <w:rFonts w:ascii="Times New Roman" w:hAnsi="Times New Roman"/>
          <w:sz w:val="24"/>
          <w:szCs w:val="24"/>
        </w:rPr>
      </w:pPr>
      <w:r w:rsidRPr="008B5C50">
        <w:rPr>
          <w:rFonts w:ascii="Times New Roman" w:hAnsi="Times New Roman"/>
          <w:sz w:val="24"/>
          <w:szCs w:val="24"/>
        </w:rPr>
        <w:t xml:space="preserve"> </w:t>
      </w:r>
    </w:p>
    <w:p w14:paraId="728449BE" w14:textId="77777777" w:rsidR="008B5C50" w:rsidRPr="007E74FE" w:rsidRDefault="008B5C50" w:rsidP="00C37677">
      <w:pPr>
        <w:rPr>
          <w:rFonts w:ascii="Times New Roman" w:hAnsi="Times New Roman"/>
          <w:b/>
          <w:bCs/>
          <w:sz w:val="24"/>
          <w:szCs w:val="24"/>
        </w:rPr>
      </w:pPr>
    </w:p>
    <w:p w14:paraId="61C363AF" w14:textId="77777777" w:rsidR="006959F8" w:rsidRDefault="006959F8" w:rsidP="00456C91">
      <w:pPr>
        <w:rPr>
          <w:rFonts w:ascii="Arial Black" w:hAnsi="Arial Black"/>
          <w:b/>
          <w:sz w:val="24"/>
          <w:szCs w:val="24"/>
        </w:rPr>
      </w:pPr>
    </w:p>
    <w:p w14:paraId="3477A4B9" w14:textId="60CADE6A" w:rsidR="00456C91" w:rsidRDefault="00456C91" w:rsidP="00456C91">
      <w:pPr>
        <w:rPr>
          <w:rFonts w:ascii="Arial Black" w:hAnsi="Arial Black"/>
          <w:b/>
          <w:sz w:val="24"/>
          <w:szCs w:val="24"/>
        </w:rPr>
      </w:pPr>
      <w:r>
        <w:rPr>
          <w:rFonts w:ascii="Arial Black" w:hAnsi="Arial Black"/>
          <w:b/>
          <w:sz w:val="24"/>
          <w:szCs w:val="24"/>
        </w:rPr>
        <w:t>8-</w:t>
      </w:r>
      <w:r w:rsidR="0021158A">
        <w:rPr>
          <w:rFonts w:ascii="Arial Black" w:hAnsi="Arial Black"/>
          <w:b/>
          <w:sz w:val="24"/>
          <w:szCs w:val="24"/>
        </w:rPr>
        <w:t>80</w:t>
      </w:r>
    </w:p>
    <w:p w14:paraId="3FC045B1" w14:textId="4CE410BA" w:rsidR="00A17EA1" w:rsidRDefault="00A17EA1" w:rsidP="00A17EA1">
      <w:pPr>
        <w:pStyle w:val="NoSpacing"/>
        <w:rPr>
          <w:rFonts w:ascii="Arial Black" w:hAnsi="Arial Black"/>
          <w:sz w:val="28"/>
          <w:szCs w:val="28"/>
        </w:rPr>
      </w:pPr>
      <w:r>
        <w:rPr>
          <w:rFonts w:ascii="Arial Black" w:hAnsi="Arial Black"/>
          <w:sz w:val="28"/>
          <w:szCs w:val="28"/>
        </w:rPr>
        <w:t>VA: BLACK FF - STATION OIC - LOSS “ACTING OFFICER” PAY</w:t>
      </w:r>
    </w:p>
    <w:p w14:paraId="4E3E7184" w14:textId="77777777" w:rsidR="00A17EA1" w:rsidRDefault="00A17EA1" w:rsidP="00A17EA1">
      <w:pPr>
        <w:pStyle w:val="NoSpacing"/>
        <w:rPr>
          <w:rFonts w:ascii="Arial Black" w:hAnsi="Arial Black"/>
          <w:sz w:val="28"/>
          <w:szCs w:val="28"/>
        </w:rPr>
      </w:pPr>
    </w:p>
    <w:p w14:paraId="4C95A31A" w14:textId="77777777" w:rsidR="00A17EA1" w:rsidRPr="00997E2F" w:rsidRDefault="00A17EA1" w:rsidP="00A17EA1">
      <w:pPr>
        <w:pStyle w:val="NoSpacing"/>
        <w:rPr>
          <w:rFonts w:ascii="Times New Roman" w:hAnsi="Times New Roman"/>
          <w:sz w:val="24"/>
          <w:szCs w:val="24"/>
        </w:rPr>
      </w:pPr>
      <w:r w:rsidRPr="00997E2F">
        <w:rPr>
          <w:rFonts w:ascii="Times New Roman" w:hAnsi="Times New Roman"/>
          <w:sz w:val="24"/>
          <w:szCs w:val="24"/>
        </w:rPr>
        <w:t xml:space="preserve">On June 13, 2025, in </w:t>
      </w:r>
      <w:r w:rsidRPr="00997E2F">
        <w:rPr>
          <w:rFonts w:ascii="Times New Roman" w:hAnsi="Times New Roman"/>
          <w:sz w:val="24"/>
          <w:szCs w:val="24"/>
          <w:u w:val="single"/>
        </w:rPr>
        <w:t>Michael T. Blagmon v. Hanover County</w:t>
      </w:r>
      <w:r w:rsidRPr="00997E2F">
        <w:rPr>
          <w:rFonts w:ascii="Times New Roman" w:hAnsi="Times New Roman"/>
          <w:sz w:val="24"/>
          <w:szCs w:val="24"/>
        </w:rPr>
        <w:t xml:space="preserve">, U.S. District Court Judge Roderick C. Young, United States District Court, E.D. Virginia, Richmond Division, held that the plaintiff’s lawsuit for race discrimination in violation of Title VII will proceed to a jury trial. Plaintiff worked in Station 4 (one engine, one ambulance) and when the Lieutenant position was vacant or absent due to injury, the plaintiff was frequently not allowed to ride as OIC on the engine to avoid paying him “Acting Officer” pay.  The Court held that a jury should decide whether the County has offered a legitimate defense; in its November 22, 2022 response to the plaintiff’s EEOC charge, the County explained that prior to April 2022, it rotated OIC assignments to avoid pay Acting Officer pay and to rotate as many firefighters as feasible to serve as OIC to provide widespread opportunities for growth and development.”   THE COURT HELD [case proceed to trial] “In his deposition in connection with this case, Assistant Chief Buchanan testified that Blagman was pulled from the OIC role before he could qualify for acting pay as a result of a ‘business practice that started back around 2008, . . . when the economy was really </w:t>
      </w:r>
      <w:proofErr w:type="spellStart"/>
      <w:r w:rsidRPr="00997E2F">
        <w:rPr>
          <w:rFonts w:ascii="Times New Roman" w:hAnsi="Times New Roman"/>
          <w:sz w:val="24"/>
          <w:szCs w:val="24"/>
        </w:rPr>
        <w:t>really</w:t>
      </w:r>
      <w:proofErr w:type="spellEnd"/>
      <w:r w:rsidRPr="00997E2F">
        <w:rPr>
          <w:rFonts w:ascii="Times New Roman" w:hAnsi="Times New Roman"/>
          <w:sz w:val="24"/>
          <w:szCs w:val="24"/>
        </w:rPr>
        <w:t xml:space="preserve"> bad, . . . and the County Administrator . . . would tell us to . . . move [people otherwise serving as acting officers] because we literally didn't have the money.... and that became the practice for a while . . . .’ Buchanan Dep. 35:3-25.” </w:t>
      </w:r>
    </w:p>
    <w:p w14:paraId="239F0798" w14:textId="77777777" w:rsidR="00A17EA1" w:rsidRPr="00997E2F" w:rsidRDefault="00A17EA1" w:rsidP="00A17EA1">
      <w:pPr>
        <w:pStyle w:val="NoSpacing"/>
        <w:rPr>
          <w:rFonts w:ascii="Times New Roman" w:hAnsi="Times New Roman"/>
          <w:bCs/>
          <w:sz w:val="24"/>
          <w:szCs w:val="24"/>
        </w:rPr>
      </w:pPr>
      <w:hyperlink r:id="rId1522" w:history="1">
        <w:r w:rsidRPr="00997E2F">
          <w:rPr>
            <w:rStyle w:val="Hyperlink"/>
            <w:rFonts w:ascii="Times New Roman" w:hAnsi="Times New Roman"/>
            <w:sz w:val="24"/>
            <w:szCs w:val="24"/>
          </w:rPr>
          <w:t>https://cases.justia.com/federal/district-courts/virginia/vaedce/3:2024cv00108/549376/71/0.pdf?ts=1749905770</w:t>
        </w:r>
      </w:hyperlink>
    </w:p>
    <w:p w14:paraId="26F32252" w14:textId="77777777" w:rsidR="00A17EA1" w:rsidRPr="00997E2F" w:rsidRDefault="00A17EA1" w:rsidP="00A17EA1">
      <w:pPr>
        <w:pStyle w:val="NoSpacing"/>
        <w:rPr>
          <w:rFonts w:ascii="Times New Roman" w:hAnsi="Times New Roman"/>
          <w:bCs/>
          <w:sz w:val="24"/>
          <w:szCs w:val="24"/>
        </w:rPr>
      </w:pPr>
    </w:p>
    <w:p w14:paraId="63997CF7" w14:textId="1243A868" w:rsidR="00A17EA1" w:rsidRPr="00997E2F" w:rsidRDefault="006764DB" w:rsidP="00BC70A3">
      <w:pPr>
        <w:rPr>
          <w:rFonts w:ascii="Times New Roman" w:hAnsi="Times New Roman"/>
          <w:b/>
          <w:sz w:val="24"/>
          <w:szCs w:val="24"/>
        </w:rPr>
      </w:pPr>
      <w:r w:rsidRPr="00997E2F">
        <w:rPr>
          <w:rFonts w:ascii="Times New Roman" w:hAnsi="Times New Roman"/>
          <w:b/>
          <w:sz w:val="24"/>
          <w:szCs w:val="24"/>
        </w:rPr>
        <w:t>Legal lesson learned:  FD should have a clear “Acting Officer” pay policy</w:t>
      </w:r>
      <w:r w:rsidRPr="00997E2F">
        <w:rPr>
          <w:rFonts w:ascii="Times New Roman" w:hAnsi="Times New Roman"/>
          <w:b/>
          <w:bCs/>
          <w:sz w:val="24"/>
          <w:szCs w:val="24"/>
        </w:rPr>
        <w:t xml:space="preserve"> </w:t>
      </w:r>
      <w:r w:rsidRPr="00997E2F">
        <w:rPr>
          <w:rFonts w:ascii="Times New Roman" w:hAnsi="Times New Roman"/>
          <w:b/>
          <w:sz w:val="24"/>
          <w:szCs w:val="24"/>
        </w:rPr>
        <w:t>and strictly follow it</w:t>
      </w:r>
      <w:r w:rsidR="00997E2F" w:rsidRPr="00997E2F">
        <w:rPr>
          <w:rFonts w:ascii="Times New Roman" w:hAnsi="Times New Roman"/>
          <w:b/>
          <w:sz w:val="24"/>
          <w:szCs w:val="24"/>
        </w:rPr>
        <w:t>.</w:t>
      </w:r>
    </w:p>
    <w:p w14:paraId="6DBFD951" w14:textId="77777777" w:rsidR="00A17EA1" w:rsidRPr="00997E2F" w:rsidRDefault="00A17EA1" w:rsidP="00BC70A3">
      <w:pPr>
        <w:rPr>
          <w:rFonts w:ascii="Times New Roman" w:hAnsi="Times New Roman"/>
          <w:b/>
          <w:sz w:val="24"/>
          <w:szCs w:val="24"/>
        </w:rPr>
      </w:pPr>
    </w:p>
    <w:p w14:paraId="3E584867" w14:textId="7E2F5982" w:rsidR="0069023D" w:rsidRDefault="0069023D" w:rsidP="0069023D">
      <w:pPr>
        <w:rPr>
          <w:rFonts w:ascii="Arial Black" w:hAnsi="Arial Black"/>
          <w:b/>
          <w:sz w:val="24"/>
          <w:szCs w:val="24"/>
        </w:rPr>
      </w:pPr>
      <w:r>
        <w:rPr>
          <w:rFonts w:ascii="Arial Black" w:hAnsi="Arial Black"/>
          <w:b/>
          <w:sz w:val="24"/>
          <w:szCs w:val="24"/>
        </w:rPr>
        <w:t>8-7</w:t>
      </w:r>
      <w:r w:rsidR="0021158A">
        <w:rPr>
          <w:rFonts w:ascii="Arial Black" w:hAnsi="Arial Black"/>
          <w:b/>
          <w:sz w:val="24"/>
          <w:szCs w:val="24"/>
        </w:rPr>
        <w:t>9</w:t>
      </w:r>
    </w:p>
    <w:p w14:paraId="1A37F091" w14:textId="285FF072" w:rsidR="00C16DC8" w:rsidRDefault="00C16DC8" w:rsidP="00C16DC8">
      <w:pPr>
        <w:rPr>
          <w:rFonts w:ascii="Arial Black" w:hAnsi="Arial Black"/>
          <w:b/>
          <w:sz w:val="28"/>
          <w:szCs w:val="28"/>
        </w:rPr>
      </w:pPr>
      <w:r>
        <w:rPr>
          <w:rFonts w:ascii="Arial Black" w:hAnsi="Arial Black"/>
          <w:b/>
          <w:sz w:val="28"/>
          <w:szCs w:val="28"/>
        </w:rPr>
        <w:t>FL: ASIAN RECRUIT – FIRED – CAPT’S RACIAL COMMENTS</w:t>
      </w:r>
      <w:r w:rsidR="000D1CC1">
        <w:rPr>
          <w:rFonts w:ascii="Arial Black" w:hAnsi="Arial Black"/>
          <w:b/>
          <w:sz w:val="28"/>
          <w:szCs w:val="28"/>
        </w:rPr>
        <w:t xml:space="preserve"> – CASE PROCEED</w:t>
      </w:r>
      <w:r>
        <w:rPr>
          <w:rFonts w:ascii="Arial Black" w:hAnsi="Arial Black"/>
          <w:b/>
          <w:sz w:val="28"/>
          <w:szCs w:val="28"/>
        </w:rPr>
        <w:t xml:space="preserve"> </w:t>
      </w:r>
    </w:p>
    <w:p w14:paraId="6F14B873" w14:textId="77777777" w:rsidR="00C16DC8" w:rsidRPr="0069023D" w:rsidRDefault="00C16DC8" w:rsidP="00C16DC8">
      <w:pPr>
        <w:rPr>
          <w:rFonts w:ascii="Times New Roman" w:hAnsi="Times New Roman"/>
          <w:bCs/>
          <w:sz w:val="24"/>
          <w:szCs w:val="24"/>
        </w:rPr>
      </w:pPr>
      <w:r w:rsidRPr="0069023D">
        <w:rPr>
          <w:rFonts w:ascii="Times New Roman" w:hAnsi="Times New Roman"/>
          <w:sz w:val="24"/>
          <w:szCs w:val="24"/>
        </w:rPr>
        <w:t xml:space="preserve">On May 16, 2025, in </w:t>
      </w:r>
      <w:r w:rsidRPr="0069023D">
        <w:rPr>
          <w:rFonts w:ascii="Times New Roman" w:hAnsi="Times New Roman"/>
          <w:sz w:val="24"/>
          <w:szCs w:val="24"/>
          <w:u w:val="single"/>
        </w:rPr>
        <w:t>Saeed Azam v. Palm Beach County</w:t>
      </w:r>
      <w:r w:rsidRPr="0069023D">
        <w:rPr>
          <w:rFonts w:ascii="Times New Roman" w:hAnsi="Times New Roman"/>
          <w:sz w:val="24"/>
          <w:szCs w:val="24"/>
        </w:rPr>
        <w:t xml:space="preserve">, U.S Magistrate Judge Ryon M. McCabe, United States District Court for the Southern District of Florida, issued a Report &amp; Recommendation to United States District Judge Aileen M. Cannon, that plaintiff be allowed to proceed with pre-trial discovery in his civil rights case, but claims of “hostile workplace” should be dismissed.  The plaintiff started recruit training on Jan. 2, 2023, but after failing a “search-and-rescue” task he was terminated on Feb. 13, 2023.  The Court referenced alleged racial and anti-Muslim comments by his Training Captain.    THE COURT HELD: “When combined with Plaintiff's allegations of unfavorable workplace treatment, the Court finds these comments sufficient to give rise to a plausible inference of discriminatory animus. The Court acknowledges that these comments could also be interpreted as non-discriminatory expressions of curiosity regarding a new trainee and the trainee's background. At this stage of the case, however, the Court must construe these allegations in the light most favorable to Plaintiff's claims. The Court therefore finds that Counts 1, 2, and 3 state plausible claims of discrimination. As such, the motion should be denied as to these counts.” </w:t>
      </w:r>
      <w:hyperlink r:id="rId1523" w:history="1">
        <w:r w:rsidRPr="0069023D">
          <w:rPr>
            <w:rStyle w:val="Hyperlink"/>
            <w:rFonts w:ascii="Times New Roman" w:hAnsi="Times New Roman"/>
            <w:sz w:val="24"/>
            <w:szCs w:val="24"/>
          </w:rPr>
          <w:t>https://public.fastcase.com/jaEE2PXzRXmZ99jOLMt1Ijy4owdgN11%2FWJRcUJbHoDpxB70E2t6SZ0qkojT0B8Qp?utm_medium=email&amp;_hsenc=p2ANqtz-9VaXpB4njMDCq0a3A4ziHdpnkkhT3_X-uHzr6ZxpzUXb9np6U8cLB4p1ctiAJNyopvqJJhsHP0CMdXEdLkgd2zGecgDw&amp;_hsmi=226712652&amp;utm_content=226712652&amp;utm_source=hs_email</w:t>
        </w:r>
      </w:hyperlink>
      <w:r w:rsidRPr="0069023D">
        <w:rPr>
          <w:rFonts w:ascii="Times New Roman" w:hAnsi="Times New Roman"/>
          <w:sz w:val="24"/>
          <w:szCs w:val="24"/>
        </w:rPr>
        <w:t xml:space="preserve"> </w:t>
      </w:r>
    </w:p>
    <w:p w14:paraId="4501DCCB" w14:textId="77777777" w:rsidR="0069023D" w:rsidRPr="0069023D" w:rsidRDefault="0069023D" w:rsidP="0069023D">
      <w:pPr>
        <w:rPr>
          <w:rFonts w:ascii="Times New Roman" w:hAnsi="Times New Roman"/>
          <w:b/>
          <w:bCs/>
          <w:sz w:val="24"/>
          <w:szCs w:val="24"/>
        </w:rPr>
      </w:pPr>
      <w:r w:rsidRPr="0069023D">
        <w:rPr>
          <w:rFonts w:ascii="Times New Roman" w:hAnsi="Times New Roman"/>
          <w:b/>
          <w:sz w:val="24"/>
          <w:szCs w:val="24"/>
        </w:rPr>
        <w:t xml:space="preserve">Legal lesson learned: Thoroughly document a recruit’s training issues and avoid racially hostile comments.  </w:t>
      </w:r>
    </w:p>
    <w:p w14:paraId="62D67B1A" w14:textId="77777777" w:rsidR="00A17EA1" w:rsidRDefault="00A17EA1" w:rsidP="00BC70A3">
      <w:pPr>
        <w:rPr>
          <w:rFonts w:ascii="Arial Black" w:hAnsi="Arial Black"/>
          <w:b/>
          <w:sz w:val="24"/>
          <w:szCs w:val="24"/>
        </w:rPr>
      </w:pPr>
    </w:p>
    <w:p w14:paraId="365A04FC" w14:textId="6A496EAE" w:rsidR="0021158A" w:rsidRDefault="0021158A" w:rsidP="0021158A">
      <w:pPr>
        <w:rPr>
          <w:rFonts w:ascii="Arial Black" w:hAnsi="Arial Black"/>
          <w:b/>
          <w:sz w:val="24"/>
          <w:szCs w:val="24"/>
        </w:rPr>
      </w:pPr>
      <w:r>
        <w:rPr>
          <w:rFonts w:ascii="Arial Black" w:hAnsi="Arial Black"/>
          <w:b/>
          <w:sz w:val="24"/>
          <w:szCs w:val="24"/>
        </w:rPr>
        <w:t>8-78</w:t>
      </w:r>
    </w:p>
    <w:p w14:paraId="31A529DB" w14:textId="77777777" w:rsidR="00A45D5D" w:rsidRDefault="00A45D5D" w:rsidP="00BC70A3">
      <w:pPr>
        <w:rPr>
          <w:rFonts w:ascii="Arial Black" w:hAnsi="Arial Black"/>
          <w:b/>
          <w:sz w:val="24"/>
          <w:szCs w:val="24"/>
        </w:rPr>
      </w:pPr>
    </w:p>
    <w:p w14:paraId="1AD95F18" w14:textId="48DD9946" w:rsidR="00A45D5D" w:rsidRPr="00430A69" w:rsidRDefault="00A45D5D" w:rsidP="00A45D5D">
      <w:pPr>
        <w:pStyle w:val="NoSpacing"/>
        <w:rPr>
          <w:rFonts w:ascii="Arial Black" w:hAnsi="Arial Black"/>
          <w:sz w:val="28"/>
          <w:szCs w:val="28"/>
        </w:rPr>
      </w:pPr>
      <w:r>
        <w:rPr>
          <w:rFonts w:ascii="Arial Black" w:hAnsi="Arial Black"/>
          <w:sz w:val="28"/>
          <w:szCs w:val="28"/>
        </w:rPr>
        <w:t xml:space="preserve">NY: RECRUIT HISPANICS / WOMEN – </w:t>
      </w:r>
      <w:r w:rsidR="00080178">
        <w:rPr>
          <w:rFonts w:ascii="Arial Black" w:hAnsi="Arial Black"/>
          <w:sz w:val="28"/>
          <w:szCs w:val="28"/>
        </w:rPr>
        <w:t xml:space="preserve">REV. </w:t>
      </w:r>
      <w:r>
        <w:rPr>
          <w:rFonts w:ascii="Arial Black" w:hAnsi="Arial Black"/>
          <w:sz w:val="28"/>
          <w:szCs w:val="28"/>
        </w:rPr>
        <w:t>CONSENT DECREE</w:t>
      </w:r>
    </w:p>
    <w:p w14:paraId="2021DD22" w14:textId="77777777" w:rsidR="00A45D5D" w:rsidRDefault="00A45D5D" w:rsidP="00A45D5D">
      <w:pPr>
        <w:pStyle w:val="NoSpacing"/>
      </w:pPr>
    </w:p>
    <w:p w14:paraId="405869A3" w14:textId="4E2D2AC8" w:rsidR="00A45D5D" w:rsidRPr="00080178" w:rsidRDefault="00A45D5D" w:rsidP="00A45D5D">
      <w:pPr>
        <w:rPr>
          <w:rFonts w:ascii="Times New Roman" w:hAnsi="Times New Roman"/>
          <w:sz w:val="24"/>
          <w:szCs w:val="24"/>
        </w:rPr>
      </w:pPr>
      <w:r w:rsidRPr="00080178">
        <w:rPr>
          <w:rFonts w:ascii="Times New Roman" w:hAnsi="Times New Roman"/>
          <w:sz w:val="24"/>
          <w:szCs w:val="24"/>
        </w:rPr>
        <w:t xml:space="preserve">On June 3, 2025, in </w:t>
      </w:r>
      <w:r w:rsidRPr="00080178">
        <w:rPr>
          <w:rFonts w:ascii="Times New Roman" w:hAnsi="Times New Roman"/>
          <w:sz w:val="24"/>
          <w:szCs w:val="24"/>
          <w:u w:val="single"/>
        </w:rPr>
        <w:t>United States of America v. New York State Department of Civil Service; City of Mount Vernon; Fire Department of the City of Mount Vernon</w:t>
      </w:r>
      <w:r w:rsidRPr="00080178">
        <w:rPr>
          <w:rFonts w:ascii="Times New Roman" w:hAnsi="Times New Roman"/>
          <w:sz w:val="24"/>
          <w:szCs w:val="24"/>
        </w:rPr>
        <w:t xml:space="preserve">,  U.S. District Court Judge Jessica G. L. Clarke, United States District Court for Southern District of New York, published the proposed “2024 Revised Consent Judgment,” which modified the 40-year old Consent Decree of Jan. 19, 1981.  The fire department has made great progress hiring black firefighters (62% of current firefighters), but not Hispanics (only 2%), or women (currently only one; only been one at any time).  THE CONSENT DECREE: Requires the department to “develop and implement an active and continuing recruitment program to attract and increase Hispanic and women applicants for the position of firefighter.” </w:t>
      </w:r>
      <w:hyperlink r:id="rId1524" w:history="1">
        <w:r w:rsidRPr="00080178">
          <w:rPr>
            <w:rStyle w:val="Hyperlink"/>
            <w:rFonts w:ascii="Times New Roman" w:hAnsi="Times New Roman"/>
            <w:sz w:val="24"/>
            <w:szCs w:val="24"/>
          </w:rPr>
          <w:t>https://public.fastcase.com/jaEE2PXzRXmZ99jOLMt1Ih1bY1MIzDyw1U7nvkn0d%2B%2FaFhZR3Gd%2F7k</w:t>
        </w:r>
        <w:r w:rsidRPr="00080178">
          <w:rPr>
            <w:rStyle w:val="Hyperlink"/>
            <w:rFonts w:ascii="Times New Roman" w:hAnsi="Times New Roman"/>
            <w:sz w:val="24"/>
            <w:szCs w:val="24"/>
          </w:rPr>
          <w:lastRenderedPageBreak/>
          <w:t>jzaTYbL26VJTUSjJADCaSru%2Bl5NmbtQ7Cz5zh1NuQxuUkDcSWUI8U%3D?utm_medium=email&amp;_hsenc=p2ANqtz-_CCOzgPs_whfplvulLfr2w4HcJ6-0Ih3t3c1pVqqN-_dVSpVNg1X0G63L7_Ww7LMQiA0kuqw-PCcDfPecmXjX4Ld1uNw&amp;_hsmi=226712652&amp;utm_content=226712652&amp;utm_source=hs_email</w:t>
        </w:r>
      </w:hyperlink>
    </w:p>
    <w:p w14:paraId="779BD134" w14:textId="77777777" w:rsidR="00080178" w:rsidRPr="00080178" w:rsidRDefault="00080178" w:rsidP="00080178">
      <w:pPr>
        <w:pStyle w:val="NoSpacing"/>
        <w:rPr>
          <w:rFonts w:ascii="Times New Roman" w:hAnsi="Times New Roman"/>
          <w:b/>
          <w:bCs/>
          <w:sz w:val="24"/>
          <w:szCs w:val="24"/>
        </w:rPr>
      </w:pPr>
      <w:r w:rsidRPr="00080178">
        <w:rPr>
          <w:rFonts w:ascii="Times New Roman" w:hAnsi="Times New Roman"/>
          <w:b/>
          <w:sz w:val="24"/>
          <w:szCs w:val="24"/>
        </w:rPr>
        <w:t xml:space="preserve">Legal Lesson Learned: This </w:t>
      </w:r>
      <w:r w:rsidRPr="00080178">
        <w:rPr>
          <w:rFonts w:ascii="Times New Roman" w:hAnsi="Times New Roman"/>
          <w:b/>
          <w:bCs/>
          <w:sz w:val="24"/>
          <w:szCs w:val="24"/>
        </w:rPr>
        <w:t>revised</w:t>
      </w:r>
      <w:r w:rsidRPr="00080178">
        <w:rPr>
          <w:rFonts w:ascii="Times New Roman" w:hAnsi="Times New Roman"/>
          <w:b/>
          <w:sz w:val="24"/>
          <w:szCs w:val="24"/>
        </w:rPr>
        <w:t xml:space="preserve"> Consent Decree has some innovative recruiting requirements. </w:t>
      </w:r>
    </w:p>
    <w:p w14:paraId="2FB5A8F5" w14:textId="77777777" w:rsidR="00080178" w:rsidRPr="00080178" w:rsidRDefault="00080178" w:rsidP="00080178">
      <w:pPr>
        <w:pStyle w:val="NoSpacing"/>
        <w:rPr>
          <w:rFonts w:ascii="Times New Roman" w:hAnsi="Times New Roman"/>
          <w:b/>
          <w:bCs/>
          <w:sz w:val="24"/>
          <w:szCs w:val="24"/>
        </w:rPr>
      </w:pPr>
    </w:p>
    <w:p w14:paraId="671F9C96" w14:textId="77777777" w:rsidR="00080178" w:rsidRPr="00080178" w:rsidRDefault="00080178" w:rsidP="00080178">
      <w:pPr>
        <w:pStyle w:val="NoSpacing"/>
        <w:ind w:left="720"/>
        <w:rPr>
          <w:rFonts w:ascii="Times New Roman" w:hAnsi="Times New Roman"/>
          <w:sz w:val="24"/>
          <w:szCs w:val="24"/>
        </w:rPr>
      </w:pPr>
      <w:r w:rsidRPr="00080178">
        <w:rPr>
          <w:rFonts w:ascii="Times New Roman" w:hAnsi="Times New Roman"/>
          <w:sz w:val="24"/>
          <w:szCs w:val="24"/>
        </w:rPr>
        <w:t>Note: The Consent Decree reflect 40 years progress with hiring Black male firefighters, but Consent Decree recognizes lack of females.  “THAT, despite the efforts of the parties, there are currently one female firefighter of any rank in the Fire Department of Mount Vernon, and there has only been one female firefighter at any time.”</w:t>
      </w:r>
    </w:p>
    <w:p w14:paraId="42C721AD" w14:textId="77777777" w:rsidR="00080178" w:rsidRPr="00080178" w:rsidRDefault="00080178" w:rsidP="00080178">
      <w:pPr>
        <w:pStyle w:val="NoSpacing"/>
        <w:rPr>
          <w:rFonts w:ascii="Times New Roman" w:hAnsi="Times New Roman"/>
          <w:b/>
          <w:bCs/>
          <w:sz w:val="24"/>
          <w:szCs w:val="24"/>
        </w:rPr>
      </w:pPr>
    </w:p>
    <w:p w14:paraId="6C63B500" w14:textId="77777777" w:rsidR="00080178" w:rsidRPr="00080178" w:rsidRDefault="00080178" w:rsidP="00080178">
      <w:pPr>
        <w:pStyle w:val="NoSpacing"/>
        <w:ind w:left="720"/>
        <w:rPr>
          <w:rFonts w:ascii="Times New Roman" w:hAnsi="Times New Roman"/>
          <w:sz w:val="24"/>
          <w:szCs w:val="24"/>
        </w:rPr>
      </w:pPr>
      <w:r w:rsidRPr="00080178">
        <w:rPr>
          <w:rFonts w:ascii="Times New Roman" w:hAnsi="Times New Roman"/>
          <w:sz w:val="24"/>
          <w:szCs w:val="24"/>
        </w:rPr>
        <w:t xml:space="preserve">See these statistics in the 2024 Consent Decree.   </w:t>
      </w:r>
    </w:p>
    <w:p w14:paraId="4823A1F5" w14:textId="77777777" w:rsidR="00080178" w:rsidRPr="00080178" w:rsidRDefault="00080178" w:rsidP="00080178">
      <w:pPr>
        <w:pStyle w:val="NoSpacing"/>
        <w:ind w:left="720"/>
        <w:rPr>
          <w:rFonts w:ascii="Times New Roman" w:hAnsi="Times New Roman"/>
          <w:sz w:val="24"/>
          <w:szCs w:val="24"/>
        </w:rPr>
      </w:pPr>
    </w:p>
    <w:p w14:paraId="1A090FA5" w14:textId="77777777" w:rsidR="00080178" w:rsidRPr="00080178" w:rsidRDefault="00080178" w:rsidP="00080178">
      <w:pPr>
        <w:pStyle w:val="NoSpacing"/>
        <w:ind w:left="720"/>
        <w:rPr>
          <w:rFonts w:ascii="Times New Roman" w:hAnsi="Times New Roman"/>
          <w:sz w:val="24"/>
          <w:szCs w:val="24"/>
        </w:rPr>
      </w:pPr>
      <w:r w:rsidRPr="00080178">
        <w:rPr>
          <w:rFonts w:ascii="Times New Roman" w:hAnsi="Times New Roman"/>
          <w:sz w:val="24"/>
          <w:szCs w:val="24"/>
        </w:rPr>
        <w:t xml:space="preserve">According to the 2020 Census, the </w:t>
      </w:r>
      <w:proofErr w:type="gramStart"/>
      <w:r w:rsidRPr="00080178">
        <w:rPr>
          <w:rFonts w:ascii="Times New Roman" w:hAnsi="Times New Roman"/>
          <w:sz w:val="24"/>
          <w:szCs w:val="24"/>
        </w:rPr>
        <w:t>African-American</w:t>
      </w:r>
      <w:proofErr w:type="gramEnd"/>
      <w:r w:rsidRPr="00080178">
        <w:rPr>
          <w:rFonts w:ascii="Times New Roman" w:hAnsi="Times New Roman"/>
          <w:sz w:val="24"/>
          <w:szCs w:val="24"/>
        </w:rPr>
        <w:t xml:space="preserve"> and/or Hispanic population of Mount Vernon between the ages of 18 and 44 was approximately 66% and 7%, respectively. According to Mount Vernon counsel, the demographics of the fire department were: </w:t>
      </w:r>
    </w:p>
    <w:p w14:paraId="68A9E609" w14:textId="77777777" w:rsidR="00080178" w:rsidRPr="00080178" w:rsidRDefault="00080178" w:rsidP="00080178">
      <w:pPr>
        <w:pStyle w:val="NoSpacing"/>
        <w:ind w:left="720"/>
        <w:rPr>
          <w:rFonts w:ascii="Times New Roman" w:hAnsi="Times New Roman"/>
          <w:sz w:val="24"/>
          <w:szCs w:val="24"/>
        </w:rPr>
      </w:pPr>
    </w:p>
    <w:tbl>
      <w:tblPr>
        <w:tblW w:w="0" w:type="auto"/>
        <w:tblCellSpacing w:w="15" w:type="dxa"/>
        <w:tblInd w:w="1395" w:type="dxa"/>
        <w:tblCellMar>
          <w:top w:w="15" w:type="dxa"/>
          <w:left w:w="15" w:type="dxa"/>
          <w:bottom w:w="15" w:type="dxa"/>
          <w:right w:w="15" w:type="dxa"/>
        </w:tblCellMar>
        <w:tblLook w:val="04A0" w:firstRow="1" w:lastRow="0" w:firstColumn="1" w:lastColumn="0" w:noHBand="0" w:noVBand="1"/>
      </w:tblPr>
      <w:tblGrid>
        <w:gridCol w:w="1642"/>
        <w:gridCol w:w="647"/>
        <w:gridCol w:w="1819"/>
        <w:gridCol w:w="929"/>
      </w:tblGrid>
      <w:tr w:rsidR="00080178" w:rsidRPr="00080178" w14:paraId="6D1EE60B" w14:textId="77777777" w:rsidTr="007E6314">
        <w:trPr>
          <w:tblCellSpacing w:w="15" w:type="dxa"/>
        </w:trPr>
        <w:tc>
          <w:tcPr>
            <w:tcW w:w="0" w:type="auto"/>
            <w:vAlign w:val="center"/>
            <w:hideMark/>
          </w:tcPr>
          <w:p w14:paraId="58EAD0D8" w14:textId="77777777" w:rsidR="00080178" w:rsidRPr="00080178" w:rsidRDefault="00080178" w:rsidP="007E6314">
            <w:pPr>
              <w:pStyle w:val="NoSpacing"/>
              <w:rPr>
                <w:rFonts w:ascii="Times New Roman" w:hAnsi="Times New Roman"/>
                <w:sz w:val="24"/>
                <w:szCs w:val="24"/>
              </w:rPr>
            </w:pPr>
          </w:p>
        </w:tc>
        <w:tc>
          <w:tcPr>
            <w:tcW w:w="0" w:type="auto"/>
            <w:vAlign w:val="center"/>
            <w:hideMark/>
          </w:tcPr>
          <w:p w14:paraId="435AC5AF"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White </w:t>
            </w:r>
          </w:p>
        </w:tc>
        <w:tc>
          <w:tcPr>
            <w:tcW w:w="0" w:type="auto"/>
            <w:vAlign w:val="center"/>
            <w:hideMark/>
          </w:tcPr>
          <w:p w14:paraId="0C5EB4E7" w14:textId="77777777" w:rsidR="00080178" w:rsidRPr="00080178" w:rsidRDefault="00080178" w:rsidP="007E6314">
            <w:pPr>
              <w:pStyle w:val="NoSpacing"/>
              <w:rPr>
                <w:rFonts w:ascii="Times New Roman" w:hAnsi="Times New Roman"/>
                <w:sz w:val="24"/>
                <w:szCs w:val="24"/>
              </w:rPr>
            </w:pPr>
            <w:proofErr w:type="gramStart"/>
            <w:r w:rsidRPr="00080178">
              <w:rPr>
                <w:rFonts w:ascii="Times New Roman" w:hAnsi="Times New Roman"/>
                <w:sz w:val="24"/>
                <w:szCs w:val="24"/>
              </w:rPr>
              <w:t>African-American</w:t>
            </w:r>
            <w:proofErr w:type="gramEnd"/>
            <w:r w:rsidRPr="00080178">
              <w:rPr>
                <w:rFonts w:ascii="Times New Roman" w:hAnsi="Times New Roman"/>
                <w:sz w:val="24"/>
                <w:szCs w:val="24"/>
              </w:rPr>
              <w:t xml:space="preserve"> </w:t>
            </w:r>
          </w:p>
        </w:tc>
        <w:tc>
          <w:tcPr>
            <w:tcW w:w="0" w:type="auto"/>
            <w:vAlign w:val="center"/>
            <w:hideMark/>
          </w:tcPr>
          <w:p w14:paraId="284EABBB"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Hispanic </w:t>
            </w:r>
          </w:p>
        </w:tc>
      </w:tr>
      <w:tr w:rsidR="00080178" w:rsidRPr="00080178" w14:paraId="42E8FB2F" w14:textId="77777777" w:rsidTr="007E6314">
        <w:trPr>
          <w:tblCellSpacing w:w="15" w:type="dxa"/>
        </w:trPr>
        <w:tc>
          <w:tcPr>
            <w:tcW w:w="0" w:type="auto"/>
            <w:vAlign w:val="center"/>
            <w:hideMark/>
          </w:tcPr>
          <w:p w14:paraId="556C2E47"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Commissioners </w:t>
            </w:r>
          </w:p>
        </w:tc>
        <w:tc>
          <w:tcPr>
            <w:tcW w:w="0" w:type="auto"/>
            <w:vAlign w:val="center"/>
            <w:hideMark/>
          </w:tcPr>
          <w:p w14:paraId="3238446B"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50% </w:t>
            </w:r>
          </w:p>
        </w:tc>
        <w:tc>
          <w:tcPr>
            <w:tcW w:w="0" w:type="auto"/>
            <w:vAlign w:val="center"/>
            <w:hideMark/>
          </w:tcPr>
          <w:p w14:paraId="33A5828E"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50% </w:t>
            </w:r>
          </w:p>
        </w:tc>
        <w:tc>
          <w:tcPr>
            <w:tcW w:w="0" w:type="auto"/>
            <w:vAlign w:val="center"/>
            <w:hideMark/>
          </w:tcPr>
          <w:p w14:paraId="6F8E5893"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0% </w:t>
            </w:r>
          </w:p>
        </w:tc>
      </w:tr>
      <w:tr w:rsidR="00080178" w:rsidRPr="00080178" w14:paraId="2E1BD3CE" w14:textId="77777777" w:rsidTr="007E6314">
        <w:trPr>
          <w:tblCellSpacing w:w="15" w:type="dxa"/>
        </w:trPr>
        <w:tc>
          <w:tcPr>
            <w:tcW w:w="0" w:type="auto"/>
            <w:vAlign w:val="center"/>
            <w:hideMark/>
          </w:tcPr>
          <w:p w14:paraId="7EF9169B"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Deputy Chiefs </w:t>
            </w:r>
          </w:p>
        </w:tc>
        <w:tc>
          <w:tcPr>
            <w:tcW w:w="0" w:type="auto"/>
            <w:vAlign w:val="center"/>
            <w:hideMark/>
          </w:tcPr>
          <w:p w14:paraId="34E54506"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50% </w:t>
            </w:r>
          </w:p>
        </w:tc>
        <w:tc>
          <w:tcPr>
            <w:tcW w:w="0" w:type="auto"/>
            <w:vAlign w:val="center"/>
            <w:hideMark/>
          </w:tcPr>
          <w:p w14:paraId="5A95D5D0"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50% </w:t>
            </w:r>
          </w:p>
        </w:tc>
        <w:tc>
          <w:tcPr>
            <w:tcW w:w="0" w:type="auto"/>
            <w:vAlign w:val="center"/>
            <w:hideMark/>
          </w:tcPr>
          <w:p w14:paraId="41387636"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0% </w:t>
            </w:r>
          </w:p>
        </w:tc>
      </w:tr>
      <w:tr w:rsidR="00080178" w:rsidRPr="00080178" w14:paraId="056C82CA" w14:textId="77777777" w:rsidTr="007E6314">
        <w:trPr>
          <w:tblCellSpacing w:w="15" w:type="dxa"/>
        </w:trPr>
        <w:tc>
          <w:tcPr>
            <w:tcW w:w="0" w:type="auto"/>
            <w:vAlign w:val="center"/>
            <w:hideMark/>
          </w:tcPr>
          <w:p w14:paraId="7C9945AC"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Fire Captains </w:t>
            </w:r>
          </w:p>
        </w:tc>
        <w:tc>
          <w:tcPr>
            <w:tcW w:w="0" w:type="auto"/>
            <w:vAlign w:val="center"/>
            <w:hideMark/>
          </w:tcPr>
          <w:p w14:paraId="1F12CE66"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33% </w:t>
            </w:r>
          </w:p>
        </w:tc>
        <w:tc>
          <w:tcPr>
            <w:tcW w:w="0" w:type="auto"/>
            <w:vAlign w:val="center"/>
            <w:hideMark/>
          </w:tcPr>
          <w:p w14:paraId="2F84DCB9"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50% </w:t>
            </w:r>
          </w:p>
        </w:tc>
        <w:tc>
          <w:tcPr>
            <w:tcW w:w="0" w:type="auto"/>
            <w:vAlign w:val="center"/>
            <w:hideMark/>
          </w:tcPr>
          <w:p w14:paraId="17146B7E"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17% </w:t>
            </w:r>
          </w:p>
        </w:tc>
      </w:tr>
      <w:tr w:rsidR="00080178" w:rsidRPr="00080178" w14:paraId="2921482E" w14:textId="77777777" w:rsidTr="007E6314">
        <w:trPr>
          <w:tblCellSpacing w:w="15" w:type="dxa"/>
        </w:trPr>
        <w:tc>
          <w:tcPr>
            <w:tcW w:w="0" w:type="auto"/>
            <w:vAlign w:val="center"/>
            <w:hideMark/>
          </w:tcPr>
          <w:p w14:paraId="2EE233D6"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Fire Lieutenants </w:t>
            </w:r>
          </w:p>
        </w:tc>
        <w:tc>
          <w:tcPr>
            <w:tcW w:w="0" w:type="auto"/>
            <w:vAlign w:val="center"/>
            <w:hideMark/>
          </w:tcPr>
          <w:p w14:paraId="36EB51EA"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48% </w:t>
            </w:r>
          </w:p>
        </w:tc>
        <w:tc>
          <w:tcPr>
            <w:tcW w:w="0" w:type="auto"/>
            <w:vAlign w:val="center"/>
            <w:hideMark/>
          </w:tcPr>
          <w:p w14:paraId="7CB2482F"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52% </w:t>
            </w:r>
          </w:p>
        </w:tc>
        <w:tc>
          <w:tcPr>
            <w:tcW w:w="0" w:type="auto"/>
            <w:vAlign w:val="center"/>
            <w:hideMark/>
          </w:tcPr>
          <w:p w14:paraId="5E882C88"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0% </w:t>
            </w:r>
          </w:p>
        </w:tc>
      </w:tr>
      <w:tr w:rsidR="00080178" w:rsidRPr="00080178" w14:paraId="3A10B905" w14:textId="77777777" w:rsidTr="007E6314">
        <w:trPr>
          <w:tblCellSpacing w:w="15" w:type="dxa"/>
        </w:trPr>
        <w:tc>
          <w:tcPr>
            <w:tcW w:w="0" w:type="auto"/>
            <w:vAlign w:val="center"/>
            <w:hideMark/>
          </w:tcPr>
          <w:p w14:paraId="7CDAE054"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Firefighters </w:t>
            </w:r>
          </w:p>
        </w:tc>
        <w:tc>
          <w:tcPr>
            <w:tcW w:w="0" w:type="auto"/>
            <w:vAlign w:val="center"/>
            <w:hideMark/>
          </w:tcPr>
          <w:p w14:paraId="73DCEBA0"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36% </w:t>
            </w:r>
          </w:p>
        </w:tc>
        <w:tc>
          <w:tcPr>
            <w:tcW w:w="0" w:type="auto"/>
            <w:vAlign w:val="center"/>
            <w:hideMark/>
          </w:tcPr>
          <w:p w14:paraId="7D4855BA"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62% </w:t>
            </w:r>
          </w:p>
        </w:tc>
        <w:tc>
          <w:tcPr>
            <w:tcW w:w="0" w:type="auto"/>
            <w:vAlign w:val="center"/>
            <w:hideMark/>
          </w:tcPr>
          <w:p w14:paraId="5B0DC378"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2% </w:t>
            </w:r>
          </w:p>
        </w:tc>
      </w:tr>
      <w:tr w:rsidR="00080178" w:rsidRPr="00080178" w14:paraId="42FB0420" w14:textId="77777777" w:rsidTr="007E6314">
        <w:trPr>
          <w:tblCellSpacing w:w="15" w:type="dxa"/>
        </w:trPr>
        <w:tc>
          <w:tcPr>
            <w:tcW w:w="0" w:type="auto"/>
            <w:vAlign w:val="center"/>
            <w:hideMark/>
          </w:tcPr>
          <w:p w14:paraId="2E96DA45"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Inspectors </w:t>
            </w:r>
          </w:p>
        </w:tc>
        <w:tc>
          <w:tcPr>
            <w:tcW w:w="0" w:type="auto"/>
            <w:vAlign w:val="center"/>
            <w:hideMark/>
          </w:tcPr>
          <w:p w14:paraId="6C4060A8"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50% </w:t>
            </w:r>
          </w:p>
        </w:tc>
        <w:tc>
          <w:tcPr>
            <w:tcW w:w="0" w:type="auto"/>
            <w:vAlign w:val="center"/>
            <w:hideMark/>
          </w:tcPr>
          <w:p w14:paraId="7CC8F3D4"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50% </w:t>
            </w:r>
          </w:p>
        </w:tc>
        <w:tc>
          <w:tcPr>
            <w:tcW w:w="0" w:type="auto"/>
            <w:vAlign w:val="center"/>
            <w:hideMark/>
          </w:tcPr>
          <w:p w14:paraId="443F144F" w14:textId="77777777" w:rsidR="00080178" w:rsidRPr="00080178" w:rsidRDefault="00080178" w:rsidP="007E6314">
            <w:pPr>
              <w:pStyle w:val="NoSpacing"/>
              <w:rPr>
                <w:rFonts w:ascii="Times New Roman" w:hAnsi="Times New Roman"/>
                <w:sz w:val="24"/>
                <w:szCs w:val="24"/>
              </w:rPr>
            </w:pPr>
            <w:r w:rsidRPr="00080178">
              <w:rPr>
                <w:rFonts w:ascii="Times New Roman" w:hAnsi="Times New Roman"/>
                <w:sz w:val="24"/>
                <w:szCs w:val="24"/>
              </w:rPr>
              <w:t xml:space="preserve">0% </w:t>
            </w:r>
          </w:p>
        </w:tc>
      </w:tr>
    </w:tbl>
    <w:p w14:paraId="32DA08E8" w14:textId="77777777" w:rsidR="00080178" w:rsidRPr="00080178" w:rsidRDefault="00080178" w:rsidP="00080178">
      <w:pPr>
        <w:pStyle w:val="NoSpacing"/>
        <w:ind w:left="1395"/>
        <w:rPr>
          <w:rFonts w:ascii="Times New Roman" w:hAnsi="Times New Roman"/>
          <w:sz w:val="24"/>
          <w:szCs w:val="24"/>
        </w:rPr>
      </w:pPr>
      <w:r w:rsidRPr="00080178">
        <w:rPr>
          <w:rFonts w:ascii="Times New Roman" w:hAnsi="Times New Roman"/>
          <w:sz w:val="24"/>
          <w:szCs w:val="24"/>
        </w:rPr>
        <w:t xml:space="preserve"> Dispatchers </w:t>
      </w:r>
      <w:r w:rsidRPr="00080178">
        <w:rPr>
          <w:rFonts w:ascii="Times New Roman" w:hAnsi="Times New Roman"/>
          <w:sz w:val="24"/>
          <w:szCs w:val="24"/>
        </w:rPr>
        <w:tab/>
        <w:t xml:space="preserve">    30%   50%                       20%</w:t>
      </w:r>
    </w:p>
    <w:p w14:paraId="7194787B" w14:textId="77777777" w:rsidR="00080178" w:rsidRPr="00080178" w:rsidRDefault="00080178" w:rsidP="00080178">
      <w:pPr>
        <w:pStyle w:val="NoSpacing"/>
        <w:rPr>
          <w:rFonts w:ascii="Times New Roman" w:hAnsi="Times New Roman"/>
          <w:b/>
          <w:bCs/>
          <w:sz w:val="24"/>
          <w:szCs w:val="24"/>
        </w:rPr>
      </w:pPr>
    </w:p>
    <w:p w14:paraId="271BFE65" w14:textId="77777777" w:rsidR="00080178" w:rsidRPr="00080178" w:rsidRDefault="00080178" w:rsidP="00A45D5D">
      <w:pPr>
        <w:rPr>
          <w:rFonts w:ascii="Times New Roman" w:hAnsi="Times New Roman"/>
          <w:b/>
          <w:sz w:val="24"/>
          <w:szCs w:val="24"/>
        </w:rPr>
      </w:pPr>
    </w:p>
    <w:p w14:paraId="2518B40E" w14:textId="77777777" w:rsidR="00A17EA1" w:rsidRDefault="00A17EA1" w:rsidP="00BC70A3">
      <w:pPr>
        <w:rPr>
          <w:rFonts w:ascii="Arial Black" w:hAnsi="Arial Black"/>
          <w:b/>
          <w:sz w:val="24"/>
          <w:szCs w:val="24"/>
        </w:rPr>
      </w:pPr>
    </w:p>
    <w:p w14:paraId="39FC01FF" w14:textId="593D70AE" w:rsidR="00B92F73" w:rsidRDefault="00B92F73" w:rsidP="00BC70A3">
      <w:pPr>
        <w:rPr>
          <w:rFonts w:ascii="Arial Black" w:hAnsi="Arial Black"/>
          <w:b/>
          <w:sz w:val="24"/>
          <w:szCs w:val="24"/>
        </w:rPr>
      </w:pPr>
      <w:r>
        <w:rPr>
          <w:rFonts w:ascii="Arial Black" w:hAnsi="Arial Black"/>
          <w:b/>
          <w:sz w:val="24"/>
          <w:szCs w:val="24"/>
        </w:rPr>
        <w:t>8-77</w:t>
      </w:r>
    </w:p>
    <w:p w14:paraId="1387E50A" w14:textId="77777777" w:rsidR="00C6187D" w:rsidRPr="006F2B87" w:rsidRDefault="00C6187D" w:rsidP="00C6187D">
      <w:pPr>
        <w:pStyle w:val="NoSpacing"/>
        <w:rPr>
          <w:rFonts w:ascii="Arial Black" w:hAnsi="Arial Black"/>
          <w:bCs/>
          <w:sz w:val="28"/>
          <w:szCs w:val="28"/>
        </w:rPr>
      </w:pPr>
      <w:r w:rsidRPr="006F2B87">
        <w:rPr>
          <w:rFonts w:ascii="Arial Black" w:hAnsi="Arial Black"/>
          <w:sz w:val="28"/>
          <w:szCs w:val="28"/>
        </w:rPr>
        <w:t>U.S. SUP. CT: MINORITY CONT</w:t>
      </w:r>
      <w:r>
        <w:rPr>
          <w:rFonts w:ascii="Arial Black" w:hAnsi="Arial Black"/>
          <w:sz w:val="28"/>
          <w:szCs w:val="28"/>
        </w:rPr>
        <w:t>RACT</w:t>
      </w:r>
      <w:r w:rsidRPr="006F2B87">
        <w:rPr>
          <w:rFonts w:ascii="Arial Black" w:hAnsi="Arial Black"/>
          <w:sz w:val="28"/>
          <w:szCs w:val="28"/>
        </w:rPr>
        <w:t xml:space="preserve"> FRAUD - NO $ LOSS </w:t>
      </w:r>
    </w:p>
    <w:p w14:paraId="5F6A7C89" w14:textId="77777777" w:rsidR="00C6187D" w:rsidRPr="006F2B87" w:rsidRDefault="00C6187D" w:rsidP="00C6187D">
      <w:pPr>
        <w:pStyle w:val="NoSpacing"/>
        <w:rPr>
          <w:bCs/>
        </w:rPr>
      </w:pPr>
    </w:p>
    <w:p w14:paraId="13386DB0" w14:textId="77777777" w:rsidR="00C6187D" w:rsidRPr="00C6187D" w:rsidRDefault="00C6187D" w:rsidP="00C6187D">
      <w:pPr>
        <w:pStyle w:val="NoSpacing"/>
        <w:rPr>
          <w:rFonts w:ascii="Times New Roman" w:hAnsi="Times New Roman"/>
          <w:bCs/>
          <w:sz w:val="24"/>
          <w:szCs w:val="24"/>
        </w:rPr>
      </w:pPr>
      <w:r w:rsidRPr="00C6187D">
        <w:rPr>
          <w:rFonts w:ascii="Times New Roman" w:hAnsi="Times New Roman"/>
          <w:sz w:val="24"/>
          <w:szCs w:val="24"/>
        </w:rPr>
        <w:t xml:space="preserve">On May 22, 2025, in </w:t>
      </w:r>
      <w:r w:rsidRPr="00C6187D">
        <w:rPr>
          <w:rFonts w:ascii="Times New Roman" w:hAnsi="Times New Roman"/>
          <w:sz w:val="24"/>
          <w:szCs w:val="24"/>
          <w:u w:val="single"/>
        </w:rPr>
        <w:t xml:space="preserve">Stamatios </w:t>
      </w:r>
      <w:proofErr w:type="spellStart"/>
      <w:r w:rsidRPr="00C6187D">
        <w:rPr>
          <w:rFonts w:ascii="Times New Roman" w:hAnsi="Times New Roman"/>
          <w:sz w:val="24"/>
          <w:szCs w:val="24"/>
          <w:u w:val="single"/>
        </w:rPr>
        <w:t>Kousisis</w:t>
      </w:r>
      <w:proofErr w:type="spellEnd"/>
      <w:r w:rsidRPr="00C6187D">
        <w:rPr>
          <w:rFonts w:ascii="Times New Roman" w:hAnsi="Times New Roman"/>
          <w:sz w:val="24"/>
          <w:szCs w:val="24"/>
          <w:u w:val="single"/>
        </w:rPr>
        <w:t>, et al. v. United States</w:t>
      </w:r>
      <w:r w:rsidRPr="00C6187D">
        <w:rPr>
          <w:rFonts w:ascii="Times New Roman" w:hAnsi="Times New Roman"/>
          <w:sz w:val="24"/>
          <w:szCs w:val="24"/>
        </w:rPr>
        <w:t xml:space="preserve">, the United States Supreme Court held (9 to 0) that the jury properly convicted Stamatios </w:t>
      </w:r>
      <w:proofErr w:type="spellStart"/>
      <w:r w:rsidRPr="00C6187D">
        <w:rPr>
          <w:rFonts w:ascii="Times New Roman" w:hAnsi="Times New Roman"/>
          <w:sz w:val="24"/>
          <w:szCs w:val="24"/>
        </w:rPr>
        <w:t>Kousisis</w:t>
      </w:r>
      <w:proofErr w:type="spellEnd"/>
      <w:r w:rsidRPr="00C6187D">
        <w:rPr>
          <w:rFonts w:ascii="Times New Roman" w:hAnsi="Times New Roman"/>
          <w:sz w:val="24"/>
          <w:szCs w:val="24"/>
        </w:rPr>
        <w:t xml:space="preserve"> and the industrial-painting company he helped manage, Alpha Painting and Construction Co., of wire fraud and conspiracy in two bridge painting projects in Philadelphia where he certified he was doing business with a Disadvantaged Business Enterprise [DBE]. He was sentenced to six years in prison, and the Third Circuit [Philadelphia] and the U.S. Supreme Court </w:t>
      </w:r>
      <w:proofErr w:type="spellStart"/>
      <w:r w:rsidRPr="00C6187D">
        <w:rPr>
          <w:rFonts w:ascii="Times New Roman" w:hAnsi="Times New Roman"/>
          <w:sz w:val="24"/>
          <w:szCs w:val="24"/>
        </w:rPr>
        <w:t>Court</w:t>
      </w:r>
      <w:proofErr w:type="spellEnd"/>
      <w:r w:rsidRPr="00C6187D">
        <w:rPr>
          <w:rFonts w:ascii="Times New Roman" w:hAnsi="Times New Roman"/>
          <w:sz w:val="24"/>
          <w:szCs w:val="24"/>
        </w:rPr>
        <w:t xml:space="preserve"> rejected his argument that government had to prove defendant caused his victim a “net pecuniary loss.”</w:t>
      </w:r>
    </w:p>
    <w:p w14:paraId="76D4AB36" w14:textId="77777777" w:rsidR="00C6187D" w:rsidRPr="00C6187D" w:rsidRDefault="00C6187D" w:rsidP="00C6187D">
      <w:pPr>
        <w:pStyle w:val="NoSpacing"/>
        <w:rPr>
          <w:rFonts w:ascii="Times New Roman" w:hAnsi="Times New Roman"/>
          <w:bCs/>
          <w:sz w:val="24"/>
          <w:szCs w:val="24"/>
        </w:rPr>
      </w:pPr>
    </w:p>
    <w:p w14:paraId="57B9323F" w14:textId="77777777" w:rsidR="00C6187D" w:rsidRPr="00C6187D" w:rsidRDefault="00C6187D" w:rsidP="00C6187D">
      <w:pPr>
        <w:pStyle w:val="NoSpacing"/>
        <w:rPr>
          <w:rFonts w:ascii="Times New Roman" w:hAnsi="Times New Roman"/>
          <w:bCs/>
          <w:sz w:val="24"/>
          <w:szCs w:val="24"/>
        </w:rPr>
      </w:pPr>
      <w:r w:rsidRPr="00C6187D">
        <w:rPr>
          <w:rFonts w:ascii="Times New Roman" w:hAnsi="Times New Roman"/>
          <w:sz w:val="24"/>
          <w:szCs w:val="24"/>
        </w:rPr>
        <w:t xml:space="preserve">Justice Amy Coney Barrett wrote the Court’s opinion, and explained how the scheme worked: </w:t>
      </w:r>
    </w:p>
    <w:p w14:paraId="76C98FFF" w14:textId="77777777" w:rsidR="00C6187D" w:rsidRPr="00C6187D" w:rsidRDefault="00C6187D" w:rsidP="00C6187D">
      <w:pPr>
        <w:pStyle w:val="NoSpacing"/>
        <w:rPr>
          <w:rFonts w:ascii="Times New Roman" w:hAnsi="Times New Roman"/>
          <w:bCs/>
          <w:sz w:val="24"/>
          <w:szCs w:val="24"/>
        </w:rPr>
      </w:pPr>
      <w:r w:rsidRPr="00C6187D">
        <w:rPr>
          <w:rFonts w:ascii="Times New Roman" w:hAnsi="Times New Roman"/>
          <w:sz w:val="24"/>
          <w:szCs w:val="24"/>
        </w:rPr>
        <w:t xml:space="preserve">“Accordingly, as part of the bidding process, </w:t>
      </w:r>
      <w:proofErr w:type="spellStart"/>
      <w:r w:rsidRPr="00C6187D">
        <w:rPr>
          <w:rFonts w:ascii="Times New Roman" w:hAnsi="Times New Roman"/>
          <w:sz w:val="24"/>
          <w:szCs w:val="24"/>
        </w:rPr>
        <w:t>Kousisis</w:t>
      </w:r>
      <w:proofErr w:type="spellEnd"/>
      <w:r w:rsidRPr="00C6187D">
        <w:rPr>
          <w:rFonts w:ascii="Times New Roman" w:hAnsi="Times New Roman"/>
          <w:sz w:val="24"/>
          <w:szCs w:val="24"/>
        </w:rPr>
        <w:t xml:space="preserve"> represented that Alpha would acquire approximately $6.4 million in painting supplies from Markias, Inc., a prequalified disadvantaged business. *** This was a lie.  As later memorialized in a commitment letter, Alpha and </w:t>
      </w:r>
      <w:proofErr w:type="spellStart"/>
      <w:r w:rsidRPr="00C6187D">
        <w:rPr>
          <w:rFonts w:ascii="Times New Roman" w:hAnsi="Times New Roman"/>
          <w:sz w:val="24"/>
          <w:szCs w:val="24"/>
        </w:rPr>
        <w:t>Kousisis</w:t>
      </w:r>
      <w:proofErr w:type="spellEnd"/>
      <w:r w:rsidRPr="00C6187D">
        <w:rPr>
          <w:rFonts w:ascii="Times New Roman" w:hAnsi="Times New Roman"/>
          <w:sz w:val="24"/>
          <w:szCs w:val="24"/>
        </w:rPr>
        <w:t xml:space="preserve"> concocted a scheme in which Markias would function as a mere ‘pass-through’ entity. The scheme operated as follows: </w:t>
      </w:r>
      <w:proofErr w:type="spellStart"/>
      <w:r w:rsidRPr="00C6187D">
        <w:rPr>
          <w:rFonts w:ascii="Times New Roman" w:hAnsi="Times New Roman"/>
          <w:sz w:val="24"/>
          <w:szCs w:val="24"/>
        </w:rPr>
        <w:t>Kousisis</w:t>
      </w:r>
      <w:proofErr w:type="spellEnd"/>
      <w:r w:rsidRPr="00C6187D">
        <w:rPr>
          <w:rFonts w:ascii="Times New Roman" w:hAnsi="Times New Roman"/>
          <w:sz w:val="24"/>
          <w:szCs w:val="24"/>
        </w:rPr>
        <w:t xml:space="preserve"> arranged for Alpha’s actual paint suppliers, with whom he negotiated  directly, to “generate purchase orders . . . billed to Markias.” Id., at 193. When Markias received an invoice, it tacked on a few-percent fee and then forwarded the inflated invoice to </w:t>
      </w:r>
      <w:proofErr w:type="spellStart"/>
      <w:r w:rsidRPr="00C6187D">
        <w:rPr>
          <w:rFonts w:ascii="Times New Roman" w:hAnsi="Times New Roman"/>
          <w:sz w:val="24"/>
          <w:szCs w:val="24"/>
        </w:rPr>
        <w:t>Kousisis</w:t>
      </w:r>
      <w:proofErr w:type="spellEnd"/>
      <w:r w:rsidRPr="00C6187D">
        <w:rPr>
          <w:rFonts w:ascii="Times New Roman" w:hAnsi="Times New Roman"/>
          <w:sz w:val="24"/>
          <w:szCs w:val="24"/>
        </w:rPr>
        <w:t xml:space="preserve">. He, in turn, issued two checks: one paid Markias for its mark up, and the other covered the actual </w:t>
      </w:r>
      <w:r w:rsidRPr="00C6187D">
        <w:rPr>
          <w:rFonts w:ascii="Times New Roman" w:hAnsi="Times New Roman"/>
          <w:sz w:val="24"/>
          <w:szCs w:val="24"/>
        </w:rPr>
        <w:lastRenderedPageBreak/>
        <w:t xml:space="preserve">cost of the supplies. In short, Markias was no more than a paper pusher, funneling checks and invoices to and from Alpha’s actual suppliers.” </w:t>
      </w:r>
    </w:p>
    <w:p w14:paraId="2DA6262B" w14:textId="77777777" w:rsidR="00C6187D" w:rsidRDefault="00C6187D" w:rsidP="00C6187D">
      <w:pPr>
        <w:pStyle w:val="NoSpacing"/>
        <w:rPr>
          <w:rFonts w:ascii="Times New Roman" w:hAnsi="Times New Roman"/>
          <w:sz w:val="24"/>
          <w:szCs w:val="24"/>
        </w:rPr>
      </w:pPr>
      <w:hyperlink r:id="rId1525" w:history="1">
        <w:r w:rsidRPr="00C6187D">
          <w:rPr>
            <w:rStyle w:val="Hyperlink"/>
            <w:rFonts w:ascii="Times New Roman" w:hAnsi="Times New Roman"/>
            <w:b/>
            <w:sz w:val="24"/>
            <w:szCs w:val="24"/>
          </w:rPr>
          <w:t>https://www.supremecourt.gov/opinions/24pdf/23-909_f2q3.pdf</w:t>
        </w:r>
      </w:hyperlink>
      <w:r w:rsidRPr="00C6187D">
        <w:rPr>
          <w:rFonts w:ascii="Times New Roman" w:hAnsi="Times New Roman"/>
          <w:sz w:val="24"/>
          <w:szCs w:val="24"/>
        </w:rPr>
        <w:t xml:space="preserve"> </w:t>
      </w:r>
    </w:p>
    <w:p w14:paraId="7586C31D" w14:textId="77777777" w:rsidR="0035274D" w:rsidRDefault="0035274D" w:rsidP="00C6187D">
      <w:pPr>
        <w:pStyle w:val="NoSpacing"/>
        <w:rPr>
          <w:rFonts w:ascii="Times New Roman" w:hAnsi="Times New Roman"/>
          <w:sz w:val="24"/>
          <w:szCs w:val="24"/>
        </w:rPr>
      </w:pPr>
    </w:p>
    <w:p w14:paraId="76A86332" w14:textId="77777777" w:rsidR="0035274D" w:rsidRPr="006F2B87" w:rsidRDefault="0035274D" w:rsidP="0035274D">
      <w:pPr>
        <w:pStyle w:val="NoSpacing"/>
        <w:rPr>
          <w:b/>
          <w:bCs/>
        </w:rPr>
      </w:pPr>
      <w:r w:rsidRPr="006F2B87">
        <w:rPr>
          <w:b/>
        </w:rPr>
        <w:t xml:space="preserve">Legal Lesson Learned: Fraud involving a “disadvantaged business enterprise” can be prosecuted even if the government was not financially injured. </w:t>
      </w:r>
    </w:p>
    <w:p w14:paraId="34F26987" w14:textId="77777777" w:rsidR="0035274D" w:rsidRPr="006F2B87" w:rsidRDefault="0035274D" w:rsidP="0035274D">
      <w:pPr>
        <w:pStyle w:val="NoSpacing"/>
        <w:rPr>
          <w:bCs/>
        </w:rPr>
      </w:pPr>
    </w:p>
    <w:p w14:paraId="52C73D54" w14:textId="77777777" w:rsidR="0035274D" w:rsidRPr="0035274D" w:rsidRDefault="0035274D" w:rsidP="0035274D">
      <w:pPr>
        <w:pStyle w:val="NoSpacing"/>
        <w:ind w:left="720"/>
        <w:rPr>
          <w:rFonts w:ascii="Times New Roman" w:hAnsi="Times New Roman"/>
          <w:bCs/>
          <w:sz w:val="24"/>
          <w:szCs w:val="24"/>
        </w:rPr>
      </w:pPr>
      <w:r w:rsidRPr="0035274D">
        <w:rPr>
          <w:rFonts w:ascii="Times New Roman" w:hAnsi="Times New Roman"/>
          <w:sz w:val="24"/>
          <w:szCs w:val="24"/>
        </w:rPr>
        <w:t xml:space="preserve">Note:  See concurring opinion by Justice Sonia Maria Sotomayor where she commented on baseball tickets– METS v. YANKEE </w:t>
      </w:r>
      <w:proofErr w:type="gramStart"/>
      <w:r w:rsidRPr="0035274D">
        <w:rPr>
          <w:rFonts w:ascii="Times New Roman" w:hAnsi="Times New Roman"/>
          <w:sz w:val="24"/>
          <w:szCs w:val="24"/>
        </w:rPr>
        <w:t>TICKETS:.</w:t>
      </w:r>
      <w:proofErr w:type="gramEnd"/>
    </w:p>
    <w:p w14:paraId="40889ED3" w14:textId="77777777" w:rsidR="0035274D" w:rsidRPr="0035274D" w:rsidRDefault="0035274D" w:rsidP="0035274D">
      <w:pPr>
        <w:pStyle w:val="NoSpacing"/>
        <w:ind w:left="720"/>
        <w:rPr>
          <w:rFonts w:ascii="Times New Roman" w:hAnsi="Times New Roman"/>
          <w:bCs/>
          <w:sz w:val="24"/>
          <w:szCs w:val="24"/>
        </w:rPr>
      </w:pPr>
      <w:r w:rsidRPr="0035274D">
        <w:rPr>
          <w:rFonts w:ascii="Times New Roman" w:hAnsi="Times New Roman"/>
          <w:sz w:val="24"/>
          <w:szCs w:val="24"/>
        </w:rPr>
        <w:t>“The Court today rightly rejects petitioners’ request to graft an economic-loss requirement onto the federal wire fraud statute. When a defendant tricks a victim out of their money by promising one thing and delivering something materially different, it is no defense to say that the delivered items are of equal economic value. Statutory text,</w:t>
      </w:r>
    </w:p>
    <w:p w14:paraId="5441E04A" w14:textId="77777777" w:rsidR="0035274D" w:rsidRPr="0035274D" w:rsidRDefault="0035274D" w:rsidP="0035274D">
      <w:pPr>
        <w:pStyle w:val="NoSpacing"/>
        <w:ind w:left="720"/>
        <w:rPr>
          <w:rFonts w:ascii="Times New Roman" w:hAnsi="Times New Roman"/>
          <w:bCs/>
          <w:sz w:val="24"/>
          <w:szCs w:val="24"/>
        </w:rPr>
      </w:pPr>
      <w:r w:rsidRPr="0035274D">
        <w:rPr>
          <w:rFonts w:ascii="Times New Roman" w:hAnsi="Times New Roman"/>
          <w:sz w:val="24"/>
          <w:szCs w:val="24"/>
        </w:rPr>
        <w:t xml:space="preserve">precedent, and history mandate that conclusion, as the majority explains. See ante, at 7–16. Common sense, unsurprisingly, points in the same direction. A Yankees fan deceived into buying Mets tickets is no less defrauded simply because the Mets tickets happen to be worth the same amount as the promised Yankees ones. That straightforward conclusion is all that is necessary to resolve this case, and I would go no further.” </w:t>
      </w:r>
    </w:p>
    <w:p w14:paraId="7E465657" w14:textId="77777777" w:rsidR="0035274D" w:rsidRPr="0035274D" w:rsidRDefault="0035274D" w:rsidP="0035274D">
      <w:pPr>
        <w:pStyle w:val="NoSpacing"/>
        <w:rPr>
          <w:rFonts w:ascii="Times New Roman" w:hAnsi="Times New Roman"/>
          <w:bCs/>
          <w:sz w:val="24"/>
          <w:szCs w:val="24"/>
        </w:rPr>
      </w:pPr>
    </w:p>
    <w:p w14:paraId="6B6B312D" w14:textId="77777777" w:rsidR="0035274D" w:rsidRPr="0035274D" w:rsidRDefault="0035274D" w:rsidP="0035274D">
      <w:pPr>
        <w:pStyle w:val="NoSpacing"/>
        <w:rPr>
          <w:rFonts w:ascii="Times New Roman" w:hAnsi="Times New Roman"/>
          <w:bCs/>
          <w:sz w:val="24"/>
          <w:szCs w:val="24"/>
        </w:rPr>
      </w:pPr>
      <w:r w:rsidRPr="0035274D">
        <w:rPr>
          <w:rFonts w:ascii="Times New Roman" w:hAnsi="Times New Roman"/>
          <w:sz w:val="24"/>
          <w:szCs w:val="24"/>
        </w:rPr>
        <w:t>See concurring opinion by Jstice Clearance Thomas:</w:t>
      </w:r>
    </w:p>
    <w:p w14:paraId="0A4A8902" w14:textId="77777777" w:rsidR="0035274D" w:rsidRPr="0035274D" w:rsidRDefault="0035274D" w:rsidP="0035274D">
      <w:pPr>
        <w:pStyle w:val="NoSpacing"/>
        <w:rPr>
          <w:rFonts w:ascii="Times New Roman" w:hAnsi="Times New Roman"/>
          <w:bCs/>
          <w:sz w:val="24"/>
          <w:szCs w:val="24"/>
        </w:rPr>
      </w:pPr>
    </w:p>
    <w:p w14:paraId="6876B65D" w14:textId="77777777" w:rsidR="0035274D" w:rsidRPr="0035274D" w:rsidRDefault="0035274D" w:rsidP="0035274D">
      <w:pPr>
        <w:pStyle w:val="NoSpacing"/>
        <w:ind w:left="720"/>
        <w:rPr>
          <w:rFonts w:ascii="Times New Roman" w:hAnsi="Times New Roman"/>
          <w:bCs/>
          <w:sz w:val="24"/>
          <w:szCs w:val="24"/>
        </w:rPr>
      </w:pPr>
      <w:r w:rsidRPr="0035274D">
        <w:rPr>
          <w:rFonts w:ascii="Times New Roman" w:hAnsi="Times New Roman"/>
          <w:sz w:val="24"/>
          <w:szCs w:val="24"/>
        </w:rPr>
        <w:t>“The DBE program is the Government’s ‘most far-reaching federal status-based contracting program.” D. Bernstein, The Modern American Law of Race, 94 S. Cal. L.</w:t>
      </w:r>
    </w:p>
    <w:p w14:paraId="2D3F072C" w14:textId="77777777" w:rsidR="0035274D" w:rsidRPr="0035274D" w:rsidRDefault="0035274D" w:rsidP="0035274D">
      <w:pPr>
        <w:pStyle w:val="NoSpacing"/>
        <w:ind w:left="720"/>
        <w:rPr>
          <w:rFonts w:ascii="Times New Roman" w:hAnsi="Times New Roman"/>
          <w:bCs/>
          <w:sz w:val="24"/>
          <w:szCs w:val="24"/>
        </w:rPr>
      </w:pPr>
      <w:r w:rsidRPr="0035274D">
        <w:rPr>
          <w:rFonts w:ascii="Times New Roman" w:hAnsi="Times New Roman"/>
          <w:sz w:val="24"/>
          <w:szCs w:val="24"/>
        </w:rPr>
        <w:t>Rev. 171, 208 (2021) (Bernstein). Established in 1983, it sets a goal that at least 10 percent of federal funds authorized for any highway and transit program ‘be expended</w:t>
      </w:r>
    </w:p>
    <w:p w14:paraId="6602E059" w14:textId="77777777" w:rsidR="0035274D" w:rsidRPr="0035274D" w:rsidRDefault="0035274D" w:rsidP="0035274D">
      <w:pPr>
        <w:pStyle w:val="NoSpacing"/>
        <w:ind w:left="720"/>
        <w:rPr>
          <w:rFonts w:ascii="Times New Roman" w:hAnsi="Times New Roman"/>
          <w:bCs/>
          <w:sz w:val="24"/>
          <w:szCs w:val="24"/>
        </w:rPr>
      </w:pPr>
      <w:r w:rsidRPr="0035274D">
        <w:rPr>
          <w:rFonts w:ascii="Times New Roman" w:hAnsi="Times New Roman"/>
          <w:sz w:val="24"/>
          <w:szCs w:val="24"/>
        </w:rPr>
        <w:t xml:space="preserve">with small business concerns owned and controlled by socially and economically disadvantaged individuals.’ … Among the groups presumptively eligible for DBE benefits are  ‘Black Americans,’ ‘Hispanic Americans,’ ‘Native Americans,’ </w:t>
      </w:r>
      <w:r w:rsidRPr="0035274D">
        <w:rPr>
          <w:rFonts w:ascii="Times New Roman" w:hAnsi="Times New Roman"/>
          <w:sz w:val="24"/>
          <w:szCs w:val="24"/>
        </w:rPr>
        <w:tab/>
        <w:t>‘Asian-Pacific Americans,’ and ‘Subcontinent Asian Americans.’ ”</w:t>
      </w:r>
    </w:p>
    <w:p w14:paraId="1765AD79" w14:textId="77777777" w:rsidR="0035274D" w:rsidRPr="0035274D" w:rsidRDefault="0035274D" w:rsidP="0035274D">
      <w:pPr>
        <w:pStyle w:val="NoSpacing"/>
        <w:rPr>
          <w:rFonts w:ascii="Times New Roman" w:hAnsi="Times New Roman"/>
          <w:bCs/>
          <w:sz w:val="24"/>
          <w:szCs w:val="24"/>
        </w:rPr>
      </w:pPr>
    </w:p>
    <w:p w14:paraId="32BCA717" w14:textId="77777777" w:rsidR="0035274D" w:rsidRPr="0035274D" w:rsidRDefault="0035274D" w:rsidP="0035274D">
      <w:pPr>
        <w:pStyle w:val="NoSpacing"/>
        <w:rPr>
          <w:rFonts w:ascii="Times New Roman" w:hAnsi="Times New Roman"/>
          <w:bCs/>
          <w:sz w:val="24"/>
          <w:szCs w:val="24"/>
        </w:rPr>
      </w:pPr>
    </w:p>
    <w:p w14:paraId="0A62F6AC" w14:textId="77777777" w:rsidR="0035274D" w:rsidRPr="0035274D" w:rsidRDefault="0035274D" w:rsidP="0035274D">
      <w:pPr>
        <w:pStyle w:val="NoSpacing"/>
        <w:ind w:left="720"/>
        <w:rPr>
          <w:rFonts w:ascii="Times New Roman" w:hAnsi="Times New Roman"/>
          <w:bCs/>
          <w:sz w:val="24"/>
          <w:szCs w:val="24"/>
        </w:rPr>
      </w:pPr>
      <w:r w:rsidRPr="0035274D">
        <w:rPr>
          <w:rFonts w:ascii="Times New Roman" w:hAnsi="Times New Roman"/>
          <w:sz w:val="24"/>
          <w:szCs w:val="24"/>
        </w:rPr>
        <w:t xml:space="preserve">See also: U.S. Department of Justice Press Release of Aug. 30, 2028.  “Downingtown Man Convicted of Exploiting USDOT Disadvantaged Business Program.” </w:t>
      </w:r>
    </w:p>
    <w:p w14:paraId="119DEBBF" w14:textId="77777777" w:rsidR="0035274D" w:rsidRPr="0035274D" w:rsidRDefault="0035274D" w:rsidP="0035274D">
      <w:pPr>
        <w:pStyle w:val="NoSpacing"/>
        <w:ind w:left="720"/>
        <w:rPr>
          <w:rFonts w:ascii="Times New Roman" w:hAnsi="Times New Roman"/>
          <w:bCs/>
          <w:sz w:val="24"/>
          <w:szCs w:val="24"/>
        </w:rPr>
      </w:pPr>
      <w:r w:rsidRPr="0035274D">
        <w:rPr>
          <w:rFonts w:ascii="Times New Roman" w:hAnsi="Times New Roman"/>
          <w:sz w:val="24"/>
          <w:szCs w:val="24"/>
        </w:rPr>
        <w:t xml:space="preserve">“Joyce Abrams, the owner of Markias, has previously pleaded guilty to conspiring to defraud PennDOT and the U.S. Department of Transportation with respect to this scheme. </w:t>
      </w:r>
      <w:hyperlink r:id="rId1526" w:history="1">
        <w:r w:rsidRPr="0035274D">
          <w:rPr>
            <w:rStyle w:val="Hyperlink"/>
            <w:rFonts w:ascii="Times New Roman" w:hAnsi="Times New Roman"/>
            <w:sz w:val="24"/>
            <w:szCs w:val="24"/>
          </w:rPr>
          <w:t>https://www.justice.gov/usao-edpa/pr/downingtown-man-convicted-exploiting-usdot-disadvantaged-business-program</w:t>
        </w:r>
      </w:hyperlink>
    </w:p>
    <w:p w14:paraId="7269A7E5" w14:textId="77777777" w:rsidR="0035274D" w:rsidRPr="006F2B87" w:rsidRDefault="0035274D" w:rsidP="0035274D">
      <w:pPr>
        <w:pStyle w:val="NoSpacing"/>
        <w:rPr>
          <w:bCs/>
        </w:rPr>
      </w:pPr>
    </w:p>
    <w:p w14:paraId="4443C34E" w14:textId="77777777" w:rsidR="0035274D" w:rsidRPr="00C6187D" w:rsidRDefault="0035274D" w:rsidP="00C6187D">
      <w:pPr>
        <w:pStyle w:val="NoSpacing"/>
        <w:rPr>
          <w:rFonts w:ascii="Times New Roman" w:hAnsi="Times New Roman"/>
          <w:sz w:val="24"/>
          <w:szCs w:val="24"/>
        </w:rPr>
      </w:pPr>
    </w:p>
    <w:p w14:paraId="1860BCEE" w14:textId="77777777" w:rsidR="003E03D6" w:rsidRDefault="003E03D6" w:rsidP="00BC70A3">
      <w:pPr>
        <w:rPr>
          <w:rFonts w:ascii="Arial Black" w:hAnsi="Arial Black"/>
          <w:b/>
          <w:sz w:val="24"/>
          <w:szCs w:val="24"/>
        </w:rPr>
      </w:pPr>
    </w:p>
    <w:p w14:paraId="7EA612F5" w14:textId="7F45ADF1" w:rsidR="003E03D6" w:rsidRDefault="00B92F73" w:rsidP="00BC70A3">
      <w:pPr>
        <w:rPr>
          <w:rFonts w:ascii="Arial Black" w:hAnsi="Arial Black"/>
          <w:b/>
          <w:sz w:val="24"/>
          <w:szCs w:val="24"/>
        </w:rPr>
      </w:pPr>
      <w:r>
        <w:rPr>
          <w:rFonts w:ascii="Arial Black" w:hAnsi="Arial Black"/>
          <w:b/>
          <w:sz w:val="24"/>
          <w:szCs w:val="24"/>
        </w:rPr>
        <w:t>8-76</w:t>
      </w:r>
    </w:p>
    <w:p w14:paraId="5E3AC5FE" w14:textId="722F44DE" w:rsidR="008D618F" w:rsidRPr="006F2B87" w:rsidRDefault="008D618F" w:rsidP="008D618F">
      <w:pPr>
        <w:pStyle w:val="NoSpacing"/>
        <w:rPr>
          <w:rFonts w:ascii="Arial Black" w:hAnsi="Arial Black"/>
          <w:sz w:val="28"/>
          <w:szCs w:val="28"/>
        </w:rPr>
      </w:pPr>
      <w:r w:rsidRPr="006F2B87">
        <w:rPr>
          <w:rFonts w:ascii="Arial Black" w:hAnsi="Arial Black"/>
          <w:sz w:val="28"/>
          <w:szCs w:val="28"/>
        </w:rPr>
        <w:t xml:space="preserve">MS:  FAILED </w:t>
      </w:r>
      <w:r>
        <w:rPr>
          <w:rFonts w:ascii="Arial Black" w:hAnsi="Arial Black"/>
          <w:sz w:val="28"/>
          <w:szCs w:val="28"/>
        </w:rPr>
        <w:t xml:space="preserve">FD “DRIVER” TESTS - </w:t>
      </w:r>
      <w:r w:rsidRPr="006F2B87">
        <w:rPr>
          <w:rFonts w:ascii="Arial Black" w:hAnsi="Arial Black"/>
          <w:sz w:val="28"/>
          <w:szCs w:val="28"/>
        </w:rPr>
        <w:t xml:space="preserve">3 TIMES – </w:t>
      </w:r>
      <w:r w:rsidR="008954B6">
        <w:rPr>
          <w:rFonts w:ascii="Arial Black" w:hAnsi="Arial Black"/>
          <w:sz w:val="28"/>
          <w:szCs w:val="28"/>
        </w:rPr>
        <w:t xml:space="preserve">FIRED - </w:t>
      </w:r>
      <w:r w:rsidRPr="006F2B87">
        <w:rPr>
          <w:rFonts w:ascii="Arial Black" w:hAnsi="Arial Black"/>
          <w:sz w:val="28"/>
          <w:szCs w:val="28"/>
        </w:rPr>
        <w:t>NOT RACE</w:t>
      </w:r>
    </w:p>
    <w:p w14:paraId="0FCA94E4" w14:textId="77777777" w:rsidR="008D618F" w:rsidRPr="006F2B87" w:rsidRDefault="008D618F" w:rsidP="008D618F">
      <w:pPr>
        <w:pStyle w:val="NoSpacing"/>
      </w:pPr>
    </w:p>
    <w:p w14:paraId="7CB7882D" w14:textId="77777777" w:rsidR="00BE2264" w:rsidRPr="008D618F" w:rsidRDefault="008D618F" w:rsidP="00BE2264">
      <w:pPr>
        <w:pStyle w:val="NoSpacing"/>
        <w:rPr>
          <w:rFonts w:ascii="Times New Roman" w:hAnsi="Times New Roman"/>
          <w:bCs/>
          <w:sz w:val="24"/>
          <w:szCs w:val="24"/>
        </w:rPr>
      </w:pPr>
      <w:r w:rsidRPr="008D618F">
        <w:rPr>
          <w:rFonts w:ascii="Times New Roman" w:hAnsi="Times New Roman"/>
          <w:sz w:val="24"/>
          <w:szCs w:val="24"/>
        </w:rPr>
        <w:t>On May 13, 202</w:t>
      </w:r>
      <w:r w:rsidR="00ED64DA">
        <w:rPr>
          <w:rFonts w:ascii="Times New Roman" w:hAnsi="Times New Roman"/>
          <w:sz w:val="24"/>
          <w:szCs w:val="24"/>
        </w:rPr>
        <w:t>5</w:t>
      </w:r>
      <w:r w:rsidRPr="008D618F">
        <w:rPr>
          <w:rFonts w:ascii="Times New Roman" w:hAnsi="Times New Roman"/>
          <w:sz w:val="24"/>
          <w:szCs w:val="24"/>
        </w:rPr>
        <w:t xml:space="preserve">, in </w:t>
      </w:r>
      <w:r w:rsidRPr="008D618F">
        <w:rPr>
          <w:rFonts w:ascii="Times New Roman" w:hAnsi="Times New Roman"/>
          <w:sz w:val="24"/>
          <w:szCs w:val="24"/>
          <w:u w:val="single"/>
        </w:rPr>
        <w:t>Willie Fry v. City of Hernando, Mississippi</w:t>
      </w:r>
      <w:r w:rsidRPr="008D618F">
        <w:rPr>
          <w:rFonts w:ascii="Times New Roman" w:hAnsi="Times New Roman"/>
          <w:sz w:val="24"/>
          <w:szCs w:val="24"/>
        </w:rPr>
        <w:t>,</w:t>
      </w:r>
      <w:r w:rsidRPr="008D618F">
        <w:rPr>
          <w:rFonts w:ascii="Times New Roman" w:hAnsi="Times New Roman"/>
          <w:b/>
          <w:sz w:val="24"/>
          <w:szCs w:val="24"/>
        </w:rPr>
        <w:t xml:space="preserve"> </w:t>
      </w:r>
      <w:r w:rsidRPr="008D618F">
        <w:rPr>
          <w:rFonts w:ascii="Times New Roman" w:hAnsi="Times New Roman"/>
          <w:sz w:val="24"/>
          <w:szCs w:val="24"/>
        </w:rPr>
        <w:t xml:space="preserve">the U.S. Court of Appeals for Fifth Circuit (New Orleans) held (3 to 0) that trial court properly granted summary judgment to the defense, after close of pre-trial discovery.  The former firefighter failed “driver” testing three times. </w:t>
      </w:r>
      <w:hyperlink r:id="rId1527" w:history="1">
        <w:r w:rsidR="00BE2264" w:rsidRPr="008D618F">
          <w:rPr>
            <w:rStyle w:val="Hyperlink"/>
            <w:rFonts w:ascii="Times New Roman" w:hAnsi="Times New Roman"/>
            <w:sz w:val="24"/>
            <w:szCs w:val="24"/>
          </w:rPr>
          <w:t>https://www.ca5.uscourts.gov/opinions/unpub/24/24-60532.0.pdf</w:t>
        </w:r>
      </w:hyperlink>
      <w:r w:rsidR="00BE2264" w:rsidRPr="008D618F">
        <w:rPr>
          <w:rFonts w:ascii="Times New Roman" w:hAnsi="Times New Roman"/>
          <w:sz w:val="24"/>
          <w:szCs w:val="24"/>
        </w:rPr>
        <w:t xml:space="preserve"> </w:t>
      </w:r>
    </w:p>
    <w:p w14:paraId="69BEACB7" w14:textId="27F028CD" w:rsidR="008D618F" w:rsidRPr="008D618F" w:rsidRDefault="008D618F" w:rsidP="008D618F">
      <w:pPr>
        <w:pStyle w:val="NoSpacing"/>
        <w:rPr>
          <w:rFonts w:ascii="Times New Roman" w:hAnsi="Times New Roman"/>
          <w:bCs/>
          <w:sz w:val="24"/>
          <w:szCs w:val="24"/>
        </w:rPr>
      </w:pPr>
    </w:p>
    <w:p w14:paraId="52F4EA08" w14:textId="77777777" w:rsidR="008D618F" w:rsidRPr="008D618F" w:rsidRDefault="008D618F" w:rsidP="008D618F">
      <w:pPr>
        <w:pStyle w:val="NoSpacing"/>
        <w:rPr>
          <w:rFonts w:ascii="Times New Roman" w:hAnsi="Times New Roman"/>
          <w:bCs/>
          <w:sz w:val="24"/>
          <w:szCs w:val="24"/>
        </w:rPr>
      </w:pPr>
    </w:p>
    <w:p w14:paraId="18C310EC" w14:textId="5816C605" w:rsidR="008D618F" w:rsidRPr="008D618F" w:rsidRDefault="008D618F" w:rsidP="008D618F">
      <w:pPr>
        <w:pStyle w:val="NoSpacing"/>
        <w:rPr>
          <w:rFonts w:ascii="Times New Roman" w:hAnsi="Times New Roman"/>
          <w:bCs/>
          <w:sz w:val="24"/>
          <w:szCs w:val="24"/>
        </w:rPr>
      </w:pPr>
      <w:r w:rsidRPr="008D618F">
        <w:rPr>
          <w:rFonts w:ascii="Times New Roman" w:hAnsi="Times New Roman"/>
          <w:sz w:val="24"/>
          <w:szCs w:val="24"/>
        </w:rPr>
        <w:lastRenderedPageBreak/>
        <w:t xml:space="preserve">The Court wrote: “Fry worked as a Hernando firefighter for about six years. While in that post, he applied to be promoted to driver. The Hernando Fire Department requires firefighters applying </w:t>
      </w:r>
      <w:proofErr w:type="gramStart"/>
      <w:r w:rsidRPr="008D618F">
        <w:rPr>
          <w:rFonts w:ascii="Times New Roman" w:hAnsi="Times New Roman"/>
          <w:sz w:val="24"/>
          <w:szCs w:val="24"/>
        </w:rPr>
        <w:t>to</w:t>
      </w:r>
      <w:proofErr w:type="gramEnd"/>
      <w:r w:rsidRPr="008D618F">
        <w:rPr>
          <w:rFonts w:ascii="Times New Roman" w:hAnsi="Times New Roman"/>
          <w:sz w:val="24"/>
          <w:szCs w:val="24"/>
        </w:rPr>
        <w:t xml:space="preserve"> that position to pass a promotional exam.  The exam is comprised of a few tests—each of which an applicant must pass, in sequential order, to be eligible for promotion…. Fry failed the driver promotional exam three times—in 2018, 2020, and 2021. On his first attempt, he failed the pump test. On his second and third attempts, Fry failed the street test. In 2021, the year of Fry’s third attempt, the exam had been reduced from five tests to three. But the pump test remained a part of each exam. Fry did not take the pump test in either his second or third attempt because he failed the street test, which was the first round of the exam. *** The record lacks evidence that he was “qualified for” the position of driver in 2018, 2020, or 2021—an essential element of his prima facie case. The Hernando Fire Department requires firefighters to pass a promotional exam to be eligible for the </w:t>
      </w:r>
      <w:proofErr w:type="gramStart"/>
      <w:r w:rsidRPr="008D618F">
        <w:rPr>
          <w:rFonts w:ascii="Times New Roman" w:hAnsi="Times New Roman"/>
          <w:sz w:val="24"/>
          <w:szCs w:val="24"/>
        </w:rPr>
        <w:t>driver</w:t>
      </w:r>
      <w:proofErr w:type="gramEnd"/>
      <w:r w:rsidRPr="008D618F">
        <w:rPr>
          <w:rFonts w:ascii="Times New Roman" w:hAnsi="Times New Roman"/>
          <w:sz w:val="24"/>
          <w:szCs w:val="24"/>
        </w:rPr>
        <w:t xml:space="preserve"> position. After searching the record and liberally construing his arguments on appeal, we find no competent summary-judgment evidence from which a trier of fact could infer that Fry passed that exam. Because Fry failed to demonstrate through competent summary-judgment evidence the existence of a genuine dispute on an essential element of his claims, summary judgment was proper as to </w:t>
      </w:r>
      <w:proofErr w:type="gramStart"/>
      <w:r w:rsidRPr="008D618F">
        <w:rPr>
          <w:rFonts w:ascii="Times New Roman" w:hAnsi="Times New Roman"/>
          <w:sz w:val="24"/>
          <w:szCs w:val="24"/>
        </w:rPr>
        <w:t>them.”</w:t>
      </w:r>
      <w:proofErr w:type="gramEnd"/>
      <w:r w:rsidRPr="008D618F">
        <w:rPr>
          <w:rFonts w:ascii="Times New Roman" w:hAnsi="Times New Roman"/>
          <w:sz w:val="24"/>
          <w:szCs w:val="24"/>
        </w:rPr>
        <w:t xml:space="preserve"> </w:t>
      </w:r>
    </w:p>
    <w:p w14:paraId="54F13789" w14:textId="77777777" w:rsidR="003E03D6" w:rsidRDefault="003E03D6" w:rsidP="00BC70A3">
      <w:pPr>
        <w:rPr>
          <w:rFonts w:ascii="Arial Black" w:hAnsi="Arial Black"/>
          <w:b/>
          <w:sz w:val="24"/>
          <w:szCs w:val="24"/>
        </w:rPr>
      </w:pPr>
    </w:p>
    <w:p w14:paraId="000F7884" w14:textId="77777777" w:rsidR="002F7A23" w:rsidRPr="00B92F73" w:rsidRDefault="002F7A23" w:rsidP="002F7A23">
      <w:pPr>
        <w:pStyle w:val="NoSpacing"/>
        <w:rPr>
          <w:rFonts w:ascii="Times New Roman" w:hAnsi="Times New Roman"/>
          <w:b/>
          <w:bCs/>
          <w:sz w:val="24"/>
          <w:szCs w:val="24"/>
        </w:rPr>
      </w:pPr>
      <w:r w:rsidRPr="00B92F73">
        <w:rPr>
          <w:rFonts w:ascii="Times New Roman" w:hAnsi="Times New Roman"/>
          <w:b/>
          <w:sz w:val="24"/>
          <w:szCs w:val="24"/>
        </w:rPr>
        <w:t xml:space="preserve">Legal Lesson Learned: The former firefighter failed the </w:t>
      </w:r>
      <w:r w:rsidRPr="00B92F73">
        <w:rPr>
          <w:rFonts w:ascii="Times New Roman" w:hAnsi="Times New Roman"/>
          <w:b/>
          <w:bCs/>
          <w:sz w:val="24"/>
          <w:szCs w:val="24"/>
        </w:rPr>
        <w:t>driver’s</w:t>
      </w:r>
      <w:r w:rsidRPr="00B92F73">
        <w:rPr>
          <w:rFonts w:ascii="Times New Roman" w:hAnsi="Times New Roman"/>
          <w:b/>
          <w:sz w:val="24"/>
          <w:szCs w:val="24"/>
        </w:rPr>
        <w:t xml:space="preserve"> test three times; </w:t>
      </w:r>
      <w:r w:rsidRPr="00B92F73">
        <w:rPr>
          <w:rFonts w:ascii="Times New Roman" w:hAnsi="Times New Roman"/>
          <w:b/>
          <w:bCs/>
          <w:sz w:val="24"/>
          <w:szCs w:val="24"/>
        </w:rPr>
        <w:t xml:space="preserve">Court held </w:t>
      </w:r>
      <w:r w:rsidRPr="00B92F73">
        <w:rPr>
          <w:rFonts w:ascii="Times New Roman" w:hAnsi="Times New Roman"/>
          <w:b/>
          <w:sz w:val="24"/>
          <w:szCs w:val="24"/>
        </w:rPr>
        <w:t>race was not a factor.</w:t>
      </w:r>
    </w:p>
    <w:p w14:paraId="6C8F1E97" w14:textId="77777777" w:rsidR="002F7A23" w:rsidRPr="006F2B87" w:rsidRDefault="002F7A23" w:rsidP="002F7A23">
      <w:pPr>
        <w:pStyle w:val="NoSpacing"/>
      </w:pPr>
    </w:p>
    <w:p w14:paraId="17ED2775" w14:textId="77777777" w:rsidR="002F7A23" w:rsidRDefault="002F7A23" w:rsidP="00BC70A3">
      <w:pPr>
        <w:rPr>
          <w:rFonts w:ascii="Arial Black" w:hAnsi="Arial Black"/>
          <w:b/>
          <w:sz w:val="24"/>
          <w:szCs w:val="24"/>
        </w:rPr>
      </w:pPr>
    </w:p>
    <w:p w14:paraId="3ECE4E9F" w14:textId="77777777" w:rsidR="003E03D6" w:rsidRDefault="003E03D6" w:rsidP="00BC70A3">
      <w:pPr>
        <w:rPr>
          <w:rFonts w:ascii="Arial Black" w:hAnsi="Arial Black"/>
          <w:b/>
          <w:sz w:val="24"/>
          <w:szCs w:val="24"/>
        </w:rPr>
      </w:pPr>
    </w:p>
    <w:p w14:paraId="0469024C" w14:textId="44EC7842" w:rsidR="0062764C" w:rsidRDefault="0062764C" w:rsidP="00BC70A3">
      <w:pPr>
        <w:rPr>
          <w:rFonts w:ascii="Arial Black" w:hAnsi="Arial Black"/>
          <w:b/>
          <w:sz w:val="24"/>
          <w:szCs w:val="24"/>
        </w:rPr>
      </w:pPr>
      <w:r>
        <w:rPr>
          <w:rFonts w:ascii="Arial Black" w:hAnsi="Arial Black"/>
          <w:b/>
          <w:sz w:val="24"/>
          <w:szCs w:val="24"/>
        </w:rPr>
        <w:t>8-75</w:t>
      </w:r>
    </w:p>
    <w:p w14:paraId="0D53978D" w14:textId="77777777" w:rsidR="0060197A" w:rsidRPr="00067B0D" w:rsidRDefault="0060197A" w:rsidP="0060197A">
      <w:pPr>
        <w:rPr>
          <w:rFonts w:ascii="Arial Black" w:hAnsi="Arial Black"/>
          <w:bCs/>
          <w:sz w:val="28"/>
          <w:szCs w:val="28"/>
        </w:rPr>
      </w:pPr>
      <w:r>
        <w:rPr>
          <w:rFonts w:ascii="Arial Black" w:hAnsi="Arial Black"/>
          <w:sz w:val="28"/>
          <w:szCs w:val="28"/>
        </w:rPr>
        <w:t xml:space="preserve">TX: FF FIRED / IRAQI / 3 DOC. “PERFORMANCE NOTES” </w:t>
      </w:r>
    </w:p>
    <w:p w14:paraId="5AE9B1CC" w14:textId="0850A4DF" w:rsidR="0060197A" w:rsidRPr="0060197A" w:rsidRDefault="0060197A" w:rsidP="0060197A">
      <w:pPr>
        <w:rPr>
          <w:rFonts w:ascii="Times New Roman" w:hAnsi="Times New Roman"/>
          <w:bCs/>
          <w:sz w:val="24"/>
          <w:szCs w:val="24"/>
        </w:rPr>
      </w:pPr>
      <w:r>
        <w:t xml:space="preserve"> </w:t>
      </w:r>
      <w:r w:rsidRPr="0060197A">
        <w:rPr>
          <w:rFonts w:ascii="Times New Roman" w:hAnsi="Times New Roman"/>
          <w:sz w:val="24"/>
          <w:szCs w:val="24"/>
        </w:rPr>
        <w:t xml:space="preserve">On May 1, 2025, in </w:t>
      </w:r>
      <w:proofErr w:type="spellStart"/>
      <w:r w:rsidRPr="0060197A">
        <w:rPr>
          <w:rFonts w:ascii="Times New Roman" w:hAnsi="Times New Roman"/>
          <w:sz w:val="24"/>
          <w:szCs w:val="24"/>
          <w:u w:val="single"/>
        </w:rPr>
        <w:t>Safealdean</w:t>
      </w:r>
      <w:proofErr w:type="spellEnd"/>
      <w:r w:rsidRPr="0060197A">
        <w:rPr>
          <w:rFonts w:ascii="Times New Roman" w:hAnsi="Times New Roman"/>
          <w:sz w:val="24"/>
          <w:szCs w:val="24"/>
          <w:u w:val="single"/>
        </w:rPr>
        <w:t xml:space="preserve"> </w:t>
      </w:r>
      <w:proofErr w:type="spellStart"/>
      <w:r w:rsidRPr="0060197A">
        <w:rPr>
          <w:rFonts w:ascii="Times New Roman" w:hAnsi="Times New Roman"/>
          <w:sz w:val="24"/>
          <w:szCs w:val="24"/>
          <w:u w:val="single"/>
        </w:rPr>
        <w:t>Alusi</w:t>
      </w:r>
      <w:proofErr w:type="spellEnd"/>
      <w:r w:rsidRPr="0060197A">
        <w:rPr>
          <w:rFonts w:ascii="Times New Roman" w:hAnsi="Times New Roman"/>
          <w:sz w:val="24"/>
          <w:szCs w:val="24"/>
          <w:u w:val="single"/>
        </w:rPr>
        <w:t xml:space="preserve"> v. City of Frisco, Texas</w:t>
      </w:r>
      <w:r w:rsidRPr="0060197A">
        <w:rPr>
          <w:rFonts w:ascii="Times New Roman" w:hAnsi="Times New Roman"/>
          <w:sz w:val="24"/>
          <w:szCs w:val="24"/>
        </w:rPr>
        <w:t xml:space="preserve">, the U.S. Court of Appeals held (3 to 0; unpublished decision) that the trial court properly granted the City’s motion for summary judgment after pre-trial discovery was completed in claims of hostile work atmosphere and national origin discrimination. The FF was fired on May 6, 2020; he had completed his one year probationary period on December 2018, but by July 11, 2029 he had received three “performance note[s]” in response to various instances of alleged deficient performance, was shortly thereafter moved to a new station, and required to restart a training program “to improve his paramedic skills.’” </w:t>
      </w:r>
      <w:hyperlink r:id="rId1528" w:history="1">
        <w:r w:rsidRPr="0060197A">
          <w:rPr>
            <w:rStyle w:val="Hyperlink"/>
            <w:rFonts w:ascii="Times New Roman" w:hAnsi="Times New Roman"/>
            <w:sz w:val="24"/>
            <w:szCs w:val="24"/>
          </w:rPr>
          <w:t>https://cases.justia.com/federal/appellate-courts/ca5/24-40626/24-40626-2025-05-01.pdf?ts=1746120629</w:t>
        </w:r>
      </w:hyperlink>
    </w:p>
    <w:p w14:paraId="0C0B97CA" w14:textId="77777777" w:rsidR="00CB5E21" w:rsidRPr="00CB5E21" w:rsidRDefault="00CB5E21" w:rsidP="00CB5E21">
      <w:pPr>
        <w:pStyle w:val="NoSpacing"/>
        <w:rPr>
          <w:rFonts w:ascii="Times New Roman" w:hAnsi="Times New Roman"/>
          <w:b/>
          <w:bCs/>
          <w:sz w:val="24"/>
          <w:szCs w:val="24"/>
        </w:rPr>
      </w:pPr>
      <w:r w:rsidRPr="00CB5E21">
        <w:rPr>
          <w:rFonts w:ascii="Times New Roman" w:hAnsi="Times New Roman"/>
          <w:b/>
          <w:sz w:val="24"/>
          <w:szCs w:val="24"/>
        </w:rPr>
        <w:t>Legal Lesson Learned: The FD documented performance deficiencies prior to termination.</w:t>
      </w:r>
    </w:p>
    <w:p w14:paraId="7C4B711C" w14:textId="77777777" w:rsidR="0062764C" w:rsidRPr="00CB5E21" w:rsidRDefault="0062764C" w:rsidP="00BC70A3">
      <w:pPr>
        <w:rPr>
          <w:rFonts w:ascii="Times New Roman" w:hAnsi="Times New Roman"/>
          <w:b/>
          <w:sz w:val="24"/>
          <w:szCs w:val="24"/>
        </w:rPr>
      </w:pPr>
    </w:p>
    <w:p w14:paraId="0077B28F" w14:textId="77777777" w:rsidR="0062764C" w:rsidRDefault="0062764C" w:rsidP="00BC70A3">
      <w:pPr>
        <w:rPr>
          <w:rFonts w:ascii="Arial Black" w:hAnsi="Arial Black"/>
          <w:b/>
          <w:sz w:val="24"/>
          <w:szCs w:val="24"/>
        </w:rPr>
      </w:pPr>
    </w:p>
    <w:p w14:paraId="153E21F5" w14:textId="4B89CC84" w:rsidR="000B584F" w:rsidRDefault="009353BA" w:rsidP="00BC70A3">
      <w:pPr>
        <w:rPr>
          <w:rFonts w:ascii="Arial Black" w:hAnsi="Arial Black"/>
          <w:b/>
          <w:sz w:val="24"/>
          <w:szCs w:val="24"/>
        </w:rPr>
      </w:pPr>
      <w:r>
        <w:rPr>
          <w:rFonts w:ascii="Arial Black" w:hAnsi="Arial Black"/>
          <w:b/>
          <w:sz w:val="24"/>
          <w:szCs w:val="24"/>
        </w:rPr>
        <w:t>8-74</w:t>
      </w:r>
    </w:p>
    <w:p w14:paraId="575C3370" w14:textId="54D0FB2A" w:rsidR="00BD3AC0" w:rsidRPr="00A12DBD" w:rsidRDefault="00BD3AC0" w:rsidP="00BD3AC0">
      <w:pPr>
        <w:pStyle w:val="NoSpacing"/>
        <w:rPr>
          <w:rFonts w:ascii="Arial Black" w:hAnsi="Arial Black"/>
          <w:bCs/>
          <w:sz w:val="28"/>
          <w:szCs w:val="28"/>
        </w:rPr>
      </w:pPr>
      <w:r>
        <w:rPr>
          <w:rFonts w:ascii="Arial Black" w:hAnsi="Arial Black"/>
          <w:sz w:val="28"/>
          <w:szCs w:val="28"/>
        </w:rPr>
        <w:t xml:space="preserve">MS: EMS SCHOLARSHIPS FOR </w:t>
      </w:r>
      <w:r w:rsidR="0052716C">
        <w:rPr>
          <w:rFonts w:ascii="Arial Black" w:hAnsi="Arial Black"/>
          <w:sz w:val="28"/>
          <w:szCs w:val="28"/>
        </w:rPr>
        <w:t xml:space="preserve">EMS </w:t>
      </w:r>
      <w:r>
        <w:rPr>
          <w:rFonts w:ascii="Arial Black" w:hAnsi="Arial Black"/>
          <w:sz w:val="28"/>
          <w:szCs w:val="28"/>
        </w:rPr>
        <w:t>“OF COLOR” - CASE PROCEED</w:t>
      </w:r>
    </w:p>
    <w:p w14:paraId="072E2B41" w14:textId="77777777" w:rsidR="00BD3AC0" w:rsidRDefault="00BD3AC0" w:rsidP="00BD3AC0">
      <w:pPr>
        <w:pStyle w:val="NoSpacing"/>
      </w:pPr>
    </w:p>
    <w:p w14:paraId="113E0EBE" w14:textId="77777777" w:rsidR="00BD3AC0" w:rsidRPr="00E55966" w:rsidRDefault="00BD3AC0" w:rsidP="00BD3AC0">
      <w:pPr>
        <w:pStyle w:val="NoSpacing"/>
        <w:rPr>
          <w:rFonts w:ascii="Times New Roman" w:hAnsi="Times New Roman"/>
          <w:sz w:val="24"/>
          <w:szCs w:val="24"/>
        </w:rPr>
      </w:pPr>
      <w:r w:rsidRPr="00E55966">
        <w:rPr>
          <w:rFonts w:ascii="Times New Roman" w:hAnsi="Times New Roman"/>
          <w:sz w:val="24"/>
          <w:szCs w:val="24"/>
        </w:rPr>
        <w:t xml:space="preserve">On March 31, 2025, in </w:t>
      </w:r>
      <w:r w:rsidRPr="00E55966">
        <w:rPr>
          <w:rFonts w:ascii="Times New Roman" w:hAnsi="Times New Roman"/>
          <w:sz w:val="24"/>
          <w:szCs w:val="24"/>
          <w:u w:val="single"/>
        </w:rPr>
        <w:t>Do No Harm v. National Association of Emergency Medical Technicians</w:t>
      </w:r>
      <w:r w:rsidRPr="00E55966">
        <w:rPr>
          <w:rFonts w:ascii="Times New Roman" w:hAnsi="Times New Roman"/>
          <w:sz w:val="24"/>
          <w:szCs w:val="24"/>
        </w:rPr>
        <w:t xml:space="preserve">, </w:t>
      </w:r>
    </w:p>
    <w:p w14:paraId="789CCDC2" w14:textId="589405C2" w:rsidR="00BC5DCB" w:rsidRPr="00E55966" w:rsidRDefault="00BD3AC0" w:rsidP="00BD3AC0">
      <w:pPr>
        <w:rPr>
          <w:rFonts w:ascii="Times New Roman" w:hAnsi="Times New Roman"/>
          <w:sz w:val="24"/>
          <w:szCs w:val="24"/>
        </w:rPr>
      </w:pPr>
      <w:r w:rsidRPr="00E55966">
        <w:rPr>
          <w:rFonts w:ascii="Times New Roman" w:hAnsi="Times New Roman"/>
          <w:sz w:val="24"/>
          <w:szCs w:val="24"/>
        </w:rPr>
        <w:t xml:space="preserve">U.S. District Court Judge Carlton W. Reeves, U.S. District Court for the Southern District of Mississippi (Northern Division) denied NAEMT’s motion to dismiss.  “Since 2021, this program has awarded up to four scholarships of $1,250 each, which recipients may use towards tuition, fees, and books…. The scholarship's </w:t>
      </w:r>
      <w:r w:rsidRPr="00E55966">
        <w:rPr>
          <w:rFonts w:ascii="Times New Roman" w:hAnsi="Times New Roman"/>
          <w:sz w:val="24"/>
          <w:szCs w:val="24"/>
        </w:rPr>
        <w:lastRenderedPageBreak/>
        <w:t xml:space="preserve">guidelines do not list race as a factor; however, the selection process states that NAEMT ‘will’ award the scholarship to students of color. ***  [Plaintiff organization include white female seeking one of the scholarships.] “Member A alleges that she was denied the opportunity to compete on equal footing with applicants of color because of her race. If proven to be true-and the applicable standard requires us to presume its truth today- NAEMT's diversity scholarship would pose a race-based barrier to Member A that may violate § 1981.” </w:t>
      </w:r>
      <w:r w:rsidR="00741F62">
        <w:rPr>
          <w:rFonts w:ascii="Times New Roman" w:hAnsi="Times New Roman"/>
          <w:sz w:val="24"/>
          <w:szCs w:val="24"/>
        </w:rPr>
        <w:t xml:space="preserve"> </w:t>
      </w:r>
      <w:hyperlink r:id="rId1529" w:history="1">
        <w:r w:rsidR="00741F62" w:rsidRPr="00F82255">
          <w:rPr>
            <w:rStyle w:val="Hyperlink"/>
            <w:rFonts w:ascii="Times New Roman" w:hAnsi="Times New Roman"/>
            <w:sz w:val="24"/>
            <w:szCs w:val="24"/>
          </w:rPr>
          <w:t>https://public.fastcase.com/jaEE2PXzRXmZ99jOLMt1IpDp0JnVzptdty762p2WdacpKzYcIiQ8l1TBeuMep1jV?utm_medium=email&amp;_hsenc=p2ANqtz-9L1bPrfxst6esq_7Z5KFo1lHVisT0fYVrJpGE-zmUOoXZMhssxRXtfaqB6NAX5aJI_oGim2Kqhabp0MlaGnIdzwB2f4A&amp;_hsmi=226712652&amp;utm_content=226712652&amp;utm_source=hs_email</w:t>
        </w:r>
      </w:hyperlink>
      <w:r w:rsidR="00741F62">
        <w:rPr>
          <w:rFonts w:ascii="Times New Roman" w:hAnsi="Times New Roman"/>
          <w:sz w:val="24"/>
          <w:szCs w:val="24"/>
        </w:rPr>
        <w:t xml:space="preserve"> </w:t>
      </w:r>
    </w:p>
    <w:p w14:paraId="006202BE" w14:textId="77777777" w:rsidR="008A0A0B" w:rsidRDefault="008A0A0B" w:rsidP="008A0A0B">
      <w:pPr>
        <w:pStyle w:val="NoSpacing"/>
        <w:rPr>
          <w:rFonts w:ascii="Times New Roman" w:hAnsi="Times New Roman"/>
          <w:b/>
          <w:sz w:val="24"/>
          <w:szCs w:val="24"/>
        </w:rPr>
      </w:pPr>
      <w:r w:rsidRPr="001C2A03">
        <w:rPr>
          <w:rFonts w:ascii="Times New Roman" w:hAnsi="Times New Roman"/>
          <w:b/>
          <w:sz w:val="24"/>
          <w:szCs w:val="24"/>
        </w:rPr>
        <w:t>Legal Lesson Learned:  The case will now proceed to pre-trial discovery; scholarships for minority students by universities and other organizations have also been challenged.</w:t>
      </w:r>
    </w:p>
    <w:p w14:paraId="073BA680" w14:textId="77777777" w:rsidR="00282976" w:rsidRDefault="00282976" w:rsidP="008A0A0B">
      <w:pPr>
        <w:pStyle w:val="NoSpacing"/>
        <w:rPr>
          <w:rFonts w:ascii="Times New Roman" w:hAnsi="Times New Roman"/>
          <w:b/>
          <w:sz w:val="24"/>
          <w:szCs w:val="24"/>
        </w:rPr>
      </w:pPr>
    </w:p>
    <w:p w14:paraId="24FC34D6" w14:textId="77777777" w:rsidR="00E55966" w:rsidRPr="00E55966" w:rsidRDefault="00E55966" w:rsidP="00E55966">
      <w:pPr>
        <w:pStyle w:val="NoSpacing"/>
        <w:ind w:left="720"/>
        <w:rPr>
          <w:rFonts w:ascii="Times New Roman" w:hAnsi="Times New Roman"/>
          <w:bCs/>
          <w:sz w:val="24"/>
          <w:szCs w:val="24"/>
        </w:rPr>
      </w:pPr>
      <w:r w:rsidRPr="00E55966">
        <w:rPr>
          <w:rFonts w:ascii="Times New Roman" w:hAnsi="Times New Roman"/>
          <w:sz w:val="24"/>
          <w:szCs w:val="24"/>
        </w:rPr>
        <w:t xml:space="preserve">Note:  </w:t>
      </w:r>
    </w:p>
    <w:p w14:paraId="7A83B162" w14:textId="77777777" w:rsidR="00E55966" w:rsidRPr="00E55966" w:rsidRDefault="00E55966" w:rsidP="00E55966">
      <w:pPr>
        <w:pStyle w:val="NoSpacing"/>
        <w:ind w:left="720"/>
        <w:rPr>
          <w:rFonts w:ascii="Times New Roman" w:hAnsi="Times New Roman"/>
          <w:bCs/>
          <w:sz w:val="24"/>
          <w:szCs w:val="24"/>
        </w:rPr>
      </w:pPr>
    </w:p>
    <w:p w14:paraId="2938ECEC" w14:textId="77777777" w:rsidR="00E55966" w:rsidRPr="00E55966" w:rsidRDefault="00E55966" w:rsidP="00E55966">
      <w:pPr>
        <w:pStyle w:val="NoSpacing"/>
        <w:ind w:left="720"/>
        <w:rPr>
          <w:rFonts w:ascii="Times New Roman" w:hAnsi="Times New Roman"/>
          <w:bCs/>
          <w:sz w:val="24"/>
          <w:szCs w:val="24"/>
        </w:rPr>
      </w:pPr>
      <w:r w:rsidRPr="00E55966">
        <w:rPr>
          <w:rFonts w:ascii="Times New Roman" w:hAnsi="Times New Roman"/>
          <w:sz w:val="24"/>
          <w:szCs w:val="24"/>
        </w:rPr>
        <w:t xml:space="preserve">See March 13, </w:t>
      </w:r>
      <w:proofErr w:type="gramStart"/>
      <w:r w:rsidRPr="00E55966">
        <w:rPr>
          <w:rFonts w:ascii="Times New Roman" w:hAnsi="Times New Roman"/>
          <w:sz w:val="24"/>
          <w:szCs w:val="24"/>
        </w:rPr>
        <w:t>2025</w:t>
      </w:r>
      <w:proofErr w:type="gramEnd"/>
      <w:r w:rsidRPr="00E55966">
        <w:rPr>
          <w:rFonts w:ascii="Times New Roman" w:hAnsi="Times New Roman"/>
          <w:sz w:val="24"/>
          <w:szCs w:val="24"/>
        </w:rPr>
        <w:t xml:space="preserve"> article and TV Video: “Cincinnati Children's Hospital under investigation over scholarships for minorities. A Wisconsin law firm brought the complaint to the federal government, alleging the programs violate the Civil Rights Act. Cincinnati Children's Hospital is being investigated by the federal government for scholarships aimed at helping minority students. The Department of Health and Human Services Office of Civil Rights is looking into whether those programs break the law.” </w:t>
      </w:r>
      <w:hyperlink r:id="rId1530" w:history="1">
        <w:r w:rsidRPr="00E55966">
          <w:rPr>
            <w:rStyle w:val="Hyperlink"/>
            <w:rFonts w:ascii="Times New Roman" w:hAnsi="Times New Roman"/>
            <w:sz w:val="24"/>
            <w:szCs w:val="24"/>
          </w:rPr>
          <w:t>https://www.wlwt.com/article/cincinnati-childrens-investigation-scholarships-minorities/64180173</w:t>
        </w:r>
      </w:hyperlink>
      <w:r w:rsidRPr="00E55966">
        <w:rPr>
          <w:rFonts w:ascii="Times New Roman" w:hAnsi="Times New Roman"/>
          <w:sz w:val="24"/>
          <w:szCs w:val="24"/>
        </w:rPr>
        <w:t xml:space="preserve"> </w:t>
      </w:r>
    </w:p>
    <w:p w14:paraId="07E5D801" w14:textId="77777777" w:rsidR="00E55966" w:rsidRPr="00E55966" w:rsidRDefault="00E55966" w:rsidP="00E55966">
      <w:pPr>
        <w:pStyle w:val="NoSpacing"/>
        <w:ind w:left="720"/>
        <w:rPr>
          <w:rFonts w:ascii="Times New Roman" w:hAnsi="Times New Roman"/>
          <w:bCs/>
          <w:sz w:val="24"/>
          <w:szCs w:val="24"/>
        </w:rPr>
      </w:pPr>
    </w:p>
    <w:p w14:paraId="179C4FAB" w14:textId="77777777" w:rsidR="00E55966" w:rsidRPr="00E55966" w:rsidRDefault="00E55966" w:rsidP="00E55966">
      <w:pPr>
        <w:pStyle w:val="NoSpacing"/>
        <w:ind w:left="720"/>
        <w:rPr>
          <w:rFonts w:ascii="Times New Roman" w:hAnsi="Times New Roman"/>
          <w:bCs/>
          <w:sz w:val="24"/>
          <w:szCs w:val="24"/>
        </w:rPr>
      </w:pPr>
      <w:r w:rsidRPr="00E55966">
        <w:rPr>
          <w:rFonts w:ascii="Times New Roman" w:hAnsi="Times New Roman"/>
          <w:sz w:val="24"/>
          <w:szCs w:val="24"/>
        </w:rPr>
        <w:t xml:space="preserve">See American Bar Association scholarships. “The American Bar Association (ABA) awards an annual Legal Opportunity Scholarship to first-year law students. The program's mission is to encourage racial and ethnic minority students to apply to law school and to provide financial assistance for them to attend and complete their legal education. The ABA Legal Opportunity Scholarship grants $15,000 of financial aid to 20 - 25 incoming diverse law students over their three years in law school. Since its inception, the ABA Legal Opportunity Scholarship has benefitted more than 400 students from across the country.”  </w:t>
      </w:r>
      <w:hyperlink r:id="rId1531" w:history="1">
        <w:r w:rsidRPr="00E55966">
          <w:rPr>
            <w:rStyle w:val="Hyperlink"/>
            <w:rFonts w:ascii="Times New Roman" w:hAnsi="Times New Roman"/>
            <w:sz w:val="24"/>
            <w:szCs w:val="24"/>
          </w:rPr>
          <w:t>https://www.americanbar.org/groups/diversity/diversity_pipeline/projects_initiatives/legal_opportunity_scholarship/</w:t>
        </w:r>
      </w:hyperlink>
    </w:p>
    <w:p w14:paraId="6C406882" w14:textId="77777777" w:rsidR="00E55966" w:rsidRDefault="00E55966" w:rsidP="00BD3AC0">
      <w:pPr>
        <w:rPr>
          <w:rFonts w:ascii="Arial Black" w:hAnsi="Arial Black"/>
          <w:b/>
          <w:sz w:val="24"/>
          <w:szCs w:val="24"/>
        </w:rPr>
      </w:pPr>
    </w:p>
    <w:p w14:paraId="14380081" w14:textId="77777777" w:rsidR="009353BA" w:rsidRDefault="009353BA" w:rsidP="00BC70A3">
      <w:pPr>
        <w:rPr>
          <w:rFonts w:ascii="Arial Black" w:hAnsi="Arial Black"/>
          <w:b/>
          <w:sz w:val="24"/>
          <w:szCs w:val="24"/>
        </w:rPr>
      </w:pPr>
    </w:p>
    <w:p w14:paraId="7023D4EB" w14:textId="77777777" w:rsidR="009353BA" w:rsidRDefault="009353BA" w:rsidP="00BC70A3">
      <w:pPr>
        <w:rPr>
          <w:rFonts w:ascii="Arial Black" w:hAnsi="Arial Black"/>
          <w:b/>
          <w:sz w:val="24"/>
          <w:szCs w:val="24"/>
        </w:rPr>
      </w:pPr>
    </w:p>
    <w:p w14:paraId="7F8E8D59" w14:textId="437810A8" w:rsidR="000B584F" w:rsidRDefault="000B584F" w:rsidP="00BC70A3">
      <w:pPr>
        <w:rPr>
          <w:rFonts w:ascii="Arial Black" w:hAnsi="Arial Black"/>
          <w:b/>
          <w:sz w:val="24"/>
          <w:szCs w:val="24"/>
        </w:rPr>
      </w:pPr>
      <w:r>
        <w:rPr>
          <w:rFonts w:ascii="Arial Black" w:hAnsi="Arial Black"/>
          <w:b/>
          <w:sz w:val="24"/>
          <w:szCs w:val="24"/>
        </w:rPr>
        <w:t>8-7</w:t>
      </w:r>
      <w:r w:rsidR="00375DDB">
        <w:rPr>
          <w:rFonts w:ascii="Arial Black" w:hAnsi="Arial Black"/>
          <w:b/>
          <w:sz w:val="24"/>
          <w:szCs w:val="24"/>
        </w:rPr>
        <w:t>3</w:t>
      </w:r>
    </w:p>
    <w:p w14:paraId="45B22002" w14:textId="1A8B2187" w:rsidR="00A110F1" w:rsidRPr="00E11E20" w:rsidRDefault="00A110F1" w:rsidP="00A110F1">
      <w:pPr>
        <w:pStyle w:val="NoSpacing"/>
        <w:rPr>
          <w:rFonts w:ascii="Arial Black" w:hAnsi="Arial Black"/>
          <w:bCs/>
          <w:sz w:val="28"/>
          <w:szCs w:val="28"/>
        </w:rPr>
      </w:pPr>
      <w:r>
        <w:rPr>
          <w:rFonts w:ascii="Arial Black" w:hAnsi="Arial Black"/>
          <w:sz w:val="28"/>
          <w:szCs w:val="28"/>
        </w:rPr>
        <w:t xml:space="preserve">MD: NOT RACE DISC – FIRED </w:t>
      </w:r>
      <w:r w:rsidR="0068464C">
        <w:rPr>
          <w:rFonts w:ascii="Arial Black" w:hAnsi="Arial Black"/>
          <w:sz w:val="28"/>
          <w:szCs w:val="28"/>
        </w:rPr>
        <w:t xml:space="preserve">- </w:t>
      </w:r>
      <w:r>
        <w:rPr>
          <w:rFonts w:ascii="Arial Black" w:hAnsi="Arial Black"/>
          <w:sz w:val="28"/>
          <w:szCs w:val="28"/>
        </w:rPr>
        <w:t>DIDN’T RETURN MED. LEAVE</w:t>
      </w:r>
    </w:p>
    <w:p w14:paraId="5D82B45B" w14:textId="77777777" w:rsidR="00A110F1" w:rsidRDefault="00A110F1" w:rsidP="00A110F1">
      <w:pPr>
        <w:pStyle w:val="NoSpacing"/>
        <w:rPr>
          <w:bCs/>
        </w:rPr>
      </w:pPr>
    </w:p>
    <w:p w14:paraId="7A4DF9C5" w14:textId="77777777" w:rsidR="00A110F1" w:rsidRPr="00375DDB" w:rsidRDefault="00A110F1" w:rsidP="00A110F1">
      <w:pPr>
        <w:pStyle w:val="NoSpacing"/>
        <w:rPr>
          <w:rFonts w:ascii="Times New Roman" w:hAnsi="Times New Roman"/>
          <w:sz w:val="24"/>
          <w:szCs w:val="24"/>
        </w:rPr>
      </w:pPr>
      <w:r w:rsidRPr="00375DDB">
        <w:rPr>
          <w:rFonts w:ascii="Times New Roman" w:hAnsi="Times New Roman"/>
          <w:sz w:val="24"/>
          <w:szCs w:val="24"/>
        </w:rPr>
        <w:t xml:space="preserve">On March 31, 2025, in </w:t>
      </w:r>
      <w:r w:rsidRPr="00375DDB">
        <w:rPr>
          <w:rFonts w:ascii="Times New Roman" w:hAnsi="Times New Roman"/>
          <w:sz w:val="24"/>
          <w:szCs w:val="24"/>
          <w:u w:val="single"/>
        </w:rPr>
        <w:t>Nicole Tynes v. Mayor and City Council of Baltimore</w:t>
      </w:r>
      <w:r w:rsidRPr="00375DDB">
        <w:rPr>
          <w:rFonts w:ascii="Times New Roman" w:hAnsi="Times New Roman"/>
          <w:sz w:val="24"/>
          <w:szCs w:val="24"/>
        </w:rPr>
        <w:t xml:space="preserve">, U.S. District Court Judge Matthew J. Maddox, U.S. District Court for District of Maryland, granted the City’s motion for summary judgment in this lawsuit by black, female alleging retaliation after she filed EEOC complaint.  “On January 12, 2021, PSI placed Plaintiff off-duty through August 31, 2021, due to a non-line-of-duty surgery…. Plaintiff experienced post-op complications…. Because she was out for more than six months, Plaintiff was required to take an RTD [return to duty] exam. Plaintiff was unable to pass the RTD, and she was emotional and appeared distraught…. As a result of being placed back </w:t>
      </w:r>
      <w:proofErr w:type="gramStart"/>
      <w:r w:rsidRPr="00375DDB">
        <w:rPr>
          <w:rFonts w:ascii="Times New Roman" w:hAnsi="Times New Roman"/>
          <w:sz w:val="24"/>
          <w:szCs w:val="24"/>
        </w:rPr>
        <w:t>off-duty</w:t>
      </w:r>
      <w:proofErr w:type="gramEnd"/>
      <w:r w:rsidRPr="00375DDB">
        <w:rPr>
          <w:rFonts w:ascii="Times New Roman" w:hAnsi="Times New Roman"/>
          <w:sz w:val="24"/>
          <w:szCs w:val="24"/>
        </w:rPr>
        <w:t xml:space="preserve"> by PSI [Mercy Hospital Public Safety Infirmary]. Plaintiff was sent an updated Expiration of Medical (“EOM”) Notification dated September 2, 2021…. </w:t>
      </w:r>
    </w:p>
    <w:p w14:paraId="32962910" w14:textId="1C73FE4B" w:rsidR="00A110F1" w:rsidRPr="00375DDB" w:rsidRDefault="00A110F1" w:rsidP="00A110F1">
      <w:pPr>
        <w:rPr>
          <w:rFonts w:ascii="Times New Roman" w:hAnsi="Times New Roman"/>
          <w:sz w:val="24"/>
          <w:szCs w:val="24"/>
        </w:rPr>
      </w:pPr>
      <w:r w:rsidRPr="00375DDB">
        <w:rPr>
          <w:rFonts w:ascii="Times New Roman" w:hAnsi="Times New Roman"/>
          <w:sz w:val="24"/>
          <w:szCs w:val="24"/>
        </w:rPr>
        <w:lastRenderedPageBreak/>
        <w:t>Plaintiff's remaining retaliation claim is based on her termination from the Fire Department after she failed to return to work on September 8, 2021…</w:t>
      </w:r>
      <w:r w:rsidRPr="00375DDB">
        <w:rPr>
          <w:rFonts w:ascii="Times New Roman" w:hAnsi="Times New Roman"/>
          <w:sz w:val="24"/>
          <w:szCs w:val="24"/>
          <w:vertAlign w:val="superscript"/>
        </w:rPr>
        <w:t xml:space="preserve">. </w:t>
      </w:r>
      <w:r w:rsidRPr="00375DDB">
        <w:rPr>
          <w:rFonts w:ascii="Times New Roman" w:hAnsi="Times New Roman"/>
          <w:sz w:val="24"/>
          <w:szCs w:val="24"/>
        </w:rPr>
        <w:t>Defendant has produced a legitimate, non-retaliatory reason for terminating Plaintiff: that her medical leave expired, and she did not return to work.</w:t>
      </w:r>
      <w:r w:rsidRPr="00375DDB">
        <w:rPr>
          <w:rFonts w:ascii="Times New Roman" w:hAnsi="Times New Roman"/>
          <w:sz w:val="24"/>
          <w:szCs w:val="24"/>
          <w:vertAlign w:val="superscript"/>
        </w:rPr>
        <w:t xml:space="preserve">” </w:t>
      </w:r>
      <w:hyperlink r:id="rId1532" w:history="1">
        <w:r w:rsidRPr="00375DDB">
          <w:rPr>
            <w:rStyle w:val="Hyperlink"/>
            <w:rFonts w:ascii="Times New Roman" w:hAnsi="Times New Roman"/>
            <w:sz w:val="24"/>
            <w:szCs w:val="24"/>
          </w:rPr>
          <w:t>https://public.fastcase.com/jaEE2PXzRXmZ99jOLMt1IvrAn%2Bvx0cgAdRJLFzEVE5rZOK58n0UQBGfcsDJAKHyq3V35FHlAbNqGcC8r8dPNnejcnyefccFrDQkDZXnULhU%3D?utm_medium=email&amp;_hsenc=p2ANqtz-8kewSXPlrcM1MOnAYiHvCPklkrBuM3zyFieXeXxpBY7QJCt7ROBRst2YRlv6uOnNoYQgLAyEZN4abHQWMttR1q6BIDag&amp;_hsmi=226712652&amp;utm_content=226712652&amp;utm_source=hs_email</w:t>
        </w:r>
      </w:hyperlink>
    </w:p>
    <w:p w14:paraId="77DE6A92" w14:textId="77777777" w:rsidR="00375DDB" w:rsidRPr="00375DDB" w:rsidRDefault="00375DDB" w:rsidP="00375DDB">
      <w:pPr>
        <w:pStyle w:val="NoSpacing"/>
        <w:rPr>
          <w:rFonts w:ascii="Times New Roman" w:hAnsi="Times New Roman"/>
          <w:b/>
          <w:sz w:val="24"/>
          <w:szCs w:val="24"/>
        </w:rPr>
      </w:pPr>
      <w:r w:rsidRPr="00375DDB">
        <w:rPr>
          <w:rFonts w:ascii="Times New Roman" w:hAnsi="Times New Roman"/>
          <w:b/>
          <w:sz w:val="24"/>
          <w:szCs w:val="24"/>
        </w:rPr>
        <w:t>Legal Lesson Learned:  FD produced legitimate reason for terminating the firefighter, and plaintiff failed to show pretext.</w:t>
      </w:r>
    </w:p>
    <w:p w14:paraId="2AAB5B86" w14:textId="77777777" w:rsidR="00375DDB" w:rsidRDefault="00375DDB" w:rsidP="00375DDB">
      <w:pPr>
        <w:pStyle w:val="NoSpacing"/>
        <w:rPr>
          <w:bCs/>
        </w:rPr>
      </w:pPr>
    </w:p>
    <w:p w14:paraId="48A6D0C9" w14:textId="77777777" w:rsidR="00375DDB" w:rsidRDefault="00375DDB" w:rsidP="00A110F1">
      <w:pPr>
        <w:rPr>
          <w:rFonts w:ascii="Arial Black" w:hAnsi="Arial Black"/>
          <w:b/>
          <w:sz w:val="24"/>
          <w:szCs w:val="24"/>
        </w:rPr>
      </w:pPr>
    </w:p>
    <w:p w14:paraId="3AB97586" w14:textId="2FAE3152" w:rsidR="00375DDB" w:rsidRDefault="00375DDB" w:rsidP="00A110F1">
      <w:pPr>
        <w:rPr>
          <w:rFonts w:ascii="Arial Black" w:hAnsi="Arial Black"/>
          <w:b/>
          <w:sz w:val="24"/>
          <w:szCs w:val="24"/>
        </w:rPr>
      </w:pPr>
      <w:r>
        <w:rPr>
          <w:rFonts w:ascii="Arial Black" w:hAnsi="Arial Black"/>
          <w:b/>
          <w:sz w:val="24"/>
          <w:szCs w:val="24"/>
        </w:rPr>
        <w:t>8-72</w:t>
      </w:r>
    </w:p>
    <w:p w14:paraId="677527B3" w14:textId="77777777" w:rsidR="001F52D2" w:rsidRPr="00A158C4" w:rsidRDefault="001F52D2" w:rsidP="001F52D2">
      <w:pPr>
        <w:pStyle w:val="NoSpacing"/>
        <w:rPr>
          <w:rFonts w:ascii="Arial Black" w:hAnsi="Arial Black"/>
          <w:b/>
          <w:sz w:val="28"/>
          <w:szCs w:val="28"/>
        </w:rPr>
      </w:pPr>
      <w:r>
        <w:rPr>
          <w:rFonts w:ascii="Arial Black" w:hAnsi="Arial Black"/>
          <w:b/>
          <w:sz w:val="28"/>
          <w:szCs w:val="28"/>
        </w:rPr>
        <w:t>PA: REVERSE DISC ALLEGED – WHITE NOT PROMOTED</w:t>
      </w:r>
    </w:p>
    <w:p w14:paraId="1480FE28" w14:textId="77777777" w:rsidR="001F52D2" w:rsidRDefault="001F52D2" w:rsidP="001F52D2">
      <w:pPr>
        <w:pStyle w:val="NoSpacing"/>
      </w:pPr>
    </w:p>
    <w:p w14:paraId="460EB872" w14:textId="77777777" w:rsidR="00EA4EB5" w:rsidRPr="00A158C4" w:rsidRDefault="001F52D2" w:rsidP="00EA4EB5">
      <w:pPr>
        <w:pStyle w:val="NoSpacing"/>
      </w:pPr>
      <w:r w:rsidRPr="009353BA">
        <w:rPr>
          <w:rFonts w:ascii="Times New Roman" w:hAnsi="Times New Roman"/>
          <w:sz w:val="24"/>
          <w:szCs w:val="24"/>
        </w:rPr>
        <w:t xml:space="preserve">On March 19, 2025, in </w:t>
      </w:r>
      <w:r w:rsidRPr="009353BA">
        <w:rPr>
          <w:rFonts w:ascii="Times New Roman" w:hAnsi="Times New Roman"/>
          <w:sz w:val="24"/>
          <w:szCs w:val="24"/>
          <w:u w:val="single"/>
        </w:rPr>
        <w:t>Jared Jacobson v. City of Philadelphia</w:t>
      </w:r>
      <w:r w:rsidRPr="009353BA">
        <w:rPr>
          <w:rFonts w:ascii="Times New Roman" w:hAnsi="Times New Roman"/>
          <w:sz w:val="24"/>
          <w:szCs w:val="24"/>
        </w:rPr>
        <w:t xml:space="preserve">, U.S. District Court Judge R. Barclay Surrick, U.S. District Court for Eastern District of Pennsylvania, denied the City’s motion for summary judgment.  In </w:t>
      </w:r>
      <w:proofErr w:type="gramStart"/>
      <w:r w:rsidRPr="009353BA">
        <w:rPr>
          <w:rFonts w:ascii="Times New Roman" w:hAnsi="Times New Roman"/>
          <w:sz w:val="24"/>
          <w:szCs w:val="24"/>
        </w:rPr>
        <w:t>April,</w:t>
      </w:r>
      <w:proofErr w:type="gramEnd"/>
      <w:r w:rsidRPr="009353BA">
        <w:rPr>
          <w:rFonts w:ascii="Times New Roman" w:hAnsi="Times New Roman"/>
          <w:sz w:val="24"/>
          <w:szCs w:val="24"/>
        </w:rPr>
        <w:t xml:space="preserve"> 2021, two chief officers (one black, one white) applied for promotion Assistant Deputy Commissioner of Emergency Medical Services. The position was not posted until April 28, 2021, the day after Martin McCall (black) was promoted to </w:t>
      </w:r>
      <w:proofErr w:type="gramStart"/>
      <w:r w:rsidRPr="009353BA">
        <w:rPr>
          <w:rFonts w:ascii="Times New Roman" w:hAnsi="Times New Roman"/>
          <w:sz w:val="24"/>
          <w:szCs w:val="24"/>
        </w:rPr>
        <w:t>a</w:t>
      </w:r>
      <w:r w:rsidR="009353BA">
        <w:rPr>
          <w:rFonts w:ascii="Times New Roman" w:hAnsi="Times New Roman"/>
          <w:sz w:val="24"/>
          <w:szCs w:val="24"/>
        </w:rPr>
        <w:t xml:space="preserve"> </w:t>
      </w:r>
      <w:r w:rsidRPr="009353BA">
        <w:rPr>
          <w:rFonts w:ascii="Times New Roman" w:hAnsi="Times New Roman"/>
          <w:sz w:val="24"/>
          <w:szCs w:val="24"/>
        </w:rPr>
        <w:t>chief</w:t>
      </w:r>
      <w:proofErr w:type="gramEnd"/>
      <w:r w:rsidRPr="009353BA">
        <w:rPr>
          <w:rFonts w:ascii="Times New Roman" w:hAnsi="Times New Roman"/>
          <w:sz w:val="24"/>
          <w:szCs w:val="24"/>
        </w:rPr>
        <w:t xml:space="preserve"> officer and then eligible for the position.  They were interviewed by a three-member panel appointed by Fire Commissioner Adam Thiel:  Crystal Yates, who was retiring from the position; Deputy Commissioner Craig Murphy, and Deputy Commissioner Tara Mohr.  After the interviews, the panel members submitted their lists of pros and cons to Murphy and Yates, but   “the record is unclear regarding what role various members of the Executive Team played in making a final recommendation to Thiel… Yates testified that she did not know why McCall was selected and that she ‘wasn't a part of the selection[.]' (Yates Dep. at 41, 44-45.) … The panel recommended did not record, score, and rank the answers…. Although Defendant's motion for summary judgment presents a close call, contradictions regarding who was involved in decision-making coupled with the timing of interviews the day after McCall became chief could permit a reasonable factfinder to doubt Defendant's proffered rationale and infer discrimination. Defendant's motion will therefore be denied.” </w:t>
      </w:r>
      <w:hyperlink r:id="rId1533" w:history="1">
        <w:r w:rsidR="00EA4EB5" w:rsidRPr="00961C46">
          <w:rPr>
            <w:rStyle w:val="Hyperlink"/>
          </w:rPr>
          <w:t>https://public.fastcase.com/jaEE2PXzRXmZ99jOLMt1Ig73AWbHngoMRgpe4nLWTO53aGFBbi44KCyxbclUQNrRtdkO5InHzTjZEyqBZ0TTu4M3XLXcJtKtBwk6Y3SN%2BfM%3D?utm_medium=email&amp;_hsenc=p2ANqtz--YVrLxgHNVQCg2RIMQiS4XSu1REbqHDD3q7IV_og8sZIryoVLFG1HLWpJaCKB-X4Qy5JqtbBdGIwkTCURiibvlDX5J7A&amp;_hsmi=226712652&amp;utm_content=226712652&amp;utm_source=hs_email</w:t>
        </w:r>
      </w:hyperlink>
      <w:r w:rsidR="00EA4EB5">
        <w:t xml:space="preserve"> </w:t>
      </w:r>
    </w:p>
    <w:p w14:paraId="3DC6D03F" w14:textId="77777777" w:rsidR="00EA4EB5" w:rsidRDefault="00EA4EB5" w:rsidP="00EA4EB5">
      <w:pPr>
        <w:pStyle w:val="NoSpacing"/>
      </w:pPr>
    </w:p>
    <w:p w14:paraId="50475A87" w14:textId="77777777" w:rsidR="00761812" w:rsidRPr="00761812" w:rsidRDefault="00761812" w:rsidP="00761812">
      <w:pPr>
        <w:pStyle w:val="NoSpacing"/>
        <w:rPr>
          <w:rFonts w:ascii="Times New Roman" w:hAnsi="Times New Roman"/>
          <w:b/>
          <w:bCs/>
          <w:sz w:val="24"/>
          <w:szCs w:val="24"/>
        </w:rPr>
      </w:pPr>
      <w:r w:rsidRPr="00761812">
        <w:rPr>
          <w:rFonts w:ascii="Times New Roman" w:hAnsi="Times New Roman"/>
          <w:b/>
          <w:sz w:val="24"/>
          <w:szCs w:val="24"/>
        </w:rPr>
        <w:t>Legal Lesson Learned:  When conducting panel interviews, it is good practice for panel members to keep scores and notes.</w:t>
      </w:r>
    </w:p>
    <w:p w14:paraId="634380B9" w14:textId="77777777" w:rsidR="00375DDB" w:rsidRPr="00761812" w:rsidRDefault="00375DDB" w:rsidP="00A110F1">
      <w:pPr>
        <w:rPr>
          <w:rFonts w:ascii="Times New Roman" w:hAnsi="Times New Roman"/>
          <w:b/>
          <w:sz w:val="24"/>
          <w:szCs w:val="24"/>
        </w:rPr>
      </w:pPr>
    </w:p>
    <w:p w14:paraId="74DE081E" w14:textId="77777777" w:rsidR="000B584F" w:rsidRDefault="000B584F" w:rsidP="00BC70A3">
      <w:pPr>
        <w:rPr>
          <w:rFonts w:ascii="Arial Black" w:hAnsi="Arial Black"/>
          <w:b/>
          <w:sz w:val="24"/>
          <w:szCs w:val="24"/>
        </w:rPr>
      </w:pPr>
    </w:p>
    <w:p w14:paraId="48A6A3CE" w14:textId="1AD19216" w:rsidR="005D5BAD" w:rsidRDefault="005D5BAD" w:rsidP="00BC70A3">
      <w:pPr>
        <w:rPr>
          <w:rFonts w:ascii="Arial Black" w:hAnsi="Arial Black"/>
          <w:b/>
          <w:sz w:val="24"/>
          <w:szCs w:val="24"/>
        </w:rPr>
      </w:pPr>
      <w:r>
        <w:rPr>
          <w:rFonts w:ascii="Arial Black" w:hAnsi="Arial Black"/>
          <w:b/>
          <w:sz w:val="24"/>
          <w:szCs w:val="24"/>
        </w:rPr>
        <w:t>8-71</w:t>
      </w:r>
    </w:p>
    <w:p w14:paraId="2F5AE05D" w14:textId="77777777" w:rsidR="005D5BAD" w:rsidRPr="000B7F2C" w:rsidRDefault="005D5BAD" w:rsidP="005D5BAD">
      <w:pPr>
        <w:rPr>
          <w:rFonts w:ascii="Arial Black" w:hAnsi="Arial Black"/>
          <w:sz w:val="28"/>
          <w:szCs w:val="28"/>
        </w:rPr>
      </w:pPr>
      <w:r w:rsidRPr="000B7F2C">
        <w:rPr>
          <w:rFonts w:ascii="Arial Black" w:hAnsi="Arial Black"/>
          <w:sz w:val="28"/>
          <w:szCs w:val="28"/>
        </w:rPr>
        <w:t>MD:  TRUMP DEI PROGRAMS - PREL. INJUC</w:t>
      </w:r>
      <w:r>
        <w:rPr>
          <w:rFonts w:ascii="Arial Black" w:hAnsi="Arial Black"/>
          <w:sz w:val="28"/>
          <w:szCs w:val="28"/>
        </w:rPr>
        <w:t>TION</w:t>
      </w:r>
      <w:r w:rsidRPr="000B7F2C">
        <w:rPr>
          <w:rFonts w:ascii="Arial Black" w:hAnsi="Arial Black"/>
          <w:sz w:val="28"/>
          <w:szCs w:val="28"/>
        </w:rPr>
        <w:t xml:space="preserve"> </w:t>
      </w:r>
      <w:r>
        <w:rPr>
          <w:rFonts w:ascii="Arial Black" w:hAnsi="Arial Black"/>
          <w:sz w:val="28"/>
          <w:szCs w:val="28"/>
        </w:rPr>
        <w:t>– DOJ FDs</w:t>
      </w:r>
    </w:p>
    <w:p w14:paraId="4C5E1744" w14:textId="77777777" w:rsidR="005D5BAD" w:rsidRPr="005D5BAD" w:rsidRDefault="005D5BAD" w:rsidP="005D5BAD">
      <w:pPr>
        <w:rPr>
          <w:rFonts w:ascii="Times New Roman" w:hAnsi="Times New Roman"/>
          <w:sz w:val="24"/>
          <w:szCs w:val="24"/>
        </w:rPr>
      </w:pPr>
      <w:r w:rsidRPr="005D5BAD">
        <w:rPr>
          <w:rFonts w:ascii="Times New Roman" w:hAnsi="Times New Roman"/>
          <w:sz w:val="24"/>
          <w:szCs w:val="24"/>
        </w:rPr>
        <w:t xml:space="preserve">On Feb. 21, 2025, in </w:t>
      </w:r>
      <w:r w:rsidRPr="005D5BAD">
        <w:rPr>
          <w:rFonts w:ascii="Times New Roman" w:hAnsi="Times New Roman"/>
          <w:sz w:val="24"/>
          <w:szCs w:val="24"/>
          <w:u w:val="single"/>
        </w:rPr>
        <w:t>National Association of Diversity Officers in Higher Education, and American Association of University Professors v. Donald J. Trump, et al</w:t>
      </w:r>
      <w:r w:rsidRPr="005D5BAD">
        <w:rPr>
          <w:rFonts w:ascii="Times New Roman" w:hAnsi="Times New Roman"/>
          <w:sz w:val="24"/>
          <w:szCs w:val="24"/>
        </w:rPr>
        <w:t xml:space="preserve">., United States District Court Judge Adam B. Abelson in </w:t>
      </w:r>
      <w:r w:rsidRPr="005D5BAD">
        <w:rPr>
          <w:rFonts w:ascii="Times New Roman" w:hAnsi="Times New Roman"/>
          <w:sz w:val="24"/>
          <w:szCs w:val="24"/>
        </w:rPr>
        <w:lastRenderedPageBreak/>
        <w:t>Baltimore issued a nationwide preliminary injunction against the Termination, Certification and Enforcement Threat Provisions of President Trump’s Executive Order of January 20, 2025. However, an appeal is likely to 4</w:t>
      </w:r>
      <w:r w:rsidRPr="005D5BAD">
        <w:rPr>
          <w:rFonts w:ascii="Times New Roman" w:hAnsi="Times New Roman"/>
          <w:sz w:val="24"/>
          <w:szCs w:val="24"/>
          <w:vertAlign w:val="superscript"/>
        </w:rPr>
        <w:t>th</w:t>
      </w:r>
      <w:r w:rsidRPr="005D5BAD">
        <w:rPr>
          <w:rFonts w:ascii="Times New Roman" w:hAnsi="Times New Roman"/>
          <w:sz w:val="24"/>
          <w:szCs w:val="24"/>
        </w:rPr>
        <w:t xml:space="preserve"> Circuit (Richmond) and possibly request to U.S. Supreme Court. [See Note at end of this case review. Feb. 26, 2025, “Attorney General Pam Bondi Dismisses DEI Lawsuits Involving Police Officers and Firefighters, Advances President Trump’s Mandate to End Illegal DEI Policies.”] On Feb. 26, 2024, Attorney General announced </w:t>
      </w:r>
      <w:hyperlink r:id="rId1534" w:history="1">
        <w:r w:rsidRPr="005D5BAD">
          <w:rPr>
            <w:rStyle w:val="Hyperlink"/>
            <w:rFonts w:ascii="Times New Roman" w:hAnsi="Times New Roman"/>
            <w:sz w:val="24"/>
            <w:szCs w:val="24"/>
          </w:rPr>
          <w:t>https://www.justsecurity.org/wp-content/uploads/2025/02/National-Association-of-Diversity-Officers-in-Higher-Education-v.-Trump-feb-21-2025.pdf</w:t>
        </w:r>
      </w:hyperlink>
      <w:r w:rsidRPr="005D5BAD">
        <w:rPr>
          <w:rFonts w:ascii="Times New Roman" w:hAnsi="Times New Roman"/>
          <w:sz w:val="24"/>
          <w:szCs w:val="24"/>
        </w:rPr>
        <w:t xml:space="preserve">. </w:t>
      </w:r>
    </w:p>
    <w:p w14:paraId="50AF707B" w14:textId="77777777" w:rsidR="005D5BAD" w:rsidRPr="005D5BAD" w:rsidRDefault="005D5BAD" w:rsidP="005D5BAD">
      <w:pPr>
        <w:rPr>
          <w:rFonts w:ascii="Times New Roman" w:hAnsi="Times New Roman"/>
          <w:sz w:val="24"/>
          <w:szCs w:val="24"/>
        </w:rPr>
      </w:pPr>
      <w:r w:rsidRPr="005D5BAD">
        <w:rPr>
          <w:rFonts w:ascii="Times New Roman" w:hAnsi="Times New Roman"/>
          <w:sz w:val="24"/>
          <w:szCs w:val="24"/>
        </w:rPr>
        <w:t>Judge Abelson wrote:</w:t>
      </w:r>
    </w:p>
    <w:p w14:paraId="757B0449" w14:textId="77777777" w:rsidR="005D5BAD" w:rsidRPr="005D5BAD" w:rsidRDefault="005D5BAD" w:rsidP="005D5BAD">
      <w:pPr>
        <w:pStyle w:val="NoSpacing"/>
        <w:ind w:left="720"/>
        <w:rPr>
          <w:rFonts w:ascii="Times New Roman" w:hAnsi="Times New Roman"/>
          <w:sz w:val="24"/>
          <w:szCs w:val="24"/>
        </w:rPr>
      </w:pPr>
      <w:r w:rsidRPr="005D5BAD">
        <w:rPr>
          <w:rFonts w:ascii="Times New Roman" w:hAnsi="Times New Roman"/>
          <w:sz w:val="24"/>
          <w:szCs w:val="24"/>
        </w:rPr>
        <w:t>“Plaintiffs are likely to succeed on their claim that the Enforcement Threat Provision, § 4(b)(iii) of the J21 Order, violates the First Amendment, because it threatens to initiate enforcement actions against Plaintiffs (in the form of civil compliance investigations) for engaging in protected speech…. The Enforcement Threat Provision applies broadly to the private sector; therefore, unlike with the other provisions, the analysis is based on pure private speech regulated by the First Amendment as opposed to the speech of federal contractors or grantees.</w:t>
      </w:r>
    </w:p>
    <w:p w14:paraId="0B604A0D" w14:textId="77777777" w:rsidR="005D5BAD" w:rsidRPr="005D5BAD" w:rsidRDefault="005D5BAD" w:rsidP="005D5BAD">
      <w:pPr>
        <w:pStyle w:val="NoSpacing"/>
        <w:rPr>
          <w:rFonts w:ascii="Times New Roman" w:hAnsi="Times New Roman"/>
          <w:sz w:val="24"/>
          <w:szCs w:val="24"/>
        </w:rPr>
      </w:pPr>
      <w:r w:rsidRPr="005D5BAD">
        <w:rPr>
          <w:rFonts w:ascii="Times New Roman" w:hAnsi="Times New Roman"/>
          <w:sz w:val="24"/>
          <w:szCs w:val="24"/>
        </w:rPr>
        <w:tab/>
      </w:r>
    </w:p>
    <w:p w14:paraId="08058CFF" w14:textId="77777777" w:rsidR="005D5BAD" w:rsidRPr="005D5BAD" w:rsidRDefault="005D5BAD" w:rsidP="005D5BAD">
      <w:pPr>
        <w:pStyle w:val="NoSpacing"/>
        <w:ind w:firstLine="720"/>
        <w:rPr>
          <w:rFonts w:ascii="Times New Roman" w:hAnsi="Times New Roman"/>
          <w:sz w:val="24"/>
          <w:szCs w:val="24"/>
        </w:rPr>
      </w:pPr>
      <w:r w:rsidRPr="005D5BAD">
        <w:rPr>
          <w:rFonts w:ascii="Times New Roman" w:hAnsi="Times New Roman"/>
          <w:sz w:val="24"/>
          <w:szCs w:val="24"/>
        </w:rPr>
        <w:t>***</w:t>
      </w:r>
    </w:p>
    <w:p w14:paraId="57FED5EC" w14:textId="77777777" w:rsidR="005D5BAD" w:rsidRPr="005D5BAD" w:rsidRDefault="005D5BAD" w:rsidP="005D5BAD">
      <w:pPr>
        <w:pStyle w:val="NoSpacing"/>
        <w:ind w:left="720"/>
        <w:rPr>
          <w:rFonts w:ascii="Times New Roman" w:hAnsi="Times New Roman"/>
          <w:sz w:val="24"/>
          <w:szCs w:val="24"/>
        </w:rPr>
      </w:pPr>
      <w:r w:rsidRPr="005D5BAD">
        <w:rPr>
          <w:rFonts w:ascii="Times New Roman" w:hAnsi="Times New Roman"/>
          <w:sz w:val="24"/>
          <w:szCs w:val="24"/>
        </w:rPr>
        <w:t xml:space="preserve">The White House and Attorney General have made clear, through their ongoing implementation of various aspects of the J21 Order, that viewpoints and speech considered to be in favor of or supportive of DEI or DEIA are viewpoints the government wishes to punish and, apparently, attempt to </w:t>
      </w:r>
      <w:proofErr w:type="gramStart"/>
      <w:r w:rsidRPr="005D5BAD">
        <w:rPr>
          <w:rFonts w:ascii="Times New Roman" w:hAnsi="Times New Roman"/>
          <w:sz w:val="24"/>
          <w:szCs w:val="24"/>
        </w:rPr>
        <w:t>extinguish.”</w:t>
      </w:r>
      <w:proofErr w:type="gramEnd"/>
    </w:p>
    <w:p w14:paraId="66619CEB" w14:textId="77777777" w:rsidR="005D5BAD" w:rsidRPr="005D5BAD" w:rsidRDefault="005D5BAD" w:rsidP="005D5BAD">
      <w:pPr>
        <w:pStyle w:val="NoSpacing"/>
        <w:rPr>
          <w:rFonts w:ascii="Times New Roman" w:hAnsi="Times New Roman"/>
          <w:sz w:val="24"/>
          <w:szCs w:val="24"/>
        </w:rPr>
      </w:pPr>
    </w:p>
    <w:p w14:paraId="49CDC993" w14:textId="77777777" w:rsidR="005D5BAD" w:rsidRPr="005D5BAD" w:rsidRDefault="005D5BAD" w:rsidP="005D5BAD">
      <w:pPr>
        <w:pStyle w:val="NoSpacing"/>
        <w:rPr>
          <w:rFonts w:ascii="Times New Roman" w:hAnsi="Times New Roman"/>
          <w:b/>
          <w:bCs/>
          <w:sz w:val="24"/>
          <w:szCs w:val="24"/>
        </w:rPr>
      </w:pPr>
      <w:r w:rsidRPr="005D5BAD">
        <w:rPr>
          <w:rFonts w:ascii="Times New Roman" w:hAnsi="Times New Roman"/>
          <w:b/>
          <w:sz w:val="24"/>
          <w:szCs w:val="24"/>
        </w:rPr>
        <w:t>Legal Lesson Learned: Fire &amp; EMS departments with federal grants or contracts may be required to certify that they are complying with DEI Executive Order. Consult with your legal counsel.</w:t>
      </w:r>
    </w:p>
    <w:p w14:paraId="636198FE" w14:textId="77777777" w:rsidR="00C16DE2" w:rsidRDefault="00C16DE2" w:rsidP="005D5BAD">
      <w:pPr>
        <w:ind w:firstLine="720"/>
        <w:rPr>
          <w:rFonts w:ascii="Times New Roman" w:hAnsi="Times New Roman"/>
          <w:sz w:val="24"/>
          <w:szCs w:val="24"/>
        </w:rPr>
      </w:pPr>
    </w:p>
    <w:p w14:paraId="79BB3A3A" w14:textId="43565E04" w:rsidR="005D5BAD" w:rsidRPr="005D5BAD" w:rsidRDefault="005D5BAD" w:rsidP="005D5BAD">
      <w:pPr>
        <w:ind w:firstLine="720"/>
        <w:rPr>
          <w:rFonts w:ascii="Times New Roman" w:hAnsi="Times New Roman"/>
          <w:sz w:val="24"/>
          <w:szCs w:val="24"/>
        </w:rPr>
      </w:pPr>
      <w:r w:rsidRPr="005D5BAD">
        <w:rPr>
          <w:rFonts w:ascii="Times New Roman" w:hAnsi="Times New Roman"/>
          <w:sz w:val="24"/>
          <w:szCs w:val="24"/>
        </w:rPr>
        <w:t>Note:</w:t>
      </w:r>
    </w:p>
    <w:p w14:paraId="1EB5CF43" w14:textId="77777777" w:rsidR="005D5BAD" w:rsidRPr="005D5BAD" w:rsidRDefault="005D5BAD" w:rsidP="005D5BAD">
      <w:pPr>
        <w:ind w:left="720"/>
        <w:rPr>
          <w:rFonts w:ascii="Times New Roman" w:hAnsi="Times New Roman"/>
          <w:bCs/>
          <w:sz w:val="24"/>
          <w:szCs w:val="24"/>
        </w:rPr>
      </w:pPr>
      <w:r w:rsidRPr="005D5BAD">
        <w:rPr>
          <w:rFonts w:ascii="Times New Roman" w:hAnsi="Times New Roman"/>
          <w:sz w:val="24"/>
          <w:szCs w:val="24"/>
        </w:rPr>
        <w:t xml:space="preserve">On Feb. 26, 2025, Press Release: “Attorney General Pam Bondi Dismisses DEI Lawsuits Involving Police Officers and Firefighters, Advances President Trump’s Mandate to End Illegal DEI Policies.” </w:t>
      </w:r>
      <w:hyperlink r:id="rId1535" w:history="1">
        <w:r w:rsidRPr="005D5BAD">
          <w:rPr>
            <w:rStyle w:val="Hyperlink"/>
            <w:rFonts w:ascii="Times New Roman" w:hAnsi="Times New Roman"/>
            <w:sz w:val="24"/>
            <w:szCs w:val="24"/>
          </w:rPr>
          <w:t>https://www.justice.gov/opa/pr/attorney-general-pam-bondi-dismisses-dei-lawsuits-involving-police-officers-and-firefighters</w:t>
        </w:r>
      </w:hyperlink>
      <w:r w:rsidRPr="005D5BAD">
        <w:rPr>
          <w:rFonts w:ascii="Times New Roman" w:hAnsi="Times New Roman"/>
          <w:sz w:val="24"/>
          <w:szCs w:val="24"/>
        </w:rPr>
        <w:t xml:space="preserve"> </w:t>
      </w:r>
    </w:p>
    <w:p w14:paraId="3FDD117C" w14:textId="77777777" w:rsidR="005D5BAD" w:rsidRPr="005D5BAD" w:rsidRDefault="005D5BAD" w:rsidP="005D5BAD">
      <w:pPr>
        <w:ind w:left="720"/>
        <w:rPr>
          <w:rFonts w:ascii="Times New Roman" w:hAnsi="Times New Roman"/>
          <w:sz w:val="24"/>
          <w:szCs w:val="24"/>
        </w:rPr>
      </w:pPr>
      <w:r w:rsidRPr="005D5BAD">
        <w:rPr>
          <w:rFonts w:ascii="Times New Roman" w:hAnsi="Times New Roman"/>
          <w:sz w:val="24"/>
          <w:szCs w:val="24"/>
        </w:rPr>
        <w:t>See 2/27/2025 article:</w:t>
      </w:r>
      <w:r w:rsidRPr="005D5BAD">
        <w:rPr>
          <w:rFonts w:ascii="Times New Roman" w:hAnsi="Times New Roman"/>
          <w:b/>
          <w:sz w:val="24"/>
          <w:szCs w:val="24"/>
        </w:rPr>
        <w:t xml:space="preserve"> “</w:t>
      </w:r>
      <w:hyperlink r:id="rId1536" w:tgtFrame="_blank" w:history="1">
        <w:r w:rsidRPr="005D5BAD">
          <w:rPr>
            <w:rStyle w:val="Hyperlink"/>
            <w:rFonts w:ascii="Times New Roman" w:hAnsi="Times New Roman"/>
            <w:sz w:val="24"/>
            <w:szCs w:val="24"/>
          </w:rPr>
          <w:t>Justice Department Drops Alleged Discriminatory First Responder Hiring Cases In DEI Rollback</w:t>
        </w:r>
      </w:hyperlink>
      <w:r w:rsidRPr="005D5BAD">
        <w:rPr>
          <w:rFonts w:ascii="Times New Roman" w:hAnsi="Times New Roman"/>
          <w:sz w:val="24"/>
          <w:szCs w:val="24"/>
        </w:rPr>
        <w:t>…. A Justice Department official said the administration is walking away from four cases, including one that led to a settlement agreement resolving an </w:t>
      </w:r>
      <w:hyperlink r:id="rId1537" w:tgtFrame="_blank" w:history="1">
        <w:r w:rsidRPr="005D5BAD">
          <w:rPr>
            <w:rStyle w:val="Hyperlink"/>
            <w:rFonts w:ascii="Times New Roman" w:hAnsi="Times New Roman"/>
            <w:sz w:val="24"/>
            <w:szCs w:val="24"/>
          </w:rPr>
          <w:t>investigation</w:t>
        </w:r>
      </w:hyperlink>
      <w:r w:rsidRPr="005D5BAD">
        <w:rPr>
          <w:rFonts w:ascii="Times New Roman" w:hAnsi="Times New Roman"/>
          <w:sz w:val="24"/>
          <w:szCs w:val="24"/>
        </w:rPr>
        <w:t> into discriminatory hiring practices affecting Black and female applicants to the Maryland State Police. It’s part of a broader effort by President Donald Trump’s administration to roll back initiatives and programs promoting </w:t>
      </w:r>
      <w:hyperlink r:id="rId1538" w:tgtFrame="_blank" w:history="1">
        <w:r w:rsidRPr="005D5BAD">
          <w:rPr>
            <w:rStyle w:val="Hyperlink"/>
            <w:rFonts w:ascii="Times New Roman" w:hAnsi="Times New Roman"/>
            <w:sz w:val="24"/>
            <w:szCs w:val="24"/>
          </w:rPr>
          <w:t>diversity, equity and inclusion</w:t>
        </w:r>
      </w:hyperlink>
      <w:r w:rsidRPr="005D5BAD">
        <w:rPr>
          <w:rFonts w:ascii="Times New Roman" w:hAnsi="Times New Roman"/>
          <w:sz w:val="24"/>
          <w:szCs w:val="24"/>
        </w:rPr>
        <w:t>, which Republicans contend threaten </w:t>
      </w:r>
      <w:hyperlink r:id="rId1539" w:tgtFrame="_blank" w:history="1">
        <w:r w:rsidRPr="005D5BAD">
          <w:rPr>
            <w:rStyle w:val="Hyperlink"/>
            <w:rFonts w:ascii="Times New Roman" w:hAnsi="Times New Roman"/>
            <w:sz w:val="24"/>
            <w:szCs w:val="24"/>
          </w:rPr>
          <w:t>merit-based hiring</w:t>
        </w:r>
      </w:hyperlink>
      <w:r w:rsidRPr="005D5BAD">
        <w:rPr>
          <w:rFonts w:ascii="Times New Roman" w:hAnsi="Times New Roman"/>
          <w:sz w:val="24"/>
          <w:szCs w:val="24"/>
        </w:rPr>
        <w:t xml:space="preserve">…. Other cases were related to fire or police departments in North Carolina, Georgia, and Indiana, Mizelle said.” </w:t>
      </w:r>
      <w:hyperlink r:id="rId1540" w:history="1">
        <w:r w:rsidRPr="005D5BAD">
          <w:rPr>
            <w:rStyle w:val="Hyperlink"/>
            <w:rFonts w:ascii="Times New Roman" w:hAnsi="Times New Roman"/>
            <w:sz w:val="24"/>
            <w:szCs w:val="24"/>
          </w:rPr>
          <w:t>https://www.firerescue1.com/legal/justice-department-drops-alleged-discriminatory-ff-hiring-cases-in-dei-rollback?utm_source=delivra&amp;utm_medium=email&amp;utm_campaign=FR1-Daily-2-27-25&amp;utm_id=8566464&amp;dlv-emuid=fed355b8-46a2-4fa4-b55c-4d602dde33c4&amp;dlv-mlid=8566464</w:t>
        </w:r>
      </w:hyperlink>
      <w:r w:rsidRPr="005D5BAD">
        <w:rPr>
          <w:rFonts w:ascii="Times New Roman" w:hAnsi="Times New Roman"/>
          <w:sz w:val="24"/>
          <w:szCs w:val="24"/>
        </w:rPr>
        <w:t xml:space="preserve"> </w:t>
      </w:r>
    </w:p>
    <w:p w14:paraId="1EF49B37" w14:textId="77777777" w:rsidR="005D5BAD" w:rsidRPr="005D5BAD" w:rsidRDefault="005D5BAD" w:rsidP="005D5BAD">
      <w:pPr>
        <w:rPr>
          <w:rFonts w:ascii="Times New Roman" w:hAnsi="Times New Roman"/>
          <w:sz w:val="24"/>
          <w:szCs w:val="24"/>
        </w:rPr>
      </w:pPr>
    </w:p>
    <w:p w14:paraId="32C3451D" w14:textId="76B8313B" w:rsidR="00384B2F" w:rsidRDefault="00384B2F" w:rsidP="00BC70A3">
      <w:pPr>
        <w:rPr>
          <w:rFonts w:ascii="Arial Black" w:hAnsi="Arial Black"/>
          <w:b/>
          <w:sz w:val="24"/>
          <w:szCs w:val="24"/>
        </w:rPr>
      </w:pPr>
      <w:r>
        <w:rPr>
          <w:rFonts w:ascii="Arial Black" w:hAnsi="Arial Black"/>
          <w:b/>
          <w:sz w:val="24"/>
          <w:szCs w:val="24"/>
        </w:rPr>
        <w:t>8-70</w:t>
      </w:r>
    </w:p>
    <w:p w14:paraId="7DCD2B9E" w14:textId="77777777" w:rsidR="00384B2F" w:rsidRDefault="00384B2F" w:rsidP="00384B2F">
      <w:pPr>
        <w:pStyle w:val="NoSpacing"/>
        <w:rPr>
          <w:rFonts w:ascii="Arial Black" w:hAnsi="Arial Black"/>
          <w:sz w:val="28"/>
          <w:szCs w:val="28"/>
        </w:rPr>
      </w:pPr>
      <w:r>
        <w:rPr>
          <w:rFonts w:ascii="Arial Black" w:hAnsi="Arial Black"/>
          <w:sz w:val="28"/>
          <w:szCs w:val="28"/>
        </w:rPr>
        <w:lastRenderedPageBreak/>
        <w:t>AL: BLACK CAPT – NOT PROM. BC – FD DOC. INCOMPLETE</w:t>
      </w:r>
    </w:p>
    <w:p w14:paraId="430F45B5" w14:textId="77777777" w:rsidR="00384B2F" w:rsidRDefault="00384B2F" w:rsidP="00384B2F">
      <w:pPr>
        <w:pStyle w:val="NoSpacing"/>
      </w:pPr>
    </w:p>
    <w:p w14:paraId="3BF20D97" w14:textId="77777777" w:rsidR="00384B2F" w:rsidRPr="00457441" w:rsidRDefault="00384B2F" w:rsidP="00384B2F">
      <w:pPr>
        <w:pStyle w:val="NoSpacing"/>
        <w:rPr>
          <w:rFonts w:ascii="Times New Roman" w:hAnsi="Times New Roman"/>
          <w:sz w:val="24"/>
          <w:szCs w:val="24"/>
        </w:rPr>
      </w:pPr>
      <w:r w:rsidRPr="00457441">
        <w:rPr>
          <w:rFonts w:ascii="Times New Roman" w:hAnsi="Times New Roman"/>
          <w:sz w:val="24"/>
          <w:szCs w:val="24"/>
        </w:rPr>
        <w:t xml:space="preserve">On Jan. 24, 2025, in </w:t>
      </w:r>
      <w:r w:rsidRPr="00457441">
        <w:rPr>
          <w:rFonts w:ascii="Times New Roman" w:hAnsi="Times New Roman"/>
          <w:sz w:val="24"/>
          <w:szCs w:val="24"/>
          <w:u w:val="single"/>
        </w:rPr>
        <w:t>Demetrius Webb v. City of Homewood, Alabama, et al.</w:t>
      </w:r>
      <w:r w:rsidRPr="00457441">
        <w:rPr>
          <w:rFonts w:ascii="Times New Roman" w:hAnsi="Times New Roman"/>
          <w:sz w:val="24"/>
          <w:szCs w:val="24"/>
        </w:rPr>
        <w:t xml:space="preserve">, U.S. District Court Chief Judge R. David Proctor, Northern District of Alabama, Southern Division, denied the City’s motion for summary judgment.  Retired Captain Webb’s racial discrimination lawsuit will proceed to trial.  In September and October 2020, two Battalion Chief positions became available (4 BC positions on FD); two whites were promoted under Fire Chiefs’ new process - no outside interviews, only Fire Chief’s matrix of skills (plaintiff scored lowest of 8 applicants; all other BC were medics).  The city submitted a matrix showing all scores by the Fire Chief, EXCEPT the matrix did not include scores of the two promoted.  </w:t>
      </w:r>
      <w:hyperlink r:id="rId1541" w:history="1">
        <w:r w:rsidRPr="00457441">
          <w:rPr>
            <w:rStyle w:val="Hyperlink"/>
            <w:rFonts w:ascii="Times New Roman" w:hAnsi="Times New Roman"/>
            <w:sz w:val="24"/>
            <w:szCs w:val="24"/>
          </w:rPr>
          <w:t>https://cases.justia.com/federal/district-courts/alabama/alndce/2:2023cv01098/186589/44/0.pdf?ts=1737802006</w:t>
        </w:r>
      </w:hyperlink>
      <w:r w:rsidRPr="00457441">
        <w:rPr>
          <w:rFonts w:ascii="Times New Roman" w:hAnsi="Times New Roman"/>
          <w:sz w:val="24"/>
          <w:szCs w:val="24"/>
        </w:rPr>
        <w:t xml:space="preserve"> </w:t>
      </w:r>
    </w:p>
    <w:p w14:paraId="500035B8" w14:textId="77777777" w:rsidR="00384B2F" w:rsidRPr="00457441" w:rsidRDefault="00384B2F" w:rsidP="00384B2F">
      <w:pPr>
        <w:pStyle w:val="NoSpacing"/>
        <w:rPr>
          <w:rFonts w:ascii="Times New Roman" w:hAnsi="Times New Roman"/>
          <w:sz w:val="24"/>
          <w:szCs w:val="24"/>
        </w:rPr>
      </w:pPr>
    </w:p>
    <w:p w14:paraId="3319A1D8" w14:textId="77777777" w:rsidR="00384B2F" w:rsidRPr="00457441" w:rsidRDefault="00384B2F" w:rsidP="00384B2F">
      <w:pPr>
        <w:pStyle w:val="NoSpacing"/>
        <w:rPr>
          <w:rFonts w:ascii="Times New Roman" w:hAnsi="Times New Roman"/>
          <w:sz w:val="24"/>
          <w:szCs w:val="24"/>
        </w:rPr>
      </w:pPr>
      <w:r w:rsidRPr="00457441">
        <w:rPr>
          <w:rFonts w:ascii="Times New Roman" w:hAnsi="Times New Roman"/>
          <w:sz w:val="24"/>
          <w:szCs w:val="24"/>
        </w:rPr>
        <w:t>The Court wrote:</w:t>
      </w:r>
    </w:p>
    <w:p w14:paraId="7962B8AD" w14:textId="77777777" w:rsidR="00384B2F" w:rsidRPr="00457441" w:rsidRDefault="00384B2F" w:rsidP="00384B2F">
      <w:pPr>
        <w:pStyle w:val="NoSpacing"/>
        <w:rPr>
          <w:rFonts w:ascii="Times New Roman" w:hAnsi="Times New Roman"/>
          <w:sz w:val="24"/>
          <w:szCs w:val="24"/>
        </w:rPr>
      </w:pPr>
    </w:p>
    <w:p w14:paraId="5B53C38D"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“The Battalion Chief position was previously selected by a panel of individuals who interviewed the candidates and evaluated their mission statements….However, when Chief Hill became the Fire Chief in 2020, he decided to do away with the old method because he was concerned that the process of selecting a Battalion Chief was too subjective…. Chief Hill devised his new method for selecting the Battalion Chief position sometime in or around September or October 2020….The new method consisted of an interview by him (as opposed to an interview by a panel) …, a review of the applicants’ resumes … and the creation of a matrix where the applicants’ qualifications were assigned a number value for various levels of qualifications….Regarding the new method, Chief Hill testified that he primarily looked at the applicants’ scores in the matrix and secondarily looked at their resumes….Chief Hill acknowledged that although he interviewed the candidates, the interviews were ‘not really’ a factor in the selection process.</w:t>
      </w:r>
    </w:p>
    <w:p w14:paraId="3781D80F" w14:textId="77777777" w:rsidR="00384B2F" w:rsidRPr="00457441" w:rsidRDefault="00384B2F" w:rsidP="00384B2F">
      <w:pPr>
        <w:pStyle w:val="NoSpacing"/>
        <w:ind w:left="720"/>
        <w:rPr>
          <w:rFonts w:ascii="Times New Roman" w:hAnsi="Times New Roman"/>
          <w:sz w:val="24"/>
          <w:szCs w:val="24"/>
        </w:rPr>
      </w:pPr>
    </w:p>
    <w:p w14:paraId="0B4A7724"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w:t>
      </w:r>
    </w:p>
    <w:p w14:paraId="42C962B1" w14:textId="77777777" w:rsidR="00384B2F" w:rsidRPr="00457441" w:rsidRDefault="00384B2F" w:rsidP="00384B2F">
      <w:pPr>
        <w:pStyle w:val="NoSpacing"/>
        <w:rPr>
          <w:rFonts w:ascii="Times New Roman" w:hAnsi="Times New Roman"/>
          <w:sz w:val="24"/>
          <w:szCs w:val="24"/>
        </w:rPr>
      </w:pPr>
    </w:p>
    <w:p w14:paraId="42DBE622"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In his deposition, Chief Hill testified that he conducted only one interview and considered</w:t>
      </w:r>
    </w:p>
    <w:p w14:paraId="09188B49"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the candidates for both positions instead of creating two separate applicant pools…. A</w:t>
      </w:r>
    </w:p>
    <w:p w14:paraId="0DA41656"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Homewood FD document shows the matrix scores of the Battalion Chief candidates as follows: Adam Ashworth, 27; Alexander Glover, 28; Robert Harris, 22; Keith Headrick, 23; Mark Shannon, 29; and Demetrius Webb, 18.</w:t>
      </w:r>
    </w:p>
    <w:p w14:paraId="6AF9982A" w14:textId="77777777" w:rsidR="00384B2F" w:rsidRPr="00457441" w:rsidRDefault="00384B2F" w:rsidP="00384B2F">
      <w:pPr>
        <w:pStyle w:val="NoSpacing"/>
        <w:ind w:left="720"/>
        <w:rPr>
          <w:rFonts w:ascii="Times New Roman" w:hAnsi="Times New Roman"/>
          <w:sz w:val="24"/>
          <w:szCs w:val="24"/>
        </w:rPr>
      </w:pPr>
    </w:p>
    <w:p w14:paraId="044F6292"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w:t>
      </w:r>
    </w:p>
    <w:p w14:paraId="7485304F"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However, despite Chief Hill’s testimony and Homewood’s summary judgment argument, the matrix that Homewood submitted into evidence does not include Broadhead and Everson or their scores…. When asked in his deposition, Chief Hill testified that he thought Everson ‘was close to’ the score of 29 …, which is the highest score recorded in the matrix. However, Homewood has not provided any Rule 56 evidence to confirm this. Further, while Everson’s matrix score was discussed briefly, Chief Hill did not provide any information regarding Broadhead’s matrix score or why he was not included on the matrix Homewood submitted into evidence. So, while the matrix indicates that Plaintiff received a score of 18 …, which is the lowest score among the other candidates on the matrix, there is no way to compare Plaintiff’s score to those of Broadhead or Everson. Plaintiff raised these discrepancies in his Response to Defendants’ Motion for Summary Judgment. (</w:t>
      </w:r>
      <w:proofErr w:type="gramStart"/>
      <w:r w:rsidRPr="00457441">
        <w:rPr>
          <w:rFonts w:ascii="Times New Roman" w:hAnsi="Times New Roman"/>
          <w:sz w:val="24"/>
          <w:szCs w:val="24"/>
        </w:rPr>
        <w:t>Doc. #</w:t>
      </w:r>
      <w:proofErr w:type="gramEnd"/>
      <w:r w:rsidRPr="00457441">
        <w:rPr>
          <w:rFonts w:ascii="Times New Roman" w:hAnsi="Times New Roman"/>
          <w:sz w:val="24"/>
          <w:szCs w:val="24"/>
        </w:rPr>
        <w:t xml:space="preserve"> 39 at 17). Homewood made no effort to refute or even respond to this argument. (See </w:t>
      </w:r>
      <w:proofErr w:type="gramStart"/>
      <w:r w:rsidRPr="00457441">
        <w:rPr>
          <w:rFonts w:ascii="Times New Roman" w:hAnsi="Times New Roman"/>
          <w:sz w:val="24"/>
          <w:szCs w:val="24"/>
        </w:rPr>
        <w:t>Doc. #</w:t>
      </w:r>
      <w:proofErr w:type="gramEnd"/>
      <w:r w:rsidRPr="00457441">
        <w:rPr>
          <w:rFonts w:ascii="Times New Roman" w:hAnsi="Times New Roman"/>
          <w:sz w:val="24"/>
          <w:szCs w:val="24"/>
        </w:rPr>
        <w:t xml:space="preserve"> 41).</w:t>
      </w:r>
    </w:p>
    <w:p w14:paraId="349B4C86" w14:textId="77777777" w:rsidR="00384B2F" w:rsidRPr="00457441" w:rsidRDefault="00384B2F" w:rsidP="00384B2F">
      <w:pPr>
        <w:pStyle w:val="NoSpacing"/>
        <w:ind w:left="720"/>
        <w:rPr>
          <w:rFonts w:ascii="Times New Roman" w:hAnsi="Times New Roman"/>
          <w:sz w:val="24"/>
          <w:szCs w:val="24"/>
        </w:rPr>
      </w:pPr>
    </w:p>
    <w:p w14:paraId="44D3740A"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w:t>
      </w:r>
    </w:p>
    <w:p w14:paraId="7F1788C8"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 xml:space="preserve">Moreover, although Chief Hill testified that he primarily relied on the matrix scores, when asked in his deposition why Broadhead and Everson were promoted over Plaintiff to the position of Battalion Chief, he discussed Broadhead and Everson’s leadership skills (Doc. # 32-2 at 51, 54) and made no mention of their matrix scores. If Chief Hill had not testified that he looked primarily at the matrix scores when selecting the Battalion Chief position, there may be an argument that the court could overlook the issue </w:t>
      </w:r>
      <w:r w:rsidRPr="00457441">
        <w:rPr>
          <w:rFonts w:ascii="Times New Roman" w:hAnsi="Times New Roman"/>
          <w:sz w:val="24"/>
          <w:szCs w:val="24"/>
        </w:rPr>
        <w:lastRenderedPageBreak/>
        <w:t xml:space="preserve">that a matrix that did not reference the scores of the incumbents was submitted into evidence. However, Homewood has provided both incomplete (and potentially contradictory) evidence. </w:t>
      </w:r>
      <w:proofErr w:type="gramStart"/>
      <w:r w:rsidRPr="00457441">
        <w:rPr>
          <w:rFonts w:ascii="Times New Roman" w:hAnsi="Times New Roman"/>
          <w:sz w:val="24"/>
          <w:szCs w:val="24"/>
        </w:rPr>
        <w:t>Despite the fact that</w:t>
      </w:r>
      <w:proofErr w:type="gramEnd"/>
      <w:r w:rsidRPr="00457441">
        <w:rPr>
          <w:rFonts w:ascii="Times New Roman" w:hAnsi="Times New Roman"/>
          <w:sz w:val="24"/>
          <w:szCs w:val="24"/>
        </w:rPr>
        <w:t xml:space="preserve"> Chief Hill testified that promotion decisions for the</w:t>
      </w:r>
    </w:p>
    <w:p w14:paraId="44E7691A" w14:textId="77777777" w:rsidR="00384B2F" w:rsidRPr="00457441" w:rsidRDefault="00384B2F" w:rsidP="00384B2F">
      <w:pPr>
        <w:pStyle w:val="NoSpacing"/>
        <w:ind w:left="720"/>
        <w:rPr>
          <w:rFonts w:ascii="Times New Roman" w:hAnsi="Times New Roman"/>
          <w:sz w:val="24"/>
          <w:szCs w:val="24"/>
        </w:rPr>
      </w:pPr>
      <w:r w:rsidRPr="00457441">
        <w:rPr>
          <w:rFonts w:ascii="Times New Roman" w:hAnsi="Times New Roman"/>
          <w:sz w:val="24"/>
          <w:szCs w:val="24"/>
        </w:rPr>
        <w:t xml:space="preserve">Battalion Chief </w:t>
      </w:r>
      <w:proofErr w:type="gramStart"/>
      <w:r w:rsidRPr="00457441">
        <w:rPr>
          <w:rFonts w:ascii="Times New Roman" w:hAnsi="Times New Roman"/>
          <w:sz w:val="24"/>
          <w:szCs w:val="24"/>
        </w:rPr>
        <w:t>position</w:t>
      </w:r>
      <w:proofErr w:type="gramEnd"/>
      <w:r w:rsidRPr="00457441">
        <w:rPr>
          <w:rFonts w:ascii="Times New Roman" w:hAnsi="Times New Roman"/>
          <w:sz w:val="24"/>
          <w:szCs w:val="24"/>
        </w:rPr>
        <w:t xml:space="preserve"> </w:t>
      </w:r>
      <w:proofErr w:type="gramStart"/>
      <w:r w:rsidRPr="00457441">
        <w:rPr>
          <w:rFonts w:ascii="Times New Roman" w:hAnsi="Times New Roman"/>
          <w:sz w:val="24"/>
          <w:szCs w:val="24"/>
        </w:rPr>
        <w:t>are</w:t>
      </w:r>
      <w:proofErr w:type="gramEnd"/>
      <w:r w:rsidRPr="00457441">
        <w:rPr>
          <w:rFonts w:ascii="Times New Roman" w:hAnsi="Times New Roman"/>
          <w:sz w:val="24"/>
          <w:szCs w:val="24"/>
        </w:rPr>
        <w:t xml:space="preserve"> primarily based on the internal matrix system, neither of the two white candidates selected were included on the internal matrix system sheet that Homewood provided in its evidentiary submissions. Further, when asked why he selected them for the Battalion Chief positions, Chief Hill did not indicate Broadhead or Everson’s scores.”</w:t>
      </w:r>
    </w:p>
    <w:p w14:paraId="7CB7DB70" w14:textId="77777777" w:rsidR="00384B2F" w:rsidRPr="00457441" w:rsidRDefault="00384B2F" w:rsidP="00384B2F">
      <w:pPr>
        <w:pStyle w:val="NoSpacing"/>
        <w:ind w:left="720"/>
        <w:rPr>
          <w:rFonts w:ascii="Times New Roman" w:hAnsi="Times New Roman"/>
          <w:sz w:val="24"/>
          <w:szCs w:val="24"/>
        </w:rPr>
      </w:pPr>
    </w:p>
    <w:p w14:paraId="346A6574" w14:textId="77777777" w:rsidR="00384B2F" w:rsidRPr="00457441" w:rsidRDefault="00384B2F" w:rsidP="00384B2F">
      <w:pPr>
        <w:pStyle w:val="NoSpacing"/>
        <w:rPr>
          <w:rFonts w:ascii="Times New Roman" w:hAnsi="Times New Roman"/>
          <w:b/>
          <w:bCs/>
          <w:sz w:val="24"/>
          <w:szCs w:val="24"/>
        </w:rPr>
      </w:pPr>
      <w:r w:rsidRPr="00457441">
        <w:rPr>
          <w:rFonts w:ascii="Times New Roman" w:hAnsi="Times New Roman"/>
          <w:b/>
          <w:sz w:val="24"/>
          <w:szCs w:val="24"/>
        </w:rPr>
        <w:t xml:space="preserve">Legal Lesson Learned:  </w:t>
      </w:r>
      <w:r w:rsidRPr="00457441">
        <w:rPr>
          <w:rFonts w:ascii="Times New Roman" w:hAnsi="Times New Roman"/>
          <w:b/>
          <w:bCs/>
          <w:sz w:val="24"/>
          <w:szCs w:val="24"/>
        </w:rPr>
        <w:t xml:space="preserve">FD relying </w:t>
      </w:r>
      <w:r w:rsidRPr="00457441">
        <w:rPr>
          <w:rFonts w:ascii="Times New Roman" w:hAnsi="Times New Roman"/>
          <w:b/>
          <w:sz w:val="24"/>
          <w:szCs w:val="24"/>
        </w:rPr>
        <w:t xml:space="preserve">on a matrix to justify promotion decision, must include all candidates on the matrix document. </w:t>
      </w:r>
    </w:p>
    <w:p w14:paraId="277A3C05" w14:textId="77777777" w:rsidR="00384B2F" w:rsidRDefault="00384B2F" w:rsidP="00BC70A3">
      <w:pPr>
        <w:rPr>
          <w:rFonts w:ascii="Arial Black" w:hAnsi="Arial Black"/>
          <w:b/>
          <w:sz w:val="24"/>
          <w:szCs w:val="24"/>
        </w:rPr>
      </w:pPr>
    </w:p>
    <w:p w14:paraId="7E8425FB" w14:textId="77777777" w:rsidR="00384B2F" w:rsidRDefault="00384B2F" w:rsidP="00BC70A3">
      <w:pPr>
        <w:rPr>
          <w:rFonts w:ascii="Arial Black" w:hAnsi="Arial Black"/>
          <w:b/>
          <w:sz w:val="24"/>
          <w:szCs w:val="24"/>
        </w:rPr>
      </w:pPr>
    </w:p>
    <w:p w14:paraId="2BF230B3" w14:textId="083F469A" w:rsidR="004864A1" w:rsidRDefault="004864A1" w:rsidP="00BC70A3">
      <w:pPr>
        <w:rPr>
          <w:rFonts w:ascii="Arial Black" w:hAnsi="Arial Black"/>
          <w:b/>
          <w:sz w:val="24"/>
          <w:szCs w:val="24"/>
        </w:rPr>
      </w:pPr>
      <w:r>
        <w:rPr>
          <w:rFonts w:ascii="Arial Black" w:hAnsi="Arial Black"/>
          <w:b/>
          <w:sz w:val="24"/>
          <w:szCs w:val="24"/>
        </w:rPr>
        <w:t>8-69</w:t>
      </w:r>
    </w:p>
    <w:p w14:paraId="53FCF72B" w14:textId="77777777" w:rsidR="002C25D5" w:rsidRPr="00193FDB" w:rsidRDefault="002C25D5" w:rsidP="002C25D5">
      <w:pPr>
        <w:pStyle w:val="NoSpacing"/>
        <w:rPr>
          <w:rFonts w:ascii="Arial Black" w:hAnsi="Arial Black"/>
          <w:b/>
          <w:bCs/>
          <w:sz w:val="28"/>
          <w:szCs w:val="28"/>
        </w:rPr>
      </w:pPr>
      <w:r w:rsidRPr="00193FDB">
        <w:rPr>
          <w:rFonts w:ascii="Arial Black" w:hAnsi="Arial Black"/>
          <w:b/>
          <w:sz w:val="28"/>
          <w:szCs w:val="28"/>
        </w:rPr>
        <w:t xml:space="preserve">LA: </w:t>
      </w:r>
      <w:r>
        <w:rPr>
          <w:rFonts w:ascii="Arial Black" w:hAnsi="Arial Black"/>
          <w:b/>
          <w:sz w:val="28"/>
          <w:szCs w:val="28"/>
        </w:rPr>
        <w:t xml:space="preserve">TWO CAPTS DISCIP. – CLAIM DISPARATE TREAT </w:t>
      </w:r>
    </w:p>
    <w:p w14:paraId="2AA31885" w14:textId="77777777" w:rsidR="002C25D5" w:rsidRDefault="002C25D5" w:rsidP="002C25D5">
      <w:pPr>
        <w:pStyle w:val="NoSpacing"/>
      </w:pPr>
    </w:p>
    <w:p w14:paraId="6EE11AFC" w14:textId="77777777" w:rsidR="00D45282" w:rsidRPr="00D45282" w:rsidRDefault="00D45282" w:rsidP="00D45282">
      <w:pPr>
        <w:rPr>
          <w:rFonts w:ascii="Times New Roman" w:hAnsi="Times New Roman"/>
          <w:sz w:val="24"/>
          <w:szCs w:val="24"/>
        </w:rPr>
      </w:pPr>
      <w:r w:rsidRPr="00D45282">
        <w:rPr>
          <w:rFonts w:ascii="Times New Roman" w:hAnsi="Times New Roman"/>
          <w:sz w:val="24"/>
          <w:szCs w:val="24"/>
        </w:rPr>
        <w:t xml:space="preserve">On Dec. 20, </w:t>
      </w:r>
      <w:proofErr w:type="gramStart"/>
      <w:r w:rsidRPr="00D45282">
        <w:rPr>
          <w:rFonts w:ascii="Times New Roman" w:hAnsi="Times New Roman"/>
          <w:sz w:val="24"/>
          <w:szCs w:val="24"/>
        </w:rPr>
        <w:t>2024</w:t>
      </w:r>
      <w:proofErr w:type="gramEnd"/>
      <w:r w:rsidRPr="00D45282">
        <w:rPr>
          <w:rFonts w:ascii="Times New Roman" w:hAnsi="Times New Roman"/>
          <w:sz w:val="24"/>
          <w:szCs w:val="24"/>
        </w:rPr>
        <w:t xml:space="preserve"> in </w:t>
      </w:r>
      <w:r w:rsidRPr="00D45282">
        <w:rPr>
          <w:rFonts w:ascii="Times New Roman" w:hAnsi="Times New Roman"/>
          <w:sz w:val="24"/>
          <w:szCs w:val="24"/>
          <w:u w:val="single"/>
        </w:rPr>
        <w:t>Varrick Dyer v. City of New Orleans, et al</w:t>
      </w:r>
      <w:r w:rsidRPr="00D45282">
        <w:rPr>
          <w:rFonts w:ascii="Times New Roman" w:hAnsi="Times New Roman"/>
          <w:sz w:val="24"/>
          <w:szCs w:val="24"/>
        </w:rPr>
        <w:t>., United States Magistrate Judge Janis Van Meerveld, U.S. District Court for Eastern District of Louisiana, held that city’s motion for summary judgment will be denied in part.  Black Captain was on the 4</w:t>
      </w:r>
      <w:r w:rsidRPr="00D45282">
        <w:rPr>
          <w:rFonts w:ascii="Times New Roman" w:hAnsi="Times New Roman"/>
          <w:sz w:val="24"/>
          <w:szCs w:val="24"/>
          <w:vertAlign w:val="superscript"/>
        </w:rPr>
        <w:t>th</w:t>
      </w:r>
      <w:r w:rsidRPr="00D45282">
        <w:rPr>
          <w:rFonts w:ascii="Times New Roman" w:hAnsi="Times New Roman"/>
          <w:sz w:val="24"/>
          <w:szCs w:val="24"/>
        </w:rPr>
        <w:t xml:space="preserve"> engine to fire – later had verbal dispute with white Captain who criticized him for not getting off engine with his crew.  The lawsuit will </w:t>
      </w:r>
      <w:proofErr w:type="gramStart"/>
      <w:r w:rsidRPr="00D45282">
        <w:rPr>
          <w:rFonts w:ascii="Times New Roman" w:hAnsi="Times New Roman"/>
          <w:sz w:val="24"/>
          <w:szCs w:val="24"/>
        </w:rPr>
        <w:t>continue on</w:t>
      </w:r>
      <w:proofErr w:type="gramEnd"/>
      <w:r w:rsidRPr="00D45282">
        <w:rPr>
          <w:rFonts w:ascii="Times New Roman" w:hAnsi="Times New Roman"/>
          <w:sz w:val="24"/>
          <w:szCs w:val="24"/>
        </w:rPr>
        <w:t xml:space="preserve"> two claims -  “disparate treatment” (white charged with “hazing” – letter of reprimand;  black charged with “threats” – possible suspension or termination) and subsequent failure to be promoted. </w:t>
      </w:r>
      <w:hyperlink r:id="rId1542" w:history="1">
        <w:r w:rsidRPr="00D45282">
          <w:rPr>
            <w:rStyle w:val="Hyperlink"/>
            <w:rFonts w:ascii="Times New Roman" w:hAnsi="Times New Roman"/>
            <w:sz w:val="24"/>
            <w:szCs w:val="24"/>
          </w:rPr>
          <w:t>https://casetext.com/case/dyer-v-city-of-new-orleans-2</w:t>
        </w:r>
      </w:hyperlink>
      <w:r w:rsidRPr="00D45282">
        <w:rPr>
          <w:rFonts w:ascii="Times New Roman" w:hAnsi="Times New Roman"/>
          <w:sz w:val="24"/>
          <w:szCs w:val="24"/>
        </w:rPr>
        <w:t xml:space="preserve"> </w:t>
      </w:r>
    </w:p>
    <w:p w14:paraId="472844B8" w14:textId="77777777" w:rsidR="00D45282" w:rsidRDefault="00D45282" w:rsidP="002C25D5">
      <w:pPr>
        <w:pStyle w:val="NoSpacing"/>
        <w:rPr>
          <w:rFonts w:ascii="Times New Roman" w:hAnsi="Times New Roman"/>
          <w:sz w:val="24"/>
          <w:szCs w:val="24"/>
        </w:rPr>
      </w:pPr>
    </w:p>
    <w:p w14:paraId="4DF06F5F" w14:textId="4CAA9523" w:rsidR="002C25D5" w:rsidRPr="002C25D5" w:rsidRDefault="002C25D5" w:rsidP="002C25D5">
      <w:pPr>
        <w:pStyle w:val="NoSpacing"/>
        <w:rPr>
          <w:rFonts w:ascii="Times New Roman" w:hAnsi="Times New Roman"/>
          <w:sz w:val="24"/>
          <w:szCs w:val="24"/>
        </w:rPr>
      </w:pPr>
      <w:r w:rsidRPr="002C25D5">
        <w:rPr>
          <w:rFonts w:ascii="Times New Roman" w:hAnsi="Times New Roman"/>
          <w:sz w:val="24"/>
          <w:szCs w:val="24"/>
        </w:rPr>
        <w:t>The Magistrate wrote:</w:t>
      </w:r>
    </w:p>
    <w:p w14:paraId="1BED6D2D" w14:textId="77777777" w:rsidR="002C25D5" w:rsidRPr="002C25D5" w:rsidRDefault="002C25D5" w:rsidP="002C25D5">
      <w:pPr>
        <w:pStyle w:val="NoSpacing"/>
        <w:rPr>
          <w:rFonts w:ascii="Times New Roman" w:hAnsi="Times New Roman"/>
          <w:sz w:val="24"/>
          <w:szCs w:val="24"/>
        </w:rPr>
      </w:pPr>
    </w:p>
    <w:p w14:paraId="6FFDB331" w14:textId="542FD0E8" w:rsidR="00B9560C" w:rsidRPr="002C25D5" w:rsidRDefault="002C25D5" w:rsidP="002C25D5">
      <w:pPr>
        <w:ind w:left="720"/>
        <w:rPr>
          <w:rFonts w:ascii="Times New Roman" w:hAnsi="Times New Roman"/>
          <w:b/>
          <w:sz w:val="24"/>
          <w:szCs w:val="24"/>
        </w:rPr>
      </w:pPr>
      <w:r w:rsidRPr="002C25D5">
        <w:rPr>
          <w:rFonts w:ascii="Times New Roman" w:hAnsi="Times New Roman"/>
          <w:sz w:val="24"/>
          <w:szCs w:val="24"/>
        </w:rPr>
        <w:t xml:space="preserve">“The Court finds that Dyer has stated a plausible claim for race-based disparate treatment as to two incidents. He alleges that he was charged with a more severe rule violation than Martin arising out of the February 2022 incident they were both involved in. Of course there may be legitimate explanations for this difference in treatment. But at this stage, the Court finds Dyer has plausibly alleged that this difference was race based because their conduct appears to have been </w:t>
      </w:r>
      <w:proofErr w:type="gramStart"/>
      <w:r w:rsidRPr="002C25D5">
        <w:rPr>
          <w:rFonts w:ascii="Times New Roman" w:hAnsi="Times New Roman"/>
          <w:sz w:val="24"/>
          <w:szCs w:val="24"/>
        </w:rPr>
        <w:t>similar</w:t>
      </w:r>
      <w:proofErr w:type="gramEnd"/>
      <w:r w:rsidRPr="002C25D5">
        <w:rPr>
          <w:rFonts w:ascii="Times New Roman" w:hAnsi="Times New Roman"/>
          <w:sz w:val="24"/>
          <w:szCs w:val="24"/>
        </w:rPr>
        <w:t xml:space="preserve"> but the black firefighter was charged with a more severe rule violation than the white firefighter. Additionally, Dyer has stated a plausible claim arising out of the denied promotion that was allegedly given to a less qualified white male.”  </w:t>
      </w:r>
    </w:p>
    <w:p w14:paraId="7C775D97" w14:textId="77777777" w:rsidR="00A76F8F" w:rsidRPr="00A76F8F" w:rsidRDefault="00A76F8F" w:rsidP="00A76F8F">
      <w:pPr>
        <w:pStyle w:val="NoSpacing"/>
        <w:rPr>
          <w:rFonts w:ascii="Times New Roman" w:hAnsi="Times New Roman"/>
          <w:sz w:val="24"/>
          <w:szCs w:val="24"/>
        </w:rPr>
      </w:pPr>
      <w:r w:rsidRPr="00A76F8F">
        <w:rPr>
          <w:rFonts w:ascii="Times New Roman" w:hAnsi="Times New Roman"/>
          <w:sz w:val="24"/>
          <w:szCs w:val="24"/>
        </w:rPr>
        <w:t>HOLDING:</w:t>
      </w:r>
    </w:p>
    <w:p w14:paraId="61F513FF" w14:textId="77777777" w:rsidR="00893FEB" w:rsidRDefault="00893FEB" w:rsidP="00A76F8F">
      <w:pPr>
        <w:pStyle w:val="NoSpacing"/>
        <w:ind w:left="720"/>
        <w:rPr>
          <w:rFonts w:ascii="Times New Roman" w:hAnsi="Times New Roman"/>
          <w:sz w:val="24"/>
          <w:szCs w:val="24"/>
        </w:rPr>
      </w:pPr>
    </w:p>
    <w:p w14:paraId="0A4E6FFB" w14:textId="20F13E70" w:rsidR="00A76F8F" w:rsidRPr="00A76F8F" w:rsidRDefault="00A76F8F" w:rsidP="00A76F8F">
      <w:pPr>
        <w:pStyle w:val="NoSpacing"/>
        <w:ind w:left="720"/>
        <w:rPr>
          <w:rFonts w:ascii="Times New Roman" w:hAnsi="Times New Roman"/>
          <w:sz w:val="24"/>
          <w:szCs w:val="24"/>
        </w:rPr>
      </w:pPr>
      <w:r w:rsidRPr="00A76F8F">
        <w:rPr>
          <w:rFonts w:ascii="Times New Roman" w:hAnsi="Times New Roman"/>
          <w:sz w:val="24"/>
          <w:szCs w:val="24"/>
        </w:rPr>
        <w:t>“The Court finds that Dyer has stated a claim under Title VII, the LEDL, and § 1981 for race-based disparate treatment arising out of the charge related to the February 2022 incident and arising out of the denied promotion. As to these claims, the Motion to Dismiss is DENIED.”</w:t>
      </w:r>
    </w:p>
    <w:p w14:paraId="7E2AA90D" w14:textId="77777777" w:rsidR="00A76F8F" w:rsidRPr="00A76F8F" w:rsidRDefault="00A76F8F" w:rsidP="00A76F8F">
      <w:pPr>
        <w:pStyle w:val="NoSpacing"/>
        <w:ind w:left="720"/>
        <w:rPr>
          <w:rFonts w:ascii="Times New Roman" w:hAnsi="Times New Roman"/>
          <w:sz w:val="24"/>
          <w:szCs w:val="24"/>
        </w:rPr>
      </w:pPr>
    </w:p>
    <w:p w14:paraId="45A452C1" w14:textId="77777777" w:rsidR="00A76F8F" w:rsidRPr="00A76F8F" w:rsidRDefault="00A76F8F" w:rsidP="00A76F8F">
      <w:pPr>
        <w:pStyle w:val="NoSpacing"/>
        <w:rPr>
          <w:rFonts w:ascii="Times New Roman" w:hAnsi="Times New Roman"/>
          <w:b/>
          <w:bCs/>
          <w:sz w:val="24"/>
          <w:szCs w:val="24"/>
        </w:rPr>
      </w:pPr>
      <w:r w:rsidRPr="00A76F8F">
        <w:rPr>
          <w:rFonts w:ascii="Times New Roman" w:hAnsi="Times New Roman"/>
          <w:b/>
          <w:sz w:val="24"/>
          <w:szCs w:val="24"/>
        </w:rPr>
        <w:t>Legal Lesson Learned: When imposing discipline involving a white FF and a black FF, management must document specific reasons for different discipline.</w:t>
      </w:r>
    </w:p>
    <w:p w14:paraId="4C0799D8" w14:textId="77777777" w:rsidR="00A76F8F" w:rsidRPr="00A76F8F" w:rsidRDefault="00A76F8F" w:rsidP="00A76F8F">
      <w:pPr>
        <w:pStyle w:val="NoSpacing"/>
        <w:ind w:left="720"/>
        <w:rPr>
          <w:rFonts w:ascii="Times New Roman" w:hAnsi="Times New Roman"/>
          <w:sz w:val="24"/>
          <w:szCs w:val="24"/>
        </w:rPr>
      </w:pPr>
    </w:p>
    <w:p w14:paraId="24665106" w14:textId="29DD1166" w:rsidR="00A76F8F" w:rsidRPr="00A76F8F" w:rsidRDefault="00A76F8F" w:rsidP="00A76F8F">
      <w:pPr>
        <w:pStyle w:val="NoSpacing"/>
        <w:ind w:left="720"/>
        <w:rPr>
          <w:rFonts w:ascii="Times New Roman" w:hAnsi="Times New Roman"/>
          <w:b/>
          <w:sz w:val="24"/>
          <w:szCs w:val="24"/>
        </w:rPr>
      </w:pPr>
      <w:r w:rsidRPr="00A76F8F">
        <w:rPr>
          <w:rFonts w:ascii="Times New Roman" w:hAnsi="Times New Roman"/>
          <w:sz w:val="24"/>
          <w:szCs w:val="24"/>
        </w:rPr>
        <w:lastRenderedPageBreak/>
        <w:t>Note:  See also City’s Civil Service Commission (vote 2 to 1) on Dec. 14, 2023, reversing 36-hour suspension for bringing a “gate valve” from a fire engine to a Rock of Ages</w:t>
      </w:r>
      <w:r w:rsidR="00893FEB">
        <w:rPr>
          <w:rFonts w:ascii="Times New Roman" w:hAnsi="Times New Roman"/>
          <w:sz w:val="24"/>
          <w:szCs w:val="24"/>
        </w:rPr>
        <w:t xml:space="preserve"> </w:t>
      </w:r>
      <w:r w:rsidRPr="00A76F8F">
        <w:rPr>
          <w:rFonts w:ascii="Times New Roman" w:hAnsi="Times New Roman"/>
          <w:sz w:val="24"/>
          <w:szCs w:val="24"/>
        </w:rPr>
        <w:t xml:space="preserve">Church event provided showers and laundry facilities to homeless and mentally ill individuals. </w:t>
      </w:r>
    </w:p>
    <w:p w14:paraId="043F0623" w14:textId="77777777" w:rsidR="00A76F8F" w:rsidRPr="00A76F8F" w:rsidRDefault="00A76F8F" w:rsidP="00A76F8F">
      <w:pPr>
        <w:pStyle w:val="NoSpacing"/>
        <w:ind w:left="720"/>
        <w:rPr>
          <w:rFonts w:ascii="Times New Roman" w:hAnsi="Times New Roman"/>
          <w:b/>
          <w:sz w:val="24"/>
          <w:szCs w:val="24"/>
        </w:rPr>
      </w:pPr>
      <w:hyperlink r:id="rId1543" w:history="1">
        <w:r w:rsidRPr="00A76F8F">
          <w:rPr>
            <w:rStyle w:val="Hyperlink"/>
            <w:rFonts w:ascii="Times New Roman" w:hAnsi="Times New Roman"/>
            <w:b/>
            <w:sz w:val="24"/>
            <w:szCs w:val="24"/>
          </w:rPr>
          <w:t>https://nola.gov/getattachment/e3454bbc-a629-43a1-b296-8d99f21a3e04/Dyer,-Varrick-9485/</w:t>
        </w:r>
      </w:hyperlink>
      <w:r w:rsidRPr="00A76F8F">
        <w:rPr>
          <w:rFonts w:ascii="Times New Roman" w:hAnsi="Times New Roman"/>
          <w:b/>
          <w:sz w:val="24"/>
          <w:szCs w:val="24"/>
        </w:rPr>
        <w:t xml:space="preserve"> </w:t>
      </w:r>
    </w:p>
    <w:p w14:paraId="5C25F61A" w14:textId="77777777" w:rsidR="003B2850" w:rsidRPr="00A76F8F" w:rsidRDefault="003B2850" w:rsidP="00BC70A3">
      <w:pPr>
        <w:rPr>
          <w:rFonts w:ascii="Times New Roman" w:hAnsi="Times New Roman"/>
          <w:b/>
          <w:sz w:val="24"/>
          <w:szCs w:val="24"/>
        </w:rPr>
      </w:pPr>
    </w:p>
    <w:p w14:paraId="42601585" w14:textId="77777777" w:rsidR="003B2850" w:rsidRDefault="003B2850" w:rsidP="00BC70A3">
      <w:pPr>
        <w:rPr>
          <w:rFonts w:ascii="Arial Black" w:hAnsi="Arial Black"/>
          <w:b/>
          <w:sz w:val="24"/>
          <w:szCs w:val="24"/>
        </w:rPr>
      </w:pPr>
    </w:p>
    <w:p w14:paraId="3C279A26" w14:textId="03DFF900" w:rsidR="00B9560C" w:rsidRDefault="00B9560C" w:rsidP="00BC70A3">
      <w:pPr>
        <w:rPr>
          <w:rFonts w:ascii="Arial Black" w:hAnsi="Arial Black"/>
          <w:b/>
          <w:sz w:val="24"/>
          <w:szCs w:val="24"/>
        </w:rPr>
      </w:pPr>
      <w:r>
        <w:rPr>
          <w:rFonts w:ascii="Arial Black" w:hAnsi="Arial Black"/>
          <w:b/>
          <w:sz w:val="24"/>
          <w:szCs w:val="24"/>
        </w:rPr>
        <w:t>8-68</w:t>
      </w:r>
    </w:p>
    <w:p w14:paraId="09837F54" w14:textId="77777777" w:rsidR="009E2FA4" w:rsidRDefault="009E2FA4" w:rsidP="009E2FA4">
      <w:pPr>
        <w:pStyle w:val="NoSpacing"/>
        <w:rPr>
          <w:rFonts w:ascii="Arial Black" w:hAnsi="Arial Black"/>
          <w:b/>
          <w:sz w:val="28"/>
          <w:szCs w:val="28"/>
        </w:rPr>
      </w:pPr>
      <w:r>
        <w:rPr>
          <w:rFonts w:ascii="Arial Black" w:hAnsi="Arial Black"/>
          <w:b/>
          <w:sz w:val="28"/>
          <w:szCs w:val="28"/>
        </w:rPr>
        <w:t xml:space="preserve">MO: CHIEF FIRED – SECRET CAMERA – BD ANIMUS </w:t>
      </w:r>
    </w:p>
    <w:p w14:paraId="5E9C0CE1" w14:textId="77777777" w:rsidR="009E2FA4" w:rsidRDefault="009E2FA4" w:rsidP="00AB0466">
      <w:pPr>
        <w:pStyle w:val="NoSpacing"/>
        <w:rPr>
          <w:rFonts w:ascii="Arial Black" w:hAnsi="Arial Black"/>
          <w:b/>
          <w:sz w:val="28"/>
          <w:szCs w:val="28"/>
        </w:rPr>
      </w:pPr>
    </w:p>
    <w:p w14:paraId="2490AEC9" w14:textId="77777777" w:rsidR="003D707F" w:rsidRPr="003D707F" w:rsidRDefault="003D707F" w:rsidP="003D707F">
      <w:pPr>
        <w:rPr>
          <w:rFonts w:ascii="Times New Roman" w:hAnsi="Times New Roman"/>
          <w:bCs/>
          <w:sz w:val="24"/>
          <w:szCs w:val="24"/>
        </w:rPr>
      </w:pPr>
      <w:r w:rsidRPr="003D707F">
        <w:rPr>
          <w:rFonts w:ascii="Times New Roman" w:hAnsi="Times New Roman"/>
          <w:sz w:val="24"/>
          <w:szCs w:val="24"/>
        </w:rPr>
        <w:t xml:space="preserve">On Dec. 18, 2024, in </w:t>
      </w:r>
      <w:proofErr w:type="spellStart"/>
      <w:r w:rsidRPr="003D707F">
        <w:rPr>
          <w:rFonts w:ascii="Times New Roman" w:hAnsi="Times New Roman"/>
          <w:sz w:val="24"/>
          <w:szCs w:val="24"/>
          <w:u w:val="single"/>
        </w:rPr>
        <w:t>Ankeneth</w:t>
      </w:r>
      <w:proofErr w:type="spellEnd"/>
      <w:r w:rsidRPr="003D707F">
        <w:rPr>
          <w:rFonts w:ascii="Times New Roman" w:hAnsi="Times New Roman"/>
          <w:sz w:val="24"/>
          <w:szCs w:val="24"/>
          <w:u w:val="single"/>
        </w:rPr>
        <w:t xml:space="preserve"> Corbin v. Black Jack Fire Protection District, et al.,</w:t>
      </w:r>
      <w:r w:rsidRPr="003D707F">
        <w:rPr>
          <w:rFonts w:ascii="Times New Roman" w:hAnsi="Times New Roman"/>
          <w:sz w:val="24"/>
          <w:szCs w:val="24"/>
        </w:rPr>
        <w:t xml:space="preserve"> United States District Court Judge John A. Ross, U.S. District Court for Eastern District of Missouri, held that the former Fire Chief (African American), who was fired on Jan. 17, 2023 for secretly installing a camera and a sound recording device in his office, may proceed with his lawsuit for retaliation. </w:t>
      </w:r>
      <w:hyperlink r:id="rId1544" w:history="1">
        <w:r w:rsidRPr="003D707F">
          <w:rPr>
            <w:rStyle w:val="Hyperlink"/>
            <w:rFonts w:ascii="Times New Roman" w:hAnsi="Times New Roman"/>
            <w:sz w:val="24"/>
            <w:szCs w:val="24"/>
          </w:rPr>
          <w:t>https://casetext.com/case/corbin-v-black-jack-fire-prot-dist</w:t>
        </w:r>
      </w:hyperlink>
      <w:r w:rsidRPr="003D707F">
        <w:rPr>
          <w:rFonts w:ascii="Times New Roman" w:hAnsi="Times New Roman"/>
          <w:sz w:val="24"/>
          <w:szCs w:val="24"/>
        </w:rPr>
        <w:t xml:space="preserve"> </w:t>
      </w:r>
    </w:p>
    <w:p w14:paraId="7547A7FC" w14:textId="77777777" w:rsidR="003D707F" w:rsidRDefault="003D707F" w:rsidP="00AB0466">
      <w:pPr>
        <w:pStyle w:val="NoSpacing"/>
        <w:rPr>
          <w:rFonts w:ascii="Times New Roman" w:hAnsi="Times New Roman"/>
          <w:sz w:val="24"/>
          <w:szCs w:val="24"/>
        </w:rPr>
      </w:pPr>
    </w:p>
    <w:p w14:paraId="35844308" w14:textId="3A65FA7F" w:rsidR="00AB0466" w:rsidRPr="00AB0466" w:rsidRDefault="00AB0466" w:rsidP="00AB0466">
      <w:pPr>
        <w:pStyle w:val="NoSpacing"/>
        <w:rPr>
          <w:rFonts w:ascii="Times New Roman" w:hAnsi="Times New Roman"/>
          <w:sz w:val="24"/>
          <w:szCs w:val="24"/>
        </w:rPr>
      </w:pPr>
      <w:r w:rsidRPr="00AB0466">
        <w:rPr>
          <w:rFonts w:ascii="Times New Roman" w:hAnsi="Times New Roman"/>
          <w:sz w:val="24"/>
          <w:szCs w:val="24"/>
        </w:rPr>
        <w:t>The Court wrote:</w:t>
      </w:r>
    </w:p>
    <w:p w14:paraId="4B022E4D" w14:textId="77777777" w:rsidR="00B2318F" w:rsidRDefault="00B2318F" w:rsidP="00AB0466">
      <w:pPr>
        <w:ind w:left="720"/>
        <w:rPr>
          <w:rFonts w:ascii="Times New Roman" w:hAnsi="Times New Roman"/>
          <w:sz w:val="24"/>
          <w:szCs w:val="24"/>
        </w:rPr>
      </w:pPr>
    </w:p>
    <w:p w14:paraId="14680168" w14:textId="62244C3A" w:rsidR="00AB0466" w:rsidRDefault="00AB0466" w:rsidP="00AB0466">
      <w:pPr>
        <w:ind w:left="720"/>
        <w:rPr>
          <w:bCs/>
        </w:rPr>
      </w:pPr>
      <w:r w:rsidRPr="00AB0466">
        <w:rPr>
          <w:rFonts w:ascii="Times New Roman" w:hAnsi="Times New Roman"/>
          <w:sz w:val="24"/>
          <w:szCs w:val="24"/>
        </w:rPr>
        <w:t xml:space="preserve">“The </w:t>
      </w:r>
      <w:proofErr w:type="gramStart"/>
      <w:r w:rsidRPr="00AB0466">
        <w:rPr>
          <w:rFonts w:ascii="Times New Roman" w:hAnsi="Times New Roman"/>
          <w:sz w:val="24"/>
          <w:szCs w:val="24"/>
        </w:rPr>
        <w:t>District</w:t>
      </w:r>
      <w:proofErr w:type="gramEnd"/>
      <w:r w:rsidRPr="00AB0466">
        <w:rPr>
          <w:rFonts w:ascii="Times New Roman" w:hAnsi="Times New Roman"/>
          <w:sz w:val="24"/>
          <w:szCs w:val="24"/>
        </w:rPr>
        <w:t xml:space="preserve"> argues that the EEOC charges were too remote in time to show causation, and the actual reason for Corbin's termination was his use of the hidden camera and failure to return all electronic devices. In response, Corbin contends that the evidence gives rise to jury questions. The Court agrees [with Corbin]. [Board Chairman David] Calhoun admitted he said to Corbin in March 2022, ‘You can't do nothing to me’ and ‘[g]o </w:t>
      </w:r>
      <w:proofErr w:type="gramStart"/>
      <w:r w:rsidRPr="00AB0466">
        <w:rPr>
          <w:rFonts w:ascii="Times New Roman" w:hAnsi="Times New Roman"/>
          <w:sz w:val="24"/>
          <w:szCs w:val="24"/>
        </w:rPr>
        <w:t>write</w:t>
      </w:r>
      <w:proofErr w:type="gramEnd"/>
      <w:r w:rsidRPr="00AB0466">
        <w:rPr>
          <w:rFonts w:ascii="Times New Roman" w:hAnsi="Times New Roman"/>
          <w:sz w:val="24"/>
          <w:szCs w:val="24"/>
        </w:rPr>
        <w:t xml:space="preserve"> your letter’ as he thought Corbin ‘was trying to get me ran out of the place.”’  Corbin filed EEOC charges in July and late August 2022, claiming retaliation for reporting alleged ‘conflicts of interest, fiscal irregularities and wasteful spending’ by the Board and other specific retaliatory actions by Calhoun. Calhoun admitted stating that Corbin was going to ‘destroy the department’ because of ‘harassment like the charges.’ Calhoun further admitted that he believed Corbin was going to alert the media about allegations against the Board. Tensions escalated into the fall of 2022 and Corbin recorded Calhoun in his office via video and their arguments via audio. Corbin was suspended that December and terminated the following month. This timeline is not so remote as to remove the question of causation from the province of the jury. Rather, the timeline and conflicting evidence give rise to a genuine material dispute as to whether the Board cited Corbin's recordings and alleged failure to return devices as a pretext to fire a troublesome whistleblower. These are fact questions for a jury to resolve. Accordingly, the Court will deny the </w:t>
      </w:r>
      <w:proofErr w:type="gramStart"/>
      <w:r w:rsidRPr="00AB0466">
        <w:rPr>
          <w:rFonts w:ascii="Times New Roman" w:hAnsi="Times New Roman"/>
          <w:sz w:val="24"/>
          <w:szCs w:val="24"/>
        </w:rPr>
        <w:t>District's</w:t>
      </w:r>
      <w:proofErr w:type="gramEnd"/>
      <w:r w:rsidRPr="00AB0466">
        <w:rPr>
          <w:rFonts w:ascii="Times New Roman" w:hAnsi="Times New Roman"/>
          <w:sz w:val="24"/>
          <w:szCs w:val="24"/>
        </w:rPr>
        <w:t xml:space="preserve"> motion for summary judgment as to Count I.”  </w:t>
      </w:r>
    </w:p>
    <w:p w14:paraId="4A26B82A" w14:textId="77777777" w:rsidR="005F5492" w:rsidRPr="005F5492" w:rsidRDefault="005F5492" w:rsidP="005F5492">
      <w:pPr>
        <w:rPr>
          <w:rFonts w:ascii="Times New Roman" w:hAnsi="Times New Roman"/>
          <w:bCs/>
          <w:sz w:val="24"/>
          <w:szCs w:val="24"/>
        </w:rPr>
      </w:pPr>
      <w:r w:rsidRPr="005F5492">
        <w:rPr>
          <w:rFonts w:ascii="Times New Roman" w:hAnsi="Times New Roman"/>
          <w:sz w:val="24"/>
          <w:szCs w:val="24"/>
        </w:rPr>
        <w:t>HOLDING:</w:t>
      </w:r>
    </w:p>
    <w:p w14:paraId="4A740C4F" w14:textId="77777777" w:rsidR="005F5492" w:rsidRPr="005F5492" w:rsidRDefault="005F5492" w:rsidP="005F5492">
      <w:pPr>
        <w:ind w:left="720"/>
        <w:rPr>
          <w:rFonts w:ascii="Times New Roman" w:hAnsi="Times New Roman"/>
          <w:sz w:val="24"/>
          <w:szCs w:val="24"/>
        </w:rPr>
      </w:pPr>
      <w:r w:rsidRPr="005F5492">
        <w:rPr>
          <w:rFonts w:ascii="Times New Roman" w:hAnsi="Times New Roman"/>
          <w:sz w:val="24"/>
          <w:szCs w:val="24"/>
        </w:rPr>
        <w:t xml:space="preserve">“Here, the record arguably contains direct evidence showing a discriminatory animus behind the Board's decision to suspend and then terminate Corbin's employment. As discussed above, Calhoun admitted in the summer of 2022 that he was concerned that Corbin would alert the press of alleged misconduct by Board members and that he considered Corbin's EEOC charges to be a form of harassment that would destroy the department. Although Corbin was not suspended until some months later, and purportedly </w:t>
      </w:r>
      <w:r w:rsidRPr="005F5492">
        <w:rPr>
          <w:rFonts w:ascii="Times New Roman" w:hAnsi="Times New Roman"/>
          <w:sz w:val="24"/>
          <w:szCs w:val="24"/>
        </w:rPr>
        <w:lastRenderedPageBreak/>
        <w:t xml:space="preserve">for other reasons, a jury could interpret Calhoun's statements as direct evidence of a discriminatory animus that ultimately prompted the Board's action. Alternatively, even accepting that developments in the fall of 2022, specifically Corbin's recordings and alleged failure to return devices, could be viewed to interrupt any direct link between Calhoun's animus and Corbin's termination, the evidence gives rise to genuine factual dispute under the </w:t>
      </w:r>
      <w:r w:rsidRPr="005F5492">
        <w:rPr>
          <w:rFonts w:ascii="Times New Roman" w:hAnsi="Times New Roman"/>
          <w:i/>
          <w:iCs/>
          <w:sz w:val="24"/>
          <w:szCs w:val="24"/>
        </w:rPr>
        <w:t>McDonnell Douglas</w:t>
      </w:r>
      <w:r w:rsidRPr="005F5492">
        <w:rPr>
          <w:rFonts w:ascii="Times New Roman" w:hAnsi="Times New Roman"/>
          <w:sz w:val="24"/>
          <w:szCs w:val="24"/>
        </w:rPr>
        <w:t xml:space="preserve"> burden-shifting framework.”</w:t>
      </w:r>
    </w:p>
    <w:p w14:paraId="6108FF80" w14:textId="77777777" w:rsidR="005F5492" w:rsidRPr="005F5492" w:rsidRDefault="005F5492" w:rsidP="005F5492">
      <w:pPr>
        <w:rPr>
          <w:rFonts w:ascii="Times New Roman" w:hAnsi="Times New Roman"/>
          <w:b/>
          <w:bCs/>
          <w:sz w:val="24"/>
          <w:szCs w:val="24"/>
        </w:rPr>
      </w:pPr>
      <w:r w:rsidRPr="005F5492">
        <w:rPr>
          <w:rFonts w:ascii="Times New Roman" w:hAnsi="Times New Roman"/>
          <w:b/>
          <w:sz w:val="24"/>
          <w:szCs w:val="24"/>
        </w:rPr>
        <w:t xml:space="preserve">Legal Lessons Learned:  </w:t>
      </w:r>
      <w:r w:rsidRPr="005F5492">
        <w:rPr>
          <w:rFonts w:ascii="Times New Roman" w:hAnsi="Times New Roman"/>
          <w:b/>
          <w:bCs/>
          <w:sz w:val="24"/>
          <w:szCs w:val="24"/>
        </w:rPr>
        <w:t>Court found direct evidence of “discriminatory animus” behind the Board’s decision to suspend and then terminate.</w:t>
      </w:r>
      <w:r w:rsidRPr="005F5492">
        <w:rPr>
          <w:rFonts w:ascii="Times New Roman" w:hAnsi="Times New Roman"/>
          <w:b/>
          <w:sz w:val="24"/>
          <w:szCs w:val="24"/>
        </w:rPr>
        <w:t xml:space="preserve">  </w:t>
      </w:r>
    </w:p>
    <w:p w14:paraId="313EB24F" w14:textId="77777777" w:rsidR="005F5492" w:rsidRPr="00081E51" w:rsidRDefault="005F5492" w:rsidP="005F5492">
      <w:pPr>
        <w:ind w:left="720"/>
        <w:rPr>
          <w:bCs/>
        </w:rPr>
      </w:pPr>
    </w:p>
    <w:p w14:paraId="4A6D30C9" w14:textId="77777777" w:rsidR="00B9560C" w:rsidRDefault="00B9560C" w:rsidP="00BC70A3">
      <w:pPr>
        <w:rPr>
          <w:rFonts w:ascii="Arial Black" w:hAnsi="Arial Black"/>
          <w:b/>
          <w:sz w:val="24"/>
          <w:szCs w:val="24"/>
        </w:rPr>
      </w:pPr>
    </w:p>
    <w:p w14:paraId="0F08F7B8" w14:textId="77777777" w:rsidR="00B9560C" w:rsidRDefault="00B9560C" w:rsidP="00BC70A3">
      <w:pPr>
        <w:rPr>
          <w:rFonts w:ascii="Arial Black" w:hAnsi="Arial Black"/>
          <w:b/>
          <w:sz w:val="24"/>
          <w:szCs w:val="24"/>
        </w:rPr>
      </w:pPr>
    </w:p>
    <w:p w14:paraId="7ED97145" w14:textId="56517BD8" w:rsidR="004529D8" w:rsidRDefault="004529D8" w:rsidP="00BC70A3">
      <w:pPr>
        <w:rPr>
          <w:rFonts w:ascii="Arial Black" w:hAnsi="Arial Black"/>
          <w:b/>
          <w:sz w:val="24"/>
          <w:szCs w:val="24"/>
        </w:rPr>
      </w:pPr>
      <w:r>
        <w:rPr>
          <w:rFonts w:ascii="Arial Black" w:hAnsi="Arial Black"/>
          <w:b/>
          <w:sz w:val="24"/>
          <w:szCs w:val="24"/>
        </w:rPr>
        <w:t>8-6</w:t>
      </w:r>
      <w:r w:rsidR="00AE05CE">
        <w:rPr>
          <w:rFonts w:ascii="Arial Black" w:hAnsi="Arial Black"/>
          <w:b/>
          <w:sz w:val="24"/>
          <w:szCs w:val="24"/>
        </w:rPr>
        <w:t>7</w:t>
      </w:r>
    </w:p>
    <w:p w14:paraId="07F41B5A" w14:textId="77777777" w:rsidR="004529D8" w:rsidRPr="00A85574" w:rsidRDefault="004529D8" w:rsidP="004529D8">
      <w:pPr>
        <w:pStyle w:val="NoSpacing"/>
        <w:rPr>
          <w:rFonts w:ascii="Arial Black" w:hAnsi="Arial Black"/>
          <w:b/>
          <w:sz w:val="28"/>
          <w:szCs w:val="28"/>
        </w:rPr>
      </w:pPr>
      <w:r>
        <w:rPr>
          <w:rFonts w:ascii="Arial Black" w:hAnsi="Arial Black"/>
          <w:b/>
          <w:sz w:val="28"/>
          <w:szCs w:val="28"/>
        </w:rPr>
        <w:t xml:space="preserve">IL: BLACK FF – FIRED - NO FED. CASE – RETALIATION CLAIM FOR TALKING TO EEOC – HAD DUE PROCESS STATE COURT </w:t>
      </w:r>
    </w:p>
    <w:p w14:paraId="3AC9F774" w14:textId="77777777" w:rsidR="004529D8" w:rsidRDefault="004529D8" w:rsidP="004529D8">
      <w:pPr>
        <w:pStyle w:val="NoSpacing"/>
        <w:ind w:firstLine="720"/>
        <w:rPr>
          <w:b/>
        </w:rPr>
      </w:pPr>
    </w:p>
    <w:p w14:paraId="7126F9F9" w14:textId="77777777" w:rsidR="004529D8" w:rsidRPr="00D86881" w:rsidRDefault="004529D8" w:rsidP="004529D8">
      <w:pPr>
        <w:pStyle w:val="NoSpacing"/>
        <w:rPr>
          <w:rFonts w:ascii="Times New Roman" w:hAnsi="Times New Roman"/>
          <w:sz w:val="24"/>
          <w:szCs w:val="24"/>
        </w:rPr>
      </w:pPr>
      <w:r w:rsidRPr="00D86881">
        <w:rPr>
          <w:rFonts w:ascii="Times New Roman" w:hAnsi="Times New Roman"/>
          <w:sz w:val="24"/>
          <w:szCs w:val="24"/>
        </w:rPr>
        <w:t xml:space="preserve">On Nov. 18, 2024, in </w:t>
      </w:r>
      <w:proofErr w:type="spellStart"/>
      <w:r w:rsidRPr="00D86881">
        <w:rPr>
          <w:rFonts w:ascii="Times New Roman" w:hAnsi="Times New Roman"/>
          <w:sz w:val="24"/>
          <w:szCs w:val="24"/>
          <w:u w:val="single"/>
        </w:rPr>
        <w:t>Vairrun</w:t>
      </w:r>
      <w:proofErr w:type="spellEnd"/>
      <w:r w:rsidRPr="00D86881">
        <w:rPr>
          <w:rFonts w:ascii="Times New Roman" w:hAnsi="Times New Roman"/>
          <w:sz w:val="24"/>
          <w:szCs w:val="24"/>
          <w:u w:val="single"/>
        </w:rPr>
        <w:t xml:space="preserve"> Strictland v. City of Markham</w:t>
      </w:r>
      <w:r w:rsidRPr="00D86881">
        <w:rPr>
          <w:rFonts w:ascii="Times New Roman" w:hAnsi="Times New Roman"/>
          <w:sz w:val="24"/>
          <w:szCs w:val="24"/>
        </w:rPr>
        <w:t xml:space="preserve">, United States District Court Judge John J. Tharp, Jr., U.S. District Court for Northern District of Illinois, Eastern Division, granted summary judgment to the </w:t>
      </w:r>
      <w:proofErr w:type="gramStart"/>
      <w:r w:rsidRPr="00D86881">
        <w:rPr>
          <w:rFonts w:ascii="Times New Roman" w:hAnsi="Times New Roman"/>
          <w:sz w:val="24"/>
          <w:szCs w:val="24"/>
        </w:rPr>
        <w:t>City</w:t>
      </w:r>
      <w:proofErr w:type="gramEnd"/>
      <w:r w:rsidRPr="00D86881">
        <w:rPr>
          <w:rFonts w:ascii="Times New Roman" w:hAnsi="Times New Roman"/>
          <w:sz w:val="24"/>
          <w:szCs w:val="24"/>
        </w:rPr>
        <w:t>.  The Court wrote: “In October 2021, the circuit court entered an agreed order retaining jurisdiction but remanding the case to the Board; the court instructed the Board, on remand, to enter an amended decision containing additional information ‘as to the</w:t>
      </w:r>
    </w:p>
    <w:p w14:paraId="7F50C7AE" w14:textId="77777777" w:rsidR="004529D8" w:rsidRPr="00D86881" w:rsidRDefault="004529D8" w:rsidP="004529D8">
      <w:pPr>
        <w:pStyle w:val="NoSpacing"/>
        <w:rPr>
          <w:rFonts w:ascii="Times New Roman" w:hAnsi="Times New Roman"/>
          <w:sz w:val="24"/>
          <w:szCs w:val="24"/>
        </w:rPr>
      </w:pPr>
      <w:r w:rsidRPr="00D86881">
        <w:rPr>
          <w:rFonts w:ascii="Times New Roman" w:hAnsi="Times New Roman"/>
          <w:sz w:val="24"/>
          <w:szCs w:val="24"/>
        </w:rPr>
        <w:t>facts, laws, and basis for the [outcome] and discipline issued.’ Agreed Order 1, ECF No. 23-2.</w:t>
      </w:r>
    </w:p>
    <w:p w14:paraId="590952B9" w14:textId="77777777" w:rsidR="004529D8" w:rsidRPr="00D86881" w:rsidRDefault="004529D8" w:rsidP="004529D8">
      <w:pPr>
        <w:pStyle w:val="NoSpacing"/>
        <w:rPr>
          <w:rFonts w:ascii="Times New Roman" w:hAnsi="Times New Roman"/>
          <w:sz w:val="24"/>
          <w:szCs w:val="24"/>
        </w:rPr>
      </w:pPr>
      <w:r w:rsidRPr="00D86881">
        <w:rPr>
          <w:rFonts w:ascii="Times New Roman" w:hAnsi="Times New Roman"/>
          <w:sz w:val="24"/>
          <w:szCs w:val="24"/>
        </w:rPr>
        <w:t>The Board did so in April 2022, again terminating Strickland, and Strickland ‘determined not to</w:t>
      </w:r>
    </w:p>
    <w:p w14:paraId="55B76E6E" w14:textId="77777777" w:rsidR="004529D8" w:rsidRPr="00D86881" w:rsidRDefault="004529D8" w:rsidP="004529D8">
      <w:pPr>
        <w:pStyle w:val="NoSpacing"/>
        <w:rPr>
          <w:rFonts w:ascii="Times New Roman" w:hAnsi="Times New Roman"/>
          <w:sz w:val="24"/>
          <w:szCs w:val="24"/>
        </w:rPr>
      </w:pPr>
      <w:r w:rsidRPr="00D86881">
        <w:rPr>
          <w:rFonts w:ascii="Times New Roman" w:hAnsi="Times New Roman"/>
          <w:sz w:val="24"/>
          <w:szCs w:val="24"/>
        </w:rPr>
        <w:t xml:space="preserve">pursue [further] action’ regarding the amended decision…. Strickland thus had a full and fair opportunity to litigate the claims presented here in state court…. This suit is therefore barred in its entirety by Illinois and federal law.” </w:t>
      </w:r>
      <w:hyperlink r:id="rId1545" w:history="1">
        <w:r w:rsidRPr="00D86881">
          <w:rPr>
            <w:rStyle w:val="Hyperlink"/>
            <w:rFonts w:ascii="Times New Roman" w:hAnsi="Times New Roman"/>
            <w:sz w:val="24"/>
            <w:szCs w:val="24"/>
          </w:rPr>
          <w:t>https://cases.justia.com/federal/district-courts/illinois/ilndce/1:2022cv01419/413396/37/0.pdf?ts=1732013718</w:t>
        </w:r>
      </w:hyperlink>
      <w:r w:rsidRPr="00D86881">
        <w:rPr>
          <w:rFonts w:ascii="Times New Roman" w:hAnsi="Times New Roman"/>
          <w:sz w:val="24"/>
          <w:szCs w:val="24"/>
        </w:rPr>
        <w:t xml:space="preserve"> </w:t>
      </w:r>
    </w:p>
    <w:p w14:paraId="57857CFE" w14:textId="77777777" w:rsidR="00D86881" w:rsidRPr="00D86881" w:rsidRDefault="00D86881" w:rsidP="004529D8">
      <w:pPr>
        <w:pStyle w:val="NoSpacing"/>
        <w:rPr>
          <w:rFonts w:ascii="Times New Roman" w:hAnsi="Times New Roman"/>
          <w:sz w:val="24"/>
          <w:szCs w:val="24"/>
        </w:rPr>
      </w:pPr>
    </w:p>
    <w:p w14:paraId="4658AA7A" w14:textId="77777777" w:rsidR="00D86881" w:rsidRPr="00D86881" w:rsidRDefault="00D86881" w:rsidP="00D86881">
      <w:pPr>
        <w:pStyle w:val="NoSpacing"/>
        <w:rPr>
          <w:rFonts w:ascii="Times New Roman" w:hAnsi="Times New Roman"/>
          <w:b/>
          <w:bCs/>
          <w:sz w:val="24"/>
          <w:szCs w:val="24"/>
        </w:rPr>
      </w:pPr>
      <w:r w:rsidRPr="00D86881">
        <w:rPr>
          <w:rFonts w:ascii="Times New Roman" w:hAnsi="Times New Roman"/>
          <w:b/>
          <w:sz w:val="24"/>
          <w:szCs w:val="24"/>
        </w:rPr>
        <w:t xml:space="preserve">Legal Lesson Learned:  If you are claiming retaliation, and appealing the Board’s termination to a state court, then do not voluntarily </w:t>
      </w:r>
      <w:proofErr w:type="gramStart"/>
      <w:r w:rsidRPr="00D86881">
        <w:rPr>
          <w:rFonts w:ascii="Times New Roman" w:hAnsi="Times New Roman"/>
          <w:b/>
          <w:sz w:val="24"/>
          <w:szCs w:val="24"/>
        </w:rPr>
        <w:t>dismissed</w:t>
      </w:r>
      <w:proofErr w:type="gramEnd"/>
      <w:r w:rsidRPr="00D86881">
        <w:rPr>
          <w:rFonts w:ascii="Times New Roman" w:hAnsi="Times New Roman"/>
          <w:b/>
          <w:sz w:val="24"/>
          <w:szCs w:val="24"/>
        </w:rPr>
        <w:t xml:space="preserve"> the state court case. </w:t>
      </w:r>
    </w:p>
    <w:p w14:paraId="5290D506" w14:textId="77777777" w:rsidR="00D86881" w:rsidRPr="00D86881" w:rsidRDefault="00D86881" w:rsidP="00D86881">
      <w:pPr>
        <w:pStyle w:val="NoSpacing"/>
        <w:rPr>
          <w:rFonts w:ascii="Times New Roman" w:hAnsi="Times New Roman"/>
          <w:sz w:val="24"/>
          <w:szCs w:val="24"/>
        </w:rPr>
      </w:pPr>
    </w:p>
    <w:p w14:paraId="194924B1" w14:textId="77777777" w:rsidR="00D86881" w:rsidRPr="00D86881" w:rsidRDefault="00D86881" w:rsidP="00D86881">
      <w:pPr>
        <w:pStyle w:val="NoSpacing"/>
        <w:ind w:left="720"/>
        <w:rPr>
          <w:rFonts w:ascii="Times New Roman" w:hAnsi="Times New Roman"/>
          <w:b/>
          <w:sz w:val="24"/>
          <w:szCs w:val="24"/>
        </w:rPr>
      </w:pPr>
      <w:r w:rsidRPr="00D86881">
        <w:rPr>
          <w:rFonts w:ascii="Times New Roman" w:hAnsi="Times New Roman"/>
          <w:sz w:val="24"/>
          <w:szCs w:val="24"/>
        </w:rPr>
        <w:t xml:space="preserve">Note: See article on this case, Nov. 19, 2024; </w:t>
      </w:r>
      <w:r w:rsidRPr="00D86881">
        <w:rPr>
          <w:rFonts w:ascii="Times New Roman" w:hAnsi="Times New Roman"/>
          <w:bCs/>
          <w:sz w:val="24"/>
          <w:szCs w:val="24"/>
        </w:rPr>
        <w:t xml:space="preserve">“Black Ex-Firefighter Barred </w:t>
      </w:r>
      <w:proofErr w:type="gramStart"/>
      <w:r w:rsidRPr="00D86881">
        <w:rPr>
          <w:rFonts w:ascii="Times New Roman" w:hAnsi="Times New Roman"/>
          <w:bCs/>
          <w:sz w:val="24"/>
          <w:szCs w:val="24"/>
        </w:rPr>
        <w:t>From</w:t>
      </w:r>
      <w:proofErr w:type="gramEnd"/>
      <w:r w:rsidRPr="00D86881">
        <w:rPr>
          <w:rFonts w:ascii="Times New Roman" w:hAnsi="Times New Roman"/>
          <w:bCs/>
          <w:sz w:val="24"/>
          <w:szCs w:val="24"/>
        </w:rPr>
        <w:t xml:space="preserve"> Bringing Racial Bias Lawsuit.” “</w:t>
      </w:r>
      <w:r w:rsidRPr="00D86881">
        <w:rPr>
          <w:rFonts w:ascii="Times New Roman" w:hAnsi="Times New Roman"/>
          <w:sz w:val="24"/>
          <w:szCs w:val="24"/>
        </w:rPr>
        <w:t>A Black firefighter fired from an Illinois city is legally barred from pursuing a federal discrimination and retaliation suit because had had already brought these claims in state court, a judge ruled.”</w:t>
      </w:r>
    </w:p>
    <w:p w14:paraId="26116827" w14:textId="77777777" w:rsidR="00D86881" w:rsidRPr="00E71CE2" w:rsidRDefault="00D86881" w:rsidP="00D86881">
      <w:pPr>
        <w:pStyle w:val="NoSpacing"/>
        <w:ind w:left="720"/>
        <w:rPr>
          <w:bCs/>
        </w:rPr>
      </w:pPr>
      <w:hyperlink r:id="rId1546" w:history="1">
        <w:r w:rsidRPr="00D86881">
          <w:rPr>
            <w:rStyle w:val="Hyperlink"/>
            <w:rFonts w:ascii="Times New Roman" w:hAnsi="Times New Roman"/>
            <w:sz w:val="24"/>
            <w:szCs w:val="24"/>
          </w:rPr>
          <w:t>https://news.bloomberglaw.com/us-law-week/black-ex-firefighter-barred-from-bringing-racial-bias-lawsuit</w:t>
        </w:r>
      </w:hyperlink>
      <w:r>
        <w:t xml:space="preserve"> </w:t>
      </w:r>
    </w:p>
    <w:p w14:paraId="54B1DC2E" w14:textId="77777777" w:rsidR="00D86881" w:rsidRDefault="00D86881" w:rsidP="004529D8">
      <w:pPr>
        <w:pStyle w:val="NoSpacing"/>
      </w:pPr>
    </w:p>
    <w:p w14:paraId="691C9103" w14:textId="77777777" w:rsidR="004529D8" w:rsidRDefault="004529D8" w:rsidP="00BC70A3">
      <w:pPr>
        <w:rPr>
          <w:rFonts w:ascii="Arial Black" w:hAnsi="Arial Black"/>
          <w:b/>
          <w:sz w:val="24"/>
          <w:szCs w:val="24"/>
        </w:rPr>
      </w:pPr>
    </w:p>
    <w:p w14:paraId="611BEE99" w14:textId="6E4DC8F6" w:rsidR="00D86881" w:rsidRDefault="00D86881" w:rsidP="00D86881">
      <w:pPr>
        <w:rPr>
          <w:rFonts w:ascii="Arial Black" w:hAnsi="Arial Black"/>
          <w:b/>
          <w:sz w:val="24"/>
          <w:szCs w:val="24"/>
        </w:rPr>
      </w:pPr>
      <w:r>
        <w:rPr>
          <w:rFonts w:ascii="Arial Black" w:hAnsi="Arial Black"/>
          <w:b/>
          <w:sz w:val="24"/>
          <w:szCs w:val="24"/>
        </w:rPr>
        <w:t>8-6</w:t>
      </w:r>
      <w:r w:rsidR="00AE05CE">
        <w:rPr>
          <w:rFonts w:ascii="Arial Black" w:hAnsi="Arial Black"/>
          <w:b/>
          <w:sz w:val="24"/>
          <w:szCs w:val="24"/>
        </w:rPr>
        <w:t>6</w:t>
      </w:r>
    </w:p>
    <w:p w14:paraId="0C0D370C" w14:textId="77777777" w:rsidR="009525F2" w:rsidRPr="00EC35DF" w:rsidRDefault="009525F2" w:rsidP="009525F2">
      <w:pPr>
        <w:rPr>
          <w:rFonts w:ascii="Times New Roman" w:hAnsi="Times New Roman"/>
          <w:b/>
          <w:sz w:val="24"/>
          <w:szCs w:val="24"/>
        </w:rPr>
      </w:pPr>
      <w:r>
        <w:rPr>
          <w:rFonts w:ascii="Arial Black" w:hAnsi="Arial Black"/>
          <w:b/>
          <w:sz w:val="28"/>
          <w:szCs w:val="28"/>
        </w:rPr>
        <w:t xml:space="preserve">WA: NOOSE OVER BLACK FF NECK –  FELLOW RECRUIT - NO HOSTILE </w:t>
      </w:r>
      <w:r w:rsidRPr="00EC35DF">
        <w:rPr>
          <w:rFonts w:ascii="Times New Roman" w:hAnsi="Times New Roman"/>
          <w:b/>
          <w:sz w:val="24"/>
          <w:szCs w:val="24"/>
        </w:rPr>
        <w:t>WORK ENVIRONMENT OR FAILURE TO SUPERVISE</w:t>
      </w:r>
    </w:p>
    <w:p w14:paraId="72057F1A" w14:textId="77777777" w:rsidR="009525F2" w:rsidRPr="00EC35DF" w:rsidRDefault="009525F2" w:rsidP="009525F2">
      <w:pPr>
        <w:pStyle w:val="NoSpacing"/>
        <w:rPr>
          <w:rFonts w:ascii="Times New Roman" w:hAnsi="Times New Roman"/>
          <w:sz w:val="24"/>
          <w:szCs w:val="24"/>
        </w:rPr>
      </w:pPr>
      <w:r w:rsidRPr="00EC35DF">
        <w:rPr>
          <w:rFonts w:ascii="Times New Roman" w:hAnsi="Times New Roman"/>
          <w:sz w:val="24"/>
          <w:szCs w:val="24"/>
        </w:rPr>
        <w:lastRenderedPageBreak/>
        <w:t xml:space="preserve">On Nov. 4, 2024, in </w:t>
      </w:r>
      <w:r w:rsidRPr="00EC35DF">
        <w:rPr>
          <w:rFonts w:ascii="Times New Roman" w:hAnsi="Times New Roman"/>
          <w:sz w:val="24"/>
          <w:szCs w:val="24"/>
          <w:u w:val="single"/>
        </w:rPr>
        <w:t>Elijah Page v. Clark County Fire District 6, et al</w:t>
      </w:r>
      <w:r w:rsidRPr="00EC35DF">
        <w:rPr>
          <w:rFonts w:ascii="Times New Roman" w:hAnsi="Times New Roman"/>
          <w:sz w:val="24"/>
          <w:szCs w:val="24"/>
        </w:rPr>
        <w:t xml:space="preserve">., United States District Court Judge David G. Estudillo. U.S. District Court, Western District of Washington, granted summary judgment to the Fire Chief and others. The Court wrote: “The Court cannot objectively conclude Page's work environment could be perceived as abusive because of Erickson's onetime misconduct.  Page's hostile work environment claim fails as a matter of law. *** And the examples of horseplay provided by the various witnesses did not resemble Erickson's conduct toward Page. Accordingly, Page's negligent supervision claim fails as a matter of law.” </w:t>
      </w:r>
      <w:hyperlink r:id="rId1547" w:history="1">
        <w:r w:rsidRPr="00EC35DF">
          <w:rPr>
            <w:rStyle w:val="Hyperlink"/>
            <w:rFonts w:ascii="Times New Roman" w:hAnsi="Times New Roman"/>
            <w:sz w:val="24"/>
            <w:szCs w:val="24"/>
          </w:rPr>
          <w:t>https://casetext.com/case/page-v-clark-cnty-fire-dist-5</w:t>
        </w:r>
      </w:hyperlink>
    </w:p>
    <w:p w14:paraId="2E0AF572" w14:textId="77777777" w:rsidR="00EC35DF" w:rsidRPr="00EC35DF" w:rsidRDefault="00EC35DF" w:rsidP="00EC35DF">
      <w:pPr>
        <w:pStyle w:val="NoSpacing"/>
        <w:rPr>
          <w:rFonts w:ascii="Times New Roman" w:hAnsi="Times New Roman"/>
          <w:b/>
          <w:sz w:val="24"/>
          <w:szCs w:val="24"/>
        </w:rPr>
      </w:pPr>
    </w:p>
    <w:p w14:paraId="19D0F430" w14:textId="1D5A58BC" w:rsidR="00EC35DF" w:rsidRPr="00EC35DF" w:rsidRDefault="00EC35DF" w:rsidP="00EC35DF">
      <w:pPr>
        <w:pStyle w:val="NoSpacing"/>
        <w:rPr>
          <w:rFonts w:ascii="Times New Roman" w:hAnsi="Times New Roman"/>
          <w:b/>
          <w:bCs/>
          <w:sz w:val="24"/>
          <w:szCs w:val="24"/>
        </w:rPr>
      </w:pPr>
      <w:r w:rsidRPr="00EC35DF">
        <w:rPr>
          <w:rFonts w:ascii="Times New Roman" w:hAnsi="Times New Roman"/>
          <w:b/>
          <w:sz w:val="24"/>
          <w:szCs w:val="24"/>
        </w:rPr>
        <w:t>Legal Lesson Learned: Stupid act</w:t>
      </w:r>
      <w:r w:rsidRPr="00EC35DF">
        <w:rPr>
          <w:rFonts w:ascii="Times New Roman" w:hAnsi="Times New Roman"/>
          <w:b/>
          <w:bCs/>
          <w:sz w:val="24"/>
          <w:szCs w:val="24"/>
        </w:rPr>
        <w:t xml:space="preserve"> by a fellow recruit</w:t>
      </w:r>
      <w:r w:rsidRPr="00EC35DF">
        <w:rPr>
          <w:rFonts w:ascii="Times New Roman" w:hAnsi="Times New Roman"/>
          <w:b/>
          <w:sz w:val="24"/>
          <w:szCs w:val="24"/>
        </w:rPr>
        <w:t xml:space="preserve">; not basis for lawsuit against the fire department or its officers. </w:t>
      </w:r>
    </w:p>
    <w:p w14:paraId="00349DF9" w14:textId="77777777" w:rsidR="00EC35DF" w:rsidRPr="00EC35DF" w:rsidRDefault="00EC35DF" w:rsidP="00EC35DF">
      <w:pPr>
        <w:pStyle w:val="NoSpacing"/>
        <w:rPr>
          <w:rFonts w:ascii="Times New Roman" w:hAnsi="Times New Roman"/>
          <w:sz w:val="24"/>
          <w:szCs w:val="24"/>
        </w:rPr>
      </w:pPr>
    </w:p>
    <w:p w14:paraId="44C28054" w14:textId="77777777" w:rsidR="00AE05CE" w:rsidRDefault="00AE05CE" w:rsidP="00AE05CE">
      <w:pPr>
        <w:rPr>
          <w:rFonts w:ascii="Arial Black" w:hAnsi="Arial Black"/>
          <w:b/>
          <w:sz w:val="24"/>
          <w:szCs w:val="24"/>
        </w:rPr>
      </w:pPr>
      <w:r>
        <w:rPr>
          <w:rFonts w:ascii="Arial Black" w:hAnsi="Arial Black"/>
          <w:b/>
          <w:sz w:val="24"/>
          <w:szCs w:val="24"/>
        </w:rPr>
        <w:t>8-65</w:t>
      </w:r>
    </w:p>
    <w:p w14:paraId="036842BE" w14:textId="2003BC0D" w:rsidR="00AE05CE" w:rsidRPr="00B93F18" w:rsidRDefault="00AE05CE" w:rsidP="00AE05CE">
      <w:pPr>
        <w:pStyle w:val="NoSpacing"/>
        <w:rPr>
          <w:rFonts w:ascii="Arial Black" w:hAnsi="Arial Black"/>
          <w:b/>
          <w:sz w:val="28"/>
          <w:szCs w:val="28"/>
        </w:rPr>
      </w:pPr>
      <w:r>
        <w:rPr>
          <w:rFonts w:ascii="Arial Black" w:hAnsi="Arial Black"/>
          <w:b/>
          <w:sz w:val="28"/>
          <w:szCs w:val="28"/>
        </w:rPr>
        <w:t xml:space="preserve">NJ: COVID-19 TRAINING – DEPUTY CHIEF MOCKED FF - ASIAN– PROMTLY INVESTIGATED - DC RETIRED - NO CASE </w:t>
      </w:r>
    </w:p>
    <w:p w14:paraId="51D533FC" w14:textId="77777777" w:rsidR="00AE05CE" w:rsidRDefault="00AE05CE" w:rsidP="00AE05CE">
      <w:pPr>
        <w:pStyle w:val="NoSpacing"/>
        <w:ind w:firstLine="720"/>
        <w:rPr>
          <w:b/>
        </w:rPr>
      </w:pPr>
    </w:p>
    <w:p w14:paraId="57217994" w14:textId="7B3836E4" w:rsidR="004529D8" w:rsidRPr="005F76D4" w:rsidRDefault="00AE05CE" w:rsidP="00AE05CE">
      <w:pPr>
        <w:rPr>
          <w:rFonts w:ascii="Times New Roman" w:hAnsi="Times New Roman"/>
          <w:b/>
          <w:sz w:val="24"/>
          <w:szCs w:val="24"/>
        </w:rPr>
      </w:pPr>
      <w:r w:rsidRPr="005F76D4">
        <w:rPr>
          <w:rFonts w:ascii="Times New Roman" w:hAnsi="Times New Roman"/>
          <w:sz w:val="24"/>
          <w:szCs w:val="24"/>
        </w:rPr>
        <w:t xml:space="preserve">On Nov. 1, 2024, in </w:t>
      </w:r>
      <w:r w:rsidRPr="005F76D4">
        <w:rPr>
          <w:rFonts w:ascii="Times New Roman" w:hAnsi="Times New Roman"/>
          <w:sz w:val="24"/>
          <w:szCs w:val="24"/>
          <w:u w:val="single"/>
        </w:rPr>
        <w:t>Timothy Burkhard v. City of Plainfield, et al</w:t>
      </w:r>
      <w:r w:rsidRPr="005F76D4">
        <w:rPr>
          <w:rFonts w:ascii="Times New Roman" w:hAnsi="Times New Roman"/>
          <w:sz w:val="24"/>
          <w:szCs w:val="24"/>
        </w:rPr>
        <w:t>., Superior Court of New Jersey, Appellate Division, the Court held (3 to 0; unpublished decision) that the trial court properly granted summary judgment to the defense.  The Court wrote: “Importantly, the record clearly shows plaintiff was not subjected to discrimination before or after the COVID-19 training incident.  [P]</w:t>
      </w:r>
      <w:proofErr w:type="spellStart"/>
      <w:r w:rsidRPr="005F76D4">
        <w:rPr>
          <w:rFonts w:ascii="Times New Roman" w:hAnsi="Times New Roman"/>
          <w:sz w:val="24"/>
          <w:szCs w:val="24"/>
        </w:rPr>
        <w:t>laintiff</w:t>
      </w:r>
      <w:proofErr w:type="spellEnd"/>
      <w:r w:rsidRPr="005F76D4">
        <w:rPr>
          <w:rFonts w:ascii="Times New Roman" w:hAnsi="Times New Roman"/>
          <w:sz w:val="24"/>
          <w:szCs w:val="24"/>
        </w:rPr>
        <w:t xml:space="preserve"> did not suffer any tangible change in his position, duties, or compensation. Indeed, the record shows the fire department supported him. In these circumstances, we do not believe that the failure to deliver the written reprimand renders defendant's overall response ineffective for purposes of the affirmative defense.”  </w:t>
      </w:r>
      <w:hyperlink r:id="rId1548" w:history="1">
        <w:r w:rsidRPr="005F76D4">
          <w:rPr>
            <w:rStyle w:val="Hyperlink"/>
            <w:rFonts w:ascii="Times New Roman" w:hAnsi="Times New Roman"/>
            <w:sz w:val="24"/>
            <w:szCs w:val="24"/>
          </w:rPr>
          <w:t>https://www.njcourts.gov/system/files/court-opinions/2024/a3173-22.pdf</w:t>
        </w:r>
      </w:hyperlink>
    </w:p>
    <w:p w14:paraId="5940EA97" w14:textId="077F5B18" w:rsidR="005F76D4" w:rsidRPr="005F76D4" w:rsidRDefault="005F76D4" w:rsidP="005F76D4">
      <w:pPr>
        <w:pStyle w:val="NoSpacing"/>
        <w:rPr>
          <w:rFonts w:ascii="Times New Roman" w:hAnsi="Times New Roman"/>
          <w:b/>
          <w:sz w:val="24"/>
          <w:szCs w:val="24"/>
        </w:rPr>
      </w:pPr>
      <w:r w:rsidRPr="005F76D4">
        <w:rPr>
          <w:rFonts w:ascii="Times New Roman" w:hAnsi="Times New Roman"/>
          <w:b/>
          <w:sz w:val="24"/>
          <w:szCs w:val="24"/>
        </w:rPr>
        <w:t xml:space="preserve">Legal Lesson Learned: The incident was promptly investigated, and </w:t>
      </w:r>
      <w:r w:rsidR="009652EC">
        <w:rPr>
          <w:rFonts w:ascii="Times New Roman" w:hAnsi="Times New Roman"/>
          <w:b/>
          <w:sz w:val="24"/>
          <w:szCs w:val="24"/>
        </w:rPr>
        <w:t xml:space="preserve">the </w:t>
      </w:r>
      <w:r w:rsidRPr="005F76D4">
        <w:rPr>
          <w:rFonts w:ascii="Times New Roman" w:hAnsi="Times New Roman"/>
          <w:b/>
          <w:sz w:val="24"/>
          <w:szCs w:val="24"/>
        </w:rPr>
        <w:t>plaintiff did not suffer any tangible change in his position, duties, or compensation.</w:t>
      </w:r>
    </w:p>
    <w:p w14:paraId="2A747E45" w14:textId="77777777" w:rsidR="005F76D4" w:rsidRDefault="005F76D4" w:rsidP="005F76D4">
      <w:pPr>
        <w:pStyle w:val="NoSpacing"/>
        <w:ind w:firstLine="720"/>
        <w:rPr>
          <w:bCs/>
        </w:rPr>
      </w:pPr>
    </w:p>
    <w:p w14:paraId="10341B9B" w14:textId="77777777" w:rsidR="004529D8" w:rsidRDefault="004529D8" w:rsidP="00BC70A3">
      <w:pPr>
        <w:rPr>
          <w:rFonts w:ascii="Arial Black" w:hAnsi="Arial Black"/>
          <w:b/>
          <w:sz w:val="24"/>
          <w:szCs w:val="24"/>
        </w:rPr>
      </w:pPr>
    </w:p>
    <w:p w14:paraId="0E57D29B" w14:textId="3A41FA82" w:rsidR="00742F52" w:rsidRDefault="00742F52" w:rsidP="00BC70A3">
      <w:pPr>
        <w:rPr>
          <w:rFonts w:ascii="Arial Black" w:hAnsi="Arial Black"/>
          <w:b/>
          <w:sz w:val="24"/>
          <w:szCs w:val="24"/>
        </w:rPr>
      </w:pPr>
      <w:r>
        <w:rPr>
          <w:rFonts w:ascii="Arial Black" w:hAnsi="Arial Black"/>
          <w:b/>
          <w:sz w:val="24"/>
          <w:szCs w:val="24"/>
        </w:rPr>
        <w:t>8-64</w:t>
      </w:r>
    </w:p>
    <w:p w14:paraId="032C9F82" w14:textId="77777777" w:rsidR="00742F52" w:rsidRPr="00E33095" w:rsidRDefault="00742F52" w:rsidP="00742F52">
      <w:pPr>
        <w:rPr>
          <w:rFonts w:ascii="Times New Roman" w:hAnsi="Times New Roman"/>
          <w:b/>
          <w:bCs/>
          <w:sz w:val="24"/>
          <w:szCs w:val="24"/>
        </w:rPr>
      </w:pPr>
      <w:r w:rsidRPr="00E33095">
        <w:rPr>
          <w:rFonts w:ascii="Times New Roman" w:hAnsi="Times New Roman"/>
          <w:b/>
          <w:bCs/>
          <w:sz w:val="24"/>
          <w:szCs w:val="24"/>
        </w:rPr>
        <w:t>IL: CHICAFO FF – FACEBOOK POSTS RACIST – CITIZEN COMPLAINTS - TERMINATION UPHELD</w:t>
      </w:r>
    </w:p>
    <w:p w14:paraId="61EFEA82" w14:textId="77777777" w:rsidR="00742F52" w:rsidRPr="00E33095" w:rsidRDefault="00742F52" w:rsidP="00742F52">
      <w:pPr>
        <w:pStyle w:val="NoSpacing"/>
        <w:rPr>
          <w:rFonts w:ascii="Times New Roman" w:hAnsi="Times New Roman"/>
          <w:sz w:val="24"/>
          <w:szCs w:val="24"/>
        </w:rPr>
      </w:pPr>
      <w:r w:rsidRPr="00E33095">
        <w:rPr>
          <w:rFonts w:ascii="Times New Roman" w:hAnsi="Times New Roman"/>
          <w:sz w:val="24"/>
          <w:szCs w:val="24"/>
        </w:rPr>
        <w:t xml:space="preserve">On Oct. 7, 2024, </w:t>
      </w:r>
      <w:r w:rsidRPr="00E33095">
        <w:rPr>
          <w:rFonts w:ascii="Times New Roman" w:hAnsi="Times New Roman"/>
          <w:sz w:val="24"/>
          <w:szCs w:val="24"/>
          <w:u w:val="single"/>
        </w:rPr>
        <w:t>in Sam Inendino v. Annette Nancy-Holt, Brian Casey, and the City of Chicago</w:t>
      </w:r>
      <w:r w:rsidRPr="00E33095">
        <w:rPr>
          <w:rFonts w:ascii="Times New Roman" w:hAnsi="Times New Roman"/>
          <w:sz w:val="24"/>
          <w:szCs w:val="24"/>
        </w:rPr>
        <w:t xml:space="preserve">, U.S. District Court Judge Matthew F. Kennelly, U.S. District Court for the Northern District of Illinois, held: “Sam Inendino alleges that Annette Nance-Holt, Brian Casey, and the </w:t>
      </w:r>
      <w:proofErr w:type="gramStart"/>
      <w:r w:rsidRPr="00E33095">
        <w:rPr>
          <w:rFonts w:ascii="Times New Roman" w:hAnsi="Times New Roman"/>
          <w:sz w:val="24"/>
          <w:szCs w:val="24"/>
        </w:rPr>
        <w:t>City</w:t>
      </w:r>
      <w:proofErr w:type="gramEnd"/>
      <w:r w:rsidRPr="00E33095">
        <w:rPr>
          <w:rFonts w:ascii="Times New Roman" w:hAnsi="Times New Roman"/>
          <w:sz w:val="24"/>
          <w:szCs w:val="24"/>
        </w:rPr>
        <w:t xml:space="preserve"> of</w:t>
      </w:r>
    </w:p>
    <w:p w14:paraId="4C04647B" w14:textId="77777777" w:rsidR="00742F52" w:rsidRPr="00E33095" w:rsidRDefault="00742F52" w:rsidP="00742F52">
      <w:pPr>
        <w:pStyle w:val="NoSpacing"/>
        <w:rPr>
          <w:rFonts w:ascii="Times New Roman" w:hAnsi="Times New Roman"/>
          <w:sz w:val="24"/>
          <w:szCs w:val="24"/>
        </w:rPr>
      </w:pPr>
      <w:r w:rsidRPr="00E33095">
        <w:rPr>
          <w:rFonts w:ascii="Times New Roman" w:hAnsi="Times New Roman"/>
          <w:sz w:val="24"/>
          <w:szCs w:val="24"/>
        </w:rPr>
        <w:t>Chicago violated his First Amendment rights when he was terminated from the Chicago</w:t>
      </w:r>
    </w:p>
    <w:p w14:paraId="5F8F98B3" w14:textId="77777777" w:rsidR="00742F52" w:rsidRPr="00E33095" w:rsidRDefault="00742F52" w:rsidP="00742F52">
      <w:pPr>
        <w:pStyle w:val="NoSpacing"/>
        <w:rPr>
          <w:rFonts w:ascii="Times New Roman" w:hAnsi="Times New Roman"/>
          <w:sz w:val="24"/>
          <w:szCs w:val="24"/>
        </w:rPr>
      </w:pPr>
      <w:r w:rsidRPr="00E33095">
        <w:rPr>
          <w:rFonts w:ascii="Times New Roman" w:hAnsi="Times New Roman"/>
          <w:sz w:val="24"/>
          <w:szCs w:val="24"/>
        </w:rPr>
        <w:t xml:space="preserve">Fire Department (CFD) for offensive public statements he made on Facebook. The parties have filed cross-motions for summary judgment. For the following reasons, the Court grants summary judgment in favor of defendants Nance-Holt, Casey, and the City of Chicago.” </w:t>
      </w:r>
    </w:p>
    <w:p w14:paraId="22E1F8F3" w14:textId="77777777" w:rsidR="00742F52" w:rsidRPr="00E33095" w:rsidRDefault="00742F52" w:rsidP="00742F52">
      <w:pPr>
        <w:pStyle w:val="NoSpacing"/>
        <w:rPr>
          <w:rFonts w:ascii="Times New Roman" w:hAnsi="Times New Roman"/>
          <w:sz w:val="24"/>
          <w:szCs w:val="24"/>
        </w:rPr>
      </w:pPr>
      <w:hyperlink r:id="rId1549" w:history="1">
        <w:r w:rsidRPr="00E33095">
          <w:rPr>
            <w:rStyle w:val="Hyperlink"/>
            <w:rFonts w:ascii="Times New Roman" w:hAnsi="Times New Roman"/>
            <w:sz w:val="24"/>
            <w:szCs w:val="24"/>
          </w:rPr>
          <w:t>https://cases.justia.com/federal/district-courts/illinois/ilndce/1:2022cv04982/419212/136/0.pdf?ts=1728381206</w:t>
        </w:r>
      </w:hyperlink>
      <w:r w:rsidRPr="00E33095">
        <w:rPr>
          <w:rFonts w:ascii="Times New Roman" w:hAnsi="Times New Roman"/>
          <w:sz w:val="24"/>
          <w:szCs w:val="24"/>
        </w:rPr>
        <w:t xml:space="preserve"> </w:t>
      </w:r>
    </w:p>
    <w:p w14:paraId="359729D5" w14:textId="77777777" w:rsidR="00742F52" w:rsidRPr="00E33095" w:rsidRDefault="00742F52" w:rsidP="00BC70A3">
      <w:pPr>
        <w:rPr>
          <w:rFonts w:ascii="Times New Roman" w:hAnsi="Times New Roman"/>
          <w:b/>
          <w:sz w:val="24"/>
          <w:szCs w:val="24"/>
        </w:rPr>
      </w:pPr>
    </w:p>
    <w:p w14:paraId="526D0989" w14:textId="77777777" w:rsidR="00E33095" w:rsidRPr="00E33095" w:rsidRDefault="00E33095" w:rsidP="00E33095">
      <w:pPr>
        <w:pStyle w:val="NoSpacing"/>
        <w:rPr>
          <w:rFonts w:ascii="Times New Roman" w:hAnsi="Times New Roman"/>
          <w:b/>
          <w:bCs/>
          <w:sz w:val="24"/>
          <w:szCs w:val="24"/>
        </w:rPr>
      </w:pPr>
      <w:r w:rsidRPr="00E33095">
        <w:rPr>
          <w:rFonts w:ascii="Times New Roman" w:hAnsi="Times New Roman"/>
          <w:b/>
          <w:sz w:val="24"/>
          <w:szCs w:val="24"/>
        </w:rPr>
        <w:t xml:space="preserve">Legal Lesson Learned: Race-based comments on Facebook or other social media can result in termination. </w:t>
      </w:r>
    </w:p>
    <w:p w14:paraId="61CEB7C6" w14:textId="77777777" w:rsidR="00E33095" w:rsidRPr="00E33095" w:rsidRDefault="00E33095" w:rsidP="00BC70A3">
      <w:pPr>
        <w:rPr>
          <w:rFonts w:ascii="Times New Roman" w:hAnsi="Times New Roman"/>
          <w:b/>
          <w:sz w:val="24"/>
          <w:szCs w:val="24"/>
        </w:rPr>
      </w:pPr>
    </w:p>
    <w:p w14:paraId="1419038C" w14:textId="77777777" w:rsidR="00742F52" w:rsidRDefault="00742F52" w:rsidP="00BC70A3">
      <w:pPr>
        <w:rPr>
          <w:rFonts w:ascii="Arial Black" w:hAnsi="Arial Black"/>
          <w:b/>
          <w:sz w:val="24"/>
          <w:szCs w:val="24"/>
        </w:rPr>
      </w:pPr>
    </w:p>
    <w:p w14:paraId="2BEFB9D0" w14:textId="5A373C81" w:rsidR="005904B5" w:rsidRDefault="005904B5" w:rsidP="00BC70A3">
      <w:pPr>
        <w:rPr>
          <w:rFonts w:ascii="Arial Black" w:hAnsi="Arial Black"/>
          <w:b/>
          <w:sz w:val="24"/>
          <w:szCs w:val="24"/>
        </w:rPr>
      </w:pPr>
      <w:r>
        <w:rPr>
          <w:rFonts w:ascii="Arial Black" w:hAnsi="Arial Black"/>
          <w:b/>
          <w:sz w:val="24"/>
          <w:szCs w:val="24"/>
        </w:rPr>
        <w:lastRenderedPageBreak/>
        <w:t>8-63</w:t>
      </w:r>
    </w:p>
    <w:p w14:paraId="76867384" w14:textId="77777777" w:rsidR="005E497B" w:rsidRDefault="005E497B" w:rsidP="005E497B">
      <w:pPr>
        <w:rPr>
          <w:rFonts w:ascii="Arial Black" w:hAnsi="Arial Black"/>
          <w:b/>
          <w:bCs/>
          <w:sz w:val="28"/>
        </w:rPr>
      </w:pPr>
      <w:r>
        <w:rPr>
          <w:rFonts w:ascii="Arial Black" w:hAnsi="Arial Black"/>
          <w:b/>
          <w:bCs/>
          <w:sz w:val="28"/>
        </w:rPr>
        <w:t>NY:  FDNY - CLASS ACTION APPROVED IN LAWSUIT BY 4,500 – 5,000 EMS -  55% NON-WHITE, 24% FEMALE</w:t>
      </w:r>
    </w:p>
    <w:p w14:paraId="1F0A741C" w14:textId="77777777" w:rsidR="005E497B" w:rsidRPr="005E497B" w:rsidRDefault="005E497B" w:rsidP="005E497B">
      <w:pPr>
        <w:pStyle w:val="NoSpacing"/>
        <w:rPr>
          <w:rFonts w:ascii="Times New Roman" w:hAnsi="Times New Roman"/>
          <w:sz w:val="24"/>
          <w:szCs w:val="24"/>
        </w:rPr>
      </w:pPr>
      <w:r w:rsidRPr="005E497B">
        <w:rPr>
          <w:rFonts w:ascii="Times New Roman" w:hAnsi="Times New Roman"/>
          <w:sz w:val="24"/>
          <w:szCs w:val="24"/>
        </w:rPr>
        <w:t xml:space="preserve">On September 24, 2024, in </w:t>
      </w:r>
      <w:r w:rsidRPr="005E497B">
        <w:rPr>
          <w:rFonts w:ascii="Times New Roman" w:hAnsi="Times New Roman"/>
          <w:sz w:val="24"/>
          <w:szCs w:val="24"/>
          <w:u w:val="single"/>
        </w:rPr>
        <w:t>Local 2507, Uniformed EMTs, Paramedics &amp; Fire Inspectors, et al. v. City of New York</w:t>
      </w:r>
      <w:r w:rsidRPr="005E497B">
        <w:rPr>
          <w:rFonts w:ascii="Times New Roman" w:hAnsi="Times New Roman"/>
          <w:sz w:val="24"/>
          <w:szCs w:val="24"/>
        </w:rPr>
        <w:t xml:space="preserve">, United States District Court Judge Analisa Torrres, U..S. District Court for the Southern District of New York, granted the plaintiffs’ motion for class certification and legal counsel for the class.  The lawsuit was filed in 2022, and pre-trial discovery has produced sufficient evidence for case to proceed as a class action.  The Court wrote: “Plaintiffs claim that the differences in compensation result from ‘the pronounced difference in demographics’ between EMS and Fire First Responders: While EMS First Responders are ‘at least 55% non-white and approximately 24% female,’ only ‘14% of Fire First Responders are non-white’ and ‘less than 1%’ are female. Id. ¶¶ 56, 99.”  </w:t>
      </w:r>
      <w:hyperlink r:id="rId1550" w:history="1">
        <w:r w:rsidRPr="005E497B">
          <w:rPr>
            <w:rStyle w:val="Hyperlink"/>
            <w:rFonts w:ascii="Times New Roman" w:hAnsi="Times New Roman"/>
            <w:sz w:val="24"/>
            <w:szCs w:val="24"/>
          </w:rPr>
          <w:t>https://local2507.com/wp-content/uploads/2024/09/Decision-on-Class-Action.pdf</w:t>
        </w:r>
      </w:hyperlink>
      <w:r w:rsidRPr="005E497B">
        <w:rPr>
          <w:rFonts w:ascii="Times New Roman" w:hAnsi="Times New Roman"/>
          <w:sz w:val="24"/>
          <w:szCs w:val="24"/>
        </w:rPr>
        <w:t xml:space="preserve"> </w:t>
      </w:r>
    </w:p>
    <w:p w14:paraId="07E017FE" w14:textId="77777777" w:rsidR="005E497B" w:rsidRDefault="005E497B" w:rsidP="005E497B">
      <w:pPr>
        <w:rPr>
          <w:rFonts w:ascii="Times New Roman" w:hAnsi="Times New Roman"/>
          <w:sz w:val="24"/>
          <w:szCs w:val="24"/>
        </w:rPr>
      </w:pPr>
    </w:p>
    <w:p w14:paraId="1661E87F" w14:textId="65EE73DF" w:rsidR="005E497B" w:rsidRPr="005E497B" w:rsidRDefault="005E497B" w:rsidP="005E497B">
      <w:pPr>
        <w:rPr>
          <w:rFonts w:ascii="Times New Roman" w:hAnsi="Times New Roman"/>
          <w:sz w:val="24"/>
          <w:szCs w:val="24"/>
        </w:rPr>
      </w:pPr>
      <w:r w:rsidRPr="005E497B">
        <w:rPr>
          <w:rFonts w:ascii="Times New Roman" w:hAnsi="Times New Roman"/>
          <w:sz w:val="24"/>
          <w:szCs w:val="24"/>
        </w:rPr>
        <w:t>THE COURT HELD:</w:t>
      </w:r>
    </w:p>
    <w:p w14:paraId="4521021D" w14:textId="77777777" w:rsidR="005E497B" w:rsidRPr="005E497B" w:rsidRDefault="005E497B" w:rsidP="005E497B">
      <w:pPr>
        <w:pStyle w:val="NoSpacing"/>
        <w:ind w:firstLine="720"/>
        <w:rPr>
          <w:rFonts w:ascii="Times New Roman" w:hAnsi="Times New Roman"/>
          <w:sz w:val="24"/>
          <w:szCs w:val="24"/>
        </w:rPr>
      </w:pPr>
      <w:r w:rsidRPr="005E497B">
        <w:rPr>
          <w:rFonts w:ascii="Times New Roman" w:hAnsi="Times New Roman"/>
          <w:sz w:val="24"/>
          <w:szCs w:val="24"/>
        </w:rPr>
        <w:t>“In support of their disparate impact claims, Plaintiffs offer statistical evidence of</w:t>
      </w:r>
    </w:p>
    <w:p w14:paraId="1E5AF24C" w14:textId="77777777" w:rsidR="005E497B" w:rsidRPr="005E497B" w:rsidRDefault="005E497B" w:rsidP="005E497B">
      <w:pPr>
        <w:pStyle w:val="NoSpacing"/>
        <w:ind w:left="720"/>
        <w:rPr>
          <w:rFonts w:ascii="Times New Roman" w:hAnsi="Times New Roman"/>
          <w:sz w:val="24"/>
          <w:szCs w:val="24"/>
        </w:rPr>
      </w:pPr>
      <w:r w:rsidRPr="005E497B">
        <w:rPr>
          <w:rFonts w:ascii="Times New Roman" w:hAnsi="Times New Roman"/>
          <w:sz w:val="24"/>
          <w:szCs w:val="24"/>
        </w:rPr>
        <w:t xml:space="preserve">racial, sex/gender, and compensation disparities among EMS and Fire First Responders. See Landis Report at 3. The </w:t>
      </w:r>
      <w:proofErr w:type="gramStart"/>
      <w:r w:rsidRPr="005E497B">
        <w:rPr>
          <w:rFonts w:ascii="Times New Roman" w:hAnsi="Times New Roman"/>
          <w:sz w:val="24"/>
          <w:szCs w:val="24"/>
        </w:rPr>
        <w:t>City</w:t>
      </w:r>
      <w:proofErr w:type="gramEnd"/>
      <w:r w:rsidRPr="005E497B">
        <w:rPr>
          <w:rFonts w:ascii="Times New Roman" w:hAnsi="Times New Roman"/>
          <w:sz w:val="24"/>
          <w:szCs w:val="24"/>
        </w:rPr>
        <w:t xml:space="preserve"> does not dispute </w:t>
      </w:r>
      <w:proofErr w:type="gramStart"/>
      <w:r w:rsidRPr="005E497B">
        <w:rPr>
          <w:rFonts w:ascii="Times New Roman" w:hAnsi="Times New Roman"/>
          <w:sz w:val="24"/>
          <w:szCs w:val="24"/>
        </w:rPr>
        <w:t>the statistical</w:t>
      </w:r>
      <w:proofErr w:type="gramEnd"/>
      <w:r w:rsidRPr="005E497B">
        <w:rPr>
          <w:rFonts w:ascii="Times New Roman" w:hAnsi="Times New Roman"/>
          <w:sz w:val="24"/>
          <w:szCs w:val="24"/>
        </w:rPr>
        <w:t xml:space="preserve"> evidence.</w:t>
      </w:r>
    </w:p>
    <w:p w14:paraId="220E0655" w14:textId="77777777" w:rsidR="005E497B" w:rsidRPr="005E497B" w:rsidRDefault="005E497B" w:rsidP="005E497B">
      <w:pPr>
        <w:pStyle w:val="NoSpacing"/>
        <w:ind w:left="720"/>
        <w:rPr>
          <w:rFonts w:ascii="Times New Roman" w:hAnsi="Times New Roman"/>
          <w:sz w:val="24"/>
          <w:szCs w:val="24"/>
        </w:rPr>
      </w:pPr>
    </w:p>
    <w:p w14:paraId="0F15B19D" w14:textId="77777777" w:rsidR="005E497B" w:rsidRPr="005E497B" w:rsidRDefault="005E497B" w:rsidP="005E497B">
      <w:pPr>
        <w:pStyle w:val="NoSpacing"/>
        <w:ind w:left="720"/>
        <w:rPr>
          <w:rFonts w:ascii="Times New Roman" w:hAnsi="Times New Roman"/>
          <w:sz w:val="24"/>
          <w:szCs w:val="24"/>
        </w:rPr>
      </w:pPr>
      <w:r w:rsidRPr="005E497B">
        <w:rPr>
          <w:rFonts w:ascii="Times New Roman" w:hAnsi="Times New Roman"/>
          <w:sz w:val="24"/>
          <w:szCs w:val="24"/>
        </w:rPr>
        <w:t>***</w:t>
      </w:r>
    </w:p>
    <w:p w14:paraId="4E4B997E" w14:textId="77777777" w:rsidR="005E497B" w:rsidRPr="005E497B" w:rsidRDefault="005E497B" w:rsidP="005E497B">
      <w:pPr>
        <w:pStyle w:val="NoSpacing"/>
        <w:ind w:firstLine="720"/>
        <w:rPr>
          <w:rFonts w:ascii="Times New Roman" w:hAnsi="Times New Roman"/>
          <w:sz w:val="24"/>
          <w:szCs w:val="24"/>
        </w:rPr>
      </w:pPr>
      <w:r w:rsidRPr="005E497B">
        <w:rPr>
          <w:rFonts w:ascii="Times New Roman" w:hAnsi="Times New Roman"/>
          <w:sz w:val="24"/>
          <w:szCs w:val="24"/>
        </w:rPr>
        <w:t>Plaintiffs have also offered substantial proof that the significantly less diverse Fire</w:t>
      </w:r>
    </w:p>
    <w:p w14:paraId="454C5F39" w14:textId="77777777" w:rsidR="005E497B" w:rsidRPr="005E497B" w:rsidRDefault="005E497B" w:rsidP="005E497B">
      <w:pPr>
        <w:pStyle w:val="NoSpacing"/>
        <w:ind w:left="720"/>
        <w:rPr>
          <w:rFonts w:ascii="Times New Roman" w:hAnsi="Times New Roman"/>
          <w:sz w:val="24"/>
          <w:szCs w:val="24"/>
        </w:rPr>
      </w:pPr>
      <w:proofErr w:type="gramStart"/>
      <w:r w:rsidRPr="005E497B">
        <w:rPr>
          <w:rFonts w:ascii="Times New Roman" w:hAnsi="Times New Roman"/>
          <w:sz w:val="24"/>
          <w:szCs w:val="24"/>
        </w:rPr>
        <w:t>First</w:t>
      </w:r>
      <w:proofErr w:type="gramEnd"/>
      <w:r w:rsidRPr="005E497B">
        <w:rPr>
          <w:rFonts w:ascii="Times New Roman" w:hAnsi="Times New Roman"/>
          <w:sz w:val="24"/>
          <w:szCs w:val="24"/>
        </w:rPr>
        <w:t xml:space="preserve"> Responders are the appropriate comparator to substantiate an inference of discriminatory intent.</w:t>
      </w:r>
    </w:p>
    <w:p w14:paraId="1DEDEF7E" w14:textId="77777777" w:rsidR="005E497B" w:rsidRPr="005E497B" w:rsidRDefault="005E497B" w:rsidP="005E497B">
      <w:pPr>
        <w:pStyle w:val="NoSpacing"/>
        <w:ind w:left="720"/>
        <w:rPr>
          <w:rFonts w:ascii="Times New Roman" w:hAnsi="Times New Roman"/>
          <w:sz w:val="24"/>
          <w:szCs w:val="24"/>
        </w:rPr>
      </w:pPr>
    </w:p>
    <w:p w14:paraId="4C0969D2" w14:textId="77777777" w:rsidR="005E497B" w:rsidRPr="005E497B" w:rsidRDefault="005E497B" w:rsidP="005E497B">
      <w:pPr>
        <w:pStyle w:val="NoSpacing"/>
        <w:ind w:left="720"/>
        <w:rPr>
          <w:rFonts w:ascii="Times New Roman" w:hAnsi="Times New Roman"/>
          <w:sz w:val="24"/>
          <w:szCs w:val="24"/>
        </w:rPr>
      </w:pPr>
      <w:r w:rsidRPr="005E497B">
        <w:rPr>
          <w:rFonts w:ascii="Times New Roman" w:hAnsi="Times New Roman"/>
          <w:sz w:val="24"/>
          <w:szCs w:val="24"/>
        </w:rPr>
        <w:t>***</w:t>
      </w:r>
    </w:p>
    <w:p w14:paraId="202D8E35" w14:textId="77777777" w:rsidR="005E497B" w:rsidRPr="005E497B" w:rsidRDefault="005E497B" w:rsidP="005E497B">
      <w:pPr>
        <w:pStyle w:val="NoSpacing"/>
        <w:rPr>
          <w:rFonts w:ascii="Times New Roman" w:hAnsi="Times New Roman"/>
          <w:sz w:val="24"/>
          <w:szCs w:val="24"/>
        </w:rPr>
      </w:pPr>
    </w:p>
    <w:p w14:paraId="0EB556D5" w14:textId="77777777" w:rsidR="005E497B" w:rsidRPr="005E497B" w:rsidRDefault="005E497B" w:rsidP="005E497B">
      <w:pPr>
        <w:pStyle w:val="NoSpacing"/>
        <w:ind w:firstLine="720"/>
        <w:rPr>
          <w:rFonts w:ascii="Times New Roman" w:hAnsi="Times New Roman"/>
          <w:sz w:val="24"/>
          <w:szCs w:val="24"/>
        </w:rPr>
      </w:pPr>
      <w:r w:rsidRPr="005E497B">
        <w:rPr>
          <w:rFonts w:ascii="Times New Roman" w:hAnsi="Times New Roman"/>
          <w:sz w:val="24"/>
          <w:szCs w:val="24"/>
        </w:rPr>
        <w:t xml:space="preserve">In short, Plaintiffs offer significant proof that the </w:t>
      </w:r>
      <w:proofErr w:type="gramStart"/>
      <w:r w:rsidRPr="005E497B">
        <w:rPr>
          <w:rFonts w:ascii="Times New Roman" w:hAnsi="Times New Roman"/>
          <w:sz w:val="24"/>
          <w:szCs w:val="24"/>
        </w:rPr>
        <w:t>City</w:t>
      </w:r>
      <w:proofErr w:type="gramEnd"/>
      <w:r w:rsidRPr="005E497B">
        <w:rPr>
          <w:rFonts w:ascii="Times New Roman" w:hAnsi="Times New Roman"/>
          <w:sz w:val="24"/>
          <w:szCs w:val="24"/>
        </w:rPr>
        <w:t xml:space="preserve"> has ‘operated under a general</w:t>
      </w:r>
    </w:p>
    <w:p w14:paraId="5DD0D91B" w14:textId="77777777" w:rsidR="005E497B" w:rsidRPr="005E497B" w:rsidRDefault="005E497B" w:rsidP="005E497B">
      <w:pPr>
        <w:pStyle w:val="NoSpacing"/>
        <w:ind w:left="720"/>
        <w:rPr>
          <w:rFonts w:ascii="Times New Roman" w:hAnsi="Times New Roman"/>
          <w:sz w:val="24"/>
          <w:szCs w:val="24"/>
        </w:rPr>
      </w:pPr>
      <w:r w:rsidRPr="005E497B">
        <w:rPr>
          <w:rFonts w:ascii="Times New Roman" w:hAnsi="Times New Roman"/>
          <w:sz w:val="24"/>
          <w:szCs w:val="24"/>
        </w:rPr>
        <w:t xml:space="preserve">policy of discrimination.’ Dukes, 564 U.S. at 353 [Wal-Mart Stores, Inc. v. Dukes, 564 U.S. 338 (2011); </w:t>
      </w:r>
      <w:hyperlink r:id="rId1551" w:history="1">
        <w:r w:rsidRPr="005E497B">
          <w:rPr>
            <w:rStyle w:val="Hyperlink"/>
            <w:rFonts w:ascii="Times New Roman" w:hAnsi="Times New Roman"/>
            <w:sz w:val="24"/>
            <w:szCs w:val="24"/>
          </w:rPr>
          <w:t>https://supreme.justia.com/cases/federal/us/564/338/</w:t>
        </w:r>
      </w:hyperlink>
      <w:r w:rsidRPr="005E497B">
        <w:rPr>
          <w:rFonts w:ascii="Times New Roman" w:hAnsi="Times New Roman"/>
          <w:sz w:val="24"/>
          <w:szCs w:val="24"/>
        </w:rPr>
        <w:t xml:space="preserve"> ].  That includes substantial (and in some cases unrebutted) evidence of common policies that disparately impact the Class and Subclasses; statistical analyses showing that the EMS First Responders are more diverse by race and sex/gender than Fire First Responders and are paid significantly less; and expert analyses showing that EMS and Fire First Responders perform similar jobs and that no job-relevant rationale explains the difference in compensation. Such ‘generalized proof,’ Moore, 306 F.3d at 1252, is more than ‘capable of generating common answers’ to issues ‘central’ to the parties’ dispute, Dukes, 564 U.S. at 350.”</w:t>
      </w:r>
    </w:p>
    <w:p w14:paraId="3025D5B3" w14:textId="77777777" w:rsidR="005E497B" w:rsidRPr="005E497B" w:rsidRDefault="005E497B" w:rsidP="005E497B">
      <w:pPr>
        <w:pStyle w:val="NoSpacing"/>
        <w:rPr>
          <w:rFonts w:ascii="Times New Roman" w:hAnsi="Times New Roman"/>
          <w:sz w:val="24"/>
          <w:szCs w:val="24"/>
        </w:rPr>
      </w:pPr>
    </w:p>
    <w:p w14:paraId="45F0841B" w14:textId="77777777" w:rsidR="005E497B" w:rsidRPr="005E497B" w:rsidRDefault="005E497B" w:rsidP="005E497B">
      <w:pPr>
        <w:pStyle w:val="NoSpacing"/>
        <w:rPr>
          <w:rFonts w:ascii="Times New Roman" w:hAnsi="Times New Roman"/>
          <w:b/>
          <w:bCs/>
          <w:sz w:val="24"/>
          <w:szCs w:val="24"/>
        </w:rPr>
      </w:pPr>
      <w:r w:rsidRPr="005E497B">
        <w:rPr>
          <w:rFonts w:ascii="Times New Roman" w:hAnsi="Times New Roman"/>
          <w:b/>
          <w:bCs/>
          <w:sz w:val="24"/>
          <w:szCs w:val="24"/>
        </w:rPr>
        <w:t xml:space="preserve">Legal Lesson Learned: This is a massive class action lawsuit that could result in significant </w:t>
      </w:r>
      <w:proofErr w:type="gramStart"/>
      <w:r w:rsidRPr="005E497B">
        <w:rPr>
          <w:rFonts w:ascii="Times New Roman" w:hAnsi="Times New Roman"/>
          <w:b/>
          <w:bCs/>
          <w:sz w:val="24"/>
          <w:szCs w:val="24"/>
        </w:rPr>
        <w:t>damages</w:t>
      </w:r>
      <w:proofErr w:type="gramEnd"/>
      <w:r w:rsidRPr="005E497B">
        <w:rPr>
          <w:rFonts w:ascii="Times New Roman" w:hAnsi="Times New Roman"/>
          <w:b/>
          <w:bCs/>
          <w:sz w:val="24"/>
          <w:szCs w:val="24"/>
        </w:rPr>
        <w:t xml:space="preserve">. </w:t>
      </w:r>
    </w:p>
    <w:p w14:paraId="3708E078" w14:textId="77777777" w:rsidR="005E497B" w:rsidRPr="005E32B9" w:rsidRDefault="005E497B" w:rsidP="005E497B">
      <w:pPr>
        <w:pStyle w:val="NoSpacing"/>
      </w:pPr>
    </w:p>
    <w:p w14:paraId="6A981B35" w14:textId="77777777" w:rsidR="005E497B" w:rsidRDefault="005E497B" w:rsidP="005E497B">
      <w:pPr>
        <w:pStyle w:val="NoSpacing"/>
      </w:pPr>
    </w:p>
    <w:p w14:paraId="181202DB" w14:textId="77777777" w:rsidR="005904B5" w:rsidRDefault="005904B5" w:rsidP="00BC70A3">
      <w:pPr>
        <w:rPr>
          <w:rFonts w:ascii="Arial Black" w:hAnsi="Arial Black"/>
          <w:b/>
          <w:sz w:val="24"/>
          <w:szCs w:val="24"/>
        </w:rPr>
      </w:pPr>
    </w:p>
    <w:p w14:paraId="001C0757" w14:textId="77777777" w:rsidR="005904B5" w:rsidRDefault="005904B5" w:rsidP="00BC70A3">
      <w:pPr>
        <w:rPr>
          <w:rFonts w:ascii="Arial Black" w:hAnsi="Arial Black"/>
          <w:b/>
          <w:sz w:val="24"/>
          <w:szCs w:val="24"/>
        </w:rPr>
      </w:pPr>
    </w:p>
    <w:p w14:paraId="2640CF54" w14:textId="26B81C22" w:rsidR="00907CBF" w:rsidRDefault="00907CBF" w:rsidP="00BC70A3">
      <w:pPr>
        <w:rPr>
          <w:rFonts w:ascii="Arial Black" w:hAnsi="Arial Black"/>
          <w:b/>
          <w:sz w:val="24"/>
          <w:szCs w:val="24"/>
        </w:rPr>
      </w:pPr>
      <w:r>
        <w:rPr>
          <w:rFonts w:ascii="Arial Black" w:hAnsi="Arial Black"/>
          <w:b/>
          <w:sz w:val="24"/>
          <w:szCs w:val="24"/>
        </w:rPr>
        <w:t>8-62</w:t>
      </w:r>
    </w:p>
    <w:p w14:paraId="36D587EF" w14:textId="77777777" w:rsidR="00907CBF" w:rsidRPr="00C022E6" w:rsidRDefault="00907CBF" w:rsidP="00907CBF">
      <w:pPr>
        <w:pStyle w:val="NoSpacing"/>
        <w:rPr>
          <w:rFonts w:ascii="Aptos Black" w:hAnsi="Aptos Black"/>
          <w:sz w:val="28"/>
        </w:rPr>
      </w:pPr>
      <w:r>
        <w:rPr>
          <w:rFonts w:ascii="Aptos Black" w:hAnsi="Aptos Black"/>
          <w:sz w:val="28"/>
        </w:rPr>
        <w:t xml:space="preserve">TN:  BLACK FF FIRED – FACEBOOK POST –  CIVIL SERVICE COMMISSION MUST COMPARE TO PRIOR DISCIPLINE WHITE FFs </w:t>
      </w:r>
    </w:p>
    <w:p w14:paraId="38CCAC86" w14:textId="77777777" w:rsidR="00907CBF" w:rsidRPr="00907CBF" w:rsidRDefault="00907CBF" w:rsidP="00907CBF">
      <w:pPr>
        <w:pStyle w:val="NoSpacing"/>
        <w:rPr>
          <w:rFonts w:ascii="Times New Roman" w:hAnsi="Times New Roman"/>
          <w:sz w:val="24"/>
          <w:szCs w:val="24"/>
        </w:rPr>
      </w:pPr>
    </w:p>
    <w:p w14:paraId="1F035C36" w14:textId="77777777" w:rsidR="00907CBF" w:rsidRPr="00907CBF" w:rsidRDefault="00907CBF" w:rsidP="00907CBF">
      <w:pPr>
        <w:pStyle w:val="NoSpacing"/>
        <w:rPr>
          <w:rFonts w:ascii="Times New Roman" w:hAnsi="Times New Roman"/>
          <w:sz w:val="24"/>
          <w:szCs w:val="24"/>
        </w:rPr>
      </w:pPr>
      <w:r w:rsidRPr="00907CBF">
        <w:rPr>
          <w:rFonts w:ascii="Times New Roman" w:hAnsi="Times New Roman"/>
          <w:sz w:val="24"/>
          <w:szCs w:val="24"/>
        </w:rPr>
        <w:lastRenderedPageBreak/>
        <w:t xml:space="preserve">On Aug. 29, 2024, in </w:t>
      </w:r>
      <w:proofErr w:type="spellStart"/>
      <w:r w:rsidRPr="00907CBF">
        <w:rPr>
          <w:rFonts w:ascii="Times New Roman" w:hAnsi="Times New Roman"/>
          <w:sz w:val="24"/>
          <w:szCs w:val="24"/>
          <w:u w:val="single"/>
        </w:rPr>
        <w:t>Taurick</w:t>
      </w:r>
      <w:proofErr w:type="spellEnd"/>
      <w:r w:rsidRPr="00907CBF">
        <w:rPr>
          <w:rFonts w:ascii="Times New Roman" w:hAnsi="Times New Roman"/>
          <w:sz w:val="24"/>
          <w:szCs w:val="24"/>
          <w:u w:val="single"/>
        </w:rPr>
        <w:t xml:space="preserve"> Boyd v. City of Memphis</w:t>
      </w:r>
      <w:r w:rsidRPr="00907CBF">
        <w:rPr>
          <w:rFonts w:ascii="Times New Roman" w:hAnsi="Times New Roman"/>
          <w:sz w:val="24"/>
          <w:szCs w:val="24"/>
        </w:rPr>
        <w:t xml:space="preserve">, the Court of Appeals of Tennessee held (5 to 0) that the Civil Service Commission must examine whether the discipline is not in line with three white firefighters for inappropriate Facebook posts.  The Court wrote: “We do not go so far as the trial court to definitively conclude that termination of Private Boyd’s employment was unwarranted. Rather, based on our determination that the Commissioner failed to consider all relevant requirements of MFD 103.01, we vacate its order and remand for reconsideration.” </w:t>
      </w:r>
      <w:hyperlink r:id="rId1552" w:history="1">
        <w:r w:rsidRPr="00907CBF">
          <w:rPr>
            <w:rStyle w:val="Hyperlink"/>
            <w:rFonts w:ascii="Times New Roman" w:hAnsi="Times New Roman"/>
            <w:sz w:val="24"/>
            <w:szCs w:val="24"/>
          </w:rPr>
          <w:t>https://www.tncourts.gov/sites/default/files/OpinionsPDFVersion/BoydTaurickOPN.pdf</w:t>
        </w:r>
      </w:hyperlink>
      <w:r w:rsidRPr="00907CBF">
        <w:rPr>
          <w:rFonts w:ascii="Times New Roman" w:hAnsi="Times New Roman"/>
          <w:sz w:val="24"/>
          <w:szCs w:val="24"/>
        </w:rPr>
        <w:t xml:space="preserve"> </w:t>
      </w:r>
    </w:p>
    <w:p w14:paraId="5EF53AB0" w14:textId="77777777" w:rsidR="00907CBF" w:rsidRPr="00907CBF" w:rsidRDefault="00907CBF" w:rsidP="00907CBF">
      <w:pPr>
        <w:pStyle w:val="NoSpacing"/>
        <w:rPr>
          <w:rFonts w:ascii="Times New Roman" w:hAnsi="Times New Roman"/>
          <w:sz w:val="24"/>
          <w:szCs w:val="24"/>
        </w:rPr>
      </w:pPr>
    </w:p>
    <w:p w14:paraId="00D95F30" w14:textId="77777777" w:rsidR="00907CBF" w:rsidRPr="00907CBF" w:rsidRDefault="00907CBF" w:rsidP="00907CBF">
      <w:pPr>
        <w:pStyle w:val="NoSpacing"/>
        <w:rPr>
          <w:rFonts w:ascii="Times New Roman" w:hAnsi="Times New Roman"/>
          <w:sz w:val="24"/>
          <w:szCs w:val="24"/>
        </w:rPr>
      </w:pPr>
      <w:r w:rsidRPr="00907CBF">
        <w:rPr>
          <w:rFonts w:ascii="Times New Roman" w:hAnsi="Times New Roman"/>
          <w:sz w:val="24"/>
          <w:szCs w:val="24"/>
        </w:rPr>
        <w:t>THE COURT HELD:</w:t>
      </w:r>
    </w:p>
    <w:p w14:paraId="2E256179" w14:textId="77777777" w:rsidR="00907CBF" w:rsidRPr="00907CBF" w:rsidRDefault="00907CBF" w:rsidP="00907CBF">
      <w:pPr>
        <w:pStyle w:val="NoSpacing"/>
        <w:rPr>
          <w:rFonts w:ascii="Times New Roman" w:hAnsi="Times New Roman"/>
          <w:sz w:val="24"/>
          <w:szCs w:val="24"/>
        </w:rPr>
      </w:pPr>
    </w:p>
    <w:p w14:paraId="6B1918CD" w14:textId="77777777" w:rsidR="00907CBF" w:rsidRPr="00907CBF" w:rsidRDefault="00907CBF" w:rsidP="00907CBF">
      <w:pPr>
        <w:pStyle w:val="NoSpacing"/>
        <w:ind w:left="720"/>
        <w:rPr>
          <w:rFonts w:ascii="Times New Roman" w:hAnsi="Times New Roman"/>
          <w:sz w:val="24"/>
          <w:szCs w:val="24"/>
        </w:rPr>
      </w:pPr>
      <w:r w:rsidRPr="00907CBF">
        <w:rPr>
          <w:rFonts w:ascii="Times New Roman" w:hAnsi="Times New Roman"/>
          <w:sz w:val="24"/>
          <w:szCs w:val="24"/>
        </w:rPr>
        <w:t xml:space="preserve">“In truth, each of these firefighters, Lieutenant Kramer, Lieutenant Tolliver, Private Luhrs, and Private Boyd posted photos, statements, or memes that were offensive and in clear violation of MFD’s policies. These postings caused uproar in the community and resulted in negative press against the MFD. Like Private Boyd, Lieutenant Kramer had numerous previous policy violations. Like Private Boyd, Lieutenant Tolliver’s offensive photo was published to Facebook by a third-party. Like Private Boyd, Lieutenant Kramer, Lieutenant Tolliver, and Private Luhrs cooperated in their respective investigations, acknowledged that their respective actions were inappropriate, and issued apologies. </w:t>
      </w:r>
      <w:proofErr w:type="gramStart"/>
      <w:r w:rsidRPr="00907CBF">
        <w:rPr>
          <w:rFonts w:ascii="Times New Roman" w:hAnsi="Times New Roman"/>
          <w:sz w:val="24"/>
          <w:szCs w:val="24"/>
        </w:rPr>
        <w:t>Yet,</w:t>
      </w:r>
      <w:proofErr w:type="gramEnd"/>
      <w:r w:rsidRPr="00907CBF">
        <w:rPr>
          <w:rFonts w:ascii="Times New Roman" w:hAnsi="Times New Roman"/>
          <w:sz w:val="24"/>
          <w:szCs w:val="24"/>
        </w:rPr>
        <w:t xml:space="preserve"> only Private Boyd’s employment was terminated.”</w:t>
      </w:r>
    </w:p>
    <w:p w14:paraId="3CD95E81" w14:textId="77777777" w:rsidR="00907CBF" w:rsidRPr="00907CBF" w:rsidRDefault="00907CBF" w:rsidP="00907CBF">
      <w:pPr>
        <w:pStyle w:val="NoSpacing"/>
        <w:ind w:left="720"/>
        <w:rPr>
          <w:rFonts w:ascii="Times New Roman" w:hAnsi="Times New Roman"/>
          <w:sz w:val="24"/>
          <w:szCs w:val="24"/>
        </w:rPr>
      </w:pPr>
    </w:p>
    <w:p w14:paraId="43AC0912" w14:textId="77777777" w:rsidR="00907CBF" w:rsidRPr="00907CBF" w:rsidRDefault="00907CBF" w:rsidP="00907CBF">
      <w:pPr>
        <w:pStyle w:val="NoSpacing"/>
        <w:rPr>
          <w:rFonts w:ascii="Times New Roman" w:hAnsi="Times New Roman"/>
          <w:sz w:val="24"/>
          <w:szCs w:val="24"/>
        </w:rPr>
      </w:pPr>
    </w:p>
    <w:p w14:paraId="39E4CCBC" w14:textId="77777777" w:rsidR="00907CBF" w:rsidRPr="00907CBF" w:rsidRDefault="00907CBF" w:rsidP="00907CBF">
      <w:pPr>
        <w:pStyle w:val="NoSpacing"/>
        <w:rPr>
          <w:rFonts w:ascii="Times New Roman" w:hAnsi="Times New Roman"/>
          <w:b/>
          <w:bCs/>
          <w:sz w:val="24"/>
          <w:szCs w:val="24"/>
        </w:rPr>
      </w:pPr>
      <w:r w:rsidRPr="00907CBF">
        <w:rPr>
          <w:rFonts w:ascii="Times New Roman" w:hAnsi="Times New Roman"/>
          <w:b/>
          <w:bCs/>
          <w:sz w:val="24"/>
          <w:szCs w:val="24"/>
        </w:rPr>
        <w:t xml:space="preserve">Legal Lesson Learned: Facebook and other social media posts can result in discipline,  but the level of discipline must </w:t>
      </w:r>
      <w:proofErr w:type="gramStart"/>
      <w:r w:rsidRPr="00907CBF">
        <w:rPr>
          <w:rFonts w:ascii="Times New Roman" w:hAnsi="Times New Roman"/>
          <w:b/>
          <w:bCs/>
          <w:sz w:val="24"/>
          <w:szCs w:val="24"/>
        </w:rPr>
        <w:t>appropriate</w:t>
      </w:r>
      <w:proofErr w:type="gramEnd"/>
      <w:r w:rsidRPr="00907CBF">
        <w:rPr>
          <w:rFonts w:ascii="Times New Roman" w:hAnsi="Times New Roman"/>
          <w:b/>
          <w:bCs/>
          <w:sz w:val="24"/>
          <w:szCs w:val="24"/>
        </w:rPr>
        <w:t xml:space="preserve"> in comparison </w:t>
      </w:r>
      <w:proofErr w:type="gramStart"/>
      <w:r w:rsidRPr="00907CBF">
        <w:rPr>
          <w:rFonts w:ascii="Times New Roman" w:hAnsi="Times New Roman"/>
          <w:b/>
          <w:bCs/>
          <w:sz w:val="24"/>
          <w:szCs w:val="24"/>
        </w:rPr>
        <w:t>of</w:t>
      </w:r>
      <w:proofErr w:type="gramEnd"/>
      <w:r w:rsidRPr="00907CBF">
        <w:rPr>
          <w:rFonts w:ascii="Times New Roman" w:hAnsi="Times New Roman"/>
          <w:b/>
          <w:bCs/>
          <w:sz w:val="24"/>
          <w:szCs w:val="24"/>
        </w:rPr>
        <w:t xml:space="preserve"> others with similar violations. </w:t>
      </w:r>
    </w:p>
    <w:p w14:paraId="5ABC4F06" w14:textId="77777777" w:rsidR="007B5945" w:rsidRDefault="007B5945" w:rsidP="00BC70A3">
      <w:pPr>
        <w:rPr>
          <w:rFonts w:ascii="Arial Black" w:hAnsi="Arial Black"/>
          <w:b/>
          <w:sz w:val="24"/>
          <w:szCs w:val="24"/>
        </w:rPr>
      </w:pPr>
    </w:p>
    <w:p w14:paraId="3227A9D0" w14:textId="63A6506E" w:rsidR="007B5945" w:rsidRDefault="00B22623" w:rsidP="00BC70A3">
      <w:pPr>
        <w:rPr>
          <w:rFonts w:ascii="Arial Black" w:hAnsi="Arial Black"/>
          <w:b/>
          <w:sz w:val="24"/>
          <w:szCs w:val="24"/>
        </w:rPr>
      </w:pPr>
      <w:r>
        <w:rPr>
          <w:rFonts w:ascii="Arial Black" w:hAnsi="Arial Black"/>
          <w:b/>
          <w:sz w:val="24"/>
          <w:szCs w:val="24"/>
        </w:rPr>
        <w:t>8-61</w:t>
      </w:r>
    </w:p>
    <w:p w14:paraId="58E85F9B" w14:textId="77777777" w:rsidR="00B22623" w:rsidRPr="002A36CD" w:rsidRDefault="00B22623" w:rsidP="00B22623">
      <w:pPr>
        <w:pStyle w:val="NoSpacing"/>
        <w:rPr>
          <w:rFonts w:ascii="Arial Black" w:hAnsi="Arial Black"/>
          <w:sz w:val="28"/>
        </w:rPr>
      </w:pPr>
      <w:r>
        <w:rPr>
          <w:rFonts w:ascii="Arial Black" w:hAnsi="Arial Black"/>
          <w:sz w:val="28"/>
        </w:rPr>
        <w:t xml:space="preserve">TX: FF (IRAQ ORIGIN) FIRED - THREATS CITY ANIMAL SERVICE OFFICER – HAD SIDE DOG RESCUE BUSINESS </w:t>
      </w:r>
    </w:p>
    <w:p w14:paraId="65A8A874" w14:textId="77777777" w:rsidR="00B22623" w:rsidRDefault="00B22623" w:rsidP="00B22623">
      <w:pPr>
        <w:pStyle w:val="NoSpacing"/>
        <w:rPr>
          <w:szCs w:val="24"/>
        </w:rPr>
      </w:pPr>
    </w:p>
    <w:p w14:paraId="1253609B" w14:textId="77777777" w:rsidR="00B22623" w:rsidRPr="00B22623" w:rsidRDefault="00B22623" w:rsidP="00B22623">
      <w:pPr>
        <w:pStyle w:val="NoSpacing"/>
        <w:rPr>
          <w:rFonts w:ascii="Times New Roman" w:hAnsi="Times New Roman"/>
          <w:sz w:val="24"/>
          <w:szCs w:val="24"/>
        </w:rPr>
      </w:pPr>
      <w:r w:rsidRPr="00B22623">
        <w:rPr>
          <w:rFonts w:ascii="Times New Roman" w:hAnsi="Times New Roman"/>
          <w:sz w:val="24"/>
          <w:szCs w:val="24"/>
        </w:rPr>
        <w:t xml:space="preserve">On Aug. 27, 2024, in </w:t>
      </w:r>
      <w:proofErr w:type="spellStart"/>
      <w:r w:rsidRPr="00B22623">
        <w:rPr>
          <w:rFonts w:ascii="Times New Roman" w:hAnsi="Times New Roman"/>
          <w:sz w:val="24"/>
          <w:szCs w:val="24"/>
          <w:u w:val="single"/>
        </w:rPr>
        <w:t>Safealdean</w:t>
      </w:r>
      <w:proofErr w:type="spellEnd"/>
      <w:r w:rsidRPr="00B22623">
        <w:rPr>
          <w:rFonts w:ascii="Times New Roman" w:hAnsi="Times New Roman"/>
          <w:sz w:val="24"/>
          <w:szCs w:val="24"/>
          <w:u w:val="single"/>
        </w:rPr>
        <w:t xml:space="preserve"> </w:t>
      </w:r>
      <w:proofErr w:type="spellStart"/>
      <w:r w:rsidRPr="00B22623">
        <w:rPr>
          <w:rFonts w:ascii="Times New Roman" w:hAnsi="Times New Roman"/>
          <w:sz w:val="24"/>
          <w:szCs w:val="24"/>
          <w:u w:val="single"/>
        </w:rPr>
        <w:t>Alusi</w:t>
      </w:r>
      <w:proofErr w:type="spellEnd"/>
      <w:r w:rsidRPr="00B22623">
        <w:rPr>
          <w:rFonts w:ascii="Times New Roman" w:hAnsi="Times New Roman"/>
          <w:sz w:val="24"/>
          <w:szCs w:val="24"/>
          <w:u w:val="single"/>
        </w:rPr>
        <w:t xml:space="preserve"> v. City of Fresno, Texas</w:t>
      </w:r>
      <w:r w:rsidRPr="00B22623">
        <w:rPr>
          <w:rFonts w:ascii="Times New Roman" w:hAnsi="Times New Roman"/>
          <w:sz w:val="24"/>
          <w:szCs w:val="24"/>
        </w:rPr>
        <w:t xml:space="preserve">, United States District Court Judge Sean D. Jordan, U.S. District Court for Eastern District of Texas, Sherman Division, affirmed the prior decision to grant summary judgement to the </w:t>
      </w:r>
      <w:proofErr w:type="gramStart"/>
      <w:r w:rsidRPr="00B22623">
        <w:rPr>
          <w:rFonts w:ascii="Times New Roman" w:hAnsi="Times New Roman"/>
          <w:sz w:val="24"/>
          <w:szCs w:val="24"/>
        </w:rPr>
        <w:t>City</w:t>
      </w:r>
      <w:proofErr w:type="gramEnd"/>
      <w:r w:rsidRPr="00B22623">
        <w:rPr>
          <w:rFonts w:ascii="Times New Roman" w:hAnsi="Times New Roman"/>
          <w:sz w:val="24"/>
          <w:szCs w:val="24"/>
        </w:rPr>
        <w:t xml:space="preserve">.  The Court wrote: “After working for the FFD for nearly two-and-a-half years, </w:t>
      </w:r>
      <w:proofErr w:type="spellStart"/>
      <w:r w:rsidRPr="00B22623">
        <w:rPr>
          <w:rFonts w:ascii="Times New Roman" w:hAnsi="Times New Roman"/>
          <w:sz w:val="24"/>
          <w:szCs w:val="24"/>
        </w:rPr>
        <w:t>Alusi</w:t>
      </w:r>
      <w:proofErr w:type="spellEnd"/>
      <w:r w:rsidRPr="00B22623">
        <w:rPr>
          <w:rFonts w:ascii="Times New Roman" w:hAnsi="Times New Roman"/>
          <w:sz w:val="24"/>
          <w:szCs w:val="24"/>
        </w:rPr>
        <w:t xml:space="preserve"> was terminated after the FFD discovered that he had engaged in off-duty misconduct while operating his dog rescue side-business-including by threatening a City of Temple Animal Services Officer - and that he had misrepresented his physical limitations and his inability to return to work. In </w:t>
      </w:r>
      <w:proofErr w:type="spellStart"/>
      <w:r w:rsidRPr="00B22623">
        <w:rPr>
          <w:rFonts w:ascii="Times New Roman" w:hAnsi="Times New Roman"/>
          <w:sz w:val="24"/>
          <w:szCs w:val="24"/>
        </w:rPr>
        <w:t>Alusi's</w:t>
      </w:r>
      <w:proofErr w:type="spellEnd"/>
      <w:r w:rsidRPr="00B22623">
        <w:rPr>
          <w:rFonts w:ascii="Times New Roman" w:hAnsi="Times New Roman"/>
          <w:sz w:val="24"/>
          <w:szCs w:val="24"/>
        </w:rPr>
        <w:t xml:space="preserve"> termination notice, FFD Chief Mark Piland noted a number of City of Frisco (the ‘City’) policies that </w:t>
      </w:r>
      <w:proofErr w:type="spellStart"/>
      <w:r w:rsidRPr="00B22623">
        <w:rPr>
          <w:rFonts w:ascii="Times New Roman" w:hAnsi="Times New Roman"/>
          <w:sz w:val="24"/>
          <w:szCs w:val="24"/>
        </w:rPr>
        <w:t>Alusi</w:t>
      </w:r>
      <w:proofErr w:type="spellEnd"/>
      <w:r w:rsidRPr="00B22623">
        <w:rPr>
          <w:rFonts w:ascii="Times New Roman" w:hAnsi="Times New Roman"/>
          <w:sz w:val="24"/>
          <w:szCs w:val="24"/>
        </w:rPr>
        <w:t xml:space="preserve"> violated, which boil down to (1) engaging in unethical and dishonest conduct unbecoming of a member of the FFD, (2) lying about physical capabilities while on restricted work duty, and (3) failing to cooperate and being dishonest during the investigation. *** Notwithstanding the fact that </w:t>
      </w:r>
      <w:proofErr w:type="spellStart"/>
      <w:r w:rsidRPr="00B22623">
        <w:rPr>
          <w:rFonts w:ascii="Times New Roman" w:hAnsi="Times New Roman"/>
          <w:sz w:val="24"/>
          <w:szCs w:val="24"/>
        </w:rPr>
        <w:t>Alusi's</w:t>
      </w:r>
      <w:proofErr w:type="spellEnd"/>
      <w:r w:rsidRPr="00B22623">
        <w:rPr>
          <w:rFonts w:ascii="Times New Roman" w:hAnsi="Times New Roman"/>
          <w:sz w:val="24"/>
          <w:szCs w:val="24"/>
        </w:rPr>
        <w:t xml:space="preserve"> colleagues knew he was Iraqi, none of the allegedly disparaging comments concerned his Iraqi national origin-or any national origin, for that matter.” </w:t>
      </w:r>
      <w:hyperlink r:id="rId1553" w:history="1">
        <w:r w:rsidRPr="00B22623">
          <w:rPr>
            <w:rStyle w:val="Hyperlink"/>
            <w:rFonts w:ascii="Times New Roman" w:hAnsi="Times New Roman"/>
            <w:sz w:val="24"/>
            <w:szCs w:val="24"/>
          </w:rPr>
          <w:t>https://cases.justia.com/federal/district-courts/texas/txedce/4:2022cv00397/214410/28/0.pdf?ts=1692978420</w:t>
        </w:r>
      </w:hyperlink>
      <w:r w:rsidRPr="00B22623">
        <w:rPr>
          <w:rFonts w:ascii="Times New Roman" w:hAnsi="Times New Roman"/>
          <w:sz w:val="24"/>
          <w:szCs w:val="24"/>
        </w:rPr>
        <w:t xml:space="preserve"> </w:t>
      </w:r>
    </w:p>
    <w:p w14:paraId="23ADD474" w14:textId="77777777" w:rsidR="00B22623" w:rsidRPr="00B22623" w:rsidRDefault="00B22623" w:rsidP="00B22623">
      <w:pPr>
        <w:pStyle w:val="NoSpacing"/>
        <w:rPr>
          <w:rFonts w:ascii="Times New Roman" w:hAnsi="Times New Roman"/>
          <w:sz w:val="24"/>
          <w:szCs w:val="24"/>
        </w:rPr>
      </w:pPr>
      <w:r w:rsidRPr="00B22623">
        <w:rPr>
          <w:rFonts w:ascii="Times New Roman" w:hAnsi="Times New Roman"/>
          <w:sz w:val="24"/>
          <w:szCs w:val="24"/>
        </w:rPr>
        <w:t xml:space="preserve"> </w:t>
      </w:r>
    </w:p>
    <w:p w14:paraId="5EBC3E2E" w14:textId="77777777" w:rsidR="00B22623" w:rsidRPr="00B22623" w:rsidRDefault="00B22623" w:rsidP="00B22623">
      <w:pPr>
        <w:pStyle w:val="NoSpacing"/>
        <w:rPr>
          <w:rFonts w:ascii="Times New Roman" w:hAnsi="Times New Roman"/>
          <w:sz w:val="24"/>
          <w:szCs w:val="24"/>
        </w:rPr>
      </w:pPr>
      <w:r w:rsidRPr="00B22623">
        <w:rPr>
          <w:rFonts w:ascii="Times New Roman" w:hAnsi="Times New Roman"/>
          <w:sz w:val="24"/>
          <w:szCs w:val="24"/>
        </w:rPr>
        <w:t xml:space="preserve">THE COURT HELD: </w:t>
      </w:r>
    </w:p>
    <w:p w14:paraId="76AA54F5" w14:textId="77777777" w:rsidR="00B22623" w:rsidRPr="00B22623" w:rsidRDefault="00B22623" w:rsidP="00B22623">
      <w:pPr>
        <w:pStyle w:val="NoSpacing"/>
        <w:jc w:val="center"/>
        <w:rPr>
          <w:rFonts w:ascii="Times New Roman" w:hAnsi="Times New Roman"/>
          <w:sz w:val="24"/>
          <w:szCs w:val="24"/>
        </w:rPr>
      </w:pPr>
    </w:p>
    <w:p w14:paraId="7F8A2A92" w14:textId="77777777" w:rsidR="00B22623" w:rsidRPr="00B22623" w:rsidRDefault="00B22623" w:rsidP="00B22623">
      <w:pPr>
        <w:pStyle w:val="NoSpacing"/>
        <w:ind w:left="720"/>
        <w:rPr>
          <w:rFonts w:ascii="Times New Roman" w:hAnsi="Times New Roman"/>
          <w:sz w:val="24"/>
          <w:szCs w:val="24"/>
        </w:rPr>
      </w:pPr>
      <w:r w:rsidRPr="00B22623">
        <w:rPr>
          <w:rFonts w:ascii="Times New Roman" w:hAnsi="Times New Roman"/>
          <w:sz w:val="24"/>
          <w:szCs w:val="24"/>
        </w:rPr>
        <w:t xml:space="preserve">“[A]s the Court explained in its order granting summary judgment, the allegedly discriminatory comments included remarks about </w:t>
      </w:r>
      <w:proofErr w:type="spellStart"/>
      <w:r w:rsidRPr="00B22623">
        <w:rPr>
          <w:rFonts w:ascii="Times New Roman" w:hAnsi="Times New Roman"/>
          <w:sz w:val="24"/>
          <w:szCs w:val="24"/>
        </w:rPr>
        <w:t>Alusi's</w:t>
      </w:r>
      <w:proofErr w:type="spellEnd"/>
      <w:r w:rsidRPr="00B22623">
        <w:rPr>
          <w:rFonts w:ascii="Times New Roman" w:hAnsi="Times New Roman"/>
          <w:sz w:val="24"/>
          <w:szCs w:val="24"/>
        </w:rPr>
        <w:t xml:space="preserve"> skin color and his religion. Race and religion are distinct protected classes under Title VII, but they are not the bases of </w:t>
      </w:r>
      <w:proofErr w:type="spellStart"/>
      <w:r w:rsidRPr="00B22623">
        <w:rPr>
          <w:rFonts w:ascii="Times New Roman" w:hAnsi="Times New Roman"/>
          <w:sz w:val="24"/>
          <w:szCs w:val="24"/>
        </w:rPr>
        <w:t>Alusi's</w:t>
      </w:r>
      <w:proofErr w:type="spellEnd"/>
      <w:r w:rsidRPr="00B22623">
        <w:rPr>
          <w:rFonts w:ascii="Times New Roman" w:hAnsi="Times New Roman"/>
          <w:sz w:val="24"/>
          <w:szCs w:val="24"/>
        </w:rPr>
        <w:t xml:space="preserve"> alleged discrimination. Neither those comments nor the additional comments </w:t>
      </w:r>
      <w:proofErr w:type="spellStart"/>
      <w:r w:rsidRPr="00B22623">
        <w:rPr>
          <w:rFonts w:ascii="Times New Roman" w:hAnsi="Times New Roman"/>
          <w:sz w:val="24"/>
          <w:szCs w:val="24"/>
        </w:rPr>
        <w:t>Alusi</w:t>
      </w:r>
      <w:proofErr w:type="spellEnd"/>
      <w:r w:rsidRPr="00B22623">
        <w:rPr>
          <w:rFonts w:ascii="Times New Roman" w:hAnsi="Times New Roman"/>
          <w:sz w:val="24"/>
          <w:szCs w:val="24"/>
        </w:rPr>
        <w:t xml:space="preserve"> complains </w:t>
      </w:r>
      <w:proofErr w:type="gramStart"/>
      <w:r w:rsidRPr="00B22623">
        <w:rPr>
          <w:rFonts w:ascii="Times New Roman" w:hAnsi="Times New Roman"/>
          <w:sz w:val="24"/>
          <w:szCs w:val="24"/>
        </w:rPr>
        <w:t>of-</w:t>
      </w:r>
      <w:proofErr w:type="gramEnd"/>
      <w:r w:rsidRPr="00B22623">
        <w:rPr>
          <w:rFonts w:ascii="Times New Roman" w:hAnsi="Times New Roman"/>
          <w:sz w:val="24"/>
          <w:szCs w:val="24"/>
        </w:rPr>
        <w:t xml:space="preserve">i.e., the comment concerning </w:t>
      </w:r>
      <w:proofErr w:type="spellStart"/>
      <w:r w:rsidRPr="00B22623">
        <w:rPr>
          <w:rFonts w:ascii="Times New Roman" w:hAnsi="Times New Roman"/>
          <w:sz w:val="24"/>
          <w:szCs w:val="24"/>
        </w:rPr>
        <w:t>Alusi's</w:t>
      </w:r>
      <w:proofErr w:type="spellEnd"/>
      <w:r w:rsidRPr="00B22623">
        <w:rPr>
          <w:rFonts w:ascii="Times New Roman" w:hAnsi="Times New Roman"/>
          <w:sz w:val="24"/>
          <w:szCs w:val="24"/>
        </w:rPr>
        <w:t xml:space="preserve"> fit within the FFD, a colleague's question about </w:t>
      </w:r>
      <w:proofErr w:type="spellStart"/>
      <w:r w:rsidRPr="00B22623">
        <w:rPr>
          <w:rFonts w:ascii="Times New Roman" w:hAnsi="Times New Roman"/>
          <w:sz w:val="24"/>
          <w:szCs w:val="24"/>
        </w:rPr>
        <w:t>Alusi's</w:t>
      </w:r>
      <w:proofErr w:type="spellEnd"/>
      <w:r w:rsidRPr="00B22623">
        <w:rPr>
          <w:rFonts w:ascii="Times New Roman" w:hAnsi="Times New Roman"/>
          <w:sz w:val="24"/>
          <w:szCs w:val="24"/>
        </w:rPr>
        <w:t xml:space="preserve"> lack of involvement in the Gulf War, and one colleague's use of </w:t>
      </w:r>
      <w:proofErr w:type="gramStart"/>
      <w:r w:rsidRPr="00B22623">
        <w:rPr>
          <w:rFonts w:ascii="Times New Roman" w:hAnsi="Times New Roman"/>
          <w:sz w:val="24"/>
          <w:szCs w:val="24"/>
        </w:rPr>
        <w:t>Arabic-</w:t>
      </w:r>
      <w:proofErr w:type="gramEnd"/>
      <w:r w:rsidRPr="00B22623">
        <w:rPr>
          <w:rFonts w:ascii="Times New Roman" w:hAnsi="Times New Roman"/>
          <w:sz w:val="24"/>
          <w:szCs w:val="24"/>
        </w:rPr>
        <w:t xml:space="preserve">refer to </w:t>
      </w:r>
      <w:proofErr w:type="spellStart"/>
      <w:r w:rsidRPr="00B22623">
        <w:rPr>
          <w:rFonts w:ascii="Times New Roman" w:hAnsi="Times New Roman"/>
          <w:sz w:val="24"/>
          <w:szCs w:val="24"/>
        </w:rPr>
        <w:t>Alusi's</w:t>
      </w:r>
      <w:proofErr w:type="spellEnd"/>
      <w:r w:rsidRPr="00B22623">
        <w:rPr>
          <w:rFonts w:ascii="Times New Roman" w:hAnsi="Times New Roman"/>
          <w:sz w:val="24"/>
          <w:szCs w:val="24"/>
        </w:rPr>
        <w:t xml:space="preserve"> national origin. </w:t>
      </w:r>
    </w:p>
    <w:p w14:paraId="72900EB5" w14:textId="77777777" w:rsidR="00B22623" w:rsidRPr="00B22623" w:rsidRDefault="00B22623" w:rsidP="00B22623">
      <w:pPr>
        <w:pStyle w:val="NoSpacing"/>
        <w:rPr>
          <w:rFonts w:ascii="Times New Roman" w:hAnsi="Times New Roman"/>
          <w:sz w:val="24"/>
          <w:szCs w:val="24"/>
        </w:rPr>
      </w:pPr>
    </w:p>
    <w:p w14:paraId="1B9136B5" w14:textId="77777777" w:rsidR="00B22623" w:rsidRPr="00B22623" w:rsidRDefault="00B22623" w:rsidP="00B22623">
      <w:pPr>
        <w:pStyle w:val="NoSpacing"/>
        <w:ind w:firstLine="720"/>
        <w:rPr>
          <w:rFonts w:ascii="Times New Roman" w:hAnsi="Times New Roman"/>
          <w:sz w:val="24"/>
          <w:szCs w:val="24"/>
        </w:rPr>
      </w:pPr>
      <w:r w:rsidRPr="00B22623">
        <w:rPr>
          <w:rFonts w:ascii="Times New Roman" w:hAnsi="Times New Roman"/>
          <w:sz w:val="24"/>
          <w:szCs w:val="24"/>
        </w:rPr>
        <w:lastRenderedPageBreak/>
        <w:t>***</w:t>
      </w:r>
    </w:p>
    <w:p w14:paraId="2CEC8875" w14:textId="77777777" w:rsidR="00B22623" w:rsidRPr="00B22623" w:rsidRDefault="00B22623" w:rsidP="00B22623">
      <w:pPr>
        <w:pStyle w:val="NoSpacing"/>
        <w:ind w:left="720"/>
        <w:rPr>
          <w:rFonts w:ascii="Times New Roman" w:hAnsi="Times New Roman"/>
          <w:sz w:val="24"/>
          <w:szCs w:val="24"/>
        </w:rPr>
      </w:pPr>
      <w:r w:rsidRPr="00B22623">
        <w:rPr>
          <w:rFonts w:ascii="Times New Roman" w:hAnsi="Times New Roman"/>
          <w:sz w:val="24"/>
          <w:szCs w:val="24"/>
        </w:rPr>
        <w:t xml:space="preserve">The comments </w:t>
      </w:r>
      <w:proofErr w:type="spellStart"/>
      <w:r w:rsidRPr="00B22623">
        <w:rPr>
          <w:rFonts w:ascii="Times New Roman" w:hAnsi="Times New Roman"/>
          <w:sz w:val="24"/>
          <w:szCs w:val="24"/>
        </w:rPr>
        <w:t>Alusi</w:t>
      </w:r>
      <w:proofErr w:type="spellEnd"/>
      <w:r w:rsidRPr="00B22623">
        <w:rPr>
          <w:rFonts w:ascii="Times New Roman" w:hAnsi="Times New Roman"/>
          <w:sz w:val="24"/>
          <w:szCs w:val="24"/>
        </w:rPr>
        <w:t xml:space="preserve"> points to were not frequent, threatening, or severe. </w:t>
      </w:r>
      <w:r w:rsidRPr="00B22623">
        <w:rPr>
          <w:rFonts w:ascii="Times New Roman" w:hAnsi="Times New Roman"/>
          <w:i/>
          <w:iCs/>
          <w:sz w:val="24"/>
          <w:szCs w:val="24"/>
        </w:rPr>
        <w:t>Harris v. Forklift Sys., Inc.</w:t>
      </w:r>
      <w:r w:rsidRPr="00B22623">
        <w:rPr>
          <w:rFonts w:ascii="Times New Roman" w:hAnsi="Times New Roman"/>
          <w:sz w:val="24"/>
          <w:szCs w:val="24"/>
        </w:rPr>
        <w:t xml:space="preserve">, 510 U.S. 17, 23, 114 </w:t>
      </w:r>
      <w:proofErr w:type="spellStart"/>
      <w:r w:rsidRPr="00B22623">
        <w:rPr>
          <w:rFonts w:ascii="Times New Roman" w:hAnsi="Times New Roman"/>
          <w:sz w:val="24"/>
          <w:szCs w:val="24"/>
        </w:rPr>
        <w:t>S.Ct</w:t>
      </w:r>
      <w:proofErr w:type="spellEnd"/>
      <w:r w:rsidRPr="00B22623">
        <w:rPr>
          <w:rFonts w:ascii="Times New Roman" w:hAnsi="Times New Roman"/>
          <w:sz w:val="24"/>
          <w:szCs w:val="24"/>
        </w:rPr>
        <w:t>. 367, 126 L.Ed.2d 295 (1993) (explaining that courts must consider the “frequency of the discriminatory conduct; its severity; whether it is physically threatening or humiliating, or a mere offensive utterance; and whether it unreasonably interferes with an employee's work performance”). Thus, the comments are insufficient to mount a claim for discrimination.</w:t>
      </w:r>
    </w:p>
    <w:p w14:paraId="093BCE05" w14:textId="77777777" w:rsidR="00B22623" w:rsidRPr="00B22623" w:rsidRDefault="00B22623" w:rsidP="00B22623">
      <w:pPr>
        <w:pStyle w:val="NoSpacing"/>
        <w:rPr>
          <w:rFonts w:ascii="Times New Roman" w:hAnsi="Times New Roman"/>
          <w:sz w:val="24"/>
          <w:szCs w:val="24"/>
        </w:rPr>
      </w:pPr>
    </w:p>
    <w:p w14:paraId="565B3D4D" w14:textId="77777777" w:rsidR="00B22623" w:rsidRPr="00B22623" w:rsidRDefault="00B22623" w:rsidP="00B22623">
      <w:pPr>
        <w:pStyle w:val="NoSpacing"/>
        <w:ind w:firstLine="720"/>
        <w:rPr>
          <w:rFonts w:ascii="Times New Roman" w:hAnsi="Times New Roman"/>
          <w:sz w:val="24"/>
          <w:szCs w:val="24"/>
        </w:rPr>
      </w:pPr>
      <w:r w:rsidRPr="00B22623">
        <w:rPr>
          <w:rFonts w:ascii="Times New Roman" w:hAnsi="Times New Roman"/>
          <w:sz w:val="24"/>
          <w:szCs w:val="24"/>
        </w:rPr>
        <w:t>***</w:t>
      </w:r>
    </w:p>
    <w:p w14:paraId="054BA89D" w14:textId="77777777" w:rsidR="00B22623" w:rsidRPr="00B22623" w:rsidRDefault="00B22623" w:rsidP="00B22623">
      <w:pPr>
        <w:pStyle w:val="NoSpacing"/>
        <w:ind w:left="720"/>
        <w:rPr>
          <w:rFonts w:ascii="Times New Roman" w:hAnsi="Times New Roman"/>
          <w:sz w:val="24"/>
          <w:szCs w:val="24"/>
        </w:rPr>
      </w:pPr>
      <w:proofErr w:type="spellStart"/>
      <w:r w:rsidRPr="00B22623">
        <w:rPr>
          <w:rFonts w:ascii="Times New Roman" w:hAnsi="Times New Roman"/>
          <w:sz w:val="24"/>
          <w:szCs w:val="24"/>
        </w:rPr>
        <w:t>Alusi</w:t>
      </w:r>
      <w:proofErr w:type="spellEnd"/>
      <w:r w:rsidRPr="00B22623">
        <w:rPr>
          <w:rFonts w:ascii="Times New Roman" w:hAnsi="Times New Roman"/>
          <w:sz w:val="24"/>
          <w:szCs w:val="24"/>
        </w:rPr>
        <w:t xml:space="preserve"> concedes that he did not allege national origin discrimination until </w:t>
      </w:r>
      <w:r w:rsidRPr="00B22623">
        <w:rPr>
          <w:rFonts w:ascii="Times New Roman" w:hAnsi="Times New Roman"/>
          <w:i/>
          <w:iCs/>
          <w:sz w:val="24"/>
          <w:szCs w:val="24"/>
        </w:rPr>
        <w:t>after</w:t>
      </w:r>
      <w:r w:rsidRPr="00B22623">
        <w:rPr>
          <w:rFonts w:ascii="Times New Roman" w:hAnsi="Times New Roman"/>
          <w:sz w:val="24"/>
          <w:szCs w:val="24"/>
        </w:rPr>
        <w:t xml:space="preserve"> he was terminated. Thus, the </w:t>
      </w:r>
      <w:proofErr w:type="gramStart"/>
      <w:r w:rsidRPr="00B22623">
        <w:rPr>
          <w:rFonts w:ascii="Times New Roman" w:hAnsi="Times New Roman"/>
          <w:sz w:val="24"/>
          <w:szCs w:val="24"/>
        </w:rPr>
        <w:t>City</w:t>
      </w:r>
      <w:proofErr w:type="gramEnd"/>
      <w:r w:rsidRPr="00B22623">
        <w:rPr>
          <w:rFonts w:ascii="Times New Roman" w:hAnsi="Times New Roman"/>
          <w:sz w:val="24"/>
          <w:szCs w:val="24"/>
        </w:rPr>
        <w:t xml:space="preserve"> was not put on notice of any alleged discriminatory practices. Therefore, </w:t>
      </w:r>
      <w:proofErr w:type="spellStart"/>
      <w:r w:rsidRPr="00B22623">
        <w:rPr>
          <w:rFonts w:ascii="Times New Roman" w:hAnsi="Times New Roman"/>
          <w:sz w:val="24"/>
          <w:szCs w:val="24"/>
        </w:rPr>
        <w:t>Alusi</w:t>
      </w:r>
      <w:proofErr w:type="spellEnd"/>
      <w:r w:rsidRPr="00B22623">
        <w:rPr>
          <w:rFonts w:ascii="Times New Roman" w:hAnsi="Times New Roman"/>
          <w:sz w:val="24"/>
          <w:szCs w:val="24"/>
        </w:rPr>
        <w:t xml:space="preserve"> did not engage in a protected activity. And since </w:t>
      </w:r>
      <w:proofErr w:type="spellStart"/>
      <w:r w:rsidRPr="00B22623">
        <w:rPr>
          <w:rFonts w:ascii="Times New Roman" w:hAnsi="Times New Roman"/>
          <w:sz w:val="24"/>
          <w:szCs w:val="24"/>
        </w:rPr>
        <w:t>Alusi</w:t>
      </w:r>
      <w:proofErr w:type="spellEnd"/>
      <w:r w:rsidRPr="00B22623">
        <w:rPr>
          <w:rFonts w:ascii="Times New Roman" w:hAnsi="Times New Roman"/>
          <w:sz w:val="24"/>
          <w:szCs w:val="24"/>
        </w:rPr>
        <w:t xml:space="preserve"> did not engage in a protected activity, he could not have been retaliated against for engaging in a protected activity. Accordingly, the Court correctly concluded that the </w:t>
      </w:r>
      <w:proofErr w:type="gramStart"/>
      <w:r w:rsidRPr="00B22623">
        <w:rPr>
          <w:rFonts w:ascii="Times New Roman" w:hAnsi="Times New Roman"/>
          <w:sz w:val="24"/>
          <w:szCs w:val="24"/>
        </w:rPr>
        <w:t>City</w:t>
      </w:r>
      <w:proofErr w:type="gramEnd"/>
      <w:r w:rsidRPr="00B22623">
        <w:rPr>
          <w:rFonts w:ascii="Times New Roman" w:hAnsi="Times New Roman"/>
          <w:sz w:val="24"/>
          <w:szCs w:val="24"/>
        </w:rPr>
        <w:t xml:space="preserve"> was entitled to summary judgment on this claim.”</w:t>
      </w:r>
    </w:p>
    <w:p w14:paraId="42904941" w14:textId="77777777" w:rsidR="00B22623" w:rsidRPr="00B22623" w:rsidRDefault="00B22623" w:rsidP="00B22623">
      <w:pPr>
        <w:pStyle w:val="NoSpacing"/>
        <w:ind w:left="720"/>
        <w:rPr>
          <w:rFonts w:ascii="Times New Roman" w:hAnsi="Times New Roman"/>
          <w:sz w:val="24"/>
          <w:szCs w:val="24"/>
        </w:rPr>
      </w:pPr>
    </w:p>
    <w:p w14:paraId="13633AD2" w14:textId="77777777" w:rsidR="00B22623" w:rsidRPr="00B22623" w:rsidRDefault="00B22623" w:rsidP="00B22623">
      <w:pPr>
        <w:pStyle w:val="NoSpacing"/>
        <w:ind w:left="720"/>
        <w:rPr>
          <w:rFonts w:ascii="Times New Roman" w:hAnsi="Times New Roman"/>
          <w:sz w:val="24"/>
          <w:szCs w:val="24"/>
        </w:rPr>
      </w:pPr>
    </w:p>
    <w:p w14:paraId="60D450CB" w14:textId="77777777" w:rsidR="00B22623" w:rsidRPr="00B22623" w:rsidRDefault="00B22623" w:rsidP="00B22623">
      <w:pPr>
        <w:pStyle w:val="NoSpacing"/>
        <w:rPr>
          <w:rFonts w:ascii="Times New Roman" w:hAnsi="Times New Roman"/>
          <w:b/>
          <w:bCs/>
          <w:sz w:val="24"/>
          <w:szCs w:val="24"/>
        </w:rPr>
      </w:pPr>
      <w:r w:rsidRPr="00B22623">
        <w:rPr>
          <w:rFonts w:ascii="Times New Roman" w:hAnsi="Times New Roman"/>
          <w:b/>
          <w:bCs/>
          <w:sz w:val="24"/>
          <w:szCs w:val="24"/>
        </w:rPr>
        <w:t xml:space="preserve">Legal Lesson Learned: Comments by fellow firefighters were not “frequent, threatening, or severe.” </w:t>
      </w:r>
    </w:p>
    <w:p w14:paraId="4C2C7907" w14:textId="77777777" w:rsidR="00B22623" w:rsidRDefault="00B22623" w:rsidP="00B22623">
      <w:pPr>
        <w:pStyle w:val="NoSpacing"/>
        <w:ind w:firstLine="720"/>
        <w:rPr>
          <w:szCs w:val="24"/>
        </w:rPr>
      </w:pPr>
    </w:p>
    <w:p w14:paraId="068935FA" w14:textId="77777777" w:rsidR="00B22623" w:rsidRDefault="00B22623" w:rsidP="00BC70A3">
      <w:pPr>
        <w:rPr>
          <w:rFonts w:ascii="Arial Black" w:hAnsi="Arial Black"/>
          <w:b/>
          <w:sz w:val="24"/>
          <w:szCs w:val="24"/>
        </w:rPr>
      </w:pPr>
    </w:p>
    <w:p w14:paraId="531BBCFC" w14:textId="741058B2" w:rsidR="005E60AF" w:rsidRDefault="005E60AF" w:rsidP="00BC70A3">
      <w:pPr>
        <w:rPr>
          <w:rFonts w:ascii="Arial Black" w:hAnsi="Arial Black"/>
          <w:b/>
          <w:sz w:val="24"/>
          <w:szCs w:val="24"/>
        </w:rPr>
      </w:pPr>
      <w:r>
        <w:rPr>
          <w:rFonts w:ascii="Arial Black" w:hAnsi="Arial Black"/>
          <w:b/>
          <w:sz w:val="24"/>
          <w:szCs w:val="24"/>
        </w:rPr>
        <w:t>8-60</w:t>
      </w:r>
    </w:p>
    <w:p w14:paraId="62F4E436" w14:textId="77777777" w:rsidR="007B5945" w:rsidRPr="0074339E" w:rsidRDefault="007B5945" w:rsidP="007B5945">
      <w:pPr>
        <w:rPr>
          <w:rFonts w:ascii="Arial Black" w:hAnsi="Arial Black"/>
          <w:b/>
          <w:bCs/>
          <w:sz w:val="28"/>
        </w:rPr>
      </w:pPr>
      <w:r>
        <w:rPr>
          <w:rFonts w:ascii="Arial Black" w:hAnsi="Arial Black"/>
          <w:b/>
          <w:bCs/>
          <w:sz w:val="28"/>
        </w:rPr>
        <w:t xml:space="preserve">TX: BLACK FF – STOP SHAVING / RELIGION – FD CHAPLAIN MEMO - BELIEFS “INSINCERE” – IMMUNITY   </w:t>
      </w:r>
    </w:p>
    <w:p w14:paraId="67E3C6E1" w14:textId="77777777" w:rsidR="007B5945" w:rsidRPr="007B5945" w:rsidRDefault="007B5945" w:rsidP="007B5945">
      <w:pPr>
        <w:pStyle w:val="NoSpacing"/>
        <w:rPr>
          <w:rFonts w:ascii="Times New Roman" w:hAnsi="Times New Roman"/>
          <w:sz w:val="24"/>
          <w:szCs w:val="24"/>
        </w:rPr>
      </w:pPr>
      <w:r w:rsidRPr="007B5945">
        <w:rPr>
          <w:rFonts w:ascii="Times New Roman" w:hAnsi="Times New Roman"/>
          <w:sz w:val="24"/>
          <w:szCs w:val="24"/>
        </w:rPr>
        <w:t xml:space="preserve">On Aug. 8, 2024, in </w:t>
      </w:r>
      <w:r w:rsidRPr="007B5945">
        <w:rPr>
          <w:rFonts w:ascii="Times New Roman" w:hAnsi="Times New Roman"/>
          <w:sz w:val="24"/>
          <w:szCs w:val="24"/>
          <w:u w:val="single"/>
        </w:rPr>
        <w:t>Brandon E. O’Neal v. City of Houston</w:t>
      </w:r>
      <w:r w:rsidRPr="007B5945">
        <w:rPr>
          <w:rFonts w:ascii="Times New Roman" w:hAnsi="Times New Roman"/>
          <w:sz w:val="24"/>
          <w:szCs w:val="24"/>
        </w:rPr>
        <w:t xml:space="preserve">, United States District Court Judge Keith P. Ellison, U.S. District Court, Southern District of Texas, Houston Division, granted the motion to dismiss the libel lawsuit against Chaplain Richard Raymond Ponce II, who enjoys immunity under Texas Tort Claims Act for official actions.  The Court wrote: “After serving his [2 shift; 24 hours] suspension, O’Neal was required to meet with HFD Chaplain Richard Raymond Ponce II… Following the meeting, Ponce wrote a memorandum to Fire Chief Samuel Peña describing O’Neal’s religious beliefs as ‘insincere.’ … O’Neal believes that Ponce’s memorandum formed the basis of HFD’s denial of his accommodation request…. O’Neal later asked Ponce to retract the statements in his “defamatory letter to Chief Peña,” but Ponce declined to do so. *** A defendant is entitled to dismissal under section 101.106(f) upon proof that the plaintiff’s suit (1) was based on conduct within the scope of the defendant’s employment with a governmental unit and (2) could have been brought against the government unit under the Tort Claims Act.” </w:t>
      </w:r>
      <w:hyperlink r:id="rId1554" w:history="1">
        <w:r w:rsidRPr="007B5945">
          <w:rPr>
            <w:rStyle w:val="Hyperlink"/>
            <w:rFonts w:ascii="Times New Roman" w:hAnsi="Times New Roman"/>
            <w:sz w:val="24"/>
            <w:szCs w:val="24"/>
          </w:rPr>
          <w:t>https://cases.justia.com/federal/district-courts/texas/txsdce/4:2023cv04777/1945442/28/0.pdf?ts=1723207973</w:t>
        </w:r>
      </w:hyperlink>
      <w:r w:rsidRPr="007B5945">
        <w:rPr>
          <w:rFonts w:ascii="Times New Roman" w:hAnsi="Times New Roman"/>
          <w:sz w:val="24"/>
          <w:szCs w:val="24"/>
        </w:rPr>
        <w:t xml:space="preserve"> </w:t>
      </w:r>
    </w:p>
    <w:p w14:paraId="285188B8" w14:textId="77777777" w:rsidR="007B5945" w:rsidRPr="007B5945" w:rsidRDefault="007B5945" w:rsidP="007B5945">
      <w:pPr>
        <w:rPr>
          <w:rFonts w:ascii="Times New Roman" w:hAnsi="Times New Roman"/>
          <w:sz w:val="24"/>
          <w:szCs w:val="24"/>
        </w:rPr>
      </w:pPr>
    </w:p>
    <w:p w14:paraId="5AF6D2A9" w14:textId="77777777" w:rsidR="007B5945" w:rsidRPr="007B5945" w:rsidRDefault="007B5945" w:rsidP="007B5945">
      <w:pPr>
        <w:pStyle w:val="NoSpacing"/>
        <w:rPr>
          <w:rFonts w:ascii="Times New Roman" w:hAnsi="Times New Roman"/>
          <w:sz w:val="24"/>
          <w:szCs w:val="24"/>
        </w:rPr>
      </w:pPr>
      <w:r w:rsidRPr="007B5945">
        <w:rPr>
          <w:rFonts w:ascii="Times New Roman" w:hAnsi="Times New Roman"/>
          <w:sz w:val="24"/>
          <w:szCs w:val="24"/>
        </w:rPr>
        <w:t>THE COURT HELD:</w:t>
      </w:r>
    </w:p>
    <w:p w14:paraId="49FC72BD" w14:textId="77777777" w:rsidR="007B5945" w:rsidRPr="007B5945" w:rsidRDefault="007B5945" w:rsidP="007B5945">
      <w:pPr>
        <w:pStyle w:val="NoSpacing"/>
        <w:rPr>
          <w:rFonts w:ascii="Times New Roman" w:hAnsi="Times New Roman"/>
          <w:sz w:val="24"/>
          <w:szCs w:val="24"/>
        </w:rPr>
      </w:pPr>
    </w:p>
    <w:p w14:paraId="74CA923A" w14:textId="77777777" w:rsidR="007B5945" w:rsidRPr="007B5945" w:rsidRDefault="007B5945" w:rsidP="007B5945">
      <w:pPr>
        <w:ind w:left="720"/>
        <w:rPr>
          <w:rFonts w:ascii="Times New Roman" w:hAnsi="Times New Roman"/>
          <w:sz w:val="24"/>
          <w:szCs w:val="24"/>
        </w:rPr>
      </w:pPr>
      <w:r w:rsidRPr="007B5945">
        <w:rPr>
          <w:rFonts w:ascii="Times New Roman" w:hAnsi="Times New Roman"/>
          <w:sz w:val="24"/>
          <w:szCs w:val="24"/>
        </w:rPr>
        <w:t xml:space="preserve">“Plaintiff does not-and cannot-argue that drafting the memorandum at Chief Pena's direction was outside the scope of Ponce's role as HFP Chaplain. Instead, he argues that Ponce's ‘choice to libel Capt. O'Neal in the memorandum,’ i.e., the choice to label O'Neal's beliefs as ‘insincere’ in the memorandum, was outside of the scope of his employment. ECF No. 27 at 6. Plaintiff's argument misses the mark. Ponce's ‘ulterior motives or personal animus is irrelevant so long as a connection exists between the employee's lawful job duties and the alleged misconduct.’ *** Here, there is plainly a connection between Ponce's duties (drafting a memorandum on O'Neal's religious beliefs) and the alleged misconduct (including allegedly libelous statements in the memorandum). Thus, Ponce acted within the scope of his employment when he committed the allegedly tortious </w:t>
      </w:r>
      <w:proofErr w:type="gramStart"/>
      <w:r w:rsidRPr="007B5945">
        <w:rPr>
          <w:rFonts w:ascii="Times New Roman" w:hAnsi="Times New Roman"/>
          <w:sz w:val="24"/>
          <w:szCs w:val="24"/>
        </w:rPr>
        <w:t>acts.”</w:t>
      </w:r>
      <w:proofErr w:type="gramEnd"/>
      <w:r w:rsidRPr="007B5945">
        <w:rPr>
          <w:rFonts w:ascii="Times New Roman" w:hAnsi="Times New Roman"/>
          <w:sz w:val="24"/>
          <w:szCs w:val="24"/>
        </w:rPr>
        <w:t xml:space="preserve"> </w:t>
      </w:r>
    </w:p>
    <w:p w14:paraId="44E8D3CF" w14:textId="77777777" w:rsidR="007B5945" w:rsidRPr="007B5945" w:rsidRDefault="007B5945" w:rsidP="007B5945">
      <w:pPr>
        <w:jc w:val="both"/>
        <w:rPr>
          <w:rFonts w:ascii="Times New Roman" w:hAnsi="Times New Roman"/>
          <w:b/>
          <w:bCs/>
          <w:sz w:val="24"/>
          <w:szCs w:val="24"/>
        </w:rPr>
      </w:pPr>
      <w:r w:rsidRPr="007B5945">
        <w:rPr>
          <w:rFonts w:ascii="Times New Roman" w:hAnsi="Times New Roman"/>
          <w:b/>
          <w:bCs/>
          <w:sz w:val="24"/>
          <w:szCs w:val="24"/>
        </w:rPr>
        <w:lastRenderedPageBreak/>
        <w:t xml:space="preserve">Legal Lesson Learned: The Chaplain enjoys immunity from personal liability for performing duties in scope of his employment. </w:t>
      </w:r>
    </w:p>
    <w:p w14:paraId="2972795D" w14:textId="77777777" w:rsidR="005E60AF" w:rsidRDefault="005E60AF" w:rsidP="00BC70A3">
      <w:pPr>
        <w:rPr>
          <w:rFonts w:ascii="Arial Black" w:hAnsi="Arial Black"/>
          <w:b/>
          <w:sz w:val="24"/>
          <w:szCs w:val="24"/>
        </w:rPr>
      </w:pPr>
    </w:p>
    <w:p w14:paraId="7FC3BC99" w14:textId="77777777" w:rsidR="005E60AF" w:rsidRDefault="005E60AF" w:rsidP="00BC70A3">
      <w:pPr>
        <w:rPr>
          <w:rFonts w:ascii="Arial Black" w:hAnsi="Arial Black"/>
          <w:b/>
          <w:sz w:val="24"/>
          <w:szCs w:val="24"/>
        </w:rPr>
      </w:pPr>
    </w:p>
    <w:p w14:paraId="3AA07917" w14:textId="6A2DF2AD" w:rsidR="007C55A4" w:rsidRDefault="007C55A4" w:rsidP="00BC70A3">
      <w:pPr>
        <w:rPr>
          <w:rFonts w:ascii="Arial Black" w:hAnsi="Arial Black"/>
          <w:b/>
          <w:sz w:val="24"/>
          <w:szCs w:val="24"/>
        </w:rPr>
      </w:pPr>
      <w:r>
        <w:rPr>
          <w:rFonts w:ascii="Arial Black" w:hAnsi="Arial Black"/>
          <w:b/>
          <w:sz w:val="24"/>
          <w:szCs w:val="24"/>
        </w:rPr>
        <w:t>8-59</w:t>
      </w:r>
    </w:p>
    <w:p w14:paraId="77B76C7B" w14:textId="77777777" w:rsidR="006D6CFA" w:rsidRDefault="006D6CFA" w:rsidP="006D6CFA">
      <w:pPr>
        <w:spacing w:before="100" w:beforeAutospacing="1" w:after="100" w:afterAutospacing="1" w:line="240" w:lineRule="auto"/>
        <w:outlineLvl w:val="0"/>
        <w:rPr>
          <w:rFonts w:ascii="Arial Black" w:hAnsi="Arial Black"/>
          <w:sz w:val="28"/>
          <w:szCs w:val="28"/>
        </w:rPr>
      </w:pPr>
      <w:r>
        <w:rPr>
          <w:rFonts w:ascii="Arial Black" w:hAnsi="Arial Black"/>
          <w:sz w:val="28"/>
          <w:szCs w:val="28"/>
        </w:rPr>
        <w:t>NY: CAPT SOON TO BE PROMOTED BC - RESCINDED – DRUNK  PUBLIC / PANTS DOWN - NO RACE DISCRIMINATION</w:t>
      </w:r>
    </w:p>
    <w:p w14:paraId="52C9AACF" w14:textId="77777777" w:rsidR="006D6CFA" w:rsidRDefault="006D6CFA" w:rsidP="006D6CFA">
      <w:pPr>
        <w:spacing w:before="100" w:beforeAutospacing="1" w:after="100" w:afterAutospacing="1" w:line="240" w:lineRule="auto"/>
        <w:outlineLvl w:val="0"/>
        <w:rPr>
          <w:rFonts w:ascii="Times New Roman" w:hAnsi="Times New Roman"/>
          <w:sz w:val="24"/>
          <w:szCs w:val="24"/>
        </w:rPr>
      </w:pPr>
      <w:r>
        <w:rPr>
          <w:rFonts w:ascii="Times New Roman" w:hAnsi="Times New Roman"/>
          <w:sz w:val="24"/>
          <w:szCs w:val="24"/>
        </w:rPr>
        <w:t xml:space="preserve">On March 11, 2024, </w:t>
      </w:r>
      <w:r w:rsidRPr="00B36B60">
        <w:rPr>
          <w:rFonts w:ascii="Times New Roman" w:hAnsi="Times New Roman"/>
          <w:sz w:val="24"/>
          <w:szCs w:val="24"/>
          <w:u w:val="single"/>
        </w:rPr>
        <w:t>Jeremy Clawson v. The City of Albany Department of Fire &amp; Emergency</w:t>
      </w:r>
      <w:r>
        <w:rPr>
          <w:rFonts w:ascii="Times New Roman" w:hAnsi="Times New Roman"/>
          <w:sz w:val="24"/>
          <w:szCs w:val="24"/>
        </w:rPr>
        <w:t xml:space="preserve">, the U.S. Court of Appeals for Second Circuit (New York City), in a Summary Order upheld the grant of summary judgment for the city, dismissing the race discrimination lawsuit by Black Captain. </w:t>
      </w:r>
    </w:p>
    <w:p w14:paraId="3E0C4379"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3335311D" w14:textId="77777777" w:rsidR="003956F7" w:rsidRDefault="003956F7" w:rsidP="006D6CFA">
      <w:pPr>
        <w:pStyle w:val="NoSpacing"/>
        <w:ind w:left="720"/>
        <w:rPr>
          <w:rFonts w:ascii="Times New Roman" w:hAnsi="Times New Roman"/>
          <w:sz w:val="24"/>
          <w:szCs w:val="24"/>
        </w:rPr>
      </w:pPr>
    </w:p>
    <w:p w14:paraId="1DAAB86B" w14:textId="6EE3C623" w:rsidR="006D6CFA" w:rsidRPr="001434C8" w:rsidRDefault="006D6CFA" w:rsidP="006D6CFA">
      <w:pPr>
        <w:pStyle w:val="NoSpacing"/>
        <w:ind w:left="720"/>
        <w:rPr>
          <w:rFonts w:ascii="Times New Roman" w:eastAsia="Times New Roman" w:hAnsi="Times New Roman"/>
          <w:kern w:val="36"/>
          <w:sz w:val="24"/>
          <w:szCs w:val="24"/>
        </w:rPr>
      </w:pPr>
      <w:r>
        <w:rPr>
          <w:rFonts w:ascii="Times New Roman" w:hAnsi="Times New Roman"/>
          <w:sz w:val="24"/>
          <w:szCs w:val="24"/>
        </w:rPr>
        <w:t>“</w:t>
      </w:r>
      <w:r w:rsidRPr="001434C8">
        <w:rPr>
          <w:rFonts w:ascii="Times New Roman" w:eastAsia="Times New Roman" w:hAnsi="Times New Roman"/>
          <w:kern w:val="36"/>
          <w:sz w:val="24"/>
          <w:szCs w:val="24"/>
        </w:rPr>
        <w:t>The AFD, however, has articulated a legitimate, non-discriminatory rationale for</w:t>
      </w:r>
      <w:r>
        <w:rPr>
          <w:rFonts w:ascii="Times New Roman" w:eastAsia="Times New Roman" w:hAnsi="Times New Roman"/>
          <w:kern w:val="36"/>
          <w:sz w:val="24"/>
          <w:szCs w:val="24"/>
        </w:rPr>
        <w:t xml:space="preserve"> </w:t>
      </w:r>
      <w:r w:rsidRPr="001434C8">
        <w:rPr>
          <w:rFonts w:ascii="Times New Roman" w:eastAsia="Times New Roman" w:hAnsi="Times New Roman"/>
          <w:kern w:val="36"/>
          <w:sz w:val="24"/>
          <w:szCs w:val="24"/>
        </w:rPr>
        <w:t>rescinding Clawson’s promotion offer. Before he was slated to become battalion chief, Clawson</w:t>
      </w:r>
      <w:r>
        <w:rPr>
          <w:rFonts w:ascii="Times New Roman" w:eastAsia="Times New Roman" w:hAnsi="Times New Roman"/>
          <w:kern w:val="36"/>
          <w:sz w:val="24"/>
          <w:szCs w:val="24"/>
        </w:rPr>
        <w:t xml:space="preserve"> </w:t>
      </w:r>
      <w:r w:rsidRPr="001434C8">
        <w:rPr>
          <w:rFonts w:ascii="Times New Roman" w:eastAsia="Times New Roman" w:hAnsi="Times New Roman"/>
          <w:kern w:val="36"/>
          <w:sz w:val="24"/>
          <w:szCs w:val="24"/>
        </w:rPr>
        <w:t xml:space="preserve">consumed at least seven pints of beer, and proceeded to </w:t>
      </w:r>
      <w:r>
        <w:rPr>
          <w:rFonts w:ascii="Times New Roman" w:eastAsia="Times New Roman" w:hAnsi="Times New Roman"/>
          <w:kern w:val="36"/>
          <w:sz w:val="24"/>
          <w:szCs w:val="24"/>
        </w:rPr>
        <w:t>‘</w:t>
      </w:r>
      <w:r w:rsidRPr="001434C8">
        <w:rPr>
          <w:rFonts w:ascii="Times New Roman" w:eastAsia="Times New Roman" w:hAnsi="Times New Roman"/>
          <w:kern w:val="36"/>
          <w:sz w:val="24"/>
          <w:szCs w:val="24"/>
        </w:rPr>
        <w:t>expos[e] himself</w:t>
      </w:r>
      <w:r>
        <w:rPr>
          <w:rFonts w:ascii="Times New Roman" w:eastAsia="Times New Roman" w:hAnsi="Times New Roman"/>
          <w:kern w:val="36"/>
          <w:sz w:val="24"/>
          <w:szCs w:val="24"/>
        </w:rPr>
        <w:t xml:space="preserve">’ </w:t>
      </w:r>
      <w:r w:rsidRPr="001434C8">
        <w:rPr>
          <w:rFonts w:ascii="Times New Roman" w:eastAsia="Times New Roman" w:hAnsi="Times New Roman"/>
          <w:kern w:val="36"/>
          <w:sz w:val="24"/>
          <w:szCs w:val="24"/>
        </w:rPr>
        <w:t>outsi</w:t>
      </w:r>
      <w:r>
        <w:rPr>
          <w:rFonts w:ascii="Times New Roman" w:eastAsia="Times New Roman" w:hAnsi="Times New Roman"/>
          <w:kern w:val="36"/>
          <w:sz w:val="24"/>
          <w:szCs w:val="24"/>
        </w:rPr>
        <w:t xml:space="preserve">de </w:t>
      </w:r>
      <w:r w:rsidRPr="001434C8">
        <w:rPr>
          <w:rFonts w:ascii="Times New Roman" w:eastAsia="Times New Roman" w:hAnsi="Times New Roman"/>
          <w:kern w:val="36"/>
          <w:sz w:val="24"/>
          <w:szCs w:val="24"/>
        </w:rPr>
        <w:t xml:space="preserve">of a Dunkin’ Donuts, prompting first responders to call an ambulance for </w:t>
      </w:r>
      <w:r>
        <w:rPr>
          <w:rFonts w:ascii="Times New Roman" w:eastAsia="Times New Roman" w:hAnsi="Times New Roman"/>
          <w:kern w:val="36"/>
          <w:sz w:val="24"/>
          <w:szCs w:val="24"/>
        </w:rPr>
        <w:t>‘</w:t>
      </w:r>
      <w:r w:rsidRPr="001434C8">
        <w:rPr>
          <w:rFonts w:ascii="Times New Roman" w:eastAsia="Times New Roman" w:hAnsi="Times New Roman"/>
          <w:kern w:val="36"/>
          <w:sz w:val="24"/>
          <w:szCs w:val="24"/>
        </w:rPr>
        <w:t>a very</w:t>
      </w:r>
    </w:p>
    <w:p w14:paraId="3971A5F5" w14:textId="77777777" w:rsidR="006D6CFA" w:rsidRPr="001434C8" w:rsidRDefault="006D6CFA" w:rsidP="006D6CFA">
      <w:pPr>
        <w:pStyle w:val="NoSpacing"/>
        <w:ind w:firstLine="720"/>
        <w:rPr>
          <w:rFonts w:ascii="Times New Roman" w:eastAsia="Times New Roman" w:hAnsi="Times New Roman"/>
          <w:kern w:val="36"/>
          <w:sz w:val="24"/>
          <w:szCs w:val="24"/>
        </w:rPr>
      </w:pPr>
      <w:r w:rsidRPr="001434C8">
        <w:rPr>
          <w:rFonts w:ascii="Times New Roman" w:eastAsia="Times New Roman" w:hAnsi="Times New Roman"/>
          <w:kern w:val="36"/>
          <w:sz w:val="24"/>
          <w:szCs w:val="24"/>
        </w:rPr>
        <w:t>old male who [was] highly intoxicated and . . . pooped on himself,</w:t>
      </w:r>
      <w:r>
        <w:rPr>
          <w:rFonts w:ascii="Times New Roman" w:eastAsia="Times New Roman" w:hAnsi="Times New Roman"/>
          <w:kern w:val="36"/>
          <w:sz w:val="24"/>
          <w:szCs w:val="24"/>
        </w:rPr>
        <w:t xml:space="preserve">’ </w:t>
      </w:r>
      <w:r w:rsidRPr="001434C8">
        <w:rPr>
          <w:rFonts w:ascii="Times New Roman" w:eastAsia="Times New Roman" w:hAnsi="Times New Roman"/>
          <w:kern w:val="36"/>
          <w:sz w:val="24"/>
          <w:szCs w:val="24"/>
        </w:rPr>
        <w:t>and who was</w:t>
      </w:r>
    </w:p>
    <w:p w14:paraId="57F86D9C" w14:textId="77777777" w:rsidR="006D6CFA" w:rsidRPr="001434C8" w:rsidRDefault="006D6CFA" w:rsidP="006D6CFA">
      <w:pPr>
        <w:pStyle w:val="NoSpacing"/>
        <w:ind w:firstLine="720"/>
        <w:rPr>
          <w:rFonts w:ascii="Times New Roman" w:eastAsia="Times New Roman" w:hAnsi="Times New Roman"/>
          <w:kern w:val="36"/>
          <w:sz w:val="24"/>
          <w:szCs w:val="24"/>
        </w:rPr>
      </w:pPr>
      <w:r>
        <w:rPr>
          <w:rFonts w:ascii="Times New Roman" w:eastAsia="Times New Roman" w:hAnsi="Times New Roman"/>
          <w:kern w:val="36"/>
          <w:sz w:val="24"/>
          <w:szCs w:val="24"/>
        </w:rPr>
        <w:t>‘</w:t>
      </w:r>
      <w:proofErr w:type="gramStart"/>
      <w:r w:rsidRPr="001434C8">
        <w:rPr>
          <w:rFonts w:ascii="Times New Roman" w:eastAsia="Times New Roman" w:hAnsi="Times New Roman"/>
          <w:kern w:val="36"/>
          <w:sz w:val="24"/>
          <w:szCs w:val="24"/>
        </w:rPr>
        <w:t>incoherent</w:t>
      </w:r>
      <w:proofErr w:type="gramEnd"/>
      <w:r w:rsidRPr="001434C8">
        <w:rPr>
          <w:rFonts w:ascii="Times New Roman" w:eastAsia="Times New Roman" w:hAnsi="Times New Roman"/>
          <w:kern w:val="36"/>
          <w:sz w:val="24"/>
          <w:szCs w:val="24"/>
        </w:rPr>
        <w:t xml:space="preserve"> with his pants down around his ankles</w:t>
      </w:r>
      <w:r>
        <w:rPr>
          <w:rFonts w:ascii="Times New Roman" w:eastAsia="Times New Roman" w:hAnsi="Times New Roman"/>
          <w:kern w:val="36"/>
          <w:sz w:val="24"/>
          <w:szCs w:val="24"/>
        </w:rPr>
        <w:t>.’</w:t>
      </w:r>
      <w:r w:rsidRPr="001434C8">
        <w:rPr>
          <w:rFonts w:ascii="Times New Roman" w:eastAsia="Times New Roman" w:hAnsi="Times New Roman"/>
          <w:kern w:val="36"/>
          <w:sz w:val="24"/>
          <w:szCs w:val="24"/>
        </w:rPr>
        <w:t xml:space="preserve"> Following that incident, the</w:t>
      </w:r>
    </w:p>
    <w:p w14:paraId="7091F00E" w14:textId="77777777" w:rsidR="006D6CFA" w:rsidRDefault="006D6CFA" w:rsidP="006D6CFA">
      <w:pPr>
        <w:pStyle w:val="NoSpacing"/>
        <w:ind w:left="720"/>
        <w:rPr>
          <w:rFonts w:ascii="Times New Roman" w:hAnsi="Times New Roman"/>
          <w:sz w:val="24"/>
          <w:szCs w:val="24"/>
        </w:rPr>
      </w:pPr>
      <w:r w:rsidRPr="001434C8">
        <w:rPr>
          <w:rFonts w:ascii="Times New Roman" w:eastAsia="Times New Roman" w:hAnsi="Times New Roman"/>
          <w:kern w:val="36"/>
          <w:sz w:val="24"/>
          <w:szCs w:val="24"/>
        </w:rPr>
        <w:t>AFD determined that Clawson’s promotion to battalion chief would undermine the AFD’s internal</w:t>
      </w:r>
      <w:r>
        <w:rPr>
          <w:rFonts w:ascii="Times New Roman" w:eastAsia="Times New Roman" w:hAnsi="Times New Roman"/>
          <w:kern w:val="36"/>
          <w:sz w:val="24"/>
          <w:szCs w:val="24"/>
        </w:rPr>
        <w:t xml:space="preserve"> </w:t>
      </w:r>
      <w:r w:rsidRPr="001434C8">
        <w:rPr>
          <w:rFonts w:ascii="Times New Roman" w:eastAsia="Times New Roman" w:hAnsi="Times New Roman"/>
          <w:kern w:val="36"/>
          <w:sz w:val="24"/>
          <w:szCs w:val="24"/>
        </w:rPr>
        <w:t>morale and its public perception, as well as Clawson’s effectiveness as a leader. In these</w:t>
      </w:r>
      <w:r>
        <w:rPr>
          <w:rFonts w:ascii="Times New Roman" w:eastAsia="Times New Roman" w:hAnsi="Times New Roman"/>
          <w:kern w:val="36"/>
          <w:sz w:val="24"/>
          <w:szCs w:val="24"/>
        </w:rPr>
        <w:t xml:space="preserve"> </w:t>
      </w:r>
      <w:r w:rsidRPr="001434C8">
        <w:rPr>
          <w:rFonts w:ascii="Times New Roman" w:eastAsia="Times New Roman" w:hAnsi="Times New Roman"/>
          <w:kern w:val="36"/>
          <w:sz w:val="24"/>
          <w:szCs w:val="24"/>
        </w:rPr>
        <w:t>circumstances, the AFD has stated a sufficient, non-discriminatory rationale for the adverse</w:t>
      </w:r>
      <w:r>
        <w:rPr>
          <w:rFonts w:ascii="Times New Roman" w:eastAsia="Times New Roman" w:hAnsi="Times New Roman"/>
          <w:kern w:val="36"/>
          <w:sz w:val="24"/>
          <w:szCs w:val="24"/>
        </w:rPr>
        <w:t xml:space="preserve"> </w:t>
      </w:r>
      <w:r w:rsidRPr="005612B3">
        <w:rPr>
          <w:rFonts w:ascii="Times New Roman" w:hAnsi="Times New Roman"/>
          <w:sz w:val="24"/>
          <w:szCs w:val="24"/>
        </w:rPr>
        <w:t>employment action.</w:t>
      </w:r>
    </w:p>
    <w:p w14:paraId="29B348FD" w14:textId="77777777" w:rsidR="006D6CFA" w:rsidRDefault="006D6CFA" w:rsidP="006D6CFA">
      <w:pPr>
        <w:pStyle w:val="NoSpacing"/>
        <w:ind w:left="720"/>
        <w:rPr>
          <w:rFonts w:ascii="Times New Roman" w:hAnsi="Times New Roman"/>
          <w:sz w:val="24"/>
          <w:szCs w:val="24"/>
        </w:rPr>
      </w:pPr>
    </w:p>
    <w:p w14:paraId="5E03EE25" w14:textId="77777777" w:rsidR="006D6CFA" w:rsidRDefault="006D6CFA" w:rsidP="006D6CFA">
      <w:pPr>
        <w:pStyle w:val="NoSpacing"/>
        <w:ind w:left="720"/>
        <w:rPr>
          <w:rFonts w:ascii="Times New Roman" w:hAnsi="Times New Roman"/>
          <w:sz w:val="24"/>
          <w:szCs w:val="24"/>
        </w:rPr>
      </w:pPr>
      <w:r>
        <w:rPr>
          <w:rFonts w:ascii="Times New Roman" w:hAnsi="Times New Roman"/>
          <w:sz w:val="24"/>
          <w:szCs w:val="24"/>
        </w:rPr>
        <w:t>***</w:t>
      </w:r>
    </w:p>
    <w:p w14:paraId="57D3F248" w14:textId="77777777" w:rsidR="006D6CFA" w:rsidRPr="005612B3" w:rsidRDefault="006D6CFA" w:rsidP="006D6CFA">
      <w:pPr>
        <w:pStyle w:val="NoSpacing"/>
        <w:ind w:firstLine="720"/>
        <w:rPr>
          <w:rFonts w:ascii="Times New Roman" w:hAnsi="Times New Roman"/>
          <w:sz w:val="24"/>
          <w:szCs w:val="24"/>
        </w:rPr>
      </w:pPr>
      <w:r w:rsidRPr="005612B3">
        <w:rPr>
          <w:rFonts w:ascii="Times New Roman" w:hAnsi="Times New Roman"/>
          <w:sz w:val="24"/>
          <w:szCs w:val="24"/>
        </w:rPr>
        <w:t>First, Clawson argues that the circumstances of his meeting with the AFD, in which his</w:t>
      </w:r>
    </w:p>
    <w:p w14:paraId="7902A31F" w14:textId="77777777" w:rsidR="006D6CFA" w:rsidRDefault="006D6CFA" w:rsidP="006D6CFA">
      <w:pPr>
        <w:pStyle w:val="NoSpacing"/>
        <w:ind w:left="720"/>
        <w:rPr>
          <w:rFonts w:ascii="Times New Roman" w:hAnsi="Times New Roman"/>
          <w:sz w:val="24"/>
          <w:szCs w:val="24"/>
        </w:rPr>
      </w:pPr>
      <w:r w:rsidRPr="005612B3">
        <w:rPr>
          <w:rFonts w:ascii="Times New Roman" w:hAnsi="Times New Roman"/>
          <w:sz w:val="24"/>
          <w:szCs w:val="24"/>
        </w:rPr>
        <w:t>promotion offer was rescinded, are indicative of discriminatory animus. Specifically, Clawson</w:t>
      </w:r>
      <w:r>
        <w:rPr>
          <w:rFonts w:ascii="Times New Roman" w:hAnsi="Times New Roman"/>
          <w:sz w:val="24"/>
          <w:szCs w:val="24"/>
        </w:rPr>
        <w:t xml:space="preserve"> </w:t>
      </w:r>
      <w:r w:rsidRPr="005612B3">
        <w:rPr>
          <w:rFonts w:ascii="Times New Roman" w:hAnsi="Times New Roman"/>
          <w:sz w:val="24"/>
          <w:szCs w:val="24"/>
        </w:rPr>
        <w:t>points to evidence in the record that the chief of the AFD, Joseph Gregory, requested the presence</w:t>
      </w:r>
      <w:r>
        <w:rPr>
          <w:rFonts w:ascii="Times New Roman" w:hAnsi="Times New Roman"/>
          <w:sz w:val="24"/>
          <w:szCs w:val="24"/>
        </w:rPr>
        <w:t xml:space="preserve"> </w:t>
      </w:r>
      <w:r w:rsidRPr="005612B3">
        <w:rPr>
          <w:rFonts w:ascii="Times New Roman" w:hAnsi="Times New Roman"/>
          <w:sz w:val="24"/>
          <w:szCs w:val="24"/>
        </w:rPr>
        <w:t>of a police officer at the meeting and then explained that the police officer was there because</w:t>
      </w:r>
      <w:r>
        <w:rPr>
          <w:rFonts w:ascii="Times New Roman" w:hAnsi="Times New Roman"/>
          <w:sz w:val="24"/>
          <w:szCs w:val="24"/>
        </w:rPr>
        <w:t xml:space="preserve"> ‘</w:t>
      </w:r>
      <w:r w:rsidRPr="005612B3">
        <w:rPr>
          <w:rFonts w:ascii="Times New Roman" w:hAnsi="Times New Roman"/>
          <w:sz w:val="24"/>
          <w:szCs w:val="24"/>
        </w:rPr>
        <w:t>[y]</w:t>
      </w:r>
      <w:proofErr w:type="spellStart"/>
      <w:r w:rsidRPr="005612B3">
        <w:rPr>
          <w:rFonts w:ascii="Times New Roman" w:hAnsi="Times New Roman"/>
          <w:sz w:val="24"/>
          <w:szCs w:val="24"/>
        </w:rPr>
        <w:t>ou</w:t>
      </w:r>
      <w:proofErr w:type="spellEnd"/>
      <w:r w:rsidRPr="005612B3">
        <w:rPr>
          <w:rFonts w:ascii="Times New Roman" w:hAnsi="Times New Roman"/>
          <w:sz w:val="24"/>
          <w:szCs w:val="24"/>
        </w:rPr>
        <w:t xml:space="preserve"> never know how people are going to react to bad news.</w:t>
      </w:r>
      <w:r>
        <w:rPr>
          <w:rFonts w:ascii="Times New Roman" w:hAnsi="Times New Roman"/>
          <w:sz w:val="24"/>
          <w:szCs w:val="24"/>
        </w:rPr>
        <w:t xml:space="preserve">’ </w:t>
      </w:r>
      <w:r w:rsidRPr="005612B3">
        <w:rPr>
          <w:rFonts w:ascii="Times New Roman" w:hAnsi="Times New Roman"/>
          <w:sz w:val="24"/>
          <w:szCs w:val="24"/>
        </w:rPr>
        <w:t xml:space="preserve"> Clawson</w:t>
      </w:r>
      <w:r>
        <w:rPr>
          <w:rFonts w:ascii="Times New Roman" w:hAnsi="Times New Roman"/>
          <w:sz w:val="24"/>
          <w:szCs w:val="24"/>
        </w:rPr>
        <w:t xml:space="preserve"> </w:t>
      </w:r>
      <w:r w:rsidRPr="005612B3">
        <w:rPr>
          <w:rFonts w:ascii="Times New Roman" w:hAnsi="Times New Roman"/>
          <w:sz w:val="24"/>
          <w:szCs w:val="24"/>
        </w:rPr>
        <w:t>contends that Gregory’s request for a police officer to be present at the meeting—and his</w:t>
      </w:r>
      <w:r>
        <w:rPr>
          <w:rFonts w:ascii="Times New Roman" w:hAnsi="Times New Roman"/>
          <w:sz w:val="24"/>
          <w:szCs w:val="24"/>
        </w:rPr>
        <w:t xml:space="preserve"> </w:t>
      </w:r>
      <w:r w:rsidRPr="005612B3">
        <w:rPr>
          <w:rFonts w:ascii="Times New Roman" w:hAnsi="Times New Roman"/>
          <w:sz w:val="24"/>
          <w:szCs w:val="24"/>
        </w:rPr>
        <w:t xml:space="preserve">explanation for the request—reflects the AFD’s stereotypical and discriminatory view that </w:t>
      </w:r>
      <w:r>
        <w:rPr>
          <w:rFonts w:ascii="Times New Roman" w:hAnsi="Times New Roman"/>
          <w:sz w:val="24"/>
          <w:szCs w:val="24"/>
        </w:rPr>
        <w:t>‘</w:t>
      </w:r>
      <w:r w:rsidRPr="005612B3">
        <w:rPr>
          <w:rFonts w:ascii="Times New Roman" w:hAnsi="Times New Roman"/>
          <w:sz w:val="24"/>
          <w:szCs w:val="24"/>
        </w:rPr>
        <w:t>black</w:t>
      </w:r>
      <w:r>
        <w:rPr>
          <w:rFonts w:ascii="Times New Roman" w:hAnsi="Times New Roman"/>
          <w:sz w:val="24"/>
          <w:szCs w:val="24"/>
        </w:rPr>
        <w:t xml:space="preserve"> </w:t>
      </w:r>
      <w:r w:rsidRPr="005612B3">
        <w:rPr>
          <w:rFonts w:ascii="Times New Roman" w:hAnsi="Times New Roman"/>
          <w:sz w:val="24"/>
          <w:szCs w:val="24"/>
        </w:rPr>
        <w:t>men are dangerous.</w:t>
      </w:r>
      <w:r>
        <w:rPr>
          <w:rFonts w:ascii="Times New Roman" w:hAnsi="Times New Roman"/>
          <w:sz w:val="24"/>
          <w:szCs w:val="24"/>
        </w:rPr>
        <w:t>’</w:t>
      </w:r>
      <w:r w:rsidRPr="005612B3">
        <w:rPr>
          <w:rFonts w:ascii="Times New Roman" w:hAnsi="Times New Roman"/>
          <w:sz w:val="24"/>
          <w:szCs w:val="24"/>
        </w:rPr>
        <w:t xml:space="preserve">  Under the circumstances here, a reasonable jury</w:t>
      </w:r>
      <w:r>
        <w:rPr>
          <w:rFonts w:ascii="Times New Roman" w:hAnsi="Times New Roman"/>
          <w:sz w:val="24"/>
          <w:szCs w:val="24"/>
        </w:rPr>
        <w:t xml:space="preserve"> </w:t>
      </w:r>
      <w:r w:rsidRPr="005612B3">
        <w:rPr>
          <w:rFonts w:ascii="Times New Roman" w:hAnsi="Times New Roman"/>
          <w:sz w:val="24"/>
          <w:szCs w:val="24"/>
        </w:rPr>
        <w:t>could not infer from this evidence that Gregory’s actions were related to Clawson’s race.</w:t>
      </w:r>
    </w:p>
    <w:p w14:paraId="7538DCD6" w14:textId="77777777" w:rsidR="006D6CFA" w:rsidRDefault="006D6CFA" w:rsidP="006D6CFA">
      <w:pPr>
        <w:pStyle w:val="NoSpacing"/>
        <w:ind w:left="720"/>
        <w:rPr>
          <w:rFonts w:ascii="Times New Roman" w:hAnsi="Times New Roman"/>
          <w:sz w:val="24"/>
          <w:szCs w:val="24"/>
        </w:rPr>
      </w:pPr>
    </w:p>
    <w:p w14:paraId="217CF242" w14:textId="77777777" w:rsidR="006D6CFA" w:rsidRDefault="006D6CFA" w:rsidP="006D6CFA">
      <w:pPr>
        <w:pStyle w:val="NoSpacing"/>
        <w:ind w:left="720"/>
        <w:rPr>
          <w:rFonts w:ascii="Times New Roman" w:hAnsi="Times New Roman"/>
          <w:sz w:val="24"/>
          <w:szCs w:val="24"/>
        </w:rPr>
      </w:pPr>
      <w:r>
        <w:rPr>
          <w:rFonts w:ascii="Times New Roman" w:hAnsi="Times New Roman"/>
          <w:sz w:val="24"/>
          <w:szCs w:val="24"/>
        </w:rPr>
        <w:t>***</w:t>
      </w:r>
    </w:p>
    <w:p w14:paraId="516692D6" w14:textId="77777777" w:rsidR="006D6CFA" w:rsidRPr="005612B3" w:rsidRDefault="006D6CFA" w:rsidP="006D6CFA">
      <w:pPr>
        <w:pStyle w:val="NoSpacing"/>
        <w:ind w:left="720"/>
        <w:rPr>
          <w:rFonts w:ascii="Times New Roman" w:hAnsi="Times New Roman"/>
          <w:sz w:val="24"/>
          <w:szCs w:val="24"/>
        </w:rPr>
      </w:pPr>
    </w:p>
    <w:p w14:paraId="671BF2CF" w14:textId="77777777" w:rsidR="006D6CFA" w:rsidRDefault="006D6CFA" w:rsidP="006D6CFA">
      <w:pPr>
        <w:pStyle w:val="NoSpacing"/>
        <w:ind w:left="720"/>
        <w:rPr>
          <w:rFonts w:ascii="Times New Roman" w:hAnsi="Times New Roman"/>
          <w:sz w:val="24"/>
          <w:szCs w:val="24"/>
        </w:rPr>
      </w:pPr>
      <w:r w:rsidRPr="00997C49">
        <w:rPr>
          <w:rFonts w:ascii="Times New Roman" w:hAnsi="Times New Roman"/>
          <w:sz w:val="24"/>
          <w:szCs w:val="24"/>
        </w:rPr>
        <w:t>As evidence of his allegedly superior qualifications, Clawson points only to the fact that the person</w:t>
      </w:r>
      <w:r>
        <w:rPr>
          <w:rFonts w:ascii="Times New Roman" w:hAnsi="Times New Roman"/>
          <w:sz w:val="24"/>
          <w:szCs w:val="24"/>
        </w:rPr>
        <w:t xml:space="preserve"> </w:t>
      </w:r>
      <w:r w:rsidRPr="00997C49">
        <w:rPr>
          <w:rFonts w:ascii="Times New Roman" w:hAnsi="Times New Roman"/>
          <w:sz w:val="24"/>
          <w:szCs w:val="24"/>
        </w:rPr>
        <w:t>ultimately selected to be battalion chief, Captain Kowalski, scored second on the civil service exam</w:t>
      </w:r>
      <w:r>
        <w:rPr>
          <w:rFonts w:ascii="Times New Roman" w:hAnsi="Times New Roman"/>
          <w:sz w:val="24"/>
          <w:szCs w:val="24"/>
        </w:rPr>
        <w:t xml:space="preserve"> </w:t>
      </w:r>
      <w:r w:rsidRPr="00997C49">
        <w:rPr>
          <w:rFonts w:ascii="Times New Roman" w:hAnsi="Times New Roman"/>
          <w:sz w:val="24"/>
          <w:szCs w:val="24"/>
        </w:rPr>
        <w:t>after Clawson. Clawson thus ignores the undisputed record evidence that he engaged in an act</w:t>
      </w:r>
      <w:r>
        <w:rPr>
          <w:rFonts w:ascii="Times New Roman" w:hAnsi="Times New Roman"/>
          <w:sz w:val="24"/>
          <w:szCs w:val="24"/>
        </w:rPr>
        <w:t xml:space="preserve"> </w:t>
      </w:r>
      <w:r w:rsidRPr="00997C49">
        <w:rPr>
          <w:rFonts w:ascii="Times New Roman" w:hAnsi="Times New Roman"/>
          <w:sz w:val="24"/>
          <w:szCs w:val="24"/>
        </w:rPr>
        <w:t>of misconduct only days before his planned promotion. And Clawson does not even contend—</w:t>
      </w:r>
      <w:r>
        <w:rPr>
          <w:rFonts w:ascii="Times New Roman" w:hAnsi="Times New Roman"/>
          <w:sz w:val="24"/>
          <w:szCs w:val="24"/>
        </w:rPr>
        <w:t xml:space="preserve"> </w:t>
      </w:r>
      <w:r w:rsidRPr="00997C49">
        <w:rPr>
          <w:rFonts w:ascii="Times New Roman" w:hAnsi="Times New Roman"/>
          <w:sz w:val="24"/>
          <w:szCs w:val="24"/>
        </w:rPr>
        <w:t>nor could he, on the record before us—that Kowalski committed acts of misconduct or otherwise</w:t>
      </w:r>
      <w:r>
        <w:rPr>
          <w:rFonts w:ascii="Times New Roman" w:hAnsi="Times New Roman"/>
          <w:sz w:val="24"/>
          <w:szCs w:val="24"/>
        </w:rPr>
        <w:t xml:space="preserve"> </w:t>
      </w:r>
      <w:r w:rsidRPr="00997C49">
        <w:rPr>
          <w:rFonts w:ascii="Times New Roman" w:hAnsi="Times New Roman"/>
          <w:sz w:val="24"/>
          <w:szCs w:val="24"/>
        </w:rPr>
        <w:t>misbehaved during his tenure at the AFD. Therefore, Clawson has failed to present sufficient</w:t>
      </w:r>
      <w:r>
        <w:rPr>
          <w:rFonts w:ascii="Times New Roman" w:hAnsi="Times New Roman"/>
          <w:sz w:val="24"/>
          <w:szCs w:val="24"/>
        </w:rPr>
        <w:t xml:space="preserve"> </w:t>
      </w:r>
      <w:r w:rsidRPr="00997C49">
        <w:rPr>
          <w:rFonts w:ascii="Times New Roman" w:hAnsi="Times New Roman"/>
          <w:sz w:val="24"/>
          <w:szCs w:val="24"/>
        </w:rPr>
        <w:t>evidence that the AFD’s decision to promote Kowalski, whose score on the civil service exam</w:t>
      </w:r>
      <w:r>
        <w:rPr>
          <w:rFonts w:ascii="Times New Roman" w:hAnsi="Times New Roman"/>
          <w:sz w:val="24"/>
          <w:szCs w:val="24"/>
        </w:rPr>
        <w:t xml:space="preserve"> </w:t>
      </w:r>
      <w:r w:rsidRPr="00997C49">
        <w:rPr>
          <w:rFonts w:ascii="Times New Roman" w:hAnsi="Times New Roman"/>
          <w:sz w:val="24"/>
          <w:szCs w:val="24"/>
        </w:rPr>
        <w:t xml:space="preserve">placed him next in line for the battalion chief position, was motivated by race </w:t>
      </w:r>
      <w:proofErr w:type="gramStart"/>
      <w:r w:rsidRPr="00997C49">
        <w:rPr>
          <w:rFonts w:ascii="Times New Roman" w:hAnsi="Times New Roman"/>
          <w:sz w:val="24"/>
          <w:szCs w:val="24"/>
        </w:rPr>
        <w:t>discrimination.</w:t>
      </w:r>
      <w:r>
        <w:rPr>
          <w:rFonts w:ascii="Times New Roman" w:hAnsi="Times New Roman"/>
          <w:sz w:val="24"/>
          <w:szCs w:val="24"/>
        </w:rPr>
        <w:t>”</w:t>
      </w:r>
      <w:proofErr w:type="gramEnd"/>
    </w:p>
    <w:p w14:paraId="363ECB96" w14:textId="77777777" w:rsidR="006D6CFA" w:rsidRPr="005612B3" w:rsidRDefault="006D6CFA" w:rsidP="006D6CFA">
      <w:pPr>
        <w:pStyle w:val="NoSpacing"/>
        <w:ind w:left="720"/>
        <w:rPr>
          <w:rFonts w:ascii="Times New Roman" w:hAnsi="Times New Roman"/>
          <w:sz w:val="24"/>
          <w:szCs w:val="24"/>
        </w:rPr>
      </w:pPr>
      <w:r>
        <w:rPr>
          <w:rFonts w:ascii="Times New Roman" w:hAnsi="Times New Roman"/>
          <w:sz w:val="24"/>
          <w:szCs w:val="24"/>
        </w:rPr>
        <w:lastRenderedPageBreak/>
        <w:t xml:space="preserve"> </w:t>
      </w:r>
      <w:hyperlink r:id="rId1555" w:anchor="xml=https://ww3.ca2.uscourts.gov/decisions/isysquery/16788bba-62d9-413f-95b7-7dccd6899f82/2/hilite/" w:history="1">
        <w:r w:rsidRPr="0090149E">
          <w:rPr>
            <w:rStyle w:val="Hyperlink"/>
            <w:rFonts w:ascii="Times New Roman" w:hAnsi="Times New Roman"/>
            <w:sz w:val="24"/>
            <w:szCs w:val="24"/>
          </w:rPr>
          <w:t>https://ww3.ca2.uscourts.gov/decisions/isysquery/16788bba-62d9-413f-95b7-7dccd6899f82/2/doc/23-482_so.pdf#xml=https://ww3.ca2.uscourts.gov/decisions/isysquery/16788bba-62d9-413f-95b7-7dccd6899f82/2/hilite/</w:t>
        </w:r>
      </w:hyperlink>
      <w:r>
        <w:rPr>
          <w:rFonts w:ascii="Times New Roman" w:hAnsi="Times New Roman"/>
          <w:sz w:val="24"/>
          <w:szCs w:val="24"/>
        </w:rPr>
        <w:t xml:space="preserve"> </w:t>
      </w:r>
    </w:p>
    <w:p w14:paraId="7D804E14" w14:textId="77777777" w:rsidR="006D6CFA" w:rsidRPr="001434C8" w:rsidRDefault="006D6CFA" w:rsidP="006D6CFA">
      <w:pPr>
        <w:pStyle w:val="NoSpacing"/>
        <w:rPr>
          <w:rFonts w:ascii="Times New Roman" w:eastAsia="Times New Roman" w:hAnsi="Times New Roman"/>
          <w:kern w:val="36"/>
          <w:sz w:val="24"/>
          <w:szCs w:val="24"/>
        </w:rPr>
      </w:pPr>
    </w:p>
    <w:p w14:paraId="3E404F79" w14:textId="77777777" w:rsidR="006D6CFA" w:rsidRPr="00FE64F6" w:rsidRDefault="006D6CFA" w:rsidP="006D6CFA">
      <w:pPr>
        <w:pStyle w:val="NoSpacing"/>
        <w:rPr>
          <w:rFonts w:ascii="Times New Roman" w:hAnsi="Times New Roman"/>
          <w:b/>
          <w:bCs/>
          <w:sz w:val="24"/>
          <w:szCs w:val="24"/>
        </w:rPr>
      </w:pPr>
      <w:r w:rsidRPr="00FE64F6">
        <w:rPr>
          <w:rFonts w:ascii="Times New Roman" w:hAnsi="Times New Roman"/>
          <w:b/>
          <w:bCs/>
          <w:sz w:val="24"/>
          <w:szCs w:val="24"/>
        </w:rPr>
        <w:t xml:space="preserve">Legal Lesson Learned: </w:t>
      </w:r>
      <w:r>
        <w:rPr>
          <w:rFonts w:ascii="Times New Roman" w:hAnsi="Times New Roman"/>
          <w:b/>
          <w:bCs/>
          <w:sz w:val="24"/>
          <w:szCs w:val="24"/>
        </w:rPr>
        <w:t xml:space="preserve">The FD had a legitimate reason to rescind the promotion. </w:t>
      </w:r>
    </w:p>
    <w:p w14:paraId="4435B8B0" w14:textId="77777777" w:rsidR="006D6CFA" w:rsidRDefault="006D6CFA" w:rsidP="006D6CFA">
      <w:pPr>
        <w:pStyle w:val="NormalWeb"/>
        <w:spacing w:before="0" w:beforeAutospacing="0"/>
      </w:pPr>
    </w:p>
    <w:p w14:paraId="5BFB08B5" w14:textId="77777777" w:rsidR="006D6CFA" w:rsidRDefault="006D6CFA" w:rsidP="006D6CFA">
      <w:pPr>
        <w:pStyle w:val="NormalWeb"/>
        <w:spacing w:before="0" w:beforeAutospacing="0"/>
      </w:pPr>
    </w:p>
    <w:p w14:paraId="5702278F" w14:textId="2C0BDF01" w:rsidR="005251B2" w:rsidRDefault="005251B2" w:rsidP="00BC70A3">
      <w:pPr>
        <w:rPr>
          <w:rFonts w:ascii="Arial Black" w:hAnsi="Arial Black"/>
          <w:b/>
          <w:sz w:val="24"/>
          <w:szCs w:val="24"/>
        </w:rPr>
      </w:pPr>
      <w:r>
        <w:rPr>
          <w:rFonts w:ascii="Arial Black" w:hAnsi="Arial Black"/>
          <w:b/>
          <w:sz w:val="24"/>
          <w:szCs w:val="24"/>
        </w:rPr>
        <w:t>8-58</w:t>
      </w:r>
    </w:p>
    <w:p w14:paraId="2B8448C9" w14:textId="77777777" w:rsidR="00267A43" w:rsidRDefault="00267A43" w:rsidP="00267A43">
      <w:pPr>
        <w:pStyle w:val="NormalWeb"/>
        <w:rPr>
          <w:rFonts w:ascii="Arial Black" w:hAnsi="Arial Black"/>
          <w:sz w:val="28"/>
          <w:szCs w:val="28"/>
        </w:rPr>
      </w:pPr>
      <w:r w:rsidRPr="00674E4D">
        <w:rPr>
          <w:rFonts w:ascii="Arial Black" w:hAnsi="Arial Black"/>
          <w:sz w:val="28"/>
          <w:szCs w:val="28"/>
        </w:rPr>
        <w:t xml:space="preserve">OH: </w:t>
      </w:r>
      <w:r>
        <w:rPr>
          <w:rFonts w:ascii="Arial Black" w:hAnsi="Arial Black"/>
          <w:sz w:val="28"/>
          <w:szCs w:val="28"/>
        </w:rPr>
        <w:t>SCBAs – OSHA REQUIRES CLEAN SHAVEN – BLACK FF RETIRED INSTEAD OF SHAVING – NO ADA / RACE DISCRIM.</w:t>
      </w:r>
    </w:p>
    <w:p w14:paraId="0CE91A91" w14:textId="77777777" w:rsidR="00267A43" w:rsidRPr="00CC55BD" w:rsidRDefault="00267A43" w:rsidP="00267A43">
      <w:pPr>
        <w:pStyle w:val="NormalWeb"/>
      </w:pPr>
      <w:r>
        <w:t xml:space="preserve">On Feb. 28, 2024, in </w:t>
      </w:r>
      <w:r w:rsidRPr="00293519">
        <w:rPr>
          <w:u w:val="single"/>
        </w:rPr>
        <w:t>Anthony Davis c. City of Cleveland, et al</w:t>
      </w:r>
      <w:r>
        <w:t xml:space="preserve">., U.S. District Court Judge Solomon Oliver, Jr., U.S. District Court for Northern District of Ohio (Eastern District) granted the city’s motion for judgment on the pleadings.  </w:t>
      </w:r>
    </w:p>
    <w:p w14:paraId="65ACF475" w14:textId="77777777" w:rsidR="00267A43" w:rsidRDefault="00267A43" w:rsidP="00267A43">
      <w:pPr>
        <w:pStyle w:val="NormalWeb"/>
      </w:pPr>
      <w:r>
        <w:t xml:space="preserve">The Court held:  </w:t>
      </w:r>
    </w:p>
    <w:p w14:paraId="372B06CB" w14:textId="77777777" w:rsidR="00267A43" w:rsidRDefault="00267A43" w:rsidP="00267A43">
      <w:pPr>
        <w:pStyle w:val="NormalWeb"/>
        <w:ind w:left="720"/>
      </w:pPr>
      <w:r>
        <w:t>“</w:t>
      </w:r>
      <w:r w:rsidRPr="002C1351">
        <w:t>In sum, Ohio law requires Cleveland to follow OSHA regulations. And those regulations make clear that firefighters with beards may not wear SCBAs. *** And in any event, the court finds that Cleveland's policy is in fact based on business necessity. Accordingly, the court grants</w:t>
      </w:r>
      <w:r>
        <w:t xml:space="preserve"> judgment on the pleadings to Cleveland on Davis's race-discrimination claims. *** Cleveland argues that Davis's requested accommodation-that he be permitted to maintain a short beard-was </w:t>
      </w:r>
      <w:r>
        <w:rPr>
          <w:rStyle w:val="Emphasis"/>
        </w:rPr>
        <w:t>per se</w:t>
      </w:r>
      <w:r>
        <w:t xml:space="preserve"> unreasonable because providing it would have required Cleveland to contravene binding OSHA regulations. The court agrees. *** Davis brings a sympathetic case. He allegedly suffers from a skin condition that afflicts Black men only and was forced to leave the firefighting force-his career of nearly two decades-through no fault of his own. Nevertheless, the court is constrained by the law with respect to the claims he pled.” </w:t>
      </w:r>
      <w:hyperlink r:id="rId1556" w:history="1">
        <w:r w:rsidRPr="00050BB1">
          <w:rPr>
            <w:rStyle w:val="Hyperlink"/>
          </w:rPr>
          <w:t>https://public.fastcase.com/H1P9uiW3J20SFp%2BGCG%2BxLZkQf01yoKKyjTHIQ3i58nX%2B%2FAIlJ7l43hvEF8qKhahXQJQ44fkPKDzD6joZ4LsI7iTOFXPdH5%2Fv%2FKD427ldKjE%3D?utm_medium=email&amp;_hsmi=226712652&amp;_hsenc=p2ANqtz-_U89LkNl4P4fsnOucPHRbeGtR2XeKR1phEbD7-UuIt_KCX3oxL0CAr1yX56v7BapUY4ITdG8_rGIJJyhgPBOVmvvkgdg&amp;utm_content=226712652&amp;utm_source=hs_email</w:t>
        </w:r>
      </w:hyperlink>
      <w:r>
        <w:t xml:space="preserve"> </w:t>
      </w:r>
    </w:p>
    <w:p w14:paraId="6314C5BA" w14:textId="77777777" w:rsidR="00267A43" w:rsidRPr="006A2CE2" w:rsidRDefault="00267A43" w:rsidP="00267A43">
      <w:pPr>
        <w:pStyle w:val="NormalWeb"/>
        <w:rPr>
          <w:b/>
          <w:bCs/>
        </w:rPr>
      </w:pPr>
      <w:r w:rsidRPr="006A2CE2">
        <w:rPr>
          <w:b/>
          <w:bCs/>
        </w:rPr>
        <w:t>Legal Lesson Learned:</w:t>
      </w:r>
      <w:r>
        <w:rPr>
          <w:b/>
          <w:bCs/>
        </w:rPr>
        <w:t xml:space="preserve"> Numerous courts have upheld the OSHA regulations. </w:t>
      </w:r>
    </w:p>
    <w:p w14:paraId="2EF25B6B" w14:textId="77777777" w:rsidR="00267A43" w:rsidRDefault="00267A43" w:rsidP="00267A43">
      <w:pPr>
        <w:pStyle w:val="NormalWeb"/>
        <w:ind w:left="720"/>
      </w:pPr>
      <w:r w:rsidRPr="008E69EB">
        <w:t xml:space="preserve">Note: See these cases. </w:t>
      </w:r>
      <w:r w:rsidRPr="008E69EB">
        <w:rPr>
          <w:rStyle w:val="Emphasis"/>
        </w:rPr>
        <w:t>See, e.g.</w:t>
      </w:r>
      <w:r w:rsidRPr="008E69EB">
        <w:t xml:space="preserve">, </w:t>
      </w:r>
      <w:r w:rsidRPr="008E69EB">
        <w:rPr>
          <w:rStyle w:val="Emphasis"/>
        </w:rPr>
        <w:t>Bey</w:t>
      </w:r>
      <w:r w:rsidRPr="008E69EB">
        <w:t xml:space="preserve">, 999 F.3d at 170 (“Title VII cannot be used to require employers to depart from binding federal regulations.”); </w:t>
      </w:r>
      <w:r w:rsidRPr="008E69EB">
        <w:rPr>
          <w:rStyle w:val="Emphasis"/>
        </w:rPr>
        <w:t>Jones v. City of Jacksonville</w:t>
      </w:r>
      <w:r w:rsidRPr="008E69EB">
        <w:t xml:space="preserve">, 2023 WL 3595154, at *6 (M.D. Fla. Jan. 13, 2023) (“Legally binding federal regulations present a complete defense [to Title VII claims].”); </w:t>
      </w:r>
      <w:r w:rsidRPr="008E69EB">
        <w:rPr>
          <w:rStyle w:val="Emphasis"/>
        </w:rPr>
        <w:t>see also Fitzpatrick v. City of Atlanta</w:t>
      </w:r>
      <w:r w:rsidRPr="008E69EB">
        <w:t>, 2 F.3d 1112, 1119-21 (11th Cir. 1993) (holding that safety concerns made defendant city's “ban on shadow beards” a business necessity, even though the city was “not required by law to comply with OSHA standards”).</w:t>
      </w:r>
    </w:p>
    <w:p w14:paraId="22A9F276" w14:textId="77777777" w:rsidR="00267A43" w:rsidRDefault="00267A43" w:rsidP="00267A43">
      <w:pPr>
        <w:pStyle w:val="byline"/>
        <w:ind w:left="720"/>
      </w:pPr>
      <w:r>
        <w:t xml:space="preserve">In 2008, however, Washington. D.C. Fire Department lost at trial court level on summary judgment without a trial.  The U.S. Court of Appeals for the D.C. Circuit upheld, with strong concurring opinion.  WILLIAMS, Senior Circuit Judge, concurring: </w:t>
      </w:r>
    </w:p>
    <w:p w14:paraId="6CC7637E" w14:textId="77777777" w:rsidR="00267A43" w:rsidRPr="008E69EB" w:rsidRDefault="00267A43" w:rsidP="00267A43">
      <w:pPr>
        <w:pStyle w:val="paragraph"/>
        <w:ind w:left="1440"/>
      </w:pPr>
      <w:r>
        <w:t xml:space="preserve">“The record here unequivocally discloses a disputed issue of material fact. Yet the district court granted summary judgment. If the sole aim of the law were an open search for truth, we would </w:t>
      </w:r>
      <w:r>
        <w:lastRenderedPageBreak/>
        <w:t xml:space="preserve">plainly reverse.”  </w:t>
      </w:r>
      <w:r w:rsidRPr="00B75B81">
        <w:rPr>
          <w:u w:val="single"/>
        </w:rPr>
        <w:t>Potter v. District of Columbia</w:t>
      </w:r>
      <w:r>
        <w:t xml:space="preserve">, </w:t>
      </w:r>
      <w:hyperlink r:id="rId1557" w:history="1">
        <w:r w:rsidRPr="00050BB1">
          <w:rPr>
            <w:rStyle w:val="Hyperlink"/>
          </w:rPr>
          <w:t>https://casetext.com/case/potter-v-district-of-columbia-2</w:t>
        </w:r>
      </w:hyperlink>
      <w:r>
        <w:t xml:space="preserve"> </w:t>
      </w:r>
    </w:p>
    <w:p w14:paraId="7E8ABD12" w14:textId="77777777" w:rsidR="00267A43" w:rsidRDefault="00267A43" w:rsidP="00BC70A3">
      <w:pPr>
        <w:rPr>
          <w:rFonts w:ascii="Arial Black" w:hAnsi="Arial Black"/>
          <w:b/>
          <w:sz w:val="24"/>
          <w:szCs w:val="24"/>
        </w:rPr>
      </w:pPr>
    </w:p>
    <w:p w14:paraId="11BAD1FC" w14:textId="77777777" w:rsidR="005251B2" w:rsidRDefault="005251B2" w:rsidP="00BC70A3">
      <w:pPr>
        <w:rPr>
          <w:rFonts w:ascii="Arial Black" w:hAnsi="Arial Black"/>
          <w:b/>
          <w:sz w:val="24"/>
          <w:szCs w:val="24"/>
        </w:rPr>
      </w:pPr>
    </w:p>
    <w:p w14:paraId="34C20508" w14:textId="08B48E11" w:rsidR="00E47A1F" w:rsidRDefault="00E47A1F" w:rsidP="00BC70A3">
      <w:pPr>
        <w:rPr>
          <w:rFonts w:ascii="Arial Black" w:hAnsi="Arial Black"/>
          <w:b/>
          <w:sz w:val="24"/>
          <w:szCs w:val="24"/>
        </w:rPr>
      </w:pPr>
      <w:r>
        <w:rPr>
          <w:rFonts w:ascii="Arial Black" w:hAnsi="Arial Black"/>
          <w:b/>
          <w:sz w:val="24"/>
          <w:szCs w:val="24"/>
        </w:rPr>
        <w:t>8-57</w:t>
      </w:r>
    </w:p>
    <w:p w14:paraId="01EC4513" w14:textId="2576FA2B" w:rsidR="00D96E5D" w:rsidRDefault="00D96E5D" w:rsidP="00D96E5D">
      <w:pPr>
        <w:pStyle w:val="Heading1"/>
        <w:rPr>
          <w:rFonts w:ascii="Arial Black" w:hAnsi="Arial Black"/>
          <w:sz w:val="28"/>
          <w:szCs w:val="28"/>
        </w:rPr>
      </w:pPr>
      <w:r w:rsidRPr="00950088">
        <w:rPr>
          <w:rFonts w:ascii="Arial Black" w:hAnsi="Arial Black"/>
          <w:sz w:val="28"/>
          <w:szCs w:val="28"/>
        </w:rPr>
        <w:t>MS:</w:t>
      </w:r>
      <w:r>
        <w:rPr>
          <w:rFonts w:ascii="Arial Black" w:hAnsi="Arial Black"/>
          <w:sz w:val="28"/>
          <w:szCs w:val="28"/>
        </w:rPr>
        <w:t xml:space="preserve"> DIVERSITY SCHOLARSHIPS – NAT. ASSOC. OF EMERG. TECHNICIANS –</w:t>
      </w:r>
      <w:r w:rsidR="00A34572">
        <w:rPr>
          <w:rFonts w:ascii="Arial Black" w:hAnsi="Arial Black"/>
          <w:sz w:val="28"/>
          <w:szCs w:val="28"/>
        </w:rPr>
        <w:t xml:space="preserve"> </w:t>
      </w:r>
      <w:r>
        <w:rPr>
          <w:rFonts w:ascii="Arial Black" w:hAnsi="Arial Black"/>
          <w:sz w:val="28"/>
          <w:szCs w:val="28"/>
        </w:rPr>
        <w:t>PLAINTIFF GROUP DENIED TRO</w:t>
      </w:r>
    </w:p>
    <w:p w14:paraId="60229882" w14:textId="77777777" w:rsidR="00D96E5D" w:rsidRDefault="00D96E5D" w:rsidP="00D96E5D">
      <w:pPr>
        <w:pStyle w:val="Heading1"/>
        <w:rPr>
          <w:b w:val="0"/>
          <w:bCs w:val="0"/>
          <w:sz w:val="24"/>
          <w:szCs w:val="24"/>
        </w:rPr>
      </w:pPr>
      <w:r w:rsidRPr="00F27874">
        <w:rPr>
          <w:b w:val="0"/>
          <w:bCs w:val="0"/>
          <w:sz w:val="24"/>
          <w:szCs w:val="24"/>
        </w:rPr>
        <w:t xml:space="preserve">On </w:t>
      </w:r>
      <w:r>
        <w:rPr>
          <w:b w:val="0"/>
          <w:bCs w:val="0"/>
          <w:sz w:val="24"/>
          <w:szCs w:val="24"/>
        </w:rPr>
        <w:t xml:space="preserve">Jan. 23, 2024, in </w:t>
      </w:r>
      <w:r w:rsidRPr="00A7776E">
        <w:rPr>
          <w:b w:val="0"/>
          <w:bCs w:val="0"/>
          <w:sz w:val="24"/>
          <w:szCs w:val="24"/>
          <w:u w:val="single"/>
        </w:rPr>
        <w:t>Do No Harm v. National Association of Emergency Medical Technicians</w:t>
      </w:r>
      <w:r>
        <w:rPr>
          <w:b w:val="0"/>
          <w:bCs w:val="0"/>
          <w:sz w:val="24"/>
          <w:szCs w:val="24"/>
        </w:rPr>
        <w:t>, U.S. District Court Judge Carlton W. Reeves, U.S. District Court for the Southern District of Mississippi (Northern Division) denied the Plaintiff group’s motion for Temporary Restraining Order since no White member of the group has applied or been denied the scholarships. The NAEMT may therefore proceed with its application process for four $1,250 “diversity” scholarships to attend EMT school (applications due F</w:t>
      </w:r>
      <w:r w:rsidRPr="001F447E">
        <w:rPr>
          <w:b w:val="0"/>
          <w:bCs w:val="0"/>
          <w:sz w:val="24"/>
          <w:szCs w:val="24"/>
        </w:rPr>
        <w:t xml:space="preserve">ebruary 1, 2024 </w:t>
      </w:r>
      <w:r>
        <w:rPr>
          <w:b w:val="0"/>
          <w:bCs w:val="0"/>
          <w:sz w:val="24"/>
          <w:szCs w:val="24"/>
        </w:rPr>
        <w:t xml:space="preserve">- </w:t>
      </w:r>
      <w:r w:rsidRPr="001F447E">
        <w:rPr>
          <w:b w:val="0"/>
          <w:bCs w:val="0"/>
          <w:sz w:val="24"/>
          <w:szCs w:val="24"/>
        </w:rPr>
        <w:t>March 31, 2024</w:t>
      </w:r>
      <w:r>
        <w:rPr>
          <w:b w:val="0"/>
          <w:bCs w:val="0"/>
          <w:sz w:val="24"/>
          <w:szCs w:val="24"/>
        </w:rPr>
        <w:t xml:space="preserve">); </w:t>
      </w:r>
      <w:proofErr w:type="gramStart"/>
      <w:r>
        <w:rPr>
          <w:b w:val="0"/>
          <w:bCs w:val="0"/>
          <w:sz w:val="24"/>
          <w:szCs w:val="24"/>
        </w:rPr>
        <w:t>however</w:t>
      </w:r>
      <w:proofErr w:type="gramEnd"/>
      <w:r>
        <w:rPr>
          <w:b w:val="0"/>
          <w:bCs w:val="0"/>
          <w:sz w:val="24"/>
          <w:szCs w:val="24"/>
        </w:rPr>
        <w:t xml:space="preserve"> the Court notes they have taken down the scholarship from their web page. </w:t>
      </w:r>
    </w:p>
    <w:p w14:paraId="2A418C52" w14:textId="77777777" w:rsidR="00D96E5D" w:rsidRPr="001B6242" w:rsidRDefault="00D96E5D" w:rsidP="00D96E5D">
      <w:pPr>
        <w:pStyle w:val="NoSpacing"/>
        <w:ind w:firstLine="720"/>
        <w:rPr>
          <w:rFonts w:ascii="Times New Roman" w:hAnsi="Times New Roman"/>
          <w:sz w:val="24"/>
          <w:szCs w:val="24"/>
        </w:rPr>
      </w:pPr>
      <w:r>
        <w:rPr>
          <w:rFonts w:ascii="Times New Roman" w:hAnsi="Times New Roman"/>
          <w:sz w:val="24"/>
          <w:szCs w:val="24"/>
        </w:rPr>
        <w:t>“</w:t>
      </w:r>
      <w:r w:rsidRPr="001B6242">
        <w:rPr>
          <w:rFonts w:ascii="Times New Roman" w:hAnsi="Times New Roman"/>
          <w:sz w:val="24"/>
          <w:szCs w:val="24"/>
        </w:rPr>
        <w:t>Applied here, the caselaw suggests infirmities in Do No Harm’s standing to bring this</w:t>
      </w:r>
    </w:p>
    <w:p w14:paraId="2FB0EF25" w14:textId="77777777" w:rsidR="00D96E5D" w:rsidRPr="001B6242" w:rsidRDefault="00D96E5D" w:rsidP="00D96E5D">
      <w:pPr>
        <w:pStyle w:val="NoSpacing"/>
        <w:ind w:firstLine="720"/>
        <w:rPr>
          <w:rFonts w:ascii="Times New Roman" w:hAnsi="Times New Roman"/>
          <w:sz w:val="24"/>
          <w:szCs w:val="24"/>
        </w:rPr>
      </w:pPr>
      <w:r w:rsidRPr="001B6242">
        <w:rPr>
          <w:rFonts w:ascii="Times New Roman" w:hAnsi="Times New Roman"/>
          <w:sz w:val="24"/>
          <w:szCs w:val="24"/>
        </w:rPr>
        <w:t>§ 1981 claim. Its member has apparently only been deterred from applying, rather than</w:t>
      </w:r>
    </w:p>
    <w:p w14:paraId="31D3319D" w14:textId="77777777" w:rsidR="00D96E5D" w:rsidRDefault="00D96E5D" w:rsidP="00D96E5D">
      <w:pPr>
        <w:pStyle w:val="NoSpacing"/>
        <w:ind w:left="720"/>
        <w:rPr>
          <w:rFonts w:ascii="Times New Roman" w:hAnsi="Times New Roman"/>
          <w:sz w:val="24"/>
          <w:szCs w:val="24"/>
        </w:rPr>
      </w:pPr>
      <w:r w:rsidRPr="001B6242">
        <w:rPr>
          <w:rFonts w:ascii="Times New Roman" w:hAnsi="Times New Roman"/>
          <w:sz w:val="24"/>
          <w:szCs w:val="24"/>
        </w:rPr>
        <w:t>refused a contract. See Arguello, 330 F.3d at 358-59. And in the absence of a racial requirement</w:t>
      </w:r>
      <w:r>
        <w:rPr>
          <w:rFonts w:ascii="Times New Roman" w:hAnsi="Times New Roman"/>
          <w:sz w:val="24"/>
          <w:szCs w:val="24"/>
        </w:rPr>
        <w:t xml:space="preserve"> </w:t>
      </w:r>
      <w:r w:rsidRPr="001B6242">
        <w:rPr>
          <w:rFonts w:ascii="Times New Roman" w:hAnsi="Times New Roman"/>
          <w:sz w:val="24"/>
          <w:szCs w:val="24"/>
        </w:rPr>
        <w:t>in the scholarship’s eligibility requirements or an explicit bar against white applicants, we</w:t>
      </w:r>
      <w:r w:rsidRPr="001B6242">
        <w:rPr>
          <w:rFonts w:ascii="Times New Roman" w:hAnsi="Times New Roman"/>
          <w:b/>
          <w:bCs/>
          <w:sz w:val="24"/>
          <w:szCs w:val="24"/>
        </w:rPr>
        <w:t xml:space="preserve"> </w:t>
      </w:r>
      <w:r w:rsidRPr="001B6242">
        <w:rPr>
          <w:rFonts w:ascii="Times New Roman" w:hAnsi="Times New Roman"/>
          <w:sz w:val="24"/>
          <w:szCs w:val="24"/>
        </w:rPr>
        <w:t xml:space="preserve">are all forced to </w:t>
      </w:r>
      <w:r>
        <w:rPr>
          <w:rFonts w:ascii="Times New Roman" w:hAnsi="Times New Roman"/>
          <w:sz w:val="24"/>
          <w:szCs w:val="24"/>
        </w:rPr>
        <w:t>‘</w:t>
      </w:r>
      <w:r w:rsidRPr="001B6242">
        <w:rPr>
          <w:rFonts w:ascii="Times New Roman" w:hAnsi="Times New Roman"/>
          <w:sz w:val="24"/>
          <w:szCs w:val="24"/>
        </w:rPr>
        <w:t>speculate as to the injuries [Member A] might suffer. That we cannot do.</w:t>
      </w:r>
      <w:r>
        <w:rPr>
          <w:rFonts w:ascii="Times New Roman" w:hAnsi="Times New Roman"/>
          <w:sz w:val="24"/>
          <w:szCs w:val="24"/>
        </w:rPr>
        <w:t xml:space="preserve">’ </w:t>
      </w:r>
      <w:r w:rsidRPr="001B6242">
        <w:rPr>
          <w:rFonts w:ascii="Times New Roman" w:hAnsi="Times New Roman"/>
          <w:sz w:val="24"/>
          <w:szCs w:val="24"/>
        </w:rPr>
        <w:t>Barber, 860 F.3d at 357.</w:t>
      </w:r>
    </w:p>
    <w:p w14:paraId="0E231F57" w14:textId="77777777" w:rsidR="00D96E5D" w:rsidRDefault="00D96E5D" w:rsidP="00D96E5D">
      <w:pPr>
        <w:pStyle w:val="NoSpacing"/>
        <w:ind w:left="720"/>
        <w:rPr>
          <w:rFonts w:ascii="Times New Roman" w:hAnsi="Times New Roman"/>
          <w:sz w:val="24"/>
          <w:szCs w:val="24"/>
        </w:rPr>
      </w:pPr>
    </w:p>
    <w:p w14:paraId="74761522" w14:textId="77777777" w:rsidR="00D96E5D" w:rsidRDefault="00D96E5D" w:rsidP="00D96E5D">
      <w:pPr>
        <w:pStyle w:val="NoSpacing"/>
        <w:ind w:left="720"/>
        <w:rPr>
          <w:rFonts w:ascii="Times New Roman" w:hAnsi="Times New Roman"/>
          <w:sz w:val="24"/>
          <w:szCs w:val="24"/>
        </w:rPr>
      </w:pPr>
      <w:r>
        <w:rPr>
          <w:rFonts w:ascii="Times New Roman" w:hAnsi="Times New Roman"/>
          <w:sz w:val="24"/>
          <w:szCs w:val="24"/>
        </w:rPr>
        <w:t>***</w:t>
      </w:r>
    </w:p>
    <w:p w14:paraId="7115B2F5" w14:textId="77777777" w:rsidR="00D96E5D" w:rsidRDefault="00D96E5D" w:rsidP="00D96E5D">
      <w:pPr>
        <w:pStyle w:val="NoSpacing"/>
        <w:ind w:firstLine="720"/>
        <w:rPr>
          <w:rFonts w:ascii="Times New Roman" w:hAnsi="Times New Roman"/>
          <w:b/>
          <w:bCs/>
          <w:sz w:val="24"/>
          <w:szCs w:val="24"/>
        </w:rPr>
      </w:pPr>
    </w:p>
    <w:p w14:paraId="687F59B6" w14:textId="77777777" w:rsidR="00D96E5D" w:rsidRPr="001178AA" w:rsidRDefault="00D96E5D" w:rsidP="00D96E5D">
      <w:pPr>
        <w:pStyle w:val="NoSpacing"/>
        <w:ind w:firstLine="720"/>
        <w:rPr>
          <w:rFonts w:ascii="Times New Roman" w:hAnsi="Times New Roman"/>
          <w:sz w:val="24"/>
          <w:szCs w:val="24"/>
        </w:rPr>
      </w:pPr>
      <w:r w:rsidRPr="001178AA">
        <w:rPr>
          <w:rFonts w:ascii="Times New Roman" w:hAnsi="Times New Roman"/>
          <w:sz w:val="24"/>
          <w:szCs w:val="24"/>
        </w:rPr>
        <w:t>Lastly, the Court observes that as of today, NAEMT has removed its diversity</w:t>
      </w:r>
    </w:p>
    <w:p w14:paraId="78A18CEE" w14:textId="77777777" w:rsidR="00D96E5D" w:rsidRPr="001178AA" w:rsidRDefault="00D96E5D" w:rsidP="00D96E5D">
      <w:pPr>
        <w:pStyle w:val="NoSpacing"/>
        <w:ind w:left="720"/>
        <w:rPr>
          <w:rFonts w:ascii="Times New Roman" w:hAnsi="Times New Roman"/>
          <w:sz w:val="24"/>
          <w:szCs w:val="24"/>
        </w:rPr>
      </w:pPr>
      <w:r w:rsidRPr="001178AA">
        <w:rPr>
          <w:rFonts w:ascii="Times New Roman" w:hAnsi="Times New Roman"/>
          <w:sz w:val="24"/>
          <w:szCs w:val="24"/>
        </w:rPr>
        <w:t>scholarship from public display on its website. If the parties’ differences have been resolved,</w:t>
      </w:r>
      <w:r>
        <w:rPr>
          <w:rFonts w:ascii="Times New Roman" w:hAnsi="Times New Roman"/>
          <w:sz w:val="24"/>
          <w:szCs w:val="24"/>
        </w:rPr>
        <w:t xml:space="preserve"> </w:t>
      </w:r>
      <w:r w:rsidRPr="001178AA">
        <w:rPr>
          <w:rFonts w:ascii="Times New Roman" w:hAnsi="Times New Roman"/>
          <w:sz w:val="24"/>
          <w:szCs w:val="24"/>
        </w:rPr>
        <w:t>they shall promptly notify the Court.</w:t>
      </w:r>
      <w:r>
        <w:rPr>
          <w:rFonts w:ascii="Times New Roman" w:hAnsi="Times New Roman"/>
          <w:sz w:val="24"/>
          <w:szCs w:val="24"/>
        </w:rPr>
        <w:t xml:space="preserve">” </w:t>
      </w:r>
      <w:hyperlink r:id="rId1558" w:history="1">
        <w:r w:rsidRPr="00663E4B">
          <w:rPr>
            <w:rStyle w:val="Hyperlink"/>
            <w:rFonts w:ascii="Times New Roman" w:hAnsi="Times New Roman"/>
            <w:sz w:val="24"/>
            <w:szCs w:val="24"/>
          </w:rPr>
          <w:t>https://cases.justia.com/federal/district-courts/mississippi/mssdce/3:2024cv00011/123477/12/0.pdf?ts=1706115384</w:t>
        </w:r>
      </w:hyperlink>
      <w:r>
        <w:rPr>
          <w:rFonts w:ascii="Times New Roman" w:hAnsi="Times New Roman"/>
          <w:sz w:val="24"/>
          <w:szCs w:val="24"/>
        </w:rPr>
        <w:t xml:space="preserve"> </w:t>
      </w:r>
    </w:p>
    <w:p w14:paraId="3EC71BF7" w14:textId="77777777" w:rsidR="00643222" w:rsidRDefault="00643222" w:rsidP="00643222">
      <w:pPr>
        <w:pStyle w:val="NoSpacing"/>
        <w:rPr>
          <w:rFonts w:ascii="Times New Roman" w:hAnsi="Times New Roman"/>
          <w:b/>
          <w:bCs/>
          <w:sz w:val="24"/>
          <w:szCs w:val="24"/>
        </w:rPr>
      </w:pPr>
    </w:p>
    <w:p w14:paraId="084F58B6" w14:textId="58D6AD67" w:rsidR="00643222" w:rsidRDefault="00643222" w:rsidP="00643222">
      <w:pPr>
        <w:pStyle w:val="NoSpacing"/>
        <w:rPr>
          <w:rFonts w:ascii="Times New Roman" w:hAnsi="Times New Roman"/>
          <w:b/>
          <w:bCs/>
          <w:sz w:val="24"/>
          <w:szCs w:val="24"/>
        </w:rPr>
      </w:pPr>
      <w:r w:rsidRPr="001065A9">
        <w:rPr>
          <w:rFonts w:ascii="Times New Roman" w:hAnsi="Times New Roman"/>
          <w:b/>
          <w:bCs/>
          <w:sz w:val="24"/>
          <w:szCs w:val="24"/>
        </w:rPr>
        <w:t xml:space="preserve">Legal Lesson Learned: </w:t>
      </w:r>
      <w:r>
        <w:rPr>
          <w:rFonts w:ascii="Times New Roman" w:hAnsi="Times New Roman"/>
          <w:b/>
          <w:bCs/>
          <w:sz w:val="24"/>
          <w:szCs w:val="24"/>
        </w:rPr>
        <w:t xml:space="preserve">Lawsuit may now proceed with pre-trial discovery unless it has been mooted by NAEMT dropping their diversity scholarships. </w:t>
      </w:r>
    </w:p>
    <w:p w14:paraId="670AF7A9" w14:textId="77777777" w:rsidR="00643222" w:rsidRDefault="00643222" w:rsidP="00643222">
      <w:pPr>
        <w:pStyle w:val="NoSpacing"/>
        <w:rPr>
          <w:rFonts w:ascii="Times New Roman" w:hAnsi="Times New Roman"/>
          <w:b/>
          <w:bCs/>
          <w:sz w:val="24"/>
          <w:szCs w:val="24"/>
        </w:rPr>
      </w:pPr>
    </w:p>
    <w:p w14:paraId="2ACBFB6B" w14:textId="32A92EA7" w:rsidR="00643222" w:rsidRDefault="00643222" w:rsidP="00643222">
      <w:pPr>
        <w:pStyle w:val="NoSpacing"/>
        <w:ind w:left="720"/>
        <w:rPr>
          <w:rFonts w:ascii="Times New Roman" w:hAnsi="Times New Roman"/>
          <w:sz w:val="24"/>
          <w:szCs w:val="24"/>
        </w:rPr>
      </w:pPr>
      <w:r w:rsidRPr="0082425E">
        <w:rPr>
          <w:rFonts w:ascii="Times New Roman" w:hAnsi="Times New Roman"/>
          <w:sz w:val="24"/>
          <w:szCs w:val="24"/>
        </w:rPr>
        <w:t>Note:</w:t>
      </w:r>
      <w:r>
        <w:rPr>
          <w:rFonts w:ascii="Times New Roman" w:hAnsi="Times New Roman"/>
          <w:sz w:val="24"/>
          <w:szCs w:val="24"/>
        </w:rPr>
        <w:t xml:space="preserve"> This case is another example of lawsuits being filed challenging diversity programs s</w:t>
      </w:r>
      <w:r w:rsidRPr="0082425E">
        <w:rPr>
          <w:rFonts w:ascii="Times New Roman" w:hAnsi="Times New Roman"/>
          <w:sz w:val="24"/>
          <w:szCs w:val="24"/>
        </w:rPr>
        <w:t xml:space="preserve">ince the U.S. Supreme Court’s June 29, </w:t>
      </w:r>
      <w:proofErr w:type="gramStart"/>
      <w:r w:rsidRPr="0082425E">
        <w:rPr>
          <w:rFonts w:ascii="Times New Roman" w:hAnsi="Times New Roman"/>
          <w:sz w:val="24"/>
          <w:szCs w:val="24"/>
        </w:rPr>
        <w:t>2023</w:t>
      </w:r>
      <w:proofErr w:type="gramEnd"/>
      <w:r w:rsidRPr="0082425E">
        <w:rPr>
          <w:rFonts w:ascii="Times New Roman" w:hAnsi="Times New Roman"/>
          <w:sz w:val="24"/>
          <w:szCs w:val="24"/>
        </w:rPr>
        <w:t xml:space="preserve"> decision holding that Harvard University and University of North Carolina’s admissions programs accounting for race of applicants violated the Equal Protection Clause of 14</w:t>
      </w:r>
      <w:r w:rsidRPr="0082425E">
        <w:rPr>
          <w:rFonts w:ascii="Times New Roman" w:hAnsi="Times New Roman"/>
          <w:sz w:val="24"/>
          <w:szCs w:val="24"/>
          <w:vertAlign w:val="superscript"/>
        </w:rPr>
        <w:t>th</w:t>
      </w:r>
      <w:r w:rsidRPr="0082425E">
        <w:rPr>
          <w:rFonts w:ascii="Times New Roman" w:hAnsi="Times New Roman"/>
          <w:sz w:val="24"/>
          <w:szCs w:val="24"/>
        </w:rPr>
        <w:t xml:space="preserve"> Amendment</w:t>
      </w:r>
      <w:r>
        <w:rPr>
          <w:rFonts w:ascii="Times New Roman" w:hAnsi="Times New Roman"/>
          <w:sz w:val="24"/>
          <w:szCs w:val="24"/>
        </w:rPr>
        <w:t xml:space="preserve">. </w:t>
      </w:r>
      <w:r w:rsidRPr="00C13969">
        <w:rPr>
          <w:rFonts w:ascii="Times New Roman" w:hAnsi="Times New Roman"/>
          <w:sz w:val="24"/>
          <w:szCs w:val="24"/>
        </w:rPr>
        <w:t>STUDENTS FOR FAIR ADMISSIONS, INC. v.</w:t>
      </w:r>
      <w:r>
        <w:rPr>
          <w:rFonts w:ascii="Times New Roman" w:hAnsi="Times New Roman"/>
          <w:sz w:val="24"/>
          <w:szCs w:val="24"/>
        </w:rPr>
        <w:t xml:space="preserve"> </w:t>
      </w:r>
      <w:r w:rsidRPr="00C13969">
        <w:rPr>
          <w:rFonts w:ascii="Times New Roman" w:hAnsi="Times New Roman"/>
          <w:sz w:val="24"/>
          <w:szCs w:val="24"/>
        </w:rPr>
        <w:t>PRESIDENT AND FELLOWS OF</w:t>
      </w:r>
      <w:r>
        <w:rPr>
          <w:rFonts w:ascii="Times New Roman" w:hAnsi="Times New Roman"/>
          <w:sz w:val="24"/>
          <w:szCs w:val="24"/>
        </w:rPr>
        <w:t xml:space="preserve"> </w:t>
      </w:r>
      <w:r w:rsidRPr="00C13969">
        <w:rPr>
          <w:rFonts w:ascii="Times New Roman" w:hAnsi="Times New Roman"/>
          <w:sz w:val="24"/>
          <w:szCs w:val="24"/>
        </w:rPr>
        <w:t>HARVARD COLLEGE</w:t>
      </w:r>
      <w:r>
        <w:rPr>
          <w:rFonts w:ascii="Times New Roman" w:hAnsi="Times New Roman"/>
          <w:sz w:val="24"/>
          <w:szCs w:val="24"/>
        </w:rPr>
        <w:t xml:space="preserve"> (6 to 2; Justice </w:t>
      </w:r>
      <w:r w:rsidR="00394037">
        <w:rPr>
          <w:rFonts w:ascii="Times New Roman" w:hAnsi="Times New Roman"/>
          <w:sz w:val="24"/>
          <w:szCs w:val="24"/>
        </w:rPr>
        <w:t>Ketanji</w:t>
      </w:r>
      <w:r>
        <w:rPr>
          <w:rFonts w:ascii="Times New Roman" w:hAnsi="Times New Roman"/>
          <w:sz w:val="24"/>
          <w:szCs w:val="24"/>
        </w:rPr>
        <w:t xml:space="preserve"> Brown Jackson recused herself), and STUDENTS FOR ADMISSION v. UNIVERSITY OF NORTH CARLINA (6 to 3). </w:t>
      </w:r>
      <w:hyperlink r:id="rId1559" w:history="1">
        <w:r w:rsidRPr="00663E4B">
          <w:rPr>
            <w:rStyle w:val="Hyperlink"/>
            <w:rFonts w:ascii="Times New Roman" w:hAnsi="Times New Roman"/>
            <w:sz w:val="24"/>
            <w:szCs w:val="24"/>
          </w:rPr>
          <w:t>https://www.supremecourt.gov/opinions/22pdf/600us1r53_4g15.pdf</w:t>
        </w:r>
      </w:hyperlink>
      <w:r>
        <w:rPr>
          <w:rFonts w:ascii="Times New Roman" w:hAnsi="Times New Roman"/>
          <w:sz w:val="24"/>
          <w:szCs w:val="24"/>
        </w:rPr>
        <w:t xml:space="preserve"> </w:t>
      </w:r>
    </w:p>
    <w:p w14:paraId="6E78F65C" w14:textId="77777777" w:rsidR="00643222" w:rsidRDefault="00643222" w:rsidP="00643222">
      <w:pPr>
        <w:pStyle w:val="NoSpacing"/>
        <w:ind w:left="720"/>
        <w:rPr>
          <w:rFonts w:ascii="Times New Roman" w:hAnsi="Times New Roman"/>
          <w:sz w:val="24"/>
          <w:szCs w:val="24"/>
        </w:rPr>
      </w:pPr>
    </w:p>
    <w:p w14:paraId="319013FF" w14:textId="77777777" w:rsidR="00643222" w:rsidRPr="003906A9" w:rsidRDefault="00643222" w:rsidP="00643222">
      <w:pPr>
        <w:pStyle w:val="NoSpacing"/>
        <w:ind w:left="720"/>
        <w:rPr>
          <w:rFonts w:ascii="Times New Roman" w:hAnsi="Times New Roman"/>
          <w:sz w:val="24"/>
          <w:szCs w:val="24"/>
        </w:rPr>
      </w:pPr>
      <w:r w:rsidRPr="003906A9">
        <w:rPr>
          <w:rFonts w:ascii="Times New Roman" w:hAnsi="Times New Roman"/>
          <w:sz w:val="24"/>
          <w:szCs w:val="24"/>
        </w:rPr>
        <w:t xml:space="preserve">See: </w:t>
      </w:r>
      <w:r>
        <w:rPr>
          <w:rFonts w:ascii="Times New Roman" w:hAnsi="Times New Roman"/>
          <w:sz w:val="24"/>
          <w:szCs w:val="24"/>
        </w:rPr>
        <w:t>“</w:t>
      </w:r>
      <w:r w:rsidRPr="003906A9">
        <w:rPr>
          <w:rFonts w:ascii="Times New Roman" w:hAnsi="Times New Roman"/>
          <w:sz w:val="24"/>
          <w:szCs w:val="24"/>
        </w:rPr>
        <w:t>As Legal Challenges Mount, Some Companies Retool Diversity and Inclusion Programs</w:t>
      </w:r>
      <w:r>
        <w:rPr>
          <w:rFonts w:ascii="Times New Roman" w:hAnsi="Times New Roman"/>
          <w:sz w:val="24"/>
          <w:szCs w:val="24"/>
        </w:rPr>
        <w:t>”</w:t>
      </w:r>
      <w:r w:rsidRPr="003906A9">
        <w:rPr>
          <w:rFonts w:ascii="Times New Roman" w:hAnsi="Times New Roman"/>
          <w:sz w:val="24"/>
          <w:szCs w:val="24"/>
        </w:rPr>
        <w:t xml:space="preserve"> (Jan. 12, 2024). </w:t>
      </w:r>
      <w:hyperlink r:id="rId1560" w:history="1">
        <w:r w:rsidRPr="003906A9">
          <w:rPr>
            <w:rStyle w:val="Hyperlink"/>
            <w:rFonts w:ascii="Times New Roman" w:hAnsi="Times New Roman"/>
            <w:sz w:val="24"/>
            <w:szCs w:val="24"/>
          </w:rPr>
          <w:t>https://www.usnews.com/news/us/articles/2024-01-14/as-legal-challenges-mount-some-companies-retool-diversity-and-inclusion-programs</w:t>
        </w:r>
      </w:hyperlink>
      <w:r w:rsidRPr="003906A9">
        <w:rPr>
          <w:rFonts w:ascii="Times New Roman" w:hAnsi="Times New Roman"/>
          <w:sz w:val="24"/>
          <w:szCs w:val="24"/>
        </w:rPr>
        <w:t xml:space="preserve"> </w:t>
      </w:r>
    </w:p>
    <w:p w14:paraId="7F5BD8C0" w14:textId="77777777" w:rsidR="00643222" w:rsidRDefault="00643222" w:rsidP="00643222">
      <w:pPr>
        <w:pStyle w:val="Heading1"/>
        <w:ind w:left="720"/>
        <w:rPr>
          <w:b w:val="0"/>
          <w:bCs w:val="0"/>
          <w:sz w:val="24"/>
          <w:szCs w:val="24"/>
        </w:rPr>
      </w:pPr>
      <w:r w:rsidRPr="009C4E23">
        <w:rPr>
          <w:b w:val="0"/>
          <w:bCs w:val="0"/>
          <w:sz w:val="24"/>
          <w:szCs w:val="24"/>
        </w:rPr>
        <w:t>See</w:t>
      </w:r>
      <w:r>
        <w:rPr>
          <w:b w:val="0"/>
          <w:bCs w:val="0"/>
          <w:sz w:val="24"/>
          <w:szCs w:val="24"/>
        </w:rPr>
        <w:t xml:space="preserve"> also:</w:t>
      </w:r>
      <w:r w:rsidRPr="009C4E23">
        <w:rPr>
          <w:b w:val="0"/>
          <w:bCs w:val="0"/>
          <w:sz w:val="24"/>
          <w:szCs w:val="24"/>
        </w:rPr>
        <w:t xml:space="preserve"> “Lawsuits Challenge Law Firm Diversity Programs as Racially Discriminatory” (Oct. 6, 2023). </w:t>
      </w:r>
      <w:hyperlink r:id="rId1561" w:history="1">
        <w:r w:rsidRPr="009C4E23">
          <w:rPr>
            <w:rStyle w:val="Hyperlink"/>
            <w:b w:val="0"/>
            <w:bCs w:val="0"/>
            <w:sz w:val="24"/>
            <w:szCs w:val="24"/>
          </w:rPr>
          <w:t>https://fedsoc.org/commentary/fedsoc-blog/lawsuits-challenge-law-firm-diversity-programs-as-racially-discriminatory</w:t>
        </w:r>
      </w:hyperlink>
      <w:r w:rsidRPr="009C4E23">
        <w:rPr>
          <w:b w:val="0"/>
          <w:bCs w:val="0"/>
          <w:sz w:val="24"/>
          <w:szCs w:val="24"/>
        </w:rPr>
        <w:t xml:space="preserve"> </w:t>
      </w:r>
    </w:p>
    <w:p w14:paraId="0C67E1D5" w14:textId="77777777" w:rsidR="00643222" w:rsidRDefault="00643222" w:rsidP="00BC70A3">
      <w:pPr>
        <w:rPr>
          <w:rFonts w:ascii="Arial Black" w:hAnsi="Arial Black"/>
          <w:b/>
          <w:sz w:val="24"/>
          <w:szCs w:val="24"/>
        </w:rPr>
      </w:pPr>
    </w:p>
    <w:p w14:paraId="6B578B71" w14:textId="77777777" w:rsidR="00E47A1F" w:rsidRDefault="00E47A1F" w:rsidP="00BC70A3">
      <w:pPr>
        <w:rPr>
          <w:rFonts w:ascii="Arial Black" w:hAnsi="Arial Black"/>
          <w:b/>
          <w:sz w:val="24"/>
          <w:szCs w:val="24"/>
        </w:rPr>
      </w:pPr>
    </w:p>
    <w:p w14:paraId="03EE2F66" w14:textId="77777777" w:rsidR="00E47A1F" w:rsidRDefault="00E47A1F" w:rsidP="00BC70A3">
      <w:pPr>
        <w:rPr>
          <w:rFonts w:ascii="Arial Black" w:hAnsi="Arial Black"/>
          <w:b/>
          <w:sz w:val="24"/>
          <w:szCs w:val="24"/>
        </w:rPr>
      </w:pPr>
    </w:p>
    <w:p w14:paraId="02E49FA9" w14:textId="188D687D" w:rsidR="007F6B94" w:rsidRDefault="007F6B94" w:rsidP="00BC70A3">
      <w:pPr>
        <w:rPr>
          <w:rFonts w:ascii="Arial Black" w:hAnsi="Arial Black"/>
          <w:b/>
          <w:sz w:val="24"/>
          <w:szCs w:val="24"/>
        </w:rPr>
      </w:pPr>
      <w:r>
        <w:rPr>
          <w:rFonts w:ascii="Arial Black" w:hAnsi="Arial Black"/>
          <w:b/>
          <w:sz w:val="24"/>
          <w:szCs w:val="24"/>
        </w:rPr>
        <w:t>8-56</w:t>
      </w:r>
    </w:p>
    <w:p w14:paraId="5986DF1F" w14:textId="77777777" w:rsidR="0051041F" w:rsidRPr="00D437F9" w:rsidRDefault="0051041F" w:rsidP="0051041F">
      <w:pPr>
        <w:pStyle w:val="NoSpacing"/>
        <w:rPr>
          <w:rFonts w:ascii="Arial Black" w:hAnsi="Arial Black"/>
          <w:sz w:val="28"/>
          <w:szCs w:val="28"/>
        </w:rPr>
      </w:pPr>
      <w:r>
        <w:rPr>
          <w:rFonts w:ascii="Arial Black" w:hAnsi="Arial Black"/>
          <w:sz w:val="28"/>
          <w:szCs w:val="28"/>
        </w:rPr>
        <w:t xml:space="preserve">DE: BLACK LT. – 2020 “BAND ONE” FOR CAPTAIN – 5 WHITES PROMOTED – 2022 LOWERED “BAND TWO” - CASE PROCEED </w:t>
      </w:r>
    </w:p>
    <w:p w14:paraId="262A9489" w14:textId="77777777" w:rsidR="0051041F" w:rsidRDefault="0051041F" w:rsidP="0051041F">
      <w:pPr>
        <w:pStyle w:val="NoSpacing"/>
        <w:rPr>
          <w:rFonts w:ascii="Times New Roman" w:hAnsi="Times New Roman"/>
          <w:sz w:val="24"/>
          <w:szCs w:val="24"/>
        </w:rPr>
      </w:pPr>
    </w:p>
    <w:p w14:paraId="4A91114D" w14:textId="77777777" w:rsidR="0051041F" w:rsidRDefault="0051041F" w:rsidP="0051041F">
      <w:pPr>
        <w:pStyle w:val="NoSpacing"/>
        <w:rPr>
          <w:rFonts w:ascii="Times New Roman" w:hAnsi="Times New Roman"/>
          <w:sz w:val="24"/>
          <w:szCs w:val="24"/>
        </w:rPr>
      </w:pPr>
      <w:r>
        <w:rPr>
          <w:rFonts w:ascii="Times New Roman" w:hAnsi="Times New Roman"/>
          <w:sz w:val="24"/>
          <w:szCs w:val="24"/>
        </w:rPr>
        <w:t xml:space="preserve">On Dec. 15, 2023, in </w:t>
      </w:r>
      <w:r w:rsidRPr="00AC0301">
        <w:rPr>
          <w:rFonts w:ascii="Times New Roman" w:hAnsi="Times New Roman"/>
          <w:sz w:val="24"/>
          <w:szCs w:val="24"/>
          <w:u w:val="single"/>
        </w:rPr>
        <w:t>Craig Black v. City of Wilmington</w:t>
      </w:r>
      <w:r>
        <w:rPr>
          <w:rFonts w:ascii="Times New Roman" w:hAnsi="Times New Roman"/>
          <w:sz w:val="24"/>
          <w:szCs w:val="24"/>
        </w:rPr>
        <w:t>, U.S. District Court Judge Gregory B. William, U.S. District Court for District of Delaware, denied most of the City’s motion to dismiss; the complaint alleges sufficient facts to permit pre-trial discovery.  The Court wrote: “H</w:t>
      </w:r>
      <w:r w:rsidRPr="00355BA0">
        <w:rPr>
          <w:rFonts w:ascii="Times New Roman" w:hAnsi="Times New Roman"/>
          <w:sz w:val="24"/>
          <w:szCs w:val="24"/>
        </w:rPr>
        <w:t>ere, Black has alleged numerous acts of</w:t>
      </w:r>
      <w:r>
        <w:rPr>
          <w:rFonts w:ascii="Times New Roman" w:hAnsi="Times New Roman"/>
          <w:sz w:val="24"/>
          <w:szCs w:val="24"/>
        </w:rPr>
        <w:t xml:space="preserve"> </w:t>
      </w:r>
      <w:r w:rsidRPr="00355BA0">
        <w:rPr>
          <w:rFonts w:ascii="Times New Roman" w:hAnsi="Times New Roman"/>
          <w:sz w:val="24"/>
          <w:szCs w:val="24"/>
        </w:rPr>
        <w:t>retaliation by Defendants over a thirteen-month timeframe, which include denying Black</w:t>
      </w:r>
      <w:r>
        <w:rPr>
          <w:rFonts w:ascii="Times New Roman" w:hAnsi="Times New Roman"/>
          <w:sz w:val="24"/>
          <w:szCs w:val="24"/>
        </w:rPr>
        <w:t xml:space="preserve"> </w:t>
      </w:r>
      <w:r w:rsidRPr="00355BA0">
        <w:rPr>
          <w:rFonts w:ascii="Times New Roman" w:hAnsi="Times New Roman"/>
          <w:sz w:val="24"/>
          <w:szCs w:val="24"/>
        </w:rPr>
        <w:t>promotions to the rank of Captain on several occasions; dispersing General Order 2022-15 that</w:t>
      </w:r>
      <w:r>
        <w:rPr>
          <w:rFonts w:ascii="Times New Roman" w:hAnsi="Times New Roman"/>
          <w:sz w:val="24"/>
          <w:szCs w:val="24"/>
        </w:rPr>
        <w:t xml:space="preserve"> </w:t>
      </w:r>
      <w:r w:rsidRPr="00355BA0">
        <w:rPr>
          <w:rFonts w:ascii="Times New Roman" w:hAnsi="Times New Roman"/>
          <w:sz w:val="24"/>
          <w:szCs w:val="24"/>
        </w:rPr>
        <w:t>altered the City's procedures for promotions by requiring that promotions to Captain be made</w:t>
      </w:r>
      <w:r>
        <w:rPr>
          <w:rFonts w:ascii="Times New Roman" w:hAnsi="Times New Roman"/>
          <w:sz w:val="24"/>
          <w:szCs w:val="24"/>
        </w:rPr>
        <w:t xml:space="preserve"> </w:t>
      </w:r>
      <w:r w:rsidRPr="00355BA0">
        <w:rPr>
          <w:rFonts w:ascii="Times New Roman" w:hAnsi="Times New Roman"/>
          <w:sz w:val="24"/>
          <w:szCs w:val="24"/>
        </w:rPr>
        <w:t>only from Band One; and ultimately demoting Black to Band Two despite the fact he was</w:t>
      </w:r>
      <w:r>
        <w:rPr>
          <w:rFonts w:ascii="Times New Roman" w:hAnsi="Times New Roman"/>
          <w:sz w:val="24"/>
          <w:szCs w:val="24"/>
        </w:rPr>
        <w:t xml:space="preserve"> </w:t>
      </w:r>
      <w:r w:rsidRPr="00355BA0">
        <w:rPr>
          <w:rFonts w:ascii="Times New Roman" w:hAnsi="Times New Roman"/>
          <w:sz w:val="24"/>
          <w:szCs w:val="24"/>
        </w:rPr>
        <w:t>previously placed on Band One</w:t>
      </w:r>
      <w:r>
        <w:rPr>
          <w:rFonts w:ascii="Times New Roman" w:hAnsi="Times New Roman"/>
          <w:sz w:val="24"/>
          <w:szCs w:val="24"/>
        </w:rPr>
        <w:t xml:space="preserve">. ***  </w:t>
      </w:r>
      <w:r w:rsidRPr="007404E7">
        <w:rPr>
          <w:rFonts w:ascii="Times New Roman" w:hAnsi="Times New Roman"/>
          <w:sz w:val="24"/>
          <w:szCs w:val="24"/>
        </w:rPr>
        <w:t>Additionally, while Defendants stress that Black was found guilty of a disciplinary action in an</w:t>
      </w:r>
      <w:r>
        <w:rPr>
          <w:rFonts w:ascii="Times New Roman" w:hAnsi="Times New Roman"/>
          <w:sz w:val="24"/>
          <w:szCs w:val="24"/>
        </w:rPr>
        <w:t xml:space="preserve"> </w:t>
      </w:r>
      <w:r w:rsidRPr="007404E7">
        <w:rPr>
          <w:rFonts w:ascii="Times New Roman" w:hAnsi="Times New Roman"/>
          <w:sz w:val="24"/>
          <w:szCs w:val="24"/>
        </w:rPr>
        <w:t>attempt to further distinguish him from the five comparators</w:t>
      </w:r>
      <w:r>
        <w:rPr>
          <w:rFonts w:ascii="Times New Roman" w:hAnsi="Times New Roman"/>
          <w:sz w:val="24"/>
          <w:szCs w:val="24"/>
        </w:rPr>
        <w:t xml:space="preserve"> … </w:t>
      </w:r>
      <w:r w:rsidRPr="007404E7">
        <w:rPr>
          <w:rFonts w:ascii="Times New Roman" w:hAnsi="Times New Roman"/>
          <w:sz w:val="24"/>
          <w:szCs w:val="24"/>
        </w:rPr>
        <w:t>the Court notes again</w:t>
      </w:r>
      <w:r>
        <w:rPr>
          <w:rFonts w:ascii="Times New Roman" w:hAnsi="Times New Roman"/>
          <w:sz w:val="24"/>
          <w:szCs w:val="24"/>
        </w:rPr>
        <w:t xml:space="preserve"> </w:t>
      </w:r>
      <w:r w:rsidRPr="007404E7">
        <w:rPr>
          <w:rFonts w:ascii="Times New Roman" w:hAnsi="Times New Roman"/>
          <w:sz w:val="24"/>
          <w:szCs w:val="24"/>
        </w:rPr>
        <w:t>that it cannot consider new evidence that was not alleged in Black' s pleadings, including the status</w:t>
      </w:r>
      <w:r>
        <w:rPr>
          <w:rFonts w:ascii="Times New Roman" w:hAnsi="Times New Roman"/>
          <w:sz w:val="24"/>
          <w:szCs w:val="24"/>
        </w:rPr>
        <w:t xml:space="preserve"> </w:t>
      </w:r>
      <w:r w:rsidRPr="007404E7">
        <w:rPr>
          <w:rFonts w:ascii="Times New Roman" w:hAnsi="Times New Roman"/>
          <w:sz w:val="24"/>
          <w:szCs w:val="24"/>
        </w:rPr>
        <w:t>of his disciplinary action and the disciplinary records of the five comparators.</w:t>
      </w:r>
      <w:r>
        <w:rPr>
          <w:rFonts w:ascii="Times New Roman" w:hAnsi="Times New Roman"/>
          <w:sz w:val="24"/>
          <w:szCs w:val="24"/>
        </w:rPr>
        <w:t>”</w:t>
      </w:r>
    </w:p>
    <w:p w14:paraId="3A51A664" w14:textId="77777777" w:rsidR="0051041F" w:rsidRDefault="0051041F" w:rsidP="0051041F">
      <w:pPr>
        <w:pStyle w:val="NoSpacing"/>
        <w:rPr>
          <w:rFonts w:ascii="Times New Roman" w:hAnsi="Times New Roman"/>
          <w:sz w:val="24"/>
          <w:szCs w:val="24"/>
        </w:rPr>
      </w:pPr>
      <w:hyperlink r:id="rId1562" w:history="1">
        <w:r w:rsidRPr="00E359E2">
          <w:rPr>
            <w:rStyle w:val="Hyperlink"/>
            <w:rFonts w:ascii="Times New Roman" w:hAnsi="Times New Roman"/>
            <w:sz w:val="24"/>
            <w:szCs w:val="24"/>
          </w:rPr>
          <w:t>https://storage.courtlistener.com/recap/gov.uscourts.ded.79218/gov.uscourts.ded.79218.29.0.pdf</w:t>
        </w:r>
      </w:hyperlink>
      <w:r>
        <w:rPr>
          <w:rFonts w:ascii="Times New Roman" w:hAnsi="Times New Roman"/>
          <w:sz w:val="24"/>
          <w:szCs w:val="24"/>
        </w:rPr>
        <w:t xml:space="preserve"> </w:t>
      </w:r>
    </w:p>
    <w:p w14:paraId="696927FC" w14:textId="77777777" w:rsidR="0051041F" w:rsidRDefault="0051041F" w:rsidP="0051041F">
      <w:pPr>
        <w:pStyle w:val="NoSpacing"/>
        <w:rPr>
          <w:rFonts w:ascii="Times New Roman" w:hAnsi="Times New Roman"/>
          <w:sz w:val="24"/>
          <w:szCs w:val="24"/>
        </w:rPr>
      </w:pPr>
    </w:p>
    <w:p w14:paraId="4FD703AA" w14:textId="77777777" w:rsidR="00231A5A" w:rsidRPr="00361309" w:rsidRDefault="00231A5A" w:rsidP="00231A5A">
      <w:pPr>
        <w:pStyle w:val="NoSpacing"/>
        <w:rPr>
          <w:rFonts w:ascii="Times New Roman" w:hAnsi="Times New Roman"/>
          <w:b/>
          <w:bCs/>
          <w:sz w:val="24"/>
          <w:szCs w:val="24"/>
        </w:rPr>
      </w:pPr>
      <w:r w:rsidRPr="00361309">
        <w:rPr>
          <w:rFonts w:ascii="Times New Roman" w:hAnsi="Times New Roman"/>
          <w:b/>
          <w:bCs/>
          <w:sz w:val="24"/>
          <w:szCs w:val="24"/>
        </w:rPr>
        <w:t>Legal Lesson Learned:</w:t>
      </w:r>
      <w:r>
        <w:rPr>
          <w:rFonts w:ascii="Times New Roman" w:hAnsi="Times New Roman"/>
          <w:b/>
          <w:bCs/>
          <w:sz w:val="24"/>
          <w:szCs w:val="24"/>
        </w:rPr>
        <w:t xml:space="preserve"> Pre-trial discovery will now proceed. </w:t>
      </w:r>
    </w:p>
    <w:p w14:paraId="44B35763" w14:textId="77777777" w:rsidR="007F6B94" w:rsidRDefault="007F6B94" w:rsidP="00BC70A3">
      <w:pPr>
        <w:rPr>
          <w:rFonts w:ascii="Arial Black" w:hAnsi="Arial Black"/>
          <w:b/>
          <w:sz w:val="24"/>
          <w:szCs w:val="24"/>
        </w:rPr>
      </w:pPr>
    </w:p>
    <w:p w14:paraId="4BC66D32" w14:textId="77777777" w:rsidR="007F6B94" w:rsidRDefault="007F6B94" w:rsidP="00BC70A3">
      <w:pPr>
        <w:rPr>
          <w:rFonts w:ascii="Arial Black" w:hAnsi="Arial Black"/>
          <w:b/>
          <w:sz w:val="24"/>
          <w:szCs w:val="24"/>
        </w:rPr>
      </w:pPr>
    </w:p>
    <w:p w14:paraId="479FFB35" w14:textId="77777777" w:rsidR="007F6B94" w:rsidRDefault="007F6B94" w:rsidP="00BC70A3">
      <w:pPr>
        <w:rPr>
          <w:rFonts w:ascii="Arial Black" w:hAnsi="Arial Black"/>
          <w:b/>
          <w:sz w:val="24"/>
          <w:szCs w:val="24"/>
        </w:rPr>
      </w:pPr>
    </w:p>
    <w:p w14:paraId="081DEDFD" w14:textId="1657F6B3" w:rsidR="00832745" w:rsidRDefault="00832745" w:rsidP="00BC70A3">
      <w:pPr>
        <w:rPr>
          <w:rFonts w:ascii="Arial Black" w:hAnsi="Arial Black"/>
          <w:b/>
          <w:sz w:val="24"/>
          <w:szCs w:val="24"/>
        </w:rPr>
      </w:pPr>
      <w:r>
        <w:rPr>
          <w:rFonts w:ascii="Arial Black" w:hAnsi="Arial Black"/>
          <w:b/>
          <w:sz w:val="24"/>
          <w:szCs w:val="24"/>
        </w:rPr>
        <w:t>8-55</w:t>
      </w:r>
    </w:p>
    <w:p w14:paraId="2A0E49E0" w14:textId="77777777" w:rsidR="00832745" w:rsidRDefault="00832745" w:rsidP="00832745">
      <w:pPr>
        <w:pStyle w:val="NormalWeb"/>
        <w:rPr>
          <w:rFonts w:ascii="Arial Black" w:hAnsi="Arial Black"/>
          <w:b/>
          <w:bCs/>
          <w:sz w:val="28"/>
          <w:szCs w:val="28"/>
        </w:rPr>
      </w:pPr>
      <w:r>
        <w:rPr>
          <w:rFonts w:ascii="Arial Black" w:hAnsi="Arial Black"/>
          <w:b/>
          <w:bCs/>
          <w:sz w:val="28"/>
          <w:szCs w:val="28"/>
        </w:rPr>
        <w:t>FL: BLACK FF FIRED – 2</w:t>
      </w:r>
      <w:r w:rsidRPr="00670C68">
        <w:rPr>
          <w:rFonts w:ascii="Arial Black" w:hAnsi="Arial Black"/>
          <w:b/>
          <w:bCs/>
          <w:sz w:val="28"/>
          <w:szCs w:val="28"/>
          <w:vertAlign w:val="superscript"/>
        </w:rPr>
        <w:t>nd</w:t>
      </w:r>
      <w:r>
        <w:rPr>
          <w:rFonts w:ascii="Arial Black" w:hAnsi="Arial Black"/>
          <w:b/>
          <w:bCs/>
          <w:sz w:val="28"/>
          <w:szCs w:val="28"/>
        </w:rPr>
        <w:t xml:space="preserve"> POSITIVE DRUG TEST – WHITE CAPTAIN NOT FIRED 1</w:t>
      </w:r>
      <w:r w:rsidRPr="00670C68">
        <w:rPr>
          <w:rFonts w:ascii="Arial Black" w:hAnsi="Arial Black"/>
          <w:b/>
          <w:bCs/>
          <w:sz w:val="28"/>
          <w:szCs w:val="28"/>
          <w:vertAlign w:val="superscript"/>
        </w:rPr>
        <w:t>st</w:t>
      </w:r>
      <w:r>
        <w:rPr>
          <w:rFonts w:ascii="Arial Black" w:hAnsi="Arial Black"/>
          <w:b/>
          <w:bCs/>
          <w:sz w:val="28"/>
          <w:szCs w:val="28"/>
        </w:rPr>
        <w:t xml:space="preserve"> POSITIVE – CASE DISMISSED</w:t>
      </w:r>
    </w:p>
    <w:p w14:paraId="0134DCD0" w14:textId="77777777" w:rsidR="00832745" w:rsidRDefault="00832745" w:rsidP="00832745">
      <w:pPr>
        <w:pStyle w:val="NormalWeb"/>
      </w:pPr>
      <w:r w:rsidRPr="00F632F5">
        <w:t xml:space="preserve">On </w:t>
      </w:r>
      <w:r>
        <w:t xml:space="preserve">Oct. 10, 2023, in </w:t>
      </w:r>
      <w:r w:rsidRPr="00F632F5">
        <w:rPr>
          <w:u w:val="single"/>
        </w:rPr>
        <w:t>Robert Hodges v. Miami-Dade County</w:t>
      </w:r>
      <w:r>
        <w:t xml:space="preserve">, U.S. District Court Judge Beth Bloom, U.S. District Court for Southern District of Florida, granted the defense motion for summary judgment.  The Court held: “Unlike Captain Brunetti, however, Plaintiff tested positive </w:t>
      </w:r>
      <w:r>
        <w:rPr>
          <w:rStyle w:val="Emphasis"/>
          <w:rFonts w:eastAsiaTheme="majorEastAsia"/>
        </w:rPr>
        <w:t>again</w:t>
      </w:r>
      <w:r>
        <w:t xml:space="preserve"> in January 2020, violating the terms of his 2019 Agreement. SMF ¶¶ 17-18; SAMF ¶¶ 17-18. As such, the undisputed evidence establishes that Defendant did not treat Captain Brunetti more favorably. The undisputed evidence supports the conclusion that Defendant treated both employees the same, only electing to terminate Plaintiff after his second violation of Defendant's policies </w:t>
      </w:r>
      <w:r>
        <w:rPr>
          <w:rStyle w:val="Emphasis"/>
          <w:rFonts w:eastAsiaTheme="majorEastAsia"/>
        </w:rPr>
        <w:t>after</w:t>
      </w:r>
      <w:r>
        <w:t xml:space="preserve"> signing his 2019 Agreement. The record demonstrates that Plaintiff and Defendant Brunetti do not share the same disciplinary history. *** Accordingly, Plaintiff fails to show that Defendant's proffered reason for his termination was pretextual. Plaintiff has also failed to point to any evidence supporting an inference that racial discrimination was the real reason. Those deficiencies are fatal to Plaintiff's discrimination claim under </w:t>
      </w:r>
      <w:r>
        <w:rPr>
          <w:rStyle w:val="Emphasis"/>
          <w:rFonts w:eastAsiaTheme="majorEastAsia"/>
        </w:rPr>
        <w:t>McDonnell Douglas</w:t>
      </w:r>
      <w:r>
        <w:rPr>
          <w:rStyle w:val="Emphasis"/>
        </w:rPr>
        <w:t xml:space="preserve">” </w:t>
      </w:r>
      <w:hyperlink r:id="rId1563" w:history="1">
        <w:r w:rsidRPr="00317BBB">
          <w:rPr>
            <w:rStyle w:val="Hyperlink"/>
            <w:rFonts w:eastAsiaTheme="majorEastAsia"/>
          </w:rPr>
          <w:t>https://www.casemine.com/judgement/us/6527768e0e33307ee3c25e6b</w:t>
        </w:r>
      </w:hyperlink>
      <w:r>
        <w:rPr>
          <w:rStyle w:val="Emphasis"/>
        </w:rPr>
        <w:t xml:space="preserve"> </w:t>
      </w:r>
    </w:p>
    <w:p w14:paraId="2E680A62" w14:textId="77777777" w:rsidR="00832745" w:rsidRPr="00867C5C" w:rsidRDefault="00832745" w:rsidP="00832745">
      <w:pPr>
        <w:pStyle w:val="NormalWeb"/>
        <w:rPr>
          <w:b/>
          <w:bCs/>
        </w:rPr>
      </w:pPr>
      <w:r w:rsidRPr="00867C5C">
        <w:rPr>
          <w:b/>
          <w:bCs/>
        </w:rPr>
        <w:lastRenderedPageBreak/>
        <w:t>Legal Lesson Learned:</w:t>
      </w:r>
      <w:r>
        <w:rPr>
          <w:b/>
          <w:bCs/>
        </w:rPr>
        <w:t xml:space="preserve"> Second violation of the “last chance” agreement was legitimate basis for termination. </w:t>
      </w:r>
    </w:p>
    <w:p w14:paraId="4A19A794" w14:textId="77777777" w:rsidR="00832745" w:rsidRDefault="00832745" w:rsidP="00BC70A3">
      <w:pPr>
        <w:rPr>
          <w:rFonts w:ascii="Arial Black" w:hAnsi="Arial Black"/>
          <w:b/>
          <w:sz w:val="24"/>
          <w:szCs w:val="24"/>
        </w:rPr>
      </w:pPr>
    </w:p>
    <w:p w14:paraId="12176806" w14:textId="7F3FB542" w:rsidR="00AC3E10" w:rsidRDefault="00AC3E10" w:rsidP="00BC70A3">
      <w:pPr>
        <w:rPr>
          <w:rFonts w:ascii="Arial Black" w:hAnsi="Arial Black"/>
          <w:b/>
          <w:sz w:val="24"/>
          <w:szCs w:val="24"/>
        </w:rPr>
      </w:pPr>
      <w:r>
        <w:rPr>
          <w:rFonts w:ascii="Arial Black" w:hAnsi="Arial Black"/>
          <w:b/>
          <w:sz w:val="24"/>
          <w:szCs w:val="24"/>
        </w:rPr>
        <w:t>8-54</w:t>
      </w:r>
    </w:p>
    <w:p w14:paraId="14BE0E5B" w14:textId="77777777" w:rsidR="00AC3E10" w:rsidRDefault="00AC3E10" w:rsidP="00AC3E10">
      <w:pPr>
        <w:pStyle w:val="NoSpacing"/>
        <w:rPr>
          <w:rFonts w:ascii="Arial Black" w:hAnsi="Arial Black"/>
          <w:sz w:val="28"/>
          <w:szCs w:val="28"/>
        </w:rPr>
      </w:pPr>
      <w:r>
        <w:rPr>
          <w:rFonts w:ascii="Arial Black" w:hAnsi="Arial Black"/>
          <w:sz w:val="28"/>
          <w:szCs w:val="28"/>
        </w:rPr>
        <w:t xml:space="preserve">KS: BLACK CAPTAIN – IC AT STRIP MALL FIRE – “SHIT SHOW” – CHIEF DOC. IN PERF. REVIEW - NO DISCRIM. </w:t>
      </w:r>
    </w:p>
    <w:p w14:paraId="5A396C02" w14:textId="77777777" w:rsidR="00AC3E10" w:rsidRPr="005B52AD" w:rsidRDefault="00AC3E10" w:rsidP="00AC3E10">
      <w:pPr>
        <w:pStyle w:val="NoSpacing"/>
        <w:rPr>
          <w:rFonts w:ascii="Times New Roman" w:hAnsi="Times New Roman"/>
          <w:sz w:val="24"/>
          <w:szCs w:val="24"/>
        </w:rPr>
      </w:pPr>
      <w:r w:rsidRPr="005B52AD">
        <w:rPr>
          <w:rFonts w:ascii="Times New Roman" w:hAnsi="Times New Roman"/>
          <w:sz w:val="24"/>
          <w:szCs w:val="24"/>
        </w:rPr>
        <w:t>[also Chap. 4]</w:t>
      </w:r>
    </w:p>
    <w:p w14:paraId="67F17658" w14:textId="77777777" w:rsidR="00AC3E10" w:rsidRDefault="00AC3E10" w:rsidP="00AC3E10">
      <w:pPr>
        <w:pStyle w:val="NoSpacing"/>
        <w:rPr>
          <w:rFonts w:ascii="Times New Roman" w:hAnsi="Times New Roman"/>
          <w:sz w:val="24"/>
          <w:szCs w:val="24"/>
        </w:rPr>
      </w:pPr>
    </w:p>
    <w:p w14:paraId="35560435" w14:textId="77777777" w:rsidR="00AC3E10" w:rsidRDefault="00AC3E10" w:rsidP="00AC3E10">
      <w:pPr>
        <w:pStyle w:val="NoSpacing"/>
        <w:rPr>
          <w:rFonts w:ascii="Times New Roman" w:hAnsi="Times New Roman"/>
          <w:sz w:val="24"/>
          <w:szCs w:val="24"/>
        </w:rPr>
      </w:pPr>
      <w:r>
        <w:rPr>
          <w:rFonts w:ascii="Times New Roman" w:hAnsi="Times New Roman"/>
          <w:sz w:val="24"/>
          <w:szCs w:val="24"/>
        </w:rPr>
        <w:t xml:space="preserve">On Sept. 8, 2023, in </w:t>
      </w:r>
      <w:r w:rsidRPr="009108A0">
        <w:rPr>
          <w:rFonts w:ascii="Times New Roman" w:hAnsi="Times New Roman"/>
          <w:sz w:val="24"/>
          <w:szCs w:val="24"/>
          <w:u w:val="single"/>
        </w:rPr>
        <w:t>Mark Jordan v. City of Wichita, Kansas, et al.</w:t>
      </w:r>
      <w:r>
        <w:rPr>
          <w:rFonts w:ascii="Times New Roman" w:hAnsi="Times New Roman"/>
          <w:sz w:val="24"/>
          <w:szCs w:val="24"/>
        </w:rPr>
        <w:t xml:space="preserve">, U.S. District Court Judge Daniel D. Crabtree, U.S. District Court for the District of Kansas, granted the City’s motion for summary judgment.  The August 2019 strip mall fire went to two alarms; plaintiff arrived on seventh unit and took command because no one has yet become IC. Plaintiff admitted it didn’t go well and in his </w:t>
      </w:r>
      <w:proofErr w:type="gramStart"/>
      <w:r>
        <w:rPr>
          <w:rFonts w:ascii="Times New Roman" w:hAnsi="Times New Roman"/>
          <w:sz w:val="24"/>
          <w:szCs w:val="24"/>
        </w:rPr>
        <w:t>words</w:t>
      </w:r>
      <w:proofErr w:type="gramEnd"/>
      <w:r>
        <w:rPr>
          <w:rFonts w:ascii="Times New Roman" w:hAnsi="Times New Roman"/>
          <w:sz w:val="24"/>
          <w:szCs w:val="24"/>
        </w:rPr>
        <w:t xml:space="preserve"> it was a “shit show.” Fire Chief Tammy Snow arrived at scene and criticized the Acting Battalion Chief, who was on the second arriving unit, for not taking command.  The Fire Chief ordered that the annual performance review of both the plaintiff and the Acting Battalion Chief document performance concerns at that strip mall fire. </w:t>
      </w:r>
    </w:p>
    <w:p w14:paraId="3FEC30DB" w14:textId="77777777" w:rsidR="00AC3E10" w:rsidRDefault="00AC3E10" w:rsidP="00AC3E10">
      <w:pPr>
        <w:pStyle w:val="NoSpacing"/>
        <w:rPr>
          <w:rFonts w:ascii="Times New Roman" w:hAnsi="Times New Roman"/>
          <w:sz w:val="24"/>
          <w:szCs w:val="24"/>
        </w:rPr>
      </w:pPr>
    </w:p>
    <w:p w14:paraId="631B25F6" w14:textId="77777777" w:rsidR="00AC3E10" w:rsidRPr="00497B07" w:rsidRDefault="00AC3E10" w:rsidP="00AC3E10">
      <w:pPr>
        <w:pStyle w:val="NoSpacing"/>
        <w:ind w:firstLine="720"/>
        <w:rPr>
          <w:rFonts w:ascii="Times New Roman" w:hAnsi="Times New Roman"/>
          <w:sz w:val="24"/>
          <w:szCs w:val="24"/>
        </w:rPr>
      </w:pPr>
      <w:r>
        <w:rPr>
          <w:rFonts w:ascii="Times New Roman" w:hAnsi="Times New Roman"/>
          <w:sz w:val="24"/>
          <w:szCs w:val="24"/>
        </w:rPr>
        <w:t>“</w:t>
      </w:r>
      <w:r w:rsidRPr="00497B07">
        <w:rPr>
          <w:rFonts w:ascii="Times New Roman" w:hAnsi="Times New Roman"/>
          <w:sz w:val="24"/>
          <w:szCs w:val="24"/>
        </w:rPr>
        <w:t>In August 2019—before the Acting Battalion Chief debacle—a strip mall on south</w:t>
      </w:r>
    </w:p>
    <w:p w14:paraId="238C377E" w14:textId="77777777" w:rsidR="00AC3E10" w:rsidRDefault="00AC3E10" w:rsidP="00AC3E10">
      <w:pPr>
        <w:pStyle w:val="NoSpacing"/>
        <w:ind w:left="720"/>
        <w:rPr>
          <w:rFonts w:ascii="Times New Roman" w:hAnsi="Times New Roman"/>
          <w:sz w:val="24"/>
          <w:szCs w:val="24"/>
        </w:rPr>
      </w:pPr>
      <w:r w:rsidRPr="00497B07">
        <w:rPr>
          <w:rFonts w:ascii="Times New Roman" w:hAnsi="Times New Roman"/>
          <w:sz w:val="24"/>
          <w:szCs w:val="24"/>
        </w:rPr>
        <w:t>Seneca Street caught fire. Doc. 81 at 3 (Pretrial Order ¶ 2.a.x.). WFD Policy provides that the</w:t>
      </w:r>
      <w:r>
        <w:rPr>
          <w:rFonts w:ascii="Times New Roman" w:hAnsi="Times New Roman"/>
          <w:sz w:val="24"/>
          <w:szCs w:val="24"/>
        </w:rPr>
        <w:t xml:space="preserve"> </w:t>
      </w:r>
      <w:r w:rsidRPr="00497B07">
        <w:rPr>
          <w:rFonts w:ascii="Times New Roman" w:hAnsi="Times New Roman"/>
          <w:sz w:val="24"/>
          <w:szCs w:val="24"/>
        </w:rPr>
        <w:t>second fire engine to arrive at a scene should assume command</w:t>
      </w:r>
      <w:r>
        <w:rPr>
          <w:rFonts w:ascii="Times New Roman" w:hAnsi="Times New Roman"/>
          <w:sz w:val="24"/>
          <w:szCs w:val="24"/>
        </w:rPr>
        <w:t xml:space="preserve">…. </w:t>
      </w:r>
      <w:r w:rsidRPr="00497B07">
        <w:rPr>
          <w:rFonts w:ascii="Times New Roman" w:hAnsi="Times New Roman"/>
          <w:sz w:val="24"/>
          <w:szCs w:val="24"/>
        </w:rPr>
        <w:t>Plaintiff was on the seventh unit to arrive at the fire, but no one had assumed command. Id.</w:t>
      </w:r>
      <w:r>
        <w:rPr>
          <w:rFonts w:ascii="Times New Roman" w:hAnsi="Times New Roman"/>
          <w:sz w:val="24"/>
          <w:szCs w:val="24"/>
        </w:rPr>
        <w:t xml:space="preserve"> </w:t>
      </w:r>
      <w:r w:rsidRPr="00497B07">
        <w:rPr>
          <w:rFonts w:ascii="Times New Roman" w:hAnsi="Times New Roman"/>
          <w:sz w:val="24"/>
          <w:szCs w:val="24"/>
        </w:rPr>
        <w:t>So, plaintiff assumed command of the Seneca Street fire</w:t>
      </w:r>
      <w:r>
        <w:rPr>
          <w:rFonts w:ascii="Times New Roman" w:hAnsi="Times New Roman"/>
          <w:sz w:val="24"/>
          <w:szCs w:val="24"/>
        </w:rPr>
        <w:t>….</w:t>
      </w:r>
      <w:r w:rsidRPr="00497B07">
        <w:rPr>
          <w:rFonts w:ascii="Times New Roman" w:hAnsi="Times New Roman"/>
          <w:sz w:val="24"/>
          <w:szCs w:val="24"/>
        </w:rPr>
        <w:t xml:space="preserve"> With seven units already at the scene and assigned, plaintiff, as incident commander, had a</w:t>
      </w:r>
      <w:r>
        <w:rPr>
          <w:rFonts w:ascii="Times New Roman" w:hAnsi="Times New Roman"/>
          <w:sz w:val="24"/>
          <w:szCs w:val="24"/>
        </w:rPr>
        <w:t xml:space="preserve"> </w:t>
      </w:r>
      <w:r w:rsidRPr="00497B07">
        <w:rPr>
          <w:rFonts w:ascii="Times New Roman" w:hAnsi="Times New Roman"/>
          <w:sz w:val="24"/>
          <w:szCs w:val="24"/>
        </w:rPr>
        <w:t>lot of catching up to do</w:t>
      </w:r>
      <w:r>
        <w:rPr>
          <w:rFonts w:ascii="Times New Roman" w:hAnsi="Times New Roman"/>
          <w:sz w:val="24"/>
          <w:szCs w:val="24"/>
        </w:rPr>
        <w:t>….</w:t>
      </w:r>
      <w:r w:rsidRPr="00497B07">
        <w:rPr>
          <w:rFonts w:ascii="Times New Roman" w:hAnsi="Times New Roman"/>
          <w:sz w:val="24"/>
          <w:szCs w:val="24"/>
        </w:rPr>
        <w:t>(After Action Report Tr.). Plaintiff described the scene</w:t>
      </w:r>
      <w:r>
        <w:rPr>
          <w:rFonts w:ascii="Times New Roman" w:hAnsi="Times New Roman"/>
          <w:sz w:val="24"/>
          <w:szCs w:val="24"/>
        </w:rPr>
        <w:t xml:space="preserve"> </w:t>
      </w:r>
      <w:r w:rsidRPr="00497B07">
        <w:rPr>
          <w:rFonts w:ascii="Times New Roman" w:hAnsi="Times New Roman"/>
          <w:sz w:val="24"/>
          <w:szCs w:val="24"/>
        </w:rPr>
        <w:t xml:space="preserve">as a </w:t>
      </w:r>
      <w:r>
        <w:rPr>
          <w:rFonts w:ascii="Times New Roman" w:hAnsi="Times New Roman"/>
          <w:sz w:val="24"/>
          <w:szCs w:val="24"/>
        </w:rPr>
        <w:t>‘</w:t>
      </w:r>
      <w:r w:rsidRPr="00497B07">
        <w:rPr>
          <w:rFonts w:ascii="Times New Roman" w:hAnsi="Times New Roman"/>
          <w:sz w:val="24"/>
          <w:szCs w:val="24"/>
        </w:rPr>
        <w:t>shit show.</w:t>
      </w:r>
      <w:r>
        <w:rPr>
          <w:rFonts w:ascii="Times New Roman" w:hAnsi="Times New Roman"/>
          <w:sz w:val="24"/>
          <w:szCs w:val="24"/>
        </w:rPr>
        <w:t>’</w:t>
      </w:r>
      <w:r w:rsidRPr="00497B07">
        <w:rPr>
          <w:rFonts w:ascii="Times New Roman" w:hAnsi="Times New Roman"/>
          <w:sz w:val="24"/>
          <w:szCs w:val="24"/>
        </w:rPr>
        <w:t xml:space="preserve"> Doc. 86-7 at 49 (Pl. Dep. 200:6–13). Plaintiff acknowledged that he struggled</w:t>
      </w:r>
      <w:r>
        <w:rPr>
          <w:rFonts w:ascii="Times New Roman" w:hAnsi="Times New Roman"/>
          <w:sz w:val="24"/>
          <w:szCs w:val="24"/>
        </w:rPr>
        <w:t xml:space="preserve"> </w:t>
      </w:r>
      <w:r w:rsidRPr="00497B07">
        <w:rPr>
          <w:rFonts w:ascii="Times New Roman" w:hAnsi="Times New Roman"/>
          <w:sz w:val="24"/>
          <w:szCs w:val="24"/>
        </w:rPr>
        <w:t xml:space="preserve">at the scene but </w:t>
      </w:r>
      <w:proofErr w:type="gramStart"/>
      <w:r w:rsidRPr="00497B07">
        <w:rPr>
          <w:rFonts w:ascii="Times New Roman" w:hAnsi="Times New Roman"/>
          <w:sz w:val="24"/>
          <w:szCs w:val="24"/>
        </w:rPr>
        <w:t>believes</w:t>
      </w:r>
      <w:proofErr w:type="gramEnd"/>
      <w:r w:rsidRPr="00497B07">
        <w:rPr>
          <w:rFonts w:ascii="Times New Roman" w:hAnsi="Times New Roman"/>
          <w:sz w:val="24"/>
          <w:szCs w:val="24"/>
        </w:rPr>
        <w:t xml:space="preserve"> that anyone in the same situation would have struggled. </w:t>
      </w:r>
    </w:p>
    <w:p w14:paraId="5539B08B" w14:textId="77777777" w:rsidR="00AC3E10" w:rsidRDefault="00AC3E10" w:rsidP="00AC3E10">
      <w:pPr>
        <w:pStyle w:val="NoSpacing"/>
        <w:ind w:left="720"/>
        <w:rPr>
          <w:rFonts w:ascii="Times New Roman" w:hAnsi="Times New Roman"/>
          <w:sz w:val="24"/>
          <w:szCs w:val="24"/>
        </w:rPr>
      </w:pPr>
    </w:p>
    <w:p w14:paraId="2136A12F" w14:textId="77777777" w:rsidR="00AC3E10" w:rsidRDefault="00AC3E10" w:rsidP="00AC3E10">
      <w:pPr>
        <w:pStyle w:val="NoSpacing"/>
        <w:ind w:left="720"/>
        <w:rPr>
          <w:rFonts w:ascii="Times New Roman" w:hAnsi="Times New Roman"/>
          <w:sz w:val="24"/>
          <w:szCs w:val="24"/>
        </w:rPr>
      </w:pPr>
      <w:r>
        <w:rPr>
          <w:rFonts w:ascii="Times New Roman" w:hAnsi="Times New Roman"/>
          <w:sz w:val="24"/>
          <w:szCs w:val="24"/>
        </w:rPr>
        <w:t>***</w:t>
      </w:r>
    </w:p>
    <w:p w14:paraId="47D25600" w14:textId="77777777" w:rsidR="00AC3E10" w:rsidRDefault="00AC3E10" w:rsidP="00AC3E10">
      <w:pPr>
        <w:pStyle w:val="NoSpacing"/>
        <w:ind w:left="720"/>
        <w:rPr>
          <w:rFonts w:ascii="Times New Roman" w:hAnsi="Times New Roman"/>
          <w:sz w:val="24"/>
          <w:szCs w:val="24"/>
        </w:rPr>
      </w:pPr>
    </w:p>
    <w:p w14:paraId="6B3A143D" w14:textId="77777777" w:rsidR="00AC3E10" w:rsidRPr="00C20869" w:rsidRDefault="00AC3E10" w:rsidP="00AC3E10">
      <w:pPr>
        <w:pStyle w:val="NoSpacing"/>
        <w:ind w:firstLine="720"/>
        <w:rPr>
          <w:rFonts w:ascii="Times New Roman" w:hAnsi="Times New Roman"/>
          <w:sz w:val="24"/>
          <w:szCs w:val="24"/>
        </w:rPr>
      </w:pPr>
      <w:r w:rsidRPr="00C20869">
        <w:rPr>
          <w:rFonts w:ascii="Times New Roman" w:hAnsi="Times New Roman"/>
          <w:sz w:val="24"/>
          <w:szCs w:val="24"/>
        </w:rPr>
        <w:t xml:space="preserve">Here, Chief Snow asked Pavelski to review plaintiff’s second evaluation </w:t>
      </w:r>
      <w:r>
        <w:rPr>
          <w:rFonts w:ascii="Times New Roman" w:hAnsi="Times New Roman"/>
          <w:sz w:val="24"/>
          <w:szCs w:val="24"/>
        </w:rPr>
        <w:t>‘</w:t>
      </w:r>
      <w:r w:rsidRPr="00C20869">
        <w:rPr>
          <w:rFonts w:ascii="Times New Roman" w:hAnsi="Times New Roman"/>
          <w:sz w:val="24"/>
          <w:szCs w:val="24"/>
        </w:rPr>
        <w:t>for accuracy</w:t>
      </w:r>
      <w:r>
        <w:rPr>
          <w:rFonts w:ascii="Times New Roman" w:hAnsi="Times New Roman"/>
          <w:sz w:val="24"/>
          <w:szCs w:val="24"/>
        </w:rPr>
        <w:t>.’</w:t>
      </w:r>
    </w:p>
    <w:p w14:paraId="2E276AFD" w14:textId="77777777" w:rsidR="00AC3E10" w:rsidRPr="00C20869" w:rsidRDefault="00AC3E10" w:rsidP="00AC3E10">
      <w:pPr>
        <w:pStyle w:val="NoSpacing"/>
        <w:ind w:firstLine="720"/>
        <w:rPr>
          <w:rFonts w:ascii="Times New Roman" w:hAnsi="Times New Roman"/>
          <w:sz w:val="24"/>
          <w:szCs w:val="24"/>
        </w:rPr>
      </w:pPr>
      <w:r w:rsidRPr="00C20869">
        <w:rPr>
          <w:rFonts w:ascii="Times New Roman" w:hAnsi="Times New Roman"/>
          <w:sz w:val="24"/>
          <w:szCs w:val="24"/>
        </w:rPr>
        <w:t xml:space="preserve">Doc. 86-19 (Snow, Aug. 11, </w:t>
      </w:r>
      <w:proofErr w:type="gramStart"/>
      <w:r w:rsidRPr="00C20869">
        <w:rPr>
          <w:rFonts w:ascii="Times New Roman" w:hAnsi="Times New Roman"/>
          <w:sz w:val="24"/>
          <w:szCs w:val="24"/>
        </w:rPr>
        <w:t>2020</w:t>
      </w:r>
      <w:proofErr w:type="gramEnd"/>
      <w:r w:rsidRPr="00C20869">
        <w:rPr>
          <w:rFonts w:ascii="Times New Roman" w:hAnsi="Times New Roman"/>
          <w:sz w:val="24"/>
          <w:szCs w:val="24"/>
        </w:rPr>
        <w:t xml:space="preserve"> Email). Chief Snow wanted Pavelski to add a </w:t>
      </w:r>
      <w:r>
        <w:rPr>
          <w:rFonts w:ascii="Times New Roman" w:hAnsi="Times New Roman"/>
          <w:sz w:val="24"/>
          <w:szCs w:val="24"/>
        </w:rPr>
        <w:t>‘</w:t>
      </w:r>
      <w:r w:rsidRPr="00C20869">
        <w:rPr>
          <w:rFonts w:ascii="Times New Roman" w:hAnsi="Times New Roman"/>
          <w:sz w:val="24"/>
          <w:szCs w:val="24"/>
        </w:rPr>
        <w:t>note of</w:t>
      </w:r>
    </w:p>
    <w:p w14:paraId="39402515" w14:textId="77777777" w:rsidR="00AC3E10" w:rsidRDefault="00AC3E10" w:rsidP="00AC3E10">
      <w:pPr>
        <w:pStyle w:val="NoSpacing"/>
        <w:ind w:left="720"/>
        <w:rPr>
          <w:rFonts w:ascii="Times New Roman" w:hAnsi="Times New Roman"/>
          <w:sz w:val="24"/>
          <w:szCs w:val="24"/>
        </w:rPr>
      </w:pPr>
      <w:r w:rsidRPr="00C20869">
        <w:rPr>
          <w:rFonts w:ascii="Times New Roman" w:hAnsi="Times New Roman"/>
          <w:sz w:val="24"/>
          <w:szCs w:val="24"/>
        </w:rPr>
        <w:t>Accountability</w:t>
      </w:r>
      <w:r>
        <w:rPr>
          <w:rFonts w:ascii="Times New Roman" w:hAnsi="Times New Roman"/>
          <w:sz w:val="24"/>
          <w:szCs w:val="24"/>
        </w:rPr>
        <w:t>’</w:t>
      </w:r>
      <w:r w:rsidRPr="00C20869">
        <w:rPr>
          <w:rFonts w:ascii="Times New Roman" w:hAnsi="Times New Roman"/>
          <w:sz w:val="24"/>
          <w:szCs w:val="24"/>
        </w:rPr>
        <w:t xml:space="preserve"> about plaintiff’s performance at the Seneca Street Fire. Doc. 86-3 at 19 (Snow</w:t>
      </w:r>
      <w:r>
        <w:rPr>
          <w:rFonts w:ascii="Times New Roman" w:hAnsi="Times New Roman"/>
          <w:sz w:val="24"/>
          <w:szCs w:val="24"/>
        </w:rPr>
        <w:t xml:space="preserve"> </w:t>
      </w:r>
      <w:r w:rsidRPr="00C20869">
        <w:rPr>
          <w:rFonts w:ascii="Times New Roman" w:hAnsi="Times New Roman"/>
          <w:sz w:val="24"/>
          <w:szCs w:val="24"/>
        </w:rPr>
        <w:t>Dep. 58:4–11).</w:t>
      </w:r>
    </w:p>
    <w:p w14:paraId="6CDB60CE" w14:textId="77777777" w:rsidR="00AC3E10" w:rsidRDefault="00AC3E10" w:rsidP="00AC3E10">
      <w:pPr>
        <w:pStyle w:val="NoSpacing"/>
        <w:ind w:left="720"/>
        <w:rPr>
          <w:rFonts w:ascii="Times New Roman" w:hAnsi="Times New Roman"/>
          <w:sz w:val="24"/>
          <w:szCs w:val="24"/>
        </w:rPr>
      </w:pPr>
    </w:p>
    <w:p w14:paraId="371DB84C" w14:textId="77777777" w:rsidR="00AC3E10" w:rsidRDefault="00AC3E10" w:rsidP="00AC3E10">
      <w:pPr>
        <w:pStyle w:val="NoSpacing"/>
        <w:ind w:left="720"/>
        <w:rPr>
          <w:rFonts w:ascii="Times New Roman" w:hAnsi="Times New Roman"/>
          <w:sz w:val="24"/>
          <w:szCs w:val="24"/>
        </w:rPr>
      </w:pPr>
      <w:r>
        <w:rPr>
          <w:rFonts w:ascii="Times New Roman" w:hAnsi="Times New Roman"/>
          <w:sz w:val="24"/>
          <w:szCs w:val="24"/>
        </w:rPr>
        <w:t>***</w:t>
      </w:r>
    </w:p>
    <w:p w14:paraId="0A340006" w14:textId="77777777" w:rsidR="00AC3E10" w:rsidRDefault="00AC3E10" w:rsidP="00AC3E10">
      <w:pPr>
        <w:pStyle w:val="NoSpacing"/>
        <w:ind w:left="720"/>
        <w:rPr>
          <w:rFonts w:ascii="Times New Roman" w:hAnsi="Times New Roman"/>
          <w:sz w:val="24"/>
          <w:szCs w:val="24"/>
        </w:rPr>
      </w:pPr>
    </w:p>
    <w:p w14:paraId="07F19371" w14:textId="77777777" w:rsidR="00AC3E10" w:rsidRPr="00C20869" w:rsidRDefault="00AC3E10" w:rsidP="00AC3E10">
      <w:pPr>
        <w:pStyle w:val="NoSpacing"/>
        <w:ind w:firstLine="720"/>
        <w:rPr>
          <w:rFonts w:ascii="Times New Roman" w:hAnsi="Times New Roman"/>
          <w:sz w:val="24"/>
          <w:szCs w:val="24"/>
        </w:rPr>
      </w:pPr>
      <w:r w:rsidRPr="00C20869">
        <w:rPr>
          <w:rFonts w:ascii="Times New Roman" w:hAnsi="Times New Roman"/>
          <w:sz w:val="24"/>
          <w:szCs w:val="24"/>
        </w:rPr>
        <w:t xml:space="preserve">And plaintiff acknowledged that the Seneca Street Fire was a </w:t>
      </w:r>
      <w:r>
        <w:rPr>
          <w:rFonts w:ascii="Times New Roman" w:hAnsi="Times New Roman"/>
          <w:sz w:val="24"/>
          <w:szCs w:val="24"/>
        </w:rPr>
        <w:t>‘</w:t>
      </w:r>
      <w:r w:rsidRPr="00C20869">
        <w:rPr>
          <w:rFonts w:ascii="Times New Roman" w:hAnsi="Times New Roman"/>
          <w:sz w:val="24"/>
          <w:szCs w:val="24"/>
        </w:rPr>
        <w:t>shit show,</w:t>
      </w:r>
      <w:r>
        <w:rPr>
          <w:rFonts w:ascii="Times New Roman" w:hAnsi="Times New Roman"/>
          <w:sz w:val="24"/>
          <w:szCs w:val="24"/>
        </w:rPr>
        <w:t xml:space="preserve">’ </w:t>
      </w:r>
      <w:r w:rsidRPr="00C20869">
        <w:rPr>
          <w:rFonts w:ascii="Times New Roman" w:hAnsi="Times New Roman"/>
          <w:sz w:val="24"/>
          <w:szCs w:val="24"/>
        </w:rPr>
        <w:t>Doc.</w:t>
      </w:r>
    </w:p>
    <w:p w14:paraId="59B1FE70" w14:textId="77777777" w:rsidR="00AC3E10" w:rsidRDefault="00AC3E10" w:rsidP="00AC3E10">
      <w:pPr>
        <w:pStyle w:val="NoSpacing"/>
        <w:ind w:left="720"/>
        <w:rPr>
          <w:rFonts w:ascii="Times New Roman" w:hAnsi="Times New Roman"/>
          <w:sz w:val="24"/>
          <w:szCs w:val="24"/>
        </w:rPr>
      </w:pPr>
      <w:r w:rsidRPr="00C20869">
        <w:rPr>
          <w:rFonts w:ascii="Times New Roman" w:hAnsi="Times New Roman"/>
          <w:sz w:val="24"/>
          <w:szCs w:val="24"/>
        </w:rPr>
        <w:t>86-7 at 49 (Pl. Dep. 200:6–13), and that he struggled at the scene, id. at 50 (Pl. Dep. 202:4–13).</w:t>
      </w:r>
      <w:r>
        <w:rPr>
          <w:rFonts w:ascii="Times New Roman" w:hAnsi="Times New Roman"/>
          <w:sz w:val="24"/>
          <w:szCs w:val="24"/>
        </w:rPr>
        <w:t xml:space="preserve"> </w:t>
      </w:r>
      <w:r w:rsidRPr="00C20869">
        <w:rPr>
          <w:rFonts w:ascii="Times New Roman" w:hAnsi="Times New Roman"/>
          <w:sz w:val="24"/>
          <w:szCs w:val="24"/>
        </w:rPr>
        <w:t>Defendants’ reason for altering plaintiff’s review is not facially prohibited—</w:t>
      </w:r>
      <w:proofErr w:type="gramStart"/>
      <w:r w:rsidRPr="00C20869">
        <w:rPr>
          <w:rFonts w:ascii="Times New Roman" w:hAnsi="Times New Roman"/>
          <w:sz w:val="24"/>
          <w:szCs w:val="24"/>
        </w:rPr>
        <w:t>so,</w:t>
      </w:r>
      <w:proofErr w:type="gramEnd"/>
      <w:r w:rsidRPr="00C20869">
        <w:rPr>
          <w:rFonts w:ascii="Times New Roman" w:hAnsi="Times New Roman"/>
          <w:sz w:val="24"/>
          <w:szCs w:val="24"/>
        </w:rPr>
        <w:t xml:space="preserve"> defendants have</w:t>
      </w:r>
      <w:r>
        <w:rPr>
          <w:rFonts w:ascii="Times New Roman" w:hAnsi="Times New Roman"/>
          <w:sz w:val="24"/>
          <w:szCs w:val="24"/>
        </w:rPr>
        <w:t xml:space="preserve"> </w:t>
      </w:r>
      <w:r w:rsidRPr="00C20869">
        <w:rPr>
          <w:rFonts w:ascii="Times New Roman" w:hAnsi="Times New Roman"/>
          <w:sz w:val="24"/>
          <w:szCs w:val="24"/>
        </w:rPr>
        <w:t>satisfied their burden at this step. Also, plaintiff doesn’t argue that defendants have failed to</w:t>
      </w:r>
      <w:r>
        <w:rPr>
          <w:rFonts w:ascii="Times New Roman" w:hAnsi="Times New Roman"/>
          <w:sz w:val="24"/>
          <w:szCs w:val="24"/>
        </w:rPr>
        <w:t xml:space="preserve"> </w:t>
      </w:r>
      <w:r w:rsidRPr="00C20869">
        <w:rPr>
          <w:rFonts w:ascii="Times New Roman" w:hAnsi="Times New Roman"/>
          <w:sz w:val="24"/>
          <w:szCs w:val="24"/>
        </w:rPr>
        <w:t>proffer a legitimate, non-discriminatory reason for modifying his performance evaluation. See</w:t>
      </w:r>
      <w:r>
        <w:rPr>
          <w:rFonts w:ascii="Times New Roman" w:hAnsi="Times New Roman"/>
          <w:sz w:val="24"/>
          <w:szCs w:val="24"/>
        </w:rPr>
        <w:t xml:space="preserve"> </w:t>
      </w:r>
      <w:r w:rsidRPr="00C20869">
        <w:rPr>
          <w:rFonts w:ascii="Times New Roman" w:hAnsi="Times New Roman"/>
          <w:sz w:val="24"/>
          <w:szCs w:val="24"/>
        </w:rPr>
        <w:t>generally Doc. 91. Defendants simply wanted plaintiff’s performance evaluation to include</w:t>
      </w:r>
      <w:r>
        <w:rPr>
          <w:rFonts w:ascii="Times New Roman" w:hAnsi="Times New Roman"/>
          <w:sz w:val="24"/>
          <w:szCs w:val="24"/>
        </w:rPr>
        <w:t xml:space="preserve"> </w:t>
      </w:r>
      <w:r w:rsidRPr="00C20869">
        <w:rPr>
          <w:rFonts w:ascii="Times New Roman" w:hAnsi="Times New Roman"/>
          <w:sz w:val="24"/>
          <w:szCs w:val="24"/>
        </w:rPr>
        <w:t>information about the Seneca Street Fire. This showing qualifies as a legitimate,</w:t>
      </w:r>
      <w:r>
        <w:rPr>
          <w:rFonts w:ascii="Times New Roman" w:hAnsi="Times New Roman"/>
          <w:sz w:val="24"/>
          <w:szCs w:val="24"/>
        </w:rPr>
        <w:t xml:space="preserve"> </w:t>
      </w:r>
      <w:r w:rsidRPr="00C20869">
        <w:rPr>
          <w:rFonts w:ascii="Times New Roman" w:hAnsi="Times New Roman"/>
          <w:sz w:val="24"/>
          <w:szCs w:val="24"/>
        </w:rPr>
        <w:t>nondiscriminatory reason satisfactory to discharge the City’s burden at step two.</w:t>
      </w:r>
    </w:p>
    <w:p w14:paraId="1C7AE4DC" w14:textId="77777777" w:rsidR="00AC3E10" w:rsidRDefault="00AC3E10" w:rsidP="00AC3E10">
      <w:pPr>
        <w:pStyle w:val="NoSpacing"/>
        <w:ind w:left="720"/>
        <w:rPr>
          <w:rFonts w:ascii="Times New Roman" w:hAnsi="Times New Roman"/>
          <w:sz w:val="24"/>
          <w:szCs w:val="24"/>
        </w:rPr>
      </w:pPr>
    </w:p>
    <w:p w14:paraId="31AA7B0E" w14:textId="77777777" w:rsidR="00AC3E10" w:rsidRDefault="00AC3E10" w:rsidP="00AC3E10">
      <w:pPr>
        <w:pStyle w:val="NoSpacing"/>
        <w:ind w:left="720"/>
        <w:rPr>
          <w:rFonts w:ascii="Times New Roman" w:hAnsi="Times New Roman"/>
          <w:sz w:val="24"/>
          <w:szCs w:val="24"/>
        </w:rPr>
      </w:pPr>
      <w:r>
        <w:rPr>
          <w:rFonts w:ascii="Times New Roman" w:hAnsi="Times New Roman"/>
          <w:sz w:val="24"/>
          <w:szCs w:val="24"/>
        </w:rPr>
        <w:t>***</w:t>
      </w:r>
    </w:p>
    <w:p w14:paraId="743F8539" w14:textId="77777777" w:rsidR="00AC3E10" w:rsidRDefault="00AC3E10" w:rsidP="00AC3E10">
      <w:pPr>
        <w:pStyle w:val="NoSpacing"/>
        <w:ind w:firstLine="720"/>
        <w:rPr>
          <w:rFonts w:ascii="Times New Roman" w:hAnsi="Times New Roman"/>
          <w:sz w:val="24"/>
          <w:szCs w:val="24"/>
        </w:rPr>
      </w:pPr>
      <w:r>
        <w:rPr>
          <w:rFonts w:ascii="Times New Roman" w:hAnsi="Times New Roman"/>
          <w:sz w:val="24"/>
          <w:szCs w:val="24"/>
        </w:rPr>
        <w:t>T</w:t>
      </w:r>
      <w:r w:rsidRPr="00C20869">
        <w:rPr>
          <w:rFonts w:ascii="Times New Roman" w:hAnsi="Times New Roman"/>
          <w:sz w:val="24"/>
          <w:szCs w:val="24"/>
        </w:rPr>
        <w:t>he court concludes, instead, that plaintiff has failed to present triable issues of race</w:t>
      </w:r>
    </w:p>
    <w:p w14:paraId="43E6E44D" w14:textId="77777777" w:rsidR="00AC3E10" w:rsidRDefault="00AC3E10" w:rsidP="00AC3E10">
      <w:pPr>
        <w:pStyle w:val="NoSpacing"/>
        <w:ind w:left="720"/>
        <w:rPr>
          <w:rFonts w:ascii="Times New Roman" w:hAnsi="Times New Roman"/>
          <w:sz w:val="24"/>
          <w:szCs w:val="24"/>
        </w:rPr>
      </w:pPr>
      <w:r w:rsidRPr="00C20869">
        <w:rPr>
          <w:rFonts w:ascii="Times New Roman" w:hAnsi="Times New Roman"/>
          <w:sz w:val="24"/>
          <w:szCs w:val="24"/>
        </w:rPr>
        <w:t>discrimination and retaliation, so it declines to invoke its supplemental jurisdiction over the state</w:t>
      </w:r>
      <w:r>
        <w:rPr>
          <w:rFonts w:ascii="Times New Roman" w:hAnsi="Times New Roman"/>
          <w:sz w:val="24"/>
          <w:szCs w:val="24"/>
        </w:rPr>
        <w:t xml:space="preserve"> </w:t>
      </w:r>
      <w:r w:rsidRPr="00C20869">
        <w:rPr>
          <w:rFonts w:ascii="Times New Roman" w:hAnsi="Times New Roman"/>
          <w:sz w:val="24"/>
          <w:szCs w:val="24"/>
        </w:rPr>
        <w:t>law claims under 28 U.S.C.§ 1367(c)(3).</w:t>
      </w:r>
      <w:r>
        <w:rPr>
          <w:rFonts w:ascii="Times New Roman" w:hAnsi="Times New Roman"/>
          <w:sz w:val="24"/>
          <w:szCs w:val="24"/>
        </w:rPr>
        <w:t xml:space="preserve">”  </w:t>
      </w:r>
      <w:hyperlink r:id="rId1564" w:history="1">
        <w:r w:rsidRPr="002833D6">
          <w:rPr>
            <w:rStyle w:val="Hyperlink"/>
            <w:rFonts w:ascii="Times New Roman" w:hAnsi="Times New Roman"/>
            <w:sz w:val="24"/>
            <w:szCs w:val="24"/>
          </w:rPr>
          <w:t>https://cases.justia.com/federal/district-courts/kansas/ksdce/6:2022cv01032/140026/96/0.pdf?ts=1694273736</w:t>
        </w:r>
      </w:hyperlink>
      <w:r>
        <w:rPr>
          <w:rFonts w:ascii="Times New Roman" w:hAnsi="Times New Roman"/>
          <w:sz w:val="24"/>
          <w:szCs w:val="24"/>
        </w:rPr>
        <w:t xml:space="preserve"> </w:t>
      </w:r>
    </w:p>
    <w:p w14:paraId="0BD13CE9" w14:textId="77777777" w:rsidR="00AC3E10" w:rsidRDefault="00AC3E10" w:rsidP="00AC3E10">
      <w:pPr>
        <w:pStyle w:val="NoSpacing"/>
        <w:rPr>
          <w:rFonts w:ascii="Times New Roman" w:hAnsi="Times New Roman"/>
          <w:b/>
          <w:bCs/>
          <w:sz w:val="24"/>
          <w:szCs w:val="24"/>
        </w:rPr>
      </w:pPr>
    </w:p>
    <w:p w14:paraId="751A6F70" w14:textId="77777777" w:rsidR="00AC3E10" w:rsidRPr="0000521D" w:rsidRDefault="00AC3E10" w:rsidP="00AC3E10">
      <w:pPr>
        <w:pStyle w:val="NoSpacing"/>
        <w:rPr>
          <w:rFonts w:ascii="Times New Roman" w:hAnsi="Times New Roman"/>
          <w:b/>
          <w:bCs/>
          <w:sz w:val="24"/>
          <w:szCs w:val="24"/>
        </w:rPr>
      </w:pPr>
      <w:r w:rsidRPr="0000521D">
        <w:rPr>
          <w:rFonts w:ascii="Times New Roman" w:hAnsi="Times New Roman"/>
          <w:b/>
          <w:bCs/>
          <w:sz w:val="24"/>
          <w:szCs w:val="24"/>
        </w:rPr>
        <w:t>Legal Lesson Learned:</w:t>
      </w:r>
      <w:r>
        <w:rPr>
          <w:rFonts w:ascii="Times New Roman" w:hAnsi="Times New Roman"/>
          <w:b/>
          <w:bCs/>
          <w:sz w:val="24"/>
          <w:szCs w:val="24"/>
        </w:rPr>
        <w:t xml:space="preserve"> Fire Chief properly ordered the annual performance review </w:t>
      </w:r>
      <w:proofErr w:type="gramStart"/>
      <w:r>
        <w:rPr>
          <w:rFonts w:ascii="Times New Roman" w:hAnsi="Times New Roman"/>
          <w:b/>
          <w:bCs/>
          <w:sz w:val="24"/>
          <w:szCs w:val="24"/>
        </w:rPr>
        <w:t>include</w:t>
      </w:r>
      <w:proofErr w:type="gramEnd"/>
      <w:r>
        <w:rPr>
          <w:rFonts w:ascii="Times New Roman" w:hAnsi="Times New Roman"/>
          <w:b/>
          <w:bCs/>
          <w:sz w:val="24"/>
          <w:szCs w:val="24"/>
        </w:rPr>
        <w:t xml:space="preserve"> reference to IC issues at strip mall fire.  </w:t>
      </w:r>
    </w:p>
    <w:p w14:paraId="12320FC1" w14:textId="77777777" w:rsidR="00AC3E10" w:rsidRDefault="00AC3E10" w:rsidP="00AC3E10">
      <w:pPr>
        <w:rPr>
          <w:rStyle w:val="Hyperlink"/>
          <w:rFonts w:ascii="Arial Black" w:hAnsi="Arial Black"/>
          <w:b/>
          <w:color w:val="auto"/>
          <w:sz w:val="24"/>
          <w:szCs w:val="24"/>
          <w:u w:val="none"/>
        </w:rPr>
      </w:pPr>
    </w:p>
    <w:p w14:paraId="13C55798" w14:textId="77777777" w:rsidR="00AC3E10" w:rsidRDefault="00AC3E10" w:rsidP="00BC70A3">
      <w:pPr>
        <w:rPr>
          <w:rFonts w:ascii="Arial Black" w:hAnsi="Arial Black"/>
          <w:b/>
          <w:sz w:val="24"/>
          <w:szCs w:val="24"/>
        </w:rPr>
      </w:pPr>
    </w:p>
    <w:p w14:paraId="0665ADAF" w14:textId="77777777" w:rsidR="00AC3E10" w:rsidRDefault="00AC3E10" w:rsidP="00BC70A3">
      <w:pPr>
        <w:rPr>
          <w:rFonts w:ascii="Arial Black" w:hAnsi="Arial Black"/>
          <w:b/>
          <w:sz w:val="24"/>
          <w:szCs w:val="24"/>
        </w:rPr>
      </w:pPr>
    </w:p>
    <w:p w14:paraId="6878D7B2" w14:textId="77777777" w:rsidR="00AC3E10" w:rsidRDefault="00AC3E10" w:rsidP="00BC70A3">
      <w:pPr>
        <w:rPr>
          <w:rFonts w:ascii="Arial Black" w:hAnsi="Arial Black"/>
          <w:b/>
          <w:sz w:val="24"/>
          <w:szCs w:val="24"/>
        </w:rPr>
      </w:pPr>
    </w:p>
    <w:p w14:paraId="16605AFA" w14:textId="05C4C2FB" w:rsidR="000644B6" w:rsidRDefault="000644B6" w:rsidP="00BC70A3">
      <w:pPr>
        <w:rPr>
          <w:rFonts w:ascii="Arial Black" w:hAnsi="Arial Black"/>
          <w:b/>
          <w:sz w:val="24"/>
          <w:szCs w:val="24"/>
        </w:rPr>
      </w:pPr>
      <w:r>
        <w:rPr>
          <w:rFonts w:ascii="Arial Black" w:hAnsi="Arial Black"/>
          <w:b/>
          <w:sz w:val="24"/>
          <w:szCs w:val="24"/>
        </w:rPr>
        <w:t>8-53</w:t>
      </w:r>
    </w:p>
    <w:p w14:paraId="17D2FFCE" w14:textId="77777777" w:rsidR="000644B6" w:rsidRDefault="000644B6" w:rsidP="000644B6">
      <w:pPr>
        <w:pStyle w:val="NormalWeb"/>
        <w:rPr>
          <w:rFonts w:ascii="Arial Black" w:hAnsi="Arial Black"/>
          <w:sz w:val="28"/>
          <w:szCs w:val="28"/>
        </w:rPr>
      </w:pPr>
      <w:r>
        <w:rPr>
          <w:rFonts w:ascii="Arial Black" w:hAnsi="Arial Black"/>
          <w:sz w:val="28"/>
          <w:szCs w:val="28"/>
        </w:rPr>
        <w:t xml:space="preserve">OH: CINCINNATI CAPTAIN – ASIAN / BLACK – PROMOTION TEST IRREGULARITIES - DISCRIMINATION CLAIM PROCEED </w:t>
      </w:r>
    </w:p>
    <w:p w14:paraId="14AC487F" w14:textId="77777777" w:rsidR="000644B6" w:rsidRDefault="000644B6" w:rsidP="000644B6">
      <w:pPr>
        <w:pStyle w:val="NormalWeb"/>
      </w:pPr>
      <w:r>
        <w:t xml:space="preserve">On July 11, 2023, in </w:t>
      </w:r>
      <w:r w:rsidRPr="008D0D1D">
        <w:rPr>
          <w:u w:val="single"/>
        </w:rPr>
        <w:t>Janos Roper v. City of Cincinnati</w:t>
      </w:r>
      <w:r>
        <w:t>, U.S. District Court Judge Mathew W. McFarland, U.S. District Court for Southern District of Ohio, Western Division, denied in part the City’s motion to dismiss.  His racial discrimination claim concerning testing irregularities may proceed; but his Ohio Whistleblower claim that he was ordered to speed is dismissed since he didn’t orally report this.   In 2019, he took a promotion test, and alleged technical issues with test caused him to lose points (ranked 16</w:t>
      </w:r>
      <w:r w:rsidRPr="000506A2">
        <w:rPr>
          <w:vertAlign w:val="superscript"/>
        </w:rPr>
        <w:t>th</w:t>
      </w:r>
      <w:r>
        <w:t xml:space="preserve"> on list; 11 promoted during the two years list was effective).  He reported the issues by email to Erica Burks, a human resources employee, and addressed concerns about his income, falsely graded questions, and racial discrimination around the testing itself.  </w:t>
      </w:r>
    </w:p>
    <w:p w14:paraId="3065EEA1" w14:textId="77777777" w:rsidR="000644B6" w:rsidRDefault="000644B6" w:rsidP="000644B6">
      <w:pPr>
        <w:pStyle w:val="NormalWeb"/>
      </w:pPr>
      <w:r>
        <w:t xml:space="preserve">The Court held: </w:t>
      </w:r>
    </w:p>
    <w:p w14:paraId="51805CB2" w14:textId="77777777" w:rsidR="000644B6" w:rsidRDefault="000644B6" w:rsidP="000644B6">
      <w:pPr>
        <w:pStyle w:val="NormalWeb"/>
        <w:numPr>
          <w:ilvl w:val="0"/>
          <w:numId w:val="17"/>
        </w:numPr>
      </w:pPr>
      <w:r>
        <w:t xml:space="preserve">His racial discrimination claim may proceed. “The </w:t>
      </w:r>
      <w:proofErr w:type="gramStart"/>
      <w:r>
        <w:t>City</w:t>
      </w:r>
      <w:proofErr w:type="gramEnd"/>
      <w:r>
        <w:t xml:space="preserve"> claims that Roper has not laid out a prima facie case [of race discrimination]. This argument is premature. An ‘employment discrimination plaintiff need not plead a prima facie case of discrimination’ to survive a motion to dismiss. *** The second problem with the City's argument is that it fails to address the fact that Roper attacks the integrity of the test itself. If the test was flawed, then so were the results of the eligible list. </w:t>
      </w:r>
      <w:proofErr w:type="gramStart"/>
      <w:r>
        <w:t>So</w:t>
      </w:r>
      <w:proofErr w:type="gramEnd"/>
      <w:r>
        <w:t xml:space="preserve"> the fact that he appears sixteenth on the list does not, at the Rule 12(b)(6) stage, absolve the City of liability.”</w:t>
      </w:r>
      <w:r w:rsidRPr="000506A2">
        <w:t xml:space="preserve"> </w:t>
      </w:r>
    </w:p>
    <w:p w14:paraId="0DF5804E" w14:textId="77777777" w:rsidR="000644B6" w:rsidRDefault="000644B6" w:rsidP="000644B6">
      <w:pPr>
        <w:pStyle w:val="NormalWeb"/>
        <w:ind w:left="720"/>
      </w:pPr>
    </w:p>
    <w:p w14:paraId="3D366379" w14:textId="77777777" w:rsidR="000644B6" w:rsidRDefault="000644B6" w:rsidP="000644B6">
      <w:pPr>
        <w:pStyle w:val="NormalWeb"/>
        <w:numPr>
          <w:ilvl w:val="0"/>
          <w:numId w:val="17"/>
        </w:numPr>
      </w:pPr>
      <w:r>
        <w:t xml:space="preserve">Whistleblower </w:t>
      </w:r>
      <w:proofErr w:type="gramStart"/>
      <w:r>
        <w:t>claim</w:t>
      </w:r>
      <w:proofErr w:type="gramEnd"/>
      <w:r>
        <w:t xml:space="preserve"> dismissed.  “He also made whistleblower complaints about [Battalion Chief Jason] Vollmer's instructions for him to break traffic laws and falsify government records. Not much came </w:t>
      </w:r>
      <w:proofErr w:type="gramStart"/>
      <w:r>
        <w:t>of</w:t>
      </w:r>
      <w:proofErr w:type="gramEnd"/>
      <w:r>
        <w:t xml:space="preserve"> these complaints. And, after he came back from a period of sick leave in September 2020, Vollmer treated him worse than before.*** [N]</w:t>
      </w:r>
      <w:proofErr w:type="spellStart"/>
      <w:r>
        <w:t>owhere</w:t>
      </w:r>
      <w:proofErr w:type="spellEnd"/>
      <w:r>
        <w:t xml:space="preserve"> nowhere does he allege any oral communication. He contacted Burks, once, through email. But the whistleblower statute requires him to first orally report a violation, then file a written report. </w:t>
      </w:r>
      <w:hyperlink r:id="rId1565" w:history="1">
        <w:r>
          <w:rPr>
            <w:rStyle w:val="Hyperlink"/>
            <w:rFonts w:eastAsiaTheme="majorEastAsia"/>
          </w:rPr>
          <w:t>R.C. § 4113.52(A)(1)(a)</w:t>
        </w:r>
      </w:hyperlink>
      <w:r>
        <w:t>.”</w:t>
      </w:r>
    </w:p>
    <w:p w14:paraId="6A92F81D" w14:textId="77777777" w:rsidR="000644B6" w:rsidRDefault="000644B6" w:rsidP="000644B6">
      <w:pPr>
        <w:pStyle w:val="NormalWeb"/>
      </w:pPr>
      <w:hyperlink r:id="rId1566" w:history="1">
        <w:r w:rsidRPr="000D7596">
          <w:rPr>
            <w:rStyle w:val="Hyperlink"/>
            <w:rFonts w:eastAsiaTheme="majorEastAsia"/>
          </w:rPr>
          <w:t>https://casetext.com/case/roper-v-city-of-cincinnati</w:t>
        </w:r>
      </w:hyperlink>
      <w:r>
        <w:t xml:space="preserve"> </w:t>
      </w:r>
    </w:p>
    <w:p w14:paraId="48D2305B" w14:textId="77777777" w:rsidR="000644B6" w:rsidRPr="00030503" w:rsidRDefault="000644B6" w:rsidP="000644B6">
      <w:pPr>
        <w:pStyle w:val="NormalWeb"/>
        <w:rPr>
          <w:b/>
          <w:bCs/>
        </w:rPr>
      </w:pPr>
      <w:r w:rsidRPr="00030503">
        <w:rPr>
          <w:b/>
          <w:bCs/>
        </w:rPr>
        <w:t>Legal Lesson Learned:</w:t>
      </w:r>
      <w:r>
        <w:rPr>
          <w:b/>
          <w:bCs/>
        </w:rPr>
        <w:t xml:space="preserve"> Race discrimination lawsuits will generally not be subject to dismissal until all </w:t>
      </w:r>
      <w:proofErr w:type="gramStart"/>
      <w:r>
        <w:rPr>
          <w:b/>
          <w:bCs/>
        </w:rPr>
        <w:t>discovery has</w:t>
      </w:r>
      <w:proofErr w:type="gramEnd"/>
      <w:r>
        <w:rPr>
          <w:b/>
          <w:bCs/>
        </w:rPr>
        <w:t xml:space="preserve"> been completed.</w:t>
      </w:r>
    </w:p>
    <w:p w14:paraId="4295EB19" w14:textId="77777777" w:rsidR="000644B6" w:rsidRPr="00942B34" w:rsidRDefault="000644B6" w:rsidP="000644B6">
      <w:pPr>
        <w:pStyle w:val="gntarbp"/>
        <w:ind w:left="720"/>
      </w:pPr>
      <w:r w:rsidRPr="00942B34">
        <w:t xml:space="preserve">Note: See Dec. 21, </w:t>
      </w:r>
      <w:proofErr w:type="gramStart"/>
      <w:r w:rsidRPr="00942B34">
        <w:t>2018</w:t>
      </w:r>
      <w:proofErr w:type="gramEnd"/>
      <w:r w:rsidRPr="00942B34">
        <w:t xml:space="preserve"> article, “Cincinnati Fire captain alleges sexual harassment after R-rated movie plays at station.” A captain with the Cincinnati Fire Department claims in a lawsuit he was subjected to </w:t>
      </w:r>
      <w:r w:rsidRPr="00942B34">
        <w:lastRenderedPageBreak/>
        <w:t xml:space="preserve">sexual harassment when an R-rated movie played on a station television last year. Capt. Janos Roper, an 18-year veteran of the Fire Department, filed the suit Friday in federal court. The suit alleges Roper's colleagues ignored his request to stop watching "Any Given Sunday," a sports film that includes nudity and profanity, in a shared eating area. </w:t>
      </w:r>
      <w:hyperlink r:id="rId1567" w:history="1">
        <w:r w:rsidRPr="00942B34">
          <w:rPr>
            <w:rStyle w:val="Hyperlink"/>
            <w:rFonts w:eastAsiaTheme="majorEastAsia"/>
          </w:rPr>
          <w:t>https://www.cincinnati.com/story/news/2018/12/21/fire-captain-alleges-sexual-harassment-after-any-given-sunday-shown-station/2393196002/</w:t>
        </w:r>
      </w:hyperlink>
      <w:r w:rsidRPr="00942B34">
        <w:t xml:space="preserve"> </w:t>
      </w:r>
    </w:p>
    <w:p w14:paraId="1B8C4583" w14:textId="77777777" w:rsidR="000644B6" w:rsidRDefault="000644B6" w:rsidP="00BC70A3">
      <w:pPr>
        <w:rPr>
          <w:rFonts w:ascii="Arial Black" w:hAnsi="Arial Black"/>
          <w:b/>
          <w:sz w:val="24"/>
          <w:szCs w:val="24"/>
        </w:rPr>
      </w:pPr>
    </w:p>
    <w:p w14:paraId="165F5087" w14:textId="064EE3F8" w:rsidR="00477016" w:rsidRDefault="00C032D6" w:rsidP="00BC70A3">
      <w:pPr>
        <w:rPr>
          <w:rFonts w:ascii="Arial Black" w:hAnsi="Arial Black"/>
          <w:b/>
          <w:sz w:val="24"/>
          <w:szCs w:val="24"/>
        </w:rPr>
      </w:pPr>
      <w:r>
        <w:rPr>
          <w:rFonts w:ascii="Arial Black" w:hAnsi="Arial Black"/>
          <w:b/>
          <w:sz w:val="24"/>
          <w:szCs w:val="24"/>
        </w:rPr>
        <w:t>8-52</w:t>
      </w:r>
    </w:p>
    <w:p w14:paraId="327F22E5" w14:textId="77777777" w:rsidR="00C032D6" w:rsidRDefault="00C032D6" w:rsidP="00C032D6">
      <w:pPr>
        <w:spacing w:before="100" w:beforeAutospacing="1" w:after="100" w:afterAutospacing="1" w:line="240" w:lineRule="auto"/>
        <w:rPr>
          <w:rFonts w:ascii="Arial Black" w:hAnsi="Arial Black"/>
          <w:color w:val="343332"/>
          <w:sz w:val="28"/>
          <w:szCs w:val="28"/>
        </w:rPr>
      </w:pPr>
      <w:r>
        <w:rPr>
          <w:rFonts w:ascii="Arial Black" w:hAnsi="Arial Black"/>
          <w:color w:val="343332"/>
          <w:sz w:val="28"/>
          <w:szCs w:val="28"/>
        </w:rPr>
        <w:t xml:space="preserve">U.S. SUP. CT: HARVARD / UNC ADMISSIONS – RACIAL STEREOTYPING, LACK MEANINGFUL END POINTS </w:t>
      </w:r>
    </w:p>
    <w:p w14:paraId="526A72E6" w14:textId="77777777" w:rsidR="00C032D6" w:rsidRDefault="00C032D6" w:rsidP="00C032D6">
      <w:pPr>
        <w:pStyle w:val="NormalWeb"/>
        <w:rPr>
          <w:color w:val="343332"/>
        </w:rPr>
      </w:pPr>
      <w:r>
        <w:rPr>
          <w:color w:val="343332"/>
        </w:rPr>
        <w:t xml:space="preserve">On June 29, 2023, in </w:t>
      </w:r>
      <w:r>
        <w:rPr>
          <w:color w:val="343332"/>
          <w:u w:val="single"/>
        </w:rPr>
        <w:t xml:space="preserve">Students </w:t>
      </w:r>
      <w:proofErr w:type="gramStart"/>
      <w:r>
        <w:rPr>
          <w:color w:val="343332"/>
          <w:u w:val="single"/>
        </w:rPr>
        <w:t>For</w:t>
      </w:r>
      <w:proofErr w:type="gramEnd"/>
      <w:r>
        <w:rPr>
          <w:color w:val="343332"/>
          <w:u w:val="single"/>
        </w:rPr>
        <w:t xml:space="preserve"> Fair Admissions. Inc. v. Harvard College, and Students </w:t>
      </w:r>
      <w:proofErr w:type="gramStart"/>
      <w:r>
        <w:rPr>
          <w:color w:val="343332"/>
          <w:u w:val="single"/>
        </w:rPr>
        <w:t>For</w:t>
      </w:r>
      <w:proofErr w:type="gramEnd"/>
      <w:r>
        <w:rPr>
          <w:color w:val="343332"/>
          <w:u w:val="single"/>
        </w:rPr>
        <w:t xml:space="preserve"> Fair Admissions. Inc. v. University of North Carolina</w:t>
      </w:r>
      <w:r>
        <w:rPr>
          <w:color w:val="343332"/>
        </w:rPr>
        <w:t xml:space="preserve">, the U.S. Supreme Court held (6 to 3), in opinion by Chief Justice John G. Roberts, Jr., the current admissions processes where race is a </w:t>
      </w:r>
      <w:r>
        <w:t xml:space="preserve">“plus factor” </w:t>
      </w:r>
      <w:r>
        <w:rPr>
          <w:color w:val="343332"/>
        </w:rPr>
        <w:t>violates the 14</w:t>
      </w:r>
      <w:r>
        <w:rPr>
          <w:color w:val="343332"/>
          <w:vertAlign w:val="superscript"/>
        </w:rPr>
        <w:t>th</w:t>
      </w:r>
      <w:r>
        <w:rPr>
          <w:color w:val="343332"/>
        </w:rPr>
        <w:t xml:space="preserve"> Amendment’s Equal Protection clause (ratified in 1868 in the wake of the Civil War). “For the reasons provided above, the Harvard and UNC admissions programs cannot be reconciled with the guarantees of the Equal Protection Clause. Both programs lack sufficiently focused and measurable objectives warranting the use of race, unavoidably employ race in a negative manner, involve racial stereotyping, and lack meaningful end points. We have never permitted admissions programs to work in that way, and we will not do so today. At the same time, as all parties agree, nothing in this opinion should be construed as prohibiting universities from considering an applicant’s discussion of how race affected his or her life, be it through discrimination, inspiration, or otherwise.” </w:t>
      </w:r>
      <w:hyperlink r:id="rId1568" w:history="1">
        <w:r>
          <w:rPr>
            <w:rStyle w:val="Hyperlink"/>
          </w:rPr>
          <w:t>https://www.supremecourt.gov/opinions/22pdf/20-1199_hgdj.pdf</w:t>
        </w:r>
      </w:hyperlink>
      <w:r>
        <w:rPr>
          <w:color w:val="343332"/>
        </w:rPr>
        <w:t xml:space="preserve"> </w:t>
      </w:r>
    </w:p>
    <w:p w14:paraId="01569BD9" w14:textId="77777777" w:rsidR="00C032D6" w:rsidRDefault="00C032D6" w:rsidP="00C032D6">
      <w:pPr>
        <w:pStyle w:val="NormalWeb"/>
        <w:rPr>
          <w:b/>
          <w:bCs/>
          <w:color w:val="343332"/>
        </w:rPr>
      </w:pPr>
      <w:r>
        <w:rPr>
          <w:b/>
          <w:bCs/>
          <w:color w:val="343332"/>
        </w:rPr>
        <w:t xml:space="preserve">Legal Lesson Learned: Employers, including Fire &amp; EMS Departments, may still have racial and gender diversity goals; if your </w:t>
      </w:r>
      <w:proofErr w:type="gramStart"/>
      <w:r>
        <w:rPr>
          <w:b/>
          <w:bCs/>
          <w:color w:val="343332"/>
        </w:rPr>
        <w:t>Department</w:t>
      </w:r>
      <w:proofErr w:type="gramEnd"/>
      <w:r>
        <w:rPr>
          <w:b/>
          <w:bCs/>
          <w:color w:val="343332"/>
        </w:rPr>
        <w:t xml:space="preserve"> still has a </w:t>
      </w:r>
      <w:proofErr w:type="gramStart"/>
      <w:r>
        <w:rPr>
          <w:b/>
          <w:bCs/>
          <w:color w:val="343332"/>
        </w:rPr>
        <w:t>Federal</w:t>
      </w:r>
      <w:proofErr w:type="gramEnd"/>
      <w:r>
        <w:rPr>
          <w:b/>
          <w:bCs/>
          <w:color w:val="343332"/>
        </w:rPr>
        <w:t xml:space="preserve"> consent decree where goals have been met, consult with legal counsel about filing motion to dissolve the decree.</w:t>
      </w:r>
    </w:p>
    <w:p w14:paraId="72A57AB8" w14:textId="77777777" w:rsidR="00C032D6" w:rsidRPr="00BA078F" w:rsidRDefault="00C032D6" w:rsidP="00C032D6">
      <w:pPr>
        <w:pStyle w:val="Heading1"/>
        <w:ind w:left="720"/>
        <w:rPr>
          <w:b w:val="0"/>
          <w:bCs w:val="0"/>
          <w:sz w:val="24"/>
          <w:szCs w:val="24"/>
        </w:rPr>
      </w:pPr>
      <w:r w:rsidRPr="00BA078F">
        <w:rPr>
          <w:b w:val="0"/>
          <w:bCs w:val="0"/>
          <w:color w:val="000000" w:themeColor="text1"/>
          <w:sz w:val="24"/>
          <w:szCs w:val="24"/>
        </w:rPr>
        <w:t>Note: See article, June 24, 2020:  ’</w:t>
      </w:r>
      <w:r w:rsidRPr="00BA078F">
        <w:rPr>
          <w:b w:val="0"/>
          <w:bCs w:val="0"/>
          <w:sz w:val="24"/>
          <w:szCs w:val="24"/>
        </w:rPr>
        <w:t>City of Buffalo updating training procedures: rolling out diversity training for every department.´</w:t>
      </w:r>
      <w:r w:rsidRPr="00BA078F">
        <w:rPr>
          <w:b w:val="0"/>
          <w:bCs w:val="0"/>
        </w:rPr>
        <w:t xml:space="preserve"> </w:t>
      </w:r>
      <w:hyperlink r:id="rId1569" w:history="1">
        <w:r w:rsidRPr="00BA078F">
          <w:rPr>
            <w:rStyle w:val="Hyperlink"/>
            <w:b w:val="0"/>
            <w:bCs w:val="0"/>
            <w:sz w:val="24"/>
            <w:szCs w:val="24"/>
          </w:rPr>
          <w:t>https://www.wkbw.com/news/local-news/city-of-buffalo-updating-training-procedures-rolling-out-diversity-training-for-every-department</w:t>
        </w:r>
      </w:hyperlink>
      <w:r w:rsidRPr="00BA078F">
        <w:rPr>
          <w:b w:val="0"/>
          <w:bCs w:val="0"/>
          <w:sz w:val="24"/>
          <w:szCs w:val="24"/>
        </w:rPr>
        <w:t xml:space="preserve"> </w:t>
      </w:r>
    </w:p>
    <w:p w14:paraId="5161C919" w14:textId="77777777" w:rsidR="00C032D6" w:rsidRPr="00BA078F" w:rsidRDefault="00C032D6" w:rsidP="00C032D6">
      <w:pPr>
        <w:pStyle w:val="Heading1"/>
        <w:ind w:left="720"/>
        <w:rPr>
          <w:b w:val="0"/>
          <w:bCs w:val="0"/>
          <w:sz w:val="24"/>
          <w:szCs w:val="24"/>
        </w:rPr>
      </w:pPr>
      <w:r w:rsidRPr="00BA078F">
        <w:rPr>
          <w:b w:val="0"/>
          <w:bCs w:val="0"/>
          <w:sz w:val="24"/>
          <w:szCs w:val="24"/>
        </w:rPr>
        <w:t>S</w:t>
      </w:r>
      <w:r w:rsidRPr="00BA078F">
        <w:rPr>
          <w:b w:val="0"/>
          <w:bCs w:val="0"/>
          <w:color w:val="000000" w:themeColor="text1"/>
          <w:sz w:val="24"/>
          <w:szCs w:val="24"/>
        </w:rPr>
        <w:t xml:space="preserve">ee IAFC article (March 16, 2015): “Department of Justice, Consent Decrees and the Fire Service.” </w:t>
      </w:r>
      <w:hyperlink r:id="rId1570" w:history="1">
        <w:r w:rsidRPr="00BA078F">
          <w:rPr>
            <w:rStyle w:val="Hyperlink"/>
            <w:b w:val="0"/>
            <w:bCs w:val="0"/>
            <w:sz w:val="24"/>
            <w:szCs w:val="24"/>
          </w:rPr>
          <w:t>https://www.iafc.org/membership/iCHIEFS/iCHIEFS-article/department-of-justice-consent-decrees-and-the-fire-service</w:t>
        </w:r>
      </w:hyperlink>
      <w:r w:rsidRPr="00BA078F">
        <w:rPr>
          <w:b w:val="0"/>
          <w:bCs w:val="0"/>
          <w:color w:val="000000" w:themeColor="text1"/>
          <w:sz w:val="24"/>
          <w:szCs w:val="24"/>
        </w:rPr>
        <w:t xml:space="preserve"> </w:t>
      </w:r>
    </w:p>
    <w:p w14:paraId="2F6CAACF" w14:textId="77777777" w:rsidR="00C032D6" w:rsidRDefault="00C032D6" w:rsidP="00C032D6">
      <w:pPr>
        <w:pStyle w:val="NormalWeb"/>
        <w:ind w:left="720"/>
        <w:rPr>
          <w:color w:val="000000"/>
        </w:rPr>
      </w:pPr>
      <w:r>
        <w:t xml:space="preserve">“There are many consent decrees affecting fire departments across the country related to hiring practices, affecting several fire departments, including FDNY, Baltimore, Austin and San Francisco. </w:t>
      </w:r>
      <w:hyperlink r:id="rId1571" w:tgtFrame="_blank" w:history="1">
        <w:r>
          <w:rPr>
            <w:rStyle w:val="Hyperlink"/>
          </w:rPr>
          <w:t>A consent decree affected Leesville, La.</w:t>
        </w:r>
      </w:hyperlink>
      <w:r>
        <w:t>, which had gone on over 32 years for hiring practices violating Title VII of the Civil Rights Act of 1964. Probably the longest is a forty-year consent decree involving the city of Buffalo, N.Y. The city is requesting a 1974 DOJ consent decree be set aside after complying with the consent decree related to mandated hiring quotas overseen by a U.S. District Court judge.”</w:t>
      </w:r>
    </w:p>
    <w:p w14:paraId="428D926B" w14:textId="77777777" w:rsidR="00C032D6" w:rsidRDefault="00C032D6" w:rsidP="00BC70A3">
      <w:pPr>
        <w:rPr>
          <w:rFonts w:ascii="Arial Black" w:hAnsi="Arial Black"/>
          <w:b/>
          <w:sz w:val="24"/>
          <w:szCs w:val="24"/>
        </w:rPr>
      </w:pPr>
    </w:p>
    <w:p w14:paraId="70CAE34E" w14:textId="77777777" w:rsidR="00C032D6" w:rsidRDefault="00C032D6" w:rsidP="00BC70A3">
      <w:pPr>
        <w:rPr>
          <w:rFonts w:ascii="Arial Black" w:hAnsi="Arial Black"/>
          <w:b/>
          <w:sz w:val="24"/>
          <w:szCs w:val="24"/>
        </w:rPr>
      </w:pPr>
    </w:p>
    <w:p w14:paraId="7B1FA5A7" w14:textId="6E1FCF75" w:rsidR="00477016" w:rsidRDefault="00477016" w:rsidP="00BC70A3">
      <w:pPr>
        <w:rPr>
          <w:rFonts w:ascii="Arial Black" w:hAnsi="Arial Black"/>
          <w:b/>
          <w:sz w:val="24"/>
          <w:szCs w:val="24"/>
        </w:rPr>
      </w:pPr>
      <w:r>
        <w:rPr>
          <w:rFonts w:ascii="Arial Black" w:hAnsi="Arial Black"/>
          <w:b/>
          <w:sz w:val="24"/>
          <w:szCs w:val="24"/>
        </w:rPr>
        <w:t>8-51</w:t>
      </w:r>
    </w:p>
    <w:p w14:paraId="6CB9D09B" w14:textId="77777777" w:rsidR="00477016" w:rsidRDefault="00477016" w:rsidP="00477016">
      <w:pPr>
        <w:pStyle w:val="NormalWeb"/>
      </w:pPr>
      <w:bookmarkStart w:id="316" w:name="_Hlk136859714"/>
      <w:r>
        <w:rPr>
          <w:rFonts w:ascii="Arial Black" w:hAnsi="Arial Black"/>
          <w:sz w:val="28"/>
          <w:szCs w:val="28"/>
        </w:rPr>
        <w:lastRenderedPageBreak/>
        <w:t>MO: ST. LOUIS FD – 17 “ACTING” OFFICERS – CITY NOT PROMOTING UNTIL NEW EXAM - RACE CASE SETTLEMENT</w:t>
      </w:r>
    </w:p>
    <w:bookmarkEnd w:id="316"/>
    <w:p w14:paraId="2F84B4C8" w14:textId="77777777" w:rsidR="00477016" w:rsidRDefault="00477016" w:rsidP="00477016">
      <w:pPr>
        <w:pStyle w:val="NormalWeb"/>
      </w:pPr>
      <w:r>
        <w:t xml:space="preserve">On May 19, 2023, in </w:t>
      </w:r>
      <w:r w:rsidRPr="00E724BE">
        <w:rPr>
          <w:u w:val="single"/>
        </w:rPr>
        <w:t>Robert Eveland, et al. v. City of St. Louis, et al</w:t>
      </w:r>
      <w:r>
        <w:t>., U.S. District Court Judge Catherine D. Parry, U.S. District Court for Eastern District of Missouri, Eastern Division, declined to issue a preliminary injunction ordering the City to promote the 17 “acting” Battalion Chiefs and Captains.  Judge Parry wrote:</w:t>
      </w:r>
    </w:p>
    <w:p w14:paraId="11183AD8" w14:textId="77777777" w:rsidR="00477016" w:rsidRDefault="00477016" w:rsidP="00477016">
      <w:pPr>
        <w:pStyle w:val="NormalWeb"/>
        <w:ind w:left="720"/>
      </w:pPr>
      <w:r>
        <w:t xml:space="preserve">“This is a legally complicated case. There is a possibility that plaintiffs may prevail </w:t>
      </w:r>
      <w:proofErr w:type="gramStart"/>
      <w:r>
        <w:t>on</w:t>
      </w:r>
      <w:proofErr w:type="gramEnd"/>
      <w:r>
        <w:t xml:space="preserve"> the merits of their claim, but they face many legal obstacles that they may not be able to overcome. In any event, I will deny the motion for a preliminary injunction because plaintiffs have not shown that they are threatened with immediate and irreparable harm or that any harm to them outweighs the harm that will result to the </w:t>
      </w:r>
      <w:proofErr w:type="gramStart"/>
      <w:r>
        <w:t>City</w:t>
      </w:r>
      <w:proofErr w:type="gramEnd"/>
      <w:r>
        <w:t xml:space="preserve"> if I were to grant the preliminary injunction. *** At the hearing, plaintiffs' counsel argued that because the Civil Service Rules provide that the ‘appointing authority’ is the Fire Chief and not the Director of Public Safety, plaintiffs' right to due process was violated when the Director effectively vetoed their promotions. Rather than arguing that they were entitled to some pre-deprivation process (such as a hearing), they argue that this alleged violation of due process simply entitles them to be promoted. But Missouri case law recognizes that the Fire Chief's decision-making power is subject to oversight by the Director of Public </w:t>
      </w:r>
      <w:proofErr w:type="gramStart"/>
      <w:r>
        <w:t>Safety.”</w:t>
      </w:r>
      <w:proofErr w:type="gramEnd"/>
      <w:r>
        <w:t xml:space="preserve"> </w:t>
      </w:r>
      <w:hyperlink r:id="rId1572" w:history="1">
        <w:r w:rsidRPr="00B43223">
          <w:rPr>
            <w:rStyle w:val="Hyperlink"/>
            <w:rFonts w:eastAsiaTheme="majorEastAsia"/>
          </w:rPr>
          <w:t>https://public.fastcase.com/ZZhmr5v9wN%2FXOe5IsQ%2FqDz1M0c7XntbkBFAKdHDge9e%2F8CSFXEi88W%2FVfdIRS4Pi97nH6Fo0Jpcpv2L%2BsFvZPbsE0qA7KMgQlRndt4L6foA%3D?utm_medium=email&amp;_hsmi=226712652&amp;_hsenc=p2ANqtz--PxjvF13xKDxQ7J7F-ifitmDmVZpuVXf36_4emKUQzFhwmn1WPofSx1ry4m9mCDedrl6XMHnLVa4UU0oKcRVjso9raZQ&amp;utm_content=226712652&amp;utm_source=hs_email</w:t>
        </w:r>
      </w:hyperlink>
      <w:r>
        <w:t xml:space="preserve"> </w:t>
      </w:r>
    </w:p>
    <w:p w14:paraId="596FDC8B" w14:textId="77777777" w:rsidR="00477016" w:rsidRDefault="00477016" w:rsidP="00477016">
      <w:pPr>
        <w:pStyle w:val="NormalWeb"/>
        <w:rPr>
          <w:b/>
          <w:bCs/>
        </w:rPr>
      </w:pPr>
      <w:r w:rsidRPr="00073DEB">
        <w:rPr>
          <w:b/>
          <w:bCs/>
        </w:rPr>
        <w:t>Legal Lesson Learned:</w:t>
      </w:r>
      <w:r>
        <w:rPr>
          <w:b/>
          <w:bCs/>
        </w:rPr>
        <w:t xml:space="preserve">  Preliminary injunctions are an “extraordinary remedy” that requires proof of “irreparable harm” to the plaintiffs. </w:t>
      </w:r>
    </w:p>
    <w:p w14:paraId="610DE291" w14:textId="77777777" w:rsidR="00477016" w:rsidRDefault="00477016" w:rsidP="00BC70A3">
      <w:pPr>
        <w:rPr>
          <w:rFonts w:ascii="Arial Black" w:hAnsi="Arial Black"/>
          <w:b/>
          <w:sz w:val="24"/>
          <w:szCs w:val="24"/>
        </w:rPr>
      </w:pPr>
    </w:p>
    <w:p w14:paraId="414F6EF7" w14:textId="77777777" w:rsidR="00477016" w:rsidRDefault="00477016" w:rsidP="00BC70A3">
      <w:pPr>
        <w:rPr>
          <w:rFonts w:ascii="Arial Black" w:hAnsi="Arial Black"/>
          <w:b/>
          <w:sz w:val="24"/>
          <w:szCs w:val="24"/>
        </w:rPr>
      </w:pPr>
    </w:p>
    <w:p w14:paraId="3EFA346A" w14:textId="0822FCF8" w:rsidR="00227BDE" w:rsidRDefault="00227BDE" w:rsidP="00BC70A3">
      <w:pPr>
        <w:rPr>
          <w:rFonts w:ascii="Arial Black" w:hAnsi="Arial Black"/>
          <w:b/>
          <w:sz w:val="24"/>
          <w:szCs w:val="24"/>
        </w:rPr>
      </w:pPr>
      <w:r>
        <w:rPr>
          <w:rFonts w:ascii="Arial Black" w:hAnsi="Arial Black"/>
          <w:b/>
          <w:sz w:val="24"/>
          <w:szCs w:val="24"/>
        </w:rPr>
        <w:t>8-50</w:t>
      </w:r>
    </w:p>
    <w:p w14:paraId="0A2AF175" w14:textId="77777777" w:rsidR="00227BDE" w:rsidRPr="006A5BAB" w:rsidRDefault="00227BDE" w:rsidP="00227BDE">
      <w:pPr>
        <w:pStyle w:val="NoSpacing"/>
        <w:rPr>
          <w:rFonts w:ascii="Arial Black" w:hAnsi="Arial Black"/>
          <w:sz w:val="28"/>
          <w:szCs w:val="28"/>
        </w:rPr>
      </w:pPr>
      <w:r w:rsidRPr="006A5BAB">
        <w:rPr>
          <w:rFonts w:ascii="Arial Black" w:hAnsi="Arial Black"/>
          <w:sz w:val="28"/>
          <w:szCs w:val="28"/>
        </w:rPr>
        <w:t>NY (3/31/2023) – FDNY –</w:t>
      </w:r>
      <w:r>
        <w:rPr>
          <w:rFonts w:ascii="Arial Black" w:hAnsi="Arial Black"/>
          <w:sz w:val="28"/>
          <w:szCs w:val="28"/>
        </w:rPr>
        <w:t xml:space="preserve"> </w:t>
      </w:r>
      <w:r w:rsidRPr="006A5BAB">
        <w:rPr>
          <w:rFonts w:ascii="Arial Black" w:hAnsi="Arial Black"/>
          <w:sz w:val="28"/>
          <w:szCs w:val="28"/>
        </w:rPr>
        <w:t>PROB. FF FROM PERU –</w:t>
      </w:r>
      <w:r>
        <w:rPr>
          <w:rFonts w:ascii="Arial Black" w:hAnsi="Arial Black"/>
          <w:sz w:val="28"/>
          <w:szCs w:val="28"/>
        </w:rPr>
        <w:t xml:space="preserve"> HAZING, ONLINE HARASSMENT, PTSD, SUSP. - CASE </w:t>
      </w:r>
      <w:r w:rsidRPr="006A5BAB">
        <w:rPr>
          <w:rFonts w:ascii="Arial Black" w:hAnsi="Arial Black"/>
          <w:sz w:val="28"/>
          <w:szCs w:val="28"/>
        </w:rPr>
        <w:t>PROCEED</w:t>
      </w:r>
    </w:p>
    <w:p w14:paraId="2C7DCA68" w14:textId="77777777" w:rsidR="00227BDE" w:rsidRDefault="00227BDE" w:rsidP="00227BDE">
      <w:pPr>
        <w:pStyle w:val="NoSpacing"/>
      </w:pPr>
    </w:p>
    <w:p w14:paraId="70CAB465" w14:textId="77777777" w:rsidR="00227BDE" w:rsidRPr="003C1643" w:rsidRDefault="00227BDE" w:rsidP="00227BDE">
      <w:pPr>
        <w:pStyle w:val="NoSpacing"/>
        <w:rPr>
          <w:rFonts w:ascii="Times New Roman" w:hAnsi="Times New Roman"/>
          <w:sz w:val="24"/>
          <w:szCs w:val="24"/>
        </w:rPr>
      </w:pPr>
      <w:r w:rsidRPr="003C1643">
        <w:rPr>
          <w:rFonts w:ascii="Times New Roman" w:hAnsi="Times New Roman"/>
          <w:sz w:val="24"/>
          <w:szCs w:val="24"/>
          <w:u w:val="single"/>
        </w:rPr>
        <w:t>Joseph Mendoza v. The City of New York, et al</w:t>
      </w:r>
      <w:r w:rsidRPr="003C1643">
        <w:rPr>
          <w:rFonts w:ascii="Times New Roman" w:hAnsi="Times New Roman"/>
          <w:sz w:val="24"/>
          <w:szCs w:val="24"/>
        </w:rPr>
        <w:t xml:space="preserve">., U.S. District Court Judge Lashann Dearcy Hall, U.S. District Court for Eastern District of New York. </w:t>
      </w:r>
      <w:hyperlink r:id="rId1573" w:history="1">
        <w:r w:rsidRPr="003C1643">
          <w:rPr>
            <w:rStyle w:val="Hyperlink"/>
            <w:rFonts w:ascii="Times New Roman" w:hAnsi="Times New Roman"/>
            <w:sz w:val="24"/>
            <w:szCs w:val="24"/>
          </w:rPr>
          <w:t>https://casetext.com/case/mendoza-v-the-city-of-new-york-3</w:t>
        </w:r>
      </w:hyperlink>
      <w:r w:rsidRPr="003C1643">
        <w:rPr>
          <w:rFonts w:ascii="Times New Roman" w:hAnsi="Times New Roman"/>
          <w:sz w:val="24"/>
          <w:szCs w:val="24"/>
        </w:rPr>
        <w:t xml:space="preserve"> </w:t>
      </w:r>
    </w:p>
    <w:p w14:paraId="4B58745F" w14:textId="77777777" w:rsidR="00227BDE" w:rsidRPr="003C1643" w:rsidRDefault="00227BDE" w:rsidP="00227BDE">
      <w:pPr>
        <w:pStyle w:val="NormalWeb"/>
        <w:rPr>
          <w:b/>
          <w:bCs/>
        </w:rPr>
      </w:pPr>
      <w:r w:rsidRPr="003C1643">
        <w:rPr>
          <w:b/>
          <w:bCs/>
        </w:rPr>
        <w:t>Legal Lesson Learned:</w:t>
      </w:r>
      <w:r>
        <w:rPr>
          <w:b/>
          <w:bCs/>
        </w:rPr>
        <w:t xml:space="preserve"> Allegations are far more than just hazing</w:t>
      </w:r>
      <w:r w:rsidRPr="003C1643">
        <w:rPr>
          <w:b/>
          <w:bCs/>
        </w:rPr>
        <w:t xml:space="preserve">. </w:t>
      </w:r>
    </w:p>
    <w:p w14:paraId="0F2499BF" w14:textId="77777777" w:rsidR="00227BDE" w:rsidRDefault="00227BDE" w:rsidP="00BC70A3">
      <w:pPr>
        <w:rPr>
          <w:rFonts w:ascii="Arial Black" w:hAnsi="Arial Black"/>
          <w:b/>
          <w:sz w:val="24"/>
          <w:szCs w:val="24"/>
        </w:rPr>
      </w:pPr>
    </w:p>
    <w:p w14:paraId="391457F2" w14:textId="20E4D19F" w:rsidR="00227BDE" w:rsidRDefault="00227BDE" w:rsidP="00BC70A3">
      <w:pPr>
        <w:rPr>
          <w:rFonts w:ascii="Arial Black" w:hAnsi="Arial Black"/>
          <w:b/>
          <w:sz w:val="24"/>
          <w:szCs w:val="24"/>
        </w:rPr>
      </w:pPr>
      <w:r>
        <w:rPr>
          <w:rFonts w:ascii="Arial Black" w:hAnsi="Arial Black"/>
          <w:b/>
          <w:sz w:val="24"/>
          <w:szCs w:val="24"/>
        </w:rPr>
        <w:t>8-49</w:t>
      </w:r>
    </w:p>
    <w:p w14:paraId="2B0205B4" w14:textId="77777777" w:rsidR="00227BDE" w:rsidRPr="00016E2B" w:rsidRDefault="00227BDE" w:rsidP="00227BDE">
      <w:pPr>
        <w:pStyle w:val="NoSpacing"/>
        <w:rPr>
          <w:rFonts w:ascii="Arial Black" w:hAnsi="Arial Black"/>
          <w:sz w:val="28"/>
          <w:szCs w:val="28"/>
        </w:rPr>
      </w:pPr>
      <w:r w:rsidRPr="00016E2B">
        <w:rPr>
          <w:rFonts w:ascii="Arial Black" w:hAnsi="Arial Black"/>
          <w:sz w:val="28"/>
          <w:szCs w:val="28"/>
        </w:rPr>
        <w:t>NB (3/31/2023) – BLACK FEMALE FF – GEAR ON FLAGPOLE</w:t>
      </w:r>
      <w:r>
        <w:rPr>
          <w:rFonts w:ascii="Arial Black" w:hAnsi="Arial Black"/>
          <w:sz w:val="28"/>
          <w:szCs w:val="28"/>
        </w:rPr>
        <w:t xml:space="preserve"> WHEN LEFT IT BEHIND - RESIGNED - </w:t>
      </w:r>
      <w:r w:rsidRPr="00016E2B">
        <w:rPr>
          <w:rFonts w:ascii="Arial Black" w:hAnsi="Arial Black"/>
          <w:sz w:val="28"/>
          <w:szCs w:val="28"/>
        </w:rPr>
        <w:t xml:space="preserve">LAWSUIT PROCEED </w:t>
      </w:r>
    </w:p>
    <w:p w14:paraId="07A18F8E" w14:textId="77777777" w:rsidR="00227BDE" w:rsidRDefault="00227BDE" w:rsidP="00227BDE">
      <w:pPr>
        <w:pStyle w:val="NoSpacing"/>
      </w:pPr>
    </w:p>
    <w:p w14:paraId="167C4143" w14:textId="5C0CE0CC" w:rsidR="00227BDE" w:rsidRDefault="00227BDE" w:rsidP="00227BDE">
      <w:pPr>
        <w:rPr>
          <w:rFonts w:ascii="Arial Black" w:hAnsi="Arial Black"/>
          <w:b/>
          <w:sz w:val="24"/>
          <w:szCs w:val="24"/>
        </w:rPr>
      </w:pPr>
      <w:r w:rsidRPr="003C1643">
        <w:rPr>
          <w:rFonts w:ascii="Times New Roman" w:hAnsi="Times New Roman"/>
          <w:sz w:val="24"/>
          <w:szCs w:val="24"/>
          <w:u w:val="single"/>
        </w:rPr>
        <w:lastRenderedPageBreak/>
        <w:t>Jane Crudup v. City of Omaha</w:t>
      </w:r>
      <w:r w:rsidRPr="003C1643">
        <w:rPr>
          <w:rFonts w:ascii="Times New Roman" w:hAnsi="Times New Roman"/>
          <w:sz w:val="24"/>
          <w:szCs w:val="24"/>
        </w:rPr>
        <w:t xml:space="preserve">, Senior U.S. District Court Judge Joseph H. </w:t>
      </w:r>
      <w:proofErr w:type="spellStart"/>
      <w:r w:rsidRPr="003C1643">
        <w:rPr>
          <w:rFonts w:ascii="Times New Roman" w:hAnsi="Times New Roman"/>
          <w:sz w:val="24"/>
          <w:szCs w:val="24"/>
        </w:rPr>
        <w:t>Bataillon</w:t>
      </w:r>
      <w:proofErr w:type="spellEnd"/>
      <w:r w:rsidRPr="003C1643">
        <w:rPr>
          <w:rFonts w:ascii="Times New Roman" w:hAnsi="Times New Roman"/>
          <w:sz w:val="24"/>
          <w:szCs w:val="24"/>
        </w:rPr>
        <w:t xml:space="preserve">, U.S. District Court of District of Nebraska. </w:t>
      </w:r>
      <w:hyperlink r:id="rId1574" w:history="1">
        <w:r w:rsidRPr="003C1643">
          <w:rPr>
            <w:rStyle w:val="Hyperlink"/>
            <w:rFonts w:ascii="Times New Roman" w:hAnsi="Times New Roman"/>
            <w:sz w:val="24"/>
            <w:szCs w:val="24"/>
          </w:rPr>
          <w:t>https://casetext.com/case/crudup-v-city-of-omaha-4</w:t>
        </w:r>
      </w:hyperlink>
    </w:p>
    <w:p w14:paraId="31CAEA8B" w14:textId="77777777" w:rsidR="00227BDE" w:rsidRPr="003C1643" w:rsidRDefault="00227BDE" w:rsidP="00227BDE">
      <w:pPr>
        <w:pStyle w:val="NormalWeb"/>
        <w:rPr>
          <w:b/>
          <w:bCs/>
        </w:rPr>
      </w:pPr>
      <w:r w:rsidRPr="003C1643">
        <w:rPr>
          <w:b/>
          <w:bCs/>
        </w:rPr>
        <w:t xml:space="preserve">Legal Lessons Learned: </w:t>
      </w:r>
      <w:proofErr w:type="gramStart"/>
      <w:r w:rsidRPr="003C1643">
        <w:rPr>
          <w:b/>
          <w:bCs/>
        </w:rPr>
        <w:t>Flag pole</w:t>
      </w:r>
      <w:proofErr w:type="gramEnd"/>
      <w:r w:rsidRPr="003C1643">
        <w:rPr>
          <w:b/>
          <w:bCs/>
        </w:rPr>
        <w:t xml:space="preserve"> incidents and similar practices can lead to litigation. </w:t>
      </w:r>
    </w:p>
    <w:p w14:paraId="2E2F94AE" w14:textId="77777777" w:rsidR="00227BDE" w:rsidRDefault="00227BDE" w:rsidP="00BC70A3">
      <w:pPr>
        <w:rPr>
          <w:rFonts w:ascii="Arial Black" w:hAnsi="Arial Black"/>
          <w:b/>
          <w:sz w:val="24"/>
          <w:szCs w:val="24"/>
        </w:rPr>
      </w:pPr>
    </w:p>
    <w:p w14:paraId="0C373179" w14:textId="77777777" w:rsidR="00227BDE" w:rsidRDefault="00227BDE" w:rsidP="00BC70A3">
      <w:pPr>
        <w:rPr>
          <w:rFonts w:ascii="Arial Black" w:hAnsi="Arial Black"/>
          <w:b/>
          <w:sz w:val="24"/>
          <w:szCs w:val="24"/>
        </w:rPr>
      </w:pPr>
    </w:p>
    <w:p w14:paraId="3BC13FAF" w14:textId="72679E77" w:rsidR="00104A4C" w:rsidRDefault="00104A4C" w:rsidP="00BC70A3">
      <w:pPr>
        <w:rPr>
          <w:rFonts w:ascii="Arial Black" w:hAnsi="Arial Black"/>
          <w:b/>
          <w:sz w:val="24"/>
          <w:szCs w:val="24"/>
        </w:rPr>
      </w:pPr>
      <w:r>
        <w:rPr>
          <w:rFonts w:ascii="Arial Black" w:hAnsi="Arial Black"/>
          <w:b/>
          <w:sz w:val="24"/>
          <w:szCs w:val="24"/>
        </w:rPr>
        <w:t>8-48</w:t>
      </w:r>
    </w:p>
    <w:p w14:paraId="1500CF26" w14:textId="77777777" w:rsidR="00104A4C" w:rsidRPr="005F4D8C" w:rsidRDefault="00104A4C" w:rsidP="00104A4C">
      <w:pPr>
        <w:pStyle w:val="NormalWeb"/>
        <w:rPr>
          <w:rFonts w:ascii="Arial Black" w:hAnsi="Arial Black"/>
          <w:sz w:val="28"/>
          <w:szCs w:val="28"/>
        </w:rPr>
      </w:pPr>
      <w:r>
        <w:rPr>
          <w:rFonts w:ascii="Arial Black" w:hAnsi="Arial Black"/>
          <w:sz w:val="28"/>
          <w:szCs w:val="28"/>
        </w:rPr>
        <w:t xml:space="preserve">NY: BLACK FD CAPTAIN – GOT DRUNK, DEFICATED IN PANTS - PROMOTION BAT. CHIEF PROPERLY RESCINDED </w:t>
      </w:r>
    </w:p>
    <w:p w14:paraId="5B179CA0" w14:textId="77777777" w:rsidR="00104A4C" w:rsidRDefault="00104A4C" w:rsidP="00104A4C">
      <w:pPr>
        <w:pStyle w:val="NormalWeb"/>
      </w:pPr>
      <w:r>
        <w:t xml:space="preserve">On March 9, 2023, in </w:t>
      </w:r>
      <w:r w:rsidRPr="005F4D8C">
        <w:rPr>
          <w:u w:val="single"/>
        </w:rPr>
        <w:t xml:space="preserve">Jeremy Clawson v. The City of Albany Department of Fire </w:t>
      </w:r>
      <w:proofErr w:type="gramStart"/>
      <w:r w:rsidRPr="005F4D8C">
        <w:rPr>
          <w:u w:val="single"/>
        </w:rPr>
        <w:t>And</w:t>
      </w:r>
      <w:proofErr w:type="gramEnd"/>
      <w:r w:rsidRPr="005F4D8C">
        <w:rPr>
          <w:u w:val="single"/>
        </w:rPr>
        <w:t xml:space="preserve"> Emergency</w:t>
      </w:r>
      <w:r>
        <w:t xml:space="preserve">, U.S. District Court Judge Mae A. D’Agostino, North District of New York, granted the City’s motion for summary judgment.  His promotion was rescinded based on Jan. 31, </w:t>
      </w:r>
      <w:proofErr w:type="gramStart"/>
      <w:r>
        <w:t>2019</w:t>
      </w:r>
      <w:proofErr w:type="gramEnd"/>
      <w:r>
        <w:t xml:space="preserve"> incident. </w:t>
      </w:r>
    </w:p>
    <w:p w14:paraId="33E08C54" w14:textId="77777777" w:rsidR="00104A4C" w:rsidRDefault="00104A4C" w:rsidP="00104A4C">
      <w:pPr>
        <w:pStyle w:val="NormalWeb"/>
        <w:ind w:left="720"/>
      </w:pPr>
      <w:r>
        <w:t xml:space="preserve">“On January 31, 2019, at 10:00 p.m., Plaintiff, ‘while off duty,’ went to more than one business, and drank multiple drinks over the course of three to four hours…. At approximately 5:00 a.m., the Albany Police Department (‘APD’) received a call about ‘a person exposing himself’ in a Dunkin Donuts…. According to Defendant, at 5:10 a.m. police arrived at the scene…. At this point Plaintiff was outside of the Dunkin Donuts, with his ‘pants pulled down’ and wearing ‘boxer shorts"…. Defendant states that Plaintiff was ‘covered in feces’ when he was discovered…. APD officers called emergency medical services…. An ambulance took Plaintiff to Albany Medical Center at approximately 5:45 a.m. on February 1, 2019….Plaintiff left the hospital at around 10:00 a.m. </w:t>
      </w:r>
    </w:p>
    <w:p w14:paraId="48744310" w14:textId="77777777" w:rsidR="00104A4C" w:rsidRDefault="00104A4C" w:rsidP="00104A4C">
      <w:pPr>
        <w:pStyle w:val="NormalWeb"/>
        <w:ind w:left="720"/>
      </w:pPr>
      <w:r>
        <w:t xml:space="preserve">*** </w:t>
      </w:r>
    </w:p>
    <w:p w14:paraId="2F3DA0C5" w14:textId="77777777" w:rsidR="00104A4C" w:rsidRDefault="00104A4C" w:rsidP="00104A4C">
      <w:pPr>
        <w:pStyle w:val="NormalWeb"/>
        <w:ind w:left="720"/>
        <w:rPr>
          <w:rStyle w:val="Emphasis"/>
        </w:rPr>
      </w:pPr>
      <w:r>
        <w:t>Five months after the rescission of promotion, Plaintiff was offered to apply for a Deputy Chief position, a higher position than Battalion Chief, which Plaintiff declined to do because that position did not offer civil service protection.”</w:t>
      </w:r>
    </w:p>
    <w:p w14:paraId="6A4D64E1" w14:textId="77777777" w:rsidR="00104A4C" w:rsidRDefault="00104A4C" w:rsidP="00104A4C">
      <w:pPr>
        <w:pStyle w:val="NormalWeb"/>
      </w:pPr>
      <w:r>
        <w:t>Judge ruled:</w:t>
      </w:r>
    </w:p>
    <w:p w14:paraId="3623F83C" w14:textId="77777777" w:rsidR="00104A4C" w:rsidRDefault="00104A4C" w:rsidP="00104A4C">
      <w:pPr>
        <w:pStyle w:val="NormalWeb"/>
        <w:ind w:left="720"/>
      </w:pPr>
      <w:r>
        <w:t xml:space="preserve">“In sum, ample and uncontroverted evidence establishes that Plaintiff's promotion was rescinded because of his conduct on the night of January 31, 2019, and that his race played no role in the decision…. Stated another way, the promotion was rescinded after Plaintiff became so intoxicated in public that he defecated on his pants and had to be brought to a local hospital for observation by the APD.” </w:t>
      </w:r>
    </w:p>
    <w:p w14:paraId="1CF6F03D" w14:textId="77777777" w:rsidR="00104A4C" w:rsidRDefault="00104A4C" w:rsidP="00104A4C">
      <w:pPr>
        <w:pStyle w:val="NormalWeb"/>
      </w:pPr>
      <w:r>
        <w:t xml:space="preserve">Court also found no violation of Americans </w:t>
      </w:r>
      <w:proofErr w:type="gramStart"/>
      <w:r>
        <w:t>With</w:t>
      </w:r>
      <w:proofErr w:type="gramEnd"/>
      <w:r>
        <w:t xml:space="preserve"> Disabilities Act; he was not perceived to be disabled, just because they suggested he might benefit from EAP counseling. </w:t>
      </w:r>
    </w:p>
    <w:p w14:paraId="486B10DA" w14:textId="77777777" w:rsidR="00104A4C" w:rsidRDefault="00104A4C" w:rsidP="00104A4C">
      <w:pPr>
        <w:pStyle w:val="NormalWeb"/>
        <w:ind w:left="720"/>
      </w:pPr>
      <w:r>
        <w:t xml:space="preserve">“Even if he was regarded as ‘having a problem with alcohol,’ that does not sufficiently allege disability under the ADA, as it does not allege that this was more than ‘transitory or minor.’ As such, rescinding a promotion based on one public night of intoxication does not require a finding that an employer was on notice of a disability or regarded someone as having a disability.” </w:t>
      </w:r>
      <w:hyperlink r:id="rId1575" w:history="1">
        <w:r w:rsidRPr="00317BE5">
          <w:rPr>
            <w:rStyle w:val="Hyperlink"/>
            <w:rFonts w:eastAsiaTheme="majorEastAsia"/>
          </w:rPr>
          <w:t>https://public.fastcase.com/J%2FJP6pdidelsXxEE4k%2BLMgHzbJp7ohVf6eJnqqVRZsR3ljYGLWqzA%2BaNrEJEjuoSNSzJxXmSxLQZTPvgqQmcEiF1aE%2BspvM2CCoAx4ikJzY%3D?utm_medium=em</w:t>
        </w:r>
        <w:r w:rsidRPr="00317BE5">
          <w:rPr>
            <w:rStyle w:val="Hyperlink"/>
            <w:rFonts w:eastAsiaTheme="majorEastAsia"/>
          </w:rPr>
          <w:lastRenderedPageBreak/>
          <w:t>ail&amp;_hsmi=226712652&amp;_hsenc=p2ANqtz-8P0uzvemqlc89p8NGs_MEabF92WO0Yw0J6IjilR3LUZDOGdMMkuiwHYzQhEyPy65nnWBVskQbx-uRxwGqC5jWNg9aYuA&amp;utm_content=226712652&amp;utm_source=hs_email</w:t>
        </w:r>
      </w:hyperlink>
      <w:r>
        <w:t xml:space="preserve"> </w:t>
      </w:r>
    </w:p>
    <w:p w14:paraId="4E7259FB" w14:textId="77777777" w:rsidR="00104A4C" w:rsidRPr="006D07F7" w:rsidRDefault="00104A4C" w:rsidP="00104A4C">
      <w:pPr>
        <w:pStyle w:val="NormalWeb"/>
        <w:rPr>
          <w:b/>
          <w:bCs/>
        </w:rPr>
      </w:pPr>
      <w:r w:rsidRPr="006D07F7">
        <w:rPr>
          <w:b/>
          <w:bCs/>
        </w:rPr>
        <w:t xml:space="preserve">Legal Lesson Learned: </w:t>
      </w:r>
      <w:r>
        <w:rPr>
          <w:b/>
          <w:bCs/>
        </w:rPr>
        <w:t xml:space="preserve">The facts supported the decision.  </w:t>
      </w:r>
    </w:p>
    <w:p w14:paraId="2528458C" w14:textId="2EDAAE74" w:rsidR="00104A4C" w:rsidRPr="00104A4C" w:rsidRDefault="00104A4C" w:rsidP="00104A4C">
      <w:pPr>
        <w:ind w:left="720"/>
        <w:rPr>
          <w:rFonts w:ascii="Times New Roman" w:hAnsi="Times New Roman"/>
          <w:b/>
          <w:sz w:val="24"/>
          <w:szCs w:val="24"/>
        </w:rPr>
      </w:pPr>
      <w:r w:rsidRPr="00104A4C">
        <w:rPr>
          <w:rFonts w:ascii="Times New Roman" w:hAnsi="Times New Roman"/>
          <w:sz w:val="24"/>
          <w:szCs w:val="24"/>
        </w:rPr>
        <w:t>Note: See article: “Black captain sues Albany Fire Department for rescinding his promotion.” Dec. 9, 2020. “ALBANY — Jeremy E. Clawson, a captain and the only minority supervising officer in the Albany Fire Department, has filed a federal civil rights lawsuit accusing city leaders of rescinding his promotion to the position of battalion chief.</w:t>
      </w:r>
    </w:p>
    <w:p w14:paraId="58E01A66" w14:textId="77777777" w:rsidR="00104A4C" w:rsidRDefault="00104A4C" w:rsidP="00BC70A3">
      <w:pPr>
        <w:rPr>
          <w:rFonts w:ascii="Arial Black" w:hAnsi="Arial Black"/>
          <w:b/>
          <w:sz w:val="24"/>
          <w:szCs w:val="24"/>
        </w:rPr>
      </w:pPr>
    </w:p>
    <w:p w14:paraId="05FF87C3" w14:textId="7FB4DF1B" w:rsidR="00B87D79" w:rsidRDefault="008A4533" w:rsidP="00BC70A3">
      <w:pPr>
        <w:rPr>
          <w:rFonts w:ascii="Arial Black" w:hAnsi="Arial Black"/>
          <w:b/>
          <w:sz w:val="24"/>
          <w:szCs w:val="24"/>
        </w:rPr>
      </w:pPr>
      <w:r>
        <w:rPr>
          <w:rFonts w:ascii="Arial Black" w:hAnsi="Arial Black"/>
          <w:b/>
          <w:sz w:val="24"/>
          <w:szCs w:val="24"/>
        </w:rPr>
        <w:t>8-47</w:t>
      </w:r>
    </w:p>
    <w:p w14:paraId="681959A6" w14:textId="77777777" w:rsidR="008A4533" w:rsidRPr="00EA11E9" w:rsidRDefault="008A4533" w:rsidP="008A4533">
      <w:pPr>
        <w:pStyle w:val="NormalWeb"/>
        <w:rPr>
          <w:rFonts w:ascii="Arial Black" w:hAnsi="Arial Black"/>
          <w:sz w:val="28"/>
          <w:szCs w:val="28"/>
        </w:rPr>
      </w:pPr>
      <w:r>
        <w:rPr>
          <w:rFonts w:ascii="Arial Black" w:hAnsi="Arial Black"/>
          <w:sz w:val="28"/>
          <w:szCs w:val="28"/>
        </w:rPr>
        <w:t>IN: CAPTAIN [BLACK] DEMOTED FOR BREACH ORDER NOT DISCUSS VIDEO TWO MEN HAVING SEX – CASE DISMISSED</w:t>
      </w:r>
    </w:p>
    <w:p w14:paraId="2F911271" w14:textId="77777777" w:rsidR="008A4533" w:rsidRDefault="008A4533" w:rsidP="008A4533">
      <w:pPr>
        <w:pStyle w:val="NormalWeb"/>
      </w:pPr>
      <w:r w:rsidRPr="00514A35">
        <w:t xml:space="preserve">On Jan. 24, 2023, in </w:t>
      </w:r>
      <w:r w:rsidRPr="00514A35">
        <w:rPr>
          <w:u w:val="single"/>
        </w:rPr>
        <w:t>Brad M. Collier v. City of New Albany</w:t>
      </w:r>
      <w:r>
        <w:t xml:space="preserve">, U.S. District Court Judge Robert L. Miller, U.S. District Court for Southern District of Indiana (New Albany Division) granted the City’s motion for summary judgment, dismissing his claims of race discrimination, ADA, FMLA.  The plaintiff (African American) was a firefighter for over 20 years, and retired May 4, 2022; he was demoted for breach of a direct order on Nov. 1, 2019.  A firefighter on his crew showed the </w:t>
      </w:r>
      <w:proofErr w:type="gramStart"/>
      <w:r>
        <w:t>Captain</w:t>
      </w:r>
      <w:proofErr w:type="gramEnd"/>
      <w:r>
        <w:t xml:space="preserve"> and another firefighter a video – another firefighter [“Mr. Doe”] having sex with two other males [not firefighters]. The Fire Chief ordered video destroyed, and the three firefighters to not discuss with others.  For beach of that order, Captain was demoted to Sergeant and suspended for 5 days without pay; the firefighter who brought in the video was suspended for 10 days [Fire Chief first recommended he be fired for bringing the video to fire station], and the other firefighter was suspended for 1.5 days.  Court dismissed the lawsuit, holding: “None of this would allow a reasonable factfinder to find race discrimination.” </w:t>
      </w:r>
      <w:hyperlink r:id="rId1576" w:history="1">
        <w:r w:rsidRPr="006E56EF">
          <w:rPr>
            <w:rStyle w:val="Hyperlink"/>
          </w:rPr>
          <w:t>https://public.fastcase.com/J%2FJP6pdidelsXxEE4k%2BLMrA34GsTt5B2s5lqbdzOSKO6ds2%2FFXzTZCAcVKPc5nYGkDv4uUicwcEOayTnLM9q%2BLkNSr7W2Myomwq976TWq68%3D?utm_medium=email&amp;_hsmi=226712652&amp;_hsenc=p2ANqtz--xrBYm_8SOoB1x8n_lzDvQY_7J4w6TZmgBXNCiTskMckRZL1pW5pA7jfVkIgH5lYseuktBIikSAYCDqwL7O8hlSm6fMw&amp;utm_content=226712652&amp;utm_source=hs_email</w:t>
        </w:r>
      </w:hyperlink>
      <w:r>
        <w:t xml:space="preserve"> </w:t>
      </w:r>
    </w:p>
    <w:p w14:paraId="6B7D4A6C" w14:textId="77777777" w:rsidR="008A4533" w:rsidRDefault="008A4533" w:rsidP="008A4533">
      <w:pPr>
        <w:pStyle w:val="NormalWeb"/>
        <w:ind w:left="720"/>
      </w:pPr>
      <w:r>
        <w:t>“On the morning of November 1 [2019, Captain] Collier was doing chores at the firehouse. [Firefighter] Sullivan approached [Captain] Collier and told him that [</w:t>
      </w:r>
      <w:proofErr w:type="gramStart"/>
      <w:r>
        <w:t>firefighter] ‘</w:t>
      </w:r>
      <w:proofErr w:type="gramEnd"/>
      <w:r>
        <w:t xml:space="preserve">John Doe’ wasn't ‘the guy you think he is.’ [Firefighter] Sullivan showed Mr. Collier a video of Mr. Doe having sex with two other adult men and suggested that if Mr. Doe would have sex with men, he was capable of ‘messing around with’ children. Mr. Sullivan then showed a report from Child Protective Services involving Mr. Doe, suggesting he might be a child abuser. </w:t>
      </w:r>
    </w:p>
    <w:p w14:paraId="409CF51D" w14:textId="77777777" w:rsidR="008A4533" w:rsidRDefault="008A4533" w:rsidP="008A4533">
      <w:pPr>
        <w:pStyle w:val="NormalWeb"/>
        <w:ind w:left="720"/>
      </w:pPr>
      <w:r>
        <w:t xml:space="preserve">[Firefighter] Peters then entered the room and viewed the video. The three men called Battalion Chief Bowyer to the station and saved the materials to a thumb drive. After Chief Bowyer arrived, they shared the information with him, and he summoned Deputy Chief Gadd to the station. They described the information to Deputy Chief Gadd, who in turn called Fire Chief Matt Juliot and the New Albany Police Chief to the station. </w:t>
      </w:r>
    </w:p>
    <w:p w14:paraId="60743851" w14:textId="77777777" w:rsidR="008A4533" w:rsidRDefault="008A4533" w:rsidP="008A4533">
      <w:pPr>
        <w:pStyle w:val="NormalWeb"/>
        <w:ind w:left="720"/>
      </w:pPr>
      <w:r>
        <w:t xml:space="preserve">When the fire chief and police chief arrived, the three men admitted the flash drive contained no material involving children but demanded that Mr. Doe be disciplined and that they not work with him </w:t>
      </w:r>
      <w:r>
        <w:lastRenderedPageBreak/>
        <w:t xml:space="preserve">anymore. The police chief checked into the Child Protective Services allegations and learned that they had been investigated and deemed unfounded. Battalion Chief Bowyer explained that Mr. Doe was ‘macho’ and might kill himself if this information got out, though Fire Chief Juliot understand the statement to be more hyperbole than literal. </w:t>
      </w:r>
    </w:p>
    <w:p w14:paraId="65A17302" w14:textId="77777777" w:rsidR="008A4533" w:rsidRDefault="008A4533" w:rsidP="008A4533">
      <w:pPr>
        <w:pStyle w:val="NormalWeb"/>
        <w:ind w:left="720"/>
      </w:pPr>
      <w:r>
        <w:t xml:space="preserve">The police chief ordered the men to destroy the thumb drive and not to discuss the materials. Chief Juliot and Deputy Chief Gadd reiterated that the command was a formal order. Deputy Chief Gadd called the station later that day to reiterate the order not to discuss the material. </w:t>
      </w:r>
    </w:p>
    <w:p w14:paraId="7DC61007" w14:textId="77777777" w:rsidR="008A4533" w:rsidRDefault="008A4533" w:rsidP="008A4533">
      <w:pPr>
        <w:pStyle w:val="NormalWeb"/>
        <w:ind w:left="720" w:firstLine="60"/>
      </w:pPr>
      <w:r>
        <w:t>Mr. Collier and his crew continued to talk about John Doe. Mr. Collier told some colleagues on another crew about the incident. He described in some detail the video of Mr. Doe being intimate with two men and implied there was material relating to minors.</w:t>
      </w:r>
    </w:p>
    <w:p w14:paraId="3261E9DC" w14:textId="77777777" w:rsidR="008A4533" w:rsidRDefault="008A4533" w:rsidP="008A4533">
      <w:pPr>
        <w:pStyle w:val="NormalWeb"/>
        <w:ind w:left="720" w:firstLine="60"/>
      </w:pPr>
      <w:r>
        <w:t>***</w:t>
      </w:r>
    </w:p>
    <w:p w14:paraId="71556693" w14:textId="77777777" w:rsidR="008A4533" w:rsidRDefault="008A4533" w:rsidP="008A4533">
      <w:pPr>
        <w:pStyle w:val="NormalWeb"/>
        <w:ind w:left="720"/>
      </w:pPr>
      <w:r>
        <w:t>Mr. Collier first admitted that he violated rules and regulations by disobeying direct orders and agreed that as a captain, he was held to a higher standard than many other firefighters.</w:t>
      </w:r>
    </w:p>
    <w:p w14:paraId="744D0471" w14:textId="77777777" w:rsidR="008A4533" w:rsidRDefault="008A4533" w:rsidP="008A4533">
      <w:pPr>
        <w:pStyle w:val="NormalWeb"/>
        <w:ind w:left="720"/>
      </w:pPr>
      <w:r>
        <w:t>***</w:t>
      </w:r>
    </w:p>
    <w:p w14:paraId="49B06ABF" w14:textId="77777777" w:rsidR="008A4533" w:rsidRDefault="008A4533" w:rsidP="008A4533">
      <w:pPr>
        <w:pStyle w:val="NormalWeb"/>
        <w:ind w:left="720"/>
      </w:pPr>
      <w:r>
        <w:t xml:space="preserve">New Albany contends that Mr. Collier violated fire department rules and regulations by continuing to discuss the Doe incident with others despite being ordered not to do so. New Albany cites its disciplinary notice to Mr. Collier, which explained the violations and cited to department rules against disobeying orders, acting in a manner unbecoming of a firefighter, and disseminating false reports about others. New Albany uses Deputy Chief Gadd and Chief Juliot's testimony to show that Mr. Collier was held to a higher standard and should have led by example rather than aggravating the situation. Mr. Collier conceded the same points in his deposition, testifying that department practice was to treat captains' violations as more serious than firefighters' violations. According to New Albany, Mr. Collier's conduct around the Doe defeats the prima facie case and </w:t>
      </w:r>
    </w:p>
    <w:p w14:paraId="0FFBF96E" w14:textId="77777777" w:rsidR="008A4533" w:rsidRPr="00D3794E" w:rsidRDefault="008A4533" w:rsidP="008A4533">
      <w:pPr>
        <w:pStyle w:val="NormalWeb"/>
        <w:rPr>
          <w:b/>
          <w:bCs/>
        </w:rPr>
      </w:pPr>
      <w:r w:rsidRPr="00D3794E">
        <w:rPr>
          <w:b/>
          <w:bCs/>
        </w:rPr>
        <w:t>Legal Lesson Learned:</w:t>
      </w:r>
      <w:r>
        <w:rPr>
          <w:b/>
          <w:bCs/>
        </w:rPr>
        <w:t xml:space="preserve"> Captain’s acknowledged breach of a direct order resulted in his demotion. </w:t>
      </w:r>
    </w:p>
    <w:p w14:paraId="509CB4D8" w14:textId="77777777" w:rsidR="008A4533" w:rsidRDefault="008A4533" w:rsidP="008A4533">
      <w:pPr>
        <w:pStyle w:val="NormalWeb"/>
        <w:ind w:left="720"/>
      </w:pPr>
    </w:p>
    <w:p w14:paraId="20E79512" w14:textId="2FB072FA" w:rsidR="008A4533" w:rsidRDefault="008A4533" w:rsidP="00BC70A3">
      <w:pPr>
        <w:rPr>
          <w:rFonts w:ascii="Arial Black" w:hAnsi="Arial Black"/>
          <w:b/>
          <w:sz w:val="24"/>
          <w:szCs w:val="24"/>
        </w:rPr>
      </w:pPr>
    </w:p>
    <w:p w14:paraId="1F37BA83" w14:textId="7D4C02EE" w:rsidR="008A4533" w:rsidRDefault="008A4533" w:rsidP="00BC70A3">
      <w:pPr>
        <w:rPr>
          <w:rFonts w:ascii="Arial Black" w:hAnsi="Arial Black"/>
          <w:b/>
          <w:sz w:val="24"/>
          <w:szCs w:val="24"/>
        </w:rPr>
      </w:pPr>
      <w:r>
        <w:rPr>
          <w:rFonts w:ascii="Arial Black" w:hAnsi="Arial Black"/>
          <w:b/>
          <w:sz w:val="24"/>
          <w:szCs w:val="24"/>
        </w:rPr>
        <w:t>8-46</w:t>
      </w:r>
    </w:p>
    <w:p w14:paraId="7953BB02" w14:textId="77777777" w:rsidR="008A4533" w:rsidRPr="00E61C73" w:rsidRDefault="008A4533" w:rsidP="008A4533">
      <w:pPr>
        <w:pStyle w:val="ekqk"/>
        <w:rPr>
          <w:rFonts w:ascii="Arial Black" w:hAnsi="Arial Black"/>
          <w:sz w:val="28"/>
          <w:szCs w:val="28"/>
        </w:rPr>
      </w:pPr>
      <w:r>
        <w:rPr>
          <w:rFonts w:ascii="Arial Black" w:hAnsi="Arial Black"/>
          <w:sz w:val="28"/>
          <w:szCs w:val="28"/>
        </w:rPr>
        <w:t>MN:  HOSPITAL – FIRED MEDIC, IN BLACKFACE AT HALLOWEEN PARTY 15-YRS PRIOR – NEWSPAPER ARTICLE</w:t>
      </w:r>
    </w:p>
    <w:p w14:paraId="1C3A2EF8" w14:textId="77777777" w:rsidR="008A4533" w:rsidRDefault="008A4533" w:rsidP="008A4533">
      <w:pPr>
        <w:pStyle w:val="ekqk"/>
      </w:pPr>
      <w:r>
        <w:t xml:space="preserve">On Jan. 9, 2023, in </w:t>
      </w:r>
      <w:r w:rsidRPr="00E61C73">
        <w:rPr>
          <w:u w:val="single"/>
        </w:rPr>
        <w:t>Amber Brown v. Hennepin Healthcare Systems</w:t>
      </w:r>
      <w:r>
        <w:t xml:space="preserve">, the Court of Appeals of Minnesota held (3 to 0) that the Hospital had lawful right to terminate the paramedic without cause per Employee Handbook.  She has worked at the hospital since 2002, and promoted Deputy Chief of Emergency Medical Services, managing the Community Paramedic Program. On February 15, 2022, the Hospital [HHS] received an unsigned email with an attached photo depicting Brown in blackface. Brown admitted that she was in the photo and said that it had been taken 15-17 years earlier at a private Halloween party. The photo was of Brown and two others dressed up as the musical group, The Supremes. The photo had been posted on someone else's Facebook page.  On March 3, </w:t>
      </w:r>
      <w:proofErr w:type="gramStart"/>
      <w:r>
        <w:t>2022</w:t>
      </w:r>
      <w:proofErr w:type="gramEnd"/>
      <w:r>
        <w:t xml:space="preserve"> the Hospital fired Ms. Brown.</w:t>
      </w:r>
      <w:r>
        <w:rPr>
          <w:b/>
          <w:bCs/>
        </w:rPr>
        <w:t xml:space="preserve">  </w:t>
      </w:r>
      <w:r w:rsidRPr="00F3148C">
        <w:t>The Court of Appeals wrote:</w:t>
      </w:r>
      <w:r>
        <w:rPr>
          <w:b/>
          <w:bCs/>
        </w:rPr>
        <w:t xml:space="preserve"> </w:t>
      </w:r>
      <w:r>
        <w:t xml:space="preserve">Following an internal investigation, HHS decided to discharge Brown. But before HHS could inform Brown of its decision, the Star </w:t>
      </w:r>
      <w:r>
        <w:lastRenderedPageBreak/>
        <w:t xml:space="preserve">Tribune published an article about the photo titled "Hennepin Healthcare promised to address 'systemic racism.' Then came the blackface photos." The Court held that under Minnesota statute only requires HHS to create “a procedure for employees to appeal discharge decisions” and HHS did so by giving her an opportunity to appear before their Board of Directors (which she declined). “The statute does not require HHS to provide what Brown advocates-a just-cause hearing before discharge.” </w:t>
      </w:r>
      <w:hyperlink r:id="rId1577" w:history="1">
        <w:r w:rsidRPr="00346E6A">
          <w:rPr>
            <w:rStyle w:val="Hyperlink"/>
          </w:rPr>
          <w:t>https://casetext.com/case/brown-v-hennepin-healthcare-sys</w:t>
        </w:r>
      </w:hyperlink>
      <w:r>
        <w:t xml:space="preserve"> </w:t>
      </w:r>
    </w:p>
    <w:p w14:paraId="7F28A1A7" w14:textId="77777777" w:rsidR="008A4533" w:rsidRDefault="008A4533" w:rsidP="008A4533">
      <w:pPr>
        <w:pStyle w:val="NormalWeb"/>
        <w:ind w:left="720"/>
      </w:pPr>
      <w:r>
        <w:t xml:space="preserve">“It is undisputed that Brown was hired for an indefinite term. And, like the contract in </w:t>
      </w:r>
      <w:r>
        <w:rPr>
          <w:rStyle w:val="Emphasis"/>
        </w:rPr>
        <w:t>Reierson</w:t>
      </w:r>
      <w:r>
        <w:t xml:space="preserve">, the employee handbook states that ‘Employees may resign their employment with HCMC </w:t>
      </w:r>
      <w:r>
        <w:rPr>
          <w:rStyle w:val="Emphasis"/>
        </w:rPr>
        <w:t>at any time for any reason</w:t>
      </w:r>
      <w:r>
        <w:t>, and HCMC reserves the same right regarding the discontinuation of an individual's employment.’ (Emphasis added.) This record supports the determination that Brown was an at-will employee, and HHS's decision to end her employment could not be arbitrary, unreasonable, or unsupported by the evidence.”</w:t>
      </w:r>
    </w:p>
    <w:p w14:paraId="54CE8166" w14:textId="77777777" w:rsidR="008A4533" w:rsidRDefault="008A4533" w:rsidP="008A4533">
      <w:pPr>
        <w:pStyle w:val="NormalWeb"/>
        <w:rPr>
          <w:b/>
          <w:bCs/>
        </w:rPr>
      </w:pPr>
      <w:r w:rsidRPr="00C13BF4">
        <w:rPr>
          <w:b/>
          <w:bCs/>
        </w:rPr>
        <w:t xml:space="preserve">Legal Lesson Learned: </w:t>
      </w:r>
      <w:r>
        <w:rPr>
          <w:b/>
          <w:bCs/>
        </w:rPr>
        <w:t xml:space="preserve">An “at will” employee has no right in Minnesota to a </w:t>
      </w:r>
      <w:proofErr w:type="gramStart"/>
      <w:r>
        <w:rPr>
          <w:b/>
          <w:bCs/>
        </w:rPr>
        <w:t>fact finding</w:t>
      </w:r>
      <w:proofErr w:type="gramEnd"/>
      <w:r>
        <w:rPr>
          <w:b/>
          <w:bCs/>
        </w:rPr>
        <w:t xml:space="preserve"> hearing.  </w:t>
      </w:r>
    </w:p>
    <w:p w14:paraId="1146F81B" w14:textId="77777777" w:rsidR="008A4533" w:rsidRPr="00C13BF4" w:rsidRDefault="008A4533" w:rsidP="008A4533">
      <w:pPr>
        <w:pStyle w:val="NormalWeb"/>
      </w:pPr>
      <w:r>
        <w:rPr>
          <w:b/>
          <w:bCs/>
        </w:rPr>
        <w:tab/>
      </w:r>
      <w:r w:rsidRPr="00C13BF4">
        <w:t xml:space="preserve">Note: Perhaps this is the “rest of the story” </w:t>
      </w:r>
      <w:r>
        <w:t xml:space="preserve">when Court wrote: </w:t>
      </w:r>
    </w:p>
    <w:p w14:paraId="6AA8D350" w14:textId="77777777" w:rsidR="008A4533" w:rsidRDefault="008A4533" w:rsidP="008A4533">
      <w:pPr>
        <w:pStyle w:val="NormalWeb"/>
        <w:ind w:left="1440"/>
      </w:pPr>
      <w:r w:rsidRPr="00C13BF4">
        <w:t>“Following an internal investigation, HHS decided to discharge Brown. But before HHS could inform Brown of its decision, the Star Tribune published an article about the photo titled "Hennepin Healthcare promised to address 'systemic racism.' Then came the blackface photos."</w:t>
      </w:r>
    </w:p>
    <w:p w14:paraId="69BF840B" w14:textId="77777777" w:rsidR="008A4533" w:rsidRPr="00CF7C67" w:rsidRDefault="008A4533" w:rsidP="008A4533">
      <w:pPr>
        <w:pStyle w:val="Heading1"/>
        <w:ind w:left="720"/>
        <w:rPr>
          <w:b w:val="0"/>
          <w:bCs w:val="0"/>
          <w:sz w:val="24"/>
          <w:szCs w:val="24"/>
        </w:rPr>
      </w:pPr>
      <w:r>
        <w:rPr>
          <w:b w:val="0"/>
          <w:bCs w:val="0"/>
          <w:sz w:val="24"/>
          <w:szCs w:val="24"/>
        </w:rPr>
        <w:t>See this article: “</w:t>
      </w:r>
      <w:r w:rsidRPr="00CF7C67">
        <w:rPr>
          <w:b w:val="0"/>
          <w:bCs w:val="0"/>
          <w:sz w:val="24"/>
          <w:szCs w:val="24"/>
        </w:rPr>
        <w:t>Hennepin Health accused of 'deeply rooted' racism following blackface, 'excited delirium' incidents</w:t>
      </w:r>
      <w:r>
        <w:rPr>
          <w:b w:val="0"/>
          <w:bCs w:val="0"/>
          <w:sz w:val="24"/>
          <w:szCs w:val="24"/>
        </w:rPr>
        <w:t xml:space="preserve">.” </w:t>
      </w:r>
      <w:r w:rsidRPr="00CF7C67">
        <w:rPr>
          <w:b w:val="0"/>
          <w:bCs w:val="0"/>
          <w:sz w:val="24"/>
          <w:szCs w:val="24"/>
        </w:rPr>
        <w:t xml:space="preserve"> (March 4, 2022): </w:t>
      </w:r>
      <w:hyperlink r:id="rId1578" w:history="1">
        <w:r w:rsidRPr="00CF7C67">
          <w:rPr>
            <w:rStyle w:val="Hyperlink"/>
            <w:sz w:val="24"/>
            <w:szCs w:val="24"/>
          </w:rPr>
          <w:t>https://www.fiercehealthcare.com/providers/hennepin-health-accused-deeply-rooted-racism-following-blackface-excited-delirium</w:t>
        </w:r>
      </w:hyperlink>
      <w:r w:rsidRPr="00CF7C67">
        <w:rPr>
          <w:b w:val="0"/>
          <w:bCs w:val="0"/>
          <w:sz w:val="24"/>
          <w:szCs w:val="24"/>
        </w:rPr>
        <w:t xml:space="preserve"> </w:t>
      </w:r>
    </w:p>
    <w:p w14:paraId="34EE9B7C" w14:textId="40CFB87E" w:rsidR="008A4533" w:rsidRDefault="008A4533" w:rsidP="00BC70A3">
      <w:pPr>
        <w:rPr>
          <w:rFonts w:ascii="Arial Black" w:hAnsi="Arial Black"/>
          <w:b/>
          <w:sz w:val="24"/>
          <w:szCs w:val="24"/>
        </w:rPr>
      </w:pPr>
    </w:p>
    <w:p w14:paraId="7BE58872" w14:textId="77777777" w:rsidR="008A4533" w:rsidRDefault="008A4533" w:rsidP="00BC70A3">
      <w:pPr>
        <w:rPr>
          <w:rFonts w:ascii="Arial Black" w:hAnsi="Arial Black"/>
          <w:b/>
          <w:sz w:val="24"/>
          <w:szCs w:val="24"/>
        </w:rPr>
      </w:pPr>
    </w:p>
    <w:p w14:paraId="474E941B" w14:textId="19A2D2A3" w:rsidR="00B87D79" w:rsidRDefault="00B87D79" w:rsidP="00BC70A3">
      <w:pPr>
        <w:rPr>
          <w:rFonts w:ascii="Arial Black" w:hAnsi="Arial Black"/>
          <w:b/>
          <w:sz w:val="24"/>
          <w:szCs w:val="24"/>
        </w:rPr>
      </w:pPr>
      <w:r>
        <w:rPr>
          <w:rFonts w:ascii="Arial Black" w:hAnsi="Arial Black"/>
          <w:b/>
          <w:sz w:val="24"/>
          <w:szCs w:val="24"/>
        </w:rPr>
        <w:t>8-45</w:t>
      </w:r>
    </w:p>
    <w:p w14:paraId="7E89D6DE" w14:textId="77777777" w:rsidR="00B87D79" w:rsidRPr="00086749" w:rsidRDefault="00B87D79" w:rsidP="00B87D79">
      <w:pPr>
        <w:pStyle w:val="NormalWeb"/>
        <w:rPr>
          <w:rFonts w:ascii="Arial Black" w:hAnsi="Arial Black"/>
          <w:sz w:val="28"/>
          <w:szCs w:val="28"/>
        </w:rPr>
      </w:pPr>
      <w:r w:rsidRPr="00086749">
        <w:rPr>
          <w:rFonts w:ascii="Arial Black" w:hAnsi="Arial Black"/>
          <w:sz w:val="28"/>
          <w:szCs w:val="28"/>
        </w:rPr>
        <w:t>NY: FDNY EMS OFFICERS – NON-WHITE – CLAIM RACE / SEX DISCRIMINATION IN PROMOTIONS –</w:t>
      </w:r>
      <w:r>
        <w:rPr>
          <w:rFonts w:ascii="Arial Black" w:hAnsi="Arial Black"/>
          <w:sz w:val="28"/>
          <w:szCs w:val="28"/>
        </w:rPr>
        <w:t xml:space="preserve"> NO </w:t>
      </w:r>
      <w:r w:rsidRPr="00086749">
        <w:rPr>
          <w:rFonts w:ascii="Arial Black" w:hAnsi="Arial Black"/>
          <w:sz w:val="28"/>
          <w:szCs w:val="28"/>
        </w:rPr>
        <w:t xml:space="preserve">CLASS </w:t>
      </w:r>
      <w:r>
        <w:rPr>
          <w:rFonts w:ascii="Arial Black" w:hAnsi="Arial Black"/>
          <w:sz w:val="28"/>
          <w:szCs w:val="28"/>
        </w:rPr>
        <w:t>ACTION</w:t>
      </w:r>
    </w:p>
    <w:p w14:paraId="0904EC3A" w14:textId="77777777" w:rsidR="00B87D79" w:rsidRDefault="00B87D79" w:rsidP="00B87D79">
      <w:pPr>
        <w:pStyle w:val="NormalWeb"/>
      </w:pPr>
      <w:r>
        <w:t xml:space="preserve">On Nov. 22, 2022, in </w:t>
      </w:r>
      <w:r w:rsidRPr="0077015D">
        <w:rPr>
          <w:u w:val="single"/>
        </w:rPr>
        <w:t>Local 3621, EMS Officers Union, et al. v. City of New York</w:t>
      </w:r>
      <w:r>
        <w:t xml:space="preserve">, U.S. District Court Judge Lewis J. Liman, U.S. District Court, Southern District of New York, denied the plaintiffs motion in this 2018 lawsuit for class certification, since plaintiffs have failed to show a “specific employment practice” in the promotion process that is discriminatory.  “In other words, the proposed class members do not appear to have “common answer to the crucial question </w:t>
      </w:r>
      <w:r>
        <w:rPr>
          <w:rStyle w:val="Emphasis"/>
        </w:rPr>
        <w:t>why was I disfavored</w:t>
      </w:r>
      <w:r>
        <w:t xml:space="preserve">.” </w:t>
      </w:r>
    </w:p>
    <w:p w14:paraId="16776C7E" w14:textId="1CE71E00" w:rsidR="00B87D79" w:rsidRPr="00B87D79" w:rsidRDefault="00B87D79" w:rsidP="00B87D79">
      <w:pPr>
        <w:ind w:left="720"/>
        <w:rPr>
          <w:rFonts w:ascii="Times New Roman" w:hAnsi="Times New Roman"/>
          <w:b/>
          <w:sz w:val="24"/>
          <w:szCs w:val="24"/>
        </w:rPr>
      </w:pPr>
      <w:r w:rsidRPr="00B87D79">
        <w:rPr>
          <w:rFonts w:ascii="Times New Roman" w:hAnsi="Times New Roman"/>
          <w:sz w:val="24"/>
          <w:szCs w:val="24"/>
        </w:rPr>
        <w:t xml:space="preserve">“In the case at bar, Plaintiffs, however, fail to demonstrate that these specific employment practices have a discriminatory impact on a class wide basis. Instead, the evidence supports that the question of which of these specific employment practices has a discriminatory impact on an applicant is largely an individualized inquiry. As summarized in Background Section I.B.1, each of Plaintiffs' declarants submitted their own unique story, highlighting a different part of the promotional process that disfavored them: Boyd alleges that she was discriminatorily given a lower grade on her annual performance evaluation, which in turn hurt her chances for promotion…. </w:t>
      </w:r>
      <w:proofErr w:type="spellStart"/>
      <w:r w:rsidRPr="00B87D79">
        <w:rPr>
          <w:rFonts w:ascii="Times New Roman" w:hAnsi="Times New Roman"/>
          <w:sz w:val="24"/>
          <w:szCs w:val="24"/>
        </w:rPr>
        <w:t>Mascol</w:t>
      </w:r>
      <w:proofErr w:type="spellEnd"/>
      <w:r w:rsidRPr="00B87D79">
        <w:rPr>
          <w:rFonts w:ascii="Times New Roman" w:hAnsi="Times New Roman"/>
          <w:sz w:val="24"/>
          <w:szCs w:val="24"/>
        </w:rPr>
        <w:t xml:space="preserve">, on the other hand, alleges that ‘notwithstanding her credentials, she has been passed over after completing the promotion process five times before she became Captain’ as she was told during her interview that ‘she did well, but not well </w:t>
      </w:r>
      <w:r w:rsidRPr="00B87D79">
        <w:rPr>
          <w:rFonts w:ascii="Times New Roman" w:hAnsi="Times New Roman"/>
          <w:sz w:val="24"/>
          <w:szCs w:val="24"/>
        </w:rPr>
        <w:lastRenderedPageBreak/>
        <w:t xml:space="preserve">enough’ and ‘had been secretly removed from the list of potential candidates’ due to a disciplinary action….  </w:t>
      </w:r>
      <w:proofErr w:type="gramStart"/>
      <w:r w:rsidRPr="00B87D79">
        <w:rPr>
          <w:rFonts w:ascii="Times New Roman" w:hAnsi="Times New Roman"/>
          <w:sz w:val="24"/>
          <w:szCs w:val="24"/>
        </w:rPr>
        <w:t>And,</w:t>
      </w:r>
      <w:proofErr w:type="gramEnd"/>
      <w:r w:rsidRPr="00B87D79">
        <w:rPr>
          <w:rFonts w:ascii="Times New Roman" w:hAnsi="Times New Roman"/>
          <w:sz w:val="24"/>
          <w:szCs w:val="24"/>
        </w:rPr>
        <w:t xml:space="preserve"> Rodriguez alleges that he was unlawfully denied a promotion as he was told he </w:t>
      </w:r>
      <w:proofErr w:type="gramStart"/>
      <w:r w:rsidRPr="00B87D79">
        <w:rPr>
          <w:rFonts w:ascii="Times New Roman" w:hAnsi="Times New Roman"/>
          <w:sz w:val="24"/>
          <w:szCs w:val="24"/>
        </w:rPr>
        <w:t>‘had</w:t>
      </w:r>
      <w:proofErr w:type="gramEnd"/>
      <w:r w:rsidRPr="00B87D79">
        <w:rPr>
          <w:rFonts w:ascii="Times New Roman" w:hAnsi="Times New Roman"/>
          <w:sz w:val="24"/>
          <w:szCs w:val="24"/>
        </w:rPr>
        <w:t xml:space="preserve"> taken ‘too much' leave for a line of duty injury….” </w:t>
      </w:r>
      <w:hyperlink r:id="rId1579" w:history="1">
        <w:r w:rsidRPr="00B87D79">
          <w:rPr>
            <w:rStyle w:val="Hyperlink"/>
            <w:rFonts w:ascii="Times New Roman" w:eastAsiaTheme="majorEastAsia" w:hAnsi="Times New Roman"/>
            <w:sz w:val="24"/>
            <w:szCs w:val="24"/>
          </w:rPr>
          <w:t>https://public.fastcase.com/J%2FJP6pdidelsXxEE4k%2BLMlZWglMtowNFAELJodU5Ey8OhOeImHtUqedyG3gviX1KHWia8kZp1W6BpRYSHWWuxJPhh3XCqhBA0xYwY8ImSqA%3D?utm_medium=email&amp;_hsmi=226712652&amp;_hsenc=p2ANqtz-8Opm8993SGrvNEYVYffjIdnWwQ_39Y6IGa88rGJPHsNdF2T_bOfK_XBqNF_9dQMkZM8ini867XF3tJMXcIH4Ec_0OJdg&amp;utm_content=226712652&amp;utm_source=hs_email</w:t>
        </w:r>
      </w:hyperlink>
    </w:p>
    <w:p w14:paraId="31864655" w14:textId="77777777" w:rsidR="00B87D79" w:rsidRPr="0096016B" w:rsidRDefault="00B87D79" w:rsidP="00B87D79">
      <w:pPr>
        <w:pStyle w:val="NormalWeb"/>
        <w:rPr>
          <w:b/>
          <w:bCs/>
        </w:rPr>
      </w:pPr>
      <w:r w:rsidRPr="0096016B">
        <w:rPr>
          <w:b/>
          <w:bCs/>
        </w:rPr>
        <w:t>Legal Lesson Learned:</w:t>
      </w:r>
      <w:r>
        <w:rPr>
          <w:b/>
          <w:bCs/>
        </w:rPr>
        <w:t xml:space="preserve"> </w:t>
      </w:r>
      <w:r w:rsidRPr="0096016B">
        <w:rPr>
          <w:b/>
          <w:bCs/>
        </w:rPr>
        <w:t>Class certification requires a showing that there are questions of law or fact common to the class.</w:t>
      </w:r>
    </w:p>
    <w:p w14:paraId="6011A1E5" w14:textId="77777777" w:rsidR="00B87D79" w:rsidRDefault="00B87D79" w:rsidP="00BC70A3">
      <w:pPr>
        <w:rPr>
          <w:rFonts w:ascii="Arial Black" w:hAnsi="Arial Black"/>
          <w:b/>
          <w:sz w:val="24"/>
          <w:szCs w:val="24"/>
        </w:rPr>
      </w:pPr>
    </w:p>
    <w:p w14:paraId="74303606" w14:textId="2C94B5DD" w:rsidR="00D5141D" w:rsidRDefault="008B64DA" w:rsidP="00BC70A3">
      <w:pPr>
        <w:rPr>
          <w:rFonts w:ascii="Arial Black" w:hAnsi="Arial Black"/>
          <w:b/>
          <w:sz w:val="24"/>
          <w:szCs w:val="24"/>
        </w:rPr>
      </w:pPr>
      <w:r>
        <w:rPr>
          <w:rFonts w:ascii="Arial Black" w:hAnsi="Arial Black"/>
          <w:b/>
          <w:sz w:val="24"/>
          <w:szCs w:val="24"/>
        </w:rPr>
        <w:t>8-44</w:t>
      </w:r>
    </w:p>
    <w:p w14:paraId="2BD1256E" w14:textId="77777777" w:rsidR="008B64DA" w:rsidRPr="006E5A3A" w:rsidRDefault="008B64DA" w:rsidP="008B64DA">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FL: BLACK LT’s FAMILY PHOTOS DEFACED – CAPT, LT, 4 FF FIRED – FIRE CHIEF PRESS CONFERENCE – NO DEFAMATION </w:t>
      </w:r>
    </w:p>
    <w:p w14:paraId="1195A7C9" w14:textId="77777777" w:rsidR="008B64DA" w:rsidRPr="00F25F90" w:rsidRDefault="008B64DA" w:rsidP="008B64DA">
      <w:pPr>
        <w:pStyle w:val="NormalWeb"/>
      </w:pPr>
      <w:r>
        <w:t xml:space="preserve">On April 24, 2022, </w:t>
      </w:r>
      <w:r w:rsidRPr="00F25F90">
        <w:t xml:space="preserve">in </w:t>
      </w:r>
      <w:r w:rsidRPr="006E5A3A">
        <w:rPr>
          <w:u w:val="single"/>
        </w:rPr>
        <w:t>City of Miami, et al. v. David Rivera, et al.</w:t>
      </w:r>
      <w:r>
        <w:t>, the Florida Court of Appeals, Third District, held (3 to 0) that trial judge improperly denied the defense motion to dismiss the lawsuit.  “</w:t>
      </w:r>
      <w:r w:rsidRPr="00F25F90">
        <w:t xml:space="preserve">Chief </w:t>
      </w:r>
      <w:proofErr w:type="spellStart"/>
      <w:r w:rsidRPr="00F25F90">
        <w:t>Zahralban</w:t>
      </w:r>
      <w:proofErr w:type="spellEnd"/>
      <w:r w:rsidRPr="00F25F90">
        <w:t xml:space="preserve"> and the City are </w:t>
      </w:r>
      <w:proofErr w:type="gramStart"/>
      <w:r w:rsidRPr="00F25F90">
        <w:t>absolutely immune</w:t>
      </w:r>
      <w:proofErr w:type="gramEnd"/>
      <w:r w:rsidRPr="00F25F90">
        <w:t xml:space="preserve"> from suit for Chief Zahralban's written and oral statements relating to the City's termination of the Respondents as the statements were made within the scope of Chief Zahralban's duties as the director of the City's fire-rescue department. As such, the trial court departed from the essential requirements of law by denying Chief </w:t>
      </w:r>
      <w:proofErr w:type="spellStart"/>
      <w:r w:rsidRPr="00F25F90">
        <w:t>Zahralban's</w:t>
      </w:r>
      <w:proofErr w:type="spellEnd"/>
      <w:r w:rsidRPr="00F25F90">
        <w:t xml:space="preserve"> and the City's motion to dismiss on absolute immunity grounds. Accordingly, we grant the petition and quash the portion of the order denying the Petitioners' motion to dismiss the defamation counts as they are barred by absolute immunity.</w:t>
      </w:r>
      <w:r>
        <w:t xml:space="preserve">” </w:t>
      </w:r>
      <w:hyperlink r:id="rId1580" w:history="1">
        <w:r w:rsidRPr="00301464">
          <w:rPr>
            <w:rStyle w:val="Hyperlink"/>
            <w:rFonts w:eastAsiaTheme="majorEastAsia"/>
          </w:rPr>
          <w:t>https://www.courtlistener.com/opinion/7859269/city-of-miami-v-david-rivera/</w:t>
        </w:r>
      </w:hyperlink>
      <w:r>
        <w:t xml:space="preserve"> </w:t>
      </w:r>
    </w:p>
    <w:p w14:paraId="6FFF8708" w14:textId="77777777" w:rsidR="008B64DA" w:rsidRPr="00756225" w:rsidRDefault="008B64DA" w:rsidP="008B64DA">
      <w:pPr>
        <w:spacing w:before="100" w:beforeAutospacing="1" w:after="100" w:afterAutospacing="1" w:line="240" w:lineRule="auto"/>
        <w:rPr>
          <w:rFonts w:ascii="Times New Roman" w:eastAsia="Times New Roman" w:hAnsi="Times New Roman"/>
          <w:b/>
          <w:bCs/>
          <w:sz w:val="24"/>
          <w:szCs w:val="24"/>
        </w:rPr>
      </w:pPr>
      <w:r w:rsidRPr="00756225">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The conduct defacing family photos is completely unacceptable. </w:t>
      </w:r>
    </w:p>
    <w:p w14:paraId="38EC357E" w14:textId="77777777" w:rsidR="008B64DA" w:rsidRDefault="008B64DA" w:rsidP="008B64D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See these press reports: </w:t>
      </w:r>
    </w:p>
    <w:p w14:paraId="58CCF8B7" w14:textId="77777777" w:rsidR="008B64DA" w:rsidRPr="00214856" w:rsidRDefault="008B64DA" w:rsidP="008B64DA">
      <w:pPr>
        <w:pStyle w:val="Heading1"/>
        <w:ind w:left="720"/>
        <w:rPr>
          <w:b w:val="0"/>
          <w:bCs w:val="0"/>
          <w:sz w:val="24"/>
          <w:szCs w:val="24"/>
        </w:rPr>
      </w:pPr>
      <w:r w:rsidRPr="00214856">
        <w:rPr>
          <w:b w:val="0"/>
          <w:bCs w:val="0"/>
          <w:sz w:val="24"/>
          <w:szCs w:val="24"/>
        </w:rPr>
        <w:t xml:space="preserve">Nov. 3, 2017: “More Miami firefighters may be fired in hanging of noose over black colleague’s family photo, officials say.” </w:t>
      </w:r>
      <w:hyperlink r:id="rId1581" w:history="1">
        <w:r w:rsidRPr="00214856">
          <w:rPr>
            <w:rStyle w:val="Hyperlink"/>
            <w:rFonts w:eastAsiaTheme="majorEastAsia"/>
            <w:b w:val="0"/>
            <w:bCs w:val="0"/>
            <w:sz w:val="24"/>
            <w:szCs w:val="24"/>
          </w:rPr>
          <w:t>https://abcnews.go.com/US/miami-firefighters-fired-hanging-noose-black-colleagues-family/story?id=50884714</w:t>
        </w:r>
      </w:hyperlink>
      <w:r w:rsidRPr="00214856">
        <w:rPr>
          <w:b w:val="0"/>
          <w:bCs w:val="0"/>
          <w:sz w:val="24"/>
          <w:szCs w:val="24"/>
        </w:rPr>
        <w:t xml:space="preserve"> </w:t>
      </w:r>
    </w:p>
    <w:p w14:paraId="6981648E" w14:textId="4A6E6B6E" w:rsidR="008B64DA" w:rsidRDefault="008B64DA" w:rsidP="008B64DA">
      <w:pPr>
        <w:rPr>
          <w:rFonts w:ascii="Arial Black" w:hAnsi="Arial Black"/>
          <w:b/>
          <w:sz w:val="24"/>
          <w:szCs w:val="24"/>
        </w:rPr>
      </w:pPr>
      <w:r w:rsidRPr="00214856">
        <w:rPr>
          <w:sz w:val="24"/>
          <w:szCs w:val="24"/>
        </w:rPr>
        <w:t xml:space="preserve">Nov. 6, 2017: “City of Miami demands media stop showing photos of 6 officers fired in racist incident.” </w:t>
      </w:r>
      <w:hyperlink r:id="rId1582" w:history="1">
        <w:r w:rsidRPr="00214856">
          <w:rPr>
            <w:rStyle w:val="Hyperlink"/>
            <w:rFonts w:eastAsiaTheme="majorEastAsia"/>
            <w:sz w:val="24"/>
            <w:szCs w:val="24"/>
          </w:rPr>
          <w:t>https://boingboing.net/2017/11/06/city-of-miami-demands-media-st.html</w:t>
        </w:r>
      </w:hyperlink>
    </w:p>
    <w:p w14:paraId="020B1A4E" w14:textId="77777777" w:rsidR="008B64DA" w:rsidRDefault="008B64DA" w:rsidP="00BC70A3">
      <w:pPr>
        <w:rPr>
          <w:rFonts w:ascii="Arial Black" w:hAnsi="Arial Black"/>
          <w:b/>
          <w:sz w:val="24"/>
          <w:szCs w:val="24"/>
        </w:rPr>
      </w:pPr>
    </w:p>
    <w:p w14:paraId="5128F2BF" w14:textId="23FB7D85" w:rsidR="00D5141D" w:rsidRDefault="00D5141D" w:rsidP="00BC70A3">
      <w:pPr>
        <w:rPr>
          <w:rFonts w:ascii="Arial Black" w:hAnsi="Arial Black"/>
          <w:b/>
          <w:sz w:val="24"/>
          <w:szCs w:val="24"/>
        </w:rPr>
      </w:pPr>
      <w:r>
        <w:rPr>
          <w:rFonts w:ascii="Arial Black" w:hAnsi="Arial Black"/>
          <w:b/>
          <w:sz w:val="24"/>
          <w:szCs w:val="24"/>
        </w:rPr>
        <w:t>8-43</w:t>
      </w:r>
    </w:p>
    <w:p w14:paraId="1211C0EC" w14:textId="77777777" w:rsidR="008B64DA" w:rsidRPr="009973F5" w:rsidRDefault="008B64DA" w:rsidP="008B64DA">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FL: BLACK PROBIE FF – FIRED - MET WITH CITY MANAGER WITHOUT CHAIN OF COMMAND – CASE DISMISSED</w:t>
      </w:r>
    </w:p>
    <w:p w14:paraId="78D23B4D" w14:textId="4E22D422" w:rsidR="00D5141D" w:rsidRDefault="008B64DA" w:rsidP="008B64DA">
      <w:pPr>
        <w:rPr>
          <w:rFonts w:ascii="Arial Black" w:hAnsi="Arial Black"/>
          <w:b/>
          <w:sz w:val="24"/>
          <w:szCs w:val="24"/>
        </w:rPr>
      </w:pPr>
      <w:r>
        <w:rPr>
          <w:rFonts w:ascii="Times New Roman" w:eastAsia="Times New Roman" w:hAnsi="Times New Roman"/>
          <w:sz w:val="24"/>
          <w:szCs w:val="24"/>
        </w:rPr>
        <w:lastRenderedPageBreak/>
        <w:t xml:space="preserve">On Aug. 18, 2022, in </w:t>
      </w:r>
      <w:r w:rsidRPr="00704447">
        <w:rPr>
          <w:rFonts w:ascii="Times New Roman" w:eastAsia="Times New Roman" w:hAnsi="Times New Roman"/>
          <w:sz w:val="24"/>
          <w:szCs w:val="24"/>
          <w:u w:val="single"/>
        </w:rPr>
        <w:t>Cindy Naraine v. City of Hollywood</w:t>
      </w:r>
      <w:r>
        <w:rPr>
          <w:rFonts w:ascii="Times New Roman" w:eastAsia="Times New Roman" w:hAnsi="Times New Roman"/>
          <w:sz w:val="24"/>
          <w:szCs w:val="24"/>
        </w:rPr>
        <w:t xml:space="preserve">, U.S. District Court Judge Rodolfo R. Ruiz II, U.S. District Court for Southern District of Florida, granted the City’s motion for summary judgment. </w:t>
      </w:r>
      <w:r w:rsidRPr="00704447">
        <w:rPr>
          <w:rFonts w:ascii="Times New Roman" w:eastAsia="Times New Roman" w:hAnsi="Times New Roman"/>
          <w:sz w:val="24"/>
          <w:szCs w:val="24"/>
        </w:rPr>
        <w:t>“</w:t>
      </w:r>
      <w:r w:rsidRPr="00704447">
        <w:rPr>
          <w:rFonts w:ascii="Times New Roman" w:hAnsi="Times New Roman"/>
          <w:sz w:val="24"/>
          <w:szCs w:val="24"/>
        </w:rPr>
        <w:t> Importantly, the Court notes the following undisputed facts. Plaintiff never witnessed any act of discrimination against any employee of the Fire Department</w:t>
      </w:r>
      <w:r>
        <w:rPr>
          <w:rFonts w:ascii="Times New Roman" w:hAnsi="Times New Roman"/>
          <w:sz w:val="24"/>
          <w:szCs w:val="24"/>
        </w:rPr>
        <w:t xml:space="preserve">…. </w:t>
      </w:r>
      <w:r w:rsidRPr="00704447">
        <w:rPr>
          <w:rFonts w:ascii="Times New Roman" w:hAnsi="Times New Roman"/>
          <w:sz w:val="24"/>
          <w:szCs w:val="24"/>
        </w:rPr>
        <w:t>Plaintiff was never subject to a racist remark while working at the Fire Department</w:t>
      </w:r>
      <w:r>
        <w:rPr>
          <w:rFonts w:ascii="Times New Roman" w:hAnsi="Times New Roman"/>
          <w:sz w:val="24"/>
          <w:szCs w:val="24"/>
        </w:rPr>
        <w:t>….</w:t>
      </w:r>
      <w:r w:rsidRPr="00704447">
        <w:rPr>
          <w:rFonts w:ascii="Times New Roman" w:hAnsi="Times New Roman"/>
          <w:sz w:val="24"/>
          <w:szCs w:val="24"/>
        </w:rPr>
        <w:t xml:space="preserve"> Nobody ever said anything disparaging to Plaintiff based on her race</w:t>
      </w:r>
      <w:r>
        <w:rPr>
          <w:rFonts w:ascii="Times New Roman" w:hAnsi="Times New Roman"/>
          <w:sz w:val="24"/>
          <w:szCs w:val="24"/>
        </w:rPr>
        <w:t xml:space="preserve">…. </w:t>
      </w:r>
      <w:r w:rsidRPr="00704447">
        <w:rPr>
          <w:rFonts w:ascii="Times New Roman" w:hAnsi="Times New Roman"/>
          <w:sz w:val="24"/>
          <w:szCs w:val="24"/>
        </w:rPr>
        <w:t>Plaintiff was never the subject of a sexist comment while working at the Fire Department</w:t>
      </w:r>
      <w:r>
        <w:rPr>
          <w:rFonts w:ascii="Times New Roman" w:hAnsi="Times New Roman"/>
          <w:sz w:val="24"/>
          <w:szCs w:val="24"/>
        </w:rPr>
        <w:t xml:space="preserve">…. </w:t>
      </w:r>
      <w:r w:rsidRPr="00704447">
        <w:rPr>
          <w:rFonts w:ascii="Times New Roman" w:hAnsi="Times New Roman"/>
          <w:sz w:val="24"/>
          <w:szCs w:val="24"/>
        </w:rPr>
        <w:t>Neither Chief Jurado nor Deputy Chief Garcia ever made a disparaging comment about Plaintiff</w:t>
      </w:r>
      <w:r>
        <w:rPr>
          <w:rFonts w:ascii="Times New Roman" w:hAnsi="Times New Roman"/>
          <w:sz w:val="24"/>
          <w:szCs w:val="24"/>
        </w:rPr>
        <w:t xml:space="preserve">…. </w:t>
      </w:r>
      <w:r w:rsidRPr="00704447">
        <w:rPr>
          <w:rFonts w:ascii="Times New Roman" w:hAnsi="Times New Roman"/>
          <w:sz w:val="24"/>
          <w:szCs w:val="24"/>
        </w:rPr>
        <w:t>Neither Chief Jurado or Deputy Chief Garcia ever discussed disciplining an employee for racial reasons</w:t>
      </w:r>
      <w:r>
        <w:rPr>
          <w:rFonts w:ascii="Times New Roman" w:hAnsi="Times New Roman"/>
          <w:sz w:val="24"/>
          <w:szCs w:val="24"/>
        </w:rPr>
        <w:t>….</w:t>
      </w:r>
      <w:r w:rsidRPr="00704447">
        <w:rPr>
          <w:rFonts w:ascii="Times New Roman" w:hAnsi="Times New Roman"/>
          <w:sz w:val="24"/>
          <w:szCs w:val="24"/>
        </w:rPr>
        <w:t xml:space="preserve"> In sum, the undisputed facts sharply undermine any notion that the </w:t>
      </w:r>
      <w:r>
        <w:rPr>
          <w:rFonts w:ascii="Times New Roman" w:hAnsi="Times New Roman"/>
          <w:sz w:val="24"/>
          <w:szCs w:val="24"/>
        </w:rPr>
        <w:t>‘</w:t>
      </w:r>
      <w:r w:rsidRPr="00704447">
        <w:rPr>
          <w:rFonts w:ascii="Times New Roman" w:hAnsi="Times New Roman"/>
          <w:sz w:val="24"/>
          <w:szCs w:val="24"/>
        </w:rPr>
        <w:t>real</w:t>
      </w:r>
      <w:r>
        <w:rPr>
          <w:rFonts w:ascii="Times New Roman" w:hAnsi="Times New Roman"/>
          <w:sz w:val="24"/>
          <w:szCs w:val="24"/>
        </w:rPr>
        <w:t>’</w:t>
      </w:r>
      <w:r w:rsidRPr="00704447">
        <w:rPr>
          <w:rFonts w:ascii="Times New Roman" w:hAnsi="Times New Roman"/>
          <w:sz w:val="24"/>
          <w:szCs w:val="24"/>
        </w:rPr>
        <w:t xml:space="preserve"> reason Plaintiff was fired was discriminatory in </w:t>
      </w:r>
      <w:proofErr w:type="gramStart"/>
      <w:r w:rsidRPr="00704447">
        <w:rPr>
          <w:rFonts w:ascii="Times New Roman" w:hAnsi="Times New Roman"/>
          <w:sz w:val="24"/>
          <w:szCs w:val="24"/>
        </w:rPr>
        <w:t>nature.</w:t>
      </w:r>
      <w:r>
        <w:rPr>
          <w:rFonts w:ascii="Times New Roman" w:hAnsi="Times New Roman"/>
          <w:sz w:val="24"/>
          <w:szCs w:val="24"/>
        </w:rPr>
        <w:t>”</w:t>
      </w:r>
      <w:proofErr w:type="gramEnd"/>
      <w:r>
        <w:rPr>
          <w:rFonts w:ascii="Times New Roman" w:hAnsi="Times New Roman"/>
          <w:sz w:val="24"/>
          <w:szCs w:val="24"/>
        </w:rPr>
        <w:t xml:space="preserve"> </w:t>
      </w:r>
      <w:hyperlink r:id="rId1583" w:history="1">
        <w:r w:rsidRPr="005E2F1B">
          <w:rPr>
            <w:rStyle w:val="Hyperlink"/>
            <w:rFonts w:ascii="Times New Roman" w:hAnsi="Times New Roman"/>
          </w:rPr>
          <w:t>https://public.fastcase.com/J%2FJP6pdidelsXxEE4k%2BLMvlYUX0ZAhRbseqqFnL4gi3bRwNf0Z9RCieiQ7wPaXcpaaE7aExMc6ouwIyWJC8qizoR4DyeCOueQnsNxsVE1Ec%3D</w:t>
        </w:r>
      </w:hyperlink>
    </w:p>
    <w:p w14:paraId="19BA0D4F" w14:textId="77777777" w:rsidR="008B64DA" w:rsidRPr="00B06F8C" w:rsidRDefault="008B64DA" w:rsidP="008B64DA">
      <w:pPr>
        <w:spacing w:before="100" w:beforeAutospacing="1" w:after="100" w:afterAutospacing="1" w:line="240" w:lineRule="auto"/>
        <w:rPr>
          <w:rFonts w:ascii="Times New Roman" w:eastAsia="Times New Roman" w:hAnsi="Times New Roman"/>
          <w:b/>
          <w:bCs/>
          <w:sz w:val="24"/>
          <w:szCs w:val="24"/>
        </w:rPr>
      </w:pPr>
      <w:r w:rsidRPr="00B06F8C">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Chain of command is important concept in a paramilitary organization. </w:t>
      </w:r>
    </w:p>
    <w:p w14:paraId="24E3831D" w14:textId="77777777" w:rsidR="00D5141D" w:rsidRDefault="00D5141D" w:rsidP="00BC70A3">
      <w:pPr>
        <w:rPr>
          <w:rFonts w:ascii="Arial Black" w:hAnsi="Arial Black"/>
          <w:b/>
          <w:sz w:val="24"/>
          <w:szCs w:val="24"/>
        </w:rPr>
      </w:pPr>
    </w:p>
    <w:p w14:paraId="24764F38" w14:textId="77777777" w:rsidR="00D5141D" w:rsidRDefault="00D5141D" w:rsidP="00BC70A3">
      <w:pPr>
        <w:rPr>
          <w:rFonts w:ascii="Arial Black" w:hAnsi="Arial Black"/>
          <w:b/>
          <w:sz w:val="24"/>
          <w:szCs w:val="24"/>
        </w:rPr>
      </w:pPr>
    </w:p>
    <w:p w14:paraId="19A00563" w14:textId="4729AA47" w:rsidR="00D5141D" w:rsidRDefault="00D5141D" w:rsidP="00BC70A3">
      <w:pPr>
        <w:rPr>
          <w:rFonts w:ascii="Arial Black" w:hAnsi="Arial Black"/>
          <w:b/>
          <w:sz w:val="24"/>
          <w:szCs w:val="24"/>
        </w:rPr>
      </w:pPr>
      <w:r>
        <w:rPr>
          <w:rFonts w:ascii="Arial Black" w:hAnsi="Arial Black"/>
          <w:b/>
          <w:sz w:val="24"/>
          <w:szCs w:val="24"/>
        </w:rPr>
        <w:t>8-42</w:t>
      </w:r>
    </w:p>
    <w:p w14:paraId="02B60654" w14:textId="77777777" w:rsidR="00D5141D" w:rsidRPr="00614CE9" w:rsidRDefault="00D5141D" w:rsidP="00D5141D">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CT: BLACK FF – ANONYMOUS CALLS, LOCKER BROKEN INTO - ISOLATED INCIDENTS - NOT HOSTILE WORKPLACE  </w:t>
      </w:r>
    </w:p>
    <w:p w14:paraId="1C1D7E10" w14:textId="77777777" w:rsidR="00D5141D" w:rsidRPr="00BF45A4" w:rsidRDefault="00D5141D" w:rsidP="00D5141D">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On Aug. 16, 2022, in </w:t>
      </w:r>
      <w:r w:rsidRPr="00A06B91">
        <w:rPr>
          <w:rFonts w:ascii="Times New Roman" w:hAnsi="Times New Roman"/>
          <w:sz w:val="24"/>
          <w:szCs w:val="24"/>
          <w:u w:val="single"/>
        </w:rPr>
        <w:t>Tony Milledge v. City of Hartford</w:t>
      </w:r>
      <w:r>
        <w:rPr>
          <w:rFonts w:ascii="Times New Roman" w:hAnsi="Times New Roman"/>
          <w:sz w:val="24"/>
          <w:szCs w:val="24"/>
        </w:rPr>
        <w:t>, U.S. District Court Judge Jeffrey A. Meyer, U.S. District Court for District of Connecticut granted the City’s motion for summary judgement.  The Court wrote: “</w:t>
      </w:r>
      <w:r w:rsidRPr="00614CE9">
        <w:rPr>
          <w:rFonts w:ascii="Times New Roman" w:eastAsia="Times New Roman" w:hAnsi="Times New Roman"/>
          <w:sz w:val="24"/>
          <w:szCs w:val="24"/>
        </w:rPr>
        <w:t xml:space="preserve">The problem for Milledge is that the only evidence of racial animus he has offered is the string of racist anonymous calls he received. But Milledge has not shown that </w:t>
      </w:r>
      <w:r>
        <w:rPr>
          <w:rFonts w:ascii="Times New Roman" w:eastAsia="Times New Roman" w:hAnsi="Times New Roman"/>
          <w:sz w:val="24"/>
          <w:szCs w:val="24"/>
        </w:rPr>
        <w:t>‘</w:t>
      </w:r>
      <w:r w:rsidRPr="00614CE9">
        <w:rPr>
          <w:rFonts w:ascii="Times New Roman" w:eastAsia="Times New Roman" w:hAnsi="Times New Roman"/>
          <w:sz w:val="24"/>
          <w:szCs w:val="24"/>
        </w:rPr>
        <w:t xml:space="preserve">a specific basis exists for </w:t>
      </w:r>
      <w:proofErr w:type="gramStart"/>
      <w:r w:rsidRPr="00614CE9">
        <w:rPr>
          <w:rFonts w:ascii="Times New Roman" w:eastAsia="Times New Roman" w:hAnsi="Times New Roman"/>
          <w:sz w:val="24"/>
          <w:szCs w:val="24"/>
        </w:rPr>
        <w:t>imputing</w:t>
      </w:r>
      <w:proofErr w:type="gramEnd"/>
      <w:r w:rsidRPr="00614CE9">
        <w:rPr>
          <w:rFonts w:ascii="Times New Roman" w:eastAsia="Times New Roman" w:hAnsi="Times New Roman"/>
          <w:sz w:val="24"/>
          <w:szCs w:val="24"/>
        </w:rPr>
        <w:t xml:space="preserve"> the conduct that created the hostile environment to the employer.</w:t>
      </w:r>
      <w:r>
        <w:rPr>
          <w:rFonts w:ascii="Times New Roman" w:eastAsia="Times New Roman" w:hAnsi="Times New Roman"/>
          <w:sz w:val="24"/>
          <w:szCs w:val="24"/>
        </w:rPr>
        <w:t>’</w:t>
      </w:r>
      <w:r w:rsidRPr="00614CE9">
        <w:rPr>
          <w:rFonts w:ascii="Times New Roman" w:eastAsia="Times New Roman" w:hAnsi="Times New Roman"/>
          <w:sz w:val="24"/>
          <w:szCs w:val="24"/>
        </w:rPr>
        <w:t xml:space="preserve"> </w:t>
      </w:r>
      <w:r w:rsidRPr="00614CE9">
        <w:rPr>
          <w:rFonts w:ascii="Times New Roman" w:eastAsia="Times New Roman" w:hAnsi="Times New Roman"/>
          <w:i/>
          <w:iCs/>
          <w:sz w:val="24"/>
          <w:szCs w:val="24"/>
        </w:rPr>
        <w:t>Schaper v. Bronx Lebanon Hosp. Ctr.</w:t>
      </w:r>
      <w:r w:rsidRPr="00614CE9">
        <w:rPr>
          <w:rFonts w:ascii="Times New Roman" w:eastAsia="Times New Roman" w:hAnsi="Times New Roman"/>
          <w:sz w:val="24"/>
          <w:szCs w:val="24"/>
        </w:rPr>
        <w:t xml:space="preserve">, 408 F.Supp.3d 379, 397 (S.D.N.Y. 2019) (quoting </w:t>
      </w:r>
      <w:r w:rsidRPr="00614CE9">
        <w:rPr>
          <w:rFonts w:ascii="Times New Roman" w:eastAsia="Times New Roman" w:hAnsi="Times New Roman"/>
          <w:i/>
          <w:iCs/>
          <w:sz w:val="24"/>
          <w:szCs w:val="24"/>
        </w:rPr>
        <w:t>Schwapp v. Town of Avon</w:t>
      </w:r>
      <w:r w:rsidRPr="00614CE9">
        <w:rPr>
          <w:rFonts w:ascii="Times New Roman" w:eastAsia="Times New Roman" w:hAnsi="Times New Roman"/>
          <w:sz w:val="24"/>
          <w:szCs w:val="24"/>
        </w:rPr>
        <w:t xml:space="preserve">, 118 F.3d 106, 110 (2d Cir. 1997)). Because Milledge has not offered any evidence to show that these anonymous calls were made by or at the behest of his fellow firefighters, there is simply “no evidence that [Hartford] had any control over or permitted the anonymous caller[s] to make such calls.” </w:t>
      </w:r>
      <w:proofErr w:type="spellStart"/>
      <w:r w:rsidRPr="00614CE9">
        <w:rPr>
          <w:rFonts w:ascii="Times New Roman" w:eastAsia="Times New Roman" w:hAnsi="Times New Roman"/>
          <w:i/>
          <w:iCs/>
          <w:sz w:val="24"/>
          <w:szCs w:val="24"/>
        </w:rPr>
        <w:t>Katzev</w:t>
      </w:r>
      <w:proofErr w:type="spellEnd"/>
      <w:r w:rsidRPr="00614CE9">
        <w:rPr>
          <w:rFonts w:ascii="Times New Roman" w:eastAsia="Times New Roman" w:hAnsi="Times New Roman"/>
          <w:i/>
          <w:iCs/>
          <w:sz w:val="24"/>
          <w:szCs w:val="24"/>
        </w:rPr>
        <w:t xml:space="preserve"> v. Retail Brand All., Inc.</w:t>
      </w:r>
      <w:r w:rsidRPr="00614CE9">
        <w:rPr>
          <w:rFonts w:ascii="Times New Roman" w:eastAsia="Times New Roman" w:hAnsi="Times New Roman"/>
          <w:sz w:val="24"/>
          <w:szCs w:val="24"/>
        </w:rPr>
        <w:t xml:space="preserve">, 2010 WL 2836159, at *4 (S.D.N.Y. 2010); </w:t>
      </w:r>
      <w:r w:rsidRPr="00614CE9">
        <w:rPr>
          <w:rFonts w:ascii="Times New Roman" w:eastAsia="Times New Roman" w:hAnsi="Times New Roman"/>
          <w:i/>
          <w:iCs/>
          <w:sz w:val="24"/>
          <w:szCs w:val="24"/>
        </w:rPr>
        <w:t xml:space="preserve">see also Tyson v. </w:t>
      </w:r>
      <w:proofErr w:type="spellStart"/>
      <w:r w:rsidRPr="00614CE9">
        <w:rPr>
          <w:rFonts w:ascii="Times New Roman" w:eastAsia="Times New Roman" w:hAnsi="Times New Roman"/>
          <w:i/>
          <w:iCs/>
          <w:sz w:val="24"/>
          <w:szCs w:val="24"/>
        </w:rPr>
        <w:t>Dep't</w:t>
      </w:r>
      <w:proofErr w:type="spellEnd"/>
      <w:r w:rsidRPr="00614CE9">
        <w:rPr>
          <w:rFonts w:ascii="Times New Roman" w:eastAsia="Times New Roman" w:hAnsi="Times New Roman"/>
          <w:i/>
          <w:iCs/>
          <w:sz w:val="24"/>
          <w:szCs w:val="24"/>
        </w:rPr>
        <w:t xml:space="preserve"> of Energy &amp; Env't Prot.</w:t>
      </w:r>
      <w:r w:rsidRPr="00614CE9">
        <w:rPr>
          <w:rFonts w:ascii="Times New Roman" w:eastAsia="Times New Roman" w:hAnsi="Times New Roman"/>
          <w:sz w:val="24"/>
          <w:szCs w:val="24"/>
        </w:rPr>
        <w:t xml:space="preserve">, 2021 WL 4895898, at *1 (D. Conn. 2021) (dismissing hostile work environment claim involving allegations that someone put a hangman's noose by plaintiff's workspace where there was no allegation that the employer knew or was responsible). </w:t>
      </w:r>
      <w:r>
        <w:rPr>
          <w:rFonts w:ascii="Times New Roman" w:eastAsia="Times New Roman" w:hAnsi="Times New Roman"/>
          <w:sz w:val="24"/>
          <w:szCs w:val="24"/>
        </w:rPr>
        <w:t xml:space="preserve"> *** </w:t>
      </w:r>
      <w:r w:rsidRPr="00BF45A4">
        <w:rPr>
          <w:rFonts w:ascii="Times New Roman" w:hAnsi="Times New Roman"/>
          <w:sz w:val="24"/>
          <w:szCs w:val="24"/>
        </w:rPr>
        <w:t>Nor does Milledge claim to have reported other anonymous misconduct such as his 2019 locker break-in to his supervisors or human resources. Consequently, even assuming that Milledge was subject to a racially hostile work environment, there is no genuine fact issue to show that the City was aware of, yet negligent in failing to remedy, the misconduct of its employees.</w:t>
      </w:r>
      <w:r>
        <w:rPr>
          <w:rFonts w:ascii="Times New Roman" w:hAnsi="Times New Roman"/>
          <w:sz w:val="24"/>
          <w:szCs w:val="24"/>
        </w:rPr>
        <w:t xml:space="preserve">” </w:t>
      </w:r>
      <w:hyperlink r:id="rId1584" w:history="1">
        <w:r w:rsidRPr="00696C47">
          <w:rPr>
            <w:rStyle w:val="Hyperlink"/>
            <w:rFonts w:ascii="Times New Roman" w:hAnsi="Times New Roman"/>
          </w:rPr>
          <w:t>https://public.fastcase.com/J%2FJP6pdidelsXxEE4k%2BLMk9lGZyD2KG1SaKKnXCNSDrJ6FT2zCg0RErRpvbDUp%2FnT1MfNEdoSlzLl4b4xQ1JtBz9n9NoggrYwpv0z6IMwm8%3D</w:t>
        </w:r>
      </w:hyperlink>
      <w:r>
        <w:rPr>
          <w:rFonts w:ascii="Times New Roman" w:hAnsi="Times New Roman"/>
          <w:sz w:val="24"/>
          <w:szCs w:val="24"/>
        </w:rPr>
        <w:t xml:space="preserve"> </w:t>
      </w:r>
    </w:p>
    <w:p w14:paraId="617885C7" w14:textId="77777777" w:rsidR="00D5141D" w:rsidRPr="00AD7FAD" w:rsidRDefault="00D5141D" w:rsidP="00D5141D">
      <w:pPr>
        <w:pStyle w:val="NormalWeb"/>
        <w:rPr>
          <w:b/>
          <w:bCs/>
        </w:rPr>
      </w:pPr>
      <w:r w:rsidRPr="00AD7FAD">
        <w:rPr>
          <w:b/>
          <w:bCs/>
        </w:rPr>
        <w:t xml:space="preserve">Legal Lesson Learned: “Isolated incidents” </w:t>
      </w:r>
      <w:r>
        <w:rPr>
          <w:b/>
          <w:bCs/>
        </w:rPr>
        <w:t xml:space="preserve">generally will </w:t>
      </w:r>
      <w:r w:rsidRPr="00AD7FAD">
        <w:rPr>
          <w:b/>
          <w:bCs/>
        </w:rPr>
        <w:t xml:space="preserve">not establish hostile work atmosphere. </w:t>
      </w:r>
    </w:p>
    <w:p w14:paraId="266B700A" w14:textId="77777777" w:rsidR="00D5141D" w:rsidRDefault="00D5141D" w:rsidP="00BC70A3">
      <w:pPr>
        <w:rPr>
          <w:rFonts w:ascii="Arial Black" w:hAnsi="Arial Black"/>
          <w:b/>
          <w:sz w:val="24"/>
          <w:szCs w:val="24"/>
        </w:rPr>
      </w:pPr>
    </w:p>
    <w:p w14:paraId="0A9DD223" w14:textId="77777777" w:rsidR="00D5141D" w:rsidRDefault="00D5141D" w:rsidP="00BC70A3">
      <w:pPr>
        <w:rPr>
          <w:rFonts w:ascii="Arial Black" w:hAnsi="Arial Black"/>
          <w:b/>
          <w:sz w:val="24"/>
          <w:szCs w:val="24"/>
        </w:rPr>
      </w:pPr>
    </w:p>
    <w:p w14:paraId="41506294" w14:textId="2AFB6D53" w:rsidR="006C4BDE" w:rsidRDefault="00240D3F" w:rsidP="00BC70A3">
      <w:pPr>
        <w:rPr>
          <w:rFonts w:ascii="Arial Black" w:hAnsi="Arial Black"/>
          <w:b/>
          <w:sz w:val="24"/>
          <w:szCs w:val="24"/>
        </w:rPr>
      </w:pPr>
      <w:r>
        <w:rPr>
          <w:rFonts w:ascii="Arial Black" w:hAnsi="Arial Black"/>
          <w:b/>
          <w:sz w:val="24"/>
          <w:szCs w:val="24"/>
        </w:rPr>
        <w:lastRenderedPageBreak/>
        <w:t>8-41</w:t>
      </w:r>
    </w:p>
    <w:p w14:paraId="51D75F8B" w14:textId="77777777" w:rsidR="00240D3F" w:rsidRPr="00231752" w:rsidRDefault="00240D3F" w:rsidP="00240D3F">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MA: RESIDENCY ORDINANCE NOT ENFORCED – 2 BLACK OFFICERS LIVE CITY – CASE PROCEED, NOT CLASS ACTION </w:t>
      </w:r>
    </w:p>
    <w:p w14:paraId="4E793BD3" w14:textId="77777777" w:rsidR="00240D3F" w:rsidRDefault="00240D3F" w:rsidP="00240D3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July 14, 2022, in </w:t>
      </w:r>
      <w:r w:rsidRPr="00231752">
        <w:rPr>
          <w:rFonts w:ascii="Times New Roman" w:hAnsi="Times New Roman"/>
          <w:sz w:val="24"/>
          <w:szCs w:val="24"/>
          <w:u w:val="single"/>
        </w:rPr>
        <w:t>Marc Savage and Randolph Blake v. The City of Springfield, et al.</w:t>
      </w:r>
      <w:r>
        <w:rPr>
          <w:rFonts w:ascii="Times New Roman" w:hAnsi="Times New Roman"/>
          <w:sz w:val="24"/>
          <w:szCs w:val="24"/>
        </w:rPr>
        <w:t>, U.S. Magistrate Judge Katherine A. Robertson denied plaintiffs’ motion for class action, but their individual lawsuit claims will now procced to pre-trial discovery</w:t>
      </w:r>
      <w:r w:rsidRPr="00805B29">
        <w:rPr>
          <w:rFonts w:ascii="Times New Roman" w:hAnsi="Times New Roman"/>
          <w:sz w:val="24"/>
          <w:szCs w:val="24"/>
        </w:rPr>
        <w:t xml:space="preserve">.  </w:t>
      </w:r>
      <w:r>
        <w:rPr>
          <w:rFonts w:ascii="Times New Roman" w:hAnsi="Times New Roman"/>
          <w:sz w:val="24"/>
          <w:szCs w:val="24"/>
        </w:rPr>
        <w:t xml:space="preserve">Marc Savage [now retired District Chief} had been on FD for 39 years, and lifelong resident of the city; Randolph Blake [now Captain] has been on FD for 30 years and a life-long resident of the city. The U.S. Magistrate Judge declined to certify class action. “[T]he </w:t>
      </w:r>
      <w:r w:rsidRPr="00C727F0">
        <w:rPr>
          <w:rFonts w:ascii="Times New Roman" w:hAnsi="Times New Roman"/>
          <w:sz w:val="24"/>
          <w:szCs w:val="24"/>
        </w:rPr>
        <w:t>court finds that Plaintiffs' calculation of fifty putative class members is insufficiently supported.</w:t>
      </w:r>
      <w:r>
        <w:rPr>
          <w:rFonts w:ascii="Times New Roman" w:hAnsi="Times New Roman"/>
          <w:sz w:val="24"/>
          <w:szCs w:val="24"/>
        </w:rPr>
        <w:t>”  U.S. Magistrate Judge also referenced the Massachusetts Superior Court decision in denying the class action: “G</w:t>
      </w:r>
      <w:r w:rsidRPr="00464C1C">
        <w:rPr>
          <w:rFonts w:ascii="Times New Roman" w:hAnsi="Times New Roman"/>
          <w:sz w:val="24"/>
          <w:szCs w:val="24"/>
        </w:rPr>
        <w:t>iving these rulings the preclusive effect to which they are entitled, this court cannot strike any Fire Department employee from the City's payroll and there is no basis for freezing promotion eligibility lists until the time that such a purge has taken place.</w:t>
      </w:r>
      <w:r>
        <w:rPr>
          <w:rFonts w:ascii="Times New Roman" w:hAnsi="Times New Roman"/>
          <w:sz w:val="24"/>
          <w:szCs w:val="24"/>
        </w:rPr>
        <w:t xml:space="preserve">” </w:t>
      </w:r>
      <w:hyperlink r:id="rId1585" w:history="1">
        <w:r w:rsidRPr="00CA2357">
          <w:rPr>
            <w:rStyle w:val="Hyperlink"/>
            <w:rFonts w:ascii="Times New Roman" w:hAnsi="Times New Roman"/>
            <w:sz w:val="24"/>
            <w:szCs w:val="24"/>
          </w:rPr>
          <w:t>https://public.fastcase.com/J%2FJP6pdidelsXxEE4k%2BLMkGcJRI5fEIWTRrrr5g307eiV2fonCWWxfQ8%2FgFOC0SXeLTzITpIpaPKGCBs2ZuJTAu1fIsNckzREaOIJEOyjuU%3D</w:t>
        </w:r>
      </w:hyperlink>
      <w:r>
        <w:rPr>
          <w:rFonts w:ascii="Times New Roman" w:hAnsi="Times New Roman"/>
          <w:sz w:val="24"/>
          <w:szCs w:val="24"/>
        </w:rPr>
        <w:t xml:space="preserve"> </w:t>
      </w:r>
    </w:p>
    <w:p w14:paraId="76B324A8" w14:textId="77777777" w:rsidR="00240D3F" w:rsidRDefault="00240D3F" w:rsidP="00240D3F">
      <w:pPr>
        <w:pStyle w:val="Heading1"/>
        <w:rPr>
          <w:sz w:val="24"/>
          <w:szCs w:val="24"/>
        </w:rPr>
      </w:pPr>
      <w:r w:rsidRPr="007B199E">
        <w:rPr>
          <w:sz w:val="24"/>
          <w:szCs w:val="24"/>
        </w:rPr>
        <w:t xml:space="preserve">Legal Lesson Learned: </w:t>
      </w:r>
      <w:r>
        <w:rPr>
          <w:sz w:val="24"/>
          <w:szCs w:val="24"/>
        </w:rPr>
        <w:t xml:space="preserve">Residency ordinances can be difficult to enforce, particularly when Collective Bargaining Agreements have different provisions. </w:t>
      </w:r>
    </w:p>
    <w:p w14:paraId="51924AC0" w14:textId="77777777" w:rsidR="00240D3F" w:rsidRDefault="00240D3F" w:rsidP="00240D3F">
      <w:pPr>
        <w:pStyle w:val="Heading1"/>
        <w:ind w:left="720"/>
        <w:rPr>
          <w:b w:val="0"/>
          <w:bCs w:val="0"/>
          <w:sz w:val="24"/>
          <w:szCs w:val="24"/>
        </w:rPr>
      </w:pPr>
      <w:r w:rsidRPr="00C84BEA">
        <w:rPr>
          <w:b w:val="0"/>
          <w:bCs w:val="0"/>
          <w:sz w:val="24"/>
          <w:szCs w:val="24"/>
        </w:rPr>
        <w:t xml:space="preserve">Note: </w:t>
      </w:r>
      <w:r>
        <w:rPr>
          <w:b w:val="0"/>
          <w:bCs w:val="0"/>
          <w:sz w:val="24"/>
          <w:szCs w:val="24"/>
        </w:rPr>
        <w:t xml:space="preserve"> </w:t>
      </w:r>
      <w:r w:rsidRPr="00C84BEA">
        <w:rPr>
          <w:b w:val="0"/>
          <w:bCs w:val="0"/>
          <w:sz w:val="24"/>
          <w:szCs w:val="24"/>
        </w:rPr>
        <w:t xml:space="preserve">For example, in 2018 the District Fire Chiefs union agreed that newly promoted District Chief must move into the city within one year of promotion. See also May 15, </w:t>
      </w:r>
      <w:proofErr w:type="gramStart"/>
      <w:r w:rsidRPr="00C84BEA">
        <w:rPr>
          <w:b w:val="0"/>
          <w:bCs w:val="0"/>
          <w:sz w:val="24"/>
          <w:szCs w:val="24"/>
        </w:rPr>
        <w:t>2018</w:t>
      </w:r>
      <w:proofErr w:type="gramEnd"/>
      <w:r w:rsidRPr="00C84BEA">
        <w:rPr>
          <w:b w:val="0"/>
          <w:bCs w:val="0"/>
          <w:sz w:val="24"/>
          <w:szCs w:val="24"/>
        </w:rPr>
        <w:t xml:space="preserve"> article, “Divided Springfield City Council approves long-contested district fire </w:t>
      </w:r>
      <w:proofErr w:type="gramStart"/>
      <w:r w:rsidRPr="00C84BEA">
        <w:rPr>
          <w:b w:val="0"/>
          <w:bCs w:val="0"/>
          <w:sz w:val="24"/>
          <w:szCs w:val="24"/>
        </w:rPr>
        <w:t>chiefs</w:t>
      </w:r>
      <w:proofErr w:type="gramEnd"/>
      <w:r w:rsidRPr="00C84BEA">
        <w:rPr>
          <w:b w:val="0"/>
          <w:bCs w:val="0"/>
          <w:sz w:val="24"/>
          <w:szCs w:val="24"/>
        </w:rPr>
        <w:t xml:space="preserve"> contract with residency clause.” </w:t>
      </w:r>
      <w:hyperlink r:id="rId1586" w:history="1">
        <w:r w:rsidRPr="00C84BEA">
          <w:rPr>
            <w:rStyle w:val="Hyperlink"/>
            <w:rFonts w:eastAsiaTheme="majorEastAsia"/>
            <w:b w:val="0"/>
            <w:bCs w:val="0"/>
            <w:sz w:val="24"/>
            <w:szCs w:val="24"/>
          </w:rPr>
          <w:t>https://www.masslive.com/news/2018/05/springfield_city_council_appro_79.html</w:t>
        </w:r>
      </w:hyperlink>
      <w:r w:rsidRPr="00C84BEA">
        <w:rPr>
          <w:rStyle w:val="Hyperlink"/>
          <w:rFonts w:eastAsiaTheme="majorEastAsia"/>
          <w:b w:val="0"/>
          <w:bCs w:val="0"/>
          <w:sz w:val="24"/>
          <w:szCs w:val="24"/>
        </w:rPr>
        <w:t xml:space="preserve">. </w:t>
      </w:r>
      <w:r w:rsidRPr="00C84BEA">
        <w:rPr>
          <w:b w:val="0"/>
          <w:bCs w:val="0"/>
          <w:sz w:val="24"/>
          <w:szCs w:val="24"/>
        </w:rPr>
        <w:t xml:space="preserve">See </w:t>
      </w:r>
    </w:p>
    <w:p w14:paraId="744A7C31" w14:textId="77777777" w:rsidR="00240D3F" w:rsidRPr="00C84BEA" w:rsidRDefault="00240D3F" w:rsidP="00240D3F">
      <w:pPr>
        <w:pStyle w:val="Heading1"/>
        <w:ind w:left="720"/>
        <w:rPr>
          <w:b w:val="0"/>
          <w:bCs w:val="0"/>
          <w:color w:val="0563C1" w:themeColor="hyperlink"/>
          <w:sz w:val="24"/>
          <w:szCs w:val="24"/>
          <w:u w:val="single"/>
        </w:rPr>
      </w:pPr>
      <w:r>
        <w:rPr>
          <w:b w:val="0"/>
          <w:bCs w:val="0"/>
          <w:sz w:val="24"/>
          <w:szCs w:val="24"/>
        </w:rPr>
        <w:t>Also see M</w:t>
      </w:r>
      <w:r w:rsidRPr="00C84BEA">
        <w:rPr>
          <w:b w:val="0"/>
          <w:bCs w:val="0"/>
          <w:sz w:val="24"/>
          <w:szCs w:val="24"/>
        </w:rPr>
        <w:t xml:space="preserve">ay 14, </w:t>
      </w:r>
      <w:proofErr w:type="gramStart"/>
      <w:r w:rsidRPr="00C84BEA">
        <w:rPr>
          <w:b w:val="0"/>
          <w:bCs w:val="0"/>
          <w:sz w:val="24"/>
          <w:szCs w:val="24"/>
        </w:rPr>
        <w:t>2018</w:t>
      </w:r>
      <w:proofErr w:type="gramEnd"/>
      <w:r w:rsidRPr="00C84BEA">
        <w:rPr>
          <w:b w:val="0"/>
          <w:bCs w:val="0"/>
          <w:sz w:val="24"/>
          <w:szCs w:val="24"/>
        </w:rPr>
        <w:t xml:space="preserve"> </w:t>
      </w:r>
      <w:r>
        <w:rPr>
          <w:b w:val="0"/>
          <w:bCs w:val="0"/>
          <w:sz w:val="24"/>
          <w:szCs w:val="24"/>
        </w:rPr>
        <w:t xml:space="preserve">Press Article from </w:t>
      </w:r>
      <w:r w:rsidRPr="00C84BEA">
        <w:rPr>
          <w:b w:val="0"/>
          <w:bCs w:val="0"/>
          <w:sz w:val="24"/>
          <w:szCs w:val="24"/>
        </w:rPr>
        <w:t xml:space="preserve">District Chief Vince Neffinger, President of the Springfield Fire Chiefs Association. “Time is now to approve contract for Springfield district fire chiefs (Guest viewpoint).”  </w:t>
      </w:r>
      <w:hyperlink r:id="rId1587" w:history="1">
        <w:r w:rsidRPr="00C84BEA">
          <w:rPr>
            <w:rStyle w:val="Hyperlink"/>
            <w:rFonts w:eastAsiaTheme="majorEastAsia"/>
            <w:b w:val="0"/>
            <w:bCs w:val="0"/>
            <w:sz w:val="24"/>
            <w:szCs w:val="24"/>
          </w:rPr>
          <w:t>https://www.masslive.com/opinion/2018/05/time_is_now_to_approve_contrac.html</w:t>
        </w:r>
      </w:hyperlink>
    </w:p>
    <w:p w14:paraId="688B58D6" w14:textId="77777777" w:rsidR="00240D3F" w:rsidRDefault="00240D3F" w:rsidP="00240D3F">
      <w:pPr>
        <w:spacing w:before="100" w:beforeAutospacing="1" w:after="100" w:afterAutospacing="1" w:line="240" w:lineRule="auto"/>
        <w:ind w:left="720"/>
        <w:rPr>
          <w:rStyle w:val="Hyperlink"/>
          <w:rFonts w:ascii="Times New Roman" w:hAnsi="Times New Roman"/>
          <w:sz w:val="24"/>
          <w:szCs w:val="24"/>
        </w:rPr>
      </w:pPr>
      <w:r>
        <w:rPr>
          <w:rFonts w:ascii="Times New Roman" w:hAnsi="Times New Roman"/>
          <w:sz w:val="24"/>
          <w:szCs w:val="24"/>
        </w:rPr>
        <w:t xml:space="preserve">Note:  </w:t>
      </w:r>
      <w:r w:rsidRPr="00491E8D">
        <w:rPr>
          <w:rFonts w:ascii="Times New Roman" w:hAnsi="Times New Roman"/>
          <w:sz w:val="24"/>
          <w:szCs w:val="24"/>
        </w:rPr>
        <w:t xml:space="preserve">In Ohio, </w:t>
      </w:r>
      <w:r>
        <w:rPr>
          <w:rFonts w:ascii="Times New Roman" w:hAnsi="Times New Roman"/>
          <w:sz w:val="24"/>
          <w:szCs w:val="24"/>
        </w:rPr>
        <w:t xml:space="preserve">the </w:t>
      </w:r>
      <w:r w:rsidRPr="00491E8D">
        <w:rPr>
          <w:rFonts w:ascii="Times New Roman" w:hAnsi="Times New Roman"/>
          <w:sz w:val="24"/>
          <w:szCs w:val="24"/>
        </w:rPr>
        <w:t xml:space="preserve">Ohio General Assembly in 2016 enacted a statute that set aside all city residency requirements. In 2019, it was upheld by Ohio Supreme Court. </w:t>
      </w:r>
      <w:r w:rsidRPr="00605F1D">
        <w:rPr>
          <w:rFonts w:ascii="Times New Roman" w:hAnsi="Times New Roman"/>
          <w:sz w:val="24"/>
          <w:szCs w:val="24"/>
          <w:u w:val="single"/>
        </w:rPr>
        <w:t>Lima v. State</w:t>
      </w:r>
      <w:r>
        <w:rPr>
          <w:rFonts w:ascii="Times New Roman" w:hAnsi="Times New Roman"/>
          <w:sz w:val="24"/>
          <w:szCs w:val="24"/>
        </w:rPr>
        <w:t xml:space="preserve">, </w:t>
      </w:r>
      <w:hyperlink r:id="rId1588" w:history="1">
        <w:r w:rsidRPr="00507312">
          <w:rPr>
            <w:rStyle w:val="Hyperlink"/>
            <w:rFonts w:ascii="Times New Roman" w:hAnsi="Times New Roman"/>
            <w:sz w:val="24"/>
            <w:szCs w:val="24"/>
          </w:rPr>
          <w:t>https://www.supremecourt.ohio.gov/rod/docs/pdf/0/2009/2009-ohio-2597.pdf</w:t>
        </w:r>
      </w:hyperlink>
      <w:r>
        <w:rPr>
          <w:rFonts w:ascii="Times New Roman" w:hAnsi="Times New Roman"/>
          <w:sz w:val="24"/>
          <w:szCs w:val="24"/>
        </w:rPr>
        <w:t xml:space="preserve">. Firefighters and police can be required to reside in the county or the adjoining county. Ohio Revised Code, </w:t>
      </w:r>
      <w:r w:rsidRPr="00491E8D">
        <w:rPr>
          <w:rFonts w:ascii="Times New Roman" w:hAnsi="Times New Roman"/>
          <w:sz w:val="24"/>
          <w:szCs w:val="24"/>
        </w:rPr>
        <w:t xml:space="preserve">Section 9.481 </w:t>
      </w:r>
      <w:r w:rsidRPr="00491E8D">
        <w:rPr>
          <w:rStyle w:val="codes-separator"/>
          <w:rFonts w:ascii="Times New Roman" w:hAnsi="Times New Roman"/>
          <w:sz w:val="24"/>
          <w:szCs w:val="24"/>
        </w:rPr>
        <w:t>|</w:t>
      </w:r>
      <w:r w:rsidRPr="00491E8D">
        <w:rPr>
          <w:rFonts w:ascii="Times New Roman" w:hAnsi="Times New Roman"/>
          <w:sz w:val="24"/>
          <w:szCs w:val="24"/>
        </w:rPr>
        <w:t xml:space="preserve"> Residency requirements prohibited for certain employees: </w:t>
      </w:r>
      <w:hyperlink r:id="rId1589" w:history="1">
        <w:r w:rsidRPr="00491E8D">
          <w:rPr>
            <w:rStyle w:val="Hyperlink"/>
            <w:rFonts w:ascii="Times New Roman" w:hAnsi="Times New Roman"/>
            <w:sz w:val="24"/>
            <w:szCs w:val="24"/>
          </w:rPr>
          <w:t>https://codes.ohio.gov/ohio-revised-code/section-9.481</w:t>
        </w:r>
      </w:hyperlink>
    </w:p>
    <w:p w14:paraId="583DB1B5" w14:textId="77777777" w:rsidR="00240D3F" w:rsidRDefault="00240D3F" w:rsidP="00BC70A3">
      <w:pPr>
        <w:rPr>
          <w:rFonts w:ascii="Arial Black" w:hAnsi="Arial Black"/>
          <w:b/>
          <w:sz w:val="24"/>
          <w:szCs w:val="24"/>
        </w:rPr>
      </w:pPr>
    </w:p>
    <w:p w14:paraId="5C689C35" w14:textId="074479C2" w:rsidR="006C4BDE" w:rsidRDefault="006C4BDE" w:rsidP="00BC70A3">
      <w:pPr>
        <w:rPr>
          <w:rFonts w:ascii="Arial Black" w:hAnsi="Arial Black"/>
          <w:b/>
          <w:sz w:val="24"/>
          <w:szCs w:val="24"/>
        </w:rPr>
      </w:pPr>
      <w:r>
        <w:rPr>
          <w:rFonts w:ascii="Arial Black" w:hAnsi="Arial Black"/>
          <w:b/>
          <w:sz w:val="24"/>
          <w:szCs w:val="24"/>
        </w:rPr>
        <w:t>8-40</w:t>
      </w:r>
    </w:p>
    <w:p w14:paraId="720190C9" w14:textId="77777777" w:rsidR="006C4BDE" w:rsidRDefault="006C4BDE" w:rsidP="006C4BDE">
      <w:pPr>
        <w:spacing w:before="100" w:beforeAutospacing="1" w:after="100" w:afterAutospacing="1" w:line="240" w:lineRule="auto"/>
        <w:rPr>
          <w:rFonts w:ascii="Arial Black" w:hAnsi="Arial Black"/>
          <w:sz w:val="28"/>
          <w:szCs w:val="28"/>
        </w:rPr>
      </w:pPr>
      <w:r w:rsidRPr="008532E8">
        <w:rPr>
          <w:rFonts w:ascii="Arial Black" w:hAnsi="Arial Black"/>
          <w:sz w:val="28"/>
          <w:szCs w:val="28"/>
        </w:rPr>
        <w:t>IL:</w:t>
      </w:r>
      <w:r>
        <w:rPr>
          <w:rFonts w:ascii="Arial Black" w:hAnsi="Arial Black"/>
          <w:sz w:val="28"/>
          <w:szCs w:val="28"/>
        </w:rPr>
        <w:t xml:space="preserve"> WHITE FF “REVERSE DISCRIMINATION” CASE DISMISSED – 3</w:t>
      </w:r>
      <w:r w:rsidRPr="00A16CE4">
        <w:rPr>
          <w:rFonts w:ascii="Arial Black" w:hAnsi="Arial Black"/>
          <w:sz w:val="28"/>
          <w:szCs w:val="28"/>
          <w:vertAlign w:val="superscript"/>
        </w:rPr>
        <w:t>rd</w:t>
      </w:r>
      <w:r>
        <w:rPr>
          <w:rFonts w:ascii="Arial Black" w:hAnsi="Arial Black"/>
          <w:sz w:val="28"/>
          <w:szCs w:val="28"/>
        </w:rPr>
        <w:t xml:space="preserve"> SHIFT CAPTAIN ROTATED 2 MORE DRIVERS TRUCK 19</w:t>
      </w:r>
    </w:p>
    <w:p w14:paraId="411C6688" w14:textId="77777777" w:rsidR="006C4BDE" w:rsidRDefault="006C4BDE" w:rsidP="006C4BD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July 12, 2022, in </w:t>
      </w:r>
      <w:r w:rsidRPr="00BD5375">
        <w:rPr>
          <w:rFonts w:ascii="Times New Roman" w:hAnsi="Times New Roman"/>
          <w:sz w:val="24"/>
          <w:szCs w:val="24"/>
          <w:u w:val="single"/>
        </w:rPr>
        <w:t>David Stieglitz v. City of Chicago</w:t>
      </w:r>
      <w:r>
        <w:rPr>
          <w:rFonts w:ascii="Times New Roman" w:hAnsi="Times New Roman"/>
          <w:sz w:val="24"/>
          <w:szCs w:val="24"/>
        </w:rPr>
        <w:t xml:space="preserve">, the U.S. Court of Appeals for Seventh Circuit (located in Chicago) held (3 to 0) that trial court properly dismissed his lawsuit; his Captain (Black) wanted two additional drivers (Black) rotating on Truck 19 during his third shift. Plaintiff was the only white firefighter on his shift; firefighters paid </w:t>
      </w:r>
      <w:r w:rsidRPr="00420051">
        <w:rPr>
          <w:rFonts w:ascii="Times New Roman" w:hAnsi="Times New Roman"/>
          <w:sz w:val="24"/>
          <w:szCs w:val="24"/>
        </w:rPr>
        <w:t xml:space="preserve">$2.18 per hour </w:t>
      </w:r>
      <w:r>
        <w:rPr>
          <w:rFonts w:ascii="Times New Roman" w:hAnsi="Times New Roman"/>
          <w:sz w:val="24"/>
          <w:szCs w:val="24"/>
        </w:rPr>
        <w:t xml:space="preserve">bonus </w:t>
      </w:r>
      <w:r w:rsidRPr="00420051">
        <w:rPr>
          <w:rFonts w:ascii="Times New Roman" w:hAnsi="Times New Roman"/>
          <w:sz w:val="24"/>
          <w:szCs w:val="24"/>
        </w:rPr>
        <w:t>on shifts when they are assigned as drivers.</w:t>
      </w:r>
      <w:r>
        <w:rPr>
          <w:rFonts w:ascii="Times New Roman" w:hAnsi="Times New Roman"/>
          <w:sz w:val="24"/>
          <w:szCs w:val="24"/>
        </w:rPr>
        <w:t xml:space="preserve"> Plaintiff filed an internal complaint, and Internal Affairs determined that 35 Chicago firefighters, including plaintiff, lacked required training certification to drive this truck per new General Order, and FD ordered that he not drive </w:t>
      </w:r>
      <w:r>
        <w:rPr>
          <w:rFonts w:ascii="Times New Roman" w:hAnsi="Times New Roman"/>
          <w:sz w:val="24"/>
          <w:szCs w:val="24"/>
        </w:rPr>
        <w:lastRenderedPageBreak/>
        <w:t xml:space="preserve">without the certification. He was suspended for only seven shifts (he only lost $350 in driver bonuses) when FD later decided he was “grandfathered” and didn’t need the certification.  </w:t>
      </w:r>
      <w:hyperlink r:id="rId1590" w:history="1">
        <w:r w:rsidRPr="008E101B">
          <w:rPr>
            <w:rStyle w:val="Hyperlink"/>
            <w:rFonts w:ascii="Times New Roman" w:hAnsi="Times New Roman"/>
            <w:sz w:val="24"/>
            <w:szCs w:val="24"/>
          </w:rPr>
          <w:t>http://media.ca7.uscourts.gov/cgi-bin/rssExec.pl?Submit=Display&amp;Path=Y2022/D07-12/C:21-2784:J:PerCuriam:aut:T:npDp:N:2902357:S:0</w:t>
        </w:r>
      </w:hyperlink>
    </w:p>
    <w:p w14:paraId="489A0091" w14:textId="77777777" w:rsidR="006C4BDE" w:rsidRPr="0048357F" w:rsidRDefault="006C4BDE" w:rsidP="006C4BDE">
      <w:pPr>
        <w:spacing w:before="100" w:beforeAutospacing="1" w:after="100" w:afterAutospacing="1" w:line="240" w:lineRule="auto"/>
        <w:rPr>
          <w:rFonts w:ascii="Times New Roman" w:eastAsia="Times New Roman" w:hAnsi="Times New Roman"/>
          <w:b/>
          <w:bCs/>
          <w:sz w:val="24"/>
          <w:szCs w:val="24"/>
        </w:rPr>
      </w:pPr>
      <w:r w:rsidRPr="00D0339D">
        <w:rPr>
          <w:rFonts w:ascii="Times New Roman" w:hAnsi="Times New Roman"/>
          <w:b/>
          <w:bCs/>
          <w:sz w:val="24"/>
          <w:szCs w:val="24"/>
        </w:rPr>
        <w:t>Legal Lesson Learned:</w:t>
      </w:r>
      <w:r>
        <w:rPr>
          <w:rFonts w:ascii="Times New Roman" w:hAnsi="Times New Roman"/>
          <w:b/>
          <w:bCs/>
          <w:sz w:val="24"/>
          <w:szCs w:val="24"/>
        </w:rPr>
        <w:t xml:space="preserve"> To prove race discrimination, a white firefighter needs more than mere “inference” that Captain favored Black firefighters as drivers.   It is, frankly, hard to believe this lawsuit was ever filed, </w:t>
      </w:r>
    </w:p>
    <w:p w14:paraId="571495DD" w14:textId="77777777" w:rsidR="006C4BDE" w:rsidRDefault="006C4BDE" w:rsidP="006C4BD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Note: Listen to Oral Argument before 7</w:t>
      </w:r>
      <w:r w:rsidRPr="00036CDB">
        <w:rPr>
          <w:rFonts w:ascii="Times New Roman" w:hAnsi="Times New Roman"/>
          <w:sz w:val="24"/>
          <w:szCs w:val="24"/>
          <w:vertAlign w:val="superscript"/>
        </w:rPr>
        <w:t>th</w:t>
      </w:r>
      <w:r>
        <w:rPr>
          <w:rFonts w:ascii="Times New Roman" w:hAnsi="Times New Roman"/>
          <w:sz w:val="24"/>
          <w:szCs w:val="24"/>
        </w:rPr>
        <w:t xml:space="preserve"> Circuit – the judges were particularly questionable of plaintiff’s claim. </w:t>
      </w:r>
      <w:hyperlink r:id="rId1591" w:history="1">
        <w:r w:rsidRPr="00AB6D79">
          <w:rPr>
            <w:rStyle w:val="Hyperlink"/>
            <w:rFonts w:ascii="Times New Roman" w:hAnsi="Times New Roman"/>
            <w:sz w:val="24"/>
            <w:szCs w:val="24"/>
          </w:rPr>
          <w:t>http://media.ca7.uscourts.gov/sound/external/mm.21-2784.21-2784_07_07_2022.mp3</w:t>
        </w:r>
      </w:hyperlink>
      <w:r>
        <w:rPr>
          <w:rFonts w:ascii="Times New Roman" w:hAnsi="Times New Roman"/>
          <w:sz w:val="24"/>
          <w:szCs w:val="24"/>
        </w:rPr>
        <w:t xml:space="preserve"> </w:t>
      </w:r>
    </w:p>
    <w:p w14:paraId="384D6004" w14:textId="77777777" w:rsidR="006C4BDE" w:rsidRDefault="006C4BDE" w:rsidP="00BC70A3">
      <w:pPr>
        <w:rPr>
          <w:rFonts w:ascii="Arial Black" w:hAnsi="Arial Black"/>
          <w:b/>
          <w:sz w:val="24"/>
          <w:szCs w:val="24"/>
        </w:rPr>
      </w:pPr>
    </w:p>
    <w:p w14:paraId="69A055D1" w14:textId="43E2A055" w:rsidR="006C4BDE" w:rsidRDefault="006C4BDE" w:rsidP="00BC70A3">
      <w:pPr>
        <w:rPr>
          <w:rFonts w:ascii="Arial Black" w:hAnsi="Arial Black"/>
          <w:b/>
          <w:sz w:val="24"/>
          <w:szCs w:val="24"/>
        </w:rPr>
      </w:pPr>
      <w:r>
        <w:rPr>
          <w:rFonts w:ascii="Arial Black" w:hAnsi="Arial Black"/>
          <w:b/>
          <w:sz w:val="24"/>
          <w:szCs w:val="24"/>
        </w:rPr>
        <w:t>8-39</w:t>
      </w:r>
    </w:p>
    <w:p w14:paraId="3937E996" w14:textId="77777777" w:rsidR="006C4BDE" w:rsidRDefault="006C4BDE" w:rsidP="006C4BDE">
      <w:pPr>
        <w:spacing w:before="100" w:beforeAutospacing="1" w:after="100" w:afterAutospacing="1" w:line="240" w:lineRule="auto"/>
        <w:rPr>
          <w:rFonts w:ascii="Arial Black" w:hAnsi="Arial Black"/>
          <w:sz w:val="28"/>
          <w:szCs w:val="28"/>
        </w:rPr>
      </w:pPr>
      <w:r>
        <w:rPr>
          <w:rFonts w:ascii="Arial Black" w:hAnsi="Arial Black"/>
          <w:sz w:val="28"/>
          <w:szCs w:val="28"/>
        </w:rPr>
        <w:t>TX: PROBATIONARY FF FIRED – FAILED TESTING AT STATION 8 – NO PROOF WHITE TREATED MORE FAVORABLY</w:t>
      </w:r>
    </w:p>
    <w:p w14:paraId="3108F476" w14:textId="77777777" w:rsidR="006C4BDE" w:rsidRPr="005E294B" w:rsidRDefault="006C4BDE" w:rsidP="006C4BDE">
      <w:pPr>
        <w:spacing w:before="100" w:beforeAutospacing="1" w:after="100" w:afterAutospacing="1" w:line="240" w:lineRule="auto"/>
        <w:rPr>
          <w:rFonts w:ascii="Times New Roman" w:hAnsi="Times New Roman"/>
          <w:sz w:val="24"/>
          <w:szCs w:val="24"/>
        </w:rPr>
      </w:pPr>
      <w:r w:rsidRPr="00A448A7">
        <w:rPr>
          <w:rFonts w:ascii="Times New Roman" w:hAnsi="Times New Roman"/>
          <w:sz w:val="24"/>
          <w:szCs w:val="24"/>
        </w:rPr>
        <w:t xml:space="preserve">On July 12, 2022, in </w:t>
      </w:r>
      <w:r w:rsidRPr="00A448A7">
        <w:rPr>
          <w:rFonts w:ascii="Times New Roman" w:hAnsi="Times New Roman"/>
          <w:sz w:val="24"/>
          <w:szCs w:val="24"/>
          <w:u w:val="single"/>
        </w:rPr>
        <w:t>The City of Houston v. Madison T. Garner</w:t>
      </w:r>
      <w:r w:rsidRPr="00A448A7">
        <w:rPr>
          <w:rFonts w:ascii="Times New Roman" w:hAnsi="Times New Roman"/>
          <w:sz w:val="24"/>
          <w:szCs w:val="24"/>
        </w:rPr>
        <w:t>, the City took an immediate appeal, and the Court of Appeals</w:t>
      </w:r>
      <w:r>
        <w:rPr>
          <w:rFonts w:ascii="Times New Roman" w:hAnsi="Times New Roman"/>
          <w:sz w:val="24"/>
          <w:szCs w:val="24"/>
        </w:rPr>
        <w:t xml:space="preserve"> of Texas, Fourteenth District, held (3 to 0) t</w:t>
      </w:r>
      <w:r w:rsidRPr="00A448A7">
        <w:rPr>
          <w:rFonts w:ascii="Times New Roman" w:hAnsi="Times New Roman"/>
          <w:sz w:val="24"/>
          <w:szCs w:val="24"/>
        </w:rPr>
        <w:t>hat trial court should have granted defense motion for summary judgment.  Plaintiff</w:t>
      </w:r>
      <w:r>
        <w:rPr>
          <w:rFonts w:ascii="Times New Roman" w:hAnsi="Times New Roman"/>
          <w:sz w:val="24"/>
          <w:szCs w:val="24"/>
        </w:rPr>
        <w:t xml:space="preserve"> graduated from the Training Academy, and while at Station 8 he had another year as probationary firefighter and </w:t>
      </w:r>
      <w:r w:rsidRPr="00D55070">
        <w:rPr>
          <w:rFonts w:ascii="Times New Roman" w:hAnsi="Times New Roman"/>
          <w:sz w:val="24"/>
          <w:szCs w:val="24"/>
        </w:rPr>
        <w:t>failed the Turnout Performance Standard.</w:t>
      </w:r>
      <w:r>
        <w:rPr>
          <w:rFonts w:ascii="Times New Roman" w:hAnsi="Times New Roman"/>
          <w:sz w:val="24"/>
          <w:szCs w:val="24"/>
        </w:rPr>
        <w:t xml:space="preserve"> He </w:t>
      </w:r>
      <w:r w:rsidRPr="00A448A7">
        <w:rPr>
          <w:rFonts w:ascii="Times New Roman" w:hAnsi="Times New Roman"/>
          <w:sz w:val="24"/>
          <w:szCs w:val="24"/>
        </w:rPr>
        <w:t>claim</w:t>
      </w:r>
      <w:r>
        <w:rPr>
          <w:rFonts w:ascii="Times New Roman" w:hAnsi="Times New Roman"/>
          <w:sz w:val="24"/>
          <w:szCs w:val="24"/>
        </w:rPr>
        <w:t>ed</w:t>
      </w:r>
      <w:r w:rsidRPr="00A448A7">
        <w:rPr>
          <w:rFonts w:ascii="Times New Roman" w:hAnsi="Times New Roman"/>
          <w:sz w:val="24"/>
          <w:szCs w:val="24"/>
        </w:rPr>
        <w:t xml:space="preserve"> there were about five other probationary FF at Station </w:t>
      </w:r>
      <w:proofErr w:type="gramStart"/>
      <w:r w:rsidRPr="00A448A7">
        <w:rPr>
          <w:rFonts w:ascii="Times New Roman" w:hAnsi="Times New Roman"/>
          <w:sz w:val="24"/>
          <w:szCs w:val="24"/>
        </w:rPr>
        <w:t>8, but</w:t>
      </w:r>
      <w:proofErr w:type="gramEnd"/>
      <w:r w:rsidRPr="00A448A7">
        <w:rPr>
          <w:rFonts w:ascii="Times New Roman" w:hAnsi="Times New Roman"/>
          <w:sz w:val="24"/>
          <w:szCs w:val="24"/>
        </w:rPr>
        <w:t xml:space="preserve"> </w:t>
      </w:r>
      <w:r>
        <w:rPr>
          <w:rFonts w:ascii="Times New Roman" w:hAnsi="Times New Roman"/>
          <w:sz w:val="24"/>
          <w:szCs w:val="24"/>
        </w:rPr>
        <w:t>failed to provide any evidence that “</w:t>
      </w:r>
      <w:r w:rsidRPr="00A448A7">
        <w:rPr>
          <w:rFonts w:ascii="Times New Roman" w:hAnsi="Times New Roman"/>
          <w:sz w:val="24"/>
          <w:szCs w:val="24"/>
        </w:rPr>
        <w:t xml:space="preserve">those outside his protected class </w:t>
      </w:r>
      <w:r>
        <w:rPr>
          <w:rFonts w:ascii="Times New Roman" w:hAnsi="Times New Roman"/>
          <w:sz w:val="24"/>
          <w:szCs w:val="24"/>
        </w:rPr>
        <w:t xml:space="preserve">[white FF] </w:t>
      </w:r>
      <w:r w:rsidRPr="00A448A7">
        <w:rPr>
          <w:rFonts w:ascii="Times New Roman" w:hAnsi="Times New Roman"/>
          <w:sz w:val="24"/>
          <w:szCs w:val="24"/>
        </w:rPr>
        <w:t>were treated more favorably</w:t>
      </w:r>
      <w:r>
        <w:rPr>
          <w:rFonts w:ascii="Times New Roman" w:hAnsi="Times New Roman"/>
          <w:sz w:val="24"/>
          <w:szCs w:val="24"/>
        </w:rPr>
        <w:t xml:space="preserve">.” He also complained of various incidents at Training Academy and at Station 8 that create a hostile work atmosphere, but taking all into consideration, he has </w:t>
      </w:r>
      <w:r w:rsidRPr="005E294B">
        <w:rPr>
          <w:rFonts w:ascii="Times New Roman" w:hAnsi="Times New Roman"/>
          <w:sz w:val="24"/>
          <w:szCs w:val="24"/>
        </w:rPr>
        <w:t xml:space="preserve">not shown that the acts were </w:t>
      </w:r>
      <w:r>
        <w:rPr>
          <w:rFonts w:ascii="Times New Roman" w:hAnsi="Times New Roman"/>
          <w:sz w:val="24"/>
          <w:szCs w:val="24"/>
        </w:rPr>
        <w:t>“</w:t>
      </w:r>
      <w:r w:rsidRPr="005E294B">
        <w:rPr>
          <w:rFonts w:ascii="Times New Roman" w:hAnsi="Times New Roman"/>
          <w:sz w:val="24"/>
          <w:szCs w:val="24"/>
        </w:rPr>
        <w:t>sufficiently severe or pervasive to alter the conditions of [his] employment and create an abusive working environment.</w:t>
      </w:r>
      <w:r>
        <w:rPr>
          <w:rFonts w:ascii="Times New Roman" w:hAnsi="Times New Roman"/>
          <w:sz w:val="24"/>
          <w:szCs w:val="24"/>
        </w:rPr>
        <w:t>” For example, while at the Training Academy his training Captain had him move a pallet of bricks about 40 feet for punishment for not having shaved close enough; but “</w:t>
      </w:r>
      <w:r w:rsidRPr="00721939">
        <w:rPr>
          <w:rFonts w:ascii="Times New Roman" w:hAnsi="Times New Roman"/>
          <w:sz w:val="24"/>
          <w:szCs w:val="24"/>
        </w:rPr>
        <w:t>another individual who was not African American was also told to move bricks at the same time as Garner for not shaving as well.</w:t>
      </w:r>
      <w:r>
        <w:rPr>
          <w:rFonts w:ascii="Times New Roman" w:hAnsi="Times New Roman"/>
          <w:sz w:val="24"/>
          <w:szCs w:val="24"/>
        </w:rPr>
        <w:t xml:space="preserve">” </w:t>
      </w:r>
      <w:hyperlink r:id="rId1592" w:history="1">
        <w:r w:rsidRPr="0019682E">
          <w:rPr>
            <w:rStyle w:val="Hyperlink"/>
            <w:rFonts w:ascii="Times New Roman" w:hAnsi="Times New Roman"/>
            <w:sz w:val="24"/>
            <w:szCs w:val="24"/>
          </w:rPr>
          <w:t>https://law.justia.com/cases/texas/fourteenth-court-of-appeals/2022/14-20-00688-cv.html</w:t>
        </w:r>
      </w:hyperlink>
      <w:r>
        <w:rPr>
          <w:rFonts w:ascii="Times New Roman" w:hAnsi="Times New Roman"/>
          <w:sz w:val="24"/>
          <w:szCs w:val="24"/>
        </w:rPr>
        <w:t xml:space="preserve"> </w:t>
      </w:r>
    </w:p>
    <w:p w14:paraId="512DD48F" w14:textId="2B036F38" w:rsidR="006C4BDE" w:rsidRPr="00E815F4" w:rsidRDefault="00A40065" w:rsidP="006C4BDE">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L</w:t>
      </w:r>
      <w:r w:rsidR="006C4BDE" w:rsidRPr="00D55070">
        <w:rPr>
          <w:rFonts w:ascii="Times New Roman" w:eastAsia="Times New Roman" w:hAnsi="Times New Roman"/>
          <w:b/>
          <w:bCs/>
          <w:sz w:val="24"/>
          <w:szCs w:val="24"/>
        </w:rPr>
        <w:t xml:space="preserve">egal Lesson Learned: </w:t>
      </w:r>
      <w:r w:rsidR="006C4BDE">
        <w:rPr>
          <w:rFonts w:ascii="Times New Roman" w:eastAsia="Times New Roman" w:hAnsi="Times New Roman"/>
          <w:b/>
          <w:bCs/>
          <w:sz w:val="24"/>
          <w:szCs w:val="24"/>
        </w:rPr>
        <w:t xml:space="preserve">No proof that White probationary FF treated more fairly. </w:t>
      </w:r>
    </w:p>
    <w:p w14:paraId="0AFDD894" w14:textId="77777777" w:rsidR="006C4BDE" w:rsidRDefault="006C4BDE" w:rsidP="00BC70A3">
      <w:pPr>
        <w:rPr>
          <w:rFonts w:ascii="Arial Black" w:hAnsi="Arial Black"/>
          <w:b/>
          <w:sz w:val="24"/>
          <w:szCs w:val="24"/>
        </w:rPr>
      </w:pPr>
    </w:p>
    <w:p w14:paraId="475A2664" w14:textId="77777777" w:rsidR="006C4BDE" w:rsidRDefault="006C4BDE" w:rsidP="00BC70A3">
      <w:pPr>
        <w:rPr>
          <w:rFonts w:ascii="Arial Black" w:hAnsi="Arial Black"/>
          <w:b/>
          <w:sz w:val="24"/>
          <w:szCs w:val="24"/>
        </w:rPr>
      </w:pPr>
    </w:p>
    <w:p w14:paraId="6BE3D359" w14:textId="4709359A" w:rsidR="0002742E" w:rsidRDefault="0002742E" w:rsidP="00BC70A3">
      <w:pPr>
        <w:rPr>
          <w:rFonts w:ascii="Arial Black" w:hAnsi="Arial Black"/>
          <w:b/>
          <w:sz w:val="24"/>
          <w:szCs w:val="24"/>
        </w:rPr>
      </w:pPr>
      <w:r>
        <w:rPr>
          <w:rFonts w:ascii="Arial Black" w:hAnsi="Arial Black"/>
          <w:b/>
          <w:sz w:val="24"/>
          <w:szCs w:val="24"/>
        </w:rPr>
        <w:t>8-38</w:t>
      </w:r>
    </w:p>
    <w:p w14:paraId="5B45A74A" w14:textId="77777777" w:rsidR="0002742E" w:rsidRPr="00FE1E86" w:rsidRDefault="0002742E" w:rsidP="0002742E">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OH: AFRICAN AMERICAN NOT HIRED CINCINNATI FD – FELON - 2005 WHEN FF/EMT CONV.  DRUG TRAFFICKING  </w:t>
      </w:r>
    </w:p>
    <w:p w14:paraId="1A2FB859" w14:textId="77777777" w:rsidR="0002742E" w:rsidRPr="00D52001" w:rsidRDefault="0002742E" w:rsidP="0002742E">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May 7, 2022, in </w:t>
      </w:r>
      <w:r w:rsidRPr="00FE1E86">
        <w:rPr>
          <w:rFonts w:ascii="Times New Roman" w:eastAsia="Times New Roman" w:hAnsi="Times New Roman"/>
          <w:sz w:val="24"/>
          <w:szCs w:val="24"/>
          <w:u w:val="single"/>
        </w:rPr>
        <w:t>Layne Rice v. City of Cincinnati</w:t>
      </w:r>
      <w:r>
        <w:rPr>
          <w:rFonts w:ascii="Times New Roman" w:eastAsia="Times New Roman" w:hAnsi="Times New Roman"/>
          <w:sz w:val="24"/>
          <w:szCs w:val="24"/>
        </w:rPr>
        <w:t xml:space="preserve">, 538 F. Supp.3d 800, U.S. District Court Judge William O. Bertelsmann, U.S. District Court for Southern District of Ohio (Western Division) granted the City’s motion for summary judgment. </w:t>
      </w:r>
      <w:r w:rsidRPr="009E0FDF">
        <w:rPr>
          <w:rFonts w:ascii="Times New Roman" w:hAnsi="Times New Roman"/>
          <w:sz w:val="24"/>
          <w:szCs w:val="24"/>
        </w:rPr>
        <w:t xml:space="preserve">Rice only challenges the </w:t>
      </w:r>
      <w:r>
        <w:rPr>
          <w:rFonts w:ascii="Times New Roman" w:hAnsi="Times New Roman"/>
          <w:sz w:val="24"/>
          <w:szCs w:val="24"/>
        </w:rPr>
        <w:t>felony-no-hire-</w:t>
      </w:r>
      <w:r w:rsidRPr="009E0FDF">
        <w:rPr>
          <w:rFonts w:ascii="Times New Roman" w:hAnsi="Times New Roman"/>
          <w:sz w:val="24"/>
          <w:szCs w:val="24"/>
        </w:rPr>
        <w:t>policy for the 2015 and 2018 application periods because that is when he passed all portions of the exam to qualify as a candidate and had his felony conviction. In 1999, Rice was not hired, even before his felony conviction. Rice also concedes that he did not pass all portions of the exam in 2012.</w:t>
      </w:r>
      <w:r>
        <w:rPr>
          <w:rFonts w:ascii="Times New Roman" w:hAnsi="Times New Roman"/>
          <w:sz w:val="24"/>
          <w:szCs w:val="24"/>
        </w:rPr>
        <w:t xml:space="preserve"> </w:t>
      </w:r>
      <w:r>
        <w:rPr>
          <w:rFonts w:ascii="Times New Roman" w:eastAsia="Times New Roman" w:hAnsi="Times New Roman"/>
          <w:sz w:val="24"/>
          <w:szCs w:val="24"/>
        </w:rPr>
        <w:t>The Court held that “</w:t>
      </w:r>
      <w:r w:rsidRPr="00FE1E86">
        <w:rPr>
          <w:rFonts w:ascii="Times New Roman" w:hAnsi="Times New Roman"/>
          <w:sz w:val="24"/>
          <w:szCs w:val="24"/>
        </w:rPr>
        <w:t>Rice cannot establish a prima facie case of disparate impact</w:t>
      </w:r>
      <w:r>
        <w:rPr>
          <w:rFonts w:ascii="Times New Roman" w:hAnsi="Times New Roman"/>
          <w:sz w:val="24"/>
          <w:szCs w:val="24"/>
        </w:rPr>
        <w:t xml:space="preserve">…. </w:t>
      </w:r>
      <w:r w:rsidRPr="00D52001">
        <w:rPr>
          <w:rFonts w:ascii="Times New Roman" w:hAnsi="Times New Roman"/>
          <w:sz w:val="24"/>
          <w:szCs w:val="24"/>
        </w:rPr>
        <w:t xml:space="preserve">In sum, Rice has not presented a statistical analysis regarding the racial impact of the City's felony </w:t>
      </w:r>
      <w:r w:rsidRPr="00D52001">
        <w:rPr>
          <w:rFonts w:ascii="Times New Roman" w:hAnsi="Times New Roman"/>
          <w:sz w:val="24"/>
          <w:szCs w:val="24"/>
        </w:rPr>
        <w:lastRenderedPageBreak/>
        <w:t>disqualification policy. The Court thus concludes that Rice has failed to establish a prima facie case of disparate impact discrimination.</w:t>
      </w:r>
      <w:r>
        <w:rPr>
          <w:rFonts w:ascii="Times New Roman" w:hAnsi="Times New Roman"/>
          <w:sz w:val="24"/>
          <w:szCs w:val="24"/>
        </w:rPr>
        <w:t xml:space="preserve">” </w:t>
      </w:r>
      <w:hyperlink r:id="rId1593" w:history="1">
        <w:r w:rsidRPr="006C608A">
          <w:rPr>
            <w:rStyle w:val="Hyperlink"/>
            <w:rFonts w:ascii="Times New Roman" w:hAnsi="Times New Roman"/>
            <w:sz w:val="24"/>
            <w:szCs w:val="24"/>
          </w:rPr>
          <w:t>https://casetext.com/case/rice-v-city-of-cincinnati</w:t>
        </w:r>
      </w:hyperlink>
      <w:r>
        <w:rPr>
          <w:rFonts w:ascii="Times New Roman" w:hAnsi="Times New Roman"/>
          <w:sz w:val="24"/>
          <w:szCs w:val="24"/>
        </w:rPr>
        <w:t xml:space="preserve"> </w:t>
      </w:r>
    </w:p>
    <w:p w14:paraId="068614ED" w14:textId="77777777" w:rsidR="0002742E" w:rsidRPr="00432417" w:rsidRDefault="0002742E" w:rsidP="0002742E">
      <w:pPr>
        <w:spacing w:before="100" w:beforeAutospacing="1" w:after="100" w:afterAutospacing="1" w:line="240" w:lineRule="auto"/>
        <w:rPr>
          <w:rFonts w:ascii="Times New Roman" w:hAnsi="Times New Roman"/>
          <w:b/>
          <w:bCs/>
          <w:sz w:val="24"/>
          <w:szCs w:val="24"/>
        </w:rPr>
      </w:pPr>
      <w:r w:rsidRPr="00432417">
        <w:rPr>
          <w:rFonts w:ascii="Times New Roman" w:hAnsi="Times New Roman"/>
          <w:b/>
          <w:bCs/>
          <w:sz w:val="24"/>
          <w:szCs w:val="24"/>
        </w:rPr>
        <w:t xml:space="preserve">Legal Lesson Learned: Plaintiff failed to hire an expert to prove disparate impact. </w:t>
      </w:r>
    </w:p>
    <w:p w14:paraId="60DD792D" w14:textId="77777777" w:rsidR="0002742E" w:rsidRPr="009E0FDF" w:rsidRDefault="0002742E" w:rsidP="0002742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Note: </w:t>
      </w:r>
      <w:r w:rsidRPr="009E0FDF">
        <w:rPr>
          <w:rFonts w:ascii="Times New Roman" w:hAnsi="Times New Roman"/>
          <w:sz w:val="24"/>
          <w:szCs w:val="24"/>
        </w:rPr>
        <w:t>ORC § 737.081 was promulgated in 2003. ORC § 737.081(C)(1)(a) provides that a person with a felony is not permitted to be appointed as a permanent, full-time freighter or volunteer firefighter</w:t>
      </w:r>
      <w:r>
        <w:rPr>
          <w:rFonts w:ascii="Times New Roman" w:hAnsi="Times New Roman"/>
          <w:sz w:val="24"/>
          <w:szCs w:val="24"/>
        </w:rPr>
        <w:t xml:space="preserve">…. </w:t>
      </w:r>
      <w:r w:rsidRPr="009E0FDF">
        <w:rPr>
          <w:rFonts w:ascii="Times New Roman" w:hAnsi="Times New Roman"/>
          <w:sz w:val="24"/>
          <w:szCs w:val="24"/>
        </w:rPr>
        <w:t xml:space="preserve">However, ORC § 737.081(C)(2) provides that </w:t>
      </w:r>
      <w:r>
        <w:rPr>
          <w:rFonts w:ascii="Times New Roman" w:hAnsi="Times New Roman"/>
          <w:sz w:val="24"/>
          <w:szCs w:val="24"/>
        </w:rPr>
        <w:t>‘</w:t>
      </w:r>
      <w:r w:rsidRPr="009E0FDF">
        <w:rPr>
          <w:rFonts w:ascii="Times New Roman" w:hAnsi="Times New Roman"/>
          <w:sz w:val="24"/>
          <w:szCs w:val="24"/>
        </w:rPr>
        <w:t>an appointing authority may appoint or employ a person as a permanent, full-time paid firefighter or a volunteer firefighter if</w:t>
      </w:r>
      <w:r>
        <w:rPr>
          <w:rFonts w:ascii="Times New Roman" w:hAnsi="Times New Roman"/>
          <w:sz w:val="24"/>
          <w:szCs w:val="24"/>
        </w:rPr>
        <w:t>’</w:t>
      </w:r>
      <w:r w:rsidRPr="009E0FDF">
        <w:rPr>
          <w:rFonts w:ascii="Times New Roman" w:hAnsi="Times New Roman"/>
          <w:sz w:val="24"/>
          <w:szCs w:val="24"/>
        </w:rPr>
        <w:t xml:space="preserve"> (1) the fire chief requests a criminal record check; (2) the records show the candidate is guilty of an offense in (C)(1); and (3) the person meets the rehabilitation standards in ORC § 737.081(E).</w:t>
      </w:r>
    </w:p>
    <w:p w14:paraId="32B0DBFF" w14:textId="77777777" w:rsidR="0002742E" w:rsidRDefault="0002742E" w:rsidP="00BC70A3">
      <w:pPr>
        <w:rPr>
          <w:rFonts w:ascii="Arial Black" w:hAnsi="Arial Black"/>
          <w:b/>
          <w:sz w:val="24"/>
          <w:szCs w:val="24"/>
        </w:rPr>
      </w:pPr>
    </w:p>
    <w:p w14:paraId="0CD6547F" w14:textId="1E30015C" w:rsidR="00E3473F" w:rsidRDefault="00E3473F" w:rsidP="00BC70A3">
      <w:pPr>
        <w:rPr>
          <w:rFonts w:ascii="Arial Black" w:hAnsi="Arial Black"/>
          <w:b/>
          <w:sz w:val="24"/>
          <w:szCs w:val="24"/>
        </w:rPr>
      </w:pPr>
      <w:r>
        <w:rPr>
          <w:rFonts w:ascii="Arial Black" w:hAnsi="Arial Black"/>
          <w:b/>
          <w:sz w:val="24"/>
          <w:szCs w:val="24"/>
        </w:rPr>
        <w:t>8-37</w:t>
      </w:r>
    </w:p>
    <w:p w14:paraId="6C4317B7" w14:textId="77777777" w:rsidR="00E3473F" w:rsidRPr="00A07E45" w:rsidRDefault="00E3473F" w:rsidP="00E3473F">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CA: AFRICAN AMERICAN FF FIRED - MEDICAL INFO IN HIS PERSONNEL FILE ON PUBLIC LINK - LAWSUIT PROCEED </w:t>
      </w:r>
    </w:p>
    <w:p w14:paraId="64F1B313" w14:textId="77777777" w:rsidR="00E3473F" w:rsidRDefault="00E3473F" w:rsidP="00E3473F">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March 17, 2022, in </w:t>
      </w:r>
      <w:r w:rsidRPr="00A07E45">
        <w:rPr>
          <w:rFonts w:ascii="Times New Roman" w:eastAsia="Times New Roman" w:hAnsi="Times New Roman"/>
          <w:sz w:val="24"/>
          <w:szCs w:val="24"/>
          <w:u w:val="single"/>
        </w:rPr>
        <w:t>Vernon Franklin v. City of Kingsburg, et al</w:t>
      </w:r>
      <w:r>
        <w:rPr>
          <w:rFonts w:ascii="Times New Roman" w:eastAsia="Times New Roman" w:hAnsi="Times New Roman"/>
          <w:sz w:val="24"/>
          <w:szCs w:val="24"/>
        </w:rPr>
        <w:t xml:space="preserve">., U.S. District Court Judge Anthony W. Ishii, U.S. District Court for Eastern District of California, in a lawsuit a firefighter / medic alleging his was fired because of his race (African American), denied in part defense motion for summary judgment, holding that his claim of “invasion of privacy” will not be dismissed, since disclosure of the firefighter’s psychiatric and other medical records in his personnel file alleges a viable cause of action under CA law.  His claim of “retaliation” will also not be dismissed. </w:t>
      </w:r>
      <w:hyperlink r:id="rId1594" w:history="1">
        <w:r w:rsidRPr="008956D3">
          <w:rPr>
            <w:rStyle w:val="Hyperlink"/>
            <w:rFonts w:ascii="Times New Roman" w:eastAsia="Times New Roman" w:hAnsi="Times New Roman"/>
            <w:sz w:val="24"/>
            <w:szCs w:val="24"/>
          </w:rPr>
          <w:t>https://law.justia.com/cases/federal/district-courts/california/caedce/1:2018cv00824/337796/49/</w:t>
        </w:r>
      </w:hyperlink>
      <w:r>
        <w:rPr>
          <w:rFonts w:ascii="Times New Roman" w:eastAsia="Times New Roman" w:hAnsi="Times New Roman"/>
          <w:sz w:val="24"/>
          <w:szCs w:val="24"/>
        </w:rPr>
        <w:t xml:space="preserve"> </w:t>
      </w:r>
      <w:r w:rsidRPr="00A07E45">
        <w:rPr>
          <w:rFonts w:ascii="Times New Roman" w:eastAsia="Times New Roman" w:hAnsi="Times New Roman"/>
          <w:sz w:val="24"/>
          <w:szCs w:val="24"/>
        </w:rPr>
        <w:t>       </w:t>
      </w:r>
    </w:p>
    <w:p w14:paraId="276FD9D0" w14:textId="77777777" w:rsidR="00E3473F" w:rsidRPr="00A07E45" w:rsidRDefault="00E3473F" w:rsidP="00E3473F">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A07E45">
        <w:rPr>
          <w:rFonts w:ascii="Times New Roman" w:eastAsia="Times New Roman" w:hAnsi="Times New Roman"/>
          <w:sz w:val="24"/>
          <w:szCs w:val="24"/>
        </w:rPr>
        <w:t xml:space="preserve">Additionally, Franklin argues that release of his medical information is a violation of the California Confidentiality of Medical Information Act. Doc. 45, 18:14-21. That law states in relevant part: </w:t>
      </w:r>
    </w:p>
    <w:p w14:paraId="0903C859" w14:textId="77777777" w:rsidR="00E3473F" w:rsidRPr="00A07E45" w:rsidRDefault="00E3473F" w:rsidP="00E3473F">
      <w:pPr>
        <w:spacing w:after="100" w:line="240" w:lineRule="auto"/>
        <w:ind w:left="1440"/>
        <w:rPr>
          <w:rFonts w:ascii="Times New Roman" w:eastAsia="Times New Roman" w:hAnsi="Times New Roman"/>
          <w:sz w:val="24"/>
          <w:szCs w:val="24"/>
        </w:rPr>
      </w:pPr>
      <w:r w:rsidRPr="00A07E45">
        <w:rPr>
          <w:rFonts w:ascii="Times New Roman" w:eastAsia="Times New Roman" w:hAnsi="Times New Roman"/>
          <w:sz w:val="24"/>
          <w:szCs w:val="24"/>
        </w:rPr>
        <w:t xml:space="preserve">No employer shall use, disclose, or knowingly permit its employees or agents to use or disclose medical information which the employer possesses pertaining to its employees without the patient </w:t>
      </w:r>
      <w:proofErr w:type="gramStart"/>
      <w:r w:rsidRPr="00A07E45">
        <w:rPr>
          <w:rFonts w:ascii="Times New Roman" w:eastAsia="Times New Roman" w:hAnsi="Times New Roman"/>
          <w:sz w:val="24"/>
          <w:szCs w:val="24"/>
        </w:rPr>
        <w:t>having first</w:t>
      </w:r>
      <w:proofErr w:type="gramEnd"/>
      <w:r w:rsidRPr="00A07E45">
        <w:rPr>
          <w:rFonts w:ascii="Times New Roman" w:eastAsia="Times New Roman" w:hAnsi="Times New Roman"/>
          <w:sz w:val="24"/>
          <w:szCs w:val="24"/>
        </w:rPr>
        <w:t xml:space="preserve"> signed an authorization under Section 56.11 or Section 56.21 permitting such use or disclosure, except as follows: </w:t>
      </w:r>
    </w:p>
    <w:p w14:paraId="7129B241" w14:textId="77777777" w:rsidR="00E3473F" w:rsidRPr="00A07E45" w:rsidRDefault="00E3473F" w:rsidP="00E3473F">
      <w:pPr>
        <w:spacing w:after="100" w:line="240" w:lineRule="auto"/>
        <w:ind w:left="1440"/>
        <w:rPr>
          <w:rFonts w:ascii="Times New Roman" w:eastAsia="Times New Roman" w:hAnsi="Times New Roman"/>
          <w:sz w:val="24"/>
          <w:szCs w:val="24"/>
        </w:rPr>
      </w:pPr>
      <w:r w:rsidRPr="00A07E45">
        <w:rPr>
          <w:rFonts w:ascii="Times New Roman" w:eastAsia="Times New Roman" w:hAnsi="Times New Roman"/>
          <w:sz w:val="24"/>
          <w:szCs w:val="24"/>
        </w:rPr>
        <w:t xml:space="preserve">(1) The information may be disclosed if the disclosure is compelled by judicial or administrative process or by any other specific provision of law. </w:t>
      </w:r>
    </w:p>
    <w:p w14:paraId="67A86318" w14:textId="77777777" w:rsidR="00E3473F" w:rsidRPr="00A07E45" w:rsidRDefault="00E3473F" w:rsidP="00E3473F">
      <w:pPr>
        <w:spacing w:after="100" w:line="240" w:lineRule="auto"/>
        <w:ind w:left="1440"/>
        <w:rPr>
          <w:rFonts w:ascii="Times New Roman" w:eastAsia="Times New Roman" w:hAnsi="Times New Roman"/>
          <w:sz w:val="24"/>
          <w:szCs w:val="24"/>
        </w:rPr>
      </w:pPr>
      <w:r w:rsidRPr="00A07E45">
        <w:rPr>
          <w:rFonts w:ascii="Times New Roman" w:eastAsia="Times New Roman" w:hAnsi="Times New Roman"/>
          <w:sz w:val="24"/>
          <w:szCs w:val="24"/>
        </w:rPr>
        <w:t xml:space="preserve">(2) That part of the information which is relevant in a lawsuit, arbitration, grievance, or other claim or challenge to which the employer and employee are parties and in which the patient has placed in issue his or her medical history, mental or physical condition, or treatment may be used or disclosed in connection with that proceeding. </w:t>
      </w:r>
    </w:p>
    <w:p w14:paraId="41EE76BF" w14:textId="77777777" w:rsidR="00E3473F" w:rsidRDefault="00E3473F" w:rsidP="00E3473F">
      <w:pPr>
        <w:spacing w:before="100" w:beforeAutospacing="1" w:after="100" w:afterAutospacing="1" w:line="240" w:lineRule="auto"/>
        <w:ind w:left="720"/>
        <w:rPr>
          <w:rFonts w:ascii="Times New Roman" w:eastAsia="Times New Roman" w:hAnsi="Times New Roman"/>
          <w:sz w:val="24"/>
          <w:szCs w:val="24"/>
        </w:rPr>
      </w:pPr>
      <w:r w:rsidRPr="00A07E45">
        <w:rPr>
          <w:rFonts w:ascii="Times New Roman" w:eastAsia="Times New Roman" w:hAnsi="Times New Roman"/>
          <w:sz w:val="24"/>
          <w:szCs w:val="24"/>
        </w:rPr>
        <w:t xml:space="preserve">Cal. Civ. Code § 56.20(c). Monetary damages are available for violations of Section 56.20. Cal. Civ. Code § 56.35. This law also appears to apply to public entities. See </w:t>
      </w:r>
      <w:r w:rsidRPr="00A07E45">
        <w:rPr>
          <w:rFonts w:ascii="Times New Roman" w:eastAsia="Times New Roman" w:hAnsi="Times New Roman"/>
          <w:i/>
          <w:iCs/>
          <w:sz w:val="24"/>
          <w:szCs w:val="24"/>
        </w:rPr>
        <w:t>Loder v. City of Glendale</w:t>
      </w:r>
      <w:r w:rsidRPr="00A07E45">
        <w:rPr>
          <w:rFonts w:ascii="Times New Roman" w:eastAsia="Times New Roman" w:hAnsi="Times New Roman"/>
          <w:sz w:val="24"/>
          <w:szCs w:val="24"/>
        </w:rPr>
        <w:t>, 14 Cal.4th 846, 859-62 (Cal. 1997) (analyzed the claim without directly addressing whether suit could be brought against public entity City of Glendale).</w:t>
      </w:r>
      <w:r>
        <w:rPr>
          <w:rFonts w:ascii="Times New Roman" w:eastAsia="Times New Roman" w:hAnsi="Times New Roman"/>
          <w:sz w:val="24"/>
          <w:szCs w:val="24"/>
        </w:rPr>
        <w:t xml:space="preserve">” </w:t>
      </w:r>
      <w:hyperlink r:id="rId1595" w:history="1">
        <w:r w:rsidRPr="008956D3">
          <w:rPr>
            <w:rStyle w:val="Hyperlink"/>
            <w:rFonts w:ascii="Times New Roman" w:eastAsia="Times New Roman" w:hAnsi="Times New Roman"/>
            <w:sz w:val="24"/>
            <w:szCs w:val="24"/>
          </w:rPr>
          <w:t>https://law.justia.com/cases/federal/district-courts/california/caedce/1:2018cv00824/337796/49/</w:t>
        </w:r>
      </w:hyperlink>
      <w:r>
        <w:rPr>
          <w:rFonts w:ascii="Times New Roman" w:eastAsia="Times New Roman" w:hAnsi="Times New Roman"/>
          <w:sz w:val="24"/>
          <w:szCs w:val="24"/>
        </w:rPr>
        <w:t xml:space="preserve"> </w:t>
      </w:r>
      <w:r w:rsidRPr="00A07E45">
        <w:rPr>
          <w:rFonts w:ascii="Times New Roman" w:eastAsia="Times New Roman" w:hAnsi="Times New Roman"/>
          <w:sz w:val="24"/>
          <w:szCs w:val="24"/>
        </w:rPr>
        <w:t>       </w:t>
      </w:r>
    </w:p>
    <w:p w14:paraId="2C6925B2" w14:textId="77777777" w:rsidR="00E3473F" w:rsidRPr="000D5242" w:rsidRDefault="00E3473F" w:rsidP="00E3473F">
      <w:pPr>
        <w:spacing w:before="100" w:beforeAutospacing="1" w:after="100" w:afterAutospacing="1" w:line="240" w:lineRule="auto"/>
        <w:rPr>
          <w:rFonts w:ascii="Times New Roman" w:eastAsia="Times New Roman" w:hAnsi="Times New Roman"/>
          <w:b/>
          <w:bCs/>
          <w:sz w:val="24"/>
          <w:szCs w:val="24"/>
        </w:rPr>
      </w:pPr>
      <w:r w:rsidRPr="000D5242">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 While in many states a firefighter’s personnel records are “public records,” personnel files should not include confidential medical documents. </w:t>
      </w:r>
    </w:p>
    <w:p w14:paraId="14E33A5F" w14:textId="77777777" w:rsidR="00E3473F" w:rsidRDefault="00E3473F" w:rsidP="00BC70A3">
      <w:pPr>
        <w:rPr>
          <w:rFonts w:ascii="Arial Black" w:hAnsi="Arial Black"/>
          <w:b/>
          <w:sz w:val="24"/>
          <w:szCs w:val="24"/>
        </w:rPr>
      </w:pPr>
    </w:p>
    <w:p w14:paraId="28A7D0FA" w14:textId="77777777" w:rsidR="00E3473F" w:rsidRDefault="00E3473F" w:rsidP="00BC70A3">
      <w:pPr>
        <w:rPr>
          <w:rFonts w:ascii="Arial Black" w:hAnsi="Arial Black"/>
          <w:b/>
          <w:sz w:val="24"/>
          <w:szCs w:val="24"/>
        </w:rPr>
      </w:pPr>
    </w:p>
    <w:p w14:paraId="04D168CE" w14:textId="157445D6" w:rsidR="005644A4" w:rsidRDefault="005644A4" w:rsidP="00BC70A3">
      <w:pPr>
        <w:rPr>
          <w:rFonts w:ascii="Arial Black" w:hAnsi="Arial Black"/>
          <w:b/>
          <w:sz w:val="24"/>
          <w:szCs w:val="24"/>
        </w:rPr>
      </w:pPr>
      <w:r>
        <w:rPr>
          <w:rFonts w:ascii="Arial Black" w:hAnsi="Arial Black"/>
          <w:b/>
          <w:sz w:val="24"/>
          <w:szCs w:val="24"/>
        </w:rPr>
        <w:t>8-3</w:t>
      </w:r>
      <w:r w:rsidR="009A3D9F">
        <w:rPr>
          <w:rFonts w:ascii="Arial Black" w:hAnsi="Arial Black"/>
          <w:b/>
          <w:sz w:val="24"/>
          <w:szCs w:val="24"/>
        </w:rPr>
        <w:t>6</w:t>
      </w:r>
    </w:p>
    <w:p w14:paraId="3303CF62" w14:textId="77777777" w:rsidR="005644A4" w:rsidRDefault="005644A4" w:rsidP="005644A4">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KY: REVERSE DISCRIM. NOT PROVED - WHITE POLICE MAJOR DEMOTED LT. – USED “N” WORD IN RECRUIT CLASS</w:t>
      </w:r>
    </w:p>
    <w:p w14:paraId="3437A6B6" w14:textId="77777777" w:rsidR="005644A4" w:rsidRPr="0037054D" w:rsidRDefault="005644A4" w:rsidP="005644A4">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29, 2021, in </w:t>
      </w:r>
      <w:r w:rsidRPr="0037054D">
        <w:rPr>
          <w:rFonts w:ascii="Times New Roman" w:eastAsia="Times New Roman" w:hAnsi="Times New Roman"/>
          <w:sz w:val="24"/>
          <w:szCs w:val="24"/>
          <w:u w:val="single"/>
        </w:rPr>
        <w:t>Aubrey E. Gregory, Jr. v. Louisville / Jefferson County Metro Government</w:t>
      </w:r>
      <w:r>
        <w:rPr>
          <w:rFonts w:ascii="Times New Roman" w:eastAsia="Times New Roman" w:hAnsi="Times New Roman"/>
          <w:sz w:val="24"/>
          <w:szCs w:val="24"/>
        </w:rPr>
        <w:t xml:space="preserve">, U.S. District Court Judge Claria Horn Boom granted the City’s motion to dismiss; Major Gregory (Caucasia) was Director of the Training Academy for the Louisville Metro Police Department, and during a classroom discussion on cultural diversity with Recruit Class 48 on May 20, 2021, he and African-American retired firefighter, and black man from Africa, discussed use of the “N” word.  The next day, Police </w:t>
      </w:r>
      <w:r w:rsidRPr="00B52A46">
        <w:rPr>
          <w:rFonts w:ascii="Times New Roman" w:eastAsia="Times New Roman" w:hAnsi="Times New Roman"/>
          <w:sz w:val="24"/>
          <w:szCs w:val="24"/>
        </w:rPr>
        <w:t>Chief</w:t>
      </w:r>
      <w:r w:rsidRPr="00B52A46">
        <w:rPr>
          <w:rFonts w:ascii="Times New Roman" w:hAnsi="Times New Roman"/>
          <w:sz w:val="24"/>
          <w:szCs w:val="24"/>
        </w:rPr>
        <w:t xml:space="preserve"> Erika </w:t>
      </w:r>
      <w:proofErr w:type="gramStart"/>
      <w:r w:rsidRPr="00B52A46">
        <w:rPr>
          <w:rFonts w:ascii="Times New Roman" w:hAnsi="Times New Roman"/>
          <w:sz w:val="24"/>
          <w:szCs w:val="24"/>
        </w:rPr>
        <w:t>Shields,</w:t>
      </w:r>
      <w:proofErr w:type="gramEnd"/>
      <w:r>
        <w:rPr>
          <w:rFonts w:ascii="Times New Roman" w:hAnsi="Times New Roman"/>
          <w:sz w:val="24"/>
          <w:szCs w:val="24"/>
        </w:rPr>
        <w:t xml:space="preserve"> called him and suspended him. </w:t>
      </w:r>
      <w:r>
        <w:rPr>
          <w:rFonts w:ascii="Times New Roman" w:eastAsia="Times New Roman" w:hAnsi="Times New Roman"/>
          <w:sz w:val="24"/>
          <w:szCs w:val="24"/>
        </w:rPr>
        <w:t xml:space="preserve">On June 4, after </w:t>
      </w:r>
      <w:proofErr w:type="gramStart"/>
      <w:r>
        <w:rPr>
          <w:rFonts w:ascii="Times New Roman" w:eastAsia="Times New Roman" w:hAnsi="Times New Roman"/>
          <w:sz w:val="24"/>
          <w:szCs w:val="24"/>
        </w:rPr>
        <w:t>interview</w:t>
      </w:r>
      <w:proofErr w:type="gramEnd"/>
      <w:r>
        <w:rPr>
          <w:rFonts w:ascii="Times New Roman" w:eastAsia="Times New Roman" w:hAnsi="Times New Roman"/>
          <w:sz w:val="24"/>
          <w:szCs w:val="24"/>
        </w:rPr>
        <w:t xml:space="preserve"> with County HR and another with Police Chief, he was demoted to Lieutenant (and retired Aug. 1, 2021).  The Judge held that plaintiff “</w:t>
      </w:r>
      <w:r w:rsidRPr="0037054D">
        <w:rPr>
          <w:rFonts w:ascii="Times New Roman" w:hAnsi="Times New Roman"/>
          <w:sz w:val="24"/>
          <w:szCs w:val="24"/>
        </w:rPr>
        <w:t xml:space="preserve">utterly fails to allege any facts that even hint at Defendants being </w:t>
      </w:r>
      <w:r>
        <w:rPr>
          <w:rFonts w:ascii="Times New Roman" w:hAnsi="Times New Roman"/>
          <w:sz w:val="24"/>
          <w:szCs w:val="24"/>
        </w:rPr>
        <w:t>‘</w:t>
      </w:r>
      <w:r w:rsidRPr="0037054D">
        <w:rPr>
          <w:rFonts w:ascii="Times New Roman" w:hAnsi="Times New Roman"/>
          <w:sz w:val="24"/>
          <w:szCs w:val="24"/>
        </w:rPr>
        <w:t>that unusual employer who discriminates against the majority</w:t>
      </w:r>
      <w:r>
        <w:rPr>
          <w:rFonts w:ascii="Times New Roman" w:hAnsi="Times New Roman"/>
          <w:sz w:val="24"/>
          <w:szCs w:val="24"/>
        </w:rPr>
        <w:t>.’”</w:t>
      </w:r>
    </w:p>
    <w:p w14:paraId="4BA6D258" w14:textId="5603723A" w:rsidR="005644A4" w:rsidRDefault="005644A4" w:rsidP="005644A4">
      <w:pPr>
        <w:ind w:left="720"/>
        <w:rPr>
          <w:rFonts w:ascii="Arial Black" w:hAnsi="Arial Black"/>
          <w:b/>
          <w:sz w:val="24"/>
          <w:szCs w:val="24"/>
        </w:rPr>
      </w:pPr>
      <w:r>
        <w:rPr>
          <w:rFonts w:ascii="Times New Roman" w:hAnsi="Times New Roman"/>
          <w:sz w:val="24"/>
          <w:szCs w:val="24"/>
        </w:rPr>
        <w:t>“</w:t>
      </w:r>
      <w:r w:rsidRPr="0037054D">
        <w:rPr>
          <w:rFonts w:ascii="Times New Roman" w:hAnsi="Times New Roman"/>
          <w:sz w:val="24"/>
          <w:szCs w:val="24"/>
        </w:rPr>
        <w:t>The only two individuals mentioned in the Complaint are the two African American men also involved in the May 19, 2021, incident. While Gregory alleges he and the two African American individuals engaged in the same conduct (i.e., used the same racial epithet in a LMPD classroom setting), he wholly fails to allege how these individuals are similarly situated in any other relevant respect. The Complaint contains no factual allegations that both Gregory and the African American individuals dealt with the same supervisor, were subject to the same standards, or had similar job responsibilities.</w:t>
      </w:r>
      <w:r>
        <w:rPr>
          <w:rFonts w:ascii="Times New Roman" w:hAnsi="Times New Roman"/>
          <w:sz w:val="24"/>
          <w:szCs w:val="24"/>
        </w:rPr>
        <w:t xml:space="preserve">” </w:t>
      </w:r>
      <w:hyperlink r:id="rId1596" w:history="1">
        <w:r w:rsidRPr="00EC5853">
          <w:rPr>
            <w:rStyle w:val="Hyperlink"/>
            <w:rFonts w:ascii="Times New Roman" w:hAnsi="Times New Roman"/>
            <w:sz w:val="24"/>
            <w:szCs w:val="24"/>
          </w:rPr>
          <w:t>https://public.fastcase.com/9SKwsfNqTc6OieYDhNMyM%2FTSgbZsxamnZMkEnGgxxe%2FrqLPFRApIhr2w3nhFxBI%2F%2BQAM0CcvCjVB30L3LI5a7qA0dv8E2KAwnqlsNAe5EaM%3D</w:t>
        </w:r>
      </w:hyperlink>
    </w:p>
    <w:p w14:paraId="1393927E" w14:textId="77777777" w:rsidR="005644A4" w:rsidRPr="00521C71" w:rsidRDefault="005644A4" w:rsidP="005644A4">
      <w:pPr>
        <w:spacing w:before="100" w:beforeAutospacing="1" w:after="100" w:afterAutospacing="1" w:line="240" w:lineRule="auto"/>
        <w:rPr>
          <w:rFonts w:ascii="Times New Roman" w:eastAsia="Times New Roman" w:hAnsi="Times New Roman"/>
          <w:b/>
          <w:bCs/>
          <w:sz w:val="24"/>
          <w:szCs w:val="24"/>
        </w:rPr>
      </w:pPr>
      <w:r w:rsidRPr="00521C71">
        <w:rPr>
          <w:rFonts w:ascii="Times New Roman" w:hAnsi="Times New Roman"/>
          <w:b/>
          <w:bCs/>
          <w:sz w:val="24"/>
          <w:szCs w:val="24"/>
        </w:rPr>
        <w:t>Legal Lesson Learned:</w:t>
      </w:r>
      <w:r>
        <w:rPr>
          <w:rFonts w:ascii="Times New Roman" w:hAnsi="Times New Roman"/>
          <w:b/>
          <w:bCs/>
          <w:sz w:val="24"/>
          <w:szCs w:val="24"/>
        </w:rPr>
        <w:t xml:space="preserve"> Even when conducting cultural sensitivity training, avoid the use of the “N word” and other highly sensitive terms. </w:t>
      </w:r>
    </w:p>
    <w:p w14:paraId="6DFC0783" w14:textId="77777777" w:rsidR="005644A4" w:rsidRDefault="005644A4" w:rsidP="00BC70A3">
      <w:pPr>
        <w:rPr>
          <w:rFonts w:ascii="Arial Black" w:hAnsi="Arial Black"/>
          <w:b/>
          <w:sz w:val="24"/>
          <w:szCs w:val="24"/>
        </w:rPr>
      </w:pPr>
    </w:p>
    <w:p w14:paraId="3C72FCB0" w14:textId="16A203DA" w:rsidR="00C67B2A" w:rsidRDefault="00C67B2A" w:rsidP="00BC70A3">
      <w:pPr>
        <w:rPr>
          <w:rFonts w:ascii="Arial Black" w:hAnsi="Arial Black"/>
          <w:b/>
          <w:sz w:val="24"/>
          <w:szCs w:val="24"/>
        </w:rPr>
      </w:pPr>
      <w:r>
        <w:rPr>
          <w:rFonts w:ascii="Arial Black" w:hAnsi="Arial Black"/>
          <w:b/>
          <w:sz w:val="24"/>
          <w:szCs w:val="24"/>
        </w:rPr>
        <w:t>8-3</w:t>
      </w:r>
      <w:r w:rsidR="009A3D9F">
        <w:rPr>
          <w:rFonts w:ascii="Arial Black" w:hAnsi="Arial Black"/>
          <w:b/>
          <w:sz w:val="24"/>
          <w:szCs w:val="24"/>
        </w:rPr>
        <w:t>5</w:t>
      </w:r>
    </w:p>
    <w:p w14:paraId="594B487B" w14:textId="77777777" w:rsidR="00C67B2A" w:rsidRPr="000F4113" w:rsidRDefault="00C67B2A" w:rsidP="00C67B2A">
      <w:pPr>
        <w:pStyle w:val="Heading1"/>
        <w:rPr>
          <w:rFonts w:ascii="Arial Black" w:hAnsi="Arial Black"/>
          <w:b w:val="0"/>
          <w:bCs w:val="0"/>
          <w:sz w:val="28"/>
          <w:szCs w:val="28"/>
        </w:rPr>
      </w:pPr>
      <w:r>
        <w:rPr>
          <w:rFonts w:ascii="Arial Black" w:hAnsi="Arial Black"/>
          <w:b w:val="0"/>
          <w:bCs w:val="0"/>
          <w:sz w:val="28"/>
          <w:szCs w:val="28"/>
        </w:rPr>
        <w:t>NY: FDNY - HISPANIC “PRIORITY HIRE” – INJURED AT ACADEMY, 2 LIGHT DUTIES – FIRED FOR MEDICAL REASONS</w:t>
      </w:r>
    </w:p>
    <w:p w14:paraId="38288F65" w14:textId="77777777" w:rsidR="00C67B2A" w:rsidRDefault="00C67B2A" w:rsidP="00C67B2A">
      <w:pPr>
        <w:pStyle w:val="Heading1"/>
        <w:rPr>
          <w:b w:val="0"/>
          <w:bCs w:val="0"/>
          <w:sz w:val="24"/>
          <w:szCs w:val="24"/>
        </w:rPr>
      </w:pPr>
      <w:r>
        <w:rPr>
          <w:b w:val="0"/>
          <w:bCs w:val="0"/>
          <w:sz w:val="24"/>
          <w:szCs w:val="24"/>
        </w:rPr>
        <w:t xml:space="preserve">On Oct. 20, 2021, in </w:t>
      </w:r>
      <w:r w:rsidRPr="000F4113">
        <w:rPr>
          <w:b w:val="0"/>
          <w:bCs w:val="0"/>
          <w:sz w:val="24"/>
          <w:szCs w:val="24"/>
          <w:u w:val="single"/>
        </w:rPr>
        <w:t>Xavier Lopez v. City of New York</w:t>
      </w:r>
      <w:r>
        <w:rPr>
          <w:b w:val="0"/>
          <w:bCs w:val="0"/>
          <w:sz w:val="24"/>
          <w:szCs w:val="24"/>
        </w:rPr>
        <w:t xml:space="preserve">, U.S. District Judge Nina Gershon granted the City’s motion for summary judgment.  Plaintiff was a “priority hire” on Jan. 27, </w:t>
      </w:r>
      <w:proofErr w:type="gramStart"/>
      <w:r>
        <w:rPr>
          <w:b w:val="0"/>
          <w:bCs w:val="0"/>
          <w:sz w:val="24"/>
          <w:szCs w:val="24"/>
        </w:rPr>
        <w:t>2014</w:t>
      </w:r>
      <w:proofErr w:type="gramEnd"/>
      <w:r>
        <w:rPr>
          <w:b w:val="0"/>
          <w:bCs w:val="0"/>
          <w:sz w:val="24"/>
          <w:szCs w:val="24"/>
        </w:rPr>
        <w:t xml:space="preserve"> as part of the Vulcan Society [</w:t>
      </w:r>
      <w:proofErr w:type="gramStart"/>
      <w:r>
        <w:rPr>
          <w:b w:val="0"/>
          <w:bCs w:val="0"/>
          <w:sz w:val="24"/>
          <w:szCs w:val="24"/>
        </w:rPr>
        <w:t>African-American</w:t>
      </w:r>
      <w:proofErr w:type="gramEnd"/>
      <w:r>
        <w:rPr>
          <w:b w:val="0"/>
          <w:bCs w:val="0"/>
          <w:sz w:val="24"/>
          <w:szCs w:val="24"/>
        </w:rPr>
        <w:t xml:space="preserve"> firefighters] settlement; during his second week, he injured his ankle while jogging; after light duty, he returned to Fire Academy on July 7, 2014, and in August injured his left knee.  He returned to Academy on Aug. 28, 2014, and then re-injured his left knee and toe and was again placed on light duty.  He was terminated on Jan. 14, </w:t>
      </w:r>
      <w:proofErr w:type="gramStart"/>
      <w:r>
        <w:rPr>
          <w:b w:val="0"/>
          <w:bCs w:val="0"/>
          <w:sz w:val="24"/>
          <w:szCs w:val="24"/>
        </w:rPr>
        <w:t>2015</w:t>
      </w:r>
      <w:proofErr w:type="gramEnd"/>
      <w:r>
        <w:rPr>
          <w:b w:val="0"/>
          <w:bCs w:val="0"/>
          <w:sz w:val="24"/>
          <w:szCs w:val="24"/>
        </w:rPr>
        <w:t xml:space="preserve"> after numerous medical reviews.</w:t>
      </w:r>
    </w:p>
    <w:p w14:paraId="0711E113" w14:textId="77777777" w:rsidR="00C67B2A" w:rsidRDefault="00C67B2A" w:rsidP="00C67B2A">
      <w:pPr>
        <w:pStyle w:val="Heading1"/>
        <w:ind w:left="720"/>
        <w:rPr>
          <w:b w:val="0"/>
          <w:bCs w:val="0"/>
          <w:sz w:val="24"/>
          <w:szCs w:val="24"/>
        </w:rPr>
      </w:pPr>
      <w:r>
        <w:rPr>
          <w:b w:val="0"/>
          <w:bCs w:val="0"/>
          <w:sz w:val="24"/>
          <w:szCs w:val="24"/>
        </w:rPr>
        <w:t>“</w:t>
      </w:r>
      <w:r w:rsidRPr="00DA27A9">
        <w:rPr>
          <w:b w:val="0"/>
          <w:bCs w:val="0"/>
          <w:sz w:val="24"/>
          <w:szCs w:val="24"/>
        </w:rPr>
        <w:t xml:space="preserve">Defendant's position is that plaintiff was terminated based on his inability to return to a third firefighter academy </w:t>
      </w:r>
      <w:proofErr w:type="gramStart"/>
      <w:r w:rsidRPr="00DA27A9">
        <w:rPr>
          <w:b w:val="0"/>
          <w:bCs w:val="0"/>
          <w:sz w:val="24"/>
          <w:szCs w:val="24"/>
        </w:rPr>
        <w:t>as a result of</w:t>
      </w:r>
      <w:proofErr w:type="gramEnd"/>
      <w:r w:rsidRPr="00DA27A9">
        <w:rPr>
          <w:b w:val="0"/>
          <w:bCs w:val="0"/>
          <w:sz w:val="24"/>
          <w:szCs w:val="24"/>
        </w:rPr>
        <w:t xml:space="preserve"> his subjective complaints of pain, which were unsupported by medical evidence. Specifically, according to Dr. Kelly, plaintiff was</w:t>
      </w:r>
      <w:r>
        <w:rPr>
          <w:b w:val="0"/>
          <w:bCs w:val="0"/>
          <w:sz w:val="24"/>
          <w:szCs w:val="24"/>
        </w:rPr>
        <w:t xml:space="preserve"> </w:t>
      </w:r>
      <w:r w:rsidRPr="00DA27A9">
        <w:rPr>
          <w:b w:val="0"/>
          <w:bCs w:val="0"/>
          <w:sz w:val="24"/>
          <w:szCs w:val="24"/>
        </w:rPr>
        <w:t xml:space="preserve">not capable of working as a firefighter based on his </w:t>
      </w:r>
      <w:r w:rsidRPr="00DA27A9">
        <w:rPr>
          <w:b w:val="0"/>
          <w:bCs w:val="0"/>
          <w:sz w:val="24"/>
          <w:szCs w:val="24"/>
        </w:rPr>
        <w:lastRenderedPageBreak/>
        <w:t>continued symptomology, in light of, essentially, a negative work up, an opportunity to [complete] physical therapy, [plaintiff's] failure to pursue outside orthopedic consultations when [BHS] gave him the authorization, and his evaluation by [BHS] medical team, who saw no physical disability [despite his] persistent subjective complaints</w:t>
      </w:r>
      <w:r>
        <w:rPr>
          <w:b w:val="0"/>
          <w:bCs w:val="0"/>
          <w:sz w:val="24"/>
          <w:szCs w:val="24"/>
        </w:rPr>
        <w:t xml:space="preserve">…. </w:t>
      </w:r>
      <w:r w:rsidRPr="000F4113">
        <w:rPr>
          <w:b w:val="0"/>
          <w:bCs w:val="0"/>
          <w:sz w:val="24"/>
          <w:szCs w:val="24"/>
        </w:rPr>
        <w:t>Defendant has presented evidence that plaintiff's inability to return to a third firefighter academy based on subjective complaints of pain, unsupported by medical evidence, supplied a legitimate non-discriminatory reason for his termination</w:t>
      </w:r>
      <w:r>
        <w:rPr>
          <w:b w:val="0"/>
          <w:bCs w:val="0"/>
          <w:sz w:val="24"/>
          <w:szCs w:val="24"/>
        </w:rPr>
        <w:t>.</w:t>
      </w:r>
    </w:p>
    <w:p w14:paraId="53F43F09" w14:textId="77777777" w:rsidR="00C67B2A" w:rsidRDefault="00C67B2A" w:rsidP="00C67B2A">
      <w:pPr>
        <w:pStyle w:val="Heading1"/>
        <w:ind w:left="720"/>
        <w:rPr>
          <w:b w:val="0"/>
          <w:bCs w:val="0"/>
          <w:sz w:val="24"/>
          <w:szCs w:val="24"/>
        </w:rPr>
      </w:pPr>
      <w:r>
        <w:rPr>
          <w:b w:val="0"/>
          <w:bCs w:val="0"/>
          <w:sz w:val="24"/>
          <w:szCs w:val="24"/>
        </w:rPr>
        <w:t>***</w:t>
      </w:r>
    </w:p>
    <w:p w14:paraId="5C2331C1" w14:textId="77777777" w:rsidR="00C67B2A" w:rsidRPr="000F4113" w:rsidRDefault="00C67B2A" w:rsidP="00C67B2A">
      <w:pPr>
        <w:pStyle w:val="Heading1"/>
        <w:ind w:left="720"/>
        <w:rPr>
          <w:b w:val="0"/>
          <w:bCs w:val="0"/>
          <w:sz w:val="24"/>
          <w:szCs w:val="24"/>
        </w:rPr>
      </w:pPr>
      <w:r w:rsidRPr="000F4113">
        <w:rPr>
          <w:b w:val="0"/>
          <w:bCs w:val="0"/>
          <w:sz w:val="24"/>
          <w:szCs w:val="24"/>
        </w:rPr>
        <w:t>In support of his theory that he was treated differently because of his race or national origin, plaintiff points to six other firefighters who were given more than two opportunities to complete the fire academy. But, of the six, four were priority hires like plaintiff, one was a Hispanic man like plaintiff, and plaintiff has not presented any evidence indicating that the injuries or situations of the two white firefighters who were given three opportunities were comparable to his.</w:t>
      </w:r>
      <w:r>
        <w:rPr>
          <w:b w:val="0"/>
          <w:bCs w:val="0"/>
          <w:sz w:val="24"/>
          <w:szCs w:val="24"/>
        </w:rPr>
        <w:t xml:space="preserve">” </w:t>
      </w:r>
      <w:hyperlink r:id="rId1597" w:history="1">
        <w:r w:rsidRPr="00764F47">
          <w:rPr>
            <w:rStyle w:val="Hyperlink"/>
            <w:sz w:val="24"/>
            <w:szCs w:val="24"/>
          </w:rPr>
          <w:t>https://public.fastcase.com/9SKwsfNqTc6OieYDhNMyMxPWhQYM2NMtpEG66qqzAJJdyGEqs31WbWeslV8WX8U%2F%2BJtRUyjyQVulPfpekvhmAP57MQmPUZf7QhfjsZd5wHk%3D</w:t>
        </w:r>
      </w:hyperlink>
      <w:r>
        <w:rPr>
          <w:b w:val="0"/>
          <w:bCs w:val="0"/>
          <w:sz w:val="24"/>
          <w:szCs w:val="24"/>
        </w:rPr>
        <w:t xml:space="preserve"> </w:t>
      </w:r>
    </w:p>
    <w:p w14:paraId="76350EB7" w14:textId="77777777" w:rsidR="00C67B2A" w:rsidRPr="00574B79" w:rsidRDefault="00C67B2A" w:rsidP="00C67B2A">
      <w:pPr>
        <w:spacing w:before="100" w:beforeAutospacing="1" w:after="100" w:afterAutospacing="1" w:line="240" w:lineRule="auto"/>
        <w:rPr>
          <w:rFonts w:ascii="Times New Roman" w:eastAsia="Times New Roman" w:hAnsi="Times New Roman"/>
          <w:b/>
          <w:bCs/>
          <w:sz w:val="24"/>
          <w:szCs w:val="24"/>
        </w:rPr>
      </w:pPr>
      <w:r w:rsidRPr="00574B79">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Recruits must be physically capable of performing the job.  </w:t>
      </w:r>
    </w:p>
    <w:p w14:paraId="71C2CD4F" w14:textId="77777777" w:rsidR="00C67B2A" w:rsidRDefault="00C67B2A" w:rsidP="00BC70A3">
      <w:pPr>
        <w:rPr>
          <w:rFonts w:ascii="Arial Black" w:hAnsi="Arial Black"/>
          <w:b/>
          <w:sz w:val="24"/>
          <w:szCs w:val="24"/>
        </w:rPr>
      </w:pPr>
    </w:p>
    <w:p w14:paraId="28AA3B2D" w14:textId="77777777" w:rsidR="00C67B2A" w:rsidRDefault="00C67B2A" w:rsidP="00BC70A3">
      <w:pPr>
        <w:rPr>
          <w:rFonts w:ascii="Arial Black" w:hAnsi="Arial Black"/>
          <w:b/>
          <w:sz w:val="24"/>
          <w:szCs w:val="24"/>
        </w:rPr>
      </w:pPr>
    </w:p>
    <w:p w14:paraId="53933A9D" w14:textId="6205BDB3" w:rsidR="00C67B2A" w:rsidRDefault="00C67B2A" w:rsidP="00BC70A3">
      <w:pPr>
        <w:rPr>
          <w:rFonts w:ascii="Arial Black" w:hAnsi="Arial Black"/>
          <w:b/>
          <w:sz w:val="24"/>
          <w:szCs w:val="24"/>
        </w:rPr>
      </w:pPr>
      <w:r>
        <w:rPr>
          <w:rFonts w:ascii="Arial Black" w:hAnsi="Arial Black"/>
          <w:b/>
          <w:sz w:val="24"/>
          <w:szCs w:val="24"/>
        </w:rPr>
        <w:t>8-3</w:t>
      </w:r>
      <w:r w:rsidR="009A3D9F">
        <w:rPr>
          <w:rFonts w:ascii="Arial Black" w:hAnsi="Arial Black"/>
          <w:b/>
          <w:sz w:val="24"/>
          <w:szCs w:val="24"/>
        </w:rPr>
        <w:t>4</w:t>
      </w:r>
    </w:p>
    <w:p w14:paraId="27EC8F4E" w14:textId="77777777" w:rsidR="00C67B2A" w:rsidRPr="001325E8" w:rsidRDefault="00C67B2A" w:rsidP="00C67B2A">
      <w:pPr>
        <w:tabs>
          <w:tab w:val="left" w:pos="3280"/>
        </w:tabs>
        <w:spacing w:before="100" w:beforeAutospacing="1" w:after="100" w:afterAutospacing="1" w:line="240" w:lineRule="auto"/>
        <w:rPr>
          <w:rFonts w:ascii="Arial Black" w:hAnsi="Arial Black"/>
          <w:sz w:val="28"/>
          <w:szCs w:val="28"/>
        </w:rPr>
      </w:pPr>
      <w:r>
        <w:rPr>
          <w:rFonts w:ascii="Arial Black" w:hAnsi="Arial Black"/>
          <w:sz w:val="28"/>
          <w:szCs w:val="28"/>
        </w:rPr>
        <w:t>WI: POLICE CHIEF WANTED CIVILIAN TO RUN 911 – PRIOR COMMENTS ON MINORITIES – BLACK CAPT. CASE PROCEED</w:t>
      </w:r>
    </w:p>
    <w:p w14:paraId="39427562" w14:textId="77777777" w:rsidR="00C67B2A" w:rsidRDefault="00C67B2A" w:rsidP="00C67B2A">
      <w:pPr>
        <w:tabs>
          <w:tab w:val="left" w:pos="3280"/>
        </w:tabs>
        <w:spacing w:before="100" w:beforeAutospacing="1" w:after="100" w:afterAutospacing="1" w:line="240" w:lineRule="auto"/>
        <w:rPr>
          <w:rFonts w:ascii="Times New Roman" w:hAnsi="Times New Roman"/>
          <w:sz w:val="24"/>
          <w:szCs w:val="24"/>
        </w:rPr>
      </w:pPr>
      <w:r w:rsidRPr="00CE1834">
        <w:rPr>
          <w:rFonts w:ascii="Times New Roman" w:hAnsi="Times New Roman"/>
          <w:sz w:val="24"/>
          <w:szCs w:val="24"/>
        </w:rPr>
        <w:t xml:space="preserve">On Oct. 20, 2021, </w:t>
      </w:r>
      <w:r>
        <w:rPr>
          <w:rFonts w:ascii="Times New Roman" w:hAnsi="Times New Roman"/>
          <w:sz w:val="24"/>
          <w:szCs w:val="24"/>
        </w:rPr>
        <w:t xml:space="preserve">in </w:t>
      </w:r>
      <w:r w:rsidRPr="00CE1834">
        <w:rPr>
          <w:rFonts w:ascii="Times New Roman" w:hAnsi="Times New Roman"/>
          <w:sz w:val="24"/>
          <w:szCs w:val="24"/>
          <w:u w:val="single"/>
        </w:rPr>
        <w:t>Andra Williams v. City of Milwaukee, et al.</w:t>
      </w:r>
      <w:r>
        <w:rPr>
          <w:rFonts w:ascii="Times New Roman" w:hAnsi="Times New Roman"/>
          <w:sz w:val="24"/>
          <w:szCs w:val="24"/>
        </w:rPr>
        <w:t xml:space="preserve">, U.S. District Court Judge Brett H. Ludwig, U.S. District Court for Eastern District of Wisconsin, denied the City’s motion for summary judgment, citing comments that Police Chief made to the Executive Director of the Police and Fire Commission, and to the Mayor after a “Advancement in Management” (AIM) meeting in Fall 2015 [a year prior to June 2016 panel rated applicants for Director of 911], where they were reviewing police department hiring of minorities and lesbians. </w:t>
      </w:r>
    </w:p>
    <w:p w14:paraId="459E0678" w14:textId="77777777" w:rsidR="00C67B2A" w:rsidRPr="00CE1834" w:rsidRDefault="00C67B2A" w:rsidP="00C67B2A">
      <w:pPr>
        <w:pStyle w:val="NormalWeb"/>
        <w:ind w:left="720"/>
      </w:pPr>
      <w:r>
        <w:t>“</w:t>
      </w:r>
      <w:r w:rsidRPr="00CE1834">
        <w:t xml:space="preserve">Williams relies on a web of interrelated incidents to support his allegations of discrimination, but the most important is </w:t>
      </w:r>
      <w:r>
        <w:t xml:space="preserve">[Police Chief Edward] </w:t>
      </w:r>
      <w:r w:rsidRPr="00CE1834">
        <w:t>Flynn's tirade following an Advanced in Management (AIM) meeting in the Fall of 2015</w:t>
      </w:r>
      <w:r>
        <w:t xml:space="preserve">…. </w:t>
      </w:r>
      <w:r w:rsidRPr="00CE1834">
        <w:t>Mary</w:t>
      </w:r>
      <w:r>
        <w:t xml:space="preserve"> </w:t>
      </w:r>
      <w:r w:rsidRPr="00CE1834">
        <w:t>Nell Regan (Regan), then Executive Director to the City of Milwaukee Fire and Police Commission, was present after the AIM meeting along with Mayor Tom Barrett, Barrett's chief of staff Patrick Curley, Flynn, and Flynn's chief of staff Joel Plant</w:t>
      </w:r>
      <w:r>
        <w:t xml:space="preserve">…. </w:t>
      </w:r>
      <w:r w:rsidRPr="00CE1834">
        <w:t xml:space="preserve">Regan testified: </w:t>
      </w:r>
    </w:p>
    <w:p w14:paraId="5A6B0993" w14:textId="77777777" w:rsidR="00C67B2A" w:rsidRDefault="00C67B2A" w:rsidP="00C67B2A">
      <w:pPr>
        <w:ind w:left="1440"/>
        <w:rPr>
          <w:rFonts w:ascii="Times New Roman" w:hAnsi="Times New Roman"/>
          <w:sz w:val="24"/>
          <w:szCs w:val="24"/>
        </w:rPr>
      </w:pPr>
      <w:r>
        <w:rPr>
          <w:rFonts w:ascii="Times New Roman" w:hAnsi="Times New Roman"/>
          <w:sz w:val="24"/>
          <w:szCs w:val="24"/>
        </w:rPr>
        <w:t>‘</w:t>
      </w:r>
      <w:r w:rsidRPr="00CE1834">
        <w:rPr>
          <w:rFonts w:ascii="Times New Roman" w:hAnsi="Times New Roman"/>
          <w:sz w:val="24"/>
          <w:szCs w:val="24"/>
        </w:rPr>
        <w:t>Chief Flynn got very upset, real red in the face, upset about-I think even slammed his hands down a couple times-very upset about minorities and lesbians that were coming after him. And he saw in the future that he would go down like Chief Jones, and he wasn't going to let that happen, and he was outraged because he had promoted many of those same people, and then he rattled off the list of names.</w:t>
      </w:r>
      <w:r>
        <w:rPr>
          <w:rFonts w:ascii="Times New Roman" w:hAnsi="Times New Roman"/>
          <w:sz w:val="24"/>
          <w:szCs w:val="24"/>
        </w:rPr>
        <w:t>’</w:t>
      </w:r>
      <w:r w:rsidRPr="00CE1834">
        <w:rPr>
          <w:rFonts w:ascii="Times New Roman" w:hAnsi="Times New Roman"/>
          <w:sz w:val="24"/>
          <w:szCs w:val="24"/>
        </w:rPr>
        <w:t xml:space="preserve"> </w:t>
      </w:r>
    </w:p>
    <w:p w14:paraId="575B4064" w14:textId="77777777" w:rsidR="00C67B2A" w:rsidRDefault="00C67B2A" w:rsidP="00C67B2A">
      <w:pPr>
        <w:rPr>
          <w:rFonts w:ascii="Times New Roman" w:hAnsi="Times New Roman"/>
          <w:sz w:val="24"/>
          <w:szCs w:val="24"/>
        </w:rPr>
      </w:pPr>
      <w:r>
        <w:rPr>
          <w:rFonts w:ascii="Times New Roman" w:hAnsi="Times New Roman"/>
          <w:sz w:val="24"/>
          <w:szCs w:val="24"/>
        </w:rPr>
        <w:tab/>
        <w:t>***</w:t>
      </w:r>
    </w:p>
    <w:p w14:paraId="6DD538AF" w14:textId="62C21D0F" w:rsidR="00C67B2A" w:rsidRDefault="00C67B2A" w:rsidP="00C67B2A">
      <w:pPr>
        <w:rPr>
          <w:rFonts w:ascii="Arial Black" w:hAnsi="Arial Black"/>
          <w:b/>
          <w:sz w:val="24"/>
          <w:szCs w:val="24"/>
        </w:rPr>
      </w:pPr>
      <w:r w:rsidRPr="00B86ECC">
        <w:rPr>
          <w:rFonts w:ascii="Times New Roman" w:eastAsia="Times New Roman" w:hAnsi="Times New Roman"/>
          <w:sz w:val="24"/>
          <w:szCs w:val="24"/>
        </w:rPr>
        <w:lastRenderedPageBreak/>
        <w:t>Examining the record, Flynn's 2015 AIM comments emerge as Williams' most consequential allegation, but the defense has asked the Court to tare the weight of those comments</w:t>
      </w:r>
      <w:r>
        <w:rPr>
          <w:rFonts w:ascii="Times New Roman" w:eastAsia="Times New Roman" w:hAnsi="Times New Roman"/>
          <w:sz w:val="24"/>
          <w:szCs w:val="24"/>
        </w:rPr>
        <w:t xml:space="preserve">…. </w:t>
      </w:r>
      <w:r w:rsidRPr="00B86ECC">
        <w:rPr>
          <w:rFonts w:ascii="Times New Roman" w:hAnsi="Times New Roman"/>
          <w:sz w:val="24"/>
          <w:szCs w:val="24"/>
        </w:rPr>
        <w:t xml:space="preserve">Defendants are off base in arguing that Flynn's stray remarks should count for nothing at all. The Seventh Circuit has reminded courts, however, that its cases “should not be overread to mean that ‘stray remarks' of a derogatory character are never evidence of discrimination. What our cases hold . . . is that if someone not involved in the decision making in a plaintiff's case </w:t>
      </w:r>
      <w:r w:rsidRPr="00B86ECC">
        <w:rPr>
          <w:rFonts w:ascii="Times New Roman" w:eastAsia="Times New Roman" w:hAnsi="Times New Roman"/>
          <w:sz w:val="24"/>
          <w:szCs w:val="24"/>
        </w:rPr>
        <w:t xml:space="preserve">expressed discriminatory feelings, that is not evidence that the decision was discriminatory.” </w:t>
      </w:r>
      <w:r w:rsidRPr="00B86ECC">
        <w:rPr>
          <w:rFonts w:ascii="Times New Roman" w:eastAsia="Times New Roman" w:hAnsi="Times New Roman"/>
          <w:i/>
          <w:iCs/>
          <w:sz w:val="24"/>
          <w:szCs w:val="24"/>
        </w:rPr>
        <w:t>Gorence v. Eagle Food Centers, Inc.</w:t>
      </w:r>
      <w:r w:rsidRPr="00B86ECC">
        <w:rPr>
          <w:rFonts w:ascii="Times New Roman" w:eastAsia="Times New Roman" w:hAnsi="Times New Roman"/>
          <w:sz w:val="24"/>
          <w:szCs w:val="24"/>
        </w:rPr>
        <w:t>, 242 F.3d 759, 762 (7th Cir. 2001). Here, Flynn was the decisionmaker in this case, so his derogatory remarks, even if unrelated to an employment decision, can support Williams' case.</w:t>
      </w:r>
      <w:r w:rsidRPr="00B86ECC">
        <w:rPr>
          <w:rFonts w:ascii="Times New Roman" w:hAnsi="Times New Roman"/>
          <w:sz w:val="24"/>
          <w:szCs w:val="24"/>
        </w:rPr>
        <w:t>”</w:t>
      </w:r>
      <w:r>
        <w:t xml:space="preserve"> </w:t>
      </w:r>
      <w:hyperlink r:id="rId1598" w:history="1">
        <w:r w:rsidRPr="00075C00">
          <w:rPr>
            <w:rStyle w:val="Hyperlink"/>
          </w:rPr>
          <w:t>https://public.fastcase.com/9SKwsfNqTc6OieYDhNMyM2CFW33xyjvV9V9tDamXdBOoRSeaTiz5NEXWtNHJhMGDLmAvOr1CXJk0EV3MUdbM2l1WIYIXZemQzLeI%2BSSBPyk%3D</w:t>
        </w:r>
      </w:hyperlink>
    </w:p>
    <w:p w14:paraId="544C1A34" w14:textId="77777777" w:rsidR="00C67B2A" w:rsidRPr="00EF65E0" w:rsidRDefault="00C67B2A" w:rsidP="00C67B2A">
      <w:pPr>
        <w:tabs>
          <w:tab w:val="left" w:pos="3280"/>
        </w:tabs>
        <w:spacing w:before="100" w:beforeAutospacing="1" w:after="100" w:afterAutospacing="1" w:line="240" w:lineRule="auto"/>
        <w:rPr>
          <w:rFonts w:ascii="Times New Roman" w:hAnsi="Times New Roman"/>
          <w:b/>
          <w:bCs/>
          <w:sz w:val="24"/>
          <w:szCs w:val="24"/>
        </w:rPr>
      </w:pPr>
      <w:r w:rsidRPr="00EF65E0">
        <w:rPr>
          <w:rFonts w:ascii="Times New Roman" w:hAnsi="Times New Roman"/>
          <w:b/>
          <w:bCs/>
          <w:sz w:val="24"/>
          <w:szCs w:val="24"/>
        </w:rPr>
        <w:t>Legal Lesson Learned:</w:t>
      </w:r>
      <w:r>
        <w:rPr>
          <w:rFonts w:ascii="Times New Roman" w:hAnsi="Times New Roman"/>
          <w:b/>
          <w:bCs/>
          <w:sz w:val="24"/>
          <w:szCs w:val="24"/>
        </w:rPr>
        <w:t xml:space="preserve"> “Stray remarks” by police or fire chiefs, and other executives in hiring and promotion process, can come back to “bite” in employment litigation. </w:t>
      </w:r>
    </w:p>
    <w:p w14:paraId="7551BE8F" w14:textId="77777777" w:rsidR="00C67B2A" w:rsidRDefault="00C67B2A" w:rsidP="00BC70A3">
      <w:pPr>
        <w:rPr>
          <w:rFonts w:ascii="Arial Black" w:hAnsi="Arial Black"/>
          <w:b/>
          <w:sz w:val="24"/>
          <w:szCs w:val="24"/>
        </w:rPr>
      </w:pPr>
    </w:p>
    <w:p w14:paraId="30422B31" w14:textId="45BD2C23" w:rsidR="009A3D9F" w:rsidRDefault="009A3D9F" w:rsidP="00BC70A3">
      <w:pPr>
        <w:rPr>
          <w:rFonts w:ascii="Arial Black" w:hAnsi="Arial Black"/>
          <w:b/>
          <w:sz w:val="24"/>
          <w:szCs w:val="24"/>
        </w:rPr>
      </w:pPr>
      <w:r>
        <w:rPr>
          <w:rFonts w:ascii="Arial Black" w:hAnsi="Arial Black"/>
          <w:b/>
          <w:sz w:val="24"/>
          <w:szCs w:val="24"/>
        </w:rPr>
        <w:t>8-33</w:t>
      </w:r>
    </w:p>
    <w:p w14:paraId="50D0EC29" w14:textId="77777777" w:rsidR="009A3D9F" w:rsidRPr="00A14A14" w:rsidRDefault="009A3D9F" w:rsidP="009A3D9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OH: RECRUIT FAILED VERTICAL VENTILTION TESTS 9 TIMES - TERMINATED – NOT RACE DISCRIMINATION</w:t>
      </w:r>
    </w:p>
    <w:p w14:paraId="536124E3" w14:textId="73026742" w:rsidR="009A3D9F" w:rsidRDefault="009A3D9F" w:rsidP="009A3D9F">
      <w:pPr>
        <w:rPr>
          <w:rStyle w:val="Hyperlink"/>
          <w:rFonts w:ascii="Times New Roman" w:hAnsi="Times New Roman"/>
          <w:sz w:val="24"/>
          <w:szCs w:val="24"/>
        </w:rPr>
      </w:pPr>
      <w:r>
        <w:rPr>
          <w:rFonts w:ascii="Times New Roman" w:hAnsi="Times New Roman"/>
          <w:sz w:val="24"/>
          <w:szCs w:val="24"/>
        </w:rPr>
        <w:t xml:space="preserve">On Sept. 7, 2021, in </w:t>
      </w:r>
      <w:r w:rsidRPr="00D11452">
        <w:rPr>
          <w:rFonts w:ascii="Times New Roman" w:hAnsi="Times New Roman"/>
          <w:sz w:val="24"/>
          <w:szCs w:val="24"/>
          <w:u w:val="single"/>
        </w:rPr>
        <w:t>Major Smith, III v. City of Toledo, et al</w:t>
      </w:r>
      <w:r>
        <w:rPr>
          <w:rFonts w:ascii="Times New Roman" w:hAnsi="Times New Roman"/>
          <w:sz w:val="24"/>
          <w:szCs w:val="24"/>
        </w:rPr>
        <w:t xml:space="preserve">., </w:t>
      </w:r>
      <w:r w:rsidRPr="0080716B">
        <w:rPr>
          <w:rFonts w:ascii="Times New Roman" w:eastAsia="Times New Roman" w:hAnsi="Times New Roman"/>
          <w:sz w:val="24"/>
          <w:szCs w:val="24"/>
        </w:rPr>
        <w:t>13 F.4th 508</w:t>
      </w:r>
      <w:r>
        <w:rPr>
          <w:rFonts w:ascii="Times New Roman" w:eastAsia="Times New Roman" w:hAnsi="Times New Roman"/>
          <w:sz w:val="24"/>
          <w:szCs w:val="24"/>
        </w:rPr>
        <w:t xml:space="preserve">, </w:t>
      </w:r>
      <w:r>
        <w:rPr>
          <w:rFonts w:ascii="Times New Roman" w:hAnsi="Times New Roman"/>
          <w:sz w:val="24"/>
          <w:szCs w:val="24"/>
        </w:rPr>
        <w:t>the U.S. Court of Appeals for the 6</w:t>
      </w:r>
      <w:r w:rsidRPr="00D11452">
        <w:rPr>
          <w:rFonts w:ascii="Times New Roman" w:hAnsi="Times New Roman"/>
          <w:sz w:val="24"/>
          <w:szCs w:val="24"/>
          <w:vertAlign w:val="superscript"/>
        </w:rPr>
        <w:t>th</w:t>
      </w:r>
      <w:r>
        <w:rPr>
          <w:rFonts w:ascii="Times New Roman" w:hAnsi="Times New Roman"/>
          <w:sz w:val="24"/>
          <w:szCs w:val="24"/>
        </w:rPr>
        <w:t xml:space="preserve"> Circuit (Cincinnati) held (2 to 1) that trial court judge properly granted summary judgment to the City of Toledo. The recruit class of 29 recruits, including three </w:t>
      </w:r>
      <w:proofErr w:type="gramStart"/>
      <w:r>
        <w:rPr>
          <w:rFonts w:ascii="Times New Roman" w:hAnsi="Times New Roman"/>
          <w:sz w:val="24"/>
          <w:szCs w:val="24"/>
        </w:rPr>
        <w:t>African-Americans</w:t>
      </w:r>
      <w:proofErr w:type="gramEnd"/>
      <w:r>
        <w:rPr>
          <w:rFonts w:ascii="Times New Roman" w:hAnsi="Times New Roman"/>
          <w:sz w:val="24"/>
          <w:szCs w:val="24"/>
        </w:rPr>
        <w:t xml:space="preserve"> and two Hispanics, “</w:t>
      </w:r>
      <w:r w:rsidRPr="00D25789">
        <w:rPr>
          <w:rFonts w:ascii="Times New Roman" w:hAnsi="Times New Roman"/>
          <w:sz w:val="24"/>
          <w:szCs w:val="24"/>
        </w:rPr>
        <w:t>twenty-seven passed the vertical ventilation test on the first try; the twenty-eighth passed on his second try; Smith never passed, despite nine attempts.</w:t>
      </w:r>
      <w:r>
        <w:rPr>
          <w:rFonts w:ascii="Times New Roman" w:hAnsi="Times New Roman"/>
          <w:sz w:val="24"/>
          <w:szCs w:val="24"/>
        </w:rPr>
        <w:t xml:space="preserve">”  </w:t>
      </w:r>
      <w:hyperlink r:id="rId1599" w:history="1">
        <w:r w:rsidRPr="00A83547">
          <w:rPr>
            <w:rStyle w:val="Hyperlink"/>
            <w:rFonts w:ascii="Times New Roman" w:hAnsi="Times New Roman"/>
            <w:sz w:val="24"/>
            <w:szCs w:val="24"/>
          </w:rPr>
          <w:t>https://casetext.com/case/smith-v-city-of-toledo</w:t>
        </w:r>
      </w:hyperlink>
    </w:p>
    <w:p w14:paraId="41CEC49E" w14:textId="77777777" w:rsidR="009A3D9F" w:rsidRPr="00D91B7C" w:rsidRDefault="009A3D9F" w:rsidP="009A3D9F">
      <w:pPr>
        <w:spacing w:before="100" w:beforeAutospacing="1" w:after="100" w:afterAutospacing="1" w:line="240" w:lineRule="auto"/>
        <w:rPr>
          <w:rFonts w:ascii="Times New Roman" w:eastAsia="Times New Roman" w:hAnsi="Times New Roman"/>
          <w:b/>
          <w:bCs/>
          <w:sz w:val="24"/>
          <w:szCs w:val="24"/>
        </w:rPr>
      </w:pPr>
      <w:r w:rsidRPr="00D91B7C">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Race discrimination not proved; the FD gave him additional </w:t>
      </w:r>
      <w:proofErr w:type="gramStart"/>
      <w:r>
        <w:rPr>
          <w:rFonts w:ascii="Times New Roman" w:eastAsia="Times New Roman" w:hAnsi="Times New Roman"/>
          <w:b/>
          <w:bCs/>
          <w:sz w:val="24"/>
          <w:szCs w:val="24"/>
        </w:rPr>
        <w:t>opportunities</w:t>
      </w:r>
      <w:proofErr w:type="gramEnd"/>
      <w:r>
        <w:rPr>
          <w:rFonts w:ascii="Times New Roman" w:eastAsia="Times New Roman" w:hAnsi="Times New Roman"/>
          <w:b/>
          <w:bCs/>
          <w:sz w:val="24"/>
          <w:szCs w:val="24"/>
        </w:rPr>
        <w:t xml:space="preserve"> but he still couldn’t pass the vertical ventilation.  </w:t>
      </w:r>
    </w:p>
    <w:p w14:paraId="3459B0D3" w14:textId="77777777" w:rsidR="009A3D9F" w:rsidRPr="00552E8D" w:rsidRDefault="009A3D9F" w:rsidP="009A3D9F">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w:t>
      </w:r>
      <w:r w:rsidRPr="00142F8E">
        <w:rPr>
          <w:rFonts w:ascii="Times New Roman" w:eastAsia="Times New Roman" w:hAnsi="Times New Roman"/>
          <w:sz w:val="24"/>
          <w:szCs w:val="24"/>
        </w:rPr>
        <w:t xml:space="preserve">Judge </w:t>
      </w:r>
      <w:r w:rsidRPr="00142F8E">
        <w:rPr>
          <w:rFonts w:ascii="Times New Roman" w:hAnsi="Times New Roman"/>
          <w:sz w:val="24"/>
          <w:szCs w:val="24"/>
        </w:rPr>
        <w:t>HELENE N. WHITE, Circuit Judge, concurring in part and dissenting in part.</w:t>
      </w:r>
      <w:r>
        <w:rPr>
          <w:rFonts w:ascii="Times New Roman" w:hAnsi="Times New Roman"/>
          <w:sz w:val="24"/>
          <w:szCs w:val="24"/>
        </w:rPr>
        <w:t xml:space="preserve"> “</w:t>
      </w:r>
      <w:r w:rsidRPr="00142F8E">
        <w:rPr>
          <w:rFonts w:ascii="Times New Roman" w:hAnsi="Times New Roman"/>
          <w:sz w:val="24"/>
          <w:szCs w:val="24"/>
        </w:rPr>
        <w:t>I agree that the district court properly granted summary judgment to the City of Toledo on Smith's § 1983 and intentional-infliction-of-emotional-distress claims and properly denied Smith's motion for additional discovery. However, because there is a genuine dispute of material fact about whether the City dismissed Smith from the academy because of his race, I would reverse the grant of summary judgment on Smith's discrimination and conspiracy claims.</w:t>
      </w:r>
      <w:r>
        <w:rPr>
          <w:rFonts w:ascii="Times New Roman" w:hAnsi="Times New Roman"/>
          <w:sz w:val="24"/>
          <w:szCs w:val="24"/>
        </w:rPr>
        <w:t xml:space="preserve">*** </w:t>
      </w:r>
      <w:r w:rsidRPr="00142F8E">
        <w:rPr>
          <w:rFonts w:ascii="Times New Roman" w:hAnsi="Times New Roman"/>
          <w:sz w:val="24"/>
          <w:szCs w:val="24"/>
        </w:rPr>
        <w:t>And, since 2014, 80% of the recruits who were dismissed from the Academy were African American, and the remaining 20% were Hispanic, despite African Americans making up a minority of the class. This further supports an inference of discrimination.</w:t>
      </w:r>
      <w:r>
        <w:rPr>
          <w:rFonts w:ascii="Times New Roman" w:hAnsi="Times New Roman"/>
          <w:sz w:val="24"/>
          <w:szCs w:val="24"/>
        </w:rPr>
        <w:t>”</w:t>
      </w:r>
    </w:p>
    <w:p w14:paraId="3E403F72" w14:textId="77777777" w:rsidR="009A3D9F" w:rsidRDefault="009A3D9F" w:rsidP="009A3D9F">
      <w:pPr>
        <w:rPr>
          <w:rFonts w:ascii="Arial Black" w:hAnsi="Arial Black"/>
          <w:b/>
          <w:sz w:val="24"/>
          <w:szCs w:val="24"/>
        </w:rPr>
      </w:pPr>
    </w:p>
    <w:p w14:paraId="44206D7E" w14:textId="77777777" w:rsidR="009A3D9F" w:rsidRDefault="009A3D9F" w:rsidP="00BC70A3">
      <w:pPr>
        <w:rPr>
          <w:rFonts w:ascii="Arial Black" w:hAnsi="Arial Black"/>
          <w:b/>
          <w:sz w:val="24"/>
          <w:szCs w:val="24"/>
        </w:rPr>
      </w:pPr>
    </w:p>
    <w:p w14:paraId="69C0FAB5" w14:textId="77777777" w:rsidR="009A3D9F" w:rsidRDefault="009A3D9F" w:rsidP="00BC70A3">
      <w:pPr>
        <w:rPr>
          <w:rFonts w:ascii="Arial Black" w:hAnsi="Arial Black"/>
          <w:b/>
          <w:sz w:val="24"/>
          <w:szCs w:val="24"/>
        </w:rPr>
      </w:pPr>
    </w:p>
    <w:p w14:paraId="5E7664AC" w14:textId="2B15433B" w:rsidR="00BD1702" w:rsidRDefault="00BD1702" w:rsidP="00BC70A3">
      <w:pPr>
        <w:rPr>
          <w:rFonts w:ascii="Arial Black" w:hAnsi="Arial Black"/>
          <w:b/>
          <w:sz w:val="24"/>
          <w:szCs w:val="24"/>
        </w:rPr>
      </w:pPr>
      <w:r>
        <w:rPr>
          <w:rFonts w:ascii="Arial Black" w:hAnsi="Arial Black"/>
          <w:b/>
          <w:sz w:val="24"/>
          <w:szCs w:val="24"/>
        </w:rPr>
        <w:t>8-32</w:t>
      </w:r>
    </w:p>
    <w:p w14:paraId="1CEE932C" w14:textId="77777777" w:rsidR="00BD1702" w:rsidRDefault="00BD1702" w:rsidP="00BD1702">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lastRenderedPageBreak/>
        <w:t>MI: FF OF ARAB DISSENT – IMAGES OF CAMEL / SLURS - HOSTILE WORK ATMOSPHERE – LAWSUIT REINSTATED</w:t>
      </w:r>
    </w:p>
    <w:p w14:paraId="0790AF18" w14:textId="77777777" w:rsidR="00BD1702" w:rsidRDefault="00BD1702" w:rsidP="00BD1702">
      <w:pPr>
        <w:spacing w:before="100" w:beforeAutospacing="1" w:after="100" w:afterAutospacing="1" w:line="240" w:lineRule="auto"/>
        <w:rPr>
          <w:rStyle w:val="markedcontent"/>
          <w:rFonts w:ascii="Times New Roman" w:hAnsi="Times New Roman"/>
          <w:sz w:val="24"/>
          <w:szCs w:val="24"/>
        </w:rPr>
      </w:pPr>
      <w:r>
        <w:rPr>
          <w:rStyle w:val="markedcontent"/>
          <w:rFonts w:ascii="Times New Roman" w:hAnsi="Times New Roman"/>
          <w:sz w:val="24"/>
          <w:szCs w:val="24"/>
        </w:rPr>
        <w:t xml:space="preserve">On Sept. 16, 2021, in </w:t>
      </w:r>
      <w:r>
        <w:rPr>
          <w:rStyle w:val="markedcontent"/>
          <w:rFonts w:ascii="Times New Roman" w:hAnsi="Times New Roman"/>
          <w:sz w:val="24"/>
          <w:szCs w:val="24"/>
          <w:u w:val="single"/>
        </w:rPr>
        <w:t>Richard Cadoura v. Flat Rock Fire Department, et al</w:t>
      </w:r>
      <w:r>
        <w:rPr>
          <w:rStyle w:val="markedcontent"/>
          <w:rFonts w:ascii="Times New Roman" w:hAnsi="Times New Roman"/>
          <w:sz w:val="24"/>
          <w:szCs w:val="24"/>
        </w:rPr>
        <w:t xml:space="preserve">., the State of Michigan Court of Appeals, held (3 to 0), in an unpublished decision, that trial court judge improperly dismissed the lawsuit because of “simple teasing” during the firefighter’s 15 months of probation with the fire department.  The Court of Appeals strongly disagreed. </w:t>
      </w:r>
    </w:p>
    <w:p w14:paraId="5499D05C" w14:textId="77777777" w:rsidR="00BD1702" w:rsidRDefault="00BD1702" w:rsidP="00BD1702">
      <w:pPr>
        <w:spacing w:before="100" w:beforeAutospacing="1" w:after="100" w:afterAutospacing="1" w:line="240" w:lineRule="auto"/>
        <w:ind w:left="720"/>
        <w:rPr>
          <w:rStyle w:val="markedcontent"/>
          <w:rFonts w:ascii="Times New Roman" w:hAnsi="Times New Roman"/>
          <w:sz w:val="24"/>
          <w:szCs w:val="24"/>
        </w:rPr>
      </w:pPr>
      <w:r w:rsidRPr="000A41C2">
        <w:rPr>
          <w:rStyle w:val="markedcontent"/>
          <w:rFonts w:ascii="Times New Roman" w:hAnsi="Times New Roman"/>
          <w:sz w:val="24"/>
          <w:szCs w:val="24"/>
        </w:rPr>
        <w:t xml:space="preserve">“In this case, plaintiff presented evidence sufficient to create a genuine issue of material fact regarding whether there was </w:t>
      </w:r>
      <w:r w:rsidRPr="000A41C2">
        <w:rPr>
          <w:rFonts w:ascii="Times New Roman" w:hAnsi="Times New Roman"/>
          <w:sz w:val="24"/>
          <w:szCs w:val="24"/>
        </w:rPr>
        <w:t xml:space="preserve">an intimidating, hostile, and offensive work environment. There was documentary evidence of the text message with an image of a camel, the questioning of plaintiff’s parentage in regard to his son, the ‘sand n****r’ slur, the playing of Arabic music over the firetruck’s PA system on multiple occasions, the beheaded camel figurine with an American flag stuck in it, and the references to towels being used for cleaning and not to wear on one’s head. In conjunction with that evidence, there was plaintiff’s testimony regarding his work conditions and his claimed mistreatment and harassment by full-timers and by Sergeant Rose, as well as his testimony that AFC Hammond and Fire Chief Vack did nothing to address or alleviate the toxic environment. We conclude that the trial court erred by determining </w:t>
      </w:r>
      <w:r w:rsidRPr="000A41C2">
        <w:rPr>
          <w:rFonts w:ascii="Times New Roman" w:hAnsi="Times New Roman"/>
          <w:sz w:val="24"/>
          <w:szCs w:val="24"/>
        </w:rPr>
        <w:br/>
      </w:r>
      <w:r w:rsidRPr="000A41C2">
        <w:rPr>
          <w:rStyle w:val="markedcontent"/>
          <w:rFonts w:ascii="Times New Roman" w:hAnsi="Times New Roman"/>
          <w:sz w:val="24"/>
          <w:szCs w:val="24"/>
        </w:rPr>
        <w:t>as a matter of law that there was no hostile work environment.”</w:t>
      </w:r>
      <w:r>
        <w:rPr>
          <w:rFonts w:ascii="Times New Roman" w:hAnsi="Times New Roman"/>
          <w:sz w:val="24"/>
          <w:szCs w:val="24"/>
        </w:rPr>
        <w:t xml:space="preserve"> </w:t>
      </w:r>
      <w:hyperlink r:id="rId1600" w:history="1">
        <w:r>
          <w:rPr>
            <w:rStyle w:val="Hyperlink"/>
            <w:sz w:val="24"/>
            <w:szCs w:val="24"/>
          </w:rPr>
          <w:t>https://www.courts.mi.gov/4a7f39/siteassets/case-documents/uploads/opinions/final/coa/20210916_c353618_41_353618.opn.pdf</w:t>
        </w:r>
      </w:hyperlink>
      <w:r>
        <w:rPr>
          <w:rStyle w:val="markedcontent"/>
          <w:rFonts w:ascii="Times New Roman" w:hAnsi="Times New Roman"/>
          <w:sz w:val="24"/>
          <w:szCs w:val="24"/>
        </w:rPr>
        <w:t xml:space="preserve"> </w:t>
      </w:r>
    </w:p>
    <w:p w14:paraId="299A1175" w14:textId="77777777" w:rsidR="00BD1702" w:rsidRDefault="00BD1702" w:rsidP="00BD1702">
      <w:pPr>
        <w:pStyle w:val="docdate"/>
        <w:rPr>
          <w:rStyle w:val="markedcontent"/>
          <w:rFonts w:eastAsiaTheme="majorEastAsia"/>
          <w:b/>
          <w:bCs/>
        </w:rPr>
      </w:pPr>
      <w:r>
        <w:rPr>
          <w:rStyle w:val="markedcontent"/>
          <w:rFonts w:eastAsiaTheme="majorEastAsia"/>
          <w:b/>
          <w:bCs/>
        </w:rPr>
        <w:t>Legal Lesson Learned:  Firefighters must understand that their acts of “simple teasing” can be very harmful, and officers have an obligation to prevent a hostile work atmosphere.</w:t>
      </w:r>
    </w:p>
    <w:p w14:paraId="640B75EA" w14:textId="77777777" w:rsidR="00BD1702" w:rsidRDefault="00BD1702" w:rsidP="00BC70A3">
      <w:pPr>
        <w:rPr>
          <w:rFonts w:ascii="Arial Black" w:hAnsi="Arial Black"/>
          <w:b/>
          <w:sz w:val="24"/>
          <w:szCs w:val="24"/>
        </w:rPr>
      </w:pPr>
    </w:p>
    <w:p w14:paraId="6A09C869" w14:textId="7F00FD89" w:rsidR="00BD263B" w:rsidRDefault="00BD263B" w:rsidP="00BC70A3">
      <w:pPr>
        <w:rPr>
          <w:rFonts w:ascii="Arial Black" w:hAnsi="Arial Black"/>
          <w:b/>
          <w:sz w:val="24"/>
          <w:szCs w:val="24"/>
        </w:rPr>
      </w:pPr>
      <w:r>
        <w:rPr>
          <w:rFonts w:ascii="Arial Black" w:hAnsi="Arial Black"/>
          <w:b/>
          <w:sz w:val="24"/>
          <w:szCs w:val="24"/>
        </w:rPr>
        <w:t>8-31</w:t>
      </w:r>
    </w:p>
    <w:p w14:paraId="60AEBF23" w14:textId="77777777" w:rsidR="00BD263B" w:rsidRDefault="00BD263B" w:rsidP="00BD263B">
      <w:pPr>
        <w:pStyle w:val="NoSpacing"/>
        <w:rPr>
          <w:rFonts w:ascii="Arial Black" w:hAnsi="Arial Black"/>
          <w:sz w:val="28"/>
          <w:szCs w:val="28"/>
        </w:rPr>
      </w:pPr>
      <w:bookmarkStart w:id="317" w:name="_Hlk81842350"/>
      <w:r>
        <w:rPr>
          <w:rFonts w:ascii="Arial Black" w:hAnsi="Arial Black"/>
          <w:sz w:val="28"/>
          <w:szCs w:val="28"/>
        </w:rPr>
        <w:t>NY:  FDNY – SCBAs – FD NOW FOLLOWING OSHA NO BEARD REQUIREMENT – ADA LAWSUIT BY BLACK FF DISMISSED</w:t>
      </w:r>
    </w:p>
    <w:bookmarkEnd w:id="317"/>
    <w:p w14:paraId="2AE784D9" w14:textId="77777777" w:rsidR="00BD263B" w:rsidRDefault="00BD263B" w:rsidP="00BD263B">
      <w:pPr>
        <w:pStyle w:val="NoSpacing"/>
        <w:rPr>
          <w:rFonts w:ascii="Arial Black" w:hAnsi="Arial Black"/>
          <w:sz w:val="28"/>
          <w:szCs w:val="28"/>
        </w:rPr>
      </w:pPr>
    </w:p>
    <w:p w14:paraId="0EE0383A" w14:textId="77777777" w:rsidR="00BD263B" w:rsidRDefault="00BD263B" w:rsidP="00BD263B">
      <w:pPr>
        <w:pStyle w:val="NoSpacing"/>
        <w:rPr>
          <w:rFonts w:ascii="Times New Roman" w:hAnsi="Times New Roman"/>
          <w:sz w:val="24"/>
          <w:szCs w:val="24"/>
        </w:rPr>
      </w:pPr>
      <w:r>
        <w:rPr>
          <w:rFonts w:ascii="Times New Roman" w:hAnsi="Times New Roman"/>
          <w:sz w:val="24"/>
          <w:szCs w:val="24"/>
        </w:rPr>
        <w:t xml:space="preserve">On June 9, 2021, in </w:t>
      </w:r>
      <w:r>
        <w:rPr>
          <w:rFonts w:ascii="Times New Roman" w:hAnsi="Times New Roman"/>
          <w:sz w:val="24"/>
          <w:szCs w:val="24"/>
          <w:u w:val="single"/>
        </w:rPr>
        <w:t>Sa</w:t>
      </w:r>
      <w:r w:rsidRPr="00730B7F">
        <w:rPr>
          <w:rFonts w:ascii="Times New Roman" w:hAnsi="Times New Roman"/>
          <w:sz w:val="24"/>
          <w:szCs w:val="24"/>
          <w:u w:val="single"/>
        </w:rPr>
        <w:t>lik Bey, Terrel Joseph, Steven Seymour, Clyde Phillips v. City of New York</w:t>
      </w:r>
      <w:r>
        <w:rPr>
          <w:rFonts w:ascii="Times New Roman" w:hAnsi="Times New Roman"/>
          <w:sz w:val="24"/>
          <w:szCs w:val="24"/>
        </w:rPr>
        <w:t xml:space="preserve">, the U.S. Court of Appeals for the Second District (New York City), held (3 to 0) that the U.S. District Court incorrectly found a violation of the ADA for enforcing a strict grooming policy. </w:t>
      </w:r>
    </w:p>
    <w:p w14:paraId="4AD9AFCF" w14:textId="77777777" w:rsidR="00BD263B" w:rsidRDefault="00BD263B" w:rsidP="00BD263B">
      <w:pPr>
        <w:pStyle w:val="NoSpacing"/>
        <w:rPr>
          <w:rFonts w:ascii="Times New Roman" w:hAnsi="Times New Roman"/>
          <w:sz w:val="24"/>
          <w:szCs w:val="24"/>
        </w:rPr>
      </w:pPr>
    </w:p>
    <w:p w14:paraId="1C3A6E85" w14:textId="77777777" w:rsidR="00BD263B" w:rsidRPr="00264EF8" w:rsidRDefault="00BD263B" w:rsidP="00BD263B">
      <w:pPr>
        <w:pStyle w:val="NoSpacing"/>
        <w:ind w:left="720"/>
        <w:rPr>
          <w:rFonts w:ascii="Times New Roman" w:hAnsi="Times New Roman"/>
          <w:sz w:val="24"/>
          <w:szCs w:val="24"/>
        </w:rPr>
      </w:pPr>
      <w:r>
        <w:rPr>
          <w:rFonts w:ascii="Times New Roman" w:hAnsi="Times New Roman"/>
          <w:sz w:val="24"/>
          <w:szCs w:val="24"/>
        </w:rPr>
        <w:t>“</w:t>
      </w:r>
      <w:r w:rsidRPr="00264EF8">
        <w:rPr>
          <w:rFonts w:ascii="Times New Roman" w:hAnsi="Times New Roman"/>
          <w:sz w:val="24"/>
          <w:szCs w:val="24"/>
        </w:rPr>
        <w:t xml:space="preserve">The fact that no adverse safety events were reported during the period when the FDNY permitted the Firefighters to avoid shaving does not now preclude the FDNY from enforcing the respiratory-protection standard as written. Nor does the fact that the FDNY previously permitted the Firefighters to maintain short beards. The regulation at issue is of OSHA’s devising, not the FDNY’s. </w:t>
      </w:r>
    </w:p>
    <w:p w14:paraId="08AEA163" w14:textId="77777777" w:rsidR="00BD263B" w:rsidRDefault="00BD263B" w:rsidP="00BD263B">
      <w:pPr>
        <w:pStyle w:val="NoSpacing"/>
        <w:rPr>
          <w:rFonts w:ascii="Times New Roman" w:hAnsi="Times New Roman"/>
          <w:sz w:val="24"/>
          <w:szCs w:val="24"/>
        </w:rPr>
      </w:pPr>
      <w:r>
        <w:rPr>
          <w:rFonts w:ascii="Times New Roman" w:hAnsi="Times New Roman"/>
          <w:sz w:val="24"/>
          <w:szCs w:val="24"/>
        </w:rPr>
        <w:tab/>
        <w:t>***</w:t>
      </w:r>
    </w:p>
    <w:p w14:paraId="2E7207DE" w14:textId="77777777" w:rsidR="00BD263B" w:rsidRDefault="00BD263B" w:rsidP="00BD263B">
      <w:pPr>
        <w:pStyle w:val="NoSpacing"/>
        <w:rPr>
          <w:rFonts w:ascii="Times New Roman" w:hAnsi="Times New Roman"/>
          <w:sz w:val="24"/>
          <w:szCs w:val="24"/>
        </w:rPr>
      </w:pPr>
    </w:p>
    <w:p w14:paraId="70B1664E" w14:textId="67A48C43" w:rsidR="00BD263B" w:rsidRDefault="00BD263B" w:rsidP="00BD263B">
      <w:pPr>
        <w:rPr>
          <w:rFonts w:ascii="Arial Black" w:hAnsi="Arial Black"/>
          <w:b/>
          <w:sz w:val="24"/>
          <w:szCs w:val="24"/>
        </w:rPr>
      </w:pPr>
      <w:r w:rsidRPr="00730B7F">
        <w:rPr>
          <w:rFonts w:ascii="Times New Roman" w:hAnsi="Times New Roman"/>
          <w:sz w:val="24"/>
          <w:szCs w:val="24"/>
        </w:rPr>
        <w:t>At bottom, OSHA’s regulations are binding on the FDNY and prohibit the accommodation that the Firefighters seek</w:t>
      </w:r>
      <w:r>
        <w:rPr>
          <w:rFonts w:ascii="Times New Roman" w:hAnsi="Times New Roman"/>
          <w:sz w:val="24"/>
          <w:szCs w:val="24"/>
        </w:rPr>
        <w:t>.</w:t>
      </w:r>
      <w:r w:rsidRPr="00730B7F">
        <w:rPr>
          <w:rFonts w:ascii="Times New Roman" w:hAnsi="Times New Roman"/>
          <w:sz w:val="24"/>
          <w:szCs w:val="24"/>
        </w:rPr>
        <w:t xml:space="preserve"> </w:t>
      </w:r>
      <w:r>
        <w:rPr>
          <w:rFonts w:ascii="Times New Roman" w:hAnsi="Times New Roman"/>
          <w:sz w:val="24"/>
          <w:szCs w:val="24"/>
        </w:rPr>
        <w:t xml:space="preserve"> </w:t>
      </w:r>
      <w:r w:rsidRPr="00730B7F">
        <w:rPr>
          <w:rFonts w:ascii="Times New Roman" w:hAnsi="Times New Roman"/>
          <w:sz w:val="24"/>
          <w:szCs w:val="24"/>
        </w:rPr>
        <w:t>That ends the matter. Of course, the Firefighters retain the ability to present their evidence to OSHA if they continue to believe that the respiratory-protection standard is unduly restrictive; but it is OSHA to which such a challenge should be directed, not the FDNY, and not the courts.</w:t>
      </w:r>
      <w:r>
        <w:rPr>
          <w:rFonts w:ascii="Times New Roman" w:hAnsi="Times New Roman"/>
          <w:sz w:val="24"/>
          <w:szCs w:val="24"/>
        </w:rPr>
        <w:t xml:space="preserve">” </w:t>
      </w:r>
      <w:hyperlink r:id="rId1601" w:history="1">
        <w:r w:rsidRPr="00C10414">
          <w:rPr>
            <w:rStyle w:val="Hyperlink"/>
            <w:sz w:val="24"/>
            <w:szCs w:val="24"/>
          </w:rPr>
          <w:t>https://law.justia.com/cases/federal/appellate-courts/ca2/20-456/20-456-2021-06-09.html</w:t>
        </w:r>
      </w:hyperlink>
    </w:p>
    <w:p w14:paraId="73CB2904" w14:textId="77777777" w:rsidR="00BD263B" w:rsidRPr="00D648D1" w:rsidRDefault="00BD263B" w:rsidP="00BD263B">
      <w:pPr>
        <w:spacing w:after="0" w:line="240" w:lineRule="auto"/>
        <w:rPr>
          <w:rFonts w:ascii="Times New Roman" w:eastAsia="Times New Roman" w:hAnsi="Times New Roman"/>
          <w:b/>
          <w:bCs/>
          <w:sz w:val="24"/>
          <w:szCs w:val="24"/>
        </w:rPr>
      </w:pPr>
      <w:r w:rsidRPr="00264EF8">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OSHA regulations are being enforced by FDNY and the Court.</w:t>
      </w:r>
    </w:p>
    <w:p w14:paraId="53F18540" w14:textId="77777777" w:rsidR="00BD263B" w:rsidRDefault="00BD263B" w:rsidP="00BD263B">
      <w:pPr>
        <w:pStyle w:val="NormalWeb"/>
        <w:ind w:left="720"/>
      </w:pPr>
      <w:r w:rsidRPr="00264EF8">
        <w:lastRenderedPageBreak/>
        <w:t xml:space="preserve">Note:  The Court recognized prior decisions may have required </w:t>
      </w:r>
      <w:proofErr w:type="gramStart"/>
      <w:r w:rsidRPr="00264EF8">
        <w:t>accommodations</w:t>
      </w:r>
      <w:proofErr w:type="gramEnd"/>
      <w:r w:rsidRPr="00264EF8">
        <w:t>. “Footnote 7. The Firefighters identify several cases involving similar disputes between firefighters and fire departments that they see as supporting an alternative outcome. But those cases are distinguishable as they either stated that OSHA regulations were not binding on the defendant fire department, see Potter v. District of Columbia, 558 F.3d 542, 553 (D.C. Cir. 2009) (Williams, J., concurring); Fitzpatrick v. City of Atlanta, 2 F.3d 1112, 1121 (11th Cir. 1993), or failed to mention OSHA regulations altogether, see generally Kennedy v. District of Columbia, 654 A.2d 847 (D.C. 1994).</w:t>
      </w:r>
      <w:r>
        <w:t>”</w:t>
      </w:r>
    </w:p>
    <w:p w14:paraId="673C24DE" w14:textId="77777777" w:rsidR="00BD263B" w:rsidRDefault="00BD263B" w:rsidP="00BC70A3">
      <w:pPr>
        <w:rPr>
          <w:rFonts w:ascii="Arial Black" w:hAnsi="Arial Black"/>
          <w:b/>
          <w:sz w:val="24"/>
          <w:szCs w:val="24"/>
        </w:rPr>
      </w:pPr>
    </w:p>
    <w:p w14:paraId="297EB944" w14:textId="77777777" w:rsidR="00BD263B" w:rsidRDefault="00BD263B" w:rsidP="00BC70A3">
      <w:pPr>
        <w:rPr>
          <w:rFonts w:ascii="Arial Black" w:hAnsi="Arial Black"/>
          <w:b/>
          <w:sz w:val="24"/>
          <w:szCs w:val="24"/>
        </w:rPr>
      </w:pPr>
    </w:p>
    <w:p w14:paraId="2B335A1C" w14:textId="095F564F" w:rsidR="005217D5" w:rsidRDefault="005217D5" w:rsidP="00BC70A3">
      <w:pPr>
        <w:rPr>
          <w:rFonts w:ascii="Arial Black" w:hAnsi="Arial Black"/>
          <w:b/>
          <w:sz w:val="24"/>
          <w:szCs w:val="24"/>
        </w:rPr>
      </w:pPr>
      <w:r>
        <w:rPr>
          <w:rFonts w:ascii="Arial Black" w:hAnsi="Arial Black"/>
          <w:b/>
          <w:sz w:val="24"/>
          <w:szCs w:val="24"/>
        </w:rPr>
        <w:t>8-30</w:t>
      </w:r>
    </w:p>
    <w:p w14:paraId="2E9D4824" w14:textId="77777777" w:rsidR="005217D5" w:rsidRDefault="005217D5" w:rsidP="005217D5">
      <w:pPr>
        <w:spacing w:before="100" w:beforeAutospacing="1" w:after="100" w:afterAutospacing="1" w:line="240" w:lineRule="auto"/>
        <w:rPr>
          <w:rFonts w:ascii="Arial Black" w:eastAsia="Times New Roman" w:hAnsi="Arial Black"/>
          <w:b/>
          <w:bCs/>
          <w:sz w:val="28"/>
          <w:szCs w:val="28"/>
        </w:rPr>
      </w:pPr>
      <w:r w:rsidRPr="002C3E25">
        <w:rPr>
          <w:rFonts w:ascii="Arial Black" w:eastAsia="Times New Roman" w:hAnsi="Arial Black"/>
          <w:b/>
          <w:bCs/>
          <w:sz w:val="28"/>
          <w:szCs w:val="28"/>
        </w:rPr>
        <w:t>OH</w:t>
      </w:r>
      <w:r>
        <w:rPr>
          <w:rFonts w:ascii="Arial Black" w:eastAsia="Times New Roman" w:hAnsi="Arial Black"/>
          <w:b/>
          <w:bCs/>
          <w:sz w:val="28"/>
          <w:szCs w:val="28"/>
        </w:rPr>
        <w:t xml:space="preserve">: SHIFT CHANGE TO HAVE ONE “WHITE” OFFICER ON DUTY – LAWSUIT BY 5 BLACK EMS CAPTAINS REINSTATED </w:t>
      </w:r>
    </w:p>
    <w:p w14:paraId="62E55010" w14:textId="77777777" w:rsidR="005217D5" w:rsidRPr="00F82822" w:rsidRDefault="005217D5" w:rsidP="005217D5">
      <w:pPr>
        <w:spacing w:before="100" w:beforeAutospacing="1" w:after="100" w:afterAutospacing="1" w:line="240" w:lineRule="auto"/>
        <w:rPr>
          <w:rFonts w:ascii="Times New Roman" w:eastAsia="Times New Roman" w:hAnsi="Times New Roman"/>
          <w:sz w:val="24"/>
          <w:szCs w:val="24"/>
        </w:rPr>
      </w:pPr>
      <w:r w:rsidRPr="00002E7A">
        <w:rPr>
          <w:rFonts w:ascii="Times New Roman" w:eastAsia="Times New Roman" w:hAnsi="Times New Roman"/>
          <w:sz w:val="24"/>
          <w:szCs w:val="24"/>
        </w:rPr>
        <w:t xml:space="preserve">On July 26, 2021, in </w:t>
      </w:r>
      <w:r w:rsidRPr="00002E7A">
        <w:rPr>
          <w:rFonts w:ascii="Times New Roman" w:eastAsia="Times New Roman" w:hAnsi="Times New Roman"/>
          <w:sz w:val="24"/>
          <w:szCs w:val="24"/>
          <w:u w:val="single"/>
        </w:rPr>
        <w:t>Michael Threat; Margarita Noland-Moore; Pamela Beavers; Lawrence Walker; Reginald Anderson v. City of Cleveland, Ohio; Nicole Carlton, Personally and in her official capacity as Commissioner</w:t>
      </w:r>
      <w:r w:rsidRPr="00002E7A">
        <w:rPr>
          <w:rFonts w:ascii="Times New Roman" w:eastAsia="Times New Roman" w:hAnsi="Times New Roman"/>
          <w:sz w:val="24"/>
          <w:szCs w:val="24"/>
        </w:rPr>
        <w:t xml:space="preserve">, </w:t>
      </w:r>
      <w:r>
        <w:rPr>
          <w:rFonts w:ascii="Times New Roman" w:eastAsia="Times New Roman" w:hAnsi="Times New Roman"/>
          <w:sz w:val="24"/>
          <w:szCs w:val="24"/>
        </w:rPr>
        <w:t>the U.S. Court of Appeals for 6</w:t>
      </w:r>
      <w:r w:rsidRPr="00002E7A">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(Cincinnati) held (3 to 0) that trial court improperly held shift change was not a </w:t>
      </w:r>
      <w:r w:rsidRPr="00F82822">
        <w:rPr>
          <w:rFonts w:ascii="Times New Roman" w:hAnsi="Times New Roman"/>
          <w:sz w:val="24"/>
          <w:szCs w:val="24"/>
        </w:rPr>
        <w:t>"materially adverse employment action"</w:t>
      </w:r>
      <w:r>
        <w:rPr>
          <w:rFonts w:ascii="Times New Roman" w:hAnsi="Times New Roman"/>
          <w:sz w:val="24"/>
          <w:szCs w:val="24"/>
        </w:rPr>
        <w:t xml:space="preserve"> since Captain Reginald Anderson he was only transferred to nights for five months. The 6</w:t>
      </w:r>
      <w:r w:rsidRPr="00F82822">
        <w:rPr>
          <w:rFonts w:ascii="Times New Roman" w:hAnsi="Times New Roman"/>
          <w:sz w:val="24"/>
          <w:szCs w:val="24"/>
          <w:vertAlign w:val="superscript"/>
        </w:rPr>
        <w:t>th</w:t>
      </w:r>
      <w:r>
        <w:rPr>
          <w:rFonts w:ascii="Times New Roman" w:hAnsi="Times New Roman"/>
          <w:sz w:val="24"/>
          <w:szCs w:val="24"/>
        </w:rPr>
        <w:t xml:space="preserve"> Circuit </w:t>
      </w:r>
      <w:r>
        <w:rPr>
          <w:rFonts w:ascii="Times New Roman" w:eastAsia="Times New Roman" w:hAnsi="Times New Roman"/>
          <w:sz w:val="24"/>
          <w:szCs w:val="24"/>
        </w:rPr>
        <w:t xml:space="preserve">disagreed and reinstated his lawsuit; it also ordered the trial judge to reconsider the claims by the other 4 Captains </w:t>
      </w:r>
      <w:r w:rsidRPr="00F82822">
        <w:rPr>
          <w:rFonts w:ascii="Times New Roman" w:hAnsi="Times New Roman"/>
          <w:sz w:val="24"/>
          <w:szCs w:val="24"/>
        </w:rPr>
        <w:t>that the city's race-based assignment policy</w:t>
      </w:r>
      <w:r>
        <w:rPr>
          <w:rFonts w:ascii="Times New Roman" w:hAnsi="Times New Roman"/>
          <w:sz w:val="24"/>
          <w:szCs w:val="24"/>
        </w:rPr>
        <w:t xml:space="preserve"> adversely affected them.</w:t>
      </w:r>
      <w:r w:rsidRPr="00F82822">
        <w:rPr>
          <w:rFonts w:ascii="Times New Roman" w:hAnsi="Times New Roman"/>
          <w:sz w:val="24"/>
          <w:szCs w:val="24"/>
        </w:rPr>
        <w:t xml:space="preserve"> </w:t>
      </w:r>
    </w:p>
    <w:p w14:paraId="123D5E7E" w14:textId="77777777" w:rsidR="005217D5" w:rsidRDefault="005217D5" w:rsidP="005217D5">
      <w:pPr>
        <w:spacing w:before="100" w:beforeAutospacing="1" w:after="100" w:afterAutospacing="1" w:line="240" w:lineRule="auto"/>
        <w:ind w:left="720"/>
        <w:rPr>
          <w:rFonts w:ascii="Times New Roman" w:hAnsi="Times New Roman"/>
          <w:sz w:val="24"/>
          <w:szCs w:val="24"/>
        </w:rPr>
      </w:pPr>
      <w:r w:rsidRPr="002C1532">
        <w:rPr>
          <w:rFonts w:ascii="Times New Roman" w:hAnsi="Times New Roman"/>
          <w:sz w:val="24"/>
          <w:szCs w:val="24"/>
        </w:rPr>
        <w:t>“Do discriminatory shift changes based on race violate Title VII of the Civil Rights Act of 1964? We think so.</w:t>
      </w:r>
    </w:p>
    <w:p w14:paraId="575EB1BB" w14:textId="77777777" w:rsidR="005217D5" w:rsidRDefault="005217D5" w:rsidP="005217D5">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66D54858" w14:textId="77777777" w:rsidR="005217D5" w:rsidRDefault="005217D5" w:rsidP="005217D5">
      <w:pPr>
        <w:spacing w:before="100" w:beforeAutospacing="1" w:after="100" w:afterAutospacing="1" w:line="240" w:lineRule="auto"/>
        <w:ind w:left="720"/>
        <w:rPr>
          <w:rFonts w:ascii="Times New Roman" w:hAnsi="Times New Roman"/>
          <w:sz w:val="24"/>
          <w:szCs w:val="24"/>
        </w:rPr>
      </w:pPr>
      <w:r w:rsidRPr="000D43D9">
        <w:rPr>
          <w:rFonts w:ascii="Times New Roman" w:hAnsi="Times New Roman"/>
          <w:sz w:val="24"/>
          <w:szCs w:val="24"/>
        </w:rPr>
        <w:t xml:space="preserve">There also is little room for debate that the city treated the black captains differently </w:t>
      </w:r>
      <w:r>
        <w:rPr>
          <w:rFonts w:ascii="Times New Roman" w:hAnsi="Times New Roman"/>
          <w:sz w:val="24"/>
          <w:szCs w:val="24"/>
        </w:rPr>
        <w:t>‘</w:t>
      </w:r>
      <w:r w:rsidRPr="000D43D9">
        <w:rPr>
          <w:rFonts w:ascii="Times New Roman" w:hAnsi="Times New Roman"/>
          <w:sz w:val="24"/>
          <w:szCs w:val="24"/>
        </w:rPr>
        <w:t>because of</w:t>
      </w:r>
      <w:r>
        <w:rPr>
          <w:rFonts w:ascii="Times New Roman" w:hAnsi="Times New Roman"/>
          <w:sz w:val="24"/>
          <w:szCs w:val="24"/>
        </w:rPr>
        <w:t>’</w:t>
      </w:r>
      <w:r w:rsidRPr="000D43D9">
        <w:rPr>
          <w:rFonts w:ascii="Times New Roman" w:hAnsi="Times New Roman"/>
          <w:sz w:val="24"/>
          <w:szCs w:val="24"/>
        </w:rPr>
        <w:t xml:space="preserve"> their </w:t>
      </w:r>
      <w:r>
        <w:rPr>
          <w:rFonts w:ascii="Times New Roman" w:hAnsi="Times New Roman"/>
          <w:sz w:val="24"/>
          <w:szCs w:val="24"/>
        </w:rPr>
        <w:t>‘</w:t>
      </w:r>
      <w:r w:rsidRPr="000D43D9">
        <w:rPr>
          <w:rFonts w:ascii="Times New Roman" w:hAnsi="Times New Roman"/>
          <w:sz w:val="24"/>
          <w:szCs w:val="24"/>
        </w:rPr>
        <w:t>race.</w:t>
      </w:r>
      <w:r>
        <w:rPr>
          <w:rFonts w:ascii="Times New Roman" w:hAnsi="Times New Roman"/>
          <w:sz w:val="24"/>
          <w:szCs w:val="24"/>
        </w:rPr>
        <w:t>’</w:t>
      </w:r>
      <w:r w:rsidRPr="000D43D9">
        <w:rPr>
          <w:rFonts w:ascii="Times New Roman" w:hAnsi="Times New Roman"/>
          <w:sz w:val="24"/>
          <w:szCs w:val="24"/>
        </w:rPr>
        <w:t xml:space="preserve"> </w:t>
      </w:r>
      <w:r>
        <w:rPr>
          <w:rFonts w:ascii="Times New Roman" w:hAnsi="Times New Roman"/>
          <w:sz w:val="24"/>
          <w:szCs w:val="24"/>
        </w:rPr>
        <w:t xml:space="preserve"> [Cleveland EMS Commission Nicole] </w:t>
      </w:r>
      <w:r w:rsidRPr="000D43D9">
        <w:rPr>
          <w:rFonts w:ascii="Times New Roman" w:hAnsi="Times New Roman"/>
          <w:sz w:val="24"/>
          <w:szCs w:val="24"/>
        </w:rPr>
        <w:t>Carlton admitted that she switched out a black captain for a white one to adjust the shift's racial makeup. That counts as direct evidence of discrimination based on race.</w:t>
      </w:r>
    </w:p>
    <w:p w14:paraId="1F454A03" w14:textId="77777777" w:rsidR="005217D5" w:rsidRDefault="005217D5" w:rsidP="005217D5">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40351A19" w14:textId="77777777" w:rsidR="005217D5" w:rsidRPr="000D43D9" w:rsidRDefault="005217D5" w:rsidP="005217D5">
      <w:pPr>
        <w:spacing w:before="100" w:beforeAutospacing="1" w:after="100" w:afterAutospacing="1" w:line="240" w:lineRule="auto"/>
        <w:ind w:left="720"/>
        <w:rPr>
          <w:rFonts w:ascii="Times New Roman" w:eastAsia="Times New Roman" w:hAnsi="Times New Roman"/>
          <w:sz w:val="24"/>
          <w:szCs w:val="24"/>
        </w:rPr>
      </w:pPr>
      <w:r w:rsidRPr="000D43D9">
        <w:rPr>
          <w:rFonts w:ascii="Times New Roman" w:hAnsi="Times New Roman"/>
          <w:sz w:val="24"/>
          <w:szCs w:val="24"/>
        </w:rPr>
        <w:t xml:space="preserve">In this instance, employer-required shift changes from </w:t>
      </w:r>
      <w:proofErr w:type="gramStart"/>
      <w:r w:rsidRPr="000D43D9">
        <w:rPr>
          <w:rFonts w:ascii="Times New Roman" w:hAnsi="Times New Roman"/>
          <w:sz w:val="24"/>
          <w:szCs w:val="24"/>
        </w:rPr>
        <w:t>a preferred</w:t>
      </w:r>
      <w:proofErr w:type="gramEnd"/>
      <w:r w:rsidRPr="000D43D9">
        <w:rPr>
          <w:rFonts w:ascii="Times New Roman" w:hAnsi="Times New Roman"/>
          <w:sz w:val="24"/>
          <w:szCs w:val="24"/>
        </w:rPr>
        <w:t xml:space="preserve"> day to another day or from day shifts to night shifts exceed any de minimis exception, any fair construction of the anchoring words of Title VII, and for that matter any Article III injury requirement. Whether we refer to claims of discrimination based on race in </w:t>
      </w:r>
      <w:r>
        <w:rPr>
          <w:rFonts w:ascii="Times New Roman" w:hAnsi="Times New Roman"/>
          <w:sz w:val="24"/>
          <w:szCs w:val="24"/>
        </w:rPr>
        <w:t>‘</w:t>
      </w:r>
      <w:r w:rsidRPr="000D43D9">
        <w:rPr>
          <w:rFonts w:ascii="Times New Roman" w:hAnsi="Times New Roman"/>
          <w:sz w:val="24"/>
          <w:szCs w:val="24"/>
        </w:rPr>
        <w:t>terms</w:t>
      </w:r>
      <w:r>
        <w:rPr>
          <w:rFonts w:ascii="Times New Roman" w:hAnsi="Times New Roman"/>
          <w:sz w:val="24"/>
          <w:szCs w:val="24"/>
        </w:rPr>
        <w:t>’</w:t>
      </w:r>
      <w:r w:rsidRPr="000D43D9">
        <w:rPr>
          <w:rFonts w:ascii="Times New Roman" w:hAnsi="Times New Roman"/>
          <w:sz w:val="24"/>
          <w:szCs w:val="24"/>
        </w:rPr>
        <w:t xml:space="preserve"> or </w:t>
      </w:r>
      <w:r>
        <w:rPr>
          <w:rFonts w:ascii="Times New Roman" w:hAnsi="Times New Roman"/>
          <w:sz w:val="24"/>
          <w:szCs w:val="24"/>
        </w:rPr>
        <w:t>‘</w:t>
      </w:r>
      <w:r w:rsidRPr="000D43D9">
        <w:rPr>
          <w:rFonts w:ascii="Times New Roman" w:hAnsi="Times New Roman"/>
          <w:sz w:val="24"/>
          <w:szCs w:val="24"/>
        </w:rPr>
        <w:t>privileges</w:t>
      </w:r>
      <w:r>
        <w:rPr>
          <w:rFonts w:ascii="Times New Roman" w:hAnsi="Times New Roman"/>
          <w:sz w:val="24"/>
          <w:szCs w:val="24"/>
        </w:rPr>
        <w:t>’</w:t>
      </w:r>
      <w:r w:rsidRPr="000D43D9">
        <w:rPr>
          <w:rFonts w:ascii="Times New Roman" w:hAnsi="Times New Roman"/>
          <w:sz w:val="24"/>
          <w:szCs w:val="24"/>
        </w:rPr>
        <w:t xml:space="preserve"> of employment or to claims of discrimination based on race in </w:t>
      </w:r>
      <w:r>
        <w:rPr>
          <w:rFonts w:ascii="Times New Roman" w:hAnsi="Times New Roman"/>
          <w:sz w:val="24"/>
          <w:szCs w:val="24"/>
        </w:rPr>
        <w:t>‘</w:t>
      </w:r>
      <w:r w:rsidRPr="000D43D9">
        <w:rPr>
          <w:rFonts w:ascii="Times New Roman" w:hAnsi="Times New Roman"/>
          <w:sz w:val="24"/>
          <w:szCs w:val="24"/>
        </w:rPr>
        <w:t>materially adverse</w:t>
      </w:r>
      <w:r>
        <w:rPr>
          <w:rFonts w:ascii="Times New Roman" w:hAnsi="Times New Roman"/>
          <w:sz w:val="24"/>
          <w:szCs w:val="24"/>
        </w:rPr>
        <w:t>’</w:t>
      </w:r>
      <w:r w:rsidRPr="000D43D9">
        <w:rPr>
          <w:rFonts w:ascii="Times New Roman" w:hAnsi="Times New Roman"/>
          <w:sz w:val="24"/>
          <w:szCs w:val="24"/>
        </w:rPr>
        <w:t xml:space="preserve"> terms of employment, the conclusion is the same: They state a cognizable claim under Title VII when they refer to shift changes of this sort and under these circumstances.</w:t>
      </w:r>
      <w:r>
        <w:rPr>
          <w:rFonts w:ascii="Times New Roman" w:hAnsi="Times New Roman"/>
          <w:sz w:val="24"/>
          <w:szCs w:val="24"/>
        </w:rPr>
        <w:t xml:space="preserve">” </w:t>
      </w:r>
      <w:hyperlink r:id="rId1602" w:history="1">
        <w:r w:rsidRPr="00814A02">
          <w:rPr>
            <w:rStyle w:val="Hyperlink"/>
            <w:sz w:val="24"/>
            <w:szCs w:val="24"/>
          </w:rPr>
          <w:t>https://www.justice.gov/crt/case-document/file/1419071/download</w:t>
        </w:r>
      </w:hyperlink>
      <w:r>
        <w:rPr>
          <w:rFonts w:ascii="Times New Roman" w:hAnsi="Times New Roman"/>
          <w:sz w:val="24"/>
          <w:szCs w:val="24"/>
        </w:rPr>
        <w:t xml:space="preserve"> </w:t>
      </w:r>
    </w:p>
    <w:p w14:paraId="6A343B0B" w14:textId="77777777" w:rsidR="005217D5" w:rsidRDefault="005217D5" w:rsidP="005217D5">
      <w:pPr>
        <w:pStyle w:val="Heading1"/>
        <w:rPr>
          <w:b w:val="0"/>
          <w:bCs w:val="0"/>
          <w:sz w:val="24"/>
          <w:szCs w:val="24"/>
        </w:rPr>
      </w:pPr>
      <w:r w:rsidRPr="00DB6861">
        <w:rPr>
          <w:sz w:val="24"/>
          <w:szCs w:val="24"/>
        </w:rPr>
        <w:t>Legal Lesson Learned: Using race to “balance a shift” is an invitation to a lawsuit</w:t>
      </w:r>
      <w:r>
        <w:rPr>
          <w:sz w:val="24"/>
          <w:szCs w:val="24"/>
        </w:rPr>
        <w:t xml:space="preserve">; this case needs to be settled. </w:t>
      </w:r>
    </w:p>
    <w:p w14:paraId="70CA0888" w14:textId="77777777" w:rsidR="005217D5" w:rsidRPr="00DB6861" w:rsidRDefault="005217D5" w:rsidP="005217D5">
      <w:pPr>
        <w:pStyle w:val="Heading1"/>
        <w:ind w:left="720"/>
        <w:rPr>
          <w:b w:val="0"/>
          <w:bCs w:val="0"/>
          <w:sz w:val="24"/>
          <w:szCs w:val="24"/>
        </w:rPr>
      </w:pPr>
      <w:r w:rsidRPr="00311032">
        <w:rPr>
          <w:b w:val="0"/>
          <w:bCs w:val="0"/>
          <w:sz w:val="24"/>
          <w:szCs w:val="24"/>
        </w:rPr>
        <w:t>See also Ohio Civil Rights Commission ruling</w:t>
      </w:r>
      <w:r>
        <w:rPr>
          <w:sz w:val="24"/>
          <w:szCs w:val="24"/>
        </w:rPr>
        <w:t>.</w:t>
      </w:r>
      <w:r>
        <w:rPr>
          <w:b w:val="0"/>
          <w:bCs w:val="0"/>
          <w:sz w:val="24"/>
          <w:szCs w:val="24"/>
        </w:rPr>
        <w:t xml:space="preserve"> “</w:t>
      </w:r>
      <w:r w:rsidRPr="00DB6861">
        <w:rPr>
          <w:b w:val="0"/>
          <w:bCs w:val="0"/>
          <w:sz w:val="24"/>
          <w:szCs w:val="24"/>
        </w:rPr>
        <w:t>I-Team: Race and sex used to schedule EMS bosses</w:t>
      </w:r>
      <w:r>
        <w:rPr>
          <w:b w:val="0"/>
          <w:bCs w:val="0"/>
          <w:sz w:val="24"/>
          <w:szCs w:val="24"/>
        </w:rPr>
        <w:t xml:space="preserve">.” (Aug. 3, 2018). </w:t>
      </w:r>
      <w:r w:rsidRPr="00DB6861">
        <w:rPr>
          <w:b w:val="0"/>
          <w:bCs w:val="0"/>
          <w:sz w:val="24"/>
          <w:szCs w:val="24"/>
        </w:rPr>
        <w:t xml:space="preserve">CLEVELAND — The FOX 8 I-Team has uncovered an explosive ruling by the Ohio </w:t>
      </w:r>
      <w:r w:rsidRPr="00DB6861">
        <w:rPr>
          <w:b w:val="0"/>
          <w:bCs w:val="0"/>
          <w:sz w:val="24"/>
          <w:szCs w:val="24"/>
        </w:rPr>
        <w:lastRenderedPageBreak/>
        <w:t xml:space="preserve">Civil Rights Commission finding that </w:t>
      </w:r>
      <w:hyperlink r:id="rId1603" w:history="1">
        <w:r w:rsidRPr="00DB6861">
          <w:rPr>
            <w:rStyle w:val="Hyperlink"/>
            <w:sz w:val="24"/>
            <w:szCs w:val="24"/>
          </w:rPr>
          <w:t>Cleveland EMS</w:t>
        </w:r>
      </w:hyperlink>
      <w:r w:rsidRPr="00DB6861">
        <w:rPr>
          <w:b w:val="0"/>
          <w:bCs w:val="0"/>
          <w:sz w:val="24"/>
          <w:szCs w:val="24"/>
        </w:rPr>
        <w:t xml:space="preserve"> “more likely than not” assigned work shifts to Captains on the “basis of race and sex.” The Commission found it “PROBABLE” the city “has engaged in an unlawful discriminatory practice.” </w:t>
      </w:r>
      <w:hyperlink r:id="rId1604" w:history="1">
        <w:r w:rsidRPr="00DB6861">
          <w:rPr>
            <w:rStyle w:val="Hyperlink"/>
            <w:sz w:val="24"/>
            <w:szCs w:val="24"/>
          </w:rPr>
          <w:t>https://fox8.com/news/i-team-race-and-sex-used-to-schedule-ems-bosses/</w:t>
        </w:r>
      </w:hyperlink>
      <w:r>
        <w:rPr>
          <w:b w:val="0"/>
          <w:bCs w:val="0"/>
          <w:sz w:val="24"/>
          <w:szCs w:val="24"/>
        </w:rPr>
        <w:t xml:space="preserve"> </w:t>
      </w:r>
    </w:p>
    <w:p w14:paraId="11B64D0F" w14:textId="77777777" w:rsidR="005217D5" w:rsidRPr="00780B1D" w:rsidRDefault="005217D5" w:rsidP="005217D5">
      <w:pPr>
        <w:pStyle w:val="Heading1"/>
        <w:ind w:left="720"/>
        <w:rPr>
          <w:b w:val="0"/>
          <w:bCs w:val="0"/>
          <w:sz w:val="24"/>
          <w:szCs w:val="24"/>
        </w:rPr>
      </w:pPr>
      <w:r w:rsidRPr="001D5CFD">
        <w:rPr>
          <w:b w:val="0"/>
          <w:bCs w:val="0"/>
          <w:sz w:val="24"/>
          <w:szCs w:val="24"/>
        </w:rPr>
        <w:t>Note: See article on the</w:t>
      </w:r>
      <w:r>
        <w:rPr>
          <w:b w:val="0"/>
          <w:bCs w:val="0"/>
          <w:sz w:val="24"/>
          <w:szCs w:val="24"/>
        </w:rPr>
        <w:t xml:space="preserve"> 6th Cir. </w:t>
      </w:r>
      <w:r w:rsidRPr="001D5CFD">
        <w:rPr>
          <w:b w:val="0"/>
          <w:bCs w:val="0"/>
          <w:sz w:val="24"/>
          <w:szCs w:val="24"/>
        </w:rPr>
        <w:t xml:space="preserve"> decision.</w:t>
      </w:r>
      <w:r>
        <w:rPr>
          <w:sz w:val="24"/>
          <w:szCs w:val="24"/>
        </w:rPr>
        <w:t xml:space="preserve">  “</w:t>
      </w:r>
      <w:r w:rsidRPr="001D5CFD">
        <w:rPr>
          <w:b w:val="0"/>
          <w:bCs w:val="0"/>
          <w:sz w:val="24"/>
          <w:szCs w:val="24"/>
        </w:rPr>
        <w:t>Court rules in favor of five Cleveland EMS Captains who claimed discrimination against their boss</w:t>
      </w:r>
      <w:r>
        <w:rPr>
          <w:b w:val="0"/>
          <w:bCs w:val="0"/>
          <w:sz w:val="24"/>
          <w:szCs w:val="24"/>
        </w:rPr>
        <w:t>.” (July 27, 2021.) “</w:t>
      </w:r>
      <w:r w:rsidRPr="001D5CFD">
        <w:rPr>
          <w:b w:val="0"/>
          <w:bCs w:val="0"/>
          <w:sz w:val="24"/>
          <w:szCs w:val="24"/>
        </w:rPr>
        <w:t xml:space="preserve">Carlton admitted under oath that she required Black Captains to face a shift change when the shift was all Black when “there’s never been a change made when there’s </w:t>
      </w:r>
      <w:proofErr w:type="gramStart"/>
      <w:r w:rsidRPr="001D5CFD">
        <w:rPr>
          <w:b w:val="0"/>
          <w:bCs w:val="0"/>
          <w:sz w:val="24"/>
          <w:szCs w:val="24"/>
        </w:rPr>
        <w:t>an</w:t>
      </w:r>
      <w:proofErr w:type="gramEnd"/>
      <w:r w:rsidRPr="001D5CFD">
        <w:rPr>
          <w:b w:val="0"/>
          <w:bCs w:val="0"/>
          <w:sz w:val="24"/>
          <w:szCs w:val="24"/>
        </w:rPr>
        <w:t xml:space="preserve"> all Caucasian shift, to make it a not all Caucasian </w:t>
      </w:r>
      <w:proofErr w:type="gramStart"/>
      <w:r w:rsidRPr="001D5CFD">
        <w:rPr>
          <w:b w:val="0"/>
          <w:bCs w:val="0"/>
          <w:sz w:val="24"/>
          <w:szCs w:val="24"/>
        </w:rPr>
        <w:t>shift</w:t>
      </w:r>
      <w:proofErr w:type="gramEnd"/>
      <w:r w:rsidRPr="001D5CFD">
        <w:rPr>
          <w:b w:val="0"/>
          <w:bCs w:val="0"/>
          <w:sz w:val="24"/>
          <w:szCs w:val="24"/>
        </w:rPr>
        <w:t>.</w:t>
      </w:r>
      <w:r>
        <w:rPr>
          <w:b w:val="0"/>
          <w:bCs w:val="0"/>
          <w:sz w:val="24"/>
          <w:szCs w:val="24"/>
        </w:rPr>
        <w:t>”</w:t>
      </w:r>
      <w:r>
        <w:t xml:space="preserve"> </w:t>
      </w:r>
      <w:hyperlink r:id="rId1605" w:history="1">
        <w:r w:rsidRPr="00780B1D">
          <w:rPr>
            <w:rStyle w:val="Hyperlink"/>
            <w:sz w:val="24"/>
            <w:szCs w:val="24"/>
          </w:rPr>
          <w:t>https://www.cleveland19.com/2021/07/27/court-rules-favor-five-cleveland-ems-captains-who-claimed-discrimination-against-their-boss/</w:t>
        </w:r>
      </w:hyperlink>
      <w:r w:rsidRPr="00780B1D">
        <w:rPr>
          <w:b w:val="0"/>
          <w:bCs w:val="0"/>
          <w:sz w:val="24"/>
          <w:szCs w:val="24"/>
        </w:rPr>
        <w:t xml:space="preserve"> </w:t>
      </w:r>
    </w:p>
    <w:p w14:paraId="19B6F179" w14:textId="77777777" w:rsidR="005217D5" w:rsidRDefault="005217D5" w:rsidP="005217D5">
      <w:pPr>
        <w:pStyle w:val="Heading1"/>
        <w:ind w:left="720"/>
        <w:rPr>
          <w:b w:val="0"/>
          <w:bCs w:val="0"/>
          <w:sz w:val="24"/>
          <w:szCs w:val="24"/>
        </w:rPr>
      </w:pPr>
      <w:r>
        <w:rPr>
          <w:b w:val="0"/>
          <w:bCs w:val="0"/>
          <w:sz w:val="24"/>
          <w:szCs w:val="24"/>
        </w:rPr>
        <w:t>See also: “</w:t>
      </w:r>
      <w:r w:rsidRPr="002C1532">
        <w:rPr>
          <w:b w:val="0"/>
          <w:bCs w:val="0"/>
          <w:sz w:val="24"/>
          <w:szCs w:val="24"/>
        </w:rPr>
        <w:t>DOJ Says Black EMS Captains Can Prove Bias Without Material Harm</w:t>
      </w:r>
      <w:r>
        <w:rPr>
          <w:b w:val="0"/>
          <w:bCs w:val="0"/>
          <w:sz w:val="24"/>
          <w:szCs w:val="24"/>
        </w:rPr>
        <w:t xml:space="preserve">.” (July 13, 2021.) </w:t>
      </w:r>
      <w:hyperlink r:id="rId1606" w:history="1">
        <w:r w:rsidRPr="00814A02">
          <w:rPr>
            <w:rStyle w:val="Hyperlink"/>
            <w:sz w:val="24"/>
            <w:szCs w:val="24"/>
          </w:rPr>
          <w:t>https://news.bloomberglaw.com/daily-labor-report/doj-says-black-ems-captains-can-prove-bias-without-material-harm</w:t>
        </w:r>
      </w:hyperlink>
      <w:r>
        <w:rPr>
          <w:b w:val="0"/>
          <w:bCs w:val="0"/>
          <w:sz w:val="24"/>
          <w:szCs w:val="24"/>
        </w:rPr>
        <w:t xml:space="preserve"> </w:t>
      </w:r>
    </w:p>
    <w:p w14:paraId="1A5A6B34" w14:textId="77777777" w:rsidR="005217D5" w:rsidRDefault="005217D5" w:rsidP="005217D5">
      <w:pPr>
        <w:pStyle w:val="Heading1"/>
        <w:ind w:left="720"/>
        <w:rPr>
          <w:b w:val="0"/>
          <w:bCs w:val="0"/>
          <w:sz w:val="24"/>
          <w:szCs w:val="24"/>
        </w:rPr>
      </w:pPr>
    </w:p>
    <w:p w14:paraId="650291B9" w14:textId="77777777" w:rsidR="005217D5" w:rsidRDefault="005217D5" w:rsidP="00BC70A3">
      <w:pPr>
        <w:rPr>
          <w:rFonts w:ascii="Arial Black" w:hAnsi="Arial Black"/>
          <w:b/>
          <w:sz w:val="24"/>
          <w:szCs w:val="24"/>
        </w:rPr>
      </w:pPr>
    </w:p>
    <w:p w14:paraId="707FE524" w14:textId="77777777" w:rsidR="005217D5" w:rsidRDefault="005217D5" w:rsidP="00BC70A3">
      <w:pPr>
        <w:rPr>
          <w:rFonts w:ascii="Arial Black" w:hAnsi="Arial Black"/>
          <w:b/>
          <w:sz w:val="24"/>
          <w:szCs w:val="24"/>
        </w:rPr>
      </w:pPr>
    </w:p>
    <w:p w14:paraId="348674BE" w14:textId="6C14AEB9" w:rsidR="0077274E" w:rsidRDefault="0077274E" w:rsidP="00BC70A3">
      <w:pPr>
        <w:rPr>
          <w:rFonts w:ascii="Arial Black" w:hAnsi="Arial Black"/>
          <w:b/>
          <w:sz w:val="24"/>
          <w:szCs w:val="24"/>
        </w:rPr>
      </w:pPr>
      <w:r>
        <w:rPr>
          <w:rFonts w:ascii="Arial Black" w:hAnsi="Arial Black"/>
          <w:b/>
          <w:sz w:val="24"/>
          <w:szCs w:val="24"/>
        </w:rPr>
        <w:t>8-29</w:t>
      </w:r>
    </w:p>
    <w:p w14:paraId="18B376EC" w14:textId="77777777" w:rsidR="00EA7C42" w:rsidRPr="00EA7C42" w:rsidRDefault="00EA7C42" w:rsidP="00EA7C42">
      <w:pPr>
        <w:rPr>
          <w:rFonts w:ascii="Arial Black" w:hAnsi="Arial Black"/>
          <w:b/>
          <w:bCs/>
          <w:sz w:val="28"/>
          <w:szCs w:val="28"/>
        </w:rPr>
      </w:pPr>
      <w:r w:rsidRPr="00EA7C42">
        <w:rPr>
          <w:rFonts w:ascii="Arial Black" w:hAnsi="Arial Black"/>
          <w:b/>
          <w:bCs/>
          <w:sz w:val="28"/>
          <w:szCs w:val="28"/>
        </w:rPr>
        <w:t>MA: LT. MISTAKENLY LEFT “N” WORD VOICEMAIL - RACE COMPLAINT - THREATS “GO POSTAL” – FF REINSTATED</w:t>
      </w:r>
    </w:p>
    <w:p w14:paraId="51C70952" w14:textId="77777777" w:rsidR="0077274E" w:rsidRDefault="0077274E" w:rsidP="0077274E">
      <w:pPr>
        <w:spacing w:before="100" w:beforeAutospacing="1" w:after="100" w:afterAutospacing="1" w:line="240" w:lineRule="auto"/>
        <w:rPr>
          <w:rFonts w:ascii="Times New Roman" w:eastAsia="Times New Roman" w:hAnsi="Times New Roman"/>
          <w:sz w:val="24"/>
          <w:szCs w:val="24"/>
        </w:rPr>
      </w:pPr>
      <w:r w:rsidRPr="00FE7451">
        <w:rPr>
          <w:rFonts w:ascii="Times New Roman" w:eastAsia="Times New Roman" w:hAnsi="Times New Roman"/>
          <w:sz w:val="24"/>
          <w:szCs w:val="24"/>
        </w:rPr>
        <w:t> </w:t>
      </w:r>
      <w:r>
        <w:rPr>
          <w:rFonts w:ascii="Times New Roman" w:eastAsia="Times New Roman" w:hAnsi="Times New Roman"/>
          <w:sz w:val="24"/>
          <w:szCs w:val="24"/>
        </w:rPr>
        <w:t xml:space="preserve">On April 27, 2021, in </w:t>
      </w:r>
      <w:r w:rsidRPr="00FE7451">
        <w:rPr>
          <w:rFonts w:ascii="Times New Roman" w:eastAsia="Times New Roman" w:hAnsi="Times New Roman"/>
          <w:sz w:val="24"/>
          <w:szCs w:val="24"/>
          <w:u w:val="single"/>
        </w:rPr>
        <w:t>Town of Brookline v. Gerald Alston, et al</w:t>
      </w:r>
      <w:r>
        <w:rPr>
          <w:rFonts w:ascii="Times New Roman" w:eastAsia="Times New Roman" w:hAnsi="Times New Roman"/>
          <w:sz w:val="24"/>
          <w:szCs w:val="24"/>
        </w:rPr>
        <w:t xml:space="preserve">., the Supreme Judicial Court of Massachusetts (Chief Justice Scott L. </w:t>
      </w:r>
      <w:proofErr w:type="spellStart"/>
      <w:r>
        <w:rPr>
          <w:rFonts w:ascii="Times New Roman" w:eastAsia="Times New Roman" w:hAnsi="Times New Roman"/>
          <w:sz w:val="24"/>
          <w:szCs w:val="24"/>
        </w:rPr>
        <w:t>Kafker</w:t>
      </w:r>
      <w:proofErr w:type="spellEnd"/>
      <w:r>
        <w:rPr>
          <w:rFonts w:ascii="Times New Roman" w:eastAsia="Times New Roman" w:hAnsi="Times New Roman"/>
          <w:sz w:val="24"/>
          <w:szCs w:val="24"/>
        </w:rPr>
        <w:t>), after 6 years of litigation, upheld the Civil Service Commission and a trial court’s decision to reinstate the firefighter.  The Civil Service Commission, after a 10-day evidentiary hearing (14 witnesses; 280 exhibits) ordered him reinstated; the Town appealed to a Superior Court judge, who held for the firefighter; the Town then filed this appeal and lost again. In 2016, plaintiff was fired for refusing to comply with three (3) return to work conditions as recommended by psychiatrist retained by Town: “</w:t>
      </w:r>
      <w:r w:rsidRPr="00784C0E">
        <w:rPr>
          <w:rFonts w:ascii="Times New Roman" w:eastAsia="Times New Roman" w:hAnsi="Times New Roman"/>
          <w:sz w:val="24"/>
          <w:szCs w:val="24"/>
        </w:rPr>
        <w:t>First, Alston would have to receive monthly treatment from a psychiatrist and weekly treatment with a therapist. Second, there would have to be reasonable</w:t>
      </w:r>
      <w:r>
        <w:rPr>
          <w:rFonts w:ascii="Times New Roman" w:eastAsia="Times New Roman" w:hAnsi="Times New Roman"/>
          <w:sz w:val="24"/>
          <w:szCs w:val="24"/>
        </w:rPr>
        <w:t xml:space="preserve"> </w:t>
      </w:r>
      <w:r w:rsidRPr="00784C0E">
        <w:rPr>
          <w:rFonts w:ascii="Times New Roman" w:eastAsia="Times New Roman" w:hAnsi="Times New Roman"/>
          <w:sz w:val="24"/>
          <w:szCs w:val="24"/>
        </w:rPr>
        <w:t xml:space="preserve">workplace </w:t>
      </w:r>
      <w:proofErr w:type="gramStart"/>
      <w:r w:rsidRPr="00784C0E">
        <w:rPr>
          <w:rFonts w:ascii="Times New Roman" w:eastAsia="Times New Roman" w:hAnsi="Times New Roman"/>
          <w:sz w:val="24"/>
          <w:szCs w:val="24"/>
        </w:rPr>
        <w:t>accommodations</w:t>
      </w:r>
      <w:proofErr w:type="gramEnd"/>
      <w:r w:rsidRPr="00784C0E">
        <w:rPr>
          <w:rFonts w:ascii="Times New Roman" w:eastAsia="Times New Roman" w:hAnsi="Times New Roman"/>
          <w:sz w:val="24"/>
          <w:szCs w:val="24"/>
        </w:rPr>
        <w:t xml:space="preserve"> that reduced the level of stress for Alston. Third, Alston would have to undergo random drug screening for two years after he returned to work.</w:t>
      </w:r>
      <w:r>
        <w:rPr>
          <w:rFonts w:ascii="Times New Roman" w:eastAsia="Times New Roman" w:hAnsi="Times New Roman"/>
          <w:sz w:val="24"/>
          <w:szCs w:val="24"/>
        </w:rPr>
        <w:t xml:space="preserve">”  </w:t>
      </w:r>
    </w:p>
    <w:p w14:paraId="5BBD6914" w14:textId="77777777" w:rsidR="0077274E" w:rsidRDefault="0077274E" w:rsidP="0077274E">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r w:rsidRPr="00963D04">
        <w:rPr>
          <w:rFonts w:ascii="Times New Roman" w:hAnsi="Times New Roman"/>
          <w:sz w:val="24"/>
          <w:szCs w:val="24"/>
        </w:rPr>
        <w:t xml:space="preserve">The underlying dispute in this case began with a racist comment, apparently on a misplaced telephone call. As Lieutenant Paul Pender was in a car driven by his son, he was cut off by a stranger. Pender referred to the person as a "fucking n----r." Unbeknownst to him, Pender had not properly hung up from a previous call, and he left a record of what he said on the voicemail of fellow firefighter Gerald Alston. Alston is </w:t>
      </w:r>
      <w:proofErr w:type="gramStart"/>
      <w:r w:rsidRPr="00963D04">
        <w:rPr>
          <w:rFonts w:ascii="Times New Roman" w:hAnsi="Times New Roman"/>
          <w:sz w:val="24"/>
          <w:szCs w:val="24"/>
        </w:rPr>
        <w:t>African-American</w:t>
      </w:r>
      <w:proofErr w:type="gramEnd"/>
      <w:r w:rsidRPr="00963D04">
        <w:rPr>
          <w:rFonts w:ascii="Times New Roman" w:hAnsi="Times New Roman"/>
          <w:sz w:val="24"/>
          <w:szCs w:val="24"/>
        </w:rPr>
        <w:t>; Pender, his supervisor at the time, is Caucasian. A tumultuous six years of litigation and acrimony ensued, culminating in 2016 with Pender receiving his third promotion since leaving the voicemail and Alston being fired by the town of Brookline (town).</w:t>
      </w:r>
    </w:p>
    <w:p w14:paraId="0C751064" w14:textId="77777777" w:rsidR="0077274E" w:rsidRDefault="0077274E" w:rsidP="0077274E">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p>
    <w:p w14:paraId="020283EE" w14:textId="77777777" w:rsidR="0077274E" w:rsidRPr="00A30885" w:rsidRDefault="0077274E" w:rsidP="0077274E">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w:t>
      </w:r>
      <w:r w:rsidRPr="002C4711">
        <w:rPr>
          <w:rFonts w:ascii="Times New Roman" w:eastAsia="Times New Roman" w:hAnsi="Times New Roman"/>
          <w:sz w:val="24"/>
          <w:szCs w:val="24"/>
        </w:rPr>
        <w:t xml:space="preserve">e </w:t>
      </w:r>
      <w:proofErr w:type="gramStart"/>
      <w:r w:rsidRPr="002C4711">
        <w:rPr>
          <w:rFonts w:ascii="Times New Roman" w:eastAsia="Times New Roman" w:hAnsi="Times New Roman"/>
          <w:sz w:val="24"/>
          <w:szCs w:val="24"/>
        </w:rPr>
        <w:t>conclude</w:t>
      </w:r>
      <w:proofErr w:type="gramEnd"/>
      <w:r w:rsidRPr="002C4711">
        <w:rPr>
          <w:rFonts w:ascii="Times New Roman" w:eastAsia="Times New Roman" w:hAnsi="Times New Roman"/>
          <w:sz w:val="24"/>
          <w:szCs w:val="24"/>
        </w:rPr>
        <w:t xml:space="preserve"> that there is substantial evidence to support the commission's determination that the town acted arbitrarily and capriciously and in violation of </w:t>
      </w:r>
      <w:r>
        <w:rPr>
          <w:rFonts w:ascii="Times New Roman" w:eastAsia="Times New Roman" w:hAnsi="Times New Roman"/>
          <w:sz w:val="24"/>
          <w:szCs w:val="24"/>
        </w:rPr>
        <w:t>‘</w:t>
      </w:r>
      <w:r w:rsidRPr="002C4711">
        <w:rPr>
          <w:rFonts w:ascii="Times New Roman" w:eastAsia="Times New Roman" w:hAnsi="Times New Roman"/>
          <w:sz w:val="24"/>
          <w:szCs w:val="24"/>
        </w:rPr>
        <w:t xml:space="preserve">Alston's rights under the civil service law to be treated fairly 'without regard to . . . race.' Considering Pender's racist comment, the retaliatory actions, </w:t>
      </w:r>
      <w:r w:rsidRPr="002C4711">
        <w:rPr>
          <w:rFonts w:ascii="Times New Roman" w:eastAsia="Times New Roman" w:hAnsi="Times New Roman"/>
          <w:sz w:val="24"/>
          <w:szCs w:val="24"/>
        </w:rPr>
        <w:lastRenderedPageBreak/>
        <w:t>and the town's continuously insensitive and inappropriate, if not outright</w:t>
      </w:r>
      <w:r>
        <w:rPr>
          <w:rFonts w:ascii="Times New Roman" w:eastAsia="Times New Roman" w:hAnsi="Times New Roman"/>
          <w:sz w:val="24"/>
          <w:szCs w:val="24"/>
        </w:rPr>
        <w:t xml:space="preserve"> </w:t>
      </w:r>
      <w:r w:rsidRPr="002C4711">
        <w:rPr>
          <w:rFonts w:ascii="Times New Roman" w:eastAsia="Times New Roman" w:hAnsi="Times New Roman"/>
          <w:sz w:val="24"/>
          <w:szCs w:val="24"/>
        </w:rPr>
        <w:t xml:space="preserve">discriminatory, responses, the commission's findings constitute </w:t>
      </w:r>
      <w:r>
        <w:rPr>
          <w:rFonts w:ascii="Times New Roman" w:eastAsia="Times New Roman" w:hAnsi="Times New Roman"/>
          <w:sz w:val="24"/>
          <w:szCs w:val="24"/>
        </w:rPr>
        <w:t>‘</w:t>
      </w:r>
      <w:r w:rsidRPr="002C4711">
        <w:rPr>
          <w:rFonts w:ascii="Times New Roman" w:eastAsia="Times New Roman" w:hAnsi="Times New Roman"/>
          <w:sz w:val="24"/>
          <w:szCs w:val="24"/>
        </w:rPr>
        <w:t>such evidence as a reasonable mind might accept as adequate to support</w:t>
      </w:r>
      <w:r>
        <w:rPr>
          <w:rFonts w:ascii="Times New Roman" w:eastAsia="Times New Roman" w:hAnsi="Times New Roman"/>
          <w:sz w:val="24"/>
          <w:szCs w:val="24"/>
        </w:rPr>
        <w:t>’</w:t>
      </w:r>
      <w:r w:rsidRPr="002C4711">
        <w:rPr>
          <w:rFonts w:ascii="Times New Roman" w:eastAsia="Times New Roman" w:hAnsi="Times New Roman"/>
          <w:sz w:val="24"/>
          <w:szCs w:val="24"/>
        </w:rPr>
        <w:t xml:space="preserve"> the conclusion that the town caused Alston's unfitness preventing his return to work.</w:t>
      </w:r>
      <w:r>
        <w:rPr>
          <w:rFonts w:ascii="Times New Roman" w:eastAsia="Times New Roman" w:hAnsi="Times New Roman"/>
          <w:sz w:val="24"/>
          <w:szCs w:val="24"/>
        </w:rPr>
        <w:t xml:space="preserve">” </w:t>
      </w:r>
      <w:hyperlink r:id="rId1607" w:history="1">
        <w:r w:rsidRPr="0041276B">
          <w:rPr>
            <w:rStyle w:val="Hyperlink"/>
            <w:rFonts w:ascii="Times New Roman" w:hAnsi="Times New Roman"/>
            <w:sz w:val="24"/>
            <w:szCs w:val="24"/>
          </w:rPr>
          <w:t>https://public.fastcase.com/9SKwsfNqTc6OieYDhNMyM6Hs9QyuQxgDWvshWHam%2BmmecJULtiEuwgF0cJ0eF8SA</w:t>
        </w:r>
      </w:hyperlink>
      <w:r w:rsidRPr="00A30885">
        <w:rPr>
          <w:rFonts w:ascii="Times New Roman" w:eastAsia="Times New Roman" w:hAnsi="Times New Roman"/>
          <w:sz w:val="24"/>
          <w:szCs w:val="24"/>
        </w:rPr>
        <w:t xml:space="preserve"> </w:t>
      </w:r>
    </w:p>
    <w:p w14:paraId="7907E375" w14:textId="77777777" w:rsidR="003E0A22" w:rsidRDefault="003E0A22" w:rsidP="003E0A22">
      <w:pPr>
        <w:pStyle w:val="NormalWeb"/>
        <w:rPr>
          <w:b/>
          <w:bCs/>
        </w:rPr>
      </w:pPr>
      <w:r w:rsidRPr="005542D3">
        <w:rPr>
          <w:b/>
          <w:bCs/>
        </w:rPr>
        <w:t xml:space="preserve">Legal Lesson Learned: </w:t>
      </w:r>
      <w:r>
        <w:rPr>
          <w:b/>
          <w:bCs/>
        </w:rPr>
        <w:t xml:space="preserve"> Words matter; most unfortunate set of facts. </w:t>
      </w:r>
    </w:p>
    <w:p w14:paraId="3EADF105" w14:textId="77777777" w:rsidR="003E0A22" w:rsidRPr="002C4711" w:rsidRDefault="003E0A22" w:rsidP="003E0A22">
      <w:pPr>
        <w:pStyle w:val="NormalWeb"/>
        <w:ind w:left="720"/>
      </w:pPr>
      <w:r w:rsidRPr="002C4711">
        <w:t xml:space="preserve">Note: The Court in </w:t>
      </w:r>
      <w:r>
        <w:t>F</w:t>
      </w:r>
      <w:r w:rsidRPr="002C4711">
        <w:t>ootnote 23 wrote: “We emphasize today what should no longer need to be said in 2021 -- the use of "n----r" has absolutely no place in any workplace environment in the Commonwealth, including among those subject to the civil service laws.”</w:t>
      </w:r>
    </w:p>
    <w:p w14:paraId="32042DDA" w14:textId="77777777" w:rsidR="003E0A22" w:rsidRPr="00E07F70" w:rsidRDefault="003E0A22" w:rsidP="003E0A22">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See also this article on the case: “</w:t>
      </w:r>
      <w:r w:rsidRPr="00E07F70">
        <w:rPr>
          <w:rFonts w:ascii="Times New Roman" w:hAnsi="Times New Roman"/>
          <w:sz w:val="24"/>
          <w:szCs w:val="24"/>
        </w:rPr>
        <w:t xml:space="preserve">Brookline Appeals Superior Court Ruling </w:t>
      </w:r>
      <w:proofErr w:type="gramStart"/>
      <w:r w:rsidRPr="00E07F70">
        <w:rPr>
          <w:rFonts w:ascii="Times New Roman" w:hAnsi="Times New Roman"/>
          <w:sz w:val="24"/>
          <w:szCs w:val="24"/>
        </w:rPr>
        <w:t>On</w:t>
      </w:r>
      <w:proofErr w:type="gramEnd"/>
      <w:r w:rsidRPr="00E07F70">
        <w:rPr>
          <w:rFonts w:ascii="Times New Roman" w:hAnsi="Times New Roman"/>
          <w:sz w:val="24"/>
          <w:szCs w:val="24"/>
        </w:rPr>
        <w:t xml:space="preserve"> Firefighter Alston</w:t>
      </w:r>
      <w:r>
        <w:rPr>
          <w:rFonts w:ascii="Times New Roman" w:hAnsi="Times New Roman"/>
          <w:sz w:val="24"/>
          <w:szCs w:val="24"/>
        </w:rPr>
        <w:t>”</w:t>
      </w:r>
      <w:r w:rsidRPr="00E07F70">
        <w:rPr>
          <w:rFonts w:ascii="Times New Roman" w:hAnsi="Times New Roman"/>
          <w:sz w:val="24"/>
          <w:szCs w:val="24"/>
        </w:rPr>
        <w:t xml:space="preserve"> (Oct. 3, 2019): </w:t>
      </w:r>
      <w:hyperlink r:id="rId1608" w:history="1">
        <w:r w:rsidRPr="0041276B">
          <w:rPr>
            <w:rStyle w:val="Hyperlink"/>
            <w:rFonts w:ascii="Times New Roman" w:hAnsi="Times New Roman"/>
            <w:sz w:val="24"/>
            <w:szCs w:val="24"/>
          </w:rPr>
          <w:t>https://patch.com/massachusetts/brookline/brookline-select-board-votes-appeal-gerald-alston-case</w:t>
        </w:r>
      </w:hyperlink>
      <w:r w:rsidRPr="00E07F70">
        <w:rPr>
          <w:rFonts w:ascii="Times New Roman" w:hAnsi="Times New Roman"/>
          <w:sz w:val="24"/>
          <w:szCs w:val="24"/>
        </w:rPr>
        <w:t xml:space="preserve"> </w:t>
      </w:r>
    </w:p>
    <w:p w14:paraId="655FC049" w14:textId="77777777" w:rsidR="003E0A22" w:rsidRPr="0041276B" w:rsidRDefault="003E0A22" w:rsidP="003E0A22">
      <w:pPr>
        <w:ind w:left="720"/>
        <w:rPr>
          <w:rFonts w:ascii="Times New Roman" w:hAnsi="Times New Roman"/>
          <w:color w:val="1F497D"/>
          <w:sz w:val="24"/>
          <w:szCs w:val="24"/>
        </w:rPr>
      </w:pPr>
      <w:r w:rsidRPr="00F4718C">
        <w:rPr>
          <w:rFonts w:ascii="Times New Roman" w:hAnsi="Times New Roman"/>
          <w:sz w:val="24"/>
          <w:szCs w:val="24"/>
        </w:rPr>
        <w:t xml:space="preserve">See also this NASCAR article: </w:t>
      </w:r>
      <w:hyperlink r:id="rId1609" w:history="1">
        <w:r w:rsidRPr="0041276B">
          <w:rPr>
            <w:rStyle w:val="Hyperlink"/>
            <w:rFonts w:ascii="Times New Roman" w:hAnsi="Times New Roman"/>
            <w:sz w:val="24"/>
            <w:szCs w:val="24"/>
          </w:rPr>
          <w:t>https://www.charlotteobserver.com/sports/nascar-auto-racing/article241998186.html</w:t>
        </w:r>
      </w:hyperlink>
    </w:p>
    <w:p w14:paraId="3885E13E" w14:textId="77777777" w:rsidR="0077274E" w:rsidRDefault="0077274E" w:rsidP="00BC70A3">
      <w:pPr>
        <w:rPr>
          <w:rFonts w:ascii="Arial Black" w:hAnsi="Arial Black"/>
          <w:b/>
          <w:sz w:val="24"/>
          <w:szCs w:val="24"/>
        </w:rPr>
      </w:pPr>
    </w:p>
    <w:p w14:paraId="25FCABB4" w14:textId="77777777" w:rsidR="0077274E" w:rsidRDefault="0077274E" w:rsidP="00BC70A3">
      <w:pPr>
        <w:rPr>
          <w:rFonts w:ascii="Arial Black" w:hAnsi="Arial Black"/>
          <w:b/>
          <w:sz w:val="24"/>
          <w:szCs w:val="24"/>
        </w:rPr>
      </w:pPr>
    </w:p>
    <w:p w14:paraId="52C02748" w14:textId="77777777" w:rsidR="0077274E" w:rsidRDefault="0077274E" w:rsidP="00BC70A3">
      <w:pPr>
        <w:rPr>
          <w:rFonts w:ascii="Arial Black" w:hAnsi="Arial Black"/>
          <w:b/>
          <w:sz w:val="24"/>
          <w:szCs w:val="24"/>
        </w:rPr>
      </w:pPr>
    </w:p>
    <w:p w14:paraId="31D2CD6A" w14:textId="6953E68A" w:rsidR="00EB2493" w:rsidRDefault="00EB2493" w:rsidP="00BC70A3">
      <w:pPr>
        <w:rPr>
          <w:rFonts w:ascii="Arial Black" w:hAnsi="Arial Black"/>
          <w:b/>
          <w:sz w:val="24"/>
          <w:szCs w:val="24"/>
        </w:rPr>
      </w:pPr>
      <w:r>
        <w:rPr>
          <w:rFonts w:ascii="Arial Black" w:hAnsi="Arial Black"/>
          <w:b/>
          <w:sz w:val="24"/>
          <w:szCs w:val="24"/>
        </w:rPr>
        <w:t>8-28</w:t>
      </w:r>
    </w:p>
    <w:p w14:paraId="6F577F09" w14:textId="77777777" w:rsidR="00EB2493" w:rsidRPr="002D7177" w:rsidRDefault="00EB2493" w:rsidP="00EB2493">
      <w:pPr>
        <w:pStyle w:val="NoSpacing"/>
        <w:rPr>
          <w:rFonts w:ascii="Arial Black" w:hAnsi="Arial Black"/>
          <w:sz w:val="28"/>
          <w:szCs w:val="28"/>
        </w:rPr>
      </w:pPr>
      <w:r>
        <w:rPr>
          <w:rFonts w:ascii="Arial Black" w:hAnsi="Arial Black"/>
          <w:sz w:val="28"/>
          <w:szCs w:val="28"/>
        </w:rPr>
        <w:t>MA: AFRICAN AMERICAN FF – FIRED “UNFIT FOR DUTY” – LAWSUIT DISMISSED AGAINST CITIZEN NOT ON TOWN BOARD OF SELECTMEN</w:t>
      </w:r>
    </w:p>
    <w:p w14:paraId="48E667E4" w14:textId="3D6832F9" w:rsidR="00EB2493" w:rsidRDefault="00EB2493" w:rsidP="00EB2493">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Feb. 19, 2021, in </w:t>
      </w:r>
      <w:r w:rsidRPr="002D7177">
        <w:rPr>
          <w:rFonts w:ascii="Times New Roman" w:eastAsia="Times New Roman" w:hAnsi="Times New Roman"/>
          <w:sz w:val="24"/>
          <w:szCs w:val="24"/>
          <w:u w:val="single"/>
        </w:rPr>
        <w:t>Gerald Alston v. Stanley Spiegel</w:t>
      </w:r>
      <w:r>
        <w:rPr>
          <w:rFonts w:ascii="Times New Roman" w:eastAsia="Times New Roman" w:hAnsi="Times New Roman"/>
          <w:sz w:val="24"/>
          <w:szCs w:val="24"/>
        </w:rPr>
        <w:t xml:space="preserve">, the U.S. Court of Appeals for the First Circuit (Boston), held (3 to 0) that the U.S. District Court properly dismissed Alston’s race discrimination, retaliation case against a non-member of the Town of </w:t>
      </w:r>
      <w:r w:rsidRPr="00214DCF">
        <w:rPr>
          <w:rFonts w:ascii="Times New Roman" w:eastAsia="Times New Roman" w:hAnsi="Times New Roman"/>
          <w:sz w:val="24"/>
          <w:szCs w:val="24"/>
        </w:rPr>
        <w:t xml:space="preserve">Brookline </w:t>
      </w:r>
      <w:r>
        <w:rPr>
          <w:rFonts w:ascii="Times New Roman" w:eastAsia="Times New Roman" w:hAnsi="Times New Roman"/>
          <w:sz w:val="24"/>
          <w:szCs w:val="24"/>
        </w:rPr>
        <w:t xml:space="preserve">Board of Selectmen who fired him from the Brookline </w:t>
      </w:r>
      <w:r w:rsidRPr="00214DCF">
        <w:rPr>
          <w:rFonts w:ascii="Times New Roman" w:eastAsia="Times New Roman" w:hAnsi="Times New Roman"/>
          <w:sz w:val="24"/>
          <w:szCs w:val="24"/>
        </w:rPr>
        <w:t>Fire Department</w:t>
      </w:r>
      <w:r>
        <w:rPr>
          <w:rFonts w:ascii="Times New Roman" w:eastAsia="Times New Roman" w:hAnsi="Times New Roman"/>
          <w:sz w:val="24"/>
          <w:szCs w:val="24"/>
        </w:rPr>
        <w:t xml:space="preserve">.  Stanley Spiegel is not on the Board, but is a citizen elected as a member of the 240 member “Town Meeting.” </w:t>
      </w:r>
    </w:p>
    <w:p w14:paraId="4A2C7343" w14:textId="77777777" w:rsidR="00EB2493" w:rsidRDefault="00EB2493" w:rsidP="00EB2493">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214DCF">
        <w:rPr>
          <w:rFonts w:ascii="Times New Roman" w:eastAsia="Times New Roman" w:hAnsi="Times New Roman"/>
          <w:sz w:val="24"/>
          <w:szCs w:val="24"/>
        </w:rPr>
        <w:t xml:space="preserve">On February 13, 2015, Alston was placed on paid administrative leave. He asserts that despite the Selectmen's publicly conciliatory stance toward </w:t>
      </w:r>
      <w:proofErr w:type="gramStart"/>
      <w:r w:rsidRPr="00214DCF">
        <w:rPr>
          <w:rFonts w:ascii="Times New Roman" w:eastAsia="Times New Roman" w:hAnsi="Times New Roman"/>
          <w:sz w:val="24"/>
          <w:szCs w:val="24"/>
        </w:rPr>
        <w:t xml:space="preserve">him, </w:t>
      </w:r>
      <w:r>
        <w:rPr>
          <w:rFonts w:ascii="Times New Roman" w:eastAsia="Times New Roman" w:hAnsi="Times New Roman"/>
          <w:sz w:val="24"/>
          <w:szCs w:val="24"/>
        </w:rPr>
        <w:t>‘</w:t>
      </w:r>
      <w:proofErr w:type="gramEnd"/>
      <w:r w:rsidRPr="00214DCF">
        <w:rPr>
          <w:rFonts w:ascii="Times New Roman" w:eastAsia="Times New Roman" w:hAnsi="Times New Roman"/>
          <w:sz w:val="24"/>
          <w:szCs w:val="24"/>
        </w:rPr>
        <w:t xml:space="preserve">they tacitly encouraged their unofficial surrogates, including advisory committee member and town meeting member, Stanley </w:t>
      </w:r>
      <w:proofErr w:type="gramStart"/>
      <w:r w:rsidRPr="00214DCF">
        <w:rPr>
          <w:rFonts w:ascii="Times New Roman" w:eastAsia="Times New Roman" w:hAnsi="Times New Roman"/>
          <w:sz w:val="24"/>
          <w:szCs w:val="24"/>
        </w:rPr>
        <w:t>Spiegel</w:t>
      </w:r>
      <w:proofErr w:type="gramEnd"/>
      <w:r w:rsidRPr="00214DCF">
        <w:rPr>
          <w:rFonts w:ascii="Times New Roman" w:eastAsia="Times New Roman" w:hAnsi="Times New Roman"/>
          <w:sz w:val="24"/>
          <w:szCs w:val="24"/>
        </w:rPr>
        <w:t xml:space="preserve"> to smear Mr. Alston and undermine public support for </w:t>
      </w:r>
      <w:proofErr w:type="gramStart"/>
      <w:r w:rsidRPr="00214DCF">
        <w:rPr>
          <w:rFonts w:ascii="Times New Roman" w:eastAsia="Times New Roman" w:hAnsi="Times New Roman"/>
          <w:sz w:val="24"/>
          <w:szCs w:val="24"/>
        </w:rPr>
        <w:t>him.</w:t>
      </w:r>
      <w:r>
        <w:rPr>
          <w:rFonts w:ascii="Times New Roman" w:eastAsia="Times New Roman" w:hAnsi="Times New Roman"/>
          <w:sz w:val="24"/>
          <w:szCs w:val="24"/>
        </w:rPr>
        <w:t>’</w:t>
      </w:r>
      <w:proofErr w:type="gramEnd"/>
      <w:r w:rsidRPr="00214DCF">
        <w:rPr>
          <w:rFonts w:ascii="Times New Roman" w:eastAsia="Times New Roman" w:hAnsi="Times New Roman"/>
          <w:sz w:val="24"/>
          <w:szCs w:val="24"/>
        </w:rPr>
        <w:t xml:space="preserve"> Just over a year later — on February 16, 2016 — the Board terminated Alston's paid administrative leave. Alston was formally dismissed from his</w:t>
      </w:r>
      <w:r>
        <w:rPr>
          <w:rFonts w:ascii="Times New Roman" w:eastAsia="Times New Roman" w:hAnsi="Times New Roman"/>
          <w:sz w:val="24"/>
          <w:szCs w:val="24"/>
        </w:rPr>
        <w:t xml:space="preserve"> </w:t>
      </w:r>
      <w:r w:rsidRPr="00214DCF">
        <w:rPr>
          <w:rFonts w:ascii="Times New Roman" w:eastAsia="Times New Roman" w:hAnsi="Times New Roman"/>
          <w:sz w:val="24"/>
          <w:szCs w:val="24"/>
        </w:rPr>
        <w:t>firefighter position by unanimous vote of the Board on October 5, 2016.</w:t>
      </w:r>
    </w:p>
    <w:p w14:paraId="264EBE96" w14:textId="77777777" w:rsidR="00EB2493" w:rsidRDefault="00EB2493" w:rsidP="00EB2493">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35F253E3" w14:textId="77777777" w:rsidR="00EB2493" w:rsidRPr="003E5782" w:rsidRDefault="00EB2493" w:rsidP="00EB2493">
      <w:pPr>
        <w:pStyle w:val="NormalWeb"/>
        <w:ind w:left="720"/>
      </w:pPr>
      <w:r w:rsidRPr="003E5782">
        <w:t>We need go no further. For aught that appears, Spiegel was at most a peripheral player in the evolving saga of Alston's difficulties with the Town, the Board, and the Department. Alston has had three opportunities to plead his claims against Spiegel, and he has come up empty. There simply are no facts pleaded in the SAC sufficient to ground a reasonable inference that Spiegel</w:t>
      </w:r>
      <w:r>
        <w:t xml:space="preserve"> </w:t>
      </w:r>
      <w:r w:rsidRPr="003E5782">
        <w:t xml:space="preserve">is liable to Alston for any of the wrongs alleged. Put bluntly, the facts set forth are too meager to lift Alston's claims over the </w:t>
      </w:r>
      <w:r w:rsidRPr="003E5782">
        <w:lastRenderedPageBreak/>
        <w:t xml:space="preserve">threshold of conjecture. We therefore </w:t>
      </w:r>
      <w:r w:rsidRPr="003E5782">
        <w:rPr>
          <w:u w:val="single"/>
        </w:rPr>
        <w:t>affirm</w:t>
      </w:r>
      <w:r w:rsidRPr="003E5782">
        <w:t xml:space="preserve"> the judgment of the district court dismissing Alston's claims. We </w:t>
      </w:r>
      <w:r w:rsidRPr="003E5782">
        <w:rPr>
          <w:u w:val="single"/>
        </w:rPr>
        <w:t>retain</w:t>
      </w:r>
      <w:r w:rsidRPr="003E5782">
        <w:t xml:space="preserve"> appellate jurisdiction over Alston's appeal insofar as it relates to his claims against other defendants.</w:t>
      </w:r>
      <w:r>
        <w:t xml:space="preserve">” </w:t>
      </w:r>
      <w:hyperlink r:id="rId1610" w:history="1">
        <w:r w:rsidRPr="008561DB">
          <w:rPr>
            <w:rStyle w:val="Hyperlink"/>
          </w:rPr>
          <w:t>https://casetext.com/case/alston-v-spiegel</w:t>
        </w:r>
      </w:hyperlink>
      <w:r>
        <w:t xml:space="preserve"> </w:t>
      </w:r>
    </w:p>
    <w:p w14:paraId="609FE75B" w14:textId="77777777" w:rsidR="00EB2493" w:rsidRPr="003E5782" w:rsidRDefault="00EB2493" w:rsidP="00EB2493">
      <w:pPr>
        <w:spacing w:before="100" w:beforeAutospacing="1" w:after="100" w:afterAutospacing="1" w:line="240" w:lineRule="auto"/>
        <w:rPr>
          <w:rFonts w:ascii="Times New Roman" w:eastAsia="Times New Roman" w:hAnsi="Times New Roman"/>
          <w:b/>
          <w:bCs/>
          <w:sz w:val="24"/>
          <w:szCs w:val="24"/>
        </w:rPr>
      </w:pPr>
      <w:r w:rsidRPr="00670C0A">
        <w:rPr>
          <w:rFonts w:ascii="Times New Roman" w:hAnsi="Times New Roman"/>
          <w:b/>
          <w:bCs/>
          <w:sz w:val="24"/>
          <w:szCs w:val="24"/>
        </w:rPr>
        <w:t>Legal Lesson Learned:</w:t>
      </w:r>
      <w:r>
        <w:rPr>
          <w:rFonts w:ascii="Times New Roman" w:hAnsi="Times New Roman"/>
          <w:b/>
          <w:bCs/>
          <w:sz w:val="24"/>
          <w:szCs w:val="24"/>
        </w:rPr>
        <w:t xml:space="preserve">  There was no proof of racial discrimination, retaliation, or conspiracy by this elected member of the Town Meeting.  </w:t>
      </w:r>
    </w:p>
    <w:p w14:paraId="2314C85E" w14:textId="04D2ECAA" w:rsidR="00EB2493" w:rsidRDefault="00EB2493" w:rsidP="00BC70A3">
      <w:pPr>
        <w:rPr>
          <w:rFonts w:ascii="Arial Black" w:hAnsi="Arial Black"/>
          <w:b/>
          <w:sz w:val="24"/>
          <w:szCs w:val="24"/>
        </w:rPr>
      </w:pPr>
    </w:p>
    <w:p w14:paraId="2ACDEBA2" w14:textId="551AE366" w:rsidR="00EB2493" w:rsidRDefault="00EB2493" w:rsidP="00BC70A3">
      <w:pPr>
        <w:rPr>
          <w:rFonts w:ascii="Arial Black" w:hAnsi="Arial Black"/>
          <w:b/>
          <w:sz w:val="24"/>
          <w:szCs w:val="24"/>
        </w:rPr>
      </w:pPr>
      <w:r>
        <w:rPr>
          <w:rFonts w:ascii="Arial Black" w:hAnsi="Arial Black"/>
          <w:b/>
          <w:sz w:val="24"/>
          <w:szCs w:val="24"/>
        </w:rPr>
        <w:t>8-27</w:t>
      </w:r>
    </w:p>
    <w:p w14:paraId="2B320BD6" w14:textId="77777777" w:rsidR="00EB2493" w:rsidRPr="007C11FC" w:rsidRDefault="00EB2493" w:rsidP="00EB2493">
      <w:pPr>
        <w:pStyle w:val="NoSpacing"/>
        <w:rPr>
          <w:rFonts w:ascii="Arial Black" w:hAnsi="Arial Black"/>
          <w:sz w:val="28"/>
          <w:szCs w:val="28"/>
        </w:rPr>
      </w:pPr>
      <w:r>
        <w:rPr>
          <w:rFonts w:ascii="Arial Black" w:hAnsi="Arial Black"/>
          <w:sz w:val="28"/>
          <w:szCs w:val="28"/>
        </w:rPr>
        <w:t xml:space="preserve">IL: CHICAGO FF / PUERTO RICO - “HOSTILE WORK ENVIRONMENT” PROCEED– MADE INTERNAL COMPLAINTS </w:t>
      </w:r>
    </w:p>
    <w:p w14:paraId="39FCEA82" w14:textId="77777777" w:rsidR="00EB2493" w:rsidRDefault="00EB2493" w:rsidP="00EB2493">
      <w:pPr>
        <w:pStyle w:val="NoSpacing"/>
      </w:pPr>
    </w:p>
    <w:p w14:paraId="36BD47EE" w14:textId="77777777" w:rsidR="00EB2493" w:rsidRDefault="00EB2493" w:rsidP="00EB2493">
      <w:pPr>
        <w:pStyle w:val="NoSpacing"/>
        <w:rPr>
          <w:rFonts w:ascii="Times New Roman" w:hAnsi="Times New Roman"/>
          <w:sz w:val="24"/>
          <w:szCs w:val="24"/>
        </w:rPr>
      </w:pPr>
      <w:r>
        <w:rPr>
          <w:rFonts w:ascii="Times New Roman" w:hAnsi="Times New Roman"/>
          <w:sz w:val="24"/>
          <w:szCs w:val="24"/>
        </w:rPr>
        <w:t xml:space="preserve">On Feb. 18, 2021, in </w:t>
      </w:r>
      <w:r w:rsidRPr="007C11FC">
        <w:rPr>
          <w:rFonts w:ascii="Times New Roman" w:hAnsi="Times New Roman"/>
          <w:sz w:val="24"/>
          <w:szCs w:val="24"/>
          <w:u w:val="single"/>
        </w:rPr>
        <w:t>Robert G. Alamo v. The City of Chicago, et al</w:t>
      </w:r>
      <w:r>
        <w:rPr>
          <w:rFonts w:ascii="Times New Roman" w:hAnsi="Times New Roman"/>
          <w:sz w:val="24"/>
          <w:szCs w:val="24"/>
        </w:rPr>
        <w:t xml:space="preserve">., U.S. District Court Judge Sharon Johnson Coleman, U.S. District Court for the Northern District of Illinois (Eastern Division) held that the lawsuit by the former fighter, may proceed against the </w:t>
      </w:r>
      <w:proofErr w:type="gramStart"/>
      <w:r>
        <w:rPr>
          <w:rFonts w:ascii="Times New Roman" w:hAnsi="Times New Roman"/>
          <w:sz w:val="24"/>
          <w:szCs w:val="24"/>
        </w:rPr>
        <w:t>City</w:t>
      </w:r>
      <w:proofErr w:type="gramEnd"/>
      <w:r>
        <w:rPr>
          <w:rFonts w:ascii="Times New Roman" w:hAnsi="Times New Roman"/>
          <w:sz w:val="24"/>
          <w:szCs w:val="24"/>
        </w:rPr>
        <w:t xml:space="preserve"> on his claim of “hostile workplace environment” since he made complaints to Supervisors and to Internal Affairs.  His other claims in the lawsuit of national origin, race and disabilities discrimination were dismissed; he was fired after being diagnosed as “unfit for duty” (PTSD). </w:t>
      </w:r>
    </w:p>
    <w:p w14:paraId="167D52F9" w14:textId="77777777" w:rsidR="00EB2493" w:rsidRDefault="00EB2493" w:rsidP="00EB249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305556">
        <w:rPr>
          <w:rFonts w:ascii="Times New Roman" w:hAnsi="Times New Roman"/>
          <w:sz w:val="24"/>
          <w:szCs w:val="24"/>
        </w:rPr>
        <w:t xml:space="preserve">On September 13, 2011, Alamo reported for duty at Engine 55. He was not feeling well, so he decided to go to the bunkroom to lie down, at which time he told a coworker to come get him if a call came in. Later that day, Captain Pat Stefan awakened Alamo by pushing and shaking </w:t>
      </w:r>
      <w:proofErr w:type="gramStart"/>
      <w:r w:rsidRPr="00305556">
        <w:rPr>
          <w:rFonts w:ascii="Times New Roman" w:hAnsi="Times New Roman"/>
          <w:sz w:val="24"/>
          <w:szCs w:val="24"/>
        </w:rPr>
        <w:t>him, and</w:t>
      </w:r>
      <w:proofErr w:type="gramEnd"/>
      <w:r w:rsidRPr="00305556">
        <w:rPr>
          <w:rFonts w:ascii="Times New Roman" w:hAnsi="Times New Roman"/>
          <w:sz w:val="24"/>
          <w:szCs w:val="24"/>
        </w:rPr>
        <w:t xml:space="preserve"> shouting </w:t>
      </w:r>
      <w:r>
        <w:rPr>
          <w:rFonts w:ascii="Times New Roman" w:hAnsi="Times New Roman"/>
          <w:sz w:val="24"/>
          <w:szCs w:val="24"/>
        </w:rPr>
        <w:t>‘</w:t>
      </w:r>
      <w:r w:rsidRPr="00305556">
        <w:rPr>
          <w:rFonts w:ascii="Times New Roman" w:hAnsi="Times New Roman"/>
          <w:sz w:val="24"/>
          <w:szCs w:val="24"/>
        </w:rPr>
        <w:t>Mother</w:t>
      </w:r>
      <w:r>
        <w:rPr>
          <w:rFonts w:ascii="Times New Roman" w:hAnsi="Times New Roman"/>
          <w:sz w:val="24"/>
          <w:szCs w:val="24"/>
        </w:rPr>
        <w:t xml:space="preserve"> </w:t>
      </w:r>
      <w:r w:rsidRPr="00305556">
        <w:rPr>
          <w:rFonts w:ascii="Times New Roman" w:hAnsi="Times New Roman"/>
          <w:sz w:val="24"/>
          <w:szCs w:val="24"/>
        </w:rPr>
        <w:t xml:space="preserve">fucker </w:t>
      </w:r>
      <w:proofErr w:type="gramStart"/>
      <w:r w:rsidRPr="00305556">
        <w:rPr>
          <w:rFonts w:ascii="Times New Roman" w:hAnsi="Times New Roman"/>
          <w:sz w:val="24"/>
          <w:szCs w:val="24"/>
        </w:rPr>
        <w:t>get</w:t>
      </w:r>
      <w:proofErr w:type="gramEnd"/>
      <w:r w:rsidRPr="00305556">
        <w:rPr>
          <w:rFonts w:ascii="Times New Roman" w:hAnsi="Times New Roman"/>
          <w:sz w:val="24"/>
          <w:szCs w:val="24"/>
        </w:rPr>
        <w:t xml:space="preserve"> up. You missed the run. You motherfucker. You lazy mother</w:t>
      </w:r>
      <w:r>
        <w:rPr>
          <w:rFonts w:ascii="Times New Roman" w:hAnsi="Times New Roman"/>
          <w:sz w:val="24"/>
          <w:szCs w:val="24"/>
        </w:rPr>
        <w:t xml:space="preserve"> </w:t>
      </w:r>
      <w:r w:rsidRPr="00305556">
        <w:rPr>
          <w:rFonts w:ascii="Times New Roman" w:hAnsi="Times New Roman"/>
          <w:sz w:val="24"/>
          <w:szCs w:val="24"/>
        </w:rPr>
        <w:t>fucker. You piece of shit.</w:t>
      </w:r>
      <w:r>
        <w:rPr>
          <w:rFonts w:ascii="Times New Roman" w:hAnsi="Times New Roman"/>
          <w:sz w:val="24"/>
          <w:szCs w:val="24"/>
        </w:rPr>
        <w:t>’</w:t>
      </w:r>
      <w:r w:rsidRPr="00305556">
        <w:rPr>
          <w:rFonts w:ascii="Times New Roman" w:hAnsi="Times New Roman"/>
          <w:sz w:val="24"/>
          <w:szCs w:val="24"/>
        </w:rPr>
        <w:t xml:space="preserve"> Alamo testified that during this altercation, Captain Stefan told him he did not like </w:t>
      </w:r>
      <w:r>
        <w:rPr>
          <w:rFonts w:ascii="Times New Roman" w:hAnsi="Times New Roman"/>
          <w:sz w:val="24"/>
          <w:szCs w:val="24"/>
        </w:rPr>
        <w:t>‘</w:t>
      </w:r>
      <w:r w:rsidRPr="00305556">
        <w:rPr>
          <w:rFonts w:ascii="Times New Roman" w:hAnsi="Times New Roman"/>
          <w:sz w:val="24"/>
          <w:szCs w:val="24"/>
        </w:rPr>
        <w:t>his kind.</w:t>
      </w:r>
      <w:r>
        <w:rPr>
          <w:rFonts w:ascii="Times New Roman" w:hAnsi="Times New Roman"/>
          <w:sz w:val="24"/>
          <w:szCs w:val="24"/>
        </w:rPr>
        <w:t>’</w:t>
      </w:r>
      <w:r w:rsidRPr="00305556">
        <w:rPr>
          <w:rFonts w:ascii="Times New Roman" w:hAnsi="Times New Roman"/>
          <w:sz w:val="24"/>
          <w:szCs w:val="24"/>
        </w:rPr>
        <w:t xml:space="preserve"> He also testified that </w:t>
      </w:r>
      <w:r>
        <w:rPr>
          <w:rFonts w:ascii="Times New Roman" w:hAnsi="Times New Roman"/>
          <w:sz w:val="24"/>
          <w:szCs w:val="24"/>
        </w:rPr>
        <w:t>‘</w:t>
      </w:r>
      <w:r w:rsidRPr="00305556">
        <w:rPr>
          <w:rFonts w:ascii="Times New Roman" w:hAnsi="Times New Roman"/>
          <w:sz w:val="24"/>
          <w:szCs w:val="24"/>
        </w:rPr>
        <w:t>I believe Captain Stefan called me a spic.</w:t>
      </w:r>
      <w:r>
        <w:rPr>
          <w:rFonts w:ascii="Times New Roman" w:hAnsi="Times New Roman"/>
          <w:sz w:val="24"/>
          <w:szCs w:val="24"/>
        </w:rPr>
        <w:t>’</w:t>
      </w:r>
      <w:r w:rsidRPr="00305556">
        <w:rPr>
          <w:rFonts w:ascii="Times New Roman" w:hAnsi="Times New Roman"/>
          <w:sz w:val="24"/>
          <w:szCs w:val="24"/>
        </w:rPr>
        <w:t xml:space="preserve"> During this incident, Captain Stefan chest bumped Alamo resulting in a contusion.</w:t>
      </w:r>
      <w:r>
        <w:rPr>
          <w:rFonts w:ascii="Times New Roman" w:hAnsi="Times New Roman"/>
          <w:sz w:val="24"/>
          <w:szCs w:val="24"/>
        </w:rPr>
        <w:t xml:space="preserve"> </w:t>
      </w:r>
      <w:r w:rsidRPr="00305556">
        <w:rPr>
          <w:rFonts w:ascii="Times New Roman" w:hAnsi="Times New Roman"/>
          <w:sz w:val="24"/>
          <w:szCs w:val="24"/>
        </w:rPr>
        <w:t xml:space="preserve">After this incident, Alamo called the police department and filed a report. Two days after the incident with Captain Stefan, Alamo went on a medical </w:t>
      </w:r>
      <w:r>
        <w:rPr>
          <w:rFonts w:ascii="Times New Roman" w:hAnsi="Times New Roman"/>
          <w:sz w:val="24"/>
          <w:szCs w:val="24"/>
        </w:rPr>
        <w:t>‘l</w:t>
      </w:r>
      <w:r w:rsidRPr="00305556">
        <w:rPr>
          <w:rFonts w:ascii="Times New Roman" w:hAnsi="Times New Roman"/>
          <w:sz w:val="24"/>
          <w:szCs w:val="24"/>
        </w:rPr>
        <w:t>ay-up</w:t>
      </w:r>
      <w:r>
        <w:rPr>
          <w:rFonts w:ascii="Times New Roman" w:hAnsi="Times New Roman"/>
          <w:sz w:val="24"/>
          <w:szCs w:val="24"/>
        </w:rPr>
        <w:t>’</w:t>
      </w:r>
      <w:r w:rsidRPr="00305556">
        <w:rPr>
          <w:rFonts w:ascii="Times New Roman" w:hAnsi="Times New Roman"/>
          <w:sz w:val="24"/>
          <w:szCs w:val="24"/>
        </w:rPr>
        <w:t xml:space="preserve"> for what Alamo described as chest pains, stress, and anxiety. Alamo testified that while he was on lay-up, other firefighters harassed him at his home during </w:t>
      </w:r>
      <w:r>
        <w:rPr>
          <w:rFonts w:ascii="Times New Roman" w:hAnsi="Times New Roman"/>
          <w:sz w:val="24"/>
          <w:szCs w:val="24"/>
        </w:rPr>
        <w:t>‘</w:t>
      </w:r>
      <w:r w:rsidRPr="00305556">
        <w:rPr>
          <w:rFonts w:ascii="Times New Roman" w:hAnsi="Times New Roman"/>
          <w:sz w:val="24"/>
          <w:szCs w:val="24"/>
        </w:rPr>
        <w:t>wellness checks.</w:t>
      </w:r>
      <w:r>
        <w:rPr>
          <w:rFonts w:ascii="Times New Roman" w:hAnsi="Times New Roman"/>
          <w:sz w:val="24"/>
          <w:szCs w:val="24"/>
        </w:rPr>
        <w:t>’</w:t>
      </w:r>
    </w:p>
    <w:p w14:paraId="60E4E84E" w14:textId="77777777" w:rsidR="00EB2493" w:rsidRDefault="00EB2493" w:rsidP="00EB249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48B0EDF9" w14:textId="77777777" w:rsidR="00EB2493" w:rsidRPr="00E61BCF" w:rsidRDefault="00EB2493" w:rsidP="00EB2493">
      <w:pPr>
        <w:spacing w:before="100" w:beforeAutospacing="1" w:after="100" w:afterAutospacing="1" w:line="240" w:lineRule="auto"/>
        <w:ind w:left="720"/>
        <w:rPr>
          <w:sz w:val="24"/>
          <w:szCs w:val="24"/>
        </w:rPr>
      </w:pPr>
      <w:r w:rsidRPr="000B20EC">
        <w:rPr>
          <w:rFonts w:ascii="Times New Roman" w:eastAsia="Times New Roman" w:hAnsi="Times New Roman"/>
          <w:sz w:val="24"/>
          <w:szCs w:val="24"/>
        </w:rPr>
        <w:t>Alamo</w:t>
      </w:r>
      <w:r>
        <w:rPr>
          <w:rFonts w:ascii="Times New Roman" w:eastAsia="Times New Roman" w:hAnsi="Times New Roman"/>
          <w:sz w:val="24"/>
          <w:szCs w:val="24"/>
        </w:rPr>
        <w:t xml:space="preserve"> </w:t>
      </w:r>
      <w:r w:rsidRPr="000B20EC">
        <w:rPr>
          <w:rFonts w:ascii="Times New Roman" w:eastAsia="Times New Roman" w:hAnsi="Times New Roman"/>
          <w:sz w:val="24"/>
          <w:szCs w:val="24"/>
        </w:rPr>
        <w:t xml:space="preserve">has presented evidence that he complained to his supervisors of the harassment. For example, on a form in evidence dated January 2, 2012, Alamo explains why he believes he was subjected to a hostile work environment based on the September 2011 events with Captain Stefan and that he had also submitted </w:t>
      </w:r>
      <w:proofErr w:type="gramStart"/>
      <w:r w:rsidRPr="000B20EC">
        <w:rPr>
          <w:rFonts w:ascii="Times New Roman" w:eastAsia="Times New Roman" w:hAnsi="Times New Roman"/>
          <w:sz w:val="24"/>
          <w:szCs w:val="24"/>
        </w:rPr>
        <w:t>a Form</w:t>
      </w:r>
      <w:proofErr w:type="gramEnd"/>
      <w:r w:rsidRPr="000B20EC">
        <w:rPr>
          <w:rFonts w:ascii="Times New Roman" w:eastAsia="Times New Roman" w:hAnsi="Times New Roman"/>
          <w:sz w:val="24"/>
          <w:szCs w:val="24"/>
        </w:rPr>
        <w:t xml:space="preserve"> 2 to the Internal Affairs </w:t>
      </w:r>
      <w:proofErr w:type="gramStart"/>
      <w:r w:rsidRPr="000B20EC">
        <w:rPr>
          <w:rFonts w:ascii="Times New Roman" w:eastAsia="Times New Roman" w:hAnsi="Times New Roman"/>
          <w:sz w:val="24"/>
          <w:szCs w:val="24"/>
        </w:rPr>
        <w:t>Division (</w:t>
      </w:r>
      <w:r>
        <w:rPr>
          <w:rFonts w:ascii="Times New Roman" w:eastAsia="Times New Roman" w:hAnsi="Times New Roman"/>
          <w:sz w:val="24"/>
          <w:szCs w:val="24"/>
        </w:rPr>
        <w:t>‘</w:t>
      </w:r>
      <w:proofErr w:type="gramEnd"/>
      <w:r w:rsidRPr="000B20EC">
        <w:rPr>
          <w:rFonts w:ascii="Times New Roman" w:eastAsia="Times New Roman" w:hAnsi="Times New Roman"/>
          <w:sz w:val="24"/>
          <w:szCs w:val="24"/>
        </w:rPr>
        <w:t>IAD</w:t>
      </w:r>
      <w:r>
        <w:rPr>
          <w:rFonts w:ascii="Times New Roman" w:eastAsia="Times New Roman" w:hAnsi="Times New Roman"/>
          <w:sz w:val="24"/>
          <w:szCs w:val="24"/>
        </w:rPr>
        <w:t>’</w:t>
      </w:r>
      <w:r w:rsidRPr="000B20EC">
        <w:rPr>
          <w:rFonts w:ascii="Times New Roman" w:eastAsia="Times New Roman" w:hAnsi="Times New Roman"/>
          <w:sz w:val="24"/>
          <w:szCs w:val="24"/>
        </w:rPr>
        <w:t xml:space="preserve">). Alamo also filed a Form 2 to the IAD dated February 22, </w:t>
      </w:r>
      <w:proofErr w:type="gramStart"/>
      <w:r w:rsidRPr="000B20EC">
        <w:rPr>
          <w:rFonts w:ascii="Times New Roman" w:eastAsia="Times New Roman" w:hAnsi="Times New Roman"/>
          <w:sz w:val="24"/>
          <w:szCs w:val="24"/>
        </w:rPr>
        <w:t>2013</w:t>
      </w:r>
      <w:proofErr w:type="gramEnd"/>
      <w:r w:rsidRPr="000B20EC">
        <w:rPr>
          <w:rFonts w:ascii="Times New Roman" w:eastAsia="Times New Roman" w:hAnsi="Times New Roman"/>
          <w:sz w:val="24"/>
          <w:szCs w:val="24"/>
        </w:rPr>
        <w:t xml:space="preserve"> explaining that Captain Stefan stated he didn't like Alamo's </w:t>
      </w:r>
      <w:r>
        <w:rPr>
          <w:rFonts w:ascii="Times New Roman" w:eastAsia="Times New Roman" w:hAnsi="Times New Roman"/>
          <w:sz w:val="24"/>
          <w:szCs w:val="24"/>
        </w:rPr>
        <w:t>‘</w:t>
      </w:r>
      <w:r w:rsidRPr="000B20EC">
        <w:rPr>
          <w:rFonts w:ascii="Times New Roman" w:eastAsia="Times New Roman" w:hAnsi="Times New Roman"/>
          <w:sz w:val="24"/>
          <w:szCs w:val="24"/>
        </w:rPr>
        <w:t>kind.</w:t>
      </w:r>
      <w:r>
        <w:rPr>
          <w:rFonts w:ascii="Times New Roman" w:eastAsia="Times New Roman" w:hAnsi="Times New Roman"/>
          <w:sz w:val="24"/>
          <w:szCs w:val="24"/>
        </w:rPr>
        <w:t>’</w:t>
      </w:r>
      <w:r w:rsidRPr="000B20EC">
        <w:rPr>
          <w:rFonts w:ascii="Times New Roman" w:eastAsia="Times New Roman" w:hAnsi="Times New Roman"/>
          <w:sz w:val="24"/>
          <w:szCs w:val="24"/>
        </w:rPr>
        <w:t xml:space="preserve"> Other evidence of notice includes Lieutenant Bliss' testimony that after Alamo informed him of the incident with Captain Stefan, Bliss called Chief Steven </w:t>
      </w:r>
      <w:proofErr w:type="spellStart"/>
      <w:r w:rsidRPr="000B20EC">
        <w:rPr>
          <w:rFonts w:ascii="Times New Roman" w:eastAsia="Times New Roman" w:hAnsi="Times New Roman"/>
          <w:sz w:val="24"/>
          <w:szCs w:val="24"/>
        </w:rPr>
        <w:t>Chikerotis</w:t>
      </w:r>
      <w:proofErr w:type="spellEnd"/>
      <w:r w:rsidRPr="000B20EC">
        <w:rPr>
          <w:rFonts w:ascii="Times New Roman" w:eastAsia="Times New Roman" w:hAnsi="Times New Roman"/>
          <w:sz w:val="24"/>
          <w:szCs w:val="24"/>
        </w:rPr>
        <w:t xml:space="preserve"> to review the incident. Further, Alamo testified at his deposition that he turned in numerous Form 2s to his chain of command</w:t>
      </w:r>
      <w:r>
        <w:rPr>
          <w:rFonts w:ascii="Times New Roman" w:eastAsia="Times New Roman" w:hAnsi="Times New Roman"/>
          <w:sz w:val="24"/>
          <w:szCs w:val="24"/>
        </w:rPr>
        <w:t xml:space="preserve"> </w:t>
      </w:r>
      <w:r w:rsidRPr="000B20EC">
        <w:rPr>
          <w:rFonts w:ascii="Times New Roman" w:eastAsia="Times New Roman" w:hAnsi="Times New Roman"/>
          <w:sz w:val="24"/>
          <w:szCs w:val="24"/>
        </w:rPr>
        <w:t>about the harassment and that he reported the racial slurs and that other firefighters were throwing away his food to his supervisor Lieutenant Bliss.</w:t>
      </w:r>
      <w:r>
        <w:rPr>
          <w:rFonts w:ascii="Times New Roman" w:eastAsia="Times New Roman" w:hAnsi="Times New Roman"/>
          <w:sz w:val="24"/>
          <w:szCs w:val="24"/>
        </w:rPr>
        <w:t>”</w:t>
      </w:r>
    </w:p>
    <w:p w14:paraId="46A64A0A" w14:textId="77777777" w:rsidR="00EB2493" w:rsidRDefault="00EB2493" w:rsidP="00EB249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747340A4" w14:textId="77777777" w:rsidR="00EB2493" w:rsidRDefault="00EB2493" w:rsidP="00EB2493">
      <w:pPr>
        <w:spacing w:before="100" w:beforeAutospacing="1" w:after="100" w:afterAutospacing="1" w:line="240" w:lineRule="auto"/>
        <w:ind w:left="720"/>
        <w:rPr>
          <w:rFonts w:ascii="Times New Roman" w:hAnsi="Times New Roman"/>
          <w:sz w:val="24"/>
          <w:szCs w:val="24"/>
        </w:rPr>
      </w:pPr>
      <w:r w:rsidRPr="00305556">
        <w:rPr>
          <w:rFonts w:ascii="Times New Roman" w:hAnsi="Times New Roman"/>
          <w:sz w:val="24"/>
          <w:szCs w:val="24"/>
        </w:rPr>
        <w:t xml:space="preserve">Looking at the totality of the evidence, it is </w:t>
      </w:r>
      <w:r>
        <w:rPr>
          <w:rFonts w:ascii="Times New Roman" w:hAnsi="Times New Roman"/>
          <w:sz w:val="24"/>
          <w:szCs w:val="24"/>
        </w:rPr>
        <w:t>‘</w:t>
      </w:r>
      <w:r w:rsidRPr="00305556">
        <w:rPr>
          <w:rFonts w:ascii="Times New Roman" w:hAnsi="Times New Roman"/>
          <w:sz w:val="24"/>
          <w:szCs w:val="24"/>
        </w:rPr>
        <w:t xml:space="preserve">significant that </w:t>
      </w:r>
      <w:proofErr w:type="gramStart"/>
      <w:r w:rsidRPr="00305556">
        <w:rPr>
          <w:rFonts w:ascii="Times New Roman" w:hAnsi="Times New Roman"/>
          <w:sz w:val="24"/>
          <w:szCs w:val="24"/>
        </w:rPr>
        <w:t>the harassment</w:t>
      </w:r>
      <w:proofErr w:type="gramEnd"/>
      <w:r w:rsidRPr="00305556">
        <w:rPr>
          <w:rFonts w:ascii="Times New Roman" w:hAnsi="Times New Roman"/>
          <w:sz w:val="24"/>
          <w:szCs w:val="24"/>
        </w:rPr>
        <w:t xml:space="preserve"> occurred in an atmosphere where firefighters live and serve together and in which mutual interdependence is an essential factor in effectiveness and, at times, survival.</w:t>
      </w:r>
      <w:r>
        <w:rPr>
          <w:rFonts w:ascii="Times New Roman" w:hAnsi="Times New Roman"/>
          <w:sz w:val="24"/>
          <w:szCs w:val="24"/>
        </w:rPr>
        <w:t>’</w:t>
      </w:r>
      <w:r w:rsidRPr="00305556">
        <w:rPr>
          <w:rFonts w:ascii="Times New Roman" w:hAnsi="Times New Roman"/>
          <w:sz w:val="24"/>
          <w:szCs w:val="24"/>
        </w:rPr>
        <w:t xml:space="preserve"> </w:t>
      </w:r>
      <w:r w:rsidRPr="00305556">
        <w:rPr>
          <w:rFonts w:ascii="Times New Roman" w:hAnsi="Times New Roman"/>
          <w:i/>
          <w:iCs/>
          <w:sz w:val="24"/>
          <w:szCs w:val="24"/>
        </w:rPr>
        <w:t>Alamo</w:t>
      </w:r>
      <w:r w:rsidRPr="00305556">
        <w:rPr>
          <w:rFonts w:ascii="Times New Roman" w:hAnsi="Times New Roman"/>
          <w:sz w:val="24"/>
          <w:szCs w:val="24"/>
        </w:rPr>
        <w:t>, 864 F.3d at 551.</w:t>
      </w:r>
      <w:r>
        <w:rPr>
          <w:rFonts w:ascii="Times New Roman" w:hAnsi="Times New Roman"/>
          <w:sz w:val="24"/>
          <w:szCs w:val="24"/>
        </w:rPr>
        <w:t xml:space="preserve">” </w:t>
      </w:r>
      <w:hyperlink r:id="rId1611" w:history="1">
        <w:r w:rsidRPr="00023471">
          <w:rPr>
            <w:rStyle w:val="Hyperlink"/>
            <w:rFonts w:ascii="Times New Roman" w:hAnsi="Times New Roman"/>
            <w:sz w:val="24"/>
            <w:szCs w:val="24"/>
          </w:rPr>
          <w:t>https://casetext.com/case/alamo-v-city-of-chi-2</w:t>
        </w:r>
      </w:hyperlink>
      <w:r>
        <w:rPr>
          <w:rFonts w:ascii="Times New Roman" w:hAnsi="Times New Roman"/>
          <w:sz w:val="24"/>
          <w:szCs w:val="24"/>
        </w:rPr>
        <w:t xml:space="preserve"> </w:t>
      </w:r>
    </w:p>
    <w:p w14:paraId="259761E5" w14:textId="77777777" w:rsidR="00EB2493" w:rsidRDefault="00EB2493" w:rsidP="00EB2493">
      <w:pPr>
        <w:spacing w:before="100" w:beforeAutospacing="1" w:after="100" w:afterAutospacing="1" w:line="240" w:lineRule="auto"/>
        <w:rPr>
          <w:rFonts w:ascii="Times New Roman" w:hAnsi="Times New Roman"/>
          <w:b/>
          <w:bCs/>
          <w:sz w:val="24"/>
          <w:szCs w:val="24"/>
        </w:rPr>
      </w:pPr>
      <w:r w:rsidRPr="000E79A2">
        <w:rPr>
          <w:rFonts w:ascii="Times New Roman" w:hAnsi="Times New Roman"/>
          <w:b/>
          <w:bCs/>
          <w:sz w:val="24"/>
          <w:szCs w:val="24"/>
        </w:rPr>
        <w:lastRenderedPageBreak/>
        <w:t>Legal Lesson Learned:</w:t>
      </w:r>
      <w:r>
        <w:rPr>
          <w:rFonts w:ascii="Times New Roman" w:hAnsi="Times New Roman"/>
          <w:b/>
          <w:bCs/>
          <w:sz w:val="24"/>
          <w:szCs w:val="24"/>
        </w:rPr>
        <w:t xml:space="preserve">  Internal complaints of hostile work environment, whether complaints about Supervisors or about fellow firefighters, should be promptly investigated and corrective action documented. </w:t>
      </w:r>
    </w:p>
    <w:p w14:paraId="0392A0DE" w14:textId="3AC07CD1" w:rsidR="00EB2493" w:rsidRDefault="00EB2493" w:rsidP="00BC70A3">
      <w:pPr>
        <w:rPr>
          <w:rFonts w:ascii="Arial Black" w:hAnsi="Arial Black"/>
          <w:b/>
          <w:sz w:val="24"/>
          <w:szCs w:val="24"/>
        </w:rPr>
      </w:pPr>
    </w:p>
    <w:p w14:paraId="05814076" w14:textId="547ED69B" w:rsidR="00EB2493" w:rsidRDefault="00EB2493" w:rsidP="00BC70A3">
      <w:pPr>
        <w:rPr>
          <w:rFonts w:ascii="Arial Black" w:hAnsi="Arial Black"/>
          <w:b/>
          <w:sz w:val="24"/>
          <w:szCs w:val="24"/>
        </w:rPr>
      </w:pPr>
      <w:r>
        <w:rPr>
          <w:rFonts w:ascii="Arial Black" w:hAnsi="Arial Black"/>
          <w:b/>
          <w:sz w:val="24"/>
          <w:szCs w:val="24"/>
        </w:rPr>
        <w:t>8-26</w:t>
      </w:r>
    </w:p>
    <w:p w14:paraId="369DD68E" w14:textId="77777777" w:rsidR="00EB2493" w:rsidRDefault="00EB2493" w:rsidP="00EB2493">
      <w:pPr>
        <w:spacing w:before="100" w:beforeAutospacing="1" w:after="100" w:afterAutospacing="1" w:line="240" w:lineRule="auto"/>
        <w:rPr>
          <w:rFonts w:ascii="Arial Black" w:hAnsi="Arial Black"/>
          <w:sz w:val="28"/>
          <w:szCs w:val="28"/>
        </w:rPr>
      </w:pPr>
      <w:r>
        <w:rPr>
          <w:rFonts w:ascii="Arial Black" w:hAnsi="Arial Black"/>
          <w:sz w:val="28"/>
          <w:szCs w:val="28"/>
        </w:rPr>
        <w:t>MI: PALESTINIAN FF – NATIONAL ORIGIN CLAIMS UNPROVEN – ALLOWED BEARD, AND TO WORK NIGHTS DURING RAMADAN</w:t>
      </w:r>
    </w:p>
    <w:p w14:paraId="603CE591" w14:textId="77777777" w:rsidR="00EB2493" w:rsidRDefault="00EB2493" w:rsidP="00EB2493">
      <w:pPr>
        <w:pStyle w:val="NormalWeb"/>
      </w:pPr>
      <w:r>
        <w:t xml:space="preserve">On Feb. 4, 2021, in </w:t>
      </w:r>
      <w:r w:rsidRPr="001E13BD">
        <w:rPr>
          <w:u w:val="single"/>
        </w:rPr>
        <w:t>Alaa Saade v. City of Detroit,</w:t>
      </w:r>
      <w:r>
        <w:rPr>
          <w:u w:val="single"/>
        </w:rPr>
        <w:t xml:space="preserve"> </w:t>
      </w:r>
      <w:r w:rsidRPr="001E13BD">
        <w:rPr>
          <w:u w:val="single"/>
        </w:rPr>
        <w:t>et al.</w:t>
      </w:r>
      <w:r>
        <w:t xml:space="preserve">  U.S. District Judge Judith E. Levy granted the defendants motion for summary judgment.  His claims of national origin discrimination, including not being promoted and disciplined for delaying ambulance response, dismissed for lack of proof.  He was allowed when hired to wear a beard, and his claim of not being accommodated during Ramadan was proven false – he was allowed to work Night Shift. </w:t>
      </w:r>
      <w:hyperlink r:id="rId1612" w:history="1">
        <w:r w:rsidRPr="005D199E">
          <w:rPr>
            <w:rStyle w:val="Hyperlink"/>
          </w:rPr>
          <w:t>https://casetext.com/case/saade-v-city-of-detroit-1</w:t>
        </w:r>
      </w:hyperlink>
      <w:r>
        <w:t xml:space="preserve">  </w:t>
      </w:r>
    </w:p>
    <w:p w14:paraId="1B3FDFAB" w14:textId="77777777" w:rsidR="00EB2493" w:rsidRDefault="00EB2493" w:rsidP="00EB2493">
      <w:pPr>
        <w:pStyle w:val="NormalWeb"/>
        <w:ind w:left="720"/>
        <w:rPr>
          <w:b/>
          <w:bCs/>
          <w:i/>
          <w:iCs/>
        </w:rPr>
      </w:pPr>
      <w:r>
        <w:rPr>
          <w:b/>
          <w:bCs/>
          <w:i/>
          <w:iCs/>
        </w:rPr>
        <w:t>“Failure to Promote</w:t>
      </w:r>
    </w:p>
    <w:p w14:paraId="7C745D7D" w14:textId="77777777" w:rsidR="00EB2493" w:rsidRDefault="00EB2493" w:rsidP="00EB2493">
      <w:pPr>
        <w:pStyle w:val="NormalWeb"/>
        <w:ind w:left="720"/>
      </w:pPr>
      <w:r>
        <w:t>In 2016, Plaintiff applied for job that would have led to a promotion to the rank of Shift Supervisor Grade II. (ECF No. 31, PageID.224.) He states that he was selected from many other candidates to take a written test and participate in an oral interview. Plaintiff states that he was the only candidate with a college degree, which was listed as one of the preferred job requirements.</w:t>
      </w:r>
    </w:p>
    <w:p w14:paraId="1733715C" w14:textId="77777777" w:rsidR="00EB2493" w:rsidRDefault="00EB2493" w:rsidP="00EB2493">
      <w:pPr>
        <w:pStyle w:val="NormalWeb"/>
        <w:ind w:left="720"/>
      </w:pPr>
      <w:r>
        <w:t>[Court]:  Plaintiff admitted in his deposition that he was unsuccessful at the oral interview portion of the selection process…. Specifically, when asked if it was possible another candidate got the position because they outscored Plaintiff in other categories of the application, Plaintiff admitted, "I have no idea. Anything is possible…." Plaintiff was asked what evidence he had to support his claim of discrimination and he stated, "I don't have any evidence of that. Just what I feel happened because of the way it happened, so." (</w:t>
      </w:r>
      <w:r>
        <w:rPr>
          <w:i/>
          <w:iCs/>
        </w:rPr>
        <w:t>Id</w:t>
      </w:r>
      <w:r>
        <w:t>.) This is not enough to sustain a claim of discrimination.</w:t>
      </w:r>
    </w:p>
    <w:p w14:paraId="2B908E18" w14:textId="77777777" w:rsidR="00EB2493" w:rsidRDefault="00EB2493" w:rsidP="00EB2493">
      <w:pPr>
        <w:pStyle w:val="NormalWeb"/>
        <w:ind w:left="720"/>
      </w:pPr>
      <w:r>
        <w:t>***</w:t>
      </w:r>
    </w:p>
    <w:p w14:paraId="63A806FC" w14:textId="77777777" w:rsidR="00EB2493" w:rsidRDefault="00EB2493" w:rsidP="00EB2493">
      <w:pPr>
        <w:pStyle w:val="paragraph"/>
        <w:ind w:firstLine="720"/>
      </w:pPr>
      <w:r>
        <w:rPr>
          <w:b/>
          <w:bCs/>
          <w:i/>
          <w:iCs/>
        </w:rPr>
        <w:t>March 27</w:t>
      </w:r>
      <w:r>
        <w:t xml:space="preserve">, </w:t>
      </w:r>
      <w:proofErr w:type="gramStart"/>
      <w:r>
        <w:rPr>
          <w:b/>
          <w:bCs/>
          <w:i/>
          <w:iCs/>
        </w:rPr>
        <w:t>2017</w:t>
      </w:r>
      <w:proofErr w:type="gramEnd"/>
      <w:r>
        <w:rPr>
          <w:b/>
          <w:bCs/>
          <w:i/>
          <w:iCs/>
        </w:rPr>
        <w:t xml:space="preserve"> Discipline</w:t>
      </w:r>
      <w:r>
        <w:rPr>
          <w:b/>
          <w:bCs/>
        </w:rPr>
        <w:t xml:space="preserve"> </w:t>
      </w:r>
    </w:p>
    <w:p w14:paraId="4020CA56" w14:textId="77777777" w:rsidR="00EB2493" w:rsidRDefault="00EB2493" w:rsidP="00EB2493">
      <w:pPr>
        <w:pStyle w:val="NormalWeb"/>
        <w:ind w:left="720"/>
      </w:pPr>
      <w:r>
        <w:t xml:space="preserve">On March 27, 2017, Plaintiff received a charge of discipline for delaying a run. During that </w:t>
      </w:r>
      <w:proofErr w:type="gramStart"/>
      <w:r>
        <w:t>time period</w:t>
      </w:r>
      <w:proofErr w:type="gramEnd"/>
      <w:r>
        <w:t xml:space="preserve">, the City of Detroit's EMS response times were an ongoing issue within the department….When response times exceeded eight minutes, the run would be flagged and reviewed for compliance with EMS's policy to have an ambulance in motion within one minute of a call…. </w:t>
      </w:r>
    </w:p>
    <w:p w14:paraId="44FF2873" w14:textId="77777777" w:rsidR="00EB2493" w:rsidRDefault="00EB2493" w:rsidP="00EB2493">
      <w:pPr>
        <w:pStyle w:val="NormalWeb"/>
        <w:ind w:left="720"/>
      </w:pPr>
      <w:r>
        <w:t xml:space="preserve">At 6:42 am that morning while Plaintiff was on duty, a run came in for an attempted suicide. Before the paramedics were notified of the run, another employee, Jeff Gaglio, arrived early for work on his shift and relieved Plaintiff's partner Nataki Vickers. As Gaglio and Plaintiff (who was driving the ambulance) began pulling out into the driveway for the run, Plaintiff saw his shift relief, Chris Photiades, arrive at work. Plaintiff turned the ambulance around to switch with </w:t>
      </w:r>
      <w:proofErr w:type="spellStart"/>
      <w:r>
        <w:t>Phiotades</w:t>
      </w:r>
      <w:proofErr w:type="spellEnd"/>
      <w:r>
        <w:t xml:space="preserve">. </w:t>
      </w:r>
      <w:proofErr w:type="spellStart"/>
      <w:r>
        <w:t>Phiotades</w:t>
      </w:r>
      <w:proofErr w:type="spellEnd"/>
      <w:r>
        <w:t xml:space="preserve"> and Gaglio then took the run, and arrived on the scene at 6:51 am—nine minutes after the run came in.</w:t>
      </w:r>
    </w:p>
    <w:p w14:paraId="0BBF8A23" w14:textId="77777777" w:rsidR="00EB2493" w:rsidRDefault="00EB2493" w:rsidP="00EB2493">
      <w:pPr>
        <w:pStyle w:val="NormalWeb"/>
        <w:ind w:left="720"/>
      </w:pPr>
      <w:r>
        <w:t xml:space="preserve">[Court]: Accordingly, an unserved six-hour suspension and discipline letter are not sufficient to establish a materially adverse employment action. Therefore, Plaintiff has not established a prima facie case of discrimination </w:t>
      </w:r>
      <w:proofErr w:type="gramStart"/>
      <w:r>
        <w:t>for</w:t>
      </w:r>
      <w:proofErr w:type="gramEnd"/>
      <w:r>
        <w:t xml:space="preserve"> this claim.</w:t>
      </w:r>
    </w:p>
    <w:p w14:paraId="4E2329B2" w14:textId="77777777" w:rsidR="00EB2493" w:rsidRDefault="00EB2493" w:rsidP="00EB2493">
      <w:pPr>
        <w:pStyle w:val="NormalWeb"/>
        <w:ind w:left="720"/>
        <w:rPr>
          <w:b/>
          <w:bCs/>
          <w:i/>
          <w:iCs/>
        </w:rPr>
      </w:pPr>
    </w:p>
    <w:p w14:paraId="3603685B" w14:textId="77777777" w:rsidR="00EB2493" w:rsidRDefault="00EB2493" w:rsidP="00EB2493">
      <w:pPr>
        <w:pStyle w:val="NormalWeb"/>
        <w:ind w:left="720"/>
      </w:pPr>
      <w:r>
        <w:rPr>
          <w:b/>
          <w:bCs/>
          <w:i/>
          <w:iCs/>
        </w:rPr>
        <w:t>April 2017 Ramadan Accommodation Request</w:t>
      </w:r>
    </w:p>
    <w:p w14:paraId="3BC74AF8" w14:textId="77777777" w:rsidR="00EB2493" w:rsidRDefault="00EB2493" w:rsidP="00EB2493">
      <w:pPr>
        <w:pStyle w:val="NormalWeb"/>
        <w:ind w:left="720"/>
      </w:pPr>
      <w:r>
        <w:t xml:space="preserve">[Court]: Defendants' motion for summary judgment contains e-mail exhibits indicating that Plaintiff was granted accommodations during Ramadan in 2017. For example, on Wednesday May 17, 2017, Jason Bestard, the Administrative Lieutenant for the City of Detroit Fire Department EMS Division wrote to </w:t>
      </w:r>
      <w:proofErr w:type="gramStart"/>
      <w:r>
        <w:t>Plaintiff: ‘</w:t>
      </w:r>
      <w:proofErr w:type="gramEnd"/>
      <w:r>
        <w:t xml:space="preserve">In order to accommodate your request, you will be moved to the NIGHTS 1 shift as a FLOAT PARAMEDIC for the dates, May 28 through June 20th. You will return to your regular shift Sunday, June 25th…. These dates covered the entire period for which Plaintiff sought an accommodation in his initial email to his supervisors.” </w:t>
      </w:r>
      <w:hyperlink r:id="rId1613" w:history="1">
        <w:r w:rsidRPr="005D199E">
          <w:rPr>
            <w:rStyle w:val="Hyperlink"/>
          </w:rPr>
          <w:t>https://casetext.com/case/saade-v-city-of-detroit-1</w:t>
        </w:r>
      </w:hyperlink>
      <w:r>
        <w:t xml:space="preserve">  </w:t>
      </w:r>
    </w:p>
    <w:p w14:paraId="0220A169" w14:textId="77777777" w:rsidR="00EB2493" w:rsidRDefault="00EB2493" w:rsidP="00EB2493">
      <w:pPr>
        <w:spacing w:before="100" w:beforeAutospacing="1" w:after="100" w:afterAutospacing="1" w:line="240" w:lineRule="auto"/>
        <w:rPr>
          <w:rFonts w:ascii="Times New Roman" w:hAnsi="Times New Roman"/>
          <w:b/>
          <w:bCs/>
          <w:sz w:val="24"/>
          <w:szCs w:val="24"/>
        </w:rPr>
      </w:pPr>
      <w:r w:rsidRPr="00FA450C">
        <w:rPr>
          <w:rFonts w:ascii="Times New Roman" w:hAnsi="Times New Roman"/>
          <w:b/>
          <w:bCs/>
          <w:sz w:val="24"/>
          <w:szCs w:val="24"/>
        </w:rPr>
        <w:t>Legal Lesson Learned:</w:t>
      </w:r>
      <w:r>
        <w:rPr>
          <w:rFonts w:ascii="Times New Roman" w:hAnsi="Times New Roman"/>
          <w:b/>
          <w:bCs/>
          <w:sz w:val="24"/>
          <w:szCs w:val="24"/>
        </w:rPr>
        <w:t xml:space="preserve">  Plaintiffs in establishing a “prima facie” case of discrimination has the burden of proof to demonstrate a material adverse change in the terms of his employment.</w:t>
      </w:r>
    </w:p>
    <w:p w14:paraId="20FBCC4E" w14:textId="77777777" w:rsidR="00EB2493" w:rsidRDefault="00EB2493" w:rsidP="00BC70A3">
      <w:pPr>
        <w:rPr>
          <w:rFonts w:ascii="Arial Black" w:hAnsi="Arial Black"/>
          <w:b/>
          <w:sz w:val="24"/>
          <w:szCs w:val="24"/>
        </w:rPr>
      </w:pPr>
    </w:p>
    <w:p w14:paraId="6C25FF4D" w14:textId="77777777" w:rsidR="00EB2493" w:rsidRDefault="00EB2493" w:rsidP="00BC70A3">
      <w:pPr>
        <w:rPr>
          <w:rFonts w:ascii="Arial Black" w:hAnsi="Arial Black"/>
          <w:b/>
          <w:sz w:val="24"/>
          <w:szCs w:val="24"/>
        </w:rPr>
      </w:pPr>
    </w:p>
    <w:p w14:paraId="51A776D8" w14:textId="7F1F3AF7" w:rsidR="007F3C7D" w:rsidRDefault="007F3C7D" w:rsidP="00BC70A3">
      <w:pPr>
        <w:rPr>
          <w:rFonts w:ascii="Arial Black" w:hAnsi="Arial Black"/>
          <w:b/>
          <w:sz w:val="24"/>
          <w:szCs w:val="24"/>
        </w:rPr>
      </w:pPr>
      <w:r>
        <w:rPr>
          <w:rFonts w:ascii="Arial Black" w:hAnsi="Arial Black"/>
          <w:b/>
          <w:sz w:val="24"/>
          <w:szCs w:val="24"/>
        </w:rPr>
        <w:t>8-25</w:t>
      </w:r>
    </w:p>
    <w:p w14:paraId="5C643133" w14:textId="77777777" w:rsidR="007F3C7D" w:rsidRPr="00890EBF" w:rsidRDefault="007F3C7D" w:rsidP="007F3C7D">
      <w:pPr>
        <w:pStyle w:val="NoSpacing"/>
        <w:rPr>
          <w:rFonts w:ascii="Arial Black" w:hAnsi="Arial Black"/>
          <w:sz w:val="28"/>
          <w:szCs w:val="28"/>
        </w:rPr>
      </w:pPr>
      <w:bookmarkStart w:id="318" w:name="_Hlk66947802"/>
      <w:r>
        <w:rPr>
          <w:rFonts w:ascii="Arial Black" w:hAnsi="Arial Black"/>
          <w:sz w:val="28"/>
          <w:szCs w:val="28"/>
        </w:rPr>
        <w:t xml:space="preserve">NY: SYRACUSE 1980 CONSENT DECREE – FED. JUDGE WON’T DISSOLVE – BUT DROP SEPARATE HIRING LISTS </w:t>
      </w:r>
    </w:p>
    <w:p w14:paraId="0AC04779" w14:textId="77777777" w:rsidR="007F3C7D" w:rsidRDefault="007F3C7D" w:rsidP="007F3C7D">
      <w:pPr>
        <w:pStyle w:val="NoSpacing"/>
      </w:pPr>
    </w:p>
    <w:p w14:paraId="0D82AD8C" w14:textId="77777777" w:rsidR="007F3C7D" w:rsidRPr="00890EBF" w:rsidRDefault="007F3C7D" w:rsidP="007F3C7D">
      <w:pPr>
        <w:pStyle w:val="NoSpacing"/>
        <w:rPr>
          <w:rFonts w:ascii="Times New Roman" w:hAnsi="Times New Roman"/>
          <w:sz w:val="24"/>
          <w:szCs w:val="24"/>
        </w:rPr>
      </w:pPr>
      <w:r w:rsidRPr="00890EBF">
        <w:rPr>
          <w:rFonts w:ascii="Times New Roman" w:hAnsi="Times New Roman"/>
          <w:sz w:val="24"/>
          <w:szCs w:val="24"/>
        </w:rPr>
        <w:t xml:space="preserve">On Jan. 12, 2021, in </w:t>
      </w:r>
      <w:r w:rsidRPr="00890EBF">
        <w:rPr>
          <w:rFonts w:ascii="Times New Roman" w:hAnsi="Times New Roman"/>
          <w:sz w:val="24"/>
          <w:szCs w:val="24"/>
          <w:u w:val="single"/>
        </w:rPr>
        <w:t>Lee Alexander, Mayor of Syracuse, et al. v. Victor S. Bahou, as President of the Civil Service Commission of the State of New York, et al</w:t>
      </w:r>
      <w:r w:rsidRPr="00890EBF">
        <w:rPr>
          <w:rFonts w:ascii="Times New Roman" w:hAnsi="Times New Roman"/>
          <w:sz w:val="24"/>
          <w:szCs w:val="24"/>
        </w:rPr>
        <w:t xml:space="preserve">., </w:t>
      </w:r>
      <w:r>
        <w:rPr>
          <w:rFonts w:ascii="Times New Roman" w:hAnsi="Times New Roman"/>
          <w:sz w:val="24"/>
          <w:szCs w:val="24"/>
        </w:rPr>
        <w:t xml:space="preserve">U.S. District Court Judge David, U.S. District Court for Northern District of New York, denied the U.S. Government’s motion to dissolve the 1980 Consent Decree, but did amend the Decree that had allowed the City for past 40 years to hire police and fire applicants off of separate hiring lists for minority and female applicants, instead of hiring by the State of New York “rule of three” from one list.  Instead of separate hiring lists, the </w:t>
      </w:r>
      <w:proofErr w:type="gramStart"/>
      <w:r>
        <w:rPr>
          <w:rFonts w:ascii="Times New Roman" w:hAnsi="Times New Roman"/>
          <w:sz w:val="24"/>
          <w:szCs w:val="24"/>
        </w:rPr>
        <w:t>City</w:t>
      </w:r>
      <w:proofErr w:type="gramEnd"/>
      <w:r>
        <w:rPr>
          <w:rFonts w:ascii="Times New Roman" w:hAnsi="Times New Roman"/>
          <w:sz w:val="24"/>
          <w:szCs w:val="24"/>
        </w:rPr>
        <w:t xml:space="preserve"> can give added points to minority and female applicants </w:t>
      </w:r>
      <w:proofErr w:type="gramStart"/>
      <w:r>
        <w:rPr>
          <w:rFonts w:ascii="Times New Roman" w:hAnsi="Times New Roman"/>
          <w:sz w:val="24"/>
          <w:szCs w:val="24"/>
        </w:rPr>
        <w:t>similar to</w:t>
      </w:r>
      <w:proofErr w:type="gramEnd"/>
      <w:r>
        <w:rPr>
          <w:rFonts w:ascii="Times New Roman" w:hAnsi="Times New Roman"/>
          <w:sz w:val="24"/>
          <w:szCs w:val="24"/>
        </w:rPr>
        <w:t xml:space="preserve"> points they award for residents. </w:t>
      </w:r>
    </w:p>
    <w:bookmarkEnd w:id="318"/>
    <w:p w14:paraId="69489D5D" w14:textId="77777777" w:rsidR="007F3C7D" w:rsidRDefault="007F3C7D" w:rsidP="007F3C7D">
      <w:pPr>
        <w:pStyle w:val="NoSpacing"/>
      </w:pPr>
    </w:p>
    <w:p w14:paraId="21C9D9E5" w14:textId="77777777" w:rsidR="007F3C7D" w:rsidRDefault="007F3C7D" w:rsidP="007F3C7D">
      <w:pPr>
        <w:pStyle w:val="NoSpacing"/>
        <w:ind w:left="720"/>
        <w:rPr>
          <w:rFonts w:ascii="Times New Roman" w:hAnsi="Times New Roman"/>
          <w:sz w:val="24"/>
          <w:szCs w:val="24"/>
        </w:rPr>
      </w:pPr>
      <w:r>
        <w:rPr>
          <w:rFonts w:ascii="Times New Roman" w:hAnsi="Times New Roman"/>
          <w:sz w:val="24"/>
          <w:szCs w:val="24"/>
        </w:rPr>
        <w:t>“</w:t>
      </w:r>
      <w:r w:rsidRPr="00B16549">
        <w:rPr>
          <w:rFonts w:ascii="Times New Roman" w:hAnsi="Times New Roman"/>
          <w:sz w:val="24"/>
          <w:szCs w:val="24"/>
        </w:rPr>
        <w:t>Syracuse's goal throughout this litigation is an admirable one. Its dedication to combating racial and sex discrimination within its police and fire departments even after forty years of effort is worthy of commendation. The work of remedying the city's past discriminatory hiring practices is far from over, and contrary to the government's arguments, the Court will not deprive the city of its tools for continuing in its labors. However, the government has made an adequate showing that the city's practice of using separate eligibility lists for women and African American candidates for police and fire work, a practice empowered by the consent decree, violates Title VII. The Court cannot allow its authority to be used to circumvent federal law, and accordingly the government's motion to modify the consent decree must be granted in part</w:t>
      </w:r>
      <w:r>
        <w:rPr>
          <w:rFonts w:ascii="Times New Roman" w:hAnsi="Times New Roman"/>
          <w:sz w:val="24"/>
          <w:szCs w:val="24"/>
        </w:rPr>
        <w:t>.</w:t>
      </w:r>
    </w:p>
    <w:p w14:paraId="57B8E940" w14:textId="77777777" w:rsidR="007F3C7D" w:rsidRDefault="007F3C7D" w:rsidP="007F3C7D">
      <w:pPr>
        <w:pStyle w:val="NoSpacing"/>
        <w:ind w:left="720"/>
        <w:rPr>
          <w:rFonts w:ascii="Times New Roman" w:hAnsi="Times New Roman"/>
          <w:sz w:val="24"/>
          <w:szCs w:val="24"/>
        </w:rPr>
      </w:pPr>
    </w:p>
    <w:p w14:paraId="6BD92BE4" w14:textId="77777777" w:rsidR="007F3C7D" w:rsidRDefault="007F3C7D" w:rsidP="007F3C7D">
      <w:pPr>
        <w:pStyle w:val="NoSpacing"/>
        <w:ind w:left="720"/>
        <w:rPr>
          <w:rFonts w:ascii="Times New Roman" w:hAnsi="Times New Roman"/>
          <w:sz w:val="24"/>
          <w:szCs w:val="24"/>
        </w:rPr>
      </w:pPr>
      <w:r>
        <w:rPr>
          <w:rFonts w:ascii="Times New Roman" w:hAnsi="Times New Roman"/>
          <w:sz w:val="24"/>
          <w:szCs w:val="24"/>
        </w:rPr>
        <w:t>***</w:t>
      </w:r>
    </w:p>
    <w:p w14:paraId="0575BC66" w14:textId="77777777" w:rsidR="007F3C7D" w:rsidRDefault="007F3C7D" w:rsidP="007F3C7D">
      <w:pPr>
        <w:pStyle w:val="paragraph"/>
        <w:ind w:left="720"/>
      </w:pPr>
      <w:r>
        <w:t xml:space="preserve">It can hardly be disputed that the separate eligibility lists use different cutoff scores, and therefore violate the 1991 amendment, because their purpose is to ensure that an African American or female candidate who would not otherwise have scored within the top three eligible applicants for a position would still be hirable. In other words, a non-African American male's score for consideration needs to fall within the top three, but an African American or female's score need not. </w:t>
      </w:r>
      <w:bookmarkStart w:id="319" w:name="_Hlk66947841"/>
      <w:r w:rsidR="00F00958">
        <w:fldChar w:fldCharType="begin"/>
      </w:r>
      <w:r w:rsidR="00F00958">
        <w:instrText xml:space="preserve"> HYPERLINK "https://casetext.com/statute/united-states-code/title-42-the-public-health-and-welfare/chapter-21-civil-rights/subchapter-vi-equal-employment-opportunities/section-2000e-2-unlawful-employment-practices" </w:instrText>
      </w:r>
      <w:r w:rsidR="00F00958">
        <w:fldChar w:fldCharType="separate"/>
      </w:r>
      <w:r>
        <w:rPr>
          <w:rStyle w:val="Hyperlink"/>
        </w:rPr>
        <w:t>42 U.S.C. § 2000e-2(</w:t>
      </w:r>
      <w:r>
        <w:rPr>
          <w:rStyle w:val="Hyperlink"/>
          <w:i/>
          <w:iCs/>
        </w:rPr>
        <w:t>l</w:t>
      </w:r>
      <w:r>
        <w:rPr>
          <w:rStyle w:val="Hyperlink"/>
        </w:rPr>
        <w:t>)</w:t>
      </w:r>
      <w:r w:rsidR="00F00958">
        <w:rPr>
          <w:rStyle w:val="Hyperlink"/>
        </w:rPr>
        <w:fldChar w:fldCharType="end"/>
      </w:r>
      <w:r>
        <w:t xml:space="preserve">. </w:t>
      </w:r>
      <w:hyperlink r:id="rId1614" w:history="1">
        <w:r w:rsidRPr="00E05602">
          <w:rPr>
            <w:rStyle w:val="Hyperlink"/>
          </w:rPr>
          <w:t>https://casetext.com/case/alexander-v-bahou/?PHONE_NUMBER_GROUP=P</w:t>
        </w:r>
      </w:hyperlink>
      <w:r>
        <w:t xml:space="preserve"> </w:t>
      </w:r>
    </w:p>
    <w:p w14:paraId="71A6F29D" w14:textId="77777777" w:rsidR="007F3C7D" w:rsidRDefault="007F3C7D" w:rsidP="007F3C7D">
      <w:pPr>
        <w:pStyle w:val="paragraph"/>
        <w:rPr>
          <w:b/>
          <w:bCs/>
        </w:rPr>
      </w:pPr>
      <w:r w:rsidRPr="009C106D">
        <w:rPr>
          <w:b/>
          <w:bCs/>
        </w:rPr>
        <w:lastRenderedPageBreak/>
        <w:t>Legal Lesson Learned:</w:t>
      </w:r>
      <w:r>
        <w:rPr>
          <w:b/>
          <w:bCs/>
        </w:rPr>
        <w:t xml:space="preserve">  Congress in 1991 amended Title VII of the Civil Rights Act to prohibit use of different cut off scores based on race or gender.</w:t>
      </w:r>
    </w:p>
    <w:p w14:paraId="2CB66DA4" w14:textId="77777777" w:rsidR="007F3C7D" w:rsidRPr="009E0EBC" w:rsidRDefault="007F3C7D" w:rsidP="007F3C7D">
      <w:pPr>
        <w:pStyle w:val="paragraph"/>
      </w:pPr>
      <w:r>
        <w:rPr>
          <w:b/>
          <w:bCs/>
        </w:rPr>
        <w:tab/>
      </w:r>
      <w:r w:rsidRPr="009E0EBC">
        <w:t xml:space="preserve">Note: </w:t>
      </w:r>
      <w:r>
        <w:t>The Federal judge in this case commented:</w:t>
      </w:r>
    </w:p>
    <w:p w14:paraId="6D99091D" w14:textId="77777777" w:rsidR="007F3C7D" w:rsidRDefault="007F3C7D" w:rsidP="007F3C7D">
      <w:pPr>
        <w:pStyle w:val="paragraph"/>
        <w:ind w:left="1440"/>
      </w:pPr>
      <w:r>
        <w:t xml:space="preserve">“In 1991, Congress made it unlawful under Title VII for employers ‘in connection with the selection or referral of applicants or candidates for employment[,] . . . to adjust the scores of, use different cutoff scores for, or otherwise alter the results of, employment[-]related tests on the basis of race, color, religion, sex, or national origin.’ </w:t>
      </w:r>
      <w:hyperlink r:id="rId1615" w:history="1">
        <w:r>
          <w:rPr>
            <w:rStyle w:val="Hyperlink"/>
          </w:rPr>
          <w:t>42 U.S.C. § 2000e-2(</w:t>
        </w:r>
        <w:r>
          <w:rPr>
            <w:rStyle w:val="Hyperlink"/>
            <w:i/>
            <w:iCs/>
          </w:rPr>
          <w:t>l</w:t>
        </w:r>
        <w:r>
          <w:rPr>
            <w:rStyle w:val="Hyperlink"/>
          </w:rPr>
          <w:t>)</w:t>
        </w:r>
      </w:hyperlink>
      <w:r>
        <w:t>.”</w:t>
      </w:r>
    </w:p>
    <w:p w14:paraId="22FF83E4" w14:textId="77777777" w:rsidR="007F3C7D" w:rsidRDefault="007F3C7D" w:rsidP="007F3C7D">
      <w:pPr>
        <w:pStyle w:val="paragraph"/>
        <w:ind w:left="720"/>
      </w:pPr>
      <w:r>
        <w:t xml:space="preserve">See also law review article by former General Counsel of EEOC: </w:t>
      </w:r>
    </w:p>
    <w:p w14:paraId="3F737A1A" w14:textId="77777777" w:rsidR="007F3C7D" w:rsidRPr="00FA716B" w:rsidRDefault="007F3C7D" w:rsidP="007F3C7D">
      <w:pPr>
        <w:pStyle w:val="paragraph"/>
        <w:ind w:left="720" w:firstLine="720"/>
      </w:pPr>
      <w:r w:rsidRPr="00FA716B">
        <w:t>THE CIVIL RIGHTS ACT OF 1991 AND EEOC ENFORCEMENT</w:t>
      </w:r>
    </w:p>
    <w:p w14:paraId="4C1FFABB" w14:textId="77777777" w:rsidR="007F3C7D" w:rsidRPr="009E0EBC" w:rsidRDefault="007F3C7D" w:rsidP="007F3C7D">
      <w:pPr>
        <w:pStyle w:val="NoSpacing"/>
        <w:ind w:left="1440"/>
        <w:rPr>
          <w:rFonts w:ascii="Times New Roman" w:hAnsi="Times New Roman"/>
          <w:sz w:val="24"/>
          <w:szCs w:val="24"/>
        </w:rPr>
      </w:pPr>
      <w:r w:rsidRPr="009E0EBC">
        <w:rPr>
          <w:rFonts w:ascii="Times New Roman" w:hAnsi="Times New Roman"/>
          <w:sz w:val="24"/>
          <w:szCs w:val="24"/>
        </w:rPr>
        <w:t>“On November 21, 1991, a new era of aggressive civil rights enforcement was introduced when President Bush signed the Civil Rights Act of 1991 (the Act) into law.</w:t>
      </w:r>
    </w:p>
    <w:p w14:paraId="01E2B61F" w14:textId="77777777" w:rsidR="007F3C7D" w:rsidRDefault="007F3C7D" w:rsidP="007F3C7D">
      <w:pPr>
        <w:pStyle w:val="paragraph"/>
        <w:ind w:left="720" w:firstLine="720"/>
      </w:pPr>
      <w:r>
        <w:rPr>
          <w:sz w:val="28"/>
          <w:szCs w:val="28"/>
        </w:rPr>
        <w:t>***</w:t>
      </w:r>
    </w:p>
    <w:p w14:paraId="5F33AC41" w14:textId="71718319" w:rsidR="007F3C7D" w:rsidRPr="007F3C7D" w:rsidRDefault="007F3C7D" w:rsidP="007F3C7D">
      <w:pPr>
        <w:ind w:left="720"/>
        <w:rPr>
          <w:rFonts w:ascii="Times New Roman" w:hAnsi="Times New Roman"/>
          <w:b/>
          <w:sz w:val="24"/>
          <w:szCs w:val="24"/>
        </w:rPr>
      </w:pPr>
      <w:r w:rsidRPr="007F3C7D">
        <w:rPr>
          <w:rFonts w:ascii="Times New Roman" w:hAnsi="Times New Roman"/>
          <w:sz w:val="24"/>
          <w:szCs w:val="24"/>
        </w:rPr>
        <w:t xml:space="preserve">Section 106 of the Civil Rights Act of 1991 prohibits practices often referred to as ‘within group scoring’ or ‘race norming.’ The Act makes it unlawful to adjust scores, to use different cutoff scores, or to alter the results of ‘employment related’ tests on the basis of race, color, religion, sex or national origin.144 The practice of score adjustment arose as a means of alleviating the disparate impact of certain selection tests. It had been adopted by some employers and test developers in lieu of the more difficult task of developing valid, non-discriminatory selection procedures.145” </w:t>
      </w:r>
      <w:hyperlink r:id="rId1616" w:history="1">
        <w:r w:rsidRPr="007F3C7D">
          <w:rPr>
            <w:rStyle w:val="Hyperlink"/>
            <w:rFonts w:ascii="Times New Roman" w:hAnsi="Times New Roman"/>
            <w:sz w:val="24"/>
            <w:szCs w:val="24"/>
          </w:rPr>
          <w:t>https://www.stetson.edu/law/lawreview/media/the-civil-rights-act-of-1991-and-eeoc-enforcement.pdf</w:t>
        </w:r>
      </w:hyperlink>
    </w:p>
    <w:p w14:paraId="7980E598" w14:textId="77777777" w:rsidR="007F3C7D" w:rsidRDefault="007F3C7D" w:rsidP="00BC70A3">
      <w:pPr>
        <w:rPr>
          <w:rFonts w:ascii="Arial Black" w:hAnsi="Arial Black"/>
          <w:b/>
          <w:sz w:val="24"/>
          <w:szCs w:val="24"/>
        </w:rPr>
      </w:pPr>
    </w:p>
    <w:p w14:paraId="2D254470" w14:textId="77777777" w:rsidR="007F3C7D" w:rsidRDefault="007F3C7D" w:rsidP="00BC70A3">
      <w:pPr>
        <w:rPr>
          <w:rFonts w:ascii="Arial Black" w:hAnsi="Arial Black"/>
          <w:b/>
          <w:sz w:val="24"/>
          <w:szCs w:val="24"/>
        </w:rPr>
      </w:pPr>
    </w:p>
    <w:bookmarkEnd w:id="319"/>
    <w:p w14:paraId="457D317C" w14:textId="60F4DF3E" w:rsidR="00BC70A3" w:rsidRPr="00BC70A3" w:rsidRDefault="00BC70A3" w:rsidP="00BC70A3">
      <w:pPr>
        <w:rPr>
          <w:rFonts w:ascii="Arial Black" w:hAnsi="Arial Black"/>
          <w:b/>
          <w:sz w:val="24"/>
          <w:szCs w:val="24"/>
        </w:rPr>
      </w:pPr>
      <w:r>
        <w:rPr>
          <w:rFonts w:ascii="Arial Black" w:hAnsi="Arial Black"/>
          <w:b/>
          <w:sz w:val="24"/>
          <w:szCs w:val="24"/>
        </w:rPr>
        <w:t xml:space="preserve">8-24 </w:t>
      </w:r>
      <w:r>
        <w:rPr>
          <w:rFonts w:ascii="Times New Roman" w:hAnsi="Times New Roman"/>
          <w:bCs/>
          <w:sz w:val="24"/>
          <w:szCs w:val="24"/>
        </w:rPr>
        <w:t xml:space="preserve">[Also filed, Chap. 9 -17] </w:t>
      </w:r>
    </w:p>
    <w:p w14:paraId="6EE04254" w14:textId="77777777" w:rsidR="00BC70A3" w:rsidRPr="00C03B09" w:rsidRDefault="00BC70A3" w:rsidP="00BC70A3">
      <w:pPr>
        <w:pStyle w:val="NoSpacing"/>
        <w:rPr>
          <w:rFonts w:ascii="Arial Black" w:hAnsi="Arial Black"/>
          <w:sz w:val="28"/>
          <w:szCs w:val="28"/>
        </w:rPr>
      </w:pPr>
      <w:r>
        <w:rPr>
          <w:rFonts w:ascii="Arial Black" w:hAnsi="Arial Black"/>
          <w:sz w:val="28"/>
          <w:szCs w:val="28"/>
        </w:rPr>
        <w:t xml:space="preserve">FL:  FDNY CHANGED GROOMING POLICY – REQUIRES CLEAN SHAVE – NOW ON APPEAL – JACKSONVILLE FF LAWSUIT </w:t>
      </w:r>
    </w:p>
    <w:p w14:paraId="2C5D7A04" w14:textId="77777777" w:rsidR="00BC70A3" w:rsidRPr="00473C64" w:rsidRDefault="00BC70A3" w:rsidP="00BC70A3">
      <w:pPr>
        <w:spacing w:before="100" w:beforeAutospacing="1" w:after="100" w:afterAutospacing="1" w:line="240" w:lineRule="auto"/>
        <w:rPr>
          <w:rFonts w:ascii="Times New Roman" w:hAnsi="Times New Roman"/>
          <w:sz w:val="24"/>
          <w:szCs w:val="24"/>
        </w:rPr>
      </w:pPr>
      <w:r w:rsidRPr="00473C64">
        <w:rPr>
          <w:rFonts w:ascii="Times New Roman" w:hAnsi="Times New Roman"/>
          <w:sz w:val="24"/>
          <w:szCs w:val="24"/>
        </w:rPr>
        <w:t xml:space="preserve">Nov. 25, 2020, “Black firefighters sue over Jacksonville policy requiring crews to be cleanshaven.”  It </w:t>
      </w:r>
      <w:proofErr w:type="gramStart"/>
      <w:r w:rsidRPr="00473C64">
        <w:rPr>
          <w:rFonts w:ascii="Times New Roman" w:hAnsi="Times New Roman"/>
          <w:sz w:val="24"/>
          <w:szCs w:val="24"/>
        </w:rPr>
        <w:t>referenced</w:t>
      </w:r>
      <w:proofErr w:type="gramEnd"/>
      <w:r w:rsidRPr="00473C64">
        <w:rPr>
          <w:rFonts w:ascii="Times New Roman" w:hAnsi="Times New Roman"/>
          <w:sz w:val="24"/>
          <w:szCs w:val="24"/>
        </w:rPr>
        <w:t xml:space="preserve"> a lawsuit by FDNY firefighters. </w:t>
      </w:r>
      <w:hyperlink r:id="rId1617" w:history="1">
        <w:r w:rsidRPr="00473C64">
          <w:rPr>
            <w:rStyle w:val="Hyperlink"/>
            <w:rFonts w:ascii="Times New Roman" w:hAnsi="Times New Roman"/>
            <w:sz w:val="24"/>
            <w:szCs w:val="24"/>
          </w:rPr>
          <w:t>https://www.jacksonville.com/story/news/courts/2020/11/25/jacksonville-lawsuit-cleanshaven-rule-unfair-black-firefighters/6406374002/</w:t>
        </w:r>
      </w:hyperlink>
    </w:p>
    <w:p w14:paraId="191EBBB4" w14:textId="77777777" w:rsidR="00BC70A3" w:rsidRDefault="00BC70A3" w:rsidP="00BC70A3">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The City of New York lost their case on Jan. 29, 2020, and has filed an appeal to the U.S. Court of Appeals for Second District. </w:t>
      </w:r>
      <w:r>
        <w:rPr>
          <w:rFonts w:ascii="Times New Roman" w:hAnsi="Times New Roman"/>
          <w:sz w:val="24"/>
          <w:szCs w:val="24"/>
        </w:rPr>
        <w:t xml:space="preserve">On July 2, 2020, the plaintiff firefighters filed their reply brief in the U.S. Court of Appeals for Second Circuit. </w:t>
      </w:r>
      <w:hyperlink r:id="rId1618" w:history="1">
        <w:r w:rsidRPr="007578D7">
          <w:rPr>
            <w:rStyle w:val="Hyperlink"/>
            <w:rFonts w:ascii="Times New Roman" w:hAnsi="Times New Roman"/>
            <w:sz w:val="24"/>
            <w:szCs w:val="24"/>
          </w:rPr>
          <w:t>https://www.law.georgetown.edu/icap/wp-content/uploads/sites/32/2020/07/Bey-2d-Cir.-Opening-Brief-FINAL-7-7-2020.pdf</w:t>
        </w:r>
      </w:hyperlink>
      <w:r>
        <w:rPr>
          <w:rFonts w:ascii="Times New Roman" w:hAnsi="Times New Roman"/>
          <w:sz w:val="24"/>
          <w:szCs w:val="24"/>
        </w:rPr>
        <w:t xml:space="preserve"> </w:t>
      </w:r>
    </w:p>
    <w:p w14:paraId="4B13B079" w14:textId="77777777" w:rsidR="00BC70A3" w:rsidRDefault="00BC70A3" w:rsidP="00BC70A3">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Jan. 29, 2020, in </w:t>
      </w:r>
      <w:r w:rsidRPr="00D115C7">
        <w:rPr>
          <w:rFonts w:ascii="Times New Roman" w:eastAsia="Times New Roman" w:hAnsi="Times New Roman"/>
          <w:sz w:val="24"/>
          <w:szCs w:val="24"/>
          <w:u w:val="single"/>
        </w:rPr>
        <w:t>Salik Bey, et al. v. City of New York, Daniel Nigro, et al</w:t>
      </w:r>
      <w:r>
        <w:rPr>
          <w:rFonts w:ascii="Times New Roman" w:eastAsia="Times New Roman" w:hAnsi="Times New Roman"/>
          <w:sz w:val="24"/>
          <w:szCs w:val="24"/>
        </w:rPr>
        <w:t>., 437 F. Supp. 3</w:t>
      </w:r>
      <w:r w:rsidRPr="009562EF">
        <w:rPr>
          <w:rFonts w:ascii="Times New Roman" w:eastAsia="Times New Roman" w:hAnsi="Times New Roman"/>
          <w:sz w:val="24"/>
          <w:szCs w:val="24"/>
          <w:vertAlign w:val="superscript"/>
        </w:rPr>
        <w:t>rd</w:t>
      </w:r>
      <w:r>
        <w:rPr>
          <w:rFonts w:ascii="Times New Roman" w:eastAsia="Times New Roman" w:hAnsi="Times New Roman"/>
          <w:sz w:val="24"/>
          <w:szCs w:val="24"/>
        </w:rPr>
        <w:t xml:space="preserve"> 2222, Senior U.S. District Court Judge Jack B. Weinstein, U.S. District Court for Eastern District of New York ordered FDNY to return to their former grooming policy (Aug. 2015 – Dec. 2017) which allowed </w:t>
      </w:r>
      <w:r w:rsidRPr="00CB7445">
        <w:rPr>
          <w:rFonts w:ascii="Times New Roman" w:eastAsia="Times New Roman" w:hAnsi="Times New Roman"/>
          <w:sz w:val="24"/>
          <w:szCs w:val="24"/>
        </w:rPr>
        <w:t xml:space="preserve">facial hair in the chin, </w:t>
      </w:r>
      <w:r w:rsidRPr="00CB7445">
        <w:rPr>
          <w:rFonts w:ascii="Times New Roman" w:eastAsia="Times New Roman" w:hAnsi="Times New Roman"/>
          <w:sz w:val="24"/>
          <w:szCs w:val="24"/>
        </w:rPr>
        <w:lastRenderedPageBreak/>
        <w:t>cheek and neck area if it did not cause leakage around the mask's seal</w:t>
      </w:r>
      <w:r>
        <w:rPr>
          <w:rFonts w:ascii="Times New Roman" w:eastAsia="Times New Roman" w:hAnsi="Times New Roman"/>
          <w:sz w:val="24"/>
          <w:szCs w:val="24"/>
        </w:rPr>
        <w:t>.   Under the new policy: “</w:t>
      </w:r>
      <w:r w:rsidRPr="00313B2C">
        <w:rPr>
          <w:rFonts w:ascii="Times New Roman" w:hAnsi="Times New Roman"/>
          <w:sz w:val="24"/>
          <w:szCs w:val="24"/>
        </w:rPr>
        <w:t>If Plaintiffs shaved all facial hair in the chin area, they would maintain their status as full duty firefighters; otherwise, they would be placed on light duty.</w:t>
      </w:r>
      <w:r>
        <w:rPr>
          <w:rFonts w:ascii="Times New Roman" w:hAnsi="Times New Roman"/>
          <w:sz w:val="24"/>
          <w:szCs w:val="24"/>
        </w:rPr>
        <w:t xml:space="preserve">” </w:t>
      </w:r>
    </w:p>
    <w:p w14:paraId="4D65E1C1" w14:textId="77777777" w:rsidR="00BC70A3" w:rsidRDefault="00BC70A3" w:rsidP="00BC70A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Judge Weinstein’s decision: </w:t>
      </w:r>
    </w:p>
    <w:p w14:paraId="5892941C" w14:textId="77777777" w:rsidR="00BC70A3" w:rsidRDefault="00BC70A3" w:rsidP="00BC70A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FC3A40">
        <w:rPr>
          <w:rFonts w:ascii="Times New Roman" w:hAnsi="Times New Roman"/>
          <w:sz w:val="24"/>
          <w:szCs w:val="24"/>
        </w:rPr>
        <w:t xml:space="preserve">Defendants admit that no heightened safety risk to firefighters or the public was presented by the accommodation previously in effect. Two and a half years passed without incident, and Plaintiffs continued to perform their jobs satisfactorily. </w:t>
      </w:r>
      <w:proofErr w:type="gramStart"/>
      <w:r w:rsidRPr="00FC3A40">
        <w:rPr>
          <w:rFonts w:ascii="Times New Roman" w:hAnsi="Times New Roman"/>
          <w:sz w:val="24"/>
          <w:szCs w:val="24"/>
        </w:rPr>
        <w:t>The FDNY's</w:t>
      </w:r>
      <w:proofErr w:type="gramEnd"/>
      <w:r w:rsidRPr="00FC3A40">
        <w:rPr>
          <w:rFonts w:ascii="Times New Roman" w:hAnsi="Times New Roman"/>
          <w:sz w:val="24"/>
          <w:szCs w:val="24"/>
        </w:rPr>
        <w:t xml:space="preserve"> decision to abandon the prior accommodation was not based on any actual safety risks to firefighters or the public. Rather, driving the calculus was bureaucracy. Defendants cite no case law indicating that such bureaucratic considerations are a viable undue hardship defense; the court declines </w:t>
      </w:r>
      <w:proofErr w:type="gramStart"/>
      <w:r w:rsidRPr="00FC3A40">
        <w:rPr>
          <w:rFonts w:ascii="Times New Roman" w:hAnsi="Times New Roman"/>
          <w:sz w:val="24"/>
          <w:szCs w:val="24"/>
        </w:rPr>
        <w:t>to so</w:t>
      </w:r>
      <w:proofErr w:type="gramEnd"/>
      <w:r w:rsidRPr="00FC3A40">
        <w:rPr>
          <w:rFonts w:ascii="Times New Roman" w:hAnsi="Times New Roman"/>
          <w:sz w:val="24"/>
          <w:szCs w:val="24"/>
        </w:rPr>
        <w:t xml:space="preserve"> find</w:t>
      </w:r>
      <w:proofErr w:type="gramStart"/>
      <w:r>
        <w:rPr>
          <w:rFonts w:ascii="Times New Roman" w:hAnsi="Times New Roman"/>
          <w:sz w:val="24"/>
          <w:szCs w:val="24"/>
        </w:rPr>
        <w:t>.”</w:t>
      </w:r>
      <w:proofErr w:type="gramEnd"/>
      <w:r>
        <w:rPr>
          <w:rFonts w:ascii="Times New Roman" w:hAnsi="Times New Roman"/>
          <w:sz w:val="24"/>
          <w:szCs w:val="24"/>
        </w:rPr>
        <w:t xml:space="preserve"> </w:t>
      </w:r>
      <w:hyperlink r:id="rId1619" w:history="1">
        <w:r w:rsidRPr="007578D7">
          <w:rPr>
            <w:rStyle w:val="Hyperlink"/>
            <w:rFonts w:ascii="Times New Roman" w:hAnsi="Times New Roman"/>
            <w:sz w:val="24"/>
            <w:szCs w:val="24"/>
          </w:rPr>
          <w:t>https://casetext.com/case/bey-v-city-of-ny-7</w:t>
        </w:r>
      </w:hyperlink>
    </w:p>
    <w:p w14:paraId="0A48DEB3" w14:textId="77777777" w:rsidR="00BC70A3" w:rsidRPr="00FC3A40" w:rsidRDefault="00BC70A3" w:rsidP="00BC70A3">
      <w:pPr>
        <w:tabs>
          <w:tab w:val="left" w:pos="2810"/>
        </w:tabs>
        <w:spacing w:before="100" w:beforeAutospacing="1" w:after="100" w:afterAutospacing="1" w:line="240" w:lineRule="auto"/>
        <w:rPr>
          <w:rFonts w:ascii="Times New Roman" w:hAnsi="Times New Roman"/>
          <w:b/>
          <w:bCs/>
          <w:sz w:val="24"/>
          <w:szCs w:val="24"/>
        </w:rPr>
      </w:pPr>
      <w:r w:rsidRPr="00FC3A40">
        <w:rPr>
          <w:rFonts w:ascii="Times New Roman" w:hAnsi="Times New Roman"/>
          <w:b/>
          <w:bCs/>
          <w:sz w:val="24"/>
          <w:szCs w:val="24"/>
        </w:rPr>
        <w:t>Legal Lesson Learned</w:t>
      </w:r>
      <w:r>
        <w:rPr>
          <w:rFonts w:ascii="Times New Roman" w:hAnsi="Times New Roman"/>
          <w:b/>
          <w:bCs/>
          <w:sz w:val="24"/>
          <w:szCs w:val="24"/>
        </w:rPr>
        <w:t xml:space="preserve">: The FDNY case will now be decided by the U.S. Court of Appeals for the Second Circuit.  The Jacksonville FD case will proceed </w:t>
      </w:r>
      <w:proofErr w:type="gramStart"/>
      <w:r>
        <w:rPr>
          <w:rFonts w:ascii="Times New Roman" w:hAnsi="Times New Roman"/>
          <w:b/>
          <w:bCs/>
          <w:sz w:val="24"/>
          <w:szCs w:val="24"/>
        </w:rPr>
        <w:t>to</w:t>
      </w:r>
      <w:proofErr w:type="gramEnd"/>
      <w:r>
        <w:rPr>
          <w:rFonts w:ascii="Times New Roman" w:hAnsi="Times New Roman"/>
          <w:b/>
          <w:bCs/>
          <w:sz w:val="24"/>
          <w:szCs w:val="24"/>
        </w:rPr>
        <w:t xml:space="preserve"> pre-trial discovery.   </w:t>
      </w:r>
    </w:p>
    <w:p w14:paraId="6924D7F1" w14:textId="77777777" w:rsidR="00BC70A3" w:rsidRDefault="00BC70A3" w:rsidP="00DE0F03">
      <w:pPr>
        <w:rPr>
          <w:rFonts w:ascii="Arial Black" w:hAnsi="Arial Black"/>
          <w:b/>
          <w:sz w:val="24"/>
          <w:szCs w:val="24"/>
        </w:rPr>
      </w:pPr>
    </w:p>
    <w:p w14:paraId="755D19AE" w14:textId="77777777" w:rsidR="00BC70A3" w:rsidRDefault="00BC70A3" w:rsidP="00DE0F03">
      <w:pPr>
        <w:rPr>
          <w:rFonts w:ascii="Arial Black" w:hAnsi="Arial Black"/>
          <w:b/>
          <w:sz w:val="24"/>
          <w:szCs w:val="24"/>
        </w:rPr>
      </w:pPr>
    </w:p>
    <w:p w14:paraId="4C440C8D" w14:textId="77777777" w:rsidR="00BC70A3" w:rsidRDefault="00BC70A3" w:rsidP="00DE0F03">
      <w:pPr>
        <w:rPr>
          <w:rFonts w:ascii="Arial Black" w:hAnsi="Arial Black"/>
          <w:b/>
          <w:sz w:val="24"/>
          <w:szCs w:val="24"/>
        </w:rPr>
      </w:pPr>
    </w:p>
    <w:p w14:paraId="7C42C8B2" w14:textId="0FAF1EFA" w:rsidR="009E093C" w:rsidRDefault="009E093C" w:rsidP="00DE0F03">
      <w:pPr>
        <w:rPr>
          <w:rFonts w:ascii="Arial Black" w:hAnsi="Arial Black"/>
          <w:b/>
          <w:sz w:val="24"/>
          <w:szCs w:val="24"/>
        </w:rPr>
      </w:pPr>
      <w:r>
        <w:rPr>
          <w:rFonts w:ascii="Arial Black" w:hAnsi="Arial Black"/>
          <w:b/>
          <w:sz w:val="24"/>
          <w:szCs w:val="24"/>
        </w:rPr>
        <w:t>8-23</w:t>
      </w:r>
    </w:p>
    <w:p w14:paraId="7799276E" w14:textId="77777777" w:rsidR="009E093C" w:rsidRPr="001B0505" w:rsidRDefault="009E093C" w:rsidP="009E093C">
      <w:pPr>
        <w:pStyle w:val="NoSpacing"/>
        <w:rPr>
          <w:rFonts w:ascii="Arial Black" w:hAnsi="Arial Black"/>
          <w:sz w:val="28"/>
          <w:szCs w:val="28"/>
        </w:rPr>
      </w:pPr>
      <w:r>
        <w:rPr>
          <w:rFonts w:ascii="Arial Black" w:hAnsi="Arial Black"/>
          <w:sz w:val="28"/>
          <w:szCs w:val="28"/>
        </w:rPr>
        <w:t xml:space="preserve">AL:  AFRICAN AMERICAN FF – CUT LOCK OFF ANOTHER SHIFT’S CABINET, THREATENED FF – SUSP / NO PROMOTION – NO CASE </w:t>
      </w:r>
    </w:p>
    <w:p w14:paraId="498AA8A9" w14:textId="77777777" w:rsidR="009E093C" w:rsidRDefault="009E093C" w:rsidP="009E093C">
      <w:pPr>
        <w:tabs>
          <w:tab w:val="left" w:pos="6860"/>
        </w:tabs>
        <w:spacing w:before="100" w:beforeAutospacing="1" w:after="100" w:afterAutospacing="1" w:line="240" w:lineRule="auto"/>
        <w:rPr>
          <w:rFonts w:ascii="Times New Roman" w:eastAsia="Times New Roman" w:hAnsi="Times New Roman"/>
          <w:sz w:val="24"/>
          <w:szCs w:val="24"/>
        </w:rPr>
      </w:pPr>
      <w:r w:rsidRPr="001B0505">
        <w:rPr>
          <w:rFonts w:ascii="Times New Roman" w:eastAsia="Times New Roman" w:hAnsi="Times New Roman"/>
          <w:sz w:val="24"/>
          <w:szCs w:val="24"/>
        </w:rPr>
        <w:t> </w:t>
      </w:r>
      <w:r>
        <w:rPr>
          <w:rFonts w:ascii="Times New Roman" w:eastAsia="Times New Roman" w:hAnsi="Times New Roman"/>
          <w:sz w:val="24"/>
          <w:szCs w:val="24"/>
        </w:rPr>
        <w:t xml:space="preserve">On Nov. 23, 2020, in </w:t>
      </w:r>
      <w:r w:rsidRPr="00A0255E">
        <w:rPr>
          <w:rFonts w:ascii="Times New Roman" w:eastAsia="Times New Roman" w:hAnsi="Times New Roman"/>
          <w:sz w:val="24"/>
          <w:szCs w:val="24"/>
          <w:u w:val="single"/>
        </w:rPr>
        <w:t>Aaron Mitchell v. City of Newport, et al</w:t>
      </w:r>
      <w:r>
        <w:rPr>
          <w:rFonts w:ascii="Times New Roman" w:eastAsia="Times New Roman" w:hAnsi="Times New Roman"/>
          <w:sz w:val="24"/>
          <w:szCs w:val="24"/>
        </w:rPr>
        <w:t xml:space="preserve">., U.S. District Court Judge L. Scott Coogler, U.S. District Court for Northern District of Alabama (Western Division), granted the City’s motion for summary judgment, finding the Fire Department offered nondiscriminatory explanations for suspending him.   He was suspended in 2017, and later failed promotion exam for Sergeant, and in 2018 he was not permitted to apply for promotion to Lieutenant. </w:t>
      </w:r>
    </w:p>
    <w:p w14:paraId="6775456A" w14:textId="77777777" w:rsidR="009E093C" w:rsidRPr="006A3453" w:rsidRDefault="009E093C" w:rsidP="009E093C">
      <w:pPr>
        <w:pStyle w:val="NoSpacing"/>
        <w:ind w:left="720"/>
        <w:rPr>
          <w:rFonts w:ascii="Times New Roman" w:eastAsia="Times New Roman" w:hAnsi="Times New Roman"/>
          <w:sz w:val="24"/>
          <w:szCs w:val="24"/>
        </w:rPr>
      </w:pPr>
      <w:r>
        <w:rPr>
          <w:rFonts w:ascii="Times New Roman" w:eastAsia="Times New Roman" w:hAnsi="Times New Roman"/>
          <w:sz w:val="24"/>
          <w:szCs w:val="24"/>
        </w:rPr>
        <w:t>“</w:t>
      </w:r>
      <w:r w:rsidRPr="006A3453">
        <w:rPr>
          <w:rFonts w:ascii="Times New Roman" w:hAnsi="Times New Roman"/>
          <w:sz w:val="24"/>
          <w:szCs w:val="24"/>
        </w:rPr>
        <w:t>Even if Mitchell had established a prima facie case, Defendants again offered nondiscriminatory explanations for suspending him: he threatened a colleague, he cursed a colleague, and he destroyed a colleague</w:t>
      </w:r>
      <w:r>
        <w:rPr>
          <w:rFonts w:ascii="Times New Roman" w:hAnsi="Times New Roman"/>
          <w:sz w:val="24"/>
          <w:szCs w:val="24"/>
        </w:rPr>
        <w:t>’</w:t>
      </w:r>
      <w:r w:rsidRPr="006A3453">
        <w:rPr>
          <w:rFonts w:ascii="Times New Roman" w:hAnsi="Times New Roman"/>
          <w:sz w:val="24"/>
          <w:szCs w:val="24"/>
        </w:rPr>
        <w:t>s property. (Doc. 57 at 46.) Because Mitchell offered no new evidence or arguments suggesting these explanations are pretext for retaliation, summary judgment is due to be granted.</w:t>
      </w:r>
      <w:r>
        <w:rPr>
          <w:rFonts w:ascii="Times New Roman" w:hAnsi="Times New Roman"/>
          <w:sz w:val="24"/>
          <w:szCs w:val="24"/>
        </w:rPr>
        <w:t xml:space="preserve">”  </w:t>
      </w:r>
      <w:hyperlink r:id="rId1620" w:history="1">
        <w:r w:rsidRPr="00AA126E">
          <w:rPr>
            <w:rStyle w:val="Hyperlink"/>
            <w:rFonts w:ascii="Times New Roman" w:hAnsi="Times New Roman"/>
            <w:sz w:val="24"/>
            <w:szCs w:val="24"/>
          </w:rPr>
          <w:t>https://public.fastcase.com/Wl%2B2t%2BeVuI35%2FN70vAMFZkzhJOnk32e7%2BdWn1xTx2jApuUgRdcLBLFJLG9W4RHCQ</w:t>
        </w:r>
      </w:hyperlink>
      <w:r>
        <w:rPr>
          <w:rFonts w:ascii="Times New Roman" w:hAnsi="Times New Roman"/>
          <w:sz w:val="24"/>
          <w:szCs w:val="24"/>
        </w:rPr>
        <w:t xml:space="preserve"> </w:t>
      </w:r>
    </w:p>
    <w:p w14:paraId="3CA48BAC" w14:textId="77777777" w:rsidR="009E093C" w:rsidRPr="001B0505" w:rsidRDefault="009E093C" w:rsidP="009E093C">
      <w:pPr>
        <w:spacing w:before="100" w:beforeAutospacing="1" w:after="100" w:afterAutospacing="1" w:line="240" w:lineRule="auto"/>
        <w:rPr>
          <w:rFonts w:ascii="Times New Roman" w:eastAsia="Times New Roman" w:hAnsi="Times New Roman"/>
          <w:b/>
          <w:bCs/>
          <w:sz w:val="24"/>
          <w:szCs w:val="24"/>
        </w:rPr>
      </w:pPr>
      <w:r w:rsidRPr="006A3453">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 FD investigated and documented their findings, as well as prior discipline. </w:t>
      </w:r>
    </w:p>
    <w:p w14:paraId="7159446D" w14:textId="77777777" w:rsidR="009E093C" w:rsidRDefault="009E093C" w:rsidP="00DE0F03">
      <w:pPr>
        <w:rPr>
          <w:rFonts w:ascii="Arial Black" w:hAnsi="Arial Black"/>
          <w:b/>
          <w:sz w:val="24"/>
          <w:szCs w:val="24"/>
        </w:rPr>
      </w:pPr>
    </w:p>
    <w:p w14:paraId="6F910840" w14:textId="77777777" w:rsidR="009E093C" w:rsidRDefault="009E093C" w:rsidP="00DE0F03">
      <w:pPr>
        <w:rPr>
          <w:rFonts w:ascii="Arial Black" w:hAnsi="Arial Black"/>
          <w:b/>
          <w:sz w:val="24"/>
          <w:szCs w:val="24"/>
        </w:rPr>
      </w:pPr>
    </w:p>
    <w:p w14:paraId="15B7ADC7" w14:textId="08A2FB58" w:rsidR="00DD03E3" w:rsidRDefault="00DD03E3" w:rsidP="00DE0F03">
      <w:pPr>
        <w:rPr>
          <w:rFonts w:ascii="Arial Black" w:hAnsi="Arial Black"/>
          <w:b/>
          <w:sz w:val="24"/>
          <w:szCs w:val="24"/>
        </w:rPr>
      </w:pPr>
      <w:r>
        <w:rPr>
          <w:rFonts w:ascii="Arial Black" w:hAnsi="Arial Black"/>
          <w:b/>
          <w:sz w:val="24"/>
          <w:szCs w:val="24"/>
        </w:rPr>
        <w:t>8-22</w:t>
      </w:r>
    </w:p>
    <w:p w14:paraId="22CD9306" w14:textId="77777777" w:rsidR="00DD03E3" w:rsidRPr="004E7805" w:rsidRDefault="00DD03E3" w:rsidP="00DD03E3">
      <w:pPr>
        <w:spacing w:before="100" w:beforeAutospacing="1" w:after="100" w:afterAutospacing="1" w:line="240" w:lineRule="auto"/>
        <w:rPr>
          <w:rFonts w:ascii="Arial Black" w:eastAsia="Times New Roman" w:hAnsi="Arial Black"/>
          <w:b/>
          <w:bCs/>
          <w:sz w:val="28"/>
          <w:szCs w:val="28"/>
        </w:rPr>
      </w:pPr>
      <w:r w:rsidRPr="004E7805">
        <w:rPr>
          <w:rFonts w:ascii="Arial Black" w:eastAsia="Times New Roman" w:hAnsi="Arial Black"/>
          <w:b/>
          <w:bCs/>
          <w:sz w:val="28"/>
          <w:szCs w:val="28"/>
        </w:rPr>
        <w:lastRenderedPageBreak/>
        <w:t>MI:</w:t>
      </w:r>
      <w:r>
        <w:rPr>
          <w:rFonts w:ascii="Arial Black" w:eastAsia="Times New Roman" w:hAnsi="Arial Black"/>
          <w:b/>
          <w:bCs/>
          <w:sz w:val="28"/>
          <w:szCs w:val="28"/>
        </w:rPr>
        <w:t xml:space="preserve"> PROB. FF (WHITE) - WATERMELLON WITH PINK RIBBON TO FIRE STATION WHERE HE WAS JUST ASSIGNED – FIRED – CASE PROCEED</w:t>
      </w:r>
    </w:p>
    <w:p w14:paraId="438E1D5A" w14:textId="77777777" w:rsidR="00DD03E3" w:rsidRDefault="00DD03E3" w:rsidP="00DD03E3">
      <w:pPr>
        <w:spacing w:before="100" w:beforeAutospacing="1" w:after="100" w:afterAutospacing="1"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On Oct. 22, 2020, in </w:t>
      </w:r>
      <w:r w:rsidRPr="004E7805">
        <w:rPr>
          <w:rFonts w:ascii="Times New Roman" w:eastAsia="Times New Roman" w:hAnsi="Times New Roman"/>
          <w:sz w:val="24"/>
          <w:szCs w:val="24"/>
          <w:u w:val="single"/>
        </w:rPr>
        <w:t>Robert Patterson v. City of Detroit, et al</w:t>
      </w:r>
      <w:r>
        <w:rPr>
          <w:rFonts w:ascii="Times New Roman" w:eastAsia="Times New Roman" w:hAnsi="Times New Roman"/>
          <w:sz w:val="24"/>
          <w:szCs w:val="24"/>
        </w:rPr>
        <w:t xml:space="preserve">., the State of Michigan Court of Appeals held (3 to 0) in an unpublished decision, that the trial court judge properly denied the City’s motion for summary judgment concerning race discrimination allegations in the complaint.  The probationary firefighter’s internal investigation was shoddy, and he was treated much more harshly than a non-probationary African American firefighter who had posted a racially insensitive item.  </w:t>
      </w:r>
    </w:p>
    <w:p w14:paraId="777F84E7" w14:textId="77777777" w:rsidR="00DD03E3" w:rsidRPr="004E7805" w:rsidRDefault="00DD03E3" w:rsidP="00DD03E3">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5D19EF">
        <w:rPr>
          <w:rFonts w:ascii="Times New Roman" w:hAnsi="Times New Roman"/>
          <w:sz w:val="24"/>
          <w:szCs w:val="24"/>
        </w:rPr>
        <w:t xml:space="preserve">The evidence indicates that both plaintiff and Bragg should have received substantially the same kind and intensity of investigation, impartiality, and benefit of any doubt. Because a violation of the zero-tolerance policy would seem to constitute </w:t>
      </w:r>
      <w:proofErr w:type="spellStart"/>
      <w:r>
        <w:rPr>
          <w:rFonts w:ascii="Times New Roman" w:hAnsi="Times New Roman"/>
          <w:sz w:val="24"/>
          <w:szCs w:val="24"/>
        </w:rPr>
        <w:t>‘</w:t>
      </w:r>
      <w:r w:rsidRPr="005D19EF">
        <w:rPr>
          <w:rFonts w:ascii="Times New Roman" w:hAnsi="Times New Roman"/>
          <w:sz w:val="24"/>
          <w:szCs w:val="24"/>
        </w:rPr>
        <w:t>cause</w:t>
      </w:r>
      <w:proofErr w:type="spellEnd"/>
      <w:r w:rsidRPr="005D19EF">
        <w:rPr>
          <w:rFonts w:ascii="Times New Roman" w:hAnsi="Times New Roman"/>
          <w:sz w:val="24"/>
          <w:szCs w:val="24"/>
        </w:rPr>
        <w:t>,</w:t>
      </w:r>
      <w:r>
        <w:rPr>
          <w:rFonts w:ascii="Times New Roman" w:hAnsi="Times New Roman"/>
          <w:sz w:val="24"/>
          <w:szCs w:val="24"/>
        </w:rPr>
        <w:t>’</w:t>
      </w:r>
      <w:r w:rsidRPr="005D19EF">
        <w:rPr>
          <w:rFonts w:ascii="Times New Roman" w:hAnsi="Times New Roman"/>
          <w:sz w:val="24"/>
          <w:szCs w:val="24"/>
        </w:rPr>
        <w:t xml:space="preserve"> it is irrelevant that plaintiff was at-will and Bragg was not. Because the real-world effect of both plaintiff's conduct and Bragg's conduct dramatically affected working conditions, the fact that one occurred on City premises and the other occurred on social media does not seem relevant. *** The trial court correctly denied summary disposition as to Counts I and III, being plaintiff's claims for race-based discrimination under the ELCRA and 42 USC § 1981</w:t>
      </w:r>
      <w:r>
        <w:rPr>
          <w:rFonts w:ascii="Times New Roman" w:hAnsi="Times New Roman"/>
          <w:sz w:val="24"/>
          <w:szCs w:val="24"/>
        </w:rPr>
        <w:t>.”</w:t>
      </w:r>
      <w:hyperlink r:id="rId1621" w:history="1">
        <w:r w:rsidRPr="003B2E68">
          <w:rPr>
            <w:rStyle w:val="Hyperlink"/>
            <w:rFonts w:ascii="Times New Roman" w:eastAsia="Times New Roman" w:hAnsi="Times New Roman"/>
            <w:sz w:val="24"/>
            <w:szCs w:val="24"/>
          </w:rPr>
          <w:t>https://law.justia.com/cases/michigan/court-of-appeals-unpublished/2020/350474.html</w:t>
        </w:r>
      </w:hyperlink>
      <w:r>
        <w:rPr>
          <w:rFonts w:ascii="Times New Roman" w:eastAsia="Times New Roman" w:hAnsi="Times New Roman"/>
          <w:sz w:val="24"/>
          <w:szCs w:val="24"/>
        </w:rPr>
        <w:t xml:space="preserve"> </w:t>
      </w:r>
    </w:p>
    <w:p w14:paraId="05EC0E83" w14:textId="77777777" w:rsidR="00DD03E3" w:rsidRDefault="00DD03E3" w:rsidP="00DD03E3">
      <w:pPr>
        <w:pStyle w:val="NormalWeb"/>
        <w:rPr>
          <w:b/>
          <w:bCs/>
        </w:rPr>
      </w:pPr>
      <w:r w:rsidRPr="0007304E">
        <w:rPr>
          <w:b/>
          <w:bCs/>
        </w:rPr>
        <w:t>Legal Lesson Learned:</w:t>
      </w:r>
      <w:r>
        <w:rPr>
          <w:b/>
          <w:bCs/>
        </w:rPr>
        <w:t xml:space="preserve"> Even an “at will” probationary firefighter is entitled to a thorough investigation prior to making a termination decision. </w:t>
      </w:r>
    </w:p>
    <w:p w14:paraId="0D932215" w14:textId="77777777" w:rsidR="00DD03E3" w:rsidRPr="00EB337A" w:rsidRDefault="00DD03E3" w:rsidP="00DD03E3">
      <w:pPr>
        <w:spacing w:before="100" w:beforeAutospacing="1" w:after="100" w:afterAutospacing="1" w:line="240" w:lineRule="auto"/>
        <w:ind w:left="720"/>
        <w:rPr>
          <w:rFonts w:ascii="Times New Roman" w:eastAsia="Times New Roman" w:hAnsi="Times New Roman"/>
          <w:sz w:val="24"/>
          <w:szCs w:val="24"/>
        </w:rPr>
      </w:pPr>
      <w:r w:rsidRPr="00EB337A">
        <w:rPr>
          <w:rFonts w:ascii="Times New Roman" w:hAnsi="Times New Roman"/>
          <w:sz w:val="24"/>
          <w:szCs w:val="24"/>
        </w:rPr>
        <w:t xml:space="preserve">Note: The Court </w:t>
      </w:r>
      <w:r>
        <w:rPr>
          <w:rFonts w:ascii="Times New Roman" w:hAnsi="Times New Roman"/>
          <w:sz w:val="24"/>
          <w:szCs w:val="24"/>
        </w:rPr>
        <w:t xml:space="preserve">of Appeals </w:t>
      </w:r>
      <w:r w:rsidRPr="00EB337A">
        <w:rPr>
          <w:rFonts w:ascii="Times New Roman" w:hAnsi="Times New Roman"/>
          <w:sz w:val="24"/>
          <w:szCs w:val="24"/>
        </w:rPr>
        <w:t xml:space="preserve">also held trial court judge properly dismissed </w:t>
      </w:r>
      <w:r>
        <w:rPr>
          <w:rFonts w:ascii="Times New Roman" w:hAnsi="Times New Roman"/>
          <w:sz w:val="24"/>
          <w:szCs w:val="24"/>
        </w:rPr>
        <w:t xml:space="preserve">plaintiff’s </w:t>
      </w:r>
      <w:r w:rsidRPr="00EB337A">
        <w:rPr>
          <w:rFonts w:ascii="Times New Roman" w:hAnsi="Times New Roman"/>
          <w:sz w:val="24"/>
          <w:szCs w:val="24"/>
        </w:rPr>
        <w:t xml:space="preserve">defamation claim against the Fire Commissioner for issuing a Press Release after plaintiff was terminated. </w:t>
      </w:r>
      <w:r>
        <w:rPr>
          <w:rFonts w:ascii="Times New Roman" w:hAnsi="Times New Roman"/>
          <w:sz w:val="24"/>
          <w:szCs w:val="24"/>
        </w:rPr>
        <w:t>“[T]</w:t>
      </w:r>
      <w:r w:rsidRPr="00EB337A">
        <w:rPr>
          <w:rFonts w:ascii="Times New Roman" w:hAnsi="Times New Roman"/>
          <w:sz w:val="24"/>
          <w:szCs w:val="24"/>
        </w:rPr>
        <w:t>he evidence indicates that Jones's issuance of the press release was within the scope of his authority as Fire Commissioner. Therefore, he is entitled to absolute immunity for any defamatory (or false light invasion of privacy) content within that press release.</w:t>
      </w:r>
      <w:r>
        <w:rPr>
          <w:rFonts w:ascii="Times New Roman" w:hAnsi="Times New Roman"/>
          <w:sz w:val="24"/>
          <w:szCs w:val="24"/>
        </w:rPr>
        <w:t>”</w:t>
      </w:r>
    </w:p>
    <w:p w14:paraId="608F477C" w14:textId="77777777" w:rsidR="00DD03E3" w:rsidRPr="00C17950" w:rsidRDefault="00DD03E3" w:rsidP="00DD03E3">
      <w:pPr>
        <w:pStyle w:val="NormalWeb"/>
        <w:ind w:left="720"/>
      </w:pPr>
      <w:r w:rsidRPr="00EB337A">
        <w:t xml:space="preserve">The </w:t>
      </w:r>
      <w:r w:rsidRPr="00C17950">
        <w:t xml:space="preserve">October 6, </w:t>
      </w:r>
      <w:proofErr w:type="gramStart"/>
      <w:r w:rsidRPr="00C17950">
        <w:t>201</w:t>
      </w:r>
      <w:r w:rsidRPr="00EB337A">
        <w:t>7</w:t>
      </w:r>
      <w:proofErr w:type="gramEnd"/>
      <w:r w:rsidRPr="00C17950">
        <w:t xml:space="preserve"> </w:t>
      </w:r>
      <w:r w:rsidRPr="00EB337A">
        <w:t xml:space="preserve">Press Release </w:t>
      </w:r>
      <w:r w:rsidRPr="00C17950">
        <w:t>read:</w:t>
      </w:r>
    </w:p>
    <w:p w14:paraId="73B6414D" w14:textId="78695253" w:rsidR="00DD03E3" w:rsidRDefault="00DD03E3" w:rsidP="00DD03E3">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C17950">
        <w:rPr>
          <w:rFonts w:ascii="Times New Roman" w:eastAsia="Times New Roman" w:hAnsi="Times New Roman"/>
          <w:sz w:val="24"/>
          <w:szCs w:val="24"/>
        </w:rPr>
        <w:t>There is zero tolerance for discriminatory behavior inside the Detroit Fire Department. On Saturday, Sept. 30, 2017, at Engine 55, a trial firefighter (probationary employee) engaged in unsatisfactory work behavior which was deemed offensive and racially insensitive to members of the Detroit Fire Department. After a thorough investigation, it was determined that the best course of action was to terminate the employment of this probationary employee.</w:t>
      </w:r>
      <w:r>
        <w:rPr>
          <w:rFonts w:ascii="Times New Roman" w:eastAsia="Times New Roman" w:hAnsi="Times New Roman"/>
          <w:sz w:val="24"/>
          <w:szCs w:val="24"/>
        </w:rPr>
        <w:t>”</w:t>
      </w:r>
    </w:p>
    <w:p w14:paraId="1DE5F9AF" w14:textId="1AA87ADB" w:rsidR="00DD03E3" w:rsidRDefault="00DD03E3" w:rsidP="00DD03E3">
      <w:pPr>
        <w:spacing w:after="100" w:line="240" w:lineRule="auto"/>
        <w:ind w:left="1440"/>
        <w:rPr>
          <w:rFonts w:ascii="Times New Roman" w:eastAsia="Times New Roman" w:hAnsi="Times New Roman"/>
          <w:sz w:val="24"/>
          <w:szCs w:val="24"/>
        </w:rPr>
      </w:pPr>
    </w:p>
    <w:p w14:paraId="4C7DD396" w14:textId="77777777" w:rsidR="00DD03E3" w:rsidRPr="00C17950" w:rsidRDefault="00DD03E3" w:rsidP="00DD03E3">
      <w:pPr>
        <w:spacing w:after="100" w:line="240" w:lineRule="auto"/>
        <w:ind w:left="1440"/>
        <w:rPr>
          <w:rFonts w:ascii="Times New Roman" w:eastAsia="Times New Roman" w:hAnsi="Times New Roman"/>
          <w:sz w:val="24"/>
          <w:szCs w:val="24"/>
        </w:rPr>
      </w:pPr>
    </w:p>
    <w:p w14:paraId="0B56FA50" w14:textId="77777777" w:rsidR="00DD03E3" w:rsidRDefault="00DD03E3" w:rsidP="00DE0F03">
      <w:pPr>
        <w:rPr>
          <w:rFonts w:ascii="Arial Black" w:hAnsi="Arial Black"/>
          <w:b/>
          <w:sz w:val="24"/>
          <w:szCs w:val="24"/>
        </w:rPr>
      </w:pPr>
    </w:p>
    <w:p w14:paraId="08948BD7" w14:textId="77777777" w:rsidR="00DD03E3" w:rsidRDefault="00DD03E3" w:rsidP="00DE0F03">
      <w:pPr>
        <w:rPr>
          <w:rFonts w:ascii="Arial Black" w:hAnsi="Arial Black"/>
          <w:b/>
          <w:sz w:val="24"/>
          <w:szCs w:val="24"/>
        </w:rPr>
      </w:pPr>
    </w:p>
    <w:p w14:paraId="4151AAE8" w14:textId="06849EA5" w:rsidR="00DD03E3" w:rsidRDefault="00DD03E3" w:rsidP="00DE0F03">
      <w:pPr>
        <w:rPr>
          <w:rFonts w:ascii="Arial Black" w:hAnsi="Arial Black"/>
          <w:b/>
          <w:sz w:val="24"/>
          <w:szCs w:val="24"/>
        </w:rPr>
      </w:pPr>
      <w:r>
        <w:rPr>
          <w:rFonts w:ascii="Arial Black" w:hAnsi="Arial Black"/>
          <w:b/>
          <w:sz w:val="24"/>
          <w:szCs w:val="24"/>
        </w:rPr>
        <w:t>8-21</w:t>
      </w:r>
    </w:p>
    <w:p w14:paraId="52E1EE47" w14:textId="77777777" w:rsidR="00DD03E3" w:rsidRPr="002C741B" w:rsidRDefault="00DD03E3" w:rsidP="00DD03E3">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OH: EMS CAPTAIN (BLACK) SHIFT CHANGED – SO WHITE CAPTAIN ON EACH SHIFT – UNFAIR, INCONVENIENT - BUT NOT TITLE VII VIOL. </w:t>
      </w:r>
    </w:p>
    <w:p w14:paraId="407EEA1E" w14:textId="77777777" w:rsidR="00DD03E3" w:rsidRDefault="00DD03E3" w:rsidP="00DD03E3">
      <w:pPr>
        <w:spacing w:before="100" w:beforeAutospacing="1" w:after="100" w:afterAutospacing="1" w:line="240" w:lineRule="auto"/>
        <w:rPr>
          <w:rFonts w:ascii="Times New Roman" w:eastAsia="Times New Roman" w:hAnsi="Times New Roman"/>
          <w:b/>
          <w:bCs/>
          <w:sz w:val="24"/>
          <w:szCs w:val="24"/>
        </w:rPr>
      </w:pPr>
      <w:r w:rsidRPr="002C741B">
        <w:rPr>
          <w:rFonts w:ascii="Times New Roman" w:hAnsi="Times New Roman"/>
          <w:sz w:val="24"/>
          <w:szCs w:val="24"/>
        </w:rPr>
        <w:t xml:space="preserve">On Oct. 8, 2020, in </w:t>
      </w:r>
      <w:r w:rsidRPr="00633F0B">
        <w:rPr>
          <w:rFonts w:ascii="Times New Roman" w:hAnsi="Times New Roman"/>
          <w:sz w:val="24"/>
          <w:szCs w:val="24"/>
          <w:u w:val="single"/>
        </w:rPr>
        <w:t>Michael Threat, et al. v. City of Cleveland</w:t>
      </w:r>
      <w:r w:rsidRPr="002C741B">
        <w:rPr>
          <w:rFonts w:ascii="Times New Roman" w:hAnsi="Times New Roman"/>
          <w:sz w:val="24"/>
          <w:szCs w:val="24"/>
        </w:rPr>
        <w:t xml:space="preserve">, </w:t>
      </w:r>
      <w:r>
        <w:rPr>
          <w:rFonts w:ascii="Times New Roman" w:hAnsi="Times New Roman"/>
          <w:sz w:val="24"/>
          <w:szCs w:val="24"/>
        </w:rPr>
        <w:t xml:space="preserve">U.S. District Court Judge James S. Gwin, Northern District of Ohio, granted the City’s motion for summary judgment. Five </w:t>
      </w:r>
      <w:proofErr w:type="gramStart"/>
      <w:r>
        <w:rPr>
          <w:rFonts w:ascii="Times New Roman" w:hAnsi="Times New Roman"/>
          <w:sz w:val="24"/>
          <w:szCs w:val="24"/>
        </w:rPr>
        <w:t>African-American</w:t>
      </w:r>
      <w:proofErr w:type="gramEnd"/>
      <w:r>
        <w:rPr>
          <w:rFonts w:ascii="Times New Roman" w:hAnsi="Times New Roman"/>
          <w:sz w:val="24"/>
          <w:szCs w:val="24"/>
        </w:rPr>
        <w:t xml:space="preserve"> Captains </w:t>
      </w:r>
      <w:r>
        <w:rPr>
          <w:rFonts w:ascii="Times New Roman" w:hAnsi="Times New Roman"/>
          <w:sz w:val="24"/>
          <w:szCs w:val="24"/>
        </w:rPr>
        <w:lastRenderedPageBreak/>
        <w:t xml:space="preserve">sued, after the EMS Commissioner changed the shift of Captain Reginal Anderson from his requested day shift to night shift; the Commissioner wanted at least one Caucasian Captain with more seniority on duty.  </w:t>
      </w:r>
    </w:p>
    <w:p w14:paraId="5FE84FF2" w14:textId="77777777" w:rsidR="00DD03E3" w:rsidRDefault="00DD03E3" w:rsidP="00DD03E3">
      <w:pPr>
        <w:pStyle w:val="NormalWeb"/>
        <w:ind w:left="720"/>
      </w:pPr>
      <w:r>
        <w:t>“Not all undesirable or unfair work conditions that employees face are material for purposes of Title VII.  ‘Reassignments without changes in salary, benefits, title, or work hours usually do not constitute adverse employment actions.’    Plaintiff Anderson's shift change, while unfair and inconvenient, does not rise to the level of a materially adverse employment action. A change to night shift ‘is not materially adverse without some reduction in pay, prestige, or responsibility.’ Anderson's shift change did not affect the basic terms of his employment; it merely temporarily affected when he worked and who he worked with. Anderson's family life preference for day shift does not change things.</w:t>
      </w:r>
      <w:bookmarkStart w:id="320" w:name="fn44"/>
      <w:r>
        <w:rPr>
          <w:sz w:val="20"/>
          <w:szCs w:val="20"/>
          <w:vertAlign w:val="superscript"/>
        </w:rPr>
        <w:fldChar w:fldCharType="begin"/>
      </w:r>
      <w:r>
        <w:rPr>
          <w:sz w:val="20"/>
          <w:szCs w:val="20"/>
          <w:vertAlign w:val="superscript"/>
        </w:rPr>
        <w:instrText xml:space="preserve"> HYPERLINK "https://public.fastcase.com/" \l "fr44" </w:instrText>
      </w:r>
      <w:r>
        <w:rPr>
          <w:sz w:val="20"/>
          <w:szCs w:val="20"/>
          <w:vertAlign w:val="superscript"/>
        </w:rPr>
      </w:r>
      <w:r>
        <w:rPr>
          <w:sz w:val="20"/>
          <w:szCs w:val="20"/>
          <w:vertAlign w:val="superscript"/>
        </w:rPr>
        <w:fldChar w:fldCharType="separate"/>
      </w:r>
      <w:r>
        <w:rPr>
          <w:rStyle w:val="Hyperlink"/>
          <w:rFonts w:eastAsiaTheme="majorEastAsia"/>
          <w:sz w:val="20"/>
          <w:szCs w:val="20"/>
          <w:vertAlign w:val="superscript"/>
        </w:rPr>
        <w:t>44</w:t>
      </w:r>
      <w:r>
        <w:rPr>
          <w:sz w:val="20"/>
          <w:szCs w:val="20"/>
          <w:vertAlign w:val="superscript"/>
        </w:rPr>
        <w:fldChar w:fldCharType="end"/>
      </w:r>
      <w:bookmarkEnd w:id="320"/>
      <w:r>
        <w:t xml:space="preserve"> Courts employ an objective standard for Title VII materiality. Working night shift is not objectively less desirable than day shift or viewed by the City or EMS Commissioner as a duty performed by lower-ranking employees. In fact, two captains more senior than Anderson each used their top bids on A-key and B-key nights.” </w:t>
      </w:r>
      <w:hyperlink r:id="rId1622" w:history="1">
        <w:r w:rsidRPr="00987F62">
          <w:rPr>
            <w:rStyle w:val="Hyperlink"/>
          </w:rPr>
          <w:t>https://casetext.com/case/threat-v-city-of-cleveland</w:t>
        </w:r>
      </w:hyperlink>
      <w:r>
        <w:t xml:space="preserve"> </w:t>
      </w:r>
    </w:p>
    <w:p w14:paraId="1D3228BD" w14:textId="77777777" w:rsidR="00DD03E3" w:rsidRDefault="00DD03E3" w:rsidP="00DD03E3">
      <w:pPr>
        <w:pStyle w:val="NormalWeb"/>
        <w:rPr>
          <w:b/>
          <w:bCs/>
        </w:rPr>
      </w:pPr>
      <w:r>
        <w:rPr>
          <w:b/>
          <w:bCs/>
        </w:rPr>
        <w:t>Legal Lesson Learned: Staffing decisions based on race can lead to litigation and poor workplace morale; should be carefully reviewed with legal counsel prior to implementation.</w:t>
      </w:r>
    </w:p>
    <w:p w14:paraId="2F0E4E63" w14:textId="77777777" w:rsidR="00DD03E3" w:rsidRDefault="00DD03E3" w:rsidP="00DE0F03">
      <w:pPr>
        <w:rPr>
          <w:rFonts w:ascii="Arial Black" w:hAnsi="Arial Black"/>
          <w:b/>
          <w:sz w:val="24"/>
          <w:szCs w:val="24"/>
        </w:rPr>
      </w:pPr>
    </w:p>
    <w:p w14:paraId="5FB5F61A" w14:textId="45C568C8" w:rsidR="00F824FE" w:rsidRDefault="00F824FE" w:rsidP="00DE0F03">
      <w:pPr>
        <w:rPr>
          <w:rFonts w:ascii="Arial Black" w:hAnsi="Arial Black"/>
          <w:b/>
          <w:sz w:val="24"/>
          <w:szCs w:val="24"/>
        </w:rPr>
      </w:pPr>
      <w:r>
        <w:rPr>
          <w:rFonts w:ascii="Arial Black" w:hAnsi="Arial Black"/>
          <w:b/>
          <w:sz w:val="24"/>
          <w:szCs w:val="24"/>
        </w:rPr>
        <w:t>8-20</w:t>
      </w:r>
    </w:p>
    <w:p w14:paraId="5526AEF1" w14:textId="77777777" w:rsidR="00F824FE" w:rsidRPr="001B5E57" w:rsidRDefault="00F824FE" w:rsidP="00F824FE">
      <w:pPr>
        <w:pStyle w:val="NormalWeb"/>
        <w:rPr>
          <w:rFonts w:ascii="Arial Black" w:hAnsi="Arial Black"/>
          <w:sz w:val="28"/>
          <w:szCs w:val="28"/>
        </w:rPr>
      </w:pPr>
      <w:r>
        <w:rPr>
          <w:rFonts w:ascii="Arial Black" w:hAnsi="Arial Black"/>
          <w:sz w:val="28"/>
          <w:szCs w:val="28"/>
        </w:rPr>
        <w:t>FL: FEMALE AFRICAN AMERICAN FF – ON PROMOTION LIST - JURY DETERMINED WERE NO OPENING – NEW TRIAL ORDER REVERSED</w:t>
      </w:r>
    </w:p>
    <w:p w14:paraId="481245AB" w14:textId="77777777" w:rsidR="00F824FE" w:rsidRDefault="00F824FE" w:rsidP="00F824FE">
      <w:pPr>
        <w:pStyle w:val="NormalWeb"/>
      </w:pPr>
      <w:r>
        <w:t xml:space="preserve">On Sept. 23, 2020, in </w:t>
      </w:r>
      <w:r w:rsidRPr="001B5E57">
        <w:rPr>
          <w:u w:val="single"/>
        </w:rPr>
        <w:t>Miami-Dade County v. Faye Davis</w:t>
      </w:r>
      <w:r>
        <w:t xml:space="preserve">, the Third District Court of Appeal, State of Florida, held (3 to 0) that the trial judge improperly granted the plaintiff’s motion for a new trial.   </w:t>
      </w:r>
    </w:p>
    <w:p w14:paraId="00077D1A" w14:textId="77777777" w:rsidR="00F824FE" w:rsidRDefault="00F824FE" w:rsidP="00F824FE">
      <w:pPr>
        <w:spacing w:before="100" w:beforeAutospacing="1" w:after="100" w:afterAutospacing="1" w:line="240" w:lineRule="auto"/>
        <w:ind w:left="720"/>
        <w:rPr>
          <w:rFonts w:ascii="Times New Roman" w:eastAsia="Times New Roman" w:hAnsi="Times New Roman"/>
          <w:sz w:val="24"/>
          <w:szCs w:val="24"/>
        </w:rPr>
      </w:pPr>
      <w:r w:rsidRPr="001C55DB">
        <w:rPr>
          <w:sz w:val="24"/>
          <w:szCs w:val="24"/>
        </w:rPr>
        <w:t>“</w:t>
      </w:r>
      <w:r w:rsidRPr="001B5E57">
        <w:rPr>
          <w:rFonts w:ascii="Times New Roman" w:eastAsia="Times New Roman" w:hAnsi="Times New Roman"/>
          <w:sz w:val="24"/>
          <w:szCs w:val="24"/>
        </w:rPr>
        <w:t xml:space="preserve">We hold that the evidence supported the jury's verdict, in which it determined that the County did not deny Davis a promotion during the 2009-10 and 2010-11 promotional cycles based on her race or sex, and further determined that the County did not deny her a promotion because she engaged in protected activity. The trial court erred in granting </w:t>
      </w:r>
      <w:proofErr w:type="spellStart"/>
      <w:r w:rsidRPr="001B5E57">
        <w:rPr>
          <w:rFonts w:ascii="Times New Roman" w:eastAsia="Times New Roman" w:hAnsi="Times New Roman"/>
          <w:sz w:val="24"/>
          <w:szCs w:val="24"/>
        </w:rPr>
        <w:t>Davis'</w:t>
      </w:r>
      <w:proofErr w:type="spellEnd"/>
      <w:r w:rsidRPr="001B5E57">
        <w:rPr>
          <w:rFonts w:ascii="Times New Roman" w:eastAsia="Times New Roman" w:hAnsi="Times New Roman"/>
          <w:sz w:val="24"/>
          <w:szCs w:val="24"/>
        </w:rPr>
        <w:t xml:space="preserve"> motion for directed verdict and abused its discretion in alternatively granting a new trial.</w:t>
      </w:r>
    </w:p>
    <w:p w14:paraId="3A5708F7" w14:textId="77777777" w:rsidR="00F824FE" w:rsidRPr="001B5E57" w:rsidRDefault="00F824FE" w:rsidP="00F824FE">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37FFC040" w14:textId="77777777" w:rsidR="00F824FE" w:rsidRPr="001C55DB" w:rsidRDefault="00F824FE" w:rsidP="00F824FE">
      <w:pPr>
        <w:pStyle w:val="NormalWeb"/>
        <w:ind w:left="720"/>
        <w:rPr>
          <w:b/>
          <w:bCs/>
        </w:rPr>
      </w:pPr>
      <w:r w:rsidRPr="001C55DB">
        <w:t xml:space="preserve">To find that the County failed to present any evidence showing a non-discriminatory reason for Davis's lack of promotion, the trial court's order relied on </w:t>
      </w:r>
      <w:r>
        <w:t xml:space="preserve">[Miami-Dade Fire Chief MDFR Fire Chief Herminio] </w:t>
      </w:r>
      <w:r w:rsidRPr="001C55DB">
        <w:t xml:space="preserve">Lorenzo's inability to remember his reasons for not promoting Davis. Such reliance is misplaced where, viewing the evidence in the light most favorable to the County, a reasonable inference can be drawn that the County's decision was based on legitimate, non-discriminatory, non-retaliatory reasons i.e., overages and an agreement between the County and the union prohibited Chief Lorenzo from filling the two ‘vacant’ positions. We also note that Chief Lorenzo testified that the only criteria he used to make CFO promotions was to go </w:t>
      </w:r>
      <w:r>
        <w:t>‘</w:t>
      </w:r>
      <w:r w:rsidRPr="001C55DB">
        <w:t>straight down the list,</w:t>
      </w:r>
      <w:r>
        <w:t>’</w:t>
      </w:r>
      <w:r w:rsidRPr="001C55DB">
        <w:t xml:space="preserve"> and that he never took race into consideration. </w:t>
      </w:r>
      <w:proofErr w:type="spellStart"/>
      <w:r w:rsidRPr="001C55DB">
        <w:t>Davis'</w:t>
      </w:r>
      <w:proofErr w:type="spellEnd"/>
      <w:r w:rsidRPr="001C55DB">
        <w:t xml:space="preserve"> own testimony on cross-examination allowed for the reasonable inference that Chief Lorenzo simply went </w:t>
      </w:r>
      <w:r>
        <w:t>‘</w:t>
      </w:r>
      <w:r w:rsidRPr="001C55DB">
        <w:t>straight down the list</w:t>
      </w:r>
      <w:r>
        <w:t>’</w:t>
      </w:r>
      <w:r w:rsidRPr="001C55DB">
        <w:t xml:space="preserve"> where she acknowledged that, from 2005 to 2009, he had promoted Blacks, Hispanics, women, and active members of the PFA.</w:t>
      </w:r>
      <w:r>
        <w:t xml:space="preserve">”  [Footnote 3.] </w:t>
      </w:r>
      <w:hyperlink r:id="rId1623" w:history="1">
        <w:r w:rsidRPr="002F1E28">
          <w:rPr>
            <w:rStyle w:val="Hyperlink"/>
          </w:rPr>
          <w:t>https://law.justia.com/cases/florida/third-district-court-of-appeal/2020/3d19-1144.html</w:t>
        </w:r>
      </w:hyperlink>
      <w:r>
        <w:t xml:space="preserve"> </w:t>
      </w:r>
    </w:p>
    <w:p w14:paraId="640ED975" w14:textId="77777777" w:rsidR="00F824FE" w:rsidRDefault="00F824FE" w:rsidP="00F824FE">
      <w:pPr>
        <w:spacing w:before="100" w:beforeAutospacing="1" w:after="100" w:afterAutospacing="1" w:line="240" w:lineRule="auto"/>
        <w:rPr>
          <w:rFonts w:ascii="Times New Roman" w:hAnsi="Times New Roman"/>
          <w:b/>
          <w:bCs/>
          <w:sz w:val="24"/>
          <w:szCs w:val="24"/>
        </w:rPr>
      </w:pPr>
      <w:r w:rsidRPr="0023112C">
        <w:rPr>
          <w:rFonts w:ascii="Times New Roman" w:hAnsi="Times New Roman"/>
          <w:b/>
          <w:bCs/>
          <w:sz w:val="24"/>
          <w:szCs w:val="24"/>
        </w:rPr>
        <w:t>Legal Lessons Learned:</w:t>
      </w:r>
      <w:r>
        <w:rPr>
          <w:rFonts w:ascii="Times New Roman" w:hAnsi="Times New Roman"/>
          <w:b/>
          <w:bCs/>
          <w:sz w:val="24"/>
          <w:szCs w:val="24"/>
        </w:rPr>
        <w:t xml:space="preserve"> Jury’s verdict is upheld. </w:t>
      </w:r>
    </w:p>
    <w:p w14:paraId="28B947C1" w14:textId="77777777" w:rsidR="00F824FE" w:rsidRDefault="00F824FE" w:rsidP="00F824FE">
      <w:pPr>
        <w:spacing w:before="100" w:beforeAutospacing="1" w:after="100" w:afterAutospacing="1" w:line="240" w:lineRule="auto"/>
        <w:ind w:left="720"/>
        <w:rPr>
          <w:rFonts w:ascii="Times New Roman" w:hAnsi="Times New Roman"/>
          <w:sz w:val="24"/>
          <w:szCs w:val="24"/>
        </w:rPr>
      </w:pPr>
      <w:r w:rsidRPr="0023112C">
        <w:rPr>
          <w:rFonts w:ascii="Times New Roman" w:hAnsi="Times New Roman"/>
          <w:sz w:val="24"/>
          <w:szCs w:val="24"/>
        </w:rPr>
        <w:lastRenderedPageBreak/>
        <w:t xml:space="preserve">Note: </w:t>
      </w:r>
      <w:r>
        <w:rPr>
          <w:rFonts w:ascii="Times New Roman" w:hAnsi="Times New Roman"/>
          <w:sz w:val="24"/>
          <w:szCs w:val="24"/>
        </w:rPr>
        <w:t xml:space="preserve">Trial judge who ordered new trial thought the jury had been “deceived” because a FD report had not been provided to plaintiff’s counsel prior to trail. </w:t>
      </w:r>
    </w:p>
    <w:p w14:paraId="67028051" w14:textId="77777777" w:rsidR="00F824FE" w:rsidRPr="0023112C" w:rsidRDefault="00F824FE" w:rsidP="00F824FE">
      <w:pPr>
        <w:spacing w:before="100" w:beforeAutospacing="1" w:after="100" w:afterAutospacing="1" w:line="240" w:lineRule="auto"/>
        <w:ind w:left="1440"/>
        <w:rPr>
          <w:rFonts w:ascii="Times New Roman" w:eastAsia="Times New Roman" w:hAnsi="Times New Roman"/>
          <w:sz w:val="24"/>
          <w:szCs w:val="24"/>
        </w:rPr>
      </w:pPr>
      <w:r w:rsidRPr="0023112C">
        <w:rPr>
          <w:rFonts w:ascii="Times New Roman" w:hAnsi="Times New Roman"/>
          <w:sz w:val="24"/>
          <w:szCs w:val="24"/>
        </w:rPr>
        <w:t>“</w:t>
      </w:r>
      <w:r w:rsidRPr="0023112C">
        <w:rPr>
          <w:rFonts w:ascii="Times New Roman" w:eastAsia="Times New Roman" w:hAnsi="Times New Roman"/>
          <w:sz w:val="24"/>
          <w:szCs w:val="24"/>
        </w:rPr>
        <w:t xml:space="preserve">The [trial judge’s] order also concluded the jury was ‘deceived as to the force and credibility of the evidence or [] [] influenced by considerations outside the record,’ a reference to a small portion of testimony stricken by the trial court. More specifically, the trial court struck testimony from Robin Duran (a division chief and then-Deputy Chief to Alfredo Suarez) stating that there were only seventy-seven ‘required’ CFO positions for the 2009-10 promotional cycle. Duran further explained that she prepared a report reaching the same number of available CFO positions—seventy-seven. Because the report was never provided to plaintiff's counsel, the trial court struck the testimony as a ‘blatant, willful violation of discovery.’ *** The trial court's finding that the jury was influenced by the stricken testimony is not supported by the evidence. We also note that the trial court gave a curative instruction as requested by Davis, and that Davis did not make a contemporaneous motion for mistrial. </w:t>
      </w:r>
      <w:r w:rsidRPr="0023112C">
        <w:rPr>
          <w:rFonts w:ascii="Times New Roman" w:eastAsia="Times New Roman" w:hAnsi="Times New Roman"/>
          <w:sz w:val="24"/>
          <w:szCs w:val="24"/>
          <w:u w:val="single"/>
        </w:rPr>
        <w:t>Black v. Cohen</w:t>
      </w:r>
      <w:r w:rsidRPr="0023112C">
        <w:rPr>
          <w:rFonts w:ascii="Times New Roman" w:eastAsia="Times New Roman" w:hAnsi="Times New Roman"/>
          <w:sz w:val="24"/>
          <w:szCs w:val="24"/>
        </w:rPr>
        <w:t>, 246 So. 3d 379, 384 (Fla. 4th DCA 2018) (noting: ‘[T]he Florida Supreme Court has held that a trial court may not grant a new trial based upon objections to attorney misconduct which were sustained, but for which no motion for mistrial was requested.’). The testimony in question was at most cumulative, did not advance the County's theory beyond that which had already been established.”  [Footnote 4.]</w:t>
      </w:r>
    </w:p>
    <w:p w14:paraId="7505D40A" w14:textId="77777777" w:rsidR="00F824FE" w:rsidRDefault="00F824FE" w:rsidP="00DE0F03">
      <w:pPr>
        <w:rPr>
          <w:rFonts w:ascii="Arial Black" w:hAnsi="Arial Black"/>
          <w:b/>
          <w:sz w:val="24"/>
          <w:szCs w:val="24"/>
        </w:rPr>
      </w:pPr>
    </w:p>
    <w:p w14:paraId="33FE153F" w14:textId="62AF2AB2" w:rsidR="00557CA2" w:rsidRDefault="00557CA2" w:rsidP="00DE0F03">
      <w:pPr>
        <w:rPr>
          <w:rFonts w:ascii="Arial Black" w:hAnsi="Arial Black"/>
          <w:b/>
          <w:sz w:val="24"/>
          <w:szCs w:val="24"/>
        </w:rPr>
      </w:pPr>
      <w:r>
        <w:rPr>
          <w:rFonts w:ascii="Arial Black" w:hAnsi="Arial Black"/>
          <w:b/>
          <w:sz w:val="24"/>
          <w:szCs w:val="24"/>
        </w:rPr>
        <w:t>8-19</w:t>
      </w:r>
    </w:p>
    <w:p w14:paraId="57D1F4FF" w14:textId="629C1CE0" w:rsidR="00557CA2" w:rsidRDefault="00557CA2" w:rsidP="00557CA2">
      <w:pPr>
        <w:spacing w:before="100" w:beforeAutospacing="1" w:after="100" w:afterAutospacing="1" w:line="240" w:lineRule="auto"/>
        <w:rPr>
          <w:rFonts w:ascii="Arial Black" w:hAnsi="Arial Black"/>
          <w:sz w:val="28"/>
          <w:szCs w:val="28"/>
        </w:rPr>
      </w:pPr>
      <w:r>
        <w:rPr>
          <w:rFonts w:ascii="Arial Black" w:hAnsi="Arial Black"/>
          <w:sz w:val="28"/>
          <w:szCs w:val="28"/>
        </w:rPr>
        <w:t>MI:  CITY OF WARREN – “DIVERSITY AND INCLUSION COORDINATOR” RESI</w:t>
      </w:r>
      <w:r w:rsidR="00DB72C4">
        <w:rPr>
          <w:rFonts w:ascii="Arial Black" w:hAnsi="Arial Black"/>
          <w:sz w:val="28"/>
          <w:szCs w:val="28"/>
        </w:rPr>
        <w:t>G</w:t>
      </w:r>
      <w:r>
        <w:rPr>
          <w:rFonts w:ascii="Arial Black" w:hAnsi="Arial Black"/>
          <w:sz w:val="28"/>
          <w:szCs w:val="28"/>
        </w:rPr>
        <w:t>NED - LAWSUIT MAY PROCEED</w:t>
      </w:r>
    </w:p>
    <w:p w14:paraId="2CB0BED1" w14:textId="77777777" w:rsidR="00557CA2" w:rsidRDefault="00557CA2" w:rsidP="00557CA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Aug. 19, 2020, in </w:t>
      </w:r>
      <w:r>
        <w:rPr>
          <w:rFonts w:ascii="Times New Roman" w:hAnsi="Times New Roman"/>
          <w:sz w:val="24"/>
          <w:szCs w:val="24"/>
          <w:u w:val="single"/>
        </w:rPr>
        <w:t>Gregory Murray v. City of Warren</w:t>
      </w:r>
      <w:r>
        <w:rPr>
          <w:rFonts w:ascii="Times New Roman" w:hAnsi="Times New Roman"/>
          <w:sz w:val="24"/>
          <w:szCs w:val="24"/>
        </w:rPr>
        <w:t xml:space="preserve">, U.S. District Court Judge Gershwin A. Drain, Eastern District of Michigan (Southern Division) denied the city’s motion to dismiss portions of the lawsuit. </w:t>
      </w:r>
    </w:p>
    <w:p w14:paraId="13952C26" w14:textId="77777777" w:rsidR="00557CA2" w:rsidRDefault="00557CA2" w:rsidP="00557CA2">
      <w:pPr>
        <w:pStyle w:val="NormalWeb"/>
        <w:ind w:left="720"/>
      </w:pPr>
      <w:r>
        <w:t xml:space="preserve">“Plaintiff also claims similarly situated employees who are not in a protected class were treated more favorably than he was where his efforts to perform his job duties were thwarted forcing his resignation while his counterparts were able to retain their positions even after engaging in illegal discrimination, which had been reported to Defendants. Additionally, Defendant City's police commissioner allegedly called Plaintiff a racial slur and prevented Plaintiff, with Defendant Fouts' full support, from investigating past incidents of racial discrimination and civil rights violations within the police department. Accordingly, Plaintiff has stated a viable race discrimination claim under both Title VII and the [Michigan statute] ELCRA.” </w:t>
      </w:r>
      <w:hyperlink r:id="rId1624" w:history="1">
        <w:r>
          <w:rPr>
            <w:rStyle w:val="Hyperlink"/>
            <w:rFonts w:eastAsiaTheme="majorEastAsia"/>
          </w:rPr>
          <w:t>https://casetext.com/case/murray-v-city-of-warren-1</w:t>
        </w:r>
      </w:hyperlink>
      <w:r>
        <w:t xml:space="preserve"> </w:t>
      </w:r>
    </w:p>
    <w:p w14:paraId="3368901D" w14:textId="77777777" w:rsidR="00557CA2" w:rsidRDefault="00557CA2" w:rsidP="00557CA2">
      <w:pPr>
        <w:pStyle w:val="NormalWeb"/>
        <w:rPr>
          <w:b/>
          <w:bCs/>
        </w:rPr>
      </w:pPr>
      <w:r>
        <w:rPr>
          <w:b/>
          <w:bCs/>
        </w:rPr>
        <w:t xml:space="preserve">Legal Lessons Learned: The lawsuit will now proceed to pre-trial discovery.  The alleged comments are unacceptable in any workplace. </w:t>
      </w:r>
    </w:p>
    <w:p w14:paraId="50B0B91C" w14:textId="77777777" w:rsidR="00557CA2" w:rsidRDefault="00557CA2" w:rsidP="00DE0F03">
      <w:pPr>
        <w:rPr>
          <w:rFonts w:ascii="Arial Black" w:hAnsi="Arial Black"/>
          <w:b/>
          <w:sz w:val="24"/>
          <w:szCs w:val="24"/>
        </w:rPr>
      </w:pPr>
    </w:p>
    <w:p w14:paraId="14D4664C" w14:textId="3581D40D" w:rsidR="00557CA2" w:rsidRDefault="00557CA2" w:rsidP="00DE0F03">
      <w:pPr>
        <w:rPr>
          <w:rFonts w:ascii="Arial Black" w:hAnsi="Arial Black"/>
          <w:b/>
          <w:sz w:val="24"/>
          <w:szCs w:val="24"/>
        </w:rPr>
      </w:pPr>
      <w:r>
        <w:rPr>
          <w:rFonts w:ascii="Arial Black" w:hAnsi="Arial Black"/>
          <w:b/>
          <w:sz w:val="24"/>
          <w:szCs w:val="24"/>
        </w:rPr>
        <w:t>8-18</w:t>
      </w:r>
    </w:p>
    <w:p w14:paraId="5F795B86" w14:textId="77777777" w:rsidR="00557CA2" w:rsidRDefault="00557CA2" w:rsidP="00557CA2">
      <w:pPr>
        <w:spacing w:before="100" w:beforeAutospacing="1" w:after="100" w:afterAutospacing="1" w:line="240" w:lineRule="auto"/>
        <w:rPr>
          <w:rFonts w:ascii="Arial Black" w:hAnsi="Arial Black"/>
          <w:sz w:val="28"/>
          <w:szCs w:val="28"/>
        </w:rPr>
      </w:pPr>
      <w:bookmarkStart w:id="321" w:name="_Hlk66948003"/>
      <w:r>
        <w:rPr>
          <w:rFonts w:ascii="Arial Black" w:hAnsi="Arial Black"/>
          <w:sz w:val="28"/>
          <w:szCs w:val="28"/>
        </w:rPr>
        <w:t xml:space="preserve">PA: REVERSE DISCRIMINATION NOT PROVED - WHITE BATTALION CHIEF &amp; CAPTAIN LAWSUIT DISMISSED </w:t>
      </w:r>
    </w:p>
    <w:p w14:paraId="4DB91E1D" w14:textId="77777777" w:rsidR="00557CA2" w:rsidRDefault="00557CA2" w:rsidP="00557CA2">
      <w:pPr>
        <w:tabs>
          <w:tab w:val="left" w:pos="8170"/>
        </w:tabs>
        <w:spacing w:before="100" w:beforeAutospacing="1" w:after="100" w:afterAutospacing="1" w:line="240" w:lineRule="auto"/>
        <w:rPr>
          <w:rFonts w:ascii="Times New Roman" w:hAnsi="Times New Roman"/>
          <w:sz w:val="24"/>
          <w:szCs w:val="24"/>
        </w:rPr>
      </w:pPr>
      <w:r>
        <w:rPr>
          <w:rFonts w:ascii="Times New Roman" w:hAnsi="Times New Roman"/>
          <w:sz w:val="24"/>
          <w:szCs w:val="24"/>
        </w:rPr>
        <w:lastRenderedPageBreak/>
        <w:t xml:space="preserve">On Aug. 4, 2020, in </w:t>
      </w:r>
      <w:r>
        <w:rPr>
          <w:rFonts w:ascii="Times New Roman" w:hAnsi="Times New Roman"/>
          <w:sz w:val="24"/>
          <w:szCs w:val="24"/>
          <w:u w:val="single"/>
        </w:rPr>
        <w:t>Lawrence Boyle and Gerald Boyle v. City of Philadelphia</w:t>
      </w:r>
      <w:r>
        <w:rPr>
          <w:rFonts w:ascii="Times New Roman" w:hAnsi="Times New Roman"/>
          <w:sz w:val="24"/>
          <w:szCs w:val="24"/>
        </w:rPr>
        <w:t>, Senior U.S. District Court Judge Jan E. DuBois, Eastern District of Pennsylvania, granted the City’s motion for summary judgment.</w:t>
      </w:r>
    </w:p>
    <w:p w14:paraId="51C510BB" w14:textId="77777777" w:rsidR="00557CA2" w:rsidRDefault="00557CA2" w:rsidP="00557CA2">
      <w:pPr>
        <w:pStyle w:val="NormalWeb"/>
        <w:ind w:left="720"/>
      </w:pPr>
      <w:r>
        <w:t xml:space="preserve">“Plaintiffs offer no analysis of statistical significance whatsoever </w:t>
      </w:r>
      <w:proofErr w:type="gramStart"/>
      <w:r>
        <w:t>with regard to</w:t>
      </w:r>
      <w:proofErr w:type="gramEnd"/>
      <w:r>
        <w:t xml:space="preserve"> the record evidence of exam results and promotions. That failure alone is enough to grant the City's Motion on plaintiffs' disparate impact claim. *** Finally, courts have rejected alleged Equal Protection violations based on an employer's ‘reliance on various subjective criteria during the promotional process.’ </w:t>
      </w:r>
      <w:r>
        <w:rPr>
          <w:i/>
          <w:iCs/>
        </w:rPr>
        <w:t>Baldwin v</w:t>
      </w:r>
      <w:r>
        <w:t xml:space="preserve">. </w:t>
      </w:r>
      <w:proofErr w:type="spellStart"/>
      <w:r>
        <w:rPr>
          <w:i/>
          <w:iCs/>
        </w:rPr>
        <w:t>Gramiccioni</w:t>
      </w:r>
      <w:proofErr w:type="spellEnd"/>
      <w:r>
        <w:t>, No. 16-1675, 2019 WL 2281580, at*16 (D.N.J. May 29, 2019). Indeed, courts have held that ‘[s]</w:t>
      </w:r>
      <w:proofErr w:type="spellStart"/>
      <w:r>
        <w:t>ubjective</w:t>
      </w:r>
      <w:proofErr w:type="spellEnd"/>
      <w:r>
        <w:t xml:space="preserve"> promotion criteria are not discriminatory </w:t>
      </w:r>
      <w:r>
        <w:rPr>
          <w:i/>
          <w:iCs/>
        </w:rPr>
        <w:t>per</w:t>
      </w:r>
      <w:r>
        <w:t xml:space="preserve"> </w:t>
      </w:r>
      <w:proofErr w:type="spellStart"/>
      <w:r>
        <w:t>se.’</w:t>
      </w:r>
      <w:r>
        <w:rPr>
          <w:i/>
          <w:iCs/>
        </w:rPr>
        <w:t>Beckett</w:t>
      </w:r>
      <w:proofErr w:type="spellEnd"/>
      <w:r>
        <w:rPr>
          <w:i/>
          <w:iCs/>
        </w:rPr>
        <w:t xml:space="preserve"> v</w:t>
      </w:r>
      <w:r>
        <w:t xml:space="preserve">. </w:t>
      </w:r>
      <w:proofErr w:type="spellStart"/>
      <w:r>
        <w:rPr>
          <w:i/>
          <w:iCs/>
        </w:rPr>
        <w:t>Dep't</w:t>
      </w:r>
      <w:proofErr w:type="spellEnd"/>
      <w:r>
        <w:rPr>
          <w:i/>
          <w:iCs/>
        </w:rPr>
        <w:t xml:space="preserve"> of Corrections</w:t>
      </w:r>
      <w:r>
        <w:t xml:space="preserve">, 981 F. Supp. 319, 327 (D. Del. 1997) (citing </w:t>
      </w:r>
      <w:r>
        <w:rPr>
          <w:i/>
          <w:iCs/>
        </w:rPr>
        <w:t>Shealy v</w:t>
      </w:r>
      <w:r>
        <w:t xml:space="preserve">. </w:t>
      </w:r>
      <w:r>
        <w:rPr>
          <w:i/>
          <w:iCs/>
        </w:rPr>
        <w:t>City of Albany</w:t>
      </w:r>
      <w:r>
        <w:t xml:space="preserve">, 89 F.3d 804, 805 (11th Cir. 1996)).” </w:t>
      </w:r>
      <w:hyperlink r:id="rId1625" w:history="1">
        <w:r>
          <w:rPr>
            <w:rStyle w:val="Hyperlink"/>
            <w:rFonts w:eastAsiaTheme="majorEastAsia"/>
          </w:rPr>
          <w:t>http://www.paed.uscourts.gov/documents/opinions/20D0393P.pdf</w:t>
        </w:r>
      </w:hyperlink>
      <w:r>
        <w:t xml:space="preserve"> </w:t>
      </w:r>
    </w:p>
    <w:p w14:paraId="68B271DD" w14:textId="77777777" w:rsidR="00557CA2" w:rsidRDefault="00557CA2" w:rsidP="00557CA2">
      <w:pPr>
        <w:tabs>
          <w:tab w:val="left" w:pos="3210"/>
        </w:tabs>
        <w:spacing w:before="100" w:beforeAutospacing="1" w:after="100" w:afterAutospacing="1" w:line="240" w:lineRule="auto"/>
        <w:rPr>
          <w:rFonts w:ascii="Times New Roman" w:eastAsia="Times New Roman" w:hAnsi="Times New Roman"/>
          <w:sz w:val="24"/>
          <w:szCs w:val="24"/>
        </w:rPr>
      </w:pPr>
      <w:r>
        <w:rPr>
          <w:rFonts w:ascii="Times New Roman" w:hAnsi="Times New Roman"/>
          <w:b/>
          <w:bCs/>
          <w:sz w:val="24"/>
          <w:szCs w:val="24"/>
        </w:rPr>
        <w:t xml:space="preserve">Legal Lessons Learned: Lack of statistical significance in exams and promotions led to dismissal of this lawsuit. </w:t>
      </w:r>
    </w:p>
    <w:bookmarkEnd w:id="321"/>
    <w:p w14:paraId="18BB2B50" w14:textId="77777777" w:rsidR="00557CA2" w:rsidRDefault="00557CA2" w:rsidP="00DE0F03">
      <w:pPr>
        <w:rPr>
          <w:rFonts w:ascii="Arial Black" w:hAnsi="Arial Black"/>
          <w:b/>
          <w:sz w:val="24"/>
          <w:szCs w:val="24"/>
        </w:rPr>
      </w:pPr>
    </w:p>
    <w:p w14:paraId="4963B924" w14:textId="77777777" w:rsidR="00557CA2" w:rsidRDefault="00557CA2" w:rsidP="00DE0F03">
      <w:pPr>
        <w:rPr>
          <w:rFonts w:ascii="Arial Black" w:hAnsi="Arial Black"/>
          <w:b/>
          <w:sz w:val="24"/>
          <w:szCs w:val="24"/>
        </w:rPr>
      </w:pPr>
    </w:p>
    <w:p w14:paraId="4921AF32" w14:textId="33651F04" w:rsidR="006B2083" w:rsidRDefault="006B2083" w:rsidP="00DE0F03">
      <w:pPr>
        <w:rPr>
          <w:rFonts w:ascii="Arial Black" w:hAnsi="Arial Black"/>
          <w:b/>
          <w:sz w:val="24"/>
          <w:szCs w:val="24"/>
        </w:rPr>
      </w:pPr>
      <w:r>
        <w:rPr>
          <w:rFonts w:ascii="Arial Black" w:hAnsi="Arial Black"/>
          <w:b/>
          <w:sz w:val="24"/>
          <w:szCs w:val="24"/>
        </w:rPr>
        <w:t>8-17</w:t>
      </w:r>
    </w:p>
    <w:p w14:paraId="53B02748" w14:textId="77777777" w:rsidR="006B2083" w:rsidRPr="00230B50" w:rsidRDefault="006B2083" w:rsidP="006B2083">
      <w:pPr>
        <w:pStyle w:val="NoSpacing"/>
        <w:rPr>
          <w:rFonts w:ascii="Arial Black" w:hAnsi="Arial Black"/>
          <w:sz w:val="28"/>
          <w:szCs w:val="28"/>
        </w:rPr>
      </w:pPr>
      <w:r w:rsidRPr="00230B50">
        <w:rPr>
          <w:rFonts w:ascii="Arial Black" w:hAnsi="Arial Black"/>
          <w:sz w:val="28"/>
          <w:szCs w:val="28"/>
        </w:rPr>
        <w:t xml:space="preserve">CT: </w:t>
      </w:r>
      <w:r>
        <w:rPr>
          <w:rFonts w:ascii="Arial Black" w:hAnsi="Arial Black"/>
          <w:sz w:val="28"/>
          <w:szCs w:val="28"/>
        </w:rPr>
        <w:t xml:space="preserve"> FF ALLEGED RACE DISCRIM – TWO INCIDNTS - NO ALLEGATION RACE “PERMEATED OVERALL WORKING ENVIRONMENT” </w:t>
      </w:r>
    </w:p>
    <w:p w14:paraId="09E8B1C6" w14:textId="77777777" w:rsidR="00DB72C4" w:rsidRDefault="00DB72C4" w:rsidP="006B2083">
      <w:pPr>
        <w:rPr>
          <w:rFonts w:ascii="Times New Roman" w:hAnsi="Times New Roman"/>
          <w:sz w:val="24"/>
          <w:szCs w:val="24"/>
        </w:rPr>
      </w:pPr>
    </w:p>
    <w:p w14:paraId="7AACD68F" w14:textId="7F9E3C77" w:rsidR="006B2083" w:rsidRDefault="006B2083" w:rsidP="006B2083">
      <w:pPr>
        <w:rPr>
          <w:rStyle w:val="Hyperlink"/>
          <w:rFonts w:ascii="Times New Roman" w:hAnsi="Times New Roman"/>
          <w:sz w:val="24"/>
          <w:szCs w:val="24"/>
        </w:rPr>
      </w:pPr>
      <w:r w:rsidRPr="00E831B1">
        <w:rPr>
          <w:rFonts w:ascii="Times New Roman" w:hAnsi="Times New Roman"/>
          <w:sz w:val="24"/>
          <w:szCs w:val="24"/>
        </w:rPr>
        <w:t xml:space="preserve">On </w:t>
      </w:r>
      <w:r>
        <w:rPr>
          <w:rFonts w:ascii="Times New Roman" w:hAnsi="Times New Roman"/>
          <w:sz w:val="24"/>
          <w:szCs w:val="24"/>
        </w:rPr>
        <w:t xml:space="preserve">June 29, 2020, in </w:t>
      </w:r>
      <w:r w:rsidRPr="00E831B1">
        <w:rPr>
          <w:rFonts w:ascii="Times New Roman" w:hAnsi="Times New Roman"/>
          <w:sz w:val="24"/>
          <w:szCs w:val="24"/>
          <w:u w:val="single"/>
        </w:rPr>
        <w:t>Tony Milledge v. City of Hartford, et al</w:t>
      </w:r>
      <w:r>
        <w:rPr>
          <w:rFonts w:ascii="Times New Roman" w:hAnsi="Times New Roman"/>
          <w:sz w:val="24"/>
          <w:szCs w:val="24"/>
        </w:rPr>
        <w:t>., U.S. District Court Judge Jeffery Alker Meyer, District of Connecticut, dismissed the lawsuit by African American firefighter with 20 years on Hartford FD.  He filed complaint alleging two incidents</w:t>
      </w:r>
      <w:r w:rsidR="00DB72C4">
        <w:rPr>
          <w:rFonts w:ascii="Times New Roman" w:hAnsi="Times New Roman"/>
          <w:sz w:val="24"/>
          <w:szCs w:val="24"/>
        </w:rPr>
        <w:t xml:space="preserve"> </w:t>
      </w:r>
      <w:r>
        <w:rPr>
          <w:rFonts w:ascii="Times New Roman" w:hAnsi="Times New Roman"/>
          <w:sz w:val="24"/>
          <w:szCs w:val="24"/>
        </w:rPr>
        <w:t>but lacking specific on how these incidents were related to race.  The Court wrote: “</w:t>
      </w:r>
      <w:r w:rsidRPr="00D20A78">
        <w:rPr>
          <w:rFonts w:ascii="Times New Roman" w:hAnsi="Times New Roman"/>
          <w:sz w:val="24"/>
          <w:szCs w:val="24"/>
        </w:rPr>
        <w:t xml:space="preserve">What is lacking, however, are facts to suggest that any of the alleged abuse was </w:t>
      </w:r>
      <w:r w:rsidRPr="00D20A78">
        <w:rPr>
          <w:rFonts w:ascii="Times New Roman" w:hAnsi="Times New Roman"/>
          <w:i/>
          <w:iCs/>
          <w:sz w:val="24"/>
          <w:szCs w:val="24"/>
        </w:rPr>
        <w:t>because of</w:t>
      </w:r>
      <w:r w:rsidRPr="00D20A78">
        <w:rPr>
          <w:rFonts w:ascii="Times New Roman" w:hAnsi="Times New Roman"/>
          <w:sz w:val="24"/>
          <w:szCs w:val="24"/>
        </w:rPr>
        <w:t xml:space="preserve"> Milledge's race. Milledge does not recite any statements by the two supervisors to suggest that they picked on him because of his race. Nor does Milledge allege facts to suggest that race considerations generally permeated the overall working environment at the fire department—for example, that supervisors at the fire department made any remarks or engaged in any conduct reflecting race-based animus or stereotypical assumptions about race.</w:t>
      </w:r>
      <w:r>
        <w:rPr>
          <w:rFonts w:ascii="Times New Roman" w:hAnsi="Times New Roman"/>
          <w:sz w:val="24"/>
          <w:szCs w:val="24"/>
        </w:rPr>
        <w:t>”  The Court will allow him to file an amended complaint: “</w:t>
      </w:r>
      <w:r w:rsidRPr="00D20A78">
        <w:rPr>
          <w:rFonts w:ascii="Times New Roman" w:hAnsi="Times New Roman"/>
          <w:sz w:val="24"/>
          <w:szCs w:val="24"/>
        </w:rPr>
        <w:t>If Milledge chooses to file an amended complaint, the amended complaint should not only state additional facts to support an inference of discriminatory motive but also to show that the alleged acts of abuse created a hostile work environment.</w:t>
      </w:r>
      <w:r>
        <w:rPr>
          <w:rFonts w:ascii="Times New Roman" w:hAnsi="Times New Roman"/>
          <w:sz w:val="24"/>
          <w:szCs w:val="24"/>
        </w:rPr>
        <w:t xml:space="preserve">” </w:t>
      </w:r>
      <w:hyperlink r:id="rId1626" w:history="1">
        <w:r w:rsidRPr="00DE6B93">
          <w:rPr>
            <w:rStyle w:val="Hyperlink"/>
            <w:rFonts w:ascii="Times New Roman" w:hAnsi="Times New Roman"/>
            <w:sz w:val="24"/>
            <w:szCs w:val="24"/>
          </w:rPr>
          <w:t>https://public.fastcase.com/Wl%2B2t%2BeVuI35%2FN70vAMFZjxlcnGgF4KmxTbsHmdpUnhrKX1xZ8%2F1BaT4X1Cm7%2Fji</w:t>
        </w:r>
      </w:hyperlink>
    </w:p>
    <w:p w14:paraId="1C75DBD5" w14:textId="77777777" w:rsidR="006B2083" w:rsidRPr="00230B50" w:rsidRDefault="006B2083" w:rsidP="006B2083">
      <w:pPr>
        <w:spacing w:before="100" w:beforeAutospacing="1" w:after="100" w:afterAutospacing="1" w:line="240" w:lineRule="auto"/>
        <w:rPr>
          <w:rFonts w:ascii="Times New Roman" w:eastAsia="Times New Roman" w:hAnsi="Times New Roman"/>
          <w:b/>
          <w:bCs/>
          <w:sz w:val="24"/>
          <w:szCs w:val="24"/>
        </w:rPr>
      </w:pPr>
      <w:r w:rsidRPr="002754A9">
        <w:rPr>
          <w:rFonts w:ascii="Times New Roman" w:hAnsi="Times New Roman"/>
          <w:b/>
          <w:bCs/>
          <w:sz w:val="24"/>
          <w:szCs w:val="24"/>
        </w:rPr>
        <w:t>Legal Lesson Learned</w:t>
      </w:r>
      <w:r>
        <w:rPr>
          <w:rFonts w:ascii="Times New Roman" w:hAnsi="Times New Roman"/>
          <w:b/>
          <w:bCs/>
          <w:sz w:val="24"/>
          <w:szCs w:val="24"/>
        </w:rPr>
        <w:t xml:space="preserve">:  FDs can help avoid litigation by </w:t>
      </w:r>
      <w:proofErr w:type="gramStart"/>
      <w:r>
        <w:rPr>
          <w:rFonts w:ascii="Times New Roman" w:hAnsi="Times New Roman"/>
          <w:b/>
          <w:bCs/>
          <w:sz w:val="24"/>
          <w:szCs w:val="24"/>
        </w:rPr>
        <w:t>conduct</w:t>
      </w:r>
      <w:proofErr w:type="gramEnd"/>
      <w:r>
        <w:rPr>
          <w:rFonts w:ascii="Times New Roman" w:hAnsi="Times New Roman"/>
          <w:b/>
          <w:bCs/>
          <w:sz w:val="24"/>
          <w:szCs w:val="24"/>
        </w:rPr>
        <w:t xml:space="preserve"> prompt, thorough internal investigations of all complaints (after receipt of written complaint).  </w:t>
      </w:r>
    </w:p>
    <w:p w14:paraId="4EB54DC8" w14:textId="77777777" w:rsidR="006B2083" w:rsidRDefault="006B2083" w:rsidP="006B2083">
      <w:pPr>
        <w:rPr>
          <w:rFonts w:ascii="Arial Black" w:hAnsi="Arial Black"/>
          <w:b/>
          <w:sz w:val="24"/>
          <w:szCs w:val="24"/>
        </w:rPr>
      </w:pPr>
    </w:p>
    <w:p w14:paraId="4FF8849D" w14:textId="77777777" w:rsidR="006B2083" w:rsidRDefault="006B2083" w:rsidP="00DE0F03">
      <w:pPr>
        <w:rPr>
          <w:rFonts w:ascii="Arial Black" w:hAnsi="Arial Black"/>
          <w:b/>
          <w:sz w:val="24"/>
          <w:szCs w:val="24"/>
        </w:rPr>
      </w:pPr>
    </w:p>
    <w:p w14:paraId="598DBC2A" w14:textId="2C4AE323" w:rsidR="007105B3" w:rsidRDefault="007105B3" w:rsidP="00DE0F03">
      <w:pPr>
        <w:rPr>
          <w:rFonts w:ascii="Arial Black" w:hAnsi="Arial Black"/>
          <w:b/>
          <w:sz w:val="24"/>
          <w:szCs w:val="24"/>
        </w:rPr>
      </w:pPr>
      <w:r>
        <w:rPr>
          <w:rFonts w:ascii="Arial Black" w:hAnsi="Arial Black"/>
          <w:b/>
          <w:sz w:val="24"/>
          <w:szCs w:val="24"/>
        </w:rPr>
        <w:t>8-16</w:t>
      </w:r>
    </w:p>
    <w:p w14:paraId="64FED3DD" w14:textId="77777777" w:rsidR="007105B3" w:rsidRPr="005D212F" w:rsidRDefault="007105B3" w:rsidP="007105B3">
      <w:pPr>
        <w:pStyle w:val="NoSpacing"/>
        <w:rPr>
          <w:rFonts w:ascii="Arial Black" w:hAnsi="Arial Black"/>
          <w:sz w:val="28"/>
          <w:szCs w:val="28"/>
        </w:rPr>
      </w:pPr>
      <w:r w:rsidRPr="005D212F">
        <w:rPr>
          <w:rFonts w:ascii="Arial Black" w:hAnsi="Arial Black"/>
          <w:sz w:val="28"/>
          <w:szCs w:val="28"/>
        </w:rPr>
        <w:lastRenderedPageBreak/>
        <w:t xml:space="preserve">NY: </w:t>
      </w:r>
      <w:r>
        <w:rPr>
          <w:rFonts w:ascii="Arial Black" w:hAnsi="Arial Black"/>
          <w:sz w:val="28"/>
          <w:szCs w:val="28"/>
        </w:rPr>
        <w:t>FDNY - AFRICAN AMERICAN, MUSLIM – CLAIMED HOSTILE WORK ATMOSPHERE – ONLY “PETTY SLIGHTS”</w:t>
      </w:r>
    </w:p>
    <w:p w14:paraId="1F12C27E" w14:textId="77777777" w:rsidR="007105B3" w:rsidRDefault="007105B3" w:rsidP="007105B3">
      <w:pPr>
        <w:pStyle w:val="NoSpacing"/>
        <w:rPr>
          <w:rFonts w:ascii="On On" w:hAnsi="On On"/>
          <w:sz w:val="24"/>
          <w:szCs w:val="24"/>
        </w:rPr>
      </w:pPr>
    </w:p>
    <w:p w14:paraId="2DBC2342" w14:textId="77777777" w:rsidR="007105B3" w:rsidRPr="00CE6A11" w:rsidRDefault="007105B3" w:rsidP="007105B3">
      <w:pPr>
        <w:pStyle w:val="NoSpacing"/>
        <w:rPr>
          <w:rFonts w:ascii="Times New Roman" w:hAnsi="Times New Roman"/>
          <w:sz w:val="24"/>
          <w:szCs w:val="24"/>
        </w:rPr>
      </w:pPr>
      <w:r w:rsidRPr="005D212F">
        <w:rPr>
          <w:rFonts w:ascii="Times New Roman" w:hAnsi="Times New Roman"/>
          <w:sz w:val="24"/>
          <w:szCs w:val="24"/>
        </w:rPr>
        <w:t xml:space="preserve">On June 26, 2020, in </w:t>
      </w:r>
      <w:r w:rsidRPr="005D212F">
        <w:rPr>
          <w:rFonts w:ascii="Times New Roman" w:hAnsi="Times New Roman"/>
          <w:sz w:val="24"/>
          <w:szCs w:val="24"/>
          <w:u w:val="single"/>
        </w:rPr>
        <w:t>Gordon Springs v. City of New York, et al</w:t>
      </w:r>
      <w:r>
        <w:rPr>
          <w:rFonts w:ascii="Times New Roman" w:hAnsi="Times New Roman"/>
          <w:sz w:val="24"/>
          <w:szCs w:val="24"/>
        </w:rPr>
        <w:t>., U.S. District Court Judge Alvin K. Hellerstein granted the City’s motion to dismiss.  “</w:t>
      </w:r>
      <w:r w:rsidRPr="00CE6A11">
        <w:rPr>
          <w:rFonts w:ascii="Times New Roman" w:hAnsi="Times New Roman"/>
          <w:sz w:val="24"/>
          <w:szCs w:val="24"/>
        </w:rPr>
        <w:t xml:space="preserve">Springs fails to adequately plead a hostile work environment, because the FAC </w:t>
      </w:r>
      <w:r>
        <w:rPr>
          <w:rFonts w:ascii="Times New Roman" w:hAnsi="Times New Roman"/>
          <w:sz w:val="24"/>
          <w:szCs w:val="24"/>
        </w:rPr>
        <w:t xml:space="preserve">[First Amended Complaint] </w:t>
      </w:r>
      <w:r w:rsidRPr="00CE6A11">
        <w:rPr>
          <w:rFonts w:ascii="Times New Roman" w:hAnsi="Times New Roman"/>
          <w:sz w:val="24"/>
          <w:szCs w:val="24"/>
        </w:rPr>
        <w:t xml:space="preserve">does not sufficiently claim a causal connection between Springs's protected characteristics and most of the contested acts and, as to the remaining acts, the alleged acts of hostility do not rise above the level of </w:t>
      </w:r>
      <w:r>
        <w:rPr>
          <w:rFonts w:ascii="Times New Roman" w:hAnsi="Times New Roman"/>
          <w:sz w:val="24"/>
          <w:szCs w:val="24"/>
        </w:rPr>
        <w:t>‘</w:t>
      </w:r>
      <w:r w:rsidRPr="00CE6A11">
        <w:rPr>
          <w:rFonts w:ascii="Times New Roman" w:hAnsi="Times New Roman"/>
          <w:sz w:val="24"/>
          <w:szCs w:val="24"/>
        </w:rPr>
        <w:t>petty slight or trivial inconvenience.</w:t>
      </w:r>
      <w:r>
        <w:rPr>
          <w:rFonts w:ascii="Times New Roman" w:hAnsi="Times New Roman"/>
          <w:sz w:val="24"/>
          <w:szCs w:val="24"/>
        </w:rPr>
        <w:t xml:space="preserve">’ </w:t>
      </w:r>
      <w:hyperlink r:id="rId1627" w:history="1">
        <w:r w:rsidRPr="007062AF">
          <w:rPr>
            <w:rStyle w:val="Hyperlink"/>
            <w:rFonts w:ascii="Times New Roman" w:hAnsi="Times New Roman"/>
            <w:sz w:val="24"/>
            <w:szCs w:val="24"/>
          </w:rPr>
          <w:t>https://public.fastcase.com/Wl%2B2t%2BeVuI35%2FN70vAMFZu9WSCqieY3u1gfnWEwDVajGcV1Qbmc97gDjPt%2BB6d9C</w:t>
        </w:r>
      </w:hyperlink>
      <w:r>
        <w:rPr>
          <w:rFonts w:ascii="Times New Roman" w:hAnsi="Times New Roman"/>
          <w:sz w:val="24"/>
          <w:szCs w:val="24"/>
        </w:rPr>
        <w:t xml:space="preserve"> </w:t>
      </w:r>
    </w:p>
    <w:p w14:paraId="545207B2" w14:textId="77777777" w:rsidR="007105B3" w:rsidRPr="00CE6A11" w:rsidRDefault="007105B3" w:rsidP="007105B3">
      <w:pPr>
        <w:spacing w:before="100" w:beforeAutospacing="1" w:after="100" w:afterAutospacing="1" w:line="240" w:lineRule="auto"/>
        <w:rPr>
          <w:rFonts w:ascii="Times New Roman" w:hAnsi="Times New Roman"/>
          <w:b/>
          <w:bCs/>
          <w:sz w:val="24"/>
          <w:szCs w:val="24"/>
        </w:rPr>
      </w:pPr>
      <w:r w:rsidRPr="00CE6A11">
        <w:rPr>
          <w:rFonts w:ascii="Times New Roman" w:hAnsi="Times New Roman"/>
          <w:b/>
          <w:bCs/>
          <w:sz w:val="24"/>
          <w:szCs w:val="24"/>
        </w:rPr>
        <w:t xml:space="preserve">Legal Lessons Learned: To state a claim for </w:t>
      </w:r>
      <w:proofErr w:type="gramStart"/>
      <w:r w:rsidRPr="00CE6A11">
        <w:rPr>
          <w:rFonts w:ascii="Times New Roman" w:hAnsi="Times New Roman"/>
          <w:b/>
          <w:bCs/>
          <w:sz w:val="24"/>
          <w:szCs w:val="24"/>
        </w:rPr>
        <w:t>a hostile</w:t>
      </w:r>
      <w:proofErr w:type="gramEnd"/>
      <w:r w:rsidRPr="00CE6A11">
        <w:rPr>
          <w:rFonts w:ascii="Times New Roman" w:hAnsi="Times New Roman"/>
          <w:b/>
          <w:bCs/>
          <w:sz w:val="24"/>
          <w:szCs w:val="24"/>
        </w:rPr>
        <w:t xml:space="preserve"> work the plaintiff must allege "that the workplace is permeated with discriminatory intimidation, ridicule, and insult that is sufficiently severe or pervasive to alter the conditions of ... employment and create an abusive working environment."</w:t>
      </w:r>
    </w:p>
    <w:p w14:paraId="69FE09DC" w14:textId="77777777" w:rsidR="007105B3" w:rsidRDefault="007105B3" w:rsidP="007105B3">
      <w:pPr>
        <w:spacing w:before="100" w:beforeAutospacing="1" w:after="100" w:afterAutospacing="1" w:line="240" w:lineRule="auto"/>
        <w:rPr>
          <w:rFonts w:ascii="Times New Roman" w:hAnsi="Times New Roman"/>
          <w:sz w:val="24"/>
          <w:szCs w:val="24"/>
        </w:rPr>
      </w:pPr>
      <w:r>
        <w:rPr>
          <w:rFonts w:ascii="Times New Roman" w:hAnsi="Times New Roman"/>
          <w:b/>
          <w:bCs/>
          <w:sz w:val="24"/>
          <w:szCs w:val="24"/>
        </w:rPr>
        <w:tab/>
      </w:r>
      <w:r w:rsidRPr="00DE7C27">
        <w:rPr>
          <w:rFonts w:ascii="Times New Roman" w:hAnsi="Times New Roman"/>
          <w:sz w:val="24"/>
          <w:szCs w:val="24"/>
        </w:rPr>
        <w:t xml:space="preserve">Note: </w:t>
      </w:r>
      <w:r>
        <w:rPr>
          <w:rFonts w:ascii="Times New Roman" w:hAnsi="Times New Roman"/>
          <w:sz w:val="24"/>
          <w:szCs w:val="24"/>
        </w:rPr>
        <w:t xml:space="preserve"> Read Judge’s comments about the “pork incident.” </w:t>
      </w:r>
    </w:p>
    <w:p w14:paraId="51CD20BA" w14:textId="77777777" w:rsidR="007105B3" w:rsidRPr="00CE6A11" w:rsidRDefault="007105B3" w:rsidP="007105B3">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CE6A11">
        <w:rPr>
          <w:rFonts w:ascii="Times New Roman" w:eastAsia="Times New Roman" w:hAnsi="Times New Roman"/>
          <w:sz w:val="24"/>
          <w:szCs w:val="24"/>
        </w:rPr>
        <w:t xml:space="preserve">The alleged pork incident is equally if not more trivial. The full extent of that allegation is that unidentified firefighters in Engine 67 </w:t>
      </w:r>
      <w:r>
        <w:rPr>
          <w:rFonts w:ascii="Times New Roman" w:eastAsia="Times New Roman" w:hAnsi="Times New Roman"/>
          <w:sz w:val="24"/>
          <w:szCs w:val="24"/>
        </w:rPr>
        <w:t>‘</w:t>
      </w:r>
      <w:r w:rsidRPr="00CE6A11">
        <w:rPr>
          <w:rFonts w:ascii="Times New Roman" w:eastAsia="Times New Roman" w:hAnsi="Times New Roman"/>
          <w:sz w:val="24"/>
          <w:szCs w:val="24"/>
        </w:rPr>
        <w:t>cooked a meal and made hamburgers in the same pan used to cook bacon</w:t>
      </w:r>
      <w:r>
        <w:rPr>
          <w:rFonts w:ascii="Times New Roman" w:eastAsia="Times New Roman" w:hAnsi="Times New Roman"/>
          <w:sz w:val="24"/>
          <w:szCs w:val="24"/>
        </w:rPr>
        <w:t>’</w:t>
      </w:r>
      <w:r w:rsidRPr="00CE6A11">
        <w:rPr>
          <w:rFonts w:ascii="Times New Roman" w:eastAsia="Times New Roman" w:hAnsi="Times New Roman"/>
          <w:sz w:val="24"/>
          <w:szCs w:val="24"/>
        </w:rPr>
        <w:t xml:space="preserve"> even though they had </w:t>
      </w:r>
      <w:r>
        <w:rPr>
          <w:rFonts w:ascii="Times New Roman" w:eastAsia="Times New Roman" w:hAnsi="Times New Roman"/>
          <w:sz w:val="24"/>
          <w:szCs w:val="24"/>
        </w:rPr>
        <w:t>‘</w:t>
      </w:r>
      <w:r w:rsidRPr="00CE6A11">
        <w:rPr>
          <w:rFonts w:ascii="Times New Roman" w:eastAsia="Times New Roman" w:hAnsi="Times New Roman"/>
          <w:sz w:val="24"/>
          <w:szCs w:val="24"/>
        </w:rPr>
        <w:t>full knowledge</w:t>
      </w:r>
      <w:r>
        <w:rPr>
          <w:rFonts w:ascii="Times New Roman" w:eastAsia="Times New Roman" w:hAnsi="Times New Roman"/>
          <w:sz w:val="24"/>
          <w:szCs w:val="24"/>
        </w:rPr>
        <w:t>’</w:t>
      </w:r>
      <w:r w:rsidRPr="00CE6A11">
        <w:rPr>
          <w:rFonts w:ascii="Times New Roman" w:eastAsia="Times New Roman" w:hAnsi="Times New Roman"/>
          <w:sz w:val="24"/>
          <w:szCs w:val="24"/>
        </w:rPr>
        <w:t xml:space="preserve"> that Springs is Muslim and therefore </w:t>
      </w:r>
      <w:r>
        <w:rPr>
          <w:rFonts w:ascii="Times New Roman" w:eastAsia="Times New Roman" w:hAnsi="Times New Roman"/>
          <w:sz w:val="24"/>
          <w:szCs w:val="24"/>
        </w:rPr>
        <w:t>‘</w:t>
      </w:r>
      <w:r w:rsidRPr="00CE6A11">
        <w:rPr>
          <w:rFonts w:ascii="Times New Roman" w:eastAsia="Times New Roman" w:hAnsi="Times New Roman"/>
          <w:sz w:val="24"/>
          <w:szCs w:val="24"/>
        </w:rPr>
        <w:t>unable to eat pork or cook with pork.</w:t>
      </w:r>
      <w:r>
        <w:rPr>
          <w:rFonts w:ascii="Times New Roman" w:eastAsia="Times New Roman" w:hAnsi="Times New Roman"/>
          <w:sz w:val="24"/>
          <w:szCs w:val="24"/>
        </w:rPr>
        <w:t>’</w:t>
      </w:r>
      <w:r w:rsidRPr="00CE6A11">
        <w:rPr>
          <w:rFonts w:ascii="Times New Roman" w:eastAsia="Times New Roman" w:hAnsi="Times New Roman"/>
          <w:sz w:val="24"/>
          <w:szCs w:val="24"/>
        </w:rPr>
        <w:t xml:space="preserve"> FAC at ¶¶ 48-50. That's it. Springs does not say whether this was the only </w:t>
      </w:r>
      <w:proofErr w:type="gramStart"/>
      <w:r w:rsidRPr="00CE6A11">
        <w:rPr>
          <w:rFonts w:ascii="Times New Roman" w:eastAsia="Times New Roman" w:hAnsi="Times New Roman"/>
          <w:sz w:val="24"/>
          <w:szCs w:val="24"/>
        </w:rPr>
        <w:t>pan</w:t>
      </w:r>
      <w:proofErr w:type="gramEnd"/>
      <w:r w:rsidRPr="00CE6A11">
        <w:rPr>
          <w:rFonts w:ascii="Times New Roman" w:eastAsia="Times New Roman" w:hAnsi="Times New Roman"/>
          <w:sz w:val="24"/>
          <w:szCs w:val="24"/>
        </w:rPr>
        <w:t xml:space="preserve"> in Engine 67; whether any firefighters made comments to accompany their cooking with pork suggestive of animus; whether Springs, in the moment, said anything to his coworkers to remind them of his dietary restrictions, </w:t>
      </w:r>
      <w:r w:rsidRPr="00CE6A11">
        <w:rPr>
          <w:rFonts w:ascii="Times New Roman" w:eastAsia="Times New Roman" w:hAnsi="Times New Roman"/>
          <w:i/>
          <w:iCs/>
          <w:sz w:val="24"/>
          <w:szCs w:val="24"/>
        </w:rPr>
        <w:t>see id</w:t>
      </w:r>
      <w:r w:rsidRPr="00CE6A11">
        <w:rPr>
          <w:rFonts w:ascii="Times New Roman" w:eastAsia="Times New Roman" w:hAnsi="Times New Roman"/>
          <w:sz w:val="24"/>
          <w:szCs w:val="24"/>
        </w:rPr>
        <w:t xml:space="preserve">. at ¶ 49 (noting that Springs had advised </w:t>
      </w:r>
      <w:r>
        <w:rPr>
          <w:rFonts w:ascii="Times New Roman" w:eastAsia="Times New Roman" w:hAnsi="Times New Roman"/>
          <w:sz w:val="24"/>
          <w:szCs w:val="24"/>
        </w:rPr>
        <w:t>‘</w:t>
      </w:r>
      <w:r w:rsidRPr="00CE6A11">
        <w:rPr>
          <w:rFonts w:ascii="Times New Roman" w:eastAsia="Times New Roman" w:hAnsi="Times New Roman"/>
          <w:sz w:val="24"/>
          <w:szCs w:val="24"/>
        </w:rPr>
        <w:t>all firefighters</w:t>
      </w:r>
      <w:r>
        <w:rPr>
          <w:rFonts w:ascii="Times New Roman" w:eastAsia="Times New Roman" w:hAnsi="Times New Roman"/>
          <w:sz w:val="24"/>
          <w:szCs w:val="24"/>
        </w:rPr>
        <w:t>’</w:t>
      </w:r>
      <w:r w:rsidRPr="00CE6A11">
        <w:rPr>
          <w:rFonts w:ascii="Times New Roman" w:eastAsia="Times New Roman" w:hAnsi="Times New Roman"/>
          <w:sz w:val="24"/>
          <w:szCs w:val="24"/>
        </w:rPr>
        <w:t xml:space="preserve"> that he was Muslim </w:t>
      </w:r>
      <w:r>
        <w:rPr>
          <w:rFonts w:ascii="Times New Roman" w:eastAsia="Times New Roman" w:hAnsi="Times New Roman"/>
          <w:sz w:val="24"/>
          <w:szCs w:val="24"/>
        </w:rPr>
        <w:t>‘</w:t>
      </w:r>
      <w:r w:rsidRPr="00CE6A11">
        <w:rPr>
          <w:rFonts w:ascii="Times New Roman" w:eastAsia="Times New Roman" w:hAnsi="Times New Roman"/>
          <w:i/>
          <w:iCs/>
          <w:sz w:val="24"/>
          <w:szCs w:val="24"/>
        </w:rPr>
        <w:t>[p]</w:t>
      </w:r>
      <w:proofErr w:type="spellStart"/>
      <w:r w:rsidRPr="00CE6A11">
        <w:rPr>
          <w:rFonts w:ascii="Times New Roman" w:eastAsia="Times New Roman" w:hAnsi="Times New Roman"/>
          <w:i/>
          <w:iCs/>
          <w:sz w:val="24"/>
          <w:szCs w:val="24"/>
        </w:rPr>
        <w:t>rior</w:t>
      </w:r>
      <w:proofErr w:type="spellEnd"/>
      <w:r w:rsidRPr="00CE6A11">
        <w:rPr>
          <w:rFonts w:ascii="Times New Roman" w:eastAsia="Times New Roman" w:hAnsi="Times New Roman"/>
          <w:i/>
          <w:iCs/>
          <w:sz w:val="24"/>
          <w:szCs w:val="24"/>
        </w:rPr>
        <w:t xml:space="preserve"> to</w:t>
      </w:r>
      <w:r w:rsidRPr="00CE6A11">
        <w:rPr>
          <w:rFonts w:ascii="Times New Roman" w:eastAsia="Times New Roman" w:hAnsi="Times New Roman"/>
          <w:sz w:val="24"/>
          <w:szCs w:val="24"/>
        </w:rPr>
        <w:t xml:space="preserve"> this meal</w:t>
      </w:r>
      <w:r>
        <w:rPr>
          <w:rFonts w:ascii="Times New Roman" w:eastAsia="Times New Roman" w:hAnsi="Times New Roman"/>
          <w:sz w:val="24"/>
          <w:szCs w:val="24"/>
        </w:rPr>
        <w:t>’</w:t>
      </w:r>
      <w:r w:rsidRPr="00CE6A11">
        <w:rPr>
          <w:rFonts w:ascii="Times New Roman" w:eastAsia="Times New Roman" w:hAnsi="Times New Roman"/>
          <w:sz w:val="24"/>
          <w:szCs w:val="24"/>
        </w:rPr>
        <w:t>) (emphasis added); or even whether Springs was present at the time the cooking took place. But even stretching to its limit the duty to read the FAC in the light that is most favorable to Springs, it seems that at worst he would have been required to clean this pan in order to cook in it himself, or perhaps would have been required to notify a superior in Engine 67 that, in the future, his</w:t>
      </w:r>
      <w:r>
        <w:rPr>
          <w:rFonts w:ascii="Times New Roman" w:eastAsia="Times New Roman" w:hAnsi="Times New Roman"/>
          <w:sz w:val="24"/>
          <w:szCs w:val="24"/>
        </w:rPr>
        <w:t xml:space="preserve"> </w:t>
      </w:r>
      <w:r w:rsidRPr="00CE6A11">
        <w:rPr>
          <w:rFonts w:ascii="Times New Roman" w:eastAsia="Times New Roman" w:hAnsi="Times New Roman"/>
          <w:sz w:val="24"/>
          <w:szCs w:val="24"/>
        </w:rPr>
        <w:t>meals would need to be prepared separately. Again, this incident may have been insensitive, but it did not impose anything more than a petty slight or inconvenience.</w:t>
      </w:r>
      <w:r>
        <w:rPr>
          <w:rFonts w:ascii="Times New Roman" w:eastAsia="Times New Roman" w:hAnsi="Times New Roman"/>
          <w:sz w:val="24"/>
          <w:szCs w:val="24"/>
        </w:rPr>
        <w:t>”</w:t>
      </w:r>
    </w:p>
    <w:p w14:paraId="4C6B8820" w14:textId="77777777" w:rsidR="007105B3" w:rsidRDefault="007105B3" w:rsidP="00DE0F03">
      <w:pPr>
        <w:rPr>
          <w:rFonts w:ascii="Arial Black" w:hAnsi="Arial Black"/>
          <w:b/>
          <w:sz w:val="24"/>
          <w:szCs w:val="24"/>
        </w:rPr>
      </w:pPr>
    </w:p>
    <w:p w14:paraId="05070AAD" w14:textId="77777777" w:rsidR="007105B3" w:rsidRDefault="007105B3" w:rsidP="00DE0F03">
      <w:pPr>
        <w:rPr>
          <w:rFonts w:ascii="Arial Black" w:hAnsi="Arial Black"/>
          <w:b/>
          <w:sz w:val="24"/>
          <w:szCs w:val="24"/>
        </w:rPr>
      </w:pPr>
    </w:p>
    <w:p w14:paraId="4C3DB92E" w14:textId="77777777" w:rsidR="007105B3" w:rsidRDefault="007105B3" w:rsidP="00DE0F03">
      <w:pPr>
        <w:rPr>
          <w:rFonts w:ascii="Arial Black" w:hAnsi="Arial Black"/>
          <w:b/>
          <w:sz w:val="24"/>
          <w:szCs w:val="24"/>
        </w:rPr>
      </w:pPr>
    </w:p>
    <w:p w14:paraId="789AB306" w14:textId="7A313150" w:rsidR="007105B3" w:rsidRDefault="007105B3" w:rsidP="00DE0F03">
      <w:pPr>
        <w:rPr>
          <w:rFonts w:ascii="Arial Black" w:hAnsi="Arial Black"/>
          <w:b/>
          <w:sz w:val="24"/>
          <w:szCs w:val="24"/>
        </w:rPr>
      </w:pPr>
      <w:r>
        <w:rPr>
          <w:rFonts w:ascii="Arial Black" w:hAnsi="Arial Black"/>
          <w:b/>
          <w:sz w:val="24"/>
          <w:szCs w:val="24"/>
        </w:rPr>
        <w:t>8-15</w:t>
      </w:r>
    </w:p>
    <w:p w14:paraId="091FC893" w14:textId="77777777" w:rsidR="007105B3" w:rsidRPr="005262A7" w:rsidRDefault="007105B3" w:rsidP="007105B3">
      <w:pPr>
        <w:pStyle w:val="NoSpacing"/>
        <w:rPr>
          <w:rFonts w:ascii="Arial Black" w:hAnsi="Arial Black"/>
          <w:sz w:val="28"/>
          <w:szCs w:val="28"/>
        </w:rPr>
      </w:pPr>
      <w:bookmarkStart w:id="322" w:name="_Hlk66948130"/>
      <w:r w:rsidRPr="005262A7">
        <w:rPr>
          <w:rFonts w:ascii="Arial Black" w:hAnsi="Arial Black"/>
          <w:sz w:val="28"/>
          <w:szCs w:val="28"/>
        </w:rPr>
        <w:t xml:space="preserve">TX: </w:t>
      </w:r>
      <w:r>
        <w:rPr>
          <w:rFonts w:ascii="Arial Black" w:hAnsi="Arial Black"/>
          <w:sz w:val="28"/>
          <w:szCs w:val="28"/>
        </w:rPr>
        <w:t xml:space="preserve">FEMALE, AFRICAN AMERICAN FF LAWSUIT FOR HOSTILE WORK ATMOSPHER – NOT FREQUENT, PERVASIVE  </w:t>
      </w:r>
    </w:p>
    <w:p w14:paraId="235E5EC2" w14:textId="77777777" w:rsidR="007105B3" w:rsidRPr="00DF6019" w:rsidRDefault="007105B3" w:rsidP="007105B3">
      <w:pPr>
        <w:spacing w:before="100" w:beforeAutospacing="1" w:after="100" w:afterAutospacing="1" w:line="240" w:lineRule="auto"/>
        <w:rPr>
          <w:rFonts w:ascii="Times New Roman" w:hAnsi="Times New Roman"/>
          <w:sz w:val="24"/>
          <w:szCs w:val="24"/>
        </w:rPr>
      </w:pPr>
      <w:r w:rsidRPr="005262A7">
        <w:rPr>
          <w:rFonts w:ascii="Times New Roman" w:hAnsi="Times New Roman"/>
          <w:sz w:val="24"/>
          <w:szCs w:val="24"/>
        </w:rPr>
        <w:t xml:space="preserve">On June 9, 2020, </w:t>
      </w:r>
      <w:r>
        <w:rPr>
          <w:rFonts w:ascii="Times New Roman" w:hAnsi="Times New Roman"/>
          <w:sz w:val="24"/>
          <w:szCs w:val="24"/>
        </w:rPr>
        <w:t xml:space="preserve">in </w:t>
      </w:r>
      <w:r w:rsidRPr="005262A7">
        <w:rPr>
          <w:rFonts w:ascii="Times New Roman" w:hAnsi="Times New Roman"/>
          <w:sz w:val="24"/>
          <w:szCs w:val="24"/>
          <w:u w:val="single"/>
        </w:rPr>
        <w:t>Carla West v. City of Houston, Texas</w:t>
      </w:r>
      <w:r>
        <w:rPr>
          <w:rFonts w:ascii="Times New Roman" w:hAnsi="Times New Roman"/>
          <w:sz w:val="24"/>
          <w:szCs w:val="24"/>
        </w:rPr>
        <w:t>, the U.S. Court of Appeals for the Fifth Circuit (New Orleans) held (3 to 0) that the U.S. District Court Judge properly granted summary judgment to the City. The Court wrote: “</w:t>
      </w:r>
      <w:r w:rsidRPr="00DF6019">
        <w:rPr>
          <w:rFonts w:ascii="Times New Roman" w:hAnsi="Times New Roman"/>
          <w:sz w:val="24"/>
          <w:szCs w:val="24"/>
        </w:rPr>
        <w:t>West seeks to impose Title VII liability on her employer because her coworkers passed gas at the dinner table; infrequently slept in their underwear at the station; made the occasional racially insensitive joke;</w:t>
      </w:r>
      <w:r>
        <w:rPr>
          <w:rFonts w:ascii="Times New Roman" w:hAnsi="Times New Roman"/>
          <w:sz w:val="24"/>
          <w:szCs w:val="24"/>
        </w:rPr>
        <w:t xml:space="preserve"> </w:t>
      </w:r>
      <w:r w:rsidRPr="00DF6019">
        <w:rPr>
          <w:rFonts w:ascii="Times New Roman" w:hAnsi="Times New Roman"/>
          <w:sz w:val="24"/>
          <w:szCs w:val="24"/>
        </w:rPr>
        <w:t>and brought adult magazines to the station. That is not severe or humiliating under the governing standards.</w:t>
      </w:r>
      <w:r>
        <w:rPr>
          <w:rFonts w:ascii="Times New Roman" w:hAnsi="Times New Roman"/>
          <w:sz w:val="24"/>
          <w:szCs w:val="24"/>
        </w:rPr>
        <w:t>”</w:t>
      </w:r>
      <w:r w:rsidRPr="00DF6019">
        <w:t xml:space="preserve"> </w:t>
      </w:r>
      <w:hyperlink r:id="rId1628" w:history="1">
        <w:r w:rsidRPr="005B0C9C">
          <w:rPr>
            <w:rStyle w:val="Hyperlink"/>
            <w:rFonts w:ascii="Times New Roman" w:hAnsi="Times New Roman"/>
            <w:sz w:val="24"/>
            <w:szCs w:val="24"/>
          </w:rPr>
          <w:t>http://www.ca5.uscourts.gov/opinions/pub/19/19-20294-CV0.pdf</w:t>
        </w:r>
      </w:hyperlink>
      <w:r>
        <w:rPr>
          <w:rFonts w:ascii="Times New Roman" w:hAnsi="Times New Roman"/>
          <w:sz w:val="24"/>
          <w:szCs w:val="24"/>
        </w:rPr>
        <w:t xml:space="preserve"> </w:t>
      </w:r>
    </w:p>
    <w:p w14:paraId="1069D835" w14:textId="77777777" w:rsidR="007105B3" w:rsidRDefault="007105B3" w:rsidP="007105B3">
      <w:pPr>
        <w:pStyle w:val="NoSpacing"/>
        <w:tabs>
          <w:tab w:val="left" w:pos="3180"/>
        </w:tabs>
        <w:rPr>
          <w:rFonts w:ascii="Times New Roman" w:hAnsi="Times New Roman"/>
          <w:b/>
          <w:bCs/>
          <w:sz w:val="24"/>
          <w:szCs w:val="24"/>
        </w:rPr>
      </w:pPr>
      <w:r w:rsidRPr="00DF6019">
        <w:rPr>
          <w:rFonts w:ascii="Times New Roman" w:hAnsi="Times New Roman"/>
          <w:b/>
          <w:bCs/>
          <w:sz w:val="24"/>
          <w:szCs w:val="24"/>
        </w:rPr>
        <w:lastRenderedPageBreak/>
        <w:t>Legal Lessons Learned:</w:t>
      </w:r>
      <w:r>
        <w:rPr>
          <w:rFonts w:ascii="Times New Roman" w:hAnsi="Times New Roman"/>
          <w:b/>
          <w:bCs/>
          <w:sz w:val="24"/>
          <w:szCs w:val="24"/>
        </w:rPr>
        <w:t xml:space="preserve"> Hostile work atmosphere requires proof of “severe or humiliating” atmosphere.  </w:t>
      </w:r>
    </w:p>
    <w:bookmarkEnd w:id="322"/>
    <w:p w14:paraId="479820B3" w14:textId="77777777" w:rsidR="007105B3" w:rsidRPr="00DF6019" w:rsidRDefault="007105B3" w:rsidP="007105B3">
      <w:pPr>
        <w:pStyle w:val="NoSpacing"/>
        <w:tabs>
          <w:tab w:val="left" w:pos="3180"/>
        </w:tabs>
        <w:rPr>
          <w:rFonts w:ascii="Times New Roman" w:hAnsi="Times New Roman"/>
          <w:sz w:val="24"/>
          <w:szCs w:val="24"/>
        </w:rPr>
      </w:pPr>
    </w:p>
    <w:p w14:paraId="322B5CC1" w14:textId="77777777" w:rsidR="007105B3" w:rsidRDefault="007105B3" w:rsidP="007105B3">
      <w:pPr>
        <w:pStyle w:val="NoSpacing"/>
        <w:ind w:left="720"/>
        <w:rPr>
          <w:rFonts w:ascii="Times New Roman" w:hAnsi="Times New Roman"/>
          <w:sz w:val="24"/>
          <w:szCs w:val="24"/>
        </w:rPr>
      </w:pPr>
      <w:r w:rsidRPr="00DF6019">
        <w:rPr>
          <w:rFonts w:ascii="Times New Roman" w:hAnsi="Times New Roman"/>
          <w:sz w:val="24"/>
          <w:szCs w:val="24"/>
        </w:rPr>
        <w:t xml:space="preserve">Note:  The U.S. Supreme Court in </w:t>
      </w:r>
      <w:r w:rsidRPr="00DF6019">
        <w:rPr>
          <w:rFonts w:ascii="Times New Roman" w:hAnsi="Times New Roman"/>
          <w:sz w:val="24"/>
          <w:szCs w:val="24"/>
          <w:u w:val="single"/>
        </w:rPr>
        <w:t>Faragher v. City of Boca Raton</w:t>
      </w:r>
      <w:r w:rsidRPr="00DF6019">
        <w:rPr>
          <w:rFonts w:ascii="Times New Roman" w:hAnsi="Times New Roman"/>
          <w:sz w:val="24"/>
          <w:szCs w:val="24"/>
        </w:rPr>
        <w:t>, 524 U.S. 775 (1998) made it clear that Title VII of the Civil Rights Act of 1964 does not impose a “general civility code” on employers. Faragher, 524 U.S. at 788 (quoting Oncale, 523 U.S. at 80).</w:t>
      </w:r>
      <w:r w:rsidRPr="00DF6019">
        <w:rPr>
          <w:rFonts w:ascii="Times New Roman" w:hAnsi="Times New Roman"/>
          <w:sz w:val="24"/>
          <w:szCs w:val="24"/>
        </w:rPr>
        <w:tab/>
      </w:r>
    </w:p>
    <w:p w14:paraId="73E3DA9B" w14:textId="77777777" w:rsidR="007105B3" w:rsidRDefault="007105B3" w:rsidP="00DE0F03">
      <w:pPr>
        <w:rPr>
          <w:rFonts w:ascii="Arial Black" w:hAnsi="Arial Black"/>
          <w:b/>
          <w:sz w:val="24"/>
          <w:szCs w:val="24"/>
        </w:rPr>
      </w:pPr>
    </w:p>
    <w:p w14:paraId="30343800" w14:textId="77777777" w:rsidR="007105B3" w:rsidRDefault="007105B3" w:rsidP="00DE0F03">
      <w:pPr>
        <w:rPr>
          <w:rFonts w:ascii="Arial Black" w:hAnsi="Arial Black"/>
          <w:b/>
          <w:sz w:val="24"/>
          <w:szCs w:val="24"/>
        </w:rPr>
      </w:pPr>
    </w:p>
    <w:p w14:paraId="002E08E5" w14:textId="074654EA" w:rsidR="002147DA" w:rsidRDefault="002147DA" w:rsidP="00DE0F03">
      <w:pPr>
        <w:rPr>
          <w:rFonts w:ascii="Arial Black" w:hAnsi="Arial Black"/>
          <w:b/>
          <w:sz w:val="24"/>
          <w:szCs w:val="24"/>
        </w:rPr>
      </w:pPr>
      <w:r>
        <w:rPr>
          <w:rFonts w:ascii="Arial Black" w:hAnsi="Arial Black"/>
          <w:b/>
          <w:sz w:val="24"/>
          <w:szCs w:val="24"/>
        </w:rPr>
        <w:t>8-1</w:t>
      </w:r>
      <w:r w:rsidR="005A395B">
        <w:rPr>
          <w:rFonts w:ascii="Arial Black" w:hAnsi="Arial Black"/>
          <w:b/>
          <w:sz w:val="24"/>
          <w:szCs w:val="24"/>
        </w:rPr>
        <w:t>4</w:t>
      </w:r>
    </w:p>
    <w:p w14:paraId="7D904459" w14:textId="77777777" w:rsidR="002147DA" w:rsidRPr="00746077" w:rsidRDefault="002147DA" w:rsidP="002147DA">
      <w:pPr>
        <w:pStyle w:val="NoSpacing"/>
        <w:rPr>
          <w:rFonts w:ascii="Arial Black" w:hAnsi="Arial Black"/>
          <w:b/>
          <w:bCs/>
          <w:sz w:val="28"/>
          <w:szCs w:val="28"/>
        </w:rPr>
      </w:pPr>
      <w:r w:rsidRPr="00746077">
        <w:rPr>
          <w:rFonts w:ascii="Arial Black" w:hAnsi="Arial Black"/>
          <w:bCs/>
          <w:sz w:val="28"/>
          <w:szCs w:val="28"/>
        </w:rPr>
        <w:t>NY:</w:t>
      </w:r>
      <w:r>
        <w:rPr>
          <w:rFonts w:ascii="Arial Black" w:hAnsi="Arial Black"/>
          <w:bCs/>
          <w:sz w:val="28"/>
          <w:szCs w:val="28"/>
        </w:rPr>
        <w:t xml:space="preserve"> FDNY – FF NOT PROMOTED (2015) – ALLEGED RETALIATION FOR EEOC CHARGE (2012) – DISMISSED</w:t>
      </w:r>
    </w:p>
    <w:p w14:paraId="229AF3C2" w14:textId="77777777" w:rsidR="002147DA" w:rsidRDefault="002147DA" w:rsidP="002147DA">
      <w:pPr>
        <w:pStyle w:val="NoSpacing"/>
        <w:rPr>
          <w:b/>
          <w:bCs/>
          <w:sz w:val="24"/>
          <w:szCs w:val="24"/>
        </w:rPr>
      </w:pPr>
    </w:p>
    <w:p w14:paraId="2D8622D5" w14:textId="77777777" w:rsidR="002147DA" w:rsidRPr="00AE3A49" w:rsidRDefault="002147DA" w:rsidP="002147DA">
      <w:pPr>
        <w:pStyle w:val="NoSpacing"/>
        <w:rPr>
          <w:rFonts w:ascii="Times New Roman" w:hAnsi="Times New Roman"/>
          <w:b/>
          <w:bCs/>
          <w:sz w:val="24"/>
          <w:szCs w:val="24"/>
        </w:rPr>
      </w:pPr>
      <w:r w:rsidRPr="00AE3A49">
        <w:rPr>
          <w:rFonts w:ascii="Times New Roman" w:hAnsi="Times New Roman"/>
          <w:bCs/>
          <w:sz w:val="24"/>
          <w:szCs w:val="24"/>
        </w:rPr>
        <w:t xml:space="preserve">On April 17, 2020, in </w:t>
      </w:r>
      <w:r w:rsidRPr="00AE3A49">
        <w:rPr>
          <w:rFonts w:ascii="Times New Roman" w:hAnsi="Times New Roman"/>
          <w:bCs/>
          <w:sz w:val="24"/>
          <w:szCs w:val="24"/>
          <w:u w:val="single"/>
        </w:rPr>
        <w:t xml:space="preserve">George Ful </w:t>
      </w:r>
      <w:proofErr w:type="spellStart"/>
      <w:r w:rsidRPr="00AE3A49">
        <w:rPr>
          <w:rFonts w:ascii="Times New Roman" w:hAnsi="Times New Roman"/>
          <w:bCs/>
          <w:sz w:val="24"/>
          <w:szCs w:val="24"/>
          <w:u w:val="single"/>
        </w:rPr>
        <w:t>Ninying</w:t>
      </w:r>
      <w:proofErr w:type="spellEnd"/>
      <w:r w:rsidRPr="00AE3A49">
        <w:rPr>
          <w:rFonts w:ascii="Times New Roman" w:hAnsi="Times New Roman"/>
          <w:bCs/>
          <w:sz w:val="24"/>
          <w:szCs w:val="24"/>
          <w:u w:val="single"/>
        </w:rPr>
        <w:t xml:space="preserve"> v. New York City Fire Department</w:t>
      </w:r>
      <w:r w:rsidRPr="00AE3A49">
        <w:rPr>
          <w:rFonts w:ascii="Times New Roman" w:hAnsi="Times New Roman"/>
          <w:bCs/>
          <w:sz w:val="24"/>
          <w:szCs w:val="24"/>
        </w:rPr>
        <w:t xml:space="preserve">, the U.S. Court of Appeals for the Second Circuit (New York City), held (3 to 0) in a Summary Order that the U.S. District Court judge had properly granted summary judgment to the City.   Plaintiff filed suit </w:t>
      </w:r>
      <w:r w:rsidRPr="00AE3A49">
        <w:rPr>
          <w:rFonts w:ascii="Times New Roman" w:hAnsi="Times New Roman"/>
          <w:bCs/>
          <w:i/>
          <w:iCs/>
          <w:sz w:val="24"/>
          <w:szCs w:val="24"/>
        </w:rPr>
        <w:t xml:space="preserve">pro se </w:t>
      </w:r>
      <w:r w:rsidRPr="00AE3A49">
        <w:rPr>
          <w:rFonts w:ascii="Times New Roman" w:hAnsi="Times New Roman"/>
          <w:bCs/>
          <w:sz w:val="24"/>
          <w:szCs w:val="24"/>
        </w:rPr>
        <w:t>(represented himself without an attorney in both trial court and on appeal).  Court of Appeals agreed with District Court judge, that plaintiff failed to allege facts to show that he would have been promoted in 2015, “but for” his having filed an EEOC complaint in 2012, and there was alleged facts support his claim of race discrimination because his wife is African-American and he is “Black Minority.”</w:t>
      </w:r>
    </w:p>
    <w:p w14:paraId="0DF3188D" w14:textId="77777777" w:rsidR="002147DA" w:rsidRPr="00AE3A49" w:rsidRDefault="002147DA" w:rsidP="002147DA">
      <w:pPr>
        <w:pStyle w:val="NoSpacing"/>
        <w:rPr>
          <w:rFonts w:ascii="Times New Roman" w:hAnsi="Times New Roman"/>
          <w:b/>
          <w:bCs/>
          <w:sz w:val="24"/>
          <w:szCs w:val="24"/>
        </w:rPr>
      </w:pPr>
    </w:p>
    <w:p w14:paraId="41F0B5A6" w14:textId="77777777" w:rsidR="002147DA" w:rsidRDefault="002147DA" w:rsidP="002147DA">
      <w:pPr>
        <w:pStyle w:val="NoSpacing"/>
        <w:ind w:left="720"/>
        <w:rPr>
          <w:rFonts w:ascii="Times New Roman" w:hAnsi="Times New Roman"/>
          <w:bCs/>
          <w:sz w:val="24"/>
          <w:szCs w:val="24"/>
        </w:rPr>
      </w:pPr>
      <w:r w:rsidRPr="00AE3A49">
        <w:rPr>
          <w:rFonts w:ascii="Times New Roman" w:hAnsi="Times New Roman"/>
          <w:bCs/>
          <w:sz w:val="24"/>
          <w:szCs w:val="24"/>
        </w:rPr>
        <w:t xml:space="preserve">“In order to plead a prima facie claim of retaliation under both Title VII and the ADEA, a plaintiff must allege that (1) he participated in a protected activity; (2) the employer knew of his protected activity; (3) he was subjected to an adverse employment action; and (4) there was a causal connection between the participation in the protected activity and the adverse employment action…. Here, too, </w:t>
      </w:r>
      <w:proofErr w:type="spellStart"/>
      <w:r w:rsidRPr="00AE3A49">
        <w:rPr>
          <w:rFonts w:ascii="Times New Roman" w:hAnsi="Times New Roman"/>
          <w:bCs/>
          <w:sz w:val="24"/>
          <w:szCs w:val="24"/>
        </w:rPr>
        <w:t>Ninying’s</w:t>
      </w:r>
      <w:proofErr w:type="spellEnd"/>
      <w:r w:rsidRPr="00AE3A49">
        <w:rPr>
          <w:rFonts w:ascii="Times New Roman" w:hAnsi="Times New Roman"/>
          <w:bCs/>
          <w:sz w:val="24"/>
          <w:szCs w:val="24"/>
        </w:rPr>
        <w:t xml:space="preserve"> conclusory</w:t>
      </w:r>
    </w:p>
    <w:p w14:paraId="4A757393" w14:textId="77777777" w:rsidR="002147DA" w:rsidRPr="00AE3A49" w:rsidRDefault="002147DA" w:rsidP="002147DA">
      <w:pPr>
        <w:pStyle w:val="NoSpacing"/>
        <w:ind w:left="720"/>
        <w:rPr>
          <w:rFonts w:ascii="Times New Roman" w:hAnsi="Times New Roman"/>
          <w:b/>
          <w:bCs/>
          <w:sz w:val="24"/>
          <w:szCs w:val="24"/>
        </w:rPr>
      </w:pPr>
      <w:r w:rsidRPr="00AE3A49">
        <w:rPr>
          <w:rFonts w:ascii="Times New Roman" w:hAnsi="Times New Roman"/>
          <w:bCs/>
          <w:sz w:val="24"/>
          <w:szCs w:val="24"/>
        </w:rPr>
        <w:t xml:space="preserve">allegation fails to state a retaliation claim under either the ADEA or Title VII, both of which required him to allege that his protected activity was the but-for cause of the adverse employment action. See Univ. of Tex. Sw. Med. Ctr. v. Nassar, 570 US. 338, 360, 362–63 (2013) (holding that unlike other Title VII claims, Title VII retaliation claims must be proved according to ‘traditional principles’ of but-for causation). Nor did </w:t>
      </w:r>
      <w:proofErr w:type="spellStart"/>
      <w:r w:rsidRPr="00AE3A49">
        <w:rPr>
          <w:rFonts w:ascii="Times New Roman" w:hAnsi="Times New Roman"/>
          <w:bCs/>
          <w:sz w:val="24"/>
          <w:szCs w:val="24"/>
        </w:rPr>
        <w:t>Ninying’s</w:t>
      </w:r>
      <w:proofErr w:type="spellEnd"/>
      <w:r w:rsidRPr="00AE3A49">
        <w:rPr>
          <w:rFonts w:ascii="Times New Roman" w:hAnsi="Times New Roman"/>
          <w:bCs/>
          <w:sz w:val="24"/>
          <w:szCs w:val="24"/>
        </w:rPr>
        <w:t xml:space="preserve"> allegation that he was retaliated against in 2015 for filing a 2012 EEOC complaint allege the requisite causation.”</w:t>
      </w:r>
    </w:p>
    <w:p w14:paraId="16DFB92E" w14:textId="77777777" w:rsidR="002147DA" w:rsidRPr="00AE3A49" w:rsidRDefault="002147DA" w:rsidP="002147DA">
      <w:pPr>
        <w:pStyle w:val="NoSpacing"/>
        <w:ind w:left="720"/>
        <w:rPr>
          <w:rFonts w:ascii="Times New Roman" w:eastAsia="Times New Roman" w:hAnsi="Times New Roman"/>
          <w:b/>
          <w:bCs/>
          <w:sz w:val="24"/>
          <w:szCs w:val="24"/>
        </w:rPr>
      </w:pPr>
      <w:hyperlink r:id="rId1629" w:anchor="xml=http://www.ca2.uscourts.gov/decisions/isysquery/83382276-eb3d-4d56-b5fe-4596b6d0f64b/1/hilite/" w:history="1">
        <w:r w:rsidRPr="00AE3A49">
          <w:rPr>
            <w:rStyle w:val="Hyperlink"/>
            <w:rFonts w:ascii="Times New Roman" w:hAnsi="Times New Roman"/>
            <w:b/>
            <w:sz w:val="24"/>
            <w:szCs w:val="24"/>
          </w:rPr>
          <w:t>http://www.ca2.uscourts.gov/decisions/isysquery/83382276-eb3d-4d56-b5fe-4596b6d0f64b/1/doc/19-1265_so.pdf#xml=http://www.ca2.uscourts.gov/decisions/isysquery/83382276-eb3d-4d56-b5fe-4596b6d0f64b/1/hilite/</w:t>
        </w:r>
      </w:hyperlink>
      <w:r w:rsidRPr="00AE3A49">
        <w:rPr>
          <w:rFonts w:ascii="Times New Roman" w:hAnsi="Times New Roman"/>
          <w:bCs/>
          <w:sz w:val="24"/>
          <w:szCs w:val="24"/>
        </w:rPr>
        <w:t xml:space="preserve"> </w:t>
      </w:r>
    </w:p>
    <w:p w14:paraId="1D379888" w14:textId="4C635AC2" w:rsidR="002147DA" w:rsidRDefault="002147DA" w:rsidP="00DE0F03">
      <w:pPr>
        <w:rPr>
          <w:rFonts w:ascii="Arial Black" w:hAnsi="Arial Black"/>
          <w:b/>
          <w:sz w:val="24"/>
          <w:szCs w:val="24"/>
        </w:rPr>
      </w:pPr>
    </w:p>
    <w:p w14:paraId="2BD0CAFF" w14:textId="77777777" w:rsidR="002147DA" w:rsidRPr="00AE3A49" w:rsidRDefault="002147DA" w:rsidP="002147DA">
      <w:pPr>
        <w:pStyle w:val="NoSpacing"/>
        <w:rPr>
          <w:rFonts w:ascii="Times New Roman" w:hAnsi="Times New Roman"/>
          <w:b/>
          <w:bCs/>
          <w:sz w:val="24"/>
          <w:szCs w:val="24"/>
        </w:rPr>
      </w:pPr>
      <w:r w:rsidRPr="00AE3A49">
        <w:rPr>
          <w:rFonts w:ascii="Times New Roman" w:hAnsi="Times New Roman"/>
          <w:b/>
          <w:bCs/>
          <w:sz w:val="24"/>
          <w:szCs w:val="24"/>
        </w:rPr>
        <w:t xml:space="preserve">Legal Lessons Learned: Plaintiff also alleged race discrimination based on his wife’s race, and that he is a “Black Minority.” </w:t>
      </w:r>
    </w:p>
    <w:p w14:paraId="04086C7C" w14:textId="77777777" w:rsidR="002147DA" w:rsidRPr="00AE3A49" w:rsidRDefault="002147DA" w:rsidP="002147DA">
      <w:pPr>
        <w:pStyle w:val="NoSpacing"/>
        <w:ind w:left="720"/>
        <w:rPr>
          <w:rFonts w:ascii="Times New Roman" w:hAnsi="Times New Roman"/>
          <w:sz w:val="24"/>
          <w:szCs w:val="24"/>
        </w:rPr>
      </w:pPr>
    </w:p>
    <w:p w14:paraId="52368E56" w14:textId="77777777" w:rsidR="002147DA" w:rsidRPr="00AE3A49" w:rsidRDefault="002147DA" w:rsidP="002147DA">
      <w:pPr>
        <w:pStyle w:val="NoSpacing"/>
        <w:ind w:left="1440"/>
        <w:rPr>
          <w:rFonts w:ascii="Times New Roman" w:hAnsi="Times New Roman"/>
          <w:b/>
          <w:bCs/>
          <w:sz w:val="24"/>
          <w:szCs w:val="24"/>
        </w:rPr>
      </w:pPr>
      <w:r w:rsidRPr="00AE3A49">
        <w:rPr>
          <w:rFonts w:ascii="Times New Roman" w:hAnsi="Times New Roman"/>
          <w:bCs/>
          <w:sz w:val="24"/>
          <w:szCs w:val="24"/>
        </w:rPr>
        <w:t>Note:</w:t>
      </w:r>
      <w:r w:rsidRPr="00AE3A49">
        <w:rPr>
          <w:rFonts w:ascii="Times New Roman" w:hAnsi="Times New Roman"/>
          <w:sz w:val="24"/>
          <w:szCs w:val="24"/>
        </w:rPr>
        <w:t xml:space="preserve"> </w:t>
      </w:r>
      <w:r w:rsidRPr="00AE3A49">
        <w:rPr>
          <w:rFonts w:ascii="Times New Roman" w:hAnsi="Times New Roman"/>
          <w:bCs/>
          <w:sz w:val="24"/>
          <w:szCs w:val="24"/>
        </w:rPr>
        <w:t>Court wrote:</w:t>
      </w:r>
      <w:r w:rsidRPr="00AE3A49">
        <w:rPr>
          <w:rFonts w:ascii="Times New Roman" w:hAnsi="Times New Roman"/>
          <w:sz w:val="24"/>
          <w:szCs w:val="24"/>
        </w:rPr>
        <w:t xml:space="preserve"> “</w:t>
      </w:r>
      <w:proofErr w:type="spellStart"/>
      <w:r w:rsidRPr="00AE3A49">
        <w:rPr>
          <w:rFonts w:ascii="Times New Roman" w:hAnsi="Times New Roman"/>
          <w:bCs/>
          <w:sz w:val="24"/>
          <w:szCs w:val="24"/>
        </w:rPr>
        <w:t>Ninying</w:t>
      </w:r>
      <w:proofErr w:type="spellEnd"/>
      <w:r w:rsidRPr="00AE3A49">
        <w:rPr>
          <w:rFonts w:ascii="Times New Roman" w:hAnsi="Times New Roman"/>
          <w:bCs/>
          <w:sz w:val="24"/>
          <w:szCs w:val="24"/>
        </w:rPr>
        <w:t xml:space="preserve"> asserts that he was discriminated against because his wife is African American and he is a ‘Black Minority,’ but he does not allege any facts relating his protected status to his failure to be promoted….  And though </w:t>
      </w:r>
      <w:proofErr w:type="spellStart"/>
      <w:r w:rsidRPr="00AE3A49">
        <w:rPr>
          <w:rFonts w:ascii="Times New Roman" w:hAnsi="Times New Roman"/>
          <w:bCs/>
          <w:sz w:val="24"/>
          <w:szCs w:val="24"/>
        </w:rPr>
        <w:t>Ninying</w:t>
      </w:r>
      <w:proofErr w:type="spellEnd"/>
      <w:r w:rsidRPr="00AE3A49">
        <w:rPr>
          <w:rFonts w:ascii="Times New Roman" w:hAnsi="Times New Roman"/>
          <w:bCs/>
          <w:sz w:val="24"/>
          <w:szCs w:val="24"/>
        </w:rPr>
        <w:t xml:space="preserve"> alleges that he is fluent in French because of his national origin, he has neither identified his national origin nor alleged that he faced discrimination because of it.”</w:t>
      </w:r>
    </w:p>
    <w:p w14:paraId="11FF696A" w14:textId="77777777" w:rsidR="002147DA" w:rsidRPr="00AE3A49" w:rsidRDefault="002147DA" w:rsidP="002147DA">
      <w:pPr>
        <w:pStyle w:val="NoSpacing"/>
        <w:rPr>
          <w:rFonts w:ascii="Times New Roman" w:hAnsi="Times New Roman"/>
          <w:sz w:val="24"/>
          <w:szCs w:val="24"/>
        </w:rPr>
      </w:pPr>
    </w:p>
    <w:p w14:paraId="1A9D9E5B" w14:textId="77777777" w:rsidR="002147DA" w:rsidRDefault="002147DA" w:rsidP="00DE0F03">
      <w:pPr>
        <w:rPr>
          <w:rFonts w:ascii="Arial Black" w:hAnsi="Arial Black"/>
          <w:b/>
          <w:sz w:val="24"/>
          <w:szCs w:val="24"/>
        </w:rPr>
      </w:pPr>
    </w:p>
    <w:p w14:paraId="0EE7A1E6" w14:textId="77777777" w:rsidR="002147DA" w:rsidRDefault="002147DA" w:rsidP="00DE0F03">
      <w:pPr>
        <w:rPr>
          <w:rFonts w:ascii="Arial Black" w:hAnsi="Arial Black"/>
          <w:b/>
          <w:sz w:val="24"/>
          <w:szCs w:val="24"/>
        </w:rPr>
      </w:pPr>
    </w:p>
    <w:p w14:paraId="55FF21E3" w14:textId="45961FFC" w:rsidR="007540BD" w:rsidRDefault="0066298F" w:rsidP="00DE0F03">
      <w:pPr>
        <w:rPr>
          <w:rFonts w:ascii="Arial Black" w:hAnsi="Arial Black"/>
          <w:b/>
          <w:sz w:val="24"/>
          <w:szCs w:val="24"/>
        </w:rPr>
      </w:pPr>
      <w:r>
        <w:rPr>
          <w:rFonts w:ascii="Arial Black" w:hAnsi="Arial Black"/>
          <w:b/>
          <w:sz w:val="24"/>
          <w:szCs w:val="24"/>
        </w:rPr>
        <w:t>8-1</w:t>
      </w:r>
      <w:r w:rsidR="005A395B">
        <w:rPr>
          <w:rFonts w:ascii="Arial Black" w:hAnsi="Arial Black"/>
          <w:b/>
          <w:sz w:val="24"/>
          <w:szCs w:val="24"/>
        </w:rPr>
        <w:t>3</w:t>
      </w:r>
    </w:p>
    <w:p w14:paraId="79365E88" w14:textId="77777777" w:rsidR="0066298F" w:rsidRDefault="0066298F" w:rsidP="0066298F">
      <w:pPr>
        <w:pStyle w:val="NoSpacing"/>
        <w:rPr>
          <w:rFonts w:ascii="Arial Black" w:hAnsi="Arial Black" w:cs="Arial"/>
          <w:sz w:val="28"/>
          <w:szCs w:val="28"/>
        </w:rPr>
      </w:pPr>
      <w:bookmarkStart w:id="323" w:name="_Hlk39764972"/>
      <w:r w:rsidRPr="00F2368F">
        <w:rPr>
          <w:rFonts w:ascii="Arial Black" w:hAnsi="Arial Black"/>
          <w:sz w:val="28"/>
          <w:szCs w:val="28"/>
        </w:rPr>
        <w:t xml:space="preserve">FL: </w:t>
      </w:r>
      <w:r>
        <w:rPr>
          <w:rFonts w:ascii="Arial Black" w:hAnsi="Arial Black"/>
          <w:sz w:val="28"/>
          <w:szCs w:val="28"/>
        </w:rPr>
        <w:t xml:space="preserve"> FIRED LT. SETTLEMENT – REHIRED, BUT NOT TO TRAINING DIV. – RETIREMENT $ NOT REPAID – $36,663 JURY VERDICT SET ASIDE</w:t>
      </w:r>
    </w:p>
    <w:p w14:paraId="35D57268" w14:textId="77777777" w:rsidR="0066298F" w:rsidRDefault="0066298F" w:rsidP="0066298F">
      <w:pPr>
        <w:pStyle w:val="NoSpacing"/>
        <w:rPr>
          <w:rFonts w:ascii="Arial Black" w:hAnsi="Arial Black" w:cs="Arial"/>
          <w:sz w:val="28"/>
          <w:szCs w:val="28"/>
        </w:rPr>
      </w:pPr>
    </w:p>
    <w:p w14:paraId="5892C1F1" w14:textId="77777777" w:rsidR="0066298F" w:rsidRPr="00665BD0" w:rsidRDefault="0066298F" w:rsidP="0066298F">
      <w:pPr>
        <w:pStyle w:val="NoSpacing"/>
        <w:rPr>
          <w:rFonts w:ascii="Times New Roman" w:hAnsi="Times New Roman"/>
          <w:b/>
          <w:bCs/>
          <w:sz w:val="24"/>
          <w:szCs w:val="24"/>
        </w:rPr>
      </w:pPr>
      <w:r w:rsidRPr="00665BD0">
        <w:rPr>
          <w:rFonts w:ascii="Times New Roman" w:hAnsi="Times New Roman"/>
          <w:bCs/>
          <w:sz w:val="24"/>
          <w:szCs w:val="24"/>
        </w:rPr>
        <w:t xml:space="preserve">On March 27, 2020, in </w:t>
      </w:r>
      <w:r w:rsidRPr="00665BD0">
        <w:rPr>
          <w:rFonts w:ascii="Times New Roman" w:hAnsi="Times New Roman"/>
          <w:bCs/>
          <w:sz w:val="24"/>
          <w:szCs w:val="24"/>
          <w:u w:val="single"/>
        </w:rPr>
        <w:t>Orange County, FL v. Stacey Mclean</w:t>
      </w:r>
      <w:r w:rsidRPr="00665BD0">
        <w:rPr>
          <w:rFonts w:ascii="Times New Roman" w:hAnsi="Times New Roman"/>
          <w:bCs/>
          <w:sz w:val="24"/>
          <w:szCs w:val="24"/>
        </w:rPr>
        <w:t xml:space="preserve">, the District Court of Appeal of the State of Florida, Fifth District, held (3 to 0) that trial judge should have granted county’s motion for a directed verdict and set aside the jury’s verdict. Internal investigation in 2013 of improper recording hours worked – 56 disciplined; in 2014, County fired 3 </w:t>
      </w:r>
      <w:proofErr w:type="gramStart"/>
      <w:r w:rsidRPr="00665BD0">
        <w:rPr>
          <w:rFonts w:ascii="Times New Roman" w:hAnsi="Times New Roman"/>
          <w:bCs/>
          <w:sz w:val="24"/>
          <w:szCs w:val="24"/>
        </w:rPr>
        <w:t>African-American</w:t>
      </w:r>
      <w:proofErr w:type="gramEnd"/>
      <w:r w:rsidRPr="00665BD0">
        <w:rPr>
          <w:rFonts w:ascii="Times New Roman" w:hAnsi="Times New Roman"/>
          <w:bCs/>
          <w:sz w:val="24"/>
          <w:szCs w:val="24"/>
        </w:rPr>
        <w:t xml:space="preserve"> males, including Plaintiff (Lt. in Training Division). He sued in 2015 for race discrimination; County settled lawsuit, returned him to work [but no openings in Training Division] and paid him back wages.  State Board of Administration [retirement fund] ordered him to re-pay retirement funds he withdrew in 2014; he refused and </w:t>
      </w:r>
      <w:proofErr w:type="gramStart"/>
      <w:r w:rsidRPr="00665BD0">
        <w:rPr>
          <w:rFonts w:ascii="Times New Roman" w:hAnsi="Times New Roman"/>
          <w:bCs/>
          <w:sz w:val="24"/>
          <w:szCs w:val="24"/>
        </w:rPr>
        <w:t>was</w:t>
      </w:r>
      <w:proofErr w:type="gramEnd"/>
      <w:r w:rsidRPr="00665BD0">
        <w:rPr>
          <w:rFonts w:ascii="Times New Roman" w:hAnsi="Times New Roman"/>
          <w:bCs/>
          <w:sz w:val="24"/>
          <w:szCs w:val="24"/>
        </w:rPr>
        <w:t xml:space="preserve"> forced him to retire or FD would be dropped from the retirement fund.  He sued and jury awarded him $36,663.  </w:t>
      </w:r>
    </w:p>
    <w:p w14:paraId="1127234E" w14:textId="77777777" w:rsidR="0066298F" w:rsidRPr="00665BD0" w:rsidRDefault="0066298F" w:rsidP="0066298F">
      <w:pPr>
        <w:pStyle w:val="NoSpacing"/>
        <w:rPr>
          <w:rFonts w:ascii="Times New Roman" w:hAnsi="Times New Roman"/>
          <w:b/>
          <w:bCs/>
          <w:sz w:val="24"/>
          <w:szCs w:val="24"/>
        </w:rPr>
      </w:pPr>
    </w:p>
    <w:p w14:paraId="25821844"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 xml:space="preserve">“Here, the trial evidence established that the County met its burden. The County showed that it had a legitimate reason to comply with the SBA’s order when it required McLean to retire after he failed to reimburse his FRS account </w:t>
      </w:r>
      <w:proofErr w:type="gramStart"/>
      <w:r w:rsidRPr="00665BD0">
        <w:rPr>
          <w:rFonts w:ascii="Times New Roman" w:hAnsi="Times New Roman"/>
          <w:bCs/>
          <w:sz w:val="24"/>
          <w:szCs w:val="24"/>
        </w:rPr>
        <w:t>so as to</w:t>
      </w:r>
      <w:proofErr w:type="gramEnd"/>
      <w:r w:rsidRPr="00665BD0">
        <w:rPr>
          <w:rFonts w:ascii="Times New Roman" w:hAnsi="Times New Roman"/>
          <w:bCs/>
          <w:sz w:val="24"/>
          <w:szCs w:val="24"/>
        </w:rPr>
        <w:t xml:space="preserve"> not jeopardize its own continued participation in the FRS. Second, the County demonstrated that there were no vacancies or openings in the Training Division at the time McLean was reinstated.</w:t>
      </w:r>
    </w:p>
    <w:p w14:paraId="0AE9B3A3" w14:textId="77777777" w:rsidR="0066298F" w:rsidRPr="00665BD0" w:rsidRDefault="0066298F" w:rsidP="0066298F">
      <w:pPr>
        <w:pStyle w:val="NoSpacing"/>
        <w:ind w:left="720"/>
        <w:rPr>
          <w:rFonts w:ascii="Times New Roman" w:hAnsi="Times New Roman"/>
          <w:b/>
          <w:bCs/>
          <w:sz w:val="24"/>
          <w:szCs w:val="24"/>
        </w:rPr>
      </w:pPr>
    </w:p>
    <w:p w14:paraId="429D19E7"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w:t>
      </w:r>
    </w:p>
    <w:p w14:paraId="1FF79AC5"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McLean’s explanation that he expected to return to the Training Division, despite the County having no obligation under the settlement agreement to do so, without more, did not rise to an evidentiary level to allow the jury to decide whether the County’s reason here was pretextual.”</w:t>
      </w:r>
    </w:p>
    <w:p w14:paraId="527080A2" w14:textId="53CD9915" w:rsidR="0066298F" w:rsidRDefault="0066298F" w:rsidP="0066298F">
      <w:pPr>
        <w:rPr>
          <w:rStyle w:val="Hyperlink"/>
          <w:rFonts w:ascii="Times New Roman" w:hAnsi="Times New Roman"/>
          <w:b/>
          <w:sz w:val="24"/>
          <w:szCs w:val="24"/>
        </w:rPr>
      </w:pPr>
      <w:hyperlink r:id="rId1630" w:history="1">
        <w:r w:rsidRPr="00665BD0">
          <w:rPr>
            <w:rStyle w:val="Hyperlink"/>
            <w:rFonts w:ascii="Times New Roman" w:hAnsi="Times New Roman"/>
            <w:b/>
            <w:sz w:val="24"/>
            <w:szCs w:val="24"/>
          </w:rPr>
          <w:t>https://www.5dca.org/content/download/632688/7189187/file/183494_DC13_03272020_081652_i.pdf</w:t>
        </w:r>
      </w:hyperlink>
    </w:p>
    <w:p w14:paraId="577A308E" w14:textId="77777777" w:rsidR="0066298F" w:rsidRPr="00665BD0" w:rsidRDefault="0066298F" w:rsidP="0066298F">
      <w:pPr>
        <w:pStyle w:val="NoSpacing"/>
        <w:rPr>
          <w:rFonts w:ascii="Times New Roman" w:hAnsi="Times New Roman"/>
          <w:b/>
          <w:bCs/>
          <w:sz w:val="24"/>
          <w:szCs w:val="24"/>
        </w:rPr>
      </w:pPr>
      <w:bookmarkStart w:id="324" w:name="_Hlk40511406"/>
      <w:bookmarkEnd w:id="323"/>
      <w:r w:rsidRPr="00665BD0">
        <w:rPr>
          <w:rFonts w:ascii="Times New Roman" w:hAnsi="Times New Roman"/>
          <w:b/>
          <w:bCs/>
          <w:sz w:val="24"/>
          <w:szCs w:val="24"/>
        </w:rPr>
        <w:t xml:space="preserve">Legal Lesson Learned: When negotiating a return-to-work agreement, </w:t>
      </w:r>
      <w:r>
        <w:rPr>
          <w:rFonts w:ascii="Times New Roman" w:hAnsi="Times New Roman"/>
          <w:b/>
          <w:bCs/>
          <w:sz w:val="24"/>
          <w:szCs w:val="24"/>
        </w:rPr>
        <w:t xml:space="preserve">consider </w:t>
      </w:r>
      <w:r w:rsidRPr="00665BD0">
        <w:rPr>
          <w:rFonts w:ascii="Times New Roman" w:hAnsi="Times New Roman"/>
          <w:b/>
          <w:bCs/>
          <w:sz w:val="24"/>
          <w:szCs w:val="24"/>
        </w:rPr>
        <w:t>includ</w:t>
      </w:r>
      <w:r>
        <w:rPr>
          <w:rFonts w:ascii="Times New Roman" w:hAnsi="Times New Roman"/>
          <w:b/>
          <w:bCs/>
          <w:sz w:val="24"/>
          <w:szCs w:val="24"/>
        </w:rPr>
        <w:t>ing</w:t>
      </w:r>
      <w:r w:rsidRPr="00665BD0">
        <w:rPr>
          <w:rFonts w:ascii="Times New Roman" w:hAnsi="Times New Roman"/>
          <w:b/>
          <w:bCs/>
          <w:sz w:val="24"/>
          <w:szCs w:val="24"/>
        </w:rPr>
        <w:t xml:space="preserve"> a provision regarding the position to which the employee will be returning. </w:t>
      </w:r>
    </w:p>
    <w:bookmarkEnd w:id="324"/>
    <w:p w14:paraId="11769C1D" w14:textId="05A597B9" w:rsidR="0066298F" w:rsidRDefault="0066298F" w:rsidP="0066298F">
      <w:pPr>
        <w:rPr>
          <w:rStyle w:val="Hyperlink"/>
          <w:rFonts w:ascii="Times New Roman" w:hAnsi="Times New Roman"/>
          <w:b/>
          <w:sz w:val="24"/>
          <w:szCs w:val="24"/>
        </w:rPr>
      </w:pPr>
      <w:r>
        <w:rPr>
          <w:rStyle w:val="Hyperlink"/>
          <w:rFonts w:ascii="Times New Roman" w:hAnsi="Times New Roman"/>
          <w:b/>
          <w:sz w:val="24"/>
          <w:szCs w:val="24"/>
        </w:rPr>
        <w:t xml:space="preserve"> </w:t>
      </w:r>
    </w:p>
    <w:p w14:paraId="2521E7F1" w14:textId="20CBD6A1" w:rsidR="0066298F" w:rsidRDefault="0066298F" w:rsidP="0066298F">
      <w:pPr>
        <w:rPr>
          <w:rStyle w:val="Hyperlink"/>
          <w:rFonts w:ascii="Times New Roman" w:hAnsi="Times New Roman"/>
          <w:b/>
          <w:sz w:val="24"/>
          <w:szCs w:val="24"/>
        </w:rPr>
      </w:pPr>
    </w:p>
    <w:p w14:paraId="46F59C4E" w14:textId="77777777" w:rsidR="0066298F" w:rsidRDefault="0066298F" w:rsidP="0066298F">
      <w:pPr>
        <w:rPr>
          <w:rFonts w:ascii="Arial Black" w:hAnsi="Arial Black"/>
          <w:b/>
          <w:sz w:val="24"/>
          <w:szCs w:val="24"/>
        </w:rPr>
      </w:pPr>
    </w:p>
    <w:p w14:paraId="73A3A442" w14:textId="3373BAD7" w:rsidR="007540BD" w:rsidRDefault="007540BD" w:rsidP="00DE0F03">
      <w:pPr>
        <w:rPr>
          <w:rFonts w:ascii="Arial Black" w:hAnsi="Arial Black"/>
          <w:b/>
          <w:sz w:val="24"/>
          <w:szCs w:val="24"/>
        </w:rPr>
      </w:pPr>
      <w:r>
        <w:rPr>
          <w:rFonts w:ascii="Arial Black" w:hAnsi="Arial Black"/>
          <w:b/>
          <w:sz w:val="24"/>
          <w:szCs w:val="24"/>
        </w:rPr>
        <w:t>8-1</w:t>
      </w:r>
      <w:r w:rsidR="005A395B">
        <w:rPr>
          <w:rFonts w:ascii="Arial Black" w:hAnsi="Arial Black"/>
          <w:b/>
          <w:sz w:val="24"/>
          <w:szCs w:val="24"/>
        </w:rPr>
        <w:t>2</w:t>
      </w:r>
    </w:p>
    <w:p w14:paraId="63EF009E" w14:textId="77777777" w:rsidR="007540BD" w:rsidRDefault="007540BD" w:rsidP="007540BD">
      <w:pPr>
        <w:pStyle w:val="NoSpacing"/>
        <w:rPr>
          <w:rFonts w:eastAsia="Times New Roman"/>
          <w:bCs/>
          <w:sz w:val="24"/>
          <w:szCs w:val="24"/>
        </w:rPr>
      </w:pPr>
      <w:bookmarkStart w:id="325" w:name="_Hlk39818670"/>
      <w:r w:rsidRPr="000F0816">
        <w:rPr>
          <w:rFonts w:ascii="Arial Black" w:hAnsi="Arial Black"/>
          <w:sz w:val="28"/>
          <w:szCs w:val="28"/>
        </w:rPr>
        <w:t>U.S. SUP</w:t>
      </w:r>
      <w:r>
        <w:rPr>
          <w:rFonts w:ascii="Arial Black" w:hAnsi="Arial Black"/>
          <w:sz w:val="28"/>
          <w:szCs w:val="28"/>
        </w:rPr>
        <w:t xml:space="preserve">REME COURT: BLACK-OWNED MEDIA COMPANY DENIED CONTRACT - </w:t>
      </w:r>
      <w:r w:rsidRPr="000F0816">
        <w:rPr>
          <w:rFonts w:ascii="Arial Black" w:hAnsi="Arial Black"/>
          <w:sz w:val="28"/>
          <w:szCs w:val="28"/>
        </w:rPr>
        <w:t xml:space="preserve">MUST </w:t>
      </w:r>
      <w:r>
        <w:rPr>
          <w:rFonts w:ascii="Arial Black" w:hAnsi="Arial Black"/>
          <w:sz w:val="28"/>
          <w:szCs w:val="28"/>
        </w:rPr>
        <w:t xml:space="preserve">PROVE </w:t>
      </w:r>
      <w:r w:rsidRPr="000F0816">
        <w:rPr>
          <w:rFonts w:ascii="Arial Black" w:hAnsi="Arial Black"/>
          <w:sz w:val="28"/>
          <w:szCs w:val="28"/>
        </w:rPr>
        <w:t>“BUT FOR</w:t>
      </w:r>
      <w:r>
        <w:rPr>
          <w:rFonts w:ascii="Arial Black" w:hAnsi="Arial Black"/>
          <w:sz w:val="28"/>
          <w:szCs w:val="28"/>
        </w:rPr>
        <w:t xml:space="preserve">” RACE WOULD HAVE RECEIVED </w:t>
      </w:r>
    </w:p>
    <w:p w14:paraId="62F790FA" w14:textId="77777777" w:rsidR="007540BD" w:rsidRDefault="007540BD" w:rsidP="007540BD">
      <w:pPr>
        <w:pStyle w:val="NoSpacing"/>
        <w:rPr>
          <w:rFonts w:eastAsia="Times New Roman"/>
          <w:bCs/>
          <w:sz w:val="24"/>
          <w:szCs w:val="24"/>
        </w:rPr>
      </w:pPr>
    </w:p>
    <w:p w14:paraId="4E81B005" w14:textId="77777777" w:rsidR="007540BD" w:rsidRDefault="007540BD" w:rsidP="007540BD">
      <w:pPr>
        <w:pStyle w:val="NoSpacing"/>
        <w:rPr>
          <w:rFonts w:ascii="Times New Roman" w:hAnsi="Times New Roman"/>
          <w:bCs/>
          <w:sz w:val="24"/>
          <w:szCs w:val="24"/>
        </w:rPr>
      </w:pPr>
      <w:r w:rsidRPr="00665BD0">
        <w:rPr>
          <w:rFonts w:ascii="Times New Roman" w:eastAsia="Times New Roman" w:hAnsi="Times New Roman"/>
          <w:sz w:val="24"/>
          <w:szCs w:val="24"/>
        </w:rPr>
        <w:t xml:space="preserve">On </w:t>
      </w:r>
      <w:bookmarkStart w:id="326" w:name="_Hlk39837192"/>
      <w:r w:rsidRPr="00665BD0">
        <w:rPr>
          <w:rFonts w:ascii="Times New Roman" w:eastAsia="Times New Roman" w:hAnsi="Times New Roman"/>
          <w:sz w:val="24"/>
          <w:szCs w:val="24"/>
        </w:rPr>
        <w:t xml:space="preserve">March 23, 2020, in </w:t>
      </w:r>
      <w:r w:rsidRPr="00665BD0">
        <w:rPr>
          <w:rFonts w:ascii="Times New Roman" w:eastAsia="Times New Roman" w:hAnsi="Times New Roman"/>
          <w:sz w:val="24"/>
          <w:szCs w:val="24"/>
          <w:u w:val="single"/>
        </w:rPr>
        <w:t xml:space="preserve">Comcast Corp. v. National Association </w:t>
      </w:r>
      <w:proofErr w:type="gramStart"/>
      <w:r w:rsidRPr="00665BD0">
        <w:rPr>
          <w:rFonts w:ascii="Times New Roman" w:eastAsia="Times New Roman" w:hAnsi="Times New Roman"/>
          <w:sz w:val="24"/>
          <w:szCs w:val="24"/>
          <w:u w:val="single"/>
        </w:rPr>
        <w:t>Of</w:t>
      </w:r>
      <w:proofErr w:type="gramEnd"/>
      <w:r w:rsidRPr="00665BD0">
        <w:rPr>
          <w:rFonts w:ascii="Times New Roman" w:eastAsia="Times New Roman" w:hAnsi="Times New Roman"/>
          <w:sz w:val="24"/>
          <w:szCs w:val="24"/>
          <w:u w:val="single"/>
        </w:rPr>
        <w:t xml:space="preserve"> African American-Owned Media, et al</w:t>
      </w:r>
      <w:bookmarkEnd w:id="326"/>
      <w:r w:rsidRPr="00665BD0">
        <w:rPr>
          <w:rFonts w:ascii="Times New Roman" w:eastAsia="Times New Roman" w:hAnsi="Times New Roman"/>
          <w:sz w:val="24"/>
          <w:szCs w:val="24"/>
          <w:u w:val="single"/>
        </w:rPr>
        <w:t>.,</w:t>
      </w:r>
      <w:r w:rsidRPr="00665BD0">
        <w:rPr>
          <w:rFonts w:ascii="Times New Roman" w:eastAsia="Times New Roman" w:hAnsi="Times New Roman"/>
          <w:sz w:val="24"/>
          <w:szCs w:val="24"/>
        </w:rPr>
        <w:t xml:space="preserve">  the U.S. Supreme Court unanimously held (9 to 0) that the plaintiff, </w:t>
      </w:r>
      <w:r w:rsidRPr="00665BD0">
        <w:rPr>
          <w:rFonts w:ascii="Times New Roman" w:hAnsi="Times New Roman"/>
          <w:bCs/>
          <w:sz w:val="24"/>
          <w:szCs w:val="24"/>
        </w:rPr>
        <w:t>Entertainment Studios, must prove that race was the but-</w:t>
      </w:r>
    </w:p>
    <w:p w14:paraId="604A8A8E" w14:textId="77777777" w:rsidR="007540BD" w:rsidRPr="00665BD0" w:rsidRDefault="007540BD" w:rsidP="007540BD">
      <w:pPr>
        <w:pStyle w:val="NoSpacing"/>
        <w:rPr>
          <w:rFonts w:ascii="Times New Roman" w:hAnsi="Times New Roman"/>
          <w:b/>
          <w:bCs/>
          <w:sz w:val="24"/>
          <w:szCs w:val="24"/>
        </w:rPr>
      </w:pPr>
      <w:r w:rsidRPr="00665BD0">
        <w:rPr>
          <w:rFonts w:ascii="Times New Roman" w:hAnsi="Times New Roman"/>
          <w:bCs/>
          <w:sz w:val="24"/>
          <w:szCs w:val="24"/>
        </w:rPr>
        <w:t xml:space="preserve">for </w:t>
      </w:r>
      <w:proofErr w:type="gramStart"/>
      <w:r w:rsidRPr="00665BD0">
        <w:rPr>
          <w:rFonts w:ascii="Times New Roman" w:hAnsi="Times New Roman"/>
          <w:bCs/>
          <w:sz w:val="24"/>
          <w:szCs w:val="24"/>
        </w:rPr>
        <w:t>cause</w:t>
      </w:r>
      <w:proofErr w:type="gramEnd"/>
      <w:r w:rsidRPr="00665BD0">
        <w:rPr>
          <w:rFonts w:ascii="Times New Roman" w:hAnsi="Times New Roman"/>
          <w:bCs/>
          <w:sz w:val="24"/>
          <w:szCs w:val="24"/>
        </w:rPr>
        <w:t xml:space="preserve"> of its injury—in other words, that Comcast would have acted differently if Entertainment Studios were not </w:t>
      </w:r>
      <w:proofErr w:type="gramStart"/>
      <w:r w:rsidRPr="00665BD0">
        <w:rPr>
          <w:rFonts w:ascii="Times New Roman" w:hAnsi="Times New Roman"/>
          <w:bCs/>
          <w:sz w:val="24"/>
          <w:szCs w:val="24"/>
        </w:rPr>
        <w:t>African-American</w:t>
      </w:r>
      <w:proofErr w:type="gramEnd"/>
      <w:r w:rsidRPr="00665BD0">
        <w:rPr>
          <w:rFonts w:ascii="Times New Roman" w:hAnsi="Times New Roman"/>
          <w:bCs/>
          <w:sz w:val="24"/>
          <w:szCs w:val="24"/>
        </w:rPr>
        <w:t xml:space="preserve"> owned. </w:t>
      </w:r>
    </w:p>
    <w:p w14:paraId="26B24227" w14:textId="77777777" w:rsidR="007540BD" w:rsidRPr="00665BD0" w:rsidRDefault="007540BD" w:rsidP="007540BD">
      <w:pPr>
        <w:pStyle w:val="NoSpacing"/>
        <w:rPr>
          <w:rFonts w:ascii="Times New Roman" w:hAnsi="Times New Roman"/>
          <w:b/>
          <w:bCs/>
          <w:sz w:val="24"/>
          <w:szCs w:val="24"/>
        </w:rPr>
      </w:pPr>
    </w:p>
    <w:p w14:paraId="1FA0A078" w14:textId="77777777" w:rsidR="007540BD" w:rsidRPr="00665BD0" w:rsidRDefault="007540BD" w:rsidP="007540BD">
      <w:pPr>
        <w:pStyle w:val="NoSpacing"/>
        <w:rPr>
          <w:rFonts w:ascii="Times New Roman" w:hAnsi="Times New Roman"/>
          <w:b/>
          <w:bCs/>
          <w:sz w:val="24"/>
          <w:szCs w:val="24"/>
        </w:rPr>
      </w:pPr>
      <w:r w:rsidRPr="00665BD0">
        <w:rPr>
          <w:rFonts w:ascii="Times New Roman" w:hAnsi="Times New Roman"/>
          <w:bCs/>
          <w:sz w:val="24"/>
          <w:szCs w:val="24"/>
        </w:rPr>
        <w:t>In opinion by Justice Neil Gorsuch, the Court held:</w:t>
      </w:r>
    </w:p>
    <w:p w14:paraId="7038EE50" w14:textId="77777777" w:rsidR="007540BD" w:rsidRPr="00665BD0" w:rsidRDefault="007540BD" w:rsidP="007540BD">
      <w:pPr>
        <w:pStyle w:val="NoSpacing"/>
        <w:rPr>
          <w:rFonts w:ascii="Times New Roman" w:hAnsi="Times New Roman"/>
          <w:b/>
          <w:bCs/>
          <w:sz w:val="24"/>
          <w:szCs w:val="24"/>
        </w:rPr>
      </w:pPr>
    </w:p>
    <w:p w14:paraId="531B6148" w14:textId="77777777" w:rsidR="007540BD" w:rsidRPr="00665BD0" w:rsidRDefault="007540BD" w:rsidP="007540BD">
      <w:pPr>
        <w:pStyle w:val="NoSpacing"/>
        <w:ind w:left="720"/>
        <w:rPr>
          <w:rFonts w:ascii="Times New Roman" w:hAnsi="Times New Roman"/>
          <w:b/>
          <w:bCs/>
          <w:sz w:val="24"/>
          <w:szCs w:val="24"/>
        </w:rPr>
      </w:pPr>
      <w:r w:rsidRPr="00665BD0">
        <w:rPr>
          <w:rFonts w:ascii="Times New Roman" w:eastAsia="Times New Roman" w:hAnsi="Times New Roman"/>
          <w:bCs/>
          <w:sz w:val="24"/>
          <w:szCs w:val="24"/>
        </w:rPr>
        <w:lastRenderedPageBreak/>
        <w:t>“</w:t>
      </w:r>
      <w:r w:rsidRPr="00665BD0">
        <w:rPr>
          <w:rFonts w:ascii="Times New Roman" w:hAnsi="Times New Roman"/>
          <w:bCs/>
          <w:sz w:val="24"/>
          <w:szCs w:val="24"/>
        </w:rPr>
        <w:t xml:space="preserve">All the traditional tools of statutory interpretation persuade us that §1981 follows the usual rules, not any exception. To prevail, a plaintiff must initially plead and ultimately prove that, but for race, it would not have suffered the loss of a legally protected right…. The Ninth Circuit has yet to consider that question because it assessed ESN’s pleadings under a different and mistaken test. To allow that court the chance to determine the sufficiency of ESN’s pleadings under the correct legal rule in the first instance, we vacate the judgment of the court of </w:t>
      </w:r>
      <w:proofErr w:type="gramStart"/>
      <w:r w:rsidRPr="00665BD0">
        <w:rPr>
          <w:rFonts w:ascii="Times New Roman" w:hAnsi="Times New Roman"/>
          <w:bCs/>
          <w:sz w:val="24"/>
          <w:szCs w:val="24"/>
        </w:rPr>
        <w:t>ap-peals</w:t>
      </w:r>
      <w:proofErr w:type="gramEnd"/>
      <w:r w:rsidRPr="00665BD0">
        <w:rPr>
          <w:rFonts w:ascii="Times New Roman" w:hAnsi="Times New Roman"/>
          <w:bCs/>
          <w:sz w:val="24"/>
          <w:szCs w:val="24"/>
        </w:rPr>
        <w:t xml:space="preserve"> and remand the case for further proceedings </w:t>
      </w:r>
    </w:p>
    <w:p w14:paraId="5C6FE87D" w14:textId="77777777" w:rsidR="007540BD" w:rsidRPr="00665BD0" w:rsidRDefault="007540BD" w:rsidP="007540BD">
      <w:pPr>
        <w:pStyle w:val="NoSpacing"/>
        <w:ind w:left="720"/>
        <w:rPr>
          <w:rFonts w:ascii="Times New Roman" w:eastAsia="Times New Roman" w:hAnsi="Times New Roman"/>
          <w:b/>
          <w:bCs/>
          <w:sz w:val="24"/>
          <w:szCs w:val="24"/>
        </w:rPr>
      </w:pPr>
      <w:r w:rsidRPr="00665BD0">
        <w:rPr>
          <w:rFonts w:ascii="Times New Roman" w:hAnsi="Times New Roman"/>
          <w:bCs/>
          <w:sz w:val="24"/>
          <w:szCs w:val="24"/>
        </w:rPr>
        <w:t xml:space="preserve">consistent with this opinion.” </w:t>
      </w:r>
      <w:bookmarkStart w:id="327" w:name="_Hlk39837214"/>
      <w:r w:rsidR="00DC51D4">
        <w:fldChar w:fldCharType="begin"/>
      </w:r>
      <w:r w:rsidR="00DC51D4">
        <w:instrText xml:space="preserve"> HYPERLINK "https://www.supremecourt.gov/opinions/19pdf/18-1171_4425.pdf" </w:instrText>
      </w:r>
      <w:r w:rsidR="00DC51D4">
        <w:fldChar w:fldCharType="separate"/>
      </w:r>
      <w:r w:rsidRPr="00665BD0">
        <w:rPr>
          <w:rStyle w:val="Hyperlink"/>
          <w:rFonts w:ascii="Times New Roman" w:hAnsi="Times New Roman"/>
          <w:b/>
          <w:sz w:val="24"/>
          <w:szCs w:val="24"/>
        </w:rPr>
        <w:t>https://www.supremecourt.gov/opinions/19pdf/18-1171_4425.pdf</w:t>
      </w:r>
      <w:r w:rsidR="00DC51D4">
        <w:rPr>
          <w:rStyle w:val="Hyperlink"/>
          <w:rFonts w:ascii="Times New Roman" w:hAnsi="Times New Roman"/>
          <w:b/>
          <w:sz w:val="24"/>
          <w:szCs w:val="24"/>
        </w:rPr>
        <w:fldChar w:fldCharType="end"/>
      </w:r>
      <w:r w:rsidRPr="00665BD0">
        <w:rPr>
          <w:rFonts w:ascii="Times New Roman" w:hAnsi="Times New Roman"/>
          <w:bCs/>
          <w:sz w:val="24"/>
          <w:szCs w:val="24"/>
        </w:rPr>
        <w:t xml:space="preserve"> </w:t>
      </w:r>
    </w:p>
    <w:bookmarkEnd w:id="327"/>
    <w:p w14:paraId="46254098" w14:textId="77777777" w:rsidR="007540BD" w:rsidRDefault="007540BD" w:rsidP="007540BD">
      <w:pPr>
        <w:pStyle w:val="NoSpacing"/>
        <w:rPr>
          <w:rFonts w:ascii="Times New Roman" w:hAnsi="Times New Roman"/>
          <w:b/>
          <w:bCs/>
          <w:sz w:val="24"/>
          <w:szCs w:val="24"/>
        </w:rPr>
      </w:pPr>
    </w:p>
    <w:bookmarkEnd w:id="325"/>
    <w:p w14:paraId="3C202CDC" w14:textId="0E6EA7BA" w:rsidR="007540BD" w:rsidRPr="00665BD0" w:rsidRDefault="007540BD" w:rsidP="007540BD">
      <w:pPr>
        <w:pStyle w:val="NoSpacing"/>
        <w:rPr>
          <w:rFonts w:ascii="Times New Roman" w:hAnsi="Times New Roman"/>
          <w:b/>
          <w:bCs/>
          <w:sz w:val="24"/>
          <w:szCs w:val="24"/>
        </w:rPr>
      </w:pPr>
      <w:r w:rsidRPr="00665BD0">
        <w:rPr>
          <w:rFonts w:ascii="Times New Roman" w:hAnsi="Times New Roman"/>
          <w:b/>
          <w:bCs/>
          <w:sz w:val="24"/>
          <w:szCs w:val="24"/>
        </w:rPr>
        <w:t xml:space="preserve">Legal Lessons Learned: </w:t>
      </w:r>
      <w:r>
        <w:rPr>
          <w:rFonts w:ascii="Times New Roman" w:hAnsi="Times New Roman"/>
          <w:b/>
          <w:bCs/>
          <w:sz w:val="24"/>
          <w:szCs w:val="24"/>
        </w:rPr>
        <w:t xml:space="preserve">Important decision on race discrimination. </w:t>
      </w:r>
    </w:p>
    <w:p w14:paraId="3965B8C8" w14:textId="77777777" w:rsidR="007540BD" w:rsidRPr="00665BD0" w:rsidRDefault="007540BD" w:rsidP="007540BD">
      <w:pPr>
        <w:pStyle w:val="NoSpacing"/>
        <w:ind w:left="720"/>
        <w:rPr>
          <w:rFonts w:ascii="Times New Roman" w:hAnsi="Times New Roman"/>
          <w:b/>
          <w:bCs/>
          <w:sz w:val="24"/>
          <w:szCs w:val="24"/>
        </w:rPr>
      </w:pPr>
      <w:r w:rsidRPr="00665BD0">
        <w:rPr>
          <w:rFonts w:ascii="Times New Roman" w:hAnsi="Times New Roman"/>
          <w:bCs/>
          <w:sz w:val="24"/>
          <w:szCs w:val="24"/>
        </w:rPr>
        <w:t xml:space="preserve">See </w:t>
      </w:r>
      <w:bookmarkStart w:id="328" w:name="_Hlk39837140"/>
      <w:r w:rsidRPr="00665BD0">
        <w:rPr>
          <w:rFonts w:ascii="Times New Roman" w:hAnsi="Times New Roman"/>
          <w:bCs/>
          <w:sz w:val="24"/>
          <w:szCs w:val="24"/>
        </w:rPr>
        <w:t xml:space="preserve">March 23, </w:t>
      </w:r>
      <w:proofErr w:type="gramStart"/>
      <w:r w:rsidRPr="00665BD0">
        <w:rPr>
          <w:rFonts w:ascii="Times New Roman" w:hAnsi="Times New Roman"/>
          <w:bCs/>
          <w:sz w:val="24"/>
          <w:szCs w:val="24"/>
        </w:rPr>
        <w:t>2020</w:t>
      </w:r>
      <w:proofErr w:type="gramEnd"/>
      <w:r w:rsidRPr="00665BD0">
        <w:rPr>
          <w:rFonts w:ascii="Times New Roman" w:hAnsi="Times New Roman"/>
          <w:bCs/>
          <w:sz w:val="24"/>
          <w:szCs w:val="24"/>
        </w:rPr>
        <w:t xml:space="preserve"> article: Why Ginsburg Joined Ruling Civil Rights Advocates Decry as 'Terrible'- </w:t>
      </w:r>
      <w:hyperlink r:id="rId1631" w:history="1">
        <w:r w:rsidRPr="00665BD0">
          <w:rPr>
            <w:rStyle w:val="Hyperlink"/>
            <w:rFonts w:ascii="Times New Roman" w:hAnsi="Times New Roman"/>
            <w:b/>
            <w:sz w:val="24"/>
            <w:szCs w:val="24"/>
          </w:rPr>
          <w:t>https://www.law.com/nationallawjournal/2020/03/23/why-ginsburg-joined-a-ruling-civil-rights-advocates-decry-as-terrible/</w:t>
        </w:r>
      </w:hyperlink>
      <w:bookmarkEnd w:id="328"/>
      <w:r w:rsidRPr="00665BD0">
        <w:rPr>
          <w:rFonts w:ascii="Times New Roman" w:hAnsi="Times New Roman"/>
          <w:bCs/>
          <w:sz w:val="24"/>
          <w:szCs w:val="24"/>
        </w:rPr>
        <w:t xml:space="preserve"> </w:t>
      </w:r>
    </w:p>
    <w:p w14:paraId="69F7D68E" w14:textId="77777777" w:rsidR="007540BD" w:rsidRDefault="007540BD" w:rsidP="00DE0F03">
      <w:pPr>
        <w:rPr>
          <w:rFonts w:ascii="Arial Black" w:hAnsi="Arial Black"/>
          <w:b/>
          <w:sz w:val="24"/>
          <w:szCs w:val="24"/>
        </w:rPr>
      </w:pPr>
    </w:p>
    <w:p w14:paraId="4EC3DA5B" w14:textId="77777777" w:rsidR="007540BD" w:rsidRDefault="007540BD" w:rsidP="00DE0F03">
      <w:pPr>
        <w:rPr>
          <w:rFonts w:ascii="Arial Black" w:hAnsi="Arial Black"/>
          <w:b/>
          <w:sz w:val="24"/>
          <w:szCs w:val="24"/>
        </w:rPr>
      </w:pPr>
    </w:p>
    <w:p w14:paraId="2677AFDE" w14:textId="24A4310E" w:rsidR="00997329" w:rsidRDefault="00997329" w:rsidP="00DE0F03">
      <w:pPr>
        <w:rPr>
          <w:rFonts w:ascii="Arial Black" w:hAnsi="Arial Black"/>
          <w:b/>
          <w:sz w:val="24"/>
          <w:szCs w:val="24"/>
        </w:rPr>
      </w:pPr>
      <w:r>
        <w:rPr>
          <w:rFonts w:ascii="Arial Black" w:hAnsi="Arial Black"/>
          <w:b/>
          <w:sz w:val="24"/>
          <w:szCs w:val="24"/>
        </w:rPr>
        <w:t>8-</w:t>
      </w:r>
      <w:r w:rsidR="005A395B">
        <w:rPr>
          <w:rFonts w:ascii="Arial Black" w:hAnsi="Arial Black"/>
          <w:b/>
          <w:sz w:val="24"/>
          <w:szCs w:val="24"/>
        </w:rPr>
        <w:t>11</w:t>
      </w:r>
    </w:p>
    <w:p w14:paraId="0EE4A794" w14:textId="77777777" w:rsidR="00997329" w:rsidRPr="002E0D51" w:rsidRDefault="00997329" w:rsidP="00997329">
      <w:pPr>
        <w:pStyle w:val="NoSpacing"/>
        <w:rPr>
          <w:rFonts w:ascii="Arial Black" w:hAnsi="Arial Black"/>
          <w:b/>
          <w:bCs/>
          <w:sz w:val="28"/>
          <w:szCs w:val="28"/>
        </w:rPr>
      </w:pPr>
      <w:bookmarkStart w:id="329" w:name="_Hlk41156029"/>
      <w:r w:rsidRPr="002E0D51">
        <w:rPr>
          <w:rFonts w:ascii="Arial Black" w:hAnsi="Arial Black"/>
          <w:bCs/>
          <w:sz w:val="28"/>
          <w:szCs w:val="28"/>
        </w:rPr>
        <w:t xml:space="preserve">MD: </w:t>
      </w:r>
      <w:r>
        <w:rPr>
          <w:rFonts w:ascii="Arial Black" w:hAnsi="Arial Black"/>
          <w:bCs/>
          <w:sz w:val="28"/>
          <w:szCs w:val="28"/>
        </w:rPr>
        <w:t>TWO AFRICAN AMERICANS PROMOTED B/C – BUT LIST HAD EXPIRED - WHITE CAPTAIN PASSED OVER – LAWSUIT PROCEED</w:t>
      </w:r>
    </w:p>
    <w:p w14:paraId="74FDA38B" w14:textId="77777777" w:rsidR="00997329" w:rsidRDefault="00997329" w:rsidP="00997329">
      <w:pPr>
        <w:pStyle w:val="NoSpacing"/>
        <w:rPr>
          <w:b/>
          <w:bCs/>
          <w:sz w:val="24"/>
          <w:szCs w:val="24"/>
        </w:rPr>
      </w:pPr>
    </w:p>
    <w:p w14:paraId="4177EFFA" w14:textId="77777777" w:rsidR="00997329" w:rsidRPr="00465FB3" w:rsidRDefault="00997329" w:rsidP="00997329">
      <w:pPr>
        <w:pStyle w:val="NoSpacing"/>
        <w:rPr>
          <w:rFonts w:ascii="Times New Roman" w:hAnsi="Times New Roman"/>
          <w:b/>
          <w:bCs/>
          <w:sz w:val="24"/>
          <w:szCs w:val="24"/>
        </w:rPr>
      </w:pPr>
      <w:r w:rsidRPr="00465FB3">
        <w:rPr>
          <w:rFonts w:ascii="Times New Roman" w:hAnsi="Times New Roman"/>
          <w:bCs/>
          <w:sz w:val="24"/>
          <w:szCs w:val="24"/>
        </w:rPr>
        <w:t xml:space="preserve">On March 3, 2020, in </w:t>
      </w:r>
      <w:r w:rsidRPr="00465FB3">
        <w:rPr>
          <w:rFonts w:ascii="Times New Roman" w:hAnsi="Times New Roman"/>
          <w:bCs/>
          <w:sz w:val="24"/>
          <w:szCs w:val="24"/>
          <w:u w:val="single"/>
        </w:rPr>
        <w:t>Donald Dziwulski v. Mayor &amp; City Council of Baltimore</w:t>
      </w:r>
      <w:r w:rsidRPr="00465FB3">
        <w:rPr>
          <w:rFonts w:ascii="Times New Roman" w:hAnsi="Times New Roman"/>
          <w:bCs/>
          <w:sz w:val="24"/>
          <w:szCs w:val="24"/>
        </w:rPr>
        <w:t xml:space="preserve">, U.S. Magistrate Judge Deborah L. Boardman, District of Maryland (Northern Division) denied the City’s motion for summary judgment concerning Dziwulski's claim for race discrimination based on failure to promote and his retaliation claim based on the reclassification of Carter's position.   </w:t>
      </w:r>
    </w:p>
    <w:p w14:paraId="313E13A0" w14:textId="77777777" w:rsidR="00997329" w:rsidRPr="00465FB3" w:rsidRDefault="00997329" w:rsidP="00997329">
      <w:pPr>
        <w:pStyle w:val="NoSpacing"/>
        <w:rPr>
          <w:rFonts w:ascii="Times New Roman" w:hAnsi="Times New Roman"/>
          <w:b/>
          <w:bCs/>
          <w:sz w:val="24"/>
          <w:szCs w:val="24"/>
        </w:rPr>
      </w:pPr>
    </w:p>
    <w:p w14:paraId="3583B7BE" w14:textId="77777777" w:rsidR="00997329" w:rsidRPr="00465FB3" w:rsidRDefault="00997329" w:rsidP="00997329">
      <w:pPr>
        <w:pStyle w:val="NoSpacing"/>
        <w:ind w:left="720"/>
        <w:rPr>
          <w:rFonts w:ascii="Times New Roman" w:hAnsi="Times New Roman"/>
          <w:b/>
          <w:bCs/>
          <w:sz w:val="24"/>
          <w:szCs w:val="24"/>
        </w:rPr>
      </w:pPr>
      <w:r w:rsidRPr="00465FB3">
        <w:rPr>
          <w:rFonts w:ascii="Times New Roman" w:hAnsi="Times New Roman"/>
          <w:bCs/>
          <w:sz w:val="24"/>
          <w:szCs w:val="24"/>
        </w:rPr>
        <w:t xml:space="preserve">“Defendant argues that, throughout the entire process, [then Fire Chief James] Clack was planning to promote Claggett and Stokes into the two new positions. They were ranked first and second on the Eligibles List in effect at the time. To make their promotions possible despite the Board's failure to act on May 8, 2013, Clack promoted them on May 13, 2013, before the Board approved the position…. [But] by the time Clack acted on May 13, 2013, the Eligibles List that included Claggett and Stokes had expired. *** </w:t>
      </w:r>
      <w:r w:rsidRPr="00465FB3">
        <w:rPr>
          <w:rFonts w:ascii="Times New Roman" w:eastAsia="Times New Roman" w:hAnsi="Times New Roman"/>
          <w:bCs/>
          <w:sz w:val="24"/>
          <w:szCs w:val="24"/>
        </w:rPr>
        <w:t xml:space="preserve">On the record before me, Defendant has offered a legitimate, non-discriminatory reason for each of its employment decisions when considered individually. Thus, a reasonable jury, weighing the facts on the record before me as to each employment decision one at a time, could find that no race-based discrimination occurred. Nonetheless, considering the combined effect of these decisions, which collectively ‘undermine the credibility of the employer's stated reasons,’ Captain Dziwulski has identified sufficient evidence of pretext to survive Defendant's Motion for Summary Judgment. *** </w:t>
      </w:r>
      <w:r w:rsidRPr="00465FB3">
        <w:rPr>
          <w:rFonts w:ascii="Times New Roman" w:hAnsi="Times New Roman"/>
          <w:bCs/>
          <w:sz w:val="24"/>
          <w:szCs w:val="24"/>
        </w:rPr>
        <w:t xml:space="preserve">Most significantly, over the course of several months, Captain Dziwulski repeatedly was not selected for promotions for which he was eligible, even though he was ranked first on the Eligibles List in effect at the time. Each time, either African Americans were selected instead of </w:t>
      </w:r>
      <w:proofErr w:type="gramStart"/>
      <w:r w:rsidRPr="00465FB3">
        <w:rPr>
          <w:rFonts w:ascii="Times New Roman" w:hAnsi="Times New Roman"/>
          <w:bCs/>
          <w:sz w:val="24"/>
          <w:szCs w:val="24"/>
        </w:rPr>
        <w:t>him</w:t>
      </w:r>
      <w:proofErr w:type="gramEnd"/>
      <w:r w:rsidRPr="00465FB3">
        <w:rPr>
          <w:rFonts w:ascii="Times New Roman" w:hAnsi="Times New Roman"/>
          <w:bCs/>
          <w:sz w:val="24"/>
          <w:szCs w:val="24"/>
        </w:rPr>
        <w:t xml:space="preserve"> or the position was left open. Considering these events cumulatively, a genuine dispute exists regarding whether the Department's reasons each time were legitimate and non-discriminatory or pretext.”  </w:t>
      </w:r>
      <w:hyperlink r:id="rId1632" w:history="1">
        <w:r w:rsidRPr="00465FB3">
          <w:rPr>
            <w:rStyle w:val="Hyperlink"/>
            <w:rFonts w:ascii="Times New Roman" w:hAnsi="Times New Roman"/>
            <w:bCs/>
            <w:sz w:val="24"/>
            <w:szCs w:val="24"/>
          </w:rPr>
          <w:t>https://public.fastcase.com/Wl%2B2t%2BeVuI35%2FN70vAMFZtTeqjzzEnlP0E9gnOJzg5Beu%2B8e3Ta9mPaMkCNr0Gg4</w:t>
        </w:r>
      </w:hyperlink>
    </w:p>
    <w:p w14:paraId="192CCCF7" w14:textId="77777777" w:rsidR="00997329" w:rsidRPr="00465FB3" w:rsidRDefault="00997329" w:rsidP="00997329">
      <w:pPr>
        <w:pStyle w:val="NoSpacing"/>
        <w:rPr>
          <w:rFonts w:ascii="Times New Roman" w:hAnsi="Times New Roman"/>
          <w:b/>
          <w:bCs/>
          <w:sz w:val="24"/>
          <w:szCs w:val="24"/>
        </w:rPr>
      </w:pPr>
    </w:p>
    <w:p w14:paraId="3675267C" w14:textId="77777777" w:rsidR="00997329" w:rsidRPr="00465FB3" w:rsidRDefault="00997329" w:rsidP="00997329">
      <w:pPr>
        <w:pStyle w:val="NoSpacing"/>
        <w:tabs>
          <w:tab w:val="left" w:pos="2860"/>
        </w:tabs>
        <w:rPr>
          <w:rFonts w:ascii="Times New Roman" w:hAnsi="Times New Roman"/>
          <w:b/>
          <w:bCs/>
          <w:sz w:val="24"/>
          <w:szCs w:val="24"/>
        </w:rPr>
      </w:pPr>
      <w:r w:rsidRPr="00465FB3">
        <w:rPr>
          <w:rFonts w:ascii="Times New Roman" w:hAnsi="Times New Roman"/>
          <w:b/>
          <w:bCs/>
          <w:sz w:val="24"/>
          <w:szCs w:val="24"/>
        </w:rPr>
        <w:t xml:space="preserve">Legal Lessons Learned: Making promotions from expired lists can lead to litigation.  </w:t>
      </w:r>
    </w:p>
    <w:bookmarkEnd w:id="329"/>
    <w:p w14:paraId="7246B3B0" w14:textId="77777777" w:rsidR="00997329" w:rsidRDefault="00997329" w:rsidP="00DE0F03">
      <w:pPr>
        <w:rPr>
          <w:rFonts w:ascii="Arial Black" w:hAnsi="Arial Black"/>
          <w:b/>
          <w:sz w:val="24"/>
          <w:szCs w:val="24"/>
        </w:rPr>
      </w:pPr>
    </w:p>
    <w:p w14:paraId="3D7129FC" w14:textId="504F350F" w:rsidR="00177094" w:rsidRDefault="00177094" w:rsidP="00DE0F03">
      <w:pPr>
        <w:rPr>
          <w:rFonts w:ascii="Arial Black" w:hAnsi="Arial Black"/>
          <w:b/>
          <w:sz w:val="24"/>
          <w:szCs w:val="24"/>
        </w:rPr>
      </w:pPr>
      <w:r>
        <w:rPr>
          <w:rFonts w:ascii="Arial Black" w:hAnsi="Arial Black"/>
          <w:b/>
          <w:sz w:val="24"/>
          <w:szCs w:val="24"/>
        </w:rPr>
        <w:t>8-1</w:t>
      </w:r>
      <w:r w:rsidR="005A395B">
        <w:rPr>
          <w:rFonts w:ascii="Arial Black" w:hAnsi="Arial Black"/>
          <w:b/>
          <w:sz w:val="24"/>
          <w:szCs w:val="24"/>
        </w:rPr>
        <w:t>0</w:t>
      </w:r>
    </w:p>
    <w:p w14:paraId="71EC4F1F" w14:textId="77777777" w:rsidR="00177094" w:rsidRPr="00255FB0" w:rsidRDefault="00177094" w:rsidP="00177094">
      <w:pPr>
        <w:pStyle w:val="NoSpacing"/>
        <w:rPr>
          <w:rFonts w:ascii="Arial Black" w:hAnsi="Arial Black"/>
          <w:b/>
          <w:bCs/>
          <w:sz w:val="28"/>
          <w:szCs w:val="28"/>
        </w:rPr>
      </w:pPr>
      <w:r>
        <w:rPr>
          <w:rFonts w:ascii="Arial Black" w:hAnsi="Arial Black"/>
          <w:bCs/>
          <w:sz w:val="28"/>
          <w:szCs w:val="28"/>
        </w:rPr>
        <w:lastRenderedPageBreak/>
        <w:t>GA: KNEE SURGERY – FF NOT ALLOWED BACK TO WORK – LAWSUIT DISMISSED SINCE DIDN’T FILE IN 90 DAYS OF EEOC LETTER</w:t>
      </w:r>
    </w:p>
    <w:p w14:paraId="11A45DF0" w14:textId="77777777" w:rsidR="00177094" w:rsidRDefault="00177094" w:rsidP="00177094">
      <w:pPr>
        <w:pStyle w:val="NoSpacing"/>
        <w:rPr>
          <w:b/>
          <w:bCs/>
          <w:sz w:val="24"/>
          <w:szCs w:val="24"/>
        </w:rPr>
      </w:pPr>
    </w:p>
    <w:p w14:paraId="69B47576" w14:textId="77777777" w:rsidR="00177094" w:rsidRPr="004236BE" w:rsidRDefault="00177094" w:rsidP="00177094">
      <w:pPr>
        <w:pStyle w:val="NoSpacing"/>
        <w:rPr>
          <w:rFonts w:ascii="Times New Roman" w:hAnsi="Times New Roman"/>
          <w:b/>
          <w:bCs/>
          <w:sz w:val="24"/>
          <w:szCs w:val="24"/>
        </w:rPr>
      </w:pPr>
      <w:r w:rsidRPr="004236BE">
        <w:rPr>
          <w:rFonts w:ascii="Times New Roman" w:hAnsi="Times New Roman"/>
          <w:bCs/>
          <w:sz w:val="24"/>
          <w:szCs w:val="24"/>
        </w:rPr>
        <w:t xml:space="preserve">On Jan. 23, 2020, in </w:t>
      </w:r>
      <w:r w:rsidRPr="004236BE">
        <w:rPr>
          <w:rFonts w:ascii="Times New Roman" w:hAnsi="Times New Roman"/>
          <w:bCs/>
          <w:sz w:val="24"/>
          <w:szCs w:val="24"/>
          <w:u w:val="single"/>
        </w:rPr>
        <w:t>Derek Lee Colson v. City of Thomasville, et al.</w:t>
      </w:r>
      <w:r w:rsidRPr="004236BE">
        <w:rPr>
          <w:rFonts w:ascii="Times New Roman" w:hAnsi="Times New Roman"/>
          <w:bCs/>
          <w:sz w:val="24"/>
          <w:szCs w:val="24"/>
        </w:rPr>
        <w:t xml:space="preserve">, U.S. District Court Senior Judge Hugh Lawson, U.S. District Court for Middle District of Georgia, Valdosta Division, granted defendants motion for summary judgment and dismissed his lawsuit for failure to file within 90 days of the EEOC’s Right </w:t>
      </w:r>
      <w:proofErr w:type="gramStart"/>
      <w:r w:rsidRPr="004236BE">
        <w:rPr>
          <w:rFonts w:ascii="Times New Roman" w:hAnsi="Times New Roman"/>
          <w:bCs/>
          <w:sz w:val="24"/>
          <w:szCs w:val="24"/>
        </w:rPr>
        <w:t>To</w:t>
      </w:r>
      <w:proofErr w:type="gramEnd"/>
      <w:r w:rsidRPr="004236BE">
        <w:rPr>
          <w:rFonts w:ascii="Times New Roman" w:hAnsi="Times New Roman"/>
          <w:bCs/>
          <w:sz w:val="24"/>
          <w:szCs w:val="24"/>
        </w:rPr>
        <w:t xml:space="preserve"> Sue letter.</w:t>
      </w:r>
    </w:p>
    <w:p w14:paraId="4B0B0F53" w14:textId="77777777" w:rsidR="00177094" w:rsidRPr="004236BE" w:rsidRDefault="00177094" w:rsidP="00177094">
      <w:pPr>
        <w:pStyle w:val="NoSpacing"/>
        <w:rPr>
          <w:rFonts w:ascii="Times New Roman" w:hAnsi="Times New Roman"/>
          <w:b/>
          <w:bCs/>
          <w:sz w:val="24"/>
          <w:szCs w:val="24"/>
        </w:rPr>
      </w:pPr>
    </w:p>
    <w:p w14:paraId="0257CCBB" w14:textId="77777777" w:rsidR="00177094" w:rsidRPr="004236BE" w:rsidRDefault="00177094" w:rsidP="00177094">
      <w:pPr>
        <w:pStyle w:val="NoSpacing"/>
        <w:ind w:left="720"/>
        <w:rPr>
          <w:rFonts w:ascii="Times New Roman" w:hAnsi="Times New Roman"/>
          <w:b/>
          <w:bCs/>
          <w:sz w:val="24"/>
          <w:szCs w:val="24"/>
        </w:rPr>
      </w:pPr>
      <w:r w:rsidRPr="004236BE">
        <w:rPr>
          <w:rFonts w:ascii="Times New Roman" w:hAnsi="Times New Roman"/>
          <w:bCs/>
          <w:sz w:val="24"/>
          <w:szCs w:val="24"/>
        </w:rPr>
        <w:t xml:space="preserve">“The undisputed evidence is that the EEOC mailed a Dismissal and Notice of Rights to Plaintiff on October 26, 2017. (Doc. 23-3). There is no evidence in the record beyond Plaintiff’s unsupported statement that the original notice was not delivered. Accepting this statement alone without further explanation would permit Plaintiff to enjoy a ‘manipulable, open-ended time extension,’ which the Eleventh Circuit has opined would ‘render the statutory minimum meaningless.’ *** Plaintiff did not file his Complaint until August 21, 2018 – 296 later. Plaintiff’s Complaint is therefore time-barred.”  </w:t>
      </w:r>
      <w:hyperlink r:id="rId1633" w:history="1">
        <w:r w:rsidRPr="004236BE">
          <w:rPr>
            <w:rStyle w:val="Hyperlink"/>
            <w:rFonts w:ascii="Times New Roman" w:hAnsi="Times New Roman"/>
            <w:b/>
            <w:sz w:val="24"/>
            <w:szCs w:val="24"/>
          </w:rPr>
          <w:t>https://ecf.gamd.uscourts.gov/cgi-bin/show_public_doc?2018-00132-29-7-cv</w:t>
        </w:r>
      </w:hyperlink>
      <w:r w:rsidRPr="004236BE">
        <w:rPr>
          <w:rFonts w:ascii="Times New Roman" w:hAnsi="Times New Roman"/>
          <w:bCs/>
          <w:sz w:val="24"/>
          <w:szCs w:val="24"/>
        </w:rPr>
        <w:t xml:space="preserve">  </w:t>
      </w:r>
    </w:p>
    <w:p w14:paraId="5AC697F4" w14:textId="77777777" w:rsidR="00177094" w:rsidRDefault="00177094" w:rsidP="00177094">
      <w:pPr>
        <w:pStyle w:val="NoSpacing"/>
        <w:rPr>
          <w:rFonts w:ascii="Times New Roman" w:hAnsi="Times New Roman"/>
          <w:b/>
          <w:bCs/>
          <w:sz w:val="24"/>
          <w:szCs w:val="24"/>
        </w:rPr>
      </w:pPr>
    </w:p>
    <w:p w14:paraId="51333060" w14:textId="33D3ADFD" w:rsidR="00177094" w:rsidRPr="004236BE" w:rsidRDefault="00177094" w:rsidP="00177094">
      <w:pPr>
        <w:pStyle w:val="NoSpacing"/>
        <w:rPr>
          <w:rFonts w:ascii="Times New Roman" w:hAnsi="Times New Roman"/>
          <w:b/>
          <w:bCs/>
          <w:sz w:val="24"/>
          <w:szCs w:val="24"/>
        </w:rPr>
      </w:pPr>
      <w:r w:rsidRPr="004236BE">
        <w:rPr>
          <w:rFonts w:ascii="Times New Roman" w:hAnsi="Times New Roman"/>
          <w:b/>
          <w:bCs/>
          <w:sz w:val="24"/>
          <w:szCs w:val="24"/>
        </w:rPr>
        <w:t xml:space="preserve">Legal Lessoned Learned:  Title VII requires lawsuit to be filed within 90 days of EEOC “Right </w:t>
      </w:r>
      <w:proofErr w:type="gramStart"/>
      <w:r w:rsidRPr="004236BE">
        <w:rPr>
          <w:rFonts w:ascii="Times New Roman" w:hAnsi="Times New Roman"/>
          <w:b/>
          <w:bCs/>
          <w:sz w:val="24"/>
          <w:szCs w:val="24"/>
        </w:rPr>
        <w:t>To</w:t>
      </w:r>
      <w:proofErr w:type="gramEnd"/>
      <w:r w:rsidRPr="004236BE">
        <w:rPr>
          <w:rFonts w:ascii="Times New Roman" w:hAnsi="Times New Roman"/>
          <w:b/>
          <w:bCs/>
          <w:sz w:val="24"/>
          <w:szCs w:val="24"/>
        </w:rPr>
        <w:t xml:space="preserve"> Sue” letter; if don’t have an attorney, need to make sure EEOC has your correct address, and periodically check on status of EEOC investigation. </w:t>
      </w:r>
    </w:p>
    <w:p w14:paraId="4C158DC3" w14:textId="77777777" w:rsidR="00177094" w:rsidRDefault="00177094" w:rsidP="00DE0F03">
      <w:pPr>
        <w:rPr>
          <w:rFonts w:ascii="Arial Black" w:hAnsi="Arial Black"/>
          <w:b/>
          <w:sz w:val="24"/>
          <w:szCs w:val="24"/>
        </w:rPr>
      </w:pPr>
    </w:p>
    <w:p w14:paraId="61C80C2B" w14:textId="77777777" w:rsidR="00177094" w:rsidRDefault="00177094" w:rsidP="00DE0F03">
      <w:pPr>
        <w:rPr>
          <w:rFonts w:ascii="Arial Black" w:hAnsi="Arial Black"/>
          <w:b/>
          <w:sz w:val="24"/>
          <w:szCs w:val="24"/>
        </w:rPr>
      </w:pPr>
    </w:p>
    <w:p w14:paraId="433413FB" w14:textId="7FE87610" w:rsidR="00A06387" w:rsidRDefault="00A06387" w:rsidP="00DE0F03">
      <w:pPr>
        <w:rPr>
          <w:rFonts w:ascii="Arial Black" w:hAnsi="Arial Black"/>
          <w:b/>
          <w:sz w:val="24"/>
          <w:szCs w:val="24"/>
        </w:rPr>
      </w:pPr>
      <w:r>
        <w:rPr>
          <w:rFonts w:ascii="Arial Black" w:hAnsi="Arial Black"/>
          <w:b/>
          <w:sz w:val="24"/>
          <w:szCs w:val="24"/>
        </w:rPr>
        <w:t>8-</w:t>
      </w:r>
      <w:r w:rsidR="005A395B">
        <w:rPr>
          <w:rFonts w:ascii="Arial Black" w:hAnsi="Arial Black"/>
          <w:b/>
          <w:sz w:val="24"/>
          <w:szCs w:val="24"/>
        </w:rPr>
        <w:t>9</w:t>
      </w:r>
    </w:p>
    <w:p w14:paraId="55C60D6F" w14:textId="6345C3BC" w:rsidR="00A06387" w:rsidRDefault="00A06387" w:rsidP="00A06387">
      <w:pPr>
        <w:pStyle w:val="NoSpacing"/>
        <w:rPr>
          <w:rFonts w:ascii="Arial Black" w:hAnsi="Arial Black"/>
          <w:bCs/>
          <w:sz w:val="28"/>
          <w:szCs w:val="28"/>
        </w:rPr>
      </w:pPr>
      <w:r w:rsidRPr="00AE7062">
        <w:rPr>
          <w:rFonts w:ascii="Arial Black" w:hAnsi="Arial Black"/>
          <w:bCs/>
          <w:sz w:val="28"/>
          <w:szCs w:val="28"/>
        </w:rPr>
        <w:t>AL</w:t>
      </w:r>
      <w:r>
        <w:rPr>
          <w:rFonts w:ascii="Arial Black" w:hAnsi="Arial Black"/>
          <w:bCs/>
          <w:sz w:val="28"/>
          <w:szCs w:val="28"/>
        </w:rPr>
        <w:t>: CAPT. (AFRICAN</w:t>
      </w:r>
      <w:r w:rsidR="00BF4DDE">
        <w:rPr>
          <w:rFonts w:ascii="Arial Black" w:hAnsi="Arial Black"/>
          <w:bCs/>
          <w:sz w:val="28"/>
          <w:szCs w:val="28"/>
        </w:rPr>
        <w:t xml:space="preserve"> </w:t>
      </w:r>
      <w:r>
        <w:rPr>
          <w:rFonts w:ascii="Arial Black" w:hAnsi="Arial Black"/>
          <w:bCs/>
          <w:sz w:val="28"/>
          <w:szCs w:val="28"/>
        </w:rPr>
        <w:t>AMERICAN) CLAIMED FIRE CHIEF</w:t>
      </w:r>
      <w:r w:rsidRPr="00AE7062">
        <w:rPr>
          <w:rFonts w:ascii="Arial Black" w:hAnsi="Arial Black"/>
          <w:bCs/>
          <w:sz w:val="28"/>
          <w:szCs w:val="28"/>
        </w:rPr>
        <w:t xml:space="preserve"> </w:t>
      </w:r>
      <w:r>
        <w:rPr>
          <w:rFonts w:ascii="Arial Black" w:hAnsi="Arial Black"/>
          <w:bCs/>
          <w:sz w:val="28"/>
          <w:szCs w:val="28"/>
        </w:rPr>
        <w:t>(ALSO AFRICAN</w:t>
      </w:r>
      <w:r w:rsidR="00BF4DDE">
        <w:rPr>
          <w:rFonts w:ascii="Arial Black" w:hAnsi="Arial Black"/>
          <w:bCs/>
          <w:sz w:val="28"/>
          <w:szCs w:val="28"/>
        </w:rPr>
        <w:t xml:space="preserve"> </w:t>
      </w:r>
      <w:r>
        <w:rPr>
          <w:rFonts w:ascii="Arial Black" w:hAnsi="Arial Black"/>
          <w:bCs/>
          <w:sz w:val="28"/>
          <w:szCs w:val="28"/>
        </w:rPr>
        <w:t xml:space="preserve">AMERICAN) PROMOTED SAME RACE OF PRIOR PERSON IN POSITION </w:t>
      </w:r>
    </w:p>
    <w:p w14:paraId="29FE3B16" w14:textId="77777777" w:rsidR="00A06387" w:rsidRDefault="00A06387" w:rsidP="00A06387">
      <w:pPr>
        <w:pStyle w:val="NoSpacing"/>
        <w:rPr>
          <w:rFonts w:ascii="Arial Black" w:hAnsi="Arial Black"/>
          <w:b/>
          <w:bCs/>
          <w:sz w:val="28"/>
          <w:szCs w:val="28"/>
        </w:rPr>
      </w:pPr>
    </w:p>
    <w:p w14:paraId="192D73B7" w14:textId="77777777" w:rsidR="00A06387" w:rsidRPr="00BF4DDE" w:rsidRDefault="00A06387" w:rsidP="00A06387">
      <w:pPr>
        <w:pStyle w:val="NoSpacing"/>
        <w:rPr>
          <w:rFonts w:ascii="Times New Roman" w:hAnsi="Times New Roman"/>
          <w:b/>
          <w:bCs/>
          <w:sz w:val="24"/>
          <w:szCs w:val="24"/>
        </w:rPr>
      </w:pPr>
      <w:r w:rsidRPr="00BF4DDE">
        <w:rPr>
          <w:rFonts w:ascii="Times New Roman" w:hAnsi="Times New Roman"/>
          <w:bCs/>
          <w:sz w:val="24"/>
          <w:szCs w:val="24"/>
        </w:rPr>
        <w:t xml:space="preserve">On Oct. 24, 2919, in </w:t>
      </w:r>
      <w:r w:rsidRPr="00BF4DDE">
        <w:rPr>
          <w:rFonts w:ascii="Times New Roman" w:hAnsi="Times New Roman"/>
          <w:bCs/>
          <w:sz w:val="24"/>
          <w:szCs w:val="24"/>
          <w:u w:val="single"/>
        </w:rPr>
        <w:t>Franklin Edwards v. City of Selma</w:t>
      </w:r>
      <w:r w:rsidRPr="00BF4DDE">
        <w:rPr>
          <w:rFonts w:ascii="Times New Roman" w:hAnsi="Times New Roman"/>
          <w:bCs/>
          <w:sz w:val="24"/>
          <w:szCs w:val="24"/>
        </w:rPr>
        <w:t xml:space="preserve">, U.S. District Court Judge Jeffrey U. </w:t>
      </w:r>
      <w:proofErr w:type="spellStart"/>
      <w:r w:rsidRPr="00BF4DDE">
        <w:rPr>
          <w:rFonts w:ascii="Times New Roman" w:hAnsi="Times New Roman"/>
          <w:bCs/>
          <w:sz w:val="24"/>
          <w:szCs w:val="24"/>
        </w:rPr>
        <w:t>Beaverstock</w:t>
      </w:r>
      <w:proofErr w:type="spellEnd"/>
      <w:r w:rsidRPr="00BF4DDE">
        <w:rPr>
          <w:rFonts w:ascii="Times New Roman" w:hAnsi="Times New Roman"/>
          <w:bCs/>
          <w:sz w:val="24"/>
          <w:szCs w:val="24"/>
        </w:rPr>
        <w:t xml:space="preserve">, U.S. District Court for the Southern District of Alabama (Northern Division) granted summary judgment for the </w:t>
      </w:r>
      <w:proofErr w:type="gramStart"/>
      <w:r w:rsidRPr="00BF4DDE">
        <w:rPr>
          <w:rFonts w:ascii="Times New Roman" w:hAnsi="Times New Roman"/>
          <w:bCs/>
          <w:sz w:val="24"/>
          <w:szCs w:val="24"/>
        </w:rPr>
        <w:t>City</w:t>
      </w:r>
      <w:proofErr w:type="gramEnd"/>
      <w:r w:rsidRPr="00BF4DDE">
        <w:rPr>
          <w:rFonts w:ascii="Times New Roman" w:hAnsi="Times New Roman"/>
          <w:bCs/>
          <w:sz w:val="24"/>
          <w:szCs w:val="24"/>
        </w:rPr>
        <w:t xml:space="preserve">.  </w:t>
      </w:r>
    </w:p>
    <w:p w14:paraId="7FBCFA36" w14:textId="77777777" w:rsidR="00A06387" w:rsidRPr="00BF4DDE" w:rsidRDefault="00A06387" w:rsidP="00A06387">
      <w:pPr>
        <w:pStyle w:val="NoSpacing"/>
        <w:rPr>
          <w:rFonts w:ascii="Times New Roman" w:hAnsi="Times New Roman"/>
          <w:b/>
          <w:bCs/>
          <w:sz w:val="24"/>
          <w:szCs w:val="24"/>
        </w:rPr>
      </w:pPr>
    </w:p>
    <w:p w14:paraId="082D87F9" w14:textId="150FE24D" w:rsidR="00A06387" w:rsidRPr="00BF4DDE" w:rsidRDefault="00A06387" w:rsidP="00A06387">
      <w:pPr>
        <w:ind w:left="720"/>
        <w:rPr>
          <w:rFonts w:ascii="Times New Roman" w:hAnsi="Times New Roman"/>
          <w:b/>
          <w:sz w:val="24"/>
          <w:szCs w:val="24"/>
        </w:rPr>
      </w:pPr>
      <w:r w:rsidRPr="00BF4DDE">
        <w:rPr>
          <w:rFonts w:ascii="Times New Roman" w:hAnsi="Times New Roman"/>
          <w:bCs/>
          <w:sz w:val="24"/>
          <w:szCs w:val="24"/>
        </w:rPr>
        <w:t>“Selma’s proffered reasons for failing to recommend or promote Plaintiff to a ‘Chief-level’ position include that applicants who received recommendations and promotions had been with the Fire Department longer than Plaintiff and had fewer disciplinary infractions… Selma has presented evidence that each candidate who received a ‘Chief-level’ recommendation and promotion was with the Fire Department longer than Plaintiff and/or had fewer disciplinary infractions than Plaintiff. Seniority and disciplinary history are legitimate non-discriminatory reasons for Stephens’ recommendations for promotion.</w:t>
      </w:r>
      <w:r w:rsidR="00BF4DDE">
        <w:rPr>
          <w:rFonts w:ascii="Times New Roman" w:hAnsi="Times New Roman"/>
          <w:bCs/>
          <w:sz w:val="24"/>
          <w:szCs w:val="24"/>
        </w:rPr>
        <w:t xml:space="preserve">” </w:t>
      </w:r>
      <w:hyperlink r:id="rId1634" w:history="1">
        <w:r w:rsidRPr="00BF4DDE">
          <w:rPr>
            <w:rStyle w:val="Hyperlink"/>
            <w:rFonts w:ascii="Times New Roman" w:hAnsi="Times New Roman"/>
            <w:bCs/>
            <w:sz w:val="24"/>
            <w:szCs w:val="24"/>
          </w:rPr>
          <w:t>https://cases.justia.com/federal/district-courts/alabama/alsdce/2:2018cv00293/62967/26/0.pdf?ts=1571995051</w:t>
        </w:r>
      </w:hyperlink>
    </w:p>
    <w:p w14:paraId="3A552CFB" w14:textId="77777777" w:rsidR="00A06387" w:rsidRPr="00BF4DDE" w:rsidRDefault="00A06387" w:rsidP="00A06387">
      <w:pPr>
        <w:pStyle w:val="NoSpacing"/>
        <w:rPr>
          <w:rFonts w:ascii="Times New Roman" w:hAnsi="Times New Roman"/>
          <w:b/>
          <w:bCs/>
          <w:sz w:val="24"/>
          <w:szCs w:val="24"/>
        </w:rPr>
      </w:pPr>
      <w:r w:rsidRPr="00BF4DDE">
        <w:rPr>
          <w:rFonts w:ascii="Times New Roman" w:hAnsi="Times New Roman"/>
          <w:b/>
          <w:bCs/>
          <w:sz w:val="24"/>
          <w:szCs w:val="24"/>
        </w:rPr>
        <w:t xml:space="preserve">Legal Lessons Learned:  Plaintiff failed to prove that the </w:t>
      </w:r>
      <w:proofErr w:type="gramStart"/>
      <w:r w:rsidRPr="00BF4DDE">
        <w:rPr>
          <w:rFonts w:ascii="Times New Roman" w:hAnsi="Times New Roman"/>
          <w:b/>
          <w:bCs/>
          <w:sz w:val="24"/>
          <w:szCs w:val="24"/>
        </w:rPr>
        <w:t>Mayor</w:t>
      </w:r>
      <w:proofErr w:type="gramEnd"/>
      <w:r w:rsidRPr="00BF4DDE">
        <w:rPr>
          <w:rFonts w:ascii="Times New Roman" w:hAnsi="Times New Roman"/>
          <w:b/>
          <w:bCs/>
          <w:sz w:val="24"/>
          <w:szCs w:val="24"/>
        </w:rPr>
        <w:t xml:space="preserve"> or other city officials knew about or concurred in the alleged “demographic promotion process.” </w:t>
      </w:r>
    </w:p>
    <w:p w14:paraId="5F60E20B" w14:textId="206CC893" w:rsidR="00A06387" w:rsidRPr="00BF4DDE" w:rsidRDefault="00A06387" w:rsidP="00DE0F03">
      <w:pPr>
        <w:rPr>
          <w:rFonts w:ascii="Times New Roman" w:hAnsi="Times New Roman"/>
          <w:b/>
          <w:sz w:val="24"/>
          <w:szCs w:val="24"/>
        </w:rPr>
      </w:pPr>
    </w:p>
    <w:p w14:paraId="29E0B30F" w14:textId="3744396C" w:rsidR="00A06387" w:rsidRDefault="00A06387" w:rsidP="00DE0F03">
      <w:pPr>
        <w:rPr>
          <w:rFonts w:ascii="Arial Black" w:hAnsi="Arial Black"/>
          <w:b/>
          <w:sz w:val="24"/>
          <w:szCs w:val="24"/>
        </w:rPr>
      </w:pPr>
      <w:r>
        <w:rPr>
          <w:rFonts w:ascii="Arial Black" w:hAnsi="Arial Black"/>
          <w:b/>
          <w:sz w:val="24"/>
          <w:szCs w:val="24"/>
        </w:rPr>
        <w:t>8-</w:t>
      </w:r>
      <w:r w:rsidR="005A395B">
        <w:rPr>
          <w:rFonts w:ascii="Arial Black" w:hAnsi="Arial Black"/>
          <w:b/>
          <w:sz w:val="24"/>
          <w:szCs w:val="24"/>
        </w:rPr>
        <w:t>8</w:t>
      </w:r>
    </w:p>
    <w:p w14:paraId="09723C99" w14:textId="6F581999" w:rsidR="00A06387" w:rsidRPr="00864E92" w:rsidRDefault="00A06387" w:rsidP="00A06387">
      <w:pPr>
        <w:pStyle w:val="NoSpacing"/>
        <w:rPr>
          <w:rFonts w:ascii="Arial Black" w:hAnsi="Arial Black"/>
          <w:sz w:val="28"/>
          <w:szCs w:val="28"/>
        </w:rPr>
      </w:pPr>
      <w:bookmarkStart w:id="330" w:name="_Hlk39765060"/>
      <w:r>
        <w:rPr>
          <w:rFonts w:ascii="Arial Black" w:hAnsi="Arial Black"/>
          <w:sz w:val="28"/>
          <w:szCs w:val="28"/>
        </w:rPr>
        <w:lastRenderedPageBreak/>
        <w:t>GA:  APPLICANT (AFRICAN</w:t>
      </w:r>
      <w:r w:rsidR="00BF4DDE">
        <w:rPr>
          <w:rFonts w:ascii="Arial Black" w:hAnsi="Arial Black"/>
          <w:sz w:val="28"/>
          <w:szCs w:val="28"/>
        </w:rPr>
        <w:t xml:space="preserve"> </w:t>
      </w:r>
      <w:r>
        <w:rPr>
          <w:rFonts w:ascii="Arial Black" w:hAnsi="Arial Black"/>
          <w:sz w:val="28"/>
          <w:szCs w:val="28"/>
        </w:rPr>
        <w:t xml:space="preserve">AMERICAN) FOR FIRE CHIEF NOT SELECTED – IN HOUSE CANDIDATE MORE QUALIFIED, EVEN IF NO DEGREE </w:t>
      </w:r>
    </w:p>
    <w:p w14:paraId="7E8B6D34" w14:textId="77777777" w:rsidR="00A06387" w:rsidRDefault="00A06387" w:rsidP="00A06387">
      <w:pPr>
        <w:pStyle w:val="NoSpacing"/>
      </w:pPr>
    </w:p>
    <w:p w14:paraId="45E969DD" w14:textId="77777777" w:rsidR="00A06387" w:rsidRPr="00BF4DDE" w:rsidRDefault="00A06387" w:rsidP="00A06387">
      <w:pPr>
        <w:pStyle w:val="NoSpacing"/>
        <w:rPr>
          <w:rFonts w:ascii="Times New Roman" w:hAnsi="Times New Roman"/>
          <w:b/>
          <w:bCs/>
          <w:sz w:val="24"/>
          <w:szCs w:val="24"/>
        </w:rPr>
      </w:pPr>
      <w:r w:rsidRPr="00BF4DDE">
        <w:rPr>
          <w:rFonts w:ascii="Times New Roman" w:hAnsi="Times New Roman"/>
          <w:bCs/>
          <w:sz w:val="24"/>
          <w:szCs w:val="24"/>
        </w:rPr>
        <w:t xml:space="preserve">On Oct. 4, 2019, in </w:t>
      </w:r>
      <w:r w:rsidRPr="00BF4DDE">
        <w:rPr>
          <w:rFonts w:ascii="Times New Roman" w:hAnsi="Times New Roman"/>
          <w:bCs/>
          <w:sz w:val="24"/>
          <w:szCs w:val="24"/>
          <w:u w:val="single"/>
        </w:rPr>
        <w:t>Roderick Jolivette v. City of Americus, Georgia</w:t>
      </w:r>
      <w:r w:rsidRPr="00BF4DDE">
        <w:rPr>
          <w:rFonts w:ascii="Times New Roman" w:hAnsi="Times New Roman"/>
          <w:bCs/>
          <w:sz w:val="24"/>
          <w:szCs w:val="24"/>
        </w:rPr>
        <w:t>, the U.S. Court of Appeals for 11</w:t>
      </w:r>
      <w:r w:rsidRPr="00BF4DDE">
        <w:rPr>
          <w:rFonts w:ascii="Times New Roman" w:hAnsi="Times New Roman"/>
          <w:bCs/>
          <w:sz w:val="24"/>
          <w:szCs w:val="24"/>
          <w:vertAlign w:val="superscript"/>
        </w:rPr>
        <w:t>th</w:t>
      </w:r>
      <w:r w:rsidRPr="00BF4DDE">
        <w:rPr>
          <w:rFonts w:ascii="Times New Roman" w:hAnsi="Times New Roman"/>
          <w:bCs/>
          <w:sz w:val="24"/>
          <w:szCs w:val="24"/>
        </w:rPr>
        <w:t xml:space="preserve"> Circuit (Atlanta) held 3 to 0 (unpublished opinion), upheld the U.S. District Court judge’s decision granting summary judgment to the City.  </w:t>
      </w:r>
    </w:p>
    <w:p w14:paraId="268F146F" w14:textId="77777777" w:rsidR="00A06387" w:rsidRPr="00BF4DDE" w:rsidRDefault="00A06387" w:rsidP="00A06387">
      <w:pPr>
        <w:pStyle w:val="NoSpacing"/>
        <w:rPr>
          <w:rFonts w:ascii="Times New Roman" w:hAnsi="Times New Roman"/>
          <w:b/>
          <w:bCs/>
          <w:sz w:val="24"/>
          <w:szCs w:val="24"/>
        </w:rPr>
      </w:pPr>
    </w:p>
    <w:p w14:paraId="5A0FB54C" w14:textId="77777777" w:rsidR="00A06387" w:rsidRPr="00BF4DDE" w:rsidRDefault="00A06387" w:rsidP="00A06387">
      <w:pPr>
        <w:pStyle w:val="NoSpacing"/>
        <w:ind w:left="720"/>
        <w:rPr>
          <w:rFonts w:ascii="Times New Roman" w:hAnsi="Times New Roman"/>
          <w:b/>
          <w:bCs/>
          <w:sz w:val="24"/>
          <w:szCs w:val="24"/>
        </w:rPr>
      </w:pPr>
      <w:r w:rsidRPr="00BF4DDE">
        <w:rPr>
          <w:rFonts w:ascii="Times New Roman" w:hAnsi="Times New Roman"/>
          <w:sz w:val="24"/>
          <w:szCs w:val="24"/>
        </w:rPr>
        <w:t>“</w:t>
      </w:r>
      <w:r w:rsidRPr="00BF4DDE">
        <w:rPr>
          <w:rFonts w:ascii="Times New Roman" w:hAnsi="Times New Roman"/>
          <w:bCs/>
          <w:sz w:val="24"/>
          <w:szCs w:val="24"/>
        </w:rPr>
        <w:t xml:space="preserve">Although Jolivette possessed a bachelor’s degree, as required in the job posting, the City policies weighed equally candidates who possessed an “equivalent combination of education, training, and experience.” Dee Jones, the human resources director for the </w:t>
      </w:r>
      <w:proofErr w:type="gramStart"/>
      <w:r w:rsidRPr="00BF4DDE">
        <w:rPr>
          <w:rFonts w:ascii="Times New Roman" w:hAnsi="Times New Roman"/>
          <w:bCs/>
          <w:sz w:val="24"/>
          <w:szCs w:val="24"/>
        </w:rPr>
        <w:t>City</w:t>
      </w:r>
      <w:proofErr w:type="gramEnd"/>
      <w:r w:rsidRPr="00BF4DDE">
        <w:rPr>
          <w:rFonts w:ascii="Times New Roman" w:hAnsi="Times New Roman"/>
          <w:bCs/>
          <w:sz w:val="24"/>
          <w:szCs w:val="24"/>
        </w:rPr>
        <w:t>, testified that [Roger] Bivins qualified for the position of Fire Chief ‘because of the totality’ of his skills, experience, and education, as provided for in the job posting and ‘our job description.’ Jolivette does not dispute that Bivins possessed skills, experience, and abilities that ‘substitute[d] for a lack of a college degree.’”</w:t>
      </w:r>
    </w:p>
    <w:p w14:paraId="27AB0FAF" w14:textId="46A71A7C" w:rsidR="00A06387" w:rsidRPr="00BF4DDE" w:rsidRDefault="00A06387" w:rsidP="00A06387">
      <w:pPr>
        <w:pStyle w:val="NoSpacing"/>
        <w:ind w:left="720"/>
        <w:rPr>
          <w:rFonts w:ascii="Times New Roman" w:hAnsi="Times New Roman"/>
          <w:bCs/>
          <w:sz w:val="24"/>
          <w:szCs w:val="24"/>
        </w:rPr>
      </w:pPr>
      <w:hyperlink r:id="rId1635" w:history="1">
        <w:r w:rsidRPr="00BF4DDE">
          <w:rPr>
            <w:rStyle w:val="Hyperlink"/>
            <w:rFonts w:ascii="Times New Roman" w:hAnsi="Times New Roman"/>
            <w:bCs/>
            <w:sz w:val="24"/>
            <w:szCs w:val="24"/>
          </w:rPr>
          <w:t>https://cases.justia.com/federal/appellate-courts/ca11/19-10138/19-10138-2019-10-04.pdf?ts=1570197627</w:t>
        </w:r>
      </w:hyperlink>
      <w:bookmarkEnd w:id="330"/>
      <w:r w:rsidRPr="00BF4DDE">
        <w:rPr>
          <w:rFonts w:ascii="Times New Roman" w:hAnsi="Times New Roman"/>
          <w:bCs/>
          <w:sz w:val="24"/>
          <w:szCs w:val="24"/>
        </w:rPr>
        <w:t xml:space="preserve"> </w:t>
      </w:r>
    </w:p>
    <w:p w14:paraId="541F3065" w14:textId="77777777" w:rsidR="00BF4DDE" w:rsidRDefault="00BF4DDE" w:rsidP="00A06387">
      <w:pPr>
        <w:pStyle w:val="NoSpacing"/>
        <w:rPr>
          <w:rFonts w:ascii="Times New Roman" w:hAnsi="Times New Roman"/>
          <w:b/>
          <w:bCs/>
          <w:sz w:val="24"/>
          <w:szCs w:val="24"/>
        </w:rPr>
      </w:pPr>
    </w:p>
    <w:p w14:paraId="5A9015F3" w14:textId="76C0BF90" w:rsidR="00A06387" w:rsidRPr="00BF4DDE" w:rsidRDefault="00A06387" w:rsidP="00A06387">
      <w:pPr>
        <w:pStyle w:val="NoSpacing"/>
        <w:rPr>
          <w:rFonts w:ascii="Times New Roman" w:hAnsi="Times New Roman"/>
          <w:b/>
          <w:bCs/>
          <w:sz w:val="24"/>
          <w:szCs w:val="24"/>
        </w:rPr>
      </w:pPr>
      <w:bookmarkStart w:id="331" w:name="_Hlk40511568"/>
      <w:r w:rsidRPr="00BF4DDE">
        <w:rPr>
          <w:rFonts w:ascii="Times New Roman" w:hAnsi="Times New Roman"/>
          <w:b/>
          <w:bCs/>
          <w:sz w:val="24"/>
          <w:szCs w:val="24"/>
        </w:rPr>
        <w:t>Legal Lessons Learned: Using panel</w:t>
      </w:r>
      <w:r w:rsidR="00363F33">
        <w:rPr>
          <w:rFonts w:ascii="Times New Roman" w:hAnsi="Times New Roman"/>
          <w:b/>
          <w:bCs/>
          <w:sz w:val="24"/>
          <w:szCs w:val="24"/>
        </w:rPr>
        <w:t xml:space="preserve"> of experienced senior officers from other FDs to </w:t>
      </w:r>
      <w:r w:rsidRPr="00BF4DDE">
        <w:rPr>
          <w:rFonts w:ascii="Times New Roman" w:hAnsi="Times New Roman"/>
          <w:b/>
          <w:bCs/>
          <w:sz w:val="24"/>
          <w:szCs w:val="24"/>
        </w:rPr>
        <w:t xml:space="preserve">rate candidates for Fire Chief is a great process. </w:t>
      </w:r>
    </w:p>
    <w:p w14:paraId="64A6F500" w14:textId="77777777" w:rsidR="00A06387" w:rsidRPr="00656FC7" w:rsidRDefault="00A06387" w:rsidP="00A06387">
      <w:pPr>
        <w:pStyle w:val="NoSpacing"/>
        <w:rPr>
          <w:b/>
          <w:bCs/>
          <w:sz w:val="24"/>
          <w:szCs w:val="24"/>
        </w:rPr>
      </w:pPr>
    </w:p>
    <w:bookmarkEnd w:id="331"/>
    <w:p w14:paraId="13AFCE75" w14:textId="77777777" w:rsidR="00A06387" w:rsidRDefault="00A06387" w:rsidP="00A06387">
      <w:pPr>
        <w:pStyle w:val="NoSpacing"/>
        <w:ind w:left="720"/>
        <w:rPr>
          <w:b/>
          <w:bCs/>
          <w:sz w:val="24"/>
          <w:szCs w:val="24"/>
        </w:rPr>
      </w:pPr>
    </w:p>
    <w:p w14:paraId="23581D50" w14:textId="77777777" w:rsidR="00A06387" w:rsidRDefault="00A06387" w:rsidP="00DE0F03">
      <w:pPr>
        <w:rPr>
          <w:rFonts w:ascii="Arial Black" w:hAnsi="Arial Black"/>
          <w:b/>
          <w:sz w:val="24"/>
          <w:szCs w:val="24"/>
        </w:rPr>
      </w:pPr>
    </w:p>
    <w:p w14:paraId="5D9956D6" w14:textId="11E6F5CA" w:rsidR="00853142" w:rsidRDefault="00853142" w:rsidP="00DE0F03">
      <w:pPr>
        <w:rPr>
          <w:rFonts w:ascii="Arial Black" w:hAnsi="Arial Black"/>
          <w:b/>
          <w:sz w:val="24"/>
          <w:szCs w:val="24"/>
        </w:rPr>
      </w:pPr>
      <w:r>
        <w:rPr>
          <w:rFonts w:ascii="Arial Black" w:hAnsi="Arial Black"/>
          <w:b/>
          <w:sz w:val="24"/>
          <w:szCs w:val="24"/>
        </w:rPr>
        <w:t>8-</w:t>
      </w:r>
      <w:r w:rsidR="005A395B">
        <w:rPr>
          <w:rFonts w:ascii="Arial Black" w:hAnsi="Arial Black"/>
          <w:b/>
          <w:sz w:val="24"/>
          <w:szCs w:val="24"/>
        </w:rPr>
        <w:t>7</w:t>
      </w:r>
    </w:p>
    <w:p w14:paraId="045FC81B" w14:textId="77777777" w:rsidR="00853142" w:rsidRDefault="00853142" w:rsidP="00853142">
      <w:pPr>
        <w:pStyle w:val="NoSpacing"/>
        <w:rPr>
          <w:rFonts w:ascii="Arial Black" w:hAnsi="Arial Black"/>
          <w:sz w:val="28"/>
          <w:szCs w:val="28"/>
        </w:rPr>
      </w:pPr>
      <w:bookmarkStart w:id="332" w:name="_Hlk40511653"/>
      <w:r>
        <w:rPr>
          <w:rFonts w:ascii="Arial Black" w:hAnsi="Arial Black"/>
          <w:sz w:val="28"/>
          <w:szCs w:val="28"/>
        </w:rPr>
        <w:t xml:space="preserve">LA: BLACK EMS CAPT. – NITROGLYCERIN WAS FOR MOUTH, NOT CHEST – SUSPENSION / REMEDIATION PROPER - NOT RACE / GENDER </w:t>
      </w:r>
    </w:p>
    <w:p w14:paraId="698C6FE6" w14:textId="77777777" w:rsidR="00853142" w:rsidRDefault="00853142" w:rsidP="00853142">
      <w:pPr>
        <w:pStyle w:val="NoSpacing"/>
      </w:pPr>
    </w:p>
    <w:p w14:paraId="4BADBE52" w14:textId="66241236" w:rsidR="00853142" w:rsidRDefault="00853142" w:rsidP="00853142">
      <w:pPr>
        <w:pStyle w:val="NoSpacing"/>
        <w:rPr>
          <w:rFonts w:ascii="Times New Roman" w:hAnsi="Times New Roman"/>
          <w:sz w:val="24"/>
          <w:szCs w:val="24"/>
        </w:rPr>
      </w:pPr>
      <w:r w:rsidRPr="008F2205">
        <w:rPr>
          <w:rFonts w:ascii="Times New Roman" w:hAnsi="Times New Roman"/>
          <w:sz w:val="24"/>
          <w:szCs w:val="24"/>
        </w:rPr>
        <w:t xml:space="preserve">On Sept. 17, 2019, in </w:t>
      </w:r>
      <w:r w:rsidRPr="008F2205">
        <w:rPr>
          <w:rFonts w:ascii="Times New Roman" w:hAnsi="Times New Roman"/>
          <w:sz w:val="24"/>
          <w:szCs w:val="24"/>
          <w:u w:val="single"/>
        </w:rPr>
        <w:t>Deborah Mills v. City of Shreveport</w:t>
      </w:r>
      <w:r w:rsidRPr="008F2205">
        <w:rPr>
          <w:rFonts w:ascii="Times New Roman" w:hAnsi="Times New Roman"/>
          <w:sz w:val="24"/>
          <w:szCs w:val="24"/>
        </w:rPr>
        <w:t xml:space="preserve">, </w:t>
      </w:r>
      <w:r>
        <w:rPr>
          <w:rFonts w:ascii="Times New Roman" w:hAnsi="Times New Roman"/>
          <w:sz w:val="24"/>
          <w:szCs w:val="24"/>
        </w:rPr>
        <w:t>U.S. District Court Judge Terry A. Doughty, U.S. District Court of Louisiana, Western District</w:t>
      </w:r>
      <w:r w:rsidRPr="00D91FDE">
        <w:rPr>
          <w:rFonts w:ascii="Times New Roman" w:hAnsi="Times New Roman"/>
          <w:sz w:val="24"/>
          <w:szCs w:val="24"/>
        </w:rPr>
        <w:t>, Shreveport Division,</w:t>
      </w:r>
      <w:r>
        <w:rPr>
          <w:b/>
          <w:bCs/>
        </w:rPr>
        <w:t xml:space="preserve"> </w:t>
      </w:r>
      <w:r>
        <w:rPr>
          <w:rFonts w:ascii="Times New Roman" w:hAnsi="Times New Roman"/>
          <w:sz w:val="24"/>
          <w:szCs w:val="24"/>
        </w:rPr>
        <w:t xml:space="preserve">dismissed her claim of “hostile work atmosphere.”  He had previously dismissed her race and gender discrimination claims. </w:t>
      </w:r>
      <w:hyperlink r:id="rId1636" w:history="1">
        <w:r w:rsidRPr="00DB571D">
          <w:rPr>
            <w:rStyle w:val="Hyperlink"/>
            <w:rFonts w:ascii="Times New Roman" w:hAnsi="Times New Roman"/>
            <w:sz w:val="24"/>
            <w:szCs w:val="24"/>
          </w:rPr>
          <w:t>https://scholar.google.com/scholar_case?case=2959279778538737103&amp;hl=en&amp;as_sdt=6,36</w:t>
        </w:r>
      </w:hyperlink>
      <w:r>
        <w:rPr>
          <w:rFonts w:ascii="Times New Roman" w:hAnsi="Times New Roman"/>
          <w:sz w:val="24"/>
          <w:szCs w:val="24"/>
        </w:rPr>
        <w:t xml:space="preserve"> </w:t>
      </w:r>
    </w:p>
    <w:bookmarkEnd w:id="332"/>
    <w:p w14:paraId="636B1B9D" w14:textId="77777777" w:rsidR="00853142" w:rsidRPr="008F2205" w:rsidRDefault="00853142" w:rsidP="00853142">
      <w:pPr>
        <w:pStyle w:val="NoSpacing"/>
        <w:rPr>
          <w:rFonts w:ascii="Times New Roman" w:hAnsi="Times New Roman"/>
          <w:sz w:val="24"/>
          <w:szCs w:val="24"/>
        </w:rPr>
      </w:pPr>
      <w:r>
        <w:rPr>
          <w:rFonts w:ascii="Times New Roman" w:hAnsi="Times New Roman"/>
          <w:sz w:val="24"/>
          <w:szCs w:val="24"/>
        </w:rPr>
        <w:t xml:space="preserve"> </w:t>
      </w:r>
    </w:p>
    <w:p w14:paraId="1F0F4F59" w14:textId="77777777" w:rsidR="00853142" w:rsidRDefault="00853142" w:rsidP="00853142">
      <w:pPr>
        <w:pStyle w:val="NoSpacing"/>
        <w:ind w:left="720"/>
        <w:rPr>
          <w:rFonts w:ascii="Times New Roman" w:hAnsi="Times New Roman"/>
          <w:sz w:val="24"/>
          <w:szCs w:val="24"/>
        </w:rPr>
      </w:pPr>
      <w:r>
        <w:rPr>
          <w:rFonts w:ascii="Times New Roman" w:hAnsi="Times New Roman"/>
          <w:sz w:val="24"/>
          <w:szCs w:val="24"/>
        </w:rPr>
        <w:t>“</w:t>
      </w:r>
      <w:r w:rsidRPr="008F2205">
        <w:rPr>
          <w:rFonts w:ascii="Times New Roman" w:hAnsi="Times New Roman"/>
          <w:sz w:val="24"/>
          <w:szCs w:val="24"/>
        </w:rPr>
        <w:t xml:space="preserve">While Mills may subjectively believe that she has been treated differently and more harshly because of her race and/or gender, neither her subjective belief </w:t>
      </w:r>
      <w:proofErr w:type="gramStart"/>
      <w:r w:rsidRPr="008F2205">
        <w:rPr>
          <w:rFonts w:ascii="Times New Roman" w:hAnsi="Times New Roman"/>
          <w:sz w:val="24"/>
          <w:szCs w:val="24"/>
        </w:rPr>
        <w:t>or</w:t>
      </w:r>
      <w:proofErr w:type="gramEnd"/>
      <w:r w:rsidRPr="008F2205">
        <w:rPr>
          <w:rFonts w:ascii="Times New Roman" w:hAnsi="Times New Roman"/>
          <w:sz w:val="24"/>
          <w:szCs w:val="24"/>
        </w:rPr>
        <w:t xml:space="preserve"> that of others is enough to present this case to a jury. The Court finds that Mills has presented no genuine issue of material fact regarding whether she was subjected to harassment based on race or gender, and therefore she has failed to present a </w:t>
      </w:r>
      <w:r w:rsidRPr="008F2205">
        <w:rPr>
          <w:rFonts w:ascii="Times New Roman" w:hAnsi="Times New Roman"/>
          <w:i/>
          <w:iCs/>
          <w:sz w:val="24"/>
          <w:szCs w:val="24"/>
        </w:rPr>
        <w:t>prima facie</w:t>
      </w:r>
      <w:r w:rsidRPr="008F2205">
        <w:rPr>
          <w:rFonts w:ascii="Times New Roman" w:hAnsi="Times New Roman"/>
          <w:sz w:val="24"/>
          <w:szCs w:val="24"/>
        </w:rPr>
        <w:t xml:space="preserve"> case for a hostile work environment under Title VII. Therefore, the Court GRANTS the City's Motion for Summary Judgment on this remaining claim.</w:t>
      </w:r>
      <w:r>
        <w:rPr>
          <w:rFonts w:ascii="Times New Roman" w:hAnsi="Times New Roman"/>
          <w:sz w:val="24"/>
          <w:szCs w:val="24"/>
        </w:rPr>
        <w:t>”</w:t>
      </w:r>
    </w:p>
    <w:p w14:paraId="2963BFBB" w14:textId="77777777" w:rsidR="00853142" w:rsidRDefault="00853142" w:rsidP="00853142">
      <w:pPr>
        <w:pStyle w:val="NoSpacing"/>
        <w:ind w:left="720"/>
        <w:rPr>
          <w:rFonts w:ascii="Times New Roman" w:hAnsi="Times New Roman"/>
          <w:sz w:val="24"/>
          <w:szCs w:val="24"/>
        </w:rPr>
      </w:pPr>
    </w:p>
    <w:p w14:paraId="72BF3DD3" w14:textId="2228C2EF" w:rsidR="00853142" w:rsidRDefault="00853142" w:rsidP="00853142">
      <w:pPr>
        <w:pStyle w:val="NoSpacing"/>
      </w:pPr>
      <w:r>
        <w:rPr>
          <w:rFonts w:ascii="Times New Roman" w:hAnsi="Times New Roman"/>
          <w:sz w:val="24"/>
          <w:szCs w:val="24"/>
        </w:rPr>
        <w:t xml:space="preserve">On June 21, 2019, her other claims of race and gender discrimination were dismissed: </w:t>
      </w:r>
      <w:hyperlink r:id="rId1637" w:history="1">
        <w:r w:rsidRPr="00062632">
          <w:rPr>
            <w:rStyle w:val="Hyperlink"/>
            <w:rFonts w:ascii="Times New Roman" w:hAnsi="Times New Roman"/>
            <w:sz w:val="24"/>
            <w:szCs w:val="24"/>
          </w:rPr>
          <w:t>https://www.leagle.com/decision/infdco20190624a02</w:t>
        </w:r>
      </w:hyperlink>
      <w:r>
        <w:rPr>
          <w:rFonts w:ascii="Times New Roman" w:hAnsi="Times New Roman"/>
          <w:sz w:val="24"/>
          <w:szCs w:val="24"/>
        </w:rPr>
        <w:t xml:space="preserve">  </w:t>
      </w:r>
    </w:p>
    <w:p w14:paraId="2DB3C023" w14:textId="77777777" w:rsidR="00853142" w:rsidRDefault="00853142" w:rsidP="00853142">
      <w:pPr>
        <w:pStyle w:val="NoSpacing"/>
        <w:rPr>
          <w:rFonts w:ascii="Times New Roman" w:hAnsi="Times New Roman"/>
          <w:sz w:val="24"/>
          <w:szCs w:val="24"/>
        </w:rPr>
      </w:pPr>
    </w:p>
    <w:p w14:paraId="266D51BA" w14:textId="5697C054" w:rsidR="00853142" w:rsidRDefault="00853142" w:rsidP="00853142">
      <w:pPr>
        <w:pStyle w:val="NoSpacing"/>
        <w:rPr>
          <w:rFonts w:ascii="Times New Roman" w:hAnsi="Times New Roman"/>
          <w:b/>
          <w:bCs/>
          <w:sz w:val="24"/>
          <w:szCs w:val="24"/>
        </w:rPr>
      </w:pPr>
      <w:bookmarkStart w:id="333" w:name="_Hlk40511708"/>
      <w:r w:rsidRPr="009871EA">
        <w:rPr>
          <w:rFonts w:ascii="Times New Roman" w:hAnsi="Times New Roman"/>
          <w:b/>
          <w:bCs/>
          <w:sz w:val="24"/>
          <w:szCs w:val="24"/>
        </w:rPr>
        <w:t xml:space="preserve">Legal Lessons Learned:  </w:t>
      </w:r>
      <w:r>
        <w:rPr>
          <w:rFonts w:ascii="Times New Roman" w:hAnsi="Times New Roman"/>
          <w:b/>
          <w:bCs/>
          <w:sz w:val="24"/>
          <w:szCs w:val="24"/>
        </w:rPr>
        <w:t xml:space="preserve">EMS protocols must be followed, and suspension / remediation training is an appropriate corrective action.    </w:t>
      </w:r>
      <w:bookmarkEnd w:id="333"/>
      <w:r>
        <w:rPr>
          <w:rFonts w:ascii="Times New Roman" w:hAnsi="Times New Roman"/>
          <w:b/>
          <w:bCs/>
          <w:sz w:val="24"/>
          <w:szCs w:val="24"/>
        </w:rPr>
        <w:t>[Also filed, Chap. 13, EMS.]</w:t>
      </w:r>
    </w:p>
    <w:p w14:paraId="4AE507B0" w14:textId="77777777" w:rsidR="00853142" w:rsidRDefault="00853142" w:rsidP="00853142">
      <w:pPr>
        <w:pStyle w:val="NoSpacing"/>
        <w:rPr>
          <w:rFonts w:ascii="Times New Roman" w:hAnsi="Times New Roman"/>
          <w:b/>
          <w:bCs/>
          <w:sz w:val="24"/>
          <w:szCs w:val="24"/>
        </w:rPr>
      </w:pPr>
    </w:p>
    <w:p w14:paraId="4AA3AE3A" w14:textId="5F9AEE97" w:rsidR="00853142" w:rsidRDefault="00853142" w:rsidP="00DE0F03">
      <w:pPr>
        <w:rPr>
          <w:rFonts w:ascii="Arial Black" w:hAnsi="Arial Black"/>
          <w:b/>
          <w:sz w:val="24"/>
          <w:szCs w:val="24"/>
        </w:rPr>
      </w:pPr>
    </w:p>
    <w:p w14:paraId="55BFF9FC" w14:textId="37E92331" w:rsidR="00C80464" w:rsidRDefault="00C80464" w:rsidP="00DE0F03">
      <w:pPr>
        <w:rPr>
          <w:rFonts w:ascii="Arial Black" w:hAnsi="Arial Black"/>
          <w:b/>
          <w:sz w:val="24"/>
          <w:szCs w:val="24"/>
        </w:rPr>
      </w:pPr>
      <w:r>
        <w:rPr>
          <w:rFonts w:ascii="Arial Black" w:hAnsi="Arial Black"/>
          <w:b/>
          <w:sz w:val="24"/>
          <w:szCs w:val="24"/>
        </w:rPr>
        <w:t>8-</w:t>
      </w:r>
      <w:r w:rsidR="005A395B">
        <w:rPr>
          <w:rFonts w:ascii="Arial Black" w:hAnsi="Arial Black"/>
          <w:b/>
          <w:sz w:val="24"/>
          <w:szCs w:val="24"/>
        </w:rPr>
        <w:t>6</w:t>
      </w:r>
    </w:p>
    <w:p w14:paraId="01A93CC9" w14:textId="77777777" w:rsidR="00C80464" w:rsidRDefault="00C80464" w:rsidP="00C80464">
      <w:pPr>
        <w:rPr>
          <w:rFonts w:ascii="Arial Black" w:hAnsi="Arial Black"/>
          <w:sz w:val="28"/>
          <w:szCs w:val="28"/>
        </w:rPr>
      </w:pPr>
      <w:r w:rsidRPr="008D7870">
        <w:rPr>
          <w:rFonts w:ascii="Arial Black" w:hAnsi="Arial Black"/>
          <w:sz w:val="28"/>
          <w:szCs w:val="28"/>
        </w:rPr>
        <w:lastRenderedPageBreak/>
        <w:t xml:space="preserve">MO: </w:t>
      </w:r>
      <w:r>
        <w:rPr>
          <w:rFonts w:ascii="Arial Black" w:hAnsi="Arial Black"/>
          <w:sz w:val="28"/>
          <w:szCs w:val="28"/>
        </w:rPr>
        <w:t>BLACK FF SCORED 32</w:t>
      </w:r>
      <w:r w:rsidRPr="00502E41">
        <w:rPr>
          <w:rFonts w:ascii="Arial Black" w:hAnsi="Arial Black"/>
          <w:sz w:val="28"/>
          <w:szCs w:val="28"/>
          <w:vertAlign w:val="superscript"/>
        </w:rPr>
        <w:t>nd</w:t>
      </w:r>
      <w:r>
        <w:rPr>
          <w:rFonts w:ascii="Arial Black" w:hAnsi="Arial Black"/>
          <w:sz w:val="28"/>
          <w:szCs w:val="28"/>
        </w:rPr>
        <w:t xml:space="preserve"> CAPTAIN’S TEST – RESIGNED 1-YR LATER &amp; RETIRED – NOT “CONSTRUCTIVE DISCHARGE” </w:t>
      </w:r>
    </w:p>
    <w:p w14:paraId="548D9C79" w14:textId="3C263712" w:rsidR="00C80464" w:rsidRDefault="00C80464" w:rsidP="00C80464">
      <w:pPr>
        <w:rPr>
          <w:rFonts w:ascii="Times New Roman" w:hAnsi="Times New Roman"/>
          <w:sz w:val="24"/>
          <w:szCs w:val="24"/>
        </w:rPr>
      </w:pPr>
      <w:r w:rsidRPr="008D7870">
        <w:rPr>
          <w:rFonts w:ascii="Times New Roman" w:hAnsi="Times New Roman"/>
          <w:sz w:val="24"/>
          <w:szCs w:val="24"/>
        </w:rPr>
        <w:t xml:space="preserve">On </w:t>
      </w:r>
      <w:bookmarkStart w:id="334" w:name="_Hlk39838078"/>
      <w:r w:rsidRPr="008D7870">
        <w:rPr>
          <w:rFonts w:ascii="Times New Roman" w:hAnsi="Times New Roman"/>
          <w:sz w:val="24"/>
          <w:szCs w:val="24"/>
        </w:rPr>
        <w:t xml:space="preserve">Sept. 6, 2019, in </w:t>
      </w:r>
      <w:r w:rsidRPr="008D7870">
        <w:rPr>
          <w:rFonts w:ascii="Times New Roman" w:hAnsi="Times New Roman"/>
          <w:sz w:val="24"/>
          <w:szCs w:val="24"/>
          <w:u w:val="single"/>
        </w:rPr>
        <w:t xml:space="preserve">Travis </w:t>
      </w:r>
      <w:proofErr w:type="spellStart"/>
      <w:r w:rsidRPr="008D7870">
        <w:rPr>
          <w:rFonts w:ascii="Times New Roman" w:hAnsi="Times New Roman"/>
          <w:sz w:val="24"/>
          <w:szCs w:val="24"/>
          <w:u w:val="single"/>
        </w:rPr>
        <w:t>Yeargans</w:t>
      </w:r>
      <w:proofErr w:type="spellEnd"/>
      <w:r w:rsidRPr="008D7870">
        <w:rPr>
          <w:rFonts w:ascii="Times New Roman" w:hAnsi="Times New Roman"/>
          <w:sz w:val="24"/>
          <w:szCs w:val="24"/>
          <w:u w:val="single"/>
        </w:rPr>
        <w:t xml:space="preserve"> v. City of Kansas City</w:t>
      </w:r>
      <w:r w:rsidRPr="008D7870">
        <w:rPr>
          <w:rFonts w:ascii="Times New Roman" w:hAnsi="Times New Roman"/>
          <w:sz w:val="24"/>
          <w:szCs w:val="24"/>
        </w:rPr>
        <w:t xml:space="preserve">, </w:t>
      </w:r>
      <w:bookmarkEnd w:id="334"/>
      <w:r>
        <w:rPr>
          <w:rFonts w:ascii="Times New Roman" w:hAnsi="Times New Roman"/>
          <w:sz w:val="24"/>
          <w:szCs w:val="24"/>
        </w:rPr>
        <w:t xml:space="preserve">Senior U.S. District Court Judge </w:t>
      </w:r>
      <w:proofErr w:type="spellStart"/>
      <w:r>
        <w:rPr>
          <w:rFonts w:ascii="Times New Roman" w:hAnsi="Times New Roman"/>
          <w:sz w:val="24"/>
          <w:szCs w:val="24"/>
        </w:rPr>
        <w:t>Ortrie</w:t>
      </w:r>
      <w:proofErr w:type="spellEnd"/>
      <w:r>
        <w:rPr>
          <w:rFonts w:ascii="Times New Roman" w:hAnsi="Times New Roman"/>
          <w:sz w:val="24"/>
          <w:szCs w:val="24"/>
        </w:rPr>
        <w:t xml:space="preserve"> D. Smith, U.S. District Court for Western District of Missouri, granted the City’s motion for summary judgment on the “constructive discharge” claim.  The lawsuit alleging other racial discrimination claims may now proceed to trial. </w:t>
      </w:r>
    </w:p>
    <w:p w14:paraId="57B8A34D" w14:textId="77777777" w:rsidR="00C80464" w:rsidRDefault="00C80464" w:rsidP="00C80464">
      <w:pPr>
        <w:rPr>
          <w:rFonts w:ascii="Times New Roman" w:hAnsi="Times New Roman"/>
          <w:sz w:val="24"/>
          <w:szCs w:val="24"/>
        </w:rPr>
      </w:pPr>
      <w:r>
        <w:rPr>
          <w:rFonts w:ascii="Times New Roman" w:hAnsi="Times New Roman"/>
          <w:sz w:val="24"/>
          <w:szCs w:val="24"/>
        </w:rPr>
        <w:tab/>
        <w:t xml:space="preserve">Senior Judge Smith wrote: </w:t>
      </w:r>
    </w:p>
    <w:p w14:paraId="615DA201" w14:textId="77777777" w:rsidR="00C80464" w:rsidRDefault="00C80464" w:rsidP="00C80464">
      <w:pPr>
        <w:pStyle w:val="NormalWeb"/>
        <w:ind w:left="1440"/>
      </w:pPr>
      <w:r>
        <w:t xml:space="preserve">“Moreover, Plaintiff admits he did not discuss his reasons for leaving the KCFD with Defendant, and he did not complain to Defendant that he was the victim of discrimination. </w:t>
      </w:r>
      <w:proofErr w:type="gramStart"/>
      <w:r>
        <w:t>Doc. #</w:t>
      </w:r>
      <w:proofErr w:type="gramEnd"/>
      <w:r>
        <w:t xml:space="preserve">36-5, at 1-2. These admissions are fatal to his constructive discharge claim. </w:t>
      </w:r>
      <w:r>
        <w:rPr>
          <w:i/>
          <w:iCs/>
        </w:rPr>
        <w:t>See, e.g., Anda,</w:t>
      </w:r>
      <w:r>
        <w:t xml:space="preserve"> 517 F.3d at 535; </w:t>
      </w:r>
      <w:r>
        <w:rPr>
          <w:i/>
          <w:iCs/>
        </w:rPr>
        <w:t>Davison,</w:t>
      </w:r>
      <w:r>
        <w:t xml:space="preserve"> 121 F. </w:t>
      </w:r>
      <w:proofErr w:type="spellStart"/>
      <w:r>
        <w:t>App'x</w:t>
      </w:r>
      <w:proofErr w:type="spellEnd"/>
      <w:r>
        <w:t xml:space="preserve"> at 672; </w:t>
      </w:r>
      <w:r>
        <w:rPr>
          <w:i/>
          <w:iCs/>
        </w:rPr>
        <w:t>Williams v. City of Kan. City,</w:t>
      </w:r>
      <w:r>
        <w:t> </w:t>
      </w:r>
      <w:hyperlink r:id="rId1638" w:history="1">
        <w:r>
          <w:rPr>
            <w:rStyle w:val="Hyperlink"/>
          </w:rPr>
          <w:t>223 F.3d 749</w:t>
        </w:r>
      </w:hyperlink>
      <w:r>
        <w:t xml:space="preserve">, 754 (8th Cir. 2000) (finding the plaintiff did not give the city an opportunity to address her concerns, and therefore, the Court could not say resignation was the plaintiff's only plausible alternative); </w:t>
      </w:r>
      <w:r>
        <w:rPr>
          <w:i/>
          <w:iCs/>
        </w:rPr>
        <w:t>Knowles v. Citicorp Mortg., Inc.,</w:t>
      </w:r>
      <w:r>
        <w:t> </w:t>
      </w:r>
      <w:hyperlink r:id="rId1639" w:history="1">
        <w:r>
          <w:rPr>
            <w:rStyle w:val="Hyperlink"/>
          </w:rPr>
          <w:t>142 F.3d 1082</w:t>
        </w:r>
      </w:hyperlink>
      <w:r>
        <w:t>, 1086 (8th Cir. 1998) (citations omitted).</w:t>
      </w:r>
    </w:p>
    <w:p w14:paraId="7D10CBF1" w14:textId="086CE11A" w:rsidR="005A395B" w:rsidRDefault="00C80464" w:rsidP="005A395B">
      <w:pPr>
        <w:pStyle w:val="NormalWeb"/>
        <w:ind w:left="1440"/>
      </w:pPr>
      <w:r>
        <w:t xml:space="preserve">In addition, Plaintiff does not explain why he left his employment in April 2014 when he received his oral examination scores in November 2012, and the promotional list was published in December 2012. Plaintiff does not demonstrate how his working conditions became ‘so intolerable’ during that timeframe. In fact, Plaintiff points to nothing specific that occurred during that timeframe that rendered his working conditions so intolerable. Instead, the passage of more than a year between the alleged discriminatory act(s) and Plaintiff's decision to leave his employment does not support his contention that his working conditions were </w:t>
      </w:r>
      <w:r w:rsidRPr="00EA4108">
        <w:t>so intolerable he felt he had no choice but to quit.”</w:t>
      </w:r>
      <w:r w:rsidR="005A395B">
        <w:t xml:space="preserve"> </w:t>
      </w:r>
      <w:bookmarkStart w:id="335" w:name="_Hlk39838123"/>
      <w:r w:rsidR="005A395B">
        <w:fldChar w:fldCharType="begin"/>
      </w:r>
      <w:r w:rsidR="005A395B">
        <w:instrText xml:space="preserve"> HYPERLINK "https://www.leagle.com/decision/infdco20190909844" </w:instrText>
      </w:r>
      <w:r w:rsidR="005A395B">
        <w:fldChar w:fldCharType="separate"/>
      </w:r>
      <w:r w:rsidR="005A395B" w:rsidRPr="00C712CE">
        <w:rPr>
          <w:rStyle w:val="Hyperlink"/>
        </w:rPr>
        <w:t>https://www.leagle.com/decision/infdco20190909844</w:t>
      </w:r>
      <w:r w:rsidR="005A395B">
        <w:rPr>
          <w:rStyle w:val="Hyperlink"/>
        </w:rPr>
        <w:fldChar w:fldCharType="end"/>
      </w:r>
      <w:r w:rsidR="005A395B">
        <w:t xml:space="preserve"> </w:t>
      </w:r>
    </w:p>
    <w:bookmarkEnd w:id="335"/>
    <w:p w14:paraId="30DF2EBD" w14:textId="77777777" w:rsidR="005A395B" w:rsidRPr="00EA4108" w:rsidRDefault="005A395B" w:rsidP="00C80464">
      <w:pPr>
        <w:pStyle w:val="NormalWeb"/>
        <w:ind w:left="1440"/>
      </w:pPr>
    </w:p>
    <w:p w14:paraId="2536D4AC" w14:textId="64177E4A" w:rsidR="00C80464" w:rsidRPr="00502E41" w:rsidRDefault="00C80464" w:rsidP="00C80464">
      <w:pPr>
        <w:pStyle w:val="Heading1"/>
        <w:rPr>
          <w:sz w:val="24"/>
          <w:szCs w:val="24"/>
        </w:rPr>
      </w:pPr>
      <w:r w:rsidRPr="00502E41">
        <w:rPr>
          <w:sz w:val="24"/>
          <w:szCs w:val="24"/>
        </w:rPr>
        <w:t xml:space="preserve">Legal Lessons Learned: The promotion process used </w:t>
      </w:r>
      <w:r>
        <w:rPr>
          <w:sz w:val="24"/>
          <w:szCs w:val="24"/>
        </w:rPr>
        <w:t xml:space="preserve">by Kansas City </w:t>
      </w:r>
      <w:r w:rsidRPr="00502E41">
        <w:rPr>
          <w:sz w:val="24"/>
          <w:szCs w:val="24"/>
        </w:rPr>
        <w:t>was well constructed</w:t>
      </w:r>
      <w:r>
        <w:rPr>
          <w:sz w:val="24"/>
          <w:szCs w:val="24"/>
        </w:rPr>
        <w:t xml:space="preserve"> and well documented</w:t>
      </w:r>
      <w:r w:rsidRPr="00502E41">
        <w:rPr>
          <w:sz w:val="24"/>
          <w:szCs w:val="24"/>
        </w:rPr>
        <w:t>.  If a firefighter believes that a promotion process was improperly conducted, or racially discriminatory, promptly file an internal complaint so the matter can be investigated</w:t>
      </w:r>
      <w:r>
        <w:rPr>
          <w:sz w:val="24"/>
          <w:szCs w:val="24"/>
        </w:rPr>
        <w:t xml:space="preserve">, or file an </w:t>
      </w:r>
      <w:r w:rsidRPr="00502E41">
        <w:rPr>
          <w:sz w:val="24"/>
          <w:szCs w:val="24"/>
        </w:rPr>
        <w:t xml:space="preserve">EEOC charge: </w:t>
      </w:r>
      <w:r>
        <w:rPr>
          <w:sz w:val="24"/>
          <w:szCs w:val="24"/>
        </w:rPr>
        <w:t>“</w:t>
      </w:r>
      <w:r w:rsidRPr="00502E41">
        <w:rPr>
          <w:sz w:val="24"/>
          <w:szCs w:val="24"/>
        </w:rPr>
        <w:t xml:space="preserve">Time Limits </w:t>
      </w:r>
      <w:proofErr w:type="gramStart"/>
      <w:r w:rsidRPr="00502E41">
        <w:rPr>
          <w:sz w:val="24"/>
          <w:szCs w:val="24"/>
        </w:rPr>
        <w:t>For</w:t>
      </w:r>
      <w:proofErr w:type="gramEnd"/>
      <w:r w:rsidRPr="00502E41">
        <w:rPr>
          <w:sz w:val="24"/>
          <w:szCs w:val="24"/>
        </w:rPr>
        <w:t xml:space="preserve"> Filing </w:t>
      </w:r>
      <w:proofErr w:type="gramStart"/>
      <w:r w:rsidRPr="00502E41">
        <w:rPr>
          <w:sz w:val="24"/>
          <w:szCs w:val="24"/>
        </w:rPr>
        <w:t>A</w:t>
      </w:r>
      <w:proofErr w:type="gramEnd"/>
      <w:r w:rsidRPr="00502E41">
        <w:rPr>
          <w:sz w:val="24"/>
          <w:szCs w:val="24"/>
        </w:rPr>
        <w:t xml:space="preserve"> Charge</w:t>
      </w:r>
      <w:r>
        <w:rPr>
          <w:sz w:val="24"/>
          <w:szCs w:val="24"/>
        </w:rPr>
        <w:t xml:space="preserve">: </w:t>
      </w:r>
      <w:r w:rsidRPr="00502E41">
        <w:rPr>
          <w:sz w:val="24"/>
          <w:szCs w:val="24"/>
        </w:rPr>
        <w:t xml:space="preserve">The anti-discrimination laws give you a limited amount of time to file a charge of discrimination. In general, you need to file a charge within 180 calendar days from the day the discrimination took place. The </w:t>
      </w:r>
      <w:proofErr w:type="gramStart"/>
      <w:r w:rsidRPr="00502E41">
        <w:rPr>
          <w:sz w:val="24"/>
          <w:szCs w:val="24"/>
        </w:rPr>
        <w:t>180</w:t>
      </w:r>
      <w:r w:rsidR="00BF4DDE">
        <w:rPr>
          <w:sz w:val="24"/>
          <w:szCs w:val="24"/>
        </w:rPr>
        <w:t xml:space="preserve"> </w:t>
      </w:r>
      <w:r w:rsidRPr="00502E41">
        <w:rPr>
          <w:sz w:val="24"/>
          <w:szCs w:val="24"/>
        </w:rPr>
        <w:t>calendar</w:t>
      </w:r>
      <w:proofErr w:type="gramEnd"/>
      <w:r>
        <w:rPr>
          <w:sz w:val="24"/>
          <w:szCs w:val="24"/>
        </w:rPr>
        <w:t xml:space="preserve"> </w:t>
      </w:r>
      <w:r w:rsidRPr="00502E41">
        <w:rPr>
          <w:sz w:val="24"/>
          <w:szCs w:val="24"/>
        </w:rPr>
        <w:t xml:space="preserve">day filing deadline is extended to 300 calendar days if a state or local agency enforces a law that prohibits employment discrimination on the same basis. </w:t>
      </w:r>
      <w:hyperlink r:id="rId1640" w:history="1">
        <w:r w:rsidRPr="00C712CE">
          <w:rPr>
            <w:rStyle w:val="Hyperlink"/>
            <w:sz w:val="24"/>
            <w:szCs w:val="24"/>
          </w:rPr>
          <w:t>https://www.eeoc.gov/employees/timeliness.cfm</w:t>
        </w:r>
      </w:hyperlink>
      <w:r>
        <w:rPr>
          <w:sz w:val="24"/>
          <w:szCs w:val="24"/>
        </w:rPr>
        <w:t xml:space="preserve"> </w:t>
      </w:r>
    </w:p>
    <w:p w14:paraId="033B93A8" w14:textId="77777777" w:rsidR="00853142" w:rsidRDefault="00853142" w:rsidP="00DE0F03">
      <w:pPr>
        <w:rPr>
          <w:rFonts w:ascii="Arial Black" w:hAnsi="Arial Black"/>
          <w:b/>
          <w:sz w:val="24"/>
          <w:szCs w:val="24"/>
        </w:rPr>
      </w:pPr>
    </w:p>
    <w:p w14:paraId="480E87CF" w14:textId="77777777" w:rsidR="00853142" w:rsidRDefault="00853142" w:rsidP="00DE0F03">
      <w:pPr>
        <w:rPr>
          <w:rFonts w:ascii="Arial Black" w:hAnsi="Arial Black"/>
          <w:b/>
          <w:sz w:val="24"/>
          <w:szCs w:val="24"/>
        </w:rPr>
      </w:pPr>
    </w:p>
    <w:p w14:paraId="24CA077B" w14:textId="0C23E665" w:rsidR="009F0F05" w:rsidRDefault="009F0F05" w:rsidP="00DE0F03">
      <w:pPr>
        <w:rPr>
          <w:rFonts w:ascii="Arial Black" w:hAnsi="Arial Black"/>
          <w:b/>
          <w:sz w:val="24"/>
          <w:szCs w:val="24"/>
        </w:rPr>
      </w:pPr>
      <w:r>
        <w:rPr>
          <w:rFonts w:ascii="Arial Black" w:hAnsi="Arial Black"/>
          <w:b/>
          <w:sz w:val="24"/>
          <w:szCs w:val="24"/>
        </w:rPr>
        <w:t>8-</w:t>
      </w:r>
      <w:r w:rsidR="005A395B">
        <w:rPr>
          <w:rFonts w:ascii="Arial Black" w:hAnsi="Arial Black"/>
          <w:b/>
          <w:sz w:val="24"/>
          <w:szCs w:val="24"/>
        </w:rPr>
        <w:t>5</w:t>
      </w:r>
    </w:p>
    <w:p w14:paraId="429CDB91" w14:textId="77777777" w:rsidR="009F0F05" w:rsidRDefault="009F0F05" w:rsidP="009F0F05">
      <w:pPr>
        <w:rPr>
          <w:rFonts w:ascii="Arial Black" w:hAnsi="Arial Black"/>
          <w:sz w:val="28"/>
          <w:szCs w:val="28"/>
        </w:rPr>
      </w:pPr>
      <w:bookmarkStart w:id="336" w:name="_Hlk39765165"/>
      <w:r>
        <w:rPr>
          <w:rFonts w:ascii="Arial Black" w:hAnsi="Arial Black"/>
          <w:sz w:val="28"/>
          <w:szCs w:val="28"/>
        </w:rPr>
        <w:t>U.S. SUP. CT:  MURDER DEFENDANT GETS NEW TRIAL (HIS 7</w:t>
      </w:r>
      <w:r w:rsidRPr="008C483C">
        <w:rPr>
          <w:rFonts w:ascii="Arial Black" w:hAnsi="Arial Black"/>
          <w:sz w:val="28"/>
          <w:szCs w:val="28"/>
          <w:vertAlign w:val="superscript"/>
        </w:rPr>
        <w:t>TH</w:t>
      </w:r>
      <w:r>
        <w:rPr>
          <w:rFonts w:ascii="Arial Black" w:hAnsi="Arial Black"/>
          <w:sz w:val="28"/>
          <w:szCs w:val="28"/>
        </w:rPr>
        <w:t xml:space="preserve">) - PROSECUTOR REPEATEDLY REMOVED BLACKS FROM JURY </w:t>
      </w:r>
    </w:p>
    <w:p w14:paraId="16A00F70" w14:textId="424D72BA" w:rsidR="009F0F05" w:rsidRPr="00AB528C" w:rsidRDefault="009F0F05" w:rsidP="009F0F05">
      <w:pPr>
        <w:rPr>
          <w:rFonts w:ascii="Times New Roman" w:hAnsi="Times New Roman"/>
          <w:sz w:val="24"/>
          <w:szCs w:val="24"/>
        </w:rPr>
      </w:pPr>
      <w:bookmarkStart w:id="337" w:name="_Hlk39837497"/>
      <w:r w:rsidRPr="00AB528C">
        <w:rPr>
          <w:rFonts w:ascii="Times New Roman" w:hAnsi="Times New Roman"/>
          <w:sz w:val="24"/>
          <w:szCs w:val="24"/>
        </w:rPr>
        <w:lastRenderedPageBreak/>
        <w:t xml:space="preserve">On June 21, 2019, in </w:t>
      </w:r>
      <w:r w:rsidRPr="00AB528C">
        <w:rPr>
          <w:rFonts w:ascii="Times New Roman" w:hAnsi="Times New Roman"/>
          <w:sz w:val="24"/>
          <w:szCs w:val="24"/>
          <w:u w:val="single"/>
        </w:rPr>
        <w:t>Flowers v. Mississippi</w:t>
      </w:r>
      <w:bookmarkEnd w:id="337"/>
      <w:r w:rsidRPr="00AB528C">
        <w:rPr>
          <w:rFonts w:ascii="Times New Roman" w:hAnsi="Times New Roman"/>
          <w:sz w:val="24"/>
          <w:szCs w:val="24"/>
        </w:rPr>
        <w:t xml:space="preserve">, the U.S. Supreme Court (7 to 2), </w:t>
      </w:r>
      <w:r>
        <w:rPr>
          <w:rFonts w:ascii="Times New Roman" w:hAnsi="Times New Roman"/>
          <w:sz w:val="24"/>
          <w:szCs w:val="24"/>
        </w:rPr>
        <w:t xml:space="preserve">overturned the defendant’s </w:t>
      </w:r>
      <w:r w:rsidRPr="00AB528C">
        <w:rPr>
          <w:rFonts w:ascii="Times New Roman" w:hAnsi="Times New Roman"/>
          <w:sz w:val="24"/>
          <w:szCs w:val="24"/>
        </w:rPr>
        <w:t>conviction of murdering four people</w:t>
      </w:r>
      <w:r>
        <w:rPr>
          <w:rFonts w:ascii="Times New Roman" w:hAnsi="Times New Roman"/>
          <w:sz w:val="24"/>
          <w:szCs w:val="24"/>
        </w:rPr>
        <w:t>, and remand the case for re-trial (he has previously been tried six times for the murders).</w:t>
      </w:r>
      <w:r w:rsidRPr="00AB528C">
        <w:rPr>
          <w:rFonts w:ascii="Times New Roman" w:hAnsi="Times New Roman"/>
          <w:sz w:val="24"/>
          <w:szCs w:val="24"/>
        </w:rPr>
        <w:t xml:space="preserve"> </w:t>
      </w:r>
    </w:p>
    <w:p w14:paraId="157CF34A" w14:textId="77777777" w:rsidR="009F0F05" w:rsidRPr="00D3075E" w:rsidRDefault="009F0F05" w:rsidP="009F0F05">
      <w:pPr>
        <w:rPr>
          <w:rFonts w:ascii="Times New Roman" w:hAnsi="Times New Roman"/>
          <w:sz w:val="24"/>
          <w:szCs w:val="24"/>
        </w:rPr>
      </w:pPr>
      <w:r>
        <w:rPr>
          <w:sz w:val="27"/>
          <w:szCs w:val="27"/>
        </w:rPr>
        <w:tab/>
      </w:r>
      <w:r w:rsidRPr="00D3075E">
        <w:rPr>
          <w:rFonts w:ascii="Times New Roman" w:hAnsi="Times New Roman"/>
          <w:sz w:val="24"/>
          <w:szCs w:val="24"/>
        </w:rPr>
        <w:t xml:space="preserve">Justice </w:t>
      </w:r>
      <w:r>
        <w:rPr>
          <w:rFonts w:ascii="Times New Roman" w:hAnsi="Times New Roman"/>
          <w:sz w:val="24"/>
          <w:szCs w:val="24"/>
        </w:rPr>
        <w:t xml:space="preserve">Brett </w:t>
      </w:r>
      <w:r w:rsidRPr="00D3075E">
        <w:rPr>
          <w:rFonts w:ascii="Times New Roman" w:hAnsi="Times New Roman"/>
          <w:sz w:val="24"/>
          <w:szCs w:val="24"/>
        </w:rPr>
        <w:t xml:space="preserve">Kavanaugh wrote majority opinion: </w:t>
      </w:r>
    </w:p>
    <w:p w14:paraId="4DC68B48" w14:textId="77777777" w:rsidR="00DB482B" w:rsidRPr="00AB528C" w:rsidRDefault="009F0F05" w:rsidP="00DB482B">
      <w:pPr>
        <w:ind w:left="720"/>
        <w:rPr>
          <w:rFonts w:ascii="Times New Roman" w:hAnsi="Times New Roman"/>
          <w:sz w:val="24"/>
          <w:szCs w:val="24"/>
        </w:rPr>
      </w:pPr>
      <w:r>
        <w:rPr>
          <w:sz w:val="27"/>
          <w:szCs w:val="27"/>
        </w:rPr>
        <w:t>“</w:t>
      </w:r>
      <w:r w:rsidRPr="00D3075E">
        <w:rPr>
          <w:rFonts w:ascii="Times New Roman" w:hAnsi="Times New Roman"/>
          <w:sz w:val="24"/>
          <w:szCs w:val="24"/>
        </w:rPr>
        <w:t>Four critical facts, taken together, require reversal. First, in the six trials combined, the State employed its peremptory challenges to strike 41 of the 42 black prospective jurors that it could have struck</w:t>
      </w:r>
      <w:proofErr w:type="gramStart"/>
      <w:r w:rsidRPr="00D3075E">
        <w:rPr>
          <w:rFonts w:ascii="Times New Roman" w:hAnsi="Times New Roman"/>
          <w:sz w:val="24"/>
          <w:szCs w:val="24"/>
        </w:rPr>
        <w:t>—a statistic</w:t>
      </w:r>
      <w:proofErr w:type="gramEnd"/>
      <w:r w:rsidRPr="00D3075E">
        <w:rPr>
          <w:rFonts w:ascii="Times New Roman" w:hAnsi="Times New Roman"/>
          <w:sz w:val="24"/>
          <w:szCs w:val="24"/>
        </w:rPr>
        <w:t xml:space="preserve"> that the State acknowledged at oral argument in this Court. Tr. of Oral Arg. 32. Second, in the most recent trial, the sixth trial, the State exercised peremptory strikes against five of the six black prospective jurors. Third, at the sixth trial, in an apparent effort to find pretextual reasons to strike black prospective jurors, the State engaged in dramatically disparate questioning of black and white prospective</w:t>
      </w:r>
      <w:r>
        <w:rPr>
          <w:rFonts w:ascii="Times New Roman" w:hAnsi="Times New Roman"/>
          <w:sz w:val="24"/>
          <w:szCs w:val="24"/>
        </w:rPr>
        <w:t xml:space="preserve"> </w:t>
      </w:r>
      <w:r w:rsidRPr="00D3075E">
        <w:rPr>
          <w:rFonts w:ascii="Times New Roman" w:hAnsi="Times New Roman"/>
          <w:sz w:val="24"/>
          <w:szCs w:val="24"/>
        </w:rPr>
        <w:t xml:space="preserve">jurors. Fourth, the State then struck at least one black prospective juror, Carolyn Wright, who was similarly situated to white prospective jurors who were not struck by the </w:t>
      </w:r>
      <w:proofErr w:type="gramStart"/>
      <w:r w:rsidRPr="00D3075E">
        <w:rPr>
          <w:rFonts w:ascii="Times New Roman" w:hAnsi="Times New Roman"/>
          <w:sz w:val="24"/>
          <w:szCs w:val="24"/>
        </w:rPr>
        <w:t>State</w:t>
      </w:r>
      <w:r>
        <w:rPr>
          <w:rFonts w:ascii="Times New Roman" w:hAnsi="Times New Roman"/>
          <w:sz w:val="24"/>
          <w:szCs w:val="24"/>
        </w:rPr>
        <w:t>.”</w:t>
      </w:r>
      <w:proofErr w:type="gramEnd"/>
      <w:r w:rsidR="00DB482B">
        <w:rPr>
          <w:rFonts w:ascii="Times New Roman" w:hAnsi="Times New Roman"/>
          <w:sz w:val="24"/>
          <w:szCs w:val="24"/>
        </w:rPr>
        <w:t xml:space="preserve"> </w:t>
      </w:r>
      <w:bookmarkStart w:id="338" w:name="_Hlk39837474"/>
      <w:r w:rsidR="00DC51D4">
        <w:fldChar w:fldCharType="begin"/>
      </w:r>
      <w:r w:rsidR="00DC51D4">
        <w:instrText xml:space="preserve"> HYPERLINK "https://www.supremecourt.gov/opinions/18pdf/17-9572_k536.pdf" </w:instrText>
      </w:r>
      <w:r w:rsidR="00DC51D4">
        <w:fldChar w:fldCharType="separate"/>
      </w:r>
      <w:r w:rsidR="00DB482B" w:rsidRPr="00AB528C">
        <w:rPr>
          <w:rStyle w:val="Hyperlink"/>
          <w:rFonts w:ascii="Times New Roman" w:hAnsi="Times New Roman"/>
          <w:sz w:val="24"/>
          <w:szCs w:val="24"/>
        </w:rPr>
        <w:t>https://www.supremecourt.gov/opinions/18pdf/17-9572_k536.pdf</w:t>
      </w:r>
      <w:r w:rsidR="00DC51D4">
        <w:rPr>
          <w:rStyle w:val="Hyperlink"/>
          <w:rFonts w:ascii="Times New Roman" w:hAnsi="Times New Roman"/>
          <w:sz w:val="24"/>
          <w:szCs w:val="24"/>
        </w:rPr>
        <w:fldChar w:fldCharType="end"/>
      </w:r>
      <w:r w:rsidR="00DB482B" w:rsidRPr="00AB528C">
        <w:rPr>
          <w:rFonts w:ascii="Times New Roman" w:hAnsi="Times New Roman"/>
          <w:sz w:val="24"/>
          <w:szCs w:val="24"/>
        </w:rPr>
        <w:t xml:space="preserve"> </w:t>
      </w:r>
    </w:p>
    <w:bookmarkEnd w:id="336"/>
    <w:bookmarkEnd w:id="338"/>
    <w:p w14:paraId="758E08D0" w14:textId="54DA30C8" w:rsidR="009F0F05" w:rsidRDefault="009F0F05" w:rsidP="009F0F05">
      <w:pPr>
        <w:ind w:left="1440"/>
        <w:rPr>
          <w:rFonts w:ascii="Times New Roman" w:hAnsi="Times New Roman"/>
          <w:sz w:val="24"/>
          <w:szCs w:val="24"/>
        </w:rPr>
      </w:pPr>
    </w:p>
    <w:p w14:paraId="482C96BE" w14:textId="77777777" w:rsidR="009F0F05" w:rsidRPr="00961F1A" w:rsidRDefault="009F0F05" w:rsidP="009F0F05">
      <w:pPr>
        <w:rPr>
          <w:rFonts w:ascii="Times New Roman" w:hAnsi="Times New Roman"/>
          <w:b/>
          <w:bCs/>
          <w:sz w:val="24"/>
          <w:szCs w:val="24"/>
        </w:rPr>
      </w:pPr>
      <w:r w:rsidRPr="00961F1A">
        <w:rPr>
          <w:rFonts w:ascii="Times New Roman" w:hAnsi="Times New Roman"/>
          <w:b/>
          <w:bCs/>
          <w:sz w:val="24"/>
          <w:szCs w:val="24"/>
        </w:rPr>
        <w:t xml:space="preserve">Legal Lessons Learned: </w:t>
      </w:r>
      <w:r>
        <w:rPr>
          <w:rFonts w:ascii="Times New Roman" w:hAnsi="Times New Roman"/>
          <w:b/>
          <w:bCs/>
          <w:sz w:val="24"/>
          <w:szCs w:val="24"/>
        </w:rPr>
        <w:t xml:space="preserve">The U.S. Supreme Court will not allow prosecutors to use peremptory strikes to unfairly exclude black jurors.  </w:t>
      </w:r>
    </w:p>
    <w:p w14:paraId="32778034" w14:textId="77777777" w:rsidR="009F0F05" w:rsidRDefault="009F0F05" w:rsidP="00DE0F03">
      <w:pPr>
        <w:rPr>
          <w:rFonts w:ascii="Arial Black" w:hAnsi="Arial Black"/>
          <w:b/>
          <w:sz w:val="24"/>
          <w:szCs w:val="24"/>
        </w:rPr>
      </w:pPr>
    </w:p>
    <w:p w14:paraId="0D1E589E" w14:textId="05EECF7E" w:rsidR="00DE0F03" w:rsidRDefault="00DE0F03" w:rsidP="00DE0F03">
      <w:pPr>
        <w:rPr>
          <w:color w:val="4A4A4A"/>
          <w:sz w:val="24"/>
          <w:szCs w:val="24"/>
          <w:lang w:val="en"/>
        </w:rPr>
      </w:pPr>
      <w:r>
        <w:rPr>
          <w:rFonts w:ascii="Arial Black" w:hAnsi="Arial Black"/>
          <w:b/>
          <w:sz w:val="24"/>
          <w:szCs w:val="24"/>
        </w:rPr>
        <w:t>8</w:t>
      </w:r>
      <w:r w:rsidRPr="00EF1133">
        <w:rPr>
          <w:rFonts w:ascii="Arial Black" w:hAnsi="Arial Black"/>
          <w:b/>
          <w:sz w:val="24"/>
          <w:szCs w:val="24"/>
        </w:rPr>
        <w:t>-</w:t>
      </w:r>
      <w:r w:rsidR="005A395B">
        <w:rPr>
          <w:rFonts w:ascii="Arial Black" w:hAnsi="Arial Black"/>
          <w:b/>
          <w:sz w:val="24"/>
          <w:szCs w:val="24"/>
        </w:rPr>
        <w:t>4</w:t>
      </w:r>
    </w:p>
    <w:p w14:paraId="43B34F40" w14:textId="7FD8A37E" w:rsidR="00F326E5" w:rsidRDefault="00F326E5" w:rsidP="00F326E5">
      <w:pPr>
        <w:pStyle w:val="NoSpacing"/>
        <w:rPr>
          <w:rFonts w:ascii="Arial Black" w:hAnsi="Arial Black"/>
          <w:sz w:val="28"/>
          <w:szCs w:val="28"/>
        </w:rPr>
      </w:pPr>
      <w:bookmarkStart w:id="339" w:name="_Hlk7344503"/>
      <w:r w:rsidRPr="00455CC9">
        <w:rPr>
          <w:rFonts w:ascii="Arial Black" w:hAnsi="Arial Black"/>
          <w:sz w:val="28"/>
          <w:szCs w:val="28"/>
        </w:rPr>
        <w:t xml:space="preserve">FL: </w:t>
      </w:r>
      <w:r>
        <w:rPr>
          <w:rFonts w:ascii="Arial Black" w:hAnsi="Arial Black"/>
          <w:sz w:val="28"/>
          <w:szCs w:val="28"/>
        </w:rPr>
        <w:t xml:space="preserve">DOCTOR COMPLAINED ABOUT MEDICAL CLEARANCE OF FF – NOT </w:t>
      </w:r>
      <w:r w:rsidR="0015021B">
        <w:rPr>
          <w:rFonts w:ascii="Arial Black" w:hAnsi="Arial Black"/>
          <w:sz w:val="28"/>
          <w:szCs w:val="28"/>
        </w:rPr>
        <w:t xml:space="preserve">PROTECTED </w:t>
      </w:r>
      <w:r>
        <w:rPr>
          <w:rFonts w:ascii="Arial Black" w:hAnsi="Arial Black"/>
          <w:sz w:val="28"/>
          <w:szCs w:val="28"/>
        </w:rPr>
        <w:t>FIRST AMENDMENT SPEECH</w:t>
      </w:r>
    </w:p>
    <w:p w14:paraId="50F41973" w14:textId="77777777" w:rsidR="00F326E5" w:rsidRPr="00BF4DDE" w:rsidRDefault="00F326E5" w:rsidP="00F326E5">
      <w:pPr>
        <w:pStyle w:val="NoSpacing"/>
        <w:rPr>
          <w:rFonts w:ascii="Times New Roman" w:hAnsi="Times New Roman"/>
          <w:sz w:val="24"/>
          <w:szCs w:val="24"/>
        </w:rPr>
      </w:pPr>
      <w:r w:rsidRPr="00BF4DDE">
        <w:rPr>
          <w:rFonts w:ascii="Times New Roman" w:hAnsi="Times New Roman"/>
          <w:sz w:val="24"/>
          <w:szCs w:val="24"/>
        </w:rPr>
        <w:t xml:space="preserve">On March 1, 2019, in </w:t>
      </w:r>
      <w:r w:rsidRPr="00BF4DDE">
        <w:rPr>
          <w:rFonts w:ascii="Times New Roman" w:hAnsi="Times New Roman"/>
          <w:sz w:val="24"/>
          <w:szCs w:val="24"/>
          <w:u w:val="single"/>
        </w:rPr>
        <w:t>Nancy King v. Board of County Commissioners, Polk County</w:t>
      </w:r>
      <w:r w:rsidRPr="00BF4DDE">
        <w:rPr>
          <w:rFonts w:ascii="Times New Roman" w:hAnsi="Times New Roman"/>
          <w:sz w:val="24"/>
          <w:szCs w:val="24"/>
        </w:rPr>
        <w:t>, the U.S. Court of Appeals for the 11</w:t>
      </w:r>
      <w:r w:rsidRPr="00BF4DDE">
        <w:rPr>
          <w:rFonts w:ascii="Times New Roman" w:hAnsi="Times New Roman"/>
          <w:sz w:val="24"/>
          <w:szCs w:val="24"/>
          <w:vertAlign w:val="superscript"/>
        </w:rPr>
        <w:t>th</w:t>
      </w:r>
      <w:r w:rsidRPr="00BF4DDE">
        <w:rPr>
          <w:rFonts w:ascii="Times New Roman" w:hAnsi="Times New Roman"/>
          <w:sz w:val="24"/>
          <w:szCs w:val="24"/>
        </w:rPr>
        <w:t xml:space="preserve"> Circuit (Atlanta) held (3 to 0) that U.S. District Court judge properly granted summary judgment to Polk County.  “She did not engage in speech protected by the First Amendment, however, because she spoke as an employee and not as a private citizen.”</w:t>
      </w:r>
    </w:p>
    <w:p w14:paraId="3F812A64" w14:textId="77777777" w:rsidR="00F326E5" w:rsidRPr="00BF4DDE" w:rsidRDefault="00F326E5" w:rsidP="00F326E5">
      <w:pPr>
        <w:rPr>
          <w:rFonts w:ascii="Times New Roman" w:hAnsi="Times New Roman"/>
          <w:b/>
          <w:sz w:val="24"/>
          <w:szCs w:val="24"/>
        </w:rPr>
      </w:pPr>
      <w:hyperlink r:id="rId1641" w:history="1">
        <w:r w:rsidRPr="00BF4DDE">
          <w:rPr>
            <w:rStyle w:val="Hyperlink"/>
            <w:rFonts w:ascii="Times New Roman" w:hAnsi="Times New Roman"/>
            <w:sz w:val="24"/>
            <w:szCs w:val="24"/>
          </w:rPr>
          <w:t>https://law.justia.com/cases/federal/appellate-courts/ca11/18-10631/18-10631-2019-03-01.html</w:t>
        </w:r>
      </w:hyperlink>
      <w:r w:rsidRPr="00BF4DDE">
        <w:rPr>
          <w:rFonts w:ascii="Times New Roman" w:hAnsi="Times New Roman"/>
          <w:b/>
          <w:sz w:val="24"/>
          <w:szCs w:val="24"/>
        </w:rPr>
        <w:t xml:space="preserve"> </w:t>
      </w:r>
    </w:p>
    <w:p w14:paraId="59442175" w14:textId="77777777" w:rsidR="00F326E5" w:rsidRPr="00BF4DDE" w:rsidRDefault="00F326E5" w:rsidP="00F326E5">
      <w:pPr>
        <w:pStyle w:val="NoSpacing"/>
        <w:rPr>
          <w:rFonts w:ascii="Times New Roman" w:hAnsi="Times New Roman"/>
          <w:b/>
          <w:sz w:val="24"/>
          <w:szCs w:val="24"/>
        </w:rPr>
      </w:pPr>
      <w:r w:rsidRPr="00BF4DDE">
        <w:rPr>
          <w:rFonts w:ascii="Times New Roman" w:hAnsi="Times New Roman"/>
          <w:b/>
          <w:sz w:val="24"/>
          <w:szCs w:val="24"/>
        </w:rPr>
        <w:t xml:space="preserve">Legal Lessons Learned:  Public employees have limited First Amendment rights; reverse discrimination not proven.  </w:t>
      </w:r>
    </w:p>
    <w:p w14:paraId="6CAA2169" w14:textId="77777777" w:rsidR="00C17A9D" w:rsidRDefault="00C17A9D" w:rsidP="00F326E5">
      <w:pPr>
        <w:pStyle w:val="NoSpacing"/>
        <w:rPr>
          <w:bCs/>
          <w:sz w:val="24"/>
          <w:szCs w:val="24"/>
        </w:rPr>
      </w:pPr>
    </w:p>
    <w:p w14:paraId="7B539013" w14:textId="77777777" w:rsidR="00F326E5" w:rsidRPr="00C56DAA" w:rsidRDefault="00F326E5" w:rsidP="00F326E5">
      <w:pPr>
        <w:pStyle w:val="NoSpacing"/>
        <w:rPr>
          <w:sz w:val="24"/>
          <w:szCs w:val="24"/>
        </w:rPr>
      </w:pPr>
    </w:p>
    <w:bookmarkEnd w:id="339"/>
    <w:p w14:paraId="102240D8" w14:textId="77777777" w:rsidR="00DE0F03" w:rsidRDefault="00DE0F03" w:rsidP="00DE0F03">
      <w:pPr>
        <w:rPr>
          <w:rFonts w:ascii="Arial Black" w:hAnsi="Arial Black"/>
          <w:b/>
          <w:sz w:val="24"/>
          <w:szCs w:val="24"/>
        </w:rPr>
      </w:pPr>
    </w:p>
    <w:p w14:paraId="2BFF8357" w14:textId="347D2420" w:rsidR="00DE0F03" w:rsidRDefault="00DE0F03" w:rsidP="00DE0F03">
      <w:pPr>
        <w:rPr>
          <w:color w:val="4A4A4A"/>
          <w:sz w:val="24"/>
          <w:szCs w:val="24"/>
          <w:lang w:val="en"/>
        </w:rPr>
      </w:pPr>
      <w:r>
        <w:rPr>
          <w:rFonts w:ascii="Arial Black" w:hAnsi="Arial Black"/>
          <w:b/>
          <w:sz w:val="24"/>
          <w:szCs w:val="24"/>
        </w:rPr>
        <w:t>8</w:t>
      </w:r>
      <w:r w:rsidRPr="00EF1133">
        <w:rPr>
          <w:rFonts w:ascii="Arial Black" w:hAnsi="Arial Black"/>
          <w:b/>
          <w:sz w:val="24"/>
          <w:szCs w:val="24"/>
        </w:rPr>
        <w:t>-</w:t>
      </w:r>
      <w:r w:rsidR="005A395B">
        <w:rPr>
          <w:rFonts w:ascii="Arial Black" w:hAnsi="Arial Black"/>
          <w:b/>
          <w:sz w:val="24"/>
          <w:szCs w:val="24"/>
        </w:rPr>
        <w:t>3</w:t>
      </w:r>
    </w:p>
    <w:p w14:paraId="3F6DA88F" w14:textId="350523EB" w:rsidR="00F326E5" w:rsidRDefault="00F326E5" w:rsidP="00F326E5">
      <w:pPr>
        <w:pStyle w:val="NoSpacing"/>
        <w:rPr>
          <w:rFonts w:ascii="Arial Black" w:hAnsi="Arial Black"/>
          <w:b/>
          <w:bCs/>
          <w:sz w:val="28"/>
          <w:szCs w:val="28"/>
        </w:rPr>
      </w:pPr>
      <w:bookmarkStart w:id="340" w:name="_Hlk7344544"/>
      <w:r>
        <w:rPr>
          <w:rFonts w:ascii="Arial Black" w:hAnsi="Arial Black"/>
          <w:bCs/>
          <w:sz w:val="28"/>
          <w:szCs w:val="28"/>
        </w:rPr>
        <w:t>MI: DETROIT – CITY WIDE LAYOFFS - 11 FF LAWSUIT AGAINST UNION DISMISSED, FOLLOWED CBA</w:t>
      </w:r>
    </w:p>
    <w:p w14:paraId="2B86F166" w14:textId="77777777" w:rsidR="00BF4DDE" w:rsidRDefault="00F326E5" w:rsidP="00F326E5">
      <w:pPr>
        <w:pStyle w:val="PlainText"/>
        <w:rPr>
          <w:rFonts w:ascii="Times New Roman" w:hAnsi="Times New Roman" w:cs="Times New Roman"/>
          <w:sz w:val="24"/>
          <w:szCs w:val="24"/>
        </w:rPr>
      </w:pPr>
      <w:r w:rsidRPr="00BF4DDE">
        <w:rPr>
          <w:rFonts w:ascii="Times New Roman" w:hAnsi="Times New Roman" w:cs="Times New Roman"/>
          <w:bCs/>
          <w:sz w:val="24"/>
          <w:szCs w:val="24"/>
        </w:rPr>
        <w:t xml:space="preserve">On Feb. 4, 2019, in </w:t>
      </w:r>
      <w:r w:rsidRPr="00BF4DDE">
        <w:rPr>
          <w:rFonts w:ascii="Times New Roman" w:hAnsi="Times New Roman" w:cs="Times New Roman"/>
          <w:bCs/>
          <w:sz w:val="24"/>
          <w:szCs w:val="24"/>
          <w:u w:val="single"/>
        </w:rPr>
        <w:t>Eric Peeples, et al. v. City of Detroit, et al</w:t>
      </w:r>
      <w:r w:rsidRPr="00BF4DDE">
        <w:rPr>
          <w:rFonts w:ascii="Times New Roman" w:hAnsi="Times New Roman" w:cs="Times New Roman"/>
          <w:bCs/>
          <w:sz w:val="24"/>
          <w:szCs w:val="24"/>
        </w:rPr>
        <w:t xml:space="preserve">, Civil Action No. 13-13858, U.S. District Court Judge Dean F. Cox, Eastern District of Michigan (Southern District), granted the motion for summary judgment filed by </w:t>
      </w:r>
      <w:r w:rsidRPr="00BF4DDE">
        <w:rPr>
          <w:rFonts w:ascii="Times New Roman" w:hAnsi="Times New Roman" w:cs="Times New Roman"/>
          <w:sz w:val="24"/>
          <w:szCs w:val="24"/>
        </w:rPr>
        <w:t xml:space="preserve">Detroit Fire Fighters Association, Local 344, finding: </w:t>
      </w:r>
    </w:p>
    <w:p w14:paraId="3BC147F8" w14:textId="77777777" w:rsidR="00BF4DDE" w:rsidRDefault="00BF4DDE" w:rsidP="00F326E5">
      <w:pPr>
        <w:pStyle w:val="PlainText"/>
        <w:rPr>
          <w:rFonts w:ascii="Times New Roman" w:hAnsi="Times New Roman" w:cs="Times New Roman"/>
          <w:sz w:val="24"/>
          <w:szCs w:val="24"/>
        </w:rPr>
      </w:pPr>
    </w:p>
    <w:p w14:paraId="6CE85136" w14:textId="4AF717C7" w:rsidR="00F326E5" w:rsidRPr="00BF4DDE" w:rsidRDefault="00BF4DDE" w:rsidP="00BF4DDE">
      <w:pPr>
        <w:pStyle w:val="PlainText"/>
        <w:ind w:left="720"/>
        <w:rPr>
          <w:rFonts w:ascii="Times New Roman" w:hAnsi="Times New Roman" w:cs="Times New Roman"/>
          <w:b/>
          <w:sz w:val="24"/>
          <w:szCs w:val="24"/>
        </w:rPr>
      </w:pPr>
      <w:r>
        <w:rPr>
          <w:rFonts w:ascii="Times New Roman" w:hAnsi="Times New Roman" w:cs="Times New Roman"/>
          <w:sz w:val="24"/>
          <w:szCs w:val="24"/>
        </w:rPr>
        <w:lastRenderedPageBreak/>
        <w:t>“</w:t>
      </w:r>
      <w:r w:rsidR="00F326E5" w:rsidRPr="00BF4DDE">
        <w:rPr>
          <w:rFonts w:ascii="Times New Roman" w:hAnsi="Times New Roman" w:cs="Times New Roman"/>
          <w:sz w:val="24"/>
          <w:szCs w:val="24"/>
        </w:rPr>
        <w:t xml:space="preserve">Plaintiffs have no direct evidence of race discrimination.  In opposing the Union's motion, Plaintiffs have not presented any statistical evidence to this Court.”  The Judge, however, did not require Plaintiffs to reimburse Union for its attorney fees: “The Court also concludes that the Union has not shown that an award of attorney fees against the Plaintiffs themselves is warranted in this case. </w:t>
      </w:r>
      <w:r w:rsidR="00F326E5" w:rsidRPr="00BF4DDE">
        <w:rPr>
          <w:rFonts w:ascii="Times New Roman" w:hAnsi="Times New Roman" w:cs="Times New Roman"/>
          <w:i/>
          <w:iCs/>
          <w:sz w:val="24"/>
          <w:szCs w:val="24"/>
        </w:rPr>
        <w:t>Christiansburg Garment Co</w:t>
      </w:r>
      <w:r w:rsidR="00F326E5" w:rsidRPr="00BF4DDE">
        <w:rPr>
          <w:rFonts w:ascii="Times New Roman" w:hAnsi="Times New Roman" w:cs="Times New Roman"/>
          <w:sz w:val="24"/>
          <w:szCs w:val="24"/>
        </w:rPr>
        <w:t xml:space="preserve">. </w:t>
      </w:r>
      <w:r w:rsidR="00F326E5" w:rsidRPr="00BF4DDE">
        <w:rPr>
          <w:rFonts w:ascii="Times New Roman" w:hAnsi="Times New Roman" w:cs="Times New Roman"/>
          <w:i/>
          <w:iCs/>
          <w:sz w:val="24"/>
          <w:szCs w:val="24"/>
        </w:rPr>
        <w:t>v</w:t>
      </w:r>
      <w:r w:rsidR="00F326E5" w:rsidRPr="00BF4DDE">
        <w:rPr>
          <w:rFonts w:ascii="Times New Roman" w:hAnsi="Times New Roman" w:cs="Times New Roman"/>
          <w:sz w:val="24"/>
          <w:szCs w:val="24"/>
        </w:rPr>
        <w:t xml:space="preserve">. </w:t>
      </w:r>
      <w:r w:rsidR="00F326E5" w:rsidRPr="00BF4DDE">
        <w:rPr>
          <w:rFonts w:ascii="Times New Roman" w:hAnsi="Times New Roman" w:cs="Times New Roman"/>
          <w:i/>
          <w:iCs/>
          <w:sz w:val="24"/>
          <w:szCs w:val="24"/>
        </w:rPr>
        <w:t>EEOC</w:t>
      </w:r>
      <w:hyperlink r:id="rId1642" w:history="1">
        <w:r w:rsidR="00F326E5" w:rsidRPr="00BF4DDE">
          <w:rPr>
            <w:rStyle w:val="Hyperlink"/>
            <w:rFonts w:ascii="Times New Roman" w:hAnsi="Times New Roman" w:cs="Times New Roman"/>
            <w:b/>
            <w:sz w:val="24"/>
            <w:szCs w:val="24"/>
          </w:rPr>
          <w:t>, 434 U.S. 412 (1978)</w:t>
        </w:r>
      </w:hyperlink>
      <w:r w:rsidR="00F326E5" w:rsidRPr="00BF4DDE">
        <w:rPr>
          <w:rFonts w:ascii="Times New Roman" w:hAnsi="Times New Roman" w:cs="Times New Roman"/>
          <w:sz w:val="24"/>
          <w:szCs w:val="24"/>
        </w:rPr>
        <w:t xml:space="preserve"> (A district court may, in its discretion, award attorney fees to a prevailing defendant in a Title VII case upon a finding that the plaintiff's action was frivolous, unreasonable, or without foundation, even though not brought in subjective bad faith). Such awards against Title VII plaintiffs are rare, and this Court does not believe one is warranted here.”  </w:t>
      </w:r>
      <w:hyperlink r:id="rId1643" w:history="1">
        <w:r w:rsidR="00F326E5" w:rsidRPr="00BF4DDE">
          <w:rPr>
            <w:rStyle w:val="Hyperlink"/>
            <w:rFonts w:ascii="Times New Roman" w:hAnsi="Times New Roman" w:cs="Times New Roman"/>
            <w:b/>
            <w:sz w:val="24"/>
            <w:szCs w:val="24"/>
          </w:rPr>
          <w:t>https://scholar.google.com/scholar_case?case=9814524894618299702&amp;q=+Eric+Peeples,+et+al.+v.+City+of+Detroit,+et+al,+Civil+Action+No.+13-13858&amp;hl=en&amp;as_sdt=6,36</w:t>
        </w:r>
      </w:hyperlink>
    </w:p>
    <w:p w14:paraId="27806799" w14:textId="77777777" w:rsidR="00F326E5" w:rsidRPr="00BF4DDE" w:rsidRDefault="00F326E5" w:rsidP="00F326E5">
      <w:pPr>
        <w:spacing w:before="100" w:beforeAutospacing="1" w:after="100" w:afterAutospacing="1"/>
        <w:rPr>
          <w:rFonts w:ascii="Times New Roman" w:hAnsi="Times New Roman"/>
          <w:b/>
          <w:sz w:val="24"/>
          <w:szCs w:val="24"/>
        </w:rPr>
      </w:pPr>
      <w:r w:rsidRPr="00BF4DDE">
        <w:rPr>
          <w:rFonts w:ascii="Times New Roman" w:hAnsi="Times New Roman"/>
          <w:b/>
          <w:sz w:val="24"/>
          <w:szCs w:val="24"/>
        </w:rPr>
        <w:t xml:space="preserve">Legal Lessons Learned:  Plaintiffs failed to establish Title VII liability for City or the Local. </w:t>
      </w:r>
    </w:p>
    <w:bookmarkEnd w:id="340"/>
    <w:p w14:paraId="6F376E44" w14:textId="77777777" w:rsidR="00F326E5" w:rsidRDefault="00F326E5" w:rsidP="00F326E5">
      <w:pPr>
        <w:rPr>
          <w:rFonts w:ascii="Arial Black" w:hAnsi="Arial Black"/>
          <w:sz w:val="40"/>
          <w:szCs w:val="40"/>
        </w:rPr>
      </w:pPr>
    </w:p>
    <w:p w14:paraId="56BD01EB" w14:textId="77777777" w:rsidR="00DE0F03" w:rsidRDefault="00DE0F03" w:rsidP="00DE0F03">
      <w:pPr>
        <w:rPr>
          <w:rFonts w:ascii="Arial Black" w:hAnsi="Arial Black"/>
          <w:b/>
          <w:sz w:val="24"/>
          <w:szCs w:val="24"/>
        </w:rPr>
      </w:pPr>
      <w:bookmarkStart w:id="341" w:name="_Hlk7344627"/>
    </w:p>
    <w:p w14:paraId="4AD38C46" w14:textId="2F3A302D" w:rsidR="00DE0F03" w:rsidRDefault="00DE0F03" w:rsidP="00DE0F03">
      <w:pPr>
        <w:rPr>
          <w:color w:val="4A4A4A"/>
          <w:sz w:val="24"/>
          <w:szCs w:val="24"/>
          <w:lang w:val="en"/>
        </w:rPr>
      </w:pPr>
      <w:r>
        <w:rPr>
          <w:rFonts w:ascii="Arial Black" w:hAnsi="Arial Black"/>
          <w:b/>
          <w:sz w:val="24"/>
          <w:szCs w:val="24"/>
        </w:rPr>
        <w:t>8</w:t>
      </w:r>
      <w:r w:rsidRPr="00EF1133">
        <w:rPr>
          <w:rFonts w:ascii="Arial Black" w:hAnsi="Arial Black"/>
          <w:b/>
          <w:sz w:val="24"/>
          <w:szCs w:val="24"/>
        </w:rPr>
        <w:t>-</w:t>
      </w:r>
      <w:r w:rsidR="005A395B">
        <w:rPr>
          <w:rFonts w:ascii="Arial Black" w:hAnsi="Arial Black"/>
          <w:b/>
          <w:sz w:val="24"/>
          <w:szCs w:val="24"/>
        </w:rPr>
        <w:t>2</w:t>
      </w:r>
    </w:p>
    <w:p w14:paraId="3C8E1E84" w14:textId="6AB7DF2D" w:rsidR="00F326E5" w:rsidRDefault="00F326E5" w:rsidP="00F326E5">
      <w:pPr>
        <w:pStyle w:val="NoSpacing"/>
        <w:rPr>
          <w:b/>
          <w:sz w:val="24"/>
          <w:szCs w:val="24"/>
        </w:rPr>
      </w:pPr>
      <w:r w:rsidRPr="00E54CAC">
        <w:rPr>
          <w:rFonts w:ascii="Arial Black" w:hAnsi="Arial Black"/>
          <w:b/>
          <w:sz w:val="28"/>
          <w:szCs w:val="28"/>
        </w:rPr>
        <w:t xml:space="preserve">MD:  </w:t>
      </w:r>
      <w:r>
        <w:rPr>
          <w:rFonts w:ascii="Arial Black" w:hAnsi="Arial Black"/>
          <w:b/>
          <w:sz w:val="28"/>
          <w:szCs w:val="28"/>
        </w:rPr>
        <w:t xml:space="preserve">AIRPORT </w:t>
      </w:r>
      <w:r w:rsidRPr="00E54CAC">
        <w:rPr>
          <w:rFonts w:ascii="Arial Black" w:hAnsi="Arial Black"/>
          <w:b/>
          <w:sz w:val="28"/>
          <w:szCs w:val="28"/>
        </w:rPr>
        <w:t>HIRED LATIN</w:t>
      </w:r>
      <w:r>
        <w:rPr>
          <w:rFonts w:ascii="Arial Black" w:hAnsi="Arial Black"/>
          <w:b/>
          <w:sz w:val="28"/>
          <w:szCs w:val="28"/>
        </w:rPr>
        <w:t xml:space="preserve">O AS FIRE CHIEF - </w:t>
      </w:r>
      <w:proofErr w:type="gramStart"/>
      <w:r w:rsidRPr="00E54CAC">
        <w:rPr>
          <w:rFonts w:ascii="Arial Black" w:hAnsi="Arial Black"/>
          <w:b/>
          <w:sz w:val="28"/>
          <w:szCs w:val="28"/>
        </w:rPr>
        <w:t>AFRICAN</w:t>
      </w:r>
      <w:r>
        <w:rPr>
          <w:rFonts w:ascii="Arial Black" w:hAnsi="Arial Black"/>
          <w:b/>
          <w:sz w:val="28"/>
          <w:szCs w:val="28"/>
        </w:rPr>
        <w:t>-</w:t>
      </w:r>
      <w:r w:rsidRPr="00E54CAC">
        <w:rPr>
          <w:rFonts w:ascii="Arial Black" w:hAnsi="Arial Black"/>
          <w:b/>
          <w:sz w:val="28"/>
          <w:szCs w:val="28"/>
        </w:rPr>
        <w:t>AMERICAN</w:t>
      </w:r>
      <w:r>
        <w:rPr>
          <w:rFonts w:ascii="Arial Black" w:hAnsi="Arial Black"/>
          <w:b/>
          <w:sz w:val="28"/>
          <w:szCs w:val="28"/>
        </w:rPr>
        <w:t>’S</w:t>
      </w:r>
      <w:proofErr w:type="gramEnd"/>
      <w:r>
        <w:rPr>
          <w:rFonts w:ascii="Arial Black" w:hAnsi="Arial Black"/>
          <w:b/>
          <w:sz w:val="28"/>
          <w:szCs w:val="28"/>
        </w:rPr>
        <w:t xml:space="preserve"> LAWSUIT MAY PROCEED</w:t>
      </w:r>
    </w:p>
    <w:p w14:paraId="6443C1A3" w14:textId="77777777" w:rsidR="00BF4DDE" w:rsidRDefault="00F326E5" w:rsidP="00F326E5">
      <w:pPr>
        <w:pStyle w:val="NoSpacing"/>
        <w:rPr>
          <w:rFonts w:ascii="Times New Roman" w:hAnsi="Times New Roman"/>
          <w:sz w:val="24"/>
          <w:szCs w:val="24"/>
        </w:rPr>
      </w:pPr>
      <w:r w:rsidRPr="00BF4DDE">
        <w:rPr>
          <w:rFonts w:ascii="Times New Roman" w:hAnsi="Times New Roman"/>
          <w:sz w:val="24"/>
          <w:szCs w:val="24"/>
        </w:rPr>
        <w:t xml:space="preserve">On </w:t>
      </w:r>
      <w:bookmarkStart w:id="342" w:name="_Hlk39839116"/>
      <w:r w:rsidRPr="00BF4DDE">
        <w:rPr>
          <w:rFonts w:ascii="Times New Roman" w:hAnsi="Times New Roman"/>
          <w:sz w:val="24"/>
          <w:szCs w:val="24"/>
        </w:rPr>
        <w:t xml:space="preserve">Jan. 19, 2018, in </w:t>
      </w:r>
      <w:r w:rsidRPr="002616A6">
        <w:rPr>
          <w:rFonts w:ascii="Times New Roman" w:hAnsi="Times New Roman"/>
          <w:sz w:val="24"/>
          <w:szCs w:val="24"/>
          <w:u w:val="single"/>
        </w:rPr>
        <w:t>Gregory C. Lawrence v. Maryland Aviation Administration</w:t>
      </w:r>
      <w:bookmarkEnd w:id="342"/>
      <w:r w:rsidRPr="00BF4DDE">
        <w:rPr>
          <w:rFonts w:ascii="Times New Roman" w:hAnsi="Times New Roman"/>
          <w:sz w:val="24"/>
          <w:szCs w:val="24"/>
        </w:rPr>
        <w:t xml:space="preserve">, U.S. District Court for District of Maryland, Judge Richard D. Bennett denied the motion to dismiss filed by the Maryland Aviation Administration. </w:t>
      </w:r>
    </w:p>
    <w:p w14:paraId="40CA1C9E" w14:textId="77777777" w:rsidR="00BF4DDE" w:rsidRDefault="00BF4DDE" w:rsidP="00F326E5">
      <w:pPr>
        <w:pStyle w:val="NoSpacing"/>
        <w:rPr>
          <w:rFonts w:ascii="Times New Roman" w:hAnsi="Times New Roman"/>
          <w:sz w:val="24"/>
          <w:szCs w:val="24"/>
        </w:rPr>
      </w:pPr>
    </w:p>
    <w:p w14:paraId="33357283" w14:textId="166877D6" w:rsidR="00F326E5" w:rsidRPr="00BF4DDE" w:rsidRDefault="00F326E5" w:rsidP="00BF4DDE">
      <w:pPr>
        <w:pStyle w:val="NoSpacing"/>
        <w:ind w:left="720"/>
        <w:rPr>
          <w:rFonts w:ascii="Times New Roman" w:hAnsi="Times New Roman"/>
          <w:sz w:val="24"/>
          <w:szCs w:val="24"/>
        </w:rPr>
      </w:pPr>
      <w:r w:rsidRPr="00BF4DDE">
        <w:rPr>
          <w:rFonts w:ascii="Times New Roman" w:hAnsi="Times New Roman"/>
          <w:sz w:val="24"/>
          <w:szCs w:val="24"/>
        </w:rPr>
        <w:t>“Plaintiff alleges that despite his experience and "stellar qualifications" for the position, he was not hired; instead, plaintiff alleges, "[t]he person hired was a Latino male, substantially less qualified for the position than Mr. Lawrence."</w:t>
      </w:r>
    </w:p>
    <w:bookmarkStart w:id="343" w:name="_Hlk39839090"/>
    <w:p w14:paraId="2476ED26" w14:textId="71B7A617" w:rsidR="00F326E5" w:rsidRPr="00BF4DDE" w:rsidRDefault="00DC51D4" w:rsidP="00BF4DDE">
      <w:pPr>
        <w:pStyle w:val="NoSpacing"/>
        <w:ind w:firstLine="720"/>
        <w:rPr>
          <w:rFonts w:ascii="Times New Roman" w:hAnsi="Times New Roman"/>
          <w:sz w:val="24"/>
          <w:szCs w:val="24"/>
        </w:rPr>
      </w:pPr>
      <w:r>
        <w:fldChar w:fldCharType="begin"/>
      </w:r>
      <w:r>
        <w:instrText xml:space="preserve"> HYPERLINK "https://www.leagle.com/decision/infdco20161011978" </w:instrText>
      </w:r>
      <w:r>
        <w:fldChar w:fldCharType="separate"/>
      </w:r>
      <w:r w:rsidR="00BF4DDE" w:rsidRPr="002F304C">
        <w:rPr>
          <w:rStyle w:val="Hyperlink"/>
          <w:rFonts w:ascii="Times New Roman" w:hAnsi="Times New Roman"/>
          <w:sz w:val="24"/>
          <w:szCs w:val="24"/>
        </w:rPr>
        <w:t>https://www.leagle.com/decision/infdco20161011978</w:t>
      </w:r>
      <w:r>
        <w:rPr>
          <w:rStyle w:val="Hyperlink"/>
          <w:rFonts w:ascii="Times New Roman" w:hAnsi="Times New Roman"/>
          <w:sz w:val="24"/>
          <w:szCs w:val="24"/>
        </w:rPr>
        <w:fldChar w:fldCharType="end"/>
      </w:r>
      <w:r w:rsidR="00F326E5" w:rsidRPr="00BF4DDE">
        <w:rPr>
          <w:rFonts w:ascii="Times New Roman" w:hAnsi="Times New Roman"/>
          <w:sz w:val="24"/>
          <w:szCs w:val="24"/>
        </w:rPr>
        <w:t xml:space="preserve"> </w:t>
      </w:r>
    </w:p>
    <w:bookmarkEnd w:id="343"/>
    <w:p w14:paraId="17D2D634" w14:textId="77777777" w:rsidR="00BF4DDE" w:rsidRDefault="00BF4DDE" w:rsidP="00F326E5">
      <w:pPr>
        <w:pStyle w:val="NoSpacing"/>
        <w:rPr>
          <w:rFonts w:ascii="Times New Roman" w:hAnsi="Times New Roman"/>
          <w:b/>
          <w:sz w:val="24"/>
          <w:szCs w:val="24"/>
        </w:rPr>
      </w:pPr>
    </w:p>
    <w:p w14:paraId="01749151" w14:textId="2D6BB386" w:rsidR="00F326E5" w:rsidRPr="00BF4DDE" w:rsidRDefault="00F326E5" w:rsidP="00F326E5">
      <w:pPr>
        <w:pStyle w:val="NoSpacing"/>
        <w:rPr>
          <w:rFonts w:ascii="Times New Roman" w:hAnsi="Times New Roman"/>
          <w:b/>
          <w:sz w:val="24"/>
          <w:szCs w:val="24"/>
        </w:rPr>
      </w:pPr>
      <w:r w:rsidRPr="00BF4DDE">
        <w:rPr>
          <w:rFonts w:ascii="Times New Roman" w:hAnsi="Times New Roman"/>
          <w:b/>
          <w:sz w:val="24"/>
          <w:szCs w:val="24"/>
        </w:rPr>
        <w:t xml:space="preserve">Legal Lessons Learned: Title VII claim may now proceed </w:t>
      </w:r>
      <w:proofErr w:type="gramStart"/>
      <w:r w:rsidRPr="00BF4DDE">
        <w:rPr>
          <w:rFonts w:ascii="Times New Roman" w:hAnsi="Times New Roman"/>
          <w:b/>
          <w:sz w:val="24"/>
          <w:szCs w:val="24"/>
        </w:rPr>
        <w:t>to</w:t>
      </w:r>
      <w:proofErr w:type="gramEnd"/>
      <w:r w:rsidRPr="00BF4DDE">
        <w:rPr>
          <w:rFonts w:ascii="Times New Roman" w:hAnsi="Times New Roman"/>
          <w:b/>
          <w:sz w:val="24"/>
          <w:szCs w:val="24"/>
        </w:rPr>
        <w:t xml:space="preserve"> pre-trial discovery. </w:t>
      </w:r>
    </w:p>
    <w:p w14:paraId="6FF780FA" w14:textId="77777777" w:rsidR="00F326E5" w:rsidRPr="00BF4DDE" w:rsidRDefault="00F326E5" w:rsidP="00F326E5">
      <w:pPr>
        <w:pStyle w:val="NoSpacing"/>
        <w:rPr>
          <w:rFonts w:ascii="Times New Roman" w:hAnsi="Times New Roman"/>
          <w:b/>
          <w:sz w:val="24"/>
          <w:szCs w:val="24"/>
        </w:rPr>
      </w:pPr>
    </w:p>
    <w:bookmarkEnd w:id="341"/>
    <w:p w14:paraId="051BEBA3" w14:textId="52237868" w:rsidR="00F326E5" w:rsidRDefault="00F326E5" w:rsidP="00F326E5">
      <w:pPr>
        <w:pStyle w:val="NoSpacing"/>
        <w:rPr>
          <w:b/>
          <w:sz w:val="24"/>
          <w:szCs w:val="24"/>
        </w:rPr>
      </w:pPr>
    </w:p>
    <w:p w14:paraId="1B2B9220" w14:textId="77777777" w:rsidR="00F326E5" w:rsidRDefault="00F326E5" w:rsidP="00F326E5">
      <w:pPr>
        <w:pStyle w:val="NoSpacing"/>
        <w:rPr>
          <w:b/>
          <w:sz w:val="24"/>
          <w:szCs w:val="24"/>
        </w:rPr>
      </w:pPr>
    </w:p>
    <w:p w14:paraId="71919B28" w14:textId="7C390FA1" w:rsidR="00F326E5" w:rsidRDefault="00DE0F03" w:rsidP="00F326E5">
      <w:pPr>
        <w:rPr>
          <w:color w:val="4A4A4A"/>
          <w:sz w:val="24"/>
          <w:szCs w:val="24"/>
          <w:lang w:val="en"/>
        </w:rPr>
      </w:pPr>
      <w:r>
        <w:rPr>
          <w:rFonts w:ascii="Arial Black" w:hAnsi="Arial Black"/>
          <w:b/>
          <w:sz w:val="24"/>
          <w:szCs w:val="24"/>
        </w:rPr>
        <w:t>8</w:t>
      </w:r>
      <w:r w:rsidRPr="00EF1133">
        <w:rPr>
          <w:rFonts w:ascii="Arial Black" w:hAnsi="Arial Black"/>
          <w:b/>
          <w:sz w:val="24"/>
          <w:szCs w:val="24"/>
        </w:rPr>
        <w:t>-1</w:t>
      </w:r>
    </w:p>
    <w:p w14:paraId="79FA3CF2" w14:textId="78A42FF9" w:rsidR="00F326E5" w:rsidRPr="00210017" w:rsidRDefault="00F326E5" w:rsidP="00F326E5">
      <w:pPr>
        <w:rPr>
          <w:rFonts w:ascii="Arial Black" w:hAnsi="Arial Black"/>
          <w:b/>
          <w:color w:val="4A4A4A"/>
          <w:sz w:val="28"/>
          <w:szCs w:val="28"/>
          <w:lang w:val="en"/>
        </w:rPr>
      </w:pPr>
      <w:bookmarkStart w:id="344" w:name="_Hlk7344666"/>
      <w:bookmarkStart w:id="345" w:name="_Hlk7344834"/>
      <w:r w:rsidRPr="00210017">
        <w:rPr>
          <w:rFonts w:ascii="Arial Black" w:hAnsi="Arial Black"/>
          <w:b/>
          <w:color w:val="4A4A4A"/>
          <w:sz w:val="28"/>
          <w:szCs w:val="28"/>
          <w:lang w:val="en"/>
        </w:rPr>
        <w:t>NY: FDNY’s FORMER EEOC OFFICER SUES FOR RACE DISCRIMINATION – LAWSUIT MAY PROCEED</w:t>
      </w:r>
    </w:p>
    <w:p w14:paraId="2E3A59DF" w14:textId="77777777" w:rsidR="00BF4DDE" w:rsidRDefault="00F326E5" w:rsidP="00F326E5">
      <w:pPr>
        <w:rPr>
          <w:rFonts w:ascii="Times New Roman" w:hAnsi="Times New Roman"/>
          <w:color w:val="4A4A4A"/>
          <w:sz w:val="24"/>
          <w:szCs w:val="24"/>
          <w:lang w:val="en"/>
        </w:rPr>
      </w:pPr>
      <w:r w:rsidRPr="00BF4DDE">
        <w:rPr>
          <w:rFonts w:ascii="Times New Roman" w:hAnsi="Times New Roman"/>
          <w:color w:val="4A4A4A"/>
          <w:sz w:val="24"/>
          <w:szCs w:val="24"/>
          <w:lang w:val="en"/>
        </w:rPr>
        <w:t xml:space="preserve">On Jan. 2, 2018, in </w:t>
      </w:r>
      <w:r w:rsidRPr="00BF4DDE">
        <w:rPr>
          <w:rFonts w:ascii="Times New Roman" w:hAnsi="Times New Roman"/>
          <w:color w:val="4A4A4A"/>
          <w:sz w:val="24"/>
          <w:szCs w:val="24"/>
          <w:u w:val="single"/>
          <w:lang w:val="en"/>
        </w:rPr>
        <w:t xml:space="preserve">Lyndelle T. Phillips, Esq. v. The City of New York, et </w:t>
      </w:r>
      <w:proofErr w:type="gramStart"/>
      <w:r w:rsidRPr="00BF4DDE">
        <w:rPr>
          <w:rFonts w:ascii="Times New Roman" w:hAnsi="Times New Roman"/>
          <w:color w:val="4A4A4A"/>
          <w:sz w:val="24"/>
          <w:szCs w:val="24"/>
          <w:u w:val="single"/>
          <w:lang w:val="en"/>
        </w:rPr>
        <w:t>al</w:t>
      </w:r>
      <w:r w:rsidRPr="00BF4DDE">
        <w:rPr>
          <w:rFonts w:ascii="Times New Roman" w:hAnsi="Times New Roman"/>
          <w:color w:val="4A4A4A"/>
          <w:sz w:val="24"/>
          <w:szCs w:val="24"/>
          <w:lang w:val="en"/>
        </w:rPr>
        <w:t>,,</w:t>
      </w:r>
      <w:proofErr w:type="gramEnd"/>
      <w:r w:rsidRPr="00BF4DDE">
        <w:rPr>
          <w:rFonts w:ascii="Times New Roman" w:hAnsi="Times New Roman"/>
          <w:color w:val="4A4A4A"/>
          <w:sz w:val="24"/>
          <w:szCs w:val="24"/>
          <w:lang w:val="en"/>
        </w:rPr>
        <w:t xml:space="preserve"> U.S. District Court Senior Judge Jack B. Weinstein, held that the City’s motion to dismiss is denied and her lawsuit may proceed.</w:t>
      </w:r>
    </w:p>
    <w:p w14:paraId="10011404" w14:textId="6E7B5281" w:rsidR="00F326E5" w:rsidRPr="00BF4DDE" w:rsidRDefault="00F326E5" w:rsidP="00BF4DDE">
      <w:pPr>
        <w:ind w:left="720"/>
        <w:rPr>
          <w:rFonts w:ascii="Times New Roman" w:hAnsi="Times New Roman"/>
          <w:color w:val="4A4A4A"/>
          <w:sz w:val="24"/>
          <w:szCs w:val="24"/>
          <w:lang w:val="en"/>
        </w:rPr>
      </w:pPr>
      <w:r w:rsidRPr="00BF4DDE">
        <w:rPr>
          <w:rFonts w:ascii="Times New Roman" w:hAnsi="Times New Roman"/>
          <w:color w:val="4A4A4A"/>
          <w:sz w:val="24"/>
          <w:szCs w:val="24"/>
          <w:lang w:val="en"/>
        </w:rPr>
        <w:t xml:space="preserve">“After observing plaintiff during her extended examination by the court, defendants' motion for summary judgment on plaintiffs Section 1981 claim is denied. A jury could find her to be a credible witness who took her job at the FDNY seriously and performed satisfactorily. Discrimination, and not poor job performance, a jury could conclude, was the reason for her termination by </w:t>
      </w:r>
      <w:proofErr w:type="gramStart"/>
      <w:r w:rsidRPr="00BF4DDE">
        <w:rPr>
          <w:rFonts w:ascii="Times New Roman" w:hAnsi="Times New Roman"/>
          <w:color w:val="4A4A4A"/>
          <w:sz w:val="24"/>
          <w:szCs w:val="24"/>
          <w:lang w:val="en"/>
        </w:rPr>
        <w:t>the FDNY</w:t>
      </w:r>
      <w:proofErr w:type="gramEnd"/>
      <w:r w:rsidRPr="00BF4DDE">
        <w:rPr>
          <w:rFonts w:ascii="Times New Roman" w:hAnsi="Times New Roman"/>
          <w:color w:val="4A4A4A"/>
          <w:sz w:val="24"/>
          <w:szCs w:val="24"/>
          <w:lang w:val="en"/>
        </w:rPr>
        <w:t xml:space="preserve">. </w:t>
      </w:r>
      <w:hyperlink r:id="rId1644" w:history="1">
        <w:r w:rsidRPr="00BF4DDE">
          <w:rPr>
            <w:rStyle w:val="Hyperlink"/>
            <w:rFonts w:ascii="Times New Roman" w:hAnsi="Times New Roman"/>
            <w:sz w:val="24"/>
            <w:szCs w:val="24"/>
            <w:lang w:val="en"/>
          </w:rPr>
          <w:t>file:///C:/Users/lawre/AppData/Local/Microsoft/Windows/INetCache/IE/XO250S7T/Phillips-FDNY.pdf</w:t>
        </w:r>
      </w:hyperlink>
      <w:r w:rsidRPr="00BF4DDE">
        <w:rPr>
          <w:rFonts w:ascii="Times New Roman" w:hAnsi="Times New Roman"/>
          <w:color w:val="4A4A4A"/>
          <w:sz w:val="24"/>
          <w:szCs w:val="24"/>
          <w:lang w:val="en"/>
        </w:rPr>
        <w:t xml:space="preserve"> </w:t>
      </w:r>
    </w:p>
    <w:p w14:paraId="146999EC" w14:textId="77777777" w:rsidR="00F326E5" w:rsidRPr="00BF4DDE" w:rsidRDefault="00F326E5" w:rsidP="00F326E5">
      <w:pPr>
        <w:rPr>
          <w:rFonts w:ascii="Times New Roman" w:hAnsi="Times New Roman"/>
          <w:b/>
          <w:color w:val="4A4A4A"/>
          <w:sz w:val="24"/>
          <w:szCs w:val="24"/>
          <w:lang w:val="en"/>
        </w:rPr>
      </w:pPr>
      <w:r w:rsidRPr="00BF4DDE">
        <w:rPr>
          <w:rFonts w:ascii="Times New Roman" w:hAnsi="Times New Roman"/>
          <w:b/>
          <w:color w:val="4A4A4A"/>
          <w:sz w:val="24"/>
          <w:szCs w:val="24"/>
          <w:lang w:val="en"/>
        </w:rPr>
        <w:lastRenderedPageBreak/>
        <w:t xml:space="preserve">Legal Lessons Learned: The lawsuit may proceed.  The judge referenced the Vulcan Society case. </w:t>
      </w:r>
    </w:p>
    <w:p w14:paraId="3242BC9D" w14:textId="77777777" w:rsidR="00F326E5" w:rsidRPr="00BF4DDE" w:rsidRDefault="00F326E5" w:rsidP="00F326E5">
      <w:pPr>
        <w:ind w:left="720"/>
        <w:rPr>
          <w:rFonts w:ascii="Times New Roman" w:hAnsi="Times New Roman"/>
          <w:color w:val="4A4A4A"/>
          <w:sz w:val="24"/>
          <w:szCs w:val="24"/>
          <w:lang w:val="en"/>
        </w:rPr>
      </w:pPr>
      <w:r w:rsidRPr="00BF4DDE">
        <w:rPr>
          <w:rFonts w:ascii="Times New Roman" w:hAnsi="Times New Roman"/>
          <w:color w:val="4A4A4A"/>
          <w:sz w:val="24"/>
          <w:szCs w:val="24"/>
          <w:lang w:val="en"/>
        </w:rPr>
        <w:t xml:space="preserve">Note: In </w:t>
      </w:r>
      <w:proofErr w:type="gramStart"/>
      <w:r w:rsidRPr="00BF4DDE">
        <w:rPr>
          <w:rFonts w:ascii="Times New Roman" w:hAnsi="Times New Roman"/>
          <w:color w:val="4A4A4A"/>
          <w:sz w:val="24"/>
          <w:szCs w:val="24"/>
          <w:lang w:val="en"/>
        </w:rPr>
        <w:t>March,</w:t>
      </w:r>
      <w:proofErr w:type="gramEnd"/>
      <w:r w:rsidRPr="00BF4DDE">
        <w:rPr>
          <w:rFonts w:ascii="Times New Roman" w:hAnsi="Times New Roman"/>
          <w:color w:val="4A4A4A"/>
          <w:sz w:val="24"/>
          <w:szCs w:val="24"/>
          <w:lang w:val="en"/>
        </w:rPr>
        <w:t xml:space="preserve"> 2014, the </w:t>
      </w:r>
      <w:proofErr w:type="gramStart"/>
      <w:r w:rsidRPr="00BF4DDE">
        <w:rPr>
          <w:rFonts w:ascii="Times New Roman" w:hAnsi="Times New Roman"/>
          <w:color w:val="4A4A4A"/>
          <w:sz w:val="24"/>
          <w:szCs w:val="24"/>
          <w:lang w:val="en"/>
        </w:rPr>
        <w:t>City</w:t>
      </w:r>
      <w:proofErr w:type="gramEnd"/>
      <w:r w:rsidRPr="00BF4DDE">
        <w:rPr>
          <w:rFonts w:ascii="Times New Roman" w:hAnsi="Times New Roman"/>
          <w:color w:val="4A4A4A"/>
          <w:sz w:val="24"/>
          <w:szCs w:val="24"/>
          <w:lang w:val="en"/>
        </w:rPr>
        <w:t xml:space="preserve"> settled the lawsuit with the Vulcan Society for $98 million. </w:t>
      </w:r>
      <w:hyperlink r:id="rId1645" w:history="1">
        <w:r w:rsidRPr="00BF4DDE">
          <w:rPr>
            <w:rStyle w:val="Hyperlink"/>
            <w:rFonts w:ascii="Times New Roman" w:hAnsi="Times New Roman"/>
            <w:sz w:val="24"/>
            <w:szCs w:val="24"/>
            <w:lang w:val="en"/>
          </w:rPr>
          <w:t>http://www.nydailynews.com/new-york/city-pay-98-million-fdny-discrimination-case-article-1.1725702</w:t>
        </w:r>
      </w:hyperlink>
      <w:bookmarkEnd w:id="344"/>
      <w:r w:rsidRPr="00BF4DDE">
        <w:rPr>
          <w:rFonts w:ascii="Times New Roman" w:hAnsi="Times New Roman"/>
          <w:color w:val="4A4A4A"/>
          <w:sz w:val="24"/>
          <w:szCs w:val="24"/>
          <w:lang w:val="en"/>
        </w:rPr>
        <w:t xml:space="preserve"> </w:t>
      </w:r>
    </w:p>
    <w:p w14:paraId="454AB09F" w14:textId="77777777" w:rsidR="00F326E5" w:rsidRPr="00BF4DDE" w:rsidRDefault="00F326E5" w:rsidP="00F326E5">
      <w:pPr>
        <w:pStyle w:val="NoSpacing"/>
        <w:rPr>
          <w:rFonts w:ascii="Times New Roman" w:hAnsi="Times New Roman"/>
          <w:b/>
          <w:sz w:val="24"/>
          <w:szCs w:val="24"/>
        </w:rPr>
      </w:pPr>
    </w:p>
    <w:p w14:paraId="5D669894" w14:textId="77777777" w:rsidR="00F326E5" w:rsidRPr="004128F7" w:rsidRDefault="00F326E5" w:rsidP="00F326E5">
      <w:pPr>
        <w:pStyle w:val="NoSpacing"/>
        <w:rPr>
          <w:b/>
          <w:sz w:val="24"/>
          <w:szCs w:val="24"/>
        </w:rPr>
      </w:pPr>
    </w:p>
    <w:bookmarkEnd w:id="345"/>
    <w:p w14:paraId="43F85748" w14:textId="77777777" w:rsidR="00F326E5" w:rsidRDefault="00F326E5" w:rsidP="00F326E5">
      <w:pPr>
        <w:rPr>
          <w:rFonts w:ascii="Arial Black" w:hAnsi="Arial Black"/>
          <w:sz w:val="40"/>
          <w:szCs w:val="40"/>
        </w:rPr>
      </w:pPr>
      <w:r>
        <w:rPr>
          <w:rFonts w:ascii="Arial Black" w:hAnsi="Arial Black"/>
          <w:sz w:val="40"/>
          <w:szCs w:val="40"/>
        </w:rPr>
        <w:br w:type="page"/>
      </w:r>
    </w:p>
    <w:p w14:paraId="2939461D" w14:textId="77777777" w:rsidR="00F326E5" w:rsidRPr="007732FA" w:rsidRDefault="00F326E5" w:rsidP="00F326E5">
      <w:pPr>
        <w:pStyle w:val="NoSpacing"/>
        <w:rPr>
          <w:rFonts w:ascii="Arial Black" w:hAnsi="Arial Black"/>
          <w:sz w:val="40"/>
          <w:szCs w:val="40"/>
        </w:rPr>
      </w:pPr>
    </w:p>
    <w:p w14:paraId="16A376F2" w14:textId="77777777" w:rsidR="00456C91" w:rsidRDefault="00456C91" w:rsidP="00F326E5">
      <w:pPr>
        <w:pStyle w:val="NoSpacing"/>
        <w:rPr>
          <w:rFonts w:ascii="Arial Black" w:hAnsi="Arial Black"/>
          <w:sz w:val="40"/>
          <w:szCs w:val="40"/>
        </w:rPr>
      </w:pPr>
    </w:p>
    <w:p w14:paraId="3F55AB61" w14:textId="77777777" w:rsidR="00456C91" w:rsidRDefault="00456C91" w:rsidP="00F326E5">
      <w:pPr>
        <w:pStyle w:val="NoSpacing"/>
        <w:rPr>
          <w:rFonts w:ascii="Arial Black" w:hAnsi="Arial Black"/>
          <w:sz w:val="40"/>
          <w:szCs w:val="40"/>
        </w:rPr>
      </w:pPr>
    </w:p>
    <w:p w14:paraId="131A4C3C" w14:textId="77777777" w:rsidR="00456C91" w:rsidRDefault="00456C91" w:rsidP="00F326E5">
      <w:pPr>
        <w:pStyle w:val="NoSpacing"/>
        <w:rPr>
          <w:rFonts w:ascii="Arial Black" w:hAnsi="Arial Black"/>
          <w:sz w:val="40"/>
          <w:szCs w:val="40"/>
        </w:rPr>
      </w:pPr>
    </w:p>
    <w:p w14:paraId="485C43F7" w14:textId="77777777" w:rsidR="00456C91" w:rsidRDefault="00456C91" w:rsidP="00F326E5">
      <w:pPr>
        <w:pStyle w:val="NoSpacing"/>
        <w:rPr>
          <w:rFonts w:ascii="Arial Black" w:hAnsi="Arial Black"/>
          <w:sz w:val="40"/>
          <w:szCs w:val="40"/>
        </w:rPr>
      </w:pPr>
    </w:p>
    <w:p w14:paraId="4B663432" w14:textId="77777777" w:rsidR="00456C91" w:rsidRDefault="00456C91" w:rsidP="00F326E5">
      <w:pPr>
        <w:pStyle w:val="NoSpacing"/>
        <w:rPr>
          <w:rFonts w:ascii="Arial Black" w:hAnsi="Arial Black"/>
          <w:sz w:val="40"/>
          <w:szCs w:val="40"/>
        </w:rPr>
      </w:pPr>
    </w:p>
    <w:p w14:paraId="6CE6E438" w14:textId="77777777" w:rsidR="00456C91" w:rsidRDefault="00456C91" w:rsidP="00F326E5">
      <w:pPr>
        <w:pStyle w:val="NoSpacing"/>
        <w:rPr>
          <w:rFonts w:ascii="Arial Black" w:hAnsi="Arial Black"/>
          <w:sz w:val="40"/>
          <w:szCs w:val="40"/>
        </w:rPr>
      </w:pPr>
    </w:p>
    <w:p w14:paraId="2FD84194" w14:textId="77777777" w:rsidR="00456C91" w:rsidRDefault="00456C91" w:rsidP="00F326E5">
      <w:pPr>
        <w:pStyle w:val="NoSpacing"/>
        <w:rPr>
          <w:rFonts w:ascii="Arial Black" w:hAnsi="Arial Black"/>
          <w:sz w:val="40"/>
          <w:szCs w:val="40"/>
        </w:rPr>
      </w:pPr>
    </w:p>
    <w:p w14:paraId="5D48D2AD" w14:textId="77777777" w:rsidR="00456C91" w:rsidRDefault="00456C91" w:rsidP="00F326E5">
      <w:pPr>
        <w:pStyle w:val="NoSpacing"/>
        <w:rPr>
          <w:rFonts w:ascii="Arial Black" w:hAnsi="Arial Black"/>
          <w:sz w:val="40"/>
          <w:szCs w:val="40"/>
        </w:rPr>
      </w:pPr>
    </w:p>
    <w:p w14:paraId="6967BB24" w14:textId="77777777" w:rsidR="00456C91" w:rsidRDefault="00456C91" w:rsidP="00F326E5">
      <w:pPr>
        <w:pStyle w:val="NoSpacing"/>
        <w:rPr>
          <w:rFonts w:ascii="Arial Black" w:hAnsi="Arial Black"/>
          <w:sz w:val="40"/>
          <w:szCs w:val="40"/>
        </w:rPr>
      </w:pPr>
    </w:p>
    <w:p w14:paraId="0611B92E" w14:textId="77777777" w:rsidR="00456C91" w:rsidRDefault="00456C91" w:rsidP="00F326E5">
      <w:pPr>
        <w:pStyle w:val="NoSpacing"/>
        <w:rPr>
          <w:rFonts w:ascii="Arial Black" w:hAnsi="Arial Black"/>
          <w:sz w:val="40"/>
          <w:szCs w:val="40"/>
        </w:rPr>
      </w:pPr>
    </w:p>
    <w:p w14:paraId="3A80B944" w14:textId="77777777" w:rsidR="00456C91" w:rsidRDefault="00456C91" w:rsidP="00F326E5">
      <w:pPr>
        <w:pStyle w:val="NoSpacing"/>
        <w:rPr>
          <w:rFonts w:ascii="Arial Black" w:hAnsi="Arial Black"/>
          <w:sz w:val="40"/>
          <w:szCs w:val="40"/>
        </w:rPr>
      </w:pPr>
    </w:p>
    <w:p w14:paraId="5A7AA1FF" w14:textId="77777777" w:rsidR="00456C91" w:rsidRDefault="00456C91" w:rsidP="00F326E5">
      <w:pPr>
        <w:pStyle w:val="NoSpacing"/>
        <w:rPr>
          <w:rFonts w:ascii="Arial Black" w:hAnsi="Arial Black"/>
          <w:sz w:val="40"/>
          <w:szCs w:val="40"/>
        </w:rPr>
      </w:pPr>
    </w:p>
    <w:p w14:paraId="46BDAA20" w14:textId="77777777" w:rsidR="00456C91" w:rsidRDefault="00456C91" w:rsidP="00F326E5">
      <w:pPr>
        <w:pStyle w:val="NoSpacing"/>
        <w:rPr>
          <w:rFonts w:ascii="Arial Black" w:hAnsi="Arial Black"/>
          <w:sz w:val="40"/>
          <w:szCs w:val="40"/>
        </w:rPr>
      </w:pPr>
    </w:p>
    <w:p w14:paraId="76B14F0E" w14:textId="77777777" w:rsidR="00456C91" w:rsidRDefault="00456C91" w:rsidP="00F326E5">
      <w:pPr>
        <w:pStyle w:val="NoSpacing"/>
        <w:rPr>
          <w:rFonts w:ascii="Arial Black" w:hAnsi="Arial Black"/>
          <w:sz w:val="40"/>
          <w:szCs w:val="40"/>
        </w:rPr>
      </w:pPr>
    </w:p>
    <w:p w14:paraId="34AC1D76" w14:textId="77777777" w:rsidR="00456C91" w:rsidRDefault="00456C91" w:rsidP="00F326E5">
      <w:pPr>
        <w:pStyle w:val="NoSpacing"/>
        <w:rPr>
          <w:rFonts w:ascii="Arial Black" w:hAnsi="Arial Black"/>
          <w:sz w:val="40"/>
          <w:szCs w:val="40"/>
        </w:rPr>
      </w:pPr>
    </w:p>
    <w:p w14:paraId="0BCD4C02" w14:textId="77777777" w:rsidR="00456C91" w:rsidRDefault="00456C91" w:rsidP="00F326E5">
      <w:pPr>
        <w:pStyle w:val="NoSpacing"/>
        <w:rPr>
          <w:rFonts w:ascii="Arial Black" w:hAnsi="Arial Black"/>
          <w:sz w:val="40"/>
          <w:szCs w:val="40"/>
        </w:rPr>
      </w:pPr>
    </w:p>
    <w:p w14:paraId="67A416D8" w14:textId="77777777" w:rsidR="00456C91" w:rsidRDefault="00456C91" w:rsidP="00F326E5">
      <w:pPr>
        <w:pStyle w:val="NoSpacing"/>
        <w:rPr>
          <w:rFonts w:ascii="Arial Black" w:hAnsi="Arial Black"/>
          <w:sz w:val="40"/>
          <w:szCs w:val="40"/>
        </w:rPr>
      </w:pPr>
    </w:p>
    <w:p w14:paraId="2078D466" w14:textId="77777777" w:rsidR="00456C91" w:rsidRDefault="00456C91" w:rsidP="00F326E5">
      <w:pPr>
        <w:pStyle w:val="NoSpacing"/>
        <w:rPr>
          <w:rFonts w:ascii="Arial Black" w:hAnsi="Arial Black"/>
          <w:sz w:val="40"/>
          <w:szCs w:val="40"/>
        </w:rPr>
      </w:pPr>
    </w:p>
    <w:p w14:paraId="7B698F53" w14:textId="77777777" w:rsidR="00456C91" w:rsidRDefault="00456C91" w:rsidP="00F326E5">
      <w:pPr>
        <w:pStyle w:val="NoSpacing"/>
        <w:rPr>
          <w:rFonts w:ascii="Arial Black" w:hAnsi="Arial Black"/>
          <w:sz w:val="40"/>
          <w:szCs w:val="40"/>
        </w:rPr>
      </w:pPr>
    </w:p>
    <w:p w14:paraId="3EB19449" w14:textId="77777777" w:rsidR="00456C91" w:rsidRDefault="00456C91" w:rsidP="00F326E5">
      <w:pPr>
        <w:pStyle w:val="NoSpacing"/>
        <w:rPr>
          <w:rFonts w:ascii="Arial Black" w:hAnsi="Arial Black"/>
          <w:sz w:val="40"/>
          <w:szCs w:val="40"/>
        </w:rPr>
      </w:pPr>
    </w:p>
    <w:p w14:paraId="3C57BAFB" w14:textId="77777777" w:rsidR="00456C91" w:rsidRDefault="00456C91" w:rsidP="00F326E5">
      <w:pPr>
        <w:pStyle w:val="NoSpacing"/>
        <w:rPr>
          <w:rFonts w:ascii="Arial Black" w:hAnsi="Arial Black"/>
          <w:sz w:val="40"/>
          <w:szCs w:val="40"/>
        </w:rPr>
      </w:pPr>
    </w:p>
    <w:p w14:paraId="630F7611" w14:textId="77777777" w:rsidR="00456C91" w:rsidRDefault="00456C91" w:rsidP="00F326E5">
      <w:pPr>
        <w:pStyle w:val="NoSpacing"/>
        <w:rPr>
          <w:rFonts w:ascii="Arial Black" w:hAnsi="Arial Black"/>
          <w:sz w:val="40"/>
          <w:szCs w:val="40"/>
        </w:rPr>
      </w:pPr>
    </w:p>
    <w:p w14:paraId="796C012D" w14:textId="77777777" w:rsidR="00456C91" w:rsidRDefault="00456C91" w:rsidP="00F326E5">
      <w:pPr>
        <w:pStyle w:val="NoSpacing"/>
        <w:rPr>
          <w:rFonts w:ascii="Arial Black" w:hAnsi="Arial Black"/>
          <w:sz w:val="40"/>
          <w:szCs w:val="40"/>
        </w:rPr>
      </w:pPr>
    </w:p>
    <w:p w14:paraId="2E5CC0CE" w14:textId="77777777" w:rsidR="00456C91" w:rsidRDefault="00456C91" w:rsidP="00F326E5">
      <w:pPr>
        <w:pStyle w:val="NoSpacing"/>
        <w:rPr>
          <w:rFonts w:ascii="Arial Black" w:hAnsi="Arial Black"/>
          <w:sz w:val="40"/>
          <w:szCs w:val="40"/>
        </w:rPr>
      </w:pPr>
    </w:p>
    <w:p w14:paraId="1543A207" w14:textId="3F7609A4" w:rsidR="00F326E5" w:rsidRDefault="00F326E5" w:rsidP="00F326E5">
      <w:pPr>
        <w:pStyle w:val="NoSpacing"/>
        <w:rPr>
          <w:rFonts w:ascii="Arial Black" w:hAnsi="Arial Black"/>
          <w:sz w:val="40"/>
          <w:szCs w:val="40"/>
        </w:rPr>
      </w:pPr>
      <w:r w:rsidRPr="007732FA">
        <w:rPr>
          <w:rFonts w:ascii="Arial Black" w:hAnsi="Arial Black"/>
          <w:sz w:val="40"/>
          <w:szCs w:val="40"/>
        </w:rPr>
        <w:lastRenderedPageBreak/>
        <w:t>Chap. 9</w:t>
      </w:r>
      <w:r w:rsidRPr="007732FA">
        <w:rPr>
          <w:rFonts w:ascii="Arial Black" w:hAnsi="Arial Black"/>
          <w:sz w:val="40"/>
          <w:szCs w:val="40"/>
        </w:rPr>
        <w:tab/>
        <w:t xml:space="preserve">Americans </w:t>
      </w:r>
      <w:proofErr w:type="gramStart"/>
      <w:r w:rsidRPr="007732FA">
        <w:rPr>
          <w:rFonts w:ascii="Arial Black" w:hAnsi="Arial Black"/>
          <w:sz w:val="40"/>
          <w:szCs w:val="40"/>
        </w:rPr>
        <w:t>With</w:t>
      </w:r>
      <w:proofErr w:type="gramEnd"/>
      <w:r w:rsidRPr="007732FA">
        <w:rPr>
          <w:rFonts w:ascii="Arial Black" w:hAnsi="Arial Black"/>
          <w:sz w:val="40"/>
          <w:szCs w:val="40"/>
        </w:rPr>
        <w:t xml:space="preserve"> Disabilities Act</w:t>
      </w:r>
    </w:p>
    <w:p w14:paraId="2E416640" w14:textId="77777777" w:rsidR="0015021B" w:rsidRDefault="0015021B" w:rsidP="00F326E5">
      <w:pPr>
        <w:pStyle w:val="NoSpacing"/>
        <w:rPr>
          <w:sz w:val="24"/>
          <w:szCs w:val="24"/>
        </w:rPr>
      </w:pPr>
    </w:p>
    <w:p w14:paraId="50AA57EE" w14:textId="77777777" w:rsidR="0058644D" w:rsidRDefault="0058644D" w:rsidP="00BC4752">
      <w:pPr>
        <w:pStyle w:val="NoSpacing"/>
        <w:rPr>
          <w:rFonts w:ascii="Arial Black" w:hAnsi="Arial Black"/>
          <w:sz w:val="24"/>
          <w:szCs w:val="24"/>
        </w:rPr>
      </w:pPr>
      <w:bookmarkStart w:id="346" w:name="_Hlk7344938"/>
    </w:p>
    <w:p w14:paraId="1A01F50A" w14:textId="111C2289" w:rsidR="00697C86" w:rsidRDefault="00697C86" w:rsidP="00697C86">
      <w:pPr>
        <w:pStyle w:val="NoSpacing"/>
        <w:rPr>
          <w:rFonts w:ascii="Arial Black" w:hAnsi="Arial Black"/>
          <w:sz w:val="24"/>
          <w:szCs w:val="24"/>
        </w:rPr>
      </w:pPr>
      <w:r>
        <w:rPr>
          <w:rFonts w:ascii="Arial Black" w:hAnsi="Arial Black"/>
          <w:sz w:val="24"/>
          <w:szCs w:val="24"/>
        </w:rPr>
        <w:t>9-71</w:t>
      </w:r>
    </w:p>
    <w:p w14:paraId="33155E72" w14:textId="77777777" w:rsidR="0058644D" w:rsidRDefault="0058644D" w:rsidP="00BC4752">
      <w:pPr>
        <w:pStyle w:val="NoSpacing"/>
        <w:rPr>
          <w:rFonts w:ascii="Arial Black" w:hAnsi="Arial Black"/>
          <w:sz w:val="24"/>
          <w:szCs w:val="24"/>
        </w:rPr>
      </w:pPr>
    </w:p>
    <w:p w14:paraId="663F0297" w14:textId="77777777" w:rsidR="0058644D" w:rsidRDefault="0058644D" w:rsidP="00BC4752">
      <w:pPr>
        <w:pStyle w:val="NoSpacing"/>
        <w:rPr>
          <w:rFonts w:ascii="Arial Black" w:hAnsi="Arial Black"/>
          <w:sz w:val="24"/>
          <w:szCs w:val="24"/>
        </w:rPr>
      </w:pPr>
    </w:p>
    <w:p w14:paraId="6A9900F2" w14:textId="77777777" w:rsidR="004C3A23" w:rsidRPr="009B2DEE" w:rsidRDefault="004C3A23" w:rsidP="004C3A23">
      <w:pPr>
        <w:pStyle w:val="NoSpacing"/>
        <w:rPr>
          <w:rFonts w:ascii="Arial Black" w:hAnsi="Arial Black"/>
          <w:sz w:val="28"/>
          <w:szCs w:val="28"/>
        </w:rPr>
      </w:pPr>
      <w:r>
        <w:rPr>
          <w:rFonts w:ascii="Arial Black" w:hAnsi="Arial Black"/>
          <w:sz w:val="28"/>
          <w:szCs w:val="28"/>
        </w:rPr>
        <w:t>MD: MEDIC PTSD / FIRED – REQ. BE EMT - CASE PROCEED</w:t>
      </w:r>
    </w:p>
    <w:p w14:paraId="0AC64505" w14:textId="77777777" w:rsidR="004C3A23" w:rsidRDefault="004C3A23" w:rsidP="004C3A23">
      <w:pPr>
        <w:pStyle w:val="NoSpacing"/>
      </w:pPr>
    </w:p>
    <w:p w14:paraId="73528304" w14:textId="77777777" w:rsidR="004C3A23" w:rsidRDefault="004C3A23" w:rsidP="004C3A23">
      <w:pPr>
        <w:pStyle w:val="NoSpacing"/>
      </w:pPr>
      <w:r>
        <w:t xml:space="preserve">On August 27, 2026, in </w:t>
      </w:r>
      <w:r w:rsidRPr="00294BDB">
        <w:rPr>
          <w:u w:val="single"/>
        </w:rPr>
        <w:t>Christpher Dew v. The City of Annapolis</w:t>
      </w:r>
      <w:r>
        <w:t xml:space="preserve">, U.S. District Court Judge </w:t>
      </w:r>
      <w:r w:rsidRPr="000C58B8">
        <w:t xml:space="preserve"> Brendan A. Hurson, United States District </w:t>
      </w:r>
      <w:r>
        <w:t xml:space="preserve">Court for the District of Maryland, denied the City’s motion for summary judgment.  The Court found, after all depositions and pre-trial discovery was completed, that Drew was medically qualified to serve as an EMT (not as a paramedic) and it would not be an “undue hardship” for fire department to accommodate him.  The case will now go to jury unless settled.  In March 2020, Drew was injured when a patient fell on him, he was off work for 3 months, and upon return had anxiety attacks and depression.  In July 2020 he went on FMLA leave and </w:t>
      </w:r>
      <w:r w:rsidRPr="00C255A3">
        <w:t xml:space="preserve">began receiving treatment through </w:t>
      </w:r>
      <w:r>
        <w:t xml:space="preserve">the </w:t>
      </w:r>
      <w:r w:rsidRPr="00C255A3">
        <w:t>International Association of Firefighters where he met with Patrick Baker, LCSW for therapy</w:t>
      </w:r>
      <w:r>
        <w:t xml:space="preserve">, </w:t>
      </w:r>
      <w:proofErr w:type="gramStart"/>
      <w:r>
        <w:t>and also</w:t>
      </w:r>
      <w:proofErr w:type="gramEnd"/>
      <w:r>
        <w:t xml:space="preserve"> a private mental health provider.  </w:t>
      </w:r>
      <w:r w:rsidRPr="00CC0986">
        <w:t xml:space="preserve">On September 30, 2020, Dew sent Chief Remaley a letter requesting </w:t>
      </w:r>
      <w:proofErr w:type="gramStart"/>
      <w:r>
        <w:t xml:space="preserve">an </w:t>
      </w:r>
      <w:r w:rsidRPr="00CC0986">
        <w:t>accommodation</w:t>
      </w:r>
      <w:proofErr w:type="gramEnd"/>
      <w:r w:rsidRPr="00CC0986">
        <w:t xml:space="preserve"> </w:t>
      </w:r>
      <w:proofErr w:type="gramStart"/>
      <w:r w:rsidRPr="00CC0986">
        <w:t>of</w:t>
      </w:r>
      <w:proofErr w:type="gramEnd"/>
      <w:r w:rsidRPr="00CC0986">
        <w:t xml:space="preserve"> a demotion to Grade 13 Firefighter First Class</w:t>
      </w:r>
      <w:r>
        <w:t xml:space="preserve"> / EMT</w:t>
      </w:r>
      <w:r w:rsidRPr="00CC0986">
        <w:t>, removing his paramedic duties as an ALS provider.</w:t>
      </w:r>
      <w:r>
        <w:t xml:space="preserve">  The Fire Chief ordered an independent medic exam </w:t>
      </w:r>
      <w:proofErr w:type="gramStart"/>
      <w:r>
        <w:t>by</w:t>
      </w:r>
      <w:proofErr w:type="gramEnd"/>
      <w:r>
        <w:t xml:space="preserve"> the City’s forensic psychologist, </w:t>
      </w:r>
      <w:r w:rsidRPr="005D6D87">
        <w:t>Dr. Jack Leeb</w:t>
      </w:r>
      <w:r>
        <w:t xml:space="preserve">.   Dr. Leeb issued a </w:t>
      </w:r>
      <w:r w:rsidRPr="000A61A5">
        <w:t>report</w:t>
      </w:r>
      <w:r>
        <w:t xml:space="preserve"> supporting Drew’s accommodation as a firefighter / EMT - “</w:t>
      </w:r>
      <w:r w:rsidRPr="000A61A5">
        <w:t>[t]o the extent possible, it is recommended that FF/PM Dew's desire to work as a firefighter be accommodated</w:t>
      </w:r>
      <w:r>
        <w:t>”</w:t>
      </w:r>
      <w:r w:rsidRPr="000A61A5">
        <w:t xml:space="preserve"> and that </w:t>
      </w:r>
      <w:r>
        <w:t>“</w:t>
      </w:r>
      <w:r w:rsidRPr="000A61A5">
        <w:t>FF/PM Dew is psychologically fit to return to duty as a firefighter but... it would not be appropriate for him to be assigned as a paramedic.</w:t>
      </w:r>
      <w:r>
        <w:t xml:space="preserve">”   A second report by Dr. Leeb confirmed plaintiff was not fit for duties as a paramedic.  </w:t>
      </w:r>
      <w:r w:rsidRPr="00182E13">
        <w:t>Shortly after, on November 12, 2020, Chief Remaley issued a letter to Dew notifying him of Chief Remaley's intent to terminate Dew's employment effective January 1, 2021.</w:t>
      </w:r>
      <w:r>
        <w:t xml:space="preserve">  </w:t>
      </w:r>
    </w:p>
    <w:p w14:paraId="3F79251E" w14:textId="77777777" w:rsidR="004C3A23" w:rsidRDefault="004C3A23" w:rsidP="004C3A23">
      <w:pPr>
        <w:pStyle w:val="NoSpacing"/>
      </w:pPr>
      <w:r>
        <w:t xml:space="preserve"> </w:t>
      </w:r>
      <w:hyperlink r:id="rId1646" w:history="1">
        <w:r w:rsidRPr="00883033">
          <w:rPr>
            <w:rStyle w:val="Hyperlink"/>
          </w:rPr>
          <w:t>https://law.justia.com/cases/federal/district-courts/maryland/mddce/1:2024cv03292/571304/36/</w:t>
        </w:r>
      </w:hyperlink>
      <w:r>
        <w:t xml:space="preserve"> </w:t>
      </w:r>
    </w:p>
    <w:p w14:paraId="2591C2B2" w14:textId="77777777" w:rsidR="004C3A23" w:rsidRDefault="004C3A23" w:rsidP="004C3A23">
      <w:pPr>
        <w:pStyle w:val="NoSpacing"/>
      </w:pPr>
    </w:p>
    <w:p w14:paraId="63E6F57D" w14:textId="77777777" w:rsidR="004C3A23" w:rsidRDefault="004C3A23" w:rsidP="004C3A23">
      <w:pPr>
        <w:pStyle w:val="NoSpacing"/>
      </w:pPr>
      <w:r>
        <w:t xml:space="preserve">THE COURT WROTE: </w:t>
      </w:r>
    </w:p>
    <w:p w14:paraId="2E64998C" w14:textId="77777777" w:rsidR="004C3A23" w:rsidRDefault="004C3A23" w:rsidP="004C3A23">
      <w:pPr>
        <w:pStyle w:val="NoSpacing"/>
      </w:pPr>
    </w:p>
    <w:p w14:paraId="6463613B" w14:textId="77777777" w:rsidR="004C3A23" w:rsidRDefault="004C3A23" w:rsidP="004C3A23">
      <w:pPr>
        <w:pStyle w:val="NoSpacing"/>
        <w:ind w:left="720"/>
      </w:pPr>
      <w:r>
        <w:t>“</w:t>
      </w:r>
      <w:r w:rsidRPr="008D3D24">
        <w:t>In February of 2012, Dew was hired by the Annapolis Fire Department (</w:t>
      </w:r>
      <w:r>
        <w:t>‘</w:t>
      </w:r>
      <w:r w:rsidRPr="008D3D24">
        <w:t>AFD</w:t>
      </w:r>
      <w:r>
        <w:t>’</w:t>
      </w:r>
      <w:r w:rsidRPr="008D3D24">
        <w:t>) as a Firefighter II and Emergency Medical Technician (“EMT”)-Paramedic, also known as an advanced life support (</w:t>
      </w:r>
      <w:r>
        <w:t>‘</w:t>
      </w:r>
      <w:r w:rsidRPr="008D3D24">
        <w:t>ALS</w:t>
      </w:r>
      <w:r>
        <w:t>’</w:t>
      </w:r>
      <w:r w:rsidRPr="008D3D24">
        <w:t>) provider and more commonly referred to as a paramedic</w:t>
      </w:r>
      <w:r>
        <w:t>….</w:t>
      </w:r>
      <w:r w:rsidRPr="008D3D24">
        <w:t xml:space="preserve"> When Dew was hired, he had decades of experience as a firefighter paramedic with other departments in Maryland and Washington, D.C</w:t>
      </w:r>
      <w:r>
        <w:t xml:space="preserve">…. </w:t>
      </w:r>
      <w:r w:rsidRPr="00C321F3">
        <w:t>On March 9, 2017, Dew was promoted to Firefighter First Class (</w:t>
      </w:r>
      <w:r>
        <w:t>‘</w:t>
      </w:r>
      <w:r w:rsidRPr="00C321F3">
        <w:t>FF 1/C</w:t>
      </w:r>
      <w:r>
        <w:t>’</w:t>
      </w:r>
      <w:r w:rsidRPr="00C321F3">
        <w:t>), a position which both ALS and BUS providers can occupy</w:t>
      </w:r>
      <w:r>
        <w:t xml:space="preserve">…. </w:t>
      </w:r>
      <w:r w:rsidRPr="009D6FE1">
        <w:t>Two years after his promotion, in March of 2020, Dew suffered an injury on the job</w:t>
      </w:r>
      <w:r>
        <w:t xml:space="preserve">…. </w:t>
      </w:r>
      <w:r w:rsidRPr="009D6FE1">
        <w:t>Dew's left shoulder, neck, and back were injured when he caught a civilian who fell forward on top of him after calling EMS services for help</w:t>
      </w:r>
      <w:r>
        <w:t xml:space="preserve">…. </w:t>
      </w:r>
      <w:r w:rsidRPr="009D6FE1">
        <w:t>. Approximately three months after the injury, Dew returned to work</w:t>
      </w:r>
      <w:r>
        <w:t xml:space="preserve">…. </w:t>
      </w:r>
      <w:r w:rsidRPr="00863D4B">
        <w:t>After his return, however, Dew began experiencing anxiety attacks and depression related to his role as a paramedic</w:t>
      </w:r>
      <w:r>
        <w:t xml:space="preserve">…. </w:t>
      </w:r>
      <w:r w:rsidRPr="00863D4B">
        <w:t>For example, Dew describes experiencing a mental health episode while watching an accident scene on television</w:t>
      </w:r>
      <w:r>
        <w:t xml:space="preserve">…. </w:t>
      </w:r>
      <w:r w:rsidRPr="00863D4B">
        <w:t>Dew reports reaching out to colleagues about his experience, including his battalion chief, Nathan Powell</w:t>
      </w:r>
      <w:r>
        <w:t xml:space="preserve">…. </w:t>
      </w:r>
      <w:r w:rsidRPr="00863D4B">
        <w:t xml:space="preserve">Specifically, Dew described his struggles during this time </w:t>
      </w:r>
      <w:proofErr w:type="gramStart"/>
      <w:r w:rsidRPr="00863D4B">
        <w:t>a related</w:t>
      </w:r>
      <w:proofErr w:type="gramEnd"/>
      <w:r w:rsidRPr="00863D4B">
        <w:t xml:space="preserve"> to the knowledge and anxiety of being </w:t>
      </w:r>
      <w:r>
        <w:t>‘</w:t>
      </w:r>
      <w:r w:rsidRPr="00863D4B">
        <w:t>ultimately responsible for this person's life, for making decisions or - or potentially making the wrong drug calculation[.]</w:t>
      </w:r>
      <w:r>
        <w:t xml:space="preserve">’ </w:t>
      </w:r>
    </w:p>
    <w:p w14:paraId="5395F850" w14:textId="77777777" w:rsidR="004C3A23" w:rsidRDefault="004C3A23" w:rsidP="004C3A23">
      <w:pPr>
        <w:pStyle w:val="NoSpacing"/>
        <w:ind w:left="720"/>
      </w:pPr>
    </w:p>
    <w:p w14:paraId="3B63F3C6" w14:textId="77777777" w:rsidR="004C3A23" w:rsidRDefault="004C3A23" w:rsidP="004C3A23">
      <w:pPr>
        <w:pStyle w:val="NoSpacing"/>
        <w:ind w:left="720"/>
      </w:pPr>
      <w:r>
        <w:t>***</w:t>
      </w:r>
    </w:p>
    <w:p w14:paraId="048BBD30" w14:textId="77777777" w:rsidR="004C3A23" w:rsidRDefault="004C3A23" w:rsidP="004C3A23">
      <w:pPr>
        <w:pStyle w:val="NoSpacing"/>
        <w:ind w:left="720"/>
      </w:pPr>
      <w:r w:rsidRPr="00D84F98">
        <w:t>On October 22,2020, Plaintiff went for an IPE with the City's forensic psychologist, Dr. Jack Leeb</w:t>
      </w:r>
      <w:r>
        <w:t xml:space="preserve">…. </w:t>
      </w:r>
      <w:r w:rsidRPr="00D84F98">
        <w:t xml:space="preserve">The </w:t>
      </w:r>
      <w:proofErr w:type="gramStart"/>
      <w:r w:rsidRPr="00D84F98">
        <w:t>City</w:t>
      </w:r>
      <w:proofErr w:type="gramEnd"/>
      <w:r w:rsidRPr="00D84F98">
        <w:t xml:space="preserve"> ultimately received versions of a report from Dr. Leeb regarding that evaluation</w:t>
      </w:r>
      <w:r>
        <w:t xml:space="preserve">…. </w:t>
      </w:r>
      <w:r w:rsidRPr="0081073E">
        <w:t xml:space="preserve">In Dr. Leeb's first report, he states that </w:t>
      </w:r>
      <w:r>
        <w:t>‘</w:t>
      </w:r>
      <w:r w:rsidRPr="0081073E">
        <w:t>[t]o the extent possible, it is recommended that FF/PM Dew's desire to work as a firefighter be accommodated</w:t>
      </w:r>
      <w:r>
        <w:t>’</w:t>
      </w:r>
      <w:r w:rsidRPr="0081073E">
        <w:t xml:space="preserve"> and that </w:t>
      </w:r>
      <w:r>
        <w:t>‘</w:t>
      </w:r>
      <w:r w:rsidRPr="0081073E">
        <w:t>FF/PM Dew is psychologically fit to return to duty as a firefighter but... it would not be appropriate for him to be assigned as a paramedic.</w:t>
      </w:r>
      <w:r>
        <w:t xml:space="preserve">’ </w:t>
      </w:r>
      <w:r w:rsidRPr="0081073E">
        <w:t xml:space="preserve">However, in Dr. Leeb's revised, second report, this recommendation and conclusion of Mr. Dew's psychological fitness </w:t>
      </w:r>
      <w:proofErr w:type="gramStart"/>
      <w:r w:rsidRPr="0081073E">
        <w:t>does</w:t>
      </w:r>
      <w:proofErr w:type="gramEnd"/>
      <w:r w:rsidRPr="0081073E">
        <w:t xml:space="preserve"> not appear</w:t>
      </w:r>
      <w:r>
        <w:t xml:space="preserve">…. </w:t>
      </w:r>
      <w:r w:rsidRPr="0081073E">
        <w:t>Instead, Dr. Leeb solely opines on Dew's ability to return as both a firefighter and paramedic, which he concluded Dew could not do “[s]</w:t>
      </w:r>
      <w:proofErr w:type="spellStart"/>
      <w:r w:rsidRPr="0081073E">
        <w:t>ince</w:t>
      </w:r>
      <w:proofErr w:type="spellEnd"/>
      <w:r w:rsidRPr="0081073E">
        <w:t xml:space="preserve"> the official job description melds the jobs of firefighter arid paramedic</w:t>
      </w:r>
      <w:r>
        <w:t>’</w:t>
      </w:r>
      <w:r w:rsidRPr="0081073E">
        <w:t xml:space="preserve"> and </w:t>
      </w:r>
      <w:r>
        <w:t>‘</w:t>
      </w:r>
      <w:r w:rsidRPr="0081073E">
        <w:t xml:space="preserve">Dew said that he feels </w:t>
      </w:r>
      <w:r w:rsidRPr="0081073E">
        <w:lastRenderedPageBreak/>
        <w:t>permanently unable to continue working as a paramedic.</w:t>
      </w:r>
      <w:r>
        <w:t xml:space="preserve">’ </w:t>
      </w:r>
      <w:r w:rsidRPr="0081073E">
        <w:t xml:space="preserve">Dr. Leeb thus concluded that Dew could not, </w:t>
      </w:r>
      <w:r>
        <w:t>‘</w:t>
      </w:r>
      <w:r w:rsidRPr="0081073E">
        <w:t>at this time, be considered psychologically fit for duty</w:t>
      </w:r>
      <w:r>
        <w:t xml:space="preserve">…. </w:t>
      </w:r>
      <w:r w:rsidRPr="0081073E">
        <w:t>Dr. Leeb included in his IPE report the instance of the anxiety attack suffered by Dew while watching the television show</w:t>
      </w:r>
      <w:r>
        <w:t xml:space="preserve">…. </w:t>
      </w:r>
      <w:r w:rsidRPr="0081073E">
        <w:t xml:space="preserve">Dr. Leeb's report also describes Dew stating that </w:t>
      </w:r>
      <w:r>
        <w:t>‘</w:t>
      </w:r>
      <w:r w:rsidRPr="0081073E">
        <w:t>something broke inside</w:t>
      </w:r>
      <w:r>
        <w:t>’</w:t>
      </w:r>
      <w:r w:rsidRPr="0081073E">
        <w:t xml:space="preserve"> of him after he attended to a belligerent patient, causing him to report losing some degree of empathy towards his patients.</w:t>
      </w:r>
    </w:p>
    <w:p w14:paraId="7FE58E22" w14:textId="77777777" w:rsidR="004C3A23" w:rsidRDefault="004C3A23" w:rsidP="004C3A23">
      <w:pPr>
        <w:pStyle w:val="NoSpacing"/>
        <w:ind w:left="720"/>
      </w:pPr>
    </w:p>
    <w:p w14:paraId="248ABB4B" w14:textId="77777777" w:rsidR="004C3A23" w:rsidRDefault="004C3A23" w:rsidP="004C3A23">
      <w:pPr>
        <w:pStyle w:val="NoSpacing"/>
        <w:ind w:left="720"/>
      </w:pPr>
      <w:r>
        <w:t>***</w:t>
      </w:r>
    </w:p>
    <w:p w14:paraId="793FF958" w14:textId="77777777" w:rsidR="004C3A23" w:rsidRDefault="004C3A23" w:rsidP="004C3A23">
      <w:pPr>
        <w:pStyle w:val="NoSpacing"/>
        <w:ind w:left="720"/>
      </w:pPr>
      <w:r w:rsidRPr="00760127">
        <w:rPr>
          <w:b/>
        </w:rPr>
        <w:t>Qualified Individual</w:t>
      </w:r>
    </w:p>
    <w:p w14:paraId="264DA1A7" w14:textId="77777777" w:rsidR="004C3A23" w:rsidRDefault="004C3A23" w:rsidP="004C3A23">
      <w:pPr>
        <w:pStyle w:val="NoSpacing"/>
        <w:ind w:left="720"/>
      </w:pPr>
    </w:p>
    <w:p w14:paraId="0B3F40BD" w14:textId="77777777" w:rsidR="004C3A23" w:rsidRDefault="004C3A23" w:rsidP="004C3A23">
      <w:pPr>
        <w:pStyle w:val="NoSpacing"/>
        <w:ind w:left="720"/>
      </w:pPr>
      <w:r w:rsidRPr="00062BE4">
        <w:t xml:space="preserve">The Court agrees with the </w:t>
      </w:r>
      <w:proofErr w:type="gramStart"/>
      <w:r w:rsidRPr="00062BE4">
        <w:t>City</w:t>
      </w:r>
      <w:proofErr w:type="gramEnd"/>
      <w:r w:rsidRPr="00062BE4">
        <w:t xml:space="preserve"> that there is </w:t>
      </w:r>
      <w:r>
        <w:t>‘</w:t>
      </w:r>
      <w:r w:rsidRPr="00062BE4">
        <w:t>no question that responding to medical emergencies is an essential function of the FF 1/C position.</w:t>
      </w:r>
      <w:r>
        <w:t>’ … H</w:t>
      </w:r>
      <w:r w:rsidRPr="00062BE4">
        <w:t xml:space="preserve">owever, the Court disagrees with the </w:t>
      </w:r>
      <w:proofErr w:type="gramStart"/>
      <w:r w:rsidRPr="00062BE4">
        <w:t>City</w:t>
      </w:r>
      <w:proofErr w:type="gramEnd"/>
      <w:r w:rsidRPr="00062BE4">
        <w:t xml:space="preserve"> insofar as the Court concludes that there is a genuine dispute of material fact regarding whether Dew could perform that essential function.</w:t>
      </w:r>
      <w:r>
        <w:t xml:space="preserve"> </w:t>
      </w:r>
      <w:r w:rsidRPr="00FC4010">
        <w:t xml:space="preserve">Dew's deposition testimony . reflects that he understood that returning to work as a </w:t>
      </w:r>
      <w:r>
        <w:t>‘</w:t>
      </w:r>
      <w:r w:rsidRPr="00FC4010">
        <w:t>firefighter</w:t>
      </w:r>
      <w:r>
        <w:t>’</w:t>
      </w:r>
      <w:r w:rsidRPr="00FC4010">
        <w:t xml:space="preserve"> would mean returning with EMT duties and would therefore entail responding to medical emergencies as a significant portion of the job</w:t>
      </w:r>
      <w:r>
        <w:t xml:space="preserve">…. </w:t>
      </w:r>
      <w:r w:rsidRPr="00B654F4">
        <w:t xml:space="preserve">Dew has produced evidence, through his own testimony and his record of receiving care from providers, that it was not the provision of medical services themselves that made his anxiety, PTSD, and depression unmanageable, but rather the heavy weight, as he describes it, of bearing the </w:t>
      </w:r>
      <w:r>
        <w:t>‘</w:t>
      </w:r>
      <w:r w:rsidRPr="00B654F4">
        <w:t>ultimate responsibility for patient care</w:t>
      </w:r>
      <w:r>
        <w:t>’</w:t>
      </w:r>
      <w:r w:rsidRPr="00B654F4">
        <w:t xml:space="preserve"> that comes along with being an ALS provider, as opposed to a BLS provider.</w:t>
      </w:r>
    </w:p>
    <w:p w14:paraId="14A34790" w14:textId="77777777" w:rsidR="004C3A23" w:rsidRDefault="004C3A23" w:rsidP="004C3A23">
      <w:pPr>
        <w:pStyle w:val="NoSpacing"/>
        <w:ind w:left="720"/>
      </w:pPr>
    </w:p>
    <w:p w14:paraId="56FD1BEE" w14:textId="77777777" w:rsidR="004C3A23" w:rsidRDefault="004C3A23" w:rsidP="004C3A23">
      <w:pPr>
        <w:pStyle w:val="NoSpacing"/>
        <w:ind w:left="720"/>
      </w:pPr>
      <w:r>
        <w:t>***</w:t>
      </w:r>
    </w:p>
    <w:p w14:paraId="47255147" w14:textId="77777777" w:rsidR="004C3A23" w:rsidRDefault="004C3A23" w:rsidP="004C3A23">
      <w:pPr>
        <w:pStyle w:val="NoSpacing"/>
        <w:ind w:left="720"/>
      </w:pPr>
      <w:r w:rsidRPr="00E14095">
        <w:rPr>
          <w:b/>
        </w:rPr>
        <w:t>Undue Hardship</w:t>
      </w:r>
    </w:p>
    <w:p w14:paraId="7DABE622" w14:textId="77777777" w:rsidR="004C3A23" w:rsidRDefault="004C3A23" w:rsidP="004C3A23">
      <w:pPr>
        <w:pStyle w:val="NoSpacing"/>
      </w:pPr>
    </w:p>
    <w:p w14:paraId="46A8A248" w14:textId="77777777" w:rsidR="004C3A23" w:rsidRPr="007522E6" w:rsidRDefault="004C3A23" w:rsidP="004C3A23">
      <w:pPr>
        <w:pStyle w:val="NoSpacing"/>
        <w:ind w:left="720"/>
      </w:pPr>
      <w:r w:rsidRPr="0039308A">
        <w:t xml:space="preserve">The Court concludes that the City is not entitled to summary judgment </w:t>
      </w:r>
      <w:proofErr w:type="gramStart"/>
      <w:r w:rsidRPr="0039308A">
        <w:t>on the basis of</w:t>
      </w:r>
      <w:proofErr w:type="gramEnd"/>
      <w:r w:rsidRPr="0039308A">
        <w:t xml:space="preserve"> undue hardship because Dew has shown a genuine dispute of material fact on that issue</w:t>
      </w:r>
      <w:r>
        <w:t xml:space="preserve">…. </w:t>
      </w:r>
      <w:r w:rsidRPr="00F0444D">
        <w:t xml:space="preserve">The </w:t>
      </w:r>
      <w:proofErr w:type="gramStart"/>
      <w:r w:rsidRPr="00F0444D">
        <w:t>City</w:t>
      </w:r>
      <w:proofErr w:type="gramEnd"/>
      <w:r w:rsidRPr="00F0444D">
        <w:t xml:space="preserve"> has argued that at the time of Dew's </w:t>
      </w:r>
      <w:proofErr w:type="gramStart"/>
      <w:r w:rsidRPr="00F0444D">
        <w:t xml:space="preserve">request, </w:t>
      </w:r>
      <w:r>
        <w:t>‘</w:t>
      </w:r>
      <w:proofErr w:type="gramEnd"/>
      <w:r w:rsidRPr="00F0444D">
        <w:t xml:space="preserve">three shifts had nine ALS </w:t>
      </w:r>
      <w:proofErr w:type="gramStart"/>
      <w:r w:rsidRPr="00F0444D">
        <w:t>providers</w:t>
      </w:r>
      <w:proofErr w:type="gramEnd"/>
      <w:r w:rsidRPr="00F0444D">
        <w:t xml:space="preserve"> and one shift had 10 ALS providers, far below the goal of 12 ALS providers per shift.</w:t>
      </w:r>
      <w:r>
        <w:t xml:space="preserve">’ … </w:t>
      </w:r>
      <w:r w:rsidRPr="00F0444D">
        <w:t xml:space="preserve">According to the City, permitting Dew to drop </w:t>
      </w:r>
      <w:r>
        <w:t>‘</w:t>
      </w:r>
      <w:r w:rsidRPr="00F0444D">
        <w:t>his ALS certification would have left Plaintiff's shift with eight ALS providers, requiring either a more frequent rotation for the ALS providers on the medic unit and/or personnel changes.</w:t>
      </w:r>
      <w:r>
        <w:t xml:space="preserve">’ …. </w:t>
      </w:r>
      <w:r w:rsidRPr="00F0444D">
        <w:t xml:space="preserve">The City contends that such an outcome could </w:t>
      </w:r>
      <w:r>
        <w:t>‘</w:t>
      </w:r>
      <w:r w:rsidRPr="00F0444D">
        <w:t xml:space="preserve">increase[] the risk of burnout, impact[] leave eligibility, and reduce[] </w:t>
      </w:r>
      <w:r>
        <w:t xml:space="preserve"> </w:t>
      </w:r>
      <w:r w:rsidRPr="00F0444D">
        <w:t>opportunity for training and skills enhancement for the remaining ALS providers at AFD.</w:t>
      </w:r>
      <w:r>
        <w:t xml:space="preserve">’… </w:t>
      </w:r>
      <w:r w:rsidRPr="007522E6">
        <w:t xml:space="preserve">Given that a reasonable juror could come to multiple conclusions on the </w:t>
      </w:r>
      <w:r>
        <w:t xml:space="preserve"> </w:t>
      </w:r>
      <w:r w:rsidRPr="007522E6">
        <w:t xml:space="preserve">issue of undue hardship as well as on other issues in this case, as described above, the City is not entitled to summary </w:t>
      </w:r>
      <w:proofErr w:type="gramStart"/>
      <w:r w:rsidRPr="007522E6">
        <w:t>judgment.</w:t>
      </w:r>
      <w:r>
        <w:t>”</w:t>
      </w:r>
      <w:proofErr w:type="gramEnd"/>
    </w:p>
    <w:p w14:paraId="4E668EC7" w14:textId="77777777" w:rsidR="004C3A23" w:rsidRPr="00F0444D" w:rsidRDefault="004C3A23" w:rsidP="004C3A23">
      <w:pPr>
        <w:pStyle w:val="NoSpacing"/>
        <w:ind w:left="720"/>
      </w:pPr>
    </w:p>
    <w:p w14:paraId="4F805457" w14:textId="77777777" w:rsidR="004C3A23" w:rsidRPr="00265040" w:rsidRDefault="004C3A23" w:rsidP="004C3A23">
      <w:pPr>
        <w:pStyle w:val="NoSpacing"/>
        <w:rPr>
          <w:b/>
          <w:bCs/>
        </w:rPr>
      </w:pPr>
      <w:r>
        <w:rPr>
          <w:b/>
        </w:rPr>
        <w:t xml:space="preserve">Legal lesson learned: This is an important case that hopefully will encourage other Fire Departments to consider reassignment of medics suffering from PTSD. </w:t>
      </w:r>
    </w:p>
    <w:p w14:paraId="3F06B393" w14:textId="77777777" w:rsidR="0058644D" w:rsidRDefault="0058644D" w:rsidP="00BC4752">
      <w:pPr>
        <w:pStyle w:val="NoSpacing"/>
        <w:rPr>
          <w:rFonts w:ascii="Arial Black" w:hAnsi="Arial Black"/>
          <w:sz w:val="24"/>
          <w:szCs w:val="24"/>
        </w:rPr>
      </w:pPr>
    </w:p>
    <w:p w14:paraId="26E0F6DE" w14:textId="77777777" w:rsidR="00B7577F" w:rsidRDefault="00B7577F" w:rsidP="00B7577F">
      <w:pPr>
        <w:rPr>
          <w:rFonts w:ascii="Arial Black" w:hAnsi="Arial Black"/>
          <w:b/>
          <w:sz w:val="28"/>
          <w:szCs w:val="28"/>
        </w:rPr>
      </w:pPr>
    </w:p>
    <w:p w14:paraId="74B9D0F3" w14:textId="01B9E96C" w:rsidR="00B7577F" w:rsidRDefault="00B7577F" w:rsidP="00697C86">
      <w:pPr>
        <w:pStyle w:val="NoSpacing"/>
        <w:rPr>
          <w:rFonts w:ascii="Arial Black" w:hAnsi="Arial Black"/>
          <w:sz w:val="24"/>
          <w:szCs w:val="24"/>
        </w:rPr>
      </w:pPr>
      <w:r>
        <w:rPr>
          <w:rFonts w:ascii="Arial Black" w:hAnsi="Arial Black"/>
          <w:sz w:val="24"/>
          <w:szCs w:val="24"/>
        </w:rPr>
        <w:t>9-</w:t>
      </w:r>
      <w:r w:rsidR="00697C86">
        <w:rPr>
          <w:rFonts w:ascii="Arial Black" w:hAnsi="Arial Black"/>
          <w:sz w:val="24"/>
          <w:szCs w:val="24"/>
        </w:rPr>
        <w:t>70</w:t>
      </w:r>
    </w:p>
    <w:p w14:paraId="3007101D" w14:textId="77777777" w:rsidR="00697C86" w:rsidRDefault="00697C86" w:rsidP="00697C86">
      <w:pPr>
        <w:pStyle w:val="NoSpacing"/>
        <w:rPr>
          <w:rFonts w:ascii="Arial Black" w:hAnsi="Arial Black"/>
          <w:b/>
          <w:sz w:val="28"/>
          <w:szCs w:val="28"/>
        </w:rPr>
      </w:pPr>
    </w:p>
    <w:p w14:paraId="082241B8" w14:textId="1F6B5C1F" w:rsidR="00B7577F" w:rsidRDefault="00B7577F" w:rsidP="00B7577F">
      <w:r>
        <w:rPr>
          <w:rFonts w:ascii="Arial Black" w:hAnsi="Arial Black"/>
          <w:b/>
          <w:sz w:val="28"/>
          <w:szCs w:val="28"/>
        </w:rPr>
        <w:t>FL: CHIEF FIRED “MED OFFICER” – DISAB / CHIEF NOT TOLD</w:t>
      </w:r>
    </w:p>
    <w:p w14:paraId="253FF1A2" w14:textId="77777777" w:rsidR="00B7577F" w:rsidRDefault="00B7577F" w:rsidP="00B7577F">
      <w:pPr>
        <w:rPr>
          <w:b/>
        </w:rPr>
      </w:pPr>
      <w:r>
        <w:t xml:space="preserve">On August 10, 2026, in </w:t>
      </w:r>
      <w:r w:rsidRPr="000005AA">
        <w:rPr>
          <w:u w:val="single"/>
        </w:rPr>
        <w:t>Walter Ebbert v. Ocean City Wright Fire Control District</w:t>
      </w:r>
      <w:r>
        <w:t xml:space="preserve">, the Unites States Court of Appeals for the Eleventh Circuit (Atlanta) held (3 to 0, unpublished decision) that lawsuit is reinstated to give the “Medical Officer” additional opportunity to show the trial court judge that he asked for specific accommodations to complete six tasks: less stress, more time, more information. Fire Chief Mark Bunrick fired him on March 17, </w:t>
      </w:r>
      <w:proofErr w:type="gramStart"/>
      <w:r>
        <w:t>2022</w:t>
      </w:r>
      <w:proofErr w:type="gramEnd"/>
      <w:r>
        <w:t xml:space="preserve"> for not timely completing six tasks (including developing a test-taking training course) in over a year and a half.  Surprisingly, the Chief was never informed by his Deputy Chief or the City’s HR Manager that Ebbert suffered </w:t>
      </w:r>
      <w:r w:rsidRPr="00AF0D23">
        <w:t>traumatic brain injury</w:t>
      </w:r>
      <w:r>
        <w:t xml:space="preserve"> and PTSD from his military service.  On May 14, 2020, Fire Chief Mark Bundrick had assigned Ebbert six tasks which he expected Ebbert to complete in 60 days; he was fired on March 17, 2022, over a year and a half after the tasks were first due, for failing to </w:t>
      </w:r>
      <w:r>
        <w:lastRenderedPageBreak/>
        <w:t xml:space="preserve">complete any of the tasks. </w:t>
      </w:r>
      <w:hyperlink r:id="rId1647" w:history="1">
        <w:r w:rsidRPr="00B26B47">
          <w:rPr>
            <w:rStyle w:val="Hyperlink"/>
            <w:b/>
          </w:rPr>
          <w:t>https://cases.justia.com/federal/appellate-courts/ca11/25-10435/25-10435-2026-08-10.pdf?ts=1786397539</w:t>
        </w:r>
      </w:hyperlink>
      <w:r>
        <w:rPr>
          <w:b/>
        </w:rPr>
        <w:t xml:space="preserve"> </w:t>
      </w:r>
    </w:p>
    <w:p w14:paraId="2125A543" w14:textId="77777777" w:rsidR="00B7577F" w:rsidRDefault="00B7577F" w:rsidP="00B7577F">
      <w:pPr>
        <w:pStyle w:val="NoSpacing"/>
      </w:pPr>
      <w:r>
        <w:t>THE COURT WROTE:</w:t>
      </w:r>
    </w:p>
    <w:p w14:paraId="3C41CF86" w14:textId="77777777" w:rsidR="00B7577F" w:rsidRDefault="00B7577F" w:rsidP="00B7577F">
      <w:pPr>
        <w:pStyle w:val="NoSpacing"/>
      </w:pPr>
    </w:p>
    <w:p w14:paraId="43C31126" w14:textId="77777777" w:rsidR="00B7577F" w:rsidRDefault="00B7577F" w:rsidP="00B7577F">
      <w:pPr>
        <w:pStyle w:val="NoSpacing"/>
        <w:ind w:left="720"/>
      </w:pPr>
      <w:r>
        <w:t>“First, no reasonable juror could conclude that Bundrick knew about Ebbert’s disabilities when he decided to fire Ebbert. Ebbert never told Bundrick about his disabilities. Ebbert told Lord [former Fire Chief Billy Lord], Rimes [Jennifer Rimes, Ocean City’s Human Resources Manager], and Wagner [</w:t>
      </w:r>
      <w:r w:rsidRPr="00C3383C">
        <w:t>Deputy Chief Jeff</w:t>
      </w:r>
      <w:r>
        <w:t xml:space="preserve"> Wagner]about those disabilities, but none of those employees told Bundrick [Fire Chief Mark Bundrick]. And Bundrick testified that he did not know about Ebbert’s disabilities.</w:t>
      </w:r>
    </w:p>
    <w:p w14:paraId="2D75A949" w14:textId="77777777" w:rsidR="00B7577F" w:rsidRDefault="00B7577F" w:rsidP="00B7577F">
      <w:pPr>
        <w:pStyle w:val="NoSpacing"/>
        <w:ind w:left="720"/>
      </w:pPr>
    </w:p>
    <w:p w14:paraId="15EC1E21" w14:textId="77777777" w:rsidR="00B7577F" w:rsidRDefault="00B7577F" w:rsidP="00B7577F">
      <w:pPr>
        <w:pStyle w:val="NoSpacing"/>
        <w:ind w:left="720"/>
      </w:pPr>
      <w:r>
        <w:t>***</w:t>
      </w:r>
    </w:p>
    <w:p w14:paraId="1E4C8BD7" w14:textId="77777777" w:rsidR="00B7577F" w:rsidRDefault="00B7577F" w:rsidP="00B7577F">
      <w:pPr>
        <w:pStyle w:val="NoSpacing"/>
        <w:ind w:left="720"/>
      </w:pPr>
      <w:r>
        <w:t xml:space="preserve">Ebbert contends that a reasonable juror could reach that conclusion because the record </w:t>
      </w:r>
    </w:p>
    <w:p w14:paraId="799D8541" w14:textId="77777777" w:rsidR="00B7577F" w:rsidRDefault="00B7577F" w:rsidP="00B7577F">
      <w:pPr>
        <w:pStyle w:val="NoSpacing"/>
        <w:ind w:left="720"/>
      </w:pPr>
      <w:r>
        <w:t xml:space="preserve">reflects that he was fired ‘for the very things for which he was seeking </w:t>
      </w:r>
      <w:proofErr w:type="gramStart"/>
      <w:r>
        <w:t>accommodations</w:t>
      </w:r>
      <w:proofErr w:type="gramEnd"/>
      <w:r>
        <w:t>.’ Appellant Br. at 29. We agree.</w:t>
      </w:r>
    </w:p>
    <w:p w14:paraId="2B0DF9C3" w14:textId="77777777" w:rsidR="00B7577F" w:rsidRDefault="00B7577F" w:rsidP="00B7577F">
      <w:pPr>
        <w:pStyle w:val="NoSpacing"/>
        <w:ind w:left="720"/>
      </w:pPr>
    </w:p>
    <w:p w14:paraId="52337E16" w14:textId="77777777" w:rsidR="00B7577F" w:rsidRDefault="00B7577F" w:rsidP="00B7577F">
      <w:pPr>
        <w:pStyle w:val="NoSpacing"/>
        <w:ind w:left="720"/>
      </w:pPr>
      <w:r>
        <w:t>A reasonable juror could conclude that a failure to accommodate led to Ebbert’s termination for two reasons. First, a reasonable juror could conclude that Ocean City</w:t>
      </w:r>
    </w:p>
    <w:p w14:paraId="1C790070" w14:textId="77777777" w:rsidR="00B7577F" w:rsidRDefault="00B7577F" w:rsidP="00B7577F">
      <w:pPr>
        <w:pStyle w:val="NoSpacing"/>
        <w:ind w:left="720"/>
      </w:pPr>
      <w:r>
        <w:t>fired Ebbert for failing to complete any of the six tasks that Bundrick assigned to him in May 2020 by mid-March 2022. Bundrick testified that he fired Ebbert for ‘[p]</w:t>
      </w:r>
      <w:proofErr w:type="spellStart"/>
      <w:r>
        <w:t>oor</w:t>
      </w:r>
      <w:proofErr w:type="spellEnd"/>
      <w:r>
        <w:t xml:space="preserve"> work performance.’ …  And he explained that Ebbert was ‘not performing [his] job’ because ‘none of [those tasks] got completed’ in ‘two years.’ …. </w:t>
      </w:r>
    </w:p>
    <w:p w14:paraId="6912987C" w14:textId="77777777" w:rsidR="00B7577F" w:rsidRDefault="00B7577F" w:rsidP="00B7577F">
      <w:pPr>
        <w:pStyle w:val="NoSpacing"/>
        <w:ind w:left="720"/>
      </w:pPr>
    </w:p>
    <w:p w14:paraId="0970B80C" w14:textId="77777777" w:rsidR="00B7577F" w:rsidRDefault="00B7577F" w:rsidP="00B7577F">
      <w:pPr>
        <w:pStyle w:val="NoSpacing"/>
        <w:ind w:left="720"/>
      </w:pPr>
      <w:r>
        <w:t xml:space="preserve">Second, a reasonable juror could conclude that Ebbert could have completed the tasks if Ocean City had granted his requested accommodations [less stress, more time / more information]. Ocean City says that Ebbert’s requested accommodations would not have ‘cure[d] his ongoing inability to perform.’ Appellee Br. at 19. We disagree. Ebbert worked in this position for over ten years, and he </w:t>
      </w:r>
      <w:proofErr w:type="gramStart"/>
      <w:r>
        <w:t>had performed</w:t>
      </w:r>
      <w:proofErr w:type="gramEnd"/>
      <w:r>
        <w:t xml:space="preserve"> some similar tasks for his previous supervisor with the benefit of </w:t>
      </w:r>
      <w:proofErr w:type="gramStart"/>
      <w:r>
        <w:t>many</w:t>
      </w:r>
      <w:proofErr w:type="gramEnd"/>
      <w:r>
        <w:t xml:space="preserve"> of the </w:t>
      </w:r>
      <w:proofErr w:type="gramStart"/>
      <w:r>
        <w:t>accommodations</w:t>
      </w:r>
      <w:proofErr w:type="gramEnd"/>
      <w:r>
        <w:t xml:space="preserve"> he requested </w:t>
      </w:r>
      <w:proofErr w:type="gramStart"/>
      <w:r>
        <w:t>of</w:t>
      </w:r>
      <w:proofErr w:type="gramEnd"/>
      <w:r>
        <w:t xml:space="preserve"> his most recent supervisors. Moreover, we cannot say as a matter of undisputed fact that Ebbert’s request for </w:t>
      </w:r>
      <w:proofErr w:type="gramStart"/>
      <w:r>
        <w:t>accommodations</w:t>
      </w:r>
      <w:proofErr w:type="gramEnd"/>
      <w:r>
        <w:t xml:space="preserve"> came too late. Ebbert testified that he requested </w:t>
      </w:r>
      <w:proofErr w:type="gramStart"/>
      <w:r>
        <w:t>accommodations</w:t>
      </w:r>
      <w:proofErr w:type="gramEnd"/>
      <w:r>
        <w:t xml:space="preserve"> over three months before he was fired in March 2022, and his successor completed some of these tasks within three months of when they were </w:t>
      </w:r>
      <w:proofErr w:type="gramStart"/>
      <w:r>
        <w:t>assigned.”</w:t>
      </w:r>
      <w:proofErr w:type="gramEnd"/>
    </w:p>
    <w:p w14:paraId="44516685" w14:textId="77777777" w:rsidR="00B7577F" w:rsidRDefault="00B7577F" w:rsidP="00B7577F">
      <w:pPr>
        <w:pStyle w:val="NoSpacing"/>
      </w:pPr>
    </w:p>
    <w:p w14:paraId="01D6E512" w14:textId="77777777" w:rsidR="00B7577F" w:rsidRPr="006653B7" w:rsidRDefault="00B7577F" w:rsidP="00B7577F">
      <w:pPr>
        <w:pStyle w:val="NoSpacing"/>
        <w:rPr>
          <w:b/>
          <w:bCs/>
        </w:rPr>
      </w:pPr>
      <w:r w:rsidRPr="006653B7">
        <w:rPr>
          <w:b/>
        </w:rPr>
        <w:t xml:space="preserve">Legal lesson learned: </w:t>
      </w:r>
      <w:r>
        <w:rPr>
          <w:b/>
        </w:rPr>
        <w:t xml:space="preserve">It’s important that the Fire Chief is informed of an employee’s disability before a termination decision is made. </w:t>
      </w:r>
    </w:p>
    <w:p w14:paraId="2C1E9478" w14:textId="77777777" w:rsidR="00B7577F" w:rsidRDefault="00B7577F" w:rsidP="00B7577F">
      <w:pPr>
        <w:pStyle w:val="NoSpacing"/>
      </w:pPr>
    </w:p>
    <w:p w14:paraId="2C328A87" w14:textId="77777777" w:rsidR="00B7577F" w:rsidRDefault="00B7577F" w:rsidP="00B7577F">
      <w:pPr>
        <w:pStyle w:val="NoSpacing"/>
        <w:ind w:left="720"/>
      </w:pPr>
      <w:r>
        <w:t xml:space="preserve">Note: Chief Judge William Pryor wrote a Concurring Opinion that questions whether the employee made “reasonable” requests for accommodations.  </w:t>
      </w:r>
    </w:p>
    <w:p w14:paraId="29F919BD" w14:textId="77777777" w:rsidR="00B7577F" w:rsidRDefault="00B7577F" w:rsidP="00B7577F">
      <w:pPr>
        <w:pStyle w:val="NoSpacing"/>
        <w:ind w:left="720"/>
      </w:pPr>
    </w:p>
    <w:p w14:paraId="545D2015" w14:textId="77777777" w:rsidR="00B7577F" w:rsidRDefault="00B7577F" w:rsidP="00B7577F">
      <w:pPr>
        <w:pStyle w:val="NoSpacing"/>
        <w:ind w:left="720"/>
      </w:pPr>
      <w:r>
        <w:t>“First, Ebbert’s request for a less stressful environment or for less stress is likely not specific enough because he did not explain how his employer could achieve those goals…. Second, Ebbert’s request for additional time without clarifying the length of the extension is also likely not specific enough…. Third, Ebbert’s requests for more information on his tasks and for better guidance are both likely not specific enough and unreasonable.”</w:t>
      </w:r>
    </w:p>
    <w:p w14:paraId="13A496DB" w14:textId="77777777" w:rsidR="00B7577F" w:rsidRDefault="00B7577F" w:rsidP="00B7577F">
      <w:pPr>
        <w:pStyle w:val="NoSpacing"/>
        <w:ind w:left="720"/>
      </w:pPr>
    </w:p>
    <w:p w14:paraId="2C3BFF24" w14:textId="77777777" w:rsidR="00B7577F" w:rsidRDefault="00B7577F" w:rsidP="00B7577F">
      <w:pPr>
        <w:pStyle w:val="NoSpacing"/>
        <w:ind w:left="720"/>
      </w:pPr>
    </w:p>
    <w:p w14:paraId="012F216F" w14:textId="77777777" w:rsidR="00B7577F" w:rsidRDefault="00B7577F" w:rsidP="00BC4752">
      <w:pPr>
        <w:pStyle w:val="NoSpacing"/>
        <w:rPr>
          <w:rFonts w:ascii="Arial Black" w:hAnsi="Arial Black"/>
          <w:sz w:val="24"/>
          <w:szCs w:val="24"/>
        </w:rPr>
      </w:pPr>
    </w:p>
    <w:p w14:paraId="20A837A7" w14:textId="77777777" w:rsidR="0058644D" w:rsidRDefault="0058644D" w:rsidP="00BC4752">
      <w:pPr>
        <w:pStyle w:val="NoSpacing"/>
        <w:rPr>
          <w:rFonts w:ascii="Arial Black" w:hAnsi="Arial Black"/>
          <w:sz w:val="24"/>
          <w:szCs w:val="24"/>
        </w:rPr>
      </w:pPr>
    </w:p>
    <w:p w14:paraId="70627E31" w14:textId="7F23EF82" w:rsidR="00DB199F" w:rsidRDefault="00DB199F" w:rsidP="00BC4752">
      <w:pPr>
        <w:pStyle w:val="NoSpacing"/>
        <w:rPr>
          <w:rFonts w:ascii="Arial Black" w:hAnsi="Arial Black"/>
          <w:sz w:val="24"/>
          <w:szCs w:val="24"/>
        </w:rPr>
      </w:pPr>
      <w:r>
        <w:rPr>
          <w:rFonts w:ascii="Arial Black" w:hAnsi="Arial Black"/>
          <w:sz w:val="24"/>
          <w:szCs w:val="24"/>
        </w:rPr>
        <w:t>9-69</w:t>
      </w:r>
    </w:p>
    <w:p w14:paraId="4FCE9CC4" w14:textId="77777777" w:rsidR="00DB199F" w:rsidRDefault="00DB199F" w:rsidP="00BC4752">
      <w:pPr>
        <w:pStyle w:val="NoSpacing"/>
        <w:rPr>
          <w:rFonts w:ascii="Arial Black" w:hAnsi="Arial Black"/>
          <w:sz w:val="24"/>
          <w:szCs w:val="24"/>
        </w:rPr>
      </w:pPr>
    </w:p>
    <w:p w14:paraId="02D08589" w14:textId="77777777" w:rsidR="00DB199F" w:rsidRDefault="00DB199F" w:rsidP="00DB199F">
      <w:pPr>
        <w:pStyle w:val="NoSpacing"/>
        <w:rPr>
          <w:rFonts w:ascii="Arial Black" w:hAnsi="Arial Black"/>
          <w:sz w:val="28"/>
          <w:szCs w:val="28"/>
        </w:rPr>
      </w:pPr>
      <w:r>
        <w:rPr>
          <w:rFonts w:ascii="Arial Black" w:hAnsi="Arial Black"/>
          <w:sz w:val="28"/>
          <w:szCs w:val="28"/>
        </w:rPr>
        <w:t xml:space="preserve">MA: ADA - DEAF CAN’T BE AMBULANCE DRIVER </w:t>
      </w:r>
    </w:p>
    <w:p w14:paraId="149F9324" w14:textId="77777777" w:rsidR="00DB199F" w:rsidRDefault="00DB199F" w:rsidP="00DB199F">
      <w:pPr>
        <w:pStyle w:val="NoSpacing"/>
        <w:rPr>
          <w:rFonts w:ascii="Arial Black" w:hAnsi="Arial Black"/>
          <w:sz w:val="28"/>
          <w:szCs w:val="28"/>
        </w:rPr>
      </w:pPr>
    </w:p>
    <w:p w14:paraId="48DC92AA" w14:textId="77777777" w:rsidR="00DB199F" w:rsidRDefault="00DB199F" w:rsidP="00DB199F">
      <w:pPr>
        <w:pStyle w:val="NoSpacing"/>
        <w:rPr>
          <w:b/>
        </w:rPr>
      </w:pPr>
      <w:r>
        <w:lastRenderedPageBreak/>
        <w:t xml:space="preserve">On July 15, 2026, in </w:t>
      </w:r>
      <w:r w:rsidRPr="00C62F92">
        <w:rPr>
          <w:u w:val="single"/>
        </w:rPr>
        <w:t>John Buccieri v. Brewster Ambulance Service, Inc.</w:t>
      </w:r>
      <w:r w:rsidRPr="00C62F92">
        <w:t xml:space="preserve">, </w:t>
      </w:r>
      <w:r>
        <w:t>the United States Court of Appeals for 1</w:t>
      </w:r>
      <w:r w:rsidRPr="00773514">
        <w:rPr>
          <w:vertAlign w:val="superscript"/>
        </w:rPr>
        <w:t>st</w:t>
      </w:r>
      <w:r>
        <w:t xml:space="preserve"> District (Boston) held (3 to 0) that the jury properly found that it </w:t>
      </w:r>
      <w:r w:rsidRPr="001D014D">
        <w:t xml:space="preserve">would have been an </w:t>
      </w:r>
      <w:r>
        <w:t>“</w:t>
      </w:r>
      <w:r w:rsidRPr="001D014D">
        <w:t>undue hardship</w:t>
      </w:r>
      <w:r>
        <w:t>”</w:t>
      </w:r>
      <w:r w:rsidRPr="001D014D">
        <w:t xml:space="preserve"> to Brewster Ambulance </w:t>
      </w:r>
      <w:r>
        <w:t>to hire a deaf person to be</w:t>
      </w:r>
      <w:r w:rsidRPr="006A7F43">
        <w:t xml:space="preserve"> a </w:t>
      </w:r>
      <w:r>
        <w:t>“</w:t>
      </w:r>
      <w:r w:rsidRPr="006A7F43">
        <w:t>Chair Car Driver</w:t>
      </w:r>
      <w:r>
        <w:t xml:space="preserve">.”  </w:t>
      </w:r>
      <w:hyperlink r:id="rId1648" w:history="1">
        <w:r w:rsidRPr="008449D0">
          <w:rPr>
            <w:rStyle w:val="Hyperlink"/>
            <w:b/>
          </w:rPr>
          <w:t>https://www.ca1.uscourts.gov/sites/ca1/files/opnfiles/25-1732P-01A.pdf</w:t>
        </w:r>
      </w:hyperlink>
      <w:r>
        <w:rPr>
          <w:b/>
        </w:rPr>
        <w:t xml:space="preserve"> </w:t>
      </w:r>
    </w:p>
    <w:p w14:paraId="50F35248" w14:textId="77777777" w:rsidR="00DB199F" w:rsidRDefault="00DB199F" w:rsidP="00DB199F">
      <w:pPr>
        <w:pStyle w:val="NoSpacing"/>
        <w:rPr>
          <w:b/>
        </w:rPr>
      </w:pPr>
    </w:p>
    <w:p w14:paraId="21A87BC9" w14:textId="77777777" w:rsidR="00DB199F" w:rsidRDefault="00DB199F" w:rsidP="00DB199F">
      <w:pPr>
        <w:pStyle w:val="NoSpacing"/>
      </w:pPr>
      <w:r>
        <w:t>THE COURT WROTE: “</w:t>
      </w:r>
      <w:r w:rsidRPr="00206153">
        <w:t>The jury had returned a verdict for Brewster on Buccieri's</w:t>
      </w:r>
      <w:r>
        <w:t xml:space="preserve"> </w:t>
      </w:r>
      <w:r w:rsidRPr="00206153">
        <w:t>claim of failure to hire for a Chair Car Driver position, finding</w:t>
      </w:r>
      <w:r>
        <w:t xml:space="preserve"> </w:t>
      </w:r>
      <w:r w:rsidRPr="00206153">
        <w:t xml:space="preserve">that Brewster had </w:t>
      </w:r>
      <w:r>
        <w:t>‘</w:t>
      </w:r>
      <w:r w:rsidRPr="00206153">
        <w:t>prove[d] by a preponderance of the evidence</w:t>
      </w:r>
      <w:r>
        <w:t xml:space="preserve"> </w:t>
      </w:r>
      <w:r w:rsidRPr="00206153">
        <w:t>that providing Mr. Buccieri with the requested accommodation(s)</w:t>
      </w:r>
      <w:r>
        <w:t xml:space="preserve"> </w:t>
      </w:r>
      <w:r w:rsidRPr="00206153">
        <w:t>would have been an undue hardship to Brewster Ambulance and/or</w:t>
      </w:r>
      <w:r>
        <w:t xml:space="preserve"> </w:t>
      </w:r>
      <w:r w:rsidRPr="00206153">
        <w:t>posed a direct threat to Mr. Buccieri or others.</w:t>
      </w:r>
      <w:r>
        <w:t>’</w:t>
      </w:r>
    </w:p>
    <w:p w14:paraId="57A18983" w14:textId="77777777" w:rsidR="00DB199F" w:rsidRDefault="00DB199F" w:rsidP="00DB199F">
      <w:pPr>
        <w:pStyle w:val="NoSpacing"/>
      </w:pPr>
    </w:p>
    <w:p w14:paraId="6B2548F8" w14:textId="77777777" w:rsidR="00DB199F" w:rsidRDefault="00DB199F" w:rsidP="00DB199F">
      <w:pPr>
        <w:pStyle w:val="NoSpacing"/>
      </w:pPr>
      <w:r>
        <w:t>***</w:t>
      </w:r>
    </w:p>
    <w:p w14:paraId="106D3EE5" w14:textId="77777777" w:rsidR="00DB199F" w:rsidRDefault="00DB199F" w:rsidP="00DB199F">
      <w:pPr>
        <w:pStyle w:val="NoSpacing"/>
      </w:pPr>
    </w:p>
    <w:p w14:paraId="4A1280C7" w14:textId="77777777" w:rsidR="00DB199F" w:rsidRDefault="00DB199F" w:rsidP="00DB199F">
      <w:pPr>
        <w:pStyle w:val="NoSpacing"/>
      </w:pPr>
      <w:r>
        <w:t>We hold that no reasonable jury could conclude that there was a reasonable accommodation that would have allowed Buccieri to perform the essential communications functions of the driver positions without undue hardship to Brewster…. Buccieri presented no evidence to rebut that his proposed tablet-based or any cell-phone-based accommodation for communicating with dispatch, even if it was available at the relevant time, would pose safety risks to all concerned of the driver's eyes being taken off the road, risks the ADA did not require Brewster to undertake. Brewster's radio system for dispatch communications has safety advantages over Buccieri's alternative accommodation of tablet-based communications, because the radio system allows drivers to connect instantly to dispatch with the press of one button on the radio and without taking their eyes off the road. Brewster established that distracted driving is the number one cause of accidents involving Brewster vehicles and that cell phone use is the number one cause of distracted driving.”</w:t>
      </w:r>
    </w:p>
    <w:p w14:paraId="42E324DD" w14:textId="77777777" w:rsidR="00DB199F" w:rsidRDefault="00DB199F" w:rsidP="00DB199F">
      <w:pPr>
        <w:pStyle w:val="NoSpacing"/>
      </w:pPr>
    </w:p>
    <w:p w14:paraId="1F0A1292" w14:textId="77777777" w:rsidR="00DB199F" w:rsidRPr="00957A56" w:rsidRDefault="00DB199F" w:rsidP="00DB199F">
      <w:pPr>
        <w:pStyle w:val="NoSpacing"/>
        <w:rPr>
          <w:b/>
          <w:bCs/>
        </w:rPr>
      </w:pPr>
      <w:r>
        <w:rPr>
          <w:b/>
        </w:rPr>
        <w:t>Legal lesson learned: Employers may refuse to hire disabled applicants who would create an “undue hardship.”</w:t>
      </w:r>
    </w:p>
    <w:p w14:paraId="60772E2C" w14:textId="77777777" w:rsidR="00DB199F" w:rsidRDefault="00DB199F" w:rsidP="00DB199F">
      <w:pPr>
        <w:pStyle w:val="NoSpacing"/>
        <w:rPr>
          <w:b/>
        </w:rPr>
      </w:pPr>
    </w:p>
    <w:p w14:paraId="57334498" w14:textId="77777777" w:rsidR="00DB199F" w:rsidRDefault="00DB199F" w:rsidP="00DB199F">
      <w:pPr>
        <w:pStyle w:val="NoSpacing"/>
        <w:rPr>
          <w:b/>
          <w:sz w:val="20"/>
          <w:szCs w:val="20"/>
        </w:rPr>
      </w:pPr>
    </w:p>
    <w:p w14:paraId="64DB69A9" w14:textId="20068AA5" w:rsidR="00DB199F" w:rsidRPr="00DB199F" w:rsidRDefault="00DB199F" w:rsidP="00DB199F">
      <w:pPr>
        <w:pStyle w:val="NoSpacing"/>
        <w:rPr>
          <w:rFonts w:ascii="Arial Black" w:hAnsi="Arial Black"/>
          <w:b/>
          <w:sz w:val="24"/>
          <w:szCs w:val="24"/>
        </w:rPr>
      </w:pPr>
      <w:r w:rsidRPr="00DB199F">
        <w:rPr>
          <w:rFonts w:ascii="Arial Black" w:hAnsi="Arial Black"/>
          <w:b/>
          <w:sz w:val="24"/>
          <w:szCs w:val="24"/>
        </w:rPr>
        <w:t>9-68</w:t>
      </w:r>
      <w:r w:rsidRPr="00DB199F">
        <w:rPr>
          <w:rFonts w:ascii="Arial Black" w:hAnsi="Arial Black"/>
          <w:b/>
          <w:sz w:val="24"/>
          <w:szCs w:val="24"/>
        </w:rPr>
        <w:tab/>
      </w:r>
    </w:p>
    <w:p w14:paraId="50716E8E" w14:textId="77777777" w:rsidR="00DB199F" w:rsidRDefault="00DB199F" w:rsidP="00DB199F">
      <w:pPr>
        <w:pStyle w:val="NoSpacing"/>
        <w:rPr>
          <w:rFonts w:ascii="Arial Black" w:hAnsi="Arial Black"/>
          <w:sz w:val="28"/>
          <w:szCs w:val="28"/>
        </w:rPr>
      </w:pPr>
    </w:p>
    <w:p w14:paraId="2AAB2896" w14:textId="77777777" w:rsidR="00DB199F" w:rsidRPr="00CB4E4D" w:rsidRDefault="00DB199F" w:rsidP="00DB199F">
      <w:pPr>
        <w:pStyle w:val="NoSpacing"/>
        <w:rPr>
          <w:rFonts w:ascii="Arial Black" w:hAnsi="Arial Black"/>
          <w:sz w:val="28"/>
          <w:szCs w:val="28"/>
        </w:rPr>
      </w:pPr>
      <w:r>
        <w:rPr>
          <w:rFonts w:ascii="Arial Black" w:hAnsi="Arial Black"/>
          <w:sz w:val="28"/>
          <w:szCs w:val="28"/>
        </w:rPr>
        <w:t>OR: HEART / LIGHT DUTY 1-YR – BUT 3 OPEN CITY JOBS</w:t>
      </w:r>
    </w:p>
    <w:p w14:paraId="0340C4A8" w14:textId="77777777" w:rsidR="00DB199F" w:rsidRDefault="00DB199F" w:rsidP="00DB199F">
      <w:pPr>
        <w:pStyle w:val="NoSpacing"/>
      </w:pPr>
    </w:p>
    <w:p w14:paraId="66C5236A" w14:textId="77777777" w:rsidR="00DB199F" w:rsidRDefault="00DB199F" w:rsidP="00DB199F">
      <w:pPr>
        <w:pStyle w:val="NoSpacing"/>
      </w:pPr>
      <w:r>
        <w:t xml:space="preserve">On May 8, 2026, in </w:t>
      </w:r>
      <w:r w:rsidRPr="00DA4E2B">
        <w:rPr>
          <w:u w:val="single"/>
        </w:rPr>
        <w:t>Christopher Rampley v. City of Newport</w:t>
      </w:r>
      <w:r>
        <w:t xml:space="preserve">, U.S. Magistrate Judge Amy E. Potter, </w:t>
      </w:r>
      <w:r w:rsidRPr="00E26CD3">
        <w:t>United States District Court, D. Oregon, Eugene Division</w:t>
      </w:r>
      <w:r>
        <w:t xml:space="preserve">, issued a Report and Recommendation that city’s motion for summary judgment should be denied since there were three other city jobs that may have been a reasonable accommodation. </w:t>
      </w:r>
      <w:r w:rsidRPr="004B23C2">
        <w:t xml:space="preserve">In 2015, Plaintiff experienced heart palpitations which would ultimately be diagnosed as </w:t>
      </w:r>
      <w:r>
        <w:t xml:space="preserve">was hospitalized with </w:t>
      </w:r>
      <w:r w:rsidRPr="004B23C2">
        <w:t>atrial fibrillation.</w:t>
      </w:r>
      <w:r>
        <w:t xml:space="preserve"> </w:t>
      </w:r>
      <w:r w:rsidRPr="001518B1">
        <w:t>In May 2022,</w:t>
      </w:r>
      <w:r>
        <w:t xml:space="preserve"> he was temporarily </w:t>
      </w:r>
      <w:r w:rsidRPr="001518B1">
        <w:t>reassigned to a light duty position as a fire inspector</w:t>
      </w:r>
      <w:r>
        <w:t xml:space="preserve">.  He received workers comp, and FD </w:t>
      </w:r>
      <w:r w:rsidRPr="00C205A5">
        <w:t xml:space="preserve">extended his light duty assignment until July 21, </w:t>
      </w:r>
      <w:proofErr w:type="gramStart"/>
      <w:r w:rsidRPr="00C205A5">
        <w:t>2023</w:t>
      </w:r>
      <w:proofErr w:type="gramEnd"/>
      <w:r>
        <w:t xml:space="preserve"> when he was terminated.  There were three other open jobs in the city – but there was apparently no discussion with the plaintiff about those: </w:t>
      </w:r>
      <w:r w:rsidRPr="004779EE">
        <w:t>an administrative project support position, a building attendant, and a janitorial position</w:t>
      </w:r>
      <w:r>
        <w:t xml:space="preserve">. </w:t>
      </w:r>
      <w:hyperlink r:id="rId1649" w:history="1">
        <w:r w:rsidRPr="009061EC">
          <w:rPr>
            <w:rStyle w:val="Hyperlink"/>
          </w:rPr>
          <w:t>https://public.fastcase.com/Jhe1Qn%2BmJndQYQU6z%2FeNm%2BBAkVyVw7qfp1FLZhLRneZoYclJ%2FVT7s6PXMIJoJS6%2B?utm_medium=email&amp;_hsenc=p2ANqtz-8PpRuVev0Ah_XktOEuEmMt0agUMxrVPAo9u5l7IUNDD8PU7k6rzhxTWeOW-diGg6ug4Y_W0mxcgZfTt2tSbUoxEpMhGQ&amp;_hsmi=226712652&amp;utm_content=226712652&amp;utm_source=hs_email</w:t>
        </w:r>
      </w:hyperlink>
      <w:r>
        <w:t xml:space="preserve"> </w:t>
      </w:r>
    </w:p>
    <w:p w14:paraId="33EC972A" w14:textId="77777777" w:rsidR="00DB199F" w:rsidRDefault="00DB199F" w:rsidP="00DB199F">
      <w:pPr>
        <w:pStyle w:val="NoSpacing"/>
      </w:pPr>
    </w:p>
    <w:p w14:paraId="16700831" w14:textId="77777777" w:rsidR="00DB199F" w:rsidRDefault="00DB199F" w:rsidP="00DB199F">
      <w:pPr>
        <w:pStyle w:val="NoSpacing"/>
        <w:rPr>
          <w:bCs/>
        </w:rPr>
      </w:pPr>
      <w:r>
        <w:t>THE MAGISTRATE JUDGE WROTE:</w:t>
      </w:r>
    </w:p>
    <w:p w14:paraId="62F702C9" w14:textId="77777777" w:rsidR="00DB199F" w:rsidRDefault="00DB199F" w:rsidP="00DB199F">
      <w:pPr>
        <w:pStyle w:val="NoSpacing"/>
      </w:pPr>
    </w:p>
    <w:p w14:paraId="3932C1B2" w14:textId="77777777" w:rsidR="00DB199F" w:rsidRDefault="00DB199F" w:rsidP="00DB199F">
      <w:pPr>
        <w:pStyle w:val="NoSpacing"/>
      </w:pPr>
      <w:r>
        <w:t>“</w:t>
      </w:r>
      <w:r w:rsidRPr="005523BB">
        <w:t xml:space="preserve">Of course, for the failure to offer a vacant position to be actionable, Plaintiff had to be able to perform the essential functions of that job with or without accommodations. </w:t>
      </w:r>
      <w:r w:rsidRPr="005523BB">
        <w:rPr>
          <w:i/>
          <w:iCs/>
        </w:rPr>
        <w:t>See Snapp v. United Transportation Union</w:t>
      </w:r>
      <w:r w:rsidRPr="005523BB">
        <w:t xml:space="preserve">, 889 F.3d 1088, 1095 (9th Cir. 2018) (holding that liability for failing to engage in interactive process only attaches if </w:t>
      </w:r>
      <w:proofErr w:type="gramStart"/>
      <w:r w:rsidRPr="005523BB">
        <w:t>a reasonable</w:t>
      </w:r>
      <w:proofErr w:type="gramEnd"/>
      <w:r w:rsidRPr="005523BB">
        <w:t xml:space="preserve"> accommodation is possible). Defendant contends it reviewed other city-wide vacant positions and determined that Plaintiff could not safely fill them or was not qualified</w:t>
      </w:r>
      <w:r>
        <w:t>…. P</w:t>
      </w:r>
      <w:r w:rsidRPr="005523BB">
        <w:t>laintiff disagrees and offers three positions—an administrative project support position, a building attendant, and a janitorial position—that he contends he was qualified for and could safely perform</w:t>
      </w:r>
      <w:r>
        <w:t xml:space="preserve">…. </w:t>
      </w:r>
      <w:r w:rsidRPr="005523BB">
        <w:t xml:space="preserve">Even with Defendant's evidence regarding the positions, there remains a dispute of fact on this </w:t>
      </w:r>
      <w:proofErr w:type="gramStart"/>
      <w:r w:rsidRPr="005523BB">
        <w:t>issue.</w:t>
      </w:r>
      <w:r>
        <w:t>”</w:t>
      </w:r>
      <w:proofErr w:type="gramEnd"/>
      <w:r>
        <w:t xml:space="preserve"> </w:t>
      </w:r>
    </w:p>
    <w:p w14:paraId="6B3D99FC" w14:textId="77777777" w:rsidR="00DB199F" w:rsidRDefault="00DB199F" w:rsidP="00DB199F">
      <w:pPr>
        <w:pStyle w:val="NoSpacing"/>
      </w:pPr>
    </w:p>
    <w:p w14:paraId="35494DF6" w14:textId="77777777" w:rsidR="00DB199F" w:rsidRPr="00B3494A" w:rsidRDefault="00DB199F" w:rsidP="00DB199F">
      <w:pPr>
        <w:pStyle w:val="NoSpacing"/>
        <w:rPr>
          <w:b/>
          <w:bCs/>
        </w:rPr>
      </w:pPr>
      <w:r w:rsidRPr="00B3494A">
        <w:rPr>
          <w:b/>
        </w:rPr>
        <w:lastRenderedPageBreak/>
        <w:t xml:space="preserve">Legal lesson learned: </w:t>
      </w:r>
      <w:r>
        <w:rPr>
          <w:b/>
        </w:rPr>
        <w:t xml:space="preserve">To avoid ADA litigation, have a thorough discussion with the employee about other possible positions in the city and document whether employee could safely perform those jobs. </w:t>
      </w:r>
    </w:p>
    <w:p w14:paraId="5840A21E" w14:textId="77777777" w:rsidR="00DB199F" w:rsidRDefault="00DB199F" w:rsidP="00DB199F">
      <w:pPr>
        <w:pStyle w:val="NoSpacing"/>
        <w:rPr>
          <w:b/>
          <w:bCs/>
        </w:rPr>
      </w:pPr>
    </w:p>
    <w:p w14:paraId="42984B3D" w14:textId="77777777" w:rsidR="00DB199F" w:rsidRDefault="00DB199F" w:rsidP="00DB199F">
      <w:pPr>
        <w:pStyle w:val="NoSpacing"/>
        <w:ind w:left="720"/>
      </w:pPr>
      <w:r>
        <w:rPr>
          <w:b/>
        </w:rPr>
        <w:t xml:space="preserve">Note: </w:t>
      </w:r>
      <w:r>
        <w:t xml:space="preserve">On July 8, 2026, U.S. District Court Judge </w:t>
      </w:r>
      <w:r w:rsidRPr="00E51C2B">
        <w:t>Mustafa Taher Kasubhai</w:t>
      </w:r>
      <w:r>
        <w:t xml:space="preserve"> accepted the Report and Recommendations. </w:t>
      </w:r>
      <w:hyperlink r:id="rId1650" w:history="1">
        <w:r w:rsidRPr="00DA6A19">
          <w:rPr>
            <w:rStyle w:val="Hyperlink"/>
          </w:rPr>
          <w:t>https://www.casemine.com/judgement/us/6a52586871db26a4e922f540</w:t>
        </w:r>
      </w:hyperlink>
      <w:r>
        <w:t xml:space="preserve"> </w:t>
      </w:r>
    </w:p>
    <w:p w14:paraId="678B440A" w14:textId="77777777" w:rsidR="00DB199F" w:rsidRPr="00B3494A" w:rsidRDefault="00DB199F" w:rsidP="00DB199F">
      <w:pPr>
        <w:pStyle w:val="NoSpacing"/>
        <w:rPr>
          <w:b/>
          <w:bCs/>
        </w:rPr>
      </w:pPr>
    </w:p>
    <w:p w14:paraId="6DD312FC" w14:textId="77777777" w:rsidR="00DB199F" w:rsidRDefault="00DB199F" w:rsidP="00BC4752">
      <w:pPr>
        <w:pStyle w:val="NoSpacing"/>
        <w:rPr>
          <w:rFonts w:ascii="Arial Black" w:hAnsi="Arial Black"/>
          <w:sz w:val="24"/>
          <w:szCs w:val="24"/>
        </w:rPr>
      </w:pPr>
    </w:p>
    <w:p w14:paraId="022AF4F4" w14:textId="77777777" w:rsidR="00DB199F" w:rsidRDefault="00DB199F" w:rsidP="00BC4752">
      <w:pPr>
        <w:pStyle w:val="NoSpacing"/>
        <w:rPr>
          <w:rFonts w:ascii="Arial Black" w:hAnsi="Arial Black"/>
          <w:sz w:val="24"/>
          <w:szCs w:val="24"/>
        </w:rPr>
      </w:pPr>
    </w:p>
    <w:p w14:paraId="4079C942" w14:textId="77777777" w:rsidR="00DB199F" w:rsidRDefault="00DB199F" w:rsidP="00BC4752">
      <w:pPr>
        <w:pStyle w:val="NoSpacing"/>
        <w:rPr>
          <w:rFonts w:ascii="Arial Black" w:hAnsi="Arial Black"/>
          <w:sz w:val="24"/>
          <w:szCs w:val="24"/>
        </w:rPr>
      </w:pPr>
    </w:p>
    <w:p w14:paraId="4F504253" w14:textId="77777777" w:rsidR="00DB199F" w:rsidRDefault="00DB199F" w:rsidP="00BC4752">
      <w:pPr>
        <w:pStyle w:val="NoSpacing"/>
        <w:rPr>
          <w:rFonts w:ascii="Arial Black" w:hAnsi="Arial Black"/>
          <w:sz w:val="24"/>
          <w:szCs w:val="24"/>
        </w:rPr>
      </w:pPr>
    </w:p>
    <w:p w14:paraId="7BD05818" w14:textId="77777777" w:rsidR="00DB199F" w:rsidRDefault="00DB199F" w:rsidP="00BC4752">
      <w:pPr>
        <w:pStyle w:val="NoSpacing"/>
        <w:rPr>
          <w:rFonts w:ascii="Arial Black" w:hAnsi="Arial Black"/>
          <w:sz w:val="24"/>
          <w:szCs w:val="24"/>
        </w:rPr>
      </w:pPr>
    </w:p>
    <w:p w14:paraId="16B42586" w14:textId="550D5706" w:rsidR="008C7243" w:rsidRDefault="00A0752D" w:rsidP="00BC4752">
      <w:pPr>
        <w:pStyle w:val="NoSpacing"/>
        <w:rPr>
          <w:rFonts w:ascii="Arial Black" w:hAnsi="Arial Black"/>
          <w:sz w:val="24"/>
          <w:szCs w:val="24"/>
        </w:rPr>
      </w:pPr>
      <w:r>
        <w:rPr>
          <w:rFonts w:ascii="Arial Black" w:hAnsi="Arial Black"/>
          <w:sz w:val="24"/>
          <w:szCs w:val="24"/>
        </w:rPr>
        <w:t>9</w:t>
      </w:r>
      <w:r w:rsidR="008C3834">
        <w:rPr>
          <w:rFonts w:ascii="Arial Black" w:hAnsi="Arial Black"/>
          <w:sz w:val="24"/>
          <w:szCs w:val="24"/>
        </w:rPr>
        <w:t>-</w:t>
      </w:r>
      <w:r w:rsidR="0049781A">
        <w:rPr>
          <w:rFonts w:ascii="Arial Black" w:hAnsi="Arial Black"/>
          <w:sz w:val="24"/>
          <w:szCs w:val="24"/>
        </w:rPr>
        <w:t>67</w:t>
      </w:r>
    </w:p>
    <w:p w14:paraId="066BF749" w14:textId="77777777" w:rsidR="008C3834" w:rsidRDefault="008C3834" w:rsidP="00BC4752">
      <w:pPr>
        <w:pStyle w:val="NoSpacing"/>
        <w:rPr>
          <w:rFonts w:ascii="Arial Black" w:hAnsi="Arial Black"/>
          <w:sz w:val="24"/>
          <w:szCs w:val="24"/>
        </w:rPr>
      </w:pPr>
    </w:p>
    <w:p w14:paraId="50B69144" w14:textId="77777777" w:rsidR="008C3834" w:rsidRPr="006E13B1" w:rsidRDefault="008C3834" w:rsidP="008C3834">
      <w:pPr>
        <w:rPr>
          <w:rFonts w:ascii="Arial Black" w:hAnsi="Arial Black"/>
          <w:bCs/>
          <w:sz w:val="28"/>
          <w:szCs w:val="28"/>
        </w:rPr>
      </w:pPr>
      <w:r>
        <w:rPr>
          <w:rFonts w:ascii="Arial Black" w:hAnsi="Arial Black"/>
          <w:sz w:val="28"/>
          <w:szCs w:val="28"/>
        </w:rPr>
        <w:t>NV: PROB. FF INJURED – NO EXT. 1-YR</w:t>
      </w:r>
      <w:r>
        <w:rPr>
          <w:rFonts w:ascii="Arial Black" w:hAnsi="Arial Black"/>
          <w:bCs/>
          <w:sz w:val="28"/>
          <w:szCs w:val="28"/>
        </w:rPr>
        <w:t xml:space="preserve"> – </w:t>
      </w:r>
      <w:r>
        <w:rPr>
          <w:rFonts w:ascii="Arial Black" w:hAnsi="Arial Black"/>
          <w:sz w:val="28"/>
          <w:szCs w:val="28"/>
        </w:rPr>
        <w:t>CASE</w:t>
      </w:r>
      <w:r>
        <w:rPr>
          <w:rFonts w:ascii="Arial Black" w:hAnsi="Arial Black"/>
          <w:bCs/>
          <w:sz w:val="28"/>
          <w:szCs w:val="28"/>
        </w:rPr>
        <w:t xml:space="preserve"> PROCEED</w:t>
      </w:r>
    </w:p>
    <w:p w14:paraId="06EFB765" w14:textId="77777777" w:rsidR="008C3834" w:rsidRDefault="008C3834" w:rsidP="008C3834">
      <w:pPr>
        <w:rPr>
          <w:bCs/>
        </w:rPr>
      </w:pPr>
      <w:r>
        <w:t xml:space="preserve">On May 12, 2026, in </w:t>
      </w:r>
      <w:r w:rsidRPr="00520ECA">
        <w:rPr>
          <w:u w:val="single"/>
        </w:rPr>
        <w:t>Matthew Gregort Vannozzi v. Clark County, et al</w:t>
      </w:r>
      <w:r>
        <w:t xml:space="preserve">., U.S. District Court Judge </w:t>
      </w:r>
      <w:r w:rsidRPr="006E13B1">
        <w:t>Jennifer A. Dorsey</w:t>
      </w:r>
      <w:r>
        <w:t>, United States District Court for the District of Nevada, denied Clark County’s motion to dismiss the case.  THE COURT HELD: “</w:t>
      </w:r>
      <w:r w:rsidRPr="00225ABE">
        <w:t>Matthew Vannozzi brings Americans with Disabilities Act (ADA), Rehabilitation Act, and Nevada-law employment claims against Clark County, alleging that its fire department refused to preserve his probationary firefighter-paramedic position while he recovered from line-of-duty injuries and cardiac conditions, failed to engage in the interactive process, and fired him for his disability</w:t>
      </w:r>
      <w:r>
        <w:t>…. A</w:t>
      </w:r>
      <w:r w:rsidRPr="00225ABE">
        <w:t>nd because the second amended complaint plausibly alleges that Vannozzi sought a finite recovery-time accommodation and suffered adverse action after invoking ADA-protected rights, I deny the motion to dismiss, too.</w:t>
      </w:r>
      <w:r>
        <w:t xml:space="preserve">” </w:t>
      </w:r>
      <w:hyperlink r:id="rId1651" w:history="1">
        <w:r w:rsidRPr="00F85F03">
          <w:rPr>
            <w:rStyle w:val="Hyperlink"/>
          </w:rPr>
          <w:t>https://public.fastcase.com/Jhe1Qn%2BmJndQYQU6z%2FeNm2kS7VI9AQpJ451BKRyshBDGiqezkPNA%2BJ4Mc%2Fomhxj3zuPpdWN764R4JuE3lYQbe83p1Nq1XHA6CB8LuiXwXBM%3D?utm_medium=email&amp;_hsenc=p2ANqtz-_xBqvIlP1bgLDQ7-gr0MsyD2cqh9I-7H0nRbwq_ndvk4N-HbAk55liN5jXfY0IgeNEDhFcwLKOWXCSzt7avhQkvFQDlA&amp;_hsmi=226712652&amp;utm_content=226712652&amp;utm_source=hs_email</w:t>
        </w:r>
      </w:hyperlink>
    </w:p>
    <w:p w14:paraId="355B616D" w14:textId="77777777" w:rsidR="008C3834" w:rsidRDefault="008C3834" w:rsidP="008C3834">
      <w:pPr>
        <w:rPr>
          <w:bCs/>
        </w:rPr>
      </w:pPr>
      <w:r>
        <w:t>THE COURT HELD:</w:t>
      </w:r>
    </w:p>
    <w:p w14:paraId="0DB5743C" w14:textId="77777777" w:rsidR="008C3834" w:rsidRPr="006F10FA" w:rsidRDefault="008C3834" w:rsidP="008C3834">
      <w:pPr>
        <w:ind w:left="720"/>
        <w:rPr>
          <w:bCs/>
        </w:rPr>
      </w:pPr>
      <w:r>
        <w:t>“</w:t>
      </w:r>
      <w:r w:rsidRPr="006F10FA">
        <w:t xml:space="preserve">The Clark County Fire Department hired Matthew Vannozzi as a probationary firefighter-paramedic in January 2023. He completed the Clark County Fire Academy that May and began full-duty work as a firefighter-paramedic. But four months later, while responding to a fire incident, Vannozzi injured his left upper extremity, neck, and right wrist badly enough to prevent him from performing the essential functions of that job. About a month after that, he suffered a non-ST elevation myocardial infarction that required emergency stent placement. During that treatment, he was also diagnosed with an aortic aneurysm, hemochromatosis, and a hypercoagulable state. </w:t>
      </w:r>
    </w:p>
    <w:p w14:paraId="0538C8EA" w14:textId="77777777" w:rsidR="008C3834" w:rsidRDefault="008C3834" w:rsidP="008C3834">
      <w:pPr>
        <w:ind w:left="720"/>
        <w:rPr>
          <w:bCs/>
          <w:vertAlign w:val="superscript"/>
        </w:rPr>
      </w:pPr>
      <w:r w:rsidRPr="006F10FA">
        <w:t>Those cardiac and blood-related conditions required anticoagulation therapy, making the inherent risks of firefighting potentially fatal because traumatic injury could lead to dangerous bleeding Multiple doctors placed Vannozzi on disability status and complete work restrictions, leaving him unable to perform firefighting duties during his recovery period. His treating cardiologist estimated on November 8, 2023, that Vannozzi would need at least six weeks before</w:t>
      </w:r>
      <w:r>
        <w:t xml:space="preserve"> </w:t>
      </w:r>
      <w:r w:rsidRPr="006F10FA">
        <w:t>he could return to work from a cardiac standpoint, putting that timeframe in mid-to-late December. But that estimate did not account for his orthopedic injuries, which required additional recovery time.</w:t>
      </w:r>
    </w:p>
    <w:p w14:paraId="6E806570" w14:textId="77777777" w:rsidR="008C3834" w:rsidRDefault="008C3834" w:rsidP="008C3834">
      <w:pPr>
        <w:ind w:left="720"/>
        <w:rPr>
          <w:vertAlign w:val="superscript"/>
        </w:rPr>
      </w:pPr>
      <w:r w:rsidRPr="00A65F20">
        <w:lastRenderedPageBreak/>
        <w:t xml:space="preserve">Clark County knew about Vannozzi's injuries, medical restrictions, and workers' compensation status. So, while still unable to perform firefighting duties, Vannozzi requested an extension of his one-year probationary period to give him time to recover and return to full duty. Vannozzi alleges that Clark County had extended probationary periods for other injured firefighters, but it refused to do so for him. It also told him that he would </w:t>
      </w:r>
      <w:r>
        <w:t>‘</w:t>
      </w:r>
      <w:r w:rsidRPr="00A65F20">
        <w:t>surely fail</w:t>
      </w:r>
      <w:r>
        <w:t xml:space="preserve">’ </w:t>
      </w:r>
      <w:r w:rsidRPr="00A65F20">
        <w:t>probation even if the department extended his probation and he recovered. Clark County terminated him on December 27, 2023—13 days before his probationary period would have ended.</w:t>
      </w:r>
    </w:p>
    <w:p w14:paraId="4EC06EE0" w14:textId="77777777" w:rsidR="008C3834" w:rsidRPr="00FF04E5" w:rsidRDefault="008C3834" w:rsidP="008C3834">
      <w:pPr>
        <w:ind w:left="720"/>
      </w:pPr>
      <w:r w:rsidRPr="00FF04E5">
        <w:t>***</w:t>
      </w:r>
    </w:p>
    <w:p w14:paraId="476A6483" w14:textId="77777777" w:rsidR="008C3834" w:rsidRPr="00FF04E5" w:rsidRDefault="008C3834" w:rsidP="008C3834">
      <w:pPr>
        <w:ind w:left="720"/>
      </w:pPr>
      <w:r>
        <w:t>[T]</w:t>
      </w:r>
      <w:r w:rsidRPr="00FF04E5">
        <w:t>he Ninth Circuit recognizes that medical leave or an extension of leave may be a reasonable accommodation when it would allow the employee to return to the job's essential functions in the foreseeable future</w:t>
      </w:r>
      <w:r>
        <w:t xml:space="preserve">…. </w:t>
      </w:r>
      <w:r w:rsidRPr="00DF5943">
        <w:t>At this pleading stage, Vannozzi plausibly alleges that he could have been a qualified individual with a finite recovery-time accommodation, so I deny the motion to dismiss on those grounds.</w:t>
      </w:r>
      <w:r>
        <w:t>”</w:t>
      </w:r>
    </w:p>
    <w:p w14:paraId="579EC6F6" w14:textId="77777777" w:rsidR="008C3834" w:rsidRPr="005E465A" w:rsidRDefault="008C3834" w:rsidP="008C3834">
      <w:pPr>
        <w:rPr>
          <w:b/>
        </w:rPr>
      </w:pPr>
      <w:r>
        <w:rPr>
          <w:b/>
        </w:rPr>
        <w:t xml:space="preserve">Legal lesson learned: </w:t>
      </w:r>
      <w:r w:rsidRPr="005E465A">
        <w:rPr>
          <w:b/>
        </w:rPr>
        <w:t xml:space="preserve">Under ADA, requests </w:t>
      </w:r>
      <w:r>
        <w:rPr>
          <w:b/>
        </w:rPr>
        <w:t xml:space="preserve">by an injured employee </w:t>
      </w:r>
      <w:r w:rsidRPr="005E465A">
        <w:rPr>
          <w:b/>
        </w:rPr>
        <w:t>for a</w:t>
      </w:r>
      <w:r>
        <w:rPr>
          <w:b/>
        </w:rPr>
        <w:t xml:space="preserve"> reasonable  </w:t>
      </w:r>
      <w:r w:rsidRPr="005E465A">
        <w:rPr>
          <w:b/>
        </w:rPr>
        <w:t xml:space="preserve">extension </w:t>
      </w:r>
      <w:r>
        <w:rPr>
          <w:b/>
        </w:rPr>
        <w:t xml:space="preserve">of </w:t>
      </w:r>
      <w:r w:rsidRPr="005E465A">
        <w:rPr>
          <w:b/>
        </w:rPr>
        <w:t>recovery</w:t>
      </w:r>
      <w:r>
        <w:rPr>
          <w:b/>
        </w:rPr>
        <w:t xml:space="preserve"> time can be considered </w:t>
      </w:r>
      <w:proofErr w:type="gramStart"/>
      <w:r>
        <w:rPr>
          <w:b/>
        </w:rPr>
        <w:t>a</w:t>
      </w:r>
      <w:proofErr w:type="gramEnd"/>
      <w:r w:rsidRPr="005E465A">
        <w:rPr>
          <w:b/>
        </w:rPr>
        <w:t xml:space="preserve"> ADA-protected right</w:t>
      </w:r>
      <w:r>
        <w:rPr>
          <w:b/>
        </w:rPr>
        <w:t>;</w:t>
      </w:r>
      <w:r w:rsidRPr="005E465A">
        <w:rPr>
          <w:b/>
        </w:rPr>
        <w:t xml:space="preserve"> case will proceed with pre-trial discovery. </w:t>
      </w:r>
    </w:p>
    <w:p w14:paraId="1C03AEE4" w14:textId="77777777" w:rsidR="00535EBD" w:rsidRDefault="00535EBD" w:rsidP="008C3834">
      <w:pPr>
        <w:rPr>
          <w:rFonts w:ascii="Arial Black" w:hAnsi="Arial Black"/>
          <w:bCs/>
          <w:sz w:val="24"/>
          <w:szCs w:val="24"/>
        </w:rPr>
      </w:pPr>
    </w:p>
    <w:p w14:paraId="0143AF40" w14:textId="526F89BB" w:rsidR="008C3834" w:rsidRPr="00535EBD" w:rsidRDefault="00535EBD" w:rsidP="008C3834">
      <w:pPr>
        <w:rPr>
          <w:rFonts w:ascii="Arial Black" w:hAnsi="Arial Black"/>
          <w:bCs/>
          <w:sz w:val="24"/>
          <w:szCs w:val="24"/>
        </w:rPr>
      </w:pPr>
      <w:r w:rsidRPr="00535EBD">
        <w:rPr>
          <w:rFonts w:ascii="Arial Black" w:hAnsi="Arial Black"/>
          <w:bCs/>
          <w:sz w:val="24"/>
          <w:szCs w:val="24"/>
        </w:rPr>
        <w:t>9-66 [also filed, Chap. 15, Mental health]</w:t>
      </w:r>
    </w:p>
    <w:p w14:paraId="75EC92C3" w14:textId="77777777" w:rsidR="00A0752D" w:rsidRPr="00E60E4B" w:rsidRDefault="00A0752D" w:rsidP="00A0752D">
      <w:pPr>
        <w:rPr>
          <w:rFonts w:ascii="Arial Black" w:hAnsi="Arial Black"/>
          <w:b/>
          <w:sz w:val="28"/>
          <w:szCs w:val="28"/>
        </w:rPr>
      </w:pPr>
      <w:r>
        <w:rPr>
          <w:rFonts w:ascii="Arial Black" w:hAnsi="Arial Black"/>
          <w:b/>
          <w:sz w:val="28"/>
          <w:szCs w:val="28"/>
        </w:rPr>
        <w:t xml:space="preserve">KY: FIRE MARSHAL – NO MJ - SUICIDE ATTEMPT ADDERALL </w:t>
      </w:r>
    </w:p>
    <w:p w14:paraId="0FC738A1" w14:textId="77777777" w:rsidR="00A0752D" w:rsidRDefault="00A0752D" w:rsidP="00A0752D">
      <w:pPr>
        <w:pStyle w:val="NoSpacing"/>
      </w:pPr>
      <w:r>
        <w:t xml:space="preserve">On May 5, 2026, in </w:t>
      </w:r>
      <w:r w:rsidRPr="00BE6F41">
        <w:rPr>
          <w:u w:val="single"/>
        </w:rPr>
        <w:t>Joseph Wheeling v. City of Winchester</w:t>
      </w:r>
      <w:r>
        <w:t xml:space="preserve">, U.S. District Court Judge </w:t>
      </w:r>
      <w:r w:rsidRPr="003F4A5C">
        <w:t>Karen K. Caldwel</w:t>
      </w:r>
      <w:r>
        <w:t xml:space="preserve">, United States District Court for Eastern District of Kentucky, Central Division, Lexington, granted the City’s motion for summary judgment on his May 16, </w:t>
      </w:r>
      <w:proofErr w:type="gramStart"/>
      <w:r>
        <w:t>2023</w:t>
      </w:r>
      <w:proofErr w:type="gramEnd"/>
      <w:r>
        <w:t xml:space="preserve"> termination for breach of city’s drug policy - abuse of proscribed medication.  The Fire Marshal had taken FMLA leave </w:t>
      </w:r>
      <w:r w:rsidRPr="00D73A56">
        <w:t>June 22</w:t>
      </w:r>
      <w:r>
        <w:t>-</w:t>
      </w:r>
      <w:r w:rsidRPr="00D73A56">
        <w:t xml:space="preserve">25, 2022, </w:t>
      </w:r>
      <w:r>
        <w:t xml:space="preserve">for </w:t>
      </w:r>
      <w:r w:rsidRPr="00D73A56">
        <w:t>in-patient treatment at the International Association of Fire Fighters Center for Excellence</w:t>
      </w:r>
      <w:r>
        <w:t xml:space="preserve">, and upon return he was receiving treatment </w:t>
      </w:r>
      <w:r w:rsidRPr="00216F9E">
        <w:t>Bluegrass Behavioral Health and Consulting Services</w:t>
      </w:r>
      <w:r>
        <w:t xml:space="preserve">.  After a second FMLA, the </w:t>
      </w:r>
      <w:proofErr w:type="gramStart"/>
      <w:r>
        <w:t>City</w:t>
      </w:r>
      <w:proofErr w:type="gramEnd"/>
      <w:r>
        <w:t xml:space="preserve"> declined his return to work using proscribed marijuana, so he was proscribed Adderall.  He r</w:t>
      </w:r>
      <w:r w:rsidRPr="00724F86">
        <w:t>eturned to work on March 14, 2023</w:t>
      </w:r>
      <w:r>
        <w:t xml:space="preserve">; but on </w:t>
      </w:r>
      <w:r w:rsidRPr="00147A46">
        <w:t xml:space="preserve">March 31, 2023, Wheeling attempted suicide while at work by </w:t>
      </w:r>
      <w:r w:rsidRPr="00D600CD">
        <w:t>ingesting about 9 or 11 Adderall pills.</w:t>
      </w:r>
      <w:r>
        <w:t xml:space="preserve"> THE COURT WROTE: “</w:t>
      </w:r>
      <w:r w:rsidRPr="00835EAE">
        <w:t xml:space="preserve">Because the record conclusively reveals a nondiscriminatory reason for the termination, the </w:t>
      </w:r>
      <w:proofErr w:type="gramStart"/>
      <w:r w:rsidRPr="00835EAE">
        <w:t>City</w:t>
      </w:r>
      <w:proofErr w:type="gramEnd"/>
      <w:r w:rsidRPr="00835EAE">
        <w:t xml:space="preserve"> is entitled to summary judgment on the disability discrimination claim</w:t>
      </w:r>
      <w:r>
        <w:t xml:space="preserve">…. </w:t>
      </w:r>
      <w:r w:rsidRPr="00E60E4B">
        <w:t xml:space="preserve"> Here, the written job requirements, the undisputed testimony from Wheeling and his supervisors, and the duties inherent in being a first responder indicate that field inspections and fire prevention </w:t>
      </w:r>
      <w:proofErr w:type="gramStart"/>
      <w:r w:rsidRPr="00E60E4B">
        <w:t>is</w:t>
      </w:r>
      <w:proofErr w:type="gramEnd"/>
      <w:r w:rsidRPr="00E60E4B">
        <w:t xml:space="preserve"> essential to performing the Fire Marshal role. The </w:t>
      </w:r>
      <w:proofErr w:type="gramStart"/>
      <w:r w:rsidRPr="00E60E4B">
        <w:t>City</w:t>
      </w:r>
      <w:proofErr w:type="gramEnd"/>
      <w:r w:rsidRPr="00E60E4B">
        <w:t xml:space="preserve"> was not required to reassign Wheeling's fire inspection and prevention responsibilities to other employees</w:t>
      </w:r>
      <w:r>
        <w:t xml:space="preserve">…. </w:t>
      </w:r>
      <w:r w:rsidRPr="00E60E4B">
        <w:t xml:space="preserve">Therefore, based on the record, Wheeling's request to have other employees help with </w:t>
      </w:r>
      <w:r>
        <w:t>‘</w:t>
      </w:r>
      <w:r w:rsidRPr="00E60E4B">
        <w:t xml:space="preserve">fire </w:t>
      </w:r>
      <w:proofErr w:type="gramStart"/>
      <w:r w:rsidRPr="00E60E4B">
        <w:t>inspections</w:t>
      </w:r>
      <w:r>
        <w:t>’</w:t>
      </w:r>
      <w:r w:rsidRPr="00E60E4B">
        <w:t xml:space="preserve"> and </w:t>
      </w:r>
      <w:r>
        <w:t>‘</w:t>
      </w:r>
      <w:proofErr w:type="gramEnd"/>
      <w:r w:rsidRPr="00E60E4B">
        <w:t>fire prevention</w:t>
      </w:r>
      <w:r>
        <w:t xml:space="preserve">’ </w:t>
      </w:r>
      <w:r w:rsidRPr="00E60E4B">
        <w:t xml:space="preserve">seeks </w:t>
      </w:r>
      <w:proofErr w:type="gramStart"/>
      <w:r w:rsidRPr="00E60E4B">
        <w:t>an accommodation</w:t>
      </w:r>
      <w:proofErr w:type="gramEnd"/>
      <w:r w:rsidRPr="00E60E4B">
        <w:t xml:space="preserve"> relating to the most fundamental aspects of the job. On this evidence, no reasonable jury could conclude that Wheeling's accommodation request would not eliminate or reallocate the most essential functions of his job</w:t>
      </w:r>
      <w:r>
        <w:t xml:space="preserve">…. </w:t>
      </w:r>
      <w:r w:rsidRPr="00E60E4B">
        <w:t xml:space="preserve">Because Wheeling failed to provide a reasonable accommodation request, his failure to accommodate claim fails as a matter of </w:t>
      </w:r>
      <w:proofErr w:type="gramStart"/>
      <w:r w:rsidRPr="00E60E4B">
        <w:t>law.</w:t>
      </w:r>
      <w:r>
        <w:t>”</w:t>
      </w:r>
      <w:proofErr w:type="gramEnd"/>
      <w:r>
        <w:t xml:space="preserve"> </w:t>
      </w:r>
      <w:hyperlink r:id="rId1652" w:history="1">
        <w:r w:rsidRPr="00BC462E">
          <w:rPr>
            <w:rStyle w:val="Hyperlink"/>
          </w:rPr>
          <w:t>https://cases.justia.com/federal/district-courts/kentucky/kyedce/5:2024cv00129/104855/29/0.pdf?ts=1778093974</w:t>
        </w:r>
      </w:hyperlink>
      <w:r>
        <w:t xml:space="preserve"> </w:t>
      </w:r>
    </w:p>
    <w:p w14:paraId="68D440A4" w14:textId="77777777" w:rsidR="00A0752D" w:rsidRDefault="00A0752D" w:rsidP="00A0752D">
      <w:pPr>
        <w:pStyle w:val="NoSpacing"/>
      </w:pPr>
    </w:p>
    <w:p w14:paraId="31C0D0B6" w14:textId="77777777" w:rsidR="00A0752D" w:rsidRDefault="00A0752D" w:rsidP="00A0752D">
      <w:pPr>
        <w:pStyle w:val="NoSpacing"/>
      </w:pPr>
      <w:r>
        <w:t xml:space="preserve">THE COURT HELD: </w:t>
      </w:r>
    </w:p>
    <w:p w14:paraId="4D1396A1" w14:textId="77777777" w:rsidR="00A0752D" w:rsidRDefault="00A0752D" w:rsidP="00A0752D">
      <w:pPr>
        <w:pStyle w:val="NoSpacing"/>
      </w:pPr>
    </w:p>
    <w:p w14:paraId="03868764" w14:textId="77777777" w:rsidR="00A0752D" w:rsidRDefault="00A0752D" w:rsidP="00A0752D">
      <w:pPr>
        <w:pStyle w:val="NoSpacing"/>
        <w:ind w:left="720"/>
      </w:pPr>
      <w:r>
        <w:t>“</w:t>
      </w:r>
      <w:r w:rsidRPr="00CF2083">
        <w:t>Wheeling identifies two potential accommodations that could have aided him in his employment: using medical marijuana and additional personnel to assist him in the office</w:t>
      </w:r>
      <w:r>
        <w:t xml:space="preserve">…. </w:t>
      </w:r>
      <w:r w:rsidRPr="006A2B36">
        <w:t xml:space="preserve">The City's letter explained </w:t>
      </w:r>
      <w:proofErr w:type="gramStart"/>
      <w:r w:rsidRPr="006A2B36">
        <w:t>that,</w:t>
      </w:r>
      <w:proofErr w:type="gramEnd"/>
      <w:r w:rsidRPr="006A2B36">
        <w:t xml:space="preserve"> </w:t>
      </w:r>
      <w:r>
        <w:t>‘</w:t>
      </w:r>
      <w:r w:rsidRPr="006A2B36">
        <w:t xml:space="preserve">[Wheeling's] position of employment with the </w:t>
      </w:r>
      <w:proofErr w:type="gramStart"/>
      <w:r w:rsidRPr="006A2B36">
        <w:t>City</w:t>
      </w:r>
      <w:proofErr w:type="gramEnd"/>
      <w:r w:rsidRPr="006A2B36">
        <w:t xml:space="preserve"> is a heightened safety awareness level position (HSAL) that involves exceptional duties to the community citizens in the area of public safety.</w:t>
      </w:r>
      <w:r>
        <w:t xml:space="preserve">’ …. </w:t>
      </w:r>
      <w:r w:rsidRPr="006A2B36">
        <w:t xml:space="preserve">Because of the heightened safety level required of his position, the </w:t>
      </w:r>
      <w:proofErr w:type="gramStart"/>
      <w:r w:rsidRPr="006A2B36">
        <w:t>City</w:t>
      </w:r>
      <w:proofErr w:type="gramEnd"/>
      <w:r w:rsidRPr="006A2B36">
        <w:t xml:space="preserve"> explicitly prohibited his use of medical marijuana. </w:t>
      </w:r>
    </w:p>
    <w:p w14:paraId="5B04C631" w14:textId="77777777" w:rsidR="00A0752D" w:rsidRDefault="00A0752D" w:rsidP="00A0752D">
      <w:pPr>
        <w:pStyle w:val="NoSpacing"/>
        <w:ind w:left="720"/>
      </w:pPr>
    </w:p>
    <w:p w14:paraId="61342ED9" w14:textId="77777777" w:rsidR="00A0752D" w:rsidRDefault="00A0752D" w:rsidP="00A0752D">
      <w:pPr>
        <w:pStyle w:val="NoSpacing"/>
        <w:ind w:left="720"/>
      </w:pPr>
      <w:r>
        <w:t>***</w:t>
      </w:r>
    </w:p>
    <w:p w14:paraId="29F62E00" w14:textId="77777777" w:rsidR="00A0752D" w:rsidRDefault="00A0752D" w:rsidP="00A0752D">
      <w:pPr>
        <w:pStyle w:val="NoSpacing"/>
        <w:ind w:left="720"/>
      </w:pPr>
    </w:p>
    <w:p w14:paraId="644F7071" w14:textId="77777777" w:rsidR="00A0752D" w:rsidRPr="00A43D41" w:rsidRDefault="00A0752D" w:rsidP="00A0752D">
      <w:pPr>
        <w:pStyle w:val="NoSpacing"/>
        <w:ind w:left="720"/>
      </w:pPr>
      <w:r w:rsidRPr="00A43D41">
        <w:t xml:space="preserve">Wheeling's healthcare provider responded with a March 1, </w:t>
      </w:r>
      <w:proofErr w:type="gramStart"/>
      <w:r w:rsidRPr="00A43D41">
        <w:t>2023, letter</w:t>
      </w:r>
      <w:proofErr w:type="gramEnd"/>
      <w:r w:rsidRPr="00A43D41">
        <w:t xml:space="preserve">: </w:t>
      </w:r>
    </w:p>
    <w:p w14:paraId="569992F7" w14:textId="77777777" w:rsidR="00A0752D" w:rsidRDefault="00A0752D" w:rsidP="00A0752D">
      <w:pPr>
        <w:pStyle w:val="NoSpacing"/>
        <w:ind w:left="720" w:firstLine="720"/>
      </w:pPr>
    </w:p>
    <w:p w14:paraId="5CA7E77E" w14:textId="77777777" w:rsidR="00A0752D" w:rsidRPr="00A43D41" w:rsidRDefault="00A0752D" w:rsidP="00A0752D">
      <w:pPr>
        <w:pStyle w:val="NoSpacing"/>
        <w:ind w:left="1440"/>
      </w:pPr>
      <w:r w:rsidRPr="00A43D41">
        <w:t xml:space="preserve">This letter is to certify that Joseph Wheeling has been released to return to work effective immediately with the following accommodation(s): </w:t>
      </w:r>
    </w:p>
    <w:p w14:paraId="3068BDD7" w14:textId="77777777" w:rsidR="00A0752D" w:rsidRPr="00A43D41" w:rsidRDefault="00A0752D" w:rsidP="00A0752D">
      <w:pPr>
        <w:pStyle w:val="NoSpacing"/>
        <w:ind w:left="1440"/>
      </w:pPr>
      <w:r w:rsidRPr="00A43D41">
        <w:t xml:space="preserve">• Scheduling flexibility to allow him to continue his medical treatment which includes weekly </w:t>
      </w:r>
      <w:proofErr w:type="spellStart"/>
      <w:r w:rsidRPr="00A43D41">
        <w:t>Spravato</w:t>
      </w:r>
      <w:proofErr w:type="spellEnd"/>
      <w:r w:rsidRPr="00A43D41">
        <w:t xml:space="preserve"> treatment and therapy. </w:t>
      </w:r>
    </w:p>
    <w:p w14:paraId="3D47BE9E" w14:textId="77777777" w:rsidR="00A0752D" w:rsidRPr="00A43D41" w:rsidRDefault="00A0752D" w:rsidP="00A0752D">
      <w:pPr>
        <w:pStyle w:val="NoSpacing"/>
        <w:ind w:left="1440"/>
      </w:pPr>
      <w:r w:rsidRPr="00A43D41">
        <w:t xml:space="preserve">Please note that additional </w:t>
      </w:r>
      <w:proofErr w:type="gramStart"/>
      <w:r w:rsidRPr="00A43D41">
        <w:t>accommodations</w:t>
      </w:r>
      <w:proofErr w:type="gramEnd"/>
      <w:r w:rsidRPr="00A43D41">
        <w:t xml:space="preserve"> may be required in the future and are dependent on progress/status. </w:t>
      </w:r>
    </w:p>
    <w:p w14:paraId="04688141" w14:textId="77777777" w:rsidR="00A0752D" w:rsidRPr="00A43D41" w:rsidRDefault="00A0752D" w:rsidP="00A0752D">
      <w:pPr>
        <w:pStyle w:val="NoSpacing"/>
        <w:ind w:left="1440"/>
      </w:pPr>
      <w:r w:rsidRPr="00A43D41">
        <w:t xml:space="preserve">Please note that it is felt that the </w:t>
      </w:r>
      <w:proofErr w:type="gramStart"/>
      <w:r w:rsidRPr="00A43D41">
        <w:t>above mentioned</w:t>
      </w:r>
      <w:proofErr w:type="gramEnd"/>
      <w:r w:rsidRPr="00A43D41">
        <w:t xml:space="preserve"> is capable of safely performing the required functions of his job while taking his current prescribed medications: </w:t>
      </w:r>
      <w:proofErr w:type="spellStart"/>
      <w:r w:rsidRPr="00A43D41">
        <w:t>Spravato</w:t>
      </w:r>
      <w:proofErr w:type="spellEnd"/>
      <w:r w:rsidRPr="00A43D41">
        <w:t xml:space="preserve"> (administered in office, once weekly, and Clonazepam 0.5mg twice daily as needed. </w:t>
      </w:r>
    </w:p>
    <w:p w14:paraId="38334386" w14:textId="77777777" w:rsidR="00A0752D" w:rsidRDefault="00A0752D" w:rsidP="00A0752D">
      <w:pPr>
        <w:pStyle w:val="NoSpacing"/>
        <w:ind w:left="720"/>
      </w:pPr>
    </w:p>
    <w:p w14:paraId="21B24C44" w14:textId="77777777" w:rsidR="00A0752D" w:rsidRDefault="00A0752D" w:rsidP="00A0752D">
      <w:pPr>
        <w:pStyle w:val="NoSpacing"/>
        <w:ind w:left="720"/>
      </w:pPr>
      <w:r w:rsidRPr="00077FEA">
        <w:t xml:space="preserve">After </w:t>
      </w:r>
      <w:proofErr w:type="gramStart"/>
      <w:r w:rsidRPr="00077FEA">
        <w:t>receipt of</w:t>
      </w:r>
      <w:proofErr w:type="gramEnd"/>
      <w:r w:rsidRPr="00077FEA">
        <w:t xml:space="preserve"> the letter, the City confirmed that the proposed treatment plan complied with its policies.</w:t>
      </w:r>
    </w:p>
    <w:p w14:paraId="50248559" w14:textId="77777777" w:rsidR="00A0752D" w:rsidRDefault="00A0752D" w:rsidP="00A0752D">
      <w:pPr>
        <w:pStyle w:val="NoSpacing"/>
        <w:ind w:left="720"/>
      </w:pPr>
    </w:p>
    <w:p w14:paraId="241C8D76" w14:textId="77777777" w:rsidR="00A0752D" w:rsidRDefault="00A0752D" w:rsidP="00A0752D">
      <w:pPr>
        <w:pStyle w:val="NoSpacing"/>
        <w:ind w:left="720"/>
      </w:pPr>
      <w:r>
        <w:t>***</w:t>
      </w:r>
    </w:p>
    <w:p w14:paraId="766BB172" w14:textId="77777777" w:rsidR="00A0752D" w:rsidRDefault="00A0752D" w:rsidP="00A0752D">
      <w:pPr>
        <w:pStyle w:val="NoSpacing"/>
        <w:ind w:left="720"/>
      </w:pPr>
      <w:r w:rsidRPr="00746CE2">
        <w:t xml:space="preserve">The </w:t>
      </w:r>
      <w:proofErr w:type="gramStart"/>
      <w:r w:rsidRPr="00746CE2">
        <w:t>City</w:t>
      </w:r>
      <w:proofErr w:type="gramEnd"/>
      <w:r w:rsidRPr="00746CE2">
        <w:t xml:space="preserve"> was not required to reassign Wheeling's fire inspection and prevention responsibilities to other employees</w:t>
      </w:r>
      <w:r>
        <w:t xml:space="preserve">…. </w:t>
      </w:r>
      <w:r w:rsidRPr="00746CE2">
        <w:t xml:space="preserve">Therefore, based on the record, Wheeling's request to have other employees help with </w:t>
      </w:r>
      <w:r>
        <w:t>‘</w:t>
      </w:r>
      <w:r w:rsidRPr="00746CE2">
        <w:t xml:space="preserve">fire </w:t>
      </w:r>
      <w:proofErr w:type="gramStart"/>
      <w:r w:rsidRPr="00746CE2">
        <w:t>inspections</w:t>
      </w:r>
      <w:r>
        <w:t>’</w:t>
      </w:r>
      <w:r w:rsidRPr="00746CE2">
        <w:t xml:space="preserve"> and </w:t>
      </w:r>
      <w:r>
        <w:t>‘</w:t>
      </w:r>
      <w:proofErr w:type="gramEnd"/>
      <w:r w:rsidRPr="00746CE2">
        <w:t>fire prevention</w:t>
      </w:r>
      <w:r>
        <w:t>’</w:t>
      </w:r>
      <w:r w:rsidRPr="00746CE2">
        <w:t xml:space="preserve"> seeks </w:t>
      </w:r>
      <w:proofErr w:type="gramStart"/>
      <w:r w:rsidRPr="00746CE2">
        <w:t>an accommodation</w:t>
      </w:r>
      <w:proofErr w:type="gramEnd"/>
      <w:r w:rsidRPr="00746CE2">
        <w:t xml:space="preserve"> relating to the most fundamental aspects of the job. On this evidence, no reasonable jury could conclude that Wheeling's accommodation request would not eliminate or reallocate the most essential functions of his job</w:t>
      </w:r>
      <w:r>
        <w:t xml:space="preserve">…. </w:t>
      </w:r>
      <w:r w:rsidRPr="00746CE2">
        <w:t xml:space="preserve">Because Wheeling failed to provide a reasonable accommodation request, his failure to accommodate claim fails as a matter of </w:t>
      </w:r>
      <w:proofErr w:type="gramStart"/>
      <w:r w:rsidRPr="00746CE2">
        <w:t>law.</w:t>
      </w:r>
      <w:r>
        <w:t>”</w:t>
      </w:r>
      <w:proofErr w:type="gramEnd"/>
    </w:p>
    <w:p w14:paraId="1C834A7E" w14:textId="77777777" w:rsidR="00A0752D" w:rsidRDefault="00A0752D" w:rsidP="00A0752D">
      <w:pPr>
        <w:pStyle w:val="NoSpacing"/>
        <w:ind w:left="720"/>
      </w:pPr>
    </w:p>
    <w:p w14:paraId="73CD82C9" w14:textId="77777777" w:rsidR="00A0752D" w:rsidRDefault="00A0752D" w:rsidP="00A0752D">
      <w:pPr>
        <w:pStyle w:val="NoSpacing"/>
        <w:rPr>
          <w:b/>
          <w:bCs/>
        </w:rPr>
      </w:pPr>
      <w:r>
        <w:rPr>
          <w:b/>
        </w:rPr>
        <w:t xml:space="preserve">Legal lesson learned: The ADA does not require an employer to allow use of proscribed marijuana for an emergency responder. </w:t>
      </w:r>
    </w:p>
    <w:p w14:paraId="2E1F5002" w14:textId="77777777" w:rsidR="00A0752D" w:rsidRDefault="00A0752D" w:rsidP="00A0752D">
      <w:pPr>
        <w:pStyle w:val="NoSpacing"/>
        <w:rPr>
          <w:b/>
          <w:bCs/>
        </w:rPr>
      </w:pPr>
    </w:p>
    <w:p w14:paraId="024D214A" w14:textId="77777777" w:rsidR="00A0752D" w:rsidRPr="00CC791A" w:rsidRDefault="00A0752D" w:rsidP="00A0752D">
      <w:pPr>
        <w:pStyle w:val="NoSpacing"/>
        <w:ind w:left="720"/>
      </w:pPr>
      <w:r w:rsidRPr="00CC791A">
        <w:t>Note: Good news. The Court wrote that “Wheeling is currently employed at the Clark County Fire Department, which is also where he began his career as a firefighter in 2008.”</w:t>
      </w:r>
    </w:p>
    <w:p w14:paraId="6402CF13" w14:textId="77777777" w:rsidR="00A0752D" w:rsidRDefault="00A0752D" w:rsidP="00A0752D">
      <w:pPr>
        <w:pStyle w:val="NoSpacing"/>
        <w:rPr>
          <w:rFonts w:ascii="Arial Black" w:hAnsi="Arial Black"/>
          <w:sz w:val="24"/>
          <w:szCs w:val="24"/>
        </w:rPr>
      </w:pPr>
    </w:p>
    <w:p w14:paraId="1CA6E299" w14:textId="77777777" w:rsidR="008C3834" w:rsidRPr="00225ABE" w:rsidRDefault="008C3834" w:rsidP="008C3834">
      <w:pPr>
        <w:rPr>
          <w:bCs/>
        </w:rPr>
      </w:pPr>
    </w:p>
    <w:p w14:paraId="494FD1D6" w14:textId="77777777" w:rsidR="008C3834" w:rsidRDefault="008C3834" w:rsidP="008C3834">
      <w:pPr>
        <w:rPr>
          <w:bCs/>
        </w:rPr>
      </w:pPr>
    </w:p>
    <w:p w14:paraId="782AFD0C" w14:textId="77777777" w:rsidR="008C3834" w:rsidRDefault="008C3834" w:rsidP="00B35478">
      <w:pPr>
        <w:pStyle w:val="NoSpacing"/>
        <w:rPr>
          <w:rFonts w:ascii="Arial Black" w:hAnsi="Arial Black"/>
          <w:sz w:val="28"/>
          <w:szCs w:val="28"/>
        </w:rPr>
      </w:pPr>
    </w:p>
    <w:p w14:paraId="7C9338C7" w14:textId="77777777" w:rsidR="008C3834" w:rsidRDefault="008C3834" w:rsidP="00B35478">
      <w:pPr>
        <w:pStyle w:val="NoSpacing"/>
        <w:rPr>
          <w:rFonts w:ascii="Arial Black" w:hAnsi="Arial Black"/>
          <w:sz w:val="28"/>
          <w:szCs w:val="28"/>
        </w:rPr>
      </w:pPr>
    </w:p>
    <w:p w14:paraId="4F5A2076" w14:textId="68C9BE84" w:rsidR="00B35478" w:rsidRDefault="00A0752D" w:rsidP="00B35478">
      <w:pPr>
        <w:pStyle w:val="NoSpacing"/>
        <w:rPr>
          <w:rFonts w:ascii="Arial Black" w:hAnsi="Arial Black"/>
          <w:sz w:val="28"/>
          <w:szCs w:val="28"/>
        </w:rPr>
      </w:pPr>
      <w:r>
        <w:rPr>
          <w:rFonts w:ascii="Arial Black" w:hAnsi="Arial Black"/>
          <w:sz w:val="28"/>
          <w:szCs w:val="28"/>
        </w:rPr>
        <w:t>9</w:t>
      </w:r>
      <w:r w:rsidR="00B35478">
        <w:rPr>
          <w:rFonts w:ascii="Arial Black" w:hAnsi="Arial Black"/>
          <w:sz w:val="28"/>
          <w:szCs w:val="28"/>
        </w:rPr>
        <w:t>-</w:t>
      </w:r>
      <w:r w:rsidR="00535EBD">
        <w:rPr>
          <w:rFonts w:ascii="Arial Black" w:hAnsi="Arial Black"/>
          <w:sz w:val="28"/>
          <w:szCs w:val="28"/>
        </w:rPr>
        <w:t>65</w:t>
      </w:r>
      <w:r w:rsidR="00B35478">
        <w:rPr>
          <w:rFonts w:ascii="Arial Black" w:hAnsi="Arial Black"/>
          <w:sz w:val="28"/>
          <w:szCs w:val="28"/>
        </w:rPr>
        <w:t xml:space="preserve"> [also filed, Chap. 14, Physical Fitness]</w:t>
      </w:r>
    </w:p>
    <w:p w14:paraId="4F9C2A0E" w14:textId="77777777" w:rsidR="00B35478" w:rsidRDefault="00B35478" w:rsidP="00B35478">
      <w:pPr>
        <w:pStyle w:val="NoSpacing"/>
        <w:rPr>
          <w:rFonts w:ascii="Arial Black" w:hAnsi="Arial Black"/>
          <w:sz w:val="28"/>
          <w:szCs w:val="28"/>
        </w:rPr>
      </w:pPr>
    </w:p>
    <w:p w14:paraId="35063719" w14:textId="77777777" w:rsidR="00B35478" w:rsidRDefault="00B35478" w:rsidP="00B35478">
      <w:pPr>
        <w:pStyle w:val="NoSpacing"/>
        <w:rPr>
          <w:rFonts w:ascii="Arial Black" w:hAnsi="Arial Black"/>
          <w:bCs/>
          <w:sz w:val="28"/>
          <w:szCs w:val="28"/>
        </w:rPr>
      </w:pPr>
      <w:r>
        <w:rPr>
          <w:rFonts w:ascii="Arial Black" w:hAnsi="Arial Black"/>
          <w:sz w:val="28"/>
          <w:szCs w:val="28"/>
        </w:rPr>
        <w:t>MD: DEPRESSION – SLOWER STATION – CASE PROCEED</w:t>
      </w:r>
    </w:p>
    <w:p w14:paraId="4A7C9605" w14:textId="77777777" w:rsidR="00B35478" w:rsidRDefault="00B35478" w:rsidP="00B35478">
      <w:pPr>
        <w:pStyle w:val="NoSpacing"/>
        <w:rPr>
          <w:rFonts w:ascii="Arial Black" w:hAnsi="Arial Black"/>
          <w:bCs/>
          <w:sz w:val="28"/>
          <w:szCs w:val="28"/>
        </w:rPr>
      </w:pPr>
    </w:p>
    <w:p w14:paraId="289412C9" w14:textId="77777777" w:rsidR="00B35478" w:rsidRDefault="00B35478" w:rsidP="00B35478">
      <w:pPr>
        <w:pStyle w:val="NoSpacing"/>
      </w:pPr>
      <w:r>
        <w:t xml:space="preserve">On April 28, 2025, in </w:t>
      </w:r>
      <w:r w:rsidRPr="00636B1D">
        <w:rPr>
          <w:u w:val="single"/>
        </w:rPr>
        <w:t xml:space="preserve">Mark R. Levy v. Howard County, Maryland and Howard County Fire </w:t>
      </w:r>
      <w:proofErr w:type="gramStart"/>
      <w:r w:rsidRPr="00636B1D">
        <w:rPr>
          <w:u w:val="single"/>
        </w:rPr>
        <w:t>And</w:t>
      </w:r>
      <w:proofErr w:type="gramEnd"/>
      <w:r w:rsidRPr="00636B1D">
        <w:rPr>
          <w:u w:val="single"/>
        </w:rPr>
        <w:t xml:space="preserve"> Rescue,</w:t>
      </w:r>
      <w:r>
        <w:t xml:space="preserve"> U.S. Senior District Court Judge </w:t>
      </w:r>
      <w:r w:rsidRPr="000725BC">
        <w:t>Richard D. Bennett</w:t>
      </w:r>
      <w:r>
        <w:t xml:space="preserve">, United States District Court for the District of Maryland, denied plaintiff’s motion for pre-trial </w:t>
      </w:r>
      <w:r w:rsidRPr="00467BB4">
        <w:t>declaratory</w:t>
      </w:r>
      <w:r>
        <w:t xml:space="preserve"> judgement; case will proceed with pre-trial discovery. The firefighter / paramedic has </w:t>
      </w:r>
      <w:r w:rsidRPr="004765D7">
        <w:t>been diagnosed with anxiety and depression since 2002</w:t>
      </w:r>
      <w:r>
        <w:t>; the case will proceed with pre-trial discovery.  The Court wrote: “</w:t>
      </w:r>
      <w:r w:rsidRPr="00832DBD">
        <w:t>To be clear, it is Levy's burden in this case of proving that he is a qualified individual with a disability and that, with a reasonable accommodation, he would be able to properly do the job of a Fire Fighter/Paramedic at Station 3.</w:t>
      </w:r>
      <w:r>
        <w:t xml:space="preserve">”  </w:t>
      </w:r>
      <w:hyperlink r:id="rId1653" w:history="1">
        <w:r w:rsidRPr="003A1948">
          <w:rPr>
            <w:rStyle w:val="Hyperlink"/>
          </w:rPr>
          <w:t>https://cases.justia.com/federal/district-courts/maryland/mddce/1:2024cv03580/573207/56/0.pdf?ts=1777474810</w:t>
        </w:r>
      </w:hyperlink>
      <w:r>
        <w:t xml:space="preserve"> </w:t>
      </w:r>
    </w:p>
    <w:p w14:paraId="53A1821C" w14:textId="77777777" w:rsidR="00B35478" w:rsidRDefault="00B35478" w:rsidP="00B35478">
      <w:pPr>
        <w:pStyle w:val="NoSpacing"/>
      </w:pPr>
    </w:p>
    <w:p w14:paraId="760944E2" w14:textId="77777777" w:rsidR="00B35478" w:rsidRDefault="00B35478" w:rsidP="00B35478">
      <w:pPr>
        <w:pStyle w:val="NoSpacing"/>
      </w:pPr>
      <w:r>
        <w:t xml:space="preserve">THE COURT HELD: </w:t>
      </w:r>
    </w:p>
    <w:p w14:paraId="5CA494B3" w14:textId="77777777" w:rsidR="00B35478" w:rsidRDefault="00B35478" w:rsidP="00B35478">
      <w:pPr>
        <w:pStyle w:val="NoSpacing"/>
      </w:pPr>
    </w:p>
    <w:p w14:paraId="30E987F2" w14:textId="77777777" w:rsidR="00B35478" w:rsidRDefault="00B35478" w:rsidP="00B35478">
      <w:pPr>
        <w:pStyle w:val="NoSpacing"/>
        <w:ind w:left="720"/>
      </w:pPr>
      <w:r>
        <w:lastRenderedPageBreak/>
        <w:t>“</w:t>
      </w:r>
      <w:r w:rsidRPr="004765D7">
        <w:t>Plaintiff Mark R. Levy has been employed as a Fire Fighter/Paramedic with Defendant Howard County Department of Fire and Rescue Services since October 31, 2016</w:t>
      </w:r>
      <w:r>
        <w:t xml:space="preserve">…. </w:t>
      </w:r>
      <w:r w:rsidRPr="004765D7">
        <w:t>Levy alleges that he has been diagnosed with anxiety and depression since 2002</w:t>
      </w:r>
      <w:r>
        <w:t xml:space="preserve">…. </w:t>
      </w:r>
      <w:r w:rsidRPr="004765D7">
        <w:t>As of December 8, 2025, the date Levy filed his First Amended Complaint in this Court, he was assigned to B Shift at Station 3, which is within Battalion 3 of the Howard County Department of Fire and Rescue Services</w:t>
      </w:r>
      <w:r>
        <w:t xml:space="preserve">…. </w:t>
      </w:r>
      <w:r w:rsidRPr="0026656C">
        <w:t>Station 3 is located at 12535 Old Frederick Road in Sykesville, Maryland</w:t>
      </w:r>
      <w:r>
        <w:t xml:space="preserve">…. </w:t>
      </w:r>
      <w:r w:rsidRPr="004765D7">
        <w:t>He asserts that Station 3 has a lower call volume in comparison to other stations within the battalion</w:t>
      </w:r>
      <w:r>
        <w:t xml:space="preserve">…. </w:t>
      </w:r>
      <w:r w:rsidRPr="004765D7">
        <w:t xml:space="preserve">He claims that this lower call volume is the optimal assignment for him to be able to manage his mental health. </w:t>
      </w:r>
    </w:p>
    <w:p w14:paraId="0A111E7E" w14:textId="77777777" w:rsidR="00B35478" w:rsidRDefault="00B35478" w:rsidP="00B35478">
      <w:pPr>
        <w:pStyle w:val="NoSpacing"/>
        <w:ind w:left="720"/>
      </w:pPr>
    </w:p>
    <w:p w14:paraId="4DCB7781" w14:textId="77777777" w:rsidR="00B35478" w:rsidRDefault="00B35478" w:rsidP="00B35478">
      <w:pPr>
        <w:pStyle w:val="NoSpacing"/>
        <w:ind w:left="720"/>
      </w:pPr>
      <w:r>
        <w:t>***</w:t>
      </w:r>
    </w:p>
    <w:p w14:paraId="11B45E64" w14:textId="77777777" w:rsidR="00B35478" w:rsidRDefault="00B35478" w:rsidP="00B35478">
      <w:pPr>
        <w:pStyle w:val="NoSpacing"/>
        <w:ind w:left="720"/>
      </w:pPr>
      <w:r w:rsidRPr="00A26479">
        <w:t>Levy alleges that, on multiple different occasions in 2022, he was reassigned from Station 3 to other stations within Battalion 3</w:t>
      </w:r>
      <w:r>
        <w:t xml:space="preserve">…. </w:t>
      </w:r>
      <w:r w:rsidRPr="00A26479">
        <w:t>Each time, the Department apparently denied his requests to remain at Station 3</w:t>
      </w:r>
      <w:r>
        <w:t xml:space="preserve">…. </w:t>
      </w:r>
      <w:r w:rsidRPr="00A26479">
        <w:t>Levy claims that the Department determined, without engaging in any interactive process, that he did not need a reasonable accommodation</w:t>
      </w:r>
      <w:r>
        <w:t>….</w:t>
      </w:r>
      <w:r w:rsidRPr="00A26479">
        <w:t xml:space="preserve"> Ultimately, after multiple reassignments, Levy was placed at Station 3 under a Temporary Hardship Request</w:t>
      </w:r>
      <w:r>
        <w:t xml:space="preserve">…. </w:t>
      </w:r>
      <w:r w:rsidRPr="00A26479">
        <w:t xml:space="preserve">He contends that the Temporary Hardship Request was </w:t>
      </w:r>
      <w:r>
        <w:t>‘</w:t>
      </w:r>
      <w:r w:rsidRPr="00A26479">
        <w:t>wholly improper and simply an attempt by Defendants to circumvent</w:t>
      </w:r>
      <w:r>
        <w:t xml:space="preserve">’ </w:t>
      </w:r>
      <w:r w:rsidRPr="00A26479">
        <w:t xml:space="preserve"> the ADA's accommodation obligations</w:t>
      </w:r>
      <w:r>
        <w:t xml:space="preserve">…. </w:t>
      </w:r>
      <w:r w:rsidRPr="00A26479">
        <w:t>From the face of the First Amended Complaint, Levy continues to work as a Fire Fighter/Paramedic for the Department.</w:t>
      </w:r>
    </w:p>
    <w:p w14:paraId="4F95E397" w14:textId="77777777" w:rsidR="00B35478" w:rsidRDefault="00B35478" w:rsidP="00B35478">
      <w:pPr>
        <w:pStyle w:val="NoSpacing"/>
        <w:ind w:left="720"/>
      </w:pPr>
    </w:p>
    <w:p w14:paraId="4448F9B6" w14:textId="77777777" w:rsidR="00B35478" w:rsidRDefault="00B35478" w:rsidP="00B35478">
      <w:pPr>
        <w:pStyle w:val="NoSpacing"/>
        <w:ind w:left="720"/>
      </w:pPr>
      <w:r>
        <w:t>***</w:t>
      </w:r>
    </w:p>
    <w:p w14:paraId="3EA09D80" w14:textId="77777777" w:rsidR="00B35478" w:rsidRDefault="00B35478" w:rsidP="00B35478">
      <w:pPr>
        <w:pStyle w:val="NoSpacing"/>
        <w:ind w:left="720"/>
      </w:pPr>
      <w:r w:rsidRPr="00BA13D8">
        <w:t xml:space="preserve">As noted above, Levy seeks declarations in Count Four that (1) he is a qualified individual with a disability; (2) that he can perform the essential functions of his job with a reasonable accommodation; (3) that Defendants have an obligation to engage in the ADA's interactive process with him and explore reasonable alternatives; and (4) that Defendants have an obligation to grant him a reasonable accommodation. </w:t>
      </w:r>
    </w:p>
    <w:p w14:paraId="32C6FDEF" w14:textId="77777777" w:rsidR="00B35478" w:rsidRDefault="00B35478" w:rsidP="00B35478">
      <w:pPr>
        <w:pStyle w:val="NoSpacing"/>
        <w:ind w:left="720"/>
      </w:pPr>
    </w:p>
    <w:p w14:paraId="170889C7" w14:textId="77777777" w:rsidR="00B35478" w:rsidRDefault="00B35478" w:rsidP="00B35478">
      <w:pPr>
        <w:pStyle w:val="NoSpacing"/>
        <w:ind w:left="720"/>
      </w:pPr>
      <w:r>
        <w:t>***</w:t>
      </w:r>
    </w:p>
    <w:p w14:paraId="3D9A4380" w14:textId="77777777" w:rsidR="00B35478" w:rsidRDefault="00B35478" w:rsidP="00B35478">
      <w:pPr>
        <w:pStyle w:val="NoSpacing"/>
        <w:ind w:left="720"/>
      </w:pPr>
      <w:r w:rsidRPr="004A2357">
        <w:t xml:space="preserve">Again, it is Levy's burden to prove that he was entitled to the ADA's interactive process and, ultimately, </w:t>
      </w:r>
      <w:proofErr w:type="gramStart"/>
      <w:r w:rsidRPr="004A2357">
        <w:t>a reasonable</w:t>
      </w:r>
      <w:proofErr w:type="gramEnd"/>
      <w:r w:rsidRPr="004A2357">
        <w:t xml:space="preserve"> accommodation.</w:t>
      </w:r>
      <w:r>
        <w:rPr>
          <w:vertAlign w:val="superscript"/>
        </w:rPr>
        <w:t xml:space="preserve"> </w:t>
      </w:r>
      <w:r w:rsidRPr="004A2357">
        <w:t xml:space="preserve"> In sum, the four declarations that Levy requests in Count Four render that claim duplicative of Count One.</w:t>
      </w:r>
      <w:r>
        <w:t>”</w:t>
      </w:r>
    </w:p>
    <w:p w14:paraId="621C65C8" w14:textId="77777777" w:rsidR="00B35478" w:rsidRDefault="00B35478" w:rsidP="00B35478">
      <w:pPr>
        <w:pStyle w:val="NoSpacing"/>
        <w:ind w:left="720"/>
      </w:pPr>
    </w:p>
    <w:p w14:paraId="76799327" w14:textId="77777777" w:rsidR="00B35478" w:rsidRPr="004A2357" w:rsidRDefault="00B35478" w:rsidP="00B35478">
      <w:pPr>
        <w:rPr>
          <w:b/>
          <w:bCs/>
        </w:rPr>
      </w:pPr>
      <w:r>
        <w:rPr>
          <w:b/>
        </w:rPr>
        <w:t>Legal lesson learned: The firefighter has burden of proof in this ADA case; permanent assignment to a slower station is a unique request for “reasonable accommodation.”</w:t>
      </w:r>
    </w:p>
    <w:p w14:paraId="426799F4" w14:textId="77777777" w:rsidR="008C7243" w:rsidRDefault="008C7243" w:rsidP="00BC4752">
      <w:pPr>
        <w:pStyle w:val="NoSpacing"/>
        <w:rPr>
          <w:rFonts w:ascii="Arial Black" w:hAnsi="Arial Black"/>
          <w:sz w:val="24"/>
          <w:szCs w:val="24"/>
        </w:rPr>
      </w:pPr>
    </w:p>
    <w:p w14:paraId="160CDB06" w14:textId="77777777" w:rsidR="008C7243" w:rsidRDefault="008C7243" w:rsidP="00BC4752">
      <w:pPr>
        <w:pStyle w:val="NoSpacing"/>
        <w:rPr>
          <w:rFonts w:ascii="Arial Black" w:hAnsi="Arial Black"/>
          <w:sz w:val="24"/>
          <w:szCs w:val="24"/>
        </w:rPr>
      </w:pPr>
    </w:p>
    <w:p w14:paraId="2A4AFBE6" w14:textId="77777777" w:rsidR="008C7243" w:rsidRDefault="008C7243" w:rsidP="00BC4752">
      <w:pPr>
        <w:pStyle w:val="NoSpacing"/>
        <w:rPr>
          <w:rFonts w:ascii="Arial Black" w:hAnsi="Arial Black"/>
          <w:sz w:val="24"/>
          <w:szCs w:val="24"/>
        </w:rPr>
      </w:pPr>
    </w:p>
    <w:p w14:paraId="4A87BA82" w14:textId="063B4176" w:rsidR="00BC4752" w:rsidRDefault="001A57F9" w:rsidP="00BC4752">
      <w:pPr>
        <w:pStyle w:val="NoSpacing"/>
        <w:rPr>
          <w:rFonts w:ascii="Arial Black" w:hAnsi="Arial Black"/>
          <w:sz w:val="24"/>
          <w:szCs w:val="24"/>
        </w:rPr>
      </w:pPr>
      <w:r>
        <w:rPr>
          <w:rFonts w:ascii="Arial Black" w:hAnsi="Arial Black"/>
          <w:sz w:val="24"/>
          <w:szCs w:val="24"/>
        </w:rPr>
        <w:t xml:space="preserve">9-64 </w:t>
      </w:r>
      <w:r w:rsidR="00BC4752">
        <w:rPr>
          <w:rFonts w:ascii="Arial Black" w:hAnsi="Arial Black"/>
          <w:sz w:val="24"/>
          <w:szCs w:val="24"/>
        </w:rPr>
        <w:t xml:space="preserve">[also filed, Chap. </w:t>
      </w:r>
      <w:r w:rsidR="008A677D">
        <w:rPr>
          <w:rFonts w:ascii="Arial Black" w:hAnsi="Arial Black"/>
          <w:sz w:val="24"/>
          <w:szCs w:val="24"/>
        </w:rPr>
        <w:t>15</w:t>
      </w:r>
      <w:r w:rsidR="00BC4752">
        <w:rPr>
          <w:rFonts w:ascii="Arial Black" w:hAnsi="Arial Black"/>
          <w:sz w:val="24"/>
          <w:szCs w:val="24"/>
        </w:rPr>
        <w:t xml:space="preserve"> – </w:t>
      </w:r>
      <w:r w:rsidR="008A677D">
        <w:rPr>
          <w:rFonts w:ascii="Arial Black" w:hAnsi="Arial Black"/>
          <w:sz w:val="24"/>
          <w:szCs w:val="24"/>
        </w:rPr>
        <w:t>Mental Health</w:t>
      </w:r>
      <w:r w:rsidR="00BC4752">
        <w:rPr>
          <w:rFonts w:ascii="Arial Black" w:hAnsi="Arial Black"/>
          <w:sz w:val="24"/>
          <w:szCs w:val="24"/>
        </w:rPr>
        <w:t>]</w:t>
      </w:r>
    </w:p>
    <w:p w14:paraId="540AEF75" w14:textId="77777777" w:rsidR="00BC4752" w:rsidRDefault="00BC4752" w:rsidP="00BC4752">
      <w:pPr>
        <w:pStyle w:val="NoSpacing"/>
        <w:rPr>
          <w:rFonts w:ascii="Arial Black" w:hAnsi="Arial Black"/>
          <w:sz w:val="28"/>
          <w:szCs w:val="28"/>
        </w:rPr>
      </w:pPr>
    </w:p>
    <w:p w14:paraId="42913A5D" w14:textId="77777777" w:rsidR="00BC4752" w:rsidRDefault="00BC4752" w:rsidP="00BC4752">
      <w:pPr>
        <w:pStyle w:val="NoSpacing"/>
        <w:rPr>
          <w:rFonts w:ascii="Arial Black" w:hAnsi="Arial Black"/>
          <w:bCs/>
          <w:sz w:val="28"/>
          <w:szCs w:val="28"/>
        </w:rPr>
      </w:pPr>
      <w:r>
        <w:rPr>
          <w:rFonts w:ascii="Arial Black" w:hAnsi="Arial Black"/>
          <w:sz w:val="28"/>
          <w:szCs w:val="28"/>
        </w:rPr>
        <w:t>MD: DEPRESSION – SLOWER STATION – CASE PROCEED</w:t>
      </w:r>
    </w:p>
    <w:p w14:paraId="5878D9F9" w14:textId="77777777" w:rsidR="00BC4752" w:rsidRDefault="00BC4752" w:rsidP="00BC4752">
      <w:pPr>
        <w:pStyle w:val="NoSpacing"/>
        <w:rPr>
          <w:rFonts w:ascii="Arial Black" w:hAnsi="Arial Black"/>
          <w:bCs/>
          <w:sz w:val="28"/>
          <w:szCs w:val="28"/>
        </w:rPr>
      </w:pPr>
    </w:p>
    <w:p w14:paraId="2F4F1DA5" w14:textId="77777777" w:rsidR="00BC4752" w:rsidRDefault="00BC4752" w:rsidP="00BC4752">
      <w:pPr>
        <w:pStyle w:val="NoSpacing"/>
      </w:pPr>
      <w:r>
        <w:t xml:space="preserve">On April 28, 2025, in </w:t>
      </w:r>
      <w:r w:rsidRPr="00636B1D">
        <w:rPr>
          <w:u w:val="single"/>
        </w:rPr>
        <w:t xml:space="preserve">Mark R. Levy v. Howard County, Maryland and Howard County Fire </w:t>
      </w:r>
      <w:proofErr w:type="gramStart"/>
      <w:r w:rsidRPr="00636B1D">
        <w:rPr>
          <w:u w:val="single"/>
        </w:rPr>
        <w:t>And</w:t>
      </w:r>
      <w:proofErr w:type="gramEnd"/>
      <w:r w:rsidRPr="00636B1D">
        <w:rPr>
          <w:u w:val="single"/>
        </w:rPr>
        <w:t xml:space="preserve"> Rescue,</w:t>
      </w:r>
      <w:r>
        <w:t xml:space="preserve"> U.S. Senior District Court Judge </w:t>
      </w:r>
      <w:r w:rsidRPr="000725BC">
        <w:t>Richard D. Bennett</w:t>
      </w:r>
      <w:r>
        <w:t xml:space="preserve">, United States District Court for the District of Maryland, denied plaintiff’s motion for pre-trial </w:t>
      </w:r>
      <w:r w:rsidRPr="00467BB4">
        <w:t>declaratory</w:t>
      </w:r>
      <w:r>
        <w:t xml:space="preserve"> judgement; case will proceed with pre-trial discovery. The firefighter / paramedic has </w:t>
      </w:r>
      <w:r w:rsidRPr="004765D7">
        <w:t>been diagnosed with anxiety and depression since 2002</w:t>
      </w:r>
      <w:r>
        <w:t>; the case will proceed with pre-trial discovery.  The Court wrote: “</w:t>
      </w:r>
      <w:r w:rsidRPr="00832DBD">
        <w:t>To be clear, it is Levy's burden in this case of proving that he is a qualified individual with a disability and that, with a reasonable accommodation, he would be able to properly do the job of a Fire Fighter/Paramedic at Station 3.</w:t>
      </w:r>
      <w:r>
        <w:t xml:space="preserve">”  </w:t>
      </w:r>
      <w:hyperlink r:id="rId1654" w:history="1">
        <w:r w:rsidRPr="003A1948">
          <w:rPr>
            <w:rStyle w:val="Hyperlink"/>
          </w:rPr>
          <w:t>https://cases.justia.com/federal/district-courts/maryland/mddce/1:2024cv03580/573207/56/0.pdf?ts=1777474810</w:t>
        </w:r>
      </w:hyperlink>
      <w:r>
        <w:t xml:space="preserve"> </w:t>
      </w:r>
    </w:p>
    <w:p w14:paraId="093103E8" w14:textId="77777777" w:rsidR="00BC4752" w:rsidRDefault="00BC4752" w:rsidP="00BC4752">
      <w:pPr>
        <w:pStyle w:val="NoSpacing"/>
      </w:pPr>
    </w:p>
    <w:p w14:paraId="386FA144" w14:textId="77777777" w:rsidR="00BC4752" w:rsidRDefault="00BC4752" w:rsidP="00BC4752">
      <w:pPr>
        <w:pStyle w:val="NoSpacing"/>
      </w:pPr>
      <w:r>
        <w:t xml:space="preserve">THE COURT HELD: </w:t>
      </w:r>
    </w:p>
    <w:p w14:paraId="2D8A7A35" w14:textId="77777777" w:rsidR="00BC4752" w:rsidRDefault="00BC4752" w:rsidP="00BC4752">
      <w:pPr>
        <w:pStyle w:val="NoSpacing"/>
      </w:pPr>
    </w:p>
    <w:p w14:paraId="347F0830" w14:textId="77777777" w:rsidR="00BC4752" w:rsidRDefault="00BC4752" w:rsidP="00BC4752">
      <w:pPr>
        <w:pStyle w:val="NoSpacing"/>
        <w:ind w:left="720"/>
      </w:pPr>
      <w:r>
        <w:t>“</w:t>
      </w:r>
      <w:r w:rsidRPr="004765D7">
        <w:t>Plaintiff Mark R. Levy has been employed as a Fire Fighter/Paramedic with Defendant Howard County Department of Fire and Rescue Services since October 31, 2016</w:t>
      </w:r>
      <w:r>
        <w:t xml:space="preserve">…. </w:t>
      </w:r>
      <w:r w:rsidRPr="004765D7">
        <w:t>Levy alleges that he has been diagnosed with anxiety and depression since 2002</w:t>
      </w:r>
      <w:r>
        <w:t xml:space="preserve">…. </w:t>
      </w:r>
      <w:r w:rsidRPr="004765D7">
        <w:t xml:space="preserve">As of December 8, 2025, the date Levy filed his First Amended Complaint in </w:t>
      </w:r>
      <w:r w:rsidRPr="004765D7">
        <w:lastRenderedPageBreak/>
        <w:t>this Court, he was assigned to B Shift at Station 3, which is within Battalion 3 of the Howard County Department of Fire and Rescue Services</w:t>
      </w:r>
      <w:r>
        <w:t xml:space="preserve">…. </w:t>
      </w:r>
      <w:r w:rsidRPr="0026656C">
        <w:t>Station 3 is located at 12535 Old Frederick Road in Sykesville, Maryland</w:t>
      </w:r>
      <w:r>
        <w:t xml:space="preserve">…. </w:t>
      </w:r>
      <w:r w:rsidRPr="004765D7">
        <w:t>He asserts that Station 3 has a lower call volume in comparison to other stations within the battalion</w:t>
      </w:r>
      <w:r>
        <w:t xml:space="preserve">…. </w:t>
      </w:r>
      <w:r w:rsidRPr="004765D7">
        <w:t xml:space="preserve">He claims that this lower call volume is the optimal assignment for him to be able to manage his mental health. </w:t>
      </w:r>
    </w:p>
    <w:p w14:paraId="0869F77A" w14:textId="77777777" w:rsidR="00BC4752" w:rsidRDefault="00BC4752" w:rsidP="00BC4752">
      <w:pPr>
        <w:pStyle w:val="NoSpacing"/>
        <w:ind w:left="720"/>
      </w:pPr>
    </w:p>
    <w:p w14:paraId="6447B538" w14:textId="77777777" w:rsidR="00BC4752" w:rsidRDefault="00BC4752" w:rsidP="00BC4752">
      <w:pPr>
        <w:pStyle w:val="NoSpacing"/>
        <w:ind w:left="720"/>
      </w:pPr>
      <w:r>
        <w:t>***</w:t>
      </w:r>
    </w:p>
    <w:p w14:paraId="2E002480" w14:textId="77777777" w:rsidR="00BC4752" w:rsidRDefault="00BC4752" w:rsidP="00BC4752">
      <w:pPr>
        <w:pStyle w:val="NoSpacing"/>
        <w:ind w:left="720"/>
      </w:pPr>
      <w:r w:rsidRPr="00A26479">
        <w:t>Levy alleges that, on multiple different occasions in 2022, he was reassigned from Station 3 to other stations within Battalion 3</w:t>
      </w:r>
      <w:r>
        <w:t xml:space="preserve">…. </w:t>
      </w:r>
      <w:r w:rsidRPr="00A26479">
        <w:t>Each time, the Department apparently denied his requests to remain at Station 3</w:t>
      </w:r>
      <w:r>
        <w:t xml:space="preserve">…. </w:t>
      </w:r>
      <w:r w:rsidRPr="00A26479">
        <w:t>Levy claims that the Department determined, without engaging in any interactive process, that he did not need a reasonable accommodation</w:t>
      </w:r>
      <w:r>
        <w:t>….</w:t>
      </w:r>
      <w:r w:rsidRPr="00A26479">
        <w:t xml:space="preserve"> Ultimately, after multiple reassignments, Levy was placed at Station 3 under a Temporary Hardship Request</w:t>
      </w:r>
      <w:r>
        <w:t xml:space="preserve">…. </w:t>
      </w:r>
      <w:r w:rsidRPr="00A26479">
        <w:t xml:space="preserve">He contends that the Temporary Hardship Request was </w:t>
      </w:r>
      <w:r>
        <w:t>‘</w:t>
      </w:r>
      <w:r w:rsidRPr="00A26479">
        <w:t>wholly improper and simply an attempt by Defendants to circumvent</w:t>
      </w:r>
      <w:r>
        <w:t xml:space="preserve">’ </w:t>
      </w:r>
      <w:r w:rsidRPr="00A26479">
        <w:t xml:space="preserve"> the ADA's accommodation obligations</w:t>
      </w:r>
      <w:r>
        <w:t xml:space="preserve">…. </w:t>
      </w:r>
      <w:r w:rsidRPr="00A26479">
        <w:t>From the face of the First Amended Complaint, Levy continues to work as a Fire Fighter/Paramedic for the Department.</w:t>
      </w:r>
    </w:p>
    <w:p w14:paraId="5684FF57" w14:textId="77777777" w:rsidR="00BC4752" w:rsidRDefault="00BC4752" w:rsidP="00BC4752">
      <w:pPr>
        <w:pStyle w:val="NoSpacing"/>
        <w:ind w:left="720"/>
      </w:pPr>
    </w:p>
    <w:p w14:paraId="47449954" w14:textId="77777777" w:rsidR="00BC4752" w:rsidRDefault="00BC4752" w:rsidP="00BC4752">
      <w:pPr>
        <w:pStyle w:val="NoSpacing"/>
        <w:ind w:left="720"/>
      </w:pPr>
      <w:r>
        <w:t>***</w:t>
      </w:r>
    </w:p>
    <w:p w14:paraId="2DBAF47F" w14:textId="77777777" w:rsidR="00BC4752" w:rsidRDefault="00BC4752" w:rsidP="00BC4752">
      <w:pPr>
        <w:pStyle w:val="NoSpacing"/>
        <w:ind w:left="720"/>
      </w:pPr>
      <w:r w:rsidRPr="00BA13D8">
        <w:t xml:space="preserve">As noted above, Levy seeks declarations in Count Four that (1) he is a qualified individual with a disability; (2) that he can perform the essential functions of his job with a reasonable accommodation; (3) that Defendants have an obligation to engage in the ADA's interactive process with him and explore reasonable alternatives; and (4) that Defendants have an obligation to grant him a reasonable accommodation. </w:t>
      </w:r>
    </w:p>
    <w:p w14:paraId="784282D3" w14:textId="77777777" w:rsidR="00BC4752" w:rsidRDefault="00BC4752" w:rsidP="00BC4752">
      <w:pPr>
        <w:pStyle w:val="NoSpacing"/>
        <w:ind w:left="720"/>
      </w:pPr>
    </w:p>
    <w:p w14:paraId="2AA1DEED" w14:textId="77777777" w:rsidR="00BC4752" w:rsidRDefault="00BC4752" w:rsidP="00BC4752">
      <w:pPr>
        <w:pStyle w:val="NoSpacing"/>
        <w:ind w:left="720"/>
      </w:pPr>
      <w:r>
        <w:t>***</w:t>
      </w:r>
    </w:p>
    <w:p w14:paraId="1EF1F0C2" w14:textId="77777777" w:rsidR="00BC4752" w:rsidRDefault="00BC4752" w:rsidP="00BC4752">
      <w:pPr>
        <w:pStyle w:val="NoSpacing"/>
        <w:ind w:left="720"/>
      </w:pPr>
      <w:r w:rsidRPr="004A2357">
        <w:t xml:space="preserve">Again, it is Levy's burden to prove that he was entitled to the ADA's interactive process and, ultimately, </w:t>
      </w:r>
      <w:proofErr w:type="gramStart"/>
      <w:r w:rsidRPr="004A2357">
        <w:t>a reasonable</w:t>
      </w:r>
      <w:proofErr w:type="gramEnd"/>
      <w:r w:rsidRPr="004A2357">
        <w:t xml:space="preserve"> accommodation.</w:t>
      </w:r>
      <w:r>
        <w:rPr>
          <w:vertAlign w:val="superscript"/>
        </w:rPr>
        <w:t xml:space="preserve"> </w:t>
      </w:r>
      <w:r w:rsidRPr="004A2357">
        <w:t xml:space="preserve"> In sum, the four declarations that Levy requests in Count Four render that claim duplicative of Count One.</w:t>
      </w:r>
      <w:r>
        <w:t>”</w:t>
      </w:r>
    </w:p>
    <w:p w14:paraId="42AE00F8" w14:textId="77777777" w:rsidR="00BC4752" w:rsidRDefault="00BC4752" w:rsidP="00BC4752">
      <w:pPr>
        <w:pStyle w:val="NoSpacing"/>
        <w:ind w:left="720"/>
      </w:pPr>
    </w:p>
    <w:p w14:paraId="2867F04E" w14:textId="77777777" w:rsidR="00BC4752" w:rsidRPr="004A2357" w:rsidRDefault="00BC4752" w:rsidP="00BC4752">
      <w:pPr>
        <w:rPr>
          <w:b/>
          <w:bCs/>
        </w:rPr>
      </w:pPr>
      <w:r>
        <w:rPr>
          <w:b/>
        </w:rPr>
        <w:t>Legal lesson learned: The firefighter has burden of proof in this ADA case; permanent assignment to a slower station is a unique request for “reasonable accommodation.”</w:t>
      </w:r>
    </w:p>
    <w:p w14:paraId="367A9B61" w14:textId="77777777" w:rsidR="00BC4752" w:rsidRDefault="00BC4752" w:rsidP="00BC4752">
      <w:pPr>
        <w:pStyle w:val="NoSpacing"/>
        <w:rPr>
          <w:rFonts w:ascii="Arial Black" w:hAnsi="Arial Black"/>
          <w:sz w:val="24"/>
          <w:szCs w:val="24"/>
        </w:rPr>
      </w:pPr>
    </w:p>
    <w:p w14:paraId="18A7B72D" w14:textId="77777777" w:rsidR="00BC4752" w:rsidRDefault="00BC4752" w:rsidP="00BC4752">
      <w:pPr>
        <w:pStyle w:val="NoSpacing"/>
        <w:rPr>
          <w:rFonts w:ascii="Arial Black" w:hAnsi="Arial Black"/>
          <w:b/>
          <w:sz w:val="28"/>
          <w:szCs w:val="28"/>
        </w:rPr>
      </w:pPr>
    </w:p>
    <w:p w14:paraId="752AF224" w14:textId="77777777" w:rsidR="00BC4752" w:rsidRDefault="00BC4752" w:rsidP="00BC4752">
      <w:pPr>
        <w:pStyle w:val="NoSpacing"/>
        <w:rPr>
          <w:rFonts w:ascii="Arial Black" w:hAnsi="Arial Black"/>
          <w:sz w:val="24"/>
          <w:szCs w:val="24"/>
        </w:rPr>
      </w:pPr>
    </w:p>
    <w:p w14:paraId="0B984325" w14:textId="46F7223E" w:rsidR="00BC4752" w:rsidRDefault="001A57F9" w:rsidP="00BC4752">
      <w:pPr>
        <w:pStyle w:val="NoSpacing"/>
        <w:rPr>
          <w:rFonts w:ascii="Arial Black" w:hAnsi="Arial Black"/>
          <w:sz w:val="24"/>
          <w:szCs w:val="24"/>
        </w:rPr>
      </w:pPr>
      <w:r>
        <w:rPr>
          <w:rFonts w:ascii="Arial Black" w:hAnsi="Arial Black"/>
          <w:sz w:val="24"/>
          <w:szCs w:val="24"/>
        </w:rPr>
        <w:t xml:space="preserve">9-63 </w:t>
      </w:r>
      <w:r w:rsidR="00BC4752">
        <w:rPr>
          <w:rFonts w:ascii="Arial Black" w:hAnsi="Arial Black"/>
          <w:sz w:val="24"/>
          <w:szCs w:val="24"/>
        </w:rPr>
        <w:t>[also filed, Chap.</w:t>
      </w:r>
      <w:r>
        <w:rPr>
          <w:rFonts w:ascii="Arial Black" w:hAnsi="Arial Black"/>
          <w:sz w:val="24"/>
          <w:szCs w:val="24"/>
        </w:rPr>
        <w:t xml:space="preserve"> 15</w:t>
      </w:r>
      <w:r w:rsidR="00BC4752">
        <w:rPr>
          <w:rFonts w:ascii="Arial Black" w:hAnsi="Arial Black"/>
          <w:sz w:val="24"/>
          <w:szCs w:val="24"/>
        </w:rPr>
        <w:t xml:space="preserve">, </w:t>
      </w:r>
      <w:r>
        <w:rPr>
          <w:rFonts w:ascii="Arial Black" w:hAnsi="Arial Black"/>
          <w:sz w:val="24"/>
          <w:szCs w:val="24"/>
        </w:rPr>
        <w:t>Mental Health</w:t>
      </w:r>
      <w:r w:rsidR="00BC4752">
        <w:rPr>
          <w:rFonts w:ascii="Arial Black" w:hAnsi="Arial Black"/>
          <w:sz w:val="24"/>
          <w:szCs w:val="24"/>
        </w:rPr>
        <w:t>]</w:t>
      </w:r>
    </w:p>
    <w:p w14:paraId="6B54A3DA" w14:textId="77777777" w:rsidR="00BC4752" w:rsidRDefault="00BC4752" w:rsidP="00BC4752">
      <w:pPr>
        <w:pStyle w:val="NoSpacing"/>
        <w:rPr>
          <w:rFonts w:ascii="Arial Black" w:hAnsi="Arial Black"/>
          <w:b/>
          <w:sz w:val="28"/>
          <w:szCs w:val="28"/>
        </w:rPr>
      </w:pPr>
    </w:p>
    <w:p w14:paraId="291ED1FD" w14:textId="77777777" w:rsidR="00BC4752" w:rsidRDefault="00BC4752" w:rsidP="00BC4752">
      <w:pPr>
        <w:pStyle w:val="NoSpacing"/>
        <w:rPr>
          <w:rFonts w:ascii="Arial Black" w:hAnsi="Arial Black"/>
          <w:b/>
          <w:sz w:val="28"/>
          <w:szCs w:val="28"/>
        </w:rPr>
      </w:pPr>
    </w:p>
    <w:p w14:paraId="1E6AB10D" w14:textId="77777777" w:rsidR="00BC4752" w:rsidRDefault="00BC4752" w:rsidP="00BC4752">
      <w:pPr>
        <w:pStyle w:val="NoSpacing"/>
        <w:rPr>
          <w:rFonts w:ascii="Arial Black" w:hAnsi="Arial Black"/>
          <w:b/>
          <w:sz w:val="28"/>
          <w:szCs w:val="28"/>
        </w:rPr>
      </w:pPr>
      <w:r>
        <w:rPr>
          <w:rFonts w:ascii="Arial Black" w:hAnsi="Arial Black"/>
          <w:b/>
          <w:sz w:val="28"/>
          <w:szCs w:val="28"/>
        </w:rPr>
        <w:t xml:space="preserve">TX: ASSISTANT CHIEF – PTSD – NOT RIGHT INDEF. LEAVE </w:t>
      </w:r>
    </w:p>
    <w:p w14:paraId="7E1706E7" w14:textId="77777777" w:rsidR="00BC4752" w:rsidRDefault="00BC4752" w:rsidP="00BC4752">
      <w:pPr>
        <w:pStyle w:val="NoSpacing"/>
        <w:rPr>
          <w:rFonts w:ascii="Arial Black" w:hAnsi="Arial Black"/>
          <w:b/>
          <w:sz w:val="28"/>
          <w:szCs w:val="28"/>
        </w:rPr>
      </w:pPr>
    </w:p>
    <w:p w14:paraId="5470BB30" w14:textId="77777777" w:rsidR="00BC4752" w:rsidRDefault="00BC4752" w:rsidP="00BC4752">
      <w:pPr>
        <w:pStyle w:val="NoSpacing"/>
        <w:rPr>
          <w:b/>
        </w:rPr>
      </w:pPr>
      <w:r>
        <w:t xml:space="preserve">On April 8, 2026, in </w:t>
      </w:r>
      <w:r w:rsidRPr="003A1915">
        <w:rPr>
          <w:u w:val="single"/>
        </w:rPr>
        <w:t>Cameron Kramer v. City of Frisco, Texas</w:t>
      </w:r>
      <w:r>
        <w:t xml:space="preserve">, the </w:t>
      </w:r>
      <w:r w:rsidRPr="003A1915">
        <w:t>Court of Appeals of Texas, Twelfth District, Tyler</w:t>
      </w:r>
      <w:r>
        <w:t xml:space="preserve"> held (3 to 0) that trial court properly granted summary judgment to the City since the Assistant Chief never able to provide a </w:t>
      </w:r>
      <w:r w:rsidRPr="006D408F">
        <w:t xml:space="preserve">psychological </w:t>
      </w:r>
      <w:r w:rsidRPr="008C5C09">
        <w:t>clearance</w:t>
      </w:r>
      <w:r>
        <w:t xml:space="preserve"> to return to work and indefinite leave is not a reasonable accommodation.   </w:t>
      </w:r>
      <w:r w:rsidRPr="00AA4727">
        <w:t>On August 15, 2022</w:t>
      </w:r>
      <w:r>
        <w:t xml:space="preserve"> he took Family Medical Leave Act leave for PTSD until November 1, 2022; took another 90 days of leave under City’s policy; in January 31, 2023 the city approved additional unpaid leave until March 31 as an accommodation for his PTSD; o</w:t>
      </w:r>
      <w:r w:rsidRPr="00E87171">
        <w:t>n March 31, Kraemer requested additional unpaid leave through April 30, stating at the</w:t>
      </w:r>
      <w:r>
        <w:t xml:space="preserve"> </w:t>
      </w:r>
      <w:r w:rsidRPr="00E87171">
        <w:t xml:space="preserve">end of the leave period, he would </w:t>
      </w:r>
      <w:r>
        <w:t>‘</w:t>
      </w:r>
      <w:r w:rsidRPr="00E87171">
        <w:t>be re-evaluated</w:t>
      </w:r>
      <w:r>
        <w:t xml:space="preserve">” by his treating physician.  </w:t>
      </w:r>
      <w:r w:rsidRPr="00C4058E">
        <w:t>The City viewed this as a request for</w:t>
      </w:r>
      <w:r>
        <w:t xml:space="preserve"> </w:t>
      </w:r>
      <w:r w:rsidRPr="00C4058E">
        <w:t>indefinite unpaid leave and the City’s human resources director, Lauren Safranek, initially</w:t>
      </w:r>
      <w:r>
        <w:t xml:space="preserve"> </w:t>
      </w:r>
      <w:r w:rsidRPr="00C4058E">
        <w:t xml:space="preserve">informed Kraemer that the City could not grant such a </w:t>
      </w:r>
      <w:proofErr w:type="gramStart"/>
      <w:r w:rsidRPr="00C4058E">
        <w:t>reques</w:t>
      </w:r>
      <w:r>
        <w:t>t, but</w:t>
      </w:r>
      <w:proofErr w:type="gramEnd"/>
      <w:r>
        <w:t xml:space="preserve"> gave him until </w:t>
      </w:r>
      <w:r w:rsidRPr="008C5C09">
        <w:t>April 30 to allow him to</w:t>
      </w:r>
      <w:r>
        <w:t xml:space="preserve"> </w:t>
      </w:r>
      <w:r w:rsidRPr="008C5C09">
        <w:t xml:space="preserve">obtain the required </w:t>
      </w:r>
      <w:r w:rsidRPr="006D408F">
        <w:t xml:space="preserve">psychological </w:t>
      </w:r>
      <w:r w:rsidRPr="008C5C09">
        <w:t>clearance, which Kraemer did not submit.</w:t>
      </w:r>
      <w:r>
        <w:t xml:space="preserve"> </w:t>
      </w:r>
      <w:r w:rsidRPr="00FB0730">
        <w:t xml:space="preserve">On May 1, 2023, the </w:t>
      </w:r>
      <w:proofErr w:type="gramStart"/>
      <w:r w:rsidRPr="00FB0730">
        <w:t>City</w:t>
      </w:r>
      <w:proofErr w:type="gramEnd"/>
      <w:r w:rsidRPr="00FB0730">
        <w:t xml:space="preserve"> informed Kraemer via letter that his employment was</w:t>
      </w:r>
      <w:r>
        <w:t xml:space="preserve"> </w:t>
      </w:r>
      <w:r w:rsidRPr="00FB0730">
        <w:t>terminated because of his inability to return to work “with or without reasonable</w:t>
      </w:r>
      <w:r>
        <w:t xml:space="preserve"> </w:t>
      </w:r>
      <w:r w:rsidRPr="00FB0730">
        <w:t>accommodations” following the end of his leave period</w:t>
      </w:r>
      <w:r>
        <w:t xml:space="preserve">. The letter stated, in relevant part, that “the vacancy in the position of Assistant Fire Chief is compromising the operations of the City of Frisco Fire Department and granting continued accommodations of additional leave would cause an undue </w:t>
      </w:r>
      <w:r>
        <w:lastRenderedPageBreak/>
        <w:t xml:space="preserve">burden and hardship for the department and the City, placing the safety of the community and the department at risk.” </w:t>
      </w:r>
      <w:hyperlink r:id="rId1655" w:history="1">
        <w:r w:rsidRPr="00941A72">
          <w:rPr>
            <w:rStyle w:val="Hyperlink"/>
            <w:b/>
          </w:rPr>
          <w:t>https://cases.justia.com/texas/twelfth-court-of-appeals/2026-12-25-00273-cv.pdf?ts=1775749638</w:t>
        </w:r>
      </w:hyperlink>
      <w:r>
        <w:rPr>
          <w:b/>
        </w:rPr>
        <w:t xml:space="preserve"> </w:t>
      </w:r>
    </w:p>
    <w:p w14:paraId="03C9F03D" w14:textId="77777777" w:rsidR="00BC4752" w:rsidRDefault="00BC4752" w:rsidP="00BC4752">
      <w:pPr>
        <w:pStyle w:val="NoSpacing"/>
      </w:pPr>
      <w:r>
        <w:t xml:space="preserve"> </w:t>
      </w:r>
    </w:p>
    <w:p w14:paraId="751218CB" w14:textId="77777777" w:rsidR="00BC4752" w:rsidRDefault="00BC4752" w:rsidP="00BC4752">
      <w:pPr>
        <w:pStyle w:val="NoSpacing"/>
        <w:rPr>
          <w:bCs/>
        </w:rPr>
      </w:pPr>
      <w:r>
        <w:t>THE COURT HELD:</w:t>
      </w:r>
    </w:p>
    <w:p w14:paraId="524E0C45" w14:textId="77777777" w:rsidR="00BC4752" w:rsidRDefault="00BC4752" w:rsidP="00BC4752">
      <w:pPr>
        <w:pStyle w:val="NoSpacing"/>
        <w:rPr>
          <w:bCs/>
        </w:rPr>
      </w:pPr>
    </w:p>
    <w:p w14:paraId="17399BE5" w14:textId="77777777" w:rsidR="00BC4752" w:rsidRDefault="00BC4752" w:rsidP="00BC4752">
      <w:pPr>
        <w:pStyle w:val="NoSpacing"/>
        <w:ind w:left="720"/>
      </w:pPr>
      <w:r>
        <w:t>“Although taking leave that is limited in duration may be a reasonable accommodation to enable an employee to perform the essential functions of the job upon return, taking leave without a specified date to return is not a reasonable accommodation.</w:t>
      </w:r>
    </w:p>
    <w:p w14:paraId="181E5817" w14:textId="77777777" w:rsidR="00BC4752" w:rsidRDefault="00BC4752" w:rsidP="00BC4752">
      <w:pPr>
        <w:pStyle w:val="NoSpacing"/>
        <w:ind w:left="720"/>
      </w:pPr>
    </w:p>
    <w:p w14:paraId="5F263129" w14:textId="77777777" w:rsidR="00BC4752" w:rsidRDefault="00BC4752" w:rsidP="00BC4752">
      <w:pPr>
        <w:pStyle w:val="NoSpacing"/>
        <w:ind w:left="720"/>
      </w:pPr>
      <w:r>
        <w:t>***</w:t>
      </w:r>
    </w:p>
    <w:p w14:paraId="5738E4AF" w14:textId="77777777" w:rsidR="00BC4752" w:rsidRDefault="00BC4752" w:rsidP="00BC4752">
      <w:pPr>
        <w:pStyle w:val="NoSpacing"/>
      </w:pPr>
    </w:p>
    <w:p w14:paraId="3CA9F1E7" w14:textId="77777777" w:rsidR="00BC4752" w:rsidRDefault="00BC4752" w:rsidP="00BC4752">
      <w:pPr>
        <w:pStyle w:val="NoSpacing"/>
        <w:ind w:firstLine="720"/>
      </w:pPr>
      <w:r>
        <w:t>The evidence shows that Kraemer discussed with Safranek whether he might be capable</w:t>
      </w:r>
    </w:p>
    <w:p w14:paraId="5EB20D13" w14:textId="77777777" w:rsidR="00BC4752" w:rsidRDefault="00BC4752" w:rsidP="00BC4752">
      <w:pPr>
        <w:pStyle w:val="NoSpacing"/>
        <w:ind w:left="720"/>
      </w:pPr>
      <w:r>
        <w:t xml:space="preserve">of returning to work on a reduced schedule, but nothing showing that he, or any of his doctors, ever concluded that, despite his disability, he </w:t>
      </w:r>
      <w:proofErr w:type="gramStart"/>
      <w:r>
        <w:t>was capable of performing</w:t>
      </w:r>
      <w:proofErr w:type="gramEnd"/>
      <w:r>
        <w:t xml:space="preserve"> the functions of the assistant fire chief position at all, even on a part-time basis…. In April of 2024, Dr. </w:t>
      </w:r>
      <w:proofErr w:type="spellStart"/>
      <w:r>
        <w:t>Tedwell</w:t>
      </w:r>
      <w:proofErr w:type="spellEnd"/>
      <w:r>
        <w:t xml:space="preserve"> testified before an administrative law judge that throughout her treatment relationship with Kraemer, her opinion has ‘always been that he has not been ready to go back to Frisco Fire Department[,]” an opinion which persisted until the time of her testimony.”</w:t>
      </w:r>
    </w:p>
    <w:p w14:paraId="6FAC69CA" w14:textId="77777777" w:rsidR="00BC4752" w:rsidRDefault="00BC4752" w:rsidP="00BC4752">
      <w:pPr>
        <w:pStyle w:val="NoSpacing"/>
        <w:ind w:left="720"/>
      </w:pPr>
    </w:p>
    <w:p w14:paraId="44636D0F" w14:textId="77777777" w:rsidR="00BC4752" w:rsidRDefault="00BC4752" w:rsidP="00BC4752">
      <w:pPr>
        <w:pStyle w:val="NoSpacing"/>
      </w:pPr>
      <w:r>
        <w:rPr>
          <w:b/>
        </w:rPr>
        <w:t xml:space="preserve">Legal lesson learned: Indefinite leave is not reasonable accommodation. </w:t>
      </w:r>
    </w:p>
    <w:p w14:paraId="355BA9E6" w14:textId="77777777" w:rsidR="00BC4752" w:rsidRDefault="00BC4752" w:rsidP="00BC4752">
      <w:pPr>
        <w:pStyle w:val="NoSpacing"/>
        <w:rPr>
          <w:b/>
        </w:rPr>
      </w:pPr>
    </w:p>
    <w:p w14:paraId="1891A10B" w14:textId="77777777" w:rsidR="00BC4752" w:rsidRDefault="00BC4752" w:rsidP="00BC4752">
      <w:pPr>
        <w:pStyle w:val="NoSpacing"/>
        <w:rPr>
          <w:bCs/>
        </w:rPr>
      </w:pPr>
    </w:p>
    <w:p w14:paraId="25DBD739" w14:textId="77777777" w:rsidR="00BC4752" w:rsidRDefault="00BC4752" w:rsidP="00BC4752">
      <w:pPr>
        <w:pStyle w:val="NoSpacing"/>
        <w:rPr>
          <w:rFonts w:ascii="Arial Black" w:hAnsi="Arial Black"/>
          <w:sz w:val="24"/>
          <w:szCs w:val="24"/>
        </w:rPr>
      </w:pPr>
    </w:p>
    <w:p w14:paraId="7DDC7055" w14:textId="77777777" w:rsidR="00BC4752" w:rsidRDefault="00BC4752" w:rsidP="00BC4752">
      <w:pPr>
        <w:pStyle w:val="NoSpacing"/>
        <w:rPr>
          <w:rFonts w:ascii="Arial Black" w:hAnsi="Arial Black"/>
          <w:sz w:val="24"/>
          <w:szCs w:val="24"/>
        </w:rPr>
      </w:pPr>
    </w:p>
    <w:p w14:paraId="2197C918" w14:textId="77777777" w:rsidR="00BC4752" w:rsidRDefault="00BC4752" w:rsidP="00684A51">
      <w:pPr>
        <w:pStyle w:val="NoSpacing"/>
        <w:rPr>
          <w:rFonts w:ascii="Arial Black" w:hAnsi="Arial Black"/>
          <w:sz w:val="24"/>
          <w:szCs w:val="24"/>
        </w:rPr>
      </w:pPr>
    </w:p>
    <w:p w14:paraId="470CA0F5" w14:textId="77777777" w:rsidR="00BC4752" w:rsidRDefault="00BC4752" w:rsidP="00684A51">
      <w:pPr>
        <w:pStyle w:val="NoSpacing"/>
        <w:rPr>
          <w:rFonts w:ascii="Arial Black" w:hAnsi="Arial Black"/>
          <w:sz w:val="24"/>
          <w:szCs w:val="24"/>
        </w:rPr>
      </w:pPr>
    </w:p>
    <w:p w14:paraId="41350198" w14:textId="570A73E3" w:rsidR="00684A51" w:rsidRDefault="00684A51" w:rsidP="00684A51">
      <w:pPr>
        <w:pStyle w:val="NoSpacing"/>
        <w:rPr>
          <w:rFonts w:ascii="Arial Black" w:hAnsi="Arial Black"/>
          <w:sz w:val="24"/>
          <w:szCs w:val="24"/>
        </w:rPr>
      </w:pPr>
      <w:r>
        <w:rPr>
          <w:rFonts w:ascii="Arial Black" w:hAnsi="Arial Black"/>
          <w:sz w:val="24"/>
          <w:szCs w:val="24"/>
        </w:rPr>
        <w:t>9-6</w:t>
      </w:r>
      <w:r w:rsidR="00BA6D04">
        <w:rPr>
          <w:rFonts w:ascii="Arial Black" w:hAnsi="Arial Black"/>
          <w:sz w:val="24"/>
          <w:szCs w:val="24"/>
        </w:rPr>
        <w:t>2</w:t>
      </w:r>
    </w:p>
    <w:p w14:paraId="06510B12" w14:textId="77777777" w:rsidR="003C742B" w:rsidRDefault="003C742B" w:rsidP="005C30A4">
      <w:pPr>
        <w:pStyle w:val="NoSpacing"/>
        <w:rPr>
          <w:rFonts w:ascii="Arial Black" w:hAnsi="Arial Black"/>
          <w:sz w:val="24"/>
          <w:szCs w:val="24"/>
        </w:rPr>
      </w:pPr>
    </w:p>
    <w:p w14:paraId="51897EA5" w14:textId="77777777" w:rsidR="003C742B" w:rsidRDefault="003C742B" w:rsidP="003C742B">
      <w:pPr>
        <w:pStyle w:val="NoSpacing"/>
        <w:rPr>
          <w:rFonts w:ascii="Arial Black" w:hAnsi="Arial Black"/>
          <w:bCs/>
          <w:sz w:val="28"/>
          <w:szCs w:val="28"/>
        </w:rPr>
      </w:pPr>
      <w:r>
        <w:rPr>
          <w:rFonts w:ascii="Arial Black" w:hAnsi="Arial Black"/>
          <w:sz w:val="28"/>
          <w:szCs w:val="28"/>
        </w:rPr>
        <w:t>FL: FF REFUSED TAKE TB TEST – ADA CASE TO PROCEED</w:t>
      </w:r>
    </w:p>
    <w:p w14:paraId="22CC5B5B" w14:textId="77777777" w:rsidR="003C742B" w:rsidRDefault="003C742B" w:rsidP="003C742B">
      <w:pPr>
        <w:pStyle w:val="NoSpacing"/>
        <w:rPr>
          <w:rFonts w:ascii="Arial Black" w:hAnsi="Arial Black"/>
          <w:bCs/>
          <w:sz w:val="28"/>
          <w:szCs w:val="28"/>
        </w:rPr>
      </w:pPr>
    </w:p>
    <w:p w14:paraId="14D97C9D" w14:textId="77777777" w:rsidR="003C742B" w:rsidRDefault="003C742B" w:rsidP="003C742B">
      <w:pPr>
        <w:pStyle w:val="NoSpacing"/>
        <w:rPr>
          <w:bCs/>
        </w:rPr>
      </w:pPr>
      <w:r>
        <w:t xml:space="preserve">On April 24, 2026, in </w:t>
      </w:r>
      <w:r w:rsidRPr="00026CBE">
        <w:rPr>
          <w:u w:val="single"/>
        </w:rPr>
        <w:t>Nathaniel Griffin v. City of South Pasadena</w:t>
      </w:r>
      <w:r>
        <w:t>, U.S. District Court Judge Wiiliam F. Jung, United States District Court for Middle District of Florida, Tampa Division, held that the firefighter’s ADA retaliation case may proceed with pretrial discovery.  “Plaintiff denies ever asking the Life Scan staff to lie about whether a TB test had been done.”   In his Amended Complaint he alleges that he “</w:t>
      </w:r>
      <w:r w:rsidRPr="00CB3F0C">
        <w:t>subjectively believed</w:t>
      </w:r>
      <w:r>
        <w:t>”</w:t>
      </w:r>
      <w:r w:rsidRPr="00CB3F0C">
        <w:t xml:space="preserve"> that portions of the CBA’s annual physical</w:t>
      </w:r>
      <w:r>
        <w:t xml:space="preserve"> </w:t>
      </w:r>
      <w:r w:rsidRPr="00CB3F0C">
        <w:t>examination requirement violated the ADA</w:t>
      </w:r>
      <w:r>
        <w:t xml:space="preserve"> and he made his concerns known to Fire Chief prior to the annual physical. After discovery is completed, the </w:t>
      </w:r>
      <w:proofErr w:type="gramStart"/>
      <w:r>
        <w:t>City</w:t>
      </w:r>
      <w:proofErr w:type="gramEnd"/>
      <w:r>
        <w:t xml:space="preserve"> may then file a motion for summary judgment based on a “business-necessity” defense.  </w:t>
      </w:r>
      <w:hyperlink r:id="rId1656" w:history="1">
        <w:r w:rsidRPr="00BE171B">
          <w:rPr>
            <w:rStyle w:val="Hyperlink"/>
          </w:rPr>
          <w:t>https://ecf.flmd.uscourts.gov/cgi-bin/show_public_doc?2025-02787-49-8-cv</w:t>
        </w:r>
      </w:hyperlink>
      <w:r>
        <w:t xml:space="preserve"> </w:t>
      </w:r>
    </w:p>
    <w:p w14:paraId="768E629B" w14:textId="77777777" w:rsidR="003C742B" w:rsidRDefault="003C742B" w:rsidP="003C742B">
      <w:pPr>
        <w:pStyle w:val="NoSpacing"/>
        <w:rPr>
          <w:bCs/>
        </w:rPr>
      </w:pPr>
    </w:p>
    <w:p w14:paraId="4F69D0C4" w14:textId="77777777" w:rsidR="003C742B" w:rsidRDefault="003C742B" w:rsidP="003C742B">
      <w:pPr>
        <w:pStyle w:val="NoSpacing"/>
        <w:rPr>
          <w:bCs/>
        </w:rPr>
      </w:pPr>
      <w:r>
        <w:t>THE COURT HELD:</w:t>
      </w:r>
    </w:p>
    <w:p w14:paraId="297ABDCE" w14:textId="77777777" w:rsidR="003C742B" w:rsidRDefault="003C742B" w:rsidP="003C742B">
      <w:pPr>
        <w:pStyle w:val="NoSpacing"/>
        <w:rPr>
          <w:bCs/>
        </w:rPr>
      </w:pPr>
    </w:p>
    <w:p w14:paraId="64D05011" w14:textId="77777777" w:rsidR="003C742B" w:rsidRDefault="003C742B" w:rsidP="003C742B">
      <w:pPr>
        <w:pStyle w:val="NoSpacing"/>
        <w:ind w:left="720"/>
      </w:pPr>
      <w:r>
        <w:t>“A statutorily protected activity for an ADA retaliation claim is ‘oppos[</w:t>
      </w:r>
      <w:proofErr w:type="spellStart"/>
      <w:r>
        <w:t>ing</w:t>
      </w:r>
      <w:proofErr w:type="spellEnd"/>
      <w:r>
        <w:t xml:space="preserve">] any act or practice made unlawful by this chapter.’ 42 U.S.C. § 12203(a)…. However, the plaintiff is not required to prove that the alleged discriminatory conduct was </w:t>
      </w:r>
      <w:proofErr w:type="gramStart"/>
      <w:r>
        <w:t>actually unlawful</w:t>
      </w:r>
      <w:proofErr w:type="gramEnd"/>
      <w:r>
        <w:t>;</w:t>
      </w:r>
    </w:p>
    <w:p w14:paraId="269C79EA" w14:textId="77777777" w:rsidR="003C742B" w:rsidRDefault="003C742B" w:rsidP="003C742B">
      <w:pPr>
        <w:pStyle w:val="NoSpacing"/>
        <w:ind w:left="720"/>
      </w:pPr>
      <w:r>
        <w:t>rather, the opposed conduct need only be “close enough” to support the objectively</w:t>
      </w:r>
    </w:p>
    <w:p w14:paraId="5BFDC266" w14:textId="77777777" w:rsidR="003C742B" w:rsidRDefault="003C742B" w:rsidP="003C742B">
      <w:pPr>
        <w:pStyle w:val="NoSpacing"/>
        <w:ind w:left="720"/>
      </w:pPr>
      <w:r>
        <w:t>reasonable belief.</w:t>
      </w:r>
    </w:p>
    <w:p w14:paraId="3117AC55" w14:textId="77777777" w:rsidR="003C742B" w:rsidRDefault="003C742B" w:rsidP="003C742B">
      <w:pPr>
        <w:pStyle w:val="NoSpacing"/>
        <w:ind w:left="720"/>
      </w:pPr>
    </w:p>
    <w:p w14:paraId="743AF438" w14:textId="77777777" w:rsidR="003C742B" w:rsidRDefault="003C742B" w:rsidP="003C742B">
      <w:pPr>
        <w:pStyle w:val="NoSpacing"/>
        <w:ind w:left="720"/>
      </w:pPr>
      <w:r>
        <w:t>***</w:t>
      </w:r>
    </w:p>
    <w:p w14:paraId="14B80327" w14:textId="77777777" w:rsidR="003C742B" w:rsidRDefault="003C742B" w:rsidP="003C742B">
      <w:pPr>
        <w:pStyle w:val="NoSpacing"/>
        <w:ind w:left="720"/>
      </w:pPr>
    </w:p>
    <w:p w14:paraId="725DBDEA" w14:textId="77777777" w:rsidR="003C742B" w:rsidRDefault="003C742B" w:rsidP="003C742B">
      <w:pPr>
        <w:pStyle w:val="NoSpacing"/>
        <w:ind w:left="720"/>
      </w:pPr>
      <w:r>
        <w:t>The Amended Complaint is also clear that Plaintiff subjectively believed that portions of the CBA’s annual physical examination requirement violated the ADA … and these objections about being forced by an employer to undergo an (allegedly) unlawful medical</w:t>
      </w:r>
    </w:p>
    <w:p w14:paraId="114BB68B" w14:textId="77777777" w:rsidR="003C742B" w:rsidRDefault="003C742B" w:rsidP="003C742B">
      <w:pPr>
        <w:pStyle w:val="NoSpacing"/>
        <w:ind w:left="720"/>
      </w:pPr>
      <w:proofErr w:type="gramStart"/>
      <w:r>
        <w:t>examination</w:t>
      </w:r>
      <w:proofErr w:type="gramEnd"/>
      <w:r>
        <w:t xml:space="preserve"> </w:t>
      </w:r>
      <w:proofErr w:type="gramStart"/>
      <w:r>
        <w:t>are</w:t>
      </w:r>
      <w:proofErr w:type="gramEnd"/>
      <w:r>
        <w:t xml:space="preserve"> objectively reasonable </w:t>
      </w:r>
      <w:proofErr w:type="gramStart"/>
      <w:r>
        <w:t>in light of</w:t>
      </w:r>
      <w:proofErr w:type="gramEnd"/>
      <w:r>
        <w:t xml:space="preserve"> the controlling substantive law.</w:t>
      </w:r>
    </w:p>
    <w:p w14:paraId="20A6A1C7" w14:textId="77777777" w:rsidR="003C742B" w:rsidRDefault="003C742B" w:rsidP="003C742B">
      <w:pPr>
        <w:pStyle w:val="NoSpacing"/>
        <w:ind w:left="720"/>
      </w:pPr>
    </w:p>
    <w:p w14:paraId="33991A5F" w14:textId="77777777" w:rsidR="003C742B" w:rsidRDefault="003C742B" w:rsidP="003C742B">
      <w:pPr>
        <w:pStyle w:val="NoSpacing"/>
        <w:ind w:left="720"/>
      </w:pPr>
      <w:r>
        <w:t>***</w:t>
      </w:r>
    </w:p>
    <w:p w14:paraId="13958881" w14:textId="77777777" w:rsidR="003C742B" w:rsidRDefault="003C742B" w:rsidP="003C742B">
      <w:pPr>
        <w:pStyle w:val="NoSpacing"/>
        <w:ind w:left="720"/>
      </w:pPr>
    </w:p>
    <w:p w14:paraId="6AA2761B" w14:textId="77777777" w:rsidR="003C742B" w:rsidRDefault="003C742B" w:rsidP="003C742B">
      <w:pPr>
        <w:pStyle w:val="NoSpacing"/>
        <w:ind w:left="720"/>
      </w:pPr>
      <w:r>
        <w:t>On August 2, 2022, Plaintiff was scheduled for an annual physical examination at Life Scan Wellness Center (‘Life Scan’)…. While at Life Scan, Plaintiff complained to the staff about the intrusive nature of the examinations, but still ‘made himself immediately available . . . for evaluation, and at no point refused any portion.’ … Life Scan staff member eventually told Plaintiff that it was too late to coordinate an accommodation and that he would have to reschedule his exam.</w:t>
      </w:r>
    </w:p>
    <w:p w14:paraId="7599E151" w14:textId="77777777" w:rsidR="003C742B" w:rsidRDefault="003C742B" w:rsidP="003C742B">
      <w:pPr>
        <w:pStyle w:val="NoSpacing"/>
        <w:ind w:left="720"/>
      </w:pPr>
    </w:p>
    <w:p w14:paraId="2B65D5C4" w14:textId="77777777" w:rsidR="003C742B" w:rsidRDefault="003C742B" w:rsidP="003C742B">
      <w:pPr>
        <w:pStyle w:val="NoSpacing"/>
        <w:ind w:left="720"/>
      </w:pPr>
      <w:r>
        <w:t>***</w:t>
      </w:r>
    </w:p>
    <w:p w14:paraId="7CC6850F" w14:textId="77777777" w:rsidR="003C742B" w:rsidRDefault="003C742B" w:rsidP="003C742B">
      <w:pPr>
        <w:pStyle w:val="NoSpacing"/>
        <w:ind w:left="720"/>
      </w:pPr>
    </w:p>
    <w:p w14:paraId="66EB8DE1" w14:textId="77777777" w:rsidR="003C742B" w:rsidRDefault="003C742B" w:rsidP="003C742B">
      <w:pPr>
        <w:pStyle w:val="NoSpacing"/>
        <w:ind w:left="720"/>
      </w:pPr>
      <w:r>
        <w:t>Plaintiff attended a rescheduled physical examination on August 12, 2022…. Plaintiff denies ever asking the Life Scan staff to lie about whether a TB test had been done.</w:t>
      </w:r>
    </w:p>
    <w:p w14:paraId="75AECD46" w14:textId="77777777" w:rsidR="003C742B" w:rsidRDefault="003C742B" w:rsidP="003C742B">
      <w:pPr>
        <w:pStyle w:val="NoSpacing"/>
        <w:ind w:left="720"/>
      </w:pPr>
    </w:p>
    <w:p w14:paraId="4E05DCC8" w14:textId="77777777" w:rsidR="003C742B" w:rsidRDefault="003C742B" w:rsidP="003C742B">
      <w:pPr>
        <w:pStyle w:val="NoSpacing"/>
        <w:ind w:left="720"/>
      </w:pPr>
      <w:r>
        <w:t>***</w:t>
      </w:r>
    </w:p>
    <w:p w14:paraId="51F3C34A" w14:textId="77777777" w:rsidR="003C742B" w:rsidRDefault="003C742B" w:rsidP="003C742B">
      <w:pPr>
        <w:pStyle w:val="NoSpacing"/>
        <w:rPr>
          <w:bCs/>
        </w:rPr>
      </w:pPr>
    </w:p>
    <w:p w14:paraId="0F97D789" w14:textId="77777777" w:rsidR="003C742B" w:rsidRDefault="003C742B" w:rsidP="003C742B">
      <w:pPr>
        <w:pStyle w:val="NoSpacing"/>
        <w:ind w:left="720"/>
      </w:pPr>
      <w:r>
        <w:t xml:space="preserve">On August 17, 2022, Fire Chief Mixson delivered a Notice of Discipline, asserting a ‘failure to complete annual physical in an efficient manner, creating additional expense to [Defendant]. Disrespectful and unprofessional interaction with members of the public (Life Scan staff). Violations of Employee Handbook Sections 7-4 B (9), 7-4 В (7), 7-4 В (8), 7-4 С (17).’ … Plaintiff was then suspended without pay for 24 hours….  On August 24, 2022, Plaintiff appealed this adverse employment action to Fire Commissioner Thomas B. Reid, which was denied. </w:t>
      </w:r>
    </w:p>
    <w:p w14:paraId="4F345A97" w14:textId="77777777" w:rsidR="003C742B" w:rsidRDefault="003C742B" w:rsidP="003C742B">
      <w:pPr>
        <w:pStyle w:val="NoSpacing"/>
        <w:ind w:left="720"/>
      </w:pPr>
    </w:p>
    <w:p w14:paraId="2684390F" w14:textId="77777777" w:rsidR="003C742B" w:rsidRDefault="003C742B" w:rsidP="003C742B">
      <w:pPr>
        <w:pStyle w:val="NoSpacing"/>
        <w:ind w:left="720"/>
      </w:pPr>
      <w:r>
        <w:t>***</w:t>
      </w:r>
    </w:p>
    <w:p w14:paraId="398DC4FF" w14:textId="77777777" w:rsidR="003C742B" w:rsidRDefault="003C742B" w:rsidP="003C742B">
      <w:pPr>
        <w:pStyle w:val="NoSpacing"/>
        <w:ind w:left="720"/>
      </w:pPr>
      <w:r>
        <w:t xml:space="preserve">On September 13, 2022, the </w:t>
      </w:r>
      <w:proofErr w:type="gramStart"/>
      <w:r>
        <w:t>City</w:t>
      </w:r>
      <w:proofErr w:type="gramEnd"/>
      <w:r>
        <w:t xml:space="preserve"> terminated Plaintiff’s employment…. The same day, Plaintiff appealed his termination to Fire Commissioner Reid … and during the appeal, Plaintiff was permitted to provide objections, case law, and scholarly articles…. In sum, Plaintiff was not only informed of the termination hearing and allowed to testify on his own </w:t>
      </w:r>
      <w:proofErr w:type="gramStart"/>
      <w:r>
        <w:t>behalf, but</w:t>
      </w:r>
      <w:proofErr w:type="gramEnd"/>
      <w:r>
        <w:t xml:space="preserve"> was also permitted to appeal his termination and (again) present evidence on his </w:t>
      </w:r>
      <w:proofErr w:type="gramStart"/>
      <w:r>
        <w:t>behalf.”</w:t>
      </w:r>
      <w:proofErr w:type="gramEnd"/>
    </w:p>
    <w:p w14:paraId="0ECB4E98" w14:textId="77777777" w:rsidR="003C742B" w:rsidRDefault="003C742B" w:rsidP="003C742B">
      <w:pPr>
        <w:pStyle w:val="NoSpacing"/>
        <w:ind w:left="720"/>
      </w:pPr>
    </w:p>
    <w:p w14:paraId="2892DC89" w14:textId="77777777" w:rsidR="003C742B" w:rsidRPr="001714F2" w:rsidRDefault="003C742B" w:rsidP="003C742B">
      <w:pPr>
        <w:pStyle w:val="NoSpacing"/>
        <w:rPr>
          <w:b/>
          <w:bCs/>
        </w:rPr>
      </w:pPr>
      <w:r>
        <w:rPr>
          <w:b/>
        </w:rPr>
        <w:t>Legal lesson learned:  Pre-trial discovery will now proceed; city has a strong defense.</w:t>
      </w:r>
    </w:p>
    <w:p w14:paraId="549BB924" w14:textId="77777777" w:rsidR="00684A51" w:rsidRDefault="00684A51" w:rsidP="00684A51">
      <w:pPr>
        <w:pStyle w:val="NoSpacing"/>
        <w:rPr>
          <w:rFonts w:ascii="Arial Black" w:hAnsi="Arial Black"/>
          <w:sz w:val="24"/>
          <w:szCs w:val="24"/>
        </w:rPr>
      </w:pPr>
    </w:p>
    <w:p w14:paraId="11D55BF2" w14:textId="77777777" w:rsidR="00684A51" w:rsidRDefault="00684A51" w:rsidP="00684A51">
      <w:pPr>
        <w:pStyle w:val="NoSpacing"/>
        <w:rPr>
          <w:rFonts w:ascii="Arial Black" w:hAnsi="Arial Black"/>
          <w:sz w:val="24"/>
          <w:szCs w:val="24"/>
        </w:rPr>
      </w:pPr>
    </w:p>
    <w:p w14:paraId="36F829C5" w14:textId="77777777" w:rsidR="008C7243" w:rsidRDefault="008C7243" w:rsidP="00684A51">
      <w:pPr>
        <w:pStyle w:val="NoSpacing"/>
        <w:rPr>
          <w:rFonts w:ascii="Arial Black" w:hAnsi="Arial Black"/>
          <w:sz w:val="24"/>
          <w:szCs w:val="24"/>
        </w:rPr>
      </w:pPr>
    </w:p>
    <w:p w14:paraId="0778D57D" w14:textId="7BE5B907" w:rsidR="00684A51" w:rsidRDefault="00684A51" w:rsidP="00684A51">
      <w:pPr>
        <w:pStyle w:val="NoSpacing"/>
        <w:rPr>
          <w:rFonts w:ascii="Arial Black" w:hAnsi="Arial Black"/>
          <w:sz w:val="24"/>
          <w:szCs w:val="24"/>
        </w:rPr>
      </w:pPr>
      <w:r>
        <w:rPr>
          <w:rFonts w:ascii="Arial Black" w:hAnsi="Arial Black"/>
          <w:sz w:val="24"/>
          <w:szCs w:val="24"/>
        </w:rPr>
        <w:t>9-6</w:t>
      </w:r>
      <w:r w:rsidR="00BA6D04">
        <w:rPr>
          <w:rFonts w:ascii="Arial Black" w:hAnsi="Arial Black"/>
          <w:sz w:val="24"/>
          <w:szCs w:val="24"/>
        </w:rPr>
        <w:t>1</w:t>
      </w:r>
    </w:p>
    <w:p w14:paraId="252339E8" w14:textId="77777777" w:rsidR="003C742B" w:rsidRPr="00043BF5" w:rsidRDefault="003C742B" w:rsidP="003C742B">
      <w:pPr>
        <w:pStyle w:val="NoSpacing"/>
      </w:pPr>
    </w:p>
    <w:p w14:paraId="7AFD4A5F" w14:textId="77777777" w:rsidR="007811A4" w:rsidRPr="0038660D" w:rsidRDefault="007811A4" w:rsidP="007811A4">
      <w:pPr>
        <w:pStyle w:val="NoSpacing"/>
        <w:rPr>
          <w:rFonts w:ascii="Arial Black" w:hAnsi="Arial Black"/>
          <w:sz w:val="28"/>
          <w:szCs w:val="28"/>
        </w:rPr>
      </w:pPr>
      <w:r>
        <w:rPr>
          <w:rFonts w:ascii="Arial Black" w:hAnsi="Arial Black"/>
          <w:sz w:val="28"/>
          <w:szCs w:val="28"/>
        </w:rPr>
        <w:t xml:space="preserve">AK: RIGHT ANKLE – DISABLED – NO RIGHT “LIGHT DUTY” </w:t>
      </w:r>
    </w:p>
    <w:p w14:paraId="621B28D4" w14:textId="77777777" w:rsidR="007811A4" w:rsidRDefault="007811A4" w:rsidP="007811A4">
      <w:pPr>
        <w:pStyle w:val="NoSpacing"/>
      </w:pPr>
    </w:p>
    <w:p w14:paraId="46FA32D8" w14:textId="77777777" w:rsidR="007811A4" w:rsidRDefault="007811A4" w:rsidP="007811A4">
      <w:pPr>
        <w:pStyle w:val="NoSpacing"/>
      </w:pPr>
      <w:r>
        <w:t xml:space="preserve">On March 31, 2026, in </w:t>
      </w:r>
      <w:r w:rsidRPr="00B31302">
        <w:rPr>
          <w:u w:val="single"/>
        </w:rPr>
        <w:t>Christopher Mackey v. City of Pine Bluff</w:t>
      </w:r>
      <w:r>
        <w:t xml:space="preserve">, U.S. District Court Judge </w:t>
      </w:r>
      <w:r w:rsidRPr="00B31302">
        <w:t>Kristine G. Bake</w:t>
      </w:r>
      <w:r>
        <w:t xml:space="preserve">, United States District Court for Eastern District of Arkansas, Central Division, granted the City’s motion for summary judgment.  </w:t>
      </w:r>
      <w:r w:rsidRPr="00DC23E7">
        <w:t xml:space="preserve">On July 31, 2022, Mackey </w:t>
      </w:r>
      <w:r>
        <w:t xml:space="preserve">(firefighter / engineer) </w:t>
      </w:r>
      <w:r w:rsidRPr="00DC23E7">
        <w:t>suffered an ankle injury as his shift began by stepping into a pothole in the parking lot of Station 1 in Pine Bluff</w:t>
      </w:r>
      <w:r>
        <w:t xml:space="preserve">, and MRI revealed </w:t>
      </w:r>
      <w:r w:rsidRPr="00390A1A">
        <w:t xml:space="preserve">“complete rupture of the peroneus brevis tendon” </w:t>
      </w:r>
      <w:r>
        <w:t xml:space="preserve">which required surgery.  After surgery he was </w:t>
      </w:r>
      <w:r w:rsidRPr="009A23D1">
        <w:t xml:space="preserve">without feeling </w:t>
      </w:r>
      <w:proofErr w:type="gramStart"/>
      <w:r w:rsidRPr="009A23D1">
        <w:t>in</w:t>
      </w:r>
      <w:proofErr w:type="gramEnd"/>
      <w:r w:rsidRPr="009A23D1">
        <w:t xml:space="preserve"> the right side of his foot</w:t>
      </w:r>
      <w:r>
        <w:t xml:space="preserve">.  The FD denied his two requests for light duty – as Engineer with no firefighting, or instructor in EMS school with no heavy lifting - but his physician could not provide FD with letter that he could eventually return to full duty.  </w:t>
      </w:r>
      <w:r w:rsidRPr="00E427CE">
        <w:t xml:space="preserve">Mackey resigned from </w:t>
      </w:r>
      <w:r>
        <w:t xml:space="preserve">FD </w:t>
      </w:r>
      <w:r w:rsidRPr="00E427CE">
        <w:t>on November 9, 202</w:t>
      </w:r>
      <w:r>
        <w:t xml:space="preserve">3. </w:t>
      </w:r>
      <w:r w:rsidRPr="00E427CE">
        <w:t xml:space="preserve"> </w:t>
      </w:r>
      <w:hyperlink r:id="rId1657" w:history="1">
        <w:r w:rsidRPr="00A849F7">
          <w:rPr>
            <w:rStyle w:val="Hyperlink"/>
          </w:rPr>
          <w:t>https://cases.justia.com/federal/district-courts/arkansas/aredce/4:2024cv00350/143122/28/0.pdf?ts=1775058402</w:t>
        </w:r>
      </w:hyperlink>
      <w:r>
        <w:t xml:space="preserve"> </w:t>
      </w:r>
    </w:p>
    <w:p w14:paraId="077D5C8B" w14:textId="77777777" w:rsidR="007811A4" w:rsidRDefault="007811A4" w:rsidP="007811A4">
      <w:pPr>
        <w:pStyle w:val="NoSpacing"/>
      </w:pPr>
    </w:p>
    <w:p w14:paraId="6F53EC54" w14:textId="77777777" w:rsidR="007811A4" w:rsidRDefault="007811A4" w:rsidP="007811A4">
      <w:pPr>
        <w:pStyle w:val="NoSpacing"/>
      </w:pPr>
      <w:r>
        <w:t xml:space="preserve">THE COURT HELD: </w:t>
      </w:r>
    </w:p>
    <w:p w14:paraId="019E3653" w14:textId="77777777" w:rsidR="007811A4" w:rsidRDefault="007811A4" w:rsidP="007811A4">
      <w:pPr>
        <w:pStyle w:val="NoSpacing"/>
      </w:pPr>
    </w:p>
    <w:p w14:paraId="2D96BF88" w14:textId="77777777" w:rsidR="007811A4" w:rsidRDefault="007811A4" w:rsidP="007811A4">
      <w:pPr>
        <w:pStyle w:val="NoSpacing"/>
        <w:ind w:left="720"/>
      </w:pPr>
      <w:r>
        <w:t>“</w:t>
      </w:r>
      <w:r w:rsidRPr="00AC2EE6">
        <w:t xml:space="preserve">Mackey's first purported reasonable accommodation fails as a matter of law. The Court finds that Mackey's request to continue as </w:t>
      </w:r>
      <w:r>
        <w:t>‘</w:t>
      </w:r>
      <w:r w:rsidRPr="00AC2EE6">
        <w:t>an engineer but without the firefighting - without having to be inside fighting the fire</w:t>
      </w:r>
      <w:r>
        <w:t xml:space="preserve">’ </w:t>
      </w:r>
      <w:r w:rsidRPr="00AC2EE6">
        <w:t xml:space="preserve">is not a request for </w:t>
      </w:r>
      <w:proofErr w:type="gramStart"/>
      <w:r w:rsidRPr="00AC2EE6">
        <w:t>a reasonable</w:t>
      </w:r>
      <w:proofErr w:type="gramEnd"/>
      <w:r w:rsidRPr="00AC2EE6">
        <w:t xml:space="preserve"> accommodation because that accommodation necessarily eliminates the essential functions of the engineer position</w:t>
      </w:r>
      <w:r>
        <w:t xml:space="preserve">. </w:t>
      </w:r>
    </w:p>
    <w:p w14:paraId="0B3E92C9" w14:textId="77777777" w:rsidR="007811A4" w:rsidRDefault="007811A4" w:rsidP="007811A4">
      <w:pPr>
        <w:pStyle w:val="NoSpacing"/>
        <w:ind w:left="720"/>
      </w:pPr>
    </w:p>
    <w:p w14:paraId="7A91E7D8" w14:textId="77777777" w:rsidR="007811A4" w:rsidRDefault="007811A4" w:rsidP="007811A4">
      <w:pPr>
        <w:pStyle w:val="NoSpacing"/>
        <w:ind w:left="720"/>
      </w:pPr>
      <w:r>
        <w:t xml:space="preserve">*** </w:t>
      </w:r>
    </w:p>
    <w:p w14:paraId="4A784237" w14:textId="77777777" w:rsidR="007811A4" w:rsidRDefault="007811A4" w:rsidP="007811A4">
      <w:pPr>
        <w:pStyle w:val="NoSpacing"/>
        <w:ind w:left="720"/>
      </w:pPr>
      <w:r w:rsidRPr="00AC2EE6">
        <w:t xml:space="preserve">Mackey's second purported accommodation also fails. Mackey requested to be moved to a trainer position as an accommodation, but Mackey is incapable of performing the essential functions of a trainer. </w:t>
      </w:r>
    </w:p>
    <w:p w14:paraId="02911A11" w14:textId="77777777" w:rsidR="007811A4" w:rsidRDefault="007811A4" w:rsidP="007811A4">
      <w:pPr>
        <w:pStyle w:val="NoSpacing"/>
        <w:ind w:left="720"/>
      </w:pPr>
    </w:p>
    <w:p w14:paraId="13A1A8BD" w14:textId="77777777" w:rsidR="007811A4" w:rsidRPr="00AC2EE6" w:rsidRDefault="007811A4" w:rsidP="007811A4">
      <w:pPr>
        <w:pStyle w:val="NoSpacing"/>
        <w:ind w:left="720"/>
      </w:pPr>
      <w:r>
        <w:t>***</w:t>
      </w:r>
    </w:p>
    <w:p w14:paraId="3BD314BC" w14:textId="77777777" w:rsidR="007811A4" w:rsidRDefault="007811A4" w:rsidP="007811A4">
      <w:pPr>
        <w:pStyle w:val="NoSpacing"/>
        <w:ind w:left="720"/>
      </w:pPr>
      <w:r w:rsidRPr="00A4315C">
        <w:t>Accordingly, the Court grants Pine Bluff's motion for summary judgment as to Mackey's ADA and ACRA failure to accommodate claims</w:t>
      </w:r>
      <w:r>
        <w:t xml:space="preserve">. </w:t>
      </w:r>
    </w:p>
    <w:p w14:paraId="2BCF3203" w14:textId="77777777" w:rsidR="007811A4" w:rsidRDefault="007811A4" w:rsidP="007811A4">
      <w:pPr>
        <w:pStyle w:val="NoSpacing"/>
        <w:ind w:left="720"/>
      </w:pPr>
    </w:p>
    <w:p w14:paraId="46BE5C08" w14:textId="77777777" w:rsidR="007811A4" w:rsidRPr="00EF5C04" w:rsidRDefault="007811A4" w:rsidP="007811A4">
      <w:pPr>
        <w:rPr>
          <w:b/>
          <w:bCs/>
        </w:rPr>
      </w:pPr>
      <w:r>
        <w:rPr>
          <w:b/>
        </w:rPr>
        <w:t xml:space="preserve">Legal lesson learned: ADA only requires reasonable accommodation if employee can still perform the essential functions of the job. </w:t>
      </w:r>
    </w:p>
    <w:p w14:paraId="0FDD6890" w14:textId="77777777" w:rsidR="007811A4" w:rsidRDefault="007811A4" w:rsidP="007811A4">
      <w:pPr>
        <w:pStyle w:val="NoSpacing"/>
      </w:pPr>
      <w:r>
        <w:tab/>
        <w:t xml:space="preserve">Note:  The FD does provide light duty. </w:t>
      </w:r>
    </w:p>
    <w:p w14:paraId="3C0124FE" w14:textId="77777777" w:rsidR="007811A4" w:rsidRDefault="007811A4" w:rsidP="007811A4">
      <w:pPr>
        <w:pStyle w:val="NoSpacing"/>
        <w:ind w:left="720"/>
      </w:pPr>
    </w:p>
    <w:p w14:paraId="12F50575" w14:textId="77777777" w:rsidR="007811A4" w:rsidRDefault="007811A4" w:rsidP="007811A4">
      <w:pPr>
        <w:pStyle w:val="NoSpacing"/>
        <w:ind w:left="720"/>
      </w:pPr>
      <w:r>
        <w:t xml:space="preserve">“After Mackey resigned, another employee, </w:t>
      </w:r>
      <w:proofErr w:type="spellStart"/>
      <w:r>
        <w:t>E’Leecia</w:t>
      </w:r>
      <w:proofErr w:type="spellEnd"/>
      <w:r>
        <w:t xml:space="preserve"> Clark, was offered temporary light duty work….However, she had received hip replacement surgery and had run out of sick days, so the department offered her a temporary light duty job until her doctor cleared her to return to full duty…. Clark was </w:t>
      </w:r>
      <w:r w:rsidRPr="008437C5">
        <w:t>only on light duty work for four to five days before she was able to return to full duty</w:t>
      </w:r>
      <w:r>
        <w:t>.”</w:t>
      </w:r>
    </w:p>
    <w:p w14:paraId="39A49BE4" w14:textId="77777777" w:rsidR="007811A4" w:rsidRDefault="007811A4" w:rsidP="005C30A4">
      <w:pPr>
        <w:pStyle w:val="NoSpacing"/>
        <w:rPr>
          <w:rFonts w:ascii="Arial Black" w:hAnsi="Arial Black"/>
          <w:sz w:val="24"/>
          <w:szCs w:val="24"/>
        </w:rPr>
      </w:pPr>
    </w:p>
    <w:p w14:paraId="55774586" w14:textId="77777777" w:rsidR="003C742B" w:rsidRDefault="003C742B" w:rsidP="005C30A4">
      <w:pPr>
        <w:pStyle w:val="NoSpacing"/>
        <w:rPr>
          <w:rFonts w:ascii="Arial Black" w:hAnsi="Arial Black"/>
          <w:sz w:val="24"/>
          <w:szCs w:val="24"/>
        </w:rPr>
      </w:pPr>
    </w:p>
    <w:p w14:paraId="0048BD3B" w14:textId="77777777" w:rsidR="003C742B" w:rsidRDefault="003C742B" w:rsidP="005C30A4">
      <w:pPr>
        <w:pStyle w:val="NoSpacing"/>
        <w:rPr>
          <w:rFonts w:ascii="Arial Black" w:hAnsi="Arial Black"/>
          <w:sz w:val="24"/>
          <w:szCs w:val="24"/>
        </w:rPr>
      </w:pPr>
    </w:p>
    <w:p w14:paraId="11F69C69" w14:textId="77777777" w:rsidR="003C742B" w:rsidRDefault="003C742B" w:rsidP="005C30A4">
      <w:pPr>
        <w:pStyle w:val="NoSpacing"/>
        <w:rPr>
          <w:rFonts w:ascii="Arial Black" w:hAnsi="Arial Black"/>
          <w:sz w:val="24"/>
          <w:szCs w:val="24"/>
        </w:rPr>
      </w:pPr>
    </w:p>
    <w:p w14:paraId="3DE9E881" w14:textId="77777777" w:rsidR="003C742B" w:rsidRDefault="003C742B" w:rsidP="005C30A4">
      <w:pPr>
        <w:pStyle w:val="NoSpacing"/>
        <w:rPr>
          <w:rFonts w:ascii="Arial Black" w:hAnsi="Arial Black"/>
          <w:sz w:val="24"/>
          <w:szCs w:val="24"/>
        </w:rPr>
      </w:pPr>
    </w:p>
    <w:p w14:paraId="0497BB99" w14:textId="1F4336D5" w:rsidR="008D4459" w:rsidRDefault="003F5F35" w:rsidP="005C30A4">
      <w:pPr>
        <w:pStyle w:val="NoSpacing"/>
        <w:rPr>
          <w:rFonts w:ascii="Arial Black" w:hAnsi="Arial Black"/>
          <w:sz w:val="24"/>
          <w:szCs w:val="24"/>
        </w:rPr>
      </w:pPr>
      <w:r>
        <w:rPr>
          <w:rFonts w:ascii="Arial Black" w:hAnsi="Arial Black"/>
          <w:sz w:val="24"/>
          <w:szCs w:val="24"/>
        </w:rPr>
        <w:t>9-</w:t>
      </w:r>
      <w:r w:rsidR="00BA6D04">
        <w:rPr>
          <w:rFonts w:ascii="Arial Black" w:hAnsi="Arial Black"/>
          <w:sz w:val="24"/>
          <w:szCs w:val="24"/>
        </w:rPr>
        <w:t>60</w:t>
      </w:r>
    </w:p>
    <w:p w14:paraId="7B68E4A7" w14:textId="77777777" w:rsidR="00ED6D00" w:rsidRDefault="00ED6D00" w:rsidP="005C30A4">
      <w:pPr>
        <w:pStyle w:val="NoSpacing"/>
        <w:rPr>
          <w:rFonts w:ascii="Arial Black" w:hAnsi="Arial Black"/>
          <w:sz w:val="24"/>
          <w:szCs w:val="24"/>
        </w:rPr>
      </w:pPr>
    </w:p>
    <w:p w14:paraId="5A886678" w14:textId="77777777" w:rsidR="00ED6D00" w:rsidRPr="00130A45" w:rsidRDefault="00ED6D00" w:rsidP="00ED6D00">
      <w:pPr>
        <w:pStyle w:val="NoSpacing"/>
        <w:rPr>
          <w:rFonts w:ascii="Arial Black" w:hAnsi="Arial Black"/>
          <w:b/>
          <w:sz w:val="28"/>
          <w:szCs w:val="28"/>
        </w:rPr>
      </w:pPr>
      <w:r>
        <w:rPr>
          <w:rFonts w:ascii="Arial Black" w:hAnsi="Arial Black"/>
          <w:b/>
          <w:sz w:val="28"/>
          <w:szCs w:val="28"/>
        </w:rPr>
        <w:t>NY: BACK / NECK – CAN’T DO JOB – ADA CASE DISMISSED</w:t>
      </w:r>
    </w:p>
    <w:p w14:paraId="3DCFDCEA" w14:textId="77777777" w:rsidR="00ED6D00" w:rsidRDefault="00ED6D00" w:rsidP="00ED6D00">
      <w:pPr>
        <w:pStyle w:val="NoSpacing"/>
        <w:rPr>
          <w:bCs/>
        </w:rPr>
      </w:pPr>
    </w:p>
    <w:p w14:paraId="6A5AD63F" w14:textId="118CB54E" w:rsidR="00ED6D00" w:rsidRDefault="00ED6D00" w:rsidP="00ED6D00">
      <w:pPr>
        <w:pStyle w:val="NoSpacing"/>
      </w:pPr>
      <w:r>
        <w:t>On Feb. 26, 2026</w:t>
      </w:r>
      <w:proofErr w:type="gramStart"/>
      <w:r w:rsidR="008C5EE7">
        <w:t xml:space="preserve">, </w:t>
      </w:r>
      <w:r>
        <w:t>in</w:t>
      </w:r>
      <w:proofErr w:type="gramEnd"/>
      <w:r>
        <w:t xml:space="preserve"> </w:t>
      </w:r>
      <w:r w:rsidRPr="00C8301C">
        <w:rPr>
          <w:u w:val="single"/>
        </w:rPr>
        <w:t>Michael Knapp v. The City of Utica Bureau of Fire, et al.,</w:t>
      </w:r>
      <w:r>
        <w:t xml:space="preserve"> U.S. District Court Judge </w:t>
      </w:r>
      <w:r w:rsidRPr="00C951D8">
        <w:t>Anthony Brindisi</w:t>
      </w:r>
      <w:r>
        <w:t xml:space="preserve">. United States District Court for the Northern District of New York dismissed the firefighter’s ADA case; he can no longer perform the essential functions of the job.  The Court gave him 30 days to file an amended ADA complaint.  On </w:t>
      </w:r>
      <w:r w:rsidRPr="00A62FEE">
        <w:t xml:space="preserve">May 19, 2023, during a </w:t>
      </w:r>
      <w:r>
        <w:t xml:space="preserve">fire department </w:t>
      </w:r>
      <w:r w:rsidRPr="00A62FEE">
        <w:t xml:space="preserve">training exercise “involving an obstacle course,” plaintiff </w:t>
      </w:r>
      <w:r>
        <w:t xml:space="preserve">claimed he </w:t>
      </w:r>
      <w:r w:rsidRPr="00A62FEE">
        <w:t>suffered another injury, which further aggravated his pre-existing “back and neck” injuries.</w:t>
      </w:r>
      <w:r>
        <w:t xml:space="preserve"> He was ordered to take a worker’s comp IME (Independent Medical Exam); </w:t>
      </w:r>
      <w:r w:rsidRPr="00B01EA0">
        <w:t>Dr. Warren Silverman, who examined plaintiff and determined that his “pain and medical conditions were not the result of work-related injuries.”</w:t>
      </w:r>
      <w:r>
        <w:t xml:space="preserve"> </w:t>
      </w:r>
      <w:hyperlink r:id="rId1658" w:history="1">
        <w:r w:rsidRPr="00255C30">
          <w:rPr>
            <w:rStyle w:val="Hyperlink"/>
          </w:rPr>
          <w:t>https://public.fastcase.com/Jhe1Qn%2BmJndQYQU6z%2FeNm07xnsMMe9XopEXpzbd8wBfIcwWisDZ8Xdk0vkVeza2z?utm_medium=email&amp;_hsenc=p2ANqtz-9GpH5Yl8KbaQKypiwjwBSc5ZewK71TROtHeH7A0Ky0SFDkHfwzpfrGRkv9wpK-L_sBVpNrip23D5GifO3TaI5YS4qT7w&amp;_hsmi=226712652&amp;utm_content=226712652&amp;utm_source=hs_email</w:t>
        </w:r>
      </w:hyperlink>
    </w:p>
    <w:p w14:paraId="39DA158A" w14:textId="77777777" w:rsidR="00ED6D00" w:rsidRDefault="00ED6D00" w:rsidP="00ED6D00">
      <w:pPr>
        <w:pStyle w:val="NoSpacing"/>
      </w:pPr>
    </w:p>
    <w:p w14:paraId="7E792320" w14:textId="77777777" w:rsidR="00ED6D00" w:rsidRDefault="00ED6D00" w:rsidP="00ED6D00">
      <w:pPr>
        <w:pStyle w:val="NoSpacing"/>
      </w:pPr>
    </w:p>
    <w:p w14:paraId="08457438" w14:textId="77777777" w:rsidR="00ED6D00" w:rsidRDefault="00ED6D00" w:rsidP="00ED6D00">
      <w:pPr>
        <w:pStyle w:val="NoSpacing"/>
      </w:pPr>
      <w:r>
        <w:t>THE COURT HELD: “</w:t>
      </w:r>
      <w:r w:rsidRPr="00CC10A1">
        <w:t xml:space="preserve">In sum, plaintiff alleges that UFD has never offered him </w:t>
      </w:r>
      <w:r>
        <w:t>‘</w:t>
      </w:r>
      <w:r w:rsidRPr="00CC10A1">
        <w:t>any accommodation for the several injuries he sustained while on the job</w:t>
      </w:r>
      <w:r>
        <w:t xml:space="preserve">’ </w:t>
      </w:r>
      <w:r w:rsidRPr="00CC10A1">
        <w:t xml:space="preserve">despite his </w:t>
      </w:r>
      <w:r>
        <w:t>‘</w:t>
      </w:r>
      <w:r w:rsidRPr="00CC10A1">
        <w:t>multiple requests for same.</w:t>
      </w:r>
      <w:r>
        <w:t>’</w:t>
      </w:r>
      <w:r w:rsidRPr="00CC10A1">
        <w:t xml:space="preserve"> </w:t>
      </w:r>
      <w:proofErr w:type="spellStart"/>
      <w:r w:rsidRPr="00CC10A1">
        <w:t>Compl</w:t>
      </w:r>
      <w:proofErr w:type="spellEnd"/>
      <w:r w:rsidRPr="00CC10A1">
        <w:t>. ¶ 49</w:t>
      </w:r>
      <w:r>
        <w:t xml:space="preserve">…. </w:t>
      </w:r>
      <w:r w:rsidRPr="00CC10A1">
        <w:t xml:space="preserve">Plaintiff alleges that he is </w:t>
      </w:r>
      <w:r>
        <w:t>‘</w:t>
      </w:r>
      <w:r w:rsidRPr="00CC10A1">
        <w:t>out of work,</w:t>
      </w:r>
      <w:r>
        <w:t>’</w:t>
      </w:r>
      <w:r w:rsidRPr="00CC10A1">
        <w:t xml:space="preserve"> </w:t>
      </w:r>
      <w:r>
        <w:t xml:space="preserve"> ‘</w:t>
      </w:r>
      <w:r w:rsidRPr="00CC10A1">
        <w:t>receiving no pay,</w:t>
      </w:r>
      <w:r>
        <w:t>’</w:t>
      </w:r>
      <w:r w:rsidRPr="00CC10A1">
        <w:t xml:space="preserve"> and suffering </w:t>
      </w:r>
      <w:r>
        <w:t>‘</w:t>
      </w:r>
      <w:r w:rsidRPr="00CC10A1">
        <w:t>chronic pain</w:t>
      </w:r>
      <w:r>
        <w:t>’</w:t>
      </w:r>
      <w:r w:rsidRPr="00CC10A1">
        <w:t xml:space="preserve"> and </w:t>
      </w:r>
      <w:r>
        <w:t>‘</w:t>
      </w:r>
      <w:r w:rsidRPr="00CC10A1">
        <w:t>mental anguish, depression, and anxiety about his inability to continue to work and the fact that no reasonable accommodations were ever made.</w:t>
      </w:r>
      <w:r>
        <w:t xml:space="preserve"> </w:t>
      </w:r>
      <w:r w:rsidRPr="00CC10A1">
        <w:rPr>
          <w:i/>
          <w:iCs/>
        </w:rPr>
        <w:t>Id</w:t>
      </w:r>
      <w:r w:rsidRPr="00CC10A1">
        <w:t>. ¶¶ 51-53</w:t>
      </w:r>
      <w:r>
        <w:t>.</w:t>
      </w:r>
    </w:p>
    <w:p w14:paraId="6B8849E7" w14:textId="77777777" w:rsidR="00ED6D00" w:rsidRDefault="00ED6D00" w:rsidP="00ED6D00">
      <w:pPr>
        <w:pStyle w:val="NoSpacing"/>
      </w:pPr>
      <w:r>
        <w:t xml:space="preserve">*** </w:t>
      </w:r>
      <w:r w:rsidRPr="00260C3A">
        <w:t xml:space="preserve">First, plaintiff has failed to plausibly allege that he suffered a </w:t>
      </w:r>
      <w:r>
        <w:t>‘</w:t>
      </w:r>
      <w:r w:rsidRPr="00260C3A">
        <w:t>disability</w:t>
      </w:r>
      <w:r>
        <w:t>’</w:t>
      </w:r>
      <w:r w:rsidRPr="00260C3A">
        <w:t xml:space="preserve"> within the meaning of the Act, dooming his disparate-treatment and reasonable-accommodation claims</w:t>
      </w:r>
      <w:r>
        <w:t xml:space="preserve">…. </w:t>
      </w:r>
      <w:r w:rsidRPr="00DA6E7F">
        <w:t xml:space="preserve">On the merits, defendants argue that plaintiff has failed to state a plausible ADA claim because he has failed to allege that: (a) he is </w:t>
      </w:r>
      <w:r>
        <w:t>‘</w:t>
      </w:r>
      <w:r w:rsidRPr="00DA6E7F">
        <w:t>disabled</w:t>
      </w:r>
      <w:r>
        <w:t>’</w:t>
      </w:r>
      <w:r w:rsidRPr="00DA6E7F">
        <w:t xml:space="preserve"> within the meaning of the statute; (b) he is </w:t>
      </w:r>
      <w:r>
        <w:t>‘</w:t>
      </w:r>
      <w:r w:rsidRPr="00DA6E7F">
        <w:t>qualified to perform the essential functions of the job</w:t>
      </w:r>
      <w:r>
        <w:t>’</w:t>
      </w:r>
      <w:r w:rsidRPr="00DA6E7F">
        <w:t xml:space="preserve">; or that (c) he suffered a qualifying </w:t>
      </w:r>
      <w:r>
        <w:t>‘</w:t>
      </w:r>
      <w:r w:rsidRPr="00DA6E7F">
        <w:t>adverse employment action.</w:t>
      </w:r>
      <w:r>
        <w:t xml:space="preserve">’” </w:t>
      </w:r>
    </w:p>
    <w:p w14:paraId="668820A5" w14:textId="77777777" w:rsidR="00ED6D00" w:rsidRDefault="00ED6D00" w:rsidP="00ED6D00">
      <w:pPr>
        <w:pStyle w:val="NoSpacing"/>
      </w:pPr>
    </w:p>
    <w:p w14:paraId="0F59525B" w14:textId="77777777" w:rsidR="00ED6D00" w:rsidRPr="005564F2" w:rsidRDefault="00ED6D00" w:rsidP="00ED6D00">
      <w:pPr>
        <w:pStyle w:val="NoSpacing"/>
        <w:rPr>
          <w:b/>
          <w:bCs/>
        </w:rPr>
      </w:pPr>
      <w:r w:rsidRPr="005564F2">
        <w:rPr>
          <w:b/>
        </w:rPr>
        <w:t xml:space="preserve">Legal lesson learned: Plaintiff is not a “qualified individual” under the ADA if unable to perform the essential functions of the job.  </w:t>
      </w:r>
    </w:p>
    <w:p w14:paraId="70B91C8F" w14:textId="77777777" w:rsidR="00ED6D00" w:rsidRDefault="00ED6D00" w:rsidP="00ED6D00">
      <w:pPr>
        <w:pStyle w:val="NoSpacing"/>
      </w:pPr>
    </w:p>
    <w:p w14:paraId="0889A04D" w14:textId="77777777" w:rsidR="00ED6D00" w:rsidRPr="00300D14" w:rsidRDefault="00ED6D00" w:rsidP="00ED6D00">
      <w:pPr>
        <w:pStyle w:val="NoSpacing"/>
        <w:ind w:left="720"/>
        <w:rPr>
          <w:bCs/>
        </w:rPr>
      </w:pPr>
      <w:r w:rsidRPr="00300D14">
        <w:t>Note:  EEOC - The ADA: Questions and Answers</w:t>
      </w:r>
      <w:r>
        <w:t xml:space="preserve">. </w:t>
      </w:r>
      <w:hyperlink r:id="rId1659" w:history="1">
        <w:r w:rsidRPr="00255C30">
          <w:rPr>
            <w:rStyle w:val="Hyperlink"/>
          </w:rPr>
          <w:t>https://www.eeoc.gov/laws/guidance/ada-questions-and-answers</w:t>
        </w:r>
      </w:hyperlink>
      <w:r>
        <w:t xml:space="preserve"> </w:t>
      </w:r>
    </w:p>
    <w:p w14:paraId="22D75150" w14:textId="77777777" w:rsidR="00ED6D00" w:rsidRDefault="00ED6D00" w:rsidP="00ED6D00">
      <w:pPr>
        <w:pStyle w:val="NoSpacing"/>
        <w:ind w:firstLine="720"/>
        <w:rPr>
          <w:b/>
        </w:rPr>
      </w:pPr>
    </w:p>
    <w:p w14:paraId="39572B67" w14:textId="77777777" w:rsidR="00ED6D00" w:rsidRPr="00030E56" w:rsidRDefault="00ED6D00" w:rsidP="00ED6D00">
      <w:pPr>
        <w:pStyle w:val="NoSpacing"/>
        <w:ind w:firstLine="720"/>
      </w:pPr>
      <w:r>
        <w:rPr>
          <w:b/>
        </w:rPr>
        <w:t>“</w:t>
      </w:r>
      <w:r w:rsidRPr="00030E56">
        <w:rPr>
          <w:b/>
        </w:rPr>
        <w:t>Who is a "qualified individual with a disability?"</w:t>
      </w:r>
    </w:p>
    <w:p w14:paraId="6028D0E1" w14:textId="77777777" w:rsidR="00ED6D00" w:rsidRPr="00030E56" w:rsidRDefault="00ED6D00" w:rsidP="00ED6D00">
      <w:pPr>
        <w:pStyle w:val="NoSpacing"/>
        <w:ind w:left="720"/>
      </w:pPr>
      <w:r w:rsidRPr="00030E56">
        <w:t xml:space="preserve">A. A qualified individual with a disability is a person who meets legitimate skill, experience, education, or other requirements of an employment position that he or she holds or seeks, and who can perform the "essential functions" of the position with or without reasonable accommodation. Requiring the ability to perform "essential" functions </w:t>
      </w:r>
      <w:proofErr w:type="gramStart"/>
      <w:r w:rsidRPr="00030E56">
        <w:t>assures</w:t>
      </w:r>
      <w:proofErr w:type="gramEnd"/>
      <w:r w:rsidRPr="00030E56">
        <w:t xml:space="preserve"> that an individual will not be considered unqualified simply because of inability to perform marginal or incidental job functions. If the individual is qualified to perform essential job functions except for limitations caused by a disability, the employer must consider whether the individual could perform these functions with </w:t>
      </w:r>
      <w:proofErr w:type="gramStart"/>
      <w:r w:rsidRPr="00030E56">
        <w:t>a reasonable</w:t>
      </w:r>
      <w:proofErr w:type="gramEnd"/>
      <w:r w:rsidRPr="00030E56">
        <w:t xml:space="preserve"> accommodation. If a written job description has been prepared in advance of advertising or interviewing applicants for a job, this will be considered as evidence, although not necessarily conclusive evidence, of the essential functions of the </w:t>
      </w:r>
      <w:proofErr w:type="gramStart"/>
      <w:r w:rsidRPr="00030E56">
        <w:t>job.</w:t>
      </w:r>
      <w:r>
        <w:t>”</w:t>
      </w:r>
      <w:proofErr w:type="gramEnd"/>
    </w:p>
    <w:p w14:paraId="10745909" w14:textId="77777777" w:rsidR="00ED6D00" w:rsidRDefault="00ED6D00" w:rsidP="005C30A4">
      <w:pPr>
        <w:pStyle w:val="NoSpacing"/>
        <w:rPr>
          <w:rFonts w:ascii="Arial Black" w:hAnsi="Arial Black"/>
          <w:sz w:val="24"/>
          <w:szCs w:val="24"/>
        </w:rPr>
      </w:pPr>
    </w:p>
    <w:p w14:paraId="03E85787" w14:textId="2FC63746" w:rsidR="00BA6D04" w:rsidRDefault="00BA6D04" w:rsidP="00BA6D04">
      <w:pPr>
        <w:pStyle w:val="NoSpacing"/>
        <w:rPr>
          <w:rFonts w:ascii="Arial Black" w:hAnsi="Arial Black"/>
          <w:sz w:val="24"/>
          <w:szCs w:val="24"/>
        </w:rPr>
      </w:pPr>
      <w:r>
        <w:rPr>
          <w:rFonts w:ascii="Arial Black" w:hAnsi="Arial Black"/>
          <w:sz w:val="24"/>
          <w:szCs w:val="24"/>
        </w:rPr>
        <w:t>9-59</w:t>
      </w:r>
    </w:p>
    <w:p w14:paraId="1CC4DFDE" w14:textId="77777777" w:rsidR="003F5F35" w:rsidRDefault="003F5F35" w:rsidP="009C7451">
      <w:pPr>
        <w:pStyle w:val="NoSpacing"/>
        <w:rPr>
          <w:rFonts w:ascii="Arial Black" w:hAnsi="Arial Black"/>
          <w:sz w:val="24"/>
          <w:szCs w:val="24"/>
        </w:rPr>
      </w:pPr>
    </w:p>
    <w:p w14:paraId="43B8E9E8" w14:textId="77777777" w:rsidR="00BA6D04" w:rsidRDefault="00BA6D04" w:rsidP="00BA6D04">
      <w:pPr>
        <w:pStyle w:val="NoSpacing"/>
        <w:rPr>
          <w:rFonts w:ascii="Arial Black" w:hAnsi="Arial Black"/>
          <w:sz w:val="28"/>
          <w:szCs w:val="28"/>
        </w:rPr>
      </w:pPr>
      <w:r>
        <w:rPr>
          <w:rFonts w:ascii="Arial Black" w:hAnsi="Arial Black"/>
          <w:sz w:val="28"/>
          <w:szCs w:val="28"/>
        </w:rPr>
        <w:t xml:space="preserve">OH: FF 15-YRS HEARING AIDS – NFPA 1582 REQ. - FIRED </w:t>
      </w:r>
    </w:p>
    <w:p w14:paraId="27F23509" w14:textId="77777777" w:rsidR="00BA6D04" w:rsidRDefault="00BA6D04" w:rsidP="00BA6D04">
      <w:pPr>
        <w:pStyle w:val="NoSpacing"/>
        <w:rPr>
          <w:rFonts w:ascii="Arial Black" w:hAnsi="Arial Black"/>
          <w:sz w:val="28"/>
          <w:szCs w:val="28"/>
        </w:rPr>
      </w:pPr>
    </w:p>
    <w:p w14:paraId="11E96640" w14:textId="77777777" w:rsidR="00BA6D04" w:rsidRDefault="00BA6D04" w:rsidP="00BA6D04">
      <w:pPr>
        <w:pStyle w:val="NoSpacing"/>
        <w:rPr>
          <w:b/>
        </w:rPr>
      </w:pPr>
      <w:r>
        <w:t xml:space="preserve">On February 23, 2026, in </w:t>
      </w:r>
      <w:r w:rsidRPr="005E030B">
        <w:rPr>
          <w:u w:val="single"/>
        </w:rPr>
        <w:t>Jeffrey Kibler v. Genoa Township, Ohio</w:t>
      </w:r>
      <w:r>
        <w:t xml:space="preserve">, U.S. District Court Judge </w:t>
      </w:r>
      <w:r w:rsidRPr="00E51D1A">
        <w:t>Sarah D. Morrison</w:t>
      </w:r>
      <w:r>
        <w:t xml:space="preserve">, United States District Court for the Southern District of Ohio, granted the Township’s motion for summary judgment. The firefighter, who worked for the Township from </w:t>
      </w:r>
      <w:r w:rsidRPr="006D6749">
        <w:t>2001</w:t>
      </w:r>
      <w:r>
        <w:t xml:space="preserve"> until his terminated April 21, 2022, wore a hearing aid in right ear since 2002, and left ear since 2006, with Fire Chiefs knowledge. During his August 19, </w:t>
      </w:r>
      <w:proofErr w:type="gramStart"/>
      <w:r>
        <w:t>2021</w:t>
      </w:r>
      <w:proofErr w:type="gramEnd"/>
      <w:r>
        <w:t xml:space="preserve"> annual physical, Dr. William </w:t>
      </w:r>
      <w:proofErr w:type="spellStart"/>
      <w:r>
        <w:t>Cann</w:t>
      </w:r>
      <w:proofErr w:type="spellEnd"/>
      <w:r>
        <w:t xml:space="preserve"> reviewed the firefighter’s hearing loss records and advised the Fire Chief that his hearing fell below the NFPA 1582 </w:t>
      </w:r>
      <w:r w:rsidRPr="00707150">
        <w:rPr>
          <w:i/>
          <w:iCs/>
        </w:rPr>
        <w:t>unaided</w:t>
      </w:r>
      <w:r>
        <w:t xml:space="preserve"> threshold, back to at least 2011, and his hearing has worsened over time. The firefighter suggested several possible ADA accommodations, including carrying a second set of hearing aids, or working as just an engineer, but they were not accepted. The Court referenced the testimony of Dr. Stanely C. Haimes, who served on the NFPA 1582 technical committee: “hearing aids are not designed for operation in structural firefighting environmental conditions of elevated heat, water deluge, and humidity and therefore being subject to unpredictable failure under those conditions.” </w:t>
      </w:r>
      <w:hyperlink r:id="rId1660" w:history="1">
        <w:r w:rsidRPr="0031614A">
          <w:rPr>
            <w:rStyle w:val="Hyperlink"/>
            <w:b/>
          </w:rPr>
          <w:t>https://cases.justia.com/federal/district-courts/ohio/ohsdce/2:2023cv02466/282351/63/0.pdf?ts=1771088328</w:t>
        </w:r>
      </w:hyperlink>
      <w:r>
        <w:rPr>
          <w:b/>
        </w:rPr>
        <w:t xml:space="preserve"> </w:t>
      </w:r>
    </w:p>
    <w:p w14:paraId="42045FC5" w14:textId="77777777" w:rsidR="00BA6D04" w:rsidRDefault="00BA6D04" w:rsidP="00BA6D04">
      <w:pPr>
        <w:pStyle w:val="NoSpacing"/>
      </w:pPr>
    </w:p>
    <w:p w14:paraId="3CDADD16" w14:textId="77777777" w:rsidR="00BA6D04" w:rsidRDefault="00BA6D04" w:rsidP="00BA6D04">
      <w:pPr>
        <w:pStyle w:val="NoSpacing"/>
      </w:pPr>
      <w:r>
        <w:t>THE COURT HELD:</w:t>
      </w:r>
    </w:p>
    <w:p w14:paraId="33606AA3" w14:textId="77777777" w:rsidR="00BA6D04" w:rsidRDefault="00BA6D04" w:rsidP="00BA6D04">
      <w:pPr>
        <w:pStyle w:val="NoSpacing"/>
      </w:pPr>
    </w:p>
    <w:p w14:paraId="14E7BA4C" w14:textId="77777777" w:rsidR="00BA6D04" w:rsidRDefault="00BA6D04" w:rsidP="00BA6D04">
      <w:pPr>
        <w:pStyle w:val="NoSpacing"/>
        <w:ind w:left="720"/>
      </w:pPr>
      <w:r>
        <w:t>“</w:t>
      </w:r>
      <w:r w:rsidRPr="00257A2D">
        <w:t>Mr. Kibler argues that</w:t>
      </w:r>
      <w:r>
        <w:t xml:space="preserve"> these accommodations are nevertheless reasonable because he used hearing aids in both ears while working as a Firefighter/EMT for 15 years without issue, even though he did not meet the NFPA threshold for </w:t>
      </w:r>
      <w:proofErr w:type="gramStart"/>
      <w:r>
        <w:t>the majority of</w:t>
      </w:r>
      <w:proofErr w:type="gramEnd"/>
      <w:r>
        <w:t xml:space="preserve"> that time [since at least 2011]. But, </w:t>
      </w:r>
      <w:proofErr w:type="gramStart"/>
      <w:r>
        <w:t>in light of</w:t>
      </w:r>
      <w:proofErr w:type="gramEnd"/>
      <w:r>
        <w:t xml:space="preserve"> the evidence that Mr. Kibler’s hearing has worsened over time, Mr. Kibler’s prior performance is not dispositive of his continued ability to meet the essential qualifications of the Firefighter/EMT role.</w:t>
      </w:r>
    </w:p>
    <w:p w14:paraId="18E2A93D" w14:textId="77777777" w:rsidR="00BA6D04" w:rsidRDefault="00BA6D04" w:rsidP="00BA6D04">
      <w:pPr>
        <w:pStyle w:val="NoSpacing"/>
        <w:ind w:left="720"/>
      </w:pPr>
    </w:p>
    <w:p w14:paraId="4A834268" w14:textId="77777777" w:rsidR="00BA6D04" w:rsidRDefault="00BA6D04" w:rsidP="00BA6D04">
      <w:pPr>
        <w:pStyle w:val="NoSpacing"/>
        <w:ind w:left="720"/>
      </w:pPr>
      <w:r>
        <w:t>***</w:t>
      </w:r>
    </w:p>
    <w:p w14:paraId="289760EE" w14:textId="77777777" w:rsidR="00BA6D04" w:rsidRDefault="00BA6D04" w:rsidP="00BA6D04">
      <w:pPr>
        <w:pStyle w:val="NoSpacing"/>
        <w:ind w:left="720"/>
      </w:pPr>
      <w:r>
        <w:t xml:space="preserve">Mr. Kibler argues that there are three accommodations that are reasonable and would allow him to perform the essential job functions: that Genoa (1) allow him to work with his hearing aids; (2) require Mr. Kibler carry a second pair of hearing aids as a backup; or (3) allow him to only work as an engineer and not perform other firefighting duties at scenes. With respect to the first two proposed accommodations, neither addresses that the NFPA threshold is a threshold for </w:t>
      </w:r>
      <w:r w:rsidRPr="00741231">
        <w:rPr>
          <w:i/>
          <w:iCs/>
        </w:rPr>
        <w:t>unaided</w:t>
      </w:r>
      <w:r>
        <w:t xml:space="preserve"> hearing.</w:t>
      </w:r>
    </w:p>
    <w:p w14:paraId="526E596F" w14:textId="77777777" w:rsidR="00BA6D04" w:rsidRDefault="00BA6D04" w:rsidP="00BA6D04">
      <w:pPr>
        <w:pStyle w:val="NoSpacing"/>
        <w:ind w:left="720"/>
      </w:pPr>
    </w:p>
    <w:p w14:paraId="6E69E265" w14:textId="77777777" w:rsidR="00BA6D04" w:rsidRDefault="00BA6D04" w:rsidP="00BA6D04">
      <w:pPr>
        <w:pStyle w:val="NoSpacing"/>
        <w:ind w:left="720"/>
      </w:pPr>
      <w:r>
        <w:t>***</w:t>
      </w:r>
    </w:p>
    <w:p w14:paraId="6F1F2C2F" w14:textId="77777777" w:rsidR="00BA6D04" w:rsidRDefault="00BA6D04" w:rsidP="00BA6D04">
      <w:pPr>
        <w:pStyle w:val="NoSpacing"/>
        <w:ind w:left="720"/>
      </w:pPr>
    </w:p>
    <w:p w14:paraId="19EEEBB5" w14:textId="77777777" w:rsidR="00BA6D04" w:rsidRDefault="00BA6D04" w:rsidP="00BA6D04">
      <w:pPr>
        <w:pStyle w:val="NoSpacing"/>
        <w:ind w:left="720"/>
      </w:pPr>
      <w:r>
        <w:t xml:space="preserve">Further, Genoa has offered evidence that the risk of Mr. Kibler’s hearing aids failing in an IDLH environment is not merely speculative. Dr. Stanely C. Haimes (a physician who works on the technical committee that established the NFPA threshold) testified that the NFPA 1582 Standard does not permit firefighters to use a </w:t>
      </w:r>
      <w:r>
        <w:lastRenderedPageBreak/>
        <w:t xml:space="preserve">hearing aid to meet the minimum hearing threshold because hearing aids are not ‘designed for operation in structural firefighting environmental conditions of elevated heat, water deluge, and humidity and therefore being subject to unpredictable failure under those conditions.’ (Haimes Rep., PAGEID # 2076.) Dr. Haimes says that carrying a spare hearing aid would not alleviate these safety concerns because ‘it would be extremely dangerous - if not life threatening - to have the firefighter remove his personal protective equipment” to replace his hearing aids while on a call. </w:t>
      </w:r>
    </w:p>
    <w:p w14:paraId="7DD53021" w14:textId="77777777" w:rsidR="00BA6D04" w:rsidRDefault="00BA6D04" w:rsidP="00BA6D04">
      <w:pPr>
        <w:pStyle w:val="NoSpacing"/>
        <w:ind w:left="720"/>
      </w:pPr>
    </w:p>
    <w:p w14:paraId="76A456B9" w14:textId="77777777" w:rsidR="00BA6D04" w:rsidRDefault="00BA6D04" w:rsidP="00BA6D04">
      <w:pPr>
        <w:pStyle w:val="NoSpacing"/>
        <w:ind w:left="720"/>
      </w:pPr>
      <w:r>
        <w:t>***</w:t>
      </w:r>
    </w:p>
    <w:p w14:paraId="199FF769" w14:textId="77777777" w:rsidR="00BA6D04" w:rsidRDefault="00BA6D04" w:rsidP="00BA6D04">
      <w:pPr>
        <w:pStyle w:val="NoSpacing"/>
        <w:ind w:left="720"/>
      </w:pPr>
      <w:r>
        <w:t xml:space="preserve">Mr. Kibler’s proposals to continue wearing hearing aids and/or carry a backup pair were thus unreasonable </w:t>
      </w:r>
      <w:proofErr w:type="gramStart"/>
      <w:r>
        <w:t>in light of</w:t>
      </w:r>
      <w:proofErr w:type="gramEnd"/>
      <w:r>
        <w:t xml:space="preserve"> a firefighter’s reliance on his hearing in low visibility situations and the testimony that hearing aids can unpredictably fail in an IDLH environment. Mr. Kibler effectively argues that Genoa should ignore its own policy and application of a national standard, recommendations from a medical professional, and the danger posed by the potential and ‘unpredictable’ failure of hearing aids in an IDLH environment, in favor of hoping that nothing goes wrong in the future. The law does not require Genoa to assume this risk.”</w:t>
      </w:r>
    </w:p>
    <w:p w14:paraId="28E348E5" w14:textId="77777777" w:rsidR="00BA6D04" w:rsidRDefault="00BA6D04" w:rsidP="00BA6D04">
      <w:pPr>
        <w:pStyle w:val="NoSpacing"/>
        <w:ind w:left="720"/>
      </w:pPr>
    </w:p>
    <w:p w14:paraId="32703330" w14:textId="77777777" w:rsidR="00BA6D04" w:rsidRDefault="00BA6D04" w:rsidP="00BA6D04">
      <w:pPr>
        <w:pStyle w:val="NoSpacing"/>
        <w:rPr>
          <w:b/>
          <w:bCs/>
        </w:rPr>
      </w:pPr>
      <w:r>
        <w:rPr>
          <w:b/>
        </w:rPr>
        <w:t>Legal lesson learned: The case has been appealed to the U.S. Court of Appeals for the 6</w:t>
      </w:r>
      <w:r w:rsidRPr="002E6678">
        <w:rPr>
          <w:b/>
          <w:vertAlign w:val="superscript"/>
        </w:rPr>
        <w:t>th</w:t>
      </w:r>
      <w:r>
        <w:rPr>
          <w:b/>
        </w:rPr>
        <w:t xml:space="preserve"> Circuit (Cincinnati); that decision may provide more guidance on obligations of a fire department to accommodate a firefighter that has long worn hearing aids without incident.</w:t>
      </w:r>
    </w:p>
    <w:p w14:paraId="1568828B" w14:textId="77777777" w:rsidR="00BA6D04" w:rsidRDefault="00BA6D04" w:rsidP="00BA6D04">
      <w:pPr>
        <w:pStyle w:val="NoSpacing"/>
        <w:rPr>
          <w:b/>
          <w:bCs/>
        </w:rPr>
      </w:pPr>
    </w:p>
    <w:p w14:paraId="6564DA9F" w14:textId="77777777" w:rsidR="00BA6D04" w:rsidRDefault="00BA6D04" w:rsidP="00BA6D04">
      <w:pPr>
        <w:pStyle w:val="NoSpacing"/>
        <w:ind w:left="720"/>
      </w:pPr>
      <w:r w:rsidRPr="000E4D36">
        <w:t>Note: See IAFC Guidance on NFPA 1582</w:t>
      </w:r>
      <w:r>
        <w:t xml:space="preserve"> (</w:t>
      </w:r>
      <w:r w:rsidRPr="000E6FDF">
        <w:t>6.5 Ears and Hearing – Candidates/New Hire</w:t>
      </w:r>
      <w:r>
        <w:t>)</w:t>
      </w:r>
      <w:r w:rsidRPr="000E4D36">
        <w:t xml:space="preserve">: </w:t>
      </w:r>
      <w:hyperlink r:id="rId1661" w:history="1">
        <w:r w:rsidRPr="0031614A">
          <w:rPr>
            <w:rStyle w:val="Hyperlink"/>
          </w:rPr>
          <w:t>https://www.iafc.org/docs/default-source/1safehealthshs/vws_rrkit_nfpa-1582.pdf?sfvrsn=ca9b9f0d_4</w:t>
        </w:r>
      </w:hyperlink>
    </w:p>
    <w:p w14:paraId="6923F494" w14:textId="77777777" w:rsidR="00BA6D04" w:rsidRDefault="00BA6D04" w:rsidP="00BA6D04">
      <w:pPr>
        <w:pStyle w:val="NoSpacing"/>
        <w:ind w:left="720"/>
      </w:pPr>
    </w:p>
    <w:p w14:paraId="236AC468" w14:textId="77777777" w:rsidR="00BA6D04" w:rsidRDefault="00BA6D04" w:rsidP="00BA6D04">
      <w:pPr>
        <w:pStyle w:val="NoSpacing"/>
        <w:ind w:left="720"/>
        <w:rPr>
          <w:bCs/>
        </w:rPr>
      </w:pPr>
      <w:r w:rsidRPr="00DE04B3">
        <w:t>August 16, 2023: Understanding NFPA 1582 Medication Disqualifications: A Comprehensive Guide</w:t>
      </w:r>
      <w:r>
        <w:t xml:space="preserve">.  </w:t>
      </w:r>
      <w:hyperlink r:id="rId1662" w:history="1">
        <w:r w:rsidRPr="00F54646">
          <w:rPr>
            <w:rStyle w:val="Hyperlink"/>
          </w:rPr>
          <w:t>https://acuityinternational.com/blog/nfpa-1582-medication-disqualifications/</w:t>
        </w:r>
      </w:hyperlink>
      <w:r>
        <w:t xml:space="preserve"> </w:t>
      </w:r>
    </w:p>
    <w:p w14:paraId="51FDA02C" w14:textId="77777777" w:rsidR="00BA6D04" w:rsidRDefault="00BA6D04" w:rsidP="00BA6D04">
      <w:pPr>
        <w:pStyle w:val="NoSpacing"/>
        <w:ind w:left="720"/>
        <w:rPr>
          <w:bCs/>
        </w:rPr>
      </w:pPr>
    </w:p>
    <w:p w14:paraId="09F6A263" w14:textId="77777777" w:rsidR="00BA6D04" w:rsidRPr="00C50BF9" w:rsidRDefault="00BA6D04" w:rsidP="00BA6D04">
      <w:pPr>
        <w:pStyle w:val="NoSpacing"/>
        <w:ind w:left="720"/>
        <w:rPr>
          <w:bCs/>
        </w:rPr>
      </w:pPr>
      <w:r>
        <w:t xml:space="preserve">June 2024: </w:t>
      </w:r>
      <w:r w:rsidRPr="00C50BF9">
        <w:t>Knowledge and Attitudes Towards Usage of Hearing Protection in</w:t>
      </w:r>
    </w:p>
    <w:p w14:paraId="55C060BE" w14:textId="77777777" w:rsidR="00BA6D04" w:rsidRDefault="00BA6D04" w:rsidP="00BA6D04">
      <w:pPr>
        <w:pStyle w:val="NoSpacing"/>
        <w:ind w:left="720"/>
        <w:rPr>
          <w:bCs/>
        </w:rPr>
      </w:pPr>
      <w:r w:rsidRPr="00C50BF9">
        <w:t>Volunteer Firefighter</w:t>
      </w:r>
      <w:r>
        <w:t xml:space="preserve">s. </w:t>
      </w:r>
      <w:hyperlink r:id="rId1663" w:history="1">
        <w:r w:rsidRPr="00F54646">
          <w:rPr>
            <w:rStyle w:val="Hyperlink"/>
          </w:rPr>
          <w:t>https://academicworks.cuny.edu/cgi/viewcontent.cgi?article=6894&amp;context=gc_etds</w:t>
        </w:r>
      </w:hyperlink>
      <w:r>
        <w:t xml:space="preserve"> </w:t>
      </w:r>
    </w:p>
    <w:p w14:paraId="504C3C61" w14:textId="77777777" w:rsidR="00BA6D04" w:rsidRPr="00131E8D" w:rsidRDefault="00BA6D04" w:rsidP="00BA6D04">
      <w:pPr>
        <w:pStyle w:val="NoSpacing"/>
        <w:ind w:firstLine="720"/>
        <w:rPr>
          <w:bCs/>
        </w:rPr>
      </w:pPr>
      <w:r>
        <w:t>“</w:t>
      </w:r>
      <w:r w:rsidRPr="00131E8D">
        <w:t>Despite most firefighters acknowledging exposure to noise during firefighting activities,</w:t>
      </w:r>
    </w:p>
    <w:p w14:paraId="17B52989" w14:textId="77777777" w:rsidR="00BA6D04" w:rsidRPr="00DE04B3" w:rsidRDefault="00BA6D04" w:rsidP="00BA6D04">
      <w:pPr>
        <w:pStyle w:val="NoSpacing"/>
        <w:ind w:left="720"/>
        <w:rPr>
          <w:bCs/>
        </w:rPr>
      </w:pPr>
      <w:r w:rsidRPr="00131E8D">
        <w:t>only one individual reported wearing hearing protection while firefighting, with an additional</w:t>
      </w:r>
      <w:r>
        <w:t xml:space="preserve"> </w:t>
      </w:r>
      <w:r w:rsidRPr="00131E8D">
        <w:t>five occasionally doing so, leaving 64 firefighters who do not utilize hearing protection.</w:t>
      </w:r>
      <w:r>
        <w:t>”</w:t>
      </w:r>
    </w:p>
    <w:p w14:paraId="1C072D83" w14:textId="77777777" w:rsidR="00BA6D04" w:rsidRDefault="00BA6D04" w:rsidP="00BA6D04">
      <w:pPr>
        <w:pStyle w:val="NoSpacing"/>
        <w:ind w:left="720"/>
      </w:pPr>
    </w:p>
    <w:p w14:paraId="5A69ABAB" w14:textId="77777777" w:rsidR="00BA6D04" w:rsidRDefault="00BA6D04" w:rsidP="00BA6D04">
      <w:pPr>
        <w:pStyle w:val="NoSpacing"/>
        <w:ind w:left="720"/>
      </w:pPr>
    </w:p>
    <w:p w14:paraId="154575EB" w14:textId="77777777" w:rsidR="003F5F35" w:rsidRDefault="003F5F35" w:rsidP="009C7451">
      <w:pPr>
        <w:pStyle w:val="NoSpacing"/>
        <w:rPr>
          <w:rFonts w:ascii="Arial Black" w:hAnsi="Arial Black"/>
          <w:sz w:val="24"/>
          <w:szCs w:val="24"/>
        </w:rPr>
      </w:pPr>
    </w:p>
    <w:p w14:paraId="40AE3BA4" w14:textId="77777777" w:rsidR="00BA6D04" w:rsidRDefault="00BA6D04" w:rsidP="009C7451">
      <w:pPr>
        <w:pStyle w:val="NoSpacing"/>
        <w:rPr>
          <w:rFonts w:ascii="Arial Black" w:hAnsi="Arial Black"/>
          <w:sz w:val="24"/>
          <w:szCs w:val="24"/>
        </w:rPr>
      </w:pPr>
    </w:p>
    <w:p w14:paraId="76165CD7" w14:textId="77777777" w:rsidR="00BA6D04" w:rsidRDefault="00BA6D04" w:rsidP="009C7451">
      <w:pPr>
        <w:pStyle w:val="NoSpacing"/>
        <w:rPr>
          <w:rFonts w:ascii="Arial Black" w:hAnsi="Arial Black"/>
          <w:sz w:val="24"/>
          <w:szCs w:val="24"/>
        </w:rPr>
      </w:pPr>
    </w:p>
    <w:p w14:paraId="0DEE80D9" w14:textId="77777777" w:rsidR="00BA6D04" w:rsidRDefault="00BA6D04" w:rsidP="009C7451">
      <w:pPr>
        <w:pStyle w:val="NoSpacing"/>
        <w:rPr>
          <w:rFonts w:ascii="Arial Black" w:hAnsi="Arial Black"/>
          <w:sz w:val="24"/>
          <w:szCs w:val="24"/>
        </w:rPr>
      </w:pPr>
    </w:p>
    <w:p w14:paraId="3492EC24" w14:textId="77777777" w:rsidR="00BA6D04" w:rsidRDefault="00BA6D04" w:rsidP="009C7451">
      <w:pPr>
        <w:pStyle w:val="NoSpacing"/>
        <w:rPr>
          <w:rFonts w:ascii="Arial Black" w:hAnsi="Arial Black"/>
          <w:sz w:val="24"/>
          <w:szCs w:val="24"/>
        </w:rPr>
      </w:pPr>
    </w:p>
    <w:p w14:paraId="78400AB0" w14:textId="77777777" w:rsidR="00BA6D04" w:rsidRDefault="00BA6D04" w:rsidP="009C7451">
      <w:pPr>
        <w:pStyle w:val="NoSpacing"/>
        <w:rPr>
          <w:rFonts w:ascii="Arial Black" w:hAnsi="Arial Black"/>
          <w:sz w:val="24"/>
          <w:szCs w:val="24"/>
        </w:rPr>
      </w:pPr>
    </w:p>
    <w:p w14:paraId="7835D1A7" w14:textId="77777777" w:rsidR="00BA6D04" w:rsidRDefault="00BA6D04" w:rsidP="009C7451">
      <w:pPr>
        <w:pStyle w:val="NoSpacing"/>
        <w:rPr>
          <w:rFonts w:ascii="Arial Black" w:hAnsi="Arial Black"/>
          <w:sz w:val="24"/>
          <w:szCs w:val="24"/>
        </w:rPr>
      </w:pPr>
    </w:p>
    <w:p w14:paraId="76B16E88" w14:textId="4BE7019D" w:rsidR="00730526" w:rsidRDefault="00730526" w:rsidP="009C7451">
      <w:pPr>
        <w:pStyle w:val="NoSpacing"/>
        <w:rPr>
          <w:rFonts w:ascii="Arial Black" w:hAnsi="Arial Black"/>
          <w:sz w:val="24"/>
          <w:szCs w:val="24"/>
        </w:rPr>
      </w:pPr>
      <w:r>
        <w:rPr>
          <w:rFonts w:ascii="Arial Black" w:hAnsi="Arial Black"/>
          <w:sz w:val="24"/>
          <w:szCs w:val="24"/>
        </w:rPr>
        <w:t>9-58</w:t>
      </w:r>
    </w:p>
    <w:p w14:paraId="3AF2129D" w14:textId="47175C21" w:rsidR="00C5485C" w:rsidRPr="00FC582A" w:rsidRDefault="00C5485C" w:rsidP="00C5485C">
      <w:pPr>
        <w:pStyle w:val="NoSpacing"/>
        <w:rPr>
          <w:rFonts w:ascii="Arial Black" w:hAnsi="Arial Black"/>
          <w:sz w:val="28"/>
          <w:szCs w:val="28"/>
        </w:rPr>
      </w:pPr>
      <w:r>
        <w:rPr>
          <w:rFonts w:ascii="Arial Black" w:hAnsi="Arial Black"/>
          <w:sz w:val="28"/>
          <w:szCs w:val="28"/>
        </w:rPr>
        <w:t xml:space="preserve">SC: </w:t>
      </w:r>
      <w:r w:rsidR="000C584B">
        <w:rPr>
          <w:rFonts w:ascii="Arial Black" w:hAnsi="Arial Black"/>
          <w:sz w:val="28"/>
          <w:szCs w:val="28"/>
        </w:rPr>
        <w:t xml:space="preserve">NO ADA VIOL - </w:t>
      </w:r>
      <w:r>
        <w:rPr>
          <w:rFonts w:ascii="Arial Black" w:hAnsi="Arial Black"/>
          <w:sz w:val="28"/>
          <w:szCs w:val="28"/>
        </w:rPr>
        <w:t>MEDIC PTSD – DIDN’T INTERVIEW BILLING JOB</w:t>
      </w:r>
    </w:p>
    <w:p w14:paraId="73C0D238" w14:textId="77777777" w:rsidR="00C5485C" w:rsidRDefault="00C5485C" w:rsidP="00C5485C">
      <w:pPr>
        <w:pStyle w:val="NoSpacing"/>
        <w:ind w:left="720"/>
      </w:pPr>
    </w:p>
    <w:p w14:paraId="474DAF98" w14:textId="77777777" w:rsidR="00C5485C" w:rsidRDefault="00C5485C" w:rsidP="00C5485C">
      <w:pPr>
        <w:pStyle w:val="NoSpacing"/>
      </w:pPr>
      <w:r>
        <w:t xml:space="preserve">On December 18, 2025, in </w:t>
      </w:r>
      <w:r w:rsidRPr="00AF68E6">
        <w:rPr>
          <w:u w:val="single"/>
        </w:rPr>
        <w:t>William D. Shugart v. Chester County</w:t>
      </w:r>
      <w:r>
        <w:t xml:space="preserve">, Senior U.S. District Court Judge Cameron McGowan Currie, </w:t>
      </w:r>
      <w:r w:rsidRPr="00AF68E6">
        <w:t>United States District Court, D. South Carolina, Rock Hill Division</w:t>
      </w:r>
      <w:r>
        <w:t xml:space="preserve">, granted defense motion for summary judgment; no proof of ADA discrimination or retaliation for taking FMLA leave.  Plaintiff was a Senior Medic with Chest County EMS, and on September 8, </w:t>
      </w:r>
      <w:proofErr w:type="gramStart"/>
      <w:r>
        <w:t>2021</w:t>
      </w:r>
      <w:proofErr w:type="gramEnd"/>
      <w:r>
        <w:t xml:space="preserve"> there was incident where a gun shot came from a house.  He sought treatment for PTSD and history of depression and went on 12-weeks of FMLA leave.  On January 1, </w:t>
      </w:r>
      <w:proofErr w:type="gramStart"/>
      <w:r>
        <w:t>2023</w:t>
      </w:r>
      <w:proofErr w:type="gramEnd"/>
      <w:r>
        <w:t xml:space="preserve"> he was terminated when he was medically cleared to return to work as a paramedic but did not return. His supervisor encouraged him to apply for billing position that opened with a recent retirement, but he cancelled the January 30 (1 pm) in-person interview the day </w:t>
      </w:r>
      <w:proofErr w:type="gramStart"/>
      <w:r>
        <w:t>prior, and</w:t>
      </w:r>
      <w:proofErr w:type="gramEnd"/>
      <w:r>
        <w:t xml:space="preserve"> did not respond to offer of ZOOM interview.  </w:t>
      </w:r>
      <w:hyperlink r:id="rId1664" w:history="1">
        <w:r w:rsidRPr="007B3445">
          <w:rPr>
            <w:rStyle w:val="Hyperlink"/>
          </w:rPr>
          <w:t>https://cases.justia.com/federal/district-courts/south-carolina/scdce/0:2024cv00826/288831/46/0.pdf</w:t>
        </w:r>
      </w:hyperlink>
      <w:r>
        <w:t xml:space="preserve"> </w:t>
      </w:r>
    </w:p>
    <w:p w14:paraId="0A5640CD" w14:textId="77777777" w:rsidR="00C5485C" w:rsidRDefault="00C5485C" w:rsidP="00C5485C">
      <w:pPr>
        <w:pStyle w:val="NoSpacing"/>
        <w:rPr>
          <w:bCs/>
        </w:rPr>
      </w:pPr>
    </w:p>
    <w:p w14:paraId="2A009F23" w14:textId="77777777" w:rsidR="00C5485C" w:rsidRDefault="00C5485C" w:rsidP="00C5485C">
      <w:pPr>
        <w:pStyle w:val="NoSpacing"/>
        <w:rPr>
          <w:bCs/>
        </w:rPr>
      </w:pPr>
      <w:r>
        <w:t xml:space="preserve">THE COURT HELD: </w:t>
      </w:r>
    </w:p>
    <w:p w14:paraId="74E5D110" w14:textId="77777777" w:rsidR="00C5485C" w:rsidRDefault="00C5485C" w:rsidP="00C5485C">
      <w:pPr>
        <w:pStyle w:val="NoSpacing"/>
        <w:rPr>
          <w:bCs/>
        </w:rPr>
      </w:pPr>
    </w:p>
    <w:p w14:paraId="2F923A5D" w14:textId="77777777" w:rsidR="00C5485C" w:rsidRDefault="00C5485C" w:rsidP="00C5485C">
      <w:pPr>
        <w:pStyle w:val="NoSpacing"/>
        <w:ind w:firstLine="720"/>
      </w:pPr>
      <w:r>
        <w:t>“Plaintiff was employed by Chester County in its Emergency Medical Services (‘EMS’)</w:t>
      </w:r>
    </w:p>
    <w:p w14:paraId="17D5DCD3" w14:textId="77777777" w:rsidR="00C5485C" w:rsidRDefault="00C5485C" w:rsidP="00C5485C">
      <w:pPr>
        <w:pStyle w:val="NoSpacing"/>
        <w:ind w:left="720"/>
      </w:pPr>
      <w:r>
        <w:t xml:space="preserve">department from May 2016 until January 2023….He was promoted to Senior Paramedic on December 4, 2021…. An essential function of the Senior Paramedic was operation of an ambulance. </w:t>
      </w:r>
    </w:p>
    <w:p w14:paraId="028558BB" w14:textId="77777777" w:rsidR="00C5485C" w:rsidRDefault="00C5485C" w:rsidP="00C5485C">
      <w:pPr>
        <w:pStyle w:val="NoSpacing"/>
        <w:ind w:left="720"/>
      </w:pPr>
    </w:p>
    <w:p w14:paraId="50A9BBC0" w14:textId="77777777" w:rsidR="00C5485C" w:rsidRDefault="00C5485C" w:rsidP="00C5485C">
      <w:pPr>
        <w:pStyle w:val="NoSpacing"/>
        <w:ind w:left="720"/>
      </w:pPr>
      <w:r>
        <w:t>***</w:t>
      </w:r>
    </w:p>
    <w:p w14:paraId="1A9488F9" w14:textId="77777777" w:rsidR="00C5485C" w:rsidRDefault="00C5485C" w:rsidP="00C5485C">
      <w:pPr>
        <w:pStyle w:val="NoSpacing"/>
      </w:pPr>
    </w:p>
    <w:p w14:paraId="4F57893B" w14:textId="77777777" w:rsidR="00C5485C" w:rsidRDefault="00C5485C" w:rsidP="00C5485C">
      <w:pPr>
        <w:pStyle w:val="NoSpacing"/>
        <w:ind w:firstLine="720"/>
      </w:pPr>
      <w:r>
        <w:t xml:space="preserve">Plaintiff was </w:t>
      </w:r>
      <w:proofErr w:type="gramStart"/>
      <w:r>
        <w:t>provided</w:t>
      </w:r>
      <w:proofErr w:type="gramEnd"/>
      <w:r>
        <w:t xml:space="preserve"> the opportunity to apply and interview for the billing specialist</w:t>
      </w:r>
    </w:p>
    <w:p w14:paraId="6C386EED" w14:textId="77777777" w:rsidR="00C5485C" w:rsidRDefault="00C5485C" w:rsidP="00C5485C">
      <w:pPr>
        <w:pStyle w:val="NoSpacing"/>
        <w:ind w:left="720"/>
      </w:pPr>
      <w:r>
        <w:t>position when it was posted, but cancelled the interview the day before, and did not respond to inquiries about another option for the interview. The job was filled by a person with finance or accounting experience. For the reasons above, the court finds summary judgment is appropriate for Defendant on Plaintiff’s claims of ADA discrimination and retaliation.</w:t>
      </w:r>
    </w:p>
    <w:p w14:paraId="4C0479C6" w14:textId="77777777" w:rsidR="00C5485C" w:rsidRDefault="00C5485C" w:rsidP="00C5485C">
      <w:pPr>
        <w:pStyle w:val="NoSpacing"/>
        <w:ind w:left="720"/>
      </w:pPr>
    </w:p>
    <w:p w14:paraId="62C08E8C" w14:textId="77777777" w:rsidR="00C5485C" w:rsidRDefault="00C5485C" w:rsidP="00C5485C">
      <w:pPr>
        <w:pStyle w:val="NoSpacing"/>
        <w:ind w:left="720"/>
      </w:pPr>
      <w:r>
        <w:t>***</w:t>
      </w:r>
    </w:p>
    <w:p w14:paraId="10298719" w14:textId="77777777" w:rsidR="00C5485C" w:rsidRDefault="00C5485C" w:rsidP="00C5485C">
      <w:pPr>
        <w:pStyle w:val="NoSpacing"/>
      </w:pPr>
    </w:p>
    <w:p w14:paraId="243095B0" w14:textId="77777777" w:rsidR="00C5485C" w:rsidRDefault="00C5485C" w:rsidP="00C5485C">
      <w:pPr>
        <w:pStyle w:val="NoSpacing"/>
        <w:ind w:firstLine="720"/>
      </w:pPr>
      <w:r>
        <w:t>To make out an FMLA interference claim, an employee must demonstrate he was entitled</w:t>
      </w:r>
    </w:p>
    <w:p w14:paraId="76EB3EFA" w14:textId="77777777" w:rsidR="00C5485C" w:rsidRDefault="00C5485C" w:rsidP="00C5485C">
      <w:pPr>
        <w:pStyle w:val="NoSpacing"/>
        <w:ind w:left="720"/>
      </w:pPr>
      <w:r>
        <w:t xml:space="preserve">to an FMLA benefit, his employer interfered with the provision of that benefit, and the interference caused him harm. Adkins v. CSX Transp., Inc., 70 F.4th 785, 796 (4th Cir. 2023). The court agrees with the Magistrate Judge Defendant has produced evidence Plaintiff was provided his twelve-week statutorily mandated FMLA leave, his position was protected during that time, and there is no evidence his use of FMLA leave was a factor in his termination. Plaintiff has failed to refute this evidence. In fact, the record shows Defendant went out of its way to assist Plaintiff in obtaining the appropriate paperwork when Plaintiff indicated he was ready to come back to work, even though he indicated he would not be going back on an </w:t>
      </w:r>
      <w:proofErr w:type="gramStart"/>
      <w:r>
        <w:t>ambulance.”</w:t>
      </w:r>
      <w:proofErr w:type="gramEnd"/>
    </w:p>
    <w:p w14:paraId="39DBE5F2" w14:textId="77777777" w:rsidR="00C5485C" w:rsidRDefault="00C5485C" w:rsidP="00C5485C">
      <w:pPr>
        <w:pStyle w:val="NoSpacing"/>
        <w:ind w:left="720"/>
      </w:pPr>
    </w:p>
    <w:p w14:paraId="441148C2" w14:textId="77777777" w:rsidR="00C5485C" w:rsidRPr="00E35214" w:rsidRDefault="00C5485C" w:rsidP="00C5485C">
      <w:pPr>
        <w:pStyle w:val="NoSpacing"/>
        <w:rPr>
          <w:b/>
          <w:bCs/>
        </w:rPr>
      </w:pPr>
      <w:r>
        <w:rPr>
          <w:b/>
        </w:rPr>
        <w:t xml:space="preserve">Legal lesson learned:  Plaintiff’s supervisors went out of their way to assist the paramedic. </w:t>
      </w:r>
    </w:p>
    <w:p w14:paraId="66211E21" w14:textId="77777777" w:rsidR="00C5485C" w:rsidRDefault="00C5485C" w:rsidP="00C5485C">
      <w:pPr>
        <w:pStyle w:val="NoSpacing"/>
      </w:pPr>
    </w:p>
    <w:p w14:paraId="1F8DC829" w14:textId="77777777" w:rsidR="00C5485C" w:rsidRDefault="00C5485C" w:rsidP="00C5485C">
      <w:pPr>
        <w:pStyle w:val="NoSpacing"/>
      </w:pPr>
    </w:p>
    <w:p w14:paraId="764BEFA8" w14:textId="77777777" w:rsidR="00730526" w:rsidRDefault="00730526" w:rsidP="009C7451">
      <w:pPr>
        <w:pStyle w:val="NoSpacing"/>
        <w:rPr>
          <w:rFonts w:ascii="Arial Black" w:hAnsi="Arial Black"/>
          <w:sz w:val="24"/>
          <w:szCs w:val="24"/>
        </w:rPr>
      </w:pPr>
    </w:p>
    <w:p w14:paraId="29F986F9" w14:textId="77777777" w:rsidR="00730526" w:rsidRDefault="00730526" w:rsidP="009C7451">
      <w:pPr>
        <w:pStyle w:val="NoSpacing"/>
        <w:rPr>
          <w:rFonts w:ascii="Arial Black" w:hAnsi="Arial Black"/>
          <w:sz w:val="24"/>
          <w:szCs w:val="24"/>
        </w:rPr>
      </w:pPr>
    </w:p>
    <w:p w14:paraId="2DB0BECD" w14:textId="0FEA48DA" w:rsidR="00C60483" w:rsidRDefault="00C60483" w:rsidP="009C7451">
      <w:pPr>
        <w:pStyle w:val="NoSpacing"/>
        <w:rPr>
          <w:rFonts w:ascii="Arial Black" w:hAnsi="Arial Black"/>
          <w:sz w:val="24"/>
          <w:szCs w:val="24"/>
        </w:rPr>
      </w:pPr>
      <w:r>
        <w:rPr>
          <w:rFonts w:ascii="Arial Black" w:hAnsi="Arial Black"/>
          <w:sz w:val="24"/>
          <w:szCs w:val="24"/>
        </w:rPr>
        <w:t>9-57</w:t>
      </w:r>
    </w:p>
    <w:p w14:paraId="2C197F7D" w14:textId="77777777" w:rsidR="00C60483" w:rsidRDefault="00C60483" w:rsidP="009C7451">
      <w:pPr>
        <w:pStyle w:val="NoSpacing"/>
        <w:rPr>
          <w:rFonts w:ascii="Arial Black" w:hAnsi="Arial Black"/>
          <w:sz w:val="24"/>
          <w:szCs w:val="24"/>
        </w:rPr>
      </w:pPr>
    </w:p>
    <w:p w14:paraId="384F0533" w14:textId="77777777" w:rsidR="00C60483" w:rsidRPr="00453214" w:rsidRDefault="00C60483" w:rsidP="00C60483">
      <w:pPr>
        <w:rPr>
          <w:rFonts w:ascii="Arial Black" w:hAnsi="Arial Black"/>
          <w:b/>
          <w:sz w:val="28"/>
          <w:szCs w:val="28"/>
        </w:rPr>
      </w:pPr>
      <w:r>
        <w:rPr>
          <w:rFonts w:ascii="Arial Black" w:hAnsi="Arial Black"/>
          <w:b/>
          <w:sz w:val="28"/>
          <w:szCs w:val="28"/>
        </w:rPr>
        <w:t>NH: PSTD – FF REQ. MEETING WITH CHIEF – CASE PROCEED</w:t>
      </w:r>
    </w:p>
    <w:p w14:paraId="566DD51B" w14:textId="194379C9" w:rsidR="00C60483" w:rsidRPr="00097E9A" w:rsidRDefault="00C60483" w:rsidP="00C60483">
      <w:pPr>
        <w:pStyle w:val="NoSpacing"/>
        <w:rPr>
          <w:bCs/>
        </w:rPr>
      </w:pPr>
      <w:r>
        <w:t xml:space="preserve">On Sept. 10, 2025, in </w:t>
      </w:r>
      <w:r w:rsidRPr="007E7B93">
        <w:rPr>
          <w:u w:val="single"/>
        </w:rPr>
        <w:t>John Powers v. Town of Durham</w:t>
      </w:r>
      <w:r>
        <w:t xml:space="preserve">, U.S. District Court Judge </w:t>
      </w:r>
      <w:r w:rsidRPr="00371F98">
        <w:t>Steven J. McAuliffe</w:t>
      </w:r>
      <w:r>
        <w:t xml:space="preserve">, United States District Court for the District of New Hampshire, denied the city’s motion for summary judgment.  </w:t>
      </w:r>
      <w:r w:rsidRPr="006222A0">
        <w:rPr>
          <w:bCs/>
        </w:rPr>
        <w:t>THE COURT HELD:</w:t>
      </w:r>
      <w:r>
        <w:t xml:space="preserve"> “[A] </w:t>
      </w:r>
      <w:r w:rsidRPr="00453214">
        <w:t>reasonable jury</w:t>
      </w:r>
      <w:r>
        <w:t xml:space="preserve"> </w:t>
      </w:r>
      <w:r w:rsidRPr="00453214">
        <w:t>could find on this record that Powers made requests for</w:t>
      </w:r>
      <w:r>
        <w:t xml:space="preserve"> </w:t>
      </w:r>
      <w:r w:rsidRPr="00453214">
        <w:t>reasonable accommodation</w:t>
      </w:r>
      <w:r>
        <w:t xml:space="preserve"> [one on one meeting]</w:t>
      </w:r>
      <w:r w:rsidRPr="00453214">
        <w:t>, was using a reasonable accommodation</w:t>
      </w:r>
      <w:r>
        <w:t xml:space="preserve"> </w:t>
      </w:r>
      <w:r w:rsidRPr="00453214">
        <w:t>already in place, and complained about discriminatory conduct.</w:t>
      </w:r>
      <w:r>
        <w:t xml:space="preserve"> </w:t>
      </w:r>
      <w:r w:rsidRPr="00453214">
        <w:t>There is no dispute that Durham imposed adverse employment</w:t>
      </w:r>
      <w:r>
        <w:t xml:space="preserve"> </w:t>
      </w:r>
      <w:r w:rsidRPr="00453214">
        <w:t>actions against Powers. The timing of these events and the</w:t>
      </w:r>
      <w:r>
        <w:t xml:space="preserve"> </w:t>
      </w:r>
      <w:r w:rsidRPr="00453214">
        <w:t>evidence of Chief Emanuel’s unusual familiarity with Powers’s</w:t>
      </w:r>
      <w:r>
        <w:t xml:space="preserve"> </w:t>
      </w:r>
      <w:r w:rsidRPr="00453214">
        <w:t>disability and his possible use of Powers’s disability against</w:t>
      </w:r>
      <w:r>
        <w:t xml:space="preserve"> </w:t>
      </w:r>
      <w:r w:rsidRPr="00453214">
        <w:t>him could support findings in his favor on the elements of his</w:t>
      </w:r>
      <w:r>
        <w:t xml:space="preserve"> </w:t>
      </w:r>
      <w:r w:rsidRPr="00453214">
        <w:t>ADA retaliation claim. For that reason, summary judgment is not</w:t>
      </w:r>
      <w:r>
        <w:t xml:space="preserve"> </w:t>
      </w:r>
      <w:r w:rsidRPr="00453214">
        <w:t>appropriate.</w:t>
      </w:r>
      <w:r>
        <w:t xml:space="preserve">” </w:t>
      </w:r>
      <w:hyperlink r:id="rId1665" w:history="1">
        <w:r w:rsidRPr="00097E9A">
          <w:rPr>
            <w:rStyle w:val="Hyperlink"/>
          </w:rPr>
          <w:t>https://www.govinfo.gov/content/pkg/USCOURTS-nhd-1_23-cv-00327/pdf/USCOURTS-nhd-1_23-cv-00327-0.pdf</w:t>
        </w:r>
      </w:hyperlink>
    </w:p>
    <w:p w14:paraId="4E953FC1" w14:textId="77777777" w:rsidR="00C60483" w:rsidRDefault="00C60483" w:rsidP="00C60483">
      <w:pPr>
        <w:pStyle w:val="NoSpacing"/>
        <w:rPr>
          <w:bCs/>
        </w:rPr>
      </w:pPr>
    </w:p>
    <w:p w14:paraId="4EBBABE0" w14:textId="77777777" w:rsidR="00C60483" w:rsidRPr="00C56294" w:rsidRDefault="00C60483" w:rsidP="00C60483">
      <w:pPr>
        <w:pStyle w:val="NoSpacing"/>
        <w:rPr>
          <w:b/>
        </w:rPr>
      </w:pPr>
      <w:r w:rsidRPr="00C56294">
        <w:rPr>
          <w:b/>
        </w:rPr>
        <w:t>KEY FACTS:</w:t>
      </w:r>
    </w:p>
    <w:p w14:paraId="10BD8546" w14:textId="77777777" w:rsidR="00C60483" w:rsidRDefault="00C60483" w:rsidP="00C60483">
      <w:pPr>
        <w:pStyle w:val="NoSpacing"/>
        <w:rPr>
          <w:bCs/>
        </w:rPr>
      </w:pPr>
    </w:p>
    <w:p w14:paraId="51AE7A30" w14:textId="77777777" w:rsidR="00C60483" w:rsidRDefault="00C60483" w:rsidP="00C60483">
      <w:pPr>
        <w:pStyle w:val="NoSpacing"/>
        <w:ind w:left="720"/>
        <w:rPr>
          <w:bCs/>
        </w:rPr>
      </w:pPr>
      <w:r>
        <w:t>“</w:t>
      </w:r>
      <w:r w:rsidRPr="004300F7">
        <w:t>The summary judgment record in this case presents unusual,</w:t>
      </w:r>
      <w:r>
        <w:t xml:space="preserve"> </w:t>
      </w:r>
      <w:r w:rsidRPr="004300F7">
        <w:t>if not unique, circumstances from which a jury could find that</w:t>
      </w:r>
      <w:r>
        <w:t xml:space="preserve"> </w:t>
      </w:r>
      <w:r w:rsidRPr="004300F7">
        <w:t>Durham, through the Durham Fire Department’s Chief, David</w:t>
      </w:r>
      <w:r>
        <w:t xml:space="preserve"> </w:t>
      </w:r>
      <w:r w:rsidRPr="004300F7">
        <w:t>Emanuel, was fully aware of Powers’s disability due to PTSD and</w:t>
      </w:r>
      <w:r>
        <w:t xml:space="preserve"> </w:t>
      </w:r>
      <w:r w:rsidRPr="004300F7">
        <w:t>its symptoms. Emanuel and Powers worked together in the Durham</w:t>
      </w:r>
      <w:r>
        <w:t xml:space="preserve"> </w:t>
      </w:r>
      <w:r w:rsidRPr="004300F7">
        <w:t>Fire Department from 2011 to 2016. Powers had PTSD when he was</w:t>
      </w:r>
      <w:r>
        <w:t xml:space="preserve"> </w:t>
      </w:r>
      <w:r w:rsidRPr="005530CB">
        <w:t xml:space="preserve">hired, a condition the fire department was </w:t>
      </w:r>
      <w:r w:rsidRPr="005530CB">
        <w:lastRenderedPageBreak/>
        <w:t>aware of when he was</w:t>
      </w:r>
      <w:r>
        <w:t xml:space="preserve"> </w:t>
      </w:r>
      <w:r w:rsidRPr="005530CB">
        <w:t>hired. Indeed, Durham allowed Powers time for weekly therapy</w:t>
      </w:r>
      <w:r>
        <w:t xml:space="preserve"> </w:t>
      </w:r>
      <w:r w:rsidRPr="005530CB">
        <w:t>sessions during his working hours. Emanuel knew that Powers</w:t>
      </w:r>
      <w:r>
        <w:t xml:space="preserve"> </w:t>
      </w:r>
      <w:r w:rsidRPr="005530CB">
        <w:t>suffered from PTSD and that he attended weekly therapy sessions.</w:t>
      </w:r>
    </w:p>
    <w:p w14:paraId="2D926046" w14:textId="77777777" w:rsidR="00C60483" w:rsidRDefault="00C60483" w:rsidP="00C60483">
      <w:pPr>
        <w:pStyle w:val="NoSpacing"/>
        <w:ind w:left="720"/>
        <w:rPr>
          <w:bCs/>
        </w:rPr>
      </w:pPr>
    </w:p>
    <w:p w14:paraId="6384394A" w14:textId="77777777" w:rsidR="00C60483" w:rsidRDefault="00C60483" w:rsidP="00C60483">
      <w:pPr>
        <w:pStyle w:val="NoSpacing"/>
        <w:ind w:left="720"/>
        <w:rPr>
          <w:bCs/>
        </w:rPr>
      </w:pPr>
      <w:r>
        <w:t>***</w:t>
      </w:r>
    </w:p>
    <w:p w14:paraId="6296C03F" w14:textId="77777777" w:rsidR="00C60483" w:rsidRPr="003D0DC8" w:rsidRDefault="00C60483" w:rsidP="00C60483">
      <w:pPr>
        <w:pStyle w:val="NoSpacing"/>
        <w:ind w:left="720"/>
        <w:rPr>
          <w:bCs/>
        </w:rPr>
      </w:pPr>
      <w:r w:rsidRPr="00F7488F">
        <w:t>Powers left Durham in 2016 to work for the Rochester Fire</w:t>
      </w:r>
      <w:r>
        <w:t xml:space="preserve"> </w:t>
      </w:r>
      <w:r w:rsidRPr="00F7488F">
        <w:t>Department. Powers and Emanuel remained close friends and</w:t>
      </w:r>
      <w:r>
        <w:t xml:space="preserve"> </w:t>
      </w:r>
      <w:r w:rsidRPr="003D0DC8">
        <w:t>continued to communicate after Powers’s move to Rochester. In</w:t>
      </w:r>
      <w:r>
        <w:t xml:space="preserve"> </w:t>
      </w:r>
      <w:r w:rsidRPr="003D0DC8">
        <w:t>2018, Chief Landry left the Durham Fire Department and Emanuel</w:t>
      </w:r>
    </w:p>
    <w:p w14:paraId="4C5A0E19" w14:textId="77777777" w:rsidR="00C60483" w:rsidRPr="003D0DC8" w:rsidRDefault="00C60483" w:rsidP="00C60483">
      <w:pPr>
        <w:pStyle w:val="NoSpacing"/>
        <w:ind w:left="720"/>
        <w:rPr>
          <w:bCs/>
        </w:rPr>
      </w:pPr>
      <w:r w:rsidRPr="003D0DC8">
        <w:t>became chief. Powers then returned to Durham to work under</w:t>
      </w:r>
      <w:r>
        <w:t xml:space="preserve"> </w:t>
      </w:r>
      <w:r w:rsidRPr="003D0DC8">
        <w:t>Chief Emanuel. By the fall of 2019, however, their relationship</w:t>
      </w:r>
      <w:r>
        <w:t xml:space="preserve"> </w:t>
      </w:r>
      <w:r w:rsidRPr="003D0DC8">
        <w:t>began to deteriorate. Emanuel was concerned about Powers’s work</w:t>
      </w:r>
      <w:r>
        <w:t xml:space="preserve"> </w:t>
      </w:r>
      <w:r w:rsidRPr="003D0DC8">
        <w:t>performance, including complaints about his driving while in a</w:t>
      </w:r>
      <w:r>
        <w:t xml:space="preserve"> </w:t>
      </w:r>
      <w:r w:rsidRPr="003D0DC8">
        <w:t>fire department vehicle, the tone of some of his work</w:t>
      </w:r>
      <w:r>
        <w:t xml:space="preserve"> </w:t>
      </w:r>
      <w:r w:rsidRPr="003D0DC8">
        <w:t>communications, and his failure to attend several meetings</w:t>
      </w:r>
      <w:r>
        <w:t xml:space="preserve"> </w:t>
      </w:r>
      <w:r w:rsidRPr="003D0DC8">
        <w:t>without first communicating that he would be unavailable.</w:t>
      </w:r>
    </w:p>
    <w:p w14:paraId="35DBAD6C" w14:textId="77777777" w:rsidR="00C60483" w:rsidRDefault="00C60483" w:rsidP="00C60483">
      <w:pPr>
        <w:pStyle w:val="NoSpacing"/>
        <w:ind w:left="720"/>
        <w:rPr>
          <w:bCs/>
        </w:rPr>
      </w:pPr>
      <w:r w:rsidRPr="003D0DC8">
        <w:t>Powers considered it difficult to communicate with Emanuel,</w:t>
      </w:r>
      <w:r>
        <w:t xml:space="preserve"> </w:t>
      </w:r>
      <w:r w:rsidRPr="003D0DC8">
        <w:t>which he believed was triggering his PTSD symptoms. By early</w:t>
      </w:r>
      <w:r>
        <w:t xml:space="preserve"> </w:t>
      </w:r>
      <w:r w:rsidRPr="003D0DC8">
        <w:t>2020, Powers thought his relationship with Emanuel had become</w:t>
      </w:r>
      <w:r>
        <w:t xml:space="preserve"> </w:t>
      </w:r>
      <w:r w:rsidRPr="003D0DC8">
        <w:t>adversarial.</w:t>
      </w:r>
    </w:p>
    <w:p w14:paraId="4798E7FE" w14:textId="77777777" w:rsidR="00C60483" w:rsidRDefault="00C60483" w:rsidP="00C60483">
      <w:pPr>
        <w:pStyle w:val="NoSpacing"/>
        <w:rPr>
          <w:bCs/>
        </w:rPr>
      </w:pPr>
    </w:p>
    <w:p w14:paraId="5008DA5B" w14:textId="77777777" w:rsidR="00C60483" w:rsidRPr="00886207" w:rsidRDefault="00C60483" w:rsidP="00C60483">
      <w:pPr>
        <w:pStyle w:val="NoSpacing"/>
        <w:ind w:left="720"/>
        <w:rPr>
          <w:bCs/>
        </w:rPr>
      </w:pPr>
      <w:r w:rsidRPr="00886207">
        <w:t>On January 17, 2020, Powers asked to meet with Emanuel one-on-one to discuss their communication issues and Emanuel’s</w:t>
      </w:r>
      <w:r>
        <w:t xml:space="preserve"> </w:t>
      </w:r>
      <w:r w:rsidRPr="00886207">
        <w:t xml:space="preserve">expectations of him. Powers </w:t>
      </w:r>
      <w:proofErr w:type="gramStart"/>
      <w:r w:rsidRPr="00886207">
        <w:t>says</w:t>
      </w:r>
      <w:proofErr w:type="gramEnd"/>
      <w:r w:rsidRPr="00886207">
        <w:t xml:space="preserve"> that meeting never occurred.</w:t>
      </w:r>
      <w:r>
        <w:t xml:space="preserve"> </w:t>
      </w:r>
      <w:r w:rsidRPr="00886207">
        <w:t>In a different meeting among Chief Emanuel, Powers, and a</w:t>
      </w:r>
      <w:r>
        <w:t xml:space="preserve"> </w:t>
      </w:r>
      <w:r w:rsidRPr="00886207">
        <w:t>consultant, who was hired to improve the fire department’s</w:t>
      </w:r>
      <w:r>
        <w:t xml:space="preserve"> </w:t>
      </w:r>
      <w:r w:rsidRPr="00886207">
        <w:t>working culture, Powers attempted to raise those same</w:t>
      </w:r>
      <w:r>
        <w:t xml:space="preserve"> </w:t>
      </w:r>
      <w:r w:rsidRPr="00886207">
        <w:t>communication and expectation issues. The consultant responded</w:t>
      </w:r>
    </w:p>
    <w:p w14:paraId="7EADC227" w14:textId="77777777" w:rsidR="00C60483" w:rsidRDefault="00C60483" w:rsidP="00C60483">
      <w:pPr>
        <w:pStyle w:val="NoSpacing"/>
        <w:ind w:firstLine="720"/>
        <w:rPr>
          <w:bCs/>
        </w:rPr>
      </w:pPr>
      <w:r w:rsidRPr="00886207">
        <w:t>that Powers was causing problems and undermining Emanuel’s</w:t>
      </w:r>
      <w:r>
        <w:t xml:space="preserve"> </w:t>
      </w:r>
      <w:r w:rsidRPr="00886207">
        <w:t>authority as Chief.</w:t>
      </w:r>
    </w:p>
    <w:p w14:paraId="6AFE3DFD" w14:textId="77777777" w:rsidR="00C60483" w:rsidRDefault="00C60483" w:rsidP="00C60483">
      <w:pPr>
        <w:pStyle w:val="NoSpacing"/>
        <w:ind w:firstLine="720"/>
        <w:rPr>
          <w:bCs/>
        </w:rPr>
      </w:pPr>
    </w:p>
    <w:p w14:paraId="369CFB70" w14:textId="77777777" w:rsidR="00C60483" w:rsidRPr="008B1854" w:rsidRDefault="00C60483" w:rsidP="00C60483">
      <w:pPr>
        <w:pStyle w:val="NoSpacing"/>
        <w:ind w:left="720"/>
        <w:rPr>
          <w:bCs/>
        </w:rPr>
      </w:pPr>
      <w:r w:rsidRPr="001D39E3">
        <w:t xml:space="preserve">Emanuel prepared a Performance Improvement </w:t>
      </w:r>
      <w:proofErr w:type="gramStart"/>
      <w:r w:rsidRPr="001D39E3">
        <w:t>Plan (</w:t>
      </w:r>
      <w:r>
        <w:t>‘</w:t>
      </w:r>
      <w:proofErr w:type="gramEnd"/>
      <w:r w:rsidRPr="001D39E3">
        <w:t>PIP</w:t>
      </w:r>
      <w:r>
        <w:t>’</w:t>
      </w:r>
      <w:r w:rsidRPr="001D39E3">
        <w:t>) for</w:t>
      </w:r>
      <w:r>
        <w:t xml:space="preserve"> </w:t>
      </w:r>
      <w:r w:rsidRPr="001D39E3">
        <w:t xml:space="preserve">Powers, which he presented to Powers at a </w:t>
      </w:r>
      <w:r>
        <w:t>‘</w:t>
      </w:r>
      <w:r w:rsidRPr="001D39E3">
        <w:t>Chief’s Meeting</w:t>
      </w:r>
      <w:r>
        <w:t xml:space="preserve">’ </w:t>
      </w:r>
      <w:r w:rsidRPr="001D39E3">
        <w:t>on</w:t>
      </w:r>
      <w:r>
        <w:t xml:space="preserve"> </w:t>
      </w:r>
      <w:r w:rsidRPr="008B1854">
        <w:t xml:space="preserve">February 27, 2020, without </w:t>
      </w:r>
      <w:proofErr w:type="gramStart"/>
      <w:r w:rsidRPr="008B1854">
        <w:t>prior warning</w:t>
      </w:r>
      <w:proofErr w:type="gramEnd"/>
      <w:r w:rsidRPr="008B1854">
        <w:t>. Emanuel explained</w:t>
      </w:r>
      <w:r>
        <w:t xml:space="preserve"> </w:t>
      </w:r>
      <w:r w:rsidRPr="008B1854">
        <w:t>later that he surprised Powers with the PIP because otherwise</w:t>
      </w:r>
    </w:p>
    <w:p w14:paraId="3F66BA26" w14:textId="77777777" w:rsidR="00C60483" w:rsidRPr="008B1854" w:rsidRDefault="00C60483" w:rsidP="00C60483">
      <w:pPr>
        <w:pStyle w:val="NoSpacing"/>
        <w:ind w:left="720"/>
        <w:rPr>
          <w:bCs/>
        </w:rPr>
      </w:pPr>
      <w:r w:rsidRPr="008B1854">
        <w:t>Powers would have avoided that conversation. Powers was</w:t>
      </w:r>
      <w:r>
        <w:t xml:space="preserve"> </w:t>
      </w:r>
      <w:r w:rsidRPr="008B1854">
        <w:t>surprised and uncomfortable when Emanuel began to read the PIP</w:t>
      </w:r>
      <w:r>
        <w:t xml:space="preserve"> </w:t>
      </w:r>
      <w:r w:rsidRPr="008B1854">
        <w:t>to him aloud at the meeting. Powers twice asked Emanuel to stop</w:t>
      </w:r>
      <w:r>
        <w:t xml:space="preserve"> </w:t>
      </w:r>
      <w:r w:rsidRPr="008B1854">
        <w:t>reading and to allow him to take the PIP to read to himself and</w:t>
      </w:r>
    </w:p>
    <w:p w14:paraId="63002210" w14:textId="77777777" w:rsidR="00C60483" w:rsidRDefault="00C60483" w:rsidP="00C60483">
      <w:pPr>
        <w:pStyle w:val="NoSpacing"/>
        <w:ind w:left="720"/>
        <w:rPr>
          <w:bCs/>
        </w:rPr>
      </w:pPr>
      <w:r w:rsidRPr="008B1854">
        <w:t>respond, but Emanuel continued to read the PIP aloud.</w:t>
      </w:r>
      <w:r>
        <w:t xml:space="preserve"> </w:t>
      </w:r>
      <w:r w:rsidRPr="00940191">
        <w:t>When</w:t>
      </w:r>
      <w:r>
        <w:t xml:space="preserve"> </w:t>
      </w:r>
      <w:r w:rsidRPr="00940191">
        <w:t>Emanuel read a section of the PIP that required Powers to be at</w:t>
      </w:r>
      <w:r>
        <w:t xml:space="preserve"> </w:t>
      </w:r>
      <w:r w:rsidRPr="00940191">
        <w:t>the station during all days and all business hours, Powers</w:t>
      </w:r>
      <w:r>
        <w:t xml:space="preserve"> </w:t>
      </w:r>
      <w:r w:rsidRPr="00940191">
        <w:t>became distraught because he understood that requirement revoked</w:t>
      </w:r>
      <w:r>
        <w:t xml:space="preserve"> </w:t>
      </w:r>
      <w:r w:rsidRPr="00940191">
        <w:t>his leave to attend weekly therapy sessions for PTSD during work</w:t>
      </w:r>
      <w:r>
        <w:t xml:space="preserve"> </w:t>
      </w:r>
      <w:r w:rsidRPr="00940191">
        <w:t>hours. Powers was obviously agitated and shaking and excused</w:t>
      </w:r>
      <w:r>
        <w:t xml:space="preserve"> </w:t>
      </w:r>
      <w:r w:rsidRPr="00940191">
        <w:t>himself from the meeting. After the meeting, Emanuel drafted a</w:t>
      </w:r>
      <w:r>
        <w:t xml:space="preserve"> </w:t>
      </w:r>
      <w:r w:rsidRPr="00940191">
        <w:t>memo that questioned Powers’s state of mind after the PIP</w:t>
      </w:r>
      <w:r>
        <w:t xml:space="preserve"> </w:t>
      </w:r>
      <w:r w:rsidRPr="00940191">
        <w:t>meeting. Powers responded to a text from Emanuel that evening,</w:t>
      </w:r>
      <w:r>
        <w:t xml:space="preserve"> </w:t>
      </w:r>
      <w:r w:rsidRPr="00940191">
        <w:t xml:space="preserve">saying that he made it home safely but was not </w:t>
      </w:r>
      <w:r>
        <w:t>‘</w:t>
      </w:r>
      <w:r w:rsidRPr="00940191">
        <w:t>okay</w:t>
      </w:r>
      <w:r>
        <w:t>.’</w:t>
      </w:r>
    </w:p>
    <w:p w14:paraId="1727ACFC" w14:textId="77777777" w:rsidR="00C60483" w:rsidRDefault="00C60483" w:rsidP="00C60483">
      <w:pPr>
        <w:pStyle w:val="NoSpacing"/>
        <w:ind w:left="720"/>
        <w:rPr>
          <w:bCs/>
        </w:rPr>
      </w:pPr>
    </w:p>
    <w:p w14:paraId="68240BF9" w14:textId="77777777" w:rsidR="00C60483" w:rsidRPr="000840FB" w:rsidRDefault="00C60483" w:rsidP="00C60483">
      <w:pPr>
        <w:pStyle w:val="NoSpacing"/>
        <w:ind w:left="720"/>
        <w:rPr>
          <w:bCs/>
        </w:rPr>
      </w:pPr>
      <w:r w:rsidRPr="000840FB">
        <w:t>The next day, Emanuel informed Powers that he was suspended</w:t>
      </w:r>
      <w:r>
        <w:t xml:space="preserve"> </w:t>
      </w:r>
      <w:r w:rsidRPr="000840FB">
        <w:t>from the department because of his reaction to the PIP. Emanuel</w:t>
      </w:r>
      <w:r>
        <w:t xml:space="preserve"> </w:t>
      </w:r>
      <w:r w:rsidRPr="000840FB">
        <w:t xml:space="preserve">ordered Powers to have a fitness for </w:t>
      </w:r>
      <w:proofErr w:type="gramStart"/>
      <w:r w:rsidRPr="000840FB">
        <w:t>duty (</w:t>
      </w:r>
      <w:r>
        <w:t>‘</w:t>
      </w:r>
      <w:proofErr w:type="gramEnd"/>
      <w:r w:rsidRPr="000840FB">
        <w:t>FFD</w:t>
      </w:r>
      <w:r>
        <w:t>’</w:t>
      </w:r>
      <w:r w:rsidRPr="000840FB">
        <w:t>) evaluation.</w:t>
      </w:r>
      <w:r>
        <w:t xml:space="preserve"> </w:t>
      </w:r>
      <w:r w:rsidRPr="000840FB">
        <w:t>The evaluation was scheduled. Powers submitted a grievance to</w:t>
      </w:r>
    </w:p>
    <w:p w14:paraId="49EC33C9" w14:textId="77777777" w:rsidR="00C60483" w:rsidRDefault="00C60483" w:rsidP="00C60483">
      <w:pPr>
        <w:pStyle w:val="NoSpacing"/>
        <w:ind w:left="720"/>
        <w:rPr>
          <w:bCs/>
        </w:rPr>
      </w:pPr>
      <w:r w:rsidRPr="000840FB">
        <w:t>Emanuel challenging the PIP and the ordered evaluation. Emanuel</w:t>
      </w:r>
      <w:r>
        <w:t xml:space="preserve"> </w:t>
      </w:r>
      <w:r w:rsidRPr="000840FB">
        <w:t>thought Powers was out of line by filing the grievance and</w:t>
      </w:r>
      <w:r>
        <w:t xml:space="preserve"> </w:t>
      </w:r>
      <w:r w:rsidRPr="000840FB">
        <w:t xml:space="preserve">notified Powers that there was no </w:t>
      </w:r>
      <w:proofErr w:type="spellStart"/>
      <w:r w:rsidRPr="000840FB">
        <w:t>grievable</w:t>
      </w:r>
      <w:proofErr w:type="spellEnd"/>
      <w:r w:rsidRPr="000840FB">
        <w:t xml:space="preserve"> issue. He required</w:t>
      </w:r>
      <w:r>
        <w:t xml:space="preserve"> </w:t>
      </w:r>
      <w:r w:rsidRPr="000840FB">
        <w:t>Powers to return and finish listening to Emanuel read the PIP.</w:t>
      </w:r>
      <w:r>
        <w:t xml:space="preserve"> </w:t>
      </w:r>
      <w:r w:rsidRPr="009E3FF5">
        <w:t>Powers attended the scheduled FFD evaluation but would not</w:t>
      </w:r>
      <w:r>
        <w:t xml:space="preserve"> </w:t>
      </w:r>
      <w:r w:rsidRPr="009E3FF5">
        <w:t>release the results to Durham while his grievance was pending.</w:t>
      </w:r>
      <w:r>
        <w:t xml:space="preserve"> </w:t>
      </w:r>
      <w:r w:rsidRPr="009E3FF5">
        <w:t>Emanuel, in turn, fired Powers on March 19, 2020, because he did</w:t>
      </w:r>
      <w:r>
        <w:t xml:space="preserve"> </w:t>
      </w:r>
      <w:r w:rsidRPr="009E3FF5">
        <w:t>not submit the results of the FFD evaluation. The town</w:t>
      </w:r>
      <w:r>
        <w:t xml:space="preserve"> </w:t>
      </w:r>
      <w:r w:rsidRPr="009E3FF5">
        <w:t>administrator notified Powers the next day that his grievance</w:t>
      </w:r>
      <w:r>
        <w:t xml:space="preserve"> </w:t>
      </w:r>
      <w:r w:rsidRPr="009E3FF5">
        <w:t>was not valid.</w:t>
      </w:r>
      <w:r>
        <w:t>”</w:t>
      </w:r>
    </w:p>
    <w:p w14:paraId="058B882E" w14:textId="77777777" w:rsidR="00C60483" w:rsidRDefault="00C60483" w:rsidP="00C60483">
      <w:pPr>
        <w:pStyle w:val="NoSpacing"/>
        <w:ind w:left="720"/>
        <w:rPr>
          <w:bCs/>
        </w:rPr>
      </w:pPr>
    </w:p>
    <w:p w14:paraId="54F3FE3D" w14:textId="77777777" w:rsidR="00C60483" w:rsidRPr="00ED073D" w:rsidRDefault="00C60483" w:rsidP="00C60483">
      <w:pPr>
        <w:pStyle w:val="NoSpacing"/>
        <w:rPr>
          <w:b/>
          <w:bCs/>
        </w:rPr>
      </w:pPr>
      <w:r>
        <w:rPr>
          <w:b/>
        </w:rPr>
        <w:t xml:space="preserve">Legal lesson learned:  ADA requires both sides to communicate, seeking mutually acceptable reasonable accommodation. </w:t>
      </w:r>
    </w:p>
    <w:p w14:paraId="5450BC27" w14:textId="77777777" w:rsidR="00C60483" w:rsidRDefault="00C60483" w:rsidP="009C7451">
      <w:pPr>
        <w:pStyle w:val="NoSpacing"/>
        <w:rPr>
          <w:rFonts w:ascii="Arial Black" w:hAnsi="Arial Black"/>
          <w:sz w:val="24"/>
          <w:szCs w:val="24"/>
        </w:rPr>
      </w:pPr>
    </w:p>
    <w:p w14:paraId="0D5C80FE" w14:textId="77777777" w:rsidR="00C60483" w:rsidRDefault="00C60483" w:rsidP="009C7451">
      <w:pPr>
        <w:pStyle w:val="NoSpacing"/>
        <w:rPr>
          <w:rFonts w:ascii="Arial Black" w:hAnsi="Arial Black"/>
          <w:sz w:val="24"/>
          <w:szCs w:val="24"/>
        </w:rPr>
      </w:pPr>
    </w:p>
    <w:p w14:paraId="51F3E579" w14:textId="70948919" w:rsidR="00066EA4" w:rsidRDefault="00010BB9" w:rsidP="009C7451">
      <w:pPr>
        <w:pStyle w:val="NoSpacing"/>
        <w:rPr>
          <w:rFonts w:ascii="Arial Black" w:hAnsi="Arial Black"/>
          <w:sz w:val="24"/>
          <w:szCs w:val="24"/>
        </w:rPr>
      </w:pPr>
      <w:r>
        <w:rPr>
          <w:rFonts w:ascii="Arial Black" w:hAnsi="Arial Black"/>
          <w:sz w:val="24"/>
          <w:szCs w:val="24"/>
        </w:rPr>
        <w:t>9-56</w:t>
      </w:r>
    </w:p>
    <w:p w14:paraId="5E99A02A" w14:textId="77777777" w:rsidR="00010BB9" w:rsidRDefault="00010BB9" w:rsidP="009C7451">
      <w:pPr>
        <w:pStyle w:val="NoSpacing"/>
        <w:rPr>
          <w:rFonts w:ascii="Arial Black" w:hAnsi="Arial Black"/>
          <w:sz w:val="24"/>
          <w:szCs w:val="24"/>
        </w:rPr>
      </w:pPr>
    </w:p>
    <w:p w14:paraId="29A15087" w14:textId="77777777" w:rsidR="00010BB9" w:rsidRPr="00D56FD8" w:rsidRDefault="00010BB9" w:rsidP="00010BB9">
      <w:pPr>
        <w:rPr>
          <w:rFonts w:ascii="Arial Black" w:hAnsi="Arial Black"/>
          <w:b/>
          <w:sz w:val="28"/>
          <w:szCs w:val="28"/>
        </w:rPr>
      </w:pPr>
      <w:r>
        <w:rPr>
          <w:rFonts w:ascii="Arial Black" w:hAnsi="Arial Black"/>
          <w:b/>
          <w:sz w:val="28"/>
          <w:szCs w:val="28"/>
        </w:rPr>
        <w:t xml:space="preserve">CA:  CHIEF MED LEAVE / 4 SURGERIES – FIRED – JURY $4.1M </w:t>
      </w:r>
    </w:p>
    <w:p w14:paraId="2C9B2329" w14:textId="77777777" w:rsidR="00010BB9" w:rsidRPr="00880B66" w:rsidRDefault="00010BB9" w:rsidP="00010BB9">
      <w:pPr>
        <w:pStyle w:val="NoSpacing"/>
        <w:rPr>
          <w:rFonts w:ascii="Times New Roman" w:hAnsi="Times New Roman"/>
          <w:sz w:val="24"/>
          <w:szCs w:val="24"/>
        </w:rPr>
      </w:pPr>
      <w:r w:rsidRPr="00880B66">
        <w:rPr>
          <w:rFonts w:ascii="Times New Roman" w:hAnsi="Times New Roman"/>
          <w:sz w:val="24"/>
          <w:szCs w:val="24"/>
        </w:rPr>
        <w:lastRenderedPageBreak/>
        <w:t xml:space="preserve">On July 9, 2025, in </w:t>
      </w:r>
      <w:r w:rsidRPr="00880B66">
        <w:rPr>
          <w:rFonts w:ascii="Times New Roman" w:hAnsi="Times New Roman"/>
          <w:sz w:val="24"/>
          <w:szCs w:val="24"/>
          <w:u w:val="single"/>
        </w:rPr>
        <w:t>Larry Whithorn v. City of West Covina</w:t>
      </w:r>
      <w:r w:rsidRPr="00880B66">
        <w:rPr>
          <w:rFonts w:ascii="Times New Roman" w:hAnsi="Times New Roman"/>
          <w:sz w:val="24"/>
          <w:szCs w:val="24"/>
        </w:rPr>
        <w:t xml:space="preserve">, the California Court of Appeals, Second District, Eighth Division held (3 to 0; unpublished decision) that jury award of $4,145,595 in damages was appropriate based on evidence of being fired after four surgeries, and after filing internal complaint.  According to press reports, he was on extended medical leaves from December 2016 to April 2017 and June 2017 to September 2017 (four surgeries) and brief leaves in January 2018 and September 2018 to aid an ill relative. During Whithorn’s 2017 medical leave, newly elected City Councilmember Tony Wu expressed concerns to City Manager Freeland multiple times that Whithorn was an “absentee chief.” On March 19, 2019, Whithorn filed a grievance.  Tony Wu described the grievance as “bull shit.”  On April 22, 2019, within 17 days of starting as the new City Manager David Carmany, and after spending only 30 to 45 minutes interacting with Whithorn, Carmany fired Whithorn, without warning, reprimand or prior discipline. Carmany said City was going in a different direction but did not give Whithorn a specific reason for his termination.”  THE COURT HELD: “City again contends that Whithorn was required to prove that City’s stated reasons for termination were pretextual. He was not. Retaliation claims may be brought under a mixed-motives theory. (George v. California Unemployment Ins. Appeals Bd. (2009) 179 Cal.App.4th 1475, 1492.) That was the situation here…. As we have just discussed, the </w:t>
      </w:r>
      <w:proofErr w:type="gramStart"/>
      <w:r w:rsidRPr="00880B66">
        <w:rPr>
          <w:rFonts w:ascii="Times New Roman" w:hAnsi="Times New Roman"/>
          <w:sz w:val="24"/>
          <w:szCs w:val="24"/>
        </w:rPr>
        <w:t>fact</w:t>
      </w:r>
      <w:proofErr w:type="gramEnd"/>
      <w:r w:rsidRPr="00880B66">
        <w:rPr>
          <w:rFonts w:ascii="Times New Roman" w:hAnsi="Times New Roman"/>
          <w:sz w:val="24"/>
          <w:szCs w:val="24"/>
        </w:rPr>
        <w:t xml:space="preserve"> an employer has mixed reasons for terminating an employee, some permissible and some discriminatory, does not defeat a discrimination claim. In such situations, the employee need only show that ‘discrimination was a substantial motivating factor.’ City again contends there is no evidence to support that Councilmember Wu held retaliatory animus toward Whithorn, or that Wu influenced City Manager Carmany’s decision to terminate Whithorn based on the grievance. As set forth in more detail above, Councilmember Wu was  very clearly angry at Whithorn when Whithorn’s grievance was presented to the city council. Wu described the grievance as ‘bullshit’ and claimed he was being ‘bullied’ by staff members. Wu, along with other city council members, did not want to pay for an investigation. When Human Resources Director Pinon pressed for an investigation and provided contact information for an investigator, his contract was terminated four and one-half months early, supposedly for financial reasons, but he was given a three months’ severance.”  </w:t>
      </w:r>
      <w:hyperlink r:id="rId1666" w:history="1">
        <w:r w:rsidRPr="00880B66">
          <w:rPr>
            <w:rStyle w:val="Hyperlink"/>
            <w:rFonts w:ascii="Times New Roman" w:hAnsi="Times New Roman"/>
            <w:sz w:val="24"/>
            <w:szCs w:val="24"/>
          </w:rPr>
          <w:t>https://www4.courts.ca.gov/opinions/nonpub/B332558.PDF</w:t>
        </w:r>
      </w:hyperlink>
      <w:r w:rsidRPr="00880B66">
        <w:rPr>
          <w:rFonts w:ascii="Times New Roman" w:hAnsi="Times New Roman"/>
          <w:sz w:val="24"/>
          <w:szCs w:val="24"/>
        </w:rPr>
        <w:t xml:space="preserve"> </w:t>
      </w:r>
    </w:p>
    <w:p w14:paraId="56A0A6BF" w14:textId="77777777" w:rsidR="00010BB9" w:rsidRPr="00880B66" w:rsidRDefault="00010BB9" w:rsidP="00010BB9">
      <w:pPr>
        <w:pStyle w:val="NoSpacing"/>
        <w:rPr>
          <w:rFonts w:ascii="Times New Roman" w:hAnsi="Times New Roman"/>
          <w:sz w:val="24"/>
          <w:szCs w:val="24"/>
        </w:rPr>
      </w:pPr>
    </w:p>
    <w:p w14:paraId="65A069F1" w14:textId="77777777" w:rsidR="00880B66" w:rsidRPr="00880B66" w:rsidRDefault="00880B66" w:rsidP="00880B66">
      <w:pPr>
        <w:pStyle w:val="NoSpacing"/>
        <w:rPr>
          <w:rFonts w:ascii="Times New Roman" w:hAnsi="Times New Roman"/>
          <w:b/>
          <w:sz w:val="24"/>
          <w:szCs w:val="24"/>
        </w:rPr>
      </w:pPr>
      <w:r w:rsidRPr="00880B66">
        <w:rPr>
          <w:rFonts w:ascii="Times New Roman" w:hAnsi="Times New Roman"/>
          <w:b/>
          <w:sz w:val="24"/>
          <w:szCs w:val="24"/>
        </w:rPr>
        <w:t>Legal lesson learned:  The former Fire Chief proved to the jury that discrimination was a substantial motivating factor in his termination.</w:t>
      </w:r>
    </w:p>
    <w:p w14:paraId="560D25FB" w14:textId="77777777" w:rsidR="00880B66" w:rsidRPr="00880B66" w:rsidRDefault="00880B66" w:rsidP="00880B66">
      <w:pPr>
        <w:pStyle w:val="NoSpacing"/>
        <w:rPr>
          <w:rFonts w:ascii="Times New Roman" w:hAnsi="Times New Roman"/>
          <w:sz w:val="24"/>
          <w:szCs w:val="24"/>
        </w:rPr>
      </w:pPr>
    </w:p>
    <w:p w14:paraId="5176E972" w14:textId="77777777" w:rsidR="00880B66" w:rsidRPr="00880B66" w:rsidRDefault="00880B66" w:rsidP="00880B66">
      <w:pPr>
        <w:pStyle w:val="NoSpacing"/>
        <w:ind w:left="720"/>
        <w:rPr>
          <w:rFonts w:ascii="Times New Roman" w:hAnsi="Times New Roman"/>
          <w:b/>
          <w:sz w:val="24"/>
          <w:szCs w:val="24"/>
        </w:rPr>
      </w:pPr>
      <w:r w:rsidRPr="00880B66">
        <w:rPr>
          <w:rFonts w:ascii="Times New Roman" w:hAnsi="Times New Roman"/>
          <w:sz w:val="24"/>
          <w:szCs w:val="24"/>
        </w:rPr>
        <w:t xml:space="preserve">Note: See May 9, </w:t>
      </w:r>
      <w:proofErr w:type="gramStart"/>
      <w:r w:rsidRPr="00880B66">
        <w:rPr>
          <w:rFonts w:ascii="Times New Roman" w:hAnsi="Times New Roman"/>
          <w:sz w:val="24"/>
          <w:szCs w:val="24"/>
        </w:rPr>
        <w:t>2023</w:t>
      </w:r>
      <w:proofErr w:type="gramEnd"/>
      <w:r w:rsidRPr="00880B66">
        <w:rPr>
          <w:rFonts w:ascii="Times New Roman" w:hAnsi="Times New Roman"/>
          <w:sz w:val="24"/>
          <w:szCs w:val="24"/>
        </w:rPr>
        <w:t xml:space="preserve"> article, “Former West Covina fire chief wins $4.1 million in wrongful termination suit.” </w:t>
      </w:r>
      <w:hyperlink r:id="rId1667" w:history="1">
        <w:r w:rsidRPr="00880B66">
          <w:rPr>
            <w:rStyle w:val="Hyperlink"/>
            <w:rFonts w:ascii="Times New Roman" w:hAnsi="Times New Roman"/>
            <w:sz w:val="24"/>
            <w:szCs w:val="24"/>
          </w:rPr>
          <w:t>https://sac.media/2023/05/09/former-west-covina-fire-chief-awarded-4-1-million-in-wrongful-termination-suit/</w:t>
        </w:r>
      </w:hyperlink>
      <w:r w:rsidRPr="00880B66">
        <w:rPr>
          <w:rFonts w:ascii="Times New Roman" w:hAnsi="Times New Roman"/>
          <w:b/>
          <w:sz w:val="24"/>
          <w:szCs w:val="24"/>
        </w:rPr>
        <w:t xml:space="preserve"> </w:t>
      </w:r>
    </w:p>
    <w:p w14:paraId="59E69D65" w14:textId="77777777" w:rsidR="00880B66" w:rsidRPr="00880B66" w:rsidRDefault="00880B66" w:rsidP="00880B66">
      <w:pPr>
        <w:pStyle w:val="NoSpacing"/>
        <w:ind w:left="720"/>
        <w:rPr>
          <w:rFonts w:ascii="Times New Roman" w:hAnsi="Times New Roman"/>
          <w:sz w:val="24"/>
          <w:szCs w:val="24"/>
        </w:rPr>
      </w:pPr>
      <w:r w:rsidRPr="00880B66">
        <w:rPr>
          <w:rFonts w:ascii="Times New Roman" w:hAnsi="Times New Roman"/>
          <w:sz w:val="24"/>
          <w:szCs w:val="24"/>
        </w:rPr>
        <w:t>According to the lawsuit, Whithorn was harassed following multiple extended medical leaves from December 2016 to April 2017 and June 2017 to September 2017 and brief leaves in January 2018 and September 2018 to aid an ill relative.</w:t>
      </w:r>
    </w:p>
    <w:p w14:paraId="7F310381" w14:textId="77777777" w:rsidR="00880B66" w:rsidRPr="00880B66" w:rsidRDefault="00880B66" w:rsidP="00880B66">
      <w:pPr>
        <w:pStyle w:val="NoSpacing"/>
        <w:ind w:left="720"/>
        <w:rPr>
          <w:rFonts w:ascii="Times New Roman" w:hAnsi="Times New Roman"/>
          <w:sz w:val="24"/>
          <w:szCs w:val="24"/>
        </w:rPr>
      </w:pPr>
    </w:p>
    <w:p w14:paraId="5E637229" w14:textId="77777777" w:rsidR="00010BB9" w:rsidRPr="00880B66" w:rsidRDefault="00010BB9" w:rsidP="009C7451">
      <w:pPr>
        <w:pStyle w:val="NoSpacing"/>
        <w:rPr>
          <w:rFonts w:ascii="Times New Roman" w:hAnsi="Times New Roman"/>
          <w:sz w:val="24"/>
          <w:szCs w:val="24"/>
        </w:rPr>
      </w:pPr>
    </w:p>
    <w:p w14:paraId="5AA267B5" w14:textId="77777777" w:rsidR="00010BB9" w:rsidRPr="00880B66" w:rsidRDefault="00010BB9" w:rsidP="009C7451">
      <w:pPr>
        <w:pStyle w:val="NoSpacing"/>
        <w:rPr>
          <w:rFonts w:ascii="Times New Roman" w:hAnsi="Times New Roman"/>
          <w:sz w:val="24"/>
          <w:szCs w:val="24"/>
        </w:rPr>
      </w:pPr>
    </w:p>
    <w:p w14:paraId="4F5276B8" w14:textId="77777777" w:rsidR="00010BB9" w:rsidRDefault="00010BB9" w:rsidP="009C7451">
      <w:pPr>
        <w:pStyle w:val="NoSpacing"/>
        <w:rPr>
          <w:rFonts w:ascii="Arial Black" w:hAnsi="Arial Black"/>
          <w:sz w:val="24"/>
          <w:szCs w:val="24"/>
        </w:rPr>
      </w:pPr>
    </w:p>
    <w:p w14:paraId="51416B29" w14:textId="77777777" w:rsidR="00066EA4" w:rsidRDefault="00066EA4" w:rsidP="009C7451">
      <w:pPr>
        <w:pStyle w:val="NoSpacing"/>
        <w:rPr>
          <w:rFonts w:ascii="Arial Black" w:hAnsi="Arial Black"/>
          <w:sz w:val="24"/>
          <w:szCs w:val="24"/>
        </w:rPr>
      </w:pPr>
    </w:p>
    <w:p w14:paraId="0F3AF936" w14:textId="14B72635" w:rsidR="009C7451" w:rsidRDefault="009C7451" w:rsidP="009C7451">
      <w:pPr>
        <w:pStyle w:val="NoSpacing"/>
        <w:rPr>
          <w:rFonts w:ascii="Arial Black" w:hAnsi="Arial Black"/>
          <w:sz w:val="24"/>
          <w:szCs w:val="24"/>
        </w:rPr>
      </w:pPr>
      <w:r>
        <w:rPr>
          <w:rFonts w:ascii="Arial Black" w:hAnsi="Arial Black"/>
          <w:sz w:val="24"/>
          <w:szCs w:val="24"/>
        </w:rPr>
        <w:t>9-54</w:t>
      </w:r>
    </w:p>
    <w:p w14:paraId="48B264CC" w14:textId="77777777" w:rsidR="00066EA4" w:rsidRDefault="00066EA4" w:rsidP="008E25B6">
      <w:pPr>
        <w:rPr>
          <w:rFonts w:ascii="Arial Black" w:hAnsi="Arial Black"/>
          <w:b/>
          <w:sz w:val="28"/>
          <w:szCs w:val="28"/>
        </w:rPr>
      </w:pPr>
    </w:p>
    <w:p w14:paraId="34B19C75" w14:textId="30DA7B21" w:rsidR="008E25B6" w:rsidRPr="00363302" w:rsidRDefault="008E25B6" w:rsidP="008E25B6">
      <w:pPr>
        <w:rPr>
          <w:rFonts w:ascii="Arial Black" w:hAnsi="Arial Black"/>
          <w:b/>
          <w:sz w:val="28"/>
          <w:szCs w:val="28"/>
        </w:rPr>
      </w:pPr>
      <w:r>
        <w:rPr>
          <w:rFonts w:ascii="Arial Black" w:hAnsi="Arial Black"/>
          <w:b/>
          <w:sz w:val="28"/>
          <w:szCs w:val="28"/>
        </w:rPr>
        <w:t xml:space="preserve">FL: FF PERM. INJURIES – OFF DUTY MVA – NO LIGHT DUTY </w:t>
      </w:r>
    </w:p>
    <w:p w14:paraId="1CCC129E" w14:textId="77777777" w:rsidR="008E25B6" w:rsidRPr="00C07F42" w:rsidRDefault="008E25B6" w:rsidP="008E25B6">
      <w:pPr>
        <w:pStyle w:val="NoSpacing"/>
        <w:rPr>
          <w:rFonts w:ascii="Times New Roman" w:hAnsi="Times New Roman"/>
          <w:sz w:val="24"/>
          <w:szCs w:val="24"/>
        </w:rPr>
      </w:pPr>
      <w:r w:rsidRPr="00C07F42">
        <w:rPr>
          <w:rFonts w:ascii="Times New Roman" w:hAnsi="Times New Roman"/>
          <w:sz w:val="24"/>
          <w:szCs w:val="24"/>
        </w:rPr>
        <w:t xml:space="preserve">On June 23, 2025, in </w:t>
      </w:r>
      <w:r w:rsidRPr="00C07F42">
        <w:rPr>
          <w:rFonts w:ascii="Times New Roman" w:hAnsi="Times New Roman"/>
          <w:sz w:val="24"/>
          <w:szCs w:val="24"/>
          <w:u w:val="single"/>
        </w:rPr>
        <w:t>Jonathan Marshall v. Secretary of the Navy</w:t>
      </w:r>
      <w:r w:rsidRPr="00C07F42">
        <w:rPr>
          <w:rFonts w:ascii="Times New Roman" w:hAnsi="Times New Roman"/>
          <w:sz w:val="24"/>
          <w:szCs w:val="24"/>
        </w:rPr>
        <w:t xml:space="preserve">, the United State Court of Appeals, Eleventh Circuit (Atlanta) held (3 to 0; unpublished decision) that trial court properly granted summary judgment to the Navy. Because of a serious off duty automobile accident in May 2021, he suffered permanent brain and back injuries, and after a period of paid and unpaid leave was terminated in April 2022.  He claimed “gender discrimination” when the Navy allowed a female Captain, who suffered an on-duty accident, to do light duty </w:t>
      </w:r>
      <w:r w:rsidRPr="00C07F42">
        <w:rPr>
          <w:rFonts w:ascii="Times New Roman" w:hAnsi="Times New Roman"/>
          <w:sz w:val="24"/>
          <w:szCs w:val="24"/>
        </w:rPr>
        <w:lastRenderedPageBreak/>
        <w:t xml:space="preserve">clerical work for several months before she was able to return to “full duties” as a firefighter / EMT.  THE COURT HELD: “None of Marshall’s proffered evidence creates a triable issue of fact that the Navy discriminated against him based on his gender. Marshall’s supervisor’s isolated comments expressing disapproval of men receiving parental leave is divorced from the Navy’s decision to deny his light-duty request after he suffered traumatic injuries. That Marshall’s schedule was readjusted following the birth of his child—the very reason for which the schedule change was adopted in the first place—also does not show impermissible discrimination.” </w:t>
      </w:r>
    </w:p>
    <w:p w14:paraId="5BF2F045" w14:textId="77777777" w:rsidR="008E25B6" w:rsidRPr="00C07F42" w:rsidRDefault="008E25B6" w:rsidP="008E25B6">
      <w:pPr>
        <w:pStyle w:val="NoSpacing"/>
        <w:rPr>
          <w:rFonts w:ascii="Times New Roman" w:hAnsi="Times New Roman"/>
          <w:sz w:val="24"/>
          <w:szCs w:val="24"/>
        </w:rPr>
      </w:pPr>
      <w:hyperlink r:id="rId1668" w:history="1">
        <w:r w:rsidRPr="00C07F42">
          <w:rPr>
            <w:rStyle w:val="Hyperlink"/>
            <w:rFonts w:ascii="Times New Roman" w:hAnsi="Times New Roman"/>
            <w:sz w:val="24"/>
            <w:szCs w:val="24"/>
          </w:rPr>
          <w:t>https://cases.justia.com/federal/appellate-courts/ca11/24-12910/24-12910-2025-06-23.pdf?ts=1750690858</w:t>
        </w:r>
      </w:hyperlink>
      <w:r w:rsidRPr="00C07F42">
        <w:rPr>
          <w:rFonts w:ascii="Times New Roman" w:hAnsi="Times New Roman"/>
          <w:sz w:val="24"/>
          <w:szCs w:val="24"/>
        </w:rPr>
        <w:t xml:space="preserve"> </w:t>
      </w:r>
    </w:p>
    <w:p w14:paraId="15FA0CE5" w14:textId="77777777" w:rsidR="00456C91" w:rsidRPr="00C07F42" w:rsidRDefault="00456C91" w:rsidP="005C30A4">
      <w:pPr>
        <w:pStyle w:val="NoSpacing"/>
        <w:rPr>
          <w:rFonts w:ascii="Times New Roman" w:hAnsi="Times New Roman"/>
          <w:sz w:val="24"/>
          <w:szCs w:val="24"/>
        </w:rPr>
      </w:pPr>
    </w:p>
    <w:p w14:paraId="6615A5F5" w14:textId="77777777" w:rsidR="00C07F42" w:rsidRPr="00C07F42" w:rsidRDefault="00C07F42" w:rsidP="00C07F42">
      <w:pPr>
        <w:pStyle w:val="NoSpacing"/>
        <w:rPr>
          <w:rFonts w:ascii="Times New Roman" w:hAnsi="Times New Roman"/>
          <w:b/>
          <w:bCs/>
          <w:sz w:val="24"/>
          <w:szCs w:val="24"/>
        </w:rPr>
      </w:pPr>
      <w:r w:rsidRPr="00C07F42">
        <w:rPr>
          <w:rFonts w:ascii="Times New Roman" w:hAnsi="Times New Roman"/>
          <w:b/>
          <w:sz w:val="24"/>
          <w:szCs w:val="24"/>
        </w:rPr>
        <w:t xml:space="preserve">Legal lesson learned: Reasonable accommodation is required only if the employee can then perform the essential functions of the job. </w:t>
      </w:r>
    </w:p>
    <w:p w14:paraId="678C8D88" w14:textId="77777777" w:rsidR="00C07F42" w:rsidRPr="00C07F42" w:rsidRDefault="00C07F42" w:rsidP="00C07F42">
      <w:pPr>
        <w:rPr>
          <w:rFonts w:ascii="Times New Roman" w:hAnsi="Times New Roman"/>
          <w:bCs/>
          <w:sz w:val="24"/>
          <w:szCs w:val="24"/>
        </w:rPr>
      </w:pPr>
    </w:p>
    <w:p w14:paraId="6E69A617" w14:textId="77777777" w:rsidR="00C07F42" w:rsidRDefault="00C07F42" w:rsidP="005C30A4">
      <w:pPr>
        <w:pStyle w:val="NoSpacing"/>
        <w:rPr>
          <w:rFonts w:ascii="Arial Black" w:hAnsi="Arial Black"/>
          <w:sz w:val="24"/>
          <w:szCs w:val="24"/>
        </w:rPr>
      </w:pPr>
    </w:p>
    <w:p w14:paraId="22D9A007" w14:textId="6CDC2093" w:rsidR="009C7451" w:rsidRDefault="009C7451" w:rsidP="009C7451">
      <w:pPr>
        <w:pStyle w:val="NoSpacing"/>
        <w:rPr>
          <w:rFonts w:ascii="Arial Black" w:hAnsi="Arial Black"/>
          <w:sz w:val="24"/>
          <w:szCs w:val="24"/>
        </w:rPr>
      </w:pPr>
      <w:r>
        <w:rPr>
          <w:rFonts w:ascii="Arial Black" w:hAnsi="Arial Black"/>
          <w:sz w:val="24"/>
          <w:szCs w:val="24"/>
        </w:rPr>
        <w:t>9-53</w:t>
      </w:r>
    </w:p>
    <w:p w14:paraId="1175AF7F" w14:textId="77777777" w:rsidR="009C7451" w:rsidRDefault="009C7451" w:rsidP="005C30A4">
      <w:pPr>
        <w:pStyle w:val="NoSpacing"/>
        <w:rPr>
          <w:rFonts w:ascii="Arial Black" w:hAnsi="Arial Black"/>
          <w:sz w:val="24"/>
          <w:szCs w:val="24"/>
        </w:rPr>
      </w:pPr>
    </w:p>
    <w:p w14:paraId="57062C2D" w14:textId="77777777" w:rsidR="009C7451" w:rsidRDefault="009C7451" w:rsidP="005C30A4">
      <w:pPr>
        <w:pStyle w:val="NoSpacing"/>
        <w:rPr>
          <w:rFonts w:ascii="Arial Black" w:hAnsi="Arial Black"/>
          <w:sz w:val="24"/>
          <w:szCs w:val="24"/>
        </w:rPr>
      </w:pPr>
    </w:p>
    <w:p w14:paraId="7586FABA" w14:textId="2B998D43" w:rsidR="0069094F" w:rsidRPr="002100DB" w:rsidRDefault="0069094F" w:rsidP="0069094F">
      <w:pPr>
        <w:rPr>
          <w:rFonts w:ascii="Arial Black" w:hAnsi="Arial Black"/>
          <w:b/>
          <w:sz w:val="28"/>
          <w:szCs w:val="28"/>
        </w:rPr>
      </w:pPr>
      <w:r>
        <w:rPr>
          <w:rFonts w:ascii="Arial Black" w:hAnsi="Arial Black"/>
          <w:b/>
          <w:sz w:val="28"/>
          <w:szCs w:val="28"/>
        </w:rPr>
        <w:t>U.S. SUP. CT:  RETIRE</w:t>
      </w:r>
      <w:r w:rsidR="0051265E">
        <w:rPr>
          <w:rFonts w:ascii="Arial Black" w:hAnsi="Arial Black"/>
          <w:b/>
          <w:sz w:val="28"/>
          <w:szCs w:val="28"/>
        </w:rPr>
        <w:t>D</w:t>
      </w:r>
      <w:r>
        <w:rPr>
          <w:rFonts w:ascii="Arial Black" w:hAnsi="Arial Black"/>
          <w:b/>
          <w:sz w:val="28"/>
          <w:szCs w:val="28"/>
        </w:rPr>
        <w:t xml:space="preserve"> / PARKINSON’S – NO ADA</w:t>
      </w:r>
      <w:r w:rsidR="00F56294">
        <w:rPr>
          <w:rFonts w:ascii="Arial Black" w:hAnsi="Arial Black"/>
          <w:b/>
          <w:sz w:val="28"/>
          <w:szCs w:val="28"/>
        </w:rPr>
        <w:t xml:space="preserve"> VIOL</w:t>
      </w:r>
      <w:r>
        <w:rPr>
          <w:rFonts w:ascii="Arial Black" w:hAnsi="Arial Black"/>
          <w:b/>
          <w:sz w:val="28"/>
          <w:szCs w:val="28"/>
        </w:rPr>
        <w:t xml:space="preserve"> </w:t>
      </w:r>
      <w:r w:rsidR="002F270A">
        <w:rPr>
          <w:rFonts w:ascii="Arial Black" w:hAnsi="Arial Black"/>
          <w:b/>
          <w:sz w:val="28"/>
          <w:szCs w:val="28"/>
        </w:rPr>
        <w:t xml:space="preserve">ONLY </w:t>
      </w:r>
      <w:r>
        <w:rPr>
          <w:rFonts w:ascii="Arial Black" w:hAnsi="Arial Black"/>
          <w:b/>
          <w:sz w:val="28"/>
          <w:szCs w:val="28"/>
        </w:rPr>
        <w:t xml:space="preserve">2-YR </w:t>
      </w:r>
      <w:r w:rsidR="002F270A">
        <w:rPr>
          <w:rFonts w:ascii="Arial Black" w:hAnsi="Arial Black"/>
          <w:b/>
          <w:sz w:val="28"/>
          <w:szCs w:val="28"/>
        </w:rPr>
        <w:t xml:space="preserve">CITY </w:t>
      </w:r>
      <w:r>
        <w:rPr>
          <w:rFonts w:ascii="Arial Black" w:hAnsi="Arial Black"/>
          <w:b/>
          <w:sz w:val="28"/>
          <w:szCs w:val="28"/>
        </w:rPr>
        <w:t>INSUR</w:t>
      </w:r>
      <w:r w:rsidR="002F270A">
        <w:rPr>
          <w:rFonts w:ascii="Arial Black" w:hAnsi="Arial Black"/>
          <w:b/>
          <w:sz w:val="28"/>
          <w:szCs w:val="28"/>
        </w:rPr>
        <w:t>ANCE</w:t>
      </w:r>
    </w:p>
    <w:p w14:paraId="564DA748" w14:textId="77777777" w:rsidR="0069094F" w:rsidRPr="0004575D" w:rsidRDefault="0069094F" w:rsidP="0069094F">
      <w:pPr>
        <w:pStyle w:val="NoSpacing"/>
        <w:rPr>
          <w:rFonts w:ascii="Times New Roman" w:hAnsi="Times New Roman"/>
          <w:bCs/>
          <w:sz w:val="24"/>
          <w:szCs w:val="24"/>
        </w:rPr>
      </w:pPr>
      <w:r w:rsidRPr="0004575D">
        <w:rPr>
          <w:rFonts w:ascii="Times New Roman" w:hAnsi="Times New Roman"/>
          <w:sz w:val="24"/>
          <w:szCs w:val="24"/>
        </w:rPr>
        <w:t xml:space="preserve">On June 20, 2025, in </w:t>
      </w:r>
      <w:r w:rsidRPr="0004575D">
        <w:rPr>
          <w:rFonts w:ascii="Times New Roman" w:hAnsi="Times New Roman"/>
          <w:sz w:val="24"/>
          <w:szCs w:val="24"/>
          <w:u w:val="single"/>
        </w:rPr>
        <w:t>Karyn Stanley v. City of Sanford, Florida</w:t>
      </w:r>
      <w:r w:rsidRPr="0004575D">
        <w:rPr>
          <w:rFonts w:ascii="Times New Roman" w:hAnsi="Times New Roman"/>
          <w:sz w:val="24"/>
          <w:szCs w:val="24"/>
        </w:rPr>
        <w:t xml:space="preserve">, the United States Supreme Court held (7 to 2) that the lawsuit by retired firefighter was properly dismissed.  She was diagnosed in 2016 with Parkinson’s disease and after 19 years of service took disability retirement in 2018.  Her city insurance ran out in 2020.  When she retired, Stanley expected to continue receiving the City’s health insurance full subsidy until she turned 65 but learned that the City had changed the policy way back in 2003 for those retiring with less than 25 years.   Court agreed with U.S. District Court judge that ADA does not cover her since she does not meet the definition of a “qualified individual” under the ADA –  ADA protection is limited to active employees or applicants.  THE COURT HELD: “To sum up, we hold that, to prevail under §12112(a), a plaintiff must plead and prove that she held or desired a </w:t>
      </w:r>
      <w:proofErr w:type="gramStart"/>
      <w:r w:rsidRPr="0004575D">
        <w:rPr>
          <w:rFonts w:ascii="Times New Roman" w:hAnsi="Times New Roman"/>
          <w:sz w:val="24"/>
          <w:szCs w:val="24"/>
        </w:rPr>
        <w:t>job, and</w:t>
      </w:r>
      <w:proofErr w:type="gramEnd"/>
      <w:r w:rsidRPr="0004575D">
        <w:rPr>
          <w:rFonts w:ascii="Times New Roman" w:hAnsi="Times New Roman"/>
          <w:sz w:val="24"/>
          <w:szCs w:val="24"/>
        </w:rPr>
        <w:t xml:space="preserve"> could perform its essential functions with or without reasonable accommodation, at the time of an employer’s alleged act of disability-based discrimination.” </w:t>
      </w:r>
    </w:p>
    <w:p w14:paraId="7C175CC7" w14:textId="77777777" w:rsidR="0069094F" w:rsidRPr="0004575D" w:rsidRDefault="0069094F" w:rsidP="0069094F">
      <w:pPr>
        <w:rPr>
          <w:rFonts w:ascii="Times New Roman" w:hAnsi="Times New Roman"/>
          <w:bCs/>
          <w:sz w:val="24"/>
          <w:szCs w:val="24"/>
        </w:rPr>
      </w:pPr>
      <w:hyperlink r:id="rId1669" w:history="1">
        <w:r w:rsidRPr="0004575D">
          <w:rPr>
            <w:rStyle w:val="Hyperlink"/>
            <w:rFonts w:ascii="Times New Roman" w:hAnsi="Times New Roman"/>
            <w:sz w:val="24"/>
            <w:szCs w:val="24"/>
          </w:rPr>
          <w:t>https://www.supremecourt.gov/opinions/24pdf/23-997_6579.pdf</w:t>
        </w:r>
      </w:hyperlink>
      <w:r w:rsidRPr="0004575D">
        <w:rPr>
          <w:rFonts w:ascii="Times New Roman" w:hAnsi="Times New Roman"/>
          <w:sz w:val="24"/>
          <w:szCs w:val="24"/>
        </w:rPr>
        <w:t xml:space="preserve"> </w:t>
      </w:r>
    </w:p>
    <w:p w14:paraId="49462F71" w14:textId="77777777" w:rsidR="0004575D" w:rsidRPr="0004575D" w:rsidRDefault="0004575D" w:rsidP="0004575D">
      <w:pPr>
        <w:pStyle w:val="NoSpacing"/>
        <w:rPr>
          <w:rFonts w:ascii="Times New Roman" w:hAnsi="Times New Roman"/>
          <w:b/>
          <w:sz w:val="24"/>
          <w:szCs w:val="24"/>
        </w:rPr>
      </w:pPr>
      <w:r w:rsidRPr="0004575D">
        <w:rPr>
          <w:rFonts w:ascii="Times New Roman" w:hAnsi="Times New Roman"/>
          <w:b/>
          <w:sz w:val="24"/>
          <w:szCs w:val="24"/>
        </w:rPr>
        <w:t>Legal lesson learned:  Perhaps this decision will lead Congress to clarify the ADA claims filed by retirees.</w:t>
      </w:r>
    </w:p>
    <w:p w14:paraId="2496DCB7" w14:textId="77777777" w:rsidR="0004575D" w:rsidRPr="0004575D" w:rsidRDefault="0004575D" w:rsidP="0004575D">
      <w:pPr>
        <w:rPr>
          <w:rFonts w:ascii="Times New Roman" w:hAnsi="Times New Roman"/>
          <w:bCs/>
          <w:sz w:val="24"/>
          <w:szCs w:val="24"/>
        </w:rPr>
      </w:pPr>
    </w:p>
    <w:p w14:paraId="494C8BE6" w14:textId="77777777" w:rsidR="00456C91" w:rsidRDefault="00456C91" w:rsidP="005C30A4">
      <w:pPr>
        <w:pStyle w:val="NoSpacing"/>
        <w:rPr>
          <w:rFonts w:ascii="Arial Black" w:hAnsi="Arial Black"/>
          <w:sz w:val="24"/>
          <w:szCs w:val="24"/>
        </w:rPr>
      </w:pPr>
    </w:p>
    <w:p w14:paraId="5FE38A9E" w14:textId="453A3596" w:rsidR="009C7451" w:rsidRDefault="009C7451" w:rsidP="009C7451">
      <w:pPr>
        <w:pStyle w:val="NoSpacing"/>
        <w:rPr>
          <w:rFonts w:ascii="Arial Black" w:hAnsi="Arial Black"/>
          <w:sz w:val="24"/>
          <w:szCs w:val="24"/>
        </w:rPr>
      </w:pPr>
      <w:r>
        <w:rPr>
          <w:rFonts w:ascii="Arial Black" w:hAnsi="Arial Black"/>
          <w:sz w:val="24"/>
          <w:szCs w:val="24"/>
        </w:rPr>
        <w:t>9-52</w:t>
      </w:r>
    </w:p>
    <w:p w14:paraId="1E989D9E" w14:textId="77777777" w:rsidR="009C7451" w:rsidRDefault="009C7451" w:rsidP="005C30A4">
      <w:pPr>
        <w:pStyle w:val="NoSpacing"/>
        <w:rPr>
          <w:rFonts w:ascii="Arial Black" w:hAnsi="Arial Black"/>
          <w:sz w:val="24"/>
          <w:szCs w:val="24"/>
        </w:rPr>
      </w:pPr>
    </w:p>
    <w:p w14:paraId="288346C1" w14:textId="77777777" w:rsidR="009C7451" w:rsidRDefault="009C7451" w:rsidP="005C30A4">
      <w:pPr>
        <w:pStyle w:val="NoSpacing"/>
        <w:rPr>
          <w:rFonts w:ascii="Arial Black" w:hAnsi="Arial Black"/>
          <w:sz w:val="24"/>
          <w:szCs w:val="24"/>
        </w:rPr>
      </w:pPr>
    </w:p>
    <w:p w14:paraId="6E683485" w14:textId="77777777" w:rsidR="00EC5A2A" w:rsidRPr="00B73C35" w:rsidRDefault="00EC5A2A" w:rsidP="00EC5A2A">
      <w:pPr>
        <w:rPr>
          <w:rFonts w:ascii="Arial Black" w:hAnsi="Arial Black"/>
          <w:bCs/>
          <w:sz w:val="28"/>
          <w:szCs w:val="28"/>
        </w:rPr>
      </w:pPr>
      <w:r>
        <w:rPr>
          <w:rFonts w:ascii="Arial Black" w:hAnsi="Arial Black"/>
          <w:sz w:val="28"/>
          <w:szCs w:val="28"/>
        </w:rPr>
        <w:t xml:space="preserve">NY: COVID – RELIGION EXECPTION DENIED / FAIR PROCESS </w:t>
      </w:r>
    </w:p>
    <w:p w14:paraId="48FE825A" w14:textId="2EB3C1E3" w:rsidR="00456C91" w:rsidRPr="00C01718" w:rsidRDefault="00EC5A2A" w:rsidP="00EC5A2A">
      <w:pPr>
        <w:pStyle w:val="NoSpacing"/>
        <w:rPr>
          <w:rFonts w:ascii="Times New Roman" w:hAnsi="Times New Roman"/>
          <w:sz w:val="24"/>
          <w:szCs w:val="24"/>
        </w:rPr>
      </w:pPr>
      <w:r w:rsidRPr="00C01718">
        <w:rPr>
          <w:rFonts w:ascii="Times New Roman" w:hAnsi="Times New Roman"/>
          <w:sz w:val="24"/>
          <w:szCs w:val="24"/>
        </w:rPr>
        <w:t xml:space="preserve">On June 18, 2025, </w:t>
      </w:r>
      <w:r w:rsidRPr="00C01718">
        <w:rPr>
          <w:rFonts w:ascii="Times New Roman" w:hAnsi="Times New Roman"/>
          <w:sz w:val="24"/>
          <w:szCs w:val="24"/>
          <w:u w:val="single"/>
        </w:rPr>
        <w:t>In the Matter of Brian Smith v. New York City Fire Department, et al</w:t>
      </w:r>
      <w:r w:rsidRPr="00C01718">
        <w:rPr>
          <w:rFonts w:ascii="Times New Roman" w:hAnsi="Times New Roman"/>
          <w:sz w:val="24"/>
          <w:szCs w:val="24"/>
        </w:rPr>
        <w:t>.,</w:t>
      </w:r>
      <w:r w:rsidRPr="00C01718">
        <w:rPr>
          <w:rFonts w:ascii="Times New Roman" w:hAnsi="Times New Roman"/>
          <w:b/>
          <w:sz w:val="24"/>
          <w:szCs w:val="24"/>
        </w:rPr>
        <w:t xml:space="preserve"> </w:t>
      </w:r>
      <w:r w:rsidRPr="00C01718">
        <w:rPr>
          <w:rFonts w:ascii="Times New Roman" w:hAnsi="Times New Roman"/>
          <w:sz w:val="24"/>
          <w:szCs w:val="24"/>
        </w:rPr>
        <w:t xml:space="preserve">the Supreme Court of New York, Second Department, held (4 to 0) that trial court improperly reinstated the firefighter, awarded him back pay and attorney fees.  The firefighter was placed on unpaid leave on Nov. 1, </w:t>
      </w:r>
      <w:proofErr w:type="gramStart"/>
      <w:r w:rsidRPr="00C01718">
        <w:rPr>
          <w:rFonts w:ascii="Times New Roman" w:hAnsi="Times New Roman"/>
          <w:sz w:val="24"/>
          <w:szCs w:val="24"/>
        </w:rPr>
        <w:t>2021</w:t>
      </w:r>
      <w:proofErr w:type="gramEnd"/>
      <w:r w:rsidRPr="00C01718">
        <w:rPr>
          <w:rFonts w:ascii="Times New Roman" w:hAnsi="Times New Roman"/>
          <w:sz w:val="24"/>
          <w:szCs w:val="24"/>
        </w:rPr>
        <w:t xml:space="preserve"> for refusing to get vaccinated, and retired July 13, </w:t>
      </w:r>
      <w:proofErr w:type="gramStart"/>
      <w:r w:rsidRPr="00C01718">
        <w:rPr>
          <w:rFonts w:ascii="Times New Roman" w:hAnsi="Times New Roman"/>
          <w:sz w:val="24"/>
          <w:szCs w:val="24"/>
        </w:rPr>
        <w:t>2022</w:t>
      </w:r>
      <w:proofErr w:type="gramEnd"/>
      <w:r w:rsidRPr="00C01718">
        <w:rPr>
          <w:rFonts w:ascii="Times New Roman" w:hAnsi="Times New Roman"/>
          <w:sz w:val="24"/>
          <w:szCs w:val="24"/>
        </w:rPr>
        <w:t xml:space="preserve"> when his appeal was denied  by the City of New York Reasonable Accommodation Appeals Panel.   THE COURT HELD: </w:t>
      </w:r>
      <w:r w:rsidRPr="00C01718">
        <w:rPr>
          <w:rFonts w:ascii="Times New Roman" w:hAnsi="Times New Roman"/>
          <w:b/>
          <w:sz w:val="24"/>
          <w:szCs w:val="24"/>
        </w:rPr>
        <w:t>“</w:t>
      </w:r>
      <w:r w:rsidRPr="00C01718">
        <w:rPr>
          <w:rFonts w:ascii="Times New Roman" w:hAnsi="Times New Roman"/>
          <w:sz w:val="24"/>
          <w:szCs w:val="24"/>
        </w:rPr>
        <w:t xml:space="preserve">Here, the petitioner failed to demonstrate that the appellants' process for resolving requests for a reasonable accommodation from the vaccine mandate did not meet the requirements of the NYCHRL regarding cooperative dialogue…. The appellants provided information on the process for reviewing accommodation requests related to the vaccine mandate and informed employees </w:t>
      </w:r>
      <w:r w:rsidRPr="00C01718">
        <w:rPr>
          <w:rFonts w:ascii="Times New Roman" w:hAnsi="Times New Roman"/>
          <w:sz w:val="24"/>
          <w:szCs w:val="24"/>
        </w:rPr>
        <w:lastRenderedPageBreak/>
        <w:t xml:space="preserve">on how to appeal request denials. The record demonstrates that the petitioner availed himself of this process. The record also shows that there were multiple communications between the petitioner, the FDNY, and the Panel regarding the petitioner's accommodation request. The petitioner failed to establish that, under the unique circumstances present at the time of the vaccine mandate, the NYCHRL required a more robust or individualized dialogue.”  </w:t>
      </w:r>
      <w:hyperlink r:id="rId1670" w:history="1">
        <w:r w:rsidRPr="00C01718">
          <w:rPr>
            <w:rStyle w:val="Hyperlink"/>
            <w:rFonts w:ascii="Times New Roman" w:hAnsi="Times New Roman"/>
            <w:sz w:val="24"/>
            <w:szCs w:val="24"/>
          </w:rPr>
          <w:t>https://public.fastcase.com/jaEE2PXzRXmZ99jOLMt1Ipey3nn80Qzm5FjlczUETsDTuQT39ugB8joG6QHEs86OG3nGrKzxwZV4%2Fla6pLxdspdlDpATTrpmmFlVcXapI1M%3D?utm_medium=email&amp;_hsenc=p2ANqtz-8lwnqzIFsmVJzuahWcWVuNvva5eg1m46jktTnS1rNp1Tgpui8ycBPAblsV379ZnZFl8lWnb4zQm5QdddO-2g4KXoMSJQ&amp;_hsmi=226712652&amp;utm_content=226712652&amp;utm_source=hs_email</w:t>
        </w:r>
      </w:hyperlink>
    </w:p>
    <w:p w14:paraId="13320DEE" w14:textId="77777777" w:rsidR="00C01718" w:rsidRPr="00C01718" w:rsidRDefault="00C01718" w:rsidP="00EC5A2A">
      <w:pPr>
        <w:pStyle w:val="NoSpacing"/>
        <w:rPr>
          <w:rFonts w:ascii="Times New Roman" w:hAnsi="Times New Roman"/>
          <w:sz w:val="24"/>
          <w:szCs w:val="24"/>
        </w:rPr>
      </w:pPr>
    </w:p>
    <w:p w14:paraId="5992F85B" w14:textId="77777777" w:rsidR="00C01718" w:rsidRPr="00C01718" w:rsidRDefault="00C01718" w:rsidP="00C01718">
      <w:pPr>
        <w:rPr>
          <w:rFonts w:ascii="Times New Roman" w:hAnsi="Times New Roman"/>
          <w:b/>
          <w:bCs/>
          <w:sz w:val="24"/>
          <w:szCs w:val="24"/>
        </w:rPr>
      </w:pPr>
      <w:r w:rsidRPr="00C01718">
        <w:rPr>
          <w:rFonts w:ascii="Times New Roman" w:hAnsi="Times New Roman"/>
          <w:b/>
          <w:sz w:val="24"/>
          <w:szCs w:val="24"/>
        </w:rPr>
        <w:t xml:space="preserve">Legal lesson learned: FDNY provided the firefighter with fair COVID vaccination appeal </w:t>
      </w:r>
      <w:r w:rsidRPr="00C01718">
        <w:rPr>
          <w:rFonts w:ascii="Times New Roman" w:hAnsi="Times New Roman"/>
          <w:b/>
          <w:bCs/>
          <w:sz w:val="24"/>
          <w:szCs w:val="24"/>
        </w:rPr>
        <w:t>process.</w:t>
      </w:r>
    </w:p>
    <w:p w14:paraId="615373EB" w14:textId="77777777" w:rsidR="00C01718" w:rsidRDefault="00C01718" w:rsidP="00EC5A2A">
      <w:pPr>
        <w:pStyle w:val="NoSpacing"/>
        <w:rPr>
          <w:rFonts w:ascii="Arial Black" w:hAnsi="Arial Black"/>
          <w:sz w:val="24"/>
          <w:szCs w:val="24"/>
        </w:rPr>
      </w:pPr>
    </w:p>
    <w:p w14:paraId="0A29B256" w14:textId="41B2171F" w:rsidR="009C7451" w:rsidRDefault="009C7451" w:rsidP="009C7451">
      <w:pPr>
        <w:pStyle w:val="NoSpacing"/>
        <w:rPr>
          <w:rFonts w:ascii="Arial Black" w:hAnsi="Arial Black"/>
          <w:sz w:val="24"/>
          <w:szCs w:val="24"/>
        </w:rPr>
      </w:pPr>
      <w:r>
        <w:rPr>
          <w:rFonts w:ascii="Arial Black" w:hAnsi="Arial Black"/>
          <w:sz w:val="24"/>
          <w:szCs w:val="24"/>
        </w:rPr>
        <w:t>9-51</w:t>
      </w:r>
    </w:p>
    <w:p w14:paraId="0874F6B8" w14:textId="77777777" w:rsidR="009C7451" w:rsidRDefault="009C7451" w:rsidP="005C30A4">
      <w:pPr>
        <w:pStyle w:val="NoSpacing"/>
        <w:rPr>
          <w:rFonts w:ascii="Arial Black" w:hAnsi="Arial Black"/>
          <w:sz w:val="24"/>
          <w:szCs w:val="24"/>
        </w:rPr>
      </w:pPr>
    </w:p>
    <w:p w14:paraId="6CBAD97C" w14:textId="77777777" w:rsidR="00475136" w:rsidRPr="0009639F" w:rsidRDefault="00475136" w:rsidP="00475136">
      <w:pPr>
        <w:rPr>
          <w:rFonts w:ascii="Arial Black" w:hAnsi="Arial Black"/>
          <w:b/>
          <w:sz w:val="28"/>
          <w:szCs w:val="28"/>
        </w:rPr>
      </w:pPr>
      <w:r>
        <w:rPr>
          <w:rFonts w:ascii="Arial Black" w:hAnsi="Arial Black"/>
          <w:b/>
          <w:sz w:val="28"/>
          <w:szCs w:val="28"/>
        </w:rPr>
        <w:t xml:space="preserve">NY: COVID – NO WK TESTING – FDNY “UNDUE HARDSHIP” </w:t>
      </w:r>
    </w:p>
    <w:p w14:paraId="57365A5D" w14:textId="77777777" w:rsidR="00475136" w:rsidRPr="009C7451" w:rsidRDefault="00475136" w:rsidP="00475136">
      <w:pPr>
        <w:pStyle w:val="NoSpacing"/>
        <w:rPr>
          <w:rFonts w:ascii="Times New Roman" w:hAnsi="Times New Roman"/>
          <w:sz w:val="24"/>
          <w:szCs w:val="24"/>
        </w:rPr>
      </w:pPr>
      <w:r w:rsidRPr="009C7451">
        <w:rPr>
          <w:rFonts w:ascii="Times New Roman" w:hAnsi="Times New Roman"/>
          <w:sz w:val="24"/>
          <w:szCs w:val="24"/>
        </w:rPr>
        <w:t xml:space="preserve">On June 17, 2025, in </w:t>
      </w:r>
      <w:r w:rsidRPr="009C7451">
        <w:rPr>
          <w:rFonts w:ascii="Times New Roman" w:hAnsi="Times New Roman"/>
          <w:sz w:val="24"/>
          <w:szCs w:val="24"/>
          <w:u w:val="single"/>
        </w:rPr>
        <w:t>Javier Vasquez v. City of New York</w:t>
      </w:r>
      <w:r w:rsidRPr="009C7451">
        <w:rPr>
          <w:rFonts w:ascii="Times New Roman" w:hAnsi="Times New Roman"/>
          <w:sz w:val="24"/>
          <w:szCs w:val="24"/>
        </w:rPr>
        <w:t xml:space="preserve">, U.S. District Court Judge Hector Gonzalez reconfirmed his June 2, </w:t>
      </w:r>
      <w:proofErr w:type="gramStart"/>
      <w:r w:rsidRPr="009C7451">
        <w:rPr>
          <w:rFonts w:ascii="Times New Roman" w:hAnsi="Times New Roman"/>
          <w:sz w:val="24"/>
          <w:szCs w:val="24"/>
        </w:rPr>
        <w:t>2025</w:t>
      </w:r>
      <w:proofErr w:type="gramEnd"/>
      <w:r w:rsidRPr="009C7451">
        <w:rPr>
          <w:rFonts w:ascii="Times New Roman" w:hAnsi="Times New Roman"/>
          <w:sz w:val="24"/>
          <w:szCs w:val="24"/>
        </w:rPr>
        <w:t xml:space="preserve"> decision which denied summary judgment for both the firefighter </w:t>
      </w:r>
      <w:proofErr w:type="gramStart"/>
      <w:r w:rsidRPr="009C7451">
        <w:rPr>
          <w:rFonts w:ascii="Times New Roman" w:hAnsi="Times New Roman"/>
          <w:sz w:val="24"/>
          <w:szCs w:val="24"/>
        </w:rPr>
        <w:t>and also</w:t>
      </w:r>
      <w:proofErr w:type="gramEnd"/>
      <w:r w:rsidRPr="009C7451">
        <w:rPr>
          <w:rFonts w:ascii="Times New Roman" w:hAnsi="Times New Roman"/>
          <w:sz w:val="24"/>
          <w:szCs w:val="24"/>
        </w:rPr>
        <w:t xml:space="preserve"> the </w:t>
      </w:r>
      <w:proofErr w:type="gramStart"/>
      <w:r w:rsidRPr="009C7451">
        <w:rPr>
          <w:rFonts w:ascii="Times New Roman" w:hAnsi="Times New Roman"/>
          <w:sz w:val="24"/>
          <w:szCs w:val="24"/>
        </w:rPr>
        <w:t>City</w:t>
      </w:r>
      <w:proofErr w:type="gramEnd"/>
      <w:r w:rsidRPr="009C7451">
        <w:rPr>
          <w:rFonts w:ascii="Times New Roman" w:hAnsi="Times New Roman"/>
          <w:sz w:val="24"/>
          <w:szCs w:val="24"/>
        </w:rPr>
        <w:t>.  He again held that a jury should decide whether it was an “undue hardship” for FDNY to weekly test firefighters who refused to be vaccinated.  THE COURT HELD: “As the Court previously explained, the ‘evidence shows that the FDNY undertook some individualized consideration of Plaintiff’s request,’ referring to testimony in which the FDNY’s Assistant Commissioner of Equal Employment Opportunity Don Nguyen testified that Plaintiff, in his light-duty role, worked in an environment ‘staffed with dozens of folks sitting in a room . . . working with each other and working with other agencies.’ … Notably, Plaintiff fails to grapple with this. And there is more, such as a declaration from Mr. Nguyen submitted in Plaintiff’s state court case in which he explained that the FDNY considered that Plaintiff was ‘a certified first responder who would respond not only to fires but [also] medical emergencies with vulnerable populations of people.”</w:t>
      </w:r>
      <w:hyperlink r:id="rId1671" w:history="1">
        <w:r w:rsidRPr="009C7451">
          <w:rPr>
            <w:rStyle w:val="Hyperlink"/>
            <w:rFonts w:ascii="Times New Roman" w:hAnsi="Times New Roman"/>
            <w:sz w:val="24"/>
            <w:szCs w:val="24"/>
          </w:rPr>
          <w:t>https://www.govinfo.gov/content/pkg/USCOURTS-nyed-1_22-cv-05068/pdf/USCOURTS-nyed-1_22-cv-05068-3.pdf</w:t>
        </w:r>
      </w:hyperlink>
      <w:r w:rsidRPr="009C7451">
        <w:rPr>
          <w:rFonts w:ascii="Times New Roman" w:hAnsi="Times New Roman"/>
          <w:sz w:val="24"/>
          <w:szCs w:val="24"/>
        </w:rPr>
        <w:t xml:space="preserve"> </w:t>
      </w:r>
    </w:p>
    <w:p w14:paraId="46D34062" w14:textId="77777777" w:rsidR="00475136" w:rsidRPr="009C7451" w:rsidRDefault="00475136" w:rsidP="005C30A4">
      <w:pPr>
        <w:pStyle w:val="NoSpacing"/>
        <w:rPr>
          <w:rFonts w:ascii="Times New Roman" w:hAnsi="Times New Roman"/>
          <w:sz w:val="24"/>
          <w:szCs w:val="24"/>
        </w:rPr>
      </w:pPr>
    </w:p>
    <w:p w14:paraId="6B70AA61" w14:textId="77777777" w:rsidR="009C7451" w:rsidRPr="009C7451" w:rsidRDefault="009C7451" w:rsidP="009C7451">
      <w:pPr>
        <w:pStyle w:val="NoSpacing"/>
        <w:rPr>
          <w:rFonts w:ascii="Times New Roman" w:hAnsi="Times New Roman"/>
          <w:b/>
          <w:bCs/>
          <w:sz w:val="24"/>
          <w:szCs w:val="24"/>
        </w:rPr>
      </w:pPr>
      <w:r w:rsidRPr="009C7451">
        <w:rPr>
          <w:rFonts w:ascii="Times New Roman" w:hAnsi="Times New Roman"/>
          <w:b/>
          <w:sz w:val="24"/>
          <w:szCs w:val="24"/>
        </w:rPr>
        <w:t>Legal lesson learned: The City has a strong “undue hardship” defense if this case goes to trial.</w:t>
      </w:r>
    </w:p>
    <w:p w14:paraId="5C4545F8" w14:textId="77777777" w:rsidR="009C7451" w:rsidRPr="009C7451" w:rsidRDefault="009C7451" w:rsidP="009C7451">
      <w:pPr>
        <w:pStyle w:val="NoSpacing"/>
        <w:rPr>
          <w:rFonts w:ascii="Times New Roman" w:hAnsi="Times New Roman"/>
          <w:b/>
          <w:bCs/>
          <w:sz w:val="24"/>
          <w:szCs w:val="24"/>
        </w:rPr>
      </w:pPr>
    </w:p>
    <w:p w14:paraId="689A2950" w14:textId="77777777" w:rsidR="009C7451" w:rsidRPr="009C7451" w:rsidRDefault="009C7451" w:rsidP="009C7451">
      <w:pPr>
        <w:pStyle w:val="NoSpacing"/>
        <w:ind w:left="720"/>
        <w:rPr>
          <w:rFonts w:ascii="Times New Roman" w:hAnsi="Times New Roman"/>
          <w:bCs/>
          <w:sz w:val="24"/>
          <w:szCs w:val="24"/>
        </w:rPr>
      </w:pPr>
      <w:r w:rsidRPr="009C7451">
        <w:rPr>
          <w:rFonts w:ascii="Times New Roman" w:hAnsi="Times New Roman"/>
          <w:sz w:val="24"/>
          <w:szCs w:val="24"/>
        </w:rPr>
        <w:t xml:space="preserve">Note: See Aug. 28, </w:t>
      </w:r>
      <w:proofErr w:type="gramStart"/>
      <w:r w:rsidRPr="009C7451">
        <w:rPr>
          <w:rFonts w:ascii="Times New Roman" w:hAnsi="Times New Roman"/>
          <w:sz w:val="24"/>
          <w:szCs w:val="24"/>
        </w:rPr>
        <w:t>2022</w:t>
      </w:r>
      <w:proofErr w:type="gramEnd"/>
      <w:r w:rsidRPr="009C7451">
        <w:rPr>
          <w:rFonts w:ascii="Times New Roman" w:hAnsi="Times New Roman"/>
          <w:sz w:val="24"/>
          <w:szCs w:val="24"/>
        </w:rPr>
        <w:t xml:space="preserve"> article, “Unvaccinated FDNY Firefighters Poised to be Fired Unless they roll up their sleeves, 70 FDNY firefighters have been notified they won't be responding.”</w:t>
      </w:r>
    </w:p>
    <w:p w14:paraId="7D2FC351" w14:textId="77777777" w:rsidR="009C7451" w:rsidRPr="009C7451" w:rsidRDefault="009C7451" w:rsidP="009C7451">
      <w:pPr>
        <w:pStyle w:val="NoSpacing"/>
        <w:ind w:left="720"/>
        <w:rPr>
          <w:rFonts w:ascii="Times New Roman" w:hAnsi="Times New Roman"/>
          <w:bCs/>
          <w:sz w:val="24"/>
          <w:szCs w:val="24"/>
        </w:rPr>
      </w:pPr>
    </w:p>
    <w:p w14:paraId="2C64F1CA" w14:textId="77777777" w:rsidR="009C7451" w:rsidRPr="009C7451" w:rsidRDefault="009C7451" w:rsidP="009C7451">
      <w:pPr>
        <w:pStyle w:val="NoSpacing"/>
        <w:ind w:left="720"/>
        <w:rPr>
          <w:rFonts w:ascii="Times New Roman" w:hAnsi="Times New Roman"/>
          <w:b/>
          <w:sz w:val="24"/>
          <w:szCs w:val="24"/>
        </w:rPr>
      </w:pPr>
      <w:r w:rsidRPr="009C7451">
        <w:rPr>
          <w:rFonts w:ascii="Times New Roman" w:hAnsi="Times New Roman"/>
          <w:sz w:val="24"/>
          <w:szCs w:val="24"/>
        </w:rPr>
        <w:t xml:space="preserve">See Feb. 15, </w:t>
      </w:r>
      <w:proofErr w:type="gramStart"/>
      <w:r w:rsidRPr="009C7451">
        <w:rPr>
          <w:rFonts w:ascii="Times New Roman" w:hAnsi="Times New Roman"/>
          <w:sz w:val="24"/>
          <w:szCs w:val="24"/>
        </w:rPr>
        <w:t>2022</w:t>
      </w:r>
      <w:proofErr w:type="gramEnd"/>
      <w:r w:rsidRPr="009C7451">
        <w:rPr>
          <w:rFonts w:ascii="Times New Roman" w:hAnsi="Times New Roman"/>
          <w:sz w:val="24"/>
          <w:szCs w:val="24"/>
        </w:rPr>
        <w:t xml:space="preserve"> article, “Nearly 1,500 NYC municipal workers fired for not being vaccinated against COVID.”</w:t>
      </w:r>
      <w:r w:rsidRPr="009C7451">
        <w:rPr>
          <w:rFonts w:ascii="Times New Roman" w:hAnsi="Times New Roman"/>
          <w:b/>
          <w:sz w:val="24"/>
          <w:szCs w:val="24"/>
        </w:rPr>
        <w:t xml:space="preserve">  </w:t>
      </w:r>
      <w:hyperlink r:id="rId1672" w:history="1">
        <w:r w:rsidRPr="009C7451">
          <w:rPr>
            <w:rStyle w:val="Hyperlink"/>
            <w:rFonts w:ascii="Times New Roman" w:hAnsi="Times New Roman"/>
            <w:b/>
            <w:sz w:val="24"/>
            <w:szCs w:val="24"/>
          </w:rPr>
          <w:t>https://abcnews.go.com/Health/1500-nyc-municipal-workers-fired-vaccinated-covid/story?id=82900617</w:t>
        </w:r>
      </w:hyperlink>
      <w:r w:rsidRPr="009C7451">
        <w:rPr>
          <w:rFonts w:ascii="Times New Roman" w:hAnsi="Times New Roman"/>
          <w:b/>
          <w:sz w:val="24"/>
          <w:szCs w:val="24"/>
        </w:rPr>
        <w:t xml:space="preserve"> </w:t>
      </w:r>
    </w:p>
    <w:p w14:paraId="379C937F" w14:textId="77777777" w:rsidR="009C7451" w:rsidRPr="009C7451" w:rsidRDefault="009C7451" w:rsidP="009C7451">
      <w:pPr>
        <w:pStyle w:val="NoSpacing"/>
        <w:rPr>
          <w:rFonts w:ascii="Times New Roman" w:hAnsi="Times New Roman"/>
          <w:b/>
          <w:bCs/>
          <w:sz w:val="24"/>
          <w:szCs w:val="24"/>
        </w:rPr>
      </w:pPr>
    </w:p>
    <w:p w14:paraId="0CD3430F" w14:textId="77777777" w:rsidR="009C7451" w:rsidRPr="009C7451" w:rsidRDefault="009C7451" w:rsidP="009C7451">
      <w:pPr>
        <w:ind w:left="720"/>
        <w:rPr>
          <w:rFonts w:ascii="Times New Roman" w:hAnsi="Times New Roman"/>
          <w:b/>
          <w:sz w:val="24"/>
          <w:szCs w:val="24"/>
        </w:rPr>
      </w:pPr>
      <w:r w:rsidRPr="009C7451">
        <w:rPr>
          <w:rFonts w:ascii="Times New Roman" w:hAnsi="Times New Roman"/>
          <w:sz w:val="24"/>
          <w:szCs w:val="24"/>
        </w:rPr>
        <w:t xml:space="preserve">See EEOC guidance, “Enforcement Guidance on Reasonable Accommodation and Undue Hardship under the ADA.” </w:t>
      </w:r>
      <w:hyperlink r:id="rId1673" w:history="1">
        <w:r w:rsidRPr="009C7451">
          <w:rPr>
            <w:rStyle w:val="Hyperlink"/>
            <w:rFonts w:ascii="Times New Roman" w:hAnsi="Times New Roman"/>
            <w:sz w:val="24"/>
            <w:szCs w:val="24"/>
          </w:rPr>
          <w:t>https://www.eeoc.gov/laws/guidance/enforcement-guidance-reasonable-accommodation-and-undue-hardship-under-ada</w:t>
        </w:r>
      </w:hyperlink>
      <w:r w:rsidRPr="009C7451">
        <w:rPr>
          <w:rFonts w:ascii="Times New Roman" w:hAnsi="Times New Roman"/>
          <w:sz w:val="24"/>
          <w:szCs w:val="24"/>
        </w:rPr>
        <w:t xml:space="preserve"> </w:t>
      </w:r>
    </w:p>
    <w:p w14:paraId="1FC05AB6" w14:textId="77777777" w:rsidR="009C7451" w:rsidRPr="009C7451" w:rsidRDefault="009C7451" w:rsidP="009C7451">
      <w:pPr>
        <w:ind w:left="1440"/>
        <w:rPr>
          <w:rFonts w:ascii="Times New Roman" w:hAnsi="Times New Roman"/>
          <w:bCs/>
          <w:sz w:val="24"/>
          <w:szCs w:val="24"/>
        </w:rPr>
      </w:pPr>
      <w:r w:rsidRPr="009C7451">
        <w:rPr>
          <w:rFonts w:ascii="Times New Roman" w:hAnsi="Times New Roman"/>
          <w:sz w:val="24"/>
          <w:szCs w:val="24"/>
        </w:rPr>
        <w:t xml:space="preserve">“’Undue hardship’ means significant difficulty or expense and focuses on the resources and circumstances of the </w:t>
      </w:r>
      <w:proofErr w:type="gramStart"/>
      <w:r w:rsidRPr="009C7451">
        <w:rPr>
          <w:rFonts w:ascii="Times New Roman" w:hAnsi="Times New Roman"/>
          <w:sz w:val="24"/>
          <w:szCs w:val="24"/>
        </w:rPr>
        <w:t>particular employer</w:t>
      </w:r>
      <w:proofErr w:type="gramEnd"/>
      <w:r w:rsidRPr="009C7451">
        <w:rPr>
          <w:rFonts w:ascii="Times New Roman" w:hAnsi="Times New Roman"/>
          <w:sz w:val="24"/>
          <w:szCs w:val="24"/>
        </w:rPr>
        <w:t xml:space="preserve"> in relationship to the cost or difficulty of providing a specific accommodation. Undue hardship refers not only to financial difficulty, but to reasonable accommodations that are unduly extensive, substantial, or disruptive, or those that would fundamentally alter the nature or operation of the business.” </w:t>
      </w:r>
    </w:p>
    <w:p w14:paraId="679F75A2" w14:textId="77777777" w:rsidR="009C7451" w:rsidRPr="009C7451" w:rsidRDefault="009C7451" w:rsidP="005C30A4">
      <w:pPr>
        <w:pStyle w:val="NoSpacing"/>
        <w:rPr>
          <w:rFonts w:ascii="Times New Roman" w:hAnsi="Times New Roman"/>
          <w:sz w:val="24"/>
          <w:szCs w:val="24"/>
        </w:rPr>
      </w:pPr>
    </w:p>
    <w:p w14:paraId="77EA25D8" w14:textId="77777777" w:rsidR="00475136" w:rsidRDefault="00475136" w:rsidP="005C30A4">
      <w:pPr>
        <w:pStyle w:val="NoSpacing"/>
        <w:rPr>
          <w:rFonts w:ascii="Arial Black" w:hAnsi="Arial Black"/>
          <w:sz w:val="24"/>
          <w:szCs w:val="24"/>
        </w:rPr>
      </w:pPr>
    </w:p>
    <w:p w14:paraId="310ECAE7" w14:textId="77777777" w:rsidR="00456C91" w:rsidRDefault="00456C91" w:rsidP="005C30A4">
      <w:pPr>
        <w:pStyle w:val="NoSpacing"/>
        <w:rPr>
          <w:rFonts w:ascii="Arial Black" w:hAnsi="Arial Black"/>
          <w:sz w:val="24"/>
          <w:szCs w:val="24"/>
        </w:rPr>
      </w:pPr>
    </w:p>
    <w:p w14:paraId="4A721DED" w14:textId="0E035634" w:rsidR="001C7270" w:rsidRDefault="001C7270" w:rsidP="005C30A4">
      <w:pPr>
        <w:pStyle w:val="NoSpacing"/>
        <w:rPr>
          <w:rFonts w:ascii="Arial Black" w:hAnsi="Arial Black"/>
          <w:sz w:val="24"/>
          <w:szCs w:val="24"/>
        </w:rPr>
      </w:pPr>
      <w:r>
        <w:rPr>
          <w:rFonts w:ascii="Arial Black" w:hAnsi="Arial Black"/>
          <w:sz w:val="24"/>
          <w:szCs w:val="24"/>
        </w:rPr>
        <w:t>9-50</w:t>
      </w:r>
    </w:p>
    <w:p w14:paraId="24A8C7DB" w14:textId="77777777" w:rsidR="000408CA" w:rsidRDefault="000408CA" w:rsidP="005C30A4">
      <w:pPr>
        <w:pStyle w:val="NoSpacing"/>
        <w:rPr>
          <w:rFonts w:ascii="Arial Black" w:hAnsi="Arial Black"/>
          <w:sz w:val="24"/>
          <w:szCs w:val="24"/>
        </w:rPr>
      </w:pPr>
    </w:p>
    <w:p w14:paraId="79342861" w14:textId="77777777" w:rsidR="000408CA" w:rsidRPr="004737F6" w:rsidRDefault="000408CA" w:rsidP="000408CA">
      <w:pPr>
        <w:pStyle w:val="NoSpacing"/>
        <w:rPr>
          <w:rFonts w:ascii="Arial Black" w:hAnsi="Arial Black"/>
          <w:bCs/>
          <w:sz w:val="28"/>
          <w:szCs w:val="28"/>
        </w:rPr>
      </w:pPr>
      <w:r>
        <w:rPr>
          <w:rFonts w:ascii="Arial Black" w:hAnsi="Arial Black"/>
          <w:sz w:val="28"/>
          <w:szCs w:val="28"/>
        </w:rPr>
        <w:t xml:space="preserve">TX: HOSTILE WORK CLAIM - AGE, WEIGHT, PTSD </w:t>
      </w:r>
    </w:p>
    <w:p w14:paraId="60FE0D9E" w14:textId="77777777" w:rsidR="000408CA" w:rsidRDefault="000408CA" w:rsidP="000408CA">
      <w:pPr>
        <w:pStyle w:val="NoSpacing"/>
        <w:rPr>
          <w:bCs/>
        </w:rPr>
      </w:pPr>
    </w:p>
    <w:p w14:paraId="186027D1" w14:textId="77777777" w:rsidR="002C10A9" w:rsidRPr="002C10A9" w:rsidRDefault="002C10A9" w:rsidP="002C10A9">
      <w:pPr>
        <w:rPr>
          <w:rStyle w:val="Hyperlink"/>
          <w:rFonts w:ascii="Times New Roman" w:hAnsi="Times New Roman"/>
          <w:sz w:val="24"/>
          <w:szCs w:val="24"/>
        </w:rPr>
      </w:pPr>
      <w:r w:rsidRPr="002C10A9">
        <w:rPr>
          <w:rFonts w:ascii="Times New Roman" w:hAnsi="Times New Roman"/>
          <w:sz w:val="24"/>
          <w:szCs w:val="24"/>
        </w:rPr>
        <w:t xml:space="preserve">On Dec. 17, 2024, in </w:t>
      </w:r>
      <w:r w:rsidRPr="002C10A9">
        <w:rPr>
          <w:rFonts w:ascii="Times New Roman" w:hAnsi="Times New Roman"/>
          <w:sz w:val="24"/>
          <w:szCs w:val="24"/>
          <w:u w:val="single"/>
        </w:rPr>
        <w:t xml:space="preserve">Timothy B. </w:t>
      </w:r>
      <w:proofErr w:type="spellStart"/>
      <w:r w:rsidRPr="002C10A9">
        <w:rPr>
          <w:rFonts w:ascii="Times New Roman" w:hAnsi="Times New Roman"/>
          <w:sz w:val="24"/>
          <w:szCs w:val="24"/>
          <w:u w:val="single"/>
        </w:rPr>
        <w:t>Hauptrief</w:t>
      </w:r>
      <w:proofErr w:type="spellEnd"/>
      <w:r w:rsidRPr="002C10A9">
        <w:rPr>
          <w:rFonts w:ascii="Times New Roman" w:hAnsi="Times New Roman"/>
          <w:sz w:val="24"/>
          <w:szCs w:val="24"/>
          <w:u w:val="single"/>
        </w:rPr>
        <w:t xml:space="preserve"> v. Denver </w:t>
      </w:r>
      <w:proofErr w:type="spellStart"/>
      <w:r w:rsidRPr="002C10A9">
        <w:rPr>
          <w:rFonts w:ascii="Times New Roman" w:hAnsi="Times New Roman"/>
          <w:sz w:val="24"/>
          <w:szCs w:val="24"/>
          <w:u w:val="single"/>
        </w:rPr>
        <w:t>Teleford</w:t>
      </w:r>
      <w:proofErr w:type="spellEnd"/>
      <w:r w:rsidRPr="002C10A9">
        <w:rPr>
          <w:rFonts w:ascii="Times New Roman" w:hAnsi="Times New Roman"/>
          <w:sz w:val="24"/>
          <w:szCs w:val="24"/>
          <w:u w:val="single"/>
        </w:rPr>
        <w:t>, Fire Lieutenant, City of Converse, Texas</w:t>
      </w:r>
      <w:r w:rsidRPr="002C10A9">
        <w:rPr>
          <w:rFonts w:ascii="Times New Roman" w:hAnsi="Times New Roman"/>
          <w:sz w:val="24"/>
          <w:szCs w:val="24"/>
        </w:rPr>
        <w:t xml:space="preserve">, United States District Court Judge Fred Biery, U.S. District Court for Western District, San Antonio Division, held that lawsuit should proceed by the firefighter / paramedic’s claims under ADA and ADEA [Age Discrimination in Employment].  Plaintiff alleges that he suffered a hostile work environment due to his age, weight, and PTSD,  and also retaliation for complaining about lack of training.  </w:t>
      </w:r>
      <w:hyperlink r:id="rId1674" w:history="1">
        <w:r w:rsidRPr="002C10A9">
          <w:rPr>
            <w:rStyle w:val="Hyperlink"/>
            <w:rFonts w:ascii="Times New Roman" w:hAnsi="Times New Roman"/>
            <w:sz w:val="24"/>
            <w:szCs w:val="24"/>
          </w:rPr>
          <w:t>https://casetext.com/case/hauptrief-v-telford-1</w:t>
        </w:r>
      </w:hyperlink>
      <w:r w:rsidRPr="002C10A9">
        <w:rPr>
          <w:rStyle w:val="Hyperlink"/>
          <w:rFonts w:ascii="Times New Roman" w:hAnsi="Times New Roman"/>
          <w:sz w:val="24"/>
          <w:szCs w:val="24"/>
        </w:rPr>
        <w:t xml:space="preserve"> </w:t>
      </w:r>
    </w:p>
    <w:p w14:paraId="56010828" w14:textId="77777777" w:rsidR="002C10A9" w:rsidRDefault="002C10A9" w:rsidP="000408CA">
      <w:pPr>
        <w:pStyle w:val="NoSpacing"/>
        <w:rPr>
          <w:rFonts w:ascii="Times New Roman" w:hAnsi="Times New Roman"/>
          <w:sz w:val="24"/>
          <w:szCs w:val="24"/>
        </w:rPr>
      </w:pPr>
    </w:p>
    <w:p w14:paraId="0D5D5452" w14:textId="6D83026D" w:rsidR="000408CA" w:rsidRPr="000408CA" w:rsidRDefault="000408CA" w:rsidP="000408CA">
      <w:pPr>
        <w:pStyle w:val="NoSpacing"/>
        <w:rPr>
          <w:rFonts w:ascii="Times New Roman" w:hAnsi="Times New Roman"/>
          <w:bCs/>
          <w:sz w:val="24"/>
          <w:szCs w:val="24"/>
        </w:rPr>
      </w:pPr>
      <w:r w:rsidRPr="000408CA">
        <w:rPr>
          <w:rFonts w:ascii="Times New Roman" w:hAnsi="Times New Roman"/>
          <w:sz w:val="24"/>
          <w:szCs w:val="24"/>
        </w:rPr>
        <w:t>Judge Fred Biery wrote:</w:t>
      </w:r>
    </w:p>
    <w:p w14:paraId="5078932C" w14:textId="77777777" w:rsidR="000408CA" w:rsidRPr="000408CA" w:rsidRDefault="000408CA" w:rsidP="000408CA">
      <w:pPr>
        <w:pStyle w:val="NoSpacing"/>
        <w:ind w:left="720"/>
        <w:rPr>
          <w:rFonts w:ascii="Times New Roman" w:hAnsi="Times New Roman"/>
          <w:bCs/>
          <w:sz w:val="24"/>
          <w:szCs w:val="24"/>
        </w:rPr>
      </w:pPr>
    </w:p>
    <w:p w14:paraId="3CB2E077" w14:textId="77777777" w:rsidR="000408CA" w:rsidRPr="000408CA" w:rsidRDefault="000408CA" w:rsidP="000408CA">
      <w:pPr>
        <w:pStyle w:val="NoSpacing"/>
        <w:ind w:left="720"/>
        <w:rPr>
          <w:rFonts w:ascii="Times New Roman" w:hAnsi="Times New Roman"/>
          <w:sz w:val="24"/>
          <w:szCs w:val="24"/>
        </w:rPr>
      </w:pPr>
      <w:r w:rsidRPr="000408CA">
        <w:rPr>
          <w:rFonts w:ascii="Times New Roman" w:hAnsi="Times New Roman"/>
          <w:sz w:val="24"/>
          <w:szCs w:val="24"/>
        </w:rPr>
        <w:t>“Because no party has objected to the Magistrate Judge's Report and Recommendation, the Court need not conduct a de novo review…. The motion to dismiss the ADA and ADEA claims against the City of Converse, however, shall be denied.”</w:t>
      </w:r>
    </w:p>
    <w:p w14:paraId="355A1B22" w14:textId="77777777" w:rsidR="000408CA" w:rsidRPr="000408CA" w:rsidRDefault="000408CA" w:rsidP="000408CA">
      <w:pPr>
        <w:pStyle w:val="NoSpacing"/>
        <w:ind w:left="720"/>
        <w:rPr>
          <w:rFonts w:ascii="Times New Roman" w:hAnsi="Times New Roman"/>
          <w:sz w:val="24"/>
          <w:szCs w:val="24"/>
        </w:rPr>
      </w:pPr>
    </w:p>
    <w:p w14:paraId="5CCFC263" w14:textId="77777777" w:rsidR="000408CA" w:rsidRPr="000408CA" w:rsidRDefault="000408CA" w:rsidP="000408CA">
      <w:pPr>
        <w:pStyle w:val="NoSpacing"/>
        <w:ind w:left="720"/>
        <w:rPr>
          <w:rFonts w:ascii="Times New Roman" w:hAnsi="Times New Roman"/>
          <w:sz w:val="24"/>
          <w:szCs w:val="24"/>
        </w:rPr>
      </w:pPr>
      <w:r w:rsidRPr="000408CA">
        <w:rPr>
          <w:rFonts w:ascii="Times New Roman" w:hAnsi="Times New Roman"/>
          <w:sz w:val="24"/>
          <w:szCs w:val="24"/>
        </w:rPr>
        <w:t>***</w:t>
      </w:r>
    </w:p>
    <w:p w14:paraId="29614468" w14:textId="77777777" w:rsidR="000408CA" w:rsidRPr="000408CA" w:rsidRDefault="000408CA" w:rsidP="000408CA">
      <w:pPr>
        <w:pStyle w:val="NoSpacing"/>
        <w:ind w:left="720"/>
        <w:rPr>
          <w:rFonts w:ascii="Times New Roman" w:hAnsi="Times New Roman"/>
          <w:sz w:val="24"/>
          <w:szCs w:val="24"/>
        </w:rPr>
      </w:pPr>
      <w:r w:rsidRPr="000408CA">
        <w:rPr>
          <w:rFonts w:ascii="Times New Roman" w:hAnsi="Times New Roman"/>
          <w:sz w:val="24"/>
          <w:szCs w:val="24"/>
        </w:rPr>
        <w:t xml:space="preserve">[Magistrate Judge wrote: “Defendants' briefing discusses why Plaintiff's ADA and ADEA claims should be denied as to the individual </w:t>
      </w:r>
      <w:proofErr w:type="gramStart"/>
      <w:r w:rsidRPr="000408CA">
        <w:rPr>
          <w:rFonts w:ascii="Times New Roman" w:hAnsi="Times New Roman"/>
          <w:sz w:val="24"/>
          <w:szCs w:val="24"/>
        </w:rPr>
        <w:t>defendants,</w:t>
      </w:r>
      <w:proofErr w:type="gramEnd"/>
      <w:r w:rsidRPr="000408CA">
        <w:rPr>
          <w:rFonts w:ascii="Times New Roman" w:hAnsi="Times New Roman"/>
          <w:sz w:val="24"/>
          <w:szCs w:val="24"/>
        </w:rPr>
        <w:t xml:space="preserve"> the briefing fails to make </w:t>
      </w:r>
      <w:r w:rsidRPr="000408CA">
        <w:rPr>
          <w:rFonts w:ascii="Times New Roman" w:hAnsi="Times New Roman"/>
          <w:i/>
          <w:iCs/>
          <w:sz w:val="24"/>
          <w:szCs w:val="24"/>
        </w:rPr>
        <w:t>any</w:t>
      </w:r>
      <w:r w:rsidRPr="000408CA">
        <w:rPr>
          <w:rFonts w:ascii="Times New Roman" w:hAnsi="Times New Roman"/>
          <w:sz w:val="24"/>
          <w:szCs w:val="24"/>
        </w:rPr>
        <w:t xml:space="preserve"> argument as to why the ADA and ADEA claims against the </w:t>
      </w:r>
      <w:proofErr w:type="gramStart"/>
      <w:r w:rsidRPr="000408CA">
        <w:rPr>
          <w:rFonts w:ascii="Times New Roman" w:hAnsi="Times New Roman"/>
          <w:sz w:val="24"/>
          <w:szCs w:val="24"/>
        </w:rPr>
        <w:t>City</w:t>
      </w:r>
      <w:proofErr w:type="gramEnd"/>
      <w:r w:rsidRPr="000408CA">
        <w:rPr>
          <w:rFonts w:ascii="Times New Roman" w:hAnsi="Times New Roman"/>
          <w:sz w:val="24"/>
          <w:szCs w:val="24"/>
        </w:rPr>
        <w:t xml:space="preserve"> should be dismissed.”]</w:t>
      </w:r>
    </w:p>
    <w:p w14:paraId="138A079A" w14:textId="7CEC6054" w:rsidR="000408CA" w:rsidRPr="000408CA" w:rsidRDefault="000408CA" w:rsidP="000408CA">
      <w:pPr>
        <w:pStyle w:val="NoSpacing"/>
        <w:ind w:left="720"/>
        <w:rPr>
          <w:rFonts w:ascii="Times New Roman" w:hAnsi="Times New Roman"/>
          <w:sz w:val="24"/>
          <w:szCs w:val="24"/>
        </w:rPr>
      </w:pPr>
      <w:r w:rsidRPr="000408CA">
        <w:rPr>
          <w:rFonts w:ascii="Times New Roman" w:hAnsi="Times New Roman"/>
          <w:sz w:val="24"/>
          <w:szCs w:val="24"/>
        </w:rPr>
        <w:t xml:space="preserve"> </w:t>
      </w:r>
    </w:p>
    <w:p w14:paraId="1B17C02C" w14:textId="77777777" w:rsidR="000408CA" w:rsidRPr="000408CA" w:rsidRDefault="000408CA" w:rsidP="005C30A4">
      <w:pPr>
        <w:pStyle w:val="NoSpacing"/>
        <w:rPr>
          <w:rFonts w:ascii="Times New Roman" w:hAnsi="Times New Roman"/>
          <w:sz w:val="24"/>
          <w:szCs w:val="24"/>
        </w:rPr>
      </w:pPr>
    </w:p>
    <w:p w14:paraId="6AFB575A" w14:textId="77777777" w:rsidR="00113D38" w:rsidRPr="00113D38" w:rsidRDefault="00113D38" w:rsidP="00113D38">
      <w:pPr>
        <w:pStyle w:val="NoSpacing"/>
        <w:rPr>
          <w:rFonts w:ascii="Times New Roman" w:hAnsi="Times New Roman"/>
          <w:sz w:val="24"/>
          <w:szCs w:val="24"/>
        </w:rPr>
      </w:pPr>
      <w:r w:rsidRPr="00113D38">
        <w:rPr>
          <w:rFonts w:ascii="Times New Roman" w:hAnsi="Times New Roman"/>
          <w:sz w:val="24"/>
          <w:szCs w:val="24"/>
        </w:rPr>
        <w:t>HOLDING [by Magistrate Judge]</w:t>
      </w:r>
    </w:p>
    <w:p w14:paraId="47531487" w14:textId="77777777" w:rsidR="00113D38" w:rsidRPr="00113D38" w:rsidRDefault="00113D38" w:rsidP="00113D38">
      <w:pPr>
        <w:pStyle w:val="NoSpacing"/>
        <w:rPr>
          <w:rFonts w:ascii="Times New Roman" w:hAnsi="Times New Roman"/>
          <w:sz w:val="24"/>
          <w:szCs w:val="24"/>
        </w:rPr>
      </w:pPr>
    </w:p>
    <w:p w14:paraId="59474A32" w14:textId="77777777" w:rsidR="00113D38" w:rsidRPr="00113D38" w:rsidRDefault="00113D38" w:rsidP="00113D38">
      <w:pPr>
        <w:pStyle w:val="NoSpacing"/>
        <w:ind w:left="720"/>
        <w:rPr>
          <w:rFonts w:ascii="Times New Roman" w:hAnsi="Times New Roman"/>
          <w:sz w:val="24"/>
          <w:szCs w:val="24"/>
        </w:rPr>
      </w:pPr>
      <w:r w:rsidRPr="00113D38">
        <w:rPr>
          <w:rFonts w:ascii="Times New Roman" w:hAnsi="Times New Roman"/>
          <w:sz w:val="24"/>
          <w:szCs w:val="24"/>
        </w:rPr>
        <w:t>“Plaintiff pleads that his firing was in retaliation for complaining to Captain Oefinger in August 2023 and to the Fire Chief and Director of Human Resources in January 2024 about harassment, discrimination, and failure to train him related to his weight, age, and PTSD  …</w:t>
      </w:r>
    </w:p>
    <w:p w14:paraId="1EF64120" w14:textId="77777777" w:rsidR="00113D38" w:rsidRPr="00113D38" w:rsidRDefault="00113D38" w:rsidP="00113D38">
      <w:pPr>
        <w:pStyle w:val="NoSpacing"/>
        <w:ind w:left="720"/>
        <w:rPr>
          <w:rFonts w:ascii="Times New Roman" w:hAnsi="Times New Roman"/>
          <w:sz w:val="24"/>
          <w:szCs w:val="24"/>
        </w:rPr>
      </w:pPr>
    </w:p>
    <w:p w14:paraId="682D1DBF" w14:textId="77777777" w:rsidR="00113D38" w:rsidRPr="00113D38" w:rsidRDefault="00113D38" w:rsidP="00113D38">
      <w:pPr>
        <w:pStyle w:val="NoSpacing"/>
        <w:ind w:left="720"/>
        <w:rPr>
          <w:rFonts w:ascii="Times New Roman" w:hAnsi="Times New Roman"/>
          <w:sz w:val="24"/>
          <w:szCs w:val="24"/>
        </w:rPr>
      </w:pPr>
      <w:r w:rsidRPr="00113D38">
        <w:rPr>
          <w:rFonts w:ascii="Times New Roman" w:hAnsi="Times New Roman"/>
          <w:sz w:val="24"/>
          <w:szCs w:val="24"/>
        </w:rPr>
        <w:t>***</w:t>
      </w:r>
    </w:p>
    <w:p w14:paraId="25DB2046" w14:textId="77777777" w:rsidR="00113D38" w:rsidRPr="00113D38" w:rsidRDefault="00113D38" w:rsidP="00113D38">
      <w:pPr>
        <w:pStyle w:val="NoSpacing"/>
        <w:ind w:left="720"/>
        <w:rPr>
          <w:rFonts w:ascii="Times New Roman" w:hAnsi="Times New Roman"/>
          <w:sz w:val="24"/>
          <w:szCs w:val="24"/>
        </w:rPr>
      </w:pPr>
    </w:p>
    <w:p w14:paraId="6271E8E1" w14:textId="77777777" w:rsidR="00113D38" w:rsidRPr="00113D38" w:rsidRDefault="00113D38" w:rsidP="00113D38">
      <w:pPr>
        <w:pStyle w:val="NoSpacing"/>
        <w:ind w:left="720"/>
        <w:rPr>
          <w:rFonts w:ascii="Times New Roman" w:hAnsi="Times New Roman"/>
          <w:bCs/>
          <w:sz w:val="24"/>
          <w:szCs w:val="24"/>
        </w:rPr>
      </w:pPr>
      <w:r w:rsidRPr="00113D38">
        <w:rPr>
          <w:rFonts w:ascii="Times New Roman" w:hAnsi="Times New Roman"/>
          <w:sz w:val="24"/>
          <w:szCs w:val="24"/>
        </w:rPr>
        <w:t xml:space="preserve">E. </w:t>
      </w:r>
      <w:r w:rsidRPr="00113D38">
        <w:rPr>
          <w:rFonts w:ascii="Times New Roman" w:hAnsi="Times New Roman"/>
          <w:i/>
          <w:iCs/>
          <w:sz w:val="24"/>
          <w:szCs w:val="24"/>
        </w:rPr>
        <w:t>Plaintiff's ADA and ADEA Claims Against the City</w:t>
      </w:r>
      <w:r w:rsidRPr="00113D38">
        <w:rPr>
          <w:rFonts w:ascii="Times New Roman" w:hAnsi="Times New Roman"/>
          <w:sz w:val="24"/>
          <w:szCs w:val="24"/>
        </w:rPr>
        <w:t xml:space="preserve"> </w:t>
      </w:r>
    </w:p>
    <w:p w14:paraId="46FFFC92" w14:textId="77777777" w:rsidR="00113D38" w:rsidRPr="00113D38" w:rsidRDefault="00113D38" w:rsidP="00113D38">
      <w:pPr>
        <w:pStyle w:val="NoSpacing"/>
        <w:ind w:left="720"/>
        <w:rPr>
          <w:rFonts w:ascii="Times New Roman" w:hAnsi="Times New Roman"/>
          <w:sz w:val="24"/>
          <w:szCs w:val="24"/>
        </w:rPr>
      </w:pPr>
    </w:p>
    <w:p w14:paraId="6589380A" w14:textId="77777777" w:rsidR="00113D38" w:rsidRPr="00113D38" w:rsidRDefault="00113D38" w:rsidP="00113D38">
      <w:pPr>
        <w:pStyle w:val="NoSpacing"/>
        <w:ind w:left="720"/>
        <w:rPr>
          <w:rFonts w:ascii="Times New Roman" w:hAnsi="Times New Roman"/>
          <w:sz w:val="24"/>
          <w:szCs w:val="24"/>
        </w:rPr>
      </w:pPr>
      <w:r w:rsidRPr="00113D38">
        <w:rPr>
          <w:rFonts w:ascii="Times New Roman" w:hAnsi="Times New Roman"/>
          <w:sz w:val="24"/>
          <w:szCs w:val="24"/>
        </w:rPr>
        <w:t xml:space="preserve">Plaintiff alleges that he suffered a hostile work environment under the ADA and ADEA due to his age and his disability, and that he was discriminated against due to his weight and PTSD and retaliated against him for complaining about this discrimination. (Am. </w:t>
      </w:r>
      <w:proofErr w:type="spellStart"/>
      <w:r w:rsidRPr="00113D38">
        <w:rPr>
          <w:rFonts w:ascii="Times New Roman" w:hAnsi="Times New Roman"/>
          <w:sz w:val="24"/>
          <w:szCs w:val="24"/>
        </w:rPr>
        <w:t>Compl</w:t>
      </w:r>
      <w:proofErr w:type="spellEnd"/>
      <w:r w:rsidRPr="00113D38">
        <w:rPr>
          <w:rFonts w:ascii="Times New Roman" w:hAnsi="Times New Roman"/>
          <w:sz w:val="24"/>
          <w:szCs w:val="24"/>
        </w:rPr>
        <w:t xml:space="preserve">. [#26], at 5, 10-12, 16.) While Defendants' motion to dismiss is styled as a motion to dismiss all claims, and Defendants' briefing discusses why Plaintiff's ADA and ADEA claims should be denied as to the individual defendants, the briefing fails to make </w:t>
      </w:r>
      <w:r w:rsidRPr="00113D38">
        <w:rPr>
          <w:rFonts w:ascii="Times New Roman" w:hAnsi="Times New Roman"/>
          <w:i/>
          <w:iCs/>
          <w:sz w:val="24"/>
          <w:szCs w:val="24"/>
        </w:rPr>
        <w:t>any</w:t>
      </w:r>
      <w:r w:rsidRPr="00113D38">
        <w:rPr>
          <w:rFonts w:ascii="Times New Roman" w:hAnsi="Times New Roman"/>
          <w:sz w:val="24"/>
          <w:szCs w:val="24"/>
        </w:rPr>
        <w:t xml:space="preserve"> argument as to why the ADA and ADEA claims against the </w:t>
      </w:r>
      <w:proofErr w:type="gramStart"/>
      <w:r w:rsidRPr="00113D38">
        <w:rPr>
          <w:rFonts w:ascii="Times New Roman" w:hAnsi="Times New Roman"/>
          <w:sz w:val="24"/>
          <w:szCs w:val="24"/>
        </w:rPr>
        <w:t>City</w:t>
      </w:r>
      <w:proofErr w:type="gramEnd"/>
      <w:r w:rsidRPr="00113D38">
        <w:rPr>
          <w:rFonts w:ascii="Times New Roman" w:hAnsi="Times New Roman"/>
          <w:sz w:val="24"/>
          <w:szCs w:val="24"/>
        </w:rPr>
        <w:t xml:space="preserve"> should be dismissed. The Court should therefore deny the Defendants' motion to dismiss the ADA and ADEA claims against the </w:t>
      </w:r>
      <w:proofErr w:type="gramStart"/>
      <w:r w:rsidRPr="00113D38">
        <w:rPr>
          <w:rFonts w:ascii="Times New Roman" w:hAnsi="Times New Roman"/>
          <w:sz w:val="24"/>
          <w:szCs w:val="24"/>
        </w:rPr>
        <w:t>City</w:t>
      </w:r>
      <w:proofErr w:type="gramEnd"/>
      <w:r w:rsidRPr="00113D38">
        <w:rPr>
          <w:rFonts w:ascii="Times New Roman" w:hAnsi="Times New Roman"/>
          <w:sz w:val="24"/>
          <w:szCs w:val="24"/>
        </w:rPr>
        <w:t xml:space="preserve">. </w:t>
      </w:r>
    </w:p>
    <w:p w14:paraId="5C37D104" w14:textId="77777777" w:rsidR="00113D38" w:rsidRPr="00113D38" w:rsidRDefault="00113D38" w:rsidP="00113D38">
      <w:pPr>
        <w:pStyle w:val="NoSpacing"/>
        <w:ind w:left="720"/>
        <w:rPr>
          <w:rFonts w:ascii="Times New Roman" w:hAnsi="Times New Roman"/>
          <w:sz w:val="24"/>
          <w:szCs w:val="24"/>
        </w:rPr>
      </w:pPr>
    </w:p>
    <w:p w14:paraId="645A6A2E" w14:textId="77777777" w:rsidR="00113D38" w:rsidRPr="00113D38" w:rsidRDefault="00113D38" w:rsidP="00113D38">
      <w:pPr>
        <w:pStyle w:val="NoSpacing"/>
        <w:ind w:left="720"/>
        <w:rPr>
          <w:rFonts w:ascii="Times New Roman" w:hAnsi="Times New Roman"/>
          <w:sz w:val="24"/>
          <w:szCs w:val="24"/>
        </w:rPr>
      </w:pPr>
      <w:r w:rsidRPr="00113D38">
        <w:rPr>
          <w:rFonts w:ascii="Times New Roman" w:hAnsi="Times New Roman"/>
          <w:sz w:val="24"/>
          <w:szCs w:val="24"/>
        </w:rPr>
        <w:t>***</w:t>
      </w:r>
    </w:p>
    <w:p w14:paraId="7BA85DD8" w14:textId="77777777" w:rsidR="00113D38" w:rsidRPr="00113D38" w:rsidRDefault="00113D38" w:rsidP="00113D38">
      <w:pPr>
        <w:pStyle w:val="NoSpacing"/>
        <w:ind w:left="720"/>
        <w:rPr>
          <w:rFonts w:ascii="Times New Roman" w:hAnsi="Times New Roman"/>
          <w:sz w:val="24"/>
          <w:szCs w:val="24"/>
        </w:rPr>
      </w:pPr>
      <w:r w:rsidRPr="00113D38">
        <w:rPr>
          <w:rFonts w:ascii="Times New Roman" w:hAnsi="Times New Roman"/>
          <w:sz w:val="24"/>
          <w:szCs w:val="24"/>
        </w:rPr>
        <w:t xml:space="preserve">Defendants' motion to dismiss Plaintiff's discrimination and retaliation claims under the Americans with Disabilities Act and Age Discrimination in Employment Act against the City of Converse be </w:t>
      </w:r>
      <w:r w:rsidRPr="00113D38">
        <w:rPr>
          <w:rFonts w:ascii="Times New Roman" w:hAnsi="Times New Roman"/>
          <w:b/>
          <w:sz w:val="24"/>
          <w:szCs w:val="24"/>
        </w:rPr>
        <w:t>DENIED</w:t>
      </w:r>
      <w:r w:rsidRPr="00113D38">
        <w:rPr>
          <w:rFonts w:ascii="Times New Roman" w:hAnsi="Times New Roman"/>
          <w:sz w:val="24"/>
          <w:szCs w:val="24"/>
        </w:rPr>
        <w:t>. These claims should proceed to discovery.”</w:t>
      </w:r>
    </w:p>
    <w:p w14:paraId="05252055" w14:textId="77777777" w:rsidR="00113D38" w:rsidRPr="00113D38" w:rsidRDefault="00113D38" w:rsidP="00113D38">
      <w:pPr>
        <w:pStyle w:val="NoSpacing"/>
        <w:ind w:left="720"/>
        <w:rPr>
          <w:rFonts w:ascii="Times New Roman" w:hAnsi="Times New Roman"/>
          <w:sz w:val="24"/>
          <w:szCs w:val="24"/>
        </w:rPr>
      </w:pPr>
    </w:p>
    <w:p w14:paraId="7C560FE7" w14:textId="77777777" w:rsidR="00113D38" w:rsidRPr="00113D38" w:rsidRDefault="00113D38" w:rsidP="00113D38">
      <w:pPr>
        <w:pStyle w:val="NoSpacing"/>
        <w:rPr>
          <w:rFonts w:ascii="Times New Roman" w:hAnsi="Times New Roman"/>
          <w:sz w:val="24"/>
          <w:szCs w:val="24"/>
        </w:rPr>
      </w:pPr>
      <w:r w:rsidRPr="00113D38">
        <w:rPr>
          <w:rFonts w:ascii="Times New Roman" w:hAnsi="Times New Roman"/>
          <w:b/>
          <w:sz w:val="24"/>
          <w:szCs w:val="24"/>
        </w:rPr>
        <w:t xml:space="preserve">Legal Lesson Learned:  Internal complaints of hazing, training or otherwise should be promptly and thoroughly investigated, with a written report;  the report can then be filed with court if there is subsequent litigation. </w:t>
      </w:r>
    </w:p>
    <w:p w14:paraId="0CAD0583" w14:textId="77777777" w:rsidR="00113D38" w:rsidRPr="00113D38" w:rsidRDefault="00113D38" w:rsidP="00113D38">
      <w:pPr>
        <w:pStyle w:val="NoSpacing"/>
        <w:ind w:left="720"/>
        <w:rPr>
          <w:rFonts w:ascii="Times New Roman" w:hAnsi="Times New Roman"/>
          <w:sz w:val="24"/>
          <w:szCs w:val="24"/>
        </w:rPr>
      </w:pPr>
    </w:p>
    <w:p w14:paraId="0221B961" w14:textId="77777777" w:rsidR="001C7270" w:rsidRDefault="001C7270" w:rsidP="005C30A4">
      <w:pPr>
        <w:pStyle w:val="NoSpacing"/>
        <w:rPr>
          <w:rFonts w:ascii="Arial Black" w:hAnsi="Arial Black"/>
          <w:sz w:val="24"/>
          <w:szCs w:val="24"/>
        </w:rPr>
      </w:pPr>
    </w:p>
    <w:p w14:paraId="151EAC86" w14:textId="77777777" w:rsidR="001C7270" w:rsidRDefault="001C7270" w:rsidP="005C30A4">
      <w:pPr>
        <w:pStyle w:val="NoSpacing"/>
        <w:rPr>
          <w:rFonts w:ascii="Arial Black" w:hAnsi="Arial Black"/>
          <w:sz w:val="24"/>
          <w:szCs w:val="24"/>
        </w:rPr>
      </w:pPr>
    </w:p>
    <w:p w14:paraId="2557C397" w14:textId="62D15E61" w:rsidR="002077DA" w:rsidRDefault="002077DA" w:rsidP="005C30A4">
      <w:pPr>
        <w:pStyle w:val="NoSpacing"/>
        <w:rPr>
          <w:rFonts w:ascii="Arial Black" w:hAnsi="Arial Black"/>
          <w:sz w:val="24"/>
          <w:szCs w:val="24"/>
        </w:rPr>
      </w:pPr>
      <w:r>
        <w:rPr>
          <w:rFonts w:ascii="Arial Black" w:hAnsi="Arial Black"/>
          <w:sz w:val="24"/>
          <w:szCs w:val="24"/>
        </w:rPr>
        <w:t>9-49</w:t>
      </w:r>
    </w:p>
    <w:p w14:paraId="2D86FD95" w14:textId="77777777" w:rsidR="002077DA" w:rsidRDefault="002077DA" w:rsidP="005C30A4">
      <w:pPr>
        <w:pStyle w:val="NoSpacing"/>
        <w:rPr>
          <w:rFonts w:ascii="Arial Black" w:hAnsi="Arial Black"/>
          <w:sz w:val="24"/>
          <w:szCs w:val="24"/>
        </w:rPr>
      </w:pPr>
    </w:p>
    <w:p w14:paraId="42976820" w14:textId="77777777" w:rsidR="001E5BE7" w:rsidRPr="001A7E68" w:rsidRDefault="001E5BE7" w:rsidP="001E5BE7">
      <w:pPr>
        <w:pStyle w:val="NoSpacing"/>
        <w:rPr>
          <w:rFonts w:ascii="Arial Black" w:hAnsi="Arial Black"/>
          <w:b/>
          <w:sz w:val="28"/>
          <w:szCs w:val="28"/>
        </w:rPr>
      </w:pPr>
      <w:r>
        <w:rPr>
          <w:rFonts w:ascii="Arial Black" w:hAnsi="Arial Black"/>
          <w:b/>
          <w:sz w:val="28"/>
          <w:szCs w:val="28"/>
        </w:rPr>
        <w:t>NJ: BROKE FOOT – PROMOTION TO CAPT. DELAYED</w:t>
      </w:r>
    </w:p>
    <w:p w14:paraId="458270C3" w14:textId="77777777" w:rsidR="001E5BE7" w:rsidRDefault="001E5BE7" w:rsidP="001E5BE7">
      <w:pPr>
        <w:pStyle w:val="NoSpacing"/>
        <w:rPr>
          <w:b/>
        </w:rPr>
      </w:pPr>
    </w:p>
    <w:p w14:paraId="7075EBE4" w14:textId="77777777" w:rsidR="00896D75" w:rsidRPr="00896D75" w:rsidRDefault="00896D75" w:rsidP="00896D75">
      <w:pPr>
        <w:rPr>
          <w:rStyle w:val="Hyperlink"/>
          <w:rFonts w:ascii="Times New Roman" w:hAnsi="Times New Roman"/>
          <w:bCs/>
          <w:sz w:val="24"/>
          <w:szCs w:val="24"/>
        </w:rPr>
      </w:pPr>
      <w:r w:rsidRPr="00896D75">
        <w:rPr>
          <w:rFonts w:ascii="Times New Roman" w:hAnsi="Times New Roman"/>
          <w:sz w:val="24"/>
          <w:szCs w:val="24"/>
        </w:rPr>
        <w:t xml:space="preserve">On Dec. 10, 2024, in </w:t>
      </w:r>
      <w:r w:rsidRPr="00896D75">
        <w:rPr>
          <w:rFonts w:ascii="Times New Roman" w:hAnsi="Times New Roman"/>
          <w:sz w:val="24"/>
          <w:szCs w:val="24"/>
          <w:u w:val="single"/>
        </w:rPr>
        <w:t>Jersey City IAFF Local 1066 v. City of Jersey City</w:t>
      </w:r>
      <w:r w:rsidRPr="00896D75">
        <w:rPr>
          <w:rFonts w:ascii="Times New Roman" w:hAnsi="Times New Roman"/>
          <w:sz w:val="24"/>
          <w:szCs w:val="24"/>
        </w:rPr>
        <w:t xml:space="preserve">, the Superior Court of New Jersey, Appellate Division, held (3 to 0; unpublished decision) that trial court improperly dismissed the lawsuit.  The city delayed the promotion of a Captain, who broke his foot on duty, until he could return to work. </w:t>
      </w:r>
      <w:hyperlink r:id="rId1675" w:history="1">
        <w:r w:rsidRPr="00896D75">
          <w:rPr>
            <w:rStyle w:val="Hyperlink"/>
            <w:rFonts w:ascii="Times New Roman" w:hAnsi="Times New Roman"/>
            <w:sz w:val="24"/>
            <w:szCs w:val="24"/>
          </w:rPr>
          <w:t>https://www.njcourts.gov/system/files/court-opinions/2024/a0448-23.pdf</w:t>
        </w:r>
      </w:hyperlink>
    </w:p>
    <w:p w14:paraId="3D45724D" w14:textId="77777777" w:rsidR="00896D75" w:rsidRDefault="00896D75" w:rsidP="001E5BE7">
      <w:pPr>
        <w:pStyle w:val="NoSpacing"/>
        <w:rPr>
          <w:rFonts w:ascii="Times New Roman" w:hAnsi="Times New Roman"/>
          <w:sz w:val="24"/>
          <w:szCs w:val="24"/>
        </w:rPr>
      </w:pPr>
    </w:p>
    <w:p w14:paraId="382CBA36" w14:textId="2A8BED5C" w:rsidR="001E5BE7" w:rsidRPr="001E5BE7" w:rsidRDefault="001E5BE7" w:rsidP="001E5BE7">
      <w:pPr>
        <w:pStyle w:val="NoSpacing"/>
        <w:rPr>
          <w:rFonts w:ascii="Times New Roman" w:hAnsi="Times New Roman"/>
          <w:bCs/>
          <w:sz w:val="24"/>
          <w:szCs w:val="24"/>
        </w:rPr>
      </w:pPr>
      <w:r w:rsidRPr="001E5BE7">
        <w:rPr>
          <w:rFonts w:ascii="Times New Roman" w:hAnsi="Times New Roman"/>
          <w:sz w:val="24"/>
          <w:szCs w:val="24"/>
        </w:rPr>
        <w:t>The Court wrote:</w:t>
      </w:r>
    </w:p>
    <w:p w14:paraId="26F08D80" w14:textId="77777777" w:rsidR="001E5BE7" w:rsidRPr="001E5BE7" w:rsidRDefault="001E5BE7" w:rsidP="001E5BE7">
      <w:pPr>
        <w:pStyle w:val="NoSpacing"/>
        <w:rPr>
          <w:rFonts w:ascii="Times New Roman" w:hAnsi="Times New Roman"/>
          <w:b/>
          <w:sz w:val="24"/>
          <w:szCs w:val="24"/>
        </w:rPr>
      </w:pPr>
    </w:p>
    <w:p w14:paraId="75711FD8" w14:textId="77777777" w:rsidR="001E5BE7" w:rsidRPr="001E5BE7" w:rsidRDefault="001E5BE7" w:rsidP="001E5BE7">
      <w:pPr>
        <w:pStyle w:val="NoSpacing"/>
        <w:ind w:left="720"/>
        <w:rPr>
          <w:rFonts w:ascii="Times New Roman" w:hAnsi="Times New Roman"/>
          <w:bCs/>
          <w:sz w:val="24"/>
          <w:szCs w:val="24"/>
        </w:rPr>
      </w:pPr>
      <w:r w:rsidRPr="001E5BE7">
        <w:rPr>
          <w:rFonts w:ascii="Times New Roman" w:hAnsi="Times New Roman"/>
          <w:b/>
          <w:sz w:val="24"/>
          <w:szCs w:val="24"/>
        </w:rPr>
        <w:t>“</w:t>
      </w:r>
      <w:r w:rsidRPr="001E5BE7">
        <w:rPr>
          <w:rFonts w:ascii="Times New Roman" w:hAnsi="Times New Roman"/>
          <w:sz w:val="24"/>
          <w:szCs w:val="24"/>
        </w:rPr>
        <w:t>Plaintiff [IAFF Local 1066] became aware of the previously undisclosed promotion policy when firefighter Richard Mulligan was denied a promotion to captain while he</w:t>
      </w:r>
    </w:p>
    <w:p w14:paraId="0FDF9217" w14:textId="77777777" w:rsidR="001E5BE7" w:rsidRPr="001E5BE7" w:rsidRDefault="001E5BE7" w:rsidP="001E5BE7">
      <w:pPr>
        <w:pStyle w:val="NoSpacing"/>
        <w:ind w:left="720"/>
        <w:rPr>
          <w:rFonts w:ascii="Times New Roman" w:hAnsi="Times New Roman"/>
          <w:bCs/>
          <w:sz w:val="24"/>
          <w:szCs w:val="24"/>
        </w:rPr>
      </w:pPr>
      <w:r w:rsidRPr="001E5BE7">
        <w:rPr>
          <w:rFonts w:ascii="Times New Roman" w:hAnsi="Times New Roman"/>
          <w:sz w:val="24"/>
          <w:szCs w:val="24"/>
        </w:rPr>
        <w:t>was on injury leave. Mulligan broke his foot while on duty in June 2022. He was expecting a promotion to captain on July 1. However, when he arrived at the promotion ceremony with his family, he learned he would not be promoted because he was on injury leave….  Although he was eventually promoted, the delay affected his seniority status.</w:t>
      </w:r>
    </w:p>
    <w:p w14:paraId="0EF43022" w14:textId="77777777" w:rsidR="001E5BE7" w:rsidRPr="001E5BE7" w:rsidRDefault="001E5BE7" w:rsidP="001E5BE7">
      <w:pPr>
        <w:pStyle w:val="NoSpacing"/>
        <w:ind w:left="720"/>
        <w:rPr>
          <w:rFonts w:ascii="Times New Roman" w:hAnsi="Times New Roman"/>
          <w:bCs/>
          <w:sz w:val="24"/>
          <w:szCs w:val="24"/>
        </w:rPr>
      </w:pPr>
    </w:p>
    <w:p w14:paraId="48E74F89" w14:textId="77777777" w:rsidR="001E5BE7" w:rsidRPr="001E5BE7" w:rsidRDefault="001E5BE7" w:rsidP="001E5BE7">
      <w:pPr>
        <w:pStyle w:val="NoSpacing"/>
        <w:ind w:left="720"/>
        <w:rPr>
          <w:rFonts w:ascii="Times New Roman" w:hAnsi="Times New Roman"/>
          <w:bCs/>
          <w:sz w:val="24"/>
          <w:szCs w:val="24"/>
        </w:rPr>
      </w:pPr>
      <w:r w:rsidRPr="001E5BE7">
        <w:rPr>
          <w:rFonts w:ascii="Times New Roman" w:hAnsi="Times New Roman"/>
          <w:sz w:val="24"/>
          <w:szCs w:val="24"/>
        </w:rPr>
        <w:t>***</w:t>
      </w:r>
    </w:p>
    <w:p w14:paraId="6CE303AC" w14:textId="77777777" w:rsidR="001E5BE7" w:rsidRPr="001E5BE7" w:rsidRDefault="001E5BE7" w:rsidP="001E5BE7">
      <w:pPr>
        <w:pStyle w:val="NoSpacing"/>
        <w:ind w:left="720"/>
        <w:rPr>
          <w:rFonts w:ascii="Times New Roman" w:hAnsi="Times New Roman"/>
          <w:bCs/>
          <w:sz w:val="24"/>
          <w:szCs w:val="24"/>
        </w:rPr>
      </w:pPr>
      <w:r w:rsidRPr="001E5BE7">
        <w:rPr>
          <w:rFonts w:ascii="Times New Roman" w:hAnsi="Times New Roman"/>
          <w:sz w:val="24"/>
          <w:szCs w:val="24"/>
        </w:rPr>
        <w:t>Plaintiff alleges the promotion policy is facially discriminatory, and it has presented sufficient evidence of direct discrimination and retaliation to survive the dismissal motion</w:t>
      </w:r>
    </w:p>
    <w:p w14:paraId="5C10D392" w14:textId="4211171A" w:rsidR="001E5BE7" w:rsidRDefault="001E5BE7" w:rsidP="001E5BE7">
      <w:pPr>
        <w:pStyle w:val="NoSpacing"/>
        <w:ind w:left="720"/>
        <w:rPr>
          <w:bCs/>
        </w:rPr>
      </w:pPr>
      <w:r w:rsidRPr="001E5BE7">
        <w:rPr>
          <w:rFonts w:ascii="Times New Roman" w:hAnsi="Times New Roman"/>
          <w:sz w:val="24"/>
          <w:szCs w:val="24"/>
        </w:rPr>
        <w:t>regarding the promotion policy 11 A-0448-23. In giving plaintiff every reasonable inference of fact, as we must, we are satisfied plaintiff has presented sufficient facts to support its cause of action. Therefore, we vacate the order of dismissal</w:t>
      </w:r>
      <w:r>
        <w:t xml:space="preserve"> </w:t>
      </w:r>
    </w:p>
    <w:p w14:paraId="6B554DD2" w14:textId="77777777" w:rsidR="001E5BE7" w:rsidRDefault="001E5BE7" w:rsidP="005C30A4">
      <w:pPr>
        <w:pStyle w:val="NoSpacing"/>
        <w:rPr>
          <w:rFonts w:ascii="Arial Black" w:hAnsi="Arial Black"/>
          <w:sz w:val="24"/>
          <w:szCs w:val="24"/>
        </w:rPr>
      </w:pPr>
    </w:p>
    <w:p w14:paraId="49C39DDF" w14:textId="77777777" w:rsidR="001C7270" w:rsidRPr="001C7270" w:rsidRDefault="001C7270" w:rsidP="001C7270">
      <w:pPr>
        <w:pStyle w:val="NoSpacing"/>
        <w:rPr>
          <w:rFonts w:ascii="Times New Roman" w:hAnsi="Times New Roman"/>
          <w:bCs/>
          <w:sz w:val="24"/>
          <w:szCs w:val="24"/>
        </w:rPr>
      </w:pPr>
      <w:r w:rsidRPr="001C7270">
        <w:rPr>
          <w:rFonts w:ascii="Times New Roman" w:hAnsi="Times New Roman"/>
          <w:sz w:val="24"/>
          <w:szCs w:val="24"/>
        </w:rPr>
        <w:t>HOLDING:</w:t>
      </w:r>
    </w:p>
    <w:p w14:paraId="708C3F16" w14:textId="77777777" w:rsidR="001C7270" w:rsidRPr="001C7270" w:rsidRDefault="001C7270" w:rsidP="001C7270">
      <w:pPr>
        <w:pStyle w:val="NoSpacing"/>
        <w:rPr>
          <w:rFonts w:ascii="Times New Roman" w:hAnsi="Times New Roman"/>
          <w:bCs/>
          <w:sz w:val="24"/>
          <w:szCs w:val="24"/>
        </w:rPr>
      </w:pPr>
    </w:p>
    <w:p w14:paraId="4F5D2F58" w14:textId="77777777" w:rsidR="001C7270" w:rsidRPr="001C7270" w:rsidRDefault="001C7270" w:rsidP="001C7270">
      <w:pPr>
        <w:pStyle w:val="NoSpacing"/>
        <w:ind w:firstLine="720"/>
        <w:rPr>
          <w:rFonts w:ascii="Times New Roman" w:hAnsi="Times New Roman"/>
          <w:bCs/>
          <w:sz w:val="24"/>
          <w:szCs w:val="24"/>
        </w:rPr>
      </w:pPr>
      <w:r w:rsidRPr="001C7270">
        <w:rPr>
          <w:rFonts w:ascii="Times New Roman" w:hAnsi="Times New Roman"/>
          <w:sz w:val="24"/>
          <w:szCs w:val="24"/>
        </w:rPr>
        <w:t>“Plaintiff alleged temporarily disabled firefighters are a protected class</w:t>
      </w:r>
    </w:p>
    <w:p w14:paraId="44EE22A7" w14:textId="77777777" w:rsidR="001C7270" w:rsidRPr="001C7270" w:rsidRDefault="001C7270" w:rsidP="001C7270">
      <w:pPr>
        <w:pStyle w:val="NoSpacing"/>
        <w:ind w:firstLine="720"/>
        <w:rPr>
          <w:rFonts w:ascii="Times New Roman" w:hAnsi="Times New Roman"/>
          <w:bCs/>
          <w:sz w:val="24"/>
          <w:szCs w:val="24"/>
        </w:rPr>
      </w:pPr>
      <w:r w:rsidRPr="001C7270">
        <w:rPr>
          <w:rFonts w:ascii="Times New Roman" w:hAnsi="Times New Roman"/>
          <w:sz w:val="24"/>
          <w:szCs w:val="24"/>
        </w:rPr>
        <w:t>under LAD and entitled to an accommodation. Plaintiff further alleged that</w:t>
      </w:r>
    </w:p>
    <w:p w14:paraId="7EB438C8" w14:textId="77777777" w:rsidR="001C7270" w:rsidRPr="001C7270" w:rsidRDefault="001C7270" w:rsidP="001C7270">
      <w:pPr>
        <w:pStyle w:val="NoSpacing"/>
        <w:ind w:firstLine="720"/>
        <w:rPr>
          <w:rFonts w:ascii="Times New Roman" w:hAnsi="Times New Roman"/>
          <w:bCs/>
          <w:sz w:val="24"/>
          <w:szCs w:val="24"/>
        </w:rPr>
      </w:pPr>
      <w:r w:rsidRPr="001C7270">
        <w:rPr>
          <w:rFonts w:ascii="Times New Roman" w:hAnsi="Times New Roman"/>
          <w:sz w:val="24"/>
          <w:szCs w:val="24"/>
        </w:rPr>
        <w:t>denying an eligible firefighter a promotion without considering an</w:t>
      </w:r>
    </w:p>
    <w:p w14:paraId="62F341DF" w14:textId="77777777" w:rsidR="001C7270" w:rsidRPr="001C7270" w:rsidRDefault="001C7270" w:rsidP="001C7270">
      <w:pPr>
        <w:pStyle w:val="NoSpacing"/>
        <w:ind w:firstLine="720"/>
        <w:rPr>
          <w:rFonts w:ascii="Times New Roman" w:hAnsi="Times New Roman"/>
          <w:bCs/>
          <w:sz w:val="24"/>
          <w:szCs w:val="24"/>
        </w:rPr>
      </w:pPr>
      <w:r w:rsidRPr="001C7270">
        <w:rPr>
          <w:rFonts w:ascii="Times New Roman" w:hAnsi="Times New Roman"/>
          <w:sz w:val="24"/>
          <w:szCs w:val="24"/>
        </w:rPr>
        <w:t>accommodation is retaliatory and violates the LAD. Plaintiff alleges the</w:t>
      </w:r>
    </w:p>
    <w:p w14:paraId="2932F389" w14:textId="77777777" w:rsidR="001C7270" w:rsidRPr="001C7270" w:rsidRDefault="001C7270" w:rsidP="001C7270">
      <w:pPr>
        <w:pStyle w:val="NoSpacing"/>
        <w:ind w:firstLine="720"/>
        <w:rPr>
          <w:rFonts w:ascii="Times New Roman" w:hAnsi="Times New Roman"/>
          <w:bCs/>
          <w:sz w:val="24"/>
          <w:szCs w:val="24"/>
        </w:rPr>
      </w:pPr>
      <w:r w:rsidRPr="001C7270">
        <w:rPr>
          <w:rFonts w:ascii="Times New Roman" w:hAnsi="Times New Roman"/>
          <w:sz w:val="24"/>
          <w:szCs w:val="24"/>
        </w:rPr>
        <w:t>promotion policy is facially discriminatory, and it has presented sufficient</w:t>
      </w:r>
    </w:p>
    <w:p w14:paraId="22B59B59" w14:textId="77777777" w:rsidR="001C7270" w:rsidRPr="001C7270" w:rsidRDefault="001C7270" w:rsidP="001C7270">
      <w:pPr>
        <w:pStyle w:val="NoSpacing"/>
        <w:ind w:firstLine="720"/>
        <w:rPr>
          <w:rFonts w:ascii="Times New Roman" w:hAnsi="Times New Roman"/>
          <w:bCs/>
          <w:sz w:val="24"/>
          <w:szCs w:val="24"/>
        </w:rPr>
      </w:pPr>
      <w:r w:rsidRPr="001C7270">
        <w:rPr>
          <w:rFonts w:ascii="Times New Roman" w:hAnsi="Times New Roman"/>
          <w:sz w:val="24"/>
          <w:szCs w:val="24"/>
        </w:rPr>
        <w:t>evidence of direct discrimination and retaliation to survive the dismissal motion</w:t>
      </w:r>
    </w:p>
    <w:p w14:paraId="2C15713C" w14:textId="77777777" w:rsidR="001C7270" w:rsidRPr="001C7270" w:rsidRDefault="001C7270" w:rsidP="001C7270">
      <w:pPr>
        <w:pStyle w:val="NoSpacing"/>
        <w:ind w:left="720"/>
        <w:rPr>
          <w:rFonts w:ascii="Times New Roman" w:hAnsi="Times New Roman"/>
          <w:bCs/>
          <w:sz w:val="24"/>
          <w:szCs w:val="24"/>
        </w:rPr>
      </w:pPr>
      <w:r w:rsidRPr="001C7270">
        <w:rPr>
          <w:rFonts w:ascii="Times New Roman" w:hAnsi="Times New Roman"/>
          <w:sz w:val="24"/>
          <w:szCs w:val="24"/>
        </w:rPr>
        <w:t>regarding the promotion policy 11 A-0448-23.In giving plaintiff every reasonable inference of fact, as we must, we are satisfied plaintiff has presented sufficient facts to support its cause of action. Therefore, we vacate the order of dismissal.”</w:t>
      </w:r>
    </w:p>
    <w:p w14:paraId="4DA5E4B6" w14:textId="77777777" w:rsidR="001C7270" w:rsidRPr="001C7270" w:rsidRDefault="001C7270" w:rsidP="001C7270">
      <w:pPr>
        <w:pStyle w:val="NoSpacing"/>
        <w:ind w:left="720"/>
        <w:rPr>
          <w:rFonts w:ascii="Times New Roman" w:hAnsi="Times New Roman"/>
          <w:bCs/>
          <w:sz w:val="24"/>
          <w:szCs w:val="24"/>
        </w:rPr>
      </w:pPr>
    </w:p>
    <w:p w14:paraId="7043F2C1" w14:textId="77777777" w:rsidR="001C7270" w:rsidRPr="001C7270" w:rsidRDefault="001C7270" w:rsidP="001C7270">
      <w:pPr>
        <w:pStyle w:val="NoSpacing"/>
        <w:rPr>
          <w:rFonts w:ascii="Times New Roman" w:hAnsi="Times New Roman"/>
          <w:b/>
          <w:sz w:val="24"/>
          <w:szCs w:val="24"/>
        </w:rPr>
      </w:pPr>
      <w:r w:rsidRPr="001C7270">
        <w:rPr>
          <w:rFonts w:ascii="Times New Roman" w:hAnsi="Times New Roman"/>
          <w:b/>
          <w:sz w:val="24"/>
          <w:szCs w:val="24"/>
        </w:rPr>
        <w:t xml:space="preserve">Legal Lesson Learned: Delaying a promotion while firefighter heals from a broken foot seems unfair and illogical; pre-trial discovery will proceed. </w:t>
      </w:r>
    </w:p>
    <w:p w14:paraId="79C4D1BE" w14:textId="77777777" w:rsidR="001C7270" w:rsidRDefault="001C7270" w:rsidP="001C7270">
      <w:pPr>
        <w:rPr>
          <w:bCs/>
        </w:rPr>
      </w:pPr>
    </w:p>
    <w:p w14:paraId="4F96A9EE" w14:textId="77777777" w:rsidR="002077DA" w:rsidRDefault="002077DA" w:rsidP="005C30A4">
      <w:pPr>
        <w:pStyle w:val="NoSpacing"/>
        <w:rPr>
          <w:rFonts w:ascii="Arial Black" w:hAnsi="Arial Black"/>
          <w:sz w:val="24"/>
          <w:szCs w:val="24"/>
        </w:rPr>
      </w:pPr>
    </w:p>
    <w:p w14:paraId="7E4341EF" w14:textId="77777777" w:rsidR="002077DA" w:rsidRDefault="002077DA" w:rsidP="005C30A4">
      <w:pPr>
        <w:pStyle w:val="NoSpacing"/>
        <w:rPr>
          <w:rFonts w:ascii="Arial Black" w:hAnsi="Arial Black"/>
          <w:sz w:val="24"/>
          <w:szCs w:val="24"/>
        </w:rPr>
      </w:pPr>
    </w:p>
    <w:p w14:paraId="40779BBC" w14:textId="6201E88D" w:rsidR="008C116F" w:rsidRDefault="008C116F" w:rsidP="005C30A4">
      <w:pPr>
        <w:pStyle w:val="NoSpacing"/>
        <w:rPr>
          <w:rFonts w:ascii="Arial Black" w:hAnsi="Arial Black"/>
          <w:sz w:val="24"/>
          <w:szCs w:val="24"/>
        </w:rPr>
      </w:pPr>
      <w:r>
        <w:rPr>
          <w:rFonts w:ascii="Arial Black" w:hAnsi="Arial Black"/>
          <w:sz w:val="24"/>
          <w:szCs w:val="24"/>
        </w:rPr>
        <w:t>9-48</w:t>
      </w:r>
    </w:p>
    <w:p w14:paraId="2C0785E8" w14:textId="3D391069" w:rsidR="00034C75" w:rsidRDefault="00034C75" w:rsidP="00034C75">
      <w:pPr>
        <w:rPr>
          <w:rFonts w:ascii="Arial Black" w:hAnsi="Arial Black"/>
          <w:sz w:val="28"/>
          <w:szCs w:val="28"/>
        </w:rPr>
      </w:pPr>
      <w:r>
        <w:rPr>
          <w:rFonts w:ascii="Arial Black" w:hAnsi="Arial Black"/>
          <w:sz w:val="28"/>
          <w:szCs w:val="28"/>
        </w:rPr>
        <w:t xml:space="preserve">MA: NO ADA VIOL. - DOG BITE NOT “DISABILITY” - PROB. FF TERMINATED – FAILED SCBA AT TRAINING ACADEMY </w:t>
      </w:r>
    </w:p>
    <w:p w14:paraId="43E91DFD" w14:textId="77777777" w:rsidR="008C116F" w:rsidRPr="0066724F" w:rsidRDefault="008C116F" w:rsidP="008C116F">
      <w:pPr>
        <w:rPr>
          <w:rFonts w:ascii="Times New Roman" w:hAnsi="Times New Roman"/>
          <w:sz w:val="24"/>
          <w:szCs w:val="24"/>
        </w:rPr>
      </w:pPr>
      <w:r w:rsidRPr="0066724F">
        <w:rPr>
          <w:rFonts w:ascii="Times New Roman" w:hAnsi="Times New Roman"/>
          <w:sz w:val="24"/>
          <w:szCs w:val="24"/>
        </w:rPr>
        <w:t xml:space="preserve">On Nov. 21, 2024, in </w:t>
      </w:r>
      <w:r w:rsidRPr="0066724F">
        <w:rPr>
          <w:rFonts w:ascii="Times New Roman" w:hAnsi="Times New Roman"/>
          <w:sz w:val="24"/>
          <w:szCs w:val="24"/>
          <w:u w:val="single"/>
        </w:rPr>
        <w:t>James Fitzgerald v. City of Lawrence, et al</w:t>
      </w:r>
      <w:r w:rsidRPr="0066724F">
        <w:rPr>
          <w:rFonts w:ascii="Times New Roman" w:hAnsi="Times New Roman"/>
          <w:sz w:val="24"/>
          <w:szCs w:val="24"/>
        </w:rPr>
        <w:t xml:space="preserve">., United States Magistrate Judge Jennifer C. Boal, U.S. District Court for the District of Massachusetts, granted the City’s motion for summary judgment.  The Court wrote: “Fitzgerald argues that the puncture wound and resulting infection arising from the October 13, </w:t>
      </w:r>
      <w:proofErr w:type="gramStart"/>
      <w:r w:rsidRPr="0066724F">
        <w:rPr>
          <w:rFonts w:ascii="Times New Roman" w:hAnsi="Times New Roman"/>
          <w:sz w:val="24"/>
          <w:szCs w:val="24"/>
        </w:rPr>
        <w:t>2019</w:t>
      </w:r>
      <w:proofErr w:type="gramEnd"/>
      <w:r w:rsidRPr="0066724F">
        <w:rPr>
          <w:rFonts w:ascii="Times New Roman" w:hAnsi="Times New Roman"/>
          <w:sz w:val="24"/>
          <w:szCs w:val="24"/>
        </w:rPr>
        <w:t xml:space="preserve"> dog bite constituted an actual disability because they affected several major life activities, including the bending of his wrist and fingers, lifting, dressing himself, and carrying out household tasks such as cooking and laundry….  According to his own testimony, however, such limitations lasted, at most, three months…. In addition, it is undisputed that Fitzgerald was cleared to work without any restrictions after only fifteen days….  Given this record, therefore, no reasonable jury could conclude that Fitzgerald's puncture wound and resulting infection constituted an actual disability under the ADA or Chapter 151B.” </w:t>
      </w:r>
      <w:hyperlink r:id="rId1676" w:history="1">
        <w:r w:rsidRPr="0066724F">
          <w:rPr>
            <w:rStyle w:val="Hyperlink"/>
            <w:rFonts w:ascii="Times New Roman" w:hAnsi="Times New Roman"/>
            <w:sz w:val="24"/>
            <w:szCs w:val="24"/>
          </w:rPr>
          <w:t>https://casetext.com/case/fitzgerald-v-city-of-lawrence</w:t>
        </w:r>
      </w:hyperlink>
      <w:r w:rsidRPr="0066724F">
        <w:rPr>
          <w:rFonts w:ascii="Times New Roman" w:hAnsi="Times New Roman"/>
          <w:sz w:val="24"/>
          <w:szCs w:val="24"/>
        </w:rPr>
        <w:t xml:space="preserve"> </w:t>
      </w:r>
    </w:p>
    <w:p w14:paraId="3AD3F489" w14:textId="77777777" w:rsidR="00516941" w:rsidRPr="0066724F" w:rsidRDefault="00516941" w:rsidP="00516941">
      <w:pPr>
        <w:rPr>
          <w:rFonts w:ascii="Times New Roman" w:hAnsi="Times New Roman"/>
          <w:b/>
          <w:bCs/>
          <w:sz w:val="24"/>
          <w:szCs w:val="24"/>
        </w:rPr>
      </w:pPr>
      <w:r w:rsidRPr="0066724F">
        <w:rPr>
          <w:rFonts w:ascii="Times New Roman" w:hAnsi="Times New Roman"/>
          <w:b/>
          <w:sz w:val="24"/>
          <w:szCs w:val="24"/>
        </w:rPr>
        <w:t>Legal Lesson Learned: Poor performance at State Training Academy led to his termination.</w:t>
      </w:r>
    </w:p>
    <w:p w14:paraId="7059071B" w14:textId="77777777" w:rsidR="00516941" w:rsidRDefault="00516941" w:rsidP="00516941">
      <w:pPr>
        <w:pStyle w:val="NoSpacing"/>
        <w:rPr>
          <w:bCs/>
          <w:sz w:val="20"/>
          <w:szCs w:val="20"/>
        </w:rPr>
      </w:pPr>
    </w:p>
    <w:p w14:paraId="331C01F0" w14:textId="77777777" w:rsidR="008C116F" w:rsidRDefault="008C116F" w:rsidP="005C30A4">
      <w:pPr>
        <w:pStyle w:val="NoSpacing"/>
        <w:rPr>
          <w:rFonts w:ascii="Arial Black" w:hAnsi="Arial Black"/>
          <w:sz w:val="24"/>
          <w:szCs w:val="24"/>
        </w:rPr>
      </w:pPr>
    </w:p>
    <w:p w14:paraId="20FE2856" w14:textId="77777777" w:rsidR="008C116F" w:rsidRDefault="008C116F" w:rsidP="005C30A4">
      <w:pPr>
        <w:pStyle w:val="NoSpacing"/>
        <w:rPr>
          <w:rFonts w:ascii="Arial Black" w:hAnsi="Arial Black"/>
          <w:sz w:val="24"/>
          <w:szCs w:val="24"/>
        </w:rPr>
      </w:pPr>
    </w:p>
    <w:p w14:paraId="257F2B7B" w14:textId="77777777" w:rsidR="008C116F" w:rsidRDefault="008C116F" w:rsidP="005C30A4">
      <w:pPr>
        <w:pStyle w:val="NoSpacing"/>
        <w:rPr>
          <w:rFonts w:ascii="Arial Black" w:hAnsi="Arial Black"/>
          <w:sz w:val="24"/>
          <w:szCs w:val="24"/>
        </w:rPr>
      </w:pPr>
    </w:p>
    <w:p w14:paraId="6CCE7397" w14:textId="515E30B3" w:rsidR="00E43890" w:rsidRDefault="00E43890" w:rsidP="005C30A4">
      <w:pPr>
        <w:pStyle w:val="NoSpacing"/>
        <w:rPr>
          <w:rFonts w:ascii="Arial Black" w:hAnsi="Arial Black"/>
          <w:sz w:val="24"/>
          <w:szCs w:val="24"/>
        </w:rPr>
      </w:pPr>
      <w:r>
        <w:rPr>
          <w:rFonts w:ascii="Arial Black" w:hAnsi="Arial Black"/>
          <w:sz w:val="24"/>
          <w:szCs w:val="24"/>
        </w:rPr>
        <w:t>9-47</w:t>
      </w:r>
    </w:p>
    <w:p w14:paraId="6299F266" w14:textId="77777777" w:rsidR="00E43890" w:rsidRDefault="00E43890" w:rsidP="005C30A4">
      <w:pPr>
        <w:pStyle w:val="NoSpacing"/>
        <w:rPr>
          <w:rFonts w:ascii="Arial Black" w:hAnsi="Arial Black"/>
          <w:sz w:val="24"/>
          <w:szCs w:val="24"/>
        </w:rPr>
      </w:pPr>
    </w:p>
    <w:p w14:paraId="3D784247" w14:textId="77777777" w:rsidR="00E43890" w:rsidRPr="00B54163" w:rsidRDefault="00E43890" w:rsidP="00E43890">
      <w:pPr>
        <w:pStyle w:val="NoSpacing"/>
        <w:rPr>
          <w:rFonts w:ascii="Times New Roman" w:hAnsi="Times New Roman"/>
          <w:b/>
          <w:bCs/>
          <w:sz w:val="24"/>
          <w:szCs w:val="24"/>
        </w:rPr>
      </w:pPr>
      <w:r w:rsidRPr="00B54163">
        <w:rPr>
          <w:rFonts w:ascii="Times New Roman" w:hAnsi="Times New Roman"/>
          <w:b/>
          <w:bCs/>
          <w:sz w:val="24"/>
          <w:szCs w:val="24"/>
        </w:rPr>
        <w:t>CT: FF DISPUTE - PUT BOTH HANDS AROUND CO-WORKERS NECK – FIRED – NO ADA ACCOMODATION REQUIRED</w:t>
      </w:r>
    </w:p>
    <w:p w14:paraId="49936F77" w14:textId="77777777" w:rsidR="00E43890" w:rsidRPr="00B54163" w:rsidRDefault="00E43890" w:rsidP="00E43890">
      <w:pPr>
        <w:pStyle w:val="NoSpacing"/>
        <w:rPr>
          <w:rFonts w:ascii="Times New Roman" w:hAnsi="Times New Roman"/>
          <w:sz w:val="24"/>
          <w:szCs w:val="24"/>
        </w:rPr>
      </w:pPr>
    </w:p>
    <w:p w14:paraId="3828019F" w14:textId="77777777" w:rsidR="00E43890" w:rsidRPr="00B54163" w:rsidRDefault="00E43890" w:rsidP="00E43890">
      <w:pPr>
        <w:pStyle w:val="NoSpacing"/>
        <w:rPr>
          <w:rFonts w:ascii="Times New Roman" w:hAnsi="Times New Roman"/>
          <w:sz w:val="24"/>
          <w:szCs w:val="24"/>
        </w:rPr>
      </w:pPr>
      <w:r w:rsidRPr="00B54163">
        <w:rPr>
          <w:rFonts w:ascii="Times New Roman" w:hAnsi="Times New Roman"/>
          <w:sz w:val="24"/>
          <w:szCs w:val="24"/>
        </w:rPr>
        <w:t xml:space="preserve">On Sept. 16, 2024, in </w:t>
      </w:r>
      <w:r w:rsidRPr="00B54163">
        <w:rPr>
          <w:rFonts w:ascii="Times New Roman" w:hAnsi="Times New Roman"/>
          <w:sz w:val="24"/>
          <w:szCs w:val="24"/>
          <w:u w:val="single"/>
        </w:rPr>
        <w:t>Maurice Remillard v. Department of the Navy, the United States Merit System Protection Board</w:t>
      </w:r>
      <w:r w:rsidRPr="00B54163">
        <w:rPr>
          <w:rFonts w:ascii="Times New Roman" w:hAnsi="Times New Roman"/>
          <w:sz w:val="24"/>
          <w:szCs w:val="24"/>
        </w:rPr>
        <w:t xml:space="preserve"> (Washington, D.C.) held (3 to 0’ nonprecedential order): “The appellant has filed a petition for review of the initial decision, which affirmed the agency’s removal decision. *** After fully considering the filings in this appeal, we conclude that the petitioner</w:t>
      </w:r>
    </w:p>
    <w:p w14:paraId="71D2FEFC" w14:textId="77777777" w:rsidR="00E43890" w:rsidRPr="00B54163" w:rsidRDefault="00E43890" w:rsidP="00E43890">
      <w:pPr>
        <w:pStyle w:val="NoSpacing"/>
        <w:rPr>
          <w:rFonts w:ascii="Times New Roman" w:hAnsi="Times New Roman"/>
          <w:sz w:val="24"/>
          <w:szCs w:val="24"/>
        </w:rPr>
      </w:pPr>
      <w:r w:rsidRPr="00B54163">
        <w:rPr>
          <w:rFonts w:ascii="Times New Roman" w:hAnsi="Times New Roman"/>
          <w:sz w:val="24"/>
          <w:szCs w:val="24"/>
        </w:rPr>
        <w:t>has not established any basis under section 1201.115 for granting the petition for review. Therefore, we DENY the petition for review. Except as expressly MODIFIED to clearly state that the appellant was not a qualified individual with a disability and supplement the analysis of this finding, and to VACATE the administrative judge’s alternative basis for concluding that the appellant failed to prove that the agency denied him reasonable accommodation, we AFFIRM the</w:t>
      </w:r>
    </w:p>
    <w:p w14:paraId="468CFBAA" w14:textId="77777777" w:rsidR="00E43890" w:rsidRPr="00B54163" w:rsidRDefault="00E43890" w:rsidP="00E43890">
      <w:pPr>
        <w:pStyle w:val="NoSpacing"/>
        <w:rPr>
          <w:rFonts w:ascii="Times New Roman" w:hAnsi="Times New Roman"/>
          <w:sz w:val="24"/>
          <w:szCs w:val="24"/>
        </w:rPr>
      </w:pPr>
      <w:r w:rsidRPr="00B54163">
        <w:rPr>
          <w:rFonts w:ascii="Times New Roman" w:hAnsi="Times New Roman"/>
          <w:sz w:val="24"/>
          <w:szCs w:val="24"/>
        </w:rPr>
        <w:t>initial decision.”</w:t>
      </w:r>
    </w:p>
    <w:p w14:paraId="4463A330" w14:textId="299F74D0" w:rsidR="00E43890" w:rsidRPr="00B54163" w:rsidRDefault="00E43890" w:rsidP="00E43890">
      <w:pPr>
        <w:pStyle w:val="NoSpacing"/>
        <w:rPr>
          <w:rStyle w:val="Hyperlink"/>
          <w:rFonts w:ascii="Times New Roman" w:hAnsi="Times New Roman"/>
          <w:sz w:val="24"/>
          <w:szCs w:val="24"/>
        </w:rPr>
      </w:pPr>
      <w:hyperlink r:id="rId1677" w:history="1">
        <w:r w:rsidRPr="00B54163">
          <w:rPr>
            <w:rStyle w:val="Hyperlink"/>
            <w:rFonts w:ascii="Times New Roman" w:hAnsi="Times New Roman"/>
            <w:sz w:val="24"/>
            <w:szCs w:val="24"/>
          </w:rPr>
          <w:t>https://www.mspb.gov/decisions/nonprecedential/Remillard_MauricePH-0752-20-0259-I-1_Final_Order.pdf</w:t>
        </w:r>
      </w:hyperlink>
    </w:p>
    <w:p w14:paraId="585CA981" w14:textId="77777777" w:rsidR="00B54163" w:rsidRPr="00B54163" w:rsidRDefault="00B54163" w:rsidP="00E43890">
      <w:pPr>
        <w:pStyle w:val="NoSpacing"/>
        <w:rPr>
          <w:rStyle w:val="Hyperlink"/>
          <w:rFonts w:ascii="Times New Roman" w:hAnsi="Times New Roman"/>
          <w:sz w:val="24"/>
          <w:szCs w:val="24"/>
        </w:rPr>
      </w:pPr>
    </w:p>
    <w:p w14:paraId="2D85317B" w14:textId="77777777" w:rsidR="00B54163" w:rsidRPr="00B54163" w:rsidRDefault="00B54163" w:rsidP="00B54163">
      <w:pPr>
        <w:pStyle w:val="NoSpacing"/>
        <w:rPr>
          <w:rFonts w:ascii="Times New Roman" w:hAnsi="Times New Roman"/>
          <w:b/>
          <w:bCs/>
          <w:sz w:val="24"/>
          <w:szCs w:val="24"/>
        </w:rPr>
      </w:pPr>
      <w:r w:rsidRPr="00B54163">
        <w:rPr>
          <w:rFonts w:ascii="Times New Roman" w:hAnsi="Times New Roman"/>
          <w:b/>
          <w:sz w:val="24"/>
          <w:szCs w:val="24"/>
        </w:rPr>
        <w:t xml:space="preserve">Legal Lesson Learned: The firefighter failed to prove that his anxiety was so severe to constitute a disability under ADA. </w:t>
      </w:r>
    </w:p>
    <w:p w14:paraId="1E0128C1" w14:textId="77777777" w:rsidR="00B54163" w:rsidRDefault="00B54163" w:rsidP="00E43890">
      <w:pPr>
        <w:pStyle w:val="NoSpacing"/>
        <w:rPr>
          <w:rFonts w:ascii="Arial Black" w:hAnsi="Arial Black"/>
          <w:sz w:val="24"/>
          <w:szCs w:val="24"/>
        </w:rPr>
      </w:pPr>
    </w:p>
    <w:p w14:paraId="640E99FD" w14:textId="77777777" w:rsidR="00E43890" w:rsidRDefault="00E43890" w:rsidP="005C30A4">
      <w:pPr>
        <w:pStyle w:val="NoSpacing"/>
        <w:rPr>
          <w:rFonts w:ascii="Arial Black" w:hAnsi="Arial Black"/>
          <w:sz w:val="24"/>
          <w:szCs w:val="24"/>
        </w:rPr>
      </w:pPr>
    </w:p>
    <w:p w14:paraId="05B7B4F7" w14:textId="4735551A" w:rsidR="005E497B" w:rsidRDefault="005E497B" w:rsidP="005C30A4">
      <w:pPr>
        <w:pStyle w:val="NoSpacing"/>
        <w:rPr>
          <w:rFonts w:ascii="Arial Black" w:hAnsi="Arial Black"/>
          <w:sz w:val="24"/>
          <w:szCs w:val="24"/>
        </w:rPr>
      </w:pPr>
      <w:r>
        <w:rPr>
          <w:rFonts w:ascii="Arial Black" w:hAnsi="Arial Black"/>
          <w:sz w:val="24"/>
          <w:szCs w:val="24"/>
        </w:rPr>
        <w:t>9-46</w:t>
      </w:r>
    </w:p>
    <w:p w14:paraId="63576432" w14:textId="77777777" w:rsidR="00213946" w:rsidRDefault="00213946" w:rsidP="005C30A4">
      <w:pPr>
        <w:pStyle w:val="NoSpacing"/>
        <w:rPr>
          <w:rFonts w:ascii="Arial Black" w:hAnsi="Arial Black"/>
          <w:sz w:val="24"/>
          <w:szCs w:val="24"/>
        </w:rPr>
      </w:pPr>
    </w:p>
    <w:p w14:paraId="3AF55B4A" w14:textId="77777777" w:rsidR="00213946" w:rsidRPr="00BF002D" w:rsidRDefault="00213946" w:rsidP="00213946">
      <w:pPr>
        <w:rPr>
          <w:rFonts w:ascii="Arial Black" w:hAnsi="Arial Black"/>
          <w:b/>
          <w:bCs/>
          <w:sz w:val="28"/>
        </w:rPr>
      </w:pPr>
      <w:r>
        <w:rPr>
          <w:rFonts w:ascii="Arial Black" w:hAnsi="Arial Black"/>
          <w:b/>
          <w:bCs/>
          <w:sz w:val="28"/>
        </w:rPr>
        <w:lastRenderedPageBreak/>
        <w:t xml:space="preserve">U.S. SUP. CT: WILL HEAR APPEAL - FF WITH PARKINSON’S – RETIRED LESS 25 YRS - CITY INSUR. SUDSIDY ONLY 2 YRS </w:t>
      </w:r>
    </w:p>
    <w:p w14:paraId="71BBF4B4" w14:textId="77777777" w:rsidR="00213946" w:rsidRPr="00213946" w:rsidRDefault="00213946" w:rsidP="00213946">
      <w:pPr>
        <w:rPr>
          <w:rFonts w:ascii="Times New Roman" w:hAnsi="Times New Roman"/>
          <w:sz w:val="24"/>
          <w:szCs w:val="24"/>
        </w:rPr>
      </w:pPr>
      <w:r w:rsidRPr="00213946">
        <w:rPr>
          <w:rFonts w:ascii="Times New Roman" w:hAnsi="Times New Roman"/>
          <w:sz w:val="24"/>
          <w:szCs w:val="24"/>
        </w:rPr>
        <w:t xml:space="preserve">On June 24, 2024, in </w:t>
      </w:r>
      <w:r w:rsidRPr="00213946">
        <w:rPr>
          <w:rFonts w:ascii="Times New Roman" w:hAnsi="Times New Roman"/>
          <w:sz w:val="24"/>
          <w:szCs w:val="24"/>
          <w:u w:val="single"/>
        </w:rPr>
        <w:t>Karyn Stanley v. City of Sanford, Florida</w:t>
      </w:r>
      <w:r w:rsidRPr="00213946">
        <w:rPr>
          <w:rFonts w:ascii="Times New Roman" w:hAnsi="Times New Roman"/>
          <w:sz w:val="24"/>
          <w:szCs w:val="24"/>
        </w:rPr>
        <w:t xml:space="preserve">, the U.S. Supreme Court agreed to hear the appeal of the retired firefighter (this required votes of at least 4 of 9 Justices). </w:t>
      </w:r>
      <w:hyperlink r:id="rId1678" w:history="1">
        <w:r w:rsidRPr="00213946">
          <w:rPr>
            <w:rStyle w:val="Hyperlink"/>
            <w:rFonts w:ascii="Times New Roman" w:hAnsi="Times New Roman"/>
            <w:sz w:val="24"/>
            <w:szCs w:val="24"/>
          </w:rPr>
          <w:t>https://www.scotusblog.com/2024/06/court-adds-seven-cases-to-next-terms-docket/</w:t>
        </w:r>
      </w:hyperlink>
      <w:r w:rsidRPr="00213946">
        <w:rPr>
          <w:rFonts w:ascii="Times New Roman" w:hAnsi="Times New Roman"/>
          <w:sz w:val="24"/>
          <w:szCs w:val="24"/>
        </w:rPr>
        <w:t xml:space="preserve">. In 2003 the City </w:t>
      </w:r>
      <w:proofErr w:type="gramStart"/>
      <w:r w:rsidRPr="00213946">
        <w:rPr>
          <w:rFonts w:ascii="Times New Roman" w:hAnsi="Times New Roman"/>
          <w:sz w:val="24"/>
          <w:szCs w:val="24"/>
        </w:rPr>
        <w:t>in order to</w:t>
      </w:r>
      <w:proofErr w:type="gramEnd"/>
      <w:r w:rsidRPr="00213946">
        <w:rPr>
          <w:rFonts w:ascii="Times New Roman" w:hAnsi="Times New Roman"/>
          <w:sz w:val="24"/>
          <w:szCs w:val="24"/>
        </w:rPr>
        <w:t xml:space="preserve"> save money stopped paying retirees health insurance subsidy until age 65, unless the employee had 25 years of service, but if retired on disability they would pay for two years ($24,000 paid to plaintiff).   Under former City ordinance when she was hired in 1999, she would have received $216,000 in subsidy.   The plaintiff loss in U.S. District Court and in the 11</w:t>
      </w:r>
      <w:r w:rsidRPr="00213946">
        <w:rPr>
          <w:rFonts w:ascii="Times New Roman" w:hAnsi="Times New Roman"/>
          <w:sz w:val="24"/>
          <w:szCs w:val="24"/>
          <w:vertAlign w:val="superscript"/>
        </w:rPr>
        <w:t>th</w:t>
      </w:r>
      <w:r w:rsidRPr="00213946">
        <w:rPr>
          <w:rFonts w:ascii="Times New Roman" w:hAnsi="Times New Roman"/>
          <w:sz w:val="24"/>
          <w:szCs w:val="24"/>
        </w:rPr>
        <w:t xml:space="preserve"> Circuit, but U.S. Supreme Court may seek to resolve issue of whether a “former” employee is a “qualified individual” under ADA for loss of benefits (NO in 6</w:t>
      </w:r>
      <w:r w:rsidRPr="00213946">
        <w:rPr>
          <w:rFonts w:ascii="Times New Roman" w:hAnsi="Times New Roman"/>
          <w:sz w:val="24"/>
          <w:szCs w:val="24"/>
          <w:vertAlign w:val="superscript"/>
        </w:rPr>
        <w:t>th</w:t>
      </w:r>
      <w:r w:rsidRPr="00213946">
        <w:rPr>
          <w:rFonts w:ascii="Times New Roman" w:hAnsi="Times New Roman"/>
          <w:sz w:val="24"/>
          <w:szCs w:val="24"/>
        </w:rPr>
        <w:t>, 7</w:t>
      </w:r>
      <w:r w:rsidRPr="00213946">
        <w:rPr>
          <w:rFonts w:ascii="Times New Roman" w:hAnsi="Times New Roman"/>
          <w:sz w:val="24"/>
          <w:szCs w:val="24"/>
          <w:vertAlign w:val="superscript"/>
        </w:rPr>
        <w:t>th</w:t>
      </w:r>
      <w:r w:rsidRPr="00213946">
        <w:rPr>
          <w:rFonts w:ascii="Times New Roman" w:hAnsi="Times New Roman"/>
          <w:sz w:val="24"/>
          <w:szCs w:val="24"/>
        </w:rPr>
        <w:t>, 9</w:t>
      </w:r>
      <w:r w:rsidRPr="00213946">
        <w:rPr>
          <w:rFonts w:ascii="Times New Roman" w:hAnsi="Times New Roman"/>
          <w:sz w:val="24"/>
          <w:szCs w:val="24"/>
          <w:vertAlign w:val="superscript"/>
        </w:rPr>
        <w:t>th</w:t>
      </w:r>
      <w:r w:rsidRPr="00213946">
        <w:rPr>
          <w:rFonts w:ascii="Times New Roman" w:hAnsi="Times New Roman"/>
          <w:sz w:val="24"/>
          <w:szCs w:val="24"/>
        </w:rPr>
        <w:t>, 11</w:t>
      </w:r>
      <w:r w:rsidRPr="00213946">
        <w:rPr>
          <w:rFonts w:ascii="Times New Roman" w:hAnsi="Times New Roman"/>
          <w:sz w:val="24"/>
          <w:szCs w:val="24"/>
          <w:vertAlign w:val="superscript"/>
        </w:rPr>
        <w:t>th</w:t>
      </w:r>
      <w:r w:rsidRPr="00213946">
        <w:rPr>
          <w:rFonts w:ascii="Times New Roman" w:hAnsi="Times New Roman"/>
          <w:sz w:val="24"/>
          <w:szCs w:val="24"/>
        </w:rPr>
        <w:t xml:space="preserve"> Circuits; Yes in 2</w:t>
      </w:r>
      <w:r w:rsidRPr="00213946">
        <w:rPr>
          <w:rFonts w:ascii="Times New Roman" w:hAnsi="Times New Roman"/>
          <w:sz w:val="24"/>
          <w:szCs w:val="24"/>
          <w:vertAlign w:val="superscript"/>
        </w:rPr>
        <w:t>nd</w:t>
      </w:r>
      <w:r w:rsidRPr="00213946">
        <w:rPr>
          <w:rFonts w:ascii="Times New Roman" w:hAnsi="Times New Roman"/>
          <w:sz w:val="24"/>
          <w:szCs w:val="24"/>
        </w:rPr>
        <w:t xml:space="preserve"> and 3</w:t>
      </w:r>
      <w:r w:rsidRPr="00213946">
        <w:rPr>
          <w:rFonts w:ascii="Times New Roman" w:hAnsi="Times New Roman"/>
          <w:sz w:val="24"/>
          <w:szCs w:val="24"/>
          <w:vertAlign w:val="superscript"/>
        </w:rPr>
        <w:t>rd</w:t>
      </w:r>
      <w:r w:rsidRPr="00213946">
        <w:rPr>
          <w:rFonts w:ascii="Times New Roman" w:hAnsi="Times New Roman"/>
          <w:sz w:val="24"/>
          <w:szCs w:val="24"/>
        </w:rPr>
        <w:t xml:space="preserve"> Circuits).   </w:t>
      </w:r>
    </w:p>
    <w:p w14:paraId="52A7A0E4" w14:textId="77777777" w:rsidR="00213946" w:rsidRPr="00213946" w:rsidRDefault="00213946" w:rsidP="00213946">
      <w:pPr>
        <w:ind w:left="720"/>
        <w:rPr>
          <w:rFonts w:ascii="Times New Roman" w:hAnsi="Times New Roman"/>
          <w:sz w:val="24"/>
          <w:szCs w:val="24"/>
        </w:rPr>
      </w:pPr>
      <w:r w:rsidRPr="00213946">
        <w:rPr>
          <w:rFonts w:ascii="Times New Roman" w:hAnsi="Times New Roman"/>
          <w:sz w:val="24"/>
          <w:szCs w:val="24"/>
        </w:rPr>
        <w:t xml:space="preserve">“In </w:t>
      </w:r>
      <w:hyperlink r:id="rId1679" w:history="1">
        <w:r w:rsidRPr="00213946">
          <w:rPr>
            <w:rStyle w:val="Hyperlink"/>
            <w:rFonts w:ascii="Times New Roman" w:hAnsi="Times New Roman"/>
            <w:i/>
            <w:iCs/>
            <w:sz w:val="24"/>
            <w:szCs w:val="24"/>
          </w:rPr>
          <w:t>Stanley v. City of Sanford, Fla.</w:t>
        </w:r>
      </w:hyperlink>
      <w:r w:rsidRPr="00213946">
        <w:rPr>
          <w:rFonts w:ascii="Times New Roman" w:hAnsi="Times New Roman"/>
          <w:sz w:val="24"/>
          <w:szCs w:val="24"/>
        </w:rPr>
        <w:t xml:space="preserve">, the justices will consider a question arising under the Americans with Disabilities Act: Does a former employee lose her right to sue over discrimination in the provision of benefits that she earned while she was employed? The question comes to the court in the case of Karyn Stanley, who worked as a firefighter for the city of Sanford, Fla., for more than two decades before Parkinson’s disease forced her to retire. She filed a lawsuit under the ADA alleging that the city’s benefits policy discriminated against disabled retirees, but the U.S. Court of Appeals for the 11th Circuit ruled that she was not a ‘qualified individual’ protected by the ADA because she was not currently employed by the city.”  </w:t>
      </w:r>
    </w:p>
    <w:p w14:paraId="03D41C47" w14:textId="77777777" w:rsidR="00213946" w:rsidRPr="00213946" w:rsidRDefault="00213946" w:rsidP="00213946">
      <w:pPr>
        <w:rPr>
          <w:rFonts w:ascii="Times New Roman" w:hAnsi="Times New Roman"/>
          <w:b/>
          <w:bCs/>
          <w:sz w:val="24"/>
          <w:szCs w:val="24"/>
        </w:rPr>
      </w:pPr>
      <w:r w:rsidRPr="00213946">
        <w:rPr>
          <w:rFonts w:ascii="Times New Roman" w:hAnsi="Times New Roman"/>
          <w:b/>
          <w:bCs/>
          <w:sz w:val="24"/>
          <w:szCs w:val="24"/>
        </w:rPr>
        <w:t>THE 11</w:t>
      </w:r>
      <w:r w:rsidRPr="00213946">
        <w:rPr>
          <w:rFonts w:ascii="Times New Roman" w:hAnsi="Times New Roman"/>
          <w:b/>
          <w:bCs/>
          <w:sz w:val="24"/>
          <w:szCs w:val="24"/>
          <w:vertAlign w:val="superscript"/>
        </w:rPr>
        <w:t>TH</w:t>
      </w:r>
      <w:r w:rsidRPr="00213946">
        <w:rPr>
          <w:rFonts w:ascii="Times New Roman" w:hAnsi="Times New Roman"/>
          <w:b/>
          <w:bCs/>
          <w:sz w:val="24"/>
          <w:szCs w:val="24"/>
        </w:rPr>
        <w:t xml:space="preserve"> CIRCUIT DECISION (Oct. 11, 2023): </w:t>
      </w:r>
      <w:hyperlink r:id="rId1680" w:history="1">
        <w:r w:rsidRPr="00213946">
          <w:rPr>
            <w:rStyle w:val="Hyperlink"/>
            <w:rFonts w:ascii="Times New Roman" w:hAnsi="Times New Roman"/>
            <w:b/>
            <w:bCs/>
            <w:sz w:val="24"/>
            <w:szCs w:val="24"/>
          </w:rPr>
          <w:t>https://caselaw.findlaw.com/court/us-11th-circuit/115273034.html</w:t>
        </w:r>
      </w:hyperlink>
      <w:r w:rsidRPr="00213946">
        <w:rPr>
          <w:rFonts w:ascii="Times New Roman" w:hAnsi="Times New Roman"/>
          <w:b/>
          <w:bCs/>
          <w:sz w:val="24"/>
          <w:szCs w:val="24"/>
        </w:rPr>
        <w:t xml:space="preserve"> </w:t>
      </w:r>
    </w:p>
    <w:p w14:paraId="7B4D9446" w14:textId="77777777" w:rsidR="00213946" w:rsidRPr="00213946" w:rsidRDefault="00213946" w:rsidP="00213946">
      <w:pPr>
        <w:ind w:left="720"/>
        <w:rPr>
          <w:rFonts w:ascii="Times New Roman" w:hAnsi="Times New Roman"/>
          <w:sz w:val="24"/>
          <w:szCs w:val="24"/>
        </w:rPr>
      </w:pPr>
      <w:r w:rsidRPr="00213946">
        <w:rPr>
          <w:rFonts w:ascii="Times New Roman" w:hAnsi="Times New Roman"/>
          <w:b/>
          <w:bCs/>
          <w:sz w:val="24"/>
          <w:szCs w:val="24"/>
        </w:rPr>
        <w:t>“</w:t>
      </w:r>
      <w:r w:rsidRPr="00213946">
        <w:rPr>
          <w:rFonts w:ascii="Times New Roman" w:hAnsi="Times New Roman"/>
          <w:sz w:val="24"/>
          <w:szCs w:val="24"/>
        </w:rPr>
        <w:t xml:space="preserve">When Stanley retired, she continued to receive free health insurance through the City. Under a policy in effect when Stanley first joined the fire department, employees retiring for qualifying disability reasons, such as Stanley's Parkinson's disease, received free health insurance until the age of 65. But, unbeknownst to Stanley, the </w:t>
      </w:r>
      <w:proofErr w:type="gramStart"/>
      <w:r w:rsidRPr="00213946">
        <w:rPr>
          <w:rFonts w:ascii="Times New Roman" w:hAnsi="Times New Roman"/>
          <w:sz w:val="24"/>
          <w:szCs w:val="24"/>
        </w:rPr>
        <w:t>City</w:t>
      </w:r>
      <w:proofErr w:type="gramEnd"/>
      <w:r w:rsidRPr="00213946">
        <w:rPr>
          <w:rFonts w:ascii="Times New Roman" w:hAnsi="Times New Roman"/>
          <w:sz w:val="24"/>
          <w:szCs w:val="24"/>
        </w:rPr>
        <w:t xml:space="preserve"> changed its benefits plan in 2003. Under the new plan, disability retirees such as Stanley are entitled to the health insurance subsidy for only twenty-four months after retiring. Stanley was thus set to become responsible for her own health insurance premiums beginning on December 1, 2020. She filed this suit in April 2020, seeking to establish her entitlement to the long-term healthcare subsidy.</w:t>
      </w:r>
    </w:p>
    <w:p w14:paraId="6A3E4261" w14:textId="77777777" w:rsidR="00213946" w:rsidRPr="00213946" w:rsidRDefault="00213946" w:rsidP="00213946">
      <w:pPr>
        <w:ind w:left="720"/>
        <w:rPr>
          <w:rFonts w:ascii="Times New Roman" w:hAnsi="Times New Roman"/>
          <w:sz w:val="24"/>
          <w:szCs w:val="24"/>
        </w:rPr>
      </w:pPr>
      <w:r w:rsidRPr="00213946">
        <w:rPr>
          <w:rFonts w:ascii="Times New Roman" w:hAnsi="Times New Roman"/>
          <w:sz w:val="24"/>
          <w:szCs w:val="24"/>
        </w:rPr>
        <w:t>***</w:t>
      </w:r>
    </w:p>
    <w:p w14:paraId="7185744D" w14:textId="77777777" w:rsidR="00213946" w:rsidRPr="00213946" w:rsidRDefault="00213946" w:rsidP="00213946">
      <w:pPr>
        <w:ind w:left="720"/>
        <w:rPr>
          <w:rFonts w:ascii="Times New Roman" w:hAnsi="Times New Roman"/>
          <w:sz w:val="24"/>
          <w:szCs w:val="24"/>
        </w:rPr>
      </w:pPr>
      <w:r w:rsidRPr="00213946">
        <w:rPr>
          <w:rFonts w:ascii="Times New Roman" w:hAnsi="Times New Roman"/>
          <w:sz w:val="24"/>
          <w:szCs w:val="24"/>
        </w:rPr>
        <w:t xml:space="preserve">The district court entered judgment for the </w:t>
      </w:r>
      <w:proofErr w:type="gramStart"/>
      <w:r w:rsidRPr="00213946">
        <w:rPr>
          <w:rFonts w:ascii="Times New Roman" w:hAnsi="Times New Roman"/>
          <w:sz w:val="24"/>
          <w:szCs w:val="24"/>
        </w:rPr>
        <w:t>City</w:t>
      </w:r>
      <w:proofErr w:type="gramEnd"/>
      <w:r w:rsidRPr="00213946">
        <w:rPr>
          <w:rFonts w:ascii="Times New Roman" w:hAnsi="Times New Roman"/>
          <w:sz w:val="24"/>
          <w:szCs w:val="24"/>
        </w:rPr>
        <w:t xml:space="preserve">. On a motion to dismiss, the district court concluded that Stanley's claims under the ADA, the Rehab Act, and the Florida Civil Rights Act were insufficiently pleaded. Relying on our decision in Gonzales, the district court reasoned that Stanley could not state a plausible disability discrimination claim because the discriminatory act alleged—the cessation of </w:t>
      </w:r>
      <w:proofErr w:type="gramStart"/>
      <w:r w:rsidRPr="00213946">
        <w:rPr>
          <w:rFonts w:ascii="Times New Roman" w:hAnsi="Times New Roman"/>
          <w:sz w:val="24"/>
          <w:szCs w:val="24"/>
        </w:rPr>
        <w:t>the health</w:t>
      </w:r>
      <w:proofErr w:type="gramEnd"/>
      <w:r w:rsidRPr="00213946">
        <w:rPr>
          <w:rFonts w:ascii="Times New Roman" w:hAnsi="Times New Roman"/>
          <w:sz w:val="24"/>
          <w:szCs w:val="24"/>
        </w:rPr>
        <w:t xml:space="preserve"> insurance premium payments—would occur while Stanley was no longer employed by the City.</w:t>
      </w:r>
    </w:p>
    <w:p w14:paraId="27CBB1D9" w14:textId="77777777" w:rsidR="00213946" w:rsidRPr="00213946" w:rsidRDefault="00213946" w:rsidP="00213946">
      <w:pPr>
        <w:ind w:left="720"/>
        <w:rPr>
          <w:rFonts w:ascii="Times New Roman" w:hAnsi="Times New Roman"/>
          <w:sz w:val="24"/>
          <w:szCs w:val="24"/>
        </w:rPr>
      </w:pPr>
      <w:r w:rsidRPr="00213946">
        <w:rPr>
          <w:rFonts w:ascii="Times New Roman" w:hAnsi="Times New Roman"/>
          <w:sz w:val="24"/>
          <w:szCs w:val="24"/>
        </w:rPr>
        <w:t>***</w:t>
      </w:r>
    </w:p>
    <w:p w14:paraId="4C729FAF" w14:textId="77777777" w:rsidR="00213946" w:rsidRPr="00213946" w:rsidRDefault="00213946" w:rsidP="00213946">
      <w:pPr>
        <w:ind w:left="720"/>
        <w:rPr>
          <w:rFonts w:ascii="Times New Roman" w:hAnsi="Times New Roman"/>
          <w:sz w:val="24"/>
          <w:szCs w:val="24"/>
        </w:rPr>
      </w:pPr>
      <w:r w:rsidRPr="00213946">
        <w:rPr>
          <w:rFonts w:ascii="Times New Roman" w:hAnsi="Times New Roman"/>
          <w:sz w:val="24"/>
          <w:szCs w:val="24"/>
        </w:rPr>
        <w:t xml:space="preserve">The City's benefits plan advances the legitimate governmental purpose of conserving funds. And its chosen method—decreasing the number of employees for whom the City subsidizes health insurance—is rationally related to that legitimate purpose. </w:t>
      </w:r>
      <w:proofErr w:type="gramStart"/>
      <w:r w:rsidRPr="00213946">
        <w:rPr>
          <w:rFonts w:ascii="Times New Roman" w:hAnsi="Times New Roman"/>
          <w:sz w:val="24"/>
          <w:szCs w:val="24"/>
        </w:rPr>
        <w:t>So</w:t>
      </w:r>
      <w:proofErr w:type="gramEnd"/>
      <w:r w:rsidRPr="00213946">
        <w:rPr>
          <w:rFonts w:ascii="Times New Roman" w:hAnsi="Times New Roman"/>
          <w:sz w:val="24"/>
          <w:szCs w:val="24"/>
        </w:rPr>
        <w:t xml:space="preserve"> there is no equal protection problem here.”</w:t>
      </w:r>
    </w:p>
    <w:p w14:paraId="699AD584" w14:textId="77777777" w:rsidR="00213946" w:rsidRPr="00213946" w:rsidRDefault="00213946" w:rsidP="00213946">
      <w:pPr>
        <w:rPr>
          <w:rFonts w:ascii="Times New Roman" w:hAnsi="Times New Roman"/>
          <w:b/>
          <w:bCs/>
          <w:sz w:val="24"/>
          <w:szCs w:val="24"/>
        </w:rPr>
      </w:pPr>
      <w:r w:rsidRPr="00213946">
        <w:rPr>
          <w:rFonts w:ascii="Times New Roman" w:hAnsi="Times New Roman"/>
          <w:b/>
          <w:bCs/>
          <w:sz w:val="24"/>
          <w:szCs w:val="24"/>
        </w:rPr>
        <w:lastRenderedPageBreak/>
        <w:t>Legal Lesson Learned: The U.S. Supreme Court can resolve the dispute among the Federal Circuit Courts, or Congress can pass clarifying amendment to ADA.</w:t>
      </w:r>
    </w:p>
    <w:p w14:paraId="73FE0F14" w14:textId="77777777" w:rsidR="00213946" w:rsidRPr="00213946" w:rsidRDefault="00213946" w:rsidP="00213946">
      <w:pPr>
        <w:ind w:left="720"/>
        <w:rPr>
          <w:rFonts w:ascii="Times New Roman" w:hAnsi="Times New Roman"/>
          <w:sz w:val="24"/>
          <w:szCs w:val="24"/>
        </w:rPr>
      </w:pPr>
      <w:r w:rsidRPr="00213946">
        <w:rPr>
          <w:rFonts w:ascii="Times New Roman" w:hAnsi="Times New Roman"/>
          <w:sz w:val="24"/>
          <w:szCs w:val="24"/>
        </w:rPr>
        <w:t xml:space="preserve">Note: See briefs by </w:t>
      </w:r>
      <w:proofErr w:type="gramStart"/>
      <w:r w:rsidRPr="00213946">
        <w:rPr>
          <w:rFonts w:ascii="Times New Roman" w:hAnsi="Times New Roman"/>
          <w:sz w:val="24"/>
          <w:szCs w:val="24"/>
        </w:rPr>
        <w:t>IAFF, and</w:t>
      </w:r>
      <w:proofErr w:type="gramEnd"/>
      <w:r w:rsidRPr="00213946">
        <w:rPr>
          <w:rFonts w:ascii="Times New Roman" w:hAnsi="Times New Roman"/>
          <w:sz w:val="24"/>
          <w:szCs w:val="24"/>
        </w:rPr>
        <w:t xml:space="preserve"> AFL-CIO and others. </w:t>
      </w:r>
      <w:hyperlink r:id="rId1681" w:history="1">
        <w:r w:rsidRPr="00213946">
          <w:rPr>
            <w:rStyle w:val="Hyperlink"/>
            <w:rFonts w:ascii="Times New Roman" w:hAnsi="Times New Roman"/>
            <w:sz w:val="24"/>
            <w:szCs w:val="24"/>
          </w:rPr>
          <w:t>https://www.scotusblog.com/case-files/cases/stanley-v-city-of-sanford-florida/</w:t>
        </w:r>
      </w:hyperlink>
      <w:r w:rsidRPr="00213946">
        <w:rPr>
          <w:rFonts w:ascii="Times New Roman" w:hAnsi="Times New Roman"/>
          <w:sz w:val="24"/>
          <w:szCs w:val="24"/>
        </w:rPr>
        <w:t xml:space="preserve"> </w:t>
      </w:r>
    </w:p>
    <w:p w14:paraId="181D6697" w14:textId="77777777" w:rsidR="00213946" w:rsidRDefault="00213946" w:rsidP="005C30A4">
      <w:pPr>
        <w:pStyle w:val="NoSpacing"/>
        <w:rPr>
          <w:rFonts w:ascii="Arial Black" w:hAnsi="Arial Black"/>
          <w:sz w:val="24"/>
          <w:szCs w:val="24"/>
        </w:rPr>
      </w:pPr>
    </w:p>
    <w:p w14:paraId="45F8B73A" w14:textId="77777777" w:rsidR="005E497B" w:rsidRDefault="005E497B" w:rsidP="005C30A4">
      <w:pPr>
        <w:pStyle w:val="NoSpacing"/>
        <w:rPr>
          <w:rFonts w:ascii="Arial Black" w:hAnsi="Arial Black"/>
          <w:sz w:val="24"/>
          <w:szCs w:val="24"/>
        </w:rPr>
      </w:pPr>
    </w:p>
    <w:p w14:paraId="3F263331" w14:textId="77777777" w:rsidR="005E497B" w:rsidRDefault="005E497B" w:rsidP="005C30A4">
      <w:pPr>
        <w:pStyle w:val="NoSpacing"/>
        <w:rPr>
          <w:rFonts w:ascii="Arial Black" w:hAnsi="Arial Black"/>
          <w:sz w:val="24"/>
          <w:szCs w:val="24"/>
        </w:rPr>
      </w:pPr>
    </w:p>
    <w:p w14:paraId="671FE398" w14:textId="719A150B" w:rsidR="008D4459" w:rsidRDefault="008D4459" w:rsidP="005C30A4">
      <w:pPr>
        <w:pStyle w:val="NoSpacing"/>
        <w:rPr>
          <w:rFonts w:ascii="Arial Black" w:hAnsi="Arial Black"/>
          <w:sz w:val="24"/>
          <w:szCs w:val="24"/>
        </w:rPr>
      </w:pPr>
      <w:r>
        <w:rPr>
          <w:rFonts w:ascii="Arial Black" w:hAnsi="Arial Black"/>
          <w:sz w:val="24"/>
          <w:szCs w:val="24"/>
        </w:rPr>
        <w:t>9-</w:t>
      </w:r>
      <w:r w:rsidR="00264998">
        <w:rPr>
          <w:rFonts w:ascii="Arial Black" w:hAnsi="Arial Black"/>
          <w:sz w:val="24"/>
          <w:szCs w:val="24"/>
        </w:rPr>
        <w:t>45</w:t>
      </w:r>
    </w:p>
    <w:p w14:paraId="4E4AC632" w14:textId="77777777" w:rsidR="00264998" w:rsidRDefault="00264998" w:rsidP="005C30A4">
      <w:pPr>
        <w:pStyle w:val="NoSpacing"/>
        <w:rPr>
          <w:rFonts w:ascii="Arial Black" w:hAnsi="Arial Black"/>
          <w:sz w:val="24"/>
          <w:szCs w:val="24"/>
        </w:rPr>
      </w:pPr>
    </w:p>
    <w:p w14:paraId="0C959699" w14:textId="77777777" w:rsidR="00264998" w:rsidRDefault="00264998" w:rsidP="00264998">
      <w:pPr>
        <w:rPr>
          <w:rFonts w:ascii="Arial Black" w:hAnsi="Arial Black"/>
          <w:sz w:val="28"/>
          <w:szCs w:val="28"/>
        </w:rPr>
      </w:pPr>
      <w:r>
        <w:rPr>
          <w:rFonts w:ascii="Arial Black" w:hAnsi="Arial Black"/>
          <w:sz w:val="28"/>
          <w:szCs w:val="28"/>
        </w:rPr>
        <w:t>U.S. SUP. CT:  AGREES TO HEAR FF PARKINSON’S CASE – OCT. 2024 TERM - INSURANCE REDUCED 2-YRS – CIR. SPLIT</w:t>
      </w:r>
    </w:p>
    <w:p w14:paraId="61BF1697" w14:textId="77777777" w:rsidR="00264998" w:rsidRDefault="00264998" w:rsidP="00264998">
      <w:pPr>
        <w:rPr>
          <w:rFonts w:ascii="Times New Roman" w:hAnsi="Times New Roman"/>
          <w:sz w:val="24"/>
          <w:szCs w:val="24"/>
        </w:rPr>
      </w:pPr>
      <w:r>
        <w:rPr>
          <w:rFonts w:ascii="Times New Roman" w:hAnsi="Times New Roman"/>
          <w:sz w:val="24"/>
          <w:szCs w:val="24"/>
        </w:rPr>
        <w:t xml:space="preserve">On June 24, 2024, in </w:t>
      </w:r>
      <w:r>
        <w:rPr>
          <w:rFonts w:ascii="Times New Roman" w:hAnsi="Times New Roman"/>
          <w:sz w:val="24"/>
          <w:szCs w:val="24"/>
          <w:u w:val="single"/>
        </w:rPr>
        <w:t>Karyn D. Stanley v.  City of Sanford, Florida</w:t>
      </w:r>
      <w:r>
        <w:rPr>
          <w:rFonts w:ascii="Times New Roman" w:hAnsi="Times New Roman"/>
          <w:sz w:val="24"/>
          <w:szCs w:val="24"/>
        </w:rPr>
        <w:t xml:space="preserve">, the U.S. Supreme Court granted firefighter’s petition for writ of certiorari (requires 4 votes of 9 Justices) and will schedule oral arguments during next Term. </w:t>
      </w:r>
      <w:hyperlink r:id="rId1682" w:history="1">
        <w:r>
          <w:rPr>
            <w:rStyle w:val="Hyperlink"/>
            <w:rFonts w:ascii="Times New Roman" w:hAnsi="Times New Roman"/>
            <w:sz w:val="24"/>
            <w:szCs w:val="24"/>
          </w:rPr>
          <w:t>https://www.supremecourt.gov/orders/courtorders/062424zor_e18f.pdf</w:t>
        </w:r>
      </w:hyperlink>
      <w:r>
        <w:rPr>
          <w:rFonts w:ascii="Times New Roman" w:hAnsi="Times New Roman"/>
          <w:sz w:val="24"/>
          <w:szCs w:val="24"/>
        </w:rPr>
        <w:t xml:space="preserve">.  Lt. Stanley retired on disability in 2018; she then learned that City in 2003 had reduced free medical insurance for disabled employees to two years coverage (was previously provided until age 65).  Her lawsuit was dismissed by U.S. District Court judge, and the dismissal was upheld on Oct. 11, </w:t>
      </w:r>
      <w:proofErr w:type="gramStart"/>
      <w:r>
        <w:rPr>
          <w:rFonts w:ascii="Times New Roman" w:hAnsi="Times New Roman"/>
          <w:sz w:val="24"/>
          <w:szCs w:val="24"/>
        </w:rPr>
        <w:t>2023</w:t>
      </w:r>
      <w:proofErr w:type="gramEnd"/>
      <w:r>
        <w:rPr>
          <w:rFonts w:ascii="Times New Roman" w:hAnsi="Times New Roman"/>
          <w:sz w:val="24"/>
          <w:szCs w:val="24"/>
        </w:rPr>
        <w:t xml:space="preserve"> by a 3-judge panel of 11</w:t>
      </w:r>
      <w:r>
        <w:rPr>
          <w:rFonts w:ascii="Times New Roman" w:hAnsi="Times New Roman"/>
          <w:sz w:val="24"/>
          <w:szCs w:val="24"/>
          <w:vertAlign w:val="superscript"/>
        </w:rPr>
        <w:t>th</w:t>
      </w:r>
      <w:r>
        <w:rPr>
          <w:rFonts w:ascii="Times New Roman" w:hAnsi="Times New Roman"/>
          <w:sz w:val="24"/>
          <w:szCs w:val="24"/>
        </w:rPr>
        <w:t xml:space="preserve"> Circuit (Atlanta) – their strict review of ADA statute language appears to limit lawsuits to only current employees and applicants. Other federal Circuits (2</w:t>
      </w:r>
      <w:r>
        <w:rPr>
          <w:rFonts w:ascii="Times New Roman" w:hAnsi="Times New Roman"/>
          <w:sz w:val="24"/>
          <w:szCs w:val="24"/>
          <w:vertAlign w:val="superscript"/>
        </w:rPr>
        <w:t>nd</w:t>
      </w:r>
      <w:r>
        <w:rPr>
          <w:rFonts w:ascii="Times New Roman" w:hAnsi="Times New Roman"/>
          <w:sz w:val="24"/>
          <w:szCs w:val="24"/>
        </w:rPr>
        <w:t xml:space="preserve"> &amp; 3</w:t>
      </w:r>
      <w:r>
        <w:rPr>
          <w:rFonts w:ascii="Times New Roman" w:hAnsi="Times New Roman"/>
          <w:sz w:val="24"/>
          <w:szCs w:val="24"/>
          <w:vertAlign w:val="superscript"/>
        </w:rPr>
        <w:t>rd</w:t>
      </w:r>
      <w:r>
        <w:rPr>
          <w:rFonts w:ascii="Times New Roman" w:hAnsi="Times New Roman"/>
          <w:sz w:val="24"/>
          <w:szCs w:val="24"/>
        </w:rPr>
        <w:t xml:space="preserve"> Circuits) disagree and have held that retirees can also sue under ADA. </w:t>
      </w:r>
      <w:hyperlink r:id="rId1683" w:history="1">
        <w:r>
          <w:rPr>
            <w:rStyle w:val="Hyperlink"/>
            <w:rFonts w:ascii="Times New Roman" w:hAnsi="Times New Roman"/>
            <w:sz w:val="24"/>
            <w:szCs w:val="24"/>
          </w:rPr>
          <w:t>https://cases.justia.com/federal/appellate-courts/ca11/22-10002/22-10002-2023-10-11.pdf?ts=1697045568</w:t>
        </w:r>
      </w:hyperlink>
      <w:r>
        <w:rPr>
          <w:rFonts w:ascii="Times New Roman" w:hAnsi="Times New Roman"/>
          <w:sz w:val="24"/>
          <w:szCs w:val="24"/>
        </w:rPr>
        <w:t xml:space="preserve"> </w:t>
      </w:r>
    </w:p>
    <w:p w14:paraId="7AD282BB" w14:textId="77777777" w:rsidR="00264998" w:rsidRDefault="00264998" w:rsidP="00264998">
      <w:pPr>
        <w:pStyle w:val="NoSpacing"/>
        <w:ind w:left="720"/>
        <w:rPr>
          <w:rFonts w:ascii="Times New Roman" w:hAnsi="Times New Roman"/>
          <w:sz w:val="24"/>
          <w:szCs w:val="24"/>
        </w:rPr>
      </w:pPr>
    </w:p>
    <w:p w14:paraId="78EE4501" w14:textId="77777777" w:rsidR="00264998" w:rsidRDefault="00264998" w:rsidP="00264998">
      <w:pPr>
        <w:rPr>
          <w:rFonts w:ascii="Times New Roman" w:hAnsi="Times New Roman"/>
          <w:sz w:val="24"/>
          <w:szCs w:val="24"/>
        </w:rPr>
      </w:pPr>
      <w:r>
        <w:rPr>
          <w:rFonts w:ascii="Times New Roman" w:hAnsi="Times New Roman"/>
          <w:sz w:val="24"/>
          <w:szCs w:val="24"/>
        </w:rPr>
        <w:t>11</w:t>
      </w:r>
      <w:r>
        <w:rPr>
          <w:rFonts w:ascii="Times New Roman" w:hAnsi="Times New Roman"/>
          <w:sz w:val="24"/>
          <w:szCs w:val="24"/>
          <w:vertAlign w:val="superscript"/>
        </w:rPr>
        <w:t>th</w:t>
      </w:r>
      <w:r>
        <w:rPr>
          <w:rFonts w:ascii="Times New Roman" w:hAnsi="Times New Roman"/>
          <w:sz w:val="24"/>
          <w:szCs w:val="24"/>
        </w:rPr>
        <w:t xml:space="preserve"> CIRCUIT HELD:</w:t>
      </w:r>
    </w:p>
    <w:p w14:paraId="67DA27FA" w14:textId="77777777" w:rsidR="00264998" w:rsidRDefault="00264998" w:rsidP="00264998">
      <w:pPr>
        <w:pStyle w:val="NoSpacing"/>
        <w:ind w:left="720"/>
        <w:rPr>
          <w:rFonts w:ascii="Times New Roman" w:hAnsi="Times New Roman"/>
          <w:sz w:val="24"/>
          <w:szCs w:val="24"/>
        </w:rPr>
      </w:pPr>
      <w:r>
        <w:rPr>
          <w:rFonts w:ascii="Times New Roman" w:hAnsi="Times New Roman"/>
          <w:sz w:val="24"/>
          <w:szCs w:val="24"/>
        </w:rPr>
        <w:t>“We believe Gonzales [v. Garner Food Services, Inc., 89 F.3d 1523 (11th Cir. 1996)] is still good law. We thus reaffirm that a Title I plaintiff must ‘hold[] or desire[]’ an employment position with the defendant at the time of the defendant’s allegedly wrong-</w:t>
      </w:r>
    </w:p>
    <w:p w14:paraId="373CA253" w14:textId="77777777" w:rsidR="00264998" w:rsidRDefault="00264998" w:rsidP="00264998">
      <w:pPr>
        <w:pStyle w:val="NoSpacing"/>
        <w:ind w:left="720"/>
        <w:rPr>
          <w:rFonts w:ascii="Times New Roman" w:hAnsi="Times New Roman"/>
          <w:sz w:val="24"/>
          <w:szCs w:val="24"/>
        </w:rPr>
      </w:pPr>
      <w:proofErr w:type="spellStart"/>
      <w:r>
        <w:rPr>
          <w:rFonts w:ascii="Times New Roman" w:hAnsi="Times New Roman"/>
          <w:sz w:val="24"/>
          <w:szCs w:val="24"/>
        </w:rPr>
        <w:t>ful</w:t>
      </w:r>
      <w:proofErr w:type="spellEnd"/>
      <w:r>
        <w:rPr>
          <w:rFonts w:ascii="Times New Roman" w:hAnsi="Times New Roman"/>
          <w:sz w:val="24"/>
          <w:szCs w:val="24"/>
        </w:rPr>
        <w:t xml:space="preserve"> act. 42 U.S.C. § 12111(8). Because plaintiff Karyn Stanley is suing over the termination of retirement benefits when she neither held nor desired to hold an employment position with her former employer, the City of Sanford, Gonzales bars her claim. We therefore affirm the district court.</w:t>
      </w:r>
    </w:p>
    <w:p w14:paraId="2C2C1156" w14:textId="77777777" w:rsidR="00264998" w:rsidRDefault="00264998" w:rsidP="00264998">
      <w:pPr>
        <w:pStyle w:val="NoSpacing"/>
        <w:ind w:left="720"/>
        <w:rPr>
          <w:rFonts w:ascii="Times New Roman" w:hAnsi="Times New Roman"/>
          <w:sz w:val="24"/>
          <w:szCs w:val="24"/>
        </w:rPr>
      </w:pPr>
    </w:p>
    <w:p w14:paraId="31A1D926" w14:textId="77777777" w:rsidR="00264998" w:rsidRDefault="00264998" w:rsidP="00264998">
      <w:pPr>
        <w:pStyle w:val="NoSpacing"/>
        <w:ind w:left="720"/>
        <w:rPr>
          <w:rFonts w:ascii="Times New Roman" w:hAnsi="Times New Roman"/>
          <w:sz w:val="24"/>
          <w:szCs w:val="24"/>
        </w:rPr>
      </w:pPr>
      <w:r>
        <w:rPr>
          <w:rFonts w:ascii="Times New Roman" w:hAnsi="Times New Roman"/>
          <w:sz w:val="24"/>
          <w:szCs w:val="24"/>
        </w:rPr>
        <w:t>***</w:t>
      </w:r>
    </w:p>
    <w:p w14:paraId="29145688" w14:textId="77777777" w:rsidR="00264998" w:rsidRDefault="00264998" w:rsidP="00264998">
      <w:pPr>
        <w:pStyle w:val="NoSpacing"/>
        <w:ind w:left="720"/>
        <w:rPr>
          <w:rFonts w:ascii="Times New Roman" w:hAnsi="Times New Roman"/>
          <w:sz w:val="24"/>
          <w:szCs w:val="24"/>
        </w:rPr>
      </w:pPr>
      <w:r>
        <w:rPr>
          <w:rFonts w:ascii="Times New Roman" w:hAnsi="Times New Roman"/>
          <w:sz w:val="24"/>
          <w:szCs w:val="24"/>
        </w:rPr>
        <w:t xml:space="preserve">Title I’s anti-discrimination provision is not afflicted with any such ambiguity. There is a clear temporal qualifier in Title I: Only someone ‘who, with or without reasonable accommodation, can perform the essential functions of the employment position that such individual holds or </w:t>
      </w:r>
      <w:proofErr w:type="gramStart"/>
      <w:r>
        <w:rPr>
          <w:rFonts w:ascii="Times New Roman" w:hAnsi="Times New Roman"/>
          <w:sz w:val="24"/>
          <w:szCs w:val="24"/>
        </w:rPr>
        <w:t>desires’</w:t>
      </w:r>
      <w:proofErr w:type="gramEnd"/>
      <w:r>
        <w:rPr>
          <w:rFonts w:ascii="Times New Roman" w:hAnsi="Times New Roman"/>
          <w:sz w:val="24"/>
          <w:szCs w:val="24"/>
        </w:rPr>
        <w:t xml:space="preserve"> is protected from disability discrimination. 42 U.S.C. §§ 12111(8) (emphases added), 12112(a); see also </w:t>
      </w:r>
      <w:proofErr w:type="spellStart"/>
      <w:r>
        <w:rPr>
          <w:rFonts w:ascii="Times New Roman" w:hAnsi="Times New Roman"/>
          <w:sz w:val="24"/>
          <w:szCs w:val="24"/>
        </w:rPr>
        <w:t>Slomcenski</w:t>
      </w:r>
      <w:proofErr w:type="spellEnd"/>
      <w:r>
        <w:rPr>
          <w:rFonts w:ascii="Times New Roman" w:hAnsi="Times New Roman"/>
          <w:sz w:val="24"/>
          <w:szCs w:val="24"/>
        </w:rPr>
        <w:t xml:space="preserve"> v. Citibank, N.A., 432 F.3d 1271, 1280–81 (11th Cir. 2005). ‘Can,’ ‘holds,’ and ‘desires’ are in the present tense. So, to be a victim of unlawful disability discrimination, the plaintiff must desire or already have a job with the defendant at the time the defendant commits the discriminatory </w:t>
      </w:r>
      <w:proofErr w:type="gramStart"/>
      <w:r>
        <w:rPr>
          <w:rFonts w:ascii="Times New Roman" w:hAnsi="Times New Roman"/>
          <w:sz w:val="24"/>
          <w:szCs w:val="24"/>
        </w:rPr>
        <w:t>act.”</w:t>
      </w:r>
      <w:proofErr w:type="gramEnd"/>
      <w:r>
        <w:rPr>
          <w:rFonts w:ascii="Times New Roman" w:hAnsi="Times New Roman"/>
          <w:sz w:val="24"/>
          <w:szCs w:val="24"/>
        </w:rPr>
        <w:t xml:space="preserve"> </w:t>
      </w:r>
      <w:hyperlink r:id="rId1684" w:history="1">
        <w:r>
          <w:rPr>
            <w:rStyle w:val="Hyperlink"/>
            <w:rFonts w:ascii="Times New Roman" w:hAnsi="Times New Roman"/>
            <w:sz w:val="24"/>
            <w:szCs w:val="24"/>
          </w:rPr>
          <w:t>https://cases.justia.com/federal/appellate-courts/ca11/22-10002/22-10002-2023-10-11.pdf?ts=1697045568</w:t>
        </w:r>
      </w:hyperlink>
      <w:r>
        <w:rPr>
          <w:rFonts w:ascii="Times New Roman" w:hAnsi="Times New Roman"/>
          <w:sz w:val="24"/>
          <w:szCs w:val="24"/>
        </w:rPr>
        <w:t xml:space="preserve"> </w:t>
      </w:r>
    </w:p>
    <w:p w14:paraId="0C485D13" w14:textId="77777777" w:rsidR="00264998" w:rsidRDefault="00264998" w:rsidP="00264998">
      <w:pPr>
        <w:rPr>
          <w:rFonts w:ascii="Times New Roman" w:hAnsi="Times New Roman"/>
          <w:sz w:val="24"/>
          <w:szCs w:val="24"/>
        </w:rPr>
      </w:pPr>
    </w:p>
    <w:p w14:paraId="4F27682F" w14:textId="77777777" w:rsidR="00264998" w:rsidRDefault="00264998" w:rsidP="00264998">
      <w:pPr>
        <w:rPr>
          <w:rFonts w:ascii="Times New Roman" w:hAnsi="Times New Roman"/>
          <w:sz w:val="24"/>
          <w:szCs w:val="24"/>
        </w:rPr>
      </w:pPr>
      <w:r>
        <w:rPr>
          <w:rFonts w:ascii="Times New Roman" w:hAnsi="Times New Roman"/>
          <w:sz w:val="24"/>
          <w:szCs w:val="24"/>
        </w:rPr>
        <w:t>FACTS:</w:t>
      </w:r>
    </w:p>
    <w:p w14:paraId="35D4BB73" w14:textId="77777777" w:rsidR="00264998" w:rsidRDefault="00264998" w:rsidP="00264998">
      <w:pPr>
        <w:pStyle w:val="NoSpacing"/>
        <w:ind w:left="720"/>
        <w:rPr>
          <w:rFonts w:ascii="Times New Roman" w:hAnsi="Times New Roman"/>
          <w:sz w:val="24"/>
          <w:szCs w:val="24"/>
        </w:rPr>
      </w:pPr>
      <w:r>
        <w:rPr>
          <w:rFonts w:ascii="Times New Roman" w:hAnsi="Times New Roman"/>
          <w:sz w:val="24"/>
          <w:szCs w:val="24"/>
        </w:rPr>
        <w:lastRenderedPageBreak/>
        <w:t>“Karyn Stanley became a firefighter for the City of Sanford, Florida, in 1999. She served the City in that capacity for about fifteen years until she was diagnosed with Parkinson’s disease in 2016. Although she managed to continue working as a firefighter for</w:t>
      </w:r>
    </w:p>
    <w:p w14:paraId="3D280597" w14:textId="77777777" w:rsidR="00264998" w:rsidRDefault="00264998" w:rsidP="00264998">
      <w:pPr>
        <w:pStyle w:val="NoSpacing"/>
        <w:ind w:left="720"/>
        <w:rPr>
          <w:rFonts w:ascii="Times New Roman" w:hAnsi="Times New Roman"/>
          <w:sz w:val="24"/>
          <w:szCs w:val="24"/>
        </w:rPr>
      </w:pPr>
      <w:proofErr w:type="gramStart"/>
      <w:r>
        <w:rPr>
          <w:rFonts w:ascii="Times New Roman" w:hAnsi="Times New Roman"/>
          <w:sz w:val="24"/>
          <w:szCs w:val="24"/>
        </w:rPr>
        <w:t>about</w:t>
      </w:r>
      <w:proofErr w:type="gramEnd"/>
      <w:r>
        <w:rPr>
          <w:rFonts w:ascii="Times New Roman" w:hAnsi="Times New Roman"/>
          <w:sz w:val="24"/>
          <w:szCs w:val="24"/>
        </w:rPr>
        <w:t xml:space="preserve"> two more years, her disease and accompanying physical disabilities eventually left her incapable of performing her job. So, at the age of 47, Stanley took disability retirement on November 1, 2018. When Stanley retired, she continued to receive free health insurance through the City. Under a policy in effect when Stanley first joined the fire department, employees retiring for qualifying disability reasons, such as Stanley’s Parkinson’s disease, received free health insurance until the age of 65. But, unbeknownst to Stanley, the </w:t>
      </w:r>
      <w:proofErr w:type="gramStart"/>
      <w:r>
        <w:rPr>
          <w:rFonts w:ascii="Times New Roman" w:hAnsi="Times New Roman"/>
          <w:sz w:val="24"/>
          <w:szCs w:val="24"/>
        </w:rPr>
        <w:t>City</w:t>
      </w:r>
      <w:proofErr w:type="gramEnd"/>
      <w:r>
        <w:rPr>
          <w:rFonts w:ascii="Times New Roman" w:hAnsi="Times New Roman"/>
          <w:sz w:val="24"/>
          <w:szCs w:val="24"/>
        </w:rPr>
        <w:t xml:space="preserve"> changed its benefits plan in 2003. Under the new plan, disability retirees such as Stanley are entitled to the health insurance subsidy for only twenty-four months after retiring. Stanley was thus set to become responsible for her own health insurance premiums beginning on December 1, 2020. She filed this suit in April 2020, seeking to establish her entitlement to the long-term healthcare subsidy.”</w:t>
      </w:r>
    </w:p>
    <w:p w14:paraId="436B5164" w14:textId="77777777" w:rsidR="00264998" w:rsidRDefault="00264998" w:rsidP="00264998">
      <w:pPr>
        <w:pStyle w:val="NoSpacing"/>
        <w:rPr>
          <w:rFonts w:ascii="Times New Roman" w:hAnsi="Times New Roman"/>
          <w:b/>
          <w:bCs/>
          <w:sz w:val="24"/>
          <w:szCs w:val="24"/>
        </w:rPr>
      </w:pPr>
    </w:p>
    <w:p w14:paraId="071E3383" w14:textId="77777777" w:rsidR="00264998" w:rsidRDefault="00264998" w:rsidP="00264998">
      <w:pPr>
        <w:pStyle w:val="NoSpacing"/>
        <w:rPr>
          <w:rFonts w:ascii="Times New Roman" w:hAnsi="Times New Roman"/>
          <w:b/>
          <w:bCs/>
          <w:sz w:val="24"/>
          <w:szCs w:val="24"/>
        </w:rPr>
      </w:pPr>
      <w:r>
        <w:rPr>
          <w:rFonts w:ascii="Times New Roman" w:hAnsi="Times New Roman"/>
          <w:b/>
          <w:bCs/>
          <w:sz w:val="24"/>
          <w:szCs w:val="24"/>
        </w:rPr>
        <w:t xml:space="preserve">Legal Lesson Learned: The U.S. Supreme Court has agreed to hear this case; presumably to resolve the split in Circuit Court decisions on whether ADA protects retired disabled employees when the employer changes pension benefits. </w:t>
      </w:r>
    </w:p>
    <w:p w14:paraId="2CAAD553" w14:textId="77777777" w:rsidR="00264998" w:rsidRDefault="00264998" w:rsidP="00264998">
      <w:pPr>
        <w:pStyle w:val="NoSpacing"/>
        <w:rPr>
          <w:rFonts w:ascii="Times New Roman" w:hAnsi="Times New Roman"/>
          <w:sz w:val="24"/>
          <w:szCs w:val="24"/>
        </w:rPr>
      </w:pPr>
    </w:p>
    <w:p w14:paraId="30C6957D" w14:textId="77777777" w:rsidR="00264998" w:rsidRDefault="00264998" w:rsidP="00264998">
      <w:pPr>
        <w:ind w:left="720"/>
        <w:rPr>
          <w:rFonts w:ascii="Times New Roman" w:hAnsi="Times New Roman"/>
          <w:sz w:val="24"/>
          <w:szCs w:val="24"/>
        </w:rPr>
      </w:pPr>
      <w:r>
        <w:rPr>
          <w:rFonts w:ascii="Times New Roman" w:hAnsi="Times New Roman"/>
          <w:sz w:val="24"/>
          <w:szCs w:val="24"/>
        </w:rPr>
        <w:t>Note: See these Briefs filed with U.S. Supreme Court:</w:t>
      </w:r>
    </w:p>
    <w:p w14:paraId="4D61A910" w14:textId="77777777" w:rsidR="00264998" w:rsidRDefault="00264998" w:rsidP="00264998">
      <w:pPr>
        <w:ind w:left="720"/>
        <w:rPr>
          <w:rFonts w:ascii="Times New Roman" w:hAnsi="Times New Roman"/>
          <w:sz w:val="24"/>
          <w:szCs w:val="24"/>
        </w:rPr>
      </w:pPr>
      <w:r>
        <w:rPr>
          <w:rFonts w:ascii="Times New Roman" w:hAnsi="Times New Roman"/>
          <w:sz w:val="24"/>
          <w:szCs w:val="24"/>
        </w:rPr>
        <w:t>CITY’s BRIEF:</w:t>
      </w:r>
    </w:p>
    <w:p w14:paraId="369F9DAF" w14:textId="77777777" w:rsidR="00264998" w:rsidRDefault="00264998" w:rsidP="00264998">
      <w:pPr>
        <w:ind w:left="1440"/>
        <w:rPr>
          <w:rFonts w:ascii="Times New Roman" w:hAnsi="Times New Roman"/>
          <w:sz w:val="24"/>
          <w:szCs w:val="24"/>
        </w:rPr>
      </w:pPr>
      <w:r>
        <w:rPr>
          <w:rFonts w:ascii="Times New Roman" w:hAnsi="Times New Roman"/>
          <w:sz w:val="24"/>
          <w:szCs w:val="24"/>
        </w:rPr>
        <w:t xml:space="preserve">“Thus, for just one employee like Petitioner retiring early at the age of 47, payment of the subsidy to age 65 would have cost the </w:t>
      </w:r>
      <w:proofErr w:type="gramStart"/>
      <w:r>
        <w:rPr>
          <w:rFonts w:ascii="Times New Roman" w:hAnsi="Times New Roman"/>
          <w:sz w:val="24"/>
          <w:szCs w:val="24"/>
        </w:rPr>
        <w:t>City</w:t>
      </w:r>
      <w:proofErr w:type="gramEnd"/>
      <w:r>
        <w:rPr>
          <w:rFonts w:ascii="Times New Roman" w:hAnsi="Times New Roman"/>
          <w:sz w:val="24"/>
          <w:szCs w:val="24"/>
        </w:rPr>
        <w:t xml:space="preserve"> over $216,000.00.” [City’s Brief in Opposition; </w:t>
      </w:r>
      <w:hyperlink r:id="rId1685" w:history="1">
        <w:r>
          <w:rPr>
            <w:rStyle w:val="Hyperlink"/>
            <w:rFonts w:ascii="Times New Roman" w:hAnsi="Times New Roman"/>
            <w:sz w:val="24"/>
            <w:szCs w:val="24"/>
          </w:rPr>
          <w:t>https://www.supremecourt.gov/DocketPDF/23/23-997/309679/20240513145152474_23-997%20Brief%20in%20Opposition%20Final.pdf</w:t>
        </w:r>
      </w:hyperlink>
      <w:r>
        <w:rPr>
          <w:rFonts w:ascii="Times New Roman" w:hAnsi="Times New Roman"/>
          <w:sz w:val="24"/>
          <w:szCs w:val="24"/>
        </w:rPr>
        <w:t>.]</w:t>
      </w:r>
    </w:p>
    <w:p w14:paraId="2471185E" w14:textId="77777777" w:rsidR="00264998" w:rsidRDefault="00264998" w:rsidP="00264998">
      <w:pPr>
        <w:ind w:left="720"/>
        <w:rPr>
          <w:rFonts w:ascii="Times New Roman" w:hAnsi="Times New Roman"/>
          <w:sz w:val="24"/>
          <w:szCs w:val="24"/>
        </w:rPr>
      </w:pPr>
      <w:r>
        <w:rPr>
          <w:rFonts w:ascii="Times New Roman" w:hAnsi="Times New Roman"/>
          <w:sz w:val="24"/>
          <w:szCs w:val="24"/>
        </w:rPr>
        <w:t xml:space="preserve">LT. STANLEY’S REPLY BRIEF: </w:t>
      </w:r>
    </w:p>
    <w:p w14:paraId="21C0A72A"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 xml:space="preserve">“The </w:t>
      </w:r>
      <w:proofErr w:type="gramStart"/>
      <w:r>
        <w:rPr>
          <w:rFonts w:ascii="Times New Roman" w:hAnsi="Times New Roman"/>
          <w:sz w:val="24"/>
          <w:szCs w:val="24"/>
        </w:rPr>
        <w:t>City</w:t>
      </w:r>
      <w:proofErr w:type="gramEnd"/>
      <w:r>
        <w:rPr>
          <w:rFonts w:ascii="Times New Roman" w:hAnsi="Times New Roman"/>
          <w:sz w:val="24"/>
          <w:szCs w:val="24"/>
        </w:rPr>
        <w:t xml:space="preserve"> concedes that there is a longstanding ‘circuit split” over whether former employees can sue for discrimination with respect to their post-employment benefits under the ADA…. It recognizes the same two-to-four split outlined in the petition: Although the Second and Third Circuits permit former employees to sue with respect to post-employment benefits, the Sixth, Seventh, Ninth, and Eleventh Circuits do not.</w:t>
      </w:r>
    </w:p>
    <w:p w14:paraId="76D9C800" w14:textId="77777777" w:rsidR="00264998" w:rsidRDefault="00264998" w:rsidP="00264998">
      <w:pPr>
        <w:pStyle w:val="NoSpacing"/>
        <w:ind w:left="720"/>
        <w:rPr>
          <w:rFonts w:ascii="Times New Roman" w:hAnsi="Times New Roman"/>
          <w:sz w:val="24"/>
          <w:szCs w:val="24"/>
        </w:rPr>
      </w:pPr>
    </w:p>
    <w:p w14:paraId="1BDAAEB9"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w:t>
      </w:r>
    </w:p>
    <w:p w14:paraId="2F6DB976" w14:textId="77777777" w:rsidR="00264998" w:rsidRDefault="00264998" w:rsidP="00264998">
      <w:pPr>
        <w:pStyle w:val="NoSpacing"/>
        <w:ind w:left="720"/>
        <w:rPr>
          <w:rFonts w:ascii="Times New Roman" w:hAnsi="Times New Roman"/>
          <w:sz w:val="24"/>
          <w:szCs w:val="24"/>
        </w:rPr>
      </w:pPr>
    </w:p>
    <w:p w14:paraId="1F70BDEF"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 xml:space="preserve">The City doesn’t contest that, when the City offered her the firefighter job, her employment package included a retirement ‘health insurance subsidy.’ Pet. App. 3a. Nor does it dispute, as the courts below recognized, that this subsidy was ‘a stand-alone fringe benefit of employment with [the] Defendant.’ Pet. App. 21a. The fringe benefit was thus covered by the ADA as part of the ‘terms, conditions, and privileges of [her] employment.’ 42 U.S.C. §§ 12111(8), 12112(a). That doesn’t mean that on remand the </w:t>
      </w:r>
      <w:proofErr w:type="gramStart"/>
      <w:r>
        <w:rPr>
          <w:rFonts w:ascii="Times New Roman" w:hAnsi="Times New Roman"/>
          <w:sz w:val="24"/>
          <w:szCs w:val="24"/>
        </w:rPr>
        <w:t>City</w:t>
      </w:r>
      <w:proofErr w:type="gramEnd"/>
      <w:r>
        <w:rPr>
          <w:rFonts w:ascii="Times New Roman" w:hAnsi="Times New Roman"/>
          <w:sz w:val="24"/>
          <w:szCs w:val="24"/>
        </w:rPr>
        <w:t xml:space="preserve"> won’t be able to argue that Ms. Stanley’s twenty years of service didn’t sufficiently ‘earn’ her the subsidy she was promised. The </w:t>
      </w:r>
      <w:proofErr w:type="gramStart"/>
      <w:r>
        <w:rPr>
          <w:rFonts w:ascii="Times New Roman" w:hAnsi="Times New Roman"/>
          <w:sz w:val="24"/>
          <w:szCs w:val="24"/>
        </w:rPr>
        <w:t>City</w:t>
      </w:r>
      <w:proofErr w:type="gramEnd"/>
      <w:r>
        <w:rPr>
          <w:rFonts w:ascii="Times New Roman" w:hAnsi="Times New Roman"/>
          <w:sz w:val="24"/>
          <w:szCs w:val="24"/>
        </w:rPr>
        <w:t xml:space="preserve"> can make whatever arguments it wants on </w:t>
      </w:r>
      <w:proofErr w:type="gramStart"/>
      <w:r>
        <w:rPr>
          <w:rFonts w:ascii="Times New Roman" w:hAnsi="Times New Roman"/>
          <w:sz w:val="24"/>
          <w:szCs w:val="24"/>
        </w:rPr>
        <w:t>remand</w:t>
      </w:r>
      <w:proofErr w:type="gramEnd"/>
      <w:r>
        <w:rPr>
          <w:rFonts w:ascii="Times New Roman" w:hAnsi="Times New Roman"/>
          <w:sz w:val="24"/>
          <w:szCs w:val="24"/>
        </w:rPr>
        <w:t xml:space="preserve">. But none of that bears on whether litigants in Ms. Stanley’s shoes can bring suit under the ADA in the first place.”  [Plaintiff’s Reply Brief; </w:t>
      </w:r>
      <w:hyperlink r:id="rId1686" w:history="1">
        <w:r>
          <w:rPr>
            <w:rStyle w:val="Hyperlink"/>
            <w:rFonts w:ascii="Times New Roman" w:hAnsi="Times New Roman"/>
            <w:sz w:val="24"/>
            <w:szCs w:val="24"/>
          </w:rPr>
          <w:t>https://www.supremecourt.gov/DocketPDF/23/23-997/311779/20240528141949268_23-997%20Stanley%20Reply%20In%20Support%20of%20Certiorari.pdf</w:t>
        </w:r>
      </w:hyperlink>
      <w:r>
        <w:rPr>
          <w:rFonts w:ascii="Times New Roman" w:hAnsi="Times New Roman"/>
          <w:sz w:val="24"/>
          <w:szCs w:val="24"/>
        </w:rPr>
        <w:t xml:space="preserve"> .] </w:t>
      </w:r>
    </w:p>
    <w:p w14:paraId="43333A0A" w14:textId="77777777" w:rsidR="00264998" w:rsidRDefault="00264998" w:rsidP="00264998">
      <w:pPr>
        <w:pStyle w:val="NoSpacing"/>
        <w:rPr>
          <w:rFonts w:ascii="Times New Roman" w:hAnsi="Times New Roman"/>
          <w:sz w:val="24"/>
          <w:szCs w:val="24"/>
        </w:rPr>
      </w:pPr>
    </w:p>
    <w:p w14:paraId="1F465EA9" w14:textId="77777777" w:rsidR="00264998" w:rsidRDefault="00264998" w:rsidP="00264998">
      <w:pPr>
        <w:pStyle w:val="NoSpacing"/>
        <w:ind w:left="720"/>
        <w:rPr>
          <w:rFonts w:ascii="Times New Roman" w:hAnsi="Times New Roman"/>
          <w:sz w:val="24"/>
          <w:szCs w:val="24"/>
        </w:rPr>
      </w:pPr>
      <w:r>
        <w:rPr>
          <w:rFonts w:ascii="Times New Roman" w:hAnsi="Times New Roman"/>
          <w:sz w:val="24"/>
          <w:szCs w:val="24"/>
        </w:rPr>
        <w:t>IAFF AMICUS BRIEF:</w:t>
      </w:r>
    </w:p>
    <w:p w14:paraId="69AA48BE" w14:textId="77777777" w:rsidR="00264998" w:rsidRDefault="00264998" w:rsidP="00264998">
      <w:pPr>
        <w:pStyle w:val="NoSpacing"/>
        <w:rPr>
          <w:rFonts w:ascii="Times New Roman" w:hAnsi="Times New Roman"/>
          <w:sz w:val="24"/>
          <w:szCs w:val="24"/>
        </w:rPr>
      </w:pPr>
    </w:p>
    <w:p w14:paraId="44B58893"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lastRenderedPageBreak/>
        <w:t xml:space="preserve">“This amicus brief is submitted in support of the Petition for Certiorari filed by Petitioner, Lt. Karyn D. Stanley (Ret.), who throughout her distinguished </w:t>
      </w:r>
      <w:proofErr w:type="spellStart"/>
      <w:r>
        <w:rPr>
          <w:rFonts w:ascii="Times New Roman" w:hAnsi="Times New Roman"/>
          <w:sz w:val="24"/>
          <w:szCs w:val="24"/>
        </w:rPr>
        <w:t>fire fighting</w:t>
      </w:r>
      <w:proofErr w:type="spellEnd"/>
      <w:r>
        <w:rPr>
          <w:rFonts w:ascii="Times New Roman" w:hAnsi="Times New Roman"/>
          <w:sz w:val="24"/>
          <w:szCs w:val="24"/>
        </w:rPr>
        <w:t xml:space="preserve"> career has been a member of one IAFF affiliate, the Sanford Professional Firefighters, IAFF Local 3996.</w:t>
      </w:r>
    </w:p>
    <w:p w14:paraId="03454A4B" w14:textId="77777777" w:rsidR="00264998" w:rsidRDefault="00264998" w:rsidP="00264998">
      <w:pPr>
        <w:pStyle w:val="NoSpacing"/>
        <w:ind w:left="720"/>
        <w:rPr>
          <w:rFonts w:ascii="Times New Roman" w:hAnsi="Times New Roman"/>
          <w:sz w:val="24"/>
          <w:szCs w:val="24"/>
        </w:rPr>
      </w:pPr>
    </w:p>
    <w:p w14:paraId="143FDF63"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w:t>
      </w:r>
    </w:p>
    <w:p w14:paraId="71699F06"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 xml:space="preserve">Notwithstanding these developments, the federal courts continue to perpetuate unnecessary disparities in fire fighter access to benefits following disability by illness or injury. Too many federal courts – including the Eleventh Circuit in its decision below - have remained closed for decades to claims of unlawful disability discrimination that does not manifest until after disability forces a premature end to the employment relationship. Overly narrow applications of the ADA persist, despite Congress passing legislation amending the statute in response to judicial </w:t>
      </w:r>
      <w:proofErr w:type="gramStart"/>
      <w:r>
        <w:rPr>
          <w:rFonts w:ascii="Times New Roman" w:hAnsi="Times New Roman"/>
          <w:sz w:val="24"/>
          <w:szCs w:val="24"/>
        </w:rPr>
        <w:t>decisions it</w:t>
      </w:r>
      <w:proofErr w:type="gramEnd"/>
      <w:r>
        <w:rPr>
          <w:rFonts w:ascii="Times New Roman" w:hAnsi="Times New Roman"/>
          <w:sz w:val="24"/>
          <w:szCs w:val="24"/>
        </w:rPr>
        <w:t xml:space="preserve"> criticized for ‘unduly restricting the </w:t>
      </w:r>
      <w:proofErr w:type="gramStart"/>
      <w:r>
        <w:rPr>
          <w:rFonts w:ascii="Times New Roman" w:hAnsi="Times New Roman"/>
          <w:sz w:val="24"/>
          <w:szCs w:val="24"/>
        </w:rPr>
        <w:t>time period</w:t>
      </w:r>
      <w:proofErr w:type="gramEnd"/>
      <w:r>
        <w:rPr>
          <w:rFonts w:ascii="Times New Roman" w:hAnsi="Times New Roman"/>
          <w:sz w:val="24"/>
          <w:szCs w:val="24"/>
        </w:rPr>
        <w:t xml:space="preserve"> in which victims of discrimination can challenge and recover for discriminatory compensation decisions or other practices, contrary to the intent of</w:t>
      </w:r>
    </w:p>
    <w:p w14:paraId="7C0693A6"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Congress.’ Pub. L. 111-2, 123 Stat. 5.</w:t>
      </w:r>
    </w:p>
    <w:p w14:paraId="235B4BDB" w14:textId="77777777" w:rsidR="00264998" w:rsidRDefault="00264998" w:rsidP="00264998">
      <w:pPr>
        <w:pStyle w:val="NoSpacing"/>
        <w:ind w:left="720"/>
        <w:rPr>
          <w:rFonts w:ascii="Times New Roman" w:hAnsi="Times New Roman"/>
          <w:sz w:val="24"/>
          <w:szCs w:val="24"/>
        </w:rPr>
      </w:pPr>
    </w:p>
    <w:p w14:paraId="0079D07A"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 xml:space="preserve">No disabled fire fighter, including Lt. Stanley, should be denied the opportunity to present a well pled complaint that the employer for whom she performed the essential work that likely contributed to her disability has unlawfully discriminated against her on account of that disability.  </w:t>
      </w:r>
    </w:p>
    <w:p w14:paraId="5C3F8979" w14:textId="77777777" w:rsidR="00264998" w:rsidRDefault="00264998" w:rsidP="00264998">
      <w:pPr>
        <w:pStyle w:val="NoSpacing"/>
        <w:ind w:left="720"/>
        <w:rPr>
          <w:rFonts w:ascii="Times New Roman" w:hAnsi="Times New Roman"/>
          <w:sz w:val="24"/>
          <w:szCs w:val="24"/>
        </w:rPr>
      </w:pPr>
    </w:p>
    <w:p w14:paraId="0C89C6CC"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w:t>
      </w:r>
    </w:p>
    <w:p w14:paraId="1C9C24E7" w14:textId="77777777" w:rsidR="00264998" w:rsidRDefault="00264998" w:rsidP="00264998">
      <w:pPr>
        <w:pStyle w:val="NoSpacing"/>
        <w:ind w:left="720"/>
        <w:rPr>
          <w:rFonts w:ascii="Times New Roman" w:hAnsi="Times New Roman"/>
          <w:sz w:val="24"/>
          <w:szCs w:val="24"/>
        </w:rPr>
      </w:pPr>
    </w:p>
    <w:p w14:paraId="2D406C83"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 xml:space="preserve">After nearly two decades of </w:t>
      </w:r>
      <w:proofErr w:type="spellStart"/>
      <w:r>
        <w:rPr>
          <w:rFonts w:ascii="Times New Roman" w:hAnsi="Times New Roman"/>
          <w:sz w:val="24"/>
          <w:szCs w:val="24"/>
        </w:rPr>
        <w:t>fire fighting</w:t>
      </w:r>
      <w:proofErr w:type="spellEnd"/>
      <w:r>
        <w:rPr>
          <w:rFonts w:ascii="Times New Roman" w:hAnsi="Times New Roman"/>
          <w:sz w:val="24"/>
          <w:szCs w:val="24"/>
        </w:rPr>
        <w:t xml:space="preserve">, Parkinsons disease robbed Lt. Stanley of her ability to perform the essential duties of her demanding position at age 47. Pet. App. 2a. But she first suffered discrimination within the purview of the ADA as modified by the Fair Pay Act, when a benefit plan that initially paid a monthly stipend to all service eligible retired employees until age 65 was modified so that employees who retired as a result of disability were only provided the monthly stipend for 24 months after retirement. Pet. App 3a. This benefit plan was unlawfully modified in or around 2003, while Lt. Stanley worked for the </w:t>
      </w:r>
      <w:proofErr w:type="gramStart"/>
      <w:r>
        <w:rPr>
          <w:rFonts w:ascii="Times New Roman" w:hAnsi="Times New Roman"/>
          <w:sz w:val="24"/>
          <w:szCs w:val="24"/>
        </w:rPr>
        <w:t>City</w:t>
      </w:r>
      <w:proofErr w:type="gramEnd"/>
      <w:r>
        <w:rPr>
          <w:rFonts w:ascii="Times New Roman" w:hAnsi="Times New Roman"/>
          <w:sz w:val="24"/>
          <w:szCs w:val="24"/>
        </w:rPr>
        <w:t>. Id. Thus, she was a ‘qualified individual’ at the time a “discriminatory compensation decision or other practice is adopted,” 42 U.S.C. §</w:t>
      </w:r>
    </w:p>
    <w:p w14:paraId="1B8FB914" w14:textId="77777777" w:rsidR="00264998" w:rsidRDefault="00264998" w:rsidP="00264998">
      <w:pPr>
        <w:pStyle w:val="NoSpacing"/>
        <w:ind w:left="1440"/>
        <w:rPr>
          <w:rFonts w:ascii="Times New Roman" w:hAnsi="Times New Roman"/>
          <w:sz w:val="24"/>
          <w:szCs w:val="24"/>
        </w:rPr>
      </w:pPr>
      <w:r>
        <w:rPr>
          <w:rFonts w:ascii="Times New Roman" w:hAnsi="Times New Roman"/>
          <w:sz w:val="24"/>
          <w:szCs w:val="24"/>
        </w:rPr>
        <w:t xml:space="preserve">2000e-5(e)(3)(A).” [IAFF Amicus Brief; </w:t>
      </w:r>
      <w:hyperlink r:id="rId1687" w:history="1">
        <w:r>
          <w:rPr>
            <w:rStyle w:val="Hyperlink"/>
            <w:rFonts w:ascii="Times New Roman" w:hAnsi="Times New Roman"/>
            <w:sz w:val="24"/>
            <w:szCs w:val="24"/>
          </w:rPr>
          <w:t>https://www.supremecourt.gov/DocketPDF/23/23-997/307313/20240411092101975_Amicus%20Brief.pdf</w:t>
        </w:r>
      </w:hyperlink>
      <w:r>
        <w:rPr>
          <w:rFonts w:ascii="Times New Roman" w:hAnsi="Times New Roman"/>
          <w:sz w:val="24"/>
          <w:szCs w:val="24"/>
        </w:rPr>
        <w:t xml:space="preserve"> .] </w:t>
      </w:r>
    </w:p>
    <w:p w14:paraId="5E80F93B" w14:textId="77777777" w:rsidR="00264998" w:rsidRDefault="00264998" w:rsidP="005C30A4">
      <w:pPr>
        <w:pStyle w:val="NoSpacing"/>
        <w:rPr>
          <w:rFonts w:ascii="Arial Black" w:hAnsi="Arial Black"/>
          <w:sz w:val="24"/>
          <w:szCs w:val="24"/>
        </w:rPr>
      </w:pPr>
    </w:p>
    <w:p w14:paraId="5E5F65B1" w14:textId="77777777" w:rsidR="00264998" w:rsidRDefault="00264998" w:rsidP="005C30A4">
      <w:pPr>
        <w:pStyle w:val="NoSpacing"/>
        <w:rPr>
          <w:rFonts w:ascii="Arial Black" w:hAnsi="Arial Black"/>
          <w:sz w:val="24"/>
          <w:szCs w:val="24"/>
        </w:rPr>
      </w:pPr>
    </w:p>
    <w:p w14:paraId="22BD0FA5" w14:textId="77777777" w:rsidR="008D4459" w:rsidRDefault="008D4459" w:rsidP="005C30A4">
      <w:pPr>
        <w:pStyle w:val="NoSpacing"/>
        <w:rPr>
          <w:rFonts w:ascii="Arial Black" w:hAnsi="Arial Black"/>
          <w:sz w:val="24"/>
          <w:szCs w:val="24"/>
        </w:rPr>
      </w:pPr>
    </w:p>
    <w:p w14:paraId="0FB266BC" w14:textId="4D6B26D1" w:rsidR="00AB6735" w:rsidRDefault="005E544B" w:rsidP="005C30A4">
      <w:pPr>
        <w:pStyle w:val="NoSpacing"/>
        <w:rPr>
          <w:rFonts w:ascii="Arial Black" w:hAnsi="Arial Black"/>
          <w:sz w:val="24"/>
          <w:szCs w:val="24"/>
        </w:rPr>
      </w:pPr>
      <w:r>
        <w:rPr>
          <w:rFonts w:ascii="Arial Black" w:hAnsi="Arial Black"/>
          <w:sz w:val="24"/>
          <w:szCs w:val="24"/>
        </w:rPr>
        <w:t>9-44</w:t>
      </w:r>
    </w:p>
    <w:p w14:paraId="6F266C64" w14:textId="77777777" w:rsidR="005E544B" w:rsidRDefault="005E544B" w:rsidP="005C30A4">
      <w:pPr>
        <w:pStyle w:val="NoSpacing"/>
        <w:rPr>
          <w:rFonts w:ascii="Arial Black" w:hAnsi="Arial Black"/>
          <w:sz w:val="24"/>
          <w:szCs w:val="24"/>
        </w:rPr>
      </w:pPr>
    </w:p>
    <w:p w14:paraId="7448EEBE" w14:textId="77777777" w:rsidR="005E544B" w:rsidRPr="00C14769" w:rsidRDefault="005E544B" w:rsidP="005E544B">
      <w:pPr>
        <w:rPr>
          <w:rFonts w:ascii="Arial Black" w:hAnsi="Arial Black"/>
          <w:sz w:val="28"/>
          <w:szCs w:val="28"/>
        </w:rPr>
      </w:pPr>
      <w:r>
        <w:rPr>
          <w:rFonts w:ascii="Arial Black" w:hAnsi="Arial Black"/>
          <w:sz w:val="28"/>
          <w:szCs w:val="28"/>
        </w:rPr>
        <w:t>OH: DISPATCHER &amp; DATA ENTRY CLERK – BIPOLAR - CAN NO LONGER PERFORM AS DISPATCHER – NO CASE</w:t>
      </w:r>
    </w:p>
    <w:p w14:paraId="2CFBF705" w14:textId="77777777" w:rsidR="005E544B" w:rsidRDefault="005E544B" w:rsidP="005E544B">
      <w:pPr>
        <w:pStyle w:val="NoSpacing"/>
        <w:rPr>
          <w:rFonts w:ascii="Times New Roman" w:hAnsi="Times New Roman"/>
          <w:sz w:val="24"/>
          <w:szCs w:val="24"/>
        </w:rPr>
      </w:pPr>
      <w:r>
        <w:rPr>
          <w:rFonts w:ascii="Times New Roman" w:hAnsi="Times New Roman"/>
          <w:sz w:val="24"/>
          <w:szCs w:val="24"/>
        </w:rPr>
        <w:t xml:space="preserve">On March 18, 2024, in </w:t>
      </w:r>
      <w:r w:rsidRPr="00391E7E">
        <w:rPr>
          <w:rFonts w:ascii="Times New Roman" w:hAnsi="Times New Roman"/>
          <w:sz w:val="24"/>
          <w:szCs w:val="24"/>
          <w:u w:val="single"/>
        </w:rPr>
        <w:t>Charity Hunt v. Randy Thorp, Licking County Sheriff</w:t>
      </w:r>
      <w:r>
        <w:rPr>
          <w:rFonts w:ascii="Times New Roman" w:hAnsi="Times New Roman"/>
          <w:sz w:val="24"/>
          <w:szCs w:val="24"/>
        </w:rPr>
        <w:t xml:space="preserve">, the U.S. Court of Appeals for Sixth Circuit (Cincinnati) held (2 to 1; unpublished decision) that trial court judge properly dismissed the case. </w:t>
      </w:r>
    </w:p>
    <w:p w14:paraId="0BC38053" w14:textId="77777777" w:rsidR="003956F7" w:rsidRDefault="003956F7" w:rsidP="003956F7">
      <w:pPr>
        <w:pStyle w:val="NoSpacing"/>
        <w:rPr>
          <w:rFonts w:ascii="Times New Roman" w:hAnsi="Times New Roman"/>
          <w:sz w:val="24"/>
          <w:szCs w:val="24"/>
          <w:shd w:val="clear" w:color="auto" w:fill="FFFFFF"/>
        </w:rPr>
      </w:pPr>
    </w:p>
    <w:p w14:paraId="11F7A970" w14:textId="1ABE25F9"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067D5A23" w14:textId="77777777" w:rsidR="003956F7" w:rsidRDefault="003956F7" w:rsidP="005E544B">
      <w:pPr>
        <w:pStyle w:val="NoSpacing"/>
        <w:rPr>
          <w:rFonts w:ascii="Times New Roman" w:hAnsi="Times New Roman"/>
          <w:sz w:val="24"/>
          <w:szCs w:val="24"/>
        </w:rPr>
      </w:pPr>
    </w:p>
    <w:p w14:paraId="122517EA" w14:textId="77777777" w:rsidR="005E544B" w:rsidRDefault="005E544B" w:rsidP="005E544B">
      <w:pPr>
        <w:pStyle w:val="NoSpacing"/>
        <w:ind w:left="720"/>
        <w:rPr>
          <w:rFonts w:ascii="Times New Roman" w:hAnsi="Times New Roman"/>
          <w:sz w:val="24"/>
          <w:szCs w:val="24"/>
        </w:rPr>
      </w:pPr>
      <w:r>
        <w:rPr>
          <w:rFonts w:ascii="Times New Roman" w:hAnsi="Times New Roman"/>
          <w:sz w:val="24"/>
          <w:szCs w:val="24"/>
        </w:rPr>
        <w:t>“</w:t>
      </w:r>
      <w:r w:rsidRPr="00AB520F">
        <w:rPr>
          <w:rFonts w:ascii="Times New Roman" w:hAnsi="Times New Roman"/>
          <w:sz w:val="24"/>
          <w:szCs w:val="24"/>
        </w:rPr>
        <w:t>This case arises from Charity Hunt’s complaint of</w:t>
      </w:r>
      <w:r>
        <w:rPr>
          <w:rFonts w:ascii="Times New Roman" w:hAnsi="Times New Roman"/>
          <w:sz w:val="24"/>
          <w:szCs w:val="24"/>
        </w:rPr>
        <w:t xml:space="preserve"> </w:t>
      </w:r>
      <w:r w:rsidRPr="00AB520F">
        <w:rPr>
          <w:rFonts w:ascii="Times New Roman" w:hAnsi="Times New Roman"/>
          <w:sz w:val="24"/>
          <w:szCs w:val="24"/>
        </w:rPr>
        <w:t>disability discrimination suffered in her workplace. The Licking County Sheriff’s Office (LCSO),</w:t>
      </w:r>
      <w:r>
        <w:rPr>
          <w:rFonts w:ascii="Times New Roman" w:hAnsi="Times New Roman"/>
          <w:sz w:val="24"/>
          <w:szCs w:val="24"/>
        </w:rPr>
        <w:t xml:space="preserve"> </w:t>
      </w:r>
      <w:r w:rsidRPr="00AB520F">
        <w:rPr>
          <w:rFonts w:ascii="Times New Roman" w:hAnsi="Times New Roman"/>
          <w:sz w:val="24"/>
          <w:szCs w:val="24"/>
        </w:rPr>
        <w:t>in May 2018, hired Hunt as a dispatcher. After approximately one year, she transferred to a new</w:t>
      </w:r>
      <w:r>
        <w:rPr>
          <w:rFonts w:ascii="Times New Roman" w:hAnsi="Times New Roman"/>
          <w:sz w:val="24"/>
          <w:szCs w:val="24"/>
        </w:rPr>
        <w:t xml:space="preserve"> </w:t>
      </w:r>
      <w:r w:rsidRPr="00AB520F">
        <w:rPr>
          <w:rFonts w:ascii="Times New Roman" w:hAnsi="Times New Roman"/>
          <w:sz w:val="24"/>
          <w:szCs w:val="24"/>
        </w:rPr>
        <w:t xml:space="preserve">position, the LCSO Dispatcher-Data Entry Specialist. </w:t>
      </w:r>
      <w:r w:rsidRPr="00AB520F">
        <w:rPr>
          <w:rFonts w:ascii="Times New Roman" w:hAnsi="Times New Roman"/>
          <w:sz w:val="24"/>
          <w:szCs w:val="24"/>
        </w:rPr>
        <w:lastRenderedPageBreak/>
        <w:t>In that job, she primarily entered warrants</w:t>
      </w:r>
      <w:r>
        <w:rPr>
          <w:rFonts w:ascii="Times New Roman" w:hAnsi="Times New Roman"/>
          <w:sz w:val="24"/>
          <w:szCs w:val="24"/>
        </w:rPr>
        <w:t xml:space="preserve"> </w:t>
      </w:r>
      <w:r w:rsidRPr="00AB520F">
        <w:rPr>
          <w:rFonts w:ascii="Times New Roman" w:hAnsi="Times New Roman"/>
          <w:sz w:val="24"/>
          <w:szCs w:val="24"/>
        </w:rPr>
        <w:t>and protective orders into the LCSO’s data system. But she was also expected to continue</w:t>
      </w:r>
      <w:r>
        <w:rPr>
          <w:rFonts w:ascii="Times New Roman" w:hAnsi="Times New Roman"/>
          <w:sz w:val="24"/>
          <w:szCs w:val="24"/>
        </w:rPr>
        <w:t xml:space="preserve"> </w:t>
      </w:r>
      <w:r w:rsidRPr="00AB520F">
        <w:rPr>
          <w:rFonts w:ascii="Times New Roman" w:hAnsi="Times New Roman"/>
          <w:sz w:val="24"/>
          <w:szCs w:val="24"/>
        </w:rPr>
        <w:t>performing dispatch duties when needed.</w:t>
      </w:r>
    </w:p>
    <w:p w14:paraId="341336B6" w14:textId="77777777" w:rsidR="005E544B" w:rsidRPr="00AB520F" w:rsidRDefault="005E544B" w:rsidP="005E544B">
      <w:pPr>
        <w:pStyle w:val="NoSpacing"/>
        <w:rPr>
          <w:rFonts w:ascii="Times New Roman" w:hAnsi="Times New Roman"/>
          <w:sz w:val="24"/>
          <w:szCs w:val="24"/>
        </w:rPr>
      </w:pPr>
    </w:p>
    <w:p w14:paraId="6026C1A0" w14:textId="77777777" w:rsidR="005E544B" w:rsidRPr="00AB520F" w:rsidRDefault="005E544B" w:rsidP="005E544B">
      <w:pPr>
        <w:pStyle w:val="NoSpacing"/>
        <w:ind w:firstLine="720"/>
        <w:rPr>
          <w:rFonts w:ascii="Times New Roman" w:hAnsi="Times New Roman"/>
          <w:sz w:val="24"/>
          <w:szCs w:val="24"/>
        </w:rPr>
      </w:pPr>
      <w:r w:rsidRPr="00AB520F">
        <w:rPr>
          <w:rFonts w:ascii="Times New Roman" w:hAnsi="Times New Roman"/>
          <w:sz w:val="24"/>
          <w:szCs w:val="24"/>
        </w:rPr>
        <w:t>After a bipolar episode severe enough to warrant an extended leave, Hunt attempted to</w:t>
      </w:r>
    </w:p>
    <w:p w14:paraId="49DF0B57" w14:textId="77777777" w:rsidR="005E544B" w:rsidRDefault="005E544B" w:rsidP="005E544B">
      <w:pPr>
        <w:pStyle w:val="NoSpacing"/>
        <w:ind w:left="720"/>
        <w:rPr>
          <w:rFonts w:ascii="Times New Roman" w:hAnsi="Times New Roman"/>
          <w:sz w:val="24"/>
          <w:szCs w:val="24"/>
        </w:rPr>
      </w:pPr>
      <w:r w:rsidRPr="00AB520F">
        <w:rPr>
          <w:rFonts w:ascii="Times New Roman" w:hAnsi="Times New Roman"/>
          <w:sz w:val="24"/>
          <w:szCs w:val="24"/>
        </w:rPr>
        <w:t>return to work. She requested that she no longer be required to perform dispatch duties because</w:t>
      </w:r>
      <w:r>
        <w:rPr>
          <w:rFonts w:ascii="Times New Roman" w:hAnsi="Times New Roman"/>
          <w:sz w:val="24"/>
          <w:szCs w:val="24"/>
        </w:rPr>
        <w:t xml:space="preserve"> </w:t>
      </w:r>
      <w:r w:rsidRPr="00AB520F">
        <w:rPr>
          <w:rFonts w:ascii="Times New Roman" w:hAnsi="Times New Roman"/>
          <w:sz w:val="24"/>
          <w:szCs w:val="24"/>
        </w:rPr>
        <w:t>of the stress of that task. After the LCSO rejected her request, Hunt sued for violations of the</w:t>
      </w:r>
      <w:r>
        <w:rPr>
          <w:rFonts w:ascii="Times New Roman" w:hAnsi="Times New Roman"/>
          <w:sz w:val="24"/>
          <w:szCs w:val="24"/>
        </w:rPr>
        <w:t xml:space="preserve"> </w:t>
      </w:r>
      <w:r w:rsidRPr="00AB520F">
        <w:rPr>
          <w:rFonts w:ascii="Times New Roman" w:hAnsi="Times New Roman"/>
          <w:sz w:val="24"/>
          <w:szCs w:val="24"/>
        </w:rPr>
        <w:t>Americans with Disabilities Act (ADA) and Family and Medical Leave Act (FMLA).</w:t>
      </w:r>
    </w:p>
    <w:p w14:paraId="0CC2D7E2" w14:textId="77777777" w:rsidR="005E544B" w:rsidRDefault="005E544B" w:rsidP="005E544B">
      <w:pPr>
        <w:pStyle w:val="NoSpacing"/>
        <w:rPr>
          <w:rFonts w:ascii="Times New Roman" w:hAnsi="Times New Roman"/>
          <w:sz w:val="24"/>
          <w:szCs w:val="24"/>
        </w:rPr>
      </w:pPr>
    </w:p>
    <w:p w14:paraId="29E0B353" w14:textId="77777777" w:rsidR="005E544B" w:rsidRDefault="005E544B" w:rsidP="005E544B">
      <w:pPr>
        <w:pStyle w:val="NoSpacing"/>
        <w:ind w:left="720"/>
        <w:rPr>
          <w:rFonts w:ascii="Times New Roman" w:hAnsi="Times New Roman"/>
          <w:sz w:val="24"/>
          <w:szCs w:val="24"/>
        </w:rPr>
      </w:pPr>
      <w:r w:rsidRPr="00772425">
        <w:rPr>
          <w:rFonts w:ascii="Times New Roman" w:hAnsi="Times New Roman"/>
          <w:sz w:val="24"/>
          <w:szCs w:val="24"/>
        </w:rPr>
        <w:t>This appeal comes down to one question: whether dispatch duties are an essential function</w:t>
      </w:r>
      <w:r>
        <w:rPr>
          <w:rFonts w:ascii="Times New Roman" w:hAnsi="Times New Roman"/>
          <w:sz w:val="24"/>
          <w:szCs w:val="24"/>
        </w:rPr>
        <w:t xml:space="preserve"> </w:t>
      </w:r>
      <w:r w:rsidRPr="00772425">
        <w:rPr>
          <w:rFonts w:ascii="Times New Roman" w:hAnsi="Times New Roman"/>
          <w:sz w:val="24"/>
          <w:szCs w:val="24"/>
        </w:rPr>
        <w:t>of Hunt’s position as a Dispatcher-Data Entry Specialist. The district court determined that they</w:t>
      </w:r>
      <w:r>
        <w:rPr>
          <w:rFonts w:ascii="Times New Roman" w:hAnsi="Times New Roman"/>
          <w:sz w:val="24"/>
          <w:szCs w:val="24"/>
        </w:rPr>
        <w:t xml:space="preserve"> </w:t>
      </w:r>
      <w:r w:rsidRPr="00772425">
        <w:rPr>
          <w:rFonts w:ascii="Times New Roman" w:hAnsi="Times New Roman"/>
          <w:sz w:val="24"/>
          <w:szCs w:val="24"/>
        </w:rPr>
        <w:t>are and thus held that Hunt was not a qualified individual under the ADA. Accordingly, she was</w:t>
      </w:r>
      <w:r>
        <w:rPr>
          <w:rFonts w:ascii="Times New Roman" w:hAnsi="Times New Roman"/>
          <w:sz w:val="24"/>
          <w:szCs w:val="24"/>
        </w:rPr>
        <w:t xml:space="preserve"> </w:t>
      </w:r>
      <w:r w:rsidRPr="00772425">
        <w:rPr>
          <w:rFonts w:ascii="Times New Roman" w:hAnsi="Times New Roman"/>
          <w:sz w:val="24"/>
          <w:szCs w:val="24"/>
        </w:rPr>
        <w:t xml:space="preserve">not entitled to </w:t>
      </w:r>
      <w:proofErr w:type="gramStart"/>
      <w:r w:rsidRPr="00772425">
        <w:rPr>
          <w:rFonts w:ascii="Times New Roman" w:hAnsi="Times New Roman"/>
          <w:sz w:val="24"/>
          <w:szCs w:val="24"/>
        </w:rPr>
        <w:t>the ADA’s</w:t>
      </w:r>
      <w:proofErr w:type="gramEnd"/>
      <w:r w:rsidRPr="00772425">
        <w:rPr>
          <w:rFonts w:ascii="Times New Roman" w:hAnsi="Times New Roman"/>
          <w:sz w:val="24"/>
          <w:szCs w:val="24"/>
        </w:rPr>
        <w:t xml:space="preserve"> protections, or related FMLA protections. For reasons that follow, we</w:t>
      </w:r>
      <w:r>
        <w:rPr>
          <w:rFonts w:ascii="Times New Roman" w:hAnsi="Times New Roman"/>
          <w:sz w:val="24"/>
          <w:szCs w:val="24"/>
        </w:rPr>
        <w:t xml:space="preserve"> </w:t>
      </w:r>
      <w:r w:rsidRPr="00772425">
        <w:rPr>
          <w:rFonts w:ascii="Times New Roman" w:hAnsi="Times New Roman"/>
          <w:sz w:val="24"/>
          <w:szCs w:val="24"/>
        </w:rPr>
        <w:t>agree with the district court and therefore AFFIRM.</w:t>
      </w:r>
    </w:p>
    <w:p w14:paraId="2C4C2FCD" w14:textId="77777777" w:rsidR="005E544B" w:rsidRDefault="005E544B" w:rsidP="005E544B">
      <w:pPr>
        <w:pStyle w:val="NoSpacing"/>
        <w:ind w:left="720"/>
        <w:rPr>
          <w:rFonts w:ascii="Times New Roman" w:hAnsi="Times New Roman"/>
          <w:sz w:val="24"/>
          <w:szCs w:val="24"/>
        </w:rPr>
      </w:pPr>
    </w:p>
    <w:p w14:paraId="01D28B3E" w14:textId="77777777" w:rsidR="005E544B" w:rsidRDefault="005E544B" w:rsidP="005E544B">
      <w:pPr>
        <w:pStyle w:val="NoSpacing"/>
        <w:ind w:left="720"/>
        <w:rPr>
          <w:rFonts w:ascii="Times New Roman" w:hAnsi="Times New Roman"/>
          <w:sz w:val="24"/>
          <w:szCs w:val="24"/>
        </w:rPr>
      </w:pPr>
      <w:r>
        <w:rPr>
          <w:rFonts w:ascii="Times New Roman" w:hAnsi="Times New Roman"/>
          <w:sz w:val="24"/>
          <w:szCs w:val="24"/>
        </w:rPr>
        <w:t>***</w:t>
      </w:r>
    </w:p>
    <w:p w14:paraId="05346CBE" w14:textId="77777777" w:rsidR="005E544B" w:rsidRPr="00CB05B4" w:rsidRDefault="005E544B" w:rsidP="005E544B">
      <w:pPr>
        <w:pStyle w:val="NoSpacing"/>
        <w:ind w:left="720"/>
        <w:rPr>
          <w:rFonts w:ascii="Times New Roman" w:hAnsi="Times New Roman"/>
          <w:sz w:val="24"/>
          <w:szCs w:val="24"/>
        </w:rPr>
      </w:pPr>
      <w:r w:rsidRPr="00CB05B4">
        <w:rPr>
          <w:rFonts w:ascii="Times New Roman" w:hAnsi="Times New Roman"/>
          <w:sz w:val="24"/>
          <w:szCs w:val="24"/>
        </w:rPr>
        <w:t>Hunt’s FMLA-interference claim fails for the same reason her ADA claim fails. That is,</w:t>
      </w:r>
    </w:p>
    <w:p w14:paraId="473C76BD" w14:textId="77777777" w:rsidR="005E544B" w:rsidRDefault="005E544B" w:rsidP="005E544B">
      <w:pPr>
        <w:pStyle w:val="NoSpacing"/>
        <w:ind w:left="720"/>
        <w:rPr>
          <w:rFonts w:ascii="Times New Roman" w:hAnsi="Times New Roman"/>
          <w:sz w:val="24"/>
          <w:szCs w:val="24"/>
        </w:rPr>
      </w:pPr>
      <w:r w:rsidRPr="00CB05B4">
        <w:rPr>
          <w:rFonts w:ascii="Times New Roman" w:hAnsi="Times New Roman"/>
          <w:sz w:val="24"/>
          <w:szCs w:val="24"/>
        </w:rPr>
        <w:t>because Hunt was not released to perform the essential functions of her position at the end of her</w:t>
      </w:r>
      <w:r>
        <w:rPr>
          <w:rFonts w:ascii="Times New Roman" w:hAnsi="Times New Roman"/>
          <w:sz w:val="24"/>
          <w:szCs w:val="24"/>
        </w:rPr>
        <w:t xml:space="preserve"> </w:t>
      </w:r>
      <w:r w:rsidRPr="00CB05B4">
        <w:rPr>
          <w:rFonts w:ascii="Times New Roman" w:hAnsi="Times New Roman"/>
          <w:sz w:val="24"/>
          <w:szCs w:val="24"/>
        </w:rPr>
        <w:t>FMLA leave (i.e., dispatch duties), the LCSO did not deny Hunt any benefits to which she was</w:t>
      </w:r>
      <w:r>
        <w:rPr>
          <w:rFonts w:ascii="Times New Roman" w:hAnsi="Times New Roman"/>
          <w:sz w:val="24"/>
          <w:szCs w:val="24"/>
        </w:rPr>
        <w:t xml:space="preserve"> </w:t>
      </w:r>
      <w:r w:rsidRPr="00CB05B4">
        <w:rPr>
          <w:rFonts w:ascii="Times New Roman" w:hAnsi="Times New Roman"/>
          <w:sz w:val="24"/>
          <w:szCs w:val="24"/>
        </w:rPr>
        <w:t xml:space="preserve">otherwise </w:t>
      </w:r>
      <w:proofErr w:type="gramStart"/>
      <w:r w:rsidRPr="00CB05B4">
        <w:rPr>
          <w:rFonts w:ascii="Times New Roman" w:hAnsi="Times New Roman"/>
          <w:sz w:val="24"/>
          <w:szCs w:val="24"/>
        </w:rPr>
        <w:t>entitled.</w:t>
      </w:r>
      <w:r>
        <w:rPr>
          <w:rFonts w:ascii="Times New Roman" w:hAnsi="Times New Roman"/>
          <w:sz w:val="24"/>
          <w:szCs w:val="24"/>
        </w:rPr>
        <w:t>”</w:t>
      </w:r>
      <w:proofErr w:type="gramEnd"/>
    </w:p>
    <w:p w14:paraId="75A40697" w14:textId="77777777" w:rsidR="005E544B" w:rsidRDefault="005E544B" w:rsidP="005E544B">
      <w:pPr>
        <w:pStyle w:val="NoSpacing"/>
        <w:ind w:left="720"/>
        <w:rPr>
          <w:rFonts w:ascii="Times New Roman" w:hAnsi="Times New Roman"/>
          <w:sz w:val="24"/>
          <w:szCs w:val="24"/>
        </w:rPr>
      </w:pPr>
      <w:r>
        <w:rPr>
          <w:rFonts w:ascii="Times New Roman" w:hAnsi="Times New Roman"/>
          <w:sz w:val="24"/>
          <w:szCs w:val="24"/>
        </w:rPr>
        <w:t xml:space="preserve"> </w:t>
      </w:r>
      <w:hyperlink r:id="rId1688" w:history="1">
        <w:r w:rsidRPr="001C375D">
          <w:rPr>
            <w:rStyle w:val="Hyperlink"/>
            <w:rFonts w:ascii="Times New Roman" w:hAnsi="Times New Roman"/>
            <w:sz w:val="24"/>
            <w:szCs w:val="24"/>
          </w:rPr>
          <w:t>https://cases.justia.com/federal/appellate-courts/ca6/23-3459/23-3459-2024-03-18.pdf?ts=1710795630</w:t>
        </w:r>
      </w:hyperlink>
      <w:r>
        <w:rPr>
          <w:rFonts w:ascii="Times New Roman" w:hAnsi="Times New Roman"/>
          <w:sz w:val="24"/>
          <w:szCs w:val="24"/>
        </w:rPr>
        <w:t xml:space="preserve"> </w:t>
      </w:r>
    </w:p>
    <w:p w14:paraId="309DCCE3" w14:textId="77777777" w:rsidR="005E544B" w:rsidRDefault="005E544B" w:rsidP="005E544B">
      <w:pPr>
        <w:pStyle w:val="NoSpacing"/>
        <w:ind w:left="720"/>
        <w:rPr>
          <w:rFonts w:ascii="Times New Roman" w:hAnsi="Times New Roman"/>
          <w:sz w:val="24"/>
          <w:szCs w:val="24"/>
        </w:rPr>
      </w:pPr>
    </w:p>
    <w:p w14:paraId="46E2D0DD" w14:textId="77777777" w:rsidR="005E544B" w:rsidRDefault="005E544B" w:rsidP="005E544B">
      <w:pPr>
        <w:pStyle w:val="NoSpacing"/>
        <w:ind w:left="720"/>
        <w:rPr>
          <w:rFonts w:ascii="Times New Roman" w:hAnsi="Times New Roman"/>
          <w:sz w:val="24"/>
          <w:szCs w:val="24"/>
        </w:rPr>
      </w:pPr>
    </w:p>
    <w:p w14:paraId="06738787" w14:textId="77777777" w:rsidR="005E544B" w:rsidRDefault="005E544B" w:rsidP="005E544B">
      <w:pPr>
        <w:pStyle w:val="NoSpacing"/>
        <w:rPr>
          <w:rFonts w:ascii="Times New Roman" w:hAnsi="Times New Roman"/>
          <w:sz w:val="24"/>
          <w:szCs w:val="24"/>
        </w:rPr>
      </w:pPr>
      <w:r>
        <w:rPr>
          <w:rFonts w:ascii="Times New Roman" w:hAnsi="Times New Roman"/>
          <w:sz w:val="24"/>
          <w:szCs w:val="24"/>
        </w:rPr>
        <w:t xml:space="preserve">DISSENT – JUDGE HELEN N. WHITE: </w:t>
      </w:r>
    </w:p>
    <w:p w14:paraId="19230656" w14:textId="77777777" w:rsidR="005E544B" w:rsidRDefault="005E544B" w:rsidP="005E544B">
      <w:pPr>
        <w:pStyle w:val="NoSpacing"/>
        <w:ind w:left="720"/>
        <w:rPr>
          <w:rFonts w:ascii="Times New Roman" w:hAnsi="Times New Roman"/>
          <w:sz w:val="24"/>
          <w:szCs w:val="24"/>
        </w:rPr>
      </w:pPr>
      <w:r>
        <w:rPr>
          <w:rFonts w:ascii="Times New Roman" w:hAnsi="Times New Roman"/>
          <w:sz w:val="24"/>
          <w:szCs w:val="24"/>
        </w:rPr>
        <w:t>“</w:t>
      </w:r>
      <w:r w:rsidRPr="00A30B7B">
        <w:rPr>
          <w:rFonts w:ascii="Times New Roman" w:hAnsi="Times New Roman"/>
          <w:sz w:val="24"/>
          <w:szCs w:val="24"/>
        </w:rPr>
        <w:t>When Charity Hunt served as the LCSO’s</w:t>
      </w:r>
      <w:r>
        <w:rPr>
          <w:rFonts w:ascii="Times New Roman" w:hAnsi="Times New Roman"/>
          <w:sz w:val="24"/>
          <w:szCs w:val="24"/>
        </w:rPr>
        <w:t xml:space="preserve"> </w:t>
      </w:r>
      <w:r w:rsidRPr="00A30B7B">
        <w:rPr>
          <w:rFonts w:ascii="Times New Roman" w:hAnsi="Times New Roman"/>
          <w:sz w:val="24"/>
          <w:szCs w:val="24"/>
        </w:rPr>
        <w:t>Dispatcher-Data Entry Specialist, dispatching emergency personnel was a virtually nonexistent</w:t>
      </w:r>
      <w:r>
        <w:rPr>
          <w:rFonts w:ascii="Times New Roman" w:hAnsi="Times New Roman"/>
          <w:sz w:val="24"/>
          <w:szCs w:val="24"/>
        </w:rPr>
        <w:t xml:space="preserve"> </w:t>
      </w:r>
      <w:r w:rsidRPr="00A30B7B">
        <w:rPr>
          <w:rFonts w:ascii="Times New Roman" w:hAnsi="Times New Roman"/>
          <w:sz w:val="24"/>
          <w:szCs w:val="24"/>
        </w:rPr>
        <w:t>element of her day-to-day duties</w:t>
      </w:r>
      <w:r>
        <w:rPr>
          <w:rFonts w:ascii="Times New Roman" w:hAnsi="Times New Roman"/>
          <w:sz w:val="24"/>
          <w:szCs w:val="24"/>
        </w:rPr>
        <w:t>.</w:t>
      </w:r>
    </w:p>
    <w:p w14:paraId="6FB6BEDF" w14:textId="77777777" w:rsidR="005E544B" w:rsidRDefault="005E544B" w:rsidP="005E544B">
      <w:pPr>
        <w:pStyle w:val="NoSpacing"/>
        <w:ind w:left="720"/>
        <w:rPr>
          <w:rFonts w:ascii="Times New Roman" w:hAnsi="Times New Roman"/>
          <w:sz w:val="24"/>
          <w:szCs w:val="24"/>
        </w:rPr>
      </w:pPr>
    </w:p>
    <w:p w14:paraId="50C5629A" w14:textId="77777777" w:rsidR="005E544B" w:rsidRDefault="005E544B" w:rsidP="005E544B">
      <w:pPr>
        <w:pStyle w:val="NoSpacing"/>
        <w:ind w:left="720"/>
        <w:rPr>
          <w:rFonts w:ascii="Times New Roman" w:hAnsi="Times New Roman"/>
          <w:sz w:val="24"/>
          <w:szCs w:val="24"/>
        </w:rPr>
      </w:pPr>
      <w:r>
        <w:rPr>
          <w:rFonts w:ascii="Times New Roman" w:hAnsi="Times New Roman"/>
          <w:sz w:val="24"/>
          <w:szCs w:val="24"/>
        </w:rPr>
        <w:t>***</w:t>
      </w:r>
    </w:p>
    <w:p w14:paraId="3F6495DF" w14:textId="77777777" w:rsidR="005E544B" w:rsidRDefault="005E544B" w:rsidP="005E544B">
      <w:pPr>
        <w:pStyle w:val="NoSpacing"/>
        <w:rPr>
          <w:rFonts w:ascii="Times New Roman" w:hAnsi="Times New Roman"/>
          <w:sz w:val="24"/>
          <w:szCs w:val="24"/>
        </w:rPr>
      </w:pPr>
    </w:p>
    <w:p w14:paraId="10D66362" w14:textId="77777777" w:rsidR="005E544B" w:rsidRDefault="005E544B" w:rsidP="005E544B">
      <w:pPr>
        <w:pStyle w:val="NoSpacing"/>
        <w:ind w:left="720"/>
        <w:rPr>
          <w:rFonts w:ascii="Times New Roman" w:hAnsi="Times New Roman"/>
          <w:sz w:val="24"/>
          <w:szCs w:val="24"/>
        </w:rPr>
      </w:pPr>
      <w:r w:rsidRPr="0039710A">
        <w:rPr>
          <w:rFonts w:ascii="Times New Roman" w:hAnsi="Times New Roman"/>
          <w:sz w:val="24"/>
          <w:szCs w:val="24"/>
        </w:rPr>
        <w:t>The LCSO knew that Hunt suffered</w:t>
      </w:r>
      <w:r>
        <w:rPr>
          <w:rFonts w:ascii="Times New Roman" w:hAnsi="Times New Roman"/>
          <w:sz w:val="24"/>
          <w:szCs w:val="24"/>
        </w:rPr>
        <w:t xml:space="preserve"> </w:t>
      </w:r>
      <w:r w:rsidRPr="0039710A">
        <w:rPr>
          <w:rFonts w:ascii="Times New Roman" w:hAnsi="Times New Roman"/>
          <w:sz w:val="24"/>
          <w:szCs w:val="24"/>
        </w:rPr>
        <w:t>from anxiety and bipolar disorder and knew her limitations were caused by those conditions, yet</w:t>
      </w:r>
      <w:r>
        <w:rPr>
          <w:rFonts w:ascii="Times New Roman" w:hAnsi="Times New Roman"/>
          <w:sz w:val="24"/>
          <w:szCs w:val="24"/>
        </w:rPr>
        <w:t xml:space="preserve"> </w:t>
      </w:r>
      <w:r w:rsidRPr="0039710A">
        <w:rPr>
          <w:rFonts w:ascii="Times New Roman" w:hAnsi="Times New Roman"/>
          <w:sz w:val="24"/>
          <w:szCs w:val="24"/>
        </w:rPr>
        <w:t>it refused to work with Hunt on an accommodation—even after Hunt’s doctor approved her to</w:t>
      </w:r>
      <w:r>
        <w:rPr>
          <w:rFonts w:ascii="Times New Roman" w:hAnsi="Times New Roman"/>
          <w:sz w:val="24"/>
          <w:szCs w:val="24"/>
        </w:rPr>
        <w:t xml:space="preserve"> </w:t>
      </w:r>
      <w:r w:rsidRPr="0039710A">
        <w:rPr>
          <w:rFonts w:ascii="Times New Roman" w:hAnsi="Times New Roman"/>
          <w:sz w:val="24"/>
          <w:szCs w:val="24"/>
        </w:rPr>
        <w:t>perform call-taking duties. Thus, I believe that a reasonable jury could conclude that the LCSO</w:t>
      </w:r>
      <w:r>
        <w:rPr>
          <w:rFonts w:ascii="Times New Roman" w:hAnsi="Times New Roman"/>
          <w:sz w:val="24"/>
          <w:szCs w:val="24"/>
        </w:rPr>
        <w:t xml:space="preserve"> </w:t>
      </w:r>
      <w:r w:rsidRPr="0039710A">
        <w:rPr>
          <w:rFonts w:ascii="Times New Roman" w:hAnsi="Times New Roman"/>
          <w:sz w:val="24"/>
          <w:szCs w:val="24"/>
        </w:rPr>
        <w:t>failed to fulfill its duty to engage in an interactive accommodation process with Hunt.</w:t>
      </w:r>
      <w:r>
        <w:rPr>
          <w:rFonts w:ascii="Times New Roman" w:hAnsi="Times New Roman"/>
          <w:sz w:val="24"/>
          <w:szCs w:val="24"/>
        </w:rPr>
        <w:t>”</w:t>
      </w:r>
    </w:p>
    <w:p w14:paraId="0BAF5223" w14:textId="77777777" w:rsidR="005E544B" w:rsidRDefault="005E544B" w:rsidP="005E544B">
      <w:pPr>
        <w:pStyle w:val="NoSpacing"/>
        <w:ind w:left="720"/>
        <w:rPr>
          <w:rFonts w:ascii="Times New Roman" w:hAnsi="Times New Roman"/>
          <w:sz w:val="24"/>
          <w:szCs w:val="24"/>
        </w:rPr>
      </w:pPr>
    </w:p>
    <w:p w14:paraId="5FEED0A5" w14:textId="77777777" w:rsidR="005E544B" w:rsidRPr="001A7756" w:rsidRDefault="005E544B" w:rsidP="005E544B">
      <w:pPr>
        <w:pStyle w:val="NoSpacing"/>
        <w:rPr>
          <w:rFonts w:ascii="Times New Roman" w:hAnsi="Times New Roman"/>
          <w:b/>
          <w:bCs/>
          <w:sz w:val="24"/>
          <w:szCs w:val="24"/>
        </w:rPr>
      </w:pPr>
      <w:r w:rsidRPr="001A7756">
        <w:rPr>
          <w:rFonts w:ascii="Times New Roman" w:hAnsi="Times New Roman"/>
          <w:b/>
          <w:bCs/>
          <w:sz w:val="24"/>
          <w:szCs w:val="24"/>
        </w:rPr>
        <w:t>Legal Lesson Learned:</w:t>
      </w:r>
      <w:r>
        <w:rPr>
          <w:rFonts w:ascii="Times New Roman" w:hAnsi="Times New Roman"/>
          <w:b/>
          <w:bCs/>
          <w:sz w:val="24"/>
          <w:szCs w:val="24"/>
        </w:rPr>
        <w:t xml:space="preserve"> Under ADA, an employee seeking accommodation must still be able to perform the essential functions of the job. </w:t>
      </w:r>
    </w:p>
    <w:p w14:paraId="67C7322A" w14:textId="77777777" w:rsidR="005E544B" w:rsidRPr="003255F2" w:rsidRDefault="005E544B" w:rsidP="005E544B">
      <w:pPr>
        <w:pStyle w:val="NoSpacing"/>
        <w:rPr>
          <w:rFonts w:ascii="Times New Roman" w:hAnsi="Times New Roman"/>
          <w:sz w:val="24"/>
          <w:szCs w:val="24"/>
        </w:rPr>
      </w:pPr>
    </w:p>
    <w:p w14:paraId="5FDC687F" w14:textId="77777777" w:rsidR="005E544B" w:rsidRDefault="005E544B" w:rsidP="005E544B">
      <w:pPr>
        <w:pStyle w:val="NormalWeb"/>
        <w:spacing w:before="0" w:beforeAutospacing="0"/>
        <w:jc w:val="center"/>
      </w:pPr>
    </w:p>
    <w:p w14:paraId="25A1B7EA" w14:textId="77777777" w:rsidR="005E544B" w:rsidRDefault="005E544B" w:rsidP="005E544B">
      <w:pPr>
        <w:spacing w:before="100" w:beforeAutospacing="1" w:after="100" w:afterAutospacing="1" w:line="240" w:lineRule="auto"/>
        <w:outlineLvl w:val="0"/>
        <w:rPr>
          <w:rFonts w:ascii="Times New Roman" w:eastAsia="Times New Roman" w:hAnsi="Times New Roman"/>
          <w:b/>
          <w:bCs/>
          <w:kern w:val="36"/>
          <w:sz w:val="48"/>
          <w:szCs w:val="48"/>
        </w:rPr>
      </w:pPr>
    </w:p>
    <w:p w14:paraId="4279CC4C" w14:textId="31277397" w:rsidR="005E544B" w:rsidRDefault="005E544B" w:rsidP="005E544B">
      <w:pPr>
        <w:pStyle w:val="NoSpacing"/>
        <w:rPr>
          <w:rFonts w:ascii="Arial Black" w:hAnsi="Arial Black"/>
          <w:sz w:val="24"/>
          <w:szCs w:val="24"/>
        </w:rPr>
      </w:pPr>
      <w:r>
        <w:rPr>
          <w:rFonts w:ascii="Arial Black" w:hAnsi="Arial Black"/>
          <w:sz w:val="24"/>
          <w:szCs w:val="24"/>
        </w:rPr>
        <w:t>9-43</w:t>
      </w:r>
    </w:p>
    <w:p w14:paraId="15A12333" w14:textId="0C42568D" w:rsidR="005E544B" w:rsidRPr="00EF37D9" w:rsidRDefault="005E544B" w:rsidP="005E544B">
      <w:pPr>
        <w:pStyle w:val="NormalWeb"/>
        <w:rPr>
          <w:rFonts w:ascii="Arial Black" w:hAnsi="Arial Black"/>
          <w:sz w:val="28"/>
          <w:szCs w:val="28"/>
        </w:rPr>
      </w:pPr>
      <w:r>
        <w:rPr>
          <w:rFonts w:ascii="Arial Black" w:hAnsi="Arial Black"/>
          <w:sz w:val="28"/>
          <w:szCs w:val="28"/>
        </w:rPr>
        <w:t>MD: VOL. FF IN PA WITH COCHLEAR IMPLANT / SCBA COOLING MASK – SEEKS VOL. MARYLAND - CASE PROCEED</w:t>
      </w:r>
    </w:p>
    <w:p w14:paraId="61D0246E" w14:textId="77777777" w:rsidR="005E544B" w:rsidRDefault="005E544B" w:rsidP="005E544B">
      <w:pPr>
        <w:pStyle w:val="NormalWeb"/>
      </w:pPr>
      <w:r>
        <w:t xml:space="preserve">On March 1, 2024, in </w:t>
      </w:r>
      <w:r w:rsidRPr="005858BF">
        <w:rPr>
          <w:u w:val="single"/>
        </w:rPr>
        <w:t>Charles Hine v. Prince George’s County, Maryland</w:t>
      </w:r>
      <w:r>
        <w:t xml:space="preserve">, United States District Court Judge Theodore D. Chuang, U.S. District Court for Maryland, denied motions for summary judgment for both parties; the County offered the firefighter an administrative position which he understandably rejected.  </w:t>
      </w:r>
    </w:p>
    <w:p w14:paraId="7158740B"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0912860D" w14:textId="77777777" w:rsidR="005E544B" w:rsidRDefault="005E544B" w:rsidP="005E544B">
      <w:pPr>
        <w:pStyle w:val="NormalWeb"/>
        <w:ind w:left="720"/>
      </w:pPr>
      <w:r>
        <w:lastRenderedPageBreak/>
        <w:t xml:space="preserve">“Here, there is no serious dispute that the County rejected Hine's application based on the results of Hine's medical examination and Concentra's determination, based on his self-reported hearing test results, that he did not meet the NFPA hearing standard. There is also no material dispute that, although Hine requested an individualized assessment of whether, despite that hearing test score, he could still perform the job of an operational firefighter, no such individualized assessment occurred. Accordingly, the County's absolute reliance on the results of a medical examination or a general policy without conducting an individualized assessment of whether Hine could </w:t>
      </w:r>
      <w:proofErr w:type="gramStart"/>
      <w:r>
        <w:t>actually perform</w:t>
      </w:r>
      <w:proofErr w:type="gramEnd"/>
      <w:r>
        <w:t xml:space="preserve"> the job with </w:t>
      </w:r>
      <w:proofErr w:type="gramStart"/>
      <w:r>
        <w:t>a reasonable</w:t>
      </w:r>
      <w:proofErr w:type="gramEnd"/>
      <w:r>
        <w:t xml:space="preserve"> accommodation runs contrary to the requirements of the ADA. </w:t>
      </w:r>
      <w:r>
        <w:rPr>
          <w:rStyle w:val="Emphasis"/>
          <w:rFonts w:eastAsiaTheme="majorEastAsia"/>
        </w:rPr>
        <w:t>See, e.g., PGA Tour, Inc.,</w:t>
      </w:r>
      <w:r>
        <w:t xml:space="preserve"> 532 U.S. at 690; </w:t>
      </w:r>
      <w:r>
        <w:rPr>
          <w:rStyle w:val="Emphasis"/>
          <w:rFonts w:eastAsiaTheme="majorEastAsia"/>
        </w:rPr>
        <w:t>Gillen,</w:t>
      </w:r>
      <w:r>
        <w:t xml:space="preserve"> 283 F.3d at 29; </w:t>
      </w:r>
      <w:r>
        <w:rPr>
          <w:rStyle w:val="Emphasis"/>
          <w:rFonts w:eastAsiaTheme="majorEastAsia"/>
        </w:rPr>
        <w:t>Rodriguez,</w:t>
      </w:r>
      <w:r>
        <w:t xml:space="preserve"> 436 F.3d at 482.</w:t>
      </w:r>
    </w:p>
    <w:p w14:paraId="26AD5E64" w14:textId="77777777" w:rsidR="005E544B" w:rsidRDefault="005E544B" w:rsidP="005E544B">
      <w:pPr>
        <w:pStyle w:val="NormalWeb"/>
        <w:ind w:left="720"/>
      </w:pPr>
      <w:r>
        <w:t>***</w:t>
      </w:r>
    </w:p>
    <w:p w14:paraId="640AE89C" w14:textId="77777777" w:rsidR="005E544B" w:rsidRDefault="005E544B" w:rsidP="005E544B">
      <w:pPr>
        <w:pStyle w:val="NormalWeb"/>
        <w:ind w:left="720"/>
      </w:pPr>
      <w:r>
        <w:t>Thus, regardless of whether the County imposed a discriminatory blanket policy or failed to engage in an individualized inquiry, Hine is entitled to a finding of liability only if he establishes that he was a qualified individual, which in turn requires a determination that he could perform the essential functions of an operational firefighter with or without a reasonable accommodation.”</w:t>
      </w:r>
    </w:p>
    <w:p w14:paraId="0CAEC63C" w14:textId="77777777" w:rsidR="005E544B" w:rsidRDefault="005E544B" w:rsidP="005E544B">
      <w:pPr>
        <w:pStyle w:val="NormalWeb"/>
        <w:rPr>
          <w:b/>
          <w:bCs/>
        </w:rPr>
      </w:pPr>
      <w:r w:rsidRPr="00155B26">
        <w:rPr>
          <w:b/>
          <w:bCs/>
        </w:rPr>
        <w:t xml:space="preserve">Legal Lesson Learned: </w:t>
      </w:r>
      <w:r>
        <w:rPr>
          <w:b/>
          <w:bCs/>
        </w:rPr>
        <w:t xml:space="preserve">Pre-trial discovery will now proceed; employers cannot simply rely on NFPA to turn down an applicant without an individualized assessment. </w:t>
      </w:r>
    </w:p>
    <w:p w14:paraId="52303003" w14:textId="77777777" w:rsidR="005E544B" w:rsidRDefault="005E544B" w:rsidP="005C30A4">
      <w:pPr>
        <w:pStyle w:val="NoSpacing"/>
        <w:rPr>
          <w:rFonts w:ascii="Arial Black" w:hAnsi="Arial Black"/>
          <w:sz w:val="24"/>
          <w:szCs w:val="24"/>
        </w:rPr>
      </w:pPr>
    </w:p>
    <w:p w14:paraId="3D594ADE" w14:textId="77777777" w:rsidR="005E544B" w:rsidRDefault="005E544B" w:rsidP="005C30A4">
      <w:pPr>
        <w:pStyle w:val="NoSpacing"/>
        <w:rPr>
          <w:rFonts w:ascii="Arial Black" w:hAnsi="Arial Black"/>
          <w:sz w:val="24"/>
          <w:szCs w:val="24"/>
        </w:rPr>
      </w:pPr>
    </w:p>
    <w:p w14:paraId="1E59C0DF" w14:textId="77777777" w:rsidR="005E544B" w:rsidRDefault="005E544B" w:rsidP="005C30A4">
      <w:pPr>
        <w:pStyle w:val="NoSpacing"/>
        <w:rPr>
          <w:rFonts w:ascii="Arial Black" w:hAnsi="Arial Black"/>
          <w:sz w:val="24"/>
          <w:szCs w:val="24"/>
        </w:rPr>
      </w:pPr>
    </w:p>
    <w:p w14:paraId="17BE4733" w14:textId="517BF4D0" w:rsidR="007B3AE4" w:rsidRDefault="007B3AE4" w:rsidP="005C30A4">
      <w:pPr>
        <w:pStyle w:val="NoSpacing"/>
        <w:rPr>
          <w:rFonts w:ascii="Arial Black" w:hAnsi="Arial Black"/>
          <w:sz w:val="24"/>
          <w:szCs w:val="24"/>
        </w:rPr>
      </w:pPr>
      <w:r>
        <w:rPr>
          <w:rFonts w:ascii="Arial Black" w:hAnsi="Arial Black"/>
          <w:sz w:val="24"/>
          <w:szCs w:val="24"/>
        </w:rPr>
        <w:t>9-4</w:t>
      </w:r>
      <w:r w:rsidR="005E544B">
        <w:rPr>
          <w:rFonts w:ascii="Arial Black" w:hAnsi="Arial Black"/>
          <w:sz w:val="24"/>
          <w:szCs w:val="24"/>
        </w:rPr>
        <w:t>2</w:t>
      </w:r>
    </w:p>
    <w:p w14:paraId="39545A44" w14:textId="77777777" w:rsidR="007B3AE4" w:rsidRDefault="007B3AE4" w:rsidP="005C30A4">
      <w:pPr>
        <w:pStyle w:val="NoSpacing"/>
        <w:rPr>
          <w:rFonts w:ascii="Arial Black" w:hAnsi="Arial Black"/>
          <w:sz w:val="24"/>
          <w:szCs w:val="24"/>
        </w:rPr>
      </w:pPr>
    </w:p>
    <w:p w14:paraId="3B3EF512" w14:textId="34F52B50" w:rsidR="00DB5557" w:rsidRPr="00B510C3" w:rsidRDefault="00DB5557" w:rsidP="00DB5557">
      <w:pPr>
        <w:pStyle w:val="NormalWeb"/>
        <w:rPr>
          <w:rFonts w:ascii="Arial Black" w:hAnsi="Arial Black"/>
          <w:sz w:val="28"/>
          <w:szCs w:val="28"/>
        </w:rPr>
      </w:pPr>
      <w:r>
        <w:rPr>
          <w:rFonts w:ascii="Arial Black" w:hAnsi="Arial Black"/>
          <w:sz w:val="28"/>
          <w:szCs w:val="28"/>
        </w:rPr>
        <w:t xml:space="preserve">IL: ADA – DEPUTY CHIEF – IF EARN </w:t>
      </w:r>
      <w:r w:rsidR="009B38FF">
        <w:rPr>
          <w:rFonts w:ascii="Arial Black" w:hAnsi="Arial Black"/>
          <w:sz w:val="28"/>
          <w:szCs w:val="28"/>
        </w:rPr>
        <w:t>BACHELOR’S</w:t>
      </w:r>
      <w:r>
        <w:rPr>
          <w:rFonts w:ascii="Arial Black" w:hAnsi="Arial Black"/>
          <w:sz w:val="28"/>
          <w:szCs w:val="28"/>
        </w:rPr>
        <w:t xml:space="preserve"> DEGREE, PAY BUMP - REFUSED, HEART CONDITION – NO CASE</w:t>
      </w:r>
    </w:p>
    <w:p w14:paraId="794C7E2A" w14:textId="77777777" w:rsidR="00DB5557" w:rsidRDefault="00DB5557" w:rsidP="00DB5557">
      <w:pPr>
        <w:pStyle w:val="NormalWeb"/>
      </w:pPr>
      <w:r>
        <w:t xml:space="preserve">On Feb. 23, 2024, in </w:t>
      </w:r>
      <w:r w:rsidRPr="006C66EB">
        <w:rPr>
          <w:u w:val="single"/>
        </w:rPr>
        <w:t>Jeffrey Bruno v. Chasity Wells-Armstrong, James Ellexson, and City of Kankakee, Illinois</w:t>
      </w:r>
      <w:r>
        <w:t xml:space="preserve">, the U.S. Court of Appeals for the Seventh Circuit (Chicago) held (3 to 0) that trial court properly granted defense motion for summary judgment; attending college was not a requirement of his job and his request waive the college requirement to earn the pump in pay was not a request for reasonable accommodation. </w:t>
      </w:r>
    </w:p>
    <w:p w14:paraId="06910E2B" w14:textId="77777777" w:rsidR="00DB5557" w:rsidRDefault="00DB5557" w:rsidP="00DB5557">
      <w:pPr>
        <w:pStyle w:val="NormalWeb"/>
      </w:pPr>
      <w:r>
        <w:t>The Court held:</w:t>
      </w:r>
    </w:p>
    <w:p w14:paraId="05D9334F" w14:textId="77777777" w:rsidR="00DB5557" w:rsidRDefault="00DB5557" w:rsidP="00DB5557">
      <w:pPr>
        <w:pStyle w:val="NormalWeb"/>
        <w:ind w:left="720"/>
      </w:pPr>
      <w:r>
        <w:t xml:space="preserve">“Here, because the pay bump did not depend on Bruno performing his essential duties, the defendants did not have to provide an accommodation that enabled him to obtain it because doing so would have been awarding him compensation he did not earn-that was not a measure that enabled Bruno to work. </w:t>
      </w:r>
    </w:p>
    <w:p w14:paraId="78920D33" w14:textId="77777777" w:rsidR="00DB5557" w:rsidRDefault="00DB5557" w:rsidP="00DB5557">
      <w:pPr>
        <w:pStyle w:val="NormalWeb"/>
        <w:ind w:left="720"/>
      </w:pPr>
      <w:r>
        <w:t xml:space="preserve">Moreover, while the </w:t>
      </w:r>
      <w:proofErr w:type="gramStart"/>
      <w:r>
        <w:t>waiver</w:t>
      </w:r>
      <w:proofErr w:type="gramEnd"/>
      <w:r>
        <w:t xml:space="preserve"> would have entitled Bruno to more compensation without him having to jeopardize his health, it would not have impacted his ability to perform his job. Bruno conceded multiple times that-so long as he did not have to attend classes-he could perform the essential duties of his position without undermining his health and stressed that he had been performing satisfactorily without the pay bump. Attending college was not a requirement of his job. Bruno's request that he be compensated more for performing his essential duties because his health prevented him from attending and obtaining the pay bump was not a request for reasonable accommodation.” </w:t>
      </w:r>
      <w:hyperlink r:id="rId1689" w:history="1">
        <w:r w:rsidRPr="00644350">
          <w:rPr>
            <w:rStyle w:val="Hyperlink"/>
          </w:rPr>
          <w:t>https://casetext.com/case/bruno-v-wells-armstrong</w:t>
        </w:r>
      </w:hyperlink>
      <w:r>
        <w:t xml:space="preserve"> </w:t>
      </w:r>
    </w:p>
    <w:p w14:paraId="60E95DD3" w14:textId="77777777" w:rsidR="00DB5557" w:rsidRDefault="00DB5557" w:rsidP="00DB5557">
      <w:pPr>
        <w:pStyle w:val="NormalWeb"/>
        <w:rPr>
          <w:b/>
          <w:bCs/>
        </w:rPr>
      </w:pPr>
      <w:r w:rsidRPr="00125715">
        <w:rPr>
          <w:b/>
          <w:bCs/>
        </w:rPr>
        <w:lastRenderedPageBreak/>
        <w:t>Legal Lesson Learned</w:t>
      </w:r>
      <w:r>
        <w:rPr>
          <w:b/>
          <w:bCs/>
        </w:rPr>
        <w:t xml:space="preserve">: ADA claim fails because firefighter’s request to waive education condition was not a request for reasonable accommodation.  </w:t>
      </w:r>
    </w:p>
    <w:p w14:paraId="4CD43BBD" w14:textId="77777777" w:rsidR="007B3AE4" w:rsidRDefault="007B3AE4" w:rsidP="005C30A4">
      <w:pPr>
        <w:pStyle w:val="NoSpacing"/>
        <w:rPr>
          <w:rFonts w:ascii="Arial Black" w:hAnsi="Arial Black"/>
          <w:sz w:val="24"/>
          <w:szCs w:val="24"/>
        </w:rPr>
      </w:pPr>
    </w:p>
    <w:p w14:paraId="11B5C7FB" w14:textId="77777777" w:rsidR="007B3AE4" w:rsidRDefault="007B3AE4" w:rsidP="005C30A4">
      <w:pPr>
        <w:pStyle w:val="NoSpacing"/>
        <w:rPr>
          <w:rFonts w:ascii="Arial Black" w:hAnsi="Arial Black"/>
          <w:sz w:val="24"/>
          <w:szCs w:val="24"/>
        </w:rPr>
      </w:pPr>
    </w:p>
    <w:p w14:paraId="2E64F7F5" w14:textId="03185FFE" w:rsidR="00615F4E" w:rsidRDefault="00615F4E" w:rsidP="005C30A4">
      <w:pPr>
        <w:pStyle w:val="NoSpacing"/>
        <w:rPr>
          <w:rFonts w:ascii="Arial Black" w:hAnsi="Arial Black"/>
          <w:sz w:val="24"/>
          <w:szCs w:val="24"/>
        </w:rPr>
      </w:pPr>
      <w:r>
        <w:rPr>
          <w:rFonts w:ascii="Arial Black" w:hAnsi="Arial Black"/>
          <w:sz w:val="24"/>
          <w:szCs w:val="24"/>
        </w:rPr>
        <w:t>9-4</w:t>
      </w:r>
      <w:r w:rsidR="005E544B">
        <w:rPr>
          <w:rFonts w:ascii="Arial Black" w:hAnsi="Arial Black"/>
          <w:sz w:val="24"/>
          <w:szCs w:val="24"/>
        </w:rPr>
        <w:t>1</w:t>
      </w:r>
    </w:p>
    <w:p w14:paraId="4DB42664" w14:textId="77777777" w:rsidR="00615F4E" w:rsidRPr="001020C2" w:rsidRDefault="00615F4E" w:rsidP="00615F4E">
      <w:pPr>
        <w:pStyle w:val="NormalWeb"/>
        <w:rPr>
          <w:rFonts w:ascii="Arial Black" w:hAnsi="Arial Black"/>
          <w:sz w:val="28"/>
          <w:szCs w:val="28"/>
        </w:rPr>
      </w:pPr>
      <w:r>
        <w:rPr>
          <w:rFonts w:ascii="Arial Black" w:hAnsi="Arial Black"/>
          <w:sz w:val="28"/>
          <w:szCs w:val="28"/>
        </w:rPr>
        <w:t>MA: CAPTAIN – MARINE 50% DISABELED – NOT PROMOTED – ALLEGES CHIEF ANIMOSITY DISAB. VETS – CASE PROCEED</w:t>
      </w:r>
    </w:p>
    <w:p w14:paraId="1331A6DE" w14:textId="77777777" w:rsidR="00615F4E" w:rsidRDefault="00615F4E" w:rsidP="00615F4E">
      <w:pPr>
        <w:pStyle w:val="NormalWeb"/>
      </w:pPr>
      <w:r>
        <w:t xml:space="preserve">On Jan. 10, 2024, in </w:t>
      </w:r>
      <w:r w:rsidRPr="005E6561">
        <w:rPr>
          <w:u w:val="single"/>
        </w:rPr>
        <w:t>Pierre Grenier v. City of Springfield, et al</w:t>
      </w:r>
      <w:r>
        <w:t xml:space="preserve">., U.S. Magistrate Judge Katherine A. Robinson issued a Report &amp; Recommendation allowing case to proceed with pre-trial discovery regarding Captain’s allegation that Fire Commissioner had animosity against him because of his military service-connected disability (former Marine).  He was the only of six candidates not promoted to District Chief.  </w:t>
      </w:r>
    </w:p>
    <w:p w14:paraId="72DB52A2" w14:textId="77777777" w:rsidR="00615F4E" w:rsidRDefault="00615F4E" w:rsidP="00615F4E">
      <w:pPr>
        <w:pStyle w:val="NormalWeb"/>
        <w:ind w:left="720" w:firstLine="60"/>
      </w:pPr>
      <w:r>
        <w:t xml:space="preserve">“Drawing all inferences in Plaintiff’s favor, a reasonable employee in his position might interpret [Fire Commissioner] Calvi’s stop at the fire station [May 26, 2019] after hearing that Plaintiff had set the wheels in motion for a formal hearing], was intended to intimidate or coerce Plaintiff into abandoning his right to a hearing to protect his position and promotional aspirations in the Department. This aspect of the claim also merits evaluation on a more complete factual </w:t>
      </w:r>
      <w:proofErr w:type="gramStart"/>
      <w:r>
        <w:t>record.”</w:t>
      </w:r>
      <w:proofErr w:type="gramEnd"/>
      <w:r>
        <w:t xml:space="preserve">  </w:t>
      </w:r>
      <w:hyperlink r:id="rId1690" w:history="1">
        <w:r w:rsidRPr="009E6D51">
          <w:rPr>
            <w:rStyle w:val="Hyperlink"/>
          </w:rPr>
          <w:t>https://www.casemine.com/judgement/us/65a0c054bfe6241981ef91c8</w:t>
        </w:r>
      </w:hyperlink>
      <w:r>
        <w:t xml:space="preserve"> </w:t>
      </w:r>
    </w:p>
    <w:p w14:paraId="69D4F192" w14:textId="77777777" w:rsidR="00E851B0" w:rsidRDefault="00E851B0" w:rsidP="00E851B0">
      <w:pPr>
        <w:rPr>
          <w:rFonts w:ascii="Times New Roman" w:hAnsi="Times New Roman"/>
          <w:b/>
          <w:bCs/>
          <w:sz w:val="24"/>
          <w:szCs w:val="24"/>
        </w:rPr>
      </w:pPr>
      <w:r w:rsidRPr="00F53C85">
        <w:rPr>
          <w:rFonts w:ascii="Times New Roman" w:hAnsi="Times New Roman"/>
          <w:b/>
          <w:bCs/>
          <w:sz w:val="24"/>
          <w:szCs w:val="24"/>
        </w:rPr>
        <w:t xml:space="preserve">Legal Lesson Learned: </w:t>
      </w:r>
      <w:r>
        <w:rPr>
          <w:rFonts w:ascii="Times New Roman" w:hAnsi="Times New Roman"/>
          <w:b/>
          <w:bCs/>
          <w:sz w:val="24"/>
          <w:szCs w:val="24"/>
        </w:rPr>
        <w:t xml:space="preserve"> If an employee is claiming animosity, consider having a second person (another officer or HR) with you when holding discussion with the employee.</w:t>
      </w:r>
    </w:p>
    <w:p w14:paraId="2944525F" w14:textId="77777777" w:rsidR="00E851B0" w:rsidRDefault="00E851B0" w:rsidP="00E851B0">
      <w:pPr>
        <w:pStyle w:val="NormalWeb"/>
        <w:ind w:left="720"/>
      </w:pPr>
      <w:r>
        <w:t xml:space="preserve">Note:  March 8, 2023, Justice Michael K. Callan, Massachusetts Superior Court denied his appeal from Civil Service Commission.  </w:t>
      </w:r>
      <w:hyperlink r:id="rId1691" w:history="1">
        <w:r w:rsidRPr="00B22688">
          <w:rPr>
            <w:rStyle w:val="Hyperlink"/>
          </w:rPr>
          <w:t>https://www.mass.gov/doc/grenier-pierre-v-springfield-fire-department-related-superior-court-decision-3823/download</w:t>
        </w:r>
      </w:hyperlink>
      <w:r w:rsidRPr="00B22688">
        <w:t xml:space="preserve"> </w:t>
      </w:r>
    </w:p>
    <w:p w14:paraId="50E0734D" w14:textId="77777777" w:rsidR="00615F4E" w:rsidRDefault="00615F4E" w:rsidP="005C30A4">
      <w:pPr>
        <w:pStyle w:val="NoSpacing"/>
        <w:rPr>
          <w:rFonts w:ascii="Arial Black" w:hAnsi="Arial Black"/>
          <w:sz w:val="24"/>
          <w:szCs w:val="24"/>
        </w:rPr>
      </w:pPr>
    </w:p>
    <w:p w14:paraId="1674C30F" w14:textId="77777777" w:rsidR="00615F4E" w:rsidRPr="00615F4E" w:rsidRDefault="00615F4E" w:rsidP="005C30A4">
      <w:pPr>
        <w:pStyle w:val="NoSpacing"/>
        <w:rPr>
          <w:rFonts w:ascii="Arial Black" w:hAnsi="Arial Black"/>
          <w:i/>
          <w:iCs/>
          <w:sz w:val="24"/>
          <w:szCs w:val="24"/>
        </w:rPr>
      </w:pPr>
    </w:p>
    <w:p w14:paraId="2D49AD6C" w14:textId="7289404D" w:rsidR="00AB6735" w:rsidRDefault="00AB6735" w:rsidP="005C30A4">
      <w:pPr>
        <w:pStyle w:val="NoSpacing"/>
        <w:rPr>
          <w:rFonts w:ascii="Arial Black" w:hAnsi="Arial Black"/>
          <w:sz w:val="24"/>
          <w:szCs w:val="24"/>
        </w:rPr>
      </w:pPr>
      <w:r>
        <w:rPr>
          <w:rFonts w:ascii="Arial Black" w:hAnsi="Arial Black"/>
          <w:sz w:val="24"/>
          <w:szCs w:val="24"/>
        </w:rPr>
        <w:t>9-40</w:t>
      </w:r>
    </w:p>
    <w:p w14:paraId="1732C251" w14:textId="77777777" w:rsidR="00AB6735" w:rsidRPr="00D862E9" w:rsidRDefault="00AB6735" w:rsidP="00AB6735">
      <w:pPr>
        <w:pStyle w:val="Heading1"/>
        <w:rPr>
          <w:rFonts w:ascii="Arial Black" w:hAnsi="Arial Black"/>
          <w:b w:val="0"/>
          <w:sz w:val="28"/>
          <w:szCs w:val="28"/>
        </w:rPr>
      </w:pPr>
      <w:r>
        <w:rPr>
          <w:rFonts w:ascii="Arial Black" w:hAnsi="Arial Black"/>
          <w:b w:val="0"/>
          <w:sz w:val="28"/>
          <w:szCs w:val="28"/>
        </w:rPr>
        <w:t xml:space="preserve">MN: “ALCOHOL USE DISORDER” – DOJ FIRST ADA SETTLEMENT REQ. CITY PAY TREATMENT CDL DRIVERS </w:t>
      </w:r>
    </w:p>
    <w:p w14:paraId="11555FE4" w14:textId="77777777" w:rsidR="00AB6735" w:rsidRDefault="00AB6735" w:rsidP="00AB6735">
      <w:pPr>
        <w:pStyle w:val="Heading1"/>
        <w:rPr>
          <w:rStyle w:val="field-formatter--string"/>
          <w:b w:val="0"/>
          <w:bCs w:val="0"/>
          <w:sz w:val="24"/>
          <w:szCs w:val="24"/>
        </w:rPr>
      </w:pPr>
      <w:r>
        <w:rPr>
          <w:b w:val="0"/>
          <w:sz w:val="24"/>
          <w:szCs w:val="24"/>
        </w:rPr>
        <w:t xml:space="preserve">On Nov. 20, 2023, in </w:t>
      </w:r>
      <w:r w:rsidRPr="00B07419">
        <w:rPr>
          <w:b w:val="0"/>
          <w:sz w:val="24"/>
          <w:szCs w:val="24"/>
          <w:u w:val="single"/>
        </w:rPr>
        <w:t>United States of America v. City of Blane, Minnesota</w:t>
      </w:r>
      <w:r>
        <w:rPr>
          <w:b w:val="0"/>
          <w:sz w:val="24"/>
          <w:szCs w:val="24"/>
        </w:rPr>
        <w:t xml:space="preserve">, the parties entered a consent decree.  While this case does not specifically involve firefighters, this is “first ADA settlement” involving voluntary disclosure by CDL drivers.  In the Press Release, the </w:t>
      </w:r>
      <w:proofErr w:type="spellStart"/>
      <w:r>
        <w:rPr>
          <w:b w:val="0"/>
          <w:sz w:val="24"/>
          <w:szCs w:val="24"/>
        </w:rPr>
        <w:t>DoJ</w:t>
      </w:r>
      <w:proofErr w:type="spellEnd"/>
      <w:r>
        <w:rPr>
          <w:b w:val="0"/>
          <w:sz w:val="24"/>
          <w:szCs w:val="24"/>
        </w:rPr>
        <w:t xml:space="preserve"> stated: “</w:t>
      </w:r>
      <w:r w:rsidRPr="003526F1">
        <w:rPr>
          <w:b w:val="0"/>
          <w:bCs w:val="0"/>
          <w:sz w:val="24"/>
          <w:szCs w:val="24"/>
        </w:rPr>
        <w:t xml:space="preserve">The lawsuit alleges that the city discriminated against an employee with alcohol use disorder who voluntarily disclosed that he was to undergo treatment by requiring him to pay for alcohol and controlled substances testing and evaluation based on his disability. This is the Justice Department’s first ADA settlement resolving a claim of employment discrimination based on alcohol use </w:t>
      </w:r>
      <w:r>
        <w:rPr>
          <w:b w:val="0"/>
          <w:bCs w:val="0"/>
          <w:sz w:val="24"/>
          <w:szCs w:val="24"/>
        </w:rPr>
        <w:t xml:space="preserve"> d</w:t>
      </w:r>
      <w:r w:rsidRPr="003526F1">
        <w:rPr>
          <w:b w:val="0"/>
          <w:bCs w:val="0"/>
          <w:sz w:val="24"/>
          <w:szCs w:val="24"/>
        </w:rPr>
        <w:t>isorder.</w:t>
      </w:r>
      <w:r>
        <w:rPr>
          <w:b w:val="0"/>
          <w:bCs w:val="0"/>
          <w:sz w:val="24"/>
          <w:szCs w:val="24"/>
        </w:rPr>
        <w:t xml:space="preserve">”  </w:t>
      </w:r>
      <w:r w:rsidRPr="003526F1">
        <w:rPr>
          <w:b w:val="0"/>
          <w:bCs w:val="0"/>
          <w:sz w:val="24"/>
          <w:szCs w:val="24"/>
        </w:rPr>
        <w:t> </w:t>
      </w:r>
      <w:hyperlink r:id="rId1692" w:history="1">
        <w:r w:rsidRPr="003526F1">
          <w:rPr>
            <w:rStyle w:val="Hyperlink"/>
            <w:rFonts w:eastAsiaTheme="majorEastAsia"/>
            <w:b w:val="0"/>
            <w:bCs w:val="0"/>
            <w:sz w:val="24"/>
            <w:szCs w:val="24"/>
          </w:rPr>
          <w:t>https://www.justice.gov/opa/pr/justice-department-secures-agreement-city-blaine-minnesota-resolve-discrimination-claim</w:t>
        </w:r>
      </w:hyperlink>
      <w:r w:rsidRPr="003526F1">
        <w:rPr>
          <w:b w:val="0"/>
          <w:bCs w:val="0"/>
          <w:sz w:val="24"/>
          <w:szCs w:val="24"/>
        </w:rPr>
        <w:t xml:space="preserve"> </w:t>
      </w:r>
      <w:r w:rsidRPr="003526F1">
        <w:rPr>
          <w:rStyle w:val="field-formatter--string"/>
          <w:b w:val="0"/>
          <w:bCs w:val="0"/>
          <w:sz w:val="24"/>
          <w:szCs w:val="24"/>
        </w:rPr>
        <w:t xml:space="preserve"> </w:t>
      </w:r>
    </w:p>
    <w:p w14:paraId="049D54EC" w14:textId="77777777" w:rsidR="001031C3" w:rsidRDefault="001031C3" w:rsidP="001031C3">
      <w:pPr>
        <w:pStyle w:val="NoSpacing"/>
        <w:rPr>
          <w:rFonts w:ascii="Times New Roman" w:hAnsi="Times New Roman"/>
          <w:b/>
          <w:sz w:val="24"/>
          <w:szCs w:val="24"/>
        </w:rPr>
      </w:pPr>
      <w:r>
        <w:rPr>
          <w:rFonts w:ascii="Times New Roman" w:hAnsi="Times New Roman"/>
          <w:b/>
          <w:sz w:val="24"/>
          <w:szCs w:val="24"/>
        </w:rPr>
        <w:t xml:space="preserve">Legal Lesson Learned:  Fire &amp; EMS Departments should review their EAP policies regarding voluntary disclosure of substance abuse. </w:t>
      </w:r>
    </w:p>
    <w:p w14:paraId="22CF91EA" w14:textId="77777777" w:rsidR="001031C3" w:rsidRDefault="001031C3" w:rsidP="001031C3">
      <w:pPr>
        <w:pStyle w:val="NoSpacing"/>
        <w:rPr>
          <w:rFonts w:ascii="Times New Roman" w:hAnsi="Times New Roman"/>
          <w:b/>
          <w:sz w:val="24"/>
          <w:szCs w:val="24"/>
        </w:rPr>
      </w:pPr>
    </w:p>
    <w:p w14:paraId="57C03AD1" w14:textId="77777777" w:rsidR="001031C3" w:rsidRDefault="001031C3" w:rsidP="00AB6735">
      <w:pPr>
        <w:pStyle w:val="Heading1"/>
        <w:rPr>
          <w:rStyle w:val="field-formatter--string"/>
          <w:b w:val="0"/>
          <w:bCs w:val="0"/>
          <w:sz w:val="24"/>
          <w:szCs w:val="24"/>
        </w:rPr>
      </w:pPr>
    </w:p>
    <w:p w14:paraId="08F0C142" w14:textId="77777777" w:rsidR="00AB6735" w:rsidRDefault="00AB6735" w:rsidP="005C30A4">
      <w:pPr>
        <w:pStyle w:val="NoSpacing"/>
        <w:rPr>
          <w:rFonts w:ascii="Arial Black" w:hAnsi="Arial Black"/>
          <w:sz w:val="24"/>
          <w:szCs w:val="24"/>
        </w:rPr>
      </w:pPr>
    </w:p>
    <w:p w14:paraId="46D7CEDD" w14:textId="77777777" w:rsidR="00AB6735" w:rsidRDefault="00AB6735" w:rsidP="005C30A4">
      <w:pPr>
        <w:pStyle w:val="NoSpacing"/>
        <w:rPr>
          <w:rFonts w:ascii="Arial Black" w:hAnsi="Arial Black"/>
          <w:sz w:val="24"/>
          <w:szCs w:val="24"/>
        </w:rPr>
      </w:pPr>
    </w:p>
    <w:p w14:paraId="72C7EB89" w14:textId="77777777" w:rsidR="00AB6735" w:rsidRDefault="00AB6735" w:rsidP="005C30A4">
      <w:pPr>
        <w:pStyle w:val="NoSpacing"/>
        <w:rPr>
          <w:rFonts w:ascii="Arial Black" w:hAnsi="Arial Black"/>
          <w:sz w:val="24"/>
          <w:szCs w:val="24"/>
        </w:rPr>
      </w:pPr>
    </w:p>
    <w:p w14:paraId="2F69E385" w14:textId="6027D29E" w:rsidR="009B0593" w:rsidRDefault="00832745" w:rsidP="005C30A4">
      <w:pPr>
        <w:pStyle w:val="NoSpacing"/>
        <w:rPr>
          <w:rFonts w:ascii="Arial Black" w:hAnsi="Arial Black"/>
          <w:sz w:val="24"/>
          <w:szCs w:val="24"/>
        </w:rPr>
      </w:pPr>
      <w:r>
        <w:rPr>
          <w:rFonts w:ascii="Arial Black" w:hAnsi="Arial Black"/>
          <w:sz w:val="24"/>
          <w:szCs w:val="24"/>
        </w:rPr>
        <w:t>9-39</w:t>
      </w:r>
    </w:p>
    <w:p w14:paraId="749C2D26" w14:textId="77777777" w:rsidR="00832745" w:rsidRDefault="00832745" w:rsidP="00832745">
      <w:pPr>
        <w:pStyle w:val="NormalWeb"/>
        <w:rPr>
          <w:rFonts w:ascii="Arial Black" w:hAnsi="Arial Black"/>
          <w:sz w:val="28"/>
          <w:szCs w:val="28"/>
        </w:rPr>
      </w:pPr>
      <w:r>
        <w:rPr>
          <w:rFonts w:ascii="Arial Black" w:hAnsi="Arial Black"/>
          <w:sz w:val="28"/>
          <w:szCs w:val="28"/>
        </w:rPr>
        <w:t>FL: ADA - FF PARKINSON – CITY CHANGED HEALTH INSUR. TO 2 YEARS – RETIRED FF CAN’T SUE, NOT EMPLOYEE</w:t>
      </w:r>
    </w:p>
    <w:p w14:paraId="3AC3623A" w14:textId="267D0218" w:rsidR="00832745" w:rsidRDefault="00832745" w:rsidP="00832745">
      <w:pPr>
        <w:pStyle w:val="NoSpacing"/>
        <w:rPr>
          <w:rStyle w:val="Hyperlink"/>
          <w:rFonts w:ascii="Times New Roman" w:hAnsi="Times New Roman"/>
          <w:sz w:val="24"/>
          <w:szCs w:val="24"/>
        </w:rPr>
      </w:pPr>
      <w:r w:rsidRPr="00832745">
        <w:rPr>
          <w:rFonts w:ascii="Times New Roman" w:hAnsi="Times New Roman"/>
          <w:sz w:val="24"/>
          <w:szCs w:val="24"/>
        </w:rPr>
        <w:t xml:space="preserve">On Oct. 11, 2023, in </w:t>
      </w:r>
      <w:r w:rsidRPr="00832745">
        <w:rPr>
          <w:rFonts w:ascii="Times New Roman" w:hAnsi="Times New Roman"/>
          <w:sz w:val="24"/>
          <w:szCs w:val="24"/>
          <w:u w:val="single"/>
        </w:rPr>
        <w:t>Karyn D. Stanley v. City of Sanford, Florida</w:t>
      </w:r>
      <w:r w:rsidRPr="00832745">
        <w:rPr>
          <w:rFonts w:ascii="Times New Roman" w:hAnsi="Times New Roman"/>
          <w:sz w:val="24"/>
          <w:szCs w:val="24"/>
        </w:rPr>
        <w:t>, the U.S. Court of Appeals for the 11</w:t>
      </w:r>
      <w:r w:rsidRPr="00832745">
        <w:rPr>
          <w:rFonts w:ascii="Times New Roman" w:hAnsi="Times New Roman"/>
          <w:sz w:val="24"/>
          <w:szCs w:val="24"/>
          <w:vertAlign w:val="superscript"/>
        </w:rPr>
        <w:t>th</w:t>
      </w:r>
      <w:r w:rsidRPr="00832745">
        <w:rPr>
          <w:rFonts w:ascii="Times New Roman" w:hAnsi="Times New Roman"/>
          <w:sz w:val="24"/>
          <w:szCs w:val="24"/>
        </w:rPr>
        <w:t xml:space="preserve"> Circuit (Atlanta, GA) held (3 to 0): “Because Stanley cannot establish that the City committed any discriminatory acts against her while she could perform the essential functions of a job that she held or desired to hold, her Title I claim fails. For the same reason, so do her claims under the Rehab Act and the Florida Civil Rights </w:t>
      </w:r>
      <w:proofErr w:type="gramStart"/>
      <w:r w:rsidRPr="00832745">
        <w:rPr>
          <w:rFonts w:ascii="Times New Roman" w:hAnsi="Times New Roman"/>
          <w:sz w:val="24"/>
          <w:szCs w:val="24"/>
        </w:rPr>
        <w:t>Act.”</w:t>
      </w:r>
      <w:proofErr w:type="gramEnd"/>
      <w:r w:rsidRPr="00832745">
        <w:rPr>
          <w:rFonts w:ascii="Times New Roman" w:hAnsi="Times New Roman"/>
          <w:sz w:val="24"/>
          <w:szCs w:val="24"/>
        </w:rPr>
        <w:t xml:space="preserve"> </w:t>
      </w:r>
      <w:hyperlink r:id="rId1693" w:history="1">
        <w:r w:rsidRPr="00832745">
          <w:rPr>
            <w:rStyle w:val="Hyperlink"/>
            <w:rFonts w:ascii="Times New Roman" w:hAnsi="Times New Roman"/>
            <w:sz w:val="24"/>
            <w:szCs w:val="24"/>
          </w:rPr>
          <w:t>https://cases.justia.com/federal/appellate-courts/ca11/22-10002/22-10002-2023-10-11.pdf?ts=1697045568</w:t>
        </w:r>
      </w:hyperlink>
    </w:p>
    <w:p w14:paraId="0B6D9326" w14:textId="77777777" w:rsidR="00832745" w:rsidRDefault="00832745" w:rsidP="00832745">
      <w:pPr>
        <w:pStyle w:val="NormalWeb"/>
        <w:rPr>
          <w:b/>
          <w:bCs/>
        </w:rPr>
      </w:pPr>
      <w:r>
        <w:rPr>
          <w:b/>
          <w:bCs/>
        </w:rPr>
        <w:t xml:space="preserve">Legal Lesson Learned: Some other Circuit Courts have taken an opposite position; perhaps the U.S. Supreme Court will take an appeal and resolve the conflict. </w:t>
      </w:r>
    </w:p>
    <w:p w14:paraId="05B2D700" w14:textId="77777777" w:rsidR="00832745" w:rsidRDefault="00832745" w:rsidP="00832745">
      <w:pPr>
        <w:pStyle w:val="Heading1"/>
        <w:ind w:left="720"/>
        <w:rPr>
          <w:b w:val="0"/>
          <w:bCs w:val="0"/>
          <w:sz w:val="24"/>
          <w:szCs w:val="24"/>
        </w:rPr>
      </w:pPr>
      <w:r>
        <w:rPr>
          <w:b w:val="0"/>
          <w:bCs w:val="0"/>
          <w:sz w:val="24"/>
          <w:szCs w:val="24"/>
        </w:rPr>
        <w:t>Note: The Court stated: “The Second and Third Circuits have held that Title I’s anti-discrimination provision is ambiguous, however, and have resolved that purported ambiguity in favor of former employees. See Castellano v. City of New York, 142 F.3d 58, 66–69 (2d Cir. 1998); Ford v. Schering-Plough Corp., 145 F.3d 601, 604–08 (3d Cir. 1998).”</w:t>
      </w:r>
    </w:p>
    <w:p w14:paraId="5160D8E4" w14:textId="77777777" w:rsidR="00832745" w:rsidRPr="00832745" w:rsidRDefault="00832745" w:rsidP="00832745">
      <w:pPr>
        <w:pStyle w:val="NoSpacing"/>
        <w:rPr>
          <w:rFonts w:ascii="Times New Roman" w:hAnsi="Times New Roman"/>
          <w:sz w:val="24"/>
          <w:szCs w:val="24"/>
        </w:rPr>
      </w:pPr>
    </w:p>
    <w:p w14:paraId="78B2D967" w14:textId="77777777" w:rsidR="00832745" w:rsidRPr="00832745" w:rsidRDefault="00832745" w:rsidP="005C30A4">
      <w:pPr>
        <w:pStyle w:val="NoSpacing"/>
        <w:rPr>
          <w:rFonts w:ascii="Times New Roman" w:hAnsi="Times New Roman"/>
          <w:sz w:val="24"/>
          <w:szCs w:val="24"/>
        </w:rPr>
      </w:pPr>
    </w:p>
    <w:p w14:paraId="6174E670" w14:textId="77777777" w:rsidR="00832745" w:rsidRDefault="00832745" w:rsidP="005C30A4">
      <w:pPr>
        <w:pStyle w:val="NoSpacing"/>
        <w:rPr>
          <w:rFonts w:ascii="Arial Black" w:hAnsi="Arial Black"/>
          <w:sz w:val="24"/>
          <w:szCs w:val="24"/>
        </w:rPr>
      </w:pPr>
    </w:p>
    <w:p w14:paraId="5D9DA476" w14:textId="004B3D22" w:rsidR="00AC3E10" w:rsidRDefault="00AC3E10" w:rsidP="005C30A4">
      <w:pPr>
        <w:pStyle w:val="NoSpacing"/>
        <w:rPr>
          <w:rFonts w:ascii="Arial Black" w:hAnsi="Arial Black"/>
          <w:sz w:val="24"/>
          <w:szCs w:val="24"/>
        </w:rPr>
      </w:pPr>
      <w:r>
        <w:rPr>
          <w:rFonts w:ascii="Arial Black" w:hAnsi="Arial Black"/>
          <w:sz w:val="24"/>
          <w:szCs w:val="24"/>
        </w:rPr>
        <w:t>9-38</w:t>
      </w:r>
    </w:p>
    <w:p w14:paraId="24D2F0AF" w14:textId="77777777" w:rsidR="00832745" w:rsidRDefault="00832745" w:rsidP="005C30A4">
      <w:pPr>
        <w:pStyle w:val="NoSpacing"/>
        <w:rPr>
          <w:rFonts w:ascii="Arial Black" w:hAnsi="Arial Black"/>
          <w:sz w:val="24"/>
          <w:szCs w:val="24"/>
        </w:rPr>
      </w:pPr>
    </w:p>
    <w:p w14:paraId="5EE8E976" w14:textId="77777777" w:rsidR="00AC3E10" w:rsidRDefault="00AC3E10" w:rsidP="00AC3E10">
      <w:pPr>
        <w:rPr>
          <w:rFonts w:ascii="Arial Black" w:hAnsi="Arial Black"/>
          <w:sz w:val="28"/>
          <w:szCs w:val="28"/>
        </w:rPr>
      </w:pPr>
      <w:r>
        <w:rPr>
          <w:rFonts w:ascii="Arial Black" w:hAnsi="Arial Black"/>
          <w:sz w:val="28"/>
          <w:szCs w:val="28"/>
        </w:rPr>
        <w:t>PA: ADA – EMS CONVINCED COVID PATIENT REFUSE TRANSPORT - “REGARDED AS” DISABELED – CASE PROCEED</w:t>
      </w:r>
    </w:p>
    <w:p w14:paraId="28512F95" w14:textId="77777777" w:rsidR="00AC3E10" w:rsidRDefault="00AC3E10" w:rsidP="00AC3E10">
      <w:pPr>
        <w:rPr>
          <w:rFonts w:ascii="Times New Roman" w:hAnsi="Times New Roman"/>
          <w:sz w:val="24"/>
          <w:szCs w:val="24"/>
        </w:rPr>
      </w:pPr>
      <w:r>
        <w:rPr>
          <w:rFonts w:ascii="Times New Roman" w:hAnsi="Times New Roman"/>
          <w:sz w:val="24"/>
          <w:szCs w:val="24"/>
        </w:rPr>
        <w:t xml:space="preserve">On Sept. 19, 2023, in </w:t>
      </w:r>
      <w:r w:rsidRPr="000679CA">
        <w:rPr>
          <w:rFonts w:ascii="Times New Roman" w:hAnsi="Times New Roman"/>
          <w:sz w:val="24"/>
          <w:szCs w:val="24"/>
          <w:u w:val="single"/>
        </w:rPr>
        <w:t>Keisha Cappel, et al. v. Aston Township Fire Department, et al</w:t>
      </w:r>
      <w:r>
        <w:rPr>
          <w:rFonts w:ascii="Times New Roman" w:hAnsi="Times New Roman"/>
          <w:sz w:val="24"/>
          <w:szCs w:val="24"/>
        </w:rPr>
        <w:t xml:space="preserve">., U.S. District Court Judge John Frank Murphy, Eastern District of Pennsylvania, held that lawsuit may proceed to pre-trial discovery under Americans </w:t>
      </w:r>
      <w:proofErr w:type="gramStart"/>
      <w:r>
        <w:rPr>
          <w:rFonts w:ascii="Times New Roman" w:hAnsi="Times New Roman"/>
          <w:sz w:val="24"/>
          <w:szCs w:val="24"/>
        </w:rPr>
        <w:t>With</w:t>
      </w:r>
      <w:proofErr w:type="gramEnd"/>
      <w:r>
        <w:rPr>
          <w:rFonts w:ascii="Times New Roman" w:hAnsi="Times New Roman"/>
          <w:sz w:val="24"/>
          <w:szCs w:val="24"/>
        </w:rPr>
        <w:t xml:space="preserve"> Disabilities Act since the EMTs “regarded” the patient as having a disability.   The Court held that while the allegations fail to state a claim under Fourteenth Amendment because the EMTs did not create a danger, the lawsuit may proceed on claim under Americans </w:t>
      </w:r>
      <w:proofErr w:type="gramStart"/>
      <w:r>
        <w:rPr>
          <w:rFonts w:ascii="Times New Roman" w:hAnsi="Times New Roman"/>
          <w:sz w:val="24"/>
          <w:szCs w:val="24"/>
        </w:rPr>
        <w:t>With</w:t>
      </w:r>
      <w:proofErr w:type="gramEnd"/>
      <w:r>
        <w:rPr>
          <w:rFonts w:ascii="Times New Roman" w:hAnsi="Times New Roman"/>
          <w:sz w:val="24"/>
          <w:szCs w:val="24"/>
        </w:rPr>
        <w:t xml:space="preserve"> Disability Act because they “regarded” the patient as having a disability.  The Court focused on the </w:t>
      </w:r>
      <w:proofErr w:type="gramStart"/>
      <w:r>
        <w:rPr>
          <w:rFonts w:ascii="Times New Roman" w:hAnsi="Times New Roman"/>
          <w:sz w:val="24"/>
          <w:szCs w:val="24"/>
        </w:rPr>
        <w:t>EMTs</w:t>
      </w:r>
      <w:proofErr w:type="gramEnd"/>
      <w:r>
        <w:rPr>
          <w:rFonts w:ascii="Times New Roman" w:hAnsi="Times New Roman"/>
          <w:sz w:val="24"/>
          <w:szCs w:val="24"/>
        </w:rPr>
        <w:t xml:space="preserve"> comments prior to seeing the patient. </w:t>
      </w:r>
    </w:p>
    <w:p w14:paraId="4D9B2731" w14:textId="77777777" w:rsidR="00AC3E10" w:rsidRPr="00EF6867" w:rsidRDefault="00AC3E10" w:rsidP="00AC3E10">
      <w:pPr>
        <w:pStyle w:val="NoSpacing"/>
        <w:ind w:firstLine="720"/>
        <w:rPr>
          <w:rFonts w:ascii="Times New Roman" w:hAnsi="Times New Roman"/>
          <w:sz w:val="24"/>
          <w:szCs w:val="24"/>
        </w:rPr>
      </w:pPr>
      <w:r w:rsidRPr="00EF6867">
        <w:rPr>
          <w:rFonts w:ascii="Times New Roman" w:hAnsi="Times New Roman"/>
          <w:sz w:val="24"/>
          <w:szCs w:val="24"/>
        </w:rPr>
        <w:t>“A Basic Life Support (BLS) unit and Advanced Life Support (ALS) unit were deployed</w:t>
      </w:r>
    </w:p>
    <w:p w14:paraId="543B6841" w14:textId="77777777" w:rsidR="00AC3E10" w:rsidRPr="00EF6867" w:rsidRDefault="00AC3E10" w:rsidP="00AC3E10">
      <w:pPr>
        <w:pStyle w:val="NoSpacing"/>
        <w:ind w:firstLine="720"/>
        <w:rPr>
          <w:rFonts w:ascii="Times New Roman" w:hAnsi="Times New Roman"/>
          <w:sz w:val="24"/>
          <w:szCs w:val="24"/>
        </w:rPr>
      </w:pPr>
      <w:r w:rsidRPr="00EF6867">
        <w:rPr>
          <w:rFonts w:ascii="Times New Roman" w:hAnsi="Times New Roman"/>
          <w:sz w:val="24"/>
          <w:szCs w:val="24"/>
        </w:rPr>
        <w:t>in response</w:t>
      </w:r>
      <w:r>
        <w:rPr>
          <w:rFonts w:ascii="Times New Roman" w:hAnsi="Times New Roman"/>
          <w:sz w:val="24"/>
          <w:szCs w:val="24"/>
        </w:rPr>
        <w:t xml:space="preserve">…. </w:t>
      </w:r>
      <w:r w:rsidRPr="00EF6867">
        <w:rPr>
          <w:rFonts w:ascii="Times New Roman" w:hAnsi="Times New Roman"/>
          <w:sz w:val="24"/>
          <w:szCs w:val="24"/>
        </w:rPr>
        <w:t>On their way to Ms. Jones’s house, the BLS unit — consisting of</w:t>
      </w:r>
    </w:p>
    <w:p w14:paraId="061B5D35" w14:textId="77777777" w:rsidR="00AC3E10" w:rsidRDefault="00AC3E10" w:rsidP="00AC3E10">
      <w:pPr>
        <w:pStyle w:val="NoSpacing"/>
        <w:ind w:left="720"/>
        <w:rPr>
          <w:rFonts w:ascii="Times New Roman" w:hAnsi="Times New Roman"/>
          <w:sz w:val="24"/>
          <w:szCs w:val="24"/>
        </w:rPr>
      </w:pPr>
      <w:r w:rsidRPr="00EF6867">
        <w:rPr>
          <w:rFonts w:ascii="Times New Roman" w:hAnsi="Times New Roman"/>
          <w:sz w:val="24"/>
          <w:szCs w:val="24"/>
        </w:rPr>
        <w:t xml:space="preserve">Eoin Marshall and Aaron Kisela (together, </w:t>
      </w:r>
      <w:r>
        <w:rPr>
          <w:rFonts w:ascii="Times New Roman" w:hAnsi="Times New Roman"/>
          <w:sz w:val="24"/>
          <w:szCs w:val="24"/>
        </w:rPr>
        <w:t>‘</w:t>
      </w:r>
      <w:r w:rsidRPr="00EF6867">
        <w:rPr>
          <w:rFonts w:ascii="Times New Roman" w:hAnsi="Times New Roman"/>
          <w:sz w:val="24"/>
          <w:szCs w:val="24"/>
        </w:rPr>
        <w:t>the EMT-Bs</w:t>
      </w:r>
      <w:r>
        <w:rPr>
          <w:rFonts w:ascii="Times New Roman" w:hAnsi="Times New Roman"/>
          <w:sz w:val="24"/>
          <w:szCs w:val="24"/>
        </w:rPr>
        <w:t>’</w:t>
      </w:r>
      <w:r w:rsidRPr="00EF6867">
        <w:rPr>
          <w:rFonts w:ascii="Times New Roman" w:hAnsi="Times New Roman"/>
          <w:sz w:val="24"/>
          <w:szCs w:val="24"/>
        </w:rPr>
        <w:t xml:space="preserve">) — </w:t>
      </w:r>
      <w:r>
        <w:rPr>
          <w:rFonts w:ascii="Times New Roman" w:hAnsi="Times New Roman"/>
          <w:sz w:val="24"/>
          <w:szCs w:val="24"/>
        </w:rPr>
        <w:t>‘</w:t>
      </w:r>
      <w:r w:rsidRPr="00EF6867">
        <w:rPr>
          <w:rFonts w:ascii="Times New Roman" w:hAnsi="Times New Roman"/>
          <w:sz w:val="24"/>
          <w:szCs w:val="24"/>
        </w:rPr>
        <w:t>discussed</w:t>
      </w:r>
      <w:r>
        <w:rPr>
          <w:rFonts w:ascii="Times New Roman" w:hAnsi="Times New Roman"/>
          <w:sz w:val="24"/>
          <w:szCs w:val="24"/>
        </w:rPr>
        <w:t>’</w:t>
      </w:r>
      <w:r w:rsidRPr="00EF6867">
        <w:rPr>
          <w:rFonts w:ascii="Times New Roman" w:hAnsi="Times New Roman"/>
          <w:sz w:val="24"/>
          <w:szCs w:val="24"/>
        </w:rPr>
        <w:t xml:space="preserve"> how Mr. Kisela would</w:t>
      </w:r>
      <w:r>
        <w:rPr>
          <w:rFonts w:ascii="Times New Roman" w:hAnsi="Times New Roman"/>
          <w:sz w:val="24"/>
          <w:szCs w:val="24"/>
        </w:rPr>
        <w:t xml:space="preserve"> </w:t>
      </w:r>
      <w:r w:rsidRPr="00EF6867">
        <w:rPr>
          <w:rFonts w:ascii="Times New Roman" w:hAnsi="Times New Roman"/>
          <w:sz w:val="24"/>
          <w:szCs w:val="24"/>
        </w:rPr>
        <w:t xml:space="preserve">remain outside of the home, and how they would </w:t>
      </w:r>
      <w:r>
        <w:rPr>
          <w:rFonts w:ascii="Times New Roman" w:hAnsi="Times New Roman"/>
          <w:sz w:val="24"/>
          <w:szCs w:val="24"/>
        </w:rPr>
        <w:t>‘</w:t>
      </w:r>
      <w:r w:rsidRPr="00EF6867">
        <w:rPr>
          <w:rFonts w:ascii="Times New Roman" w:hAnsi="Times New Roman"/>
          <w:sz w:val="24"/>
          <w:szCs w:val="24"/>
        </w:rPr>
        <w:t>pressure</w:t>
      </w:r>
      <w:r>
        <w:rPr>
          <w:rFonts w:ascii="Times New Roman" w:hAnsi="Times New Roman"/>
          <w:sz w:val="24"/>
          <w:szCs w:val="24"/>
        </w:rPr>
        <w:t>’</w:t>
      </w:r>
      <w:r w:rsidRPr="00EF6867">
        <w:rPr>
          <w:rFonts w:ascii="Times New Roman" w:hAnsi="Times New Roman"/>
          <w:sz w:val="24"/>
          <w:szCs w:val="24"/>
        </w:rPr>
        <w:t xml:space="preserve"> Ms. Jones into </w:t>
      </w:r>
      <w:r>
        <w:rPr>
          <w:rFonts w:ascii="Times New Roman" w:hAnsi="Times New Roman"/>
          <w:sz w:val="24"/>
          <w:szCs w:val="24"/>
        </w:rPr>
        <w:t>‘</w:t>
      </w:r>
      <w:r w:rsidRPr="00EF6867">
        <w:rPr>
          <w:rFonts w:ascii="Times New Roman" w:hAnsi="Times New Roman"/>
          <w:sz w:val="24"/>
          <w:szCs w:val="24"/>
        </w:rPr>
        <w:t>not go[</w:t>
      </w:r>
      <w:proofErr w:type="spellStart"/>
      <w:r w:rsidRPr="00EF6867">
        <w:rPr>
          <w:rFonts w:ascii="Times New Roman" w:hAnsi="Times New Roman"/>
          <w:sz w:val="24"/>
          <w:szCs w:val="24"/>
        </w:rPr>
        <w:t>ing</w:t>
      </w:r>
      <w:proofErr w:type="spellEnd"/>
      <w:r w:rsidRPr="00EF6867">
        <w:rPr>
          <w:rFonts w:ascii="Times New Roman" w:hAnsi="Times New Roman"/>
          <w:sz w:val="24"/>
          <w:szCs w:val="24"/>
        </w:rPr>
        <w:t>] to the</w:t>
      </w:r>
      <w:r>
        <w:rPr>
          <w:rFonts w:ascii="Times New Roman" w:hAnsi="Times New Roman"/>
          <w:sz w:val="24"/>
          <w:szCs w:val="24"/>
        </w:rPr>
        <w:t xml:space="preserve"> </w:t>
      </w:r>
      <w:r w:rsidRPr="00EF6867">
        <w:rPr>
          <w:rFonts w:ascii="Times New Roman" w:hAnsi="Times New Roman"/>
          <w:sz w:val="24"/>
          <w:szCs w:val="24"/>
        </w:rPr>
        <w:t xml:space="preserve">hospital regardless of her medical needs.” </w:t>
      </w:r>
    </w:p>
    <w:p w14:paraId="62D37AB1" w14:textId="77777777" w:rsidR="00AC3E10" w:rsidRPr="00CC41C5" w:rsidRDefault="00AC3E10" w:rsidP="00AC3E10">
      <w:pPr>
        <w:pStyle w:val="NoSpacing"/>
        <w:ind w:left="720"/>
        <w:rPr>
          <w:rFonts w:ascii="Times New Roman" w:hAnsi="Times New Roman"/>
          <w:sz w:val="24"/>
          <w:szCs w:val="24"/>
        </w:rPr>
      </w:pPr>
      <w:hyperlink r:id="rId1694" w:history="1">
        <w:r w:rsidRPr="000C56E5">
          <w:rPr>
            <w:rStyle w:val="Hyperlink"/>
            <w:rFonts w:ascii="Times New Roman" w:hAnsi="Times New Roman"/>
            <w:sz w:val="24"/>
            <w:szCs w:val="24"/>
          </w:rPr>
          <w:t>https://www.govinfo.gov/content/pkg/USCOURTS-paed-2_23-cv-00155/pdf/USCOURTS-paed-2_23-cv-00155-0.pdf</w:t>
        </w:r>
      </w:hyperlink>
      <w:r>
        <w:rPr>
          <w:rFonts w:ascii="Times New Roman" w:hAnsi="Times New Roman"/>
          <w:sz w:val="24"/>
          <w:szCs w:val="24"/>
        </w:rPr>
        <w:t xml:space="preserve"> </w:t>
      </w:r>
    </w:p>
    <w:p w14:paraId="3A409801" w14:textId="77777777" w:rsidR="00AC3E10" w:rsidRDefault="00AC3E10" w:rsidP="00AC3E10">
      <w:pPr>
        <w:pStyle w:val="NoSpacing"/>
        <w:rPr>
          <w:rFonts w:ascii="Times New Roman" w:hAnsi="Times New Roman"/>
          <w:b/>
          <w:bCs/>
          <w:sz w:val="24"/>
          <w:szCs w:val="24"/>
        </w:rPr>
      </w:pPr>
    </w:p>
    <w:p w14:paraId="5DD1EA6A" w14:textId="2B215EDA" w:rsidR="00AC3E10" w:rsidRPr="00D173AB" w:rsidRDefault="00AC3E10" w:rsidP="00AC3E10">
      <w:pPr>
        <w:pStyle w:val="NoSpacing"/>
        <w:rPr>
          <w:rFonts w:ascii="Times New Roman" w:hAnsi="Times New Roman"/>
          <w:b/>
          <w:bCs/>
          <w:sz w:val="24"/>
          <w:szCs w:val="24"/>
        </w:rPr>
      </w:pPr>
      <w:r w:rsidRPr="00D173AB">
        <w:rPr>
          <w:rFonts w:ascii="Times New Roman" w:hAnsi="Times New Roman"/>
          <w:b/>
          <w:bCs/>
          <w:sz w:val="24"/>
          <w:szCs w:val="24"/>
        </w:rPr>
        <w:t xml:space="preserve">Legal Lesson Learned: </w:t>
      </w:r>
      <w:r>
        <w:rPr>
          <w:rFonts w:ascii="Times New Roman" w:hAnsi="Times New Roman"/>
          <w:b/>
          <w:bCs/>
          <w:sz w:val="24"/>
          <w:szCs w:val="24"/>
        </w:rPr>
        <w:t xml:space="preserve">If a patient is not going to be transported, then get a refusal document signed.  </w:t>
      </w:r>
    </w:p>
    <w:p w14:paraId="591ABAC0" w14:textId="77777777" w:rsidR="00AC3E10" w:rsidRPr="00140087" w:rsidRDefault="00AC3E10" w:rsidP="00AC3E10">
      <w:pPr>
        <w:pStyle w:val="NoSpacing"/>
        <w:rPr>
          <w:rFonts w:ascii="Times New Roman" w:hAnsi="Times New Roman"/>
          <w:sz w:val="24"/>
          <w:szCs w:val="24"/>
        </w:rPr>
      </w:pPr>
    </w:p>
    <w:p w14:paraId="1ACA5343" w14:textId="77777777" w:rsidR="00AC3E10" w:rsidRDefault="00AC3E10" w:rsidP="005C30A4">
      <w:pPr>
        <w:pStyle w:val="NoSpacing"/>
        <w:rPr>
          <w:rFonts w:ascii="Arial Black" w:hAnsi="Arial Black"/>
          <w:sz w:val="24"/>
          <w:szCs w:val="24"/>
        </w:rPr>
      </w:pPr>
    </w:p>
    <w:p w14:paraId="3E5445E4" w14:textId="77777777" w:rsidR="00AC3E10" w:rsidRDefault="00AC3E10" w:rsidP="005C30A4">
      <w:pPr>
        <w:pStyle w:val="NoSpacing"/>
        <w:rPr>
          <w:rFonts w:ascii="Arial Black" w:hAnsi="Arial Black"/>
          <w:sz w:val="24"/>
          <w:szCs w:val="24"/>
        </w:rPr>
      </w:pPr>
    </w:p>
    <w:p w14:paraId="130A6562" w14:textId="03BB2A59" w:rsidR="009B0593" w:rsidRDefault="009B0593" w:rsidP="005C30A4">
      <w:pPr>
        <w:pStyle w:val="NoSpacing"/>
        <w:rPr>
          <w:rFonts w:ascii="Arial Black" w:hAnsi="Arial Black"/>
          <w:sz w:val="24"/>
          <w:szCs w:val="24"/>
        </w:rPr>
      </w:pPr>
      <w:r>
        <w:rPr>
          <w:rFonts w:ascii="Arial Black" w:hAnsi="Arial Black"/>
          <w:sz w:val="24"/>
          <w:szCs w:val="24"/>
        </w:rPr>
        <w:t>9-37</w:t>
      </w:r>
    </w:p>
    <w:p w14:paraId="7097F79C" w14:textId="77777777" w:rsidR="009B0593" w:rsidRPr="000D58F5" w:rsidRDefault="009B0593" w:rsidP="009B0593">
      <w:pPr>
        <w:pStyle w:val="NormalWeb"/>
        <w:rPr>
          <w:rFonts w:ascii="Arial Black" w:hAnsi="Arial Black"/>
          <w:b/>
          <w:bCs/>
          <w:sz w:val="28"/>
          <w:szCs w:val="28"/>
        </w:rPr>
      </w:pPr>
      <w:r>
        <w:rPr>
          <w:rFonts w:ascii="Arial Black" w:hAnsi="Arial Black"/>
          <w:b/>
          <w:bCs/>
          <w:sz w:val="28"/>
          <w:szCs w:val="28"/>
        </w:rPr>
        <w:t>ME: CAPTAIN ENLARGED AORTA – CITY DOCTOR LIMITED MAX 75 LBS – JURY HELD FOR FD - REQ. 100 LBS LIFTING</w:t>
      </w:r>
    </w:p>
    <w:p w14:paraId="11031E93" w14:textId="77777777" w:rsidR="009B0593" w:rsidRDefault="009B0593" w:rsidP="009B0593">
      <w:pPr>
        <w:pStyle w:val="NormalWeb"/>
      </w:pPr>
      <w:r w:rsidRPr="000D58F5">
        <w:t xml:space="preserve">On Aug. 15, 2023, in </w:t>
      </w:r>
      <w:r w:rsidRPr="000D58F5">
        <w:rPr>
          <w:u w:val="single"/>
        </w:rPr>
        <w:t>Brian K. Smith v. City of Sanford</w:t>
      </w:r>
      <w:r w:rsidRPr="000D58F5">
        <w:t xml:space="preserve">, </w:t>
      </w:r>
      <w:r>
        <w:t xml:space="preserve">the Supreme Court of Maine held (6 to 0) that the jury properly held the </w:t>
      </w:r>
      <w:proofErr w:type="gramStart"/>
      <w:r>
        <w:t>City</w:t>
      </w:r>
      <w:proofErr w:type="gramEnd"/>
      <w:r>
        <w:t xml:space="preserve"> did not discriminate against him because of a disability under the Maine Human Rights Act.  The FD requires all firefighters </w:t>
      </w:r>
      <w:proofErr w:type="gramStart"/>
      <w:r>
        <w:t>be</w:t>
      </w:r>
      <w:proofErr w:type="gramEnd"/>
      <w:r>
        <w:t xml:space="preserve"> able to lift 100 pounds; the </w:t>
      </w:r>
      <w:proofErr w:type="gramStart"/>
      <w:r>
        <w:t>Captain</w:t>
      </w:r>
      <w:proofErr w:type="gramEnd"/>
      <w:r>
        <w:t xml:space="preserve"> saw two cardiologists; when first imposed </w:t>
      </w:r>
      <w:proofErr w:type="gramStart"/>
      <w:r>
        <w:t>40 pound</w:t>
      </w:r>
      <w:proofErr w:type="gramEnd"/>
      <w:r>
        <w:t xml:space="preserve"> limit, he then saw second who imposed no limit.  Given the two conflicting limits, the </w:t>
      </w:r>
      <w:proofErr w:type="gramStart"/>
      <w:r>
        <w:t>City</w:t>
      </w:r>
      <w:proofErr w:type="gramEnd"/>
      <w:r>
        <w:t xml:space="preserve"> sent him to their occupational health doctor </w:t>
      </w:r>
      <w:proofErr w:type="gramStart"/>
      <w:r>
        <w:t>limited</w:t>
      </w:r>
      <w:proofErr w:type="gramEnd"/>
      <w:r>
        <w:t xml:space="preserve"> him to 75 pounds.  The trial court judge refused a request by the </w:t>
      </w:r>
      <w:proofErr w:type="gramStart"/>
      <w:r>
        <w:t>Captain’s</w:t>
      </w:r>
      <w:proofErr w:type="gramEnd"/>
      <w:r>
        <w:t xml:space="preserve"> attorney to instruct jury that "[</w:t>
      </w:r>
      <w:proofErr w:type="spellStart"/>
      <w:r>
        <w:t>i</w:t>
      </w:r>
      <w:proofErr w:type="spellEnd"/>
      <w:r>
        <w:t>]t is illegal as a matter of law for any employer to impose a 100% healed or 100% fit policy on any applicants for employment or any employees."</w:t>
      </w:r>
    </w:p>
    <w:p w14:paraId="3FB8AD77" w14:textId="77777777" w:rsidR="009B0593" w:rsidRPr="009B0593" w:rsidRDefault="009B0593" w:rsidP="009B0593">
      <w:pPr>
        <w:pStyle w:val="NormalWeb"/>
        <w:ind w:left="720"/>
      </w:pPr>
      <w:r w:rsidRPr="009B0593">
        <w:t>The Supreme Court of Maine:</w:t>
      </w:r>
    </w:p>
    <w:p w14:paraId="1352F544" w14:textId="2AE393AF" w:rsidR="009B0593" w:rsidRPr="009B0593" w:rsidRDefault="009B0593" w:rsidP="009B0593">
      <w:pPr>
        <w:pStyle w:val="NoSpacing"/>
        <w:ind w:left="720"/>
        <w:rPr>
          <w:rStyle w:val="Hyperlink"/>
          <w:rFonts w:ascii="Times New Roman" w:eastAsiaTheme="majorEastAsia" w:hAnsi="Times New Roman"/>
          <w:sz w:val="24"/>
          <w:szCs w:val="24"/>
        </w:rPr>
      </w:pPr>
      <w:r w:rsidRPr="009B0593">
        <w:rPr>
          <w:rFonts w:ascii="Times New Roman" w:hAnsi="Times New Roman"/>
          <w:sz w:val="24"/>
          <w:szCs w:val="24"/>
        </w:rPr>
        <w:t>“[B]</w:t>
      </w:r>
      <w:proofErr w:type="spellStart"/>
      <w:r w:rsidRPr="009B0593">
        <w:rPr>
          <w:rFonts w:ascii="Times New Roman" w:hAnsi="Times New Roman"/>
          <w:sz w:val="24"/>
          <w:szCs w:val="24"/>
        </w:rPr>
        <w:t>ecause</w:t>
      </w:r>
      <w:proofErr w:type="spellEnd"/>
      <w:r w:rsidRPr="009B0593">
        <w:rPr>
          <w:rFonts w:ascii="Times New Roman" w:hAnsi="Times New Roman"/>
          <w:sz w:val="24"/>
          <w:szCs w:val="24"/>
        </w:rPr>
        <w:t xml:space="preserve"> the evidence and the parties' arguments at trial focused on the required individualized assessment, we conclude that it would have been misleading or confusing for the jury to receive Smith's proposed instruction as written.” </w:t>
      </w:r>
      <w:hyperlink r:id="rId1695" w:history="1">
        <w:r w:rsidRPr="009B0593">
          <w:rPr>
            <w:rStyle w:val="Hyperlink"/>
            <w:rFonts w:ascii="Times New Roman" w:eastAsiaTheme="majorEastAsia" w:hAnsi="Times New Roman"/>
            <w:sz w:val="24"/>
            <w:szCs w:val="24"/>
          </w:rPr>
          <w:t>https://casetext.com/case/smith-v-city-of-sanford-2</w:t>
        </w:r>
      </w:hyperlink>
    </w:p>
    <w:p w14:paraId="12D99D93" w14:textId="77777777" w:rsidR="009B0593" w:rsidRDefault="009B0593" w:rsidP="009B0593">
      <w:pPr>
        <w:pStyle w:val="NoSpacing"/>
        <w:ind w:left="720"/>
        <w:rPr>
          <w:rStyle w:val="Hyperlink"/>
          <w:rFonts w:eastAsiaTheme="majorEastAsia"/>
        </w:rPr>
      </w:pPr>
    </w:p>
    <w:p w14:paraId="73F67A1B" w14:textId="77777777" w:rsidR="009B0593" w:rsidRPr="00B86D33" w:rsidRDefault="009B0593" w:rsidP="009B0593">
      <w:pPr>
        <w:pStyle w:val="NormalWeb"/>
        <w:rPr>
          <w:b/>
          <w:bCs/>
        </w:rPr>
      </w:pPr>
      <w:r w:rsidRPr="00B86D33">
        <w:rPr>
          <w:b/>
          <w:bCs/>
        </w:rPr>
        <w:t>Legal Lesson Learned:</w:t>
      </w:r>
      <w:r>
        <w:rPr>
          <w:b/>
          <w:bCs/>
        </w:rPr>
        <w:t xml:space="preserve"> FDs may properly require personnel to meet physical lifting requirements; they should be published. </w:t>
      </w:r>
    </w:p>
    <w:p w14:paraId="3AD0B682" w14:textId="77777777" w:rsidR="009B0593" w:rsidRDefault="009B0593" w:rsidP="009B0593">
      <w:pPr>
        <w:pStyle w:val="NoSpacing"/>
        <w:ind w:left="720"/>
        <w:rPr>
          <w:rFonts w:ascii="Arial Black" w:hAnsi="Arial Black"/>
          <w:sz w:val="24"/>
          <w:szCs w:val="24"/>
        </w:rPr>
      </w:pPr>
    </w:p>
    <w:p w14:paraId="034628B6" w14:textId="77777777" w:rsidR="009B0593" w:rsidRDefault="009B0593" w:rsidP="005C30A4">
      <w:pPr>
        <w:pStyle w:val="NoSpacing"/>
        <w:rPr>
          <w:rFonts w:ascii="Arial Black" w:hAnsi="Arial Black"/>
          <w:sz w:val="24"/>
          <w:szCs w:val="24"/>
        </w:rPr>
      </w:pPr>
    </w:p>
    <w:p w14:paraId="516A49C0" w14:textId="10E02DB5" w:rsidR="00BC4628" w:rsidRDefault="000644B6" w:rsidP="005C30A4">
      <w:pPr>
        <w:pStyle w:val="NoSpacing"/>
        <w:rPr>
          <w:rFonts w:ascii="Arial Black" w:hAnsi="Arial Black"/>
          <w:sz w:val="24"/>
          <w:szCs w:val="24"/>
        </w:rPr>
      </w:pPr>
      <w:r>
        <w:rPr>
          <w:rFonts w:ascii="Arial Black" w:hAnsi="Arial Black"/>
          <w:sz w:val="24"/>
          <w:szCs w:val="24"/>
        </w:rPr>
        <w:t>9-36</w:t>
      </w:r>
    </w:p>
    <w:p w14:paraId="02CCC435" w14:textId="77777777" w:rsidR="000644B6" w:rsidRPr="00AD7405" w:rsidRDefault="000644B6" w:rsidP="000644B6">
      <w:pPr>
        <w:pStyle w:val="NormalWeb"/>
        <w:jc w:val="both"/>
        <w:rPr>
          <w:rFonts w:ascii="Arial Black" w:hAnsi="Arial Black"/>
          <w:sz w:val="28"/>
          <w:szCs w:val="28"/>
        </w:rPr>
      </w:pPr>
      <w:r>
        <w:rPr>
          <w:rFonts w:ascii="Arial Black" w:hAnsi="Arial Black"/>
          <w:sz w:val="28"/>
          <w:szCs w:val="28"/>
        </w:rPr>
        <w:t>MD: PRE-TRIAL DISCOVERY – EMT CLAIMS NOT PROMOTED BIPOLAR / DEPRESSION – MUST PROVIDE MEDICAL RECORDS</w:t>
      </w:r>
    </w:p>
    <w:p w14:paraId="048FE1BA" w14:textId="77777777" w:rsidR="000644B6" w:rsidRPr="000644B6" w:rsidRDefault="000644B6" w:rsidP="000644B6">
      <w:pPr>
        <w:pStyle w:val="NormalWeb"/>
      </w:pPr>
      <w:r w:rsidRPr="000644B6">
        <w:t xml:space="preserve">On July 10, 2023, in </w:t>
      </w:r>
      <w:r w:rsidRPr="000644B6">
        <w:rPr>
          <w:u w:val="single"/>
        </w:rPr>
        <w:t>Matthew Schaeffer v. Mayor and City Council of Baltimore</w:t>
      </w:r>
      <w:r w:rsidRPr="000644B6">
        <w:t xml:space="preserve">, U.S, Magistrate J. Mark Coulson, U.S. District Court for District of Maryland, held in a pre-trial discovery dispute that the </w:t>
      </w:r>
      <w:proofErr w:type="gramStart"/>
      <w:r w:rsidRPr="000644B6">
        <w:t>City</w:t>
      </w:r>
      <w:proofErr w:type="gramEnd"/>
      <w:r w:rsidRPr="000644B6">
        <w:t xml:space="preserve"> is entitled to the EMT’s mental and other medical records for past seven years.  The EMT has been with FD since 2015, and states FD has been aware of his diagnoses of bipolar disorder and depression.  Plaintiff further alleges that he was not promoted in 2015, and in February 2022 he received written notice of promotion qualification after completing all assessments and a medical screening, but City “then improperly imposed additional medical clearance requirements at the last minute based on Plaintiff's mental health conditions, resulting in Defendant revoking the promotion.” The </w:t>
      </w:r>
      <w:proofErr w:type="gramStart"/>
      <w:r w:rsidRPr="000644B6">
        <w:t>City</w:t>
      </w:r>
      <w:proofErr w:type="gramEnd"/>
      <w:r w:rsidRPr="000644B6">
        <w:t xml:space="preserve"> served plaintiff with written requests for records, </w:t>
      </w:r>
    </w:p>
    <w:p w14:paraId="1ED34017" w14:textId="77777777" w:rsidR="000644B6" w:rsidRPr="000644B6" w:rsidRDefault="000644B6" w:rsidP="000644B6">
      <w:pPr>
        <w:pStyle w:val="NormalWeb"/>
      </w:pPr>
      <w:r w:rsidRPr="000644B6">
        <w:t xml:space="preserve">The Court held: </w:t>
      </w:r>
    </w:p>
    <w:p w14:paraId="0F3F19C8" w14:textId="294E8093" w:rsidR="000644B6" w:rsidRDefault="000644B6" w:rsidP="000644B6">
      <w:pPr>
        <w:pStyle w:val="NoSpacing"/>
        <w:rPr>
          <w:rFonts w:ascii="Arial Black" w:hAnsi="Arial Black"/>
          <w:sz w:val="24"/>
          <w:szCs w:val="24"/>
        </w:rPr>
      </w:pPr>
      <w:r w:rsidRPr="000644B6">
        <w:rPr>
          <w:rFonts w:ascii="Times New Roman" w:hAnsi="Times New Roman"/>
          <w:sz w:val="24"/>
          <w:szCs w:val="24"/>
        </w:rPr>
        <w:t xml:space="preserve">“Defendant seeks discovery regarding, </w:t>
      </w:r>
      <w:r w:rsidRPr="000644B6">
        <w:rPr>
          <w:rStyle w:val="Emphasis"/>
          <w:rFonts w:ascii="Times New Roman" w:hAnsi="Times New Roman"/>
          <w:sz w:val="24"/>
          <w:szCs w:val="24"/>
        </w:rPr>
        <w:t>inter alia</w:t>
      </w:r>
      <w:r w:rsidRPr="000644B6">
        <w:rPr>
          <w:rFonts w:ascii="Times New Roman" w:hAnsi="Times New Roman"/>
          <w:sz w:val="24"/>
          <w:szCs w:val="24"/>
        </w:rPr>
        <w:t xml:space="preserve">, Plaintiff's mental health treatment. *** Interrogatory No. 6, reading, in pertinent part, ‘If you have undergone treatment in the past seven (7) years for a mental illness or </w:t>
      </w:r>
      <w:r w:rsidRPr="000644B6">
        <w:rPr>
          <w:rFonts w:ascii="Times New Roman" w:hAnsi="Times New Roman"/>
          <w:sz w:val="24"/>
          <w:szCs w:val="24"/>
        </w:rPr>
        <w:lastRenderedPageBreak/>
        <w:t xml:space="preserve">emotional condition . . . please state all details . . .including the nature of the illness/condition, dates of treatment, the circumstances surrounding its occurrence, and the names of health care providers involved in the examination, diagnosis or treatment of it.’ *** Given that both </w:t>
      </w:r>
      <w:proofErr w:type="gramStart"/>
      <w:r w:rsidRPr="000644B6">
        <w:rPr>
          <w:rFonts w:ascii="Times New Roman" w:hAnsi="Times New Roman"/>
          <w:sz w:val="24"/>
          <w:szCs w:val="24"/>
        </w:rPr>
        <w:t>damages</w:t>
      </w:r>
      <w:proofErr w:type="gramEnd"/>
      <w:r w:rsidRPr="000644B6">
        <w:rPr>
          <w:rFonts w:ascii="Times New Roman" w:hAnsi="Times New Roman"/>
          <w:sz w:val="24"/>
          <w:szCs w:val="24"/>
        </w:rPr>
        <w:t xml:space="preserve"> and liability itself are premised on the nature and extent of Plaintiff's mental health diagnoses and treatment, Defendant should be allowed reasonable inquiry into such areas. Further, as noted above, given that the core claim in this case is that Defendant discriminated against Plaintiff because of Plaintiff's mental health diagnoses, the Court has no trouble concluding that those conditions are within the scope of discovery. Plaintiff's amended response is that he has not needed or undergone treatment for mental illness or emotional condition in the last seven years ‘except as previously provided to the defendant…. The Court finds Plaintiff's response insufficient. Although Plaintiff may well have provided medical and mental health information as part of his employment,</w:t>
      </w:r>
      <w:r w:rsidRPr="000644B6">
        <w:rPr>
          <w:rFonts w:ascii="Times New Roman" w:hAnsi="Times New Roman"/>
          <w:sz w:val="24"/>
          <w:szCs w:val="24"/>
          <w:vertAlign w:val="superscript"/>
        </w:rPr>
        <w:t xml:space="preserve"> </w:t>
      </w:r>
      <w:r w:rsidRPr="000644B6">
        <w:rPr>
          <w:rFonts w:ascii="Times New Roman" w:hAnsi="Times New Roman"/>
          <w:sz w:val="24"/>
          <w:szCs w:val="24"/>
        </w:rPr>
        <w:t xml:space="preserve">this does not excuse him from providing the narrative called for by this interrogatory, especially since Plaintiff has been a long-time employee of BCFD.” </w:t>
      </w:r>
      <w:hyperlink r:id="rId1696" w:history="1">
        <w:r w:rsidRPr="000E286F">
          <w:rPr>
            <w:rStyle w:val="Hyperlink"/>
            <w:rFonts w:eastAsiaTheme="majorEastAsia"/>
          </w:rPr>
          <w:t>https://public.fastcase.com/ZZhmr5v9wN%2FXOe5IsQ%2FqD0vptgQgkTgOc2XpReLMSYnB1s%2FjY6uEmfEHbXjNZYzwjdaE47PHCuenuGKG11vJGyDk8SuwK4ZV%2BjmAhdBj8vo%3D?utm_medium=email&amp;_hsmi=226712652&amp;_hsenc=p2ANqtz-8f3GbrLnvkkmFwGTcrnfHBUbhSWsI9S9n17c5FNvxL__Rb5dkxAl0xkukh9Thg8SYUm21fgYbaYJ57SsEv3B3vwn_tCQ&amp;utm_content=226712652&amp;utm_source=hs_email</w:t>
        </w:r>
      </w:hyperlink>
    </w:p>
    <w:p w14:paraId="3C355A9C" w14:textId="77777777" w:rsidR="000644B6" w:rsidRDefault="000644B6" w:rsidP="005C30A4">
      <w:pPr>
        <w:pStyle w:val="NoSpacing"/>
        <w:rPr>
          <w:rFonts w:ascii="Arial Black" w:hAnsi="Arial Black"/>
          <w:sz w:val="24"/>
          <w:szCs w:val="24"/>
        </w:rPr>
      </w:pPr>
    </w:p>
    <w:p w14:paraId="43E2F14D" w14:textId="77777777" w:rsidR="000644B6" w:rsidRPr="002C7617" w:rsidRDefault="000644B6" w:rsidP="000644B6">
      <w:pPr>
        <w:pStyle w:val="NormalWeb"/>
        <w:rPr>
          <w:b/>
          <w:bCs/>
        </w:rPr>
      </w:pPr>
      <w:r w:rsidRPr="002C7617">
        <w:rPr>
          <w:b/>
          <w:bCs/>
        </w:rPr>
        <w:t xml:space="preserve">Legal Lesson Learned: </w:t>
      </w:r>
      <w:r>
        <w:rPr>
          <w:b/>
          <w:bCs/>
        </w:rPr>
        <w:t xml:space="preserve">In pre-trial discovery involving alleged discrimination based on employee’s mental health, the City is entitled to plaintiff’s medical records. </w:t>
      </w:r>
    </w:p>
    <w:p w14:paraId="2433122F" w14:textId="4736E99A" w:rsidR="000644B6" w:rsidRDefault="000644B6" w:rsidP="005C30A4">
      <w:pPr>
        <w:pStyle w:val="NoSpacing"/>
        <w:rPr>
          <w:rFonts w:ascii="Arial Black" w:hAnsi="Arial Black"/>
          <w:sz w:val="24"/>
          <w:szCs w:val="24"/>
        </w:rPr>
      </w:pPr>
      <w:r>
        <w:rPr>
          <w:rFonts w:ascii="Arial Black" w:hAnsi="Arial Black"/>
          <w:sz w:val="24"/>
          <w:szCs w:val="24"/>
        </w:rPr>
        <w:t xml:space="preserve"> </w:t>
      </w:r>
    </w:p>
    <w:p w14:paraId="033A1AC3" w14:textId="65E1D847" w:rsidR="00BC4628" w:rsidRDefault="00BC4628" w:rsidP="005C30A4">
      <w:pPr>
        <w:pStyle w:val="NoSpacing"/>
        <w:rPr>
          <w:rFonts w:ascii="Arial Black" w:hAnsi="Arial Black"/>
          <w:sz w:val="24"/>
          <w:szCs w:val="24"/>
        </w:rPr>
      </w:pPr>
      <w:r>
        <w:rPr>
          <w:rFonts w:ascii="Arial Black" w:hAnsi="Arial Black"/>
          <w:sz w:val="24"/>
          <w:szCs w:val="24"/>
        </w:rPr>
        <w:t>9-3</w:t>
      </w:r>
      <w:r w:rsidR="00D33F96">
        <w:rPr>
          <w:rFonts w:ascii="Arial Black" w:hAnsi="Arial Black"/>
          <w:sz w:val="24"/>
          <w:szCs w:val="24"/>
        </w:rPr>
        <w:t>5</w:t>
      </w:r>
    </w:p>
    <w:p w14:paraId="580AB02E" w14:textId="77777777" w:rsidR="00BC4628" w:rsidRDefault="00BC4628" w:rsidP="00BC4628">
      <w:pPr>
        <w:pStyle w:val="NormalWeb"/>
        <w:rPr>
          <w:rFonts w:ascii="Arial Black" w:hAnsi="Arial Black"/>
          <w:sz w:val="28"/>
          <w:szCs w:val="28"/>
        </w:rPr>
      </w:pPr>
      <w:r>
        <w:rPr>
          <w:rFonts w:ascii="Arial Black" w:hAnsi="Arial Black"/>
          <w:sz w:val="28"/>
          <w:szCs w:val="28"/>
        </w:rPr>
        <w:t>IL: CHICAGO FD APPLICANT SENT PSYCH EXAM – PRIOR HISTORY – FAILED – CITY MUST NAME 12 OTHERS FAILED</w:t>
      </w:r>
    </w:p>
    <w:p w14:paraId="2D15B3CC" w14:textId="77777777" w:rsidR="00BC4628" w:rsidRDefault="00BC4628" w:rsidP="00BC4628">
      <w:pPr>
        <w:pStyle w:val="NormalWeb"/>
      </w:pPr>
      <w:r>
        <w:t xml:space="preserve">On July 5, 2023, in </w:t>
      </w:r>
      <w:r w:rsidRPr="00046C0A">
        <w:rPr>
          <w:u w:val="single"/>
        </w:rPr>
        <w:t>Nicholas Sintos v. City of Chicago</w:t>
      </w:r>
      <w:r>
        <w:t xml:space="preserve">, U.S. District Court </w:t>
      </w:r>
      <w:r w:rsidRPr="00046C0A">
        <w:t>Judge Sara L. Elli</w:t>
      </w:r>
      <w:r>
        <w:t xml:space="preserve">, U.S. District Court for Northern District of Illinois, Eastern Division, ordered the City to produce the names and unredacted psych exam records of12 other applicants who were ordered to take psychological exams having received job offers upon passing the exam.  The Court had initially held that names of these individuals should not be disclosed, upon after a court hearing decided that names must be disclosed, and no requirement city first get their authorization. </w:t>
      </w:r>
    </w:p>
    <w:p w14:paraId="349F5FD8" w14:textId="77777777" w:rsidR="00BC4628" w:rsidRPr="003D36C0" w:rsidRDefault="00BC4628" w:rsidP="00BC4628">
      <w:pPr>
        <w:pStyle w:val="NormalWeb"/>
      </w:pPr>
      <w:r>
        <w:t>The Court held: “</w:t>
      </w:r>
      <w:r w:rsidRPr="00046C0A">
        <w:t xml:space="preserve">During discovery, the </w:t>
      </w:r>
      <w:proofErr w:type="gramStart"/>
      <w:r w:rsidRPr="00046C0A">
        <w:t>City</w:t>
      </w:r>
      <w:proofErr w:type="gramEnd"/>
      <w:r w:rsidRPr="00046C0A">
        <w:t xml:space="preserve"> produced medical clearance files for other applicants, however, it redacted their names and contact information. </w:t>
      </w:r>
      <w:proofErr w:type="spellStart"/>
      <w:r w:rsidRPr="00046C0A">
        <w:t>Sintos</w:t>
      </w:r>
      <w:proofErr w:type="spellEnd"/>
      <w:r w:rsidRPr="00046C0A">
        <w:t xml:space="preserve"> asked the Court to require the </w:t>
      </w:r>
      <w:proofErr w:type="gramStart"/>
      <w:r w:rsidRPr="00046C0A">
        <w:t>City</w:t>
      </w:r>
      <w:proofErr w:type="gramEnd"/>
      <w:r w:rsidRPr="00046C0A">
        <w:t xml:space="preserve"> to produce unredacted versions so that he could contact other candidates who, like him, were required to undergo post-offer psychological exams. </w:t>
      </w:r>
      <w:proofErr w:type="spellStart"/>
      <w:r w:rsidRPr="00046C0A">
        <w:t>Sintos</w:t>
      </w:r>
      <w:proofErr w:type="spellEnd"/>
      <w:r w:rsidRPr="00046C0A">
        <w:t xml:space="preserve"> argued that he is entitled to contact these individuals as they are potential witnesses.</w:t>
      </w:r>
      <w:r>
        <w:t xml:space="preserve"> *** </w:t>
      </w:r>
      <w:r w:rsidRPr="003D36C0">
        <w:t xml:space="preserve">To support his argument that the practice is widespread, </w:t>
      </w:r>
      <w:proofErr w:type="spellStart"/>
      <w:r w:rsidRPr="003D36C0">
        <w:t>Sintos</w:t>
      </w:r>
      <w:proofErr w:type="spellEnd"/>
      <w:r w:rsidRPr="003D36C0">
        <w:t xml:space="preserve"> </w:t>
      </w:r>
      <w:proofErr w:type="gramStart"/>
      <w:r w:rsidRPr="003D36C0">
        <w:t>seeks</w:t>
      </w:r>
      <w:proofErr w:type="gramEnd"/>
      <w:r w:rsidRPr="003D36C0">
        <w:t xml:space="preserve"> to contact other applicants who underwent the psychological evaluation exam but were not hired. </w:t>
      </w:r>
      <w:r w:rsidRPr="003D36C0">
        <w:rPr>
          <w:rStyle w:val="Emphasis"/>
          <w:rFonts w:eastAsiaTheme="majorEastAsia"/>
        </w:rPr>
        <w:t>See Reed v. Wexford Health Sources, Inc.</w:t>
      </w:r>
      <w:r w:rsidRPr="003D36C0">
        <w:t>, No. 20-cv-01139-SPM, 2022 WL 4483949, at *6 (S.D. Ill. Sept. 27, 2022) (“</w:t>
      </w:r>
      <w:r w:rsidRPr="003D36C0">
        <w:rPr>
          <w:rStyle w:val="Emphasis"/>
          <w:rFonts w:eastAsiaTheme="majorEastAsia"/>
        </w:rPr>
        <w:t>Monell</w:t>
      </w:r>
      <w:r w:rsidRPr="003D36C0">
        <w:t xml:space="preserve"> claims often require broad discovery.). Here, the Court is allowing </w:t>
      </w:r>
      <w:proofErr w:type="spellStart"/>
      <w:r w:rsidRPr="003D36C0">
        <w:t>Sintos</w:t>
      </w:r>
      <w:proofErr w:type="spellEnd"/>
      <w:r w:rsidRPr="003D36C0">
        <w:t xml:space="preserve"> access to </w:t>
      </w:r>
      <w:proofErr w:type="gramStart"/>
      <w:r w:rsidRPr="003D36C0">
        <w:t>the unredacted</w:t>
      </w:r>
      <w:proofErr w:type="gramEnd"/>
      <w:r w:rsidRPr="003D36C0">
        <w:t xml:space="preserve"> information for at most twelve individuals. Given the small number of individuals and the need for this information to establish his </w:t>
      </w:r>
      <w:r w:rsidRPr="003D36C0">
        <w:rPr>
          <w:rStyle w:val="Emphasis"/>
          <w:rFonts w:eastAsiaTheme="majorEastAsia"/>
        </w:rPr>
        <w:t>Monell</w:t>
      </w:r>
      <w:r w:rsidRPr="003D36C0">
        <w:t xml:space="preserve"> claim, the Court found it appropriate to order the City to provide unredacted files.</w:t>
      </w:r>
      <w:r>
        <w:t xml:space="preserve"> *** </w:t>
      </w:r>
      <w:r w:rsidRPr="003D36C0">
        <w:t xml:space="preserve">The City contends that even if the federal psychotherapist-patient privilege, and not the Mental Health Act, applies, that it too bars the disclosure of the unredacted third-party applicant files absent consent from </w:t>
      </w:r>
      <w:proofErr w:type="gramStart"/>
      <w:r w:rsidRPr="003D36C0">
        <w:t>each individual</w:t>
      </w:r>
      <w:proofErr w:type="gramEnd"/>
      <w:r>
        <w:t xml:space="preserve">…. </w:t>
      </w:r>
      <w:r w:rsidRPr="003D36C0">
        <w:t xml:space="preserve">Here, the third-party applicants were not seeking mental health treatment, as in </w:t>
      </w:r>
      <w:r w:rsidRPr="003D36C0">
        <w:rPr>
          <w:rStyle w:val="Emphasis"/>
          <w:rFonts w:eastAsiaTheme="majorEastAsia"/>
        </w:rPr>
        <w:t>Jaffee</w:t>
      </w:r>
      <w:r>
        <w:t xml:space="preserve"> </w:t>
      </w:r>
      <w:r w:rsidRPr="003D36C0">
        <w:t>[</w:t>
      </w:r>
      <w:r w:rsidRPr="003D36C0">
        <w:rPr>
          <w:rStyle w:val="Emphasis"/>
          <w:rFonts w:eastAsiaTheme="majorEastAsia"/>
        </w:rPr>
        <w:t>v. Redmond</w:t>
      </w:r>
      <w:r w:rsidRPr="003D36C0">
        <w:t xml:space="preserve">, 518 U.S. 1, 10 (1996)] but instead were participating in a compelled evaluation in hopes of gaining employment with the City. </w:t>
      </w:r>
      <w:r w:rsidRPr="003D36C0">
        <w:rPr>
          <w:rStyle w:val="Emphasis"/>
          <w:rFonts w:eastAsiaTheme="majorEastAsia"/>
        </w:rPr>
        <w:t>See id.</w:t>
      </w:r>
      <w:r w:rsidRPr="003D36C0">
        <w:t xml:space="preserve"> Thus, the Court finds that neither the Mental Health Act nor the federal psychotherapist-patient privilege apply.</w:t>
      </w:r>
      <w:r>
        <w:t xml:space="preserve">” </w:t>
      </w:r>
      <w:hyperlink r:id="rId1697" w:history="1">
        <w:r w:rsidRPr="00E97EE7">
          <w:rPr>
            <w:rStyle w:val="Hyperlink"/>
          </w:rPr>
          <w:t>https://public.fastcase.com/ZZhmr5v9wN%2FXOe5IsQ%2FqD3krOQsYv7d%2B2FRanieXHrmbYJPE10W29y6OT9Ia%2FWEvM783GCgc1J%2FsNiq8x9hdfsWhS9nPoC1uzPRzllCUOIc%3D?utm_medium=email&amp;_hsmi=226712652&amp;_hsenc=p2ANqtz-8spF1R7Tf8jpK24zY2dxus9kZGwVA1F9Ooj2BZLJ_FR6fOEX3itYzYoKF0bR9AZ1zkqCBHaC-K0F7fdoWy1HLEeYJb6g&amp;utm_content=226712652&amp;utm_source=hs_email</w:t>
        </w:r>
      </w:hyperlink>
      <w:r>
        <w:t xml:space="preserve"> </w:t>
      </w:r>
    </w:p>
    <w:p w14:paraId="0A89A9BE" w14:textId="77777777" w:rsidR="00BC4628" w:rsidRPr="000A03A6" w:rsidRDefault="00BC4628" w:rsidP="00BC4628">
      <w:pPr>
        <w:pStyle w:val="NormalWeb"/>
        <w:rPr>
          <w:b/>
          <w:bCs/>
        </w:rPr>
      </w:pPr>
      <w:r w:rsidRPr="000A03A6">
        <w:rPr>
          <w:b/>
          <w:bCs/>
        </w:rPr>
        <w:t xml:space="preserve">Legal Lesson Learned: </w:t>
      </w:r>
      <w:r>
        <w:rPr>
          <w:b/>
          <w:bCs/>
        </w:rPr>
        <w:t xml:space="preserve">Many FDs require psych exams as part of final job </w:t>
      </w:r>
      <w:proofErr w:type="gramStart"/>
      <w:r>
        <w:rPr>
          <w:b/>
          <w:bCs/>
        </w:rPr>
        <w:t>offer</w:t>
      </w:r>
      <w:proofErr w:type="gramEnd"/>
      <w:r>
        <w:rPr>
          <w:b/>
          <w:bCs/>
        </w:rPr>
        <w:t xml:space="preserve"> for all finalists; see below EEOC Guidance.  </w:t>
      </w:r>
    </w:p>
    <w:p w14:paraId="5E419099" w14:textId="77777777" w:rsidR="00BC4628" w:rsidRDefault="00BC4628" w:rsidP="00BC4628">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Note: See EEOC Enforcement Guidance </w:t>
      </w:r>
      <w:proofErr w:type="gramStart"/>
      <w:r>
        <w:rPr>
          <w:rFonts w:ascii="Times New Roman" w:hAnsi="Times New Roman"/>
          <w:sz w:val="24"/>
          <w:szCs w:val="24"/>
        </w:rPr>
        <w:t>On</w:t>
      </w:r>
      <w:proofErr w:type="gramEnd"/>
      <w:r>
        <w:rPr>
          <w:rFonts w:ascii="Times New Roman" w:hAnsi="Times New Roman"/>
          <w:sz w:val="24"/>
          <w:szCs w:val="24"/>
        </w:rPr>
        <w:t xml:space="preserve"> Disability-Related </w:t>
      </w:r>
      <w:proofErr w:type="spellStart"/>
      <w:r>
        <w:rPr>
          <w:rFonts w:ascii="Times New Roman" w:hAnsi="Times New Roman"/>
          <w:sz w:val="24"/>
          <w:szCs w:val="24"/>
        </w:rPr>
        <w:t>Inquries</w:t>
      </w:r>
      <w:proofErr w:type="spellEnd"/>
      <w:r>
        <w:rPr>
          <w:rFonts w:ascii="Times New Roman" w:hAnsi="Times New Roman"/>
          <w:sz w:val="24"/>
          <w:szCs w:val="24"/>
        </w:rPr>
        <w:t xml:space="preserve"> </w:t>
      </w:r>
      <w:proofErr w:type="gramStart"/>
      <w:r>
        <w:rPr>
          <w:rFonts w:ascii="Times New Roman" w:hAnsi="Times New Roman"/>
          <w:sz w:val="24"/>
          <w:szCs w:val="24"/>
        </w:rPr>
        <w:t>And</w:t>
      </w:r>
      <w:proofErr w:type="gramEnd"/>
      <w:r>
        <w:rPr>
          <w:rFonts w:ascii="Times New Roman" w:hAnsi="Times New Roman"/>
          <w:sz w:val="24"/>
          <w:szCs w:val="24"/>
        </w:rPr>
        <w:t xml:space="preserve"> Medical Examinations Under ADA . </w:t>
      </w:r>
      <w:hyperlink r:id="rId1698" w:history="1">
        <w:r w:rsidRPr="001055F4">
          <w:rPr>
            <w:rStyle w:val="Hyperlink"/>
            <w:sz w:val="24"/>
            <w:szCs w:val="24"/>
          </w:rPr>
          <w:t>https://www.eeoc.gov/laws/guidance/enforcement-guidance-disability-related-inquiries-and-medical-examinations-employees</w:t>
        </w:r>
      </w:hyperlink>
      <w:r>
        <w:rPr>
          <w:rFonts w:ascii="Times New Roman" w:hAnsi="Times New Roman"/>
          <w:sz w:val="24"/>
          <w:szCs w:val="24"/>
        </w:rPr>
        <w:t xml:space="preserve"> </w:t>
      </w:r>
    </w:p>
    <w:p w14:paraId="14552EBA" w14:textId="77777777" w:rsidR="00BC4628" w:rsidRPr="00103455" w:rsidRDefault="00BC4628" w:rsidP="00BC4628">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103455">
        <w:rPr>
          <w:rFonts w:ascii="Times New Roman" w:hAnsi="Times New Roman"/>
          <w:sz w:val="24"/>
          <w:szCs w:val="24"/>
        </w:rPr>
        <w:t xml:space="preserve">Under the ADA, an employer's ability to make disability-related inquiries or require medical examinations is analyzed in three stages: pre-offer, post-offer, and employment. At the first stage </w:t>
      </w:r>
      <w:r w:rsidRPr="00103455">
        <w:rPr>
          <w:rStyle w:val="Strong"/>
          <w:rFonts w:ascii="Times New Roman" w:hAnsi="Times New Roman"/>
          <w:sz w:val="24"/>
          <w:szCs w:val="24"/>
        </w:rPr>
        <w:t>(prior to an offer of employment)</w:t>
      </w:r>
      <w:r w:rsidRPr="00103455">
        <w:rPr>
          <w:rFonts w:ascii="Times New Roman" w:hAnsi="Times New Roman"/>
          <w:sz w:val="24"/>
          <w:szCs w:val="24"/>
        </w:rPr>
        <w:t>, the ADA prohibits all disability-related inquiries and medical examinations,</w:t>
      </w:r>
      <w:r w:rsidRPr="00103455">
        <w:rPr>
          <w:rStyle w:val="Emphasis"/>
          <w:rFonts w:ascii="Times New Roman" w:hAnsi="Times New Roman"/>
          <w:sz w:val="24"/>
          <w:szCs w:val="24"/>
        </w:rPr>
        <w:t xml:space="preserve"> even if</w:t>
      </w:r>
      <w:r w:rsidRPr="00103455">
        <w:rPr>
          <w:rFonts w:ascii="Times New Roman" w:hAnsi="Times New Roman"/>
          <w:sz w:val="24"/>
          <w:szCs w:val="24"/>
        </w:rPr>
        <w:t xml:space="preserve"> they are related to the job. At the second stage </w:t>
      </w:r>
      <w:r w:rsidRPr="00103455">
        <w:rPr>
          <w:rStyle w:val="Strong"/>
          <w:rFonts w:ascii="Times New Roman" w:hAnsi="Times New Roman"/>
          <w:sz w:val="24"/>
          <w:szCs w:val="24"/>
        </w:rPr>
        <w:t>(after an applicant is given a conditional job offer, but before s/he starts work)</w:t>
      </w:r>
      <w:r w:rsidRPr="00103455">
        <w:rPr>
          <w:rFonts w:ascii="Times New Roman" w:hAnsi="Times New Roman"/>
          <w:sz w:val="24"/>
          <w:szCs w:val="24"/>
        </w:rPr>
        <w:t xml:space="preserve">, an employer may make disability-related inquiries and conduct medical examinations, regardless of whether they are related to the job, as long as it does so for all entering employees in the same job category. At the third stage </w:t>
      </w:r>
      <w:r w:rsidRPr="00103455">
        <w:rPr>
          <w:rStyle w:val="Strong"/>
          <w:rFonts w:ascii="Times New Roman" w:hAnsi="Times New Roman"/>
          <w:sz w:val="24"/>
          <w:szCs w:val="24"/>
        </w:rPr>
        <w:t>(after employment begins)</w:t>
      </w:r>
      <w:r w:rsidRPr="00103455">
        <w:rPr>
          <w:rFonts w:ascii="Times New Roman" w:hAnsi="Times New Roman"/>
          <w:sz w:val="24"/>
          <w:szCs w:val="24"/>
        </w:rPr>
        <w:t xml:space="preserve">, an employer may make disability-related inquiries and require medical examinations </w:t>
      </w:r>
      <w:r w:rsidRPr="00103455">
        <w:rPr>
          <w:rStyle w:val="Emphasis"/>
          <w:rFonts w:ascii="Times New Roman" w:hAnsi="Times New Roman"/>
          <w:sz w:val="24"/>
          <w:szCs w:val="24"/>
        </w:rPr>
        <w:t>only</w:t>
      </w:r>
      <w:r w:rsidRPr="00103455">
        <w:rPr>
          <w:rFonts w:ascii="Times New Roman" w:hAnsi="Times New Roman"/>
          <w:sz w:val="24"/>
          <w:szCs w:val="24"/>
        </w:rPr>
        <w:t xml:space="preserve"> if they are job-related and consistent with business </w:t>
      </w:r>
      <w:proofErr w:type="gramStart"/>
      <w:r w:rsidRPr="00103455">
        <w:rPr>
          <w:rFonts w:ascii="Times New Roman" w:hAnsi="Times New Roman"/>
          <w:sz w:val="24"/>
          <w:szCs w:val="24"/>
        </w:rPr>
        <w:t>necessity.</w:t>
      </w:r>
      <w:r>
        <w:rPr>
          <w:rFonts w:ascii="Times New Roman" w:hAnsi="Times New Roman"/>
          <w:sz w:val="24"/>
          <w:szCs w:val="24"/>
        </w:rPr>
        <w:t>”</w:t>
      </w:r>
      <w:proofErr w:type="gramEnd"/>
      <w:r w:rsidRPr="00103455">
        <w:rPr>
          <w:rFonts w:ascii="Times New Roman" w:hAnsi="Times New Roman"/>
          <w:sz w:val="24"/>
          <w:szCs w:val="24"/>
        </w:rPr>
        <w:t xml:space="preserve"> </w:t>
      </w:r>
    </w:p>
    <w:p w14:paraId="2EC1B35D" w14:textId="77777777" w:rsidR="00BC4628" w:rsidRDefault="00BC4628" w:rsidP="005C30A4">
      <w:pPr>
        <w:pStyle w:val="NoSpacing"/>
        <w:rPr>
          <w:rFonts w:ascii="Arial Black" w:hAnsi="Arial Black"/>
          <w:sz w:val="24"/>
          <w:szCs w:val="24"/>
        </w:rPr>
      </w:pPr>
    </w:p>
    <w:p w14:paraId="1506AFF4" w14:textId="77777777" w:rsidR="00BC4628" w:rsidRDefault="00BC4628" w:rsidP="005C30A4">
      <w:pPr>
        <w:pStyle w:val="NoSpacing"/>
        <w:rPr>
          <w:rFonts w:ascii="Arial Black" w:hAnsi="Arial Black"/>
          <w:sz w:val="24"/>
          <w:szCs w:val="24"/>
        </w:rPr>
      </w:pPr>
    </w:p>
    <w:p w14:paraId="768A2985" w14:textId="4394DF78" w:rsidR="00C032D6" w:rsidRDefault="00C032D6" w:rsidP="005C30A4">
      <w:pPr>
        <w:pStyle w:val="NoSpacing"/>
        <w:rPr>
          <w:rFonts w:ascii="Arial Black" w:hAnsi="Arial Black"/>
          <w:sz w:val="24"/>
          <w:szCs w:val="24"/>
        </w:rPr>
      </w:pPr>
      <w:r>
        <w:rPr>
          <w:rFonts w:ascii="Arial Black" w:hAnsi="Arial Black"/>
          <w:sz w:val="24"/>
          <w:szCs w:val="24"/>
        </w:rPr>
        <w:t>9-3</w:t>
      </w:r>
      <w:r w:rsidR="00D33F96">
        <w:rPr>
          <w:rFonts w:ascii="Arial Black" w:hAnsi="Arial Black"/>
          <w:sz w:val="24"/>
          <w:szCs w:val="24"/>
        </w:rPr>
        <w:t>4</w:t>
      </w:r>
    </w:p>
    <w:p w14:paraId="26AD927A" w14:textId="77777777" w:rsidR="00C032D6" w:rsidRDefault="00C032D6" w:rsidP="005C30A4">
      <w:pPr>
        <w:pStyle w:val="NoSpacing"/>
        <w:rPr>
          <w:rFonts w:ascii="Arial Black" w:hAnsi="Arial Black"/>
          <w:sz w:val="24"/>
          <w:szCs w:val="24"/>
        </w:rPr>
      </w:pPr>
    </w:p>
    <w:p w14:paraId="44B04094" w14:textId="77777777" w:rsidR="00C032D6" w:rsidRDefault="00C032D6" w:rsidP="00C032D6">
      <w:pPr>
        <w:pStyle w:val="NormalWeb"/>
        <w:spacing w:before="0" w:beforeAutospacing="0" w:after="0" w:afterAutospacing="0"/>
        <w:rPr>
          <w:rFonts w:ascii="Arial Black" w:eastAsiaTheme="minorHAnsi" w:hAnsi="Arial Black" w:cs="Calibri"/>
          <w:color w:val="000000"/>
          <w:sz w:val="28"/>
          <w:szCs w:val="28"/>
        </w:rPr>
      </w:pPr>
      <w:r>
        <w:rPr>
          <w:rFonts w:ascii="Arial Black" w:hAnsi="Arial Black"/>
          <w:sz w:val="28"/>
          <w:szCs w:val="28"/>
        </w:rPr>
        <w:t xml:space="preserve">U.S. SUP. CT: EVANGELICAL POSTMAN - OFF ON SUNDAYS – POSTAL SERVICE MUST PROVE REAL “UNDUE HARDSHIP” </w:t>
      </w:r>
    </w:p>
    <w:p w14:paraId="00868BDD" w14:textId="38AA3673" w:rsidR="00C032D6" w:rsidRDefault="00C032D6" w:rsidP="00C032D6">
      <w:pPr>
        <w:pStyle w:val="NoSpacing"/>
        <w:rPr>
          <w:rStyle w:val="Hyperlink"/>
          <w:sz w:val="24"/>
          <w:szCs w:val="24"/>
        </w:rPr>
      </w:pPr>
      <w:r>
        <w:rPr>
          <w:rFonts w:ascii="Times New Roman" w:eastAsia="Times New Roman" w:hAnsi="Times New Roman"/>
          <w:sz w:val="24"/>
          <w:szCs w:val="24"/>
        </w:rPr>
        <w:t xml:space="preserve">On June 29, 2023, in </w:t>
      </w:r>
      <w:r>
        <w:rPr>
          <w:rFonts w:ascii="Times New Roman" w:eastAsia="Times New Roman" w:hAnsi="Times New Roman"/>
          <w:sz w:val="24"/>
          <w:szCs w:val="24"/>
          <w:u w:val="single"/>
        </w:rPr>
        <w:t>Groff v. DeJoy, Postmaster General</w:t>
      </w:r>
      <w:r>
        <w:rPr>
          <w:rFonts w:ascii="Times New Roman" w:eastAsia="Times New Roman" w:hAnsi="Times New Roman"/>
          <w:sz w:val="24"/>
          <w:szCs w:val="24"/>
        </w:rPr>
        <w:t xml:space="preserve">, the U.S. Supreme Court held (9 to 0) in an opinion by Justice </w:t>
      </w:r>
      <w:r>
        <w:rPr>
          <w:rFonts w:ascii="Times New Roman" w:hAnsi="Times New Roman"/>
          <w:sz w:val="24"/>
          <w:szCs w:val="24"/>
        </w:rPr>
        <w:t>Samuel Anthony Alito Jr., that U.S. Postal Service must accommodate a rural postman’s religious request to not work on Sundays delivering Amazon products, unless the “</w:t>
      </w:r>
      <w:r>
        <w:rPr>
          <w:rFonts w:ascii="Times New Roman" w:hAnsi="Times New Roman"/>
          <w:color w:val="343332"/>
          <w:sz w:val="24"/>
          <w:szCs w:val="24"/>
        </w:rPr>
        <w:t xml:space="preserve">burden of granting an accommodation would result in substantial increased costs in relation to the conduct of its particular business.”  Under Title VII of the Civil Rights Act of 1964, federal law bars employers from discriminating against workers for practicing their religion unless the employer can show that the worker’s religious practice cannot “reasonably” be accommodated without “undue hardship.”  </w:t>
      </w:r>
      <w:hyperlink r:id="rId1699" w:history="1">
        <w:r>
          <w:rPr>
            <w:rStyle w:val="Hyperlink"/>
            <w:sz w:val="24"/>
            <w:szCs w:val="24"/>
          </w:rPr>
          <w:t>https://www.supremecourt.gov/opinions/22pdf/22-174_k536.pdf</w:t>
        </w:r>
      </w:hyperlink>
    </w:p>
    <w:p w14:paraId="614685CF" w14:textId="77777777" w:rsidR="00C032D6" w:rsidRDefault="00C032D6" w:rsidP="00C032D6">
      <w:pPr>
        <w:pStyle w:val="NoSpacing"/>
        <w:rPr>
          <w:rStyle w:val="Hyperlink"/>
          <w:sz w:val="24"/>
          <w:szCs w:val="24"/>
        </w:rPr>
      </w:pPr>
    </w:p>
    <w:p w14:paraId="1756ADB3" w14:textId="77777777" w:rsidR="00C032D6" w:rsidRDefault="00C032D6" w:rsidP="00C032D6">
      <w:pPr>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color w:val="343332"/>
          <w:sz w:val="24"/>
          <w:szCs w:val="24"/>
        </w:rPr>
        <w:t>Legal Lesson Learned: While this is a Title VII religious accommodations case, this decision may impact employers, including Fire &amp; EMS, when an employee seeks light duty or other accommodations for a disability.   If you decline an accommodation request, after discussion with the employee, thoroughly document the “undue hardship” to the department, including impact on operations and costs.</w:t>
      </w:r>
    </w:p>
    <w:p w14:paraId="7352651F" w14:textId="77777777" w:rsidR="00C032D6" w:rsidRDefault="00C032D6" w:rsidP="00C032D6">
      <w:pPr>
        <w:spacing w:before="100" w:beforeAutospacing="1" w:after="100" w:afterAutospacing="1" w:line="240" w:lineRule="auto"/>
        <w:ind w:left="720"/>
        <w:rPr>
          <w:rFonts w:ascii="Times New Roman" w:hAnsi="Times New Roman"/>
          <w:color w:val="343332"/>
          <w:kern w:val="2"/>
          <w:sz w:val="24"/>
          <w:szCs w:val="24"/>
          <w14:ligatures w14:val="standardContextual"/>
        </w:rPr>
      </w:pPr>
      <w:r>
        <w:rPr>
          <w:rFonts w:ascii="Times New Roman" w:hAnsi="Times New Roman"/>
          <w:color w:val="343332"/>
          <w:sz w:val="24"/>
          <w:szCs w:val="24"/>
        </w:rPr>
        <w:t xml:space="preserve">Note: The EEOC has described “undue hardship” under ADA. </w:t>
      </w:r>
      <w:hyperlink r:id="rId1700" w:history="1">
        <w:r>
          <w:rPr>
            <w:rStyle w:val="Hyperlink"/>
            <w:sz w:val="24"/>
            <w:szCs w:val="24"/>
          </w:rPr>
          <w:t>https://www.eeoc.gov/publications/ada-your-responsibilities-employer</w:t>
        </w:r>
      </w:hyperlink>
      <w:r>
        <w:rPr>
          <w:rFonts w:ascii="Times New Roman" w:hAnsi="Times New Roman"/>
          <w:color w:val="343332"/>
          <w:sz w:val="24"/>
          <w:szCs w:val="24"/>
        </w:rPr>
        <w:t xml:space="preserve"> </w:t>
      </w:r>
    </w:p>
    <w:p w14:paraId="3AFE3FD6" w14:textId="77777777" w:rsidR="00C032D6" w:rsidRDefault="00C032D6" w:rsidP="00C032D6">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“It is not necessary to provide a reasonable accommodation if doing so would cause an undue hardship. Undue hardship means that </w:t>
      </w:r>
      <w:proofErr w:type="gramStart"/>
      <w:r>
        <w:rPr>
          <w:rFonts w:ascii="Times New Roman" w:eastAsia="Times New Roman" w:hAnsi="Times New Roman"/>
          <w:sz w:val="24"/>
          <w:szCs w:val="24"/>
        </w:rPr>
        <w:t>an accommodation</w:t>
      </w:r>
      <w:proofErr w:type="gramEnd"/>
      <w:r>
        <w:rPr>
          <w:rFonts w:ascii="Times New Roman" w:eastAsia="Times New Roman" w:hAnsi="Times New Roman"/>
          <w:sz w:val="24"/>
          <w:szCs w:val="24"/>
        </w:rPr>
        <w:t xml:space="preserve"> would be unduly costly, extensive, substantial or disruptive, or would fundamentally alter the nature or operation of the business. </w:t>
      </w:r>
      <w:r>
        <w:rPr>
          <w:rFonts w:ascii="Times New Roman" w:eastAsia="Times New Roman" w:hAnsi="Times New Roman"/>
          <w:sz w:val="24"/>
          <w:szCs w:val="24"/>
        </w:rPr>
        <w:lastRenderedPageBreak/>
        <w:t xml:space="preserve">Among the factors to be considered in determining whether </w:t>
      </w:r>
      <w:proofErr w:type="gramStart"/>
      <w:r>
        <w:rPr>
          <w:rFonts w:ascii="Times New Roman" w:eastAsia="Times New Roman" w:hAnsi="Times New Roman"/>
          <w:sz w:val="24"/>
          <w:szCs w:val="24"/>
        </w:rPr>
        <w:t>an accommodation</w:t>
      </w:r>
      <w:proofErr w:type="gramEnd"/>
      <w:r>
        <w:rPr>
          <w:rFonts w:ascii="Times New Roman" w:eastAsia="Times New Roman" w:hAnsi="Times New Roman"/>
          <w:sz w:val="24"/>
          <w:szCs w:val="24"/>
        </w:rPr>
        <w:t xml:space="preserve"> is an undue hardship are the cost of the accommodation, the employer's size, financial resources and the nature and structure of its operation.</w:t>
      </w:r>
    </w:p>
    <w:p w14:paraId="46E3CC09" w14:textId="77777777" w:rsidR="00C032D6" w:rsidRDefault="00C032D6" w:rsidP="00C032D6">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If a particular accommodation </w:t>
      </w:r>
      <w:proofErr w:type="gramStart"/>
      <w:r>
        <w:rPr>
          <w:rFonts w:ascii="Times New Roman" w:eastAsia="Times New Roman" w:hAnsi="Times New Roman"/>
          <w:sz w:val="24"/>
          <w:szCs w:val="24"/>
        </w:rPr>
        <w:t>would be</w:t>
      </w:r>
      <w:proofErr w:type="gramEnd"/>
      <w:r>
        <w:rPr>
          <w:rFonts w:ascii="Times New Roman" w:eastAsia="Times New Roman" w:hAnsi="Times New Roman"/>
          <w:sz w:val="24"/>
          <w:szCs w:val="24"/>
        </w:rPr>
        <w:t xml:space="preserve"> an undue hardship, you must try to identify another accommodation that will not pose such a hardship. If cost causes </w:t>
      </w:r>
      <w:proofErr w:type="gramStart"/>
      <w:r>
        <w:rPr>
          <w:rFonts w:ascii="Times New Roman" w:eastAsia="Times New Roman" w:hAnsi="Times New Roman"/>
          <w:sz w:val="24"/>
          <w:szCs w:val="24"/>
        </w:rPr>
        <w:t>the undue</w:t>
      </w:r>
      <w:proofErr w:type="gramEnd"/>
      <w:r>
        <w:rPr>
          <w:rFonts w:ascii="Times New Roman" w:eastAsia="Times New Roman" w:hAnsi="Times New Roman"/>
          <w:sz w:val="24"/>
          <w:szCs w:val="24"/>
        </w:rPr>
        <w:t xml:space="preserve"> hardship, you must also consider whether funding for </w:t>
      </w:r>
      <w:proofErr w:type="gramStart"/>
      <w:r>
        <w:rPr>
          <w:rFonts w:ascii="Times New Roman" w:eastAsia="Times New Roman" w:hAnsi="Times New Roman"/>
          <w:sz w:val="24"/>
          <w:szCs w:val="24"/>
        </w:rPr>
        <w:t>an accommodation</w:t>
      </w:r>
      <w:proofErr w:type="gramEnd"/>
      <w:r>
        <w:rPr>
          <w:rFonts w:ascii="Times New Roman" w:eastAsia="Times New Roman" w:hAnsi="Times New Roman"/>
          <w:sz w:val="24"/>
          <w:szCs w:val="24"/>
        </w:rPr>
        <w:t xml:space="preserve"> is available from an outside source, such as a vocational rehabilitation agency, and if the cost of providing the accommodation can be offset by state or federal tax credits or deductions. You must also give the applicant or employee with a disability the opportunity to provide the accommodation or pay for the portion of the accommodation that constitutes an undue </w:t>
      </w:r>
      <w:proofErr w:type="gramStart"/>
      <w:r>
        <w:rPr>
          <w:rFonts w:ascii="Times New Roman" w:eastAsia="Times New Roman" w:hAnsi="Times New Roman"/>
          <w:sz w:val="24"/>
          <w:szCs w:val="24"/>
        </w:rPr>
        <w:t>hardship.”</w:t>
      </w:r>
      <w:proofErr w:type="gramEnd"/>
    </w:p>
    <w:p w14:paraId="2C174033" w14:textId="77777777" w:rsidR="00C032D6" w:rsidRDefault="00C032D6" w:rsidP="00C032D6">
      <w:pPr>
        <w:spacing w:before="100" w:beforeAutospacing="1" w:after="100" w:afterAutospacing="1" w:line="240" w:lineRule="auto"/>
        <w:ind w:left="720"/>
        <w:rPr>
          <w:rFonts w:ascii="Times New Roman" w:hAnsi="Times New Roman"/>
          <w:kern w:val="2"/>
          <w:sz w:val="24"/>
          <w:szCs w:val="24"/>
          <w14:ligatures w14:val="standardContextual"/>
        </w:rPr>
      </w:pPr>
      <w:r>
        <w:rPr>
          <w:rFonts w:ascii="Times New Roman" w:hAnsi="Times New Roman"/>
          <w:sz w:val="24"/>
          <w:szCs w:val="24"/>
        </w:rPr>
        <w:t xml:space="preserve">Note also: The ADA's implementing regulations by EEOC state </w:t>
      </w:r>
      <w:proofErr w:type="gramStart"/>
      <w:r>
        <w:rPr>
          <w:rFonts w:ascii="Times New Roman" w:hAnsi="Times New Roman"/>
          <w:sz w:val="24"/>
          <w:szCs w:val="24"/>
        </w:rPr>
        <w:t>that, “[t]</w:t>
      </w:r>
      <w:proofErr w:type="gramEnd"/>
      <w:r>
        <w:rPr>
          <w:rFonts w:ascii="Times New Roman" w:hAnsi="Times New Roman"/>
          <w:sz w:val="24"/>
          <w:szCs w:val="24"/>
        </w:rPr>
        <w:t xml:space="preserve">o </w:t>
      </w:r>
      <w:proofErr w:type="gramStart"/>
      <w:r>
        <w:rPr>
          <w:rFonts w:ascii="Times New Roman" w:hAnsi="Times New Roman"/>
          <w:sz w:val="24"/>
          <w:szCs w:val="24"/>
        </w:rPr>
        <w:t>determine</w:t>
      </w:r>
      <w:proofErr w:type="gramEnd"/>
      <w:r>
        <w:rPr>
          <w:rFonts w:ascii="Times New Roman" w:hAnsi="Times New Roman"/>
          <w:sz w:val="24"/>
          <w:szCs w:val="24"/>
        </w:rPr>
        <w:t xml:space="preserve"> the appropriate reasonable accommodation it may be necessary for the [employer] to initiate an informal, interactive process with the qualified individual with a disability in need of accommodation.’ 29 C.F.R. § 1630.2(o)(3). </w:t>
      </w:r>
    </w:p>
    <w:p w14:paraId="1306B095" w14:textId="77777777" w:rsidR="00C032D6" w:rsidRDefault="00C032D6" w:rsidP="00C032D6">
      <w:pPr>
        <w:pStyle w:val="NormalWeb"/>
        <w:ind w:left="360"/>
      </w:pPr>
    </w:p>
    <w:p w14:paraId="02B1059F" w14:textId="19DE6530" w:rsidR="00C032D6" w:rsidRDefault="00D33F96" w:rsidP="00D33F9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9-33</w:t>
      </w:r>
    </w:p>
    <w:p w14:paraId="2A12830C" w14:textId="77777777" w:rsidR="00D33F96" w:rsidRPr="008A7EEF" w:rsidRDefault="00D33F96" w:rsidP="00D33F96">
      <w:pPr>
        <w:rPr>
          <w:rFonts w:ascii="Arial Black" w:hAnsi="Arial Black"/>
          <w:sz w:val="28"/>
          <w:szCs w:val="28"/>
        </w:rPr>
      </w:pPr>
      <w:r>
        <w:rPr>
          <w:rFonts w:ascii="Arial Black" w:hAnsi="Arial Black"/>
          <w:sz w:val="28"/>
          <w:szCs w:val="28"/>
        </w:rPr>
        <w:t>WA: FF PTSD – DENIED REQUESTED BRING HIS SERVICE DOG TO WORK – CITY PSYCHOLOGIST MAY EXAMINE FF</w:t>
      </w:r>
    </w:p>
    <w:p w14:paraId="233A2B25" w14:textId="77777777" w:rsidR="00D33F96" w:rsidRPr="008A7EEF" w:rsidRDefault="00D33F96" w:rsidP="00D33F96">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On June 23, 2023, in </w:t>
      </w:r>
      <w:r w:rsidRPr="00795DC9">
        <w:rPr>
          <w:rFonts w:ascii="Times New Roman" w:hAnsi="Times New Roman"/>
          <w:sz w:val="24"/>
          <w:szCs w:val="24"/>
          <w:u w:val="single"/>
        </w:rPr>
        <w:t>Abraham Meyer v. City of Chehalis</w:t>
      </w:r>
      <w:r>
        <w:rPr>
          <w:rFonts w:ascii="Times New Roman" w:hAnsi="Times New Roman"/>
          <w:sz w:val="24"/>
          <w:szCs w:val="24"/>
        </w:rPr>
        <w:t>, U.S. District Court Judge David G. Estudillo, U.S. District Court for Western District of Washington, Tacoma, has agreed with the City that plaintiff must undergo a psychiatric examination by their expert to confirm he still suffers from PTSD as he did in 2019 when they turned down his request to bring a service dog to work.  The Court, however, denied the City’s request to have their expert examine the firefighter’s current service dog.  The Court held: “</w:t>
      </w:r>
      <w:r w:rsidRPr="00795DC9">
        <w:rPr>
          <w:rFonts w:ascii="Times New Roman" w:hAnsi="Times New Roman"/>
          <w:sz w:val="24"/>
          <w:szCs w:val="24"/>
        </w:rPr>
        <w:t>The Court also agrees with the City that there is good cause for a Rule 35 exam here since the City would otherwise be forced to rely on years-old psychological evaluations conducted by dueling medical professionals to build their case. The Court therefore GRANTS the City's motion to compel a psychological evaluation of Plaintiff.</w:t>
      </w:r>
      <w:r>
        <w:rPr>
          <w:rFonts w:ascii="Times New Roman" w:hAnsi="Times New Roman"/>
          <w:sz w:val="24"/>
          <w:szCs w:val="24"/>
        </w:rPr>
        <w:t xml:space="preserve"> *** </w:t>
      </w:r>
      <w:r w:rsidRPr="00795DC9">
        <w:rPr>
          <w:rFonts w:ascii="Times New Roman" w:hAnsi="Times New Roman"/>
          <w:sz w:val="24"/>
          <w:szCs w:val="24"/>
        </w:rPr>
        <w:t xml:space="preserve">Evaluating Plaintiff's current service dogs will not shed light on the training of his prior service dog at the time of the City's initial denial of Plaintiff's reasonable accommodation request. Additionally, Plaintiff need not use his current service dog as part of any future reasonable accommodation reached with the </w:t>
      </w:r>
      <w:proofErr w:type="gramStart"/>
      <w:r w:rsidRPr="00795DC9">
        <w:rPr>
          <w:rFonts w:ascii="Times New Roman" w:hAnsi="Times New Roman"/>
          <w:sz w:val="24"/>
          <w:szCs w:val="24"/>
        </w:rPr>
        <w:t>City</w:t>
      </w:r>
      <w:proofErr w:type="gramEnd"/>
      <w:r w:rsidRPr="00795DC9">
        <w:rPr>
          <w:rFonts w:ascii="Times New Roman" w:hAnsi="Times New Roman"/>
          <w:sz w:val="24"/>
          <w:szCs w:val="24"/>
        </w:rPr>
        <w:t xml:space="preserve">. Indeed, the focus on a specific </w:t>
      </w:r>
      <w:proofErr w:type="gramStart"/>
      <w:r w:rsidRPr="00795DC9">
        <w:rPr>
          <w:rFonts w:ascii="Times New Roman" w:hAnsi="Times New Roman"/>
          <w:sz w:val="24"/>
          <w:szCs w:val="24"/>
        </w:rPr>
        <w:t>service dog's training</w:t>
      </w:r>
      <w:proofErr w:type="gramEnd"/>
      <w:r w:rsidRPr="00795DC9">
        <w:rPr>
          <w:rFonts w:ascii="Times New Roman" w:hAnsi="Times New Roman"/>
          <w:sz w:val="24"/>
          <w:szCs w:val="24"/>
        </w:rPr>
        <w:t xml:space="preserve"> appears to be an implicit concession by the </w:t>
      </w:r>
      <w:proofErr w:type="gramStart"/>
      <w:r w:rsidRPr="00795DC9">
        <w:rPr>
          <w:rFonts w:ascii="Times New Roman" w:hAnsi="Times New Roman"/>
          <w:sz w:val="24"/>
          <w:szCs w:val="24"/>
        </w:rPr>
        <w:t>City</w:t>
      </w:r>
      <w:proofErr w:type="gramEnd"/>
      <w:r w:rsidRPr="00795DC9">
        <w:rPr>
          <w:rFonts w:ascii="Times New Roman" w:hAnsi="Times New Roman"/>
          <w:sz w:val="24"/>
          <w:szCs w:val="24"/>
        </w:rPr>
        <w:t xml:space="preserve"> that a service dog trained to their standards could constitute a reasonable accommodation. The Court therefore DENIES the City's motion to compel an evaluation of Plaintiff's current service dog.</w:t>
      </w:r>
      <w:r>
        <w:rPr>
          <w:rFonts w:ascii="Times New Roman" w:hAnsi="Times New Roman"/>
          <w:sz w:val="24"/>
          <w:szCs w:val="24"/>
        </w:rPr>
        <w:t xml:space="preserve">” </w:t>
      </w:r>
      <w:hyperlink r:id="rId1701" w:history="1">
        <w:r w:rsidRPr="00812663">
          <w:rPr>
            <w:rStyle w:val="Hyperlink"/>
            <w:sz w:val="24"/>
            <w:szCs w:val="24"/>
          </w:rPr>
          <w:t>https://casetext.com/case/meyer-v-city-of-chehalis</w:t>
        </w:r>
      </w:hyperlink>
      <w:r>
        <w:rPr>
          <w:rFonts w:ascii="Times New Roman" w:hAnsi="Times New Roman"/>
          <w:sz w:val="24"/>
          <w:szCs w:val="24"/>
        </w:rPr>
        <w:t xml:space="preserve"> </w:t>
      </w:r>
    </w:p>
    <w:p w14:paraId="0995DE5F" w14:textId="77777777" w:rsidR="00D33F96" w:rsidRDefault="00D33F96" w:rsidP="00D33F96">
      <w:pPr>
        <w:pStyle w:val="NoSpacing"/>
        <w:rPr>
          <w:rFonts w:ascii="Arial Black" w:hAnsi="Arial Black"/>
          <w:sz w:val="24"/>
          <w:szCs w:val="24"/>
        </w:rPr>
      </w:pPr>
      <w:r w:rsidRPr="00795DC9">
        <w:rPr>
          <w:rFonts w:ascii="Times New Roman" w:hAnsi="Times New Roman"/>
          <w:b/>
          <w:bCs/>
          <w:sz w:val="24"/>
          <w:szCs w:val="24"/>
        </w:rPr>
        <w:t xml:space="preserve">Legal Lesson Learned: </w:t>
      </w:r>
      <w:r>
        <w:rPr>
          <w:rFonts w:ascii="Times New Roman" w:hAnsi="Times New Roman"/>
          <w:b/>
          <w:bCs/>
          <w:sz w:val="24"/>
          <w:szCs w:val="24"/>
        </w:rPr>
        <w:t xml:space="preserve">Service dogs have been found to be reasonable accommodation in several industries; it is unclear how the firefighter in this case would house the dog when he is responding on a run.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906A816" w14:textId="77777777" w:rsidR="001762AD" w:rsidRDefault="001762AD" w:rsidP="00D33F96">
      <w:pPr>
        <w:pStyle w:val="NoSpacing"/>
        <w:rPr>
          <w:rFonts w:ascii="Arial Black" w:hAnsi="Arial Black"/>
          <w:sz w:val="24"/>
          <w:szCs w:val="24"/>
        </w:rPr>
      </w:pPr>
    </w:p>
    <w:p w14:paraId="0161ECAC" w14:textId="77777777" w:rsidR="001762AD" w:rsidRDefault="001762AD" w:rsidP="00D33F96">
      <w:pPr>
        <w:pStyle w:val="NoSpacing"/>
        <w:rPr>
          <w:rFonts w:ascii="Arial Black" w:hAnsi="Arial Black"/>
          <w:sz w:val="24"/>
          <w:szCs w:val="24"/>
        </w:rPr>
      </w:pPr>
    </w:p>
    <w:p w14:paraId="55809144" w14:textId="6F6B45CE" w:rsidR="00D33F96" w:rsidRDefault="00D33F96" w:rsidP="00D33F96">
      <w:pPr>
        <w:pStyle w:val="NoSpacing"/>
        <w:rPr>
          <w:rFonts w:ascii="Arial Black" w:hAnsi="Arial Black"/>
          <w:sz w:val="24"/>
          <w:szCs w:val="24"/>
        </w:rPr>
      </w:pPr>
      <w:r>
        <w:rPr>
          <w:rFonts w:ascii="Arial Black" w:hAnsi="Arial Black"/>
          <w:sz w:val="24"/>
          <w:szCs w:val="24"/>
        </w:rPr>
        <w:t>9-32</w:t>
      </w:r>
    </w:p>
    <w:p w14:paraId="0547073B" w14:textId="77777777" w:rsidR="00D33F96" w:rsidRDefault="00D33F96" w:rsidP="00D33F96">
      <w:pPr>
        <w:pStyle w:val="NormalWeb"/>
        <w:jc w:val="both"/>
        <w:rPr>
          <w:rFonts w:ascii="Arial Black" w:hAnsi="Arial Black"/>
          <w:b/>
          <w:bCs/>
          <w:sz w:val="28"/>
          <w:szCs w:val="28"/>
        </w:rPr>
      </w:pPr>
      <w:r>
        <w:rPr>
          <w:rFonts w:ascii="Arial Black" w:hAnsi="Arial Black"/>
          <w:b/>
          <w:bCs/>
          <w:sz w:val="28"/>
          <w:szCs w:val="28"/>
        </w:rPr>
        <w:t>TN: ADA – NASHVILLE FF INJURED BACK – DENIED LIGHT DUTY WHEN HR DIDN’T DISCUSS DR’S NOTE - CASE PROCEED</w:t>
      </w:r>
    </w:p>
    <w:p w14:paraId="10ED0C8C" w14:textId="77777777" w:rsidR="00D33F96" w:rsidRDefault="00D33F96" w:rsidP="00D33F96">
      <w:pPr>
        <w:pStyle w:val="NormalWeb"/>
      </w:pPr>
      <w:r w:rsidRPr="00E90532">
        <w:lastRenderedPageBreak/>
        <w:t xml:space="preserve">On </w:t>
      </w:r>
      <w:r>
        <w:t xml:space="preserve">June 15, 2023, in </w:t>
      </w:r>
      <w:r w:rsidRPr="00E90532">
        <w:rPr>
          <w:u w:val="single"/>
        </w:rPr>
        <w:t xml:space="preserve">Brian Moat v. The Metropolitan Government of Nashville </w:t>
      </w:r>
      <w:proofErr w:type="gramStart"/>
      <w:r w:rsidRPr="00E90532">
        <w:rPr>
          <w:u w:val="single"/>
        </w:rPr>
        <w:t>And</w:t>
      </w:r>
      <w:proofErr w:type="gramEnd"/>
      <w:r w:rsidRPr="00E90532">
        <w:rPr>
          <w:u w:val="single"/>
        </w:rPr>
        <w:t xml:space="preserve"> Davidson County, Tennessee</w:t>
      </w:r>
      <w:r>
        <w:t xml:space="preserve">, U.S. District Court Judge Aleta A. Trauger denied the city’s motion for summary judgment; the firefighter was injured on duty Dec. 13, 2019, and placed on Injured </w:t>
      </w:r>
      <w:proofErr w:type="gramStart"/>
      <w:r>
        <w:t>On</w:t>
      </w:r>
      <w:proofErr w:type="gramEnd"/>
      <w:r>
        <w:t xml:space="preserve"> Duty (IOD) medical leave with full pay for maximum period of six months (Dec. 13, 2019 – June 22, 2020). Before his IOD leave expired, he asked FD for light duty but was denied by HR.  When Civil Service Commission denied his extension of IOD leave because they needed medical letter on his expected return to work, he then provided HR with letter from his doctor authorizing light duty.   This was denied by HR Mgr. Jamie </w:t>
      </w:r>
      <w:proofErr w:type="gramStart"/>
      <w:r>
        <w:t>Summers</w:t>
      </w:r>
      <w:proofErr w:type="gramEnd"/>
      <w:r>
        <w:t xml:space="preserve"> and he was forced to go on disability retirement (lower pay) until he returned to full duty on July 1, 2021.  </w:t>
      </w:r>
    </w:p>
    <w:p w14:paraId="71070D7B" w14:textId="77777777" w:rsidR="00D33F96" w:rsidRDefault="00D33F96" w:rsidP="00D33F96">
      <w:pPr>
        <w:pStyle w:val="NormalWeb"/>
      </w:pPr>
      <w:r>
        <w:t>The Court held: “</w:t>
      </w:r>
      <w:r w:rsidRPr="00E90532">
        <w:t xml:space="preserve">As set forth above, the plaintiff has made a </w:t>
      </w:r>
      <w:r w:rsidRPr="00E90532">
        <w:rPr>
          <w:rStyle w:val="Emphasis"/>
          <w:rFonts w:eastAsiaTheme="majorEastAsia"/>
        </w:rPr>
        <w:t>prima facie</w:t>
      </w:r>
      <w:r w:rsidRPr="00E90532">
        <w:t xml:space="preserve"> showing that he requested a reasonable accommodation</w:t>
      </w:r>
      <w:r>
        <w:t xml:space="preserve"> [light duty]</w:t>
      </w:r>
      <w:r w:rsidRPr="00E90532">
        <w:t xml:space="preserve">. The defendant arguably engaged with the plaintiff's request for an extension of his IOD leave when the </w:t>
      </w:r>
      <w:r>
        <w:t xml:space="preserve">[Civil Service] </w:t>
      </w:r>
      <w:r w:rsidRPr="00E90532">
        <w:t xml:space="preserve">Commission considered that request in an open meeting. The interactive process, however, is </w:t>
      </w:r>
      <w:proofErr w:type="gramStart"/>
      <w:r w:rsidRPr="00E90532">
        <w:t>an</w:t>
      </w:r>
      <w:proofErr w:type="gramEnd"/>
      <w:r w:rsidRPr="00E90532">
        <w:t xml:space="preserve"> going process. </w:t>
      </w:r>
      <w:r w:rsidRPr="00E90532">
        <w:rPr>
          <w:rStyle w:val="Emphasis"/>
          <w:rFonts w:eastAsiaTheme="majorEastAsia"/>
        </w:rPr>
        <w:t>See, e.g.</w:t>
      </w:r>
      <w:r w:rsidRPr="00E90532">
        <w:t xml:space="preserve">, </w:t>
      </w:r>
      <w:r w:rsidRPr="00E90532">
        <w:rPr>
          <w:rStyle w:val="Emphasis"/>
          <w:rFonts w:eastAsiaTheme="majorEastAsia"/>
        </w:rPr>
        <w:t>Fisher v. Nissan N. Am., Inc.</w:t>
      </w:r>
      <w:r w:rsidRPr="00E90532">
        <w:t xml:space="preserve">, 951 F.3d 409, 422 (6th Cir. 2022). The plaintiff's reiteration of his request to </w:t>
      </w:r>
      <w:r>
        <w:t xml:space="preserve">[HR manager] </w:t>
      </w:r>
      <w:r w:rsidRPr="00E90532">
        <w:t>Summers for light-duty work after his doctor relaxed his work restrictions</w:t>
      </w:r>
      <w:r>
        <w:t xml:space="preserve"> </w:t>
      </w:r>
      <w:r w:rsidRPr="00E90532">
        <w:t>-</w:t>
      </w:r>
      <w:r>
        <w:t xml:space="preserve"> </w:t>
      </w:r>
      <w:r w:rsidRPr="00E90532">
        <w:t xml:space="preserve">which took place </w:t>
      </w:r>
      <w:r w:rsidRPr="00E90532">
        <w:rPr>
          <w:rStyle w:val="Emphasis"/>
          <w:rFonts w:eastAsiaTheme="majorEastAsia"/>
        </w:rPr>
        <w:t>before</w:t>
      </w:r>
      <w:r w:rsidRPr="00E90532">
        <w:t xml:space="preserve"> his IOD leave expired and apparently before his disability pension had been processed</w:t>
      </w:r>
      <w:r>
        <w:t xml:space="preserve"> </w:t>
      </w:r>
      <w:r w:rsidRPr="00E90532">
        <w:t>-</w:t>
      </w:r>
      <w:r>
        <w:t xml:space="preserve"> </w:t>
      </w:r>
      <w:r w:rsidRPr="00E90532">
        <w:t>at least arguably triggered a duty on the part of Metro to consider that request rather than to simply defer to the plaintiff's already-denied request for an extension of his IOD leave.</w:t>
      </w:r>
      <w:r>
        <w:t xml:space="preserve"> *** </w:t>
      </w:r>
      <w:r w:rsidRPr="002A07BB">
        <w:t>Because the defendant has not shown that either of the requested accommodations would have been unduly burdensome or that they would have resulted in the elimination of an essential job requirement, in view of the temporary nature of the requested accommodations, the defendant is not entitled to summary judgment on the plaintiff's ADA claim based on the failure to accommodate his disability.</w:t>
      </w:r>
      <w:r>
        <w:t xml:space="preserve">” </w:t>
      </w:r>
      <w:hyperlink r:id="rId1702" w:history="1">
        <w:r w:rsidRPr="00812663">
          <w:rPr>
            <w:rStyle w:val="Hyperlink"/>
          </w:rPr>
          <w:t>https://cases.justia.com/federal/district-courts/tennessee/tnmdce/3:2021cv00807/88141/32/0.pdf</w:t>
        </w:r>
      </w:hyperlink>
      <w:r>
        <w:t xml:space="preserve"> </w:t>
      </w:r>
    </w:p>
    <w:p w14:paraId="08727581" w14:textId="77777777" w:rsidR="00D33F96" w:rsidRDefault="00D33F96" w:rsidP="00D33F96">
      <w:pPr>
        <w:spacing w:before="100" w:beforeAutospacing="1" w:after="100" w:afterAutospacing="1" w:line="240" w:lineRule="auto"/>
        <w:rPr>
          <w:rFonts w:ascii="Arial Black" w:eastAsia="Times New Roman" w:hAnsi="Arial Black"/>
          <w:b/>
          <w:bCs/>
          <w:sz w:val="28"/>
          <w:szCs w:val="28"/>
        </w:rPr>
      </w:pPr>
    </w:p>
    <w:p w14:paraId="3307911C" w14:textId="496B0CF9" w:rsidR="00D33F96" w:rsidRDefault="00D33F96" w:rsidP="00D33F9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9-31</w:t>
      </w:r>
    </w:p>
    <w:p w14:paraId="75DB6E5E" w14:textId="77777777" w:rsidR="00D33F96" w:rsidRDefault="00D33F96" w:rsidP="00D33F9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DC: FEMALE FF CLAIMS SEXUALLY ASSAULTED BY TWO FF – MENTAL STRESS. FORCED RETIRE - ADA CASE PROCEED</w:t>
      </w:r>
    </w:p>
    <w:p w14:paraId="7E260DEC" w14:textId="77777777" w:rsidR="00D33F96" w:rsidRDefault="00D33F96" w:rsidP="00D33F96">
      <w:pPr>
        <w:spacing w:before="100" w:beforeAutospacing="1" w:after="100" w:afterAutospacing="1" w:line="240" w:lineRule="auto"/>
        <w:rPr>
          <w:rFonts w:ascii="Times New Roman" w:hAnsi="Times New Roman"/>
          <w:sz w:val="24"/>
          <w:szCs w:val="24"/>
        </w:rPr>
      </w:pPr>
      <w:r w:rsidRPr="00C16C93">
        <w:rPr>
          <w:rFonts w:ascii="Times New Roman" w:eastAsia="Times New Roman" w:hAnsi="Times New Roman"/>
          <w:sz w:val="24"/>
          <w:szCs w:val="24"/>
        </w:rPr>
        <w:t xml:space="preserve">On </w:t>
      </w:r>
      <w:r>
        <w:rPr>
          <w:rFonts w:ascii="Times New Roman" w:eastAsia="Times New Roman" w:hAnsi="Times New Roman"/>
          <w:sz w:val="24"/>
          <w:szCs w:val="24"/>
        </w:rPr>
        <w:t xml:space="preserve">June 14, 2023, in </w:t>
      </w:r>
      <w:r w:rsidRPr="00C16C93">
        <w:rPr>
          <w:rFonts w:ascii="Times New Roman" w:eastAsia="Times New Roman" w:hAnsi="Times New Roman"/>
          <w:sz w:val="24"/>
          <w:szCs w:val="24"/>
          <w:u w:val="single"/>
        </w:rPr>
        <w:t>Nicole Rena McCrea v. District of Columbia, et al</w:t>
      </w:r>
      <w:r>
        <w:rPr>
          <w:rFonts w:ascii="Times New Roman" w:eastAsia="Times New Roman" w:hAnsi="Times New Roman"/>
          <w:sz w:val="24"/>
          <w:szCs w:val="24"/>
        </w:rPr>
        <w:t>., U.S. District Court Judge Tanya S. Chatan, U.S. District Court for District of Columbia, denied the City’s motion to dismiss her ADA case</w:t>
      </w:r>
      <w:r>
        <w:rPr>
          <w:rFonts w:ascii="Times New Roman" w:hAnsi="Times New Roman"/>
          <w:sz w:val="24"/>
          <w:szCs w:val="24"/>
        </w:rPr>
        <w:t xml:space="preserve">. </w:t>
      </w:r>
    </w:p>
    <w:p w14:paraId="14F107A7" w14:textId="77777777" w:rsidR="00D33F96" w:rsidRDefault="00D33F96" w:rsidP="00D33F96">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The Court held: </w:t>
      </w:r>
      <w:r w:rsidRPr="00092C19">
        <w:rPr>
          <w:rFonts w:ascii="Times New Roman" w:hAnsi="Times New Roman"/>
          <w:sz w:val="24"/>
          <w:szCs w:val="24"/>
        </w:rPr>
        <w:t xml:space="preserve">“Plaintiff Nicole McCrea is a former firefighter with the District of Columbia Fire and Emergency Medical Services Department (EMS). Proceeding </w:t>
      </w:r>
      <w:r w:rsidRPr="00092C19">
        <w:rPr>
          <w:rStyle w:val="Emphasis"/>
          <w:rFonts w:ascii="Times New Roman" w:hAnsi="Times New Roman"/>
          <w:sz w:val="24"/>
          <w:szCs w:val="24"/>
        </w:rPr>
        <w:t>pro se,</w:t>
      </w:r>
      <w:r w:rsidRPr="00092C19">
        <w:rPr>
          <w:rFonts w:ascii="Times New Roman" w:hAnsi="Times New Roman"/>
          <w:sz w:val="24"/>
          <w:szCs w:val="24"/>
        </w:rPr>
        <w:t xml:space="preserve"> she alleges that in May 2013, two fellow firefighters sexually assaulted her while she was on duty, and after she reported the incident, EMS managers, government employees, and mental health professionals conspired to deny her requests to classify her subsequent behavioral health challenges as job-related injuries and to force her into </w:t>
      </w:r>
      <w:r>
        <w:rPr>
          <w:rFonts w:ascii="Times New Roman" w:hAnsi="Times New Roman"/>
          <w:sz w:val="24"/>
          <w:szCs w:val="24"/>
        </w:rPr>
        <w:t xml:space="preserve">retirement. *** </w:t>
      </w:r>
      <w:r w:rsidRPr="008A04BF">
        <w:rPr>
          <w:rFonts w:ascii="Times New Roman" w:eastAsia="Times New Roman" w:hAnsi="Times New Roman"/>
          <w:sz w:val="24"/>
          <w:szCs w:val="24"/>
        </w:rPr>
        <w:t xml:space="preserve"> </w:t>
      </w:r>
      <w:r>
        <w:rPr>
          <w:rFonts w:ascii="Times New Roman" w:hAnsi="Times New Roman"/>
          <w:sz w:val="24"/>
          <w:szCs w:val="24"/>
        </w:rPr>
        <w:t>“’W</w:t>
      </w:r>
      <w:r w:rsidRPr="008A04BF">
        <w:rPr>
          <w:rFonts w:ascii="Times New Roman" w:hAnsi="Times New Roman"/>
          <w:sz w:val="24"/>
          <w:szCs w:val="24"/>
        </w:rPr>
        <w:t xml:space="preserve">hile the viability of her claim at the summary judgment stage appears tenuous given her apparent failure to provide the </w:t>
      </w:r>
      <w:proofErr w:type="gramStart"/>
      <w:r w:rsidRPr="008A04BF">
        <w:rPr>
          <w:rFonts w:ascii="Times New Roman" w:hAnsi="Times New Roman"/>
          <w:sz w:val="24"/>
          <w:szCs w:val="24"/>
        </w:rPr>
        <w:t>District</w:t>
      </w:r>
      <w:proofErr w:type="gramEnd"/>
      <w:r w:rsidRPr="008A04BF">
        <w:rPr>
          <w:rFonts w:ascii="Times New Roman" w:hAnsi="Times New Roman"/>
          <w:sz w:val="24"/>
          <w:szCs w:val="24"/>
        </w:rPr>
        <w:t xml:space="preserve"> with the requested medical documentation,</w:t>
      </w:r>
      <w:r>
        <w:rPr>
          <w:rFonts w:ascii="Times New Roman" w:hAnsi="Times New Roman"/>
          <w:sz w:val="24"/>
          <w:szCs w:val="24"/>
        </w:rPr>
        <w:t>’</w:t>
      </w:r>
      <w:r w:rsidRPr="008A04BF">
        <w:rPr>
          <w:rFonts w:ascii="Times New Roman" w:hAnsi="Times New Roman"/>
          <w:sz w:val="24"/>
          <w:szCs w:val="24"/>
        </w:rPr>
        <w:t xml:space="preserve"> the court reaffirms that Plaintiff's allegations plausibly state a claim that the </w:t>
      </w:r>
      <w:proofErr w:type="gramStart"/>
      <w:r w:rsidRPr="008A04BF">
        <w:rPr>
          <w:rFonts w:ascii="Times New Roman" w:hAnsi="Times New Roman"/>
          <w:sz w:val="24"/>
          <w:szCs w:val="24"/>
        </w:rPr>
        <w:t>District</w:t>
      </w:r>
      <w:proofErr w:type="gramEnd"/>
      <w:r w:rsidRPr="008A04BF">
        <w:rPr>
          <w:rFonts w:ascii="Times New Roman" w:hAnsi="Times New Roman"/>
          <w:sz w:val="24"/>
          <w:szCs w:val="24"/>
        </w:rPr>
        <w:t xml:space="preserve"> failed to provide reasonable accommodation for her disability. </w:t>
      </w:r>
      <w:r w:rsidRPr="008A04BF">
        <w:rPr>
          <w:rStyle w:val="Emphasis"/>
          <w:rFonts w:ascii="Times New Roman" w:hAnsi="Times New Roman"/>
          <w:sz w:val="24"/>
          <w:szCs w:val="24"/>
        </w:rPr>
        <w:t>Id.</w:t>
      </w:r>
      <w:r w:rsidRPr="008A04BF">
        <w:rPr>
          <w:rFonts w:ascii="Times New Roman" w:hAnsi="Times New Roman"/>
          <w:sz w:val="24"/>
          <w:szCs w:val="24"/>
        </w:rPr>
        <w:t xml:space="preserve"> (citing 42 U.S.C. § 12112; 29 U.S.C. § 794(d)).</w:t>
      </w:r>
      <w:r>
        <w:rPr>
          <w:rFonts w:ascii="Times New Roman" w:hAnsi="Times New Roman"/>
          <w:sz w:val="24"/>
          <w:szCs w:val="24"/>
        </w:rPr>
        <w:t xml:space="preserve">” </w:t>
      </w:r>
      <w:hyperlink r:id="rId1703" w:history="1">
        <w:r w:rsidRPr="00812663">
          <w:rPr>
            <w:rStyle w:val="Hyperlink"/>
            <w:sz w:val="24"/>
            <w:szCs w:val="24"/>
          </w:rPr>
          <w:t>https://casetext.com/case/mccrea-v-dist-of-columbia-3</w:t>
        </w:r>
      </w:hyperlink>
      <w:r>
        <w:rPr>
          <w:rFonts w:ascii="Times New Roman" w:hAnsi="Times New Roman"/>
          <w:sz w:val="24"/>
          <w:szCs w:val="24"/>
        </w:rPr>
        <w:t xml:space="preserve"> </w:t>
      </w:r>
      <w:r w:rsidRPr="00EC5AAA">
        <w:rPr>
          <w:rFonts w:ascii="Times New Roman" w:hAnsi="Times New Roman"/>
          <w:sz w:val="24"/>
          <w:szCs w:val="24"/>
        </w:rPr>
        <w:t xml:space="preserve"> </w:t>
      </w:r>
      <w:r>
        <w:rPr>
          <w:rFonts w:ascii="Times New Roman" w:hAnsi="Times New Roman"/>
          <w:sz w:val="24"/>
          <w:szCs w:val="24"/>
        </w:rPr>
        <w:t xml:space="preserve"> </w:t>
      </w:r>
    </w:p>
    <w:p w14:paraId="3CC1E783" w14:textId="77777777" w:rsidR="00D33F96" w:rsidRDefault="00D33F96" w:rsidP="00D33F96">
      <w:pPr>
        <w:spacing w:before="100" w:beforeAutospacing="1" w:after="100" w:afterAutospacing="1" w:line="240" w:lineRule="auto"/>
        <w:rPr>
          <w:rFonts w:ascii="Arial Black" w:eastAsia="Times New Roman" w:hAnsi="Arial Black"/>
          <w:b/>
          <w:bCs/>
          <w:sz w:val="28"/>
          <w:szCs w:val="28"/>
        </w:rPr>
      </w:pPr>
    </w:p>
    <w:p w14:paraId="292BFB5B" w14:textId="77777777" w:rsidR="00C032D6" w:rsidRDefault="00C032D6" w:rsidP="00C032D6">
      <w:pPr>
        <w:pStyle w:val="NoSpacing"/>
        <w:rPr>
          <w:rFonts w:ascii="Arial Black" w:hAnsi="Arial Black"/>
          <w:sz w:val="24"/>
          <w:szCs w:val="24"/>
        </w:rPr>
      </w:pPr>
    </w:p>
    <w:p w14:paraId="0455599E" w14:textId="77777777" w:rsidR="00C032D6" w:rsidRDefault="00C032D6" w:rsidP="005C30A4">
      <w:pPr>
        <w:pStyle w:val="NoSpacing"/>
        <w:rPr>
          <w:rFonts w:ascii="Arial Black" w:hAnsi="Arial Black"/>
          <w:sz w:val="24"/>
          <w:szCs w:val="24"/>
        </w:rPr>
      </w:pPr>
    </w:p>
    <w:p w14:paraId="4932D11B" w14:textId="2D67DB50" w:rsidR="00477016" w:rsidRDefault="00477016" w:rsidP="005C30A4">
      <w:pPr>
        <w:pStyle w:val="NoSpacing"/>
        <w:rPr>
          <w:rFonts w:ascii="Arial Black" w:hAnsi="Arial Black"/>
          <w:sz w:val="24"/>
          <w:szCs w:val="24"/>
        </w:rPr>
      </w:pPr>
      <w:r>
        <w:rPr>
          <w:rFonts w:ascii="Arial Black" w:hAnsi="Arial Black"/>
          <w:sz w:val="24"/>
          <w:szCs w:val="24"/>
        </w:rPr>
        <w:t>9-30</w:t>
      </w:r>
    </w:p>
    <w:p w14:paraId="7936F534" w14:textId="77777777" w:rsidR="00477016" w:rsidRPr="00AC2B99" w:rsidRDefault="00477016" w:rsidP="00477016">
      <w:pPr>
        <w:pStyle w:val="NormalWeb"/>
        <w:rPr>
          <w:rFonts w:ascii="Arial Black" w:hAnsi="Arial Black"/>
          <w:b/>
          <w:bCs/>
          <w:sz w:val="28"/>
          <w:szCs w:val="28"/>
        </w:rPr>
      </w:pPr>
      <w:bookmarkStart w:id="347" w:name="_Hlk136859866"/>
      <w:r>
        <w:rPr>
          <w:rFonts w:ascii="Arial Black" w:hAnsi="Arial Black"/>
          <w:b/>
          <w:bCs/>
          <w:sz w:val="28"/>
          <w:szCs w:val="28"/>
        </w:rPr>
        <w:lastRenderedPageBreak/>
        <w:t xml:space="preserve">LA: 16-YR OLD AUTISM – PD (365 LBS) SITS HIM – DIES ASPHYXIATION - DOJ POOR USE “DE-ESCALATION” POLICY </w:t>
      </w:r>
    </w:p>
    <w:bookmarkEnd w:id="347"/>
    <w:p w14:paraId="4C69B7B6" w14:textId="77777777" w:rsidR="00477016" w:rsidRDefault="00477016" w:rsidP="00477016">
      <w:pPr>
        <w:pStyle w:val="NormalWeb"/>
        <w:rPr>
          <w:rStyle w:val="markedcontent"/>
        </w:rPr>
      </w:pPr>
      <w:r>
        <w:rPr>
          <w:rStyle w:val="markedcontent"/>
        </w:rPr>
        <w:t xml:space="preserve">On May 18, 2023, in </w:t>
      </w:r>
      <w:r w:rsidRPr="00AC2B99">
        <w:rPr>
          <w:rStyle w:val="markedcontent"/>
          <w:u w:val="single"/>
        </w:rPr>
        <w:t>Donna Lou, et al. v. Sheriff Joseph P. Lopinto, III, et al</w:t>
      </w:r>
      <w:r>
        <w:rPr>
          <w:rStyle w:val="markedcontent"/>
        </w:rPr>
        <w:t xml:space="preserve">., U.S. District Court Judge Wendy B. Vitter, U.S. District Court for Eastern District of Louisiana, the Judge denied the Parents’ motion for partial summary judgement; but will allow them to file an Amended Complaint and may then allow case to proceed to trial. The Judge referenced the 80-page original Complaint, including alleged violation of ADA, but did not refence the May 12, 2023, the U.S. Department of Justice “Statement of Interest” with the Court, asserting Deputy Sheriffs may have violated ADA by failure to use “de-escalation strategies” including mobile crisis team. </w:t>
      </w:r>
      <w:hyperlink r:id="rId1704" w:history="1">
        <w:r w:rsidRPr="005906DC">
          <w:rPr>
            <w:rStyle w:val="Hyperlink"/>
            <w:rFonts w:eastAsiaTheme="majorEastAsia"/>
          </w:rPr>
          <w:t>https://www.justice.gov/crt/case-document/file/1583736/download</w:t>
        </w:r>
      </w:hyperlink>
      <w:r>
        <w:rPr>
          <w:rStyle w:val="markedcontent"/>
        </w:rPr>
        <w:t xml:space="preserve">. Judge Vitter held as follows. </w:t>
      </w:r>
    </w:p>
    <w:p w14:paraId="0EB9A9A5" w14:textId="77777777" w:rsidR="00477016" w:rsidRDefault="00477016" w:rsidP="00477016">
      <w:pPr>
        <w:pStyle w:val="NormalWeb"/>
        <w:ind w:left="720"/>
      </w:pPr>
      <w:r>
        <w:rPr>
          <w:rStyle w:val="markedcontent"/>
        </w:rPr>
        <w:t>“I</w:t>
      </w:r>
      <w:r>
        <w:t>n Count Three, Plaintiffs assert official capacity claims against Sheriff Lopinto based upon violations of Title II of the Americans with Disabilities Act (the ‘ADA’) and Section 504 of the Rehabilitation Act (‘RA’), alleging that the JPSO Deputy Defendants knew that E.P. had autism and failed to reasonably accommodate him or to avoid discriminating against him based upon his disability. *** The Court points out that the only two paragraphs in the Complaint cited by Plaintiffs that specifically reference the Fourth Amendment, Paragraphs 386 and 391, allege constitutional violations based upon the action or inaction of the JPSO Deputy Defendants ‘in using excessive and unreasonable force in the seizure and restraint of E.P. and in failing to intervene or act to prevent such actions, despite having the opportunity to do so,’ and in violating, among other things, E.P.'s ‘right to freedom from unreasonable seizure’ and ‘right to freedom from the use of unreasonable, unjustified, and excessive force and summary punishment.’”</w:t>
      </w:r>
      <w:hyperlink r:id="rId1705" w:history="1">
        <w:r w:rsidRPr="005906DC">
          <w:rPr>
            <w:rStyle w:val="Hyperlink"/>
            <w:rFonts w:eastAsiaTheme="majorEastAsia"/>
          </w:rPr>
          <w:t>https://public.fastcase.com/ZZhmr5v9wN%2FXOe5IsQ%2FqD213NfZOkBOT9oUFU2NATn1Aebu4tmd%2Bdm4Fq8wJV%2BgJ%2FUz5tDo4rrQTf5JLsx7PM2RT%2BnNbiLW8av7Jbge%2Fzbw%3D?utm_medium=email&amp;_hsmi=226712652&amp;_hsenc=p2ANqtz-83LxoyDBgyJFjB5J1tvKo9--ehLEBCqV6koHeoTan0Qm4V8taXVkAh8h56UhoHEEE4y9wodFDrH_2nxx13nTAr7JOLdw&amp;utm_content=226712652&amp;utm_source=hs_email</w:t>
        </w:r>
      </w:hyperlink>
      <w:r>
        <w:t xml:space="preserve">  </w:t>
      </w:r>
    </w:p>
    <w:p w14:paraId="0BEE42D8" w14:textId="77777777" w:rsidR="00477016" w:rsidRPr="005C3E45" w:rsidRDefault="00477016" w:rsidP="00477016">
      <w:pPr>
        <w:pStyle w:val="NormalWeb"/>
        <w:rPr>
          <w:b/>
          <w:bCs/>
        </w:rPr>
      </w:pPr>
      <w:r w:rsidRPr="005C3E45">
        <w:rPr>
          <w:b/>
          <w:bCs/>
        </w:rPr>
        <w:t xml:space="preserve">Legal Lesson Learned: </w:t>
      </w:r>
      <w:r>
        <w:rPr>
          <w:b/>
          <w:bCs/>
        </w:rPr>
        <w:t xml:space="preserve">U.S. Department of Justice obviously has a high degree of interest in police affixation cases.  </w:t>
      </w:r>
    </w:p>
    <w:p w14:paraId="4E8721C0" w14:textId="77777777" w:rsidR="00477016" w:rsidRPr="005C3E45" w:rsidRDefault="00477016" w:rsidP="00477016">
      <w:pPr>
        <w:pStyle w:val="NormalWeb"/>
        <w:ind w:left="720"/>
        <w:rPr>
          <w:rFonts w:ascii="Arial" w:hAnsi="Arial" w:cs="Arial"/>
        </w:rPr>
      </w:pPr>
      <w:r>
        <w:rPr>
          <w:rStyle w:val="markedcontent"/>
        </w:rPr>
        <w:t xml:space="preserve">Note: Read the DOJ Statement of Interest, where PDs are urged to modify </w:t>
      </w:r>
      <w:proofErr w:type="spellStart"/>
      <w:proofErr w:type="gramStart"/>
      <w:r>
        <w:rPr>
          <w:rStyle w:val="markedcontent"/>
        </w:rPr>
        <w:t>there</w:t>
      </w:r>
      <w:proofErr w:type="gramEnd"/>
      <w:r>
        <w:rPr>
          <w:rStyle w:val="markedcontent"/>
        </w:rPr>
        <w:t xml:space="preserve"> response</w:t>
      </w:r>
      <w:proofErr w:type="spellEnd"/>
      <w:r>
        <w:rPr>
          <w:rStyle w:val="markedcontent"/>
        </w:rPr>
        <w:t xml:space="preserve"> policies dealing with people with disabilities. </w:t>
      </w:r>
      <w:hyperlink r:id="rId1706" w:history="1">
        <w:r w:rsidRPr="005906DC">
          <w:rPr>
            <w:rStyle w:val="Hyperlink"/>
            <w:rFonts w:eastAsiaTheme="majorEastAsia"/>
          </w:rPr>
          <w:t>https://www.justice.gov/crt/case-document/file/1583736/download</w:t>
        </w:r>
      </w:hyperlink>
      <w:r>
        <w:rPr>
          <w:rStyle w:val="markedcontent"/>
        </w:rPr>
        <w:t xml:space="preserve"> </w:t>
      </w:r>
      <w:r w:rsidRPr="005C3E45">
        <w:t xml:space="preserve"> </w:t>
      </w:r>
    </w:p>
    <w:p w14:paraId="31268EF4" w14:textId="77777777" w:rsidR="00477016" w:rsidRPr="005C3E45" w:rsidRDefault="00477016" w:rsidP="00477016">
      <w:pPr>
        <w:pStyle w:val="NormalWeb"/>
        <w:ind w:left="720"/>
        <w:rPr>
          <w:rStyle w:val="markedcontent"/>
        </w:rPr>
      </w:pPr>
      <w:r>
        <w:rPr>
          <w:rStyle w:val="markedcontent"/>
        </w:rPr>
        <w:t>“</w:t>
      </w:r>
      <w:r w:rsidRPr="005C3E45">
        <w:rPr>
          <w:rStyle w:val="markedcontent"/>
        </w:rPr>
        <w:t>Modifications that may have been reasonable for officers to implement, depending on the circumstances and existing services, include dispatching crisis intervention trained officers or arranging for a mobile crisis team to respond; using de-escalation strategies; removing distractions and providing time and space to calm the situation when the child poses no significant safety threat; and avoiding or minimizing touching a child whose disability makes them sensitive to touch.</w:t>
      </w:r>
      <w:r w:rsidRPr="005C3E45">
        <w:t xml:space="preserve"> If</w:t>
      </w:r>
      <w:r w:rsidRPr="005C3E45">
        <w:rPr>
          <w:rStyle w:val="markedcontent"/>
        </w:rPr>
        <w:t xml:space="preserve"> available, officers should enlist a child’s parent, guardian, treating medical professional, or another trusted support person, to help to effectively communicate with the child and de-escalate the situation.</w:t>
      </w:r>
      <w:r>
        <w:rPr>
          <w:rStyle w:val="markedcontent"/>
        </w:rPr>
        <w:t>”</w:t>
      </w:r>
    </w:p>
    <w:p w14:paraId="5E18405F" w14:textId="77777777" w:rsidR="00477016" w:rsidRDefault="00477016" w:rsidP="005C30A4">
      <w:pPr>
        <w:pStyle w:val="NoSpacing"/>
        <w:rPr>
          <w:rFonts w:ascii="Arial Black" w:hAnsi="Arial Black"/>
          <w:sz w:val="24"/>
          <w:szCs w:val="24"/>
        </w:rPr>
      </w:pPr>
    </w:p>
    <w:p w14:paraId="3108848D" w14:textId="4F253EA0" w:rsidR="00477016" w:rsidRDefault="00477016" w:rsidP="005C30A4">
      <w:pPr>
        <w:pStyle w:val="NoSpacing"/>
        <w:rPr>
          <w:rFonts w:ascii="Arial Black" w:hAnsi="Arial Black"/>
          <w:sz w:val="24"/>
          <w:szCs w:val="24"/>
        </w:rPr>
      </w:pPr>
      <w:r>
        <w:rPr>
          <w:rFonts w:ascii="Arial Black" w:hAnsi="Arial Black"/>
          <w:sz w:val="24"/>
          <w:szCs w:val="24"/>
        </w:rPr>
        <w:t>9-29</w:t>
      </w:r>
    </w:p>
    <w:p w14:paraId="4E005429" w14:textId="77777777" w:rsidR="00477016" w:rsidRDefault="00477016" w:rsidP="00477016">
      <w:pPr>
        <w:pStyle w:val="NormalWeb"/>
        <w:rPr>
          <w:rFonts w:ascii="Arial Black" w:hAnsi="Arial Black"/>
          <w:sz w:val="28"/>
          <w:szCs w:val="28"/>
        </w:rPr>
      </w:pPr>
      <w:bookmarkStart w:id="348" w:name="_Hlk136860023"/>
      <w:r>
        <w:rPr>
          <w:rFonts w:ascii="Arial Black" w:hAnsi="Arial Black"/>
          <w:sz w:val="28"/>
          <w:szCs w:val="28"/>
        </w:rPr>
        <w:t>OH: TRANSGENDER EMT FIRED 2 MONTHS – “RUDE” COMMENTS HOSP – “REGARDED AS” CASE PROCEED</w:t>
      </w:r>
    </w:p>
    <w:bookmarkEnd w:id="348"/>
    <w:p w14:paraId="7DA98188" w14:textId="77777777" w:rsidR="00477016" w:rsidRPr="00477016" w:rsidRDefault="00477016" w:rsidP="00477016">
      <w:pPr>
        <w:pStyle w:val="NormalWeb"/>
      </w:pPr>
      <w:r w:rsidRPr="00477016">
        <w:t xml:space="preserve">On May 12, 2023, in </w:t>
      </w:r>
      <w:r w:rsidRPr="00477016">
        <w:rPr>
          <w:u w:val="single"/>
        </w:rPr>
        <w:t>Rayne S. Fedder v. Ohio Medical Transportation, Inc</w:t>
      </w:r>
      <w:r w:rsidRPr="00477016">
        <w:t xml:space="preserve">., U.S, Magistrate Judge Chelsey M. </w:t>
      </w:r>
      <w:proofErr w:type="spellStart"/>
      <w:r w:rsidRPr="00477016">
        <w:t>Vascura</w:t>
      </w:r>
      <w:proofErr w:type="spellEnd"/>
      <w:r w:rsidRPr="00477016">
        <w:t xml:space="preserve"> issued a Report and Recommendation to U.S. District Court Judge Saras D. Morrison, finding that </w:t>
      </w:r>
      <w:r w:rsidRPr="00477016">
        <w:lastRenderedPageBreak/>
        <w:t>plaintiff was fired after two months on the job, and while her claims of hostile work environment must be dismissed since she didn’t report incidents to management (for example, comments that she “stands up to pee”), she may proceed on claim that management fired her because she was “regard as” disabled.  On April 19, 2022, plaintiff and her partner were at a hospital to transport a psychiatric patient to Columbus Springs, In Dublin, OH, when plaintiff made strange comments to hospital staff., was placed on Administrative Leave and was fired on May 3, 2022.</w:t>
      </w:r>
    </w:p>
    <w:p w14:paraId="51EB614B" w14:textId="6ADB3A09" w:rsidR="00477016" w:rsidRDefault="00477016" w:rsidP="00477016">
      <w:pPr>
        <w:pStyle w:val="NoSpacing"/>
        <w:rPr>
          <w:rStyle w:val="Hyperlink"/>
          <w:rFonts w:ascii="Times New Roman" w:eastAsiaTheme="majorEastAsia" w:hAnsi="Times New Roman"/>
          <w:sz w:val="24"/>
          <w:szCs w:val="24"/>
        </w:rPr>
      </w:pPr>
      <w:r w:rsidRPr="00477016">
        <w:rPr>
          <w:rFonts w:ascii="Times New Roman" w:hAnsi="Times New Roman"/>
          <w:sz w:val="24"/>
          <w:szCs w:val="24"/>
        </w:rPr>
        <w:t xml:space="preserve">“On the evening of April 19, 2022, Plaintiff and her partner were dispatched to </w:t>
      </w:r>
      <w:proofErr w:type="spellStart"/>
      <w:r w:rsidRPr="00477016">
        <w:rPr>
          <w:rFonts w:ascii="Times New Roman" w:hAnsi="Times New Roman"/>
          <w:sz w:val="24"/>
          <w:szCs w:val="24"/>
        </w:rPr>
        <w:t>O'Bleness</w:t>
      </w:r>
      <w:proofErr w:type="spellEnd"/>
      <w:r w:rsidRPr="00477016">
        <w:rPr>
          <w:rFonts w:ascii="Times New Roman" w:hAnsi="Times New Roman"/>
          <w:sz w:val="24"/>
          <w:szCs w:val="24"/>
        </w:rPr>
        <w:t xml:space="preserve"> Memorial Hospital to transport a psychiatric patient to Columbus Springs Dublin…. Plaintiff felt that </w:t>
      </w:r>
      <w:proofErr w:type="spellStart"/>
      <w:r w:rsidRPr="00477016">
        <w:rPr>
          <w:rFonts w:ascii="Times New Roman" w:hAnsi="Times New Roman"/>
          <w:sz w:val="24"/>
          <w:szCs w:val="24"/>
        </w:rPr>
        <w:t>O'Bleness</w:t>
      </w:r>
      <w:proofErr w:type="spellEnd"/>
      <w:r w:rsidRPr="00477016">
        <w:rPr>
          <w:rFonts w:ascii="Times New Roman" w:hAnsi="Times New Roman"/>
          <w:sz w:val="24"/>
          <w:szCs w:val="24"/>
        </w:rPr>
        <w:t xml:space="preserve"> staff were not performing their jobs properly and voiced criticisms of the use of an armed security officer (‘asking what he even needed that gun holstered to his hip for, and </w:t>
      </w:r>
      <w:proofErr w:type="spellStart"/>
      <w:r w:rsidRPr="00477016">
        <w:rPr>
          <w:rFonts w:ascii="Times New Roman" w:hAnsi="Times New Roman"/>
          <w:sz w:val="24"/>
          <w:szCs w:val="24"/>
        </w:rPr>
        <w:t>quipp</w:t>
      </w:r>
      <w:proofErr w:type="spellEnd"/>
      <w:r w:rsidRPr="00477016">
        <w:rPr>
          <w:rFonts w:ascii="Times New Roman" w:hAnsi="Times New Roman"/>
          <w:sz w:val="24"/>
          <w:szCs w:val="24"/>
        </w:rPr>
        <w:t>[</w:t>
      </w:r>
      <w:proofErr w:type="spellStart"/>
      <w:r w:rsidRPr="00477016">
        <w:rPr>
          <w:rFonts w:ascii="Times New Roman" w:hAnsi="Times New Roman"/>
          <w:sz w:val="24"/>
          <w:szCs w:val="24"/>
        </w:rPr>
        <w:t>ing</w:t>
      </w:r>
      <w:proofErr w:type="spellEnd"/>
      <w:r w:rsidRPr="00477016">
        <w:rPr>
          <w:rFonts w:ascii="Times New Roman" w:hAnsi="Times New Roman"/>
          <w:sz w:val="24"/>
          <w:szCs w:val="24"/>
        </w:rPr>
        <w:t xml:space="preserve">] that he probably did not know how to operate it’) and the poor quality of the paperwork provided by the nursing staff (‘Plaintiff does not remember saying that the report from the charge nurse about the patient was ‘shitty,' though Plaintiff does concede that the sentiment was there….) Plaintiff also alleges that the desk attendant asked how Plaintiff was doing, and Plaintiff said ‘something about how she would be doing much better if she passed or if she did not work with a bunch of creepy bigots, or something of the sort….’After some resistance by the patient, Plaintiff, her partner, and other </w:t>
      </w:r>
      <w:proofErr w:type="spellStart"/>
      <w:r w:rsidRPr="00477016">
        <w:rPr>
          <w:rFonts w:ascii="Times New Roman" w:hAnsi="Times New Roman"/>
          <w:sz w:val="24"/>
          <w:szCs w:val="24"/>
        </w:rPr>
        <w:t>O'Blenness</w:t>
      </w:r>
      <w:proofErr w:type="spellEnd"/>
      <w:r w:rsidRPr="00477016">
        <w:rPr>
          <w:rFonts w:ascii="Times New Roman" w:hAnsi="Times New Roman"/>
          <w:sz w:val="24"/>
          <w:szCs w:val="24"/>
        </w:rPr>
        <w:t xml:space="preserve"> staff were able to buckle the patient to a stretcher and the patient was transported without further incident.” </w:t>
      </w:r>
      <w:hyperlink r:id="rId1707" w:history="1">
        <w:r w:rsidRPr="00477016">
          <w:rPr>
            <w:rStyle w:val="Hyperlink"/>
            <w:rFonts w:ascii="Times New Roman" w:eastAsiaTheme="majorEastAsia" w:hAnsi="Times New Roman"/>
            <w:sz w:val="24"/>
            <w:szCs w:val="24"/>
          </w:rPr>
          <w:t>https://public.fastcase.com/ZZhmr5v9wN%2FXOe5IsQ%2FqD5cOg4uDiWBiDgRVwEX7HkTgzpDy2YRC9dWsCSpL5q7NwLkYpJ%2BBy0X6CQVC4aXC0tZJlDrCMk2fa2%2Fy73T5jjU%3D?utm_medium=email&amp;_hsmi=226712652&amp;_hsenc=p2ANqtz-8FJorPS84jztogf_8o7olLe4m03Y-oUT6vKuzTkvf9gKaTxn2WPOeYqAoz6gwdnY0JMEeLDG0EyTmUqJkqtPPBYQ-lng&amp;utm_content=226712652&amp;utm_source=hs_email</w:t>
        </w:r>
      </w:hyperlink>
    </w:p>
    <w:p w14:paraId="467C4C28" w14:textId="77777777" w:rsidR="00477016" w:rsidRDefault="00477016" w:rsidP="00477016">
      <w:pPr>
        <w:pStyle w:val="NoSpacing"/>
        <w:rPr>
          <w:rStyle w:val="Hyperlink"/>
          <w:rFonts w:ascii="Times New Roman" w:eastAsiaTheme="majorEastAsia" w:hAnsi="Times New Roman"/>
          <w:sz w:val="24"/>
          <w:szCs w:val="24"/>
        </w:rPr>
      </w:pPr>
    </w:p>
    <w:p w14:paraId="614C5FEE" w14:textId="77777777" w:rsidR="00477016" w:rsidRDefault="00477016" w:rsidP="00477016">
      <w:pPr>
        <w:pStyle w:val="NormalWeb"/>
        <w:rPr>
          <w:b/>
          <w:bCs/>
        </w:rPr>
      </w:pPr>
      <w:r w:rsidRPr="00135F52">
        <w:rPr>
          <w:b/>
          <w:bCs/>
        </w:rPr>
        <w:t>Legal Lesson Learned:</w:t>
      </w:r>
      <w:r>
        <w:rPr>
          <w:b/>
          <w:bCs/>
        </w:rPr>
        <w:t xml:space="preserve"> Case will now proceed to pre-trial discovery. </w:t>
      </w:r>
    </w:p>
    <w:p w14:paraId="4A090F51" w14:textId="77777777" w:rsidR="00477016" w:rsidRPr="00477016" w:rsidRDefault="00477016" w:rsidP="00477016">
      <w:pPr>
        <w:pStyle w:val="Heading2"/>
        <w:ind w:left="720"/>
        <w:rPr>
          <w:rFonts w:ascii="Times New Roman" w:hAnsi="Times New Roman"/>
          <w:b w:val="0"/>
          <w:bCs w:val="0"/>
          <w:i w:val="0"/>
          <w:iCs w:val="0"/>
          <w:sz w:val="24"/>
          <w:szCs w:val="24"/>
        </w:rPr>
      </w:pPr>
      <w:r w:rsidRPr="00477016">
        <w:rPr>
          <w:rFonts w:ascii="Times New Roman" w:hAnsi="Times New Roman"/>
          <w:b w:val="0"/>
          <w:bCs w:val="0"/>
          <w:i w:val="0"/>
          <w:iCs w:val="0"/>
          <w:sz w:val="24"/>
          <w:szCs w:val="24"/>
        </w:rPr>
        <w:t xml:space="preserve">Note: See EEOC Guidance on “regarded as” disabilities.  </w:t>
      </w:r>
      <w:hyperlink r:id="rId1708" w:history="1">
        <w:r w:rsidRPr="00477016">
          <w:rPr>
            <w:rStyle w:val="Hyperlink"/>
            <w:rFonts w:ascii="Times New Roman" w:hAnsi="Times New Roman"/>
            <w:b w:val="0"/>
            <w:bCs w:val="0"/>
            <w:i w:val="0"/>
            <w:iCs w:val="0"/>
            <w:sz w:val="24"/>
            <w:szCs w:val="24"/>
          </w:rPr>
          <w:t>https://www.eeoc.gov/laws/guidance/questions-and-answers-final-rule-implementing-ada-amendments-act-2008</w:t>
        </w:r>
      </w:hyperlink>
      <w:r w:rsidRPr="00477016">
        <w:rPr>
          <w:rFonts w:ascii="Times New Roman" w:hAnsi="Times New Roman"/>
          <w:b w:val="0"/>
          <w:bCs w:val="0"/>
          <w:i w:val="0"/>
          <w:iCs w:val="0"/>
          <w:sz w:val="24"/>
          <w:szCs w:val="24"/>
        </w:rPr>
        <w:t xml:space="preserve"> </w:t>
      </w:r>
    </w:p>
    <w:p w14:paraId="589D78CE" w14:textId="77777777" w:rsidR="00477016" w:rsidRPr="00477016" w:rsidRDefault="00477016" w:rsidP="00477016">
      <w:pPr>
        <w:pStyle w:val="Heading2"/>
        <w:ind w:left="720" w:firstLine="720"/>
        <w:rPr>
          <w:rFonts w:ascii="Times New Roman" w:hAnsi="Times New Roman"/>
          <w:b w:val="0"/>
          <w:bCs w:val="0"/>
          <w:i w:val="0"/>
          <w:iCs w:val="0"/>
          <w:sz w:val="24"/>
          <w:szCs w:val="24"/>
        </w:rPr>
      </w:pPr>
      <w:r w:rsidRPr="00477016">
        <w:rPr>
          <w:rFonts w:ascii="Times New Roman" w:hAnsi="Times New Roman"/>
          <w:b w:val="0"/>
          <w:bCs w:val="0"/>
          <w:i w:val="0"/>
          <w:iCs w:val="0"/>
          <w:sz w:val="24"/>
          <w:szCs w:val="24"/>
        </w:rPr>
        <w:t xml:space="preserve">How does the ADAAA define "disability?" </w:t>
      </w:r>
    </w:p>
    <w:p w14:paraId="2C3063A2" w14:textId="77777777" w:rsidR="00477016" w:rsidRPr="00477016" w:rsidRDefault="00477016" w:rsidP="00477016">
      <w:pPr>
        <w:pStyle w:val="Heading2"/>
        <w:ind w:left="1440"/>
        <w:rPr>
          <w:rFonts w:ascii="Times New Roman" w:hAnsi="Times New Roman"/>
          <w:b w:val="0"/>
          <w:bCs w:val="0"/>
          <w:i w:val="0"/>
          <w:iCs w:val="0"/>
          <w:sz w:val="24"/>
          <w:szCs w:val="24"/>
        </w:rPr>
      </w:pPr>
      <w:r w:rsidRPr="00477016">
        <w:rPr>
          <w:rFonts w:ascii="Times New Roman" w:hAnsi="Times New Roman"/>
          <w:b w:val="0"/>
          <w:bCs w:val="0"/>
          <w:i w:val="0"/>
          <w:iCs w:val="0"/>
          <w:sz w:val="24"/>
          <w:szCs w:val="24"/>
        </w:rPr>
        <w:t xml:space="preserve">The ADA Amendments Act of 2008 (ADAAA) was enacted on September 25, 2008, and became effective on January 1, 2009. This law made </w:t>
      </w:r>
      <w:proofErr w:type="gramStart"/>
      <w:r w:rsidRPr="00477016">
        <w:rPr>
          <w:rFonts w:ascii="Times New Roman" w:hAnsi="Times New Roman"/>
          <w:b w:val="0"/>
          <w:bCs w:val="0"/>
          <w:i w:val="0"/>
          <w:iCs w:val="0"/>
          <w:sz w:val="24"/>
          <w:szCs w:val="24"/>
        </w:rPr>
        <w:t>a number of</w:t>
      </w:r>
      <w:proofErr w:type="gramEnd"/>
      <w:r w:rsidRPr="00477016">
        <w:rPr>
          <w:rFonts w:ascii="Times New Roman" w:hAnsi="Times New Roman"/>
          <w:b w:val="0"/>
          <w:bCs w:val="0"/>
          <w:i w:val="0"/>
          <w:iCs w:val="0"/>
          <w:sz w:val="24"/>
          <w:szCs w:val="24"/>
        </w:rPr>
        <w:t xml:space="preserve"> significant changes to the definition of "disability." ***</w:t>
      </w:r>
    </w:p>
    <w:p w14:paraId="576B0DCD" w14:textId="77777777" w:rsidR="00477016" w:rsidRPr="00477016" w:rsidRDefault="00477016" w:rsidP="00477016">
      <w:pPr>
        <w:ind w:left="1440"/>
        <w:rPr>
          <w:rFonts w:ascii="Times New Roman" w:hAnsi="Times New Roman"/>
          <w:sz w:val="24"/>
          <w:szCs w:val="24"/>
        </w:rPr>
      </w:pPr>
      <w:r w:rsidRPr="00477016">
        <w:rPr>
          <w:rFonts w:ascii="Times New Roman" w:hAnsi="Times New Roman"/>
          <w:sz w:val="24"/>
          <w:szCs w:val="24"/>
        </w:rPr>
        <w:t>The ADAAA and the final regulations define a disability using a three-pronged approach:</w:t>
      </w:r>
    </w:p>
    <w:p w14:paraId="40FD440B" w14:textId="77777777" w:rsidR="00477016" w:rsidRPr="00477016" w:rsidRDefault="00477016" w:rsidP="00477016">
      <w:pPr>
        <w:numPr>
          <w:ilvl w:val="0"/>
          <w:numId w:val="16"/>
        </w:numPr>
        <w:spacing w:before="100" w:beforeAutospacing="1" w:after="100" w:afterAutospacing="1" w:line="240" w:lineRule="auto"/>
        <w:rPr>
          <w:rFonts w:ascii="Times New Roman" w:hAnsi="Times New Roman"/>
          <w:sz w:val="24"/>
          <w:szCs w:val="24"/>
        </w:rPr>
      </w:pPr>
      <w:r w:rsidRPr="00477016">
        <w:rPr>
          <w:rFonts w:ascii="Times New Roman" w:hAnsi="Times New Roman"/>
          <w:sz w:val="24"/>
          <w:szCs w:val="24"/>
        </w:rPr>
        <w:t>a physical or mental impairment that substantially limits one or more major life activities (sometimes referred to in the regulations as an "actual disability"), or</w:t>
      </w:r>
    </w:p>
    <w:p w14:paraId="4F283A47" w14:textId="77777777" w:rsidR="00477016" w:rsidRPr="00477016" w:rsidRDefault="00477016" w:rsidP="00477016">
      <w:pPr>
        <w:numPr>
          <w:ilvl w:val="0"/>
          <w:numId w:val="16"/>
        </w:numPr>
        <w:spacing w:before="100" w:beforeAutospacing="1" w:after="100" w:afterAutospacing="1" w:line="240" w:lineRule="auto"/>
        <w:rPr>
          <w:rFonts w:ascii="Times New Roman" w:hAnsi="Times New Roman"/>
          <w:sz w:val="24"/>
          <w:szCs w:val="24"/>
        </w:rPr>
      </w:pPr>
      <w:r w:rsidRPr="00477016">
        <w:rPr>
          <w:rFonts w:ascii="Times New Roman" w:hAnsi="Times New Roman"/>
          <w:sz w:val="24"/>
          <w:szCs w:val="24"/>
        </w:rPr>
        <w:t>a record of a physical or mental impairment that substantially limited a major life activity ("record of"), or</w:t>
      </w:r>
    </w:p>
    <w:p w14:paraId="55509F4B" w14:textId="77777777" w:rsidR="00477016" w:rsidRPr="00477016" w:rsidRDefault="00477016" w:rsidP="00477016">
      <w:pPr>
        <w:numPr>
          <w:ilvl w:val="0"/>
          <w:numId w:val="16"/>
        </w:numPr>
        <w:spacing w:before="100" w:beforeAutospacing="1" w:after="100" w:afterAutospacing="1" w:line="240" w:lineRule="auto"/>
        <w:rPr>
          <w:rFonts w:ascii="Times New Roman" w:hAnsi="Times New Roman"/>
          <w:sz w:val="24"/>
          <w:szCs w:val="24"/>
        </w:rPr>
      </w:pPr>
      <w:r w:rsidRPr="00477016">
        <w:rPr>
          <w:rFonts w:ascii="Times New Roman" w:hAnsi="Times New Roman"/>
          <w:sz w:val="24"/>
          <w:szCs w:val="24"/>
        </w:rPr>
        <w:t>when a covered entity takes an action prohibited by the ADA because of an actual or perceived impairment that is not both transitory and minor ("regarded as"). [Section 1630.2(g)].</w:t>
      </w:r>
    </w:p>
    <w:p w14:paraId="0C2778A7" w14:textId="77777777" w:rsidR="00477016" w:rsidRPr="00477016" w:rsidRDefault="00477016" w:rsidP="00477016">
      <w:pPr>
        <w:pStyle w:val="NoSpacing"/>
        <w:rPr>
          <w:rFonts w:ascii="Times New Roman" w:hAnsi="Times New Roman"/>
          <w:sz w:val="24"/>
          <w:szCs w:val="24"/>
        </w:rPr>
      </w:pPr>
    </w:p>
    <w:p w14:paraId="47C43F5D" w14:textId="77777777" w:rsidR="00477016" w:rsidRPr="00477016" w:rsidRDefault="00477016" w:rsidP="005C30A4">
      <w:pPr>
        <w:pStyle w:val="NoSpacing"/>
        <w:rPr>
          <w:rFonts w:ascii="Times New Roman" w:hAnsi="Times New Roman"/>
          <w:sz w:val="24"/>
          <w:szCs w:val="24"/>
        </w:rPr>
      </w:pPr>
    </w:p>
    <w:p w14:paraId="624B5FA0" w14:textId="77777777" w:rsidR="00477016" w:rsidRDefault="00477016" w:rsidP="005C30A4">
      <w:pPr>
        <w:pStyle w:val="NoSpacing"/>
        <w:rPr>
          <w:rFonts w:ascii="Arial Black" w:hAnsi="Arial Black"/>
          <w:sz w:val="24"/>
          <w:szCs w:val="24"/>
        </w:rPr>
      </w:pPr>
    </w:p>
    <w:p w14:paraId="26CCBE83" w14:textId="77777777" w:rsidR="00477016" w:rsidRDefault="00477016" w:rsidP="005C30A4">
      <w:pPr>
        <w:pStyle w:val="NoSpacing"/>
        <w:rPr>
          <w:rFonts w:ascii="Arial Black" w:hAnsi="Arial Black"/>
          <w:sz w:val="24"/>
          <w:szCs w:val="24"/>
        </w:rPr>
      </w:pPr>
    </w:p>
    <w:p w14:paraId="30149857" w14:textId="00A0759D" w:rsidR="003F788B" w:rsidRDefault="003F788B" w:rsidP="005C30A4">
      <w:pPr>
        <w:pStyle w:val="NoSpacing"/>
        <w:rPr>
          <w:rFonts w:ascii="Arial Black" w:hAnsi="Arial Black"/>
          <w:sz w:val="24"/>
          <w:szCs w:val="24"/>
        </w:rPr>
      </w:pPr>
      <w:r>
        <w:rPr>
          <w:rFonts w:ascii="Arial Black" w:hAnsi="Arial Black"/>
          <w:sz w:val="24"/>
          <w:szCs w:val="24"/>
        </w:rPr>
        <w:lastRenderedPageBreak/>
        <w:t>9-28</w:t>
      </w:r>
    </w:p>
    <w:p w14:paraId="1756C8DD" w14:textId="77777777" w:rsidR="003F788B" w:rsidRDefault="003F788B" w:rsidP="003F788B">
      <w:pPr>
        <w:pStyle w:val="NormalWeb"/>
        <w:rPr>
          <w:rFonts w:ascii="Arial Black" w:hAnsi="Arial Black"/>
          <w:sz w:val="28"/>
          <w:szCs w:val="28"/>
        </w:rPr>
      </w:pPr>
      <w:r>
        <w:rPr>
          <w:rFonts w:ascii="Arial Black" w:hAnsi="Arial Black"/>
          <w:sz w:val="28"/>
          <w:szCs w:val="28"/>
        </w:rPr>
        <w:t xml:space="preserve">UT: ADA - FEMALE BAT. CHIEF DEMOTED CAPT – SEVERE ANXIETY, NO ACCOMODATIONS - LAWSUIT PROCEED </w:t>
      </w:r>
    </w:p>
    <w:p w14:paraId="77647D81" w14:textId="77777777" w:rsidR="003F788B" w:rsidRDefault="003F788B" w:rsidP="003F788B">
      <w:pPr>
        <w:pStyle w:val="NormalWeb"/>
      </w:pPr>
      <w:r>
        <w:t xml:space="preserve">On March 31, 2023, in </w:t>
      </w:r>
      <w:r>
        <w:rPr>
          <w:u w:val="single"/>
        </w:rPr>
        <w:t>Martha Ellis v. Salt Lake City Corporation, Karl Lieb, Brian Dale, and Robert McMicken</w:t>
      </w:r>
      <w:r>
        <w:t xml:space="preserve">, U.S, Magistrate Judge Jared C. Bennett denied the </w:t>
      </w:r>
      <w:proofErr w:type="gramStart"/>
      <w:r>
        <w:t>City</w:t>
      </w:r>
      <w:proofErr w:type="gramEnd"/>
      <w:r>
        <w:t xml:space="preserve"> and individual defendants’ motion for summary judgment.  Martha Ellis joined the Salt Lake City Fire Department as a firefighter in 1994; in 2004, she was promoted to Fire Captain and served as the Fire Marshal for the Salt Lake City International Airport; in 2009, she was promoted to Battalion Chief and assigned as the City Fire Marshal and Fire Prevention Bureau Division Chief. She served in this capacity until 2014. On May 3, 2016, she was demoted to Captain; she filed charge of discrimination with EEOC, and went on FMLA leave for severe anxiety, and when no light duty accommodation was offered, she was fired in March 2017 due to “your unavailability to return to work at this time.”  Shortly after she was fired, the City’s Civil Service Commission reversed her demotion, but she was never allowed back to work.</w:t>
      </w:r>
    </w:p>
    <w:p w14:paraId="652FB90B" w14:textId="77777777" w:rsidR="003F788B" w:rsidRDefault="003F788B" w:rsidP="003F788B">
      <w:pPr>
        <w:pStyle w:val="NormalWeb"/>
      </w:pPr>
      <w:r>
        <w:t>The Court held the lawsuit may proceed:</w:t>
      </w:r>
    </w:p>
    <w:p w14:paraId="72DACC82" w14:textId="77777777" w:rsidR="003F788B" w:rsidRDefault="003F788B" w:rsidP="003F788B">
      <w:pPr>
        <w:pStyle w:val="NormalWeb"/>
        <w:ind w:left="720"/>
      </w:pPr>
      <w:r>
        <w:rPr>
          <w:rStyle w:val="Strong"/>
        </w:rPr>
        <w:t>“FAILURE TO ACCOMMODATE…</w:t>
      </w:r>
      <w:r>
        <w:t xml:space="preserve"> After examining each party's analysis of the facts, the court finds that Ellis's evidence is sufficient to support her failure to accommodate claim….  Ellis claims that the City rejected two plausibly reasonable accommodations: (1) medical leave for her condition until the CSC appeal was resolved, and (2) the opportunity to receive some form of training from the Department on a temporary part-time schedule of five-hours a day, four-days a week…. The court agrees with Ellis that her requests for </w:t>
      </w:r>
      <w:proofErr w:type="gramStart"/>
      <w:r>
        <w:t>these accommodations</w:t>
      </w:r>
      <w:proofErr w:type="gramEnd"/>
      <w:r>
        <w:t xml:space="preserve"> were plausibly reasonable.</w:t>
      </w:r>
    </w:p>
    <w:p w14:paraId="4EE49E8C" w14:textId="77777777" w:rsidR="003F788B" w:rsidRDefault="003F788B" w:rsidP="003F788B">
      <w:pPr>
        <w:pStyle w:val="NormalWeb"/>
        <w:ind w:left="720"/>
      </w:pPr>
      <w:r>
        <w:rPr>
          <w:rStyle w:val="Strong"/>
        </w:rPr>
        <w:t>***</w:t>
      </w:r>
    </w:p>
    <w:p w14:paraId="33A33C7F" w14:textId="77777777" w:rsidR="003F788B" w:rsidRDefault="003F788B" w:rsidP="003F788B">
      <w:pPr>
        <w:pStyle w:val="NormalWeb"/>
        <w:ind w:left="720"/>
      </w:pPr>
      <w:r>
        <w:rPr>
          <w:rStyle w:val="Strong"/>
        </w:rPr>
        <w:t xml:space="preserve">DISABILITY DISCRIMINATION AND RETALIATION… </w:t>
      </w:r>
      <w:r>
        <w:t>Thus, a jury could find that the City's reason for termination was pretextual. In sum, Ellis has established that she has viable discrimination and retaliation claims under the ADA. As a result, all three of her ADA claims may proceed to trial.</w:t>
      </w:r>
    </w:p>
    <w:p w14:paraId="1854B399" w14:textId="77777777" w:rsidR="003F788B" w:rsidRDefault="003F788B" w:rsidP="003F788B">
      <w:pPr>
        <w:pStyle w:val="NormalWeb"/>
        <w:ind w:left="720"/>
      </w:pPr>
      <w:r>
        <w:rPr>
          <w:rStyle w:val="Strong"/>
        </w:rPr>
        <w:t>***</w:t>
      </w:r>
    </w:p>
    <w:p w14:paraId="047AB7CC" w14:textId="77777777" w:rsidR="003F788B" w:rsidRDefault="003F788B" w:rsidP="003F788B">
      <w:pPr>
        <w:pStyle w:val="NormalWeb"/>
        <w:ind w:left="720"/>
      </w:pPr>
      <w:r>
        <w:rPr>
          <w:rStyle w:val="Strong"/>
        </w:rPr>
        <w:t xml:space="preserve">SEX DISCRIMINATION AND RETALIATION CLAIMS… </w:t>
      </w:r>
      <w:r>
        <w:t>In sum, Ellis establishes prima facie cases of sex discrimination and retaliation under Title VII and § 1983. Because she presents evidence tending to show that Defendants' proffered reasons for taking adverse employment actions against her are pretextual, her claims survive summary judgment.</w:t>
      </w:r>
    </w:p>
    <w:p w14:paraId="72E9BDF6" w14:textId="77777777" w:rsidR="003F788B" w:rsidRDefault="003F788B" w:rsidP="003F788B">
      <w:pPr>
        <w:pStyle w:val="NormalWeb"/>
        <w:ind w:left="720"/>
      </w:pPr>
      <w:r>
        <w:rPr>
          <w:rStyle w:val="Strong"/>
        </w:rPr>
        <w:t>***</w:t>
      </w:r>
    </w:p>
    <w:p w14:paraId="0C2970B2" w14:textId="77777777" w:rsidR="003F788B" w:rsidRDefault="003F788B" w:rsidP="003F788B">
      <w:pPr>
        <w:pStyle w:val="NormalWeb"/>
        <w:ind w:left="720"/>
      </w:pPr>
      <w:r>
        <w:rPr>
          <w:rStyle w:val="Strong"/>
        </w:rPr>
        <w:t xml:space="preserve">HOSTILE WORK ENVIRONMENT CLAIMS… </w:t>
      </w:r>
      <w:r>
        <w:t xml:space="preserve">A jury could find that this treatment of Ellis, along with the sexist insults lobbed her way, significantly impeded her ability to work and, thus, constituted a hostile work environment.” </w:t>
      </w:r>
      <w:hyperlink r:id="rId1709" w:history="1">
        <w:r>
          <w:rPr>
            <w:rStyle w:val="Hyperlink"/>
          </w:rPr>
          <w:t>https://public.fastcase.com/J%2FJP6pdidelsXxEE4k%2BLMkpx4Tc1lqsghN0FDa1gb3wMFLVhhLo5FWrnkmMj5%2F%2BBVQtdjf8pXYj06hYu%2BnGwGl7dOZtJUpPBXfNPjPwixAs%3D?utm_medium=email&amp;_hsmi=226712652&amp;_hsenc=p2ANqtz--C2h-0vhrKpmBZ-sfV5NXYWdtLuQagg3T7ZppydHXd8lRUQhheIKUZNhzvLNm0zeXmkYrDIZXEzHKpdEczURzqVa6roA&amp;utm_content=226712652&amp;utm_source=hs_email</w:t>
        </w:r>
      </w:hyperlink>
      <w:r>
        <w:t xml:space="preserve"> </w:t>
      </w:r>
    </w:p>
    <w:p w14:paraId="2CD5068D" w14:textId="77777777" w:rsidR="003F788B" w:rsidRDefault="003F788B" w:rsidP="003F788B">
      <w:pPr>
        <w:pStyle w:val="NormalWeb"/>
      </w:pPr>
      <w:r>
        <w:lastRenderedPageBreak/>
        <w:t xml:space="preserve">The Court noted that shortly after she was fired, the three-member Civil Service Commission met (Match 18, 2017) and unanimously voted to overturn and reverse Ellis's demotion. </w:t>
      </w:r>
    </w:p>
    <w:p w14:paraId="0369174F" w14:textId="77777777" w:rsidR="003F788B" w:rsidRDefault="003F788B" w:rsidP="003F788B">
      <w:pPr>
        <w:pStyle w:val="NormalWeb"/>
        <w:ind w:firstLine="720"/>
      </w:pPr>
      <w:r>
        <w:t>“The CSC ultimately found that:</w:t>
      </w:r>
    </w:p>
    <w:p w14:paraId="71AFDB22" w14:textId="77777777" w:rsidR="003F788B" w:rsidRDefault="003F788B" w:rsidP="003F788B">
      <w:pPr>
        <w:spacing w:after="100" w:line="240" w:lineRule="auto"/>
        <w:ind w:left="720" w:firstLine="720"/>
        <w:rPr>
          <w:rFonts w:ascii="Times New Roman" w:eastAsia="Times New Roman" w:hAnsi="Times New Roman"/>
          <w:sz w:val="24"/>
          <w:szCs w:val="24"/>
        </w:rPr>
      </w:pPr>
      <w:proofErr w:type="gramStart"/>
      <w:r>
        <w:rPr>
          <w:rFonts w:ascii="Times New Roman" w:eastAsia="Times New Roman" w:hAnsi="Times New Roman"/>
          <w:sz w:val="24"/>
          <w:szCs w:val="24"/>
        </w:rPr>
        <w:t>1. ‘</w:t>
      </w:r>
      <w:proofErr w:type="gramEnd"/>
      <w:r>
        <w:rPr>
          <w:rFonts w:ascii="Times New Roman" w:eastAsia="Times New Roman" w:hAnsi="Times New Roman"/>
          <w:sz w:val="24"/>
          <w:szCs w:val="24"/>
        </w:rPr>
        <w:t xml:space="preserve">McMicken was looking for reasons to discipline Ellis.’ </w:t>
      </w:r>
    </w:p>
    <w:p w14:paraId="0276925A" w14:textId="77777777" w:rsidR="003F788B" w:rsidRDefault="003F788B" w:rsidP="003F788B">
      <w:pPr>
        <w:spacing w:after="100" w:line="240" w:lineRule="auto"/>
        <w:ind w:left="1440"/>
        <w:rPr>
          <w:rFonts w:ascii="Times New Roman" w:eastAsia="Times New Roman" w:hAnsi="Times New Roman"/>
          <w:sz w:val="24"/>
          <w:szCs w:val="24"/>
        </w:rPr>
      </w:pPr>
      <w:proofErr w:type="gramStart"/>
      <w:r>
        <w:rPr>
          <w:rFonts w:ascii="Times New Roman" w:eastAsia="Times New Roman" w:hAnsi="Times New Roman"/>
          <w:sz w:val="24"/>
          <w:szCs w:val="24"/>
        </w:rPr>
        <w:t>2. ‘</w:t>
      </w:r>
      <w:proofErr w:type="gramEnd"/>
      <w:r>
        <w:rPr>
          <w:rFonts w:ascii="Times New Roman" w:eastAsia="Times New Roman" w:hAnsi="Times New Roman"/>
          <w:sz w:val="24"/>
          <w:szCs w:val="24"/>
        </w:rPr>
        <w:t>[A]legations of Ellis' lack of performance are not supported by substantial evidence.’</w:t>
      </w:r>
    </w:p>
    <w:p w14:paraId="19D948DC" w14:textId="77777777" w:rsidR="003F788B" w:rsidRDefault="003F788B" w:rsidP="003F788B">
      <w:pPr>
        <w:spacing w:after="100" w:line="240" w:lineRule="auto"/>
        <w:ind w:left="720" w:firstLine="720"/>
        <w:rPr>
          <w:rFonts w:ascii="Times New Roman" w:eastAsia="Times New Roman" w:hAnsi="Times New Roman"/>
          <w:sz w:val="24"/>
          <w:szCs w:val="24"/>
        </w:rPr>
      </w:pPr>
      <w:r>
        <w:rPr>
          <w:rFonts w:ascii="Times New Roman" w:eastAsia="Times New Roman" w:hAnsi="Times New Roman"/>
          <w:sz w:val="24"/>
          <w:szCs w:val="24"/>
        </w:rPr>
        <w:t xml:space="preserve">3. The reasons for Ellis's demotion were ‘trivial in nature.’ </w:t>
      </w:r>
    </w:p>
    <w:p w14:paraId="3FCCE250" w14:textId="77777777" w:rsidR="003F788B" w:rsidRDefault="003F788B" w:rsidP="003F788B">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4. The ‘allegations appear to the Commission to be an attempt to manufacture misconduct and allege failure of performance to justify the disciplinary action, when there were no performance issues.’ </w:t>
      </w:r>
    </w:p>
    <w:p w14:paraId="3212DEFF" w14:textId="77777777" w:rsidR="003F788B" w:rsidRDefault="003F788B" w:rsidP="003F788B">
      <w:pPr>
        <w:spacing w:after="100" w:line="240" w:lineRule="auto"/>
        <w:ind w:left="720"/>
        <w:rPr>
          <w:rFonts w:ascii="Times New Roman" w:hAnsi="Times New Roman"/>
          <w:sz w:val="24"/>
          <w:szCs w:val="24"/>
        </w:rPr>
      </w:pPr>
      <w:r>
        <w:rPr>
          <w:rFonts w:ascii="Times New Roman" w:hAnsi="Times New Roman"/>
          <w:sz w:val="24"/>
          <w:szCs w:val="24"/>
        </w:rPr>
        <w:t>Although the CSC overturned Plaintiff's demotion, the Department never restored Ellis to her original position or reinstated her, since by this time her employment had been terminated. Ultimately, she was only paid the salary that she lost due to her demotion -$7,166.74.”</w:t>
      </w:r>
    </w:p>
    <w:p w14:paraId="19019E80" w14:textId="77777777" w:rsidR="003F788B" w:rsidRDefault="003F788B" w:rsidP="003F788B">
      <w:pPr>
        <w:spacing w:after="100" w:line="240" w:lineRule="auto"/>
        <w:rPr>
          <w:rFonts w:ascii="Times New Roman" w:hAnsi="Times New Roman"/>
          <w:b/>
          <w:bCs/>
          <w:sz w:val="24"/>
          <w:szCs w:val="24"/>
        </w:rPr>
      </w:pPr>
    </w:p>
    <w:p w14:paraId="6E2A6160" w14:textId="77777777" w:rsidR="003F788B" w:rsidRDefault="003F788B" w:rsidP="003F788B">
      <w:pPr>
        <w:spacing w:after="100" w:line="240" w:lineRule="auto"/>
        <w:rPr>
          <w:rFonts w:ascii="Times New Roman" w:eastAsia="Times New Roman" w:hAnsi="Times New Roman"/>
          <w:b/>
          <w:bCs/>
          <w:sz w:val="24"/>
          <w:szCs w:val="24"/>
        </w:rPr>
      </w:pPr>
      <w:r>
        <w:rPr>
          <w:rFonts w:ascii="Times New Roman" w:hAnsi="Times New Roman"/>
          <w:b/>
          <w:bCs/>
          <w:sz w:val="24"/>
          <w:szCs w:val="24"/>
        </w:rPr>
        <w:t xml:space="preserve">Legal Lessons Learned: The case will now proceed to trial, unless settled. </w:t>
      </w:r>
    </w:p>
    <w:p w14:paraId="6AE687A6" w14:textId="77777777" w:rsidR="003F788B" w:rsidRDefault="003F788B" w:rsidP="003F788B">
      <w:pPr>
        <w:pStyle w:val="NormalWeb"/>
      </w:pPr>
    </w:p>
    <w:p w14:paraId="18EEC093" w14:textId="2684E23B" w:rsidR="003F788B" w:rsidRDefault="003F788B" w:rsidP="005C30A4">
      <w:pPr>
        <w:pStyle w:val="NoSpacing"/>
        <w:rPr>
          <w:rFonts w:ascii="Arial Black" w:hAnsi="Arial Black"/>
          <w:sz w:val="24"/>
          <w:szCs w:val="24"/>
        </w:rPr>
      </w:pPr>
    </w:p>
    <w:p w14:paraId="52E7C0A2" w14:textId="1E1B2FD7" w:rsidR="003F788B" w:rsidRDefault="003F788B" w:rsidP="005C30A4">
      <w:pPr>
        <w:pStyle w:val="NoSpacing"/>
        <w:rPr>
          <w:rFonts w:ascii="Arial Black" w:hAnsi="Arial Black"/>
          <w:sz w:val="24"/>
          <w:szCs w:val="24"/>
        </w:rPr>
      </w:pPr>
      <w:r>
        <w:rPr>
          <w:rFonts w:ascii="Arial Black" w:hAnsi="Arial Black"/>
          <w:sz w:val="24"/>
          <w:szCs w:val="24"/>
        </w:rPr>
        <w:t>9-27</w:t>
      </w:r>
    </w:p>
    <w:p w14:paraId="1406FFEF" w14:textId="6B9534F9" w:rsidR="003F788B" w:rsidRDefault="003F788B" w:rsidP="005C30A4">
      <w:pPr>
        <w:pStyle w:val="NoSpacing"/>
        <w:rPr>
          <w:rFonts w:ascii="Arial Black" w:hAnsi="Arial Black"/>
          <w:sz w:val="24"/>
          <w:szCs w:val="24"/>
        </w:rPr>
      </w:pPr>
    </w:p>
    <w:p w14:paraId="7713B1A6" w14:textId="77777777" w:rsidR="003F788B" w:rsidRDefault="003F788B" w:rsidP="003F788B">
      <w:pPr>
        <w:pStyle w:val="NormalWeb"/>
        <w:rPr>
          <w:rFonts w:ascii="Arial Black" w:hAnsi="Arial Black"/>
          <w:sz w:val="28"/>
          <w:szCs w:val="28"/>
        </w:rPr>
      </w:pPr>
      <w:r>
        <w:rPr>
          <w:rFonts w:ascii="Arial Black" w:hAnsi="Arial Black"/>
          <w:sz w:val="28"/>
          <w:szCs w:val="28"/>
        </w:rPr>
        <w:t xml:space="preserve">UT: ADA – PARAMEDIC BACK INJURY – LIGHT DUTY – CLAIMS GIVEN HEAVY DUTIES – CASE MAY PROCEED </w:t>
      </w:r>
    </w:p>
    <w:p w14:paraId="49932A5C" w14:textId="77777777" w:rsidR="003F788B" w:rsidRDefault="003F788B" w:rsidP="003F788B">
      <w:pPr>
        <w:pStyle w:val="NormalWeb"/>
      </w:pPr>
      <w:r>
        <w:t xml:space="preserve">On March 28, 2023, in </w:t>
      </w:r>
      <w:r>
        <w:rPr>
          <w:u w:val="single"/>
        </w:rPr>
        <w:t>Patrick John v. Murray City</w:t>
      </w:r>
      <w:r>
        <w:t xml:space="preserve">, U.S. Magistrate Judge Daphne A. Oberg, U.S. District Court for District of Utah, held that his ADA lawsuit may proceed to trial on his claim that after a back injury on Nov. 24, 2017, he was on light duty for six weeks, and was inappropriately ordered to perform tasks like moving boxes that caused him pain. The </w:t>
      </w:r>
      <w:proofErr w:type="gramStart"/>
      <w:r>
        <w:t>City</w:t>
      </w:r>
      <w:proofErr w:type="gramEnd"/>
      <w:r>
        <w:t xml:space="preserve"> fired him in September 2018, after he was on probation, for “attitude, reckless driving, lack of initiative, and the Needle Stick Incident.”  </w:t>
      </w:r>
    </w:p>
    <w:p w14:paraId="2DCCEB68" w14:textId="77777777" w:rsidR="003F788B" w:rsidRDefault="003F788B" w:rsidP="003F788B">
      <w:pPr>
        <w:pStyle w:val="NormalWeb"/>
        <w:ind w:left="540"/>
      </w:pPr>
      <w:r>
        <w:t>While the Judge granted City’s motion for summary judgment on his claim he was fired in retaliation for his six workers comp claims (Dec. 2007; April 2016; Oct. 2016, Nov. 2017, June 2018), the Judge ordered case to trial on whether the City properly accommodated him while on light duty following another back injury on November 24, 2017. The Judge held that following testimony by the paramedic is “sufficient to create a genuine issue of material fact concerning whether the City accommodated John after his November 2017 injury.” *** On December 4, he went to Clements [his Physician Assistant] for treatment. Clements issued a work restriction note recommending the paramedic be allowed ‘to modify bending, lifting, twisting, carrying, stooping, kneeling as tolerated while being treated for the next 6-8 weeks.’  *** “During the restriction period after this injury, John met with Harris [who later became Fire Chief] ‘every morning’ to discuss light-duty work assignments for the day. At several of these meetings, John remembers Harris making disparaging remarks. For example, Harris told John that light-duty assignments were ‘unacceptable, especially [for] somebody on probation’ who was trying to prove he wanted to keep his job. According to John, Harris seemed ‘really frustrated and angry’ and repeatedly said some version of, ‘Well what are we going to do with you today?’ Harris also ‘forced him to complete tasks,’ like cleaning the gear room, ‘that were outside of his medical restrictions, causing him further pain.’”</w:t>
      </w:r>
      <w:hyperlink r:id="rId1710" w:history="1">
        <w:r>
          <w:rPr>
            <w:rStyle w:val="Hyperlink"/>
          </w:rPr>
          <w:t>https://public.fastcase.com/J%2FJP6pdidelsXxEE4k%2BLMiteJGWvZUfwvvNNihi30%2B3WDx</w:t>
        </w:r>
        <w:r>
          <w:rPr>
            <w:rStyle w:val="Hyperlink"/>
          </w:rPr>
          <w:lastRenderedPageBreak/>
          <w:t>UCsaXKSaCpKvBtAgs2vLiA9OVuPhL49GE7aECM8IIU6kbJlailTpTCbBqx2w4%3D?utm_medium=email&amp;_hsmi=226712652&amp;_hsenc=p2ANqtz---SEadQ3HE9lUqxxQW5cr7Vybxx0tHPHEXMPHfSJcPHzXu-t4fnJYchJuK4CNgA9WWUPQ6Jxn6Xff3x8kPfGcAZk9K8A&amp;utm_content=226712652&amp;utm_source=hs_email</w:t>
        </w:r>
      </w:hyperlink>
      <w:r>
        <w:t xml:space="preserve"> </w:t>
      </w:r>
    </w:p>
    <w:p w14:paraId="296FC269" w14:textId="77777777" w:rsidR="003F788B" w:rsidRDefault="003F788B" w:rsidP="003F788B">
      <w:pPr>
        <w:pStyle w:val="NormalWeb"/>
        <w:ind w:firstLine="540"/>
      </w:pPr>
      <w:r>
        <w:rPr>
          <w:rStyle w:val="Strong"/>
        </w:rPr>
        <w:t>“John's Monthly Probation Reports</w:t>
      </w:r>
      <w:r>
        <w:t xml:space="preserve"> </w:t>
      </w:r>
    </w:p>
    <w:p w14:paraId="3F81F084" w14:textId="77777777" w:rsidR="003F788B" w:rsidRDefault="003F788B" w:rsidP="003F788B">
      <w:pPr>
        <w:pStyle w:val="NormalWeb"/>
        <w:ind w:left="540"/>
      </w:pPr>
      <w:r>
        <w:t xml:space="preserve">John continued to receive monthly performance reviews as part of his probation. From October 2017 through December 2017, the reports were ‘mixed.’ However, from January through May 2018, John's supervisor noted he was improving and rated him as ‘meeting expectations.’ John signed each of these reports. </w:t>
      </w:r>
    </w:p>
    <w:p w14:paraId="76F4BE88" w14:textId="77777777" w:rsidR="003F788B" w:rsidRDefault="003F788B" w:rsidP="003F788B">
      <w:pPr>
        <w:pStyle w:val="NormalWeb"/>
        <w:ind w:left="540"/>
      </w:pPr>
      <w:r>
        <w:t xml:space="preserve">In the June 2018 report, the supervisor rated John as ‘needing improvement’ in the categories of safety, following instructions, and fire skills. These ratings were based on three incidents. </w:t>
      </w:r>
    </w:p>
    <w:p w14:paraId="263E6BA8" w14:textId="77777777" w:rsidR="003F788B" w:rsidRDefault="003F788B" w:rsidP="003F788B">
      <w:pPr>
        <w:pStyle w:val="NormalWeb"/>
        <w:ind w:left="540"/>
      </w:pPr>
      <w:r>
        <w:t xml:space="preserve">First, John ‘jeopardized his safety during a defensive fire operation’ when he entered a burning and abandoned building that his captain and crew told him not to enter (the Fire Incident). This was an ‘unreasonable risk’ because there was a partially collapsed wall and ‘heavy smoke.’ </w:t>
      </w:r>
    </w:p>
    <w:p w14:paraId="43B4D66F" w14:textId="77777777" w:rsidR="003F788B" w:rsidRDefault="003F788B" w:rsidP="003F788B">
      <w:pPr>
        <w:pStyle w:val="NormalWeb"/>
        <w:ind w:left="540"/>
      </w:pPr>
      <w:r>
        <w:t xml:space="preserve">Second, John accidentally exposed himself to a needlestick by recapping a bent needle (the Needle Stick Incident). The supervisor explained that recapping a bent needle is ‘against standard paramedic practice and should be avoided.’ </w:t>
      </w:r>
    </w:p>
    <w:p w14:paraId="0B934854" w14:textId="77777777" w:rsidR="003F788B" w:rsidRDefault="003F788B" w:rsidP="003F788B">
      <w:pPr>
        <w:pStyle w:val="NormalWeb"/>
        <w:ind w:left="540"/>
      </w:pPr>
      <w:r>
        <w:t>Third, the supervisor received reports that John had ‘been driving the ambulance recklessly and going back to his old ways with attitude.’</w:t>
      </w:r>
    </w:p>
    <w:p w14:paraId="2C4A767D" w14:textId="77777777" w:rsidR="003F788B" w:rsidRDefault="003F788B" w:rsidP="003F788B">
      <w:pPr>
        <w:pStyle w:val="NormalWeb"/>
        <w:ind w:left="540"/>
      </w:pPr>
      <w:r>
        <w:t>***</w:t>
      </w:r>
    </w:p>
    <w:p w14:paraId="3FB06730" w14:textId="77777777" w:rsidR="003F788B" w:rsidRDefault="003F788B" w:rsidP="003F788B">
      <w:pPr>
        <w:pStyle w:val="NormalWeb"/>
        <w:ind w:firstLine="540"/>
      </w:pPr>
      <w:r>
        <w:rPr>
          <w:rStyle w:val="Strong"/>
        </w:rPr>
        <w:t>The City Terminates John</w:t>
      </w:r>
      <w:r>
        <w:t xml:space="preserve"> </w:t>
      </w:r>
    </w:p>
    <w:p w14:paraId="6D7364BE" w14:textId="77777777" w:rsidR="003F788B" w:rsidRDefault="003F788B" w:rsidP="003F788B">
      <w:pPr>
        <w:pStyle w:val="NormalWeb"/>
        <w:ind w:left="540"/>
      </w:pPr>
      <w:r>
        <w:t xml:space="preserve">John's pre-disciplinary hearing was on August 28, 2018. At the hearing, John was able to present his ‘version of the </w:t>
      </w:r>
      <w:proofErr w:type="gramStart"/>
      <w:r>
        <w:t>facts’</w:t>
      </w:r>
      <w:proofErr w:type="gramEnd"/>
      <w:r>
        <w:t xml:space="preserve"> and other information he considered relevant</w:t>
      </w:r>
      <w:proofErr w:type="gramStart"/>
      <w:r>
        <w:t xml:space="preserve">.[Fire Chief] </w:t>
      </w:r>
      <w:proofErr w:type="gramEnd"/>
      <w:r>
        <w:t xml:space="preserve"> Harris, two assistant chiefs, and the City's human resources director attended the hearing and later investigated concerns John raised. </w:t>
      </w:r>
    </w:p>
    <w:p w14:paraId="7EECB1B9" w14:textId="77777777" w:rsidR="003F788B" w:rsidRDefault="003F788B" w:rsidP="003F788B">
      <w:pPr>
        <w:pStyle w:val="NormalWeb"/>
        <w:ind w:left="540"/>
      </w:pPr>
      <w:r>
        <w:t xml:space="preserve">After the investigation, the </w:t>
      </w:r>
      <w:proofErr w:type="gramStart"/>
      <w:r>
        <w:t>City</w:t>
      </w:r>
      <w:proofErr w:type="gramEnd"/>
      <w:r>
        <w:t xml:space="preserve"> terminated John on September 6, 2018. </w:t>
      </w:r>
      <w:r>
        <w:rPr>
          <w:vertAlign w:val="superscript"/>
        </w:rPr>
        <w:t>]</w:t>
      </w:r>
      <w:r>
        <w:t>Harris wrote John a letter explaining the reasons for the termination. For example, the letter described concerns about attitude, reckless driving, lack of initiative, and the Needle Stick Incident.</w:t>
      </w:r>
      <w:r>
        <w:rPr>
          <w:vertAlign w:val="superscript"/>
        </w:rPr>
        <w:t>”</w:t>
      </w:r>
    </w:p>
    <w:p w14:paraId="596B0B34" w14:textId="77777777" w:rsidR="003F788B" w:rsidRDefault="003F788B" w:rsidP="003F788B">
      <w:pPr>
        <w:pStyle w:val="NormalWeb"/>
        <w:rPr>
          <w:b/>
          <w:bCs/>
        </w:rPr>
      </w:pPr>
      <w:r>
        <w:rPr>
          <w:b/>
          <w:bCs/>
        </w:rPr>
        <w:t xml:space="preserve">Legal Lesson Learned: When accommodating a paramedic with light duty for a back injury, assign the medic duties consistent with recovery for that injury. </w:t>
      </w:r>
    </w:p>
    <w:p w14:paraId="7A99B39C" w14:textId="77777777" w:rsidR="003F788B" w:rsidRDefault="003F788B" w:rsidP="003F788B">
      <w:pPr>
        <w:pStyle w:val="NormalWeb"/>
      </w:pPr>
    </w:p>
    <w:p w14:paraId="561E1F0B" w14:textId="7B1BC8F5" w:rsidR="003F788B" w:rsidRDefault="003F788B" w:rsidP="005C30A4">
      <w:pPr>
        <w:pStyle w:val="NoSpacing"/>
        <w:rPr>
          <w:rFonts w:ascii="Arial Black" w:hAnsi="Arial Black"/>
          <w:sz w:val="24"/>
          <w:szCs w:val="24"/>
        </w:rPr>
      </w:pPr>
    </w:p>
    <w:p w14:paraId="73F94D85" w14:textId="53D17EB9" w:rsidR="003F788B" w:rsidRDefault="003F788B" w:rsidP="005C30A4">
      <w:pPr>
        <w:pStyle w:val="NoSpacing"/>
        <w:rPr>
          <w:rFonts w:ascii="Arial Black" w:hAnsi="Arial Black"/>
          <w:sz w:val="24"/>
          <w:szCs w:val="24"/>
        </w:rPr>
      </w:pPr>
      <w:r>
        <w:rPr>
          <w:rFonts w:ascii="Arial Black" w:hAnsi="Arial Black"/>
          <w:sz w:val="24"/>
          <w:szCs w:val="24"/>
        </w:rPr>
        <w:t>9-26</w:t>
      </w:r>
    </w:p>
    <w:p w14:paraId="26F75A3F" w14:textId="7A4DF0F5" w:rsidR="003F788B" w:rsidRDefault="003F788B" w:rsidP="005C30A4">
      <w:pPr>
        <w:pStyle w:val="NoSpacing"/>
        <w:rPr>
          <w:rFonts w:ascii="Arial Black" w:hAnsi="Arial Black"/>
          <w:sz w:val="24"/>
          <w:szCs w:val="24"/>
        </w:rPr>
      </w:pPr>
    </w:p>
    <w:p w14:paraId="125217A0" w14:textId="77777777" w:rsidR="003F788B" w:rsidRDefault="003F788B" w:rsidP="003F788B">
      <w:pPr>
        <w:pStyle w:val="NormalWeb"/>
        <w:rPr>
          <w:rFonts w:ascii="Arial Black" w:hAnsi="Arial Black"/>
          <w:sz w:val="28"/>
          <w:szCs w:val="28"/>
        </w:rPr>
      </w:pPr>
      <w:r>
        <w:rPr>
          <w:rFonts w:ascii="Arial Black" w:hAnsi="Arial Black"/>
          <w:sz w:val="28"/>
          <w:szCs w:val="28"/>
        </w:rPr>
        <w:lastRenderedPageBreak/>
        <w:t xml:space="preserve">IL: ADA - CHICAGO FF – FAILED ANNUAL STRESS TEST – CO-PAYS PRIVATE TESTING WHILE ON PAID LEAVE – NO VIOL. </w:t>
      </w:r>
    </w:p>
    <w:p w14:paraId="7260FF28" w14:textId="77777777" w:rsidR="003F788B" w:rsidRDefault="003F788B" w:rsidP="003F788B">
      <w:pPr>
        <w:pStyle w:val="NormalWeb"/>
      </w:pPr>
      <w:r>
        <w:t xml:space="preserve">On March 20, 2023, in </w:t>
      </w:r>
      <w:r>
        <w:rPr>
          <w:u w:val="single"/>
        </w:rPr>
        <w:t>Darren Verderber v. City of Chicago</w:t>
      </w:r>
      <w:r>
        <w:t xml:space="preserve">, U.S. District Court Judge Franklin U. Valderrama, U.S., District Court for Northern District of Illinois, Eastern Division, granted the City’s motion to dismiss.  Even though the firefighter had to submit numerous test results, and personally pay insurance co-pays, there was no “materially adverse employment action” as required to bring ADA lawsuit. </w:t>
      </w:r>
    </w:p>
    <w:p w14:paraId="0E299DEA" w14:textId="77777777" w:rsidR="003F788B" w:rsidRDefault="003F788B" w:rsidP="003F788B">
      <w:pPr>
        <w:pStyle w:val="NormalWeb"/>
      </w:pPr>
      <w:r>
        <w:t>The Court held:</w:t>
      </w:r>
    </w:p>
    <w:p w14:paraId="6D9BE190" w14:textId="77777777" w:rsidR="003F788B" w:rsidRDefault="003F788B" w:rsidP="003F788B">
      <w:pPr>
        <w:pStyle w:val="NormalWeb"/>
        <w:ind w:left="720"/>
      </w:pPr>
      <w:r>
        <w:t xml:space="preserve">“The Court agrees with the </w:t>
      </w:r>
      <w:proofErr w:type="gramStart"/>
      <w:r>
        <w:t>City</w:t>
      </w:r>
      <w:proofErr w:type="gramEnd"/>
      <w:r>
        <w:t xml:space="preserve"> that Verderber has failed to plausibly allege a materially adverse employment action. True, Verderber has alleged that he was required to undergo a series of medical examinations after his failed physical exam. But courts have repeatedly held that the ADA permits fitness for duty examinations for public safety employees….Nor has he alleged that other similarly situated firefighters were subjected to less testing after a failed stress test. Furthermore, in his Complaint, Verderber alleges that he was warned by the CFD how ‘physically demanding’ his job was, which supports that the series of medical examinations were within the scope of Verderber's employment…. Thus, Verderber has not plausibly alleged that the series of medical examination requirements was a materially adverse employment action. *** Apparently, the issue of whether payment of out-of-pocket expenses can constitute an adverse employment action has not been addressed in the Seventh Circuit.  In short, Verderber has not plausibly alleged that the out-of-pocket medical costs are a materially adverse employment action.           All in all, Verderber has not plausibly pled a materially adverse employment </w:t>
      </w:r>
      <w:proofErr w:type="gramStart"/>
      <w:r>
        <w:t>action, and</w:t>
      </w:r>
      <w:proofErr w:type="gramEnd"/>
      <w:r>
        <w:t xml:space="preserve"> so has not stated a claim under the ADA.  </w:t>
      </w:r>
      <w:hyperlink r:id="rId1711" w:history="1">
        <w:r>
          <w:rPr>
            <w:rStyle w:val="Hyperlink"/>
          </w:rPr>
          <w:t>https://law.justia.com/cases/federal/district-courts/illinois/ilndce/1:2021cv06211/409083/23/</w:t>
        </w:r>
      </w:hyperlink>
      <w:r>
        <w:t xml:space="preserve"> </w:t>
      </w:r>
    </w:p>
    <w:p w14:paraId="10293D10" w14:textId="77777777" w:rsidR="003F788B" w:rsidRDefault="003F788B" w:rsidP="003F788B">
      <w:pPr>
        <w:pStyle w:val="NormalWeb"/>
        <w:ind w:left="720"/>
      </w:pPr>
      <w:r>
        <w:t>CFD requires members of the Special Operations Division to undergo an annual physical exam…. The physical exam includes a stress test… Verderber underwent his annual physical exam on July 23, 2020…. Verderber alleges that during the stress test portion of the July 23 exam, one of the cardiac monitor leads fell off Verderber's chest, negatively impacting the results and causing Verderber to ‘not satisfactorily pass’ the stress test</w:t>
      </w:r>
      <w:proofErr w:type="gramStart"/>
      <w:r>
        <w:t>…..</w:t>
      </w:r>
      <w:proofErr w:type="gramEnd"/>
      <w:r>
        <w:t xml:space="preserve"> That same day, Verderber requested a second stress test, but his request was denied. </w:t>
      </w:r>
    </w:p>
    <w:p w14:paraId="19184A15" w14:textId="77777777" w:rsidR="003F788B" w:rsidRDefault="003F788B" w:rsidP="003F788B">
      <w:pPr>
        <w:pStyle w:val="NormalWeb"/>
        <w:ind w:left="720"/>
      </w:pPr>
      <w:r>
        <w:t>***</w:t>
      </w:r>
    </w:p>
    <w:p w14:paraId="53DED51B" w14:textId="77777777" w:rsidR="003F788B" w:rsidRDefault="003F788B" w:rsidP="003F788B">
      <w:pPr>
        <w:pStyle w:val="NormalWeb"/>
        <w:ind w:left="720"/>
      </w:pPr>
      <w:r>
        <w:t>From August 2020 to February 2021, Verderber was required to submit to various medical consultations, examinations and tests and obtain numerous medical releases</w:t>
      </w:r>
      <w:proofErr w:type="gramStart"/>
      <w:r>
        <w:t>…..</w:t>
      </w:r>
      <w:proofErr w:type="gramEnd"/>
      <w:r>
        <w:t xml:space="preserve"> Beginning on July 31, 2020, Verderber scheduled a medical consultation with his general practitioner, after which the doctor provided a medical release authorizing his return to work…. Verderber also scheduled an appointment with his cardiologist on August 3, 2020, who also gave him a written medical release</w:t>
      </w:r>
      <w:proofErr w:type="gramStart"/>
      <w:r>
        <w:t>…..</w:t>
      </w:r>
      <w:proofErr w:type="gramEnd"/>
      <w:r>
        <w:t xml:space="preserve"> However, after submitting both medical releases on August 4, 2020, the CFD Medical Division informed Verderber that the medical releases were insufficient without an echocardiogram.</w:t>
      </w:r>
    </w:p>
    <w:p w14:paraId="26A23F9B" w14:textId="77777777" w:rsidR="003F788B" w:rsidRDefault="003F788B" w:rsidP="003F788B">
      <w:pPr>
        <w:pStyle w:val="NormalWeb"/>
        <w:ind w:left="720"/>
      </w:pPr>
      <w:r>
        <w:t>***</w:t>
      </w:r>
    </w:p>
    <w:p w14:paraId="396EEC22" w14:textId="77777777" w:rsidR="003F788B" w:rsidRDefault="003F788B" w:rsidP="003F788B">
      <w:pPr>
        <w:pStyle w:val="NormalWeb"/>
        <w:ind w:left="720"/>
      </w:pPr>
      <w:r>
        <w:t xml:space="preserve">On August 21, 2020, Verderber saw a new cardiologist who performed an echocardiogram that produced normal and within range test results…. Following submission of the normal echocardiogram's results to the CFD, Verderber was informed on September 28, </w:t>
      </w:r>
      <w:proofErr w:type="gramStart"/>
      <w:r>
        <w:t>2020</w:t>
      </w:r>
      <w:proofErr w:type="gramEnd"/>
      <w:r>
        <w:t xml:space="preserve"> that he also needed to complete a Thoracic Aneurysm test…. Verderber complied, and submitted to the test, which came back normal and within range…. However, the CFD still did not allow Verderber to return to work and warned him about the ‘physically demanding’ work of his job….  Verderber underwent additional testing between October </w:t>
      </w:r>
      <w:r>
        <w:lastRenderedPageBreak/>
        <w:t>29, 2020, when he was placed on extended layup, and February 25, 2021</w:t>
      </w:r>
      <w:proofErr w:type="gramStart"/>
      <w:r>
        <w:t>…..</w:t>
      </w:r>
      <w:proofErr w:type="gramEnd"/>
      <w:r>
        <w:t xml:space="preserve"> Verderber was told in late February 2021 to obtain a new medical release from his primary cardiologist, and Verderber complied. </w:t>
      </w:r>
    </w:p>
    <w:p w14:paraId="6F65B17C" w14:textId="77777777" w:rsidR="003F788B" w:rsidRDefault="003F788B" w:rsidP="003F788B">
      <w:pPr>
        <w:pStyle w:val="NormalWeb"/>
        <w:ind w:left="720"/>
      </w:pPr>
      <w:r>
        <w:t xml:space="preserve">Verderber was allowed to return to duty on February 26, 2021, following his final medical release from his cardiologist…. Although Verderber received full pay and benefits from the CFD during his layup, Verderber was unable to </w:t>
      </w:r>
      <w:proofErr w:type="gramStart"/>
      <w:r>
        <w:t>work</w:t>
      </w:r>
      <w:proofErr w:type="gramEnd"/>
      <w:r>
        <w:t xml:space="preserve"> his secondary employment during the same period due to the conditions of his secondary employment </w:t>
      </w:r>
      <w:proofErr w:type="gramStart"/>
      <w:r>
        <w:t>contract.”</w:t>
      </w:r>
      <w:proofErr w:type="gramEnd"/>
    </w:p>
    <w:p w14:paraId="2B56D9C9" w14:textId="77777777" w:rsidR="003F788B" w:rsidRDefault="003F788B" w:rsidP="003F788B">
      <w:pPr>
        <w:pStyle w:val="NormalWeb"/>
        <w:rPr>
          <w:b/>
          <w:bCs/>
        </w:rPr>
      </w:pPr>
      <w:r>
        <w:rPr>
          <w:b/>
          <w:bCs/>
        </w:rPr>
        <w:t xml:space="preserve">Legal Lessons Learned: The ADA is not violated when a firefighter incurs co-pays to prove he is physically fit for a physically demanding position. </w:t>
      </w:r>
    </w:p>
    <w:p w14:paraId="1B21F18D" w14:textId="77777777" w:rsidR="003F788B" w:rsidRDefault="003F788B" w:rsidP="005C30A4">
      <w:pPr>
        <w:pStyle w:val="NoSpacing"/>
        <w:rPr>
          <w:rFonts w:ascii="Arial Black" w:hAnsi="Arial Black"/>
          <w:sz w:val="24"/>
          <w:szCs w:val="24"/>
        </w:rPr>
      </w:pPr>
    </w:p>
    <w:p w14:paraId="240E5EF4" w14:textId="77777777" w:rsidR="003F788B" w:rsidRDefault="003F788B" w:rsidP="005C30A4">
      <w:pPr>
        <w:pStyle w:val="NoSpacing"/>
        <w:rPr>
          <w:rFonts w:ascii="Arial Black" w:hAnsi="Arial Black"/>
          <w:sz w:val="24"/>
          <w:szCs w:val="24"/>
        </w:rPr>
      </w:pPr>
    </w:p>
    <w:p w14:paraId="5E1AD4C0" w14:textId="77777777" w:rsidR="003F788B" w:rsidRDefault="003F788B" w:rsidP="005C30A4">
      <w:pPr>
        <w:pStyle w:val="NoSpacing"/>
        <w:rPr>
          <w:rFonts w:ascii="Arial Black" w:hAnsi="Arial Black"/>
          <w:sz w:val="24"/>
          <w:szCs w:val="24"/>
        </w:rPr>
      </w:pPr>
    </w:p>
    <w:p w14:paraId="3690C9B7" w14:textId="565D8DEE" w:rsidR="00C67B2A" w:rsidRDefault="00BA3CDE" w:rsidP="005C30A4">
      <w:pPr>
        <w:pStyle w:val="NoSpacing"/>
        <w:rPr>
          <w:rFonts w:ascii="Arial Black" w:hAnsi="Arial Black"/>
          <w:sz w:val="24"/>
          <w:szCs w:val="24"/>
        </w:rPr>
      </w:pPr>
      <w:r>
        <w:rPr>
          <w:rFonts w:ascii="Arial Black" w:hAnsi="Arial Black"/>
          <w:sz w:val="24"/>
          <w:szCs w:val="24"/>
        </w:rPr>
        <w:t>9-25</w:t>
      </w:r>
    </w:p>
    <w:p w14:paraId="68A12544" w14:textId="77777777" w:rsidR="00BA3CDE" w:rsidRDefault="00BA3CDE" w:rsidP="00BA3CDE">
      <w:pPr>
        <w:pStyle w:val="NormalWeb"/>
        <w:rPr>
          <w:rFonts w:ascii="Arial Black" w:hAnsi="Arial Black"/>
          <w:sz w:val="28"/>
          <w:szCs w:val="28"/>
        </w:rPr>
      </w:pPr>
      <w:r>
        <w:rPr>
          <w:rFonts w:ascii="Arial Black" w:hAnsi="Arial Black"/>
          <w:sz w:val="28"/>
          <w:szCs w:val="28"/>
        </w:rPr>
        <w:t>DE: FF BACK INJURY DURING TRAINING – NO LIGHT DUTY – ON MEDICAL LEAVE 1-YR, FIRED – CASE PROCEED</w:t>
      </w:r>
    </w:p>
    <w:p w14:paraId="091FA235" w14:textId="77777777" w:rsidR="00BA3CDE" w:rsidRDefault="00BA3CDE" w:rsidP="00BA3CDE">
      <w:pPr>
        <w:pStyle w:val="NormalWeb"/>
      </w:pPr>
      <w:r>
        <w:t xml:space="preserve">On Dec. 15, 2022, in </w:t>
      </w:r>
      <w:r w:rsidRPr="00402DBB">
        <w:rPr>
          <w:u w:val="single"/>
        </w:rPr>
        <w:t>Hiram Whatley v. City of Wilmington</w:t>
      </w:r>
      <w:r>
        <w:t>, U.S. District Court for Delaware, Federal Judge Stephanos Bibas, visiting judge from U.S. Court of Appeals for 3</w:t>
      </w:r>
      <w:r w:rsidRPr="00402DBB">
        <w:rPr>
          <w:vertAlign w:val="superscript"/>
        </w:rPr>
        <w:t>rd</w:t>
      </w:r>
      <w:r>
        <w:t xml:space="preserve"> Circuit (Boston), denied the City’s motion to dismiss; pre-trial discovery will now begin.  Hiram Whatley was a Wilmington firefighter for more than two decades, when in June 2019, he injured his back in a training exercise. “This injury kept him out of work and ultimately required surgery. When Whatley asked for light duty, the Fire Chief told him that no such assignment exists in the fire department. Whatley also sought extensions of his medical leave. But in July 2020, Wilmington fired Whatley after more than a year away from </w:t>
      </w:r>
      <w:proofErr w:type="gramStart"/>
      <w:r>
        <w:t>work.”</w:t>
      </w:r>
      <w:proofErr w:type="gramEnd"/>
      <w:r>
        <w:t xml:space="preserve">  Whatley claims the </w:t>
      </w:r>
      <w:proofErr w:type="gramStart"/>
      <w:r>
        <w:t>City</w:t>
      </w:r>
      <w:proofErr w:type="gramEnd"/>
      <w:r>
        <w:t xml:space="preserve"> has offered light duty to him for a previous injury, as well as to other injured firefighters. </w:t>
      </w:r>
    </w:p>
    <w:p w14:paraId="1D9E9270" w14:textId="77777777" w:rsidR="00BA3CDE" w:rsidRDefault="00BA3CDE" w:rsidP="00BA3CDE">
      <w:pPr>
        <w:pStyle w:val="NormalWeb"/>
        <w:ind w:left="720"/>
      </w:pPr>
      <w:r>
        <w:t xml:space="preserve">“Wilmington argues that Whatley is not qualified because his requests for additional leave and light duty were unreasonable accommodations….  At this stage, [his allegation about light duty] is enough to show that light duty is a reasonable accommodation.” </w:t>
      </w:r>
      <w:hyperlink r:id="rId1712" w:history="1">
        <w:r w:rsidRPr="00237809">
          <w:rPr>
            <w:rStyle w:val="Hyperlink"/>
            <w:rFonts w:eastAsiaTheme="majorEastAsia"/>
          </w:rPr>
          <w:t>https://law.justia.com/cases/federal/district-courts/delaware/dedce/1:2021cv01726/77337/17/</w:t>
        </w:r>
      </w:hyperlink>
      <w:r>
        <w:t xml:space="preserve"> </w:t>
      </w:r>
    </w:p>
    <w:p w14:paraId="67649B97" w14:textId="77777777" w:rsidR="00BA3CDE" w:rsidRDefault="00BA3CDE" w:rsidP="00BA3CDE">
      <w:pPr>
        <w:pStyle w:val="NormalWeb"/>
        <w:rPr>
          <w:b/>
          <w:bCs/>
        </w:rPr>
      </w:pPr>
      <w:r w:rsidRPr="00C91DD8">
        <w:rPr>
          <w:b/>
          <w:bCs/>
        </w:rPr>
        <w:t xml:space="preserve">Legal Lesson Learned: </w:t>
      </w:r>
      <w:r>
        <w:rPr>
          <w:b/>
          <w:bCs/>
        </w:rPr>
        <w:t xml:space="preserve"> The case will now proceed to pre-trial discovery.  </w:t>
      </w:r>
    </w:p>
    <w:p w14:paraId="3F3B7FC3" w14:textId="77777777" w:rsidR="00BA3CDE" w:rsidRDefault="00BA3CDE" w:rsidP="005C30A4">
      <w:pPr>
        <w:pStyle w:val="NoSpacing"/>
        <w:rPr>
          <w:rFonts w:ascii="Arial Black" w:hAnsi="Arial Black"/>
          <w:sz w:val="24"/>
          <w:szCs w:val="24"/>
        </w:rPr>
      </w:pPr>
    </w:p>
    <w:p w14:paraId="5D87CB18" w14:textId="77777777" w:rsidR="00BA3CDE" w:rsidRDefault="00BA3CDE" w:rsidP="005C30A4">
      <w:pPr>
        <w:pStyle w:val="NoSpacing"/>
        <w:rPr>
          <w:rFonts w:ascii="Arial Black" w:hAnsi="Arial Black"/>
          <w:sz w:val="24"/>
          <w:szCs w:val="24"/>
        </w:rPr>
      </w:pPr>
    </w:p>
    <w:p w14:paraId="0A1443A1" w14:textId="77777777" w:rsidR="00BA3CDE" w:rsidRDefault="00BA3CDE" w:rsidP="005C30A4">
      <w:pPr>
        <w:pStyle w:val="NoSpacing"/>
        <w:rPr>
          <w:rFonts w:ascii="Arial Black" w:hAnsi="Arial Black"/>
          <w:sz w:val="24"/>
          <w:szCs w:val="24"/>
        </w:rPr>
      </w:pPr>
    </w:p>
    <w:p w14:paraId="577E6223" w14:textId="3D87494F" w:rsidR="00804F3A" w:rsidRDefault="00804F3A" w:rsidP="005C30A4">
      <w:pPr>
        <w:pStyle w:val="NoSpacing"/>
        <w:rPr>
          <w:rFonts w:ascii="Arial Black" w:hAnsi="Arial Black"/>
          <w:sz w:val="24"/>
          <w:szCs w:val="24"/>
        </w:rPr>
      </w:pPr>
      <w:r>
        <w:rPr>
          <w:rFonts w:ascii="Arial Black" w:hAnsi="Arial Black"/>
          <w:sz w:val="24"/>
          <w:szCs w:val="24"/>
        </w:rPr>
        <w:t>9-24</w:t>
      </w:r>
    </w:p>
    <w:p w14:paraId="34E4E2F3" w14:textId="228AEE95" w:rsidR="00804F3A" w:rsidRDefault="00804F3A" w:rsidP="00804F3A">
      <w:pPr>
        <w:pStyle w:val="NormalWeb"/>
      </w:pPr>
      <w:r>
        <w:rPr>
          <w:rFonts w:ascii="Arial Black" w:hAnsi="Arial Black"/>
          <w:sz w:val="28"/>
          <w:szCs w:val="28"/>
        </w:rPr>
        <w:t xml:space="preserve">NY: DISABLED FF - CAN TERMINATE AFTER 1-YR ON MEDICAL LEAVE – BUT CITY MUST NEGOTIATE WITH UNION REVISED CBA </w:t>
      </w:r>
    </w:p>
    <w:p w14:paraId="4BE354E6" w14:textId="77777777" w:rsidR="00804F3A" w:rsidRDefault="00804F3A" w:rsidP="00804F3A">
      <w:pPr>
        <w:pStyle w:val="NormalWeb"/>
      </w:pPr>
      <w:r>
        <w:t xml:space="preserve">On Oct. 25, 2022, </w:t>
      </w:r>
      <w:r w:rsidRPr="00D91376">
        <w:rPr>
          <w:u w:val="single"/>
        </w:rPr>
        <w:t>In the Matter of City of Long Beach v. New York State Public Relations Board; Long Beach Firefighters Association, IAFF, Local 287</w:t>
      </w:r>
      <w:r>
        <w:t xml:space="preserve">, </w:t>
      </w:r>
      <w:r w:rsidRPr="00D91376">
        <w:t>2022 NY Slip Op 0593</w:t>
      </w:r>
      <w:r>
        <w:t xml:space="preserve">, the New York Court of Appeals held (6 to 0) that the City must collectively bargain the procedures for terminating disabled firefighters who have been on leave for one year.  Firefighters may be terminated after one year under the “Taylor Law” [enacted in 1967 </w:t>
      </w:r>
      <w:r>
        <w:lastRenderedPageBreak/>
        <w:t xml:space="preserve">following costly transit strikes in 1966], but the termination procedures and rights to reinstatement if no longer disabled must be collectively bargained in the Collective Bargaining Agreement.  </w:t>
      </w:r>
    </w:p>
    <w:p w14:paraId="64EEB6BA" w14:textId="6B3CE67A" w:rsidR="00804F3A" w:rsidRDefault="00804F3A" w:rsidP="00804F3A">
      <w:pPr>
        <w:pStyle w:val="NoSpacing"/>
        <w:rPr>
          <w:rFonts w:ascii="Arial Black" w:hAnsi="Arial Black"/>
          <w:sz w:val="24"/>
          <w:szCs w:val="24"/>
        </w:rPr>
      </w:pPr>
      <w:r>
        <w:rPr>
          <w:rFonts w:eastAsiaTheme="minorHAnsi"/>
        </w:rPr>
        <w:t>“</w:t>
      </w:r>
      <w:r w:rsidRPr="00C02FC1">
        <w:rPr>
          <w:rFonts w:eastAsiaTheme="minorHAnsi"/>
        </w:rPr>
        <w:t xml:space="preserve">We disagree with the </w:t>
      </w:r>
      <w:proofErr w:type="gramStart"/>
      <w:r w:rsidRPr="00C02FC1">
        <w:rPr>
          <w:rFonts w:eastAsiaTheme="minorHAnsi"/>
        </w:rPr>
        <w:t>City</w:t>
      </w:r>
      <w:proofErr w:type="gramEnd"/>
      <w:r w:rsidRPr="00C02FC1">
        <w:rPr>
          <w:rFonts w:eastAsiaTheme="minorHAnsi"/>
        </w:rPr>
        <w:t xml:space="preserve"> that requiring municipalities to negotiate those pretermination procedures frustrates the legislative intent of allowing employers to maintain efficiency by quickly filling vacancies on a permanent basis after a year. In the future, the City and the Union will only need to negotiate pretermination procedures as part of any new collective bargaining agreement, not every time the City seeks to terminate an employee.</w:t>
      </w:r>
      <w:r>
        <w:rPr>
          <w:rFonts w:eastAsiaTheme="minorHAnsi"/>
        </w:rPr>
        <w:t xml:space="preserve">” </w:t>
      </w:r>
      <w:hyperlink r:id="rId1713" w:history="1">
        <w:r w:rsidRPr="007662E8">
          <w:rPr>
            <w:rStyle w:val="Hyperlink"/>
            <w:rFonts w:eastAsiaTheme="majorEastAsia"/>
          </w:rPr>
          <w:t>https://public.fastcase.com/J%2FJP6pdidelsXxEE4k%2BLMidRzLaU3lxo2K4zeZ9a%2B%2Fta152zlny6vY4eG3S7CjdliNR92Qo6%2FTtAP%2FPl4klE6l7lrfhMF2W%2BjlSvdCQeS50%3D?utm_medium=email&amp;_hsmi=226712652&amp;_hsenc=p2ANqtz-_s5_cAHUvs_hrwWV9wgyTdwJuYKaiZto7jMWtL6vDykRwEZ1Wuy9IDC9088xTRtPn7fskJqvzz7SBtC6Rp8cJAGJmTVA&amp;utm_content=226712652&amp;utm_source=hs_email</w:t>
        </w:r>
      </w:hyperlink>
    </w:p>
    <w:p w14:paraId="3F807BC2" w14:textId="77777777" w:rsidR="00804F3A" w:rsidRDefault="00804F3A" w:rsidP="005C30A4">
      <w:pPr>
        <w:pStyle w:val="NoSpacing"/>
        <w:rPr>
          <w:rFonts w:ascii="Arial Black" w:hAnsi="Arial Black"/>
          <w:sz w:val="24"/>
          <w:szCs w:val="24"/>
        </w:rPr>
      </w:pPr>
    </w:p>
    <w:p w14:paraId="68551090" w14:textId="77777777" w:rsidR="00804F3A" w:rsidRPr="0070600A" w:rsidRDefault="00804F3A" w:rsidP="00804F3A">
      <w:pPr>
        <w:pStyle w:val="NormalWeb"/>
        <w:rPr>
          <w:b/>
          <w:bCs/>
        </w:rPr>
      </w:pPr>
      <w:r w:rsidRPr="0070600A">
        <w:rPr>
          <w:rFonts w:eastAsiaTheme="minorHAnsi"/>
          <w:b/>
          <w:bCs/>
        </w:rPr>
        <w:t>Legal Lesson Learned:</w:t>
      </w:r>
      <w:r>
        <w:rPr>
          <w:rFonts w:eastAsiaTheme="minorHAnsi"/>
          <w:b/>
          <w:bCs/>
        </w:rPr>
        <w:t xml:space="preserve"> The City and the IAFF Local must now collectively bargain the procedures for termination </w:t>
      </w:r>
      <w:proofErr w:type="gramStart"/>
      <w:r>
        <w:rPr>
          <w:rFonts w:eastAsiaTheme="minorHAnsi"/>
          <w:b/>
          <w:bCs/>
        </w:rPr>
        <w:t>and also</w:t>
      </w:r>
      <w:proofErr w:type="gramEnd"/>
      <w:r>
        <w:rPr>
          <w:rFonts w:eastAsiaTheme="minorHAnsi"/>
          <w:b/>
          <w:bCs/>
        </w:rPr>
        <w:t xml:space="preserve"> possible reinstatement of disabled firefighters. </w:t>
      </w:r>
    </w:p>
    <w:p w14:paraId="2CA6D423" w14:textId="698AB358" w:rsidR="00804F3A" w:rsidRDefault="00804F3A" w:rsidP="005C30A4">
      <w:pPr>
        <w:pStyle w:val="NoSpacing"/>
        <w:rPr>
          <w:rFonts w:ascii="Arial Black" w:hAnsi="Arial Black"/>
          <w:sz w:val="24"/>
          <w:szCs w:val="24"/>
        </w:rPr>
      </w:pPr>
    </w:p>
    <w:p w14:paraId="090F141C" w14:textId="2283212F" w:rsidR="00804F3A" w:rsidRDefault="00804F3A" w:rsidP="005C30A4">
      <w:pPr>
        <w:pStyle w:val="NoSpacing"/>
        <w:rPr>
          <w:rFonts w:ascii="Arial Black" w:hAnsi="Arial Black"/>
          <w:sz w:val="24"/>
          <w:szCs w:val="24"/>
        </w:rPr>
      </w:pPr>
    </w:p>
    <w:p w14:paraId="1B9CC598" w14:textId="77777777" w:rsidR="00804F3A" w:rsidRDefault="00804F3A" w:rsidP="005C30A4">
      <w:pPr>
        <w:pStyle w:val="NoSpacing"/>
        <w:rPr>
          <w:rFonts w:ascii="Arial Black" w:hAnsi="Arial Black"/>
          <w:sz w:val="24"/>
          <w:szCs w:val="24"/>
        </w:rPr>
      </w:pPr>
    </w:p>
    <w:p w14:paraId="78AF3E0C" w14:textId="3F189206" w:rsidR="008B64DA" w:rsidRDefault="008B64DA" w:rsidP="005C30A4">
      <w:pPr>
        <w:pStyle w:val="NoSpacing"/>
        <w:rPr>
          <w:rFonts w:ascii="Arial Black" w:hAnsi="Arial Black"/>
          <w:sz w:val="24"/>
          <w:szCs w:val="24"/>
        </w:rPr>
      </w:pPr>
      <w:r>
        <w:rPr>
          <w:rFonts w:ascii="Arial Black" w:hAnsi="Arial Black"/>
          <w:sz w:val="24"/>
          <w:szCs w:val="24"/>
        </w:rPr>
        <w:t>9-23</w:t>
      </w:r>
    </w:p>
    <w:p w14:paraId="0820D701" w14:textId="77777777" w:rsidR="00F04A7D" w:rsidRPr="00481FCA" w:rsidRDefault="00F04A7D" w:rsidP="00F04A7D">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CA: REASONABLE ACCOMODATION - STESS RELIEF - MALE FF TRANSFERRED – DIVIDERS IN SLEEPING QUARTERS  </w:t>
      </w:r>
    </w:p>
    <w:p w14:paraId="7A82C5E3" w14:textId="2923708D" w:rsidR="008B64DA" w:rsidRDefault="008B64DA" w:rsidP="008B64DA">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Aug. 19, 2022, in </w:t>
      </w:r>
      <w:r w:rsidRPr="003E4F49">
        <w:rPr>
          <w:rFonts w:ascii="Times New Roman" w:eastAsia="Times New Roman" w:hAnsi="Times New Roman"/>
          <w:sz w:val="24"/>
          <w:szCs w:val="24"/>
          <w:u w:val="single"/>
        </w:rPr>
        <w:t>Felipe Marcial v. County of Los Angeles</w:t>
      </w:r>
      <w:r>
        <w:rPr>
          <w:rFonts w:ascii="Times New Roman" w:eastAsia="Times New Roman" w:hAnsi="Times New Roman"/>
          <w:sz w:val="24"/>
          <w:szCs w:val="24"/>
        </w:rPr>
        <w:t>, the California Court of Appeals, Second District (Fourth Division) held (3 to 0) that trial court properly granted summary judgment for the City.  “</w:t>
      </w:r>
      <w:r w:rsidRPr="00481FCA">
        <w:rPr>
          <w:rFonts w:ascii="Times New Roman" w:eastAsia="Times New Roman" w:hAnsi="Times New Roman"/>
          <w:sz w:val="24"/>
          <w:szCs w:val="24"/>
        </w:rPr>
        <w:t>Thus, upon his return to work in 2018</w:t>
      </w:r>
      <w:r>
        <w:rPr>
          <w:rFonts w:ascii="Times New Roman" w:eastAsia="Times New Roman" w:hAnsi="Times New Roman"/>
          <w:sz w:val="24"/>
          <w:szCs w:val="24"/>
        </w:rPr>
        <w:t xml:space="preserve"> [after shoulder injury]</w:t>
      </w:r>
      <w:r w:rsidRPr="00481FCA">
        <w:rPr>
          <w:rFonts w:ascii="Times New Roman" w:eastAsia="Times New Roman" w:hAnsi="Times New Roman"/>
          <w:sz w:val="24"/>
          <w:szCs w:val="24"/>
        </w:rPr>
        <w:t xml:space="preserve">, Marcial requested a transfer to a non-USAR station (specifically, FS 80). LACOFD granted Marcial's request. Marcial admits he received </w:t>
      </w:r>
      <w:proofErr w:type="gramStart"/>
      <w:r w:rsidRPr="00481FCA">
        <w:rPr>
          <w:rFonts w:ascii="Times New Roman" w:eastAsia="Times New Roman" w:hAnsi="Times New Roman"/>
          <w:sz w:val="24"/>
          <w:szCs w:val="24"/>
        </w:rPr>
        <w:t>a reasonable</w:t>
      </w:r>
      <w:proofErr w:type="gramEnd"/>
      <w:r w:rsidRPr="00481FCA">
        <w:rPr>
          <w:rFonts w:ascii="Times New Roman" w:eastAsia="Times New Roman" w:hAnsi="Times New Roman"/>
          <w:sz w:val="24"/>
          <w:szCs w:val="24"/>
        </w:rPr>
        <w:t xml:space="preserve"> </w:t>
      </w:r>
      <w:proofErr w:type="gramStart"/>
      <w:r w:rsidRPr="00481FCA">
        <w:rPr>
          <w:rFonts w:ascii="Times New Roman" w:eastAsia="Times New Roman" w:hAnsi="Times New Roman"/>
          <w:sz w:val="24"/>
          <w:szCs w:val="24"/>
        </w:rPr>
        <w:t xml:space="preserve">accommodation: </w:t>
      </w:r>
      <w:r>
        <w:rPr>
          <w:rFonts w:ascii="Times New Roman" w:eastAsia="Times New Roman" w:hAnsi="Times New Roman"/>
          <w:sz w:val="24"/>
          <w:szCs w:val="24"/>
        </w:rPr>
        <w:t>‘</w:t>
      </w:r>
      <w:proofErr w:type="gramEnd"/>
      <w:r w:rsidRPr="00481FCA">
        <w:rPr>
          <w:rFonts w:ascii="Times New Roman" w:eastAsia="Times New Roman" w:hAnsi="Times New Roman"/>
          <w:sz w:val="24"/>
          <w:szCs w:val="24"/>
        </w:rPr>
        <w:t xml:space="preserve">FS 80 put up dividers in the sleeping quarters even without me requesting them. Unlike all the years previously, FS 80 took my situation seriously and finally made efforts to accommodate me. While there are </w:t>
      </w:r>
      <w:proofErr w:type="gramStart"/>
      <w:r w:rsidRPr="00481FCA">
        <w:rPr>
          <w:rFonts w:ascii="Times New Roman" w:eastAsia="Times New Roman" w:hAnsi="Times New Roman"/>
          <w:sz w:val="24"/>
          <w:szCs w:val="24"/>
        </w:rPr>
        <w:t>not</w:t>
      </w:r>
      <w:proofErr w:type="gramEnd"/>
      <w:r w:rsidRPr="00481FCA">
        <w:rPr>
          <w:rFonts w:ascii="Times New Roman" w:eastAsia="Times New Roman" w:hAnsi="Times New Roman"/>
          <w:sz w:val="24"/>
          <w:szCs w:val="24"/>
        </w:rPr>
        <w:t xml:space="preserve"> separate showers, unlike FS 103, there is a wall with a door and lockable area so that the shower can be locked and prevent anyone from seeing in. With accommodation I was able to perform my job duties.</w:t>
      </w:r>
      <w:r>
        <w:rPr>
          <w:rFonts w:ascii="Times New Roman" w:eastAsia="Times New Roman" w:hAnsi="Times New Roman"/>
          <w:sz w:val="24"/>
          <w:szCs w:val="24"/>
        </w:rPr>
        <w:t>’</w:t>
      </w:r>
      <w:r w:rsidRPr="00481FCA">
        <w:rPr>
          <w:rFonts w:ascii="Times New Roman" w:eastAsia="Times New Roman" w:hAnsi="Times New Roman"/>
          <w:sz w:val="24"/>
          <w:szCs w:val="24"/>
        </w:rPr>
        <w:t> On this record, we conclude Marcial not only received a reasonable accommodation, but the exact accommodation he sought (i.e., a transfer to FS 80 and privacy in the living quarters).</w:t>
      </w:r>
      <w:r>
        <w:rPr>
          <w:rFonts w:ascii="Times New Roman" w:eastAsia="Times New Roman" w:hAnsi="Times New Roman"/>
          <w:sz w:val="24"/>
          <w:szCs w:val="24"/>
        </w:rPr>
        <w:t xml:space="preserve">” </w:t>
      </w:r>
      <w:hyperlink r:id="rId1714" w:history="1">
        <w:r w:rsidRPr="00696C47">
          <w:rPr>
            <w:rStyle w:val="Hyperlink"/>
            <w:rFonts w:ascii="Times New Roman" w:eastAsia="Times New Roman" w:hAnsi="Times New Roman"/>
          </w:rPr>
          <w:t>https://public.fastcase.com/J%2FJP6pdidelsXxEE4k%2BLMiM7pwWb%2BJBiIrsmHTSQKCgTGoUCuPbfbRmZbIscWTRrl1YTX4iVhFAcHudcdl9kVeXDJy0GqMwEdaMu5Mx11Z8%3D</w:t>
        </w:r>
      </w:hyperlink>
      <w:r>
        <w:rPr>
          <w:rFonts w:ascii="Times New Roman" w:eastAsia="Times New Roman" w:hAnsi="Times New Roman"/>
          <w:sz w:val="24"/>
          <w:szCs w:val="24"/>
        </w:rPr>
        <w:t xml:space="preserve"> </w:t>
      </w:r>
    </w:p>
    <w:p w14:paraId="781391C0" w14:textId="77777777" w:rsidR="00F04A7D" w:rsidRPr="00424C1F" w:rsidRDefault="00F04A7D" w:rsidP="00F04A7D">
      <w:pPr>
        <w:spacing w:before="100" w:beforeAutospacing="1" w:after="100" w:afterAutospacing="1" w:line="240" w:lineRule="auto"/>
        <w:rPr>
          <w:rFonts w:ascii="Times New Roman" w:eastAsia="Times New Roman" w:hAnsi="Times New Roman"/>
          <w:b/>
          <w:bCs/>
          <w:sz w:val="24"/>
          <w:szCs w:val="24"/>
        </w:rPr>
      </w:pPr>
      <w:r w:rsidRPr="00424C1F">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 The FD reasonably accommodated his transfer requests. </w:t>
      </w:r>
    </w:p>
    <w:p w14:paraId="367AA70A" w14:textId="77777777" w:rsidR="008B64DA" w:rsidRDefault="008B64DA" w:rsidP="005C30A4">
      <w:pPr>
        <w:pStyle w:val="NoSpacing"/>
        <w:rPr>
          <w:rFonts w:ascii="Arial Black" w:hAnsi="Arial Black"/>
          <w:sz w:val="24"/>
          <w:szCs w:val="24"/>
        </w:rPr>
      </w:pPr>
    </w:p>
    <w:p w14:paraId="035C7057" w14:textId="77777777" w:rsidR="008B64DA" w:rsidRDefault="008B64DA" w:rsidP="005C30A4">
      <w:pPr>
        <w:pStyle w:val="NoSpacing"/>
        <w:rPr>
          <w:rFonts w:ascii="Arial Black" w:hAnsi="Arial Black"/>
          <w:sz w:val="24"/>
          <w:szCs w:val="24"/>
        </w:rPr>
      </w:pPr>
    </w:p>
    <w:p w14:paraId="38510994" w14:textId="77777777" w:rsidR="008B64DA" w:rsidRDefault="008B64DA" w:rsidP="005C30A4">
      <w:pPr>
        <w:pStyle w:val="NoSpacing"/>
        <w:rPr>
          <w:rFonts w:ascii="Arial Black" w:hAnsi="Arial Black"/>
          <w:sz w:val="24"/>
          <w:szCs w:val="24"/>
        </w:rPr>
      </w:pPr>
    </w:p>
    <w:p w14:paraId="714C0467" w14:textId="0C4E70FB" w:rsidR="005644A4" w:rsidRDefault="005644A4" w:rsidP="005C30A4">
      <w:pPr>
        <w:pStyle w:val="NoSpacing"/>
        <w:rPr>
          <w:rFonts w:ascii="Arial Black" w:hAnsi="Arial Black"/>
          <w:sz w:val="24"/>
          <w:szCs w:val="24"/>
        </w:rPr>
      </w:pPr>
      <w:r>
        <w:rPr>
          <w:rFonts w:ascii="Arial Black" w:hAnsi="Arial Black"/>
          <w:sz w:val="24"/>
          <w:szCs w:val="24"/>
        </w:rPr>
        <w:t>9-22</w:t>
      </w:r>
    </w:p>
    <w:p w14:paraId="4991C1B8" w14:textId="238C853D" w:rsidR="005644A4" w:rsidRDefault="005644A4" w:rsidP="005C30A4">
      <w:pPr>
        <w:pStyle w:val="NoSpacing"/>
        <w:rPr>
          <w:rFonts w:ascii="Arial Black" w:hAnsi="Arial Black"/>
          <w:sz w:val="24"/>
          <w:szCs w:val="24"/>
        </w:rPr>
      </w:pPr>
    </w:p>
    <w:p w14:paraId="13024133" w14:textId="77777777" w:rsidR="005644A4" w:rsidRDefault="005644A4" w:rsidP="005644A4">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MD: DEAF APPLICANT TO VOLUNTEER FD – REJECTED - WAS VOLUNTEER IN PA – LAWSUIT PROCEED DISCOVERY</w:t>
      </w:r>
    </w:p>
    <w:p w14:paraId="588BFF0B" w14:textId="77777777" w:rsidR="005644A4" w:rsidRDefault="005644A4" w:rsidP="005644A4">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lastRenderedPageBreak/>
        <w:t xml:space="preserve">On Dec. 9, 2021, in </w:t>
      </w:r>
      <w:r w:rsidRPr="00D6728D">
        <w:rPr>
          <w:rFonts w:ascii="Times New Roman" w:eastAsia="Times New Roman" w:hAnsi="Times New Roman"/>
          <w:sz w:val="24"/>
          <w:szCs w:val="24"/>
          <w:u w:val="single"/>
        </w:rPr>
        <w:t>Charles Hine v. Prince George’s County, Maryland and Morningside Volunteer Fire Department, Inc</w:t>
      </w:r>
      <w:r>
        <w:rPr>
          <w:rFonts w:ascii="Times New Roman" w:eastAsia="Times New Roman" w:hAnsi="Times New Roman"/>
          <w:sz w:val="24"/>
          <w:szCs w:val="24"/>
        </w:rPr>
        <w:t xml:space="preserve">., U.S. District Court Judge Theodore D. Chuang, U.S. District Court for District of Maryland, denied the County’s motion to dismiss.  Pre-trial discovery will gather facts on (1) does the County have sufficient control over the volunteer FD to be considered a joint-employer, and (2) does the volunteer FD provide sufficient compensation or other benefits to be considered an employer under federal ADA and Title VII employment discrimination laws. </w:t>
      </w:r>
    </w:p>
    <w:p w14:paraId="0DC427B5" w14:textId="77777777" w:rsidR="005644A4" w:rsidRPr="000F1227" w:rsidRDefault="005644A4" w:rsidP="005644A4">
      <w:pPr>
        <w:spacing w:before="100" w:beforeAutospacing="1" w:after="100" w:afterAutospacing="1" w:line="240" w:lineRule="auto"/>
        <w:ind w:left="720"/>
        <w:rPr>
          <w:rFonts w:ascii="Times New Roman" w:hAnsi="Times New Roman"/>
          <w:sz w:val="24"/>
          <w:szCs w:val="24"/>
        </w:rPr>
      </w:pPr>
      <w:r w:rsidRPr="000F1227">
        <w:rPr>
          <w:rFonts w:ascii="Times New Roman" w:hAnsi="Times New Roman"/>
          <w:sz w:val="24"/>
          <w:szCs w:val="24"/>
        </w:rPr>
        <w:t>“Determining whether an entity exercises sufficient control to qualify as an employer is ‘a highly fact-specific’ endeavor. Id. at 410, In his Rule 56(d) affidavit, Hine notes that the denial letter he received ‘was sent by the Prince George's County Office of Law on behalf of the Prince George's County Fire &amp; EMS Department,’ not by the MVFD</w:t>
      </w:r>
      <w:r>
        <w:rPr>
          <w:rFonts w:ascii="Times New Roman" w:hAnsi="Times New Roman"/>
          <w:sz w:val="24"/>
          <w:szCs w:val="24"/>
        </w:rPr>
        <w:t xml:space="preserve">…. </w:t>
      </w:r>
      <w:r w:rsidRPr="000F1227">
        <w:rPr>
          <w:rFonts w:ascii="Times New Roman" w:hAnsi="Times New Roman"/>
          <w:sz w:val="24"/>
          <w:szCs w:val="24"/>
        </w:rPr>
        <w:t xml:space="preserve"> This assertion supports Hine's contention that there is a factual dispute over whether the County was an employer for purposes of the denial of Hine's application that should not be resolved without discovery. *** Hine has pleaded in the Amended Complaint that he would have been an employee based on the </w:t>
      </w:r>
      <w:r>
        <w:rPr>
          <w:rFonts w:ascii="Times New Roman" w:hAnsi="Times New Roman"/>
          <w:sz w:val="24"/>
          <w:szCs w:val="24"/>
        </w:rPr>
        <w:t>‘</w:t>
      </w:r>
      <w:r w:rsidRPr="000F1227">
        <w:rPr>
          <w:rFonts w:ascii="Times New Roman" w:hAnsi="Times New Roman"/>
          <w:sz w:val="24"/>
          <w:szCs w:val="24"/>
        </w:rPr>
        <w:t xml:space="preserve">significant </w:t>
      </w:r>
      <w:proofErr w:type="gramStart"/>
      <w:r w:rsidRPr="000F1227">
        <w:rPr>
          <w:rFonts w:ascii="Times New Roman" w:hAnsi="Times New Roman"/>
          <w:sz w:val="24"/>
          <w:szCs w:val="24"/>
        </w:rPr>
        <w:t>benefits</w:t>
      </w:r>
      <w:r>
        <w:rPr>
          <w:rFonts w:ascii="Times New Roman" w:hAnsi="Times New Roman"/>
          <w:sz w:val="24"/>
          <w:szCs w:val="24"/>
        </w:rPr>
        <w:t>’</w:t>
      </w:r>
      <w:proofErr w:type="gramEnd"/>
      <w:r w:rsidRPr="000F1227">
        <w:rPr>
          <w:rFonts w:ascii="Times New Roman" w:hAnsi="Times New Roman"/>
          <w:sz w:val="24"/>
          <w:szCs w:val="24"/>
        </w:rPr>
        <w:t xml:space="preserve"> he would have received as a volunteer firefighter, including disability and survivor benefits, insurance benefits, tuition reimbursement. tax exemptions, and other benefits.</w:t>
      </w:r>
      <w:r>
        <w:rPr>
          <w:rFonts w:ascii="Times New Roman" w:hAnsi="Times New Roman"/>
          <w:sz w:val="24"/>
          <w:szCs w:val="24"/>
        </w:rPr>
        <w:t xml:space="preserve">” </w:t>
      </w:r>
      <w:hyperlink r:id="rId1715" w:history="1">
        <w:r w:rsidRPr="00EC5853">
          <w:rPr>
            <w:rStyle w:val="Hyperlink"/>
            <w:rFonts w:ascii="Times New Roman" w:hAnsi="Times New Roman"/>
            <w:sz w:val="24"/>
            <w:szCs w:val="24"/>
          </w:rPr>
          <w:t>https://www.leagle.com/decision/infdco20211215796</w:t>
        </w:r>
      </w:hyperlink>
      <w:r>
        <w:rPr>
          <w:rFonts w:ascii="Times New Roman" w:hAnsi="Times New Roman"/>
          <w:sz w:val="24"/>
          <w:szCs w:val="24"/>
        </w:rPr>
        <w:t xml:space="preserve"> </w:t>
      </w:r>
    </w:p>
    <w:p w14:paraId="60E02BEE" w14:textId="77777777" w:rsidR="005644A4" w:rsidRDefault="005644A4" w:rsidP="005C30A4">
      <w:pPr>
        <w:pStyle w:val="NoSpacing"/>
        <w:rPr>
          <w:rFonts w:ascii="Arial Black" w:hAnsi="Arial Black"/>
          <w:sz w:val="24"/>
          <w:szCs w:val="24"/>
        </w:rPr>
      </w:pPr>
    </w:p>
    <w:p w14:paraId="37F2F1FF" w14:textId="77777777" w:rsidR="005644A4" w:rsidRDefault="005644A4" w:rsidP="005C30A4">
      <w:pPr>
        <w:pStyle w:val="NoSpacing"/>
        <w:rPr>
          <w:rFonts w:ascii="Arial Black" w:hAnsi="Arial Black"/>
          <w:sz w:val="24"/>
          <w:szCs w:val="24"/>
        </w:rPr>
      </w:pPr>
    </w:p>
    <w:p w14:paraId="268A7674" w14:textId="0C51C4AE" w:rsidR="00C67B2A" w:rsidRDefault="00C67B2A" w:rsidP="005C30A4">
      <w:pPr>
        <w:pStyle w:val="NoSpacing"/>
        <w:rPr>
          <w:rFonts w:ascii="Arial Black" w:hAnsi="Arial Black"/>
          <w:sz w:val="24"/>
          <w:szCs w:val="24"/>
        </w:rPr>
      </w:pPr>
      <w:r>
        <w:rPr>
          <w:rFonts w:ascii="Arial Black" w:hAnsi="Arial Black"/>
          <w:sz w:val="24"/>
          <w:szCs w:val="24"/>
        </w:rPr>
        <w:t>9-21</w:t>
      </w:r>
    </w:p>
    <w:p w14:paraId="145FE018" w14:textId="77777777" w:rsidR="00C67B2A" w:rsidRDefault="00C67B2A" w:rsidP="00C67B2A">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TN: SERVICE DOG – FORMER EMT WITH “PTSD” – NOW AT&amp;T, WANTS DOG RIDE WITH HIM - CASE TO PROCEED</w:t>
      </w:r>
    </w:p>
    <w:p w14:paraId="3D24C3DF" w14:textId="77777777" w:rsidR="00C67B2A" w:rsidRDefault="00C67B2A" w:rsidP="00C67B2A">
      <w:pPr>
        <w:spacing w:before="100" w:beforeAutospacing="1" w:after="100" w:afterAutospacing="1" w:line="240" w:lineRule="auto"/>
        <w:rPr>
          <w:rFonts w:ascii="Times New Roman" w:eastAsia="Times New Roman" w:hAnsi="Times New Roman"/>
          <w:sz w:val="24"/>
          <w:szCs w:val="24"/>
        </w:rPr>
      </w:pPr>
      <w:r w:rsidRPr="00792E67">
        <w:rPr>
          <w:rFonts w:ascii="Times New Roman" w:eastAsia="Times New Roman" w:hAnsi="Times New Roman"/>
          <w:sz w:val="24"/>
          <w:szCs w:val="24"/>
        </w:rPr>
        <w:t xml:space="preserve">On </w:t>
      </w:r>
      <w:r>
        <w:rPr>
          <w:rFonts w:ascii="Times New Roman" w:eastAsia="Times New Roman" w:hAnsi="Times New Roman"/>
          <w:sz w:val="24"/>
          <w:szCs w:val="24"/>
        </w:rPr>
        <w:t xml:space="preserve">Oct. 22, 2021, in </w:t>
      </w:r>
      <w:r w:rsidRPr="00792E67">
        <w:rPr>
          <w:rFonts w:ascii="Times New Roman" w:eastAsia="Times New Roman" w:hAnsi="Times New Roman"/>
          <w:sz w:val="24"/>
          <w:szCs w:val="24"/>
          <w:u w:val="single"/>
        </w:rPr>
        <w:t>Wayne Schroeder v. AT&amp;T Mobility Services, LLC</w:t>
      </w:r>
      <w:r>
        <w:rPr>
          <w:rFonts w:ascii="Times New Roman" w:eastAsia="Times New Roman" w:hAnsi="Times New Roman"/>
          <w:sz w:val="24"/>
          <w:szCs w:val="24"/>
        </w:rPr>
        <w:t xml:space="preserve">, U.S. District Court Chief Judge Waverly D. Crenshaw, Jr., U.S. District Court for Middle District of Tennessee (Nashville Division) held that neither the plaintiff, nor AT&amp;T are entitled to Summary Judgment.  Pre-trial discovery will therefore continue, and if not settled the case will go to trial. </w:t>
      </w:r>
    </w:p>
    <w:p w14:paraId="467B22F8" w14:textId="77777777" w:rsidR="00C67B2A" w:rsidRDefault="00C67B2A" w:rsidP="00C67B2A">
      <w:pPr>
        <w:spacing w:before="100" w:beforeAutospacing="1" w:after="100" w:afterAutospacing="1" w:line="240" w:lineRule="auto"/>
        <w:ind w:left="720"/>
        <w:rPr>
          <w:rFonts w:ascii="Times New Roman" w:hAnsi="Times New Roman"/>
          <w:sz w:val="24"/>
          <w:szCs w:val="24"/>
        </w:rPr>
      </w:pPr>
      <w:r w:rsidRPr="003A2F72">
        <w:rPr>
          <w:rFonts w:ascii="Times New Roman" w:hAnsi="Times New Roman"/>
          <w:sz w:val="24"/>
          <w:szCs w:val="24"/>
        </w:rPr>
        <w:t> Mr. Schroeder has a German shepherd named Dakota</w:t>
      </w:r>
      <w:r>
        <w:rPr>
          <w:rFonts w:ascii="Times New Roman" w:hAnsi="Times New Roman"/>
          <w:sz w:val="24"/>
          <w:szCs w:val="24"/>
        </w:rPr>
        <w:t xml:space="preserve">…. </w:t>
      </w:r>
      <w:r w:rsidRPr="003A2F72">
        <w:rPr>
          <w:rFonts w:ascii="Times New Roman" w:hAnsi="Times New Roman"/>
          <w:sz w:val="24"/>
          <w:szCs w:val="24"/>
        </w:rPr>
        <w:t xml:space="preserve">Dakota is a service dog who </w:t>
      </w:r>
      <w:r>
        <w:rPr>
          <w:rFonts w:ascii="Times New Roman" w:hAnsi="Times New Roman"/>
          <w:sz w:val="24"/>
          <w:szCs w:val="24"/>
        </w:rPr>
        <w:t>‘</w:t>
      </w:r>
      <w:r w:rsidRPr="003A2F72">
        <w:rPr>
          <w:rFonts w:ascii="Times New Roman" w:hAnsi="Times New Roman"/>
          <w:sz w:val="24"/>
          <w:szCs w:val="24"/>
        </w:rPr>
        <w:t>can sense when Mr. Schroeder is entering a depressive state or suffering from an anxiety attack and will notify Mr. Schroeder of his change in condition</w:t>
      </w:r>
      <w:r>
        <w:rPr>
          <w:rFonts w:ascii="Times New Roman" w:hAnsi="Times New Roman"/>
          <w:sz w:val="24"/>
          <w:szCs w:val="24"/>
        </w:rPr>
        <w:t>….</w:t>
      </w:r>
      <w:r w:rsidRPr="003A2F72">
        <w:rPr>
          <w:rFonts w:ascii="Times New Roman" w:hAnsi="Times New Roman"/>
          <w:sz w:val="24"/>
          <w:szCs w:val="24"/>
        </w:rPr>
        <w:t xml:space="preserve">” Without Dakota's help, Mr. Schroeder is </w:t>
      </w:r>
      <w:r>
        <w:rPr>
          <w:rFonts w:ascii="Times New Roman" w:hAnsi="Times New Roman"/>
          <w:sz w:val="24"/>
          <w:szCs w:val="24"/>
        </w:rPr>
        <w:t>‘</w:t>
      </w:r>
      <w:r w:rsidRPr="003A2F72">
        <w:rPr>
          <w:rFonts w:ascii="Times New Roman" w:hAnsi="Times New Roman"/>
          <w:sz w:val="24"/>
          <w:szCs w:val="24"/>
        </w:rPr>
        <w:t>more apt to keep going and try to work his way through a depressive episode or anxiety attack,</w:t>
      </w:r>
      <w:r>
        <w:rPr>
          <w:rFonts w:ascii="Times New Roman" w:hAnsi="Times New Roman"/>
          <w:sz w:val="24"/>
          <w:szCs w:val="24"/>
        </w:rPr>
        <w:t>’</w:t>
      </w:r>
      <w:r w:rsidRPr="003A2F72">
        <w:rPr>
          <w:rFonts w:ascii="Times New Roman" w:hAnsi="Times New Roman"/>
          <w:sz w:val="24"/>
          <w:szCs w:val="24"/>
        </w:rPr>
        <w:t xml:space="preserve"> rather than pausing what he is doing and </w:t>
      </w:r>
      <w:r>
        <w:rPr>
          <w:rFonts w:ascii="Times New Roman" w:hAnsi="Times New Roman"/>
          <w:sz w:val="24"/>
          <w:szCs w:val="24"/>
        </w:rPr>
        <w:t>‘</w:t>
      </w:r>
      <w:r w:rsidRPr="003A2F72">
        <w:rPr>
          <w:rFonts w:ascii="Times New Roman" w:hAnsi="Times New Roman"/>
          <w:sz w:val="24"/>
          <w:szCs w:val="24"/>
        </w:rPr>
        <w:t>refocus[</w:t>
      </w:r>
      <w:proofErr w:type="spellStart"/>
      <w:r w:rsidRPr="003A2F72">
        <w:rPr>
          <w:rFonts w:ascii="Times New Roman" w:hAnsi="Times New Roman"/>
          <w:sz w:val="24"/>
          <w:szCs w:val="24"/>
        </w:rPr>
        <w:t>ing</w:t>
      </w:r>
      <w:proofErr w:type="spellEnd"/>
      <w:r w:rsidRPr="003A2F72">
        <w:rPr>
          <w:rFonts w:ascii="Times New Roman" w:hAnsi="Times New Roman"/>
          <w:sz w:val="24"/>
          <w:szCs w:val="24"/>
        </w:rPr>
        <w:t>]</w:t>
      </w:r>
      <w:r>
        <w:rPr>
          <w:rFonts w:ascii="Times New Roman" w:hAnsi="Times New Roman"/>
          <w:sz w:val="24"/>
          <w:szCs w:val="24"/>
        </w:rPr>
        <w:t>’</w:t>
      </w:r>
      <w:r w:rsidRPr="003A2F72">
        <w:rPr>
          <w:rFonts w:ascii="Times New Roman" w:hAnsi="Times New Roman"/>
          <w:sz w:val="24"/>
          <w:szCs w:val="24"/>
        </w:rPr>
        <w:t xml:space="preserve"> as is necessary</w:t>
      </w:r>
      <w:r>
        <w:rPr>
          <w:rFonts w:ascii="Times New Roman" w:hAnsi="Times New Roman"/>
          <w:sz w:val="24"/>
          <w:szCs w:val="24"/>
        </w:rPr>
        <w:t>….</w:t>
      </w:r>
      <w:r w:rsidRPr="003A2F72">
        <w:rPr>
          <w:rFonts w:ascii="Times New Roman" w:hAnsi="Times New Roman"/>
          <w:sz w:val="24"/>
          <w:szCs w:val="24"/>
        </w:rPr>
        <w:t xml:space="preserve"> Dakota </w:t>
      </w:r>
      <w:r>
        <w:rPr>
          <w:rFonts w:ascii="Times New Roman" w:hAnsi="Times New Roman"/>
          <w:sz w:val="24"/>
          <w:szCs w:val="24"/>
        </w:rPr>
        <w:t>‘</w:t>
      </w:r>
      <w:r w:rsidRPr="003A2F72">
        <w:rPr>
          <w:rFonts w:ascii="Times New Roman" w:hAnsi="Times New Roman"/>
          <w:sz w:val="24"/>
          <w:szCs w:val="24"/>
        </w:rPr>
        <w:t>also acts as a physical barrier when Mr. Schroeder is in a public space, keeping people from crowding or getting too close to him, which can trigger Mr. Schroeder's PTSD and anxiety</w:t>
      </w:r>
      <w:r>
        <w:rPr>
          <w:rFonts w:ascii="Times New Roman" w:hAnsi="Times New Roman"/>
          <w:sz w:val="24"/>
          <w:szCs w:val="24"/>
        </w:rPr>
        <w:t xml:space="preserve">…. ‘ </w:t>
      </w:r>
    </w:p>
    <w:p w14:paraId="7CF95F94" w14:textId="77777777" w:rsidR="00C67B2A" w:rsidRDefault="00C67B2A" w:rsidP="00C67B2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05D4A8A8" w14:textId="77777777" w:rsidR="00C67B2A" w:rsidRDefault="00C67B2A" w:rsidP="00C67B2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3A2F72">
        <w:rPr>
          <w:rFonts w:ascii="Times New Roman" w:hAnsi="Times New Roman"/>
          <w:sz w:val="24"/>
          <w:szCs w:val="24"/>
        </w:rPr>
        <w:t xml:space="preserve">Mr. Schroeder claims AT&amp;T failed to accommodate his mental health conditions by refusing to alter his job requirements and company vehicle to permit his service dog to work alongside him. AT&amp;T argues the accommodations Mr. Schroeder </w:t>
      </w:r>
      <w:proofErr w:type="gramStart"/>
      <w:r w:rsidRPr="003A2F72">
        <w:rPr>
          <w:rFonts w:ascii="Times New Roman" w:hAnsi="Times New Roman"/>
          <w:sz w:val="24"/>
          <w:szCs w:val="24"/>
        </w:rPr>
        <w:t>proposed</w:t>
      </w:r>
      <w:proofErr w:type="gramEnd"/>
      <w:r w:rsidRPr="003A2F72">
        <w:rPr>
          <w:rFonts w:ascii="Times New Roman" w:hAnsi="Times New Roman"/>
          <w:sz w:val="24"/>
          <w:szCs w:val="24"/>
        </w:rPr>
        <w:t xml:space="preserve"> </w:t>
      </w:r>
      <w:proofErr w:type="gramStart"/>
      <w:r w:rsidRPr="003A2F72">
        <w:rPr>
          <w:rFonts w:ascii="Times New Roman" w:hAnsi="Times New Roman"/>
          <w:sz w:val="24"/>
          <w:szCs w:val="24"/>
        </w:rPr>
        <w:t>were</w:t>
      </w:r>
      <w:proofErr w:type="gramEnd"/>
      <w:r w:rsidRPr="003A2F72">
        <w:rPr>
          <w:rFonts w:ascii="Times New Roman" w:hAnsi="Times New Roman"/>
          <w:sz w:val="24"/>
          <w:szCs w:val="24"/>
        </w:rPr>
        <w:t xml:space="preserve"> unreasonable. Both parties moved for summary judgment</w:t>
      </w:r>
      <w:r>
        <w:rPr>
          <w:rFonts w:ascii="Times New Roman" w:hAnsi="Times New Roman"/>
          <w:sz w:val="24"/>
          <w:szCs w:val="24"/>
        </w:rPr>
        <w:t xml:space="preserve">…. </w:t>
      </w:r>
      <w:r w:rsidRPr="003A2F72">
        <w:rPr>
          <w:rFonts w:ascii="Times New Roman" w:hAnsi="Times New Roman"/>
          <w:sz w:val="24"/>
          <w:szCs w:val="24"/>
        </w:rPr>
        <w:t>The Court will deny each motion because genuine issues of material fact remain regarding the reasonableness of Mr. Schroeder's requested accommodations.</w:t>
      </w:r>
      <w:r>
        <w:rPr>
          <w:rFonts w:ascii="Times New Roman" w:hAnsi="Times New Roman"/>
          <w:sz w:val="24"/>
          <w:szCs w:val="24"/>
        </w:rPr>
        <w:t xml:space="preserve">” </w:t>
      </w:r>
      <w:hyperlink r:id="rId1716" w:history="1">
        <w:r w:rsidRPr="00410682">
          <w:rPr>
            <w:rStyle w:val="Hyperlink"/>
            <w:sz w:val="24"/>
            <w:szCs w:val="24"/>
          </w:rPr>
          <w:t>https://public.fastcase.com/9SKwsfNqTc6OieYDhNMyM6vC7U3N6pFiGGudI%2FRRBa2RM8NFylVCIr30mZgiL1xCGi%2BB4TwUGi23U%2F4WBRTxtqosYxdtzzhHp1yF4K4Z7P8%3D</w:t>
        </w:r>
      </w:hyperlink>
      <w:r>
        <w:rPr>
          <w:rFonts w:ascii="Times New Roman" w:hAnsi="Times New Roman"/>
          <w:sz w:val="24"/>
          <w:szCs w:val="24"/>
        </w:rPr>
        <w:t xml:space="preserve"> </w:t>
      </w:r>
    </w:p>
    <w:p w14:paraId="41F3BB95" w14:textId="77777777" w:rsidR="00C67B2A" w:rsidRDefault="00C67B2A" w:rsidP="00C67B2A">
      <w:pPr>
        <w:tabs>
          <w:tab w:val="left" w:pos="3280"/>
        </w:tabs>
        <w:spacing w:before="100" w:beforeAutospacing="1" w:after="100" w:afterAutospacing="1" w:line="240" w:lineRule="auto"/>
        <w:rPr>
          <w:rFonts w:ascii="Times New Roman" w:hAnsi="Times New Roman"/>
          <w:b/>
          <w:bCs/>
          <w:sz w:val="24"/>
          <w:szCs w:val="24"/>
        </w:rPr>
      </w:pPr>
      <w:r w:rsidRPr="00530A63">
        <w:rPr>
          <w:rFonts w:ascii="Times New Roman" w:hAnsi="Times New Roman"/>
          <w:b/>
          <w:bCs/>
          <w:sz w:val="24"/>
          <w:szCs w:val="24"/>
        </w:rPr>
        <w:t>Legal Lesson Learned:</w:t>
      </w:r>
      <w:r>
        <w:rPr>
          <w:rFonts w:ascii="Times New Roman" w:hAnsi="Times New Roman"/>
          <w:b/>
          <w:bCs/>
          <w:sz w:val="24"/>
          <w:szCs w:val="24"/>
        </w:rPr>
        <w:t xml:space="preserve"> </w:t>
      </w:r>
      <w:r w:rsidRPr="00530A63">
        <w:rPr>
          <w:rFonts w:ascii="Times New Roman" w:hAnsi="Times New Roman"/>
          <w:b/>
          <w:bCs/>
          <w:sz w:val="24"/>
          <w:szCs w:val="24"/>
        </w:rPr>
        <w:t xml:space="preserve">ADA requires employees to identify the precise limitations resulting from </w:t>
      </w:r>
      <w:proofErr w:type="gramStart"/>
      <w:r w:rsidRPr="00530A63">
        <w:rPr>
          <w:rFonts w:ascii="Times New Roman" w:hAnsi="Times New Roman"/>
          <w:b/>
          <w:bCs/>
          <w:sz w:val="24"/>
          <w:szCs w:val="24"/>
        </w:rPr>
        <w:t>the disability</w:t>
      </w:r>
      <w:proofErr w:type="gramEnd"/>
      <w:r w:rsidRPr="00530A63">
        <w:rPr>
          <w:rFonts w:ascii="Times New Roman" w:hAnsi="Times New Roman"/>
          <w:b/>
          <w:bCs/>
          <w:sz w:val="24"/>
          <w:szCs w:val="24"/>
        </w:rPr>
        <w:t xml:space="preserve"> and</w:t>
      </w:r>
      <w:r>
        <w:rPr>
          <w:rFonts w:ascii="Times New Roman" w:hAnsi="Times New Roman"/>
          <w:b/>
          <w:bCs/>
          <w:sz w:val="24"/>
          <w:szCs w:val="24"/>
        </w:rPr>
        <w:t xml:space="preserve"> employers to consider</w:t>
      </w:r>
      <w:r w:rsidRPr="00530A63">
        <w:rPr>
          <w:rFonts w:ascii="Times New Roman" w:hAnsi="Times New Roman"/>
          <w:b/>
          <w:bCs/>
          <w:sz w:val="24"/>
          <w:szCs w:val="24"/>
        </w:rPr>
        <w:t xml:space="preserve"> potential reasonable accommodations. </w:t>
      </w:r>
    </w:p>
    <w:p w14:paraId="3E700D4F" w14:textId="77777777" w:rsidR="00C67B2A" w:rsidRDefault="00C67B2A" w:rsidP="00C67B2A">
      <w:pPr>
        <w:pStyle w:val="Heading1"/>
        <w:ind w:left="720"/>
        <w:rPr>
          <w:b w:val="0"/>
          <w:bCs w:val="0"/>
          <w:sz w:val="24"/>
          <w:szCs w:val="24"/>
        </w:rPr>
      </w:pPr>
      <w:r w:rsidRPr="00B57FF7">
        <w:rPr>
          <w:b w:val="0"/>
          <w:bCs w:val="0"/>
          <w:sz w:val="24"/>
          <w:szCs w:val="24"/>
        </w:rPr>
        <w:lastRenderedPageBreak/>
        <w:t xml:space="preserve">Note:  Some fire departments have adopted “station dogs.”  City of Franklin, Ohio </w:t>
      </w:r>
      <w:r>
        <w:rPr>
          <w:b w:val="0"/>
          <w:bCs w:val="0"/>
          <w:sz w:val="24"/>
          <w:szCs w:val="24"/>
        </w:rPr>
        <w:t xml:space="preserve">Fire Department </w:t>
      </w:r>
      <w:r w:rsidRPr="00B57FF7">
        <w:rPr>
          <w:b w:val="0"/>
          <w:bCs w:val="0"/>
          <w:sz w:val="24"/>
          <w:szCs w:val="24"/>
        </w:rPr>
        <w:t xml:space="preserve">is one of the first in our state. </w:t>
      </w:r>
      <w:r>
        <w:rPr>
          <w:b w:val="0"/>
          <w:bCs w:val="0"/>
          <w:sz w:val="24"/>
          <w:szCs w:val="24"/>
        </w:rPr>
        <w:t xml:space="preserve">See article, </w:t>
      </w:r>
      <w:r w:rsidRPr="00B57FF7">
        <w:rPr>
          <w:b w:val="0"/>
          <w:bCs w:val="0"/>
          <w:sz w:val="24"/>
          <w:szCs w:val="24"/>
        </w:rPr>
        <w:t>July 17, 2021</w:t>
      </w:r>
      <w:r>
        <w:rPr>
          <w:b w:val="0"/>
          <w:bCs w:val="0"/>
          <w:sz w:val="24"/>
          <w:szCs w:val="24"/>
        </w:rPr>
        <w:t>,”</w:t>
      </w:r>
      <w:r w:rsidRPr="00B57FF7">
        <w:rPr>
          <w:b w:val="0"/>
          <w:bCs w:val="0"/>
          <w:sz w:val="24"/>
          <w:szCs w:val="24"/>
        </w:rPr>
        <w:t>Sworn Therapy Dog Supports Ohio Responders</w:t>
      </w:r>
      <w:r>
        <w:rPr>
          <w:b w:val="0"/>
          <w:bCs w:val="0"/>
          <w:sz w:val="24"/>
          <w:szCs w:val="24"/>
        </w:rPr>
        <w:t xml:space="preserve">.” </w:t>
      </w:r>
      <w:r w:rsidRPr="00B57FF7">
        <w:rPr>
          <w:b w:val="0"/>
          <w:bCs w:val="0"/>
          <w:sz w:val="24"/>
          <w:szCs w:val="24"/>
        </w:rPr>
        <w:t xml:space="preserve"> </w:t>
      </w:r>
      <w:hyperlink r:id="rId1717" w:history="1">
        <w:r w:rsidRPr="00B57FF7">
          <w:rPr>
            <w:rStyle w:val="Hyperlink"/>
            <w:sz w:val="24"/>
            <w:szCs w:val="24"/>
          </w:rPr>
          <w:t>https://www.hmpgloballearningnetwork.com/site/emsworld/original-contribution/sworn-therapy-dog-supports-ohio-responders</w:t>
        </w:r>
      </w:hyperlink>
      <w:r w:rsidRPr="00B57FF7">
        <w:rPr>
          <w:b w:val="0"/>
          <w:bCs w:val="0"/>
          <w:sz w:val="24"/>
          <w:szCs w:val="24"/>
        </w:rPr>
        <w:t xml:space="preserve"> </w:t>
      </w:r>
    </w:p>
    <w:p w14:paraId="6BBB62CB" w14:textId="77777777" w:rsidR="00C67B2A" w:rsidRPr="00B57FF7" w:rsidRDefault="00C67B2A" w:rsidP="00C67B2A">
      <w:pPr>
        <w:pStyle w:val="Heading1"/>
        <w:ind w:left="720"/>
        <w:rPr>
          <w:b w:val="0"/>
          <w:bCs w:val="0"/>
          <w:sz w:val="24"/>
          <w:szCs w:val="24"/>
        </w:rPr>
      </w:pPr>
      <w:r>
        <w:rPr>
          <w:b w:val="0"/>
          <w:bCs w:val="0"/>
          <w:sz w:val="24"/>
          <w:szCs w:val="24"/>
        </w:rPr>
        <w:t>[The author of this newsletter introduced FD to Circle Tail, which trains service dogs and places dogs that aren’t suited for service work.]</w:t>
      </w:r>
    </w:p>
    <w:p w14:paraId="67BB37FD" w14:textId="77777777" w:rsidR="00C67B2A" w:rsidRDefault="00C67B2A" w:rsidP="005C30A4">
      <w:pPr>
        <w:pStyle w:val="NoSpacing"/>
        <w:rPr>
          <w:rFonts w:ascii="Arial Black" w:hAnsi="Arial Black"/>
          <w:sz w:val="24"/>
          <w:szCs w:val="24"/>
        </w:rPr>
      </w:pPr>
    </w:p>
    <w:p w14:paraId="75D05A5B" w14:textId="77777777" w:rsidR="00C67B2A" w:rsidRDefault="00C67B2A" w:rsidP="005C30A4">
      <w:pPr>
        <w:pStyle w:val="NoSpacing"/>
        <w:rPr>
          <w:rFonts w:ascii="Arial Black" w:hAnsi="Arial Black"/>
          <w:sz w:val="24"/>
          <w:szCs w:val="24"/>
        </w:rPr>
      </w:pPr>
    </w:p>
    <w:p w14:paraId="5F27524B" w14:textId="77777777" w:rsidR="00C67B2A" w:rsidRDefault="00C67B2A" w:rsidP="005C30A4">
      <w:pPr>
        <w:pStyle w:val="NoSpacing"/>
        <w:rPr>
          <w:rFonts w:ascii="Arial Black" w:hAnsi="Arial Black"/>
          <w:sz w:val="24"/>
          <w:szCs w:val="24"/>
        </w:rPr>
      </w:pPr>
    </w:p>
    <w:p w14:paraId="358A4896" w14:textId="552748F9" w:rsidR="005C30A4" w:rsidRPr="005217D5" w:rsidRDefault="005217D5" w:rsidP="005C30A4">
      <w:pPr>
        <w:pStyle w:val="NoSpacing"/>
        <w:rPr>
          <w:rFonts w:ascii="Arial Black" w:hAnsi="Arial Black"/>
          <w:sz w:val="24"/>
          <w:szCs w:val="24"/>
        </w:rPr>
      </w:pPr>
      <w:r w:rsidRPr="005217D5">
        <w:rPr>
          <w:rFonts w:ascii="Arial Black" w:hAnsi="Arial Black"/>
          <w:sz w:val="24"/>
          <w:szCs w:val="24"/>
        </w:rPr>
        <w:t>9-20</w:t>
      </w:r>
    </w:p>
    <w:p w14:paraId="1C128D2C" w14:textId="77777777" w:rsidR="005217D5" w:rsidRDefault="005217D5" w:rsidP="005217D5">
      <w:pPr>
        <w:spacing w:before="100" w:beforeAutospacing="1" w:after="100" w:afterAutospacing="1" w:line="240" w:lineRule="auto"/>
        <w:rPr>
          <w:rFonts w:ascii="Arial Black" w:hAnsi="Arial Black"/>
          <w:sz w:val="28"/>
          <w:szCs w:val="28"/>
        </w:rPr>
      </w:pPr>
      <w:r w:rsidRPr="00953881">
        <w:rPr>
          <w:rFonts w:ascii="Arial Black" w:hAnsi="Arial Black"/>
          <w:sz w:val="28"/>
          <w:szCs w:val="28"/>
        </w:rPr>
        <w:t>PA:</w:t>
      </w:r>
      <w:r>
        <w:rPr>
          <w:rFonts w:ascii="Arial Black" w:hAnsi="Arial Black"/>
          <w:sz w:val="28"/>
          <w:szCs w:val="28"/>
        </w:rPr>
        <w:t xml:space="preserve">  VOL. FF LEFT ARM, RIGHT LEG AMPUTATED 2007 – DISABILITY INSUR. END 2017 – NOW WORKING AS MEDIC </w:t>
      </w:r>
    </w:p>
    <w:p w14:paraId="0EBE8B82" w14:textId="77777777" w:rsidR="005217D5" w:rsidRDefault="005217D5" w:rsidP="005217D5">
      <w:pPr>
        <w:spacing w:before="100" w:beforeAutospacing="1" w:after="100" w:afterAutospacing="1" w:line="240" w:lineRule="auto"/>
        <w:rPr>
          <w:rFonts w:ascii="Times New Roman" w:hAnsi="Times New Roman"/>
          <w:sz w:val="24"/>
          <w:szCs w:val="24"/>
        </w:rPr>
      </w:pPr>
      <w:r w:rsidRPr="00953881">
        <w:rPr>
          <w:rFonts w:ascii="Times New Roman" w:hAnsi="Times New Roman"/>
          <w:sz w:val="24"/>
          <w:szCs w:val="24"/>
        </w:rPr>
        <w:t xml:space="preserve">On </w:t>
      </w:r>
      <w:r>
        <w:rPr>
          <w:rFonts w:ascii="Times New Roman" w:hAnsi="Times New Roman"/>
          <w:sz w:val="24"/>
          <w:szCs w:val="24"/>
        </w:rPr>
        <w:t xml:space="preserve">July 20, 2021, in </w:t>
      </w:r>
      <w:r w:rsidRPr="00F9546F">
        <w:rPr>
          <w:rFonts w:ascii="Times New Roman" w:hAnsi="Times New Roman"/>
          <w:sz w:val="24"/>
          <w:szCs w:val="24"/>
          <w:u w:val="single"/>
        </w:rPr>
        <w:t xml:space="preserve">Chase Frost v. Provident Life </w:t>
      </w:r>
      <w:proofErr w:type="gramStart"/>
      <w:r w:rsidRPr="00F9546F">
        <w:rPr>
          <w:rFonts w:ascii="Times New Roman" w:hAnsi="Times New Roman"/>
          <w:sz w:val="24"/>
          <w:szCs w:val="24"/>
          <w:u w:val="single"/>
        </w:rPr>
        <w:t>And</w:t>
      </w:r>
      <w:proofErr w:type="gramEnd"/>
      <w:r w:rsidRPr="00F9546F">
        <w:rPr>
          <w:rFonts w:ascii="Times New Roman" w:hAnsi="Times New Roman"/>
          <w:sz w:val="24"/>
          <w:szCs w:val="24"/>
          <w:u w:val="single"/>
        </w:rPr>
        <w:t xml:space="preserve"> Accident Insurance Company</w:t>
      </w:r>
      <w:r>
        <w:rPr>
          <w:rFonts w:ascii="Times New Roman" w:hAnsi="Times New Roman"/>
          <w:sz w:val="24"/>
          <w:szCs w:val="24"/>
        </w:rPr>
        <w:t xml:space="preserve">, U.S. District Court Judge Jan Dubois, Eastern District of Pennsylvania, held that the insurance company was authorized to terminate the FF from disability benefits in 2017 since he was able to return to work.  </w:t>
      </w:r>
      <w:r w:rsidRPr="00F9546F">
        <w:rPr>
          <w:rFonts w:ascii="Times New Roman" w:hAnsi="Times New Roman"/>
          <w:sz w:val="24"/>
          <w:szCs w:val="24"/>
        </w:rPr>
        <w:t>In 2016, plaintiff was hired by the City of Philadelphia as a Fire Services Paramedic</w:t>
      </w:r>
      <w:r>
        <w:rPr>
          <w:rFonts w:ascii="Times New Roman" w:hAnsi="Times New Roman"/>
          <w:sz w:val="24"/>
          <w:szCs w:val="24"/>
        </w:rPr>
        <w:t xml:space="preserve"> cadet (but then was fired after failing a re-test)</w:t>
      </w:r>
      <w:r w:rsidRPr="00F9546F">
        <w:rPr>
          <w:rFonts w:ascii="Times New Roman" w:hAnsi="Times New Roman"/>
          <w:sz w:val="24"/>
          <w:szCs w:val="24"/>
        </w:rPr>
        <w:t>.</w:t>
      </w:r>
    </w:p>
    <w:p w14:paraId="3EFAA862" w14:textId="77777777" w:rsidR="005217D5" w:rsidRDefault="005217D5" w:rsidP="005217D5">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F9546F">
        <w:rPr>
          <w:rFonts w:ascii="Times New Roman" w:hAnsi="Times New Roman"/>
          <w:sz w:val="24"/>
          <w:szCs w:val="24"/>
        </w:rPr>
        <w:t xml:space="preserve">Plaintiff further alleged in that case </w:t>
      </w:r>
      <w:r>
        <w:rPr>
          <w:rFonts w:ascii="Times New Roman" w:hAnsi="Times New Roman"/>
          <w:sz w:val="24"/>
          <w:szCs w:val="24"/>
        </w:rPr>
        <w:t xml:space="preserve">[lawsuit against City of Philadelphia for firing him] </w:t>
      </w:r>
      <w:r w:rsidRPr="00F9546F">
        <w:rPr>
          <w:rFonts w:ascii="Times New Roman" w:hAnsi="Times New Roman"/>
          <w:sz w:val="24"/>
          <w:szCs w:val="24"/>
        </w:rPr>
        <w:t xml:space="preserve">that he was </w:t>
      </w:r>
      <w:r>
        <w:rPr>
          <w:rFonts w:ascii="Times New Roman" w:hAnsi="Times New Roman"/>
          <w:sz w:val="24"/>
          <w:szCs w:val="24"/>
        </w:rPr>
        <w:t>‘</w:t>
      </w:r>
      <w:r w:rsidRPr="00F9546F">
        <w:rPr>
          <w:rFonts w:ascii="Times New Roman" w:hAnsi="Times New Roman"/>
          <w:sz w:val="24"/>
          <w:szCs w:val="24"/>
        </w:rPr>
        <w:t xml:space="preserve">a registered Paramedic with the National Registry of Emergency Technicians [], certified as a Paramedic with the Pennsylvania Department of Health, has over five (5) years of experience and education as a Paramedic, and has well over 1, 100 hours of field internship </w:t>
      </w:r>
      <w:proofErr w:type="spellStart"/>
      <w:r w:rsidRPr="00F9546F">
        <w:rPr>
          <w:rFonts w:ascii="Times New Roman" w:hAnsi="Times New Roman"/>
          <w:sz w:val="24"/>
          <w:szCs w:val="24"/>
        </w:rPr>
        <w:t>experience.</w:t>
      </w:r>
      <w:r>
        <w:rPr>
          <w:rFonts w:ascii="Times New Roman" w:hAnsi="Times New Roman"/>
          <w:sz w:val="24"/>
          <w:szCs w:val="24"/>
        </w:rPr>
        <w:t>’</w:t>
      </w:r>
      <w:r w:rsidRPr="00F9546F">
        <w:rPr>
          <w:rStyle w:val="Emphasis"/>
          <w:rFonts w:ascii="Times New Roman" w:hAnsi="Times New Roman"/>
          <w:sz w:val="24"/>
          <w:szCs w:val="24"/>
        </w:rPr>
        <w:t>Id</w:t>
      </w:r>
      <w:proofErr w:type="spellEnd"/>
      <w:r w:rsidRPr="00F9546F">
        <w:rPr>
          <w:rFonts w:ascii="Times New Roman" w:hAnsi="Times New Roman"/>
          <w:sz w:val="24"/>
          <w:szCs w:val="24"/>
        </w:rPr>
        <w:t>. ¶ 29.</w:t>
      </w:r>
    </w:p>
    <w:p w14:paraId="311A8D3F" w14:textId="77777777" w:rsidR="005217D5" w:rsidRDefault="005217D5" w:rsidP="005217D5">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62A974F7" w14:textId="77777777" w:rsidR="005217D5" w:rsidRDefault="005217D5" w:rsidP="005217D5">
      <w:pPr>
        <w:spacing w:before="100" w:beforeAutospacing="1" w:after="100" w:afterAutospacing="1" w:line="240" w:lineRule="auto"/>
        <w:ind w:left="720"/>
        <w:rPr>
          <w:rFonts w:ascii="Times New Roman" w:hAnsi="Times New Roman"/>
          <w:sz w:val="24"/>
          <w:szCs w:val="24"/>
        </w:rPr>
      </w:pPr>
      <w:r w:rsidRPr="00F9546F">
        <w:rPr>
          <w:rFonts w:ascii="Times New Roman" w:hAnsi="Times New Roman"/>
          <w:sz w:val="24"/>
          <w:szCs w:val="24"/>
        </w:rPr>
        <w:t xml:space="preserve">On June 17, 2019, Judge Baylson </w:t>
      </w:r>
      <w:r>
        <w:rPr>
          <w:rFonts w:ascii="Times New Roman" w:hAnsi="Times New Roman"/>
          <w:sz w:val="24"/>
          <w:szCs w:val="24"/>
        </w:rPr>
        <w:t xml:space="preserve">[in the Philadelphia case] </w:t>
      </w:r>
      <w:r w:rsidRPr="00F9546F">
        <w:rPr>
          <w:rFonts w:ascii="Times New Roman" w:hAnsi="Times New Roman"/>
          <w:sz w:val="24"/>
          <w:szCs w:val="24"/>
        </w:rPr>
        <w:t xml:space="preserve">granted the City's Motion, concluding that: (1) although plaintiff “was qualified to perform the position of FSP [i.e., Fire Services Paramedic] cadet” with reasonable accommodations, (2) he failed to show that the City's justification for terminating him-the fact that he </w:t>
      </w:r>
      <w:r>
        <w:rPr>
          <w:rFonts w:ascii="Times New Roman" w:hAnsi="Times New Roman"/>
          <w:sz w:val="24"/>
          <w:szCs w:val="24"/>
        </w:rPr>
        <w:t>‘</w:t>
      </w:r>
      <w:r w:rsidRPr="00F9546F">
        <w:rPr>
          <w:rFonts w:ascii="Times New Roman" w:hAnsi="Times New Roman"/>
          <w:sz w:val="24"/>
          <w:szCs w:val="24"/>
        </w:rPr>
        <w:t>fail[ed] a retest</w:t>
      </w:r>
      <w:r>
        <w:rPr>
          <w:rFonts w:ascii="Times New Roman" w:hAnsi="Times New Roman"/>
          <w:sz w:val="24"/>
          <w:szCs w:val="24"/>
        </w:rPr>
        <w:t>’</w:t>
      </w:r>
      <w:r w:rsidRPr="00F9546F">
        <w:rPr>
          <w:rFonts w:ascii="Times New Roman" w:hAnsi="Times New Roman"/>
          <w:sz w:val="24"/>
          <w:szCs w:val="24"/>
        </w:rPr>
        <w:t xml:space="preserve"> at the Fire Academy-was pretextual. 2019 WL 2516987, at *6-8.</w:t>
      </w:r>
    </w:p>
    <w:p w14:paraId="19F901B9" w14:textId="77777777" w:rsidR="005217D5" w:rsidRDefault="005217D5" w:rsidP="005217D5">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00C3CF75" w14:textId="77777777" w:rsidR="005217D5" w:rsidRDefault="005217D5" w:rsidP="005217D5">
      <w:pPr>
        <w:spacing w:before="100" w:beforeAutospacing="1" w:after="100" w:afterAutospacing="1" w:line="240" w:lineRule="auto"/>
        <w:ind w:left="720"/>
        <w:rPr>
          <w:rFonts w:ascii="Times New Roman" w:hAnsi="Times New Roman"/>
          <w:sz w:val="24"/>
          <w:szCs w:val="24"/>
        </w:rPr>
      </w:pPr>
      <w:r w:rsidRPr="00F9546F">
        <w:rPr>
          <w:rFonts w:ascii="Times New Roman" w:hAnsi="Times New Roman"/>
          <w:sz w:val="24"/>
          <w:szCs w:val="24"/>
        </w:rPr>
        <w:t xml:space="preserve">For the foregoing reasons, collateral estoppel bars plaintiff from relitigating the issue of whether he </w:t>
      </w:r>
      <w:proofErr w:type="gramStart"/>
      <w:r w:rsidRPr="00F9546F">
        <w:rPr>
          <w:rFonts w:ascii="Times New Roman" w:hAnsi="Times New Roman"/>
          <w:sz w:val="24"/>
          <w:szCs w:val="24"/>
        </w:rPr>
        <w:t>is able to</w:t>
      </w:r>
      <w:proofErr w:type="gramEnd"/>
      <w:r w:rsidRPr="00F9546F">
        <w:rPr>
          <w:rFonts w:ascii="Times New Roman" w:hAnsi="Times New Roman"/>
          <w:sz w:val="24"/>
          <w:szCs w:val="24"/>
        </w:rPr>
        <w:t xml:space="preserve"> perform an occupation with reasonable accommodations.</w:t>
      </w:r>
      <w:r>
        <w:rPr>
          <w:rFonts w:ascii="Times New Roman" w:hAnsi="Times New Roman"/>
          <w:sz w:val="24"/>
          <w:szCs w:val="24"/>
        </w:rPr>
        <w:t xml:space="preserve">” </w:t>
      </w:r>
      <w:hyperlink r:id="rId1718" w:history="1">
        <w:r w:rsidRPr="004A379F">
          <w:rPr>
            <w:rStyle w:val="Hyperlink"/>
            <w:sz w:val="24"/>
            <w:szCs w:val="24"/>
          </w:rPr>
          <w:t>https://casetext.com/case/frost-v-provident-life-and-accident-insurance-co-1</w:t>
        </w:r>
      </w:hyperlink>
      <w:r>
        <w:rPr>
          <w:rFonts w:ascii="Times New Roman" w:hAnsi="Times New Roman"/>
          <w:sz w:val="24"/>
          <w:szCs w:val="24"/>
        </w:rPr>
        <w:t xml:space="preserve"> </w:t>
      </w:r>
    </w:p>
    <w:p w14:paraId="7E303FF5" w14:textId="77777777" w:rsidR="005217D5" w:rsidRDefault="005217D5" w:rsidP="005C30A4">
      <w:pPr>
        <w:pStyle w:val="NoSpacing"/>
        <w:rPr>
          <w:sz w:val="24"/>
          <w:szCs w:val="24"/>
        </w:rPr>
      </w:pPr>
    </w:p>
    <w:p w14:paraId="428A076C" w14:textId="77777777" w:rsidR="005217D5" w:rsidRDefault="005217D5" w:rsidP="005C30A4">
      <w:pPr>
        <w:pStyle w:val="NoSpacing"/>
        <w:rPr>
          <w:rFonts w:ascii="Arial Black" w:hAnsi="Arial Black"/>
          <w:b/>
          <w:sz w:val="24"/>
          <w:szCs w:val="24"/>
        </w:rPr>
      </w:pPr>
    </w:p>
    <w:p w14:paraId="2071461D" w14:textId="77777777" w:rsidR="005217D5" w:rsidRDefault="005217D5" w:rsidP="005C30A4">
      <w:pPr>
        <w:pStyle w:val="NoSpacing"/>
        <w:rPr>
          <w:rFonts w:ascii="Arial Black" w:hAnsi="Arial Black"/>
          <w:b/>
          <w:sz w:val="24"/>
          <w:szCs w:val="24"/>
        </w:rPr>
      </w:pPr>
    </w:p>
    <w:p w14:paraId="5A883879" w14:textId="444B8670" w:rsidR="007F3C7D" w:rsidRDefault="007F3C7D" w:rsidP="005C30A4">
      <w:pPr>
        <w:pStyle w:val="NoSpacing"/>
        <w:rPr>
          <w:rFonts w:ascii="Arial Black" w:hAnsi="Arial Black"/>
          <w:b/>
          <w:sz w:val="24"/>
          <w:szCs w:val="24"/>
        </w:rPr>
      </w:pPr>
      <w:r>
        <w:rPr>
          <w:rFonts w:ascii="Arial Black" w:hAnsi="Arial Black"/>
          <w:b/>
          <w:sz w:val="24"/>
          <w:szCs w:val="24"/>
        </w:rPr>
        <w:t>9-19</w:t>
      </w:r>
    </w:p>
    <w:p w14:paraId="17AB01F7" w14:textId="77777777" w:rsidR="007F3C7D" w:rsidRPr="00DD5323" w:rsidRDefault="007F3C7D" w:rsidP="007F3C7D">
      <w:pPr>
        <w:rPr>
          <w:rFonts w:ascii="Arial Black" w:hAnsi="Arial Black"/>
          <w:sz w:val="28"/>
          <w:szCs w:val="28"/>
        </w:rPr>
      </w:pPr>
      <w:bookmarkStart w:id="349" w:name="_Hlk66948236"/>
      <w:r>
        <w:rPr>
          <w:rFonts w:ascii="Arial Black" w:hAnsi="Arial Black"/>
          <w:sz w:val="28"/>
          <w:szCs w:val="28"/>
        </w:rPr>
        <w:t>AL: FF HEARING LOSS ONE EAR / TUMOR – FIRED, NO ACCOMMODATION – FAILED TO FILE EEOC CHARGE WITHIN 180 DAYS OF FIRING</w:t>
      </w:r>
    </w:p>
    <w:p w14:paraId="167726DE" w14:textId="77777777" w:rsidR="007F3C7D" w:rsidRDefault="007F3C7D" w:rsidP="007F3C7D">
      <w:pPr>
        <w:pStyle w:val="NoSpacing"/>
        <w:rPr>
          <w:rFonts w:ascii="Times New Roman" w:hAnsi="Times New Roman"/>
          <w:sz w:val="24"/>
          <w:szCs w:val="24"/>
        </w:rPr>
      </w:pPr>
      <w:r w:rsidRPr="005478D8">
        <w:rPr>
          <w:rFonts w:ascii="Times New Roman" w:hAnsi="Times New Roman"/>
          <w:sz w:val="24"/>
          <w:szCs w:val="24"/>
        </w:rPr>
        <w:lastRenderedPageBreak/>
        <w:t xml:space="preserve">On Jan. 21, 2021, in </w:t>
      </w:r>
      <w:r w:rsidRPr="005478D8">
        <w:rPr>
          <w:rFonts w:ascii="Times New Roman" w:hAnsi="Times New Roman"/>
          <w:sz w:val="24"/>
          <w:szCs w:val="24"/>
          <w:u w:val="single"/>
        </w:rPr>
        <w:t>Anthony M. Milner v. The City of Montgomery, Alabama</w:t>
      </w:r>
      <w:r>
        <w:rPr>
          <w:rFonts w:ascii="Times New Roman" w:hAnsi="Times New Roman"/>
          <w:sz w:val="24"/>
          <w:szCs w:val="24"/>
        </w:rPr>
        <w:t>, U.S. District Court Judge Myron H. Thompson, U.S. District Court for the Middle District of Alabama (Northern Division) granted the defense motion to dismiss, holding that under Americans With Disabilities Act he had to file EEOC charge within 180 days of firing, not when his appeal to City Personnel Department was denied.  Even if the EEOC online charging portal was shut down during the federal government’s closure [</w:t>
      </w:r>
      <w:r w:rsidRPr="005478D8">
        <w:rPr>
          <w:rFonts w:ascii="Times New Roman" w:hAnsi="Times New Roman"/>
          <w:sz w:val="24"/>
          <w:szCs w:val="24"/>
        </w:rPr>
        <w:t>December 22, 2018, and January 25, 2019]</w:t>
      </w:r>
      <w:r>
        <w:rPr>
          <w:rFonts w:ascii="Times New Roman" w:hAnsi="Times New Roman"/>
          <w:sz w:val="24"/>
          <w:szCs w:val="24"/>
        </w:rPr>
        <w:t xml:space="preserve"> when President Trump and Congress could not agree on an appropriations bill, either Milner or his attorney could have filed the charge by mail. </w:t>
      </w:r>
    </w:p>
    <w:bookmarkEnd w:id="349"/>
    <w:p w14:paraId="741AC6B9" w14:textId="77777777" w:rsidR="007F3C7D" w:rsidRDefault="007F3C7D" w:rsidP="007F3C7D">
      <w:pPr>
        <w:pStyle w:val="NoSpacing"/>
        <w:rPr>
          <w:rFonts w:ascii="Times New Roman" w:hAnsi="Times New Roman"/>
          <w:sz w:val="24"/>
          <w:szCs w:val="24"/>
        </w:rPr>
      </w:pPr>
    </w:p>
    <w:p w14:paraId="42468A43" w14:textId="77777777" w:rsidR="007F3C7D" w:rsidRDefault="007F3C7D" w:rsidP="007F3C7D">
      <w:pPr>
        <w:pStyle w:val="NoSpacing"/>
        <w:ind w:left="720"/>
        <w:rPr>
          <w:rFonts w:ascii="Times New Roman" w:hAnsi="Times New Roman"/>
          <w:sz w:val="24"/>
          <w:szCs w:val="24"/>
        </w:rPr>
      </w:pPr>
      <w:r>
        <w:rPr>
          <w:rFonts w:ascii="Times New Roman" w:hAnsi="Times New Roman"/>
          <w:sz w:val="24"/>
          <w:szCs w:val="24"/>
        </w:rPr>
        <w:t>“</w:t>
      </w:r>
      <w:r w:rsidRPr="00D735DB">
        <w:rPr>
          <w:rFonts w:ascii="Times New Roman" w:hAnsi="Times New Roman"/>
          <w:sz w:val="24"/>
          <w:szCs w:val="24"/>
        </w:rPr>
        <w:t xml:space="preserve">Milner received notice of his termination </w:t>
      </w:r>
      <w:r>
        <w:rPr>
          <w:rFonts w:ascii="Times New Roman" w:hAnsi="Times New Roman"/>
          <w:sz w:val="24"/>
          <w:szCs w:val="24"/>
        </w:rPr>
        <w:t xml:space="preserve">[on July 2] </w:t>
      </w:r>
      <w:r w:rsidRPr="00D735DB">
        <w:rPr>
          <w:rFonts w:ascii="Times New Roman" w:hAnsi="Times New Roman"/>
          <w:sz w:val="24"/>
          <w:szCs w:val="24"/>
        </w:rPr>
        <w:t xml:space="preserve">2018. He was told to return his equipment, and his dismissal was reflected in payroll. </w:t>
      </w:r>
      <w:r w:rsidRPr="00D735DB">
        <w:rPr>
          <w:rFonts w:ascii="Times New Roman" w:hAnsi="Times New Roman"/>
          <w:i/>
          <w:iCs/>
          <w:sz w:val="24"/>
          <w:szCs w:val="24"/>
        </w:rPr>
        <w:t>See</w:t>
      </w:r>
      <w:r w:rsidRPr="00D735DB">
        <w:rPr>
          <w:rFonts w:ascii="Times New Roman" w:hAnsi="Times New Roman"/>
          <w:sz w:val="24"/>
          <w:szCs w:val="24"/>
        </w:rPr>
        <w:t xml:space="preserve"> Termination Documents (doc. no. 12-2) at 2-3. The 180-day clock to file his charge with the EEOC began to run at that point. His appeal through the city's personnel department did not toll the running of this limitations period.</w:t>
      </w:r>
      <w:r>
        <w:rPr>
          <w:rFonts w:ascii="Times New Roman" w:hAnsi="Times New Roman"/>
          <w:sz w:val="24"/>
          <w:szCs w:val="24"/>
        </w:rPr>
        <w:t xml:space="preserve">”  </w:t>
      </w:r>
      <w:bookmarkStart w:id="350" w:name="_Hlk66948260"/>
      <w:r w:rsidR="00F00958">
        <w:fldChar w:fldCharType="begin"/>
      </w:r>
      <w:r w:rsidR="00F00958">
        <w:instrText xml:space="preserve"> HYPERLINK "https://law.justia.com/cases/federal/district-courts/alabama/almdce/2:2019cv00799/71056/23/" </w:instrText>
      </w:r>
      <w:r w:rsidR="00F00958">
        <w:fldChar w:fldCharType="separate"/>
      </w:r>
      <w:r w:rsidRPr="00574F77">
        <w:rPr>
          <w:rStyle w:val="Hyperlink"/>
          <w:rFonts w:ascii="Times New Roman" w:hAnsi="Times New Roman"/>
          <w:sz w:val="24"/>
          <w:szCs w:val="24"/>
        </w:rPr>
        <w:t>https://law.justia.com/cases/federal/district-courts/alabama/almdce/2:2019cv00799/71056/23/</w:t>
      </w:r>
      <w:r w:rsidR="00F00958">
        <w:rPr>
          <w:rStyle w:val="Hyperlink"/>
          <w:rFonts w:ascii="Times New Roman" w:hAnsi="Times New Roman"/>
          <w:sz w:val="24"/>
          <w:szCs w:val="24"/>
        </w:rPr>
        <w:fldChar w:fldCharType="end"/>
      </w:r>
      <w:r>
        <w:rPr>
          <w:rFonts w:ascii="Times New Roman" w:hAnsi="Times New Roman"/>
          <w:sz w:val="24"/>
          <w:szCs w:val="24"/>
        </w:rPr>
        <w:t xml:space="preserve"> </w:t>
      </w:r>
    </w:p>
    <w:p w14:paraId="07895D73" w14:textId="77777777" w:rsidR="007F3C7D" w:rsidRDefault="007F3C7D" w:rsidP="007F3C7D">
      <w:pPr>
        <w:spacing w:before="100" w:beforeAutospacing="1" w:after="100" w:afterAutospacing="1" w:line="240" w:lineRule="auto"/>
        <w:rPr>
          <w:rFonts w:ascii="Times New Roman" w:hAnsi="Times New Roman"/>
          <w:b/>
          <w:bCs/>
          <w:sz w:val="24"/>
          <w:szCs w:val="24"/>
        </w:rPr>
      </w:pPr>
      <w:r w:rsidRPr="005A33C2">
        <w:rPr>
          <w:rFonts w:ascii="Times New Roman" w:hAnsi="Times New Roman"/>
          <w:b/>
          <w:bCs/>
          <w:sz w:val="24"/>
          <w:szCs w:val="24"/>
        </w:rPr>
        <w:t>Legal Lesson Learned</w:t>
      </w:r>
      <w:r>
        <w:rPr>
          <w:rFonts w:ascii="Times New Roman" w:hAnsi="Times New Roman"/>
          <w:b/>
          <w:bCs/>
          <w:sz w:val="24"/>
          <w:szCs w:val="24"/>
        </w:rPr>
        <w:t xml:space="preserve">: EEOC filing timelines are not extended when </w:t>
      </w:r>
      <w:proofErr w:type="gramStart"/>
      <w:r>
        <w:rPr>
          <w:rFonts w:ascii="Times New Roman" w:hAnsi="Times New Roman"/>
          <w:b/>
          <w:bCs/>
          <w:sz w:val="24"/>
          <w:szCs w:val="24"/>
        </w:rPr>
        <w:t>employee seeks</w:t>
      </w:r>
      <w:proofErr w:type="gramEnd"/>
      <w:r>
        <w:rPr>
          <w:rFonts w:ascii="Times New Roman" w:hAnsi="Times New Roman"/>
          <w:b/>
          <w:bCs/>
          <w:sz w:val="24"/>
          <w:szCs w:val="24"/>
        </w:rPr>
        <w:t xml:space="preserve"> internal appeal.</w:t>
      </w:r>
    </w:p>
    <w:p w14:paraId="3BD2A752" w14:textId="77777777" w:rsidR="007F3C7D" w:rsidRDefault="007F3C7D" w:rsidP="007F3C7D">
      <w:pPr>
        <w:spacing w:before="100" w:beforeAutospacing="1" w:after="100" w:afterAutospacing="1" w:line="240" w:lineRule="auto"/>
        <w:ind w:left="720"/>
        <w:rPr>
          <w:rFonts w:ascii="Times New Roman" w:hAnsi="Times New Roman"/>
          <w:sz w:val="24"/>
          <w:szCs w:val="24"/>
        </w:rPr>
      </w:pPr>
      <w:r w:rsidRPr="005A33C2">
        <w:rPr>
          <w:rFonts w:ascii="Times New Roman" w:hAnsi="Times New Roman"/>
          <w:sz w:val="24"/>
          <w:szCs w:val="24"/>
        </w:rPr>
        <w:t xml:space="preserve">Note:  See EEOC guidance: </w:t>
      </w:r>
      <w:r>
        <w:rPr>
          <w:rFonts w:ascii="Times New Roman" w:hAnsi="Times New Roman"/>
          <w:sz w:val="24"/>
          <w:szCs w:val="24"/>
        </w:rPr>
        <w:t>“</w:t>
      </w:r>
      <w:r w:rsidRPr="005A33C2">
        <w:rPr>
          <w:rFonts w:ascii="Times New Roman" w:hAnsi="Times New Roman"/>
          <w:sz w:val="24"/>
          <w:szCs w:val="24"/>
        </w:rPr>
        <w:t>Time limits for filing a charge with EEOC generally will not be extended while you attempt to resolve a dispute through another forum such as an internal grievance procedure, a union grievance, arbitration or mediation before filing a charge with EEOC. Other forums for resolution may be pursued at the same time as the processing of the EEOC charge.</w:t>
      </w:r>
      <w:r>
        <w:rPr>
          <w:rFonts w:ascii="Times New Roman" w:hAnsi="Times New Roman"/>
          <w:sz w:val="24"/>
          <w:szCs w:val="24"/>
        </w:rPr>
        <w:t xml:space="preserve">” </w:t>
      </w:r>
      <w:hyperlink r:id="rId1719" w:history="1">
        <w:r w:rsidRPr="00574F77">
          <w:rPr>
            <w:rStyle w:val="Hyperlink"/>
            <w:rFonts w:ascii="Times New Roman" w:hAnsi="Times New Roman"/>
            <w:sz w:val="24"/>
            <w:szCs w:val="24"/>
          </w:rPr>
          <w:t>https://www.eeoc.gov/time-limits-filing-charge</w:t>
        </w:r>
      </w:hyperlink>
      <w:r>
        <w:rPr>
          <w:rFonts w:ascii="Times New Roman" w:hAnsi="Times New Roman"/>
          <w:sz w:val="24"/>
          <w:szCs w:val="24"/>
        </w:rPr>
        <w:t xml:space="preserve"> </w:t>
      </w:r>
    </w:p>
    <w:bookmarkEnd w:id="350"/>
    <w:p w14:paraId="1B69C484" w14:textId="29871AC6" w:rsidR="007F3C7D" w:rsidRPr="00D735DB" w:rsidRDefault="007F3C7D" w:rsidP="007F3C7D">
      <w:pPr>
        <w:spacing w:before="100" w:beforeAutospacing="1" w:after="100" w:afterAutospacing="1" w:line="240" w:lineRule="auto"/>
        <w:ind w:left="720"/>
        <w:rPr>
          <w:rFonts w:ascii="Times New Roman" w:eastAsia="Times New Roman" w:hAnsi="Times New Roman"/>
          <w:sz w:val="24"/>
          <w:szCs w:val="24"/>
        </w:rPr>
      </w:pPr>
      <w:r w:rsidRPr="00E935C6">
        <w:rPr>
          <w:rFonts w:ascii="Times New Roman" w:hAnsi="Times New Roman"/>
          <w:sz w:val="24"/>
          <w:szCs w:val="24"/>
        </w:rPr>
        <w:t>See IAFC</w:t>
      </w:r>
      <w:r>
        <w:rPr>
          <w:rFonts w:ascii="Times New Roman" w:hAnsi="Times New Roman"/>
          <w:sz w:val="24"/>
          <w:szCs w:val="24"/>
        </w:rPr>
        <w:t xml:space="preserve"> Guide </w:t>
      </w:r>
      <w:proofErr w:type="gramStart"/>
      <w:r>
        <w:rPr>
          <w:rFonts w:ascii="Times New Roman" w:hAnsi="Times New Roman"/>
          <w:sz w:val="24"/>
          <w:szCs w:val="24"/>
        </w:rPr>
        <w:t>To</w:t>
      </w:r>
      <w:proofErr w:type="gramEnd"/>
      <w:r>
        <w:rPr>
          <w:rFonts w:ascii="Times New Roman" w:hAnsi="Times New Roman"/>
          <w:sz w:val="24"/>
          <w:szCs w:val="24"/>
        </w:rPr>
        <w:t xml:space="preserve"> Implementing NFPA 1582</w:t>
      </w:r>
      <w:r w:rsidRPr="00E935C6">
        <w:rPr>
          <w:rFonts w:ascii="Times New Roman" w:hAnsi="Times New Roman"/>
          <w:sz w:val="24"/>
          <w:szCs w:val="24"/>
        </w:rPr>
        <w:t>:  C</w:t>
      </w:r>
      <w:r>
        <w:rPr>
          <w:rFonts w:ascii="Times New Roman" w:hAnsi="Times New Roman"/>
          <w:sz w:val="24"/>
          <w:szCs w:val="24"/>
        </w:rPr>
        <w:t>ategory B M</w:t>
      </w:r>
      <w:r w:rsidRPr="00E935C6">
        <w:rPr>
          <w:rFonts w:ascii="Times New Roman" w:hAnsi="Times New Roman"/>
          <w:sz w:val="24"/>
          <w:szCs w:val="24"/>
        </w:rPr>
        <w:t>edical Condition</w:t>
      </w:r>
      <w:r>
        <w:rPr>
          <w:rFonts w:ascii="Times New Roman" w:hAnsi="Times New Roman"/>
          <w:sz w:val="24"/>
          <w:szCs w:val="24"/>
        </w:rPr>
        <w:t>: “</w:t>
      </w:r>
      <w:r w:rsidRPr="00E935C6">
        <w:rPr>
          <w:rFonts w:ascii="Times New Roman" w:hAnsi="Times New Roman"/>
          <w:sz w:val="24"/>
          <w:szCs w:val="24"/>
        </w:rPr>
        <w:t xml:space="preserve">A condition that, based on its severity or degree, could preclude hire but only if despite the condition the candidate ‘can perform the essential job tasks without posing a significant safety and health risk to themselves, members, or civilians’.” </w:t>
      </w:r>
      <w:hyperlink r:id="rId1720" w:history="1">
        <w:r w:rsidRPr="00E935C6">
          <w:rPr>
            <w:rStyle w:val="Hyperlink"/>
            <w:rFonts w:ascii="Times New Roman" w:hAnsi="Times New Roman"/>
            <w:sz w:val="24"/>
            <w:szCs w:val="24"/>
          </w:rPr>
          <w:t>https://www.iafc.org/docs/default-source/1vcos/vws_rrkit_nfpa-1582.pdf?sfvrsn=ca9b9f0d_2</w:t>
        </w:r>
      </w:hyperlink>
      <w:r w:rsidRPr="00E935C6">
        <w:rPr>
          <w:rFonts w:ascii="Times New Roman" w:hAnsi="Times New Roman"/>
          <w:sz w:val="24"/>
          <w:szCs w:val="24"/>
        </w:rPr>
        <w:t xml:space="preserve"> </w:t>
      </w:r>
    </w:p>
    <w:p w14:paraId="48E516DD" w14:textId="43A4B99F" w:rsidR="007F3C7D" w:rsidRPr="007F3C7D" w:rsidRDefault="007F3C7D" w:rsidP="007F3C7D">
      <w:pPr>
        <w:pStyle w:val="NoSpacing"/>
        <w:ind w:left="720"/>
        <w:rPr>
          <w:rFonts w:ascii="Times New Roman" w:hAnsi="Times New Roman"/>
          <w:b/>
          <w:sz w:val="24"/>
          <w:szCs w:val="24"/>
        </w:rPr>
      </w:pPr>
      <w:r w:rsidRPr="007F3C7D">
        <w:rPr>
          <w:rFonts w:ascii="Times New Roman" w:hAnsi="Times New Roman"/>
          <w:sz w:val="24"/>
          <w:szCs w:val="24"/>
        </w:rPr>
        <w:t xml:space="preserve">See NFPA on hearing loss (9/27/2016 amendment). Category B medical conditions shall include the following: (1) Unequal hearing loss ….  </w:t>
      </w:r>
      <w:hyperlink r:id="rId1721" w:history="1">
        <w:r w:rsidRPr="007F3C7D">
          <w:rPr>
            <w:rStyle w:val="Hyperlink"/>
            <w:rFonts w:ascii="Times New Roman" w:hAnsi="Times New Roman"/>
            <w:sz w:val="24"/>
            <w:szCs w:val="24"/>
          </w:rPr>
          <w:t>https://www.nfpa.org/assets/files/AboutTheCodes/1582/1582_A2017_FIX_AAA_SD_SRStatements.pdf</w:t>
        </w:r>
      </w:hyperlink>
    </w:p>
    <w:p w14:paraId="418B1957" w14:textId="77777777" w:rsidR="005217D5" w:rsidRPr="00150169" w:rsidRDefault="005217D5" w:rsidP="005217D5">
      <w:pPr>
        <w:spacing w:before="100" w:beforeAutospacing="1" w:after="100" w:afterAutospacing="1" w:line="240" w:lineRule="auto"/>
        <w:rPr>
          <w:rFonts w:ascii="Times New Roman" w:hAnsi="Times New Roman"/>
          <w:b/>
          <w:bCs/>
          <w:sz w:val="24"/>
          <w:szCs w:val="24"/>
        </w:rPr>
      </w:pPr>
      <w:r w:rsidRPr="00150169">
        <w:rPr>
          <w:rFonts w:ascii="Times New Roman" w:hAnsi="Times New Roman"/>
          <w:b/>
          <w:bCs/>
          <w:sz w:val="24"/>
          <w:szCs w:val="24"/>
        </w:rPr>
        <w:t xml:space="preserve">Legal Lesson Learned: </w:t>
      </w:r>
      <w:r>
        <w:rPr>
          <w:rFonts w:ascii="Times New Roman" w:hAnsi="Times New Roman"/>
          <w:b/>
          <w:bCs/>
          <w:sz w:val="24"/>
          <w:szCs w:val="24"/>
        </w:rPr>
        <w:t xml:space="preserve">Plaintiff’s continuing work experience as a paramedic was reasonable basis to stop disability payments. </w:t>
      </w:r>
    </w:p>
    <w:p w14:paraId="015E7838" w14:textId="77777777" w:rsidR="007F3C7D" w:rsidRDefault="007F3C7D" w:rsidP="005C30A4">
      <w:pPr>
        <w:pStyle w:val="NoSpacing"/>
        <w:rPr>
          <w:rFonts w:ascii="Arial Black" w:hAnsi="Arial Black"/>
          <w:b/>
          <w:sz w:val="24"/>
          <w:szCs w:val="24"/>
        </w:rPr>
      </w:pPr>
    </w:p>
    <w:p w14:paraId="6CEFBDDD" w14:textId="77777777" w:rsidR="007F3C7D" w:rsidRDefault="007F3C7D" w:rsidP="005C30A4">
      <w:pPr>
        <w:pStyle w:val="NoSpacing"/>
        <w:rPr>
          <w:rFonts w:ascii="Arial Black" w:hAnsi="Arial Black"/>
          <w:b/>
          <w:sz w:val="24"/>
          <w:szCs w:val="24"/>
        </w:rPr>
      </w:pPr>
    </w:p>
    <w:p w14:paraId="2DDC3926" w14:textId="02461147" w:rsidR="007F3C7D" w:rsidRDefault="007F3C7D" w:rsidP="005C30A4">
      <w:pPr>
        <w:pStyle w:val="NoSpacing"/>
        <w:rPr>
          <w:rFonts w:ascii="Arial Black" w:hAnsi="Arial Black"/>
          <w:b/>
          <w:sz w:val="24"/>
          <w:szCs w:val="24"/>
        </w:rPr>
      </w:pPr>
      <w:r>
        <w:rPr>
          <w:rFonts w:ascii="Arial Black" w:hAnsi="Arial Black"/>
          <w:b/>
          <w:sz w:val="24"/>
          <w:szCs w:val="24"/>
        </w:rPr>
        <w:t>9-18</w:t>
      </w:r>
    </w:p>
    <w:p w14:paraId="1B234738" w14:textId="77777777" w:rsidR="007F3C7D" w:rsidRPr="006E0926" w:rsidRDefault="007F3C7D" w:rsidP="007F3C7D">
      <w:pPr>
        <w:rPr>
          <w:rFonts w:ascii="Arial Black" w:hAnsi="Arial Black"/>
          <w:sz w:val="28"/>
          <w:szCs w:val="28"/>
        </w:rPr>
      </w:pPr>
      <w:bookmarkStart w:id="351" w:name="_Hlk66948312"/>
      <w:r>
        <w:rPr>
          <w:rFonts w:ascii="Arial Black" w:hAnsi="Arial Black"/>
          <w:sz w:val="28"/>
          <w:szCs w:val="28"/>
        </w:rPr>
        <w:t>PA: CADET WITH PROSTHETIC LEG – FAILED EMS TESTING ON PATIENT CARE PROTOCOLS – ADA LAWSUIT DISMISSED</w:t>
      </w:r>
    </w:p>
    <w:p w14:paraId="336FEDE9" w14:textId="77777777" w:rsidR="007F3C7D" w:rsidRPr="0021077E" w:rsidRDefault="007F3C7D" w:rsidP="007F3C7D">
      <w:pPr>
        <w:rPr>
          <w:rFonts w:ascii="Times New Roman" w:hAnsi="Times New Roman"/>
          <w:sz w:val="24"/>
          <w:szCs w:val="24"/>
        </w:rPr>
      </w:pPr>
      <w:r w:rsidRPr="0021077E">
        <w:rPr>
          <w:rFonts w:ascii="Times New Roman" w:hAnsi="Times New Roman"/>
          <w:sz w:val="24"/>
          <w:szCs w:val="24"/>
        </w:rPr>
        <w:t xml:space="preserve">On Jan. 6, 2021, in </w:t>
      </w:r>
      <w:r w:rsidRPr="0021077E">
        <w:rPr>
          <w:rFonts w:ascii="Times New Roman" w:hAnsi="Times New Roman"/>
          <w:sz w:val="24"/>
          <w:szCs w:val="24"/>
          <w:u w:val="single"/>
        </w:rPr>
        <w:t xml:space="preserve">Chase Frost v. City </w:t>
      </w:r>
      <w:r>
        <w:rPr>
          <w:rFonts w:ascii="Times New Roman" w:hAnsi="Times New Roman"/>
          <w:sz w:val="24"/>
          <w:szCs w:val="24"/>
          <w:u w:val="single"/>
        </w:rPr>
        <w:t>o</w:t>
      </w:r>
      <w:r w:rsidRPr="0021077E">
        <w:rPr>
          <w:rFonts w:ascii="Times New Roman" w:hAnsi="Times New Roman"/>
          <w:sz w:val="24"/>
          <w:szCs w:val="24"/>
          <w:u w:val="single"/>
        </w:rPr>
        <w:t>f Philadelphia</w:t>
      </w:r>
      <w:r w:rsidRPr="0021077E">
        <w:rPr>
          <w:rFonts w:ascii="Times New Roman" w:hAnsi="Times New Roman"/>
          <w:sz w:val="24"/>
          <w:szCs w:val="24"/>
        </w:rPr>
        <w:t xml:space="preserve">, </w:t>
      </w:r>
      <w:r>
        <w:rPr>
          <w:rFonts w:ascii="Times New Roman" w:hAnsi="Times New Roman"/>
          <w:sz w:val="24"/>
          <w:szCs w:val="24"/>
        </w:rPr>
        <w:t xml:space="preserve">the U.S. Court of Appeals for the Third Circuit, held (3 to 0; non precedential decision) that the U.S. District Court judge properly granted summary judgment for the City in its decision to terminate the cadet.  </w:t>
      </w:r>
    </w:p>
    <w:bookmarkEnd w:id="351"/>
    <w:p w14:paraId="6806D0D2" w14:textId="77777777" w:rsidR="007F3C7D" w:rsidRDefault="007F3C7D" w:rsidP="007F3C7D">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21077E">
        <w:rPr>
          <w:rFonts w:ascii="Times New Roman" w:hAnsi="Times New Roman"/>
          <w:sz w:val="24"/>
          <w:szCs w:val="24"/>
        </w:rPr>
        <w:t xml:space="preserve">Frost alleges that he was terminated from the 2016 Fire Academy because of his disability. The District Court held that although Frost met his initial burden to establish a prima facie case of wrongful </w:t>
      </w:r>
      <w:r w:rsidRPr="0021077E">
        <w:rPr>
          <w:rFonts w:ascii="Times New Roman" w:hAnsi="Times New Roman"/>
          <w:sz w:val="24"/>
          <w:szCs w:val="24"/>
        </w:rPr>
        <w:lastRenderedPageBreak/>
        <w:t>termination, he failed to establish that the City's nondiscriminatory reason for his termination, because of his failed re-test, was pretextual. We agree that Frost cannot show pretext.</w:t>
      </w:r>
      <w:r>
        <w:rPr>
          <w:rFonts w:ascii="Times New Roman" w:hAnsi="Times New Roman"/>
          <w:sz w:val="24"/>
          <w:szCs w:val="24"/>
        </w:rPr>
        <w:t xml:space="preserve"> </w:t>
      </w:r>
    </w:p>
    <w:p w14:paraId="6885E593" w14:textId="77777777" w:rsidR="007F3C7D" w:rsidRPr="0021077E" w:rsidRDefault="007F3C7D" w:rsidP="007F3C7D">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73C517B5" w14:textId="77777777" w:rsidR="007F3C7D" w:rsidRDefault="007F3C7D" w:rsidP="007F3C7D">
      <w:pPr>
        <w:spacing w:before="100" w:beforeAutospacing="1" w:after="100" w:afterAutospacing="1" w:line="240" w:lineRule="auto"/>
        <w:ind w:left="720"/>
        <w:rPr>
          <w:rFonts w:ascii="Times New Roman" w:eastAsia="Times New Roman" w:hAnsi="Times New Roman"/>
          <w:sz w:val="24"/>
          <w:szCs w:val="24"/>
        </w:rPr>
      </w:pPr>
      <w:r w:rsidRPr="006E0926">
        <w:rPr>
          <w:rFonts w:ascii="Times New Roman" w:eastAsia="Times New Roman" w:hAnsi="Times New Roman"/>
          <w:sz w:val="24"/>
          <w:szCs w:val="24"/>
        </w:rPr>
        <w:t>He has not</w:t>
      </w:r>
      <w:r w:rsidRPr="0021077E">
        <w:rPr>
          <w:rFonts w:ascii="Times New Roman" w:eastAsia="Times New Roman" w:hAnsi="Times New Roman"/>
          <w:sz w:val="24"/>
          <w:szCs w:val="24"/>
        </w:rPr>
        <w:t xml:space="preserve"> </w:t>
      </w:r>
      <w:r w:rsidRPr="006E0926">
        <w:rPr>
          <w:rFonts w:ascii="Times New Roman" w:eastAsia="Times New Roman" w:hAnsi="Times New Roman"/>
          <w:sz w:val="24"/>
          <w:szCs w:val="24"/>
        </w:rPr>
        <w:t>produced a cadet who failed a re-test and was treated more favorably than him. In fact, all other cadets who failed re-tests were also terminated. Other cadets who are not similarly situated cannot be used to establish pretext. Frost has not offered any other reason to believe that the City's proffered reason for his termination was pretextual.</w:t>
      </w:r>
      <w:r>
        <w:rPr>
          <w:rFonts w:ascii="Times New Roman" w:eastAsia="Times New Roman" w:hAnsi="Times New Roman"/>
          <w:sz w:val="24"/>
          <w:szCs w:val="24"/>
        </w:rPr>
        <w:t>”</w:t>
      </w:r>
      <w:r w:rsidRPr="0021077E">
        <w:t xml:space="preserve"> </w:t>
      </w:r>
      <w:bookmarkStart w:id="352" w:name="_Hlk66948333"/>
      <w:r w:rsidR="00F00958">
        <w:fldChar w:fldCharType="begin"/>
      </w:r>
      <w:r w:rsidR="00F00958">
        <w:instrText xml:space="preserve"> HYPERLINK "https://law.justia.com/cases/federal/appellate-courts/ca3/19-2636/19-2636-2021-01-06.html" </w:instrText>
      </w:r>
      <w:r w:rsidR="00F00958">
        <w:fldChar w:fldCharType="separate"/>
      </w:r>
      <w:r w:rsidRPr="00741B4E">
        <w:rPr>
          <w:rStyle w:val="Hyperlink"/>
          <w:rFonts w:ascii="Times New Roman" w:eastAsia="Times New Roman" w:hAnsi="Times New Roman"/>
          <w:sz w:val="24"/>
          <w:szCs w:val="24"/>
        </w:rPr>
        <w:t>https://law.justia.com/cases/federal/appellate-courts/ca3/19-2636/19-2636-2021-01-06.html</w:t>
      </w:r>
      <w:r w:rsidR="00F00958">
        <w:rPr>
          <w:rStyle w:val="Hyperlink"/>
          <w:rFonts w:ascii="Times New Roman" w:eastAsia="Times New Roman" w:hAnsi="Times New Roman"/>
          <w:sz w:val="24"/>
          <w:szCs w:val="24"/>
        </w:rPr>
        <w:fldChar w:fldCharType="end"/>
      </w:r>
      <w:r>
        <w:rPr>
          <w:rFonts w:ascii="Times New Roman" w:eastAsia="Times New Roman" w:hAnsi="Times New Roman"/>
          <w:sz w:val="24"/>
          <w:szCs w:val="24"/>
        </w:rPr>
        <w:t xml:space="preserve"> </w:t>
      </w:r>
    </w:p>
    <w:p w14:paraId="7775D916" w14:textId="77777777" w:rsidR="007F3C7D" w:rsidRPr="00CF503B" w:rsidRDefault="007F3C7D" w:rsidP="007F3C7D">
      <w:pPr>
        <w:pStyle w:val="NormalWeb"/>
        <w:rPr>
          <w:b/>
          <w:bCs/>
        </w:rPr>
      </w:pPr>
      <w:r w:rsidRPr="00CF503B">
        <w:rPr>
          <w:b/>
          <w:bCs/>
        </w:rPr>
        <w:t>Legal Lesson Learned:</w:t>
      </w:r>
      <w:r>
        <w:rPr>
          <w:b/>
          <w:bCs/>
        </w:rPr>
        <w:t xml:space="preserve">  It is unfortunate that this disabled cadet failed the patient protocol exam, but this is an essential job requirement. </w:t>
      </w:r>
    </w:p>
    <w:bookmarkEnd w:id="352"/>
    <w:p w14:paraId="5F507C3E" w14:textId="77777777" w:rsidR="007F3C7D" w:rsidRDefault="007F3C7D" w:rsidP="005C30A4">
      <w:pPr>
        <w:pStyle w:val="NoSpacing"/>
        <w:rPr>
          <w:rFonts w:ascii="Arial Black" w:hAnsi="Arial Black"/>
          <w:b/>
          <w:sz w:val="24"/>
          <w:szCs w:val="24"/>
        </w:rPr>
      </w:pPr>
    </w:p>
    <w:p w14:paraId="05E13BEC" w14:textId="77777777" w:rsidR="007F3C7D" w:rsidRDefault="007F3C7D" w:rsidP="005C30A4">
      <w:pPr>
        <w:pStyle w:val="NoSpacing"/>
        <w:rPr>
          <w:rFonts w:ascii="Arial Black" w:hAnsi="Arial Black"/>
          <w:b/>
          <w:sz w:val="24"/>
          <w:szCs w:val="24"/>
        </w:rPr>
      </w:pPr>
    </w:p>
    <w:p w14:paraId="1308F5A5" w14:textId="2DBB4F62" w:rsidR="00383EFC" w:rsidRPr="0031119E" w:rsidRDefault="00383EFC" w:rsidP="005C30A4">
      <w:pPr>
        <w:pStyle w:val="NoSpacing"/>
        <w:rPr>
          <w:rFonts w:ascii="Times New Roman" w:hAnsi="Times New Roman"/>
          <w:bCs/>
          <w:sz w:val="24"/>
          <w:szCs w:val="24"/>
        </w:rPr>
      </w:pPr>
      <w:r>
        <w:rPr>
          <w:rFonts w:ascii="Arial Black" w:hAnsi="Arial Black"/>
          <w:b/>
          <w:sz w:val="24"/>
          <w:szCs w:val="24"/>
        </w:rPr>
        <w:t>9-1</w:t>
      </w:r>
      <w:r w:rsidR="0031119E">
        <w:rPr>
          <w:rFonts w:ascii="Arial Black" w:hAnsi="Arial Black"/>
          <w:b/>
          <w:sz w:val="24"/>
          <w:szCs w:val="24"/>
        </w:rPr>
        <w:t xml:space="preserve">7 </w:t>
      </w:r>
      <w:r w:rsidR="0031119E">
        <w:rPr>
          <w:rFonts w:ascii="Times New Roman" w:hAnsi="Times New Roman"/>
          <w:bCs/>
          <w:sz w:val="24"/>
          <w:szCs w:val="24"/>
        </w:rPr>
        <w:t xml:space="preserve">[Also filed, Chap. 8] </w:t>
      </w:r>
    </w:p>
    <w:p w14:paraId="51D05885" w14:textId="77777777" w:rsidR="00383EFC" w:rsidRPr="00C03B09" w:rsidRDefault="00383EFC" w:rsidP="00383EFC">
      <w:pPr>
        <w:pStyle w:val="NoSpacing"/>
        <w:rPr>
          <w:rFonts w:ascii="Arial Black" w:hAnsi="Arial Black"/>
          <w:sz w:val="28"/>
          <w:szCs w:val="28"/>
        </w:rPr>
      </w:pPr>
      <w:bookmarkStart w:id="353" w:name="_Hlk57626474"/>
      <w:r>
        <w:rPr>
          <w:rFonts w:ascii="Arial Black" w:hAnsi="Arial Black"/>
          <w:sz w:val="28"/>
          <w:szCs w:val="28"/>
        </w:rPr>
        <w:t xml:space="preserve">FL:  FDNY CHANGED GROOMING POLICY – REQUIRES CLEAN SHAVE – NOW ON APPEAL – JACKSONVILLE FF LAWSUIT </w:t>
      </w:r>
    </w:p>
    <w:p w14:paraId="40E0D656" w14:textId="77777777" w:rsidR="00383EFC" w:rsidRPr="00473C64" w:rsidRDefault="00383EFC" w:rsidP="00383EFC">
      <w:pPr>
        <w:spacing w:before="100" w:beforeAutospacing="1" w:after="100" w:afterAutospacing="1" w:line="240" w:lineRule="auto"/>
        <w:rPr>
          <w:rFonts w:ascii="Times New Roman" w:hAnsi="Times New Roman"/>
          <w:sz w:val="24"/>
          <w:szCs w:val="24"/>
        </w:rPr>
      </w:pPr>
      <w:r w:rsidRPr="00473C64">
        <w:rPr>
          <w:rFonts w:ascii="Times New Roman" w:hAnsi="Times New Roman"/>
          <w:sz w:val="24"/>
          <w:szCs w:val="24"/>
        </w:rPr>
        <w:t xml:space="preserve">Nov. 25, 2020, “Black firefighters sue over Jacksonville policy requiring crews to be cleanshaven.”  It </w:t>
      </w:r>
      <w:proofErr w:type="gramStart"/>
      <w:r w:rsidRPr="00473C64">
        <w:rPr>
          <w:rFonts w:ascii="Times New Roman" w:hAnsi="Times New Roman"/>
          <w:sz w:val="24"/>
          <w:szCs w:val="24"/>
        </w:rPr>
        <w:t>referenced</w:t>
      </w:r>
      <w:proofErr w:type="gramEnd"/>
      <w:r w:rsidRPr="00473C64">
        <w:rPr>
          <w:rFonts w:ascii="Times New Roman" w:hAnsi="Times New Roman"/>
          <w:sz w:val="24"/>
          <w:szCs w:val="24"/>
        </w:rPr>
        <w:t xml:space="preserve"> a lawsuit by FDNY firefighters. </w:t>
      </w:r>
      <w:hyperlink r:id="rId1722" w:history="1">
        <w:r w:rsidRPr="00473C64">
          <w:rPr>
            <w:rStyle w:val="Hyperlink"/>
            <w:rFonts w:ascii="Times New Roman" w:hAnsi="Times New Roman"/>
            <w:sz w:val="24"/>
            <w:szCs w:val="24"/>
          </w:rPr>
          <w:t>https://www.jacksonville.com/story/news/courts/2020/11/25/jacksonville-lawsuit-cleanshaven-rule-unfair-black-firefighters/6406374002/</w:t>
        </w:r>
      </w:hyperlink>
    </w:p>
    <w:p w14:paraId="0C8B69ED" w14:textId="77777777" w:rsidR="00383EFC" w:rsidRDefault="00383EFC" w:rsidP="00383EFC">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The City of New York lost their case on Jan. 29, 2020, and has filed an appeal to the U.S. Court of Appeals for Second District. </w:t>
      </w:r>
      <w:r>
        <w:rPr>
          <w:rFonts w:ascii="Times New Roman" w:hAnsi="Times New Roman"/>
          <w:sz w:val="24"/>
          <w:szCs w:val="24"/>
        </w:rPr>
        <w:t xml:space="preserve">On July 2, 2020, the plaintiff firefighters filed their reply brief in the U.S. Court of Appeals for Second Circuit. </w:t>
      </w:r>
      <w:hyperlink r:id="rId1723" w:history="1">
        <w:r w:rsidRPr="007578D7">
          <w:rPr>
            <w:rStyle w:val="Hyperlink"/>
            <w:rFonts w:ascii="Times New Roman" w:hAnsi="Times New Roman"/>
            <w:sz w:val="24"/>
            <w:szCs w:val="24"/>
          </w:rPr>
          <w:t>https://www.law.georgetown.edu/icap/wp-content/uploads/sites/32/2020/07/Bey-2d-Cir.-Opening-Brief-FINAL-7-7-2020.pdf</w:t>
        </w:r>
      </w:hyperlink>
      <w:r>
        <w:rPr>
          <w:rFonts w:ascii="Times New Roman" w:hAnsi="Times New Roman"/>
          <w:sz w:val="24"/>
          <w:szCs w:val="24"/>
        </w:rPr>
        <w:t xml:space="preserve"> </w:t>
      </w:r>
    </w:p>
    <w:p w14:paraId="5B6B63EA" w14:textId="77777777" w:rsidR="00383EFC" w:rsidRDefault="00383EFC" w:rsidP="00383EFC">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Jan. 29, 2020, in </w:t>
      </w:r>
      <w:r w:rsidRPr="00D115C7">
        <w:rPr>
          <w:rFonts w:ascii="Times New Roman" w:eastAsia="Times New Roman" w:hAnsi="Times New Roman"/>
          <w:sz w:val="24"/>
          <w:szCs w:val="24"/>
          <w:u w:val="single"/>
        </w:rPr>
        <w:t>Salik Bey, et al. v. City of New York, Daniel Nigro, et al</w:t>
      </w:r>
      <w:r>
        <w:rPr>
          <w:rFonts w:ascii="Times New Roman" w:eastAsia="Times New Roman" w:hAnsi="Times New Roman"/>
          <w:sz w:val="24"/>
          <w:szCs w:val="24"/>
        </w:rPr>
        <w:t>., 437 F. Supp. 3</w:t>
      </w:r>
      <w:r w:rsidRPr="009562EF">
        <w:rPr>
          <w:rFonts w:ascii="Times New Roman" w:eastAsia="Times New Roman" w:hAnsi="Times New Roman"/>
          <w:sz w:val="24"/>
          <w:szCs w:val="24"/>
          <w:vertAlign w:val="superscript"/>
        </w:rPr>
        <w:t>rd</w:t>
      </w:r>
      <w:r>
        <w:rPr>
          <w:rFonts w:ascii="Times New Roman" w:eastAsia="Times New Roman" w:hAnsi="Times New Roman"/>
          <w:sz w:val="24"/>
          <w:szCs w:val="24"/>
        </w:rPr>
        <w:t xml:space="preserve"> 2222, Senior U.S. District Court Judge Jack B. Weinstein, U.S. District Court for Eastern District of New York ordered FDNY to return to their former grooming policy (Aug. 2015 – Dec. 2017) which allowed </w:t>
      </w:r>
      <w:r w:rsidRPr="00CB7445">
        <w:rPr>
          <w:rFonts w:ascii="Times New Roman" w:eastAsia="Times New Roman" w:hAnsi="Times New Roman"/>
          <w:sz w:val="24"/>
          <w:szCs w:val="24"/>
        </w:rPr>
        <w:t>facial hair in the chin, cheek and neck area if it did not cause leakage around the mask's seal</w:t>
      </w:r>
      <w:r>
        <w:rPr>
          <w:rFonts w:ascii="Times New Roman" w:eastAsia="Times New Roman" w:hAnsi="Times New Roman"/>
          <w:sz w:val="24"/>
          <w:szCs w:val="24"/>
        </w:rPr>
        <w:t>.   Under the new policy: “</w:t>
      </w:r>
      <w:r w:rsidRPr="00313B2C">
        <w:rPr>
          <w:rFonts w:ascii="Times New Roman" w:hAnsi="Times New Roman"/>
          <w:sz w:val="24"/>
          <w:szCs w:val="24"/>
        </w:rPr>
        <w:t>If Plaintiffs shaved all facial hair in the chin area, they would maintain their status as full duty firefighters; otherwise, they would be placed on light duty.</w:t>
      </w:r>
      <w:r>
        <w:rPr>
          <w:rFonts w:ascii="Times New Roman" w:hAnsi="Times New Roman"/>
          <w:sz w:val="24"/>
          <w:szCs w:val="24"/>
        </w:rPr>
        <w:t xml:space="preserve">” </w:t>
      </w:r>
    </w:p>
    <w:p w14:paraId="41E4F867" w14:textId="77777777" w:rsidR="00383EFC" w:rsidRDefault="00383EFC" w:rsidP="00383EFC">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Judge Weinstein’s decision: </w:t>
      </w:r>
    </w:p>
    <w:p w14:paraId="081A4C95" w14:textId="77777777" w:rsidR="00383EFC" w:rsidRDefault="00383EFC" w:rsidP="00383EFC">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FC3A40">
        <w:rPr>
          <w:rFonts w:ascii="Times New Roman" w:hAnsi="Times New Roman"/>
          <w:sz w:val="24"/>
          <w:szCs w:val="24"/>
        </w:rPr>
        <w:t xml:space="preserve">Defendants admit that no heightened safety risk to firefighters or the public was presented by the accommodation previously in effect. Two and a half years passed without incident, and Plaintiffs continued to perform their jobs satisfactorily. </w:t>
      </w:r>
      <w:proofErr w:type="gramStart"/>
      <w:r w:rsidRPr="00FC3A40">
        <w:rPr>
          <w:rFonts w:ascii="Times New Roman" w:hAnsi="Times New Roman"/>
          <w:sz w:val="24"/>
          <w:szCs w:val="24"/>
        </w:rPr>
        <w:t>The FDNY's</w:t>
      </w:r>
      <w:proofErr w:type="gramEnd"/>
      <w:r w:rsidRPr="00FC3A40">
        <w:rPr>
          <w:rFonts w:ascii="Times New Roman" w:hAnsi="Times New Roman"/>
          <w:sz w:val="24"/>
          <w:szCs w:val="24"/>
        </w:rPr>
        <w:t xml:space="preserve"> decision to abandon the prior accommodation was not based on any actual safety risks to firefighters or the public. Rather, driving the calculus was bureaucracy. Defendants cite no case law indicating that such bureaucratic considerations are a viable undue hardship defense; the court declines </w:t>
      </w:r>
      <w:proofErr w:type="gramStart"/>
      <w:r w:rsidRPr="00FC3A40">
        <w:rPr>
          <w:rFonts w:ascii="Times New Roman" w:hAnsi="Times New Roman"/>
          <w:sz w:val="24"/>
          <w:szCs w:val="24"/>
        </w:rPr>
        <w:t>to so</w:t>
      </w:r>
      <w:proofErr w:type="gramEnd"/>
      <w:r w:rsidRPr="00FC3A40">
        <w:rPr>
          <w:rFonts w:ascii="Times New Roman" w:hAnsi="Times New Roman"/>
          <w:sz w:val="24"/>
          <w:szCs w:val="24"/>
        </w:rPr>
        <w:t xml:space="preserve"> find</w:t>
      </w:r>
      <w:proofErr w:type="gramStart"/>
      <w:r>
        <w:rPr>
          <w:rFonts w:ascii="Times New Roman" w:hAnsi="Times New Roman"/>
          <w:sz w:val="24"/>
          <w:szCs w:val="24"/>
        </w:rPr>
        <w:t>.”</w:t>
      </w:r>
      <w:proofErr w:type="gramEnd"/>
      <w:r>
        <w:rPr>
          <w:rFonts w:ascii="Times New Roman" w:hAnsi="Times New Roman"/>
          <w:sz w:val="24"/>
          <w:szCs w:val="24"/>
        </w:rPr>
        <w:t xml:space="preserve"> </w:t>
      </w:r>
      <w:hyperlink r:id="rId1724" w:history="1">
        <w:r w:rsidRPr="007578D7">
          <w:rPr>
            <w:rStyle w:val="Hyperlink"/>
            <w:rFonts w:ascii="Times New Roman" w:hAnsi="Times New Roman"/>
            <w:sz w:val="24"/>
            <w:szCs w:val="24"/>
          </w:rPr>
          <w:t>https://casetext.com/case/bey-v-city-of-ny-7</w:t>
        </w:r>
      </w:hyperlink>
    </w:p>
    <w:bookmarkEnd w:id="353"/>
    <w:p w14:paraId="19E80FEF" w14:textId="77777777" w:rsidR="00383EFC" w:rsidRPr="00FC3A40" w:rsidRDefault="00383EFC" w:rsidP="00383EFC">
      <w:pPr>
        <w:tabs>
          <w:tab w:val="left" w:pos="2810"/>
        </w:tabs>
        <w:spacing w:before="100" w:beforeAutospacing="1" w:after="100" w:afterAutospacing="1" w:line="240" w:lineRule="auto"/>
        <w:rPr>
          <w:rFonts w:ascii="Times New Roman" w:hAnsi="Times New Roman"/>
          <w:b/>
          <w:bCs/>
          <w:sz w:val="24"/>
          <w:szCs w:val="24"/>
        </w:rPr>
      </w:pPr>
      <w:r w:rsidRPr="00FC3A40">
        <w:rPr>
          <w:rFonts w:ascii="Times New Roman" w:hAnsi="Times New Roman"/>
          <w:b/>
          <w:bCs/>
          <w:sz w:val="24"/>
          <w:szCs w:val="24"/>
        </w:rPr>
        <w:t>Legal Lesson Learned</w:t>
      </w:r>
      <w:r>
        <w:rPr>
          <w:rFonts w:ascii="Times New Roman" w:hAnsi="Times New Roman"/>
          <w:b/>
          <w:bCs/>
          <w:sz w:val="24"/>
          <w:szCs w:val="24"/>
        </w:rPr>
        <w:t xml:space="preserve">: The FDNY case will now be decided by the U.S. Court of Appeals for the Second Circuit.  The Jacksonville FD case will proceed </w:t>
      </w:r>
      <w:proofErr w:type="gramStart"/>
      <w:r>
        <w:rPr>
          <w:rFonts w:ascii="Times New Roman" w:hAnsi="Times New Roman"/>
          <w:b/>
          <w:bCs/>
          <w:sz w:val="24"/>
          <w:szCs w:val="24"/>
        </w:rPr>
        <w:t>to</w:t>
      </w:r>
      <w:proofErr w:type="gramEnd"/>
      <w:r>
        <w:rPr>
          <w:rFonts w:ascii="Times New Roman" w:hAnsi="Times New Roman"/>
          <w:b/>
          <w:bCs/>
          <w:sz w:val="24"/>
          <w:szCs w:val="24"/>
        </w:rPr>
        <w:t xml:space="preserve"> pre-trial discovery.   </w:t>
      </w:r>
    </w:p>
    <w:p w14:paraId="6C92ABA9" w14:textId="77777777" w:rsidR="00383EFC" w:rsidRDefault="00383EFC" w:rsidP="005C30A4">
      <w:pPr>
        <w:pStyle w:val="NoSpacing"/>
        <w:rPr>
          <w:rFonts w:ascii="Arial Black" w:hAnsi="Arial Black"/>
          <w:b/>
          <w:sz w:val="24"/>
          <w:szCs w:val="24"/>
        </w:rPr>
      </w:pPr>
    </w:p>
    <w:p w14:paraId="09A00A6A" w14:textId="77777777" w:rsidR="00383EFC" w:rsidRDefault="00383EFC" w:rsidP="005C30A4">
      <w:pPr>
        <w:pStyle w:val="NoSpacing"/>
        <w:rPr>
          <w:rFonts w:ascii="Arial Black" w:hAnsi="Arial Black"/>
          <w:b/>
          <w:sz w:val="24"/>
          <w:szCs w:val="24"/>
        </w:rPr>
      </w:pPr>
    </w:p>
    <w:p w14:paraId="4269CF3B" w14:textId="53288709" w:rsidR="00DD03E3" w:rsidRDefault="00DD03E3" w:rsidP="005C30A4">
      <w:pPr>
        <w:pStyle w:val="NoSpacing"/>
        <w:rPr>
          <w:rFonts w:ascii="Arial Black" w:hAnsi="Arial Black"/>
          <w:b/>
          <w:sz w:val="24"/>
          <w:szCs w:val="24"/>
        </w:rPr>
      </w:pPr>
      <w:r>
        <w:rPr>
          <w:rFonts w:ascii="Arial Black" w:hAnsi="Arial Black"/>
          <w:b/>
          <w:sz w:val="24"/>
          <w:szCs w:val="24"/>
        </w:rPr>
        <w:t>9</w:t>
      </w:r>
      <w:r w:rsidR="00383EFC">
        <w:rPr>
          <w:rFonts w:ascii="Arial Black" w:hAnsi="Arial Black"/>
          <w:b/>
          <w:sz w:val="24"/>
          <w:szCs w:val="24"/>
        </w:rPr>
        <w:t>-</w:t>
      </w:r>
      <w:r>
        <w:rPr>
          <w:rFonts w:ascii="Arial Black" w:hAnsi="Arial Black"/>
          <w:b/>
          <w:sz w:val="24"/>
          <w:szCs w:val="24"/>
        </w:rPr>
        <w:t>16</w:t>
      </w:r>
    </w:p>
    <w:p w14:paraId="7E0471FE" w14:textId="77777777" w:rsidR="00DD03E3" w:rsidRPr="00371299" w:rsidRDefault="00DD03E3" w:rsidP="00DD03E3">
      <w:pPr>
        <w:spacing w:before="100" w:beforeAutospacing="1" w:after="100" w:afterAutospacing="1" w:line="240" w:lineRule="auto"/>
        <w:rPr>
          <w:rFonts w:ascii="Arial Black" w:eastAsia="Times New Roman" w:hAnsi="Arial Black"/>
          <w:b/>
          <w:bCs/>
          <w:sz w:val="28"/>
          <w:szCs w:val="28"/>
        </w:rPr>
      </w:pPr>
      <w:r w:rsidRPr="00371299">
        <w:rPr>
          <w:rFonts w:ascii="Arial Black" w:eastAsia="Times New Roman" w:hAnsi="Arial Black"/>
          <w:b/>
          <w:bCs/>
          <w:sz w:val="28"/>
          <w:szCs w:val="28"/>
        </w:rPr>
        <w:t>AL:</w:t>
      </w:r>
      <w:r>
        <w:rPr>
          <w:rFonts w:ascii="Arial Black" w:eastAsia="Times New Roman" w:hAnsi="Arial Black"/>
          <w:b/>
          <w:bCs/>
          <w:sz w:val="28"/>
          <w:szCs w:val="28"/>
        </w:rPr>
        <w:t xml:space="preserve"> BATTALION CHIEF INJURED NECK IN OFF DUTY MVA – AFTER LIGHT DUTY PERIOD, ORDERED BACK TO 24-HRS – NO ADA VIOL. </w:t>
      </w:r>
    </w:p>
    <w:p w14:paraId="0B9614DD" w14:textId="77777777" w:rsidR="00DD03E3" w:rsidRDefault="00DD03E3" w:rsidP="00DD03E3">
      <w:pPr>
        <w:spacing w:before="100" w:beforeAutospacing="1" w:after="100" w:afterAutospacing="1" w:line="240" w:lineRule="auto"/>
        <w:rPr>
          <w:rFonts w:ascii="Times New Roman" w:eastAsia="Times New Roman" w:hAnsi="Times New Roman"/>
          <w:sz w:val="24"/>
          <w:szCs w:val="24"/>
        </w:rPr>
      </w:pPr>
      <w:r w:rsidRPr="008538E8">
        <w:rPr>
          <w:rFonts w:ascii="Times New Roman" w:eastAsia="Times New Roman" w:hAnsi="Times New Roman"/>
          <w:sz w:val="24"/>
          <w:szCs w:val="24"/>
        </w:rPr>
        <w:t xml:space="preserve">On Oct. 2, 2020, in </w:t>
      </w:r>
      <w:r w:rsidRPr="008538E8">
        <w:rPr>
          <w:rFonts w:ascii="Times New Roman" w:eastAsia="Times New Roman" w:hAnsi="Times New Roman"/>
          <w:sz w:val="24"/>
          <w:szCs w:val="24"/>
          <w:u w:val="single"/>
        </w:rPr>
        <w:t>Jay Hawthorne v. City of Prattville</w:t>
      </w:r>
      <w:r w:rsidRPr="008538E8">
        <w:rPr>
          <w:rFonts w:ascii="Times New Roman" w:eastAsia="Times New Roman" w:hAnsi="Times New Roman"/>
          <w:sz w:val="24"/>
          <w:szCs w:val="24"/>
        </w:rPr>
        <w:t xml:space="preserve">, </w:t>
      </w:r>
      <w:r>
        <w:rPr>
          <w:rFonts w:ascii="Times New Roman" w:eastAsia="Times New Roman" w:hAnsi="Times New Roman"/>
          <w:sz w:val="24"/>
          <w:szCs w:val="24"/>
        </w:rPr>
        <w:t xml:space="preserve">U.S. District Court Judge R. Austin Huffaker, Jr., Northern District of Alabama, granted the City’s motion for summary judgment.  Here’s the timeline after the March 31, </w:t>
      </w:r>
      <w:proofErr w:type="gramStart"/>
      <w:r>
        <w:rPr>
          <w:rFonts w:ascii="Times New Roman" w:eastAsia="Times New Roman" w:hAnsi="Times New Roman"/>
          <w:sz w:val="24"/>
          <w:szCs w:val="24"/>
        </w:rPr>
        <w:t>2017</w:t>
      </w:r>
      <w:proofErr w:type="gramEnd"/>
      <w:r>
        <w:rPr>
          <w:rFonts w:ascii="Times New Roman" w:eastAsia="Times New Roman" w:hAnsi="Times New Roman"/>
          <w:sz w:val="24"/>
          <w:szCs w:val="24"/>
        </w:rPr>
        <w:t xml:space="preserve"> MVA:  Battalion Chief granted light duty (8-hour clerical) from Oct. 23, </w:t>
      </w:r>
      <w:proofErr w:type="gramStart"/>
      <w:r>
        <w:rPr>
          <w:rFonts w:ascii="Times New Roman" w:eastAsia="Times New Roman" w:hAnsi="Times New Roman"/>
          <w:sz w:val="24"/>
          <w:szCs w:val="24"/>
        </w:rPr>
        <w:t>2017</w:t>
      </w:r>
      <w:proofErr w:type="gramEnd"/>
      <w:r>
        <w:rPr>
          <w:rFonts w:ascii="Times New Roman" w:eastAsia="Times New Roman" w:hAnsi="Times New Roman"/>
          <w:sz w:val="24"/>
          <w:szCs w:val="24"/>
        </w:rPr>
        <w:t xml:space="preserve"> until medically cleared back to work on May 2, 2018.  That day he was re-injured in quarterly physical fitness testing; returned to work May 20, 2018 (15-pound lifting restriction), and City put him back to 24-hour shift; he was denied 8-hour shift and given his continuing physical limitations, on Aug. 15, 2018 he was removed from active service, to go on worker’s comp (retired Sept. 17, 2019).</w:t>
      </w:r>
    </w:p>
    <w:p w14:paraId="17AB11DE" w14:textId="77777777" w:rsidR="00DD03E3" w:rsidRDefault="00DD03E3" w:rsidP="00DD03E3">
      <w:pPr>
        <w:tabs>
          <w:tab w:val="left" w:pos="3000"/>
        </w:tabs>
        <w:spacing w:before="100" w:beforeAutospacing="1" w:after="100" w:afterAutospacing="1" w:line="240" w:lineRule="auto"/>
        <w:ind w:left="720"/>
        <w:rPr>
          <w:rFonts w:ascii="Times New Roman" w:eastAsia="Times New Roman" w:hAnsi="Times New Roman"/>
          <w:b/>
          <w:bCs/>
          <w:sz w:val="24"/>
          <w:szCs w:val="24"/>
        </w:rPr>
      </w:pPr>
      <w:r>
        <w:rPr>
          <w:rFonts w:ascii="Times New Roman" w:eastAsia="Times New Roman" w:hAnsi="Times New Roman"/>
          <w:sz w:val="24"/>
          <w:szCs w:val="24"/>
        </w:rPr>
        <w:t xml:space="preserve"> “[A]n </w:t>
      </w:r>
      <w:r w:rsidRPr="00FF23B7">
        <w:rPr>
          <w:rFonts w:ascii="Times New Roman" w:hAnsi="Times New Roman"/>
          <w:sz w:val="24"/>
          <w:szCs w:val="24"/>
        </w:rPr>
        <w:t xml:space="preserve">employer is not obligated to </w:t>
      </w:r>
      <w:r>
        <w:rPr>
          <w:rFonts w:ascii="Times New Roman" w:hAnsi="Times New Roman"/>
          <w:sz w:val="24"/>
          <w:szCs w:val="24"/>
        </w:rPr>
        <w:t>‘</w:t>
      </w:r>
      <w:r w:rsidRPr="00FF23B7">
        <w:rPr>
          <w:rFonts w:ascii="Times New Roman" w:hAnsi="Times New Roman"/>
          <w:sz w:val="24"/>
          <w:szCs w:val="24"/>
        </w:rPr>
        <w:t>bump</w:t>
      </w:r>
      <w:r>
        <w:rPr>
          <w:rFonts w:ascii="Times New Roman" w:hAnsi="Times New Roman"/>
          <w:sz w:val="24"/>
          <w:szCs w:val="24"/>
        </w:rPr>
        <w:t>’</w:t>
      </w:r>
      <w:r w:rsidRPr="00FF23B7">
        <w:rPr>
          <w:rFonts w:ascii="Times New Roman" w:hAnsi="Times New Roman"/>
          <w:sz w:val="24"/>
          <w:szCs w:val="24"/>
        </w:rPr>
        <w:t xml:space="preserve"> another employee from a position to accommodate a disabled employee. </w:t>
      </w:r>
      <w:r w:rsidRPr="00FF23B7">
        <w:rPr>
          <w:rFonts w:ascii="Times New Roman" w:hAnsi="Times New Roman"/>
          <w:i/>
          <w:iCs/>
          <w:sz w:val="24"/>
          <w:szCs w:val="24"/>
        </w:rPr>
        <w:t>Lucas</w:t>
      </w:r>
      <w:r w:rsidRPr="00FF23B7">
        <w:rPr>
          <w:rFonts w:ascii="Times New Roman" w:hAnsi="Times New Roman"/>
          <w:sz w:val="24"/>
          <w:szCs w:val="24"/>
        </w:rPr>
        <w:t xml:space="preserve">, 257 F.3d at 1256. Nor is an employer required to create a new position for an employee. </w:t>
      </w:r>
      <w:r w:rsidRPr="00FF23B7">
        <w:rPr>
          <w:rFonts w:ascii="Times New Roman" w:hAnsi="Times New Roman"/>
          <w:i/>
          <w:iCs/>
          <w:sz w:val="24"/>
          <w:szCs w:val="24"/>
        </w:rPr>
        <w:t>Boyle v</w:t>
      </w:r>
      <w:r w:rsidRPr="00FF23B7">
        <w:rPr>
          <w:rFonts w:ascii="Times New Roman" w:hAnsi="Times New Roman"/>
          <w:sz w:val="24"/>
          <w:szCs w:val="24"/>
        </w:rPr>
        <w:t xml:space="preserve">. </w:t>
      </w:r>
      <w:r w:rsidRPr="00FF23B7">
        <w:rPr>
          <w:rFonts w:ascii="Times New Roman" w:hAnsi="Times New Roman"/>
          <w:i/>
          <w:iCs/>
          <w:sz w:val="24"/>
          <w:szCs w:val="24"/>
        </w:rPr>
        <w:t>City of Pell City</w:t>
      </w:r>
      <w:r w:rsidRPr="00FF23B7">
        <w:rPr>
          <w:rFonts w:ascii="Times New Roman" w:hAnsi="Times New Roman"/>
          <w:sz w:val="24"/>
          <w:szCs w:val="24"/>
        </w:rPr>
        <w:t xml:space="preserve">, 866 F.3d 1280, 1289 (11th Cir. 2017); </w:t>
      </w:r>
      <w:r w:rsidRPr="00FF23B7">
        <w:rPr>
          <w:rFonts w:ascii="Times New Roman" w:hAnsi="Times New Roman"/>
          <w:i/>
          <w:iCs/>
          <w:sz w:val="24"/>
          <w:szCs w:val="24"/>
        </w:rPr>
        <w:t>Sutton v</w:t>
      </w:r>
      <w:r w:rsidRPr="00FF23B7">
        <w:rPr>
          <w:rFonts w:ascii="Times New Roman" w:hAnsi="Times New Roman"/>
          <w:sz w:val="24"/>
          <w:szCs w:val="24"/>
        </w:rPr>
        <w:t xml:space="preserve">. </w:t>
      </w:r>
      <w:r w:rsidRPr="00FF23B7">
        <w:rPr>
          <w:rFonts w:ascii="Times New Roman" w:hAnsi="Times New Roman"/>
          <w:i/>
          <w:iCs/>
          <w:sz w:val="24"/>
          <w:szCs w:val="24"/>
        </w:rPr>
        <w:t>Lader</w:t>
      </w:r>
      <w:r w:rsidRPr="00FF23B7">
        <w:rPr>
          <w:rFonts w:ascii="Times New Roman" w:hAnsi="Times New Roman"/>
          <w:sz w:val="24"/>
          <w:szCs w:val="24"/>
        </w:rPr>
        <w:t xml:space="preserve">, 185 F.3d 1203, 1210-11 (11th Cir. 1999) (an employer </w:t>
      </w:r>
      <w:r>
        <w:rPr>
          <w:rFonts w:ascii="Times New Roman" w:hAnsi="Times New Roman"/>
          <w:sz w:val="24"/>
          <w:szCs w:val="24"/>
        </w:rPr>
        <w:t>‘</w:t>
      </w:r>
      <w:r w:rsidRPr="00FF23B7">
        <w:rPr>
          <w:rFonts w:ascii="Times New Roman" w:hAnsi="Times New Roman"/>
          <w:sz w:val="24"/>
          <w:szCs w:val="24"/>
        </w:rPr>
        <w:t>is under no obligation to hire an employee for a non-existent job,</w:t>
      </w:r>
      <w:r>
        <w:rPr>
          <w:rFonts w:ascii="Times New Roman" w:hAnsi="Times New Roman"/>
          <w:sz w:val="24"/>
          <w:szCs w:val="24"/>
        </w:rPr>
        <w:t>’</w:t>
      </w:r>
      <w:r w:rsidRPr="00FF23B7">
        <w:rPr>
          <w:rFonts w:ascii="Times New Roman" w:hAnsi="Times New Roman"/>
          <w:sz w:val="24"/>
          <w:szCs w:val="24"/>
        </w:rPr>
        <w:t xml:space="preserve"> nor is it required to create a light-duty position for a disabled employee).</w:t>
      </w:r>
      <w:r w:rsidRPr="00FF23B7">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 </w:t>
      </w:r>
    </w:p>
    <w:p w14:paraId="18D9323D" w14:textId="77777777" w:rsidR="00DD03E3" w:rsidRDefault="00DD03E3" w:rsidP="00DD03E3">
      <w:pPr>
        <w:tabs>
          <w:tab w:val="left" w:pos="3000"/>
        </w:tabs>
        <w:spacing w:before="100" w:beforeAutospacing="1" w:after="100" w:afterAutospacing="1" w:line="240" w:lineRule="auto"/>
        <w:ind w:left="720"/>
        <w:rPr>
          <w:rFonts w:ascii="Times New Roman" w:eastAsia="Times New Roman" w:hAnsi="Times New Roman"/>
          <w:b/>
          <w:bCs/>
          <w:sz w:val="24"/>
          <w:szCs w:val="24"/>
        </w:rPr>
      </w:pPr>
      <w:r>
        <w:rPr>
          <w:rFonts w:ascii="Times New Roman" w:eastAsia="Times New Roman" w:hAnsi="Times New Roman"/>
          <w:b/>
          <w:bCs/>
          <w:sz w:val="24"/>
          <w:szCs w:val="24"/>
        </w:rPr>
        <w:t>***</w:t>
      </w:r>
    </w:p>
    <w:p w14:paraId="5F6917AA" w14:textId="77777777" w:rsidR="00DD03E3" w:rsidRPr="00371299" w:rsidRDefault="00DD03E3" w:rsidP="00DD03E3">
      <w:pPr>
        <w:tabs>
          <w:tab w:val="left" w:pos="3000"/>
        </w:tabs>
        <w:spacing w:before="100" w:beforeAutospacing="1" w:after="100" w:afterAutospacing="1" w:line="240" w:lineRule="auto"/>
        <w:ind w:left="720"/>
        <w:rPr>
          <w:rFonts w:ascii="Times New Roman" w:eastAsia="Times New Roman" w:hAnsi="Times New Roman"/>
          <w:b/>
          <w:bCs/>
          <w:sz w:val="24"/>
          <w:szCs w:val="24"/>
        </w:rPr>
      </w:pPr>
      <w:r w:rsidRPr="00371299">
        <w:rPr>
          <w:rFonts w:ascii="Times New Roman" w:eastAsia="Times New Roman" w:hAnsi="Times New Roman"/>
          <w:sz w:val="24"/>
          <w:szCs w:val="24"/>
        </w:rPr>
        <w:t xml:space="preserve">The Court concludes that working a 24-hour shift is an essential function of the battalion chief position within the City's fire department. As Hawthorne admits, the fire department required a battalion chief to </w:t>
      </w:r>
      <w:proofErr w:type="gramStart"/>
      <w:r w:rsidRPr="00371299">
        <w:rPr>
          <w:rFonts w:ascii="Times New Roman" w:eastAsia="Times New Roman" w:hAnsi="Times New Roman"/>
          <w:sz w:val="24"/>
          <w:szCs w:val="24"/>
        </w:rPr>
        <w:t>be on-duty at all times</w:t>
      </w:r>
      <w:proofErr w:type="gramEnd"/>
      <w:r w:rsidRPr="00371299">
        <w:rPr>
          <w:rFonts w:ascii="Times New Roman" w:eastAsia="Times New Roman" w:hAnsi="Times New Roman"/>
          <w:sz w:val="24"/>
          <w:szCs w:val="24"/>
        </w:rPr>
        <w:t>, and all battalion chiefs and most other fire department personnel worked 24-hour shifts. As such, for Hawthorne to work only a daily 8-hour shift, compared to the 24-hour shifts required of all the other battalion chiefs, there would be a disruption</w:t>
      </w:r>
      <w:r>
        <w:rPr>
          <w:rFonts w:ascii="Times New Roman" w:eastAsia="Times New Roman" w:hAnsi="Times New Roman"/>
          <w:sz w:val="24"/>
          <w:szCs w:val="24"/>
        </w:rPr>
        <w:t xml:space="preserve"> </w:t>
      </w:r>
      <w:r w:rsidRPr="00371299">
        <w:rPr>
          <w:rFonts w:ascii="Times New Roman" w:eastAsia="Times New Roman" w:hAnsi="Times New Roman"/>
          <w:sz w:val="24"/>
          <w:szCs w:val="24"/>
        </w:rPr>
        <w:t>of the shift rotation of the other battalion chiefs who would have to cover Hawthorne's overnight hours in addition to their own, or alternatively, the City would have had to hire an additional battalion chief.</w:t>
      </w:r>
      <w:r>
        <w:rPr>
          <w:rFonts w:ascii="Times New Roman" w:eastAsia="Times New Roman" w:hAnsi="Times New Roman"/>
          <w:sz w:val="24"/>
          <w:szCs w:val="24"/>
        </w:rPr>
        <w:t xml:space="preserve">” </w:t>
      </w:r>
      <w:hyperlink r:id="rId1725" w:history="1">
        <w:r w:rsidRPr="00987F62">
          <w:rPr>
            <w:rStyle w:val="Hyperlink"/>
            <w:rFonts w:ascii="Times New Roman" w:eastAsia="Times New Roman" w:hAnsi="Times New Roman"/>
            <w:sz w:val="24"/>
            <w:szCs w:val="24"/>
          </w:rPr>
          <w:t>https://public.fastcase.com/Wl%2B2t%2BeVuI35%2FN70vAMFZtupy9a3EvXpG9ydLD29CKGnkdsXWzWbFQljc8xBD5GU</w:t>
        </w:r>
      </w:hyperlink>
      <w:r>
        <w:rPr>
          <w:rFonts w:ascii="Times New Roman" w:eastAsia="Times New Roman" w:hAnsi="Times New Roman"/>
          <w:sz w:val="24"/>
          <w:szCs w:val="24"/>
        </w:rPr>
        <w:t xml:space="preserve"> </w:t>
      </w:r>
    </w:p>
    <w:p w14:paraId="2F4E9042" w14:textId="77777777" w:rsidR="00DD03E3" w:rsidRPr="00DE77F1" w:rsidRDefault="00DD03E3" w:rsidP="00DD03E3">
      <w:pPr>
        <w:spacing w:before="100" w:beforeAutospacing="1" w:after="100" w:afterAutospacing="1" w:line="240" w:lineRule="auto"/>
        <w:rPr>
          <w:rFonts w:ascii="Times New Roman" w:eastAsia="Times New Roman" w:hAnsi="Times New Roman"/>
          <w:b/>
          <w:bCs/>
          <w:sz w:val="24"/>
          <w:szCs w:val="24"/>
        </w:rPr>
      </w:pPr>
      <w:r w:rsidRPr="00DE3455">
        <w:rPr>
          <w:rFonts w:ascii="Times New Roman" w:hAnsi="Times New Roman"/>
          <w:b/>
          <w:bCs/>
          <w:sz w:val="24"/>
          <w:szCs w:val="24"/>
        </w:rPr>
        <w:t>Legal Lesson Learned:</w:t>
      </w:r>
      <w:r>
        <w:rPr>
          <w:rFonts w:ascii="Times New Roman" w:hAnsi="Times New Roman"/>
          <w:b/>
          <w:bCs/>
          <w:sz w:val="24"/>
          <w:szCs w:val="24"/>
        </w:rPr>
        <w:t xml:space="preserve"> Under ADA, an employee’s inability to perform the job duties serves as a legitimate, non-discriminatory reason for termination. </w:t>
      </w:r>
    </w:p>
    <w:p w14:paraId="557B80AE" w14:textId="77777777" w:rsidR="00DD03E3" w:rsidRDefault="00DD03E3" w:rsidP="005C30A4">
      <w:pPr>
        <w:pStyle w:val="NoSpacing"/>
        <w:rPr>
          <w:rFonts w:ascii="Arial Black" w:hAnsi="Arial Black"/>
          <w:b/>
          <w:sz w:val="24"/>
          <w:szCs w:val="24"/>
        </w:rPr>
      </w:pPr>
    </w:p>
    <w:p w14:paraId="5D814A79" w14:textId="77777777" w:rsidR="00DD03E3" w:rsidRDefault="00DD03E3" w:rsidP="005C30A4">
      <w:pPr>
        <w:pStyle w:val="NoSpacing"/>
        <w:rPr>
          <w:rFonts w:ascii="Arial Black" w:hAnsi="Arial Black"/>
          <w:b/>
          <w:sz w:val="24"/>
          <w:szCs w:val="24"/>
        </w:rPr>
      </w:pPr>
    </w:p>
    <w:p w14:paraId="237A6548" w14:textId="77777777" w:rsidR="00DD03E3" w:rsidRDefault="00DD03E3" w:rsidP="005C30A4">
      <w:pPr>
        <w:pStyle w:val="NoSpacing"/>
        <w:rPr>
          <w:rFonts w:ascii="Arial Black" w:hAnsi="Arial Black"/>
          <w:b/>
          <w:sz w:val="24"/>
          <w:szCs w:val="24"/>
        </w:rPr>
      </w:pPr>
    </w:p>
    <w:p w14:paraId="4543480C" w14:textId="4412E224" w:rsidR="00F824FE" w:rsidRDefault="00F824FE" w:rsidP="005C30A4">
      <w:pPr>
        <w:pStyle w:val="NoSpacing"/>
        <w:rPr>
          <w:rFonts w:ascii="Arial Black" w:hAnsi="Arial Black"/>
          <w:b/>
          <w:sz w:val="24"/>
          <w:szCs w:val="24"/>
        </w:rPr>
      </w:pPr>
      <w:r>
        <w:rPr>
          <w:rFonts w:ascii="Arial Black" w:hAnsi="Arial Black"/>
          <w:b/>
          <w:sz w:val="24"/>
          <w:szCs w:val="24"/>
        </w:rPr>
        <w:t>9-15</w:t>
      </w:r>
    </w:p>
    <w:p w14:paraId="739E75DD" w14:textId="77777777" w:rsidR="00F824FE" w:rsidRPr="007E1736" w:rsidRDefault="00F824FE" w:rsidP="00F824FE">
      <w:pPr>
        <w:pStyle w:val="NormalWeb"/>
        <w:rPr>
          <w:rFonts w:ascii="Arial Black" w:hAnsi="Arial Black"/>
          <w:sz w:val="28"/>
          <w:szCs w:val="28"/>
        </w:rPr>
      </w:pPr>
      <w:r>
        <w:rPr>
          <w:rFonts w:ascii="Arial Black" w:hAnsi="Arial Black"/>
          <w:sz w:val="28"/>
          <w:szCs w:val="28"/>
        </w:rPr>
        <w:t>MA: FF RETIRED DISABILITY – CFH / HEARING LOSS – SEEKS JOB BACK WITH “AGE-ADJUSTED” HEARING TEST – TRIAL JUDGE TO REVIEW</w:t>
      </w:r>
    </w:p>
    <w:p w14:paraId="211C9826" w14:textId="77777777" w:rsidR="00F824FE" w:rsidRDefault="00F824FE" w:rsidP="00F824FE">
      <w:pPr>
        <w:pStyle w:val="NormalWeb"/>
      </w:pPr>
      <w:r>
        <w:t xml:space="preserve">On Sept. 29, 2020, in </w:t>
      </w:r>
      <w:r w:rsidRPr="003A1F5A">
        <w:rPr>
          <w:u w:val="single"/>
        </w:rPr>
        <w:t>John Rodrigues v. Public Employee Retirement Administration Commission,</w:t>
      </w:r>
      <w:r>
        <w:t xml:space="preserve"> the Appeals Court of Massachusetts held (3 to 0) that firefighter’s reinstatement was properly denied because of his heart </w:t>
      </w:r>
      <w:r>
        <w:lastRenderedPageBreak/>
        <w:t xml:space="preserve">condition, but case remanded to trial court to decide if the Commonwealth’s Human Resources Division [HRD] requirement that FF must past the hearing standard for new hires, not “age-adjusted” standards, is lawful. </w:t>
      </w:r>
    </w:p>
    <w:p w14:paraId="61059CD4" w14:textId="77777777" w:rsidR="00F824FE" w:rsidRPr="007E1736" w:rsidRDefault="00F824FE" w:rsidP="00F824FE">
      <w:pPr>
        <w:pStyle w:val="NormalWeb"/>
        <w:ind w:left="720"/>
      </w:pPr>
      <w:r>
        <w:t xml:space="preserve">In addition to his claims for reinstatement or damages, Rodrigues also brought claims seeking declaratory relief -- in particular, count one seeks, among other things, a determination that PERAC should apply age-adjusted, in-service health and fitness standards in determining restoration to service under c. 32, § 8, and count two specifically seeks a declaration that PERAC violated G. L. c. 31, § 61A, by failing to employ such age-adjusted hearing standards. </w:t>
      </w:r>
      <w:r w:rsidRPr="007E1736">
        <w:t>These claims should not have been dismissed. They raise primarily questions of law that could well arise in any of Rodrigues's future reinstatement evaluations (which under G. L. c. 32, § 8 [1] [</w:t>
      </w:r>
      <w:r w:rsidRPr="007E1736">
        <w:rPr>
          <w:u w:val="single"/>
        </w:rPr>
        <w:t>a</w:t>
      </w:r>
      <w:r w:rsidRPr="007E1736">
        <w:t>], are to occur at least every three years), not to mention those of other firefighters and police officers on disability retirement. The legal questions implicate the requirements of the two above-mentioned statutes, and how those statutes interrelate. Answering them also will require analysis</w:t>
      </w:r>
      <w:r>
        <w:t xml:space="preserve"> </w:t>
      </w:r>
      <w:r w:rsidRPr="007E1736">
        <w:t xml:space="preserve">of a 2016 regulation issued by PERAC, discussed </w:t>
      </w:r>
      <w:r w:rsidRPr="007E1736">
        <w:rPr>
          <w:u w:val="single"/>
        </w:rPr>
        <w:t>infra</w:t>
      </w:r>
      <w:r w:rsidRPr="007E1736">
        <w:t>. The issue is appropriate for declaratory relief.</w:t>
      </w:r>
      <w:r>
        <w:t xml:space="preserve">”  </w:t>
      </w:r>
      <w:hyperlink r:id="rId1726" w:history="1">
        <w:r w:rsidRPr="00D550EA">
          <w:rPr>
            <w:rStyle w:val="Hyperlink"/>
          </w:rPr>
          <w:t>https://www.mass.gov/files/documents/2020/09/29/q19P0676.pdf</w:t>
        </w:r>
      </w:hyperlink>
      <w:r>
        <w:t xml:space="preserve"> </w:t>
      </w:r>
    </w:p>
    <w:p w14:paraId="5374664E" w14:textId="77777777" w:rsidR="00B532F6" w:rsidRPr="00980A0C" w:rsidRDefault="00B532F6" w:rsidP="00B532F6">
      <w:pPr>
        <w:tabs>
          <w:tab w:val="left" w:pos="3689"/>
        </w:tabs>
        <w:spacing w:before="100" w:beforeAutospacing="1" w:after="100" w:afterAutospacing="1" w:line="240" w:lineRule="auto"/>
        <w:rPr>
          <w:rFonts w:ascii="Times New Roman" w:eastAsia="Times New Roman" w:hAnsi="Times New Roman"/>
          <w:b/>
          <w:bCs/>
          <w:sz w:val="24"/>
          <w:szCs w:val="24"/>
        </w:rPr>
      </w:pPr>
      <w:r w:rsidRPr="00980A0C">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Will be interesting to see if the Trial Court, and the Court of Appeals, eventually holds that hearing standards for firefighters and police officers seeking reinstatement can be “age adjusted.” </w:t>
      </w:r>
    </w:p>
    <w:p w14:paraId="33858E5C" w14:textId="77777777" w:rsidR="00B532F6" w:rsidRPr="00980A0C" w:rsidRDefault="00B532F6" w:rsidP="00B532F6">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See OSHA Guidance: </w:t>
      </w:r>
      <w:r w:rsidRPr="00980A0C">
        <w:rPr>
          <w:rFonts w:ascii="Times New Roman" w:hAnsi="Times New Roman"/>
          <w:sz w:val="24"/>
          <w:szCs w:val="24"/>
        </w:rPr>
        <w:t>1910.95 App F - Calculations and application of age corrections to audiograms</w:t>
      </w:r>
      <w:r>
        <w:rPr>
          <w:rFonts w:ascii="Times New Roman" w:hAnsi="Times New Roman"/>
          <w:sz w:val="24"/>
          <w:szCs w:val="24"/>
        </w:rPr>
        <w:t>:</w:t>
      </w:r>
    </w:p>
    <w:p w14:paraId="25B338F7" w14:textId="77777777" w:rsidR="00B532F6" w:rsidRPr="00980A0C" w:rsidRDefault="00B532F6" w:rsidP="00B532F6">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980A0C">
        <w:rPr>
          <w:rFonts w:ascii="Times New Roman" w:hAnsi="Times New Roman"/>
          <w:sz w:val="24"/>
          <w:szCs w:val="24"/>
        </w:rPr>
        <w:t xml:space="preserve">In determining whether a standard threshold shift has occurred, allowance may be made for the contribution of aging to the change in hearing level by adjusting the most recent audiogram. If the employer chooses to adjust the audiogram, the employer shall follow the procedure described below. This procedure and the age correction tables were developed by the National Institute for Occupational Safety and Health in the criteria document entitled </w:t>
      </w:r>
      <w:r>
        <w:rPr>
          <w:rFonts w:ascii="Times New Roman" w:hAnsi="Times New Roman"/>
          <w:sz w:val="24"/>
          <w:szCs w:val="24"/>
        </w:rPr>
        <w:t>‘</w:t>
      </w:r>
      <w:r w:rsidRPr="00980A0C">
        <w:rPr>
          <w:rFonts w:ascii="Times New Roman" w:hAnsi="Times New Roman"/>
          <w:sz w:val="24"/>
          <w:szCs w:val="24"/>
        </w:rPr>
        <w:t>Criteria for a Recommended Standard . . . Occupational Exposure to Noise,</w:t>
      </w:r>
      <w:r>
        <w:rPr>
          <w:rFonts w:ascii="Times New Roman" w:hAnsi="Times New Roman"/>
          <w:sz w:val="24"/>
          <w:szCs w:val="24"/>
        </w:rPr>
        <w:t>’</w:t>
      </w:r>
      <w:r w:rsidRPr="00980A0C">
        <w:rPr>
          <w:rFonts w:ascii="Times New Roman" w:hAnsi="Times New Roman"/>
          <w:sz w:val="24"/>
          <w:szCs w:val="24"/>
        </w:rPr>
        <w:t xml:space="preserve"> ((HSM)-11001).</w:t>
      </w:r>
      <w:r>
        <w:rPr>
          <w:rFonts w:ascii="Times New Roman" w:hAnsi="Times New Roman"/>
          <w:sz w:val="24"/>
          <w:szCs w:val="24"/>
        </w:rPr>
        <w:t xml:space="preserve">” </w:t>
      </w:r>
      <w:hyperlink r:id="rId1727" w:history="1">
        <w:r w:rsidRPr="00D550EA">
          <w:rPr>
            <w:rStyle w:val="Hyperlink"/>
            <w:rFonts w:ascii="Times New Roman" w:hAnsi="Times New Roman"/>
            <w:sz w:val="24"/>
            <w:szCs w:val="24"/>
          </w:rPr>
          <w:t>https://www.osha.gov/laws-regs/regulations/standardnumber/1910/1910.95AppF</w:t>
        </w:r>
      </w:hyperlink>
      <w:r>
        <w:rPr>
          <w:rFonts w:ascii="Times New Roman" w:hAnsi="Times New Roman"/>
          <w:sz w:val="24"/>
          <w:szCs w:val="24"/>
        </w:rPr>
        <w:t xml:space="preserve"> </w:t>
      </w:r>
    </w:p>
    <w:p w14:paraId="679D1187" w14:textId="77777777" w:rsidR="00B532F6" w:rsidRDefault="00B532F6" w:rsidP="00B532F6">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See also: IAFF’s “Fire Department Guide to Implementing NFPA 1582,” </w:t>
      </w:r>
      <w:hyperlink r:id="rId1728" w:history="1">
        <w:r w:rsidRPr="00D550EA">
          <w:rPr>
            <w:rStyle w:val="Hyperlink"/>
            <w:rFonts w:ascii="Times New Roman" w:eastAsia="Times New Roman" w:hAnsi="Times New Roman"/>
            <w:sz w:val="24"/>
            <w:szCs w:val="24"/>
          </w:rPr>
          <w:t>https://www.iafc.org/docs/default-source/1vcos/vws_rrkit_nfpa-1582.pdf?sfvrsn=ca9b9f0d_2</w:t>
        </w:r>
      </w:hyperlink>
      <w:r>
        <w:rPr>
          <w:rFonts w:ascii="Times New Roman" w:eastAsia="Times New Roman" w:hAnsi="Times New Roman"/>
          <w:sz w:val="24"/>
          <w:szCs w:val="24"/>
        </w:rPr>
        <w:t xml:space="preserve"> </w:t>
      </w:r>
    </w:p>
    <w:p w14:paraId="6100B7F7" w14:textId="0FB651EB" w:rsidR="00F824FE" w:rsidRPr="00B532F6" w:rsidRDefault="00B532F6" w:rsidP="00B532F6">
      <w:pPr>
        <w:pStyle w:val="NoSpacing"/>
        <w:ind w:left="720"/>
        <w:rPr>
          <w:rFonts w:ascii="Times New Roman" w:hAnsi="Times New Roman"/>
          <w:b/>
          <w:sz w:val="24"/>
          <w:szCs w:val="24"/>
        </w:rPr>
      </w:pPr>
      <w:r w:rsidRPr="00B532F6">
        <w:rPr>
          <w:rFonts w:ascii="Times New Roman" w:hAnsi="Times New Roman"/>
          <w:sz w:val="24"/>
          <w:szCs w:val="24"/>
        </w:rPr>
        <w:t>See also EEOC Guidance: “</w:t>
      </w:r>
      <w:r w:rsidRPr="00B532F6">
        <w:rPr>
          <w:rStyle w:val="field"/>
          <w:rFonts w:ascii="Times New Roman" w:eastAsiaTheme="majorEastAsia" w:hAnsi="Times New Roman"/>
          <w:sz w:val="24"/>
          <w:szCs w:val="24"/>
        </w:rPr>
        <w:t>Deafness and Hearing Impairments in the Workplace and the Americans with Disabilities Act.” “</w:t>
      </w:r>
      <w:r w:rsidRPr="00B532F6">
        <w:rPr>
          <w:rFonts w:ascii="Times New Roman" w:hAnsi="Times New Roman"/>
          <w:sz w:val="24"/>
          <w:szCs w:val="24"/>
        </w:rPr>
        <w:t xml:space="preserve">An employer only may exclude an individual with a hearing impairment from a job for safety reasons when the individual poses a direct threat. A ‘direct threat’ is a significant risk of substantial harm to the individual or others that cannot be eliminated or reduced through reasonable accommodation. This determination must be based on objective, factual evidence, including the best recent medical </w:t>
      </w:r>
      <w:proofErr w:type="gramStart"/>
      <w:r w:rsidRPr="00B532F6">
        <w:rPr>
          <w:rFonts w:ascii="Times New Roman" w:hAnsi="Times New Roman"/>
          <w:sz w:val="24"/>
          <w:szCs w:val="24"/>
        </w:rPr>
        <w:t>evidence.”</w:t>
      </w:r>
      <w:proofErr w:type="gramEnd"/>
      <w:r w:rsidRPr="00B532F6">
        <w:rPr>
          <w:rFonts w:ascii="Times New Roman" w:hAnsi="Times New Roman"/>
          <w:sz w:val="24"/>
          <w:szCs w:val="24"/>
        </w:rPr>
        <w:t xml:space="preserve"> </w:t>
      </w:r>
      <w:hyperlink r:id="rId1729" w:history="1">
        <w:r w:rsidRPr="00B532F6">
          <w:rPr>
            <w:rStyle w:val="Hyperlink"/>
            <w:rFonts w:ascii="Times New Roman" w:hAnsi="Times New Roman"/>
            <w:sz w:val="24"/>
            <w:szCs w:val="24"/>
          </w:rPr>
          <w:t>https://www.eeoc.gov/laws/guidance/deafness-and-hearing-impairments-workplace-and-americans-disabilities-act</w:t>
        </w:r>
      </w:hyperlink>
    </w:p>
    <w:p w14:paraId="10F409A7" w14:textId="77777777" w:rsidR="00F824FE" w:rsidRDefault="00F824FE" w:rsidP="005C30A4">
      <w:pPr>
        <w:pStyle w:val="NoSpacing"/>
        <w:rPr>
          <w:rFonts w:ascii="Arial Black" w:hAnsi="Arial Black"/>
          <w:b/>
          <w:sz w:val="24"/>
          <w:szCs w:val="24"/>
        </w:rPr>
      </w:pPr>
    </w:p>
    <w:p w14:paraId="42EC4CD1" w14:textId="77777777" w:rsidR="00F824FE" w:rsidRDefault="00F824FE" w:rsidP="005C30A4">
      <w:pPr>
        <w:pStyle w:val="NoSpacing"/>
        <w:rPr>
          <w:rFonts w:ascii="Arial Black" w:hAnsi="Arial Black"/>
          <w:b/>
          <w:sz w:val="24"/>
          <w:szCs w:val="24"/>
        </w:rPr>
      </w:pPr>
    </w:p>
    <w:p w14:paraId="366CCB0E" w14:textId="7D23010D" w:rsidR="00F824FE" w:rsidRDefault="00F824FE" w:rsidP="005C30A4">
      <w:pPr>
        <w:pStyle w:val="NoSpacing"/>
        <w:rPr>
          <w:rFonts w:ascii="Arial Black" w:hAnsi="Arial Black"/>
          <w:b/>
          <w:sz w:val="24"/>
          <w:szCs w:val="24"/>
        </w:rPr>
      </w:pPr>
      <w:r>
        <w:rPr>
          <w:rFonts w:ascii="Arial Black" w:hAnsi="Arial Black"/>
          <w:b/>
          <w:sz w:val="24"/>
          <w:szCs w:val="24"/>
        </w:rPr>
        <w:t>9-14</w:t>
      </w:r>
    </w:p>
    <w:p w14:paraId="6735E77D" w14:textId="77777777" w:rsidR="00F824FE" w:rsidRPr="00ED5C13" w:rsidRDefault="00F824FE" w:rsidP="00F824FE">
      <w:pPr>
        <w:pStyle w:val="NormalWeb"/>
        <w:rPr>
          <w:rFonts w:ascii="Arial Black" w:hAnsi="Arial Black"/>
          <w:b/>
          <w:bCs/>
          <w:sz w:val="28"/>
          <w:szCs w:val="28"/>
        </w:rPr>
      </w:pPr>
      <w:r>
        <w:rPr>
          <w:rFonts w:ascii="Arial Black" w:hAnsi="Arial Black"/>
          <w:b/>
          <w:bCs/>
          <w:sz w:val="28"/>
          <w:szCs w:val="28"/>
        </w:rPr>
        <w:t>LA: FF HEARING LOSS – REIMBURSED FOR HEARING AIDS – BUT NO ENTITLED TO DISABILITY PAYMENTS – NOT “SINGLE ACCIDENT”</w:t>
      </w:r>
    </w:p>
    <w:p w14:paraId="19FE875F" w14:textId="77777777" w:rsidR="00F824FE" w:rsidRDefault="00F824FE" w:rsidP="00F824FE">
      <w:pPr>
        <w:pStyle w:val="NormalWeb"/>
      </w:pPr>
      <w:r w:rsidRPr="00ED5C13">
        <w:t xml:space="preserve">On </w:t>
      </w:r>
      <w:r>
        <w:t xml:space="preserve">Sept. 22, 2020, in </w:t>
      </w:r>
      <w:r w:rsidRPr="0087261C">
        <w:rPr>
          <w:u w:val="single"/>
        </w:rPr>
        <w:t>Glenn Hankel v. Jefferson Parish Fire Department</w:t>
      </w:r>
      <w:r>
        <w:t xml:space="preserve">, the Fifth Circuit Court of Appeal of State of Louisiana, held (2 to 1) that while the fire department reimbursed the retired firefighter for cost of hearing aids based on LA firefighter statutory presumption statute, he was not entitled to permanent partial </w:t>
      </w:r>
      <w:r>
        <w:lastRenderedPageBreak/>
        <w:t>disability payments [which would be 66 2/3</w:t>
      </w:r>
      <w:r w:rsidRPr="00D038AA">
        <w:rPr>
          <w:vertAlign w:val="superscript"/>
        </w:rPr>
        <w:t>rd</w:t>
      </w:r>
      <w:r>
        <w:t xml:space="preserve"> weekly wages, up to 100 weeks] since the LA statute only applies to disabilities caused by a single accident. </w:t>
      </w:r>
    </w:p>
    <w:p w14:paraId="549BFCA3" w14:textId="77777777" w:rsidR="00F824FE" w:rsidRDefault="00F824FE" w:rsidP="00F824FE">
      <w:pPr>
        <w:pStyle w:val="NormalWeb"/>
        <w:ind w:left="720"/>
        <w:rPr>
          <w:b/>
          <w:bCs/>
        </w:rPr>
      </w:pPr>
      <w:r>
        <w:t xml:space="preserve">“In the instant case, there is no dispute that Mr. Hankel's hearing loss was gradual and not the result of a single accident or event. The plain language of La. R.S. 23:1221(4)(p) only provides benefits for permanent hearing losses resulting solely from a single traumatic accident. Accordingly, after a </w:t>
      </w:r>
      <w:r>
        <w:rPr>
          <w:i/>
          <w:iCs/>
        </w:rPr>
        <w:t>de novo</w:t>
      </w:r>
      <w:r>
        <w:t xml:space="preserve"> review of the record, we find that there is no genuine issue as to material fact and that the JPFD is entitled to judgment as a matter of law. Thus, we find no error in the trial court's ruling that Mr. Hankel is not entitled to permanent partial disability benefits for his hearing loss.  </w:t>
      </w:r>
      <w:hyperlink r:id="rId1730" w:history="1">
        <w:r w:rsidRPr="002F1E28">
          <w:rPr>
            <w:rStyle w:val="Hyperlink"/>
          </w:rPr>
          <w:t>https://law.justia.com/cases/louisiana/fifth-circuit-court-of-appeal/2020/19-ca-613.html</w:t>
        </w:r>
      </w:hyperlink>
      <w:r>
        <w:t xml:space="preserve"> </w:t>
      </w:r>
    </w:p>
    <w:p w14:paraId="69D8D625" w14:textId="77777777" w:rsidR="00F824FE" w:rsidRPr="00C30645" w:rsidRDefault="00F824FE" w:rsidP="00F824FE">
      <w:pPr>
        <w:spacing w:after="100" w:line="240" w:lineRule="auto"/>
        <w:rPr>
          <w:rFonts w:ascii="Times New Roman" w:eastAsia="Times New Roman" w:hAnsi="Times New Roman"/>
          <w:b/>
          <w:bCs/>
          <w:sz w:val="24"/>
          <w:szCs w:val="24"/>
        </w:rPr>
      </w:pPr>
      <w:r w:rsidRPr="00C30645">
        <w:rPr>
          <w:rFonts w:ascii="Times New Roman" w:hAnsi="Times New Roman"/>
          <w:b/>
          <w:bCs/>
          <w:sz w:val="24"/>
          <w:szCs w:val="24"/>
        </w:rPr>
        <w:t>Legal Lessons Learned:  This case may be appealed to the Louisiana Supreme Court; Dissenting judge references prior L</w:t>
      </w:r>
      <w:r>
        <w:rPr>
          <w:rFonts w:ascii="Times New Roman" w:hAnsi="Times New Roman"/>
          <w:b/>
          <w:bCs/>
          <w:sz w:val="24"/>
          <w:szCs w:val="24"/>
        </w:rPr>
        <w:t xml:space="preserve">ouisiana </w:t>
      </w:r>
      <w:r w:rsidRPr="00C30645">
        <w:rPr>
          <w:rFonts w:ascii="Times New Roman" w:hAnsi="Times New Roman"/>
          <w:b/>
          <w:bCs/>
          <w:sz w:val="24"/>
          <w:szCs w:val="24"/>
        </w:rPr>
        <w:t xml:space="preserve">Supreme Court decision in </w:t>
      </w:r>
      <w:r w:rsidRPr="00C30645">
        <w:rPr>
          <w:rFonts w:ascii="Times New Roman" w:hAnsi="Times New Roman"/>
          <w:b/>
          <w:bCs/>
          <w:i/>
          <w:iCs/>
          <w:sz w:val="24"/>
          <w:szCs w:val="24"/>
        </w:rPr>
        <w:t>Arrant v Graphic Packaging Int'l</w:t>
      </w:r>
      <w:r w:rsidRPr="00C30645">
        <w:rPr>
          <w:rFonts w:ascii="Times New Roman" w:hAnsi="Times New Roman"/>
          <w:b/>
          <w:bCs/>
          <w:sz w:val="24"/>
          <w:szCs w:val="24"/>
        </w:rPr>
        <w:t xml:space="preserve">, </w:t>
      </w:r>
      <w:r w:rsidRPr="00C30645">
        <w:rPr>
          <w:rFonts w:ascii="Times New Roman" w:hAnsi="Times New Roman"/>
          <w:b/>
          <w:bCs/>
          <w:i/>
          <w:iCs/>
          <w:sz w:val="24"/>
          <w:szCs w:val="24"/>
        </w:rPr>
        <w:t>Inc</w:t>
      </w:r>
      <w:r w:rsidRPr="00C30645">
        <w:rPr>
          <w:rFonts w:ascii="Times New Roman" w:hAnsi="Times New Roman"/>
          <w:b/>
          <w:bCs/>
          <w:sz w:val="24"/>
          <w:szCs w:val="24"/>
        </w:rPr>
        <w:t>., 13-2878, 169 So. 3d 296, 305 (La. 5/5/15</w:t>
      </w:r>
      <w:r>
        <w:rPr>
          <w:rFonts w:ascii="Times New Roman" w:hAnsi="Times New Roman"/>
          <w:b/>
          <w:bCs/>
          <w:sz w:val="24"/>
          <w:szCs w:val="24"/>
        </w:rPr>
        <w:t xml:space="preserve">). </w:t>
      </w:r>
      <w:hyperlink r:id="rId1731" w:history="1">
        <w:r w:rsidRPr="002F1E28">
          <w:rPr>
            <w:rStyle w:val="Hyperlink"/>
            <w:rFonts w:ascii="Times New Roman" w:hAnsi="Times New Roman"/>
            <w:b/>
            <w:bCs/>
            <w:sz w:val="24"/>
            <w:szCs w:val="24"/>
          </w:rPr>
          <w:t>https://law.justia.com/cases/louisiana/supreme-court/2015/2013-c-2878.html</w:t>
        </w:r>
      </w:hyperlink>
      <w:r>
        <w:rPr>
          <w:rFonts w:ascii="Times New Roman" w:hAnsi="Times New Roman"/>
          <w:b/>
          <w:bCs/>
          <w:sz w:val="24"/>
          <w:szCs w:val="24"/>
        </w:rPr>
        <w:t xml:space="preserve"> </w:t>
      </w:r>
    </w:p>
    <w:p w14:paraId="3E9C39FC" w14:textId="77777777" w:rsidR="00F824FE" w:rsidRDefault="00F824FE" w:rsidP="00F824FE">
      <w:pPr>
        <w:spacing w:before="100" w:beforeAutospacing="1" w:after="100" w:afterAutospacing="1" w:line="240" w:lineRule="auto"/>
        <w:ind w:left="720"/>
      </w:pPr>
      <w:r>
        <w:rPr>
          <w:rFonts w:ascii="Times New Roman" w:hAnsi="Times New Roman"/>
          <w:sz w:val="24"/>
          <w:szCs w:val="24"/>
        </w:rPr>
        <w:t xml:space="preserve">Note:  See Louisiana Firefighter Statutory Presumption </w:t>
      </w:r>
      <w:proofErr w:type="gramStart"/>
      <w:r>
        <w:rPr>
          <w:rFonts w:ascii="Times New Roman" w:hAnsi="Times New Roman"/>
          <w:sz w:val="24"/>
          <w:szCs w:val="24"/>
        </w:rPr>
        <w:t>For</w:t>
      </w:r>
      <w:proofErr w:type="gramEnd"/>
      <w:r>
        <w:rPr>
          <w:rFonts w:ascii="Times New Roman" w:hAnsi="Times New Roman"/>
          <w:sz w:val="24"/>
          <w:szCs w:val="24"/>
        </w:rPr>
        <w:t xml:space="preserve"> Hearing Loss</w:t>
      </w:r>
    </w:p>
    <w:p w14:paraId="0A694BA5" w14:textId="77777777" w:rsidR="00F824FE" w:rsidRPr="009240F1" w:rsidRDefault="00F824FE" w:rsidP="00F824FE">
      <w:pPr>
        <w:spacing w:before="100" w:beforeAutospacing="1" w:after="100" w:afterAutospacing="1" w:line="240" w:lineRule="auto"/>
        <w:rPr>
          <w:rFonts w:ascii="Times New Roman" w:eastAsia="Times New Roman" w:hAnsi="Times New Roman"/>
          <w:sz w:val="24"/>
          <w:szCs w:val="24"/>
        </w:rPr>
      </w:pPr>
      <w:r w:rsidRPr="009240F1">
        <w:rPr>
          <w:rFonts w:ascii="Times New Roman" w:eastAsia="Times New Roman" w:hAnsi="Times New Roman"/>
          <w:sz w:val="24"/>
          <w:szCs w:val="24"/>
        </w:rPr>
        <w:t> </w:t>
      </w:r>
      <w:r>
        <w:rPr>
          <w:rFonts w:ascii="Times New Roman" w:eastAsia="Times New Roman" w:hAnsi="Times New Roman"/>
          <w:sz w:val="24"/>
          <w:szCs w:val="24"/>
        </w:rPr>
        <w:tab/>
      </w:r>
      <w:r w:rsidRPr="009240F1">
        <w:rPr>
          <w:rFonts w:ascii="Times New Roman" w:eastAsia="Times New Roman" w:hAnsi="Times New Roman"/>
          <w:sz w:val="24"/>
          <w:szCs w:val="24"/>
        </w:rPr>
        <w:t>La. R.S. 33:2581.1 provides:</w:t>
      </w:r>
    </w:p>
    <w:p w14:paraId="0487BD48" w14:textId="77777777" w:rsidR="00F824FE" w:rsidRDefault="00F824FE" w:rsidP="00F824FE">
      <w:pPr>
        <w:pStyle w:val="ListParagraph"/>
        <w:numPr>
          <w:ilvl w:val="0"/>
          <w:numId w:val="5"/>
        </w:numPr>
        <w:spacing w:after="100" w:line="240" w:lineRule="auto"/>
        <w:rPr>
          <w:rFonts w:ascii="Times New Roman" w:eastAsia="Times New Roman" w:hAnsi="Times New Roman" w:cs="Times New Roman"/>
          <w:sz w:val="24"/>
          <w:szCs w:val="24"/>
        </w:rPr>
      </w:pPr>
      <w:r w:rsidRPr="00B3719C">
        <w:rPr>
          <w:rFonts w:ascii="Times New Roman" w:eastAsia="Times New Roman" w:hAnsi="Times New Roman" w:cs="Times New Roman"/>
          <w:sz w:val="24"/>
          <w:szCs w:val="24"/>
        </w:rPr>
        <w:t xml:space="preserve">Any loss of hearing which is ten percent greater than that of the affected employee's comparable age group in the general population and which develops during employment in the classified fire service in the state of Louisiana shall, for purposes of this Section only, be classified as a disease or infirmity connected with employment. The employee affected shall be entitled to medical benefits including hearing prosthesis as granted by the laws of the state of Louisiana to which one suffering an occupational disease is entitled, regardless of whether the fireman is on duty at the time he is stricken with the loss of hearing. Such loss of hearing shall be presumed to have </w:t>
      </w:r>
    </w:p>
    <w:p w14:paraId="66751971" w14:textId="77777777" w:rsidR="00F824FE" w:rsidRDefault="00F824FE" w:rsidP="00F824FE">
      <w:pPr>
        <w:pStyle w:val="ListParagraph"/>
        <w:spacing w:after="100" w:line="240" w:lineRule="auto"/>
        <w:ind w:left="1800"/>
        <w:rPr>
          <w:rFonts w:ascii="Times New Roman" w:eastAsia="Times New Roman" w:hAnsi="Times New Roman" w:cs="Times New Roman"/>
          <w:sz w:val="24"/>
          <w:szCs w:val="24"/>
        </w:rPr>
      </w:pPr>
    </w:p>
    <w:p w14:paraId="355DFD49" w14:textId="77777777" w:rsidR="00F824FE" w:rsidRDefault="00F824FE" w:rsidP="00F824FE">
      <w:pPr>
        <w:pStyle w:val="ListParagraph"/>
        <w:spacing w:after="100" w:line="240" w:lineRule="auto"/>
        <w:ind w:left="1800"/>
        <w:rPr>
          <w:rFonts w:ascii="Times New Roman" w:eastAsia="Times New Roman" w:hAnsi="Times New Roman" w:cs="Times New Roman"/>
          <w:sz w:val="24"/>
          <w:szCs w:val="24"/>
        </w:rPr>
      </w:pPr>
      <w:r w:rsidRPr="00B3719C">
        <w:rPr>
          <w:rFonts w:ascii="Times New Roman" w:eastAsia="Times New Roman" w:hAnsi="Times New Roman" w:cs="Times New Roman"/>
          <w:sz w:val="24"/>
          <w:szCs w:val="24"/>
        </w:rPr>
        <w:t>developed during employment and shall be presumed to have been caused by or to have resulted from the nature of the work performed whenever same is manifested at any time after the first five years of employment in such classified service. This presumption shall be rebuttable by evidence meeting judicial standards and shall be extended to an employee following termination of service for a period of twenty-four months.</w:t>
      </w:r>
    </w:p>
    <w:p w14:paraId="71CAAF4F" w14:textId="77777777" w:rsidR="00F824FE" w:rsidRDefault="00F824FE" w:rsidP="00F824FE">
      <w:pPr>
        <w:pStyle w:val="ListParagraph"/>
        <w:spacing w:after="100" w:line="240" w:lineRule="auto"/>
        <w:ind w:left="1800"/>
        <w:rPr>
          <w:rFonts w:ascii="Times New Roman" w:eastAsia="Times New Roman" w:hAnsi="Times New Roman" w:cs="Times New Roman"/>
          <w:sz w:val="24"/>
          <w:szCs w:val="24"/>
        </w:rPr>
      </w:pPr>
    </w:p>
    <w:p w14:paraId="2A645C4E" w14:textId="77777777" w:rsidR="00F824FE" w:rsidRDefault="00F824FE" w:rsidP="005C30A4">
      <w:pPr>
        <w:pStyle w:val="NoSpacing"/>
        <w:rPr>
          <w:rFonts w:ascii="Arial Black" w:hAnsi="Arial Black"/>
          <w:b/>
          <w:sz w:val="24"/>
          <w:szCs w:val="24"/>
        </w:rPr>
      </w:pPr>
    </w:p>
    <w:p w14:paraId="2D50AA47" w14:textId="77777777" w:rsidR="00F824FE" w:rsidRDefault="00F824FE" w:rsidP="005C30A4">
      <w:pPr>
        <w:pStyle w:val="NoSpacing"/>
        <w:rPr>
          <w:rFonts w:ascii="Arial Black" w:hAnsi="Arial Black"/>
          <w:b/>
          <w:sz w:val="24"/>
          <w:szCs w:val="24"/>
        </w:rPr>
      </w:pPr>
    </w:p>
    <w:p w14:paraId="6E7FF063" w14:textId="313A86C3" w:rsidR="001C563D" w:rsidRDefault="001C563D" w:rsidP="005C30A4">
      <w:pPr>
        <w:pStyle w:val="NoSpacing"/>
        <w:rPr>
          <w:rFonts w:ascii="Arial Black" w:hAnsi="Arial Black"/>
          <w:b/>
          <w:sz w:val="24"/>
          <w:szCs w:val="24"/>
        </w:rPr>
      </w:pPr>
      <w:r>
        <w:rPr>
          <w:rFonts w:ascii="Arial Black" w:hAnsi="Arial Black"/>
          <w:b/>
          <w:sz w:val="24"/>
          <w:szCs w:val="24"/>
        </w:rPr>
        <w:t>9-13</w:t>
      </w:r>
    </w:p>
    <w:p w14:paraId="6A5FFA1B" w14:textId="7F0ADDB5" w:rsidR="001C563D" w:rsidRDefault="001C563D" w:rsidP="005C30A4">
      <w:pPr>
        <w:pStyle w:val="NoSpacing"/>
        <w:rPr>
          <w:rFonts w:ascii="Arial Black" w:hAnsi="Arial Black"/>
          <w:b/>
          <w:sz w:val="24"/>
          <w:szCs w:val="24"/>
        </w:rPr>
      </w:pPr>
    </w:p>
    <w:p w14:paraId="44C2D4A9" w14:textId="77777777" w:rsidR="001C563D" w:rsidRDefault="001C563D" w:rsidP="001C563D">
      <w:pPr>
        <w:pStyle w:val="NoSpacing"/>
        <w:rPr>
          <w:rFonts w:ascii="Arial Black" w:hAnsi="Arial Black"/>
          <w:sz w:val="28"/>
          <w:szCs w:val="28"/>
        </w:rPr>
      </w:pPr>
      <w:r w:rsidRPr="001E444E">
        <w:rPr>
          <w:rFonts w:ascii="Arial Black" w:hAnsi="Arial Black"/>
          <w:sz w:val="28"/>
          <w:szCs w:val="28"/>
        </w:rPr>
        <w:t xml:space="preserve">NY: </w:t>
      </w:r>
      <w:r>
        <w:rPr>
          <w:rFonts w:ascii="Arial Black" w:hAnsi="Arial Black"/>
          <w:sz w:val="28"/>
          <w:szCs w:val="28"/>
        </w:rPr>
        <w:t>CIVILIAN FIRE PROTECTION INSPECTOR – ASTHMA, OFFICE ONLY WORK - NOT PROMOTED FIELD POSITION</w:t>
      </w:r>
    </w:p>
    <w:p w14:paraId="016522C7" w14:textId="77777777" w:rsidR="001C563D" w:rsidRDefault="001C563D" w:rsidP="001C563D">
      <w:pPr>
        <w:pStyle w:val="NoSpacing"/>
        <w:rPr>
          <w:rFonts w:ascii="Arial Black" w:hAnsi="Arial Black"/>
          <w:sz w:val="28"/>
          <w:szCs w:val="28"/>
        </w:rPr>
      </w:pPr>
    </w:p>
    <w:p w14:paraId="1FF3D56E" w14:textId="77777777" w:rsidR="001C563D" w:rsidRPr="00247349" w:rsidRDefault="001C563D" w:rsidP="001C563D">
      <w:pPr>
        <w:pStyle w:val="NoSpacing"/>
        <w:rPr>
          <w:rFonts w:ascii="Times New Roman" w:hAnsi="Times New Roman"/>
          <w:sz w:val="24"/>
          <w:szCs w:val="24"/>
        </w:rPr>
      </w:pPr>
      <w:r w:rsidRPr="001E444E">
        <w:rPr>
          <w:rFonts w:ascii="Times New Roman" w:hAnsi="Times New Roman"/>
          <w:sz w:val="24"/>
          <w:szCs w:val="24"/>
        </w:rPr>
        <w:t>On July 18, 2020</w:t>
      </w:r>
      <w:r>
        <w:rPr>
          <w:rFonts w:ascii="Times New Roman" w:hAnsi="Times New Roman"/>
          <w:sz w:val="24"/>
          <w:szCs w:val="24"/>
        </w:rPr>
        <w:t xml:space="preserve">, in </w:t>
      </w:r>
      <w:r w:rsidRPr="001E444E">
        <w:rPr>
          <w:rFonts w:ascii="Times New Roman" w:hAnsi="Times New Roman"/>
          <w:sz w:val="24"/>
          <w:szCs w:val="24"/>
          <w:u w:val="single"/>
        </w:rPr>
        <w:t>John Skariah v. The City of New York, et al</w:t>
      </w:r>
      <w:r>
        <w:rPr>
          <w:rFonts w:ascii="Times New Roman" w:hAnsi="Times New Roman"/>
          <w:sz w:val="24"/>
          <w:szCs w:val="24"/>
        </w:rPr>
        <w:t xml:space="preserve">., 2020 NY Slip Op 31890(U), Judge Lyle E. Frank, Supreme Court of State of New York (County Part 52) granted the City’s motion for summary judgment.  Plaintiff has been civilian employee with FDNY since 1992, and was promoted in 1997 to </w:t>
      </w:r>
      <w:r w:rsidRPr="00247349">
        <w:rPr>
          <w:rFonts w:ascii="Times New Roman" w:hAnsi="Times New Roman"/>
        </w:rPr>
        <w:t>Associate Fire Protection Inspector I</w:t>
      </w:r>
      <w:r>
        <w:rPr>
          <w:rFonts w:ascii="Times New Roman" w:hAnsi="Times New Roman"/>
        </w:rPr>
        <w:t xml:space="preserve">.  Plaintiff is from India </w:t>
      </w:r>
      <w:r w:rsidRPr="00247349">
        <w:rPr>
          <w:rFonts w:ascii="Times New Roman" w:hAnsi="Times New Roman"/>
          <w:sz w:val="24"/>
          <w:szCs w:val="24"/>
        </w:rPr>
        <w:t xml:space="preserve">and </w:t>
      </w:r>
      <w:r>
        <w:rPr>
          <w:rFonts w:ascii="Times New Roman" w:hAnsi="Times New Roman"/>
          <w:sz w:val="24"/>
          <w:szCs w:val="24"/>
        </w:rPr>
        <w:t xml:space="preserve">in </w:t>
      </w:r>
      <w:r w:rsidRPr="00247349">
        <w:rPr>
          <w:rFonts w:ascii="Times New Roman" w:hAnsi="Times New Roman"/>
          <w:sz w:val="24"/>
          <w:szCs w:val="24"/>
        </w:rPr>
        <w:t>1998</w:t>
      </w:r>
      <w:r>
        <w:rPr>
          <w:rFonts w:ascii="Times New Roman" w:hAnsi="Times New Roman"/>
          <w:sz w:val="24"/>
          <w:szCs w:val="24"/>
        </w:rPr>
        <w:t xml:space="preserve"> he</w:t>
      </w:r>
      <w:r w:rsidRPr="00247349">
        <w:rPr>
          <w:rFonts w:ascii="Times New Roman" w:hAnsi="Times New Roman"/>
          <w:sz w:val="24"/>
          <w:szCs w:val="24"/>
        </w:rPr>
        <w:t xml:space="preserve"> was given a raise and promoted from Associate Fire Inspector I to the position of Deputy Chief Inspector as part of a 1998 Equal Employment Opportunity Commission (</w:t>
      </w:r>
      <w:r>
        <w:rPr>
          <w:rFonts w:ascii="Times New Roman" w:hAnsi="Times New Roman"/>
          <w:sz w:val="24"/>
          <w:szCs w:val="24"/>
        </w:rPr>
        <w:t>‘</w:t>
      </w:r>
      <w:r w:rsidRPr="00247349">
        <w:rPr>
          <w:rFonts w:ascii="Times New Roman" w:hAnsi="Times New Roman"/>
          <w:sz w:val="24"/>
          <w:szCs w:val="24"/>
        </w:rPr>
        <w:t>EEOC</w:t>
      </w:r>
      <w:r>
        <w:rPr>
          <w:rFonts w:ascii="Times New Roman" w:hAnsi="Times New Roman"/>
          <w:sz w:val="24"/>
          <w:szCs w:val="24"/>
        </w:rPr>
        <w:t>’</w:t>
      </w:r>
      <w:r w:rsidRPr="00247349">
        <w:rPr>
          <w:rFonts w:ascii="Times New Roman" w:hAnsi="Times New Roman"/>
          <w:sz w:val="24"/>
          <w:szCs w:val="24"/>
        </w:rPr>
        <w:t>) Settlement Agreement.</w:t>
      </w:r>
      <w:r>
        <w:rPr>
          <w:rFonts w:ascii="Times New Roman" w:hAnsi="Times New Roman"/>
          <w:sz w:val="24"/>
          <w:szCs w:val="24"/>
        </w:rPr>
        <w:t xml:space="preserve"> </w:t>
      </w:r>
      <w:r w:rsidRPr="00247349">
        <w:rPr>
          <w:rFonts w:ascii="Times New Roman" w:hAnsi="Times New Roman"/>
          <w:sz w:val="24"/>
          <w:szCs w:val="24"/>
        </w:rPr>
        <w:t>“Plaintiff submitted a doctor's note to FDNY stating ‘</w:t>
      </w:r>
      <w:r>
        <w:rPr>
          <w:rFonts w:ascii="Times New Roman" w:hAnsi="Times New Roman"/>
          <w:sz w:val="24"/>
          <w:szCs w:val="24"/>
        </w:rPr>
        <w:t>P[</w:t>
      </w:r>
      <w:proofErr w:type="spellStart"/>
      <w:r>
        <w:rPr>
          <w:rFonts w:ascii="Times New Roman" w:hAnsi="Times New Roman"/>
          <w:sz w:val="24"/>
          <w:szCs w:val="24"/>
        </w:rPr>
        <w:t>atient</w:t>
      </w:r>
      <w:proofErr w:type="spellEnd"/>
      <w:r>
        <w:rPr>
          <w:rFonts w:ascii="Times New Roman" w:hAnsi="Times New Roman"/>
          <w:sz w:val="24"/>
          <w:szCs w:val="24"/>
        </w:rPr>
        <w:t xml:space="preserve">] </w:t>
      </w:r>
      <w:r w:rsidRPr="00247349">
        <w:rPr>
          <w:rFonts w:ascii="Times New Roman" w:hAnsi="Times New Roman"/>
          <w:sz w:val="24"/>
          <w:szCs w:val="24"/>
        </w:rPr>
        <w:t xml:space="preserve">is under my care for asthma. Due to his </w:t>
      </w:r>
      <w:proofErr w:type="gramStart"/>
      <w:r w:rsidRPr="00247349">
        <w:rPr>
          <w:rFonts w:ascii="Times New Roman" w:hAnsi="Times New Roman"/>
          <w:sz w:val="24"/>
          <w:szCs w:val="24"/>
        </w:rPr>
        <w:t>condition</w:t>
      </w:r>
      <w:proofErr w:type="gramEnd"/>
      <w:r w:rsidRPr="00247349">
        <w:rPr>
          <w:rFonts w:ascii="Times New Roman" w:hAnsi="Times New Roman"/>
          <w:sz w:val="24"/>
          <w:szCs w:val="24"/>
        </w:rPr>
        <w:t xml:space="preserve"> it is advisable for him to work in the office and not in the field.</w:t>
      </w:r>
      <w:r>
        <w:rPr>
          <w:rFonts w:ascii="Times New Roman" w:hAnsi="Times New Roman"/>
          <w:sz w:val="24"/>
          <w:szCs w:val="24"/>
        </w:rPr>
        <w:t xml:space="preserve"> *** </w:t>
      </w:r>
      <w:r w:rsidRPr="00247349">
        <w:rPr>
          <w:rFonts w:ascii="Times New Roman" w:hAnsi="Times New Roman"/>
          <w:sz w:val="24"/>
          <w:szCs w:val="24"/>
        </w:rPr>
        <w:t xml:space="preserve">Even if plaintiff could establish a prima facie claim, in response, defendants have proffered a legitimate </w:t>
      </w:r>
      <w:r w:rsidRPr="00247349">
        <w:rPr>
          <w:rFonts w:ascii="Times New Roman" w:hAnsi="Times New Roman"/>
          <w:sz w:val="24"/>
          <w:szCs w:val="24"/>
        </w:rPr>
        <w:lastRenderedPageBreak/>
        <w:t>nondiscriminatory reason for why plaintiff was not promoted, that is the disability he suffered for why a reasonable accommodation was required.</w:t>
      </w:r>
      <w:r>
        <w:rPr>
          <w:rFonts w:ascii="Times New Roman" w:hAnsi="Times New Roman"/>
          <w:sz w:val="24"/>
          <w:szCs w:val="24"/>
        </w:rPr>
        <w:t xml:space="preserve">” </w:t>
      </w:r>
      <w:hyperlink r:id="rId1732" w:history="1">
        <w:r w:rsidRPr="003B7380">
          <w:rPr>
            <w:rStyle w:val="Hyperlink"/>
            <w:rFonts w:ascii="Times New Roman" w:hAnsi="Times New Roman"/>
            <w:sz w:val="24"/>
            <w:szCs w:val="24"/>
          </w:rPr>
          <w:t>https://cases.justia.com/new-york/other-courts/2020-2020-ny-slip-op-31890-u.pdf?ts=1592946781</w:t>
        </w:r>
      </w:hyperlink>
      <w:r>
        <w:rPr>
          <w:rFonts w:ascii="Times New Roman" w:hAnsi="Times New Roman"/>
          <w:sz w:val="24"/>
          <w:szCs w:val="24"/>
        </w:rPr>
        <w:t xml:space="preserve"> </w:t>
      </w:r>
    </w:p>
    <w:p w14:paraId="684FAC16" w14:textId="77777777" w:rsidR="001C563D" w:rsidRDefault="001C563D" w:rsidP="001C563D">
      <w:pPr>
        <w:pStyle w:val="NoSpacing"/>
        <w:rPr>
          <w:rFonts w:ascii="Times New Roman" w:hAnsi="Times New Roman"/>
          <w:sz w:val="24"/>
          <w:szCs w:val="24"/>
        </w:rPr>
      </w:pPr>
    </w:p>
    <w:p w14:paraId="11A2055E" w14:textId="77777777" w:rsidR="001C563D" w:rsidRPr="00247349" w:rsidRDefault="001C563D" w:rsidP="001C563D">
      <w:pPr>
        <w:pStyle w:val="NoSpacing"/>
        <w:rPr>
          <w:rFonts w:ascii="Times New Roman" w:hAnsi="Times New Roman"/>
          <w:b/>
          <w:bCs/>
          <w:sz w:val="24"/>
          <w:szCs w:val="24"/>
        </w:rPr>
      </w:pPr>
      <w:r w:rsidRPr="00247349">
        <w:rPr>
          <w:rFonts w:ascii="Times New Roman" w:hAnsi="Times New Roman"/>
          <w:b/>
          <w:bCs/>
          <w:sz w:val="24"/>
          <w:szCs w:val="24"/>
        </w:rPr>
        <w:t>Legal Lessons Learned:</w:t>
      </w:r>
      <w:r>
        <w:rPr>
          <w:rFonts w:ascii="Times New Roman" w:hAnsi="Times New Roman"/>
          <w:b/>
          <w:bCs/>
          <w:sz w:val="24"/>
          <w:szCs w:val="24"/>
        </w:rPr>
        <w:t xml:space="preserve">  When employee advises employer they have a disability – in this case Asma requiring office position only, the employee’s lawsuit for not being promoted to positions requiring fieldwork will be dismissed. </w:t>
      </w:r>
    </w:p>
    <w:p w14:paraId="5EE86B47" w14:textId="77777777" w:rsidR="001C563D" w:rsidRDefault="001C563D" w:rsidP="005C30A4">
      <w:pPr>
        <w:pStyle w:val="NoSpacing"/>
        <w:rPr>
          <w:rFonts w:ascii="Arial Black" w:hAnsi="Arial Black"/>
          <w:b/>
          <w:sz w:val="24"/>
          <w:szCs w:val="24"/>
        </w:rPr>
      </w:pPr>
    </w:p>
    <w:p w14:paraId="5B66BF13" w14:textId="77777777" w:rsidR="001C563D" w:rsidRDefault="001C563D" w:rsidP="005C30A4">
      <w:pPr>
        <w:pStyle w:val="NoSpacing"/>
        <w:rPr>
          <w:rFonts w:ascii="Arial Black" w:hAnsi="Arial Black"/>
          <w:b/>
          <w:sz w:val="24"/>
          <w:szCs w:val="24"/>
        </w:rPr>
      </w:pPr>
    </w:p>
    <w:p w14:paraId="73217CB5" w14:textId="26DC4DBB" w:rsidR="00366CDD" w:rsidRDefault="00366CDD" w:rsidP="005C30A4">
      <w:pPr>
        <w:pStyle w:val="NoSpacing"/>
        <w:rPr>
          <w:rFonts w:ascii="Arial Black" w:hAnsi="Arial Black"/>
          <w:b/>
          <w:sz w:val="24"/>
          <w:szCs w:val="24"/>
        </w:rPr>
      </w:pPr>
      <w:r>
        <w:rPr>
          <w:rFonts w:ascii="Arial Black" w:hAnsi="Arial Black"/>
          <w:b/>
          <w:sz w:val="24"/>
          <w:szCs w:val="24"/>
        </w:rPr>
        <w:t xml:space="preserve">9-12 </w:t>
      </w:r>
      <w:r w:rsidRPr="001C563D">
        <w:rPr>
          <w:rFonts w:ascii="Times New Roman" w:hAnsi="Times New Roman"/>
          <w:bCs/>
          <w:sz w:val="24"/>
          <w:szCs w:val="24"/>
        </w:rPr>
        <w:t>[Also filed</w:t>
      </w:r>
      <w:r w:rsidR="001C563D">
        <w:rPr>
          <w:rFonts w:ascii="Times New Roman" w:hAnsi="Times New Roman"/>
          <w:bCs/>
          <w:sz w:val="24"/>
          <w:szCs w:val="24"/>
        </w:rPr>
        <w:t>:</w:t>
      </w:r>
      <w:r w:rsidRPr="001C563D">
        <w:rPr>
          <w:rFonts w:ascii="Times New Roman" w:hAnsi="Times New Roman"/>
          <w:bCs/>
          <w:sz w:val="24"/>
          <w:szCs w:val="24"/>
        </w:rPr>
        <w:t xml:space="preserve"> Chap. 10 &amp; 15]</w:t>
      </w:r>
    </w:p>
    <w:p w14:paraId="3DA94BED" w14:textId="77777777" w:rsidR="00366CDD" w:rsidRPr="00A670C3" w:rsidRDefault="00366CDD" w:rsidP="00366CDD">
      <w:pPr>
        <w:spacing w:before="100" w:beforeAutospacing="1" w:after="100" w:afterAutospacing="1" w:line="240" w:lineRule="auto"/>
        <w:rPr>
          <w:rFonts w:ascii="Arial Black" w:eastAsia="Times New Roman" w:hAnsi="Arial Black"/>
          <w:sz w:val="28"/>
          <w:szCs w:val="28"/>
        </w:rPr>
      </w:pPr>
      <w:bookmarkStart w:id="354" w:name="_Hlk39818832"/>
      <w:bookmarkStart w:id="355" w:name="_Hlk38198073"/>
      <w:bookmarkStart w:id="356" w:name="_Hlk41155472"/>
      <w:r w:rsidRPr="00A670C3">
        <w:rPr>
          <w:rFonts w:ascii="Arial Black" w:eastAsia="Times New Roman" w:hAnsi="Arial Black"/>
          <w:sz w:val="28"/>
          <w:szCs w:val="28"/>
        </w:rPr>
        <w:t xml:space="preserve">PA: </w:t>
      </w:r>
      <w:r>
        <w:rPr>
          <w:rFonts w:ascii="Arial Black" w:eastAsia="Times New Roman" w:hAnsi="Arial Black"/>
          <w:sz w:val="28"/>
          <w:szCs w:val="28"/>
        </w:rPr>
        <w:t>FF PANIC ATTACK ON DUTY – PTSD, MEDICATION – NO LONGER QUALIFIED AS FF – TERMINATION NOT VIOL. ADA</w:t>
      </w:r>
    </w:p>
    <w:p w14:paraId="22D294EC" w14:textId="77777777" w:rsidR="00366CDD" w:rsidRPr="008561E5" w:rsidRDefault="00366CDD" w:rsidP="00366CDD">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April 17, 2020, in </w:t>
      </w:r>
      <w:r w:rsidRPr="008561E5">
        <w:rPr>
          <w:rFonts w:ascii="Times New Roman" w:eastAsia="Times New Roman" w:hAnsi="Times New Roman"/>
          <w:sz w:val="24"/>
          <w:szCs w:val="24"/>
          <w:u w:val="single"/>
        </w:rPr>
        <w:t xml:space="preserve">Robert Carpenter v. York Area United Fire </w:t>
      </w:r>
      <w:proofErr w:type="gramStart"/>
      <w:r w:rsidRPr="008561E5">
        <w:rPr>
          <w:rFonts w:ascii="Times New Roman" w:eastAsia="Times New Roman" w:hAnsi="Times New Roman"/>
          <w:sz w:val="24"/>
          <w:szCs w:val="24"/>
          <w:u w:val="single"/>
        </w:rPr>
        <w:t>And</w:t>
      </w:r>
      <w:proofErr w:type="gramEnd"/>
      <w:r w:rsidRPr="008561E5">
        <w:rPr>
          <w:rFonts w:ascii="Times New Roman" w:eastAsia="Times New Roman" w:hAnsi="Times New Roman"/>
          <w:sz w:val="24"/>
          <w:szCs w:val="24"/>
          <w:u w:val="single"/>
        </w:rPr>
        <w:t xml:space="preserve"> Rescue</w:t>
      </w:r>
      <w:r>
        <w:rPr>
          <w:rFonts w:ascii="Times New Roman" w:eastAsia="Times New Roman" w:hAnsi="Times New Roman"/>
          <w:sz w:val="24"/>
          <w:szCs w:val="24"/>
        </w:rPr>
        <w:t>, U.S. District Court Judge Christopher C. Conner, Chief Judge, Middle District of Pennsylvania, granted the FD’s motion for summary judgment.  The Court held that the firefighter was not a “</w:t>
      </w:r>
      <w:r w:rsidRPr="00A670C3">
        <w:rPr>
          <w:rFonts w:ascii="Times New Roman" w:eastAsia="Times New Roman" w:hAnsi="Times New Roman"/>
          <w:sz w:val="24"/>
          <w:szCs w:val="24"/>
        </w:rPr>
        <w:t>qualified individual for ADA purposes because he could not perform the essential functions of his job with or without reasonable accommodation</w:t>
      </w:r>
      <w:r>
        <w:rPr>
          <w:rFonts w:ascii="Times New Roman" w:eastAsia="Times New Roman" w:hAnsi="Times New Roman"/>
          <w:sz w:val="24"/>
          <w:szCs w:val="24"/>
        </w:rPr>
        <w:t>,” and indefinite leave of absence was not a reasonable accommodation; “</w:t>
      </w:r>
      <w:r w:rsidRPr="008561E5">
        <w:rPr>
          <w:rFonts w:ascii="Times New Roman" w:hAnsi="Times New Roman"/>
          <w:sz w:val="24"/>
          <w:szCs w:val="24"/>
        </w:rPr>
        <w:t xml:space="preserve">there must be some expectation that the employee could perform his essential job functions in the </w:t>
      </w:r>
      <w:r>
        <w:rPr>
          <w:rFonts w:ascii="Times New Roman" w:hAnsi="Times New Roman"/>
          <w:sz w:val="24"/>
          <w:szCs w:val="24"/>
        </w:rPr>
        <w:t>‘</w:t>
      </w:r>
      <w:r w:rsidRPr="008561E5">
        <w:rPr>
          <w:rFonts w:ascii="Times New Roman" w:hAnsi="Times New Roman"/>
          <w:sz w:val="24"/>
          <w:szCs w:val="24"/>
        </w:rPr>
        <w:t>near future</w:t>
      </w:r>
      <w:r>
        <w:rPr>
          <w:rFonts w:ascii="Times New Roman" w:hAnsi="Times New Roman"/>
          <w:sz w:val="24"/>
          <w:szCs w:val="24"/>
        </w:rPr>
        <w:t>’</w:t>
      </w:r>
      <w:r w:rsidRPr="008561E5">
        <w:rPr>
          <w:rFonts w:ascii="Times New Roman" w:hAnsi="Times New Roman"/>
          <w:sz w:val="24"/>
          <w:szCs w:val="24"/>
        </w:rPr>
        <w:t xml:space="preserve"> following the requested leave.</w:t>
      </w:r>
      <w:r>
        <w:rPr>
          <w:rFonts w:ascii="Times New Roman" w:hAnsi="Times New Roman"/>
          <w:sz w:val="24"/>
          <w:szCs w:val="24"/>
        </w:rPr>
        <w:t xml:space="preserve">   </w:t>
      </w:r>
    </w:p>
    <w:p w14:paraId="03A7E2B4" w14:textId="77777777" w:rsidR="00366CDD" w:rsidRDefault="00366CDD" w:rsidP="00366CDD">
      <w:pPr>
        <w:pStyle w:val="NormalWeb"/>
        <w:ind w:left="720"/>
      </w:pPr>
      <w:r>
        <w:t xml:space="preserve">“[Fire Department] </w:t>
      </w:r>
      <w:r w:rsidRPr="00A670C3">
        <w:t>argues that Carpenter is not a qualified individual for ADA purposes because he could not perform the essential functions of his job with or without reasonable accommodation. We agree.</w:t>
      </w:r>
      <w:r>
        <w:t xml:space="preserve">” </w:t>
      </w:r>
      <w:hyperlink r:id="rId1733" w:history="1">
        <w:r w:rsidRPr="00377614">
          <w:rPr>
            <w:rStyle w:val="Hyperlink"/>
          </w:rPr>
          <w:t>https://public.fastcase.com/Wl%2B2t%2BeVuI35%2FN70vAMFZkkc03nKI8qkpSJ%2FzmzLggswfoR1RvbDETmM60pPGUhc</w:t>
        </w:r>
      </w:hyperlink>
      <w:bookmarkEnd w:id="354"/>
      <w:r>
        <w:t xml:space="preserve"> </w:t>
      </w:r>
    </w:p>
    <w:p w14:paraId="1C30FA28" w14:textId="77777777" w:rsidR="00366CDD" w:rsidRPr="00DE2E06" w:rsidRDefault="00366CDD" w:rsidP="00366CDD">
      <w:pPr>
        <w:rPr>
          <w:rFonts w:ascii="Times New Roman" w:hAnsi="Times New Roman"/>
          <w:b/>
          <w:bCs/>
          <w:sz w:val="24"/>
          <w:szCs w:val="24"/>
        </w:rPr>
      </w:pPr>
      <w:bookmarkStart w:id="357" w:name="_Hlk40512021"/>
      <w:bookmarkEnd w:id="355"/>
      <w:r w:rsidRPr="00DE2E06">
        <w:rPr>
          <w:rFonts w:ascii="Times New Roman" w:hAnsi="Times New Roman"/>
          <w:b/>
          <w:bCs/>
          <w:sz w:val="24"/>
          <w:szCs w:val="24"/>
        </w:rPr>
        <w:t>Legal Lessons Learned:  FF on leave and undergoing treatment, who desires to get back to the job, needs to stay in communication with FD.</w:t>
      </w:r>
      <w:r>
        <w:rPr>
          <w:rFonts w:ascii="Times New Roman" w:hAnsi="Times New Roman"/>
          <w:b/>
          <w:bCs/>
          <w:sz w:val="24"/>
          <w:szCs w:val="24"/>
        </w:rPr>
        <w:t xml:space="preserve"> </w:t>
      </w:r>
      <w:bookmarkEnd w:id="357"/>
      <w:r>
        <w:rPr>
          <w:rFonts w:ascii="Times New Roman" w:hAnsi="Times New Roman"/>
          <w:b/>
          <w:bCs/>
          <w:sz w:val="24"/>
          <w:szCs w:val="24"/>
        </w:rPr>
        <w:t xml:space="preserve">  </w:t>
      </w:r>
      <w:bookmarkEnd w:id="356"/>
      <w:r>
        <w:rPr>
          <w:rFonts w:ascii="Times New Roman" w:hAnsi="Times New Roman"/>
          <w:b/>
          <w:bCs/>
          <w:sz w:val="24"/>
          <w:szCs w:val="24"/>
        </w:rPr>
        <w:t>FMLA also addressed (see below).</w:t>
      </w:r>
    </w:p>
    <w:p w14:paraId="1DF98835" w14:textId="21E082E4" w:rsidR="00366CDD" w:rsidRPr="00063DF6" w:rsidRDefault="00366CDD" w:rsidP="00366CDD">
      <w:pPr>
        <w:pStyle w:val="NormalWeb"/>
        <w:ind w:left="720"/>
        <w:rPr>
          <w:b/>
          <w:bCs/>
        </w:rPr>
      </w:pPr>
      <w:r w:rsidRPr="00063DF6">
        <w:t xml:space="preserve">Note:  </w:t>
      </w:r>
      <w:r>
        <w:t xml:space="preserve">Court also held that the FF was not </w:t>
      </w:r>
      <w:proofErr w:type="gramStart"/>
      <w:r>
        <w:t>entitle</w:t>
      </w:r>
      <w:proofErr w:type="gramEnd"/>
      <w:r>
        <w:t xml:space="preserve"> the FMLA leave. </w:t>
      </w:r>
      <w:r>
        <w:rPr>
          <w:bCs/>
        </w:rPr>
        <w:t>“</w:t>
      </w:r>
      <w:r w:rsidRPr="00A670C3">
        <w:rPr>
          <w:bCs/>
        </w:rPr>
        <w:t>In a letter dated October 11, 2017, YAUFR denied Carpenter's FMLA leave request</w:t>
      </w:r>
      <w:r>
        <w:rPr>
          <w:bCs/>
        </w:rPr>
        <w:t>….</w:t>
      </w:r>
      <w:r>
        <w:rPr>
          <w:bCs/>
        </w:rPr>
        <w:tab/>
      </w:r>
      <w:r w:rsidRPr="00A670C3">
        <w:rPr>
          <w:bCs/>
        </w:rPr>
        <w:t xml:space="preserve"> YAUFR explained that, although it was a covered employer under the FMLA, it did not employ the requisite number of people for Carpenter to be considered an </w:t>
      </w:r>
      <w:r>
        <w:rPr>
          <w:bCs/>
        </w:rPr>
        <w:t>‘</w:t>
      </w:r>
      <w:r w:rsidRPr="00A670C3">
        <w:rPr>
          <w:bCs/>
        </w:rPr>
        <w:t>eligible employee</w:t>
      </w:r>
      <w:r>
        <w:rPr>
          <w:bCs/>
        </w:rPr>
        <w:t>’</w:t>
      </w:r>
      <w:r w:rsidRPr="00A670C3">
        <w:rPr>
          <w:bCs/>
        </w:rPr>
        <w:t xml:space="preserve"> under FMLA regulations.</w:t>
      </w:r>
      <w:r>
        <w:rPr>
          <w:bCs/>
        </w:rPr>
        <w:t xml:space="preserve"> *** </w:t>
      </w:r>
      <w:r w:rsidRPr="00063DF6">
        <w:rPr>
          <w:bCs/>
        </w:rPr>
        <w:t xml:space="preserve">To qualify as an </w:t>
      </w:r>
      <w:r>
        <w:rPr>
          <w:bCs/>
        </w:rPr>
        <w:t>‘</w:t>
      </w:r>
      <w:r w:rsidRPr="00063DF6">
        <w:rPr>
          <w:bCs/>
        </w:rPr>
        <w:t>eligible employee,</w:t>
      </w:r>
      <w:r>
        <w:rPr>
          <w:bCs/>
        </w:rPr>
        <w:t>’</w:t>
      </w:r>
      <w:r w:rsidRPr="00063DF6">
        <w:rPr>
          <w:bCs/>
        </w:rPr>
        <w:t xml:space="preserve"> the employee must be </w:t>
      </w:r>
      <w:r>
        <w:rPr>
          <w:bCs/>
        </w:rPr>
        <w:t>‘</w:t>
      </w:r>
      <w:r w:rsidRPr="00063DF6">
        <w:rPr>
          <w:bCs/>
        </w:rPr>
        <w:t>employed at a worksite where 50 or more employees are employed by the employer within 75 miles of that worksite.</w:t>
      </w:r>
      <w:r>
        <w:rPr>
          <w:bCs/>
        </w:rPr>
        <w:t>’</w:t>
      </w:r>
      <w:r w:rsidRPr="00063DF6">
        <w:rPr>
          <w:bCs/>
        </w:rPr>
        <w:t xml:space="preserve"> 29 C.F.R. § 825.110(a)(3); see 29 U.S.C. § 2611(2)(B)(ii). YAUFR avers, and Carpenter concedes, that YAUFR has never employed 50 or more people.</w:t>
      </w:r>
      <w:r>
        <w:rPr>
          <w:bCs/>
        </w:rPr>
        <w:t>”</w:t>
      </w:r>
    </w:p>
    <w:p w14:paraId="42395378" w14:textId="77777777" w:rsidR="00366CDD" w:rsidRDefault="00366CDD" w:rsidP="005C30A4">
      <w:pPr>
        <w:pStyle w:val="NoSpacing"/>
        <w:rPr>
          <w:rFonts w:ascii="Arial Black" w:hAnsi="Arial Black"/>
          <w:b/>
          <w:sz w:val="24"/>
          <w:szCs w:val="24"/>
        </w:rPr>
      </w:pPr>
    </w:p>
    <w:p w14:paraId="0DAB598C" w14:textId="77777777" w:rsidR="00366CDD" w:rsidRDefault="00366CDD" w:rsidP="005C30A4">
      <w:pPr>
        <w:pStyle w:val="NoSpacing"/>
        <w:rPr>
          <w:rFonts w:ascii="Arial Black" w:hAnsi="Arial Black"/>
          <w:b/>
          <w:sz w:val="24"/>
          <w:szCs w:val="24"/>
        </w:rPr>
      </w:pPr>
    </w:p>
    <w:p w14:paraId="058C5E4B" w14:textId="66BA21B0" w:rsidR="0066298F" w:rsidRDefault="0066298F" w:rsidP="005C30A4">
      <w:pPr>
        <w:pStyle w:val="NoSpacing"/>
        <w:rPr>
          <w:rFonts w:ascii="Arial Black" w:hAnsi="Arial Black"/>
          <w:b/>
          <w:sz w:val="24"/>
          <w:szCs w:val="24"/>
        </w:rPr>
      </w:pPr>
      <w:r>
        <w:rPr>
          <w:rFonts w:ascii="Arial Black" w:hAnsi="Arial Black"/>
          <w:b/>
          <w:sz w:val="24"/>
          <w:szCs w:val="24"/>
        </w:rPr>
        <w:t>9-11</w:t>
      </w:r>
    </w:p>
    <w:p w14:paraId="152D5C7A" w14:textId="0841815A" w:rsidR="0066298F" w:rsidRDefault="0066298F" w:rsidP="005C30A4">
      <w:pPr>
        <w:pStyle w:val="NoSpacing"/>
        <w:rPr>
          <w:rFonts w:ascii="Arial Black" w:hAnsi="Arial Black"/>
          <w:b/>
          <w:sz w:val="24"/>
          <w:szCs w:val="24"/>
        </w:rPr>
      </w:pPr>
    </w:p>
    <w:p w14:paraId="6BCFB4C2" w14:textId="77777777" w:rsidR="0066298F" w:rsidRDefault="0066298F" w:rsidP="0066298F">
      <w:pPr>
        <w:pStyle w:val="NoSpacing"/>
        <w:rPr>
          <w:rFonts w:ascii="Arial Black" w:hAnsi="Arial Black"/>
          <w:sz w:val="28"/>
          <w:szCs w:val="28"/>
        </w:rPr>
      </w:pPr>
      <w:bookmarkStart w:id="358" w:name="_Hlk39818972"/>
      <w:bookmarkStart w:id="359" w:name="_Hlk41299331"/>
      <w:r w:rsidRPr="0054472A">
        <w:rPr>
          <w:rFonts w:ascii="Arial Black" w:hAnsi="Arial Black"/>
          <w:sz w:val="28"/>
          <w:szCs w:val="28"/>
        </w:rPr>
        <w:t>EEOC</w:t>
      </w:r>
      <w:r>
        <w:rPr>
          <w:rFonts w:ascii="Arial Black" w:hAnsi="Arial Black"/>
          <w:sz w:val="28"/>
          <w:szCs w:val="28"/>
        </w:rPr>
        <w:t xml:space="preserve">: </w:t>
      </w:r>
      <w:r w:rsidRPr="0054472A">
        <w:rPr>
          <w:rFonts w:ascii="Arial Black" w:hAnsi="Arial Black"/>
          <w:sz w:val="28"/>
          <w:szCs w:val="28"/>
        </w:rPr>
        <w:t xml:space="preserve"> </w:t>
      </w:r>
      <w:r>
        <w:rPr>
          <w:rFonts w:ascii="Arial Black" w:hAnsi="Arial Black"/>
          <w:sz w:val="28"/>
          <w:szCs w:val="28"/>
        </w:rPr>
        <w:t>COVID19 PANDEMIC MEETS THE “DIRECT THREAT” STANDARD - MAY TEST EMPLOYEES – SOME FDs NOW SCREENING EVERY SHIFT</w:t>
      </w:r>
    </w:p>
    <w:p w14:paraId="1A5677BB" w14:textId="77777777" w:rsidR="0066298F" w:rsidRDefault="0066298F" w:rsidP="0066298F">
      <w:pPr>
        <w:pStyle w:val="NoSpacing"/>
        <w:rPr>
          <w:rFonts w:ascii="Arial Black" w:hAnsi="Arial Black"/>
          <w:sz w:val="28"/>
          <w:szCs w:val="28"/>
        </w:rPr>
      </w:pPr>
    </w:p>
    <w:p w14:paraId="023C0127" w14:textId="77777777" w:rsidR="0066298F" w:rsidRPr="00665BD0" w:rsidRDefault="0066298F" w:rsidP="0066298F">
      <w:pPr>
        <w:pStyle w:val="NoSpacing"/>
        <w:rPr>
          <w:rFonts w:ascii="Times New Roman" w:hAnsi="Times New Roman"/>
          <w:b/>
          <w:sz w:val="24"/>
          <w:szCs w:val="24"/>
        </w:rPr>
      </w:pPr>
      <w:r w:rsidRPr="00665BD0">
        <w:rPr>
          <w:rFonts w:ascii="Times New Roman" w:hAnsi="Times New Roman"/>
          <w:sz w:val="24"/>
          <w:szCs w:val="24"/>
        </w:rPr>
        <w:t>On March 21, 2020, the federal Equal Employment Opportunity Commission issued updated guidance:</w:t>
      </w:r>
    </w:p>
    <w:p w14:paraId="5304DBD5" w14:textId="77777777" w:rsidR="0066298F" w:rsidRPr="00665BD0" w:rsidRDefault="0066298F" w:rsidP="0066298F">
      <w:pPr>
        <w:pStyle w:val="NoSpacing"/>
        <w:rPr>
          <w:rFonts w:ascii="Times New Roman" w:hAnsi="Times New Roman"/>
          <w:b/>
          <w:sz w:val="24"/>
          <w:szCs w:val="24"/>
        </w:rPr>
      </w:pPr>
    </w:p>
    <w:p w14:paraId="540C02AE" w14:textId="7C7249BA" w:rsidR="0066298F" w:rsidRDefault="0066298F" w:rsidP="0066298F">
      <w:pPr>
        <w:pStyle w:val="NoSpacing"/>
        <w:ind w:left="720"/>
        <w:rPr>
          <w:rFonts w:ascii="Arial Black" w:hAnsi="Arial Black"/>
          <w:b/>
          <w:sz w:val="24"/>
          <w:szCs w:val="24"/>
        </w:rPr>
      </w:pPr>
      <w:r w:rsidRPr="006A5A83">
        <w:rPr>
          <w:rStyle w:val="Strong"/>
          <w:rFonts w:ascii="Times New Roman" w:hAnsi="Times New Roman"/>
          <w:b w:val="0"/>
          <w:bCs w:val="0"/>
          <w:sz w:val="24"/>
          <w:szCs w:val="24"/>
        </w:rPr>
        <w:t xml:space="preserve">“The EEOC is updating this 2009 publication to address its application to coronavirus disease 2019 (COVID-19).  Employers and employees should follow guidance from the Centers for Disease Control and Prevention (CDC) as well as state/local public health authorities on how best to slow the spread of this disease and protect workers, customers, clients, and the </w:t>
      </w:r>
      <w:proofErr w:type="gramStart"/>
      <w:r w:rsidRPr="006A5A83">
        <w:rPr>
          <w:rStyle w:val="Strong"/>
          <w:rFonts w:ascii="Times New Roman" w:hAnsi="Times New Roman"/>
          <w:b w:val="0"/>
          <w:bCs w:val="0"/>
          <w:sz w:val="24"/>
          <w:szCs w:val="24"/>
        </w:rPr>
        <w:t>general public</w:t>
      </w:r>
      <w:proofErr w:type="gramEnd"/>
      <w:r w:rsidRPr="006A5A83">
        <w:rPr>
          <w:rStyle w:val="Strong"/>
          <w:rFonts w:ascii="Times New Roman" w:hAnsi="Times New Roman"/>
          <w:b w:val="0"/>
          <w:bCs w:val="0"/>
          <w:sz w:val="24"/>
          <w:szCs w:val="24"/>
        </w:rPr>
        <w:t xml:space="preserve">.  The ADA and the Rehabilitation Act do not interfere with employers following advice from </w:t>
      </w:r>
      <w:proofErr w:type="gramStart"/>
      <w:r w:rsidRPr="006A5A83">
        <w:rPr>
          <w:rStyle w:val="Strong"/>
          <w:rFonts w:ascii="Times New Roman" w:hAnsi="Times New Roman"/>
          <w:b w:val="0"/>
          <w:bCs w:val="0"/>
          <w:sz w:val="24"/>
          <w:szCs w:val="24"/>
        </w:rPr>
        <w:t>the CDC</w:t>
      </w:r>
      <w:proofErr w:type="gramEnd"/>
      <w:r w:rsidRPr="006A5A83">
        <w:rPr>
          <w:rStyle w:val="Strong"/>
          <w:rFonts w:ascii="Times New Roman" w:hAnsi="Times New Roman"/>
          <w:b w:val="0"/>
          <w:bCs w:val="0"/>
          <w:sz w:val="24"/>
          <w:szCs w:val="24"/>
        </w:rPr>
        <w:t xml:space="preserve"> and other public health authorities on appropriate steps to take relating to the workplace.  This update retains the principles from the 2009 document but incorporates new information to respond to current employer questions.  For readers’ ease the COVID-19 updates are all in bold.” </w:t>
      </w:r>
      <w:hyperlink r:id="rId1734" w:anchor="q6" w:history="1">
        <w:r w:rsidRPr="006A5A83">
          <w:rPr>
            <w:rStyle w:val="Hyperlink"/>
            <w:rFonts w:ascii="Times New Roman" w:hAnsi="Times New Roman"/>
            <w:b/>
            <w:bCs/>
            <w:sz w:val="24"/>
            <w:szCs w:val="24"/>
          </w:rPr>
          <w:t>https://www.eeoc.gov/facts/pandemic_flu.html?mc_cid=0f5c4e93d9&amp;mc_eid=3f2d24c371#q6</w:t>
        </w:r>
      </w:hyperlink>
    </w:p>
    <w:bookmarkEnd w:id="358"/>
    <w:p w14:paraId="6CC82D23" w14:textId="648C6F7E" w:rsidR="0066298F" w:rsidRDefault="0066298F" w:rsidP="005C30A4">
      <w:pPr>
        <w:pStyle w:val="NoSpacing"/>
        <w:rPr>
          <w:rFonts w:ascii="Arial Black" w:hAnsi="Arial Black"/>
          <w:b/>
          <w:sz w:val="24"/>
          <w:szCs w:val="24"/>
        </w:rPr>
      </w:pPr>
    </w:p>
    <w:p w14:paraId="1F976CB2" w14:textId="77777777" w:rsidR="0066298F" w:rsidRPr="00E0273B" w:rsidRDefault="0066298F" w:rsidP="0066298F">
      <w:pPr>
        <w:pStyle w:val="NoSpacing"/>
        <w:tabs>
          <w:tab w:val="left" w:pos="3070"/>
        </w:tabs>
        <w:rPr>
          <w:rFonts w:ascii="Times New Roman" w:hAnsi="Times New Roman"/>
          <w:sz w:val="24"/>
          <w:szCs w:val="24"/>
        </w:rPr>
      </w:pPr>
      <w:r w:rsidRPr="00665BD0">
        <w:rPr>
          <w:rFonts w:ascii="Times New Roman" w:hAnsi="Times New Roman"/>
          <w:b/>
          <w:sz w:val="24"/>
          <w:szCs w:val="24"/>
        </w:rPr>
        <w:t xml:space="preserve">Legal Lessons Learned: Fire &amp; EMS departments, </w:t>
      </w:r>
      <w:r>
        <w:rPr>
          <w:rFonts w:ascii="Times New Roman" w:hAnsi="Times New Roman"/>
          <w:b/>
          <w:sz w:val="24"/>
          <w:szCs w:val="24"/>
        </w:rPr>
        <w:t xml:space="preserve">with the concurrence of </w:t>
      </w:r>
      <w:r w:rsidRPr="00665BD0">
        <w:rPr>
          <w:rFonts w:ascii="Times New Roman" w:hAnsi="Times New Roman"/>
          <w:b/>
          <w:sz w:val="24"/>
          <w:szCs w:val="24"/>
        </w:rPr>
        <w:t xml:space="preserve">their Medical Director, </w:t>
      </w:r>
      <w:r>
        <w:rPr>
          <w:rFonts w:ascii="Times New Roman" w:hAnsi="Times New Roman"/>
          <w:b/>
          <w:sz w:val="24"/>
          <w:szCs w:val="24"/>
        </w:rPr>
        <w:t xml:space="preserve">should consider </w:t>
      </w:r>
      <w:r w:rsidRPr="00665BD0">
        <w:rPr>
          <w:rFonts w:ascii="Times New Roman" w:hAnsi="Times New Roman"/>
          <w:b/>
          <w:sz w:val="24"/>
          <w:szCs w:val="24"/>
        </w:rPr>
        <w:t>tak</w:t>
      </w:r>
      <w:r>
        <w:rPr>
          <w:rFonts w:ascii="Times New Roman" w:hAnsi="Times New Roman"/>
          <w:b/>
          <w:sz w:val="24"/>
          <w:szCs w:val="24"/>
        </w:rPr>
        <w:t xml:space="preserve">ing </w:t>
      </w:r>
      <w:r w:rsidRPr="00665BD0">
        <w:rPr>
          <w:rFonts w:ascii="Times New Roman" w:hAnsi="Times New Roman"/>
          <w:b/>
          <w:sz w:val="24"/>
          <w:szCs w:val="24"/>
        </w:rPr>
        <w:t>the temperature of crews on each shift.</w:t>
      </w:r>
      <w:r w:rsidRPr="00665BD0">
        <w:rPr>
          <w:rFonts w:ascii="Times New Roman" w:hAnsi="Times New Roman"/>
          <w:bCs/>
          <w:sz w:val="24"/>
          <w:szCs w:val="24"/>
        </w:rPr>
        <w:t xml:space="preserve">   </w:t>
      </w:r>
      <w:r w:rsidRPr="00E0273B">
        <w:rPr>
          <w:rFonts w:ascii="Times New Roman" w:hAnsi="Times New Roman"/>
          <w:bCs/>
          <w:sz w:val="24"/>
          <w:szCs w:val="24"/>
        </w:rPr>
        <w:t>Note: The author of this Newsletter serves on the SW Ohio EMS Protocol Committee; two UC Health physicians on the committee sent out an update on March 27, 2019, including the following:</w:t>
      </w:r>
    </w:p>
    <w:p w14:paraId="0F31B877" w14:textId="77777777" w:rsidR="0066298F" w:rsidRPr="00E0273B" w:rsidRDefault="0066298F" w:rsidP="0066298F">
      <w:pPr>
        <w:ind w:left="720"/>
        <w:rPr>
          <w:rFonts w:ascii="Times New Roman" w:hAnsi="Times New Roman"/>
          <w:sz w:val="24"/>
          <w:szCs w:val="24"/>
        </w:rPr>
      </w:pPr>
      <w:r w:rsidRPr="00E0273B">
        <w:rPr>
          <w:rFonts w:ascii="Times New Roman" w:hAnsi="Times New Roman"/>
          <w:sz w:val="24"/>
          <w:szCs w:val="24"/>
        </w:rPr>
        <w:t>“Symptomatic Prehospital Provider Many Departments have already initiated screening of employees at the start of every shift.  Providers with fever (100.0 or higher) and/or symptoms should not work.  Symptomatic providers are a priority for COVID-19 testing.  The Department’s Employee Health and/or the provider’s PCP should be able to arrange testing.  The UC Health ‘Drive-Through’ testing center may be able to help (open M-F 10-4, must call 41-VIRUS to make appointment).  Test results may take 4-5 days</w:t>
      </w:r>
      <w:bookmarkEnd w:id="359"/>
      <w:r w:rsidRPr="00E0273B">
        <w:rPr>
          <w:rFonts w:ascii="Times New Roman" w:hAnsi="Times New Roman"/>
          <w:sz w:val="24"/>
          <w:szCs w:val="24"/>
        </w:rPr>
        <w:t>.”</w:t>
      </w:r>
    </w:p>
    <w:p w14:paraId="7A9E2251" w14:textId="77777777" w:rsidR="0066298F" w:rsidRDefault="0066298F" w:rsidP="005C30A4">
      <w:pPr>
        <w:pStyle w:val="NoSpacing"/>
        <w:rPr>
          <w:rFonts w:ascii="Arial Black" w:hAnsi="Arial Black"/>
          <w:b/>
          <w:sz w:val="24"/>
          <w:szCs w:val="24"/>
        </w:rPr>
      </w:pPr>
    </w:p>
    <w:p w14:paraId="5D5F0C6E" w14:textId="77777777" w:rsidR="0066298F" w:rsidRDefault="0066298F" w:rsidP="005C30A4">
      <w:pPr>
        <w:pStyle w:val="NoSpacing"/>
        <w:rPr>
          <w:rFonts w:ascii="Arial Black" w:hAnsi="Arial Black"/>
          <w:b/>
          <w:sz w:val="24"/>
          <w:szCs w:val="24"/>
        </w:rPr>
      </w:pPr>
    </w:p>
    <w:p w14:paraId="41047F17" w14:textId="77777777" w:rsidR="0066298F" w:rsidRDefault="0066298F" w:rsidP="005C30A4">
      <w:pPr>
        <w:pStyle w:val="NoSpacing"/>
        <w:rPr>
          <w:rFonts w:ascii="Arial Black" w:hAnsi="Arial Black"/>
          <w:b/>
          <w:sz w:val="24"/>
          <w:szCs w:val="24"/>
        </w:rPr>
      </w:pPr>
    </w:p>
    <w:p w14:paraId="752798EA" w14:textId="226CBFBD" w:rsidR="005C30A4" w:rsidRDefault="005C30A4" w:rsidP="005C30A4">
      <w:pPr>
        <w:pStyle w:val="NoSpacing"/>
        <w:rPr>
          <w:rFonts w:ascii="Arial Black" w:hAnsi="Arial Black"/>
          <w:b/>
          <w:sz w:val="24"/>
          <w:szCs w:val="24"/>
        </w:rPr>
      </w:pPr>
      <w:r>
        <w:rPr>
          <w:rFonts w:ascii="Arial Black" w:hAnsi="Arial Black"/>
          <w:b/>
          <w:sz w:val="24"/>
          <w:szCs w:val="24"/>
        </w:rPr>
        <w:t>9-10</w:t>
      </w:r>
    </w:p>
    <w:p w14:paraId="5F4DD4CB" w14:textId="77777777" w:rsidR="005C30A4" w:rsidRPr="00C14E57" w:rsidRDefault="005C30A4" w:rsidP="005C30A4">
      <w:pPr>
        <w:pStyle w:val="NormalWeb"/>
        <w:rPr>
          <w:rFonts w:ascii="Arial Black" w:hAnsi="Arial Black"/>
          <w:sz w:val="28"/>
          <w:szCs w:val="28"/>
        </w:rPr>
      </w:pPr>
      <w:r>
        <w:rPr>
          <w:rFonts w:ascii="Arial Black" w:hAnsi="Arial Black"/>
          <w:sz w:val="28"/>
          <w:szCs w:val="28"/>
        </w:rPr>
        <w:t xml:space="preserve">LA: DISPATCHER FIRED - POOR WORK PERFORMANCE – CLAIMED ANXIETY – DIDN’T REQUEST ACCOMODATIONS </w:t>
      </w:r>
    </w:p>
    <w:p w14:paraId="47E94D8E" w14:textId="77777777" w:rsidR="005C30A4" w:rsidRPr="00465FB3" w:rsidRDefault="005C30A4" w:rsidP="005C30A4">
      <w:pPr>
        <w:spacing w:before="100" w:beforeAutospacing="1" w:after="100" w:afterAutospacing="1" w:line="240" w:lineRule="auto"/>
        <w:rPr>
          <w:rFonts w:ascii="Times New Roman" w:eastAsia="Times New Roman" w:hAnsi="Times New Roman"/>
          <w:sz w:val="24"/>
          <w:szCs w:val="24"/>
        </w:rPr>
      </w:pPr>
      <w:r w:rsidRPr="00465FB3">
        <w:rPr>
          <w:rFonts w:ascii="Times New Roman" w:hAnsi="Times New Roman"/>
          <w:sz w:val="24"/>
          <w:szCs w:val="24"/>
        </w:rPr>
        <w:t xml:space="preserve">On Feb. 26, 2020, in </w:t>
      </w:r>
      <w:r w:rsidRPr="00465FB3">
        <w:rPr>
          <w:rFonts w:ascii="Times New Roman" w:hAnsi="Times New Roman"/>
          <w:sz w:val="24"/>
          <w:szCs w:val="24"/>
          <w:u w:val="single"/>
        </w:rPr>
        <w:t xml:space="preserve">Denise Watkins v. </w:t>
      </w:r>
      <w:r w:rsidRPr="00465FB3">
        <w:rPr>
          <w:rFonts w:ascii="Times New Roman" w:eastAsia="Times New Roman" w:hAnsi="Times New Roman"/>
          <w:sz w:val="24"/>
          <w:szCs w:val="24"/>
          <w:u w:val="single"/>
        </w:rPr>
        <w:t>Sheriff Michael Tregre</w:t>
      </w:r>
      <w:r w:rsidRPr="00465FB3">
        <w:rPr>
          <w:rFonts w:ascii="Times New Roman" w:eastAsia="Times New Roman" w:hAnsi="Times New Roman"/>
          <w:sz w:val="24"/>
          <w:szCs w:val="24"/>
        </w:rPr>
        <w:t xml:space="preserve">,  U.S. District Court Judge Greg Gerard Guidry, Eastern District of Louisiana, granted the Sheriff’s motion for summary judgment. </w:t>
      </w:r>
    </w:p>
    <w:p w14:paraId="53C247EB" w14:textId="5C512A4F" w:rsidR="005C30A4" w:rsidRDefault="005C30A4" w:rsidP="005C30A4">
      <w:pPr>
        <w:pStyle w:val="NoSpacing"/>
        <w:ind w:left="720"/>
        <w:rPr>
          <w:rFonts w:ascii="Arial Black" w:hAnsi="Arial Black"/>
          <w:b/>
          <w:sz w:val="24"/>
          <w:szCs w:val="24"/>
        </w:rPr>
      </w:pPr>
      <w:r w:rsidRPr="00465FB3">
        <w:rPr>
          <w:rFonts w:ascii="Times New Roman" w:hAnsi="Times New Roman"/>
          <w:bCs/>
          <w:sz w:val="24"/>
          <w:szCs w:val="24"/>
        </w:rPr>
        <w:t xml:space="preserve">“The Court finds Plaintiff has failed to produce competent summary judgment evidence to make out a </w:t>
      </w:r>
      <w:r w:rsidRPr="00465FB3">
        <w:rPr>
          <w:rFonts w:ascii="Times New Roman" w:hAnsi="Times New Roman"/>
          <w:bCs/>
          <w:i/>
          <w:iCs/>
          <w:sz w:val="24"/>
          <w:szCs w:val="24"/>
        </w:rPr>
        <w:t>prima facie</w:t>
      </w:r>
      <w:r w:rsidRPr="00465FB3">
        <w:rPr>
          <w:rFonts w:ascii="Times New Roman" w:hAnsi="Times New Roman"/>
          <w:bCs/>
          <w:sz w:val="24"/>
          <w:szCs w:val="24"/>
        </w:rPr>
        <w:t xml:space="preserve"> failure-to-accommodate claim. Plaintiff has not produced evidence to show that the consequential limitations of Plaintiff's alleged disability were known to Defendant or that Defendant failed to make reasonable </w:t>
      </w:r>
      <w:proofErr w:type="gramStart"/>
      <w:r w:rsidRPr="00465FB3">
        <w:rPr>
          <w:rFonts w:ascii="Times New Roman" w:hAnsi="Times New Roman"/>
          <w:bCs/>
          <w:sz w:val="24"/>
          <w:szCs w:val="24"/>
        </w:rPr>
        <w:t>accommodations</w:t>
      </w:r>
      <w:proofErr w:type="gramEnd"/>
      <w:r w:rsidRPr="00465FB3">
        <w:rPr>
          <w:rFonts w:ascii="Times New Roman" w:hAnsi="Times New Roman"/>
          <w:bCs/>
          <w:sz w:val="24"/>
          <w:szCs w:val="24"/>
        </w:rPr>
        <w:t xml:space="preserve"> for such limitations. Therefore, Defendant is entitled to judgment as a matter of law dismissing Plaintiff's failure-to-accommodate claim.” </w:t>
      </w:r>
      <w:hyperlink r:id="rId1735" w:history="1">
        <w:r w:rsidRPr="00465FB3">
          <w:rPr>
            <w:rStyle w:val="Hyperlink"/>
            <w:rFonts w:ascii="Times New Roman" w:hAnsi="Times New Roman"/>
            <w:bCs/>
            <w:sz w:val="24"/>
            <w:szCs w:val="24"/>
          </w:rPr>
          <w:t>https://public.fastcase.com/Wl%2B2t%2BeVuI35%2FN70vAMFZhmmbLojT%2FvpqyhULz0IXhVnEOLZ3Ga%2BMf6ctA4VMmca</w:t>
        </w:r>
      </w:hyperlink>
    </w:p>
    <w:p w14:paraId="1F7152B8" w14:textId="77777777" w:rsidR="005C30A4" w:rsidRPr="00465FB3" w:rsidRDefault="005C30A4" w:rsidP="005C30A4">
      <w:pPr>
        <w:pStyle w:val="NormalWeb"/>
        <w:rPr>
          <w:b/>
          <w:bCs/>
        </w:rPr>
      </w:pPr>
      <w:r w:rsidRPr="00465FB3">
        <w:rPr>
          <w:b/>
          <w:bCs/>
        </w:rPr>
        <w:t xml:space="preserve">Legal Lessons Learned:  As explained by the Court, “Under the ADA, an employer is only required to ‘accommodate the known limitations of an employee's disability."  A </w:t>
      </w:r>
      <w:r w:rsidRPr="00465FB3">
        <w:rPr>
          <w:b/>
          <w:bCs/>
          <w:i/>
          <w:iCs/>
        </w:rPr>
        <w:t>prima facie</w:t>
      </w:r>
      <w:r w:rsidRPr="00465FB3">
        <w:rPr>
          <w:b/>
          <w:bCs/>
        </w:rPr>
        <w:t xml:space="preserve"> case of failure-to-accommodate requires that: ‘(1) the plaintiff is a 'qualified individual with a disability;' (2) the disability and its consequential limitations were 'known' by the covered employer; and (3) the employer failed to make 'reasonable accommodations' for such known limitations.’”</w:t>
      </w:r>
    </w:p>
    <w:p w14:paraId="2B5B4844" w14:textId="67397E8A" w:rsidR="005C30A4" w:rsidRDefault="005C30A4" w:rsidP="005C30A4">
      <w:pPr>
        <w:pStyle w:val="NoSpacing"/>
        <w:rPr>
          <w:sz w:val="24"/>
          <w:szCs w:val="24"/>
        </w:rPr>
      </w:pPr>
    </w:p>
    <w:p w14:paraId="02F86562" w14:textId="77777777" w:rsidR="005C30A4" w:rsidRDefault="005C30A4" w:rsidP="005C30A4">
      <w:pPr>
        <w:pStyle w:val="NoSpacing"/>
        <w:rPr>
          <w:sz w:val="24"/>
          <w:szCs w:val="24"/>
        </w:rPr>
      </w:pPr>
    </w:p>
    <w:p w14:paraId="15086F11" w14:textId="2AB14CC9" w:rsidR="005C30A4" w:rsidRDefault="005C30A4" w:rsidP="005C30A4">
      <w:pPr>
        <w:pStyle w:val="NoSpacing"/>
        <w:rPr>
          <w:sz w:val="24"/>
          <w:szCs w:val="24"/>
        </w:rPr>
      </w:pPr>
    </w:p>
    <w:p w14:paraId="4164EED7" w14:textId="0E5604F2" w:rsidR="00997329" w:rsidRDefault="00997329" w:rsidP="005C30A4">
      <w:pPr>
        <w:pStyle w:val="NoSpacing"/>
        <w:rPr>
          <w:rFonts w:ascii="Arial Black" w:hAnsi="Arial Black"/>
          <w:b/>
          <w:sz w:val="24"/>
          <w:szCs w:val="24"/>
        </w:rPr>
      </w:pPr>
      <w:r>
        <w:rPr>
          <w:rFonts w:ascii="Arial Black" w:hAnsi="Arial Black"/>
          <w:b/>
          <w:sz w:val="24"/>
          <w:szCs w:val="24"/>
        </w:rPr>
        <w:t>9-9</w:t>
      </w:r>
    </w:p>
    <w:p w14:paraId="48F62CC5" w14:textId="77777777" w:rsidR="00997329" w:rsidRPr="00DB5BDD" w:rsidRDefault="00997329" w:rsidP="00997329">
      <w:pPr>
        <w:spacing w:before="100" w:beforeAutospacing="1" w:after="100" w:afterAutospacing="1" w:line="240" w:lineRule="auto"/>
        <w:rPr>
          <w:rFonts w:ascii="Arial Black" w:eastAsia="Times New Roman" w:hAnsi="Arial Black"/>
          <w:sz w:val="28"/>
          <w:szCs w:val="28"/>
        </w:rPr>
      </w:pPr>
      <w:r w:rsidRPr="00DB5BDD">
        <w:rPr>
          <w:rFonts w:ascii="Arial Black" w:eastAsia="Times New Roman" w:hAnsi="Arial Black"/>
          <w:sz w:val="28"/>
          <w:szCs w:val="28"/>
        </w:rPr>
        <w:t>NY:</w:t>
      </w:r>
      <w:r>
        <w:rPr>
          <w:rFonts w:ascii="Arial Black" w:eastAsia="Times New Roman" w:hAnsi="Arial Black"/>
          <w:sz w:val="28"/>
          <w:szCs w:val="28"/>
        </w:rPr>
        <w:t xml:space="preserve"> AFRICAN AMERICAN FFs WITH PFB – FDNY NEW POLICY REQUIRED FF TO SHAVE CHIN HAIR - VIOLATES ADA  </w:t>
      </w:r>
    </w:p>
    <w:p w14:paraId="27205C62" w14:textId="77777777" w:rsidR="00997329" w:rsidRPr="00465FB3" w:rsidRDefault="00997329" w:rsidP="00997329">
      <w:pPr>
        <w:tabs>
          <w:tab w:val="left" w:pos="6200"/>
        </w:tabs>
        <w:spacing w:before="100" w:beforeAutospacing="1" w:after="100" w:afterAutospacing="1" w:line="240" w:lineRule="auto"/>
        <w:rPr>
          <w:rFonts w:ascii="Times New Roman" w:eastAsia="Times New Roman" w:hAnsi="Times New Roman"/>
          <w:sz w:val="24"/>
          <w:szCs w:val="24"/>
        </w:rPr>
      </w:pPr>
      <w:r w:rsidRPr="00465FB3">
        <w:rPr>
          <w:rFonts w:ascii="Times New Roman" w:eastAsia="Times New Roman" w:hAnsi="Times New Roman"/>
          <w:sz w:val="24"/>
          <w:szCs w:val="24"/>
        </w:rPr>
        <w:t xml:space="preserve">On </w:t>
      </w:r>
      <w:bookmarkStart w:id="360" w:name="_Hlk39838735"/>
      <w:r w:rsidRPr="00465FB3">
        <w:rPr>
          <w:rFonts w:ascii="Times New Roman" w:eastAsia="Times New Roman" w:hAnsi="Times New Roman"/>
          <w:sz w:val="24"/>
          <w:szCs w:val="24"/>
        </w:rPr>
        <w:t xml:space="preserve">Jan. 29, 2020, in </w:t>
      </w:r>
      <w:r w:rsidRPr="00465FB3">
        <w:rPr>
          <w:rFonts w:ascii="Times New Roman" w:eastAsia="Times New Roman" w:hAnsi="Times New Roman"/>
          <w:sz w:val="24"/>
          <w:szCs w:val="24"/>
          <w:u w:val="single"/>
        </w:rPr>
        <w:t>Salif Bey, et al. v. City of New York</w:t>
      </w:r>
      <w:r w:rsidRPr="00465FB3">
        <w:rPr>
          <w:rFonts w:ascii="Times New Roman" w:eastAsia="Times New Roman" w:hAnsi="Times New Roman"/>
          <w:sz w:val="24"/>
          <w:szCs w:val="24"/>
        </w:rPr>
        <w:t xml:space="preserve">, </w:t>
      </w:r>
      <w:bookmarkEnd w:id="360"/>
      <w:r w:rsidRPr="00465FB3">
        <w:rPr>
          <w:rFonts w:ascii="Times New Roman" w:eastAsia="Times New Roman" w:hAnsi="Times New Roman"/>
          <w:sz w:val="24"/>
          <w:szCs w:val="24"/>
        </w:rPr>
        <w:t xml:space="preserve">Senior U.S. District Court Judge Jack B. Weinstein, Eastern District of New York, granted summary judgment to four FF who brought the lawsuit.   From Aug. 2015 until Dec. 2017, FDNY allowed 16 FF with </w:t>
      </w:r>
      <w:proofErr w:type="gramStart"/>
      <w:r w:rsidRPr="00465FB3">
        <w:rPr>
          <w:rFonts w:ascii="Times New Roman" w:eastAsia="Times New Roman" w:hAnsi="Times New Roman"/>
          <w:sz w:val="24"/>
          <w:szCs w:val="24"/>
        </w:rPr>
        <w:t>PFB to have</w:t>
      </w:r>
      <w:proofErr w:type="gramEnd"/>
      <w:r w:rsidRPr="00465FB3">
        <w:rPr>
          <w:rFonts w:ascii="Times New Roman" w:eastAsia="Times New Roman" w:hAnsi="Times New Roman"/>
          <w:sz w:val="24"/>
          <w:szCs w:val="24"/>
        </w:rPr>
        <w:t xml:space="preserve"> hair on their chin so long as they passed fit </w:t>
      </w:r>
      <w:proofErr w:type="gramStart"/>
      <w:r w:rsidRPr="00465FB3">
        <w:rPr>
          <w:rFonts w:ascii="Times New Roman" w:eastAsia="Times New Roman" w:hAnsi="Times New Roman"/>
          <w:sz w:val="24"/>
          <w:szCs w:val="24"/>
        </w:rPr>
        <w:t>test, but</w:t>
      </w:r>
      <w:proofErr w:type="gramEnd"/>
      <w:r w:rsidRPr="00465FB3">
        <w:rPr>
          <w:rFonts w:ascii="Times New Roman" w:eastAsia="Times New Roman" w:hAnsi="Times New Roman"/>
          <w:sz w:val="24"/>
          <w:szCs w:val="24"/>
        </w:rPr>
        <w:t xml:space="preserve"> changed the policy in 2018 to more strictly comply with OSHA requirements.  Judge, however, cited OSHA interpretation letter: </w:t>
      </w:r>
      <w:r w:rsidRPr="00465FB3">
        <w:rPr>
          <w:rFonts w:ascii="Times New Roman" w:eastAsia="Times New Roman" w:hAnsi="Times New Roman"/>
          <w:i/>
          <w:iCs/>
          <w:sz w:val="24"/>
          <w:szCs w:val="24"/>
        </w:rPr>
        <w:t xml:space="preserve">Facial hair is allowed </w:t>
      </w:r>
      <w:proofErr w:type="gramStart"/>
      <w:r w:rsidRPr="00465FB3">
        <w:rPr>
          <w:rFonts w:ascii="Times New Roman" w:eastAsia="Times New Roman" w:hAnsi="Times New Roman"/>
          <w:i/>
          <w:iCs/>
          <w:sz w:val="24"/>
          <w:szCs w:val="24"/>
        </w:rPr>
        <w:t>as long as</w:t>
      </w:r>
      <w:proofErr w:type="gramEnd"/>
      <w:r w:rsidRPr="00465FB3">
        <w:rPr>
          <w:rFonts w:ascii="Times New Roman" w:eastAsia="Times New Roman" w:hAnsi="Times New Roman"/>
          <w:i/>
          <w:iCs/>
          <w:sz w:val="24"/>
          <w:szCs w:val="24"/>
        </w:rPr>
        <w:t xml:space="preserve"> it does not protrude under the respirator seal, or extend far enough to interfere with the device's valve function.</w:t>
      </w:r>
    </w:p>
    <w:p w14:paraId="1F84D4C6" w14:textId="77777777" w:rsidR="00997329" w:rsidRPr="00465FB3" w:rsidRDefault="00997329" w:rsidP="00997329">
      <w:pPr>
        <w:spacing w:before="100" w:beforeAutospacing="1" w:after="100" w:afterAutospacing="1" w:line="240" w:lineRule="auto"/>
        <w:ind w:left="720"/>
        <w:rPr>
          <w:rFonts w:ascii="Times New Roman" w:eastAsia="Times New Roman" w:hAnsi="Times New Roman"/>
          <w:sz w:val="24"/>
          <w:szCs w:val="24"/>
        </w:rPr>
      </w:pPr>
      <w:r w:rsidRPr="00465FB3">
        <w:rPr>
          <w:rFonts w:ascii="Times New Roman" w:eastAsia="Times New Roman" w:hAnsi="Times New Roman"/>
          <w:sz w:val="24"/>
          <w:szCs w:val="24"/>
        </w:rPr>
        <w:t xml:space="preserve"> “Salik Bey (‘Bey’), Clyde Phillips (‘Phillips’), Steven Seymour (‘Seymour’) and Terrel Joseph (‘Joseph’) (collectively, ‘Plaintiffs’) are African American men who were employed as firefighters by the Fire Department of the City of New York (‘FDNY’ or ‘Department’) when the relevant events began. Amended </w:t>
      </w:r>
      <w:proofErr w:type="gramStart"/>
      <w:r w:rsidRPr="00465FB3">
        <w:rPr>
          <w:rFonts w:ascii="Times New Roman" w:eastAsia="Times New Roman" w:hAnsi="Times New Roman"/>
          <w:sz w:val="24"/>
          <w:szCs w:val="24"/>
        </w:rPr>
        <w:t>Complaint (‘</w:t>
      </w:r>
      <w:proofErr w:type="gramEnd"/>
      <w:r w:rsidRPr="00465FB3">
        <w:rPr>
          <w:rFonts w:ascii="Times New Roman" w:eastAsia="Times New Roman" w:hAnsi="Times New Roman"/>
          <w:sz w:val="24"/>
          <w:szCs w:val="24"/>
        </w:rPr>
        <w:t xml:space="preserve">Am. </w:t>
      </w:r>
      <w:proofErr w:type="spellStart"/>
      <w:r w:rsidRPr="00465FB3">
        <w:rPr>
          <w:rFonts w:ascii="Times New Roman" w:eastAsia="Times New Roman" w:hAnsi="Times New Roman"/>
          <w:sz w:val="24"/>
          <w:szCs w:val="24"/>
        </w:rPr>
        <w:t>Compl</w:t>
      </w:r>
      <w:proofErr w:type="spellEnd"/>
      <w:r w:rsidRPr="00465FB3">
        <w:rPr>
          <w:rFonts w:ascii="Times New Roman" w:eastAsia="Times New Roman" w:hAnsi="Times New Roman"/>
          <w:sz w:val="24"/>
          <w:szCs w:val="24"/>
        </w:rPr>
        <w:t xml:space="preserve">.’) ¶ 9, ECF No. 19. They suffer from Pseudofolliculitis Barbae ("PFB")—a physiological condition that causes disfigurement of the skin in the hair-bearing areas of the chin, cheek, and neck. </w:t>
      </w:r>
      <w:r w:rsidRPr="00465FB3">
        <w:rPr>
          <w:rFonts w:ascii="Times New Roman" w:eastAsia="Times New Roman" w:hAnsi="Times New Roman"/>
          <w:i/>
          <w:iCs/>
          <w:sz w:val="24"/>
          <w:szCs w:val="24"/>
        </w:rPr>
        <w:t>Id.</w:t>
      </w:r>
      <w:r w:rsidRPr="00465FB3">
        <w:rPr>
          <w:rFonts w:ascii="Times New Roman" w:eastAsia="Times New Roman" w:hAnsi="Times New Roman"/>
          <w:sz w:val="24"/>
          <w:szCs w:val="24"/>
        </w:rPr>
        <w:t xml:space="preserve"> at ¶¶ 22-23. *** By a letter dated May 9, 2016, OSHA interpreted the relevant RPS provision as clearing the way for Plaintiffs to maintain facial hair that does not protrude under the respirator seal:</w:t>
      </w:r>
    </w:p>
    <w:p w14:paraId="2C0EA5AA" w14:textId="0F525A13" w:rsidR="00997329" w:rsidRDefault="00997329" w:rsidP="00997329">
      <w:pPr>
        <w:ind w:left="720"/>
        <w:rPr>
          <w:rStyle w:val="Hyperlink"/>
          <w:rFonts w:ascii="Times New Roman" w:eastAsia="Times New Roman" w:hAnsi="Times New Roman"/>
          <w:sz w:val="24"/>
          <w:szCs w:val="24"/>
        </w:rPr>
      </w:pPr>
      <w:r w:rsidRPr="00465FB3">
        <w:rPr>
          <w:rFonts w:ascii="Times New Roman" w:eastAsia="Times New Roman" w:hAnsi="Times New Roman"/>
          <w:sz w:val="24"/>
          <w:szCs w:val="24"/>
        </w:rPr>
        <w:t>The Respiratory Protection standard, paragraph 29 CFR 1910.134(g)(1)(</w:t>
      </w:r>
      <w:proofErr w:type="spellStart"/>
      <w:r w:rsidRPr="00465FB3">
        <w:rPr>
          <w:rFonts w:ascii="Times New Roman" w:eastAsia="Times New Roman" w:hAnsi="Times New Roman"/>
          <w:sz w:val="24"/>
          <w:szCs w:val="24"/>
        </w:rPr>
        <w:t>i</w:t>
      </w:r>
      <w:proofErr w:type="spellEnd"/>
      <w:r w:rsidRPr="00465FB3">
        <w:rPr>
          <w:rFonts w:ascii="Times New Roman" w:eastAsia="Times New Roman" w:hAnsi="Times New Roman"/>
          <w:sz w:val="24"/>
          <w:szCs w:val="24"/>
        </w:rPr>
        <w:t xml:space="preserve">)(A), states that respirators shall not be worn when facial hair comes between the sealing surface of the facepiece and the face or that interferes with valve function. </w:t>
      </w:r>
      <w:r w:rsidRPr="00465FB3">
        <w:rPr>
          <w:rFonts w:ascii="Times New Roman" w:eastAsia="Times New Roman" w:hAnsi="Times New Roman"/>
          <w:i/>
          <w:iCs/>
          <w:sz w:val="24"/>
          <w:szCs w:val="24"/>
        </w:rPr>
        <w:t xml:space="preserve">Facial hair is allowed </w:t>
      </w:r>
      <w:proofErr w:type="gramStart"/>
      <w:r w:rsidRPr="00465FB3">
        <w:rPr>
          <w:rFonts w:ascii="Times New Roman" w:eastAsia="Times New Roman" w:hAnsi="Times New Roman"/>
          <w:i/>
          <w:iCs/>
          <w:sz w:val="24"/>
          <w:szCs w:val="24"/>
        </w:rPr>
        <w:t>as long as</w:t>
      </w:r>
      <w:proofErr w:type="gramEnd"/>
      <w:r w:rsidRPr="00465FB3">
        <w:rPr>
          <w:rFonts w:ascii="Times New Roman" w:eastAsia="Times New Roman" w:hAnsi="Times New Roman"/>
          <w:i/>
          <w:iCs/>
          <w:sz w:val="24"/>
          <w:szCs w:val="24"/>
        </w:rPr>
        <w:t xml:space="preserve"> it does not protrude under the respirator </w:t>
      </w:r>
      <w:proofErr w:type="gramStart"/>
      <w:r w:rsidRPr="00465FB3">
        <w:rPr>
          <w:rFonts w:ascii="Times New Roman" w:eastAsia="Times New Roman" w:hAnsi="Times New Roman"/>
          <w:i/>
          <w:iCs/>
          <w:sz w:val="24"/>
          <w:szCs w:val="24"/>
        </w:rPr>
        <w:t>seal, or</w:t>
      </w:r>
      <w:proofErr w:type="gramEnd"/>
      <w:r w:rsidRPr="00465FB3">
        <w:rPr>
          <w:rFonts w:ascii="Times New Roman" w:eastAsia="Times New Roman" w:hAnsi="Times New Roman"/>
          <w:i/>
          <w:iCs/>
          <w:sz w:val="24"/>
          <w:szCs w:val="24"/>
        </w:rPr>
        <w:t xml:space="preserve"> extend far enough to interfere with the device's valve function.</w:t>
      </w:r>
      <w:r w:rsidRPr="00465FB3">
        <w:rPr>
          <w:rFonts w:ascii="Times New Roman" w:eastAsia="Times New Roman" w:hAnsi="Times New Roman"/>
          <w:sz w:val="24"/>
          <w:szCs w:val="24"/>
        </w:rPr>
        <w:t xml:space="preserve"> Short mustaches, sideburns, and small goatees that are neatly trimmed so that no hair compromises the seal of the respirator usually do not present a hazard, and, therefore, do not violate paragraph 1910.134(g)(1)(</w:t>
      </w:r>
      <w:proofErr w:type="spellStart"/>
      <w:r w:rsidRPr="00465FB3">
        <w:rPr>
          <w:rFonts w:ascii="Times New Roman" w:eastAsia="Times New Roman" w:hAnsi="Times New Roman"/>
          <w:sz w:val="24"/>
          <w:szCs w:val="24"/>
        </w:rPr>
        <w:t>i</w:t>
      </w:r>
      <w:proofErr w:type="spellEnd"/>
      <w:r w:rsidRPr="00465FB3">
        <w:rPr>
          <w:rFonts w:ascii="Times New Roman" w:eastAsia="Times New Roman" w:hAnsi="Times New Roman"/>
          <w:sz w:val="24"/>
          <w:szCs w:val="24"/>
        </w:rPr>
        <w:t xml:space="preserve">). May 9, </w:t>
      </w:r>
      <w:proofErr w:type="gramStart"/>
      <w:r w:rsidRPr="00465FB3">
        <w:rPr>
          <w:rFonts w:ascii="Times New Roman" w:eastAsia="Times New Roman" w:hAnsi="Times New Roman"/>
          <w:sz w:val="24"/>
          <w:szCs w:val="24"/>
        </w:rPr>
        <w:t>2016</w:t>
      </w:r>
      <w:proofErr w:type="gramEnd"/>
      <w:r w:rsidRPr="00465FB3">
        <w:rPr>
          <w:rFonts w:ascii="Times New Roman" w:eastAsia="Times New Roman" w:hAnsi="Times New Roman"/>
          <w:sz w:val="24"/>
          <w:szCs w:val="24"/>
        </w:rPr>
        <w:t xml:space="preserve"> OSHA Interpretative Letter at 2, ECF No. 48-15 (emphasis added). *** On the theory and facts of the ‘failure to accommodate’ and disability discrimination claims under the Americans with Disabilities Act (‘ADA’), Plaintiffs are entitled to summary judgment against Defendants and to reinstatement of the accommodation previously in effect.”  </w:t>
      </w:r>
      <w:bookmarkStart w:id="361" w:name="_Hlk39838756"/>
      <w:r w:rsidR="00DC51D4">
        <w:fldChar w:fldCharType="begin"/>
      </w:r>
      <w:r w:rsidR="00DC51D4">
        <w:instrText xml:space="preserve"> HYPERLINK "https://scholar.google.com/scholar_case?case=10499866017529575475&amp;q=+Bey+v.+City+of+New+York&amp;hl=en&amp;as_sdt=6,36&amp;as_ylo=2020" </w:instrText>
      </w:r>
      <w:r w:rsidR="00DC51D4">
        <w:fldChar w:fldCharType="separate"/>
      </w:r>
      <w:r w:rsidRPr="00465FB3">
        <w:rPr>
          <w:rStyle w:val="Hyperlink"/>
          <w:rFonts w:ascii="Times New Roman" w:eastAsia="Times New Roman" w:hAnsi="Times New Roman"/>
          <w:sz w:val="24"/>
          <w:szCs w:val="24"/>
        </w:rPr>
        <w:t>https://scholar.google.com/scholar_case?case=10499866017529575475&amp;q=+Bey+v.+City+of+New+York&amp;hl=en&amp;as_sdt=6,36&amp;as_ylo=2020</w:t>
      </w:r>
      <w:r w:rsidR="00DC51D4">
        <w:rPr>
          <w:rStyle w:val="Hyperlink"/>
          <w:rFonts w:ascii="Times New Roman" w:eastAsia="Times New Roman" w:hAnsi="Times New Roman"/>
          <w:sz w:val="24"/>
          <w:szCs w:val="24"/>
        </w:rPr>
        <w:fldChar w:fldCharType="end"/>
      </w:r>
    </w:p>
    <w:bookmarkEnd w:id="361"/>
    <w:p w14:paraId="37988CF0" w14:textId="77777777" w:rsidR="00997329" w:rsidRPr="00465FB3" w:rsidRDefault="00997329" w:rsidP="00997329">
      <w:pPr>
        <w:spacing w:before="100" w:beforeAutospacing="1" w:after="100" w:afterAutospacing="1" w:line="240" w:lineRule="auto"/>
        <w:rPr>
          <w:rFonts w:ascii="Times New Roman" w:eastAsia="Times New Roman" w:hAnsi="Times New Roman"/>
          <w:b/>
          <w:bCs/>
          <w:sz w:val="24"/>
          <w:szCs w:val="24"/>
        </w:rPr>
      </w:pPr>
      <w:r w:rsidRPr="00465FB3">
        <w:rPr>
          <w:rFonts w:ascii="Times New Roman" w:eastAsia="Times New Roman" w:hAnsi="Times New Roman"/>
          <w:b/>
          <w:bCs/>
          <w:sz w:val="24"/>
          <w:szCs w:val="24"/>
        </w:rPr>
        <w:t xml:space="preserve">Legal Lessons Learned:  The OSHA interpretation letter, not requiring complete shaved face, was very important in this ADA litigation.   </w:t>
      </w:r>
    </w:p>
    <w:p w14:paraId="65563768" w14:textId="77777777" w:rsidR="00997329" w:rsidRDefault="00997329" w:rsidP="00997329">
      <w:pPr>
        <w:ind w:left="720"/>
        <w:rPr>
          <w:rFonts w:ascii="Arial Black" w:hAnsi="Arial Black"/>
          <w:b/>
          <w:sz w:val="24"/>
          <w:szCs w:val="24"/>
        </w:rPr>
      </w:pPr>
    </w:p>
    <w:p w14:paraId="173C5569" w14:textId="77777777" w:rsidR="00997329" w:rsidRDefault="00997329" w:rsidP="002B1283">
      <w:pPr>
        <w:rPr>
          <w:rFonts w:ascii="Arial Black" w:hAnsi="Arial Black"/>
          <w:b/>
          <w:sz w:val="24"/>
          <w:szCs w:val="24"/>
        </w:rPr>
      </w:pPr>
    </w:p>
    <w:p w14:paraId="538F52C2" w14:textId="582B7BE1" w:rsidR="00A52325" w:rsidRDefault="00177094" w:rsidP="002B1283">
      <w:pPr>
        <w:rPr>
          <w:rFonts w:ascii="Arial Black" w:hAnsi="Arial Black"/>
          <w:b/>
          <w:sz w:val="24"/>
          <w:szCs w:val="24"/>
        </w:rPr>
      </w:pPr>
      <w:r>
        <w:rPr>
          <w:rFonts w:ascii="Arial Black" w:hAnsi="Arial Black"/>
          <w:b/>
          <w:sz w:val="24"/>
          <w:szCs w:val="24"/>
        </w:rPr>
        <w:t>9-8</w:t>
      </w:r>
    </w:p>
    <w:p w14:paraId="4EEEDE16" w14:textId="77777777" w:rsidR="00177094" w:rsidRDefault="00177094" w:rsidP="00177094">
      <w:pPr>
        <w:pStyle w:val="NoSpacing"/>
        <w:rPr>
          <w:rFonts w:ascii="Arial Black" w:hAnsi="Arial Black"/>
          <w:b/>
          <w:bCs/>
          <w:sz w:val="28"/>
          <w:szCs w:val="28"/>
        </w:rPr>
      </w:pPr>
      <w:r>
        <w:rPr>
          <w:rFonts w:ascii="Arial Black" w:hAnsi="Arial Black"/>
          <w:bCs/>
          <w:sz w:val="28"/>
          <w:szCs w:val="28"/>
        </w:rPr>
        <w:t>GA: PARAMEDIC WITH MS – TEACHER / LAB ASSIS. – 3 DAYS SICK, COLLEGE REMOVED FULL SEMESTER – DOJ SETTLEMENT / BOJ BLOG</w:t>
      </w:r>
    </w:p>
    <w:p w14:paraId="490092D0" w14:textId="77777777" w:rsidR="00177094" w:rsidRPr="004236BE" w:rsidRDefault="00177094" w:rsidP="00177094">
      <w:pPr>
        <w:rPr>
          <w:rFonts w:ascii="Times New Roman" w:hAnsi="Times New Roman"/>
          <w:b/>
          <w:bCs/>
          <w:sz w:val="24"/>
          <w:szCs w:val="24"/>
        </w:rPr>
      </w:pPr>
      <w:r w:rsidRPr="00177094">
        <w:rPr>
          <w:rFonts w:ascii="Times New Roman" w:hAnsi="Times New Roman"/>
          <w:bCs/>
          <w:sz w:val="24"/>
          <w:szCs w:val="24"/>
        </w:rPr>
        <w:lastRenderedPageBreak/>
        <w:t>Ja</w:t>
      </w:r>
      <w:r w:rsidRPr="004236BE">
        <w:rPr>
          <w:rFonts w:ascii="Times New Roman" w:hAnsi="Times New Roman"/>
          <w:bCs/>
          <w:sz w:val="24"/>
          <w:szCs w:val="24"/>
        </w:rPr>
        <w:t xml:space="preserve">n. 27, 2020:  </w:t>
      </w:r>
      <w:proofErr w:type="spellStart"/>
      <w:r w:rsidRPr="004236BE">
        <w:rPr>
          <w:rFonts w:ascii="Times New Roman" w:hAnsi="Times New Roman"/>
          <w:bCs/>
          <w:sz w:val="24"/>
          <w:szCs w:val="24"/>
        </w:rPr>
        <w:t>DoJ</w:t>
      </w:r>
      <w:proofErr w:type="spellEnd"/>
      <w:r w:rsidRPr="004236BE">
        <w:rPr>
          <w:rFonts w:ascii="Times New Roman" w:hAnsi="Times New Roman"/>
          <w:bCs/>
          <w:sz w:val="24"/>
          <w:szCs w:val="24"/>
        </w:rPr>
        <w:t xml:space="preserve"> BLOG about settlement, about the Nov. 7, </w:t>
      </w:r>
      <w:proofErr w:type="gramStart"/>
      <w:r w:rsidRPr="004236BE">
        <w:rPr>
          <w:rFonts w:ascii="Times New Roman" w:hAnsi="Times New Roman"/>
          <w:bCs/>
          <w:sz w:val="24"/>
          <w:szCs w:val="24"/>
        </w:rPr>
        <w:t>2019</w:t>
      </w:r>
      <w:proofErr w:type="gramEnd"/>
      <w:r w:rsidRPr="004236BE">
        <w:rPr>
          <w:rFonts w:ascii="Times New Roman" w:hAnsi="Times New Roman"/>
          <w:bCs/>
          <w:sz w:val="24"/>
          <w:szCs w:val="24"/>
        </w:rPr>
        <w:t xml:space="preserve"> settlement:</w:t>
      </w:r>
      <w:r w:rsidRPr="004236BE">
        <w:rPr>
          <w:rFonts w:ascii="Times New Roman" w:hAnsi="Times New Roman"/>
          <w:bCs/>
          <w:sz w:val="24"/>
          <w:szCs w:val="24"/>
          <w:u w:val="single"/>
        </w:rPr>
        <w:t xml:space="preserve"> United States v. Lanier Technical College</w:t>
      </w:r>
      <w:r w:rsidRPr="004236BE">
        <w:rPr>
          <w:rFonts w:ascii="Times New Roman" w:hAnsi="Times New Roman"/>
          <w:bCs/>
          <w:sz w:val="24"/>
          <w:szCs w:val="24"/>
        </w:rPr>
        <w:t xml:space="preserve">: U.S. District Court, Northern District of Georgia (Atlanta).  </w:t>
      </w:r>
    </w:p>
    <w:p w14:paraId="360D0B5B" w14:textId="77777777" w:rsidR="00177094" w:rsidRPr="004236BE" w:rsidRDefault="00177094" w:rsidP="00177094">
      <w:pPr>
        <w:pStyle w:val="NoSpacing"/>
        <w:ind w:left="720"/>
        <w:rPr>
          <w:rFonts w:ascii="Times New Roman" w:hAnsi="Times New Roman"/>
          <w:b/>
          <w:bCs/>
          <w:sz w:val="24"/>
          <w:szCs w:val="24"/>
        </w:rPr>
      </w:pPr>
      <w:r w:rsidRPr="004236BE">
        <w:rPr>
          <w:rFonts w:ascii="Times New Roman" w:hAnsi="Times New Roman"/>
          <w:bCs/>
          <w:sz w:val="24"/>
          <w:szCs w:val="24"/>
        </w:rPr>
        <w:t xml:space="preserve">“From 2009-2012, in addition to working as a full-time paramedic, Ms. Queen worked evening shifts as a part-time EMT lab assistant at Lanier Technical College, a unit of the Technical College System of Georgia. She loved teaching and hoped to someday become a full-time instructor. One former colleague described Ms. Queen as a ‘superstar’ lab assistant whom ‘students loved.’ But after Ms. Queen took three days of sick leave due to her MS, the college removed her from the teaching schedule for an entire school semester, thus reducing her hours and pay to zero. As alleged by the Justice Department in a complaint filed in federal district court in November 2019, the college’s actions effectively terminated Ms. Queen’s employment </w:t>
      </w:r>
      <w:proofErr w:type="gramStart"/>
      <w:r w:rsidRPr="004236BE">
        <w:rPr>
          <w:rFonts w:ascii="Times New Roman" w:hAnsi="Times New Roman"/>
          <w:bCs/>
          <w:sz w:val="24"/>
          <w:szCs w:val="24"/>
        </w:rPr>
        <w:t>on the basis of</w:t>
      </w:r>
      <w:proofErr w:type="gramEnd"/>
      <w:r w:rsidRPr="004236BE">
        <w:rPr>
          <w:rFonts w:ascii="Times New Roman" w:hAnsi="Times New Roman"/>
          <w:bCs/>
          <w:sz w:val="24"/>
          <w:szCs w:val="24"/>
        </w:rPr>
        <w:t xml:space="preserve"> her disability, in violation of Title I of the ADA.” </w:t>
      </w:r>
    </w:p>
    <w:p w14:paraId="2D797B13" w14:textId="77777777" w:rsidR="00177094" w:rsidRPr="004236BE" w:rsidRDefault="00177094" w:rsidP="00177094">
      <w:pPr>
        <w:pStyle w:val="NoSpacing"/>
        <w:ind w:left="720"/>
        <w:rPr>
          <w:rFonts w:ascii="Times New Roman" w:hAnsi="Times New Roman"/>
          <w:b/>
          <w:bCs/>
          <w:sz w:val="24"/>
          <w:szCs w:val="24"/>
        </w:rPr>
      </w:pPr>
      <w:hyperlink r:id="rId1736" w:history="1">
        <w:r w:rsidRPr="004236BE">
          <w:rPr>
            <w:rStyle w:val="Hyperlink"/>
            <w:rFonts w:ascii="Times New Roman" w:hAnsi="Times New Roman"/>
            <w:b/>
            <w:sz w:val="24"/>
            <w:szCs w:val="24"/>
          </w:rPr>
          <w:t>https://www.justice.gov/opa/blog/americans-disabilities-act-30th-anniversary-furthering-promise</w:t>
        </w:r>
      </w:hyperlink>
      <w:r w:rsidRPr="004236BE">
        <w:rPr>
          <w:rStyle w:val="Hyperlink"/>
          <w:rFonts w:ascii="Times New Roman" w:hAnsi="Times New Roman"/>
          <w:b/>
          <w:sz w:val="24"/>
          <w:szCs w:val="24"/>
        </w:rPr>
        <w:t xml:space="preserve"> </w:t>
      </w:r>
    </w:p>
    <w:p w14:paraId="287359A7" w14:textId="77777777" w:rsidR="00177094" w:rsidRPr="004236BE" w:rsidRDefault="00177094" w:rsidP="00177094">
      <w:pPr>
        <w:pStyle w:val="NoSpacing"/>
        <w:rPr>
          <w:rFonts w:ascii="Times New Roman" w:hAnsi="Times New Roman"/>
          <w:b/>
          <w:bCs/>
          <w:sz w:val="24"/>
          <w:szCs w:val="24"/>
        </w:rPr>
      </w:pPr>
    </w:p>
    <w:p w14:paraId="6C4315A9" w14:textId="77777777" w:rsidR="00177094" w:rsidRPr="004236BE" w:rsidRDefault="00177094" w:rsidP="00177094">
      <w:pPr>
        <w:pStyle w:val="NormalWeb"/>
        <w:rPr>
          <w:b/>
        </w:rPr>
      </w:pPr>
      <w:r w:rsidRPr="004236BE">
        <w:rPr>
          <w:bCs/>
        </w:rPr>
        <w:t xml:space="preserve">Nov. 7, </w:t>
      </w:r>
      <w:proofErr w:type="gramStart"/>
      <w:r w:rsidRPr="004236BE">
        <w:rPr>
          <w:bCs/>
        </w:rPr>
        <w:t>2019</w:t>
      </w:r>
      <w:proofErr w:type="gramEnd"/>
      <w:r w:rsidRPr="004236BE">
        <w:rPr>
          <w:bCs/>
        </w:rPr>
        <w:t xml:space="preserve"> Settlement Press Release:</w:t>
      </w:r>
    </w:p>
    <w:p w14:paraId="64A2E4DC" w14:textId="77777777" w:rsidR="00177094" w:rsidRPr="004236BE" w:rsidRDefault="00177094" w:rsidP="00177094">
      <w:pPr>
        <w:pStyle w:val="NormalWeb"/>
        <w:ind w:left="720"/>
        <w:rPr>
          <w:b/>
        </w:rPr>
      </w:pPr>
      <w:r w:rsidRPr="004236BE">
        <w:t xml:space="preserve">“The agreement resolves the Department’s complaint alleging that the college terminated an employee, who has multiple sclerosis, </w:t>
      </w:r>
      <w:proofErr w:type="gramStart"/>
      <w:r w:rsidRPr="004236BE">
        <w:t>on the basis of</w:t>
      </w:r>
      <w:proofErr w:type="gramEnd"/>
      <w:r w:rsidRPr="004236BE">
        <w:t xml:space="preserve"> her disability after years of service to the college. The complaint further alleges that, after the employee took three days of sick leave one summer, the college removed her from the teaching schedule for an entire school semester, thus reducing her hours and pay to zero, due to her multiple sclerosis.” </w:t>
      </w:r>
      <w:hyperlink r:id="rId1737" w:history="1">
        <w:r w:rsidRPr="004236BE">
          <w:rPr>
            <w:rStyle w:val="Hyperlink"/>
            <w:b/>
          </w:rPr>
          <w:t>https://www.justice.gov/opa/pr/justice-department-settles-college-resolve-disability-discrimination-complaint</w:t>
        </w:r>
      </w:hyperlink>
      <w:r w:rsidRPr="004236BE">
        <w:t xml:space="preserve"> </w:t>
      </w:r>
    </w:p>
    <w:p w14:paraId="2DC290D6" w14:textId="77777777" w:rsidR="00177094" w:rsidRPr="004236BE" w:rsidRDefault="00177094" w:rsidP="00177094">
      <w:pPr>
        <w:pStyle w:val="NoSpacing"/>
        <w:rPr>
          <w:rFonts w:ascii="Times New Roman" w:hAnsi="Times New Roman"/>
          <w:sz w:val="24"/>
          <w:szCs w:val="24"/>
        </w:rPr>
      </w:pPr>
      <w:r w:rsidRPr="004236BE">
        <w:rPr>
          <w:rFonts w:ascii="Times New Roman" w:hAnsi="Times New Roman"/>
          <w:b/>
          <w:bCs/>
          <w:sz w:val="24"/>
          <w:szCs w:val="24"/>
        </w:rPr>
        <w:t>Legal Lessons Learned:  U.S. Department of Justice aggressively enforces the ADA</w:t>
      </w:r>
      <w:r>
        <w:rPr>
          <w:rFonts w:ascii="Times New Roman" w:hAnsi="Times New Roman"/>
          <w:b/>
          <w:bCs/>
          <w:sz w:val="24"/>
          <w:szCs w:val="24"/>
        </w:rPr>
        <w:t>, including this lawsuit on behalf of a paramedic and teacher</w:t>
      </w:r>
      <w:r w:rsidRPr="004236BE">
        <w:rPr>
          <w:rFonts w:ascii="Times New Roman" w:hAnsi="Times New Roman"/>
          <w:sz w:val="24"/>
          <w:szCs w:val="24"/>
        </w:rPr>
        <w:t xml:space="preserve">. </w:t>
      </w:r>
    </w:p>
    <w:p w14:paraId="395D64C0" w14:textId="77777777" w:rsidR="00177094" w:rsidRDefault="00177094" w:rsidP="002B1283">
      <w:pPr>
        <w:rPr>
          <w:rFonts w:ascii="Arial Black" w:hAnsi="Arial Black"/>
          <w:b/>
          <w:sz w:val="24"/>
          <w:szCs w:val="24"/>
        </w:rPr>
      </w:pPr>
    </w:p>
    <w:p w14:paraId="4C2DAA6F" w14:textId="473A62E6" w:rsidR="00A52325" w:rsidRDefault="00A52325" w:rsidP="002B1283">
      <w:pPr>
        <w:rPr>
          <w:rFonts w:ascii="Arial Black" w:hAnsi="Arial Black"/>
          <w:b/>
          <w:sz w:val="24"/>
          <w:szCs w:val="24"/>
        </w:rPr>
      </w:pPr>
      <w:r>
        <w:rPr>
          <w:rFonts w:ascii="Arial Black" w:hAnsi="Arial Black"/>
          <w:b/>
          <w:sz w:val="24"/>
          <w:szCs w:val="24"/>
        </w:rPr>
        <w:t>9-7</w:t>
      </w:r>
    </w:p>
    <w:p w14:paraId="7F08866C" w14:textId="77777777" w:rsidR="00A52325" w:rsidRDefault="00A52325" w:rsidP="00A52325">
      <w:pPr>
        <w:pStyle w:val="NoSpacing"/>
        <w:rPr>
          <w:rFonts w:ascii="Arial Black" w:hAnsi="Arial Black"/>
          <w:sz w:val="28"/>
          <w:szCs w:val="28"/>
        </w:rPr>
      </w:pPr>
      <w:r>
        <w:rPr>
          <w:rFonts w:ascii="Arial Black" w:hAnsi="Arial Black"/>
          <w:sz w:val="28"/>
          <w:szCs w:val="28"/>
        </w:rPr>
        <w:t>FL:  FIREFIGHTER LATE FOR MANY SHIFTS – CLAIMED DISABILITY – PROPERLY FIRED – ESSENTIAL JOB FUNCTION TO BE ONTIME</w:t>
      </w:r>
    </w:p>
    <w:p w14:paraId="0519CE15" w14:textId="77777777" w:rsidR="00A52325" w:rsidRDefault="00A52325" w:rsidP="00A52325">
      <w:pPr>
        <w:pStyle w:val="NoSpacing"/>
        <w:rPr>
          <w:rFonts w:ascii="Arial Black" w:hAnsi="Arial Black"/>
          <w:sz w:val="28"/>
          <w:szCs w:val="28"/>
        </w:rPr>
      </w:pPr>
    </w:p>
    <w:p w14:paraId="4A039E05" w14:textId="77777777" w:rsidR="00A52325" w:rsidRDefault="00A52325" w:rsidP="00A52325">
      <w:pPr>
        <w:pStyle w:val="NoSpacing"/>
        <w:rPr>
          <w:rFonts w:ascii="Times New Roman" w:hAnsi="Times New Roman"/>
          <w:sz w:val="24"/>
          <w:szCs w:val="24"/>
        </w:rPr>
      </w:pPr>
      <w:r>
        <w:rPr>
          <w:rFonts w:ascii="Times New Roman" w:hAnsi="Times New Roman"/>
          <w:sz w:val="24"/>
          <w:szCs w:val="24"/>
        </w:rPr>
        <w:t xml:space="preserve">On Nov. 13, 2019, in </w:t>
      </w:r>
      <w:r>
        <w:rPr>
          <w:rFonts w:ascii="Times New Roman" w:hAnsi="Times New Roman"/>
          <w:sz w:val="24"/>
          <w:szCs w:val="24"/>
          <w:u w:val="single"/>
        </w:rPr>
        <w:t>Darrell C. Hartwell v. Richard Spencer, Secretary of U.S. Navy</w:t>
      </w:r>
      <w:r>
        <w:rPr>
          <w:rFonts w:ascii="Times New Roman" w:hAnsi="Times New Roman"/>
          <w:sz w:val="24"/>
          <w:szCs w:val="24"/>
        </w:rPr>
        <w:t>, the U.S. Court of Appeals for 11</w:t>
      </w:r>
      <w:r>
        <w:rPr>
          <w:rFonts w:ascii="Times New Roman" w:hAnsi="Times New Roman"/>
          <w:sz w:val="24"/>
          <w:szCs w:val="24"/>
          <w:vertAlign w:val="superscript"/>
        </w:rPr>
        <w:t>th</w:t>
      </w:r>
      <w:r>
        <w:rPr>
          <w:rFonts w:ascii="Times New Roman" w:hAnsi="Times New Roman"/>
          <w:sz w:val="24"/>
          <w:szCs w:val="24"/>
        </w:rPr>
        <w:t xml:space="preserve"> Circuit (Atlanta) held (3 to 0) in an unpublished decision, that U.S. District Court properly granted summary judgment to the U.S. Navy. </w:t>
      </w:r>
    </w:p>
    <w:p w14:paraId="25F0E9D3" w14:textId="5DD02A5B" w:rsidR="00A52325" w:rsidRDefault="00A52325" w:rsidP="00A52325">
      <w:pPr>
        <w:pStyle w:val="Heading1"/>
        <w:ind w:left="720"/>
        <w:rPr>
          <w:rStyle w:val="Hyperlink"/>
          <w:b w:val="0"/>
          <w:bCs w:val="0"/>
          <w:sz w:val="24"/>
          <w:szCs w:val="24"/>
        </w:rPr>
      </w:pPr>
      <w:r>
        <w:rPr>
          <w:b w:val="0"/>
          <w:bCs w:val="0"/>
          <w:sz w:val="24"/>
          <w:szCs w:val="24"/>
        </w:rPr>
        <w:t xml:space="preserve">“Hartwell contends that his medical conditions impair his time management skills and the medication that he takes causes morning drowsiness, making it impossible for him to consistently report for work by 7:00 a.m. The only accommodation he requested was to allow him to come to work up to an hour late without prior notice. A few days before he was fired, Hartwell provided a note from his doctor stating that Hartwell’s condition was permanent, but that his symptoms could be ‘minimized’ ‘with long term individual counseling and medication.’ In other words, with or without the accommodation he requested, Hartwell expected to continue his pattern of frequent tardiness indefinitely. The pivotal issue on appeal, therefore, is whether punctuality is an essential function of the job of a firefighter/EMT. *** We agree with the district court that reporting to work on time was an essential function of Hartwell’s job as a firefighter/EMT. Because Hartwell could not perform this function with or without his requested accommodation, he is not “otherwise qualified” within the meaning of the Rehabilitation Act, and the district court correctly granted the defendant’s motion for summary judgment on this claim. </w:t>
      </w:r>
      <w:hyperlink r:id="rId1738" w:history="1">
        <w:r>
          <w:rPr>
            <w:rStyle w:val="Hyperlink"/>
            <w:b w:val="0"/>
            <w:bCs w:val="0"/>
            <w:sz w:val="24"/>
            <w:szCs w:val="24"/>
          </w:rPr>
          <w:t>http://media.ca11.uscourts.gov/opinions/unpub/files/201814488.pdf</w:t>
        </w:r>
      </w:hyperlink>
    </w:p>
    <w:p w14:paraId="1121DE4A" w14:textId="77777777" w:rsidR="00A52325" w:rsidRDefault="00A52325" w:rsidP="00A52325">
      <w:pPr>
        <w:pStyle w:val="NoSpacing"/>
        <w:rPr>
          <w:rFonts w:ascii="Times New Roman" w:hAnsi="Times New Roman"/>
          <w:b/>
          <w:bCs/>
          <w:sz w:val="24"/>
          <w:szCs w:val="24"/>
        </w:rPr>
      </w:pPr>
      <w:bookmarkStart w:id="362" w:name="_Hlk40512080"/>
      <w:r>
        <w:rPr>
          <w:rFonts w:ascii="Times New Roman" w:hAnsi="Times New Roman"/>
          <w:b/>
          <w:bCs/>
          <w:sz w:val="24"/>
          <w:szCs w:val="24"/>
        </w:rPr>
        <w:lastRenderedPageBreak/>
        <w:t>Legal Lessons Learned: The Court properly recognized the essential job function of a firefighters – to show up for work on time.</w:t>
      </w:r>
    </w:p>
    <w:bookmarkEnd w:id="362"/>
    <w:p w14:paraId="15F5C8B7" w14:textId="20036D16" w:rsidR="00A52325" w:rsidRPr="00A52325" w:rsidRDefault="00A52325" w:rsidP="00A52325">
      <w:pPr>
        <w:pStyle w:val="Heading1"/>
        <w:rPr>
          <w:b w:val="0"/>
          <w:sz w:val="24"/>
          <w:szCs w:val="24"/>
        </w:rPr>
      </w:pPr>
    </w:p>
    <w:p w14:paraId="744C8397" w14:textId="3DD3CC71" w:rsidR="009F0F05" w:rsidRPr="00BC70A3" w:rsidRDefault="009F0F05" w:rsidP="002B1283">
      <w:pPr>
        <w:rPr>
          <w:rFonts w:ascii="Times New Roman" w:hAnsi="Times New Roman"/>
          <w:b/>
          <w:sz w:val="24"/>
          <w:szCs w:val="24"/>
        </w:rPr>
      </w:pPr>
      <w:r>
        <w:rPr>
          <w:rFonts w:ascii="Arial Black" w:hAnsi="Arial Black"/>
          <w:b/>
          <w:sz w:val="24"/>
          <w:szCs w:val="24"/>
        </w:rPr>
        <w:t>9-6</w:t>
      </w:r>
      <w:r w:rsidR="00BC70A3">
        <w:rPr>
          <w:rFonts w:ascii="Arial Black" w:hAnsi="Arial Black"/>
          <w:b/>
          <w:sz w:val="24"/>
          <w:szCs w:val="24"/>
        </w:rPr>
        <w:t xml:space="preserve"> </w:t>
      </w:r>
      <w:r w:rsidR="00BC70A3" w:rsidRPr="00BC70A3">
        <w:rPr>
          <w:rFonts w:ascii="Times New Roman" w:hAnsi="Times New Roman"/>
          <w:b/>
          <w:sz w:val="24"/>
          <w:szCs w:val="24"/>
        </w:rPr>
        <w:t>[See also 9-17, FDNY case]</w:t>
      </w:r>
      <w:r w:rsidR="00BC70A3">
        <w:rPr>
          <w:rFonts w:ascii="Times New Roman" w:hAnsi="Times New Roman"/>
          <w:b/>
          <w:sz w:val="24"/>
          <w:szCs w:val="24"/>
        </w:rPr>
        <w:t xml:space="preserve"> </w:t>
      </w:r>
    </w:p>
    <w:p w14:paraId="630CE311" w14:textId="77777777" w:rsidR="009F0F05" w:rsidRPr="0029740B" w:rsidRDefault="009F0F05" w:rsidP="009F0F05">
      <w:pPr>
        <w:rPr>
          <w:rFonts w:ascii="Arial Black" w:hAnsi="Arial Black"/>
          <w:sz w:val="28"/>
          <w:szCs w:val="28"/>
        </w:rPr>
      </w:pPr>
      <w:bookmarkStart w:id="363" w:name="_Hlk39771125"/>
      <w:r w:rsidRPr="0029740B">
        <w:rPr>
          <w:rFonts w:ascii="Arial Black" w:hAnsi="Arial Black"/>
          <w:sz w:val="28"/>
          <w:szCs w:val="28"/>
        </w:rPr>
        <w:t>PA</w:t>
      </w:r>
      <w:r>
        <w:rPr>
          <w:rFonts w:ascii="Arial Black" w:hAnsi="Arial Black"/>
          <w:sz w:val="28"/>
          <w:szCs w:val="28"/>
        </w:rPr>
        <w:t>:  PAINFUL TO SHAVE – POLICE DEPT. REQUIRED MEDICAL CERT. EACH 60 DAYS – LAWSUIT REINSTATED FOR ADA BREACH</w:t>
      </w:r>
    </w:p>
    <w:p w14:paraId="61DD0D53" w14:textId="3190450A" w:rsidR="009F0F05" w:rsidRDefault="009F0F05" w:rsidP="009F0F05">
      <w:pPr>
        <w:rPr>
          <w:rFonts w:ascii="Times New Roman" w:hAnsi="Times New Roman"/>
          <w:sz w:val="24"/>
          <w:szCs w:val="24"/>
        </w:rPr>
      </w:pPr>
      <w:r w:rsidRPr="000113F5">
        <w:rPr>
          <w:rFonts w:ascii="Times New Roman" w:hAnsi="Times New Roman"/>
          <w:sz w:val="24"/>
          <w:szCs w:val="24"/>
        </w:rPr>
        <w:t xml:space="preserve">On Aug. 8, 2019, in </w:t>
      </w:r>
      <w:r w:rsidRPr="00080E6F">
        <w:rPr>
          <w:rFonts w:ascii="Times New Roman" w:hAnsi="Times New Roman"/>
          <w:sz w:val="24"/>
          <w:szCs w:val="24"/>
          <w:u w:val="single"/>
        </w:rPr>
        <w:t>Joseph H. Lewis, Jr. v. University of Pennsylvania</w:t>
      </w:r>
      <w:r>
        <w:rPr>
          <w:rFonts w:ascii="Times New Roman" w:hAnsi="Times New Roman"/>
          <w:sz w:val="24"/>
          <w:szCs w:val="24"/>
        </w:rPr>
        <w:t>, the U.S. Court of Appeals for Third Circuit (Philadelphia), held (3 to 0) that a U.S. District Court incorrectly dismissed his ADA lawsuit.  Chief Judge Smith wrote:</w:t>
      </w:r>
    </w:p>
    <w:p w14:paraId="78552036" w14:textId="77777777" w:rsidR="009F0F05" w:rsidRDefault="009F0F05" w:rsidP="009F0F05">
      <w:pPr>
        <w:pStyle w:val="NoSpacing"/>
        <w:ind w:left="1440"/>
        <w:rPr>
          <w:sz w:val="32"/>
          <w:szCs w:val="32"/>
        </w:rPr>
      </w:pPr>
      <w:r>
        <w:rPr>
          <w:rFonts w:ascii="Times New Roman" w:hAnsi="Times New Roman"/>
          <w:sz w:val="24"/>
          <w:szCs w:val="24"/>
        </w:rPr>
        <w:t>“</w:t>
      </w:r>
      <w:r w:rsidRPr="00425C6F">
        <w:rPr>
          <w:rFonts w:ascii="Times New Roman" w:hAnsi="Times New Roman"/>
          <w:sz w:val="24"/>
          <w:szCs w:val="24"/>
        </w:rPr>
        <w:t>This is an employment discrimination appeal arising out of Plaintiff Joseph Lewis’s previous employment with the University of Pennsylvania Police Department. Lewis suffers from a skin condition, pseudofolliculitis barbae (PFB), which has led to issues giving rise to his discrimination claims.</w:t>
      </w:r>
      <w:r>
        <w:rPr>
          <w:rFonts w:ascii="Times New Roman" w:hAnsi="Times New Roman"/>
          <w:sz w:val="24"/>
          <w:szCs w:val="24"/>
        </w:rPr>
        <w:t xml:space="preserve"> ***</w:t>
      </w:r>
    </w:p>
    <w:p w14:paraId="74C1B4F8" w14:textId="77777777" w:rsidR="009F0F05" w:rsidRDefault="009F0F05" w:rsidP="009F0F05">
      <w:pPr>
        <w:ind w:left="1440"/>
        <w:rPr>
          <w:rFonts w:ascii="Times New Roman" w:hAnsi="Times New Roman"/>
          <w:sz w:val="24"/>
          <w:szCs w:val="24"/>
        </w:rPr>
      </w:pPr>
      <w:r w:rsidRPr="00425C6F">
        <w:rPr>
          <w:rFonts w:ascii="Times New Roman" w:hAnsi="Times New Roman"/>
          <w:sz w:val="24"/>
          <w:szCs w:val="24"/>
        </w:rPr>
        <w:t xml:space="preserve">Lewis submitted a request for accommodation, requesting to </w:t>
      </w:r>
      <w:r>
        <w:rPr>
          <w:rFonts w:ascii="Times New Roman" w:hAnsi="Times New Roman"/>
          <w:sz w:val="24"/>
          <w:szCs w:val="24"/>
        </w:rPr>
        <w:t>‘</w:t>
      </w:r>
      <w:r w:rsidRPr="00425C6F">
        <w:rPr>
          <w:rFonts w:ascii="Times New Roman" w:hAnsi="Times New Roman"/>
          <w:sz w:val="24"/>
          <w:szCs w:val="24"/>
        </w:rPr>
        <w:t>not shave face or neck</w:t>
      </w:r>
      <w:r>
        <w:rPr>
          <w:rFonts w:ascii="Times New Roman" w:hAnsi="Times New Roman"/>
          <w:sz w:val="24"/>
          <w:szCs w:val="24"/>
        </w:rPr>
        <w:t xml:space="preserve">….’ </w:t>
      </w:r>
      <w:r w:rsidRPr="00425C6F">
        <w:rPr>
          <w:rFonts w:ascii="Times New Roman" w:hAnsi="Times New Roman"/>
          <w:sz w:val="24"/>
          <w:szCs w:val="24"/>
        </w:rPr>
        <w:t>Penn was then on notice of Lewis’s claimed disability and the fact that he wanted accommodation, such that Penn had a duty to engage with Lewis in good faith. It is not</w:t>
      </w:r>
      <w:r>
        <w:rPr>
          <w:rFonts w:ascii="Times New Roman" w:hAnsi="Times New Roman"/>
          <w:sz w:val="24"/>
          <w:szCs w:val="24"/>
        </w:rPr>
        <w:t xml:space="preserve"> </w:t>
      </w:r>
      <w:r w:rsidRPr="00425C6F">
        <w:rPr>
          <w:rFonts w:ascii="Times New Roman" w:hAnsi="Times New Roman"/>
          <w:sz w:val="24"/>
          <w:szCs w:val="24"/>
        </w:rPr>
        <w:t>clear that Penn did so. According to Lewis, Penn issued a flat denial without making any</w:t>
      </w:r>
      <w:r>
        <w:rPr>
          <w:rFonts w:ascii="Times New Roman" w:hAnsi="Times New Roman"/>
          <w:sz w:val="24"/>
          <w:szCs w:val="24"/>
        </w:rPr>
        <w:t xml:space="preserve"> </w:t>
      </w:r>
      <w:r w:rsidRPr="00425C6F">
        <w:rPr>
          <w:rFonts w:ascii="Times New Roman" w:hAnsi="Times New Roman"/>
          <w:sz w:val="24"/>
          <w:szCs w:val="24"/>
        </w:rPr>
        <w:t>effort to communicate with him regarding his needs.</w:t>
      </w:r>
      <w:r>
        <w:rPr>
          <w:rFonts w:ascii="Times New Roman" w:hAnsi="Times New Roman"/>
          <w:sz w:val="24"/>
          <w:szCs w:val="24"/>
        </w:rPr>
        <w:t xml:space="preserve"> </w:t>
      </w:r>
    </w:p>
    <w:p w14:paraId="554335AC" w14:textId="77777777" w:rsidR="00DE37CD" w:rsidRDefault="009F0F05" w:rsidP="00DE37CD">
      <w:pPr>
        <w:ind w:left="1440"/>
        <w:rPr>
          <w:rFonts w:ascii="Times New Roman" w:hAnsi="Times New Roman"/>
          <w:sz w:val="24"/>
          <w:szCs w:val="24"/>
        </w:rPr>
      </w:pPr>
      <w:r w:rsidRPr="00453137">
        <w:rPr>
          <w:rFonts w:ascii="Times New Roman" w:hAnsi="Times New Roman"/>
          <w:sz w:val="24"/>
          <w:szCs w:val="24"/>
        </w:rPr>
        <w:t xml:space="preserve">Where there is evidence that the employer did not act in good faith to identify </w:t>
      </w:r>
      <w:proofErr w:type="gramStart"/>
      <w:r w:rsidRPr="00453137">
        <w:rPr>
          <w:rFonts w:ascii="Times New Roman" w:hAnsi="Times New Roman"/>
          <w:sz w:val="24"/>
          <w:szCs w:val="24"/>
        </w:rPr>
        <w:t xml:space="preserve">an accommodation, </w:t>
      </w:r>
      <w:r>
        <w:rPr>
          <w:rFonts w:ascii="Times New Roman" w:hAnsi="Times New Roman"/>
          <w:sz w:val="24"/>
          <w:szCs w:val="24"/>
        </w:rPr>
        <w:t>‘</w:t>
      </w:r>
      <w:proofErr w:type="gramEnd"/>
      <w:r w:rsidRPr="00453137">
        <w:rPr>
          <w:rFonts w:ascii="Times New Roman" w:hAnsi="Times New Roman"/>
          <w:sz w:val="24"/>
          <w:szCs w:val="24"/>
        </w:rPr>
        <w:t>we will not readily</w:t>
      </w:r>
      <w:r>
        <w:rPr>
          <w:rFonts w:ascii="Times New Roman" w:hAnsi="Times New Roman"/>
          <w:sz w:val="24"/>
          <w:szCs w:val="24"/>
        </w:rPr>
        <w:t xml:space="preserve"> </w:t>
      </w:r>
      <w:r w:rsidRPr="00453137">
        <w:rPr>
          <w:rFonts w:ascii="Times New Roman" w:hAnsi="Times New Roman"/>
          <w:sz w:val="24"/>
          <w:szCs w:val="24"/>
        </w:rPr>
        <w:t xml:space="preserve">decide on summary judgment that accommodation was not </w:t>
      </w:r>
      <w:proofErr w:type="gramStart"/>
      <w:r w:rsidRPr="00453137">
        <w:rPr>
          <w:rFonts w:ascii="Times New Roman" w:hAnsi="Times New Roman"/>
          <w:sz w:val="24"/>
          <w:szCs w:val="24"/>
        </w:rPr>
        <w:t>possible</w:t>
      </w:r>
      <w:proofErr w:type="gramEnd"/>
      <w:r w:rsidRPr="00453137">
        <w:rPr>
          <w:rFonts w:ascii="Times New Roman" w:hAnsi="Times New Roman"/>
          <w:sz w:val="24"/>
          <w:szCs w:val="24"/>
        </w:rPr>
        <w:t xml:space="preserve"> and the employer’s bad faith could have no effect.</w:t>
      </w:r>
      <w:r>
        <w:rPr>
          <w:rFonts w:ascii="Times New Roman" w:hAnsi="Times New Roman"/>
          <w:sz w:val="24"/>
          <w:szCs w:val="24"/>
        </w:rPr>
        <w:t>’</w:t>
      </w:r>
      <w:r w:rsidRPr="00453137">
        <w:rPr>
          <w:rFonts w:ascii="Times New Roman" w:hAnsi="Times New Roman"/>
          <w:sz w:val="24"/>
          <w:szCs w:val="24"/>
        </w:rPr>
        <w:t xml:space="preserve"> Taylor, 184 F.3d at 31</w:t>
      </w:r>
      <w:r>
        <w:rPr>
          <w:rFonts w:ascii="Times New Roman" w:hAnsi="Times New Roman"/>
          <w:sz w:val="24"/>
          <w:szCs w:val="24"/>
        </w:rPr>
        <w:t>.”</w:t>
      </w:r>
      <w:r w:rsidR="00DE37CD">
        <w:rPr>
          <w:rFonts w:ascii="Times New Roman" w:hAnsi="Times New Roman"/>
          <w:sz w:val="24"/>
          <w:szCs w:val="24"/>
        </w:rPr>
        <w:t xml:space="preserve"> </w:t>
      </w:r>
      <w:hyperlink r:id="rId1739" w:history="1">
        <w:r w:rsidR="00DE37CD" w:rsidRPr="004A0E57">
          <w:rPr>
            <w:rStyle w:val="Hyperlink"/>
            <w:rFonts w:ascii="Times New Roman" w:hAnsi="Times New Roman"/>
            <w:sz w:val="24"/>
            <w:szCs w:val="24"/>
          </w:rPr>
          <w:t>https://cases.justia.com/federal/appellate-courts/ca3/18-2706/18-2706-2019-08-09.pdf?ts=1565368208</w:t>
        </w:r>
      </w:hyperlink>
      <w:r w:rsidR="00DE37CD">
        <w:rPr>
          <w:rFonts w:ascii="Times New Roman" w:hAnsi="Times New Roman"/>
          <w:sz w:val="24"/>
          <w:szCs w:val="24"/>
        </w:rPr>
        <w:t xml:space="preserve"> </w:t>
      </w:r>
    </w:p>
    <w:bookmarkEnd w:id="363"/>
    <w:p w14:paraId="464889F3" w14:textId="0E6EDC88" w:rsidR="009F0F05" w:rsidRDefault="009F0F05" w:rsidP="009F0F05">
      <w:pPr>
        <w:ind w:left="1440"/>
        <w:rPr>
          <w:rFonts w:ascii="Times New Roman" w:hAnsi="Times New Roman"/>
          <w:sz w:val="24"/>
          <w:szCs w:val="24"/>
        </w:rPr>
      </w:pPr>
    </w:p>
    <w:p w14:paraId="5FBB275B" w14:textId="77777777" w:rsidR="009F0F05" w:rsidRDefault="009F0F05" w:rsidP="009F0F05">
      <w:pPr>
        <w:pStyle w:val="Heading1"/>
        <w:rPr>
          <w:sz w:val="24"/>
          <w:szCs w:val="24"/>
        </w:rPr>
      </w:pPr>
      <w:r w:rsidRPr="00B922AC">
        <w:rPr>
          <w:sz w:val="24"/>
          <w:szCs w:val="24"/>
        </w:rPr>
        <w:t xml:space="preserve">Legal Lessons Learned:  The PD will now have to justify its business reasons for no beards, and its 60-day medical certifications.  See Aug. 12, </w:t>
      </w:r>
      <w:proofErr w:type="gramStart"/>
      <w:r w:rsidRPr="00B922AC">
        <w:rPr>
          <w:sz w:val="24"/>
          <w:szCs w:val="24"/>
        </w:rPr>
        <w:t>2019</w:t>
      </w:r>
      <w:proofErr w:type="gramEnd"/>
      <w:r w:rsidRPr="00B922AC">
        <w:rPr>
          <w:sz w:val="24"/>
          <w:szCs w:val="24"/>
        </w:rPr>
        <w:t xml:space="preserve"> article on this case: </w:t>
      </w:r>
      <w:hyperlink r:id="rId1740" w:history="1">
        <w:r w:rsidRPr="00B922AC">
          <w:rPr>
            <w:rStyle w:val="Hyperlink"/>
            <w:sz w:val="24"/>
            <w:szCs w:val="24"/>
          </w:rPr>
          <w:t>https://www.law.com/thelegalintelligencer/2019/08/12/third-circuit-revives-beard-related-discrimination-claims-against-upenn/</w:t>
        </w:r>
      </w:hyperlink>
      <w:r w:rsidRPr="00B922AC">
        <w:rPr>
          <w:sz w:val="24"/>
          <w:szCs w:val="24"/>
        </w:rPr>
        <w:t xml:space="preserve">  </w:t>
      </w:r>
    </w:p>
    <w:p w14:paraId="29E1B40A" w14:textId="18AF20B5" w:rsidR="009F0F05" w:rsidRPr="00B922AC" w:rsidRDefault="009F0F05" w:rsidP="009F0F05">
      <w:pPr>
        <w:pStyle w:val="Heading1"/>
        <w:rPr>
          <w:sz w:val="24"/>
          <w:szCs w:val="24"/>
        </w:rPr>
      </w:pPr>
      <w:r w:rsidRPr="00B922AC">
        <w:rPr>
          <w:sz w:val="24"/>
          <w:szCs w:val="24"/>
        </w:rPr>
        <w:t xml:space="preserve">There has been race discrimination litigation in fire service about not shaving because of this skin condition, </w:t>
      </w:r>
      <w:r w:rsidR="00715CF2" w:rsidRPr="00B922AC">
        <w:rPr>
          <w:sz w:val="24"/>
          <w:szCs w:val="24"/>
        </w:rPr>
        <w:t>pseudo folliculitis</w:t>
      </w:r>
      <w:r w:rsidRPr="00B922AC">
        <w:rPr>
          <w:sz w:val="24"/>
          <w:szCs w:val="24"/>
        </w:rPr>
        <w:t xml:space="preserve"> barbae (PFB).   For example, see 2018 lawsuit by four FDNY firefighters:  </w:t>
      </w:r>
    </w:p>
    <w:p w14:paraId="52C49F46" w14:textId="77777777" w:rsidR="009F0F05" w:rsidRPr="00715CF2" w:rsidRDefault="009F0F05" w:rsidP="00715CF2">
      <w:pPr>
        <w:pStyle w:val="Heading1"/>
        <w:ind w:left="720"/>
        <w:rPr>
          <w:b w:val="0"/>
          <w:bCs w:val="0"/>
          <w:sz w:val="24"/>
          <w:szCs w:val="24"/>
        </w:rPr>
      </w:pPr>
      <w:r w:rsidRPr="00715CF2">
        <w:rPr>
          <w:b w:val="0"/>
          <w:bCs w:val="0"/>
          <w:sz w:val="24"/>
          <w:szCs w:val="24"/>
        </w:rPr>
        <w:t xml:space="preserve">See also D.C. Fire Department case: March 25, 2015 article: “Fireman’s Beard Bias Claims Given a Trim,” – “Kennedy says that the discrimination against his race and disability kept him from advancing his firefighting career because of his beard growth, but U.S. District Judge Christopher Cooper dismissed parts of the action Friday after finding that ‘PFB does not constitute a disability under the prevailing … interpretation’ of the Americans with Disabilities Act. </w:t>
      </w:r>
      <w:hyperlink r:id="rId1741" w:history="1">
        <w:r w:rsidRPr="00715CF2">
          <w:rPr>
            <w:rStyle w:val="Hyperlink"/>
            <w:b w:val="0"/>
            <w:bCs w:val="0"/>
            <w:sz w:val="24"/>
            <w:szCs w:val="24"/>
          </w:rPr>
          <w:t>https://www.courthousenews.com/firemans-beard-bias-claims-given-a-trim/</w:t>
        </w:r>
      </w:hyperlink>
      <w:r w:rsidRPr="00715CF2">
        <w:rPr>
          <w:b w:val="0"/>
          <w:bCs w:val="0"/>
          <w:sz w:val="24"/>
          <w:szCs w:val="24"/>
        </w:rPr>
        <w:t xml:space="preserve"> </w:t>
      </w:r>
    </w:p>
    <w:p w14:paraId="5C1F30BF" w14:textId="77777777" w:rsidR="009F0F05" w:rsidRPr="00715CF2" w:rsidRDefault="009F0F05" w:rsidP="00715CF2">
      <w:pPr>
        <w:pStyle w:val="NoSpacing"/>
        <w:ind w:left="720"/>
        <w:rPr>
          <w:rFonts w:ascii="Times New Roman" w:hAnsi="Times New Roman"/>
          <w:sz w:val="24"/>
          <w:szCs w:val="24"/>
        </w:rPr>
      </w:pPr>
      <w:r w:rsidRPr="00715CF2">
        <w:rPr>
          <w:rFonts w:ascii="Times New Roman" w:hAnsi="Times New Roman"/>
          <w:sz w:val="24"/>
          <w:szCs w:val="24"/>
        </w:rPr>
        <w:t>See also 1993 decision by 11</w:t>
      </w:r>
      <w:r w:rsidRPr="00715CF2">
        <w:rPr>
          <w:rFonts w:ascii="Times New Roman" w:hAnsi="Times New Roman"/>
          <w:sz w:val="24"/>
          <w:szCs w:val="24"/>
          <w:vertAlign w:val="superscript"/>
        </w:rPr>
        <w:t>th</w:t>
      </w:r>
      <w:r w:rsidRPr="00715CF2">
        <w:rPr>
          <w:rFonts w:ascii="Times New Roman" w:hAnsi="Times New Roman"/>
          <w:sz w:val="24"/>
          <w:szCs w:val="24"/>
        </w:rPr>
        <w:t xml:space="preserve"> Circuit involving the Atlanta FD: “The City defends the policy, contending that the respirator masks used by firefighters cannot safely be worn by bearded men. The </w:t>
      </w:r>
      <w:r w:rsidRPr="00715CF2">
        <w:rPr>
          <w:rFonts w:ascii="Times New Roman" w:hAnsi="Times New Roman"/>
          <w:sz w:val="24"/>
          <w:szCs w:val="24"/>
        </w:rPr>
        <w:lastRenderedPageBreak/>
        <w:t xml:space="preserve">district court granted summary judgment for the City and the firefighters have appealed. For the reasons set forth below, we affirm the judgment of the district court.” </w:t>
      </w:r>
      <w:hyperlink r:id="rId1742" w:history="1">
        <w:r w:rsidRPr="00715CF2">
          <w:rPr>
            <w:rStyle w:val="Hyperlink"/>
            <w:rFonts w:ascii="Times New Roman" w:hAnsi="Times New Roman"/>
            <w:sz w:val="24"/>
            <w:szCs w:val="24"/>
          </w:rPr>
          <w:t>https://law.resource.org/pub/us/case/reporter/F3/002/2.F3d.1112.92-8306.html</w:t>
        </w:r>
      </w:hyperlink>
      <w:r w:rsidRPr="00715CF2">
        <w:rPr>
          <w:rFonts w:ascii="Times New Roman" w:hAnsi="Times New Roman"/>
          <w:sz w:val="24"/>
          <w:szCs w:val="24"/>
        </w:rPr>
        <w:t xml:space="preserve"> </w:t>
      </w:r>
    </w:p>
    <w:p w14:paraId="339DF3F1" w14:textId="77777777" w:rsidR="009F0F05" w:rsidRPr="00463590" w:rsidRDefault="009F0F05" w:rsidP="009F0F05">
      <w:pPr>
        <w:pStyle w:val="NoSpacing"/>
        <w:rPr>
          <w:rFonts w:ascii="Times New Roman" w:hAnsi="Times New Roman"/>
          <w:b/>
          <w:sz w:val="24"/>
          <w:szCs w:val="24"/>
        </w:rPr>
      </w:pPr>
    </w:p>
    <w:p w14:paraId="0DBDB7FA" w14:textId="3E7C98FE" w:rsidR="00715CF2" w:rsidRPr="00715CF2" w:rsidRDefault="00715CF2" w:rsidP="00715CF2">
      <w:pPr>
        <w:rPr>
          <w:rFonts w:ascii="Times New Roman" w:hAnsi="Times New Roman"/>
          <w:bCs/>
          <w:sz w:val="24"/>
          <w:szCs w:val="24"/>
        </w:rPr>
      </w:pPr>
    </w:p>
    <w:p w14:paraId="49F2B1BB" w14:textId="77777777" w:rsidR="009F0F05" w:rsidRDefault="009F0F05" w:rsidP="002B1283">
      <w:pPr>
        <w:rPr>
          <w:rFonts w:ascii="Arial Black" w:hAnsi="Arial Black"/>
          <w:b/>
          <w:sz w:val="24"/>
          <w:szCs w:val="24"/>
        </w:rPr>
      </w:pPr>
    </w:p>
    <w:p w14:paraId="2FC40598" w14:textId="3661331D" w:rsidR="00DE0F03" w:rsidRDefault="00DE0F03" w:rsidP="002B1283">
      <w:pPr>
        <w:rPr>
          <w:rFonts w:ascii="Arial Black" w:hAnsi="Arial Black"/>
          <w:b/>
          <w:bCs/>
          <w:sz w:val="28"/>
          <w:szCs w:val="28"/>
        </w:rPr>
      </w:pPr>
      <w:r>
        <w:rPr>
          <w:rFonts w:ascii="Arial Black" w:hAnsi="Arial Black"/>
          <w:b/>
          <w:sz w:val="24"/>
          <w:szCs w:val="24"/>
        </w:rPr>
        <w:t>9</w:t>
      </w:r>
      <w:r w:rsidRPr="00EF1133">
        <w:rPr>
          <w:rFonts w:ascii="Arial Black" w:hAnsi="Arial Black"/>
          <w:b/>
          <w:sz w:val="24"/>
          <w:szCs w:val="24"/>
        </w:rPr>
        <w:t>-</w:t>
      </w:r>
      <w:r>
        <w:rPr>
          <w:rFonts w:ascii="Arial Black" w:hAnsi="Arial Black"/>
          <w:b/>
          <w:sz w:val="24"/>
          <w:szCs w:val="24"/>
        </w:rPr>
        <w:t>5</w:t>
      </w:r>
    </w:p>
    <w:p w14:paraId="1EEEABA3" w14:textId="0F39998A" w:rsidR="002B1283" w:rsidRDefault="002B1283" w:rsidP="002B1283">
      <w:pPr>
        <w:rPr>
          <w:b/>
          <w:bCs/>
        </w:rPr>
      </w:pPr>
      <w:r w:rsidRPr="006709F6">
        <w:rPr>
          <w:rFonts w:ascii="Arial Black" w:hAnsi="Arial Black"/>
          <w:b/>
          <w:bCs/>
          <w:sz w:val="28"/>
          <w:szCs w:val="28"/>
        </w:rPr>
        <w:t xml:space="preserve">VA: </w:t>
      </w:r>
      <w:r>
        <w:rPr>
          <w:rFonts w:ascii="Arial Black" w:hAnsi="Arial Black"/>
          <w:b/>
          <w:bCs/>
          <w:sz w:val="28"/>
          <w:szCs w:val="28"/>
        </w:rPr>
        <w:t>FF With PTSD – MOVED TO DAY SHIFT TEMPORARILY - BUT LATER MOVED BACK TO 24/48 SHIFT - LAWSUIT TO PROCEED</w:t>
      </w:r>
    </w:p>
    <w:p w14:paraId="453B44A3" w14:textId="77777777" w:rsidR="002B1283" w:rsidRDefault="002B1283" w:rsidP="002B1283">
      <w:pPr>
        <w:rPr>
          <w:rFonts w:ascii="Times New Roman" w:hAnsi="Times New Roman"/>
          <w:sz w:val="24"/>
          <w:szCs w:val="24"/>
        </w:rPr>
      </w:pPr>
      <w:r w:rsidRPr="001F2E5E">
        <w:rPr>
          <w:rFonts w:ascii="Times New Roman" w:hAnsi="Times New Roman"/>
          <w:sz w:val="24"/>
          <w:szCs w:val="24"/>
        </w:rPr>
        <w:t xml:space="preserve">On </w:t>
      </w:r>
      <w:bookmarkStart w:id="364" w:name="_Hlk39839629"/>
      <w:r w:rsidRPr="001F2E5E">
        <w:rPr>
          <w:rFonts w:ascii="Times New Roman" w:hAnsi="Times New Roman"/>
          <w:sz w:val="24"/>
          <w:szCs w:val="24"/>
        </w:rPr>
        <w:t xml:space="preserve">July 8, 2019, in </w:t>
      </w:r>
      <w:r w:rsidRPr="001F2E5E">
        <w:rPr>
          <w:rFonts w:ascii="Times New Roman" w:hAnsi="Times New Roman"/>
          <w:sz w:val="24"/>
          <w:szCs w:val="24"/>
          <w:u w:val="single"/>
        </w:rPr>
        <w:t>David Webb v. Chesterfield County, Virginia</w:t>
      </w:r>
      <w:r>
        <w:rPr>
          <w:rFonts w:ascii="Times New Roman" w:hAnsi="Times New Roman"/>
          <w:sz w:val="24"/>
          <w:szCs w:val="24"/>
          <w:u w:val="single"/>
        </w:rPr>
        <w:t xml:space="preserve"> aka Chesterfield Fire And EMS</w:t>
      </w:r>
      <w:bookmarkEnd w:id="364"/>
      <w:r w:rsidRPr="001F2E5E">
        <w:rPr>
          <w:rFonts w:ascii="Times New Roman" w:hAnsi="Times New Roman"/>
          <w:sz w:val="24"/>
          <w:szCs w:val="24"/>
        </w:rPr>
        <w:t xml:space="preserve">, </w:t>
      </w:r>
      <w:r>
        <w:rPr>
          <w:rFonts w:ascii="Times New Roman" w:hAnsi="Times New Roman"/>
          <w:sz w:val="24"/>
          <w:szCs w:val="24"/>
        </w:rPr>
        <w:t xml:space="preserve">U.S. District Court Judge John A. Gibney, Jr. denied the County’s motion to dismiss, finding that the firefighter has alleged sufficient facts to proceed on his claim for failure to accommodate under Americans </w:t>
      </w:r>
      <w:proofErr w:type="gramStart"/>
      <w:r>
        <w:rPr>
          <w:rFonts w:ascii="Times New Roman" w:hAnsi="Times New Roman"/>
          <w:sz w:val="24"/>
          <w:szCs w:val="24"/>
        </w:rPr>
        <w:t>With</w:t>
      </w:r>
      <w:proofErr w:type="gramEnd"/>
      <w:r>
        <w:rPr>
          <w:rFonts w:ascii="Times New Roman" w:hAnsi="Times New Roman"/>
          <w:sz w:val="24"/>
          <w:szCs w:val="24"/>
        </w:rPr>
        <w:t xml:space="preserve"> Disabilities Act. </w:t>
      </w:r>
    </w:p>
    <w:p w14:paraId="0DC4F271" w14:textId="77777777" w:rsidR="002B1283" w:rsidRDefault="002B1283" w:rsidP="002B1283">
      <w:pPr>
        <w:ind w:left="720" w:firstLine="60"/>
        <w:rPr>
          <w:rFonts w:ascii="Times New Roman" w:hAnsi="Times New Roman"/>
          <w:sz w:val="24"/>
          <w:szCs w:val="24"/>
        </w:rPr>
      </w:pPr>
      <w:r>
        <w:rPr>
          <w:rFonts w:ascii="Times New Roman" w:hAnsi="Times New Roman"/>
          <w:sz w:val="24"/>
          <w:szCs w:val="24"/>
        </w:rPr>
        <w:t>“Under the ADA, an employer discriminates against an employee by failing to ‘</w:t>
      </w:r>
      <w:proofErr w:type="spellStart"/>
      <w:r>
        <w:rPr>
          <w:rFonts w:ascii="Times New Roman" w:hAnsi="Times New Roman"/>
          <w:sz w:val="24"/>
          <w:szCs w:val="24"/>
        </w:rPr>
        <w:t>mak</w:t>
      </w:r>
      <w:proofErr w:type="spellEnd"/>
      <w:r>
        <w:rPr>
          <w:rFonts w:ascii="Times New Roman" w:hAnsi="Times New Roman"/>
          <w:sz w:val="24"/>
          <w:szCs w:val="24"/>
        </w:rPr>
        <w:t xml:space="preserve">[e] reasonable accommodations to the known physical or mental limitations of an otherwise qualified individual with a disability … unless [the employer] can demonstrate that the accommodation would impose an undue hardship on the operation of the business[.]  42 USC 12112(b)(5)(A).” </w:t>
      </w:r>
      <w:bookmarkStart w:id="365" w:name="_Hlk39839646"/>
      <w:r w:rsidR="00DC51D4">
        <w:fldChar w:fldCharType="begin"/>
      </w:r>
      <w:r w:rsidR="00DC51D4">
        <w:instrText xml:space="preserve"> HYPERLINK "https://cases.justia.com/federal/district-courts/virginia/vaedce/3:2019cv00183/406487/16/0.pdf?ts=1562771986" </w:instrText>
      </w:r>
      <w:r w:rsidR="00DC51D4">
        <w:fldChar w:fldCharType="separate"/>
      </w:r>
      <w:r w:rsidRPr="00455844">
        <w:rPr>
          <w:rStyle w:val="Hyperlink"/>
          <w:rFonts w:ascii="Times New Roman" w:hAnsi="Times New Roman"/>
          <w:sz w:val="24"/>
          <w:szCs w:val="24"/>
        </w:rPr>
        <w:t>https://cases.justia.com/federal/district-courts/virginia/vaedce/3:2019cv00183/406487/16/0.pdf?ts=1562771986</w:t>
      </w:r>
      <w:r w:rsidR="00DC51D4">
        <w:rPr>
          <w:rStyle w:val="Hyperlink"/>
          <w:rFonts w:ascii="Times New Roman" w:hAnsi="Times New Roman"/>
          <w:sz w:val="24"/>
          <w:szCs w:val="24"/>
        </w:rPr>
        <w:fldChar w:fldCharType="end"/>
      </w:r>
      <w:r>
        <w:rPr>
          <w:rFonts w:ascii="Times New Roman" w:hAnsi="Times New Roman"/>
          <w:sz w:val="24"/>
          <w:szCs w:val="24"/>
        </w:rPr>
        <w:t xml:space="preserve"> </w:t>
      </w:r>
    </w:p>
    <w:bookmarkEnd w:id="365"/>
    <w:p w14:paraId="52E8FD38" w14:textId="77777777" w:rsidR="002B1283" w:rsidRPr="00E441EA" w:rsidRDefault="002B1283" w:rsidP="002B1283">
      <w:pPr>
        <w:pStyle w:val="NoSpacing"/>
        <w:rPr>
          <w:rFonts w:ascii="Times New Roman" w:hAnsi="Times New Roman"/>
          <w:b/>
          <w:bCs/>
          <w:sz w:val="24"/>
          <w:szCs w:val="24"/>
        </w:rPr>
      </w:pPr>
      <w:r w:rsidRPr="00E441EA">
        <w:rPr>
          <w:rFonts w:ascii="Times New Roman" w:hAnsi="Times New Roman"/>
          <w:b/>
          <w:bCs/>
          <w:sz w:val="24"/>
          <w:szCs w:val="24"/>
        </w:rPr>
        <w:t xml:space="preserve">Legal Lessons Learned: PTSD is a real issue in fire service. Studies have found that anywhere between approximately 7 percent and 37 percent of firefighters meet criteria for a current </w:t>
      </w:r>
      <w:hyperlink r:id="rId1743" w:history="1">
        <w:r w:rsidRPr="00E441EA">
          <w:rPr>
            <w:rStyle w:val="Hyperlink"/>
            <w:rFonts w:ascii="Times New Roman" w:hAnsi="Times New Roman"/>
            <w:b/>
            <w:bCs/>
            <w:sz w:val="24"/>
            <w:szCs w:val="24"/>
          </w:rPr>
          <w:t>diagnosis of PTSD</w:t>
        </w:r>
      </w:hyperlink>
      <w:r w:rsidRPr="00E441EA">
        <w:rPr>
          <w:rFonts w:ascii="Times New Roman" w:hAnsi="Times New Roman"/>
          <w:b/>
          <w:bCs/>
          <w:sz w:val="24"/>
          <w:szCs w:val="24"/>
        </w:rPr>
        <w:t xml:space="preserve">.   “Development of PTSD in Firefighters,”  </w:t>
      </w:r>
    </w:p>
    <w:p w14:paraId="4F47339F" w14:textId="77777777" w:rsidR="002B1283" w:rsidRPr="00E441EA" w:rsidRDefault="002B1283" w:rsidP="002B1283">
      <w:pPr>
        <w:pStyle w:val="NoSpacing"/>
        <w:rPr>
          <w:rFonts w:ascii="Times New Roman" w:hAnsi="Times New Roman"/>
          <w:b/>
          <w:bCs/>
          <w:sz w:val="24"/>
          <w:szCs w:val="24"/>
        </w:rPr>
      </w:pPr>
      <w:r w:rsidRPr="00E441EA">
        <w:rPr>
          <w:rFonts w:ascii="Times New Roman" w:hAnsi="Times New Roman"/>
          <w:b/>
          <w:bCs/>
          <w:sz w:val="24"/>
          <w:szCs w:val="24"/>
        </w:rPr>
        <w:t xml:space="preserve">(June 10, 2019), </w:t>
      </w:r>
      <w:hyperlink r:id="rId1744" w:history="1">
        <w:r w:rsidRPr="00E441EA">
          <w:rPr>
            <w:rStyle w:val="Hyperlink"/>
            <w:rFonts w:ascii="Times New Roman" w:hAnsi="Times New Roman"/>
            <w:b/>
            <w:bCs/>
            <w:sz w:val="24"/>
            <w:szCs w:val="24"/>
          </w:rPr>
          <w:t>https://www.verywellmind.com/rates-of-ptsd-in-firefighters-2797428</w:t>
        </w:r>
      </w:hyperlink>
      <w:r w:rsidRPr="00E441EA">
        <w:rPr>
          <w:rFonts w:ascii="Times New Roman" w:hAnsi="Times New Roman"/>
          <w:b/>
          <w:bCs/>
          <w:sz w:val="24"/>
          <w:szCs w:val="24"/>
        </w:rPr>
        <w:t xml:space="preserve">  </w:t>
      </w:r>
    </w:p>
    <w:p w14:paraId="6B7CCF40" w14:textId="77777777" w:rsidR="00AE0ACC" w:rsidRDefault="00AE0ACC" w:rsidP="00F326E5">
      <w:pPr>
        <w:pStyle w:val="NoSpacing"/>
        <w:rPr>
          <w:sz w:val="24"/>
          <w:szCs w:val="24"/>
        </w:rPr>
      </w:pPr>
    </w:p>
    <w:p w14:paraId="4521B1D2" w14:textId="77777777" w:rsidR="00AE0ACC" w:rsidRDefault="00AE0ACC" w:rsidP="00DE0F03">
      <w:pPr>
        <w:rPr>
          <w:rFonts w:ascii="Arial Black" w:hAnsi="Arial Black"/>
          <w:b/>
          <w:sz w:val="24"/>
          <w:szCs w:val="24"/>
        </w:rPr>
      </w:pPr>
    </w:p>
    <w:p w14:paraId="6750B9A4" w14:textId="2E27BA45" w:rsidR="002B1283" w:rsidRDefault="00DE0F03" w:rsidP="00DE0F03">
      <w:pPr>
        <w:rPr>
          <w:sz w:val="24"/>
          <w:szCs w:val="24"/>
        </w:rPr>
      </w:pPr>
      <w:r>
        <w:rPr>
          <w:rFonts w:ascii="Arial Black" w:hAnsi="Arial Black"/>
          <w:b/>
          <w:sz w:val="24"/>
          <w:szCs w:val="24"/>
        </w:rPr>
        <w:t>9</w:t>
      </w:r>
      <w:r w:rsidRPr="00EF1133">
        <w:rPr>
          <w:rFonts w:ascii="Arial Black" w:hAnsi="Arial Black"/>
          <w:b/>
          <w:sz w:val="24"/>
          <w:szCs w:val="24"/>
        </w:rPr>
        <w:t>-</w:t>
      </w:r>
      <w:r>
        <w:rPr>
          <w:rFonts w:ascii="Arial Black" w:hAnsi="Arial Black"/>
          <w:b/>
          <w:sz w:val="24"/>
          <w:szCs w:val="24"/>
        </w:rPr>
        <w:t>4</w:t>
      </w:r>
    </w:p>
    <w:p w14:paraId="02FD01C6" w14:textId="77777777" w:rsidR="002B1283" w:rsidRDefault="002B1283" w:rsidP="002B1283">
      <w:pPr>
        <w:rPr>
          <w:rFonts w:ascii="Arial Black" w:hAnsi="Arial Black"/>
          <w:sz w:val="28"/>
          <w:szCs w:val="28"/>
        </w:rPr>
      </w:pPr>
      <w:r>
        <w:rPr>
          <w:rFonts w:ascii="Arial Black" w:hAnsi="Arial Black"/>
          <w:sz w:val="28"/>
          <w:szCs w:val="28"/>
        </w:rPr>
        <w:t>TX: PARAMEDIC INJURED ANKLE ON ICE COMING TO WORK - OFF 13 DAYS – LATER FIRED FOR MISSING SHIFTS – LAWSUIT DISMISSED</w:t>
      </w:r>
    </w:p>
    <w:p w14:paraId="3F39C805" w14:textId="77777777" w:rsidR="002B1283" w:rsidRDefault="002B1283" w:rsidP="002B1283">
      <w:pPr>
        <w:pStyle w:val="NoSpacing"/>
        <w:rPr>
          <w:rFonts w:ascii="Times New Roman" w:hAnsi="Times New Roman"/>
          <w:sz w:val="24"/>
          <w:szCs w:val="24"/>
        </w:rPr>
      </w:pPr>
      <w:r w:rsidRPr="00152892">
        <w:rPr>
          <w:rFonts w:ascii="Times New Roman" w:hAnsi="Times New Roman"/>
          <w:sz w:val="24"/>
          <w:szCs w:val="24"/>
        </w:rPr>
        <w:t xml:space="preserve">On July 3, 2019, in </w:t>
      </w:r>
      <w:r w:rsidRPr="00152892">
        <w:rPr>
          <w:rFonts w:ascii="Times New Roman" w:hAnsi="Times New Roman"/>
          <w:sz w:val="24"/>
          <w:szCs w:val="24"/>
          <w:u w:val="single"/>
        </w:rPr>
        <w:t>Michael Bankhead v. Lifeguard Ambulance Service of Texas</w:t>
      </w:r>
      <w:r w:rsidRPr="00152892">
        <w:rPr>
          <w:rFonts w:ascii="Times New Roman" w:hAnsi="Times New Roman"/>
          <w:sz w:val="24"/>
          <w:szCs w:val="24"/>
        </w:rPr>
        <w:t xml:space="preserve">, U.S. District Court Judge John McBryde granted the employer’s motion for summary judgment.  </w:t>
      </w:r>
    </w:p>
    <w:p w14:paraId="26BB3F69" w14:textId="77777777" w:rsidR="002B1283" w:rsidRDefault="002B1283" w:rsidP="002B1283">
      <w:pPr>
        <w:pStyle w:val="NoSpacing"/>
        <w:rPr>
          <w:rFonts w:ascii="Times New Roman" w:hAnsi="Times New Roman"/>
          <w:sz w:val="24"/>
          <w:szCs w:val="24"/>
        </w:rPr>
      </w:pPr>
    </w:p>
    <w:p w14:paraId="787C7695" w14:textId="77777777" w:rsidR="002B1283" w:rsidRDefault="002B1283" w:rsidP="002B1283">
      <w:pPr>
        <w:pStyle w:val="NoSpacing"/>
        <w:ind w:left="720"/>
        <w:rPr>
          <w:rFonts w:ascii="Times New Roman" w:hAnsi="Times New Roman"/>
          <w:sz w:val="24"/>
          <w:szCs w:val="24"/>
        </w:rPr>
      </w:pPr>
      <w:r w:rsidRPr="00152892">
        <w:rPr>
          <w:rFonts w:ascii="Times New Roman" w:hAnsi="Times New Roman"/>
          <w:sz w:val="24"/>
          <w:szCs w:val="24"/>
        </w:rPr>
        <w:t>“In this case, plaintiff has not shown that he suffered from a disability under the ADA. In fact, he pleaded that his injury was only temporary… (plaintiff injured his foot on January 13, 2017, wore a boot to stabilize his ankle, and was cleared to return to work on January 26, 2017). In his summary judgment response, he mentions that he has diabetes…. But, even if true, simply having a diagnosis does not amount to proof that one has an impairment under the ADA.</w:t>
      </w:r>
      <w:r>
        <w:rPr>
          <w:rFonts w:ascii="Times New Roman" w:hAnsi="Times New Roman"/>
          <w:sz w:val="24"/>
          <w:szCs w:val="24"/>
        </w:rPr>
        <w:t>”</w:t>
      </w:r>
    </w:p>
    <w:p w14:paraId="59DE315B" w14:textId="77777777" w:rsidR="002B1283" w:rsidRPr="00152892" w:rsidRDefault="002B1283" w:rsidP="002B1283">
      <w:pPr>
        <w:pStyle w:val="NoSpacing"/>
        <w:ind w:left="720"/>
        <w:rPr>
          <w:rFonts w:ascii="Times New Roman" w:hAnsi="Times New Roman"/>
          <w:sz w:val="24"/>
          <w:szCs w:val="24"/>
        </w:rPr>
      </w:pPr>
      <w:r w:rsidRPr="00152892">
        <w:rPr>
          <w:rFonts w:ascii="Times New Roman" w:hAnsi="Times New Roman"/>
          <w:sz w:val="24"/>
          <w:szCs w:val="24"/>
        </w:rPr>
        <w:t xml:space="preserve"> </w:t>
      </w:r>
      <w:hyperlink r:id="rId1745" w:history="1">
        <w:r w:rsidRPr="0076015A">
          <w:rPr>
            <w:rStyle w:val="Hyperlink"/>
            <w:rFonts w:ascii="Times New Roman" w:hAnsi="Times New Roman"/>
            <w:sz w:val="24"/>
            <w:szCs w:val="24"/>
          </w:rPr>
          <w:t>https://www.leagle.com/decision/infdco20190708957</w:t>
        </w:r>
      </w:hyperlink>
      <w:r>
        <w:rPr>
          <w:rFonts w:ascii="Times New Roman" w:hAnsi="Times New Roman"/>
          <w:sz w:val="24"/>
          <w:szCs w:val="24"/>
        </w:rPr>
        <w:t xml:space="preserve"> </w:t>
      </w:r>
    </w:p>
    <w:p w14:paraId="3C185A62" w14:textId="77777777" w:rsidR="002B1283" w:rsidRDefault="002B1283" w:rsidP="002B1283">
      <w:pPr>
        <w:pStyle w:val="NoSpacing"/>
        <w:rPr>
          <w:rFonts w:ascii="Times New Roman" w:hAnsi="Times New Roman"/>
        </w:rPr>
      </w:pPr>
    </w:p>
    <w:p w14:paraId="4578C5B8" w14:textId="77777777" w:rsidR="002B1283" w:rsidRDefault="002B1283" w:rsidP="002B1283">
      <w:pPr>
        <w:pStyle w:val="NoSpacing"/>
        <w:ind w:left="720"/>
        <w:rPr>
          <w:rFonts w:ascii="Times New Roman" w:hAnsi="Times New Roman"/>
          <w:sz w:val="24"/>
          <w:szCs w:val="24"/>
        </w:rPr>
      </w:pPr>
    </w:p>
    <w:p w14:paraId="4546021B" w14:textId="77777777" w:rsidR="002B1283" w:rsidRDefault="002B1283" w:rsidP="002B1283">
      <w:pPr>
        <w:pStyle w:val="NoSpacing"/>
        <w:rPr>
          <w:rFonts w:ascii="Times New Roman" w:hAnsi="Times New Roman"/>
          <w:b/>
          <w:bCs/>
          <w:sz w:val="24"/>
          <w:szCs w:val="24"/>
        </w:rPr>
      </w:pPr>
      <w:r w:rsidRPr="00152892">
        <w:rPr>
          <w:rFonts w:ascii="Times New Roman" w:hAnsi="Times New Roman"/>
          <w:b/>
          <w:bCs/>
          <w:sz w:val="24"/>
          <w:szCs w:val="24"/>
        </w:rPr>
        <w:lastRenderedPageBreak/>
        <w:t xml:space="preserve">Legal Lessons Learned: </w:t>
      </w:r>
      <w:r>
        <w:rPr>
          <w:rFonts w:ascii="Times New Roman" w:hAnsi="Times New Roman"/>
          <w:b/>
          <w:bCs/>
          <w:sz w:val="24"/>
          <w:szCs w:val="24"/>
        </w:rPr>
        <w:t xml:space="preserve">Impairment under ADA must be permanent or long term; even a broken leg does not qualify as a “disability.”  </w:t>
      </w:r>
    </w:p>
    <w:p w14:paraId="29CB8C9E" w14:textId="77777777" w:rsidR="002B1283" w:rsidRDefault="002B1283" w:rsidP="002B1283">
      <w:pPr>
        <w:pStyle w:val="NoSpacing"/>
        <w:rPr>
          <w:rFonts w:ascii="Times New Roman" w:hAnsi="Times New Roman"/>
          <w:b/>
          <w:bCs/>
          <w:sz w:val="24"/>
          <w:szCs w:val="24"/>
        </w:rPr>
      </w:pPr>
    </w:p>
    <w:p w14:paraId="00DE55D4" w14:textId="77777777" w:rsidR="002B1283" w:rsidRDefault="002B1283" w:rsidP="002B1283">
      <w:pPr>
        <w:pStyle w:val="NoSpacing"/>
        <w:ind w:left="720"/>
        <w:rPr>
          <w:rFonts w:ascii="Times New Roman" w:hAnsi="Times New Roman"/>
          <w:sz w:val="24"/>
          <w:szCs w:val="24"/>
        </w:rPr>
      </w:pPr>
      <w:r w:rsidRPr="00E441EA">
        <w:rPr>
          <w:rFonts w:ascii="Times New Roman" w:hAnsi="Times New Roman"/>
          <w:sz w:val="24"/>
          <w:szCs w:val="24"/>
        </w:rPr>
        <w:t xml:space="preserve">Under ADA, a “disability” is defined as: "(A) a physical or mental impairment that substantially limits one or more major life activities of such individual; (B) a record of such an impairment; or (C) being regarded as having such an impairment." 42 U.S.C. § 12102(1).  </w:t>
      </w:r>
    </w:p>
    <w:p w14:paraId="6C8F63FB" w14:textId="77777777" w:rsidR="002B1283" w:rsidRDefault="002B1283" w:rsidP="002B1283">
      <w:pPr>
        <w:pStyle w:val="NoSpacing"/>
        <w:rPr>
          <w:rFonts w:ascii="Times New Roman" w:hAnsi="Times New Roman"/>
          <w:sz w:val="24"/>
          <w:szCs w:val="24"/>
        </w:rPr>
      </w:pPr>
    </w:p>
    <w:p w14:paraId="500FF5F9" w14:textId="77777777" w:rsidR="00AE0ACC" w:rsidRDefault="00AE0ACC" w:rsidP="00AE0ACC">
      <w:pPr>
        <w:pStyle w:val="NoSpacing"/>
        <w:rPr>
          <w:sz w:val="24"/>
          <w:szCs w:val="24"/>
        </w:rPr>
      </w:pPr>
    </w:p>
    <w:p w14:paraId="50BD2338" w14:textId="3687750A" w:rsidR="002B1283" w:rsidRDefault="00DE0F03" w:rsidP="00DE0F03">
      <w:pPr>
        <w:rPr>
          <w:rFonts w:ascii="Arial Black" w:hAnsi="Arial Black"/>
          <w:sz w:val="28"/>
          <w:szCs w:val="28"/>
        </w:rPr>
      </w:pPr>
      <w:r>
        <w:rPr>
          <w:rFonts w:ascii="Arial Black" w:hAnsi="Arial Black"/>
          <w:b/>
          <w:sz w:val="24"/>
          <w:szCs w:val="24"/>
        </w:rPr>
        <w:t>9</w:t>
      </w:r>
      <w:r w:rsidRPr="00EF1133">
        <w:rPr>
          <w:rFonts w:ascii="Arial Black" w:hAnsi="Arial Black"/>
          <w:b/>
          <w:sz w:val="24"/>
          <w:szCs w:val="24"/>
        </w:rPr>
        <w:t>-</w:t>
      </w:r>
      <w:r>
        <w:rPr>
          <w:rFonts w:ascii="Arial Black" w:hAnsi="Arial Black"/>
          <w:b/>
          <w:sz w:val="24"/>
          <w:szCs w:val="24"/>
        </w:rPr>
        <w:t>3</w:t>
      </w:r>
    </w:p>
    <w:p w14:paraId="770171D7" w14:textId="6B87B87A" w:rsidR="00F326E5" w:rsidRDefault="00F326E5" w:rsidP="00F326E5">
      <w:pPr>
        <w:pStyle w:val="NoSpacing"/>
        <w:rPr>
          <w:rFonts w:ascii="Arial Black" w:hAnsi="Arial Black"/>
          <w:sz w:val="28"/>
          <w:szCs w:val="28"/>
        </w:rPr>
      </w:pPr>
      <w:bookmarkStart w:id="366" w:name="_Hlk39771248"/>
      <w:r>
        <w:rPr>
          <w:rFonts w:ascii="Arial Black" w:hAnsi="Arial Black"/>
          <w:sz w:val="28"/>
          <w:szCs w:val="28"/>
        </w:rPr>
        <w:t xml:space="preserve">WI: </w:t>
      </w:r>
      <w:r w:rsidRPr="00C667EE">
        <w:rPr>
          <w:rFonts w:ascii="Arial Black" w:hAnsi="Arial Black"/>
          <w:sz w:val="28"/>
          <w:szCs w:val="28"/>
        </w:rPr>
        <w:t xml:space="preserve">INJURED ANKLE </w:t>
      </w:r>
      <w:r>
        <w:rPr>
          <w:rFonts w:ascii="Arial Black" w:hAnsi="Arial Black"/>
          <w:sz w:val="28"/>
          <w:szCs w:val="28"/>
        </w:rPr>
        <w:t xml:space="preserve">– GIVEN “LIGHT DUTY” BUT TENNIS SHOES NOT ALLOWED – LAWSUIT MAY PROCEED </w:t>
      </w:r>
    </w:p>
    <w:p w14:paraId="7DF9EAFC" w14:textId="77777777" w:rsidR="00BF4DDE" w:rsidRDefault="00BF4DDE" w:rsidP="00F326E5">
      <w:pPr>
        <w:pStyle w:val="NoSpacing"/>
        <w:rPr>
          <w:rFonts w:ascii="Times New Roman" w:hAnsi="Times New Roman"/>
          <w:sz w:val="24"/>
          <w:szCs w:val="24"/>
        </w:rPr>
      </w:pPr>
    </w:p>
    <w:p w14:paraId="0D7941F0" w14:textId="22AA6538" w:rsidR="00F326E5" w:rsidRPr="00BF4DDE" w:rsidRDefault="00F326E5" w:rsidP="00F326E5">
      <w:pPr>
        <w:pStyle w:val="NoSpacing"/>
        <w:rPr>
          <w:rStyle w:val="Hyperlink"/>
          <w:rFonts w:ascii="Times New Roman" w:hAnsi="Times New Roman"/>
          <w:sz w:val="24"/>
          <w:szCs w:val="24"/>
        </w:rPr>
      </w:pPr>
      <w:r w:rsidRPr="00BF4DDE">
        <w:rPr>
          <w:rFonts w:ascii="Times New Roman" w:hAnsi="Times New Roman"/>
          <w:sz w:val="24"/>
          <w:szCs w:val="24"/>
        </w:rPr>
        <w:t xml:space="preserve">On Feb. 27, 2019, in </w:t>
      </w:r>
      <w:r w:rsidRPr="00BF4DDE">
        <w:rPr>
          <w:rFonts w:ascii="Times New Roman" w:hAnsi="Times New Roman"/>
          <w:sz w:val="24"/>
          <w:szCs w:val="24"/>
          <w:u w:val="single"/>
        </w:rPr>
        <w:t>Keith Daniel v. City of Minneapolis</w:t>
      </w:r>
      <w:r w:rsidRPr="00BF4DDE">
        <w:rPr>
          <w:rFonts w:ascii="Times New Roman" w:hAnsi="Times New Roman"/>
          <w:sz w:val="24"/>
          <w:szCs w:val="24"/>
        </w:rPr>
        <w:t xml:space="preserve">, the Supreme Court of MN held (5 to 2), “To give effect to the plain language of the workers’ compensation act and the human rights act, we hold that an employee can pursue claims under each act because each act provides a distinct cause of action that redresses a discrete type of injury to an employee.” </w:t>
      </w:r>
      <w:hyperlink r:id="rId1746" w:history="1">
        <w:r w:rsidRPr="00BF4DDE">
          <w:rPr>
            <w:rStyle w:val="Hyperlink"/>
            <w:rFonts w:ascii="Times New Roman" w:hAnsi="Times New Roman"/>
            <w:sz w:val="24"/>
            <w:szCs w:val="24"/>
          </w:rPr>
          <w:t>https://cases.justia.com/minnesota/supreme-court/2019-a17-0141.pdf?ts=1551286256</w:t>
        </w:r>
      </w:hyperlink>
    </w:p>
    <w:bookmarkEnd w:id="366"/>
    <w:p w14:paraId="457FE752" w14:textId="77777777" w:rsidR="00DE37CD" w:rsidRDefault="00DE37CD" w:rsidP="00F326E5">
      <w:pPr>
        <w:pStyle w:val="NoSpacing"/>
        <w:rPr>
          <w:rFonts w:ascii="Times New Roman" w:hAnsi="Times New Roman"/>
          <w:b/>
          <w:sz w:val="24"/>
          <w:szCs w:val="24"/>
        </w:rPr>
      </w:pPr>
    </w:p>
    <w:p w14:paraId="7FE35F56" w14:textId="014815FB" w:rsidR="00F326E5" w:rsidRDefault="00F326E5" w:rsidP="00F326E5">
      <w:pPr>
        <w:pStyle w:val="NoSpacing"/>
        <w:rPr>
          <w:rFonts w:ascii="Times New Roman" w:hAnsi="Times New Roman"/>
          <w:b/>
          <w:sz w:val="24"/>
          <w:szCs w:val="24"/>
        </w:rPr>
      </w:pPr>
      <w:bookmarkStart w:id="367" w:name="_Hlk40512128"/>
      <w:r w:rsidRPr="00BF4DDE">
        <w:rPr>
          <w:rFonts w:ascii="Times New Roman" w:hAnsi="Times New Roman"/>
          <w:b/>
          <w:sz w:val="24"/>
          <w:szCs w:val="24"/>
        </w:rPr>
        <w:t xml:space="preserve">Legal Lessons Learned:  FD dress policies, including policies on “station shoes” may need to be modified to “reasonably accommodate” a firefighter on light duty for an ankle injury.  This case will now go to a jury trial, unless settled. </w:t>
      </w:r>
    </w:p>
    <w:bookmarkEnd w:id="367"/>
    <w:p w14:paraId="6CA659FA" w14:textId="77777777" w:rsidR="00DE37CD" w:rsidRDefault="00DE37CD" w:rsidP="00F326E5">
      <w:pPr>
        <w:pStyle w:val="NoSpacing"/>
        <w:ind w:left="720"/>
        <w:rPr>
          <w:rFonts w:ascii="Times New Roman" w:hAnsi="Times New Roman"/>
          <w:b/>
          <w:sz w:val="24"/>
          <w:szCs w:val="24"/>
        </w:rPr>
      </w:pPr>
    </w:p>
    <w:p w14:paraId="50CD6D90" w14:textId="18F6876C" w:rsidR="00F326E5" w:rsidRPr="00BF4DDE" w:rsidRDefault="00F7048C" w:rsidP="00DE37CD">
      <w:pPr>
        <w:pStyle w:val="NoSpacing"/>
        <w:rPr>
          <w:rFonts w:ascii="Times New Roman" w:hAnsi="Times New Roman"/>
          <w:sz w:val="24"/>
          <w:szCs w:val="24"/>
        </w:rPr>
      </w:pPr>
      <w:bookmarkStart w:id="368" w:name="_Hlk40512160"/>
      <w:r>
        <w:rPr>
          <w:rFonts w:ascii="Times New Roman" w:hAnsi="Times New Roman"/>
          <w:sz w:val="24"/>
          <w:szCs w:val="24"/>
        </w:rPr>
        <w:t xml:space="preserve">Note:  </w:t>
      </w:r>
      <w:r w:rsidR="00F326E5" w:rsidRPr="00BF4DDE">
        <w:rPr>
          <w:rFonts w:ascii="Times New Roman" w:hAnsi="Times New Roman"/>
          <w:sz w:val="24"/>
          <w:szCs w:val="24"/>
        </w:rPr>
        <w:t xml:space="preserve">See article about </w:t>
      </w:r>
      <w:r>
        <w:rPr>
          <w:rFonts w:ascii="Times New Roman" w:hAnsi="Times New Roman"/>
          <w:sz w:val="24"/>
          <w:szCs w:val="24"/>
        </w:rPr>
        <w:t xml:space="preserve">the </w:t>
      </w:r>
      <w:r w:rsidR="00F326E5" w:rsidRPr="00BF4DDE">
        <w:rPr>
          <w:rFonts w:ascii="Times New Roman" w:hAnsi="Times New Roman"/>
          <w:sz w:val="24"/>
          <w:szCs w:val="24"/>
        </w:rPr>
        <w:t xml:space="preserve">case: </w:t>
      </w:r>
      <w:hyperlink r:id="rId1747" w:history="1">
        <w:r w:rsidR="00F326E5" w:rsidRPr="00BF4DDE">
          <w:rPr>
            <w:rStyle w:val="Hyperlink"/>
            <w:rFonts w:ascii="Times New Roman" w:hAnsi="Times New Roman"/>
            <w:sz w:val="24"/>
            <w:szCs w:val="24"/>
          </w:rPr>
          <w:t>http://www.startribune.com/former-mpls-firefighter-will-be-able-to-sue-for-disability-discrimination-high-court-rules/506468082/</w:t>
        </w:r>
      </w:hyperlink>
      <w:r w:rsidR="00F326E5" w:rsidRPr="00BF4DDE">
        <w:rPr>
          <w:rFonts w:ascii="Times New Roman" w:hAnsi="Times New Roman"/>
          <w:sz w:val="24"/>
          <w:szCs w:val="24"/>
        </w:rPr>
        <w:t xml:space="preserve"> </w:t>
      </w:r>
    </w:p>
    <w:bookmarkEnd w:id="346"/>
    <w:bookmarkEnd w:id="368"/>
    <w:p w14:paraId="7B12A446" w14:textId="77777777" w:rsidR="00C17A9D" w:rsidRPr="00BF4DDE" w:rsidRDefault="00C17A9D" w:rsidP="00C17A9D">
      <w:pPr>
        <w:pStyle w:val="NoSpacing"/>
        <w:rPr>
          <w:rFonts w:ascii="Times New Roman" w:hAnsi="Times New Roman"/>
          <w:bCs/>
          <w:sz w:val="24"/>
          <w:szCs w:val="24"/>
        </w:rPr>
      </w:pPr>
    </w:p>
    <w:p w14:paraId="73F108F2" w14:textId="55D0B9B8" w:rsidR="00F326E5" w:rsidRDefault="00F326E5" w:rsidP="00F326E5">
      <w:pPr>
        <w:pStyle w:val="NoSpacing"/>
        <w:rPr>
          <w:rFonts w:ascii="Arial Black" w:hAnsi="Arial Black"/>
          <w:sz w:val="40"/>
          <w:szCs w:val="40"/>
        </w:rPr>
      </w:pPr>
    </w:p>
    <w:p w14:paraId="4371BC5B" w14:textId="77777777" w:rsidR="00C17A9D" w:rsidRDefault="00C17A9D" w:rsidP="00F326E5">
      <w:pPr>
        <w:pStyle w:val="NoSpacing"/>
        <w:rPr>
          <w:rFonts w:ascii="Arial Black" w:hAnsi="Arial Black"/>
          <w:sz w:val="40"/>
          <w:szCs w:val="40"/>
        </w:rPr>
      </w:pPr>
    </w:p>
    <w:p w14:paraId="6DF46BDA" w14:textId="5AC36D6D" w:rsidR="00DE0F03" w:rsidRDefault="00DE0F03" w:rsidP="00DE0F03">
      <w:pPr>
        <w:rPr>
          <w:sz w:val="24"/>
          <w:szCs w:val="24"/>
        </w:rPr>
      </w:pPr>
      <w:r>
        <w:rPr>
          <w:rFonts w:ascii="Arial Black" w:hAnsi="Arial Black"/>
          <w:b/>
          <w:sz w:val="24"/>
          <w:szCs w:val="24"/>
        </w:rPr>
        <w:t>9</w:t>
      </w:r>
      <w:r w:rsidRPr="00EF1133">
        <w:rPr>
          <w:rFonts w:ascii="Arial Black" w:hAnsi="Arial Black"/>
          <w:b/>
          <w:sz w:val="24"/>
          <w:szCs w:val="24"/>
        </w:rPr>
        <w:t>-</w:t>
      </w:r>
      <w:r>
        <w:rPr>
          <w:rFonts w:ascii="Arial Black" w:hAnsi="Arial Black"/>
          <w:b/>
          <w:sz w:val="24"/>
          <w:szCs w:val="24"/>
        </w:rPr>
        <w:t>2</w:t>
      </w:r>
    </w:p>
    <w:p w14:paraId="400DE305" w14:textId="4DD16CE0" w:rsidR="00F326E5" w:rsidRPr="00C270C6" w:rsidRDefault="00F326E5" w:rsidP="00F326E5">
      <w:pPr>
        <w:pStyle w:val="NoSpacing"/>
        <w:rPr>
          <w:rFonts w:ascii="Arial Black" w:hAnsi="Arial Black"/>
          <w:b/>
          <w:sz w:val="28"/>
          <w:szCs w:val="28"/>
        </w:rPr>
      </w:pPr>
      <w:bookmarkStart w:id="369" w:name="_Hlk7344988"/>
      <w:r w:rsidRPr="00C270C6">
        <w:rPr>
          <w:rFonts w:ascii="Arial Black" w:hAnsi="Arial Black"/>
          <w:b/>
          <w:sz w:val="28"/>
          <w:szCs w:val="28"/>
        </w:rPr>
        <w:t>LA</w:t>
      </w:r>
      <w:r>
        <w:rPr>
          <w:rFonts w:ascii="Arial Black" w:hAnsi="Arial Black"/>
          <w:b/>
          <w:sz w:val="28"/>
          <w:szCs w:val="28"/>
        </w:rPr>
        <w:t xml:space="preserve">: </w:t>
      </w:r>
      <w:r w:rsidRPr="00C270C6">
        <w:rPr>
          <w:rFonts w:ascii="Arial Black" w:hAnsi="Arial Black"/>
          <w:b/>
          <w:sz w:val="28"/>
          <w:szCs w:val="28"/>
        </w:rPr>
        <w:t>BACK INJURY, RETIRING FF FAILED TO TIMELY FILE FOR DISABILITY BENEFITS</w:t>
      </w:r>
    </w:p>
    <w:p w14:paraId="404AF258" w14:textId="77777777" w:rsidR="00BF4DDE" w:rsidRDefault="00F326E5" w:rsidP="00F326E5">
      <w:pPr>
        <w:rPr>
          <w:rFonts w:ascii="Times New Roman" w:eastAsia="Times New Roman" w:hAnsi="Times New Roman"/>
          <w:sz w:val="24"/>
          <w:szCs w:val="24"/>
        </w:rPr>
      </w:pPr>
      <w:r w:rsidRPr="00BF4DDE">
        <w:rPr>
          <w:rFonts w:ascii="Times New Roman" w:eastAsia="Times New Roman" w:hAnsi="Times New Roman"/>
          <w:sz w:val="24"/>
          <w:szCs w:val="24"/>
        </w:rPr>
        <w:t xml:space="preserve">On Nov. 21, 2018, in </w:t>
      </w:r>
      <w:r w:rsidRPr="00BF4DDE">
        <w:rPr>
          <w:rFonts w:ascii="Times New Roman" w:eastAsia="Times New Roman" w:hAnsi="Times New Roman"/>
          <w:sz w:val="24"/>
          <w:szCs w:val="24"/>
          <w:u w:val="single"/>
        </w:rPr>
        <w:t>Brian Mule v. St. Bernard Parish Fire Department</w:t>
      </w:r>
      <w:r w:rsidRPr="00BF4DDE">
        <w:rPr>
          <w:rFonts w:ascii="Times New Roman" w:eastAsia="Times New Roman" w:hAnsi="Times New Roman"/>
          <w:sz w:val="24"/>
          <w:szCs w:val="24"/>
        </w:rPr>
        <w:t>, the Court of Appeal, 4</w:t>
      </w:r>
      <w:r w:rsidRPr="00BF4DDE">
        <w:rPr>
          <w:rFonts w:ascii="Times New Roman" w:eastAsia="Times New Roman" w:hAnsi="Times New Roman"/>
          <w:sz w:val="24"/>
          <w:szCs w:val="24"/>
          <w:vertAlign w:val="superscript"/>
        </w:rPr>
        <w:t>th</w:t>
      </w:r>
      <w:r w:rsidRPr="00BF4DDE">
        <w:rPr>
          <w:rFonts w:ascii="Times New Roman" w:eastAsia="Times New Roman" w:hAnsi="Times New Roman"/>
          <w:sz w:val="24"/>
          <w:szCs w:val="24"/>
        </w:rPr>
        <w:t xml:space="preserve"> District held (3 to 0) that Office of Workers Compensation trial judge properly ruled that the employee was not entitled to supplemental benefits: </w:t>
      </w:r>
    </w:p>
    <w:p w14:paraId="6FCB1BF8" w14:textId="10C06763" w:rsidR="00F326E5" w:rsidRPr="00BF4DDE" w:rsidRDefault="00F326E5" w:rsidP="00BF4DDE">
      <w:pPr>
        <w:ind w:left="720"/>
        <w:rPr>
          <w:rFonts w:ascii="Times New Roman" w:eastAsia="Times New Roman" w:hAnsi="Times New Roman"/>
          <w:sz w:val="24"/>
          <w:szCs w:val="24"/>
        </w:rPr>
      </w:pPr>
      <w:r w:rsidRPr="00BF4DDE">
        <w:rPr>
          <w:rFonts w:ascii="Times New Roman" w:eastAsia="Times New Roman" w:hAnsi="Times New Roman"/>
          <w:sz w:val="24"/>
          <w:szCs w:val="24"/>
        </w:rPr>
        <w:t xml:space="preserve">“Mr. Mule waited more than seven years after this May 22, </w:t>
      </w:r>
      <w:proofErr w:type="gramStart"/>
      <w:r w:rsidRPr="00BF4DDE">
        <w:rPr>
          <w:rFonts w:ascii="Times New Roman" w:eastAsia="Times New Roman" w:hAnsi="Times New Roman"/>
          <w:sz w:val="24"/>
          <w:szCs w:val="24"/>
        </w:rPr>
        <w:t>2009</w:t>
      </w:r>
      <w:proofErr w:type="gramEnd"/>
      <w:r w:rsidRPr="00BF4DDE">
        <w:rPr>
          <w:rFonts w:ascii="Times New Roman" w:eastAsia="Times New Roman" w:hAnsi="Times New Roman"/>
          <w:sz w:val="24"/>
          <w:szCs w:val="24"/>
        </w:rPr>
        <w:t xml:space="preserve"> injury to pursue his claim for indemnity benefits. The OWC, having reviewed the record, exhibits and listening to the testimony of Mr. Mule and Ms. Bradbury, held that Mr. Mule did not establish that he was lulled into not filing a claim within the prescriptive period under the totality of the </w:t>
      </w:r>
      <w:proofErr w:type="gramStart"/>
      <w:r w:rsidRPr="00BF4DDE">
        <w:rPr>
          <w:rFonts w:ascii="Times New Roman" w:eastAsia="Times New Roman" w:hAnsi="Times New Roman"/>
          <w:sz w:val="24"/>
          <w:szCs w:val="24"/>
        </w:rPr>
        <w:t>circumstances.”</w:t>
      </w:r>
      <w:proofErr w:type="gramEnd"/>
      <w:r w:rsidRPr="00BF4DDE">
        <w:rPr>
          <w:rFonts w:ascii="Times New Roman" w:eastAsia="Times New Roman" w:hAnsi="Times New Roman"/>
          <w:sz w:val="24"/>
          <w:szCs w:val="24"/>
        </w:rPr>
        <w:t xml:space="preserve"> </w:t>
      </w:r>
      <w:hyperlink r:id="rId1748" w:history="1">
        <w:r w:rsidRPr="00BF4DDE">
          <w:rPr>
            <w:rStyle w:val="Hyperlink"/>
            <w:rFonts w:ascii="Times New Roman" w:hAnsi="Times New Roman"/>
            <w:sz w:val="24"/>
            <w:szCs w:val="24"/>
          </w:rPr>
          <w:t>https://cases.justia.com/louisiana/fourth-circuit-court-of-appeal/2018-2018-ca-0507.pdf?ts=1542839104</w:t>
        </w:r>
      </w:hyperlink>
      <w:r w:rsidRPr="00BF4DDE">
        <w:rPr>
          <w:rFonts w:ascii="Times New Roman" w:eastAsia="Times New Roman" w:hAnsi="Times New Roman"/>
          <w:sz w:val="24"/>
          <w:szCs w:val="24"/>
        </w:rPr>
        <w:t xml:space="preserve"> </w:t>
      </w:r>
    </w:p>
    <w:p w14:paraId="5DFCE6A3" w14:textId="77777777" w:rsidR="00F326E5" w:rsidRPr="00BF4DDE" w:rsidRDefault="00F326E5" w:rsidP="00F326E5">
      <w:pPr>
        <w:rPr>
          <w:rFonts w:ascii="Times New Roman" w:eastAsia="Times New Roman" w:hAnsi="Times New Roman"/>
          <w:b/>
          <w:sz w:val="24"/>
          <w:szCs w:val="24"/>
        </w:rPr>
      </w:pPr>
      <w:r w:rsidRPr="00BF4DDE">
        <w:rPr>
          <w:rFonts w:ascii="Times New Roman" w:eastAsia="Times New Roman" w:hAnsi="Times New Roman"/>
          <w:b/>
          <w:sz w:val="24"/>
          <w:szCs w:val="24"/>
        </w:rPr>
        <w:t xml:space="preserve">Legal Lessons Learned:  Fire &amp; EMS personnel, injured on the job and facing disability retirement, should consult with a workers comp. expert regarding filing requirements for workers comp indemnity benefits.  </w:t>
      </w:r>
    </w:p>
    <w:bookmarkEnd w:id="369"/>
    <w:p w14:paraId="4A28EAA2" w14:textId="77777777" w:rsidR="00F326E5" w:rsidRDefault="00F326E5" w:rsidP="00F326E5">
      <w:pPr>
        <w:pStyle w:val="NoSpacing"/>
        <w:rPr>
          <w:sz w:val="24"/>
          <w:szCs w:val="24"/>
        </w:rPr>
      </w:pPr>
    </w:p>
    <w:p w14:paraId="1EBE2684" w14:textId="77777777" w:rsidR="00F326E5" w:rsidRDefault="00F326E5" w:rsidP="00F326E5">
      <w:pPr>
        <w:pStyle w:val="NoSpacing"/>
        <w:rPr>
          <w:sz w:val="24"/>
          <w:szCs w:val="24"/>
        </w:rPr>
      </w:pPr>
    </w:p>
    <w:p w14:paraId="522EC005" w14:textId="4C658EA4" w:rsidR="00F326E5" w:rsidRDefault="00DE0F03" w:rsidP="00DE0F03">
      <w:pPr>
        <w:rPr>
          <w:sz w:val="24"/>
          <w:szCs w:val="24"/>
        </w:rPr>
      </w:pPr>
      <w:r>
        <w:rPr>
          <w:rFonts w:ascii="Arial Black" w:hAnsi="Arial Black"/>
          <w:b/>
          <w:sz w:val="24"/>
          <w:szCs w:val="24"/>
        </w:rPr>
        <w:t>9</w:t>
      </w:r>
      <w:r w:rsidRPr="00EF1133">
        <w:rPr>
          <w:rFonts w:ascii="Arial Black" w:hAnsi="Arial Black"/>
          <w:b/>
          <w:sz w:val="24"/>
          <w:szCs w:val="24"/>
        </w:rPr>
        <w:t>-1</w:t>
      </w:r>
    </w:p>
    <w:p w14:paraId="66896318" w14:textId="764AAC4E" w:rsidR="00F326E5" w:rsidRPr="00512C93" w:rsidRDefault="00F326E5" w:rsidP="00F326E5">
      <w:pPr>
        <w:pStyle w:val="NoSpacing"/>
        <w:rPr>
          <w:rFonts w:ascii="Arial Black" w:hAnsi="Arial Black"/>
          <w:b/>
          <w:sz w:val="28"/>
          <w:szCs w:val="28"/>
        </w:rPr>
      </w:pPr>
      <w:bookmarkStart w:id="370" w:name="_Hlk7345026"/>
      <w:r>
        <w:rPr>
          <w:rFonts w:ascii="Arial Black" w:hAnsi="Arial Black"/>
          <w:b/>
          <w:sz w:val="28"/>
          <w:szCs w:val="28"/>
        </w:rPr>
        <w:t xml:space="preserve">CO: DEPUTY SHERIFF WITH DIABETES – INSULIN DEPENDENT – U.S. DOJ SETTLES LAWSUIT </w:t>
      </w:r>
    </w:p>
    <w:p w14:paraId="3FAB8369" w14:textId="77777777" w:rsidR="00F326E5" w:rsidRPr="00071B42" w:rsidRDefault="00F326E5" w:rsidP="00F326E5">
      <w:pPr>
        <w:rPr>
          <w:rFonts w:eastAsia="Times New Roman"/>
          <w:sz w:val="24"/>
          <w:szCs w:val="24"/>
        </w:rPr>
      </w:pPr>
      <w:r w:rsidRPr="00071B42">
        <w:rPr>
          <w:rFonts w:eastAsia="Times New Roman"/>
          <w:sz w:val="24"/>
          <w:szCs w:val="24"/>
        </w:rPr>
        <w:t xml:space="preserve">On May 15, 2018, the U.S. Department of Justice issued a Press Release about the agreement with the City and County of Denver: </w:t>
      </w:r>
    </w:p>
    <w:p w14:paraId="31DD1801" w14:textId="77777777" w:rsidR="00F326E5" w:rsidRPr="00071B42" w:rsidRDefault="00F326E5" w:rsidP="00F326E5">
      <w:pPr>
        <w:pStyle w:val="NormalWeb"/>
        <w:ind w:left="720"/>
      </w:pPr>
      <w:r w:rsidRPr="00071B42">
        <w:t xml:space="preserve">“The Justice Department today announced that it reached an agreement with the City and County of Denver, Colorado, (Denver) to resolve its lawsuit alleging that the Denver Sheriff Department discriminated against a long-time Deputy Sheriff </w:t>
      </w:r>
      <w:proofErr w:type="gramStart"/>
      <w:r w:rsidRPr="00071B42">
        <w:t>on the basis of</w:t>
      </w:r>
      <w:proofErr w:type="gramEnd"/>
      <w:r w:rsidRPr="00071B42">
        <w:t xml:space="preserve"> his disability, insulin-dependent diabetes.  The Justice Department’s complaint alleges that Denver failed to engage in an interactive process with the employee to determine an appropriate accommodation, failed to reasonably accommodate his disability, and then terminated him, in violation of the Americans with Disabilities Act (ADA).Under the agreement, Denver will revise its reasonable accommodation policies and procedures, and will conduct training on the ADA for Sheriff Department supervisors, command staff, and human resources personnel.  In addition, Denver will pay $100,000 in compensatory damages to the employee.”</w:t>
      </w:r>
    </w:p>
    <w:p w14:paraId="09EEB56F" w14:textId="1DDF965D" w:rsidR="00F326E5" w:rsidRPr="00071B42" w:rsidRDefault="00E658E1" w:rsidP="00E658E1">
      <w:pPr>
        <w:pStyle w:val="NoSpacing"/>
        <w:ind w:left="720"/>
        <w:rPr>
          <w:rStyle w:val="Hyperlink"/>
          <w:sz w:val="24"/>
          <w:szCs w:val="24"/>
        </w:rPr>
      </w:pPr>
      <w:hyperlink r:id="rId1749" w:history="1">
        <w:r w:rsidRPr="002F304C">
          <w:rPr>
            <w:rStyle w:val="Hyperlink"/>
            <w:sz w:val="24"/>
            <w:szCs w:val="24"/>
          </w:rPr>
          <w:t>https://www.justice.gov/opa/pr/justice-department-reaches-agreement-city-and-county-denver-resolve-disability-discrimination</w:t>
        </w:r>
      </w:hyperlink>
    </w:p>
    <w:p w14:paraId="25B31959" w14:textId="77777777" w:rsidR="00F326E5" w:rsidRDefault="00F326E5" w:rsidP="00F326E5">
      <w:pPr>
        <w:pStyle w:val="NormalWeb"/>
        <w:rPr>
          <w:b/>
        </w:rPr>
      </w:pPr>
      <w:r w:rsidRPr="00071B42">
        <w:rPr>
          <w:b/>
        </w:rPr>
        <w:t xml:space="preserve">Legal Lessons Learned: Fire &amp; EMS departments must also “engage in an interactive process” when an employee appears to have a disability, including exchange of medical information between employee’s physician and the department’s doctor. </w:t>
      </w:r>
    </w:p>
    <w:bookmarkEnd w:id="370"/>
    <w:p w14:paraId="53967C7F" w14:textId="77777777" w:rsidR="00F326E5" w:rsidRDefault="00F326E5" w:rsidP="00F326E5">
      <w:pPr>
        <w:rPr>
          <w:rFonts w:ascii="Arial Black" w:hAnsi="Arial Black"/>
          <w:sz w:val="40"/>
          <w:szCs w:val="40"/>
        </w:rPr>
      </w:pPr>
      <w:r>
        <w:rPr>
          <w:rFonts w:ascii="Arial Black" w:hAnsi="Arial Black"/>
          <w:sz w:val="40"/>
          <w:szCs w:val="40"/>
        </w:rPr>
        <w:br w:type="page"/>
      </w:r>
    </w:p>
    <w:p w14:paraId="63BE8F94" w14:textId="77777777" w:rsidR="009C7451" w:rsidRDefault="009C7451" w:rsidP="00F326E5">
      <w:pPr>
        <w:pStyle w:val="NoSpacing"/>
        <w:rPr>
          <w:rFonts w:ascii="Arial Black" w:hAnsi="Arial Black"/>
          <w:sz w:val="40"/>
          <w:szCs w:val="40"/>
        </w:rPr>
      </w:pPr>
    </w:p>
    <w:p w14:paraId="5B5DDAE0" w14:textId="77777777" w:rsidR="009C7451" w:rsidRDefault="009C7451" w:rsidP="00F326E5">
      <w:pPr>
        <w:pStyle w:val="NoSpacing"/>
        <w:rPr>
          <w:rFonts w:ascii="Arial Black" w:hAnsi="Arial Black"/>
          <w:sz w:val="40"/>
          <w:szCs w:val="40"/>
        </w:rPr>
      </w:pPr>
    </w:p>
    <w:p w14:paraId="0DD1BD7F" w14:textId="77777777" w:rsidR="009C7451" w:rsidRDefault="009C7451" w:rsidP="00F326E5">
      <w:pPr>
        <w:pStyle w:val="NoSpacing"/>
        <w:rPr>
          <w:rFonts w:ascii="Arial Black" w:hAnsi="Arial Black"/>
          <w:sz w:val="40"/>
          <w:szCs w:val="40"/>
        </w:rPr>
      </w:pPr>
    </w:p>
    <w:p w14:paraId="631C1041" w14:textId="77777777" w:rsidR="009C7451" w:rsidRDefault="009C7451" w:rsidP="00F326E5">
      <w:pPr>
        <w:pStyle w:val="NoSpacing"/>
        <w:rPr>
          <w:rFonts w:ascii="Arial Black" w:hAnsi="Arial Black"/>
          <w:sz w:val="40"/>
          <w:szCs w:val="40"/>
        </w:rPr>
      </w:pPr>
    </w:p>
    <w:p w14:paraId="47A0C746" w14:textId="77777777" w:rsidR="009C7451" w:rsidRDefault="009C7451" w:rsidP="00F326E5">
      <w:pPr>
        <w:pStyle w:val="NoSpacing"/>
        <w:rPr>
          <w:rFonts w:ascii="Arial Black" w:hAnsi="Arial Black"/>
          <w:sz w:val="40"/>
          <w:szCs w:val="40"/>
        </w:rPr>
      </w:pPr>
    </w:p>
    <w:p w14:paraId="5526E5C5" w14:textId="77777777" w:rsidR="009C7451" w:rsidRDefault="009C7451" w:rsidP="00F326E5">
      <w:pPr>
        <w:pStyle w:val="NoSpacing"/>
        <w:rPr>
          <w:rFonts w:ascii="Arial Black" w:hAnsi="Arial Black"/>
          <w:sz w:val="40"/>
          <w:szCs w:val="40"/>
        </w:rPr>
      </w:pPr>
    </w:p>
    <w:p w14:paraId="30CE3C1C" w14:textId="77777777" w:rsidR="009C7451" w:rsidRDefault="009C7451" w:rsidP="00F326E5">
      <w:pPr>
        <w:pStyle w:val="NoSpacing"/>
        <w:rPr>
          <w:rFonts w:ascii="Arial Black" w:hAnsi="Arial Black"/>
          <w:sz w:val="40"/>
          <w:szCs w:val="40"/>
        </w:rPr>
      </w:pPr>
    </w:p>
    <w:p w14:paraId="4F6B0655" w14:textId="77777777" w:rsidR="009C7451" w:rsidRDefault="009C7451" w:rsidP="00F326E5">
      <w:pPr>
        <w:pStyle w:val="NoSpacing"/>
        <w:rPr>
          <w:rFonts w:ascii="Arial Black" w:hAnsi="Arial Black"/>
          <w:sz w:val="40"/>
          <w:szCs w:val="40"/>
        </w:rPr>
      </w:pPr>
    </w:p>
    <w:p w14:paraId="17D19CA8" w14:textId="77777777" w:rsidR="009C7451" w:rsidRDefault="009C7451" w:rsidP="00F326E5">
      <w:pPr>
        <w:pStyle w:val="NoSpacing"/>
        <w:rPr>
          <w:rFonts w:ascii="Arial Black" w:hAnsi="Arial Black"/>
          <w:sz w:val="40"/>
          <w:szCs w:val="40"/>
        </w:rPr>
      </w:pPr>
    </w:p>
    <w:p w14:paraId="7154CCB4" w14:textId="77777777" w:rsidR="009C7451" w:rsidRDefault="009C7451" w:rsidP="00F326E5">
      <w:pPr>
        <w:pStyle w:val="NoSpacing"/>
        <w:rPr>
          <w:rFonts w:ascii="Arial Black" w:hAnsi="Arial Black"/>
          <w:sz w:val="40"/>
          <w:szCs w:val="40"/>
        </w:rPr>
      </w:pPr>
    </w:p>
    <w:p w14:paraId="2F56D66B" w14:textId="77777777" w:rsidR="009C7451" w:rsidRDefault="009C7451" w:rsidP="00F326E5">
      <w:pPr>
        <w:pStyle w:val="NoSpacing"/>
        <w:rPr>
          <w:rFonts w:ascii="Arial Black" w:hAnsi="Arial Black"/>
          <w:sz w:val="40"/>
          <w:szCs w:val="40"/>
        </w:rPr>
      </w:pPr>
    </w:p>
    <w:p w14:paraId="2E3BE4DA" w14:textId="77777777" w:rsidR="009C7451" w:rsidRDefault="009C7451" w:rsidP="00F326E5">
      <w:pPr>
        <w:pStyle w:val="NoSpacing"/>
        <w:rPr>
          <w:rFonts w:ascii="Arial Black" w:hAnsi="Arial Black"/>
          <w:sz w:val="40"/>
          <w:szCs w:val="40"/>
        </w:rPr>
      </w:pPr>
    </w:p>
    <w:p w14:paraId="5BC0EAAD" w14:textId="77777777" w:rsidR="009C7451" w:rsidRDefault="009C7451" w:rsidP="00F326E5">
      <w:pPr>
        <w:pStyle w:val="NoSpacing"/>
        <w:rPr>
          <w:rFonts w:ascii="Arial Black" w:hAnsi="Arial Black"/>
          <w:sz w:val="40"/>
          <w:szCs w:val="40"/>
        </w:rPr>
      </w:pPr>
    </w:p>
    <w:p w14:paraId="464DFFF2" w14:textId="77777777" w:rsidR="009C7451" w:rsidRDefault="009C7451" w:rsidP="00F326E5">
      <w:pPr>
        <w:pStyle w:val="NoSpacing"/>
        <w:rPr>
          <w:rFonts w:ascii="Arial Black" w:hAnsi="Arial Black"/>
          <w:sz w:val="40"/>
          <w:szCs w:val="40"/>
        </w:rPr>
      </w:pPr>
    </w:p>
    <w:p w14:paraId="51424D1A" w14:textId="77777777" w:rsidR="009C7451" w:rsidRDefault="009C7451" w:rsidP="00F326E5">
      <w:pPr>
        <w:pStyle w:val="NoSpacing"/>
        <w:rPr>
          <w:rFonts w:ascii="Arial Black" w:hAnsi="Arial Black"/>
          <w:sz w:val="40"/>
          <w:szCs w:val="40"/>
        </w:rPr>
      </w:pPr>
    </w:p>
    <w:p w14:paraId="202F3187" w14:textId="77777777" w:rsidR="009C7451" w:rsidRDefault="009C7451" w:rsidP="00F326E5">
      <w:pPr>
        <w:pStyle w:val="NoSpacing"/>
        <w:rPr>
          <w:rFonts w:ascii="Arial Black" w:hAnsi="Arial Black"/>
          <w:sz w:val="40"/>
          <w:szCs w:val="40"/>
        </w:rPr>
      </w:pPr>
    </w:p>
    <w:p w14:paraId="0934BA7C" w14:textId="77777777" w:rsidR="009C7451" w:rsidRDefault="009C7451" w:rsidP="00F326E5">
      <w:pPr>
        <w:pStyle w:val="NoSpacing"/>
        <w:rPr>
          <w:rFonts w:ascii="Arial Black" w:hAnsi="Arial Black"/>
          <w:sz w:val="40"/>
          <w:szCs w:val="40"/>
        </w:rPr>
      </w:pPr>
    </w:p>
    <w:p w14:paraId="0A0DFF86" w14:textId="77777777" w:rsidR="009C7451" w:rsidRDefault="009C7451" w:rsidP="00F326E5">
      <w:pPr>
        <w:pStyle w:val="NoSpacing"/>
        <w:rPr>
          <w:rFonts w:ascii="Arial Black" w:hAnsi="Arial Black"/>
          <w:sz w:val="40"/>
          <w:szCs w:val="40"/>
        </w:rPr>
      </w:pPr>
    </w:p>
    <w:p w14:paraId="51025726" w14:textId="77777777" w:rsidR="009C7451" w:rsidRDefault="009C7451" w:rsidP="00F326E5">
      <w:pPr>
        <w:pStyle w:val="NoSpacing"/>
        <w:rPr>
          <w:rFonts w:ascii="Arial Black" w:hAnsi="Arial Black"/>
          <w:sz w:val="40"/>
          <w:szCs w:val="40"/>
        </w:rPr>
      </w:pPr>
    </w:p>
    <w:p w14:paraId="6FA0D918" w14:textId="77777777" w:rsidR="009C7451" w:rsidRDefault="009C7451" w:rsidP="00F326E5">
      <w:pPr>
        <w:pStyle w:val="NoSpacing"/>
        <w:rPr>
          <w:rFonts w:ascii="Arial Black" w:hAnsi="Arial Black"/>
          <w:sz w:val="40"/>
          <w:szCs w:val="40"/>
        </w:rPr>
      </w:pPr>
    </w:p>
    <w:p w14:paraId="30BD25B6" w14:textId="77777777" w:rsidR="009C7451" w:rsidRDefault="009C7451" w:rsidP="00F326E5">
      <w:pPr>
        <w:pStyle w:val="NoSpacing"/>
        <w:rPr>
          <w:rFonts w:ascii="Arial Black" w:hAnsi="Arial Black"/>
          <w:sz w:val="40"/>
          <w:szCs w:val="40"/>
        </w:rPr>
      </w:pPr>
    </w:p>
    <w:p w14:paraId="6E045D46" w14:textId="77777777" w:rsidR="009C7451" w:rsidRDefault="009C7451" w:rsidP="00F326E5">
      <w:pPr>
        <w:pStyle w:val="NoSpacing"/>
        <w:rPr>
          <w:rFonts w:ascii="Arial Black" w:hAnsi="Arial Black"/>
          <w:sz w:val="40"/>
          <w:szCs w:val="40"/>
        </w:rPr>
      </w:pPr>
    </w:p>
    <w:p w14:paraId="68CDCF26" w14:textId="77777777" w:rsidR="009C7451" w:rsidRDefault="009C7451" w:rsidP="00F326E5">
      <w:pPr>
        <w:pStyle w:val="NoSpacing"/>
        <w:rPr>
          <w:rFonts w:ascii="Arial Black" w:hAnsi="Arial Black"/>
          <w:sz w:val="40"/>
          <w:szCs w:val="40"/>
        </w:rPr>
      </w:pPr>
    </w:p>
    <w:p w14:paraId="6388F114" w14:textId="77777777" w:rsidR="009C7451" w:rsidRDefault="009C7451" w:rsidP="00F326E5">
      <w:pPr>
        <w:pStyle w:val="NoSpacing"/>
        <w:rPr>
          <w:rFonts w:ascii="Arial Black" w:hAnsi="Arial Black"/>
          <w:sz w:val="40"/>
          <w:szCs w:val="40"/>
        </w:rPr>
      </w:pPr>
    </w:p>
    <w:p w14:paraId="266D0AB2" w14:textId="77777777" w:rsidR="00EC50D5" w:rsidRDefault="00EC50D5" w:rsidP="00F326E5">
      <w:pPr>
        <w:pStyle w:val="NoSpacing"/>
        <w:rPr>
          <w:rFonts w:ascii="Arial Black" w:hAnsi="Arial Black"/>
          <w:sz w:val="40"/>
          <w:szCs w:val="40"/>
        </w:rPr>
      </w:pPr>
    </w:p>
    <w:p w14:paraId="4F33019B" w14:textId="4F2A5789" w:rsidR="00F326E5" w:rsidRDefault="00F326E5" w:rsidP="00F326E5">
      <w:pPr>
        <w:pStyle w:val="NoSpacing"/>
        <w:rPr>
          <w:rFonts w:ascii="Arial Black" w:hAnsi="Arial Black"/>
          <w:sz w:val="40"/>
          <w:szCs w:val="40"/>
        </w:rPr>
      </w:pPr>
      <w:r w:rsidRPr="007732FA">
        <w:rPr>
          <w:rFonts w:ascii="Arial Black" w:hAnsi="Arial Black"/>
          <w:sz w:val="40"/>
          <w:szCs w:val="40"/>
        </w:rPr>
        <w:lastRenderedPageBreak/>
        <w:t>Chap. 10</w:t>
      </w:r>
      <w:r w:rsidRPr="007732FA">
        <w:rPr>
          <w:rFonts w:ascii="Arial Black" w:hAnsi="Arial Black"/>
          <w:sz w:val="40"/>
          <w:szCs w:val="40"/>
        </w:rPr>
        <w:tab/>
        <w:t>Family Medical Leave Act</w:t>
      </w:r>
      <w:r w:rsidR="00321766">
        <w:rPr>
          <w:rFonts w:ascii="Arial Black" w:hAnsi="Arial Black"/>
          <w:sz w:val="40"/>
          <w:szCs w:val="40"/>
        </w:rPr>
        <w:t xml:space="preserve"> </w:t>
      </w:r>
    </w:p>
    <w:p w14:paraId="75D8B036" w14:textId="77777777" w:rsidR="003C2AA4" w:rsidRDefault="003C2AA4" w:rsidP="00E9307E">
      <w:pPr>
        <w:rPr>
          <w:rFonts w:ascii="Arial Black" w:hAnsi="Arial Black"/>
          <w:b/>
          <w:sz w:val="28"/>
          <w:szCs w:val="28"/>
        </w:rPr>
      </w:pPr>
      <w:bookmarkStart w:id="371" w:name="_Hlk36108763"/>
    </w:p>
    <w:p w14:paraId="681702F5" w14:textId="7130BD3D" w:rsidR="00647EAC" w:rsidRPr="006D28DE" w:rsidRDefault="00647EAC" w:rsidP="00E9307E">
      <w:pPr>
        <w:rPr>
          <w:rFonts w:ascii="Times New Roman" w:hAnsi="Times New Roman"/>
          <w:bCs/>
          <w:sz w:val="24"/>
          <w:szCs w:val="24"/>
        </w:rPr>
      </w:pPr>
      <w:r>
        <w:rPr>
          <w:rFonts w:ascii="Arial Black" w:hAnsi="Arial Black"/>
          <w:b/>
          <w:sz w:val="28"/>
          <w:szCs w:val="28"/>
        </w:rPr>
        <w:t>10-13</w:t>
      </w:r>
      <w:r w:rsidR="006D28DE">
        <w:rPr>
          <w:rFonts w:ascii="Arial Black" w:hAnsi="Arial Black"/>
          <w:b/>
          <w:sz w:val="28"/>
          <w:szCs w:val="28"/>
        </w:rPr>
        <w:t xml:space="preserve"> </w:t>
      </w:r>
      <w:r w:rsidR="006D28DE">
        <w:rPr>
          <w:rFonts w:ascii="Times New Roman" w:hAnsi="Times New Roman"/>
          <w:bCs/>
          <w:sz w:val="24"/>
          <w:szCs w:val="24"/>
        </w:rPr>
        <w:t>[also filed, Chap 9 -ADA ; Chap. 15 – Mental Health]</w:t>
      </w:r>
    </w:p>
    <w:p w14:paraId="54C7D6A8" w14:textId="77777777" w:rsidR="00647EAC" w:rsidRPr="00FC582A" w:rsidRDefault="00647EAC" w:rsidP="00647EAC">
      <w:pPr>
        <w:pStyle w:val="NoSpacing"/>
        <w:rPr>
          <w:rFonts w:ascii="Arial Black" w:hAnsi="Arial Black"/>
          <w:sz w:val="28"/>
          <w:szCs w:val="28"/>
        </w:rPr>
      </w:pPr>
      <w:r>
        <w:rPr>
          <w:rFonts w:ascii="Arial Black" w:hAnsi="Arial Black"/>
          <w:sz w:val="28"/>
          <w:szCs w:val="28"/>
        </w:rPr>
        <w:t>SC: MEDIC PTSD – DIDN’T INTERVIEW FOR BILLING JOB</w:t>
      </w:r>
    </w:p>
    <w:p w14:paraId="1182D283" w14:textId="77777777" w:rsidR="00647EAC" w:rsidRDefault="00647EAC" w:rsidP="00647EAC">
      <w:pPr>
        <w:pStyle w:val="NoSpacing"/>
        <w:ind w:left="720"/>
      </w:pPr>
    </w:p>
    <w:p w14:paraId="62D29925" w14:textId="77777777" w:rsidR="00647EAC" w:rsidRDefault="00647EAC" w:rsidP="00647EAC">
      <w:pPr>
        <w:pStyle w:val="NoSpacing"/>
      </w:pPr>
      <w:r>
        <w:t xml:space="preserve">On December 18, 2025, in </w:t>
      </w:r>
      <w:r w:rsidRPr="00AF68E6">
        <w:rPr>
          <w:u w:val="single"/>
        </w:rPr>
        <w:t>William D. Shugart v. Chester County</w:t>
      </w:r>
      <w:r>
        <w:t xml:space="preserve">, Senior U.S. District Court Judge Cameron McGowan Currie, </w:t>
      </w:r>
      <w:r w:rsidRPr="00AF68E6">
        <w:t>United States District Court, D. South Carolina, Rock Hill Division</w:t>
      </w:r>
      <w:r>
        <w:t xml:space="preserve">, granted defense motion for summary judgment; no proof of ADA discrimination or retaliation for taking FMLA leave.  Plaintiff was a Senior Medic with Chest County EMS, and on September 8, </w:t>
      </w:r>
      <w:proofErr w:type="gramStart"/>
      <w:r>
        <w:t>2021</w:t>
      </w:r>
      <w:proofErr w:type="gramEnd"/>
      <w:r>
        <w:t xml:space="preserve"> there was incident where a gun shot came from a house.  He sought treatment for PTSD and history of depression and went on 12-weeks of FMLA leave.  On January 1, </w:t>
      </w:r>
      <w:proofErr w:type="gramStart"/>
      <w:r>
        <w:t>2023</w:t>
      </w:r>
      <w:proofErr w:type="gramEnd"/>
      <w:r>
        <w:t xml:space="preserve"> he was terminated when he was medically cleared to return to work as a paramedic but did not return. His supervisor encouraged him to apply for billing position that opened with a recent retirement, but he cancelled the January 30 (1 pm) in-person interview the day </w:t>
      </w:r>
      <w:proofErr w:type="gramStart"/>
      <w:r>
        <w:t>prior, and</w:t>
      </w:r>
      <w:proofErr w:type="gramEnd"/>
      <w:r>
        <w:t xml:space="preserve"> did not respond to offer of ZOOM interview.  </w:t>
      </w:r>
      <w:hyperlink r:id="rId1750" w:history="1">
        <w:r w:rsidRPr="007B3445">
          <w:rPr>
            <w:rStyle w:val="Hyperlink"/>
          </w:rPr>
          <w:t>https://cases.justia.com/federal/district-courts/south-carolina/scdce/0:2024cv00826/288831/46/0.pdf</w:t>
        </w:r>
      </w:hyperlink>
      <w:r>
        <w:t xml:space="preserve"> </w:t>
      </w:r>
    </w:p>
    <w:p w14:paraId="444A0B10" w14:textId="77777777" w:rsidR="00647EAC" w:rsidRDefault="00647EAC" w:rsidP="00647EAC">
      <w:pPr>
        <w:pStyle w:val="NoSpacing"/>
        <w:rPr>
          <w:bCs/>
        </w:rPr>
      </w:pPr>
    </w:p>
    <w:p w14:paraId="679750DB" w14:textId="77777777" w:rsidR="00647EAC" w:rsidRDefault="00647EAC" w:rsidP="00647EAC">
      <w:pPr>
        <w:pStyle w:val="NoSpacing"/>
        <w:rPr>
          <w:bCs/>
        </w:rPr>
      </w:pPr>
      <w:r>
        <w:t xml:space="preserve">THE COURT HELD: </w:t>
      </w:r>
    </w:p>
    <w:p w14:paraId="3305DEEA" w14:textId="77777777" w:rsidR="00647EAC" w:rsidRDefault="00647EAC" w:rsidP="00647EAC">
      <w:pPr>
        <w:pStyle w:val="NoSpacing"/>
        <w:rPr>
          <w:bCs/>
        </w:rPr>
      </w:pPr>
    </w:p>
    <w:p w14:paraId="03458C6E" w14:textId="77777777" w:rsidR="00647EAC" w:rsidRDefault="00647EAC" w:rsidP="00647EAC">
      <w:pPr>
        <w:pStyle w:val="NoSpacing"/>
        <w:ind w:firstLine="720"/>
      </w:pPr>
      <w:r>
        <w:t>“Plaintiff was employed by Chester County in its Emergency Medical Services (‘EMS’)</w:t>
      </w:r>
    </w:p>
    <w:p w14:paraId="1E290E23" w14:textId="77777777" w:rsidR="00647EAC" w:rsidRDefault="00647EAC" w:rsidP="00647EAC">
      <w:pPr>
        <w:pStyle w:val="NoSpacing"/>
        <w:ind w:left="720"/>
      </w:pPr>
      <w:r>
        <w:t xml:space="preserve">department from May 2016 until January 2023….He was promoted to Senior Paramedic on December 4, 2021…. An essential function of the Senior Paramedic was operation of an ambulance. </w:t>
      </w:r>
    </w:p>
    <w:p w14:paraId="281014B5" w14:textId="77777777" w:rsidR="00647EAC" w:rsidRDefault="00647EAC" w:rsidP="00647EAC">
      <w:pPr>
        <w:pStyle w:val="NoSpacing"/>
        <w:ind w:left="720"/>
      </w:pPr>
    </w:p>
    <w:p w14:paraId="0BF732E2" w14:textId="77777777" w:rsidR="00647EAC" w:rsidRDefault="00647EAC" w:rsidP="00647EAC">
      <w:pPr>
        <w:pStyle w:val="NoSpacing"/>
        <w:ind w:left="720"/>
      </w:pPr>
      <w:r>
        <w:t>***</w:t>
      </w:r>
    </w:p>
    <w:p w14:paraId="2567B463" w14:textId="77777777" w:rsidR="00647EAC" w:rsidRDefault="00647EAC" w:rsidP="00647EAC">
      <w:pPr>
        <w:pStyle w:val="NoSpacing"/>
      </w:pPr>
    </w:p>
    <w:p w14:paraId="167FFADB" w14:textId="77777777" w:rsidR="00647EAC" w:rsidRDefault="00647EAC" w:rsidP="00647EAC">
      <w:pPr>
        <w:pStyle w:val="NoSpacing"/>
        <w:ind w:firstLine="720"/>
      </w:pPr>
      <w:r>
        <w:t xml:space="preserve">Plaintiff was </w:t>
      </w:r>
      <w:proofErr w:type="gramStart"/>
      <w:r>
        <w:t>provided</w:t>
      </w:r>
      <w:proofErr w:type="gramEnd"/>
      <w:r>
        <w:t xml:space="preserve"> the opportunity to apply and interview for the billing specialist</w:t>
      </w:r>
    </w:p>
    <w:p w14:paraId="46C76293" w14:textId="77777777" w:rsidR="00647EAC" w:rsidRDefault="00647EAC" w:rsidP="00647EAC">
      <w:pPr>
        <w:pStyle w:val="NoSpacing"/>
        <w:ind w:left="720"/>
      </w:pPr>
      <w:r>
        <w:t>position when it was posted, but cancelled the interview the day before, and did not respond to inquiries about another option for the interview. The job was filled by a person with finance or accounting experience. For the reasons above, the court finds summary judgment is appropriate for Defendant on Plaintiff’s claims of ADA discrimination and retaliation.</w:t>
      </w:r>
    </w:p>
    <w:p w14:paraId="6A1D7206" w14:textId="77777777" w:rsidR="00647EAC" w:rsidRDefault="00647EAC" w:rsidP="00647EAC">
      <w:pPr>
        <w:pStyle w:val="NoSpacing"/>
        <w:ind w:left="720"/>
      </w:pPr>
    </w:p>
    <w:p w14:paraId="06AC3B1B" w14:textId="77777777" w:rsidR="00647EAC" w:rsidRDefault="00647EAC" w:rsidP="00647EAC">
      <w:pPr>
        <w:pStyle w:val="NoSpacing"/>
        <w:ind w:left="720"/>
      </w:pPr>
      <w:r>
        <w:t>***</w:t>
      </w:r>
    </w:p>
    <w:p w14:paraId="18643601" w14:textId="77777777" w:rsidR="00647EAC" w:rsidRDefault="00647EAC" w:rsidP="00647EAC">
      <w:pPr>
        <w:pStyle w:val="NoSpacing"/>
      </w:pPr>
    </w:p>
    <w:p w14:paraId="57788ADF" w14:textId="77777777" w:rsidR="00647EAC" w:rsidRDefault="00647EAC" w:rsidP="00647EAC">
      <w:pPr>
        <w:pStyle w:val="NoSpacing"/>
        <w:ind w:firstLine="720"/>
      </w:pPr>
      <w:r>
        <w:t>To make out an FMLA interference claim, an employee must demonstrate he was entitled</w:t>
      </w:r>
    </w:p>
    <w:p w14:paraId="467463EE" w14:textId="77777777" w:rsidR="00647EAC" w:rsidRDefault="00647EAC" w:rsidP="00647EAC">
      <w:pPr>
        <w:pStyle w:val="NoSpacing"/>
        <w:ind w:left="720"/>
      </w:pPr>
      <w:r>
        <w:t xml:space="preserve">to an FMLA benefit, his employer interfered with the provision of that benefit, and the interference caused him harm. Adkins v. CSX Transp., Inc., 70 F.4th 785, 796 (4th Cir. 2023). The court agrees with the Magistrate Judge Defendant has produced evidence Plaintiff was provided his twelve-week statutorily mandated FMLA leave, his position was protected during that time, and there is no evidence his use of FMLA leave was a factor in his termination. Plaintiff has failed to refute this evidence. In fact, the record shows Defendant went out of its way to assist Plaintiff in obtaining the appropriate paperwork when Plaintiff indicated he was ready to come back to work, even though he indicated he would not be going back on an </w:t>
      </w:r>
      <w:proofErr w:type="gramStart"/>
      <w:r>
        <w:t>ambulance.”</w:t>
      </w:r>
      <w:proofErr w:type="gramEnd"/>
    </w:p>
    <w:p w14:paraId="7A2A6FE8" w14:textId="77777777" w:rsidR="00647EAC" w:rsidRDefault="00647EAC" w:rsidP="00647EAC">
      <w:pPr>
        <w:pStyle w:val="NoSpacing"/>
        <w:ind w:left="720"/>
      </w:pPr>
    </w:p>
    <w:p w14:paraId="49141E4D" w14:textId="77777777" w:rsidR="00647EAC" w:rsidRPr="00E35214" w:rsidRDefault="00647EAC" w:rsidP="00647EAC">
      <w:pPr>
        <w:pStyle w:val="NoSpacing"/>
        <w:rPr>
          <w:b/>
          <w:bCs/>
        </w:rPr>
      </w:pPr>
      <w:r>
        <w:rPr>
          <w:b/>
        </w:rPr>
        <w:t xml:space="preserve">Legal lesson learned:  Plaintiff’s supervisors went out of their way to assist the paramedic. </w:t>
      </w:r>
    </w:p>
    <w:p w14:paraId="23DB561A" w14:textId="77777777" w:rsidR="00647EAC" w:rsidRDefault="00647EAC" w:rsidP="00647EAC">
      <w:pPr>
        <w:pStyle w:val="NoSpacing"/>
      </w:pPr>
    </w:p>
    <w:p w14:paraId="1B9240AC" w14:textId="77777777" w:rsidR="00647EAC" w:rsidRDefault="00647EAC" w:rsidP="00E9307E">
      <w:pPr>
        <w:rPr>
          <w:rFonts w:ascii="Arial Black" w:hAnsi="Arial Black"/>
          <w:b/>
          <w:sz w:val="28"/>
          <w:szCs w:val="28"/>
        </w:rPr>
      </w:pPr>
    </w:p>
    <w:p w14:paraId="0E5DB805" w14:textId="77777777" w:rsidR="00647EAC" w:rsidRDefault="00647EAC" w:rsidP="00E9307E">
      <w:pPr>
        <w:rPr>
          <w:rFonts w:ascii="Arial Black" w:hAnsi="Arial Black"/>
          <w:b/>
          <w:sz w:val="28"/>
          <w:szCs w:val="28"/>
        </w:rPr>
      </w:pPr>
    </w:p>
    <w:p w14:paraId="3023BAC7" w14:textId="77777777" w:rsidR="00647EAC" w:rsidRDefault="00647EAC" w:rsidP="00E9307E">
      <w:pPr>
        <w:rPr>
          <w:rFonts w:ascii="Arial Black" w:hAnsi="Arial Black"/>
          <w:b/>
          <w:sz w:val="28"/>
          <w:szCs w:val="28"/>
        </w:rPr>
      </w:pPr>
    </w:p>
    <w:p w14:paraId="5CDCDC01" w14:textId="3C695662" w:rsidR="00113D38" w:rsidRDefault="00113D38" w:rsidP="00E9307E">
      <w:pPr>
        <w:rPr>
          <w:rFonts w:ascii="Arial Black" w:hAnsi="Arial Black"/>
          <w:b/>
          <w:sz w:val="28"/>
          <w:szCs w:val="28"/>
        </w:rPr>
      </w:pPr>
      <w:r>
        <w:rPr>
          <w:rFonts w:ascii="Arial Black" w:hAnsi="Arial Black"/>
          <w:b/>
          <w:sz w:val="28"/>
          <w:szCs w:val="28"/>
        </w:rPr>
        <w:lastRenderedPageBreak/>
        <w:t>10-1</w:t>
      </w:r>
      <w:r w:rsidR="00B13773">
        <w:rPr>
          <w:rFonts w:ascii="Arial Black" w:hAnsi="Arial Black"/>
          <w:b/>
          <w:sz w:val="28"/>
          <w:szCs w:val="28"/>
        </w:rPr>
        <w:t>2</w:t>
      </w:r>
    </w:p>
    <w:p w14:paraId="659BDF9E" w14:textId="32E82339" w:rsidR="00BD4978" w:rsidRPr="003C3EA4" w:rsidRDefault="00BD4978" w:rsidP="00BD4978">
      <w:pPr>
        <w:pStyle w:val="NoSpacing"/>
        <w:rPr>
          <w:rFonts w:ascii="Arial Black" w:hAnsi="Arial Black"/>
          <w:b/>
          <w:sz w:val="28"/>
          <w:szCs w:val="28"/>
        </w:rPr>
      </w:pPr>
      <w:r>
        <w:rPr>
          <w:rFonts w:ascii="Arial Black" w:hAnsi="Arial Black"/>
          <w:b/>
          <w:sz w:val="28"/>
          <w:szCs w:val="28"/>
        </w:rPr>
        <w:t>TN: NO FMLA VIOL – ALCOHOL</w:t>
      </w:r>
      <w:r w:rsidR="00656FDD">
        <w:rPr>
          <w:rFonts w:ascii="Arial Black" w:hAnsi="Arial Black"/>
          <w:b/>
          <w:sz w:val="28"/>
          <w:szCs w:val="28"/>
        </w:rPr>
        <w:t xml:space="preserve"> / </w:t>
      </w:r>
      <w:r w:rsidR="00A132BA">
        <w:rPr>
          <w:rFonts w:ascii="Arial Black" w:hAnsi="Arial Black"/>
          <w:b/>
          <w:sz w:val="28"/>
          <w:szCs w:val="28"/>
        </w:rPr>
        <w:t>MISSED RUN</w:t>
      </w:r>
      <w:r>
        <w:rPr>
          <w:rFonts w:ascii="Arial Black" w:hAnsi="Arial Black"/>
          <w:b/>
          <w:sz w:val="28"/>
          <w:szCs w:val="28"/>
        </w:rPr>
        <w:t xml:space="preserve"> - RESIGNED </w:t>
      </w:r>
    </w:p>
    <w:p w14:paraId="27DEA510" w14:textId="77777777" w:rsidR="00BD4978" w:rsidRDefault="00BD4978" w:rsidP="00BD4978">
      <w:pPr>
        <w:pStyle w:val="NoSpacing"/>
        <w:rPr>
          <w:b/>
        </w:rPr>
      </w:pPr>
    </w:p>
    <w:p w14:paraId="10BB7CCF" w14:textId="139135A3" w:rsidR="001C33D3" w:rsidRPr="001C33D3" w:rsidRDefault="001C33D3" w:rsidP="001C33D3">
      <w:pPr>
        <w:pStyle w:val="NoSpacing"/>
        <w:rPr>
          <w:rFonts w:ascii="Times New Roman" w:hAnsi="Times New Roman"/>
          <w:bCs/>
          <w:sz w:val="24"/>
          <w:szCs w:val="24"/>
        </w:rPr>
      </w:pPr>
      <w:r w:rsidRPr="001C33D3">
        <w:rPr>
          <w:rFonts w:ascii="Times New Roman" w:hAnsi="Times New Roman"/>
          <w:sz w:val="24"/>
          <w:szCs w:val="24"/>
        </w:rPr>
        <w:t xml:space="preserve">On Dec. 9, 2024, in </w:t>
      </w:r>
      <w:r w:rsidRPr="001C33D3">
        <w:rPr>
          <w:rFonts w:ascii="Times New Roman" w:hAnsi="Times New Roman"/>
          <w:sz w:val="24"/>
          <w:szCs w:val="24"/>
          <w:u w:val="single"/>
        </w:rPr>
        <w:t>Justin Gilbert v. City of Newport</w:t>
      </w:r>
      <w:r w:rsidRPr="001C33D3">
        <w:rPr>
          <w:rFonts w:ascii="Times New Roman" w:hAnsi="Times New Roman"/>
          <w:sz w:val="24"/>
          <w:szCs w:val="24"/>
        </w:rPr>
        <w:t>, United States District  Court Judge Thomas A. Varlan, U.S. District Court for Eastern District of Tennessee, held that the firefighter’s lawsuit is dismissed.  On June 11, 2021, plaintiff removed items belonging to Eric Herndon, a NFD battalion chief from a workplace locker and placed them on the tailboard of a fire truck; he received a written reprimand.   He took FMLA for alcohol treatment</w:t>
      </w:r>
      <w:r w:rsidR="00A132BA">
        <w:rPr>
          <w:rFonts w:ascii="Times New Roman" w:hAnsi="Times New Roman"/>
          <w:sz w:val="24"/>
          <w:szCs w:val="24"/>
        </w:rPr>
        <w:t xml:space="preserve"> </w:t>
      </w:r>
      <w:r w:rsidRPr="001C33D3">
        <w:rPr>
          <w:rFonts w:ascii="Times New Roman" w:hAnsi="Times New Roman"/>
          <w:sz w:val="24"/>
          <w:szCs w:val="24"/>
        </w:rPr>
        <w:t xml:space="preserve">and then returned to duty. On September 21, 2021, NFD received a call for a structure fire while plaintiff was experiencing alcohol withdrawal symptoms, </w:t>
      </w:r>
      <w:proofErr w:type="gramStart"/>
      <w:r w:rsidRPr="001C33D3">
        <w:rPr>
          <w:rFonts w:ascii="Times New Roman" w:hAnsi="Times New Roman"/>
          <w:sz w:val="24"/>
          <w:szCs w:val="24"/>
        </w:rPr>
        <w:t>plaintiff</w:t>
      </w:r>
      <w:proofErr w:type="gramEnd"/>
      <w:r w:rsidRPr="001C33D3">
        <w:rPr>
          <w:rFonts w:ascii="Times New Roman" w:hAnsi="Times New Roman"/>
          <w:sz w:val="24"/>
          <w:szCs w:val="24"/>
        </w:rPr>
        <w:t xml:space="preserve"> missed the fire truck pulling out of the station. He drove a secondary truck to the scene of the fire where he confronted a coworker, using aggressive and demeaning language.  </w:t>
      </w:r>
      <w:hyperlink r:id="rId1751" w:history="1">
        <w:r w:rsidRPr="001C33D3">
          <w:rPr>
            <w:rStyle w:val="Hyperlink"/>
            <w:rFonts w:ascii="Times New Roman" w:hAnsi="Times New Roman"/>
            <w:sz w:val="24"/>
            <w:szCs w:val="24"/>
          </w:rPr>
          <w:t>https://casetext.com/case/gilbert-v-city-of-newport</w:t>
        </w:r>
      </w:hyperlink>
      <w:r w:rsidRPr="001C33D3">
        <w:rPr>
          <w:rFonts w:ascii="Times New Roman" w:hAnsi="Times New Roman"/>
          <w:sz w:val="24"/>
          <w:szCs w:val="24"/>
        </w:rPr>
        <w:t xml:space="preserve"> </w:t>
      </w:r>
    </w:p>
    <w:p w14:paraId="007E2B4F" w14:textId="77777777" w:rsidR="001C33D3" w:rsidRPr="001C33D3" w:rsidRDefault="001C33D3" w:rsidP="00BD4978">
      <w:pPr>
        <w:pStyle w:val="NoSpacing"/>
        <w:rPr>
          <w:rFonts w:ascii="Times New Roman" w:hAnsi="Times New Roman"/>
          <w:sz w:val="24"/>
          <w:szCs w:val="24"/>
        </w:rPr>
      </w:pPr>
    </w:p>
    <w:p w14:paraId="236F2989" w14:textId="5A909EB0" w:rsidR="00BD4978" w:rsidRPr="00BD4978" w:rsidRDefault="00BD4978" w:rsidP="00BD4978">
      <w:pPr>
        <w:pStyle w:val="NoSpacing"/>
        <w:rPr>
          <w:rFonts w:ascii="Times New Roman" w:hAnsi="Times New Roman"/>
          <w:sz w:val="24"/>
          <w:szCs w:val="24"/>
        </w:rPr>
      </w:pPr>
      <w:r w:rsidRPr="00BD4978">
        <w:rPr>
          <w:rFonts w:ascii="Times New Roman" w:hAnsi="Times New Roman"/>
          <w:sz w:val="24"/>
          <w:szCs w:val="24"/>
        </w:rPr>
        <w:t xml:space="preserve">The Court wrote:  </w:t>
      </w:r>
    </w:p>
    <w:p w14:paraId="7A99349F" w14:textId="77777777" w:rsidR="00BD4978" w:rsidRPr="00BD4978" w:rsidRDefault="00BD4978" w:rsidP="00BD4978">
      <w:pPr>
        <w:pStyle w:val="NoSpacing"/>
        <w:rPr>
          <w:rFonts w:ascii="Times New Roman" w:hAnsi="Times New Roman"/>
          <w:sz w:val="24"/>
          <w:szCs w:val="24"/>
        </w:rPr>
      </w:pPr>
    </w:p>
    <w:p w14:paraId="5824AFBC" w14:textId="7B1F6515" w:rsidR="00113D38" w:rsidRPr="00BD4978" w:rsidRDefault="00BD4978" w:rsidP="00BD4978">
      <w:pPr>
        <w:ind w:left="720"/>
        <w:rPr>
          <w:rFonts w:ascii="Times New Roman" w:hAnsi="Times New Roman"/>
          <w:b/>
          <w:sz w:val="24"/>
          <w:szCs w:val="24"/>
        </w:rPr>
      </w:pPr>
      <w:r w:rsidRPr="00BD4978">
        <w:rPr>
          <w:rFonts w:ascii="Times New Roman" w:hAnsi="Times New Roman"/>
          <w:sz w:val="24"/>
          <w:szCs w:val="24"/>
        </w:rPr>
        <w:t>“Neither of plaintiff's FMLA theories survive summary judgment. Assuming without deciding that plaintiff could prove that he was constructively discharged (</w:t>
      </w:r>
      <w:r w:rsidRPr="00BD4978">
        <w:rPr>
          <w:rFonts w:ascii="Times New Roman" w:hAnsi="Times New Roman"/>
          <w:i/>
          <w:iCs/>
          <w:sz w:val="24"/>
          <w:szCs w:val="24"/>
        </w:rPr>
        <w:t xml:space="preserve">see </w:t>
      </w:r>
      <w:proofErr w:type="gramStart"/>
      <w:r w:rsidRPr="00BD4978">
        <w:rPr>
          <w:rFonts w:ascii="Times New Roman" w:hAnsi="Times New Roman"/>
          <w:i/>
          <w:iCs/>
          <w:sz w:val="24"/>
          <w:szCs w:val="24"/>
        </w:rPr>
        <w:t>supra</w:t>
      </w:r>
      <w:r w:rsidRPr="00BD4978">
        <w:rPr>
          <w:rFonts w:ascii="Times New Roman" w:hAnsi="Times New Roman"/>
          <w:sz w:val="24"/>
          <w:szCs w:val="24"/>
        </w:rPr>
        <w:t xml:space="preserve"> Section III</w:t>
      </w:r>
      <w:proofErr w:type="gramEnd"/>
      <w:r w:rsidRPr="00BD4978">
        <w:rPr>
          <w:rFonts w:ascii="Times New Roman" w:hAnsi="Times New Roman"/>
          <w:sz w:val="24"/>
          <w:szCs w:val="24"/>
        </w:rPr>
        <w:t xml:space="preserve">(a)(1)), plaintiff's FMLA interference claim fails for the same reason as his ADA accommodation claim: the leave at issue was requested on September 14, 2021, after his terminable conduct. Therefore, defendant was not obligated to provide leave to an employee who was no longer deemed eligible for his position.”  </w:t>
      </w:r>
    </w:p>
    <w:p w14:paraId="3FF4194C" w14:textId="77777777" w:rsidR="00EB30E7" w:rsidRPr="00EB30E7" w:rsidRDefault="00EB30E7" w:rsidP="00EB30E7">
      <w:pPr>
        <w:pStyle w:val="NoSpacing"/>
        <w:rPr>
          <w:rFonts w:ascii="Times New Roman" w:hAnsi="Times New Roman"/>
          <w:bCs/>
          <w:sz w:val="24"/>
          <w:szCs w:val="24"/>
        </w:rPr>
      </w:pPr>
      <w:r w:rsidRPr="00EB30E7">
        <w:rPr>
          <w:rFonts w:ascii="Times New Roman" w:hAnsi="Times New Roman"/>
          <w:sz w:val="24"/>
          <w:szCs w:val="24"/>
        </w:rPr>
        <w:t xml:space="preserve">HOLDING: </w:t>
      </w:r>
    </w:p>
    <w:p w14:paraId="127B3F1F" w14:textId="77777777" w:rsidR="00EB30E7" w:rsidRPr="00EB30E7" w:rsidRDefault="00EB30E7" w:rsidP="00EB30E7">
      <w:pPr>
        <w:pStyle w:val="NoSpacing"/>
        <w:rPr>
          <w:rFonts w:ascii="Times New Roman" w:hAnsi="Times New Roman"/>
          <w:bCs/>
          <w:sz w:val="24"/>
          <w:szCs w:val="24"/>
        </w:rPr>
      </w:pPr>
    </w:p>
    <w:p w14:paraId="1D3138D1" w14:textId="77777777" w:rsidR="00EB30E7" w:rsidRPr="00EB30E7" w:rsidRDefault="00EB30E7" w:rsidP="00EB30E7">
      <w:pPr>
        <w:pStyle w:val="NoSpacing"/>
        <w:ind w:left="720"/>
        <w:rPr>
          <w:rFonts w:ascii="Times New Roman" w:hAnsi="Times New Roman"/>
          <w:bCs/>
          <w:sz w:val="24"/>
          <w:szCs w:val="24"/>
        </w:rPr>
      </w:pPr>
      <w:r w:rsidRPr="00EB30E7">
        <w:rPr>
          <w:rFonts w:ascii="Times New Roman" w:hAnsi="Times New Roman"/>
          <w:sz w:val="24"/>
          <w:szCs w:val="24"/>
        </w:rPr>
        <w:t>“After carefully reviewing the parties' evidence, the Court finds that while plaintiff has established a prima facie case of discriminatory termination in violation of the ADA, no reasonable jury could find that defendant's cited basis for plaintiff's termination was pretextual.</w:t>
      </w:r>
    </w:p>
    <w:p w14:paraId="045D7861" w14:textId="77777777" w:rsidR="00EB30E7" w:rsidRPr="00EB30E7" w:rsidRDefault="00EB30E7" w:rsidP="00EB30E7">
      <w:pPr>
        <w:pStyle w:val="NoSpacing"/>
        <w:ind w:left="720"/>
        <w:rPr>
          <w:rFonts w:ascii="Times New Roman" w:hAnsi="Times New Roman"/>
          <w:bCs/>
          <w:sz w:val="24"/>
          <w:szCs w:val="24"/>
        </w:rPr>
      </w:pPr>
    </w:p>
    <w:p w14:paraId="10DFDB89" w14:textId="77777777" w:rsidR="00EB30E7" w:rsidRPr="00EB30E7" w:rsidRDefault="00EB30E7" w:rsidP="00EB30E7">
      <w:pPr>
        <w:pStyle w:val="NoSpacing"/>
        <w:ind w:left="720"/>
        <w:rPr>
          <w:rFonts w:ascii="Times New Roman" w:hAnsi="Times New Roman"/>
          <w:bCs/>
          <w:sz w:val="24"/>
          <w:szCs w:val="24"/>
        </w:rPr>
      </w:pPr>
      <w:r w:rsidRPr="00EB30E7">
        <w:rPr>
          <w:rFonts w:ascii="Times New Roman" w:hAnsi="Times New Roman"/>
          <w:sz w:val="24"/>
          <w:szCs w:val="24"/>
        </w:rPr>
        <w:t>***</w:t>
      </w:r>
    </w:p>
    <w:p w14:paraId="76F5D661" w14:textId="77777777" w:rsidR="00EB30E7" w:rsidRPr="00EB30E7" w:rsidRDefault="00EB30E7" w:rsidP="00EB30E7">
      <w:pPr>
        <w:pStyle w:val="NoSpacing"/>
        <w:ind w:left="720"/>
        <w:rPr>
          <w:rFonts w:ascii="Times New Roman" w:hAnsi="Times New Roman"/>
          <w:bCs/>
          <w:sz w:val="24"/>
          <w:szCs w:val="24"/>
        </w:rPr>
      </w:pPr>
      <w:r w:rsidRPr="00EB30E7">
        <w:rPr>
          <w:rFonts w:ascii="Times New Roman" w:hAnsi="Times New Roman"/>
          <w:sz w:val="24"/>
          <w:szCs w:val="24"/>
        </w:rPr>
        <w:t xml:space="preserve">If anything, the timing of these texts undermines plaintiff's position because they show the difficulty his misconduct caused for co-workers who, at that time, had no knowledge of his disabilities. And plaintiff does not dispute that he engaged in misconduct that led to Shelton's recommendation that he be terminated; accordingly, there is no dispute of material fact as to NFD's legitimate non-discriminatory basis for plaintiff's termination. Having already conceded the first method for rebutting defendant's justification under </w:t>
      </w:r>
      <w:r w:rsidRPr="00EB30E7">
        <w:rPr>
          <w:rFonts w:ascii="Times New Roman" w:hAnsi="Times New Roman"/>
          <w:i/>
          <w:iCs/>
          <w:sz w:val="24"/>
          <w:szCs w:val="24"/>
        </w:rPr>
        <w:t>Kocsis</w:t>
      </w:r>
      <w:r w:rsidRPr="00EB30E7">
        <w:rPr>
          <w:rFonts w:ascii="Times New Roman" w:hAnsi="Times New Roman"/>
          <w:sz w:val="24"/>
          <w:szCs w:val="24"/>
        </w:rPr>
        <w:t>, plaintiff has not presented evidence to create a dispute of fact as to whether defendant's ‘proffered reasons did not actually motivate the action; or [] that they were insufficient to motivate the action.</w:t>
      </w:r>
      <w:hyperlink r:id="rId1752" w:anchor="p883" w:history="1">
        <w:r w:rsidRPr="00EB30E7">
          <w:rPr>
            <w:rStyle w:val="Hyperlink"/>
            <w:rFonts w:ascii="Times New Roman" w:hAnsi="Times New Roman"/>
            <w:sz w:val="24"/>
            <w:szCs w:val="24"/>
          </w:rPr>
          <w:t>97 F.3d at 883</w:t>
        </w:r>
      </w:hyperlink>
      <w:r w:rsidRPr="00EB30E7">
        <w:rPr>
          <w:rFonts w:ascii="Times New Roman" w:hAnsi="Times New Roman"/>
          <w:sz w:val="24"/>
          <w:szCs w:val="24"/>
        </w:rPr>
        <w:t>.”</w:t>
      </w:r>
    </w:p>
    <w:p w14:paraId="502E4F9B" w14:textId="77777777" w:rsidR="00EB30E7" w:rsidRPr="00EB30E7" w:rsidRDefault="00EB30E7" w:rsidP="00EB30E7">
      <w:pPr>
        <w:pStyle w:val="NoSpacing"/>
        <w:rPr>
          <w:rFonts w:ascii="Times New Roman" w:hAnsi="Times New Roman"/>
          <w:b/>
          <w:sz w:val="24"/>
          <w:szCs w:val="24"/>
        </w:rPr>
      </w:pPr>
    </w:p>
    <w:p w14:paraId="1BB0DDA1" w14:textId="77777777" w:rsidR="00EB30E7" w:rsidRPr="00EB30E7" w:rsidRDefault="00EB30E7" w:rsidP="00EB30E7">
      <w:pPr>
        <w:pStyle w:val="NoSpacing"/>
        <w:rPr>
          <w:rFonts w:ascii="Times New Roman" w:hAnsi="Times New Roman"/>
          <w:b/>
          <w:sz w:val="24"/>
          <w:szCs w:val="24"/>
        </w:rPr>
      </w:pPr>
      <w:r w:rsidRPr="00EB30E7">
        <w:rPr>
          <w:rFonts w:ascii="Times New Roman" w:hAnsi="Times New Roman"/>
          <w:b/>
          <w:sz w:val="24"/>
          <w:szCs w:val="24"/>
        </w:rPr>
        <w:t xml:space="preserve">Legal Lesson Learned: Employer has no obligation to offer additional FMLA to an employee facing termination. </w:t>
      </w:r>
    </w:p>
    <w:p w14:paraId="6B3327AD" w14:textId="77777777" w:rsidR="00EB30E7" w:rsidRPr="00EB30E7" w:rsidRDefault="00EB30E7" w:rsidP="00EB30E7">
      <w:pPr>
        <w:pStyle w:val="NoSpacing"/>
        <w:rPr>
          <w:rFonts w:ascii="Times New Roman" w:hAnsi="Times New Roman"/>
          <w:bCs/>
          <w:sz w:val="24"/>
          <w:szCs w:val="24"/>
        </w:rPr>
      </w:pPr>
    </w:p>
    <w:p w14:paraId="7B03BD24" w14:textId="77777777" w:rsidR="00113D38" w:rsidRPr="00EB30E7" w:rsidRDefault="00113D38" w:rsidP="00E9307E">
      <w:pPr>
        <w:rPr>
          <w:rFonts w:ascii="Times New Roman" w:hAnsi="Times New Roman"/>
          <w:b/>
          <w:sz w:val="24"/>
          <w:szCs w:val="24"/>
        </w:rPr>
      </w:pPr>
    </w:p>
    <w:p w14:paraId="0878E3AE" w14:textId="77777777" w:rsidR="00113D38" w:rsidRDefault="00113D38" w:rsidP="00E9307E">
      <w:pPr>
        <w:rPr>
          <w:rFonts w:ascii="Arial Black" w:hAnsi="Arial Black"/>
          <w:b/>
          <w:sz w:val="28"/>
          <w:szCs w:val="28"/>
        </w:rPr>
      </w:pPr>
    </w:p>
    <w:p w14:paraId="46845826" w14:textId="2BDC65CB" w:rsidR="006A13EA" w:rsidRDefault="006A13EA" w:rsidP="00E9307E">
      <w:pPr>
        <w:rPr>
          <w:rFonts w:ascii="Arial Black" w:hAnsi="Arial Black"/>
          <w:b/>
          <w:sz w:val="28"/>
          <w:szCs w:val="28"/>
        </w:rPr>
      </w:pPr>
      <w:r>
        <w:rPr>
          <w:rFonts w:ascii="Arial Black" w:hAnsi="Arial Black"/>
          <w:b/>
          <w:sz w:val="28"/>
          <w:szCs w:val="28"/>
        </w:rPr>
        <w:t>10-1</w:t>
      </w:r>
      <w:r w:rsidR="00B13773">
        <w:rPr>
          <w:rFonts w:ascii="Arial Black" w:hAnsi="Arial Black"/>
          <w:b/>
          <w:sz w:val="28"/>
          <w:szCs w:val="28"/>
        </w:rPr>
        <w:t>1</w:t>
      </w:r>
    </w:p>
    <w:p w14:paraId="6DE23C0B" w14:textId="20209B42" w:rsidR="006A13EA" w:rsidRPr="00A708BF" w:rsidRDefault="006A13EA" w:rsidP="006A13EA">
      <w:pPr>
        <w:pStyle w:val="NoSpacing"/>
        <w:rPr>
          <w:rFonts w:ascii="Arial Black" w:hAnsi="Arial Black"/>
          <w:sz w:val="28"/>
          <w:szCs w:val="28"/>
        </w:rPr>
      </w:pPr>
      <w:r>
        <w:rPr>
          <w:rFonts w:ascii="Arial Black" w:hAnsi="Arial Black"/>
          <w:sz w:val="28"/>
          <w:szCs w:val="28"/>
        </w:rPr>
        <w:t>CT: MEDIC SUPERVISOR – BACK INJURY –MISSED WORK - FIRED</w:t>
      </w:r>
    </w:p>
    <w:p w14:paraId="1B267619" w14:textId="77777777" w:rsidR="006A13EA" w:rsidRDefault="006A13EA" w:rsidP="006A13EA">
      <w:pPr>
        <w:pStyle w:val="NoSpacing"/>
        <w:rPr>
          <w:rFonts w:ascii="Times New Roman" w:hAnsi="Times New Roman"/>
          <w:sz w:val="24"/>
          <w:szCs w:val="24"/>
        </w:rPr>
      </w:pPr>
    </w:p>
    <w:p w14:paraId="2D8D598D" w14:textId="33535CEC" w:rsidR="006A13EA" w:rsidRDefault="006A13EA" w:rsidP="006A13EA">
      <w:pPr>
        <w:pStyle w:val="NoSpacing"/>
        <w:rPr>
          <w:rFonts w:ascii="Times New Roman" w:hAnsi="Times New Roman"/>
          <w:sz w:val="24"/>
          <w:szCs w:val="24"/>
        </w:rPr>
      </w:pPr>
      <w:r>
        <w:rPr>
          <w:rFonts w:ascii="Times New Roman" w:hAnsi="Times New Roman"/>
          <w:sz w:val="24"/>
          <w:szCs w:val="24"/>
        </w:rPr>
        <w:lastRenderedPageBreak/>
        <w:t xml:space="preserve">On Feb. 23, 2024, in </w:t>
      </w:r>
      <w:r w:rsidRPr="00722030">
        <w:rPr>
          <w:rFonts w:ascii="Times New Roman" w:hAnsi="Times New Roman"/>
          <w:sz w:val="24"/>
          <w:szCs w:val="24"/>
          <w:u w:val="single"/>
        </w:rPr>
        <w:t>Robert Larose v. American Medical Response of Connecticut</w:t>
      </w:r>
      <w:r>
        <w:rPr>
          <w:rFonts w:ascii="Times New Roman" w:hAnsi="Times New Roman"/>
          <w:sz w:val="24"/>
          <w:szCs w:val="24"/>
        </w:rPr>
        <w:t xml:space="preserve">, United States District Court Judge Vernon D. Oliver, U.S. District Court for District of Connecticut, granted the defense motion for summary judgment on ADA and FMLA claims.  After numerous leaves of absence, he returned to work as part-time per diem </w:t>
      </w:r>
      <w:proofErr w:type="gramStart"/>
      <w:r>
        <w:rPr>
          <w:rFonts w:ascii="Times New Roman" w:hAnsi="Times New Roman"/>
          <w:sz w:val="24"/>
          <w:szCs w:val="24"/>
        </w:rPr>
        <w:t>medic, but</w:t>
      </w:r>
      <w:proofErr w:type="gramEnd"/>
      <w:r>
        <w:rPr>
          <w:rFonts w:ascii="Times New Roman" w:hAnsi="Times New Roman"/>
          <w:sz w:val="24"/>
          <w:szCs w:val="24"/>
        </w:rPr>
        <w:t xml:space="preserve"> failed to work the required one shift per week. </w:t>
      </w:r>
      <w:r w:rsidR="00AE2AF4">
        <w:rPr>
          <w:rFonts w:ascii="Times New Roman" w:hAnsi="Times New Roman"/>
          <w:sz w:val="24"/>
          <w:szCs w:val="24"/>
        </w:rPr>
        <w:t xml:space="preserve"> </w:t>
      </w:r>
      <w:hyperlink r:id="rId1753" w:history="1">
        <w:r w:rsidR="00AE2AF4" w:rsidRPr="007E7996">
          <w:rPr>
            <w:rStyle w:val="Hyperlink"/>
            <w:rFonts w:ascii="Times New Roman" w:hAnsi="Times New Roman"/>
            <w:sz w:val="24"/>
            <w:szCs w:val="24"/>
          </w:rPr>
          <w:t>https://caselaw.findlaw.com/court/us-dis-crt-d-con/115860244.html</w:t>
        </w:r>
      </w:hyperlink>
      <w:r w:rsidR="00AE2AF4">
        <w:t xml:space="preserve"> </w:t>
      </w:r>
    </w:p>
    <w:p w14:paraId="380F49E5" w14:textId="77777777" w:rsidR="003956F7" w:rsidRDefault="003956F7" w:rsidP="003956F7">
      <w:pPr>
        <w:pStyle w:val="NoSpacing"/>
        <w:rPr>
          <w:rFonts w:ascii="Times New Roman" w:hAnsi="Times New Roman"/>
          <w:sz w:val="24"/>
          <w:szCs w:val="24"/>
          <w:shd w:val="clear" w:color="auto" w:fill="FFFFFF"/>
        </w:rPr>
      </w:pPr>
    </w:p>
    <w:p w14:paraId="5AF4B9A9" w14:textId="46B8BBF4"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1A34141F" w14:textId="77777777" w:rsidR="003956F7" w:rsidRDefault="003956F7" w:rsidP="006A13EA">
      <w:pPr>
        <w:pStyle w:val="NoSpacing"/>
        <w:rPr>
          <w:rFonts w:ascii="Times New Roman" w:hAnsi="Times New Roman"/>
          <w:sz w:val="24"/>
          <w:szCs w:val="24"/>
        </w:rPr>
      </w:pPr>
    </w:p>
    <w:p w14:paraId="04F50309" w14:textId="77777777" w:rsidR="006A13EA" w:rsidRDefault="006A13EA" w:rsidP="006A13EA">
      <w:pPr>
        <w:ind w:left="720"/>
        <w:rPr>
          <w:rFonts w:ascii="Times New Roman" w:hAnsi="Times New Roman"/>
          <w:sz w:val="24"/>
          <w:szCs w:val="24"/>
        </w:rPr>
      </w:pPr>
      <w:r>
        <w:rPr>
          <w:rFonts w:ascii="Times New Roman" w:hAnsi="Times New Roman"/>
          <w:sz w:val="24"/>
          <w:szCs w:val="24"/>
        </w:rPr>
        <w:t>“</w:t>
      </w:r>
      <w:r w:rsidRPr="002D3623">
        <w:rPr>
          <w:rFonts w:ascii="Times New Roman" w:hAnsi="Times New Roman"/>
          <w:sz w:val="24"/>
          <w:szCs w:val="24"/>
        </w:rPr>
        <w:t xml:space="preserve">Here, Plaintiff alleges that after his shoulder injury, </w:t>
      </w:r>
      <w:r>
        <w:rPr>
          <w:rFonts w:ascii="Times New Roman" w:hAnsi="Times New Roman"/>
          <w:sz w:val="24"/>
          <w:szCs w:val="24"/>
        </w:rPr>
        <w:t>‘</w:t>
      </w:r>
      <w:r w:rsidRPr="002D3623">
        <w:rPr>
          <w:rFonts w:ascii="Times New Roman" w:hAnsi="Times New Roman"/>
          <w:sz w:val="24"/>
          <w:szCs w:val="24"/>
        </w:rPr>
        <w:t>the medical restriction that was preventing him from returning to work was that his doctor did not want him to do any heavy lifting.</w:t>
      </w:r>
      <w:r>
        <w:rPr>
          <w:rFonts w:ascii="Times New Roman" w:hAnsi="Times New Roman"/>
          <w:sz w:val="24"/>
          <w:szCs w:val="24"/>
        </w:rPr>
        <w:t>’</w:t>
      </w:r>
      <w:r w:rsidRPr="002D3623">
        <w:rPr>
          <w:rFonts w:ascii="Times New Roman" w:hAnsi="Times New Roman"/>
          <w:sz w:val="24"/>
          <w:szCs w:val="24"/>
        </w:rPr>
        <w:t xml:space="preserve"> He further asserts that </w:t>
      </w:r>
      <w:r>
        <w:rPr>
          <w:rFonts w:ascii="Times New Roman" w:hAnsi="Times New Roman"/>
          <w:sz w:val="24"/>
          <w:szCs w:val="24"/>
        </w:rPr>
        <w:t>‘</w:t>
      </w:r>
      <w:r w:rsidRPr="002D3623">
        <w:rPr>
          <w:rFonts w:ascii="Times New Roman" w:hAnsi="Times New Roman"/>
          <w:sz w:val="24"/>
          <w:szCs w:val="24"/>
        </w:rPr>
        <w:t>his injury caused [him] to be substantially limited in both the major life activities of ‘lifting’ and ‘working,’ thereby establishing that he was, at the time, a disabled person.</w:t>
      </w:r>
      <w:r>
        <w:rPr>
          <w:rFonts w:ascii="Times New Roman" w:hAnsi="Times New Roman"/>
          <w:sz w:val="24"/>
          <w:szCs w:val="24"/>
        </w:rPr>
        <w:t>’</w:t>
      </w:r>
      <w:r w:rsidRPr="002D3623">
        <w:rPr>
          <w:rFonts w:ascii="Times New Roman" w:hAnsi="Times New Roman"/>
          <w:sz w:val="24"/>
          <w:szCs w:val="24"/>
        </w:rPr>
        <w:t xml:space="preserve"> Plaintiff provides absolutely no medical records, evidence, or other information to support his claim that his neck/shoulder injury caused him to be substantially limited in the major life activities of lifting and working.</w:t>
      </w:r>
    </w:p>
    <w:p w14:paraId="46821EBA" w14:textId="77777777" w:rsidR="006A13EA" w:rsidRDefault="006A13EA" w:rsidP="006A13EA">
      <w:pPr>
        <w:ind w:left="720"/>
        <w:rPr>
          <w:rFonts w:ascii="Times New Roman" w:hAnsi="Times New Roman"/>
          <w:sz w:val="24"/>
          <w:szCs w:val="24"/>
        </w:rPr>
      </w:pPr>
      <w:r>
        <w:rPr>
          <w:rFonts w:ascii="Times New Roman" w:hAnsi="Times New Roman"/>
          <w:sz w:val="24"/>
          <w:szCs w:val="24"/>
        </w:rPr>
        <w:t>***</w:t>
      </w:r>
    </w:p>
    <w:p w14:paraId="08E190BA" w14:textId="77777777" w:rsidR="006A13EA" w:rsidRPr="004948B6" w:rsidRDefault="006A13EA" w:rsidP="006A13EA">
      <w:pPr>
        <w:ind w:left="720"/>
        <w:rPr>
          <w:rFonts w:ascii="Times New Roman" w:hAnsi="Times New Roman"/>
          <w:sz w:val="24"/>
          <w:szCs w:val="24"/>
        </w:rPr>
      </w:pPr>
      <w:r w:rsidRPr="004948B6">
        <w:rPr>
          <w:rFonts w:ascii="Times New Roman" w:hAnsi="Times New Roman"/>
          <w:sz w:val="24"/>
          <w:szCs w:val="24"/>
        </w:rPr>
        <w:t>As a preliminary matter, Plaintiff does not contend that AMR denied any FMLA leave he requested. Indeed, Plaintiff expressly concedes that he received all the leave to which he was entitled when he took leave twice between 2018-2019.</w:t>
      </w:r>
      <w:r>
        <w:rPr>
          <w:rFonts w:ascii="Times New Roman" w:hAnsi="Times New Roman"/>
          <w:sz w:val="24"/>
          <w:szCs w:val="24"/>
        </w:rPr>
        <w:t xml:space="preserve"> </w:t>
      </w:r>
      <w:r w:rsidRPr="004948B6">
        <w:rPr>
          <w:rFonts w:ascii="Times New Roman" w:hAnsi="Times New Roman"/>
          <w:sz w:val="24"/>
          <w:szCs w:val="24"/>
        </w:rPr>
        <w:t>Therefore, to prevail on his interference claim, Plaintiff must show that AMR interfered with his FMLA rights in some manner other than by denying him leave.</w:t>
      </w:r>
      <w:r>
        <w:rPr>
          <w:rFonts w:ascii="Times New Roman" w:hAnsi="Times New Roman"/>
          <w:sz w:val="24"/>
          <w:szCs w:val="24"/>
        </w:rPr>
        <w:t xml:space="preserve">”  </w:t>
      </w:r>
      <w:hyperlink r:id="rId1754" w:history="1">
        <w:r w:rsidRPr="007E7996">
          <w:rPr>
            <w:rStyle w:val="Hyperlink"/>
            <w:rFonts w:ascii="Times New Roman" w:hAnsi="Times New Roman"/>
            <w:sz w:val="24"/>
            <w:szCs w:val="24"/>
          </w:rPr>
          <w:t>https://caselaw.findlaw.com/court/us-dis-crt-d-con/115860244.html</w:t>
        </w:r>
      </w:hyperlink>
      <w:r>
        <w:rPr>
          <w:rFonts w:ascii="Times New Roman" w:hAnsi="Times New Roman"/>
          <w:sz w:val="24"/>
          <w:szCs w:val="24"/>
        </w:rPr>
        <w:t xml:space="preserve"> </w:t>
      </w:r>
    </w:p>
    <w:p w14:paraId="5DD1AD15" w14:textId="77777777" w:rsidR="006A13EA" w:rsidRDefault="006A13EA" w:rsidP="006A13EA">
      <w:pPr>
        <w:rPr>
          <w:rFonts w:ascii="Times New Roman" w:hAnsi="Times New Roman"/>
          <w:b/>
          <w:bCs/>
          <w:sz w:val="24"/>
          <w:szCs w:val="24"/>
        </w:rPr>
      </w:pPr>
      <w:r w:rsidRPr="00530114">
        <w:rPr>
          <w:rFonts w:ascii="Times New Roman" w:hAnsi="Times New Roman"/>
          <w:b/>
          <w:bCs/>
          <w:sz w:val="24"/>
          <w:szCs w:val="24"/>
        </w:rPr>
        <w:t>Legal Lesson Learned:</w:t>
      </w:r>
      <w:r>
        <w:rPr>
          <w:rFonts w:ascii="Times New Roman" w:hAnsi="Times New Roman"/>
          <w:b/>
          <w:bCs/>
          <w:sz w:val="24"/>
          <w:szCs w:val="24"/>
        </w:rPr>
        <w:t xml:space="preserve"> After employee uses all FMLA leave, employer does not have to hold open former position. </w:t>
      </w:r>
    </w:p>
    <w:p w14:paraId="4FE9F5C4" w14:textId="77777777" w:rsidR="006A13EA" w:rsidRPr="00401EB7" w:rsidRDefault="006A13EA" w:rsidP="006A13EA">
      <w:pPr>
        <w:pStyle w:val="NoSpacing"/>
        <w:rPr>
          <w:rFonts w:ascii="Times New Roman" w:hAnsi="Times New Roman"/>
          <w:sz w:val="24"/>
          <w:szCs w:val="24"/>
        </w:rPr>
      </w:pPr>
      <w:r>
        <w:rPr>
          <w:rFonts w:ascii="Times New Roman" w:hAnsi="Times New Roman"/>
          <w:b/>
          <w:bCs/>
          <w:sz w:val="24"/>
          <w:szCs w:val="24"/>
        </w:rPr>
        <w:tab/>
      </w:r>
      <w:r w:rsidRPr="00401EB7">
        <w:rPr>
          <w:rFonts w:ascii="Times New Roman" w:hAnsi="Times New Roman"/>
          <w:sz w:val="24"/>
          <w:szCs w:val="24"/>
        </w:rPr>
        <w:t xml:space="preserve">Note: FMLA Leave: </w:t>
      </w:r>
      <w:hyperlink r:id="rId1755" w:history="1">
        <w:r w:rsidRPr="00401EB7">
          <w:rPr>
            <w:rStyle w:val="Hyperlink"/>
            <w:rFonts w:ascii="Times New Roman" w:hAnsi="Times New Roman"/>
            <w:sz w:val="24"/>
            <w:szCs w:val="24"/>
          </w:rPr>
          <w:t>https://www.dol.gov/agencies/whd/fmla</w:t>
        </w:r>
      </w:hyperlink>
      <w:r w:rsidRPr="00401EB7">
        <w:rPr>
          <w:rFonts w:ascii="Times New Roman" w:hAnsi="Times New Roman"/>
          <w:sz w:val="24"/>
          <w:szCs w:val="24"/>
        </w:rPr>
        <w:t xml:space="preserve"> </w:t>
      </w:r>
    </w:p>
    <w:p w14:paraId="5D8632B3" w14:textId="77777777" w:rsidR="006A13EA" w:rsidRPr="0013397F" w:rsidRDefault="006A13EA" w:rsidP="006A13EA">
      <w:pPr>
        <w:pStyle w:val="NoSpacing"/>
        <w:ind w:firstLine="720"/>
        <w:rPr>
          <w:rFonts w:ascii="Times New Roman" w:hAnsi="Times New Roman"/>
          <w:sz w:val="24"/>
          <w:szCs w:val="24"/>
        </w:rPr>
      </w:pPr>
      <w:r>
        <w:rPr>
          <w:rFonts w:ascii="Times New Roman" w:hAnsi="Times New Roman"/>
          <w:b/>
          <w:bCs/>
          <w:sz w:val="24"/>
          <w:szCs w:val="24"/>
        </w:rPr>
        <w:t>“</w:t>
      </w:r>
      <w:r w:rsidRPr="0013397F">
        <w:rPr>
          <w:rFonts w:ascii="Times New Roman" w:hAnsi="Times New Roman"/>
          <w:sz w:val="24"/>
          <w:szCs w:val="24"/>
        </w:rPr>
        <w:t>Twelve workweeks of leave in a 12-month period for:</w:t>
      </w:r>
    </w:p>
    <w:p w14:paraId="0053D659" w14:textId="77777777" w:rsidR="006A13EA" w:rsidRPr="0013397F" w:rsidRDefault="006A13EA" w:rsidP="006A13EA">
      <w:pPr>
        <w:pStyle w:val="NoSpacing"/>
        <w:numPr>
          <w:ilvl w:val="0"/>
          <w:numId w:val="20"/>
        </w:numPr>
        <w:rPr>
          <w:rFonts w:ascii="Times New Roman" w:hAnsi="Times New Roman"/>
          <w:sz w:val="24"/>
          <w:szCs w:val="24"/>
        </w:rPr>
      </w:pPr>
      <w:r w:rsidRPr="0013397F">
        <w:rPr>
          <w:rFonts w:ascii="Times New Roman" w:hAnsi="Times New Roman"/>
          <w:sz w:val="24"/>
          <w:szCs w:val="24"/>
        </w:rPr>
        <w:t>the birth of a child and to care for the newborn child within one year of birth;</w:t>
      </w:r>
    </w:p>
    <w:p w14:paraId="2B52B53A" w14:textId="77777777" w:rsidR="006A13EA" w:rsidRPr="0013397F" w:rsidRDefault="006A13EA" w:rsidP="006A13EA">
      <w:pPr>
        <w:pStyle w:val="NoSpacing"/>
        <w:numPr>
          <w:ilvl w:val="0"/>
          <w:numId w:val="20"/>
        </w:numPr>
        <w:rPr>
          <w:rFonts w:ascii="Times New Roman" w:hAnsi="Times New Roman"/>
          <w:sz w:val="24"/>
          <w:szCs w:val="24"/>
        </w:rPr>
      </w:pPr>
      <w:r w:rsidRPr="0013397F">
        <w:rPr>
          <w:rFonts w:ascii="Times New Roman" w:hAnsi="Times New Roman"/>
          <w:sz w:val="24"/>
          <w:szCs w:val="24"/>
        </w:rPr>
        <w:t>the placement with the employee of a child for adoption or foster care and to care for the newly placed child within one year of placement;</w:t>
      </w:r>
    </w:p>
    <w:p w14:paraId="1EFF41F3" w14:textId="77777777" w:rsidR="006A13EA" w:rsidRPr="0013397F" w:rsidRDefault="006A13EA" w:rsidP="006A13EA">
      <w:pPr>
        <w:pStyle w:val="NoSpacing"/>
        <w:numPr>
          <w:ilvl w:val="0"/>
          <w:numId w:val="20"/>
        </w:numPr>
        <w:rPr>
          <w:rFonts w:ascii="Times New Roman" w:hAnsi="Times New Roman"/>
          <w:sz w:val="24"/>
          <w:szCs w:val="24"/>
        </w:rPr>
      </w:pPr>
      <w:r w:rsidRPr="0013397F">
        <w:rPr>
          <w:rFonts w:ascii="Times New Roman" w:hAnsi="Times New Roman"/>
          <w:sz w:val="24"/>
          <w:szCs w:val="24"/>
        </w:rPr>
        <w:t>to care for the employee’s spouse, child, or parent who has a serious health condition;</w:t>
      </w:r>
    </w:p>
    <w:p w14:paraId="4191BAE7" w14:textId="77777777" w:rsidR="006A13EA" w:rsidRPr="0013397F" w:rsidRDefault="006A13EA" w:rsidP="006A13EA">
      <w:pPr>
        <w:pStyle w:val="NoSpacing"/>
        <w:numPr>
          <w:ilvl w:val="0"/>
          <w:numId w:val="20"/>
        </w:numPr>
        <w:rPr>
          <w:rFonts w:ascii="Times New Roman" w:hAnsi="Times New Roman"/>
          <w:sz w:val="24"/>
          <w:szCs w:val="24"/>
        </w:rPr>
      </w:pPr>
      <w:r w:rsidRPr="0013397F">
        <w:rPr>
          <w:rFonts w:ascii="Times New Roman" w:hAnsi="Times New Roman"/>
          <w:sz w:val="24"/>
          <w:szCs w:val="24"/>
        </w:rPr>
        <w:t>a serious health condition that makes the employee unable to perform the essential functions of his or her job;</w:t>
      </w:r>
    </w:p>
    <w:p w14:paraId="0EBC0F88" w14:textId="77777777" w:rsidR="006A13EA" w:rsidRPr="0013397F" w:rsidRDefault="006A13EA" w:rsidP="006A13EA">
      <w:pPr>
        <w:pStyle w:val="NoSpacing"/>
        <w:numPr>
          <w:ilvl w:val="0"/>
          <w:numId w:val="20"/>
        </w:numPr>
        <w:rPr>
          <w:rFonts w:ascii="Times New Roman" w:hAnsi="Times New Roman"/>
          <w:sz w:val="24"/>
          <w:szCs w:val="24"/>
        </w:rPr>
      </w:pPr>
      <w:r w:rsidRPr="0013397F">
        <w:rPr>
          <w:rFonts w:ascii="Times New Roman" w:hAnsi="Times New Roman"/>
          <w:sz w:val="24"/>
          <w:szCs w:val="24"/>
        </w:rPr>
        <w:t>any qualifying exigency arising out of the fact that the employee’s spouse, son, daughter, or parent is a covered military member on “covered active duty;” or</w:t>
      </w:r>
    </w:p>
    <w:p w14:paraId="5FAC7F30" w14:textId="77777777" w:rsidR="006A13EA" w:rsidRDefault="006A13EA" w:rsidP="006A13EA">
      <w:pPr>
        <w:pStyle w:val="NoSpacing"/>
        <w:rPr>
          <w:rFonts w:ascii="Times New Roman" w:hAnsi="Times New Roman"/>
          <w:sz w:val="24"/>
          <w:szCs w:val="24"/>
        </w:rPr>
      </w:pPr>
    </w:p>
    <w:p w14:paraId="779849C6" w14:textId="77777777" w:rsidR="006A13EA" w:rsidRPr="0013397F" w:rsidRDefault="006A13EA" w:rsidP="006A13EA">
      <w:pPr>
        <w:pStyle w:val="NoSpacing"/>
        <w:ind w:left="720"/>
        <w:rPr>
          <w:rFonts w:ascii="Times New Roman" w:hAnsi="Times New Roman"/>
          <w:sz w:val="24"/>
          <w:szCs w:val="24"/>
        </w:rPr>
      </w:pPr>
      <w:r w:rsidRPr="0013397F">
        <w:rPr>
          <w:rFonts w:ascii="Times New Roman" w:hAnsi="Times New Roman"/>
          <w:sz w:val="24"/>
          <w:szCs w:val="24"/>
        </w:rPr>
        <w:t>Twenty-six work weeks of leave during a single 12-month period to care for a covered servicemember with a serious injury or illness if the eligible employee is the servicemember’s spouse, son, daughter, parent, or next of kin (military caregiver leave)</w:t>
      </w:r>
      <w:proofErr w:type="gramStart"/>
      <w:r w:rsidRPr="0013397F">
        <w:rPr>
          <w:rFonts w:ascii="Times New Roman" w:hAnsi="Times New Roman"/>
          <w:sz w:val="24"/>
          <w:szCs w:val="24"/>
        </w:rPr>
        <w:t>.</w:t>
      </w:r>
      <w:r>
        <w:rPr>
          <w:rFonts w:ascii="Times New Roman" w:hAnsi="Times New Roman"/>
          <w:sz w:val="24"/>
          <w:szCs w:val="24"/>
        </w:rPr>
        <w:t>”</w:t>
      </w:r>
      <w:proofErr w:type="gramEnd"/>
    </w:p>
    <w:p w14:paraId="75CA5315" w14:textId="77777777" w:rsidR="006A13EA" w:rsidRDefault="006A13EA" w:rsidP="00E9307E">
      <w:pPr>
        <w:rPr>
          <w:rFonts w:ascii="Arial Black" w:hAnsi="Arial Black"/>
          <w:b/>
          <w:sz w:val="28"/>
          <w:szCs w:val="28"/>
        </w:rPr>
      </w:pPr>
    </w:p>
    <w:p w14:paraId="6DE65148" w14:textId="77777777" w:rsidR="006A13EA" w:rsidRDefault="006A13EA" w:rsidP="00E9307E">
      <w:pPr>
        <w:rPr>
          <w:rFonts w:ascii="Arial Black" w:hAnsi="Arial Black"/>
          <w:b/>
          <w:sz w:val="28"/>
          <w:szCs w:val="28"/>
        </w:rPr>
      </w:pPr>
    </w:p>
    <w:p w14:paraId="00CF8FBD" w14:textId="77777777" w:rsidR="00D33F96" w:rsidRDefault="00D33F96" w:rsidP="00E9307E">
      <w:pPr>
        <w:rPr>
          <w:rFonts w:ascii="Arial Black" w:hAnsi="Arial Black"/>
          <w:b/>
          <w:sz w:val="28"/>
          <w:szCs w:val="28"/>
        </w:rPr>
      </w:pPr>
    </w:p>
    <w:p w14:paraId="2B0F2A19" w14:textId="7E80E2D3" w:rsidR="00237599" w:rsidRDefault="00237599" w:rsidP="00E9307E">
      <w:pPr>
        <w:rPr>
          <w:rFonts w:ascii="Arial Black" w:hAnsi="Arial Black"/>
          <w:b/>
          <w:sz w:val="28"/>
          <w:szCs w:val="28"/>
        </w:rPr>
      </w:pPr>
      <w:r>
        <w:rPr>
          <w:rFonts w:ascii="Arial Black" w:hAnsi="Arial Black"/>
          <w:b/>
          <w:sz w:val="28"/>
          <w:szCs w:val="28"/>
        </w:rPr>
        <w:t>10-1</w:t>
      </w:r>
      <w:r w:rsidR="00B13773">
        <w:rPr>
          <w:rFonts w:ascii="Arial Black" w:hAnsi="Arial Black"/>
          <w:b/>
          <w:sz w:val="28"/>
          <w:szCs w:val="28"/>
        </w:rPr>
        <w:t>0</w:t>
      </w:r>
    </w:p>
    <w:p w14:paraId="0AEA9C7D" w14:textId="25F4A1FE" w:rsidR="00237599" w:rsidRDefault="00237599" w:rsidP="00237599">
      <w:pPr>
        <w:pStyle w:val="NormalWeb"/>
        <w:rPr>
          <w:rFonts w:ascii="Arial Black" w:hAnsi="Arial Black"/>
          <w:b/>
          <w:bCs/>
          <w:sz w:val="28"/>
          <w:szCs w:val="28"/>
        </w:rPr>
      </w:pPr>
      <w:bookmarkStart w:id="372" w:name="_Hlk136860096"/>
      <w:r>
        <w:rPr>
          <w:rFonts w:ascii="Arial Black" w:hAnsi="Arial Black"/>
          <w:b/>
          <w:bCs/>
          <w:sz w:val="28"/>
          <w:szCs w:val="28"/>
        </w:rPr>
        <w:lastRenderedPageBreak/>
        <w:t xml:space="preserve">DC: FMLA – HOLIDAY </w:t>
      </w:r>
      <w:r w:rsidR="005F4A66">
        <w:rPr>
          <w:rFonts w:ascii="Arial Black" w:hAnsi="Arial Black"/>
          <w:b/>
          <w:bCs/>
          <w:sz w:val="28"/>
          <w:szCs w:val="28"/>
        </w:rPr>
        <w:t xml:space="preserve">- </w:t>
      </w:r>
      <w:r>
        <w:rPr>
          <w:rFonts w:ascii="Arial Black" w:hAnsi="Arial Black"/>
          <w:b/>
          <w:bCs/>
          <w:sz w:val="28"/>
          <w:szCs w:val="28"/>
        </w:rPr>
        <w:t>NOT COUNTED FULL WEEK OF LEAVE</w:t>
      </w:r>
    </w:p>
    <w:bookmarkEnd w:id="372"/>
    <w:p w14:paraId="65820FA5" w14:textId="77777777" w:rsidR="00237599" w:rsidRPr="00237599" w:rsidRDefault="00237599" w:rsidP="00237599">
      <w:pPr>
        <w:pStyle w:val="NormalWeb"/>
        <w:rPr>
          <w:rStyle w:val="markedcontent"/>
        </w:rPr>
      </w:pPr>
      <w:r w:rsidRPr="00237599">
        <w:t xml:space="preserve">On May 30, 2023, the U.S. Department of Labor, Wage and Hour Division, issued Opinion Letter </w:t>
      </w:r>
      <w:r w:rsidRPr="00237599">
        <w:rPr>
          <w:rStyle w:val="markedcontent"/>
        </w:rPr>
        <w:t>FMLA2023-2-A on calculating amount of leave used by an employee taking leave during a week where there is a holiday (such as 4</w:t>
      </w:r>
      <w:r w:rsidRPr="00237599">
        <w:rPr>
          <w:rStyle w:val="markedcontent"/>
          <w:vertAlign w:val="superscript"/>
        </w:rPr>
        <w:t>th</w:t>
      </w:r>
      <w:r w:rsidRPr="00237599">
        <w:rPr>
          <w:rStyle w:val="markedcontent"/>
        </w:rPr>
        <w:t xml:space="preserve"> of July).  Opinion Letter advised: </w:t>
      </w:r>
    </w:p>
    <w:p w14:paraId="4545340C" w14:textId="499F1B89" w:rsidR="00237599" w:rsidRPr="00237599" w:rsidRDefault="00237599" w:rsidP="00237599">
      <w:pPr>
        <w:rPr>
          <w:rFonts w:ascii="Times New Roman" w:hAnsi="Times New Roman"/>
          <w:b/>
          <w:sz w:val="24"/>
          <w:szCs w:val="24"/>
        </w:rPr>
      </w:pPr>
      <w:r w:rsidRPr="00237599">
        <w:rPr>
          <w:rStyle w:val="markedcontent"/>
          <w:rFonts w:ascii="Times New Roman" w:hAnsi="Times New Roman"/>
          <w:sz w:val="24"/>
          <w:szCs w:val="24"/>
        </w:rPr>
        <w:t xml:space="preserve">“When a holiday falls during a week that an employee is taking a full workweek of FMLA leave, the entire week is counted as FMLA leave. 29 C.F.R. § 825.200(h). Thus, for example, an employee who works Monday through Friday and takes leave for a week that includes the Fourth of July on Thursday would use one week of leave and not 4/5 of a week. However, when a holiday falls during a week when an employee is taking less than a full workweek of FMLA leave, the holiday is not counted as FMLA leave unless the employee was scheduled and expected to work on the holiday and used FMLA leave for that day.” </w:t>
      </w:r>
      <w:hyperlink r:id="rId1756" w:history="1">
        <w:r w:rsidRPr="00237599">
          <w:rPr>
            <w:rStyle w:val="Hyperlink"/>
            <w:rFonts w:ascii="Times New Roman" w:eastAsiaTheme="majorEastAsia" w:hAnsi="Times New Roman"/>
            <w:sz w:val="24"/>
            <w:szCs w:val="24"/>
          </w:rPr>
          <w:t>https://www.dol.gov/sites/dolgov/files/WHD/opinion-letters/FMLA/2023_05_30_02_FMLA.pdf</w:t>
        </w:r>
      </w:hyperlink>
    </w:p>
    <w:p w14:paraId="14526A0F" w14:textId="30FDBC05" w:rsidR="00237599" w:rsidRDefault="00237599" w:rsidP="00237599">
      <w:pPr>
        <w:pStyle w:val="NormalWeb"/>
        <w:rPr>
          <w:b/>
          <w:bCs/>
        </w:rPr>
      </w:pPr>
      <w:r>
        <w:rPr>
          <w:b/>
          <w:bCs/>
        </w:rPr>
        <w:t xml:space="preserve">Legal Lesson Learned: Wage &amp; Hour Opinion Letters are helpful, and Courts will often refer to them in litigation. </w:t>
      </w:r>
    </w:p>
    <w:p w14:paraId="3C6C9005" w14:textId="38BB7304" w:rsidR="00237599" w:rsidRDefault="00237599" w:rsidP="00237599">
      <w:pPr>
        <w:tabs>
          <w:tab w:val="left" w:pos="1050"/>
        </w:tabs>
        <w:rPr>
          <w:rFonts w:ascii="Arial Black" w:hAnsi="Arial Black"/>
          <w:b/>
          <w:sz w:val="28"/>
          <w:szCs w:val="28"/>
        </w:rPr>
      </w:pPr>
    </w:p>
    <w:p w14:paraId="60AE6181" w14:textId="4B4DE3E6" w:rsidR="0002742E" w:rsidRDefault="0002742E" w:rsidP="00E9307E">
      <w:pPr>
        <w:rPr>
          <w:rFonts w:ascii="Arial Black" w:hAnsi="Arial Black"/>
          <w:b/>
          <w:sz w:val="28"/>
          <w:szCs w:val="28"/>
        </w:rPr>
      </w:pPr>
      <w:r>
        <w:rPr>
          <w:rFonts w:ascii="Arial Black" w:hAnsi="Arial Black"/>
          <w:b/>
          <w:sz w:val="28"/>
          <w:szCs w:val="28"/>
        </w:rPr>
        <w:t>10-</w:t>
      </w:r>
      <w:r w:rsidR="00B13773">
        <w:rPr>
          <w:rFonts w:ascii="Arial Black" w:hAnsi="Arial Black"/>
          <w:b/>
          <w:sz w:val="28"/>
          <w:szCs w:val="28"/>
        </w:rPr>
        <w:t>9</w:t>
      </w:r>
    </w:p>
    <w:p w14:paraId="23B8FC55" w14:textId="77777777" w:rsidR="0002742E" w:rsidRPr="00915CA6" w:rsidRDefault="0002742E" w:rsidP="0002742E">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TX: HOSPITAL PARAMEDIC FIRED - 12 WEEKS FMLA LEAVE EXPIRED - JOB POSTED – TURNED DOWN NEW SHIFT </w:t>
      </w:r>
    </w:p>
    <w:p w14:paraId="346BB985" w14:textId="0AB51AA1" w:rsidR="0002742E" w:rsidRDefault="0002742E" w:rsidP="0002742E">
      <w:pPr>
        <w:rPr>
          <w:rFonts w:ascii="Arial Black" w:hAnsi="Arial Black"/>
          <w:b/>
          <w:sz w:val="28"/>
          <w:szCs w:val="28"/>
        </w:rPr>
      </w:pPr>
      <w:r w:rsidRPr="00990FC9">
        <w:rPr>
          <w:rFonts w:ascii="Times New Roman" w:hAnsi="Times New Roman"/>
          <w:sz w:val="24"/>
          <w:szCs w:val="24"/>
        </w:rPr>
        <w:t xml:space="preserve">On April 20, 2022, </w:t>
      </w:r>
      <w:r>
        <w:rPr>
          <w:rFonts w:ascii="Times New Roman" w:hAnsi="Times New Roman"/>
          <w:sz w:val="24"/>
          <w:szCs w:val="24"/>
        </w:rPr>
        <w:t xml:space="preserve">in </w:t>
      </w:r>
      <w:r w:rsidRPr="00990FC9">
        <w:rPr>
          <w:rFonts w:ascii="Times New Roman" w:hAnsi="Times New Roman"/>
          <w:sz w:val="24"/>
          <w:szCs w:val="24"/>
          <w:u w:val="single"/>
        </w:rPr>
        <w:t>Maria Jochims v. Houston Methodist Sugar Land Hospital</w:t>
      </w:r>
      <w:r>
        <w:rPr>
          <w:rFonts w:ascii="Times New Roman" w:hAnsi="Times New Roman"/>
          <w:sz w:val="24"/>
          <w:szCs w:val="24"/>
        </w:rPr>
        <w:t xml:space="preserve">, U.S. Magistrate Judge Andrew M. Edison issued a memorandum recommending that U.S. District Court judge dismiss the plaintiff’s sex and pregnancy discrimination claim.  The plaintiff worked as a Paramedic in the Emergency Services Department since 2013, and because of difficult pregnancy in Aug. 2016, she had used up her 12-weeks of “job protected” FMLA leave on Feb. 15, 2017.  The hospital needed the position filled ASAP, and the next day the job was posted (11 am – 11 pm shift) and quickly filled by a male Paramedic.  </w:t>
      </w:r>
      <w:r w:rsidRPr="00457431">
        <w:rPr>
          <w:rFonts w:ascii="Times New Roman" w:hAnsi="Times New Roman"/>
          <w:sz w:val="24"/>
          <w:szCs w:val="24"/>
        </w:rPr>
        <w:t>The hospital then offered the plaintiff a new shift (7 pm – 7 am), which she declined. Jochims failed to obtain a suitable position within 30 days. Houston Methodist gave Jochims an extension to locate and obtain an alternative position, but she failed to secure a new position within the extended time. Plaintiff was terminated effective April 25, 2017, under Houston Methodist's HR29 Policy.</w:t>
      </w:r>
      <w:r>
        <w:rPr>
          <w:rFonts w:ascii="Times New Roman" w:hAnsi="Times New Roman"/>
          <w:sz w:val="24"/>
          <w:szCs w:val="24"/>
        </w:rPr>
        <w:t xml:space="preserve"> </w:t>
      </w:r>
      <w:hyperlink r:id="rId1757" w:history="1">
        <w:r w:rsidRPr="005C2DF9">
          <w:rPr>
            <w:rStyle w:val="Hyperlink"/>
            <w:rFonts w:ascii="Times New Roman" w:hAnsi="Times New Roman"/>
            <w:sz w:val="24"/>
            <w:szCs w:val="24"/>
          </w:rPr>
          <w:t>https://public.fastcase.com/waZtJvSA54UAurM2rmIZz88A4DX9zJiHVSCLlaywcCbO%2FsN6H35lRLqBQI5YlUXLkpfw%2B63lWcDnyRlZDlxVAe7N7ayvxJpVWQxxLxisTNc%3D</w:t>
        </w:r>
      </w:hyperlink>
    </w:p>
    <w:p w14:paraId="264CE0D5" w14:textId="77777777" w:rsidR="0002742E" w:rsidRPr="00DA5B17" w:rsidRDefault="0002742E" w:rsidP="0002742E">
      <w:pPr>
        <w:spacing w:before="100" w:beforeAutospacing="1" w:after="100" w:afterAutospacing="1" w:line="240" w:lineRule="auto"/>
        <w:rPr>
          <w:rFonts w:ascii="Times New Roman" w:eastAsia="Times New Roman" w:hAnsi="Times New Roman"/>
          <w:b/>
          <w:bCs/>
          <w:sz w:val="24"/>
          <w:szCs w:val="24"/>
        </w:rPr>
      </w:pPr>
      <w:r w:rsidRPr="00DA5B17">
        <w:rPr>
          <w:rFonts w:ascii="Times New Roman" w:hAnsi="Times New Roman"/>
          <w:b/>
          <w:bCs/>
          <w:sz w:val="24"/>
          <w:szCs w:val="24"/>
        </w:rPr>
        <w:t>Legal Lesson Learned:</w:t>
      </w:r>
      <w:r>
        <w:rPr>
          <w:rFonts w:ascii="Times New Roman" w:hAnsi="Times New Roman"/>
          <w:b/>
          <w:bCs/>
          <w:sz w:val="24"/>
          <w:szCs w:val="24"/>
        </w:rPr>
        <w:t xml:space="preserve">  Fire &amp; EMS Departments should have a written FMLA policy. </w:t>
      </w:r>
    </w:p>
    <w:p w14:paraId="6E5A1242" w14:textId="77777777" w:rsidR="0002742E" w:rsidRDefault="0002742E" w:rsidP="0002742E">
      <w:pPr>
        <w:spacing w:before="100" w:beforeAutospacing="1" w:after="100" w:afterAutospacing="1" w:line="240" w:lineRule="auto"/>
        <w:rPr>
          <w:rFonts w:ascii="Times New Roman" w:hAnsi="Times New Roman"/>
          <w:sz w:val="24"/>
          <w:szCs w:val="24"/>
        </w:rPr>
      </w:pPr>
    </w:p>
    <w:p w14:paraId="46FF12D7" w14:textId="77777777" w:rsidR="0002742E" w:rsidRDefault="0002742E" w:rsidP="00E9307E">
      <w:pPr>
        <w:rPr>
          <w:rFonts w:ascii="Arial Black" w:hAnsi="Arial Black"/>
          <w:b/>
          <w:sz w:val="28"/>
          <w:szCs w:val="28"/>
        </w:rPr>
      </w:pPr>
    </w:p>
    <w:p w14:paraId="2854BCB3" w14:textId="77777777" w:rsidR="0002742E" w:rsidRDefault="0002742E" w:rsidP="00E9307E">
      <w:pPr>
        <w:rPr>
          <w:rFonts w:ascii="Arial Black" w:hAnsi="Arial Black"/>
          <w:b/>
          <w:sz w:val="28"/>
          <w:szCs w:val="28"/>
        </w:rPr>
      </w:pPr>
    </w:p>
    <w:p w14:paraId="7896CB0C" w14:textId="3BBC8E05" w:rsidR="00BD3FE4" w:rsidRDefault="00BD3FE4" w:rsidP="00E9307E">
      <w:pPr>
        <w:rPr>
          <w:rFonts w:ascii="Arial Black" w:hAnsi="Arial Black"/>
          <w:b/>
          <w:sz w:val="28"/>
          <w:szCs w:val="28"/>
        </w:rPr>
      </w:pPr>
      <w:r>
        <w:rPr>
          <w:rFonts w:ascii="Arial Black" w:hAnsi="Arial Black"/>
          <w:b/>
          <w:sz w:val="28"/>
          <w:szCs w:val="28"/>
        </w:rPr>
        <w:lastRenderedPageBreak/>
        <w:t>10-</w:t>
      </w:r>
      <w:r w:rsidR="00B13773">
        <w:rPr>
          <w:rFonts w:ascii="Arial Black" w:hAnsi="Arial Black"/>
          <w:b/>
          <w:sz w:val="28"/>
          <w:szCs w:val="28"/>
        </w:rPr>
        <w:t>8</w:t>
      </w:r>
      <w:r>
        <w:rPr>
          <w:rFonts w:ascii="Arial Black" w:hAnsi="Arial Black"/>
          <w:b/>
          <w:sz w:val="28"/>
          <w:szCs w:val="28"/>
        </w:rPr>
        <w:t xml:space="preserve"> [also Filed Chap. 15]</w:t>
      </w:r>
    </w:p>
    <w:p w14:paraId="344DA447" w14:textId="77777777" w:rsidR="00BD3FE4" w:rsidRDefault="00BD3FE4" w:rsidP="00BD3FE4">
      <w:pPr>
        <w:pStyle w:val="NormalWeb"/>
        <w:rPr>
          <w:rFonts w:ascii="Arial Black" w:hAnsi="Arial Black"/>
          <w:b/>
          <w:bCs/>
          <w:sz w:val="28"/>
          <w:szCs w:val="28"/>
        </w:rPr>
      </w:pPr>
      <w:r>
        <w:rPr>
          <w:rFonts w:ascii="Arial Black" w:hAnsi="Arial Black"/>
          <w:b/>
          <w:bCs/>
          <w:sz w:val="28"/>
          <w:szCs w:val="28"/>
        </w:rPr>
        <w:t xml:space="preserve">MA: CAPTAIN PSYCHIATRICT EXAM – FIRE CHIEF DENIED IMMUNITY – ALLEGED RETALIATION / BREACH OF FMLA </w:t>
      </w:r>
    </w:p>
    <w:p w14:paraId="21A411EF" w14:textId="77777777" w:rsidR="00BD3FE4" w:rsidRDefault="00BD3FE4" w:rsidP="00BD3FE4">
      <w:pPr>
        <w:pStyle w:val="NormalWeb"/>
      </w:pPr>
      <w:r w:rsidRPr="00944162">
        <w:t xml:space="preserve">On </w:t>
      </w:r>
      <w:r>
        <w:t xml:space="preserve">Jan. 26, 2022, in </w:t>
      </w:r>
      <w:r w:rsidRPr="00944162">
        <w:rPr>
          <w:u w:val="single"/>
        </w:rPr>
        <w:t>Andrew Brennan v. City of Everett and Anthony Carli</w:t>
      </w:r>
      <w:r>
        <w:t>, the Appeals Court of Massachusetts held (3 to 0; unpublished decision) that trial judge properly denied the Fire Chief Anthony Carli’s  motion to be dismissed from lawsuit based on qualified immunity.  “</w:t>
      </w:r>
      <w:r w:rsidRPr="00DE5CFC">
        <w:t>Here, Brennan alleged that Carli placed him on leave and provided false information to medical evaluators under the false belief that Brennan was mentally unfit.</w:t>
      </w:r>
      <w:r>
        <w:t xml:space="preserve">” </w:t>
      </w:r>
      <w:hyperlink r:id="rId1758" w:history="1">
        <w:r w:rsidRPr="003B2357">
          <w:rPr>
            <w:rStyle w:val="Hyperlink"/>
            <w:rFonts w:eastAsiaTheme="majorEastAsia"/>
          </w:rPr>
          <w:t>https://public.fastcase.com/9SKwsfNqTc6OieYDhNMyM%2BsbSTu241pOZ38l1fL3GtOxRE1iLhH6RZm0FIyTdVeF1XRK6Ebg7B5equTDg4ZQiMxFMDQEZko4UYsaxrmOuYk%3D</w:t>
        </w:r>
      </w:hyperlink>
      <w:r>
        <w:t xml:space="preserve"> </w:t>
      </w:r>
      <w:r w:rsidRPr="00266965">
        <w:t xml:space="preserve"> </w:t>
      </w:r>
      <w:r>
        <w:t xml:space="preserve"> </w:t>
      </w:r>
    </w:p>
    <w:p w14:paraId="2E50C502" w14:textId="77777777" w:rsidR="00BD3FE4" w:rsidRPr="003B747D" w:rsidRDefault="00BD3FE4" w:rsidP="00BD3FE4">
      <w:pPr>
        <w:spacing w:before="100" w:beforeAutospacing="1" w:after="100" w:afterAutospacing="1" w:line="240" w:lineRule="auto"/>
        <w:rPr>
          <w:rFonts w:ascii="Times New Roman" w:hAnsi="Times New Roman"/>
          <w:b/>
          <w:bCs/>
          <w:sz w:val="24"/>
          <w:szCs w:val="24"/>
        </w:rPr>
      </w:pPr>
      <w:r w:rsidRPr="003B747D">
        <w:rPr>
          <w:rFonts w:ascii="Times New Roman" w:hAnsi="Times New Roman"/>
          <w:b/>
          <w:bCs/>
          <w:sz w:val="24"/>
          <w:szCs w:val="24"/>
        </w:rPr>
        <w:t>Legal Lesson Learned:</w:t>
      </w:r>
      <w:r>
        <w:rPr>
          <w:rFonts w:ascii="Times New Roman" w:hAnsi="Times New Roman"/>
          <w:b/>
          <w:bCs/>
          <w:sz w:val="24"/>
          <w:szCs w:val="24"/>
        </w:rPr>
        <w:t xml:space="preserve">  If employee may need psychiatric evaluation, provide specific information to the medical evaluators; and if employee asks about FMLA, provide form to request leave.  </w:t>
      </w:r>
    </w:p>
    <w:p w14:paraId="5BB7C6AC" w14:textId="77777777" w:rsidR="00BD3FE4" w:rsidRDefault="00BD3FE4" w:rsidP="00E9307E">
      <w:pPr>
        <w:rPr>
          <w:rFonts w:ascii="Arial Black" w:hAnsi="Arial Black"/>
          <w:b/>
          <w:sz w:val="28"/>
          <w:szCs w:val="28"/>
        </w:rPr>
      </w:pPr>
    </w:p>
    <w:p w14:paraId="1AC0F19C" w14:textId="77777777" w:rsidR="00BD3FE4" w:rsidRDefault="00BD3FE4" w:rsidP="00E9307E">
      <w:pPr>
        <w:rPr>
          <w:rFonts w:ascii="Arial Black" w:hAnsi="Arial Black"/>
          <w:b/>
          <w:sz w:val="28"/>
          <w:szCs w:val="28"/>
        </w:rPr>
      </w:pPr>
    </w:p>
    <w:p w14:paraId="48770BC6" w14:textId="67C26F38" w:rsidR="00863F9E" w:rsidRDefault="00863F9E" w:rsidP="00E9307E">
      <w:pPr>
        <w:rPr>
          <w:rFonts w:ascii="Arial Black" w:hAnsi="Arial Black"/>
          <w:b/>
          <w:sz w:val="28"/>
          <w:szCs w:val="28"/>
        </w:rPr>
      </w:pPr>
      <w:r>
        <w:rPr>
          <w:rFonts w:ascii="Arial Black" w:hAnsi="Arial Black"/>
          <w:b/>
          <w:sz w:val="28"/>
          <w:szCs w:val="28"/>
        </w:rPr>
        <w:t>10-</w:t>
      </w:r>
      <w:r w:rsidR="00B13773">
        <w:rPr>
          <w:rFonts w:ascii="Arial Black" w:hAnsi="Arial Black"/>
          <w:b/>
          <w:sz w:val="28"/>
          <w:szCs w:val="28"/>
        </w:rPr>
        <w:t>7</w:t>
      </w:r>
      <w:r>
        <w:rPr>
          <w:rFonts w:ascii="Arial Black" w:hAnsi="Arial Black"/>
          <w:b/>
          <w:sz w:val="28"/>
          <w:szCs w:val="28"/>
        </w:rPr>
        <w:t xml:space="preserve"> [also filed, Chap. 11]</w:t>
      </w:r>
    </w:p>
    <w:p w14:paraId="1475517C" w14:textId="77777777" w:rsidR="00863F9E" w:rsidRDefault="00863F9E" w:rsidP="00863F9E">
      <w:pPr>
        <w:spacing w:before="100" w:beforeAutospacing="1" w:after="100" w:afterAutospacing="1" w:line="240" w:lineRule="auto"/>
        <w:rPr>
          <w:rFonts w:eastAsia="Times New Roman" w:cs="Calibri"/>
          <w:vanish/>
        </w:rPr>
      </w:pPr>
      <w:r>
        <w:rPr>
          <w:rFonts w:ascii="Arial Black" w:eastAsia="Times New Roman" w:hAnsi="Arial Black"/>
          <w:b/>
          <w:bCs/>
          <w:sz w:val="28"/>
          <w:szCs w:val="28"/>
        </w:rPr>
        <w:t>U.S. DOL: ELECTRONIC POSTING CAN’T REPLACE FLSA / FMLA POSTERS – UNLESS ALL EMPLOYEES WORK ONLINE</w:t>
      </w:r>
    </w:p>
    <w:tbl>
      <w:tblPr>
        <w:tblW w:w="5000" w:type="pct"/>
        <w:jc w:val="center"/>
        <w:tblCellMar>
          <w:left w:w="0" w:type="dxa"/>
          <w:right w:w="0" w:type="dxa"/>
        </w:tblCellMar>
        <w:tblLook w:val="04A0" w:firstRow="1" w:lastRow="0" w:firstColumn="1" w:lastColumn="0" w:noHBand="0" w:noVBand="1"/>
      </w:tblPr>
      <w:tblGrid>
        <w:gridCol w:w="10800"/>
      </w:tblGrid>
      <w:tr w:rsidR="00863F9E" w14:paraId="5DF71EAF" w14:textId="77777777" w:rsidTr="00F90EE5">
        <w:trPr>
          <w:jc w:val="center"/>
          <w:hidden/>
        </w:trPr>
        <w:tc>
          <w:tcPr>
            <w:tcW w:w="0" w:type="auto"/>
            <w:hideMark/>
          </w:tcPr>
          <w:tbl>
            <w:tblPr>
              <w:tblW w:w="9750" w:type="dxa"/>
              <w:jc w:val="center"/>
              <w:tblCellMar>
                <w:left w:w="0" w:type="dxa"/>
                <w:right w:w="0" w:type="dxa"/>
              </w:tblCellMar>
              <w:tblLook w:val="04A0" w:firstRow="1" w:lastRow="0" w:firstColumn="1" w:lastColumn="0" w:noHBand="0" w:noVBand="1"/>
            </w:tblPr>
            <w:tblGrid>
              <w:gridCol w:w="9750"/>
            </w:tblGrid>
            <w:tr w:rsidR="00863F9E" w14:paraId="7D648905" w14:textId="77777777" w:rsidTr="00F90EE5">
              <w:trPr>
                <w:jc w:val="center"/>
                <w:hidden/>
              </w:trPr>
              <w:tc>
                <w:tcPr>
                  <w:tcW w:w="9750" w:type="dxa"/>
                  <w:hideMark/>
                </w:tcPr>
                <w:tbl>
                  <w:tblPr>
                    <w:tblW w:w="5000" w:type="pct"/>
                    <w:jc w:val="center"/>
                    <w:tblCellMar>
                      <w:left w:w="0" w:type="dxa"/>
                      <w:right w:w="0" w:type="dxa"/>
                    </w:tblCellMar>
                    <w:tblLook w:val="04A0" w:firstRow="1" w:lastRow="0" w:firstColumn="1" w:lastColumn="0" w:noHBand="0" w:noVBand="1"/>
                  </w:tblPr>
                  <w:tblGrid>
                    <w:gridCol w:w="9750"/>
                  </w:tblGrid>
                  <w:tr w:rsidR="00863F9E" w14:paraId="354E7068" w14:textId="77777777" w:rsidTr="00F90EE5">
                    <w:trPr>
                      <w:jc w:val="center"/>
                      <w:hidden/>
                    </w:trPr>
                    <w:tc>
                      <w:tcPr>
                        <w:tcW w:w="0" w:type="auto"/>
                        <w:tcMar>
                          <w:top w:w="75" w:type="dxa"/>
                          <w:left w:w="0" w:type="dxa"/>
                          <w:bottom w:w="75" w:type="dxa"/>
                          <w:right w:w="0" w:type="dxa"/>
                        </w:tcMar>
                        <w:hideMark/>
                      </w:tcPr>
                      <w:p w14:paraId="73C3B046" w14:textId="77777777" w:rsidR="00863F9E" w:rsidRDefault="00863F9E" w:rsidP="00F90EE5">
                        <w:pPr>
                          <w:rPr>
                            <w:rFonts w:eastAsia="Times New Roman" w:cs="Calibri"/>
                            <w:vanish/>
                          </w:rPr>
                        </w:pPr>
                      </w:p>
                    </w:tc>
                  </w:tr>
                </w:tbl>
                <w:p w14:paraId="1D3B0CBE" w14:textId="77777777" w:rsidR="00863F9E" w:rsidRDefault="00863F9E" w:rsidP="00F90EE5">
                  <w:pPr>
                    <w:jc w:val="center"/>
                  </w:pPr>
                </w:p>
              </w:tc>
            </w:tr>
          </w:tbl>
          <w:p w14:paraId="14E98745" w14:textId="77777777" w:rsidR="00863F9E" w:rsidRDefault="00863F9E" w:rsidP="00F90EE5">
            <w:pPr>
              <w:jc w:val="center"/>
            </w:pPr>
          </w:p>
        </w:tc>
      </w:tr>
    </w:tbl>
    <w:p w14:paraId="6C60F763" w14:textId="77777777" w:rsidR="00863F9E" w:rsidRDefault="00863F9E" w:rsidP="00863F9E">
      <w:pPr>
        <w:pStyle w:val="NormalWeb"/>
        <w:spacing w:line="255" w:lineRule="atLeast"/>
        <w:rPr>
          <w:bCs/>
        </w:rPr>
      </w:pPr>
      <w:r>
        <w:rPr>
          <w:bCs/>
        </w:rPr>
        <w:t xml:space="preserve">On Dec. 29, 2020, the U.S. Department of Labor / Wage &amp; Hour Division issued Field Assistance Bulletin regarding posters that are required in workplaces, including the </w:t>
      </w:r>
      <w:r>
        <w:t>Fair Labor Standards Act (FLSA), the Family and Medical Leave Act (FMLA), Section 14I of the FLSA (Section 14I), the Employee Polygraph Protection Act (EPPA), and the Service Contract Act (SCA).</w:t>
      </w:r>
    </w:p>
    <w:p w14:paraId="5EFF8CAB" w14:textId="77777777" w:rsidR="00863F9E" w:rsidRDefault="00863F9E" w:rsidP="00863F9E">
      <w:pPr>
        <w:pStyle w:val="NormalWeb"/>
        <w:spacing w:line="255" w:lineRule="atLeast"/>
        <w:ind w:left="720"/>
      </w:pPr>
      <w:r>
        <w:t>“In most cases, these electronic notices supplement but do not replace the statutory and regulatory requirements that employers post a hard-copy notice. Whether notices are provided electronically or in hard-copy format, it is an employer’s obligation to provide the required notices to all affected individuals.</w:t>
      </w:r>
    </w:p>
    <w:p w14:paraId="0CC47822" w14:textId="77777777" w:rsidR="00863F9E" w:rsidRDefault="00863F9E" w:rsidP="00863F9E">
      <w:pPr>
        <w:pStyle w:val="NormalWeb"/>
        <w:spacing w:line="255" w:lineRule="atLeast"/>
        <w:ind w:left="720"/>
      </w:pPr>
      <w:r>
        <w:t>***</w:t>
      </w:r>
    </w:p>
    <w:p w14:paraId="68415510" w14:textId="77777777" w:rsidR="00863F9E" w:rsidRDefault="00863F9E" w:rsidP="00863F9E">
      <w:pPr>
        <w:pStyle w:val="NormalWeb"/>
        <w:spacing w:line="255" w:lineRule="atLeast"/>
        <w:ind w:left="720"/>
        <w:rPr>
          <w:rStyle w:val="Hyperlink"/>
        </w:rPr>
      </w:pPr>
      <w:r>
        <w:t xml:space="preserve">If a statute and its regulations require a notice to be continuously posted at a worksite, in most cases, WHD will only consider electronic posting an acceptable substitute for the continuous posting requirement where (1) all of the employer’s employees exclusively work remotely, (2) all employees customarily receive information from the employer via electronic means, and (3) all employees have readily available access to the electronic posting at all times. This ensures the electronic posting satisfies the statutory and regulatory requirements that such postings </w:t>
      </w:r>
      <w:proofErr w:type="gramStart"/>
      <w:r>
        <w:t>be</w:t>
      </w:r>
      <w:proofErr w:type="gramEnd"/>
      <w:r>
        <w:t xml:space="preserve"> continuously accessible to employees. Where an employer has employees on-site and other employees teleworking full-time, for example, the employer may supplement a hard-copy posting requirement with electronic posting and the Department would encourage both methods of posting.”  </w:t>
      </w:r>
      <w:hyperlink r:id="rId1759" w:history="1">
        <w:r>
          <w:rPr>
            <w:rStyle w:val="Hyperlink"/>
          </w:rPr>
          <w:t>https://www.dol.gov/sites/dolgov/files/WHD/legacy/files/fab_2020_7.pdf</w:t>
        </w:r>
      </w:hyperlink>
    </w:p>
    <w:p w14:paraId="2D69472B" w14:textId="77777777" w:rsidR="00863F9E" w:rsidRDefault="00863F9E" w:rsidP="00863F9E">
      <w:pPr>
        <w:pStyle w:val="NormalWeb"/>
        <w:spacing w:line="255" w:lineRule="atLeast"/>
        <w:rPr>
          <w:b/>
        </w:rPr>
      </w:pPr>
      <w:r>
        <w:rPr>
          <w:b/>
        </w:rPr>
        <w:t>Legal Lesson Learned: Fire Department need to keep posters on the wall.</w:t>
      </w:r>
    </w:p>
    <w:p w14:paraId="6BA0D76D" w14:textId="77777777" w:rsidR="00863F9E" w:rsidRDefault="00863F9E" w:rsidP="00E9307E">
      <w:pPr>
        <w:rPr>
          <w:rFonts w:ascii="Arial Black" w:hAnsi="Arial Black"/>
          <w:b/>
          <w:sz w:val="28"/>
          <w:szCs w:val="28"/>
        </w:rPr>
      </w:pPr>
    </w:p>
    <w:p w14:paraId="49165289" w14:textId="77777777" w:rsidR="00863F9E" w:rsidRDefault="00863F9E" w:rsidP="00E9307E">
      <w:pPr>
        <w:rPr>
          <w:rFonts w:ascii="Arial Black" w:hAnsi="Arial Black"/>
          <w:b/>
          <w:sz w:val="28"/>
          <w:szCs w:val="28"/>
        </w:rPr>
      </w:pPr>
    </w:p>
    <w:p w14:paraId="786F922C" w14:textId="77777777" w:rsidR="00863F9E" w:rsidRDefault="00863F9E" w:rsidP="00E9307E">
      <w:pPr>
        <w:rPr>
          <w:rFonts w:ascii="Arial Black" w:hAnsi="Arial Black"/>
          <w:b/>
          <w:sz w:val="28"/>
          <w:szCs w:val="28"/>
        </w:rPr>
      </w:pPr>
    </w:p>
    <w:p w14:paraId="753E5CAB" w14:textId="1400C63D" w:rsidR="00863F9E" w:rsidRDefault="00863F9E" w:rsidP="00E9307E">
      <w:pPr>
        <w:rPr>
          <w:rFonts w:ascii="Arial Black" w:hAnsi="Arial Black"/>
          <w:b/>
          <w:sz w:val="28"/>
          <w:szCs w:val="28"/>
        </w:rPr>
      </w:pPr>
      <w:r>
        <w:rPr>
          <w:rFonts w:ascii="Arial Black" w:hAnsi="Arial Black"/>
          <w:b/>
          <w:sz w:val="28"/>
          <w:szCs w:val="28"/>
        </w:rPr>
        <w:t>10-</w:t>
      </w:r>
      <w:r w:rsidR="00B06C3F">
        <w:rPr>
          <w:rFonts w:ascii="Arial Black" w:hAnsi="Arial Black"/>
          <w:b/>
          <w:sz w:val="28"/>
          <w:szCs w:val="28"/>
        </w:rPr>
        <w:t>6</w:t>
      </w:r>
    </w:p>
    <w:p w14:paraId="72F73E63" w14:textId="77777777" w:rsidR="00863F9E" w:rsidRDefault="00863F9E" w:rsidP="00863F9E">
      <w:pPr>
        <w:spacing w:before="100" w:beforeAutospacing="1" w:after="100" w:afterAutospacing="1" w:line="240" w:lineRule="auto"/>
        <w:rPr>
          <w:rFonts w:asciiTheme="minorHAnsi" w:eastAsiaTheme="minorHAnsi" w:hAnsiTheme="minorHAnsi" w:cstheme="minorBidi"/>
          <w:bCs/>
        </w:rPr>
      </w:pPr>
      <w:r>
        <w:rPr>
          <w:rFonts w:ascii="Arial Black" w:eastAsia="Times New Roman" w:hAnsi="Arial Black"/>
          <w:b/>
          <w:bCs/>
          <w:sz w:val="28"/>
          <w:szCs w:val="28"/>
        </w:rPr>
        <w:t>U.S. DOL:  TELEMEDICINE – EMPLOYEES MAY CONSULT DOCTOR ONLINE FOR FMLA – IF VIDEO CONFERENCES STATE APPROVED</w:t>
      </w:r>
    </w:p>
    <w:p w14:paraId="12214385" w14:textId="77777777" w:rsidR="00863F9E" w:rsidRDefault="00863F9E" w:rsidP="00863F9E">
      <w:pPr>
        <w:pStyle w:val="NormalWeb"/>
        <w:spacing w:line="255" w:lineRule="atLeast"/>
        <w:rPr>
          <w:bCs/>
        </w:rPr>
      </w:pPr>
      <w:r>
        <w:rPr>
          <w:bCs/>
        </w:rPr>
        <w:t xml:space="preserve">On Dec. 29, 2020, the U.S. Department of Labor / Wage &amp; Hour Division, issued a Field Assistance Bulletin regarding use of telemedicine. </w:t>
      </w:r>
    </w:p>
    <w:p w14:paraId="2127F9FE" w14:textId="77777777" w:rsidR="00863F9E" w:rsidRDefault="00863F9E" w:rsidP="00863F9E">
      <w:pPr>
        <w:pStyle w:val="NormalWeb"/>
        <w:spacing w:line="255" w:lineRule="atLeast"/>
        <w:ind w:left="720"/>
      </w:pPr>
      <w:r>
        <w:t xml:space="preserve">“WHD’s experience is that health care providers are now often using telemedicine to deliver examinations, evaluations, and other healthcare services that would previously have been provided only in an office setting. Given this </w:t>
      </w:r>
      <w:proofErr w:type="gramStart"/>
      <w:r>
        <w:t>experience, and</w:t>
      </w:r>
      <w:proofErr w:type="gramEnd"/>
      <w:r>
        <w:t xml:space="preserve"> continuing the policy adopted in response to the COVID-19 pandemic, WHD will consider a telemedicine visit with a health care provider as an in-person visit under 29 C.F.R. §825.115, provided specified criteria are met.</w:t>
      </w:r>
    </w:p>
    <w:p w14:paraId="15AE535A" w14:textId="77777777" w:rsidR="00863F9E" w:rsidRDefault="00863F9E" w:rsidP="00863F9E">
      <w:pPr>
        <w:pStyle w:val="NoSpacing"/>
        <w:ind w:firstLine="720"/>
        <w:rPr>
          <w:rFonts w:ascii="Times New Roman" w:hAnsi="Times New Roman"/>
          <w:sz w:val="24"/>
          <w:szCs w:val="24"/>
        </w:rPr>
      </w:pPr>
      <w:r>
        <w:rPr>
          <w:rFonts w:ascii="Times New Roman" w:hAnsi="Times New Roman"/>
          <w:sz w:val="24"/>
          <w:szCs w:val="24"/>
        </w:rPr>
        <w:t xml:space="preserve">To be considered an “in-person” visit, the telemedicine visit must include: </w:t>
      </w:r>
    </w:p>
    <w:p w14:paraId="5BC06183" w14:textId="77777777" w:rsidR="00863F9E" w:rsidRDefault="00863F9E" w:rsidP="00863F9E">
      <w:pPr>
        <w:pStyle w:val="NoSpacing"/>
        <w:numPr>
          <w:ilvl w:val="2"/>
          <w:numId w:val="8"/>
        </w:numPr>
        <w:rPr>
          <w:rFonts w:ascii="Times New Roman" w:hAnsi="Times New Roman"/>
          <w:sz w:val="24"/>
          <w:szCs w:val="24"/>
        </w:rPr>
      </w:pPr>
      <w:r>
        <w:rPr>
          <w:rFonts w:ascii="Times New Roman" w:hAnsi="Times New Roman"/>
          <w:sz w:val="24"/>
          <w:szCs w:val="24"/>
        </w:rPr>
        <w:t xml:space="preserve">an examination, evaluation, or treatment by a health care provider; </w:t>
      </w:r>
    </w:p>
    <w:p w14:paraId="7E69B2CE" w14:textId="77777777" w:rsidR="00863F9E" w:rsidRDefault="00863F9E" w:rsidP="00863F9E">
      <w:pPr>
        <w:pStyle w:val="NoSpacing"/>
        <w:numPr>
          <w:ilvl w:val="2"/>
          <w:numId w:val="8"/>
        </w:numPr>
        <w:rPr>
          <w:rFonts w:ascii="Times New Roman" w:hAnsi="Times New Roman"/>
          <w:sz w:val="24"/>
          <w:szCs w:val="24"/>
        </w:rPr>
      </w:pPr>
      <w:r>
        <w:rPr>
          <w:rFonts w:ascii="Times New Roman" w:hAnsi="Times New Roman"/>
          <w:sz w:val="24"/>
          <w:szCs w:val="24"/>
        </w:rPr>
        <w:t xml:space="preserve">be permitted and accepted by state licensing authorities; and, </w:t>
      </w:r>
    </w:p>
    <w:p w14:paraId="37FD8F55" w14:textId="77777777" w:rsidR="00863F9E" w:rsidRDefault="00863F9E" w:rsidP="00863F9E">
      <w:pPr>
        <w:pStyle w:val="NoSpacing"/>
        <w:numPr>
          <w:ilvl w:val="2"/>
          <w:numId w:val="8"/>
        </w:numPr>
        <w:rPr>
          <w:rFonts w:ascii="Times New Roman" w:hAnsi="Times New Roman"/>
          <w:bCs/>
          <w:sz w:val="24"/>
          <w:szCs w:val="24"/>
        </w:rPr>
      </w:pPr>
      <w:proofErr w:type="gramStart"/>
      <w:r>
        <w:rPr>
          <w:rFonts w:ascii="Times New Roman" w:hAnsi="Times New Roman"/>
          <w:sz w:val="24"/>
          <w:szCs w:val="24"/>
        </w:rPr>
        <w:t>generally</w:t>
      </w:r>
      <w:proofErr w:type="gramEnd"/>
      <w:r>
        <w:rPr>
          <w:rFonts w:ascii="Times New Roman" w:hAnsi="Times New Roman"/>
          <w:sz w:val="24"/>
          <w:szCs w:val="24"/>
        </w:rPr>
        <w:t>, should be performed by video conference.</w:t>
      </w:r>
    </w:p>
    <w:p w14:paraId="15708B85" w14:textId="77777777" w:rsidR="00863F9E" w:rsidRDefault="00863F9E" w:rsidP="00863F9E">
      <w:pPr>
        <w:pStyle w:val="NormalWeb"/>
        <w:spacing w:line="255" w:lineRule="atLeast"/>
        <w:ind w:left="720"/>
        <w:rPr>
          <w:b/>
        </w:rPr>
      </w:pPr>
      <w:r>
        <w:t xml:space="preserve">Communication methods that do not meet these criteria (e.g., a simple telephone call, letter, email, or text message) are insufficient, by themselves, to satisfy </w:t>
      </w:r>
      <w:proofErr w:type="spellStart"/>
      <w:r>
        <w:t>t he</w:t>
      </w:r>
      <w:proofErr w:type="spellEnd"/>
      <w:r>
        <w:t xml:space="preserve"> regulatory requirement of an ‘in-person’ visit.” </w:t>
      </w:r>
      <w:hyperlink r:id="rId1760" w:history="1">
        <w:r>
          <w:rPr>
            <w:rStyle w:val="Hyperlink"/>
          </w:rPr>
          <w:t>https://www.dol.gov/sites/dolgov/files/WHD/legacy/files/fab_2020_8.pdf</w:t>
        </w:r>
      </w:hyperlink>
      <w:r>
        <w:rPr>
          <w:b/>
        </w:rPr>
        <w:t xml:space="preserve"> </w:t>
      </w:r>
    </w:p>
    <w:p w14:paraId="19A5266A" w14:textId="77777777" w:rsidR="00863F9E" w:rsidRDefault="00863F9E" w:rsidP="00863F9E">
      <w:pPr>
        <w:pStyle w:val="NormalWeb"/>
        <w:spacing w:line="255" w:lineRule="atLeast"/>
        <w:rPr>
          <w:b/>
        </w:rPr>
      </w:pPr>
      <w:r>
        <w:rPr>
          <w:b/>
        </w:rPr>
        <w:t xml:space="preserve">Legal Lesson Learned: Fire &amp; EMS Department should consider updating their Employee Handbook with this new advice. </w:t>
      </w:r>
    </w:p>
    <w:p w14:paraId="5B01E691" w14:textId="77777777" w:rsidR="00863F9E" w:rsidRDefault="00863F9E" w:rsidP="00E9307E">
      <w:pPr>
        <w:rPr>
          <w:rFonts w:ascii="Arial Black" w:hAnsi="Arial Black"/>
          <w:b/>
          <w:sz w:val="28"/>
          <w:szCs w:val="28"/>
        </w:rPr>
      </w:pPr>
    </w:p>
    <w:p w14:paraId="6DAFD5E6" w14:textId="77777777" w:rsidR="00863F9E" w:rsidRDefault="00863F9E" w:rsidP="00E9307E">
      <w:pPr>
        <w:rPr>
          <w:rFonts w:ascii="Arial Black" w:hAnsi="Arial Black"/>
          <w:b/>
          <w:sz w:val="28"/>
          <w:szCs w:val="28"/>
        </w:rPr>
      </w:pPr>
    </w:p>
    <w:p w14:paraId="2E321BDA" w14:textId="77777777" w:rsidR="00DD03E3" w:rsidRDefault="00DD03E3" w:rsidP="00E9307E">
      <w:pPr>
        <w:rPr>
          <w:rFonts w:ascii="Arial Black" w:hAnsi="Arial Black"/>
          <w:b/>
          <w:sz w:val="28"/>
          <w:szCs w:val="28"/>
        </w:rPr>
      </w:pPr>
    </w:p>
    <w:p w14:paraId="5BC2EA81" w14:textId="212D5E1B" w:rsidR="00DD03E3" w:rsidRDefault="00102FD0" w:rsidP="00E9307E">
      <w:pPr>
        <w:rPr>
          <w:rFonts w:ascii="Arial Black" w:hAnsi="Arial Black"/>
          <w:b/>
          <w:sz w:val="28"/>
          <w:szCs w:val="28"/>
        </w:rPr>
      </w:pPr>
      <w:r>
        <w:rPr>
          <w:rFonts w:ascii="Arial Black" w:hAnsi="Arial Black"/>
          <w:b/>
          <w:sz w:val="28"/>
          <w:szCs w:val="28"/>
        </w:rPr>
        <w:t>10-</w:t>
      </w:r>
      <w:r w:rsidR="00AC1E3A">
        <w:rPr>
          <w:rFonts w:ascii="Arial Black" w:hAnsi="Arial Black"/>
          <w:b/>
          <w:sz w:val="28"/>
          <w:szCs w:val="28"/>
        </w:rPr>
        <w:t>5</w:t>
      </w:r>
    </w:p>
    <w:p w14:paraId="29891F42" w14:textId="77777777" w:rsidR="00102FD0" w:rsidRPr="00ED7936" w:rsidRDefault="00102FD0" w:rsidP="00102FD0">
      <w:pPr>
        <w:spacing w:before="100" w:beforeAutospacing="1" w:after="100" w:afterAutospacing="1" w:line="240" w:lineRule="auto"/>
        <w:rPr>
          <w:rFonts w:ascii="Arial Black" w:eastAsia="Times New Roman" w:hAnsi="Arial Black"/>
          <w:sz w:val="28"/>
          <w:szCs w:val="28"/>
        </w:rPr>
      </w:pPr>
      <w:r w:rsidRPr="00ED7936">
        <w:rPr>
          <w:rFonts w:ascii="Arial Black" w:eastAsia="Times New Roman" w:hAnsi="Arial Black"/>
          <w:sz w:val="28"/>
          <w:szCs w:val="28"/>
        </w:rPr>
        <w:t>AL:</w:t>
      </w:r>
      <w:r>
        <w:rPr>
          <w:rFonts w:ascii="Arial Black" w:eastAsia="Times New Roman" w:hAnsi="Arial Black"/>
          <w:sz w:val="28"/>
          <w:szCs w:val="28"/>
        </w:rPr>
        <w:t xml:space="preserve"> MEDIC WORKED  48-HR SHIFT - “I CAN’T TAKE IT ANYMORE” &amp; I’M TURNING IN GEAR – FD SAID HE RESIGNED - NO FMLA VIOL.</w:t>
      </w:r>
    </w:p>
    <w:p w14:paraId="1EAD66D9" w14:textId="77777777" w:rsidR="0037332F" w:rsidRPr="00C3618A" w:rsidRDefault="00102FD0" w:rsidP="0037332F">
      <w:pPr>
        <w:pStyle w:val="NormalWeb"/>
      </w:pPr>
      <w:r w:rsidRPr="00C3618A">
        <w:t xml:space="preserve">On </w:t>
      </w:r>
      <w:r>
        <w:t xml:space="preserve">Oct. 6, 2020, in </w:t>
      </w:r>
      <w:r w:rsidRPr="00C3618A">
        <w:rPr>
          <w:u w:val="single"/>
        </w:rPr>
        <w:t>Kyle Blake v. City of Montgomery, Alabama</w:t>
      </w:r>
      <w:r>
        <w:t xml:space="preserve">, U.S. District Court Judge R. Austin Huffaker, Jr., Middle District of Alabama, granted the City’s motion for summary judgment.  The plaintiff was burned out from being forced to work 48-hour shifts and told his </w:t>
      </w:r>
      <w:proofErr w:type="gramStart"/>
      <w:r>
        <w:t>Supervisor</w:t>
      </w:r>
      <w:proofErr w:type="gramEnd"/>
      <w:r>
        <w:t xml:space="preserve"> he would turn his stuff. </w:t>
      </w:r>
      <w:r w:rsidR="0037332F">
        <w:t xml:space="preserve"> </w:t>
      </w:r>
      <w:hyperlink r:id="rId1761" w:history="1">
        <w:r w:rsidR="0037332F" w:rsidRPr="00474EAE">
          <w:rPr>
            <w:rStyle w:val="Hyperlink"/>
          </w:rPr>
          <w:t>https://public.fastcase.com/Wl%2B2t%2BeVuI35%2FN70vAMFZmLHUFluj8t0T%2BAyFM6B%2B2S9SNpejaiKBu7OSzXfoy%2FQ</w:t>
        </w:r>
      </w:hyperlink>
      <w:r w:rsidR="0037332F">
        <w:t xml:space="preserve"> </w:t>
      </w:r>
    </w:p>
    <w:p w14:paraId="0C81017E" w14:textId="7D4F4628" w:rsidR="00102FD0" w:rsidRDefault="00102FD0" w:rsidP="00102FD0">
      <w:pPr>
        <w:pStyle w:val="NormalWeb"/>
      </w:pPr>
    </w:p>
    <w:p w14:paraId="4C23026F" w14:textId="77777777" w:rsidR="00102FD0" w:rsidRDefault="00102FD0" w:rsidP="00102FD0">
      <w:pPr>
        <w:pStyle w:val="NormalWeb"/>
        <w:ind w:left="720"/>
      </w:pPr>
      <w:r>
        <w:t xml:space="preserve">“Does telling your employer that, due to burnout, you ‘couldn't do it anymore’ and that you ‘would turn [your] stuff in if [you] needed to’ support a claim under the Family Medical Leave Act, 29 U.S.C. § 2601 </w:t>
      </w:r>
      <w:r>
        <w:rPr>
          <w:i/>
          <w:iCs/>
        </w:rPr>
        <w:t>et seq</w:t>
      </w:r>
      <w:r>
        <w:t>. (‘FMLA’) when your employer ultimately accepts these statements as your voluntary resignation from your job? … Plaintiff Kyle Blake claims that it does, and this lawsuit tests the legitimacy of that position.</w:t>
      </w:r>
    </w:p>
    <w:p w14:paraId="762136FC" w14:textId="77777777" w:rsidR="00102FD0" w:rsidRDefault="00102FD0" w:rsidP="00102FD0">
      <w:pPr>
        <w:pStyle w:val="NormalWeb"/>
        <w:ind w:left="720"/>
      </w:pPr>
      <w:r>
        <w:t>***</w:t>
      </w:r>
    </w:p>
    <w:p w14:paraId="73475981" w14:textId="77777777" w:rsidR="00102FD0" w:rsidRPr="00C3618A" w:rsidRDefault="00102FD0" w:rsidP="00102FD0">
      <w:pPr>
        <w:pStyle w:val="NormalWeb"/>
        <w:ind w:left="720"/>
      </w:pPr>
      <w:r>
        <w:t xml:space="preserve">“Blake's statements to Hackett that he ‘couldn't do it anymore,’ that he would ‘turn [his] stuff in,’ and that he needed to speak with his wife to sort this out, simply do not rise to a level sufficient to give the City notice he was experiencing a serious medical condition, let alone a qualifying medical condition, of any sort for which he wanted, needed or should be given FMLA leave.” </w:t>
      </w:r>
      <w:hyperlink r:id="rId1762" w:history="1">
        <w:r w:rsidRPr="00474EAE">
          <w:rPr>
            <w:rStyle w:val="Hyperlink"/>
          </w:rPr>
          <w:t>https://public.fastcase.com/Wl%2B2t%2BeVuI35%2FN70vAMFZmLHUFluj8t0T%2BAyFM6B%2B2S9SNpejaiKBu7OSzXfoy%2FQ</w:t>
        </w:r>
      </w:hyperlink>
      <w:r>
        <w:t xml:space="preserve"> </w:t>
      </w:r>
    </w:p>
    <w:p w14:paraId="0E3BDC8F" w14:textId="77777777" w:rsidR="00102FD0" w:rsidRDefault="00102FD0" w:rsidP="00E9307E">
      <w:pPr>
        <w:rPr>
          <w:rFonts w:ascii="Arial Black" w:hAnsi="Arial Black"/>
          <w:b/>
          <w:sz w:val="28"/>
          <w:szCs w:val="28"/>
        </w:rPr>
      </w:pPr>
    </w:p>
    <w:p w14:paraId="7901F0A8" w14:textId="77777777" w:rsidR="00B532F6" w:rsidRDefault="00B532F6" w:rsidP="00E9307E">
      <w:pPr>
        <w:rPr>
          <w:rFonts w:ascii="Arial Black" w:hAnsi="Arial Black"/>
          <w:b/>
          <w:sz w:val="28"/>
          <w:szCs w:val="28"/>
        </w:rPr>
      </w:pPr>
    </w:p>
    <w:p w14:paraId="11E3084E" w14:textId="1EDA6DC1" w:rsidR="006B2083" w:rsidRDefault="006B2083" w:rsidP="00E9307E">
      <w:pPr>
        <w:rPr>
          <w:rFonts w:ascii="Arial Black" w:hAnsi="Arial Black"/>
          <w:b/>
          <w:sz w:val="28"/>
          <w:szCs w:val="28"/>
        </w:rPr>
      </w:pPr>
      <w:r>
        <w:rPr>
          <w:rFonts w:ascii="Arial Black" w:hAnsi="Arial Black"/>
          <w:b/>
          <w:sz w:val="28"/>
          <w:szCs w:val="28"/>
        </w:rPr>
        <w:t>10-</w:t>
      </w:r>
      <w:r w:rsidR="00AC1E3A">
        <w:rPr>
          <w:rFonts w:ascii="Arial Black" w:hAnsi="Arial Black"/>
          <w:b/>
          <w:sz w:val="28"/>
          <w:szCs w:val="28"/>
        </w:rPr>
        <w:t>4</w:t>
      </w:r>
    </w:p>
    <w:p w14:paraId="47564AEA" w14:textId="77777777" w:rsidR="006B2083" w:rsidRDefault="006B2083" w:rsidP="006B2083">
      <w:pPr>
        <w:pStyle w:val="NoSpacing"/>
        <w:rPr>
          <w:rFonts w:ascii="Arial Black" w:hAnsi="Arial Black"/>
          <w:sz w:val="28"/>
          <w:szCs w:val="28"/>
        </w:rPr>
      </w:pPr>
      <w:r w:rsidRPr="008C3F94">
        <w:rPr>
          <w:rFonts w:ascii="Arial Black" w:hAnsi="Arial Black"/>
          <w:sz w:val="28"/>
          <w:szCs w:val="28"/>
        </w:rPr>
        <w:t xml:space="preserve">IL: </w:t>
      </w:r>
      <w:r>
        <w:rPr>
          <w:rFonts w:ascii="Arial Black" w:hAnsi="Arial Black"/>
          <w:sz w:val="28"/>
          <w:szCs w:val="28"/>
        </w:rPr>
        <w:t xml:space="preserve"> LT. TOOK FMLA LEAVE FOR A MONTH – FIRED AFTER FD INVESTIGATION - FAILURE TO PAY HIS SHARE OF SHIFT’S MEAL FUND</w:t>
      </w:r>
    </w:p>
    <w:p w14:paraId="4111C414" w14:textId="77777777" w:rsidR="009A7300" w:rsidRDefault="009A7300" w:rsidP="006B2083">
      <w:pPr>
        <w:pStyle w:val="NoSpacing"/>
        <w:rPr>
          <w:rFonts w:ascii="Times New Roman" w:hAnsi="Times New Roman"/>
          <w:sz w:val="24"/>
          <w:szCs w:val="24"/>
        </w:rPr>
      </w:pPr>
    </w:p>
    <w:p w14:paraId="5484D217" w14:textId="2B3C3D8B" w:rsidR="006B2083" w:rsidRPr="0098623B" w:rsidRDefault="006B2083" w:rsidP="006B2083">
      <w:pPr>
        <w:pStyle w:val="NoSpacing"/>
        <w:rPr>
          <w:rFonts w:ascii="Times New Roman" w:hAnsi="Times New Roman"/>
          <w:sz w:val="24"/>
          <w:szCs w:val="24"/>
        </w:rPr>
      </w:pPr>
      <w:r w:rsidRPr="006631A6">
        <w:rPr>
          <w:rFonts w:ascii="Times New Roman" w:hAnsi="Times New Roman"/>
          <w:sz w:val="24"/>
          <w:szCs w:val="24"/>
        </w:rPr>
        <w:t xml:space="preserve">On </w:t>
      </w:r>
      <w:r>
        <w:rPr>
          <w:rFonts w:ascii="Times New Roman" w:hAnsi="Times New Roman"/>
          <w:sz w:val="24"/>
          <w:szCs w:val="24"/>
        </w:rPr>
        <w:t xml:space="preserve">July 9, 2020, in </w:t>
      </w:r>
      <w:r w:rsidRPr="006631A6">
        <w:rPr>
          <w:rFonts w:ascii="Times New Roman" w:hAnsi="Times New Roman"/>
          <w:sz w:val="24"/>
          <w:szCs w:val="24"/>
          <w:u w:val="single"/>
        </w:rPr>
        <w:t>Melvin H. Brown v. UChicago Argonne LLC</w:t>
      </w:r>
      <w:r>
        <w:rPr>
          <w:rFonts w:ascii="Times New Roman" w:hAnsi="Times New Roman"/>
          <w:sz w:val="24"/>
          <w:szCs w:val="24"/>
        </w:rPr>
        <w:t xml:space="preserve">, U.S. District Court Judge Gary Feinerman, Northern District of Illinois, Eastern District (Chicago) granted summary judgment to the employer. The Court wrote: </w:t>
      </w:r>
      <w:r w:rsidRPr="0098623B">
        <w:rPr>
          <w:rFonts w:ascii="Times New Roman" w:hAnsi="Times New Roman"/>
          <w:sz w:val="24"/>
          <w:szCs w:val="24"/>
        </w:rPr>
        <w:t>Brown’s position that Argonne inadequately investigated Weber’s dinner fund complaint is, even if supported by the record, insufficient to establish pretext given the absence of evidence suggesting that Argonne did not sincerely believe that Brown had abused his authority in failing to reimburse Weber.</w:t>
      </w:r>
      <w:r>
        <w:rPr>
          <w:rFonts w:ascii="Times New Roman" w:hAnsi="Times New Roman"/>
          <w:sz w:val="24"/>
          <w:szCs w:val="24"/>
        </w:rPr>
        <w:t xml:space="preserve">”  </w:t>
      </w:r>
    </w:p>
    <w:p w14:paraId="067CA974" w14:textId="77777777" w:rsidR="006B2083" w:rsidRPr="0098623B" w:rsidRDefault="006B2083" w:rsidP="006B2083">
      <w:pPr>
        <w:pStyle w:val="NoSpacing"/>
        <w:rPr>
          <w:rFonts w:ascii="Times New Roman" w:hAnsi="Times New Roman"/>
          <w:sz w:val="24"/>
          <w:szCs w:val="24"/>
        </w:rPr>
      </w:pPr>
      <w:hyperlink r:id="rId1763" w:history="1">
        <w:r w:rsidRPr="000603D4">
          <w:rPr>
            <w:rStyle w:val="Hyperlink"/>
            <w:rFonts w:ascii="Times New Roman" w:hAnsi="Times New Roman"/>
            <w:sz w:val="24"/>
            <w:szCs w:val="24"/>
          </w:rPr>
          <w:t>https://cases.justia.com/federal/district-courts/illinois/ilndce/1:2018cv08500/359885/139/0.pdf?ts=1594372800</w:t>
        </w:r>
      </w:hyperlink>
      <w:r>
        <w:rPr>
          <w:rFonts w:ascii="Times New Roman" w:hAnsi="Times New Roman"/>
          <w:sz w:val="24"/>
          <w:szCs w:val="24"/>
        </w:rPr>
        <w:t xml:space="preserve"> </w:t>
      </w:r>
    </w:p>
    <w:p w14:paraId="6C90A1CC" w14:textId="77777777" w:rsidR="006B2083" w:rsidRPr="0098623B" w:rsidRDefault="006B2083" w:rsidP="006B2083">
      <w:pPr>
        <w:spacing w:before="100" w:beforeAutospacing="1" w:after="100" w:afterAutospacing="1" w:line="240" w:lineRule="auto"/>
        <w:rPr>
          <w:rFonts w:ascii="Times New Roman" w:hAnsi="Times New Roman"/>
          <w:b/>
          <w:bCs/>
          <w:sz w:val="24"/>
          <w:szCs w:val="24"/>
        </w:rPr>
      </w:pPr>
      <w:r w:rsidRPr="0098623B">
        <w:rPr>
          <w:rFonts w:ascii="Times New Roman" w:hAnsi="Times New Roman"/>
          <w:b/>
          <w:bCs/>
          <w:sz w:val="24"/>
          <w:szCs w:val="24"/>
        </w:rPr>
        <w:t xml:space="preserve">Legal Lesson Learned: </w:t>
      </w:r>
      <w:r>
        <w:rPr>
          <w:rFonts w:ascii="Times New Roman" w:hAnsi="Times New Roman"/>
          <w:b/>
          <w:bCs/>
          <w:sz w:val="24"/>
          <w:szCs w:val="24"/>
        </w:rPr>
        <w:t xml:space="preserve">FMLA statute includes protection against retaliation, but employee must still prove that the discipline imposed was in fact retaliation.  </w:t>
      </w:r>
    </w:p>
    <w:p w14:paraId="039C0174" w14:textId="77777777" w:rsidR="006B2083" w:rsidRDefault="006B2083" w:rsidP="006B2083">
      <w:pPr>
        <w:pStyle w:val="NoSpacing"/>
        <w:ind w:left="720"/>
        <w:rPr>
          <w:rFonts w:ascii="Times New Roman" w:hAnsi="Times New Roman"/>
          <w:sz w:val="24"/>
          <w:szCs w:val="24"/>
        </w:rPr>
      </w:pPr>
      <w:r w:rsidRPr="00EA7DA2">
        <w:rPr>
          <w:rFonts w:ascii="Times New Roman" w:eastAsia="Times New Roman" w:hAnsi="Times New Roman"/>
          <w:sz w:val="24"/>
          <w:szCs w:val="24"/>
        </w:rPr>
        <w:t>Note:</w:t>
      </w:r>
      <w:r>
        <w:rPr>
          <w:rFonts w:ascii="Times New Roman" w:eastAsia="Times New Roman" w:hAnsi="Times New Roman"/>
          <w:b/>
          <w:bCs/>
          <w:sz w:val="24"/>
          <w:szCs w:val="24"/>
        </w:rPr>
        <w:t xml:space="preserve"> </w:t>
      </w:r>
      <w:r>
        <w:rPr>
          <w:rFonts w:ascii="Times New Roman" w:hAnsi="Times New Roman"/>
          <w:sz w:val="24"/>
          <w:szCs w:val="24"/>
        </w:rPr>
        <w:t xml:space="preserve">Fire Department at Argonne National Laboratory, which is managed by the University of Chicago; </w:t>
      </w:r>
      <w:hyperlink r:id="rId1764" w:history="1">
        <w:r w:rsidRPr="00677A50">
          <w:rPr>
            <w:rStyle w:val="Hyperlink"/>
            <w:rFonts w:ascii="Times New Roman" w:hAnsi="Times New Roman"/>
            <w:sz w:val="24"/>
            <w:szCs w:val="24"/>
          </w:rPr>
          <w:t>http://chicagoareafire.com/blog/tag/argonne-national-laboratory-fire-department/</w:t>
        </w:r>
      </w:hyperlink>
      <w:r>
        <w:rPr>
          <w:rFonts w:ascii="Times New Roman" w:hAnsi="Times New Roman"/>
          <w:sz w:val="24"/>
          <w:szCs w:val="24"/>
        </w:rPr>
        <w:t xml:space="preserve">   </w:t>
      </w:r>
    </w:p>
    <w:p w14:paraId="12F079D0" w14:textId="77777777" w:rsidR="006B2083" w:rsidRDefault="006B2083" w:rsidP="006B2083">
      <w:pPr>
        <w:pStyle w:val="NoSpacing"/>
        <w:rPr>
          <w:rFonts w:ascii="Times New Roman" w:hAnsi="Times New Roman"/>
          <w:sz w:val="24"/>
          <w:szCs w:val="24"/>
        </w:rPr>
      </w:pPr>
    </w:p>
    <w:p w14:paraId="5780357B" w14:textId="77777777" w:rsidR="006B2083" w:rsidRDefault="006B2083" w:rsidP="00E9307E">
      <w:pPr>
        <w:rPr>
          <w:rFonts w:ascii="Arial Black" w:hAnsi="Arial Black"/>
          <w:b/>
          <w:sz w:val="28"/>
          <w:szCs w:val="28"/>
        </w:rPr>
      </w:pPr>
    </w:p>
    <w:p w14:paraId="30B849AF" w14:textId="77777777" w:rsidR="006B2083" w:rsidRDefault="006B2083" w:rsidP="00E9307E">
      <w:pPr>
        <w:rPr>
          <w:rFonts w:ascii="Arial Black" w:hAnsi="Arial Black"/>
          <w:b/>
          <w:sz w:val="28"/>
          <w:szCs w:val="28"/>
        </w:rPr>
      </w:pPr>
    </w:p>
    <w:p w14:paraId="0322A37A" w14:textId="56FF29C8" w:rsidR="00366CDD" w:rsidRDefault="00366CDD" w:rsidP="00E9307E">
      <w:pPr>
        <w:rPr>
          <w:rFonts w:ascii="Arial Black" w:hAnsi="Arial Black"/>
          <w:b/>
          <w:sz w:val="28"/>
          <w:szCs w:val="28"/>
        </w:rPr>
      </w:pPr>
      <w:r>
        <w:rPr>
          <w:rFonts w:ascii="Arial Black" w:hAnsi="Arial Black"/>
          <w:b/>
          <w:sz w:val="28"/>
          <w:szCs w:val="28"/>
        </w:rPr>
        <w:t>10-</w:t>
      </w:r>
      <w:r w:rsidR="00AC1E3A">
        <w:rPr>
          <w:rFonts w:ascii="Arial Black" w:hAnsi="Arial Black"/>
          <w:b/>
          <w:sz w:val="28"/>
          <w:szCs w:val="28"/>
        </w:rPr>
        <w:t>3</w:t>
      </w:r>
      <w:r>
        <w:rPr>
          <w:rFonts w:ascii="Arial Black" w:hAnsi="Arial Black"/>
          <w:b/>
          <w:sz w:val="28"/>
          <w:szCs w:val="28"/>
        </w:rPr>
        <w:t xml:space="preserve"> [Also filed, Chap. 9 &amp; Chap. 15]</w:t>
      </w:r>
    </w:p>
    <w:p w14:paraId="0123A73E" w14:textId="77777777" w:rsidR="00366CDD" w:rsidRPr="00A670C3" w:rsidRDefault="00366CDD" w:rsidP="00366CDD">
      <w:pPr>
        <w:spacing w:before="100" w:beforeAutospacing="1" w:after="100" w:afterAutospacing="1" w:line="240" w:lineRule="auto"/>
        <w:rPr>
          <w:rFonts w:ascii="Arial Black" w:eastAsia="Times New Roman" w:hAnsi="Arial Black"/>
          <w:sz w:val="28"/>
          <w:szCs w:val="28"/>
        </w:rPr>
      </w:pPr>
      <w:bookmarkStart w:id="373" w:name="_Hlk66948556"/>
      <w:r w:rsidRPr="00A670C3">
        <w:rPr>
          <w:rFonts w:ascii="Arial Black" w:eastAsia="Times New Roman" w:hAnsi="Arial Black"/>
          <w:sz w:val="28"/>
          <w:szCs w:val="28"/>
        </w:rPr>
        <w:lastRenderedPageBreak/>
        <w:t xml:space="preserve">PA: </w:t>
      </w:r>
      <w:r>
        <w:rPr>
          <w:rFonts w:ascii="Arial Black" w:eastAsia="Times New Roman" w:hAnsi="Arial Black"/>
          <w:sz w:val="28"/>
          <w:szCs w:val="28"/>
        </w:rPr>
        <w:t>FF PANIC ATTACK ON DUTY – PTSD, MEDICATION – NO LONGER QUALIFIED AS FF – TERMINATION NOT VIOL. ADA</w:t>
      </w:r>
    </w:p>
    <w:p w14:paraId="4FD3A7E0" w14:textId="77777777" w:rsidR="00366CDD" w:rsidRPr="008561E5" w:rsidRDefault="00366CDD" w:rsidP="00366CDD">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April 17, 2020, in </w:t>
      </w:r>
      <w:r w:rsidRPr="008561E5">
        <w:rPr>
          <w:rFonts w:ascii="Times New Roman" w:eastAsia="Times New Roman" w:hAnsi="Times New Roman"/>
          <w:sz w:val="24"/>
          <w:szCs w:val="24"/>
          <w:u w:val="single"/>
        </w:rPr>
        <w:t xml:space="preserve">Robert Carpenter v. York Area United Fire </w:t>
      </w:r>
      <w:proofErr w:type="gramStart"/>
      <w:r w:rsidRPr="008561E5">
        <w:rPr>
          <w:rFonts w:ascii="Times New Roman" w:eastAsia="Times New Roman" w:hAnsi="Times New Roman"/>
          <w:sz w:val="24"/>
          <w:szCs w:val="24"/>
          <w:u w:val="single"/>
        </w:rPr>
        <w:t>And</w:t>
      </w:r>
      <w:proofErr w:type="gramEnd"/>
      <w:r w:rsidRPr="008561E5">
        <w:rPr>
          <w:rFonts w:ascii="Times New Roman" w:eastAsia="Times New Roman" w:hAnsi="Times New Roman"/>
          <w:sz w:val="24"/>
          <w:szCs w:val="24"/>
          <w:u w:val="single"/>
        </w:rPr>
        <w:t xml:space="preserve"> Rescue</w:t>
      </w:r>
      <w:r>
        <w:rPr>
          <w:rFonts w:ascii="Times New Roman" w:eastAsia="Times New Roman" w:hAnsi="Times New Roman"/>
          <w:sz w:val="24"/>
          <w:szCs w:val="24"/>
        </w:rPr>
        <w:t>, U.S. District Court Judge Christopher C. Conner, Chief Judge, Middle District of Pennsylvania, granted the FD’s motion for summary judgment.  The Court held that the firefighter was not a “</w:t>
      </w:r>
      <w:r w:rsidRPr="00A670C3">
        <w:rPr>
          <w:rFonts w:ascii="Times New Roman" w:eastAsia="Times New Roman" w:hAnsi="Times New Roman"/>
          <w:sz w:val="24"/>
          <w:szCs w:val="24"/>
        </w:rPr>
        <w:t>qualified individual for ADA purposes because he could not perform the essential functions of his job with or without reasonable accommodation</w:t>
      </w:r>
      <w:r>
        <w:rPr>
          <w:rFonts w:ascii="Times New Roman" w:eastAsia="Times New Roman" w:hAnsi="Times New Roman"/>
          <w:sz w:val="24"/>
          <w:szCs w:val="24"/>
        </w:rPr>
        <w:t>,” and indefinite leave of absence was not a reasonable accommodation; “</w:t>
      </w:r>
      <w:r w:rsidRPr="008561E5">
        <w:rPr>
          <w:rFonts w:ascii="Times New Roman" w:hAnsi="Times New Roman"/>
          <w:sz w:val="24"/>
          <w:szCs w:val="24"/>
        </w:rPr>
        <w:t xml:space="preserve">there must be some expectation that the employee could perform his essential job functions in the </w:t>
      </w:r>
      <w:r>
        <w:rPr>
          <w:rFonts w:ascii="Times New Roman" w:hAnsi="Times New Roman"/>
          <w:sz w:val="24"/>
          <w:szCs w:val="24"/>
        </w:rPr>
        <w:t>‘</w:t>
      </w:r>
      <w:r w:rsidRPr="008561E5">
        <w:rPr>
          <w:rFonts w:ascii="Times New Roman" w:hAnsi="Times New Roman"/>
          <w:sz w:val="24"/>
          <w:szCs w:val="24"/>
        </w:rPr>
        <w:t>near future</w:t>
      </w:r>
      <w:r>
        <w:rPr>
          <w:rFonts w:ascii="Times New Roman" w:hAnsi="Times New Roman"/>
          <w:sz w:val="24"/>
          <w:szCs w:val="24"/>
        </w:rPr>
        <w:t>’</w:t>
      </w:r>
      <w:r w:rsidRPr="008561E5">
        <w:rPr>
          <w:rFonts w:ascii="Times New Roman" w:hAnsi="Times New Roman"/>
          <w:sz w:val="24"/>
          <w:szCs w:val="24"/>
        </w:rPr>
        <w:t xml:space="preserve"> following the requested leave.</w:t>
      </w:r>
      <w:r>
        <w:rPr>
          <w:rFonts w:ascii="Times New Roman" w:hAnsi="Times New Roman"/>
          <w:sz w:val="24"/>
          <w:szCs w:val="24"/>
        </w:rPr>
        <w:t xml:space="preserve">   </w:t>
      </w:r>
    </w:p>
    <w:bookmarkEnd w:id="373"/>
    <w:p w14:paraId="05DC189E" w14:textId="77777777" w:rsidR="00366CDD" w:rsidRDefault="00366CDD" w:rsidP="00366CDD">
      <w:pPr>
        <w:pStyle w:val="NormalWeb"/>
        <w:ind w:left="720"/>
      </w:pPr>
      <w:r>
        <w:t xml:space="preserve">“[Fire Department] </w:t>
      </w:r>
      <w:r w:rsidRPr="00A670C3">
        <w:t>argues that Carpenter is not a qualified individual for ADA purposes because he could not perform the essential functions of his job with or without reasonable accommodation. We agree.</w:t>
      </w:r>
      <w:r>
        <w:t xml:space="preserve">” </w:t>
      </w:r>
      <w:bookmarkStart w:id="374" w:name="_Hlk66948592"/>
      <w:r w:rsidR="00F00958">
        <w:fldChar w:fldCharType="begin"/>
      </w:r>
      <w:r w:rsidR="00F00958">
        <w:instrText xml:space="preserve"> HYPERLINK "https://public.fastcase.com/Wl%2B2t%2BeVuI35%2FN70vAMFZkkc03nKI8qkpSJ%2FzmzLggswfoR1RvbDETmM60pPGUhc" </w:instrText>
      </w:r>
      <w:r w:rsidR="00F00958">
        <w:fldChar w:fldCharType="separate"/>
      </w:r>
      <w:r w:rsidRPr="00377614">
        <w:rPr>
          <w:rStyle w:val="Hyperlink"/>
        </w:rPr>
        <w:t>https://public.fastcase.com/Wl%2B2t%2BeVuI35%2FN70vAMFZkkc03nKI8qkpSJ%2FzmzLggswfoR1RvbDETmM60pPGUhc</w:t>
      </w:r>
      <w:r w:rsidR="00F00958">
        <w:rPr>
          <w:rStyle w:val="Hyperlink"/>
        </w:rPr>
        <w:fldChar w:fldCharType="end"/>
      </w:r>
      <w:r>
        <w:t xml:space="preserve"> </w:t>
      </w:r>
    </w:p>
    <w:p w14:paraId="67A914FA" w14:textId="77777777" w:rsidR="00366CDD" w:rsidRPr="00DE2E06" w:rsidRDefault="00366CDD" w:rsidP="00366CDD">
      <w:pPr>
        <w:rPr>
          <w:rFonts w:ascii="Times New Roman" w:hAnsi="Times New Roman"/>
          <w:b/>
          <w:bCs/>
          <w:sz w:val="24"/>
          <w:szCs w:val="24"/>
        </w:rPr>
      </w:pPr>
      <w:r w:rsidRPr="00DE2E06">
        <w:rPr>
          <w:rFonts w:ascii="Times New Roman" w:hAnsi="Times New Roman"/>
          <w:b/>
          <w:bCs/>
          <w:sz w:val="24"/>
          <w:szCs w:val="24"/>
        </w:rPr>
        <w:t>Legal Lessons Learned:  FF on leave and undergoing treatment, who desires to get back to the job, needs to stay in communication with FD.</w:t>
      </w:r>
      <w:r>
        <w:rPr>
          <w:rFonts w:ascii="Times New Roman" w:hAnsi="Times New Roman"/>
          <w:b/>
          <w:bCs/>
          <w:sz w:val="24"/>
          <w:szCs w:val="24"/>
        </w:rPr>
        <w:t xml:space="preserve">   FMLA also addressed (see below).</w:t>
      </w:r>
    </w:p>
    <w:bookmarkEnd w:id="374"/>
    <w:p w14:paraId="5C96A1C5" w14:textId="7DD5B946" w:rsidR="00366CDD" w:rsidRPr="00063DF6" w:rsidRDefault="00366CDD" w:rsidP="00366CDD">
      <w:pPr>
        <w:pStyle w:val="NormalWeb"/>
        <w:ind w:left="720"/>
        <w:rPr>
          <w:b/>
          <w:bCs/>
        </w:rPr>
      </w:pPr>
      <w:r w:rsidRPr="00063DF6">
        <w:t xml:space="preserve">Note:  </w:t>
      </w:r>
      <w:r>
        <w:t xml:space="preserve">Court also held that the FF was not </w:t>
      </w:r>
      <w:proofErr w:type="gramStart"/>
      <w:r>
        <w:t>entitle</w:t>
      </w:r>
      <w:proofErr w:type="gramEnd"/>
      <w:r>
        <w:t xml:space="preserve"> the FMLA leave. </w:t>
      </w:r>
      <w:r>
        <w:rPr>
          <w:bCs/>
        </w:rPr>
        <w:t>“</w:t>
      </w:r>
      <w:r w:rsidRPr="00A670C3">
        <w:rPr>
          <w:bCs/>
        </w:rPr>
        <w:t>In a letter dated October 11, 2017, YAUFR denied Carpenter's FMLA leave request</w:t>
      </w:r>
      <w:r>
        <w:rPr>
          <w:bCs/>
        </w:rPr>
        <w:t xml:space="preserve">…. </w:t>
      </w:r>
      <w:r w:rsidRPr="00A670C3">
        <w:rPr>
          <w:bCs/>
        </w:rPr>
        <w:t xml:space="preserve"> YAUFR explained that, although it was a covered employer under the FMLA, it did not employ the requisite number of people for Carpenter to be considered an </w:t>
      </w:r>
      <w:r>
        <w:rPr>
          <w:bCs/>
        </w:rPr>
        <w:t>‘</w:t>
      </w:r>
      <w:r w:rsidRPr="00A670C3">
        <w:rPr>
          <w:bCs/>
        </w:rPr>
        <w:t>eligible employee</w:t>
      </w:r>
      <w:r>
        <w:rPr>
          <w:bCs/>
        </w:rPr>
        <w:t>’</w:t>
      </w:r>
      <w:r w:rsidRPr="00A670C3">
        <w:rPr>
          <w:bCs/>
        </w:rPr>
        <w:t xml:space="preserve"> under FMLA regulations.</w:t>
      </w:r>
      <w:r>
        <w:rPr>
          <w:bCs/>
        </w:rPr>
        <w:t xml:space="preserve"> *** </w:t>
      </w:r>
      <w:r w:rsidRPr="00063DF6">
        <w:rPr>
          <w:bCs/>
        </w:rPr>
        <w:t xml:space="preserve">To qualify as an </w:t>
      </w:r>
      <w:r>
        <w:rPr>
          <w:bCs/>
        </w:rPr>
        <w:t>‘</w:t>
      </w:r>
      <w:r w:rsidRPr="00063DF6">
        <w:rPr>
          <w:bCs/>
        </w:rPr>
        <w:t>eligible employee,</w:t>
      </w:r>
      <w:r>
        <w:rPr>
          <w:bCs/>
        </w:rPr>
        <w:t>’</w:t>
      </w:r>
      <w:r w:rsidRPr="00063DF6">
        <w:rPr>
          <w:bCs/>
        </w:rPr>
        <w:t xml:space="preserve"> the employee must be </w:t>
      </w:r>
      <w:r>
        <w:rPr>
          <w:bCs/>
        </w:rPr>
        <w:t>‘</w:t>
      </w:r>
      <w:r w:rsidRPr="00063DF6">
        <w:rPr>
          <w:bCs/>
        </w:rPr>
        <w:t>employed at a worksite where 50 or more employees are employed by the employer within 75 miles of that worksite.</w:t>
      </w:r>
      <w:r>
        <w:rPr>
          <w:bCs/>
        </w:rPr>
        <w:t>’</w:t>
      </w:r>
      <w:r w:rsidRPr="00063DF6">
        <w:rPr>
          <w:bCs/>
        </w:rPr>
        <w:t xml:space="preserve"> 29 C.F.R. § 825.110(a)(3); see 29 U.S.C. § 2611(2)(B)(ii). YAUFR avers, and Carpenter concedes, that YAUFR has never employed 50 or more people.</w:t>
      </w:r>
      <w:r>
        <w:rPr>
          <w:bCs/>
        </w:rPr>
        <w:t>”</w:t>
      </w:r>
    </w:p>
    <w:p w14:paraId="6530185D" w14:textId="77777777" w:rsidR="00366CDD" w:rsidRDefault="00366CDD" w:rsidP="00E9307E">
      <w:pPr>
        <w:rPr>
          <w:rFonts w:ascii="Arial Black" w:hAnsi="Arial Black"/>
          <w:b/>
          <w:sz w:val="28"/>
          <w:szCs w:val="28"/>
        </w:rPr>
      </w:pPr>
    </w:p>
    <w:bookmarkEnd w:id="371"/>
    <w:p w14:paraId="5B3FCE04" w14:textId="4D3A39C5" w:rsidR="00DE0F03" w:rsidRDefault="00DE0F03" w:rsidP="00DE0F03">
      <w:pPr>
        <w:rPr>
          <w:sz w:val="24"/>
          <w:szCs w:val="24"/>
        </w:rPr>
      </w:pPr>
      <w:r>
        <w:rPr>
          <w:rFonts w:ascii="Arial Black" w:hAnsi="Arial Black"/>
          <w:b/>
          <w:sz w:val="24"/>
          <w:szCs w:val="24"/>
        </w:rPr>
        <w:t>10</w:t>
      </w:r>
      <w:r w:rsidRPr="00EF1133">
        <w:rPr>
          <w:rFonts w:ascii="Arial Black" w:hAnsi="Arial Black"/>
          <w:b/>
          <w:sz w:val="24"/>
          <w:szCs w:val="24"/>
        </w:rPr>
        <w:t>-</w:t>
      </w:r>
      <w:r>
        <w:rPr>
          <w:rFonts w:ascii="Arial Black" w:hAnsi="Arial Black"/>
          <w:b/>
          <w:sz w:val="24"/>
          <w:szCs w:val="24"/>
        </w:rPr>
        <w:t>2</w:t>
      </w:r>
    </w:p>
    <w:p w14:paraId="6A195784" w14:textId="29C131DC" w:rsidR="00F326E5" w:rsidRPr="00C56DAA" w:rsidRDefault="00F326E5" w:rsidP="00F326E5">
      <w:pPr>
        <w:rPr>
          <w:rFonts w:ascii="Arial Black" w:hAnsi="Arial Black"/>
          <w:sz w:val="28"/>
          <w:szCs w:val="28"/>
        </w:rPr>
      </w:pPr>
      <w:bookmarkStart w:id="375" w:name="_Hlk39819188"/>
      <w:bookmarkStart w:id="376" w:name="_Hlk7345186"/>
      <w:r w:rsidRPr="00C56DAA">
        <w:rPr>
          <w:rFonts w:ascii="Arial Black" w:hAnsi="Arial Black"/>
          <w:sz w:val="28"/>
          <w:szCs w:val="28"/>
        </w:rPr>
        <w:t>U.S. D</w:t>
      </w:r>
      <w:r>
        <w:rPr>
          <w:rFonts w:ascii="Arial Black" w:hAnsi="Arial Black"/>
          <w:sz w:val="28"/>
          <w:szCs w:val="28"/>
        </w:rPr>
        <w:t xml:space="preserve">EPT. LABOR – HEALTHY PERSON DONATING ORGAN ENTITLED TO FMLA LEAVE </w:t>
      </w:r>
    </w:p>
    <w:p w14:paraId="17F4EA37" w14:textId="77777777" w:rsidR="00E658E1" w:rsidRDefault="00F326E5" w:rsidP="00F326E5">
      <w:pPr>
        <w:rPr>
          <w:rFonts w:ascii="Times New Roman" w:eastAsia="Times New Roman" w:hAnsi="Times New Roman"/>
          <w:sz w:val="24"/>
          <w:szCs w:val="24"/>
        </w:rPr>
      </w:pPr>
      <w:r w:rsidRPr="00E658E1">
        <w:rPr>
          <w:rFonts w:ascii="Times New Roman" w:eastAsia="Times New Roman" w:hAnsi="Times New Roman"/>
          <w:sz w:val="24"/>
          <w:szCs w:val="24"/>
        </w:rPr>
        <w:t xml:space="preserve">On Aug. 28, 2018, the U.S. Department of Labor issued Opinion No. FMLA2018-2- A. </w:t>
      </w:r>
    </w:p>
    <w:p w14:paraId="3B877859" w14:textId="475EF534" w:rsidR="00F326E5" w:rsidRPr="00E658E1" w:rsidRDefault="00F326E5" w:rsidP="00E658E1">
      <w:pPr>
        <w:ind w:left="720"/>
        <w:rPr>
          <w:rFonts w:ascii="Times New Roman" w:eastAsia="Times New Roman" w:hAnsi="Times New Roman"/>
          <w:sz w:val="24"/>
          <w:szCs w:val="24"/>
        </w:rPr>
      </w:pPr>
      <w:r w:rsidRPr="00E658E1">
        <w:rPr>
          <w:rFonts w:ascii="Times New Roman" w:eastAsia="Times New Roman" w:hAnsi="Times New Roman"/>
          <w:sz w:val="24"/>
          <w:szCs w:val="24"/>
        </w:rPr>
        <w:t>“This letter responds to your request for an opinion letter concerning whether organ-donation surgery can qualify as a ‘serious health condition’ under the Family and Medical Leave Act of 1993 (FMLA). As discussed below, we conclude that it can.”</w:t>
      </w:r>
      <w:r w:rsidR="00E658E1">
        <w:rPr>
          <w:rFonts w:ascii="Times New Roman" w:eastAsia="Times New Roman" w:hAnsi="Times New Roman"/>
          <w:sz w:val="24"/>
          <w:szCs w:val="24"/>
        </w:rPr>
        <w:t xml:space="preserve"> </w:t>
      </w:r>
      <w:hyperlink r:id="rId1765" w:history="1">
        <w:r w:rsidRPr="00E658E1">
          <w:rPr>
            <w:rStyle w:val="Hyperlink"/>
            <w:rFonts w:ascii="Times New Roman" w:hAnsi="Times New Roman"/>
            <w:sz w:val="24"/>
            <w:szCs w:val="24"/>
          </w:rPr>
          <w:t>https://www.dol.gov/whd/opinion/FMLA/2018/2018_08_28_2A_FMLA.pdf</w:t>
        </w:r>
      </w:hyperlink>
      <w:bookmarkEnd w:id="375"/>
      <w:r w:rsidRPr="00E658E1">
        <w:rPr>
          <w:rFonts w:ascii="Times New Roman" w:eastAsia="Times New Roman" w:hAnsi="Times New Roman"/>
          <w:sz w:val="24"/>
          <w:szCs w:val="24"/>
        </w:rPr>
        <w:t xml:space="preserve"> </w:t>
      </w:r>
    </w:p>
    <w:p w14:paraId="5720C0D4" w14:textId="51C1B863" w:rsidR="00F326E5" w:rsidRPr="00E658E1" w:rsidRDefault="00F326E5" w:rsidP="00F326E5">
      <w:pPr>
        <w:rPr>
          <w:rFonts w:ascii="Times New Roman" w:eastAsia="Times New Roman" w:hAnsi="Times New Roman"/>
          <w:b/>
          <w:sz w:val="24"/>
          <w:szCs w:val="24"/>
        </w:rPr>
      </w:pPr>
      <w:r w:rsidRPr="00E658E1">
        <w:rPr>
          <w:rFonts w:ascii="Times New Roman" w:eastAsia="Times New Roman" w:hAnsi="Times New Roman"/>
          <w:b/>
          <w:sz w:val="24"/>
          <w:szCs w:val="24"/>
        </w:rPr>
        <w:t xml:space="preserve">Legal Lessons Learned: Helpful to have an Opinion Letter that may encourage others to be organ donors. </w:t>
      </w:r>
    </w:p>
    <w:p w14:paraId="07D70E34" w14:textId="77777777" w:rsidR="00DE0F03" w:rsidRDefault="00DE0F03" w:rsidP="00DE0F03">
      <w:pPr>
        <w:rPr>
          <w:rFonts w:ascii="Arial Black" w:hAnsi="Arial Black"/>
          <w:b/>
          <w:sz w:val="24"/>
          <w:szCs w:val="24"/>
        </w:rPr>
      </w:pPr>
    </w:p>
    <w:p w14:paraId="48CE18B7" w14:textId="28A61DEE" w:rsidR="00DE0F03" w:rsidRDefault="00DE0F03" w:rsidP="00DE0F03">
      <w:pPr>
        <w:rPr>
          <w:sz w:val="24"/>
          <w:szCs w:val="24"/>
        </w:rPr>
      </w:pPr>
      <w:r>
        <w:rPr>
          <w:rFonts w:ascii="Arial Black" w:hAnsi="Arial Black"/>
          <w:b/>
          <w:sz w:val="24"/>
          <w:szCs w:val="24"/>
        </w:rPr>
        <w:t>10</w:t>
      </w:r>
      <w:r w:rsidRPr="00EF1133">
        <w:rPr>
          <w:rFonts w:ascii="Arial Black" w:hAnsi="Arial Black"/>
          <w:b/>
          <w:sz w:val="24"/>
          <w:szCs w:val="24"/>
        </w:rPr>
        <w:t>-1</w:t>
      </w:r>
    </w:p>
    <w:p w14:paraId="11711C48" w14:textId="6FCE684F" w:rsidR="008F1BBB" w:rsidRDefault="008F1BBB" w:rsidP="008F1BBB">
      <w:pPr>
        <w:pStyle w:val="NoSpacing"/>
        <w:rPr>
          <w:rFonts w:ascii="Arial Black" w:hAnsi="Arial Black"/>
          <w:b/>
          <w:sz w:val="24"/>
          <w:szCs w:val="24"/>
        </w:rPr>
      </w:pPr>
      <w:bookmarkStart w:id="377" w:name="_Hlk39771651"/>
      <w:bookmarkStart w:id="378" w:name="_Hlk7181215"/>
      <w:bookmarkEnd w:id="376"/>
      <w:r>
        <w:rPr>
          <w:rFonts w:ascii="Arial Black" w:hAnsi="Arial Black"/>
          <w:sz w:val="28"/>
          <w:szCs w:val="28"/>
        </w:rPr>
        <w:lastRenderedPageBreak/>
        <w:t>OH: DAYTON FD RECRUIT – RE</w:t>
      </w:r>
      <w:r w:rsidR="00BC38B6">
        <w:rPr>
          <w:rFonts w:ascii="Arial Black" w:hAnsi="Arial Black"/>
          <w:sz w:val="28"/>
          <w:szCs w:val="28"/>
        </w:rPr>
        <w:t xml:space="preserve">MOVED </w:t>
      </w:r>
      <w:r>
        <w:rPr>
          <w:rFonts w:ascii="Arial Black" w:hAnsi="Arial Black"/>
          <w:sz w:val="28"/>
          <w:szCs w:val="28"/>
        </w:rPr>
        <w:t xml:space="preserve">FROM CLASS AFTER KNEE INJURY – NO FMLA VIOLATION </w:t>
      </w:r>
      <w:r w:rsidRPr="00EB2673">
        <w:rPr>
          <w:b/>
          <w:sz w:val="24"/>
          <w:szCs w:val="24"/>
        </w:rPr>
        <w:t>[also filed, Chap. 14]</w:t>
      </w:r>
      <w:r>
        <w:rPr>
          <w:rFonts w:ascii="Arial Black" w:hAnsi="Arial Black"/>
          <w:sz w:val="28"/>
          <w:szCs w:val="28"/>
        </w:rPr>
        <w:t xml:space="preserve"> </w:t>
      </w:r>
    </w:p>
    <w:p w14:paraId="5D43F0E8" w14:textId="77777777" w:rsidR="00E658E1" w:rsidRDefault="008F1BBB" w:rsidP="008F1BBB">
      <w:pPr>
        <w:rPr>
          <w:rFonts w:ascii="Times New Roman" w:hAnsi="Times New Roman"/>
          <w:sz w:val="24"/>
          <w:szCs w:val="24"/>
        </w:rPr>
      </w:pPr>
      <w:r w:rsidRPr="00E658E1">
        <w:rPr>
          <w:rFonts w:ascii="Times New Roman" w:hAnsi="Times New Roman"/>
          <w:sz w:val="24"/>
          <w:szCs w:val="24"/>
        </w:rPr>
        <w:t xml:space="preserve">On </w:t>
      </w:r>
      <w:bookmarkStart w:id="379" w:name="_Hlk39847208"/>
      <w:r w:rsidRPr="00E658E1">
        <w:rPr>
          <w:rFonts w:ascii="Times New Roman" w:hAnsi="Times New Roman"/>
          <w:sz w:val="24"/>
          <w:szCs w:val="24"/>
        </w:rPr>
        <w:t xml:space="preserve">Feb. 9, </w:t>
      </w:r>
      <w:proofErr w:type="gramStart"/>
      <w:r w:rsidRPr="00E658E1">
        <w:rPr>
          <w:rFonts w:ascii="Times New Roman" w:hAnsi="Times New Roman"/>
          <w:sz w:val="24"/>
          <w:szCs w:val="24"/>
        </w:rPr>
        <w:t>2018</w:t>
      </w:r>
      <w:proofErr w:type="gramEnd"/>
      <w:r w:rsidRPr="00E658E1">
        <w:rPr>
          <w:rFonts w:ascii="Times New Roman" w:hAnsi="Times New Roman"/>
          <w:sz w:val="24"/>
          <w:szCs w:val="24"/>
        </w:rPr>
        <w:t xml:space="preserve"> in </w:t>
      </w:r>
      <w:r w:rsidRPr="00E658E1">
        <w:rPr>
          <w:rFonts w:ascii="Times New Roman" w:hAnsi="Times New Roman"/>
          <w:sz w:val="24"/>
          <w:szCs w:val="24"/>
          <w:u w:val="single"/>
        </w:rPr>
        <w:t>Shawn N. Geisel v. City of Dayton, et al</w:t>
      </w:r>
      <w:r w:rsidRPr="00E658E1">
        <w:rPr>
          <w:rFonts w:ascii="Times New Roman" w:hAnsi="Times New Roman"/>
          <w:sz w:val="24"/>
          <w:szCs w:val="24"/>
        </w:rPr>
        <w:t xml:space="preserve">., </w:t>
      </w:r>
      <w:bookmarkEnd w:id="379"/>
      <w:r w:rsidRPr="00E658E1">
        <w:rPr>
          <w:rFonts w:ascii="Times New Roman" w:hAnsi="Times New Roman"/>
          <w:sz w:val="24"/>
          <w:szCs w:val="24"/>
        </w:rPr>
        <w:t xml:space="preserve">Ohio Court of Appeals for Second Circuit (Montgomery County) held (3 to 0) that the FD had the authority to remove him from the recruit class and ‘demote’ him back to EMT.   </w:t>
      </w:r>
    </w:p>
    <w:p w14:paraId="3B569E18" w14:textId="5948E9F3" w:rsidR="008F1BBB" w:rsidRPr="00E658E1" w:rsidRDefault="008F1BBB" w:rsidP="00E658E1">
      <w:pPr>
        <w:ind w:left="720"/>
        <w:rPr>
          <w:rFonts w:ascii="Times New Roman" w:hAnsi="Times New Roman"/>
          <w:sz w:val="24"/>
          <w:szCs w:val="24"/>
        </w:rPr>
      </w:pPr>
      <w:r w:rsidRPr="00E658E1">
        <w:rPr>
          <w:rFonts w:ascii="Times New Roman" w:hAnsi="Times New Roman"/>
          <w:sz w:val="24"/>
          <w:szCs w:val="24"/>
        </w:rPr>
        <w:t xml:space="preserve">“We do not mean to imply that Geisel could not reapply for the position, but only that his appointment to Firefighter Recruit was a self-contained opportunity that did not entail a right to be reappointed or to continue as a recruit until he could complete the training program.”  </w:t>
      </w:r>
      <w:bookmarkStart w:id="380" w:name="_Hlk39847230"/>
      <w:r w:rsidR="00BC38B6">
        <w:fldChar w:fldCharType="begin"/>
      </w:r>
      <w:r w:rsidR="00BC38B6">
        <w:instrText xml:space="preserve"> HYPERLINK "http://www.supremecourt.ohio.gov/rod/docs/pdf/2/2018/2018-ohio-512.pdf" </w:instrText>
      </w:r>
      <w:r w:rsidR="00BC38B6">
        <w:fldChar w:fldCharType="separate"/>
      </w:r>
      <w:r w:rsidRPr="00E658E1">
        <w:rPr>
          <w:rStyle w:val="Hyperlink"/>
          <w:rFonts w:ascii="Times New Roman" w:hAnsi="Times New Roman"/>
          <w:sz w:val="24"/>
          <w:szCs w:val="24"/>
        </w:rPr>
        <w:t>http://www.supremecourt.ohio.gov/rod/docs/pdf/2/2018/2018-ohio-512.pdf</w:t>
      </w:r>
      <w:r w:rsidR="00BC38B6">
        <w:rPr>
          <w:rStyle w:val="Hyperlink"/>
          <w:rFonts w:ascii="Times New Roman" w:hAnsi="Times New Roman"/>
          <w:sz w:val="24"/>
          <w:szCs w:val="24"/>
        </w:rPr>
        <w:fldChar w:fldCharType="end"/>
      </w:r>
      <w:r w:rsidRPr="00E658E1">
        <w:rPr>
          <w:rFonts w:ascii="Times New Roman" w:hAnsi="Times New Roman"/>
          <w:sz w:val="24"/>
          <w:szCs w:val="24"/>
        </w:rPr>
        <w:t xml:space="preserve"> </w:t>
      </w:r>
    </w:p>
    <w:p w14:paraId="20A676B3" w14:textId="5A66D8AC" w:rsidR="008F1BBB" w:rsidRDefault="008F1BBB" w:rsidP="00B532F6">
      <w:pPr>
        <w:rPr>
          <w:rFonts w:ascii="Arial Black" w:hAnsi="Arial Black"/>
          <w:sz w:val="40"/>
          <w:szCs w:val="40"/>
        </w:rPr>
      </w:pPr>
      <w:bookmarkStart w:id="381" w:name="_Hlk40512893"/>
      <w:bookmarkEnd w:id="377"/>
      <w:bookmarkEnd w:id="380"/>
      <w:r w:rsidRPr="00E658E1">
        <w:rPr>
          <w:rFonts w:ascii="Times New Roman" w:hAnsi="Times New Roman"/>
          <w:b/>
          <w:sz w:val="24"/>
          <w:szCs w:val="24"/>
        </w:rPr>
        <w:t>L</w:t>
      </w:r>
      <w:r w:rsidR="0052665B">
        <w:rPr>
          <w:rFonts w:ascii="Times New Roman" w:hAnsi="Times New Roman"/>
          <w:b/>
          <w:sz w:val="24"/>
          <w:szCs w:val="24"/>
        </w:rPr>
        <w:t xml:space="preserve">egal Lesson Learned: </w:t>
      </w:r>
      <w:r w:rsidRPr="00E658E1">
        <w:rPr>
          <w:rFonts w:ascii="Times New Roman" w:hAnsi="Times New Roman"/>
          <w:b/>
          <w:sz w:val="24"/>
          <w:szCs w:val="24"/>
        </w:rPr>
        <w:t xml:space="preserve">Dayton Civil Services rules treat </w:t>
      </w:r>
      <w:proofErr w:type="gramStart"/>
      <w:r w:rsidRPr="00E658E1">
        <w:rPr>
          <w:rFonts w:ascii="Times New Roman" w:hAnsi="Times New Roman"/>
          <w:b/>
          <w:sz w:val="24"/>
          <w:szCs w:val="24"/>
        </w:rPr>
        <w:t>a</w:t>
      </w:r>
      <w:proofErr w:type="gramEnd"/>
      <w:r w:rsidRPr="00E658E1">
        <w:rPr>
          <w:rFonts w:ascii="Times New Roman" w:hAnsi="Times New Roman"/>
          <w:b/>
          <w:sz w:val="24"/>
          <w:szCs w:val="24"/>
        </w:rPr>
        <w:t xml:space="preserve"> FF recruit as a probationary employee; when injured in recruit school, </w:t>
      </w:r>
      <w:r w:rsidR="00A16B10">
        <w:rPr>
          <w:rFonts w:ascii="Times New Roman" w:hAnsi="Times New Roman"/>
          <w:b/>
          <w:sz w:val="24"/>
          <w:szCs w:val="24"/>
        </w:rPr>
        <w:t xml:space="preserve">he </w:t>
      </w:r>
      <w:r w:rsidRPr="00E658E1">
        <w:rPr>
          <w:rFonts w:ascii="Times New Roman" w:hAnsi="Times New Roman"/>
          <w:b/>
          <w:sz w:val="24"/>
          <w:szCs w:val="24"/>
        </w:rPr>
        <w:t>can be “demoted” back to EMT-B and placed on light duty.</w:t>
      </w:r>
      <w:bookmarkEnd w:id="378"/>
      <w:bookmarkEnd w:id="381"/>
    </w:p>
    <w:p w14:paraId="481B2BA8" w14:textId="77777777" w:rsidR="00B532F6" w:rsidRDefault="00B532F6" w:rsidP="00F326E5">
      <w:pPr>
        <w:pStyle w:val="NoSpacing"/>
        <w:rPr>
          <w:rFonts w:ascii="Arial Black" w:hAnsi="Arial Black"/>
          <w:sz w:val="40"/>
          <w:szCs w:val="40"/>
        </w:rPr>
      </w:pPr>
    </w:p>
    <w:p w14:paraId="1EDE9D39" w14:textId="7839FFA4" w:rsidR="00102FD0" w:rsidRDefault="00102FD0">
      <w:pPr>
        <w:spacing w:after="0" w:line="240" w:lineRule="auto"/>
        <w:rPr>
          <w:rFonts w:ascii="Arial Black" w:hAnsi="Arial Black"/>
          <w:sz w:val="40"/>
          <w:szCs w:val="40"/>
        </w:rPr>
      </w:pPr>
      <w:r>
        <w:rPr>
          <w:rFonts w:ascii="Arial Black" w:hAnsi="Arial Black"/>
          <w:sz w:val="40"/>
          <w:szCs w:val="40"/>
        </w:rPr>
        <w:br w:type="page"/>
      </w:r>
    </w:p>
    <w:p w14:paraId="5560A8D6" w14:textId="77777777" w:rsidR="00102FD0" w:rsidRDefault="00102FD0" w:rsidP="00F326E5">
      <w:pPr>
        <w:pStyle w:val="NoSpacing"/>
        <w:rPr>
          <w:rFonts w:ascii="Arial Black" w:hAnsi="Arial Black"/>
          <w:sz w:val="40"/>
          <w:szCs w:val="40"/>
        </w:rPr>
      </w:pPr>
    </w:p>
    <w:p w14:paraId="5BB13200" w14:textId="77777777" w:rsidR="009C7451" w:rsidRDefault="009C7451" w:rsidP="00F326E5">
      <w:pPr>
        <w:pStyle w:val="NoSpacing"/>
        <w:rPr>
          <w:rFonts w:ascii="Arial Black" w:hAnsi="Arial Black"/>
          <w:sz w:val="40"/>
          <w:szCs w:val="40"/>
        </w:rPr>
      </w:pPr>
    </w:p>
    <w:p w14:paraId="79D80A12" w14:textId="77777777" w:rsidR="009C7451" w:rsidRDefault="009C7451" w:rsidP="00F326E5">
      <w:pPr>
        <w:pStyle w:val="NoSpacing"/>
        <w:rPr>
          <w:rFonts w:ascii="Arial Black" w:hAnsi="Arial Black"/>
          <w:sz w:val="40"/>
          <w:szCs w:val="40"/>
        </w:rPr>
      </w:pPr>
    </w:p>
    <w:p w14:paraId="61B2CC91" w14:textId="77777777" w:rsidR="009C7451" w:rsidRDefault="009C7451" w:rsidP="00F326E5">
      <w:pPr>
        <w:pStyle w:val="NoSpacing"/>
        <w:rPr>
          <w:rFonts w:ascii="Arial Black" w:hAnsi="Arial Black"/>
          <w:sz w:val="40"/>
          <w:szCs w:val="40"/>
        </w:rPr>
      </w:pPr>
    </w:p>
    <w:p w14:paraId="0746D459" w14:textId="77777777" w:rsidR="009C7451" w:rsidRDefault="009C7451" w:rsidP="00F326E5">
      <w:pPr>
        <w:pStyle w:val="NoSpacing"/>
        <w:rPr>
          <w:rFonts w:ascii="Arial Black" w:hAnsi="Arial Black"/>
          <w:sz w:val="40"/>
          <w:szCs w:val="40"/>
        </w:rPr>
      </w:pPr>
    </w:p>
    <w:p w14:paraId="7C8AE1B7" w14:textId="77777777" w:rsidR="009C7451" w:rsidRDefault="009C7451" w:rsidP="00F326E5">
      <w:pPr>
        <w:pStyle w:val="NoSpacing"/>
        <w:rPr>
          <w:rFonts w:ascii="Arial Black" w:hAnsi="Arial Black"/>
          <w:sz w:val="40"/>
          <w:szCs w:val="40"/>
        </w:rPr>
      </w:pPr>
    </w:p>
    <w:p w14:paraId="27F1FCBD" w14:textId="77777777" w:rsidR="009C7451" w:rsidRDefault="009C7451" w:rsidP="00F326E5">
      <w:pPr>
        <w:pStyle w:val="NoSpacing"/>
        <w:rPr>
          <w:rFonts w:ascii="Arial Black" w:hAnsi="Arial Black"/>
          <w:sz w:val="40"/>
          <w:szCs w:val="40"/>
        </w:rPr>
      </w:pPr>
    </w:p>
    <w:p w14:paraId="1AB0FA51" w14:textId="77777777" w:rsidR="009C7451" w:rsidRDefault="009C7451" w:rsidP="00F326E5">
      <w:pPr>
        <w:pStyle w:val="NoSpacing"/>
        <w:rPr>
          <w:rFonts w:ascii="Arial Black" w:hAnsi="Arial Black"/>
          <w:sz w:val="40"/>
          <w:szCs w:val="40"/>
        </w:rPr>
      </w:pPr>
    </w:p>
    <w:p w14:paraId="487F2092" w14:textId="77777777" w:rsidR="009C7451" w:rsidRDefault="009C7451" w:rsidP="00F326E5">
      <w:pPr>
        <w:pStyle w:val="NoSpacing"/>
        <w:rPr>
          <w:rFonts w:ascii="Arial Black" w:hAnsi="Arial Black"/>
          <w:sz w:val="40"/>
          <w:szCs w:val="40"/>
        </w:rPr>
      </w:pPr>
    </w:p>
    <w:p w14:paraId="4414C434" w14:textId="77777777" w:rsidR="009C7451" w:rsidRDefault="009C7451" w:rsidP="00F326E5">
      <w:pPr>
        <w:pStyle w:val="NoSpacing"/>
        <w:rPr>
          <w:rFonts w:ascii="Arial Black" w:hAnsi="Arial Black"/>
          <w:sz w:val="40"/>
          <w:szCs w:val="40"/>
        </w:rPr>
      </w:pPr>
    </w:p>
    <w:p w14:paraId="08B17C36" w14:textId="77777777" w:rsidR="009C7451" w:rsidRDefault="009C7451" w:rsidP="00F326E5">
      <w:pPr>
        <w:pStyle w:val="NoSpacing"/>
        <w:rPr>
          <w:rFonts w:ascii="Arial Black" w:hAnsi="Arial Black"/>
          <w:sz w:val="40"/>
          <w:szCs w:val="40"/>
        </w:rPr>
      </w:pPr>
    </w:p>
    <w:p w14:paraId="66EE8DAA" w14:textId="77777777" w:rsidR="009C7451" w:rsidRDefault="009C7451" w:rsidP="00F326E5">
      <w:pPr>
        <w:pStyle w:val="NoSpacing"/>
        <w:rPr>
          <w:rFonts w:ascii="Arial Black" w:hAnsi="Arial Black"/>
          <w:sz w:val="40"/>
          <w:szCs w:val="40"/>
        </w:rPr>
      </w:pPr>
    </w:p>
    <w:p w14:paraId="4FBE2217" w14:textId="77777777" w:rsidR="009C7451" w:rsidRDefault="009C7451" w:rsidP="00F326E5">
      <w:pPr>
        <w:pStyle w:val="NoSpacing"/>
        <w:rPr>
          <w:rFonts w:ascii="Arial Black" w:hAnsi="Arial Black"/>
          <w:sz w:val="40"/>
          <w:szCs w:val="40"/>
        </w:rPr>
      </w:pPr>
    </w:p>
    <w:p w14:paraId="3795FC36" w14:textId="77777777" w:rsidR="009C7451" w:rsidRDefault="009C7451" w:rsidP="00F326E5">
      <w:pPr>
        <w:pStyle w:val="NoSpacing"/>
        <w:rPr>
          <w:rFonts w:ascii="Arial Black" w:hAnsi="Arial Black"/>
          <w:sz w:val="40"/>
          <w:szCs w:val="40"/>
        </w:rPr>
      </w:pPr>
    </w:p>
    <w:p w14:paraId="71A4FF4B" w14:textId="77777777" w:rsidR="009C7451" w:rsidRDefault="009C7451" w:rsidP="00F326E5">
      <w:pPr>
        <w:pStyle w:val="NoSpacing"/>
        <w:rPr>
          <w:rFonts w:ascii="Arial Black" w:hAnsi="Arial Black"/>
          <w:sz w:val="40"/>
          <w:szCs w:val="40"/>
        </w:rPr>
      </w:pPr>
    </w:p>
    <w:p w14:paraId="56707D0B" w14:textId="77777777" w:rsidR="009C7451" w:rsidRDefault="009C7451" w:rsidP="00F326E5">
      <w:pPr>
        <w:pStyle w:val="NoSpacing"/>
        <w:rPr>
          <w:rFonts w:ascii="Arial Black" w:hAnsi="Arial Black"/>
          <w:sz w:val="40"/>
          <w:szCs w:val="40"/>
        </w:rPr>
      </w:pPr>
    </w:p>
    <w:p w14:paraId="443F4768" w14:textId="77777777" w:rsidR="009C7451" w:rsidRDefault="009C7451" w:rsidP="00F326E5">
      <w:pPr>
        <w:pStyle w:val="NoSpacing"/>
        <w:rPr>
          <w:rFonts w:ascii="Arial Black" w:hAnsi="Arial Black"/>
          <w:sz w:val="40"/>
          <w:szCs w:val="40"/>
        </w:rPr>
      </w:pPr>
    </w:p>
    <w:p w14:paraId="7115AE10" w14:textId="77777777" w:rsidR="009C7451" w:rsidRDefault="009C7451" w:rsidP="00F326E5">
      <w:pPr>
        <w:pStyle w:val="NoSpacing"/>
        <w:rPr>
          <w:rFonts w:ascii="Arial Black" w:hAnsi="Arial Black"/>
          <w:sz w:val="40"/>
          <w:szCs w:val="40"/>
        </w:rPr>
      </w:pPr>
    </w:p>
    <w:p w14:paraId="550BC55F" w14:textId="77777777" w:rsidR="009C7451" w:rsidRDefault="009C7451" w:rsidP="00F326E5">
      <w:pPr>
        <w:pStyle w:val="NoSpacing"/>
        <w:rPr>
          <w:rFonts w:ascii="Arial Black" w:hAnsi="Arial Black"/>
          <w:sz w:val="40"/>
          <w:szCs w:val="40"/>
        </w:rPr>
      </w:pPr>
    </w:p>
    <w:p w14:paraId="6B3D155B" w14:textId="77777777" w:rsidR="009C7451" w:rsidRDefault="009C7451" w:rsidP="00F326E5">
      <w:pPr>
        <w:pStyle w:val="NoSpacing"/>
        <w:rPr>
          <w:rFonts w:ascii="Arial Black" w:hAnsi="Arial Black"/>
          <w:sz w:val="40"/>
          <w:szCs w:val="40"/>
        </w:rPr>
      </w:pPr>
    </w:p>
    <w:p w14:paraId="5C7586A4" w14:textId="77777777" w:rsidR="009C7451" w:rsidRDefault="009C7451" w:rsidP="00F326E5">
      <w:pPr>
        <w:pStyle w:val="NoSpacing"/>
        <w:rPr>
          <w:rFonts w:ascii="Arial Black" w:hAnsi="Arial Black"/>
          <w:sz w:val="40"/>
          <w:szCs w:val="40"/>
        </w:rPr>
      </w:pPr>
    </w:p>
    <w:p w14:paraId="609E156C" w14:textId="77777777" w:rsidR="009C7451" w:rsidRDefault="009C7451" w:rsidP="00F326E5">
      <w:pPr>
        <w:pStyle w:val="NoSpacing"/>
        <w:rPr>
          <w:rFonts w:ascii="Arial Black" w:hAnsi="Arial Black"/>
          <w:sz w:val="40"/>
          <w:szCs w:val="40"/>
        </w:rPr>
      </w:pPr>
    </w:p>
    <w:p w14:paraId="04939E69" w14:textId="77777777" w:rsidR="009C7451" w:rsidRDefault="009C7451" w:rsidP="00F326E5">
      <w:pPr>
        <w:pStyle w:val="NoSpacing"/>
        <w:rPr>
          <w:rFonts w:ascii="Arial Black" w:hAnsi="Arial Black"/>
          <w:sz w:val="40"/>
          <w:szCs w:val="40"/>
        </w:rPr>
      </w:pPr>
    </w:p>
    <w:p w14:paraId="206C3E5C" w14:textId="77777777" w:rsidR="009C7451" w:rsidRDefault="009C7451" w:rsidP="00F326E5">
      <w:pPr>
        <w:pStyle w:val="NoSpacing"/>
        <w:rPr>
          <w:rFonts w:ascii="Arial Black" w:hAnsi="Arial Black"/>
          <w:sz w:val="40"/>
          <w:szCs w:val="40"/>
        </w:rPr>
      </w:pPr>
    </w:p>
    <w:p w14:paraId="6F40D096" w14:textId="398B5402" w:rsidR="00F326E5" w:rsidRDefault="00F326E5" w:rsidP="00F326E5">
      <w:pPr>
        <w:pStyle w:val="NoSpacing"/>
        <w:rPr>
          <w:rFonts w:ascii="Arial Black" w:hAnsi="Arial Black"/>
          <w:sz w:val="40"/>
          <w:szCs w:val="40"/>
        </w:rPr>
      </w:pPr>
      <w:r w:rsidRPr="007732FA">
        <w:rPr>
          <w:rFonts w:ascii="Arial Black" w:hAnsi="Arial Black"/>
          <w:sz w:val="40"/>
          <w:szCs w:val="40"/>
        </w:rPr>
        <w:lastRenderedPageBreak/>
        <w:t>Chap. 11</w:t>
      </w:r>
      <w:r w:rsidRPr="007732FA">
        <w:rPr>
          <w:rFonts w:ascii="Arial Black" w:hAnsi="Arial Black"/>
          <w:sz w:val="40"/>
          <w:szCs w:val="40"/>
        </w:rPr>
        <w:tab/>
        <w:t>Fair Labor Standards Act</w:t>
      </w:r>
      <w:r w:rsidR="00EC50D5">
        <w:rPr>
          <w:rFonts w:ascii="Arial Black" w:hAnsi="Arial Black"/>
          <w:sz w:val="40"/>
          <w:szCs w:val="40"/>
        </w:rPr>
        <w:t xml:space="preserve"> and Military Pay</w:t>
      </w:r>
    </w:p>
    <w:p w14:paraId="3E3C2EA0" w14:textId="77777777" w:rsidR="00C5039F" w:rsidRDefault="00C5039F" w:rsidP="00020106">
      <w:pPr>
        <w:rPr>
          <w:rFonts w:ascii="Arial Black" w:hAnsi="Arial Black"/>
          <w:b/>
          <w:sz w:val="24"/>
          <w:szCs w:val="24"/>
        </w:rPr>
      </w:pPr>
    </w:p>
    <w:p w14:paraId="76088FB1" w14:textId="5AFA5A98" w:rsidR="007F336D" w:rsidRDefault="007F336D" w:rsidP="007F336D">
      <w:pPr>
        <w:rPr>
          <w:rFonts w:ascii="Arial Black" w:hAnsi="Arial Black"/>
          <w:b/>
          <w:sz w:val="24"/>
          <w:szCs w:val="24"/>
        </w:rPr>
      </w:pPr>
      <w:r>
        <w:rPr>
          <w:rFonts w:ascii="Arial Black" w:hAnsi="Arial Black"/>
          <w:b/>
          <w:sz w:val="24"/>
          <w:szCs w:val="24"/>
        </w:rPr>
        <w:t>11-7</w:t>
      </w:r>
      <w:r w:rsidR="00627190">
        <w:rPr>
          <w:rFonts w:ascii="Arial Black" w:hAnsi="Arial Black"/>
          <w:b/>
          <w:sz w:val="24"/>
          <w:szCs w:val="24"/>
        </w:rPr>
        <w:t>4</w:t>
      </w:r>
    </w:p>
    <w:p w14:paraId="068DE2B8" w14:textId="77777777" w:rsidR="007F336D" w:rsidRPr="00B621B2" w:rsidRDefault="007F336D" w:rsidP="007F336D">
      <w:pPr>
        <w:rPr>
          <w:rFonts w:ascii="Arial Black" w:hAnsi="Arial Black"/>
          <w:b/>
          <w:sz w:val="28"/>
          <w:szCs w:val="28"/>
        </w:rPr>
      </w:pPr>
      <w:r>
        <w:rPr>
          <w:rFonts w:ascii="Arial Black" w:hAnsi="Arial Black"/>
          <w:b/>
          <w:sz w:val="28"/>
          <w:szCs w:val="28"/>
        </w:rPr>
        <w:t xml:space="preserve">WV: “SLEEP TIME” FLSA / PA CLAIMS – “UNINTERRUPTED” </w:t>
      </w:r>
    </w:p>
    <w:p w14:paraId="0C3F711B" w14:textId="77777777" w:rsidR="007F336D" w:rsidRDefault="007F336D" w:rsidP="007F336D">
      <w:pPr>
        <w:rPr>
          <w:bCs/>
        </w:rPr>
      </w:pPr>
      <w:r>
        <w:t xml:space="preserve">On Aug. 24, 2026, in </w:t>
      </w:r>
      <w:r w:rsidRPr="00C6638D">
        <w:rPr>
          <w:u w:val="single"/>
        </w:rPr>
        <w:t>Daniel Fox, Jr., and Robert Sovine, Individually and for Others Similarly Situated v. Jan-Care Ambulance, Inc</w:t>
      </w:r>
      <w:r>
        <w:t xml:space="preserve">., U.S. District Court Chief Judge </w:t>
      </w:r>
      <w:r w:rsidRPr="00AB502A">
        <w:t>Frank W. Volk</w:t>
      </w:r>
      <w:r>
        <w:t xml:space="preserve">, United States District Court for Southern District of West Virginia, partially granted Company’s motion to dismiss PA state law claims against the WV based company, unless EMTs in their Complaint stated they regularly responded into PA.  EMT Robert Sovine has met that requirement; EMT Daniel Fox needs to refile his complaint.  The lawsuit will now proceed with pre-trial discovery about FLSA – interrupted sleep and </w:t>
      </w:r>
      <w:r w:rsidRPr="00931D26">
        <w:t>shift differential premiums</w:t>
      </w:r>
      <w:r>
        <w:t xml:space="preserve">.   </w:t>
      </w:r>
      <w:hyperlink r:id="rId1766" w:history="1">
        <w:r w:rsidRPr="0030374F">
          <w:rPr>
            <w:rStyle w:val="Hyperlink"/>
          </w:rPr>
          <w:t>https://public.fastcase.com/Jhe1Qn%2BmJndQYQU6z%2FeNmwWDswf%2FyfkgPyip6VS0cDWpWwpvHNfVEfbuP6bmDGomWWWRX0Ufxoes%2FPslB3S6PX9NV7eOjHrVnzZJYNtoh0E%3D?utm_medium=email&amp;_hsenc=p2ANqtz--Q5-zUfHtAae_7brt-BPUOknX_2kWtg7ggG2Ns0WUhsWss6pJixlwIFz2YiAn3Gomhhu6vVBkR2r-IsrShAW9NE10b9Q&amp;_hsmi=226712652&amp;utm_content=226712652&amp;utm_source=hs_email</w:t>
        </w:r>
      </w:hyperlink>
      <w:r>
        <w:t xml:space="preserve">  </w:t>
      </w:r>
    </w:p>
    <w:p w14:paraId="78E2DE7D" w14:textId="77777777" w:rsidR="007F336D" w:rsidRDefault="007F336D" w:rsidP="007F336D">
      <w:pPr>
        <w:rPr>
          <w:bCs/>
        </w:rPr>
      </w:pPr>
      <w:r>
        <w:t>THE COURT WROTE:</w:t>
      </w:r>
    </w:p>
    <w:p w14:paraId="327E5EC4" w14:textId="77777777" w:rsidR="007F336D" w:rsidRDefault="007F336D" w:rsidP="007F336D">
      <w:pPr>
        <w:ind w:left="720"/>
        <w:rPr>
          <w:bCs/>
        </w:rPr>
      </w:pPr>
      <w:r>
        <w:t>“</w:t>
      </w:r>
      <w:r w:rsidRPr="00CD65B0">
        <w:t>Mr. Fox is an emergency medical technician (</w:t>
      </w:r>
      <w:r>
        <w:t>‘</w:t>
      </w:r>
      <w:r w:rsidRPr="00CD65B0">
        <w:t>EMT</w:t>
      </w:r>
      <w:r>
        <w:t>’</w:t>
      </w:r>
      <w:r w:rsidRPr="00CD65B0">
        <w:t>) employed by Jan-Care since 2024</w:t>
      </w:r>
      <w:r>
        <w:t xml:space="preserve">…. </w:t>
      </w:r>
      <w:r w:rsidRPr="00CD65B0">
        <w:t>From June 2012 through July 2025, Mr. Sovine was likewise employed as a Jan-Care EMT</w:t>
      </w:r>
      <w:r>
        <w:t xml:space="preserve">…. </w:t>
      </w:r>
      <w:r w:rsidRPr="00CD65B0">
        <w:t xml:space="preserve">Plaintiffs' First Amended Complaint (the </w:t>
      </w:r>
      <w:r>
        <w:t>‘</w:t>
      </w:r>
      <w:r w:rsidRPr="00CD65B0">
        <w:t>Complaint</w:t>
      </w:r>
      <w:r>
        <w:t>’</w:t>
      </w:r>
      <w:r w:rsidRPr="00CD65B0">
        <w:t>) alleges Jan-Care employed Plaintiffs as EMTs in West Virginia, Virginia, and Pennsylvania</w:t>
      </w:r>
      <w:r>
        <w:t xml:space="preserve">…. </w:t>
      </w:r>
      <w:r w:rsidRPr="00CD65B0">
        <w:t xml:space="preserve">The Complaint specifically alleges Mr. Sovine </w:t>
      </w:r>
      <w:r>
        <w:t>‘</w:t>
      </w:r>
      <w:r w:rsidRPr="00CD65B0">
        <w:t>worked in Pennsylvania on two to three occasions per 24-hour shift during his employment, including in Greene, Washington, and Allegheny counties.</w:t>
      </w:r>
      <w:r>
        <w:t xml:space="preserve">’ …  </w:t>
      </w:r>
    </w:p>
    <w:p w14:paraId="35065AB3" w14:textId="77777777" w:rsidR="007F336D" w:rsidRDefault="007F336D" w:rsidP="007F336D">
      <w:pPr>
        <w:ind w:left="720"/>
        <w:rPr>
          <w:bCs/>
        </w:rPr>
      </w:pPr>
      <w:r>
        <w:t>***</w:t>
      </w:r>
    </w:p>
    <w:p w14:paraId="4FD2422B" w14:textId="77777777" w:rsidR="007F336D" w:rsidRDefault="007F336D" w:rsidP="007F336D">
      <w:pPr>
        <w:ind w:left="720"/>
        <w:rPr>
          <w:bCs/>
        </w:rPr>
      </w:pPr>
      <w:r>
        <w:t xml:space="preserve">[The Complaint alleges] </w:t>
      </w:r>
      <w:r w:rsidRPr="00CD65B0">
        <w:t xml:space="preserve">It is Jan-Care's practice to deduct </w:t>
      </w:r>
      <w:r>
        <w:t>‘</w:t>
      </w:r>
      <w:r w:rsidRPr="00CD65B0">
        <w:t>3 or more hours during 24-hour shifts</w:t>
      </w:r>
      <w:r>
        <w:t>’</w:t>
      </w:r>
      <w:r w:rsidRPr="00CD65B0">
        <w:t xml:space="preserve"> for what is referenced as its </w:t>
      </w:r>
      <w:r>
        <w:t>‘</w:t>
      </w:r>
      <w:r w:rsidRPr="00CD65B0">
        <w:t>sleep time</w:t>
      </w:r>
      <w:r>
        <w:t xml:space="preserve">’ </w:t>
      </w:r>
      <w:r w:rsidRPr="00CD65B0">
        <w:t>policy</w:t>
      </w:r>
      <w:r>
        <w:t xml:space="preserve">…. </w:t>
      </w:r>
      <w:r w:rsidRPr="00CD65B0">
        <w:t xml:space="preserve">Under this policy, Plaintiffs' time is deducted </w:t>
      </w:r>
      <w:r>
        <w:t>‘</w:t>
      </w:r>
      <w:r w:rsidRPr="00CD65B0">
        <w:t>regardless of whether their ‘sleep time' is on duty and/or interrupted.</w:t>
      </w:r>
      <w:r>
        <w:t xml:space="preserve">’ … </w:t>
      </w:r>
      <w:r w:rsidRPr="00CD65B0">
        <w:t xml:space="preserve">Plaintiffs also </w:t>
      </w:r>
      <w:r>
        <w:t>‘</w:t>
      </w:r>
      <w:r w:rsidRPr="00CD65B0">
        <w:t>cannot enjoy an uninterrupted night's sleep</w:t>
      </w:r>
      <w:r>
        <w:t>’</w:t>
      </w:r>
      <w:r w:rsidRPr="00CD65B0">
        <w:t xml:space="preserve"> during their shifts and are </w:t>
      </w:r>
      <w:r>
        <w:t>‘</w:t>
      </w:r>
      <w:r w:rsidRPr="00CD65B0">
        <w:t>required to remain on Jan-Care's premises, remain on call, monitor phones and pagers for calls that come in, respond to calls, and otherwise continue performing their regular job duties during their ‘sleep time.'</w:t>
      </w:r>
      <w:r>
        <w:t xml:space="preserve"> … </w:t>
      </w:r>
      <w:r w:rsidRPr="00CD65B0">
        <w:t xml:space="preserve">The Complaint alleges </w:t>
      </w:r>
      <w:r>
        <w:t>‘</w:t>
      </w:r>
      <w:r w:rsidRPr="00CD65B0">
        <w:t xml:space="preserve">Jan-Care improperly deducted ‘sleep time' from Fox that he </w:t>
      </w:r>
      <w:proofErr w:type="gramStart"/>
      <w:r w:rsidRPr="00CD65B0">
        <w:t>actually spent</w:t>
      </w:r>
      <w:proofErr w:type="gramEnd"/>
      <w:r w:rsidRPr="00CD65B0">
        <w:t xml:space="preserve"> performing compensable work, which resulted in him not being paid at least 1.5 times his regular rate of pay for the hours he worked over 40 in a workweek during that pay period.</w:t>
      </w:r>
      <w:r>
        <w:t xml:space="preserve">’  </w:t>
      </w:r>
      <w:r w:rsidRPr="00CD65B0">
        <w:t xml:space="preserve">In addition to the sleep time policy, the Complaint also describes Jan-Care's shift differential pay scheme and incentive pay for good attendance that it otherwise </w:t>
      </w:r>
      <w:r>
        <w:t>‘</w:t>
      </w:r>
      <w:r w:rsidRPr="00CD65B0">
        <w:t>excludes from [Plaintiffs'] regular rates of pay for overtime purposes during workweeks the shift differentials are earned and the Hourly Employees work in excess of 40 hours.</w:t>
      </w:r>
      <w:r>
        <w:t>’ ….</w:t>
      </w:r>
      <w:r w:rsidRPr="00CD65B0">
        <w:t xml:space="preserve"> Simply put, rather than distributing overtime based on the shift differential premiums, Jan-Care pays overtime according to an employee's base rate.</w:t>
      </w:r>
      <w:r>
        <w:t>”</w:t>
      </w:r>
    </w:p>
    <w:p w14:paraId="50414DDA" w14:textId="77777777" w:rsidR="007F336D" w:rsidRPr="00CD65B0" w:rsidRDefault="007F336D" w:rsidP="007F336D">
      <w:pPr>
        <w:rPr>
          <w:bCs/>
        </w:rPr>
      </w:pPr>
      <w:r>
        <w:rPr>
          <w:b/>
        </w:rPr>
        <w:t xml:space="preserve">Legal lesson learned: </w:t>
      </w:r>
      <w:r w:rsidRPr="00CD65B0">
        <w:t xml:space="preserve"> </w:t>
      </w:r>
      <w:r>
        <w:t xml:space="preserve">Case will now proceed; see FLSA instructions on “sleep time.” </w:t>
      </w:r>
    </w:p>
    <w:p w14:paraId="7454830D" w14:textId="77777777" w:rsidR="007F336D" w:rsidRDefault="007F336D" w:rsidP="007F336D">
      <w:pPr>
        <w:ind w:left="720"/>
        <w:rPr>
          <w:bCs/>
        </w:rPr>
      </w:pPr>
      <w:r>
        <w:t xml:space="preserve">Note: </w:t>
      </w:r>
    </w:p>
    <w:p w14:paraId="69348846" w14:textId="77777777" w:rsidR="007F336D" w:rsidRDefault="007F336D" w:rsidP="007F336D">
      <w:pPr>
        <w:ind w:left="720"/>
      </w:pPr>
      <w:r w:rsidRPr="00805A6B">
        <w:rPr>
          <w:b/>
        </w:rPr>
        <w:lastRenderedPageBreak/>
        <w:t>Code of Federal Regulations</w:t>
      </w:r>
      <w:r>
        <w:t xml:space="preserve">: </w:t>
      </w:r>
      <w:r w:rsidRPr="00FE1A47">
        <w:t>§ 785.22 Duty of 24 hours or more.</w:t>
      </w:r>
      <w:r w:rsidRPr="007620C7">
        <w:t xml:space="preserve"> </w:t>
      </w:r>
      <w:hyperlink r:id="rId1767" w:history="1">
        <w:r w:rsidRPr="00D67317">
          <w:rPr>
            <w:rStyle w:val="Hyperlink"/>
          </w:rPr>
          <w:t>https://www.ecfr.gov/current/title-29/subtitle-B/chapter-V/subchapter-B/part-785/subpart-C/subject-group-ECFRecc40629d2c64c8/section-785.22</w:t>
        </w:r>
      </w:hyperlink>
      <w:r>
        <w:t xml:space="preserve"> </w:t>
      </w:r>
    </w:p>
    <w:p w14:paraId="1F5CDDB1" w14:textId="77777777" w:rsidR="007F336D" w:rsidRDefault="007F336D" w:rsidP="007F336D">
      <w:pPr>
        <w:ind w:left="720"/>
      </w:pPr>
      <w:r>
        <w:rPr>
          <w:b/>
          <w:i/>
          <w:iCs/>
        </w:rPr>
        <w:t>“</w:t>
      </w:r>
      <w:r w:rsidRPr="00805A6B">
        <w:rPr>
          <w:b/>
          <w:i/>
          <w:iCs/>
        </w:rPr>
        <w:t>General.</w:t>
      </w:r>
      <w:r w:rsidRPr="00805A6B">
        <w:t xml:space="preserve"> Where an employee is required to be on duty for 24 hours or more, the employer and the employee may agree to exclude bona fide meal periods and a bona fide regularly scheduled sleeping period of not more than 8 hours from hours worked, provided adequate sleeping facilities are furnished by the employer and the employee can usually enjoy an uninterrupted night's sleep. If sleeping period </w:t>
      </w:r>
      <w:proofErr w:type="gramStart"/>
      <w:r w:rsidRPr="00805A6B">
        <w:t>is of</w:t>
      </w:r>
      <w:proofErr w:type="gramEnd"/>
      <w:r w:rsidRPr="00805A6B">
        <w:t xml:space="preserve"> more than 8 hours, only 8 hours will be credited. Where no expressed or implied agreement to the contrary is present, the 8 hours of sleeping time and lunch periods constitute hours worked</w:t>
      </w:r>
      <w:r>
        <w:t>….</w:t>
      </w:r>
    </w:p>
    <w:p w14:paraId="48B1973B" w14:textId="77777777" w:rsidR="007F336D" w:rsidRDefault="007F336D" w:rsidP="007F336D">
      <w:pPr>
        <w:ind w:left="720"/>
        <w:rPr>
          <w:bCs/>
        </w:rPr>
      </w:pPr>
      <w:r>
        <w:rPr>
          <w:b/>
          <w:i/>
          <w:iCs/>
        </w:rPr>
        <w:t>“</w:t>
      </w:r>
      <w:r w:rsidRPr="001333A5">
        <w:rPr>
          <w:b/>
          <w:i/>
          <w:iCs/>
        </w:rPr>
        <w:t>Interruptions of sleep.</w:t>
      </w:r>
      <w:r w:rsidRPr="001333A5">
        <w:t xml:space="preserve"> If the sleeping period is interrupted by a call to duty, the interruption must be counted as hours worked. If the period is interrupted to such an extent that the employee cannot get a reasonable night's sleep, the entire period must be counted. For enforcement purposes, the </w:t>
      </w:r>
      <w:proofErr w:type="spellStart"/>
      <w:r w:rsidRPr="001333A5">
        <w:t>Divisons</w:t>
      </w:r>
      <w:proofErr w:type="spellEnd"/>
      <w:r w:rsidRPr="001333A5">
        <w:t xml:space="preserve"> have adopted the rule that if the employee cannot get at least 5 hours' sleep during the scheduled period the entire time is working time. (See </w:t>
      </w:r>
      <w:r w:rsidRPr="001333A5">
        <w:rPr>
          <w:i/>
          <w:iCs/>
        </w:rPr>
        <w:t>Eustice</w:t>
      </w:r>
      <w:r w:rsidRPr="001333A5">
        <w:t xml:space="preserve"> v. </w:t>
      </w:r>
      <w:r w:rsidRPr="001333A5">
        <w:rPr>
          <w:i/>
          <w:iCs/>
        </w:rPr>
        <w:t>Federal Cartridge Corp.,</w:t>
      </w:r>
      <w:r w:rsidRPr="001333A5">
        <w:t xml:space="preserve"> 66 F. Supp. 55 (D. Minn. 1946).)</w:t>
      </w:r>
      <w:r>
        <w:t>”</w:t>
      </w:r>
    </w:p>
    <w:p w14:paraId="60039AA8" w14:textId="77777777" w:rsidR="007F336D" w:rsidRPr="009B7935" w:rsidRDefault="007F336D" w:rsidP="007F336D">
      <w:pPr>
        <w:ind w:left="720"/>
        <w:rPr>
          <w:b/>
        </w:rPr>
      </w:pPr>
      <w:r w:rsidRPr="009B7935">
        <w:rPr>
          <w:b/>
        </w:rPr>
        <w:t>FLSA Hours Worked Advisor</w:t>
      </w:r>
      <w:r>
        <w:rPr>
          <w:b/>
        </w:rPr>
        <w:t xml:space="preserve">.  </w:t>
      </w:r>
      <w:hyperlink r:id="rId1768" w:history="1">
        <w:r w:rsidRPr="00D67317">
          <w:rPr>
            <w:rStyle w:val="Hyperlink"/>
            <w:b/>
          </w:rPr>
          <w:t>https://webapps.dol.gov/elaws/whd/flsa/hoursworked/screenER44.asp</w:t>
        </w:r>
      </w:hyperlink>
      <w:r>
        <w:rPr>
          <w:b/>
        </w:rPr>
        <w:t xml:space="preserve"> </w:t>
      </w:r>
      <w:r w:rsidRPr="009B7935">
        <w:rPr>
          <w:b/>
        </w:rPr>
        <w:t xml:space="preserve"> </w:t>
      </w:r>
    </w:p>
    <w:p w14:paraId="05511246" w14:textId="77777777" w:rsidR="007F336D" w:rsidRPr="009B7935" w:rsidRDefault="007F336D" w:rsidP="007F336D">
      <w:pPr>
        <w:ind w:left="720"/>
        <w:rPr>
          <w:bCs/>
        </w:rPr>
      </w:pPr>
      <w:r>
        <w:rPr>
          <w:b/>
        </w:rPr>
        <w:t>“</w:t>
      </w:r>
      <w:r w:rsidRPr="009B7935">
        <w:rPr>
          <w:b/>
        </w:rPr>
        <w:t>Your employee's sleep time is probably not hours worked.</w:t>
      </w:r>
    </w:p>
    <w:p w14:paraId="1236C8D8" w14:textId="77777777" w:rsidR="007F336D" w:rsidRPr="009B7935" w:rsidRDefault="007F336D" w:rsidP="007F336D">
      <w:pPr>
        <w:ind w:left="720"/>
        <w:rPr>
          <w:bCs/>
        </w:rPr>
      </w:pPr>
      <w:r w:rsidRPr="009B7935">
        <w:t xml:space="preserve">If your employee </w:t>
      </w:r>
      <w:proofErr w:type="gramStart"/>
      <w:r w:rsidRPr="009B7935">
        <w:t>is able to</w:t>
      </w:r>
      <w:proofErr w:type="gramEnd"/>
      <w:r w:rsidRPr="009B7935">
        <w:t xml:space="preserve"> get five or more hours of sleep, the sleep time is not considered hour worked. However, you can only deduct the actual number of hours spent sleeping, up to a maximum of eight hours. For example, if your employee receives six hours of sleep, you can only deduct six hours for </w:t>
      </w:r>
      <w:proofErr w:type="gramStart"/>
      <w:r w:rsidRPr="009B7935">
        <w:t>sleeping</w:t>
      </w:r>
      <w:proofErr w:type="gramEnd"/>
      <w:r w:rsidRPr="009B7935">
        <w:t xml:space="preserve"> from the work period. This determination is made </w:t>
      </w:r>
      <w:proofErr w:type="gramStart"/>
      <w:r w:rsidRPr="009B7935">
        <w:t>on the basis of</w:t>
      </w:r>
      <w:proofErr w:type="gramEnd"/>
      <w:r w:rsidRPr="009B7935">
        <w:t xml:space="preserve"> what happens during each sleep period.</w:t>
      </w:r>
      <w:r>
        <w:t xml:space="preserve">” </w:t>
      </w:r>
    </w:p>
    <w:p w14:paraId="5AC3CFE6" w14:textId="77777777" w:rsidR="007F336D" w:rsidRDefault="007F336D" w:rsidP="007F336D">
      <w:pPr>
        <w:ind w:left="720"/>
        <w:rPr>
          <w:bCs/>
        </w:rPr>
      </w:pPr>
    </w:p>
    <w:p w14:paraId="250B84B2" w14:textId="77777777" w:rsidR="007F336D" w:rsidRDefault="007F336D" w:rsidP="007F336D">
      <w:pPr>
        <w:ind w:left="720"/>
        <w:rPr>
          <w:bCs/>
        </w:rPr>
      </w:pPr>
      <w:r>
        <w:t xml:space="preserve">See FLSA instructions on sleep time (July 2008). </w:t>
      </w:r>
      <w:hyperlink r:id="rId1769" w:history="1">
        <w:r w:rsidRPr="00D67317">
          <w:rPr>
            <w:rStyle w:val="Hyperlink"/>
          </w:rPr>
          <w:t>https://www.dol.gov/agencies/whd/fact-sheets/22-flsa-hours-worked</w:t>
        </w:r>
      </w:hyperlink>
      <w:r>
        <w:t xml:space="preserve"> .</w:t>
      </w:r>
    </w:p>
    <w:p w14:paraId="45EE67D9" w14:textId="77777777" w:rsidR="007F336D" w:rsidRDefault="007F336D" w:rsidP="007F336D">
      <w:pPr>
        <w:ind w:left="720"/>
      </w:pPr>
      <w:r>
        <w:rPr>
          <w:b/>
        </w:rPr>
        <w:t>“</w:t>
      </w:r>
      <w:r w:rsidRPr="0059619C">
        <w:rPr>
          <w:b/>
        </w:rPr>
        <w:t>Sleeping Time and Certain Other Activities:</w:t>
      </w:r>
      <w:r>
        <w:rPr>
          <w:b/>
        </w:rPr>
        <w:t xml:space="preserve"> </w:t>
      </w:r>
      <w:r w:rsidRPr="0059619C">
        <w:t xml:space="preserve">An employee who is required to be on duty for less than 24 hours is working even though he/she is permitted to sleep or engage in other personal activities when not busy. An employee required to be on duty for 24 hours or more may agree with the employer to exclude from hours worked bona fide regularly scheduled sleeping periods of not more than 8 hours, provided adequate sleeping facilities are furnished by the employer and the employee can usually </w:t>
      </w:r>
      <w:r w:rsidRPr="00A62E87">
        <w:t>enjoy an uninterrupted night's sleep. No reduction is permitted unless at least 5 hours of sleep is taken.</w:t>
      </w:r>
      <w:r>
        <w:t>”</w:t>
      </w:r>
    </w:p>
    <w:p w14:paraId="75413907" w14:textId="77777777" w:rsidR="007F336D" w:rsidRDefault="007F336D" w:rsidP="00020106">
      <w:pPr>
        <w:rPr>
          <w:rFonts w:ascii="Arial Black" w:hAnsi="Arial Black"/>
          <w:b/>
          <w:sz w:val="24"/>
          <w:szCs w:val="24"/>
        </w:rPr>
      </w:pPr>
    </w:p>
    <w:p w14:paraId="42F1F296" w14:textId="77777777" w:rsidR="007F336D" w:rsidRDefault="007F336D" w:rsidP="00020106">
      <w:pPr>
        <w:rPr>
          <w:rFonts w:ascii="Arial Black" w:hAnsi="Arial Black"/>
          <w:b/>
          <w:sz w:val="24"/>
          <w:szCs w:val="24"/>
        </w:rPr>
      </w:pPr>
    </w:p>
    <w:p w14:paraId="7195453B" w14:textId="77777777" w:rsidR="007F336D" w:rsidRDefault="007F336D" w:rsidP="00020106">
      <w:pPr>
        <w:rPr>
          <w:rFonts w:ascii="Arial Black" w:hAnsi="Arial Black"/>
          <w:b/>
          <w:sz w:val="24"/>
          <w:szCs w:val="24"/>
        </w:rPr>
      </w:pPr>
    </w:p>
    <w:p w14:paraId="0AAC9656" w14:textId="56F434AA" w:rsidR="0062797C" w:rsidRDefault="0062797C" w:rsidP="00020106">
      <w:pPr>
        <w:rPr>
          <w:rFonts w:ascii="Arial Black" w:hAnsi="Arial Black"/>
          <w:b/>
          <w:sz w:val="24"/>
          <w:szCs w:val="24"/>
        </w:rPr>
      </w:pPr>
      <w:r>
        <w:rPr>
          <w:rFonts w:ascii="Arial Black" w:hAnsi="Arial Black"/>
          <w:b/>
          <w:sz w:val="24"/>
          <w:szCs w:val="24"/>
        </w:rPr>
        <w:t>11-73</w:t>
      </w:r>
    </w:p>
    <w:p w14:paraId="4F78CC90" w14:textId="77777777" w:rsidR="0062797C" w:rsidRPr="00402759" w:rsidRDefault="0062797C" w:rsidP="0062797C">
      <w:pPr>
        <w:pStyle w:val="NoSpacing"/>
        <w:rPr>
          <w:rFonts w:ascii="Arial Black" w:hAnsi="Arial Black"/>
          <w:sz w:val="28"/>
          <w:szCs w:val="28"/>
        </w:rPr>
      </w:pPr>
      <w:r>
        <w:rPr>
          <w:rFonts w:ascii="Arial Black" w:hAnsi="Arial Black"/>
          <w:sz w:val="28"/>
          <w:szCs w:val="28"/>
        </w:rPr>
        <w:t xml:space="preserve">AZ: CAPTAIN TRANS AFTER OT ISSUE - POSS RETALIATION </w:t>
      </w:r>
    </w:p>
    <w:p w14:paraId="684C808F" w14:textId="77777777" w:rsidR="0062797C" w:rsidRDefault="0062797C" w:rsidP="0062797C">
      <w:pPr>
        <w:pStyle w:val="NoSpacing"/>
      </w:pPr>
    </w:p>
    <w:p w14:paraId="59ECDC64" w14:textId="77777777" w:rsidR="0062797C" w:rsidRDefault="0062797C" w:rsidP="0062797C">
      <w:pPr>
        <w:pStyle w:val="NoSpacing"/>
      </w:pPr>
      <w:r>
        <w:t xml:space="preserve">On July 21, 2026, in </w:t>
      </w:r>
      <w:r w:rsidRPr="00995D85">
        <w:rPr>
          <w:u w:val="single"/>
        </w:rPr>
        <w:t>David Johnson v. City of Phoenix, et al</w:t>
      </w:r>
      <w:r>
        <w:t xml:space="preserve">., U.S. District Court Judge Krissa M. Lanham held that City is granted summary judgment regarding the </w:t>
      </w:r>
      <w:proofErr w:type="gramStart"/>
      <w:r>
        <w:t>Captain’s</w:t>
      </w:r>
      <w:proofErr w:type="gramEnd"/>
      <w:r>
        <w:t xml:space="preserve"> overtime claim but case proceeds regarding retaliation for his job </w:t>
      </w:r>
      <w:r>
        <w:lastRenderedPageBreak/>
        <w:t xml:space="preserve">transfer after filing internal grievances (which he lost). On Oct. 19, </w:t>
      </w:r>
      <w:proofErr w:type="gramStart"/>
      <w:r>
        <w:t>2021</w:t>
      </w:r>
      <w:proofErr w:type="gramEnd"/>
      <w:r>
        <w:t xml:space="preserve"> he was home on standby shift ($1.50 hour), and then responded to hospital for </w:t>
      </w:r>
      <w:r w:rsidRPr="00317B05">
        <w:t>pathogen-exposure incident</w:t>
      </w:r>
      <w:r>
        <w:t xml:space="preserve">; returned home in 3 </w:t>
      </w:r>
      <w:proofErr w:type="gramStart"/>
      <w:r>
        <w:t>hours, and</w:t>
      </w:r>
      <w:proofErr w:type="gramEnd"/>
      <w:r>
        <w:t xml:space="preserve"> made some follow up calls to hospital.  He claimed overtime for the </w:t>
      </w:r>
      <w:r w:rsidRPr="00317B05">
        <w:t>total of 12.75 hours passed between the incident's beginning and the end of Johnson's shift</w:t>
      </w:r>
      <w:r>
        <w:t xml:space="preserve"> (grievances denied).  In February 2022, after grievances were </w:t>
      </w:r>
      <w:proofErr w:type="gramStart"/>
      <w:r>
        <w:t>denied</w:t>
      </w:r>
      <w:proofErr w:type="gramEnd"/>
      <w:r>
        <w:t xml:space="preserve"> he was transferred to an Operations position.   U.S. Department of Labor investigation found this was retaliation.</w:t>
      </w:r>
    </w:p>
    <w:p w14:paraId="6ECFDE7D" w14:textId="77777777" w:rsidR="0062797C" w:rsidRDefault="0062797C" w:rsidP="0062797C">
      <w:pPr>
        <w:pStyle w:val="NoSpacing"/>
      </w:pPr>
      <w:hyperlink r:id="rId1770" w:history="1">
        <w:r w:rsidRPr="00F32C65">
          <w:rPr>
            <w:rStyle w:val="Hyperlink"/>
          </w:rPr>
          <w:t>https://public.fastcase.com/Jhe1Qn%2BmJndQYQU6z%2FeNm%2F%2Bb9tDy%2BB1V4igtWVlHjvKcU%2FnEQkKgvsTuIdmJf7S6TLQrLMKDMyDhy29fvRmn0B54%2B%2FamKhKvK55eX0VsHHI%3D?utm_medium=email&amp;_hsenc=p2ANqtz-_Gg5RXNpIci3yukYVP6b7sh5gmOKa0GsZOAMvLT2R41U8XgM5hohZBV9wwMQTg4BgeHRSn6k2S_n_HEfm4oxMP2E6DqA&amp;_hsmi=226712652&amp;utm_content=226712652&amp;utm_source=hs_email</w:t>
        </w:r>
      </w:hyperlink>
      <w:r>
        <w:t xml:space="preserve"> </w:t>
      </w:r>
    </w:p>
    <w:p w14:paraId="37974C69" w14:textId="77777777" w:rsidR="0062797C" w:rsidRDefault="0062797C" w:rsidP="0062797C">
      <w:pPr>
        <w:pStyle w:val="NoSpacing"/>
      </w:pPr>
    </w:p>
    <w:p w14:paraId="425B1A4E" w14:textId="77777777" w:rsidR="0062797C" w:rsidRDefault="0062797C" w:rsidP="0062797C">
      <w:pPr>
        <w:pStyle w:val="NoSpacing"/>
      </w:pPr>
      <w:r>
        <w:t xml:space="preserve">THE COURT HELD: </w:t>
      </w:r>
    </w:p>
    <w:p w14:paraId="3C0D0B16" w14:textId="77777777" w:rsidR="0062797C" w:rsidRDefault="0062797C" w:rsidP="0062797C">
      <w:pPr>
        <w:pStyle w:val="NoSpacing"/>
      </w:pPr>
    </w:p>
    <w:p w14:paraId="5B6F2248" w14:textId="77777777" w:rsidR="0062797C" w:rsidRDefault="0062797C" w:rsidP="0062797C">
      <w:pPr>
        <w:pStyle w:val="NoSpacing"/>
      </w:pPr>
      <w:r>
        <w:t>“</w:t>
      </w:r>
      <w:r w:rsidRPr="00513245">
        <w:t>David Johnson, a Phoenix Fire Department (</w:t>
      </w:r>
      <w:r>
        <w:t>‘</w:t>
      </w:r>
      <w:r w:rsidRPr="00513245">
        <w:t>PFD</w:t>
      </w:r>
      <w:r>
        <w:t>’</w:t>
      </w:r>
      <w:r w:rsidRPr="00513245">
        <w:t>) employee, worked as the captain of PFD's Car 959 unit (</w:t>
      </w:r>
      <w:r>
        <w:t>‘</w:t>
      </w:r>
      <w:r w:rsidRPr="00513245">
        <w:t>C959</w:t>
      </w:r>
      <w:r>
        <w:t>’</w:t>
      </w:r>
      <w:r w:rsidRPr="00513245">
        <w:t>) until he filed multiple grievances regarding overtime compensation and was then transferred. He filed a lawsuit against PFD and individual PFD-affiliated defendants, alleging they violated the Fair Labor Standards Act (</w:t>
      </w:r>
      <w:r>
        <w:t>‘</w:t>
      </w:r>
      <w:r w:rsidRPr="00513245">
        <w:t>FLSA</w:t>
      </w:r>
      <w:r>
        <w:t>’</w:t>
      </w:r>
      <w:r w:rsidRPr="00513245">
        <w:t>) by transferring him in retaliation for his grievances and refusing to pay overtime</w:t>
      </w:r>
      <w:r>
        <w:t xml:space="preserve">…. </w:t>
      </w:r>
      <w:r w:rsidRPr="00317B05">
        <w:t>The parties agree Johnson worked for PFD for over 27 years, serving as a captain since 2007 and captain paramedic for C959 beginning in 2018</w:t>
      </w:r>
      <w:r>
        <w:t xml:space="preserve">…. </w:t>
      </w:r>
      <w:r w:rsidRPr="00317B05">
        <w:t>During that time, he received positive performance evaluations and no documented complaints or disciplinary actions</w:t>
      </w:r>
      <w:r>
        <w:t xml:space="preserve"> … </w:t>
      </w:r>
      <w:r w:rsidRPr="00317B05">
        <w:t>though Phoenix alleges his behavior was unprofessional</w:t>
      </w:r>
      <w:r>
        <w:t xml:space="preserve"> … </w:t>
      </w:r>
      <w:r w:rsidRPr="00317B05">
        <w:t>(notes from meetings with hospital coordinators who criticized Johnson's behavior)</w:t>
      </w:r>
      <w:r>
        <w:rPr>
          <w:vertAlign w:val="superscript"/>
        </w:rPr>
        <w:t xml:space="preserve">. </w:t>
      </w:r>
      <w:r w:rsidRPr="00317B05">
        <w:t>In October 2021, C959 transitioned from a 56-hour workweek to a 40-hour workweek, a change that reduced Johnson's overtime opportunities</w:t>
      </w:r>
      <w:r>
        <w:t xml:space="preserve">…. </w:t>
      </w:r>
      <w:r w:rsidRPr="00317B05">
        <w:t>Employees could work standby shifts where they were paid $1.50 per hour to remain on call; if called out to a job, they would be paid overtime rates (one-and-a-half-times pay) for the duration of that call</w:t>
      </w:r>
      <w:r>
        <w:t xml:space="preserve">…. </w:t>
      </w:r>
      <w:r w:rsidRPr="00317B05">
        <w:t>On October 19, 2021, Johnson was working a standby shift when he was called out to manage a pathogen-exposure incident</w:t>
      </w:r>
      <w:r>
        <w:t xml:space="preserve">…. </w:t>
      </w:r>
      <w:r w:rsidRPr="00317B05">
        <w:t>He drove to the hospital and worked for around three hours, then returned home and made short phone calls to the hospital every few hours</w:t>
      </w:r>
      <w:r>
        <w:t xml:space="preserve">…. </w:t>
      </w:r>
      <w:r w:rsidRPr="00317B05">
        <w:t>A total of 12.75 hours passed between the incident's beginning and the end of Johnson's shift, and PFD determined he had worked overtime for 5.5 of those hours (for the hospital visit and phone calls) but was in standby status for the remainder</w:t>
      </w:r>
      <w:r>
        <w:t xml:space="preserve">…. </w:t>
      </w:r>
      <w:r w:rsidRPr="00317B05">
        <w:t>Johnson later filed two grievances alleging he was owed overtime for the entire 12.75-hour period</w:t>
      </w:r>
      <w:r>
        <w:t xml:space="preserve">…. </w:t>
      </w:r>
      <w:r w:rsidRPr="00317B05">
        <w:t>Those grievances were unsuccessful</w:t>
      </w:r>
      <w:r>
        <w:t xml:space="preserve">…. </w:t>
      </w:r>
      <w:r w:rsidRPr="00317B05">
        <w:t>Shortly afterwards, in February 2022, Johnson was notified he would be removed as C959 captain and reassigned or demoted into Operations due to unprofessional conduct</w:t>
      </w:r>
      <w:r>
        <w:t xml:space="preserve">…. </w:t>
      </w:r>
      <w:r w:rsidRPr="00317B05">
        <w:t xml:space="preserve">The parties agree Operations (a </w:t>
      </w:r>
      <w:r>
        <w:t>‘</w:t>
      </w:r>
      <w:r w:rsidRPr="00317B05">
        <w:t>roving pool</w:t>
      </w:r>
      <w:r>
        <w:t>’</w:t>
      </w:r>
      <w:r w:rsidRPr="00317B05">
        <w:t>) offered more overtime opportunities than the 40-hour C959 schedule, and Johnson subsequently took other roles on a 56-hour schedul</w:t>
      </w:r>
      <w:r>
        <w:t xml:space="preserve">e…. </w:t>
      </w:r>
      <w:r w:rsidRPr="004453F3">
        <w:t>The next month, he filed a charge of retaliation with the Department of Labor (</w:t>
      </w:r>
      <w:r>
        <w:t>‘</w:t>
      </w:r>
      <w:r w:rsidRPr="004453F3">
        <w:t>DOL</w:t>
      </w:r>
      <w:r>
        <w:t>’</w:t>
      </w:r>
      <w:r w:rsidRPr="004453F3">
        <w:t>), which investigated and found PFD had wrongfully removed Johnson from his captaincy because of his overtime grievances</w:t>
      </w:r>
      <w:r>
        <w:t xml:space="preserve">…. </w:t>
      </w:r>
      <w:r w:rsidRPr="004453F3">
        <w:t>During that investigation, PFD claimed it had removed Johnson due to business needs and prior complaints against him</w:t>
      </w:r>
      <w:r>
        <w:t xml:space="preserve">…. </w:t>
      </w:r>
      <w:r w:rsidRPr="004453F3">
        <w:t>The DOL investigation found no corroboration for those rationales and further determined PFD did not follow its disciplinary process during Johnson's removal</w:t>
      </w:r>
      <w:r>
        <w:t xml:space="preserve">…. </w:t>
      </w:r>
      <w:r w:rsidRPr="004453F3">
        <w:t>The report calculated his damages from that retaliation were $0.</w:t>
      </w:r>
    </w:p>
    <w:p w14:paraId="51831572" w14:textId="77777777" w:rsidR="0062797C" w:rsidRDefault="0062797C" w:rsidP="0062797C">
      <w:pPr>
        <w:pStyle w:val="NoSpacing"/>
      </w:pPr>
    </w:p>
    <w:p w14:paraId="2CDAA8D5" w14:textId="77777777" w:rsidR="0062797C" w:rsidRDefault="0062797C" w:rsidP="0062797C">
      <w:pPr>
        <w:pStyle w:val="NoSpacing"/>
      </w:pPr>
      <w:r>
        <w:t>***</w:t>
      </w:r>
    </w:p>
    <w:p w14:paraId="5B8BB4DD" w14:textId="77777777" w:rsidR="0062797C" w:rsidRDefault="0062797C" w:rsidP="0062797C">
      <w:pPr>
        <w:pStyle w:val="NoSpacing"/>
      </w:pPr>
    </w:p>
    <w:p w14:paraId="19A6790D" w14:textId="77777777" w:rsidR="0062797C" w:rsidRDefault="0062797C" w:rsidP="0062797C">
      <w:pPr>
        <w:pStyle w:val="NoSpacing"/>
      </w:pPr>
      <w:r w:rsidRPr="00AC714C">
        <w:t xml:space="preserve">Johnson has raised a dispute of material fact whether he suffered any monetary harm from his removal, so Phoenix's motion for summary judgment on that issue is denied as to Count 1. However, Johnson cannot pursue </w:t>
      </w:r>
      <w:proofErr w:type="gramStart"/>
      <w:r w:rsidRPr="00AC714C">
        <w:t>emotional distress</w:t>
      </w:r>
      <w:proofErr w:type="gramEnd"/>
      <w:r w:rsidRPr="00AC714C">
        <w:t xml:space="preserve"> damages on that count because he offered no facts supporting such damages. Summary judgment is granted as to Count 3, Johnson's overtime claim, and the court accepts Johnson's voluntary dismissal of Count 2.</w:t>
      </w:r>
      <w:r>
        <w:t>”</w:t>
      </w:r>
    </w:p>
    <w:p w14:paraId="227E9761" w14:textId="77777777" w:rsidR="0062797C" w:rsidRDefault="0062797C" w:rsidP="0062797C">
      <w:pPr>
        <w:pStyle w:val="NoSpacing"/>
      </w:pPr>
    </w:p>
    <w:p w14:paraId="6D822BCB" w14:textId="77777777" w:rsidR="0062797C" w:rsidRDefault="0062797C" w:rsidP="0062797C">
      <w:pPr>
        <w:pStyle w:val="NoSpacing"/>
      </w:pPr>
      <w:r>
        <w:rPr>
          <w:b/>
        </w:rPr>
        <w:t xml:space="preserve">Legal lesson learned: The retaliation claim will now proceed with pre-trial discovery. </w:t>
      </w:r>
    </w:p>
    <w:p w14:paraId="35D6F67E" w14:textId="77777777" w:rsidR="0062797C" w:rsidRDefault="0062797C" w:rsidP="0062797C">
      <w:pPr>
        <w:pStyle w:val="NoSpacing"/>
      </w:pPr>
    </w:p>
    <w:p w14:paraId="0F551E51" w14:textId="77777777" w:rsidR="0062797C" w:rsidRDefault="0062797C" w:rsidP="00020106">
      <w:pPr>
        <w:rPr>
          <w:rFonts w:ascii="Arial Black" w:hAnsi="Arial Black"/>
          <w:b/>
          <w:sz w:val="24"/>
          <w:szCs w:val="24"/>
        </w:rPr>
      </w:pPr>
    </w:p>
    <w:p w14:paraId="78F725FC" w14:textId="77777777" w:rsidR="0062797C" w:rsidRDefault="0062797C" w:rsidP="00020106">
      <w:pPr>
        <w:rPr>
          <w:rFonts w:ascii="Arial Black" w:hAnsi="Arial Black"/>
          <w:b/>
          <w:sz w:val="24"/>
          <w:szCs w:val="24"/>
        </w:rPr>
      </w:pPr>
    </w:p>
    <w:p w14:paraId="0CED0956" w14:textId="77777777" w:rsidR="0062797C" w:rsidRDefault="0062797C" w:rsidP="00020106">
      <w:pPr>
        <w:rPr>
          <w:rFonts w:ascii="Arial Black" w:hAnsi="Arial Black"/>
          <w:b/>
          <w:sz w:val="24"/>
          <w:szCs w:val="24"/>
        </w:rPr>
      </w:pPr>
    </w:p>
    <w:p w14:paraId="7200A2A0" w14:textId="2F788968" w:rsidR="00DD3D7A" w:rsidRDefault="00C5039F" w:rsidP="00020106">
      <w:pPr>
        <w:rPr>
          <w:rFonts w:ascii="Arial Black" w:hAnsi="Arial Black"/>
          <w:b/>
          <w:sz w:val="24"/>
          <w:szCs w:val="24"/>
        </w:rPr>
      </w:pPr>
      <w:r>
        <w:rPr>
          <w:rFonts w:ascii="Arial Black" w:hAnsi="Arial Black"/>
          <w:b/>
          <w:sz w:val="24"/>
          <w:szCs w:val="24"/>
        </w:rPr>
        <w:lastRenderedPageBreak/>
        <w:t>11-72</w:t>
      </w:r>
    </w:p>
    <w:p w14:paraId="6AC772CF" w14:textId="77777777" w:rsidR="00F53F21" w:rsidRPr="00FB7372" w:rsidRDefault="00F53F21" w:rsidP="00F53F21">
      <w:pPr>
        <w:pStyle w:val="NoSpacing"/>
        <w:rPr>
          <w:rFonts w:ascii="Arial Black" w:hAnsi="Arial Black"/>
          <w:sz w:val="28"/>
          <w:szCs w:val="28"/>
        </w:rPr>
      </w:pPr>
      <w:r>
        <w:rPr>
          <w:rFonts w:ascii="Arial Black" w:hAnsi="Arial Black"/>
          <w:sz w:val="28"/>
          <w:szCs w:val="28"/>
        </w:rPr>
        <w:t>IL: CITY’S CHANGE 24/48 SHIFT - CLASS ACTION DAMAGES</w:t>
      </w:r>
    </w:p>
    <w:p w14:paraId="008C55A1" w14:textId="77777777" w:rsidR="00F53F21" w:rsidRDefault="00F53F21" w:rsidP="00F53F21">
      <w:pPr>
        <w:pStyle w:val="NoSpacing"/>
      </w:pPr>
    </w:p>
    <w:p w14:paraId="22BDC0A8" w14:textId="77777777" w:rsidR="00F53F21" w:rsidRDefault="00F53F21" w:rsidP="00F53F21">
      <w:r>
        <w:t xml:space="preserve">On May 26, 2026, in </w:t>
      </w:r>
      <w:r w:rsidRPr="00266EFF">
        <w:rPr>
          <w:u w:val="single"/>
        </w:rPr>
        <w:t>East Chicago Professional Firefighters Local 365, et al. v. City of East Chicago, et al.</w:t>
      </w:r>
      <w:r>
        <w:t xml:space="preserve">, the Court of Appeals of Indiana held (3 to 0; unpublished decision) that the Indiana State Court Judge failed to send notice to all firefighters in a class action lawsuit for money damages. The state case is </w:t>
      </w:r>
      <w:proofErr w:type="gramStart"/>
      <w:r>
        <w:t>remanded</w:t>
      </w:r>
      <w:proofErr w:type="gramEnd"/>
      <w:r>
        <w:t xml:space="preserve"> to set damage award for 84 current and former firefighters who had their shift unilaterally changed on December 7, </w:t>
      </w:r>
      <w:proofErr w:type="gramStart"/>
      <w:r>
        <w:t>2019</w:t>
      </w:r>
      <w:proofErr w:type="gramEnd"/>
      <w:r>
        <w:t xml:space="preserve"> from 24/48 to rotating 8-hour days (off 24) and 8-hour nights (off 24 hours).  This unilateral change was spearheaded by </w:t>
      </w:r>
      <w:r w:rsidRPr="00BD274C">
        <w:t xml:space="preserve">Anthony Copeland, a former firefighter of twenty-six years, </w:t>
      </w:r>
      <w:r>
        <w:t xml:space="preserve">who </w:t>
      </w:r>
      <w:r w:rsidRPr="00BD274C">
        <w:t>was elected mayor of the City of East Chicago in 2010.</w:t>
      </w:r>
      <w:r>
        <w:t xml:space="preserve"> The union had previously won a federal injunction setting aside the shift change on March 28, 2022, which was upheld by United States Seventh </w:t>
      </w:r>
      <w:r w:rsidRPr="0097445E">
        <w:t>Circuit</w:t>
      </w:r>
      <w:r w:rsidRPr="00320051">
        <w:t xml:space="preserve"> </w:t>
      </w:r>
      <w:r>
        <w:t xml:space="preserve">on Dec. 21, 2022.  The Court wrote: “We conclude that the trial court erred as a matter of law by not directing the notice procedure to the members of the class who could be identified through reasonable effort.” </w:t>
      </w:r>
      <w:hyperlink r:id="rId1771" w:history="1">
        <w:r w:rsidRPr="00014504">
          <w:rPr>
            <w:rStyle w:val="Hyperlink"/>
            <w:b/>
          </w:rPr>
          <w:t>https://cases.justia.com/indiana/court-of-appeals/2026-25a-pl-01609.pdf?ts=1779819186</w:t>
        </w:r>
      </w:hyperlink>
    </w:p>
    <w:p w14:paraId="6494A53A" w14:textId="77777777" w:rsidR="00F53F21" w:rsidRDefault="00F53F21" w:rsidP="00F53F21">
      <w:pPr>
        <w:pStyle w:val="NoSpacing"/>
      </w:pPr>
      <w:r w:rsidRPr="00AB37D4">
        <w:rPr>
          <w:b/>
        </w:rPr>
        <w:t>FACTS:</w:t>
      </w:r>
      <w:r>
        <w:t xml:space="preserve"> </w:t>
      </w:r>
    </w:p>
    <w:p w14:paraId="35939041" w14:textId="77777777" w:rsidR="00F53F21" w:rsidRDefault="00F53F21" w:rsidP="00F53F21">
      <w:pPr>
        <w:pStyle w:val="NoSpacing"/>
      </w:pPr>
    </w:p>
    <w:p w14:paraId="7911D83D" w14:textId="77777777" w:rsidR="00F53F21" w:rsidRDefault="00F53F21" w:rsidP="00F53F21">
      <w:pPr>
        <w:pStyle w:val="NoSpacing"/>
      </w:pPr>
      <w:r>
        <w:t>“</w:t>
      </w:r>
      <w:r w:rsidRPr="00902CC0">
        <w:t>The Firefighters, who are eighty-four current and former East Chicago</w:t>
      </w:r>
      <w:r>
        <w:t xml:space="preserve"> </w:t>
      </w:r>
      <w:r w:rsidRPr="00902CC0">
        <w:t>firefighters, moved for class certification on June 23, 2022</w:t>
      </w:r>
      <w:r>
        <w:t xml:space="preserve">…. The trial court, in its July 29 [2022] Order, found that Trial Rule 23(B)(3) applied to the case and certified two damages classes: (1) firefighters employed by East Chicago from December 7, </w:t>
      </w:r>
      <w:proofErr w:type="gramStart"/>
      <w:r>
        <w:t>2019</w:t>
      </w:r>
      <w:proofErr w:type="gramEnd"/>
      <w:r>
        <w:t xml:space="preserve"> to present; and (2) firefighters employed by East Chicago in the year 2021. </w:t>
      </w:r>
    </w:p>
    <w:p w14:paraId="3CA19911" w14:textId="77777777" w:rsidR="00F53F21" w:rsidRDefault="00F53F21" w:rsidP="00F53F21">
      <w:pPr>
        <w:pStyle w:val="NoSpacing"/>
      </w:pPr>
    </w:p>
    <w:p w14:paraId="1E79F33A" w14:textId="77777777" w:rsidR="00F53F21" w:rsidRDefault="00F53F21" w:rsidP="00F53F21">
      <w:pPr>
        <w:pStyle w:val="NoSpacing"/>
      </w:pPr>
      <w:r>
        <w:t>***</w:t>
      </w:r>
    </w:p>
    <w:p w14:paraId="4774A793" w14:textId="77777777" w:rsidR="00F53F21" w:rsidRDefault="00F53F21" w:rsidP="00F53F21">
      <w:pPr>
        <w:pStyle w:val="NoSpacing"/>
      </w:pPr>
    </w:p>
    <w:p w14:paraId="614D9262" w14:textId="77777777" w:rsidR="00F53F21" w:rsidRDefault="00F53F21" w:rsidP="00F53F21">
      <w:pPr>
        <w:pStyle w:val="NoSpacing"/>
      </w:pPr>
      <w:r>
        <w:t>However, the court did not direct that formal notice of the class action and the options available to the purported class be given…. T</w:t>
      </w:r>
      <w:r w:rsidRPr="00952750">
        <w:t>he Firefighters argued against East Chicago’s suggestion of equitable</w:t>
      </w:r>
      <w:r>
        <w:t xml:space="preserve"> </w:t>
      </w:r>
      <w:r w:rsidRPr="00952750">
        <w:t>relief, stating that there was a legal remedy in the form of money damages.</w:t>
      </w:r>
    </w:p>
    <w:p w14:paraId="77F5AD96" w14:textId="77777777" w:rsidR="00F53F21" w:rsidRDefault="00F53F21" w:rsidP="00F53F21">
      <w:pPr>
        <w:pStyle w:val="NoSpacing"/>
      </w:pPr>
    </w:p>
    <w:p w14:paraId="27115A97" w14:textId="77777777" w:rsidR="00F53F21" w:rsidRDefault="00F53F21" w:rsidP="00F53F21">
      <w:pPr>
        <w:pStyle w:val="NoSpacing"/>
      </w:pPr>
      <w:r>
        <w:t>***</w:t>
      </w:r>
    </w:p>
    <w:p w14:paraId="5FCD1983" w14:textId="77777777" w:rsidR="00F53F21" w:rsidRDefault="00F53F21" w:rsidP="00F53F21">
      <w:pPr>
        <w:pStyle w:val="NoSpacing"/>
      </w:pPr>
      <w:r>
        <w:t xml:space="preserve">The court held a hearing to address The Firefighters’ Section 8 Petition , which sought further relief based on the court’s declaratory judgment entered on November 29, </w:t>
      </w:r>
      <w:proofErr w:type="gramStart"/>
      <w:r>
        <w:t>2023</w:t>
      </w:r>
      <w:proofErr w:type="gramEnd"/>
      <w:r>
        <w:t xml:space="preserve"> as to the statutory claim, in the form of compensatory damages, and explicitly stating injunctive relief was not being sought.”</w:t>
      </w:r>
    </w:p>
    <w:p w14:paraId="5A589B71" w14:textId="77777777" w:rsidR="00F53F21" w:rsidRPr="00AB37D4" w:rsidRDefault="00F53F21" w:rsidP="00F53F21">
      <w:pPr>
        <w:pStyle w:val="NoSpacing"/>
        <w:rPr>
          <w:b/>
          <w:bCs/>
        </w:rPr>
      </w:pPr>
    </w:p>
    <w:p w14:paraId="14502AA0" w14:textId="77777777" w:rsidR="00F53F21" w:rsidRDefault="00F53F21" w:rsidP="00F53F21">
      <w:pPr>
        <w:pStyle w:val="NoSpacing"/>
        <w:tabs>
          <w:tab w:val="left" w:pos="2580"/>
        </w:tabs>
      </w:pPr>
      <w:r w:rsidRPr="00AB37D4">
        <w:rPr>
          <w:b/>
        </w:rPr>
        <w:t>COURT HELD:</w:t>
      </w:r>
      <w:r>
        <w:t xml:space="preserve"> </w:t>
      </w:r>
    </w:p>
    <w:p w14:paraId="627FF72B" w14:textId="77777777" w:rsidR="00F53F21" w:rsidRDefault="00F53F21" w:rsidP="00F53F21">
      <w:pPr>
        <w:pStyle w:val="NoSpacing"/>
        <w:tabs>
          <w:tab w:val="left" w:pos="2580"/>
        </w:tabs>
      </w:pPr>
    </w:p>
    <w:p w14:paraId="623A0B8E" w14:textId="77777777" w:rsidR="00F53F21" w:rsidRDefault="00F53F21" w:rsidP="00F53F21">
      <w:pPr>
        <w:pStyle w:val="NoSpacing"/>
        <w:tabs>
          <w:tab w:val="left" w:pos="2580"/>
        </w:tabs>
        <w:rPr>
          <w:b/>
        </w:rPr>
      </w:pPr>
      <w:r>
        <w:t>“The Firefighters could not have anticipated that the trial court would proceed to final judgment prior to following the procedure for class actions, taking evidence or swearing in witnesses…. We conclude that the trial court erred as a matter of law by not directing the notice procedure to the members of the class who could be identified through reasonable effort. And because The Firefighters could not have anticipated the trial court would enter a final judgment without a trial or evidentiary hearing where witnesses were sworn and evidence was heard, they correctly brought the issue of lack of class notification to the trial court’s attention as soon as it was identifiable. Therefore, we remand this matter to the trial court for further proceedings.”</w:t>
      </w:r>
      <w:r w:rsidRPr="007920FB">
        <w:t xml:space="preserve"> </w:t>
      </w:r>
    </w:p>
    <w:p w14:paraId="67DA25BE" w14:textId="77777777" w:rsidR="00F53F21" w:rsidRDefault="00F53F21" w:rsidP="00F53F21">
      <w:pPr>
        <w:rPr>
          <w:b/>
        </w:rPr>
      </w:pPr>
    </w:p>
    <w:p w14:paraId="36E6DE17" w14:textId="77777777" w:rsidR="00F53F21" w:rsidRPr="00302C9C" w:rsidRDefault="00F53F21" w:rsidP="00F53F21">
      <w:pPr>
        <w:rPr>
          <w:b/>
        </w:rPr>
      </w:pPr>
      <w:r>
        <w:rPr>
          <w:b/>
        </w:rPr>
        <w:t xml:space="preserve">Legal lesson learned: City failed to collectively bargain the change in shift. </w:t>
      </w:r>
    </w:p>
    <w:p w14:paraId="51E2D9B1" w14:textId="77777777" w:rsidR="00F53F21" w:rsidRPr="0097445E" w:rsidRDefault="00F53F21" w:rsidP="00F53F21">
      <w:pPr>
        <w:rPr>
          <w:bCs/>
        </w:rPr>
      </w:pPr>
      <w:r>
        <w:rPr>
          <w:b/>
        </w:rPr>
        <w:tab/>
      </w:r>
      <w:r w:rsidRPr="0097445E">
        <w:t>Note:  See comments of the</w:t>
      </w:r>
      <w:r>
        <w:t xml:space="preserve"> United States Seventh </w:t>
      </w:r>
      <w:r w:rsidRPr="0097445E">
        <w:t>Circuit</w:t>
      </w:r>
      <w:r w:rsidRPr="00320051">
        <w:t xml:space="preserve"> </w:t>
      </w:r>
      <w:r>
        <w:t>on Dec. 21, 2022.</w:t>
      </w:r>
    </w:p>
    <w:p w14:paraId="06C64421" w14:textId="77777777" w:rsidR="00F53F21" w:rsidRDefault="00F53F21" w:rsidP="00F53F21">
      <w:pPr>
        <w:pStyle w:val="NoSpacing"/>
        <w:ind w:left="720"/>
      </w:pPr>
      <w:r>
        <w:t>“</w:t>
      </w:r>
      <w:r w:rsidRPr="0097445E">
        <w:t xml:space="preserve">No other fire department in the country has adopted the 8/24 schedule. Unlike the 24/48 system, where the firefighters are </w:t>
      </w:r>
      <w:proofErr w:type="gramStart"/>
      <w:r w:rsidRPr="0097445E">
        <w:t>on-duty</w:t>
      </w:r>
      <w:proofErr w:type="gramEnd"/>
      <w:r w:rsidRPr="0097445E">
        <w:t xml:space="preserve"> the same hours every day that they work, the 8/24 schedule assigns the firefighters to different shifts every day. A firefighter could, for example, work the day shift on one day, the night </w:t>
      </w:r>
      <w:proofErr w:type="gramStart"/>
      <w:r w:rsidRPr="0097445E">
        <w:t>shift</w:t>
      </w:r>
      <w:proofErr w:type="gramEnd"/>
      <w:r w:rsidRPr="0097445E">
        <w:t xml:space="preserve"> the next day, and the graveyard shift the day after. This rotating schedule wreaked havoc on the personal lives and </w:t>
      </w:r>
      <w:r w:rsidRPr="0097445E">
        <w:lastRenderedPageBreak/>
        <w:t>wellbeing of the firefighters, making it difficult—if not impossible—for the firefighters to manage their children's regular schedules and establish consistent sleep schedules. As a result, the firefighters experienced weight gain, lack of sleep, irritability, and trouble concentrating.</w:t>
      </w:r>
      <w:r>
        <w:t>”</w:t>
      </w:r>
      <w:r w:rsidRPr="000C0354">
        <w:t xml:space="preserve"> </w:t>
      </w:r>
      <w:hyperlink r:id="rId1772" w:history="1">
        <w:r w:rsidRPr="001B1815">
          <w:rPr>
            <w:rStyle w:val="Hyperlink"/>
          </w:rPr>
          <w:t>https://caselaw.findlaw.com/court/us-7th-circuit/2104932.html</w:t>
        </w:r>
      </w:hyperlink>
      <w:r>
        <w:t xml:space="preserve"> </w:t>
      </w:r>
    </w:p>
    <w:p w14:paraId="415D8447" w14:textId="77777777" w:rsidR="00F53F21" w:rsidRDefault="00F53F21" w:rsidP="00CD1F10">
      <w:pPr>
        <w:rPr>
          <w:rFonts w:ascii="Arial Black" w:hAnsi="Arial Black"/>
          <w:b/>
          <w:sz w:val="28"/>
          <w:szCs w:val="28"/>
        </w:rPr>
      </w:pPr>
    </w:p>
    <w:p w14:paraId="49FC2FED" w14:textId="77777777" w:rsidR="00F53F21" w:rsidRDefault="00F53F21" w:rsidP="00CD1F10">
      <w:pPr>
        <w:rPr>
          <w:rFonts w:ascii="Arial Black" w:hAnsi="Arial Black"/>
          <w:b/>
          <w:sz w:val="28"/>
          <w:szCs w:val="28"/>
        </w:rPr>
      </w:pPr>
    </w:p>
    <w:p w14:paraId="4866F1F7" w14:textId="3BA87E25" w:rsidR="0036420D" w:rsidRDefault="0036420D" w:rsidP="00CD1F10">
      <w:pPr>
        <w:rPr>
          <w:rFonts w:ascii="Arial Black" w:hAnsi="Arial Black"/>
          <w:b/>
          <w:sz w:val="28"/>
          <w:szCs w:val="28"/>
        </w:rPr>
      </w:pPr>
      <w:r>
        <w:rPr>
          <w:rFonts w:ascii="Arial Black" w:hAnsi="Arial Black"/>
          <w:b/>
          <w:sz w:val="28"/>
          <w:szCs w:val="28"/>
        </w:rPr>
        <w:t>11-71</w:t>
      </w:r>
    </w:p>
    <w:p w14:paraId="0AB687BE" w14:textId="3584F2E4" w:rsidR="00CD1F10" w:rsidRDefault="00CD1F10" w:rsidP="00CD1F10">
      <w:pPr>
        <w:rPr>
          <w:rFonts w:ascii="Arial Black" w:hAnsi="Arial Black"/>
          <w:b/>
          <w:sz w:val="28"/>
          <w:szCs w:val="28"/>
        </w:rPr>
      </w:pPr>
      <w:r>
        <w:rPr>
          <w:rFonts w:ascii="Arial Black" w:hAnsi="Arial Black"/>
          <w:b/>
          <w:sz w:val="28"/>
          <w:szCs w:val="28"/>
        </w:rPr>
        <w:t>NJ: OVERTIME CLASS ACTION – 24/72 – FF / CAPTAINS / BCs</w:t>
      </w:r>
    </w:p>
    <w:p w14:paraId="1782437E" w14:textId="77777777" w:rsidR="00CD1F10" w:rsidRDefault="00CD1F10" w:rsidP="00CD1F10">
      <w:pPr>
        <w:pStyle w:val="NoSpacing"/>
      </w:pPr>
      <w:r w:rsidRPr="0099625C">
        <w:t xml:space="preserve">On May 26, 2026, in </w:t>
      </w:r>
      <w:r w:rsidRPr="0099625C">
        <w:rPr>
          <w:u w:val="single"/>
        </w:rPr>
        <w:t>Adrian Evans, et al. v. City of Patterson</w:t>
      </w:r>
      <w:r>
        <w:t xml:space="preserve">, the </w:t>
      </w:r>
      <w:r w:rsidRPr="00BF791A">
        <w:t>Superior Court of New Jersey, Appellate Division</w:t>
      </w:r>
      <w:r>
        <w:t xml:space="preserve"> held (3 to 0) that trial court properly granted the firefighters’ motion for class certification concerning alleged violation of state overtime laws.  </w:t>
      </w:r>
      <w:r w:rsidRPr="00033CC1">
        <w:t>Plaintiffs claim they routinely worked over forty hours per week without receiving the statutorily required overtime payment for doing so.</w:t>
      </w:r>
      <w:r>
        <w:t xml:space="preserve"> THE COURT WROTE: “By admitting that over forty fire fighters were employed by the City since 2017, we conclude the amount of forty fire fighters satisfies the numerosity requirement as determined by the court and there was no abuse of discretion…. plaintiffs point to the certifications submitted showing that captains and battalion chiefs regularly performed firefighting duties and were paid full-time uniformed firefighters who were subject to the terms and conditions in the CBA.” </w:t>
      </w:r>
      <w:hyperlink r:id="rId1773" w:history="1">
        <w:r w:rsidRPr="007272C4">
          <w:rPr>
            <w:rStyle w:val="Hyperlink"/>
          </w:rPr>
          <w:t>https://www.njcourts.gov/system/files/court-opinions/2026/a1218-25.pdf</w:t>
        </w:r>
      </w:hyperlink>
      <w:r>
        <w:t xml:space="preserve"> </w:t>
      </w:r>
    </w:p>
    <w:p w14:paraId="7B63E67A" w14:textId="77777777" w:rsidR="00CD1F10" w:rsidRDefault="00CD1F10" w:rsidP="00CD1F10">
      <w:pPr>
        <w:pStyle w:val="NoSpacing"/>
      </w:pPr>
    </w:p>
    <w:p w14:paraId="428DCEE1" w14:textId="77777777" w:rsidR="00CD1F10" w:rsidRDefault="00CD1F10" w:rsidP="00CD1F10">
      <w:pPr>
        <w:pStyle w:val="NoSpacing"/>
      </w:pPr>
      <w:r>
        <w:t xml:space="preserve"> THE COURT HELD:</w:t>
      </w:r>
    </w:p>
    <w:p w14:paraId="5546719E" w14:textId="77777777" w:rsidR="00CD1F10" w:rsidRDefault="00CD1F10" w:rsidP="00CD1F10">
      <w:pPr>
        <w:pStyle w:val="NoSpacing"/>
      </w:pPr>
    </w:p>
    <w:p w14:paraId="0A81991D" w14:textId="77777777" w:rsidR="00CD1F10" w:rsidRDefault="00CD1F10" w:rsidP="00CD1F10">
      <w:pPr>
        <w:pStyle w:val="NoSpacing"/>
        <w:ind w:left="720"/>
      </w:pPr>
      <w:r>
        <w:t>“Under Article XII Section A of the above-referenced CBAs, the work schedule for the firefighters was as follows:</w:t>
      </w:r>
    </w:p>
    <w:p w14:paraId="28DB916D" w14:textId="77777777" w:rsidR="00CD1F10" w:rsidRDefault="00CD1F10" w:rsidP="00CD1F10">
      <w:pPr>
        <w:pStyle w:val="NoSpacing"/>
        <w:ind w:firstLine="720"/>
      </w:pPr>
    </w:p>
    <w:p w14:paraId="0A66DCAA" w14:textId="77777777" w:rsidR="00CD1F10" w:rsidRDefault="00CD1F10" w:rsidP="00CD1F10">
      <w:pPr>
        <w:pStyle w:val="NoSpacing"/>
        <w:ind w:left="720" w:firstLine="720"/>
      </w:pPr>
      <w:r>
        <w:t>For Firefighters not assigned to the Chief's office, the</w:t>
      </w:r>
    </w:p>
    <w:p w14:paraId="272C25F9" w14:textId="77777777" w:rsidR="00CD1F10" w:rsidRDefault="00CD1F10" w:rsidP="00CD1F10">
      <w:pPr>
        <w:pStyle w:val="NoSpacing"/>
        <w:ind w:left="720" w:firstLine="720"/>
      </w:pPr>
      <w:r>
        <w:t>work week schedule shall consist of twenty-four (24)</w:t>
      </w:r>
    </w:p>
    <w:p w14:paraId="63B98E7B" w14:textId="77777777" w:rsidR="00CD1F10" w:rsidRDefault="00CD1F10" w:rsidP="00CD1F10">
      <w:pPr>
        <w:pStyle w:val="NoSpacing"/>
        <w:ind w:left="720" w:firstLine="720"/>
      </w:pPr>
      <w:r>
        <w:t>hours on duty followed by seventy-two (72) hours off</w:t>
      </w:r>
    </w:p>
    <w:p w14:paraId="609BFA65" w14:textId="77777777" w:rsidR="00CD1F10" w:rsidRDefault="00CD1F10" w:rsidP="00CD1F10">
      <w:pPr>
        <w:pStyle w:val="NoSpacing"/>
        <w:ind w:left="720" w:firstLine="720"/>
      </w:pPr>
      <w:r>
        <w:t>duty followed by twenty-four (24) hours on duty</w:t>
      </w:r>
    </w:p>
    <w:p w14:paraId="5AE1DC3E" w14:textId="77777777" w:rsidR="00CD1F10" w:rsidRDefault="00CD1F10" w:rsidP="00CD1F10">
      <w:pPr>
        <w:pStyle w:val="NoSpacing"/>
        <w:ind w:left="720" w:firstLine="720"/>
      </w:pPr>
      <w:r>
        <w:t>followed by seventy-two (72) hours off duty, etc.</w:t>
      </w:r>
    </w:p>
    <w:p w14:paraId="25CB116A" w14:textId="77777777" w:rsidR="00CD1F10" w:rsidRDefault="00CD1F10" w:rsidP="00CD1F10">
      <w:pPr>
        <w:pStyle w:val="NoSpacing"/>
        <w:ind w:left="720" w:firstLine="720"/>
      </w:pPr>
    </w:p>
    <w:p w14:paraId="7A67CFA5" w14:textId="77777777" w:rsidR="00CD1F10" w:rsidRDefault="00CD1F10" w:rsidP="00CD1F10">
      <w:pPr>
        <w:ind w:firstLine="720"/>
      </w:pPr>
      <w:r>
        <w:t>Furthermore, Article XII Section C states:</w:t>
      </w:r>
    </w:p>
    <w:p w14:paraId="7B95D95C" w14:textId="77777777" w:rsidR="00CD1F10" w:rsidRDefault="00CD1F10" w:rsidP="00CD1F10">
      <w:pPr>
        <w:pStyle w:val="NoSpacing"/>
        <w:ind w:left="720" w:firstLine="720"/>
      </w:pPr>
      <w:r>
        <w:t xml:space="preserve">Any member </w:t>
      </w:r>
      <w:proofErr w:type="gramStart"/>
      <w:r>
        <w:t>[o]f this</w:t>
      </w:r>
      <w:proofErr w:type="gramEnd"/>
      <w:r>
        <w:t xml:space="preserve"> bargaining unit assigned to staff</w:t>
      </w:r>
    </w:p>
    <w:p w14:paraId="3EC09855" w14:textId="77777777" w:rsidR="00CD1F10" w:rsidRDefault="00CD1F10" w:rsidP="00CD1F10">
      <w:pPr>
        <w:pStyle w:val="NoSpacing"/>
        <w:ind w:left="720" w:firstLine="720"/>
      </w:pPr>
      <w:r>
        <w:t>positions shall receive the same wages and benefits as</w:t>
      </w:r>
    </w:p>
    <w:p w14:paraId="7DA0BCBB" w14:textId="77777777" w:rsidR="00CD1F10" w:rsidRDefault="00CD1F10" w:rsidP="00CD1F10">
      <w:pPr>
        <w:pStyle w:val="NoSpacing"/>
        <w:ind w:left="720" w:firstLine="720"/>
      </w:pPr>
      <w:r>
        <w:t>those members assigned to the forty-two (42) hour</w:t>
      </w:r>
    </w:p>
    <w:p w14:paraId="1A75598E" w14:textId="77777777" w:rsidR="00CD1F10" w:rsidRDefault="00CD1F10" w:rsidP="00CD1F10">
      <w:pPr>
        <w:pStyle w:val="NoSpacing"/>
        <w:ind w:left="720" w:firstLine="720"/>
      </w:pPr>
      <w:r>
        <w:t>work schedule.</w:t>
      </w:r>
    </w:p>
    <w:p w14:paraId="22F96DBC" w14:textId="77777777" w:rsidR="00CD1F10" w:rsidRDefault="00CD1F10" w:rsidP="00CD1F10">
      <w:pPr>
        <w:pStyle w:val="NoSpacing"/>
        <w:ind w:firstLine="720"/>
      </w:pPr>
    </w:p>
    <w:p w14:paraId="55F39445" w14:textId="77777777" w:rsidR="00CD1F10" w:rsidRDefault="00CD1F10" w:rsidP="00CD1F10">
      <w:pPr>
        <w:pStyle w:val="NoSpacing"/>
        <w:ind w:firstLine="720"/>
      </w:pPr>
      <w:r>
        <w:t>***</w:t>
      </w:r>
    </w:p>
    <w:p w14:paraId="7C8C0623" w14:textId="77777777" w:rsidR="00CD1F10" w:rsidRDefault="00CD1F10" w:rsidP="00CD1F10">
      <w:pPr>
        <w:pStyle w:val="NoSpacing"/>
        <w:ind w:firstLine="720"/>
      </w:pPr>
    </w:p>
    <w:p w14:paraId="22D45C36" w14:textId="77777777" w:rsidR="00CD1F10" w:rsidRDefault="00CD1F10" w:rsidP="00CD1F10">
      <w:pPr>
        <w:pStyle w:val="NoSpacing"/>
        <w:ind w:left="720"/>
      </w:pPr>
      <w:r>
        <w:t>In accordance with the deferential standard that applies, we conclude the trial court did not abuse its discretion in defining the class based on the evidence before it, including the factual bases in plaintiffs' complaint. Defendant's contentions are premature at this stage of the litigation because they venture beyond the factual assertions of the class set forth in the complaint and the submitted evidence, including the factual assertions deemed admitted based on defendant's failure to respond to plaintiffs' Requests for Admissions.”</w:t>
      </w:r>
    </w:p>
    <w:p w14:paraId="47E241E2" w14:textId="77777777" w:rsidR="00CD1F10" w:rsidRDefault="00CD1F10" w:rsidP="00CD1F10">
      <w:pPr>
        <w:pStyle w:val="NoSpacing"/>
        <w:ind w:firstLine="720"/>
      </w:pPr>
    </w:p>
    <w:p w14:paraId="4E0652C4" w14:textId="77777777" w:rsidR="00CD1F10" w:rsidRPr="00EB4967" w:rsidRDefault="00CD1F10" w:rsidP="00CD1F10">
      <w:pPr>
        <w:rPr>
          <w:b/>
          <w:bCs/>
        </w:rPr>
      </w:pPr>
      <w:r>
        <w:rPr>
          <w:b/>
        </w:rPr>
        <w:t xml:space="preserve">Legal lesson learned: Case will now proceed to pre-trial discovery. FLSA class actions can include both firefighters, Captains and other non-exempt officers.   </w:t>
      </w:r>
    </w:p>
    <w:p w14:paraId="34BB263B" w14:textId="77777777" w:rsidR="00CD1F10" w:rsidRDefault="00CD1F10" w:rsidP="00020106">
      <w:pPr>
        <w:rPr>
          <w:rFonts w:ascii="Arial Black" w:hAnsi="Arial Black"/>
          <w:b/>
          <w:sz w:val="24"/>
          <w:szCs w:val="24"/>
        </w:rPr>
      </w:pPr>
    </w:p>
    <w:p w14:paraId="1CD60C7F" w14:textId="77777777" w:rsidR="00CD1F10" w:rsidRDefault="00CD1F10" w:rsidP="001F5522">
      <w:pPr>
        <w:rPr>
          <w:rFonts w:ascii="Arial Black" w:hAnsi="Arial Black"/>
          <w:b/>
          <w:sz w:val="24"/>
          <w:szCs w:val="24"/>
        </w:rPr>
      </w:pPr>
    </w:p>
    <w:p w14:paraId="4E103749" w14:textId="77777777" w:rsidR="00CD1F10" w:rsidRDefault="00CD1F10" w:rsidP="001F5522">
      <w:pPr>
        <w:rPr>
          <w:rFonts w:ascii="Arial Black" w:hAnsi="Arial Black"/>
          <w:b/>
          <w:sz w:val="24"/>
          <w:szCs w:val="24"/>
        </w:rPr>
      </w:pPr>
    </w:p>
    <w:p w14:paraId="48D477CA" w14:textId="77777777" w:rsidR="00CD1F10" w:rsidRDefault="00CD1F10" w:rsidP="001F5522">
      <w:pPr>
        <w:rPr>
          <w:rFonts w:ascii="Arial Black" w:hAnsi="Arial Black"/>
          <w:b/>
          <w:sz w:val="24"/>
          <w:szCs w:val="24"/>
        </w:rPr>
      </w:pPr>
    </w:p>
    <w:p w14:paraId="45B79AE2" w14:textId="5F25D11F" w:rsidR="001F5522" w:rsidRDefault="001F5522" w:rsidP="001F5522">
      <w:pPr>
        <w:rPr>
          <w:rFonts w:ascii="Arial Black" w:hAnsi="Arial Black"/>
          <w:b/>
          <w:sz w:val="24"/>
          <w:szCs w:val="24"/>
        </w:rPr>
      </w:pPr>
      <w:r>
        <w:rPr>
          <w:rFonts w:ascii="Arial Black" w:hAnsi="Arial Black"/>
          <w:b/>
          <w:sz w:val="24"/>
          <w:szCs w:val="24"/>
        </w:rPr>
        <w:t>11-70</w:t>
      </w:r>
    </w:p>
    <w:p w14:paraId="32B19981" w14:textId="77777777" w:rsidR="009C7749" w:rsidRPr="004441F2" w:rsidRDefault="009C7749" w:rsidP="009C7749">
      <w:pPr>
        <w:pStyle w:val="NoSpacing"/>
        <w:rPr>
          <w:rFonts w:ascii="Arial Black" w:hAnsi="Arial Black"/>
          <w:sz w:val="28"/>
          <w:szCs w:val="28"/>
        </w:rPr>
      </w:pPr>
      <w:r>
        <w:rPr>
          <w:rFonts w:ascii="Arial Black" w:hAnsi="Arial Black"/>
          <w:sz w:val="28"/>
          <w:szCs w:val="28"/>
        </w:rPr>
        <w:t xml:space="preserve">CA: FLSA - EMS VARIOUS BONUSES – NO CLASS ACTION </w:t>
      </w:r>
    </w:p>
    <w:p w14:paraId="625AB2C4" w14:textId="77777777" w:rsidR="009C7749" w:rsidRDefault="009C7749" w:rsidP="009C7749">
      <w:pPr>
        <w:pStyle w:val="NoSpacing"/>
      </w:pPr>
    </w:p>
    <w:p w14:paraId="4C88FF4A" w14:textId="77777777" w:rsidR="009C7749" w:rsidRDefault="009C7749" w:rsidP="009C7749">
      <w:pPr>
        <w:pStyle w:val="NoSpacing"/>
      </w:pPr>
      <w:r>
        <w:t xml:space="preserve">On April 21, 2026, in </w:t>
      </w:r>
      <w:r w:rsidRPr="003C18D7">
        <w:rPr>
          <w:u w:val="single"/>
        </w:rPr>
        <w:t xml:space="preserve">Adam N. Martinez v. Sierra </w:t>
      </w:r>
      <w:proofErr w:type="spellStart"/>
      <w:r w:rsidRPr="003C18D7">
        <w:rPr>
          <w:u w:val="single"/>
        </w:rPr>
        <w:t>Lifestar</w:t>
      </w:r>
      <w:proofErr w:type="spellEnd"/>
      <w:r w:rsidRPr="003C18D7">
        <w:rPr>
          <w:u w:val="single"/>
        </w:rPr>
        <w:t>, Inc.</w:t>
      </w:r>
      <w:r>
        <w:t xml:space="preserve">, the </w:t>
      </w:r>
      <w:r w:rsidRPr="003C18D7">
        <w:t>California Court of Appeals, Fifth District</w:t>
      </w:r>
      <w:r>
        <w:t xml:space="preserve"> held (3 to 0) that trial court should reconsider allowing lawsuit to proceed as a class action on behalf of 135 paramedics and EMTs who received various types of bonuses.  Plaintiff, for example, received a $100 bonus given to all EMTs employed during </w:t>
      </w:r>
      <w:r w:rsidRPr="003B0089">
        <w:t>Emergency Medical Services Week</w:t>
      </w:r>
      <w:r>
        <w:t xml:space="preserve"> (3</w:t>
      </w:r>
      <w:r w:rsidRPr="003B0089">
        <w:rPr>
          <w:vertAlign w:val="superscript"/>
        </w:rPr>
        <w:t>rd</w:t>
      </w:r>
      <w:r>
        <w:t xml:space="preserve"> week of </w:t>
      </w:r>
      <w:proofErr w:type="gramStart"/>
      <w:r>
        <w:t>May,</w:t>
      </w:r>
      <w:proofErr w:type="gramEnd"/>
      <w:r>
        <w:t xml:space="preserve"> 2025).  Under state law and the FLSA, only “nondiscretionary” bonuses must be calculated into employee regular rate of pay for overtime pay. </w:t>
      </w:r>
      <w:hyperlink r:id="rId1774" w:history="1">
        <w:r w:rsidRPr="00072B77">
          <w:rPr>
            <w:rStyle w:val="Hyperlink"/>
          </w:rPr>
          <w:t>https://cases.justia.com/california/court-of-appeal/2026-f089576.pdf?ts=1776802194</w:t>
        </w:r>
      </w:hyperlink>
      <w:r>
        <w:t xml:space="preserve"> </w:t>
      </w:r>
    </w:p>
    <w:p w14:paraId="3EB69DEA" w14:textId="77777777" w:rsidR="009C7749" w:rsidRPr="000F317A" w:rsidRDefault="009C7749" w:rsidP="009C7749">
      <w:pPr>
        <w:pStyle w:val="NoSpacing"/>
        <w:rPr>
          <w:b/>
        </w:rPr>
      </w:pPr>
    </w:p>
    <w:p w14:paraId="7ED4E049" w14:textId="77777777" w:rsidR="009C7749" w:rsidRPr="003C18D7" w:rsidRDefault="009C7749" w:rsidP="009C7749">
      <w:pPr>
        <w:pStyle w:val="NoSpacing"/>
        <w:rPr>
          <w:bCs/>
        </w:rPr>
      </w:pPr>
      <w:r>
        <w:t>THE COURT HELD:</w:t>
      </w:r>
    </w:p>
    <w:p w14:paraId="47AD5F42" w14:textId="77777777" w:rsidR="009C7749" w:rsidRDefault="009C7749" w:rsidP="009C7749">
      <w:pPr>
        <w:pStyle w:val="NoSpacing"/>
      </w:pPr>
    </w:p>
    <w:p w14:paraId="612C41DD" w14:textId="77777777" w:rsidR="009C7749" w:rsidRDefault="009C7749" w:rsidP="009C7749">
      <w:pPr>
        <w:pStyle w:val="NoSpacing"/>
        <w:ind w:left="720"/>
      </w:pPr>
      <w:r>
        <w:t>“Accordingly, in general terms, the legal theory for Martinez’s claim is the same as the legal theory for the class members’ claims—that is, the regular rate of pay used to</w:t>
      </w:r>
    </w:p>
    <w:p w14:paraId="79E7A1C9" w14:textId="77777777" w:rsidR="009C7749" w:rsidRDefault="009C7749" w:rsidP="009C7749">
      <w:pPr>
        <w:pStyle w:val="NoSpacing"/>
        <w:ind w:firstLine="720"/>
      </w:pPr>
      <w:proofErr w:type="gramStart"/>
      <w:r>
        <w:t>calculate</w:t>
      </w:r>
      <w:proofErr w:type="gramEnd"/>
      <w:r>
        <w:t xml:space="preserve"> overtime, double time, and premium pay owed to each employee was</w:t>
      </w:r>
    </w:p>
    <w:p w14:paraId="46368871" w14:textId="77777777" w:rsidR="009C7749" w:rsidRDefault="009C7749" w:rsidP="009C7749">
      <w:pPr>
        <w:pStyle w:val="NoSpacing"/>
        <w:ind w:firstLine="720"/>
      </w:pPr>
      <w:r>
        <w:t>understated because the rate of pay did not include one or more nondiscretionary bonuses</w:t>
      </w:r>
    </w:p>
    <w:p w14:paraId="351D2A99" w14:textId="77777777" w:rsidR="009C7749" w:rsidRDefault="009C7749" w:rsidP="009C7749">
      <w:pPr>
        <w:pStyle w:val="NoSpacing"/>
        <w:ind w:firstLine="720"/>
      </w:pPr>
      <w:r>
        <w:t>paid to the employee.</w:t>
      </w:r>
    </w:p>
    <w:p w14:paraId="3AF7F75D" w14:textId="77777777" w:rsidR="009C7749" w:rsidRDefault="009C7749" w:rsidP="009C7749">
      <w:pPr>
        <w:pStyle w:val="NoSpacing"/>
        <w:ind w:firstLine="720"/>
      </w:pPr>
    </w:p>
    <w:p w14:paraId="55D98513" w14:textId="77777777" w:rsidR="009C7749" w:rsidRDefault="009C7749" w:rsidP="009C7749">
      <w:pPr>
        <w:pStyle w:val="NoSpacing"/>
        <w:ind w:firstLine="720"/>
      </w:pPr>
      <w:r>
        <w:t>***</w:t>
      </w:r>
    </w:p>
    <w:p w14:paraId="14D2FF06" w14:textId="77777777" w:rsidR="009C7749" w:rsidRDefault="009C7749" w:rsidP="009C7749">
      <w:pPr>
        <w:pStyle w:val="NoSpacing"/>
        <w:ind w:left="720"/>
      </w:pPr>
      <w:r>
        <w:t xml:space="preserve">Martinez proposed a ‘regular rate </w:t>
      </w:r>
      <w:proofErr w:type="spellStart"/>
      <w:r>
        <w:t>class’</w:t>
      </w:r>
      <w:proofErr w:type="spellEnd"/>
      <w:r>
        <w:t xml:space="preserve"> consisting of current and former employees who were paid overtime and premium pay and also were paid nondiscretionary bonuses described as (1) Bonus, (2) Clerical Bonus, (3) Clerical Training Bonus, (4) EMS Bonus, (5) Lead Bonus, (6) Manager Bonus, (7) Paramedic Bonus, (8) Preceptor EMT Bonus, (9) Preceptor Paramedic Bonus, and (10) Sign-On Bonus.</w:t>
      </w:r>
    </w:p>
    <w:p w14:paraId="7D8E49D7" w14:textId="77777777" w:rsidR="009C7749" w:rsidRDefault="009C7749" w:rsidP="009C7749">
      <w:pPr>
        <w:pStyle w:val="NoSpacing"/>
        <w:ind w:left="720"/>
      </w:pPr>
    </w:p>
    <w:p w14:paraId="56B3B3F1" w14:textId="77777777" w:rsidR="009C7749" w:rsidRDefault="009C7749" w:rsidP="009C7749">
      <w:pPr>
        <w:pStyle w:val="NoSpacing"/>
        <w:ind w:left="720"/>
      </w:pPr>
      <w:r>
        <w:t>***</w:t>
      </w:r>
    </w:p>
    <w:p w14:paraId="470B01B0" w14:textId="77777777" w:rsidR="009C7749" w:rsidRDefault="009C7749" w:rsidP="009C7749">
      <w:pPr>
        <w:pStyle w:val="NoSpacing"/>
        <w:ind w:left="720"/>
      </w:pPr>
    </w:p>
    <w:p w14:paraId="0C4C8E50" w14:textId="77777777" w:rsidR="009C7749" w:rsidRDefault="009C7749" w:rsidP="009C7749">
      <w:pPr>
        <w:pStyle w:val="NoSpacing"/>
        <w:ind w:left="720"/>
      </w:pPr>
      <w:r>
        <w:t xml:space="preserve">We conclude the trial court committed legal error in its analysis of whether a unique defense defeated the typicality of Martinez’s claim. </w:t>
      </w:r>
      <w:proofErr w:type="spellStart"/>
      <w:r>
        <w:t>Lifestar’s</w:t>
      </w:r>
      <w:proofErr w:type="spellEnd"/>
      <w:r>
        <w:t xml:space="preserve"> arguments that</w:t>
      </w:r>
    </w:p>
    <w:p w14:paraId="6FFC5093" w14:textId="77777777" w:rsidR="009C7749" w:rsidRDefault="009C7749" w:rsidP="009C7749">
      <w:pPr>
        <w:pStyle w:val="NoSpacing"/>
        <w:ind w:firstLine="720"/>
      </w:pPr>
      <w:r>
        <w:t>Martinez’s EMS Bonus was properly excluded from his regular rate of pay because it was</w:t>
      </w:r>
    </w:p>
    <w:p w14:paraId="3DAC1C7A" w14:textId="77777777" w:rsidR="009C7749" w:rsidRDefault="009C7749" w:rsidP="009C7749">
      <w:pPr>
        <w:pStyle w:val="NoSpacing"/>
        <w:ind w:firstLine="720"/>
      </w:pPr>
      <w:proofErr w:type="gramStart"/>
      <w:r>
        <w:t>in the nature of a</w:t>
      </w:r>
      <w:proofErr w:type="gramEnd"/>
      <w:r>
        <w:t xml:space="preserve"> gift, was discretionary, or both, are not unique to Martinez. Those</w:t>
      </w:r>
    </w:p>
    <w:p w14:paraId="0ECD3E94" w14:textId="77777777" w:rsidR="009C7749" w:rsidRDefault="009C7749" w:rsidP="009C7749">
      <w:pPr>
        <w:pStyle w:val="NoSpacing"/>
        <w:ind w:firstLine="720"/>
      </w:pPr>
      <w:r>
        <w:t xml:space="preserve">arguments apply to all EMS Bonuses paid to </w:t>
      </w:r>
      <w:proofErr w:type="spellStart"/>
      <w:r>
        <w:t>Lifestar’s</w:t>
      </w:r>
      <w:proofErr w:type="spellEnd"/>
      <w:r>
        <w:t xml:space="preserve"> other employees for National</w:t>
      </w:r>
    </w:p>
    <w:p w14:paraId="72E66777" w14:textId="77777777" w:rsidR="009C7749" w:rsidRDefault="009C7749" w:rsidP="009C7749">
      <w:pPr>
        <w:pStyle w:val="NoSpacing"/>
        <w:ind w:firstLine="720"/>
      </w:pPr>
      <w:r>
        <w:t>Emergency Medical Services Week and, therefore, are not unique to Martinez.”</w:t>
      </w:r>
    </w:p>
    <w:p w14:paraId="0C1C26D0" w14:textId="77777777" w:rsidR="009C7749" w:rsidRDefault="009C7749" w:rsidP="009C7749">
      <w:pPr>
        <w:pStyle w:val="NoSpacing"/>
        <w:ind w:firstLine="720"/>
      </w:pPr>
    </w:p>
    <w:p w14:paraId="2F09A04D" w14:textId="77777777" w:rsidR="009C7749" w:rsidRDefault="009C7749" w:rsidP="009C7749">
      <w:pPr>
        <w:pStyle w:val="NoSpacing"/>
        <w:rPr>
          <w:b/>
          <w:bCs/>
        </w:rPr>
      </w:pPr>
      <w:r>
        <w:rPr>
          <w:b/>
        </w:rPr>
        <w:t xml:space="preserve">Legal lesson learned: The trial court judge must now re-consider plaintiff’s motion for class certification; bonuses that are “discretionary” do not impact regular rate of pay. </w:t>
      </w:r>
    </w:p>
    <w:p w14:paraId="1F57804B" w14:textId="77777777" w:rsidR="009C7749" w:rsidRDefault="009C7749" w:rsidP="009C7749">
      <w:pPr>
        <w:pStyle w:val="NoSpacing"/>
        <w:rPr>
          <w:b/>
          <w:bCs/>
        </w:rPr>
      </w:pPr>
    </w:p>
    <w:p w14:paraId="7AE17A4F" w14:textId="77777777" w:rsidR="009C7749" w:rsidRDefault="009C7749" w:rsidP="009C7749">
      <w:pPr>
        <w:pStyle w:val="NoSpacing"/>
        <w:ind w:left="720"/>
      </w:pPr>
      <w:r w:rsidRPr="00257720">
        <w:t xml:space="preserve">Note: See U.S. Department of Labor, Wage &amp; Hour Division - Fact Sheet #56C: Bonuses under the Fair Labor Standards Act (FLSA); December 2019. </w:t>
      </w:r>
      <w:hyperlink r:id="rId1775" w:history="1">
        <w:r w:rsidRPr="00257720">
          <w:rPr>
            <w:rStyle w:val="Hyperlink"/>
          </w:rPr>
          <w:t>https://www.dol.gov/agencies/whd/fact-sheets/56c-bonuses</w:t>
        </w:r>
      </w:hyperlink>
      <w:r w:rsidRPr="00257720">
        <w:t xml:space="preserve"> </w:t>
      </w:r>
    </w:p>
    <w:p w14:paraId="371E2A53" w14:textId="77777777" w:rsidR="009C7749" w:rsidRDefault="009C7749" w:rsidP="009C7749">
      <w:pPr>
        <w:pStyle w:val="NoSpacing"/>
        <w:ind w:left="720"/>
      </w:pPr>
    </w:p>
    <w:p w14:paraId="1B4A9549" w14:textId="77777777" w:rsidR="009C7749" w:rsidRPr="00BD4117" w:rsidRDefault="009C7749" w:rsidP="009C7749">
      <w:pPr>
        <w:pStyle w:val="NoSpacing"/>
        <w:ind w:left="720"/>
      </w:pPr>
      <w:r>
        <w:t>“</w:t>
      </w:r>
      <w:r w:rsidRPr="00BD4117">
        <w:t xml:space="preserve">Discretionary bonuses are excludable from the regular rate of pay.  A bonus is discretionary only if all the statutory requirements are met: </w:t>
      </w:r>
    </w:p>
    <w:p w14:paraId="174DD0E9" w14:textId="77777777" w:rsidR="009C7749" w:rsidRPr="00BD4117" w:rsidRDefault="009C7749" w:rsidP="009C7749">
      <w:pPr>
        <w:pStyle w:val="NoSpacing"/>
        <w:numPr>
          <w:ilvl w:val="0"/>
          <w:numId w:val="41"/>
        </w:numPr>
      </w:pPr>
      <w:r w:rsidRPr="00BD4117">
        <w:t xml:space="preserve">The employer has the sole discretion, until at or near the end of the period that corresponds to the bonus, to determine whether to pay the bonus; </w:t>
      </w:r>
    </w:p>
    <w:p w14:paraId="1F5447C0" w14:textId="77777777" w:rsidR="009C7749" w:rsidRPr="00BD4117" w:rsidRDefault="009C7749" w:rsidP="009C7749">
      <w:pPr>
        <w:pStyle w:val="NoSpacing"/>
        <w:numPr>
          <w:ilvl w:val="0"/>
          <w:numId w:val="41"/>
        </w:numPr>
      </w:pPr>
      <w:r w:rsidRPr="00BD4117">
        <w:t xml:space="preserve">The employer has the sole discretion, until at or near the end of the period that corresponds to the bonus, to determine the amount of the bonus; and </w:t>
      </w:r>
    </w:p>
    <w:p w14:paraId="7F5140B3" w14:textId="77777777" w:rsidR="009C7749" w:rsidRPr="00BD4117" w:rsidRDefault="009C7749" w:rsidP="009C7749">
      <w:pPr>
        <w:pStyle w:val="NoSpacing"/>
        <w:numPr>
          <w:ilvl w:val="0"/>
          <w:numId w:val="41"/>
        </w:numPr>
      </w:pPr>
      <w:r w:rsidRPr="00BD4117">
        <w:lastRenderedPageBreak/>
        <w:t>The bonus payment is not made according to any prior contract, agreement, or promise causing an employee to expect such payments regularly.</w:t>
      </w:r>
      <w:r>
        <w:t>”</w:t>
      </w:r>
    </w:p>
    <w:p w14:paraId="6B2C1CD1" w14:textId="77777777" w:rsidR="009C7749" w:rsidRPr="00257720" w:rsidRDefault="009C7749" w:rsidP="009C7749">
      <w:pPr>
        <w:pStyle w:val="NoSpacing"/>
        <w:ind w:left="720"/>
      </w:pPr>
    </w:p>
    <w:p w14:paraId="632FDE22" w14:textId="4513BF3C" w:rsidR="001F5522" w:rsidRDefault="001F5522" w:rsidP="001F5522">
      <w:pPr>
        <w:rPr>
          <w:rFonts w:ascii="Arial Black" w:hAnsi="Arial Black"/>
          <w:b/>
          <w:sz w:val="24"/>
          <w:szCs w:val="24"/>
        </w:rPr>
      </w:pPr>
      <w:r>
        <w:rPr>
          <w:rFonts w:ascii="Arial Black" w:hAnsi="Arial Black"/>
          <w:b/>
          <w:sz w:val="24"/>
          <w:szCs w:val="24"/>
        </w:rPr>
        <w:t>11-69</w:t>
      </w:r>
    </w:p>
    <w:p w14:paraId="79984F87" w14:textId="77777777" w:rsidR="001F5522" w:rsidRDefault="001F5522" w:rsidP="001F5522">
      <w:pPr>
        <w:pStyle w:val="NoSpacing"/>
        <w:rPr>
          <w:rFonts w:ascii="Arial Black" w:hAnsi="Arial Black"/>
          <w:b/>
          <w:sz w:val="28"/>
          <w:szCs w:val="28"/>
        </w:rPr>
      </w:pPr>
    </w:p>
    <w:p w14:paraId="52411DBB" w14:textId="2444AC72" w:rsidR="001F5522" w:rsidRDefault="001F5522" w:rsidP="001F5522">
      <w:pPr>
        <w:pStyle w:val="NoSpacing"/>
        <w:rPr>
          <w:rFonts w:ascii="Arial Black" w:hAnsi="Arial Black"/>
          <w:b/>
          <w:sz w:val="28"/>
          <w:szCs w:val="28"/>
        </w:rPr>
      </w:pPr>
      <w:r>
        <w:rPr>
          <w:rFonts w:ascii="Arial Black" w:hAnsi="Arial Black"/>
          <w:b/>
          <w:sz w:val="28"/>
          <w:szCs w:val="28"/>
        </w:rPr>
        <w:t xml:space="preserve">WA: USERRA - 5 YRS RE-EMPLOYMENT / IF RETURNING  </w:t>
      </w:r>
    </w:p>
    <w:p w14:paraId="271E80AD" w14:textId="77777777" w:rsidR="001F5522" w:rsidRDefault="001F5522" w:rsidP="001F5522">
      <w:pPr>
        <w:pStyle w:val="NoSpacing"/>
        <w:rPr>
          <w:bCs/>
        </w:rPr>
      </w:pPr>
    </w:p>
    <w:p w14:paraId="583B3C58" w14:textId="77777777" w:rsidR="001F5522" w:rsidRDefault="001F5522" w:rsidP="001F5522">
      <w:pPr>
        <w:pStyle w:val="NoSpacing"/>
        <w:rPr>
          <w:b/>
        </w:rPr>
      </w:pPr>
      <w:r>
        <w:t xml:space="preserve">On April 17, 2026, in </w:t>
      </w:r>
      <w:r w:rsidRPr="00BF3EFE">
        <w:rPr>
          <w:u w:val="single"/>
        </w:rPr>
        <w:t>Travis Bearden v. City of Ocean Shores</w:t>
      </w:r>
      <w:r>
        <w:t xml:space="preserve">, U.S. District Court Judge Benjamin H. Settle, United States District Court for the Western District of Washington, Tacoma held that the firefighter not entitled to summary judgment since no evidence he ever intends to return to FD. He last worked at FD in August 2020, and under USERRA he has reemployment rights if on leave max of 5 cumulative years.  The firefighter claims he is entitled to 21-day military pay for each fiscal year </w:t>
      </w:r>
      <w:r w:rsidRPr="00CC5A8F">
        <w:t>from 2020 “through the present day.”</w:t>
      </w:r>
      <w:r>
        <w:t xml:space="preserve"> The city </w:t>
      </w:r>
      <w:r w:rsidRPr="00B169AB">
        <w:t xml:space="preserve">disputes that Bearden is entitled to paid military leave for the following fiscal years, 2021-2026, arguing he cannot establish as a matter of law that he remained and remains a </w:t>
      </w:r>
      <w:proofErr w:type="gramStart"/>
      <w:r w:rsidRPr="00B169AB">
        <w:t>City</w:t>
      </w:r>
      <w:proofErr w:type="gramEnd"/>
      <w:r w:rsidRPr="00B169AB">
        <w:t xml:space="preserve"> employee.</w:t>
      </w:r>
      <w:r>
        <w:t xml:space="preserve"> The firefighter claims he is still employed by the </w:t>
      </w:r>
      <w:proofErr w:type="gramStart"/>
      <w:r>
        <w:t>City</w:t>
      </w:r>
      <w:proofErr w:type="gramEnd"/>
      <w:r>
        <w:t>.  Judge Settle doubts this claim - “</w:t>
      </w:r>
      <w:r w:rsidRPr="005D6FAC">
        <w:t xml:space="preserve">the record contains no statement or assertion that he currently </w:t>
      </w:r>
      <w:r w:rsidRPr="005D6FAC">
        <w:rPr>
          <w:i/>
          <w:iCs/>
        </w:rPr>
        <w:t>is</w:t>
      </w:r>
      <w:r w:rsidRPr="005D6FAC">
        <w:t xml:space="preserve"> an employee. Bearden provides no evidence supporting the conclusion that due to his </w:t>
      </w:r>
      <w:proofErr w:type="gramStart"/>
      <w:r w:rsidRPr="005D6FAC">
        <w:t>active duty</w:t>
      </w:r>
      <w:proofErr w:type="gramEnd"/>
      <w:r w:rsidRPr="005D6FAC">
        <w:t xml:space="preserve"> military commitments, he was unable to work for the </w:t>
      </w:r>
      <w:proofErr w:type="gramStart"/>
      <w:r w:rsidRPr="005D6FAC">
        <w:t>City</w:t>
      </w:r>
      <w:proofErr w:type="gramEnd"/>
      <w:r w:rsidRPr="005D6FAC">
        <w:t>, at all, over the past five years</w:t>
      </w:r>
      <w:r>
        <w:t xml:space="preserve">…. </w:t>
      </w:r>
      <w:r w:rsidRPr="005D33E8">
        <w:t>The parties should work in good faith to resolve the damages owed for the conceded period</w:t>
      </w:r>
      <w:r>
        <w:t xml:space="preserve"> (August 20, 2020 to May 2021).”</w:t>
      </w:r>
      <w:hyperlink r:id="rId1776" w:history="1">
        <w:r w:rsidRPr="00A77E89">
          <w:rPr>
            <w:rStyle w:val="Hyperlink"/>
            <w:b/>
          </w:rPr>
          <w:t>https://public.fastcase.com/Jhe1Qn%2BmJndQYQU6z%2FeNm2MBH8jjZypB1KxY%2B3GJWtt3pU7LQ0HG1TD%2BuEAPjcSSqkB%2F2Yca8lDVABp6qaMHSj5ZnKz4h2BUwQ71QZi85m8%3D?utm_medium=email&amp;_hsenc=p2ANqtz-_R5GvzVgy1X05e_vCvuMC9Q5e35U1J1WERhCn0fZcvatolnFVOIwTcjgpntEVG0Zn0QYI5aNrPmOIXD_9eLdzthe8Iwg&amp;_hsmi=226712652&amp;utm_content=226712652&amp;utm_source=hs_email</w:t>
        </w:r>
      </w:hyperlink>
      <w:r>
        <w:rPr>
          <w:b/>
        </w:rPr>
        <w:t xml:space="preserve"> </w:t>
      </w:r>
    </w:p>
    <w:p w14:paraId="7386F174" w14:textId="77777777" w:rsidR="001F5522" w:rsidRDefault="001F5522" w:rsidP="001F5522">
      <w:pPr>
        <w:pStyle w:val="NoSpacing"/>
        <w:rPr>
          <w:b/>
        </w:rPr>
      </w:pPr>
    </w:p>
    <w:p w14:paraId="1AE9E827" w14:textId="77777777" w:rsidR="001F5522" w:rsidRDefault="001F5522" w:rsidP="001F5522">
      <w:pPr>
        <w:pStyle w:val="NoSpacing"/>
      </w:pPr>
      <w:r>
        <w:t>THE COURT HELD:</w:t>
      </w:r>
    </w:p>
    <w:p w14:paraId="1A7BE122" w14:textId="77777777" w:rsidR="001F5522" w:rsidRDefault="001F5522" w:rsidP="001F5522">
      <w:pPr>
        <w:pStyle w:val="NoSpacing"/>
      </w:pPr>
    </w:p>
    <w:p w14:paraId="1D789B56" w14:textId="77777777" w:rsidR="001F5522" w:rsidRDefault="001F5522" w:rsidP="001F5522">
      <w:pPr>
        <w:pStyle w:val="NoSpacing"/>
        <w:ind w:left="720"/>
      </w:pPr>
      <w:r>
        <w:t>“</w:t>
      </w:r>
      <w:r w:rsidRPr="00BC652A">
        <w:t xml:space="preserve">There is no evidence or argument explaining why these military orders precluded Bearden from working as a </w:t>
      </w:r>
      <w:proofErr w:type="gramStart"/>
      <w:r w:rsidRPr="00BC652A">
        <w:t>City</w:t>
      </w:r>
      <w:proofErr w:type="gramEnd"/>
      <w:r w:rsidRPr="00BC652A">
        <w:t xml:space="preserve"> employee during the 140 days that he was not </w:t>
      </w:r>
      <w:r>
        <w:t>‘</w:t>
      </w:r>
      <w:r w:rsidRPr="00BC652A">
        <w:t>on orders</w:t>
      </w:r>
      <w:r>
        <w:t>’</w:t>
      </w:r>
      <w:r w:rsidRPr="00BC652A">
        <w:t xml:space="preserve"> or on active duty in 2022, or at any time after. There is no evidence that Bearden worked for, or even contacted, the </w:t>
      </w:r>
      <w:proofErr w:type="gramStart"/>
      <w:r w:rsidRPr="00BC652A">
        <w:t>City</w:t>
      </w:r>
      <w:proofErr w:type="gramEnd"/>
      <w:r w:rsidRPr="00BC652A">
        <w:t xml:space="preserve"> during this or any other period dating back at least five years.</w:t>
      </w:r>
    </w:p>
    <w:p w14:paraId="36EBFEBF" w14:textId="77777777" w:rsidR="001F5522" w:rsidRDefault="001F5522" w:rsidP="001F5522">
      <w:pPr>
        <w:pStyle w:val="NoSpacing"/>
        <w:ind w:left="720"/>
      </w:pPr>
    </w:p>
    <w:p w14:paraId="1698AA53" w14:textId="77777777" w:rsidR="001F5522" w:rsidRDefault="001F5522" w:rsidP="001F5522">
      <w:pPr>
        <w:pStyle w:val="NoSpacing"/>
        <w:ind w:left="720"/>
        <w:rPr>
          <w:bCs/>
        </w:rPr>
      </w:pPr>
      <w:r>
        <w:t>***</w:t>
      </w:r>
    </w:p>
    <w:p w14:paraId="79CAE9D2" w14:textId="77777777" w:rsidR="001F5522" w:rsidRDefault="001F5522" w:rsidP="001F5522">
      <w:pPr>
        <w:pStyle w:val="NoSpacing"/>
        <w:rPr>
          <w:bCs/>
        </w:rPr>
      </w:pPr>
    </w:p>
    <w:p w14:paraId="78791BEA" w14:textId="77777777" w:rsidR="001F5522" w:rsidRDefault="001F5522" w:rsidP="001F5522">
      <w:pPr>
        <w:pStyle w:val="NoSpacing"/>
        <w:ind w:left="720"/>
      </w:pPr>
      <w:r w:rsidRPr="009315F9">
        <w:t xml:space="preserve">There is no evidence in the record that Bearden has </w:t>
      </w:r>
      <w:r>
        <w:t>‘</w:t>
      </w:r>
      <w:r w:rsidRPr="009315F9">
        <w:t>remained</w:t>
      </w:r>
      <w:r>
        <w:t>’</w:t>
      </w:r>
      <w:r w:rsidRPr="009315F9">
        <w:t xml:space="preserve"> a </w:t>
      </w:r>
      <w:proofErr w:type="gramStart"/>
      <w:r w:rsidRPr="009315F9">
        <w:t>City</w:t>
      </w:r>
      <w:proofErr w:type="gramEnd"/>
      <w:r w:rsidRPr="009315F9">
        <w:t xml:space="preserve"> employee, since at least 2021. Bearden's motion does not even contend that he remained or remains an Ocean Shores employee. Instead, the declaration he filed in support of his motion attests only that he still has 215 days before he reaches the </w:t>
      </w:r>
      <w:r>
        <w:t>‘</w:t>
      </w:r>
      <w:r w:rsidRPr="009315F9">
        <w:t>USERRA 5-year limit, at which time I intend to return to the City of Ocean shores.</w:t>
      </w:r>
      <w:r>
        <w:t>’</w:t>
      </w:r>
      <w:r w:rsidRPr="009315F9">
        <w:t xml:space="preserve"> </w:t>
      </w:r>
      <w:proofErr w:type="spellStart"/>
      <w:r w:rsidRPr="009315F9">
        <w:t>Dkt</w:t>
      </w:r>
      <w:proofErr w:type="spellEnd"/>
      <w:r w:rsidRPr="009315F9">
        <w:t xml:space="preserve">. 61-1 at 3. But the record contains no statement or assertion that he currently </w:t>
      </w:r>
      <w:r w:rsidRPr="009315F9">
        <w:rPr>
          <w:i/>
          <w:iCs/>
        </w:rPr>
        <w:t>is</w:t>
      </w:r>
      <w:r w:rsidRPr="009315F9">
        <w:t xml:space="preserve"> an employee. Bearden provides no evidence supporting the conclusion that due to his </w:t>
      </w:r>
      <w:proofErr w:type="gramStart"/>
      <w:r w:rsidRPr="009315F9">
        <w:t>active duty</w:t>
      </w:r>
      <w:proofErr w:type="gramEnd"/>
      <w:r w:rsidRPr="009315F9">
        <w:t xml:space="preserve"> military commitments, he was unable to work for the </w:t>
      </w:r>
      <w:proofErr w:type="gramStart"/>
      <w:r w:rsidRPr="009315F9">
        <w:t>City</w:t>
      </w:r>
      <w:proofErr w:type="gramEnd"/>
      <w:r w:rsidRPr="009315F9">
        <w:t xml:space="preserve">, at all, over the past five </w:t>
      </w:r>
      <w:proofErr w:type="gramStart"/>
      <w:r w:rsidRPr="009315F9">
        <w:t>years.</w:t>
      </w:r>
      <w:r>
        <w:t>”</w:t>
      </w:r>
      <w:proofErr w:type="gramEnd"/>
    </w:p>
    <w:p w14:paraId="5930DF4F" w14:textId="77777777" w:rsidR="001F5522" w:rsidRDefault="001F5522" w:rsidP="001F5522">
      <w:pPr>
        <w:pStyle w:val="NoSpacing"/>
        <w:ind w:left="720"/>
      </w:pPr>
    </w:p>
    <w:p w14:paraId="42F3CAEA" w14:textId="77777777" w:rsidR="001F5522" w:rsidRDefault="001F5522" w:rsidP="001F5522">
      <w:pPr>
        <w:rPr>
          <w:bCs/>
        </w:rPr>
      </w:pPr>
      <w:r>
        <w:rPr>
          <w:b/>
        </w:rPr>
        <w:t xml:space="preserve">Legal lesson learned: </w:t>
      </w:r>
      <w:r w:rsidRPr="008F06C1">
        <w:rPr>
          <w:b/>
        </w:rPr>
        <w:t xml:space="preserve">Under USERRA, employees have reemployment rights if “cumulative length of service” does not exceed five years, but </w:t>
      </w:r>
      <w:r>
        <w:rPr>
          <w:b/>
        </w:rPr>
        <w:t xml:space="preserve">a best practice to </w:t>
      </w:r>
      <w:r w:rsidRPr="008F06C1">
        <w:rPr>
          <w:b/>
        </w:rPr>
        <w:t>let employer know you plan to return.</w:t>
      </w:r>
      <w:r>
        <w:t xml:space="preserve">  </w:t>
      </w:r>
      <w:hyperlink r:id="rId1777" w:anchor="ch1" w:history="1">
        <w:r w:rsidRPr="00A77E89">
          <w:rPr>
            <w:rStyle w:val="Hyperlink"/>
          </w:rPr>
          <w:t>https://www.dol.gov/agencies/vets/programs/userra/USERRA-Pocket-Guide#ch1</w:t>
        </w:r>
      </w:hyperlink>
      <w:r>
        <w:t>.</w:t>
      </w:r>
    </w:p>
    <w:p w14:paraId="1DBC5E75" w14:textId="77777777" w:rsidR="001F5522" w:rsidRDefault="001F5522" w:rsidP="001F5522">
      <w:pPr>
        <w:ind w:left="720"/>
        <w:rPr>
          <w:b/>
        </w:rPr>
      </w:pPr>
      <w:r>
        <w:t xml:space="preserve">Note: </w:t>
      </w:r>
      <w:proofErr w:type="gramStart"/>
      <w:r>
        <w:t xml:space="preserve"> See</w:t>
      </w:r>
      <w:proofErr w:type="gramEnd"/>
      <w:r>
        <w:t xml:space="preserve"> State of Washington Supreme Court June 26, </w:t>
      </w:r>
      <w:proofErr w:type="gramStart"/>
      <w:r>
        <w:t>2025</w:t>
      </w:r>
      <w:proofErr w:type="gramEnd"/>
      <w:r>
        <w:t xml:space="preserve"> opinion that he is entitled to 21 </w:t>
      </w:r>
      <w:proofErr w:type="spellStart"/>
      <w:r>
        <w:t>days</w:t>
      </w:r>
      <w:proofErr w:type="spellEnd"/>
      <w:r>
        <w:t xml:space="preserve"> pay for his third leave.  </w:t>
      </w:r>
      <w:hyperlink r:id="rId1778" w:history="1">
        <w:r w:rsidRPr="00A77E89">
          <w:rPr>
            <w:rStyle w:val="Hyperlink"/>
          </w:rPr>
          <w:t>https://www.courts.wa.gov/opinions/pdf/1031211.pdf</w:t>
        </w:r>
      </w:hyperlink>
      <w:r>
        <w:t xml:space="preserve"> FIRST LEAVE: </w:t>
      </w:r>
      <w:r w:rsidRPr="001A3676">
        <w:t>annual training from October 16 to October 30, 2019</w:t>
      </w:r>
      <w:r>
        <w:t xml:space="preserve">. SECOND LEAVE: </w:t>
      </w:r>
      <w:proofErr w:type="gramStart"/>
      <w:r>
        <w:t>active duty</w:t>
      </w:r>
      <w:proofErr w:type="gramEnd"/>
      <w:r>
        <w:t xml:space="preserve"> </w:t>
      </w:r>
      <w:r w:rsidRPr="0018404C">
        <w:t>next nine months, from November 5, 2019, to August 27, 2020</w:t>
      </w:r>
      <w:r>
        <w:t>.  THIRD LEAVE: while still on the Second Leave, he received orders for 273 more days active duty (A</w:t>
      </w:r>
      <w:r w:rsidRPr="004F5CED">
        <w:t>ugust 2020-May 2021</w:t>
      </w:r>
      <w:r>
        <w:t>.</w:t>
      </w:r>
    </w:p>
    <w:p w14:paraId="1005C4E8" w14:textId="77777777" w:rsidR="009C7749" w:rsidRDefault="009C7749" w:rsidP="00020106">
      <w:pPr>
        <w:rPr>
          <w:rFonts w:ascii="Arial Black" w:hAnsi="Arial Black"/>
          <w:b/>
          <w:sz w:val="24"/>
          <w:szCs w:val="24"/>
        </w:rPr>
      </w:pPr>
    </w:p>
    <w:p w14:paraId="18B1CA22" w14:textId="77777777" w:rsidR="009C7749" w:rsidRDefault="009C7749" w:rsidP="00020106">
      <w:pPr>
        <w:rPr>
          <w:rFonts w:ascii="Arial Black" w:hAnsi="Arial Black"/>
          <w:b/>
          <w:sz w:val="24"/>
          <w:szCs w:val="24"/>
        </w:rPr>
      </w:pPr>
    </w:p>
    <w:p w14:paraId="75083B70" w14:textId="77777777" w:rsidR="009C7749" w:rsidRDefault="009C7749" w:rsidP="00020106">
      <w:pPr>
        <w:rPr>
          <w:rFonts w:ascii="Arial Black" w:hAnsi="Arial Black"/>
          <w:b/>
          <w:sz w:val="24"/>
          <w:szCs w:val="24"/>
        </w:rPr>
      </w:pPr>
    </w:p>
    <w:p w14:paraId="5A601279" w14:textId="77777777" w:rsidR="009C7749" w:rsidRDefault="009C7749" w:rsidP="00020106">
      <w:pPr>
        <w:rPr>
          <w:rFonts w:ascii="Arial Black" w:hAnsi="Arial Black"/>
          <w:b/>
          <w:sz w:val="24"/>
          <w:szCs w:val="24"/>
        </w:rPr>
      </w:pPr>
    </w:p>
    <w:p w14:paraId="2B5D98F0" w14:textId="57DD284E" w:rsidR="00084E13" w:rsidRDefault="00084E13" w:rsidP="00020106">
      <w:pPr>
        <w:rPr>
          <w:rFonts w:ascii="Arial Black" w:hAnsi="Arial Black"/>
          <w:b/>
          <w:sz w:val="24"/>
          <w:szCs w:val="24"/>
        </w:rPr>
      </w:pPr>
      <w:r>
        <w:rPr>
          <w:rFonts w:ascii="Arial Black" w:hAnsi="Arial Black"/>
          <w:b/>
          <w:sz w:val="24"/>
          <w:szCs w:val="24"/>
        </w:rPr>
        <w:t>11-68</w:t>
      </w:r>
    </w:p>
    <w:p w14:paraId="7ABDA794" w14:textId="77777777" w:rsidR="00347723" w:rsidRDefault="00347723" w:rsidP="00347723">
      <w:pPr>
        <w:pStyle w:val="NoSpacing"/>
        <w:rPr>
          <w:rFonts w:ascii="Arial Black" w:hAnsi="Arial Black"/>
          <w:bCs/>
          <w:sz w:val="28"/>
          <w:szCs w:val="28"/>
        </w:rPr>
      </w:pPr>
      <w:r>
        <w:rPr>
          <w:rFonts w:ascii="Arial Black" w:hAnsi="Arial Black"/>
          <w:sz w:val="28"/>
          <w:szCs w:val="28"/>
        </w:rPr>
        <w:t>SC: FLSA – MEDIC / CROSS TRAINED – N</w:t>
      </w:r>
      <w:r>
        <w:rPr>
          <w:rFonts w:ascii="Arial Black" w:hAnsi="Arial Black"/>
          <w:bCs/>
          <w:sz w:val="28"/>
          <w:szCs w:val="28"/>
        </w:rPr>
        <w:t xml:space="preserve">EVER DID </w:t>
      </w:r>
      <w:r>
        <w:rPr>
          <w:rFonts w:ascii="Arial Black" w:hAnsi="Arial Black"/>
          <w:sz w:val="28"/>
          <w:szCs w:val="28"/>
        </w:rPr>
        <w:t>FIRE</w:t>
      </w:r>
      <w:r>
        <w:rPr>
          <w:rFonts w:ascii="Arial Black" w:hAnsi="Arial Black"/>
          <w:bCs/>
          <w:sz w:val="28"/>
          <w:szCs w:val="28"/>
        </w:rPr>
        <w:t xml:space="preserve">S </w:t>
      </w:r>
    </w:p>
    <w:p w14:paraId="58D2E422" w14:textId="77777777" w:rsidR="00347723" w:rsidRDefault="00347723" w:rsidP="00347723">
      <w:pPr>
        <w:pStyle w:val="NoSpacing"/>
        <w:rPr>
          <w:rFonts w:ascii="Arial Black" w:hAnsi="Arial Black"/>
          <w:bCs/>
          <w:sz w:val="28"/>
          <w:szCs w:val="28"/>
        </w:rPr>
      </w:pPr>
    </w:p>
    <w:p w14:paraId="2D86C07F" w14:textId="77777777" w:rsidR="00347723" w:rsidRDefault="00347723" w:rsidP="00347723">
      <w:pPr>
        <w:pStyle w:val="NoSpacing"/>
        <w:rPr>
          <w:bCs/>
        </w:rPr>
      </w:pPr>
      <w:r>
        <w:t xml:space="preserve">On March 19, 2026, in </w:t>
      </w:r>
      <w:r w:rsidRPr="008C66C0">
        <w:rPr>
          <w:u w:val="single"/>
        </w:rPr>
        <w:t>Abbey Beemer, individually and on behalf of similarly situated v. Clarendon County</w:t>
      </w:r>
      <w:r>
        <w:t xml:space="preserve">, U.S. District Court Judge David C. Norton, United States District Court for District of South Carolina, Charleston Division, denied the County’s motion for summary judgment.  </w:t>
      </w:r>
      <w:r w:rsidRPr="00DE325A">
        <w:t>At issue is whether Beemer had the legal authority and responsibility to engage in fire suppression</w:t>
      </w:r>
      <w:r>
        <w:t xml:space="preserve">; while plaintiff is classified as a “Paramedic / FF” and trained in fire suppression, she has never been engaged in fire suppression on an emergency run.  Lawsuit will therefore need to be tried. </w:t>
      </w:r>
      <w:hyperlink r:id="rId1779" w:history="1">
        <w:r w:rsidRPr="001F11D0">
          <w:rPr>
            <w:rStyle w:val="Hyperlink"/>
          </w:rPr>
          <w:t>https://public.fastcase.com/Jhe1Qn%2BmJndQYQU6z%2FeNm%2BPcmzEUVte9Pmbex8cM1KJhQVcQIKDJJA5UPuX3qlPH?utm_medium=email&amp;_hsenc=p2ANqtz-9n4bTEROfuVqHNVuq5wnBdHGUWCVVD7aN6VD7jCXCE8dULoI4uW2020fH1jBBreK2QqG5jL3hff-Wxt2LEWhDNRofrqw&amp;_hsmi=226712652&amp;utm_content=226712652&amp;utm_source=hs_email</w:t>
        </w:r>
      </w:hyperlink>
      <w:r>
        <w:t xml:space="preserve"> </w:t>
      </w:r>
      <w:r w:rsidRPr="00DE325A">
        <w:t xml:space="preserve"> </w:t>
      </w:r>
    </w:p>
    <w:p w14:paraId="2593A14E" w14:textId="77777777" w:rsidR="00347723" w:rsidRDefault="00347723" w:rsidP="00347723">
      <w:pPr>
        <w:pStyle w:val="NoSpacing"/>
        <w:rPr>
          <w:bCs/>
        </w:rPr>
      </w:pPr>
    </w:p>
    <w:p w14:paraId="2B9FE6A8" w14:textId="77777777" w:rsidR="00347723" w:rsidRDefault="00347723" w:rsidP="00347723">
      <w:pPr>
        <w:pStyle w:val="NoSpacing"/>
      </w:pPr>
      <w:r>
        <w:t>THE COURT HELD: ”</w:t>
      </w:r>
      <w:r w:rsidRPr="00B0183E">
        <w:t xml:space="preserve">Over the course of her employment with the County's Fire Rescue Department, Beemer was a part-time </w:t>
      </w:r>
      <w:r>
        <w:t>‘</w:t>
      </w:r>
      <w:r w:rsidRPr="00B0183E">
        <w:t>paramedic</w:t>
      </w:r>
      <w:r>
        <w:t>’</w:t>
      </w:r>
      <w:r w:rsidRPr="00B0183E">
        <w:t xml:space="preserve"> and then promoted to a full-time </w:t>
      </w:r>
      <w:r>
        <w:t>‘</w:t>
      </w:r>
      <w:r w:rsidRPr="00B0183E">
        <w:t>Paramedic/FF</w:t>
      </w:r>
      <w:r>
        <w:t xml:space="preserve">’…. </w:t>
      </w:r>
      <w:r w:rsidRPr="00B0183E">
        <w:t>The County required her to receive basic firefighter certifications from the South Carolina Fire Academy</w:t>
      </w:r>
      <w:r>
        <w:t xml:space="preserve"> … </w:t>
      </w:r>
      <w:r w:rsidRPr="00B0183E">
        <w:t>and participate in regular firefighter training exercises</w:t>
      </w:r>
      <w:r>
        <w:t xml:space="preserve">…. </w:t>
      </w:r>
      <w:r w:rsidRPr="00B0183E">
        <w:t xml:space="preserve">The ambulance to which she was assigned was equipped with firefighter </w:t>
      </w:r>
      <w:r>
        <w:t>‘</w:t>
      </w:r>
      <w:r w:rsidRPr="00B0183E">
        <w:t>turn out</w:t>
      </w:r>
      <w:r>
        <w:t>’</w:t>
      </w:r>
      <w:r w:rsidRPr="00B0183E">
        <w:t xml:space="preserve"> gear (protective, heat-resistant boots, helmet, and jacket), breathing apparatuses, and extrication equipment issued to her by the County</w:t>
      </w:r>
      <w:r>
        <w:t xml:space="preserve">…. </w:t>
      </w:r>
      <w:r w:rsidRPr="00B0183E">
        <w:t>Beemer has been routinely dispatched to fire emergencies alongside firefighter units</w:t>
      </w:r>
      <w:r>
        <w:t xml:space="preserve">…. </w:t>
      </w:r>
      <w:r w:rsidRPr="00B0183E">
        <w:t xml:space="preserve">However, Beemer has not engaged a live fire, and she believed that firefighting duties were not within the responsibilities of her employment. </w:t>
      </w:r>
    </w:p>
    <w:p w14:paraId="30609326" w14:textId="77777777" w:rsidR="00347723" w:rsidRDefault="00347723" w:rsidP="00347723">
      <w:pPr>
        <w:pStyle w:val="NoSpacing"/>
      </w:pPr>
    </w:p>
    <w:p w14:paraId="03F9E3A9" w14:textId="77777777" w:rsidR="00347723" w:rsidRDefault="00347723" w:rsidP="00347723">
      <w:pPr>
        <w:pStyle w:val="NoSpacing"/>
      </w:pPr>
      <w:r>
        <w:t>***</w:t>
      </w:r>
    </w:p>
    <w:p w14:paraId="249F8F7B" w14:textId="77777777" w:rsidR="00347723" w:rsidRPr="00246642" w:rsidRDefault="00347723" w:rsidP="00347723">
      <w:pPr>
        <w:pStyle w:val="NoSpacing"/>
      </w:pPr>
      <w:r w:rsidRPr="00246642">
        <w:t xml:space="preserve">There is a genuine issue of fact as to whether Beemer has a </w:t>
      </w:r>
      <w:r>
        <w:t>‘</w:t>
      </w:r>
      <w:r w:rsidRPr="00246642">
        <w:t>responsibility to engage in fire suppression</w:t>
      </w:r>
      <w:r>
        <w:t>’</w:t>
      </w:r>
      <w:r w:rsidRPr="00246642">
        <w:t xml:space="preserve"> under both the </w:t>
      </w:r>
      <w:r>
        <w:t>‘</w:t>
      </w:r>
      <w:r w:rsidRPr="00246642">
        <w:t>some real obligation</w:t>
      </w:r>
      <w:proofErr w:type="gramStart"/>
      <w:r>
        <w:t>’</w:t>
      </w:r>
      <w:r w:rsidRPr="00246642">
        <w:t xml:space="preserve"> the </w:t>
      </w:r>
      <w:r>
        <w:t>‘</w:t>
      </w:r>
      <w:proofErr w:type="gramEnd"/>
      <w:r w:rsidRPr="00246642">
        <w:t>forward-looking</w:t>
      </w:r>
      <w:r>
        <w:t>’</w:t>
      </w:r>
      <w:r w:rsidRPr="00246642">
        <w:t xml:space="preserve"> standards. There are not sufficient facts in the record to determine whether the County </w:t>
      </w:r>
      <w:proofErr w:type="gramStart"/>
      <w:r w:rsidRPr="00246642">
        <w:t>actually expected</w:t>
      </w:r>
      <w:proofErr w:type="gramEnd"/>
      <w:r w:rsidRPr="00246642">
        <w:t xml:space="preserve"> Beemer, as part of her employment, to perform the firefighting duties for which she was trained. </w:t>
      </w:r>
      <w:r w:rsidRPr="00246642">
        <w:rPr>
          <w:i/>
          <w:iCs/>
        </w:rPr>
        <w:t>Compare Cleveland</w:t>
      </w:r>
      <w:r w:rsidRPr="00246642">
        <w:t xml:space="preserve">, 420 F.3d at 984 (finding </w:t>
      </w:r>
      <w:r>
        <w:t>‘</w:t>
      </w:r>
      <w:r w:rsidRPr="00246642">
        <w:t>dual function paramedics</w:t>
      </w:r>
      <w:r>
        <w:t>’</w:t>
      </w:r>
      <w:r w:rsidRPr="00246642">
        <w:t xml:space="preserve"> who were fully trained in firefighting had no real obligation to engage in fire suppression because they were not regularly dispatched to fire scenes, did not carry firefighting equipment, and were expected to perform only medical services), </w:t>
      </w:r>
      <w:r w:rsidRPr="00246642">
        <w:rPr>
          <w:i/>
          <w:iCs/>
        </w:rPr>
        <w:t>with Huff</w:t>
      </w:r>
      <w:r w:rsidRPr="00246642">
        <w:t xml:space="preserve">, 516 F.3d at 1281 (finding </w:t>
      </w:r>
      <w:r>
        <w:t>‘</w:t>
      </w:r>
      <w:r w:rsidRPr="00246642">
        <w:t xml:space="preserve">cross-trained </w:t>
      </w:r>
      <w:r>
        <w:t>f</w:t>
      </w:r>
      <w:r w:rsidRPr="00246642">
        <w:t>irefighter/paramedics</w:t>
      </w:r>
      <w:r>
        <w:t>’</w:t>
      </w:r>
      <w:r w:rsidRPr="00246642">
        <w:t xml:space="preserve"> had forward-looking responsibility to engage in fire suppression because they possessed advanced training, were regularly dispatched to fire emergencies, and could be disciplined if they refused to do so). Beemer's job title is </w:t>
      </w:r>
      <w:r>
        <w:t>‘</w:t>
      </w:r>
      <w:r w:rsidRPr="00246642">
        <w:t>Paramedic/FF</w:t>
      </w:r>
      <w:proofErr w:type="gramStart"/>
      <w:r>
        <w:t>’</w:t>
      </w:r>
      <w:proofErr w:type="gramEnd"/>
      <w:r w:rsidRPr="00246642">
        <w:t xml:space="preserve"> and she is frequently dispatched to fire emergencies, but her job description does not explicitly detail whether she is responsible for fire suppression. </w:t>
      </w:r>
      <w:r w:rsidRPr="00246642">
        <w:rPr>
          <w:i/>
          <w:iCs/>
        </w:rPr>
        <w:t>See Lawrence</w:t>
      </w:r>
      <w:r w:rsidRPr="00246642">
        <w:t xml:space="preserve">, 527 F.3d at 305-06 (finding </w:t>
      </w:r>
      <w:r>
        <w:t>‘</w:t>
      </w:r>
      <w:r w:rsidRPr="00246642">
        <w:t>fire service paramedics</w:t>
      </w:r>
      <w:r>
        <w:t>’</w:t>
      </w:r>
      <w:r w:rsidRPr="00246642">
        <w:t xml:space="preserve"> lacked responsibility under Section 203(y) where their job description did </w:t>
      </w:r>
    </w:p>
    <w:p w14:paraId="1850274B" w14:textId="77777777" w:rsidR="00347723" w:rsidRDefault="00347723" w:rsidP="00347723">
      <w:pPr>
        <w:pStyle w:val="NoSpacing"/>
      </w:pPr>
      <w:r w:rsidRPr="00246642">
        <w:t xml:space="preserve">not </w:t>
      </w:r>
      <w:r>
        <w:t>‘</w:t>
      </w:r>
      <w:r w:rsidRPr="00246642">
        <w:t>refer[ ] to any role with respect to fire protection or fire suppression.</w:t>
      </w:r>
      <w:r>
        <w:t>’</w:t>
      </w:r>
      <w:r w:rsidRPr="00246642">
        <w:t>).</w:t>
      </w:r>
      <w:r>
        <w:t>”</w:t>
      </w:r>
    </w:p>
    <w:p w14:paraId="56003845" w14:textId="77777777" w:rsidR="00347723" w:rsidRDefault="00347723" w:rsidP="00347723">
      <w:pPr>
        <w:pStyle w:val="NoSpacing"/>
      </w:pPr>
    </w:p>
    <w:p w14:paraId="617B889B" w14:textId="77777777" w:rsidR="00347723" w:rsidRPr="00246642" w:rsidRDefault="00347723" w:rsidP="00347723">
      <w:pPr>
        <w:pStyle w:val="NoSpacing"/>
        <w:rPr>
          <w:b/>
          <w:bCs/>
        </w:rPr>
      </w:pPr>
      <w:r w:rsidRPr="006230AC">
        <w:rPr>
          <w:b/>
        </w:rPr>
        <w:t xml:space="preserve">Legal lesson learned: </w:t>
      </w:r>
      <w:r>
        <w:rPr>
          <w:b/>
        </w:rPr>
        <w:t xml:space="preserve">To avoid similar litigation, job descriptions should clearly include EMS role in fire suppression; also consider having EMS on occasion participate in fire suppression (at least overhaul while wearing SCBA). </w:t>
      </w:r>
    </w:p>
    <w:p w14:paraId="5B347E78" w14:textId="77777777" w:rsidR="00347723" w:rsidRPr="00B0183E" w:rsidRDefault="00347723" w:rsidP="00347723">
      <w:pPr>
        <w:pStyle w:val="NoSpacing"/>
      </w:pPr>
    </w:p>
    <w:p w14:paraId="480CA4E9" w14:textId="77777777" w:rsidR="00084E13" w:rsidRDefault="00084E13" w:rsidP="00020106">
      <w:pPr>
        <w:rPr>
          <w:rFonts w:ascii="Arial Black" w:hAnsi="Arial Black"/>
          <w:b/>
          <w:sz w:val="24"/>
          <w:szCs w:val="24"/>
        </w:rPr>
      </w:pPr>
    </w:p>
    <w:p w14:paraId="43FDC4F8" w14:textId="77777777" w:rsidR="00084E13" w:rsidRDefault="00084E13" w:rsidP="00020106">
      <w:pPr>
        <w:rPr>
          <w:rFonts w:ascii="Arial Black" w:hAnsi="Arial Black"/>
          <w:b/>
          <w:sz w:val="24"/>
          <w:szCs w:val="24"/>
        </w:rPr>
      </w:pPr>
    </w:p>
    <w:p w14:paraId="62B1E71F" w14:textId="77777777" w:rsidR="00084E13" w:rsidRDefault="00084E13" w:rsidP="00020106">
      <w:pPr>
        <w:rPr>
          <w:rFonts w:ascii="Arial Black" w:hAnsi="Arial Black"/>
          <w:b/>
          <w:sz w:val="24"/>
          <w:szCs w:val="24"/>
        </w:rPr>
      </w:pPr>
    </w:p>
    <w:p w14:paraId="2DB092AC" w14:textId="797A44E4" w:rsidR="0077176C" w:rsidRDefault="0077176C" w:rsidP="00020106">
      <w:pPr>
        <w:rPr>
          <w:rFonts w:ascii="Arial Black" w:hAnsi="Arial Black"/>
          <w:b/>
          <w:sz w:val="24"/>
          <w:szCs w:val="24"/>
        </w:rPr>
      </w:pPr>
      <w:r>
        <w:rPr>
          <w:rFonts w:ascii="Arial Black" w:hAnsi="Arial Black"/>
          <w:b/>
          <w:sz w:val="24"/>
          <w:szCs w:val="24"/>
        </w:rPr>
        <w:t>11-67</w:t>
      </w:r>
    </w:p>
    <w:p w14:paraId="13510ED9" w14:textId="77777777" w:rsidR="0077176C" w:rsidRDefault="0077176C" w:rsidP="0077176C">
      <w:pPr>
        <w:pStyle w:val="NoSpacing"/>
        <w:rPr>
          <w:rFonts w:ascii="Arial Black" w:hAnsi="Arial Black"/>
          <w:b/>
          <w:sz w:val="28"/>
          <w:szCs w:val="28"/>
        </w:rPr>
      </w:pPr>
      <w:r>
        <w:rPr>
          <w:rFonts w:ascii="Arial Black" w:hAnsi="Arial Black"/>
          <w:b/>
          <w:sz w:val="28"/>
          <w:szCs w:val="28"/>
        </w:rPr>
        <w:t>GA: DEATH INVEST. - NOT EXEMPT AS “ADMINISTRATIVE”</w:t>
      </w:r>
    </w:p>
    <w:p w14:paraId="27B35C19" w14:textId="77777777" w:rsidR="0077176C" w:rsidRDefault="0077176C" w:rsidP="0077176C">
      <w:pPr>
        <w:pStyle w:val="NoSpacing"/>
        <w:rPr>
          <w:rFonts w:ascii="Arial Black" w:hAnsi="Arial Black"/>
          <w:b/>
          <w:sz w:val="28"/>
          <w:szCs w:val="28"/>
        </w:rPr>
      </w:pPr>
    </w:p>
    <w:p w14:paraId="26E0E694" w14:textId="77777777" w:rsidR="0077176C" w:rsidRPr="006D4C67" w:rsidRDefault="0077176C" w:rsidP="0077176C">
      <w:pPr>
        <w:pStyle w:val="NoSpacing"/>
        <w:rPr>
          <w:bCs/>
        </w:rPr>
      </w:pPr>
      <w:r w:rsidRPr="006D4C67">
        <w:t xml:space="preserve">On February 10, 2026, in </w:t>
      </w:r>
      <w:r w:rsidRPr="006D4C67">
        <w:rPr>
          <w:u w:val="single"/>
        </w:rPr>
        <w:t>Robert Bumgardne, et al. v. Forensic Pathology Services, P.C</w:t>
      </w:r>
      <w:r>
        <w:rPr>
          <w:u w:val="single"/>
        </w:rPr>
        <w:t xml:space="preserve">, and </w:t>
      </w:r>
      <w:r w:rsidRPr="006D4C67">
        <w:rPr>
          <w:u w:val="single"/>
        </w:rPr>
        <w:t>Carol A. Terry, M.D</w:t>
      </w:r>
      <w:r w:rsidRPr="006D4C67">
        <w:t>., the United States Court of Appeals, Eleventh Circuit</w:t>
      </w:r>
      <w:r>
        <w:t xml:space="preserve"> (Atlanta) held (3 to 0; unpublished decision) that six former forensic death investigators at FPS were entitled to overtime; they did not meet the “administrative” employee exemption. </w:t>
      </w:r>
      <w:hyperlink r:id="rId1780" w:history="1">
        <w:r w:rsidRPr="00E5297F">
          <w:rPr>
            <w:rStyle w:val="Hyperlink"/>
          </w:rPr>
          <w:t>https://cases.justia.com/federal/appellate-courts/ca11/25-10673/25-10673-2026-02-10.pdf?ts=1770737597</w:t>
        </w:r>
      </w:hyperlink>
      <w:r>
        <w:t xml:space="preserve"> </w:t>
      </w:r>
    </w:p>
    <w:p w14:paraId="1CFA77C9" w14:textId="77777777" w:rsidR="0077176C" w:rsidRPr="006D4C67" w:rsidRDefault="0077176C" w:rsidP="0077176C">
      <w:pPr>
        <w:pStyle w:val="NoSpacing"/>
        <w:rPr>
          <w:bCs/>
        </w:rPr>
      </w:pPr>
    </w:p>
    <w:p w14:paraId="4FD22074" w14:textId="77777777" w:rsidR="0077176C" w:rsidRDefault="0077176C" w:rsidP="0077176C">
      <w:pPr>
        <w:pStyle w:val="NoSpacing"/>
        <w:rPr>
          <w:bCs/>
        </w:rPr>
      </w:pPr>
      <w:r w:rsidRPr="00046CDA">
        <w:t xml:space="preserve">THE COURT HELD: </w:t>
      </w:r>
      <w:r>
        <w:t xml:space="preserve"> “</w:t>
      </w:r>
      <w:r w:rsidRPr="00C52740">
        <w:t xml:space="preserve">Under the Fair Labor Standards Act (“FLSA”), workers in </w:t>
      </w:r>
    </w:p>
    <w:p w14:paraId="4B33D217" w14:textId="77777777" w:rsidR="0077176C" w:rsidRPr="00C52740" w:rsidRDefault="0077176C" w:rsidP="0077176C">
      <w:pPr>
        <w:pStyle w:val="NoSpacing"/>
        <w:rPr>
          <w:bCs/>
        </w:rPr>
      </w:pPr>
      <w:r w:rsidRPr="00C52740">
        <w:t>ad-</w:t>
      </w:r>
    </w:p>
    <w:p w14:paraId="1E0F8EEE" w14:textId="77777777" w:rsidR="0077176C" w:rsidRPr="00D1403A" w:rsidRDefault="0077176C" w:rsidP="0077176C">
      <w:pPr>
        <w:pStyle w:val="NoSpacing"/>
        <w:rPr>
          <w:bCs/>
        </w:rPr>
      </w:pPr>
      <w:r w:rsidRPr="00C52740">
        <w:t xml:space="preserve">ministrative roles like </w:t>
      </w:r>
      <w:r>
        <w:t>‘</w:t>
      </w:r>
      <w:r w:rsidRPr="00C52740">
        <w:t>legal and regulatory compliance</w:t>
      </w:r>
      <w:r>
        <w:t>’</w:t>
      </w:r>
      <w:r w:rsidRPr="00C52740">
        <w:t xml:space="preserve"> aren’t entitled to extra pay for overtime work. Defendants-Appellees Forensic Pathology Services, P.C. (</w:t>
      </w:r>
      <w:r>
        <w:t>‘</w:t>
      </w:r>
      <w:r w:rsidRPr="00C52740">
        <w:t>FPS</w:t>
      </w:r>
      <w:r>
        <w:t>’</w:t>
      </w:r>
      <w:r w:rsidRPr="00C52740">
        <w:t>), and its CEO, Dr. Carol A.</w:t>
      </w:r>
      <w:r>
        <w:t xml:space="preserve"> </w:t>
      </w:r>
      <w:r w:rsidRPr="00C52740">
        <w:t>Terry, contend that FPS’s forensic death investigators, who investigate unexpected or non-natural deaths in Gwinnett County,</w:t>
      </w:r>
      <w:r>
        <w:t xml:space="preserve"> </w:t>
      </w:r>
      <w:r w:rsidRPr="00C52740">
        <w:t>Georgia, fit this category</w:t>
      </w:r>
      <w:r>
        <w:t xml:space="preserve">…. </w:t>
      </w:r>
      <w:r w:rsidRPr="00563369">
        <w:t>Defendants are mistaken</w:t>
      </w:r>
      <w:r>
        <w:t xml:space="preserve">…. </w:t>
      </w:r>
      <w:r w:rsidRPr="00D1403A">
        <w:t>Plaintiffs-Appellants, six former forensic death investigators</w:t>
      </w:r>
      <w:r>
        <w:t xml:space="preserve"> </w:t>
      </w:r>
      <w:r w:rsidRPr="00D1403A">
        <w:t>at FPS</w:t>
      </w:r>
      <w:r>
        <w:t xml:space="preserve"> …</w:t>
      </w:r>
      <w:r w:rsidRPr="00D1403A">
        <w:t xml:space="preserve"> helped produce FPS’s core </w:t>
      </w:r>
      <w:r>
        <w:t>‘</w:t>
      </w:r>
      <w:r w:rsidRPr="00D1403A">
        <w:t>product</w:t>
      </w:r>
      <w:r>
        <w:t>’</w:t>
      </w:r>
      <w:r w:rsidRPr="00D1403A">
        <w:t xml:space="preserve"> of death-investigation services. FPS and</w:t>
      </w:r>
      <w:r>
        <w:t xml:space="preserve"> </w:t>
      </w:r>
      <w:r w:rsidRPr="00D1403A">
        <w:t>Dr. Terry provide no authority to support their view that if an employee adheres to state law while producing their employer’s core</w:t>
      </w:r>
    </w:p>
    <w:p w14:paraId="55EAFA61" w14:textId="77777777" w:rsidR="0077176C" w:rsidRDefault="0077176C" w:rsidP="0077176C">
      <w:pPr>
        <w:pStyle w:val="NoSpacing"/>
        <w:rPr>
          <w:bCs/>
        </w:rPr>
      </w:pPr>
      <w:r w:rsidRPr="00D1403A">
        <w:t xml:space="preserve">product, that somehow makes their work </w:t>
      </w:r>
      <w:r>
        <w:t>‘</w:t>
      </w:r>
      <w:r w:rsidRPr="00D1403A">
        <w:t>administrative</w:t>
      </w:r>
      <w:r>
        <w:t>’</w:t>
      </w:r>
      <w:r w:rsidRPr="00D1403A">
        <w:t xml:space="preserve"> within</w:t>
      </w:r>
      <w:r>
        <w:t xml:space="preserve"> </w:t>
      </w:r>
      <w:r w:rsidRPr="00D1403A">
        <w:t>the meaning of the FLSA. And if that were so, huge swaths of the</w:t>
      </w:r>
      <w:r>
        <w:t xml:space="preserve"> </w:t>
      </w:r>
      <w:r w:rsidRPr="00D1403A">
        <w:t xml:space="preserve">American workforce would be subject to the FLSA’s </w:t>
      </w:r>
      <w:r>
        <w:t>‘</w:t>
      </w:r>
      <w:r w:rsidRPr="00D1403A">
        <w:t>administrative</w:t>
      </w:r>
      <w:r>
        <w:t>’</w:t>
      </w:r>
      <w:r w:rsidRPr="00D1403A">
        <w:t xml:space="preserve"> exemption, meaning the FLSA’s wage protections would not</w:t>
      </w:r>
      <w:r>
        <w:t xml:space="preserve"> </w:t>
      </w:r>
      <w:r w:rsidRPr="00D1403A">
        <w:t>apply to them.</w:t>
      </w:r>
      <w:r>
        <w:t>”</w:t>
      </w:r>
    </w:p>
    <w:p w14:paraId="329444BD" w14:textId="77777777" w:rsidR="0077176C" w:rsidRDefault="0077176C" w:rsidP="0077176C">
      <w:pPr>
        <w:pStyle w:val="NoSpacing"/>
        <w:rPr>
          <w:bCs/>
        </w:rPr>
      </w:pPr>
    </w:p>
    <w:p w14:paraId="7D1DD6E8" w14:textId="77777777" w:rsidR="0077176C" w:rsidRPr="000A038E" w:rsidRDefault="0077176C" w:rsidP="0077176C">
      <w:pPr>
        <w:pStyle w:val="NoSpacing"/>
        <w:rPr>
          <w:b/>
        </w:rPr>
      </w:pPr>
      <w:r w:rsidRPr="000A038E">
        <w:rPr>
          <w:b/>
        </w:rPr>
        <w:t xml:space="preserve">Legal Lesson Learned: “Administrative” exemption applies to very few in Fire &amp; EMS. </w:t>
      </w:r>
    </w:p>
    <w:p w14:paraId="7CCA70B9" w14:textId="77777777" w:rsidR="0077176C" w:rsidRDefault="0077176C" w:rsidP="0077176C">
      <w:pPr>
        <w:pStyle w:val="NoSpacing"/>
        <w:rPr>
          <w:bCs/>
        </w:rPr>
      </w:pPr>
    </w:p>
    <w:p w14:paraId="7D535F84" w14:textId="77777777" w:rsidR="0077176C" w:rsidRPr="005E4175" w:rsidRDefault="0077176C" w:rsidP="0077176C">
      <w:pPr>
        <w:pStyle w:val="NoSpacing"/>
        <w:ind w:left="720"/>
        <w:rPr>
          <w:bCs/>
        </w:rPr>
      </w:pPr>
      <w:r>
        <w:t xml:space="preserve">Note: </w:t>
      </w:r>
      <w:r w:rsidRPr="005E4175">
        <w:t xml:space="preserve">See August 2024, U.S. Department of Labor </w:t>
      </w:r>
      <w:r>
        <w:t>–</w:t>
      </w:r>
      <w:r w:rsidRPr="005E4175">
        <w:t xml:space="preserve"> Fact Sheet #17C: Exemption for Administrative Employees Under the Fair Labor Standards Act (FLSA)</w:t>
      </w:r>
      <w:r>
        <w:t xml:space="preserve">. </w:t>
      </w:r>
      <w:hyperlink r:id="rId1781" w:history="1">
        <w:r w:rsidRPr="00E5297F">
          <w:rPr>
            <w:rStyle w:val="Hyperlink"/>
          </w:rPr>
          <w:t>https://www.dol.gov/agencies/whd/fact-sheets/17c-overtime-administrative</w:t>
        </w:r>
      </w:hyperlink>
      <w:r>
        <w:t xml:space="preserve"> </w:t>
      </w:r>
    </w:p>
    <w:p w14:paraId="028443F7" w14:textId="77777777" w:rsidR="0077176C" w:rsidRDefault="0077176C" w:rsidP="0077176C">
      <w:pPr>
        <w:pStyle w:val="NoSpacing"/>
        <w:rPr>
          <w:bCs/>
        </w:rPr>
      </w:pPr>
    </w:p>
    <w:p w14:paraId="27301BB2" w14:textId="77777777" w:rsidR="0077176C" w:rsidRDefault="0077176C" w:rsidP="0077176C">
      <w:pPr>
        <w:pStyle w:val="NoSpacing"/>
        <w:ind w:left="720"/>
      </w:pPr>
      <w:r>
        <w:t>“</w:t>
      </w:r>
      <w:r w:rsidRPr="00C352A2">
        <w:t>The employee's primary duty must be the performance of office or non-manual work directly related to the management or general business operations of the employer or the employer's customers; and</w:t>
      </w:r>
      <w:r>
        <w:t xml:space="preserve"> t</w:t>
      </w:r>
      <w:r w:rsidRPr="007E7C57">
        <w:t>he employee's primary duty includes the exercise of discretion and independent judgment with respect to matters of significance.</w:t>
      </w:r>
      <w:r>
        <w:t>”</w:t>
      </w:r>
    </w:p>
    <w:p w14:paraId="7BA341A5" w14:textId="77777777" w:rsidR="0077176C" w:rsidRDefault="0077176C" w:rsidP="0077176C">
      <w:pPr>
        <w:pStyle w:val="NoSpacing"/>
        <w:ind w:left="720"/>
      </w:pPr>
    </w:p>
    <w:p w14:paraId="411A60CF" w14:textId="77777777" w:rsidR="0077176C" w:rsidRDefault="0077176C" w:rsidP="0077176C">
      <w:pPr>
        <w:pStyle w:val="NoSpacing"/>
      </w:pPr>
    </w:p>
    <w:p w14:paraId="4C3169A3" w14:textId="77777777" w:rsidR="0077176C" w:rsidRDefault="0077176C" w:rsidP="00020106">
      <w:pPr>
        <w:rPr>
          <w:rFonts w:ascii="Arial Black" w:hAnsi="Arial Black"/>
          <w:b/>
          <w:sz w:val="24"/>
          <w:szCs w:val="24"/>
        </w:rPr>
      </w:pPr>
    </w:p>
    <w:p w14:paraId="7F660D02" w14:textId="250B008B" w:rsidR="0077176C" w:rsidRDefault="00D610F1" w:rsidP="00020106">
      <w:pPr>
        <w:rPr>
          <w:rFonts w:ascii="Arial Black" w:hAnsi="Arial Black"/>
          <w:b/>
          <w:sz w:val="24"/>
          <w:szCs w:val="24"/>
        </w:rPr>
      </w:pPr>
      <w:r>
        <w:rPr>
          <w:rFonts w:ascii="Arial Black" w:hAnsi="Arial Black"/>
          <w:b/>
          <w:sz w:val="24"/>
          <w:szCs w:val="24"/>
        </w:rPr>
        <w:t>11-66</w:t>
      </w:r>
    </w:p>
    <w:p w14:paraId="29B057B8" w14:textId="77777777" w:rsidR="00D610F1" w:rsidRDefault="00D610F1" w:rsidP="00020106">
      <w:pPr>
        <w:rPr>
          <w:rFonts w:ascii="Arial Black" w:hAnsi="Arial Black"/>
          <w:b/>
          <w:sz w:val="24"/>
          <w:szCs w:val="24"/>
        </w:rPr>
      </w:pPr>
    </w:p>
    <w:p w14:paraId="28B3F374" w14:textId="77777777" w:rsidR="00D610F1" w:rsidRPr="00EA49C0" w:rsidRDefault="00D610F1" w:rsidP="00D610F1">
      <w:pPr>
        <w:pStyle w:val="NoSpacing"/>
        <w:rPr>
          <w:rFonts w:ascii="Arial Black" w:hAnsi="Arial Black"/>
          <w:bCs/>
          <w:sz w:val="28"/>
          <w:szCs w:val="28"/>
        </w:rPr>
      </w:pPr>
      <w:r>
        <w:rPr>
          <w:rFonts w:ascii="Arial Black" w:hAnsi="Arial Black"/>
          <w:sz w:val="28"/>
          <w:szCs w:val="28"/>
        </w:rPr>
        <w:t>DC: FED. EMPLOYEE – OT MUST BE APPROVED “IN WRITING”</w:t>
      </w:r>
    </w:p>
    <w:p w14:paraId="1A8F82C2" w14:textId="77777777" w:rsidR="00D610F1" w:rsidRDefault="00D610F1" w:rsidP="00D610F1">
      <w:pPr>
        <w:pStyle w:val="NoSpacing"/>
        <w:rPr>
          <w:bCs/>
        </w:rPr>
      </w:pPr>
    </w:p>
    <w:p w14:paraId="0E98093F" w14:textId="77777777" w:rsidR="00D610F1" w:rsidRDefault="00D610F1" w:rsidP="00D610F1">
      <w:pPr>
        <w:pStyle w:val="NoSpacing"/>
        <w:rPr>
          <w:bCs/>
        </w:rPr>
      </w:pPr>
      <w:r>
        <w:t xml:space="preserve">On December 12, 2025, in </w:t>
      </w:r>
      <w:r w:rsidRPr="00C600B3">
        <w:rPr>
          <w:u w:val="single"/>
        </w:rPr>
        <w:t>Jillian Lesko v. United States</w:t>
      </w:r>
      <w:r>
        <w:t xml:space="preserve">, the </w:t>
      </w:r>
      <w:r w:rsidRPr="00CD346A">
        <w:t>United States Court of Appeals, Federal Circuit</w:t>
      </w:r>
      <w:r>
        <w:t xml:space="preserve">, Washington, D.C., held (7 to 4; </w:t>
      </w:r>
      <w:proofErr w:type="spellStart"/>
      <w:r>
        <w:t>en</w:t>
      </w:r>
      <w:proofErr w:type="spellEnd"/>
      <w:r>
        <w:t xml:space="preserve"> banc decision by all judges on the Court) that </w:t>
      </w:r>
      <w:r w:rsidRPr="005B55D9">
        <w:t>Ms. Lesko</w:t>
      </w:r>
      <w:r>
        <w:t xml:space="preserve">. </w:t>
      </w:r>
      <w:r w:rsidRPr="005B55D9">
        <w:t>a registered nurse for the Indian Health Service (IHS) for eight months during the COVID-19 pandemic</w:t>
      </w:r>
      <w:r>
        <w:t xml:space="preserve">, who worked very long days, was not entitled to overtime pay since Office of Personnel Management regulations requires that overtime be first </w:t>
      </w:r>
      <w:r w:rsidRPr="00602BD8">
        <w:rPr>
          <w:i/>
          <w:iCs/>
        </w:rPr>
        <w:t>ordered or approved only in writing</w:t>
      </w:r>
      <w:r w:rsidRPr="00602BD8">
        <w:t xml:space="preserve"> by an officer or employee to whom this authority has been specifically delegated.</w:t>
      </w:r>
      <w:r>
        <w:t xml:space="preserve"> </w:t>
      </w:r>
      <w:r w:rsidRPr="00602BD8">
        <w:t>5 C.F.R. § 550.111(c) (hereafter, overtime regulation).</w:t>
      </w:r>
      <w:r>
        <w:t xml:space="preserve"> </w:t>
      </w:r>
      <w:hyperlink r:id="rId1782" w:history="1">
        <w:r w:rsidRPr="00E759FB">
          <w:rPr>
            <w:rStyle w:val="Hyperlink"/>
          </w:rPr>
          <w:t>https://www.cafc.uscourts.gov/opinions-orders/23-1823.OPINION.12-12-2025_2618923.pdf</w:t>
        </w:r>
      </w:hyperlink>
      <w:r w:rsidRPr="00E759FB">
        <w:t xml:space="preserve"> </w:t>
      </w:r>
    </w:p>
    <w:p w14:paraId="79A77546" w14:textId="77777777" w:rsidR="00D610F1" w:rsidRDefault="00D610F1" w:rsidP="00D610F1">
      <w:pPr>
        <w:pStyle w:val="NoSpacing"/>
        <w:rPr>
          <w:bCs/>
        </w:rPr>
      </w:pPr>
    </w:p>
    <w:p w14:paraId="284AF1E5" w14:textId="77777777" w:rsidR="00D610F1" w:rsidRPr="00602BD8" w:rsidRDefault="00D610F1" w:rsidP="00D610F1">
      <w:pPr>
        <w:pStyle w:val="NoSpacing"/>
        <w:rPr>
          <w:bCs/>
        </w:rPr>
      </w:pPr>
      <w:r>
        <w:lastRenderedPageBreak/>
        <w:t xml:space="preserve">THE COURT HELD:  </w:t>
      </w:r>
      <w:r w:rsidRPr="005B55D9">
        <w:t>Ms. Lesko worked as a registered nurse for the Indian Health Service (IHS) for eight months during the COVID-19 pandemic</w:t>
      </w:r>
      <w:r>
        <w:t>….</w:t>
      </w:r>
      <w:r w:rsidRPr="005B55D9">
        <w:t xml:space="preserve"> During this time, she alleges nurses </w:t>
      </w:r>
      <w:r>
        <w:t>‘</w:t>
      </w:r>
      <w:r w:rsidRPr="005B55D9">
        <w:t>were stretched to their limits</w:t>
      </w:r>
      <w:r>
        <w:t>’</w:t>
      </w:r>
      <w:r w:rsidRPr="005B55D9">
        <w:t xml:space="preserve"> and </w:t>
      </w:r>
      <w:r>
        <w:t>‘</w:t>
      </w:r>
      <w:r w:rsidRPr="005B55D9">
        <w:t>[s]</w:t>
      </w:r>
      <w:proofErr w:type="spellStart"/>
      <w:r w:rsidRPr="005B55D9">
        <w:t>upervisors</w:t>
      </w:r>
      <w:proofErr w:type="spellEnd"/>
      <w:r w:rsidRPr="005B55D9">
        <w:t xml:space="preserve"> and managers regularly and routinely required nurses to stay after hours and work without compensation to meet the patient demands.</w:t>
      </w:r>
      <w:r>
        <w:t>’</w:t>
      </w:r>
      <w:r w:rsidRPr="005B55D9">
        <w:t xml:space="preserve"> J.A. 82 ¶ 42. After resigning from IHS, Ms. Lesko filed a complaint for a class action suit, which she amended after the Government moved to dismiss it</w:t>
      </w:r>
      <w:r>
        <w:t xml:space="preserve">…. </w:t>
      </w:r>
      <w:r w:rsidRPr="00A80574">
        <w:t>The</w:t>
      </w:r>
      <w:r>
        <w:t xml:space="preserve"> </w:t>
      </w:r>
      <w:r w:rsidRPr="00A80574">
        <w:t>Court of Federal Claims granted the motion and dismissed</w:t>
      </w:r>
      <w:r>
        <w:t xml:space="preserve"> </w:t>
      </w:r>
      <w:r w:rsidRPr="00A80574">
        <w:t>all counts</w:t>
      </w:r>
      <w:r>
        <w:t xml:space="preserve">…. </w:t>
      </w:r>
      <w:r w:rsidRPr="00F54BA4">
        <w:t>In relevant part, the statute and regulation governing</w:t>
      </w:r>
      <w:r>
        <w:t xml:space="preserve"> </w:t>
      </w:r>
      <w:r w:rsidRPr="00F54BA4">
        <w:t>overtime pay for federal employees have existed for eighty</w:t>
      </w:r>
      <w:r>
        <w:t xml:space="preserve"> </w:t>
      </w:r>
      <w:r w:rsidRPr="00F54BA4">
        <w:t>years.</w:t>
      </w:r>
      <w:r>
        <w:t xml:space="preserve"> </w:t>
      </w:r>
      <w:r w:rsidRPr="00D26584">
        <w:t>On July 4, 1945—four days after Congress enacted</w:t>
      </w:r>
      <w:r>
        <w:t xml:space="preserve"> </w:t>
      </w:r>
      <w:r w:rsidRPr="00D26584">
        <w:t>FEPA</w:t>
      </w:r>
      <w:r>
        <w:t xml:space="preserve"> [F</w:t>
      </w:r>
      <w:r w:rsidRPr="006F564E">
        <w:t>ederal Employees Pay Act of 1945</w:t>
      </w:r>
      <w:r>
        <w:t>]</w:t>
      </w:r>
      <w:r w:rsidRPr="00D26584">
        <w:t>—the Civil Service Commission promulgated regulations, approved by the President, to implement the Act</w:t>
      </w:r>
      <w:r>
        <w:t xml:space="preserve">…. </w:t>
      </w:r>
      <w:r w:rsidRPr="00602BD8">
        <w:t>The present regulatory language implementing the writing requirement, now codified at 5 C.F.R. § 550.111(c), has undergone additional amendments since recodification but, as relevant to this appeal, it contains the same operative language as the originally promulgated regulation:</w:t>
      </w:r>
    </w:p>
    <w:p w14:paraId="5E2EB495" w14:textId="77777777" w:rsidR="00D610F1" w:rsidRPr="00602BD8" w:rsidRDefault="00D610F1" w:rsidP="00D610F1">
      <w:pPr>
        <w:pStyle w:val="NoSpacing"/>
        <w:rPr>
          <w:bCs/>
        </w:rPr>
      </w:pPr>
      <w:r w:rsidRPr="00602BD8">
        <w:t xml:space="preserve">Overtime work </w:t>
      </w:r>
      <w:proofErr w:type="gramStart"/>
      <w:r w:rsidRPr="00602BD8">
        <w:t>in excess of</w:t>
      </w:r>
      <w:proofErr w:type="gramEnd"/>
      <w:r w:rsidRPr="00602BD8">
        <w:t xml:space="preserve"> any included in a regularly scheduled administrative </w:t>
      </w:r>
      <w:proofErr w:type="gramStart"/>
      <w:r w:rsidRPr="00602BD8">
        <w:t>workweek</w:t>
      </w:r>
      <w:proofErr w:type="gramEnd"/>
      <w:r w:rsidRPr="00602BD8">
        <w:t xml:space="preserve"> may be </w:t>
      </w:r>
      <w:r w:rsidRPr="00602BD8">
        <w:rPr>
          <w:i/>
          <w:iCs/>
        </w:rPr>
        <w:t>ordered or approved only in writing</w:t>
      </w:r>
      <w:r w:rsidRPr="00602BD8">
        <w:t xml:space="preserve"> by an officer or employee to whom this authority has been specifically delegated.</w:t>
      </w:r>
      <w:r>
        <w:t xml:space="preserve"> </w:t>
      </w:r>
      <w:r w:rsidRPr="00602BD8">
        <w:t>5 C.F.R. § 550.111(c) (hereafter, overtime regulation).</w:t>
      </w:r>
      <w:r>
        <w:t>”</w:t>
      </w:r>
    </w:p>
    <w:p w14:paraId="40D2A287" w14:textId="77777777" w:rsidR="00D610F1" w:rsidRDefault="00D610F1" w:rsidP="00D610F1">
      <w:pPr>
        <w:pStyle w:val="NoSpacing"/>
        <w:rPr>
          <w:bCs/>
        </w:rPr>
      </w:pPr>
    </w:p>
    <w:p w14:paraId="6BB1EC2F" w14:textId="77777777" w:rsidR="00D610F1" w:rsidRPr="00602BD8" w:rsidRDefault="00D610F1" w:rsidP="00D610F1">
      <w:pPr>
        <w:pStyle w:val="NoSpacing"/>
        <w:rPr>
          <w:b/>
        </w:rPr>
      </w:pPr>
      <w:r w:rsidRPr="006F564E">
        <w:rPr>
          <w:b/>
        </w:rPr>
        <w:t xml:space="preserve">Legal lesson learned: </w:t>
      </w:r>
      <w:r w:rsidRPr="006564B7">
        <w:rPr>
          <w:b/>
        </w:rPr>
        <w:t xml:space="preserve">The Office of Personnel Management regulations control; but it seems unfair that the Indian Health Service </w:t>
      </w:r>
      <w:r>
        <w:rPr>
          <w:b/>
        </w:rPr>
        <w:t xml:space="preserve">(or any other federal agency) </w:t>
      </w:r>
      <w:r w:rsidRPr="006564B7">
        <w:rPr>
          <w:b/>
        </w:rPr>
        <w:t xml:space="preserve">would allow work beyond 80 hours, but then not pay time and half. </w:t>
      </w:r>
    </w:p>
    <w:p w14:paraId="23BEAA6E" w14:textId="77777777" w:rsidR="00D610F1" w:rsidRPr="00E759FB" w:rsidRDefault="00D610F1" w:rsidP="00D610F1">
      <w:pPr>
        <w:pStyle w:val="NoSpacing"/>
        <w:rPr>
          <w:bCs/>
        </w:rPr>
      </w:pPr>
    </w:p>
    <w:p w14:paraId="649D1267" w14:textId="77777777" w:rsidR="00D610F1" w:rsidRPr="004C2FD6" w:rsidRDefault="00D610F1" w:rsidP="00D610F1">
      <w:pPr>
        <w:pStyle w:val="NoSpacing"/>
        <w:rPr>
          <w:bCs/>
        </w:rPr>
      </w:pPr>
      <w:r>
        <w:tab/>
        <w:t xml:space="preserve">Note: Four Dissenting Judges: </w:t>
      </w:r>
      <w:r w:rsidRPr="004C2FD6">
        <w:t>STOLL, Circuit Judge, dissenting, with whom Circuit</w:t>
      </w:r>
    </w:p>
    <w:p w14:paraId="78D7EE74" w14:textId="77777777" w:rsidR="00D610F1" w:rsidRDefault="00D610F1" w:rsidP="00D610F1">
      <w:pPr>
        <w:pStyle w:val="NoSpacing"/>
        <w:ind w:firstLine="720"/>
        <w:rPr>
          <w:bCs/>
        </w:rPr>
      </w:pPr>
      <w:r w:rsidRPr="004C2FD6">
        <w:t>Judges REYNA , CUNNINGHAM, and S TARK join</w:t>
      </w:r>
      <w:r>
        <w:t>.</w:t>
      </w:r>
    </w:p>
    <w:p w14:paraId="0EE3CDB5" w14:textId="77777777" w:rsidR="00D610F1" w:rsidRPr="00CD346A" w:rsidRDefault="00D610F1" w:rsidP="00D610F1">
      <w:pPr>
        <w:pStyle w:val="NoSpacing"/>
        <w:ind w:firstLine="720"/>
        <w:rPr>
          <w:bCs/>
        </w:rPr>
      </w:pPr>
      <w:r>
        <w:t>“</w:t>
      </w:r>
      <w:r w:rsidRPr="00821EA4">
        <w:t>In sum, it is up to Congress, not OPM, to impose a writing requirement.</w:t>
      </w:r>
      <w:r>
        <w:t>”</w:t>
      </w:r>
    </w:p>
    <w:p w14:paraId="54574C14" w14:textId="77777777" w:rsidR="00D610F1" w:rsidRDefault="00D610F1" w:rsidP="00D610F1">
      <w:pPr>
        <w:pStyle w:val="NoSpacing"/>
        <w:rPr>
          <w:bCs/>
        </w:rPr>
      </w:pPr>
    </w:p>
    <w:p w14:paraId="4B62CF35" w14:textId="77777777" w:rsidR="00D610F1" w:rsidRDefault="00D610F1" w:rsidP="00020106">
      <w:pPr>
        <w:rPr>
          <w:rFonts w:ascii="Arial Black" w:hAnsi="Arial Black"/>
          <w:b/>
          <w:sz w:val="24"/>
          <w:szCs w:val="24"/>
        </w:rPr>
      </w:pPr>
    </w:p>
    <w:p w14:paraId="5B93633E" w14:textId="77777777" w:rsidR="0077176C" w:rsidRDefault="0077176C" w:rsidP="00020106">
      <w:pPr>
        <w:rPr>
          <w:rFonts w:ascii="Arial Black" w:hAnsi="Arial Black"/>
          <w:b/>
          <w:sz w:val="24"/>
          <w:szCs w:val="24"/>
        </w:rPr>
      </w:pPr>
    </w:p>
    <w:p w14:paraId="4ECC3647" w14:textId="77777777" w:rsidR="0077176C" w:rsidRDefault="0077176C" w:rsidP="00020106">
      <w:pPr>
        <w:rPr>
          <w:rFonts w:ascii="Arial Black" w:hAnsi="Arial Black"/>
          <w:b/>
          <w:sz w:val="24"/>
          <w:szCs w:val="24"/>
        </w:rPr>
      </w:pPr>
    </w:p>
    <w:p w14:paraId="5C9A1B17" w14:textId="405317FE" w:rsidR="008626B6" w:rsidRDefault="008626B6" w:rsidP="00020106">
      <w:pPr>
        <w:rPr>
          <w:rFonts w:ascii="Arial Black" w:hAnsi="Arial Black"/>
          <w:b/>
          <w:sz w:val="24"/>
          <w:szCs w:val="24"/>
        </w:rPr>
      </w:pPr>
      <w:r>
        <w:rPr>
          <w:rFonts w:ascii="Arial Black" w:hAnsi="Arial Black"/>
          <w:b/>
          <w:sz w:val="24"/>
          <w:szCs w:val="24"/>
        </w:rPr>
        <w:t>11-65</w:t>
      </w:r>
    </w:p>
    <w:p w14:paraId="71AEEFA7" w14:textId="1BB09CB9" w:rsidR="005F4889" w:rsidRDefault="005F4889" w:rsidP="005F4889">
      <w:pPr>
        <w:pStyle w:val="NoSpacing"/>
        <w:rPr>
          <w:rFonts w:ascii="Arial Black" w:hAnsi="Arial Black"/>
          <w:sz w:val="28"/>
          <w:szCs w:val="28"/>
        </w:rPr>
      </w:pPr>
      <w:r>
        <w:rPr>
          <w:rFonts w:ascii="Arial Black" w:hAnsi="Arial Black"/>
          <w:sz w:val="28"/>
          <w:szCs w:val="28"/>
        </w:rPr>
        <w:t>VA: B</w:t>
      </w:r>
      <w:r w:rsidR="0018059E">
        <w:rPr>
          <w:rFonts w:ascii="Arial Black" w:hAnsi="Arial Black"/>
          <w:sz w:val="28"/>
          <w:szCs w:val="28"/>
        </w:rPr>
        <w:t>ATTALION CHIEF</w:t>
      </w:r>
      <w:r w:rsidR="007B72B3">
        <w:rPr>
          <w:rFonts w:ascii="Arial Black" w:hAnsi="Arial Black"/>
          <w:sz w:val="28"/>
          <w:szCs w:val="28"/>
        </w:rPr>
        <w:t>S</w:t>
      </w:r>
      <w:r w:rsidR="0018059E">
        <w:rPr>
          <w:rFonts w:ascii="Arial Black" w:hAnsi="Arial Black"/>
          <w:sz w:val="28"/>
          <w:szCs w:val="28"/>
        </w:rPr>
        <w:t xml:space="preserve"> </w:t>
      </w:r>
      <w:r>
        <w:rPr>
          <w:rFonts w:ascii="Arial Black" w:hAnsi="Arial Black"/>
          <w:sz w:val="28"/>
          <w:szCs w:val="28"/>
        </w:rPr>
        <w:t>PAID A FIXED SALARY – EXEMPT POSITION</w:t>
      </w:r>
    </w:p>
    <w:p w14:paraId="5F2CCBB5" w14:textId="77777777" w:rsidR="005F4889" w:rsidRDefault="005F4889" w:rsidP="005F4889">
      <w:pPr>
        <w:pStyle w:val="NoSpacing"/>
        <w:rPr>
          <w:rFonts w:ascii="Arial Black" w:hAnsi="Arial Black"/>
          <w:sz w:val="28"/>
          <w:szCs w:val="28"/>
        </w:rPr>
      </w:pPr>
    </w:p>
    <w:p w14:paraId="548FCA46" w14:textId="77777777" w:rsidR="005F4889" w:rsidRDefault="005F4889" w:rsidP="005F4889">
      <w:pPr>
        <w:pStyle w:val="NoSpacing"/>
      </w:pPr>
      <w:r w:rsidRPr="0012387F">
        <w:t xml:space="preserve">On </w:t>
      </w:r>
      <w:r>
        <w:t xml:space="preserve">December 31, 2025, in </w:t>
      </w:r>
      <w:r w:rsidRPr="000F3254">
        <w:rPr>
          <w:u w:val="single"/>
        </w:rPr>
        <w:t>Anthony Kelley, et al. v. The City of Alexandria</w:t>
      </w:r>
      <w:r>
        <w:t xml:space="preserve">, the United States Court of Appeals for the Fourth Circuit (Richmond, VA) held (3 to 0) that Battalion Chiefs are not entitled to overtime pay as “white collar” employees; they are guaranteed a salary payment regardless of hours worked. </w:t>
      </w:r>
      <w:r w:rsidRPr="002D02AF">
        <w:t>Although the City assigned each chief an annual salary, it converted that salary into hourly rates for payroll purposes.</w:t>
      </w:r>
      <w:r>
        <w:t xml:space="preserve">  When they work </w:t>
      </w:r>
      <w:r w:rsidRPr="007846E5">
        <w:t>off</w:t>
      </w:r>
      <w:r>
        <w:t xml:space="preserve">-schedule hours, they are paid at the chief’s hourly rate. If they don’t work a scheduled shift, the </w:t>
      </w:r>
      <w:proofErr w:type="gramStart"/>
      <w:r>
        <w:t>City</w:t>
      </w:r>
      <w:proofErr w:type="gramEnd"/>
      <w:r>
        <w:t xml:space="preserve"> properly deducts those hours from their paid leave balance.  The fight in this case is about this last category of hours. When an employee is paid weekly (or on a less frequent basis) then exemption in 29 C.F.R. § 541.602(b) applies.</w:t>
      </w:r>
    </w:p>
    <w:p w14:paraId="2B4FD25F" w14:textId="77777777" w:rsidR="005F4889" w:rsidRDefault="005F4889" w:rsidP="005F4889">
      <w:pPr>
        <w:pStyle w:val="NoSpacing"/>
      </w:pPr>
      <w:r>
        <w:t xml:space="preserve"> </w:t>
      </w:r>
      <w:hyperlink r:id="rId1783" w:history="1">
        <w:r w:rsidRPr="00EB1520">
          <w:rPr>
            <w:rStyle w:val="Hyperlink"/>
          </w:rPr>
          <w:t>https://www.ca4.uscourts.gov/opinions/231752.P.pdf</w:t>
        </w:r>
      </w:hyperlink>
      <w:r>
        <w:t xml:space="preserve"> </w:t>
      </w:r>
    </w:p>
    <w:p w14:paraId="3046526A" w14:textId="77777777" w:rsidR="005F4889" w:rsidRDefault="005F4889" w:rsidP="005F4889">
      <w:pPr>
        <w:pStyle w:val="NoSpacing"/>
      </w:pPr>
    </w:p>
    <w:p w14:paraId="14D4866D" w14:textId="77777777" w:rsidR="005F4889" w:rsidRDefault="005F4889" w:rsidP="005F4889">
      <w:pPr>
        <w:pStyle w:val="NoSpacing"/>
      </w:pPr>
      <w:r>
        <w:t>THE COURT HELD:</w:t>
      </w:r>
    </w:p>
    <w:p w14:paraId="3835B5E0" w14:textId="77777777" w:rsidR="005F4889" w:rsidRDefault="005F4889" w:rsidP="005F4889">
      <w:pPr>
        <w:pStyle w:val="NoSpacing"/>
      </w:pPr>
    </w:p>
    <w:p w14:paraId="7F8F27A4" w14:textId="77777777" w:rsidR="005F4889" w:rsidRDefault="005F4889" w:rsidP="005F4889">
      <w:pPr>
        <w:pStyle w:val="NoSpacing"/>
        <w:ind w:left="720"/>
      </w:pPr>
      <w:r>
        <w:t>“</w:t>
      </w:r>
      <w:r w:rsidRPr="003B4CBA">
        <w:t>Current and former battalion chiefs for the City of Alexandria Fire Department sued</w:t>
      </w:r>
      <w:r>
        <w:t xml:space="preserve"> </w:t>
      </w:r>
      <w:r w:rsidRPr="003B4CBA">
        <w:t xml:space="preserve">the </w:t>
      </w:r>
      <w:proofErr w:type="gramStart"/>
      <w:r w:rsidRPr="003B4CBA">
        <w:t>City</w:t>
      </w:r>
      <w:proofErr w:type="gramEnd"/>
      <w:r w:rsidRPr="003B4CBA">
        <w:t xml:space="preserve"> seeking payment of unpaid overtime wages under the Fair Labor Standards Act.</w:t>
      </w:r>
      <w:r>
        <w:t xml:space="preserve"> </w:t>
      </w:r>
      <w:r w:rsidRPr="003B4CBA">
        <w:t>The district court granted summary judgment for the City, concluding that the chiefs were</w:t>
      </w:r>
      <w:r>
        <w:t xml:space="preserve"> </w:t>
      </w:r>
      <w:r w:rsidRPr="003B4CBA">
        <w:t xml:space="preserve">exempt from the Act’s overtime-pay requirements under the </w:t>
      </w:r>
      <w:r>
        <w:t>‘</w:t>
      </w:r>
      <w:r w:rsidRPr="003B4CBA">
        <w:t>highly compensated</w:t>
      </w:r>
      <w:r>
        <w:t xml:space="preserve"> </w:t>
      </w:r>
      <w:proofErr w:type="gramStart"/>
      <w:r w:rsidRPr="003B4CBA">
        <w:t>employee</w:t>
      </w:r>
      <w:r>
        <w:t>’</w:t>
      </w:r>
      <w:proofErr w:type="gramEnd"/>
      <w:r w:rsidRPr="003B4CBA">
        <w:t xml:space="preserve"> exemption. That exemption requires (among other things) that the City</w:t>
      </w:r>
      <w:r>
        <w:t xml:space="preserve"> </w:t>
      </w:r>
      <w:r w:rsidRPr="003B4CBA">
        <w:t xml:space="preserve">compensate the chiefs on a </w:t>
      </w:r>
      <w:r>
        <w:t>‘</w:t>
      </w:r>
      <w:r w:rsidRPr="003B4CBA">
        <w:t>salary basis.</w:t>
      </w:r>
      <w:r>
        <w:t>’</w:t>
      </w:r>
    </w:p>
    <w:p w14:paraId="31F0B38B" w14:textId="77777777" w:rsidR="005F4889" w:rsidRDefault="005F4889" w:rsidP="005F4889">
      <w:pPr>
        <w:pStyle w:val="NoSpacing"/>
        <w:ind w:left="720"/>
      </w:pPr>
    </w:p>
    <w:p w14:paraId="7A24A3CC" w14:textId="77777777" w:rsidR="005F4889" w:rsidRDefault="005F4889" w:rsidP="005F4889">
      <w:pPr>
        <w:pStyle w:val="NoSpacing"/>
        <w:ind w:left="720"/>
      </w:pPr>
      <w:r>
        <w:t>***</w:t>
      </w:r>
    </w:p>
    <w:p w14:paraId="6AACD42D" w14:textId="77777777" w:rsidR="005F4889" w:rsidRDefault="005F4889" w:rsidP="005F4889">
      <w:pPr>
        <w:pStyle w:val="NoSpacing"/>
        <w:ind w:left="720"/>
      </w:pPr>
    </w:p>
    <w:p w14:paraId="0354A0FC" w14:textId="77777777" w:rsidR="005F4889" w:rsidRDefault="005F4889" w:rsidP="005F4889">
      <w:pPr>
        <w:pStyle w:val="NoSpacing"/>
        <w:ind w:left="720"/>
      </w:pPr>
      <w:r>
        <w:lastRenderedPageBreak/>
        <w:t>The Alexandria Fire Department has ten fire stations, split evenly between two battalions. The department employs ten battalion chiefs. Battalion chiefs rotate through operational or administrative schedules. Typically, the department assigns six chiefs (three for each of the two battalions) to an operational schedule, during which they’re responsible for the day-to-day operations of the fire stations within their assigned battalion. These chiefs are scheduled to work three 24-hour shifts according to a nine-day scheduling cycle.</w:t>
      </w:r>
    </w:p>
    <w:p w14:paraId="60B0A6D5" w14:textId="77777777" w:rsidR="005F4889" w:rsidRDefault="005F4889" w:rsidP="005F4889">
      <w:pPr>
        <w:pStyle w:val="NoSpacing"/>
      </w:pPr>
    </w:p>
    <w:p w14:paraId="73FD1790" w14:textId="77777777" w:rsidR="005F4889" w:rsidRDefault="005F4889" w:rsidP="005F4889">
      <w:pPr>
        <w:pStyle w:val="NoSpacing"/>
        <w:ind w:left="720"/>
      </w:pPr>
      <w:r>
        <w:t>The nine-day cycles are staggered such that two operational chiefs are on duty each day (one for each battalion). During each nine-day cycle, the chiefs are on duty the first, third, and fifth days, and off duty the remaining six days. Their ‘work period’ is 28 days.</w:t>
      </w:r>
    </w:p>
    <w:p w14:paraId="4F7DEC84" w14:textId="77777777" w:rsidR="005F4889" w:rsidRDefault="005F4889" w:rsidP="005F4889">
      <w:pPr>
        <w:pStyle w:val="NoSpacing"/>
      </w:pPr>
    </w:p>
    <w:p w14:paraId="2CE771E0" w14:textId="77777777" w:rsidR="005F4889" w:rsidRDefault="005F4889" w:rsidP="005F4889">
      <w:pPr>
        <w:pStyle w:val="NoSpacing"/>
        <w:ind w:left="720"/>
      </w:pPr>
      <w:proofErr w:type="gramStart"/>
      <w:r>
        <w:t>So</w:t>
      </w:r>
      <w:proofErr w:type="gramEnd"/>
      <w:r>
        <w:t xml:space="preserve"> if the </w:t>
      </w:r>
      <w:proofErr w:type="gramStart"/>
      <w:r>
        <w:t>City</w:t>
      </w:r>
      <w:proofErr w:type="gramEnd"/>
      <w:r>
        <w:t xml:space="preserve"> paid them strictly based on scheduled hours, their paychecks could vary substantially from one pay period to the next. To avoid that, the </w:t>
      </w:r>
      <w:proofErr w:type="gramStart"/>
      <w:r>
        <w:t>City</w:t>
      </w:r>
      <w:proofErr w:type="gramEnd"/>
      <w:r>
        <w:t xml:space="preserve"> pays those </w:t>
      </w:r>
      <w:proofErr w:type="gramStart"/>
      <w:r>
        <w:t>chiefs</w:t>
      </w:r>
      <w:proofErr w:type="gramEnd"/>
      <w:r>
        <w:t xml:space="preserve"> for at least 106 </w:t>
      </w:r>
      <w:proofErr w:type="gramStart"/>
      <w:r>
        <w:t>hours</w:t>
      </w:r>
      <w:proofErr w:type="gramEnd"/>
      <w:r>
        <w:t xml:space="preserve"> each pay period, regardless of the scheduled hours they work.</w:t>
      </w:r>
    </w:p>
    <w:p w14:paraId="460863C2" w14:textId="77777777" w:rsidR="005F4889" w:rsidRDefault="005F4889" w:rsidP="005F4889">
      <w:pPr>
        <w:pStyle w:val="NoSpacing"/>
      </w:pPr>
    </w:p>
    <w:p w14:paraId="4AE7EAF5" w14:textId="77777777" w:rsidR="005F4889" w:rsidRDefault="005F4889" w:rsidP="005F4889">
      <w:pPr>
        <w:pStyle w:val="NoSpacing"/>
        <w:ind w:left="720"/>
      </w:pPr>
      <w:r w:rsidRPr="007846E5">
        <w:t>And the City also pays them for the off</w:t>
      </w:r>
      <w:r>
        <w:t xml:space="preserve">-schedule hours they </w:t>
      </w:r>
      <w:proofErr w:type="gramStart"/>
      <w:r>
        <w:t>work,</w:t>
      </w:r>
      <w:proofErr w:type="gramEnd"/>
      <w:r>
        <w:t xml:space="preserve"> at the chief’s hourly rate. The fight in this case is about this last category of hours.</w:t>
      </w:r>
    </w:p>
    <w:p w14:paraId="3E2D9EE8" w14:textId="77777777" w:rsidR="005F4889" w:rsidRDefault="005F4889" w:rsidP="005F4889">
      <w:pPr>
        <w:pStyle w:val="NoSpacing"/>
        <w:ind w:left="720"/>
      </w:pPr>
    </w:p>
    <w:p w14:paraId="77360551" w14:textId="77777777" w:rsidR="005F4889" w:rsidRDefault="005F4889" w:rsidP="005F4889">
      <w:pPr>
        <w:pStyle w:val="NoSpacing"/>
        <w:ind w:left="720"/>
      </w:pPr>
      <w:r>
        <w:t>***</w:t>
      </w:r>
    </w:p>
    <w:p w14:paraId="6E76E8DD" w14:textId="77777777" w:rsidR="005F4889" w:rsidRDefault="005F4889" w:rsidP="005F4889">
      <w:pPr>
        <w:pStyle w:val="NoSpacing"/>
        <w:ind w:left="720"/>
      </w:pPr>
    </w:p>
    <w:p w14:paraId="62D04A9D" w14:textId="77777777" w:rsidR="005F4889" w:rsidRDefault="005F4889" w:rsidP="005F4889">
      <w:pPr>
        <w:pStyle w:val="NoSpacing"/>
        <w:ind w:firstLine="720"/>
      </w:pPr>
      <w:r>
        <w:t>Under 602(a), an employer must show that ‘the employee regularly receives each</w:t>
      </w:r>
    </w:p>
    <w:p w14:paraId="6BCB4B44" w14:textId="77777777" w:rsidR="005F4889" w:rsidRDefault="005F4889" w:rsidP="005F4889">
      <w:pPr>
        <w:pStyle w:val="NoSpacing"/>
        <w:ind w:firstLine="720"/>
      </w:pPr>
      <w:r>
        <w:t>pay period on a weekly, or less frequent basis, a predetermined amount constituting all or</w:t>
      </w:r>
    </w:p>
    <w:p w14:paraId="71134E8F" w14:textId="77777777" w:rsidR="005F4889" w:rsidRDefault="005F4889" w:rsidP="005F4889">
      <w:pPr>
        <w:pStyle w:val="NoSpacing"/>
        <w:ind w:firstLine="720"/>
      </w:pPr>
      <w:r>
        <w:t>part of the employee’s compensation, which amount is not subject to reduction because of</w:t>
      </w:r>
    </w:p>
    <w:p w14:paraId="0CB9C2A8" w14:textId="77777777" w:rsidR="005F4889" w:rsidRDefault="005F4889" w:rsidP="005F4889">
      <w:pPr>
        <w:pStyle w:val="NoSpacing"/>
        <w:ind w:firstLine="720"/>
      </w:pPr>
      <w:r>
        <w:t>variations in the quality or quantity of the work performed.’ 29 C.F.R. § 541.602(a). This</w:t>
      </w:r>
    </w:p>
    <w:p w14:paraId="4D6D6080" w14:textId="77777777" w:rsidR="005F4889" w:rsidRDefault="005F4889" w:rsidP="005F4889">
      <w:pPr>
        <w:pStyle w:val="NoSpacing"/>
        <w:ind w:firstLine="720"/>
      </w:pPr>
      <w:r>
        <w:t>standard ensures the employee ‘get[s] at least part of his compensation through a preset</w:t>
      </w:r>
    </w:p>
    <w:p w14:paraId="781BF48D" w14:textId="77777777" w:rsidR="005F4889" w:rsidRDefault="005F4889" w:rsidP="005F4889">
      <w:pPr>
        <w:pStyle w:val="NoSpacing"/>
        <w:ind w:firstLine="720"/>
      </w:pPr>
      <w:r>
        <w:t>weekly (or less frequent) salary.’ Helix, 598 U.S. at 46. Though employers are generally</w:t>
      </w:r>
    </w:p>
    <w:p w14:paraId="6381AE32" w14:textId="77777777" w:rsidR="005F4889" w:rsidRDefault="005F4889" w:rsidP="005F4889">
      <w:pPr>
        <w:pStyle w:val="NoSpacing"/>
        <w:ind w:left="720"/>
      </w:pPr>
      <w:r>
        <w:t>prohibited from taking deductions from this amount, the regulations allow them to do so in certain limited circumstances. 29 C.F.R. § 541.602(b).”</w:t>
      </w:r>
    </w:p>
    <w:p w14:paraId="0104A071" w14:textId="77777777" w:rsidR="005F4889" w:rsidRDefault="005F4889" w:rsidP="005F4889">
      <w:pPr>
        <w:pStyle w:val="NoSpacing"/>
        <w:ind w:left="720"/>
      </w:pPr>
    </w:p>
    <w:p w14:paraId="298BAE39" w14:textId="77777777" w:rsidR="005F4889" w:rsidRPr="0027338B" w:rsidRDefault="005F4889" w:rsidP="005F4889">
      <w:pPr>
        <w:pStyle w:val="NoSpacing"/>
        <w:rPr>
          <w:b/>
          <w:bCs/>
        </w:rPr>
      </w:pPr>
      <w:r>
        <w:rPr>
          <w:b/>
        </w:rPr>
        <w:t xml:space="preserve">Legal lesson learned:  There has been lots of litigation concerning Battalion Chiefs being exempt or entitled to overtime.  </w:t>
      </w:r>
    </w:p>
    <w:p w14:paraId="6EA789C3" w14:textId="77777777" w:rsidR="005F4889" w:rsidRDefault="005F4889" w:rsidP="005F4889">
      <w:pPr>
        <w:pStyle w:val="NoSpacing"/>
        <w:ind w:left="720"/>
      </w:pPr>
      <w:r>
        <w:t xml:space="preserve">  </w:t>
      </w:r>
    </w:p>
    <w:p w14:paraId="2C5CE701" w14:textId="77777777" w:rsidR="005F4889" w:rsidRDefault="005F4889" w:rsidP="005F4889">
      <w:pPr>
        <w:pStyle w:val="NoSpacing"/>
        <w:ind w:left="720"/>
      </w:pPr>
      <w:r>
        <w:t xml:space="preserve">Note: See this review of the decision.  </w:t>
      </w:r>
      <w:hyperlink r:id="rId1784" w:history="1">
        <w:r w:rsidRPr="002B4D2D">
          <w:rPr>
            <w:rStyle w:val="Hyperlink"/>
          </w:rPr>
          <w:t>https://www.firefighterovertime.org/2026/01/04/fourth-circuit-rules-against-battalion-chiefs-in-virginia-flsa-lawsuit/</w:t>
        </w:r>
      </w:hyperlink>
      <w:r>
        <w:t xml:space="preserve"> . See also: September 17, 2018. </w:t>
      </w:r>
      <w:r w:rsidRPr="00075C60">
        <w:t>Battalion Chiefs, Executive Exemption, and Overtime</w:t>
      </w:r>
      <w:r>
        <w:t xml:space="preserve">. </w:t>
      </w:r>
      <w:hyperlink r:id="rId1785" w:history="1">
        <w:r w:rsidRPr="002B4D2D">
          <w:rPr>
            <w:rStyle w:val="Hyperlink"/>
          </w:rPr>
          <w:t>https://www.firefighterovertime.org/2018/09/17/battalion/</w:t>
        </w:r>
      </w:hyperlink>
    </w:p>
    <w:p w14:paraId="0316D57A" w14:textId="77777777" w:rsidR="005F4889" w:rsidRDefault="005F4889" w:rsidP="005F4889">
      <w:pPr>
        <w:pStyle w:val="NoSpacing"/>
        <w:ind w:left="720"/>
      </w:pPr>
    </w:p>
    <w:p w14:paraId="1E086112" w14:textId="77777777" w:rsidR="005F4889" w:rsidRDefault="005F4889" w:rsidP="005F4889">
      <w:pPr>
        <w:pStyle w:val="NoSpacing"/>
        <w:ind w:left="720"/>
      </w:pPr>
      <w:r>
        <w:t>See also: The 6</w:t>
      </w:r>
      <w:r w:rsidRPr="00E002FB">
        <w:rPr>
          <w:vertAlign w:val="superscript"/>
        </w:rPr>
        <w:t>th</w:t>
      </w:r>
      <w:r>
        <w:t xml:space="preserve"> Circuit on </w:t>
      </w:r>
      <w:r w:rsidRPr="00E002FB">
        <w:t xml:space="preserve">June 3, </w:t>
      </w:r>
      <w:proofErr w:type="gramStart"/>
      <w:r w:rsidRPr="00E002FB">
        <w:t>2019</w:t>
      </w:r>
      <w:proofErr w:type="gramEnd"/>
      <w:r>
        <w:t xml:space="preserve"> in </w:t>
      </w:r>
      <w:r w:rsidRPr="00793A7B">
        <w:rPr>
          <w:u w:val="single"/>
        </w:rPr>
        <w:t>Howard Holt, et al. v. City of Battle Creek</w:t>
      </w:r>
      <w:r>
        <w:t xml:space="preserve">, </w:t>
      </w:r>
    </w:p>
    <w:p w14:paraId="4280A86A" w14:textId="77777777" w:rsidR="005F4889" w:rsidRDefault="005F4889" w:rsidP="005F4889">
      <w:pPr>
        <w:pStyle w:val="NoSpacing"/>
        <w:ind w:left="720"/>
      </w:pPr>
      <w:r>
        <w:t xml:space="preserve">held that Battalion Chiefs were not entitled to overtime pay. </w:t>
      </w:r>
      <w:hyperlink r:id="rId1786" w:history="1">
        <w:r w:rsidRPr="00EB1520">
          <w:rPr>
            <w:rStyle w:val="Hyperlink"/>
          </w:rPr>
          <w:t>https://www.opn.ca6.uscourts.gov/opinions.pdf/19a0114p-06.pdf</w:t>
        </w:r>
      </w:hyperlink>
      <w:r>
        <w:t xml:space="preserve"> </w:t>
      </w:r>
    </w:p>
    <w:p w14:paraId="5CC9AFD1" w14:textId="77777777" w:rsidR="005F4889" w:rsidRDefault="005F4889" w:rsidP="005F4889">
      <w:pPr>
        <w:pStyle w:val="NoSpacing"/>
        <w:ind w:left="720"/>
      </w:pPr>
    </w:p>
    <w:p w14:paraId="406ABF71" w14:textId="77777777" w:rsidR="005F4889" w:rsidRDefault="005F4889" w:rsidP="005F4889">
      <w:pPr>
        <w:pStyle w:val="NoSpacing"/>
        <w:ind w:left="720"/>
      </w:pPr>
      <w:r>
        <w:t xml:space="preserve">See IAFF FLSA Manual (July 2022): </w:t>
      </w:r>
      <w:hyperlink r:id="rId1787" w:history="1">
        <w:r w:rsidRPr="00EB1520">
          <w:rPr>
            <w:rStyle w:val="Hyperlink"/>
          </w:rPr>
          <w:t>https://www.iaff.org/wp-content/uploads/FLSA-Manual-2022-Edition_FINAL.22Aug01.pdf</w:t>
        </w:r>
      </w:hyperlink>
      <w:r>
        <w:t xml:space="preserve">  - Salary Basis.</w:t>
      </w:r>
    </w:p>
    <w:p w14:paraId="56EB6264" w14:textId="77777777" w:rsidR="008626B6" w:rsidRDefault="008626B6" w:rsidP="00020106">
      <w:pPr>
        <w:rPr>
          <w:rFonts w:ascii="Arial Black" w:hAnsi="Arial Black"/>
          <w:b/>
          <w:sz w:val="24"/>
          <w:szCs w:val="24"/>
        </w:rPr>
      </w:pPr>
    </w:p>
    <w:p w14:paraId="7BABF988" w14:textId="77777777" w:rsidR="008626B6" w:rsidRDefault="008626B6" w:rsidP="00020106">
      <w:pPr>
        <w:rPr>
          <w:rFonts w:ascii="Arial Black" w:hAnsi="Arial Black"/>
          <w:b/>
          <w:sz w:val="24"/>
          <w:szCs w:val="24"/>
        </w:rPr>
      </w:pPr>
    </w:p>
    <w:p w14:paraId="14765017" w14:textId="1F0E1E45" w:rsidR="004F2D19" w:rsidRDefault="004F2D19" w:rsidP="00020106">
      <w:pPr>
        <w:rPr>
          <w:rFonts w:ascii="Arial Black" w:hAnsi="Arial Black"/>
          <w:b/>
          <w:sz w:val="24"/>
          <w:szCs w:val="24"/>
        </w:rPr>
      </w:pPr>
      <w:r>
        <w:rPr>
          <w:rFonts w:ascii="Arial Black" w:hAnsi="Arial Black"/>
          <w:b/>
          <w:sz w:val="24"/>
          <w:szCs w:val="24"/>
        </w:rPr>
        <w:t>1</w:t>
      </w:r>
      <w:r w:rsidR="00006AE3">
        <w:rPr>
          <w:rFonts w:ascii="Arial Black" w:hAnsi="Arial Black"/>
          <w:b/>
          <w:sz w:val="24"/>
          <w:szCs w:val="24"/>
        </w:rPr>
        <w:t>1-64</w:t>
      </w:r>
    </w:p>
    <w:p w14:paraId="436A2A63" w14:textId="77777777" w:rsidR="004F2D19" w:rsidRPr="00FD47DD" w:rsidRDefault="004F2D19" w:rsidP="004F2D19">
      <w:pPr>
        <w:rPr>
          <w:rFonts w:ascii="Arial Black" w:hAnsi="Arial Black"/>
          <w:b/>
          <w:sz w:val="28"/>
          <w:szCs w:val="28"/>
        </w:rPr>
      </w:pPr>
      <w:r>
        <w:rPr>
          <w:rFonts w:ascii="Arial Black" w:hAnsi="Arial Black"/>
          <w:b/>
          <w:sz w:val="28"/>
          <w:szCs w:val="28"/>
        </w:rPr>
        <w:t>MA: FF / NAT. GUARD – CITY PAY 40 DAYS / FOR 40 SHIFTS</w:t>
      </w:r>
    </w:p>
    <w:p w14:paraId="5AE8FE9E" w14:textId="77777777" w:rsidR="004F2D19" w:rsidRDefault="004F2D19" w:rsidP="004F2D19">
      <w:r>
        <w:t xml:space="preserve">On November 21, 2025, in </w:t>
      </w:r>
      <w:r w:rsidRPr="00C30366">
        <w:rPr>
          <w:u w:val="single"/>
        </w:rPr>
        <w:t>Robert Driscoll v. City of Melrose</w:t>
      </w:r>
      <w:r>
        <w:t xml:space="preserve">, the </w:t>
      </w:r>
      <w:r w:rsidRPr="00504997">
        <w:t>Appeals Court of Massachusetts, Middlesex</w:t>
      </w:r>
      <w:r>
        <w:t xml:space="preserve"> held (3 to 0) that Firefighter / C</w:t>
      </w:r>
      <w:r w:rsidRPr="00DE1F7C">
        <w:t xml:space="preserve">olonel in the </w:t>
      </w:r>
      <w:r>
        <w:t xml:space="preserve">U.S. Air Force - </w:t>
      </w:r>
      <w:r w:rsidRPr="00DE1F7C">
        <w:t>Air National Guard</w:t>
      </w:r>
      <w:r>
        <w:t xml:space="preserve"> is entitled under Massachusetts law to full fire department of pay when on active duty for </w:t>
      </w:r>
      <w:r w:rsidRPr="00891DBD">
        <w:t>"the first 40 consecutive calendar days of an annual tour of duty"</w:t>
      </w:r>
      <w:r>
        <w:t xml:space="preserve"> and a </w:t>
      </w:r>
      <w:r>
        <w:lastRenderedPageBreak/>
        <w:t xml:space="preserve">calendar day must be calculated as each of his missed 24-hour shifts.  The city was calculating that each 24-shift was same </w:t>
      </w:r>
      <w:proofErr w:type="gramStart"/>
      <w:r>
        <w:t>a two</w:t>
      </w:r>
      <w:proofErr w:type="gramEnd"/>
      <w:r>
        <w:t xml:space="preserve"> calendar </w:t>
      </w:r>
      <w:proofErr w:type="gramStart"/>
      <w:r>
        <w:t>days, and</w:t>
      </w:r>
      <w:proofErr w:type="gramEnd"/>
      <w:r>
        <w:t xml:space="preserve"> only pay him for 20 consecutive calendar days.  THE COURT WROTE: “</w:t>
      </w:r>
      <w:r w:rsidRPr="00632518">
        <w:t xml:space="preserve">General Laws c. 33, § 59 (a), requires participating government entities to pay the full salary of an employee performing certain military service for "40 days in any federal fiscal year," and states that a day "shall mean any 24-hour period regardless of calendar day."  Applying the plain meaning of these words, we conclude that the firefighter is entitled to pay for up to forty </w:t>
      </w:r>
      <w:proofErr w:type="gramStart"/>
      <w:r w:rsidRPr="00632518">
        <w:t>twenty-four hour</w:t>
      </w:r>
      <w:proofErr w:type="gramEnd"/>
      <w:r w:rsidRPr="00632518">
        <w:t xml:space="preserve"> shifts missed during his military service in each Federal fiscal year, and not (as the city claims) up to twenty such shifts in a consecutive period of forty days.  Accordingly, we reverse.</w:t>
      </w:r>
      <w:r>
        <w:t>”</w:t>
      </w:r>
      <w:r w:rsidRPr="0076709D">
        <w:t xml:space="preserve"> </w:t>
      </w:r>
      <w:hyperlink r:id="rId1788" w:history="1">
        <w:r w:rsidRPr="00422760">
          <w:rPr>
            <w:rStyle w:val="Hyperlink"/>
          </w:rPr>
          <w:t>https://www.mass.gov/doc/driscoll-v-city-of-melrose-ac-s24p1114/download</w:t>
        </w:r>
      </w:hyperlink>
      <w:r>
        <w:t xml:space="preserve"> </w:t>
      </w:r>
    </w:p>
    <w:p w14:paraId="377CC765" w14:textId="77777777" w:rsidR="004F2D19" w:rsidRDefault="004F2D19" w:rsidP="004F2D19">
      <w:pPr>
        <w:pStyle w:val="NoSpacing"/>
      </w:pPr>
    </w:p>
    <w:p w14:paraId="48FA38EB" w14:textId="77777777" w:rsidR="004F2D19" w:rsidRDefault="004F2D19" w:rsidP="004F2D19">
      <w:pPr>
        <w:pStyle w:val="NoSpacing"/>
      </w:pPr>
      <w:r>
        <w:t>THE COURT HELD:</w:t>
      </w:r>
    </w:p>
    <w:p w14:paraId="4266774C" w14:textId="77777777" w:rsidR="004F2D19" w:rsidRDefault="004F2D19" w:rsidP="004F2D19">
      <w:pPr>
        <w:pStyle w:val="NoSpacing"/>
      </w:pPr>
    </w:p>
    <w:p w14:paraId="6FFB75F9" w14:textId="77777777" w:rsidR="004F2D19" w:rsidRDefault="004F2D19" w:rsidP="004F2D19">
      <w:pPr>
        <w:pStyle w:val="NoSpacing"/>
        <w:ind w:left="720"/>
      </w:pPr>
      <w:r>
        <w:t>“</w:t>
      </w:r>
      <w:r w:rsidRPr="005611B1">
        <w:t xml:space="preserve">Each </w:t>
      </w:r>
      <w:proofErr w:type="gramStart"/>
      <w:r w:rsidRPr="005611B1">
        <w:t>twenty-four hour</w:t>
      </w:r>
      <w:proofErr w:type="gramEnd"/>
      <w:r w:rsidRPr="005611B1">
        <w:t xml:space="preserve"> shift began at 7 A.M. and concluded the following calendar day at the same time.  Pursuant to the CBA, the </w:t>
      </w:r>
      <w:proofErr w:type="gramStart"/>
      <w:r w:rsidRPr="005611B1">
        <w:t>twenty-four hour</w:t>
      </w:r>
      <w:proofErr w:type="gramEnd"/>
      <w:r w:rsidRPr="005611B1">
        <w:t xml:space="preserve"> shift consisted of two separate shifts:  a ten-hour day shift followed by a fourteen-hour night shift.  For purposes of vacation or sick leave, the ten-hour and fourteen-hour shifts were considered separate days, amounting to two total days for one </w:t>
      </w:r>
      <w:proofErr w:type="gramStart"/>
      <w:r w:rsidRPr="005611B1">
        <w:t>twenty-four hour</w:t>
      </w:r>
      <w:proofErr w:type="gramEnd"/>
      <w:r w:rsidRPr="005611B1">
        <w:t xml:space="preserve"> shift.  Accordingly, a firefighter who missed a </w:t>
      </w:r>
      <w:proofErr w:type="gramStart"/>
      <w:r w:rsidRPr="005611B1">
        <w:t>twenty-four hour</w:t>
      </w:r>
      <w:proofErr w:type="gramEnd"/>
      <w:r w:rsidRPr="005611B1">
        <w:t xml:space="preserve"> shift because of a vacation or illness would expend two days of vacation time or sick time.</w:t>
      </w:r>
    </w:p>
    <w:p w14:paraId="1CE9C9B8" w14:textId="77777777" w:rsidR="004F2D19" w:rsidRDefault="004F2D19" w:rsidP="004F2D19">
      <w:pPr>
        <w:pStyle w:val="NoSpacing"/>
        <w:ind w:left="720"/>
      </w:pPr>
    </w:p>
    <w:p w14:paraId="4FEC5FD9" w14:textId="77777777" w:rsidR="004F2D19" w:rsidRDefault="004F2D19" w:rsidP="004F2D19">
      <w:pPr>
        <w:pStyle w:val="NoSpacing"/>
        <w:ind w:left="720"/>
      </w:pPr>
      <w:r>
        <w:t>***</w:t>
      </w:r>
    </w:p>
    <w:p w14:paraId="3A25F707" w14:textId="77777777" w:rsidR="004F2D19" w:rsidRDefault="004F2D19" w:rsidP="004F2D19">
      <w:pPr>
        <w:pStyle w:val="NoSpacing"/>
        <w:ind w:left="720"/>
      </w:pPr>
      <w:r w:rsidRPr="00E93688">
        <w:t xml:space="preserve">During the entire time that the firefighter worked for the city, he served as an officer in the United States Air Force, reaching the rank of colonel in the Air National Guard.  This role required the firefighter to take occasional leave for military service, both for training and after being called up for active duty.  Relevant here, between October 2019 and March 2020, the firefighter missed six </w:t>
      </w:r>
      <w:proofErr w:type="gramStart"/>
      <w:r w:rsidRPr="00E93688">
        <w:t>twenty-four hour</w:t>
      </w:r>
      <w:proofErr w:type="gramEnd"/>
      <w:r w:rsidRPr="00E93688">
        <w:t xml:space="preserve"> shifts for military training.  On April 10, 2020, he went on active military leave and missed thirty-two </w:t>
      </w:r>
      <w:proofErr w:type="gramStart"/>
      <w:r w:rsidRPr="00E93688">
        <w:t>twenty-four hour</w:t>
      </w:r>
      <w:proofErr w:type="gramEnd"/>
      <w:r w:rsidRPr="00E93688">
        <w:t xml:space="preserve"> shifts between that date and August 14, 2020.  In August and September 2020, the firefighter missed another four </w:t>
      </w:r>
      <w:proofErr w:type="gramStart"/>
      <w:r w:rsidRPr="00E93688">
        <w:t>twenty-four hour</w:t>
      </w:r>
      <w:proofErr w:type="gramEnd"/>
      <w:r w:rsidRPr="00E93688">
        <w:t xml:space="preserve"> shifts for military training.</w:t>
      </w:r>
    </w:p>
    <w:p w14:paraId="5D82904C" w14:textId="77777777" w:rsidR="004F2D19" w:rsidRDefault="004F2D19" w:rsidP="004F2D19">
      <w:pPr>
        <w:pStyle w:val="NoSpacing"/>
        <w:ind w:left="720"/>
      </w:pPr>
    </w:p>
    <w:p w14:paraId="74E69BC2" w14:textId="77777777" w:rsidR="004F2D19" w:rsidRDefault="004F2D19" w:rsidP="004F2D19">
      <w:pPr>
        <w:pStyle w:val="NoSpacing"/>
        <w:ind w:left="720"/>
      </w:pPr>
      <w:r w:rsidRPr="00646958">
        <w:t xml:space="preserve">The next Federal fiscal year began on October 1, 2020.  See 31 U.S.C. § 1102.  In October 2020, the firefighter missed one twenty-four shift and one fourteen-hour night shift for military training.  On November 28, 2020, the firefighter was again deployed for active military service, which lasted until September 5, 2021.  During that time, he missed seventy </w:t>
      </w:r>
      <w:proofErr w:type="gramStart"/>
      <w:r w:rsidRPr="00646958">
        <w:t>twenty-four hour</w:t>
      </w:r>
      <w:proofErr w:type="gramEnd"/>
      <w:r w:rsidRPr="00646958">
        <w:t xml:space="preserve"> shifts.</w:t>
      </w:r>
    </w:p>
    <w:p w14:paraId="4DF24DBF" w14:textId="77777777" w:rsidR="004F2D19" w:rsidRDefault="004F2D19" w:rsidP="004F2D19">
      <w:pPr>
        <w:pStyle w:val="NoSpacing"/>
        <w:ind w:left="720"/>
      </w:pPr>
    </w:p>
    <w:p w14:paraId="639D845B" w14:textId="77777777" w:rsidR="004F2D19" w:rsidRDefault="004F2D19" w:rsidP="004F2D19">
      <w:pPr>
        <w:pStyle w:val="NoSpacing"/>
        <w:ind w:left="720"/>
      </w:pPr>
      <w:r>
        <w:t>***</w:t>
      </w:r>
    </w:p>
    <w:p w14:paraId="2CEB8D72" w14:textId="77777777" w:rsidR="004F2D19" w:rsidRDefault="004F2D19" w:rsidP="004F2D19">
      <w:pPr>
        <w:pStyle w:val="NoSpacing"/>
        <w:ind w:left="720"/>
      </w:pPr>
    </w:p>
    <w:p w14:paraId="639E27F4" w14:textId="77777777" w:rsidR="004F2D19" w:rsidRDefault="004F2D19" w:rsidP="004F2D19">
      <w:pPr>
        <w:pStyle w:val="NoSpacing"/>
        <w:ind w:left="720"/>
      </w:pPr>
      <w:r>
        <w:t>[Footnote 2.]</w:t>
      </w:r>
      <w:r w:rsidRPr="003922F4">
        <w:t xml:space="preserve">As stated, the city actually paid the firefighter in full for twenty </w:t>
      </w:r>
      <w:proofErr w:type="gramStart"/>
      <w:r w:rsidRPr="003922F4">
        <w:t>twenty-four hour</w:t>
      </w:r>
      <w:proofErr w:type="gramEnd"/>
      <w:r w:rsidRPr="003922F4">
        <w:t xml:space="preserve"> shifts in each Federal fiscal year, regardless of whether that service occurred within a consecutive forty-day period.  Of course, G. L. c. 33, § 59 (a), provides a floor, not a ceiling.  The city was free to pay the firefighter more than its interpretation of G. L. c. 33, § 59 (a), </w:t>
      </w:r>
      <w:proofErr w:type="gramStart"/>
      <w:r w:rsidRPr="003922F4">
        <w:t>required.</w:t>
      </w:r>
      <w:r>
        <w:t>”</w:t>
      </w:r>
      <w:proofErr w:type="gramEnd"/>
    </w:p>
    <w:p w14:paraId="456F97CD" w14:textId="77777777" w:rsidR="004F2D19" w:rsidRDefault="004F2D19" w:rsidP="004F2D19">
      <w:pPr>
        <w:pStyle w:val="NoSpacing"/>
        <w:ind w:left="720"/>
      </w:pPr>
    </w:p>
    <w:p w14:paraId="651F7D58" w14:textId="77777777" w:rsidR="004F2D19" w:rsidRDefault="004F2D19" w:rsidP="004F2D19">
      <w:pPr>
        <w:pStyle w:val="NoSpacing"/>
        <w:rPr>
          <w:b/>
          <w:bCs/>
        </w:rPr>
      </w:pPr>
      <w:r>
        <w:rPr>
          <w:b/>
        </w:rPr>
        <w:t xml:space="preserve">Legal lesson learned: The firefighter’s position was supported by the Massachusetts Attorney General; hopefully the AG will send out communication to municipalities so other firefighter / military personnel don’t need to litigate similar claims. </w:t>
      </w:r>
    </w:p>
    <w:p w14:paraId="04188C10" w14:textId="77777777" w:rsidR="004F2D19" w:rsidRDefault="004F2D19" w:rsidP="004F2D19">
      <w:pPr>
        <w:pStyle w:val="NoSpacing"/>
        <w:rPr>
          <w:b/>
          <w:bCs/>
        </w:rPr>
      </w:pPr>
    </w:p>
    <w:p w14:paraId="3CC1F54A" w14:textId="77777777" w:rsidR="004F2D19" w:rsidRPr="001B2597" w:rsidRDefault="004F2D19" w:rsidP="004F2D19">
      <w:pPr>
        <w:pStyle w:val="NoSpacing"/>
        <w:ind w:left="720"/>
      </w:pPr>
      <w:r w:rsidRPr="001B2597">
        <w:t xml:space="preserve">Note: See the Federal Uniformed Services Employment and Reemployment Rights Act.   “Your USERRA Rights as an Employee.” </w:t>
      </w:r>
      <w:hyperlink r:id="rId1789" w:history="1">
        <w:r w:rsidRPr="001B2597">
          <w:rPr>
            <w:rStyle w:val="Hyperlink"/>
          </w:rPr>
          <w:t>https://osc.gov/Services/Pages/USERRA-Employee.aspx</w:t>
        </w:r>
      </w:hyperlink>
      <w:r w:rsidRPr="001B2597">
        <w:t xml:space="preserve"> </w:t>
      </w:r>
    </w:p>
    <w:p w14:paraId="77EBE98D" w14:textId="77777777" w:rsidR="004F2D19" w:rsidRDefault="004F2D19" w:rsidP="004F2D19">
      <w:pPr>
        <w:pStyle w:val="NoSpacing"/>
        <w:rPr>
          <w:b/>
          <w:bCs/>
        </w:rPr>
      </w:pPr>
    </w:p>
    <w:p w14:paraId="306BC5FA" w14:textId="77777777" w:rsidR="004F2D19" w:rsidRPr="00F76861" w:rsidRDefault="004F2D19" w:rsidP="004F2D19">
      <w:pPr>
        <w:pStyle w:val="NoSpacing"/>
        <w:ind w:left="720"/>
        <w:rPr>
          <w:bCs/>
        </w:rPr>
      </w:pPr>
      <w:r>
        <w:t>“</w:t>
      </w:r>
      <w:r w:rsidRPr="00F76861">
        <w:t>Returning service members are also entitled to receive benefits and seniority as ​though they had remained continuously employed. For instance, if an employee works at a company for two years and then completes one year of military service before returning, her employer must treat her as though she had worked continuously for three years when calculating the following benefits:</w:t>
      </w:r>
    </w:p>
    <w:p w14:paraId="3196D61F" w14:textId="77777777" w:rsidR="004F2D19" w:rsidRPr="00F76861" w:rsidRDefault="004F2D19" w:rsidP="004F2D19">
      <w:pPr>
        <w:pStyle w:val="NoSpacing"/>
        <w:numPr>
          <w:ilvl w:val="0"/>
          <w:numId w:val="37"/>
        </w:numPr>
        <w:tabs>
          <w:tab w:val="clear" w:pos="720"/>
          <w:tab w:val="num" w:pos="1440"/>
        </w:tabs>
        <w:ind w:left="1440"/>
        <w:rPr>
          <w:bCs/>
        </w:rPr>
      </w:pPr>
      <w:r w:rsidRPr="00F76861">
        <w:t>Paid leave (although no leave is accrued while the employee is absent)</w:t>
      </w:r>
    </w:p>
    <w:p w14:paraId="02A135FD" w14:textId="77777777" w:rsidR="004F2D19" w:rsidRPr="00F76861" w:rsidRDefault="004F2D19" w:rsidP="004F2D19">
      <w:pPr>
        <w:pStyle w:val="NoSpacing"/>
        <w:numPr>
          <w:ilvl w:val="0"/>
          <w:numId w:val="37"/>
        </w:numPr>
        <w:tabs>
          <w:tab w:val="clear" w:pos="720"/>
          <w:tab w:val="num" w:pos="1440"/>
        </w:tabs>
        <w:ind w:left="1440"/>
        <w:rPr>
          <w:bCs/>
        </w:rPr>
      </w:pPr>
      <w:r w:rsidRPr="00F76861">
        <w:lastRenderedPageBreak/>
        <w:t>Salary</w:t>
      </w:r>
    </w:p>
    <w:p w14:paraId="7DA0CC66" w14:textId="77777777" w:rsidR="004F2D19" w:rsidRPr="00F76861" w:rsidRDefault="004F2D19" w:rsidP="004F2D19">
      <w:pPr>
        <w:pStyle w:val="NoSpacing"/>
        <w:numPr>
          <w:ilvl w:val="0"/>
          <w:numId w:val="37"/>
        </w:numPr>
        <w:tabs>
          <w:tab w:val="clear" w:pos="720"/>
          <w:tab w:val="num" w:pos="1440"/>
        </w:tabs>
        <w:ind w:left="1440"/>
        <w:rPr>
          <w:bCs/>
        </w:rPr>
      </w:pPr>
      <w:r w:rsidRPr="00F76861">
        <w:t>Credit toward completing probationary periods</w:t>
      </w:r>
    </w:p>
    <w:p w14:paraId="1CCE6CAE" w14:textId="77777777" w:rsidR="004F2D19" w:rsidRPr="00F76861" w:rsidRDefault="004F2D19" w:rsidP="004F2D19">
      <w:pPr>
        <w:pStyle w:val="NoSpacing"/>
        <w:numPr>
          <w:ilvl w:val="0"/>
          <w:numId w:val="37"/>
        </w:numPr>
        <w:tabs>
          <w:tab w:val="clear" w:pos="720"/>
          <w:tab w:val="num" w:pos="1440"/>
        </w:tabs>
        <w:ind w:left="1440"/>
        <w:rPr>
          <w:bCs/>
        </w:rPr>
      </w:pPr>
      <w:r w:rsidRPr="00F76861">
        <w:t>Eligibility for promotions</w:t>
      </w:r>
    </w:p>
    <w:p w14:paraId="362C10ED" w14:textId="77777777" w:rsidR="004F2D19" w:rsidRPr="00F76861" w:rsidRDefault="004F2D19" w:rsidP="004F2D19">
      <w:pPr>
        <w:pStyle w:val="NoSpacing"/>
        <w:numPr>
          <w:ilvl w:val="0"/>
          <w:numId w:val="37"/>
        </w:numPr>
        <w:tabs>
          <w:tab w:val="clear" w:pos="720"/>
          <w:tab w:val="num" w:pos="1440"/>
        </w:tabs>
        <w:ind w:left="1440"/>
        <w:rPr>
          <w:bCs/>
        </w:rPr>
      </w:pPr>
      <w:r w:rsidRPr="00F76861">
        <w:t>Anything else that is tied to the employee’s longevity at the workplace</w:t>
      </w:r>
      <w:r>
        <w:t>.”</w:t>
      </w:r>
    </w:p>
    <w:p w14:paraId="53921309" w14:textId="77777777" w:rsidR="004F2D19" w:rsidRDefault="004F2D19" w:rsidP="004F2D19">
      <w:pPr>
        <w:pStyle w:val="NoSpacing"/>
      </w:pPr>
    </w:p>
    <w:p w14:paraId="54C2775E" w14:textId="7B566B44" w:rsidR="004F2D19" w:rsidRDefault="00006AE3" w:rsidP="00020106">
      <w:pPr>
        <w:rPr>
          <w:rFonts w:ascii="Arial Black" w:hAnsi="Arial Black"/>
          <w:b/>
          <w:sz w:val="24"/>
          <w:szCs w:val="24"/>
        </w:rPr>
      </w:pPr>
      <w:r>
        <w:rPr>
          <w:rFonts w:ascii="Arial Black" w:hAnsi="Arial Black"/>
          <w:b/>
          <w:sz w:val="24"/>
          <w:szCs w:val="24"/>
        </w:rPr>
        <w:t>11-63</w:t>
      </w:r>
    </w:p>
    <w:p w14:paraId="7F86A6A6" w14:textId="17F649B8" w:rsidR="00515C56" w:rsidRPr="007D35F7" w:rsidRDefault="005F2DAC" w:rsidP="00515C56">
      <w:pPr>
        <w:pStyle w:val="NoSpacing"/>
        <w:rPr>
          <w:rFonts w:ascii="Arial Black" w:hAnsi="Arial Black"/>
          <w:sz w:val="28"/>
          <w:szCs w:val="28"/>
        </w:rPr>
      </w:pPr>
      <w:r>
        <w:rPr>
          <w:rFonts w:ascii="Arial Black" w:hAnsi="Arial Black"/>
          <w:sz w:val="28"/>
          <w:szCs w:val="28"/>
        </w:rPr>
        <w:t>U.S. D</w:t>
      </w:r>
      <w:r w:rsidR="00E16F2F">
        <w:rPr>
          <w:rFonts w:ascii="Arial Black" w:hAnsi="Arial Black"/>
          <w:sz w:val="28"/>
          <w:szCs w:val="28"/>
        </w:rPr>
        <w:t xml:space="preserve">OL: </w:t>
      </w:r>
      <w:r w:rsidR="00515C56">
        <w:rPr>
          <w:rFonts w:ascii="Arial Black" w:hAnsi="Arial Black"/>
          <w:sz w:val="28"/>
          <w:szCs w:val="28"/>
        </w:rPr>
        <w:t xml:space="preserve">BONUS PAY / EMERG </w:t>
      </w:r>
      <w:r w:rsidR="00400FF9">
        <w:rPr>
          <w:rFonts w:ascii="Arial Black" w:hAnsi="Arial Black"/>
          <w:sz w:val="28"/>
          <w:szCs w:val="28"/>
        </w:rPr>
        <w:t>DAYS</w:t>
      </w:r>
      <w:r w:rsidR="00E8499A">
        <w:rPr>
          <w:rFonts w:ascii="Arial Black" w:hAnsi="Arial Black"/>
          <w:sz w:val="28"/>
          <w:szCs w:val="28"/>
        </w:rPr>
        <w:t xml:space="preserve"> – INC</w:t>
      </w:r>
      <w:r w:rsidR="00DC4A38">
        <w:rPr>
          <w:rFonts w:ascii="Arial Black" w:hAnsi="Arial Black"/>
          <w:sz w:val="28"/>
          <w:szCs w:val="28"/>
        </w:rPr>
        <w:t xml:space="preserve">LUDE AS </w:t>
      </w:r>
      <w:r w:rsidR="00515C56">
        <w:rPr>
          <w:rFonts w:ascii="Arial Black" w:hAnsi="Arial Black"/>
          <w:sz w:val="28"/>
          <w:szCs w:val="28"/>
        </w:rPr>
        <w:t>“REGULAR RATE</w:t>
      </w:r>
      <w:r w:rsidR="00E8499A">
        <w:rPr>
          <w:rFonts w:ascii="Arial Black" w:hAnsi="Arial Black"/>
          <w:sz w:val="28"/>
          <w:szCs w:val="28"/>
        </w:rPr>
        <w:t>”</w:t>
      </w:r>
    </w:p>
    <w:p w14:paraId="53B885B0" w14:textId="77777777" w:rsidR="0042214E" w:rsidRDefault="0042214E" w:rsidP="0042214E">
      <w:pPr>
        <w:pStyle w:val="NoSpacing"/>
        <w:ind w:left="720"/>
      </w:pPr>
    </w:p>
    <w:p w14:paraId="68EDA35A" w14:textId="77777777" w:rsidR="0042214E" w:rsidRDefault="0042214E" w:rsidP="0042214E">
      <w:pPr>
        <w:rPr>
          <w:b/>
        </w:rPr>
      </w:pPr>
      <w:r>
        <w:t xml:space="preserve">On September 30, 2025, the U.S. Department of Labor / Wage &amp; Hour Division issued Opinion Letter 2025-04, which concluded that the “emergency pay” bonus </w:t>
      </w:r>
      <w:r w:rsidRPr="00A221F2">
        <w:t>of one half the employee’s regular hourly rate of pay</w:t>
      </w:r>
      <w:r>
        <w:t xml:space="preserve"> </w:t>
      </w:r>
      <w:r w:rsidRPr="00A221F2">
        <w:t>for every hour worked during an “emergency period</w:t>
      </w:r>
      <w:r>
        <w:t xml:space="preserve">” is not a discretionary payment by the employer.  Since it must be paid, then employer must include the payments when calculating the firefighter’s “regular rate of pay” when working normal overtimes. </w:t>
      </w:r>
      <w:hyperlink r:id="rId1790" w:history="1">
        <w:r w:rsidRPr="000D68E6">
          <w:rPr>
            <w:rStyle w:val="Hyperlink"/>
            <w:b/>
          </w:rPr>
          <w:t>https://www.dol.gov/sites/dolgov/files/WHD/opinion-letters/FLSA/FLSA-2025-04.pdf</w:t>
        </w:r>
      </w:hyperlink>
      <w:r>
        <w:rPr>
          <w:b/>
        </w:rPr>
        <w:t xml:space="preserve"> </w:t>
      </w:r>
    </w:p>
    <w:p w14:paraId="7FA09B8B" w14:textId="77777777" w:rsidR="0042214E" w:rsidRDefault="0042214E" w:rsidP="0042214E">
      <w:pPr>
        <w:pStyle w:val="NoSpacing"/>
      </w:pPr>
    </w:p>
    <w:p w14:paraId="4F7C1A42" w14:textId="77777777" w:rsidR="0042214E" w:rsidRDefault="0042214E" w:rsidP="0042214E">
      <w:pPr>
        <w:pStyle w:val="NoSpacing"/>
      </w:pPr>
      <w:r>
        <w:t>THE OPINION CONCLUDED:</w:t>
      </w:r>
    </w:p>
    <w:p w14:paraId="67082C11" w14:textId="77777777" w:rsidR="0042214E" w:rsidRDefault="0042214E" w:rsidP="0042214E">
      <w:pPr>
        <w:pStyle w:val="NoSpacing"/>
      </w:pPr>
    </w:p>
    <w:p w14:paraId="3F8F7D10" w14:textId="77777777" w:rsidR="0042214E" w:rsidRDefault="0042214E" w:rsidP="0042214E">
      <w:pPr>
        <w:pStyle w:val="NoSpacing"/>
        <w:ind w:left="720"/>
      </w:pPr>
      <w:r>
        <w:t>“</w:t>
      </w:r>
      <w:r w:rsidRPr="00140178">
        <w:t>It is our opinion that, under the circumstances presented and limited to the specific facts set forth</w:t>
      </w:r>
      <w:r>
        <w:t xml:space="preserve"> </w:t>
      </w:r>
      <w:r w:rsidRPr="00140178">
        <w:t>in the request, the “emergency pay” is not excludable from the regular rate of pay because the fact</w:t>
      </w:r>
      <w:r>
        <w:t xml:space="preserve"> </w:t>
      </w:r>
      <w:r w:rsidRPr="00140178">
        <w:t>and amount of the payment are not within the sole discretion of the employer at or near the end of</w:t>
      </w:r>
      <w:r>
        <w:t xml:space="preserve"> </w:t>
      </w:r>
      <w:r w:rsidRPr="00140178">
        <w:t>the work period, and the pay does not otherwise fit within a statutory exclusion. Accordingly, the</w:t>
      </w:r>
      <w:r>
        <w:t xml:space="preserve"> </w:t>
      </w:r>
      <w:r w:rsidRPr="00140178">
        <w:t xml:space="preserve">employer at issue should include </w:t>
      </w:r>
      <w:r>
        <w:t>‘</w:t>
      </w:r>
      <w:r w:rsidRPr="00140178">
        <w:t>emergency pay</w:t>
      </w:r>
      <w:r>
        <w:t>’</w:t>
      </w:r>
      <w:r w:rsidRPr="00140178">
        <w:t xml:space="preserve"> earned for hours worked within the regular rate</w:t>
      </w:r>
      <w:r>
        <w:t xml:space="preserve"> </w:t>
      </w:r>
      <w:r w:rsidRPr="00140178">
        <w:t>for purposes of overtime premium calculations using the method described below.</w:t>
      </w:r>
    </w:p>
    <w:p w14:paraId="7EBDB66F" w14:textId="77777777" w:rsidR="0042214E" w:rsidRDefault="0042214E" w:rsidP="0042214E">
      <w:pPr>
        <w:pStyle w:val="NoSpacing"/>
        <w:ind w:left="720"/>
      </w:pPr>
    </w:p>
    <w:p w14:paraId="4F0CC88B" w14:textId="77777777" w:rsidR="0042214E" w:rsidRDefault="0042214E" w:rsidP="0042214E">
      <w:pPr>
        <w:pStyle w:val="NoSpacing"/>
        <w:ind w:left="720"/>
      </w:pPr>
      <w:r>
        <w:t>***</w:t>
      </w:r>
    </w:p>
    <w:p w14:paraId="38765F07" w14:textId="77777777" w:rsidR="0042214E" w:rsidRPr="00140178" w:rsidRDefault="0042214E" w:rsidP="0042214E">
      <w:pPr>
        <w:pStyle w:val="NoSpacing"/>
        <w:ind w:left="720"/>
      </w:pPr>
      <w:r>
        <w:t>The FLSA requires that three conditions be satisfied for a payment to qualify as an excludable discretionary bonus: (1) the fact and amount of the payment must be ‘determined at the sole discretion of the employer’; (2) the employer’s determination must occur ‘at or near the end of the period’ when the employee’s work was performed; and (3) the payment must not be made pursuant to ‘any prior contract, agreement, or promise’ causing employees to expect such payments regularly. 29 U.S.C. § 207(e)(3). Here, regardless of whether the city’s policy would constitute a prior contract, agreement, or promise, the first two conditions are not satisfied.”</w:t>
      </w:r>
    </w:p>
    <w:p w14:paraId="302863EA" w14:textId="77777777" w:rsidR="0042214E" w:rsidRDefault="0042214E" w:rsidP="0042214E">
      <w:pPr>
        <w:rPr>
          <w:b/>
        </w:rPr>
      </w:pPr>
    </w:p>
    <w:p w14:paraId="188DCFB8" w14:textId="58AB1A78" w:rsidR="0042214E" w:rsidRDefault="0042214E" w:rsidP="0042214E">
      <w:pPr>
        <w:rPr>
          <w:b/>
        </w:rPr>
      </w:pPr>
      <w:r>
        <w:rPr>
          <w:b/>
        </w:rPr>
        <w:t>Legal lesson learned: Consult with legal counsel prior to treat</w:t>
      </w:r>
      <w:r w:rsidR="00B973D2">
        <w:rPr>
          <w:b/>
        </w:rPr>
        <w:t>ing</w:t>
      </w:r>
      <w:r>
        <w:rPr>
          <w:b/>
        </w:rPr>
        <w:t xml:space="preserve"> any bonus payments as “excludable discretionary bonuses. ” </w:t>
      </w:r>
    </w:p>
    <w:p w14:paraId="136672CE" w14:textId="77777777" w:rsidR="0042214E" w:rsidRPr="00B00F68" w:rsidRDefault="0042214E" w:rsidP="0042214E">
      <w:pPr>
        <w:ind w:left="720"/>
        <w:rPr>
          <w:bCs/>
        </w:rPr>
      </w:pPr>
      <w:r w:rsidRPr="00B00F68">
        <w:t xml:space="preserve">Note: See FLSA Fact Sheet #56C, December 2019 for examples of bonuses thar may be excludable discretionary bonus. </w:t>
      </w:r>
      <w:hyperlink r:id="rId1791" w:history="1">
        <w:r w:rsidRPr="00D443D2">
          <w:rPr>
            <w:rStyle w:val="Hyperlink"/>
          </w:rPr>
          <w:t>https://www.dol.gov/agencies/whd/fact-sheets/56c-bonuses</w:t>
        </w:r>
      </w:hyperlink>
      <w:r>
        <w:t xml:space="preserve"> </w:t>
      </w:r>
    </w:p>
    <w:p w14:paraId="5C4EFBB6" w14:textId="77777777" w:rsidR="0042214E" w:rsidRPr="00236419" w:rsidRDefault="0042214E" w:rsidP="0042214E">
      <w:pPr>
        <w:ind w:left="720"/>
        <w:rPr>
          <w:bCs/>
        </w:rPr>
      </w:pPr>
      <w:r w:rsidRPr="00B00F68">
        <w:t>“</w:t>
      </w:r>
      <w:r w:rsidRPr="00236419">
        <w:t xml:space="preserve">Examples of some common bonuses that may be excludable discretionary bonuses if they meet the statutory requirements include: </w:t>
      </w:r>
    </w:p>
    <w:p w14:paraId="5D1B5BC4" w14:textId="77777777" w:rsidR="0042214E" w:rsidRPr="00236419" w:rsidRDefault="0042214E" w:rsidP="0042214E">
      <w:pPr>
        <w:numPr>
          <w:ilvl w:val="0"/>
          <w:numId w:val="38"/>
        </w:numPr>
        <w:spacing w:after="160" w:line="259" w:lineRule="auto"/>
        <w:rPr>
          <w:bCs/>
        </w:rPr>
      </w:pPr>
      <w:r w:rsidRPr="00236419">
        <w:t xml:space="preserve">Bonuses for overcoming a challenging or stressful situation; </w:t>
      </w:r>
    </w:p>
    <w:p w14:paraId="7D9C688F" w14:textId="77777777" w:rsidR="0042214E" w:rsidRPr="00236419" w:rsidRDefault="0042214E" w:rsidP="0042214E">
      <w:pPr>
        <w:numPr>
          <w:ilvl w:val="0"/>
          <w:numId w:val="38"/>
        </w:numPr>
        <w:spacing w:after="160" w:line="259" w:lineRule="auto"/>
        <w:rPr>
          <w:bCs/>
        </w:rPr>
      </w:pPr>
      <w:r w:rsidRPr="00236419">
        <w:t xml:space="preserve">Bonuses to employees who made unique or extraordinary efforts not awarded according to pre-established criteria; </w:t>
      </w:r>
    </w:p>
    <w:p w14:paraId="7464278A" w14:textId="77777777" w:rsidR="0042214E" w:rsidRPr="00236419" w:rsidRDefault="0042214E" w:rsidP="0042214E">
      <w:pPr>
        <w:numPr>
          <w:ilvl w:val="0"/>
          <w:numId w:val="38"/>
        </w:numPr>
        <w:spacing w:after="160" w:line="259" w:lineRule="auto"/>
        <w:rPr>
          <w:bCs/>
        </w:rPr>
      </w:pPr>
      <w:r w:rsidRPr="00236419">
        <w:t xml:space="preserve">Employee-of-the-month bonuses; </w:t>
      </w:r>
    </w:p>
    <w:p w14:paraId="414DC10F" w14:textId="77777777" w:rsidR="0042214E" w:rsidRPr="00236419" w:rsidRDefault="0042214E" w:rsidP="0042214E">
      <w:pPr>
        <w:numPr>
          <w:ilvl w:val="0"/>
          <w:numId w:val="38"/>
        </w:numPr>
        <w:spacing w:after="160" w:line="259" w:lineRule="auto"/>
        <w:rPr>
          <w:bCs/>
        </w:rPr>
      </w:pPr>
      <w:r w:rsidRPr="00236419">
        <w:t>Severance bonuses</w:t>
      </w:r>
      <w:r>
        <w:t xml:space="preserve">.” </w:t>
      </w:r>
    </w:p>
    <w:p w14:paraId="399DF0D8" w14:textId="19EB5095" w:rsidR="00020106" w:rsidRDefault="00020106" w:rsidP="00020106">
      <w:pPr>
        <w:rPr>
          <w:rFonts w:ascii="Arial Black" w:hAnsi="Arial Black"/>
          <w:b/>
          <w:sz w:val="24"/>
          <w:szCs w:val="24"/>
        </w:rPr>
      </w:pPr>
      <w:r>
        <w:rPr>
          <w:rFonts w:ascii="Arial Black" w:hAnsi="Arial Black"/>
          <w:b/>
          <w:sz w:val="24"/>
          <w:szCs w:val="24"/>
        </w:rPr>
        <w:t>11-</w:t>
      </w:r>
      <w:r w:rsidR="004C5670">
        <w:rPr>
          <w:rFonts w:ascii="Arial Black" w:hAnsi="Arial Black"/>
          <w:b/>
          <w:sz w:val="24"/>
          <w:szCs w:val="24"/>
        </w:rPr>
        <w:t>62</w:t>
      </w:r>
    </w:p>
    <w:p w14:paraId="6F370D07" w14:textId="15FAFC7E" w:rsidR="00A67DBF" w:rsidRPr="001E472F" w:rsidRDefault="00A67DBF" w:rsidP="00A67DBF">
      <w:pPr>
        <w:rPr>
          <w:rFonts w:ascii="Arial Black" w:hAnsi="Arial Black"/>
          <w:b/>
          <w:sz w:val="28"/>
          <w:szCs w:val="28"/>
        </w:rPr>
      </w:pPr>
      <w:r>
        <w:rPr>
          <w:rFonts w:ascii="Arial Black" w:hAnsi="Arial Black"/>
          <w:b/>
          <w:sz w:val="28"/>
          <w:szCs w:val="28"/>
        </w:rPr>
        <w:lastRenderedPageBreak/>
        <w:t>OK: SHIFT DIFFERENTIAL – OT RATE - $350K SETTLEMENT</w:t>
      </w:r>
    </w:p>
    <w:p w14:paraId="07ECAA33" w14:textId="2DFBAA53" w:rsidR="009C7451" w:rsidRPr="00F74343" w:rsidRDefault="00A67DBF" w:rsidP="00A67DBF">
      <w:pPr>
        <w:rPr>
          <w:rFonts w:ascii="Times New Roman" w:hAnsi="Times New Roman"/>
          <w:b/>
          <w:sz w:val="24"/>
          <w:szCs w:val="24"/>
        </w:rPr>
      </w:pPr>
      <w:r w:rsidRPr="00F74343">
        <w:rPr>
          <w:rFonts w:ascii="Times New Roman" w:hAnsi="Times New Roman"/>
          <w:sz w:val="24"/>
          <w:szCs w:val="24"/>
        </w:rPr>
        <w:t xml:space="preserve">On June 23, 2025, in </w:t>
      </w:r>
      <w:r w:rsidRPr="00F74343">
        <w:rPr>
          <w:rFonts w:ascii="Times New Roman" w:hAnsi="Times New Roman"/>
          <w:sz w:val="24"/>
          <w:szCs w:val="24"/>
          <w:u w:val="single"/>
        </w:rPr>
        <w:t>Jerry Sherley v. Muskogee County EMS</w:t>
      </w:r>
      <w:r w:rsidRPr="00F74343">
        <w:rPr>
          <w:rFonts w:ascii="Times New Roman" w:hAnsi="Times New Roman"/>
          <w:sz w:val="24"/>
          <w:szCs w:val="24"/>
        </w:rPr>
        <w:t xml:space="preserve">, U.S. District Court Judge John F. Heil, III, United States District Court for Eastern District of Oklahoma, approved a settlement agreement for EMTs employed by the County who received an hourly wage plus shift differential pay and who worked more than 40 hours in a workweek between July 18, 2020 to October 31, 2023.  The gross settlement amount of $350,000 (including </w:t>
      </w:r>
      <w:proofErr w:type="gramStart"/>
      <w:r w:rsidRPr="00F74343">
        <w:rPr>
          <w:rFonts w:ascii="Times New Roman" w:hAnsi="Times New Roman"/>
          <w:sz w:val="24"/>
          <w:szCs w:val="24"/>
        </w:rPr>
        <w:t>attorney's</w:t>
      </w:r>
      <w:proofErr w:type="gramEnd"/>
      <w:r w:rsidRPr="00F74343">
        <w:rPr>
          <w:rFonts w:ascii="Times New Roman" w:hAnsi="Times New Roman"/>
          <w:sz w:val="24"/>
          <w:szCs w:val="24"/>
        </w:rPr>
        <w:t xml:space="preserve"> fees and costs, as well as administration expenses) for up to 130 putative class members. Based on the amount of the settlement and the number of class members [78 EMS] opting into the settlement, members of the class will receive more than 200% of their unpaid wages.  THE COURT HELD: “Here, the standard for final certification is met. As to the first factor, there are no ‘disparate and factual employment settings’ that would preclude collective treatment because all the members of the Settlement Class were subject to MCEMS's policy of failing to include shift ‘differential’ pay when calculating overtime rates.” </w:t>
      </w:r>
      <w:hyperlink r:id="rId1792" w:history="1">
        <w:r w:rsidRPr="00F74343">
          <w:rPr>
            <w:rStyle w:val="Hyperlink"/>
            <w:rFonts w:ascii="Times New Roman" w:hAnsi="Times New Roman"/>
            <w:sz w:val="24"/>
            <w:szCs w:val="24"/>
          </w:rPr>
          <w:t>https://cases.justia.com/federal/district-courts/oklahoma/okedce/6:2023cv00241/34830/33/0.pdf?ts=1732294058</w:t>
        </w:r>
      </w:hyperlink>
    </w:p>
    <w:p w14:paraId="26A7C4B1" w14:textId="77777777" w:rsidR="00F74343" w:rsidRPr="00F74343" w:rsidRDefault="00F74343" w:rsidP="00F74343">
      <w:pPr>
        <w:rPr>
          <w:rFonts w:ascii="Times New Roman" w:hAnsi="Times New Roman"/>
          <w:b/>
          <w:bCs/>
          <w:sz w:val="24"/>
          <w:szCs w:val="24"/>
        </w:rPr>
      </w:pPr>
      <w:r w:rsidRPr="00F74343">
        <w:rPr>
          <w:rFonts w:ascii="Times New Roman" w:hAnsi="Times New Roman"/>
          <w:b/>
          <w:sz w:val="24"/>
          <w:szCs w:val="24"/>
        </w:rPr>
        <w:t xml:space="preserve">Legal lesson learned: Fire &amp; EMS employers should carefully review FLSA regulations on how shift differential pay and other incentive pay (such as paramedic pay) can impact an employee’s “regular rate of pay.” </w:t>
      </w:r>
    </w:p>
    <w:p w14:paraId="0D3193FE" w14:textId="77777777" w:rsidR="00F74343" w:rsidRPr="00F74343" w:rsidRDefault="00F74343" w:rsidP="00F74343">
      <w:pPr>
        <w:ind w:left="720"/>
        <w:rPr>
          <w:rFonts w:ascii="Times New Roman" w:hAnsi="Times New Roman"/>
          <w:sz w:val="24"/>
          <w:szCs w:val="24"/>
        </w:rPr>
      </w:pPr>
      <w:r w:rsidRPr="00F74343">
        <w:rPr>
          <w:rFonts w:ascii="Times New Roman" w:hAnsi="Times New Roman"/>
          <w:sz w:val="24"/>
          <w:szCs w:val="24"/>
        </w:rPr>
        <w:t xml:space="preserve">Note: See this article, “Wage and Hour Watch: Regular Rate of Pay Primer for Employers.” March 4, 2024. </w:t>
      </w:r>
      <w:hyperlink r:id="rId1793" w:history="1">
        <w:r w:rsidRPr="00F74343">
          <w:rPr>
            <w:rStyle w:val="Hyperlink"/>
            <w:rFonts w:ascii="Times New Roman" w:hAnsi="Times New Roman"/>
            <w:sz w:val="24"/>
            <w:szCs w:val="24"/>
          </w:rPr>
          <w:t>https://natlawreview.com/article/wage-and-hour-watch-regular-rate-pay-primer-employers</w:t>
        </w:r>
      </w:hyperlink>
      <w:r w:rsidRPr="00F74343">
        <w:rPr>
          <w:rFonts w:ascii="Times New Roman" w:hAnsi="Times New Roman"/>
          <w:sz w:val="24"/>
          <w:szCs w:val="24"/>
        </w:rPr>
        <w:t xml:space="preserve"> </w:t>
      </w:r>
    </w:p>
    <w:p w14:paraId="42073B02" w14:textId="77777777" w:rsidR="00F74343" w:rsidRPr="00F74343" w:rsidRDefault="00F74343" w:rsidP="00F74343">
      <w:pPr>
        <w:ind w:left="1440"/>
        <w:rPr>
          <w:rFonts w:ascii="Times New Roman" w:hAnsi="Times New Roman"/>
          <w:sz w:val="24"/>
          <w:szCs w:val="24"/>
        </w:rPr>
      </w:pPr>
      <w:r w:rsidRPr="00F74343">
        <w:rPr>
          <w:rFonts w:ascii="Times New Roman" w:hAnsi="Times New Roman"/>
          <w:sz w:val="24"/>
          <w:szCs w:val="24"/>
        </w:rPr>
        <w:t xml:space="preserve">“If an employee’s base hourly rate is $16 per hour, but the employee receives a 50 cent per hour shift differential for working certain shifts, such shift differential should be included in the employee’s regular rate of pay, and thus, the overtime calculation. So, in this example, if an employee worked 46 hours in a work </w:t>
      </w:r>
      <w:proofErr w:type="gramStart"/>
      <w:r w:rsidRPr="00F74343">
        <w:rPr>
          <w:rFonts w:ascii="Times New Roman" w:hAnsi="Times New Roman"/>
          <w:sz w:val="24"/>
          <w:szCs w:val="24"/>
        </w:rPr>
        <w:t>week, and</w:t>
      </w:r>
      <w:proofErr w:type="gramEnd"/>
      <w:r w:rsidRPr="00F74343">
        <w:rPr>
          <w:rFonts w:ascii="Times New Roman" w:hAnsi="Times New Roman"/>
          <w:sz w:val="24"/>
          <w:szCs w:val="24"/>
        </w:rPr>
        <w:t xml:space="preserve"> was paid the shift differential for six of those hours, the employee's overtime rate is not $24 per hour, it is $24.10.”</w:t>
      </w:r>
    </w:p>
    <w:p w14:paraId="3CA10362" w14:textId="2A6F9D5C" w:rsidR="009C7451" w:rsidRPr="00F74343" w:rsidRDefault="00F74343" w:rsidP="00F74343">
      <w:pPr>
        <w:ind w:left="720"/>
        <w:rPr>
          <w:rFonts w:ascii="Times New Roman" w:hAnsi="Times New Roman"/>
          <w:b/>
          <w:sz w:val="24"/>
          <w:szCs w:val="24"/>
        </w:rPr>
      </w:pPr>
      <w:r w:rsidRPr="00F74343">
        <w:rPr>
          <w:rFonts w:ascii="Times New Roman" w:hAnsi="Times New Roman"/>
          <w:sz w:val="24"/>
          <w:szCs w:val="24"/>
        </w:rPr>
        <w:t xml:space="preserve">See also: Fact Sheet #56A: Overview of the Regular Rate of Pay Under the Fair Labor Standards Act (FLSA). </w:t>
      </w:r>
      <w:hyperlink r:id="rId1794" w:history="1">
        <w:r w:rsidRPr="00F74343">
          <w:rPr>
            <w:rStyle w:val="Hyperlink"/>
            <w:rFonts w:ascii="Times New Roman" w:hAnsi="Times New Roman"/>
            <w:sz w:val="24"/>
            <w:szCs w:val="24"/>
          </w:rPr>
          <w:t>https://www.dol.gov/agencies/whd/fact-sheets/56a-regular-rate</w:t>
        </w:r>
      </w:hyperlink>
    </w:p>
    <w:p w14:paraId="41561DE1" w14:textId="77777777" w:rsidR="009C7451" w:rsidRDefault="009C7451" w:rsidP="00F326E5">
      <w:pPr>
        <w:rPr>
          <w:rFonts w:ascii="Arial Black" w:hAnsi="Arial Black"/>
          <w:b/>
          <w:sz w:val="24"/>
          <w:szCs w:val="24"/>
        </w:rPr>
      </w:pPr>
    </w:p>
    <w:p w14:paraId="0072E330" w14:textId="11D705E6" w:rsidR="00020106" w:rsidRDefault="00020106" w:rsidP="00020106">
      <w:pPr>
        <w:rPr>
          <w:rFonts w:ascii="Arial Black" w:hAnsi="Arial Black"/>
          <w:b/>
          <w:sz w:val="24"/>
          <w:szCs w:val="24"/>
        </w:rPr>
      </w:pPr>
      <w:r>
        <w:rPr>
          <w:rFonts w:ascii="Arial Black" w:hAnsi="Arial Black"/>
          <w:b/>
          <w:sz w:val="24"/>
          <w:szCs w:val="24"/>
        </w:rPr>
        <w:t>11-</w:t>
      </w:r>
      <w:r w:rsidR="004C5670">
        <w:rPr>
          <w:rFonts w:ascii="Arial Black" w:hAnsi="Arial Black"/>
          <w:b/>
          <w:sz w:val="24"/>
          <w:szCs w:val="24"/>
        </w:rPr>
        <w:t>61</w:t>
      </w:r>
    </w:p>
    <w:p w14:paraId="0F288793" w14:textId="2A55A3FA" w:rsidR="00EB050B" w:rsidRPr="00EA5A43" w:rsidRDefault="00EB050B" w:rsidP="00EB050B">
      <w:pPr>
        <w:rPr>
          <w:rFonts w:ascii="Arial Black" w:hAnsi="Arial Black"/>
          <w:b/>
          <w:sz w:val="28"/>
          <w:szCs w:val="28"/>
        </w:rPr>
      </w:pPr>
      <w:r>
        <w:rPr>
          <w:rFonts w:ascii="Arial Black" w:hAnsi="Arial Black"/>
          <w:b/>
          <w:sz w:val="28"/>
          <w:szCs w:val="28"/>
        </w:rPr>
        <w:t xml:space="preserve">MN: EMS “ON CALL” - 8-MIN </w:t>
      </w:r>
      <w:r w:rsidR="006E0471">
        <w:rPr>
          <w:rFonts w:ascii="Arial Black" w:hAnsi="Arial Black"/>
          <w:b/>
          <w:sz w:val="28"/>
          <w:szCs w:val="28"/>
        </w:rPr>
        <w:t xml:space="preserve">REQ. </w:t>
      </w:r>
      <w:r>
        <w:rPr>
          <w:rFonts w:ascii="Arial Black" w:hAnsi="Arial Black"/>
          <w:b/>
          <w:sz w:val="28"/>
          <w:szCs w:val="28"/>
        </w:rPr>
        <w:t>RESP</w:t>
      </w:r>
      <w:r w:rsidR="006E0471">
        <w:rPr>
          <w:rFonts w:ascii="Arial Black" w:hAnsi="Arial Black"/>
          <w:b/>
          <w:sz w:val="28"/>
          <w:szCs w:val="28"/>
        </w:rPr>
        <w:t>ONSE</w:t>
      </w:r>
      <w:r>
        <w:rPr>
          <w:rFonts w:ascii="Arial Black" w:hAnsi="Arial Black"/>
          <w:b/>
          <w:sz w:val="28"/>
          <w:szCs w:val="28"/>
        </w:rPr>
        <w:t xml:space="preserve"> TIME </w:t>
      </w:r>
      <w:r w:rsidR="00292532">
        <w:rPr>
          <w:rFonts w:ascii="Arial Black" w:hAnsi="Arial Black"/>
          <w:b/>
          <w:sz w:val="28"/>
          <w:szCs w:val="28"/>
        </w:rPr>
        <w:t>–</w:t>
      </w:r>
      <w:r w:rsidR="00B82986">
        <w:rPr>
          <w:rFonts w:ascii="Arial Black" w:hAnsi="Arial Black"/>
          <w:b/>
          <w:sz w:val="28"/>
          <w:szCs w:val="28"/>
        </w:rPr>
        <w:t xml:space="preserve"> </w:t>
      </w:r>
      <w:r w:rsidR="00292532">
        <w:rPr>
          <w:rFonts w:ascii="Arial Black" w:hAnsi="Arial Black"/>
          <w:b/>
          <w:sz w:val="28"/>
          <w:szCs w:val="28"/>
        </w:rPr>
        <w:t xml:space="preserve">GRANTED </w:t>
      </w:r>
      <w:r>
        <w:rPr>
          <w:rFonts w:ascii="Arial Black" w:hAnsi="Arial Black"/>
          <w:b/>
          <w:sz w:val="28"/>
          <w:szCs w:val="28"/>
        </w:rPr>
        <w:t>CLASS ACTION</w:t>
      </w:r>
      <w:r w:rsidR="00F41FAA">
        <w:rPr>
          <w:rFonts w:ascii="Arial Black" w:hAnsi="Arial Black"/>
          <w:b/>
          <w:sz w:val="28"/>
          <w:szCs w:val="28"/>
        </w:rPr>
        <w:t xml:space="preserve"> </w:t>
      </w:r>
    </w:p>
    <w:p w14:paraId="65718A44" w14:textId="20E5D6F7" w:rsidR="009C7451" w:rsidRPr="004C756A" w:rsidRDefault="00EB050B" w:rsidP="00EB050B">
      <w:pPr>
        <w:rPr>
          <w:rFonts w:ascii="Times New Roman" w:hAnsi="Times New Roman"/>
          <w:sz w:val="24"/>
          <w:szCs w:val="24"/>
        </w:rPr>
      </w:pPr>
      <w:r w:rsidRPr="004C756A">
        <w:rPr>
          <w:rFonts w:ascii="Times New Roman" w:hAnsi="Times New Roman"/>
          <w:sz w:val="24"/>
          <w:szCs w:val="24"/>
        </w:rPr>
        <w:t xml:space="preserve">On June 20, 2025, in </w:t>
      </w:r>
      <w:r w:rsidRPr="004C756A">
        <w:rPr>
          <w:rFonts w:ascii="Times New Roman" w:hAnsi="Times New Roman"/>
          <w:sz w:val="24"/>
          <w:szCs w:val="24"/>
          <w:u w:val="single"/>
        </w:rPr>
        <w:t>Jason Johnson, individually and on behalf of all others similarly situated v, North Memorial Health Care</w:t>
      </w:r>
      <w:r w:rsidRPr="004C756A">
        <w:rPr>
          <w:rFonts w:ascii="Times New Roman" w:hAnsi="Times New Roman"/>
          <w:sz w:val="24"/>
          <w:szCs w:val="24"/>
        </w:rPr>
        <w:t xml:space="preserve">,  U.S. District Court Chief Judge Patrick J. Schiltz, United States District Court for the District of Minnesota, granted the motion to certify a class action on behalf of 120 paramedics and EMTs who have agreed to join in the lawsuit. The EMS plaintiffs claim that the 8-minute response time requirement, in uniform, when they were scheduled to be “on call” from home so impacts their personal time they are entitled to their regular hourly pay rate (not just $4 per hour). THE COURT HELD: “Here, the EMTs were all subject to the same policies that, they contend, significantly restricted their ability to spend on-call time on personal pursuits. In particular, the EMTs were required, while on call, to be </w:t>
      </w:r>
      <w:proofErr w:type="spellStart"/>
      <w:r w:rsidRPr="004C756A">
        <w:rPr>
          <w:rFonts w:ascii="Times New Roman" w:hAnsi="Times New Roman"/>
          <w:sz w:val="24"/>
          <w:szCs w:val="24"/>
        </w:rPr>
        <w:t>en</w:t>
      </w:r>
      <w:proofErr w:type="spellEnd"/>
      <w:r w:rsidRPr="004C756A">
        <w:rPr>
          <w:rFonts w:ascii="Times New Roman" w:hAnsi="Times New Roman"/>
          <w:sz w:val="24"/>
          <w:szCs w:val="24"/>
        </w:rPr>
        <w:t xml:space="preserve"> route to calls within eight minutes of receiving a notification; to be in uniform or similar appropriate dress when responding to calls; and to refrain </w:t>
      </w:r>
      <w:r w:rsidRPr="004C756A">
        <w:rPr>
          <w:rFonts w:ascii="Times New Roman" w:hAnsi="Times New Roman"/>
          <w:sz w:val="24"/>
          <w:szCs w:val="24"/>
        </w:rPr>
        <w:lastRenderedPageBreak/>
        <w:t xml:space="preserve">from using alcohol or other mind-altering substances while on call. Likewise, the EMTs were all subject to the same allegedly illegal policies in that they were all paid less than minimum wage for on-call hours (except when responding to calls) and those hours were not included in determining their entitlement to overtime pay. </w:t>
      </w:r>
      <w:proofErr w:type="gramStart"/>
      <w:r w:rsidRPr="004C756A">
        <w:rPr>
          <w:rFonts w:ascii="Times New Roman" w:hAnsi="Times New Roman"/>
          <w:sz w:val="24"/>
          <w:szCs w:val="24"/>
        </w:rPr>
        <w:t>All of</w:t>
      </w:r>
      <w:proofErr w:type="gramEnd"/>
      <w:r w:rsidRPr="004C756A">
        <w:rPr>
          <w:rFonts w:ascii="Times New Roman" w:hAnsi="Times New Roman"/>
          <w:sz w:val="24"/>
          <w:szCs w:val="24"/>
        </w:rPr>
        <w:t xml:space="preserve"> these commonalities suggest that collective adjudication is appropriate in this case.”  </w:t>
      </w:r>
      <w:hyperlink r:id="rId1795" w:history="1">
        <w:r w:rsidRPr="004C756A">
          <w:rPr>
            <w:rStyle w:val="Hyperlink"/>
            <w:rFonts w:ascii="Times New Roman" w:hAnsi="Times New Roman"/>
            <w:sz w:val="24"/>
            <w:szCs w:val="24"/>
          </w:rPr>
          <w:t>https://cases.justia.com/federal/district-courts/minnesota/mndce/0:2023cv01780/208467/146/0.pdf?ts=1750499803</w:t>
        </w:r>
      </w:hyperlink>
    </w:p>
    <w:p w14:paraId="5BD3662F" w14:textId="77777777" w:rsidR="004C756A" w:rsidRPr="004C756A" w:rsidRDefault="00D168B5" w:rsidP="004C756A">
      <w:pPr>
        <w:rPr>
          <w:rFonts w:ascii="Times New Roman" w:hAnsi="Times New Roman"/>
          <w:sz w:val="24"/>
          <w:szCs w:val="24"/>
        </w:rPr>
      </w:pPr>
      <w:r w:rsidRPr="004C756A">
        <w:rPr>
          <w:rFonts w:ascii="Times New Roman" w:hAnsi="Times New Roman"/>
          <w:b/>
          <w:sz w:val="24"/>
          <w:szCs w:val="24"/>
        </w:rPr>
        <w:t xml:space="preserve">Leegal lesson learned: Plaintiffs may now proceed with class action trial; “on call” policies requiring rapid response from home have been the subject of several cases around the nation. </w:t>
      </w:r>
      <w:r w:rsidRPr="004C756A">
        <w:rPr>
          <w:rFonts w:ascii="Times New Roman" w:hAnsi="Times New Roman"/>
          <w:b/>
          <w:sz w:val="24"/>
          <w:szCs w:val="24"/>
        </w:rPr>
        <w:br/>
      </w:r>
    </w:p>
    <w:p w14:paraId="6E0D6360" w14:textId="4370DCCC" w:rsidR="00541D60" w:rsidRPr="004C756A" w:rsidRDefault="00D168B5" w:rsidP="00D168B5">
      <w:pPr>
        <w:ind w:left="720"/>
        <w:rPr>
          <w:rFonts w:ascii="Times New Roman" w:hAnsi="Times New Roman"/>
          <w:bCs/>
          <w:sz w:val="24"/>
          <w:szCs w:val="24"/>
        </w:rPr>
      </w:pPr>
      <w:r w:rsidRPr="004C756A">
        <w:rPr>
          <w:rFonts w:ascii="Times New Roman" w:hAnsi="Times New Roman"/>
          <w:sz w:val="24"/>
          <w:szCs w:val="24"/>
        </w:rPr>
        <w:t>N</w:t>
      </w:r>
      <w:r w:rsidR="00541D60" w:rsidRPr="004C756A">
        <w:rPr>
          <w:rFonts w:ascii="Times New Roman" w:hAnsi="Times New Roman"/>
          <w:sz w:val="24"/>
          <w:szCs w:val="24"/>
        </w:rPr>
        <w:t xml:space="preserve">ote: See U.S. Department of Labor - Fact Sheet #22: Hours Worked Under the Fair Labor Standards Act (FLSA) – July 2008. </w:t>
      </w:r>
      <w:hyperlink r:id="rId1796" w:history="1">
        <w:r w:rsidR="00541D60" w:rsidRPr="004C756A">
          <w:rPr>
            <w:rStyle w:val="Hyperlink"/>
            <w:rFonts w:ascii="Times New Roman" w:hAnsi="Times New Roman"/>
            <w:sz w:val="24"/>
            <w:szCs w:val="24"/>
          </w:rPr>
          <w:t>https://www.dol.gov/agencies/whd/fact-sheets/22-flsa-hours-worked</w:t>
        </w:r>
      </w:hyperlink>
      <w:r w:rsidR="00541D60" w:rsidRPr="004C756A">
        <w:rPr>
          <w:rFonts w:ascii="Times New Roman" w:hAnsi="Times New Roman"/>
          <w:sz w:val="24"/>
          <w:szCs w:val="24"/>
        </w:rPr>
        <w:t xml:space="preserve"> </w:t>
      </w:r>
    </w:p>
    <w:p w14:paraId="12AA4BB2" w14:textId="77777777" w:rsidR="00541D60" w:rsidRPr="004C756A" w:rsidRDefault="00541D60" w:rsidP="00541D60">
      <w:pPr>
        <w:ind w:left="1440"/>
        <w:rPr>
          <w:rFonts w:ascii="Times New Roman" w:hAnsi="Times New Roman"/>
          <w:bCs/>
          <w:sz w:val="24"/>
          <w:szCs w:val="24"/>
        </w:rPr>
      </w:pPr>
      <w:r w:rsidRPr="004C756A">
        <w:rPr>
          <w:rFonts w:ascii="Times New Roman" w:hAnsi="Times New Roman"/>
          <w:sz w:val="24"/>
          <w:szCs w:val="24"/>
        </w:rPr>
        <w:t>“On-Call Time:</w:t>
      </w:r>
      <w:r w:rsidRPr="004C756A">
        <w:rPr>
          <w:rFonts w:ascii="Times New Roman" w:hAnsi="Times New Roman"/>
          <w:bCs/>
          <w:sz w:val="24"/>
          <w:szCs w:val="24"/>
        </w:rPr>
        <w:t xml:space="preserve"> </w:t>
      </w:r>
      <w:r w:rsidRPr="004C756A">
        <w:rPr>
          <w:rFonts w:ascii="Times New Roman" w:hAnsi="Times New Roman"/>
          <w:sz w:val="24"/>
          <w:szCs w:val="24"/>
        </w:rPr>
        <w:t xml:space="preserve">An employee who is required to remain on call on the employer's premises is working while ‘on call.’ An employee who is required to remain </w:t>
      </w:r>
      <w:proofErr w:type="gramStart"/>
      <w:r w:rsidRPr="004C756A">
        <w:rPr>
          <w:rFonts w:ascii="Times New Roman" w:hAnsi="Times New Roman"/>
          <w:sz w:val="24"/>
          <w:szCs w:val="24"/>
        </w:rPr>
        <w:t>on call at home</w:t>
      </w:r>
      <w:proofErr w:type="gramEnd"/>
      <w:r w:rsidRPr="004C756A">
        <w:rPr>
          <w:rFonts w:ascii="Times New Roman" w:hAnsi="Times New Roman"/>
          <w:sz w:val="24"/>
          <w:szCs w:val="24"/>
        </w:rPr>
        <w:t xml:space="preserve">, or who is allowed to leave a message where he/she can be reached, is not working (in most cases) while on call. Additional constraints on the employee's freedom could require this time to be </w:t>
      </w:r>
      <w:proofErr w:type="gramStart"/>
      <w:r w:rsidRPr="004C756A">
        <w:rPr>
          <w:rFonts w:ascii="Times New Roman" w:hAnsi="Times New Roman"/>
          <w:sz w:val="24"/>
          <w:szCs w:val="24"/>
        </w:rPr>
        <w:t>compensated.”</w:t>
      </w:r>
      <w:proofErr w:type="gramEnd"/>
    </w:p>
    <w:p w14:paraId="606ECAC9" w14:textId="26E57147" w:rsidR="00541D60" w:rsidRPr="004C756A" w:rsidRDefault="00541D60" w:rsidP="004C756A">
      <w:pPr>
        <w:ind w:left="720"/>
        <w:rPr>
          <w:rFonts w:ascii="Times New Roman" w:hAnsi="Times New Roman"/>
          <w:sz w:val="24"/>
          <w:szCs w:val="24"/>
        </w:rPr>
      </w:pPr>
      <w:r w:rsidRPr="004C756A">
        <w:rPr>
          <w:rFonts w:ascii="Times New Roman" w:hAnsi="Times New Roman"/>
          <w:sz w:val="24"/>
          <w:szCs w:val="24"/>
        </w:rPr>
        <w:t xml:space="preserve">See also May 23, </w:t>
      </w:r>
      <w:proofErr w:type="gramStart"/>
      <w:r w:rsidRPr="004C756A">
        <w:rPr>
          <w:rFonts w:ascii="Times New Roman" w:hAnsi="Times New Roman"/>
          <w:sz w:val="24"/>
          <w:szCs w:val="24"/>
        </w:rPr>
        <w:t>2008</w:t>
      </w:r>
      <w:proofErr w:type="gramEnd"/>
      <w:r w:rsidRPr="004C756A">
        <w:rPr>
          <w:rFonts w:ascii="Times New Roman" w:hAnsi="Times New Roman"/>
          <w:sz w:val="24"/>
          <w:szCs w:val="24"/>
        </w:rPr>
        <w:t xml:space="preserve"> U.S. Department of Labor – Opinion Letter FLSA2008-8NA, </w:t>
      </w:r>
      <w:hyperlink r:id="rId1797" w:history="1">
        <w:r w:rsidR="004C756A" w:rsidRPr="004C44CA">
          <w:rPr>
            <w:rStyle w:val="Hyperlink"/>
            <w:rFonts w:ascii="Times New Roman" w:hAnsi="Times New Roman"/>
            <w:sz w:val="24"/>
            <w:szCs w:val="24"/>
          </w:rPr>
          <w:t>https://www.dol.gov/sites/dolgov/files/WHD/legacy/files/2008_05_23_08NA_FLSA.pdf</w:t>
        </w:r>
      </w:hyperlink>
    </w:p>
    <w:p w14:paraId="1FF0A597" w14:textId="77777777" w:rsidR="00541D60" w:rsidRDefault="00541D60" w:rsidP="00EB050B">
      <w:pPr>
        <w:rPr>
          <w:rFonts w:ascii="Arial Black" w:hAnsi="Arial Black"/>
          <w:b/>
          <w:sz w:val="24"/>
          <w:szCs w:val="24"/>
        </w:rPr>
      </w:pPr>
    </w:p>
    <w:p w14:paraId="1FC3D304" w14:textId="4B3905E6" w:rsidR="00B92F73" w:rsidRDefault="00F616CC" w:rsidP="00F326E5">
      <w:pPr>
        <w:rPr>
          <w:rFonts w:ascii="Arial Black" w:hAnsi="Arial Black"/>
          <w:b/>
          <w:sz w:val="24"/>
          <w:szCs w:val="24"/>
        </w:rPr>
      </w:pPr>
      <w:r>
        <w:rPr>
          <w:rFonts w:ascii="Arial Black" w:hAnsi="Arial Black"/>
          <w:b/>
          <w:sz w:val="24"/>
          <w:szCs w:val="24"/>
        </w:rPr>
        <w:t>11-</w:t>
      </w:r>
      <w:r w:rsidR="004C5670">
        <w:rPr>
          <w:rFonts w:ascii="Arial Black" w:hAnsi="Arial Black"/>
          <w:b/>
          <w:sz w:val="24"/>
          <w:szCs w:val="24"/>
        </w:rPr>
        <w:t>60</w:t>
      </w:r>
    </w:p>
    <w:p w14:paraId="629D6975" w14:textId="1485DD0B" w:rsidR="00AB14AC" w:rsidRPr="006F2B87" w:rsidRDefault="00AB14AC" w:rsidP="00AB14AC">
      <w:pPr>
        <w:pStyle w:val="NoSpacing"/>
        <w:rPr>
          <w:rFonts w:ascii="Arial Black" w:hAnsi="Arial Black"/>
          <w:b/>
          <w:bCs/>
          <w:sz w:val="28"/>
          <w:szCs w:val="28"/>
        </w:rPr>
      </w:pPr>
      <w:r w:rsidRPr="006F2B87">
        <w:rPr>
          <w:rFonts w:ascii="Arial Black" w:hAnsi="Arial Black"/>
          <w:b/>
          <w:sz w:val="28"/>
          <w:szCs w:val="28"/>
        </w:rPr>
        <w:t>MA: FLSA –</w:t>
      </w:r>
      <w:r w:rsidR="0094704B">
        <w:rPr>
          <w:rFonts w:ascii="Arial Black" w:hAnsi="Arial Black"/>
          <w:b/>
          <w:sz w:val="28"/>
          <w:szCs w:val="28"/>
        </w:rPr>
        <w:t xml:space="preserve"> </w:t>
      </w:r>
      <w:r w:rsidRPr="006F2B87">
        <w:rPr>
          <w:rFonts w:ascii="Arial Black" w:hAnsi="Arial Black"/>
          <w:b/>
          <w:sz w:val="28"/>
          <w:szCs w:val="28"/>
        </w:rPr>
        <w:t>TOWN AGREES TO CHANGES</w:t>
      </w:r>
      <w:r>
        <w:rPr>
          <w:rFonts w:ascii="Arial Black" w:hAnsi="Arial Black"/>
          <w:b/>
          <w:sz w:val="28"/>
          <w:szCs w:val="28"/>
        </w:rPr>
        <w:t xml:space="preserve"> - D/C STILL EXEMPT</w:t>
      </w:r>
    </w:p>
    <w:p w14:paraId="4BE3A40A" w14:textId="77777777" w:rsidR="00AB14AC" w:rsidRDefault="00AB14AC" w:rsidP="00AB14AC">
      <w:pPr>
        <w:pStyle w:val="NoSpacing"/>
        <w:rPr>
          <w:bCs/>
        </w:rPr>
      </w:pPr>
    </w:p>
    <w:p w14:paraId="7718FB1B" w14:textId="77777777" w:rsidR="00AB14AC" w:rsidRPr="00AB14AC" w:rsidRDefault="00AB14AC" w:rsidP="00AB14AC">
      <w:pPr>
        <w:pStyle w:val="NoSpacing"/>
        <w:rPr>
          <w:rFonts w:ascii="Times New Roman" w:hAnsi="Times New Roman"/>
          <w:bCs/>
          <w:sz w:val="24"/>
          <w:szCs w:val="24"/>
        </w:rPr>
      </w:pPr>
      <w:r w:rsidRPr="00AB14AC">
        <w:rPr>
          <w:rFonts w:ascii="Times New Roman" w:hAnsi="Times New Roman"/>
          <w:sz w:val="24"/>
          <w:szCs w:val="24"/>
        </w:rPr>
        <w:t xml:space="preserve">On May 14, 2025, </w:t>
      </w:r>
      <w:r w:rsidRPr="00AB14AC">
        <w:rPr>
          <w:rFonts w:ascii="Times New Roman" w:hAnsi="Times New Roman"/>
          <w:sz w:val="24"/>
          <w:szCs w:val="24"/>
          <w:u w:val="single"/>
        </w:rPr>
        <w:t>Brian Bergeron and Paul Trahon, et al. v. Town of Brookline and Brookline Fire Department</w:t>
      </w:r>
      <w:r w:rsidRPr="00AB14AC">
        <w:rPr>
          <w:rFonts w:ascii="Times New Roman" w:hAnsi="Times New Roman"/>
          <w:sz w:val="24"/>
          <w:szCs w:val="24"/>
        </w:rPr>
        <w:t xml:space="preserve">, U.S. District Court Judge Julia E. </w:t>
      </w:r>
      <w:proofErr w:type="spellStart"/>
      <w:r w:rsidRPr="00AB14AC">
        <w:rPr>
          <w:rFonts w:ascii="Times New Roman" w:hAnsi="Times New Roman"/>
          <w:sz w:val="24"/>
          <w:szCs w:val="24"/>
        </w:rPr>
        <w:t>Kobick</w:t>
      </w:r>
      <w:proofErr w:type="spellEnd"/>
      <w:r w:rsidRPr="00AB14AC">
        <w:rPr>
          <w:rFonts w:ascii="Times New Roman" w:hAnsi="Times New Roman"/>
          <w:sz w:val="24"/>
          <w:szCs w:val="24"/>
        </w:rPr>
        <w:t xml:space="preserve">, United States District Court for the District of Massachusetts, approved the settlement agreement.  </w:t>
      </w:r>
    </w:p>
    <w:p w14:paraId="14663518" w14:textId="77777777" w:rsidR="00AB14AC" w:rsidRPr="00AB14AC" w:rsidRDefault="00AB14AC" w:rsidP="00AB14AC">
      <w:pPr>
        <w:pStyle w:val="NoSpacing"/>
        <w:rPr>
          <w:rFonts w:ascii="Times New Roman" w:hAnsi="Times New Roman"/>
          <w:bCs/>
          <w:sz w:val="24"/>
          <w:szCs w:val="24"/>
        </w:rPr>
      </w:pPr>
    </w:p>
    <w:p w14:paraId="0AF2C131" w14:textId="300F9DFB" w:rsidR="00F616CC" w:rsidRPr="00AB14AC" w:rsidRDefault="00AB14AC" w:rsidP="00AB14AC">
      <w:pPr>
        <w:rPr>
          <w:rFonts w:ascii="Times New Roman" w:hAnsi="Times New Roman"/>
          <w:b/>
          <w:sz w:val="24"/>
          <w:szCs w:val="24"/>
        </w:rPr>
      </w:pPr>
      <w:r w:rsidRPr="00AB14AC">
        <w:rPr>
          <w:rFonts w:ascii="Times New Roman" w:hAnsi="Times New Roman"/>
          <w:sz w:val="24"/>
          <w:szCs w:val="24"/>
        </w:rPr>
        <w:t xml:space="preserve">The Court wrote:  “The plaintiffs are 118 firefighters, fire lieutenants, fire captains, and deputy fire chiefs currently or formerly employed by the Town of Brookline…. The plaintiffs are part of a bargaining unit represented by Local 950, a chapter of the International Association of Firefighters (the ‘Union’)….  The parties restarted settlement negotiations when the litigation commenced in December 2023, and they agreed to a settlement in principle in April 2024….  After reaching this agreement, the Town modified its FLSA protocols to address the plaintiffs' concerns regarding how their hours were counted and how their rate of overtime pay was </w:t>
      </w:r>
      <w:proofErr w:type="gramStart"/>
      <w:r w:rsidRPr="00AB14AC">
        <w:rPr>
          <w:rFonts w:ascii="Times New Roman" w:hAnsi="Times New Roman"/>
          <w:sz w:val="24"/>
          <w:szCs w:val="24"/>
        </w:rPr>
        <w:t>calculated.”</w:t>
      </w:r>
      <w:proofErr w:type="gramEnd"/>
      <w:r w:rsidRPr="00AB14AC">
        <w:rPr>
          <w:rFonts w:ascii="Times New Roman" w:hAnsi="Times New Roman"/>
          <w:sz w:val="24"/>
          <w:szCs w:val="24"/>
        </w:rPr>
        <w:t xml:space="preserve"> </w:t>
      </w:r>
      <w:hyperlink r:id="rId1798" w:history="1">
        <w:r w:rsidRPr="00AB14AC">
          <w:rPr>
            <w:rStyle w:val="Hyperlink"/>
            <w:rFonts w:ascii="Times New Roman" w:hAnsi="Times New Roman"/>
            <w:sz w:val="24"/>
            <w:szCs w:val="24"/>
          </w:rPr>
          <w:t>https://public.fastcase.com/jaEE2PXzRXmZ99jOLMt1IrF9wD4fG884AOwA%2B%2B8sYndkdlA95em2xjLqn6HHRdZo?utm_medium=email&amp;_hsenc=p2ANqtz-_k9MVaO09mpQi5ToQ_rMR2msPFl5QNhVfsnrFCoGgDXkRnW8gb34HMapH4044HXAEb1Ni6dZoKu1yFSWgbbZwBVX_IXQ&amp;_hsmi=226712652&amp;utm_content=226712652&amp;utm_source=hs_email</w:t>
        </w:r>
      </w:hyperlink>
    </w:p>
    <w:p w14:paraId="49C8D394" w14:textId="77777777" w:rsidR="00785987" w:rsidRPr="00874DB0" w:rsidRDefault="00785987" w:rsidP="00785987">
      <w:pPr>
        <w:pStyle w:val="NoSpacing"/>
        <w:rPr>
          <w:rFonts w:ascii="Times New Roman" w:hAnsi="Times New Roman"/>
          <w:b/>
          <w:bCs/>
          <w:sz w:val="24"/>
          <w:szCs w:val="24"/>
        </w:rPr>
      </w:pPr>
      <w:r w:rsidRPr="00874DB0">
        <w:rPr>
          <w:rFonts w:ascii="Times New Roman" w:hAnsi="Times New Roman"/>
          <w:b/>
          <w:sz w:val="24"/>
          <w:szCs w:val="24"/>
        </w:rPr>
        <w:t xml:space="preserve">Legal Lesson Learned: Town wisely corrected their prior </w:t>
      </w:r>
      <w:r w:rsidRPr="00874DB0">
        <w:rPr>
          <w:rFonts w:ascii="Times New Roman" w:hAnsi="Times New Roman"/>
          <w:b/>
          <w:bCs/>
          <w:sz w:val="24"/>
          <w:szCs w:val="24"/>
        </w:rPr>
        <w:t xml:space="preserve">FLSA </w:t>
      </w:r>
      <w:r w:rsidRPr="00874DB0">
        <w:rPr>
          <w:rFonts w:ascii="Times New Roman" w:hAnsi="Times New Roman"/>
          <w:b/>
          <w:sz w:val="24"/>
          <w:szCs w:val="24"/>
        </w:rPr>
        <w:t>practices.</w:t>
      </w:r>
    </w:p>
    <w:p w14:paraId="3869B739" w14:textId="77777777" w:rsidR="00785987" w:rsidRPr="00874DB0" w:rsidRDefault="00785987" w:rsidP="00785987">
      <w:pPr>
        <w:pStyle w:val="NoSpacing"/>
        <w:rPr>
          <w:rFonts w:ascii="Times New Roman" w:hAnsi="Times New Roman"/>
          <w:sz w:val="24"/>
          <w:szCs w:val="24"/>
        </w:rPr>
      </w:pPr>
    </w:p>
    <w:p w14:paraId="0AA7A0B5" w14:textId="77777777" w:rsidR="00B92F73" w:rsidRDefault="00B92F73" w:rsidP="00F326E5">
      <w:pPr>
        <w:rPr>
          <w:rFonts w:ascii="Arial Black" w:hAnsi="Arial Black"/>
          <w:b/>
          <w:sz w:val="24"/>
          <w:szCs w:val="24"/>
        </w:rPr>
      </w:pPr>
    </w:p>
    <w:p w14:paraId="7F570084" w14:textId="51998654" w:rsidR="00061BDB" w:rsidRDefault="00061BDB" w:rsidP="00F326E5">
      <w:pPr>
        <w:rPr>
          <w:rFonts w:ascii="Arial Black" w:hAnsi="Arial Black"/>
          <w:b/>
          <w:sz w:val="24"/>
          <w:szCs w:val="24"/>
        </w:rPr>
      </w:pPr>
      <w:r>
        <w:rPr>
          <w:rFonts w:ascii="Arial Black" w:hAnsi="Arial Black"/>
          <w:b/>
          <w:sz w:val="24"/>
          <w:szCs w:val="24"/>
        </w:rPr>
        <w:lastRenderedPageBreak/>
        <w:t>11-5</w:t>
      </w:r>
      <w:r w:rsidR="00DE6B12">
        <w:rPr>
          <w:rFonts w:ascii="Arial Black" w:hAnsi="Arial Black"/>
          <w:b/>
          <w:sz w:val="24"/>
          <w:szCs w:val="24"/>
        </w:rPr>
        <w:t>9</w:t>
      </w:r>
    </w:p>
    <w:p w14:paraId="0679642C" w14:textId="77777777" w:rsidR="0079730A" w:rsidRPr="003121C0" w:rsidRDefault="0079730A" w:rsidP="0079730A">
      <w:pPr>
        <w:rPr>
          <w:rFonts w:ascii="Arial Black" w:hAnsi="Arial Black"/>
          <w:bCs/>
          <w:sz w:val="28"/>
          <w:szCs w:val="28"/>
        </w:rPr>
      </w:pPr>
      <w:r>
        <w:rPr>
          <w:rFonts w:ascii="Arial Black" w:hAnsi="Arial Black"/>
          <w:b/>
          <w:sz w:val="28"/>
          <w:szCs w:val="28"/>
        </w:rPr>
        <w:t xml:space="preserve">NC: FLSA – SOME WEEKS UNDERPAID / OVERPAID - NO CASE </w:t>
      </w:r>
    </w:p>
    <w:p w14:paraId="7A049438" w14:textId="77777777" w:rsidR="0079730A" w:rsidRPr="0079730A" w:rsidRDefault="0079730A" w:rsidP="0079730A">
      <w:pPr>
        <w:rPr>
          <w:rFonts w:ascii="Times New Roman" w:hAnsi="Times New Roman"/>
          <w:bCs/>
          <w:sz w:val="24"/>
          <w:szCs w:val="24"/>
        </w:rPr>
      </w:pPr>
      <w:r w:rsidRPr="0079730A">
        <w:rPr>
          <w:rFonts w:ascii="Times New Roman" w:hAnsi="Times New Roman"/>
          <w:sz w:val="24"/>
          <w:szCs w:val="24"/>
        </w:rPr>
        <w:t xml:space="preserve">On March 31, 2025, in </w:t>
      </w:r>
      <w:r w:rsidRPr="0079730A">
        <w:rPr>
          <w:rFonts w:ascii="Times New Roman" w:hAnsi="Times New Roman"/>
          <w:sz w:val="24"/>
          <w:szCs w:val="24"/>
          <w:u w:val="single"/>
        </w:rPr>
        <w:t>Sara A. Conner, on behalf of all others similarly situated v. Cleveland County, Noth Carolina</w:t>
      </w:r>
      <w:r w:rsidRPr="0079730A">
        <w:rPr>
          <w:rFonts w:ascii="Times New Roman" w:hAnsi="Times New Roman"/>
          <w:sz w:val="24"/>
          <w:szCs w:val="24"/>
        </w:rPr>
        <w:t xml:space="preserve">, Chief U.S. District Court Judge Martin Reidinger, United States District Court for the Western District of North Carolina, Asheville Division, held that the EMS personnel were fully paid despite a “technical violation” of FLSA and therefore the case was dismissed.  Sara Conner has been a fulltime paramedic with Cleveland County EMS [CCEMS] since 2017, annual salary of 2016 of $35,820, and she worked a </w:t>
      </w:r>
      <w:proofErr w:type="gramStart"/>
      <w:r w:rsidRPr="0079730A">
        <w:rPr>
          <w:rFonts w:ascii="Times New Roman" w:hAnsi="Times New Roman"/>
          <w:sz w:val="24"/>
          <w:szCs w:val="24"/>
        </w:rPr>
        <w:t>24/48 hour</w:t>
      </w:r>
      <w:proofErr w:type="gramEnd"/>
      <w:r w:rsidRPr="0079730A">
        <w:rPr>
          <w:rFonts w:ascii="Times New Roman" w:hAnsi="Times New Roman"/>
          <w:sz w:val="24"/>
          <w:szCs w:val="24"/>
        </w:rPr>
        <w:t xml:space="preserve"> schedule.  Per their pay plan (since changed in 2018), Conner was paid base “hourly rate” of $12.23 (her annual salary divided by total annual hours 2,928).  Her overtime rate was $18.35 (1.5 times her base rate).  </w:t>
      </w:r>
      <w:hyperlink r:id="rId1799" w:history="1">
        <w:r w:rsidRPr="0079730A">
          <w:rPr>
            <w:rStyle w:val="Hyperlink"/>
            <w:rFonts w:ascii="Times New Roman" w:hAnsi="Times New Roman"/>
            <w:sz w:val="24"/>
            <w:szCs w:val="24"/>
          </w:rPr>
          <w:t>https://www.carolinajournal.com/wp-content/uploads/2025/04/cleveland-ot-128-033125-courtorder.pdf</w:t>
        </w:r>
      </w:hyperlink>
      <w:r w:rsidRPr="0079730A">
        <w:rPr>
          <w:rFonts w:ascii="Times New Roman" w:hAnsi="Times New Roman"/>
          <w:sz w:val="24"/>
          <w:szCs w:val="24"/>
        </w:rPr>
        <w:t xml:space="preserve"> </w:t>
      </w:r>
    </w:p>
    <w:p w14:paraId="4F45799C" w14:textId="77777777" w:rsidR="003A305F" w:rsidRPr="003A305F" w:rsidRDefault="003A305F" w:rsidP="003A305F">
      <w:pPr>
        <w:pStyle w:val="NoSpacing"/>
        <w:rPr>
          <w:rFonts w:ascii="Times New Roman" w:hAnsi="Times New Roman"/>
          <w:b/>
          <w:sz w:val="24"/>
          <w:szCs w:val="24"/>
        </w:rPr>
      </w:pPr>
      <w:r w:rsidRPr="003A305F">
        <w:rPr>
          <w:rFonts w:ascii="Times New Roman" w:hAnsi="Times New Roman"/>
          <w:b/>
          <w:sz w:val="24"/>
          <w:szCs w:val="24"/>
        </w:rPr>
        <w:t xml:space="preserve">Legal Lesson Learned:  There was no loss of </w:t>
      </w:r>
      <w:proofErr w:type="gramStart"/>
      <w:r w:rsidRPr="003A305F">
        <w:rPr>
          <w:rFonts w:ascii="Times New Roman" w:hAnsi="Times New Roman"/>
          <w:b/>
          <w:sz w:val="24"/>
          <w:szCs w:val="24"/>
        </w:rPr>
        <w:t>wages</w:t>
      </w:r>
      <w:proofErr w:type="gramEnd"/>
      <w:r w:rsidRPr="003A305F">
        <w:rPr>
          <w:rFonts w:ascii="Times New Roman" w:hAnsi="Times New Roman"/>
          <w:b/>
          <w:sz w:val="24"/>
          <w:szCs w:val="24"/>
        </w:rPr>
        <w:t xml:space="preserve"> so case dismissed.</w:t>
      </w:r>
    </w:p>
    <w:p w14:paraId="2DB7D3A6" w14:textId="77777777" w:rsidR="00061BDB" w:rsidRDefault="00061BDB" w:rsidP="00F326E5">
      <w:pPr>
        <w:rPr>
          <w:rFonts w:ascii="Arial Black" w:hAnsi="Arial Black"/>
          <w:b/>
          <w:sz w:val="24"/>
          <w:szCs w:val="24"/>
        </w:rPr>
      </w:pPr>
    </w:p>
    <w:p w14:paraId="0B08AC20" w14:textId="77777777" w:rsidR="00061BDB" w:rsidRDefault="00061BDB" w:rsidP="00F326E5">
      <w:pPr>
        <w:rPr>
          <w:rFonts w:ascii="Arial Black" w:hAnsi="Arial Black"/>
          <w:b/>
          <w:sz w:val="24"/>
          <w:szCs w:val="24"/>
        </w:rPr>
      </w:pPr>
    </w:p>
    <w:p w14:paraId="2C7B6A1B" w14:textId="74154EB9" w:rsidR="00CE6BF6" w:rsidRDefault="00CE6BF6" w:rsidP="00F326E5">
      <w:pPr>
        <w:rPr>
          <w:rFonts w:ascii="Arial Black" w:hAnsi="Arial Black"/>
          <w:b/>
          <w:sz w:val="24"/>
          <w:szCs w:val="24"/>
        </w:rPr>
      </w:pPr>
      <w:r>
        <w:rPr>
          <w:rFonts w:ascii="Arial Black" w:hAnsi="Arial Black"/>
          <w:b/>
          <w:sz w:val="24"/>
          <w:szCs w:val="24"/>
        </w:rPr>
        <w:t>11-5</w:t>
      </w:r>
      <w:r w:rsidR="00DE6B12">
        <w:rPr>
          <w:rFonts w:ascii="Arial Black" w:hAnsi="Arial Black"/>
          <w:b/>
          <w:sz w:val="24"/>
          <w:szCs w:val="24"/>
        </w:rPr>
        <w:t>8</w:t>
      </w:r>
    </w:p>
    <w:p w14:paraId="7BB7164D" w14:textId="77777777" w:rsidR="00CE6BF6" w:rsidRDefault="00CE6BF6" w:rsidP="00CE6BF6">
      <w:pPr>
        <w:rPr>
          <w:rFonts w:ascii="Arial Black" w:hAnsi="Arial Black"/>
          <w:b/>
          <w:sz w:val="28"/>
          <w:szCs w:val="28"/>
        </w:rPr>
      </w:pPr>
      <w:r>
        <w:rPr>
          <w:rFonts w:ascii="Arial Black" w:hAnsi="Arial Black"/>
          <w:b/>
          <w:sz w:val="28"/>
          <w:szCs w:val="28"/>
        </w:rPr>
        <w:t xml:space="preserve">U.S. SUP. CT – ALL COURTS - PREPONDRANCE-OF-EVIDENCE </w:t>
      </w:r>
    </w:p>
    <w:p w14:paraId="39DF8900" w14:textId="70C599B3" w:rsidR="00CE6BF6" w:rsidRPr="00474F4B" w:rsidRDefault="00CE6BF6" w:rsidP="00CE6BF6">
      <w:pPr>
        <w:rPr>
          <w:rFonts w:ascii="Times New Roman" w:hAnsi="Times New Roman"/>
          <w:bCs/>
          <w:sz w:val="24"/>
          <w:szCs w:val="24"/>
        </w:rPr>
      </w:pPr>
      <w:r w:rsidRPr="00474F4B">
        <w:rPr>
          <w:rFonts w:ascii="Times New Roman" w:hAnsi="Times New Roman"/>
          <w:sz w:val="24"/>
          <w:szCs w:val="24"/>
        </w:rPr>
        <w:t xml:space="preserve">On Juan. 15, 2023, in </w:t>
      </w:r>
      <w:r w:rsidRPr="00474F4B">
        <w:rPr>
          <w:rFonts w:ascii="Times New Roman" w:hAnsi="Times New Roman"/>
          <w:sz w:val="24"/>
          <w:szCs w:val="24"/>
          <w:u w:val="single"/>
        </w:rPr>
        <w:t>EMD Sales, Inc., et al. v. Faustino Sanchez Carrera</w:t>
      </w:r>
      <w:r w:rsidRPr="00474F4B">
        <w:rPr>
          <w:rFonts w:ascii="Times New Roman" w:hAnsi="Times New Roman"/>
          <w:sz w:val="24"/>
          <w:szCs w:val="24"/>
        </w:rPr>
        <w:t xml:space="preserve">, the </w:t>
      </w:r>
      <w:r w:rsidR="0034221B">
        <w:rPr>
          <w:rFonts w:ascii="Times New Roman" w:hAnsi="Times New Roman"/>
          <w:sz w:val="24"/>
          <w:szCs w:val="24"/>
        </w:rPr>
        <w:t xml:space="preserve">U.S. </w:t>
      </w:r>
      <w:r w:rsidR="00883BD6">
        <w:rPr>
          <w:rFonts w:ascii="Times New Roman" w:hAnsi="Times New Roman"/>
          <w:sz w:val="24"/>
          <w:szCs w:val="24"/>
        </w:rPr>
        <w:t>Supreme</w:t>
      </w:r>
      <w:r w:rsidR="0034221B">
        <w:rPr>
          <w:rFonts w:ascii="Times New Roman" w:hAnsi="Times New Roman"/>
          <w:sz w:val="24"/>
          <w:szCs w:val="24"/>
        </w:rPr>
        <w:t xml:space="preserve"> Court</w:t>
      </w:r>
      <w:r w:rsidRPr="00474F4B">
        <w:rPr>
          <w:rFonts w:ascii="Times New Roman" w:hAnsi="Times New Roman"/>
          <w:sz w:val="24"/>
          <w:szCs w:val="24"/>
        </w:rPr>
        <w:t xml:space="preserve"> held (9 to 0) that employers, when sued by employees claiming they were improperly classified as exempt from overtime pay, will be judged by the normal standard in civil litigation – “preponderance-of-the-evidence.” The Court reversed the U.S. Court of Appeals for the 4</w:t>
      </w:r>
      <w:r w:rsidRPr="00474F4B">
        <w:rPr>
          <w:rFonts w:ascii="Times New Roman" w:hAnsi="Times New Roman"/>
          <w:sz w:val="24"/>
          <w:szCs w:val="24"/>
          <w:vertAlign w:val="superscript"/>
        </w:rPr>
        <w:t>th</w:t>
      </w:r>
      <w:r w:rsidRPr="00474F4B">
        <w:rPr>
          <w:rFonts w:ascii="Times New Roman" w:hAnsi="Times New Roman"/>
          <w:sz w:val="24"/>
          <w:szCs w:val="24"/>
        </w:rPr>
        <w:t xml:space="preserve"> Circuit (Richmond, VA) which required proof of an exemption by “clear-and-convincing evidence.” Employers in 4</w:t>
      </w:r>
      <w:r w:rsidRPr="00474F4B">
        <w:rPr>
          <w:rFonts w:ascii="Times New Roman" w:hAnsi="Times New Roman"/>
          <w:sz w:val="24"/>
          <w:szCs w:val="24"/>
          <w:vertAlign w:val="superscript"/>
        </w:rPr>
        <w:t>th</w:t>
      </w:r>
      <w:r w:rsidRPr="00474F4B">
        <w:rPr>
          <w:rFonts w:ascii="Times New Roman" w:hAnsi="Times New Roman"/>
          <w:sz w:val="24"/>
          <w:szCs w:val="24"/>
        </w:rPr>
        <w:t xml:space="preserve"> Circuit, including fire &amp; EMS  - Maryland, North Carolina, South Carolina, Virginia, and West Virginia – will now be held to same standard as rest of the nation. The lawsuit involved EMD Sales, Inc., is a distributor of Latin American, Caribbean, and Asian food products to chain and independent grocery stores, operating in the Washington, D.C. metropolitan area. The company paid salesmen commissions (up to 6.6%; some earned over $100,000) but no overtime; under FLSA regulations “outside salesman” and exempt.  After a nine-day bench trial, the U.S. District Court judge ruled for employees and the 4</w:t>
      </w:r>
      <w:r w:rsidRPr="00474F4B">
        <w:rPr>
          <w:rFonts w:ascii="Times New Roman" w:hAnsi="Times New Roman"/>
          <w:sz w:val="24"/>
          <w:szCs w:val="24"/>
          <w:vertAlign w:val="superscript"/>
        </w:rPr>
        <w:t>th</w:t>
      </w:r>
      <w:r w:rsidRPr="00474F4B">
        <w:rPr>
          <w:rFonts w:ascii="Times New Roman" w:hAnsi="Times New Roman"/>
          <w:sz w:val="24"/>
          <w:szCs w:val="24"/>
        </w:rPr>
        <w:t xml:space="preserve"> Circuit affirmed.  The U.S. Supreme Court reversed the 4</w:t>
      </w:r>
      <w:r w:rsidRPr="00474F4B">
        <w:rPr>
          <w:rFonts w:ascii="Times New Roman" w:hAnsi="Times New Roman"/>
          <w:sz w:val="24"/>
          <w:szCs w:val="24"/>
          <w:vertAlign w:val="superscript"/>
        </w:rPr>
        <w:t>th</w:t>
      </w:r>
      <w:r w:rsidRPr="00474F4B">
        <w:rPr>
          <w:rFonts w:ascii="Times New Roman" w:hAnsi="Times New Roman"/>
          <w:sz w:val="24"/>
          <w:szCs w:val="24"/>
        </w:rPr>
        <w:t xml:space="preserve"> Circuit on the standard of proof required [case will likely be re-tried].  </w:t>
      </w:r>
      <w:hyperlink r:id="rId1800" w:history="1">
        <w:r w:rsidRPr="00474F4B">
          <w:rPr>
            <w:rStyle w:val="Hyperlink"/>
            <w:rFonts w:ascii="Times New Roman" w:hAnsi="Times New Roman"/>
            <w:sz w:val="24"/>
            <w:szCs w:val="24"/>
          </w:rPr>
          <w:t>https://www.supremecourt.gov/opinions/24pdf/23-217_9o6b.pdf</w:t>
        </w:r>
      </w:hyperlink>
      <w:r w:rsidRPr="00474F4B">
        <w:rPr>
          <w:rFonts w:ascii="Times New Roman" w:hAnsi="Times New Roman"/>
          <w:sz w:val="24"/>
          <w:szCs w:val="24"/>
        </w:rPr>
        <w:t xml:space="preserve">   </w:t>
      </w:r>
    </w:p>
    <w:p w14:paraId="4F9796BF" w14:textId="77777777" w:rsidR="00CE6BF6" w:rsidRPr="00474F4B" w:rsidRDefault="00CE6BF6" w:rsidP="00CE6BF6">
      <w:pPr>
        <w:rPr>
          <w:rFonts w:ascii="Times New Roman" w:hAnsi="Times New Roman"/>
          <w:bCs/>
          <w:sz w:val="24"/>
          <w:szCs w:val="24"/>
        </w:rPr>
      </w:pPr>
      <w:r w:rsidRPr="00474F4B">
        <w:rPr>
          <w:rFonts w:ascii="Times New Roman" w:hAnsi="Times New Roman"/>
          <w:sz w:val="24"/>
          <w:szCs w:val="24"/>
        </w:rPr>
        <w:t xml:space="preserve">The Court held: </w:t>
      </w:r>
    </w:p>
    <w:p w14:paraId="057EFDC0" w14:textId="77777777" w:rsidR="00CE6BF6" w:rsidRPr="00474F4B" w:rsidRDefault="00CE6BF6" w:rsidP="00CE6BF6">
      <w:pPr>
        <w:pStyle w:val="NoSpacing"/>
        <w:ind w:left="720"/>
        <w:rPr>
          <w:rFonts w:ascii="Times New Roman" w:hAnsi="Times New Roman"/>
          <w:bCs/>
          <w:sz w:val="24"/>
          <w:szCs w:val="24"/>
        </w:rPr>
      </w:pPr>
      <w:r w:rsidRPr="00474F4B">
        <w:rPr>
          <w:rFonts w:ascii="Times New Roman" w:hAnsi="Times New Roman"/>
          <w:sz w:val="24"/>
          <w:szCs w:val="24"/>
        </w:rPr>
        <w:t>“We hold that the preponderance-of-the-evidence standard applies when an employer seeks to show that an employee is exempt from the minimum-wage and overtime-</w:t>
      </w:r>
    </w:p>
    <w:p w14:paraId="73D9527D" w14:textId="77777777" w:rsidR="00CE6BF6" w:rsidRPr="00474F4B" w:rsidRDefault="00CE6BF6" w:rsidP="00CE6BF6">
      <w:pPr>
        <w:pStyle w:val="NoSpacing"/>
        <w:ind w:left="720"/>
        <w:rPr>
          <w:rFonts w:ascii="Times New Roman" w:hAnsi="Times New Roman"/>
          <w:bCs/>
          <w:sz w:val="24"/>
          <w:szCs w:val="24"/>
        </w:rPr>
      </w:pPr>
      <w:r w:rsidRPr="00474F4B">
        <w:rPr>
          <w:rFonts w:ascii="Times New Roman" w:hAnsi="Times New Roman"/>
          <w:sz w:val="24"/>
          <w:szCs w:val="24"/>
        </w:rPr>
        <w:t>pay provisions of the Fair Labor Standards Act. The employees argue that we should still affirm because they would not qualify as outside salesmen even under a preponderance standard. But our usual practice is to leave matters of that sort for remand. We see no persuasive reason to stray from that usual practice here. We therefore reverse the judgment of the Court of Appeals and remand the case for further proceedings consistent with this opinion.”</w:t>
      </w:r>
    </w:p>
    <w:p w14:paraId="733E77E6" w14:textId="77777777" w:rsidR="00CE6BF6" w:rsidRPr="00474F4B" w:rsidRDefault="00CE6BF6" w:rsidP="00CE6BF6">
      <w:pPr>
        <w:rPr>
          <w:rFonts w:ascii="Times New Roman" w:hAnsi="Times New Roman"/>
          <w:b/>
          <w:sz w:val="24"/>
          <w:szCs w:val="24"/>
        </w:rPr>
      </w:pPr>
    </w:p>
    <w:p w14:paraId="3E8AA160" w14:textId="77777777" w:rsidR="00CE6BF6" w:rsidRPr="00474F4B" w:rsidRDefault="00CE6BF6" w:rsidP="00CE6BF6">
      <w:pPr>
        <w:rPr>
          <w:rFonts w:ascii="Times New Roman" w:hAnsi="Times New Roman"/>
          <w:b/>
          <w:sz w:val="24"/>
          <w:szCs w:val="24"/>
        </w:rPr>
      </w:pPr>
      <w:r w:rsidRPr="00474F4B">
        <w:rPr>
          <w:rFonts w:ascii="Times New Roman" w:hAnsi="Times New Roman"/>
          <w:b/>
          <w:sz w:val="24"/>
          <w:szCs w:val="24"/>
        </w:rPr>
        <w:lastRenderedPageBreak/>
        <w:t xml:space="preserve">Legal Lesson Learned: Fire &amp; EMS managers, when deciding “close questions” about FLSA exemptions – such as which senior officers are exempt from overtime – should consult with experienced FLSA legal counsel.  </w:t>
      </w:r>
    </w:p>
    <w:p w14:paraId="675DAC3A" w14:textId="77777777" w:rsidR="00CE6BF6" w:rsidRPr="00474F4B" w:rsidRDefault="00CE6BF6" w:rsidP="00CE6BF6">
      <w:pPr>
        <w:ind w:left="720"/>
        <w:rPr>
          <w:rFonts w:ascii="Times New Roman" w:hAnsi="Times New Roman"/>
          <w:bCs/>
          <w:sz w:val="24"/>
          <w:szCs w:val="24"/>
        </w:rPr>
      </w:pPr>
      <w:r w:rsidRPr="00474F4B">
        <w:rPr>
          <w:rFonts w:ascii="Times New Roman" w:hAnsi="Times New Roman"/>
          <w:sz w:val="24"/>
          <w:szCs w:val="24"/>
        </w:rPr>
        <w:t xml:space="preserve">Note: See Jan. 15, </w:t>
      </w:r>
      <w:proofErr w:type="gramStart"/>
      <w:r w:rsidRPr="00474F4B">
        <w:rPr>
          <w:rFonts w:ascii="Times New Roman" w:hAnsi="Times New Roman"/>
          <w:sz w:val="24"/>
          <w:szCs w:val="24"/>
        </w:rPr>
        <w:t>2025</w:t>
      </w:r>
      <w:proofErr w:type="gramEnd"/>
      <w:r w:rsidRPr="00474F4B">
        <w:rPr>
          <w:rFonts w:ascii="Times New Roman" w:hAnsi="Times New Roman"/>
          <w:sz w:val="24"/>
          <w:szCs w:val="24"/>
        </w:rPr>
        <w:t xml:space="preserve">  article: “US Supreme Court boosts companies' defense in wage lawsuits.” </w:t>
      </w:r>
      <w:hyperlink r:id="rId1801" w:history="1">
        <w:r w:rsidRPr="00474F4B">
          <w:rPr>
            <w:rStyle w:val="Hyperlink"/>
            <w:rFonts w:ascii="Times New Roman" w:hAnsi="Times New Roman"/>
            <w:sz w:val="24"/>
            <w:szCs w:val="24"/>
          </w:rPr>
          <w:t>https://www.reuters.com/legal/government/us-supreme-court-boosts-companies-defense-wage-lawsuits-2025-01-15/</w:t>
        </w:r>
      </w:hyperlink>
      <w:r w:rsidRPr="00474F4B">
        <w:rPr>
          <w:rFonts w:ascii="Times New Roman" w:hAnsi="Times New Roman"/>
          <w:sz w:val="24"/>
          <w:szCs w:val="24"/>
        </w:rPr>
        <w:t xml:space="preserve"> </w:t>
      </w:r>
    </w:p>
    <w:p w14:paraId="0FA50A6F" w14:textId="77777777" w:rsidR="00CE6BF6" w:rsidRPr="00474F4B" w:rsidRDefault="00CE6BF6" w:rsidP="00CE6BF6">
      <w:pPr>
        <w:ind w:left="720"/>
        <w:rPr>
          <w:rFonts w:ascii="Times New Roman" w:hAnsi="Times New Roman"/>
          <w:sz w:val="24"/>
          <w:szCs w:val="24"/>
        </w:rPr>
      </w:pPr>
      <w:r w:rsidRPr="00474F4B">
        <w:rPr>
          <w:rFonts w:ascii="Times New Roman" w:hAnsi="Times New Roman"/>
          <w:sz w:val="24"/>
          <w:szCs w:val="24"/>
        </w:rPr>
        <w:t>:The </w:t>
      </w:r>
      <w:hyperlink r:id="rId1802" w:tgtFrame="_blank" w:history="1">
        <w:r w:rsidRPr="00474F4B">
          <w:rPr>
            <w:rStyle w:val="Hyperlink"/>
            <w:rFonts w:ascii="Times New Roman" w:hAnsi="Times New Roman"/>
            <w:sz w:val="24"/>
            <w:szCs w:val="24"/>
          </w:rPr>
          <w:t>unanimous ruling, opens new tab</w:t>
        </w:r>
      </w:hyperlink>
      <w:r w:rsidRPr="00474F4B">
        <w:rPr>
          <w:rFonts w:ascii="Times New Roman" w:hAnsi="Times New Roman"/>
          <w:sz w:val="24"/>
          <w:szCs w:val="24"/>
        </w:rPr>
        <w:t> penned by Justice Brett Kavanaugh could make it easier for some businesses to defend against lawsuits, including many class actions, claiming that workers were improperly exempted from the federal Fair Labor Standards Act (FLSA).”</w:t>
      </w:r>
    </w:p>
    <w:p w14:paraId="498E043D" w14:textId="77777777" w:rsidR="00CE6BF6" w:rsidRPr="00474F4B" w:rsidRDefault="00CE6BF6" w:rsidP="00CE6BF6">
      <w:pPr>
        <w:ind w:left="720"/>
        <w:rPr>
          <w:rFonts w:ascii="Times New Roman" w:hAnsi="Times New Roman"/>
          <w:bCs/>
          <w:sz w:val="24"/>
          <w:szCs w:val="24"/>
        </w:rPr>
      </w:pPr>
    </w:p>
    <w:p w14:paraId="68456FAD" w14:textId="77777777" w:rsidR="00CE6BF6" w:rsidRPr="00474F4B" w:rsidRDefault="00CE6BF6" w:rsidP="00CE6BF6">
      <w:pPr>
        <w:ind w:left="720"/>
        <w:rPr>
          <w:rFonts w:ascii="Times New Roman" w:hAnsi="Times New Roman"/>
          <w:bCs/>
          <w:sz w:val="24"/>
          <w:szCs w:val="24"/>
        </w:rPr>
      </w:pPr>
      <w:r w:rsidRPr="00474F4B">
        <w:rPr>
          <w:rFonts w:ascii="Times New Roman" w:hAnsi="Times New Roman"/>
          <w:sz w:val="24"/>
          <w:szCs w:val="24"/>
        </w:rPr>
        <w:t xml:space="preserve">Company may have an uphill battle during retrial.  Read the brief by U.S. Solicitor General: </w:t>
      </w:r>
      <w:hyperlink r:id="rId1803" w:history="1">
        <w:r w:rsidRPr="00474F4B">
          <w:rPr>
            <w:rStyle w:val="Hyperlink"/>
            <w:rFonts w:ascii="Times New Roman" w:hAnsi="Times New Roman"/>
            <w:sz w:val="24"/>
            <w:szCs w:val="24"/>
          </w:rPr>
          <w:t>https://www.supremecourt.gov/DocketPDF/23/23-217/326778/20240924155125392_2024.09.24%20EMD%20v%20Carrera%20-%20Brief%20for%20Respondents.pdf</w:t>
        </w:r>
      </w:hyperlink>
      <w:r w:rsidRPr="00474F4B">
        <w:rPr>
          <w:rFonts w:ascii="Times New Roman" w:hAnsi="Times New Roman"/>
          <w:sz w:val="24"/>
          <w:szCs w:val="24"/>
        </w:rPr>
        <w:t xml:space="preserve"> </w:t>
      </w:r>
    </w:p>
    <w:p w14:paraId="4ADA1FAE" w14:textId="3A4AC9E9" w:rsidR="00CE6BF6" w:rsidRPr="00474F4B" w:rsidRDefault="00CE6BF6" w:rsidP="00CE6BF6">
      <w:pPr>
        <w:pStyle w:val="NoSpacing"/>
        <w:ind w:left="720"/>
        <w:rPr>
          <w:rFonts w:ascii="Times New Roman" w:hAnsi="Times New Roman"/>
          <w:bCs/>
          <w:sz w:val="24"/>
          <w:szCs w:val="24"/>
        </w:rPr>
      </w:pPr>
      <w:r w:rsidRPr="00474F4B">
        <w:rPr>
          <w:rFonts w:ascii="Times New Roman" w:hAnsi="Times New Roman"/>
          <w:sz w:val="24"/>
          <w:szCs w:val="24"/>
        </w:rPr>
        <w:t>“Respondents presented evidence that they did not and could not make sales at chain stores. Rather, when they serviced chain stores, they replenished stock based on ‘sales terms already negotiated by management,’ and ‘their time was spent only on promotion and inventory-management activities— restocking and rearranging products, issuing credits, taking orders—that were incidental to sales made at higher levels.’</w:t>
      </w:r>
      <w:r w:rsidR="00474F4B" w:rsidRPr="00474F4B">
        <w:rPr>
          <w:rFonts w:ascii="Times New Roman" w:hAnsi="Times New Roman"/>
          <w:sz w:val="24"/>
          <w:szCs w:val="24"/>
        </w:rPr>
        <w:t>”</w:t>
      </w:r>
    </w:p>
    <w:p w14:paraId="2CFE3C44" w14:textId="77777777" w:rsidR="00CE6BF6" w:rsidRPr="00A84124" w:rsidRDefault="00CE6BF6" w:rsidP="00CE6BF6">
      <w:pPr>
        <w:ind w:left="720"/>
        <w:rPr>
          <w:bCs/>
        </w:rPr>
      </w:pPr>
    </w:p>
    <w:p w14:paraId="2E5E88E9" w14:textId="77777777" w:rsidR="00CE6BF6" w:rsidRDefault="00CE6BF6" w:rsidP="00F326E5">
      <w:pPr>
        <w:rPr>
          <w:rFonts w:ascii="Arial Black" w:hAnsi="Arial Black"/>
          <w:b/>
          <w:sz w:val="24"/>
          <w:szCs w:val="24"/>
        </w:rPr>
      </w:pPr>
    </w:p>
    <w:p w14:paraId="790B3560" w14:textId="436BF811" w:rsidR="00C510D7" w:rsidRDefault="00F515EB" w:rsidP="00F326E5">
      <w:pPr>
        <w:rPr>
          <w:rFonts w:ascii="Arial Black" w:hAnsi="Arial Black"/>
          <w:b/>
          <w:sz w:val="24"/>
          <w:szCs w:val="24"/>
        </w:rPr>
      </w:pPr>
      <w:r>
        <w:rPr>
          <w:rFonts w:ascii="Arial Black" w:hAnsi="Arial Black"/>
          <w:b/>
          <w:sz w:val="24"/>
          <w:szCs w:val="24"/>
        </w:rPr>
        <w:t>1</w:t>
      </w:r>
      <w:r w:rsidR="00C510D7">
        <w:rPr>
          <w:rFonts w:ascii="Arial Black" w:hAnsi="Arial Black"/>
          <w:b/>
          <w:sz w:val="24"/>
          <w:szCs w:val="24"/>
        </w:rPr>
        <w:t>1-5</w:t>
      </w:r>
      <w:r w:rsidR="00DE6B12">
        <w:rPr>
          <w:rFonts w:ascii="Arial Black" w:hAnsi="Arial Black"/>
          <w:b/>
          <w:sz w:val="24"/>
          <w:szCs w:val="24"/>
        </w:rPr>
        <w:t>7</w:t>
      </w:r>
    </w:p>
    <w:p w14:paraId="29DFBA5B" w14:textId="77777777" w:rsidR="00C510D7" w:rsidRPr="00103331" w:rsidRDefault="00C510D7" w:rsidP="00C510D7">
      <w:pPr>
        <w:pStyle w:val="NoSpacing"/>
        <w:rPr>
          <w:rFonts w:ascii="Arial Black" w:hAnsi="Arial Black"/>
          <w:b/>
          <w:sz w:val="28"/>
          <w:szCs w:val="28"/>
        </w:rPr>
      </w:pPr>
      <w:r>
        <w:rPr>
          <w:rFonts w:ascii="Arial Black" w:hAnsi="Arial Black"/>
          <w:b/>
          <w:sz w:val="28"/>
          <w:szCs w:val="28"/>
        </w:rPr>
        <w:t xml:space="preserve">OK: FLSA – EMS SHIFT DIFFERENTIAL – HOURLY RATE OF PAY TO INCREASE – CLASS ACTION $350K SETTLEMENT  </w:t>
      </w:r>
    </w:p>
    <w:p w14:paraId="06FD023D" w14:textId="77777777" w:rsidR="00C510D7" w:rsidRDefault="00C510D7" w:rsidP="00C510D7">
      <w:pPr>
        <w:pStyle w:val="NoSpacing"/>
        <w:ind w:firstLine="720"/>
        <w:rPr>
          <w:b/>
        </w:rPr>
      </w:pPr>
    </w:p>
    <w:p w14:paraId="1DD25A52" w14:textId="334B9515" w:rsidR="00C510D7" w:rsidRPr="008032EA" w:rsidRDefault="00C510D7" w:rsidP="00C510D7">
      <w:pPr>
        <w:rPr>
          <w:rFonts w:ascii="Times New Roman" w:hAnsi="Times New Roman"/>
          <w:b/>
          <w:sz w:val="24"/>
          <w:szCs w:val="24"/>
        </w:rPr>
      </w:pPr>
      <w:r w:rsidRPr="008032EA">
        <w:rPr>
          <w:rFonts w:ascii="Times New Roman" w:hAnsi="Times New Roman"/>
          <w:sz w:val="24"/>
          <w:szCs w:val="24"/>
        </w:rPr>
        <w:t xml:space="preserve">On Nov. 21, 2024, in </w:t>
      </w:r>
      <w:r w:rsidRPr="008032EA">
        <w:rPr>
          <w:rFonts w:ascii="Times New Roman" w:hAnsi="Times New Roman"/>
          <w:sz w:val="24"/>
          <w:szCs w:val="24"/>
          <w:u w:val="single"/>
        </w:rPr>
        <w:t>Jerry Sherley v. Muskogee County EMS</w:t>
      </w:r>
      <w:r w:rsidRPr="008032EA">
        <w:rPr>
          <w:rFonts w:ascii="Times New Roman" w:hAnsi="Times New Roman"/>
          <w:sz w:val="24"/>
          <w:szCs w:val="24"/>
        </w:rPr>
        <w:t xml:space="preserve">, United States District Court Judge John F. Heil, III, U.S. District Court for approved the Eastern District of Oklahoma, approved the Notice to go to all EMS to “opt in” to the back pay settlement.  The Court wrote: “Plaintiff alleges that between July 18, </w:t>
      </w:r>
      <w:proofErr w:type="gramStart"/>
      <w:r w:rsidRPr="008032EA">
        <w:rPr>
          <w:rFonts w:ascii="Times New Roman" w:hAnsi="Times New Roman"/>
          <w:sz w:val="24"/>
          <w:szCs w:val="24"/>
        </w:rPr>
        <w:t>2020</w:t>
      </w:r>
      <w:proofErr w:type="gramEnd"/>
      <w:r w:rsidRPr="008032EA">
        <w:rPr>
          <w:rFonts w:ascii="Times New Roman" w:hAnsi="Times New Roman"/>
          <w:sz w:val="24"/>
          <w:szCs w:val="24"/>
        </w:rPr>
        <w:t xml:space="preserve"> and October 31, 2023, MCEMS failed to include EMTs’ shift differential pay in the rate for overtime pay, which resulted in less overtime pay than required by the FLSA…. The parties have reached a negotiated resolution…. Their settlement agreement defines the Settlement Collective to include ‘any EMT employed by MCEMS who was paid by the hour . . . plus shift differential pay and who worked more than 40 hours in a workweek during the period from July 18, </w:t>
      </w:r>
      <w:proofErr w:type="gramStart"/>
      <w:r w:rsidRPr="008032EA">
        <w:rPr>
          <w:rFonts w:ascii="Times New Roman" w:hAnsi="Times New Roman"/>
          <w:sz w:val="24"/>
          <w:szCs w:val="24"/>
        </w:rPr>
        <w:t>2020</w:t>
      </w:r>
      <w:proofErr w:type="gramEnd"/>
      <w:r w:rsidRPr="008032EA">
        <w:rPr>
          <w:rFonts w:ascii="Times New Roman" w:hAnsi="Times New Roman"/>
          <w:sz w:val="24"/>
          <w:szCs w:val="24"/>
        </w:rPr>
        <w:t xml:space="preserve"> to October 31, 2023.’” </w:t>
      </w:r>
      <w:hyperlink r:id="rId1804" w:history="1">
        <w:r w:rsidRPr="008032EA">
          <w:rPr>
            <w:rStyle w:val="Hyperlink"/>
            <w:rFonts w:ascii="Times New Roman" w:hAnsi="Times New Roman"/>
            <w:sz w:val="24"/>
            <w:szCs w:val="24"/>
          </w:rPr>
          <w:t>https://cases.justia.com/federal/district-courts/oklahoma/okedce/6:2023cv00241/34830/33/0.pdf?ts=1732294058</w:t>
        </w:r>
      </w:hyperlink>
    </w:p>
    <w:p w14:paraId="254F3FE1" w14:textId="77777777" w:rsidR="008032EA" w:rsidRPr="008032EA" w:rsidRDefault="008032EA" w:rsidP="008032EA">
      <w:pPr>
        <w:pStyle w:val="NoSpacing"/>
        <w:rPr>
          <w:rFonts w:ascii="Times New Roman" w:hAnsi="Times New Roman"/>
          <w:b/>
          <w:sz w:val="24"/>
          <w:szCs w:val="24"/>
        </w:rPr>
      </w:pPr>
      <w:r w:rsidRPr="008032EA">
        <w:rPr>
          <w:rFonts w:ascii="Times New Roman" w:hAnsi="Times New Roman"/>
          <w:b/>
          <w:sz w:val="24"/>
          <w:szCs w:val="24"/>
        </w:rPr>
        <w:t>Legal Lesson Learned: Shift differential increases the hourly rate of pay for EMS.</w:t>
      </w:r>
    </w:p>
    <w:p w14:paraId="6C52655D" w14:textId="77777777" w:rsidR="008032EA" w:rsidRPr="008032EA" w:rsidRDefault="008032EA" w:rsidP="008032EA">
      <w:pPr>
        <w:pStyle w:val="NoSpacing"/>
        <w:ind w:firstLine="720"/>
        <w:rPr>
          <w:rFonts w:ascii="Times New Roman" w:hAnsi="Times New Roman"/>
          <w:b/>
          <w:sz w:val="24"/>
          <w:szCs w:val="24"/>
        </w:rPr>
      </w:pPr>
    </w:p>
    <w:p w14:paraId="30079DB1" w14:textId="77777777" w:rsidR="008032EA" w:rsidRPr="000402D5" w:rsidRDefault="008032EA" w:rsidP="008032EA">
      <w:pPr>
        <w:pStyle w:val="NoSpacing"/>
        <w:ind w:left="720"/>
      </w:pPr>
      <w:r w:rsidRPr="008032EA">
        <w:rPr>
          <w:rFonts w:ascii="Times New Roman" w:hAnsi="Times New Roman"/>
          <w:sz w:val="24"/>
          <w:szCs w:val="24"/>
        </w:rPr>
        <w:t>Note:  See article, July 20, 2023: “Okla. EMS Dept. Shorts Workers On OT, Former EMT Says.”</w:t>
      </w:r>
      <w:r w:rsidRPr="008032EA">
        <w:rPr>
          <w:rFonts w:ascii="Times New Roman" w:hAnsi="Times New Roman"/>
          <w:b/>
          <w:sz w:val="24"/>
          <w:szCs w:val="24"/>
        </w:rPr>
        <w:t xml:space="preserve"> </w:t>
      </w:r>
      <w:r w:rsidRPr="008032EA">
        <w:rPr>
          <w:rFonts w:ascii="Times New Roman" w:hAnsi="Times New Roman"/>
          <w:sz w:val="24"/>
          <w:szCs w:val="24"/>
        </w:rPr>
        <w:t xml:space="preserve"> “A former emergency medical technician for an Oklahoma emergency medical services department hit his former employer with a proposed collective action accusing it of violating the Fair Labor Standards </w:t>
      </w:r>
      <w:r w:rsidRPr="008032EA">
        <w:rPr>
          <w:rFonts w:ascii="Times New Roman" w:hAnsi="Times New Roman"/>
          <w:sz w:val="24"/>
          <w:szCs w:val="24"/>
        </w:rPr>
        <w:lastRenderedPageBreak/>
        <w:t xml:space="preserve">Act.” </w:t>
      </w:r>
      <w:hyperlink r:id="rId1805" w:history="1">
        <w:r w:rsidRPr="008032EA">
          <w:rPr>
            <w:rStyle w:val="Hyperlink"/>
            <w:rFonts w:ascii="Times New Roman" w:hAnsi="Times New Roman"/>
            <w:sz w:val="24"/>
            <w:szCs w:val="24"/>
          </w:rPr>
          <w:t>https://www.law360.com/employment-authority/articles/1701446/okla-ems-dept-shorts-workers-on-ot-former-emt-says</w:t>
        </w:r>
      </w:hyperlink>
      <w:r>
        <w:t xml:space="preserve"> </w:t>
      </w:r>
    </w:p>
    <w:p w14:paraId="2F396159" w14:textId="77777777" w:rsidR="008032EA" w:rsidRDefault="008032EA" w:rsidP="008032EA">
      <w:pPr>
        <w:pStyle w:val="NoSpacing"/>
      </w:pPr>
    </w:p>
    <w:p w14:paraId="5DA2BC08" w14:textId="7EA42683" w:rsidR="00C510D7" w:rsidRDefault="00F515EB" w:rsidP="00F515EB">
      <w:pPr>
        <w:rPr>
          <w:rFonts w:ascii="Arial Black" w:hAnsi="Arial Black"/>
          <w:b/>
          <w:sz w:val="24"/>
          <w:szCs w:val="24"/>
        </w:rPr>
      </w:pPr>
      <w:r>
        <w:rPr>
          <w:rFonts w:ascii="Arial Black" w:hAnsi="Arial Black"/>
          <w:b/>
          <w:sz w:val="24"/>
          <w:szCs w:val="24"/>
        </w:rPr>
        <w:t>11-5</w:t>
      </w:r>
      <w:r w:rsidR="00DE6B12">
        <w:rPr>
          <w:rFonts w:ascii="Arial Black" w:hAnsi="Arial Black"/>
          <w:b/>
          <w:sz w:val="24"/>
          <w:szCs w:val="24"/>
        </w:rPr>
        <w:t>6</w:t>
      </w:r>
    </w:p>
    <w:p w14:paraId="7893EA32" w14:textId="77777777" w:rsidR="00F515EB" w:rsidRPr="006E68AF" w:rsidRDefault="00F515EB" w:rsidP="00F515EB">
      <w:pPr>
        <w:pStyle w:val="NoSpacing"/>
        <w:rPr>
          <w:rFonts w:ascii="Arial Black" w:hAnsi="Arial Black"/>
          <w:bCs/>
          <w:sz w:val="28"/>
          <w:szCs w:val="28"/>
        </w:rPr>
      </w:pPr>
      <w:r w:rsidRPr="006E68AF">
        <w:rPr>
          <w:rFonts w:ascii="Arial Black" w:hAnsi="Arial Black"/>
          <w:sz w:val="28"/>
          <w:szCs w:val="28"/>
        </w:rPr>
        <w:t>MA: SETTLED – D</w:t>
      </w:r>
      <w:r>
        <w:rPr>
          <w:rFonts w:ascii="Arial Black" w:hAnsi="Arial Black"/>
          <w:sz w:val="28"/>
          <w:szCs w:val="28"/>
        </w:rPr>
        <w:t>ROP CLAIM DCs NON-EXEMPT</w:t>
      </w:r>
    </w:p>
    <w:p w14:paraId="5D8C6DDC" w14:textId="77777777" w:rsidR="00F515EB" w:rsidRPr="006E68AF" w:rsidRDefault="00F515EB" w:rsidP="00F515EB">
      <w:pPr>
        <w:pStyle w:val="NoSpacing"/>
        <w:rPr>
          <w:b/>
        </w:rPr>
      </w:pPr>
    </w:p>
    <w:p w14:paraId="385EED72" w14:textId="77777777" w:rsidR="00627EB5" w:rsidRPr="00627EB5" w:rsidRDefault="00627EB5" w:rsidP="00627EB5">
      <w:pPr>
        <w:pStyle w:val="NoSpacing"/>
        <w:rPr>
          <w:rStyle w:val="Hyperlink"/>
          <w:rFonts w:ascii="Times New Roman" w:hAnsi="Times New Roman"/>
          <w:bCs/>
          <w:sz w:val="24"/>
          <w:szCs w:val="24"/>
        </w:rPr>
      </w:pPr>
      <w:r w:rsidRPr="00627EB5">
        <w:rPr>
          <w:rFonts w:ascii="Times New Roman" w:hAnsi="Times New Roman"/>
          <w:sz w:val="24"/>
          <w:szCs w:val="24"/>
        </w:rPr>
        <w:t xml:space="preserve">On Nov. 18, 2024, in </w:t>
      </w:r>
      <w:r w:rsidRPr="00627EB5">
        <w:rPr>
          <w:rFonts w:ascii="Times New Roman" w:hAnsi="Times New Roman"/>
          <w:sz w:val="24"/>
          <w:szCs w:val="24"/>
          <w:u w:val="single"/>
        </w:rPr>
        <w:t>Brian Bergeron, et al. v. Town of Brookline and Brookline Fire Department</w:t>
      </w:r>
      <w:r w:rsidRPr="00627EB5">
        <w:rPr>
          <w:rFonts w:ascii="Times New Roman" w:hAnsi="Times New Roman"/>
          <w:sz w:val="24"/>
          <w:szCs w:val="24"/>
        </w:rPr>
        <w:t xml:space="preserve">, Unites States District Court for the District of Massachusetts, the </w:t>
      </w:r>
      <w:proofErr w:type="gramStart"/>
      <w:r w:rsidRPr="00627EB5">
        <w:rPr>
          <w:rFonts w:ascii="Times New Roman" w:hAnsi="Times New Roman"/>
          <w:sz w:val="24"/>
          <w:szCs w:val="24"/>
        </w:rPr>
        <w:t>City</w:t>
      </w:r>
      <w:proofErr w:type="gramEnd"/>
      <w:r w:rsidRPr="00627EB5">
        <w:rPr>
          <w:rFonts w:ascii="Times New Roman" w:hAnsi="Times New Roman"/>
          <w:sz w:val="24"/>
          <w:szCs w:val="24"/>
        </w:rPr>
        <w:t xml:space="preserve"> filed settlement agreement.  The lawsuit was filed December 1, </w:t>
      </w:r>
      <w:proofErr w:type="gramStart"/>
      <w:r w:rsidRPr="00627EB5">
        <w:rPr>
          <w:rFonts w:ascii="Times New Roman" w:hAnsi="Times New Roman"/>
          <w:sz w:val="24"/>
          <w:szCs w:val="24"/>
        </w:rPr>
        <w:t>2023</w:t>
      </w:r>
      <w:proofErr w:type="gramEnd"/>
      <w:r w:rsidRPr="00627EB5">
        <w:rPr>
          <w:rFonts w:ascii="Times New Roman" w:hAnsi="Times New Roman"/>
          <w:sz w:val="24"/>
          <w:szCs w:val="24"/>
        </w:rPr>
        <w:t xml:space="preserve"> by two Lieutenants on behalf of a class of 119 current and former firefighters and officers. The original complaint included a claim that Deputy Chiefs were improperly classified as exempt.  That claim was dropped in the settlement. </w:t>
      </w:r>
      <w:hyperlink r:id="rId1806" w:history="1">
        <w:r w:rsidRPr="00627EB5">
          <w:rPr>
            <w:rStyle w:val="Hyperlink"/>
            <w:rFonts w:ascii="Times New Roman" w:hAnsi="Times New Roman"/>
            <w:sz w:val="24"/>
            <w:szCs w:val="24"/>
          </w:rPr>
          <w:t>https://brookline.news/wp-content/uploads/2024/12/jointsettlementfiling.pdf</w:t>
        </w:r>
      </w:hyperlink>
    </w:p>
    <w:p w14:paraId="14B33F10" w14:textId="77777777" w:rsidR="00627EB5" w:rsidRDefault="00627EB5" w:rsidP="00F515EB">
      <w:pPr>
        <w:pStyle w:val="NoSpacing"/>
        <w:rPr>
          <w:rFonts w:ascii="Times New Roman" w:hAnsi="Times New Roman"/>
          <w:sz w:val="24"/>
          <w:szCs w:val="24"/>
        </w:rPr>
      </w:pPr>
    </w:p>
    <w:p w14:paraId="46F378C0" w14:textId="77777777" w:rsidR="00627EB5" w:rsidRDefault="00627EB5" w:rsidP="00F515EB">
      <w:pPr>
        <w:pStyle w:val="NoSpacing"/>
        <w:rPr>
          <w:rFonts w:ascii="Times New Roman" w:hAnsi="Times New Roman"/>
          <w:sz w:val="24"/>
          <w:szCs w:val="24"/>
        </w:rPr>
      </w:pPr>
    </w:p>
    <w:p w14:paraId="6F5F67C3" w14:textId="3B870C66" w:rsidR="00F515EB" w:rsidRPr="007C7655" w:rsidRDefault="00F515EB" w:rsidP="00F515EB">
      <w:pPr>
        <w:pStyle w:val="NoSpacing"/>
        <w:rPr>
          <w:rFonts w:ascii="Times New Roman" w:hAnsi="Times New Roman"/>
          <w:bCs/>
          <w:sz w:val="24"/>
          <w:szCs w:val="24"/>
        </w:rPr>
      </w:pPr>
      <w:r w:rsidRPr="007C7655">
        <w:rPr>
          <w:rFonts w:ascii="Times New Roman" w:hAnsi="Times New Roman"/>
          <w:sz w:val="24"/>
          <w:szCs w:val="24"/>
        </w:rPr>
        <w:t xml:space="preserve">The Settlement includes following. </w:t>
      </w:r>
    </w:p>
    <w:p w14:paraId="3A1C91AF" w14:textId="77777777" w:rsidR="00F515EB" w:rsidRPr="007C7655" w:rsidRDefault="00F515EB" w:rsidP="00F515EB">
      <w:pPr>
        <w:pStyle w:val="NoSpacing"/>
        <w:rPr>
          <w:rFonts w:ascii="Times New Roman" w:hAnsi="Times New Roman"/>
          <w:bCs/>
          <w:sz w:val="24"/>
          <w:szCs w:val="24"/>
        </w:rPr>
      </w:pPr>
    </w:p>
    <w:p w14:paraId="750DCB80" w14:textId="1327D8E8" w:rsidR="00F515EB" w:rsidRPr="007C7655" w:rsidRDefault="00627EB5" w:rsidP="00F515EB">
      <w:pPr>
        <w:ind w:left="720"/>
        <w:rPr>
          <w:rFonts w:ascii="Times New Roman" w:hAnsi="Times New Roman"/>
          <w:bCs/>
          <w:sz w:val="24"/>
          <w:szCs w:val="24"/>
        </w:rPr>
      </w:pPr>
      <w:r>
        <w:rPr>
          <w:rFonts w:ascii="Times New Roman" w:hAnsi="Times New Roman"/>
          <w:sz w:val="24"/>
          <w:szCs w:val="24"/>
        </w:rPr>
        <w:t>“</w:t>
      </w:r>
      <w:r w:rsidR="00F515EB" w:rsidRPr="007C7655">
        <w:rPr>
          <w:rFonts w:ascii="Times New Roman" w:hAnsi="Times New Roman"/>
          <w:sz w:val="24"/>
          <w:szCs w:val="24"/>
        </w:rPr>
        <w:t>The Town will pay the Plaintiffs the amount of $101,604.22 to resolve all claims as allocated in an attachment to the Settlement Agreement. *** By April 2024, the parties had reached an agreement in principle with the following elements:</w:t>
      </w:r>
    </w:p>
    <w:p w14:paraId="2D44E10A" w14:textId="77777777" w:rsidR="00F515EB" w:rsidRPr="007C7655" w:rsidRDefault="00F515EB" w:rsidP="00F515EB">
      <w:pPr>
        <w:ind w:left="720"/>
        <w:rPr>
          <w:rFonts w:ascii="Times New Roman" w:hAnsi="Times New Roman"/>
          <w:bCs/>
          <w:sz w:val="24"/>
          <w:szCs w:val="24"/>
        </w:rPr>
      </w:pPr>
      <w:r w:rsidRPr="007C7655">
        <w:rPr>
          <w:rFonts w:ascii="Times New Roman" w:hAnsi="Times New Roman"/>
          <w:sz w:val="24"/>
          <w:szCs w:val="24"/>
        </w:rPr>
        <w:t xml:space="preserve">(a) The Town would include the ASHER [Active Shooter / Hostile Event </w:t>
      </w:r>
      <w:proofErr w:type="gramStart"/>
      <w:r w:rsidRPr="007C7655">
        <w:rPr>
          <w:rFonts w:ascii="Times New Roman" w:hAnsi="Times New Roman"/>
          <w:sz w:val="24"/>
          <w:szCs w:val="24"/>
        </w:rPr>
        <w:t>Response]]</w:t>
      </w:r>
      <w:proofErr w:type="gramEnd"/>
      <w:r w:rsidRPr="007C7655">
        <w:rPr>
          <w:rFonts w:ascii="Times New Roman" w:hAnsi="Times New Roman"/>
          <w:sz w:val="24"/>
          <w:szCs w:val="24"/>
        </w:rPr>
        <w:t xml:space="preserve"> stipend in the FLSA regular rate;</w:t>
      </w:r>
    </w:p>
    <w:p w14:paraId="467A1A11" w14:textId="77777777" w:rsidR="00F515EB" w:rsidRPr="007C7655" w:rsidRDefault="00F515EB" w:rsidP="00F515EB">
      <w:pPr>
        <w:ind w:left="720"/>
        <w:rPr>
          <w:rFonts w:ascii="Times New Roman" w:hAnsi="Times New Roman"/>
          <w:bCs/>
          <w:sz w:val="24"/>
          <w:szCs w:val="24"/>
        </w:rPr>
      </w:pPr>
      <w:r w:rsidRPr="007C7655">
        <w:rPr>
          <w:rFonts w:ascii="Times New Roman" w:hAnsi="Times New Roman"/>
          <w:sz w:val="24"/>
          <w:szCs w:val="24"/>
        </w:rPr>
        <w:t>(b) The Town would count each shift as 24 hours instead of 21 hours as FLSA hours worked;</w:t>
      </w:r>
    </w:p>
    <w:p w14:paraId="5546EB6C" w14:textId="77777777" w:rsidR="00F515EB" w:rsidRPr="007C7655" w:rsidRDefault="00F515EB" w:rsidP="00F515EB">
      <w:pPr>
        <w:ind w:firstLine="720"/>
        <w:rPr>
          <w:rFonts w:ascii="Times New Roman" w:hAnsi="Times New Roman"/>
          <w:bCs/>
          <w:sz w:val="24"/>
          <w:szCs w:val="24"/>
        </w:rPr>
      </w:pPr>
      <w:r w:rsidRPr="007C7655">
        <w:rPr>
          <w:rFonts w:ascii="Times New Roman" w:hAnsi="Times New Roman"/>
          <w:sz w:val="24"/>
          <w:szCs w:val="24"/>
        </w:rPr>
        <w:t>(c) The Town would properly count the hours of employees who swap shifts;</w:t>
      </w:r>
    </w:p>
    <w:p w14:paraId="1CC261A2" w14:textId="77777777" w:rsidR="00F515EB" w:rsidRPr="007C7655" w:rsidRDefault="00F515EB" w:rsidP="00F515EB">
      <w:pPr>
        <w:ind w:firstLine="720"/>
        <w:rPr>
          <w:rFonts w:ascii="Times New Roman" w:hAnsi="Times New Roman"/>
          <w:bCs/>
          <w:sz w:val="24"/>
          <w:szCs w:val="24"/>
        </w:rPr>
      </w:pPr>
      <w:r w:rsidRPr="007C7655">
        <w:rPr>
          <w:rFonts w:ascii="Times New Roman" w:hAnsi="Times New Roman"/>
          <w:sz w:val="24"/>
          <w:szCs w:val="24"/>
        </w:rPr>
        <w:t>(d) The Town would include all types of overtime as FLSA hours worked;</w:t>
      </w:r>
    </w:p>
    <w:p w14:paraId="68283DB2" w14:textId="77777777" w:rsidR="00F515EB" w:rsidRPr="007C7655" w:rsidRDefault="00F515EB" w:rsidP="00F515EB">
      <w:pPr>
        <w:ind w:firstLine="720"/>
        <w:rPr>
          <w:rFonts w:ascii="Times New Roman" w:hAnsi="Times New Roman"/>
          <w:bCs/>
          <w:sz w:val="24"/>
          <w:szCs w:val="24"/>
        </w:rPr>
      </w:pPr>
      <w:r w:rsidRPr="007C7655">
        <w:rPr>
          <w:rFonts w:ascii="Times New Roman" w:hAnsi="Times New Roman"/>
          <w:sz w:val="24"/>
          <w:szCs w:val="24"/>
        </w:rPr>
        <w:t xml:space="preserve">(e) The Town would include ‘out of </w:t>
      </w:r>
      <w:proofErr w:type="spellStart"/>
      <w:r w:rsidRPr="007C7655">
        <w:rPr>
          <w:rFonts w:ascii="Times New Roman" w:hAnsi="Times New Roman"/>
          <w:sz w:val="24"/>
          <w:szCs w:val="24"/>
        </w:rPr>
        <w:t>class’</w:t>
      </w:r>
      <w:proofErr w:type="spellEnd"/>
      <w:r w:rsidRPr="007C7655">
        <w:rPr>
          <w:rFonts w:ascii="Times New Roman" w:hAnsi="Times New Roman"/>
          <w:sz w:val="24"/>
          <w:szCs w:val="24"/>
        </w:rPr>
        <w:t xml:space="preserve"> hours as FLSA hours worked;</w:t>
      </w:r>
    </w:p>
    <w:p w14:paraId="6AD3B831" w14:textId="77777777" w:rsidR="00F515EB" w:rsidRPr="007C7655" w:rsidRDefault="00F515EB" w:rsidP="00F515EB">
      <w:pPr>
        <w:ind w:left="720"/>
        <w:rPr>
          <w:rFonts w:ascii="Times New Roman" w:hAnsi="Times New Roman"/>
          <w:bCs/>
          <w:sz w:val="24"/>
          <w:szCs w:val="24"/>
        </w:rPr>
      </w:pPr>
      <w:r w:rsidRPr="007C7655">
        <w:rPr>
          <w:rFonts w:ascii="Times New Roman" w:hAnsi="Times New Roman"/>
          <w:sz w:val="24"/>
          <w:szCs w:val="24"/>
        </w:rPr>
        <w:t>(f) The Town would count the hours for all days worked, including those days they failed to previously certify;</w:t>
      </w:r>
    </w:p>
    <w:p w14:paraId="574E2A88" w14:textId="77777777" w:rsidR="00F515EB" w:rsidRPr="007C7655" w:rsidRDefault="00F515EB" w:rsidP="00F515EB">
      <w:pPr>
        <w:ind w:left="720"/>
        <w:rPr>
          <w:rFonts w:ascii="Times New Roman" w:hAnsi="Times New Roman"/>
          <w:bCs/>
          <w:sz w:val="24"/>
          <w:szCs w:val="24"/>
        </w:rPr>
      </w:pPr>
      <w:r w:rsidRPr="007C7655">
        <w:rPr>
          <w:rFonts w:ascii="Times New Roman" w:hAnsi="Times New Roman"/>
          <w:sz w:val="24"/>
          <w:szCs w:val="24"/>
        </w:rPr>
        <w:t xml:space="preserve">(g) The Town would not count deputy fire chiefs as FLSA non-exempt </w:t>
      </w:r>
      <w:proofErr w:type="gramStart"/>
      <w:r w:rsidRPr="007C7655">
        <w:rPr>
          <w:rFonts w:ascii="Times New Roman" w:hAnsi="Times New Roman"/>
          <w:sz w:val="24"/>
          <w:szCs w:val="24"/>
        </w:rPr>
        <w:t>employees</w:t>
      </w:r>
      <w:proofErr w:type="gramEnd"/>
      <w:r w:rsidRPr="007C7655">
        <w:rPr>
          <w:rFonts w:ascii="Times New Roman" w:hAnsi="Times New Roman"/>
          <w:sz w:val="24"/>
          <w:szCs w:val="24"/>
        </w:rPr>
        <w:t xml:space="preserve"> but they would count all fire lieutenants and fire captains as FLSA non-exempt employees;</w:t>
      </w:r>
    </w:p>
    <w:p w14:paraId="6CC291A0" w14:textId="77777777" w:rsidR="00F515EB" w:rsidRPr="007C7655" w:rsidRDefault="00F515EB" w:rsidP="00F515EB">
      <w:pPr>
        <w:ind w:firstLine="720"/>
        <w:rPr>
          <w:rFonts w:ascii="Times New Roman" w:hAnsi="Times New Roman"/>
          <w:bCs/>
          <w:sz w:val="24"/>
          <w:szCs w:val="24"/>
        </w:rPr>
      </w:pPr>
      <w:r w:rsidRPr="007C7655">
        <w:rPr>
          <w:rFonts w:ascii="Times New Roman" w:hAnsi="Times New Roman"/>
          <w:sz w:val="24"/>
          <w:szCs w:val="24"/>
        </w:rPr>
        <w:t>(h) The Plaintiffs would waive liquidated/double damages;</w:t>
      </w:r>
    </w:p>
    <w:p w14:paraId="7F598861" w14:textId="2945F44E" w:rsidR="00F515EB" w:rsidRPr="007C7655" w:rsidRDefault="00F515EB" w:rsidP="00F515EB">
      <w:pPr>
        <w:ind w:firstLine="720"/>
        <w:rPr>
          <w:rFonts w:ascii="Times New Roman" w:hAnsi="Times New Roman"/>
          <w:bCs/>
          <w:sz w:val="24"/>
          <w:szCs w:val="24"/>
        </w:rPr>
      </w:pPr>
      <w:r w:rsidRPr="007C7655">
        <w:rPr>
          <w:rFonts w:ascii="Times New Roman" w:hAnsi="Times New Roman"/>
          <w:sz w:val="24"/>
          <w:szCs w:val="24"/>
        </w:rPr>
        <w:t>(</w:t>
      </w:r>
      <w:proofErr w:type="spellStart"/>
      <w:r w:rsidRPr="007C7655">
        <w:rPr>
          <w:rFonts w:ascii="Times New Roman" w:hAnsi="Times New Roman"/>
          <w:sz w:val="24"/>
          <w:szCs w:val="24"/>
        </w:rPr>
        <w:t>i</w:t>
      </w:r>
      <w:proofErr w:type="spellEnd"/>
      <w:r w:rsidRPr="007C7655">
        <w:rPr>
          <w:rFonts w:ascii="Times New Roman" w:hAnsi="Times New Roman"/>
          <w:sz w:val="24"/>
          <w:szCs w:val="24"/>
        </w:rPr>
        <w:t>) The Plaintiffs would waive attorney’s fees.</w:t>
      </w:r>
      <w:r w:rsidR="00627EB5">
        <w:rPr>
          <w:rFonts w:ascii="Times New Roman" w:hAnsi="Times New Roman"/>
          <w:sz w:val="24"/>
          <w:szCs w:val="24"/>
        </w:rPr>
        <w:t>”</w:t>
      </w:r>
      <w:r w:rsidRPr="007C7655">
        <w:rPr>
          <w:rFonts w:ascii="Times New Roman" w:hAnsi="Times New Roman"/>
          <w:sz w:val="24"/>
          <w:szCs w:val="24"/>
        </w:rPr>
        <w:t xml:space="preserve">  </w:t>
      </w:r>
    </w:p>
    <w:p w14:paraId="28D1E8C0" w14:textId="1B510E58" w:rsidR="00F515EB" w:rsidRPr="007C7655" w:rsidRDefault="00F515EB" w:rsidP="00F515EB">
      <w:pPr>
        <w:pStyle w:val="NoSpacing"/>
        <w:rPr>
          <w:rFonts w:ascii="Times New Roman" w:hAnsi="Times New Roman"/>
          <w:bCs/>
          <w:sz w:val="24"/>
          <w:szCs w:val="24"/>
        </w:rPr>
      </w:pPr>
      <w:r w:rsidRPr="007C7655">
        <w:rPr>
          <w:rFonts w:ascii="Times New Roman" w:hAnsi="Times New Roman"/>
          <w:sz w:val="24"/>
          <w:szCs w:val="24"/>
        </w:rPr>
        <w:t xml:space="preserve"> </w:t>
      </w:r>
    </w:p>
    <w:p w14:paraId="17DADCCD" w14:textId="77777777" w:rsidR="00F515EB" w:rsidRPr="007C7655" w:rsidRDefault="00F515EB" w:rsidP="00F515EB">
      <w:pPr>
        <w:pStyle w:val="NoSpacing"/>
        <w:rPr>
          <w:rFonts w:ascii="Times New Roman" w:hAnsi="Times New Roman"/>
          <w:bCs/>
          <w:sz w:val="24"/>
          <w:szCs w:val="24"/>
        </w:rPr>
      </w:pPr>
    </w:p>
    <w:p w14:paraId="42557027" w14:textId="77777777" w:rsidR="00F515EB" w:rsidRPr="007C7655" w:rsidRDefault="00F515EB" w:rsidP="00F515EB">
      <w:pPr>
        <w:pStyle w:val="NoSpacing"/>
        <w:rPr>
          <w:rFonts w:ascii="Times New Roman" w:hAnsi="Times New Roman"/>
          <w:b/>
          <w:sz w:val="24"/>
          <w:szCs w:val="24"/>
        </w:rPr>
      </w:pPr>
      <w:r w:rsidRPr="007C7655">
        <w:rPr>
          <w:rFonts w:ascii="Times New Roman" w:hAnsi="Times New Roman"/>
          <w:b/>
          <w:sz w:val="24"/>
          <w:szCs w:val="24"/>
        </w:rPr>
        <w:t xml:space="preserve">Legal Lesson Learned: Lieutenants and Captains are non-exempt.  For higher ranks, FDs should consult with knowledgeable legal counsel and read opinion letters from the U.S. Department of Labor, Wage &amp; Hour Division.  </w:t>
      </w:r>
    </w:p>
    <w:p w14:paraId="62BC4D2D" w14:textId="77777777" w:rsidR="00F515EB" w:rsidRPr="007C7655" w:rsidRDefault="00F515EB" w:rsidP="00F515EB">
      <w:pPr>
        <w:pStyle w:val="p0"/>
        <w:ind w:firstLine="0"/>
        <w:rPr>
          <w:rFonts w:ascii="Times New Roman" w:hAnsi="Times New Roman" w:cs="Times New Roman"/>
          <w:sz w:val="24"/>
          <w:szCs w:val="24"/>
        </w:rPr>
      </w:pPr>
    </w:p>
    <w:p w14:paraId="6CE99C59" w14:textId="77777777" w:rsidR="00F515EB" w:rsidRPr="007C7655" w:rsidRDefault="00F515EB" w:rsidP="00F515EB">
      <w:pPr>
        <w:pStyle w:val="p0"/>
        <w:ind w:left="720" w:firstLine="0"/>
        <w:rPr>
          <w:rFonts w:ascii="Times New Roman" w:hAnsi="Times New Roman" w:cs="Times New Roman"/>
          <w:sz w:val="24"/>
          <w:szCs w:val="24"/>
        </w:rPr>
      </w:pPr>
      <w:r w:rsidRPr="007C7655">
        <w:rPr>
          <w:rFonts w:ascii="Times New Roman" w:hAnsi="Times New Roman" w:cs="Times New Roman"/>
          <w:sz w:val="24"/>
          <w:szCs w:val="24"/>
        </w:rPr>
        <w:t xml:space="preserve">Note: See Nov. 24, </w:t>
      </w:r>
      <w:proofErr w:type="gramStart"/>
      <w:r w:rsidRPr="007C7655">
        <w:rPr>
          <w:rFonts w:ascii="Times New Roman" w:hAnsi="Times New Roman" w:cs="Times New Roman"/>
          <w:sz w:val="24"/>
          <w:szCs w:val="24"/>
        </w:rPr>
        <w:t>2024</w:t>
      </w:r>
      <w:proofErr w:type="gramEnd"/>
      <w:r w:rsidRPr="007C7655">
        <w:rPr>
          <w:rFonts w:ascii="Times New Roman" w:hAnsi="Times New Roman" w:cs="Times New Roman"/>
          <w:sz w:val="24"/>
          <w:szCs w:val="24"/>
        </w:rPr>
        <w:t xml:space="preserve"> article, “Settlement Proposed for MA Firefighters Following 2023 FLSA Lawsuit.” </w:t>
      </w:r>
      <w:hyperlink r:id="rId1807" w:history="1">
        <w:r w:rsidRPr="007C7655">
          <w:rPr>
            <w:rStyle w:val="Hyperlink"/>
            <w:rFonts w:ascii="Times New Roman" w:hAnsi="Times New Roman" w:cs="Times New Roman"/>
            <w:sz w:val="24"/>
            <w:szCs w:val="24"/>
          </w:rPr>
          <w:t>https://www.firefighterovertime.org/2024/11/24/settlement-proposed-for-ma-firefighters-following-2023-flsa-lawsuit/</w:t>
        </w:r>
      </w:hyperlink>
      <w:r w:rsidRPr="007C7655">
        <w:rPr>
          <w:rFonts w:ascii="Times New Roman" w:hAnsi="Times New Roman" w:cs="Times New Roman"/>
          <w:sz w:val="24"/>
          <w:szCs w:val="24"/>
        </w:rPr>
        <w:t xml:space="preserve"> </w:t>
      </w:r>
    </w:p>
    <w:p w14:paraId="5FB25DC6" w14:textId="77777777" w:rsidR="00DE6B12" w:rsidRDefault="00DE6B12" w:rsidP="00F326E5">
      <w:pPr>
        <w:rPr>
          <w:rFonts w:ascii="Arial Black" w:hAnsi="Arial Black"/>
          <w:b/>
          <w:sz w:val="24"/>
          <w:szCs w:val="24"/>
        </w:rPr>
      </w:pPr>
    </w:p>
    <w:p w14:paraId="5BA23339" w14:textId="24BC1D07" w:rsidR="00F515EB" w:rsidRDefault="00DE6B12" w:rsidP="00F326E5">
      <w:pPr>
        <w:rPr>
          <w:rFonts w:ascii="Arial Black" w:hAnsi="Arial Black"/>
          <w:b/>
          <w:sz w:val="24"/>
          <w:szCs w:val="24"/>
        </w:rPr>
      </w:pPr>
      <w:r>
        <w:rPr>
          <w:rFonts w:ascii="Arial Black" w:hAnsi="Arial Black"/>
          <w:b/>
          <w:sz w:val="24"/>
          <w:szCs w:val="24"/>
        </w:rPr>
        <w:lastRenderedPageBreak/>
        <w:t>11-55</w:t>
      </w:r>
    </w:p>
    <w:p w14:paraId="41A193C7" w14:textId="77777777" w:rsidR="00AA4BA6" w:rsidRPr="00C841D2" w:rsidRDefault="00AA4BA6" w:rsidP="00AA4BA6">
      <w:pPr>
        <w:spacing w:before="100" w:beforeAutospacing="1" w:after="100" w:afterAutospacing="1" w:line="240" w:lineRule="auto"/>
        <w:rPr>
          <w:rFonts w:ascii="Arial Black" w:hAnsi="Arial Black"/>
          <w:sz w:val="28"/>
          <w:szCs w:val="28"/>
        </w:rPr>
      </w:pPr>
      <w:r>
        <w:rPr>
          <w:rFonts w:ascii="Arial Black" w:hAnsi="Arial Black"/>
          <w:sz w:val="28"/>
          <w:szCs w:val="28"/>
        </w:rPr>
        <w:t>FL: SHERIFF PILOT RESIGNED – FEMALE MGR ANTI-MILITARY – JURY “WILLFUL” VIOL., COURT MUST FOLLOW</w:t>
      </w:r>
    </w:p>
    <w:p w14:paraId="4D8F103F" w14:textId="77777777" w:rsidR="00AA4BA6" w:rsidRDefault="00AA4BA6" w:rsidP="00AA4BA6">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June 22, 2024, in </w:t>
      </w:r>
      <w:r w:rsidRPr="00E63245">
        <w:rPr>
          <w:rFonts w:ascii="Times New Roman" w:hAnsi="Times New Roman"/>
          <w:sz w:val="24"/>
          <w:szCs w:val="24"/>
          <w:u w:val="single"/>
        </w:rPr>
        <w:t>Scott Thomas v. Broward County Sheriff’s Office</w:t>
      </w:r>
      <w:r>
        <w:rPr>
          <w:rFonts w:ascii="Times New Roman" w:hAnsi="Times New Roman"/>
          <w:sz w:val="24"/>
          <w:szCs w:val="24"/>
        </w:rPr>
        <w:t>, the U.S. Court of Appeals for 11</w:t>
      </w:r>
      <w:r w:rsidRPr="00E63245">
        <w:rPr>
          <w:rFonts w:ascii="Times New Roman" w:hAnsi="Times New Roman"/>
          <w:sz w:val="24"/>
          <w:szCs w:val="24"/>
          <w:vertAlign w:val="superscript"/>
        </w:rPr>
        <w:t>th</w:t>
      </w:r>
      <w:r>
        <w:rPr>
          <w:rFonts w:ascii="Times New Roman" w:hAnsi="Times New Roman"/>
          <w:sz w:val="24"/>
          <w:szCs w:val="24"/>
        </w:rPr>
        <w:t xml:space="preserve"> Circuit (Atlanta) held (3 to 0) that under </w:t>
      </w:r>
      <w:r w:rsidRPr="006531DA">
        <w:rPr>
          <w:rFonts w:ascii="Times New Roman" w:hAnsi="Times New Roman"/>
          <w:sz w:val="24"/>
          <w:szCs w:val="24"/>
        </w:rPr>
        <w:t>the Uniformed</w:t>
      </w:r>
      <w:r>
        <w:rPr>
          <w:rFonts w:ascii="Times New Roman" w:hAnsi="Times New Roman"/>
          <w:sz w:val="24"/>
          <w:szCs w:val="24"/>
        </w:rPr>
        <w:t xml:space="preserve"> </w:t>
      </w:r>
      <w:r w:rsidRPr="006531DA">
        <w:rPr>
          <w:rFonts w:ascii="Times New Roman" w:hAnsi="Times New Roman"/>
          <w:sz w:val="24"/>
          <w:szCs w:val="24"/>
        </w:rPr>
        <w:t>Services Employment and Reemployment Rights Act</w:t>
      </w:r>
      <w:r>
        <w:rPr>
          <w:rFonts w:ascii="Times New Roman" w:hAnsi="Times New Roman"/>
          <w:sz w:val="24"/>
          <w:szCs w:val="24"/>
        </w:rPr>
        <w:t xml:space="preserve">, a federal District Court judge can double the lost wages verdict for “willful” violations of the Act, and when as in this case the parties agree to submit that decision to a jury, the District Court judge cannot set aside the jury’s finding of “willful” as merely advisory. Pilot awarded $240,000, which is then doubled, for willful violation. </w:t>
      </w:r>
    </w:p>
    <w:p w14:paraId="046F27EB" w14:textId="77777777" w:rsidR="00AA4BA6" w:rsidRDefault="00AA4BA6" w:rsidP="00AA4BA6">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 The 11</w:t>
      </w:r>
      <w:r w:rsidRPr="00E63245">
        <w:rPr>
          <w:rFonts w:ascii="Times New Roman" w:hAnsi="Times New Roman"/>
          <w:sz w:val="24"/>
          <w:szCs w:val="24"/>
          <w:vertAlign w:val="superscript"/>
        </w:rPr>
        <w:t>th</w:t>
      </w:r>
      <w:r>
        <w:rPr>
          <w:rFonts w:ascii="Times New Roman" w:hAnsi="Times New Roman"/>
          <w:sz w:val="24"/>
          <w:szCs w:val="24"/>
        </w:rPr>
        <w:t xml:space="preserve"> Circuit held: “</w:t>
      </w:r>
      <w:r w:rsidRPr="00C841D2">
        <w:rPr>
          <w:rFonts w:ascii="Times New Roman" w:hAnsi="Times New Roman"/>
          <w:sz w:val="24"/>
          <w:szCs w:val="24"/>
        </w:rPr>
        <w:t>The jury determined that the sheriff’s office’s violation of the Act was willful. Thomas argues that this finding bound the district court because the parties consented to a jury</w:t>
      </w:r>
      <w:r>
        <w:rPr>
          <w:rFonts w:ascii="Times New Roman" w:hAnsi="Times New Roman"/>
          <w:sz w:val="24"/>
          <w:szCs w:val="24"/>
        </w:rPr>
        <w:t xml:space="preserve"> </w:t>
      </w:r>
      <w:r w:rsidRPr="00C841D2">
        <w:rPr>
          <w:rFonts w:ascii="Times New Roman" w:hAnsi="Times New Roman"/>
          <w:sz w:val="24"/>
          <w:szCs w:val="24"/>
        </w:rPr>
        <w:t>trial on the issue of willfulness. Alternatively, he argues that the</w:t>
      </w:r>
      <w:r>
        <w:rPr>
          <w:rFonts w:ascii="Times New Roman" w:hAnsi="Times New Roman"/>
          <w:sz w:val="24"/>
          <w:szCs w:val="24"/>
        </w:rPr>
        <w:t xml:space="preserve"> </w:t>
      </w:r>
      <w:r w:rsidRPr="00C841D2">
        <w:rPr>
          <w:rFonts w:ascii="Times New Roman" w:hAnsi="Times New Roman"/>
          <w:sz w:val="24"/>
          <w:szCs w:val="24"/>
        </w:rPr>
        <w:t>jury’s determination was conclusive because the statute itself gave</w:t>
      </w:r>
      <w:r>
        <w:rPr>
          <w:rFonts w:ascii="Times New Roman" w:hAnsi="Times New Roman"/>
          <w:sz w:val="24"/>
          <w:szCs w:val="24"/>
        </w:rPr>
        <w:t xml:space="preserve"> </w:t>
      </w:r>
      <w:r w:rsidRPr="00C841D2">
        <w:rPr>
          <w:rFonts w:ascii="Times New Roman" w:hAnsi="Times New Roman"/>
          <w:sz w:val="24"/>
          <w:szCs w:val="24"/>
        </w:rPr>
        <w:t>him the right to have the jury decide the issue. We need not reach</w:t>
      </w:r>
      <w:r>
        <w:rPr>
          <w:rFonts w:ascii="Times New Roman" w:hAnsi="Times New Roman"/>
          <w:sz w:val="24"/>
          <w:szCs w:val="24"/>
        </w:rPr>
        <w:t xml:space="preserve"> </w:t>
      </w:r>
      <w:r w:rsidRPr="00C841D2">
        <w:rPr>
          <w:rFonts w:ascii="Times New Roman" w:hAnsi="Times New Roman"/>
          <w:sz w:val="24"/>
          <w:szCs w:val="24"/>
        </w:rPr>
        <w:t>his second argument because his first argument is correct</w:t>
      </w:r>
      <w:r>
        <w:rPr>
          <w:rFonts w:ascii="Times New Roman" w:hAnsi="Times New Roman"/>
          <w:sz w:val="24"/>
          <w:szCs w:val="24"/>
        </w:rPr>
        <w:t>.”</w:t>
      </w:r>
      <w:r w:rsidRPr="00E63245">
        <w:t xml:space="preserve"> </w:t>
      </w:r>
      <w:hyperlink r:id="rId1808" w:history="1">
        <w:r w:rsidRPr="00AA56D8">
          <w:rPr>
            <w:rStyle w:val="Hyperlink"/>
            <w:sz w:val="24"/>
            <w:szCs w:val="24"/>
          </w:rPr>
          <w:t>https://media.ca11.uscourts.gov/opinions/pub/files/202211322.pdf</w:t>
        </w:r>
      </w:hyperlink>
      <w:r>
        <w:rPr>
          <w:rFonts w:ascii="Times New Roman" w:hAnsi="Times New Roman"/>
          <w:sz w:val="24"/>
          <w:szCs w:val="24"/>
        </w:rPr>
        <w:t xml:space="preserve"> </w:t>
      </w:r>
    </w:p>
    <w:p w14:paraId="375B0C7B" w14:textId="77777777" w:rsidR="00AA4BA6" w:rsidRPr="00091A17" w:rsidRDefault="00AA4BA6" w:rsidP="00AA4BA6">
      <w:pPr>
        <w:spacing w:before="100" w:beforeAutospacing="1" w:after="100" w:afterAutospacing="1" w:line="240" w:lineRule="auto"/>
        <w:rPr>
          <w:rFonts w:ascii="Times New Roman" w:hAnsi="Times New Roman"/>
          <w:b/>
          <w:bCs/>
          <w:sz w:val="24"/>
          <w:szCs w:val="24"/>
        </w:rPr>
      </w:pPr>
      <w:r w:rsidRPr="00091A17">
        <w:rPr>
          <w:rFonts w:ascii="Times New Roman" w:hAnsi="Times New Roman"/>
          <w:b/>
          <w:bCs/>
          <w:sz w:val="24"/>
          <w:szCs w:val="24"/>
        </w:rPr>
        <w:t>Legal Lesson Learned: USERRA prohibits employers</w:t>
      </w:r>
      <w:r>
        <w:rPr>
          <w:rFonts w:ascii="Times New Roman" w:hAnsi="Times New Roman"/>
          <w:b/>
          <w:bCs/>
          <w:sz w:val="24"/>
          <w:szCs w:val="24"/>
        </w:rPr>
        <w:t xml:space="preserve">, including sheriffs and Fire &amp; EMS, </w:t>
      </w:r>
      <w:r w:rsidRPr="00091A17">
        <w:rPr>
          <w:rFonts w:ascii="Times New Roman" w:hAnsi="Times New Roman"/>
          <w:b/>
          <w:bCs/>
          <w:sz w:val="24"/>
          <w:szCs w:val="24"/>
        </w:rPr>
        <w:t xml:space="preserve"> from</w:t>
      </w:r>
      <w:r>
        <w:rPr>
          <w:rFonts w:ascii="Times New Roman" w:hAnsi="Times New Roman"/>
          <w:b/>
          <w:bCs/>
          <w:sz w:val="24"/>
          <w:szCs w:val="24"/>
        </w:rPr>
        <w:t xml:space="preserve"> </w:t>
      </w:r>
      <w:r w:rsidRPr="00091A17">
        <w:rPr>
          <w:rFonts w:ascii="Times New Roman" w:hAnsi="Times New Roman"/>
          <w:b/>
          <w:bCs/>
          <w:sz w:val="24"/>
          <w:szCs w:val="24"/>
        </w:rPr>
        <w:t>discriminating against past and present members of the uniformed services</w:t>
      </w:r>
      <w:r>
        <w:rPr>
          <w:rFonts w:ascii="Times New Roman" w:hAnsi="Times New Roman"/>
          <w:b/>
          <w:bCs/>
          <w:sz w:val="24"/>
          <w:szCs w:val="24"/>
        </w:rPr>
        <w:t xml:space="preserve">. </w:t>
      </w:r>
      <w:r w:rsidRPr="00091A17">
        <w:rPr>
          <w:rFonts w:ascii="Times New Roman" w:hAnsi="Times New Roman"/>
          <w:b/>
          <w:bCs/>
          <w:sz w:val="24"/>
          <w:szCs w:val="24"/>
        </w:rPr>
        <w:t xml:space="preserve"> </w:t>
      </w:r>
    </w:p>
    <w:p w14:paraId="6AF34609" w14:textId="3AFAA7AC" w:rsidR="00F515EB" w:rsidRDefault="00AA4BA6" w:rsidP="00AA4BA6">
      <w:pPr>
        <w:rPr>
          <w:rFonts w:ascii="Arial Black" w:hAnsi="Arial Black"/>
          <w:b/>
          <w:sz w:val="24"/>
          <w:szCs w:val="24"/>
        </w:rPr>
      </w:pPr>
      <w:r w:rsidRPr="00091A17">
        <w:rPr>
          <w:rFonts w:ascii="Times New Roman" w:eastAsia="Times New Roman" w:hAnsi="Times New Roman"/>
          <w:sz w:val="24"/>
          <w:szCs w:val="24"/>
        </w:rPr>
        <w:t xml:space="preserve">Note: </w:t>
      </w:r>
      <w:r>
        <w:rPr>
          <w:rFonts w:ascii="Times New Roman" w:eastAsia="Times New Roman" w:hAnsi="Times New Roman"/>
          <w:sz w:val="24"/>
          <w:szCs w:val="24"/>
        </w:rPr>
        <w:t>“</w:t>
      </w:r>
      <w:r w:rsidRPr="00091A17">
        <w:rPr>
          <w:rFonts w:ascii="Times New Roman" w:hAnsi="Times New Roman"/>
          <w:sz w:val="24"/>
          <w:szCs w:val="24"/>
        </w:rPr>
        <w:t xml:space="preserve">USERRA applies to all public and private employers in the United States, regardless of size. For example, an employer with only one employee is covered for purposes of the act. USERRA also applies to foreign employers doing business in the United States. A foreign employer that has a physical location or branch in the United States (including U.S. territories and possessions) must comply with USERRA for any of its employees who are employed in the United States. </w:t>
      </w:r>
      <w:hyperlink r:id="rId1809" w:history="1">
        <w:r w:rsidRPr="00091A17">
          <w:rPr>
            <w:rStyle w:val="Hyperlink"/>
            <w:sz w:val="24"/>
            <w:szCs w:val="24"/>
          </w:rPr>
          <w:t>https://www.militaryonesource.mil/national-guard/employment-support/uniformed-services-employment-and-reemployment-rights-act/</w:t>
        </w:r>
      </w:hyperlink>
    </w:p>
    <w:p w14:paraId="5C7AD2E1" w14:textId="77777777" w:rsidR="00F515EB" w:rsidRDefault="00F515EB" w:rsidP="00F326E5">
      <w:pPr>
        <w:rPr>
          <w:rFonts w:ascii="Arial Black" w:hAnsi="Arial Black"/>
          <w:b/>
          <w:sz w:val="24"/>
          <w:szCs w:val="24"/>
        </w:rPr>
      </w:pPr>
    </w:p>
    <w:p w14:paraId="775DA168" w14:textId="47B04C89" w:rsidR="00421B7C" w:rsidRDefault="00421B7C" w:rsidP="00F326E5">
      <w:pPr>
        <w:rPr>
          <w:rFonts w:ascii="Arial Black" w:hAnsi="Arial Black"/>
          <w:b/>
          <w:sz w:val="24"/>
          <w:szCs w:val="24"/>
        </w:rPr>
      </w:pPr>
      <w:r>
        <w:rPr>
          <w:rFonts w:ascii="Arial Black" w:hAnsi="Arial Black"/>
          <w:b/>
          <w:sz w:val="24"/>
          <w:szCs w:val="24"/>
        </w:rPr>
        <w:t>11-5</w:t>
      </w:r>
      <w:r w:rsidR="009601CD">
        <w:rPr>
          <w:rFonts w:ascii="Arial Black" w:hAnsi="Arial Black"/>
          <w:b/>
          <w:sz w:val="24"/>
          <w:szCs w:val="24"/>
        </w:rPr>
        <w:t>4</w:t>
      </w:r>
    </w:p>
    <w:p w14:paraId="5ADFB112" w14:textId="77777777" w:rsidR="00421B7C" w:rsidRDefault="00421B7C" w:rsidP="00421B7C">
      <w:pPr>
        <w:pStyle w:val="NormalWeb"/>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SC: FF / PARAMEDIC – 90% OF HER TIME EMS DUTIES – FF EXEMPTION STILL APPLIES - OVERTIME AFTER 53 HOURS</w:t>
      </w:r>
    </w:p>
    <w:p w14:paraId="5298F866" w14:textId="77777777" w:rsidR="00421B7C" w:rsidRPr="009D70F9" w:rsidRDefault="00421B7C" w:rsidP="00421B7C">
      <w:pPr>
        <w:pStyle w:val="NormalWeb"/>
        <w:rPr>
          <w:shd w:val="clear" w:color="auto" w:fill="FFFFFF"/>
        </w:rPr>
      </w:pPr>
      <w:r w:rsidRPr="009D70F9">
        <w:rPr>
          <w:color w:val="454545"/>
          <w:shd w:val="clear" w:color="auto" w:fill="FFFFFF"/>
        </w:rPr>
        <w:t xml:space="preserve">On July 30, 2024, in </w:t>
      </w:r>
      <w:r w:rsidRPr="009D70F9">
        <w:rPr>
          <w:color w:val="454545"/>
          <w:u w:val="single"/>
          <w:shd w:val="clear" w:color="auto" w:fill="FFFFFF"/>
        </w:rPr>
        <w:t>Heather Nicole Davis v. Jasper County</w:t>
      </w:r>
      <w:r w:rsidRPr="009D70F9">
        <w:rPr>
          <w:color w:val="454545"/>
          <w:shd w:val="clear" w:color="auto" w:fill="FFFFFF"/>
        </w:rPr>
        <w:t>,  U.S. District Court Judge Bruce Howe Hendricks granted summary judgment to Jasper County; as a firefighter / paramedic she is only entitled to overtime after 53 hours (not 40 hours).  “</w:t>
      </w:r>
      <w:r w:rsidRPr="009D70F9">
        <w:rPr>
          <w:shd w:val="clear" w:color="auto" w:fill="FFFFFF"/>
        </w:rPr>
        <w:t xml:space="preserve">The Court finds Plaintiff’s argument without merit. Based on the testimonial evidence set forth above, there is no genuine dispute that Plaintiff </w:t>
      </w:r>
      <w:proofErr w:type="gramStart"/>
      <w:r w:rsidRPr="009D70F9">
        <w:rPr>
          <w:shd w:val="clear" w:color="auto" w:fill="FFFFFF"/>
        </w:rPr>
        <w:t>actually engaged</w:t>
      </w:r>
      <w:proofErr w:type="gramEnd"/>
      <w:r w:rsidRPr="009D70F9">
        <w:rPr>
          <w:shd w:val="clear" w:color="auto" w:fill="FFFFFF"/>
        </w:rPr>
        <w:t xml:space="preserve"> in fire prevention and suppression – she sometimes drove the fire truck, has operated the fire pump, and has put on her turn out gear and entered a structure on fire. There is no requirement in the statute that Plaintiff engage in fire prevention and suppression with any specified </w:t>
      </w:r>
      <w:proofErr w:type="gramStart"/>
      <w:r w:rsidRPr="009D70F9">
        <w:rPr>
          <w:shd w:val="clear" w:color="auto" w:fill="FFFFFF"/>
        </w:rPr>
        <w:t>frequency.”</w:t>
      </w:r>
      <w:proofErr w:type="gramEnd"/>
      <w:r w:rsidRPr="009D70F9">
        <w:t xml:space="preserve"> </w:t>
      </w:r>
      <w:hyperlink r:id="rId1810" w:history="1">
        <w:r w:rsidRPr="009D70F9">
          <w:rPr>
            <w:rStyle w:val="Hyperlink"/>
            <w:shd w:val="clear" w:color="auto" w:fill="FFFFFF"/>
          </w:rPr>
          <w:t>https://www.firefighterovertime.org/wp-content/uploads/2024/07/US_DIS_SCD_9_21cv3964_d87991559e1450_ORDER_denying_40_Motion_for_Summary_Judgment_grant.pdf</w:t>
        </w:r>
      </w:hyperlink>
    </w:p>
    <w:p w14:paraId="517E3A5E" w14:textId="77777777" w:rsidR="00421B7C" w:rsidRPr="009D70F9" w:rsidRDefault="00421B7C" w:rsidP="00421B7C">
      <w:pPr>
        <w:pStyle w:val="NormalWeb"/>
        <w:rPr>
          <w:shd w:val="clear" w:color="auto" w:fill="FFFFFF"/>
        </w:rPr>
      </w:pPr>
      <w:r w:rsidRPr="009D70F9">
        <w:rPr>
          <w:shd w:val="clear" w:color="auto" w:fill="FFFFFF"/>
        </w:rPr>
        <w:t>THE COURT HELD:</w:t>
      </w:r>
    </w:p>
    <w:p w14:paraId="729215C4" w14:textId="77777777" w:rsidR="00421B7C" w:rsidRPr="009D70F9" w:rsidRDefault="00421B7C" w:rsidP="00421B7C">
      <w:pPr>
        <w:pStyle w:val="NormalWeb"/>
        <w:ind w:left="720"/>
        <w:rPr>
          <w:shd w:val="clear" w:color="auto" w:fill="FFFFFF"/>
        </w:rPr>
      </w:pPr>
      <w:r w:rsidRPr="009D70F9">
        <w:rPr>
          <w:shd w:val="clear" w:color="auto" w:fill="FFFFFF"/>
        </w:rPr>
        <w:t xml:space="preserve">“Here, Plaintiff does not dispute that she was employed as a Firefighter/Paramedic; that she trained in fire suppression; that she had the legal authority to engage in fire suppression; and that she was </w:t>
      </w:r>
      <w:r w:rsidRPr="009D70F9">
        <w:rPr>
          <w:shd w:val="clear" w:color="auto" w:fill="FFFFFF"/>
        </w:rPr>
        <w:lastRenderedPageBreak/>
        <w:t>employed by a fire department of a county….  Thus, as to the first part of § 203(y), elements (1) through (4), the remaining issue is whether plaintiff had the responsibility to engage in fire suppression.</w:t>
      </w:r>
    </w:p>
    <w:p w14:paraId="6959F670" w14:textId="77777777" w:rsidR="00421B7C" w:rsidRDefault="00421B7C" w:rsidP="00421B7C">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ab/>
        <w:t>***</w:t>
      </w:r>
    </w:p>
    <w:p w14:paraId="3B5018CE" w14:textId="77777777" w:rsidR="00421B7C" w:rsidRDefault="00421B7C" w:rsidP="00421B7C">
      <w:pPr>
        <w:pStyle w:val="NoSpacing"/>
        <w:rPr>
          <w:rFonts w:ascii="Times New Roman" w:hAnsi="Times New Roman"/>
          <w:sz w:val="24"/>
          <w:szCs w:val="24"/>
          <w:shd w:val="clear" w:color="auto" w:fill="FFFFFF"/>
        </w:rPr>
      </w:pPr>
    </w:p>
    <w:p w14:paraId="0AD462D1" w14:textId="77777777" w:rsidR="00421B7C" w:rsidRPr="00A25A83" w:rsidRDefault="00421B7C" w:rsidP="00421B7C">
      <w:pPr>
        <w:pStyle w:val="NoSpacing"/>
        <w:ind w:firstLine="720"/>
        <w:rPr>
          <w:rFonts w:ascii="Times New Roman" w:hAnsi="Times New Roman"/>
          <w:sz w:val="24"/>
          <w:szCs w:val="24"/>
          <w:shd w:val="clear" w:color="auto" w:fill="FFFFFF"/>
        </w:rPr>
      </w:pPr>
      <w:r w:rsidRPr="00A25A83">
        <w:rPr>
          <w:rFonts w:ascii="Times New Roman" w:hAnsi="Times New Roman"/>
          <w:sz w:val="24"/>
          <w:szCs w:val="24"/>
          <w:shd w:val="clear" w:color="auto" w:fill="FFFFFF"/>
        </w:rPr>
        <w:t xml:space="preserve">In 1999, Congress amended the FLSA to </w:t>
      </w:r>
      <w:r>
        <w:rPr>
          <w:rFonts w:ascii="Times New Roman" w:hAnsi="Times New Roman"/>
          <w:sz w:val="24"/>
          <w:szCs w:val="24"/>
          <w:shd w:val="clear" w:color="auto" w:fill="FFFFFF"/>
        </w:rPr>
        <w:t>‘</w:t>
      </w:r>
      <w:r w:rsidRPr="00A25A83">
        <w:rPr>
          <w:rFonts w:ascii="Times New Roman" w:hAnsi="Times New Roman"/>
          <w:sz w:val="24"/>
          <w:szCs w:val="24"/>
          <w:shd w:val="clear" w:color="auto" w:fill="FFFFFF"/>
        </w:rPr>
        <w:t>clarify the overtime exemption for</w:t>
      </w:r>
    </w:p>
    <w:p w14:paraId="10DFA673" w14:textId="77777777" w:rsidR="00421B7C" w:rsidRPr="00A25A83" w:rsidRDefault="00421B7C" w:rsidP="00421B7C">
      <w:pPr>
        <w:pStyle w:val="NoSpacing"/>
        <w:ind w:firstLine="720"/>
        <w:rPr>
          <w:rFonts w:ascii="Times New Roman" w:hAnsi="Times New Roman"/>
          <w:sz w:val="24"/>
          <w:szCs w:val="24"/>
          <w:shd w:val="clear" w:color="auto" w:fill="FFFFFF"/>
        </w:rPr>
      </w:pPr>
      <w:r w:rsidRPr="00A25A83">
        <w:rPr>
          <w:rFonts w:ascii="Times New Roman" w:hAnsi="Times New Roman"/>
          <w:sz w:val="24"/>
          <w:szCs w:val="24"/>
          <w:shd w:val="clear" w:color="auto" w:fill="FFFFFF"/>
        </w:rPr>
        <w:t>employees engaged in fire protection activities.</w:t>
      </w:r>
      <w:r>
        <w:rPr>
          <w:rFonts w:ascii="Times New Roman" w:hAnsi="Times New Roman"/>
          <w:sz w:val="24"/>
          <w:szCs w:val="24"/>
          <w:shd w:val="clear" w:color="auto" w:fill="FFFFFF"/>
        </w:rPr>
        <w:t>’</w:t>
      </w:r>
      <w:r w:rsidRPr="00A25A83">
        <w:rPr>
          <w:rFonts w:ascii="Times New Roman" w:hAnsi="Times New Roman"/>
          <w:sz w:val="24"/>
          <w:szCs w:val="24"/>
          <w:shd w:val="clear" w:color="auto" w:fill="FFFFFF"/>
        </w:rPr>
        <w:t xml:space="preserve"> Pub. L. No. 106-151, 113 Stat.</w:t>
      </w:r>
    </w:p>
    <w:p w14:paraId="6F0137EE" w14:textId="77777777" w:rsidR="00421B7C" w:rsidRPr="00A25A83" w:rsidRDefault="00421B7C" w:rsidP="00421B7C">
      <w:pPr>
        <w:pStyle w:val="NoSpacing"/>
        <w:ind w:left="720"/>
        <w:rPr>
          <w:rFonts w:ascii="Times New Roman" w:hAnsi="Times New Roman"/>
          <w:sz w:val="24"/>
          <w:szCs w:val="24"/>
          <w:shd w:val="clear" w:color="auto" w:fill="FFFFFF"/>
        </w:rPr>
      </w:pPr>
      <w:r w:rsidRPr="00A25A83">
        <w:rPr>
          <w:rFonts w:ascii="Times New Roman" w:hAnsi="Times New Roman"/>
          <w:sz w:val="24"/>
          <w:szCs w:val="24"/>
          <w:shd w:val="clear" w:color="auto" w:fill="FFFFFF"/>
        </w:rPr>
        <w:t>1731(codified as amended at 29 U.S.C. § 203(y)). Under 29 U.S.C. § 203(y), the following</w:t>
      </w:r>
      <w:r>
        <w:rPr>
          <w:rFonts w:ascii="Times New Roman" w:hAnsi="Times New Roman"/>
          <w:sz w:val="24"/>
          <w:szCs w:val="24"/>
          <w:shd w:val="clear" w:color="auto" w:fill="FFFFFF"/>
        </w:rPr>
        <w:t xml:space="preserve"> </w:t>
      </w:r>
      <w:r w:rsidRPr="00A25A83">
        <w:rPr>
          <w:rFonts w:ascii="Times New Roman" w:hAnsi="Times New Roman"/>
          <w:sz w:val="24"/>
          <w:szCs w:val="24"/>
          <w:shd w:val="clear" w:color="auto" w:fill="FFFFFF"/>
        </w:rPr>
        <w:t xml:space="preserve">employees are, by definition, considered to be involved </w:t>
      </w:r>
      <w:r>
        <w:rPr>
          <w:rFonts w:ascii="Times New Roman" w:hAnsi="Times New Roman"/>
          <w:sz w:val="24"/>
          <w:szCs w:val="24"/>
          <w:shd w:val="clear" w:color="auto" w:fill="FFFFFF"/>
        </w:rPr>
        <w:t>‘i</w:t>
      </w:r>
      <w:r w:rsidRPr="00A25A83">
        <w:rPr>
          <w:rFonts w:ascii="Times New Roman" w:hAnsi="Times New Roman"/>
          <w:sz w:val="24"/>
          <w:szCs w:val="24"/>
          <w:shd w:val="clear" w:color="auto" w:fill="FFFFFF"/>
        </w:rPr>
        <w:t>n fire protection activities</w:t>
      </w:r>
      <w:r>
        <w:rPr>
          <w:rFonts w:ascii="Times New Roman" w:hAnsi="Times New Roman"/>
          <w:sz w:val="24"/>
          <w:szCs w:val="24"/>
          <w:shd w:val="clear" w:color="auto" w:fill="FFFFFF"/>
        </w:rPr>
        <w:t>’</w:t>
      </w:r>
      <w:r w:rsidRPr="00A25A83">
        <w:rPr>
          <w:rFonts w:ascii="Times New Roman" w:hAnsi="Times New Roman"/>
          <w:sz w:val="24"/>
          <w:szCs w:val="24"/>
          <w:shd w:val="clear" w:color="auto" w:fill="FFFFFF"/>
        </w:rPr>
        <w:t xml:space="preserve"> for</w:t>
      </w:r>
      <w:r>
        <w:rPr>
          <w:rFonts w:ascii="Times New Roman" w:hAnsi="Times New Roman"/>
          <w:sz w:val="24"/>
          <w:szCs w:val="24"/>
          <w:shd w:val="clear" w:color="auto" w:fill="FFFFFF"/>
        </w:rPr>
        <w:t xml:space="preserve"> </w:t>
      </w:r>
      <w:r w:rsidRPr="00A25A83">
        <w:rPr>
          <w:rFonts w:ascii="Times New Roman" w:hAnsi="Times New Roman"/>
          <w:sz w:val="24"/>
          <w:szCs w:val="24"/>
          <w:shd w:val="clear" w:color="auto" w:fill="FFFFFF"/>
        </w:rPr>
        <w:t>the purpose of the Section 207(k) exemption:</w:t>
      </w:r>
      <w:r>
        <w:rPr>
          <w:rFonts w:ascii="Times New Roman" w:hAnsi="Times New Roman"/>
          <w:sz w:val="24"/>
          <w:szCs w:val="24"/>
          <w:shd w:val="clear" w:color="auto" w:fill="FFFFFF"/>
        </w:rPr>
        <w:t xml:space="preserve"> </w:t>
      </w:r>
      <w:r w:rsidRPr="00A25A83">
        <w:rPr>
          <w:rFonts w:ascii="Times New Roman" w:hAnsi="Times New Roman"/>
          <w:sz w:val="24"/>
          <w:szCs w:val="24"/>
          <w:shd w:val="clear" w:color="auto" w:fill="FFFFFF"/>
        </w:rPr>
        <w:t>an employee, including a firefighter, paramedic, emergency medical</w:t>
      </w:r>
      <w:r>
        <w:rPr>
          <w:rFonts w:ascii="Times New Roman" w:hAnsi="Times New Roman"/>
          <w:sz w:val="24"/>
          <w:szCs w:val="24"/>
          <w:shd w:val="clear" w:color="auto" w:fill="FFFFFF"/>
        </w:rPr>
        <w:t xml:space="preserve"> </w:t>
      </w:r>
      <w:r w:rsidRPr="00A25A83">
        <w:rPr>
          <w:rFonts w:ascii="Times New Roman" w:hAnsi="Times New Roman"/>
          <w:sz w:val="24"/>
          <w:szCs w:val="24"/>
          <w:shd w:val="clear" w:color="auto" w:fill="FFFFFF"/>
        </w:rPr>
        <w:t>technician, rescue worker, ambulance personnel, or hazardous materials</w:t>
      </w:r>
      <w:r>
        <w:rPr>
          <w:rFonts w:ascii="Times New Roman" w:hAnsi="Times New Roman"/>
          <w:sz w:val="24"/>
          <w:szCs w:val="24"/>
          <w:shd w:val="clear" w:color="auto" w:fill="FFFFFF"/>
        </w:rPr>
        <w:t xml:space="preserve"> </w:t>
      </w:r>
      <w:r w:rsidRPr="00A25A83">
        <w:rPr>
          <w:rFonts w:ascii="Times New Roman" w:hAnsi="Times New Roman"/>
          <w:sz w:val="24"/>
          <w:szCs w:val="24"/>
          <w:shd w:val="clear" w:color="auto" w:fill="FFFFFF"/>
        </w:rPr>
        <w:t>worker, who . . . is trained in fire suppression, has the legal authority and</w:t>
      </w:r>
      <w:r>
        <w:rPr>
          <w:rFonts w:ascii="Times New Roman" w:hAnsi="Times New Roman"/>
          <w:sz w:val="24"/>
          <w:szCs w:val="24"/>
          <w:shd w:val="clear" w:color="auto" w:fill="FFFFFF"/>
        </w:rPr>
        <w:t xml:space="preserve"> </w:t>
      </w:r>
      <w:r w:rsidRPr="00A25A83">
        <w:rPr>
          <w:rFonts w:ascii="Times New Roman" w:hAnsi="Times New Roman"/>
          <w:sz w:val="24"/>
          <w:szCs w:val="24"/>
          <w:shd w:val="clear" w:color="auto" w:fill="FFFFFF"/>
        </w:rPr>
        <w:t>responsibility to engage in fire suppression, and is employed by a fire</w:t>
      </w:r>
    </w:p>
    <w:p w14:paraId="1CCBA178" w14:textId="77777777" w:rsidR="00421B7C" w:rsidRDefault="00421B7C" w:rsidP="00421B7C">
      <w:pPr>
        <w:pStyle w:val="NoSpacing"/>
        <w:ind w:left="720"/>
        <w:rPr>
          <w:rFonts w:ascii="Times New Roman" w:hAnsi="Times New Roman"/>
          <w:sz w:val="24"/>
          <w:szCs w:val="24"/>
          <w:shd w:val="clear" w:color="auto" w:fill="FFFFFF"/>
        </w:rPr>
      </w:pPr>
      <w:r w:rsidRPr="00A25A83">
        <w:rPr>
          <w:rFonts w:ascii="Times New Roman" w:hAnsi="Times New Roman"/>
          <w:sz w:val="24"/>
          <w:szCs w:val="24"/>
          <w:shd w:val="clear" w:color="auto" w:fill="FFFFFF"/>
        </w:rPr>
        <w:t>department of a municipality, county, fire district, or State; and is engaged</w:t>
      </w:r>
      <w:r>
        <w:rPr>
          <w:rFonts w:ascii="Times New Roman" w:hAnsi="Times New Roman"/>
          <w:sz w:val="24"/>
          <w:szCs w:val="24"/>
          <w:shd w:val="clear" w:color="auto" w:fill="FFFFFF"/>
        </w:rPr>
        <w:t xml:space="preserve"> </w:t>
      </w:r>
      <w:r w:rsidRPr="00A25A83">
        <w:rPr>
          <w:rFonts w:ascii="Times New Roman" w:hAnsi="Times New Roman"/>
          <w:sz w:val="24"/>
          <w:szCs w:val="24"/>
          <w:shd w:val="clear" w:color="auto" w:fill="FFFFFF"/>
        </w:rPr>
        <w:t>in the prevention, control, and extinguishment of fires or response to</w:t>
      </w:r>
      <w:r>
        <w:rPr>
          <w:rFonts w:ascii="Times New Roman" w:hAnsi="Times New Roman"/>
          <w:sz w:val="24"/>
          <w:szCs w:val="24"/>
          <w:shd w:val="clear" w:color="auto" w:fill="FFFFFF"/>
        </w:rPr>
        <w:t xml:space="preserve"> </w:t>
      </w:r>
      <w:r w:rsidRPr="00A25A83">
        <w:rPr>
          <w:rFonts w:ascii="Times New Roman" w:hAnsi="Times New Roman"/>
          <w:sz w:val="24"/>
          <w:szCs w:val="24"/>
          <w:shd w:val="clear" w:color="auto" w:fill="FFFFFF"/>
        </w:rPr>
        <w:t>emergency situations where life, property, or the environment is at risk.</w:t>
      </w:r>
      <w:r>
        <w:rPr>
          <w:rFonts w:ascii="Times New Roman" w:hAnsi="Times New Roman"/>
          <w:sz w:val="24"/>
          <w:szCs w:val="24"/>
          <w:shd w:val="clear" w:color="auto" w:fill="FFFFFF"/>
        </w:rPr>
        <w:t>”</w:t>
      </w:r>
    </w:p>
    <w:p w14:paraId="43005CF1" w14:textId="77777777" w:rsidR="00693009" w:rsidRDefault="00693009" w:rsidP="00693009">
      <w:pPr>
        <w:pStyle w:val="NoSpacing"/>
        <w:rPr>
          <w:rFonts w:ascii="Times New Roman" w:hAnsi="Times New Roman"/>
          <w:b/>
          <w:bCs/>
          <w:sz w:val="24"/>
          <w:szCs w:val="24"/>
          <w:shd w:val="clear" w:color="auto" w:fill="FFFFFF"/>
        </w:rPr>
      </w:pPr>
    </w:p>
    <w:p w14:paraId="1DCE5728" w14:textId="0CB626EF" w:rsidR="00693009" w:rsidRPr="00A71244" w:rsidRDefault="00693009" w:rsidP="00693009">
      <w:pPr>
        <w:pStyle w:val="NoSpacing"/>
        <w:rPr>
          <w:rFonts w:ascii="Times New Roman" w:hAnsi="Times New Roman"/>
          <w:b/>
          <w:bCs/>
          <w:sz w:val="24"/>
          <w:szCs w:val="24"/>
          <w:shd w:val="clear" w:color="auto" w:fill="FFFFFF"/>
        </w:rPr>
      </w:pPr>
      <w:r>
        <w:rPr>
          <w:rFonts w:ascii="Times New Roman" w:hAnsi="Times New Roman"/>
          <w:b/>
          <w:bCs/>
          <w:sz w:val="24"/>
          <w:szCs w:val="24"/>
          <w:shd w:val="clear" w:color="auto" w:fill="FFFFFF"/>
        </w:rPr>
        <w:t xml:space="preserve">Legal Lesson Learned:  FLSA </w:t>
      </w:r>
      <w:r w:rsidRPr="003776C2">
        <w:rPr>
          <w:rFonts w:ascii="Times New Roman" w:hAnsi="Times New Roman"/>
          <w:b/>
          <w:bCs/>
          <w:sz w:val="24"/>
          <w:szCs w:val="24"/>
          <w:shd w:val="clear" w:color="auto" w:fill="FFFFFF"/>
        </w:rPr>
        <w:t>Section 207(k) exemption</w:t>
      </w:r>
      <w:r>
        <w:rPr>
          <w:rFonts w:ascii="Times New Roman" w:hAnsi="Times New Roman"/>
          <w:b/>
          <w:bCs/>
          <w:sz w:val="24"/>
          <w:szCs w:val="24"/>
          <w:shd w:val="clear" w:color="auto" w:fill="FFFFFF"/>
        </w:rPr>
        <w:t xml:space="preserve"> clearly applies to her; one </w:t>
      </w:r>
      <w:proofErr w:type="gramStart"/>
      <w:r>
        <w:rPr>
          <w:rFonts w:ascii="Times New Roman" w:hAnsi="Times New Roman"/>
          <w:b/>
          <w:bCs/>
          <w:sz w:val="24"/>
          <w:szCs w:val="24"/>
          <w:shd w:val="clear" w:color="auto" w:fill="FFFFFF"/>
        </w:rPr>
        <w:t>has to</w:t>
      </w:r>
      <w:proofErr w:type="gramEnd"/>
      <w:r>
        <w:rPr>
          <w:rFonts w:ascii="Times New Roman" w:hAnsi="Times New Roman"/>
          <w:b/>
          <w:bCs/>
          <w:sz w:val="24"/>
          <w:szCs w:val="24"/>
          <w:shd w:val="clear" w:color="auto" w:fill="FFFFFF"/>
        </w:rPr>
        <w:t xml:space="preserve"> wonder why she even filed this lawsuit. </w:t>
      </w:r>
    </w:p>
    <w:p w14:paraId="3B82A3AF" w14:textId="77777777" w:rsidR="00693009" w:rsidRDefault="00693009" w:rsidP="00F326E5">
      <w:pPr>
        <w:rPr>
          <w:rFonts w:ascii="Arial Black" w:hAnsi="Arial Black"/>
          <w:b/>
          <w:sz w:val="24"/>
          <w:szCs w:val="24"/>
        </w:rPr>
      </w:pPr>
    </w:p>
    <w:p w14:paraId="2644AB10" w14:textId="77777777" w:rsidR="00421B7C" w:rsidRDefault="00421B7C" w:rsidP="00F326E5">
      <w:pPr>
        <w:rPr>
          <w:rFonts w:ascii="Arial Black" w:hAnsi="Arial Black"/>
          <w:b/>
          <w:sz w:val="24"/>
          <w:szCs w:val="24"/>
        </w:rPr>
      </w:pPr>
    </w:p>
    <w:p w14:paraId="0DD39E4D" w14:textId="29B74782" w:rsidR="008A71A3" w:rsidRDefault="008A71A3" w:rsidP="00F326E5">
      <w:pPr>
        <w:rPr>
          <w:rFonts w:ascii="Arial Black" w:hAnsi="Arial Black"/>
          <w:b/>
          <w:sz w:val="24"/>
          <w:szCs w:val="24"/>
        </w:rPr>
      </w:pPr>
      <w:r>
        <w:rPr>
          <w:rFonts w:ascii="Arial Black" w:hAnsi="Arial Black"/>
          <w:b/>
          <w:sz w:val="24"/>
          <w:szCs w:val="24"/>
        </w:rPr>
        <w:t>11-5</w:t>
      </w:r>
      <w:r w:rsidR="009601CD">
        <w:rPr>
          <w:rFonts w:ascii="Arial Black" w:hAnsi="Arial Black"/>
          <w:b/>
          <w:sz w:val="24"/>
          <w:szCs w:val="24"/>
        </w:rPr>
        <w:t>3</w:t>
      </w:r>
    </w:p>
    <w:p w14:paraId="620353CE" w14:textId="77777777" w:rsidR="0060682A" w:rsidRPr="006179C5" w:rsidRDefault="0060682A" w:rsidP="0060682A">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 xml:space="preserve">OK: FLSA SETTLEMENT – SHIFT DIFFERENTIAL - $350,000 / UP TO 130 EMS MAY JOIN – AGREEMENT MUST BE PUBLIC </w:t>
      </w:r>
    </w:p>
    <w:p w14:paraId="34B30331" w14:textId="77777777" w:rsidR="0060682A" w:rsidRPr="0060682A" w:rsidRDefault="0060682A" w:rsidP="0060682A">
      <w:pPr>
        <w:pStyle w:val="NormalWeb"/>
        <w:rPr>
          <w:color w:val="454545"/>
          <w:shd w:val="clear" w:color="auto" w:fill="FFFFFF"/>
        </w:rPr>
      </w:pPr>
      <w:r w:rsidRPr="0060682A">
        <w:rPr>
          <w:color w:val="454545"/>
          <w:shd w:val="clear" w:color="auto" w:fill="FFFFFF"/>
        </w:rPr>
        <w:t xml:space="preserve">On May 23, 2024, in </w:t>
      </w:r>
      <w:r w:rsidRPr="0060682A">
        <w:rPr>
          <w:color w:val="454545"/>
          <w:u w:val="single"/>
          <w:shd w:val="clear" w:color="auto" w:fill="FFFFFF"/>
        </w:rPr>
        <w:t>Jerry Sherley v. Muskogee County EMS</w:t>
      </w:r>
      <w:r w:rsidRPr="0060682A">
        <w:rPr>
          <w:color w:val="454545"/>
          <w:shd w:val="clear" w:color="auto" w:fill="FFFFFF"/>
        </w:rPr>
        <w:t>, U.S. District Court Judge John F. Heil has agreed to review the terms for fairness the proposed settlement of class action after plaintiff submits a proposed notice to all 130 EMS, and the settlement must be a public record.  The Court held:</w:t>
      </w:r>
    </w:p>
    <w:p w14:paraId="13D05640" w14:textId="528E4438" w:rsidR="008A71A3" w:rsidRPr="0060682A" w:rsidRDefault="0060682A" w:rsidP="0060682A">
      <w:pPr>
        <w:ind w:left="720"/>
        <w:rPr>
          <w:rFonts w:ascii="Times New Roman" w:hAnsi="Times New Roman"/>
          <w:b/>
          <w:sz w:val="24"/>
          <w:szCs w:val="24"/>
        </w:rPr>
      </w:pPr>
      <w:r w:rsidRPr="0060682A">
        <w:rPr>
          <w:rFonts w:ascii="Times New Roman" w:hAnsi="Times New Roman"/>
          <w:color w:val="454545"/>
          <w:sz w:val="24"/>
          <w:szCs w:val="24"/>
          <w:shd w:val="clear" w:color="auto" w:fill="FFFFFF"/>
        </w:rPr>
        <w:t>“</w:t>
      </w:r>
      <w:r w:rsidRPr="0060682A">
        <w:rPr>
          <w:rFonts w:ascii="Times New Roman" w:hAnsi="Times New Roman"/>
          <w:sz w:val="24"/>
          <w:szCs w:val="24"/>
        </w:rPr>
        <w:t xml:space="preserve">Plaintiff should file a motion for conditional certification and approval of the proposed notice to the putative class members…. Lastly, Plaintiff argues that public interest is advanced by allowing the proposed settlement agreement to be sealed because doing so would ‘encourage[] settlement negotiations and </w:t>
      </w:r>
      <w:proofErr w:type="gramStart"/>
      <w:r w:rsidRPr="0060682A">
        <w:rPr>
          <w:rFonts w:ascii="Times New Roman" w:hAnsi="Times New Roman"/>
          <w:sz w:val="24"/>
          <w:szCs w:val="24"/>
        </w:rPr>
        <w:t>agreements, and</w:t>
      </w:r>
      <w:proofErr w:type="gramEnd"/>
      <w:r w:rsidRPr="0060682A">
        <w:rPr>
          <w:rFonts w:ascii="Times New Roman" w:hAnsi="Times New Roman"/>
          <w:sz w:val="24"/>
          <w:szCs w:val="24"/>
        </w:rPr>
        <w:t xml:space="preserve"> preserve judicial resources.’ </w:t>
      </w:r>
      <w:proofErr w:type="spellStart"/>
      <w:r w:rsidRPr="0060682A">
        <w:rPr>
          <w:rFonts w:ascii="Times New Roman" w:hAnsi="Times New Roman"/>
          <w:sz w:val="24"/>
          <w:szCs w:val="24"/>
        </w:rPr>
        <w:t>Dkt</w:t>
      </w:r>
      <w:proofErr w:type="spellEnd"/>
      <w:r w:rsidRPr="0060682A">
        <w:rPr>
          <w:rFonts w:ascii="Times New Roman" w:hAnsi="Times New Roman"/>
          <w:sz w:val="24"/>
          <w:szCs w:val="24"/>
        </w:rPr>
        <w:t xml:space="preserve">. No. 24 at 4. This conclusory statement does not demonstrate that the stated interest would outweigh the right to access </w:t>
      </w:r>
      <w:proofErr w:type="gramStart"/>
      <w:r w:rsidRPr="0060682A">
        <w:rPr>
          <w:rFonts w:ascii="Times New Roman" w:hAnsi="Times New Roman"/>
          <w:sz w:val="24"/>
          <w:szCs w:val="24"/>
        </w:rPr>
        <w:t>underlying the</w:t>
      </w:r>
      <w:proofErr w:type="gramEnd"/>
      <w:r w:rsidRPr="0060682A">
        <w:rPr>
          <w:rFonts w:ascii="Times New Roman" w:hAnsi="Times New Roman"/>
          <w:sz w:val="24"/>
          <w:szCs w:val="24"/>
        </w:rPr>
        <w:t xml:space="preserve"> Court's task in approving an FLSA settlement. </w:t>
      </w:r>
      <w:r w:rsidRPr="0060682A">
        <w:rPr>
          <w:rStyle w:val="Emphasis"/>
          <w:rFonts w:ascii="Times New Roman" w:eastAsiaTheme="majorEastAsia" w:hAnsi="Times New Roman"/>
          <w:sz w:val="24"/>
          <w:szCs w:val="24"/>
        </w:rPr>
        <w:t>See McGee</w:t>
      </w:r>
      <w:r w:rsidRPr="0060682A">
        <w:rPr>
          <w:rFonts w:ascii="Times New Roman" w:hAnsi="Times New Roman"/>
          <w:sz w:val="24"/>
          <w:szCs w:val="24"/>
        </w:rPr>
        <w:t xml:space="preserve">, 2017 WL 4679818, at *2 (noting that the parties failed to present evidence that allowing public access would discourage settlement and observing that ‘this contention may be contradicted by the fact that numerous FLSA settlement agreements contain no confidentiality provision, have been filed unrestricted, and/or have been filed redacted.’). Accordingly, sealing the proposed settlement agreement is not warranted in this case.” </w:t>
      </w:r>
      <w:hyperlink r:id="rId1811" w:history="1">
        <w:r w:rsidRPr="0060682A">
          <w:rPr>
            <w:rStyle w:val="Hyperlink"/>
            <w:rFonts w:ascii="Times New Roman" w:hAnsi="Times New Roman"/>
            <w:sz w:val="24"/>
            <w:szCs w:val="24"/>
          </w:rPr>
          <w:t>https://public.fastcase.com/H1P9uiW3J20SFp%2BGCG%2BxLZy365%2FN0MVDalUuZRIy4n4W%2BHhfv4X1Vzo9ca%2F3mj3k?utm_medium=email&amp;_hsenc=p2ANqtz-8KCYiZyhHUOjRg0MO9pgx_C58MSGHRNzoS8NOUFD5AstP_fG6MazYJg2nKApB1QIRI0-vQrIVEAwfGYCTHYw0GOi6xfA&amp;_hsmi=226712652&amp;utm_content=226712652&amp;utm_source=hs_email</w:t>
        </w:r>
      </w:hyperlink>
    </w:p>
    <w:p w14:paraId="01A89A93" w14:textId="77777777" w:rsidR="00CF5424" w:rsidRPr="00907039" w:rsidRDefault="00CF5424" w:rsidP="00CF5424">
      <w:pPr>
        <w:pStyle w:val="NormalWeb"/>
        <w:rPr>
          <w:b/>
          <w:bCs/>
        </w:rPr>
      </w:pPr>
      <w:r w:rsidRPr="00907039">
        <w:rPr>
          <w:b/>
          <w:bCs/>
        </w:rPr>
        <w:lastRenderedPageBreak/>
        <w:t>Legal Lesson Learned:</w:t>
      </w:r>
      <w:r>
        <w:rPr>
          <w:b/>
          <w:bCs/>
        </w:rPr>
        <w:t xml:space="preserve"> Under FLSA, employers must calculate the “regular rate of pay” that includes all renumerations paid to the employee. </w:t>
      </w:r>
    </w:p>
    <w:p w14:paraId="3C3EBD83" w14:textId="77777777" w:rsidR="00CF5424" w:rsidRPr="006A45C8" w:rsidRDefault="00CF5424" w:rsidP="00CF5424">
      <w:pPr>
        <w:pStyle w:val="NormalWeb"/>
        <w:ind w:left="720"/>
      </w:pPr>
      <w:r>
        <w:t xml:space="preserve">Note: See 29 Code of Federal Regulations 778.108. </w:t>
      </w:r>
      <w:hyperlink r:id="rId1812" w:history="1">
        <w:r w:rsidRPr="006A45C8">
          <w:rPr>
            <w:rStyle w:val="Hyperlink"/>
          </w:rPr>
          <w:t>https://www.ecfr.gov/current/title-29/subtitle-B/chapter-V/subchapter-B/part-778</w:t>
        </w:r>
      </w:hyperlink>
      <w:r w:rsidRPr="006A45C8">
        <w:t xml:space="preserve"> </w:t>
      </w:r>
    </w:p>
    <w:p w14:paraId="4DF928B3" w14:textId="77777777" w:rsidR="00CF5424" w:rsidRDefault="00CF5424" w:rsidP="00CF5424">
      <w:pPr>
        <w:pStyle w:val="NormalWeb"/>
        <w:ind w:left="1440"/>
      </w:pPr>
      <w:r>
        <w:t xml:space="preserve">“Section 7(e) of the Act requires inclusion in the ‘regular rate’ of ‘all remuneration for employment paid to, or on behalf of, the employee” except payments specifically excluded by paragraphs (1) through (7) of that subsection. (These seven types of payments, which are set forth in </w:t>
      </w:r>
      <w:hyperlink r:id="rId1813" w:history="1">
        <w:r>
          <w:rPr>
            <w:rStyle w:val="Hyperlink"/>
            <w:rFonts w:eastAsiaTheme="majorEastAsia"/>
          </w:rPr>
          <w:t>§ 778.200</w:t>
        </w:r>
      </w:hyperlink>
      <w:r>
        <w:t xml:space="preserve"> and discussed in </w:t>
      </w:r>
      <w:hyperlink r:id="rId1814" w:history="1">
        <w:r>
          <w:rPr>
            <w:rStyle w:val="Hyperlink"/>
            <w:rFonts w:eastAsiaTheme="majorEastAsia"/>
          </w:rPr>
          <w:t>§§ 778.201</w:t>
        </w:r>
      </w:hyperlink>
      <w:r>
        <w:t xml:space="preserve"> through </w:t>
      </w:r>
      <w:hyperlink r:id="rId1815" w:history="1">
        <w:r>
          <w:rPr>
            <w:rStyle w:val="Hyperlink"/>
            <w:rFonts w:eastAsiaTheme="majorEastAsia"/>
          </w:rPr>
          <w:t>778.224</w:t>
        </w:r>
      </w:hyperlink>
      <w:r>
        <w:t>, are hereafter referred to as ‘statutory exclusions.’)”</w:t>
      </w:r>
    </w:p>
    <w:p w14:paraId="6A9B45B9" w14:textId="77777777" w:rsidR="00CF5424" w:rsidRPr="00D600CA" w:rsidRDefault="00CF5424" w:rsidP="00CF5424">
      <w:pPr>
        <w:ind w:left="720"/>
        <w:rPr>
          <w:rFonts w:ascii="Times New Roman" w:hAnsi="Times New Roman"/>
          <w:sz w:val="24"/>
          <w:szCs w:val="24"/>
        </w:rPr>
      </w:pPr>
      <w:r w:rsidRPr="00D600CA">
        <w:rPr>
          <w:rFonts w:ascii="Times New Roman" w:hAnsi="Times New Roman"/>
          <w:sz w:val="24"/>
          <w:szCs w:val="24"/>
        </w:rPr>
        <w:t xml:space="preserve">See also: </w:t>
      </w:r>
      <w:r>
        <w:rPr>
          <w:rFonts w:ascii="Times New Roman" w:hAnsi="Times New Roman"/>
          <w:sz w:val="24"/>
          <w:szCs w:val="24"/>
        </w:rPr>
        <w:t>“</w:t>
      </w:r>
      <w:r w:rsidRPr="00D600CA">
        <w:rPr>
          <w:rFonts w:ascii="Times New Roman" w:hAnsi="Times New Roman"/>
          <w:sz w:val="24"/>
          <w:szCs w:val="24"/>
        </w:rPr>
        <w:t>FLSA Overtime Calculator Advisor for Nonexempt Employees</w:t>
      </w:r>
      <w:r>
        <w:rPr>
          <w:rFonts w:ascii="Times New Roman" w:hAnsi="Times New Roman"/>
          <w:sz w:val="24"/>
          <w:szCs w:val="24"/>
        </w:rPr>
        <w:t xml:space="preserve">.” </w:t>
      </w:r>
      <w:hyperlink r:id="rId1816" w:history="1">
        <w:r w:rsidRPr="005176E1">
          <w:rPr>
            <w:rStyle w:val="Hyperlink"/>
            <w:rFonts w:ascii="Times New Roman" w:hAnsi="Times New Roman"/>
            <w:sz w:val="24"/>
            <w:szCs w:val="24"/>
          </w:rPr>
          <w:t>https://webapps.dol.gov/elaws/otcalculator.htm</w:t>
        </w:r>
      </w:hyperlink>
      <w:r>
        <w:rPr>
          <w:rFonts w:ascii="Times New Roman" w:hAnsi="Times New Roman"/>
          <w:sz w:val="24"/>
          <w:szCs w:val="24"/>
        </w:rPr>
        <w:t xml:space="preserve"> </w:t>
      </w:r>
      <w:r w:rsidRPr="00D600CA">
        <w:rPr>
          <w:rFonts w:ascii="Times New Roman" w:hAnsi="Times New Roman"/>
          <w:sz w:val="24"/>
          <w:szCs w:val="24"/>
        </w:rPr>
        <w:t xml:space="preserve"> </w:t>
      </w:r>
    </w:p>
    <w:p w14:paraId="61CEBD38" w14:textId="77777777" w:rsidR="00CF5424" w:rsidRPr="006F0A01" w:rsidRDefault="00CF5424" w:rsidP="00CF5424">
      <w:pPr>
        <w:pStyle w:val="NormalWeb"/>
        <w:ind w:left="1440"/>
      </w:pPr>
    </w:p>
    <w:p w14:paraId="058F1896" w14:textId="77777777" w:rsidR="00DD0039" w:rsidRDefault="00DD0039" w:rsidP="00F326E5">
      <w:pPr>
        <w:rPr>
          <w:rFonts w:ascii="Arial Black" w:hAnsi="Arial Black"/>
          <w:b/>
          <w:sz w:val="24"/>
          <w:szCs w:val="24"/>
        </w:rPr>
      </w:pPr>
    </w:p>
    <w:p w14:paraId="183DBDD7" w14:textId="77777777" w:rsidR="00DD0039" w:rsidRDefault="00DD0039" w:rsidP="00F326E5">
      <w:pPr>
        <w:rPr>
          <w:rFonts w:ascii="Arial Black" w:hAnsi="Arial Black"/>
          <w:b/>
          <w:sz w:val="24"/>
          <w:szCs w:val="24"/>
        </w:rPr>
      </w:pPr>
    </w:p>
    <w:p w14:paraId="46501EAE" w14:textId="77777777" w:rsidR="00DD0039" w:rsidRDefault="00DD0039" w:rsidP="00F326E5">
      <w:pPr>
        <w:rPr>
          <w:rFonts w:ascii="Arial Black" w:hAnsi="Arial Black"/>
          <w:b/>
          <w:sz w:val="24"/>
          <w:szCs w:val="24"/>
        </w:rPr>
      </w:pPr>
    </w:p>
    <w:p w14:paraId="24545F7F" w14:textId="6C8FB96C" w:rsidR="009371E7" w:rsidRDefault="009371E7" w:rsidP="00F326E5">
      <w:pPr>
        <w:rPr>
          <w:rFonts w:ascii="Arial Black" w:hAnsi="Arial Black"/>
          <w:b/>
          <w:sz w:val="24"/>
          <w:szCs w:val="24"/>
        </w:rPr>
      </w:pPr>
      <w:r>
        <w:rPr>
          <w:rFonts w:ascii="Arial Black" w:hAnsi="Arial Black"/>
          <w:b/>
          <w:sz w:val="24"/>
          <w:szCs w:val="24"/>
        </w:rPr>
        <w:t>11-</w:t>
      </w:r>
      <w:r w:rsidR="009601CD">
        <w:rPr>
          <w:rFonts w:ascii="Arial Black" w:hAnsi="Arial Black"/>
          <w:b/>
          <w:sz w:val="24"/>
          <w:szCs w:val="24"/>
        </w:rPr>
        <w:t>52</w:t>
      </w:r>
    </w:p>
    <w:p w14:paraId="2FD33F13" w14:textId="77777777" w:rsidR="009371E7" w:rsidRPr="00DC4DCB" w:rsidRDefault="009371E7" w:rsidP="009371E7">
      <w:pPr>
        <w:pStyle w:val="NormalWeb"/>
        <w:spacing w:before="0" w:beforeAutospacing="0"/>
        <w:rPr>
          <w:rFonts w:ascii="Arial Black" w:hAnsi="Arial Black"/>
          <w:sz w:val="28"/>
          <w:szCs w:val="28"/>
        </w:rPr>
      </w:pPr>
      <w:r>
        <w:rPr>
          <w:rFonts w:ascii="Arial Black" w:hAnsi="Arial Black"/>
          <w:sz w:val="28"/>
          <w:szCs w:val="28"/>
        </w:rPr>
        <w:t>TN: HOSPITAL MEDIC - 30-MINUTE UNPAID MEAL BREAKS –BREAKS INTERRUPTED - RN/PARAMEDIC CASE PROCEED</w:t>
      </w:r>
    </w:p>
    <w:p w14:paraId="562792D1" w14:textId="77777777" w:rsidR="009371E7" w:rsidRDefault="009371E7" w:rsidP="009371E7">
      <w:pPr>
        <w:pStyle w:val="NormalWeb"/>
        <w:spacing w:before="0" w:beforeAutospacing="0"/>
        <w:rPr>
          <w:color w:val="454545"/>
          <w:shd w:val="clear" w:color="auto" w:fill="FFFFFF"/>
        </w:rPr>
      </w:pPr>
      <w:r>
        <w:t xml:space="preserve">On March 20, 2024, in </w:t>
      </w:r>
      <w:r w:rsidRPr="00A71813">
        <w:rPr>
          <w:u w:val="single"/>
        </w:rPr>
        <w:t>Carlos Colon and Candace Harris v. HCA Healthcare, Inc. and CHC Payroll Agent, Inc.</w:t>
      </w:r>
      <w:r>
        <w:t xml:space="preserve">, U.S. District Court Judge William L. Campbell, </w:t>
      </w:r>
      <w:r w:rsidRPr="00671B49">
        <w:rPr>
          <w:color w:val="454545"/>
          <w:shd w:val="clear" w:color="auto" w:fill="FFFFFF"/>
        </w:rPr>
        <w:t xml:space="preserve">United States District Court, M.D. Tennessee, Nashville Division, </w:t>
      </w:r>
      <w:r>
        <w:rPr>
          <w:color w:val="454545"/>
          <w:shd w:val="clear" w:color="auto" w:fill="FFFFFF"/>
        </w:rPr>
        <w:t xml:space="preserve">denied the hospital’s motion to dismiss, where hospital claimed that they were not the employer (asserting the payroll company was employer). </w:t>
      </w:r>
    </w:p>
    <w:p w14:paraId="42CBC356" w14:textId="77777777" w:rsidR="003956F7" w:rsidRPr="004C0299" w:rsidRDefault="003956F7" w:rsidP="003956F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F9E0EAA" w14:textId="77777777" w:rsidR="00D90293" w:rsidRDefault="00D90293" w:rsidP="009371E7">
      <w:pPr>
        <w:pStyle w:val="NormalWeb"/>
        <w:spacing w:before="0" w:beforeAutospacing="0"/>
        <w:ind w:left="720"/>
      </w:pPr>
    </w:p>
    <w:p w14:paraId="473850BD" w14:textId="5F620D1E" w:rsidR="009371E7" w:rsidRDefault="009371E7" w:rsidP="009371E7">
      <w:pPr>
        <w:pStyle w:val="NormalWeb"/>
        <w:spacing w:before="0" w:beforeAutospacing="0"/>
        <w:ind w:left="720"/>
      </w:pPr>
      <w:r>
        <w:t xml:space="preserve">“Plaintiffs allege HCA required a 30-minute deduction from Plaintiffs' recorded hours worked per shift for meal breaks, regardless of whether they </w:t>
      </w:r>
      <w:proofErr w:type="gramStart"/>
      <w:r>
        <w:t>actually received</w:t>
      </w:r>
      <w:proofErr w:type="gramEnd"/>
      <w:r>
        <w:t xml:space="preserve"> an uninterrupted 30-minute meal period. Plaintiffs assert that they were not paid for time worked during meal periods.  Plaintiffs allege that during unpaid meal breaks, they substantially performed their regular patient care job duties and responsibilities. </w:t>
      </w:r>
    </w:p>
    <w:p w14:paraId="567E4351" w14:textId="77777777" w:rsidR="009371E7" w:rsidRDefault="009371E7" w:rsidP="009371E7">
      <w:pPr>
        <w:pStyle w:val="NormalWeb"/>
        <w:ind w:left="720"/>
      </w:pPr>
      <w:r>
        <w:t>***</w:t>
      </w:r>
    </w:p>
    <w:p w14:paraId="44E96067" w14:textId="77777777" w:rsidR="009371E7" w:rsidRDefault="009371E7" w:rsidP="009371E7">
      <w:pPr>
        <w:pStyle w:val="NormalWeb"/>
        <w:ind w:left="720"/>
      </w:pPr>
      <w:r>
        <w:t xml:space="preserve">Based only on the allegations set forth in the First Amended Complaint, the Court concludes that Plaintiffs have sufficiently alleged facts that, accepted as true, support Defendants' status as employers. While discovery and subsequent motion practice may provide the Court with additional arguments on that issue, at this juncture, Plaintiffs have satisfied their pleading </w:t>
      </w:r>
      <w:proofErr w:type="gramStart"/>
      <w:r>
        <w:t>burden.”</w:t>
      </w:r>
      <w:proofErr w:type="gramEnd"/>
      <w:r>
        <w:t xml:space="preserve"> </w:t>
      </w:r>
      <w:hyperlink r:id="rId1817" w:history="1">
        <w:r w:rsidRPr="007E4CA8">
          <w:rPr>
            <w:rStyle w:val="Hyperlink"/>
          </w:rPr>
          <w:t>https://public.fastcase.com/H1P9uiW3J20SFp%2BGCG%2BxLeHSDVXVzY4x%2FiI%2F4JAOmhXpvt%2FfNBAZjz4LKds0Mto6?utm_medium=email&amp;_hsmi=226712652&amp;_hsenc=p2ANqtz-</w:t>
        </w:r>
        <w:r w:rsidRPr="007E4CA8">
          <w:rPr>
            <w:rStyle w:val="Hyperlink"/>
          </w:rPr>
          <w:lastRenderedPageBreak/>
          <w:t>_SyWNVWtV5-tteBsEO4doKNFedyWegAxLclup35D1iuddv31pPNK7Mxz83D6yx-CsHYOnImh2IAPqInLsAyxym-pCJTQ&amp;utm_content=226712652&amp;utm_source=hs_email</w:t>
        </w:r>
      </w:hyperlink>
      <w:r>
        <w:t xml:space="preserve"> </w:t>
      </w:r>
    </w:p>
    <w:p w14:paraId="0001BFFF" w14:textId="77777777" w:rsidR="009371E7" w:rsidRDefault="009371E7" w:rsidP="009371E7">
      <w:pPr>
        <w:pStyle w:val="NormalWeb"/>
        <w:rPr>
          <w:b/>
          <w:bCs/>
        </w:rPr>
      </w:pPr>
      <w:r w:rsidRPr="00A033E5">
        <w:rPr>
          <w:b/>
          <w:bCs/>
        </w:rPr>
        <w:t>Legal Lesson Learned:</w:t>
      </w:r>
      <w:r>
        <w:rPr>
          <w:b/>
          <w:bCs/>
        </w:rPr>
        <w:t xml:space="preserve"> Only “bona fide” (uninterrupted) meal breaks can be considered as hours not worked; Fire &amp; EMS departments should be very cautious in applying this exemption.</w:t>
      </w:r>
    </w:p>
    <w:p w14:paraId="5E2F3ECD" w14:textId="77777777" w:rsidR="009371E7" w:rsidRDefault="009371E7" w:rsidP="009371E7">
      <w:pPr>
        <w:pStyle w:val="NormalWeb"/>
        <w:ind w:left="720"/>
      </w:pPr>
      <w:r>
        <w:t>Note: 29 CFR § 785.19 Meal.</w:t>
      </w:r>
    </w:p>
    <w:p w14:paraId="55891BE9" w14:textId="77777777" w:rsidR="009371E7" w:rsidRDefault="009371E7" w:rsidP="009371E7">
      <w:pPr>
        <w:pStyle w:val="NormalWeb"/>
        <w:ind w:left="720"/>
      </w:pPr>
      <w:hyperlink r:id="rId1818" w:history="1">
        <w:r w:rsidRPr="00B268F0">
          <w:rPr>
            <w:rStyle w:val="Hyperlink"/>
          </w:rPr>
          <w:t>https://www.ecfr.gov/current/title-29/subtitle-B/chapter-V/subchapter-B/part-785/subpart-C/subject-group-ECFR3d1222debcd8ec6/section-785.19</w:t>
        </w:r>
      </w:hyperlink>
      <w:r>
        <w:t xml:space="preserve"> </w:t>
      </w:r>
    </w:p>
    <w:p w14:paraId="08008E64" w14:textId="77777777" w:rsidR="009371E7" w:rsidRDefault="009371E7" w:rsidP="009371E7">
      <w:pPr>
        <w:pStyle w:val="indent-1"/>
        <w:ind w:left="720"/>
      </w:pPr>
      <w:r>
        <w:rPr>
          <w:rStyle w:val="paren"/>
          <w:rFonts w:eastAsiaTheme="majorEastAsia"/>
        </w:rPr>
        <w:t>“(</w:t>
      </w:r>
      <w:r>
        <w:rPr>
          <w:rStyle w:val="paragraph-hierarchy"/>
          <w:rFonts w:eastAsiaTheme="majorEastAsia"/>
        </w:rPr>
        <w:t>a</w:t>
      </w:r>
      <w:r>
        <w:rPr>
          <w:rStyle w:val="paren"/>
          <w:rFonts w:eastAsiaTheme="majorEastAsia"/>
        </w:rPr>
        <w:t>)</w:t>
      </w:r>
      <w:r>
        <w:t xml:space="preserve"> </w:t>
      </w:r>
      <w:r>
        <w:rPr>
          <w:rStyle w:val="Emphasis"/>
          <w:rFonts w:eastAsiaTheme="majorEastAsia"/>
          <w:b/>
          <w:bCs/>
        </w:rPr>
        <w:t>Bona fide meal periods.</w:t>
      </w:r>
      <w:r>
        <w:t xml:space="preserve"> Bona fide meal periods are not worktime. Bona fide meal periods do not include coffee breaks or time for snacks. These are rest periods. The employee must be completely relieved from duty for the </w:t>
      </w:r>
      <w:proofErr w:type="gramStart"/>
      <w:r>
        <w:t>purposes</w:t>
      </w:r>
      <w:proofErr w:type="gramEnd"/>
      <w:r>
        <w:t xml:space="preserve"> of eating regular meals. Ordinarily 30 minutes or more is long enough for a bona fide meal period. A shorter period may be long enough under special conditions. The employee is not relieved if he is required to perform any duties, whether active or inactive, while eating. For example, an office employee who is required to eat at his desk or a factory worker who is required to be at his machine is working while eating. (</w:t>
      </w:r>
      <w:r>
        <w:rPr>
          <w:rStyle w:val="Emphasis"/>
          <w:rFonts w:eastAsiaTheme="majorEastAsia"/>
        </w:rPr>
        <w:t>Culkin</w:t>
      </w:r>
      <w:r>
        <w:t xml:space="preserve"> v. </w:t>
      </w:r>
      <w:r>
        <w:rPr>
          <w:rStyle w:val="Emphasis"/>
          <w:rFonts w:eastAsiaTheme="majorEastAsia"/>
        </w:rPr>
        <w:t>Glenn L. Martin, Nebraska Co.,</w:t>
      </w:r>
      <w:r>
        <w:t xml:space="preserve"> 97 F. Supp. 661 (D. Neb. 1951), aff'd 197 F. 2d 981 (C.A. 8, 1952), cert. denied 344 U.S. 888 (1952); </w:t>
      </w:r>
      <w:r>
        <w:rPr>
          <w:rStyle w:val="Emphasis"/>
          <w:rFonts w:eastAsiaTheme="majorEastAsia"/>
        </w:rPr>
        <w:t>Thompson</w:t>
      </w:r>
      <w:r>
        <w:t xml:space="preserve"> v. </w:t>
      </w:r>
      <w:r>
        <w:rPr>
          <w:rStyle w:val="Emphasis"/>
          <w:rFonts w:eastAsiaTheme="majorEastAsia"/>
        </w:rPr>
        <w:t>Stock &amp; Sons, Inc.,</w:t>
      </w:r>
      <w:r>
        <w:t xml:space="preserve"> 93 F. Supp. 213 (E.D. Mich 1950), aff'd 194 F. 2d 493 (C.A. 6, 1952); </w:t>
      </w:r>
      <w:r>
        <w:rPr>
          <w:rStyle w:val="Emphasis"/>
          <w:rFonts w:eastAsiaTheme="majorEastAsia"/>
        </w:rPr>
        <w:t>Biggs</w:t>
      </w:r>
      <w:r>
        <w:t xml:space="preserve"> v. </w:t>
      </w:r>
      <w:r>
        <w:rPr>
          <w:rStyle w:val="Emphasis"/>
          <w:rFonts w:eastAsiaTheme="majorEastAsia"/>
        </w:rPr>
        <w:t>Joshua Hendy Corp.,</w:t>
      </w:r>
      <w:r>
        <w:t xml:space="preserve"> 183 F. 2d 515 (C. A. 9, 1950), 187 F. 2d 447 (C.A. 9, 1951); </w:t>
      </w:r>
      <w:r>
        <w:rPr>
          <w:rStyle w:val="Emphasis"/>
          <w:rFonts w:eastAsiaTheme="majorEastAsia"/>
        </w:rPr>
        <w:t>Walling</w:t>
      </w:r>
      <w:r>
        <w:t xml:space="preserve"> v. </w:t>
      </w:r>
      <w:r>
        <w:rPr>
          <w:rStyle w:val="Emphasis"/>
          <w:rFonts w:eastAsiaTheme="majorEastAsia"/>
        </w:rPr>
        <w:t>Dunbar Transfer &amp; Storage Co.,</w:t>
      </w:r>
      <w:r>
        <w:t xml:space="preserve"> 3 W.H. Cases 284; 7 Labor Cases para. 61.565 (W.D. Tenn. 1943); </w:t>
      </w:r>
      <w:r>
        <w:rPr>
          <w:rStyle w:val="Emphasis"/>
          <w:rFonts w:eastAsiaTheme="majorEastAsia"/>
        </w:rPr>
        <w:t>Lofton</w:t>
      </w:r>
      <w:r>
        <w:t xml:space="preserve"> v. </w:t>
      </w:r>
      <w:r>
        <w:rPr>
          <w:rStyle w:val="Emphasis"/>
          <w:rFonts w:eastAsiaTheme="majorEastAsia"/>
        </w:rPr>
        <w:t>Seneca Coal and Coke Co.,</w:t>
      </w:r>
      <w:r>
        <w:t xml:space="preserve"> 2 W.H. Cases 669; 6 Labor Cases para. 61,271 (N.D. Okla. 1942); aff'd 136 F. 2d 359 (C.A. 10, 1943); cert. denied 320 U.S. 772 (1943); </w:t>
      </w:r>
      <w:r>
        <w:rPr>
          <w:rStyle w:val="Emphasis"/>
          <w:rFonts w:eastAsiaTheme="majorEastAsia"/>
        </w:rPr>
        <w:t>Mitchell</w:t>
      </w:r>
      <w:r>
        <w:t xml:space="preserve"> v. </w:t>
      </w:r>
      <w:r>
        <w:rPr>
          <w:rStyle w:val="Emphasis"/>
          <w:rFonts w:eastAsiaTheme="majorEastAsia"/>
        </w:rPr>
        <w:t>Tampa Cigar Co.,</w:t>
      </w:r>
      <w:r>
        <w:t xml:space="preserve"> 36 Labor Cases para. 65, 198, 14 W.H. Cases 38 (S.D. Fla. 1959); </w:t>
      </w:r>
      <w:r>
        <w:rPr>
          <w:rStyle w:val="Emphasis"/>
          <w:rFonts w:eastAsiaTheme="majorEastAsia"/>
        </w:rPr>
        <w:t>Douglass</w:t>
      </w:r>
      <w:r>
        <w:t xml:space="preserve"> v. </w:t>
      </w:r>
      <w:r>
        <w:rPr>
          <w:rStyle w:val="Emphasis"/>
          <w:rFonts w:eastAsiaTheme="majorEastAsia"/>
        </w:rPr>
        <w:t>Hurwitz Co.,</w:t>
      </w:r>
      <w:r>
        <w:t xml:space="preserve"> 145 F. Supp. 29, 13 W.H. Cases (E.D. Pa. 1956)) </w:t>
      </w:r>
    </w:p>
    <w:p w14:paraId="18635684" w14:textId="77777777" w:rsidR="009371E7" w:rsidRDefault="009371E7" w:rsidP="009371E7">
      <w:pPr>
        <w:pStyle w:val="indent-1"/>
        <w:ind w:left="720"/>
      </w:pPr>
      <w:r>
        <w:rPr>
          <w:rStyle w:val="paren"/>
          <w:rFonts w:eastAsiaTheme="majorEastAsia"/>
        </w:rPr>
        <w:t>(</w:t>
      </w:r>
      <w:r>
        <w:rPr>
          <w:rStyle w:val="paragraph-hierarchy"/>
          <w:rFonts w:eastAsiaTheme="majorEastAsia"/>
        </w:rPr>
        <w:t>b</w:t>
      </w:r>
      <w:r>
        <w:rPr>
          <w:rStyle w:val="paren"/>
          <w:rFonts w:eastAsiaTheme="majorEastAsia"/>
        </w:rPr>
        <w:t>)</w:t>
      </w:r>
      <w:r>
        <w:t xml:space="preserve"> </w:t>
      </w:r>
      <w:r>
        <w:rPr>
          <w:rStyle w:val="Emphasis"/>
          <w:rFonts w:eastAsiaTheme="majorEastAsia"/>
          <w:b/>
          <w:bCs/>
        </w:rPr>
        <w:t>Where no permission to leave premises.</w:t>
      </w:r>
      <w:r>
        <w:t xml:space="preserve"> It is not necessary that an employee be permitted to leave the premises if he is otherwise completely freed from duties during the meal </w:t>
      </w:r>
      <w:proofErr w:type="gramStart"/>
      <w:r>
        <w:t>period.”</w:t>
      </w:r>
      <w:proofErr w:type="gramEnd"/>
      <w:r>
        <w:t xml:space="preserve"> </w:t>
      </w:r>
    </w:p>
    <w:p w14:paraId="35FAC4AB" w14:textId="77777777" w:rsidR="009371E7" w:rsidRPr="005F5B75" w:rsidRDefault="009371E7" w:rsidP="009371E7">
      <w:pPr>
        <w:pStyle w:val="Heading2"/>
        <w:ind w:left="720"/>
        <w:rPr>
          <w:rFonts w:ascii="Times New Roman" w:hAnsi="Times New Roman"/>
          <w:sz w:val="24"/>
          <w:szCs w:val="24"/>
        </w:rPr>
      </w:pPr>
      <w:r w:rsidRPr="005F5B75">
        <w:rPr>
          <w:rFonts w:ascii="Times New Roman" w:hAnsi="Times New Roman"/>
          <w:sz w:val="24"/>
          <w:szCs w:val="24"/>
        </w:rPr>
        <w:t xml:space="preserve">See also: U.S. Department of Labor, FLSA Hours Worked Advisor. “The Fair Labor Standards Act (FLSA) does not require an employer to provide meal periods or rest breaks for their employees. Many employers, however, do provide breaks and/or meal periods. Breaks of short duration, from 5 to 20 minutes, are common. </w:t>
      </w:r>
      <w:proofErr w:type="gramStart"/>
      <w:r w:rsidRPr="005F5B75">
        <w:rPr>
          <w:rFonts w:ascii="Times New Roman" w:hAnsi="Times New Roman"/>
          <w:sz w:val="24"/>
          <w:szCs w:val="24"/>
        </w:rPr>
        <w:t>As a general rule</w:t>
      </w:r>
      <w:proofErr w:type="gramEnd"/>
      <w:r w:rsidRPr="005F5B75">
        <w:rPr>
          <w:rFonts w:ascii="Times New Roman" w:hAnsi="Times New Roman"/>
          <w:sz w:val="24"/>
          <w:szCs w:val="24"/>
        </w:rPr>
        <w:t>, rest breaks are considered hours worked and bona fide meal periods are not considered hours worked.</w:t>
      </w:r>
      <w:r>
        <w:rPr>
          <w:rFonts w:ascii="Times New Roman" w:hAnsi="Times New Roman"/>
          <w:sz w:val="24"/>
          <w:szCs w:val="24"/>
        </w:rPr>
        <w:t xml:space="preserve"> </w:t>
      </w:r>
    </w:p>
    <w:p w14:paraId="7057AF3B" w14:textId="77777777" w:rsidR="009371E7" w:rsidRDefault="009371E7" w:rsidP="009371E7">
      <w:pPr>
        <w:pStyle w:val="NormalWeb"/>
        <w:ind w:left="720"/>
      </w:pPr>
      <w:r>
        <w:t xml:space="preserve">Some </w:t>
      </w:r>
      <w:hyperlink r:id="rId1819" w:history="1">
        <w:r>
          <w:rPr>
            <w:rStyle w:val="Hyperlink"/>
            <w:rFonts w:eastAsiaTheme="majorEastAsia"/>
          </w:rPr>
          <w:t>states</w:t>
        </w:r>
      </w:hyperlink>
      <w:r>
        <w:t xml:space="preserve"> do have laws </w:t>
      </w:r>
      <w:proofErr w:type="gramStart"/>
      <w:r>
        <w:t>requiring rest</w:t>
      </w:r>
      <w:proofErr w:type="gramEnd"/>
      <w:r>
        <w:t xml:space="preserve"> breaks and/or meal periods. Such state requirements will prevail over the silence of the FLSA on this subject. In those situations where an employee is subject to both the FLSA and state labor laws, the employee is entitled to the most beneficial provisions of each law.” </w:t>
      </w:r>
      <w:hyperlink r:id="rId1820" w:history="1">
        <w:r w:rsidRPr="007E4CA8">
          <w:rPr>
            <w:rStyle w:val="Hyperlink"/>
          </w:rPr>
          <w:t>https://webapps.dol.gov/elaws/whd/flsa/hoursworked/screenEE4.asp</w:t>
        </w:r>
      </w:hyperlink>
      <w:r>
        <w:t xml:space="preserve"> </w:t>
      </w:r>
    </w:p>
    <w:p w14:paraId="6EEA65D7" w14:textId="77777777" w:rsidR="009371E7" w:rsidRPr="00FB79D7" w:rsidRDefault="009371E7" w:rsidP="009371E7">
      <w:pPr>
        <w:pStyle w:val="NoSpacing"/>
        <w:ind w:left="720" w:firstLine="48"/>
        <w:rPr>
          <w:rFonts w:ascii="Times New Roman" w:hAnsi="Times New Roman"/>
          <w:b/>
          <w:bCs/>
          <w:sz w:val="24"/>
          <w:szCs w:val="24"/>
        </w:rPr>
      </w:pPr>
      <w:r w:rsidRPr="00FB79D7">
        <w:rPr>
          <w:rFonts w:ascii="Times New Roman" w:hAnsi="Times New Roman"/>
          <w:sz w:val="24"/>
          <w:szCs w:val="24"/>
        </w:rPr>
        <w:t xml:space="preserve">See also this article: </w:t>
      </w:r>
      <w:r w:rsidRPr="00FB79D7">
        <w:rPr>
          <w:rFonts w:ascii="Times New Roman" w:hAnsi="Times New Roman"/>
          <w:color w:val="000000" w:themeColor="text1"/>
          <w:sz w:val="24"/>
          <w:szCs w:val="24"/>
        </w:rPr>
        <w:t xml:space="preserve">“Firefighters, Unpaid Meal Periods, and the FLSA.” Sept. 16, 2019.  </w:t>
      </w:r>
      <w:r w:rsidRPr="00FB79D7">
        <w:rPr>
          <w:rFonts w:ascii="Times New Roman" w:hAnsi="Times New Roman"/>
          <w:sz w:val="24"/>
          <w:szCs w:val="24"/>
        </w:rPr>
        <w:t xml:space="preserve">“Needless to say, deducting mealtime from firefighters can prove tricky.” </w:t>
      </w:r>
      <w:hyperlink r:id="rId1821" w:history="1">
        <w:r w:rsidRPr="00FB79D7">
          <w:rPr>
            <w:rStyle w:val="Hyperlink"/>
            <w:rFonts w:ascii="Times New Roman" w:hAnsi="Times New Roman"/>
            <w:sz w:val="24"/>
            <w:szCs w:val="24"/>
          </w:rPr>
          <w:t>https://www.firefighterovertime.org/2019/09/16/firefighter-meal-period/</w:t>
        </w:r>
      </w:hyperlink>
      <w:r w:rsidRPr="00FB79D7">
        <w:rPr>
          <w:rFonts w:ascii="Times New Roman" w:hAnsi="Times New Roman"/>
          <w:sz w:val="24"/>
          <w:szCs w:val="24"/>
        </w:rPr>
        <w:t xml:space="preserve"> </w:t>
      </w:r>
    </w:p>
    <w:p w14:paraId="3151C93D" w14:textId="77777777" w:rsidR="009371E7" w:rsidRPr="00FB79D7" w:rsidRDefault="009371E7" w:rsidP="009371E7">
      <w:pPr>
        <w:pStyle w:val="NoSpacing"/>
        <w:rPr>
          <w:rFonts w:ascii="Times New Roman" w:hAnsi="Times New Roman"/>
          <w:sz w:val="24"/>
          <w:szCs w:val="24"/>
        </w:rPr>
      </w:pPr>
    </w:p>
    <w:p w14:paraId="29A204CD" w14:textId="77777777" w:rsidR="009371E7" w:rsidRPr="00FB79D7" w:rsidRDefault="009371E7" w:rsidP="009371E7">
      <w:pPr>
        <w:pStyle w:val="NoSpacing"/>
        <w:rPr>
          <w:rFonts w:ascii="Times New Roman" w:hAnsi="Times New Roman"/>
          <w:sz w:val="24"/>
          <w:szCs w:val="24"/>
        </w:rPr>
      </w:pPr>
    </w:p>
    <w:p w14:paraId="479EE591" w14:textId="7776F079" w:rsidR="009371E7" w:rsidRPr="009371E7" w:rsidRDefault="009371E7" w:rsidP="009371E7">
      <w:pPr>
        <w:pStyle w:val="NoSpacing"/>
        <w:rPr>
          <w:rFonts w:ascii="Arial Black" w:hAnsi="Arial Black"/>
          <w:b/>
          <w:bCs/>
          <w:sz w:val="24"/>
          <w:szCs w:val="24"/>
        </w:rPr>
      </w:pPr>
      <w:r w:rsidRPr="009371E7">
        <w:rPr>
          <w:rFonts w:ascii="Arial Black" w:hAnsi="Arial Black"/>
          <w:b/>
          <w:bCs/>
          <w:sz w:val="24"/>
          <w:szCs w:val="24"/>
        </w:rPr>
        <w:t>11-</w:t>
      </w:r>
      <w:r w:rsidR="009601CD">
        <w:rPr>
          <w:rFonts w:ascii="Arial Black" w:hAnsi="Arial Black"/>
          <w:b/>
          <w:bCs/>
          <w:sz w:val="24"/>
          <w:szCs w:val="24"/>
        </w:rPr>
        <w:t>51</w:t>
      </w:r>
    </w:p>
    <w:p w14:paraId="00D6CF79" w14:textId="77777777" w:rsidR="009371E7" w:rsidRPr="00CB0C9A" w:rsidRDefault="009371E7" w:rsidP="009371E7">
      <w:pPr>
        <w:spacing w:before="100" w:beforeAutospacing="1" w:after="100" w:afterAutospacing="1" w:line="240" w:lineRule="auto"/>
        <w:outlineLvl w:val="0"/>
        <w:rPr>
          <w:rFonts w:ascii="Arial Black" w:eastAsia="Times New Roman" w:hAnsi="Arial Black"/>
          <w:b/>
          <w:bCs/>
          <w:kern w:val="36"/>
          <w:sz w:val="28"/>
          <w:szCs w:val="28"/>
        </w:rPr>
      </w:pPr>
      <w:r>
        <w:rPr>
          <w:rFonts w:ascii="Arial Black" w:eastAsia="Times New Roman" w:hAnsi="Arial Black"/>
          <w:b/>
          <w:bCs/>
          <w:kern w:val="36"/>
          <w:sz w:val="28"/>
          <w:szCs w:val="28"/>
        </w:rPr>
        <w:t>MO: FLSA – CLASS ACTION CERTIFIED - PAY WHEN WORKING OUT-OF-POSITION – 5% INCREASE ON WAGE</w:t>
      </w:r>
    </w:p>
    <w:p w14:paraId="4BE1F28E" w14:textId="77777777" w:rsidR="009371E7" w:rsidRDefault="009371E7" w:rsidP="009371E7">
      <w:pPr>
        <w:pStyle w:val="paragraph"/>
      </w:pPr>
      <w:r>
        <w:lastRenderedPageBreak/>
        <w:t xml:space="preserve">On March 5, 2024, in </w:t>
      </w:r>
      <w:r w:rsidRPr="00011D84">
        <w:rPr>
          <w:u w:val="single"/>
        </w:rPr>
        <w:t>Donnie Shook, individually and on behalf of all others similarly situated v. City of Independence, Missouri</w:t>
      </w:r>
      <w:r>
        <w:t xml:space="preserve">, United States District Court Judge Greg Kays, U.S District Court for Western District of Missouri, with no objection by the City has conditionally certified this class action lawsuit, where fellow firefighters with IAFF Local 781 may opt into the case as it proceeds in pre-trial discovery. Under the CBA, firefighters working “out-of-position” (for example, firefighter serving as Acting Lieutenant) receive a five percent increase in their regular hourly wage for those hours; the dispute concerns how this impacts the “regular hourly wage” rate of the firefighter. </w:t>
      </w:r>
    </w:p>
    <w:p w14:paraId="55AD63FA" w14:textId="77777777" w:rsidR="00D90293" w:rsidRPr="004C0299" w:rsidRDefault="00D90293" w:rsidP="00D90293">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FC50DC0" w14:textId="77777777" w:rsidR="00D90293" w:rsidRDefault="00D90293" w:rsidP="009371E7">
      <w:pPr>
        <w:pStyle w:val="paragraph"/>
      </w:pPr>
    </w:p>
    <w:p w14:paraId="362301C3" w14:textId="77777777" w:rsidR="009371E7" w:rsidRDefault="009371E7" w:rsidP="009371E7">
      <w:pPr>
        <w:pStyle w:val="paragraph"/>
        <w:ind w:left="720"/>
      </w:pPr>
      <w:r>
        <w:t xml:space="preserve">“Plaintiff alleges Defendant's pay calculation policy violates the FLSA because it dilutes overtime compensation for hours worked out-of-position, resulting in overtime not being paid at a rate of at least one and a half times the regular rate. Defendant denies these allegations and maintains its pay calculation </w:t>
      </w:r>
      <w:proofErr w:type="gramStart"/>
      <w:r>
        <w:t>policy</w:t>
      </w:r>
      <w:proofErr w:type="gramEnd"/>
      <w:r>
        <w:t xml:space="preserve"> accounts for all </w:t>
      </w:r>
      <w:proofErr w:type="gramStart"/>
      <w:r>
        <w:t>hours</w:t>
      </w:r>
      <w:proofErr w:type="gramEnd"/>
      <w:r>
        <w:t xml:space="preserve"> and pay rates worked during a 27-day pay cycle. </w:t>
      </w:r>
    </w:p>
    <w:p w14:paraId="7807626A" w14:textId="77777777" w:rsidR="009371E7" w:rsidRDefault="009371E7" w:rsidP="009371E7">
      <w:pPr>
        <w:pStyle w:val="paragraph"/>
        <w:ind w:left="720"/>
      </w:pPr>
      <w:r>
        <w:t>***</w:t>
      </w:r>
    </w:p>
    <w:p w14:paraId="4E576EC6" w14:textId="77777777" w:rsidR="009371E7" w:rsidRDefault="009371E7" w:rsidP="009371E7">
      <w:pPr>
        <w:spacing w:before="100" w:beforeAutospacing="1" w:after="100" w:afterAutospacing="1" w:line="240" w:lineRule="auto"/>
        <w:ind w:left="720"/>
        <w:rPr>
          <w:rFonts w:ascii="Times New Roman" w:eastAsia="Times New Roman" w:hAnsi="Times New Roman"/>
          <w:sz w:val="24"/>
          <w:szCs w:val="24"/>
        </w:rPr>
      </w:pPr>
      <w:r w:rsidRPr="003D356B">
        <w:rPr>
          <w:rFonts w:ascii="Times New Roman" w:eastAsia="Times New Roman" w:hAnsi="Times New Roman"/>
          <w:sz w:val="24"/>
          <w:szCs w:val="24"/>
        </w:rPr>
        <w:t xml:space="preserve">Accordingly, the Court conditionally certifies the following class: </w:t>
      </w:r>
    </w:p>
    <w:p w14:paraId="0B417BEC" w14:textId="77777777" w:rsidR="009371E7" w:rsidRDefault="009371E7" w:rsidP="009371E7">
      <w:pPr>
        <w:spacing w:before="100" w:beforeAutospacing="1" w:after="100" w:afterAutospacing="1" w:line="240" w:lineRule="auto"/>
        <w:ind w:left="1440"/>
        <w:rPr>
          <w:rFonts w:ascii="Times New Roman" w:eastAsia="Times New Roman" w:hAnsi="Times New Roman"/>
          <w:sz w:val="24"/>
          <w:szCs w:val="24"/>
        </w:rPr>
      </w:pPr>
      <w:r w:rsidRPr="003D356B">
        <w:rPr>
          <w:rFonts w:ascii="Times New Roman" w:eastAsia="Times New Roman" w:hAnsi="Times New Roman"/>
          <w:sz w:val="24"/>
          <w:szCs w:val="24"/>
        </w:rPr>
        <w:t xml:space="preserve">All current and former Independence, Missouri firefighters who worked out-of-position at a higher rate of pay and worked more than 204 hours in the </w:t>
      </w:r>
      <w:proofErr w:type="spellStart"/>
      <w:r w:rsidRPr="003D356B">
        <w:rPr>
          <w:rFonts w:ascii="Times New Roman" w:eastAsia="Times New Roman" w:hAnsi="Times New Roman"/>
          <w:sz w:val="24"/>
          <w:szCs w:val="24"/>
        </w:rPr>
        <w:t>sme</w:t>
      </w:r>
      <w:proofErr w:type="spellEnd"/>
      <w:r w:rsidRPr="003D356B">
        <w:rPr>
          <w:rFonts w:ascii="Times New Roman" w:eastAsia="Times New Roman" w:hAnsi="Times New Roman"/>
          <w:sz w:val="24"/>
          <w:szCs w:val="24"/>
        </w:rPr>
        <w:t xml:space="preserve"> 27-day period at any time beginning three years prior to joining this lawsuit.</w:t>
      </w:r>
      <w:r>
        <w:rPr>
          <w:rFonts w:ascii="Times New Roman" w:eastAsia="Times New Roman" w:hAnsi="Times New Roman"/>
          <w:sz w:val="24"/>
          <w:szCs w:val="24"/>
        </w:rPr>
        <w:t>’</w:t>
      </w:r>
    </w:p>
    <w:p w14:paraId="6A3BC5FA" w14:textId="77777777" w:rsidR="009371E7" w:rsidRDefault="009371E7" w:rsidP="009371E7">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ab/>
        <w:t>***</w:t>
      </w:r>
    </w:p>
    <w:p w14:paraId="1226FF56" w14:textId="77777777" w:rsidR="009371E7" w:rsidRPr="00FB03E9" w:rsidRDefault="009371E7" w:rsidP="009371E7">
      <w:pPr>
        <w:pStyle w:val="paragraph"/>
        <w:ind w:firstLine="720"/>
      </w:pPr>
      <w:r w:rsidRPr="00FB03E9">
        <w:t xml:space="preserve">Conclusion </w:t>
      </w:r>
    </w:p>
    <w:p w14:paraId="7D1E2EDA" w14:textId="77777777" w:rsidR="009371E7" w:rsidRDefault="009371E7" w:rsidP="009371E7">
      <w:pPr>
        <w:pStyle w:val="paragraph"/>
        <w:ind w:left="720"/>
      </w:pPr>
      <w:r>
        <w:t>The class is conditionally certified. Defendant shall produce to Plaintiff the names, job titles, dates of employment, last known addresses, and email addresses of potential plaintiffs within seven (7) days of this Order. Plaintiff is authorized to send notice and consent forms, by mail and email to potential class members. Each potential plaintiff shall have sixty (60) days from the date the mailing list is provided to opt-in to the litigation.”</w:t>
      </w:r>
    </w:p>
    <w:p w14:paraId="6F66E34D" w14:textId="77777777" w:rsidR="009371E7" w:rsidRPr="005B1A2F" w:rsidRDefault="009371E7" w:rsidP="009371E7">
      <w:pPr>
        <w:pStyle w:val="paragraph"/>
        <w:rPr>
          <w:b/>
          <w:bCs/>
        </w:rPr>
      </w:pPr>
      <w:r w:rsidRPr="005B1A2F">
        <w:rPr>
          <w:b/>
          <w:bCs/>
        </w:rPr>
        <w:t>Legal Lesson Learned:</w:t>
      </w:r>
      <w:r>
        <w:rPr>
          <w:b/>
          <w:bCs/>
        </w:rPr>
        <w:t xml:space="preserve"> Lawsuit will now proceed with pre-trial discovery.</w:t>
      </w:r>
    </w:p>
    <w:p w14:paraId="592AEF1E" w14:textId="77777777" w:rsidR="009371E7" w:rsidRDefault="009371E7" w:rsidP="009371E7">
      <w:pPr>
        <w:spacing w:before="100" w:beforeAutospacing="1" w:after="100" w:afterAutospacing="1" w:line="240" w:lineRule="auto"/>
        <w:ind w:firstLine="720"/>
        <w:rPr>
          <w:rFonts w:ascii="Times New Roman" w:eastAsia="Times New Roman" w:hAnsi="Times New Roman"/>
          <w:sz w:val="24"/>
          <w:szCs w:val="24"/>
        </w:rPr>
      </w:pPr>
      <w:r>
        <w:rPr>
          <w:rFonts w:ascii="Times New Roman" w:eastAsia="Times New Roman" w:hAnsi="Times New Roman"/>
          <w:sz w:val="24"/>
          <w:szCs w:val="24"/>
        </w:rPr>
        <w:t>Note: See this Notice from plaintiff’s law firm:</w:t>
      </w:r>
      <w:r w:rsidRPr="005B1A2F">
        <w:t xml:space="preserve"> </w:t>
      </w:r>
      <w:hyperlink r:id="rId1822" w:history="1">
        <w:r w:rsidRPr="0090149E">
          <w:rPr>
            <w:rStyle w:val="Hyperlink"/>
            <w:rFonts w:ascii="Times New Roman" w:eastAsia="Times New Roman" w:hAnsi="Times New Roman"/>
            <w:sz w:val="24"/>
            <w:szCs w:val="24"/>
          </w:rPr>
          <w:t>http://flsa-optin.com/</w:t>
        </w:r>
      </w:hyperlink>
      <w:r>
        <w:rPr>
          <w:rFonts w:ascii="Times New Roman" w:eastAsia="Times New Roman" w:hAnsi="Times New Roman"/>
          <w:sz w:val="24"/>
          <w:szCs w:val="24"/>
        </w:rPr>
        <w:t xml:space="preserve"> </w:t>
      </w:r>
    </w:p>
    <w:p w14:paraId="5F242C56" w14:textId="77777777" w:rsidR="009371E7" w:rsidRPr="007957B8" w:rsidRDefault="009371E7" w:rsidP="009371E7">
      <w:pPr>
        <w:pStyle w:val="NormalWeb"/>
        <w:ind w:firstLine="720"/>
        <w:jc w:val="both"/>
      </w:pPr>
      <w:r w:rsidRPr="007957B8">
        <w:rPr>
          <w:rStyle w:val="Strong"/>
          <w:rFonts w:eastAsiaTheme="majorEastAsia"/>
          <w:color w:val="003366"/>
        </w:rPr>
        <w:t>YOUR RIGHT TO PARTICIPATE IN THIS LAWSUIT</w:t>
      </w:r>
    </w:p>
    <w:p w14:paraId="09C5C24D" w14:textId="77777777" w:rsidR="009371E7" w:rsidRPr="007957B8" w:rsidRDefault="009371E7" w:rsidP="009371E7">
      <w:pPr>
        <w:pStyle w:val="NormalWeb"/>
        <w:ind w:left="720"/>
        <w:jc w:val="both"/>
        <w:rPr>
          <w:rStyle w:val="Strong"/>
          <w:rFonts w:eastAsiaTheme="majorEastAsia"/>
        </w:rPr>
      </w:pPr>
      <w:r w:rsidRPr="007957B8">
        <w:t xml:space="preserve">If you fit the definition above, you may join this suit (that is, you may “opt in”) </w:t>
      </w:r>
      <w:proofErr w:type="gramStart"/>
      <w:r w:rsidRPr="007957B8">
        <w:t>provided that</w:t>
      </w:r>
      <w:proofErr w:type="gramEnd"/>
      <w:r w:rsidRPr="007957B8">
        <w:t xml:space="preserve"> you file or cause to be filed the attached Consent to Join Collective Action. </w:t>
      </w:r>
      <w:r w:rsidRPr="007957B8">
        <w:rPr>
          <w:rStyle w:val="Strong"/>
          <w:rFonts w:eastAsiaTheme="majorEastAsia"/>
        </w:rPr>
        <w:t xml:space="preserve">You have two options: (1) you may file electronically by clicking </w:t>
      </w:r>
      <w:hyperlink r:id="rId1823" w:tgtFrame="_blank" w:history="1">
        <w:r w:rsidRPr="007957B8">
          <w:rPr>
            <w:rStyle w:val="Hyperlink"/>
            <w:rFonts w:eastAsiaTheme="majorEastAsia"/>
            <w:b/>
            <w:bCs/>
          </w:rPr>
          <w:t>here</w:t>
        </w:r>
      </w:hyperlink>
      <w:r w:rsidRPr="007957B8">
        <w:rPr>
          <w:rStyle w:val="Strong"/>
          <w:rFonts w:eastAsiaTheme="majorEastAsia"/>
        </w:rPr>
        <w:t xml:space="preserve"> </w:t>
      </w:r>
      <w:r w:rsidRPr="007957B8">
        <w:rPr>
          <w:rStyle w:val="Strong"/>
          <w:rFonts w:eastAsiaTheme="majorEastAsia"/>
          <w:color w:val="B22222"/>
        </w:rPr>
        <w:t>before</w:t>
      </w:r>
      <w:r w:rsidRPr="007957B8">
        <w:rPr>
          <w:rStyle w:val="Strong"/>
          <w:rFonts w:eastAsiaTheme="majorEastAsia"/>
        </w:rPr>
        <w:t xml:space="preserve"> </w:t>
      </w:r>
      <w:r w:rsidRPr="007957B8">
        <w:rPr>
          <w:rStyle w:val="Strong"/>
          <w:rFonts w:eastAsiaTheme="majorEastAsia"/>
          <w:color w:val="B22222"/>
        </w:rPr>
        <w:t>October 20, 2023</w:t>
      </w:r>
      <w:r w:rsidRPr="007957B8">
        <w:rPr>
          <w:rStyle w:val="Strong"/>
          <w:rFonts w:eastAsiaTheme="majorEastAsia"/>
        </w:rPr>
        <w:t xml:space="preserve">; or (2) you may </w:t>
      </w:r>
      <w:hyperlink r:id="rId1824" w:tgtFrame="_blank" w:history="1">
        <w:r w:rsidRPr="007957B8">
          <w:rPr>
            <w:rStyle w:val="Hyperlink"/>
            <w:rFonts w:eastAsiaTheme="majorEastAsia"/>
            <w:b/>
            <w:bCs/>
          </w:rPr>
          <w:t>download</w:t>
        </w:r>
      </w:hyperlink>
      <w:r w:rsidRPr="007957B8">
        <w:rPr>
          <w:rStyle w:val="Strong"/>
          <w:rFonts w:eastAsiaTheme="majorEastAsia"/>
        </w:rPr>
        <w:t xml:space="preserve"> and sign and mail the consent form before October 20, </w:t>
      </w:r>
      <w:proofErr w:type="gramStart"/>
      <w:r w:rsidRPr="007957B8">
        <w:rPr>
          <w:rStyle w:val="Strong"/>
          <w:rFonts w:eastAsiaTheme="majorEastAsia"/>
        </w:rPr>
        <w:t>2023</w:t>
      </w:r>
      <w:proofErr w:type="gramEnd"/>
      <w:r w:rsidRPr="007957B8">
        <w:rPr>
          <w:rStyle w:val="Strong"/>
          <w:rFonts w:eastAsiaTheme="majorEastAsia"/>
        </w:rPr>
        <w:t xml:space="preserve"> to:</w:t>
      </w:r>
    </w:p>
    <w:p w14:paraId="02BBBC66" w14:textId="77777777" w:rsidR="009371E7" w:rsidRPr="007957B8" w:rsidRDefault="009371E7" w:rsidP="009371E7">
      <w:pPr>
        <w:ind w:left="720"/>
        <w:rPr>
          <w:rFonts w:ascii="Times New Roman" w:hAnsi="Times New Roman"/>
          <w:sz w:val="24"/>
          <w:szCs w:val="24"/>
        </w:rPr>
      </w:pPr>
      <w:r w:rsidRPr="007957B8">
        <w:rPr>
          <w:rFonts w:ascii="Times New Roman" w:hAnsi="Times New Roman"/>
          <w:sz w:val="24"/>
          <w:szCs w:val="24"/>
        </w:rPr>
        <w:t>Boyd Kenter Thomas &amp; Parrish, LLC</w:t>
      </w:r>
      <w:r w:rsidRPr="007957B8">
        <w:rPr>
          <w:rFonts w:ascii="Times New Roman" w:hAnsi="Times New Roman"/>
          <w:sz w:val="24"/>
          <w:szCs w:val="24"/>
        </w:rPr>
        <w:br/>
        <w:t>PO BOX 439</w:t>
      </w:r>
      <w:r w:rsidRPr="007957B8">
        <w:rPr>
          <w:rFonts w:ascii="Times New Roman" w:hAnsi="Times New Roman"/>
          <w:sz w:val="24"/>
          <w:szCs w:val="24"/>
        </w:rPr>
        <w:br/>
        <w:t>Independence, Missouri 64050</w:t>
      </w:r>
    </w:p>
    <w:p w14:paraId="77373FE9" w14:textId="77777777" w:rsidR="009371E7" w:rsidRPr="007957B8" w:rsidRDefault="009371E7" w:rsidP="009371E7">
      <w:pPr>
        <w:pStyle w:val="NormalWeb"/>
        <w:ind w:left="720"/>
        <w:jc w:val="both"/>
      </w:pPr>
      <w:r w:rsidRPr="007957B8">
        <w:lastRenderedPageBreak/>
        <w:t>If you choose option (2), your consent form must be enclosed in an envelope that is postmarked on or before October 20, 2023.</w:t>
      </w:r>
    </w:p>
    <w:p w14:paraId="32778FC5" w14:textId="77777777" w:rsidR="009371E7" w:rsidRDefault="009371E7" w:rsidP="00F326E5">
      <w:pPr>
        <w:rPr>
          <w:rFonts w:ascii="Arial Black" w:hAnsi="Arial Black"/>
          <w:b/>
          <w:sz w:val="24"/>
          <w:szCs w:val="24"/>
        </w:rPr>
      </w:pPr>
    </w:p>
    <w:p w14:paraId="7FA9D57C" w14:textId="20F357AF" w:rsidR="00A82016" w:rsidRDefault="00A82016" w:rsidP="00F326E5">
      <w:pPr>
        <w:rPr>
          <w:rFonts w:ascii="Arial Black" w:hAnsi="Arial Black"/>
          <w:b/>
          <w:sz w:val="24"/>
          <w:szCs w:val="24"/>
        </w:rPr>
      </w:pPr>
      <w:r>
        <w:rPr>
          <w:rFonts w:ascii="Arial Black" w:hAnsi="Arial Black"/>
          <w:b/>
          <w:sz w:val="24"/>
          <w:szCs w:val="24"/>
        </w:rPr>
        <w:t>11-47</w:t>
      </w:r>
    </w:p>
    <w:p w14:paraId="4256C3CD" w14:textId="77777777" w:rsidR="00A82016" w:rsidRPr="00253890" w:rsidRDefault="00A82016" w:rsidP="00A82016">
      <w:pPr>
        <w:spacing w:before="100" w:beforeAutospacing="1" w:after="100" w:afterAutospacing="1" w:line="240" w:lineRule="auto"/>
        <w:rPr>
          <w:rFonts w:ascii="Times New Roman" w:eastAsia="Times New Roman" w:hAnsi="Times New Roman"/>
          <w:sz w:val="24"/>
          <w:szCs w:val="24"/>
        </w:rPr>
      </w:pPr>
      <w:r>
        <w:rPr>
          <w:rFonts w:ascii="Arial Black" w:eastAsia="Times New Roman" w:hAnsi="Arial Black"/>
          <w:sz w:val="28"/>
          <w:szCs w:val="28"/>
        </w:rPr>
        <w:t xml:space="preserve">MS: FLSA - LONGEVITY PAY – LAWSUIT SETTLED PAY OCT. 2023 FORWARD - 25 FF AGREED /10 OBJECTED - ENFORCED </w:t>
      </w:r>
    </w:p>
    <w:p w14:paraId="15A25AA1" w14:textId="77777777" w:rsidR="00A82016" w:rsidRDefault="00A82016" w:rsidP="00A82016">
      <w:pPr>
        <w:pStyle w:val="NoSpacing"/>
        <w:rPr>
          <w:rFonts w:ascii="Times New Roman" w:hAnsi="Times New Roman"/>
          <w:sz w:val="24"/>
          <w:szCs w:val="24"/>
        </w:rPr>
      </w:pPr>
      <w:r>
        <w:rPr>
          <w:rFonts w:ascii="Times New Roman" w:hAnsi="Times New Roman"/>
          <w:sz w:val="24"/>
          <w:szCs w:val="24"/>
        </w:rPr>
        <w:t xml:space="preserve">On Jan. 25, 2024, in </w:t>
      </w:r>
      <w:r w:rsidRPr="00CA23AA">
        <w:rPr>
          <w:rFonts w:ascii="Times New Roman" w:hAnsi="Times New Roman"/>
          <w:sz w:val="24"/>
          <w:szCs w:val="24"/>
          <w:u w:val="single"/>
        </w:rPr>
        <w:t>Derrick Gates, et al. v. City of Biloxi, Mississippi</w:t>
      </w:r>
      <w:r>
        <w:rPr>
          <w:rFonts w:ascii="Times New Roman" w:hAnsi="Times New Roman"/>
          <w:sz w:val="24"/>
          <w:szCs w:val="24"/>
        </w:rPr>
        <w:t xml:space="preserve">, U.S. District Court Judge Louis Guirola, Jr., U.S. District Court for Southern District of Mississippi (Southern Division) granted the City’s motion to enforce the settlement agreement. </w:t>
      </w:r>
    </w:p>
    <w:p w14:paraId="107B8D16" w14:textId="77777777" w:rsidR="00A82016" w:rsidRDefault="00A82016" w:rsidP="00A82016">
      <w:pPr>
        <w:pStyle w:val="NoSpacing"/>
        <w:rPr>
          <w:rFonts w:ascii="Times New Roman" w:hAnsi="Times New Roman"/>
          <w:sz w:val="24"/>
          <w:szCs w:val="24"/>
        </w:rPr>
      </w:pPr>
    </w:p>
    <w:p w14:paraId="58AB6537" w14:textId="6EE03A1D" w:rsidR="00A82016" w:rsidRDefault="00A82016" w:rsidP="00A82016">
      <w:pPr>
        <w:rPr>
          <w:rStyle w:val="Hyperlink"/>
          <w:rFonts w:ascii="Times New Roman" w:hAnsi="Times New Roman"/>
          <w:sz w:val="24"/>
          <w:szCs w:val="24"/>
        </w:rPr>
      </w:pPr>
      <w:r>
        <w:rPr>
          <w:rFonts w:ascii="Times New Roman" w:hAnsi="Times New Roman"/>
          <w:sz w:val="24"/>
          <w:szCs w:val="24"/>
        </w:rPr>
        <w:t>“</w:t>
      </w:r>
      <w:r w:rsidRPr="00195CB1">
        <w:rPr>
          <w:rFonts w:ascii="Times New Roman" w:hAnsi="Times New Roman"/>
          <w:sz w:val="24"/>
          <w:szCs w:val="24"/>
        </w:rPr>
        <w:t>Here, the parties through their retained counsel announced the</w:t>
      </w:r>
      <w:r>
        <w:rPr>
          <w:rFonts w:ascii="Times New Roman" w:hAnsi="Times New Roman"/>
          <w:sz w:val="24"/>
          <w:szCs w:val="24"/>
        </w:rPr>
        <w:t xml:space="preserve"> </w:t>
      </w:r>
      <w:r w:rsidRPr="00195CB1">
        <w:rPr>
          <w:rFonts w:ascii="Times New Roman" w:hAnsi="Times New Roman"/>
          <w:sz w:val="24"/>
          <w:szCs w:val="24"/>
        </w:rPr>
        <w:t>settlement, and the terms were recited into the record. It is the recorded recitations</w:t>
      </w:r>
      <w:r>
        <w:rPr>
          <w:rFonts w:ascii="Times New Roman" w:hAnsi="Times New Roman"/>
          <w:sz w:val="24"/>
          <w:szCs w:val="24"/>
        </w:rPr>
        <w:t xml:space="preserve"> </w:t>
      </w:r>
      <w:r w:rsidRPr="00195CB1">
        <w:rPr>
          <w:rFonts w:ascii="Times New Roman" w:hAnsi="Times New Roman"/>
          <w:sz w:val="24"/>
          <w:szCs w:val="24"/>
        </w:rPr>
        <w:t>that control. Therefore, the settlement agreement is enforceable as recorded in the</w:t>
      </w:r>
      <w:r>
        <w:rPr>
          <w:rFonts w:ascii="Times New Roman" w:hAnsi="Times New Roman"/>
          <w:sz w:val="24"/>
          <w:szCs w:val="24"/>
        </w:rPr>
        <w:t xml:space="preserve"> </w:t>
      </w:r>
      <w:r w:rsidRPr="00195CB1">
        <w:rPr>
          <w:rFonts w:ascii="Times New Roman" w:hAnsi="Times New Roman"/>
          <w:sz w:val="24"/>
          <w:szCs w:val="24"/>
        </w:rPr>
        <w:t>transcript at the close of the settlement conference, regardless of any alleged</w:t>
      </w:r>
      <w:r>
        <w:rPr>
          <w:rFonts w:ascii="Times New Roman" w:hAnsi="Times New Roman"/>
          <w:sz w:val="24"/>
          <w:szCs w:val="24"/>
        </w:rPr>
        <w:t xml:space="preserve"> </w:t>
      </w:r>
      <w:r w:rsidRPr="00195CB1">
        <w:rPr>
          <w:rFonts w:ascii="Times New Roman" w:hAnsi="Times New Roman"/>
          <w:sz w:val="24"/>
          <w:szCs w:val="24"/>
        </w:rPr>
        <w:t>omissions contained in a later memorialization of the parties’ agreement.</w:t>
      </w:r>
      <w:r>
        <w:rPr>
          <w:rFonts w:ascii="Times New Roman" w:hAnsi="Times New Roman"/>
          <w:sz w:val="24"/>
          <w:szCs w:val="24"/>
        </w:rPr>
        <w:t xml:space="preserve">”   </w:t>
      </w:r>
      <w:hyperlink r:id="rId1825" w:history="1">
        <w:r w:rsidRPr="00624A20">
          <w:rPr>
            <w:rStyle w:val="Hyperlink"/>
            <w:rFonts w:ascii="Times New Roman" w:hAnsi="Times New Roman"/>
            <w:sz w:val="24"/>
            <w:szCs w:val="24"/>
          </w:rPr>
          <w:t>https://cases.justia.com/federal/district-courts/mississippi/mssdce/1:2022cv00356/117172/19/0.pdf?ts=1706287990</w:t>
        </w:r>
      </w:hyperlink>
    </w:p>
    <w:p w14:paraId="3A00E7B4" w14:textId="4FC5B2D7" w:rsidR="00F260DB" w:rsidRDefault="00F260DB" w:rsidP="00A82016">
      <w:pPr>
        <w:rPr>
          <w:rFonts w:ascii="Arial Black" w:hAnsi="Arial Black"/>
          <w:b/>
          <w:sz w:val="24"/>
          <w:szCs w:val="24"/>
        </w:rPr>
      </w:pPr>
      <w:r w:rsidRPr="0027455C">
        <w:rPr>
          <w:rFonts w:ascii="Times New Roman" w:hAnsi="Times New Roman"/>
          <w:b/>
          <w:bCs/>
          <w:sz w:val="24"/>
          <w:szCs w:val="24"/>
        </w:rPr>
        <w:t>Legal Lesson Learned:</w:t>
      </w:r>
      <w:r>
        <w:rPr>
          <w:rFonts w:ascii="Times New Roman" w:hAnsi="Times New Roman"/>
          <w:b/>
          <w:bCs/>
          <w:sz w:val="24"/>
          <w:szCs w:val="24"/>
        </w:rPr>
        <w:t xml:space="preserve"> A settlement agreement agreed to by Plaintiffs’ legal counsel applies to all firefighters on the fire department</w:t>
      </w:r>
    </w:p>
    <w:p w14:paraId="2C52C8F0" w14:textId="77777777" w:rsidR="00A82016" w:rsidRDefault="00A82016" w:rsidP="00F326E5">
      <w:pPr>
        <w:rPr>
          <w:rFonts w:ascii="Arial Black" w:hAnsi="Arial Black"/>
          <w:b/>
          <w:sz w:val="24"/>
          <w:szCs w:val="24"/>
        </w:rPr>
      </w:pPr>
    </w:p>
    <w:p w14:paraId="7AD83869" w14:textId="071DD38E" w:rsidR="00357AB9" w:rsidRDefault="00357AB9" w:rsidP="00F326E5">
      <w:pPr>
        <w:rPr>
          <w:rFonts w:ascii="Arial Black" w:hAnsi="Arial Black"/>
          <w:b/>
          <w:sz w:val="24"/>
          <w:szCs w:val="24"/>
        </w:rPr>
      </w:pPr>
      <w:r>
        <w:rPr>
          <w:rFonts w:ascii="Arial Black" w:hAnsi="Arial Black"/>
          <w:b/>
          <w:sz w:val="24"/>
          <w:szCs w:val="24"/>
        </w:rPr>
        <w:t>11-</w:t>
      </w:r>
      <w:r w:rsidR="009601CD">
        <w:rPr>
          <w:rFonts w:ascii="Arial Black" w:hAnsi="Arial Black"/>
          <w:b/>
          <w:sz w:val="24"/>
          <w:szCs w:val="24"/>
        </w:rPr>
        <w:t>50</w:t>
      </w:r>
    </w:p>
    <w:p w14:paraId="443FE29E" w14:textId="77777777" w:rsidR="00357AB9" w:rsidRDefault="00357AB9" w:rsidP="00357AB9">
      <w:pPr>
        <w:pStyle w:val="NormalWeb"/>
        <w:rPr>
          <w:rFonts w:ascii="Arial Black" w:hAnsi="Arial Black"/>
          <w:b/>
          <w:bCs/>
          <w:sz w:val="28"/>
          <w:szCs w:val="28"/>
        </w:rPr>
      </w:pPr>
      <w:r>
        <w:rPr>
          <w:rFonts w:ascii="Arial Black" w:hAnsi="Arial Black"/>
          <w:b/>
          <w:bCs/>
          <w:sz w:val="28"/>
          <w:szCs w:val="28"/>
        </w:rPr>
        <w:t>CA: FLSA - FF HAVE HEALTH INSUR. WITH SPOUSE CAN “OPT OUT” – OPT OUT FEE IS NOT PART “REGULAR WAGES”</w:t>
      </w:r>
    </w:p>
    <w:p w14:paraId="61E58FB4" w14:textId="77777777" w:rsidR="00357AB9" w:rsidRDefault="00357AB9" w:rsidP="00357AB9">
      <w:pPr>
        <w:pStyle w:val="NoSpacing"/>
        <w:rPr>
          <w:rFonts w:ascii="Times New Roman" w:hAnsi="Times New Roman"/>
          <w:sz w:val="24"/>
          <w:szCs w:val="24"/>
        </w:rPr>
      </w:pPr>
      <w:r w:rsidRPr="00EA69A8">
        <w:rPr>
          <w:rFonts w:ascii="Times New Roman" w:hAnsi="Times New Roman"/>
          <w:sz w:val="24"/>
          <w:szCs w:val="24"/>
        </w:rPr>
        <w:t xml:space="preserve">On Nov. 30, 2023, in </w:t>
      </w:r>
      <w:r w:rsidRPr="00F72B12">
        <w:rPr>
          <w:rFonts w:ascii="Times New Roman" w:hAnsi="Times New Roman"/>
          <w:sz w:val="24"/>
          <w:szCs w:val="24"/>
          <w:u w:val="single"/>
        </w:rPr>
        <w:t>Anthony Sanders, et al. v. County of Ventura</w:t>
      </w:r>
      <w:r w:rsidRPr="00EA69A8">
        <w:rPr>
          <w:rFonts w:ascii="Times New Roman" w:hAnsi="Times New Roman"/>
          <w:sz w:val="24"/>
          <w:szCs w:val="24"/>
        </w:rPr>
        <w:t>,  the U.S. Court of Appeals for the 9th Circuit (San Francisco) held (3 to 0) that trial court judge properly granted summary judgment to the County.  For example, PFA [Professional Firefighters Association] members in 2022 received a Flex Credit of $482, but their opt-out fee was $334.75, resulting in a net cash payment of $147.25 per pay period.</w:t>
      </w:r>
      <w:r>
        <w:rPr>
          <w:rFonts w:ascii="Times New Roman" w:hAnsi="Times New Roman"/>
          <w:sz w:val="24"/>
          <w:szCs w:val="24"/>
        </w:rPr>
        <w:t xml:space="preserve"> </w:t>
      </w:r>
      <w:r w:rsidRPr="00EA69A8">
        <w:rPr>
          <w:rFonts w:ascii="Times New Roman" w:hAnsi="Times New Roman"/>
          <w:sz w:val="24"/>
          <w:szCs w:val="24"/>
        </w:rPr>
        <w:t>The Court of Appeals wrote: “What this means is that § 207(e)(4) permits an employer</w:t>
      </w:r>
      <w:r>
        <w:rPr>
          <w:rFonts w:ascii="Times New Roman" w:hAnsi="Times New Roman"/>
          <w:sz w:val="24"/>
          <w:szCs w:val="24"/>
        </w:rPr>
        <w:t xml:space="preserve"> </w:t>
      </w:r>
      <w:r w:rsidRPr="00EA69A8">
        <w:rPr>
          <w:rFonts w:ascii="Times New Roman" w:hAnsi="Times New Roman"/>
          <w:sz w:val="24"/>
          <w:szCs w:val="24"/>
        </w:rPr>
        <w:t>to exempt from an employee’s regular rate of pay employer contributions made pursuant to bona fide health plans that are designed to alleviate the burden of a shrinking risk pool for the employees who choose to remain in the plans. When an employer, as here, decides to allow employees to retain some portion of an unused health insurance credit, it can permissibly structure the program to prop up the employee health plans without treating the full amount of the health credit as part of the FLSA regular rate of pay.”</w:t>
      </w:r>
      <w:r>
        <w:rPr>
          <w:rFonts w:ascii="Times New Roman" w:hAnsi="Times New Roman"/>
          <w:sz w:val="24"/>
          <w:szCs w:val="24"/>
        </w:rPr>
        <w:t xml:space="preserve"> </w:t>
      </w:r>
      <w:hyperlink r:id="rId1826" w:history="1">
        <w:r w:rsidRPr="001D6799">
          <w:rPr>
            <w:rStyle w:val="Hyperlink"/>
            <w:rFonts w:ascii="Times New Roman" w:hAnsi="Times New Roman"/>
            <w:sz w:val="24"/>
            <w:szCs w:val="24"/>
          </w:rPr>
          <w:t>https://cdn.ca9.uscourts.gov/datastore/opinions/2023/11/30/22-55663.pdf</w:t>
        </w:r>
      </w:hyperlink>
      <w:r>
        <w:rPr>
          <w:rFonts w:ascii="Times New Roman" w:hAnsi="Times New Roman"/>
          <w:sz w:val="24"/>
          <w:szCs w:val="24"/>
        </w:rPr>
        <w:t xml:space="preserve"> </w:t>
      </w:r>
    </w:p>
    <w:p w14:paraId="493FAE4B" w14:textId="77777777" w:rsidR="00FB5A0A" w:rsidRDefault="00FB5A0A" w:rsidP="00FB5A0A">
      <w:pPr>
        <w:pStyle w:val="NoSpacing"/>
        <w:rPr>
          <w:rFonts w:ascii="Times New Roman" w:hAnsi="Times New Roman"/>
          <w:b/>
          <w:bCs/>
          <w:sz w:val="24"/>
          <w:szCs w:val="24"/>
        </w:rPr>
      </w:pPr>
    </w:p>
    <w:p w14:paraId="4F255FE2" w14:textId="0311498F" w:rsidR="00FB5A0A" w:rsidRPr="00404656" w:rsidRDefault="00FB5A0A" w:rsidP="00FB5A0A">
      <w:pPr>
        <w:pStyle w:val="NoSpacing"/>
        <w:rPr>
          <w:rFonts w:ascii="Times New Roman" w:hAnsi="Times New Roman"/>
          <w:b/>
          <w:bCs/>
          <w:sz w:val="24"/>
          <w:szCs w:val="24"/>
        </w:rPr>
      </w:pPr>
      <w:r w:rsidRPr="00404656">
        <w:rPr>
          <w:rFonts w:ascii="Times New Roman" w:hAnsi="Times New Roman"/>
          <w:b/>
          <w:bCs/>
          <w:sz w:val="24"/>
          <w:szCs w:val="24"/>
        </w:rPr>
        <w:t>Legal Lesson Learned:</w:t>
      </w:r>
      <w:r>
        <w:rPr>
          <w:rFonts w:ascii="Times New Roman" w:hAnsi="Times New Roman"/>
          <w:b/>
          <w:bCs/>
          <w:sz w:val="24"/>
          <w:szCs w:val="24"/>
        </w:rPr>
        <w:t xml:space="preserve">  FF working overtime get time and one half of their “regular rate” of pay; the County does not want to include “opt out” fees in their regular rate of pay,  </w:t>
      </w:r>
    </w:p>
    <w:p w14:paraId="67DC5071" w14:textId="77777777" w:rsidR="00FB5A0A" w:rsidRDefault="00FB5A0A" w:rsidP="00FB5A0A">
      <w:pPr>
        <w:pStyle w:val="NoSpacing"/>
        <w:rPr>
          <w:rFonts w:ascii="Times New Roman" w:hAnsi="Times New Roman"/>
          <w:sz w:val="24"/>
          <w:szCs w:val="24"/>
        </w:rPr>
      </w:pPr>
    </w:p>
    <w:p w14:paraId="4CBB7932" w14:textId="77777777" w:rsidR="00FB5A0A" w:rsidRDefault="00FB5A0A" w:rsidP="00F326E5">
      <w:pPr>
        <w:rPr>
          <w:rFonts w:ascii="Arial Black" w:hAnsi="Arial Black"/>
          <w:b/>
          <w:sz w:val="24"/>
          <w:szCs w:val="24"/>
        </w:rPr>
      </w:pPr>
    </w:p>
    <w:p w14:paraId="121BF3B6" w14:textId="77777777" w:rsidR="00357AB9" w:rsidRDefault="00357AB9" w:rsidP="00F326E5">
      <w:pPr>
        <w:rPr>
          <w:rFonts w:ascii="Arial Black" w:hAnsi="Arial Black"/>
          <w:b/>
          <w:sz w:val="24"/>
          <w:szCs w:val="24"/>
        </w:rPr>
      </w:pPr>
    </w:p>
    <w:p w14:paraId="5866D335" w14:textId="4AED3211" w:rsidR="001A5080" w:rsidRDefault="001A5080" w:rsidP="00F326E5">
      <w:pPr>
        <w:rPr>
          <w:rFonts w:ascii="Arial Black" w:hAnsi="Arial Black"/>
          <w:b/>
          <w:sz w:val="24"/>
          <w:szCs w:val="24"/>
        </w:rPr>
      </w:pPr>
      <w:r>
        <w:rPr>
          <w:rFonts w:ascii="Arial Black" w:hAnsi="Arial Black"/>
          <w:b/>
          <w:sz w:val="24"/>
          <w:szCs w:val="24"/>
        </w:rPr>
        <w:lastRenderedPageBreak/>
        <w:t>11-4</w:t>
      </w:r>
      <w:r w:rsidR="009601CD">
        <w:rPr>
          <w:rFonts w:ascii="Arial Black" w:hAnsi="Arial Black"/>
          <w:b/>
          <w:sz w:val="24"/>
          <w:szCs w:val="24"/>
        </w:rPr>
        <w:t>9</w:t>
      </w:r>
    </w:p>
    <w:p w14:paraId="1B66BA25" w14:textId="77777777" w:rsidR="001A5080" w:rsidRPr="00C75679" w:rsidRDefault="001A5080" w:rsidP="001A5080">
      <w:pPr>
        <w:pStyle w:val="NoSpacing"/>
        <w:rPr>
          <w:rFonts w:ascii="Arial Black" w:hAnsi="Arial Black"/>
          <w:b/>
          <w:sz w:val="28"/>
          <w:szCs w:val="28"/>
        </w:rPr>
      </w:pPr>
      <w:r>
        <w:rPr>
          <w:rFonts w:ascii="Arial Black" w:hAnsi="Arial Black"/>
          <w:b/>
          <w:sz w:val="28"/>
          <w:szCs w:val="28"/>
        </w:rPr>
        <w:t>WV: WORKING ON HOLIDAY – STATE LAW REQ. OT OR COMP TIME – BUT HRS THAT DAY - NOT 24HR SHIFT / NOT 12 HRS</w:t>
      </w:r>
    </w:p>
    <w:p w14:paraId="4EFFE3CC" w14:textId="77777777" w:rsidR="001A5080" w:rsidRDefault="001A5080" w:rsidP="001A5080">
      <w:pPr>
        <w:pStyle w:val="NoSpacing"/>
        <w:ind w:left="720"/>
        <w:rPr>
          <w:rFonts w:ascii="Arial Black" w:hAnsi="Arial Black"/>
          <w:b/>
          <w:sz w:val="20"/>
          <w:szCs w:val="20"/>
        </w:rPr>
      </w:pPr>
    </w:p>
    <w:p w14:paraId="49D2F874" w14:textId="77777777" w:rsidR="001A5080" w:rsidRPr="002C5D98" w:rsidRDefault="001A5080" w:rsidP="001A5080">
      <w:pPr>
        <w:pStyle w:val="NoSpacing"/>
        <w:rPr>
          <w:rFonts w:ascii="Times New Roman" w:hAnsi="Times New Roman"/>
          <w:bCs/>
          <w:sz w:val="24"/>
          <w:szCs w:val="24"/>
          <w:u w:val="single"/>
        </w:rPr>
      </w:pPr>
      <w:r w:rsidRPr="00FB4C5F">
        <w:rPr>
          <w:rFonts w:ascii="Times New Roman" w:hAnsi="Times New Roman"/>
          <w:bCs/>
          <w:sz w:val="24"/>
          <w:szCs w:val="24"/>
        </w:rPr>
        <w:t>On Nov. 8</w:t>
      </w:r>
      <w:r>
        <w:rPr>
          <w:rFonts w:ascii="Times New Roman" w:hAnsi="Times New Roman"/>
          <w:bCs/>
          <w:sz w:val="24"/>
          <w:szCs w:val="24"/>
        </w:rPr>
        <w:t xml:space="preserve">, 2023, in </w:t>
      </w:r>
      <w:r w:rsidRPr="002C5D98">
        <w:rPr>
          <w:rFonts w:ascii="Times New Roman" w:hAnsi="Times New Roman"/>
          <w:bCs/>
          <w:sz w:val="24"/>
          <w:szCs w:val="24"/>
          <w:u w:val="single"/>
        </w:rPr>
        <w:t>Jayson Nicewarner, et al. v. The City of Morgantown</w:t>
      </w:r>
      <w:r w:rsidRPr="002C5D98">
        <w:rPr>
          <w:rFonts w:ascii="Times New Roman" w:hAnsi="Times New Roman"/>
          <w:bCs/>
          <w:sz w:val="24"/>
          <w:szCs w:val="24"/>
        </w:rPr>
        <w:t xml:space="preserve">, </w:t>
      </w:r>
      <w:r w:rsidRPr="00BB5C82">
        <w:rPr>
          <w:rFonts w:ascii="Times New Roman" w:hAnsi="Times New Roman"/>
          <w:bCs/>
          <w:sz w:val="24"/>
          <w:szCs w:val="24"/>
        </w:rPr>
        <w:t xml:space="preserve">the Supreme Court of Appeals of West Virginia, </w:t>
      </w:r>
      <w:r>
        <w:rPr>
          <w:rFonts w:ascii="Times New Roman" w:hAnsi="Times New Roman"/>
          <w:bCs/>
          <w:sz w:val="24"/>
          <w:szCs w:val="24"/>
        </w:rPr>
        <w:t xml:space="preserve">held (4 to 1) that Lieutenant Nicewarner (then President </w:t>
      </w:r>
      <w:proofErr w:type="spellStart"/>
      <w:r>
        <w:rPr>
          <w:rFonts w:ascii="Times New Roman" w:hAnsi="Times New Roman"/>
          <w:bCs/>
          <w:sz w:val="24"/>
          <w:szCs w:val="24"/>
        </w:rPr>
        <w:t>ofIAFF</w:t>
      </w:r>
      <w:proofErr w:type="spellEnd"/>
      <w:r>
        <w:rPr>
          <w:rFonts w:ascii="Times New Roman" w:hAnsi="Times New Roman"/>
          <w:bCs/>
          <w:sz w:val="24"/>
          <w:szCs w:val="24"/>
        </w:rPr>
        <w:t xml:space="preserve">  Local 313) and fifty-three other current and former firefighters are not entitled to 24-hours of comp time off when their </w:t>
      </w:r>
      <w:proofErr w:type="gramStart"/>
      <w:r>
        <w:rPr>
          <w:rFonts w:ascii="Times New Roman" w:hAnsi="Times New Roman"/>
          <w:bCs/>
          <w:sz w:val="24"/>
          <w:szCs w:val="24"/>
        </w:rPr>
        <w:t>24/48 hour</w:t>
      </w:r>
      <w:proofErr w:type="gramEnd"/>
      <w:r>
        <w:rPr>
          <w:rFonts w:ascii="Times New Roman" w:hAnsi="Times New Roman"/>
          <w:bCs/>
          <w:sz w:val="24"/>
          <w:szCs w:val="24"/>
        </w:rPr>
        <w:t xml:space="preserve"> shift includes a state or federal holiday.  The </w:t>
      </w:r>
      <w:proofErr w:type="gramStart"/>
      <w:r>
        <w:rPr>
          <w:rFonts w:ascii="Times New Roman" w:hAnsi="Times New Roman"/>
          <w:bCs/>
          <w:sz w:val="24"/>
          <w:szCs w:val="24"/>
        </w:rPr>
        <w:t>City</w:t>
      </w:r>
      <w:proofErr w:type="gramEnd"/>
      <w:r>
        <w:rPr>
          <w:rFonts w:ascii="Times New Roman" w:hAnsi="Times New Roman"/>
          <w:bCs/>
          <w:sz w:val="24"/>
          <w:szCs w:val="24"/>
        </w:rPr>
        <w:t xml:space="preserve"> has for 48 years, based on a State Attorney General opinion about 2004 statute, granted firefighters 12-hours of comp time; the union claimed they were entitled to 24 hours since they worked 24/48 shift (8 am one day to 8 am next day).  The WV Supreme Court disagreed with both, holding that under State statute firefighters only get equivalent time off for hours worked on that holiday day – not entire 24-hour shift.  The Court ordered City to recalculate for past five years under new </w:t>
      </w:r>
      <w:proofErr w:type="gramStart"/>
      <w:r>
        <w:rPr>
          <w:rFonts w:ascii="Times New Roman" w:hAnsi="Times New Roman"/>
          <w:bCs/>
          <w:sz w:val="24"/>
          <w:szCs w:val="24"/>
        </w:rPr>
        <w:t>standard</w:t>
      </w:r>
      <w:proofErr w:type="gramEnd"/>
      <w:r>
        <w:rPr>
          <w:rFonts w:ascii="Times New Roman" w:hAnsi="Times New Roman"/>
          <w:bCs/>
          <w:sz w:val="24"/>
          <w:szCs w:val="24"/>
        </w:rPr>
        <w:t xml:space="preserve">, including retired firefighters who may have lost vacation pay.  </w:t>
      </w:r>
      <w:hyperlink r:id="rId1827" w:history="1">
        <w:r w:rsidRPr="00553FEF">
          <w:rPr>
            <w:rStyle w:val="Hyperlink"/>
            <w:rFonts w:ascii="Times New Roman" w:hAnsi="Times New Roman"/>
            <w:bCs/>
            <w:sz w:val="24"/>
            <w:szCs w:val="24"/>
          </w:rPr>
          <w:t>http://www.courtswv.gov/supreme-court/docs/fall2023/22-0185-hutchison-p.pdf</w:t>
        </w:r>
      </w:hyperlink>
      <w:r>
        <w:rPr>
          <w:rFonts w:ascii="Times New Roman" w:hAnsi="Times New Roman"/>
          <w:bCs/>
          <w:sz w:val="24"/>
          <w:szCs w:val="24"/>
          <w:u w:val="single"/>
        </w:rPr>
        <w:t xml:space="preserve"> </w:t>
      </w:r>
    </w:p>
    <w:p w14:paraId="3D9250D5" w14:textId="77777777" w:rsidR="001A5080" w:rsidRDefault="001A5080" w:rsidP="001A5080">
      <w:pPr>
        <w:pStyle w:val="NoSpacing"/>
        <w:rPr>
          <w:rFonts w:ascii="Times New Roman" w:hAnsi="Times New Roman"/>
          <w:bCs/>
          <w:sz w:val="24"/>
          <w:szCs w:val="24"/>
        </w:rPr>
      </w:pPr>
    </w:p>
    <w:p w14:paraId="2CE7F65F" w14:textId="77777777" w:rsidR="00B32E9A" w:rsidRDefault="00B32E9A" w:rsidP="00B32E9A">
      <w:pPr>
        <w:pStyle w:val="NoSpacing"/>
        <w:rPr>
          <w:rFonts w:ascii="Times New Roman" w:hAnsi="Times New Roman"/>
          <w:b/>
          <w:sz w:val="24"/>
          <w:szCs w:val="24"/>
        </w:rPr>
      </w:pPr>
      <w:r w:rsidRPr="00D328B7">
        <w:rPr>
          <w:rFonts w:ascii="Times New Roman" w:hAnsi="Times New Roman"/>
          <w:b/>
          <w:sz w:val="24"/>
          <w:szCs w:val="24"/>
        </w:rPr>
        <w:t>Legal Lesson Learned</w:t>
      </w:r>
      <w:r>
        <w:rPr>
          <w:rFonts w:ascii="Times New Roman" w:hAnsi="Times New Roman"/>
          <w:b/>
          <w:sz w:val="24"/>
          <w:szCs w:val="24"/>
        </w:rPr>
        <w:t>:  The statute was not clear; both union and City had different interpretations and Court rejected both.</w:t>
      </w:r>
    </w:p>
    <w:p w14:paraId="1D77E3B1" w14:textId="77777777" w:rsidR="001A5080" w:rsidRDefault="001A5080" w:rsidP="00F326E5">
      <w:pPr>
        <w:rPr>
          <w:rFonts w:ascii="Arial Black" w:hAnsi="Arial Black"/>
          <w:b/>
          <w:sz w:val="24"/>
          <w:szCs w:val="24"/>
        </w:rPr>
      </w:pPr>
    </w:p>
    <w:p w14:paraId="4A0BB451" w14:textId="77777777" w:rsidR="001A5080" w:rsidRDefault="001A5080" w:rsidP="00F326E5">
      <w:pPr>
        <w:rPr>
          <w:rFonts w:ascii="Arial Black" w:hAnsi="Arial Black"/>
          <w:b/>
          <w:sz w:val="24"/>
          <w:szCs w:val="24"/>
        </w:rPr>
      </w:pPr>
    </w:p>
    <w:p w14:paraId="11F869C1" w14:textId="58AF8DC9" w:rsidR="00AC3E10" w:rsidRDefault="00AC3E10" w:rsidP="00F326E5">
      <w:pPr>
        <w:rPr>
          <w:rFonts w:ascii="Arial Black" w:hAnsi="Arial Black"/>
          <w:b/>
          <w:sz w:val="24"/>
          <w:szCs w:val="24"/>
        </w:rPr>
      </w:pPr>
      <w:r>
        <w:rPr>
          <w:rFonts w:ascii="Arial Black" w:hAnsi="Arial Black"/>
          <w:b/>
          <w:sz w:val="24"/>
          <w:szCs w:val="24"/>
        </w:rPr>
        <w:t>11-4</w:t>
      </w:r>
      <w:r w:rsidR="009601CD">
        <w:rPr>
          <w:rFonts w:ascii="Arial Black" w:hAnsi="Arial Black"/>
          <w:b/>
          <w:sz w:val="24"/>
          <w:szCs w:val="24"/>
        </w:rPr>
        <w:t>8</w:t>
      </w:r>
    </w:p>
    <w:p w14:paraId="4E09F5C4" w14:textId="77777777" w:rsidR="00AC3E10" w:rsidRPr="00AD671D" w:rsidRDefault="00AC3E10" w:rsidP="00AC3E10">
      <w:pPr>
        <w:pStyle w:val="NormalWeb"/>
        <w:rPr>
          <w:rFonts w:ascii="Arial Black" w:hAnsi="Arial Black"/>
          <w:b/>
          <w:bCs/>
          <w:sz w:val="28"/>
          <w:szCs w:val="28"/>
        </w:rPr>
      </w:pPr>
      <w:r>
        <w:rPr>
          <w:rFonts w:ascii="Arial Black" w:hAnsi="Arial Black"/>
          <w:b/>
          <w:bCs/>
          <w:sz w:val="28"/>
          <w:szCs w:val="28"/>
        </w:rPr>
        <w:t xml:space="preserve">NY: PRIVATE AMBULANCE CO. – CLASS ACTION BY 200 EMS – NOT PAID FOR PREP TIME – REQ. BUY THEIR UNIFORMS </w:t>
      </w:r>
    </w:p>
    <w:p w14:paraId="6F264474" w14:textId="77777777" w:rsidR="00AC3E10" w:rsidRDefault="00AC3E10" w:rsidP="00AC3E10">
      <w:pPr>
        <w:pStyle w:val="NormalWeb"/>
      </w:pPr>
      <w:r>
        <w:t xml:space="preserve">On Sept. 15, 2023, in </w:t>
      </w:r>
      <w:r w:rsidRPr="00704F94">
        <w:rPr>
          <w:u w:val="single"/>
        </w:rPr>
        <w:t>Tray Jackson, individually and on behalf of the proposed class v. Citywide Mobile Response Corp</w:t>
      </w:r>
      <w:r>
        <w:t>., Judge Fidel E. Gomez, New York Supreme Court, Bronx County, granted plaintiff’s motion to certify class action against the non-emergency ambulance company that has been in business for over 40 years.  Plaintiff EMT ($18 an hour in 2021 and 2022) alleges he would “clock in” prior to start of shift to check ambulance for supplies, and “clock out” after the schedule shift, but the company “rounded up” his start time and rounded down his end times.  The company also deducted from his pay the cost of his uniforms and tech bag in  amounts totaling $275-$400.</w:t>
      </w:r>
    </w:p>
    <w:p w14:paraId="2A1D17B1" w14:textId="77777777" w:rsidR="00AC3E10" w:rsidRDefault="00AC3E10" w:rsidP="00AC3E10">
      <w:pPr>
        <w:pStyle w:val="NormalWeb"/>
        <w:ind w:left="720"/>
      </w:pPr>
      <w:r>
        <w:t>“Here, with the affidavits by plaintiff, Alston and Lopez, which state that at the time of the alleged tortious practices on which the complaint is premised there were approximately 200 people employed by defendant, the record demonstrates that the size of the putative class is sufficient as a matter of law.</w:t>
      </w:r>
    </w:p>
    <w:p w14:paraId="3922BD63" w14:textId="77777777" w:rsidR="00AC3E10" w:rsidRDefault="00AC3E10" w:rsidP="00AC3E10">
      <w:pPr>
        <w:pStyle w:val="NormalWeb"/>
        <w:ind w:firstLine="720"/>
      </w:pPr>
      <w:r>
        <w:t>***</w:t>
      </w:r>
    </w:p>
    <w:p w14:paraId="4045BA54" w14:textId="04C861E0" w:rsidR="00AC3E10" w:rsidRPr="00AC3E10" w:rsidRDefault="00AC3E10" w:rsidP="00AC3E10">
      <w:pPr>
        <w:ind w:left="720"/>
        <w:rPr>
          <w:rFonts w:ascii="Times New Roman" w:hAnsi="Times New Roman"/>
          <w:b/>
          <w:sz w:val="24"/>
          <w:szCs w:val="24"/>
        </w:rPr>
      </w:pPr>
      <w:r w:rsidRPr="00AC3E10">
        <w:rPr>
          <w:rFonts w:ascii="Times New Roman" w:hAnsi="Times New Roman"/>
          <w:sz w:val="24"/>
          <w:szCs w:val="24"/>
        </w:rPr>
        <w:t xml:space="preserve">Here, the evidence demonstrates that there are three categories into which plaintiff's claims fit: whether defendant violated the law by failing to pay him appropriate wages; whether defendant violated the NYCRR by failing to reimburse plaintiff for uniform and equipment expenditures; and whether defendant violated the Labor Law by failing to provide him wage notices.” </w:t>
      </w:r>
      <w:hyperlink r:id="rId1828" w:history="1">
        <w:r w:rsidRPr="00AC3E10">
          <w:rPr>
            <w:rStyle w:val="Hyperlink"/>
            <w:rFonts w:ascii="Times New Roman" w:eastAsiaTheme="majorEastAsia" w:hAnsi="Times New Roman"/>
            <w:sz w:val="24"/>
            <w:szCs w:val="24"/>
          </w:rPr>
          <w:t>https://public.fastcase.com/ZZhmr5v9wN%2FXOe5IsQ%2FqD6h7oDGGEaQcvjGxXhP3wdarcxH65lzIz0WHpJ1071%2Fz6z3xzTYinPsWmKTOA4ARnDbKp9ycJPmOcwYRqStxafA%3D?utm_medium=email&amp;_hsmi=226712652&amp;_hsenc=p2ANqtz-</w:t>
        </w:r>
        <w:r w:rsidRPr="00AC3E10">
          <w:rPr>
            <w:rStyle w:val="Hyperlink"/>
            <w:rFonts w:ascii="Times New Roman" w:eastAsiaTheme="majorEastAsia" w:hAnsi="Times New Roman"/>
            <w:sz w:val="24"/>
            <w:szCs w:val="24"/>
          </w:rPr>
          <w:lastRenderedPageBreak/>
          <w:t>8kFbodM_yCEg50hGETq70Ew_rKe4r85tHeNoAUvaEorCUJWcIF_sSd3vzx7ykWUIs8vIjN-q4A8Aji78d1bSF2B0Xuvw&amp;utm_content=226712652&amp;utm_source=hs_email</w:t>
        </w:r>
      </w:hyperlink>
    </w:p>
    <w:p w14:paraId="63A00A85" w14:textId="77777777" w:rsidR="00AC3E10" w:rsidRPr="00747F58" w:rsidRDefault="00AC3E10" w:rsidP="00AC3E10">
      <w:pPr>
        <w:pStyle w:val="NormalWeb"/>
        <w:rPr>
          <w:b/>
          <w:bCs/>
        </w:rPr>
      </w:pPr>
      <w:r w:rsidRPr="00747F58">
        <w:rPr>
          <w:b/>
          <w:bCs/>
        </w:rPr>
        <w:t>Legal Lesson Learned:</w:t>
      </w:r>
      <w:r>
        <w:rPr>
          <w:b/>
          <w:bCs/>
        </w:rPr>
        <w:t xml:space="preserve"> This lawsuit will now proceed to pre-trial discovery. </w:t>
      </w:r>
    </w:p>
    <w:p w14:paraId="11E1666F" w14:textId="77777777" w:rsidR="00AC3E10" w:rsidRDefault="00AC3E10" w:rsidP="00F326E5">
      <w:pPr>
        <w:rPr>
          <w:rFonts w:ascii="Arial Black" w:hAnsi="Arial Black"/>
          <w:b/>
          <w:sz w:val="24"/>
          <w:szCs w:val="24"/>
        </w:rPr>
      </w:pPr>
    </w:p>
    <w:p w14:paraId="2782B6D3" w14:textId="0EE737E3" w:rsidR="009B0593" w:rsidRDefault="009B0593" w:rsidP="00F326E5">
      <w:pPr>
        <w:rPr>
          <w:rFonts w:ascii="Arial Black" w:hAnsi="Arial Black"/>
          <w:b/>
          <w:sz w:val="24"/>
          <w:szCs w:val="24"/>
        </w:rPr>
      </w:pPr>
      <w:r>
        <w:rPr>
          <w:rFonts w:ascii="Arial Black" w:hAnsi="Arial Black"/>
          <w:b/>
          <w:sz w:val="24"/>
          <w:szCs w:val="24"/>
        </w:rPr>
        <w:t>11-4</w:t>
      </w:r>
      <w:r w:rsidR="009601CD">
        <w:rPr>
          <w:rFonts w:ascii="Arial Black" w:hAnsi="Arial Black"/>
          <w:b/>
          <w:sz w:val="24"/>
          <w:szCs w:val="24"/>
        </w:rPr>
        <w:t>7</w:t>
      </w:r>
    </w:p>
    <w:p w14:paraId="46AB3787" w14:textId="77777777" w:rsidR="009B0593" w:rsidRDefault="009B0593" w:rsidP="009B0593">
      <w:pPr>
        <w:pStyle w:val="NormalWeb"/>
        <w:rPr>
          <w:rFonts w:ascii="Arial Black" w:hAnsi="Arial Black"/>
          <w:b/>
          <w:bCs/>
          <w:sz w:val="28"/>
          <w:szCs w:val="28"/>
        </w:rPr>
      </w:pPr>
      <w:r>
        <w:rPr>
          <w:rFonts w:ascii="Arial Black" w:hAnsi="Arial Black"/>
          <w:b/>
          <w:bCs/>
          <w:sz w:val="28"/>
          <w:szCs w:val="28"/>
        </w:rPr>
        <w:t>NY: FDNY EMS - 15 MIN PREP TIME – “CITYTIME” DIDN’T RECORD – JURY WILLFUL VIOL. – $17M - 2</w:t>
      </w:r>
      <w:r w:rsidRPr="007B3216">
        <w:rPr>
          <w:rFonts w:ascii="Arial Black" w:hAnsi="Arial Black"/>
          <w:b/>
          <w:bCs/>
          <w:sz w:val="28"/>
          <w:szCs w:val="28"/>
          <w:vertAlign w:val="superscript"/>
        </w:rPr>
        <w:t>nd</w:t>
      </w:r>
      <w:r>
        <w:rPr>
          <w:rFonts w:ascii="Arial Black" w:hAnsi="Arial Black"/>
          <w:b/>
          <w:bCs/>
          <w:sz w:val="28"/>
          <w:szCs w:val="28"/>
        </w:rPr>
        <w:t xml:space="preserve"> CIR UPHOLDS</w:t>
      </w:r>
    </w:p>
    <w:p w14:paraId="317E0D8F" w14:textId="77777777" w:rsidR="009B0593" w:rsidRDefault="009B0593" w:rsidP="009B0593">
      <w:pPr>
        <w:pStyle w:val="NormalWeb"/>
      </w:pPr>
      <w:r>
        <w:t xml:space="preserve">On Aug. 25, 2023, in </w:t>
      </w:r>
      <w:r w:rsidRPr="00FE512F">
        <w:rPr>
          <w:u w:val="single"/>
        </w:rPr>
        <w:t>Chaz Perry, et al. v. City of New York, New York Fire Department</w:t>
      </w:r>
      <w:r>
        <w:t xml:space="preserve">, the U.S. Court of Appeals for Second Circuit (NYC) held (3 to 0) that jury, after a 12-day trial (six and half years after lawsuit was filed), properly found a willful violation of the FLSA in a class action by 2,519 EMS.   The </w:t>
      </w:r>
      <w:proofErr w:type="gramStart"/>
      <w:r>
        <w:t>City</w:t>
      </w:r>
      <w:proofErr w:type="gramEnd"/>
      <w:r>
        <w:t xml:space="preserve"> required EMS to work 8-hour shifts, and earn overtime after 40 hours, but City did not pay them for pre-shift or post-shift time unless EMS specifically requested this (not done 99% of time).  During the trial, two senior FDNY supervisors testified that plaintiffs were not permitted to request overtime for such pre-shift work as checking PPE and equipment. The plaintiffs calculated unpaid overtime damages as 15 minutes per shift. Court rejected the City’s argument on appeal that time pre-shift and post-shift work was “de minimis” and thus not worthy of compensation. The $17,780.063 verdict is allocated as follows – backpay $7,238,513; same amount in liquidated damages for willful violation of FLSA; $3,303,037 in attorneys’ fee.  </w:t>
      </w:r>
    </w:p>
    <w:p w14:paraId="4BDB06C8" w14:textId="77777777" w:rsidR="009B0593" w:rsidRDefault="009B0593" w:rsidP="009B0593">
      <w:pPr>
        <w:pStyle w:val="NormalWeb"/>
      </w:pPr>
      <w:r>
        <w:tab/>
        <w:t xml:space="preserve">The Court held: </w:t>
      </w:r>
      <w:r>
        <w:tab/>
      </w:r>
    </w:p>
    <w:p w14:paraId="2CA00CB6" w14:textId="77777777" w:rsidR="009B0593" w:rsidRDefault="009B0593" w:rsidP="009B0593">
      <w:pPr>
        <w:pStyle w:val="NormalWeb"/>
        <w:ind w:left="720"/>
      </w:pPr>
      <w:r>
        <w:t>“The City’s principal argument on appeal is that it cannot be held liable for the unpaid overtime because it affords an opportunity to report overtime work and, since the plaintiffs failed to report the work at issue, the City did not know that any plaintiff was being short-changed. But an employer must pay for all work it knows about or requires, even if the employee does not specifically request compensation for it. Whether an employee reports overtime work will often be relevant to an employer’s knowledge of the work—but allowing, or even requiring, an employee to report overtime work does not absolve employers of the obligation to compensate for work they suffer or permit.</w:t>
      </w:r>
    </w:p>
    <w:p w14:paraId="131464BB" w14:textId="77777777" w:rsidR="009B0593" w:rsidRDefault="009B0593" w:rsidP="009B0593">
      <w:pPr>
        <w:pStyle w:val="NormalWeb"/>
        <w:ind w:left="720"/>
      </w:pPr>
      <w:r>
        <w:t xml:space="preserve">*** </w:t>
      </w:r>
    </w:p>
    <w:p w14:paraId="10691FC5" w14:textId="77777777" w:rsidR="009B0593" w:rsidRDefault="009B0593" w:rsidP="009B0593">
      <w:pPr>
        <w:pStyle w:val="NormalWeb"/>
        <w:ind w:left="720"/>
      </w:pPr>
      <w:r>
        <w:t xml:space="preserve">[W]e </w:t>
      </w:r>
      <w:proofErr w:type="gramStart"/>
      <w:r>
        <w:t>have</w:t>
      </w:r>
      <w:proofErr w:type="gramEnd"/>
      <w:r>
        <w:t xml:space="preserve"> long recognized that an employee’s failure to report work the employer in fact knew about or required does not protect the employer from FLSA liability… In any wage-and-hour regulatory scheme, somebody must bear ultimate responsibility for recording time worked and for ensuring that payment is made.</w:t>
      </w:r>
    </w:p>
    <w:p w14:paraId="2BF48722" w14:textId="77777777" w:rsidR="009B0593" w:rsidRDefault="009B0593" w:rsidP="009B0593">
      <w:pPr>
        <w:pStyle w:val="NormalWeb"/>
        <w:ind w:left="720"/>
      </w:pPr>
      <w:r>
        <w:t>***</w:t>
      </w:r>
    </w:p>
    <w:p w14:paraId="13E80241" w14:textId="5EF0F087" w:rsidR="009B0593" w:rsidRPr="009B0593" w:rsidRDefault="009B0593" w:rsidP="009B0593">
      <w:pPr>
        <w:ind w:left="720"/>
        <w:rPr>
          <w:rFonts w:ascii="Times New Roman" w:hAnsi="Times New Roman"/>
          <w:b/>
          <w:sz w:val="24"/>
          <w:szCs w:val="24"/>
        </w:rPr>
      </w:pPr>
      <w:r w:rsidRPr="009B0593">
        <w:rPr>
          <w:rFonts w:ascii="Times New Roman" w:hAnsi="Times New Roman"/>
          <w:sz w:val="24"/>
          <w:szCs w:val="24"/>
        </w:rPr>
        <w:t xml:space="preserve">In sum, there is trial evidence that the </w:t>
      </w:r>
      <w:proofErr w:type="gramStart"/>
      <w:r w:rsidRPr="009B0593">
        <w:rPr>
          <w:rFonts w:ascii="Times New Roman" w:hAnsi="Times New Roman"/>
          <w:sz w:val="24"/>
          <w:szCs w:val="24"/>
        </w:rPr>
        <w:t>City</w:t>
      </w:r>
      <w:proofErr w:type="gramEnd"/>
      <w:r w:rsidRPr="009B0593">
        <w:rPr>
          <w:rFonts w:ascii="Times New Roman" w:hAnsi="Times New Roman"/>
          <w:sz w:val="24"/>
          <w:szCs w:val="24"/>
        </w:rPr>
        <w:t xml:space="preserve"> created a job that requires significant preparation to be done properly; it then also required that plaintiffs be ready to go as soon as possible after the start of their shift. The City issued formal regulations and enforced informal expectations </w:t>
      </w:r>
      <w:proofErr w:type="gramStart"/>
      <w:r w:rsidRPr="009B0593">
        <w:rPr>
          <w:rFonts w:ascii="Times New Roman" w:hAnsi="Times New Roman"/>
          <w:sz w:val="24"/>
          <w:szCs w:val="24"/>
        </w:rPr>
        <w:t>to</w:t>
      </w:r>
      <w:proofErr w:type="gramEnd"/>
      <w:r w:rsidRPr="009B0593">
        <w:rPr>
          <w:rFonts w:ascii="Times New Roman" w:hAnsi="Times New Roman"/>
          <w:sz w:val="24"/>
          <w:szCs w:val="24"/>
        </w:rPr>
        <w:t xml:space="preserve"> that effect. Testimony showed that it was essentially impossible to comply with the City’s demands without starting work before the paid shift. Considering the evidence in the light most favorable to the plaintiffs, the jury had a legally sufficient evidentiary basis for concluding that the City maintained a policy or practice of ‘requiring’ plaintiffs to perform compensable, pre-shift work for which they were not automatically </w:t>
      </w:r>
      <w:r w:rsidRPr="009B0593">
        <w:rPr>
          <w:rFonts w:ascii="Times New Roman" w:hAnsi="Times New Roman"/>
          <w:sz w:val="24"/>
          <w:szCs w:val="24"/>
        </w:rPr>
        <w:lastRenderedPageBreak/>
        <w:t xml:space="preserve">paid.” </w:t>
      </w:r>
      <w:hyperlink r:id="rId1829" w:anchor="xml=https://www.ca2.uscourts.gov/decisions/isysquery/8e9e3763-33d2-40e3-8df3-c0e92234493d/2/hilite/" w:history="1">
        <w:r w:rsidRPr="009B0593">
          <w:rPr>
            <w:rStyle w:val="Hyperlink"/>
            <w:rFonts w:ascii="Times New Roman" w:eastAsiaTheme="majorEastAsia" w:hAnsi="Times New Roman"/>
            <w:sz w:val="24"/>
            <w:szCs w:val="24"/>
          </w:rPr>
          <w:t>https://www.ca2.uscourts.gov/decisions/isysquery/8e9e3763-33d2-40e3-8df3-c0e92234493d/2/doc/21-2095_opn.pdf#xml=https://www.ca2.uscourts.gov/decisions/isysquery/8e9e3763-33d2-40e3-8df3-c0e92234493d/2/hilite/</w:t>
        </w:r>
      </w:hyperlink>
    </w:p>
    <w:p w14:paraId="145B77C2" w14:textId="77777777" w:rsidR="009B0593" w:rsidRPr="006126EA" w:rsidRDefault="009B0593" w:rsidP="009B0593">
      <w:pPr>
        <w:pStyle w:val="NormalWeb"/>
        <w:rPr>
          <w:b/>
          <w:bCs/>
        </w:rPr>
      </w:pPr>
      <w:r w:rsidRPr="006126EA">
        <w:rPr>
          <w:b/>
          <w:bCs/>
        </w:rPr>
        <w:t>Legal Lesson Learned:</w:t>
      </w:r>
      <w:r>
        <w:rPr>
          <w:b/>
          <w:bCs/>
        </w:rPr>
        <w:t xml:space="preserve"> FDs should provide in their FLSA policy or CBA what pre-shift and post-shift activities will be compensated and have a time keeping system that implements that policy.  </w:t>
      </w:r>
    </w:p>
    <w:p w14:paraId="642A508A" w14:textId="77777777" w:rsidR="009B0593" w:rsidRDefault="009B0593" w:rsidP="00F326E5">
      <w:pPr>
        <w:rPr>
          <w:rFonts w:ascii="Arial Black" w:hAnsi="Arial Black"/>
          <w:b/>
          <w:sz w:val="24"/>
          <w:szCs w:val="24"/>
        </w:rPr>
      </w:pPr>
    </w:p>
    <w:p w14:paraId="0B79086B" w14:textId="3A1E7619" w:rsidR="00237599" w:rsidRDefault="00237599" w:rsidP="00F326E5">
      <w:pPr>
        <w:rPr>
          <w:rFonts w:ascii="Arial Black" w:hAnsi="Arial Black"/>
          <w:b/>
          <w:sz w:val="24"/>
          <w:szCs w:val="24"/>
        </w:rPr>
      </w:pPr>
      <w:r>
        <w:rPr>
          <w:rFonts w:ascii="Arial Black" w:hAnsi="Arial Black"/>
          <w:b/>
          <w:sz w:val="24"/>
          <w:szCs w:val="24"/>
        </w:rPr>
        <w:t>11-4</w:t>
      </w:r>
      <w:r w:rsidR="009601CD">
        <w:rPr>
          <w:rFonts w:ascii="Arial Black" w:hAnsi="Arial Black"/>
          <w:b/>
          <w:sz w:val="24"/>
          <w:szCs w:val="24"/>
        </w:rPr>
        <w:t>6</w:t>
      </w:r>
    </w:p>
    <w:p w14:paraId="3355BC80" w14:textId="77777777" w:rsidR="00237599" w:rsidRPr="00E9542D" w:rsidRDefault="00237599" w:rsidP="00237599">
      <w:pPr>
        <w:spacing w:before="100" w:beforeAutospacing="1" w:after="100" w:afterAutospacing="1" w:line="240" w:lineRule="auto"/>
        <w:outlineLvl w:val="0"/>
        <w:rPr>
          <w:rFonts w:ascii="Arial Black" w:hAnsi="Arial Black"/>
          <w:sz w:val="28"/>
          <w:szCs w:val="28"/>
        </w:rPr>
      </w:pPr>
      <w:bookmarkStart w:id="382" w:name="_Hlk136860229"/>
      <w:r>
        <w:rPr>
          <w:rFonts w:ascii="Arial Black" w:hAnsi="Arial Black"/>
          <w:sz w:val="28"/>
          <w:szCs w:val="28"/>
        </w:rPr>
        <w:t xml:space="preserve">OR: FLSA – COMPANY CONTRACTS TO PROVIDE FOREST FIRE PERSONNEL - NOT “INDEPENDENT CONTRACTORS” </w:t>
      </w:r>
    </w:p>
    <w:bookmarkEnd w:id="382"/>
    <w:p w14:paraId="7B2D4A38" w14:textId="77777777" w:rsidR="00237599" w:rsidRDefault="00237599" w:rsidP="00237599">
      <w:pPr>
        <w:spacing w:before="100" w:beforeAutospacing="1" w:after="100" w:afterAutospacing="1" w:line="240" w:lineRule="auto"/>
        <w:outlineLvl w:val="0"/>
        <w:rPr>
          <w:rFonts w:ascii="Times New Roman" w:hAnsi="Times New Roman"/>
          <w:sz w:val="24"/>
          <w:szCs w:val="24"/>
        </w:rPr>
      </w:pPr>
      <w:r>
        <w:rPr>
          <w:rFonts w:ascii="Times New Roman" w:hAnsi="Times New Roman"/>
          <w:sz w:val="24"/>
          <w:szCs w:val="24"/>
        </w:rPr>
        <w:t xml:space="preserve">On May 24, 2023, the U.S. Department of Labor, Wage and Hour Division, determined that the private company, under contract with U.S. Forest Service to fight forest fires in Oregon, Arizona, California and Washington, should have paid the firefighters and truck drivers for overtime after 40 hours.  Instead, they were paid between $200 and $250 per day regardless of overtime hours worked.  The company has now settled for $180,00, including $152,003 in overtime wages and fringe benefits, plus $12,577 in liquidated damages, and $16,981 in civil penalties; individual firefighters received from $101 to $14,783 per worker. </w:t>
      </w:r>
    </w:p>
    <w:p w14:paraId="138550BD" w14:textId="77777777" w:rsidR="00237599" w:rsidRDefault="00237599" w:rsidP="00237599">
      <w:pPr>
        <w:spacing w:before="100" w:beforeAutospacing="1" w:after="100" w:afterAutospacing="1" w:line="240" w:lineRule="auto"/>
        <w:ind w:left="720"/>
        <w:outlineLvl w:val="0"/>
        <w:rPr>
          <w:rStyle w:val="Hyperlink"/>
          <w:rFonts w:ascii="Times New Roman" w:hAnsi="Times New Roman"/>
          <w:sz w:val="24"/>
          <w:szCs w:val="24"/>
        </w:rPr>
      </w:pPr>
      <w:r>
        <w:rPr>
          <w:rFonts w:ascii="Times New Roman" w:hAnsi="Times New Roman"/>
          <w:sz w:val="24"/>
          <w:szCs w:val="24"/>
        </w:rPr>
        <w:t>“</w:t>
      </w:r>
      <w:r w:rsidRPr="00974C20">
        <w:rPr>
          <w:rFonts w:ascii="Times New Roman" w:hAnsi="Times New Roman"/>
          <w:sz w:val="24"/>
          <w:szCs w:val="24"/>
        </w:rPr>
        <w:t xml:space="preserve">Investigators with the department’s </w:t>
      </w:r>
      <w:hyperlink r:id="rId1830" w:history="1">
        <w:r w:rsidRPr="00974C20">
          <w:rPr>
            <w:rStyle w:val="Hyperlink"/>
            <w:rFonts w:ascii="Times New Roman" w:hAnsi="Times New Roman"/>
            <w:sz w:val="24"/>
            <w:szCs w:val="24"/>
          </w:rPr>
          <w:t>Wage and Hour Division</w:t>
        </w:r>
      </w:hyperlink>
      <w:r w:rsidRPr="00974C20">
        <w:rPr>
          <w:rFonts w:ascii="Times New Roman" w:hAnsi="Times New Roman"/>
          <w:sz w:val="24"/>
          <w:szCs w:val="24"/>
        </w:rPr>
        <w:t xml:space="preserve"> determined KL Farms/Fire LLC of Summerville paid a flat daily rate of between $200 and $250 to 57 firefighters and truck drivers, regardless of their total hours worked. From June 2019 through October 2021, the U.S. Forest Service contracted the company to provide fire engines, firefighters, trucks and driver services for fire suppression and firefighting in Arizona, California, Oregon and Washington.</w:t>
      </w:r>
      <w:r>
        <w:rPr>
          <w:rFonts w:ascii="Times New Roman" w:hAnsi="Times New Roman"/>
          <w:sz w:val="24"/>
          <w:szCs w:val="24"/>
        </w:rPr>
        <w:t xml:space="preserve">” </w:t>
      </w:r>
      <w:hyperlink r:id="rId1831" w:history="1">
        <w:r w:rsidRPr="00BD4D8D">
          <w:rPr>
            <w:rStyle w:val="Hyperlink"/>
            <w:rFonts w:ascii="Times New Roman" w:hAnsi="Times New Roman"/>
            <w:sz w:val="24"/>
            <w:szCs w:val="24"/>
          </w:rPr>
          <w:t>https://www.dol.gov/newsroom/releases/whd/whd20230524-0</w:t>
        </w:r>
      </w:hyperlink>
    </w:p>
    <w:p w14:paraId="0F0BA9A8" w14:textId="77777777" w:rsidR="00237599" w:rsidRPr="00974C20" w:rsidRDefault="00237599" w:rsidP="00237599">
      <w:pPr>
        <w:spacing w:before="100" w:beforeAutospacing="1" w:after="100" w:afterAutospacing="1" w:line="240" w:lineRule="auto"/>
        <w:outlineLvl w:val="0"/>
        <w:rPr>
          <w:rFonts w:ascii="Times New Roman" w:eastAsia="Times New Roman" w:hAnsi="Times New Roman"/>
          <w:b/>
          <w:bCs/>
          <w:kern w:val="36"/>
          <w:sz w:val="24"/>
          <w:szCs w:val="24"/>
        </w:rPr>
      </w:pPr>
      <w:r w:rsidRPr="00974C20">
        <w:rPr>
          <w:rFonts w:ascii="Times New Roman" w:hAnsi="Times New Roman"/>
          <w:b/>
          <w:bCs/>
          <w:sz w:val="24"/>
          <w:szCs w:val="24"/>
        </w:rPr>
        <w:t xml:space="preserve">Legal Lesson Learned: </w:t>
      </w:r>
      <w:r>
        <w:rPr>
          <w:rFonts w:ascii="Times New Roman" w:hAnsi="Times New Roman"/>
          <w:b/>
          <w:bCs/>
          <w:sz w:val="24"/>
          <w:szCs w:val="24"/>
        </w:rPr>
        <w:t xml:space="preserve">Miscalculation of workers as independent contractors is a common issue. Read the Wage and Hour advisory: </w:t>
      </w:r>
      <w:hyperlink r:id="rId1832" w:history="1">
        <w:r w:rsidRPr="00BD4D8D">
          <w:rPr>
            <w:rStyle w:val="Hyperlink"/>
            <w:rFonts w:ascii="Times New Roman" w:hAnsi="Times New Roman"/>
            <w:b/>
            <w:bCs/>
            <w:sz w:val="24"/>
            <w:szCs w:val="24"/>
          </w:rPr>
          <w:t>https://www.dol.gov/agencies/whd/flsa/misclassification</w:t>
        </w:r>
      </w:hyperlink>
      <w:r>
        <w:rPr>
          <w:rFonts w:ascii="Times New Roman" w:hAnsi="Times New Roman"/>
          <w:b/>
          <w:bCs/>
          <w:sz w:val="24"/>
          <w:szCs w:val="24"/>
        </w:rPr>
        <w:t xml:space="preserve"> . </w:t>
      </w:r>
    </w:p>
    <w:p w14:paraId="4D784FFF" w14:textId="77777777" w:rsidR="00237599" w:rsidRPr="009D31B3" w:rsidRDefault="00237599" w:rsidP="00237599">
      <w:pPr>
        <w:pStyle w:val="Heading1"/>
        <w:ind w:left="720"/>
        <w:rPr>
          <w:b w:val="0"/>
          <w:bCs w:val="0"/>
          <w:sz w:val="24"/>
          <w:szCs w:val="24"/>
        </w:rPr>
      </w:pPr>
      <w:r w:rsidRPr="00974C20">
        <w:rPr>
          <w:b w:val="0"/>
          <w:bCs w:val="0"/>
          <w:sz w:val="24"/>
          <w:szCs w:val="24"/>
        </w:rPr>
        <w:t xml:space="preserve">Note: See May 28, </w:t>
      </w:r>
      <w:proofErr w:type="gramStart"/>
      <w:r w:rsidRPr="00974C20">
        <w:rPr>
          <w:b w:val="0"/>
          <w:bCs w:val="0"/>
          <w:sz w:val="24"/>
          <w:szCs w:val="24"/>
        </w:rPr>
        <w:t>2023</w:t>
      </w:r>
      <w:proofErr w:type="gramEnd"/>
      <w:r w:rsidRPr="00974C20">
        <w:rPr>
          <w:b w:val="0"/>
          <w:bCs w:val="0"/>
          <w:sz w:val="24"/>
          <w:szCs w:val="24"/>
        </w:rPr>
        <w:t xml:space="preserve"> article, “Private Oregon firefighting company fined $180K after US Dept. of Labor investigation.” </w:t>
      </w:r>
      <w:hyperlink r:id="rId1833" w:history="1">
        <w:r w:rsidRPr="00974C20">
          <w:rPr>
            <w:rStyle w:val="Hyperlink"/>
            <w:rFonts w:eastAsiaTheme="majorEastAsia"/>
            <w:b w:val="0"/>
            <w:bCs w:val="0"/>
            <w:sz w:val="24"/>
            <w:szCs w:val="24"/>
          </w:rPr>
          <w:t>https://www.opb.org/article/2023/05/28/private-oregon-firefighting-company-fined-180000-dollars-after-us-labor-investigation/</w:t>
        </w:r>
      </w:hyperlink>
      <w:r w:rsidRPr="00974C20">
        <w:rPr>
          <w:b w:val="0"/>
          <w:bCs w:val="0"/>
          <w:sz w:val="24"/>
          <w:szCs w:val="24"/>
        </w:rPr>
        <w:t xml:space="preserve"> </w:t>
      </w:r>
      <w:r w:rsidRPr="009D31B3">
        <w:rPr>
          <w:b w:val="0"/>
          <w:bCs w:val="0"/>
          <w:sz w:val="24"/>
          <w:szCs w:val="24"/>
        </w:rPr>
        <w:t xml:space="preserve">“Investigators use a multi-prong test to determine whether contractors </w:t>
      </w:r>
      <w:proofErr w:type="gramStart"/>
      <w:r w:rsidRPr="009D31B3">
        <w:rPr>
          <w:b w:val="0"/>
          <w:bCs w:val="0"/>
          <w:sz w:val="24"/>
          <w:szCs w:val="24"/>
        </w:rPr>
        <w:t>actually qualify</w:t>
      </w:r>
      <w:proofErr w:type="gramEnd"/>
      <w:r w:rsidRPr="009D31B3">
        <w:rPr>
          <w:b w:val="0"/>
          <w:bCs w:val="0"/>
          <w:sz w:val="24"/>
          <w:szCs w:val="24"/>
        </w:rPr>
        <w:t xml:space="preserve"> as employees, said Carrie Aguilar, director of the Department of Labor’s Wage and Hour Division in Portland…. But Aguilar did say that wage issues are part of a growing trend in the private firefighting business. It’s </w:t>
      </w:r>
      <w:proofErr w:type="gramStart"/>
      <w:r w:rsidRPr="009D31B3">
        <w:rPr>
          <w:b w:val="0"/>
          <w:bCs w:val="0"/>
          <w:sz w:val="24"/>
          <w:szCs w:val="24"/>
        </w:rPr>
        <w:t>similar to</w:t>
      </w:r>
      <w:proofErr w:type="gramEnd"/>
      <w:r w:rsidRPr="009D31B3">
        <w:rPr>
          <w:b w:val="0"/>
          <w:bCs w:val="0"/>
          <w:sz w:val="24"/>
          <w:szCs w:val="24"/>
        </w:rPr>
        <w:t xml:space="preserve"> forestry, she said, which struggles with these issues.”</w:t>
      </w:r>
    </w:p>
    <w:p w14:paraId="47706D5D" w14:textId="7256BB2F" w:rsidR="00237599" w:rsidRDefault="00237599" w:rsidP="00237599">
      <w:pPr>
        <w:rPr>
          <w:rFonts w:ascii="Arial Black" w:hAnsi="Arial Black"/>
          <w:b/>
          <w:sz w:val="24"/>
          <w:szCs w:val="24"/>
        </w:rPr>
      </w:pPr>
      <w:r>
        <w:rPr>
          <w:rFonts w:ascii="Arial Black" w:hAnsi="Arial Black"/>
          <w:b/>
          <w:sz w:val="24"/>
          <w:szCs w:val="24"/>
        </w:rPr>
        <w:t>11-4</w:t>
      </w:r>
      <w:r w:rsidR="009601CD">
        <w:rPr>
          <w:rFonts w:ascii="Arial Black" w:hAnsi="Arial Black"/>
          <w:b/>
          <w:sz w:val="24"/>
          <w:szCs w:val="24"/>
        </w:rPr>
        <w:t>5</w:t>
      </w:r>
    </w:p>
    <w:p w14:paraId="32D2C887" w14:textId="77777777" w:rsidR="00237599" w:rsidRDefault="00237599" w:rsidP="00237599">
      <w:pPr>
        <w:pStyle w:val="NormalWeb"/>
        <w:rPr>
          <w:rFonts w:ascii="Arial Black" w:hAnsi="Arial Black"/>
          <w:b/>
          <w:bCs/>
          <w:sz w:val="28"/>
          <w:szCs w:val="28"/>
        </w:rPr>
      </w:pPr>
      <w:bookmarkStart w:id="383" w:name="_Hlk136860302"/>
      <w:r>
        <w:rPr>
          <w:rFonts w:ascii="Arial Black" w:hAnsi="Arial Black"/>
          <w:b/>
          <w:bCs/>
          <w:sz w:val="28"/>
          <w:szCs w:val="28"/>
        </w:rPr>
        <w:t>HA: FLSA – HONOLULU FF CLASS ACTION PROCEED – 300 FF – ALLEGED ERRORS MULTIPLE SYSTEMS TRACK TIME</w:t>
      </w:r>
    </w:p>
    <w:bookmarkEnd w:id="383"/>
    <w:p w14:paraId="5B63BBE8" w14:textId="77777777" w:rsidR="00237599" w:rsidRDefault="00237599" w:rsidP="00237599">
      <w:pPr>
        <w:pStyle w:val="NormalWeb"/>
      </w:pPr>
      <w:r>
        <w:t xml:space="preserve">On April 28, 2023, in </w:t>
      </w:r>
      <w:r w:rsidRPr="0050374A">
        <w:rPr>
          <w:u w:val="single"/>
        </w:rPr>
        <w:t>Robert M. Hayslip, on behalf of other similarly situated individuals v. City and County of Honolulu</w:t>
      </w:r>
      <w:r>
        <w:t xml:space="preserve">, Chief U.S. District Court Judge Derrick K. Watson, U.S. District Court for District of Hawaii, granted the plaintiff’s motion for conditional certification of collective action.  The case will now proceed to </w:t>
      </w:r>
      <w:r>
        <w:lastRenderedPageBreak/>
        <w:t xml:space="preserve">pre-trial discovery on firefighter income that is allegedly not included in setting their overtime hourly rate of pay.  Hayslip alleges that the failure to pay overtime under the FLSA was due to ‘human and mechanical error through the use of multiple systems to track time.”  </w:t>
      </w:r>
      <w:hyperlink r:id="rId1834" w:history="1">
        <w:r w:rsidRPr="00010962">
          <w:rPr>
            <w:rStyle w:val="Hyperlink"/>
            <w:rFonts w:eastAsiaTheme="majorEastAsia"/>
          </w:rPr>
          <w:t>https://public.fastcase.com/ZZhmr5v9wN%2FXOe5IsQ%2FqDwe%2Bl2bMb8hsQzBhmq%2BKFWjfsnc%2Brn1NgeRpqQFDQ7VnnNgPvPdQabSyR0vz9Y1rYYCnr8USzlwvvvJ%2BE3sgG14%3D?utm_medium=email&amp;_hsmi=226712652&amp;_hsenc=p2ANqtz-9yLx0aoJRhvv2Vy8uTc7HU3fN6k1djWwCn0_TOB1MuUA7MVtIjTAZu2eDX0z4FTqDgKj_XXmkUdS-aKvCM9lVim5p6Eg&amp;utm_content=226712652&amp;utm_source=hs_email</w:t>
        </w:r>
      </w:hyperlink>
      <w:r>
        <w:t xml:space="preserve"> </w:t>
      </w:r>
    </w:p>
    <w:p w14:paraId="76A153BD" w14:textId="77777777" w:rsidR="00237599" w:rsidRDefault="00237599" w:rsidP="00237599">
      <w:pPr>
        <w:pStyle w:val="NormalWeb"/>
        <w:ind w:left="720"/>
      </w:pPr>
      <w:r>
        <w:t xml:space="preserve">“Plaintiff Robert Hayslip moves for conditional certification of a collective action comprised of emergency medical technicians and paramedics employed by Defendant City &amp; County of Honolulu (Honolulu), alleging that Honolulu has failed to properly calculate this group's ‘regular rate’ of pay or pay overtime as required by the Fair Labor Standards Act (FLSA). At the instant ‘preliminary’ stage of the litigation, as both parties acknowledge, the standard for certifying such a collective action under the FLSA is less than demanding. And, here, Hayslip has met this less than demanding standard. Specifically, Hayslip has alleged that the above-mentioned group is sufficiently ‘similarly situated’ with respect to the FLSA claims at issue. Therefore, the motion for conditional certification, </w:t>
      </w:r>
      <w:proofErr w:type="spellStart"/>
      <w:r>
        <w:t>Dkt</w:t>
      </w:r>
      <w:proofErr w:type="spellEnd"/>
      <w:r>
        <w:t xml:space="preserve">. </w:t>
      </w:r>
      <w:proofErr w:type="gramStart"/>
      <w:r>
        <w:t>No. 26,</w:t>
      </w:r>
      <w:proofErr w:type="gramEnd"/>
      <w:r>
        <w:t xml:space="preserve"> is GRANTED to that extent. Hayslip also moves for approval of a notice to be sent to potential members of the now conditionally certified collective action. Honolulu, however, has submitted an opposing proposed notice. As more fully explained below, the Court orders the parties to meet-and-confer on the same with the goal of submitting a </w:t>
      </w:r>
      <w:r>
        <w:rPr>
          <w:rStyle w:val="Emphasis"/>
        </w:rPr>
        <w:t>joint</w:t>
      </w:r>
      <w:r>
        <w:t xml:space="preserve"> proposed notice to the extent </w:t>
      </w:r>
      <w:proofErr w:type="gramStart"/>
      <w:r>
        <w:t>possible.”</w:t>
      </w:r>
      <w:proofErr w:type="gramEnd"/>
      <w:r>
        <w:t xml:space="preserve">  </w:t>
      </w:r>
    </w:p>
    <w:p w14:paraId="43706B8C" w14:textId="77777777" w:rsidR="00237599" w:rsidRPr="00003BCF" w:rsidRDefault="00237599" w:rsidP="00237599">
      <w:pPr>
        <w:pStyle w:val="NormalWeb"/>
        <w:rPr>
          <w:b/>
          <w:bCs/>
        </w:rPr>
      </w:pPr>
      <w:r w:rsidRPr="00003BCF">
        <w:rPr>
          <w:b/>
          <w:bCs/>
        </w:rPr>
        <w:t>Legal Lesson Learned:</w:t>
      </w:r>
      <w:r>
        <w:rPr>
          <w:b/>
          <w:bCs/>
        </w:rPr>
        <w:t xml:space="preserve"> Errors in tracking overtime can lead to FLSA litigation.</w:t>
      </w:r>
    </w:p>
    <w:p w14:paraId="4ADAA8D5" w14:textId="77777777" w:rsidR="00237599" w:rsidRPr="00317783" w:rsidRDefault="00237599" w:rsidP="00237599">
      <w:pPr>
        <w:pStyle w:val="NormalWeb"/>
        <w:ind w:left="720"/>
        <w:rPr>
          <w:rStyle w:val="markedcontent"/>
        </w:rPr>
      </w:pPr>
      <w:r w:rsidRPr="00003BCF">
        <w:t xml:space="preserve">Note: </w:t>
      </w:r>
      <w:r>
        <w:t>The Court referenced a “less than demanding standard” in determining what other employees are “similarly situations” and get the invitation to join in the class action. This “less than demanding” standard has been recently rejected by 6</w:t>
      </w:r>
      <w:r w:rsidRPr="00C33BAA">
        <w:rPr>
          <w:vertAlign w:val="superscript"/>
        </w:rPr>
        <w:t>th</w:t>
      </w:r>
      <w:r>
        <w:t xml:space="preserve"> Circuit Court of Appeals, </w:t>
      </w:r>
      <w:proofErr w:type="gramStart"/>
      <w:r>
        <w:t>and also</w:t>
      </w:r>
      <w:proofErr w:type="gramEnd"/>
      <w:r>
        <w:t xml:space="preserve"> 5</w:t>
      </w:r>
      <w:r w:rsidRPr="00C33BAA">
        <w:rPr>
          <w:vertAlign w:val="superscript"/>
        </w:rPr>
        <w:t>th</w:t>
      </w:r>
      <w:r>
        <w:t xml:space="preserve"> Circuit. </w:t>
      </w:r>
      <w:r w:rsidRPr="00482E40">
        <w:t xml:space="preserve">On May 19, 2023, in </w:t>
      </w:r>
      <w:r w:rsidRPr="00482E40">
        <w:rPr>
          <w:u w:val="single"/>
        </w:rPr>
        <w:t>Brooke Clark, et al. v. H&amp;L Homecare and Training Center, LLC et al</w:t>
      </w:r>
      <w:r>
        <w:t>., the U.S. Court of Appeals for the 6</w:t>
      </w:r>
      <w:r w:rsidRPr="00482E40">
        <w:rPr>
          <w:vertAlign w:val="superscript"/>
        </w:rPr>
        <w:t>th</w:t>
      </w:r>
      <w:r>
        <w:t xml:space="preserve"> Circuit (Cincinnati) held (2 to 1) that U.S. District Court judges in states controlled by the Court </w:t>
      </w:r>
      <w:r w:rsidRPr="00482E40">
        <w:t>(</w:t>
      </w:r>
      <w:r w:rsidRPr="00482E40">
        <w:rPr>
          <w:rStyle w:val="hgkelc"/>
          <w:lang w:val="en"/>
        </w:rPr>
        <w:t>Kentucky, Michigan, Ohio and Tennessee)</w:t>
      </w:r>
      <w:r>
        <w:rPr>
          <w:rStyle w:val="hgkelc"/>
          <w:b/>
          <w:bCs/>
          <w:lang w:val="en"/>
        </w:rPr>
        <w:t xml:space="preserve"> </w:t>
      </w:r>
      <w:r>
        <w:rPr>
          <w:rStyle w:val="hgkelc"/>
          <w:lang w:val="en"/>
        </w:rPr>
        <w:t xml:space="preserve">must apply a tougher “strong likelihood” standard when deciding which employees are “similarly situated” with plaintiffs and invited to join in a FLSA class action against the employers. </w:t>
      </w:r>
      <w:hyperlink r:id="rId1835" w:history="1">
        <w:r w:rsidRPr="009943CA">
          <w:rPr>
            <w:rStyle w:val="Hyperlink"/>
            <w:rFonts w:eastAsiaTheme="majorEastAsia"/>
          </w:rPr>
          <w:t>https://cases.justia.com/federal/appellate-courts/ca6/22-3101/22-3101-2023-05-19.pdf?ts=1684526463</w:t>
        </w:r>
      </w:hyperlink>
    </w:p>
    <w:p w14:paraId="418BDE74" w14:textId="77777777" w:rsidR="00237599" w:rsidRPr="00C86D96" w:rsidRDefault="00237599" w:rsidP="00237599">
      <w:pPr>
        <w:pStyle w:val="Heading1"/>
        <w:ind w:left="720"/>
        <w:rPr>
          <w:rStyle w:val="markedcontent"/>
          <w:b w:val="0"/>
          <w:bCs w:val="0"/>
          <w:sz w:val="24"/>
          <w:szCs w:val="24"/>
        </w:rPr>
      </w:pPr>
      <w:r w:rsidRPr="00C86D96">
        <w:rPr>
          <w:rStyle w:val="hgkelc"/>
          <w:b w:val="0"/>
          <w:bCs w:val="0"/>
          <w:sz w:val="24"/>
          <w:szCs w:val="24"/>
          <w:lang w:val="en"/>
        </w:rPr>
        <w:t>This is the second Circuit Court to require tougher standard; in 2021 the 5</w:t>
      </w:r>
      <w:r w:rsidRPr="00C86D96">
        <w:rPr>
          <w:rStyle w:val="hgkelc"/>
          <w:b w:val="0"/>
          <w:bCs w:val="0"/>
          <w:sz w:val="24"/>
          <w:szCs w:val="24"/>
          <w:vertAlign w:val="superscript"/>
          <w:lang w:val="en"/>
        </w:rPr>
        <w:t>th</w:t>
      </w:r>
      <w:r w:rsidRPr="00C86D96">
        <w:rPr>
          <w:rStyle w:val="hgkelc"/>
          <w:b w:val="0"/>
          <w:bCs w:val="0"/>
          <w:sz w:val="24"/>
          <w:szCs w:val="24"/>
          <w:lang w:val="en"/>
        </w:rPr>
        <w:t xml:space="preserve"> Circuit (Louisiana, Mississippi, and Texas) also adopted tougher standard. </w:t>
      </w:r>
      <w:hyperlink r:id="rId1836" w:history="1">
        <w:r w:rsidRPr="00C86D96">
          <w:rPr>
            <w:rStyle w:val="Hyperlink"/>
            <w:rFonts w:eastAsiaTheme="majorEastAsia"/>
            <w:b w:val="0"/>
            <w:bCs w:val="0"/>
            <w:sz w:val="24"/>
            <w:szCs w:val="24"/>
            <w:lang w:val="en"/>
          </w:rPr>
          <w:t>https://cases.justia.com/federal/appellate-courts/ca5/19-60847/19-60847-2021-01-12.pdf?ts=1610476251</w:t>
        </w:r>
      </w:hyperlink>
    </w:p>
    <w:p w14:paraId="2DE1D146" w14:textId="77777777" w:rsidR="00237599" w:rsidRPr="003C590F" w:rsidRDefault="00237599" w:rsidP="00237599">
      <w:pPr>
        <w:pStyle w:val="Heading1"/>
        <w:ind w:left="720"/>
        <w:rPr>
          <w:b w:val="0"/>
          <w:bCs w:val="0"/>
          <w:sz w:val="24"/>
          <w:szCs w:val="24"/>
        </w:rPr>
      </w:pPr>
      <w:r w:rsidRPr="003C590F">
        <w:rPr>
          <w:rStyle w:val="markedcontent"/>
          <w:b w:val="0"/>
          <w:bCs w:val="0"/>
          <w:sz w:val="24"/>
          <w:szCs w:val="24"/>
        </w:rPr>
        <w:t xml:space="preserve">See this May 22, </w:t>
      </w:r>
      <w:proofErr w:type="gramStart"/>
      <w:r w:rsidRPr="003C590F">
        <w:rPr>
          <w:rStyle w:val="markedcontent"/>
          <w:b w:val="0"/>
          <w:bCs w:val="0"/>
          <w:sz w:val="24"/>
          <w:szCs w:val="24"/>
        </w:rPr>
        <w:t>2023</w:t>
      </w:r>
      <w:proofErr w:type="gramEnd"/>
      <w:r w:rsidRPr="003C590F">
        <w:rPr>
          <w:rStyle w:val="markedcontent"/>
          <w:b w:val="0"/>
          <w:bCs w:val="0"/>
          <w:sz w:val="24"/>
          <w:szCs w:val="24"/>
        </w:rPr>
        <w:t xml:space="preserve"> article, </w:t>
      </w:r>
      <w:r>
        <w:rPr>
          <w:rStyle w:val="markedcontent"/>
          <w:b w:val="0"/>
          <w:bCs w:val="0"/>
          <w:sz w:val="24"/>
          <w:szCs w:val="24"/>
        </w:rPr>
        <w:t>“</w:t>
      </w:r>
      <w:r w:rsidRPr="003C590F">
        <w:rPr>
          <w:b w:val="0"/>
          <w:bCs w:val="0"/>
          <w:sz w:val="24"/>
          <w:szCs w:val="24"/>
        </w:rPr>
        <w:t>Sixth Circuit Establishes Stricter Standard for Granting Notice of FLSA Collective Action</w:t>
      </w:r>
      <w:r>
        <w:rPr>
          <w:b w:val="0"/>
          <w:bCs w:val="0"/>
          <w:sz w:val="24"/>
          <w:szCs w:val="24"/>
        </w:rPr>
        <w:t xml:space="preserve">.” </w:t>
      </w:r>
      <w:hyperlink r:id="rId1837" w:history="1">
        <w:r w:rsidRPr="009943CA">
          <w:rPr>
            <w:rStyle w:val="Hyperlink"/>
            <w:rFonts w:eastAsiaTheme="majorEastAsia"/>
            <w:b w:val="0"/>
            <w:bCs w:val="0"/>
            <w:sz w:val="24"/>
            <w:szCs w:val="24"/>
          </w:rPr>
          <w:t>https://www.littler.com/publication-press/publication/sixth-circuit-establishes-stricter-standard-granting-notice-flsa</w:t>
        </w:r>
      </w:hyperlink>
      <w:r>
        <w:rPr>
          <w:b w:val="0"/>
          <w:bCs w:val="0"/>
          <w:sz w:val="24"/>
          <w:szCs w:val="24"/>
        </w:rPr>
        <w:t xml:space="preserve"> </w:t>
      </w:r>
    </w:p>
    <w:p w14:paraId="4B2628B2" w14:textId="77777777" w:rsidR="00237599" w:rsidRPr="00003BCF" w:rsidRDefault="00237599" w:rsidP="00237599">
      <w:pPr>
        <w:pStyle w:val="NormalWeb"/>
        <w:ind w:left="720"/>
      </w:pPr>
    </w:p>
    <w:p w14:paraId="0C818618" w14:textId="77777777" w:rsidR="00237599" w:rsidRDefault="00237599" w:rsidP="00F326E5">
      <w:pPr>
        <w:rPr>
          <w:rFonts w:ascii="Arial Black" w:hAnsi="Arial Black"/>
          <w:b/>
          <w:sz w:val="24"/>
          <w:szCs w:val="24"/>
        </w:rPr>
      </w:pPr>
    </w:p>
    <w:p w14:paraId="69452F8A" w14:textId="58A15C21" w:rsidR="00227BDE" w:rsidRDefault="00227BDE" w:rsidP="00F326E5">
      <w:pPr>
        <w:rPr>
          <w:rFonts w:ascii="Arial Black" w:hAnsi="Arial Black"/>
          <w:b/>
          <w:sz w:val="24"/>
          <w:szCs w:val="24"/>
        </w:rPr>
      </w:pPr>
      <w:r>
        <w:rPr>
          <w:rFonts w:ascii="Arial Black" w:hAnsi="Arial Black"/>
          <w:b/>
          <w:sz w:val="24"/>
          <w:szCs w:val="24"/>
        </w:rPr>
        <w:t>11-4</w:t>
      </w:r>
      <w:r w:rsidR="009601CD">
        <w:rPr>
          <w:rFonts w:ascii="Arial Black" w:hAnsi="Arial Black"/>
          <w:b/>
          <w:sz w:val="24"/>
          <w:szCs w:val="24"/>
        </w:rPr>
        <w:t>4</w:t>
      </w:r>
    </w:p>
    <w:p w14:paraId="7E8E17F3" w14:textId="77777777" w:rsidR="00227BDE" w:rsidRPr="008426A6" w:rsidRDefault="00227BDE" w:rsidP="00227BDE">
      <w:pPr>
        <w:pStyle w:val="NoSpacing"/>
        <w:rPr>
          <w:rFonts w:ascii="Arial Black" w:hAnsi="Arial Black"/>
          <w:sz w:val="28"/>
          <w:szCs w:val="28"/>
        </w:rPr>
      </w:pPr>
      <w:r w:rsidRPr="008426A6">
        <w:rPr>
          <w:rFonts w:ascii="Arial Black" w:hAnsi="Arial Black"/>
          <w:sz w:val="28"/>
          <w:szCs w:val="28"/>
        </w:rPr>
        <w:t>NC (4/21/2023) – FLSA – COUNTY EMS LAWSUIT WILL BE CLASS ACTION – OVERTIME RATE CALCULATIONS</w:t>
      </w:r>
    </w:p>
    <w:p w14:paraId="2C39B8F8" w14:textId="77777777" w:rsidR="00227BDE" w:rsidRDefault="00227BDE" w:rsidP="00227BDE">
      <w:pPr>
        <w:pStyle w:val="NoSpacing"/>
      </w:pPr>
    </w:p>
    <w:p w14:paraId="3D79C6F4" w14:textId="77777777" w:rsidR="00227BDE" w:rsidRDefault="00227BDE" w:rsidP="00227BDE">
      <w:pPr>
        <w:pStyle w:val="NoSpacing"/>
        <w:rPr>
          <w:rFonts w:ascii="Times New Roman" w:hAnsi="Times New Roman"/>
          <w:sz w:val="24"/>
          <w:szCs w:val="24"/>
        </w:rPr>
      </w:pPr>
      <w:r w:rsidRPr="003C1643">
        <w:rPr>
          <w:rFonts w:ascii="Times New Roman" w:hAnsi="Times New Roman"/>
          <w:sz w:val="24"/>
          <w:szCs w:val="24"/>
          <w:u w:val="single"/>
        </w:rPr>
        <w:t>Sarah B. Conner v. Cleveland County, North Carlina</w:t>
      </w:r>
      <w:r w:rsidRPr="003C1643">
        <w:rPr>
          <w:rFonts w:ascii="Times New Roman" w:hAnsi="Times New Roman"/>
          <w:sz w:val="24"/>
          <w:szCs w:val="24"/>
        </w:rPr>
        <w:t xml:space="preserve">, Chief U.S. District Court Judge Martin Reidinger, U.S. District Court for Western District of North Carolina, Asheville District. </w:t>
      </w:r>
    </w:p>
    <w:p w14:paraId="2D8A011B" w14:textId="77777777" w:rsidR="00227BDE" w:rsidRDefault="00227BDE" w:rsidP="00227BDE">
      <w:pPr>
        <w:pStyle w:val="NoSpacing"/>
        <w:rPr>
          <w:rFonts w:ascii="Times New Roman" w:hAnsi="Times New Roman"/>
          <w:sz w:val="24"/>
          <w:szCs w:val="24"/>
        </w:rPr>
      </w:pPr>
    </w:p>
    <w:p w14:paraId="2DDF5346" w14:textId="77777777" w:rsidR="00227BDE" w:rsidRPr="003C1643" w:rsidRDefault="00227BDE" w:rsidP="00227BDE">
      <w:pPr>
        <w:pStyle w:val="NoSpacing"/>
        <w:rPr>
          <w:rFonts w:ascii="Times New Roman" w:hAnsi="Times New Roman"/>
          <w:sz w:val="24"/>
          <w:szCs w:val="24"/>
        </w:rPr>
      </w:pPr>
      <w:hyperlink r:id="rId1838" w:history="1">
        <w:r w:rsidRPr="003C1643">
          <w:rPr>
            <w:rStyle w:val="Hyperlink"/>
            <w:rFonts w:ascii="Times New Roman" w:hAnsi="Times New Roman"/>
            <w:sz w:val="24"/>
            <w:szCs w:val="24"/>
          </w:rPr>
          <w:t>https://public.fastcase.com/ZZhmr5v9wN%2FXOe5IsQ%2FqD6sjDusMj%2BpqHWJB3g3peOqB7r060z1DCjdHIpcn3tRLdaTmRHBEVoaEU7qCAearkbm3vxifIUs5cRZbbsNdVP8%3D?utm_medium=email&amp;_hsmi=226712652&amp;_hsenc=p2ANqtz-8gP-zHi-IOiqpnpXzunEXLHIYbdJXxowLQqk7bE6jqat0-j7JaN5Av0mj-PIwKwb5z_G2Wf06wKlilS-X5H1ndg63rYw&amp;utm_content=226712652&amp;utm_source=hs_email</w:t>
        </w:r>
      </w:hyperlink>
      <w:r w:rsidRPr="003C1643">
        <w:rPr>
          <w:rFonts w:ascii="Times New Roman" w:hAnsi="Times New Roman"/>
          <w:sz w:val="24"/>
          <w:szCs w:val="24"/>
        </w:rPr>
        <w:t xml:space="preserve"> </w:t>
      </w:r>
    </w:p>
    <w:p w14:paraId="6B8A8024" w14:textId="77777777" w:rsidR="00227BDE" w:rsidRPr="003C1643" w:rsidRDefault="00227BDE" w:rsidP="00227BDE">
      <w:pPr>
        <w:pStyle w:val="NormalWeb"/>
        <w:rPr>
          <w:b/>
          <w:bCs/>
        </w:rPr>
      </w:pPr>
      <w:bookmarkStart w:id="384" w:name="_Hlk133820320"/>
      <w:r w:rsidRPr="003C1643">
        <w:rPr>
          <w:b/>
          <w:bCs/>
        </w:rPr>
        <w:t xml:space="preserve">Legal Lessons Learned: FLSA </w:t>
      </w:r>
      <w:proofErr w:type="gramStart"/>
      <w:r w:rsidRPr="003C1643">
        <w:rPr>
          <w:b/>
          <w:bCs/>
        </w:rPr>
        <w:t>provides for</w:t>
      </w:r>
      <w:proofErr w:type="gramEnd"/>
      <w:r w:rsidRPr="003C1643">
        <w:rPr>
          <w:b/>
          <w:bCs/>
        </w:rPr>
        <w:t xml:space="preserve"> class action lawsuits. </w:t>
      </w:r>
    </w:p>
    <w:bookmarkEnd w:id="384"/>
    <w:p w14:paraId="55C62752" w14:textId="77777777" w:rsidR="00227BDE" w:rsidRPr="003C1643" w:rsidRDefault="00227BDE" w:rsidP="00227BDE">
      <w:pPr>
        <w:pStyle w:val="NoSpacing"/>
        <w:rPr>
          <w:rFonts w:ascii="Times New Roman" w:hAnsi="Times New Roman"/>
          <w:sz w:val="24"/>
          <w:szCs w:val="24"/>
        </w:rPr>
      </w:pPr>
    </w:p>
    <w:p w14:paraId="03D255B6" w14:textId="77777777" w:rsidR="00227BDE" w:rsidRPr="003C1643" w:rsidRDefault="00227BDE" w:rsidP="00227BDE">
      <w:pPr>
        <w:pStyle w:val="NoSpacing"/>
        <w:rPr>
          <w:rFonts w:ascii="Times New Roman" w:hAnsi="Times New Roman"/>
          <w:sz w:val="24"/>
          <w:szCs w:val="24"/>
        </w:rPr>
      </w:pPr>
    </w:p>
    <w:p w14:paraId="544BE49C" w14:textId="77777777" w:rsidR="00227BDE" w:rsidRDefault="00227BDE" w:rsidP="00F326E5">
      <w:pPr>
        <w:rPr>
          <w:rFonts w:ascii="Arial Black" w:hAnsi="Arial Black"/>
          <w:b/>
          <w:sz w:val="24"/>
          <w:szCs w:val="24"/>
        </w:rPr>
      </w:pPr>
    </w:p>
    <w:p w14:paraId="35A5432F" w14:textId="0D68AEAD" w:rsidR="00227BDE" w:rsidRDefault="00227BDE" w:rsidP="00F326E5">
      <w:pPr>
        <w:rPr>
          <w:rFonts w:ascii="Arial Black" w:hAnsi="Arial Black"/>
          <w:b/>
          <w:sz w:val="24"/>
          <w:szCs w:val="24"/>
        </w:rPr>
      </w:pPr>
      <w:r>
        <w:rPr>
          <w:rFonts w:ascii="Arial Black" w:hAnsi="Arial Black"/>
          <w:b/>
          <w:sz w:val="24"/>
          <w:szCs w:val="24"/>
        </w:rPr>
        <w:t>11-</w:t>
      </w:r>
      <w:r w:rsidR="009601CD">
        <w:rPr>
          <w:rFonts w:ascii="Arial Black" w:hAnsi="Arial Black"/>
          <w:b/>
          <w:sz w:val="24"/>
          <w:szCs w:val="24"/>
        </w:rPr>
        <w:t>43</w:t>
      </w:r>
    </w:p>
    <w:p w14:paraId="45460164" w14:textId="77777777" w:rsidR="00227BDE" w:rsidRPr="00FF72ED" w:rsidRDefault="00227BDE" w:rsidP="00227BDE">
      <w:pPr>
        <w:pStyle w:val="NoSpacing"/>
        <w:rPr>
          <w:rFonts w:ascii="Arial Black" w:hAnsi="Arial Black"/>
          <w:sz w:val="28"/>
          <w:szCs w:val="28"/>
        </w:rPr>
      </w:pPr>
      <w:r w:rsidRPr="00FF72ED">
        <w:rPr>
          <w:rFonts w:ascii="Arial Black" w:hAnsi="Arial Black"/>
          <w:sz w:val="28"/>
          <w:szCs w:val="28"/>
        </w:rPr>
        <w:t>CA (4/19/2023) –</w:t>
      </w:r>
      <w:r>
        <w:rPr>
          <w:rFonts w:ascii="Arial Black" w:hAnsi="Arial Black"/>
          <w:sz w:val="28"/>
          <w:szCs w:val="28"/>
        </w:rPr>
        <w:t xml:space="preserve"> MEDIC WITH </w:t>
      </w:r>
      <w:r w:rsidRPr="00FF72ED">
        <w:rPr>
          <w:rFonts w:ascii="Arial Black" w:hAnsi="Arial Black"/>
          <w:sz w:val="28"/>
          <w:szCs w:val="28"/>
        </w:rPr>
        <w:t>AMR –</w:t>
      </w:r>
      <w:r>
        <w:rPr>
          <w:rFonts w:ascii="Arial Black" w:hAnsi="Arial Black"/>
          <w:sz w:val="28"/>
          <w:szCs w:val="28"/>
        </w:rPr>
        <w:t xml:space="preserve"> NO </w:t>
      </w:r>
      <w:r w:rsidRPr="00FF72ED">
        <w:rPr>
          <w:rFonts w:ascii="Arial Black" w:hAnsi="Arial Black"/>
          <w:sz w:val="28"/>
          <w:szCs w:val="28"/>
        </w:rPr>
        <w:t>MEAL / REST BREAKS</w:t>
      </w:r>
      <w:r>
        <w:rPr>
          <w:rFonts w:ascii="Arial Black" w:hAnsi="Arial Black"/>
          <w:sz w:val="28"/>
          <w:szCs w:val="28"/>
        </w:rPr>
        <w:t xml:space="preserve"> - CASE </w:t>
      </w:r>
      <w:r w:rsidRPr="00FF72ED">
        <w:rPr>
          <w:rFonts w:ascii="Arial Black" w:hAnsi="Arial Black"/>
          <w:sz w:val="28"/>
          <w:szCs w:val="28"/>
        </w:rPr>
        <w:t>DISMISSED</w:t>
      </w:r>
      <w:r>
        <w:rPr>
          <w:rFonts w:ascii="Arial Black" w:hAnsi="Arial Black"/>
          <w:sz w:val="28"/>
          <w:szCs w:val="28"/>
        </w:rPr>
        <w:t xml:space="preserve"> – 2018 VOTERS PROP. 11 </w:t>
      </w:r>
    </w:p>
    <w:p w14:paraId="29B031AC" w14:textId="77777777" w:rsidR="00227BDE" w:rsidRDefault="00227BDE" w:rsidP="00227BDE">
      <w:pPr>
        <w:pStyle w:val="NoSpacing"/>
      </w:pPr>
    </w:p>
    <w:p w14:paraId="676E4CE1" w14:textId="77777777" w:rsidR="00227BDE" w:rsidRPr="003C1643" w:rsidRDefault="00227BDE" w:rsidP="00227BDE">
      <w:pPr>
        <w:pStyle w:val="NoSpacing"/>
        <w:rPr>
          <w:rFonts w:ascii="Times New Roman" w:hAnsi="Times New Roman"/>
          <w:sz w:val="24"/>
          <w:szCs w:val="24"/>
        </w:rPr>
      </w:pPr>
      <w:r w:rsidRPr="003C1643">
        <w:rPr>
          <w:rFonts w:ascii="Times New Roman" w:hAnsi="Times New Roman"/>
          <w:sz w:val="24"/>
          <w:szCs w:val="24"/>
          <w:u w:val="single"/>
        </w:rPr>
        <w:t>Vaughn Banta v. American Medical Response, et al.</w:t>
      </w:r>
      <w:r w:rsidRPr="003C1643">
        <w:rPr>
          <w:rFonts w:ascii="Times New Roman" w:hAnsi="Times New Roman"/>
          <w:sz w:val="24"/>
          <w:szCs w:val="24"/>
        </w:rPr>
        <w:t xml:space="preserve">, California Court of Appeals, Second District, Second Division. [Unpublished Decision.] </w:t>
      </w:r>
    </w:p>
    <w:p w14:paraId="43B3C68B" w14:textId="77777777" w:rsidR="00227BDE" w:rsidRDefault="00227BDE" w:rsidP="00F326E5">
      <w:pPr>
        <w:rPr>
          <w:rFonts w:ascii="Arial Black" w:hAnsi="Arial Black"/>
          <w:b/>
          <w:sz w:val="24"/>
          <w:szCs w:val="24"/>
        </w:rPr>
      </w:pPr>
    </w:p>
    <w:p w14:paraId="4C4EB76A" w14:textId="77777777" w:rsidR="00227BDE" w:rsidRPr="003C1643" w:rsidRDefault="00227BDE" w:rsidP="00227BDE">
      <w:pPr>
        <w:pStyle w:val="NoSpacing"/>
        <w:rPr>
          <w:rFonts w:ascii="Times New Roman" w:hAnsi="Times New Roman"/>
          <w:sz w:val="24"/>
          <w:szCs w:val="24"/>
        </w:rPr>
      </w:pPr>
      <w:hyperlink r:id="rId1839" w:history="1">
        <w:r w:rsidRPr="003C1643">
          <w:rPr>
            <w:rStyle w:val="Hyperlink"/>
            <w:rFonts w:ascii="Times New Roman" w:hAnsi="Times New Roman"/>
            <w:sz w:val="24"/>
            <w:szCs w:val="24"/>
          </w:rPr>
          <w:t>https://public.fastcase.com/ZZhmr5v9wN%2FXOe5IsQ%2FqD%2Bile%2Foxyp5Z8Q8kvhZNO7gH1c2Z5qHls9xhvmb3awOvR3bsCkmvAqMtioFMMuxMBzUhvRQhP83bmryZorCoTbI%3D?utm_medium=email&amp;_hsmi=226712652&amp;_hsenc=p2ANqtz--nFpNqY7MlHedt-bGY2IVgigc3ATGuPz0zM2ZOCoWHuze-qmefTR0632sWWVlZvaDJFdCD_Gl1V9HSDzdZa4P3MSrw7A&amp;utm_content=226712652&amp;utm_source=hs_email</w:t>
        </w:r>
      </w:hyperlink>
      <w:r w:rsidRPr="003C1643">
        <w:rPr>
          <w:rFonts w:ascii="Times New Roman" w:hAnsi="Times New Roman"/>
          <w:sz w:val="24"/>
          <w:szCs w:val="24"/>
        </w:rPr>
        <w:t xml:space="preserve"> </w:t>
      </w:r>
    </w:p>
    <w:p w14:paraId="02DF39C0" w14:textId="77777777" w:rsidR="00227BDE" w:rsidRDefault="00227BDE" w:rsidP="00227BDE">
      <w:pPr>
        <w:pStyle w:val="NormalWeb"/>
        <w:rPr>
          <w:b/>
          <w:bCs/>
        </w:rPr>
      </w:pPr>
      <w:r w:rsidRPr="003C1643">
        <w:rPr>
          <w:b/>
          <w:bCs/>
        </w:rPr>
        <w:t>Legal Lesson Learned: California voters passed Proposition 11, requiring meal and rest period breaks for most employers, but not EMS.</w:t>
      </w:r>
      <w:r>
        <w:rPr>
          <w:b/>
          <w:bCs/>
        </w:rPr>
        <w:t xml:space="preserve"> </w:t>
      </w:r>
    </w:p>
    <w:p w14:paraId="7F49C670" w14:textId="77777777" w:rsidR="00227BDE" w:rsidRDefault="00227BDE" w:rsidP="00F326E5">
      <w:pPr>
        <w:rPr>
          <w:rFonts w:ascii="Arial Black" w:hAnsi="Arial Black"/>
          <w:b/>
          <w:sz w:val="24"/>
          <w:szCs w:val="24"/>
        </w:rPr>
      </w:pPr>
    </w:p>
    <w:p w14:paraId="3DE4C351" w14:textId="77777777" w:rsidR="00227BDE" w:rsidRDefault="00227BDE" w:rsidP="00F326E5">
      <w:pPr>
        <w:rPr>
          <w:rFonts w:ascii="Arial Black" w:hAnsi="Arial Black"/>
          <w:b/>
          <w:sz w:val="24"/>
          <w:szCs w:val="24"/>
        </w:rPr>
      </w:pPr>
    </w:p>
    <w:p w14:paraId="5C23A3D6" w14:textId="762A661C" w:rsidR="003F788B" w:rsidRDefault="003F788B" w:rsidP="00F326E5">
      <w:pPr>
        <w:rPr>
          <w:rFonts w:ascii="Arial Black" w:hAnsi="Arial Black"/>
          <w:b/>
          <w:sz w:val="24"/>
          <w:szCs w:val="24"/>
        </w:rPr>
      </w:pPr>
      <w:r>
        <w:rPr>
          <w:rFonts w:ascii="Arial Black" w:hAnsi="Arial Black"/>
          <w:b/>
          <w:sz w:val="24"/>
          <w:szCs w:val="24"/>
        </w:rPr>
        <w:t>11-</w:t>
      </w:r>
      <w:r w:rsidR="009601CD">
        <w:rPr>
          <w:rFonts w:ascii="Arial Black" w:hAnsi="Arial Black"/>
          <w:b/>
          <w:sz w:val="24"/>
          <w:szCs w:val="24"/>
        </w:rPr>
        <w:t>42</w:t>
      </w:r>
    </w:p>
    <w:p w14:paraId="34ADE42A" w14:textId="77777777" w:rsidR="003F788B" w:rsidRDefault="003F788B" w:rsidP="003F788B">
      <w:pPr>
        <w:pStyle w:val="NormalWeb"/>
        <w:rPr>
          <w:rFonts w:ascii="Arial Black" w:hAnsi="Arial Black"/>
          <w:sz w:val="28"/>
          <w:szCs w:val="28"/>
        </w:rPr>
      </w:pPr>
      <w:r>
        <w:rPr>
          <w:rFonts w:ascii="Arial Black" w:hAnsi="Arial Black"/>
          <w:sz w:val="28"/>
          <w:szCs w:val="28"/>
        </w:rPr>
        <w:t>KS: RETIRED CAPT. CLAIMS BCs MISCHARDING VACATION TIME – NOT FLSA VIOLATION – FLSA CASE DISMISSED</w:t>
      </w:r>
    </w:p>
    <w:p w14:paraId="0E16EB50" w14:textId="77777777" w:rsidR="003F788B" w:rsidRDefault="003F788B" w:rsidP="003F788B">
      <w:pPr>
        <w:pStyle w:val="NormalWeb"/>
      </w:pPr>
      <w:r>
        <w:t xml:space="preserve">On March 30, 2023, in </w:t>
      </w:r>
      <w:r>
        <w:rPr>
          <w:u w:val="single"/>
        </w:rPr>
        <w:t>Tim Lepage v. City of Salina, Kansas, et al</w:t>
      </w:r>
      <w:r>
        <w:t>., U.S. District Court Judge Julie A. Robinson granted the City’s motion to dismiss the FLSA claim since his investigation of Battalion Chiefs never involved violations of FLSA, but rather “</w:t>
      </w:r>
      <w:proofErr w:type="gramStart"/>
      <w:r>
        <w:t>time card</w:t>
      </w:r>
      <w:proofErr w:type="gramEnd"/>
      <w:r>
        <w:t xml:space="preserve"> fraud” where BCs on vacation allegedly recorded their time as on duty. The case will now </w:t>
      </w:r>
      <w:proofErr w:type="gramStart"/>
      <w:r>
        <w:t>return</w:t>
      </w:r>
      <w:proofErr w:type="gramEnd"/>
      <w:r>
        <w:t xml:space="preserve"> to State court for further discovery.  Lepage became frustrated that the </w:t>
      </w:r>
      <w:proofErr w:type="gramStart"/>
      <w:r>
        <w:t>City</w:t>
      </w:r>
      <w:proofErr w:type="gramEnd"/>
      <w:r>
        <w:t xml:space="preserve"> stalled on the investigation, and per his request he was placed on paid leave and retired in </w:t>
      </w:r>
      <w:proofErr w:type="gramStart"/>
      <w:r>
        <w:t>June 2021, and</w:t>
      </w:r>
      <w:proofErr w:type="gramEnd"/>
      <w:r>
        <w:t xml:space="preserve"> then brought this lawsuit. </w:t>
      </w:r>
    </w:p>
    <w:p w14:paraId="204E1D8D" w14:textId="77777777" w:rsidR="003F788B" w:rsidRDefault="003F788B" w:rsidP="003F788B">
      <w:pPr>
        <w:pStyle w:val="NormalWeb"/>
        <w:ind w:left="720"/>
      </w:pPr>
      <w:r>
        <w:lastRenderedPageBreak/>
        <w:t xml:space="preserve">The Judge wrote: “Here, LePage fails to demonstrate a genuine issue of material fact about whether he engaged in protected activity under this objective standard. In terms of content, it is uncontroverted that LePage never explicitly invoked the FLSA when he complained about the BCs' alleged </w:t>
      </w:r>
      <w:proofErr w:type="gramStart"/>
      <w:r>
        <w:t>time card</w:t>
      </w:r>
      <w:proofErr w:type="gramEnd"/>
      <w:r>
        <w:t xml:space="preserve"> fraud. And while this fact standing alone is not fatal to his claim, the substance of his complaint did not involve conduct that is regulated by the FLSA. The FLSA ‘sets </w:t>
      </w:r>
      <w:proofErr w:type="gramStart"/>
      <w:r>
        <w:t>forth</w:t>
      </w:r>
      <w:proofErr w:type="gramEnd"/>
      <w:r>
        <w:t xml:space="preserve"> employment rules concerning minimum wages, maximum hours, and overtime pay.’ LePage did not complain about violations of the federal minimum wage or maximum hour laws.” </w:t>
      </w:r>
      <w:hyperlink r:id="rId1840" w:history="1">
        <w:r>
          <w:rPr>
            <w:rStyle w:val="Hyperlink"/>
          </w:rPr>
          <w:t>https://ecf.ksd.uscourts.gov/cgi-bin/show_public_doc?2022cv4020-41</w:t>
        </w:r>
      </w:hyperlink>
      <w:r>
        <w:t xml:space="preserve"> </w:t>
      </w:r>
    </w:p>
    <w:p w14:paraId="6FD07A9E" w14:textId="77777777" w:rsidR="003F788B" w:rsidRDefault="003F788B" w:rsidP="003F788B">
      <w:pPr>
        <w:pStyle w:val="NormalWeb"/>
        <w:ind w:left="720"/>
      </w:pPr>
      <w:r>
        <w:t xml:space="preserve">“In September 2019, LePage began working with Human Resources Specialist Diane Turner on a project to save money. Specifically, LePage began keeping track of the days BCs were taking vacation, knowing that their use of vacation would require </w:t>
      </w:r>
      <w:proofErr w:type="gramStart"/>
      <w:r>
        <w:t>more captain</w:t>
      </w:r>
      <w:proofErr w:type="gramEnd"/>
      <w:r>
        <w:t xml:space="preserve"> overtime, costing the </w:t>
      </w:r>
      <w:proofErr w:type="gramStart"/>
      <w:r>
        <w:t>City</w:t>
      </w:r>
      <w:proofErr w:type="gramEnd"/>
      <w:r>
        <w:t xml:space="preserve"> money. LePage began what he considered to be an </w:t>
      </w:r>
      <w:proofErr w:type="gramStart"/>
      <w:r>
        <w:t>in depth</w:t>
      </w:r>
      <w:proofErr w:type="gramEnd"/>
      <w:r>
        <w:t xml:space="preserve"> investigation with Human </w:t>
      </w:r>
      <w:proofErr w:type="gramStart"/>
      <w:r>
        <w:t>Resources (‘</w:t>
      </w:r>
      <w:proofErr w:type="gramEnd"/>
      <w:r>
        <w:t xml:space="preserve">HR’) on this issue because HR did not have access to the </w:t>
      </w:r>
      <w:proofErr w:type="spellStart"/>
      <w:r>
        <w:t>DataTracker</w:t>
      </w:r>
      <w:proofErr w:type="spellEnd"/>
      <w:r>
        <w:t xml:space="preserve"> and ‘FD outlook calendar.’ LePage would send HR the days he knew BCs were gone and the reason they had provided. LePage believed that all three [BCs] were . . . taking ten days of vacation, reporting they were on duty, </w:t>
      </w:r>
      <w:proofErr w:type="gramStart"/>
      <w:r>
        <w:t>thusly</w:t>
      </w:r>
      <w:proofErr w:type="gramEnd"/>
      <w:r>
        <w:t xml:space="preserve"> banking those hours and then taking an additional five days off, reporting it correctly and selling the other five days. After a week or two of review, it was found to be well </w:t>
      </w:r>
      <w:proofErr w:type="gramStart"/>
      <w:r>
        <w:t>north</w:t>
      </w:r>
      <w:proofErr w:type="gramEnd"/>
      <w:r>
        <w:t xml:space="preserve"> of $100K stolen in the previous 6 years.</w:t>
      </w:r>
    </w:p>
    <w:p w14:paraId="2BFCFBC8" w14:textId="77777777" w:rsidR="003F788B" w:rsidRDefault="003F788B" w:rsidP="003F788B">
      <w:pPr>
        <w:pStyle w:val="NormalWeb"/>
        <w:ind w:left="720"/>
      </w:pPr>
      <w:r>
        <w:t>***</w:t>
      </w:r>
    </w:p>
    <w:p w14:paraId="2353EF37" w14:textId="77777777" w:rsidR="003F788B" w:rsidRDefault="003F788B" w:rsidP="003F788B">
      <w:pPr>
        <w:pStyle w:val="NormalWeb"/>
        <w:ind w:left="720"/>
        <w:rPr>
          <w:vertAlign w:val="superscript"/>
        </w:rPr>
      </w:pPr>
      <w:r>
        <w:t xml:space="preserve">The Court finds that there are no substantial grounds for jurisdiction over the remaining claims for retaliatory discharge and defamation and that the state court is in a better position to evaluate LePage's claims under state </w:t>
      </w:r>
      <w:proofErr w:type="gramStart"/>
      <w:r>
        <w:t>law.”</w:t>
      </w:r>
      <w:proofErr w:type="gramEnd"/>
    </w:p>
    <w:p w14:paraId="660CD65D" w14:textId="77777777" w:rsidR="003F788B" w:rsidRDefault="003F788B" w:rsidP="003F788B">
      <w:pPr>
        <w:pStyle w:val="NormalWeb"/>
        <w:rPr>
          <w:b/>
          <w:bCs/>
        </w:rPr>
      </w:pPr>
      <w:r>
        <w:rPr>
          <w:b/>
          <w:bCs/>
        </w:rPr>
        <w:t xml:space="preserve">Legal Lessons Learned: The FLSA protects employees from retaliation, but only where there are claims of FLSA violations.  </w:t>
      </w:r>
    </w:p>
    <w:p w14:paraId="15888F45" w14:textId="77777777" w:rsidR="003F788B" w:rsidRDefault="003F788B" w:rsidP="003F788B">
      <w:pPr>
        <w:pStyle w:val="NormalWeb"/>
      </w:pPr>
    </w:p>
    <w:p w14:paraId="205822C3" w14:textId="1A849770" w:rsidR="00104A4C" w:rsidRDefault="00104A4C" w:rsidP="00F326E5">
      <w:pPr>
        <w:rPr>
          <w:rFonts w:ascii="Arial Black" w:hAnsi="Arial Black"/>
          <w:b/>
          <w:sz w:val="24"/>
          <w:szCs w:val="24"/>
        </w:rPr>
      </w:pPr>
      <w:r>
        <w:rPr>
          <w:rFonts w:ascii="Arial Black" w:hAnsi="Arial Black"/>
          <w:b/>
          <w:sz w:val="24"/>
          <w:szCs w:val="24"/>
        </w:rPr>
        <w:t>11-</w:t>
      </w:r>
      <w:r w:rsidR="009601CD">
        <w:rPr>
          <w:rFonts w:ascii="Arial Black" w:hAnsi="Arial Black"/>
          <w:b/>
          <w:sz w:val="24"/>
          <w:szCs w:val="24"/>
        </w:rPr>
        <w:t>41</w:t>
      </w:r>
    </w:p>
    <w:p w14:paraId="57B91EA9" w14:textId="77777777" w:rsidR="00104A4C" w:rsidRDefault="00104A4C" w:rsidP="00104A4C">
      <w:pPr>
        <w:pStyle w:val="NormalWeb"/>
      </w:pPr>
      <w:r>
        <w:rPr>
          <w:rFonts w:ascii="Arial Black" w:hAnsi="Arial Black"/>
          <w:sz w:val="28"/>
          <w:szCs w:val="28"/>
        </w:rPr>
        <w:t>CA: FLSA – FOUR BATTALION CHIEFS CLAIM NOT “EXEMPT” – CITY SETTLEMENT – $145,000, PLUS $25,000 ATTY FEES</w:t>
      </w:r>
    </w:p>
    <w:p w14:paraId="73DA163A" w14:textId="77777777" w:rsidR="00104A4C" w:rsidRDefault="00104A4C" w:rsidP="00104A4C">
      <w:pPr>
        <w:pStyle w:val="NormalWeb"/>
      </w:pPr>
      <w:r>
        <w:t xml:space="preserve">On March 7, 2023, in </w:t>
      </w:r>
      <w:r w:rsidRPr="00BD4D01">
        <w:rPr>
          <w:u w:val="single"/>
        </w:rPr>
        <w:t>James Mickelson v. City of Encinitas</w:t>
      </w:r>
      <w:r>
        <w:t xml:space="preserve">, U.S. District Court Judge Cynthia Bashant, Southern District of California, approved a settlement of a lawsuit filed by four Battalion Chiefs, based on their pay for prior two years, with City not admitting to any violation of FLSA.  The Court agreed to the settlement because law is unclear on whether these Battalion Chiefs are exempt from overtime.  Under the terms of the Settlement, the City agreed to pay a total of $145,000.00 to Battalion Chiefs based on their hours works in two prior years (if willful violations were proven at trial, Court can award three years back pay, doubled as liquidated damages): (1) $26,108.22 paid to James Mickelson; (2) $12,373.71 paid to Terence Chiros; (3) $47,677.74 paid to Jorge Sanchez; and (4) $58,850.33 paid to Michael Spaulding. </w:t>
      </w:r>
      <w:hyperlink r:id="rId1841" w:history="1">
        <w:r w:rsidRPr="005C1F1B">
          <w:rPr>
            <w:rStyle w:val="Hyperlink"/>
            <w:rFonts w:eastAsiaTheme="majorEastAsia"/>
          </w:rPr>
          <w:t>https://law.justia.com/cases/federal/district-courts/california/casdce/3:2022cv00487/730899/28/</w:t>
        </w:r>
      </w:hyperlink>
      <w:r>
        <w:t xml:space="preserve"> </w:t>
      </w:r>
    </w:p>
    <w:p w14:paraId="1093B14D" w14:textId="77777777" w:rsidR="00104A4C" w:rsidRDefault="00104A4C" w:rsidP="00104A4C">
      <w:pPr>
        <w:pStyle w:val="NormalWeb"/>
      </w:pPr>
      <w:r>
        <w:t xml:space="preserve">The Court noted: </w:t>
      </w:r>
    </w:p>
    <w:p w14:paraId="0D057EC3" w14:textId="77777777" w:rsidR="00104A4C" w:rsidRDefault="00104A4C" w:rsidP="00104A4C">
      <w:pPr>
        <w:pStyle w:val="NormalWeb"/>
        <w:ind w:left="720"/>
      </w:pPr>
      <w:r>
        <w:t xml:space="preserve">“First, the parties disagree as to whether Encinitas Battalion Chiefs are FLSA-exempt employees. Plaintiff relies on regulations that clarify the scope of FLSA exemptions: ‘The [FLSA minimum wage provision] exemptions . . . do not apply to . . . fire fighters . . . who perform work such as preventing, </w:t>
      </w:r>
      <w:r>
        <w:lastRenderedPageBreak/>
        <w:t xml:space="preserve">controlling or extinguishing fires of any type.’ 29 C.F.R. § 541.3. Plaintiff maintains that Battalion Chiefs ‘actively engage in fire-fighter responsibilities’ and ‘regularly respond to calls for rescuing fire and accident victims; medical calls for </w:t>
      </w:r>
      <w:proofErr w:type="gramStart"/>
      <w:r>
        <w:t>services, and</w:t>
      </w:r>
      <w:proofErr w:type="gramEnd"/>
      <w:r>
        <w:t xml:space="preserve"> regularly carry and use fire suppression and medical equipment….’ </w:t>
      </w:r>
    </w:p>
    <w:p w14:paraId="26DCC3A0" w14:textId="77777777" w:rsidR="00104A4C" w:rsidRDefault="00104A4C" w:rsidP="00104A4C">
      <w:pPr>
        <w:pStyle w:val="NormalWeb"/>
        <w:ind w:left="600"/>
      </w:pPr>
      <w:r>
        <w:t xml:space="preserve">Defendants, by contrast, take the position that managerial fire employees like Battalion Chiefs are properly exempt, so long as they meet the requirements of the executive or administrative exemption….To qualify for the administrative exemption, the employee must meet a minimum salary and the employee's primary duty must be ‘the performance of office or non-manual work directly related to the management or general business operations of the employer....’ 28 C.F.R. § 541.200(a). The parties point to recent Fourth Circuit caselaw and a 2005 Department of Labor Opinion Letter that both determined fire department battalion chiefs were properly classified as exempt….Defendant asserts that Encinitas Battalion Chiefs are ‘always responsible for supervising both Captains and the other firefighters’ and that preliminary discovery confirmed they ‘rarely if ever engage in actual firefighting….”  </w:t>
      </w:r>
    </w:p>
    <w:p w14:paraId="7E49A138" w14:textId="77777777" w:rsidR="00104A4C" w:rsidRPr="00025BA7" w:rsidRDefault="00104A4C" w:rsidP="00104A4C">
      <w:pPr>
        <w:pStyle w:val="NormalWeb"/>
        <w:rPr>
          <w:b/>
          <w:bCs/>
        </w:rPr>
      </w:pPr>
      <w:r w:rsidRPr="00025BA7">
        <w:rPr>
          <w:b/>
          <w:bCs/>
        </w:rPr>
        <w:t xml:space="preserve">Legal Lesson Learned: </w:t>
      </w:r>
      <w:r>
        <w:rPr>
          <w:b/>
          <w:bCs/>
        </w:rPr>
        <w:t xml:space="preserve">The law is unsettled about Battalion Chiefs being “exempt”; be interesting to learn whether the next CBA with City of Encinitas will address this issue. </w:t>
      </w:r>
    </w:p>
    <w:p w14:paraId="69BAE836" w14:textId="77777777" w:rsidR="00104A4C" w:rsidRDefault="00104A4C" w:rsidP="00104A4C">
      <w:pPr>
        <w:pStyle w:val="NormalWeb"/>
        <w:ind w:left="720"/>
      </w:pPr>
      <w:r>
        <w:t>Note: The Court noted the attorney fees were reasonable. “Plaintiff's counsel has acted as lead counsel in more than fifty FLSA lawsuits representing tens of thousands of employees…. In addition, Plaintiff's counsel has published books on the FLSA, conducted FLSA audits, and lectured on the FLSA.”</w:t>
      </w:r>
    </w:p>
    <w:p w14:paraId="426B5E05" w14:textId="77777777" w:rsidR="00104A4C" w:rsidRDefault="00104A4C" w:rsidP="00104A4C">
      <w:pPr>
        <w:pStyle w:val="NormalWeb"/>
      </w:pPr>
    </w:p>
    <w:p w14:paraId="52426212" w14:textId="3C041114" w:rsidR="00104A4C" w:rsidRDefault="00104A4C" w:rsidP="00F326E5">
      <w:pPr>
        <w:rPr>
          <w:rFonts w:ascii="Arial Black" w:hAnsi="Arial Black"/>
          <w:b/>
          <w:sz w:val="24"/>
          <w:szCs w:val="24"/>
        </w:rPr>
      </w:pPr>
      <w:r>
        <w:rPr>
          <w:rFonts w:ascii="Arial Black" w:hAnsi="Arial Black"/>
          <w:b/>
          <w:sz w:val="24"/>
          <w:szCs w:val="24"/>
        </w:rPr>
        <w:t>11-</w:t>
      </w:r>
      <w:r w:rsidR="009601CD">
        <w:rPr>
          <w:rFonts w:ascii="Arial Black" w:hAnsi="Arial Black"/>
          <w:b/>
          <w:sz w:val="24"/>
          <w:szCs w:val="24"/>
        </w:rPr>
        <w:t>40</w:t>
      </w:r>
    </w:p>
    <w:p w14:paraId="2ED20389" w14:textId="77777777" w:rsidR="00104A4C" w:rsidRPr="00682E43" w:rsidRDefault="00104A4C" w:rsidP="00104A4C">
      <w:pPr>
        <w:pStyle w:val="NormalWeb"/>
        <w:rPr>
          <w:rFonts w:ascii="Arial Black" w:hAnsi="Arial Black"/>
          <w:b/>
          <w:bCs/>
          <w:sz w:val="28"/>
          <w:szCs w:val="28"/>
        </w:rPr>
      </w:pPr>
      <w:r>
        <w:rPr>
          <w:rFonts w:ascii="Arial Black" w:hAnsi="Arial Black"/>
          <w:b/>
          <w:bCs/>
          <w:sz w:val="28"/>
          <w:szCs w:val="28"/>
        </w:rPr>
        <w:t>DC: FLSA – U.S. SUP. CT. - OIL RIG “TOOL PUSHER” – MAKES $200,000 / YR - SINCE HE IS PAID HOURLY, NOT EXEMPT</w:t>
      </w:r>
    </w:p>
    <w:p w14:paraId="49DE6594" w14:textId="77777777" w:rsidR="00104A4C" w:rsidRDefault="00104A4C" w:rsidP="00104A4C">
      <w:pPr>
        <w:pStyle w:val="NormalWeb"/>
        <w:rPr>
          <w:rStyle w:val="markedcontent"/>
        </w:rPr>
      </w:pPr>
      <w:r>
        <w:rPr>
          <w:rStyle w:val="markedcontent"/>
        </w:rPr>
        <w:t xml:space="preserve">On Feb. 23, 2023, in </w:t>
      </w:r>
      <w:r w:rsidRPr="00275035">
        <w:rPr>
          <w:rStyle w:val="markedcontent"/>
        </w:rPr>
        <w:t>Helix Energy Solutions Group, Inc. et al. v. Michael Hewitt</w:t>
      </w:r>
      <w:r>
        <w:rPr>
          <w:rStyle w:val="markedcontent"/>
        </w:rPr>
        <w:t>, the U.S. Supreme Court held (6 to 3) that the Supervisor (earned $200,000 a year), working 84 hours a week on the oil rig, supervising 12-14 employees, was not “exempt” from earning overtime after 40 hours.  After he was fired, he sued for overtime pay, seeking “</w:t>
      </w:r>
      <w:r>
        <w:t xml:space="preserve">hundreds of thousands of dollars in retroactive overtime pay.” [Dissenting opinion, Justice Brett Kavanaugh.] The majority opinion has awarded him this windfall.  From 2015 to 2017, Hewitt worked 28-day "hitches," living on an offshore oil rig for 28 days at a time and being on-duty for 12 hours each day. His pay ranged from $963 to $1,341 per day. Hewitt earned $248,053 in 2015 and $218,863 in 2016, according to court records. </w:t>
      </w:r>
      <w:hyperlink r:id="rId1842" w:history="1">
        <w:r w:rsidRPr="00933DFB">
          <w:rPr>
            <w:rStyle w:val="Hyperlink"/>
            <w:rFonts w:eastAsiaTheme="majorEastAsia"/>
          </w:rPr>
          <w:t>https://www.supremecourt.gov/opinions/22pdf/21-984_j426.pdf</w:t>
        </w:r>
      </w:hyperlink>
      <w:r>
        <w:rPr>
          <w:rStyle w:val="markedcontent"/>
        </w:rPr>
        <w:t xml:space="preserve"> </w:t>
      </w:r>
    </w:p>
    <w:p w14:paraId="73EBAB31" w14:textId="77777777" w:rsidR="00104A4C" w:rsidRDefault="00104A4C" w:rsidP="00104A4C">
      <w:pPr>
        <w:pStyle w:val="NormalWeb"/>
        <w:ind w:left="720"/>
        <w:rPr>
          <w:rStyle w:val="markedcontent"/>
        </w:rPr>
      </w:pPr>
      <w:r>
        <w:rPr>
          <w:rStyle w:val="markedcontent"/>
        </w:rPr>
        <w:t xml:space="preserve">“The question here is whether a high-earning employee is compensated on a ‘salary </w:t>
      </w:r>
      <w:proofErr w:type="spellStart"/>
      <w:r>
        <w:rPr>
          <w:rStyle w:val="markedcontent"/>
        </w:rPr>
        <w:t>basis’</w:t>
      </w:r>
      <w:proofErr w:type="spellEnd"/>
      <w:r>
        <w:rPr>
          <w:rStyle w:val="markedcontent"/>
        </w:rPr>
        <w:t xml:space="preserve"> when his paycheck is based solely on a daily rate—so that he receives a certain amount if he works one day in a week, twice as much for two days, three times as much for three, and so on. We hold that such an employee is not paid on a salary </w:t>
      </w:r>
      <w:proofErr w:type="gramStart"/>
      <w:r>
        <w:rPr>
          <w:rStyle w:val="markedcontent"/>
        </w:rPr>
        <w:t>basis, and</w:t>
      </w:r>
      <w:proofErr w:type="gramEnd"/>
      <w:r>
        <w:rPr>
          <w:rStyle w:val="markedcontent"/>
        </w:rPr>
        <w:t xml:space="preserve"> thus is entitled to overtime </w:t>
      </w:r>
      <w:proofErr w:type="gramStart"/>
      <w:r>
        <w:rPr>
          <w:rStyle w:val="markedcontent"/>
        </w:rPr>
        <w:t>pay.”</w:t>
      </w:r>
      <w:proofErr w:type="gramEnd"/>
      <w:r>
        <w:rPr>
          <w:rStyle w:val="markedcontent"/>
        </w:rPr>
        <w:t xml:space="preserve"> </w:t>
      </w:r>
    </w:p>
    <w:p w14:paraId="33135B22" w14:textId="77777777" w:rsidR="00104A4C" w:rsidRPr="005B5614" w:rsidRDefault="00104A4C" w:rsidP="00104A4C">
      <w:pPr>
        <w:pStyle w:val="NormalWeb"/>
        <w:rPr>
          <w:rStyle w:val="markedcontent"/>
          <w:b/>
          <w:bCs/>
        </w:rPr>
      </w:pPr>
      <w:r w:rsidRPr="005B5614">
        <w:rPr>
          <w:rStyle w:val="markedcontent"/>
          <w:b/>
          <w:bCs/>
        </w:rPr>
        <w:t xml:space="preserve">Legal Lesson Learned: </w:t>
      </w:r>
      <w:r>
        <w:rPr>
          <w:rStyle w:val="markedcontent"/>
          <w:b/>
          <w:bCs/>
        </w:rPr>
        <w:t xml:space="preserve">In the fire service, typically Fire Chief are considered “executives” under FLSA and “exempt” from overtime pay.  Battalion Chiefs, and other lower ranked officers, may or may not be “exempt” based on their job duties.  </w:t>
      </w:r>
    </w:p>
    <w:p w14:paraId="089BE339" w14:textId="77777777" w:rsidR="00104A4C" w:rsidRDefault="00104A4C" w:rsidP="00104A4C">
      <w:pPr>
        <w:pStyle w:val="Heading1"/>
        <w:ind w:left="720"/>
        <w:rPr>
          <w:b w:val="0"/>
          <w:bCs w:val="0"/>
          <w:sz w:val="24"/>
          <w:szCs w:val="24"/>
        </w:rPr>
      </w:pPr>
      <w:r w:rsidRPr="00F76346">
        <w:rPr>
          <w:b w:val="0"/>
          <w:bCs w:val="0"/>
          <w:sz w:val="24"/>
          <w:szCs w:val="24"/>
        </w:rPr>
        <w:t xml:space="preserve">See this article: Battalion Chiefs, Executive Exemption, and Overtime (Sept. 17, 2018): </w:t>
      </w:r>
      <w:hyperlink r:id="rId1843" w:history="1">
        <w:r w:rsidRPr="00933DFB">
          <w:rPr>
            <w:rStyle w:val="Hyperlink"/>
            <w:rFonts w:eastAsiaTheme="majorEastAsia"/>
            <w:b w:val="0"/>
            <w:bCs w:val="0"/>
            <w:sz w:val="24"/>
            <w:szCs w:val="24"/>
          </w:rPr>
          <w:t>http://www.firefighterovertime.org/2018/09/17/battalion/</w:t>
        </w:r>
      </w:hyperlink>
      <w:r w:rsidRPr="00F76346">
        <w:rPr>
          <w:b w:val="0"/>
          <w:bCs w:val="0"/>
          <w:sz w:val="24"/>
          <w:szCs w:val="24"/>
        </w:rPr>
        <w:t xml:space="preserve"> </w:t>
      </w:r>
    </w:p>
    <w:p w14:paraId="5F68BA34" w14:textId="77777777" w:rsidR="00104A4C" w:rsidRPr="00F504E7" w:rsidRDefault="00104A4C" w:rsidP="00104A4C">
      <w:pPr>
        <w:pStyle w:val="Heading1"/>
        <w:ind w:left="720"/>
        <w:rPr>
          <w:b w:val="0"/>
          <w:bCs w:val="0"/>
          <w:sz w:val="24"/>
          <w:szCs w:val="24"/>
        </w:rPr>
      </w:pPr>
      <w:r w:rsidRPr="00F504E7">
        <w:rPr>
          <w:b w:val="0"/>
          <w:bCs w:val="0"/>
          <w:sz w:val="24"/>
          <w:szCs w:val="24"/>
        </w:rPr>
        <w:lastRenderedPageBreak/>
        <w:t xml:space="preserve">See Feb. 22, </w:t>
      </w:r>
      <w:proofErr w:type="gramStart"/>
      <w:r w:rsidRPr="00F504E7">
        <w:rPr>
          <w:b w:val="0"/>
          <w:bCs w:val="0"/>
          <w:sz w:val="24"/>
          <w:szCs w:val="24"/>
        </w:rPr>
        <w:t>2023</w:t>
      </w:r>
      <w:proofErr w:type="gramEnd"/>
      <w:r w:rsidRPr="00F504E7">
        <w:rPr>
          <w:b w:val="0"/>
          <w:bCs w:val="0"/>
          <w:sz w:val="24"/>
          <w:szCs w:val="24"/>
        </w:rPr>
        <w:t xml:space="preserve"> article on the Supreme Court’s decision: </w:t>
      </w:r>
      <w:r>
        <w:rPr>
          <w:b w:val="0"/>
          <w:bCs w:val="0"/>
          <w:sz w:val="24"/>
          <w:szCs w:val="24"/>
        </w:rPr>
        <w:t>“</w:t>
      </w:r>
      <w:r w:rsidRPr="00F504E7">
        <w:rPr>
          <w:b w:val="0"/>
          <w:bCs w:val="0"/>
          <w:sz w:val="24"/>
          <w:szCs w:val="24"/>
        </w:rPr>
        <w:t>Supreme Court Upholds Salary Requirement for Overtime Exemption</w:t>
      </w:r>
      <w:r>
        <w:rPr>
          <w:b w:val="0"/>
          <w:bCs w:val="0"/>
          <w:sz w:val="24"/>
          <w:szCs w:val="24"/>
        </w:rPr>
        <w:t xml:space="preserve">.” </w:t>
      </w:r>
      <w:hyperlink r:id="rId1844" w:history="1">
        <w:r w:rsidRPr="00933DFB">
          <w:rPr>
            <w:rStyle w:val="Hyperlink"/>
            <w:rFonts w:eastAsiaTheme="majorEastAsia"/>
            <w:b w:val="0"/>
            <w:bCs w:val="0"/>
            <w:sz w:val="24"/>
            <w:szCs w:val="24"/>
          </w:rPr>
          <w:t>https://www.shrm.org/resourcesandtools/legal-and-compliance/employment-law/pages/supreme-court-helix-flsa-exemption.aspx</w:t>
        </w:r>
      </w:hyperlink>
      <w:r>
        <w:rPr>
          <w:b w:val="0"/>
          <w:bCs w:val="0"/>
          <w:sz w:val="24"/>
          <w:szCs w:val="24"/>
        </w:rPr>
        <w:t xml:space="preserve"> </w:t>
      </w:r>
      <w:r w:rsidRPr="00F504E7">
        <w:rPr>
          <w:b w:val="0"/>
          <w:bCs w:val="0"/>
          <w:sz w:val="24"/>
          <w:szCs w:val="24"/>
        </w:rPr>
        <w:t xml:space="preserve"> </w:t>
      </w:r>
    </w:p>
    <w:p w14:paraId="216D60BA" w14:textId="77777777" w:rsidR="00104A4C" w:rsidRDefault="00104A4C" w:rsidP="00F326E5">
      <w:pPr>
        <w:rPr>
          <w:rFonts w:ascii="Arial Black" w:hAnsi="Arial Black"/>
          <w:b/>
          <w:sz w:val="24"/>
          <w:szCs w:val="24"/>
        </w:rPr>
      </w:pPr>
    </w:p>
    <w:p w14:paraId="72FB6AF6" w14:textId="2BF4197C" w:rsidR="008A4533" w:rsidRDefault="008A4533" w:rsidP="00F326E5">
      <w:pPr>
        <w:rPr>
          <w:rFonts w:ascii="Arial Black" w:hAnsi="Arial Black"/>
          <w:b/>
          <w:sz w:val="24"/>
          <w:szCs w:val="24"/>
        </w:rPr>
      </w:pPr>
      <w:r>
        <w:rPr>
          <w:rFonts w:ascii="Arial Black" w:hAnsi="Arial Black"/>
          <w:b/>
          <w:sz w:val="24"/>
          <w:szCs w:val="24"/>
        </w:rPr>
        <w:t>11-3</w:t>
      </w:r>
      <w:r w:rsidR="009601CD">
        <w:rPr>
          <w:rFonts w:ascii="Arial Black" w:hAnsi="Arial Black"/>
          <w:b/>
          <w:sz w:val="24"/>
          <w:szCs w:val="24"/>
        </w:rPr>
        <w:t>9</w:t>
      </w:r>
    </w:p>
    <w:p w14:paraId="647277E3" w14:textId="77777777" w:rsidR="008A4533" w:rsidRPr="00DC6943" w:rsidRDefault="008A4533" w:rsidP="008A4533">
      <w:pPr>
        <w:pStyle w:val="NormalWeb"/>
        <w:rPr>
          <w:rFonts w:ascii="Arial Black" w:hAnsi="Arial Black"/>
          <w:sz w:val="28"/>
          <w:szCs w:val="28"/>
        </w:rPr>
      </w:pPr>
      <w:r>
        <w:rPr>
          <w:rFonts w:ascii="Arial Black" w:hAnsi="Arial Black"/>
          <w:sz w:val="28"/>
          <w:szCs w:val="28"/>
        </w:rPr>
        <w:t>OH: FLSA – 7(K) EXEMPTION APPLIES TO SMALL UNINCORP. TOWNSHIPS – OVERTIME ONLY AFTER 53 HOURS / NOT 40</w:t>
      </w:r>
    </w:p>
    <w:p w14:paraId="166E38A0" w14:textId="77777777" w:rsidR="008A4533" w:rsidRDefault="008A4533" w:rsidP="008A4533">
      <w:pPr>
        <w:pStyle w:val="NormalWeb"/>
      </w:pPr>
      <w:r>
        <w:t xml:space="preserve">On Jan. 11, 2023, in </w:t>
      </w:r>
      <w:r w:rsidRPr="0036596D">
        <w:rPr>
          <w:u w:val="single"/>
        </w:rPr>
        <w:t>Phillip Strzalkowski v. Mary Ann Township</w:t>
      </w:r>
      <w:r>
        <w:t xml:space="preserve">, Chief U.S. District Court Judge Algenon L. Marbley, U.S. District Court for Southern District of Ohio, held that a former fulltime firefighter with Mary Ann Township, an unincorporated civil township located in northeastern Licking County, Ohio, is covered by the 7(K) exemption, and he is not entitled to overtime after 40 hours. Larger townships (i.e., with a population of 2,500 or more) are authorized to adopt a </w:t>
      </w:r>
      <w:proofErr w:type="gramStart"/>
      <w:r>
        <w:t>limited home</w:t>
      </w:r>
      <w:proofErr w:type="gramEnd"/>
      <w:r>
        <w:t xml:space="preserve"> </w:t>
      </w:r>
      <w:proofErr w:type="gramStart"/>
      <w:r>
        <w:t>rule government</w:t>
      </w:r>
      <w:proofErr w:type="gramEnd"/>
      <w:r>
        <w:t xml:space="preserve">. </w:t>
      </w:r>
      <w:r w:rsidRPr="008708F4">
        <w:t>Strzalkowski</w:t>
      </w:r>
      <w:r>
        <w:rPr>
          <w:u w:val="single"/>
        </w:rPr>
        <w:t xml:space="preserve"> b</w:t>
      </w:r>
      <w:r>
        <w:t xml:space="preserve">ecame a full-time firefighter with the township in </w:t>
      </w:r>
      <w:proofErr w:type="gramStart"/>
      <w:r>
        <w:t>2019, and</w:t>
      </w:r>
      <w:proofErr w:type="gramEnd"/>
      <w:r>
        <w:t xml:space="preserve"> continued in that role until August 9, 2021. He often worked more than 40 hours per week, and was given overtime pay (i.e., time-and-a-half pay, or 1.5 times his regular hourly wages) for time worked </w:t>
      </w:r>
      <w:proofErr w:type="gramStart"/>
      <w:r>
        <w:t>in excess of</w:t>
      </w:r>
      <w:proofErr w:type="gramEnd"/>
      <w:r>
        <w:t xml:space="preserve"> 106 hours during each two-week work period.</w:t>
      </w:r>
      <w:r>
        <w:rPr>
          <w:b/>
          <w:bCs/>
        </w:rPr>
        <w:t xml:space="preserve"> </w:t>
      </w:r>
      <w:r>
        <w:t>The Court held that a civil township (1,308 in Ohio) qualifies as “a municipality, county, fire district, or State” under the Fair Labor Standards Act. “Ultimately, it is clear to this Court that § 3(y) was not intended to exclude the numerous unincorporated local government units across the United States that provide fire protection services to their residents. The language of the statute is ambiguous as to the question of incorporation: as noted, whether the definition of municipality includes only incorporated local governments depends on the dictionary one cites.”</w:t>
      </w:r>
      <w:hyperlink r:id="rId1845" w:history="1">
        <w:r w:rsidRPr="006E56EF">
          <w:rPr>
            <w:rStyle w:val="Hyperlink"/>
          </w:rPr>
          <w:t>https://public.fastcase.com/J%2FJP6pdidelsXxEE4k%2BLMlJvV4SJAfGPsaCb1kEJI4NiHVvOih0KoHLgsQ3SFDCtHhkE7RYPh6rKF3vfpYjTBRyXwDRXesvaMheieGfjP1w%3D?utm_medium=email&amp;_hsmi=226712652&amp;_hsenc=p2ANqtz--UObyDUMiaZSwq-4NoEzNR5o4eO8V_D5uKHJYL4ZZ256ZhZPYzbGLx-gR6MhxNsQvJKJXWqSitgcrGqHUpT5pkRHztzQ&amp;utm_content=226712652&amp;utm_source=hs_emai</w:t>
        </w:r>
      </w:hyperlink>
      <w:r>
        <w:t xml:space="preserve"> </w:t>
      </w:r>
    </w:p>
    <w:p w14:paraId="1D7F20F4" w14:textId="77777777" w:rsidR="008A4533" w:rsidRDefault="008A4533" w:rsidP="008A4533">
      <w:pPr>
        <w:pStyle w:val="NormalWeb"/>
        <w:ind w:left="720"/>
      </w:pPr>
      <w:r>
        <w:t>“FLSA is a federal statute, applicable nationwide; the firefighter exemption applies in all fifty states, many of which use different names for their local governments. Given that background, this Court concludes that § 7(k) was intended by Congress to be applicable for the broad spectrum of local governments across the country that offer fire protection services, regardless of nomenclature or incorporation status. The applicability of the exemption should not depend on how a particular state labels its administrative subdivisions.</w:t>
      </w:r>
    </w:p>
    <w:p w14:paraId="311FE76A" w14:textId="77777777" w:rsidR="008A4533" w:rsidRDefault="008A4533" w:rsidP="008A4533">
      <w:pPr>
        <w:pStyle w:val="NormalWeb"/>
        <w:ind w:left="720"/>
      </w:pPr>
      <w:r>
        <w:t>***</w:t>
      </w:r>
    </w:p>
    <w:p w14:paraId="2FFD9EE2" w14:textId="77777777" w:rsidR="008A4533" w:rsidRDefault="008A4533" w:rsidP="008A4533">
      <w:pPr>
        <w:pStyle w:val="NormalWeb"/>
        <w:ind w:left="720"/>
      </w:pPr>
      <w:r>
        <w:t>But Congress created the § 7(k) exemption for public fire protection personnel, in acknowledgement of the unique schedules that firefighters work, and added the § 3(y) definition to expand, not limit, the scope of the firefighter exemption. A fair reading of Congress's intent leads to the inescapable conclusion that Mary Ann Township is a municipality under 29 U.S.C. § 203(y) and is authorized pay its firefighters according to the partial overtime exemption in 29 U.S.C. § 207(k).”</w:t>
      </w:r>
    </w:p>
    <w:p w14:paraId="2FC5019E" w14:textId="77777777" w:rsidR="008A4533" w:rsidRPr="0047379E" w:rsidRDefault="008A4533" w:rsidP="008A4533">
      <w:pPr>
        <w:pStyle w:val="NormalWeb"/>
        <w:rPr>
          <w:b/>
          <w:bCs/>
        </w:rPr>
      </w:pPr>
      <w:r w:rsidRPr="0047379E">
        <w:rPr>
          <w:b/>
          <w:bCs/>
        </w:rPr>
        <w:t>Legal Lesson Learned:</w:t>
      </w:r>
      <w:r>
        <w:rPr>
          <w:b/>
          <w:bCs/>
        </w:rPr>
        <w:t xml:space="preserve"> Important decision for 1,308 small, unincorporated civil townships in Ohio; their career firefighters are entitled to overtime, like </w:t>
      </w:r>
      <w:proofErr w:type="gramStart"/>
      <w:r>
        <w:rPr>
          <w:b/>
          <w:bCs/>
        </w:rPr>
        <w:t>firefighter</w:t>
      </w:r>
      <w:proofErr w:type="gramEnd"/>
      <w:r>
        <w:rPr>
          <w:b/>
          <w:bCs/>
        </w:rPr>
        <w:t xml:space="preserve"> in larger townships with 2,500 residents, after 106 hours in a 14-day period, or 53 hours in a 7-day period.</w:t>
      </w:r>
    </w:p>
    <w:p w14:paraId="27939972" w14:textId="77777777" w:rsidR="008A4533" w:rsidRDefault="008A4533" w:rsidP="00F326E5">
      <w:pPr>
        <w:rPr>
          <w:rFonts w:ascii="Arial Black" w:hAnsi="Arial Black"/>
          <w:b/>
          <w:sz w:val="24"/>
          <w:szCs w:val="24"/>
        </w:rPr>
      </w:pPr>
    </w:p>
    <w:p w14:paraId="5A4C5D1A" w14:textId="77777777" w:rsidR="008A4533" w:rsidRDefault="008A4533" w:rsidP="00F326E5">
      <w:pPr>
        <w:rPr>
          <w:rFonts w:ascii="Arial Black" w:hAnsi="Arial Black"/>
          <w:b/>
          <w:sz w:val="24"/>
          <w:szCs w:val="24"/>
        </w:rPr>
      </w:pPr>
    </w:p>
    <w:p w14:paraId="7B7861B6" w14:textId="70C488B9" w:rsidR="00BA3CDE" w:rsidRDefault="00BA3CDE" w:rsidP="00F326E5">
      <w:pPr>
        <w:rPr>
          <w:rFonts w:ascii="Arial Black" w:hAnsi="Arial Black"/>
          <w:b/>
          <w:sz w:val="24"/>
          <w:szCs w:val="24"/>
        </w:rPr>
      </w:pPr>
      <w:r>
        <w:rPr>
          <w:rFonts w:ascii="Arial Black" w:hAnsi="Arial Black"/>
          <w:b/>
          <w:sz w:val="24"/>
          <w:szCs w:val="24"/>
        </w:rPr>
        <w:t>11-3</w:t>
      </w:r>
      <w:r w:rsidR="00912048">
        <w:rPr>
          <w:rFonts w:ascii="Arial Black" w:hAnsi="Arial Black"/>
          <w:b/>
          <w:sz w:val="24"/>
          <w:szCs w:val="24"/>
        </w:rPr>
        <w:t>8</w:t>
      </w:r>
    </w:p>
    <w:p w14:paraId="16303F7C" w14:textId="77777777" w:rsidR="00BA3CDE" w:rsidRPr="006A274F" w:rsidRDefault="00BA3CDE" w:rsidP="00BA3CDE">
      <w:pPr>
        <w:pStyle w:val="NormalWeb"/>
        <w:rPr>
          <w:rFonts w:ascii="Arial Black" w:hAnsi="Arial Black"/>
          <w:b/>
          <w:bCs/>
          <w:sz w:val="28"/>
          <w:szCs w:val="28"/>
        </w:rPr>
      </w:pPr>
      <w:r>
        <w:rPr>
          <w:rFonts w:ascii="Arial Black" w:hAnsi="Arial Black"/>
          <w:b/>
          <w:bCs/>
          <w:sz w:val="28"/>
          <w:szCs w:val="28"/>
        </w:rPr>
        <w:t xml:space="preserve">CA: FLSA – SETTLEMENT SALARIED “REGIONAL DISASTER COORDINATOR” 16 COUNTIES - 71% OVERTIME CLAIMED </w:t>
      </w:r>
    </w:p>
    <w:p w14:paraId="540023F5" w14:textId="77777777" w:rsidR="00BA3CDE" w:rsidRDefault="00BA3CDE" w:rsidP="00BA3CDE">
      <w:pPr>
        <w:pStyle w:val="NormalWeb"/>
      </w:pPr>
      <w:r w:rsidRPr="006A274F">
        <w:t xml:space="preserve">On Dec. 9, 2022, in </w:t>
      </w:r>
      <w:r w:rsidRPr="006A274F">
        <w:rPr>
          <w:u w:val="single"/>
        </w:rPr>
        <w:t>Aram Bronston v. County of Alameda</w:t>
      </w:r>
      <w:r>
        <w:t xml:space="preserve">, U.S. Magistrate Judge Alex G. Tse, U.S. District Court for Northern District of California (San Francisco Division) approved the settlement: $97,448 to Mr. Bronston, and $52,531 to his attorney.  His original claim was for $135,000 in unpaid overtime and an equal amount in liquidated damages.  The plaintiff worked for 21 months as an EMS Coordinator, with job title of “Regional Disaster Medical Health Specialist,” where he coordinated regional medical and health responses for 16 counties in Northern California in the event of an epidemic, natural disaster, power shutoff, other situation requiring the coordination of medical and health needs. He worked 1,400 hours of overtime during his employment from November 19, 2018, and August 21, 2020; he was paid as a salaried employee with no overtime pay.  The County contends that Plaintiff's position fell within the FLSA's administrative and highly compensated employee exemptions to its overtime requirement because: (1) Plaintiff met the weekly and annual salary requirements for each exemption; (2) performed non-manual work directly related to the County and the State's general business operations; and (3) exercised discretion and independent judgment as to matters of significance. </w:t>
      </w:r>
      <w:r>
        <w:rPr>
          <w:rStyle w:val="Emphasis"/>
        </w:rPr>
        <w:t>See</w:t>
      </w:r>
      <w:r>
        <w:t xml:space="preserve"> 29 C.F.R. §§ 541.200(a) &amp; 541.601(a)(1).  Mr. Bronston Plaintiff disputes that his job duties directly related to the County's general business operations and required him to exercise discretion and independent judgment with respect to matters of significance. The Court referred the case to Magistrate Judge Donna Ryu for a settlement conference, who held a settlement conference on November 7, 2022, during which the parties reached a settlement agreement, conditioned upon this Court's approval.</w:t>
      </w:r>
    </w:p>
    <w:p w14:paraId="2470496B" w14:textId="77777777" w:rsidR="00BA3CDE" w:rsidRDefault="00BA3CDE" w:rsidP="00BA3CDE">
      <w:pPr>
        <w:pStyle w:val="NormalWeb"/>
        <w:ind w:left="720"/>
      </w:pPr>
      <w:r>
        <w:t xml:space="preserve">“The Court finds that the proposed agreement-which represents approximately seventy one percent of the overtime pay Plaintiff claims that he is due and seventy four percent of the attorney's fees and costs that Plaintiff claims would be recoverable as of the date of the settlement conference were this matter to proceed to trial-reflects a reasonable compromise with respect to these difficult issues. “  </w:t>
      </w:r>
      <w:hyperlink r:id="rId1846" w:history="1">
        <w:r w:rsidRPr="00237809">
          <w:rPr>
            <w:rStyle w:val="Hyperlink"/>
            <w:rFonts w:eastAsiaTheme="majorEastAsia"/>
          </w:rPr>
          <w:t>https://public.fastcase.com/J%2FJP6pdidelsXxEE4k%2BLMiCd6Oijia%2Fc6dpDEIpvDgGdBy7usCtPvTYolvlwqFI2OWdzcN0GLk8kd6eOjq%2BBgMFCfp0NjuKJ0H4Eu6Lk4a8%3D?utm_medium=email&amp;_hsmi=226712652&amp;_hsenc=p2ANqtz-_pRHETuUebeWpUr_lBMH_-KDZL8nDlWZhRdTrL-TINRZ0QEuK3FTmopjSHxO-qjinMuMJlbokRF3HYxxN6yYg5FnBUqg&amp;utm_content=226712652&amp;utm_source=hs_email</w:t>
        </w:r>
      </w:hyperlink>
      <w:r>
        <w:t xml:space="preserve"> </w:t>
      </w:r>
    </w:p>
    <w:p w14:paraId="02BD586E" w14:textId="77777777" w:rsidR="00BA3CDE" w:rsidRPr="00015813" w:rsidRDefault="00BA3CDE" w:rsidP="00BA3CDE">
      <w:pPr>
        <w:pStyle w:val="NormalWeb"/>
        <w:rPr>
          <w:b/>
          <w:bCs/>
        </w:rPr>
      </w:pPr>
      <w:r w:rsidRPr="00015813">
        <w:rPr>
          <w:b/>
          <w:bCs/>
        </w:rPr>
        <w:t xml:space="preserve">Legal Lesson Learned: </w:t>
      </w:r>
      <w:r>
        <w:rPr>
          <w:b/>
          <w:bCs/>
        </w:rPr>
        <w:t xml:space="preserve"> Settlement of the case avoids the expense and risk to both parties of protracted litigation.  </w:t>
      </w:r>
    </w:p>
    <w:p w14:paraId="0212616D" w14:textId="34F61D2C" w:rsidR="00BA3CDE" w:rsidRDefault="00BA3CDE" w:rsidP="00BA3CDE">
      <w:pPr>
        <w:ind w:firstLine="720"/>
        <w:rPr>
          <w:rFonts w:ascii="Arial Black" w:hAnsi="Arial Black"/>
          <w:b/>
          <w:sz w:val="24"/>
          <w:szCs w:val="24"/>
        </w:rPr>
      </w:pPr>
      <w:r>
        <w:t xml:space="preserve">Note: See article on this settlement. </w:t>
      </w:r>
      <w:hyperlink r:id="rId1847" w:history="1">
        <w:r w:rsidRPr="00237809">
          <w:rPr>
            <w:rStyle w:val="Hyperlink"/>
            <w:rFonts w:eastAsiaTheme="majorEastAsia"/>
          </w:rPr>
          <w:t>http://www.firefighterovertime.org/2022/12/12/ca-county-settles-flsa-suit/</w:t>
        </w:r>
      </w:hyperlink>
    </w:p>
    <w:p w14:paraId="1F9C5C71" w14:textId="77777777" w:rsidR="00BA3CDE" w:rsidRDefault="00BA3CDE" w:rsidP="00F326E5">
      <w:pPr>
        <w:rPr>
          <w:rFonts w:ascii="Arial Black" w:hAnsi="Arial Black"/>
          <w:b/>
          <w:sz w:val="24"/>
          <w:szCs w:val="24"/>
        </w:rPr>
      </w:pPr>
    </w:p>
    <w:p w14:paraId="29C73C68" w14:textId="1369E804" w:rsidR="00F04A7D" w:rsidRDefault="00F04A7D" w:rsidP="00F326E5">
      <w:pPr>
        <w:rPr>
          <w:rFonts w:ascii="Arial Black" w:hAnsi="Arial Black"/>
          <w:b/>
          <w:sz w:val="24"/>
          <w:szCs w:val="24"/>
        </w:rPr>
      </w:pPr>
      <w:r>
        <w:rPr>
          <w:rFonts w:ascii="Arial Black" w:hAnsi="Arial Black"/>
          <w:b/>
          <w:sz w:val="24"/>
          <w:szCs w:val="24"/>
        </w:rPr>
        <w:t>11-3</w:t>
      </w:r>
      <w:r w:rsidR="00912048">
        <w:rPr>
          <w:rFonts w:ascii="Arial Black" w:hAnsi="Arial Black"/>
          <w:b/>
          <w:sz w:val="24"/>
          <w:szCs w:val="24"/>
        </w:rPr>
        <w:t>7</w:t>
      </w:r>
    </w:p>
    <w:p w14:paraId="7C3E1D52" w14:textId="77777777" w:rsidR="00282AF3" w:rsidRPr="006E476B" w:rsidRDefault="00282AF3" w:rsidP="00282AF3">
      <w:pPr>
        <w:spacing w:before="100" w:beforeAutospacing="1" w:after="100" w:afterAutospacing="1" w:line="240" w:lineRule="auto"/>
        <w:rPr>
          <w:rFonts w:ascii="Arial Black" w:eastAsia="Times New Roman" w:hAnsi="Arial Black"/>
          <w:sz w:val="28"/>
          <w:szCs w:val="28"/>
        </w:rPr>
      </w:pPr>
      <w:bookmarkStart w:id="385" w:name="_Hlk112723375"/>
      <w:r>
        <w:rPr>
          <w:rFonts w:ascii="Arial Black" w:eastAsia="Times New Roman" w:hAnsi="Arial Black"/>
          <w:sz w:val="28"/>
          <w:szCs w:val="28"/>
        </w:rPr>
        <w:t>RI: FD IN RECEIVERSHIP – “CAP” OVERTIME PAY IN CBA – FLSA VIOL. – BACKPAY &amp; LIQUIDATED DAMAGES $279,969</w:t>
      </w:r>
    </w:p>
    <w:bookmarkEnd w:id="385"/>
    <w:p w14:paraId="500A89DD" w14:textId="6CD5E528" w:rsidR="00F04A7D" w:rsidRDefault="00282AF3" w:rsidP="00282AF3">
      <w:pPr>
        <w:rPr>
          <w:rStyle w:val="Hyperlink"/>
          <w:rFonts w:ascii="Times New Roman" w:eastAsiaTheme="majorEastAsia" w:hAnsi="Times New Roman"/>
          <w:sz w:val="24"/>
          <w:szCs w:val="24"/>
        </w:rPr>
      </w:pPr>
      <w:r w:rsidRPr="00282AF3">
        <w:rPr>
          <w:rFonts w:ascii="Times New Roman" w:hAnsi="Times New Roman"/>
          <w:sz w:val="24"/>
          <w:szCs w:val="24"/>
        </w:rPr>
        <w:lastRenderedPageBreak/>
        <w:t xml:space="preserve">On Aug. 19, 2022, in </w:t>
      </w:r>
      <w:r w:rsidRPr="00282AF3">
        <w:rPr>
          <w:rFonts w:ascii="Times New Roman" w:hAnsi="Times New Roman"/>
          <w:sz w:val="24"/>
          <w:szCs w:val="24"/>
          <w:u w:val="single"/>
        </w:rPr>
        <w:t>James Almagno, on behalf of all similarly situated current and former employees v. Central Coventry Fire District</w:t>
      </w:r>
      <w:r w:rsidRPr="00282AF3">
        <w:rPr>
          <w:rFonts w:ascii="Times New Roman" w:hAnsi="Times New Roman"/>
          <w:sz w:val="24"/>
          <w:szCs w:val="24"/>
        </w:rPr>
        <w:t xml:space="preserve">, U.S. District Court Judge John J. McConnell, Jr., U.S. District Court of Rhode Island, the Judge held that cap on overtime pay in the CBA violated FLSA. “The CBA also caps overtime paid. Under Article III, Section 3 of the CBA, ‘when the </w:t>
      </w:r>
      <w:proofErr w:type="gramStart"/>
      <w:r w:rsidRPr="00282AF3">
        <w:rPr>
          <w:rFonts w:ascii="Times New Roman" w:hAnsi="Times New Roman"/>
          <w:sz w:val="24"/>
          <w:szCs w:val="24"/>
        </w:rPr>
        <w:t>District</w:t>
      </w:r>
      <w:proofErr w:type="gramEnd"/>
      <w:r w:rsidRPr="00282AF3">
        <w:rPr>
          <w:rFonts w:ascii="Times New Roman" w:hAnsi="Times New Roman"/>
          <w:sz w:val="24"/>
          <w:szCs w:val="24"/>
        </w:rPr>
        <w:t xml:space="preserve"> reaches One Hundred Twenty Thousand Dollars ($120,000.00) in overtime expenses (i.e., time-and-one-half pay) in any fiscal year...the </w:t>
      </w:r>
      <w:proofErr w:type="gramStart"/>
      <w:r w:rsidRPr="00282AF3">
        <w:rPr>
          <w:rFonts w:ascii="Times New Roman" w:hAnsi="Times New Roman"/>
          <w:sz w:val="24"/>
          <w:szCs w:val="24"/>
        </w:rPr>
        <w:t>District</w:t>
      </w:r>
      <w:proofErr w:type="gramEnd"/>
      <w:r w:rsidRPr="00282AF3">
        <w:rPr>
          <w:rFonts w:ascii="Times New Roman" w:hAnsi="Times New Roman"/>
          <w:sz w:val="24"/>
          <w:szCs w:val="24"/>
        </w:rPr>
        <w:t xml:space="preserve"> shall pay firefighters...their straight time hourly rate... for each hour actually worked in excess of 212 hours. *** Relying on the DOL's investigation, Plaintiffs now move for summary judgment, arguing that there are no disputed issues of material fact as to the </w:t>
      </w:r>
      <w:proofErr w:type="gramStart"/>
      <w:r w:rsidRPr="00282AF3">
        <w:rPr>
          <w:rFonts w:ascii="Times New Roman" w:hAnsi="Times New Roman"/>
          <w:sz w:val="24"/>
          <w:szCs w:val="24"/>
        </w:rPr>
        <w:t>District's</w:t>
      </w:r>
      <w:proofErr w:type="gramEnd"/>
      <w:r w:rsidRPr="00282AF3">
        <w:rPr>
          <w:rFonts w:ascii="Times New Roman" w:hAnsi="Times New Roman"/>
          <w:sz w:val="24"/>
          <w:szCs w:val="24"/>
        </w:rPr>
        <w:t xml:space="preserve"> liability or damages such that they are entitled to judgment. After a thorough review of the briefing and record, the Court GRANTS Plaintiffs Motion for Summary Judgment. *** Considering the statutory double damage requirement for all but “reasonable,” ‘good faith’ mistakes, the Court finds that Plaintiffs are entitled to liquidated damages of $279,969.68. See 29 U.S.C. §§ 216(b), 260.” </w:t>
      </w:r>
      <w:hyperlink r:id="rId1848" w:history="1">
        <w:r w:rsidRPr="00282AF3">
          <w:rPr>
            <w:rStyle w:val="Hyperlink"/>
            <w:rFonts w:ascii="Times New Roman" w:eastAsiaTheme="majorEastAsia" w:hAnsi="Times New Roman"/>
            <w:sz w:val="24"/>
            <w:szCs w:val="24"/>
          </w:rPr>
          <w:t>https://public.fastcase.com/J%2FJP6pdidelsXxEE4k%2BLMr0y9kFOAzIUnYfOqh5rzor5PqJTkzf5B1o34%2FZmTTqCNP3Iy4k13qLiNXQ3dhjTd98I5NdjhvTfnAcaeUtmaKs%3D</w:t>
        </w:r>
      </w:hyperlink>
    </w:p>
    <w:p w14:paraId="51FCFA9D" w14:textId="77777777" w:rsidR="00282AF3" w:rsidRPr="00C0439B" w:rsidRDefault="00282AF3" w:rsidP="00282AF3">
      <w:pPr>
        <w:spacing w:before="100" w:beforeAutospacing="1" w:after="100" w:afterAutospacing="1" w:line="240" w:lineRule="auto"/>
        <w:rPr>
          <w:rFonts w:ascii="Times New Roman" w:eastAsia="Times New Roman" w:hAnsi="Times New Roman"/>
          <w:b/>
          <w:bCs/>
          <w:sz w:val="24"/>
          <w:szCs w:val="24"/>
        </w:rPr>
      </w:pPr>
      <w:r w:rsidRPr="00C0439B">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 Fire Department and the Union </w:t>
      </w:r>
      <w:proofErr w:type="spellStart"/>
      <w:r>
        <w:rPr>
          <w:rFonts w:ascii="Times New Roman" w:eastAsia="Times New Roman" w:hAnsi="Times New Roman"/>
          <w:b/>
          <w:bCs/>
          <w:sz w:val="24"/>
          <w:szCs w:val="24"/>
        </w:rPr>
        <w:t>can not</w:t>
      </w:r>
      <w:proofErr w:type="spellEnd"/>
      <w:r>
        <w:rPr>
          <w:rFonts w:ascii="Times New Roman" w:eastAsia="Times New Roman" w:hAnsi="Times New Roman"/>
          <w:b/>
          <w:bCs/>
          <w:sz w:val="24"/>
          <w:szCs w:val="24"/>
        </w:rPr>
        <w:t xml:space="preserve"> agree to “cap” overtime pay in violation of the FLSA. </w:t>
      </w:r>
    </w:p>
    <w:p w14:paraId="71273AE4" w14:textId="77777777" w:rsidR="00282AF3" w:rsidRPr="003F16DC" w:rsidRDefault="00282AF3" w:rsidP="00282AF3">
      <w:pPr>
        <w:pStyle w:val="Heading1"/>
        <w:ind w:left="720"/>
        <w:rPr>
          <w:b w:val="0"/>
          <w:bCs w:val="0"/>
          <w:sz w:val="24"/>
          <w:szCs w:val="24"/>
        </w:rPr>
      </w:pPr>
      <w:r w:rsidRPr="00BD1685">
        <w:rPr>
          <w:b w:val="0"/>
          <w:bCs w:val="0"/>
          <w:sz w:val="24"/>
          <w:szCs w:val="24"/>
        </w:rPr>
        <w:t xml:space="preserve">Note: See article, Oct. 22, 2020, Central Coventry firefighters sue, claiming district stiffed them on overtime. </w:t>
      </w:r>
      <w:hyperlink r:id="rId1849" w:history="1">
        <w:r w:rsidRPr="004073E4">
          <w:rPr>
            <w:rStyle w:val="Hyperlink"/>
            <w:rFonts w:eastAsiaTheme="majorEastAsia"/>
            <w:b w:val="0"/>
            <w:bCs w:val="0"/>
            <w:sz w:val="24"/>
            <w:szCs w:val="24"/>
          </w:rPr>
          <w:t>https://www.providencejournal.com/story/news/courts/2020/10/20/central-coventry-firefighters-say-district-stiffed-them-overtime/5990213002/</w:t>
        </w:r>
      </w:hyperlink>
      <w:r w:rsidRPr="004073E4">
        <w:rPr>
          <w:b w:val="0"/>
          <w:bCs w:val="0"/>
          <w:sz w:val="24"/>
          <w:szCs w:val="24"/>
        </w:rPr>
        <w:t xml:space="preserve"> </w:t>
      </w:r>
      <w:r w:rsidRPr="004073E4">
        <w:rPr>
          <w:rStyle w:val="Strong"/>
          <w:sz w:val="24"/>
          <w:szCs w:val="24"/>
        </w:rPr>
        <w:t>“The suit follows</w:t>
      </w:r>
      <w:r w:rsidRPr="004073E4">
        <w:rPr>
          <w:b w:val="0"/>
          <w:bCs w:val="0"/>
          <w:sz w:val="24"/>
          <w:szCs w:val="24"/>
        </w:rPr>
        <w:t xml:space="preserve"> a U.S. Department of Labor investigation, launched in 2018, that </w:t>
      </w:r>
      <w:r w:rsidRPr="00BD1685">
        <w:rPr>
          <w:b w:val="0"/>
          <w:bCs w:val="0"/>
          <w:sz w:val="24"/>
          <w:szCs w:val="24"/>
        </w:rPr>
        <w:t>found the district owed $139,484 in unpaid overtime to 32 employees accrued from 2016 through 2018.</w:t>
      </w:r>
      <w:r>
        <w:rPr>
          <w:b w:val="0"/>
          <w:bCs w:val="0"/>
          <w:sz w:val="24"/>
          <w:szCs w:val="24"/>
        </w:rPr>
        <w:t xml:space="preserve"> *** </w:t>
      </w:r>
      <w:r w:rsidRPr="003F16DC">
        <w:rPr>
          <w:rStyle w:val="Strong"/>
          <w:sz w:val="24"/>
          <w:szCs w:val="24"/>
        </w:rPr>
        <w:t>The lawsuit is</w:t>
      </w:r>
      <w:r w:rsidRPr="003F16DC">
        <w:rPr>
          <w:b w:val="0"/>
          <w:bCs w:val="0"/>
          <w:sz w:val="24"/>
          <w:szCs w:val="24"/>
        </w:rPr>
        <w:t xml:space="preserve"> yet another chapter in the district’s sometimes-strained relationship with its firefighters. The union and the district were long mired in the courts after the district’s financial troubles surfaced in 2012 and it was taken into receivership by the state.</w:t>
      </w:r>
      <w:r>
        <w:rPr>
          <w:b w:val="0"/>
          <w:bCs w:val="0"/>
          <w:sz w:val="24"/>
          <w:szCs w:val="24"/>
        </w:rPr>
        <w:t>”</w:t>
      </w:r>
    </w:p>
    <w:p w14:paraId="0B839522" w14:textId="77777777" w:rsidR="00282AF3" w:rsidRPr="00282AF3" w:rsidRDefault="00282AF3" w:rsidP="00282AF3">
      <w:pPr>
        <w:rPr>
          <w:rFonts w:ascii="Times New Roman" w:hAnsi="Times New Roman"/>
          <w:b/>
          <w:sz w:val="24"/>
          <w:szCs w:val="24"/>
        </w:rPr>
      </w:pPr>
    </w:p>
    <w:p w14:paraId="5334B0E2" w14:textId="77777777" w:rsidR="00F04A7D" w:rsidRDefault="00F04A7D" w:rsidP="00F326E5">
      <w:pPr>
        <w:rPr>
          <w:rFonts w:ascii="Arial Black" w:hAnsi="Arial Black"/>
          <w:b/>
          <w:sz w:val="24"/>
          <w:szCs w:val="24"/>
        </w:rPr>
      </w:pPr>
    </w:p>
    <w:p w14:paraId="6F3F7015" w14:textId="44D402BA" w:rsidR="00C67B2A" w:rsidRDefault="00C67B2A" w:rsidP="00F326E5">
      <w:pPr>
        <w:rPr>
          <w:rFonts w:ascii="Arial Black" w:hAnsi="Arial Black"/>
          <w:b/>
          <w:sz w:val="24"/>
          <w:szCs w:val="24"/>
        </w:rPr>
      </w:pPr>
      <w:r>
        <w:rPr>
          <w:rFonts w:ascii="Arial Black" w:hAnsi="Arial Black"/>
          <w:b/>
          <w:sz w:val="24"/>
          <w:szCs w:val="24"/>
        </w:rPr>
        <w:t>11-3</w:t>
      </w:r>
      <w:r w:rsidR="00912048">
        <w:rPr>
          <w:rFonts w:ascii="Arial Black" w:hAnsi="Arial Black"/>
          <w:b/>
          <w:sz w:val="24"/>
          <w:szCs w:val="24"/>
        </w:rPr>
        <w:t>6</w:t>
      </w:r>
    </w:p>
    <w:p w14:paraId="2AC60FE0" w14:textId="77777777" w:rsidR="00C67B2A" w:rsidRDefault="00C67B2A" w:rsidP="00C67B2A">
      <w:pPr>
        <w:pStyle w:val="NormalWeb"/>
        <w:rPr>
          <w:rFonts w:ascii="Arial Black" w:hAnsi="Arial Black"/>
          <w:sz w:val="28"/>
          <w:szCs w:val="28"/>
        </w:rPr>
      </w:pPr>
      <w:r>
        <w:rPr>
          <w:rFonts w:ascii="Arial Black" w:hAnsi="Arial Black"/>
          <w:sz w:val="28"/>
          <w:szCs w:val="28"/>
        </w:rPr>
        <w:t xml:space="preserve">PA: FIRST DEPUTY CHIEF – 1996 RE-CLASSIFIED AS “EXEMPT” - LAWSUIT TO PROCEED – JURY DECISION </w:t>
      </w:r>
    </w:p>
    <w:p w14:paraId="0B5BD9B9" w14:textId="77777777" w:rsidR="00C67B2A" w:rsidRDefault="00C67B2A" w:rsidP="00C67B2A">
      <w:pPr>
        <w:pStyle w:val="NormalWeb"/>
      </w:pPr>
      <w:r>
        <w:t xml:space="preserve">On Oct. 27, 2021, in </w:t>
      </w:r>
      <w:r w:rsidRPr="00BA1555">
        <w:rPr>
          <w:u w:val="single"/>
        </w:rPr>
        <w:t>Gary Mogel v. City of Reading</w:t>
      </w:r>
      <w:r>
        <w:t xml:space="preserve">, U.S. District Court Judge John M. Gallagher, U.S. District Court for Eastern District of Pennsylvania, denied motions for summary judgment by both the plaintiff and the city, and will have a jury decide if there has been a violation of FLSA.  The Court did hold that if the plaintiff does win, he is entitled to liquidated damages (double amount of back pay) since the City failed to show it contacted U.S. Department of Labor or consulted legal counsel when in 1996 it stopped paying overtime to First Chiefs. </w:t>
      </w:r>
    </w:p>
    <w:p w14:paraId="5DBC3D69" w14:textId="77777777" w:rsidR="00C67B2A" w:rsidRDefault="00C67B2A" w:rsidP="00C67B2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607549">
        <w:rPr>
          <w:rFonts w:ascii="Times New Roman" w:hAnsi="Times New Roman"/>
          <w:sz w:val="24"/>
          <w:szCs w:val="24"/>
        </w:rPr>
        <w:t>In sum, each party has produced evidence that could persuade a jury to resolve the exemption issue in its favor. Since there remains a genuine dispute as to what Plaintiff's primary duty was, it would be inappropriate to enter summary judgment for either party on this issue.</w:t>
      </w:r>
    </w:p>
    <w:p w14:paraId="198CCF9F" w14:textId="77777777" w:rsidR="00C67B2A" w:rsidRDefault="00C67B2A" w:rsidP="00C67B2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4A05BE82" w14:textId="77777777" w:rsidR="00C67B2A" w:rsidRDefault="00C67B2A" w:rsidP="00C67B2A">
      <w:pPr>
        <w:spacing w:before="100" w:beforeAutospacing="1" w:after="100" w:afterAutospacing="1" w:line="240" w:lineRule="auto"/>
        <w:ind w:left="720"/>
        <w:rPr>
          <w:rFonts w:ascii="Times New Roman" w:hAnsi="Times New Roman"/>
          <w:sz w:val="24"/>
          <w:szCs w:val="24"/>
        </w:rPr>
      </w:pPr>
      <w:r w:rsidRPr="00607549">
        <w:rPr>
          <w:rFonts w:ascii="Times New Roman" w:hAnsi="Times New Roman"/>
          <w:sz w:val="24"/>
          <w:szCs w:val="24"/>
        </w:rPr>
        <w:lastRenderedPageBreak/>
        <w:t xml:space="preserve">Defendant argues that caselaw from other circuit courts, the Department of Labor's regulations, and a Department of Labor opinion letter comport with Defendant's compensation scheme, and Defendant asks the Court to infer from the mere existence of these authorities that Defendant relied on them in good faith. </w:t>
      </w:r>
      <w:proofErr w:type="spellStart"/>
      <w:r w:rsidRPr="00607549">
        <w:rPr>
          <w:rFonts w:ascii="Times New Roman" w:hAnsi="Times New Roman"/>
          <w:sz w:val="24"/>
          <w:szCs w:val="24"/>
        </w:rPr>
        <w:t>Def.'s</w:t>
      </w:r>
      <w:proofErr w:type="spellEnd"/>
      <w:r w:rsidRPr="00607549">
        <w:rPr>
          <w:rFonts w:ascii="Times New Roman" w:hAnsi="Times New Roman"/>
          <w:sz w:val="24"/>
          <w:szCs w:val="24"/>
        </w:rPr>
        <w:t xml:space="preserve"> Mem. Law Opp. Pl.'s Mot. Summ. J. at 18. But Defendant has not produced any evidence that it </w:t>
      </w:r>
      <w:proofErr w:type="gramStart"/>
      <w:r w:rsidRPr="00607549">
        <w:rPr>
          <w:rFonts w:ascii="Times New Roman" w:hAnsi="Times New Roman"/>
          <w:sz w:val="24"/>
          <w:szCs w:val="24"/>
        </w:rPr>
        <w:t>actually reviewed</w:t>
      </w:r>
      <w:proofErr w:type="gramEnd"/>
      <w:r w:rsidRPr="00607549">
        <w:rPr>
          <w:rFonts w:ascii="Times New Roman" w:hAnsi="Times New Roman"/>
          <w:sz w:val="24"/>
          <w:szCs w:val="24"/>
        </w:rPr>
        <w:t xml:space="preserve"> or was aware of these authorities when it decided to stop paying First Deputies overtime or at any point thereafter. While these authorities might support a conclusion that Defendant had a reasonable basis to change compensation schemes, they cannot support a finding of good faith unless Defendant can show that Defendant </w:t>
      </w:r>
      <w:proofErr w:type="gramStart"/>
      <w:r w:rsidRPr="00607549">
        <w:rPr>
          <w:rFonts w:ascii="Times New Roman" w:hAnsi="Times New Roman"/>
          <w:sz w:val="24"/>
          <w:szCs w:val="24"/>
        </w:rPr>
        <w:t>actually consulted</w:t>
      </w:r>
      <w:proofErr w:type="gramEnd"/>
      <w:r w:rsidRPr="00607549">
        <w:rPr>
          <w:rFonts w:ascii="Times New Roman" w:hAnsi="Times New Roman"/>
          <w:sz w:val="24"/>
          <w:szCs w:val="24"/>
        </w:rPr>
        <w:t xml:space="preserve"> them</w:t>
      </w:r>
      <w:r>
        <w:rPr>
          <w:rFonts w:ascii="Times New Roman" w:hAnsi="Times New Roman"/>
          <w:sz w:val="24"/>
          <w:szCs w:val="24"/>
        </w:rPr>
        <w:t xml:space="preserve">…. </w:t>
      </w:r>
      <w:r w:rsidRPr="00607549">
        <w:rPr>
          <w:rFonts w:ascii="Times New Roman" w:hAnsi="Times New Roman"/>
          <w:sz w:val="24"/>
          <w:szCs w:val="24"/>
        </w:rPr>
        <w:t>It is yet to be determined whether Defendant's compensation scheme violated the FLSA. But if a jury finds that it did, then Plaintiff will be entitled to liquidated damages.</w:t>
      </w:r>
      <w:r>
        <w:rPr>
          <w:rFonts w:ascii="Times New Roman" w:hAnsi="Times New Roman"/>
          <w:sz w:val="24"/>
          <w:szCs w:val="24"/>
        </w:rPr>
        <w:t xml:space="preserve">” </w:t>
      </w:r>
      <w:hyperlink r:id="rId1850" w:history="1">
        <w:r w:rsidRPr="009545D0">
          <w:rPr>
            <w:rStyle w:val="Hyperlink"/>
            <w:sz w:val="24"/>
            <w:szCs w:val="24"/>
          </w:rPr>
          <w:t>https://public.fastcase.com/9SKwsfNqTc6OieYDhNMyM6wIjV%2FgrP6%2B9MDXlv1tVkNXweOaDt%2BbGPgPJ0OsLFYAPgMRGXfDo03cnu2EwM1JQQOl%2Bf0LG6cX5zSOobt1xqY%3D</w:t>
        </w:r>
      </w:hyperlink>
      <w:r>
        <w:rPr>
          <w:rFonts w:ascii="Times New Roman" w:hAnsi="Times New Roman"/>
          <w:sz w:val="24"/>
          <w:szCs w:val="24"/>
        </w:rPr>
        <w:t xml:space="preserve"> </w:t>
      </w:r>
    </w:p>
    <w:p w14:paraId="74DFD987" w14:textId="77777777" w:rsidR="00C67B2A" w:rsidRPr="00607549" w:rsidRDefault="00C67B2A" w:rsidP="00C67B2A">
      <w:pPr>
        <w:spacing w:before="100" w:beforeAutospacing="1" w:after="100" w:afterAutospacing="1" w:line="240" w:lineRule="auto"/>
        <w:rPr>
          <w:rFonts w:ascii="Times New Roman" w:hAnsi="Times New Roman"/>
          <w:b/>
          <w:bCs/>
          <w:sz w:val="24"/>
          <w:szCs w:val="24"/>
        </w:rPr>
      </w:pPr>
      <w:r w:rsidRPr="00607549">
        <w:rPr>
          <w:rFonts w:ascii="Times New Roman" w:hAnsi="Times New Roman"/>
          <w:b/>
          <w:bCs/>
          <w:sz w:val="24"/>
          <w:szCs w:val="24"/>
        </w:rPr>
        <w:t>Legal Lesson Learned:</w:t>
      </w:r>
      <w:r>
        <w:rPr>
          <w:rFonts w:ascii="Times New Roman" w:hAnsi="Times New Roman"/>
          <w:b/>
          <w:bCs/>
          <w:sz w:val="24"/>
          <w:szCs w:val="24"/>
        </w:rPr>
        <w:t xml:space="preserve"> If a FD is going to re-classify officers as “exempt” it is wise to consult with legal counsel or the U.S. Department of Labor to prove you acted in “good faith” to avoid liquidated damages. </w:t>
      </w:r>
    </w:p>
    <w:p w14:paraId="13D6995C" w14:textId="184E075B" w:rsidR="00C67B2A" w:rsidRDefault="00C67B2A" w:rsidP="00F326E5">
      <w:pPr>
        <w:rPr>
          <w:rFonts w:ascii="Arial Black" w:hAnsi="Arial Black"/>
          <w:b/>
          <w:sz w:val="24"/>
          <w:szCs w:val="24"/>
        </w:rPr>
      </w:pPr>
      <w:r>
        <w:rPr>
          <w:rFonts w:ascii="Arial Black" w:hAnsi="Arial Black"/>
          <w:b/>
          <w:sz w:val="24"/>
          <w:szCs w:val="24"/>
        </w:rPr>
        <w:t>11-3</w:t>
      </w:r>
      <w:r w:rsidR="00912048">
        <w:rPr>
          <w:rFonts w:ascii="Arial Black" w:hAnsi="Arial Black"/>
          <w:b/>
          <w:sz w:val="24"/>
          <w:szCs w:val="24"/>
        </w:rPr>
        <w:t>5</w:t>
      </w:r>
    </w:p>
    <w:p w14:paraId="3ABABD46" w14:textId="77777777" w:rsidR="00C67B2A" w:rsidRDefault="00C67B2A" w:rsidP="00C67B2A">
      <w:pPr>
        <w:rPr>
          <w:rFonts w:ascii="Arial Black" w:eastAsia="Times New Roman" w:hAnsi="Arial Black"/>
          <w:sz w:val="28"/>
          <w:szCs w:val="28"/>
        </w:rPr>
      </w:pPr>
      <w:r>
        <w:rPr>
          <w:rFonts w:ascii="Arial Black" w:eastAsia="Times New Roman" w:hAnsi="Arial Black"/>
          <w:sz w:val="28"/>
          <w:szCs w:val="28"/>
        </w:rPr>
        <w:t>OH: VILLAGE FD FAILED TO PAY ANY OVERTIME – FF GET $25K BACK PAY – DOUBLED LIQUIDATED DAMAGES - $50K</w:t>
      </w:r>
    </w:p>
    <w:p w14:paraId="28FC0810" w14:textId="77777777" w:rsidR="00C67B2A" w:rsidRDefault="00C67B2A" w:rsidP="00C67B2A">
      <w:pPr>
        <w:rPr>
          <w:rFonts w:ascii="Times New Roman" w:eastAsia="Times New Roman" w:hAnsi="Times New Roman"/>
          <w:sz w:val="24"/>
          <w:szCs w:val="24"/>
        </w:rPr>
      </w:pPr>
      <w:r>
        <w:rPr>
          <w:rFonts w:ascii="Times New Roman" w:eastAsia="Times New Roman" w:hAnsi="Times New Roman"/>
          <w:sz w:val="24"/>
          <w:szCs w:val="24"/>
        </w:rPr>
        <w:t xml:space="preserve">On Oct. 26, 2021, in </w:t>
      </w:r>
      <w:r w:rsidRPr="00485145">
        <w:rPr>
          <w:rFonts w:ascii="Times New Roman" w:eastAsia="Times New Roman" w:hAnsi="Times New Roman"/>
          <w:sz w:val="24"/>
          <w:szCs w:val="24"/>
          <w:u w:val="single"/>
        </w:rPr>
        <w:t>David Vance v. Village of Highland Hills</w:t>
      </w:r>
      <w:r>
        <w:rPr>
          <w:rFonts w:ascii="Times New Roman" w:eastAsia="Times New Roman" w:hAnsi="Times New Roman"/>
          <w:sz w:val="24"/>
          <w:szCs w:val="24"/>
        </w:rPr>
        <w:t>, the U.S. Court of Appeals for 6</w:t>
      </w:r>
      <w:r w:rsidRPr="00485145">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(Cincinnati), held (3 to 0) in unpublished opinion that since the Fire Chief never paid any firefighters overtime, and never established a 28-day pay period, the U.S. District Court judge properly held that the firefighter is entitled to $50,160.90.</w:t>
      </w:r>
    </w:p>
    <w:p w14:paraId="67CE1B49" w14:textId="77777777" w:rsidR="00C67B2A" w:rsidRDefault="00C67B2A" w:rsidP="00C67B2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DA1574">
        <w:rPr>
          <w:rFonts w:ascii="Times New Roman" w:eastAsia="Times New Roman" w:hAnsi="Times New Roman"/>
          <w:sz w:val="24"/>
          <w:szCs w:val="24"/>
        </w:rPr>
        <w:t xml:space="preserve">The Village </w:t>
      </w:r>
      <w:r>
        <w:rPr>
          <w:rFonts w:ascii="Times New Roman" w:eastAsia="Times New Roman" w:hAnsi="Times New Roman"/>
          <w:sz w:val="24"/>
          <w:szCs w:val="24"/>
        </w:rPr>
        <w:t>‘</w:t>
      </w:r>
      <w:r w:rsidRPr="00DA1574">
        <w:rPr>
          <w:rFonts w:ascii="Times New Roman" w:eastAsia="Times New Roman" w:hAnsi="Times New Roman"/>
          <w:sz w:val="24"/>
          <w:szCs w:val="24"/>
        </w:rPr>
        <w:t>bears the burden of proving it adopted a work period that brings it within the rule of § 207(k).</w:t>
      </w:r>
      <w:r>
        <w:rPr>
          <w:rFonts w:ascii="Times New Roman" w:eastAsia="Times New Roman" w:hAnsi="Times New Roman"/>
          <w:sz w:val="24"/>
          <w:szCs w:val="24"/>
        </w:rPr>
        <w:t xml:space="preserve">’ </w:t>
      </w:r>
      <w:r w:rsidRPr="00DA1574">
        <w:rPr>
          <w:rFonts w:ascii="Times New Roman" w:eastAsia="Times New Roman" w:hAnsi="Times New Roman"/>
          <w:i/>
          <w:iCs/>
          <w:sz w:val="24"/>
          <w:szCs w:val="24"/>
        </w:rPr>
        <w:t>Brock</w:t>
      </w:r>
      <w:r w:rsidRPr="00DA1574">
        <w:rPr>
          <w:rFonts w:ascii="Times New Roman" w:eastAsia="Times New Roman" w:hAnsi="Times New Roman"/>
          <w:sz w:val="24"/>
          <w:szCs w:val="24"/>
        </w:rPr>
        <w:t xml:space="preserve">, 236 F.3d at 810. Based on the stipulated facts, the district court found that the Village did not meet this burden. The Village did provide evidence that its personnel manual calls for a 28-day pay period for public safety employees and for the payment of overtime, but both parties stipulated that this policy was not applied to Vance. The fire chief himself acknowledged this, noting both that a previous fire chief </w:t>
      </w:r>
      <w:r>
        <w:rPr>
          <w:rFonts w:ascii="Times New Roman" w:eastAsia="Times New Roman" w:hAnsi="Times New Roman"/>
          <w:sz w:val="24"/>
          <w:szCs w:val="24"/>
        </w:rPr>
        <w:t>‘</w:t>
      </w:r>
      <w:r w:rsidRPr="00DA1574">
        <w:rPr>
          <w:rFonts w:ascii="Times New Roman" w:eastAsia="Times New Roman" w:hAnsi="Times New Roman"/>
          <w:sz w:val="24"/>
          <w:szCs w:val="24"/>
        </w:rPr>
        <w:t>used to tell us, you guys can work as much as you want, but you're not going to get paid overtime . . .</w:t>
      </w:r>
      <w:r>
        <w:rPr>
          <w:rFonts w:ascii="Times New Roman" w:eastAsia="Times New Roman" w:hAnsi="Times New Roman"/>
          <w:sz w:val="24"/>
          <w:szCs w:val="24"/>
        </w:rPr>
        <w:t>’</w:t>
      </w:r>
      <w:r w:rsidRPr="00DA1574">
        <w:rPr>
          <w:rFonts w:ascii="Times New Roman" w:eastAsia="Times New Roman" w:hAnsi="Times New Roman"/>
          <w:sz w:val="24"/>
          <w:szCs w:val="24"/>
        </w:rPr>
        <w:t xml:space="preserve"> and that </w:t>
      </w:r>
      <w:r>
        <w:rPr>
          <w:rFonts w:ascii="Times New Roman" w:eastAsia="Times New Roman" w:hAnsi="Times New Roman"/>
          <w:sz w:val="24"/>
          <w:szCs w:val="24"/>
        </w:rPr>
        <w:t>‘</w:t>
      </w:r>
      <w:r w:rsidRPr="00DA1574">
        <w:rPr>
          <w:rFonts w:ascii="Times New Roman" w:eastAsia="Times New Roman" w:hAnsi="Times New Roman"/>
          <w:sz w:val="24"/>
          <w:szCs w:val="24"/>
        </w:rPr>
        <w:t>[t]o my knowledge nobody was paid overtime within our department.</w:t>
      </w:r>
      <w:r>
        <w:rPr>
          <w:rFonts w:ascii="Times New Roman" w:eastAsia="Times New Roman" w:hAnsi="Times New Roman"/>
          <w:sz w:val="24"/>
          <w:szCs w:val="24"/>
        </w:rPr>
        <w:t>’</w:t>
      </w:r>
      <w:r w:rsidRPr="00DA1574">
        <w:rPr>
          <w:rFonts w:ascii="Times New Roman" w:eastAsia="Times New Roman" w:hAnsi="Times New Roman"/>
          <w:sz w:val="24"/>
          <w:szCs w:val="24"/>
        </w:rPr>
        <w:t xml:space="preserve"> This led the district court to find that the Village </w:t>
      </w:r>
      <w:r>
        <w:rPr>
          <w:rFonts w:ascii="Times New Roman" w:eastAsia="Times New Roman" w:hAnsi="Times New Roman"/>
          <w:sz w:val="24"/>
          <w:szCs w:val="24"/>
        </w:rPr>
        <w:t>‘</w:t>
      </w:r>
      <w:r w:rsidRPr="00DA1574">
        <w:rPr>
          <w:rFonts w:ascii="Times New Roman" w:eastAsia="Times New Roman" w:hAnsi="Times New Roman"/>
          <w:sz w:val="24"/>
          <w:szCs w:val="24"/>
        </w:rPr>
        <w:t>did not establish a 28-day work period as the § 207(k) exemption required[, ]</w:t>
      </w:r>
      <w:r>
        <w:rPr>
          <w:rFonts w:ascii="Times New Roman" w:eastAsia="Times New Roman" w:hAnsi="Times New Roman"/>
          <w:sz w:val="24"/>
          <w:szCs w:val="24"/>
        </w:rPr>
        <w:t>’</w:t>
      </w:r>
      <w:r w:rsidRPr="00DA1574">
        <w:rPr>
          <w:rFonts w:ascii="Times New Roman" w:eastAsia="Times New Roman" w:hAnsi="Times New Roman"/>
          <w:sz w:val="24"/>
          <w:szCs w:val="24"/>
        </w:rPr>
        <w:t xml:space="preserve"> and </w:t>
      </w:r>
      <w:r>
        <w:rPr>
          <w:rFonts w:ascii="Times New Roman" w:eastAsia="Times New Roman" w:hAnsi="Times New Roman"/>
          <w:sz w:val="24"/>
          <w:szCs w:val="24"/>
        </w:rPr>
        <w:t>‘</w:t>
      </w:r>
      <w:r w:rsidRPr="00DA1574">
        <w:rPr>
          <w:rFonts w:ascii="Times New Roman" w:eastAsia="Times New Roman" w:hAnsi="Times New Roman"/>
          <w:sz w:val="24"/>
          <w:szCs w:val="24"/>
        </w:rPr>
        <w:t>[t]here is no indication that the fire department ever actually followed the employee manual policy with respect to [Vance].</w:t>
      </w:r>
      <w:r>
        <w:rPr>
          <w:rFonts w:ascii="Times New Roman" w:eastAsia="Times New Roman" w:hAnsi="Times New Roman"/>
          <w:sz w:val="24"/>
          <w:szCs w:val="24"/>
        </w:rPr>
        <w:t>’</w:t>
      </w:r>
      <w:r w:rsidRPr="00DA1574">
        <w:rPr>
          <w:rFonts w:ascii="Times New Roman" w:eastAsia="Times New Roman" w:hAnsi="Times New Roman"/>
          <w:sz w:val="24"/>
          <w:szCs w:val="24"/>
        </w:rPr>
        <w:t xml:space="preserve"> </w:t>
      </w:r>
      <w:r w:rsidRPr="00DA1574">
        <w:rPr>
          <w:rFonts w:ascii="Times New Roman" w:eastAsia="Times New Roman" w:hAnsi="Times New Roman"/>
          <w:i/>
          <w:iCs/>
          <w:sz w:val="24"/>
          <w:szCs w:val="24"/>
        </w:rPr>
        <w:t>Vance</w:t>
      </w:r>
      <w:r w:rsidRPr="00DA1574">
        <w:rPr>
          <w:rFonts w:ascii="Times New Roman" w:eastAsia="Times New Roman" w:hAnsi="Times New Roman"/>
          <w:sz w:val="24"/>
          <w:szCs w:val="24"/>
        </w:rPr>
        <w:t>, 2020 WL 7490100, at *2-3. This conclusion is well-supported by the record, and it was not erroneous. We affirm.</w:t>
      </w:r>
      <w:r>
        <w:rPr>
          <w:rFonts w:ascii="Times New Roman" w:eastAsia="Times New Roman" w:hAnsi="Times New Roman"/>
          <w:sz w:val="24"/>
          <w:szCs w:val="24"/>
        </w:rPr>
        <w:t xml:space="preserve">”  </w:t>
      </w:r>
      <w:hyperlink r:id="rId1851" w:history="1">
        <w:r w:rsidRPr="009545D0">
          <w:rPr>
            <w:rStyle w:val="Hyperlink"/>
            <w:sz w:val="24"/>
            <w:szCs w:val="24"/>
          </w:rPr>
          <w:t>https://www.opn.ca6.uscourts.gov/opinions.pdf/21a0485n-06.pdf</w:t>
        </w:r>
      </w:hyperlink>
      <w:r>
        <w:rPr>
          <w:rFonts w:ascii="Times New Roman" w:eastAsia="Times New Roman" w:hAnsi="Times New Roman"/>
          <w:sz w:val="24"/>
          <w:szCs w:val="24"/>
        </w:rPr>
        <w:t xml:space="preserve"> </w:t>
      </w:r>
    </w:p>
    <w:p w14:paraId="0CEE2F0D" w14:textId="77777777" w:rsidR="00C67B2A" w:rsidRPr="00DA1574" w:rsidRDefault="00C67B2A" w:rsidP="00C67B2A">
      <w:pPr>
        <w:spacing w:before="100" w:beforeAutospacing="1" w:after="100" w:afterAutospacing="1" w:line="240" w:lineRule="auto"/>
        <w:jc w:val="both"/>
        <w:rPr>
          <w:rFonts w:ascii="Times New Roman" w:eastAsia="Times New Roman" w:hAnsi="Times New Roman"/>
          <w:b/>
          <w:bCs/>
          <w:sz w:val="24"/>
          <w:szCs w:val="24"/>
        </w:rPr>
      </w:pPr>
      <w:r w:rsidRPr="00DA1574">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Under the FLSA, liquidated damages are designed to punish an employer who ignores the law. </w:t>
      </w:r>
    </w:p>
    <w:p w14:paraId="288FBE25" w14:textId="77777777" w:rsidR="00C67B2A" w:rsidRPr="00DA1574" w:rsidRDefault="00C67B2A" w:rsidP="00C67B2A">
      <w:pPr>
        <w:spacing w:before="100" w:beforeAutospacing="1" w:after="100" w:afterAutospacing="1" w:line="240" w:lineRule="auto"/>
        <w:ind w:left="720"/>
        <w:rPr>
          <w:rFonts w:ascii="Times New Roman" w:eastAsia="Times New Roman" w:hAnsi="Times New Roman"/>
          <w:b/>
          <w:bCs/>
          <w:sz w:val="24"/>
          <w:szCs w:val="24"/>
        </w:rPr>
      </w:pPr>
      <w:r w:rsidRPr="00DA1574">
        <w:rPr>
          <w:rFonts w:ascii="Times New Roman" w:eastAsia="Times New Roman" w:hAnsi="Times New Roman"/>
          <w:sz w:val="24"/>
          <w:szCs w:val="24"/>
        </w:rPr>
        <w:t xml:space="preserve">Note: Good faith exception under FLSA: </w:t>
      </w:r>
      <w:hyperlink r:id="rId1852" w:history="1">
        <w:r w:rsidRPr="009545D0">
          <w:rPr>
            <w:rStyle w:val="Hyperlink"/>
            <w:sz w:val="24"/>
            <w:szCs w:val="24"/>
          </w:rPr>
          <w:t>https://www.law.cornell.edu/uscode/text/29/260</w:t>
        </w:r>
      </w:hyperlink>
      <w:r>
        <w:rPr>
          <w:rFonts w:ascii="Times New Roman" w:eastAsia="Times New Roman" w:hAnsi="Times New Roman"/>
          <w:sz w:val="24"/>
          <w:szCs w:val="24"/>
        </w:rPr>
        <w:t xml:space="preserve"> </w:t>
      </w:r>
      <w:r>
        <w:rPr>
          <w:rFonts w:ascii="Times New Roman" w:hAnsi="Times New Roman"/>
          <w:sz w:val="24"/>
          <w:szCs w:val="24"/>
        </w:rPr>
        <w:t>“</w:t>
      </w:r>
      <w:r w:rsidRPr="00DA1574">
        <w:rPr>
          <w:rFonts w:ascii="Times New Roman" w:hAnsi="Times New Roman"/>
          <w:sz w:val="24"/>
          <w:szCs w:val="24"/>
        </w:rPr>
        <w:t xml:space="preserve">In any action commenced prior to or on or after </w:t>
      </w:r>
      <w:r w:rsidRPr="00DA1574">
        <w:rPr>
          <w:rStyle w:val="Date2"/>
          <w:rFonts w:ascii="Times New Roman" w:hAnsi="Times New Roman"/>
          <w:sz w:val="24"/>
          <w:szCs w:val="24"/>
        </w:rPr>
        <w:t>May 14, 1947</w:t>
      </w:r>
      <w:r w:rsidRPr="00DA1574">
        <w:rPr>
          <w:rFonts w:ascii="Times New Roman" w:hAnsi="Times New Roman"/>
          <w:sz w:val="24"/>
          <w:szCs w:val="24"/>
        </w:rPr>
        <w:t xml:space="preserve"> to recover unpaid minimum</w:t>
      </w:r>
      <w:hyperlink r:id="rId1853" w:history="1">
        <w:r w:rsidRPr="00DA1574">
          <w:rPr>
            <w:rStyle w:val="Hyperlink"/>
            <w:sz w:val="24"/>
            <w:szCs w:val="24"/>
          </w:rPr>
          <w:t xml:space="preserve"> wages,</w:t>
        </w:r>
      </w:hyperlink>
      <w:r w:rsidRPr="00DA1574">
        <w:rPr>
          <w:rFonts w:ascii="Times New Roman" w:hAnsi="Times New Roman"/>
          <w:sz w:val="24"/>
          <w:szCs w:val="24"/>
        </w:rPr>
        <w:t xml:space="preserve"> unpaid overtime compensation, or liquidated damages, under the </w:t>
      </w:r>
      <w:hyperlink r:id="rId1854" w:history="1">
        <w:r w:rsidRPr="00DA1574">
          <w:rPr>
            <w:rStyle w:val="Hyperlink"/>
            <w:sz w:val="24"/>
            <w:szCs w:val="24"/>
          </w:rPr>
          <w:t>Fair Labor Standards Act of 1938</w:t>
        </w:r>
      </w:hyperlink>
      <w:r w:rsidRPr="00DA1574">
        <w:rPr>
          <w:rFonts w:ascii="Times New Roman" w:hAnsi="Times New Roman"/>
          <w:sz w:val="24"/>
          <w:szCs w:val="24"/>
        </w:rPr>
        <w:t>, as amended [</w:t>
      </w:r>
      <w:hyperlink r:id="rId1855" w:history="1">
        <w:r w:rsidRPr="00DA1574">
          <w:rPr>
            <w:rStyle w:val="Hyperlink"/>
            <w:sz w:val="24"/>
            <w:szCs w:val="24"/>
          </w:rPr>
          <w:t>29 U.S.C. 201</w:t>
        </w:r>
      </w:hyperlink>
      <w:r w:rsidRPr="00DA1574">
        <w:rPr>
          <w:rFonts w:ascii="Times New Roman" w:hAnsi="Times New Roman"/>
          <w:sz w:val="24"/>
          <w:szCs w:val="24"/>
        </w:rPr>
        <w:t xml:space="preserve"> et seq.], if the</w:t>
      </w:r>
      <w:hyperlink r:id="rId1856" w:history="1">
        <w:r w:rsidRPr="00DA1574">
          <w:rPr>
            <w:rStyle w:val="Hyperlink"/>
            <w:sz w:val="24"/>
            <w:szCs w:val="24"/>
          </w:rPr>
          <w:t xml:space="preserve"> employer </w:t>
        </w:r>
      </w:hyperlink>
      <w:r w:rsidRPr="00DA1574">
        <w:rPr>
          <w:rFonts w:ascii="Times New Roman" w:hAnsi="Times New Roman"/>
          <w:sz w:val="24"/>
          <w:szCs w:val="24"/>
        </w:rPr>
        <w:t xml:space="preserve">shows to the satisfaction of the court that the act or omission giving rise to such action was in good faith and that he had reasonable grounds for believing that his act or omission was not a violation of the </w:t>
      </w:r>
      <w:hyperlink r:id="rId1857" w:history="1">
        <w:r w:rsidRPr="00DA1574">
          <w:rPr>
            <w:rStyle w:val="Hyperlink"/>
            <w:sz w:val="24"/>
            <w:szCs w:val="24"/>
          </w:rPr>
          <w:t>Fair Labor Standards Act of 1938</w:t>
        </w:r>
      </w:hyperlink>
      <w:r w:rsidRPr="00DA1574">
        <w:rPr>
          <w:rFonts w:ascii="Times New Roman" w:hAnsi="Times New Roman"/>
          <w:sz w:val="24"/>
          <w:szCs w:val="24"/>
        </w:rPr>
        <w:t xml:space="preserve">, as amended, the court may, in </w:t>
      </w:r>
      <w:r w:rsidRPr="00DA1574">
        <w:rPr>
          <w:rFonts w:ascii="Times New Roman" w:hAnsi="Times New Roman"/>
          <w:sz w:val="24"/>
          <w:szCs w:val="24"/>
        </w:rPr>
        <w:lastRenderedPageBreak/>
        <w:t xml:space="preserve">its sound discretion, award no liquidated damages or award any amount thereof not to exceed the amount specified in </w:t>
      </w:r>
      <w:hyperlink r:id="rId1858" w:history="1">
        <w:r w:rsidRPr="00DA1574">
          <w:rPr>
            <w:rStyle w:val="Hyperlink"/>
            <w:sz w:val="24"/>
            <w:szCs w:val="24"/>
          </w:rPr>
          <w:t>section 216 of this title</w:t>
        </w:r>
      </w:hyperlink>
      <w:r w:rsidRPr="00DA1574">
        <w:rPr>
          <w:rFonts w:ascii="Times New Roman" w:hAnsi="Times New Roman"/>
          <w:sz w:val="24"/>
          <w:szCs w:val="24"/>
        </w:rPr>
        <w:t>.</w:t>
      </w:r>
      <w:r>
        <w:rPr>
          <w:rFonts w:ascii="Times New Roman" w:hAnsi="Times New Roman"/>
          <w:sz w:val="24"/>
          <w:szCs w:val="24"/>
        </w:rPr>
        <w:t>”</w:t>
      </w:r>
    </w:p>
    <w:p w14:paraId="65E28ACE" w14:textId="77777777" w:rsidR="00C67B2A" w:rsidRDefault="00C67B2A" w:rsidP="00F326E5">
      <w:pPr>
        <w:rPr>
          <w:rFonts w:ascii="Arial Black" w:hAnsi="Arial Black"/>
          <w:b/>
          <w:sz w:val="24"/>
          <w:szCs w:val="24"/>
        </w:rPr>
      </w:pPr>
    </w:p>
    <w:p w14:paraId="4DF2F127" w14:textId="660C835F" w:rsidR="00C67B2A" w:rsidRDefault="00C67B2A" w:rsidP="00F326E5">
      <w:pPr>
        <w:rPr>
          <w:rFonts w:ascii="Arial Black" w:hAnsi="Arial Black"/>
          <w:b/>
          <w:sz w:val="24"/>
          <w:szCs w:val="24"/>
        </w:rPr>
      </w:pPr>
      <w:r>
        <w:rPr>
          <w:rFonts w:ascii="Arial Black" w:hAnsi="Arial Black"/>
          <w:b/>
          <w:sz w:val="24"/>
          <w:szCs w:val="24"/>
        </w:rPr>
        <w:t>11-</w:t>
      </w:r>
      <w:r w:rsidR="00885321">
        <w:rPr>
          <w:rFonts w:ascii="Arial Black" w:hAnsi="Arial Black"/>
          <w:b/>
          <w:sz w:val="24"/>
          <w:szCs w:val="24"/>
        </w:rPr>
        <w:t>3</w:t>
      </w:r>
      <w:r w:rsidR="00912048">
        <w:rPr>
          <w:rFonts w:ascii="Arial Black" w:hAnsi="Arial Black"/>
          <w:b/>
          <w:sz w:val="24"/>
          <w:szCs w:val="24"/>
        </w:rPr>
        <w:t>4</w:t>
      </w:r>
    </w:p>
    <w:p w14:paraId="6478C3D0" w14:textId="77777777" w:rsidR="00774A91" w:rsidRPr="002531E2" w:rsidRDefault="00774A91" w:rsidP="00774A91">
      <w:pPr>
        <w:spacing w:before="100" w:beforeAutospacing="1" w:after="100" w:afterAutospacing="1" w:line="240" w:lineRule="auto"/>
        <w:rPr>
          <w:rFonts w:ascii="Arial Black" w:hAnsi="Arial Black"/>
          <w:sz w:val="28"/>
          <w:szCs w:val="28"/>
        </w:rPr>
      </w:pPr>
      <w:r>
        <w:rPr>
          <w:rFonts w:ascii="Arial Black" w:hAnsi="Arial Black"/>
          <w:sz w:val="28"/>
          <w:szCs w:val="28"/>
        </w:rPr>
        <w:t>MO: FLSA VIOLATED – 450 FF – CITY PAID OVERTIME WITHOUT “REGULATE RATE” – CBA NOT DEFENSE</w:t>
      </w:r>
    </w:p>
    <w:p w14:paraId="07FCDE0E" w14:textId="77777777" w:rsidR="00774A91" w:rsidRPr="004E4533" w:rsidRDefault="00774A91" w:rsidP="00774A91">
      <w:pPr>
        <w:spacing w:before="100" w:beforeAutospacing="1" w:after="100" w:afterAutospacing="1" w:line="240" w:lineRule="auto"/>
        <w:ind w:left="90"/>
        <w:rPr>
          <w:rFonts w:ascii="Times New Roman" w:hAnsi="Times New Roman"/>
          <w:sz w:val="24"/>
          <w:szCs w:val="24"/>
        </w:rPr>
      </w:pPr>
      <w:r>
        <w:rPr>
          <w:rFonts w:ascii="Times New Roman" w:hAnsi="Times New Roman"/>
          <w:sz w:val="24"/>
          <w:szCs w:val="24"/>
        </w:rPr>
        <w:t xml:space="preserve">On September 29, 2021, in </w:t>
      </w:r>
      <w:r w:rsidRPr="002531E2">
        <w:rPr>
          <w:rFonts w:ascii="Times New Roman" w:hAnsi="Times New Roman"/>
          <w:sz w:val="24"/>
          <w:szCs w:val="24"/>
          <w:u w:val="single"/>
        </w:rPr>
        <w:t>Craig Adams, et al. v. City of Kansas City, Missouri</w:t>
      </w:r>
      <w:r>
        <w:rPr>
          <w:rFonts w:ascii="Times New Roman" w:hAnsi="Times New Roman"/>
          <w:sz w:val="24"/>
          <w:szCs w:val="24"/>
        </w:rPr>
        <w:t xml:space="preserve">, U.S. Magistrate Judge W. Brian Gaddy, U.S. District Court for District of Missouri (Western Division) granted summary judgment in this class action on behalf of 450 firefighters.  The </w:t>
      </w:r>
      <w:proofErr w:type="gramStart"/>
      <w:r>
        <w:rPr>
          <w:rFonts w:ascii="Times New Roman" w:hAnsi="Times New Roman"/>
          <w:sz w:val="24"/>
          <w:szCs w:val="24"/>
        </w:rPr>
        <w:t>City</w:t>
      </w:r>
      <w:proofErr w:type="gramEnd"/>
      <w:r>
        <w:rPr>
          <w:rFonts w:ascii="Times New Roman" w:hAnsi="Times New Roman"/>
          <w:sz w:val="24"/>
          <w:szCs w:val="24"/>
        </w:rPr>
        <w:t xml:space="preserve"> didn’t include their wage augments (such as for HAZMAT cert) in calculating their “regular rate of pay” for time they were working overtime, while they did include wage augments for FF non-overtime hours.  The City’s defense is that they were following the CBA.  </w:t>
      </w:r>
      <w:r w:rsidRPr="004E4533">
        <w:rPr>
          <w:rFonts w:ascii="Times New Roman" w:hAnsi="Times New Roman"/>
          <w:sz w:val="24"/>
          <w:szCs w:val="24"/>
        </w:rPr>
        <w:t>“The CBA pronounces the wage augments ‘shall not be regarded as wages.’ states that wage augments ‘shall not be considered wages.</w:t>
      </w:r>
      <w:r>
        <w:rPr>
          <w:rFonts w:ascii="Times New Roman" w:hAnsi="Times New Roman"/>
          <w:sz w:val="24"/>
          <w:szCs w:val="24"/>
        </w:rPr>
        <w:t>’</w:t>
      </w:r>
      <w:r w:rsidRPr="004E4533">
        <w:rPr>
          <w:rFonts w:ascii="Times New Roman" w:hAnsi="Times New Roman"/>
          <w:sz w:val="24"/>
          <w:szCs w:val="24"/>
        </w:rPr>
        <w:t xml:space="preserve">” </w:t>
      </w:r>
      <w:r>
        <w:rPr>
          <w:rFonts w:ascii="Times New Roman" w:hAnsi="Times New Roman"/>
          <w:sz w:val="24"/>
          <w:szCs w:val="24"/>
        </w:rPr>
        <w:t xml:space="preserve">The Court found that this is violation of FLSA. </w:t>
      </w:r>
    </w:p>
    <w:p w14:paraId="0ADF6A40" w14:textId="77777777" w:rsidR="00774A91" w:rsidRPr="00A37557" w:rsidRDefault="00774A91" w:rsidP="00774A91">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A37557">
        <w:rPr>
          <w:rFonts w:ascii="Times New Roman" w:hAnsi="Times New Roman"/>
          <w:sz w:val="24"/>
          <w:szCs w:val="24"/>
        </w:rPr>
        <w:t xml:space="preserve">The </w:t>
      </w:r>
      <w:proofErr w:type="gramStart"/>
      <w:r w:rsidRPr="00A37557">
        <w:rPr>
          <w:rFonts w:ascii="Times New Roman" w:hAnsi="Times New Roman"/>
          <w:sz w:val="24"/>
          <w:szCs w:val="24"/>
        </w:rPr>
        <w:t>City</w:t>
      </w:r>
      <w:proofErr w:type="gramEnd"/>
      <w:r w:rsidRPr="00A37557">
        <w:rPr>
          <w:rFonts w:ascii="Times New Roman" w:hAnsi="Times New Roman"/>
          <w:sz w:val="24"/>
          <w:szCs w:val="24"/>
        </w:rPr>
        <w:t xml:space="preserve"> argues the firefighters are paid a salary, and the salary is intended to compensate the firefighters for working 49.5 hours per week</w:t>
      </w:r>
      <w:r>
        <w:rPr>
          <w:rFonts w:ascii="Times New Roman" w:hAnsi="Times New Roman"/>
          <w:sz w:val="24"/>
          <w:szCs w:val="24"/>
        </w:rPr>
        <w:t xml:space="preserve">…. </w:t>
      </w:r>
      <w:r w:rsidRPr="00A37557">
        <w:rPr>
          <w:rFonts w:ascii="Times New Roman" w:hAnsi="Times New Roman"/>
          <w:sz w:val="24"/>
          <w:szCs w:val="24"/>
        </w:rPr>
        <w:t xml:space="preserve">According to the City, if a firefighter </w:t>
      </w:r>
      <w:r>
        <w:rPr>
          <w:rFonts w:ascii="Times New Roman" w:hAnsi="Times New Roman"/>
          <w:sz w:val="24"/>
          <w:szCs w:val="24"/>
        </w:rPr>
        <w:t>‘</w:t>
      </w:r>
      <w:r w:rsidRPr="00A37557">
        <w:rPr>
          <w:rFonts w:ascii="Times New Roman" w:hAnsi="Times New Roman"/>
          <w:sz w:val="24"/>
          <w:szCs w:val="24"/>
        </w:rPr>
        <w:t>chooses to work beyond those 49.5 hours in a week,</w:t>
      </w:r>
      <w:r>
        <w:rPr>
          <w:rFonts w:ascii="Times New Roman" w:hAnsi="Times New Roman"/>
          <w:sz w:val="24"/>
          <w:szCs w:val="24"/>
        </w:rPr>
        <w:t>’</w:t>
      </w:r>
      <w:r w:rsidRPr="00A37557">
        <w:rPr>
          <w:rFonts w:ascii="Times New Roman" w:hAnsi="Times New Roman"/>
          <w:sz w:val="24"/>
          <w:szCs w:val="24"/>
        </w:rPr>
        <w:t xml:space="preserve"> the firefighter is paid the base hourly rate</w:t>
      </w:r>
      <w:r>
        <w:rPr>
          <w:rFonts w:ascii="Times New Roman" w:hAnsi="Times New Roman"/>
          <w:sz w:val="24"/>
          <w:szCs w:val="24"/>
        </w:rPr>
        <w:t xml:space="preserve">…. </w:t>
      </w:r>
      <w:r w:rsidRPr="00A37557">
        <w:rPr>
          <w:rFonts w:ascii="Times New Roman" w:hAnsi="Times New Roman"/>
          <w:sz w:val="24"/>
          <w:szCs w:val="24"/>
        </w:rPr>
        <w:t xml:space="preserve">The firefighter is not paid the wage augment because the wage augment </w:t>
      </w:r>
      <w:r>
        <w:rPr>
          <w:rFonts w:ascii="Times New Roman" w:hAnsi="Times New Roman"/>
          <w:sz w:val="24"/>
          <w:szCs w:val="24"/>
        </w:rPr>
        <w:t>‘</w:t>
      </w:r>
      <w:r w:rsidRPr="00A37557">
        <w:rPr>
          <w:rFonts w:ascii="Times New Roman" w:hAnsi="Times New Roman"/>
          <w:sz w:val="24"/>
          <w:szCs w:val="24"/>
        </w:rPr>
        <w:t>pay is only to be awarded in addition to the salary, not for hours worked beyond what the salary covers.</w:t>
      </w:r>
      <w:r>
        <w:rPr>
          <w:rFonts w:ascii="Times New Roman" w:hAnsi="Times New Roman"/>
          <w:sz w:val="24"/>
          <w:szCs w:val="24"/>
        </w:rPr>
        <w:t>’</w:t>
      </w:r>
      <w:r w:rsidRPr="00A37557">
        <w:rPr>
          <w:rFonts w:ascii="Times New Roman" w:hAnsi="Times New Roman"/>
          <w:sz w:val="24"/>
          <w:szCs w:val="24"/>
        </w:rPr>
        <w:t xml:space="preserve"> The City, however, cites no authority for this proposition</w:t>
      </w:r>
      <w:r>
        <w:rPr>
          <w:rFonts w:ascii="Times New Roman" w:hAnsi="Times New Roman"/>
          <w:sz w:val="24"/>
          <w:szCs w:val="24"/>
        </w:rPr>
        <w:t xml:space="preserve">…. </w:t>
      </w:r>
    </w:p>
    <w:p w14:paraId="37FBBE57" w14:textId="77777777" w:rsidR="00774A91" w:rsidRPr="00A37557" w:rsidRDefault="00774A91" w:rsidP="00774A91">
      <w:pPr>
        <w:spacing w:before="100" w:beforeAutospacing="1" w:after="100" w:afterAutospacing="1" w:line="240" w:lineRule="auto"/>
        <w:ind w:left="720"/>
        <w:rPr>
          <w:rFonts w:ascii="Times New Roman" w:hAnsi="Times New Roman"/>
          <w:sz w:val="24"/>
          <w:szCs w:val="24"/>
        </w:rPr>
      </w:pPr>
      <w:r w:rsidRPr="00A37557">
        <w:rPr>
          <w:rFonts w:ascii="Times New Roman" w:hAnsi="Times New Roman"/>
          <w:sz w:val="24"/>
          <w:szCs w:val="24"/>
        </w:rPr>
        <w:t xml:space="preserve">Instead, the </w:t>
      </w:r>
      <w:proofErr w:type="gramStart"/>
      <w:r w:rsidRPr="00A37557">
        <w:rPr>
          <w:rFonts w:ascii="Times New Roman" w:hAnsi="Times New Roman"/>
          <w:sz w:val="24"/>
          <w:szCs w:val="24"/>
        </w:rPr>
        <w:t>City</w:t>
      </w:r>
      <w:proofErr w:type="gramEnd"/>
      <w:r w:rsidRPr="00A37557">
        <w:rPr>
          <w:rFonts w:ascii="Times New Roman" w:hAnsi="Times New Roman"/>
          <w:sz w:val="24"/>
          <w:szCs w:val="24"/>
        </w:rPr>
        <w:t xml:space="preserve"> directs the Court’s attention to the CBA, which indicates the wage </w:t>
      </w:r>
      <w:r w:rsidRPr="00A37557">
        <w:rPr>
          <w:rFonts w:ascii="Times New Roman" w:hAnsi="Times New Roman"/>
          <w:sz w:val="24"/>
          <w:szCs w:val="24"/>
        </w:rPr>
        <w:br/>
        <w:t xml:space="preserve">augments are not to be regarded as </w:t>
      </w:r>
      <w:r>
        <w:rPr>
          <w:rFonts w:ascii="Times New Roman" w:hAnsi="Times New Roman"/>
          <w:sz w:val="24"/>
          <w:szCs w:val="24"/>
        </w:rPr>
        <w:t>‘</w:t>
      </w:r>
      <w:r w:rsidRPr="00A37557">
        <w:rPr>
          <w:rFonts w:ascii="Times New Roman" w:hAnsi="Times New Roman"/>
          <w:sz w:val="24"/>
          <w:szCs w:val="24"/>
        </w:rPr>
        <w:t>wages</w:t>
      </w:r>
      <w:r>
        <w:rPr>
          <w:rFonts w:ascii="Times New Roman" w:hAnsi="Times New Roman"/>
          <w:sz w:val="24"/>
          <w:szCs w:val="24"/>
        </w:rPr>
        <w:t>…’</w:t>
      </w:r>
      <w:r w:rsidRPr="00A37557">
        <w:rPr>
          <w:rFonts w:ascii="Times New Roman" w:hAnsi="Times New Roman"/>
          <w:sz w:val="24"/>
          <w:szCs w:val="24"/>
        </w:rPr>
        <w:t>This argument is without merit and ignores the precedent this Court must follow. See Barrentine</w:t>
      </w:r>
      <w:r>
        <w:rPr>
          <w:rFonts w:ascii="Times New Roman" w:hAnsi="Times New Roman"/>
          <w:sz w:val="24"/>
          <w:szCs w:val="24"/>
        </w:rPr>
        <w:t xml:space="preserve"> [v. Arkansas-Best Freight Sys., 450 U.S. 728 (!981); </w:t>
      </w:r>
      <w:hyperlink r:id="rId1859" w:history="1">
        <w:r w:rsidRPr="007B327B">
          <w:rPr>
            <w:rStyle w:val="Hyperlink"/>
            <w:sz w:val="24"/>
            <w:szCs w:val="24"/>
          </w:rPr>
          <w:t>https://supreme.justia.com/cases/federal/us/450/728/</w:t>
        </w:r>
      </w:hyperlink>
      <w:r>
        <w:rPr>
          <w:rFonts w:ascii="Times New Roman" w:hAnsi="Times New Roman"/>
          <w:sz w:val="24"/>
          <w:szCs w:val="24"/>
        </w:rPr>
        <w:t xml:space="preserve"> ]</w:t>
      </w:r>
      <w:r w:rsidRPr="00A37557">
        <w:rPr>
          <w:rFonts w:ascii="Times New Roman" w:hAnsi="Times New Roman"/>
          <w:sz w:val="24"/>
          <w:szCs w:val="24"/>
        </w:rPr>
        <w:t xml:space="preserve">450 U.S. at 740 (holding </w:t>
      </w:r>
      <w:r>
        <w:rPr>
          <w:rFonts w:ascii="Times New Roman" w:hAnsi="Times New Roman"/>
          <w:sz w:val="24"/>
          <w:szCs w:val="24"/>
        </w:rPr>
        <w:t>‘</w:t>
      </w:r>
      <w:r w:rsidRPr="00A37557">
        <w:rPr>
          <w:rFonts w:ascii="Times New Roman" w:hAnsi="Times New Roman"/>
          <w:sz w:val="24"/>
          <w:szCs w:val="24"/>
        </w:rPr>
        <w:t>FLSA rights cannot be abridged by contract or otherwise waived because this would ‘nullify the purposes’ of the statute and thwart the legislative policies it was designed to effectuate.</w:t>
      </w:r>
      <w:r>
        <w:rPr>
          <w:rFonts w:ascii="Times New Roman" w:hAnsi="Times New Roman"/>
          <w:sz w:val="24"/>
          <w:szCs w:val="24"/>
        </w:rPr>
        <w:t>’</w:t>
      </w:r>
      <w:r w:rsidRPr="00A37557">
        <w:rPr>
          <w:rFonts w:ascii="Times New Roman" w:hAnsi="Times New Roman"/>
          <w:sz w:val="24"/>
          <w:szCs w:val="24"/>
        </w:rPr>
        <w:t xml:space="preserve">). The City’s failure to pay the regular rate (i.e., the “one...times the regular rate”) for hours worked </w:t>
      </w:r>
      <w:proofErr w:type="gramStart"/>
      <w:r w:rsidRPr="00A37557">
        <w:rPr>
          <w:rFonts w:ascii="Times New Roman" w:hAnsi="Times New Roman"/>
          <w:sz w:val="24"/>
          <w:szCs w:val="24"/>
        </w:rPr>
        <w:t>in excess of</w:t>
      </w:r>
      <w:proofErr w:type="gramEnd"/>
      <w:r w:rsidRPr="00A37557">
        <w:rPr>
          <w:rFonts w:ascii="Times New Roman" w:hAnsi="Times New Roman"/>
          <w:sz w:val="24"/>
          <w:szCs w:val="24"/>
        </w:rPr>
        <w:t xml:space="preserve"> 212 hours during a 28-day period violates the FLSA.</w:t>
      </w:r>
    </w:p>
    <w:p w14:paraId="4FC1E612" w14:textId="77777777" w:rsidR="00774A91" w:rsidRPr="00A37557" w:rsidRDefault="00774A91" w:rsidP="00774A91">
      <w:pPr>
        <w:spacing w:before="100" w:beforeAutospacing="1" w:after="100" w:afterAutospacing="1" w:line="240" w:lineRule="auto"/>
        <w:ind w:left="720"/>
        <w:rPr>
          <w:rFonts w:ascii="Times New Roman" w:eastAsia="Times New Roman" w:hAnsi="Times New Roman"/>
          <w:sz w:val="24"/>
          <w:szCs w:val="24"/>
        </w:rPr>
      </w:pPr>
      <w:r w:rsidRPr="00A37557">
        <w:rPr>
          <w:rFonts w:ascii="Times New Roman" w:hAnsi="Times New Roman"/>
          <w:sz w:val="24"/>
          <w:szCs w:val="24"/>
        </w:rPr>
        <w:t xml:space="preserve">Because, at a minimum, the City failed to pay the regular rate (i.e., the </w:t>
      </w:r>
      <w:r>
        <w:rPr>
          <w:rFonts w:ascii="Times New Roman" w:hAnsi="Times New Roman"/>
          <w:sz w:val="24"/>
          <w:szCs w:val="24"/>
        </w:rPr>
        <w:t>‘</w:t>
      </w:r>
      <w:r w:rsidRPr="00A37557">
        <w:rPr>
          <w:rFonts w:ascii="Times New Roman" w:hAnsi="Times New Roman"/>
          <w:sz w:val="24"/>
          <w:szCs w:val="24"/>
        </w:rPr>
        <w:t xml:space="preserve">one...times the </w:t>
      </w:r>
      <w:r w:rsidRPr="00A37557">
        <w:rPr>
          <w:rFonts w:ascii="Times New Roman" w:hAnsi="Times New Roman"/>
          <w:sz w:val="24"/>
          <w:szCs w:val="24"/>
        </w:rPr>
        <w:br/>
        <w:t>regular rate</w:t>
      </w:r>
      <w:r>
        <w:rPr>
          <w:rFonts w:ascii="Times New Roman" w:hAnsi="Times New Roman"/>
          <w:sz w:val="24"/>
          <w:szCs w:val="24"/>
        </w:rPr>
        <w:t>’</w:t>
      </w:r>
      <w:r w:rsidRPr="00A37557">
        <w:rPr>
          <w:rFonts w:ascii="Times New Roman" w:hAnsi="Times New Roman"/>
          <w:sz w:val="24"/>
          <w:szCs w:val="24"/>
        </w:rPr>
        <w:t>) for hours worked in excess of 212 hours during a 28-day period, and thus, violated the FLSA, the Court DENIES the City’s motion for summary judgment on the issue of whether it violated the FLSA and GRANTS Plaintiffs’ motion for partial summary judgment.</w:t>
      </w:r>
      <w:r>
        <w:rPr>
          <w:rFonts w:ascii="Times New Roman" w:hAnsi="Times New Roman"/>
          <w:sz w:val="24"/>
          <w:szCs w:val="24"/>
        </w:rPr>
        <w:t xml:space="preserve">” </w:t>
      </w:r>
      <w:hyperlink r:id="rId1860" w:history="1">
        <w:r w:rsidRPr="007B327B">
          <w:rPr>
            <w:rStyle w:val="Hyperlink"/>
            <w:sz w:val="24"/>
            <w:szCs w:val="24"/>
          </w:rPr>
          <w:t>https://www.govinfo.gov/content/pkg/USCOURTS-mowd-4_19-cv-00093/pdf/USCOURTS-mowd-4_19-cv-00093-1.pdf</w:t>
        </w:r>
      </w:hyperlink>
      <w:r>
        <w:rPr>
          <w:rFonts w:ascii="Times New Roman" w:hAnsi="Times New Roman"/>
          <w:sz w:val="24"/>
          <w:szCs w:val="24"/>
        </w:rPr>
        <w:t xml:space="preserve"> </w:t>
      </w:r>
    </w:p>
    <w:p w14:paraId="0103AD6F" w14:textId="77777777" w:rsidR="00774A91" w:rsidRDefault="00774A91" w:rsidP="00774A91">
      <w:pPr>
        <w:spacing w:before="100" w:beforeAutospacing="1" w:after="100" w:afterAutospacing="1" w:line="240" w:lineRule="auto"/>
        <w:rPr>
          <w:rFonts w:ascii="Times New Roman" w:hAnsi="Times New Roman"/>
          <w:b/>
          <w:bCs/>
          <w:sz w:val="24"/>
          <w:szCs w:val="24"/>
        </w:rPr>
      </w:pPr>
      <w:r w:rsidRPr="004E4533">
        <w:rPr>
          <w:rFonts w:ascii="Times New Roman" w:hAnsi="Times New Roman"/>
          <w:b/>
          <w:bCs/>
          <w:sz w:val="24"/>
          <w:szCs w:val="24"/>
        </w:rPr>
        <w:t xml:space="preserve">Legal Lesson Learned: </w:t>
      </w:r>
      <w:r>
        <w:rPr>
          <w:rFonts w:ascii="Times New Roman" w:hAnsi="Times New Roman"/>
          <w:b/>
          <w:bCs/>
          <w:sz w:val="24"/>
          <w:szCs w:val="24"/>
        </w:rPr>
        <w:t>The City will now have to pay back pay; the amount is based on whether the Court finds this a “willful” violation (3 years versus 2 years back pay) and “liquidated damages” (back pay doubles) if City did not act in good faith.</w:t>
      </w:r>
    </w:p>
    <w:p w14:paraId="05211C39" w14:textId="77777777" w:rsidR="00774A91" w:rsidRDefault="00774A91" w:rsidP="00774A91">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Note: </w:t>
      </w:r>
      <w:r w:rsidRPr="004E4533">
        <w:rPr>
          <w:rFonts w:ascii="Times New Roman" w:hAnsi="Times New Roman"/>
          <w:sz w:val="24"/>
          <w:szCs w:val="24"/>
        </w:rPr>
        <w:t xml:space="preserve">Under the FLSA, the statute of limitations is “two years after the cause of action accrued...except that a cause of action arising out of a willful violation may be </w:t>
      </w:r>
      <w:r w:rsidRPr="004E4533">
        <w:rPr>
          <w:rFonts w:ascii="Times New Roman" w:hAnsi="Times New Roman"/>
          <w:sz w:val="24"/>
          <w:szCs w:val="24"/>
        </w:rPr>
        <w:br/>
        <w:t>commenced within three years after the cause of action accrued.” 29 U.S.C. § 255(a)</w:t>
      </w:r>
    </w:p>
    <w:p w14:paraId="62446037" w14:textId="77777777" w:rsidR="00774A91" w:rsidRPr="00697B15" w:rsidRDefault="00774A91" w:rsidP="00774A91">
      <w:pPr>
        <w:spacing w:before="100" w:beforeAutospacing="1" w:after="100" w:afterAutospacing="1" w:line="240" w:lineRule="auto"/>
        <w:ind w:left="720"/>
        <w:rPr>
          <w:rFonts w:ascii="Times New Roman" w:hAnsi="Times New Roman"/>
          <w:b/>
          <w:bCs/>
          <w:sz w:val="24"/>
          <w:szCs w:val="24"/>
        </w:rPr>
      </w:pPr>
      <w:r w:rsidRPr="00697B15">
        <w:rPr>
          <w:rFonts w:ascii="Times New Roman" w:hAnsi="Times New Roman"/>
          <w:sz w:val="24"/>
          <w:szCs w:val="24"/>
        </w:rPr>
        <w:lastRenderedPageBreak/>
        <w:t xml:space="preserve">If an employer violates 29 U.S.C. § 207, the employer is liable to the affected </w:t>
      </w:r>
      <w:r w:rsidRPr="00697B15">
        <w:rPr>
          <w:rFonts w:ascii="Times New Roman" w:hAnsi="Times New Roman"/>
          <w:sz w:val="24"/>
          <w:szCs w:val="24"/>
        </w:rPr>
        <w:br/>
        <w:t xml:space="preserve">employees in the amount of unpaid overtime compensation, and it may also be liable for </w:t>
      </w:r>
      <w:r>
        <w:rPr>
          <w:rFonts w:ascii="Times New Roman" w:hAnsi="Times New Roman"/>
          <w:sz w:val="24"/>
          <w:szCs w:val="24"/>
        </w:rPr>
        <w:t>‘</w:t>
      </w:r>
      <w:r w:rsidRPr="00697B15">
        <w:rPr>
          <w:rFonts w:ascii="Times New Roman" w:hAnsi="Times New Roman"/>
          <w:sz w:val="24"/>
          <w:szCs w:val="24"/>
        </w:rPr>
        <w:t>an additional equal amount as liquidated damages.</w:t>
      </w:r>
      <w:r>
        <w:rPr>
          <w:rFonts w:ascii="Times New Roman" w:hAnsi="Times New Roman"/>
          <w:sz w:val="24"/>
          <w:szCs w:val="24"/>
        </w:rPr>
        <w:t>’</w:t>
      </w:r>
      <w:r w:rsidRPr="00697B15">
        <w:rPr>
          <w:rFonts w:ascii="Times New Roman" w:hAnsi="Times New Roman"/>
          <w:sz w:val="24"/>
          <w:szCs w:val="24"/>
        </w:rPr>
        <w:t xml:space="preserve"> 29 U.S.C. § 216(b). If the employer </w:t>
      </w:r>
      <w:r>
        <w:rPr>
          <w:rFonts w:ascii="Times New Roman" w:hAnsi="Times New Roman"/>
          <w:sz w:val="24"/>
          <w:szCs w:val="24"/>
        </w:rPr>
        <w:t>‘</w:t>
      </w:r>
      <w:r w:rsidRPr="00697B15">
        <w:rPr>
          <w:rFonts w:ascii="Times New Roman" w:hAnsi="Times New Roman"/>
          <w:sz w:val="24"/>
          <w:szCs w:val="24"/>
        </w:rPr>
        <w:t>shows to the satisfaction of the court</w:t>
      </w:r>
      <w:r>
        <w:rPr>
          <w:rFonts w:ascii="Times New Roman" w:hAnsi="Times New Roman"/>
          <w:sz w:val="24"/>
          <w:szCs w:val="24"/>
        </w:rPr>
        <w:t>’</w:t>
      </w:r>
      <w:r w:rsidRPr="00697B15">
        <w:rPr>
          <w:rFonts w:ascii="Times New Roman" w:hAnsi="Times New Roman"/>
          <w:sz w:val="24"/>
          <w:szCs w:val="24"/>
        </w:rPr>
        <w:t xml:space="preserve"> that its actions were </w:t>
      </w:r>
      <w:r>
        <w:rPr>
          <w:rFonts w:ascii="Times New Roman" w:hAnsi="Times New Roman"/>
          <w:sz w:val="24"/>
          <w:szCs w:val="24"/>
        </w:rPr>
        <w:t>‘</w:t>
      </w:r>
      <w:r w:rsidRPr="00697B15">
        <w:rPr>
          <w:rFonts w:ascii="Times New Roman" w:hAnsi="Times New Roman"/>
          <w:sz w:val="24"/>
          <w:szCs w:val="24"/>
        </w:rPr>
        <w:t>in good faith</w:t>
      </w:r>
      <w:r>
        <w:rPr>
          <w:rFonts w:ascii="Times New Roman" w:hAnsi="Times New Roman"/>
          <w:sz w:val="24"/>
          <w:szCs w:val="24"/>
        </w:rPr>
        <w:t>’</w:t>
      </w:r>
      <w:r w:rsidRPr="00697B15">
        <w:rPr>
          <w:rFonts w:ascii="Times New Roman" w:hAnsi="Times New Roman"/>
          <w:sz w:val="24"/>
          <w:szCs w:val="24"/>
        </w:rPr>
        <w:t xml:space="preserve"> and it </w:t>
      </w:r>
      <w:r>
        <w:rPr>
          <w:rFonts w:ascii="Times New Roman" w:hAnsi="Times New Roman"/>
          <w:sz w:val="24"/>
          <w:szCs w:val="24"/>
        </w:rPr>
        <w:t>‘</w:t>
      </w:r>
      <w:r w:rsidRPr="00697B15">
        <w:rPr>
          <w:rFonts w:ascii="Times New Roman" w:hAnsi="Times New Roman"/>
          <w:sz w:val="24"/>
          <w:szCs w:val="24"/>
        </w:rPr>
        <w:t>had reasonable grounds</w:t>
      </w:r>
      <w:r>
        <w:rPr>
          <w:rFonts w:ascii="Times New Roman" w:hAnsi="Times New Roman"/>
          <w:sz w:val="24"/>
          <w:szCs w:val="24"/>
        </w:rPr>
        <w:t xml:space="preserve"> </w:t>
      </w:r>
      <w:r w:rsidRPr="00697B15">
        <w:rPr>
          <w:rFonts w:ascii="Times New Roman" w:hAnsi="Times New Roman"/>
          <w:sz w:val="24"/>
          <w:szCs w:val="24"/>
        </w:rPr>
        <w:t>for believing</w:t>
      </w:r>
      <w:r>
        <w:rPr>
          <w:rFonts w:ascii="Times New Roman" w:hAnsi="Times New Roman"/>
          <w:sz w:val="24"/>
          <w:szCs w:val="24"/>
        </w:rPr>
        <w:t>’</w:t>
      </w:r>
      <w:r w:rsidRPr="00697B15">
        <w:rPr>
          <w:rFonts w:ascii="Times New Roman" w:hAnsi="Times New Roman"/>
          <w:sz w:val="24"/>
          <w:szCs w:val="24"/>
        </w:rPr>
        <w:t xml:space="preserve"> its actions were not violating the FLSA, </w:t>
      </w:r>
      <w:r>
        <w:rPr>
          <w:rFonts w:ascii="Times New Roman" w:hAnsi="Times New Roman"/>
          <w:sz w:val="24"/>
          <w:szCs w:val="24"/>
        </w:rPr>
        <w:t>‘</w:t>
      </w:r>
      <w:r w:rsidRPr="00697B15">
        <w:rPr>
          <w:rFonts w:ascii="Times New Roman" w:hAnsi="Times New Roman"/>
          <w:sz w:val="24"/>
          <w:szCs w:val="24"/>
        </w:rPr>
        <w:t xml:space="preserve">the court may, in its sound discretion, award no liquidated damages or award any amount thereof not to exceed the amount specified in section 216 of this title.” </w:t>
      </w:r>
    </w:p>
    <w:p w14:paraId="11FBF5AB" w14:textId="202C29D3" w:rsidR="00C67B2A" w:rsidRDefault="00C67B2A" w:rsidP="00F326E5">
      <w:pPr>
        <w:rPr>
          <w:rFonts w:ascii="Arial Black" w:hAnsi="Arial Black"/>
          <w:b/>
          <w:sz w:val="24"/>
          <w:szCs w:val="24"/>
        </w:rPr>
      </w:pPr>
    </w:p>
    <w:p w14:paraId="594D4C08" w14:textId="705BC43C" w:rsidR="00885321" w:rsidRDefault="00885321" w:rsidP="00F326E5">
      <w:pPr>
        <w:rPr>
          <w:rFonts w:ascii="Arial Black" w:hAnsi="Arial Black"/>
          <w:b/>
          <w:sz w:val="24"/>
          <w:szCs w:val="24"/>
        </w:rPr>
      </w:pPr>
      <w:r>
        <w:rPr>
          <w:rFonts w:ascii="Arial Black" w:hAnsi="Arial Black"/>
          <w:b/>
          <w:sz w:val="24"/>
          <w:szCs w:val="24"/>
        </w:rPr>
        <w:t>11-</w:t>
      </w:r>
      <w:r w:rsidR="00912048">
        <w:rPr>
          <w:rFonts w:ascii="Arial Black" w:hAnsi="Arial Black"/>
          <w:b/>
          <w:sz w:val="24"/>
          <w:szCs w:val="24"/>
        </w:rPr>
        <w:t>33</w:t>
      </w:r>
    </w:p>
    <w:p w14:paraId="7B7419EA" w14:textId="77777777" w:rsidR="00885321" w:rsidRPr="00E1552C" w:rsidRDefault="00885321" w:rsidP="00885321">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VA: FLSA - VIRGINIA BEACH FD SETTLEMENT – EMS CAPTAINS WILL BE “NON-EXEMPT” - BACK PAY 3 YEARS </w:t>
      </w:r>
    </w:p>
    <w:p w14:paraId="301332F3" w14:textId="77777777" w:rsidR="00885321" w:rsidRDefault="00885321" w:rsidP="00885321">
      <w:pPr>
        <w:spacing w:before="100" w:beforeAutospacing="1" w:after="100" w:afterAutospacing="1" w:line="240" w:lineRule="auto"/>
        <w:rPr>
          <w:rStyle w:val="markedcontent"/>
          <w:rFonts w:ascii="Times New Roman" w:hAnsi="Times New Roman"/>
          <w:sz w:val="24"/>
          <w:szCs w:val="24"/>
        </w:rPr>
      </w:pPr>
      <w:r>
        <w:rPr>
          <w:rStyle w:val="markedcontent"/>
          <w:rFonts w:ascii="Times New Roman" w:hAnsi="Times New Roman"/>
          <w:sz w:val="24"/>
          <w:szCs w:val="24"/>
        </w:rPr>
        <w:t xml:space="preserve">On Sept. 14, 2021, in </w:t>
      </w:r>
      <w:r w:rsidRPr="00696625">
        <w:rPr>
          <w:rStyle w:val="markedcontent"/>
          <w:rFonts w:ascii="Times New Roman" w:hAnsi="Times New Roman"/>
          <w:sz w:val="24"/>
          <w:szCs w:val="24"/>
          <w:u w:val="single"/>
        </w:rPr>
        <w:t>David Bust, et al. v. Virginia Beach, Virginia</w:t>
      </w:r>
      <w:r>
        <w:rPr>
          <w:rStyle w:val="markedcontent"/>
          <w:rFonts w:ascii="Times New Roman" w:hAnsi="Times New Roman"/>
          <w:sz w:val="24"/>
          <w:szCs w:val="24"/>
        </w:rPr>
        <w:t xml:space="preserve">, U.S. District Court for Eastern District of Virginia (Norfolk Division), eight EMS Captains settled their 2020 lawsuit with the city.  The settlement included agreement by the City to re-classify EMS Captains as non-exempt effective Aug. 26, 2021, and back pay from </w:t>
      </w:r>
      <w:r w:rsidRPr="000D7DF7">
        <w:rPr>
          <w:rStyle w:val="markedcontent"/>
          <w:rFonts w:ascii="Times New Roman" w:hAnsi="Times New Roman"/>
          <w:sz w:val="24"/>
          <w:szCs w:val="24"/>
        </w:rPr>
        <w:t>November 25, 2017</w:t>
      </w:r>
      <w:r>
        <w:rPr>
          <w:rStyle w:val="markedcontent"/>
          <w:rFonts w:ascii="Times New Roman" w:hAnsi="Times New Roman"/>
          <w:sz w:val="24"/>
          <w:szCs w:val="24"/>
        </w:rPr>
        <w:t xml:space="preserve">. </w:t>
      </w:r>
    </w:p>
    <w:p w14:paraId="6B966160" w14:textId="77777777" w:rsidR="00885321" w:rsidRPr="00B42905" w:rsidRDefault="00885321" w:rsidP="00885321">
      <w:pPr>
        <w:spacing w:before="100" w:beforeAutospacing="1" w:after="100" w:afterAutospacing="1" w:line="240" w:lineRule="auto"/>
        <w:ind w:left="720"/>
        <w:rPr>
          <w:rStyle w:val="markedcontent"/>
          <w:rFonts w:ascii="Times New Roman" w:eastAsiaTheme="majorEastAsia" w:hAnsi="Times New Roman"/>
          <w:sz w:val="24"/>
          <w:szCs w:val="24"/>
        </w:rPr>
      </w:pPr>
      <w:r w:rsidRPr="00B42905">
        <w:rPr>
          <w:rStyle w:val="markedcontent"/>
          <w:rFonts w:ascii="Times New Roman" w:eastAsiaTheme="majorEastAsia" w:hAnsi="Times New Roman"/>
          <w:sz w:val="24"/>
          <w:szCs w:val="24"/>
        </w:rPr>
        <w:t xml:space="preserve">“Under the Settlement Agreement, the </w:t>
      </w:r>
      <w:proofErr w:type="gramStart"/>
      <w:r w:rsidRPr="00B42905">
        <w:rPr>
          <w:rStyle w:val="markedcontent"/>
          <w:rFonts w:ascii="Times New Roman" w:eastAsiaTheme="majorEastAsia" w:hAnsi="Times New Roman"/>
          <w:sz w:val="24"/>
          <w:szCs w:val="24"/>
        </w:rPr>
        <w:t>City</w:t>
      </w:r>
      <w:proofErr w:type="gramEnd"/>
      <w:r w:rsidRPr="00B42905">
        <w:rPr>
          <w:rStyle w:val="markedcontent"/>
          <w:rFonts w:ascii="Times New Roman" w:eastAsiaTheme="majorEastAsia" w:hAnsi="Times New Roman"/>
          <w:sz w:val="24"/>
          <w:szCs w:val="24"/>
        </w:rPr>
        <w:t xml:space="preserve"> will pay a total of $200,000.00 (two hundred thousand dollars) to resolve the Plaintiffs’ FLSA and VGPA claims. Ex. 1, ¶ 2.1. The Settlement Amount will be divided and distributed as follows: (1) one check in the amount of $80,000.00, payable to Plaintiffs’ counsel, McGillivary Steele Elkin </w:t>
      </w:r>
      <w:r w:rsidRPr="00B42905">
        <w:rPr>
          <w:rFonts w:ascii="Times New Roman" w:hAnsi="Times New Roman"/>
          <w:sz w:val="24"/>
          <w:szCs w:val="24"/>
        </w:rPr>
        <w:br/>
      </w:r>
      <w:r w:rsidRPr="00B42905">
        <w:rPr>
          <w:rStyle w:val="markedcontent"/>
          <w:rFonts w:ascii="Times New Roman" w:eastAsiaTheme="majorEastAsia" w:hAnsi="Times New Roman"/>
          <w:sz w:val="24"/>
          <w:szCs w:val="24"/>
        </w:rPr>
        <w:t xml:space="preserve">LLP, representing a negotiated amount of reimbursed attorneys’ fees and expenses; and (2) a set of payroll checks payable to individual Plaintiffs, totaling a pre-tax amount of $120,000.00, which shall be distributed to individual Plaintiffs in accordance with the pre-tax amounts set forth in Exhibit A to the Settlement Agreement, to which the City shall be entitled to apply all applicable deductions and withholdings for each individual Plaintiff. Id., ¶ 2.2. In addition, the City agreed to re-classify Plaintiffs in the position of EMS Captain as non-exempt, effective August 26, 2021. Id., ¶ 2.1. These amounts and terms are agreed to among the Parties to compromise, settle, and satisfy the Released Claims described in paragraph 3.1 of the Settlement Agreement, and all attorneys’ fees and expenses related to the Released Claims. Significantly, Plaintiffs and their </w:t>
      </w:r>
      <w:r w:rsidRPr="00B42905">
        <w:rPr>
          <w:rFonts w:ascii="Times New Roman" w:hAnsi="Times New Roman"/>
          <w:sz w:val="24"/>
          <w:szCs w:val="24"/>
        </w:rPr>
        <w:br/>
      </w:r>
      <w:r w:rsidRPr="00B42905">
        <w:rPr>
          <w:rStyle w:val="markedcontent"/>
          <w:rFonts w:ascii="Times New Roman" w:eastAsiaTheme="majorEastAsia" w:hAnsi="Times New Roman"/>
          <w:sz w:val="24"/>
          <w:szCs w:val="24"/>
        </w:rPr>
        <w:t xml:space="preserve">counsel determined the method used to calculate the pro rata amounts to be paid to each Plaintiff for the Back Pay Amount. Id., ¶ 2.6.”  </w:t>
      </w:r>
      <w:hyperlink r:id="rId1861" w:history="1">
        <w:r w:rsidRPr="00B42905">
          <w:rPr>
            <w:rStyle w:val="Hyperlink"/>
            <w:rFonts w:ascii="Times New Roman" w:eastAsiaTheme="majorEastAsia" w:hAnsi="Times New Roman"/>
            <w:sz w:val="24"/>
            <w:szCs w:val="24"/>
          </w:rPr>
          <w:t>http://www.firefighterovertime.org/wp-content/uploads/2021/11/US_DIS_VAED_2_20cv595_Memorandum_in_Support_re_41_Joint_MOTION_for_Settl.pdf</w:t>
        </w:r>
      </w:hyperlink>
      <w:r w:rsidRPr="00B42905">
        <w:rPr>
          <w:rStyle w:val="markedcontent"/>
          <w:rFonts w:ascii="Times New Roman" w:eastAsiaTheme="majorEastAsia" w:hAnsi="Times New Roman"/>
          <w:sz w:val="24"/>
          <w:szCs w:val="24"/>
        </w:rPr>
        <w:t xml:space="preserve"> </w:t>
      </w:r>
    </w:p>
    <w:p w14:paraId="566BF8FB" w14:textId="77777777" w:rsidR="00885321" w:rsidRPr="000D7DF7" w:rsidRDefault="00885321" w:rsidP="00885321">
      <w:pPr>
        <w:rPr>
          <w:rFonts w:ascii="Times New Roman" w:eastAsia="Times New Roman" w:hAnsi="Times New Roman"/>
          <w:b/>
          <w:bCs/>
          <w:sz w:val="24"/>
          <w:szCs w:val="24"/>
        </w:rPr>
      </w:pPr>
      <w:r w:rsidRPr="000D7DF7">
        <w:rPr>
          <w:rStyle w:val="markedcontent"/>
          <w:rFonts w:ascii="Times New Roman" w:hAnsi="Times New Roman"/>
          <w:b/>
          <w:bCs/>
          <w:sz w:val="24"/>
          <w:szCs w:val="24"/>
        </w:rPr>
        <w:t>Legal Lesson Learned:</w:t>
      </w:r>
      <w:r>
        <w:rPr>
          <w:rStyle w:val="markedcontent"/>
          <w:rFonts w:ascii="Times New Roman" w:hAnsi="Times New Roman"/>
          <w:b/>
          <w:bCs/>
          <w:sz w:val="24"/>
          <w:szCs w:val="24"/>
        </w:rPr>
        <w:t xml:space="preserve"> Settlements are encouraged to avoid “liquidated damages” (back pay doubled) under FLSA.  Fire &amp; EMS department, when in doubt about classification of officers under FLSA, are encouraged to consult with experienced FLSA attorneys and the U.S. Department of Labor, Wage &amp; Hour Division. </w:t>
      </w:r>
    </w:p>
    <w:p w14:paraId="073B8B5B" w14:textId="77777777" w:rsidR="00885321" w:rsidRDefault="00885321" w:rsidP="00885321">
      <w:pPr>
        <w:pStyle w:val="NormalWeb"/>
        <w:ind w:left="720"/>
        <w:rPr>
          <w:rStyle w:val="markedcontent"/>
          <w:rFonts w:eastAsiaTheme="majorEastAsia"/>
        </w:rPr>
      </w:pPr>
      <w:r>
        <w:rPr>
          <w:rStyle w:val="markedcontent"/>
          <w:rFonts w:eastAsiaTheme="majorEastAsia"/>
        </w:rPr>
        <w:t xml:space="preserve">Note: See article on the settlement. Nov. 16, 2021: </w:t>
      </w:r>
      <w:r w:rsidRPr="00EF1C86">
        <w:t>“VA Beach Settles ‘White Collar’ FLSA Lawsuit with EMS Captains.”</w:t>
      </w:r>
      <w:r>
        <w:t xml:space="preserve"> </w:t>
      </w:r>
      <w:hyperlink r:id="rId1862" w:history="1">
        <w:r w:rsidRPr="00673E18">
          <w:rPr>
            <w:rStyle w:val="Hyperlink"/>
          </w:rPr>
          <w:t>http://www.firefighterovertime.org/2021/11/08/va-beach-settles-flsa-lawsuit/</w:t>
        </w:r>
      </w:hyperlink>
      <w:r>
        <w:rPr>
          <w:rStyle w:val="Hyperlink"/>
        </w:rPr>
        <w:t xml:space="preserve"> </w:t>
      </w:r>
    </w:p>
    <w:p w14:paraId="056B2B98" w14:textId="77777777" w:rsidR="00885321" w:rsidRDefault="00885321" w:rsidP="00F326E5">
      <w:pPr>
        <w:rPr>
          <w:rFonts w:ascii="Arial Black" w:hAnsi="Arial Black"/>
          <w:b/>
          <w:sz w:val="24"/>
          <w:szCs w:val="24"/>
        </w:rPr>
      </w:pPr>
    </w:p>
    <w:p w14:paraId="147E159F" w14:textId="77777777" w:rsidR="00C67B2A" w:rsidRDefault="00C67B2A" w:rsidP="00F326E5">
      <w:pPr>
        <w:rPr>
          <w:rFonts w:ascii="Arial Black" w:hAnsi="Arial Black"/>
          <w:b/>
          <w:sz w:val="24"/>
          <w:szCs w:val="24"/>
        </w:rPr>
      </w:pPr>
    </w:p>
    <w:p w14:paraId="5A6E75A2" w14:textId="7BD80205" w:rsidR="00B03268" w:rsidRDefault="00B03268" w:rsidP="00F326E5">
      <w:pPr>
        <w:rPr>
          <w:rFonts w:ascii="Arial Black" w:hAnsi="Arial Black"/>
          <w:b/>
          <w:sz w:val="24"/>
          <w:szCs w:val="24"/>
        </w:rPr>
      </w:pPr>
      <w:r>
        <w:rPr>
          <w:rFonts w:ascii="Arial Black" w:hAnsi="Arial Black"/>
          <w:b/>
          <w:sz w:val="24"/>
          <w:szCs w:val="24"/>
        </w:rPr>
        <w:lastRenderedPageBreak/>
        <w:t>11-</w:t>
      </w:r>
      <w:r w:rsidR="00B13773">
        <w:rPr>
          <w:rFonts w:ascii="Arial Black" w:hAnsi="Arial Black"/>
          <w:b/>
          <w:sz w:val="24"/>
          <w:szCs w:val="24"/>
        </w:rPr>
        <w:t>32</w:t>
      </w:r>
    </w:p>
    <w:p w14:paraId="4CA007ED" w14:textId="77777777" w:rsidR="00B03268" w:rsidRPr="00D1078B" w:rsidRDefault="00B03268" w:rsidP="00B03268">
      <w:pPr>
        <w:pStyle w:val="NoSpacing"/>
        <w:rPr>
          <w:rFonts w:ascii="Arial Black" w:hAnsi="Arial Black"/>
          <w:sz w:val="28"/>
          <w:szCs w:val="28"/>
        </w:rPr>
      </w:pPr>
      <w:r>
        <w:rPr>
          <w:rFonts w:ascii="Arial Black" w:hAnsi="Arial Black"/>
          <w:sz w:val="28"/>
          <w:szCs w:val="28"/>
        </w:rPr>
        <w:t xml:space="preserve">IL: CITY OF CHICAGO MAILROOM EMPLOYEE – “EQUAL PAY” CASE DISMISSED – DUTIES NOT SAME FF, OTHERS </w:t>
      </w:r>
    </w:p>
    <w:p w14:paraId="325CFA06" w14:textId="77777777" w:rsidR="00B03268" w:rsidRDefault="00B03268" w:rsidP="00B03268">
      <w:pPr>
        <w:pStyle w:val="NoSpacing"/>
      </w:pPr>
    </w:p>
    <w:p w14:paraId="33F07360" w14:textId="77777777" w:rsidR="00B03268" w:rsidRPr="00BD5433" w:rsidRDefault="00B03268" w:rsidP="00B03268">
      <w:pPr>
        <w:pStyle w:val="NoSpacing"/>
        <w:rPr>
          <w:rFonts w:ascii="Times New Roman" w:hAnsi="Times New Roman"/>
          <w:sz w:val="24"/>
          <w:szCs w:val="24"/>
        </w:rPr>
      </w:pPr>
      <w:r>
        <w:rPr>
          <w:rFonts w:ascii="Times New Roman" w:hAnsi="Times New Roman"/>
          <w:sz w:val="24"/>
          <w:szCs w:val="24"/>
        </w:rPr>
        <w:t xml:space="preserve">On May 20, 2021, in </w:t>
      </w:r>
      <w:r w:rsidRPr="00D1078B">
        <w:rPr>
          <w:rFonts w:ascii="Times New Roman" w:hAnsi="Times New Roman"/>
          <w:sz w:val="24"/>
          <w:szCs w:val="24"/>
          <w:u w:val="single"/>
        </w:rPr>
        <w:t>Angela D. Boyd v. City of Chicago</w:t>
      </w:r>
      <w:r>
        <w:rPr>
          <w:rFonts w:ascii="Times New Roman" w:hAnsi="Times New Roman"/>
          <w:sz w:val="24"/>
          <w:szCs w:val="24"/>
        </w:rPr>
        <w:t xml:space="preserve">, U.S. District Court Judge Charles P. </w:t>
      </w:r>
      <w:proofErr w:type="spellStart"/>
      <w:r>
        <w:rPr>
          <w:rFonts w:ascii="Times New Roman" w:hAnsi="Times New Roman"/>
          <w:sz w:val="24"/>
          <w:szCs w:val="24"/>
        </w:rPr>
        <w:t>Kocoras</w:t>
      </w:r>
      <w:proofErr w:type="spellEnd"/>
      <w:r>
        <w:rPr>
          <w:rFonts w:ascii="Times New Roman" w:hAnsi="Times New Roman"/>
          <w:sz w:val="24"/>
          <w:szCs w:val="24"/>
        </w:rPr>
        <w:t xml:space="preserve">, U.S. District Court for Northern District of Illinois, Eastern District, granted the City’s motion to dismiss this lawsuit, </w:t>
      </w:r>
      <w:proofErr w:type="gramStart"/>
      <w:r>
        <w:rPr>
          <w:rFonts w:ascii="Times New Roman" w:hAnsi="Times New Roman"/>
          <w:sz w:val="24"/>
          <w:szCs w:val="24"/>
        </w:rPr>
        <w:t>and also</w:t>
      </w:r>
      <w:proofErr w:type="gramEnd"/>
      <w:r>
        <w:rPr>
          <w:rFonts w:ascii="Times New Roman" w:hAnsi="Times New Roman"/>
          <w:sz w:val="24"/>
          <w:szCs w:val="24"/>
        </w:rPr>
        <w:t xml:space="preserve"> the motion of her union, </w:t>
      </w:r>
      <w:r w:rsidRPr="00BD5433">
        <w:rPr>
          <w:rFonts w:ascii="Times New Roman" w:hAnsi="Times New Roman"/>
          <w:sz w:val="24"/>
          <w:szCs w:val="24"/>
        </w:rPr>
        <w:t>AFSCME Council 31</w:t>
      </w:r>
      <w:r>
        <w:rPr>
          <w:rFonts w:ascii="Times New Roman" w:hAnsi="Times New Roman"/>
          <w:sz w:val="24"/>
          <w:szCs w:val="24"/>
        </w:rPr>
        <w:t>.</w:t>
      </w:r>
    </w:p>
    <w:p w14:paraId="6E3043A5" w14:textId="2A86F062" w:rsidR="00B03268" w:rsidRDefault="00B03268" w:rsidP="00B03268">
      <w:pPr>
        <w:rPr>
          <w:rFonts w:ascii="Arial Black" w:hAnsi="Arial Black"/>
          <w:b/>
          <w:sz w:val="24"/>
          <w:szCs w:val="24"/>
        </w:rPr>
      </w:pPr>
      <w:r>
        <w:rPr>
          <w:rFonts w:ascii="Times New Roman" w:eastAsia="Times New Roman" w:hAnsi="Times New Roman"/>
          <w:sz w:val="24"/>
          <w:szCs w:val="24"/>
        </w:rPr>
        <w:t>“</w:t>
      </w:r>
      <w:r w:rsidRPr="00BD5433">
        <w:rPr>
          <w:rFonts w:ascii="Times New Roman" w:eastAsia="Times New Roman" w:hAnsi="Times New Roman"/>
          <w:sz w:val="24"/>
          <w:szCs w:val="24"/>
        </w:rPr>
        <w:t xml:space="preserve">Boyd's duties specifically included picking up and dropping off mail and boxes at various City locations. Despite these distinct duties, Boyd alleges that she was paid less than three other men. First, she alleges that she was paid less than Mr. Romell Short, a concrete laborer, who was paid $40.20 an hour. Second, she alleges that she was paid less than Mr. Michael Evans, a City Assistant Commissioner, who was paid an annual salary of over $90,000. And third, Boyd alleges that another man—a firefighter—was paid an annual salary of over $100,000. *** </w:t>
      </w:r>
      <w:r w:rsidRPr="00BD5433">
        <w:rPr>
          <w:rFonts w:ascii="Times New Roman" w:hAnsi="Times New Roman"/>
          <w:sz w:val="24"/>
          <w:szCs w:val="24"/>
        </w:rPr>
        <w:t>Put simply: Boyd alleges no facts to support an inference that the three men at issue completed equal work that required similar skill, effort, or responsibility. That is fatal to Boyd's Amended Complaint.</w:t>
      </w:r>
      <w:r>
        <w:rPr>
          <w:rFonts w:ascii="Times New Roman" w:hAnsi="Times New Roman"/>
          <w:sz w:val="24"/>
          <w:szCs w:val="24"/>
        </w:rPr>
        <w:t xml:space="preserve">” </w:t>
      </w:r>
      <w:hyperlink r:id="rId1863" w:history="1">
        <w:r w:rsidRPr="007344F4">
          <w:rPr>
            <w:rStyle w:val="Hyperlink"/>
            <w:sz w:val="24"/>
            <w:szCs w:val="24"/>
          </w:rPr>
          <w:t>https://public.fastcase.com/9SKwsfNqTc6OieYDhNMyM%2Bd%2B2eK88WBpQndaMaa6S5BNLFOYsG1I8lL7zJutyS4p</w:t>
        </w:r>
      </w:hyperlink>
    </w:p>
    <w:p w14:paraId="24E94DF9" w14:textId="77777777" w:rsidR="00B03268" w:rsidRPr="00BD5433" w:rsidRDefault="00B03268" w:rsidP="00B03268">
      <w:pPr>
        <w:spacing w:before="100" w:beforeAutospacing="1" w:after="100" w:afterAutospacing="1"/>
        <w:rPr>
          <w:rFonts w:ascii="Times New Roman" w:eastAsia="Times New Roman" w:hAnsi="Times New Roman"/>
          <w:b/>
          <w:bCs/>
          <w:sz w:val="24"/>
          <w:szCs w:val="24"/>
        </w:rPr>
      </w:pPr>
      <w:r w:rsidRPr="00F9640F">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 plaintiff obviously does not do the same work as those she used to compare her pay - a concrete laborer, fire fighter, Assistant Commissioner. </w:t>
      </w:r>
    </w:p>
    <w:p w14:paraId="568C8649" w14:textId="77777777" w:rsidR="00B03268" w:rsidRDefault="00B03268" w:rsidP="00F326E5">
      <w:pPr>
        <w:rPr>
          <w:rFonts w:ascii="Arial Black" w:hAnsi="Arial Black"/>
          <w:b/>
          <w:sz w:val="24"/>
          <w:szCs w:val="24"/>
        </w:rPr>
      </w:pPr>
    </w:p>
    <w:p w14:paraId="77405754" w14:textId="09C8B91B" w:rsidR="00BC5936" w:rsidRPr="00BC5936" w:rsidRDefault="00BC5936" w:rsidP="00F326E5">
      <w:pPr>
        <w:rPr>
          <w:rFonts w:ascii="Times New Roman" w:hAnsi="Times New Roman"/>
          <w:bCs/>
          <w:sz w:val="24"/>
          <w:szCs w:val="24"/>
        </w:rPr>
      </w:pPr>
      <w:r>
        <w:rPr>
          <w:rFonts w:ascii="Arial Black" w:hAnsi="Arial Black"/>
          <w:b/>
          <w:sz w:val="24"/>
          <w:szCs w:val="24"/>
        </w:rPr>
        <w:t>11-</w:t>
      </w:r>
      <w:r w:rsidR="00B13773">
        <w:rPr>
          <w:rFonts w:ascii="Arial Black" w:hAnsi="Arial Black"/>
          <w:b/>
          <w:sz w:val="24"/>
          <w:szCs w:val="24"/>
        </w:rPr>
        <w:t>31</w:t>
      </w:r>
      <w:r>
        <w:rPr>
          <w:rFonts w:ascii="Arial Black" w:hAnsi="Arial Black"/>
          <w:b/>
          <w:sz w:val="24"/>
          <w:szCs w:val="24"/>
        </w:rPr>
        <w:t xml:space="preserve"> </w:t>
      </w:r>
      <w:r>
        <w:rPr>
          <w:rFonts w:ascii="Times New Roman" w:hAnsi="Times New Roman"/>
          <w:bCs/>
          <w:sz w:val="24"/>
          <w:szCs w:val="24"/>
        </w:rPr>
        <w:t>[also filed, Chap. 16]</w:t>
      </w:r>
    </w:p>
    <w:p w14:paraId="4D4EF384" w14:textId="77777777" w:rsidR="00BC5936" w:rsidRPr="003A1BB2" w:rsidRDefault="00BC5936" w:rsidP="00BC5936">
      <w:pPr>
        <w:pStyle w:val="NoSpacing"/>
        <w:rPr>
          <w:rFonts w:ascii="Arial Black" w:hAnsi="Arial Black"/>
          <w:sz w:val="28"/>
          <w:szCs w:val="28"/>
        </w:rPr>
      </w:pPr>
      <w:r>
        <w:rPr>
          <w:rFonts w:ascii="Arial Black" w:hAnsi="Arial Black"/>
          <w:sz w:val="28"/>
          <w:szCs w:val="28"/>
        </w:rPr>
        <w:t>NV: AT-WILL HOSPITAL PARAMEDIC - TERMINATED WITHIN 1-YR PROBATIONARY PERIOD – LAWSUIT DISMISSED</w:t>
      </w:r>
    </w:p>
    <w:p w14:paraId="68E0DE4D" w14:textId="77777777" w:rsidR="00BC5936" w:rsidRDefault="00BC5936" w:rsidP="00BC5936">
      <w:pPr>
        <w:pStyle w:val="NoSpacing"/>
      </w:pPr>
    </w:p>
    <w:p w14:paraId="15BD1787" w14:textId="77777777" w:rsidR="00BC5936" w:rsidRPr="00D106AE" w:rsidRDefault="00BC5936" w:rsidP="00BC5936">
      <w:pPr>
        <w:pStyle w:val="NoSpacing"/>
        <w:rPr>
          <w:rFonts w:ascii="Times New Roman" w:hAnsi="Times New Roman"/>
          <w:sz w:val="24"/>
          <w:szCs w:val="24"/>
        </w:rPr>
      </w:pPr>
      <w:r>
        <w:rPr>
          <w:rFonts w:ascii="Times New Roman" w:hAnsi="Times New Roman"/>
          <w:sz w:val="24"/>
          <w:szCs w:val="24"/>
        </w:rPr>
        <w:t xml:space="preserve">On May 13, 2021, in </w:t>
      </w:r>
      <w:r w:rsidRPr="00D106AE">
        <w:rPr>
          <w:rFonts w:ascii="Times New Roman" w:hAnsi="Times New Roman"/>
          <w:sz w:val="24"/>
          <w:szCs w:val="24"/>
          <w:u w:val="single"/>
        </w:rPr>
        <w:t>Todd P. Evans v. Lander County Hospital District, d/b/a Battle Mountain General Hospital</w:t>
      </w:r>
      <w:r w:rsidRPr="00D106AE">
        <w:rPr>
          <w:rFonts w:ascii="Times New Roman" w:hAnsi="Times New Roman"/>
          <w:sz w:val="24"/>
          <w:szCs w:val="24"/>
        </w:rPr>
        <w:t xml:space="preserve">, U.S. District Court Judge Larry R. Hicks, U.S. District Court, District of Nevada, </w:t>
      </w:r>
      <w:r>
        <w:rPr>
          <w:rFonts w:ascii="Times New Roman" w:hAnsi="Times New Roman"/>
          <w:sz w:val="24"/>
          <w:szCs w:val="24"/>
        </w:rPr>
        <w:t>held that the paramedic did not file or otherwise orally make a complaint of FLSA violation, and he was an at-will employee that can be terminated without cause by the hospital.</w:t>
      </w:r>
    </w:p>
    <w:p w14:paraId="123C4A92" w14:textId="77777777" w:rsidR="00BC5936" w:rsidRDefault="00BC5936" w:rsidP="00BC5936">
      <w:pPr>
        <w:spacing w:before="100" w:beforeAutospacing="1" w:after="100" w:afterAutospacing="1"/>
        <w:ind w:left="720"/>
        <w:rPr>
          <w:rFonts w:ascii="Times New Roman" w:eastAsia="Times New Roman" w:hAnsi="Times New Roman"/>
          <w:sz w:val="24"/>
          <w:szCs w:val="24"/>
        </w:rPr>
      </w:pPr>
      <w:r>
        <w:rPr>
          <w:rFonts w:ascii="Times New Roman" w:eastAsia="Times New Roman" w:hAnsi="Times New Roman"/>
          <w:sz w:val="24"/>
          <w:szCs w:val="24"/>
        </w:rPr>
        <w:t>“</w:t>
      </w:r>
      <w:r w:rsidRPr="003A1BB2">
        <w:rPr>
          <w:rFonts w:ascii="Times New Roman" w:eastAsia="Times New Roman" w:hAnsi="Times New Roman"/>
          <w:sz w:val="24"/>
          <w:szCs w:val="24"/>
        </w:rPr>
        <w:t>Again, based on Evans' testimony, the Court finds that Evans' statements during the April 2019 meeting do not constitute filling a complaint with the BMGH as contemplated by the FLSA anti-retaliation statute. The content of this meeting was the financial and economic status of the EMS Department and was focused on how Evans' suggested alterations to the department, including transitioning the volunteer EMTs to paid staff, would make the department more fiscally responsible and increase staff. While Evans did address the FLSA and again suggested that the volunteer program may be violating the federal statute, he did not specify an illegality related to the program and did not provide Trustee Roberts with any documentation related to the FLSA. A reasonable employer would have seen Evans' statements as an attempt to recruit a board member to support his budget proposal, not an assertion of the employment rights of the volunteer EMTs in the program. Accordingly, his statements cannot be considered a filed complaint under the FLSA anti-retaliation statute.</w:t>
      </w:r>
    </w:p>
    <w:p w14:paraId="2E05832E" w14:textId="77777777" w:rsidR="00BC5936" w:rsidRDefault="00BC5936" w:rsidP="00BC5936">
      <w:pPr>
        <w:spacing w:before="100" w:beforeAutospacing="1" w:after="100" w:afterAutospacing="1"/>
        <w:ind w:left="720"/>
        <w:rPr>
          <w:rFonts w:ascii="Times New Roman" w:eastAsia="Times New Roman" w:hAnsi="Times New Roman"/>
          <w:sz w:val="24"/>
          <w:szCs w:val="24"/>
        </w:rPr>
      </w:pPr>
      <w:r>
        <w:rPr>
          <w:rFonts w:ascii="Times New Roman" w:eastAsia="Times New Roman" w:hAnsi="Times New Roman"/>
          <w:sz w:val="24"/>
          <w:szCs w:val="24"/>
        </w:rPr>
        <w:t>***</w:t>
      </w:r>
    </w:p>
    <w:p w14:paraId="248641C5" w14:textId="77777777" w:rsidR="00BC5936" w:rsidRPr="003A1BB2" w:rsidRDefault="00BC5936" w:rsidP="00BC5936">
      <w:pPr>
        <w:spacing w:before="100" w:beforeAutospacing="1" w:after="100" w:afterAutospacing="1"/>
        <w:ind w:left="720"/>
        <w:rPr>
          <w:rFonts w:ascii="Times New Roman" w:eastAsia="Times New Roman" w:hAnsi="Times New Roman"/>
          <w:sz w:val="24"/>
          <w:szCs w:val="24"/>
        </w:rPr>
      </w:pPr>
      <w:r w:rsidRPr="00D106AE">
        <w:rPr>
          <w:rFonts w:ascii="Times New Roman" w:hAnsi="Times New Roman"/>
          <w:sz w:val="24"/>
          <w:szCs w:val="24"/>
        </w:rPr>
        <w:lastRenderedPageBreak/>
        <w:t xml:space="preserve">Evans' fourth cause of action alleges Defendant breached its oral employment contract in which BMGH agreed to pay Evans a salary of $115,000.00 per year plus a travel stipend of no more than $500.00 per month. ECF No. 1 ¶¶ 55-58. Defendant argues that it could not have breached an employment contract that did not exist as Evans was an at-will employee. Having reviewed the record, there can be no dispute that Evans was an at-will </w:t>
      </w:r>
      <w:proofErr w:type="gramStart"/>
      <w:r w:rsidRPr="00D106AE">
        <w:rPr>
          <w:rFonts w:ascii="Times New Roman" w:hAnsi="Times New Roman"/>
          <w:sz w:val="24"/>
          <w:szCs w:val="24"/>
        </w:rPr>
        <w:t>employee.</w:t>
      </w:r>
      <w:r>
        <w:rPr>
          <w:rFonts w:ascii="Times New Roman" w:hAnsi="Times New Roman"/>
          <w:sz w:val="24"/>
          <w:szCs w:val="24"/>
        </w:rPr>
        <w:t>”</w:t>
      </w:r>
      <w:proofErr w:type="gramEnd"/>
      <w:r>
        <w:rPr>
          <w:rFonts w:ascii="Times New Roman" w:hAnsi="Times New Roman"/>
          <w:sz w:val="24"/>
          <w:szCs w:val="24"/>
        </w:rPr>
        <w:t xml:space="preserve"> </w:t>
      </w:r>
      <w:hyperlink r:id="rId1864" w:history="1">
        <w:r w:rsidRPr="00C724D5">
          <w:rPr>
            <w:rStyle w:val="Hyperlink"/>
            <w:sz w:val="24"/>
            <w:szCs w:val="24"/>
          </w:rPr>
          <w:t>https://www.leagle.com/decision/infdco20210518900</w:t>
        </w:r>
      </w:hyperlink>
      <w:r>
        <w:rPr>
          <w:rFonts w:ascii="Times New Roman" w:eastAsia="Times New Roman" w:hAnsi="Times New Roman"/>
          <w:sz w:val="24"/>
          <w:szCs w:val="24"/>
        </w:rPr>
        <w:t xml:space="preserve"> </w:t>
      </w:r>
    </w:p>
    <w:p w14:paraId="4D95F609" w14:textId="77777777" w:rsidR="00BC5936" w:rsidRPr="00E7248E" w:rsidRDefault="00BC5936" w:rsidP="00BC5936">
      <w:pPr>
        <w:pStyle w:val="NormalWeb"/>
        <w:rPr>
          <w:b/>
          <w:bCs/>
        </w:rPr>
      </w:pPr>
      <w:r w:rsidRPr="00E7248E">
        <w:rPr>
          <w:b/>
          <w:bCs/>
        </w:rPr>
        <w:t>Legal Lesson Learned:</w:t>
      </w:r>
      <w:r>
        <w:rPr>
          <w:b/>
          <w:bCs/>
        </w:rPr>
        <w:t xml:space="preserve"> At will employees can be terminated, with or without cause.  </w:t>
      </w:r>
    </w:p>
    <w:p w14:paraId="6C3BCDB1" w14:textId="77777777" w:rsidR="00BC5936" w:rsidRDefault="00BC5936" w:rsidP="00F326E5">
      <w:pPr>
        <w:rPr>
          <w:rFonts w:ascii="Arial Black" w:hAnsi="Arial Black"/>
          <w:b/>
          <w:sz w:val="24"/>
          <w:szCs w:val="24"/>
        </w:rPr>
      </w:pPr>
    </w:p>
    <w:p w14:paraId="46528163" w14:textId="77777777" w:rsidR="00BC5936" w:rsidRDefault="00BC5936" w:rsidP="00F326E5">
      <w:pPr>
        <w:rPr>
          <w:rFonts w:ascii="Arial Black" w:hAnsi="Arial Black"/>
          <w:b/>
          <w:sz w:val="24"/>
          <w:szCs w:val="24"/>
        </w:rPr>
      </w:pPr>
    </w:p>
    <w:p w14:paraId="6F2D0D06" w14:textId="77777777" w:rsidR="00BC5936" w:rsidRDefault="00BC5936" w:rsidP="00F326E5">
      <w:pPr>
        <w:rPr>
          <w:rFonts w:ascii="Arial Black" w:hAnsi="Arial Black"/>
          <w:b/>
          <w:sz w:val="24"/>
          <w:szCs w:val="24"/>
        </w:rPr>
      </w:pPr>
    </w:p>
    <w:p w14:paraId="1BA09A10" w14:textId="241CE1CD" w:rsidR="003E0A22" w:rsidRDefault="003E0A22" w:rsidP="00F326E5">
      <w:pPr>
        <w:rPr>
          <w:rFonts w:ascii="Arial Black" w:hAnsi="Arial Black"/>
          <w:b/>
          <w:sz w:val="24"/>
          <w:szCs w:val="24"/>
        </w:rPr>
      </w:pPr>
      <w:r>
        <w:rPr>
          <w:rFonts w:ascii="Arial Black" w:hAnsi="Arial Black"/>
          <w:b/>
          <w:sz w:val="24"/>
          <w:szCs w:val="24"/>
        </w:rPr>
        <w:t>11-</w:t>
      </w:r>
      <w:r w:rsidR="00B13773">
        <w:rPr>
          <w:rFonts w:ascii="Arial Black" w:hAnsi="Arial Black"/>
          <w:b/>
          <w:sz w:val="24"/>
          <w:szCs w:val="24"/>
        </w:rPr>
        <w:t>30</w:t>
      </w:r>
    </w:p>
    <w:p w14:paraId="562E3288" w14:textId="77777777" w:rsidR="003E0A22" w:rsidRDefault="003E0A22" w:rsidP="003E0A22">
      <w:pPr>
        <w:rPr>
          <w:rFonts w:ascii="Arial Black" w:hAnsi="Arial Black"/>
          <w:sz w:val="28"/>
          <w:szCs w:val="28"/>
        </w:rPr>
      </w:pPr>
      <w:r>
        <w:rPr>
          <w:rFonts w:ascii="Arial Black" w:hAnsi="Arial Black"/>
          <w:sz w:val="28"/>
          <w:szCs w:val="28"/>
        </w:rPr>
        <w:t>MO:  FLSA CLASS ACTION MAY PROCEED – 400+ FF – SPECIALTY PAY NOT ADDED TO “REGULAR RATE OF PAY”</w:t>
      </w:r>
    </w:p>
    <w:p w14:paraId="455574E8" w14:textId="77777777" w:rsidR="003E0A22" w:rsidRDefault="003E0A22" w:rsidP="003E0A22">
      <w:pPr>
        <w:rPr>
          <w:rFonts w:ascii="Times New Roman" w:hAnsi="Times New Roman"/>
          <w:sz w:val="24"/>
          <w:szCs w:val="24"/>
        </w:rPr>
      </w:pPr>
      <w:r>
        <w:rPr>
          <w:rFonts w:ascii="Times New Roman" w:hAnsi="Times New Roman"/>
          <w:sz w:val="24"/>
          <w:szCs w:val="24"/>
        </w:rPr>
        <w:t xml:space="preserve">On March 30, 2021, in </w:t>
      </w:r>
      <w:r w:rsidRPr="00EE3F62">
        <w:rPr>
          <w:rFonts w:ascii="Times New Roman" w:hAnsi="Times New Roman"/>
          <w:sz w:val="24"/>
          <w:szCs w:val="24"/>
          <w:u w:val="single"/>
        </w:rPr>
        <w:t>Craig Adams and Joseph Knopp, individually and on behalf of similarly situated plaintiffs v. City of Kansas, Missouri</w:t>
      </w:r>
      <w:r>
        <w:rPr>
          <w:rFonts w:ascii="Times New Roman" w:hAnsi="Times New Roman"/>
          <w:sz w:val="24"/>
          <w:szCs w:val="24"/>
        </w:rPr>
        <w:t>, U.S. Magistrate W. Brian Gaddy denied the City’s motion to decertify the class action, where 474 firefighters submitted consent forms to join the class action (91 firefighters who did not receive the specialty pay since 2016 were with agreement dropped from the case).   The Complaint, filed in 2019, alleges that City failed to increase the firefighters “regular rate of pay” for those FF receiving specialty pay, including members of the Hazards Material Team (3%); members of ARFF receive a 5% pay increase; Instructors (10%); FTO’s (5%); EST maintaining cardiac monitors and hydraulic cots (10%); cross trained FF / EMS assigned to combined rescue and Squad (3%).</w:t>
      </w:r>
    </w:p>
    <w:p w14:paraId="7A72B887" w14:textId="77777777" w:rsidR="003E0A22" w:rsidRDefault="003E0A22" w:rsidP="003E0A22">
      <w:pPr>
        <w:pStyle w:val="NormalWeb"/>
        <w:ind w:left="720"/>
      </w:pPr>
      <w:r>
        <w:t>“</w:t>
      </w:r>
      <w:r w:rsidRPr="006F4267">
        <w:t xml:space="preserve">The Court notes the more than 400 collective action members have been and continue to be represented by the same law firm. Throughout more than two years of litigation, counsel has sought and continues to seek relief on behalf of the collective action members. </w:t>
      </w:r>
    </w:p>
    <w:p w14:paraId="1E1E017D" w14:textId="77777777" w:rsidR="003E0A22" w:rsidRPr="006F4267" w:rsidRDefault="003E0A22" w:rsidP="003E0A22">
      <w:pPr>
        <w:pStyle w:val="NormalWeb"/>
        <w:ind w:left="720"/>
      </w:pPr>
      <w:r>
        <w:t>***</w:t>
      </w:r>
    </w:p>
    <w:p w14:paraId="002BE85D" w14:textId="77777777" w:rsidR="003E0A22" w:rsidRDefault="003E0A22" w:rsidP="003E0A22">
      <w:pPr>
        <w:ind w:left="720"/>
        <w:rPr>
          <w:rFonts w:ascii="Times New Roman" w:hAnsi="Times New Roman"/>
          <w:sz w:val="24"/>
          <w:szCs w:val="24"/>
        </w:rPr>
      </w:pPr>
      <w:r w:rsidRPr="006F4267">
        <w:rPr>
          <w:rFonts w:ascii="Times New Roman" w:hAnsi="Times New Roman"/>
          <w:sz w:val="24"/>
          <w:szCs w:val="24"/>
        </w:rPr>
        <w:t xml:space="preserve">Here, the Court concludes collective adjudication reduces the burden on Plaintiffs through the pooling of resources and efficiently resolves common issues of law and fact arising from the City’s application of a pay policy. Not only would it be impractical or difficult for each collective action member to pursue his or her FLSA claim individually, the legal questions and common factual issues lend themselves to resolution through common evidence. By permitting this matter to proceed as a collective action, the result will be one judgment. </w:t>
      </w:r>
      <w:proofErr w:type="gramStart"/>
      <w:r w:rsidRPr="006F4267">
        <w:rPr>
          <w:rFonts w:ascii="Times New Roman" w:hAnsi="Times New Roman"/>
          <w:sz w:val="24"/>
          <w:szCs w:val="24"/>
        </w:rPr>
        <w:t>Whereas,</w:t>
      </w:r>
      <w:proofErr w:type="gramEnd"/>
      <w:r w:rsidRPr="006F4267">
        <w:rPr>
          <w:rFonts w:ascii="Times New Roman" w:hAnsi="Times New Roman"/>
          <w:sz w:val="24"/>
          <w:szCs w:val="24"/>
        </w:rPr>
        <w:t xml:space="preserve"> decertification could result in hundreds of individual trials. See </w:t>
      </w:r>
      <w:proofErr w:type="spellStart"/>
      <w:r w:rsidRPr="006F4267">
        <w:rPr>
          <w:rFonts w:ascii="Times New Roman" w:hAnsi="Times New Roman"/>
          <w:sz w:val="24"/>
          <w:szCs w:val="24"/>
        </w:rPr>
        <w:t>Kautsch</w:t>
      </w:r>
      <w:proofErr w:type="spellEnd"/>
      <w:r w:rsidRPr="006F4267">
        <w:rPr>
          <w:rFonts w:ascii="Times New Roman" w:hAnsi="Times New Roman"/>
          <w:sz w:val="24"/>
          <w:szCs w:val="24"/>
        </w:rPr>
        <w:t>, 2008 WL 294271, at *4; see also Shoots, 325 F.R.D. at 279-80. Accordingly, the issues will be efficiently resolved for the parties and the Court.</w:t>
      </w:r>
      <w:r>
        <w:t xml:space="preserve">” </w:t>
      </w:r>
      <w:hyperlink r:id="rId1865" w:history="1">
        <w:r w:rsidRPr="0041276B">
          <w:rPr>
            <w:rStyle w:val="Hyperlink"/>
            <w:rFonts w:ascii="Times New Roman" w:hAnsi="Times New Roman"/>
            <w:sz w:val="24"/>
            <w:szCs w:val="24"/>
          </w:rPr>
          <w:t>https://casetext.com/case/adams-v-city-of-kan-city-1</w:t>
        </w:r>
      </w:hyperlink>
      <w:r w:rsidRPr="005D1860">
        <w:rPr>
          <w:rFonts w:ascii="Times New Roman" w:hAnsi="Times New Roman"/>
          <w:sz w:val="24"/>
          <w:szCs w:val="24"/>
        </w:rPr>
        <w:t xml:space="preserve">  </w:t>
      </w:r>
    </w:p>
    <w:p w14:paraId="4D772AC9" w14:textId="77777777" w:rsidR="003E0A22" w:rsidRPr="005C2B75" w:rsidRDefault="003E0A22" w:rsidP="003E0A22">
      <w:pPr>
        <w:pStyle w:val="NormalWeb"/>
      </w:pPr>
      <w:r w:rsidRPr="005C2B75">
        <w:rPr>
          <w:b/>
          <w:bCs/>
        </w:rPr>
        <w:t>Legal Lesson Learned:</w:t>
      </w:r>
      <w:r>
        <w:rPr>
          <w:b/>
          <w:bCs/>
        </w:rPr>
        <w:t xml:space="preserve"> Case will now proceed to trial.  See the Complaint: </w:t>
      </w:r>
      <w:hyperlink r:id="rId1866" w:history="1">
        <w:r w:rsidRPr="005C2B75">
          <w:rPr>
            <w:rStyle w:val="Hyperlink"/>
          </w:rPr>
          <w:t>http://www.firefighterovertime.org/wp-content/uploads/2021/04/KC-MO-FF-FLSA-Complaint-1.pdf</w:t>
        </w:r>
      </w:hyperlink>
      <w:r w:rsidRPr="005C2B75">
        <w:t xml:space="preserve"> </w:t>
      </w:r>
    </w:p>
    <w:p w14:paraId="6FB13DDA" w14:textId="77777777" w:rsidR="003E0A22" w:rsidRPr="005C2B75" w:rsidRDefault="003E0A22" w:rsidP="003E0A22">
      <w:pPr>
        <w:pStyle w:val="NormalWeb"/>
        <w:ind w:left="720"/>
      </w:pPr>
      <w:r>
        <w:lastRenderedPageBreak/>
        <w:t xml:space="preserve">Note: See this helpful U.S. Department of Labor, Wage &amp; Hour instructions on “regular rate of pay” (Dec. 2019): </w:t>
      </w:r>
      <w:hyperlink r:id="rId1867" w:history="1">
        <w:r w:rsidRPr="0094590E">
          <w:rPr>
            <w:rStyle w:val="Hyperlink"/>
          </w:rPr>
          <w:t>https://www.dol.gov/agencies/whd/fact-sheets/56a-regular-rate</w:t>
        </w:r>
      </w:hyperlink>
      <w:r>
        <w:t xml:space="preserve"> </w:t>
      </w:r>
    </w:p>
    <w:p w14:paraId="7D9ED66B" w14:textId="77777777" w:rsidR="003E0A22" w:rsidRDefault="003E0A22" w:rsidP="003E0A22">
      <w:pPr>
        <w:pStyle w:val="NormalWeb"/>
        <w:ind w:left="720"/>
        <w:rPr>
          <w:rFonts w:ascii="Arial" w:hAnsi="Arial" w:cs="Arial"/>
          <w:sz w:val="30"/>
          <w:szCs w:val="30"/>
        </w:rPr>
      </w:pPr>
      <w:r>
        <w:t xml:space="preserve">“Under the FLSA, the regular rate includes ‘all remuneration for employment paid to, or on behalf of, the employee.’ The FLSA (29 USC § 207(e)) provides an exhaustive list of types of payments that can be excluded from the regular rate of pay when calculating overtime compensation.  Unless specifically noted, payments that are excludable from the regular rate may not be credited towards overtime compensation due under the FLSA.  Additional information regarding exclusions from the regular rate may be found in the regulations, </w:t>
      </w:r>
      <w:hyperlink r:id="rId1868" w:anchor="sp29.3.778.c" w:tgtFrame="_blank" w:history="1">
        <w:r>
          <w:rPr>
            <w:rStyle w:val="Hyperlink"/>
          </w:rPr>
          <w:t>29 C.F.R. § 778</w:t>
        </w:r>
      </w:hyperlink>
      <w:r>
        <w:t>.200-.225.”</w:t>
      </w:r>
    </w:p>
    <w:p w14:paraId="6524F740" w14:textId="77777777" w:rsidR="003E0A22" w:rsidRDefault="003E0A22" w:rsidP="00F326E5">
      <w:pPr>
        <w:rPr>
          <w:rFonts w:ascii="Arial Black" w:hAnsi="Arial Black"/>
          <w:b/>
          <w:sz w:val="24"/>
          <w:szCs w:val="24"/>
        </w:rPr>
      </w:pPr>
    </w:p>
    <w:p w14:paraId="5642E57C" w14:textId="77777777" w:rsidR="003E0A22" w:rsidRDefault="003E0A22" w:rsidP="00F326E5">
      <w:pPr>
        <w:rPr>
          <w:rFonts w:ascii="Arial Black" w:hAnsi="Arial Black"/>
          <w:b/>
          <w:sz w:val="24"/>
          <w:szCs w:val="24"/>
        </w:rPr>
      </w:pPr>
    </w:p>
    <w:p w14:paraId="66993A39" w14:textId="18C10217" w:rsidR="00EB2493" w:rsidRDefault="00EB2493" w:rsidP="00F326E5">
      <w:pPr>
        <w:rPr>
          <w:rFonts w:ascii="Arial Black" w:hAnsi="Arial Black"/>
          <w:b/>
          <w:sz w:val="24"/>
          <w:szCs w:val="24"/>
        </w:rPr>
      </w:pPr>
      <w:r>
        <w:rPr>
          <w:rFonts w:ascii="Arial Black" w:hAnsi="Arial Black"/>
          <w:b/>
          <w:sz w:val="24"/>
          <w:szCs w:val="24"/>
        </w:rPr>
        <w:t>11-2</w:t>
      </w:r>
      <w:r w:rsidR="00B13773">
        <w:rPr>
          <w:rFonts w:ascii="Arial Black" w:hAnsi="Arial Black"/>
          <w:b/>
          <w:sz w:val="24"/>
          <w:szCs w:val="24"/>
        </w:rPr>
        <w:t>9</w:t>
      </w:r>
    </w:p>
    <w:p w14:paraId="01B977B2" w14:textId="77777777" w:rsidR="00EB2493" w:rsidRPr="002D1748" w:rsidRDefault="00EB2493" w:rsidP="00EB2493">
      <w:pPr>
        <w:pStyle w:val="Heading1"/>
        <w:rPr>
          <w:rFonts w:ascii="Arial Black" w:hAnsi="Arial Black"/>
          <w:sz w:val="28"/>
          <w:szCs w:val="28"/>
        </w:rPr>
      </w:pPr>
      <w:bookmarkStart w:id="386" w:name="_Hlk66948836"/>
      <w:r>
        <w:rPr>
          <w:rFonts w:ascii="Arial Black" w:hAnsi="Arial Black"/>
          <w:sz w:val="28"/>
          <w:szCs w:val="28"/>
        </w:rPr>
        <w:t>CA: $3.4M FLSA SETTLEMENT – FF CASH IF DON’T USE MEDICAL BENEFITS - “REGULAR RATE” PAY IMPACT</w:t>
      </w:r>
    </w:p>
    <w:p w14:paraId="29DB577E" w14:textId="1A1832F7" w:rsidR="00EB2493" w:rsidRDefault="00EB2493" w:rsidP="00EB2493">
      <w:pPr>
        <w:pStyle w:val="Heading1"/>
        <w:rPr>
          <w:b w:val="0"/>
          <w:bCs w:val="0"/>
          <w:sz w:val="24"/>
          <w:szCs w:val="24"/>
        </w:rPr>
      </w:pPr>
      <w:r>
        <w:rPr>
          <w:b w:val="0"/>
          <w:bCs w:val="0"/>
          <w:sz w:val="24"/>
          <w:szCs w:val="24"/>
        </w:rPr>
        <w:t xml:space="preserve">On Feb. 8, 2021, in </w:t>
      </w:r>
      <w:r w:rsidRPr="002D1748">
        <w:rPr>
          <w:b w:val="0"/>
          <w:bCs w:val="0"/>
          <w:sz w:val="24"/>
          <w:szCs w:val="24"/>
          <w:u w:val="single"/>
        </w:rPr>
        <w:t>Eric Kelley, et al. v. City of San Diego</w:t>
      </w:r>
      <w:r>
        <w:rPr>
          <w:b w:val="0"/>
          <w:bCs w:val="0"/>
          <w:sz w:val="24"/>
          <w:szCs w:val="24"/>
        </w:rPr>
        <w:t xml:space="preserve">, U.S. District Court Judge Gonzalo P. Curiel, U.S. District Court for Southern District of California, approved this settlement; if a firefighter’s spouse has medical coverage from the spouse’s employer, the City pay the firefighter “cash-in-lieu” of using City’s insurance.  </w:t>
      </w:r>
      <w:bookmarkEnd w:id="386"/>
      <w:r>
        <w:rPr>
          <w:b w:val="0"/>
          <w:bCs w:val="0"/>
          <w:sz w:val="24"/>
          <w:szCs w:val="24"/>
        </w:rPr>
        <w:t>In a 2016 decision by the U.S. Court of Appeals for the 9</w:t>
      </w:r>
      <w:r w:rsidRPr="002D1748">
        <w:rPr>
          <w:b w:val="0"/>
          <w:bCs w:val="0"/>
          <w:sz w:val="24"/>
          <w:szCs w:val="24"/>
          <w:vertAlign w:val="superscript"/>
        </w:rPr>
        <w:t>th</w:t>
      </w:r>
      <w:r>
        <w:rPr>
          <w:b w:val="0"/>
          <w:bCs w:val="0"/>
          <w:sz w:val="24"/>
          <w:szCs w:val="24"/>
        </w:rPr>
        <w:t xml:space="preserve"> Circuit, </w:t>
      </w:r>
      <w:r w:rsidRPr="002D1748">
        <w:rPr>
          <w:b w:val="0"/>
          <w:bCs w:val="0"/>
          <w:i/>
          <w:iCs/>
          <w:sz w:val="24"/>
          <w:szCs w:val="24"/>
        </w:rPr>
        <w:t>Flores v</w:t>
      </w:r>
      <w:r w:rsidRPr="002D1748">
        <w:rPr>
          <w:b w:val="0"/>
          <w:bCs w:val="0"/>
          <w:sz w:val="24"/>
          <w:szCs w:val="24"/>
        </w:rPr>
        <w:t xml:space="preserve">. </w:t>
      </w:r>
      <w:r w:rsidRPr="002D1748">
        <w:rPr>
          <w:b w:val="0"/>
          <w:bCs w:val="0"/>
          <w:i/>
          <w:iCs/>
          <w:sz w:val="24"/>
          <w:szCs w:val="24"/>
        </w:rPr>
        <w:t>City of San Gabriel</w:t>
      </w:r>
      <w:r w:rsidRPr="002D1748">
        <w:rPr>
          <w:b w:val="0"/>
          <w:bCs w:val="0"/>
          <w:sz w:val="24"/>
          <w:szCs w:val="24"/>
        </w:rPr>
        <w:t>, 824 F.3d 890, 895 (9th Cir. 2016)</w:t>
      </w:r>
      <w:r>
        <w:rPr>
          <w:b w:val="0"/>
          <w:bCs w:val="0"/>
          <w:sz w:val="24"/>
          <w:szCs w:val="24"/>
        </w:rPr>
        <w:t>, the City of San Gabriel provided a “Flexible Benefit Plan” where a designated monetary amount was furnished to each employee for purchase of medical, vision and dental benefits.  Employees could decline the purchase of medical benefits on proof of alternate coverage, such as spouse’s medical coverage.  9</w:t>
      </w:r>
      <w:r w:rsidRPr="00A47DED">
        <w:rPr>
          <w:b w:val="0"/>
          <w:bCs w:val="0"/>
          <w:sz w:val="24"/>
          <w:szCs w:val="24"/>
          <w:vertAlign w:val="superscript"/>
        </w:rPr>
        <w:t>th</w:t>
      </w:r>
      <w:r>
        <w:rPr>
          <w:b w:val="0"/>
          <w:bCs w:val="0"/>
          <w:sz w:val="24"/>
          <w:szCs w:val="24"/>
        </w:rPr>
        <w:t xml:space="preserve"> Circuit held that these guaranteed cash payments (42% - 47%; over $1,000 per month) must be treated like other guaranteed employee payments [such as annual Medic bonuses] to increase the “regular rate” of pay when calculating overtime pay. </w:t>
      </w:r>
    </w:p>
    <w:p w14:paraId="5EB839D7" w14:textId="77777777" w:rsidR="00EB2493" w:rsidRDefault="00EB2493" w:rsidP="00EB2493">
      <w:pPr>
        <w:pStyle w:val="Heading1"/>
        <w:ind w:left="720"/>
        <w:rPr>
          <w:b w:val="0"/>
          <w:bCs w:val="0"/>
          <w:sz w:val="24"/>
          <w:szCs w:val="24"/>
        </w:rPr>
      </w:pPr>
      <w:r>
        <w:rPr>
          <w:b w:val="0"/>
          <w:bCs w:val="0"/>
          <w:sz w:val="24"/>
          <w:szCs w:val="24"/>
        </w:rPr>
        <w:t>“</w:t>
      </w:r>
      <w:r w:rsidRPr="002D1748">
        <w:rPr>
          <w:b w:val="0"/>
          <w:bCs w:val="0"/>
          <w:sz w:val="24"/>
          <w:szCs w:val="24"/>
        </w:rPr>
        <w:t>The Parties now move for the Court to approve the Settlement Agreement, which provides that the City will pay a total sum of $3,400,000, comprised of three elements: A payment of back overtime of $1,575,000, liquidated damages of $1,575,000, and a payment by the City of $250,000 towards Plaintiffs' attorney's fees and litigation costs.</w:t>
      </w:r>
    </w:p>
    <w:p w14:paraId="5C8FC85E" w14:textId="77777777" w:rsidR="00EB2493" w:rsidRDefault="00EB2493" w:rsidP="00EB2493">
      <w:pPr>
        <w:pStyle w:val="Heading1"/>
        <w:ind w:left="720"/>
        <w:rPr>
          <w:b w:val="0"/>
          <w:bCs w:val="0"/>
          <w:sz w:val="24"/>
          <w:szCs w:val="24"/>
        </w:rPr>
      </w:pPr>
      <w:r>
        <w:rPr>
          <w:b w:val="0"/>
          <w:bCs w:val="0"/>
          <w:sz w:val="24"/>
          <w:szCs w:val="24"/>
        </w:rPr>
        <w:t>***</w:t>
      </w:r>
    </w:p>
    <w:p w14:paraId="5DD2F979" w14:textId="1306A122" w:rsidR="00EB2493" w:rsidRPr="00EB2493" w:rsidRDefault="00EB2493" w:rsidP="00EB2493">
      <w:pPr>
        <w:rPr>
          <w:rFonts w:ascii="Times New Roman" w:hAnsi="Times New Roman"/>
          <w:b/>
          <w:sz w:val="24"/>
          <w:szCs w:val="24"/>
        </w:rPr>
      </w:pPr>
      <w:r w:rsidRPr="00EB2493">
        <w:rPr>
          <w:rFonts w:ascii="Times New Roman" w:hAnsi="Times New Roman"/>
          <w:sz w:val="24"/>
          <w:szCs w:val="24"/>
        </w:rPr>
        <w:t xml:space="preserve">This case involves a wage-and-hour class action, wherein Plaintiffs are non-exempt City of San Diego employees of the City' Fire Department who argue that they are entitled to overtime compensation under the Fair Labor Standards Act ("FLSA"), 29 U.S.C. § 201, </w:t>
      </w:r>
      <w:r w:rsidRPr="00EB2493">
        <w:rPr>
          <w:rFonts w:ascii="Times New Roman" w:hAnsi="Times New Roman"/>
          <w:i/>
          <w:iCs/>
          <w:sz w:val="24"/>
          <w:szCs w:val="24"/>
        </w:rPr>
        <w:t>et seq</w:t>
      </w:r>
      <w:r w:rsidRPr="00EB2493">
        <w:rPr>
          <w:rFonts w:ascii="Times New Roman" w:hAnsi="Times New Roman"/>
          <w:sz w:val="24"/>
          <w:szCs w:val="24"/>
        </w:rPr>
        <w:t xml:space="preserve">. and seek unpaid overtime compensation, liquidated damages, and reasonable attorney's fees on the basis of the Ninth Circuit decision </w:t>
      </w:r>
      <w:r w:rsidRPr="00EB2493">
        <w:rPr>
          <w:rFonts w:ascii="Times New Roman" w:hAnsi="Times New Roman"/>
          <w:i/>
          <w:iCs/>
          <w:sz w:val="24"/>
          <w:szCs w:val="24"/>
        </w:rPr>
        <w:t>Flores v</w:t>
      </w:r>
      <w:r w:rsidRPr="00EB2493">
        <w:rPr>
          <w:rFonts w:ascii="Times New Roman" w:hAnsi="Times New Roman"/>
          <w:sz w:val="24"/>
          <w:szCs w:val="24"/>
        </w:rPr>
        <w:t xml:space="preserve">. </w:t>
      </w:r>
      <w:r w:rsidRPr="00EB2493">
        <w:rPr>
          <w:rFonts w:ascii="Times New Roman" w:hAnsi="Times New Roman"/>
          <w:i/>
          <w:iCs/>
          <w:sz w:val="24"/>
          <w:szCs w:val="24"/>
        </w:rPr>
        <w:t>City of San Gabriel</w:t>
      </w:r>
      <w:r w:rsidRPr="00EB2493">
        <w:rPr>
          <w:rFonts w:ascii="Times New Roman" w:hAnsi="Times New Roman"/>
          <w:sz w:val="24"/>
          <w:szCs w:val="24"/>
        </w:rPr>
        <w:t xml:space="preserve">, 824 F.3d 890, 895 (9th Cir. 2016). </w:t>
      </w:r>
      <w:r w:rsidRPr="00EB2493">
        <w:rPr>
          <w:rFonts w:ascii="Times New Roman" w:hAnsi="Times New Roman"/>
          <w:i/>
          <w:iCs/>
          <w:sz w:val="24"/>
          <w:szCs w:val="24"/>
        </w:rPr>
        <w:t>Flores</w:t>
      </w:r>
      <w:r w:rsidRPr="00EB2493">
        <w:rPr>
          <w:rFonts w:ascii="Times New Roman" w:hAnsi="Times New Roman"/>
          <w:sz w:val="24"/>
          <w:szCs w:val="24"/>
        </w:rPr>
        <w:t xml:space="preserve"> held that employees who did not spend the whole of their allocated flex benefit plan dollars received the unused portions as cash, sometimes referred to as ‘cash-in-lieu’ (‘CIL’) payments, and that the employee's CIL payments must be included in the calculation of the regular rate of pay for overtime payments under FLSA. </w:t>
      </w:r>
      <w:r w:rsidRPr="00EB2493">
        <w:rPr>
          <w:rFonts w:ascii="Times New Roman" w:hAnsi="Times New Roman"/>
          <w:i/>
          <w:iCs/>
          <w:sz w:val="24"/>
          <w:szCs w:val="24"/>
        </w:rPr>
        <w:t>Flores</w:t>
      </w:r>
      <w:r w:rsidRPr="00EB2493">
        <w:rPr>
          <w:rFonts w:ascii="Times New Roman" w:hAnsi="Times New Roman"/>
          <w:sz w:val="24"/>
          <w:szCs w:val="24"/>
        </w:rPr>
        <w:t xml:space="preserve">, 824 F.3d at 901-02. </w:t>
      </w:r>
      <w:r w:rsidRPr="00EB2493">
        <w:rPr>
          <w:rFonts w:ascii="Times New Roman" w:hAnsi="Times New Roman"/>
          <w:i/>
          <w:iCs/>
          <w:sz w:val="24"/>
          <w:szCs w:val="24"/>
        </w:rPr>
        <w:t>Flores</w:t>
      </w:r>
      <w:r w:rsidRPr="00EB2493">
        <w:rPr>
          <w:rFonts w:ascii="Times New Roman" w:hAnsi="Times New Roman"/>
          <w:sz w:val="24"/>
          <w:szCs w:val="24"/>
        </w:rPr>
        <w:t xml:space="preserve"> additionally held that the total value of flex benefit dollars provided by the flexible benefits plan ("FBP") became eligible for inclusion in the regular rate of pay when calculating overtime payments under FLSA because it was not a ‘bona fide’ plan. </w:t>
      </w:r>
      <w:r w:rsidRPr="00EB2493">
        <w:rPr>
          <w:rFonts w:ascii="Times New Roman" w:hAnsi="Times New Roman"/>
          <w:i/>
          <w:iCs/>
          <w:sz w:val="24"/>
          <w:szCs w:val="24"/>
        </w:rPr>
        <w:t>Id</w:t>
      </w:r>
      <w:r w:rsidRPr="00EB2493">
        <w:rPr>
          <w:rFonts w:ascii="Times New Roman" w:hAnsi="Times New Roman"/>
          <w:sz w:val="24"/>
          <w:szCs w:val="24"/>
        </w:rPr>
        <w:t xml:space="preserve">. at 903.”  </w:t>
      </w:r>
      <w:bookmarkStart w:id="387" w:name="_Hlk66948897"/>
      <w:r w:rsidR="00F00958">
        <w:fldChar w:fldCharType="begin"/>
      </w:r>
      <w:r w:rsidR="00F00958">
        <w:instrText xml:space="preserve"> HYPERLINK "https://casetext.com/case/kelley-v-city-of-san-diego" </w:instrText>
      </w:r>
      <w:r w:rsidR="00F00958">
        <w:fldChar w:fldCharType="separate"/>
      </w:r>
      <w:r w:rsidRPr="00EB2493">
        <w:rPr>
          <w:rStyle w:val="Hyperlink"/>
          <w:rFonts w:ascii="Times New Roman" w:hAnsi="Times New Roman"/>
          <w:sz w:val="24"/>
          <w:szCs w:val="24"/>
        </w:rPr>
        <w:t>https://casetext.com/case/kelley-v-city-of-san-diego</w:t>
      </w:r>
      <w:r w:rsidR="00F00958">
        <w:rPr>
          <w:rStyle w:val="Hyperlink"/>
          <w:rFonts w:ascii="Times New Roman" w:hAnsi="Times New Roman"/>
          <w:sz w:val="24"/>
          <w:szCs w:val="24"/>
        </w:rPr>
        <w:fldChar w:fldCharType="end"/>
      </w:r>
    </w:p>
    <w:p w14:paraId="1F514879" w14:textId="77777777" w:rsidR="00EB2493" w:rsidRDefault="00EB2493" w:rsidP="00EB2493">
      <w:pPr>
        <w:spacing w:before="100" w:beforeAutospacing="1" w:after="100" w:afterAutospacing="1" w:line="240" w:lineRule="auto"/>
        <w:rPr>
          <w:rFonts w:ascii="Times New Roman" w:hAnsi="Times New Roman"/>
          <w:b/>
          <w:bCs/>
          <w:sz w:val="24"/>
          <w:szCs w:val="24"/>
        </w:rPr>
      </w:pPr>
      <w:r w:rsidRPr="00A47DED">
        <w:rPr>
          <w:rFonts w:ascii="Times New Roman" w:hAnsi="Times New Roman"/>
          <w:b/>
          <w:bCs/>
          <w:sz w:val="24"/>
          <w:szCs w:val="24"/>
        </w:rPr>
        <w:lastRenderedPageBreak/>
        <w:t>Legal Lesson Learned:</w:t>
      </w:r>
      <w:r>
        <w:rPr>
          <w:rFonts w:ascii="Times New Roman" w:hAnsi="Times New Roman"/>
          <w:b/>
          <w:bCs/>
          <w:sz w:val="24"/>
          <w:szCs w:val="24"/>
        </w:rPr>
        <w:t xml:space="preserve"> If your FD pays “cash-in-lieu” payments for unused medical or other benefits, consult with Legal Counsel and U.S. Department of Labor on its impact on the “regular rate” of pay for your personnel. </w:t>
      </w:r>
    </w:p>
    <w:p w14:paraId="0C56096D" w14:textId="77777777" w:rsidR="00EB2493" w:rsidRPr="00451D4E" w:rsidRDefault="00EB2493" w:rsidP="00EB2493">
      <w:pPr>
        <w:ind w:left="720"/>
        <w:rPr>
          <w:rFonts w:ascii="Times New Roman" w:eastAsia="Times New Roman" w:hAnsi="Times New Roman"/>
          <w:sz w:val="24"/>
          <w:szCs w:val="24"/>
        </w:rPr>
      </w:pPr>
      <w:r>
        <w:rPr>
          <w:rFonts w:ascii="Times New Roman" w:hAnsi="Times New Roman"/>
          <w:sz w:val="24"/>
          <w:szCs w:val="24"/>
        </w:rPr>
        <w:t xml:space="preserve">Note:  See U.S. Department of Labor revised regulations.  29 CFR </w:t>
      </w:r>
      <w:r w:rsidRPr="00451D4E">
        <w:rPr>
          <w:rFonts w:ascii="Times New Roman" w:eastAsia="Times New Roman" w:hAnsi="Times New Roman"/>
          <w:sz w:val="24"/>
          <w:szCs w:val="24"/>
        </w:rPr>
        <w:t>§ 778.215</w:t>
      </w:r>
      <w:r>
        <w:rPr>
          <w:rFonts w:ascii="Times New Roman" w:eastAsia="Times New Roman" w:hAnsi="Times New Roman"/>
          <w:sz w:val="24"/>
          <w:szCs w:val="24"/>
        </w:rPr>
        <w:t>,</w:t>
      </w:r>
      <w:r w:rsidRPr="00451D4E">
        <w:rPr>
          <w:rFonts w:ascii="Times New Roman" w:eastAsia="Times New Roman" w:hAnsi="Times New Roman"/>
          <w:sz w:val="24"/>
          <w:szCs w:val="24"/>
        </w:rPr>
        <w:t xml:space="preserve"> Conditions for exclusion of benefit-plan contributions under section 7(e)(4).</w:t>
      </w:r>
      <w:r>
        <w:rPr>
          <w:rFonts w:ascii="Times New Roman" w:eastAsia="Times New Roman" w:hAnsi="Times New Roman"/>
          <w:sz w:val="24"/>
          <w:szCs w:val="24"/>
        </w:rPr>
        <w:t xml:space="preserve"> </w:t>
      </w:r>
      <w:hyperlink r:id="rId1869" w:history="1">
        <w:r w:rsidRPr="00FE7279">
          <w:rPr>
            <w:rStyle w:val="Hyperlink"/>
            <w:rFonts w:ascii="Times New Roman" w:eastAsia="Times New Roman" w:hAnsi="Times New Roman"/>
            <w:sz w:val="24"/>
            <w:szCs w:val="24"/>
          </w:rPr>
          <w:t>https://www.law.cornell.edu/cfr/text/29/778.215</w:t>
        </w:r>
      </w:hyperlink>
      <w:r>
        <w:rPr>
          <w:rFonts w:ascii="Times New Roman" w:eastAsia="Times New Roman" w:hAnsi="Times New Roman"/>
          <w:sz w:val="24"/>
          <w:szCs w:val="24"/>
        </w:rPr>
        <w:t xml:space="preserve"> </w:t>
      </w:r>
      <w:r w:rsidRPr="00451D4E">
        <w:rPr>
          <w:rFonts w:ascii="Times New Roman" w:eastAsia="Times New Roman" w:hAnsi="Times New Roman"/>
          <w:sz w:val="24"/>
          <w:szCs w:val="24"/>
        </w:rPr>
        <w:t xml:space="preserve"> </w:t>
      </w:r>
    </w:p>
    <w:bookmarkEnd w:id="387"/>
    <w:p w14:paraId="5BB4484D" w14:textId="77777777" w:rsidR="00EB2493" w:rsidRPr="00451D4E" w:rsidRDefault="00EB2493" w:rsidP="00EB249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See Aug. 11, </w:t>
      </w:r>
      <w:proofErr w:type="gramStart"/>
      <w:r>
        <w:rPr>
          <w:rFonts w:ascii="Times New Roman" w:hAnsi="Times New Roman"/>
          <w:sz w:val="24"/>
          <w:szCs w:val="24"/>
        </w:rPr>
        <w:t>2016</w:t>
      </w:r>
      <w:proofErr w:type="gramEnd"/>
      <w:r>
        <w:rPr>
          <w:rFonts w:ascii="Times New Roman" w:hAnsi="Times New Roman"/>
          <w:sz w:val="24"/>
          <w:szCs w:val="24"/>
        </w:rPr>
        <w:t xml:space="preserve"> article from California law firm about </w:t>
      </w:r>
      <w:r w:rsidRPr="00451D4E">
        <w:rPr>
          <w:rFonts w:ascii="Times New Roman" w:hAnsi="Times New Roman"/>
          <w:i/>
          <w:iCs/>
          <w:sz w:val="24"/>
          <w:szCs w:val="24"/>
        </w:rPr>
        <w:t xml:space="preserve">Flores </w:t>
      </w:r>
      <w:r>
        <w:rPr>
          <w:rFonts w:ascii="Times New Roman" w:hAnsi="Times New Roman"/>
          <w:sz w:val="24"/>
          <w:szCs w:val="24"/>
        </w:rPr>
        <w:t xml:space="preserve">decision. </w:t>
      </w:r>
      <w:hyperlink r:id="rId1870" w:history="1">
        <w:r w:rsidRPr="00FE7279">
          <w:rPr>
            <w:rStyle w:val="Hyperlink"/>
            <w:rFonts w:ascii="Times New Roman" w:hAnsi="Times New Roman"/>
            <w:sz w:val="24"/>
            <w:szCs w:val="24"/>
          </w:rPr>
          <w:t>https://www.lcwlegal.com/news/cash-in-lieu-must-be-included-in-the-regular-rate-for-overtime-purposes-under-the-flsa-4</w:t>
        </w:r>
      </w:hyperlink>
      <w:r>
        <w:rPr>
          <w:rFonts w:ascii="Times New Roman" w:hAnsi="Times New Roman"/>
          <w:sz w:val="24"/>
          <w:szCs w:val="24"/>
        </w:rPr>
        <w:t xml:space="preserve"> </w:t>
      </w:r>
    </w:p>
    <w:p w14:paraId="13444602" w14:textId="77777777" w:rsidR="00EB2493" w:rsidRDefault="00EB2493" w:rsidP="00F326E5">
      <w:pPr>
        <w:rPr>
          <w:rFonts w:ascii="Arial Black" w:hAnsi="Arial Black"/>
          <w:b/>
          <w:sz w:val="24"/>
          <w:szCs w:val="24"/>
        </w:rPr>
      </w:pPr>
    </w:p>
    <w:p w14:paraId="2066E36F" w14:textId="77777777" w:rsidR="00EB2493" w:rsidRDefault="00EB2493" w:rsidP="00F326E5">
      <w:pPr>
        <w:rPr>
          <w:rFonts w:ascii="Arial Black" w:hAnsi="Arial Black"/>
          <w:b/>
          <w:sz w:val="24"/>
          <w:szCs w:val="24"/>
        </w:rPr>
      </w:pPr>
    </w:p>
    <w:p w14:paraId="690D20CC" w14:textId="3DDACDD2" w:rsidR="007F3C7D" w:rsidRDefault="007F3C7D" w:rsidP="00F326E5">
      <w:pPr>
        <w:rPr>
          <w:rFonts w:ascii="Arial Black" w:hAnsi="Arial Black"/>
          <w:b/>
          <w:sz w:val="24"/>
          <w:szCs w:val="24"/>
        </w:rPr>
      </w:pPr>
      <w:r>
        <w:rPr>
          <w:rFonts w:ascii="Arial Black" w:hAnsi="Arial Black"/>
          <w:b/>
          <w:sz w:val="24"/>
          <w:szCs w:val="24"/>
        </w:rPr>
        <w:t>11-2</w:t>
      </w:r>
      <w:r w:rsidR="00B13773">
        <w:rPr>
          <w:rFonts w:ascii="Arial Black" w:hAnsi="Arial Black"/>
          <w:b/>
          <w:sz w:val="24"/>
          <w:szCs w:val="24"/>
        </w:rPr>
        <w:t>8</w:t>
      </w:r>
    </w:p>
    <w:p w14:paraId="59CFBF11" w14:textId="77777777" w:rsidR="007F3C7D" w:rsidRPr="006C3119" w:rsidRDefault="007F3C7D" w:rsidP="007F3C7D">
      <w:pPr>
        <w:spacing w:before="100" w:beforeAutospacing="1" w:after="100" w:afterAutospacing="1" w:line="240" w:lineRule="auto"/>
        <w:rPr>
          <w:rFonts w:ascii="Arial Black" w:hAnsi="Arial Black"/>
          <w:sz w:val="28"/>
          <w:szCs w:val="28"/>
        </w:rPr>
      </w:pPr>
      <w:r>
        <w:rPr>
          <w:rFonts w:ascii="Arial Black" w:hAnsi="Arial Black"/>
          <w:sz w:val="28"/>
          <w:szCs w:val="28"/>
        </w:rPr>
        <w:t>NY: FDNY VEHICLE MAINTENANCE EMPLOYEES - CLAIM NOT PAID WORKING PRE-SHIFT OR LUNCH PERIOD – CASE TO TRIAL</w:t>
      </w:r>
    </w:p>
    <w:p w14:paraId="11E1DBC0" w14:textId="77777777" w:rsidR="007F3C7D" w:rsidRDefault="007F3C7D" w:rsidP="007F3C7D">
      <w:pPr>
        <w:rPr>
          <w:rFonts w:ascii="Times New Roman" w:hAnsi="Times New Roman"/>
          <w:sz w:val="24"/>
          <w:szCs w:val="24"/>
        </w:rPr>
      </w:pPr>
      <w:r w:rsidRPr="006C3119">
        <w:rPr>
          <w:rFonts w:ascii="Times New Roman" w:hAnsi="Times New Roman"/>
          <w:sz w:val="24"/>
          <w:szCs w:val="24"/>
        </w:rPr>
        <w:t xml:space="preserve">On </w:t>
      </w:r>
      <w:r>
        <w:rPr>
          <w:rFonts w:ascii="Times New Roman" w:hAnsi="Times New Roman"/>
          <w:sz w:val="24"/>
          <w:szCs w:val="24"/>
        </w:rPr>
        <w:t xml:space="preserve">Jan. 8, 2021, in </w:t>
      </w:r>
      <w:r w:rsidRPr="006C3119">
        <w:rPr>
          <w:rFonts w:ascii="Times New Roman" w:hAnsi="Times New Roman"/>
          <w:sz w:val="24"/>
          <w:szCs w:val="24"/>
          <w:u w:val="single"/>
        </w:rPr>
        <w:t>Christopher Viera, et al. v. City of New York</w:t>
      </w:r>
      <w:r>
        <w:rPr>
          <w:rFonts w:ascii="Times New Roman" w:hAnsi="Times New Roman"/>
          <w:sz w:val="24"/>
          <w:szCs w:val="24"/>
        </w:rPr>
        <w:t xml:space="preserve">, U.S. Magistrate Judge Stewart D. Aaron, U.S. District Court, Southern District of New York, held that neither the Plaintiffs, nor the </w:t>
      </w:r>
      <w:proofErr w:type="gramStart"/>
      <w:r>
        <w:rPr>
          <w:rFonts w:ascii="Times New Roman" w:hAnsi="Times New Roman"/>
          <w:sz w:val="24"/>
          <w:szCs w:val="24"/>
        </w:rPr>
        <w:t>City</w:t>
      </w:r>
      <w:proofErr w:type="gramEnd"/>
      <w:r>
        <w:rPr>
          <w:rFonts w:ascii="Times New Roman" w:hAnsi="Times New Roman"/>
          <w:sz w:val="24"/>
          <w:szCs w:val="24"/>
        </w:rPr>
        <w:t xml:space="preserve"> are entitled to summary judgment.  While there is an established process for employees to submit overtime hours into “Citytime” computer system, the employees claim that they often must start work early to locate and move vehicles, and also do work during their 30-minute lunch breaks, and that their Supervisors have directed them to not submit overtime unless it was “pre-approve.” </w:t>
      </w:r>
    </w:p>
    <w:p w14:paraId="20B80FCC" w14:textId="77777777" w:rsidR="007F3C7D" w:rsidRDefault="007F3C7D" w:rsidP="007F3C7D">
      <w:pPr>
        <w:ind w:left="720"/>
        <w:rPr>
          <w:rFonts w:ascii="Times New Roman" w:hAnsi="Times New Roman"/>
          <w:sz w:val="24"/>
          <w:szCs w:val="24"/>
        </w:rPr>
      </w:pPr>
      <w:r>
        <w:rPr>
          <w:rFonts w:ascii="Times New Roman" w:hAnsi="Times New Roman"/>
          <w:sz w:val="24"/>
          <w:szCs w:val="24"/>
        </w:rPr>
        <w:t>“</w:t>
      </w:r>
      <w:r w:rsidRPr="003503A8">
        <w:rPr>
          <w:rFonts w:ascii="Times New Roman" w:hAnsi="Times New Roman"/>
          <w:sz w:val="24"/>
          <w:szCs w:val="24"/>
        </w:rPr>
        <w:t xml:space="preserve">The </w:t>
      </w:r>
      <w:proofErr w:type="gramStart"/>
      <w:r w:rsidRPr="003503A8">
        <w:rPr>
          <w:rFonts w:ascii="Times New Roman" w:hAnsi="Times New Roman"/>
          <w:sz w:val="24"/>
          <w:szCs w:val="24"/>
        </w:rPr>
        <w:t>City</w:t>
      </w:r>
      <w:proofErr w:type="gramEnd"/>
      <w:r w:rsidRPr="003503A8">
        <w:rPr>
          <w:rFonts w:ascii="Times New Roman" w:hAnsi="Times New Roman"/>
          <w:sz w:val="24"/>
          <w:szCs w:val="24"/>
        </w:rPr>
        <w:t xml:space="preserve"> submits an expert declaration asserting that over 94% of the overtime requests that Plaintiffs submitted in </w:t>
      </w:r>
      <w:proofErr w:type="spellStart"/>
      <w:r w:rsidRPr="003503A8">
        <w:rPr>
          <w:rFonts w:ascii="Times New Roman" w:hAnsi="Times New Roman"/>
          <w:sz w:val="24"/>
          <w:szCs w:val="24"/>
        </w:rPr>
        <w:t>CityTime</w:t>
      </w:r>
      <w:proofErr w:type="spellEnd"/>
      <w:r w:rsidRPr="003503A8">
        <w:rPr>
          <w:rFonts w:ascii="Times New Roman" w:hAnsi="Times New Roman"/>
          <w:sz w:val="24"/>
          <w:szCs w:val="24"/>
        </w:rPr>
        <w:t xml:space="preserve"> during the relevant </w:t>
      </w:r>
      <w:proofErr w:type="gramStart"/>
      <w:r w:rsidRPr="003503A8">
        <w:rPr>
          <w:rFonts w:ascii="Times New Roman" w:hAnsi="Times New Roman"/>
          <w:sz w:val="24"/>
          <w:szCs w:val="24"/>
        </w:rPr>
        <w:t>time period</w:t>
      </w:r>
      <w:proofErr w:type="gramEnd"/>
      <w:r w:rsidRPr="003503A8">
        <w:rPr>
          <w:rFonts w:ascii="Times New Roman" w:hAnsi="Times New Roman"/>
          <w:sz w:val="24"/>
          <w:szCs w:val="24"/>
        </w:rPr>
        <w:t xml:space="preserve"> were approved.</w:t>
      </w:r>
    </w:p>
    <w:p w14:paraId="5042BDAE" w14:textId="77777777" w:rsidR="007F3C7D" w:rsidRDefault="007F3C7D" w:rsidP="007F3C7D">
      <w:pPr>
        <w:ind w:left="720"/>
        <w:rPr>
          <w:rFonts w:ascii="Times New Roman" w:hAnsi="Times New Roman"/>
          <w:sz w:val="24"/>
          <w:szCs w:val="24"/>
        </w:rPr>
      </w:pPr>
    </w:p>
    <w:p w14:paraId="2B739B5F" w14:textId="77777777" w:rsidR="007F3C7D" w:rsidRDefault="007F3C7D" w:rsidP="007F3C7D">
      <w:pPr>
        <w:ind w:left="720"/>
        <w:rPr>
          <w:rFonts w:ascii="Times New Roman" w:hAnsi="Times New Roman"/>
          <w:sz w:val="24"/>
          <w:szCs w:val="24"/>
        </w:rPr>
      </w:pPr>
      <w:r>
        <w:rPr>
          <w:rFonts w:ascii="Times New Roman" w:hAnsi="Times New Roman"/>
          <w:sz w:val="24"/>
          <w:szCs w:val="24"/>
        </w:rPr>
        <w:t>***</w:t>
      </w:r>
    </w:p>
    <w:p w14:paraId="0D1C5937" w14:textId="77777777" w:rsidR="007F3C7D" w:rsidRDefault="007F3C7D" w:rsidP="007F3C7D">
      <w:pPr>
        <w:ind w:left="720"/>
        <w:rPr>
          <w:rFonts w:ascii="Times New Roman" w:hAnsi="Times New Roman"/>
          <w:sz w:val="24"/>
          <w:szCs w:val="24"/>
        </w:rPr>
      </w:pPr>
      <w:r w:rsidRPr="000020A0">
        <w:rPr>
          <w:rFonts w:ascii="Times New Roman" w:hAnsi="Times New Roman"/>
          <w:sz w:val="24"/>
          <w:szCs w:val="24"/>
        </w:rPr>
        <w:t xml:space="preserve">For its part, Defendant argues that it is entitled to summary judgment on Count I because </w:t>
      </w:r>
      <w:r>
        <w:rPr>
          <w:rFonts w:ascii="Times New Roman" w:hAnsi="Times New Roman"/>
          <w:sz w:val="24"/>
          <w:szCs w:val="24"/>
        </w:rPr>
        <w:t>‘</w:t>
      </w:r>
      <w:r w:rsidRPr="000020A0">
        <w:rPr>
          <w:rFonts w:ascii="Times New Roman" w:hAnsi="Times New Roman"/>
          <w:sz w:val="24"/>
          <w:szCs w:val="24"/>
        </w:rPr>
        <w:t>it is undisputed that the allegedly uncompensated work time at issue in this case was not reported to the City through its timekeeping system, and therefore, the City did not have the requisite knowledge to establish liability.</w:t>
      </w:r>
      <w:r>
        <w:rPr>
          <w:rFonts w:ascii="Times New Roman" w:hAnsi="Times New Roman"/>
          <w:sz w:val="24"/>
          <w:szCs w:val="24"/>
        </w:rPr>
        <w:t>’</w:t>
      </w:r>
      <w:r w:rsidRPr="000020A0">
        <w:rPr>
          <w:rFonts w:ascii="Times New Roman" w:hAnsi="Times New Roman"/>
          <w:sz w:val="24"/>
          <w:szCs w:val="24"/>
        </w:rPr>
        <w:t xml:space="preserve"> (</w:t>
      </w:r>
      <w:proofErr w:type="spellStart"/>
      <w:r w:rsidRPr="000020A0">
        <w:rPr>
          <w:rFonts w:ascii="Times New Roman" w:hAnsi="Times New Roman"/>
          <w:sz w:val="24"/>
          <w:szCs w:val="24"/>
        </w:rPr>
        <w:t>Def.'s</w:t>
      </w:r>
      <w:proofErr w:type="spellEnd"/>
      <w:r w:rsidRPr="000020A0">
        <w:rPr>
          <w:rFonts w:ascii="Times New Roman" w:hAnsi="Times New Roman"/>
          <w:sz w:val="24"/>
          <w:szCs w:val="24"/>
        </w:rPr>
        <w:t xml:space="preserve"> Mem. at 4.) </w:t>
      </w:r>
      <w:r>
        <w:rPr>
          <w:rFonts w:ascii="Times New Roman" w:hAnsi="Times New Roman"/>
          <w:sz w:val="24"/>
          <w:szCs w:val="24"/>
        </w:rPr>
        <w:t>‘</w:t>
      </w:r>
      <w:r w:rsidRPr="000020A0">
        <w:rPr>
          <w:rFonts w:ascii="Times New Roman" w:hAnsi="Times New Roman"/>
          <w:sz w:val="24"/>
          <w:szCs w:val="24"/>
        </w:rPr>
        <w:t xml:space="preserve">The </w:t>
      </w:r>
      <w:proofErr w:type="gramStart"/>
      <w:r w:rsidRPr="000020A0">
        <w:rPr>
          <w:rFonts w:ascii="Times New Roman" w:hAnsi="Times New Roman"/>
          <w:sz w:val="24"/>
          <w:szCs w:val="24"/>
        </w:rPr>
        <w:t>City</w:t>
      </w:r>
      <w:proofErr w:type="gramEnd"/>
      <w:r w:rsidRPr="000020A0">
        <w:rPr>
          <w:rFonts w:ascii="Times New Roman" w:hAnsi="Times New Roman"/>
          <w:sz w:val="24"/>
          <w:szCs w:val="24"/>
        </w:rPr>
        <w:t xml:space="preserve"> has made this [same] argument repeatedly in FLSA overtime litigation in this District and it has been unanimously rejected.</w:t>
      </w:r>
      <w:r>
        <w:rPr>
          <w:rFonts w:ascii="Times New Roman" w:hAnsi="Times New Roman"/>
          <w:sz w:val="24"/>
          <w:szCs w:val="24"/>
        </w:rPr>
        <w:t>’</w:t>
      </w:r>
      <w:r w:rsidRPr="000020A0">
        <w:rPr>
          <w:rFonts w:ascii="Times New Roman" w:hAnsi="Times New Roman"/>
          <w:sz w:val="24"/>
          <w:szCs w:val="24"/>
        </w:rPr>
        <w:t xml:space="preserve"> </w:t>
      </w:r>
      <w:proofErr w:type="spellStart"/>
      <w:r w:rsidRPr="000020A0">
        <w:rPr>
          <w:rFonts w:ascii="Times New Roman" w:hAnsi="Times New Roman"/>
          <w:i/>
          <w:iCs/>
          <w:sz w:val="24"/>
          <w:szCs w:val="24"/>
        </w:rPr>
        <w:t>Lawtone</w:t>
      </w:r>
      <w:proofErr w:type="spellEnd"/>
      <w:r w:rsidRPr="000020A0">
        <w:rPr>
          <w:rFonts w:ascii="Times New Roman" w:hAnsi="Times New Roman"/>
          <w:i/>
          <w:iCs/>
          <w:sz w:val="24"/>
          <w:szCs w:val="24"/>
        </w:rPr>
        <w:t>-Bowles</w:t>
      </w:r>
      <w:r w:rsidRPr="000020A0">
        <w:rPr>
          <w:rFonts w:ascii="Times New Roman" w:hAnsi="Times New Roman"/>
          <w:sz w:val="24"/>
          <w:szCs w:val="24"/>
        </w:rPr>
        <w:t xml:space="preserve">, 2020 WL 2833366, at *4. Here, as in </w:t>
      </w:r>
      <w:proofErr w:type="spellStart"/>
      <w:r w:rsidRPr="000020A0">
        <w:rPr>
          <w:rFonts w:ascii="Times New Roman" w:hAnsi="Times New Roman"/>
          <w:i/>
          <w:iCs/>
          <w:sz w:val="24"/>
          <w:szCs w:val="24"/>
        </w:rPr>
        <w:t>Lawtone</w:t>
      </w:r>
      <w:proofErr w:type="spellEnd"/>
      <w:r w:rsidRPr="000020A0">
        <w:rPr>
          <w:rFonts w:ascii="Times New Roman" w:hAnsi="Times New Roman"/>
          <w:i/>
          <w:iCs/>
          <w:sz w:val="24"/>
          <w:szCs w:val="24"/>
        </w:rPr>
        <w:t>-Bowles</w:t>
      </w:r>
      <w:r w:rsidRPr="000020A0">
        <w:rPr>
          <w:rFonts w:ascii="Times New Roman" w:hAnsi="Times New Roman"/>
          <w:sz w:val="24"/>
          <w:szCs w:val="24"/>
        </w:rPr>
        <w:t xml:space="preserve">, the record evidence—including Plaintiffs' testimony that their supervisors, </w:t>
      </w:r>
      <w:r w:rsidRPr="000020A0">
        <w:rPr>
          <w:rFonts w:ascii="Times New Roman" w:hAnsi="Times New Roman"/>
          <w:i/>
          <w:iCs/>
          <w:sz w:val="24"/>
          <w:szCs w:val="24"/>
        </w:rPr>
        <w:t>e</w:t>
      </w:r>
      <w:r w:rsidRPr="000020A0">
        <w:rPr>
          <w:rFonts w:ascii="Times New Roman" w:hAnsi="Times New Roman"/>
          <w:sz w:val="24"/>
          <w:szCs w:val="24"/>
        </w:rPr>
        <w:t>.</w:t>
      </w:r>
      <w:r w:rsidRPr="000020A0">
        <w:rPr>
          <w:rFonts w:ascii="Times New Roman" w:hAnsi="Times New Roman"/>
          <w:i/>
          <w:iCs/>
          <w:sz w:val="24"/>
          <w:szCs w:val="24"/>
        </w:rPr>
        <w:t>g</w:t>
      </w:r>
      <w:r w:rsidRPr="000020A0">
        <w:rPr>
          <w:rFonts w:ascii="Times New Roman" w:hAnsi="Times New Roman"/>
          <w:sz w:val="24"/>
          <w:szCs w:val="24"/>
        </w:rPr>
        <w:t>., assigned pre-shift and mealtime work tasks, reviewed time sheets on a weekly basis, and gave instructions not to submit overtime requests for work that was not pre-approved (</w:t>
      </w:r>
      <w:r w:rsidRPr="000020A0">
        <w:rPr>
          <w:rFonts w:ascii="Times New Roman" w:hAnsi="Times New Roman"/>
          <w:i/>
          <w:iCs/>
          <w:sz w:val="24"/>
          <w:szCs w:val="24"/>
        </w:rPr>
        <w:t>see</w:t>
      </w:r>
      <w:r w:rsidRPr="000020A0">
        <w:rPr>
          <w:rFonts w:ascii="Times New Roman" w:hAnsi="Times New Roman"/>
          <w:sz w:val="24"/>
          <w:szCs w:val="24"/>
        </w:rPr>
        <w:t xml:space="preserve"> Pls.' Mem. at 10, 12)—could, if credited, allow </w:t>
      </w:r>
      <w:r>
        <w:rPr>
          <w:rFonts w:ascii="Times New Roman" w:hAnsi="Times New Roman"/>
          <w:sz w:val="24"/>
          <w:szCs w:val="24"/>
        </w:rPr>
        <w:t>‘</w:t>
      </w:r>
      <w:r w:rsidRPr="000020A0">
        <w:rPr>
          <w:rFonts w:ascii="Times New Roman" w:hAnsi="Times New Roman"/>
          <w:sz w:val="24"/>
          <w:szCs w:val="24"/>
        </w:rPr>
        <w:t>[a] reasonable factfinder [to] conclude that Plaintiffs worked uncompensated overtime, that Defendant had actual or constructive knowledge of this time, and that Defendant discouraged the reporting of accurate overtime that was not pre-approved.</w:t>
      </w:r>
      <w:r>
        <w:rPr>
          <w:rFonts w:ascii="Times New Roman" w:hAnsi="Times New Roman"/>
          <w:sz w:val="24"/>
          <w:szCs w:val="24"/>
        </w:rPr>
        <w:t xml:space="preserve">’” </w:t>
      </w:r>
      <w:hyperlink r:id="rId1871" w:history="1">
        <w:r w:rsidRPr="002F4AC3">
          <w:rPr>
            <w:rStyle w:val="Hyperlink"/>
            <w:rFonts w:ascii="Times New Roman" w:hAnsi="Times New Roman"/>
            <w:sz w:val="24"/>
            <w:szCs w:val="24"/>
          </w:rPr>
          <w:t>https://law.justia.com/cases/federal/district-courts/new-york/nysdce/1:2019cv05773/517969/98/</w:t>
        </w:r>
      </w:hyperlink>
      <w:r>
        <w:rPr>
          <w:rFonts w:ascii="Times New Roman" w:hAnsi="Times New Roman"/>
          <w:sz w:val="24"/>
          <w:szCs w:val="24"/>
        </w:rPr>
        <w:t xml:space="preserve"> </w:t>
      </w:r>
    </w:p>
    <w:p w14:paraId="57C1F965" w14:textId="77777777" w:rsidR="007F3C7D" w:rsidRPr="000020A0" w:rsidRDefault="007F3C7D" w:rsidP="007F3C7D">
      <w:pPr>
        <w:pStyle w:val="NormalWeb"/>
        <w:rPr>
          <w:b/>
          <w:bCs/>
        </w:rPr>
      </w:pPr>
      <w:r w:rsidRPr="00DA0ACA">
        <w:rPr>
          <w:b/>
          <w:bCs/>
        </w:rPr>
        <w:t>Legal Lesson Learned:</w:t>
      </w:r>
      <w:r>
        <w:rPr>
          <w:b/>
          <w:bCs/>
        </w:rPr>
        <w:t xml:space="preserve">  It appears that this case is headed to trial, unless the parties can settle.  </w:t>
      </w:r>
    </w:p>
    <w:p w14:paraId="663351A3" w14:textId="77777777" w:rsidR="007F3C7D" w:rsidRDefault="007F3C7D" w:rsidP="00F326E5">
      <w:pPr>
        <w:rPr>
          <w:rFonts w:ascii="Arial Black" w:hAnsi="Arial Black"/>
          <w:b/>
          <w:sz w:val="24"/>
          <w:szCs w:val="24"/>
        </w:rPr>
      </w:pPr>
    </w:p>
    <w:p w14:paraId="7BE06BBE" w14:textId="77777777" w:rsidR="007F3C7D" w:rsidRDefault="007F3C7D" w:rsidP="00F326E5">
      <w:pPr>
        <w:rPr>
          <w:rFonts w:ascii="Arial Black" w:hAnsi="Arial Black"/>
          <w:b/>
          <w:sz w:val="24"/>
          <w:szCs w:val="24"/>
        </w:rPr>
      </w:pPr>
    </w:p>
    <w:p w14:paraId="0CFF1339" w14:textId="432F29BD" w:rsidR="00863F9E" w:rsidRDefault="00863F9E" w:rsidP="00F326E5">
      <w:pPr>
        <w:rPr>
          <w:rFonts w:ascii="Arial Black" w:hAnsi="Arial Black"/>
          <w:b/>
          <w:sz w:val="24"/>
          <w:szCs w:val="24"/>
        </w:rPr>
      </w:pPr>
      <w:r>
        <w:rPr>
          <w:rFonts w:ascii="Arial Black" w:hAnsi="Arial Black"/>
          <w:b/>
          <w:sz w:val="24"/>
          <w:szCs w:val="24"/>
        </w:rPr>
        <w:t>11-2</w:t>
      </w:r>
      <w:r w:rsidR="00B13773">
        <w:rPr>
          <w:rFonts w:ascii="Arial Black" w:hAnsi="Arial Black"/>
          <w:b/>
          <w:sz w:val="24"/>
          <w:szCs w:val="24"/>
        </w:rPr>
        <w:t xml:space="preserve">7 </w:t>
      </w:r>
      <w:r w:rsidRPr="007F3C7D">
        <w:rPr>
          <w:rFonts w:ascii="Times New Roman" w:hAnsi="Times New Roman"/>
          <w:bCs/>
          <w:sz w:val="24"/>
          <w:szCs w:val="24"/>
        </w:rPr>
        <w:t>[also filed, Chap. 10]</w:t>
      </w:r>
    </w:p>
    <w:p w14:paraId="6CBCF93F" w14:textId="77777777" w:rsidR="00863F9E" w:rsidRDefault="00863F9E" w:rsidP="00863F9E">
      <w:pPr>
        <w:spacing w:before="100" w:beforeAutospacing="1" w:after="100" w:afterAutospacing="1" w:line="240" w:lineRule="auto"/>
        <w:rPr>
          <w:rFonts w:eastAsia="Times New Roman" w:cs="Calibri"/>
          <w:vanish/>
        </w:rPr>
      </w:pPr>
      <w:r>
        <w:rPr>
          <w:rFonts w:ascii="Arial Black" w:eastAsia="Times New Roman" w:hAnsi="Arial Black"/>
          <w:b/>
          <w:bCs/>
          <w:sz w:val="28"/>
          <w:szCs w:val="28"/>
        </w:rPr>
        <w:t>U.S. DOL: ELECTRONIC POSTING CAN’T REPLACE FLSA / FMLA POSTERS – UNLESS ALL EMPLOYEES WORK ONLINE</w:t>
      </w:r>
    </w:p>
    <w:tbl>
      <w:tblPr>
        <w:tblW w:w="5000" w:type="pct"/>
        <w:jc w:val="center"/>
        <w:tblCellMar>
          <w:left w:w="0" w:type="dxa"/>
          <w:right w:w="0" w:type="dxa"/>
        </w:tblCellMar>
        <w:tblLook w:val="04A0" w:firstRow="1" w:lastRow="0" w:firstColumn="1" w:lastColumn="0" w:noHBand="0" w:noVBand="1"/>
      </w:tblPr>
      <w:tblGrid>
        <w:gridCol w:w="10800"/>
      </w:tblGrid>
      <w:tr w:rsidR="00863F9E" w14:paraId="40599FA2" w14:textId="77777777" w:rsidTr="00F90EE5">
        <w:trPr>
          <w:jc w:val="center"/>
          <w:hidden/>
        </w:trPr>
        <w:tc>
          <w:tcPr>
            <w:tcW w:w="0" w:type="auto"/>
            <w:hideMark/>
          </w:tcPr>
          <w:tbl>
            <w:tblPr>
              <w:tblW w:w="9750" w:type="dxa"/>
              <w:jc w:val="center"/>
              <w:tblCellMar>
                <w:left w:w="0" w:type="dxa"/>
                <w:right w:w="0" w:type="dxa"/>
              </w:tblCellMar>
              <w:tblLook w:val="04A0" w:firstRow="1" w:lastRow="0" w:firstColumn="1" w:lastColumn="0" w:noHBand="0" w:noVBand="1"/>
            </w:tblPr>
            <w:tblGrid>
              <w:gridCol w:w="9750"/>
            </w:tblGrid>
            <w:tr w:rsidR="00863F9E" w14:paraId="1E1D5657" w14:textId="77777777" w:rsidTr="00F90EE5">
              <w:trPr>
                <w:jc w:val="center"/>
                <w:hidden/>
              </w:trPr>
              <w:tc>
                <w:tcPr>
                  <w:tcW w:w="9750" w:type="dxa"/>
                  <w:hideMark/>
                </w:tcPr>
                <w:tbl>
                  <w:tblPr>
                    <w:tblW w:w="5000" w:type="pct"/>
                    <w:jc w:val="center"/>
                    <w:tblCellMar>
                      <w:left w:w="0" w:type="dxa"/>
                      <w:right w:w="0" w:type="dxa"/>
                    </w:tblCellMar>
                    <w:tblLook w:val="04A0" w:firstRow="1" w:lastRow="0" w:firstColumn="1" w:lastColumn="0" w:noHBand="0" w:noVBand="1"/>
                  </w:tblPr>
                  <w:tblGrid>
                    <w:gridCol w:w="9750"/>
                  </w:tblGrid>
                  <w:tr w:rsidR="00863F9E" w14:paraId="6E54FE96" w14:textId="77777777" w:rsidTr="00F90EE5">
                    <w:trPr>
                      <w:jc w:val="center"/>
                      <w:hidden/>
                    </w:trPr>
                    <w:tc>
                      <w:tcPr>
                        <w:tcW w:w="0" w:type="auto"/>
                        <w:tcMar>
                          <w:top w:w="75" w:type="dxa"/>
                          <w:left w:w="0" w:type="dxa"/>
                          <w:bottom w:w="75" w:type="dxa"/>
                          <w:right w:w="0" w:type="dxa"/>
                        </w:tcMar>
                        <w:hideMark/>
                      </w:tcPr>
                      <w:p w14:paraId="28B2CC51" w14:textId="77777777" w:rsidR="00863F9E" w:rsidRDefault="00863F9E" w:rsidP="00F90EE5">
                        <w:pPr>
                          <w:rPr>
                            <w:rFonts w:eastAsia="Times New Roman" w:cs="Calibri"/>
                            <w:vanish/>
                          </w:rPr>
                        </w:pPr>
                      </w:p>
                    </w:tc>
                  </w:tr>
                </w:tbl>
                <w:p w14:paraId="4DB7C56A" w14:textId="77777777" w:rsidR="00863F9E" w:rsidRDefault="00863F9E" w:rsidP="00F90EE5">
                  <w:pPr>
                    <w:jc w:val="center"/>
                  </w:pPr>
                </w:p>
              </w:tc>
            </w:tr>
          </w:tbl>
          <w:p w14:paraId="6686117C" w14:textId="77777777" w:rsidR="00863F9E" w:rsidRDefault="00863F9E" w:rsidP="00F90EE5">
            <w:pPr>
              <w:jc w:val="center"/>
            </w:pPr>
          </w:p>
        </w:tc>
      </w:tr>
    </w:tbl>
    <w:p w14:paraId="494DDEAC" w14:textId="77777777" w:rsidR="00863F9E" w:rsidRDefault="00863F9E" w:rsidP="00863F9E">
      <w:pPr>
        <w:pStyle w:val="NormalWeb"/>
        <w:spacing w:line="255" w:lineRule="atLeast"/>
        <w:rPr>
          <w:bCs/>
        </w:rPr>
      </w:pPr>
      <w:r>
        <w:rPr>
          <w:bCs/>
        </w:rPr>
        <w:t xml:space="preserve">On Dec. 29, 2020, the U.S. Department of Labor / Wage &amp; Hour Division issued Field Assistance Bulletin regarding posters that are required in workplaces, including the </w:t>
      </w:r>
      <w:r>
        <w:t>Fair Labor Standards Act (FLSA), the Family and Medical Leave Act (FMLA), Section 14I of the FLSA (Section 14I), the Employee Polygraph Protection Act (EPPA), and the Service Contract Act (SCA).</w:t>
      </w:r>
    </w:p>
    <w:p w14:paraId="4B6437A3" w14:textId="77777777" w:rsidR="00863F9E" w:rsidRDefault="00863F9E" w:rsidP="00863F9E">
      <w:pPr>
        <w:pStyle w:val="NormalWeb"/>
        <w:spacing w:line="255" w:lineRule="atLeast"/>
        <w:ind w:left="720"/>
      </w:pPr>
      <w:r>
        <w:t>“In most cases, these electronic notices supplement but do not replace the statutory and regulatory requirements that employers post a hard-copy notice. Whether notices are provided electronically or in hard-copy format, it is an employer’s obligation to provide the required notices to all affected individuals.</w:t>
      </w:r>
    </w:p>
    <w:p w14:paraId="5EB7492C" w14:textId="77777777" w:rsidR="00863F9E" w:rsidRDefault="00863F9E" w:rsidP="00863F9E">
      <w:pPr>
        <w:pStyle w:val="NormalWeb"/>
        <w:spacing w:line="255" w:lineRule="atLeast"/>
        <w:ind w:left="720"/>
      </w:pPr>
      <w:r>
        <w:t>***</w:t>
      </w:r>
    </w:p>
    <w:p w14:paraId="387EF879" w14:textId="77777777" w:rsidR="00863F9E" w:rsidRDefault="00863F9E" w:rsidP="00863F9E">
      <w:pPr>
        <w:pStyle w:val="NormalWeb"/>
        <w:spacing w:line="255" w:lineRule="atLeast"/>
        <w:ind w:left="720"/>
        <w:rPr>
          <w:rStyle w:val="Hyperlink"/>
        </w:rPr>
      </w:pPr>
      <w:r>
        <w:t xml:space="preserve">If a statute and its regulations require a notice to be continuously posted at a worksite, in most cases, WHD will only consider electronic posting an acceptable substitute for the continuous posting requirement where (1) all of the employer’s employees exclusively work remotely, (2) all employees customarily receive information from the employer via electronic means, and (3) all employees have readily available access to the electronic posting at all times. This ensures the electronic posting satisfies the statutory and regulatory requirements that such postings </w:t>
      </w:r>
      <w:proofErr w:type="gramStart"/>
      <w:r>
        <w:t>be</w:t>
      </w:r>
      <w:proofErr w:type="gramEnd"/>
      <w:r>
        <w:t xml:space="preserve"> continuously accessible to employees. Where an employer has employees on-site and other employees teleworking full-time, for example, the employer may supplement a hard-copy posting requirement with electronic posting and the Department would encourage both methods of posting.”  </w:t>
      </w:r>
      <w:hyperlink r:id="rId1872" w:history="1">
        <w:r>
          <w:rPr>
            <w:rStyle w:val="Hyperlink"/>
          </w:rPr>
          <w:t>https://www.dol.gov/sites/dolgov/files/WHD/legacy/files/fab_2020_7.pdf</w:t>
        </w:r>
      </w:hyperlink>
    </w:p>
    <w:p w14:paraId="7A0F0B7A" w14:textId="77777777" w:rsidR="00863F9E" w:rsidRDefault="00863F9E" w:rsidP="00863F9E">
      <w:pPr>
        <w:pStyle w:val="NormalWeb"/>
        <w:spacing w:line="255" w:lineRule="atLeast"/>
        <w:rPr>
          <w:b/>
        </w:rPr>
      </w:pPr>
      <w:r>
        <w:rPr>
          <w:b/>
        </w:rPr>
        <w:t>Legal Lesson Learned: Fire Department need to keep posters on the wall.</w:t>
      </w:r>
    </w:p>
    <w:p w14:paraId="1774891E" w14:textId="7906AF94" w:rsidR="00863F9E" w:rsidRDefault="00863F9E" w:rsidP="00F326E5">
      <w:pPr>
        <w:rPr>
          <w:rFonts w:ascii="Arial Black" w:hAnsi="Arial Black"/>
          <w:b/>
          <w:sz w:val="24"/>
          <w:szCs w:val="24"/>
        </w:rPr>
      </w:pPr>
    </w:p>
    <w:p w14:paraId="108AB8E1" w14:textId="73EC4A4F" w:rsidR="00863F9E" w:rsidRDefault="00863F9E" w:rsidP="00F326E5">
      <w:pPr>
        <w:rPr>
          <w:rFonts w:ascii="Arial Black" w:hAnsi="Arial Black"/>
          <w:b/>
          <w:sz w:val="24"/>
          <w:szCs w:val="24"/>
        </w:rPr>
      </w:pPr>
      <w:r>
        <w:rPr>
          <w:rFonts w:ascii="Arial Black" w:hAnsi="Arial Black"/>
          <w:b/>
          <w:sz w:val="24"/>
          <w:szCs w:val="24"/>
        </w:rPr>
        <w:t>11-2</w:t>
      </w:r>
      <w:r w:rsidR="00B13773">
        <w:rPr>
          <w:rFonts w:ascii="Arial Black" w:hAnsi="Arial Black"/>
          <w:b/>
          <w:sz w:val="24"/>
          <w:szCs w:val="24"/>
        </w:rPr>
        <w:t>6</w:t>
      </w:r>
    </w:p>
    <w:p w14:paraId="0A361B27" w14:textId="77777777" w:rsidR="00863F9E" w:rsidRDefault="00863F9E" w:rsidP="00863F9E">
      <w:pPr>
        <w:spacing w:before="100" w:beforeAutospacing="1" w:after="100" w:afterAutospacing="1" w:line="240" w:lineRule="auto"/>
        <w:rPr>
          <w:rFonts w:ascii="Arial Black" w:eastAsia="Times New Roman" w:hAnsi="Arial Black"/>
          <w:b/>
          <w:bCs/>
          <w:sz w:val="28"/>
          <w:szCs w:val="28"/>
        </w:rPr>
      </w:pPr>
      <w:bookmarkStart w:id="388" w:name="_Hlk66949025"/>
      <w:r>
        <w:rPr>
          <w:rFonts w:ascii="Arial Black" w:eastAsia="Times New Roman" w:hAnsi="Arial Black"/>
          <w:b/>
          <w:bCs/>
          <w:sz w:val="28"/>
          <w:szCs w:val="28"/>
        </w:rPr>
        <w:t xml:space="preserve">OH: FIRE CHIEF POLICY - NO OVERTIME – BACK PAY / DOUBLED – DAMAGES CALCULATED AFTER 40 HOURS (NOT 53 HRS)  </w:t>
      </w:r>
    </w:p>
    <w:p w14:paraId="58BC7039" w14:textId="77777777" w:rsidR="00863F9E" w:rsidRDefault="00863F9E" w:rsidP="00863F9E">
      <w:pPr>
        <w:tabs>
          <w:tab w:val="left" w:pos="6970"/>
        </w:tabs>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21, 2020, in </w:t>
      </w:r>
      <w:r>
        <w:rPr>
          <w:rFonts w:ascii="Times New Roman" w:eastAsia="Times New Roman" w:hAnsi="Times New Roman"/>
          <w:sz w:val="24"/>
          <w:szCs w:val="24"/>
          <w:u w:val="single"/>
        </w:rPr>
        <w:t>David Vance v. Village of Highlands, OH</w:t>
      </w:r>
      <w:r>
        <w:rPr>
          <w:rFonts w:ascii="Times New Roman" w:eastAsia="Times New Roman" w:hAnsi="Times New Roman"/>
          <w:sz w:val="24"/>
          <w:szCs w:val="24"/>
        </w:rPr>
        <w:t>, U.S. District Court Judge James S. Gwin, U.S. District Court for Northern District of Ohio, held given the deposition testimony of the Fire Chief that the FD never paid overtime to any firefighter, despite what the FD Employee Manual provided.  The former firefighter is entitled to back pay and liquidated damages (double the back pay) for all hours he worked beyond 40 hours, not 53 hours [216 hours / 28-day pay period exemption in Sec. 207(k)], since FD never established a 28-day “work period.”</w:t>
      </w:r>
    </w:p>
    <w:bookmarkEnd w:id="388"/>
    <w:p w14:paraId="502A185E" w14:textId="77777777" w:rsidR="00863F9E" w:rsidRDefault="00863F9E" w:rsidP="00863F9E">
      <w:pPr>
        <w:tabs>
          <w:tab w:val="left" w:pos="6970"/>
        </w:tabs>
        <w:spacing w:before="100" w:beforeAutospacing="1" w:after="100" w:afterAutospacing="1" w:line="240" w:lineRule="auto"/>
        <w:ind w:left="720"/>
        <w:rPr>
          <w:rFonts w:ascii="Times New Roman" w:eastAsiaTheme="minorHAnsi" w:hAnsi="Times New Roman"/>
          <w:sz w:val="24"/>
          <w:szCs w:val="24"/>
        </w:rPr>
      </w:pPr>
      <w:r>
        <w:rPr>
          <w:rFonts w:ascii="Times New Roman" w:hAnsi="Times New Roman"/>
          <w:sz w:val="24"/>
          <w:szCs w:val="24"/>
        </w:rPr>
        <w:lastRenderedPageBreak/>
        <w:t>“At his deposition, Defendant’s fire chief explained that the fire department followed a policy of never paying overtime.</w:t>
      </w:r>
      <w:bookmarkStart w:id="389" w:name="fn7"/>
      <w:bookmarkEnd w:id="389"/>
      <w:r>
        <w:rPr>
          <w:rFonts w:ascii="Times New Roman" w:hAnsi="Times New Roman"/>
          <w:sz w:val="24"/>
          <w:szCs w:val="24"/>
          <w:vertAlign w:val="superscript"/>
        </w:rPr>
        <w:t xml:space="preserve"> </w:t>
      </w:r>
      <w:r>
        <w:rPr>
          <w:rFonts w:ascii="Times New Roman" w:hAnsi="Times New Roman"/>
          <w:sz w:val="24"/>
          <w:szCs w:val="24"/>
        </w:rPr>
        <w:t>Defendant now accepts that it must pay overtime. The parties stipulate that Plaintiff is entitled to the overtime Defendant did not pay together with liquidated damages.</w:t>
      </w:r>
    </w:p>
    <w:p w14:paraId="79F5A9EF" w14:textId="77777777" w:rsidR="00863F9E" w:rsidRDefault="00863F9E" w:rsidP="00863F9E">
      <w:pPr>
        <w:tabs>
          <w:tab w:val="left" w:pos="6970"/>
        </w:tabs>
        <w:spacing w:before="100" w:beforeAutospacing="1" w:after="100" w:afterAutospacing="1" w:line="240" w:lineRule="auto"/>
        <w:ind w:left="810"/>
        <w:rPr>
          <w:rFonts w:ascii="Times New Roman" w:eastAsia="Times New Roman" w:hAnsi="Times New Roman"/>
          <w:sz w:val="24"/>
          <w:szCs w:val="24"/>
        </w:rPr>
      </w:pPr>
      <w:r>
        <w:rPr>
          <w:rFonts w:ascii="Times New Roman" w:hAnsi="Times New Roman"/>
          <w:sz w:val="24"/>
          <w:szCs w:val="24"/>
        </w:rPr>
        <w:t>***</w:t>
      </w:r>
      <w:r>
        <w:rPr>
          <w:rFonts w:ascii="Times New Roman" w:eastAsia="Times New Roman" w:hAnsi="Times New Roman"/>
          <w:sz w:val="24"/>
          <w:szCs w:val="24"/>
        </w:rPr>
        <w:t xml:space="preserve">  </w:t>
      </w:r>
    </w:p>
    <w:p w14:paraId="60852338" w14:textId="77777777" w:rsidR="00863F9E" w:rsidRDefault="00863F9E" w:rsidP="00863F9E">
      <w:pPr>
        <w:spacing w:before="100" w:beforeAutospacing="1" w:after="100" w:afterAutospacing="1" w:line="240" w:lineRule="auto"/>
        <w:ind w:left="720"/>
        <w:rPr>
          <w:rFonts w:ascii="Times New Roman" w:eastAsiaTheme="minorHAnsi" w:hAnsi="Times New Roman"/>
          <w:sz w:val="24"/>
          <w:szCs w:val="24"/>
        </w:rPr>
      </w:pPr>
      <w:r>
        <w:rPr>
          <w:rFonts w:ascii="Times New Roman" w:hAnsi="Times New Roman"/>
          <w:sz w:val="24"/>
          <w:szCs w:val="24"/>
        </w:rPr>
        <w:t xml:space="preserve">The Court agrees with Plaintiff that the 29 U.S.C.§207(k) exemption should not apply in this instance. Defendant did not establish a 28-day work period as the §207(k) exemption required. There may have been a policy on the books, but Defendant made no effort to apply it to </w:t>
      </w:r>
      <w:proofErr w:type="gramStart"/>
      <w:r>
        <w:rPr>
          <w:rFonts w:ascii="Times New Roman" w:hAnsi="Times New Roman"/>
          <w:sz w:val="24"/>
          <w:szCs w:val="24"/>
        </w:rPr>
        <w:t>Plaintiff.”</w:t>
      </w:r>
      <w:proofErr w:type="gramEnd"/>
      <w:r>
        <w:rPr>
          <w:rFonts w:ascii="Times New Roman" w:hAnsi="Times New Roman"/>
          <w:sz w:val="24"/>
          <w:szCs w:val="24"/>
        </w:rPr>
        <w:t xml:space="preserve">  </w:t>
      </w:r>
      <w:bookmarkStart w:id="390" w:name="_Hlk66949056"/>
      <w:r w:rsidR="00F00958">
        <w:fldChar w:fldCharType="begin"/>
      </w:r>
      <w:r w:rsidR="00F00958">
        <w:instrText xml:space="preserve"> HYPERLINK "https://www.leagle.com/decision/infdco20201224948" </w:instrText>
      </w:r>
      <w:r w:rsidR="00F00958">
        <w:fldChar w:fldCharType="separate"/>
      </w:r>
      <w:r>
        <w:rPr>
          <w:rStyle w:val="Hyperlink"/>
        </w:rPr>
        <w:t>https://www.leagle.com/decision/infdco20201224948</w:t>
      </w:r>
      <w:r w:rsidR="00F00958">
        <w:rPr>
          <w:rStyle w:val="Hyperlink"/>
        </w:rPr>
        <w:fldChar w:fldCharType="end"/>
      </w:r>
      <w:r>
        <w:rPr>
          <w:rFonts w:ascii="Times New Roman" w:hAnsi="Times New Roman"/>
          <w:sz w:val="24"/>
          <w:szCs w:val="24"/>
        </w:rPr>
        <w:t xml:space="preserve"> </w:t>
      </w:r>
    </w:p>
    <w:p w14:paraId="602D57A5" w14:textId="77777777" w:rsidR="00863F9E" w:rsidRDefault="00863F9E" w:rsidP="00863F9E">
      <w:pPr>
        <w:pStyle w:val="NoSpacing"/>
        <w:jc w:val="both"/>
        <w:rPr>
          <w:rFonts w:ascii="Times New Roman" w:hAnsi="Times New Roman"/>
          <w:b/>
          <w:bCs/>
          <w:sz w:val="24"/>
          <w:szCs w:val="24"/>
        </w:rPr>
      </w:pPr>
      <w:r>
        <w:rPr>
          <w:rFonts w:ascii="Times New Roman" w:hAnsi="Times New Roman"/>
          <w:b/>
          <w:bCs/>
          <w:sz w:val="24"/>
          <w:szCs w:val="24"/>
        </w:rPr>
        <w:t xml:space="preserve">Legal Lesson Learned: FD’s legal counsel wisely stipulated violated FLSA and avoided expense of trial.  FD will most likely now review payroll records and pay back </w:t>
      </w:r>
      <w:proofErr w:type="gramStart"/>
      <w:r>
        <w:rPr>
          <w:rFonts w:ascii="Times New Roman" w:hAnsi="Times New Roman"/>
          <w:b/>
          <w:bCs/>
          <w:sz w:val="24"/>
          <w:szCs w:val="24"/>
        </w:rPr>
        <w:t>pay</w:t>
      </w:r>
      <w:proofErr w:type="gramEnd"/>
      <w:r>
        <w:rPr>
          <w:rFonts w:ascii="Times New Roman" w:hAnsi="Times New Roman"/>
          <w:b/>
          <w:bCs/>
          <w:sz w:val="24"/>
          <w:szCs w:val="24"/>
        </w:rPr>
        <w:t xml:space="preserve"> to other firefighters. </w:t>
      </w:r>
    </w:p>
    <w:bookmarkEnd w:id="390"/>
    <w:p w14:paraId="0B565636" w14:textId="239A72CC" w:rsidR="00863F9E" w:rsidRDefault="00863F9E" w:rsidP="00F326E5">
      <w:pPr>
        <w:rPr>
          <w:rFonts w:ascii="Arial Black" w:hAnsi="Arial Black"/>
          <w:b/>
          <w:sz w:val="24"/>
          <w:szCs w:val="24"/>
        </w:rPr>
      </w:pPr>
    </w:p>
    <w:p w14:paraId="7732C6CF" w14:textId="402CF6B2" w:rsidR="00863F9E" w:rsidRDefault="00863F9E" w:rsidP="00F326E5">
      <w:pPr>
        <w:rPr>
          <w:rFonts w:ascii="Arial Black" w:hAnsi="Arial Black"/>
          <w:b/>
          <w:sz w:val="24"/>
          <w:szCs w:val="24"/>
        </w:rPr>
      </w:pPr>
      <w:r>
        <w:rPr>
          <w:rFonts w:ascii="Arial Black" w:hAnsi="Arial Black"/>
          <w:b/>
          <w:sz w:val="24"/>
          <w:szCs w:val="24"/>
        </w:rPr>
        <w:t>11-2</w:t>
      </w:r>
      <w:r w:rsidR="00B13773">
        <w:rPr>
          <w:rFonts w:ascii="Arial Black" w:hAnsi="Arial Black"/>
          <w:b/>
          <w:sz w:val="24"/>
          <w:szCs w:val="24"/>
        </w:rPr>
        <w:t>5</w:t>
      </w:r>
    </w:p>
    <w:p w14:paraId="0262F877" w14:textId="77777777" w:rsidR="00863F9E" w:rsidRDefault="00863F9E" w:rsidP="00863F9E">
      <w:pPr>
        <w:pStyle w:val="NoSpacing"/>
        <w:rPr>
          <w:rFonts w:ascii="Arial Black" w:hAnsi="Arial Black"/>
          <w:sz w:val="28"/>
          <w:szCs w:val="28"/>
        </w:rPr>
      </w:pPr>
      <w:r>
        <w:rPr>
          <w:rFonts w:ascii="Arial Black" w:hAnsi="Arial Black"/>
          <w:sz w:val="28"/>
          <w:szCs w:val="28"/>
        </w:rPr>
        <w:t>VA: BATTALION CHIEFS – DUTIES SHOW THEY ARE “EXECUTIVE” EMPLOYEES – “EXEMPT” UNDER FLSA FROM OVERTIME PAY</w:t>
      </w:r>
    </w:p>
    <w:p w14:paraId="29E2AE6B" w14:textId="77777777" w:rsidR="00863F9E" w:rsidRDefault="00863F9E" w:rsidP="00863F9E">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4, 2020, in </w:t>
      </w:r>
      <w:r>
        <w:rPr>
          <w:rFonts w:ascii="Times New Roman" w:eastAsia="Times New Roman" w:hAnsi="Times New Roman"/>
          <w:sz w:val="24"/>
          <w:szCs w:val="24"/>
          <w:u w:val="single"/>
        </w:rPr>
        <w:t>Shean Emmons, et al. v. City of Chesapeake</w:t>
      </w:r>
      <w:r>
        <w:rPr>
          <w:rFonts w:ascii="Times New Roman" w:eastAsia="Times New Roman" w:hAnsi="Times New Roman"/>
          <w:sz w:val="24"/>
          <w:szCs w:val="24"/>
        </w:rPr>
        <w:t>, the U.S. Court of Appeals for the Fourth Circuit (Richmond, VA) held (3 to 0) that the Battalion Chiefs are “managers” and “executive” employees under the FLSA.</w:t>
      </w:r>
    </w:p>
    <w:p w14:paraId="784A19C2" w14:textId="77777777" w:rsidR="00863F9E" w:rsidRDefault="00863F9E" w:rsidP="00863F9E">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“The appellants in this case are Battalion Chiefs who have sued their employer, the City of Chesapeake Fire Department (CFD), for non-compliance with the overtime pay requirement of the Fair Labor Standards Act (FLSA). </w:t>
      </w:r>
    </w:p>
    <w:p w14:paraId="4DCB24FB" w14:textId="77777777" w:rsidR="00863F9E" w:rsidRDefault="00863F9E" w:rsidP="00863F9E">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0556949E" w14:textId="77777777" w:rsidR="00863F9E" w:rsidRDefault="00863F9E" w:rsidP="00863F9E">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We disagree. Section 541.3(b) does not categorically except the plaintiff BCs from the FLSA's system of exemptions, because the BCs are, first and foremost, managers within the CFD, not frontline firefighters. Nor do the plain terms of the FLSA's exemptions fail to apply. The BCs are executive employees under the FLSA, and it is on this basis that we affirm the district court's grant of summary judgment in favor of the CFD.”</w:t>
      </w:r>
      <w:r>
        <w:t xml:space="preserve">  </w:t>
      </w:r>
      <w:hyperlink r:id="rId1873" w:history="1">
        <w:r>
          <w:rPr>
            <w:rStyle w:val="Hyperlink"/>
          </w:rPr>
          <w:t>https://www.ca4.uscourts.gov/Opinions/191755.P.pdf</w:t>
        </w:r>
      </w:hyperlink>
      <w:r>
        <w:t xml:space="preserve">   </w:t>
      </w:r>
    </w:p>
    <w:p w14:paraId="31571927" w14:textId="77777777" w:rsidR="00863F9E" w:rsidRDefault="00863F9E" w:rsidP="00863F9E">
      <w:pPr>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The Court was extremely thorough in describing the duties of the Battalion Chiefs; this decision will undoubtedly be referenced in future court decisions throughout the Nation. </w:t>
      </w:r>
    </w:p>
    <w:p w14:paraId="507061C1" w14:textId="77777777" w:rsidR="00863F9E" w:rsidRDefault="00863F9E" w:rsidP="00F326E5">
      <w:pPr>
        <w:rPr>
          <w:rFonts w:ascii="Arial Black" w:hAnsi="Arial Black"/>
          <w:b/>
          <w:sz w:val="24"/>
          <w:szCs w:val="24"/>
        </w:rPr>
      </w:pPr>
    </w:p>
    <w:p w14:paraId="2810CEDC" w14:textId="77777777" w:rsidR="00B13773" w:rsidRDefault="00B13773" w:rsidP="00AC1E3A">
      <w:pPr>
        <w:pStyle w:val="NormalWeb"/>
        <w:rPr>
          <w:rFonts w:ascii="Arial Black" w:hAnsi="Arial Black"/>
          <w:sz w:val="28"/>
          <w:szCs w:val="28"/>
        </w:rPr>
      </w:pPr>
    </w:p>
    <w:p w14:paraId="533A2242" w14:textId="6780D87F" w:rsidR="00B13773" w:rsidRDefault="00B13773" w:rsidP="00AC1E3A">
      <w:pPr>
        <w:pStyle w:val="NormalWeb"/>
        <w:rPr>
          <w:rFonts w:ascii="Arial Black" w:hAnsi="Arial Black"/>
          <w:sz w:val="28"/>
          <w:szCs w:val="28"/>
        </w:rPr>
      </w:pPr>
      <w:r>
        <w:rPr>
          <w:rFonts w:ascii="Arial Black" w:hAnsi="Arial Black"/>
          <w:sz w:val="28"/>
          <w:szCs w:val="28"/>
        </w:rPr>
        <w:t>11-24</w:t>
      </w:r>
    </w:p>
    <w:p w14:paraId="2FA7CCFF" w14:textId="27DC8DD6" w:rsidR="00AC1E3A" w:rsidRDefault="00AC1E3A" w:rsidP="00AC1E3A">
      <w:pPr>
        <w:pStyle w:val="NormalWeb"/>
        <w:rPr>
          <w:rFonts w:ascii="Arial Black" w:hAnsi="Arial Black"/>
          <w:sz w:val="28"/>
          <w:szCs w:val="28"/>
        </w:rPr>
      </w:pPr>
      <w:r>
        <w:rPr>
          <w:rFonts w:ascii="Arial Black" w:hAnsi="Arial Black"/>
          <w:sz w:val="28"/>
          <w:szCs w:val="28"/>
        </w:rPr>
        <w:t>IL: CHICAGO FF WHILE ON MILITARY LEAVE – MISSED TEST FOR ENGINEER, FD REFUSED MAKE-UP – CASE PROCEED</w:t>
      </w:r>
    </w:p>
    <w:p w14:paraId="1025247B" w14:textId="77777777" w:rsidR="00AC1E3A" w:rsidRPr="00CB0145" w:rsidRDefault="00AC1E3A" w:rsidP="00AC1E3A">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lastRenderedPageBreak/>
        <w:t xml:space="preserve">On Oct. 23, 2020, in lawsuit filed by U.S. Department of Justice in </w:t>
      </w:r>
      <w:r w:rsidRPr="006D68B7">
        <w:rPr>
          <w:rFonts w:ascii="Times New Roman" w:eastAsia="Times New Roman" w:hAnsi="Times New Roman"/>
          <w:sz w:val="24"/>
          <w:szCs w:val="24"/>
          <w:u w:val="single"/>
        </w:rPr>
        <w:t>Derrick Strong v. City of Chicago</w:t>
      </w:r>
      <w:r>
        <w:rPr>
          <w:rFonts w:ascii="Times New Roman" w:eastAsia="Times New Roman" w:hAnsi="Times New Roman"/>
          <w:sz w:val="24"/>
          <w:szCs w:val="24"/>
        </w:rPr>
        <w:t xml:space="preserve">, U.S. District Court Judge Elain E. </w:t>
      </w:r>
      <w:proofErr w:type="spellStart"/>
      <w:r>
        <w:rPr>
          <w:rFonts w:ascii="Times New Roman" w:eastAsia="Times New Roman" w:hAnsi="Times New Roman"/>
          <w:sz w:val="24"/>
          <w:szCs w:val="24"/>
        </w:rPr>
        <w:t>Bucklo</w:t>
      </w:r>
      <w:proofErr w:type="spellEnd"/>
      <w:r>
        <w:rPr>
          <w:rFonts w:ascii="Times New Roman" w:eastAsia="Times New Roman" w:hAnsi="Times New Roman"/>
          <w:sz w:val="24"/>
          <w:szCs w:val="24"/>
        </w:rPr>
        <w:t xml:space="preserve">, Northern District of Illinois,  denied the City’s motion for summary judgment. The written exam for Firefighter Engineer was given on Nov. 14, 2016. When the firefighter completed his active duty </w:t>
      </w:r>
      <w:proofErr w:type="gramStart"/>
      <w:r>
        <w:rPr>
          <w:rFonts w:ascii="Times New Roman" w:eastAsia="Times New Roman" w:hAnsi="Times New Roman"/>
          <w:sz w:val="24"/>
          <w:szCs w:val="24"/>
        </w:rPr>
        <w:t>in</w:t>
      </w:r>
      <w:proofErr w:type="gramEnd"/>
      <w:r>
        <w:rPr>
          <w:rFonts w:ascii="Times New Roman" w:eastAsia="Times New Roman" w:hAnsi="Times New Roman"/>
          <w:sz w:val="24"/>
          <w:szCs w:val="24"/>
        </w:rPr>
        <w:t xml:space="preserve"> June 26, 2017, he requested a make-up exam but was denied.  The U.S. Department of Justice filed this lawsuit on his behalf under the </w:t>
      </w:r>
      <w:r w:rsidRPr="00CB0145">
        <w:rPr>
          <w:rFonts w:ascii="Times New Roman" w:hAnsi="Times New Roman"/>
          <w:sz w:val="24"/>
          <w:szCs w:val="24"/>
        </w:rPr>
        <w:t>Uniformed Services Employment and Reemployment Rights Act of 1994 ("USERRA"), 38 U.S.C. § 4313</w:t>
      </w:r>
      <w:r>
        <w:rPr>
          <w:rFonts w:ascii="Times New Roman" w:hAnsi="Times New Roman"/>
          <w:sz w:val="24"/>
          <w:szCs w:val="24"/>
        </w:rPr>
        <w:t xml:space="preserve">, even if the </w:t>
      </w:r>
      <w:proofErr w:type="gramStart"/>
      <w:r>
        <w:rPr>
          <w:rFonts w:ascii="Times New Roman" w:hAnsi="Times New Roman"/>
          <w:sz w:val="24"/>
          <w:szCs w:val="24"/>
        </w:rPr>
        <w:t>City</w:t>
      </w:r>
      <w:proofErr w:type="gramEnd"/>
      <w:r>
        <w:rPr>
          <w:rFonts w:ascii="Times New Roman" w:hAnsi="Times New Roman"/>
          <w:sz w:val="24"/>
          <w:szCs w:val="24"/>
        </w:rPr>
        <w:t xml:space="preserve"> had </w:t>
      </w:r>
      <w:r>
        <w:rPr>
          <w:rFonts w:ascii="Times New Roman" w:eastAsia="Times New Roman" w:hAnsi="Times New Roman"/>
          <w:sz w:val="24"/>
          <w:szCs w:val="24"/>
        </w:rPr>
        <w:t>offered him opportunity to take exam remotely while on military duty.</w:t>
      </w:r>
    </w:p>
    <w:p w14:paraId="7BF536E8" w14:textId="77777777" w:rsidR="00AC1E3A" w:rsidRDefault="00AC1E3A" w:rsidP="00AC1E3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6D68B7">
        <w:rPr>
          <w:rFonts w:ascii="Times New Roman" w:eastAsia="Times New Roman" w:hAnsi="Times New Roman"/>
          <w:sz w:val="24"/>
          <w:szCs w:val="24"/>
        </w:rPr>
        <w:t>Accordingly, plaintiff can potentially prevail on his § 4313 claim if he can</w:t>
      </w:r>
      <w:r>
        <w:rPr>
          <w:rFonts w:ascii="Times New Roman" w:eastAsia="Times New Roman" w:hAnsi="Times New Roman"/>
          <w:sz w:val="24"/>
          <w:szCs w:val="24"/>
        </w:rPr>
        <w:t xml:space="preserve"> </w:t>
      </w:r>
      <w:r w:rsidRPr="006D68B7">
        <w:rPr>
          <w:rFonts w:ascii="Times New Roman" w:eastAsia="Times New Roman" w:hAnsi="Times New Roman"/>
          <w:sz w:val="24"/>
          <w:szCs w:val="24"/>
        </w:rPr>
        <w:t xml:space="preserve">show that without undue hardship, the City could have administered a make-up examination upon his return to service that might have earned him a spot on the 2016 Eligibility List. Of course, plaintiff would also have to show that his promotion to Fire Engineer was reasonably </w:t>
      </w:r>
      <w:proofErr w:type="gramStart"/>
      <w:r w:rsidRPr="006D68B7">
        <w:rPr>
          <w:rFonts w:ascii="Times New Roman" w:eastAsia="Times New Roman" w:hAnsi="Times New Roman"/>
          <w:sz w:val="24"/>
          <w:szCs w:val="24"/>
        </w:rPr>
        <w:t>certain</w:t>
      </w:r>
      <w:proofErr w:type="gramEnd"/>
      <w:r w:rsidRPr="006D68B7">
        <w:rPr>
          <w:rFonts w:ascii="Times New Roman" w:eastAsia="Times New Roman" w:hAnsi="Times New Roman"/>
          <w:sz w:val="24"/>
          <w:szCs w:val="24"/>
        </w:rPr>
        <w:t xml:space="preserve"> assuming his successful completion of the exam.</w:t>
      </w:r>
    </w:p>
    <w:p w14:paraId="09485347" w14:textId="77777777" w:rsidR="00AC1E3A" w:rsidRDefault="00AC1E3A" w:rsidP="00AC1E3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36AF7AF9" w14:textId="77777777" w:rsidR="00AC1E3A" w:rsidRDefault="00AC1E3A" w:rsidP="00AC1E3A">
      <w:pPr>
        <w:spacing w:before="100" w:beforeAutospacing="1" w:after="100" w:afterAutospacing="1" w:line="240" w:lineRule="auto"/>
        <w:ind w:left="720"/>
        <w:rPr>
          <w:rFonts w:ascii="Times New Roman" w:eastAsia="Times New Roman" w:hAnsi="Times New Roman"/>
          <w:sz w:val="24"/>
          <w:szCs w:val="24"/>
        </w:rPr>
      </w:pPr>
      <w:r w:rsidRPr="00E57CCD">
        <w:rPr>
          <w:rFonts w:ascii="Times New Roman" w:eastAsia="Times New Roman" w:hAnsi="Times New Roman"/>
          <w:sz w:val="24"/>
          <w:szCs w:val="24"/>
        </w:rPr>
        <w:t xml:space="preserve">The City also argues that because it offered to administer the exam remotely during plaintiff's period of active duty, it was not required to offer him a make-up exam upon his return. As noted above, however, the inquiry into the reasonableness of an employer's efforts focuses on hardship to the employer in qualifying the returning service member </w:t>
      </w:r>
      <w:r w:rsidRPr="00E57CCD">
        <w:rPr>
          <w:rFonts w:ascii="Times New Roman" w:eastAsia="Times New Roman" w:hAnsi="Times New Roman"/>
          <w:i/>
          <w:iCs/>
          <w:sz w:val="24"/>
          <w:szCs w:val="24"/>
        </w:rPr>
        <w:t>after</w:t>
      </w:r>
      <w:r w:rsidRPr="00E57CCD">
        <w:rPr>
          <w:rFonts w:ascii="Times New Roman" w:eastAsia="Times New Roman" w:hAnsi="Times New Roman"/>
          <w:sz w:val="24"/>
          <w:szCs w:val="24"/>
        </w:rPr>
        <w:t xml:space="preserve"> his or her return from service, not on the employer's conduct during the service member's military leave. Moreover, one of USERRA's primary purposes is </w:t>
      </w:r>
      <w:r>
        <w:rPr>
          <w:rFonts w:ascii="Times New Roman" w:eastAsia="Times New Roman" w:hAnsi="Times New Roman"/>
          <w:sz w:val="24"/>
          <w:szCs w:val="24"/>
        </w:rPr>
        <w:t>‘</w:t>
      </w:r>
      <w:r w:rsidRPr="00E57CCD">
        <w:rPr>
          <w:rFonts w:ascii="Times New Roman" w:eastAsia="Times New Roman" w:hAnsi="Times New Roman"/>
          <w:sz w:val="24"/>
          <w:szCs w:val="24"/>
        </w:rPr>
        <w:t>to encourage military service by minimizing the disadvantages to civilian careers.</w:t>
      </w:r>
      <w:r>
        <w:rPr>
          <w:rFonts w:ascii="Times New Roman" w:eastAsia="Times New Roman" w:hAnsi="Times New Roman"/>
          <w:sz w:val="24"/>
          <w:szCs w:val="24"/>
        </w:rPr>
        <w:t>’</w:t>
      </w:r>
      <w:r w:rsidRPr="00E57CCD">
        <w:rPr>
          <w:rFonts w:ascii="Times New Roman" w:eastAsia="Times New Roman" w:hAnsi="Times New Roman"/>
          <w:sz w:val="24"/>
          <w:szCs w:val="24"/>
        </w:rPr>
        <w:t xml:space="preserve"> </w:t>
      </w:r>
      <w:r w:rsidRPr="00E57CCD">
        <w:rPr>
          <w:rFonts w:ascii="Times New Roman" w:eastAsia="Times New Roman" w:hAnsi="Times New Roman"/>
          <w:i/>
          <w:iCs/>
          <w:sz w:val="24"/>
          <w:szCs w:val="24"/>
        </w:rPr>
        <w:t>DeLee v</w:t>
      </w:r>
      <w:r w:rsidRPr="00E57CCD">
        <w:rPr>
          <w:rFonts w:ascii="Times New Roman" w:eastAsia="Times New Roman" w:hAnsi="Times New Roman"/>
          <w:sz w:val="24"/>
          <w:szCs w:val="24"/>
        </w:rPr>
        <w:t xml:space="preserve">. </w:t>
      </w:r>
      <w:r w:rsidRPr="00E57CCD">
        <w:rPr>
          <w:rFonts w:ascii="Times New Roman" w:eastAsia="Times New Roman" w:hAnsi="Times New Roman"/>
          <w:i/>
          <w:iCs/>
          <w:sz w:val="24"/>
          <w:szCs w:val="24"/>
        </w:rPr>
        <w:t>City of Plymouth</w:t>
      </w:r>
      <w:r w:rsidRPr="00E57CCD">
        <w:rPr>
          <w:rFonts w:ascii="Times New Roman" w:eastAsia="Times New Roman" w:hAnsi="Times New Roman"/>
          <w:sz w:val="24"/>
          <w:szCs w:val="24"/>
        </w:rPr>
        <w:t xml:space="preserve">, </w:t>
      </w:r>
      <w:r w:rsidRPr="00E57CCD">
        <w:rPr>
          <w:rFonts w:ascii="Times New Roman" w:eastAsia="Times New Roman" w:hAnsi="Times New Roman"/>
          <w:i/>
          <w:iCs/>
          <w:sz w:val="24"/>
          <w:szCs w:val="24"/>
        </w:rPr>
        <w:t>Ind</w:t>
      </w:r>
      <w:r w:rsidRPr="00E57CCD">
        <w:rPr>
          <w:rFonts w:ascii="Times New Roman" w:eastAsia="Times New Roman" w:hAnsi="Times New Roman"/>
          <w:sz w:val="24"/>
          <w:szCs w:val="24"/>
        </w:rPr>
        <w:t>., 773 F.3d 172, 175 (7th Cir. 2014). While it may be true that plaintiff could have avoided missing the qualifying exam if he had agreed to take the written portion remotely, plaintiff might be able to show that requiring him to prepare for and take the test during his period of active duty placed him at a disadvantage as</w:t>
      </w:r>
      <w:r>
        <w:rPr>
          <w:rFonts w:ascii="Times New Roman" w:eastAsia="Times New Roman" w:hAnsi="Times New Roman"/>
          <w:sz w:val="24"/>
          <w:szCs w:val="24"/>
        </w:rPr>
        <w:t xml:space="preserve"> </w:t>
      </w:r>
      <w:r w:rsidRPr="00E57CCD">
        <w:rPr>
          <w:rFonts w:ascii="Times New Roman" w:eastAsia="Times New Roman" w:hAnsi="Times New Roman"/>
          <w:sz w:val="24"/>
          <w:szCs w:val="24"/>
        </w:rPr>
        <w:t>compared to non-service members, arguably in violation of the statute's purpose.</w:t>
      </w:r>
      <w:r>
        <w:rPr>
          <w:rFonts w:ascii="Times New Roman" w:eastAsia="Times New Roman" w:hAnsi="Times New Roman"/>
          <w:sz w:val="24"/>
          <w:szCs w:val="24"/>
        </w:rPr>
        <w:t>”</w:t>
      </w:r>
      <w:hyperlink r:id="rId1874" w:history="1">
        <w:r w:rsidRPr="00C34615">
          <w:rPr>
            <w:rStyle w:val="Hyperlink"/>
            <w:rFonts w:ascii="Times New Roman" w:eastAsia="Times New Roman" w:hAnsi="Times New Roman"/>
            <w:sz w:val="24"/>
            <w:szCs w:val="24"/>
          </w:rPr>
          <w:t>https://public.fastcase.com/Wl%2B2t%2BeVuI35%2FN70vAMFZq7BNtl3UAn66ukthA6exr4OG2Q55i9ib96ohnNtBuMo</w:t>
        </w:r>
      </w:hyperlink>
      <w:r>
        <w:rPr>
          <w:rFonts w:ascii="Times New Roman" w:eastAsia="Times New Roman" w:hAnsi="Times New Roman"/>
          <w:sz w:val="24"/>
          <w:szCs w:val="24"/>
        </w:rPr>
        <w:t xml:space="preserve"> </w:t>
      </w:r>
    </w:p>
    <w:p w14:paraId="050D746F" w14:textId="77777777" w:rsidR="00AC1E3A" w:rsidRDefault="00AC1E3A" w:rsidP="00AC1E3A">
      <w:pPr>
        <w:spacing w:before="100" w:beforeAutospacing="1" w:after="100" w:afterAutospacing="1" w:line="240" w:lineRule="auto"/>
        <w:rPr>
          <w:rStyle w:val="Hyperlink"/>
          <w:rFonts w:ascii="Times New Roman" w:hAnsi="Times New Roman"/>
          <w:sz w:val="24"/>
          <w:szCs w:val="24"/>
        </w:rPr>
      </w:pPr>
      <w:r w:rsidRPr="00C17950">
        <w:rPr>
          <w:rFonts w:ascii="Times New Roman" w:eastAsia="Times New Roman" w:hAnsi="Times New Roman"/>
          <w:b/>
          <w:bCs/>
          <w:sz w:val="24"/>
          <w:szCs w:val="24"/>
        </w:rPr>
        <w:t>Legal Lesson</w:t>
      </w:r>
      <w:r>
        <w:rPr>
          <w:rFonts w:ascii="Times New Roman" w:eastAsia="Times New Roman" w:hAnsi="Times New Roman"/>
          <w:b/>
          <w:bCs/>
          <w:sz w:val="24"/>
          <w:szCs w:val="24"/>
        </w:rPr>
        <w:t xml:space="preserve"> </w:t>
      </w:r>
      <w:r w:rsidRPr="00C17950">
        <w:rPr>
          <w:rFonts w:ascii="Times New Roman" w:eastAsia="Times New Roman" w:hAnsi="Times New Roman"/>
          <w:b/>
          <w:bCs/>
          <w:sz w:val="24"/>
          <w:szCs w:val="24"/>
        </w:rPr>
        <w:t xml:space="preserve">Learned: The U.S. Department of Justice has aggressively enforced the </w:t>
      </w:r>
      <w:r w:rsidRPr="00C17950">
        <w:rPr>
          <w:rFonts w:ascii="Times New Roman" w:hAnsi="Times New Roman"/>
          <w:b/>
          <w:bCs/>
          <w:sz w:val="24"/>
          <w:szCs w:val="24"/>
        </w:rPr>
        <w:t>Uniformed Services Employment and Reemployment Rights Act.  See their Web page:</w:t>
      </w:r>
      <w:r>
        <w:rPr>
          <w:rFonts w:ascii="Times New Roman" w:hAnsi="Times New Roman"/>
          <w:sz w:val="24"/>
          <w:szCs w:val="24"/>
        </w:rPr>
        <w:t xml:space="preserve"> </w:t>
      </w:r>
      <w:hyperlink r:id="rId1875" w:history="1">
        <w:r w:rsidRPr="00C34615">
          <w:rPr>
            <w:rStyle w:val="Hyperlink"/>
            <w:rFonts w:ascii="Times New Roman" w:hAnsi="Times New Roman"/>
            <w:sz w:val="24"/>
            <w:szCs w:val="24"/>
          </w:rPr>
          <w:t>https://www.justice.gov/servicemembers/other-resources</w:t>
        </w:r>
      </w:hyperlink>
      <w:r>
        <w:rPr>
          <w:rStyle w:val="Hyperlink"/>
          <w:rFonts w:ascii="Times New Roman" w:hAnsi="Times New Roman"/>
          <w:sz w:val="24"/>
          <w:szCs w:val="24"/>
        </w:rPr>
        <w:t>.</w:t>
      </w:r>
    </w:p>
    <w:p w14:paraId="70386EDC" w14:textId="77777777" w:rsidR="00AC1E3A" w:rsidRDefault="00AC1E3A" w:rsidP="00AC1E3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See also the Complaint they filed in this case: </w:t>
      </w:r>
      <w:hyperlink r:id="rId1876" w:history="1">
        <w:r w:rsidRPr="00C34615">
          <w:rPr>
            <w:rStyle w:val="Hyperlink"/>
            <w:rFonts w:ascii="Times New Roman" w:eastAsia="Times New Roman" w:hAnsi="Times New Roman"/>
            <w:sz w:val="24"/>
            <w:szCs w:val="24"/>
          </w:rPr>
          <w:t>https://www.justice.gov/crt/case-document/file/1227366/download</w:t>
        </w:r>
      </w:hyperlink>
      <w:r>
        <w:rPr>
          <w:rFonts w:ascii="Times New Roman" w:eastAsia="Times New Roman" w:hAnsi="Times New Roman"/>
          <w:sz w:val="24"/>
          <w:szCs w:val="24"/>
        </w:rPr>
        <w:t xml:space="preserve"> .   He was on military duty as an attorney at Fort Riley, Kansas. </w:t>
      </w:r>
      <w:r>
        <w:rPr>
          <w:rFonts w:ascii="Times New Roman" w:hAnsi="Times New Roman"/>
          <w:sz w:val="24"/>
          <w:szCs w:val="24"/>
        </w:rPr>
        <w:t>“</w:t>
      </w:r>
      <w:r w:rsidRPr="00425EED">
        <w:rPr>
          <w:rFonts w:ascii="Times New Roman" w:hAnsi="Times New Roman"/>
          <w:sz w:val="24"/>
          <w:szCs w:val="24"/>
        </w:rPr>
        <w:t>On October 31, 2016, Jill May notified Strong that the DHR’s October 5, 2016, grant of his request to take the Fire Engineer examination upon his return from</w:t>
      </w:r>
      <w:r>
        <w:rPr>
          <w:rFonts w:ascii="Times New Roman" w:hAnsi="Times New Roman"/>
          <w:sz w:val="24"/>
          <w:szCs w:val="24"/>
        </w:rPr>
        <w:t xml:space="preserve"> </w:t>
      </w:r>
      <w:r w:rsidRPr="00425EED">
        <w:rPr>
          <w:rFonts w:ascii="Times New Roman" w:hAnsi="Times New Roman"/>
          <w:sz w:val="24"/>
          <w:szCs w:val="24"/>
        </w:rPr>
        <w:t>active duty was</w:t>
      </w:r>
      <w:r>
        <w:rPr>
          <w:rFonts w:ascii="Times New Roman" w:hAnsi="Times New Roman"/>
          <w:sz w:val="24"/>
          <w:szCs w:val="24"/>
        </w:rPr>
        <w:t xml:space="preserve"> </w:t>
      </w:r>
      <w:r w:rsidRPr="00425EED">
        <w:rPr>
          <w:rFonts w:ascii="Times New Roman" w:hAnsi="Times New Roman"/>
          <w:sz w:val="24"/>
          <w:szCs w:val="24"/>
        </w:rPr>
        <w:t>erroneous. She noted that</w:t>
      </w:r>
      <w:r>
        <w:rPr>
          <w:rFonts w:ascii="Times New Roman" w:hAnsi="Times New Roman"/>
          <w:sz w:val="24"/>
          <w:szCs w:val="24"/>
        </w:rPr>
        <w:t xml:space="preserve"> </w:t>
      </w:r>
      <w:r w:rsidRPr="00425EED">
        <w:rPr>
          <w:rFonts w:ascii="Times New Roman" w:hAnsi="Times New Roman"/>
          <w:sz w:val="24"/>
          <w:szCs w:val="24"/>
        </w:rPr>
        <w:t>the</w:t>
      </w:r>
      <w:r>
        <w:rPr>
          <w:rFonts w:ascii="Times New Roman" w:hAnsi="Times New Roman"/>
          <w:sz w:val="24"/>
          <w:szCs w:val="24"/>
        </w:rPr>
        <w:t xml:space="preserve"> </w:t>
      </w:r>
      <w:r w:rsidRPr="00425EED">
        <w:rPr>
          <w:rFonts w:ascii="Times New Roman" w:hAnsi="Times New Roman"/>
          <w:sz w:val="24"/>
          <w:szCs w:val="24"/>
        </w:rPr>
        <w:t>DHR was prepared</w:t>
      </w:r>
      <w:r>
        <w:rPr>
          <w:rFonts w:ascii="Times New Roman" w:hAnsi="Times New Roman"/>
          <w:sz w:val="24"/>
          <w:szCs w:val="24"/>
        </w:rPr>
        <w:t xml:space="preserve"> </w:t>
      </w:r>
      <w:r w:rsidRPr="00425EED">
        <w:rPr>
          <w:rFonts w:ascii="Times New Roman" w:hAnsi="Times New Roman"/>
          <w:sz w:val="24"/>
          <w:szCs w:val="24"/>
        </w:rPr>
        <w:t>to remotely</w:t>
      </w:r>
      <w:r>
        <w:rPr>
          <w:rFonts w:ascii="Times New Roman" w:hAnsi="Times New Roman"/>
          <w:sz w:val="24"/>
          <w:szCs w:val="24"/>
        </w:rPr>
        <w:t xml:space="preserve"> </w:t>
      </w:r>
      <w:r w:rsidRPr="00425EED">
        <w:rPr>
          <w:rFonts w:ascii="Times New Roman" w:hAnsi="Times New Roman"/>
          <w:sz w:val="24"/>
          <w:szCs w:val="24"/>
        </w:rPr>
        <w:t>administer the first part of the examination to Strong on</w:t>
      </w:r>
      <w:r>
        <w:rPr>
          <w:rFonts w:ascii="Times New Roman" w:hAnsi="Times New Roman"/>
          <w:sz w:val="24"/>
          <w:szCs w:val="24"/>
        </w:rPr>
        <w:t xml:space="preserve"> </w:t>
      </w:r>
      <w:r w:rsidRPr="00425EED">
        <w:rPr>
          <w:rFonts w:ascii="Times New Roman" w:hAnsi="Times New Roman"/>
          <w:sz w:val="24"/>
          <w:szCs w:val="24"/>
        </w:rPr>
        <w:t>December 10, 2016, while he was on approved</w:t>
      </w:r>
      <w:r>
        <w:rPr>
          <w:rFonts w:ascii="Times New Roman" w:hAnsi="Times New Roman"/>
          <w:sz w:val="24"/>
          <w:szCs w:val="24"/>
        </w:rPr>
        <w:t xml:space="preserve"> </w:t>
      </w:r>
      <w:r w:rsidRPr="00425EED">
        <w:rPr>
          <w:rFonts w:ascii="Times New Roman" w:hAnsi="Times New Roman"/>
          <w:sz w:val="24"/>
          <w:szCs w:val="24"/>
        </w:rPr>
        <w:t>military leave from</w:t>
      </w:r>
      <w:r>
        <w:rPr>
          <w:rFonts w:ascii="Times New Roman" w:hAnsi="Times New Roman"/>
          <w:sz w:val="24"/>
          <w:szCs w:val="24"/>
        </w:rPr>
        <w:t xml:space="preserve"> </w:t>
      </w:r>
      <w:r w:rsidRPr="00425EED">
        <w:rPr>
          <w:rFonts w:ascii="Times New Roman" w:hAnsi="Times New Roman"/>
          <w:sz w:val="24"/>
          <w:szCs w:val="24"/>
        </w:rPr>
        <w:t>the CFD, at the site</w:t>
      </w:r>
      <w:r>
        <w:rPr>
          <w:rFonts w:ascii="Times New Roman" w:hAnsi="Times New Roman"/>
          <w:sz w:val="24"/>
          <w:szCs w:val="24"/>
        </w:rPr>
        <w:t xml:space="preserve"> </w:t>
      </w:r>
      <w:r w:rsidRPr="00425EED">
        <w:rPr>
          <w:rFonts w:ascii="Times New Roman" w:hAnsi="Times New Roman"/>
          <w:sz w:val="24"/>
          <w:szCs w:val="24"/>
        </w:rPr>
        <w:t>of</w:t>
      </w:r>
      <w:r>
        <w:rPr>
          <w:rFonts w:ascii="Times New Roman" w:hAnsi="Times New Roman"/>
          <w:sz w:val="24"/>
          <w:szCs w:val="24"/>
        </w:rPr>
        <w:t xml:space="preserve"> </w:t>
      </w:r>
      <w:r w:rsidRPr="00425EED">
        <w:rPr>
          <w:rFonts w:ascii="Times New Roman" w:hAnsi="Times New Roman"/>
          <w:sz w:val="24"/>
          <w:szCs w:val="24"/>
        </w:rPr>
        <w:t>his military</w:t>
      </w:r>
      <w:r>
        <w:rPr>
          <w:rFonts w:ascii="Times New Roman" w:hAnsi="Times New Roman"/>
          <w:sz w:val="24"/>
          <w:szCs w:val="24"/>
        </w:rPr>
        <w:t xml:space="preserve"> </w:t>
      </w:r>
      <w:r w:rsidRPr="00425EED">
        <w:rPr>
          <w:rFonts w:ascii="Times New Roman" w:hAnsi="Times New Roman"/>
          <w:sz w:val="24"/>
          <w:szCs w:val="24"/>
        </w:rPr>
        <w:t>duty</w:t>
      </w:r>
      <w:r>
        <w:rPr>
          <w:rFonts w:ascii="Times New Roman" w:hAnsi="Times New Roman"/>
          <w:sz w:val="24"/>
          <w:szCs w:val="24"/>
        </w:rPr>
        <w:t xml:space="preserve"> </w:t>
      </w:r>
      <w:r w:rsidRPr="00425EED">
        <w:rPr>
          <w:rFonts w:ascii="Times New Roman" w:hAnsi="Times New Roman"/>
          <w:sz w:val="24"/>
          <w:szCs w:val="24"/>
        </w:rPr>
        <w:t>station, and required that he accept or decline the remote test administration notice by November 4, 2016.</w:t>
      </w:r>
      <w:r>
        <w:rPr>
          <w:rFonts w:ascii="Times New Roman" w:hAnsi="Times New Roman"/>
          <w:sz w:val="24"/>
          <w:szCs w:val="24"/>
        </w:rPr>
        <w:t xml:space="preserve">” [Para. 32.]  </w:t>
      </w:r>
    </w:p>
    <w:p w14:paraId="4001D207" w14:textId="77777777" w:rsidR="00AC1E3A" w:rsidRPr="00425EED" w:rsidRDefault="00AC1E3A" w:rsidP="00AC1E3A">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Relief requested includes: “</w:t>
      </w:r>
      <w:r w:rsidRPr="00425EED">
        <w:rPr>
          <w:rFonts w:ascii="Times New Roman" w:hAnsi="Times New Roman"/>
          <w:sz w:val="24"/>
          <w:szCs w:val="24"/>
        </w:rPr>
        <w:t>should his score merit, providing Strong a certification for promotion date that corresponds to that of others who took the 2016 Fire Engineer promotional examination and achieved the same or similar score</w:t>
      </w:r>
      <w:r>
        <w:rPr>
          <w:rFonts w:ascii="Times New Roman" w:hAnsi="Times New Roman"/>
          <w:sz w:val="24"/>
          <w:szCs w:val="24"/>
        </w:rPr>
        <w:t>….” [Para. 62 (40.]</w:t>
      </w:r>
    </w:p>
    <w:p w14:paraId="7A8A889C" w14:textId="77777777" w:rsidR="00AC1E3A" w:rsidRDefault="00AC1E3A" w:rsidP="00F326E5">
      <w:pPr>
        <w:rPr>
          <w:rFonts w:ascii="Arial Black" w:hAnsi="Arial Black"/>
          <w:b/>
          <w:sz w:val="24"/>
          <w:szCs w:val="24"/>
        </w:rPr>
      </w:pPr>
    </w:p>
    <w:p w14:paraId="4E06CE52" w14:textId="77777777" w:rsidR="00863F9E" w:rsidRDefault="00863F9E" w:rsidP="00F326E5">
      <w:pPr>
        <w:rPr>
          <w:rFonts w:ascii="Arial Black" w:hAnsi="Arial Black"/>
          <w:b/>
          <w:sz w:val="24"/>
          <w:szCs w:val="24"/>
        </w:rPr>
      </w:pPr>
    </w:p>
    <w:p w14:paraId="486BB607" w14:textId="5B83DAE4" w:rsidR="00102FD0" w:rsidRDefault="00102FD0" w:rsidP="00F326E5">
      <w:pPr>
        <w:rPr>
          <w:rFonts w:ascii="Arial Black" w:hAnsi="Arial Black"/>
          <w:b/>
          <w:sz w:val="24"/>
          <w:szCs w:val="24"/>
        </w:rPr>
      </w:pPr>
      <w:r>
        <w:rPr>
          <w:rFonts w:ascii="Arial Black" w:hAnsi="Arial Black"/>
          <w:b/>
          <w:sz w:val="24"/>
          <w:szCs w:val="24"/>
        </w:rPr>
        <w:t>11-2</w:t>
      </w:r>
      <w:r w:rsidR="00B13773">
        <w:rPr>
          <w:rFonts w:ascii="Arial Black" w:hAnsi="Arial Black"/>
          <w:b/>
          <w:sz w:val="24"/>
          <w:szCs w:val="24"/>
        </w:rPr>
        <w:t>3</w:t>
      </w:r>
    </w:p>
    <w:p w14:paraId="61003C9D" w14:textId="77777777" w:rsidR="00102FD0" w:rsidRDefault="00102FD0" w:rsidP="00102FD0">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lastRenderedPageBreak/>
        <w:t>FL: “ON CALL” TIME - DEPUTY SHERIFF, 1-HR TO RESPOND – PERSONAL TIME NOT SEVERELY RESTRICTED – NO PAY</w:t>
      </w:r>
    </w:p>
    <w:p w14:paraId="61223A6F" w14:textId="77777777" w:rsidR="00102FD0" w:rsidRDefault="00102FD0" w:rsidP="00102FD0">
      <w:pPr>
        <w:tabs>
          <w:tab w:val="left" w:pos="2220"/>
        </w:tabs>
        <w:spacing w:before="100" w:beforeAutospacing="1" w:after="100" w:afterAutospacing="1" w:line="240" w:lineRule="auto"/>
        <w:rPr>
          <w:rFonts w:ascii="Times New Roman" w:eastAsia="Times New Roman" w:hAnsi="Times New Roman"/>
          <w:sz w:val="24"/>
          <w:szCs w:val="24"/>
        </w:rPr>
      </w:pPr>
      <w:r w:rsidRPr="00B05EAF">
        <w:rPr>
          <w:rFonts w:ascii="Times New Roman" w:eastAsia="Times New Roman" w:hAnsi="Times New Roman"/>
          <w:sz w:val="24"/>
          <w:szCs w:val="24"/>
        </w:rPr>
        <w:t xml:space="preserve">On Oct. 3, 2020, </w:t>
      </w:r>
      <w:r>
        <w:rPr>
          <w:rFonts w:ascii="Times New Roman" w:eastAsia="Times New Roman" w:hAnsi="Times New Roman"/>
          <w:sz w:val="24"/>
          <w:szCs w:val="24"/>
        </w:rPr>
        <w:t xml:space="preserve">in </w:t>
      </w:r>
      <w:r w:rsidRPr="00B05EAF">
        <w:rPr>
          <w:rFonts w:ascii="Times New Roman" w:eastAsia="Times New Roman" w:hAnsi="Times New Roman"/>
          <w:sz w:val="24"/>
          <w:szCs w:val="24"/>
          <w:u w:val="single"/>
        </w:rPr>
        <w:t>Joseph Caiazza</w:t>
      </w:r>
      <w:r>
        <w:rPr>
          <w:rFonts w:ascii="Times New Roman" w:eastAsia="Times New Roman" w:hAnsi="Times New Roman"/>
          <w:sz w:val="24"/>
          <w:szCs w:val="24"/>
          <w:u w:val="single"/>
        </w:rPr>
        <w:t>, on his own behalf and those similarly situated</w:t>
      </w:r>
      <w:r w:rsidRPr="00B05EAF">
        <w:rPr>
          <w:rFonts w:ascii="Times New Roman" w:eastAsia="Times New Roman" w:hAnsi="Times New Roman"/>
          <w:sz w:val="24"/>
          <w:szCs w:val="24"/>
          <w:u w:val="single"/>
        </w:rPr>
        <w:t xml:space="preserve"> v. Carmine Marceno</w:t>
      </w:r>
      <w:r>
        <w:rPr>
          <w:rFonts w:ascii="Times New Roman" w:eastAsia="Times New Roman" w:hAnsi="Times New Roman"/>
          <w:sz w:val="24"/>
          <w:szCs w:val="24"/>
        </w:rPr>
        <w:t xml:space="preserve">, U.S. District Court Judge Sheri P. Chappell, Middle District of Florida (Fort Myers Division), granted the County’s motion for summary judgment concerning on call time;  during on call times, Deputy Sheriff had to respond within one hour, and no alcohol; but case may proceed on plaintiff’s allegation that County failed to pay him when held over after working shifts. </w:t>
      </w:r>
    </w:p>
    <w:p w14:paraId="407BD0D3" w14:textId="4943E67C" w:rsidR="00102FD0" w:rsidRPr="00944B05" w:rsidRDefault="00102FD0" w:rsidP="00102FD0">
      <w:pPr>
        <w:tabs>
          <w:tab w:val="left" w:pos="2220"/>
        </w:tabs>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 “</w:t>
      </w:r>
      <w:r w:rsidRPr="00944B05">
        <w:rPr>
          <w:rFonts w:ascii="Times New Roman" w:hAnsi="Times New Roman"/>
          <w:sz w:val="24"/>
          <w:szCs w:val="24"/>
        </w:rPr>
        <w:t xml:space="preserve">Caiazza contends all the time he spent on call is compensable. </w:t>
      </w:r>
      <w:proofErr w:type="spellStart"/>
      <w:r w:rsidRPr="00944B05">
        <w:rPr>
          <w:rFonts w:ascii="Times New Roman" w:hAnsi="Times New Roman"/>
          <w:sz w:val="24"/>
          <w:szCs w:val="24"/>
        </w:rPr>
        <w:t>Marceno</w:t>
      </w:r>
      <w:proofErr w:type="spellEnd"/>
      <w:r w:rsidRPr="00944B05">
        <w:rPr>
          <w:rFonts w:ascii="Times New Roman" w:hAnsi="Times New Roman"/>
          <w:sz w:val="24"/>
          <w:szCs w:val="24"/>
        </w:rPr>
        <w:t xml:space="preserve"> counters </w:t>
      </w:r>
      <w:r>
        <w:rPr>
          <w:rFonts w:ascii="Times New Roman" w:hAnsi="Times New Roman"/>
          <w:sz w:val="24"/>
          <w:szCs w:val="24"/>
        </w:rPr>
        <w:t xml:space="preserve">  </w:t>
      </w:r>
      <w:r w:rsidRPr="00944B05">
        <w:rPr>
          <w:rFonts w:ascii="Times New Roman" w:hAnsi="Times New Roman"/>
          <w:sz w:val="24"/>
          <w:szCs w:val="24"/>
        </w:rPr>
        <w:t xml:space="preserve">that such time was not spent working under the FLSA, so no pay was necessary. The Court agrees with </w:t>
      </w:r>
      <w:proofErr w:type="spellStart"/>
      <w:r w:rsidRPr="00944B05">
        <w:rPr>
          <w:rFonts w:ascii="Times New Roman" w:hAnsi="Times New Roman"/>
          <w:sz w:val="24"/>
          <w:szCs w:val="24"/>
        </w:rPr>
        <w:t>Marceno</w:t>
      </w:r>
      <w:proofErr w:type="spellEnd"/>
      <w:r w:rsidRPr="00944B05">
        <w:rPr>
          <w:rFonts w:ascii="Times New Roman" w:hAnsi="Times New Roman"/>
          <w:sz w:val="24"/>
          <w:szCs w:val="24"/>
        </w:rPr>
        <w:t xml:space="preserve"> and holds the time Caiazza spent on call (but not called out) was not compensable, so Caiazza is not entitled to overtime pay based on those hours.</w:t>
      </w:r>
      <w:r>
        <w:rPr>
          <w:rFonts w:ascii="Times New Roman" w:hAnsi="Times New Roman"/>
          <w:sz w:val="24"/>
          <w:szCs w:val="24"/>
        </w:rPr>
        <w:t xml:space="preserve">”  </w:t>
      </w:r>
      <w:hyperlink r:id="rId1877" w:history="1">
        <w:r w:rsidRPr="00A8739B">
          <w:rPr>
            <w:rStyle w:val="Hyperlink"/>
            <w:rFonts w:ascii="Times New Roman" w:hAnsi="Times New Roman"/>
            <w:sz w:val="24"/>
            <w:szCs w:val="24"/>
          </w:rPr>
          <w:t>https://public.fastcase.com/Wl%2B2t%2BeVuI35%2FN70vAMFZjQ0yk8eNGgy%2FibI6B2NDAJYgZ2PRe3I9j%2FKWgfFbNa7</w:t>
        </w:r>
      </w:hyperlink>
      <w:r w:rsidRPr="00944B05">
        <w:rPr>
          <w:rFonts w:ascii="Times New Roman" w:hAnsi="Times New Roman"/>
          <w:sz w:val="24"/>
          <w:szCs w:val="24"/>
        </w:rPr>
        <w:t xml:space="preserve"> </w:t>
      </w:r>
    </w:p>
    <w:p w14:paraId="733B539C" w14:textId="77777777" w:rsidR="00102FD0" w:rsidRPr="005C6354" w:rsidRDefault="00102FD0" w:rsidP="00102FD0">
      <w:pPr>
        <w:spacing w:before="100" w:beforeAutospacing="1" w:after="100" w:afterAutospacing="1" w:line="240" w:lineRule="auto"/>
        <w:rPr>
          <w:rFonts w:ascii="Times New Roman" w:eastAsia="Times New Roman" w:hAnsi="Times New Roman"/>
          <w:b/>
          <w:bCs/>
          <w:sz w:val="24"/>
          <w:szCs w:val="24"/>
        </w:rPr>
      </w:pPr>
      <w:r w:rsidRPr="005C6354">
        <w:rPr>
          <w:rFonts w:ascii="Times New Roman" w:eastAsia="Times New Roman" w:hAnsi="Times New Roman"/>
          <w:b/>
          <w:bCs/>
          <w:sz w:val="24"/>
          <w:szCs w:val="24"/>
        </w:rPr>
        <w:t>Legal Lesson</w:t>
      </w:r>
      <w:r>
        <w:rPr>
          <w:rFonts w:ascii="Times New Roman" w:eastAsia="Times New Roman" w:hAnsi="Times New Roman"/>
          <w:b/>
          <w:bCs/>
          <w:sz w:val="24"/>
          <w:szCs w:val="24"/>
        </w:rPr>
        <w:t xml:space="preserve"> </w:t>
      </w:r>
      <w:r w:rsidRPr="005C6354">
        <w:rPr>
          <w:rFonts w:ascii="Times New Roman" w:eastAsia="Times New Roman" w:hAnsi="Times New Roman"/>
          <w:b/>
          <w:bCs/>
          <w:sz w:val="24"/>
          <w:szCs w:val="24"/>
        </w:rPr>
        <w:t xml:space="preserve">Learned: Unless the </w:t>
      </w:r>
      <w:proofErr w:type="gramStart"/>
      <w:r w:rsidRPr="005C6354">
        <w:rPr>
          <w:rFonts w:ascii="Times New Roman" w:eastAsia="Times New Roman" w:hAnsi="Times New Roman"/>
          <w:b/>
          <w:bCs/>
          <w:sz w:val="24"/>
          <w:szCs w:val="24"/>
        </w:rPr>
        <w:t>on call</w:t>
      </w:r>
      <w:proofErr w:type="gramEnd"/>
      <w:r w:rsidRPr="005C6354">
        <w:rPr>
          <w:rFonts w:ascii="Times New Roman" w:eastAsia="Times New Roman" w:hAnsi="Times New Roman"/>
          <w:b/>
          <w:bCs/>
          <w:sz w:val="24"/>
          <w:szCs w:val="24"/>
        </w:rPr>
        <w:t xml:space="preserve"> </w:t>
      </w:r>
      <w:r w:rsidRPr="00944B05">
        <w:rPr>
          <w:rFonts w:ascii="Times New Roman" w:eastAsia="Times New Roman" w:hAnsi="Times New Roman"/>
          <w:b/>
          <w:bCs/>
          <w:sz w:val="24"/>
          <w:szCs w:val="24"/>
        </w:rPr>
        <w:t xml:space="preserve">employee </w:t>
      </w:r>
      <w:r>
        <w:rPr>
          <w:rFonts w:ascii="Times New Roman" w:eastAsia="Times New Roman" w:hAnsi="Times New Roman"/>
          <w:b/>
          <w:bCs/>
          <w:sz w:val="24"/>
          <w:szCs w:val="24"/>
        </w:rPr>
        <w:t xml:space="preserve">is severely restricted in his </w:t>
      </w:r>
      <w:r w:rsidRPr="00944B05">
        <w:rPr>
          <w:rFonts w:ascii="Times New Roman" w:eastAsia="Times New Roman" w:hAnsi="Times New Roman"/>
          <w:b/>
          <w:bCs/>
          <w:sz w:val="24"/>
          <w:szCs w:val="24"/>
        </w:rPr>
        <w:t>personal pursuits</w:t>
      </w:r>
      <w:r w:rsidRPr="005C6354">
        <w:rPr>
          <w:rFonts w:ascii="Times New Roman" w:eastAsia="Times New Roman" w:hAnsi="Times New Roman"/>
          <w:b/>
          <w:bCs/>
          <w:sz w:val="24"/>
          <w:szCs w:val="24"/>
        </w:rPr>
        <w:t>, the employee is “off the clock.”</w:t>
      </w:r>
    </w:p>
    <w:p w14:paraId="65BB6435" w14:textId="77777777" w:rsidR="00102FD0" w:rsidRDefault="00102FD0" w:rsidP="00F326E5">
      <w:pPr>
        <w:rPr>
          <w:rFonts w:ascii="Arial Black" w:hAnsi="Arial Black"/>
          <w:b/>
          <w:sz w:val="24"/>
          <w:szCs w:val="24"/>
        </w:rPr>
      </w:pPr>
    </w:p>
    <w:p w14:paraId="29C64616" w14:textId="57C42E14" w:rsidR="00102FD0" w:rsidRDefault="00102FD0" w:rsidP="00F326E5">
      <w:pPr>
        <w:rPr>
          <w:rFonts w:ascii="Arial Black" w:hAnsi="Arial Black"/>
          <w:b/>
          <w:sz w:val="24"/>
          <w:szCs w:val="24"/>
        </w:rPr>
      </w:pPr>
      <w:r>
        <w:rPr>
          <w:rFonts w:ascii="Arial Black" w:hAnsi="Arial Black"/>
          <w:b/>
          <w:sz w:val="24"/>
          <w:szCs w:val="24"/>
        </w:rPr>
        <w:t>11-</w:t>
      </w:r>
      <w:r w:rsidR="00B13773">
        <w:rPr>
          <w:rFonts w:ascii="Arial Black" w:hAnsi="Arial Black"/>
          <w:b/>
          <w:sz w:val="24"/>
          <w:szCs w:val="24"/>
        </w:rPr>
        <w:t>22</w:t>
      </w:r>
    </w:p>
    <w:p w14:paraId="5BEF003E" w14:textId="77777777" w:rsidR="00102FD0" w:rsidRPr="00DC2F46" w:rsidRDefault="00102FD0" w:rsidP="00102FD0">
      <w:pPr>
        <w:pStyle w:val="NoSpacing"/>
        <w:rPr>
          <w:rFonts w:ascii="Arial Black" w:hAnsi="Arial Black"/>
          <w:sz w:val="28"/>
          <w:szCs w:val="28"/>
        </w:rPr>
      </w:pPr>
      <w:r>
        <w:rPr>
          <w:rFonts w:ascii="Arial Black" w:hAnsi="Arial Black"/>
          <w:sz w:val="28"/>
          <w:szCs w:val="28"/>
        </w:rPr>
        <w:t>IN: FLSA SETTLEMENT APPROVED BY FED. JUDGE - $26K AND TOWN DROPPED DEMAND THAT FF PAY BACK $89,878 IN OVERPAY</w:t>
      </w:r>
    </w:p>
    <w:p w14:paraId="7AE93764" w14:textId="77777777" w:rsidR="00102FD0" w:rsidRDefault="00102FD0" w:rsidP="00102FD0">
      <w:pPr>
        <w:spacing w:before="100" w:beforeAutospacing="1" w:after="100" w:afterAutospacing="1" w:line="240" w:lineRule="auto"/>
        <w:rPr>
          <w:rFonts w:ascii="Times New Roman" w:eastAsia="Times New Roman" w:hAnsi="Times New Roman"/>
          <w:sz w:val="24"/>
          <w:szCs w:val="24"/>
        </w:rPr>
      </w:pPr>
      <w:r w:rsidRPr="00DC2F46">
        <w:rPr>
          <w:rFonts w:ascii="Times New Roman" w:eastAsia="Times New Roman" w:hAnsi="Times New Roman"/>
          <w:sz w:val="24"/>
          <w:szCs w:val="24"/>
        </w:rPr>
        <w:t xml:space="preserve">On </w:t>
      </w:r>
      <w:r>
        <w:rPr>
          <w:rFonts w:ascii="Times New Roman" w:eastAsia="Times New Roman" w:hAnsi="Times New Roman"/>
          <w:sz w:val="24"/>
          <w:szCs w:val="24"/>
        </w:rPr>
        <w:t xml:space="preserve">Oct. 2, 2020, in </w:t>
      </w:r>
      <w:r w:rsidRPr="00DC2F46">
        <w:rPr>
          <w:rFonts w:ascii="Times New Roman" w:eastAsia="Times New Roman" w:hAnsi="Times New Roman"/>
          <w:sz w:val="24"/>
          <w:szCs w:val="24"/>
          <w:u w:val="single"/>
        </w:rPr>
        <w:t>Eric Camel, et al. v.  Town of Chesterton</w:t>
      </w:r>
      <w:r>
        <w:rPr>
          <w:rFonts w:ascii="Times New Roman" w:eastAsia="Times New Roman" w:hAnsi="Times New Roman"/>
          <w:sz w:val="24"/>
          <w:szCs w:val="24"/>
        </w:rPr>
        <w:t xml:space="preserve">, U.S. District Court Judge Theresa L. Springmann, Northern District of Indiana, approved the settlement for overtime pay of from 2011 to 2019 of $26,371, and waiver of City’s demand for repayment by 10 firefighters of $89,878 in overpayments received. </w:t>
      </w:r>
    </w:p>
    <w:p w14:paraId="5FFEF49B" w14:textId="77777777" w:rsidR="00102FD0" w:rsidRPr="00DC2F46" w:rsidRDefault="00102FD0" w:rsidP="00102FD0">
      <w:pPr>
        <w:spacing w:before="100" w:beforeAutospacing="1" w:after="100" w:afterAutospacing="1" w:line="240" w:lineRule="auto"/>
        <w:ind w:left="720"/>
        <w:rPr>
          <w:rFonts w:ascii="Times New Roman" w:eastAsia="Times New Roman" w:hAnsi="Times New Roman"/>
          <w:sz w:val="24"/>
          <w:szCs w:val="24"/>
        </w:rPr>
      </w:pPr>
      <w:r>
        <w:t>“</w:t>
      </w:r>
      <w:r w:rsidRPr="00DC2F46">
        <w:rPr>
          <w:rFonts w:ascii="Times New Roman" w:eastAsia="Times New Roman" w:hAnsi="Times New Roman"/>
          <w:sz w:val="24"/>
          <w:szCs w:val="24"/>
        </w:rPr>
        <w:t>Counsel for the parties represent that they reached an arms-length agreement</w:t>
      </w:r>
      <w:r>
        <w:rPr>
          <w:rFonts w:ascii="Times New Roman" w:eastAsia="Times New Roman" w:hAnsi="Times New Roman"/>
          <w:sz w:val="24"/>
          <w:szCs w:val="24"/>
        </w:rPr>
        <w:t xml:space="preserve"> </w:t>
      </w:r>
      <w:r w:rsidRPr="00DC2F46">
        <w:rPr>
          <w:rFonts w:ascii="Times New Roman" w:eastAsia="Times New Roman" w:hAnsi="Times New Roman"/>
          <w:sz w:val="24"/>
          <w:szCs w:val="24"/>
        </w:rPr>
        <w:t>to settle the case on August 10, 2020, after two months of extensive negotiations over the language of the Settlement Agreement. The parties agree that Plaintiffs' attorney's fees are reasonable in relation to the requirements of the case. They finalized the terms of the Settlement Agreement on August 25, 2020.</w:t>
      </w:r>
    </w:p>
    <w:p w14:paraId="52FAD31F" w14:textId="77777777" w:rsidR="00102FD0" w:rsidRDefault="00102FD0" w:rsidP="00102FD0">
      <w:pPr>
        <w:spacing w:before="100" w:beforeAutospacing="1" w:after="100" w:afterAutospacing="1" w:line="240" w:lineRule="auto"/>
        <w:ind w:left="720"/>
        <w:rPr>
          <w:rFonts w:ascii="Times New Roman" w:eastAsia="Times New Roman" w:hAnsi="Times New Roman"/>
          <w:sz w:val="24"/>
          <w:szCs w:val="24"/>
        </w:rPr>
      </w:pPr>
      <w:r w:rsidRPr="00DC2F46">
        <w:rPr>
          <w:rFonts w:ascii="Times New Roman" w:eastAsia="Times New Roman" w:hAnsi="Times New Roman"/>
          <w:sz w:val="24"/>
          <w:szCs w:val="24"/>
        </w:rPr>
        <w:t xml:space="preserve">The Settlement Agreement provides for a total payment of $26,371.24, which includes (1) a payment of $647.40 to Plaintiff Amanda Shine for back pay and liquidated damages, inclusive of all attorney's fees and costs; (2) a payment of $723.84 to Plaintiff Michael A. Coslet for back pay and liquidated damages, inclusive of all attorney's fees and costs; and (3) a payment of $25,000.00 in attorney's fees. The Settlement </w:t>
      </w:r>
    </w:p>
    <w:p w14:paraId="7B822CEA" w14:textId="77777777" w:rsidR="00102FD0" w:rsidRDefault="00102FD0" w:rsidP="00102FD0">
      <w:pPr>
        <w:spacing w:before="100" w:beforeAutospacing="1" w:after="100" w:afterAutospacing="1" w:line="240" w:lineRule="auto"/>
        <w:ind w:left="720"/>
        <w:rPr>
          <w:rFonts w:ascii="Times New Roman" w:eastAsia="Times New Roman" w:hAnsi="Times New Roman"/>
          <w:sz w:val="24"/>
          <w:szCs w:val="24"/>
        </w:rPr>
      </w:pPr>
    </w:p>
    <w:p w14:paraId="4C021959" w14:textId="77777777" w:rsidR="00102FD0" w:rsidRPr="00DC2F46" w:rsidRDefault="00102FD0" w:rsidP="00102FD0">
      <w:pPr>
        <w:spacing w:before="100" w:beforeAutospacing="1" w:after="100" w:afterAutospacing="1" w:line="240" w:lineRule="auto"/>
        <w:ind w:left="720"/>
        <w:rPr>
          <w:rFonts w:ascii="Times New Roman" w:eastAsia="Times New Roman" w:hAnsi="Times New Roman"/>
          <w:sz w:val="24"/>
          <w:szCs w:val="24"/>
        </w:rPr>
      </w:pPr>
      <w:r w:rsidRPr="00DC2F46">
        <w:rPr>
          <w:rFonts w:ascii="Times New Roman" w:eastAsia="Times New Roman" w:hAnsi="Times New Roman"/>
          <w:sz w:val="24"/>
          <w:szCs w:val="24"/>
        </w:rPr>
        <w:t xml:space="preserve">Agreement further provides for significant non-economic awards such as the addition of four vacation days in lieu of reduction time (and the elimination of reduction time), enacted through amendments to the Personnel Handbook and to the agreement between the Town of Chesterton and Chesterton Firefighters Local 4600; waiver of the $89,878.26 overpayment the Town of Chesterton alleges is owed by ten of the Plaintiffs; and the removal of a reprimand in two of the Plaintiffs' personnel files. </w:t>
      </w:r>
      <w:proofErr w:type="gramStart"/>
      <w:r w:rsidRPr="00DC2F46">
        <w:rPr>
          <w:rFonts w:ascii="Times New Roman" w:eastAsia="Times New Roman" w:hAnsi="Times New Roman"/>
          <w:sz w:val="24"/>
          <w:szCs w:val="24"/>
        </w:rPr>
        <w:t>And,</w:t>
      </w:r>
      <w:proofErr w:type="gramEnd"/>
      <w:r w:rsidRPr="00DC2F46">
        <w:rPr>
          <w:rFonts w:ascii="Times New Roman" w:eastAsia="Times New Roman" w:hAnsi="Times New Roman"/>
          <w:sz w:val="24"/>
          <w:szCs w:val="24"/>
        </w:rPr>
        <w:t xml:space="preserve"> the Settlement Agreement provides that Plaintiffs and the Town of Chesterton agree to dismiss </w:t>
      </w:r>
      <w:proofErr w:type="gramStart"/>
      <w:r w:rsidRPr="00DC2F46">
        <w:rPr>
          <w:rFonts w:ascii="Times New Roman" w:eastAsia="Times New Roman" w:hAnsi="Times New Roman"/>
          <w:sz w:val="24"/>
          <w:szCs w:val="24"/>
        </w:rPr>
        <w:t>all of</w:t>
      </w:r>
      <w:proofErr w:type="gramEnd"/>
      <w:r w:rsidRPr="00DC2F46">
        <w:rPr>
          <w:rFonts w:ascii="Times New Roman" w:eastAsia="Times New Roman" w:hAnsi="Times New Roman"/>
          <w:sz w:val="24"/>
          <w:szCs w:val="24"/>
        </w:rPr>
        <w:t xml:space="preserve"> their claims with prejudice within three business days of receipt of the settlement funds. The parties have </w:t>
      </w:r>
      <w:r w:rsidRPr="00DC2F46">
        <w:rPr>
          <w:rFonts w:ascii="Times New Roman" w:eastAsia="Times New Roman" w:hAnsi="Times New Roman"/>
          <w:sz w:val="24"/>
          <w:szCs w:val="24"/>
        </w:rPr>
        <w:lastRenderedPageBreak/>
        <w:t xml:space="preserve">submitted a spreadsheet showing the breakdown by named Plaintiff of the alleged overtime wages owed, the pre-suit payments made, the amounts to be paid pursuant to the Settlement Agreement, and the overpayments that will be waived pursuant to the Settlement Agreement. </w:t>
      </w:r>
      <w:r w:rsidRPr="00DC2F46">
        <w:rPr>
          <w:rFonts w:ascii="Times New Roman" w:eastAsia="Times New Roman" w:hAnsi="Times New Roman"/>
          <w:i/>
          <w:iCs/>
          <w:sz w:val="24"/>
          <w:szCs w:val="24"/>
        </w:rPr>
        <w:t>See</w:t>
      </w:r>
      <w:r w:rsidRPr="00DC2F46">
        <w:rPr>
          <w:rFonts w:ascii="Times New Roman" w:eastAsia="Times New Roman" w:hAnsi="Times New Roman"/>
          <w:sz w:val="24"/>
          <w:szCs w:val="24"/>
        </w:rPr>
        <w:t xml:space="preserve"> ECF No. 60-1.</w:t>
      </w:r>
      <w:r>
        <w:rPr>
          <w:rFonts w:ascii="Times New Roman" w:eastAsia="Times New Roman" w:hAnsi="Times New Roman"/>
          <w:sz w:val="24"/>
          <w:szCs w:val="24"/>
        </w:rPr>
        <w:t xml:space="preserve">” </w:t>
      </w:r>
      <w:hyperlink r:id="rId1878" w:history="1">
        <w:r w:rsidRPr="00987F62">
          <w:rPr>
            <w:rStyle w:val="Hyperlink"/>
            <w:rFonts w:ascii="Times New Roman" w:eastAsia="Times New Roman" w:hAnsi="Times New Roman"/>
            <w:sz w:val="24"/>
            <w:szCs w:val="24"/>
          </w:rPr>
          <w:t>https://law.justia.com/cases/federal/district-courts/indiana/inndce/2:2019cv00065/97508/61/</w:t>
        </w:r>
      </w:hyperlink>
      <w:r>
        <w:rPr>
          <w:rFonts w:ascii="Times New Roman" w:eastAsia="Times New Roman" w:hAnsi="Times New Roman"/>
          <w:sz w:val="24"/>
          <w:szCs w:val="24"/>
        </w:rPr>
        <w:t xml:space="preserve"> </w:t>
      </w:r>
    </w:p>
    <w:p w14:paraId="53580E72" w14:textId="77777777" w:rsidR="00102FD0" w:rsidRDefault="00102FD0" w:rsidP="00102FD0">
      <w:pPr>
        <w:tabs>
          <w:tab w:val="left" w:pos="3000"/>
        </w:tabs>
        <w:spacing w:before="100" w:beforeAutospacing="1" w:after="100" w:afterAutospacing="1" w:line="240" w:lineRule="auto"/>
        <w:rPr>
          <w:rFonts w:ascii="Times New Roman" w:eastAsia="Times New Roman" w:hAnsi="Times New Roman"/>
          <w:b/>
          <w:bCs/>
          <w:sz w:val="24"/>
          <w:szCs w:val="24"/>
        </w:rPr>
      </w:pPr>
      <w:r w:rsidRPr="00C01300">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FLSA settlements must be approved by Federal court or by the U.S. Department of Labor to ensure fairness of the settlements. </w:t>
      </w:r>
    </w:p>
    <w:p w14:paraId="742F1A88" w14:textId="77777777" w:rsidR="00102FD0" w:rsidRPr="00C01300" w:rsidRDefault="00102FD0" w:rsidP="00102FD0">
      <w:pPr>
        <w:pStyle w:val="NormalWeb"/>
        <w:ind w:firstLine="720"/>
      </w:pPr>
      <w:r w:rsidRPr="00C01300">
        <w:t>Note:</w:t>
      </w:r>
      <w:r>
        <w:rPr>
          <w:b/>
          <w:bCs/>
        </w:rPr>
        <w:t xml:space="preserve"> </w:t>
      </w:r>
      <w:r w:rsidRPr="00C01300">
        <w:t>The governing provision of the FLSA provides:</w:t>
      </w:r>
    </w:p>
    <w:p w14:paraId="4E19BB8E" w14:textId="77777777" w:rsidR="00102FD0" w:rsidRPr="00C01300" w:rsidRDefault="00102FD0" w:rsidP="00102FD0">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C01300">
        <w:rPr>
          <w:rFonts w:ascii="Times New Roman" w:eastAsia="Times New Roman" w:hAnsi="Times New Roman"/>
          <w:sz w:val="24"/>
          <w:szCs w:val="24"/>
        </w:rPr>
        <w:t>The Secretary is authorized to supervise the payment of the unpaid minimum wages or the unpaid overtime compensation owing to any employee or employees under section 206 or section 207 of this title, and the agreement of any employee to accept such payment shall upon payment in full constitute a waiver by such employee of any right he may have under subsection (b) of this section to such unpaid minimum wages or unpaid overtime compensation and an additional equal amount as liquidated damages.</w:t>
      </w:r>
      <w:r>
        <w:rPr>
          <w:rFonts w:ascii="Times New Roman" w:eastAsia="Times New Roman" w:hAnsi="Times New Roman"/>
          <w:sz w:val="24"/>
          <w:szCs w:val="24"/>
        </w:rPr>
        <w:t xml:space="preserve">” </w:t>
      </w:r>
      <w:r w:rsidRPr="00C01300">
        <w:rPr>
          <w:rFonts w:ascii="Times New Roman" w:eastAsia="Times New Roman" w:hAnsi="Times New Roman"/>
          <w:sz w:val="24"/>
          <w:szCs w:val="24"/>
        </w:rPr>
        <w:t>29 U.S.C. § 216(c).</w:t>
      </w:r>
    </w:p>
    <w:p w14:paraId="2F1D3C70" w14:textId="77777777" w:rsidR="00102FD0" w:rsidRDefault="00102FD0" w:rsidP="00F326E5">
      <w:pPr>
        <w:rPr>
          <w:rFonts w:ascii="Arial Black" w:hAnsi="Arial Black"/>
          <w:b/>
          <w:sz w:val="24"/>
          <w:szCs w:val="24"/>
        </w:rPr>
      </w:pPr>
    </w:p>
    <w:p w14:paraId="0D26F710" w14:textId="77777777" w:rsidR="00D4542A" w:rsidRDefault="00D4542A" w:rsidP="00F326E5">
      <w:pPr>
        <w:rPr>
          <w:rFonts w:ascii="Arial Black" w:hAnsi="Arial Black"/>
          <w:b/>
          <w:sz w:val="24"/>
          <w:szCs w:val="24"/>
        </w:rPr>
      </w:pPr>
    </w:p>
    <w:p w14:paraId="0DF50FCB" w14:textId="45200451" w:rsidR="00D4542A" w:rsidRDefault="00B13773" w:rsidP="00F326E5">
      <w:pPr>
        <w:rPr>
          <w:rFonts w:ascii="Arial Black" w:hAnsi="Arial Black"/>
          <w:b/>
          <w:sz w:val="24"/>
          <w:szCs w:val="24"/>
        </w:rPr>
      </w:pPr>
      <w:r>
        <w:rPr>
          <w:rFonts w:ascii="Arial Black" w:hAnsi="Arial Black"/>
          <w:b/>
          <w:sz w:val="24"/>
          <w:szCs w:val="24"/>
        </w:rPr>
        <w:t>11-21</w:t>
      </w:r>
    </w:p>
    <w:p w14:paraId="0B156FDA" w14:textId="77777777" w:rsidR="00D4542A" w:rsidRDefault="00D4542A" w:rsidP="00D4542A">
      <w:pPr>
        <w:rPr>
          <w:rFonts w:ascii="Arial Black" w:hAnsi="Arial Black"/>
          <w:sz w:val="28"/>
          <w:szCs w:val="28"/>
        </w:rPr>
      </w:pPr>
      <w:r>
        <w:rPr>
          <w:rFonts w:ascii="Arial Black" w:hAnsi="Arial Black"/>
          <w:sz w:val="28"/>
          <w:szCs w:val="28"/>
        </w:rPr>
        <w:t xml:space="preserve">IL: FF IN U.S. ARMY RESERVE – NOT ENTITLED TO “DIFFERENTIAL PAY” UNDER </w:t>
      </w:r>
      <w:r w:rsidRPr="00742B82">
        <w:rPr>
          <w:rFonts w:ascii="Arial Black" w:hAnsi="Arial Black"/>
          <w:sz w:val="28"/>
          <w:szCs w:val="28"/>
        </w:rPr>
        <w:t>USERRA</w:t>
      </w:r>
      <w:r>
        <w:rPr>
          <w:rFonts w:ascii="Arial Black" w:hAnsi="Arial Black"/>
          <w:sz w:val="28"/>
          <w:szCs w:val="28"/>
        </w:rPr>
        <w:t xml:space="preserve"> – MAY HAVE CLAIM UNDER STATE STATUTE</w:t>
      </w:r>
    </w:p>
    <w:p w14:paraId="117C0135" w14:textId="77777777" w:rsidR="00D4542A" w:rsidRDefault="00D4542A" w:rsidP="00D4542A">
      <w:pPr>
        <w:rPr>
          <w:rFonts w:ascii="Times New Roman" w:hAnsi="Times New Roman"/>
          <w:sz w:val="24"/>
          <w:szCs w:val="24"/>
        </w:rPr>
      </w:pPr>
      <w:r>
        <w:rPr>
          <w:rFonts w:ascii="Times New Roman" w:hAnsi="Times New Roman"/>
          <w:sz w:val="24"/>
          <w:szCs w:val="24"/>
        </w:rPr>
        <w:t xml:space="preserve">On September 28, 2020, in </w:t>
      </w:r>
      <w:r w:rsidRPr="00FC1C33">
        <w:rPr>
          <w:rFonts w:ascii="Times New Roman" w:hAnsi="Times New Roman"/>
          <w:sz w:val="24"/>
          <w:szCs w:val="24"/>
          <w:u w:val="single"/>
        </w:rPr>
        <w:t>Gregory Heckenbach v. Bloomingdale Fire Protection District et al</w:t>
      </w:r>
      <w:r>
        <w:rPr>
          <w:rFonts w:ascii="Times New Roman" w:hAnsi="Times New Roman"/>
          <w:sz w:val="24"/>
          <w:szCs w:val="24"/>
        </w:rPr>
        <w:t>., U.S. District Court Judge Steven C. Seeger granted the City’s motion for judgment on the pleadings concerning alleged violation of the federal USERRA (Uniformed Services Employment and Reemployment Rights Act of 1964).  While the State of Illinois has enacted a statute requiring differential pay under the Illinois Military Leave of Absence Act (for example, plaintiff states Chicago Police Department makes up difference) the federal statute has no such provision. Court also dismissed his defamation claim concerning FD calls to his Army Reserve commanders, since Illinois has a statute protecting public employees from on duty defamation claims.  His lawsuit on other counts concerning hostile workplace may proceed; he may also now sue in State court on his differential pay claim.</w:t>
      </w:r>
    </w:p>
    <w:p w14:paraId="5D470686" w14:textId="77777777" w:rsidR="00D4542A" w:rsidRPr="00EC52DB" w:rsidRDefault="00D4542A" w:rsidP="00D4542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EC52DB">
        <w:rPr>
          <w:rFonts w:ascii="Times New Roman" w:eastAsia="Times New Roman" w:hAnsi="Times New Roman"/>
          <w:sz w:val="24"/>
          <w:szCs w:val="24"/>
        </w:rPr>
        <w:t xml:space="preserve">Heckenbach relies on the fact that the Illinois Military Leave of Absence Act requires differential pay. </w:t>
      </w:r>
      <w:r w:rsidRPr="00EC52DB">
        <w:rPr>
          <w:rFonts w:ascii="Times New Roman" w:eastAsia="Times New Roman" w:hAnsi="Times New Roman"/>
          <w:i/>
          <w:iCs/>
          <w:sz w:val="24"/>
          <w:szCs w:val="24"/>
        </w:rPr>
        <w:t>Id</w:t>
      </w:r>
      <w:r w:rsidRPr="00EC52DB">
        <w:rPr>
          <w:rFonts w:ascii="Times New Roman" w:eastAsia="Times New Roman" w:hAnsi="Times New Roman"/>
          <w:sz w:val="24"/>
          <w:szCs w:val="24"/>
        </w:rPr>
        <w:t xml:space="preserve">. at 4-5. Again, that's the statute that governed during the period in question. The text of the statute required differential pay during training, </w:t>
      </w:r>
      <w:r w:rsidRPr="00EC52DB">
        <w:rPr>
          <w:rFonts w:ascii="Times New Roman" w:eastAsia="Times New Roman" w:hAnsi="Times New Roman"/>
          <w:i/>
          <w:iCs/>
          <w:sz w:val="24"/>
          <w:szCs w:val="24"/>
        </w:rPr>
        <w:t>see</w:t>
      </w:r>
      <w:r w:rsidRPr="00EC52DB">
        <w:rPr>
          <w:rFonts w:ascii="Times New Roman" w:eastAsia="Times New Roman" w:hAnsi="Times New Roman"/>
          <w:sz w:val="24"/>
          <w:szCs w:val="24"/>
        </w:rPr>
        <w:t xml:space="preserve"> 5 ILCS 325/1(a) (repealed 2019), and during active duty, </w:t>
      </w:r>
      <w:r w:rsidRPr="00EC52DB">
        <w:rPr>
          <w:rFonts w:ascii="Times New Roman" w:eastAsia="Times New Roman" w:hAnsi="Times New Roman"/>
          <w:i/>
          <w:iCs/>
          <w:sz w:val="24"/>
          <w:szCs w:val="24"/>
        </w:rPr>
        <w:t>see id</w:t>
      </w:r>
      <w:r w:rsidRPr="00EC52DB">
        <w:rPr>
          <w:rFonts w:ascii="Times New Roman" w:eastAsia="Times New Roman" w:hAnsi="Times New Roman"/>
          <w:sz w:val="24"/>
          <w:szCs w:val="24"/>
        </w:rPr>
        <w:t xml:space="preserve">. at § 1(b). Like that statute, the current Illinois statute requires differential pay, too. The text is </w:t>
      </w:r>
      <w:proofErr w:type="gramStart"/>
      <w:r w:rsidRPr="00EC52DB">
        <w:rPr>
          <w:rFonts w:ascii="Times New Roman" w:eastAsia="Times New Roman" w:hAnsi="Times New Roman"/>
          <w:sz w:val="24"/>
          <w:szCs w:val="24"/>
        </w:rPr>
        <w:t xml:space="preserve">straightforward: </w:t>
      </w:r>
      <w:r>
        <w:rPr>
          <w:rFonts w:ascii="Times New Roman" w:eastAsia="Times New Roman" w:hAnsi="Times New Roman"/>
          <w:sz w:val="24"/>
          <w:szCs w:val="24"/>
        </w:rPr>
        <w:t>‘</w:t>
      </w:r>
      <w:proofErr w:type="gramEnd"/>
      <w:r w:rsidRPr="00EC52DB">
        <w:rPr>
          <w:rFonts w:ascii="Times New Roman" w:eastAsia="Times New Roman" w:hAnsi="Times New Roman"/>
          <w:sz w:val="24"/>
          <w:szCs w:val="24"/>
        </w:rPr>
        <w:t>Differential compensation shall be paid to all forms of active service except active service without pay.</w:t>
      </w:r>
      <w:r>
        <w:rPr>
          <w:rFonts w:ascii="Times New Roman" w:eastAsia="Times New Roman" w:hAnsi="Times New Roman"/>
          <w:sz w:val="24"/>
          <w:szCs w:val="24"/>
        </w:rPr>
        <w:t>’</w:t>
      </w:r>
      <w:r w:rsidRPr="00EC52DB">
        <w:rPr>
          <w:rFonts w:ascii="Times New Roman" w:eastAsia="Times New Roman" w:hAnsi="Times New Roman"/>
          <w:sz w:val="24"/>
          <w:szCs w:val="24"/>
        </w:rPr>
        <w:t xml:space="preserve"> </w:t>
      </w:r>
      <w:r w:rsidRPr="00EC52DB">
        <w:rPr>
          <w:rFonts w:ascii="Times New Roman" w:eastAsia="Times New Roman" w:hAnsi="Times New Roman"/>
          <w:i/>
          <w:iCs/>
          <w:sz w:val="24"/>
          <w:szCs w:val="24"/>
        </w:rPr>
        <w:t>See</w:t>
      </w:r>
      <w:r w:rsidRPr="00EC52DB">
        <w:rPr>
          <w:rFonts w:ascii="Times New Roman" w:eastAsia="Times New Roman" w:hAnsi="Times New Roman"/>
          <w:sz w:val="24"/>
          <w:szCs w:val="24"/>
        </w:rPr>
        <w:t xml:space="preserve"> 330 ILCS 61/1-15(b).</w:t>
      </w:r>
    </w:p>
    <w:p w14:paraId="08D22C55" w14:textId="77777777" w:rsidR="00D4542A" w:rsidRDefault="00D4542A" w:rsidP="00D4542A">
      <w:pPr>
        <w:spacing w:before="100" w:beforeAutospacing="1" w:after="100" w:afterAutospacing="1" w:line="240" w:lineRule="auto"/>
        <w:ind w:left="720"/>
        <w:rPr>
          <w:rFonts w:ascii="Times New Roman" w:eastAsia="Times New Roman" w:hAnsi="Times New Roman"/>
          <w:sz w:val="24"/>
          <w:szCs w:val="24"/>
        </w:rPr>
      </w:pPr>
      <w:r w:rsidRPr="00EC52DB">
        <w:rPr>
          <w:rFonts w:ascii="Times New Roman" w:eastAsia="Times New Roman" w:hAnsi="Times New Roman"/>
          <w:sz w:val="24"/>
          <w:szCs w:val="24"/>
        </w:rPr>
        <w:t>That language sinks, rather than supports, Heckenbach's argument. No comparable language appears in the federal statute. The USERRA does not mention differential pay, let alone require public entities to pay it. The text of the state statute expressly requires differential pay, but the text of the federal statute does not. If anything, the foothold for differential pay in the state statute exposes the fact that there is no toehold for differential pay in the federal statute</w:t>
      </w:r>
      <w:r>
        <w:rPr>
          <w:rFonts w:ascii="Times New Roman" w:eastAsia="Times New Roman" w:hAnsi="Times New Roman"/>
          <w:sz w:val="24"/>
          <w:szCs w:val="24"/>
        </w:rPr>
        <w:t xml:space="preserve">.” </w:t>
      </w:r>
      <w:hyperlink r:id="rId1879" w:history="1">
        <w:r w:rsidRPr="00141589">
          <w:rPr>
            <w:rStyle w:val="Hyperlink"/>
            <w:rFonts w:ascii="Times New Roman" w:eastAsia="Times New Roman" w:hAnsi="Times New Roman"/>
            <w:sz w:val="24"/>
            <w:szCs w:val="24"/>
          </w:rPr>
          <w:t>https://public.fastcase.com/Wl%2B2t%2BeVuI35%2FN70vAMFZpdjKXDmRY5LJSAOUJ86zVs5waUL1YS3yBNtSKE8F5Gl</w:t>
        </w:r>
      </w:hyperlink>
      <w:r>
        <w:rPr>
          <w:rFonts w:ascii="Times New Roman" w:eastAsia="Times New Roman" w:hAnsi="Times New Roman"/>
          <w:sz w:val="24"/>
          <w:szCs w:val="24"/>
        </w:rPr>
        <w:t xml:space="preserve"> </w:t>
      </w:r>
    </w:p>
    <w:p w14:paraId="01FB70B4" w14:textId="77777777" w:rsidR="00D4542A" w:rsidRPr="004D5BFC" w:rsidRDefault="00D4542A" w:rsidP="00D4542A">
      <w:pPr>
        <w:spacing w:before="100" w:beforeAutospacing="1" w:after="100" w:afterAutospacing="1" w:line="240" w:lineRule="auto"/>
        <w:rPr>
          <w:rFonts w:ascii="Times New Roman" w:hAnsi="Times New Roman"/>
          <w:b/>
          <w:bCs/>
          <w:sz w:val="24"/>
          <w:szCs w:val="24"/>
        </w:rPr>
      </w:pPr>
      <w:r w:rsidRPr="00C63CA5">
        <w:rPr>
          <w:rFonts w:ascii="Times New Roman" w:hAnsi="Times New Roman"/>
          <w:b/>
          <w:bCs/>
          <w:sz w:val="24"/>
          <w:szCs w:val="24"/>
        </w:rPr>
        <w:t>Legal Lessons Learned</w:t>
      </w:r>
      <w:r w:rsidRPr="004D5BFC">
        <w:rPr>
          <w:rFonts w:ascii="Times New Roman" w:hAnsi="Times New Roman"/>
          <w:b/>
          <w:bCs/>
          <w:sz w:val="24"/>
          <w:szCs w:val="24"/>
        </w:rPr>
        <w:t xml:space="preserve">: USERRA provides for </w:t>
      </w:r>
      <w:proofErr w:type="gramStart"/>
      <w:r w:rsidRPr="004D5BFC">
        <w:rPr>
          <w:rFonts w:ascii="Times New Roman" w:hAnsi="Times New Roman"/>
          <w:b/>
          <w:bCs/>
          <w:i/>
          <w:iCs/>
          <w:sz w:val="24"/>
          <w:szCs w:val="24"/>
        </w:rPr>
        <w:t>unpaid</w:t>
      </w:r>
      <w:proofErr w:type="gramEnd"/>
      <w:r w:rsidRPr="004D5BFC">
        <w:rPr>
          <w:rFonts w:ascii="Times New Roman" w:hAnsi="Times New Roman"/>
          <w:b/>
          <w:bCs/>
          <w:sz w:val="24"/>
          <w:szCs w:val="24"/>
        </w:rPr>
        <w:t xml:space="preserve"> but job protected leave for service in the uniformed services. </w:t>
      </w:r>
      <w:r>
        <w:rPr>
          <w:rFonts w:ascii="Times New Roman" w:hAnsi="Times New Roman"/>
          <w:b/>
          <w:bCs/>
          <w:sz w:val="24"/>
          <w:szCs w:val="24"/>
        </w:rPr>
        <w:t xml:space="preserve"> If you are in the Reserves, keep your FD well informed when you </w:t>
      </w:r>
      <w:proofErr w:type="gramStart"/>
      <w:r>
        <w:rPr>
          <w:rFonts w:ascii="Times New Roman" w:hAnsi="Times New Roman"/>
          <w:b/>
          <w:bCs/>
          <w:sz w:val="24"/>
          <w:szCs w:val="24"/>
        </w:rPr>
        <w:t>will be</w:t>
      </w:r>
      <w:proofErr w:type="gramEnd"/>
      <w:r>
        <w:rPr>
          <w:rFonts w:ascii="Times New Roman" w:hAnsi="Times New Roman"/>
          <w:b/>
          <w:bCs/>
          <w:sz w:val="24"/>
          <w:szCs w:val="24"/>
        </w:rPr>
        <w:t xml:space="preserve"> on military duty. </w:t>
      </w:r>
    </w:p>
    <w:p w14:paraId="261F693B" w14:textId="77777777" w:rsidR="00D4542A" w:rsidRDefault="00D4542A" w:rsidP="00D4542A">
      <w:pPr>
        <w:pStyle w:val="Heading1"/>
        <w:ind w:left="720"/>
        <w:rPr>
          <w:b w:val="0"/>
          <w:bCs w:val="0"/>
          <w:sz w:val="24"/>
          <w:szCs w:val="24"/>
        </w:rPr>
      </w:pPr>
      <w:r w:rsidRPr="000A6F2D">
        <w:rPr>
          <w:b w:val="0"/>
          <w:bCs w:val="0"/>
          <w:sz w:val="24"/>
          <w:szCs w:val="24"/>
        </w:rPr>
        <w:t xml:space="preserve">See </w:t>
      </w:r>
      <w:r>
        <w:rPr>
          <w:b w:val="0"/>
          <w:bCs w:val="0"/>
          <w:sz w:val="24"/>
          <w:szCs w:val="24"/>
        </w:rPr>
        <w:t xml:space="preserve">Sept. 23, </w:t>
      </w:r>
      <w:proofErr w:type="gramStart"/>
      <w:r>
        <w:rPr>
          <w:b w:val="0"/>
          <w:bCs w:val="0"/>
          <w:sz w:val="24"/>
          <w:szCs w:val="24"/>
        </w:rPr>
        <w:t>2019</w:t>
      </w:r>
      <w:proofErr w:type="gramEnd"/>
      <w:r>
        <w:rPr>
          <w:b w:val="0"/>
          <w:bCs w:val="0"/>
          <w:sz w:val="24"/>
          <w:szCs w:val="24"/>
        </w:rPr>
        <w:t xml:space="preserve"> </w:t>
      </w:r>
      <w:r w:rsidRPr="000A6F2D">
        <w:rPr>
          <w:b w:val="0"/>
          <w:bCs w:val="0"/>
          <w:sz w:val="24"/>
          <w:szCs w:val="24"/>
        </w:rPr>
        <w:t xml:space="preserve">TV news story interviewing plaintiff: </w:t>
      </w:r>
      <w:r>
        <w:rPr>
          <w:b w:val="0"/>
          <w:bCs w:val="0"/>
          <w:sz w:val="24"/>
          <w:szCs w:val="24"/>
        </w:rPr>
        <w:t>“</w:t>
      </w:r>
      <w:r w:rsidRPr="000A6F2D">
        <w:rPr>
          <w:b w:val="0"/>
          <w:bCs w:val="0"/>
          <w:sz w:val="24"/>
          <w:szCs w:val="24"/>
        </w:rPr>
        <w:t>Army Reservist Sues Suburban Fire District for Alleged Retaliation</w:t>
      </w:r>
      <w:r>
        <w:rPr>
          <w:b w:val="0"/>
          <w:bCs w:val="0"/>
          <w:sz w:val="24"/>
          <w:szCs w:val="24"/>
        </w:rPr>
        <w:t xml:space="preserve">.” </w:t>
      </w:r>
      <w:r w:rsidRPr="000A6F2D">
        <w:rPr>
          <w:b w:val="0"/>
          <w:bCs w:val="0"/>
          <w:sz w:val="24"/>
          <w:szCs w:val="24"/>
        </w:rPr>
        <w:t xml:space="preserve"> </w:t>
      </w:r>
      <w:hyperlink r:id="rId1880" w:history="1">
        <w:r w:rsidRPr="000A6F2D">
          <w:rPr>
            <w:rStyle w:val="Hyperlink"/>
            <w:b w:val="0"/>
            <w:bCs w:val="0"/>
            <w:sz w:val="24"/>
            <w:szCs w:val="24"/>
          </w:rPr>
          <w:t>https://www.nbcchicago.com/news/local/reservist-sues-civilian-employer-nbc-investigates/153292/</w:t>
        </w:r>
      </w:hyperlink>
      <w:r w:rsidRPr="000A6F2D">
        <w:rPr>
          <w:b w:val="0"/>
          <w:bCs w:val="0"/>
          <w:sz w:val="24"/>
          <w:szCs w:val="24"/>
        </w:rPr>
        <w:t xml:space="preserve"> </w:t>
      </w:r>
    </w:p>
    <w:p w14:paraId="1E14CCFC" w14:textId="77777777" w:rsidR="00D4542A" w:rsidRPr="00C63CA5" w:rsidRDefault="00D4542A" w:rsidP="00D4542A">
      <w:pPr>
        <w:spacing w:before="100" w:beforeAutospacing="1" w:after="100" w:afterAutospacing="1" w:line="240" w:lineRule="auto"/>
        <w:ind w:left="720"/>
        <w:rPr>
          <w:rFonts w:ascii="Times New Roman" w:eastAsia="Times New Roman" w:hAnsi="Times New Roman"/>
          <w:b/>
          <w:bCs/>
          <w:sz w:val="24"/>
          <w:szCs w:val="24"/>
        </w:rPr>
      </w:pPr>
      <w:r w:rsidRPr="00711F3A">
        <w:rPr>
          <w:rFonts w:ascii="Times New Roman" w:hAnsi="Times New Roman"/>
          <w:sz w:val="24"/>
          <w:szCs w:val="24"/>
        </w:rPr>
        <w:t>See this July 2016 Law Review article</w:t>
      </w:r>
      <w:r>
        <w:rPr>
          <w:rFonts w:ascii="Times New Roman" w:hAnsi="Times New Roman"/>
          <w:sz w:val="24"/>
          <w:szCs w:val="24"/>
        </w:rPr>
        <w:t xml:space="preserve"> concerning lawsuit by Indianapolis firefighters who were in the Reserves</w:t>
      </w:r>
      <w:r w:rsidRPr="00711F3A">
        <w:rPr>
          <w:rFonts w:ascii="Times New Roman" w:hAnsi="Times New Roman"/>
          <w:sz w:val="24"/>
          <w:szCs w:val="24"/>
        </w:rPr>
        <w:t>:</w:t>
      </w:r>
      <w:r w:rsidRPr="00711F3A">
        <w:rPr>
          <w:rFonts w:ascii="Times New Roman" w:hAnsi="Times New Roman"/>
          <w:b/>
          <w:bCs/>
          <w:sz w:val="24"/>
          <w:szCs w:val="24"/>
        </w:rPr>
        <w:t xml:space="preserve"> </w:t>
      </w:r>
      <w:r>
        <w:rPr>
          <w:rFonts w:ascii="Times New Roman" w:hAnsi="Times New Roman"/>
          <w:b/>
          <w:bCs/>
          <w:sz w:val="24"/>
          <w:szCs w:val="24"/>
        </w:rPr>
        <w:t>“</w:t>
      </w:r>
      <w:r w:rsidRPr="00711F3A">
        <w:rPr>
          <w:rFonts w:ascii="Times New Roman" w:hAnsi="Times New Roman"/>
          <w:sz w:val="24"/>
          <w:szCs w:val="24"/>
        </w:rPr>
        <w:t>Right to Paid Military Leave Is a Matter of State Law, not USERRA</w:t>
      </w:r>
      <w:r>
        <w:rPr>
          <w:rFonts w:ascii="Times New Roman" w:hAnsi="Times New Roman"/>
          <w:sz w:val="24"/>
          <w:szCs w:val="24"/>
        </w:rPr>
        <w:t xml:space="preserve">.” </w:t>
      </w:r>
      <w:r w:rsidRPr="00711F3A">
        <w:rPr>
          <w:rFonts w:ascii="Times New Roman" w:hAnsi="Times New Roman"/>
          <w:sz w:val="24"/>
          <w:szCs w:val="24"/>
        </w:rPr>
        <w:t xml:space="preserve"> </w:t>
      </w:r>
      <w:hyperlink r:id="rId1881" w:history="1">
        <w:r w:rsidRPr="00711F3A">
          <w:rPr>
            <w:rStyle w:val="Hyperlink"/>
            <w:rFonts w:ascii="Times New Roman" w:hAnsi="Times New Roman"/>
            <w:sz w:val="24"/>
            <w:szCs w:val="24"/>
          </w:rPr>
          <w:t>https://cdn.ymaws.com/www.roa.org/resource/resmgr/LawReviews/2016/16065-LR.pdf</w:t>
        </w:r>
      </w:hyperlink>
      <w:r w:rsidRPr="00711F3A">
        <w:rPr>
          <w:rFonts w:ascii="Times New Roman" w:hAnsi="Times New Roman"/>
          <w:sz w:val="24"/>
          <w:szCs w:val="24"/>
        </w:rPr>
        <w:t xml:space="preserve"> </w:t>
      </w:r>
    </w:p>
    <w:p w14:paraId="1F08B425" w14:textId="77777777" w:rsidR="00D4542A" w:rsidRPr="00894498" w:rsidRDefault="00D4542A" w:rsidP="00D4542A">
      <w:pPr>
        <w:pStyle w:val="Heading1"/>
        <w:ind w:left="720"/>
        <w:rPr>
          <w:b w:val="0"/>
          <w:bCs w:val="0"/>
          <w:sz w:val="24"/>
          <w:szCs w:val="24"/>
        </w:rPr>
      </w:pPr>
      <w:r w:rsidRPr="00894498">
        <w:rPr>
          <w:b w:val="0"/>
          <w:bCs w:val="0"/>
          <w:sz w:val="24"/>
          <w:szCs w:val="24"/>
        </w:rPr>
        <w:t>Miller v. City of Indianapolis, 281 F.3d 648(7</w:t>
      </w:r>
      <w:r w:rsidRPr="00894498">
        <w:rPr>
          <w:b w:val="0"/>
          <w:bCs w:val="0"/>
          <w:sz w:val="24"/>
          <w:szCs w:val="24"/>
          <w:vertAlign w:val="superscript"/>
        </w:rPr>
        <w:t>th</w:t>
      </w:r>
      <w:r w:rsidRPr="00894498">
        <w:rPr>
          <w:b w:val="0"/>
          <w:bCs w:val="0"/>
          <w:sz w:val="24"/>
          <w:szCs w:val="24"/>
        </w:rPr>
        <w:t xml:space="preserve"> Cir. 2002): </w:t>
      </w:r>
      <w:hyperlink r:id="rId1882" w:history="1">
        <w:r w:rsidRPr="00894498">
          <w:rPr>
            <w:rStyle w:val="Hyperlink"/>
            <w:b w:val="0"/>
            <w:bCs w:val="0"/>
            <w:sz w:val="24"/>
            <w:szCs w:val="24"/>
          </w:rPr>
          <w:t>https://casetext.com/case/miller-v-city-of-indianapolis</w:t>
        </w:r>
      </w:hyperlink>
      <w:r w:rsidRPr="00894498">
        <w:rPr>
          <w:b w:val="0"/>
          <w:bCs w:val="0"/>
          <w:sz w:val="24"/>
          <w:szCs w:val="24"/>
        </w:rPr>
        <w:t xml:space="preserve"> </w:t>
      </w:r>
    </w:p>
    <w:p w14:paraId="70F55BF9" w14:textId="77777777" w:rsidR="00D4542A" w:rsidRDefault="00D4542A" w:rsidP="00F326E5">
      <w:pPr>
        <w:rPr>
          <w:rFonts w:ascii="Arial Black" w:hAnsi="Arial Black"/>
          <w:b/>
          <w:sz w:val="24"/>
          <w:szCs w:val="24"/>
        </w:rPr>
      </w:pPr>
    </w:p>
    <w:p w14:paraId="2DB64D01" w14:textId="77777777" w:rsidR="00D4542A" w:rsidRDefault="00D4542A" w:rsidP="00F326E5">
      <w:pPr>
        <w:rPr>
          <w:rFonts w:ascii="Arial Black" w:hAnsi="Arial Black"/>
          <w:b/>
          <w:sz w:val="24"/>
          <w:szCs w:val="24"/>
        </w:rPr>
      </w:pPr>
    </w:p>
    <w:p w14:paraId="46E95E2E" w14:textId="77777777" w:rsidR="00D4542A" w:rsidRDefault="00D4542A" w:rsidP="00F326E5">
      <w:pPr>
        <w:rPr>
          <w:rFonts w:ascii="Arial Black" w:hAnsi="Arial Black"/>
          <w:b/>
          <w:sz w:val="24"/>
          <w:szCs w:val="24"/>
        </w:rPr>
      </w:pPr>
    </w:p>
    <w:p w14:paraId="796AA3A8" w14:textId="77777777" w:rsidR="00D4542A" w:rsidRDefault="00D4542A" w:rsidP="00F326E5">
      <w:pPr>
        <w:rPr>
          <w:rFonts w:ascii="Arial Black" w:hAnsi="Arial Black"/>
          <w:b/>
          <w:sz w:val="24"/>
          <w:szCs w:val="24"/>
        </w:rPr>
      </w:pPr>
    </w:p>
    <w:p w14:paraId="0E2202D7" w14:textId="58181084" w:rsidR="00B532F6" w:rsidRDefault="00B532F6" w:rsidP="00F326E5">
      <w:pPr>
        <w:rPr>
          <w:rFonts w:ascii="Arial Black" w:hAnsi="Arial Black"/>
          <w:b/>
          <w:sz w:val="24"/>
          <w:szCs w:val="24"/>
        </w:rPr>
      </w:pPr>
      <w:r>
        <w:rPr>
          <w:rFonts w:ascii="Arial Black" w:hAnsi="Arial Black"/>
          <w:b/>
          <w:sz w:val="24"/>
          <w:szCs w:val="24"/>
        </w:rPr>
        <w:t>11-</w:t>
      </w:r>
      <w:r w:rsidR="00B13773">
        <w:rPr>
          <w:rFonts w:ascii="Arial Black" w:hAnsi="Arial Black"/>
          <w:b/>
          <w:sz w:val="24"/>
          <w:szCs w:val="24"/>
        </w:rPr>
        <w:t>20</w:t>
      </w:r>
    </w:p>
    <w:p w14:paraId="3F16C831" w14:textId="77777777" w:rsidR="00B532F6" w:rsidRPr="007444E2" w:rsidRDefault="00B532F6" w:rsidP="00B532F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TX: DALLAS / FORT WORTH AIRPORT FD – CROSS-TRAINED PERSONNEL IN EMS DIVISION ONLY DID EMS DUTIES - OVERTIME AFTER 40 HOURS </w:t>
      </w:r>
    </w:p>
    <w:p w14:paraId="680AE28E" w14:textId="77777777" w:rsidR="00B532F6" w:rsidRDefault="00B532F6" w:rsidP="00B532F6">
      <w:pPr>
        <w:tabs>
          <w:tab w:val="left" w:pos="2970"/>
        </w:tabs>
        <w:spacing w:before="100" w:beforeAutospacing="1" w:after="100" w:afterAutospacing="1" w:line="240" w:lineRule="auto"/>
        <w:rPr>
          <w:rFonts w:ascii="Times New Roman" w:eastAsia="Times New Roman" w:hAnsi="Times New Roman"/>
          <w:sz w:val="24"/>
          <w:szCs w:val="24"/>
        </w:rPr>
      </w:pPr>
      <w:r w:rsidRPr="00D617B8">
        <w:rPr>
          <w:rFonts w:ascii="Times New Roman" w:eastAsia="Times New Roman" w:hAnsi="Times New Roman"/>
          <w:sz w:val="24"/>
          <w:szCs w:val="24"/>
        </w:rPr>
        <w:t xml:space="preserve">On Sept. 28, 2020, in </w:t>
      </w:r>
      <w:r w:rsidRPr="00D617B8">
        <w:rPr>
          <w:rFonts w:ascii="Times New Roman" w:eastAsia="Times New Roman" w:hAnsi="Times New Roman"/>
          <w:sz w:val="24"/>
          <w:szCs w:val="24"/>
          <w:u w:val="single"/>
        </w:rPr>
        <w:t>Douglas Patterson, et al. v. Dallas/Fort Worth International Airport Board</w:t>
      </w:r>
      <w:r>
        <w:rPr>
          <w:rFonts w:ascii="Times New Roman" w:eastAsia="Times New Roman" w:hAnsi="Times New Roman"/>
          <w:sz w:val="24"/>
          <w:szCs w:val="24"/>
        </w:rPr>
        <w:t xml:space="preserve">, U.S. District Court Judge Ada Brown held that the FD failed to prove that the cross-trained EMS Division personnel ever engaged in firefighting in 3 years prior to the 2019 merger of EMS and Fire Service Divisions; only two of EMS personnel engaged in live fire training, and SOG for EMS Division had no firefighting responsibilities.  Court granted Summary Judgment to the </w:t>
      </w:r>
      <w:proofErr w:type="gramStart"/>
      <w:r>
        <w:rPr>
          <w:rFonts w:ascii="Times New Roman" w:eastAsia="Times New Roman" w:hAnsi="Times New Roman"/>
          <w:sz w:val="24"/>
          <w:szCs w:val="24"/>
        </w:rPr>
        <w:t>plaintiffs</w:t>
      </w:r>
      <w:proofErr w:type="gramEnd"/>
      <w:r>
        <w:rPr>
          <w:rFonts w:ascii="Times New Roman" w:eastAsia="Times New Roman" w:hAnsi="Times New Roman"/>
          <w:sz w:val="24"/>
          <w:szCs w:val="24"/>
        </w:rPr>
        <w:t xml:space="preserve"> and they are entitled to overtime after 40 hours, with back pay for 2 years; not 3 years and not liquidated damages [back pay doubled] since FD acted in good faith. 29 USC 260: </w:t>
      </w:r>
      <w:hyperlink r:id="rId1883" w:history="1">
        <w:r w:rsidRPr="00141589">
          <w:rPr>
            <w:rStyle w:val="Hyperlink"/>
            <w:rFonts w:ascii="Times New Roman" w:eastAsia="Times New Roman" w:hAnsi="Times New Roman"/>
            <w:sz w:val="24"/>
            <w:szCs w:val="24"/>
          </w:rPr>
          <w:t>https://www.law.cornell.edu/uscode/text/29/260</w:t>
        </w:r>
      </w:hyperlink>
      <w:r>
        <w:rPr>
          <w:rFonts w:ascii="Times New Roman" w:eastAsia="Times New Roman" w:hAnsi="Times New Roman"/>
          <w:sz w:val="24"/>
          <w:szCs w:val="24"/>
        </w:rPr>
        <w:t xml:space="preserve">  </w:t>
      </w:r>
    </w:p>
    <w:p w14:paraId="04A24ADD" w14:textId="77777777" w:rsidR="00B532F6" w:rsidRDefault="00B532F6" w:rsidP="00B532F6">
      <w:pPr>
        <w:pStyle w:val="NormalWeb"/>
        <w:ind w:left="720"/>
      </w:pPr>
      <w:r>
        <w:t xml:space="preserve">“The fact that DFW required plaintiffs to hold firefighting certifications is some indication that they might be expected to engage in fire suppression. However, neither Chief McKinney's declaration nor any other evidence shows the circumstances, other than the odd training exercise, under which plaintiffs might have been required to engage in fire suppression prior to this lawsuit being </w:t>
      </w:r>
      <w:proofErr w:type="spellStart"/>
      <w:r>
        <w:t>filed.</w:t>
      </w:r>
      <w:bookmarkStart w:id="391" w:name="fn10"/>
      <w:r>
        <w:rPr>
          <w:sz w:val="20"/>
          <w:szCs w:val="20"/>
          <w:vertAlign w:val="superscript"/>
        </w:rPr>
        <w:fldChar w:fldCharType="begin"/>
      </w:r>
      <w:r>
        <w:rPr>
          <w:sz w:val="20"/>
          <w:szCs w:val="20"/>
          <w:vertAlign w:val="superscript"/>
        </w:rPr>
        <w:instrText xml:space="preserve"> HYPERLINK "https://public.fastcase.com/" \l "fr10" </w:instrText>
      </w:r>
      <w:r>
        <w:rPr>
          <w:sz w:val="20"/>
          <w:szCs w:val="20"/>
          <w:vertAlign w:val="superscript"/>
        </w:rPr>
      </w:r>
      <w:r>
        <w:rPr>
          <w:sz w:val="20"/>
          <w:szCs w:val="20"/>
          <w:vertAlign w:val="superscript"/>
        </w:rPr>
        <w:fldChar w:fldCharType="separate"/>
      </w:r>
      <w:r w:rsidR="00814FB6">
        <w:rPr>
          <w:rStyle w:val="Hyperlink"/>
          <w:rFonts w:ascii="Calibri" w:eastAsia="Calibri" w:hAnsi="Calibri"/>
          <w:sz w:val="22"/>
          <w:szCs w:val="22"/>
        </w:rPr>
        <w:t>https</w:t>
      </w:r>
      <w:proofErr w:type="spellEnd"/>
      <w:r w:rsidR="00814FB6">
        <w:rPr>
          <w:rStyle w:val="Hyperlink"/>
          <w:rFonts w:ascii="Calibri" w:eastAsia="Calibri" w:hAnsi="Calibri"/>
          <w:sz w:val="22"/>
          <w:szCs w:val="22"/>
        </w:rPr>
        <w:t>://public.fastcase.com/ - fr10</w:t>
      </w:r>
      <w:r>
        <w:rPr>
          <w:sz w:val="20"/>
          <w:szCs w:val="20"/>
          <w:vertAlign w:val="superscript"/>
        </w:rPr>
        <w:fldChar w:fldCharType="end"/>
      </w:r>
      <w:bookmarkEnd w:id="391"/>
      <w:r>
        <w:rPr>
          <w:sz w:val="20"/>
          <w:szCs w:val="20"/>
          <w:vertAlign w:val="superscript"/>
        </w:rPr>
        <w:t xml:space="preserve"> </w:t>
      </w:r>
      <w:r>
        <w:t xml:space="preserve">  Instead, they were assigned exclusively to MICUs or Trauma Unit 611, neither of which held any fire rescue or firefighting equipment. They were not dispatched to every fire incident and did not wear their bunker gear when responding to calls. Perhaps most importantly, the SOP setting out their procedures and responsibilities made no reference to fire suppression. Nor is there any evidence that plaintiffs would be disciplined for failing to engage in fire </w:t>
      </w:r>
      <w:r>
        <w:lastRenderedPageBreak/>
        <w:t>suppression. Without more, the Court finds DFW has not met its burden to show, or raised a genuine issue of material fact, that plaintiffs had even a forward-looking obligation or responsibility to engage in fire suppression as EMS division Firefighters before this suit was filed.</w:t>
      </w:r>
      <w:r>
        <w:rPr>
          <w:sz w:val="20"/>
          <w:szCs w:val="20"/>
          <w:vertAlign w:val="superscript"/>
        </w:rPr>
        <w:t xml:space="preserve">  </w:t>
      </w:r>
      <w:r>
        <w:rPr>
          <w:i/>
          <w:iCs/>
        </w:rPr>
        <w:t xml:space="preserve"> Compare Regan v</w:t>
      </w:r>
      <w:r>
        <w:t xml:space="preserve">. </w:t>
      </w:r>
      <w:r>
        <w:rPr>
          <w:i/>
          <w:iCs/>
        </w:rPr>
        <w:t>City of Hanahan</w:t>
      </w:r>
      <w:r>
        <w:t xml:space="preserve">, No. 02-16-cv-1077-RMG, 2017 WL 2303504, at *3 (D.S.C. May 26, 2017) (plaintiffs, who were almost always assigned to ambulances but, at various times, were assigned to fire trucks, were employees in fire protection activities). Accordingly, plaintiffs are entitled to summary judgment that they were not employees in fire protection </w:t>
      </w:r>
      <w:proofErr w:type="gramStart"/>
      <w:r>
        <w:t>activities</w:t>
      </w:r>
      <w:proofErr w:type="gramEnd"/>
      <w:r>
        <w:t xml:space="preserve"> and the section 207(k) exemption does not apply.” </w:t>
      </w:r>
      <w:hyperlink r:id="rId1884" w:history="1">
        <w:r w:rsidRPr="00141589">
          <w:rPr>
            <w:rStyle w:val="Hyperlink"/>
          </w:rPr>
          <w:t>https://public.fastcase.com/Wl%2B2t%2BeVuI35%2FN70vAMFZsSjCAViXICEJmEyj88%2Bo6FVmb%2F3MefopOCGEPTmoSc%2F</w:t>
        </w:r>
      </w:hyperlink>
      <w:r>
        <w:t xml:space="preserve"> </w:t>
      </w:r>
    </w:p>
    <w:p w14:paraId="5E20673F" w14:textId="77777777" w:rsidR="00B532F6" w:rsidRDefault="00B532F6" w:rsidP="00B532F6">
      <w:pPr>
        <w:pStyle w:val="NormalWeb"/>
        <w:rPr>
          <w:b/>
          <w:bCs/>
        </w:rPr>
      </w:pPr>
      <w:r w:rsidRPr="00E91965">
        <w:rPr>
          <w:b/>
          <w:bCs/>
        </w:rPr>
        <w:t>Legal Lessons Learned:</w:t>
      </w:r>
      <w:r>
        <w:rPr>
          <w:b/>
          <w:bCs/>
        </w:rPr>
        <w:t xml:space="preserve">  The FD may appeal this decision.  As the Trial Court judge acknowledged in this case, there are several Federal Courts of Appeal that have held that FD personnel who are trained as both EMS and firefighters (“cross trained”), but assigned only to EMS duties, are “firefighters” under the 207(k) exemption. </w:t>
      </w:r>
    </w:p>
    <w:p w14:paraId="1C25B701" w14:textId="77777777" w:rsidR="00B532F6" w:rsidRPr="00E91965" w:rsidRDefault="00B532F6" w:rsidP="00B532F6">
      <w:pPr>
        <w:pStyle w:val="NormalWeb"/>
        <w:ind w:left="720"/>
        <w:rPr>
          <w:b/>
          <w:bCs/>
        </w:rPr>
      </w:pPr>
      <w:r>
        <w:t xml:space="preserve">Note: The Court denied summary judgment to plaintiffs on issue of bonus payments; this will be decided in future proceedings. The </w:t>
      </w:r>
      <w:proofErr w:type="gramStart"/>
      <w:r>
        <w:t>plaintiffs’</w:t>
      </w:r>
      <w:proofErr w:type="gramEnd"/>
      <w:r>
        <w:t xml:space="preserve"> in their 2018 Complaint allege that bonuses were not included in their “regular rate” of pay when calculating overtime pay.</w:t>
      </w:r>
    </w:p>
    <w:p w14:paraId="6DEA500B" w14:textId="77777777" w:rsidR="00B532F6" w:rsidRPr="00EC52DB" w:rsidRDefault="00B532F6" w:rsidP="00B532F6">
      <w:pPr>
        <w:spacing w:before="100" w:beforeAutospacing="1" w:after="100" w:afterAutospacing="1" w:line="240" w:lineRule="auto"/>
        <w:ind w:left="1440"/>
        <w:rPr>
          <w:rFonts w:ascii="Times New Roman" w:eastAsia="Times New Roman" w:hAnsi="Times New Roman"/>
          <w:sz w:val="24"/>
          <w:szCs w:val="24"/>
        </w:rPr>
      </w:pPr>
      <w:r w:rsidRPr="006B7587">
        <w:rPr>
          <w:rFonts w:ascii="Times New Roman" w:hAnsi="Times New Roman"/>
          <w:sz w:val="24"/>
          <w:szCs w:val="24"/>
        </w:rPr>
        <w:t>56.</w:t>
      </w:r>
      <w:r>
        <w:rPr>
          <w:rFonts w:ascii="Times New Roman" w:hAnsi="Times New Roman"/>
          <w:sz w:val="24"/>
          <w:szCs w:val="24"/>
        </w:rPr>
        <w:t xml:space="preserve"> </w:t>
      </w:r>
      <w:r w:rsidRPr="006B7587">
        <w:rPr>
          <w:rFonts w:ascii="Times New Roman" w:hAnsi="Times New Roman"/>
          <w:sz w:val="24"/>
          <w:szCs w:val="24"/>
        </w:rPr>
        <w:t>Plaintiff and Class Members’ regular rate must include all compensation, bonuses, and other remuneration paid by Defendant</w:t>
      </w:r>
      <w:r>
        <w:rPr>
          <w:rFonts w:ascii="Times New Roman" w:hAnsi="Times New Roman"/>
          <w:sz w:val="24"/>
          <w:szCs w:val="24"/>
        </w:rPr>
        <w:t xml:space="preserve"> </w:t>
      </w:r>
      <w:r w:rsidRPr="006B7587">
        <w:rPr>
          <w:rFonts w:ascii="Times New Roman" w:hAnsi="Times New Roman"/>
          <w:sz w:val="24"/>
          <w:szCs w:val="24"/>
        </w:rPr>
        <w:t xml:space="preserve">for purposes of calculating the overtime rate. See 29 C.F.R. 778.208. Defendant has failed to include all bonuses </w:t>
      </w:r>
      <w:proofErr w:type="gramStart"/>
      <w:r w:rsidRPr="006B7587">
        <w:rPr>
          <w:rFonts w:ascii="Times New Roman" w:hAnsi="Times New Roman"/>
          <w:sz w:val="24"/>
          <w:szCs w:val="24"/>
        </w:rPr>
        <w:t>into</w:t>
      </w:r>
      <w:proofErr w:type="gramEnd"/>
      <w:r w:rsidRPr="006B7587">
        <w:rPr>
          <w:rFonts w:ascii="Times New Roman" w:hAnsi="Times New Roman"/>
          <w:sz w:val="24"/>
          <w:szCs w:val="24"/>
        </w:rPr>
        <w:t xml:space="preserve"> the regular rate for purposes of calculating the overtime premium rate.</w:t>
      </w:r>
      <w:r>
        <w:rPr>
          <w:rFonts w:ascii="Times New Roman" w:hAnsi="Times New Roman"/>
          <w:sz w:val="24"/>
          <w:szCs w:val="24"/>
        </w:rPr>
        <w:t xml:space="preserve"> </w:t>
      </w:r>
      <w:hyperlink r:id="rId1885" w:history="1">
        <w:r w:rsidRPr="00EC52DB">
          <w:rPr>
            <w:rStyle w:val="Hyperlink"/>
            <w:rFonts w:ascii="Times New Roman" w:hAnsi="Times New Roman"/>
            <w:sz w:val="24"/>
            <w:szCs w:val="24"/>
          </w:rPr>
          <w:t>http://www.firefighterovertime.org/wp-content/uploads/2018/03/DFW-FLSA-Complaint-2018.pdf</w:t>
        </w:r>
      </w:hyperlink>
      <w:r w:rsidRPr="00EC52DB">
        <w:rPr>
          <w:rFonts w:ascii="Times New Roman" w:eastAsia="Times New Roman" w:hAnsi="Times New Roman"/>
          <w:sz w:val="24"/>
          <w:szCs w:val="24"/>
        </w:rPr>
        <w:t xml:space="preserve">  </w:t>
      </w:r>
    </w:p>
    <w:p w14:paraId="510D960E" w14:textId="77777777" w:rsidR="00B532F6" w:rsidRDefault="00B532F6" w:rsidP="00B532F6">
      <w:pPr>
        <w:pStyle w:val="NormalWeb"/>
        <w:ind w:left="720"/>
      </w:pPr>
      <w:r>
        <w:t xml:space="preserve">Court held:  Without any evidence on the issue, plaintiffs cannot be entitled to summary judgment. </w:t>
      </w:r>
      <w:r>
        <w:rPr>
          <w:i/>
          <w:iCs/>
        </w:rPr>
        <w:t>See</w:t>
      </w:r>
      <w:r>
        <w:t xml:space="preserve"> FED. R. CIV. P. 56(c). Further, DFW presented evidence that, where plaintiffs were entitled to overtime pay </w:t>
      </w:r>
      <w:proofErr w:type="gramStart"/>
      <w:r>
        <w:t>in a given</w:t>
      </w:r>
      <w:proofErr w:type="gramEnd"/>
      <w:r>
        <w:t xml:space="preserve"> pay period, they received an overtime adjustment to compensate them for the increased regular rate for that pay period based on incentive pay received (Doc. 65-30). Accordingly, the Court must deny plaintiffs' summary judgment motion on this ground. </w:t>
      </w:r>
    </w:p>
    <w:p w14:paraId="11426BD5" w14:textId="77777777" w:rsidR="00B532F6" w:rsidRDefault="00B532F6" w:rsidP="00B532F6">
      <w:pPr>
        <w:pStyle w:val="NormalWeb"/>
        <w:ind w:left="720"/>
      </w:pPr>
      <w:r>
        <w:t xml:space="preserve">Note – New DOL Rules On Regular Rate </w:t>
      </w:r>
      <w:proofErr w:type="gramStart"/>
      <w:r>
        <w:t>Of</w:t>
      </w:r>
      <w:proofErr w:type="gramEnd"/>
      <w:r>
        <w:t xml:space="preserve"> Pay</w:t>
      </w:r>
    </w:p>
    <w:p w14:paraId="3C2F8E90" w14:textId="77777777" w:rsidR="00B532F6" w:rsidRDefault="00B532F6" w:rsidP="00B532F6">
      <w:pPr>
        <w:pStyle w:val="NormalWeb"/>
        <w:ind w:left="720"/>
      </w:pPr>
      <w:r>
        <w:t>The U.S. Department of Labor, on Jan. 15, 2020, issued its “Final Rule” changes on items to be excluded from the “regular rate of pay.” “The final rule clarifies when payments for forgoing unused paid leave, payments for bona fide meal periods, reimbursements, benefit plan contributions, and certain ancillary benefits may be excluded from the regular rate.”</w:t>
      </w:r>
      <w:r w:rsidRPr="00EC52DB">
        <w:t xml:space="preserve"> </w:t>
      </w:r>
      <w:hyperlink r:id="rId1886" w:history="1">
        <w:r w:rsidRPr="00141589">
          <w:rPr>
            <w:rStyle w:val="Hyperlink"/>
          </w:rPr>
          <w:t>https://www.federalregister.gov/documents/2019/12/16/2019-26447/regular-rate-under-the-fair-labor-standards-act</w:t>
        </w:r>
      </w:hyperlink>
      <w:r>
        <w:t xml:space="preserve"> </w:t>
      </w:r>
    </w:p>
    <w:p w14:paraId="0CB962FA" w14:textId="77777777" w:rsidR="00B532F6" w:rsidRDefault="00B532F6" w:rsidP="00F326E5">
      <w:pPr>
        <w:rPr>
          <w:rFonts w:ascii="Arial Black" w:hAnsi="Arial Black"/>
          <w:b/>
          <w:sz w:val="24"/>
          <w:szCs w:val="24"/>
        </w:rPr>
      </w:pPr>
    </w:p>
    <w:p w14:paraId="56256694" w14:textId="77777777" w:rsidR="00B532F6" w:rsidRDefault="00B532F6" w:rsidP="00F326E5">
      <w:pPr>
        <w:rPr>
          <w:rFonts w:ascii="Arial Black" w:hAnsi="Arial Black"/>
          <w:b/>
          <w:sz w:val="24"/>
          <w:szCs w:val="24"/>
        </w:rPr>
      </w:pPr>
    </w:p>
    <w:p w14:paraId="041CA6C7" w14:textId="77777777" w:rsidR="00B532F6" w:rsidRDefault="00B532F6" w:rsidP="00F326E5">
      <w:pPr>
        <w:rPr>
          <w:rFonts w:ascii="Arial Black" w:hAnsi="Arial Black"/>
          <w:b/>
          <w:sz w:val="24"/>
          <w:szCs w:val="24"/>
        </w:rPr>
      </w:pPr>
    </w:p>
    <w:p w14:paraId="66CC5F95" w14:textId="604DB300" w:rsidR="00B532F6" w:rsidRDefault="00B532F6" w:rsidP="00F326E5">
      <w:pPr>
        <w:rPr>
          <w:rFonts w:ascii="Arial Black" w:hAnsi="Arial Black"/>
          <w:b/>
          <w:sz w:val="24"/>
          <w:szCs w:val="24"/>
        </w:rPr>
      </w:pPr>
      <w:r>
        <w:rPr>
          <w:rFonts w:ascii="Arial Black" w:hAnsi="Arial Black"/>
          <w:b/>
          <w:sz w:val="24"/>
          <w:szCs w:val="24"/>
        </w:rPr>
        <w:t>11-1</w:t>
      </w:r>
      <w:r w:rsidR="00B13773">
        <w:rPr>
          <w:rFonts w:ascii="Arial Black" w:hAnsi="Arial Black"/>
          <w:b/>
          <w:sz w:val="24"/>
          <w:szCs w:val="24"/>
        </w:rPr>
        <w:t>9</w:t>
      </w:r>
    </w:p>
    <w:p w14:paraId="3A450ABB" w14:textId="77777777" w:rsidR="00B532F6" w:rsidRPr="00D20EA3" w:rsidRDefault="00B532F6" w:rsidP="00B532F6">
      <w:pPr>
        <w:pStyle w:val="text"/>
        <w:rPr>
          <w:rFonts w:ascii="Arial Black" w:hAnsi="Arial Black"/>
          <w:sz w:val="28"/>
          <w:szCs w:val="28"/>
        </w:rPr>
      </w:pPr>
      <w:r w:rsidRPr="00D20EA3">
        <w:rPr>
          <w:rFonts w:ascii="Arial Black" w:hAnsi="Arial Black"/>
          <w:sz w:val="28"/>
          <w:szCs w:val="28"/>
        </w:rPr>
        <w:t xml:space="preserve">LA: </w:t>
      </w:r>
      <w:r>
        <w:rPr>
          <w:rFonts w:ascii="Arial Black" w:hAnsi="Arial Black"/>
          <w:sz w:val="28"/>
          <w:szCs w:val="28"/>
        </w:rPr>
        <w:t>CITY OWES $1.6 MILLION BACKPAY 32 FF – LONGEVITY - MUST WAIT FOR MUNICIPALITY TO RAISE $ THROUGH LEVY</w:t>
      </w:r>
    </w:p>
    <w:p w14:paraId="2CBC03AD" w14:textId="1A93435B" w:rsidR="00B532F6" w:rsidRPr="00B532F6" w:rsidRDefault="00B532F6" w:rsidP="00B532F6">
      <w:pPr>
        <w:rPr>
          <w:rStyle w:val="Hyperlink"/>
          <w:rFonts w:ascii="Times New Roman" w:hAnsi="Times New Roman"/>
          <w:sz w:val="24"/>
          <w:szCs w:val="24"/>
        </w:rPr>
      </w:pPr>
      <w:r w:rsidRPr="00B532F6">
        <w:rPr>
          <w:rFonts w:ascii="Times New Roman" w:hAnsi="Times New Roman"/>
          <w:sz w:val="24"/>
          <w:szCs w:val="24"/>
        </w:rPr>
        <w:lastRenderedPageBreak/>
        <w:t xml:space="preserve">On Sept. 23, 2020, in </w:t>
      </w:r>
      <w:r w:rsidRPr="00B532F6">
        <w:rPr>
          <w:rFonts w:ascii="Times New Roman" w:hAnsi="Times New Roman"/>
          <w:sz w:val="24"/>
          <w:szCs w:val="24"/>
          <w:u w:val="single"/>
        </w:rPr>
        <w:t>Arnold Lowther v. Town of Bastrop</w:t>
      </w:r>
      <w:r w:rsidRPr="00B532F6">
        <w:rPr>
          <w:rFonts w:ascii="Times New Roman" w:hAnsi="Times New Roman"/>
          <w:sz w:val="24"/>
          <w:szCs w:val="24"/>
        </w:rPr>
        <w:t xml:space="preserve">, the Court of Appeal, Second Circuit, State of Louisiana, held (3 to 0) that while the firefighters won their 2008 lawsuit in 2014, and trial court ordered the City and its fire department to enact a uniform pay plan, which the trial court approved with backpay from 2005. </w:t>
      </w:r>
      <w:proofErr w:type="gramStart"/>
      <w:r w:rsidRPr="00B532F6">
        <w:rPr>
          <w:rFonts w:ascii="Times New Roman" w:hAnsi="Times New Roman"/>
          <w:sz w:val="24"/>
          <w:szCs w:val="24"/>
        </w:rPr>
        <w:t>However</w:t>
      </w:r>
      <w:proofErr w:type="gramEnd"/>
      <w:r w:rsidRPr="00B532F6">
        <w:rPr>
          <w:rFonts w:ascii="Times New Roman" w:hAnsi="Times New Roman"/>
          <w:sz w:val="24"/>
          <w:szCs w:val="24"/>
        </w:rPr>
        <w:t xml:space="preserve"> under Louisiana law the courts cannot order municipality to create a deficit.  According to Press Reports, $1.6 million in back pay: “A recent judgement from a lawsuit dating back to 2005 under a </w:t>
      </w:r>
      <w:proofErr w:type="gramStart"/>
      <w:r w:rsidRPr="00B532F6">
        <w:rPr>
          <w:rFonts w:ascii="Times New Roman" w:hAnsi="Times New Roman"/>
          <w:sz w:val="24"/>
          <w:szCs w:val="24"/>
        </w:rPr>
        <w:t>prior administration mandates</w:t>
      </w:r>
      <w:proofErr w:type="gramEnd"/>
      <w:r w:rsidRPr="00B532F6">
        <w:rPr>
          <w:rFonts w:ascii="Times New Roman" w:hAnsi="Times New Roman"/>
          <w:sz w:val="24"/>
          <w:szCs w:val="24"/>
        </w:rPr>
        <w:t xml:space="preserve"> that the city must repay $1.6 million to 32 current and former firemen. The suit claimed city firemen weren't paid properly for their longevity, performance or responsibilities for </w:t>
      </w:r>
      <w:proofErr w:type="gramStart"/>
      <w:r w:rsidRPr="00B532F6">
        <w:rPr>
          <w:rFonts w:ascii="Times New Roman" w:hAnsi="Times New Roman"/>
          <w:sz w:val="24"/>
          <w:szCs w:val="24"/>
        </w:rPr>
        <w:t>a number of</w:t>
      </w:r>
      <w:proofErr w:type="gramEnd"/>
      <w:r w:rsidRPr="00B532F6">
        <w:rPr>
          <w:rFonts w:ascii="Times New Roman" w:hAnsi="Times New Roman"/>
          <w:sz w:val="24"/>
          <w:szCs w:val="24"/>
        </w:rPr>
        <w:t xml:space="preserve"> years. The problem Mayor Henry Cotton says is that the city doesn't have that kind of money, and needs a mill increase to do it. The proposal would be designated for 10 years to repay the debt.” </w:t>
      </w:r>
      <w:hyperlink r:id="rId1887" w:history="1">
        <w:r w:rsidRPr="00B532F6">
          <w:rPr>
            <w:rStyle w:val="Hyperlink"/>
            <w:rFonts w:ascii="Times New Roman" w:hAnsi="Times New Roman"/>
            <w:sz w:val="24"/>
            <w:szCs w:val="24"/>
          </w:rPr>
          <w:t>https://www.knoe.com/content/news/Bastrop-mayor-proposes-3-mill-increase-to-repay-debt-from-fireman-lawsuit-513531241.html</w:t>
        </w:r>
      </w:hyperlink>
    </w:p>
    <w:p w14:paraId="73D4612A" w14:textId="77777777" w:rsidR="00B532F6" w:rsidRPr="00A726BF" w:rsidRDefault="00B532F6" w:rsidP="00B532F6">
      <w:pPr>
        <w:pStyle w:val="Heading1"/>
        <w:tabs>
          <w:tab w:val="left" w:pos="2990"/>
        </w:tabs>
        <w:rPr>
          <w:sz w:val="24"/>
          <w:szCs w:val="24"/>
        </w:rPr>
      </w:pPr>
      <w:r w:rsidRPr="00A726BF">
        <w:rPr>
          <w:sz w:val="24"/>
          <w:szCs w:val="24"/>
        </w:rPr>
        <w:t xml:space="preserve">Legal Lessons Learned: </w:t>
      </w:r>
      <w:proofErr w:type="gramStart"/>
      <w:r>
        <w:rPr>
          <w:sz w:val="24"/>
          <w:szCs w:val="24"/>
        </w:rPr>
        <w:t>In order for</w:t>
      </w:r>
      <w:proofErr w:type="gramEnd"/>
      <w:r>
        <w:rPr>
          <w:sz w:val="24"/>
          <w:szCs w:val="24"/>
        </w:rPr>
        <w:t xml:space="preserve"> these 32 current and former fighters to collect on their judgment, they must wait for the City to raise the money.  </w:t>
      </w:r>
    </w:p>
    <w:p w14:paraId="1E8BCA16" w14:textId="77777777" w:rsidR="00B532F6" w:rsidRDefault="00B532F6" w:rsidP="00B532F6">
      <w:pPr>
        <w:rPr>
          <w:rFonts w:ascii="Arial Black" w:hAnsi="Arial Black"/>
          <w:b/>
          <w:sz w:val="24"/>
          <w:szCs w:val="24"/>
        </w:rPr>
      </w:pPr>
    </w:p>
    <w:p w14:paraId="62AA8F4D" w14:textId="77777777" w:rsidR="00B532F6" w:rsidRDefault="00B532F6" w:rsidP="00F326E5">
      <w:pPr>
        <w:rPr>
          <w:rFonts w:ascii="Arial Black" w:hAnsi="Arial Black"/>
          <w:b/>
          <w:sz w:val="24"/>
          <w:szCs w:val="24"/>
        </w:rPr>
      </w:pPr>
    </w:p>
    <w:p w14:paraId="2739EF99" w14:textId="77777777" w:rsidR="00B532F6" w:rsidRDefault="00B532F6" w:rsidP="00F326E5">
      <w:pPr>
        <w:rPr>
          <w:rFonts w:ascii="Arial Black" w:hAnsi="Arial Black"/>
          <w:b/>
          <w:sz w:val="24"/>
          <w:szCs w:val="24"/>
        </w:rPr>
      </w:pPr>
    </w:p>
    <w:p w14:paraId="5BE2659C" w14:textId="78540CB4" w:rsidR="00B532F6" w:rsidRDefault="00B532F6" w:rsidP="00F326E5">
      <w:pPr>
        <w:rPr>
          <w:rFonts w:ascii="Arial Black" w:hAnsi="Arial Black"/>
          <w:b/>
          <w:sz w:val="24"/>
          <w:szCs w:val="24"/>
        </w:rPr>
      </w:pPr>
      <w:r>
        <w:rPr>
          <w:rFonts w:ascii="Arial Black" w:hAnsi="Arial Black"/>
          <w:b/>
          <w:sz w:val="24"/>
          <w:szCs w:val="24"/>
        </w:rPr>
        <w:t>11-1</w:t>
      </w:r>
      <w:r w:rsidR="00B13773">
        <w:rPr>
          <w:rFonts w:ascii="Arial Black" w:hAnsi="Arial Black"/>
          <w:b/>
          <w:sz w:val="24"/>
          <w:szCs w:val="24"/>
        </w:rPr>
        <w:t>8</w:t>
      </w:r>
    </w:p>
    <w:p w14:paraId="5CC2291A" w14:textId="77777777" w:rsidR="00B532F6" w:rsidRDefault="00B532F6" w:rsidP="00B532F6">
      <w:pPr>
        <w:rPr>
          <w:rFonts w:ascii="Arial Black" w:hAnsi="Arial Black"/>
          <w:sz w:val="28"/>
          <w:szCs w:val="28"/>
        </w:rPr>
      </w:pPr>
      <w:r w:rsidRPr="00B42CBD">
        <w:rPr>
          <w:rFonts w:ascii="Arial Black" w:hAnsi="Arial Black"/>
          <w:sz w:val="28"/>
          <w:szCs w:val="28"/>
        </w:rPr>
        <w:t xml:space="preserve">IN: </w:t>
      </w:r>
      <w:r>
        <w:rPr>
          <w:rFonts w:ascii="Arial Black" w:hAnsi="Arial Black"/>
          <w:sz w:val="28"/>
          <w:szCs w:val="28"/>
        </w:rPr>
        <w:t xml:space="preserve">FLSA SETTLEMENT – CITY SETTLES WITH </w:t>
      </w:r>
      <w:r w:rsidRPr="00B42CBD">
        <w:rPr>
          <w:rFonts w:ascii="Arial Black" w:hAnsi="Arial Black"/>
          <w:sz w:val="28"/>
          <w:szCs w:val="28"/>
        </w:rPr>
        <w:t>15 FF</w:t>
      </w:r>
      <w:r>
        <w:rPr>
          <w:rFonts w:ascii="Arial Black" w:hAnsi="Arial Black"/>
          <w:sz w:val="28"/>
          <w:szCs w:val="28"/>
        </w:rPr>
        <w:t xml:space="preserve"> -</w:t>
      </w:r>
      <w:r w:rsidRPr="00B42CBD">
        <w:rPr>
          <w:rFonts w:ascii="Arial Black" w:hAnsi="Arial Black"/>
          <w:sz w:val="28"/>
          <w:szCs w:val="28"/>
        </w:rPr>
        <w:t xml:space="preserve"> </w:t>
      </w:r>
      <w:r>
        <w:rPr>
          <w:rFonts w:ascii="Arial Black" w:hAnsi="Arial Black"/>
          <w:sz w:val="28"/>
          <w:szCs w:val="28"/>
        </w:rPr>
        <w:t>PLUS NOT DEMAND PAYBACK OVERPAYMENTS – FED JUDGE MUST APPROVE</w:t>
      </w:r>
    </w:p>
    <w:p w14:paraId="1FAFA749" w14:textId="77777777" w:rsidR="00B532F6" w:rsidRDefault="00B532F6" w:rsidP="00B532F6">
      <w:pPr>
        <w:pStyle w:val="NormalWeb"/>
      </w:pPr>
      <w:r>
        <w:t xml:space="preserve">On Sept. 22, 2020, in </w:t>
      </w:r>
      <w:r w:rsidRPr="00743799">
        <w:rPr>
          <w:u w:val="single"/>
        </w:rPr>
        <w:t>Eric Camel, et al. v. Town of Chesterton, Indiana and J</w:t>
      </w:r>
      <w:r>
        <w:rPr>
          <w:u w:val="single"/>
        </w:rPr>
        <w:t>ohn</w:t>
      </w:r>
      <w:r w:rsidRPr="00743799">
        <w:rPr>
          <w:u w:val="single"/>
        </w:rPr>
        <w:t xml:space="preserve"> Jarka, Fire Chief</w:t>
      </w:r>
      <w:r>
        <w:t xml:space="preserve">, U.S. District Court Judge Theresa L. Springmann, U.S. District Court, Norther District of Indiana (Hammond Division) has generally approved the settlement, but has taken the matter “under advisement” until the parties advise the Court how much of the funds go to attorney fees.  Plaintiffs allege, among numerous other claims against both Defendants, that Defendant Town of Chesterton failed to comply with statutory overtime provisions when </w:t>
      </w:r>
      <w:proofErr w:type="gramStart"/>
      <w:r>
        <w:t>it</w:t>
      </w:r>
      <w:proofErr w:type="gramEnd"/>
      <w:r>
        <w:t xml:space="preserve"> failed to pay them overtime wages when they worked </w:t>
      </w:r>
      <w:proofErr w:type="gramStart"/>
      <w:r>
        <w:t>in excess of</w:t>
      </w:r>
      <w:proofErr w:type="gramEnd"/>
      <w:r>
        <w:t xml:space="preserve"> 204 hours in a twenty-seven (27) day work period from 2011 through and including 2019.</w:t>
      </w:r>
    </w:p>
    <w:p w14:paraId="30B15105" w14:textId="77777777" w:rsidR="00B532F6" w:rsidRDefault="00B532F6" w:rsidP="00B532F6">
      <w:pPr>
        <w:pStyle w:val="NormalWeb"/>
        <w:ind w:left="720"/>
      </w:pPr>
      <w:r>
        <w:t>“Under the FLSA, settlement agreements for the recovery of unpaid overtime compensation must be approved by the Court in the absence of direct supervision by the Secretary of Labor.</w:t>
      </w:r>
    </w:p>
    <w:p w14:paraId="1D7DFAD2" w14:textId="77777777" w:rsidR="00B532F6" w:rsidRDefault="00B532F6" w:rsidP="00B532F6">
      <w:pPr>
        <w:pStyle w:val="NormalWeb"/>
        <w:ind w:left="720"/>
      </w:pPr>
      <w:r>
        <w:t>***</w:t>
      </w:r>
    </w:p>
    <w:p w14:paraId="050C0124" w14:textId="77777777" w:rsidR="00B532F6" w:rsidRDefault="00B532F6" w:rsidP="00B532F6">
      <w:pPr>
        <w:pStyle w:val="NormalWeb"/>
        <w:ind w:left="720"/>
      </w:pPr>
      <w:r>
        <w:t>The Settlement Agreement provides for a total payment of $26,371.24, which includes (1) a payment of $647.40 to Plaintiff Amanda Shine for back pay and liquidated damages, inclusive of all attorney's fees and costs; (2) a payment of $723.84 to Plaintiff Michael A. Coslet for back pay and liquidated damages [amount owed, doubled], inclusive of all attorney's fees and costs; and (3) a payment of $25,000 to all Plaintiffs, inclusive of all attorney's fees and costs.</w:t>
      </w:r>
    </w:p>
    <w:p w14:paraId="3894740E" w14:textId="77777777" w:rsidR="00B532F6" w:rsidRDefault="00B532F6" w:rsidP="00B532F6">
      <w:pPr>
        <w:pStyle w:val="NormalWeb"/>
        <w:ind w:left="720"/>
      </w:pPr>
      <w:r>
        <w:t>***</w:t>
      </w:r>
    </w:p>
    <w:p w14:paraId="32351CD8" w14:textId="77777777" w:rsidR="00B532F6" w:rsidRDefault="00B532F6" w:rsidP="00B532F6">
      <w:pPr>
        <w:pStyle w:val="NormalWeb"/>
        <w:ind w:left="720"/>
      </w:pPr>
      <w:r>
        <w:lastRenderedPageBreak/>
        <w:t>The Settlement Agreement further provides for significant non-economic awards such as the addition of four vacation days in lieu of reduction time (and the elimination of reduction time), enacted through amendments to the Personnel Handbook and to the agreement between the Town of Chesterton and Chesterton Firefighters Local 4600; waiver of the $89,878.26 overpayment the Town of Chesterton alleges is owed by ten of the Plaintiffs; and the removal of a reprimand in two of the Plaintiffs' personnel files.”</w:t>
      </w:r>
      <w:r w:rsidRPr="00743799">
        <w:t xml:space="preserve"> </w:t>
      </w:r>
      <w:hyperlink r:id="rId1888" w:history="1">
        <w:r w:rsidRPr="000929D2">
          <w:rPr>
            <w:rStyle w:val="Hyperlink"/>
          </w:rPr>
          <w:t>https://public.fastcase.com/Wl%2B2t%2BeVuI35%2FN70vAMFZtsu4ffMdPWfOx%2BdxBXmfVAnwIw9ms7kbCEt1faHV%2BzM</w:t>
        </w:r>
      </w:hyperlink>
      <w:r>
        <w:t xml:space="preserve"> </w:t>
      </w:r>
    </w:p>
    <w:p w14:paraId="7C05CE01" w14:textId="77777777" w:rsidR="00B532F6" w:rsidRPr="00BA2CA5" w:rsidRDefault="00B532F6" w:rsidP="00B532F6">
      <w:pPr>
        <w:rPr>
          <w:rFonts w:ascii="Times New Roman" w:hAnsi="Times New Roman"/>
          <w:b/>
          <w:bCs/>
          <w:sz w:val="24"/>
          <w:szCs w:val="24"/>
        </w:rPr>
      </w:pPr>
      <w:r w:rsidRPr="00BA2CA5">
        <w:rPr>
          <w:rFonts w:ascii="Times New Roman" w:hAnsi="Times New Roman"/>
          <w:b/>
          <w:bCs/>
          <w:sz w:val="24"/>
          <w:szCs w:val="24"/>
        </w:rPr>
        <w:t>Legal Lessons Learned:</w:t>
      </w:r>
      <w:r>
        <w:rPr>
          <w:rFonts w:ascii="Times New Roman" w:hAnsi="Times New Roman"/>
          <w:b/>
          <w:bCs/>
          <w:sz w:val="24"/>
          <w:szCs w:val="24"/>
        </w:rPr>
        <w:t xml:space="preserve"> FLSA requires approval of settlements by U.S. Department of Labor, or by U.S. District Court judge.</w:t>
      </w:r>
    </w:p>
    <w:p w14:paraId="05BCF706" w14:textId="77777777" w:rsidR="00B532F6" w:rsidRDefault="00B532F6" w:rsidP="00B532F6">
      <w:pPr>
        <w:pStyle w:val="NormalWeb"/>
        <w:ind w:left="720"/>
      </w:pPr>
      <w:r>
        <w:t xml:space="preserve">Note: See FD’s web page: The department currently has 15 full-time personnel that staff an engine 24/7/365, as well as a full time Fire Chief and Deputy Fire Chief. The department also utilizes a staff of 15 volunteer personnel who respond to calls for assistance. </w:t>
      </w:r>
      <w:hyperlink r:id="rId1889" w:history="1">
        <w:r w:rsidRPr="000929D2">
          <w:rPr>
            <w:rStyle w:val="Hyperlink"/>
          </w:rPr>
          <w:t>https://www.chestertonin.org/145/Fire-Department</w:t>
        </w:r>
      </w:hyperlink>
      <w:r>
        <w:t xml:space="preserve"> </w:t>
      </w:r>
    </w:p>
    <w:p w14:paraId="7BEA0B58" w14:textId="77777777" w:rsidR="00B532F6" w:rsidRDefault="00B532F6" w:rsidP="00F326E5">
      <w:pPr>
        <w:rPr>
          <w:rFonts w:ascii="Arial Black" w:hAnsi="Arial Black"/>
          <w:b/>
          <w:sz w:val="24"/>
          <w:szCs w:val="24"/>
        </w:rPr>
      </w:pPr>
    </w:p>
    <w:p w14:paraId="7B6BBB71" w14:textId="77777777" w:rsidR="00B532F6" w:rsidRDefault="00B532F6" w:rsidP="00F326E5">
      <w:pPr>
        <w:rPr>
          <w:rFonts w:ascii="Arial Black" w:hAnsi="Arial Black"/>
          <w:b/>
          <w:sz w:val="24"/>
          <w:szCs w:val="24"/>
        </w:rPr>
      </w:pPr>
    </w:p>
    <w:p w14:paraId="0422D056" w14:textId="47F6C820" w:rsidR="00557CA2" w:rsidRDefault="00557CA2" w:rsidP="00F326E5">
      <w:pPr>
        <w:rPr>
          <w:rFonts w:ascii="Arial Black" w:hAnsi="Arial Black"/>
          <w:b/>
          <w:sz w:val="24"/>
          <w:szCs w:val="24"/>
        </w:rPr>
      </w:pPr>
      <w:r>
        <w:rPr>
          <w:rFonts w:ascii="Arial Black" w:hAnsi="Arial Black"/>
          <w:b/>
          <w:sz w:val="24"/>
          <w:szCs w:val="24"/>
        </w:rPr>
        <w:t>11-1</w:t>
      </w:r>
      <w:r w:rsidR="00B13773">
        <w:rPr>
          <w:rFonts w:ascii="Arial Black" w:hAnsi="Arial Black"/>
          <w:b/>
          <w:sz w:val="24"/>
          <w:szCs w:val="24"/>
        </w:rPr>
        <w:t>7</w:t>
      </w:r>
    </w:p>
    <w:p w14:paraId="1C0A2D23" w14:textId="77777777" w:rsidR="00557CA2" w:rsidRDefault="00557CA2" w:rsidP="00557CA2">
      <w:pPr>
        <w:pStyle w:val="NormalWeb"/>
        <w:spacing w:line="255" w:lineRule="atLeast"/>
        <w:rPr>
          <w:rFonts w:ascii="Arial Black" w:hAnsi="Arial Black"/>
          <w:sz w:val="28"/>
          <w:szCs w:val="28"/>
        </w:rPr>
      </w:pPr>
      <w:r>
        <w:rPr>
          <w:rFonts w:ascii="Arial Black" w:hAnsi="Arial Black"/>
          <w:sz w:val="28"/>
          <w:szCs w:val="28"/>
        </w:rPr>
        <w:t>DC: FLSA – WORKING FROM HOME – NEED SYSTEM THAT REQUIRES HOURLY EMPLOYEES TO REPORT THEIR HOURS</w:t>
      </w:r>
    </w:p>
    <w:p w14:paraId="4D725FDF" w14:textId="77777777" w:rsidR="00557CA2" w:rsidRDefault="00557CA2" w:rsidP="00557CA2">
      <w:pPr>
        <w:pStyle w:val="NormalWeb"/>
        <w:spacing w:line="255" w:lineRule="atLeast"/>
      </w:pPr>
      <w:r>
        <w:t>On Aug. 24, 2020, the U.S. Department of Labor, Wage &amp; Hour Division, published FIELD ASSISTANCE BULLETIN No. 2020-5: “Employers’ obligation to exercise reasonable diligence in tracking teleworking employees’ hours of work.”</w:t>
      </w:r>
    </w:p>
    <w:p w14:paraId="37D4C4C8" w14:textId="77777777" w:rsidR="00557CA2" w:rsidRDefault="00557CA2" w:rsidP="00557CA2">
      <w:pPr>
        <w:pStyle w:val="NormalWeb"/>
        <w:spacing w:line="255" w:lineRule="atLeast"/>
        <w:ind w:left="720"/>
      </w:pPr>
      <w:r>
        <w:t xml:space="preserve">“In a telework or remote work arrangement, the question of the employer’s obligation to track hours </w:t>
      </w:r>
      <w:proofErr w:type="gramStart"/>
      <w:r>
        <w:t>actually worked</w:t>
      </w:r>
      <w:proofErr w:type="gramEnd"/>
      <w:r>
        <w:t xml:space="preserve"> for which the employee was not scheduled may often arise. While this guidance responds directly to needs created by new telework or remote work arrangements that arose in response to COVID-19, it also applies to other telework or remote work arrangements. An employer is required to pay </w:t>
      </w:r>
      <w:proofErr w:type="gramStart"/>
      <w:r>
        <w:t>its</w:t>
      </w:r>
      <w:proofErr w:type="gramEnd"/>
      <w:r>
        <w:t xml:space="preserve"> employees for all hours worked, including work not requested but suffered or permitted, including work performed at home. See 29 C.F.R. § 785.11-12. If the employer knows or has reason to believe that work is being performed, the time must be counted as hours worked.</w:t>
      </w:r>
    </w:p>
    <w:p w14:paraId="788DED2B" w14:textId="77777777" w:rsidR="00557CA2" w:rsidRDefault="00557CA2" w:rsidP="00557CA2">
      <w:pPr>
        <w:pStyle w:val="NormalWeb"/>
        <w:spacing w:line="255" w:lineRule="atLeast"/>
        <w:ind w:left="720"/>
      </w:pPr>
      <w:r>
        <w:t>***</w:t>
      </w:r>
    </w:p>
    <w:p w14:paraId="77D07385" w14:textId="77777777" w:rsidR="00557CA2" w:rsidRDefault="00557CA2" w:rsidP="00557CA2">
      <w:pPr>
        <w:pStyle w:val="NormalWeb"/>
        <w:spacing w:line="255" w:lineRule="atLeast"/>
        <w:ind w:left="720"/>
      </w:pPr>
      <w:r>
        <w:t xml:space="preserve">If an employee fails to report unscheduled hours worked through such a procedure, the employer is not required to undergo impractical efforts to investigate further to uncover unreported hours of work and provide compensation for those hours.” </w:t>
      </w:r>
      <w:hyperlink r:id="rId1890" w:history="1">
        <w:r>
          <w:rPr>
            <w:rStyle w:val="Hyperlink"/>
            <w:rFonts w:eastAsiaTheme="majorEastAsia"/>
          </w:rPr>
          <w:t>https://www.dol.gov/sites/dolgov/files/WHD/legacy/files/fab_2020_5.pdf</w:t>
        </w:r>
      </w:hyperlink>
      <w:r>
        <w:t xml:space="preserve"> </w:t>
      </w:r>
    </w:p>
    <w:p w14:paraId="12EC9A8C" w14:textId="77777777" w:rsidR="00557CA2" w:rsidRDefault="00557CA2" w:rsidP="00557CA2">
      <w:pPr>
        <w:pStyle w:val="NormalWeb"/>
        <w:spacing w:line="255" w:lineRule="atLeast"/>
        <w:rPr>
          <w:b/>
          <w:bCs/>
        </w:rPr>
      </w:pPr>
    </w:p>
    <w:p w14:paraId="5470047E" w14:textId="77777777" w:rsidR="00557CA2" w:rsidRDefault="00557CA2" w:rsidP="00557CA2">
      <w:pPr>
        <w:pStyle w:val="NormalWeb"/>
        <w:spacing w:line="255" w:lineRule="atLeast"/>
        <w:rPr>
          <w:b/>
          <w:bCs/>
        </w:rPr>
      </w:pPr>
      <w:r>
        <w:rPr>
          <w:b/>
          <w:bCs/>
        </w:rPr>
        <w:t xml:space="preserve">Legal Lessons Learned:  Fire departments that allow administrative or other hourly personnel to work from home should implement an online system for reporting of hours worked.  </w:t>
      </w:r>
    </w:p>
    <w:p w14:paraId="68692DAA" w14:textId="77777777" w:rsidR="00557CA2" w:rsidRDefault="00557CA2" w:rsidP="00557CA2">
      <w:pPr>
        <w:pStyle w:val="NormalWeb"/>
        <w:spacing w:line="255" w:lineRule="atLeast"/>
        <w:ind w:left="720"/>
      </w:pPr>
      <w:r>
        <w:lastRenderedPageBreak/>
        <w:t xml:space="preserve">Note: The </w:t>
      </w:r>
      <w:proofErr w:type="spellStart"/>
      <w:r>
        <w:t>DoL</w:t>
      </w:r>
      <w:proofErr w:type="spellEnd"/>
      <w:r>
        <w:t xml:space="preserve"> referenced Allen v. City of Chicago, 865 F.3d 936, 945 (7th Cir. 2017), cert. denied, 138 S. Ct. 1302 (2018), where the 7</w:t>
      </w:r>
      <w:r>
        <w:rPr>
          <w:vertAlign w:val="superscript"/>
        </w:rPr>
        <w:t>th</w:t>
      </w:r>
      <w:r>
        <w:t xml:space="preserve"> Circuit </w:t>
      </w:r>
      <w:proofErr w:type="gramStart"/>
      <w:r>
        <w:t>held</w:t>
      </w:r>
      <w:proofErr w:type="gramEnd"/>
      <w:r>
        <w:t xml:space="preserve">: </w:t>
      </w:r>
      <w:r>
        <w:tab/>
      </w:r>
    </w:p>
    <w:p w14:paraId="2609AF12" w14:textId="77777777" w:rsidR="00557CA2" w:rsidRDefault="00557CA2" w:rsidP="00557CA2">
      <w:pPr>
        <w:pStyle w:val="NormalWeb"/>
        <w:spacing w:line="255" w:lineRule="atLeast"/>
        <w:ind w:left="720"/>
      </w:pPr>
      <w:r>
        <w:t xml:space="preserve">“This appeal arises from a Fair Labor Standards Act collective action. Plaintiffs are current and former members of the Chicago Police Department's Bureau of Organized Crime who claim that the Bureau did not compensate them for work they did </w:t>
      </w:r>
      <w:proofErr w:type="gramStart"/>
      <w:r>
        <w:t>off-duty</w:t>
      </w:r>
      <w:proofErr w:type="gramEnd"/>
      <w:r>
        <w:t xml:space="preserve"> on their mobile electronic devices (BlackBerrys). The case was </w:t>
      </w:r>
      <w:proofErr w:type="spellStart"/>
      <w:r>
        <w:t>tried</w:t>
      </w:r>
      <w:proofErr w:type="spellEnd"/>
      <w:r>
        <w:t xml:space="preserve"> to the court, Magistrate Judge Schenkier, presiding by consent under 28 U.S.C. § 636(c). The judge issued detailed findings of </w:t>
      </w:r>
      <w:proofErr w:type="gramStart"/>
      <w:r>
        <w:t>fact</w:t>
      </w:r>
      <w:proofErr w:type="gramEnd"/>
      <w:r>
        <w:t xml:space="preserve"> and conclusions of law in favor of the Bureau, finding that it did not prevent plaintiffs from requesting payment for such non-scheduled overtime work and did not know that plaintiffs were not being paid for it. Plaintiffs appeal, but we find no persuasive reason to upset the judgment of the district court. We affirm the judgment for the Bureau.</w:t>
      </w:r>
    </w:p>
    <w:p w14:paraId="5C8E16FC" w14:textId="77777777" w:rsidR="00557CA2" w:rsidRDefault="00557CA2" w:rsidP="00557CA2">
      <w:pPr>
        <w:pStyle w:val="NormalWeb"/>
        <w:spacing w:line="255" w:lineRule="atLeast"/>
        <w:ind w:left="720"/>
      </w:pPr>
      <w:r>
        <w:t>***</w:t>
      </w:r>
    </w:p>
    <w:p w14:paraId="5214AC65" w14:textId="77777777" w:rsidR="00557CA2" w:rsidRDefault="00557CA2" w:rsidP="00557CA2">
      <w:pPr>
        <w:spacing w:after="0" w:line="240" w:lineRule="auto"/>
        <w:ind w:left="720"/>
        <w:rPr>
          <w:rFonts w:ascii="Times New Roman" w:hAnsi="Times New Roman"/>
          <w:sz w:val="24"/>
          <w:szCs w:val="24"/>
        </w:rPr>
      </w:pPr>
      <w:r>
        <w:rPr>
          <w:rFonts w:ascii="Times New Roman" w:hAnsi="Times New Roman"/>
          <w:sz w:val="24"/>
          <w:szCs w:val="24"/>
        </w:rPr>
        <w:t>The [trial court judge, after a 6-day bench trial] agreed with plaintiffs that some of their off-duty BlackBerry activity was work that was compensable under the FLSA. It acknowledged evidence that Bureau supervisors knew plaintiffs sometimes worked off-duty on their Black-</w:t>
      </w:r>
      <w:proofErr w:type="spellStart"/>
      <w:r>
        <w:rPr>
          <w:rFonts w:ascii="Times New Roman" w:hAnsi="Times New Roman"/>
          <w:sz w:val="24"/>
          <w:szCs w:val="24"/>
        </w:rPr>
        <w:t>Berrys</w:t>
      </w:r>
      <w:proofErr w:type="spellEnd"/>
      <w:r>
        <w:rPr>
          <w:rFonts w:ascii="Times New Roman" w:hAnsi="Times New Roman"/>
          <w:sz w:val="24"/>
          <w:szCs w:val="24"/>
        </w:rPr>
        <w:t xml:space="preserve">. But the court also found that the supervisors did not know or have reason to know that plaintiffs were not submitting slips and therefore were not being paid for that work. Although supervisors in theory could have checked what they knew of plaintiffs' off-duty work against the time slips they approved, the court found that requiring them to do so would be impractical: supervisors approved a large number of slips per day, and slips were sometimes submitted and reviewed well after the work was performed. Also, the court found, plaintiffs never told their supervisors that they were not being paid for such work.” </w:t>
      </w:r>
      <w:hyperlink r:id="rId1891" w:history="1">
        <w:r>
          <w:rPr>
            <w:rStyle w:val="Hyperlink"/>
            <w:sz w:val="24"/>
            <w:szCs w:val="24"/>
          </w:rPr>
          <w:t>https://www.leagle.com/decision/infco20170803124</w:t>
        </w:r>
      </w:hyperlink>
      <w:r>
        <w:rPr>
          <w:rFonts w:ascii="Times New Roman" w:hAnsi="Times New Roman"/>
          <w:sz w:val="24"/>
          <w:szCs w:val="24"/>
        </w:rPr>
        <w:t xml:space="preserve"> </w:t>
      </w:r>
    </w:p>
    <w:p w14:paraId="7E267947" w14:textId="77777777" w:rsidR="00557CA2" w:rsidRDefault="00557CA2" w:rsidP="00557CA2">
      <w:pPr>
        <w:rPr>
          <w:rFonts w:ascii="Times New Roman" w:hAnsi="Times New Roman"/>
          <w:b/>
          <w:sz w:val="20"/>
          <w:szCs w:val="20"/>
        </w:rPr>
      </w:pP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p>
    <w:p w14:paraId="60D14735" w14:textId="77777777" w:rsidR="00557CA2" w:rsidRDefault="00557CA2" w:rsidP="00F326E5">
      <w:pPr>
        <w:rPr>
          <w:rFonts w:ascii="Arial Black" w:hAnsi="Arial Black"/>
          <w:b/>
          <w:sz w:val="24"/>
          <w:szCs w:val="24"/>
        </w:rPr>
      </w:pPr>
    </w:p>
    <w:p w14:paraId="182846F8" w14:textId="1B13F31E" w:rsidR="00557CA2" w:rsidRDefault="00557CA2" w:rsidP="00F326E5">
      <w:pPr>
        <w:rPr>
          <w:rFonts w:ascii="Arial Black" w:hAnsi="Arial Black"/>
          <w:b/>
          <w:sz w:val="24"/>
          <w:szCs w:val="24"/>
        </w:rPr>
      </w:pPr>
      <w:r>
        <w:rPr>
          <w:rFonts w:ascii="Arial Black" w:hAnsi="Arial Black"/>
          <w:b/>
          <w:sz w:val="24"/>
          <w:szCs w:val="24"/>
        </w:rPr>
        <w:t>11-1</w:t>
      </w:r>
      <w:r w:rsidR="00B13773">
        <w:rPr>
          <w:rFonts w:ascii="Arial Black" w:hAnsi="Arial Black"/>
          <w:b/>
          <w:sz w:val="24"/>
          <w:szCs w:val="24"/>
        </w:rPr>
        <w:t>6</w:t>
      </w:r>
    </w:p>
    <w:p w14:paraId="11052372" w14:textId="77777777" w:rsidR="00557CA2" w:rsidRDefault="00557CA2" w:rsidP="00557CA2">
      <w:pPr>
        <w:spacing w:before="100" w:beforeAutospacing="1" w:after="100" w:afterAutospacing="1" w:line="240" w:lineRule="auto"/>
        <w:rPr>
          <w:rFonts w:ascii="Arial Black" w:hAnsi="Arial Black"/>
          <w:sz w:val="28"/>
          <w:szCs w:val="28"/>
        </w:rPr>
      </w:pPr>
      <w:r>
        <w:rPr>
          <w:rFonts w:ascii="Arial Black" w:hAnsi="Arial Black"/>
          <w:sz w:val="28"/>
          <w:szCs w:val="28"/>
        </w:rPr>
        <w:t>MO: FLSA – FLIGHT MEDIC – AIR EVAC IS “COMMON CARRIER” AND CAN PAY OVERTIME AFTER 84 HRS / 2 WKS</w:t>
      </w:r>
    </w:p>
    <w:p w14:paraId="0D2D9433" w14:textId="77777777" w:rsidR="00557CA2" w:rsidRDefault="00557CA2" w:rsidP="00557CA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Aug. 17, 2020, in </w:t>
      </w:r>
      <w:r>
        <w:rPr>
          <w:rFonts w:ascii="Times New Roman" w:hAnsi="Times New Roman"/>
          <w:sz w:val="24"/>
          <w:szCs w:val="24"/>
          <w:u w:val="single"/>
        </w:rPr>
        <w:t>Jacob Rieglsberger, individually and on behalf of all similarly situated persons v. Air Evac EMS, Inc. et al</w:t>
      </w:r>
      <w:r>
        <w:rPr>
          <w:rFonts w:ascii="Times New Roman" w:hAnsi="Times New Roman"/>
          <w:sz w:val="24"/>
          <w:szCs w:val="24"/>
        </w:rPr>
        <w:t>., the U.S. Court of Appeals for the 8</w:t>
      </w:r>
      <w:r>
        <w:rPr>
          <w:rFonts w:ascii="Times New Roman" w:hAnsi="Times New Roman"/>
          <w:sz w:val="24"/>
          <w:szCs w:val="24"/>
          <w:vertAlign w:val="superscript"/>
        </w:rPr>
        <w:t>th</w:t>
      </w:r>
      <w:r>
        <w:rPr>
          <w:rFonts w:ascii="Times New Roman" w:hAnsi="Times New Roman"/>
          <w:sz w:val="24"/>
          <w:szCs w:val="24"/>
        </w:rPr>
        <w:t xml:space="preserve"> Circuit (St. Louis) held (3 to 0) that plaintiff’s arguments “do not get off the ground.” </w:t>
      </w:r>
    </w:p>
    <w:p w14:paraId="3AAFC201" w14:textId="2EAE3A2A" w:rsidR="00557CA2" w:rsidRDefault="00557CA2" w:rsidP="00557CA2">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“Riegelsberger's arguments to the contrary do not get off the ground. It makes no difference, for example, that medical providers, rather than the patients themselves, are the primary points of contact in arranging transportation. Just as a major airline can still be a common carrier if a passenger uses a travel agent to arrange transportation, health-care providers can provide the same service for their patients without affecting Air Evac's common-carrier status. </w:t>
      </w:r>
      <w:r>
        <w:rPr>
          <w:rFonts w:ascii="Times New Roman" w:eastAsia="Times New Roman" w:hAnsi="Times New Roman"/>
          <w:i/>
          <w:iCs/>
          <w:sz w:val="24"/>
          <w:szCs w:val="24"/>
        </w:rPr>
        <w:t>Cf</w:t>
      </w:r>
      <w:r>
        <w:rPr>
          <w:rFonts w:ascii="Times New Roman" w:eastAsia="Times New Roman" w:hAnsi="Times New Roman"/>
          <w:sz w:val="24"/>
          <w:szCs w:val="24"/>
        </w:rPr>
        <w:t xml:space="preserve">. </w:t>
      </w:r>
      <w:r>
        <w:rPr>
          <w:rFonts w:ascii="Times New Roman" w:eastAsia="Times New Roman" w:hAnsi="Times New Roman"/>
          <w:i/>
          <w:iCs/>
          <w:sz w:val="24"/>
          <w:szCs w:val="24"/>
        </w:rPr>
        <w:t>Air Evac EMS</w:t>
      </w:r>
      <w:r>
        <w:rPr>
          <w:rFonts w:ascii="Times New Roman" w:eastAsia="Times New Roman" w:hAnsi="Times New Roman"/>
          <w:sz w:val="24"/>
          <w:szCs w:val="24"/>
        </w:rPr>
        <w:t xml:space="preserve">, </w:t>
      </w:r>
      <w:r>
        <w:rPr>
          <w:rFonts w:ascii="Times New Roman" w:eastAsia="Times New Roman" w:hAnsi="Times New Roman"/>
          <w:i/>
          <w:iCs/>
          <w:sz w:val="24"/>
          <w:szCs w:val="24"/>
        </w:rPr>
        <w:t>Inc</w:t>
      </w:r>
      <w:r>
        <w:rPr>
          <w:rFonts w:ascii="Times New Roman" w:eastAsia="Times New Roman" w:hAnsi="Times New Roman"/>
          <w:sz w:val="24"/>
          <w:szCs w:val="24"/>
        </w:rPr>
        <w:t xml:space="preserve">., 910 F.3d at 764 (making a similar analogy). The fact that intermediaries are involved, in other words, does not change what Air Evac ‘actually does,’ which is to transport patients for a fee. </w:t>
      </w:r>
      <w:r>
        <w:rPr>
          <w:rFonts w:ascii="Times New Roman" w:eastAsia="Times New Roman" w:hAnsi="Times New Roman"/>
          <w:i/>
          <w:iCs/>
          <w:sz w:val="24"/>
          <w:szCs w:val="24"/>
        </w:rPr>
        <w:t>United States v</w:t>
      </w:r>
      <w:r>
        <w:rPr>
          <w:rFonts w:ascii="Times New Roman" w:eastAsia="Times New Roman" w:hAnsi="Times New Roman"/>
          <w:sz w:val="24"/>
          <w:szCs w:val="24"/>
        </w:rPr>
        <w:t xml:space="preserve">. </w:t>
      </w:r>
      <w:r>
        <w:rPr>
          <w:rFonts w:ascii="Times New Roman" w:eastAsia="Times New Roman" w:hAnsi="Times New Roman"/>
          <w:i/>
          <w:iCs/>
          <w:sz w:val="24"/>
          <w:szCs w:val="24"/>
        </w:rPr>
        <w:t>One Rockwell Int'l Commander 690C/840</w:t>
      </w:r>
      <w:r>
        <w:rPr>
          <w:rFonts w:ascii="Times New Roman" w:eastAsia="Times New Roman" w:hAnsi="Times New Roman"/>
          <w:sz w:val="24"/>
          <w:szCs w:val="24"/>
        </w:rPr>
        <w:t xml:space="preserve">, </w:t>
      </w:r>
      <w:r>
        <w:rPr>
          <w:rFonts w:ascii="Times New Roman" w:eastAsia="Times New Roman" w:hAnsi="Times New Roman"/>
          <w:i/>
          <w:iCs/>
          <w:sz w:val="24"/>
          <w:szCs w:val="24"/>
        </w:rPr>
        <w:t>Serial No</w:t>
      </w:r>
      <w:r>
        <w:rPr>
          <w:rFonts w:ascii="Times New Roman" w:eastAsia="Times New Roman" w:hAnsi="Times New Roman"/>
          <w:sz w:val="24"/>
          <w:szCs w:val="24"/>
        </w:rPr>
        <w:t xml:space="preserve">. </w:t>
      </w:r>
      <w:r>
        <w:rPr>
          <w:rFonts w:ascii="Times New Roman" w:eastAsia="Times New Roman" w:hAnsi="Times New Roman"/>
          <w:i/>
          <w:iCs/>
          <w:sz w:val="24"/>
          <w:szCs w:val="24"/>
        </w:rPr>
        <w:t>11627</w:t>
      </w:r>
      <w:r>
        <w:rPr>
          <w:rFonts w:ascii="Times New Roman" w:eastAsia="Times New Roman" w:hAnsi="Times New Roman"/>
          <w:sz w:val="24"/>
          <w:szCs w:val="24"/>
        </w:rPr>
        <w:t xml:space="preserve">, 754 F.2d 284, 287 (8th Cir. 1985).”  </w:t>
      </w:r>
      <w:hyperlink r:id="rId1892" w:history="1">
        <w:r>
          <w:rPr>
            <w:rStyle w:val="Hyperlink"/>
            <w:sz w:val="24"/>
            <w:szCs w:val="24"/>
          </w:rPr>
          <w:t>https://law.justia.com/cases/federal/appellate-courts/ca8/19-1414/19-1414-2020-08-17.html</w:t>
        </w:r>
      </w:hyperlink>
      <w:r>
        <w:rPr>
          <w:rFonts w:ascii="Times New Roman" w:eastAsia="Times New Roman" w:hAnsi="Times New Roman"/>
          <w:sz w:val="24"/>
          <w:szCs w:val="24"/>
        </w:rPr>
        <w:t xml:space="preserve"> </w:t>
      </w:r>
    </w:p>
    <w:p w14:paraId="1614ADB0" w14:textId="77777777" w:rsidR="00557CA2" w:rsidRDefault="00557CA2" w:rsidP="00557CA2">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 xml:space="preserve">Legal Lessons Learned:  Flight medics are entitled to overtime.  </w:t>
      </w:r>
    </w:p>
    <w:p w14:paraId="3257FCF9" w14:textId="77777777" w:rsidR="00557CA2" w:rsidRDefault="00557CA2" w:rsidP="00557CA2">
      <w:pPr>
        <w:pStyle w:val="Heading1"/>
        <w:ind w:left="720"/>
      </w:pPr>
      <w:r>
        <w:rPr>
          <w:b w:val="0"/>
          <w:bCs w:val="0"/>
          <w:sz w:val="24"/>
          <w:szCs w:val="24"/>
        </w:rPr>
        <w:lastRenderedPageBreak/>
        <w:t xml:space="preserve">Note: See this recent settlement: “Air medical company agrees to $78M settlement for overtime” (July 2, 2020); </w:t>
      </w:r>
      <w:hyperlink r:id="rId1893" w:history="1">
        <w:r>
          <w:rPr>
            <w:rStyle w:val="Hyperlink"/>
            <w:rFonts w:eastAsiaTheme="majorEastAsia"/>
            <w:b w:val="0"/>
            <w:bCs w:val="0"/>
            <w:sz w:val="24"/>
            <w:szCs w:val="24"/>
          </w:rPr>
          <w:t>https://www.ems1.com/legal/articles/air-medical-company-agrees-to-78m-settlement-for-overtime-ExknCez8O1D6ZfI4/</w:t>
        </w:r>
      </w:hyperlink>
      <w:r>
        <w:t xml:space="preserve"> </w:t>
      </w:r>
    </w:p>
    <w:p w14:paraId="7490B399" w14:textId="77777777" w:rsidR="00557CA2" w:rsidRDefault="00557CA2" w:rsidP="00557CA2">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“OAKLAND, Calif. — A medical helicopter operator has been ordered to pay $78 million to its flight crew employees for unpaid overtime and missed breaks in a class-action lawsuit settlement. Alameda County Superior Court Judge Winifred Y. Smith agreed Wednesday to the preliminary settlement filed by about 450 former and current medical flight crew members employed in California by Air Methods Corporation of Colorado.</w:t>
      </w:r>
    </w:p>
    <w:p w14:paraId="6E46D7EF" w14:textId="77777777" w:rsidR="00557CA2" w:rsidRDefault="00557CA2" w:rsidP="00557CA2">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Air Methods also is expected to pay daily overtime to its medical flight crew starting from June 28, resulting in an estimated 20% or more increase to their salaries, according to the attorneys representing the crew.</w:t>
      </w:r>
    </w:p>
    <w:p w14:paraId="2ED6E6A2" w14:textId="77777777" w:rsidR="00557CA2" w:rsidRDefault="00557CA2" w:rsidP="00557CA2">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Air Methods is reportedly the country’s largest air medical transport company and operates helicopter bases. Teams of nurses and paramedics are dispatched in </w:t>
      </w:r>
      <w:proofErr w:type="gramStart"/>
      <w:r>
        <w:rPr>
          <w:rFonts w:ascii="Times New Roman" w:eastAsia="Times New Roman" w:hAnsi="Times New Roman"/>
          <w:sz w:val="24"/>
          <w:szCs w:val="24"/>
        </w:rPr>
        <w:t>the helicopters</w:t>
      </w:r>
      <w:proofErr w:type="gramEnd"/>
      <w:r>
        <w:rPr>
          <w:rFonts w:ascii="Times New Roman" w:eastAsia="Times New Roman" w:hAnsi="Times New Roman"/>
          <w:sz w:val="24"/>
          <w:szCs w:val="24"/>
        </w:rPr>
        <w:t>, often to remote areas.</w:t>
      </w:r>
    </w:p>
    <w:p w14:paraId="055AA39B" w14:textId="77777777" w:rsidR="00557CA2" w:rsidRDefault="00557CA2" w:rsidP="00557CA2">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Air Methods was accused of refusing to pay daily overtime for crews working more than eight hours in a workday. The flight crew commonly worked 24-hour shifts, according to attorney James Sitkin, who represented the crew. He alleged that Air Methods did not allow the flight crew to take off-duty meal breaks or rest breaks.”</w:t>
      </w:r>
    </w:p>
    <w:p w14:paraId="0EC4051F" w14:textId="77777777" w:rsidR="00557CA2" w:rsidRDefault="00557CA2" w:rsidP="00F326E5">
      <w:pPr>
        <w:rPr>
          <w:rFonts w:ascii="Arial Black" w:hAnsi="Arial Black"/>
          <w:b/>
          <w:sz w:val="24"/>
          <w:szCs w:val="24"/>
        </w:rPr>
      </w:pPr>
    </w:p>
    <w:p w14:paraId="54600369" w14:textId="77777777" w:rsidR="00557CA2" w:rsidRDefault="00557CA2" w:rsidP="00F326E5">
      <w:pPr>
        <w:rPr>
          <w:rFonts w:ascii="Arial Black" w:hAnsi="Arial Black"/>
          <w:b/>
          <w:sz w:val="24"/>
          <w:szCs w:val="24"/>
        </w:rPr>
      </w:pPr>
    </w:p>
    <w:p w14:paraId="354AC977" w14:textId="4AF74980" w:rsidR="006B2083" w:rsidRDefault="006B2083" w:rsidP="00F326E5">
      <w:pPr>
        <w:rPr>
          <w:rFonts w:ascii="Arial Black" w:hAnsi="Arial Black"/>
          <w:b/>
          <w:sz w:val="24"/>
          <w:szCs w:val="24"/>
        </w:rPr>
      </w:pPr>
      <w:r>
        <w:rPr>
          <w:rFonts w:ascii="Arial Black" w:hAnsi="Arial Black"/>
          <w:b/>
          <w:sz w:val="24"/>
          <w:szCs w:val="24"/>
        </w:rPr>
        <w:t>11-1</w:t>
      </w:r>
      <w:r w:rsidR="00B13773">
        <w:rPr>
          <w:rFonts w:ascii="Arial Black" w:hAnsi="Arial Black"/>
          <w:b/>
          <w:sz w:val="24"/>
          <w:szCs w:val="24"/>
        </w:rPr>
        <w:t>5</w:t>
      </w:r>
    </w:p>
    <w:p w14:paraId="5E111747" w14:textId="77777777" w:rsidR="006B2083" w:rsidRPr="000046E6" w:rsidRDefault="006B2083" w:rsidP="006B2083">
      <w:pPr>
        <w:pStyle w:val="NoSpacing"/>
        <w:rPr>
          <w:rFonts w:ascii="Arial Black" w:hAnsi="Arial Black"/>
          <w:sz w:val="28"/>
          <w:szCs w:val="28"/>
        </w:rPr>
      </w:pPr>
      <w:r w:rsidRPr="000046E6">
        <w:rPr>
          <w:rFonts w:ascii="Arial Black" w:hAnsi="Arial Black"/>
          <w:sz w:val="28"/>
          <w:szCs w:val="28"/>
        </w:rPr>
        <w:t xml:space="preserve">GA: </w:t>
      </w:r>
      <w:r>
        <w:rPr>
          <w:rFonts w:ascii="Arial Black" w:hAnsi="Arial Black"/>
          <w:sz w:val="28"/>
          <w:szCs w:val="28"/>
        </w:rPr>
        <w:t>COMP TIME – FIREFIGHTERS SUED FD FOR DENIAL LEAVE - SETTLED, 14 FF PAID $1000 EACH - NEW FD POLICY – ATTY FEES</w:t>
      </w:r>
    </w:p>
    <w:p w14:paraId="50B6F46E" w14:textId="77777777" w:rsidR="006B2083" w:rsidRDefault="006B2083" w:rsidP="006B2083">
      <w:pPr>
        <w:pStyle w:val="NoSpacing"/>
        <w:rPr>
          <w:rFonts w:ascii="Times New Roman" w:hAnsi="Times New Roman"/>
          <w:sz w:val="24"/>
          <w:szCs w:val="24"/>
        </w:rPr>
      </w:pPr>
    </w:p>
    <w:p w14:paraId="15CC008C" w14:textId="77777777" w:rsidR="006B2083" w:rsidRDefault="006B2083" w:rsidP="006B2083">
      <w:pPr>
        <w:pStyle w:val="NoSpacing"/>
        <w:rPr>
          <w:rFonts w:ascii="Times New Roman" w:hAnsi="Times New Roman"/>
          <w:sz w:val="24"/>
          <w:szCs w:val="24"/>
        </w:rPr>
      </w:pPr>
      <w:r w:rsidRPr="00EA7DA2">
        <w:rPr>
          <w:rFonts w:ascii="Times New Roman" w:hAnsi="Times New Roman"/>
          <w:sz w:val="24"/>
          <w:szCs w:val="24"/>
        </w:rPr>
        <w:t xml:space="preserve">On July 16, 2020, in </w:t>
      </w:r>
      <w:r w:rsidRPr="00EA7DA2">
        <w:rPr>
          <w:rFonts w:ascii="Times New Roman" w:hAnsi="Times New Roman"/>
          <w:sz w:val="24"/>
          <w:szCs w:val="24"/>
          <w:u w:val="single"/>
        </w:rPr>
        <w:t>Robert Milie, et. al. v. City of Savannah</w:t>
      </w:r>
      <w:r w:rsidRPr="00EA7DA2">
        <w:rPr>
          <w:rFonts w:ascii="Times New Roman" w:hAnsi="Times New Roman"/>
          <w:sz w:val="24"/>
          <w:szCs w:val="24"/>
        </w:rPr>
        <w:t xml:space="preserve">, U.S. District Court Judge R. Stan Baker, Southern District of Georgia, the Court pursuant to the settlement agreement approved attorneys’ fees. </w:t>
      </w:r>
      <w:r>
        <w:rPr>
          <w:rFonts w:ascii="Times New Roman" w:hAnsi="Times New Roman"/>
          <w:sz w:val="24"/>
          <w:szCs w:val="24"/>
        </w:rPr>
        <w:t xml:space="preserve"> Court wrote: </w:t>
      </w:r>
      <w:r w:rsidRPr="005174B8">
        <w:rPr>
          <w:rFonts w:ascii="Times New Roman" w:hAnsi="Times New Roman"/>
          <w:sz w:val="24"/>
          <w:szCs w:val="24"/>
        </w:rPr>
        <w:t>For the reasons set forth below, the Court finds the following across-the-board reductions of Plaintiffs' requested hours to be appropriate: a thirty percent (30%) reduction to the hours billed in Plaintiffs' initial fee petition</w:t>
      </w:r>
      <w:r>
        <w:rPr>
          <w:rFonts w:ascii="Times New Roman" w:hAnsi="Times New Roman"/>
          <w:sz w:val="24"/>
          <w:szCs w:val="24"/>
        </w:rPr>
        <w:t xml:space="preserve"> …;</w:t>
      </w:r>
      <w:r w:rsidRPr="005174B8">
        <w:rPr>
          <w:rFonts w:ascii="Times New Roman" w:hAnsi="Times New Roman"/>
          <w:sz w:val="24"/>
          <w:szCs w:val="24"/>
        </w:rPr>
        <w:t xml:space="preserve"> a sixty percent (60%) reduction to the hours billed in Plaintiffs' first supplemental request</w:t>
      </w:r>
      <w:r>
        <w:rPr>
          <w:rFonts w:ascii="Times New Roman" w:hAnsi="Times New Roman"/>
          <w:sz w:val="24"/>
          <w:szCs w:val="24"/>
        </w:rPr>
        <w:t>…</w:t>
      </w:r>
      <w:r w:rsidRPr="005174B8">
        <w:rPr>
          <w:rFonts w:ascii="Times New Roman" w:hAnsi="Times New Roman"/>
          <w:sz w:val="24"/>
          <w:szCs w:val="24"/>
        </w:rPr>
        <w:t>; and a one-hundred percent (100%) reduction to the hours billed in the second supplemental request</w:t>
      </w:r>
      <w:r>
        <w:rPr>
          <w:rFonts w:ascii="Times New Roman" w:hAnsi="Times New Roman"/>
          <w:sz w:val="24"/>
          <w:szCs w:val="24"/>
        </w:rPr>
        <w:t>….</w:t>
      </w:r>
      <w:r w:rsidRPr="005174B8">
        <w:rPr>
          <w:rFonts w:ascii="Times New Roman" w:hAnsi="Times New Roman"/>
          <w:sz w:val="24"/>
          <w:szCs w:val="24"/>
        </w:rPr>
        <w:t>.</w:t>
      </w:r>
      <w:r>
        <w:rPr>
          <w:rFonts w:ascii="Times New Roman" w:hAnsi="Times New Roman"/>
          <w:sz w:val="24"/>
          <w:szCs w:val="24"/>
        </w:rPr>
        <w:t xml:space="preserve">”  </w:t>
      </w:r>
    </w:p>
    <w:p w14:paraId="4E3DB381" w14:textId="77777777" w:rsidR="006B2083" w:rsidRDefault="006B2083" w:rsidP="006B2083">
      <w:pPr>
        <w:pStyle w:val="NoSpacing"/>
        <w:rPr>
          <w:rFonts w:ascii="Times New Roman" w:hAnsi="Times New Roman"/>
          <w:sz w:val="24"/>
          <w:szCs w:val="24"/>
        </w:rPr>
      </w:pPr>
      <w:hyperlink r:id="rId1894" w:history="1">
        <w:r w:rsidRPr="000603D4">
          <w:rPr>
            <w:rStyle w:val="Hyperlink"/>
            <w:rFonts w:ascii="Times New Roman" w:hAnsi="Times New Roman"/>
            <w:sz w:val="24"/>
            <w:szCs w:val="24"/>
          </w:rPr>
          <w:t>https://public.fastcase.com/Wl%2B2t%2BeVuI35%2FN70vAMFZqOCIluAWFXT7dyIbWSJtbA2tJbGDR%2F5EmjVBjMYm1QS</w:t>
        </w:r>
      </w:hyperlink>
      <w:r>
        <w:rPr>
          <w:rFonts w:ascii="Times New Roman" w:hAnsi="Times New Roman"/>
          <w:sz w:val="24"/>
          <w:szCs w:val="24"/>
        </w:rPr>
        <w:t xml:space="preserve"> </w:t>
      </w:r>
    </w:p>
    <w:p w14:paraId="0F856D1F" w14:textId="77777777" w:rsidR="006B2083" w:rsidRDefault="006B2083" w:rsidP="006B2083">
      <w:pPr>
        <w:pStyle w:val="NoSpacing"/>
        <w:rPr>
          <w:rFonts w:ascii="Times New Roman" w:hAnsi="Times New Roman"/>
          <w:b/>
          <w:bCs/>
          <w:sz w:val="24"/>
          <w:szCs w:val="24"/>
        </w:rPr>
      </w:pPr>
    </w:p>
    <w:p w14:paraId="74C2B557" w14:textId="2BFC779C" w:rsidR="006B2083" w:rsidRDefault="006B2083" w:rsidP="006B2083">
      <w:pPr>
        <w:pStyle w:val="NoSpacing"/>
        <w:rPr>
          <w:rFonts w:ascii="Times New Roman" w:hAnsi="Times New Roman"/>
          <w:b/>
          <w:bCs/>
          <w:sz w:val="24"/>
          <w:szCs w:val="24"/>
        </w:rPr>
      </w:pPr>
      <w:r w:rsidRPr="005174B8">
        <w:rPr>
          <w:rFonts w:ascii="Times New Roman" w:hAnsi="Times New Roman"/>
          <w:b/>
          <w:bCs/>
          <w:sz w:val="24"/>
          <w:szCs w:val="24"/>
        </w:rPr>
        <w:t>Legal Lessons Learned:</w:t>
      </w:r>
      <w:r>
        <w:rPr>
          <w:rFonts w:ascii="Times New Roman" w:hAnsi="Times New Roman"/>
          <w:b/>
          <w:bCs/>
          <w:sz w:val="24"/>
          <w:szCs w:val="24"/>
        </w:rPr>
        <w:t xml:space="preserve"> Comp time requests can sometimes lead to disputes; helpful to have a clear process in the CBA or FD policy. </w:t>
      </w:r>
    </w:p>
    <w:p w14:paraId="6CB3B05B" w14:textId="77777777" w:rsidR="006B2083" w:rsidRDefault="006B2083" w:rsidP="006B2083">
      <w:pPr>
        <w:pStyle w:val="NoSpacing"/>
        <w:rPr>
          <w:rFonts w:ascii="Times New Roman" w:hAnsi="Times New Roman"/>
          <w:b/>
          <w:bCs/>
          <w:sz w:val="24"/>
          <w:szCs w:val="24"/>
        </w:rPr>
      </w:pPr>
    </w:p>
    <w:p w14:paraId="448186AC" w14:textId="77777777" w:rsidR="006B2083" w:rsidRDefault="006B2083" w:rsidP="006B2083">
      <w:pPr>
        <w:pStyle w:val="NoSpacing"/>
        <w:ind w:left="720"/>
        <w:rPr>
          <w:rFonts w:ascii="Times New Roman" w:hAnsi="Times New Roman"/>
          <w:sz w:val="24"/>
          <w:szCs w:val="24"/>
        </w:rPr>
      </w:pPr>
      <w:r w:rsidRPr="005174B8">
        <w:rPr>
          <w:rFonts w:ascii="Times New Roman" w:hAnsi="Times New Roman"/>
          <w:sz w:val="24"/>
          <w:szCs w:val="24"/>
        </w:rPr>
        <w:t xml:space="preserve">Note: While researching this case, found this disturbing </w:t>
      </w:r>
      <w:r>
        <w:rPr>
          <w:rFonts w:ascii="Times New Roman" w:hAnsi="Times New Roman"/>
          <w:sz w:val="24"/>
          <w:szCs w:val="24"/>
        </w:rPr>
        <w:t xml:space="preserve">article about named plaintiff.  </w:t>
      </w:r>
    </w:p>
    <w:p w14:paraId="381858D0" w14:textId="77777777" w:rsidR="006B2083" w:rsidRPr="005174B8" w:rsidRDefault="006B2083" w:rsidP="006B2083">
      <w:pPr>
        <w:pStyle w:val="NoSpacing"/>
        <w:ind w:left="720"/>
        <w:rPr>
          <w:rFonts w:ascii="Times New Roman" w:hAnsi="Times New Roman"/>
          <w:sz w:val="24"/>
          <w:szCs w:val="24"/>
        </w:rPr>
      </w:pPr>
      <w:r w:rsidRPr="005174B8">
        <w:rPr>
          <w:rStyle w:val="timestamp"/>
          <w:rFonts w:ascii="Times New Roman" w:hAnsi="Times New Roman"/>
          <w:sz w:val="24"/>
          <w:szCs w:val="24"/>
        </w:rPr>
        <w:t xml:space="preserve">October 12, 2018, </w:t>
      </w:r>
      <w:r w:rsidRPr="005174B8">
        <w:rPr>
          <w:rFonts w:ascii="Times New Roman" w:hAnsi="Times New Roman"/>
          <w:sz w:val="24"/>
          <w:szCs w:val="24"/>
        </w:rPr>
        <w:t xml:space="preserve">SAVANNAH, GA (WTOC) - The president of the Savannah Professional Firefighters Association has been arrested and is awaiting extradition to Colorado. Robert Milie is in the Chatham County Jail on an extradition hold. The hold is for a sexual assault charge, according to the El Paso County Sheriff’s Office in Colorado. </w:t>
      </w:r>
      <w:hyperlink r:id="rId1895" w:history="1">
        <w:r w:rsidRPr="005174B8">
          <w:rPr>
            <w:rStyle w:val="Hyperlink"/>
            <w:rFonts w:ascii="Times New Roman" w:hAnsi="Times New Roman"/>
            <w:sz w:val="24"/>
            <w:szCs w:val="24"/>
          </w:rPr>
          <w:t>https://www.wtoc.com/2018/10/12/president-savannah-firefighters-association-arrested-incident-colorado/</w:t>
        </w:r>
      </w:hyperlink>
      <w:r w:rsidRPr="005174B8">
        <w:rPr>
          <w:rFonts w:ascii="Times New Roman" w:hAnsi="Times New Roman"/>
          <w:sz w:val="24"/>
          <w:szCs w:val="24"/>
        </w:rPr>
        <w:t xml:space="preserve"> </w:t>
      </w:r>
    </w:p>
    <w:p w14:paraId="191405B9" w14:textId="77777777" w:rsidR="006B2083" w:rsidRDefault="006B2083" w:rsidP="006B2083">
      <w:pPr>
        <w:pStyle w:val="NoSpacing"/>
        <w:rPr>
          <w:rFonts w:ascii="Times New Roman" w:hAnsi="Times New Roman"/>
          <w:b/>
          <w:bCs/>
          <w:sz w:val="24"/>
          <w:szCs w:val="24"/>
        </w:rPr>
      </w:pPr>
    </w:p>
    <w:p w14:paraId="302C3BBC" w14:textId="77777777" w:rsidR="006B2083" w:rsidRPr="005174B8" w:rsidRDefault="006B2083" w:rsidP="006B2083">
      <w:pPr>
        <w:pStyle w:val="NoSpacing"/>
        <w:rPr>
          <w:rFonts w:ascii="Times New Roman" w:eastAsia="Times New Roman" w:hAnsi="Times New Roman"/>
          <w:b/>
          <w:bCs/>
          <w:sz w:val="24"/>
          <w:szCs w:val="24"/>
        </w:rPr>
      </w:pPr>
    </w:p>
    <w:p w14:paraId="2A364FEB" w14:textId="77777777" w:rsidR="006B2083" w:rsidRDefault="006B2083" w:rsidP="00F326E5">
      <w:pPr>
        <w:rPr>
          <w:rFonts w:ascii="Arial Black" w:hAnsi="Arial Black"/>
          <w:b/>
          <w:sz w:val="24"/>
          <w:szCs w:val="24"/>
        </w:rPr>
      </w:pPr>
    </w:p>
    <w:p w14:paraId="44D09ECF" w14:textId="0BED738B" w:rsidR="00FA7B26" w:rsidRDefault="00FA7B26" w:rsidP="00F326E5">
      <w:pPr>
        <w:rPr>
          <w:rFonts w:ascii="Arial Black" w:hAnsi="Arial Black"/>
          <w:b/>
          <w:sz w:val="24"/>
          <w:szCs w:val="24"/>
        </w:rPr>
      </w:pPr>
      <w:r>
        <w:rPr>
          <w:rFonts w:ascii="Arial Black" w:hAnsi="Arial Black"/>
          <w:b/>
          <w:sz w:val="24"/>
          <w:szCs w:val="24"/>
        </w:rPr>
        <w:t>11-1</w:t>
      </w:r>
      <w:r w:rsidR="00B13773">
        <w:rPr>
          <w:rFonts w:ascii="Arial Black" w:hAnsi="Arial Black"/>
          <w:b/>
          <w:sz w:val="24"/>
          <w:szCs w:val="24"/>
        </w:rPr>
        <w:t>4</w:t>
      </w:r>
    </w:p>
    <w:p w14:paraId="6E9FAF7C" w14:textId="77777777" w:rsidR="00FA7B26" w:rsidRPr="00B370C5" w:rsidRDefault="00FA7B26" w:rsidP="00FA7B26">
      <w:pPr>
        <w:spacing w:before="100" w:beforeAutospacing="1" w:after="100" w:afterAutospacing="1" w:line="240" w:lineRule="auto"/>
        <w:rPr>
          <w:rFonts w:ascii="Arial Black" w:eastAsia="Times New Roman" w:hAnsi="Arial Black"/>
          <w:b/>
          <w:bCs/>
          <w:sz w:val="28"/>
          <w:szCs w:val="28"/>
        </w:rPr>
      </w:pPr>
      <w:r w:rsidRPr="00B370C5">
        <w:rPr>
          <w:rFonts w:ascii="Arial Black" w:eastAsia="Times New Roman" w:hAnsi="Arial Black"/>
          <w:b/>
          <w:bCs/>
          <w:sz w:val="28"/>
          <w:szCs w:val="28"/>
        </w:rPr>
        <w:t xml:space="preserve">WI: </w:t>
      </w:r>
      <w:r>
        <w:rPr>
          <w:rFonts w:ascii="Arial Black" w:eastAsia="Times New Roman" w:hAnsi="Arial Black"/>
          <w:b/>
          <w:bCs/>
          <w:sz w:val="28"/>
          <w:szCs w:val="28"/>
        </w:rPr>
        <w:t>PARAMEDIC SUED VILLAGE – CLAIMED NOT PAID OVERTIME AFTER 40 HRS - PROPOSED $55K SETTLEMENT, COURT REQUIRES MORE INFO TO CONFIRM FAIR AMOUNT</w:t>
      </w:r>
    </w:p>
    <w:p w14:paraId="7F1C2B8B" w14:textId="77777777" w:rsidR="00FA7B26" w:rsidRPr="00085C91" w:rsidRDefault="00FA7B26" w:rsidP="00FA7B26">
      <w:pPr>
        <w:pStyle w:val="NoSpacing"/>
        <w:jc w:val="both"/>
        <w:rPr>
          <w:rFonts w:ascii="Times New Roman" w:eastAsia="Times New Roman" w:hAnsi="Times New Roman"/>
          <w:b/>
          <w:bCs/>
          <w:sz w:val="24"/>
          <w:szCs w:val="24"/>
        </w:rPr>
      </w:pPr>
      <w:r w:rsidRPr="00085C91">
        <w:rPr>
          <w:rFonts w:ascii="Times New Roman" w:hAnsi="Times New Roman"/>
          <w:bCs/>
          <w:sz w:val="24"/>
          <w:szCs w:val="24"/>
        </w:rPr>
        <w:t xml:space="preserve">On May 13, 2020, in </w:t>
      </w:r>
      <w:r w:rsidRPr="00085C91">
        <w:rPr>
          <w:rFonts w:ascii="Times New Roman" w:hAnsi="Times New Roman"/>
          <w:bCs/>
          <w:sz w:val="24"/>
          <w:szCs w:val="24"/>
          <w:u w:val="single"/>
        </w:rPr>
        <w:t>Joshua Wendorf v. Village of Plover</w:t>
      </w:r>
      <w:r w:rsidRPr="00085C91">
        <w:rPr>
          <w:rFonts w:ascii="Times New Roman" w:hAnsi="Times New Roman"/>
          <w:bCs/>
          <w:sz w:val="24"/>
          <w:szCs w:val="24"/>
        </w:rPr>
        <w:t>, U.S. District Court William M. Conley, Western District of Wisconsin, declined to approve the settlement, and gave parties 14 days to submit further information regarding “</w:t>
      </w:r>
      <w:r w:rsidRPr="00085C91">
        <w:rPr>
          <w:rFonts w:ascii="Times New Roman" w:eastAsia="Times New Roman" w:hAnsi="Times New Roman"/>
          <w:bCs/>
          <w:sz w:val="24"/>
          <w:szCs w:val="24"/>
        </w:rPr>
        <w:t>whether (a) plaintiff's compensation under the agreement is reasonably consistent with the minimum hourly wage calculation contemplated by the FLSA; and (b) counsel's fee recovery is consistent with plaintiff's written agreement or otherwise supported on this record.”</w:t>
      </w:r>
    </w:p>
    <w:p w14:paraId="76BF6B4E" w14:textId="77777777" w:rsidR="00FA7B26" w:rsidRPr="00085C91" w:rsidRDefault="00FA7B26" w:rsidP="00FA7B26">
      <w:pPr>
        <w:pStyle w:val="NoSpacing"/>
        <w:jc w:val="both"/>
        <w:rPr>
          <w:rFonts w:eastAsia="Times New Roman"/>
          <w:sz w:val="24"/>
          <w:szCs w:val="24"/>
        </w:rPr>
      </w:pPr>
      <w:hyperlink r:id="rId1896" w:history="1">
        <w:r w:rsidRPr="00085C91">
          <w:rPr>
            <w:rStyle w:val="Hyperlink"/>
            <w:rFonts w:ascii="Times New Roman" w:hAnsi="Times New Roman"/>
            <w:sz w:val="24"/>
            <w:szCs w:val="24"/>
          </w:rPr>
          <w:t>https://public.fastcase.com/Wl%2B2t%2BeVuI35%2FN70vAMFZiOi%2BYkXYMCNnCyjC1oPHdpZa1VeLChap2kxy9UfPfNs</w:t>
        </w:r>
      </w:hyperlink>
      <w:r w:rsidRPr="00085C91">
        <w:rPr>
          <w:rFonts w:eastAsia="Times New Roman"/>
          <w:sz w:val="24"/>
          <w:szCs w:val="24"/>
        </w:rPr>
        <w:t xml:space="preserve"> </w:t>
      </w:r>
    </w:p>
    <w:p w14:paraId="12574E10" w14:textId="77777777" w:rsidR="00FA7B26" w:rsidRDefault="00FA7B26" w:rsidP="00FA7B26">
      <w:pPr>
        <w:spacing w:before="100" w:beforeAutospacing="1" w:after="100" w:afterAutospacing="1" w:line="240" w:lineRule="auto"/>
        <w:rPr>
          <w:rFonts w:ascii="Times New Roman" w:eastAsia="Times New Roman" w:hAnsi="Times New Roman"/>
          <w:b/>
          <w:bCs/>
          <w:sz w:val="24"/>
          <w:szCs w:val="24"/>
        </w:rPr>
      </w:pPr>
      <w:r w:rsidRPr="00E06806">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If the paramedic was not “cross-trained” as a firefighter, or had no firefighting duties, he would normally be entitled to overtime pay after 40 hours in a work week.   </w:t>
      </w:r>
    </w:p>
    <w:p w14:paraId="3A5A72A9" w14:textId="77777777" w:rsidR="00FA7B26" w:rsidRPr="00E06806" w:rsidRDefault="00FA7B26" w:rsidP="00FA7B26">
      <w:pPr>
        <w:spacing w:before="100" w:beforeAutospacing="1" w:after="100" w:afterAutospacing="1" w:line="240" w:lineRule="auto"/>
        <w:ind w:left="720"/>
        <w:rPr>
          <w:rFonts w:ascii="Times New Roman" w:eastAsia="Times New Roman" w:hAnsi="Times New Roman"/>
          <w:sz w:val="24"/>
          <w:szCs w:val="24"/>
        </w:rPr>
      </w:pPr>
      <w:r w:rsidRPr="00E06806">
        <w:rPr>
          <w:rFonts w:ascii="Times New Roman" w:eastAsia="Times New Roman" w:hAnsi="Times New Roman"/>
          <w:sz w:val="24"/>
          <w:szCs w:val="24"/>
        </w:rPr>
        <w:t xml:space="preserve">Note: </w:t>
      </w:r>
      <w:r w:rsidRPr="00E06806">
        <w:rPr>
          <w:rFonts w:ascii="Times New Roman" w:hAnsi="Times New Roman"/>
          <w:sz w:val="24"/>
          <w:szCs w:val="24"/>
        </w:rPr>
        <w:t>Section 7(k) of the</w:t>
      </w:r>
      <w:r>
        <w:rPr>
          <w:rFonts w:ascii="Times New Roman" w:hAnsi="Times New Roman"/>
          <w:sz w:val="24"/>
          <w:szCs w:val="24"/>
        </w:rPr>
        <w:t xml:space="preserve"> FLSA </w:t>
      </w:r>
      <w:r w:rsidRPr="00E06806">
        <w:rPr>
          <w:rFonts w:ascii="Times New Roman" w:hAnsi="Times New Roman"/>
          <w:sz w:val="24"/>
          <w:szCs w:val="24"/>
        </w:rPr>
        <w:t xml:space="preserve">provides a partial overtime pay exemption for fire protection and law enforcement personnel (including security personnel in correctional institutions) who are employed by public agencies on a work period basis. </w:t>
      </w:r>
      <w:hyperlink r:id="rId1897" w:history="1">
        <w:r w:rsidRPr="00E06806">
          <w:rPr>
            <w:rStyle w:val="Hyperlink"/>
            <w:sz w:val="24"/>
            <w:szCs w:val="24"/>
          </w:rPr>
          <w:t>https://www.law.cornell.edu/cfr/text/29/553.201</w:t>
        </w:r>
      </w:hyperlink>
      <w:r w:rsidRPr="00E06806">
        <w:rPr>
          <w:rFonts w:ascii="Times New Roman" w:hAnsi="Times New Roman"/>
          <w:sz w:val="24"/>
          <w:szCs w:val="24"/>
        </w:rPr>
        <w:t xml:space="preserve"> </w:t>
      </w:r>
    </w:p>
    <w:p w14:paraId="6508815A" w14:textId="77777777" w:rsidR="00FA7B26" w:rsidRDefault="00FA7B26" w:rsidP="00F326E5">
      <w:pPr>
        <w:rPr>
          <w:rFonts w:ascii="Arial Black" w:hAnsi="Arial Black"/>
          <w:b/>
          <w:sz w:val="24"/>
          <w:szCs w:val="24"/>
        </w:rPr>
      </w:pPr>
    </w:p>
    <w:p w14:paraId="6C539940" w14:textId="77777777" w:rsidR="00FA7B26" w:rsidRDefault="00FA7B26" w:rsidP="00F326E5">
      <w:pPr>
        <w:rPr>
          <w:rFonts w:ascii="Arial Black" w:hAnsi="Arial Black"/>
          <w:b/>
          <w:sz w:val="24"/>
          <w:szCs w:val="24"/>
        </w:rPr>
      </w:pPr>
    </w:p>
    <w:p w14:paraId="726D3577" w14:textId="041E76C7" w:rsidR="0066298F" w:rsidRDefault="003E0062" w:rsidP="00F326E5">
      <w:pPr>
        <w:rPr>
          <w:rFonts w:ascii="Arial Black" w:hAnsi="Arial Black"/>
          <w:b/>
          <w:sz w:val="24"/>
          <w:szCs w:val="24"/>
        </w:rPr>
      </w:pPr>
      <w:r>
        <w:rPr>
          <w:rFonts w:ascii="Arial Black" w:hAnsi="Arial Black"/>
          <w:b/>
          <w:sz w:val="24"/>
          <w:szCs w:val="24"/>
        </w:rPr>
        <w:t>1</w:t>
      </w:r>
      <w:r w:rsidR="0066298F">
        <w:rPr>
          <w:rFonts w:ascii="Arial Black" w:hAnsi="Arial Black"/>
          <w:b/>
          <w:sz w:val="24"/>
          <w:szCs w:val="24"/>
        </w:rPr>
        <w:t>1-1</w:t>
      </w:r>
      <w:r w:rsidR="00B13773">
        <w:rPr>
          <w:rFonts w:ascii="Arial Black" w:hAnsi="Arial Black"/>
          <w:b/>
          <w:sz w:val="24"/>
          <w:szCs w:val="24"/>
        </w:rPr>
        <w:t>3</w:t>
      </w:r>
    </w:p>
    <w:p w14:paraId="14EAB4C5" w14:textId="77777777" w:rsidR="0066298F" w:rsidRDefault="0066298F" w:rsidP="0066298F">
      <w:pPr>
        <w:pStyle w:val="NoSpacing"/>
        <w:rPr>
          <w:rFonts w:ascii="DArial Black" w:hAnsi="DArial Black"/>
          <w:sz w:val="28"/>
          <w:szCs w:val="28"/>
        </w:rPr>
      </w:pPr>
      <w:bookmarkStart w:id="392" w:name="_Hlk39771771"/>
      <w:r w:rsidRPr="001953A2">
        <w:rPr>
          <w:rFonts w:ascii="Arial Black" w:hAnsi="Arial Black"/>
          <w:sz w:val="28"/>
          <w:szCs w:val="28"/>
        </w:rPr>
        <w:t>U.S. DEPT. OF LABOR:  BONUS PAYMENTS FOR LENGTH OF SERVICE – IF GUARANTEED</w:t>
      </w:r>
      <w:r>
        <w:rPr>
          <w:rFonts w:ascii="Arial Black" w:hAnsi="Arial Black"/>
          <w:sz w:val="28"/>
          <w:szCs w:val="28"/>
        </w:rPr>
        <w:t>, M</w:t>
      </w:r>
      <w:r w:rsidRPr="001953A2">
        <w:rPr>
          <w:rFonts w:ascii="Arial Black" w:hAnsi="Arial Black"/>
          <w:sz w:val="28"/>
          <w:szCs w:val="28"/>
        </w:rPr>
        <w:t xml:space="preserve">UST </w:t>
      </w:r>
      <w:r>
        <w:rPr>
          <w:rFonts w:ascii="Arial Black" w:hAnsi="Arial Black"/>
          <w:sz w:val="28"/>
          <w:szCs w:val="28"/>
        </w:rPr>
        <w:t>INCLUDE IN “</w:t>
      </w:r>
      <w:r w:rsidRPr="001953A2">
        <w:rPr>
          <w:rFonts w:ascii="Arial Black" w:hAnsi="Arial Black"/>
          <w:sz w:val="28"/>
          <w:szCs w:val="28"/>
        </w:rPr>
        <w:t>REGULAR RATE OF PAY</w:t>
      </w:r>
      <w:r>
        <w:rPr>
          <w:rFonts w:ascii="DArial Black" w:hAnsi="DArial Black"/>
          <w:sz w:val="28"/>
          <w:szCs w:val="28"/>
        </w:rPr>
        <w:t>”</w:t>
      </w:r>
    </w:p>
    <w:p w14:paraId="0B259E05" w14:textId="77777777" w:rsidR="0066298F" w:rsidRDefault="0066298F" w:rsidP="0066298F">
      <w:pPr>
        <w:pStyle w:val="NoSpacing"/>
        <w:rPr>
          <w:rFonts w:ascii="DArial Black" w:hAnsi="DArial Black"/>
          <w:sz w:val="28"/>
          <w:szCs w:val="28"/>
        </w:rPr>
      </w:pPr>
    </w:p>
    <w:p w14:paraId="3D2BDEFD" w14:textId="77777777" w:rsidR="0066298F" w:rsidRPr="00665BD0" w:rsidRDefault="0066298F" w:rsidP="0066298F">
      <w:pPr>
        <w:pStyle w:val="NoSpacing"/>
        <w:rPr>
          <w:rFonts w:ascii="Times New Roman" w:hAnsi="Times New Roman"/>
          <w:b/>
          <w:bCs/>
          <w:sz w:val="24"/>
          <w:szCs w:val="24"/>
        </w:rPr>
      </w:pPr>
      <w:r w:rsidRPr="00665BD0">
        <w:rPr>
          <w:rFonts w:ascii="Times New Roman" w:hAnsi="Times New Roman"/>
          <w:bCs/>
          <w:sz w:val="24"/>
          <w:szCs w:val="24"/>
        </w:rPr>
        <w:t xml:space="preserve">On March 26, 2020, the U.S. Department of Labor, Wage &amp; Hour Division, issued Opinion Letter </w:t>
      </w:r>
      <w:bookmarkStart w:id="393" w:name="_Hlk39847348"/>
      <w:r w:rsidRPr="00665BD0">
        <w:rPr>
          <w:rFonts w:ascii="Times New Roman" w:hAnsi="Times New Roman"/>
          <w:bCs/>
          <w:sz w:val="24"/>
          <w:szCs w:val="24"/>
        </w:rPr>
        <w:t>FLSA 2020-3</w:t>
      </w:r>
      <w:bookmarkEnd w:id="393"/>
      <w:r w:rsidRPr="00665BD0">
        <w:rPr>
          <w:rFonts w:ascii="Times New Roman" w:hAnsi="Times New Roman"/>
          <w:bCs/>
          <w:sz w:val="24"/>
          <w:szCs w:val="24"/>
        </w:rPr>
        <w:t>.</w:t>
      </w:r>
    </w:p>
    <w:p w14:paraId="57165A17" w14:textId="77777777" w:rsidR="0066298F" w:rsidRPr="00665BD0" w:rsidRDefault="0066298F" w:rsidP="0066298F">
      <w:pPr>
        <w:pStyle w:val="NoSpacing"/>
        <w:rPr>
          <w:rFonts w:ascii="Times New Roman" w:hAnsi="Times New Roman"/>
          <w:b/>
          <w:bCs/>
          <w:sz w:val="24"/>
          <w:szCs w:val="24"/>
        </w:rPr>
      </w:pPr>
    </w:p>
    <w:p w14:paraId="0F8AF774"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 xml:space="preserve">“Based on the facts you have provided, the City’s longevity payments made to employees pursuant to the 1981 Resolution are not excludable as ‘payments </w:t>
      </w:r>
      <w:proofErr w:type="gramStart"/>
      <w:r w:rsidRPr="00665BD0">
        <w:rPr>
          <w:rFonts w:ascii="Times New Roman" w:hAnsi="Times New Roman"/>
          <w:bCs/>
          <w:sz w:val="24"/>
          <w:szCs w:val="24"/>
        </w:rPr>
        <w:t>in the nature of gifts’</w:t>
      </w:r>
      <w:proofErr w:type="gramEnd"/>
      <w:r w:rsidRPr="00665BD0">
        <w:rPr>
          <w:rFonts w:ascii="Times New Roman" w:hAnsi="Times New Roman"/>
          <w:bCs/>
          <w:sz w:val="24"/>
          <w:szCs w:val="24"/>
        </w:rPr>
        <w:t xml:space="preserve"> under Section 207(e)(1)…. Thus, longevity payments to eligible employees are </w:t>
      </w:r>
      <w:r w:rsidRPr="00665BD0">
        <w:rPr>
          <w:rFonts w:ascii="Times New Roman" w:hAnsi="Times New Roman"/>
          <w:bCs/>
          <w:i/>
          <w:iCs/>
          <w:sz w:val="24"/>
          <w:szCs w:val="24"/>
        </w:rPr>
        <w:t>required</w:t>
      </w:r>
      <w:r w:rsidRPr="00665BD0">
        <w:rPr>
          <w:rFonts w:ascii="Times New Roman" w:hAnsi="Times New Roman"/>
          <w:bCs/>
          <w:sz w:val="24"/>
          <w:szCs w:val="24"/>
        </w:rPr>
        <w:t xml:space="preserve"> by the 1981 Resolution…. Rather, such longevity </w:t>
      </w:r>
      <w:proofErr w:type="gramStart"/>
      <w:r w:rsidRPr="00665BD0">
        <w:rPr>
          <w:rFonts w:ascii="Times New Roman" w:hAnsi="Times New Roman"/>
          <w:bCs/>
          <w:sz w:val="24"/>
          <w:szCs w:val="24"/>
        </w:rPr>
        <w:t>pay</w:t>
      </w:r>
      <w:proofErr w:type="gramEnd"/>
      <w:r w:rsidRPr="00665BD0">
        <w:rPr>
          <w:rFonts w:ascii="Times New Roman" w:hAnsi="Times New Roman"/>
          <w:bCs/>
          <w:sz w:val="24"/>
          <w:szCs w:val="24"/>
        </w:rPr>
        <w:t xml:space="preserve"> required by law must be included in the regular rate…. If, on the other hand, the City’s Resolution said that “eligible employees of the City </w:t>
      </w:r>
      <w:r w:rsidRPr="00665BD0">
        <w:rPr>
          <w:rFonts w:ascii="Times New Roman" w:hAnsi="Times New Roman"/>
          <w:bCs/>
          <w:i/>
          <w:iCs/>
          <w:sz w:val="24"/>
          <w:szCs w:val="24"/>
        </w:rPr>
        <w:t xml:space="preserve">may </w:t>
      </w:r>
      <w:r w:rsidRPr="00665BD0">
        <w:rPr>
          <w:rFonts w:ascii="Times New Roman" w:hAnsi="Times New Roman"/>
          <w:bCs/>
          <w:sz w:val="24"/>
          <w:szCs w:val="24"/>
        </w:rPr>
        <w:t xml:space="preserve">be entitled to longevity pay” of up to a maximum amount … the payments could still be excluded from the regular rate….”   </w:t>
      </w:r>
      <w:bookmarkStart w:id="394" w:name="_Hlk39847370"/>
      <w:r w:rsidR="00BC38B6">
        <w:fldChar w:fldCharType="begin"/>
      </w:r>
      <w:r w:rsidR="00BC38B6">
        <w:instrText xml:space="preserve"> HYPERLINK "https://www.dol.gov/sites/dolgov/files/WHD/legacy/files/2020_03_26_03_FLSA.pdf" </w:instrText>
      </w:r>
      <w:r w:rsidR="00BC38B6">
        <w:fldChar w:fldCharType="separate"/>
      </w:r>
      <w:r w:rsidRPr="00665BD0">
        <w:rPr>
          <w:rStyle w:val="Hyperlink"/>
          <w:rFonts w:ascii="Times New Roman" w:hAnsi="Times New Roman"/>
          <w:b/>
          <w:sz w:val="24"/>
          <w:szCs w:val="24"/>
        </w:rPr>
        <w:t>https://www.dol.gov/sites/dolgov/files/WHD/legacy/files/2020_03_26_03_FLSA.pdf</w:t>
      </w:r>
      <w:r w:rsidR="00BC38B6">
        <w:rPr>
          <w:rStyle w:val="Hyperlink"/>
          <w:rFonts w:ascii="Times New Roman" w:hAnsi="Times New Roman"/>
          <w:b/>
          <w:sz w:val="24"/>
          <w:szCs w:val="24"/>
        </w:rPr>
        <w:fldChar w:fldCharType="end"/>
      </w:r>
    </w:p>
    <w:bookmarkEnd w:id="392"/>
    <w:bookmarkEnd w:id="394"/>
    <w:p w14:paraId="6143E179" w14:textId="77777777" w:rsidR="0066298F" w:rsidRPr="00665BD0" w:rsidRDefault="0066298F" w:rsidP="0066298F">
      <w:pPr>
        <w:pStyle w:val="NoSpacing"/>
        <w:rPr>
          <w:rFonts w:ascii="Times New Roman" w:hAnsi="Times New Roman"/>
          <w:b/>
          <w:bCs/>
          <w:sz w:val="24"/>
          <w:szCs w:val="24"/>
        </w:rPr>
      </w:pPr>
    </w:p>
    <w:p w14:paraId="6E3767DF" w14:textId="77777777" w:rsidR="0066298F" w:rsidRPr="00665BD0" w:rsidRDefault="0066298F" w:rsidP="0066298F">
      <w:pPr>
        <w:pStyle w:val="NoSpacing"/>
        <w:rPr>
          <w:rFonts w:ascii="Times New Roman" w:hAnsi="Times New Roman"/>
          <w:b/>
          <w:bCs/>
          <w:sz w:val="24"/>
          <w:szCs w:val="24"/>
        </w:rPr>
      </w:pPr>
      <w:r w:rsidRPr="00665BD0">
        <w:rPr>
          <w:rFonts w:ascii="Times New Roman" w:hAnsi="Times New Roman"/>
          <w:b/>
          <w:bCs/>
          <w:sz w:val="24"/>
          <w:szCs w:val="24"/>
        </w:rPr>
        <w:t>Legal Lessons Learned: Under this opinion letter, employees of this city who are paid on an hourly basis will now be entitled to a higher hourly rate of pay based on the guaranteed annual longevity bonus.</w:t>
      </w:r>
      <w:r w:rsidRPr="00665BD0">
        <w:rPr>
          <w:rFonts w:ascii="Times New Roman" w:hAnsi="Times New Roman"/>
          <w:sz w:val="24"/>
          <w:szCs w:val="24"/>
        </w:rPr>
        <w:t xml:space="preserve">  </w:t>
      </w:r>
      <w:r w:rsidRPr="00665BD0">
        <w:rPr>
          <w:rFonts w:ascii="Times New Roman" w:hAnsi="Times New Roman"/>
          <w:bCs/>
          <w:sz w:val="24"/>
          <w:szCs w:val="24"/>
        </w:rPr>
        <w:t xml:space="preserve">See the regulation: </w:t>
      </w:r>
    </w:p>
    <w:p w14:paraId="5E98D311" w14:textId="77777777" w:rsidR="0066298F" w:rsidRPr="00665BD0" w:rsidRDefault="0066298F" w:rsidP="0066298F">
      <w:pPr>
        <w:pStyle w:val="NoSpacing"/>
        <w:ind w:firstLine="720"/>
        <w:rPr>
          <w:rFonts w:ascii="Times New Roman" w:hAnsi="Times New Roman"/>
          <w:b/>
          <w:bCs/>
          <w:sz w:val="24"/>
          <w:szCs w:val="24"/>
        </w:rPr>
      </w:pPr>
      <w:r w:rsidRPr="00665BD0">
        <w:rPr>
          <w:rFonts w:ascii="Times New Roman" w:hAnsi="Times New Roman"/>
          <w:bCs/>
          <w:sz w:val="24"/>
          <w:szCs w:val="24"/>
        </w:rPr>
        <w:t>29 U.S.C. § 207(e)(l)</w:t>
      </w:r>
    </w:p>
    <w:p w14:paraId="27E61329" w14:textId="77777777" w:rsidR="0066298F" w:rsidRPr="00665BD0" w:rsidRDefault="0066298F" w:rsidP="0066298F">
      <w:pPr>
        <w:pStyle w:val="NoSpacing"/>
        <w:ind w:left="720"/>
        <w:rPr>
          <w:rStyle w:val="heading"/>
          <w:rFonts w:ascii="Times New Roman" w:hAnsi="Times New Roman"/>
          <w:b/>
          <w:bCs/>
          <w:sz w:val="24"/>
          <w:szCs w:val="24"/>
        </w:rPr>
      </w:pPr>
      <w:r w:rsidRPr="00665BD0">
        <w:rPr>
          <w:rStyle w:val="num"/>
          <w:rFonts w:ascii="Times New Roman" w:hAnsi="Times New Roman"/>
          <w:bCs/>
          <w:sz w:val="24"/>
          <w:szCs w:val="24"/>
        </w:rPr>
        <w:lastRenderedPageBreak/>
        <w:t>(e)</w:t>
      </w:r>
      <w:r w:rsidRPr="00665BD0">
        <w:rPr>
          <w:rStyle w:val="heading"/>
          <w:rFonts w:ascii="Times New Roman" w:hAnsi="Times New Roman"/>
          <w:bCs/>
          <w:sz w:val="24"/>
          <w:szCs w:val="24"/>
        </w:rPr>
        <w:t xml:space="preserve"> “Regular rate” defined</w:t>
      </w:r>
    </w:p>
    <w:p w14:paraId="4079D985" w14:textId="77777777" w:rsidR="0066298F" w:rsidRPr="00665BD0" w:rsidRDefault="0066298F" w:rsidP="0066298F">
      <w:pPr>
        <w:pStyle w:val="NoSpacing"/>
        <w:ind w:left="720"/>
        <w:rPr>
          <w:rFonts w:ascii="Times New Roman" w:hAnsi="Times New Roman"/>
          <w:b/>
          <w:bCs/>
          <w:sz w:val="24"/>
          <w:szCs w:val="24"/>
        </w:rPr>
      </w:pPr>
      <w:r w:rsidRPr="00665BD0">
        <w:rPr>
          <w:rStyle w:val="chapeau"/>
          <w:rFonts w:ascii="Times New Roman" w:hAnsi="Times New Roman"/>
          <w:bCs/>
          <w:sz w:val="24"/>
          <w:szCs w:val="24"/>
        </w:rPr>
        <w:t xml:space="preserve">As used in this section the “regular rate” at which an </w:t>
      </w:r>
      <w:hyperlink r:id="rId1898" w:history="1">
        <w:r w:rsidRPr="00665BD0">
          <w:rPr>
            <w:rStyle w:val="Hyperlink"/>
            <w:rFonts w:ascii="Times New Roman" w:hAnsi="Times New Roman"/>
            <w:b/>
            <w:sz w:val="24"/>
            <w:szCs w:val="24"/>
          </w:rPr>
          <w:t>employee</w:t>
        </w:r>
      </w:hyperlink>
      <w:r w:rsidRPr="00665BD0">
        <w:rPr>
          <w:rStyle w:val="chapeau"/>
          <w:rFonts w:ascii="Times New Roman" w:hAnsi="Times New Roman"/>
          <w:bCs/>
          <w:sz w:val="24"/>
          <w:szCs w:val="24"/>
        </w:rPr>
        <w:t xml:space="preserve"> is employed shall be deemed to include all remuneration for employment paid to, or on behalf of, the </w:t>
      </w:r>
      <w:hyperlink r:id="rId1899" w:history="1">
        <w:r w:rsidRPr="00665BD0">
          <w:rPr>
            <w:rStyle w:val="Hyperlink"/>
            <w:rFonts w:ascii="Times New Roman" w:hAnsi="Times New Roman"/>
            <w:b/>
            <w:sz w:val="24"/>
            <w:szCs w:val="24"/>
          </w:rPr>
          <w:t>employee</w:t>
        </w:r>
      </w:hyperlink>
      <w:r w:rsidRPr="00665BD0">
        <w:rPr>
          <w:rStyle w:val="chapeau"/>
          <w:rFonts w:ascii="Times New Roman" w:hAnsi="Times New Roman"/>
          <w:bCs/>
          <w:sz w:val="24"/>
          <w:szCs w:val="24"/>
        </w:rPr>
        <w:t>, but shall not be deemed to include—</w:t>
      </w:r>
      <w:r w:rsidRPr="00665BD0">
        <w:rPr>
          <w:rFonts w:ascii="Times New Roman" w:hAnsi="Times New Roman"/>
          <w:bCs/>
          <w:sz w:val="24"/>
          <w:szCs w:val="24"/>
        </w:rPr>
        <w:t xml:space="preserve"> </w:t>
      </w:r>
    </w:p>
    <w:p w14:paraId="1D9AA40D" w14:textId="77777777" w:rsidR="0066298F" w:rsidRPr="00665BD0" w:rsidRDefault="0066298F" w:rsidP="0066298F">
      <w:pPr>
        <w:pStyle w:val="NoSpacing"/>
        <w:ind w:left="720"/>
        <w:rPr>
          <w:rFonts w:ascii="Times New Roman" w:hAnsi="Times New Roman"/>
          <w:b/>
          <w:bCs/>
          <w:sz w:val="24"/>
          <w:szCs w:val="24"/>
        </w:rPr>
      </w:pPr>
      <w:bookmarkStart w:id="395" w:name="e_1"/>
      <w:bookmarkEnd w:id="395"/>
      <w:r w:rsidRPr="00665BD0">
        <w:rPr>
          <w:rStyle w:val="num"/>
          <w:rFonts w:ascii="Times New Roman" w:hAnsi="Times New Roman"/>
          <w:bCs/>
          <w:sz w:val="24"/>
          <w:szCs w:val="24"/>
        </w:rPr>
        <w:t>(1)</w:t>
      </w:r>
      <w:r w:rsidRPr="00665BD0">
        <w:rPr>
          <w:rFonts w:ascii="Times New Roman" w:hAnsi="Times New Roman"/>
          <w:bCs/>
          <w:sz w:val="24"/>
          <w:szCs w:val="24"/>
        </w:rPr>
        <w:t xml:space="preserve"> sums paid as gifts; payments </w:t>
      </w:r>
      <w:proofErr w:type="gramStart"/>
      <w:r w:rsidRPr="00665BD0">
        <w:rPr>
          <w:rFonts w:ascii="Times New Roman" w:hAnsi="Times New Roman"/>
          <w:bCs/>
          <w:sz w:val="24"/>
          <w:szCs w:val="24"/>
        </w:rPr>
        <w:t>in the nature of gifts</w:t>
      </w:r>
      <w:proofErr w:type="gramEnd"/>
      <w:r w:rsidRPr="00665BD0">
        <w:rPr>
          <w:rFonts w:ascii="Times New Roman" w:hAnsi="Times New Roman"/>
          <w:bCs/>
          <w:sz w:val="24"/>
          <w:szCs w:val="24"/>
        </w:rPr>
        <w:t xml:space="preserve"> made at Christmas time or on other special occasions, as a reward for service, the amounts of which are not measured by or dependent on hours worked, production, or efficiency…. </w:t>
      </w:r>
      <w:hyperlink r:id="rId1900" w:history="1">
        <w:r w:rsidRPr="00665BD0">
          <w:rPr>
            <w:rStyle w:val="Hyperlink"/>
            <w:rFonts w:ascii="Times New Roman" w:hAnsi="Times New Roman"/>
            <w:b/>
            <w:sz w:val="24"/>
            <w:szCs w:val="24"/>
          </w:rPr>
          <w:t>https://www.law.cornell.edu/uscode/text/29/207</w:t>
        </w:r>
      </w:hyperlink>
      <w:r w:rsidRPr="00665BD0">
        <w:rPr>
          <w:rFonts w:ascii="Times New Roman" w:hAnsi="Times New Roman"/>
          <w:bCs/>
          <w:sz w:val="24"/>
          <w:szCs w:val="24"/>
        </w:rPr>
        <w:t xml:space="preserve"> </w:t>
      </w:r>
    </w:p>
    <w:p w14:paraId="50944D4E" w14:textId="77777777" w:rsidR="0066298F" w:rsidRPr="000426EE" w:rsidRDefault="0066298F" w:rsidP="0066298F">
      <w:pPr>
        <w:pStyle w:val="NoSpacing"/>
        <w:rPr>
          <w:b/>
          <w:bCs/>
          <w:sz w:val="24"/>
          <w:szCs w:val="24"/>
        </w:rPr>
      </w:pPr>
    </w:p>
    <w:p w14:paraId="245CFAD0" w14:textId="77777777" w:rsidR="0066298F" w:rsidRDefault="0066298F" w:rsidP="00F326E5">
      <w:pPr>
        <w:rPr>
          <w:rFonts w:ascii="Arial Black" w:hAnsi="Arial Black"/>
          <w:b/>
          <w:sz w:val="24"/>
          <w:szCs w:val="24"/>
        </w:rPr>
      </w:pPr>
    </w:p>
    <w:p w14:paraId="67C345AF" w14:textId="6C40945C" w:rsidR="00F55498" w:rsidRDefault="00B13773" w:rsidP="00F326E5">
      <w:pPr>
        <w:rPr>
          <w:rFonts w:ascii="Arial Black" w:hAnsi="Arial Black"/>
          <w:b/>
          <w:sz w:val="24"/>
          <w:szCs w:val="24"/>
        </w:rPr>
      </w:pPr>
      <w:r>
        <w:rPr>
          <w:rFonts w:ascii="Arial Black" w:hAnsi="Arial Black"/>
          <w:b/>
          <w:sz w:val="24"/>
          <w:szCs w:val="24"/>
        </w:rPr>
        <w:t>11-12</w:t>
      </w:r>
    </w:p>
    <w:p w14:paraId="76825F13" w14:textId="77777777" w:rsidR="00F55498" w:rsidRDefault="00F55498" w:rsidP="00F55498">
      <w:pPr>
        <w:rPr>
          <w:rFonts w:ascii="Arial Black" w:hAnsi="Arial Black"/>
          <w:b/>
          <w:sz w:val="28"/>
          <w:szCs w:val="28"/>
        </w:rPr>
      </w:pPr>
      <w:r>
        <w:rPr>
          <w:rFonts w:ascii="Arial Black" w:hAnsi="Arial Black"/>
          <w:b/>
          <w:sz w:val="28"/>
          <w:szCs w:val="28"/>
        </w:rPr>
        <w:t>DC: U.S. DEPARTMENT OF JUSTICE – SERVICEMEMBERS’ CIVIL RIGHTS</w:t>
      </w:r>
    </w:p>
    <w:p w14:paraId="74101197" w14:textId="77777777" w:rsidR="00F55498" w:rsidRDefault="00F55498" w:rsidP="00F55498">
      <w:pPr>
        <w:pStyle w:val="NoSpacing"/>
        <w:rPr>
          <w:rFonts w:ascii="Times New Roman" w:hAnsi="Times New Roman"/>
          <w:sz w:val="24"/>
          <w:szCs w:val="24"/>
        </w:rPr>
      </w:pPr>
      <w:r w:rsidRPr="00E9307E">
        <w:rPr>
          <w:rFonts w:ascii="Times New Roman" w:hAnsi="Times New Roman"/>
          <w:sz w:val="24"/>
          <w:szCs w:val="24"/>
        </w:rPr>
        <w:t xml:space="preserve">March 30, 2020: DC – COVID-19: Servicemembers’ Civil Rights - Message </w:t>
      </w:r>
      <w:proofErr w:type="gramStart"/>
      <w:r w:rsidRPr="00E9307E">
        <w:rPr>
          <w:rFonts w:ascii="Times New Roman" w:hAnsi="Times New Roman"/>
          <w:sz w:val="24"/>
          <w:szCs w:val="24"/>
        </w:rPr>
        <w:t>From</w:t>
      </w:r>
      <w:proofErr w:type="gramEnd"/>
      <w:r w:rsidRPr="00E9307E">
        <w:rPr>
          <w:rFonts w:ascii="Times New Roman" w:hAnsi="Times New Roman"/>
          <w:sz w:val="24"/>
          <w:szCs w:val="24"/>
        </w:rPr>
        <w:t xml:space="preserve"> </w:t>
      </w:r>
      <w:proofErr w:type="gramStart"/>
      <w:r w:rsidRPr="00E9307E">
        <w:rPr>
          <w:rFonts w:ascii="Times New Roman" w:hAnsi="Times New Roman"/>
          <w:sz w:val="24"/>
          <w:szCs w:val="24"/>
        </w:rPr>
        <w:t>The</w:t>
      </w:r>
      <w:proofErr w:type="gramEnd"/>
      <w:r w:rsidRPr="00E9307E">
        <w:rPr>
          <w:rFonts w:ascii="Times New Roman" w:hAnsi="Times New Roman"/>
          <w:sz w:val="24"/>
          <w:szCs w:val="24"/>
        </w:rPr>
        <w:t xml:space="preserve"> Assistant Attorney General </w:t>
      </w:r>
    </w:p>
    <w:p w14:paraId="277FBC9B" w14:textId="77777777" w:rsidR="00F55498" w:rsidRDefault="00F55498" w:rsidP="00F55498">
      <w:pPr>
        <w:pStyle w:val="NoSpacing"/>
        <w:ind w:left="720"/>
        <w:rPr>
          <w:rFonts w:ascii="Times New Roman" w:hAnsi="Times New Roman"/>
          <w:sz w:val="24"/>
          <w:szCs w:val="24"/>
        </w:rPr>
      </w:pPr>
      <w:r>
        <w:rPr>
          <w:rFonts w:ascii="Times New Roman" w:hAnsi="Times New Roman"/>
          <w:sz w:val="24"/>
          <w:szCs w:val="24"/>
        </w:rPr>
        <w:t>“</w:t>
      </w:r>
      <w:r w:rsidRPr="00E9307E">
        <w:rPr>
          <w:rFonts w:ascii="Times New Roman" w:hAnsi="Times New Roman"/>
          <w:sz w:val="24"/>
          <w:szCs w:val="24"/>
        </w:rPr>
        <w:t xml:space="preserve">The Civil Rights Division enforces multiple federal laws that protect the rights of servicemembers and veterans.  We protect servicemembers’ financial and housing rights by enforcing the Servicemembers Civil Relief Act, or the SCRA.  Since January 2017, our SCRA settlements have included over $10 million in damages and civil penalties.  We protect servicemembers’ civilian employment rights by litigating claims against employers who violate the Uniformed Services Employment and Reemployment Rights Act, or USERRA.  And, we protect their voting rights by enforcing the Uniformed and Overseas Citizens Absentee Voting Act, also known as UOCAVA.  The Division also safeguards the rights of servicemember spouses, dependents, and veterans eligible for certain protections under the SCRA and UOCAVA. *** It is </w:t>
      </w:r>
      <w:proofErr w:type="gramStart"/>
      <w:r w:rsidRPr="00E9307E">
        <w:rPr>
          <w:rFonts w:ascii="Times New Roman" w:hAnsi="Times New Roman"/>
          <w:sz w:val="24"/>
          <w:szCs w:val="24"/>
        </w:rPr>
        <w:t>at this time</w:t>
      </w:r>
      <w:proofErr w:type="gramEnd"/>
      <w:r w:rsidRPr="00E9307E">
        <w:rPr>
          <w:rFonts w:ascii="Times New Roman" w:hAnsi="Times New Roman"/>
          <w:sz w:val="24"/>
          <w:szCs w:val="24"/>
        </w:rPr>
        <w:t xml:space="preserve"> we also ask employers and landlords to be mindful of the responsibilities they have with respect to members of the National Guard and Reserve under USERRA, the SCRA and similar state laws.  These </w:t>
      </w:r>
      <w:proofErr w:type="gramStart"/>
      <w:r w:rsidRPr="00E9307E">
        <w:rPr>
          <w:rFonts w:ascii="Times New Roman" w:hAnsi="Times New Roman"/>
          <w:sz w:val="24"/>
          <w:szCs w:val="24"/>
        </w:rPr>
        <w:t>servicemembers</w:t>
      </w:r>
      <w:proofErr w:type="gramEnd"/>
      <w:r w:rsidRPr="00E9307E">
        <w:rPr>
          <w:rFonts w:ascii="Times New Roman" w:hAnsi="Times New Roman"/>
          <w:sz w:val="24"/>
          <w:szCs w:val="24"/>
        </w:rPr>
        <w:t xml:space="preserve"> are being pulled from their homes and jobs and tasked with vital operations in protection of our most vulnerable citizens.  When this emergency ends, USERRA and other state laws will protect servicemembers’ prompt reemployment and continued pension benefits.  These laws also protect servicemembers from discrimination based on their service.</w:t>
      </w:r>
      <w:r>
        <w:rPr>
          <w:rFonts w:ascii="Times New Roman" w:hAnsi="Times New Roman"/>
          <w:sz w:val="24"/>
          <w:szCs w:val="24"/>
        </w:rPr>
        <w:t>”</w:t>
      </w:r>
      <w:r w:rsidRPr="00E9307E">
        <w:rPr>
          <w:rFonts w:ascii="Times New Roman" w:hAnsi="Times New Roman"/>
          <w:sz w:val="24"/>
          <w:szCs w:val="24"/>
        </w:rPr>
        <w:t xml:space="preserve">  </w:t>
      </w:r>
    </w:p>
    <w:p w14:paraId="6A733C54" w14:textId="77777777" w:rsidR="00F55498" w:rsidRPr="00E9307E" w:rsidRDefault="00F55498" w:rsidP="00F55498">
      <w:pPr>
        <w:pStyle w:val="NoSpacing"/>
        <w:ind w:left="720"/>
        <w:rPr>
          <w:rFonts w:ascii="Times New Roman" w:hAnsi="Times New Roman"/>
          <w:b/>
          <w:sz w:val="24"/>
          <w:szCs w:val="24"/>
        </w:rPr>
      </w:pPr>
      <w:hyperlink r:id="rId1901" w:history="1">
        <w:r w:rsidRPr="00D07486">
          <w:rPr>
            <w:rStyle w:val="Hyperlink"/>
            <w:rFonts w:ascii="Times New Roman" w:hAnsi="Times New Roman"/>
            <w:b/>
            <w:sz w:val="24"/>
            <w:szCs w:val="24"/>
          </w:rPr>
          <w:t>https://www.justice.gov/opa/pr/covid-19-servicemembers-civil-rights-message-assistant-attorney-general</w:t>
        </w:r>
      </w:hyperlink>
      <w:r w:rsidRPr="00E9307E">
        <w:rPr>
          <w:rFonts w:ascii="Times New Roman" w:hAnsi="Times New Roman"/>
          <w:b/>
          <w:sz w:val="24"/>
          <w:szCs w:val="24"/>
        </w:rPr>
        <w:t xml:space="preserve"> </w:t>
      </w:r>
    </w:p>
    <w:p w14:paraId="61DE614B" w14:textId="77777777" w:rsidR="00F55498" w:rsidRDefault="00F55498" w:rsidP="00F55498">
      <w:pPr>
        <w:rPr>
          <w:rFonts w:ascii="Arial Black" w:hAnsi="Arial Black"/>
          <w:b/>
          <w:sz w:val="28"/>
          <w:szCs w:val="28"/>
        </w:rPr>
      </w:pPr>
    </w:p>
    <w:p w14:paraId="6456F1AD" w14:textId="77777777" w:rsidR="00F55498" w:rsidRDefault="00F55498" w:rsidP="00F326E5">
      <w:pPr>
        <w:rPr>
          <w:rFonts w:ascii="Arial Black" w:hAnsi="Arial Black"/>
          <w:b/>
          <w:sz w:val="24"/>
          <w:szCs w:val="24"/>
        </w:rPr>
      </w:pPr>
    </w:p>
    <w:p w14:paraId="474CC558" w14:textId="5A6463F9" w:rsidR="00177094" w:rsidRDefault="00177094" w:rsidP="00F326E5">
      <w:pPr>
        <w:rPr>
          <w:rFonts w:ascii="Arial Black" w:hAnsi="Arial Black"/>
          <w:b/>
          <w:sz w:val="24"/>
          <w:szCs w:val="24"/>
        </w:rPr>
      </w:pPr>
      <w:r>
        <w:rPr>
          <w:rFonts w:ascii="Arial Black" w:hAnsi="Arial Black"/>
          <w:b/>
          <w:sz w:val="24"/>
          <w:szCs w:val="24"/>
        </w:rPr>
        <w:t>11-1</w:t>
      </w:r>
      <w:r w:rsidR="00B13773">
        <w:rPr>
          <w:rFonts w:ascii="Arial Black" w:hAnsi="Arial Black"/>
          <w:b/>
          <w:sz w:val="24"/>
          <w:szCs w:val="24"/>
        </w:rPr>
        <w:t>1</w:t>
      </w:r>
    </w:p>
    <w:p w14:paraId="55D674C5" w14:textId="77777777" w:rsidR="00177094" w:rsidRPr="00BE0EBB" w:rsidRDefault="00177094" w:rsidP="00177094">
      <w:pPr>
        <w:spacing w:before="100" w:beforeAutospacing="1" w:after="100" w:afterAutospacing="1"/>
        <w:rPr>
          <w:rFonts w:ascii="Arial Black" w:eastAsia="Times New Roman" w:hAnsi="Arial Black"/>
          <w:bCs/>
          <w:sz w:val="28"/>
          <w:szCs w:val="28"/>
        </w:rPr>
      </w:pPr>
      <w:bookmarkStart w:id="396" w:name="_Hlk39819600"/>
      <w:r w:rsidRPr="00BE0EBB">
        <w:rPr>
          <w:rFonts w:ascii="Arial Black" w:eastAsia="Times New Roman" w:hAnsi="Arial Black"/>
          <w:bCs/>
          <w:sz w:val="28"/>
          <w:szCs w:val="28"/>
        </w:rPr>
        <w:t xml:space="preserve">KY:  </w:t>
      </w:r>
      <w:r>
        <w:rPr>
          <w:rFonts w:ascii="Arial Black" w:eastAsia="Times New Roman" w:hAnsi="Arial Black"/>
          <w:bCs/>
          <w:sz w:val="28"/>
          <w:szCs w:val="28"/>
        </w:rPr>
        <w:t xml:space="preserve">428 </w:t>
      </w:r>
      <w:r w:rsidRPr="00BE0EBB">
        <w:rPr>
          <w:rFonts w:ascii="Arial Black" w:eastAsia="Times New Roman" w:hAnsi="Arial Black"/>
          <w:bCs/>
          <w:sz w:val="28"/>
          <w:szCs w:val="28"/>
        </w:rPr>
        <w:t xml:space="preserve">FLIGHT MEDICS, </w:t>
      </w:r>
      <w:r>
        <w:rPr>
          <w:rFonts w:ascii="Arial Black" w:eastAsia="Times New Roman" w:hAnsi="Arial Black"/>
          <w:bCs/>
          <w:sz w:val="28"/>
          <w:szCs w:val="28"/>
        </w:rPr>
        <w:t xml:space="preserve">RNS, PILOTS - OVERTIME AFTER 120 HOURS – CLASS ACTION - </w:t>
      </w:r>
      <w:r w:rsidRPr="00BE0EBB">
        <w:rPr>
          <w:rFonts w:ascii="Arial Black" w:eastAsia="Times New Roman" w:hAnsi="Arial Black"/>
          <w:bCs/>
          <w:sz w:val="28"/>
          <w:szCs w:val="28"/>
        </w:rPr>
        <w:t>$2,950,000</w:t>
      </w:r>
      <w:r>
        <w:rPr>
          <w:rFonts w:ascii="Arial Black" w:eastAsia="Times New Roman" w:hAnsi="Arial Black"/>
          <w:bCs/>
          <w:sz w:val="28"/>
          <w:szCs w:val="28"/>
        </w:rPr>
        <w:t xml:space="preserve"> SETTLEMENT</w:t>
      </w:r>
    </w:p>
    <w:p w14:paraId="1F4A7F96" w14:textId="77777777" w:rsidR="00177094" w:rsidRPr="004236BE" w:rsidRDefault="00177094" w:rsidP="00177094">
      <w:pPr>
        <w:spacing w:before="100" w:beforeAutospacing="1" w:after="100" w:afterAutospacing="1"/>
        <w:rPr>
          <w:rFonts w:ascii="Times New Roman" w:eastAsia="Times New Roman" w:hAnsi="Times New Roman"/>
          <w:b/>
          <w:sz w:val="24"/>
          <w:szCs w:val="24"/>
        </w:rPr>
      </w:pPr>
      <w:r w:rsidRPr="004236BE">
        <w:rPr>
          <w:rFonts w:ascii="Times New Roman" w:eastAsia="Times New Roman" w:hAnsi="Times New Roman"/>
          <w:sz w:val="24"/>
          <w:szCs w:val="24"/>
        </w:rPr>
        <w:t xml:space="preserve">On Jan. 21, 2020, in </w:t>
      </w:r>
      <w:r w:rsidRPr="004236BE">
        <w:rPr>
          <w:rFonts w:ascii="Times New Roman" w:eastAsia="Times New Roman" w:hAnsi="Times New Roman"/>
          <w:sz w:val="24"/>
          <w:szCs w:val="24"/>
          <w:u w:val="single"/>
        </w:rPr>
        <w:t xml:space="preserve">Jason Peck v. Air Evac EMS, Inc., d/b/a Air Evac </w:t>
      </w:r>
      <w:proofErr w:type="spellStart"/>
      <w:r w:rsidRPr="004236BE">
        <w:rPr>
          <w:rFonts w:ascii="Times New Roman" w:eastAsia="Times New Roman" w:hAnsi="Times New Roman"/>
          <w:sz w:val="24"/>
          <w:szCs w:val="24"/>
          <w:u w:val="single"/>
        </w:rPr>
        <w:t>Lifeteam</w:t>
      </w:r>
      <w:proofErr w:type="spellEnd"/>
      <w:r w:rsidRPr="004236BE">
        <w:rPr>
          <w:rFonts w:ascii="Times New Roman" w:eastAsia="Times New Roman" w:hAnsi="Times New Roman"/>
          <w:sz w:val="24"/>
          <w:szCs w:val="24"/>
        </w:rPr>
        <w:t>, U.S. District Court Chief Judge Danny C. Reeves, U.S. District Court, Eastern District of Kentucky, Central Division (Lexington), approved the class action settlement, including attorney fees.</w:t>
      </w:r>
    </w:p>
    <w:p w14:paraId="080D650D" w14:textId="77777777" w:rsidR="00177094" w:rsidRPr="004236BE" w:rsidRDefault="00177094" w:rsidP="00177094">
      <w:pPr>
        <w:pStyle w:val="NoSpacing"/>
        <w:ind w:left="720"/>
        <w:rPr>
          <w:rFonts w:ascii="Times New Roman" w:eastAsia="Times New Roman" w:hAnsi="Times New Roman"/>
          <w:b/>
          <w:bCs/>
          <w:sz w:val="24"/>
          <w:szCs w:val="24"/>
        </w:rPr>
      </w:pPr>
      <w:r w:rsidRPr="004236BE">
        <w:rPr>
          <w:rFonts w:ascii="Times New Roman" w:hAnsi="Times New Roman"/>
          <w:bCs/>
          <w:sz w:val="24"/>
          <w:szCs w:val="24"/>
        </w:rPr>
        <w:lastRenderedPageBreak/>
        <w:t xml:space="preserve">“The parties previously agreed to a gross settlement fund of $3,000,000.00, including up to $800,000.000 in attorney's fees and costs and a $15,000.00 incentive for Peck. The parties later filed a motion to amend the settlement seeking $750,000.00 in attorney's fees and a gross settlement fund of $2,950,000.00…  The Court granted the motion to amend the settlement to reduce the amount of attorney's fees. The proposed class includes 428 ‘current and former flight nurses, flight paramedics, and pilots employed by [Air Evac] in the Commonwealth of Kentucky at any time from October 25, </w:t>
      </w:r>
      <w:proofErr w:type="gramStart"/>
      <w:r w:rsidRPr="004236BE">
        <w:rPr>
          <w:rFonts w:ascii="Times New Roman" w:hAnsi="Times New Roman"/>
          <w:bCs/>
          <w:sz w:val="24"/>
          <w:szCs w:val="24"/>
        </w:rPr>
        <w:t>2013</w:t>
      </w:r>
      <w:proofErr w:type="gramEnd"/>
      <w:r w:rsidRPr="004236BE">
        <w:rPr>
          <w:rFonts w:ascii="Times New Roman" w:hAnsi="Times New Roman"/>
          <w:bCs/>
          <w:sz w:val="24"/>
          <w:szCs w:val="24"/>
        </w:rPr>
        <w:t xml:space="preserve"> through July 17, </w:t>
      </w:r>
      <w:proofErr w:type="gramStart"/>
      <w:r w:rsidRPr="004236BE">
        <w:rPr>
          <w:rFonts w:ascii="Times New Roman" w:hAnsi="Times New Roman"/>
          <w:bCs/>
          <w:sz w:val="24"/>
          <w:szCs w:val="24"/>
        </w:rPr>
        <w:t>2019.’</w:t>
      </w:r>
      <w:proofErr w:type="gramEnd"/>
      <w:r w:rsidRPr="004236BE">
        <w:rPr>
          <w:rFonts w:ascii="Times New Roman" w:hAnsi="Times New Roman"/>
          <w:bCs/>
          <w:sz w:val="24"/>
          <w:szCs w:val="24"/>
        </w:rPr>
        <w:t xml:space="preserve"> …. The parties explained that individual settlement payments were calculated by reviewing Air Evac's payroll and timecard records to establish the amount of unpaid overtime for each class member assuming that the claims were true.” </w:t>
      </w:r>
      <w:hyperlink r:id="rId1902" w:history="1">
        <w:r w:rsidRPr="004236BE">
          <w:rPr>
            <w:rStyle w:val="Hyperlink"/>
            <w:rFonts w:ascii="Times New Roman" w:hAnsi="Times New Roman"/>
            <w:b/>
            <w:sz w:val="24"/>
            <w:szCs w:val="24"/>
          </w:rPr>
          <w:t>https://public.fastcase.com/Wl%2B2t%2BeVuI35%2FN70vAMFZpr47IXL%2FNqq46QG15nW3r0g0xInlPjrGPn7upgPO%2BUR</w:t>
        </w:r>
      </w:hyperlink>
      <w:bookmarkEnd w:id="396"/>
      <w:r w:rsidRPr="004236BE">
        <w:rPr>
          <w:rFonts w:ascii="Times New Roman" w:hAnsi="Times New Roman"/>
          <w:bCs/>
          <w:sz w:val="24"/>
          <w:szCs w:val="24"/>
        </w:rPr>
        <w:t xml:space="preserve"> </w:t>
      </w:r>
    </w:p>
    <w:p w14:paraId="2FCF124B" w14:textId="77777777" w:rsidR="00177094" w:rsidRPr="004236BE" w:rsidRDefault="00177094" w:rsidP="00177094">
      <w:pPr>
        <w:spacing w:before="100" w:beforeAutospacing="1" w:after="100" w:afterAutospacing="1"/>
        <w:rPr>
          <w:rFonts w:ascii="Times New Roman" w:eastAsia="Times New Roman" w:hAnsi="Times New Roman"/>
          <w:b/>
          <w:sz w:val="24"/>
          <w:szCs w:val="24"/>
        </w:rPr>
      </w:pPr>
      <w:r w:rsidRPr="004236BE">
        <w:rPr>
          <w:rFonts w:ascii="Times New Roman" w:eastAsia="Times New Roman" w:hAnsi="Times New Roman"/>
          <w:b/>
          <w:sz w:val="24"/>
          <w:szCs w:val="24"/>
        </w:rPr>
        <w:t xml:space="preserve">Legal Lessons Learned: Overtime claims can result in very large settlements; if in doubt about overtime eligibility, contact U.S. Department of Labor, Wage &amp; Hour Division. </w:t>
      </w:r>
    </w:p>
    <w:p w14:paraId="1A5F51EB" w14:textId="77777777" w:rsidR="00177094" w:rsidRDefault="00177094" w:rsidP="00F326E5">
      <w:pPr>
        <w:rPr>
          <w:rFonts w:ascii="Arial Black" w:hAnsi="Arial Black"/>
          <w:b/>
          <w:sz w:val="24"/>
          <w:szCs w:val="24"/>
        </w:rPr>
      </w:pPr>
    </w:p>
    <w:p w14:paraId="75BA1CD7" w14:textId="00344DED" w:rsidR="00177094" w:rsidRDefault="00177094" w:rsidP="00F326E5">
      <w:pPr>
        <w:rPr>
          <w:rFonts w:ascii="Arial Black" w:hAnsi="Arial Black"/>
          <w:b/>
          <w:sz w:val="24"/>
          <w:szCs w:val="24"/>
        </w:rPr>
      </w:pPr>
      <w:r>
        <w:rPr>
          <w:rFonts w:ascii="Arial Black" w:hAnsi="Arial Black"/>
          <w:b/>
          <w:sz w:val="24"/>
          <w:szCs w:val="24"/>
        </w:rPr>
        <w:t>11-</w:t>
      </w:r>
      <w:r w:rsidR="00B13773">
        <w:rPr>
          <w:rFonts w:ascii="Arial Black" w:hAnsi="Arial Black"/>
          <w:b/>
          <w:sz w:val="24"/>
          <w:szCs w:val="24"/>
        </w:rPr>
        <w:t>10</w:t>
      </w:r>
    </w:p>
    <w:p w14:paraId="3AD46F5F" w14:textId="77777777" w:rsidR="00177094" w:rsidRDefault="00177094" w:rsidP="00177094">
      <w:pPr>
        <w:pStyle w:val="NoSpacing"/>
        <w:rPr>
          <w:rFonts w:ascii="Arial Black" w:hAnsi="Arial Black"/>
          <w:b/>
          <w:bCs/>
          <w:sz w:val="28"/>
          <w:szCs w:val="28"/>
        </w:rPr>
      </w:pPr>
      <w:bookmarkStart w:id="397" w:name="_Hlk39771850"/>
      <w:r w:rsidRPr="009A44AE">
        <w:rPr>
          <w:rFonts w:ascii="Arial Black" w:hAnsi="Arial Black"/>
          <w:bCs/>
          <w:sz w:val="28"/>
          <w:szCs w:val="28"/>
        </w:rPr>
        <w:t>CA</w:t>
      </w:r>
      <w:r>
        <w:rPr>
          <w:rFonts w:ascii="Arial Black" w:hAnsi="Arial Black"/>
          <w:bCs/>
          <w:sz w:val="28"/>
          <w:szCs w:val="28"/>
        </w:rPr>
        <w:t>: THREE FF CLAIMED NOT PAID CORRECT “REGULAR RATE OF PAY” FOR 6 PAY PERIODS – CITY PROVED IT WAS ACTUALLY OVERPAYING</w:t>
      </w:r>
    </w:p>
    <w:p w14:paraId="522FA524" w14:textId="77777777" w:rsidR="00177094" w:rsidRPr="004236BE" w:rsidRDefault="00177094" w:rsidP="00177094">
      <w:pPr>
        <w:pStyle w:val="NoSpacing"/>
        <w:rPr>
          <w:rFonts w:ascii="Times New Roman" w:hAnsi="Times New Roman"/>
          <w:b/>
          <w:bCs/>
          <w:sz w:val="24"/>
          <w:szCs w:val="24"/>
        </w:rPr>
      </w:pPr>
      <w:r w:rsidRPr="004236BE">
        <w:rPr>
          <w:rFonts w:ascii="Times New Roman" w:hAnsi="Times New Roman"/>
          <w:bCs/>
          <w:sz w:val="24"/>
          <w:szCs w:val="24"/>
        </w:rPr>
        <w:t xml:space="preserve">On </w:t>
      </w:r>
      <w:bookmarkStart w:id="398" w:name="_Hlk39847841"/>
      <w:r w:rsidRPr="004236BE">
        <w:rPr>
          <w:rFonts w:ascii="Times New Roman" w:hAnsi="Times New Roman"/>
          <w:bCs/>
          <w:sz w:val="24"/>
          <w:szCs w:val="24"/>
        </w:rPr>
        <w:t xml:space="preserve">Jan. 15, 2020, in </w:t>
      </w:r>
      <w:r w:rsidRPr="004236BE">
        <w:rPr>
          <w:rFonts w:ascii="Times New Roman" w:hAnsi="Times New Roman"/>
          <w:bCs/>
          <w:sz w:val="24"/>
          <w:szCs w:val="24"/>
          <w:u w:val="single"/>
        </w:rPr>
        <w:t>Darren Wallace v. City of San Jose</w:t>
      </w:r>
      <w:bookmarkEnd w:id="398"/>
      <w:r w:rsidRPr="004236BE">
        <w:rPr>
          <w:rFonts w:ascii="Times New Roman" w:hAnsi="Times New Roman"/>
          <w:bCs/>
          <w:sz w:val="24"/>
          <w:szCs w:val="24"/>
        </w:rPr>
        <w:t>, the U.S. Court of Appeals for the 9</w:t>
      </w:r>
      <w:r w:rsidRPr="004236BE">
        <w:rPr>
          <w:rFonts w:ascii="Times New Roman" w:hAnsi="Times New Roman"/>
          <w:bCs/>
          <w:sz w:val="24"/>
          <w:szCs w:val="24"/>
          <w:vertAlign w:val="superscript"/>
        </w:rPr>
        <w:t>th</w:t>
      </w:r>
      <w:r w:rsidRPr="004236BE">
        <w:rPr>
          <w:rFonts w:ascii="Times New Roman" w:hAnsi="Times New Roman"/>
          <w:bCs/>
          <w:sz w:val="24"/>
          <w:szCs w:val="24"/>
        </w:rPr>
        <w:t xml:space="preserve"> Circuit (San Francisco) held (3 to 0) that the U.S. District Court judge properly granted summary judgement for the city.  Court decided case without even needing to schedule oral </w:t>
      </w:r>
      <w:proofErr w:type="gramStart"/>
      <w:r w:rsidRPr="004236BE">
        <w:rPr>
          <w:rFonts w:ascii="Times New Roman" w:hAnsi="Times New Roman"/>
          <w:bCs/>
          <w:sz w:val="24"/>
          <w:szCs w:val="24"/>
        </w:rPr>
        <w:t>argument</w:t>
      </w:r>
      <w:proofErr w:type="gramEnd"/>
      <w:r w:rsidRPr="004236BE">
        <w:rPr>
          <w:rFonts w:ascii="Times New Roman" w:hAnsi="Times New Roman"/>
          <w:bCs/>
          <w:sz w:val="24"/>
          <w:szCs w:val="24"/>
        </w:rPr>
        <w:t xml:space="preserve">. </w:t>
      </w:r>
    </w:p>
    <w:p w14:paraId="08DF3684" w14:textId="77777777" w:rsidR="00177094" w:rsidRPr="004236BE" w:rsidRDefault="00177094" w:rsidP="00177094">
      <w:pPr>
        <w:pStyle w:val="NoSpacing"/>
        <w:rPr>
          <w:rFonts w:ascii="Times New Roman" w:hAnsi="Times New Roman"/>
          <w:b/>
          <w:bCs/>
          <w:sz w:val="24"/>
          <w:szCs w:val="24"/>
        </w:rPr>
      </w:pPr>
    </w:p>
    <w:p w14:paraId="763B27AA" w14:textId="77777777" w:rsidR="00177094" w:rsidRPr="004236BE" w:rsidRDefault="00177094" w:rsidP="00177094">
      <w:pPr>
        <w:pStyle w:val="NoSpacing"/>
        <w:ind w:left="720"/>
        <w:rPr>
          <w:rFonts w:ascii="Times New Roman" w:hAnsi="Times New Roman"/>
          <w:b/>
          <w:bCs/>
          <w:sz w:val="24"/>
          <w:szCs w:val="24"/>
        </w:rPr>
      </w:pPr>
      <w:r w:rsidRPr="004236BE">
        <w:rPr>
          <w:rFonts w:ascii="Times New Roman" w:hAnsi="Times New Roman"/>
          <w:bCs/>
          <w:sz w:val="24"/>
          <w:szCs w:val="24"/>
        </w:rPr>
        <w:t>“Under 29 U.S.C. § 207(k), public agencies employing firefighters may adopt a 28-day work period for purposes of calculating FLSA overtime pay. FLSA requires overtime pay of 1.5times the regular rate of pay for every hour above 212 hours that a firefighter works in a 28-</w:t>
      </w:r>
      <w:proofErr w:type="gramStart"/>
      <w:r w:rsidRPr="004236BE">
        <w:rPr>
          <w:rFonts w:ascii="Times New Roman" w:hAnsi="Times New Roman"/>
          <w:bCs/>
          <w:sz w:val="24"/>
          <w:szCs w:val="24"/>
        </w:rPr>
        <w:t>daywork</w:t>
      </w:r>
      <w:proofErr w:type="gramEnd"/>
      <w:r w:rsidRPr="004236BE">
        <w:rPr>
          <w:rFonts w:ascii="Times New Roman" w:hAnsi="Times New Roman"/>
          <w:bCs/>
          <w:sz w:val="24"/>
          <w:szCs w:val="24"/>
        </w:rPr>
        <w:t xml:space="preserve"> period. See id.; 29 C.F.R. § 553.230. The </w:t>
      </w:r>
      <w:proofErr w:type="gramStart"/>
      <w:r w:rsidRPr="004236BE">
        <w:rPr>
          <w:rFonts w:ascii="Times New Roman" w:hAnsi="Times New Roman"/>
          <w:bCs/>
          <w:sz w:val="24"/>
          <w:szCs w:val="24"/>
        </w:rPr>
        <w:t>City</w:t>
      </w:r>
      <w:proofErr w:type="gramEnd"/>
      <w:r w:rsidRPr="004236BE">
        <w:rPr>
          <w:rFonts w:ascii="Times New Roman" w:hAnsi="Times New Roman"/>
          <w:bCs/>
          <w:sz w:val="24"/>
          <w:szCs w:val="24"/>
        </w:rPr>
        <w:t xml:space="preserve"> has adopted a 28-day pay period for its firefighters and pays them biweekly. It pays firefighters a base hourly rate for 224 hours per work period, regardless of whether they </w:t>
      </w:r>
      <w:proofErr w:type="gramStart"/>
      <w:r w:rsidRPr="004236BE">
        <w:rPr>
          <w:rFonts w:ascii="Times New Roman" w:hAnsi="Times New Roman"/>
          <w:bCs/>
          <w:sz w:val="24"/>
          <w:szCs w:val="24"/>
        </w:rPr>
        <w:t>actually work</w:t>
      </w:r>
      <w:proofErr w:type="gramEnd"/>
      <w:r w:rsidRPr="004236BE">
        <w:rPr>
          <w:rFonts w:ascii="Times New Roman" w:hAnsi="Times New Roman"/>
          <w:bCs/>
          <w:sz w:val="24"/>
          <w:szCs w:val="24"/>
        </w:rPr>
        <w:t xml:space="preserve"> a full 224 hours. Furthermore, when a firefighter works hours outside of his or her regularly scheduled shifts, the </w:t>
      </w:r>
      <w:proofErr w:type="gramStart"/>
      <w:r w:rsidRPr="004236BE">
        <w:rPr>
          <w:rFonts w:ascii="Times New Roman" w:hAnsi="Times New Roman"/>
          <w:bCs/>
          <w:sz w:val="24"/>
          <w:szCs w:val="24"/>
        </w:rPr>
        <w:t>City</w:t>
      </w:r>
      <w:proofErr w:type="gramEnd"/>
      <w:r w:rsidRPr="004236BE">
        <w:rPr>
          <w:rFonts w:ascii="Times New Roman" w:hAnsi="Times New Roman"/>
          <w:bCs/>
          <w:sz w:val="24"/>
          <w:szCs w:val="24"/>
        </w:rPr>
        <w:t xml:space="preserve"> pays ‘contractual overtime’ of 1.5 times his or her base hourly rate for each additional hour worked. The City’s ‘contractual overtime’ payments are distinct from FLSA overtime pay, and the firefighters are entitled to FLSA overtime pay for each hour worked over the 212-hour threshold</w:t>
      </w:r>
      <w:r w:rsidRPr="004236BE">
        <w:rPr>
          <w:rFonts w:ascii="Times New Roman" w:hAnsi="Times New Roman"/>
          <w:sz w:val="24"/>
          <w:szCs w:val="24"/>
        </w:rPr>
        <w:t xml:space="preserve">…. </w:t>
      </w:r>
      <w:r w:rsidRPr="004236BE">
        <w:rPr>
          <w:rFonts w:ascii="Times New Roman" w:hAnsi="Times New Roman"/>
          <w:bCs/>
          <w:sz w:val="24"/>
          <w:szCs w:val="24"/>
        </w:rPr>
        <w:t xml:space="preserve">Each work period, the </w:t>
      </w:r>
      <w:proofErr w:type="gramStart"/>
      <w:r w:rsidRPr="004236BE">
        <w:rPr>
          <w:rFonts w:ascii="Times New Roman" w:hAnsi="Times New Roman"/>
          <w:bCs/>
          <w:sz w:val="24"/>
          <w:szCs w:val="24"/>
        </w:rPr>
        <w:t>City</w:t>
      </w:r>
      <w:proofErr w:type="gramEnd"/>
      <w:r w:rsidRPr="004236BE">
        <w:rPr>
          <w:rFonts w:ascii="Times New Roman" w:hAnsi="Times New Roman"/>
          <w:bCs/>
          <w:sz w:val="24"/>
          <w:szCs w:val="24"/>
        </w:rPr>
        <w:t xml:space="preserve"> calculates what is owed to its firefighters under FLSA. If the amount the </w:t>
      </w:r>
      <w:proofErr w:type="gramStart"/>
      <w:r w:rsidRPr="004236BE">
        <w:rPr>
          <w:rFonts w:ascii="Times New Roman" w:hAnsi="Times New Roman"/>
          <w:bCs/>
          <w:sz w:val="24"/>
          <w:szCs w:val="24"/>
        </w:rPr>
        <w:t>City</w:t>
      </w:r>
      <w:proofErr w:type="gramEnd"/>
      <w:r w:rsidRPr="004236BE">
        <w:rPr>
          <w:rFonts w:ascii="Times New Roman" w:hAnsi="Times New Roman"/>
          <w:bCs/>
          <w:sz w:val="24"/>
          <w:szCs w:val="24"/>
        </w:rPr>
        <w:t xml:space="preserve"> paid a firefighter is less than required under FLSA, it adds a FLSA overtime adjustment to the firefighter’s paycheck at the end of the work period. If the amount the </w:t>
      </w:r>
      <w:proofErr w:type="gramStart"/>
      <w:r w:rsidRPr="004236BE">
        <w:rPr>
          <w:rFonts w:ascii="Times New Roman" w:hAnsi="Times New Roman"/>
          <w:bCs/>
          <w:sz w:val="24"/>
          <w:szCs w:val="24"/>
        </w:rPr>
        <w:t>City</w:t>
      </w:r>
      <w:proofErr w:type="gramEnd"/>
      <w:r w:rsidRPr="004236BE">
        <w:rPr>
          <w:rFonts w:ascii="Times New Roman" w:hAnsi="Times New Roman"/>
          <w:bCs/>
          <w:sz w:val="24"/>
          <w:szCs w:val="24"/>
        </w:rPr>
        <w:t xml:space="preserve"> paid is more than required under FLSA, no adjustment is made.” </w:t>
      </w:r>
      <w:bookmarkStart w:id="399" w:name="_Hlk39847867"/>
      <w:r w:rsidR="00BC38B6">
        <w:fldChar w:fldCharType="begin"/>
      </w:r>
      <w:r w:rsidR="00BC38B6">
        <w:instrText xml:space="preserve"> HYPERLINK "http://cdn.ca9.uscourts.gov/datastore/memoranda/2020/01/15/18-16083.pdf" </w:instrText>
      </w:r>
      <w:r w:rsidR="00BC38B6">
        <w:fldChar w:fldCharType="separate"/>
      </w:r>
      <w:r w:rsidRPr="004236BE">
        <w:rPr>
          <w:rStyle w:val="Hyperlink"/>
          <w:rFonts w:ascii="Times New Roman" w:hAnsi="Times New Roman"/>
          <w:b/>
          <w:sz w:val="24"/>
          <w:szCs w:val="24"/>
        </w:rPr>
        <w:t>http://cdn.ca9.uscourts.gov/datastore/memoranda/2020/01/15/18-16083.pdf</w:t>
      </w:r>
      <w:r w:rsidR="00BC38B6">
        <w:rPr>
          <w:rStyle w:val="Hyperlink"/>
          <w:rFonts w:ascii="Times New Roman" w:hAnsi="Times New Roman"/>
          <w:b/>
          <w:sz w:val="24"/>
          <w:szCs w:val="24"/>
        </w:rPr>
        <w:fldChar w:fldCharType="end"/>
      </w:r>
      <w:r w:rsidRPr="004236BE">
        <w:rPr>
          <w:rFonts w:ascii="Times New Roman" w:hAnsi="Times New Roman"/>
          <w:bCs/>
          <w:sz w:val="24"/>
          <w:szCs w:val="24"/>
        </w:rPr>
        <w:t xml:space="preserve"> </w:t>
      </w:r>
      <w:bookmarkEnd w:id="399"/>
    </w:p>
    <w:bookmarkEnd w:id="397"/>
    <w:p w14:paraId="73CE8155" w14:textId="77777777" w:rsidR="00177094" w:rsidRDefault="00177094" w:rsidP="00177094">
      <w:pPr>
        <w:pStyle w:val="NoSpacing"/>
        <w:rPr>
          <w:rFonts w:ascii="Times New Roman" w:hAnsi="Times New Roman"/>
          <w:b/>
          <w:bCs/>
          <w:sz w:val="24"/>
          <w:szCs w:val="24"/>
        </w:rPr>
      </w:pPr>
    </w:p>
    <w:p w14:paraId="0DEF2B9D" w14:textId="61B2E8CA" w:rsidR="00177094" w:rsidRPr="004236BE" w:rsidRDefault="00177094" w:rsidP="00177094">
      <w:pPr>
        <w:pStyle w:val="NoSpacing"/>
        <w:rPr>
          <w:rFonts w:ascii="Times New Roman" w:eastAsia="Times New Roman" w:hAnsi="Times New Roman"/>
          <w:b/>
          <w:bCs/>
          <w:sz w:val="24"/>
          <w:szCs w:val="24"/>
        </w:rPr>
      </w:pPr>
      <w:bookmarkStart w:id="400" w:name="_Hlk40512999"/>
      <w:r w:rsidRPr="004236BE">
        <w:rPr>
          <w:rFonts w:ascii="Times New Roman" w:hAnsi="Times New Roman"/>
          <w:b/>
          <w:bCs/>
          <w:sz w:val="24"/>
          <w:szCs w:val="24"/>
        </w:rPr>
        <w:t xml:space="preserve">Legal Lessons Learned: If </w:t>
      </w:r>
      <w:r w:rsidR="00A16B10">
        <w:rPr>
          <w:rFonts w:ascii="Times New Roman" w:hAnsi="Times New Roman"/>
          <w:b/>
          <w:bCs/>
          <w:sz w:val="24"/>
          <w:szCs w:val="24"/>
        </w:rPr>
        <w:t>C</w:t>
      </w:r>
      <w:r w:rsidRPr="004236BE">
        <w:rPr>
          <w:rFonts w:ascii="Times New Roman" w:hAnsi="Times New Roman"/>
          <w:b/>
          <w:bCs/>
          <w:sz w:val="24"/>
          <w:szCs w:val="24"/>
        </w:rPr>
        <w:t xml:space="preserve">ity is paying more than required under FLSA, then courts will grant summary judgment. </w:t>
      </w:r>
    </w:p>
    <w:bookmarkEnd w:id="400"/>
    <w:p w14:paraId="61803146" w14:textId="77777777" w:rsidR="00177094" w:rsidRDefault="00177094" w:rsidP="00F326E5">
      <w:pPr>
        <w:rPr>
          <w:rFonts w:ascii="Arial Black" w:hAnsi="Arial Black"/>
          <w:b/>
          <w:sz w:val="24"/>
          <w:szCs w:val="24"/>
        </w:rPr>
      </w:pPr>
    </w:p>
    <w:p w14:paraId="12B6E77D" w14:textId="439633A1" w:rsidR="007C6FEF" w:rsidRDefault="007C6FEF" w:rsidP="00F326E5">
      <w:pPr>
        <w:rPr>
          <w:rFonts w:ascii="Arial Black" w:hAnsi="Arial Black"/>
          <w:b/>
          <w:sz w:val="24"/>
          <w:szCs w:val="24"/>
        </w:rPr>
      </w:pPr>
      <w:r>
        <w:rPr>
          <w:rFonts w:ascii="Arial Black" w:hAnsi="Arial Black"/>
          <w:b/>
          <w:sz w:val="24"/>
          <w:szCs w:val="24"/>
        </w:rPr>
        <w:t>11-</w:t>
      </w:r>
      <w:r w:rsidR="00B13773">
        <w:rPr>
          <w:rFonts w:ascii="Arial Black" w:hAnsi="Arial Black"/>
          <w:b/>
          <w:sz w:val="24"/>
          <w:szCs w:val="24"/>
        </w:rPr>
        <w:t>9</w:t>
      </w:r>
    </w:p>
    <w:p w14:paraId="01A48BA9" w14:textId="77777777" w:rsidR="007C6FEF" w:rsidRDefault="007C6FEF" w:rsidP="007C6FEF">
      <w:pPr>
        <w:rPr>
          <w:rFonts w:ascii="Arial Black" w:hAnsi="Arial Black"/>
          <w:sz w:val="28"/>
          <w:szCs w:val="28"/>
        </w:rPr>
      </w:pPr>
      <w:bookmarkStart w:id="401" w:name="_Hlk40513169"/>
      <w:bookmarkStart w:id="402" w:name="_Hlk29205188"/>
      <w:bookmarkStart w:id="403" w:name="_Hlk41155747"/>
      <w:r w:rsidRPr="00AC7203">
        <w:rPr>
          <w:rFonts w:ascii="Arial Black" w:hAnsi="Arial Black"/>
          <w:sz w:val="28"/>
          <w:szCs w:val="28"/>
        </w:rPr>
        <w:lastRenderedPageBreak/>
        <w:t>NY</w:t>
      </w:r>
      <w:r>
        <w:rPr>
          <w:rFonts w:ascii="Arial Black" w:hAnsi="Arial Black"/>
          <w:sz w:val="28"/>
          <w:szCs w:val="28"/>
        </w:rPr>
        <w:t>:  FDNY - BACK PAY FOR EMS – HRS WORKED BEFORE / AFTER SHIFT – WILFULL VIOLATION – 3-YRS BACK PAY, DOUBLED - $14.4 MILLION</w:t>
      </w:r>
    </w:p>
    <w:p w14:paraId="208E8366" w14:textId="77777777" w:rsidR="007C6FEF" w:rsidRDefault="007C6FEF" w:rsidP="007C6FEF">
      <w:pPr>
        <w:rPr>
          <w:rFonts w:ascii="Times New Roman" w:hAnsi="Times New Roman"/>
          <w:sz w:val="24"/>
          <w:szCs w:val="24"/>
        </w:rPr>
      </w:pPr>
      <w:r w:rsidRPr="00AC7203">
        <w:rPr>
          <w:rFonts w:ascii="Times New Roman" w:hAnsi="Times New Roman"/>
          <w:sz w:val="24"/>
          <w:szCs w:val="24"/>
        </w:rPr>
        <w:t xml:space="preserve">On </w:t>
      </w:r>
      <w:bookmarkStart w:id="404" w:name="_Hlk39848062"/>
      <w:r>
        <w:rPr>
          <w:rFonts w:ascii="Times New Roman" w:hAnsi="Times New Roman"/>
          <w:sz w:val="24"/>
          <w:szCs w:val="24"/>
        </w:rPr>
        <w:t xml:space="preserve">Dec. 23, 2019, in </w:t>
      </w:r>
      <w:r w:rsidRPr="00AC7203">
        <w:rPr>
          <w:rFonts w:ascii="Times New Roman" w:hAnsi="Times New Roman"/>
          <w:sz w:val="24"/>
          <w:szCs w:val="24"/>
          <w:u w:val="single"/>
        </w:rPr>
        <w:t>Chaz Perry, et al. v. City of New York</w:t>
      </w:r>
      <w:r>
        <w:rPr>
          <w:rFonts w:ascii="Times New Roman" w:hAnsi="Times New Roman"/>
          <w:sz w:val="24"/>
          <w:szCs w:val="24"/>
        </w:rPr>
        <w:t xml:space="preserve">, </w:t>
      </w:r>
      <w:bookmarkEnd w:id="404"/>
      <w:r>
        <w:rPr>
          <w:rFonts w:ascii="Times New Roman" w:hAnsi="Times New Roman"/>
          <w:sz w:val="24"/>
          <w:szCs w:val="24"/>
        </w:rPr>
        <w:t xml:space="preserve">U.S. District Court Judge Vernon S. Broderick, Southern District of New York, granted plaintiff’s motion for final judgment on behalf of </w:t>
      </w:r>
      <w:r w:rsidRPr="003C5EA4">
        <w:rPr>
          <w:rFonts w:ascii="Times New Roman" w:hAnsi="Times New Roman"/>
          <w:sz w:val="24"/>
          <w:szCs w:val="24"/>
        </w:rPr>
        <w:t>2,519</w:t>
      </w:r>
      <w:r>
        <w:rPr>
          <w:rFonts w:ascii="Times New Roman" w:hAnsi="Times New Roman"/>
          <w:sz w:val="24"/>
          <w:szCs w:val="24"/>
        </w:rPr>
        <w:t xml:space="preserve"> </w:t>
      </w:r>
      <w:r w:rsidRPr="003C5EA4">
        <w:rPr>
          <w:rFonts w:ascii="Times New Roman" w:hAnsi="Times New Roman"/>
          <w:sz w:val="24"/>
          <w:szCs w:val="24"/>
        </w:rPr>
        <w:t xml:space="preserve">current </w:t>
      </w:r>
      <w:r>
        <w:rPr>
          <w:rFonts w:ascii="Times New Roman" w:hAnsi="Times New Roman"/>
          <w:sz w:val="24"/>
          <w:szCs w:val="24"/>
        </w:rPr>
        <w:t>and</w:t>
      </w:r>
      <w:r w:rsidRPr="003C5EA4">
        <w:rPr>
          <w:rFonts w:ascii="Times New Roman" w:hAnsi="Times New Roman"/>
          <w:sz w:val="24"/>
          <w:szCs w:val="24"/>
        </w:rPr>
        <w:t xml:space="preserve"> former</w:t>
      </w:r>
      <w:r>
        <w:rPr>
          <w:rFonts w:ascii="Times New Roman" w:hAnsi="Times New Roman"/>
          <w:sz w:val="24"/>
          <w:szCs w:val="24"/>
        </w:rPr>
        <w:t xml:space="preserve"> EMS</w:t>
      </w:r>
      <w:r w:rsidRPr="003C5EA4">
        <w:rPr>
          <w:rFonts w:ascii="Times New Roman" w:hAnsi="Times New Roman"/>
          <w:sz w:val="24"/>
          <w:szCs w:val="24"/>
        </w:rPr>
        <w:t xml:space="preserve">, </w:t>
      </w:r>
      <w:proofErr w:type="gramStart"/>
      <w:r w:rsidRPr="003C5EA4">
        <w:rPr>
          <w:rFonts w:ascii="Times New Roman" w:hAnsi="Times New Roman"/>
          <w:sz w:val="24"/>
          <w:szCs w:val="24"/>
        </w:rPr>
        <w:t xml:space="preserve">and </w:t>
      </w:r>
      <w:r>
        <w:rPr>
          <w:rFonts w:ascii="Times New Roman" w:hAnsi="Times New Roman"/>
          <w:sz w:val="24"/>
          <w:szCs w:val="24"/>
        </w:rPr>
        <w:t>also</w:t>
      </w:r>
      <w:proofErr w:type="gramEnd"/>
      <w:r>
        <w:rPr>
          <w:rFonts w:ascii="Times New Roman" w:hAnsi="Times New Roman"/>
          <w:sz w:val="24"/>
          <w:szCs w:val="24"/>
        </w:rPr>
        <w:t xml:space="preserve"> </w:t>
      </w:r>
      <w:r w:rsidRPr="003C5EA4">
        <w:rPr>
          <w:rFonts w:ascii="Times New Roman" w:hAnsi="Times New Roman"/>
          <w:sz w:val="24"/>
          <w:szCs w:val="24"/>
        </w:rPr>
        <w:t>Fire Safety Inspectors below the rank of lieutenan</w:t>
      </w:r>
      <w:r>
        <w:rPr>
          <w:rFonts w:ascii="Times New Roman" w:hAnsi="Times New Roman"/>
          <w:sz w:val="24"/>
          <w:szCs w:val="24"/>
        </w:rPr>
        <w:t xml:space="preserve">t.   A jury found the FDNY willfully violated FLSA by allowing EMS and Inspector to work early or after shift while not “on the clock.”  Federal judge awarded backpay for three years for willful violation (not just two years) of </w:t>
      </w:r>
      <w:r w:rsidRPr="003C5EA4">
        <w:rPr>
          <w:rFonts w:ascii="Times New Roman" w:hAnsi="Times New Roman"/>
          <w:sz w:val="24"/>
          <w:szCs w:val="24"/>
        </w:rPr>
        <w:t>$7,238,513.00</w:t>
      </w:r>
      <w:r>
        <w:rPr>
          <w:rFonts w:ascii="Times New Roman" w:hAnsi="Times New Roman"/>
          <w:sz w:val="24"/>
          <w:szCs w:val="24"/>
        </w:rPr>
        <w:t xml:space="preserve">, </w:t>
      </w:r>
      <w:r w:rsidRPr="003C5EA4">
        <w:rPr>
          <w:rFonts w:ascii="Times New Roman" w:hAnsi="Times New Roman"/>
          <w:sz w:val="24"/>
          <w:szCs w:val="24"/>
        </w:rPr>
        <w:t>as well as</w:t>
      </w:r>
      <w:r>
        <w:rPr>
          <w:rFonts w:ascii="Times New Roman" w:hAnsi="Times New Roman"/>
          <w:sz w:val="24"/>
          <w:szCs w:val="24"/>
        </w:rPr>
        <w:t xml:space="preserve"> an equal amount of </w:t>
      </w:r>
      <w:r w:rsidRPr="003C5EA4">
        <w:rPr>
          <w:rFonts w:ascii="Times New Roman" w:hAnsi="Times New Roman"/>
          <w:sz w:val="24"/>
          <w:szCs w:val="24"/>
        </w:rPr>
        <w:t>$7,238,513.00 in liquidated damages</w:t>
      </w:r>
      <w:r>
        <w:rPr>
          <w:rFonts w:ascii="Times New Roman" w:hAnsi="Times New Roman"/>
          <w:sz w:val="24"/>
          <w:szCs w:val="24"/>
        </w:rPr>
        <w:t xml:space="preserve">. </w:t>
      </w:r>
    </w:p>
    <w:bookmarkEnd w:id="401"/>
    <w:p w14:paraId="1653B1F5" w14:textId="77777777" w:rsidR="007C6FEF" w:rsidRPr="003C5EA4" w:rsidRDefault="007C6FEF" w:rsidP="007C6FEF">
      <w:pPr>
        <w:ind w:left="720"/>
        <w:rPr>
          <w:rFonts w:ascii="Times New Roman" w:hAnsi="Times New Roman"/>
          <w:sz w:val="24"/>
          <w:szCs w:val="24"/>
        </w:rPr>
      </w:pPr>
      <w:r>
        <w:rPr>
          <w:rFonts w:ascii="Times New Roman" w:hAnsi="Times New Roman"/>
          <w:sz w:val="24"/>
          <w:szCs w:val="24"/>
        </w:rPr>
        <w:t>“</w:t>
      </w:r>
      <w:r w:rsidRPr="003C5EA4">
        <w:rPr>
          <w:rFonts w:ascii="Times New Roman" w:hAnsi="Times New Roman"/>
          <w:sz w:val="24"/>
          <w:szCs w:val="24"/>
        </w:rPr>
        <w:t>Because the jury in this case has already determined that Defendants committed a willful violation of the FLSA, I reject Defendants’ request to deny liquidated damages in this case.</w:t>
      </w:r>
      <w:r>
        <w:rPr>
          <w:rFonts w:ascii="Times New Roman" w:hAnsi="Times New Roman"/>
          <w:sz w:val="24"/>
          <w:szCs w:val="24"/>
        </w:rPr>
        <w:t xml:space="preserve">”   </w:t>
      </w:r>
      <w:bookmarkStart w:id="405" w:name="_Hlk29205937"/>
      <w:bookmarkStart w:id="406" w:name="_Hlk39848078"/>
      <w:r>
        <w:rPr>
          <w:rFonts w:ascii="Times New Roman" w:hAnsi="Times New Roman"/>
          <w:sz w:val="24"/>
          <w:szCs w:val="24"/>
        </w:rPr>
        <w:fldChar w:fldCharType="begin"/>
      </w:r>
      <w:r>
        <w:rPr>
          <w:rFonts w:ascii="Times New Roman" w:hAnsi="Times New Roman"/>
          <w:sz w:val="24"/>
          <w:szCs w:val="24"/>
        </w:rPr>
        <w:instrText xml:space="preserve"> HYPERLINK "</w:instrText>
      </w:r>
      <w:r w:rsidRPr="004B1B03">
        <w:rPr>
          <w:rFonts w:ascii="Times New Roman" w:hAnsi="Times New Roman"/>
          <w:sz w:val="24"/>
          <w:szCs w:val="24"/>
        </w:rPr>
        <w:instrText>https://casetext.com/case/perry-v-city-of-ny-4</w:instrText>
      </w:r>
      <w:r>
        <w:rPr>
          <w:rFonts w:ascii="Times New Roman" w:hAnsi="Times New Roman"/>
          <w:sz w:val="24"/>
          <w:szCs w:val="24"/>
        </w:rPr>
        <w:instrText xml:space="preserve">" </w:instrText>
      </w:r>
      <w:r>
        <w:rPr>
          <w:rFonts w:ascii="Times New Roman" w:hAnsi="Times New Roman"/>
          <w:sz w:val="24"/>
          <w:szCs w:val="24"/>
        </w:rPr>
      </w:r>
      <w:r>
        <w:rPr>
          <w:rFonts w:ascii="Times New Roman" w:hAnsi="Times New Roman"/>
          <w:sz w:val="24"/>
          <w:szCs w:val="24"/>
        </w:rPr>
        <w:fldChar w:fldCharType="separate"/>
      </w:r>
      <w:r w:rsidRPr="00D24870">
        <w:rPr>
          <w:rStyle w:val="Hyperlink"/>
          <w:rFonts w:ascii="Times New Roman" w:hAnsi="Times New Roman"/>
          <w:sz w:val="24"/>
          <w:szCs w:val="24"/>
        </w:rPr>
        <w:t>https://casetext.com/case/perry-v-city-of-ny-4</w:t>
      </w:r>
      <w:r>
        <w:rPr>
          <w:rFonts w:ascii="Times New Roman" w:hAnsi="Times New Roman"/>
          <w:sz w:val="24"/>
          <w:szCs w:val="24"/>
        </w:rPr>
        <w:fldChar w:fldCharType="end"/>
      </w:r>
      <w:r>
        <w:rPr>
          <w:rFonts w:ascii="Times New Roman" w:hAnsi="Times New Roman"/>
          <w:sz w:val="24"/>
          <w:szCs w:val="24"/>
        </w:rPr>
        <w:t xml:space="preserve"> </w:t>
      </w:r>
      <w:bookmarkEnd w:id="405"/>
    </w:p>
    <w:bookmarkEnd w:id="402"/>
    <w:bookmarkEnd w:id="406"/>
    <w:p w14:paraId="5C6A6D25" w14:textId="77777777" w:rsidR="00A16B10" w:rsidRDefault="00A16B10" w:rsidP="00A16B10">
      <w:pPr>
        <w:rPr>
          <w:rFonts w:ascii="Times New Roman" w:hAnsi="Times New Roman"/>
          <w:b/>
          <w:bCs/>
          <w:sz w:val="24"/>
          <w:szCs w:val="24"/>
        </w:rPr>
      </w:pPr>
      <w:r w:rsidRPr="00A16B10">
        <w:rPr>
          <w:rFonts w:ascii="Times New Roman" w:hAnsi="Times New Roman"/>
          <w:b/>
          <w:bCs/>
          <w:sz w:val="24"/>
          <w:szCs w:val="24"/>
        </w:rPr>
        <w:t>Legal Lesson Learned: Willful violations of FLSA can result in damages of three years of back pay, doubled</w:t>
      </w:r>
      <w:bookmarkEnd w:id="403"/>
      <w:r w:rsidRPr="00A16B10">
        <w:rPr>
          <w:rFonts w:ascii="Times New Roman" w:hAnsi="Times New Roman"/>
          <w:b/>
          <w:bCs/>
          <w:sz w:val="24"/>
          <w:szCs w:val="24"/>
        </w:rPr>
        <w:t xml:space="preserve">. </w:t>
      </w:r>
    </w:p>
    <w:p w14:paraId="1585BA87" w14:textId="77777777" w:rsidR="00B13773" w:rsidRDefault="00B13773" w:rsidP="00A16B10">
      <w:pPr>
        <w:rPr>
          <w:rFonts w:ascii="Arial Black" w:hAnsi="Arial Black"/>
          <w:b/>
          <w:bCs/>
          <w:sz w:val="28"/>
          <w:szCs w:val="28"/>
        </w:rPr>
      </w:pPr>
    </w:p>
    <w:p w14:paraId="06DAD8A5" w14:textId="5C82806D" w:rsidR="00411E0E" w:rsidRPr="00B13773" w:rsidRDefault="00B13773" w:rsidP="00A16B10">
      <w:pPr>
        <w:rPr>
          <w:rFonts w:ascii="Arial Black" w:hAnsi="Arial Black"/>
          <w:b/>
          <w:bCs/>
          <w:sz w:val="28"/>
          <w:szCs w:val="28"/>
        </w:rPr>
      </w:pPr>
      <w:r w:rsidRPr="00B13773">
        <w:rPr>
          <w:rFonts w:ascii="Arial Black" w:hAnsi="Arial Black"/>
          <w:b/>
          <w:bCs/>
          <w:sz w:val="28"/>
          <w:szCs w:val="28"/>
        </w:rPr>
        <w:t>11-8</w:t>
      </w:r>
    </w:p>
    <w:p w14:paraId="61C21C93" w14:textId="77777777" w:rsidR="00411E0E" w:rsidRDefault="00411E0E" w:rsidP="00411E0E">
      <w:pPr>
        <w:rPr>
          <w:sz w:val="48"/>
          <w:szCs w:val="48"/>
        </w:rPr>
      </w:pPr>
      <w:r>
        <w:rPr>
          <w:rFonts w:ascii="Arial Black" w:hAnsi="Arial Black"/>
          <w:b/>
          <w:sz w:val="28"/>
          <w:szCs w:val="28"/>
        </w:rPr>
        <w:t xml:space="preserve">IL: </w:t>
      </w:r>
      <w:r w:rsidRPr="00097703">
        <w:rPr>
          <w:rFonts w:ascii="Arial Black" w:hAnsi="Arial Black"/>
          <w:sz w:val="28"/>
          <w:szCs w:val="28"/>
        </w:rPr>
        <w:t xml:space="preserve">Justice Department Files Lawsuit Against the City of Chicago </w:t>
      </w:r>
      <w:proofErr w:type="gramStart"/>
      <w:r w:rsidRPr="00097703">
        <w:rPr>
          <w:rFonts w:ascii="Arial Black" w:hAnsi="Arial Black"/>
          <w:sz w:val="28"/>
          <w:szCs w:val="28"/>
        </w:rPr>
        <w:t>To</w:t>
      </w:r>
      <w:proofErr w:type="gramEnd"/>
      <w:r w:rsidRPr="00097703">
        <w:rPr>
          <w:rFonts w:ascii="Arial Black" w:hAnsi="Arial Black"/>
          <w:sz w:val="28"/>
          <w:szCs w:val="28"/>
        </w:rPr>
        <w:t xml:space="preserve"> Enforce USERRA Rights of U.S. Army Reservist</w:t>
      </w:r>
    </w:p>
    <w:p w14:paraId="1AC29819" w14:textId="77777777" w:rsidR="00411E0E" w:rsidRDefault="00411E0E" w:rsidP="00411E0E">
      <w:pPr>
        <w:pStyle w:val="NoSpacing"/>
        <w:rPr>
          <w:rFonts w:ascii="Times New Roman" w:hAnsi="Times New Roman"/>
          <w:sz w:val="24"/>
          <w:szCs w:val="24"/>
        </w:rPr>
      </w:pPr>
    </w:p>
    <w:p w14:paraId="3651CA07" w14:textId="77777777" w:rsidR="00411E0E" w:rsidRDefault="00411E0E" w:rsidP="00411E0E">
      <w:pPr>
        <w:pStyle w:val="NoSpacing"/>
        <w:ind w:left="720"/>
        <w:rPr>
          <w:rFonts w:ascii="Times New Roman" w:hAnsi="Times New Roman"/>
          <w:sz w:val="24"/>
          <w:szCs w:val="24"/>
        </w:rPr>
      </w:pPr>
      <w:r w:rsidRPr="00097703">
        <w:rPr>
          <w:rFonts w:ascii="Times New Roman" w:hAnsi="Times New Roman"/>
          <w:sz w:val="24"/>
          <w:szCs w:val="24"/>
        </w:rPr>
        <w:t xml:space="preserve">“On Dec. 17, 2019, the Department of Justice filed a complaint in the U.S. District Court for the Northern District of Illinois on behalf of Captain and Judge Advocate Derrick Strong against the City of Chicago Fire Department (CFD), alleging that the City violated the Uniformed Services Employment and Reemployment Rights Act of 1994 (USERRA) when it failed to provide Strong with an opportunity, after his return from active duty military service, to take a promotional examination that he missed while deployed.  ***  According to the complaint, Strong is currently assigned to the 416th Theater Engineer Command’s (TEC), Office of the Staff Judge Advocate as a trial counsel and administrative law attorney, where he provides legal advice and overall legal support to the 416th TEC and its Command. He is also employed as a cross-trained firefighter and emergency medical technician-basic (firefighter/EMT) for the Chicago Fire Department. Strong is currently assigned to Squad 5, which is a special operations heavy rescue unit. From Sept. 30, 2016, to June 26, 2017, he was actively deployed with the U.S. Army Reserve in support of Operation Enduring Freedom. While Strong was deployed, the city of Chicago administered a test for firefighters to become fire engineers. He alleges, as outlined in the complaint filed in federal court, that the CFD violated USERRA by failing to provide him with an opportunity to take a fire engineer promotional examination following his return to work upon his honorable discharge from </w:t>
      </w:r>
      <w:proofErr w:type="gramStart"/>
      <w:r w:rsidRPr="00097703">
        <w:rPr>
          <w:rFonts w:ascii="Times New Roman" w:hAnsi="Times New Roman"/>
          <w:sz w:val="24"/>
          <w:szCs w:val="24"/>
        </w:rPr>
        <w:t>active duty</w:t>
      </w:r>
      <w:proofErr w:type="gramEnd"/>
      <w:r w:rsidRPr="00097703">
        <w:rPr>
          <w:rFonts w:ascii="Times New Roman" w:hAnsi="Times New Roman"/>
          <w:sz w:val="24"/>
          <w:szCs w:val="24"/>
        </w:rPr>
        <w:t xml:space="preserve"> military service. </w:t>
      </w:r>
    </w:p>
    <w:p w14:paraId="7AC04B4D" w14:textId="77777777" w:rsidR="00411E0E" w:rsidRDefault="00411E0E" w:rsidP="00411E0E">
      <w:pPr>
        <w:pStyle w:val="NoSpacing"/>
        <w:ind w:left="720"/>
        <w:rPr>
          <w:rFonts w:ascii="Times New Roman" w:hAnsi="Times New Roman"/>
          <w:sz w:val="24"/>
          <w:szCs w:val="24"/>
        </w:rPr>
      </w:pPr>
    </w:p>
    <w:p w14:paraId="3E15C43B" w14:textId="77777777" w:rsidR="00411E0E" w:rsidRPr="00097703" w:rsidRDefault="00411E0E" w:rsidP="00411E0E">
      <w:pPr>
        <w:pStyle w:val="NoSpacing"/>
        <w:ind w:left="1440"/>
        <w:rPr>
          <w:rFonts w:ascii="Times New Roman" w:hAnsi="Times New Roman"/>
          <w:sz w:val="24"/>
          <w:szCs w:val="24"/>
        </w:rPr>
      </w:pPr>
      <w:r>
        <w:rPr>
          <w:rFonts w:ascii="Times New Roman" w:hAnsi="Times New Roman"/>
          <w:sz w:val="24"/>
          <w:szCs w:val="24"/>
        </w:rPr>
        <w:t>“</w:t>
      </w:r>
      <w:r w:rsidRPr="00097703">
        <w:rPr>
          <w:rFonts w:ascii="Times New Roman" w:hAnsi="Times New Roman"/>
          <w:sz w:val="24"/>
          <w:szCs w:val="24"/>
        </w:rPr>
        <w:t xml:space="preserve">The Justice Department gives high priority to the enforcement of servicemembers’ rights under USERRA. This lawsuit stems from a referral to the Department of Justice from the U.S. Department of Labor, after an investigation by the Department of Labor’s Veterans’ Employment and Training Service. Additional information about USERRA can be found on the </w:t>
      </w:r>
      <w:r w:rsidRPr="00097703">
        <w:rPr>
          <w:rFonts w:ascii="Times New Roman" w:hAnsi="Times New Roman"/>
          <w:sz w:val="24"/>
          <w:szCs w:val="24"/>
        </w:rPr>
        <w:lastRenderedPageBreak/>
        <w:t xml:space="preserve">Justice Department’s websites at </w:t>
      </w:r>
      <w:hyperlink r:id="rId1903" w:history="1">
        <w:r w:rsidRPr="00097703">
          <w:rPr>
            <w:rStyle w:val="Hyperlink"/>
            <w:rFonts w:ascii="Times New Roman" w:hAnsi="Times New Roman"/>
            <w:color w:val="auto"/>
            <w:sz w:val="24"/>
            <w:szCs w:val="24"/>
            <w:u w:val="none"/>
          </w:rPr>
          <w:t>https://www.justice.gov/crt-military/employment-rights-userra</w:t>
        </w:r>
      </w:hyperlink>
      <w:r w:rsidRPr="00097703">
        <w:rPr>
          <w:rFonts w:ascii="Times New Roman" w:hAnsi="Times New Roman"/>
          <w:sz w:val="24"/>
          <w:szCs w:val="24"/>
        </w:rPr>
        <w:t xml:space="preserve"> and </w:t>
      </w:r>
      <w:hyperlink r:id="rId1904" w:history="1">
        <w:r w:rsidRPr="00097703">
          <w:rPr>
            <w:rStyle w:val="Hyperlink"/>
            <w:rFonts w:ascii="Times New Roman" w:hAnsi="Times New Roman"/>
            <w:color w:val="auto"/>
            <w:sz w:val="24"/>
            <w:szCs w:val="24"/>
            <w:u w:val="none"/>
          </w:rPr>
          <w:t>https://www.justice.gov/servicemembers</w:t>
        </w:r>
      </w:hyperlink>
      <w:r w:rsidRPr="00097703">
        <w:rPr>
          <w:rFonts w:ascii="Times New Roman" w:hAnsi="Times New Roman"/>
          <w:sz w:val="24"/>
          <w:szCs w:val="24"/>
        </w:rPr>
        <w:t xml:space="preserve">, as well as on the Department of Labor’s website at </w:t>
      </w:r>
      <w:hyperlink r:id="rId1905" w:history="1">
        <w:r w:rsidRPr="00097703">
          <w:rPr>
            <w:rStyle w:val="Hyperlink"/>
            <w:rFonts w:ascii="Times New Roman" w:hAnsi="Times New Roman"/>
            <w:color w:val="auto"/>
            <w:sz w:val="24"/>
            <w:szCs w:val="24"/>
            <w:u w:val="none"/>
          </w:rPr>
          <w:t>https://www.dol.gov/agencies/vets/programs/userra</w:t>
        </w:r>
      </w:hyperlink>
      <w:r w:rsidRPr="00097703">
        <w:rPr>
          <w:rFonts w:ascii="Times New Roman" w:hAnsi="Times New Roman"/>
          <w:sz w:val="24"/>
          <w:szCs w:val="24"/>
        </w:rPr>
        <w:t>.</w:t>
      </w:r>
      <w:r>
        <w:rPr>
          <w:rFonts w:ascii="Times New Roman" w:hAnsi="Times New Roman"/>
          <w:sz w:val="24"/>
          <w:szCs w:val="24"/>
        </w:rPr>
        <w:t>”</w:t>
      </w:r>
    </w:p>
    <w:p w14:paraId="6415DDA1" w14:textId="77777777" w:rsidR="00411E0E" w:rsidRPr="00097703" w:rsidRDefault="00411E0E" w:rsidP="00411E0E">
      <w:pPr>
        <w:pStyle w:val="NoSpacing"/>
        <w:ind w:left="720"/>
        <w:rPr>
          <w:rFonts w:ascii="Times New Roman" w:hAnsi="Times New Roman"/>
          <w:b/>
          <w:sz w:val="24"/>
          <w:szCs w:val="24"/>
        </w:rPr>
      </w:pPr>
      <w:hyperlink r:id="rId1906" w:history="1">
        <w:r w:rsidRPr="00E54FA8">
          <w:rPr>
            <w:rStyle w:val="Hyperlink"/>
            <w:rFonts w:ascii="Times New Roman" w:hAnsi="Times New Roman"/>
            <w:b/>
            <w:sz w:val="24"/>
            <w:szCs w:val="24"/>
          </w:rPr>
          <w:t>https://www.justice.gov/opa/pr/justice-department-files-lawsuit-against-city-chicago-enforce-userra-rights-us-army-reservist</w:t>
        </w:r>
      </w:hyperlink>
      <w:r w:rsidRPr="00097703">
        <w:rPr>
          <w:rFonts w:ascii="Times New Roman" w:hAnsi="Times New Roman"/>
          <w:b/>
          <w:sz w:val="24"/>
          <w:szCs w:val="24"/>
        </w:rPr>
        <w:t xml:space="preserve"> </w:t>
      </w:r>
    </w:p>
    <w:p w14:paraId="35E44D4B" w14:textId="77777777" w:rsidR="00411E0E" w:rsidRPr="0052665B" w:rsidRDefault="00411E0E" w:rsidP="00411E0E">
      <w:pPr>
        <w:ind w:left="720"/>
        <w:rPr>
          <w:rFonts w:ascii="Times New Roman" w:hAnsi="Times New Roman"/>
          <w:b/>
          <w:sz w:val="24"/>
          <w:szCs w:val="24"/>
        </w:rPr>
      </w:pPr>
      <w:r w:rsidRPr="0052665B">
        <w:rPr>
          <w:rFonts w:ascii="Times New Roman" w:hAnsi="Times New Roman"/>
          <w:b/>
          <w:sz w:val="24"/>
          <w:szCs w:val="24"/>
        </w:rPr>
        <w:t xml:space="preserve">Legal Lesson Learned: U.S. Department of Justice gives high priority to enforcement of servicemember’s rights under USERRA. </w:t>
      </w:r>
    </w:p>
    <w:p w14:paraId="220981B7" w14:textId="12760DFD" w:rsidR="00411E0E" w:rsidRPr="00A16B10" w:rsidRDefault="00411E0E" w:rsidP="00411E0E">
      <w:pPr>
        <w:rPr>
          <w:rFonts w:ascii="Times New Roman" w:hAnsi="Times New Roman"/>
          <w:b/>
          <w:bCs/>
          <w:sz w:val="24"/>
          <w:szCs w:val="24"/>
        </w:rPr>
      </w:pPr>
      <w:r w:rsidRPr="0052665B">
        <w:rPr>
          <w:rFonts w:ascii="Times New Roman" w:hAnsi="Times New Roman"/>
          <w:bCs/>
          <w:sz w:val="24"/>
          <w:szCs w:val="24"/>
        </w:rPr>
        <w:tab/>
        <w:t>Note:</w:t>
      </w:r>
      <w:r>
        <w:rPr>
          <w:rFonts w:ascii="Arial Black" w:hAnsi="Arial Black"/>
          <w:b/>
          <w:sz w:val="28"/>
          <w:szCs w:val="28"/>
        </w:rPr>
        <w:t xml:space="preserve"> </w:t>
      </w:r>
      <w:r w:rsidRPr="003A64EA">
        <w:rPr>
          <w:rFonts w:ascii="Times New Roman" w:hAnsi="Times New Roman"/>
          <w:bCs/>
          <w:sz w:val="24"/>
          <w:szCs w:val="24"/>
        </w:rPr>
        <w:t xml:space="preserve">See the complaint: </w:t>
      </w:r>
      <w:hyperlink r:id="rId1907" w:history="1">
        <w:r w:rsidRPr="003A64EA">
          <w:rPr>
            <w:rStyle w:val="Hyperlink"/>
            <w:rFonts w:ascii="Times New Roman" w:hAnsi="Times New Roman"/>
            <w:bCs/>
            <w:sz w:val="24"/>
            <w:szCs w:val="24"/>
          </w:rPr>
          <w:t>https://www.justice.gov/crt/case-document/file/1227366/download</w:t>
        </w:r>
      </w:hyperlink>
    </w:p>
    <w:p w14:paraId="31F797F1" w14:textId="77777777" w:rsidR="007C6FEF" w:rsidRDefault="007C6FEF" w:rsidP="00F326E5">
      <w:pPr>
        <w:rPr>
          <w:rFonts w:ascii="Arial Black" w:hAnsi="Arial Black"/>
          <w:b/>
          <w:sz w:val="24"/>
          <w:szCs w:val="24"/>
        </w:rPr>
      </w:pPr>
    </w:p>
    <w:p w14:paraId="015CE13D" w14:textId="2D6F740D" w:rsidR="00C80464" w:rsidRDefault="00C80464" w:rsidP="00F326E5">
      <w:pPr>
        <w:rPr>
          <w:rFonts w:ascii="Arial Black" w:hAnsi="Arial Black"/>
          <w:b/>
          <w:sz w:val="24"/>
          <w:szCs w:val="24"/>
        </w:rPr>
      </w:pPr>
      <w:r>
        <w:rPr>
          <w:rFonts w:ascii="Arial Black" w:hAnsi="Arial Black"/>
          <w:b/>
          <w:sz w:val="24"/>
          <w:szCs w:val="24"/>
        </w:rPr>
        <w:t>11-</w:t>
      </w:r>
      <w:r w:rsidR="00E9307E">
        <w:rPr>
          <w:rFonts w:ascii="Arial Black" w:hAnsi="Arial Black"/>
          <w:b/>
          <w:sz w:val="24"/>
          <w:szCs w:val="24"/>
        </w:rPr>
        <w:t>7</w:t>
      </w:r>
    </w:p>
    <w:p w14:paraId="6C87C887" w14:textId="77777777" w:rsidR="00C80464" w:rsidRPr="008B02FC" w:rsidRDefault="00C80464" w:rsidP="00C80464">
      <w:pPr>
        <w:pStyle w:val="NoSpacing"/>
        <w:rPr>
          <w:rFonts w:ascii="Arial Black" w:eastAsia="Times New Roman" w:hAnsi="Arial Black"/>
          <w:b/>
          <w:bCs/>
          <w:sz w:val="28"/>
          <w:szCs w:val="28"/>
        </w:rPr>
      </w:pPr>
      <w:bookmarkStart w:id="407" w:name="_Hlk39771953"/>
      <w:r w:rsidRPr="008B02FC">
        <w:rPr>
          <w:rFonts w:ascii="Arial Black" w:hAnsi="Arial Black"/>
          <w:b/>
          <w:bCs/>
          <w:sz w:val="28"/>
          <w:szCs w:val="28"/>
        </w:rPr>
        <w:t>GA</w:t>
      </w:r>
      <w:r>
        <w:rPr>
          <w:rFonts w:ascii="Arial Black" w:hAnsi="Arial Black"/>
          <w:b/>
          <w:bCs/>
          <w:sz w:val="28"/>
          <w:szCs w:val="28"/>
        </w:rPr>
        <w:t xml:space="preserve">:  FF WORKING 40-HOURS, BUT CLASSIFIED “PART-TIME” - CLASS ACTION LAWSUIT ON BEHALF OF 86 FF PROCEED </w:t>
      </w:r>
    </w:p>
    <w:p w14:paraId="12797646" w14:textId="58DE771F" w:rsidR="00C80464" w:rsidRDefault="00C80464" w:rsidP="00C80464">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Sept. 16, 2019, in </w:t>
      </w:r>
      <w:r w:rsidRPr="00D26715">
        <w:rPr>
          <w:rFonts w:ascii="Times New Roman" w:eastAsia="Times New Roman" w:hAnsi="Times New Roman"/>
          <w:sz w:val="24"/>
          <w:szCs w:val="24"/>
          <w:u w:val="single"/>
        </w:rPr>
        <w:t>City of Roswell v. David Bible and Brian Rogers</w:t>
      </w:r>
      <w:r>
        <w:rPr>
          <w:rFonts w:ascii="Times New Roman" w:eastAsia="Times New Roman" w:hAnsi="Times New Roman"/>
          <w:sz w:val="24"/>
          <w:szCs w:val="24"/>
        </w:rPr>
        <w:t xml:space="preserve">, the Court of Appeals of Georgia, held (3 to 0) that trial judge properly held that the class action lawsuit on behalf of about 86 firefighters may proceed.  </w:t>
      </w:r>
      <w:r w:rsidR="00E75F94">
        <w:rPr>
          <w:rFonts w:ascii="Times New Roman" w:eastAsia="Times New Roman" w:hAnsi="Times New Roman"/>
          <w:sz w:val="24"/>
          <w:szCs w:val="24"/>
        </w:rPr>
        <w:t>P</w:t>
      </w:r>
      <w:r>
        <w:rPr>
          <w:rFonts w:ascii="Times New Roman" w:eastAsia="Times New Roman" w:hAnsi="Times New Roman"/>
          <w:sz w:val="24"/>
          <w:szCs w:val="24"/>
        </w:rPr>
        <w:t xml:space="preserve">residing Judge Christopher J. McMillan wrote:  </w:t>
      </w:r>
    </w:p>
    <w:p w14:paraId="65530C47" w14:textId="53A66770" w:rsidR="00C80464" w:rsidRDefault="00C80464" w:rsidP="00A16B10">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D2295F">
        <w:rPr>
          <w:rFonts w:ascii="Times New Roman" w:hAnsi="Times New Roman"/>
          <w:sz w:val="24"/>
          <w:szCs w:val="24"/>
        </w:rPr>
        <w:t>The</w:t>
      </w:r>
      <w:r>
        <w:rPr>
          <w:rFonts w:ascii="Times New Roman" w:hAnsi="Times New Roman"/>
          <w:sz w:val="24"/>
          <w:szCs w:val="24"/>
        </w:rPr>
        <w:t xml:space="preserve"> </w:t>
      </w:r>
      <w:proofErr w:type="gramStart"/>
      <w:r w:rsidRPr="00D2295F">
        <w:rPr>
          <w:rFonts w:ascii="Times New Roman" w:hAnsi="Times New Roman"/>
          <w:sz w:val="24"/>
          <w:szCs w:val="24"/>
        </w:rPr>
        <w:t>City</w:t>
      </w:r>
      <w:proofErr w:type="gramEnd"/>
      <w:r>
        <w:rPr>
          <w:rFonts w:ascii="Times New Roman" w:hAnsi="Times New Roman"/>
          <w:sz w:val="24"/>
          <w:szCs w:val="24"/>
        </w:rPr>
        <w:t xml:space="preserve"> </w:t>
      </w:r>
      <w:r w:rsidRPr="00D2295F">
        <w:rPr>
          <w:rFonts w:ascii="Times New Roman" w:hAnsi="Times New Roman"/>
          <w:sz w:val="24"/>
          <w:szCs w:val="24"/>
        </w:rPr>
        <w:t>alleges</w:t>
      </w:r>
      <w:r>
        <w:rPr>
          <w:rFonts w:ascii="Times New Roman" w:hAnsi="Times New Roman"/>
          <w:sz w:val="24"/>
          <w:szCs w:val="24"/>
        </w:rPr>
        <w:t xml:space="preserve"> </w:t>
      </w:r>
      <w:r w:rsidRPr="00D2295F">
        <w:rPr>
          <w:rFonts w:ascii="Times New Roman" w:hAnsi="Times New Roman"/>
          <w:sz w:val="24"/>
          <w:szCs w:val="24"/>
        </w:rPr>
        <w:t>that</w:t>
      </w:r>
      <w:r>
        <w:rPr>
          <w:rFonts w:ascii="Times New Roman" w:hAnsi="Times New Roman"/>
          <w:sz w:val="24"/>
          <w:szCs w:val="24"/>
        </w:rPr>
        <w:t xml:space="preserve"> </w:t>
      </w:r>
      <w:r w:rsidRPr="00D2295F">
        <w:rPr>
          <w:rFonts w:ascii="Times New Roman" w:hAnsi="Times New Roman"/>
          <w:sz w:val="24"/>
          <w:szCs w:val="24"/>
        </w:rPr>
        <w:t>because Bible and</w:t>
      </w:r>
      <w:r>
        <w:rPr>
          <w:rFonts w:ascii="Times New Roman" w:hAnsi="Times New Roman"/>
          <w:sz w:val="24"/>
          <w:szCs w:val="24"/>
        </w:rPr>
        <w:t xml:space="preserve"> </w:t>
      </w:r>
      <w:r w:rsidRPr="00D2295F">
        <w:rPr>
          <w:rFonts w:ascii="Times New Roman" w:hAnsi="Times New Roman"/>
          <w:sz w:val="24"/>
          <w:szCs w:val="24"/>
        </w:rPr>
        <w:t>Rogers</w:t>
      </w:r>
      <w:r>
        <w:rPr>
          <w:rFonts w:ascii="Times New Roman" w:hAnsi="Times New Roman"/>
          <w:sz w:val="24"/>
          <w:szCs w:val="24"/>
        </w:rPr>
        <w:t xml:space="preserve"> </w:t>
      </w:r>
      <w:r w:rsidRPr="00D2295F">
        <w:rPr>
          <w:rFonts w:ascii="Times New Roman" w:hAnsi="Times New Roman"/>
          <w:sz w:val="24"/>
          <w:szCs w:val="24"/>
        </w:rPr>
        <w:t>acquiesced</w:t>
      </w:r>
      <w:r>
        <w:rPr>
          <w:rFonts w:ascii="Times New Roman" w:hAnsi="Times New Roman"/>
          <w:sz w:val="24"/>
          <w:szCs w:val="24"/>
        </w:rPr>
        <w:t xml:space="preserve"> </w:t>
      </w:r>
      <w:r w:rsidRPr="00D2295F">
        <w:rPr>
          <w:rFonts w:ascii="Times New Roman" w:hAnsi="Times New Roman"/>
          <w:sz w:val="24"/>
          <w:szCs w:val="24"/>
        </w:rPr>
        <w:t>in</w:t>
      </w:r>
      <w:r>
        <w:rPr>
          <w:rFonts w:ascii="Times New Roman" w:hAnsi="Times New Roman"/>
          <w:sz w:val="24"/>
          <w:szCs w:val="24"/>
        </w:rPr>
        <w:t xml:space="preserve"> </w:t>
      </w:r>
      <w:r w:rsidRPr="00D2295F">
        <w:rPr>
          <w:rFonts w:ascii="Times New Roman" w:hAnsi="Times New Roman"/>
          <w:sz w:val="24"/>
          <w:szCs w:val="24"/>
        </w:rPr>
        <w:t>their non-benefitted</w:t>
      </w:r>
      <w:r>
        <w:rPr>
          <w:rFonts w:ascii="Times New Roman" w:hAnsi="Times New Roman"/>
          <w:sz w:val="24"/>
          <w:szCs w:val="24"/>
        </w:rPr>
        <w:t xml:space="preserve"> </w:t>
      </w:r>
      <w:r w:rsidRPr="00D2295F">
        <w:rPr>
          <w:rFonts w:ascii="Times New Roman" w:hAnsi="Times New Roman"/>
          <w:sz w:val="24"/>
          <w:szCs w:val="24"/>
        </w:rPr>
        <w:t>status</w:t>
      </w:r>
      <w:r>
        <w:rPr>
          <w:rFonts w:ascii="Times New Roman" w:hAnsi="Times New Roman"/>
          <w:sz w:val="24"/>
          <w:szCs w:val="24"/>
        </w:rPr>
        <w:t xml:space="preserve"> </w:t>
      </w:r>
      <w:r w:rsidRPr="00D2295F">
        <w:rPr>
          <w:rFonts w:ascii="Times New Roman" w:hAnsi="Times New Roman"/>
          <w:sz w:val="24"/>
          <w:szCs w:val="24"/>
        </w:rPr>
        <w:t>and</w:t>
      </w:r>
      <w:r>
        <w:rPr>
          <w:rFonts w:ascii="Times New Roman" w:hAnsi="Times New Roman"/>
          <w:sz w:val="24"/>
          <w:szCs w:val="24"/>
        </w:rPr>
        <w:t xml:space="preserve"> </w:t>
      </w:r>
      <w:r w:rsidRPr="00D2295F">
        <w:rPr>
          <w:rFonts w:ascii="Times New Roman" w:hAnsi="Times New Roman"/>
          <w:sz w:val="24"/>
          <w:szCs w:val="24"/>
        </w:rPr>
        <w:t>worked</w:t>
      </w:r>
      <w:r>
        <w:rPr>
          <w:rFonts w:ascii="Times New Roman" w:hAnsi="Times New Roman"/>
          <w:sz w:val="24"/>
          <w:szCs w:val="24"/>
        </w:rPr>
        <w:t xml:space="preserve"> </w:t>
      </w:r>
      <w:r w:rsidRPr="00D2295F">
        <w:rPr>
          <w:rFonts w:ascii="Times New Roman" w:hAnsi="Times New Roman"/>
          <w:sz w:val="24"/>
          <w:szCs w:val="24"/>
        </w:rPr>
        <w:t>over 2,080</w:t>
      </w:r>
      <w:r>
        <w:rPr>
          <w:rFonts w:ascii="Times New Roman" w:hAnsi="Times New Roman"/>
          <w:sz w:val="24"/>
          <w:szCs w:val="24"/>
        </w:rPr>
        <w:t xml:space="preserve"> </w:t>
      </w:r>
      <w:r w:rsidRPr="00D2295F">
        <w:rPr>
          <w:rFonts w:ascii="Times New Roman" w:hAnsi="Times New Roman"/>
          <w:sz w:val="24"/>
          <w:szCs w:val="24"/>
        </w:rPr>
        <w:t>hours</w:t>
      </w:r>
      <w:r>
        <w:rPr>
          <w:rFonts w:ascii="Times New Roman" w:hAnsi="Times New Roman"/>
          <w:sz w:val="24"/>
          <w:szCs w:val="24"/>
        </w:rPr>
        <w:t xml:space="preserve"> </w:t>
      </w:r>
      <w:r w:rsidRPr="00D2295F">
        <w:rPr>
          <w:rFonts w:ascii="Times New Roman" w:hAnsi="Times New Roman"/>
          <w:sz w:val="24"/>
          <w:szCs w:val="24"/>
        </w:rPr>
        <w:t>per year, they</w:t>
      </w:r>
      <w:r>
        <w:rPr>
          <w:rFonts w:ascii="Times New Roman" w:hAnsi="Times New Roman"/>
          <w:sz w:val="24"/>
          <w:szCs w:val="24"/>
        </w:rPr>
        <w:t xml:space="preserve"> </w:t>
      </w:r>
      <w:r w:rsidRPr="00D2295F">
        <w:rPr>
          <w:rFonts w:ascii="Times New Roman" w:hAnsi="Times New Roman"/>
          <w:sz w:val="24"/>
          <w:szCs w:val="24"/>
        </w:rPr>
        <w:t>are not</w:t>
      </w:r>
      <w:r>
        <w:rPr>
          <w:rFonts w:ascii="Times New Roman" w:hAnsi="Times New Roman"/>
          <w:sz w:val="24"/>
          <w:szCs w:val="24"/>
        </w:rPr>
        <w:t xml:space="preserve"> </w:t>
      </w:r>
      <w:r w:rsidRPr="00D2295F">
        <w:rPr>
          <w:rFonts w:ascii="Times New Roman" w:hAnsi="Times New Roman"/>
          <w:sz w:val="24"/>
          <w:szCs w:val="24"/>
        </w:rPr>
        <w:t>typical</w:t>
      </w:r>
      <w:r>
        <w:rPr>
          <w:rFonts w:ascii="Times New Roman" w:hAnsi="Times New Roman"/>
          <w:sz w:val="24"/>
          <w:szCs w:val="24"/>
        </w:rPr>
        <w:t xml:space="preserve"> </w:t>
      </w:r>
      <w:r w:rsidRPr="00D2295F">
        <w:rPr>
          <w:rFonts w:ascii="Times New Roman" w:hAnsi="Times New Roman"/>
          <w:sz w:val="24"/>
          <w:szCs w:val="24"/>
        </w:rPr>
        <w:t>of other</w:t>
      </w:r>
      <w:r>
        <w:rPr>
          <w:rFonts w:ascii="Times New Roman" w:hAnsi="Times New Roman"/>
          <w:sz w:val="24"/>
          <w:szCs w:val="24"/>
        </w:rPr>
        <w:t xml:space="preserve"> </w:t>
      </w:r>
      <w:r w:rsidRPr="00D2295F">
        <w:rPr>
          <w:rFonts w:ascii="Times New Roman" w:hAnsi="Times New Roman"/>
          <w:sz w:val="24"/>
          <w:szCs w:val="24"/>
        </w:rPr>
        <w:t>class</w:t>
      </w:r>
      <w:r>
        <w:rPr>
          <w:rFonts w:ascii="Times New Roman" w:hAnsi="Times New Roman"/>
          <w:sz w:val="24"/>
          <w:szCs w:val="24"/>
        </w:rPr>
        <w:t xml:space="preserve"> </w:t>
      </w:r>
      <w:r w:rsidRPr="00D2295F">
        <w:rPr>
          <w:rFonts w:ascii="Times New Roman" w:hAnsi="Times New Roman"/>
          <w:sz w:val="24"/>
          <w:szCs w:val="24"/>
        </w:rPr>
        <w:t>members</w:t>
      </w:r>
      <w:r>
        <w:rPr>
          <w:rFonts w:ascii="Times New Roman" w:hAnsi="Times New Roman"/>
          <w:sz w:val="24"/>
          <w:szCs w:val="24"/>
        </w:rPr>
        <w:t xml:space="preserve"> </w:t>
      </w:r>
      <w:r w:rsidRPr="00D2295F">
        <w:rPr>
          <w:rFonts w:ascii="Times New Roman" w:hAnsi="Times New Roman"/>
          <w:sz w:val="24"/>
          <w:szCs w:val="24"/>
        </w:rPr>
        <w:t>who</w:t>
      </w:r>
      <w:r>
        <w:rPr>
          <w:rFonts w:ascii="Times New Roman" w:hAnsi="Times New Roman"/>
          <w:sz w:val="24"/>
          <w:szCs w:val="24"/>
        </w:rPr>
        <w:t xml:space="preserve"> </w:t>
      </w:r>
      <w:r w:rsidRPr="00D2295F">
        <w:rPr>
          <w:rFonts w:ascii="Times New Roman" w:hAnsi="Times New Roman"/>
          <w:sz w:val="24"/>
          <w:szCs w:val="24"/>
        </w:rPr>
        <w:t>did</w:t>
      </w:r>
      <w:r>
        <w:rPr>
          <w:rFonts w:ascii="Times New Roman" w:hAnsi="Times New Roman"/>
          <w:sz w:val="24"/>
          <w:szCs w:val="24"/>
        </w:rPr>
        <w:t xml:space="preserve"> </w:t>
      </w:r>
      <w:r w:rsidRPr="00D2295F">
        <w:rPr>
          <w:rFonts w:ascii="Times New Roman" w:hAnsi="Times New Roman"/>
          <w:sz w:val="24"/>
          <w:szCs w:val="24"/>
        </w:rPr>
        <w:t>not waive their entitlement</w:t>
      </w:r>
      <w:r>
        <w:rPr>
          <w:rFonts w:ascii="Times New Roman" w:hAnsi="Times New Roman"/>
          <w:sz w:val="24"/>
          <w:szCs w:val="24"/>
        </w:rPr>
        <w:t xml:space="preserve"> </w:t>
      </w:r>
      <w:r w:rsidRPr="00D2295F">
        <w:rPr>
          <w:rFonts w:ascii="Times New Roman" w:hAnsi="Times New Roman"/>
          <w:sz w:val="24"/>
          <w:szCs w:val="24"/>
        </w:rPr>
        <w:t>to</w:t>
      </w:r>
      <w:r>
        <w:rPr>
          <w:rFonts w:ascii="Times New Roman" w:hAnsi="Times New Roman"/>
          <w:sz w:val="24"/>
          <w:szCs w:val="24"/>
        </w:rPr>
        <w:t xml:space="preserve"> </w:t>
      </w:r>
      <w:r w:rsidRPr="00D2295F">
        <w:rPr>
          <w:rFonts w:ascii="Times New Roman" w:hAnsi="Times New Roman"/>
          <w:sz w:val="24"/>
          <w:szCs w:val="24"/>
        </w:rPr>
        <w:t>any</w:t>
      </w:r>
      <w:r>
        <w:rPr>
          <w:rFonts w:ascii="Times New Roman" w:hAnsi="Times New Roman"/>
          <w:sz w:val="24"/>
          <w:szCs w:val="24"/>
        </w:rPr>
        <w:t xml:space="preserve"> </w:t>
      </w:r>
      <w:r w:rsidRPr="00D2295F">
        <w:rPr>
          <w:rFonts w:ascii="Times New Roman" w:hAnsi="Times New Roman"/>
          <w:sz w:val="24"/>
          <w:szCs w:val="24"/>
        </w:rPr>
        <w:t>benefits</w:t>
      </w:r>
      <w:r>
        <w:rPr>
          <w:rFonts w:ascii="Times New Roman" w:hAnsi="Times New Roman"/>
          <w:sz w:val="24"/>
          <w:szCs w:val="24"/>
        </w:rPr>
        <w:t xml:space="preserve"> </w:t>
      </w:r>
      <w:r w:rsidRPr="00D2295F">
        <w:rPr>
          <w:rFonts w:ascii="Times New Roman" w:hAnsi="Times New Roman"/>
          <w:sz w:val="24"/>
          <w:szCs w:val="24"/>
        </w:rPr>
        <w:t>or those who</w:t>
      </w:r>
      <w:r>
        <w:rPr>
          <w:rFonts w:ascii="Times New Roman" w:hAnsi="Times New Roman"/>
          <w:sz w:val="24"/>
          <w:szCs w:val="24"/>
        </w:rPr>
        <w:t xml:space="preserve"> </w:t>
      </w:r>
      <w:r w:rsidRPr="00D2295F">
        <w:rPr>
          <w:rFonts w:ascii="Times New Roman" w:hAnsi="Times New Roman"/>
          <w:sz w:val="24"/>
          <w:szCs w:val="24"/>
        </w:rPr>
        <w:t>worked</w:t>
      </w:r>
      <w:r>
        <w:rPr>
          <w:rFonts w:ascii="Times New Roman" w:hAnsi="Times New Roman"/>
          <w:sz w:val="24"/>
          <w:szCs w:val="24"/>
        </w:rPr>
        <w:t xml:space="preserve"> </w:t>
      </w:r>
      <w:r w:rsidRPr="00D2295F">
        <w:rPr>
          <w:rFonts w:ascii="Times New Roman" w:hAnsi="Times New Roman"/>
          <w:sz w:val="24"/>
          <w:szCs w:val="24"/>
        </w:rPr>
        <w:t>less</w:t>
      </w:r>
      <w:r>
        <w:rPr>
          <w:rFonts w:ascii="Times New Roman" w:hAnsi="Times New Roman"/>
          <w:sz w:val="24"/>
          <w:szCs w:val="24"/>
        </w:rPr>
        <w:t xml:space="preserve"> </w:t>
      </w:r>
      <w:r w:rsidRPr="00D2295F">
        <w:rPr>
          <w:rFonts w:ascii="Times New Roman" w:hAnsi="Times New Roman"/>
          <w:sz w:val="24"/>
          <w:szCs w:val="24"/>
        </w:rPr>
        <w:t>than</w:t>
      </w:r>
      <w:r>
        <w:rPr>
          <w:rFonts w:ascii="Times New Roman" w:hAnsi="Times New Roman"/>
          <w:sz w:val="24"/>
          <w:szCs w:val="24"/>
        </w:rPr>
        <w:t xml:space="preserve"> </w:t>
      </w:r>
      <w:r w:rsidRPr="00D2295F">
        <w:rPr>
          <w:rFonts w:ascii="Times New Roman" w:hAnsi="Times New Roman"/>
          <w:sz w:val="24"/>
          <w:szCs w:val="24"/>
        </w:rPr>
        <w:t>2,080</w:t>
      </w:r>
      <w:r>
        <w:rPr>
          <w:rFonts w:ascii="Times New Roman" w:hAnsi="Times New Roman"/>
          <w:sz w:val="24"/>
          <w:szCs w:val="24"/>
        </w:rPr>
        <w:t xml:space="preserve"> </w:t>
      </w:r>
      <w:r w:rsidRPr="00D2295F">
        <w:rPr>
          <w:rFonts w:ascii="Times New Roman" w:hAnsi="Times New Roman"/>
          <w:sz w:val="24"/>
          <w:szCs w:val="24"/>
        </w:rPr>
        <w:t>hours</w:t>
      </w:r>
      <w:r>
        <w:rPr>
          <w:rFonts w:ascii="Times New Roman" w:hAnsi="Times New Roman"/>
          <w:sz w:val="24"/>
          <w:szCs w:val="24"/>
        </w:rPr>
        <w:t xml:space="preserve"> </w:t>
      </w:r>
      <w:r w:rsidRPr="00D2295F">
        <w:rPr>
          <w:rFonts w:ascii="Times New Roman" w:hAnsi="Times New Roman"/>
          <w:sz w:val="24"/>
          <w:szCs w:val="24"/>
        </w:rPr>
        <w:t xml:space="preserve">per year. However, </w:t>
      </w:r>
      <w:proofErr w:type="gramStart"/>
      <w:r w:rsidRPr="00D2295F">
        <w:rPr>
          <w:rFonts w:ascii="Times New Roman" w:hAnsi="Times New Roman"/>
          <w:sz w:val="24"/>
          <w:szCs w:val="24"/>
        </w:rPr>
        <w:t>it</w:t>
      </w:r>
      <w:r>
        <w:rPr>
          <w:rFonts w:ascii="Times New Roman" w:hAnsi="Times New Roman"/>
          <w:sz w:val="24"/>
          <w:szCs w:val="24"/>
        </w:rPr>
        <w:t xml:space="preserve"> </w:t>
      </w:r>
      <w:r w:rsidRPr="00D2295F">
        <w:rPr>
          <w:rFonts w:ascii="Times New Roman" w:hAnsi="Times New Roman"/>
          <w:sz w:val="24"/>
          <w:szCs w:val="24"/>
        </w:rPr>
        <w:t>is</w:t>
      </w:r>
      <w:r>
        <w:rPr>
          <w:rFonts w:ascii="Times New Roman" w:hAnsi="Times New Roman"/>
          <w:sz w:val="24"/>
          <w:szCs w:val="24"/>
        </w:rPr>
        <w:t xml:space="preserve"> </w:t>
      </w:r>
      <w:r w:rsidRPr="00D2295F">
        <w:rPr>
          <w:rFonts w:ascii="Times New Roman" w:hAnsi="Times New Roman"/>
          <w:sz w:val="24"/>
          <w:szCs w:val="24"/>
        </w:rPr>
        <w:t>clear</w:t>
      </w:r>
      <w:r>
        <w:rPr>
          <w:rFonts w:ascii="Times New Roman" w:hAnsi="Times New Roman"/>
          <w:sz w:val="24"/>
          <w:szCs w:val="24"/>
        </w:rPr>
        <w:t xml:space="preserve"> </w:t>
      </w:r>
      <w:r w:rsidRPr="00D2295F">
        <w:rPr>
          <w:rFonts w:ascii="Times New Roman" w:hAnsi="Times New Roman"/>
          <w:sz w:val="24"/>
          <w:szCs w:val="24"/>
        </w:rPr>
        <w:t>that</w:t>
      </w:r>
      <w:r>
        <w:rPr>
          <w:rFonts w:ascii="Times New Roman" w:hAnsi="Times New Roman"/>
          <w:sz w:val="24"/>
          <w:szCs w:val="24"/>
        </w:rPr>
        <w:t xml:space="preserve"> </w:t>
      </w:r>
      <w:r w:rsidRPr="00D2295F">
        <w:rPr>
          <w:rFonts w:ascii="Times New Roman" w:hAnsi="Times New Roman"/>
          <w:sz w:val="24"/>
          <w:szCs w:val="24"/>
        </w:rPr>
        <w:t>Appellees’</w:t>
      </w:r>
      <w:proofErr w:type="gramEnd"/>
      <w:r>
        <w:rPr>
          <w:rFonts w:ascii="Times New Roman" w:hAnsi="Times New Roman"/>
          <w:sz w:val="24"/>
          <w:szCs w:val="24"/>
        </w:rPr>
        <w:t xml:space="preserve"> </w:t>
      </w:r>
      <w:r w:rsidRPr="00D2295F">
        <w:rPr>
          <w:rFonts w:ascii="Times New Roman" w:hAnsi="Times New Roman"/>
          <w:sz w:val="24"/>
          <w:szCs w:val="24"/>
        </w:rPr>
        <w:t>breach</w:t>
      </w:r>
      <w:r>
        <w:rPr>
          <w:rFonts w:ascii="Times New Roman" w:hAnsi="Times New Roman"/>
          <w:sz w:val="24"/>
          <w:szCs w:val="24"/>
        </w:rPr>
        <w:t xml:space="preserve"> </w:t>
      </w:r>
      <w:r w:rsidRPr="00D2295F">
        <w:rPr>
          <w:rFonts w:ascii="Times New Roman" w:hAnsi="Times New Roman"/>
          <w:sz w:val="24"/>
          <w:szCs w:val="24"/>
        </w:rPr>
        <w:t>of</w:t>
      </w:r>
      <w:r>
        <w:rPr>
          <w:rFonts w:ascii="Times New Roman" w:hAnsi="Times New Roman"/>
          <w:sz w:val="24"/>
          <w:szCs w:val="24"/>
        </w:rPr>
        <w:t xml:space="preserve"> </w:t>
      </w:r>
      <w:r w:rsidRPr="00D2295F">
        <w:rPr>
          <w:rFonts w:ascii="Times New Roman" w:hAnsi="Times New Roman"/>
          <w:sz w:val="24"/>
          <w:szCs w:val="24"/>
        </w:rPr>
        <w:t>contract</w:t>
      </w:r>
      <w:r>
        <w:rPr>
          <w:rFonts w:ascii="Times New Roman" w:hAnsi="Times New Roman"/>
          <w:sz w:val="24"/>
          <w:szCs w:val="24"/>
        </w:rPr>
        <w:t xml:space="preserve"> </w:t>
      </w:r>
      <w:r w:rsidRPr="00D2295F">
        <w:rPr>
          <w:rFonts w:ascii="Times New Roman" w:hAnsi="Times New Roman"/>
          <w:sz w:val="24"/>
          <w:szCs w:val="24"/>
        </w:rPr>
        <w:t>claims, arising from</w:t>
      </w:r>
      <w:r>
        <w:rPr>
          <w:rFonts w:ascii="Times New Roman" w:hAnsi="Times New Roman"/>
          <w:sz w:val="24"/>
          <w:szCs w:val="24"/>
        </w:rPr>
        <w:t xml:space="preserve"> </w:t>
      </w:r>
      <w:r w:rsidRPr="00D2295F">
        <w:rPr>
          <w:rFonts w:ascii="Times New Roman" w:hAnsi="Times New Roman"/>
          <w:sz w:val="24"/>
          <w:szCs w:val="24"/>
        </w:rPr>
        <w:t>the City’s</w:t>
      </w:r>
      <w:r>
        <w:rPr>
          <w:rFonts w:ascii="Times New Roman" w:hAnsi="Times New Roman"/>
          <w:sz w:val="24"/>
          <w:szCs w:val="24"/>
        </w:rPr>
        <w:t xml:space="preserve"> </w:t>
      </w:r>
      <w:r w:rsidRPr="00D2295F">
        <w:rPr>
          <w:rFonts w:ascii="Times New Roman" w:hAnsi="Times New Roman"/>
          <w:sz w:val="24"/>
          <w:szCs w:val="24"/>
        </w:rPr>
        <w:t>denial</w:t>
      </w:r>
      <w:r>
        <w:rPr>
          <w:rFonts w:ascii="Times New Roman" w:hAnsi="Times New Roman"/>
          <w:sz w:val="24"/>
          <w:szCs w:val="24"/>
        </w:rPr>
        <w:t xml:space="preserve"> </w:t>
      </w:r>
      <w:r w:rsidRPr="00D2295F">
        <w:rPr>
          <w:rFonts w:ascii="Times New Roman" w:hAnsi="Times New Roman"/>
          <w:sz w:val="24"/>
          <w:szCs w:val="24"/>
        </w:rPr>
        <w:t>of full-time employment</w:t>
      </w:r>
      <w:r>
        <w:rPr>
          <w:rFonts w:ascii="Times New Roman" w:hAnsi="Times New Roman"/>
          <w:sz w:val="24"/>
          <w:szCs w:val="24"/>
        </w:rPr>
        <w:t xml:space="preserve"> </w:t>
      </w:r>
      <w:r w:rsidRPr="00D2295F">
        <w:rPr>
          <w:rFonts w:ascii="Times New Roman" w:hAnsi="Times New Roman"/>
          <w:sz w:val="24"/>
          <w:szCs w:val="24"/>
        </w:rPr>
        <w:t>benefits, are</w:t>
      </w:r>
      <w:r>
        <w:rPr>
          <w:rFonts w:ascii="Times New Roman" w:hAnsi="Times New Roman"/>
          <w:sz w:val="24"/>
          <w:szCs w:val="24"/>
        </w:rPr>
        <w:t xml:space="preserve"> </w:t>
      </w:r>
      <w:r w:rsidRPr="00D2295F">
        <w:rPr>
          <w:rFonts w:ascii="Times New Roman" w:hAnsi="Times New Roman"/>
          <w:sz w:val="24"/>
          <w:szCs w:val="24"/>
        </w:rPr>
        <w:t>virtually</w:t>
      </w:r>
      <w:r>
        <w:rPr>
          <w:rFonts w:ascii="Times New Roman" w:hAnsi="Times New Roman"/>
          <w:sz w:val="24"/>
          <w:szCs w:val="24"/>
        </w:rPr>
        <w:t xml:space="preserve"> </w:t>
      </w:r>
      <w:r w:rsidRPr="00D2295F">
        <w:rPr>
          <w:rFonts w:ascii="Times New Roman" w:hAnsi="Times New Roman"/>
          <w:sz w:val="24"/>
          <w:szCs w:val="24"/>
        </w:rPr>
        <w:t>identical</w:t>
      </w:r>
      <w:r>
        <w:rPr>
          <w:rFonts w:ascii="Times New Roman" w:hAnsi="Times New Roman"/>
          <w:sz w:val="24"/>
          <w:szCs w:val="24"/>
        </w:rPr>
        <w:t xml:space="preserve"> </w:t>
      </w:r>
      <w:r w:rsidRPr="00D2295F">
        <w:rPr>
          <w:rFonts w:ascii="Times New Roman" w:hAnsi="Times New Roman"/>
          <w:sz w:val="24"/>
          <w:szCs w:val="24"/>
        </w:rPr>
        <w:t>to</w:t>
      </w:r>
      <w:r>
        <w:rPr>
          <w:rFonts w:ascii="Times New Roman" w:hAnsi="Times New Roman"/>
          <w:sz w:val="24"/>
          <w:szCs w:val="24"/>
        </w:rPr>
        <w:t xml:space="preserve"> </w:t>
      </w:r>
      <w:r w:rsidRPr="00D2295F">
        <w:rPr>
          <w:rFonts w:ascii="Times New Roman" w:hAnsi="Times New Roman"/>
          <w:sz w:val="24"/>
          <w:szCs w:val="24"/>
        </w:rPr>
        <w:t>the claims</w:t>
      </w:r>
      <w:r>
        <w:rPr>
          <w:rFonts w:ascii="Times New Roman" w:hAnsi="Times New Roman"/>
          <w:sz w:val="24"/>
          <w:szCs w:val="24"/>
        </w:rPr>
        <w:t xml:space="preserve"> </w:t>
      </w:r>
      <w:r w:rsidRPr="00D2295F">
        <w:rPr>
          <w:rFonts w:ascii="Times New Roman" w:hAnsi="Times New Roman"/>
          <w:sz w:val="24"/>
          <w:szCs w:val="24"/>
        </w:rPr>
        <w:t>of each</w:t>
      </w:r>
      <w:r>
        <w:rPr>
          <w:rFonts w:ascii="Times New Roman" w:hAnsi="Times New Roman"/>
          <w:sz w:val="24"/>
          <w:szCs w:val="24"/>
        </w:rPr>
        <w:t xml:space="preserve"> </w:t>
      </w:r>
      <w:r w:rsidRPr="00D2295F">
        <w:rPr>
          <w:rFonts w:ascii="Times New Roman" w:hAnsi="Times New Roman"/>
          <w:sz w:val="24"/>
          <w:szCs w:val="24"/>
        </w:rPr>
        <w:t>proposed</w:t>
      </w:r>
      <w:r>
        <w:rPr>
          <w:rFonts w:ascii="Times New Roman" w:hAnsi="Times New Roman"/>
          <w:sz w:val="24"/>
          <w:szCs w:val="24"/>
        </w:rPr>
        <w:t xml:space="preserve"> </w:t>
      </w:r>
      <w:r w:rsidRPr="00D2295F">
        <w:rPr>
          <w:rFonts w:ascii="Times New Roman" w:hAnsi="Times New Roman"/>
          <w:sz w:val="24"/>
          <w:szCs w:val="24"/>
        </w:rPr>
        <w:t>class</w:t>
      </w:r>
      <w:r>
        <w:rPr>
          <w:rFonts w:ascii="Times New Roman" w:hAnsi="Times New Roman"/>
          <w:sz w:val="24"/>
          <w:szCs w:val="24"/>
        </w:rPr>
        <w:t xml:space="preserve"> </w:t>
      </w:r>
      <w:r w:rsidRPr="00D2295F">
        <w:rPr>
          <w:rFonts w:ascii="Times New Roman" w:hAnsi="Times New Roman"/>
          <w:sz w:val="24"/>
          <w:szCs w:val="24"/>
        </w:rPr>
        <w:t xml:space="preserve">member. </w:t>
      </w:r>
      <w:r>
        <w:rPr>
          <w:rFonts w:ascii="Times New Roman" w:hAnsi="Times New Roman"/>
          <w:sz w:val="24"/>
          <w:szCs w:val="24"/>
        </w:rPr>
        <w:t xml:space="preserve"> *** </w:t>
      </w:r>
      <w:r w:rsidRPr="00D2295F">
        <w:rPr>
          <w:rFonts w:ascii="Times New Roman" w:hAnsi="Times New Roman"/>
          <w:sz w:val="24"/>
          <w:szCs w:val="24"/>
        </w:rPr>
        <w:t xml:space="preserve">The </w:t>
      </w:r>
      <w:proofErr w:type="gramStart"/>
      <w:r w:rsidRPr="00D2295F">
        <w:rPr>
          <w:rFonts w:ascii="Times New Roman" w:hAnsi="Times New Roman"/>
          <w:sz w:val="24"/>
          <w:szCs w:val="24"/>
        </w:rPr>
        <w:t>City</w:t>
      </w:r>
      <w:proofErr w:type="gramEnd"/>
      <w:r w:rsidRPr="00D2295F">
        <w:rPr>
          <w:rFonts w:ascii="Times New Roman" w:hAnsi="Times New Roman"/>
          <w:sz w:val="24"/>
          <w:szCs w:val="24"/>
        </w:rPr>
        <w:t xml:space="preserve"> argued</w:t>
      </w:r>
      <w:r>
        <w:rPr>
          <w:rFonts w:ascii="Times New Roman" w:hAnsi="Times New Roman"/>
          <w:sz w:val="24"/>
          <w:szCs w:val="24"/>
        </w:rPr>
        <w:t xml:space="preserve"> </w:t>
      </w:r>
      <w:r w:rsidRPr="00D2295F">
        <w:rPr>
          <w:rFonts w:ascii="Times New Roman" w:hAnsi="Times New Roman"/>
          <w:sz w:val="24"/>
          <w:szCs w:val="24"/>
        </w:rPr>
        <w:t>that</w:t>
      </w:r>
      <w:r>
        <w:rPr>
          <w:rFonts w:ascii="Times New Roman" w:hAnsi="Times New Roman"/>
          <w:sz w:val="24"/>
          <w:szCs w:val="24"/>
        </w:rPr>
        <w:t xml:space="preserve"> </w:t>
      </w:r>
      <w:proofErr w:type="gramStart"/>
      <w:r w:rsidRPr="00D2295F">
        <w:rPr>
          <w:rFonts w:ascii="Times New Roman" w:hAnsi="Times New Roman"/>
          <w:sz w:val="24"/>
          <w:szCs w:val="24"/>
        </w:rPr>
        <w:t>in</w:t>
      </w:r>
      <w:r>
        <w:rPr>
          <w:rFonts w:ascii="Times New Roman" w:hAnsi="Times New Roman"/>
          <w:sz w:val="24"/>
          <w:szCs w:val="24"/>
        </w:rPr>
        <w:t xml:space="preserve"> </w:t>
      </w:r>
      <w:r w:rsidRPr="00D2295F">
        <w:rPr>
          <w:rFonts w:ascii="Times New Roman" w:hAnsi="Times New Roman"/>
          <w:sz w:val="24"/>
          <w:szCs w:val="24"/>
        </w:rPr>
        <w:t>order to</w:t>
      </w:r>
      <w:proofErr w:type="gramEnd"/>
      <w:r>
        <w:rPr>
          <w:rFonts w:ascii="Times New Roman" w:hAnsi="Times New Roman"/>
          <w:sz w:val="24"/>
          <w:szCs w:val="24"/>
        </w:rPr>
        <w:t xml:space="preserve"> </w:t>
      </w:r>
      <w:r w:rsidRPr="00D2295F">
        <w:rPr>
          <w:rFonts w:ascii="Times New Roman" w:hAnsi="Times New Roman"/>
          <w:sz w:val="24"/>
          <w:szCs w:val="24"/>
        </w:rPr>
        <w:t>be considered</w:t>
      </w:r>
      <w:r>
        <w:rPr>
          <w:rFonts w:ascii="Times New Roman" w:hAnsi="Times New Roman"/>
          <w:sz w:val="24"/>
          <w:szCs w:val="24"/>
        </w:rPr>
        <w:t xml:space="preserve"> </w:t>
      </w:r>
      <w:r w:rsidRPr="00D2295F">
        <w:rPr>
          <w:rFonts w:ascii="Times New Roman" w:hAnsi="Times New Roman"/>
          <w:sz w:val="24"/>
          <w:szCs w:val="24"/>
        </w:rPr>
        <w:t>a full-time employee, the</w:t>
      </w:r>
      <w:r>
        <w:rPr>
          <w:rFonts w:ascii="Times New Roman" w:hAnsi="Times New Roman"/>
          <w:sz w:val="24"/>
          <w:szCs w:val="24"/>
        </w:rPr>
        <w:t xml:space="preserve"> </w:t>
      </w:r>
      <w:r w:rsidRPr="00D2295F">
        <w:rPr>
          <w:rFonts w:ascii="Times New Roman" w:hAnsi="Times New Roman"/>
          <w:sz w:val="24"/>
          <w:szCs w:val="24"/>
        </w:rPr>
        <w:t>employee should</w:t>
      </w:r>
      <w:r>
        <w:rPr>
          <w:rFonts w:ascii="Times New Roman" w:hAnsi="Times New Roman"/>
          <w:sz w:val="24"/>
          <w:szCs w:val="24"/>
        </w:rPr>
        <w:t xml:space="preserve"> </w:t>
      </w:r>
      <w:r w:rsidRPr="00D2295F">
        <w:rPr>
          <w:rFonts w:ascii="Times New Roman" w:hAnsi="Times New Roman"/>
          <w:sz w:val="24"/>
          <w:szCs w:val="24"/>
        </w:rPr>
        <w:t>have worked</w:t>
      </w:r>
      <w:r>
        <w:rPr>
          <w:rFonts w:ascii="Times New Roman" w:hAnsi="Times New Roman"/>
          <w:sz w:val="24"/>
          <w:szCs w:val="24"/>
        </w:rPr>
        <w:t xml:space="preserve"> </w:t>
      </w:r>
      <w:r w:rsidRPr="00D2295F">
        <w:rPr>
          <w:rFonts w:ascii="Times New Roman" w:hAnsi="Times New Roman"/>
          <w:sz w:val="24"/>
          <w:szCs w:val="24"/>
        </w:rPr>
        <w:t>2,080</w:t>
      </w:r>
      <w:r>
        <w:rPr>
          <w:rFonts w:ascii="Times New Roman" w:hAnsi="Times New Roman"/>
          <w:sz w:val="24"/>
          <w:szCs w:val="24"/>
        </w:rPr>
        <w:t xml:space="preserve"> </w:t>
      </w:r>
      <w:r w:rsidRPr="00D2295F">
        <w:rPr>
          <w:rFonts w:ascii="Times New Roman" w:hAnsi="Times New Roman"/>
          <w:sz w:val="24"/>
          <w:szCs w:val="24"/>
        </w:rPr>
        <w:t>hours</w:t>
      </w:r>
      <w:r>
        <w:rPr>
          <w:rFonts w:ascii="Times New Roman" w:hAnsi="Times New Roman"/>
          <w:sz w:val="24"/>
          <w:szCs w:val="24"/>
        </w:rPr>
        <w:t xml:space="preserve"> </w:t>
      </w:r>
      <w:r w:rsidRPr="00D2295F">
        <w:rPr>
          <w:rFonts w:ascii="Times New Roman" w:hAnsi="Times New Roman"/>
          <w:sz w:val="24"/>
          <w:szCs w:val="24"/>
        </w:rPr>
        <w:t>each</w:t>
      </w:r>
      <w:r>
        <w:rPr>
          <w:rFonts w:ascii="Times New Roman" w:hAnsi="Times New Roman"/>
          <w:sz w:val="24"/>
          <w:szCs w:val="24"/>
        </w:rPr>
        <w:t xml:space="preserve"> </w:t>
      </w:r>
      <w:r w:rsidRPr="00D2295F">
        <w:rPr>
          <w:rFonts w:ascii="Times New Roman" w:hAnsi="Times New Roman"/>
          <w:sz w:val="24"/>
          <w:szCs w:val="24"/>
        </w:rPr>
        <w:t>year (a number that would</w:t>
      </w:r>
      <w:r>
        <w:rPr>
          <w:rFonts w:ascii="Times New Roman" w:hAnsi="Times New Roman"/>
          <w:sz w:val="24"/>
          <w:szCs w:val="24"/>
        </w:rPr>
        <w:t xml:space="preserve"> </w:t>
      </w:r>
      <w:r w:rsidRPr="00D2295F">
        <w:rPr>
          <w:rFonts w:ascii="Times New Roman" w:hAnsi="Times New Roman"/>
          <w:sz w:val="24"/>
          <w:szCs w:val="24"/>
        </w:rPr>
        <w:t>require</w:t>
      </w:r>
      <w:r>
        <w:rPr>
          <w:rFonts w:ascii="Times New Roman" w:hAnsi="Times New Roman"/>
          <w:sz w:val="24"/>
          <w:szCs w:val="24"/>
        </w:rPr>
        <w:t xml:space="preserve"> </w:t>
      </w:r>
      <w:r w:rsidRPr="00D2295F">
        <w:rPr>
          <w:rFonts w:ascii="Times New Roman" w:hAnsi="Times New Roman"/>
          <w:sz w:val="24"/>
          <w:szCs w:val="24"/>
        </w:rPr>
        <w:t>the employee to</w:t>
      </w:r>
      <w:r>
        <w:rPr>
          <w:rFonts w:ascii="Times New Roman" w:hAnsi="Times New Roman"/>
          <w:sz w:val="24"/>
          <w:szCs w:val="24"/>
        </w:rPr>
        <w:t xml:space="preserve"> </w:t>
      </w:r>
      <w:r w:rsidRPr="00D2295F">
        <w:rPr>
          <w:rFonts w:ascii="Times New Roman" w:hAnsi="Times New Roman"/>
          <w:sz w:val="24"/>
          <w:szCs w:val="24"/>
        </w:rPr>
        <w:t>work</w:t>
      </w:r>
      <w:r>
        <w:rPr>
          <w:rFonts w:ascii="Times New Roman" w:hAnsi="Times New Roman"/>
          <w:sz w:val="24"/>
          <w:szCs w:val="24"/>
        </w:rPr>
        <w:t xml:space="preserve"> </w:t>
      </w:r>
      <w:r w:rsidRPr="00D2295F">
        <w:rPr>
          <w:rFonts w:ascii="Times New Roman" w:hAnsi="Times New Roman"/>
          <w:sz w:val="24"/>
          <w:szCs w:val="24"/>
        </w:rPr>
        <w:t>40hours</w:t>
      </w:r>
      <w:r>
        <w:rPr>
          <w:rFonts w:ascii="Times New Roman" w:hAnsi="Times New Roman"/>
          <w:sz w:val="24"/>
          <w:szCs w:val="24"/>
        </w:rPr>
        <w:t xml:space="preserve"> </w:t>
      </w:r>
      <w:r w:rsidRPr="00D2295F">
        <w:rPr>
          <w:rFonts w:ascii="Times New Roman" w:hAnsi="Times New Roman"/>
          <w:sz w:val="24"/>
          <w:szCs w:val="24"/>
        </w:rPr>
        <w:t>per week</w:t>
      </w:r>
      <w:r>
        <w:rPr>
          <w:rFonts w:ascii="Times New Roman" w:hAnsi="Times New Roman"/>
          <w:sz w:val="24"/>
          <w:szCs w:val="24"/>
        </w:rPr>
        <w:t xml:space="preserve"> </w:t>
      </w:r>
      <w:r w:rsidRPr="00D2295F">
        <w:rPr>
          <w:rFonts w:ascii="Times New Roman" w:hAnsi="Times New Roman"/>
          <w:sz w:val="24"/>
          <w:szCs w:val="24"/>
        </w:rPr>
        <w:t>for each</w:t>
      </w:r>
      <w:r>
        <w:rPr>
          <w:rFonts w:ascii="Times New Roman" w:hAnsi="Times New Roman"/>
          <w:sz w:val="24"/>
          <w:szCs w:val="24"/>
        </w:rPr>
        <w:t xml:space="preserve"> </w:t>
      </w:r>
      <w:r w:rsidRPr="00D2295F">
        <w:rPr>
          <w:rFonts w:ascii="Times New Roman" w:hAnsi="Times New Roman"/>
          <w:sz w:val="24"/>
          <w:szCs w:val="24"/>
        </w:rPr>
        <w:t>of the 52</w:t>
      </w:r>
      <w:r>
        <w:rPr>
          <w:rFonts w:ascii="Times New Roman" w:hAnsi="Times New Roman"/>
          <w:sz w:val="24"/>
          <w:szCs w:val="24"/>
        </w:rPr>
        <w:t xml:space="preserve"> </w:t>
      </w:r>
      <w:r w:rsidRPr="00D2295F">
        <w:rPr>
          <w:rFonts w:ascii="Times New Roman" w:hAnsi="Times New Roman"/>
          <w:sz w:val="24"/>
          <w:szCs w:val="24"/>
        </w:rPr>
        <w:t>weeks</w:t>
      </w:r>
      <w:r>
        <w:rPr>
          <w:rFonts w:ascii="Times New Roman" w:hAnsi="Times New Roman"/>
          <w:sz w:val="24"/>
          <w:szCs w:val="24"/>
        </w:rPr>
        <w:t xml:space="preserve"> </w:t>
      </w:r>
      <w:r w:rsidRPr="00D2295F">
        <w:rPr>
          <w:rFonts w:ascii="Times New Roman" w:hAnsi="Times New Roman"/>
          <w:sz w:val="24"/>
          <w:szCs w:val="24"/>
        </w:rPr>
        <w:t>per year). However,</w:t>
      </w:r>
      <w:r>
        <w:rPr>
          <w:rFonts w:ascii="Times New Roman" w:hAnsi="Times New Roman"/>
          <w:sz w:val="24"/>
          <w:szCs w:val="24"/>
        </w:rPr>
        <w:t xml:space="preserve"> </w:t>
      </w:r>
      <w:r w:rsidRPr="00D2295F">
        <w:rPr>
          <w:rFonts w:ascii="Times New Roman" w:hAnsi="Times New Roman"/>
          <w:sz w:val="24"/>
          <w:szCs w:val="24"/>
        </w:rPr>
        <w:t>even</w:t>
      </w:r>
      <w:r>
        <w:rPr>
          <w:rFonts w:ascii="Times New Roman" w:hAnsi="Times New Roman"/>
          <w:sz w:val="24"/>
          <w:szCs w:val="24"/>
        </w:rPr>
        <w:t xml:space="preserve"> </w:t>
      </w:r>
      <w:r w:rsidRPr="00D2295F">
        <w:rPr>
          <w:rFonts w:ascii="Times New Roman" w:hAnsi="Times New Roman"/>
          <w:sz w:val="24"/>
          <w:szCs w:val="24"/>
        </w:rPr>
        <w:t>under the City’s</w:t>
      </w:r>
      <w:r>
        <w:rPr>
          <w:rFonts w:ascii="Times New Roman" w:hAnsi="Times New Roman"/>
          <w:sz w:val="24"/>
          <w:szCs w:val="24"/>
        </w:rPr>
        <w:t xml:space="preserve"> </w:t>
      </w:r>
      <w:r w:rsidRPr="00D2295F">
        <w:rPr>
          <w:rFonts w:ascii="Times New Roman" w:hAnsi="Times New Roman"/>
          <w:sz w:val="24"/>
          <w:szCs w:val="24"/>
        </w:rPr>
        <w:t>proposed</w:t>
      </w:r>
      <w:r>
        <w:rPr>
          <w:rFonts w:ascii="Times New Roman" w:hAnsi="Times New Roman"/>
          <w:sz w:val="24"/>
          <w:szCs w:val="24"/>
        </w:rPr>
        <w:t xml:space="preserve"> </w:t>
      </w:r>
      <w:r w:rsidRPr="00D2295F">
        <w:rPr>
          <w:rFonts w:ascii="Times New Roman" w:hAnsi="Times New Roman"/>
          <w:sz w:val="24"/>
          <w:szCs w:val="24"/>
        </w:rPr>
        <w:t>definition, the Appellees</w:t>
      </w:r>
      <w:r>
        <w:rPr>
          <w:rFonts w:ascii="Times New Roman" w:hAnsi="Times New Roman"/>
          <w:sz w:val="24"/>
          <w:szCs w:val="24"/>
        </w:rPr>
        <w:t xml:space="preserve"> </w:t>
      </w:r>
      <w:r w:rsidRPr="00D2295F">
        <w:rPr>
          <w:rFonts w:ascii="Times New Roman" w:hAnsi="Times New Roman"/>
          <w:sz w:val="24"/>
          <w:szCs w:val="24"/>
        </w:rPr>
        <w:t>maintained</w:t>
      </w:r>
      <w:r>
        <w:rPr>
          <w:rFonts w:ascii="Times New Roman" w:hAnsi="Times New Roman"/>
          <w:sz w:val="24"/>
          <w:szCs w:val="24"/>
        </w:rPr>
        <w:t xml:space="preserve"> </w:t>
      </w:r>
      <w:r w:rsidRPr="00D2295F">
        <w:rPr>
          <w:rFonts w:ascii="Times New Roman" w:hAnsi="Times New Roman"/>
          <w:sz w:val="24"/>
          <w:szCs w:val="24"/>
        </w:rPr>
        <w:t>that</w:t>
      </w:r>
      <w:r>
        <w:rPr>
          <w:rFonts w:ascii="Times New Roman" w:hAnsi="Times New Roman"/>
          <w:sz w:val="24"/>
          <w:szCs w:val="24"/>
        </w:rPr>
        <w:t xml:space="preserve"> </w:t>
      </w:r>
      <w:r w:rsidRPr="00D2295F">
        <w:rPr>
          <w:rFonts w:ascii="Times New Roman" w:hAnsi="Times New Roman"/>
          <w:sz w:val="24"/>
          <w:szCs w:val="24"/>
        </w:rPr>
        <w:t>the class</w:t>
      </w:r>
      <w:r>
        <w:rPr>
          <w:rFonts w:ascii="Times New Roman" w:hAnsi="Times New Roman"/>
          <w:sz w:val="24"/>
          <w:szCs w:val="24"/>
        </w:rPr>
        <w:t xml:space="preserve"> </w:t>
      </w:r>
      <w:r w:rsidRPr="00D2295F">
        <w:rPr>
          <w:rFonts w:ascii="Times New Roman" w:hAnsi="Times New Roman"/>
          <w:sz w:val="24"/>
          <w:szCs w:val="24"/>
        </w:rPr>
        <w:t>would include 86 members.</w:t>
      </w:r>
      <w:r>
        <w:rPr>
          <w:rFonts w:ascii="Times New Roman" w:hAnsi="Times New Roman"/>
          <w:sz w:val="24"/>
          <w:szCs w:val="24"/>
        </w:rPr>
        <w:t>”</w:t>
      </w:r>
      <w:r w:rsidR="00E75F94">
        <w:rPr>
          <w:rFonts w:ascii="Times New Roman" w:hAnsi="Times New Roman"/>
          <w:sz w:val="24"/>
          <w:szCs w:val="24"/>
        </w:rPr>
        <w:t xml:space="preserve"> </w:t>
      </w:r>
      <w:hyperlink r:id="rId1908" w:history="1">
        <w:r w:rsidR="00E75F94" w:rsidRPr="00DB571D">
          <w:rPr>
            <w:rStyle w:val="Hyperlink"/>
            <w:rFonts w:ascii="Times New Roman" w:eastAsia="Times New Roman" w:hAnsi="Times New Roman"/>
            <w:sz w:val="24"/>
            <w:szCs w:val="24"/>
          </w:rPr>
          <w:t>https://cases.justia.com/georgia/court-of-appeals/2019-a19a1310.pdf?ts=1568657244</w:t>
        </w:r>
      </w:hyperlink>
      <w:bookmarkEnd w:id="407"/>
    </w:p>
    <w:p w14:paraId="3C915AFB" w14:textId="77777777" w:rsidR="00A16B10" w:rsidRDefault="00C80464" w:rsidP="00C80464">
      <w:pPr>
        <w:pStyle w:val="NoSpacing"/>
        <w:rPr>
          <w:rFonts w:ascii="Times New Roman" w:hAnsi="Times New Roman"/>
          <w:b/>
          <w:bCs/>
          <w:sz w:val="24"/>
          <w:szCs w:val="24"/>
        </w:rPr>
      </w:pPr>
      <w:bookmarkStart w:id="408" w:name="_Hlk40513525"/>
      <w:r>
        <w:rPr>
          <w:rFonts w:ascii="Times New Roman" w:hAnsi="Times New Roman"/>
          <w:b/>
          <w:bCs/>
          <w:sz w:val="24"/>
          <w:szCs w:val="24"/>
        </w:rPr>
        <w:t xml:space="preserve">Legal Lessons Learned: Class actions are an effective method of resolving a matter affecting numerous class members. This case will now proceed to trial, unless settled by the parties.  </w:t>
      </w:r>
    </w:p>
    <w:p w14:paraId="3E0AFB0D" w14:textId="0AF730F0" w:rsidR="00C80464" w:rsidRPr="00A16B10" w:rsidRDefault="00A16B10" w:rsidP="00C80464">
      <w:pPr>
        <w:pStyle w:val="NoSpacing"/>
        <w:rPr>
          <w:rFonts w:ascii="Times New Roman" w:hAnsi="Times New Roman"/>
          <w:sz w:val="24"/>
          <w:szCs w:val="24"/>
        </w:rPr>
      </w:pPr>
      <w:r w:rsidRPr="00A16B10">
        <w:rPr>
          <w:rFonts w:ascii="Times New Roman" w:hAnsi="Times New Roman"/>
          <w:sz w:val="24"/>
          <w:szCs w:val="24"/>
        </w:rPr>
        <w:t xml:space="preserve">Note: </w:t>
      </w:r>
      <w:r w:rsidR="00C80464" w:rsidRPr="00A16B10">
        <w:rPr>
          <w:rFonts w:ascii="Times New Roman" w:hAnsi="Times New Roman"/>
          <w:sz w:val="24"/>
          <w:szCs w:val="24"/>
        </w:rPr>
        <w:t>In Ohio, see Ohio Revised Code</w:t>
      </w:r>
      <w:r>
        <w:rPr>
          <w:rFonts w:ascii="Times New Roman" w:hAnsi="Times New Roman"/>
          <w:sz w:val="24"/>
          <w:szCs w:val="24"/>
        </w:rPr>
        <w:t xml:space="preserve">’s </w:t>
      </w:r>
      <w:r w:rsidR="00C80464" w:rsidRPr="00A16B10">
        <w:rPr>
          <w:rFonts w:ascii="Times New Roman" w:hAnsi="Times New Roman"/>
          <w:sz w:val="24"/>
          <w:szCs w:val="24"/>
        </w:rPr>
        <w:t>“1500 Hour Rule”</w:t>
      </w:r>
      <w:r>
        <w:rPr>
          <w:rFonts w:ascii="Times New Roman" w:hAnsi="Times New Roman"/>
          <w:sz w:val="24"/>
          <w:szCs w:val="24"/>
        </w:rPr>
        <w:t xml:space="preserve"> </w:t>
      </w:r>
      <w:r w:rsidR="00C80464" w:rsidRPr="00A16B10">
        <w:rPr>
          <w:rFonts w:ascii="Times New Roman" w:hAnsi="Times New Roman"/>
          <w:sz w:val="24"/>
          <w:szCs w:val="24"/>
        </w:rPr>
        <w:t>applies to Township firefighters:</w:t>
      </w:r>
    </w:p>
    <w:p w14:paraId="464DF3D8" w14:textId="77777777" w:rsidR="00C80464" w:rsidRPr="00A16B10" w:rsidRDefault="00C80464" w:rsidP="00C80464">
      <w:pPr>
        <w:pStyle w:val="NoSpacing"/>
        <w:rPr>
          <w:rFonts w:ascii="Times New Roman" w:hAnsi="Times New Roman"/>
          <w:sz w:val="24"/>
          <w:szCs w:val="24"/>
        </w:rPr>
      </w:pPr>
    </w:p>
    <w:p w14:paraId="0CED5D89" w14:textId="77777777" w:rsidR="00A16B10" w:rsidRDefault="00C80464" w:rsidP="00A16B10">
      <w:pPr>
        <w:ind w:left="720" w:firstLine="720"/>
        <w:rPr>
          <w:rFonts w:asciiTheme="minorHAnsi" w:hAnsiTheme="minorHAnsi" w:cstheme="minorHAnsi"/>
          <w:sz w:val="24"/>
          <w:szCs w:val="24"/>
        </w:rPr>
      </w:pPr>
      <w:hyperlink r:id="rId1909" w:history="1">
        <w:r w:rsidRPr="00A16B10">
          <w:rPr>
            <w:rStyle w:val="Hyperlink"/>
            <w:rFonts w:asciiTheme="minorHAnsi" w:hAnsiTheme="minorHAnsi" w:cstheme="minorHAnsi"/>
            <w:sz w:val="24"/>
            <w:szCs w:val="24"/>
          </w:rPr>
          <w:t>http://codes.ohio.gov/orc/505.60</w:t>
        </w:r>
      </w:hyperlink>
      <w:r w:rsidRPr="00A16B10">
        <w:rPr>
          <w:rFonts w:asciiTheme="minorHAnsi" w:hAnsiTheme="minorHAnsi" w:cstheme="minorHAnsi"/>
          <w:sz w:val="24"/>
          <w:szCs w:val="24"/>
        </w:rPr>
        <w:t xml:space="preserve"> </w:t>
      </w:r>
    </w:p>
    <w:p w14:paraId="3DE3C633" w14:textId="0CAE11CB" w:rsidR="00C80464" w:rsidRPr="00A16B10" w:rsidRDefault="00C80464" w:rsidP="00A16B10">
      <w:pPr>
        <w:ind w:left="720" w:firstLine="720"/>
        <w:rPr>
          <w:rFonts w:asciiTheme="minorHAnsi" w:hAnsiTheme="minorHAnsi" w:cstheme="minorHAnsi"/>
        </w:rPr>
      </w:pPr>
      <w:r w:rsidRPr="00A16B10">
        <w:rPr>
          <w:rFonts w:asciiTheme="minorHAnsi" w:hAnsiTheme="minorHAnsi" w:cstheme="minorHAnsi"/>
        </w:rPr>
        <w:t xml:space="preserve">(G) As used in this section and section </w:t>
      </w:r>
      <w:hyperlink r:id="rId1910" w:history="1">
        <w:r w:rsidRPr="00A16B10">
          <w:rPr>
            <w:rStyle w:val="Hyperlink"/>
            <w:rFonts w:asciiTheme="minorHAnsi" w:hAnsiTheme="minorHAnsi" w:cstheme="minorHAnsi"/>
          </w:rPr>
          <w:t>505.601</w:t>
        </w:r>
      </w:hyperlink>
      <w:r w:rsidRPr="00A16B10">
        <w:rPr>
          <w:rFonts w:asciiTheme="minorHAnsi" w:hAnsiTheme="minorHAnsi" w:cstheme="minorHAnsi"/>
        </w:rPr>
        <w:t xml:space="preserve"> of the Revised Code: </w:t>
      </w:r>
    </w:p>
    <w:p w14:paraId="66376087" w14:textId="77777777" w:rsidR="00C80464" w:rsidRPr="00A16B10" w:rsidRDefault="00C80464" w:rsidP="00C80464">
      <w:pPr>
        <w:pStyle w:val="NormalWeb"/>
        <w:ind w:left="1440"/>
        <w:rPr>
          <w:rFonts w:asciiTheme="minorHAnsi" w:hAnsiTheme="minorHAnsi" w:cstheme="minorHAnsi"/>
        </w:rPr>
      </w:pPr>
      <w:r w:rsidRPr="00A16B10">
        <w:rPr>
          <w:rFonts w:asciiTheme="minorHAnsi" w:hAnsiTheme="minorHAnsi" w:cstheme="minorHAnsi"/>
        </w:rPr>
        <w:t xml:space="preserve">(1) "Part-time township employee" means a township employee who is hired with the expectation that the employee will work not more than one thousand five hundred hours in any year. </w:t>
      </w:r>
    </w:p>
    <w:bookmarkEnd w:id="408"/>
    <w:p w14:paraId="79E17F21" w14:textId="77777777" w:rsidR="00A67C57" w:rsidRDefault="00A67C57" w:rsidP="00F326E5">
      <w:pPr>
        <w:rPr>
          <w:rFonts w:ascii="Arial Black" w:hAnsi="Arial Black"/>
          <w:b/>
          <w:sz w:val="24"/>
          <w:szCs w:val="24"/>
        </w:rPr>
      </w:pPr>
    </w:p>
    <w:p w14:paraId="4E5ED752" w14:textId="753BA38B" w:rsidR="009F0F05" w:rsidRDefault="009F0F05" w:rsidP="00F326E5">
      <w:pPr>
        <w:rPr>
          <w:rFonts w:ascii="Arial Black" w:hAnsi="Arial Black"/>
          <w:b/>
          <w:sz w:val="24"/>
          <w:szCs w:val="24"/>
        </w:rPr>
      </w:pPr>
      <w:r>
        <w:rPr>
          <w:rFonts w:ascii="Arial Black" w:hAnsi="Arial Black"/>
          <w:b/>
          <w:sz w:val="24"/>
          <w:szCs w:val="24"/>
        </w:rPr>
        <w:t>11-</w:t>
      </w:r>
      <w:r w:rsidR="00E9307E">
        <w:rPr>
          <w:rFonts w:ascii="Arial Black" w:hAnsi="Arial Black"/>
          <w:b/>
          <w:sz w:val="24"/>
          <w:szCs w:val="24"/>
        </w:rPr>
        <w:t>6</w:t>
      </w:r>
    </w:p>
    <w:p w14:paraId="45A1D981" w14:textId="77777777" w:rsidR="009F0F05" w:rsidRDefault="009F0F05" w:rsidP="009F0F05">
      <w:pPr>
        <w:rPr>
          <w:rFonts w:ascii="Arial Black" w:hAnsi="Arial Black"/>
          <w:sz w:val="28"/>
          <w:szCs w:val="28"/>
        </w:rPr>
      </w:pPr>
      <w:r>
        <w:rPr>
          <w:rFonts w:ascii="Arial Black" w:hAnsi="Arial Black"/>
          <w:sz w:val="28"/>
          <w:szCs w:val="28"/>
        </w:rPr>
        <w:t xml:space="preserve">FLSA:  DOL OPINION LETTER – WHEN EMPLOYEE IS BOTH FF / POLICE OFFICER SAME PUBLIC AGENCY – CALCULATING OVERTIME </w:t>
      </w:r>
    </w:p>
    <w:p w14:paraId="6D21F96F" w14:textId="77777777" w:rsidR="009F0F05" w:rsidRDefault="009F0F05" w:rsidP="009F0F05">
      <w:pPr>
        <w:rPr>
          <w:rFonts w:ascii="Times New Roman" w:hAnsi="Times New Roman"/>
          <w:sz w:val="24"/>
          <w:szCs w:val="24"/>
        </w:rPr>
      </w:pPr>
      <w:r w:rsidRPr="00AB528C">
        <w:rPr>
          <w:rFonts w:ascii="Times New Roman" w:hAnsi="Times New Roman"/>
          <w:sz w:val="24"/>
          <w:szCs w:val="24"/>
        </w:rPr>
        <w:lastRenderedPageBreak/>
        <w:t>On</w:t>
      </w:r>
      <w:r>
        <w:rPr>
          <w:rFonts w:ascii="Times New Roman" w:hAnsi="Times New Roman"/>
          <w:sz w:val="24"/>
          <w:szCs w:val="24"/>
        </w:rPr>
        <w:t xml:space="preserve"> Aug. 8, 2019, the U.S. Department of Labor issued Opinion Letter </w:t>
      </w:r>
      <w:r w:rsidRPr="000235F1">
        <w:rPr>
          <w:rFonts w:ascii="Times New Roman" w:hAnsi="Times New Roman"/>
          <w:sz w:val="24"/>
          <w:szCs w:val="24"/>
        </w:rPr>
        <w:t>FLSA2019- 11</w:t>
      </w:r>
      <w:r>
        <w:rPr>
          <w:rFonts w:ascii="Times New Roman" w:hAnsi="Times New Roman"/>
          <w:sz w:val="24"/>
          <w:szCs w:val="24"/>
        </w:rPr>
        <w:t xml:space="preserve">, confirmed that if working for same public agency, then the total hours worked are aggregated when determining overtime pay. </w:t>
      </w:r>
      <w:hyperlink r:id="rId1911" w:history="1">
        <w:r w:rsidRPr="00A05487">
          <w:rPr>
            <w:rStyle w:val="Hyperlink"/>
            <w:rFonts w:ascii="Times New Roman" w:hAnsi="Times New Roman"/>
            <w:sz w:val="24"/>
            <w:szCs w:val="24"/>
          </w:rPr>
          <w:t>https://www.dol.gov/whd/opinion/FLSA/2019/2019_08_08_11_FLSA.pdf</w:t>
        </w:r>
      </w:hyperlink>
      <w:r>
        <w:rPr>
          <w:rFonts w:ascii="Times New Roman" w:hAnsi="Times New Roman"/>
          <w:sz w:val="24"/>
          <w:szCs w:val="24"/>
        </w:rPr>
        <w:t xml:space="preserve"> </w:t>
      </w:r>
    </w:p>
    <w:p w14:paraId="4B6B13C8" w14:textId="77777777" w:rsidR="009F0F05" w:rsidRDefault="009F0F05" w:rsidP="009F0F05">
      <w:pPr>
        <w:ind w:left="720"/>
        <w:rPr>
          <w:rFonts w:ascii="Times New Roman" w:hAnsi="Times New Roman"/>
          <w:sz w:val="24"/>
          <w:szCs w:val="24"/>
        </w:rPr>
      </w:pPr>
      <w:r>
        <w:rPr>
          <w:rFonts w:ascii="Times New Roman" w:hAnsi="Times New Roman"/>
          <w:sz w:val="24"/>
          <w:szCs w:val="24"/>
        </w:rPr>
        <w:t>“</w:t>
      </w:r>
      <w:r w:rsidRPr="00A4365A">
        <w:rPr>
          <w:rFonts w:ascii="Times New Roman" w:hAnsi="Times New Roman"/>
          <w:sz w:val="24"/>
          <w:szCs w:val="24"/>
        </w:rPr>
        <w:t>If an employee works for separate and distinct employers, each employer may disregard work performed by the employee for the other employer when determining its responsibility under the Fair Labor Standards Act (FLSA). 29 C.F.R. § 791.2. However, where the employee performs “fire protection activities” for the fire department and “law enforcement activities” for the police department of the same public agency, as you state is the case here, the hours are aggregated.</w:t>
      </w:r>
      <w:r>
        <w:rPr>
          <w:rFonts w:ascii="Times New Roman" w:hAnsi="Times New Roman"/>
          <w:sz w:val="24"/>
          <w:szCs w:val="24"/>
        </w:rPr>
        <w:t>”</w:t>
      </w:r>
    </w:p>
    <w:p w14:paraId="4443E235" w14:textId="73B61801" w:rsidR="009F0F05" w:rsidRDefault="009F0F05" w:rsidP="009F0F05">
      <w:pPr>
        <w:rPr>
          <w:rFonts w:ascii="Times New Roman" w:hAnsi="Times New Roman"/>
          <w:b/>
          <w:bCs/>
          <w:sz w:val="24"/>
          <w:szCs w:val="24"/>
        </w:rPr>
      </w:pPr>
      <w:r w:rsidRPr="003E4638">
        <w:rPr>
          <w:rFonts w:ascii="Times New Roman" w:hAnsi="Times New Roman"/>
          <w:b/>
          <w:bCs/>
          <w:sz w:val="24"/>
          <w:szCs w:val="24"/>
        </w:rPr>
        <w:t>Legal Lessons Learned:</w:t>
      </w:r>
      <w:r>
        <w:rPr>
          <w:rFonts w:ascii="Times New Roman" w:hAnsi="Times New Roman"/>
          <w:b/>
          <w:bCs/>
          <w:sz w:val="24"/>
          <w:szCs w:val="24"/>
        </w:rPr>
        <w:t xml:space="preserve">  When in doubt about paying overtime, review FLSA opinion letters.  </w:t>
      </w:r>
      <w:hyperlink r:id="rId1912" w:history="1">
        <w:r w:rsidRPr="00A05487">
          <w:rPr>
            <w:rStyle w:val="Hyperlink"/>
            <w:rFonts w:ascii="Times New Roman" w:hAnsi="Times New Roman"/>
            <w:b/>
            <w:bCs/>
            <w:sz w:val="24"/>
            <w:szCs w:val="24"/>
          </w:rPr>
          <w:t>https://www.dol.gov/whd/opinion/search/index.htm?FLSA</w:t>
        </w:r>
      </w:hyperlink>
      <w:r>
        <w:rPr>
          <w:rFonts w:ascii="Times New Roman" w:hAnsi="Times New Roman"/>
          <w:b/>
          <w:bCs/>
          <w:sz w:val="24"/>
          <w:szCs w:val="24"/>
        </w:rPr>
        <w:t xml:space="preserve">   If still not clear, call </w:t>
      </w:r>
      <w:proofErr w:type="spellStart"/>
      <w:r>
        <w:rPr>
          <w:rFonts w:ascii="Times New Roman" w:hAnsi="Times New Roman"/>
          <w:b/>
          <w:bCs/>
          <w:sz w:val="24"/>
          <w:szCs w:val="24"/>
        </w:rPr>
        <w:t>DoL</w:t>
      </w:r>
      <w:proofErr w:type="spellEnd"/>
      <w:r>
        <w:rPr>
          <w:rFonts w:ascii="Times New Roman" w:hAnsi="Times New Roman"/>
          <w:b/>
          <w:bCs/>
          <w:sz w:val="24"/>
          <w:szCs w:val="24"/>
        </w:rPr>
        <w:t xml:space="preserve"> Wage </w:t>
      </w:r>
      <w:proofErr w:type="gramStart"/>
      <w:r>
        <w:rPr>
          <w:rFonts w:ascii="Times New Roman" w:hAnsi="Times New Roman"/>
          <w:b/>
          <w:bCs/>
          <w:sz w:val="24"/>
          <w:szCs w:val="24"/>
        </w:rPr>
        <w:t>And</w:t>
      </w:r>
      <w:proofErr w:type="gramEnd"/>
      <w:r>
        <w:rPr>
          <w:rFonts w:ascii="Times New Roman" w:hAnsi="Times New Roman"/>
          <w:b/>
          <w:bCs/>
          <w:sz w:val="24"/>
          <w:szCs w:val="24"/>
        </w:rPr>
        <w:t xml:space="preserve"> Hour Division and consult with experienced Legal Counsel.  </w:t>
      </w:r>
    </w:p>
    <w:p w14:paraId="1224AA89" w14:textId="127DE820" w:rsidR="00E052A6" w:rsidRDefault="00E052A6" w:rsidP="00E052A6">
      <w:pPr>
        <w:rPr>
          <w:rFonts w:ascii="Times New Roman" w:hAnsi="Times New Roman"/>
          <w:bCs/>
          <w:sz w:val="24"/>
          <w:szCs w:val="24"/>
        </w:rPr>
      </w:pPr>
    </w:p>
    <w:p w14:paraId="5714D2E1" w14:textId="77777777" w:rsidR="00EC50D5" w:rsidRPr="004647F6" w:rsidRDefault="00EC50D5" w:rsidP="00EC50D5">
      <w:pPr>
        <w:rPr>
          <w:rFonts w:ascii="Arial Black" w:hAnsi="Arial Black"/>
          <w:b/>
          <w:sz w:val="28"/>
          <w:szCs w:val="28"/>
        </w:rPr>
      </w:pPr>
      <w:r w:rsidRPr="004647F6">
        <w:rPr>
          <w:rFonts w:ascii="Arial Black" w:hAnsi="Arial Black"/>
          <w:b/>
          <w:sz w:val="28"/>
          <w:szCs w:val="28"/>
        </w:rPr>
        <w:t xml:space="preserve">FL – </w:t>
      </w:r>
      <w:r>
        <w:rPr>
          <w:rFonts w:ascii="Arial Black" w:hAnsi="Arial Black"/>
          <w:b/>
          <w:sz w:val="28"/>
          <w:szCs w:val="28"/>
        </w:rPr>
        <w:t xml:space="preserve">FF / U.S. ARMY RESERVE - </w:t>
      </w:r>
      <w:r w:rsidRPr="004647F6">
        <w:rPr>
          <w:rFonts w:ascii="Arial Black" w:hAnsi="Arial Black"/>
          <w:b/>
          <w:sz w:val="28"/>
          <w:szCs w:val="28"/>
        </w:rPr>
        <w:t>USERRA LAWSUIT DISMISSED –</w:t>
      </w:r>
      <w:r>
        <w:rPr>
          <w:rFonts w:ascii="Arial Black" w:hAnsi="Arial Black"/>
          <w:b/>
          <w:sz w:val="28"/>
          <w:szCs w:val="28"/>
        </w:rPr>
        <w:t xml:space="preserve"> NOT </w:t>
      </w:r>
      <w:r w:rsidRPr="004647F6">
        <w:rPr>
          <w:rFonts w:ascii="Arial Black" w:hAnsi="Arial Black"/>
          <w:b/>
          <w:sz w:val="28"/>
          <w:szCs w:val="28"/>
        </w:rPr>
        <w:t>PROMOTE</w:t>
      </w:r>
      <w:r>
        <w:rPr>
          <w:rFonts w:ascii="Arial Black" w:hAnsi="Arial Black"/>
          <w:b/>
          <w:sz w:val="28"/>
          <w:szCs w:val="28"/>
        </w:rPr>
        <w:t>D TO DISTRICT CHIEF – CITY USES “RULE OF 5”</w:t>
      </w:r>
    </w:p>
    <w:p w14:paraId="54EAF161" w14:textId="77777777" w:rsidR="00EC50D5" w:rsidRPr="002119A9" w:rsidRDefault="00EC50D5" w:rsidP="00EC50D5">
      <w:pPr>
        <w:pStyle w:val="NoSpacing"/>
        <w:rPr>
          <w:rFonts w:ascii="Times New Roman" w:hAnsi="Times New Roman"/>
          <w:sz w:val="24"/>
          <w:szCs w:val="24"/>
        </w:rPr>
      </w:pPr>
      <w:r w:rsidRPr="002119A9">
        <w:rPr>
          <w:rFonts w:ascii="Times New Roman" w:hAnsi="Times New Roman"/>
          <w:sz w:val="24"/>
          <w:szCs w:val="24"/>
        </w:rPr>
        <w:t xml:space="preserve">On April 29, 2019, in </w:t>
      </w:r>
      <w:r w:rsidRPr="002119A9">
        <w:rPr>
          <w:rFonts w:ascii="Times New Roman" w:hAnsi="Times New Roman"/>
          <w:sz w:val="24"/>
          <w:szCs w:val="24"/>
          <w:u w:val="single"/>
        </w:rPr>
        <w:t>John H. Ramirez v. City of Fort Lauderdale</w:t>
      </w:r>
      <w:r w:rsidRPr="002119A9">
        <w:rPr>
          <w:rFonts w:ascii="Times New Roman" w:hAnsi="Times New Roman"/>
          <w:sz w:val="24"/>
          <w:szCs w:val="24"/>
        </w:rPr>
        <w:t xml:space="preserve">, U.S. District Court judge William P. </w:t>
      </w:r>
      <w:proofErr w:type="spellStart"/>
      <w:r w:rsidRPr="002119A9">
        <w:rPr>
          <w:rFonts w:ascii="Times New Roman" w:hAnsi="Times New Roman"/>
          <w:sz w:val="24"/>
          <w:szCs w:val="24"/>
        </w:rPr>
        <w:t>Dimitrouleas</w:t>
      </w:r>
      <w:proofErr w:type="spellEnd"/>
      <w:r w:rsidRPr="002119A9">
        <w:rPr>
          <w:rFonts w:ascii="Times New Roman" w:hAnsi="Times New Roman"/>
          <w:sz w:val="24"/>
          <w:szCs w:val="24"/>
        </w:rPr>
        <w:t xml:space="preserve">, Southern District of Florida, granted the City’s motion to dismiss, but Plaintiff was afforded an opportunity to file an amended Complaint to show he was denied promotions because of his military service. </w:t>
      </w:r>
    </w:p>
    <w:p w14:paraId="543B08CD" w14:textId="77777777" w:rsidR="00EC50D5" w:rsidRPr="002119A9" w:rsidRDefault="00EC50D5" w:rsidP="00EC50D5">
      <w:pPr>
        <w:pStyle w:val="NoSpacing"/>
        <w:rPr>
          <w:rFonts w:ascii="Times New Roman" w:hAnsi="Times New Roman"/>
          <w:sz w:val="24"/>
          <w:szCs w:val="24"/>
        </w:rPr>
      </w:pPr>
    </w:p>
    <w:p w14:paraId="77CD9642" w14:textId="77777777" w:rsidR="00EC50D5" w:rsidRPr="002119A9" w:rsidRDefault="00EC50D5" w:rsidP="00EC50D5">
      <w:pPr>
        <w:pStyle w:val="NoSpacing"/>
        <w:ind w:left="720"/>
        <w:rPr>
          <w:rFonts w:ascii="Times New Roman" w:hAnsi="Times New Roman"/>
          <w:sz w:val="24"/>
          <w:szCs w:val="24"/>
        </w:rPr>
      </w:pPr>
      <w:r w:rsidRPr="002119A9">
        <w:rPr>
          <w:rFonts w:ascii="Times New Roman" w:hAnsi="Times New Roman"/>
          <w:sz w:val="24"/>
          <w:szCs w:val="24"/>
        </w:rPr>
        <w:t xml:space="preserve">During Plaintiff's employment, he served in the United States Army and was called for various deployments.  Plaintiff has repeatedly applied for promotion to Division Chief and was passed over for promotion several times. *** Defendant uses the rule of five to select personnel for promotion, which, according to Plaintiff violates Plaintiff's rights under USERRA by ‘not following the State of Florida Veterans preference.’  Plaintiff has complained to the Defendant that his military service was a factor in the decision to deny him promotion. </w:t>
      </w:r>
    </w:p>
    <w:p w14:paraId="250A507F" w14:textId="77777777" w:rsidR="00EC50D5" w:rsidRPr="002119A9" w:rsidRDefault="00EC50D5" w:rsidP="00EC50D5">
      <w:pPr>
        <w:pStyle w:val="NoSpacing"/>
        <w:ind w:left="720"/>
        <w:rPr>
          <w:rFonts w:ascii="Times New Roman" w:hAnsi="Times New Roman"/>
          <w:sz w:val="24"/>
          <w:szCs w:val="24"/>
        </w:rPr>
      </w:pPr>
    </w:p>
    <w:p w14:paraId="17BEEEFB" w14:textId="77777777" w:rsidR="00EC50D5" w:rsidRPr="002119A9" w:rsidRDefault="00EC50D5" w:rsidP="00EC50D5">
      <w:pPr>
        <w:pStyle w:val="NoSpacing"/>
        <w:ind w:left="720"/>
        <w:rPr>
          <w:rFonts w:ascii="Times New Roman" w:hAnsi="Times New Roman"/>
          <w:sz w:val="24"/>
          <w:szCs w:val="24"/>
        </w:rPr>
      </w:pPr>
      <w:r w:rsidRPr="002119A9">
        <w:rPr>
          <w:rFonts w:ascii="Times New Roman" w:hAnsi="Times New Roman"/>
          <w:sz w:val="24"/>
          <w:szCs w:val="24"/>
        </w:rPr>
        <w:t>***</w:t>
      </w:r>
    </w:p>
    <w:p w14:paraId="12E2DAAB" w14:textId="77777777" w:rsidR="00EC50D5" w:rsidRPr="002119A9" w:rsidRDefault="00EC50D5" w:rsidP="00EC50D5">
      <w:pPr>
        <w:pStyle w:val="NoSpacing"/>
        <w:rPr>
          <w:rFonts w:ascii="Times New Roman" w:hAnsi="Times New Roman"/>
          <w:sz w:val="24"/>
          <w:szCs w:val="24"/>
        </w:rPr>
      </w:pPr>
    </w:p>
    <w:p w14:paraId="23EB908A" w14:textId="77777777" w:rsidR="00EC50D5" w:rsidRPr="002119A9" w:rsidRDefault="00EC50D5" w:rsidP="00EC50D5">
      <w:pPr>
        <w:pStyle w:val="NoSpacing"/>
        <w:ind w:left="720"/>
        <w:rPr>
          <w:rFonts w:ascii="Times New Roman" w:eastAsia="Times New Roman" w:hAnsi="Times New Roman"/>
          <w:b/>
          <w:bCs/>
          <w:sz w:val="24"/>
          <w:szCs w:val="24"/>
        </w:rPr>
      </w:pPr>
      <w:r w:rsidRPr="002119A9">
        <w:rPr>
          <w:rFonts w:ascii="Times New Roman" w:hAnsi="Times New Roman"/>
          <w:sz w:val="24"/>
          <w:szCs w:val="24"/>
        </w:rPr>
        <w:t xml:space="preserve">To establish a prima facie case under USERRA, "a plaintiff must show by a preponderance of the evidence that his protected status was a motivating factor in the challenged action." Dominguez v. Miami-Dade </w:t>
      </w:r>
      <w:proofErr w:type="spellStart"/>
      <w:r w:rsidRPr="002119A9">
        <w:rPr>
          <w:rFonts w:ascii="Times New Roman" w:hAnsi="Times New Roman"/>
          <w:sz w:val="24"/>
          <w:szCs w:val="24"/>
        </w:rPr>
        <w:t>Cty</w:t>
      </w:r>
      <w:proofErr w:type="spellEnd"/>
      <w:r w:rsidRPr="002119A9">
        <w:rPr>
          <w:rFonts w:ascii="Times New Roman" w:hAnsi="Times New Roman"/>
          <w:sz w:val="24"/>
          <w:szCs w:val="24"/>
        </w:rPr>
        <w:t xml:space="preserve">., 669 F. Supp. 2d 1340, 1347 (S.D. Fla. 2009), aff'd, 416 F. </w:t>
      </w:r>
      <w:proofErr w:type="spellStart"/>
      <w:r w:rsidRPr="002119A9">
        <w:rPr>
          <w:rFonts w:ascii="Times New Roman" w:hAnsi="Times New Roman"/>
          <w:sz w:val="24"/>
          <w:szCs w:val="24"/>
        </w:rPr>
        <w:t>App'x</w:t>
      </w:r>
      <w:proofErr w:type="spellEnd"/>
      <w:r w:rsidRPr="002119A9">
        <w:rPr>
          <w:rFonts w:ascii="Times New Roman" w:hAnsi="Times New Roman"/>
          <w:sz w:val="24"/>
          <w:szCs w:val="24"/>
        </w:rPr>
        <w:t xml:space="preserve"> 884 (11th Cir. 2011). *** The Court finds that Plaintiff has failed to meet the burden to allege that his protected status as a servicemember was the motivating factor behind Defendant's choice not to promote him.  </w:t>
      </w:r>
      <w:hyperlink r:id="rId1913" w:history="1">
        <w:r w:rsidRPr="002119A9">
          <w:rPr>
            <w:rStyle w:val="Hyperlink"/>
            <w:rFonts w:ascii="Times New Roman" w:eastAsia="Times New Roman" w:hAnsi="Times New Roman"/>
            <w:b/>
            <w:bCs/>
            <w:sz w:val="24"/>
            <w:szCs w:val="24"/>
          </w:rPr>
          <w:t>http://41af3k34gprx4f6bg12df75i.wpengine.netdna-cdn.com/wp-content/uploads/sites/19/2019/05/Ramirez-v.-City-of-Fort-Lauderdale-Fire-Rescue_-2019-U.pdf</w:t>
        </w:r>
      </w:hyperlink>
      <w:r w:rsidRPr="002119A9">
        <w:rPr>
          <w:rFonts w:ascii="Times New Roman" w:eastAsia="Times New Roman" w:hAnsi="Times New Roman"/>
          <w:b/>
          <w:bCs/>
          <w:sz w:val="24"/>
          <w:szCs w:val="24"/>
        </w:rPr>
        <w:t xml:space="preserve"> </w:t>
      </w:r>
    </w:p>
    <w:p w14:paraId="66F16DF9" w14:textId="1F14BD60" w:rsidR="00EC50D5" w:rsidRPr="00715CF2" w:rsidRDefault="00EC50D5" w:rsidP="00EC50D5">
      <w:pPr>
        <w:rPr>
          <w:rFonts w:ascii="Times New Roman" w:hAnsi="Times New Roman"/>
          <w:bCs/>
          <w:sz w:val="24"/>
          <w:szCs w:val="24"/>
        </w:rPr>
      </w:pPr>
      <w:r w:rsidRPr="0052665B">
        <w:rPr>
          <w:rFonts w:ascii="Times New Roman" w:hAnsi="Times New Roman"/>
          <w:b/>
          <w:sz w:val="24"/>
          <w:szCs w:val="24"/>
        </w:rPr>
        <w:t>Legal Lesson Learned:  Plaintiff failed to show that his protected military status was a motivating factor in not being promoted</w:t>
      </w:r>
    </w:p>
    <w:p w14:paraId="115D1A0E" w14:textId="77777777" w:rsidR="005B0774" w:rsidRDefault="005B0774" w:rsidP="00F326E5">
      <w:pPr>
        <w:rPr>
          <w:rFonts w:ascii="Arial Black" w:hAnsi="Arial Black"/>
          <w:b/>
          <w:sz w:val="24"/>
          <w:szCs w:val="24"/>
        </w:rPr>
      </w:pPr>
    </w:p>
    <w:p w14:paraId="6968C5B4" w14:textId="3C2D78DC" w:rsidR="005B0774" w:rsidRDefault="005B0774" w:rsidP="00F326E5">
      <w:pPr>
        <w:rPr>
          <w:rFonts w:ascii="Arial Black" w:hAnsi="Arial Black"/>
          <w:b/>
          <w:sz w:val="24"/>
          <w:szCs w:val="24"/>
        </w:rPr>
      </w:pPr>
      <w:r>
        <w:rPr>
          <w:rFonts w:ascii="Arial Black" w:hAnsi="Arial Black"/>
          <w:b/>
          <w:sz w:val="24"/>
          <w:szCs w:val="24"/>
        </w:rPr>
        <w:t>11-5</w:t>
      </w:r>
    </w:p>
    <w:p w14:paraId="16813B02" w14:textId="2766604B" w:rsidR="005B0774" w:rsidRPr="00E9307E" w:rsidRDefault="005B0774" w:rsidP="00F326E5">
      <w:pPr>
        <w:rPr>
          <w:rFonts w:ascii="Arial Black" w:hAnsi="Arial Black"/>
          <w:sz w:val="28"/>
          <w:szCs w:val="28"/>
        </w:rPr>
      </w:pPr>
      <w:r w:rsidRPr="00E9307E">
        <w:rPr>
          <w:rFonts w:ascii="Arial Black" w:hAnsi="Arial Black" w:cs="Arial"/>
          <w:sz w:val="28"/>
          <w:szCs w:val="28"/>
        </w:rPr>
        <w:t xml:space="preserve">WA: FED. JUDGE REFUSES DECLARATORY JUDGMENT – BATTALION </w:t>
      </w:r>
      <w:r w:rsidRPr="00E9307E">
        <w:rPr>
          <w:rFonts w:ascii="Arial Black" w:hAnsi="Arial Black"/>
          <w:sz w:val="28"/>
          <w:szCs w:val="28"/>
        </w:rPr>
        <w:t xml:space="preserve">CHIEFS / FIRE MARSHALS ARE “EXEMPT” FLSA </w:t>
      </w:r>
    </w:p>
    <w:p w14:paraId="195ACE47" w14:textId="77777777" w:rsidR="00E658E1" w:rsidRDefault="005B0774" w:rsidP="00F326E5">
      <w:pPr>
        <w:rPr>
          <w:rFonts w:ascii="Times New Roman" w:hAnsi="Times New Roman"/>
          <w:sz w:val="24"/>
          <w:szCs w:val="24"/>
        </w:rPr>
      </w:pPr>
      <w:r w:rsidRPr="0036327D">
        <w:rPr>
          <w:rFonts w:ascii="Times New Roman" w:hAnsi="Times New Roman"/>
          <w:sz w:val="24"/>
          <w:szCs w:val="24"/>
        </w:rPr>
        <w:lastRenderedPageBreak/>
        <w:t>On April 18, 2019, in Spokane Valley Fire Department v. IAFF Local 3701, U.S. District Court Judge Salvador Mendoza, Jr., held:</w:t>
      </w:r>
    </w:p>
    <w:p w14:paraId="7AACB06E" w14:textId="033EC010" w:rsidR="005B0774" w:rsidRPr="0036327D" w:rsidRDefault="005B0774" w:rsidP="00E658E1">
      <w:pPr>
        <w:ind w:left="720"/>
        <w:rPr>
          <w:rFonts w:ascii="Times New Roman" w:hAnsi="Times New Roman"/>
          <w:sz w:val="24"/>
          <w:szCs w:val="24"/>
        </w:rPr>
      </w:pPr>
      <w:r w:rsidRPr="0036327D">
        <w:rPr>
          <w:rFonts w:ascii="Times New Roman" w:hAnsi="Times New Roman"/>
          <w:sz w:val="24"/>
          <w:szCs w:val="24"/>
        </w:rPr>
        <w:t xml:space="preserve">“But the problem for the Department is that it fails to demonstrate any potential FLSA overtime claims have accrued or are certainly impending and pose an imminent threat, </w:t>
      </w:r>
      <w:proofErr w:type="gramStart"/>
      <w:r w:rsidRPr="0036327D">
        <w:rPr>
          <w:rFonts w:ascii="Times New Roman" w:hAnsi="Times New Roman"/>
          <w:sz w:val="24"/>
          <w:szCs w:val="24"/>
        </w:rPr>
        <w:t>so as to</w:t>
      </w:r>
      <w:proofErr w:type="gramEnd"/>
      <w:r w:rsidRPr="0036327D">
        <w:rPr>
          <w:rFonts w:ascii="Times New Roman" w:hAnsi="Times New Roman"/>
          <w:sz w:val="24"/>
          <w:szCs w:val="24"/>
        </w:rPr>
        <w:t xml:space="preserve"> establish standing and ripeness. By continuing to operate under the existing collective bargaining agreement, the Department is preserving an injury-free status quo.”</w:t>
      </w:r>
      <w:r w:rsidR="00C95AF6" w:rsidRPr="0036327D">
        <w:rPr>
          <w:rFonts w:ascii="Times New Roman" w:hAnsi="Times New Roman"/>
          <w:sz w:val="24"/>
          <w:szCs w:val="24"/>
        </w:rPr>
        <w:t xml:space="preserve"> </w:t>
      </w:r>
      <w:hyperlink r:id="rId1914" w:history="1">
        <w:r w:rsidR="00C95AF6" w:rsidRPr="0036327D">
          <w:rPr>
            <w:rStyle w:val="Hyperlink"/>
            <w:rFonts w:ascii="Times New Roman" w:hAnsi="Times New Roman"/>
            <w:sz w:val="24"/>
            <w:szCs w:val="24"/>
          </w:rPr>
          <w:t>http://41af3k34gprx4f6bg12df75i.wpengine.netdna-cdn.com/wp-content/uploads/sites/19/2019/04/Spokane-Valley-Fire-Department-v-IAFF-Local-3701-RULING.pdf</w:t>
        </w:r>
      </w:hyperlink>
      <w:r w:rsidR="00C95AF6" w:rsidRPr="0036327D">
        <w:rPr>
          <w:rFonts w:ascii="Times New Roman" w:hAnsi="Times New Roman"/>
          <w:sz w:val="24"/>
          <w:szCs w:val="24"/>
        </w:rPr>
        <w:t xml:space="preserve"> </w:t>
      </w:r>
    </w:p>
    <w:p w14:paraId="611A277B" w14:textId="77777777" w:rsidR="00C95AF6" w:rsidRPr="0036327D" w:rsidRDefault="00C95AF6" w:rsidP="00F326E5">
      <w:pPr>
        <w:rPr>
          <w:rFonts w:ascii="Times New Roman" w:hAnsi="Times New Roman"/>
          <w:b/>
          <w:bCs/>
          <w:sz w:val="24"/>
          <w:szCs w:val="24"/>
        </w:rPr>
      </w:pPr>
      <w:r w:rsidRPr="0036327D">
        <w:rPr>
          <w:rFonts w:ascii="Times New Roman" w:hAnsi="Times New Roman"/>
          <w:b/>
          <w:bCs/>
          <w:sz w:val="24"/>
          <w:szCs w:val="24"/>
        </w:rPr>
        <w:t>Legal Lessons Learned: The Fire Department can always consult with U.S. Department of Labor, Wage &amp; Hour Division, or seek a formal opinion letter concerning the proper classification of their Battalion Chiefs and Fire Marshals based on a detailed description of their job duties.</w:t>
      </w:r>
    </w:p>
    <w:p w14:paraId="7C470B39" w14:textId="0F5AB7AC" w:rsidR="00C95AF6" w:rsidRPr="0036327D" w:rsidRDefault="00C95AF6" w:rsidP="00C95AF6">
      <w:pPr>
        <w:ind w:left="720"/>
        <w:rPr>
          <w:rFonts w:ascii="Times New Roman" w:hAnsi="Times New Roman"/>
          <w:sz w:val="24"/>
          <w:szCs w:val="24"/>
        </w:rPr>
      </w:pPr>
      <w:r w:rsidRPr="0036327D">
        <w:rPr>
          <w:rFonts w:ascii="Times New Roman" w:hAnsi="Times New Roman"/>
          <w:sz w:val="24"/>
          <w:szCs w:val="24"/>
        </w:rPr>
        <w:t xml:space="preserve">For example, see Opinion Letter FLSA 2005-40: “Accordingly, the duties described in your letter are sufficient to qualify the City’s Police Lieutenants, Police Captains, and Fire Battalion Chiefs as exempt from the minimum wage and overtime provisions of the FLSA. Therefore, so long as the actual duties performed by these employees are consistent with those described, the referenced employees are exempt from these provisions of the FLSA.” </w:t>
      </w:r>
      <w:hyperlink r:id="rId1915" w:history="1">
        <w:r w:rsidRPr="0036327D">
          <w:rPr>
            <w:rStyle w:val="Hyperlink"/>
            <w:rFonts w:ascii="Times New Roman" w:hAnsi="Times New Roman"/>
            <w:sz w:val="24"/>
            <w:szCs w:val="24"/>
          </w:rPr>
          <w:t>https://www.dol.gov/whd/opinion/FLSA/2005/2005_10_14_40_FLSA.pdf</w:t>
        </w:r>
      </w:hyperlink>
      <w:r w:rsidRPr="0036327D">
        <w:rPr>
          <w:rFonts w:ascii="Times New Roman" w:hAnsi="Times New Roman"/>
          <w:sz w:val="24"/>
          <w:szCs w:val="24"/>
        </w:rPr>
        <w:t xml:space="preserve"> </w:t>
      </w:r>
    </w:p>
    <w:p w14:paraId="719DFCB2" w14:textId="77777777" w:rsidR="005B0774" w:rsidRPr="0036327D" w:rsidRDefault="005B0774" w:rsidP="00F326E5">
      <w:pPr>
        <w:rPr>
          <w:rFonts w:ascii="Times New Roman" w:hAnsi="Times New Roman"/>
          <w:b/>
          <w:sz w:val="24"/>
          <w:szCs w:val="24"/>
        </w:rPr>
      </w:pPr>
    </w:p>
    <w:p w14:paraId="6D127516" w14:textId="4DF9577C" w:rsidR="00DE0F03" w:rsidRDefault="00DE0F03" w:rsidP="00F326E5">
      <w:pPr>
        <w:rPr>
          <w:rFonts w:ascii="Arial Black" w:hAnsi="Arial Black"/>
          <w:sz w:val="40"/>
          <w:szCs w:val="40"/>
        </w:rPr>
      </w:pPr>
      <w:r>
        <w:rPr>
          <w:rFonts w:ascii="Arial Black" w:hAnsi="Arial Black"/>
          <w:b/>
          <w:sz w:val="24"/>
          <w:szCs w:val="24"/>
        </w:rPr>
        <w:t>11</w:t>
      </w:r>
      <w:r w:rsidRPr="00EF1133">
        <w:rPr>
          <w:rFonts w:ascii="Arial Black" w:hAnsi="Arial Black"/>
          <w:b/>
          <w:sz w:val="24"/>
          <w:szCs w:val="24"/>
        </w:rPr>
        <w:t>-</w:t>
      </w:r>
      <w:r>
        <w:rPr>
          <w:rFonts w:ascii="Arial Black" w:hAnsi="Arial Black"/>
          <w:b/>
          <w:sz w:val="24"/>
          <w:szCs w:val="24"/>
        </w:rPr>
        <w:t>4</w:t>
      </w:r>
    </w:p>
    <w:p w14:paraId="1C7DB8BA" w14:textId="0633FCA0" w:rsidR="00F326E5" w:rsidRDefault="00F326E5" w:rsidP="00F326E5">
      <w:pPr>
        <w:pStyle w:val="NoSpacing"/>
        <w:rPr>
          <w:rFonts w:ascii="Arial Black" w:hAnsi="Arial Black"/>
          <w:sz w:val="28"/>
          <w:szCs w:val="28"/>
        </w:rPr>
      </w:pPr>
      <w:bookmarkStart w:id="409" w:name="_Hlk7345398"/>
      <w:r>
        <w:rPr>
          <w:rFonts w:ascii="Arial Black" w:hAnsi="Arial Black"/>
          <w:sz w:val="28"/>
          <w:szCs w:val="28"/>
        </w:rPr>
        <w:t>U.S. DEPT. OF LABOR: PROPOSED NEW RULE –</w:t>
      </w:r>
      <w:r w:rsidR="008F1BBB">
        <w:rPr>
          <w:rFonts w:ascii="Arial Black" w:hAnsi="Arial Black"/>
          <w:sz w:val="28"/>
          <w:szCs w:val="28"/>
        </w:rPr>
        <w:t xml:space="preserve"> </w:t>
      </w:r>
      <w:r>
        <w:rPr>
          <w:rFonts w:ascii="Arial Black" w:hAnsi="Arial Black"/>
          <w:sz w:val="28"/>
          <w:szCs w:val="28"/>
        </w:rPr>
        <w:t xml:space="preserve">ITEMS NOT INCLUDED IN “REGULAR RATE OF PAY” </w:t>
      </w:r>
    </w:p>
    <w:p w14:paraId="1E24790F" w14:textId="77777777" w:rsidR="00F326E5" w:rsidRPr="00E658E1" w:rsidRDefault="00F326E5" w:rsidP="00F326E5">
      <w:pPr>
        <w:spacing w:before="100" w:beforeAutospacing="1" w:after="100" w:afterAutospacing="1"/>
        <w:rPr>
          <w:rFonts w:ascii="Times New Roman" w:eastAsia="Times New Roman" w:hAnsi="Times New Roman"/>
          <w:sz w:val="24"/>
          <w:szCs w:val="24"/>
        </w:rPr>
      </w:pPr>
      <w:r w:rsidRPr="00E658E1">
        <w:rPr>
          <w:rFonts w:ascii="Times New Roman" w:eastAsia="Times New Roman" w:hAnsi="Times New Roman"/>
          <w:sz w:val="24"/>
          <w:szCs w:val="24"/>
        </w:rPr>
        <w:t xml:space="preserve">On March 28, 2019, the U.S. Department of Labor (Department) announced a proposed rule to amend 29 CFR part 778 to clarify and update regular rate requirements under section 7(e) of the Fair Labor Standards Act (FLSA).  </w:t>
      </w:r>
      <w:hyperlink r:id="rId1916" w:history="1">
        <w:r w:rsidRPr="00E658E1">
          <w:rPr>
            <w:rStyle w:val="Hyperlink"/>
            <w:rFonts w:ascii="Times New Roman" w:hAnsi="Times New Roman"/>
            <w:sz w:val="24"/>
            <w:szCs w:val="24"/>
          </w:rPr>
          <w:t>https://www.dol.gov/whd/overtime/regularrate2019.htm</w:t>
        </w:r>
      </w:hyperlink>
      <w:r w:rsidRPr="00E658E1">
        <w:rPr>
          <w:rFonts w:ascii="Times New Roman" w:eastAsia="Times New Roman" w:hAnsi="Times New Roman"/>
          <w:sz w:val="24"/>
          <w:szCs w:val="24"/>
        </w:rPr>
        <w:t xml:space="preserve"> </w:t>
      </w:r>
    </w:p>
    <w:p w14:paraId="784504D8" w14:textId="77777777" w:rsidR="00F326E5" w:rsidRPr="00E658E1" w:rsidRDefault="00F326E5" w:rsidP="00F326E5">
      <w:pPr>
        <w:spacing w:before="100" w:beforeAutospacing="1" w:after="100" w:afterAutospacing="1"/>
        <w:ind w:left="720"/>
        <w:rPr>
          <w:rFonts w:ascii="Times New Roman" w:eastAsia="Times New Roman" w:hAnsi="Times New Roman"/>
          <w:sz w:val="24"/>
          <w:szCs w:val="24"/>
        </w:rPr>
      </w:pPr>
      <w:r w:rsidRPr="00E658E1">
        <w:rPr>
          <w:rFonts w:ascii="Times New Roman" w:eastAsia="Times New Roman" w:hAnsi="Times New Roman"/>
          <w:sz w:val="24"/>
          <w:szCs w:val="24"/>
        </w:rPr>
        <w:t xml:space="preserve">“The FLSA generally requires overtime pay of at least one and one-half times the regular rate of pay for hours worked </w:t>
      </w:r>
      <w:proofErr w:type="gramStart"/>
      <w:r w:rsidRPr="00E658E1">
        <w:rPr>
          <w:rFonts w:ascii="Times New Roman" w:eastAsia="Times New Roman" w:hAnsi="Times New Roman"/>
          <w:sz w:val="24"/>
          <w:szCs w:val="24"/>
        </w:rPr>
        <w:t>in excess of</w:t>
      </w:r>
      <w:proofErr w:type="gramEnd"/>
      <w:r w:rsidRPr="00E658E1">
        <w:rPr>
          <w:rFonts w:ascii="Times New Roman" w:eastAsia="Times New Roman" w:hAnsi="Times New Roman"/>
          <w:sz w:val="24"/>
          <w:szCs w:val="24"/>
        </w:rPr>
        <w:t xml:space="preserve"> 40 hours per workweek. Regular rate requirements define what forms of payment employers include and exclude in the “time and one-half” calculation when determining workers’ overtime rates. Under current rules, employers are discouraged from offering more perks to their employees as it may be unclear whether those perks must be included in the calculation of an employees’ regular rate of pay. The proposed rule focuses primarily on clarifying whether certain kinds of perks, benefits, or other miscellaneous items must be included in the regular rate. Because these regulations have not been updated in decades, the proposal would better define the regular rate for today’s workplace practices.</w:t>
      </w:r>
    </w:p>
    <w:p w14:paraId="0AD7CEDA" w14:textId="77777777" w:rsidR="00F326E5" w:rsidRPr="00E658E1" w:rsidRDefault="00F326E5" w:rsidP="00F326E5">
      <w:pPr>
        <w:spacing w:before="100" w:beforeAutospacing="1" w:after="100" w:afterAutospacing="1"/>
        <w:ind w:left="720"/>
        <w:rPr>
          <w:rFonts w:ascii="Times New Roman" w:eastAsia="Times New Roman" w:hAnsi="Times New Roman"/>
          <w:sz w:val="24"/>
          <w:szCs w:val="24"/>
        </w:rPr>
      </w:pPr>
      <w:r w:rsidRPr="00E658E1">
        <w:rPr>
          <w:rFonts w:ascii="Times New Roman" w:eastAsia="Times New Roman" w:hAnsi="Times New Roman"/>
          <w:sz w:val="24"/>
          <w:szCs w:val="24"/>
        </w:rPr>
        <w:t>The Department proposes clarifications to the regulations to confirm that employers may exclude the following from an employee’s regular rate of pay:</w:t>
      </w:r>
    </w:p>
    <w:p w14:paraId="142748C1" w14:textId="77777777" w:rsidR="00F326E5" w:rsidRPr="00E658E1" w:rsidRDefault="00F326E5" w:rsidP="00F326E5">
      <w:pPr>
        <w:numPr>
          <w:ilvl w:val="0"/>
          <w:numId w:val="3"/>
        </w:numPr>
        <w:spacing w:before="100" w:beforeAutospacing="1" w:after="100" w:afterAutospacing="1" w:line="240" w:lineRule="auto"/>
        <w:rPr>
          <w:rFonts w:ascii="Times New Roman" w:eastAsia="Times New Roman" w:hAnsi="Times New Roman"/>
          <w:sz w:val="24"/>
          <w:szCs w:val="24"/>
        </w:rPr>
      </w:pPr>
      <w:r w:rsidRPr="00E658E1">
        <w:rPr>
          <w:rFonts w:ascii="Times New Roman" w:eastAsia="Times New Roman" w:hAnsi="Times New Roman"/>
          <w:sz w:val="24"/>
          <w:szCs w:val="24"/>
        </w:rPr>
        <w:t>the cost of providing wellness programs, onsite specialist treatment, gym access and fitness classes, and employee discounts on retail goods and services;</w:t>
      </w:r>
    </w:p>
    <w:p w14:paraId="421ED97F" w14:textId="77777777" w:rsidR="00F326E5" w:rsidRPr="00E658E1" w:rsidRDefault="00F326E5" w:rsidP="00F326E5">
      <w:pPr>
        <w:numPr>
          <w:ilvl w:val="0"/>
          <w:numId w:val="3"/>
        </w:numPr>
        <w:spacing w:before="100" w:beforeAutospacing="1" w:after="100" w:afterAutospacing="1" w:line="240" w:lineRule="auto"/>
        <w:rPr>
          <w:rFonts w:ascii="Times New Roman" w:eastAsia="Times New Roman" w:hAnsi="Times New Roman"/>
          <w:sz w:val="24"/>
          <w:szCs w:val="24"/>
        </w:rPr>
      </w:pPr>
      <w:r w:rsidRPr="00E658E1">
        <w:rPr>
          <w:rFonts w:ascii="Times New Roman" w:eastAsia="Times New Roman" w:hAnsi="Times New Roman"/>
          <w:sz w:val="24"/>
          <w:szCs w:val="24"/>
        </w:rPr>
        <w:t>payments for unused paid leave, including paid sick leave;</w:t>
      </w:r>
    </w:p>
    <w:p w14:paraId="348ABE9F" w14:textId="77777777" w:rsidR="00F326E5" w:rsidRPr="00E658E1" w:rsidRDefault="00F326E5" w:rsidP="00F326E5">
      <w:pPr>
        <w:numPr>
          <w:ilvl w:val="0"/>
          <w:numId w:val="3"/>
        </w:numPr>
        <w:spacing w:before="100" w:beforeAutospacing="1" w:after="100" w:afterAutospacing="1" w:line="240" w:lineRule="auto"/>
        <w:rPr>
          <w:rFonts w:ascii="Times New Roman" w:eastAsia="Times New Roman" w:hAnsi="Times New Roman"/>
          <w:sz w:val="24"/>
          <w:szCs w:val="24"/>
        </w:rPr>
      </w:pPr>
      <w:r w:rsidRPr="00E658E1">
        <w:rPr>
          <w:rFonts w:ascii="Times New Roman" w:eastAsia="Times New Roman" w:hAnsi="Times New Roman"/>
          <w:sz w:val="24"/>
          <w:szCs w:val="24"/>
        </w:rPr>
        <w:lastRenderedPageBreak/>
        <w:t>reimbursed expenses, even if not incurred “solely” for the employer’s benefit;</w:t>
      </w:r>
    </w:p>
    <w:p w14:paraId="49BF994D" w14:textId="77777777" w:rsidR="00F326E5" w:rsidRPr="00E658E1" w:rsidRDefault="00F326E5" w:rsidP="00F326E5">
      <w:pPr>
        <w:numPr>
          <w:ilvl w:val="0"/>
          <w:numId w:val="3"/>
        </w:numPr>
        <w:spacing w:before="100" w:beforeAutospacing="1" w:after="100" w:afterAutospacing="1" w:line="240" w:lineRule="auto"/>
        <w:rPr>
          <w:rFonts w:ascii="Times New Roman" w:eastAsia="Times New Roman" w:hAnsi="Times New Roman"/>
          <w:sz w:val="24"/>
          <w:szCs w:val="24"/>
        </w:rPr>
      </w:pPr>
      <w:r w:rsidRPr="00E658E1">
        <w:rPr>
          <w:rFonts w:ascii="Times New Roman" w:eastAsia="Times New Roman" w:hAnsi="Times New Roman"/>
          <w:sz w:val="24"/>
          <w:szCs w:val="24"/>
        </w:rPr>
        <w:t>reimbursed travel expenses that do not exceed the maximum travel reimbursement permitted under the Federal Travel Regulation System regulations and that satisfy other regulatory requirements;</w:t>
      </w:r>
    </w:p>
    <w:p w14:paraId="5668FA02" w14:textId="77777777" w:rsidR="00F326E5" w:rsidRPr="00E658E1" w:rsidRDefault="00F326E5" w:rsidP="00F326E5">
      <w:pPr>
        <w:numPr>
          <w:ilvl w:val="0"/>
          <w:numId w:val="3"/>
        </w:numPr>
        <w:spacing w:before="100" w:beforeAutospacing="1" w:after="100" w:afterAutospacing="1" w:line="240" w:lineRule="auto"/>
        <w:rPr>
          <w:rFonts w:ascii="Times New Roman" w:eastAsia="Times New Roman" w:hAnsi="Times New Roman"/>
          <w:sz w:val="24"/>
          <w:szCs w:val="24"/>
        </w:rPr>
      </w:pPr>
      <w:r w:rsidRPr="00E658E1">
        <w:rPr>
          <w:rFonts w:ascii="Times New Roman" w:eastAsia="Times New Roman" w:hAnsi="Times New Roman"/>
          <w:sz w:val="24"/>
          <w:szCs w:val="24"/>
        </w:rPr>
        <w:t>discretionary bonuses;</w:t>
      </w:r>
    </w:p>
    <w:p w14:paraId="144C132B" w14:textId="77777777" w:rsidR="00F326E5" w:rsidRPr="00E658E1" w:rsidRDefault="00F326E5" w:rsidP="00F326E5">
      <w:pPr>
        <w:numPr>
          <w:ilvl w:val="0"/>
          <w:numId w:val="3"/>
        </w:numPr>
        <w:spacing w:before="100" w:beforeAutospacing="1" w:after="100" w:afterAutospacing="1" w:line="240" w:lineRule="auto"/>
        <w:rPr>
          <w:rFonts w:ascii="Times New Roman" w:eastAsia="Times New Roman" w:hAnsi="Times New Roman"/>
          <w:sz w:val="24"/>
          <w:szCs w:val="24"/>
        </w:rPr>
      </w:pPr>
      <w:r w:rsidRPr="00E658E1">
        <w:rPr>
          <w:rFonts w:ascii="Times New Roman" w:eastAsia="Times New Roman" w:hAnsi="Times New Roman"/>
          <w:sz w:val="24"/>
          <w:szCs w:val="24"/>
        </w:rPr>
        <w:t>Benefit plans, including accident, unemployment, and legal services; and</w:t>
      </w:r>
    </w:p>
    <w:p w14:paraId="45881670" w14:textId="77777777" w:rsidR="00F326E5" w:rsidRPr="00E658E1" w:rsidRDefault="00F326E5" w:rsidP="00F326E5">
      <w:pPr>
        <w:numPr>
          <w:ilvl w:val="0"/>
          <w:numId w:val="3"/>
        </w:numPr>
        <w:spacing w:before="100" w:beforeAutospacing="1" w:after="100" w:afterAutospacing="1" w:line="240" w:lineRule="auto"/>
        <w:rPr>
          <w:rFonts w:ascii="Times New Roman" w:eastAsia="Times New Roman" w:hAnsi="Times New Roman"/>
          <w:sz w:val="24"/>
          <w:szCs w:val="24"/>
        </w:rPr>
      </w:pPr>
      <w:r w:rsidRPr="00E658E1">
        <w:rPr>
          <w:rFonts w:ascii="Times New Roman" w:eastAsia="Times New Roman" w:hAnsi="Times New Roman"/>
          <w:sz w:val="24"/>
          <w:szCs w:val="24"/>
        </w:rPr>
        <w:t xml:space="preserve">Tuition programs, such as reimbursement programs or repayment of educational </w:t>
      </w:r>
      <w:proofErr w:type="gramStart"/>
      <w:r w:rsidRPr="00E658E1">
        <w:rPr>
          <w:rFonts w:ascii="Times New Roman" w:eastAsia="Times New Roman" w:hAnsi="Times New Roman"/>
          <w:sz w:val="24"/>
          <w:szCs w:val="24"/>
        </w:rPr>
        <w:t>deb</w:t>
      </w:r>
      <w:proofErr w:type="gramEnd"/>
    </w:p>
    <w:p w14:paraId="10D19AE9" w14:textId="77777777" w:rsidR="00F326E5" w:rsidRPr="00E658E1" w:rsidRDefault="00F326E5" w:rsidP="00F326E5">
      <w:pPr>
        <w:spacing w:before="100" w:beforeAutospacing="1" w:after="100" w:afterAutospacing="1"/>
        <w:ind w:left="360"/>
        <w:rPr>
          <w:rFonts w:ascii="Times New Roman" w:eastAsia="Times New Roman" w:hAnsi="Times New Roman"/>
          <w:sz w:val="24"/>
          <w:szCs w:val="24"/>
        </w:rPr>
      </w:pPr>
      <w:r w:rsidRPr="00E658E1">
        <w:rPr>
          <w:rFonts w:ascii="Times New Roman" w:eastAsia="Times New Roman" w:hAnsi="Times New Roman"/>
          <w:sz w:val="24"/>
          <w:szCs w:val="24"/>
        </w:rPr>
        <w:t xml:space="preserve">The proposed rule also includes additional clarification about other forms of compensation, including payment for meal </w:t>
      </w:r>
      <w:proofErr w:type="gramStart"/>
      <w:r w:rsidRPr="00E658E1">
        <w:rPr>
          <w:rFonts w:ascii="Times New Roman" w:eastAsia="Times New Roman" w:hAnsi="Times New Roman"/>
          <w:sz w:val="24"/>
          <w:szCs w:val="24"/>
        </w:rPr>
        <w:t>periods, ‘</w:t>
      </w:r>
      <w:proofErr w:type="gramEnd"/>
      <w:r w:rsidRPr="00E658E1">
        <w:rPr>
          <w:rFonts w:ascii="Times New Roman" w:eastAsia="Times New Roman" w:hAnsi="Times New Roman"/>
          <w:sz w:val="24"/>
          <w:szCs w:val="24"/>
        </w:rPr>
        <w:t>call back’ pay, and others.</w:t>
      </w:r>
    </w:p>
    <w:p w14:paraId="5430966A" w14:textId="77777777" w:rsidR="00F326E5" w:rsidRPr="00E658E1" w:rsidRDefault="00F326E5" w:rsidP="00F326E5">
      <w:pPr>
        <w:spacing w:before="100" w:beforeAutospacing="1" w:after="100" w:afterAutospacing="1"/>
        <w:rPr>
          <w:rFonts w:ascii="Times New Roman" w:eastAsia="Times New Roman" w:hAnsi="Times New Roman"/>
          <w:b/>
          <w:sz w:val="24"/>
          <w:szCs w:val="24"/>
        </w:rPr>
      </w:pPr>
      <w:r w:rsidRPr="00E658E1">
        <w:rPr>
          <w:rFonts w:ascii="Times New Roman" w:eastAsia="Times New Roman" w:hAnsi="Times New Roman"/>
          <w:b/>
          <w:sz w:val="24"/>
          <w:szCs w:val="24"/>
        </w:rPr>
        <w:t xml:space="preserve">Legal Lessons Learned:  This new rule will hopefully provide more clarification for Fire &amp; EMS Departments and avoid litigation about “regular rate” of pay. </w:t>
      </w:r>
    </w:p>
    <w:p w14:paraId="67073C11" w14:textId="77777777" w:rsidR="00F326E5" w:rsidRPr="00E658E1" w:rsidRDefault="00F326E5" w:rsidP="00F326E5">
      <w:pPr>
        <w:spacing w:before="100" w:beforeAutospacing="1" w:after="100" w:afterAutospacing="1"/>
        <w:ind w:left="720"/>
        <w:rPr>
          <w:rFonts w:ascii="Times New Roman" w:hAnsi="Times New Roman"/>
          <w:sz w:val="24"/>
          <w:szCs w:val="24"/>
        </w:rPr>
      </w:pPr>
      <w:r w:rsidRPr="00E658E1">
        <w:rPr>
          <w:rFonts w:ascii="Times New Roman" w:eastAsia="Times New Roman" w:hAnsi="Times New Roman"/>
          <w:sz w:val="24"/>
          <w:szCs w:val="24"/>
        </w:rPr>
        <w:t xml:space="preserve">See, for example, </w:t>
      </w:r>
      <w:proofErr w:type="spellStart"/>
      <w:r w:rsidRPr="00E658E1">
        <w:rPr>
          <w:rFonts w:ascii="Times New Roman" w:eastAsia="Times New Roman" w:hAnsi="Times New Roman"/>
          <w:sz w:val="24"/>
          <w:szCs w:val="24"/>
        </w:rPr>
        <w:t>DoL</w:t>
      </w:r>
      <w:proofErr w:type="spellEnd"/>
      <w:r w:rsidRPr="00E658E1">
        <w:rPr>
          <w:rFonts w:ascii="Times New Roman" w:eastAsia="Times New Roman" w:hAnsi="Times New Roman"/>
          <w:sz w:val="24"/>
          <w:szCs w:val="24"/>
        </w:rPr>
        <w:t xml:space="preserve"> Advisory Opinion </w:t>
      </w:r>
      <w:r w:rsidRPr="00E658E1">
        <w:rPr>
          <w:rFonts w:ascii="Times New Roman" w:hAnsi="Times New Roman"/>
          <w:sz w:val="24"/>
          <w:szCs w:val="24"/>
        </w:rPr>
        <w:t xml:space="preserve">FLSA2018-5 (Jan. 5, 2018) regarding a Fire Department’s calculation of “regular rate of pay” concerning annual bonuses, such as certification pay, education pay, and longevity pay: </w:t>
      </w:r>
      <w:hyperlink r:id="rId1917" w:history="1">
        <w:r w:rsidRPr="00E658E1">
          <w:rPr>
            <w:rStyle w:val="Hyperlink"/>
            <w:rFonts w:ascii="Times New Roman" w:hAnsi="Times New Roman"/>
            <w:sz w:val="24"/>
            <w:szCs w:val="24"/>
          </w:rPr>
          <w:t>https://www.dol.gov/whd/opinion/FLSA/2018/2018_01_05_05_FLSA.pdf</w:t>
        </w:r>
      </w:hyperlink>
      <w:r w:rsidRPr="00E658E1">
        <w:rPr>
          <w:rFonts w:ascii="Times New Roman" w:hAnsi="Times New Roman"/>
          <w:sz w:val="24"/>
          <w:szCs w:val="24"/>
        </w:rPr>
        <w:t xml:space="preserve"> </w:t>
      </w:r>
      <w:bookmarkEnd w:id="409"/>
    </w:p>
    <w:p w14:paraId="350BF387" w14:textId="77777777" w:rsidR="005B0774" w:rsidRDefault="005B0774" w:rsidP="00F326E5">
      <w:pPr>
        <w:rPr>
          <w:rFonts w:ascii="Arial Black" w:hAnsi="Arial Black"/>
          <w:b/>
          <w:sz w:val="24"/>
          <w:szCs w:val="24"/>
        </w:rPr>
      </w:pPr>
    </w:p>
    <w:p w14:paraId="3E4F953D" w14:textId="5D30D298" w:rsidR="00F326E5" w:rsidRDefault="00DE0F03" w:rsidP="00F326E5">
      <w:pPr>
        <w:rPr>
          <w:rFonts w:ascii="Arial Black" w:hAnsi="Arial Black"/>
          <w:sz w:val="40"/>
          <w:szCs w:val="40"/>
        </w:rPr>
      </w:pPr>
      <w:r>
        <w:rPr>
          <w:rFonts w:ascii="Arial Black" w:hAnsi="Arial Black"/>
          <w:b/>
          <w:sz w:val="24"/>
          <w:szCs w:val="24"/>
        </w:rPr>
        <w:t>11</w:t>
      </w:r>
      <w:r w:rsidRPr="00EF1133">
        <w:rPr>
          <w:rFonts w:ascii="Arial Black" w:hAnsi="Arial Black"/>
          <w:b/>
          <w:sz w:val="24"/>
          <w:szCs w:val="24"/>
        </w:rPr>
        <w:t>-</w:t>
      </w:r>
      <w:r>
        <w:rPr>
          <w:rFonts w:ascii="Arial Black" w:hAnsi="Arial Black"/>
          <w:b/>
          <w:sz w:val="24"/>
          <w:szCs w:val="24"/>
        </w:rPr>
        <w:t>3</w:t>
      </w:r>
    </w:p>
    <w:p w14:paraId="0E1D1C01" w14:textId="136F4CB6" w:rsidR="00F326E5" w:rsidRDefault="00F326E5" w:rsidP="00F326E5">
      <w:pPr>
        <w:pStyle w:val="NoSpacing"/>
        <w:rPr>
          <w:rFonts w:ascii="Arial Black" w:eastAsia="Times New Roman" w:hAnsi="Arial Black"/>
          <w:sz w:val="28"/>
          <w:szCs w:val="28"/>
        </w:rPr>
      </w:pPr>
      <w:bookmarkStart w:id="410" w:name="_Hlk7345530"/>
      <w:r>
        <w:rPr>
          <w:rFonts w:ascii="Arial Black" w:eastAsia="Times New Roman" w:hAnsi="Arial Black"/>
          <w:sz w:val="28"/>
          <w:szCs w:val="28"/>
        </w:rPr>
        <w:t xml:space="preserve">NC: FLSA – NONPROFIT, PRIVATE VOL. FD – NOT ELIGIBLE OVERTIME EXEMPTION – NOT “PUBLIC AGENCY” </w:t>
      </w:r>
    </w:p>
    <w:p w14:paraId="0DC819D9" w14:textId="77777777" w:rsidR="00F326E5" w:rsidRPr="00E658E1" w:rsidRDefault="00F326E5" w:rsidP="00F326E5">
      <w:pPr>
        <w:rPr>
          <w:rFonts w:ascii="Times New Roman" w:eastAsia="Times New Roman" w:hAnsi="Times New Roman"/>
          <w:sz w:val="24"/>
          <w:szCs w:val="24"/>
        </w:rPr>
      </w:pPr>
      <w:r w:rsidRPr="00E658E1">
        <w:rPr>
          <w:rFonts w:ascii="Times New Roman" w:eastAsia="Times New Roman" w:hAnsi="Times New Roman"/>
          <w:sz w:val="24"/>
          <w:szCs w:val="24"/>
        </w:rPr>
        <w:t xml:space="preserve">On Nov. 8, 2018, the U.S. Department of Labor issued Opinion Letter FLSA 2018-24, concluding: “Based on the facts you have provided, the nonprofit, privately owned fire departments that you describe are not public agencies within the meaning of Section 7(k) and are therefore not entitled to its partial overtime exemption.” </w:t>
      </w:r>
      <w:hyperlink r:id="rId1918" w:history="1">
        <w:r w:rsidRPr="00E658E1">
          <w:rPr>
            <w:rStyle w:val="Hyperlink"/>
            <w:rFonts w:ascii="Times New Roman" w:hAnsi="Times New Roman"/>
            <w:sz w:val="24"/>
            <w:szCs w:val="24"/>
          </w:rPr>
          <w:t>https://www.dol.gov/whd/opinion/FLSA/2018/2018_11_08_24_FLSA.pdf</w:t>
        </w:r>
      </w:hyperlink>
      <w:r w:rsidRPr="00E658E1">
        <w:rPr>
          <w:rFonts w:ascii="Times New Roman" w:eastAsia="Times New Roman" w:hAnsi="Times New Roman"/>
          <w:sz w:val="24"/>
          <w:szCs w:val="24"/>
        </w:rPr>
        <w:t xml:space="preserve"> </w:t>
      </w:r>
    </w:p>
    <w:p w14:paraId="5094583F" w14:textId="77777777" w:rsidR="00F326E5" w:rsidRPr="00E658E1" w:rsidRDefault="00F326E5" w:rsidP="00F326E5">
      <w:pPr>
        <w:jc w:val="both"/>
        <w:rPr>
          <w:rFonts w:ascii="Times New Roman" w:eastAsia="Times New Roman" w:hAnsi="Times New Roman"/>
          <w:b/>
          <w:sz w:val="24"/>
          <w:szCs w:val="24"/>
        </w:rPr>
      </w:pPr>
      <w:r w:rsidRPr="00E658E1">
        <w:rPr>
          <w:rFonts w:ascii="Times New Roman" w:eastAsia="Times New Roman" w:hAnsi="Times New Roman"/>
          <w:b/>
          <w:sz w:val="24"/>
          <w:szCs w:val="24"/>
        </w:rPr>
        <w:t xml:space="preserve">Legal Lessons Learned:  When in doubt, it is helpful to seek an “official” Opinion Letter;   helps avoid litigation. These North Carolina nonprofit FDs must therefore continue to  pay overtime to employees working over 40 hours in a work week.  They don’t enjoy the “7(k) exemption” which allows public-sector FDs, for example, to pay overtime after 212 hours in a 28-day pay period (after 53 hours in a work week). </w:t>
      </w:r>
    </w:p>
    <w:p w14:paraId="131B33C0" w14:textId="77777777" w:rsidR="00F326E5" w:rsidRPr="00071B42" w:rsidRDefault="00F326E5" w:rsidP="00F326E5">
      <w:pPr>
        <w:ind w:firstLine="720"/>
        <w:jc w:val="both"/>
        <w:rPr>
          <w:rFonts w:eastAsia="Times New Roman"/>
          <w:sz w:val="24"/>
          <w:szCs w:val="24"/>
        </w:rPr>
      </w:pPr>
      <w:r w:rsidRPr="00071B42">
        <w:rPr>
          <w:rFonts w:eastAsia="Times New Roman"/>
          <w:sz w:val="24"/>
          <w:szCs w:val="24"/>
        </w:rPr>
        <w:t xml:space="preserve">See IAFF Manual (page 8); court cases involving 7k exemption: </w:t>
      </w:r>
    </w:p>
    <w:p w14:paraId="159D0912" w14:textId="77777777" w:rsidR="00F326E5" w:rsidRPr="00071B42" w:rsidRDefault="00F326E5" w:rsidP="00F326E5">
      <w:pPr>
        <w:ind w:firstLine="720"/>
        <w:jc w:val="both"/>
        <w:rPr>
          <w:rFonts w:eastAsia="Times New Roman"/>
          <w:sz w:val="24"/>
          <w:szCs w:val="24"/>
        </w:rPr>
      </w:pPr>
      <w:hyperlink r:id="rId1919" w:history="1">
        <w:r w:rsidRPr="00071B42">
          <w:rPr>
            <w:rStyle w:val="Hyperlink"/>
            <w:sz w:val="24"/>
            <w:szCs w:val="24"/>
          </w:rPr>
          <w:t>http://www.iaff.org/Legal/PDF/1996FLSAManual.pdf</w:t>
        </w:r>
      </w:hyperlink>
      <w:r w:rsidRPr="00071B42">
        <w:rPr>
          <w:rFonts w:eastAsia="Times New Roman"/>
          <w:sz w:val="24"/>
          <w:szCs w:val="24"/>
        </w:rPr>
        <w:t xml:space="preserve"> </w:t>
      </w:r>
    </w:p>
    <w:bookmarkEnd w:id="410"/>
    <w:p w14:paraId="4471B37B" w14:textId="77777777" w:rsidR="00F326E5" w:rsidRPr="00071B42" w:rsidRDefault="00F326E5" w:rsidP="00F326E5">
      <w:pPr>
        <w:rPr>
          <w:rFonts w:eastAsia="Times New Roman"/>
          <w:sz w:val="24"/>
          <w:szCs w:val="24"/>
        </w:rPr>
      </w:pPr>
    </w:p>
    <w:p w14:paraId="6C6E99A8" w14:textId="77777777" w:rsidR="00F326E5" w:rsidRDefault="00F326E5" w:rsidP="00F326E5">
      <w:pPr>
        <w:pStyle w:val="NoSpacing"/>
        <w:rPr>
          <w:sz w:val="24"/>
          <w:szCs w:val="24"/>
        </w:rPr>
      </w:pPr>
    </w:p>
    <w:p w14:paraId="365AB88B" w14:textId="6E96CDB6" w:rsidR="00DE0F03" w:rsidRDefault="00DE0F03" w:rsidP="00DE0F03">
      <w:pPr>
        <w:rPr>
          <w:sz w:val="24"/>
          <w:szCs w:val="24"/>
        </w:rPr>
      </w:pPr>
      <w:r>
        <w:rPr>
          <w:rFonts w:ascii="Arial Black" w:hAnsi="Arial Black"/>
          <w:b/>
          <w:sz w:val="24"/>
          <w:szCs w:val="24"/>
        </w:rPr>
        <w:t>11</w:t>
      </w:r>
      <w:r w:rsidRPr="00EF1133">
        <w:rPr>
          <w:rFonts w:ascii="Arial Black" w:hAnsi="Arial Black"/>
          <w:b/>
          <w:sz w:val="24"/>
          <w:szCs w:val="24"/>
        </w:rPr>
        <w:t>-</w:t>
      </w:r>
      <w:r>
        <w:rPr>
          <w:rFonts w:ascii="Arial Black" w:hAnsi="Arial Black"/>
          <w:b/>
          <w:sz w:val="24"/>
          <w:szCs w:val="24"/>
        </w:rPr>
        <w:t>2</w:t>
      </w:r>
    </w:p>
    <w:p w14:paraId="6A09C022" w14:textId="77777777" w:rsidR="00F326E5" w:rsidRDefault="00F326E5" w:rsidP="00F326E5">
      <w:pPr>
        <w:pStyle w:val="NoSpacing"/>
        <w:rPr>
          <w:sz w:val="24"/>
          <w:szCs w:val="24"/>
        </w:rPr>
      </w:pPr>
    </w:p>
    <w:p w14:paraId="131CCD2B" w14:textId="2FDE99A4" w:rsidR="00F326E5" w:rsidRDefault="00F326E5" w:rsidP="00F326E5">
      <w:pPr>
        <w:pStyle w:val="NoSpacing"/>
        <w:rPr>
          <w:b/>
          <w:sz w:val="24"/>
          <w:szCs w:val="24"/>
        </w:rPr>
      </w:pPr>
      <w:bookmarkStart w:id="411" w:name="_Hlk7345571"/>
      <w:r w:rsidRPr="00B018B0">
        <w:rPr>
          <w:rFonts w:ascii="Arial Black" w:hAnsi="Arial Black"/>
          <w:b/>
          <w:sz w:val="28"/>
          <w:szCs w:val="28"/>
        </w:rPr>
        <w:t xml:space="preserve">NY:  MEAL ALLOWANCES FOR FDNY EMS – MUST BE INCLUDED IN CALCULATING </w:t>
      </w:r>
      <w:r>
        <w:rPr>
          <w:rFonts w:ascii="Arial Black" w:hAnsi="Arial Black"/>
          <w:b/>
          <w:sz w:val="28"/>
          <w:szCs w:val="28"/>
        </w:rPr>
        <w:t>“REGUL</w:t>
      </w:r>
      <w:r w:rsidR="000F0910">
        <w:rPr>
          <w:rFonts w:ascii="Arial Black" w:hAnsi="Arial Black"/>
          <w:b/>
          <w:sz w:val="28"/>
          <w:szCs w:val="28"/>
        </w:rPr>
        <w:t>A</w:t>
      </w:r>
      <w:r>
        <w:rPr>
          <w:rFonts w:ascii="Arial Black" w:hAnsi="Arial Black"/>
          <w:b/>
          <w:sz w:val="28"/>
          <w:szCs w:val="28"/>
        </w:rPr>
        <w:t xml:space="preserve">R </w:t>
      </w:r>
      <w:r w:rsidRPr="00B018B0">
        <w:rPr>
          <w:rFonts w:ascii="Arial Black" w:hAnsi="Arial Black"/>
          <w:b/>
          <w:sz w:val="28"/>
          <w:szCs w:val="28"/>
        </w:rPr>
        <w:t>RATE OF PAY</w:t>
      </w:r>
      <w:r>
        <w:rPr>
          <w:rFonts w:ascii="Arial Black" w:hAnsi="Arial Black"/>
          <w:b/>
          <w:sz w:val="28"/>
          <w:szCs w:val="28"/>
        </w:rPr>
        <w:t>”</w:t>
      </w:r>
    </w:p>
    <w:p w14:paraId="52F7A4EA" w14:textId="77777777" w:rsidR="00F326E5" w:rsidRPr="00E658E1" w:rsidRDefault="00F326E5" w:rsidP="00F326E5">
      <w:pPr>
        <w:pStyle w:val="NoSpacing"/>
        <w:rPr>
          <w:rFonts w:ascii="Times New Roman" w:hAnsi="Times New Roman"/>
          <w:sz w:val="24"/>
          <w:szCs w:val="24"/>
        </w:rPr>
      </w:pPr>
      <w:r w:rsidRPr="00E658E1">
        <w:rPr>
          <w:rFonts w:ascii="Times New Roman" w:hAnsi="Times New Roman"/>
          <w:sz w:val="24"/>
          <w:szCs w:val="24"/>
        </w:rPr>
        <w:t xml:space="preserve">On March 26, 2018, in </w:t>
      </w:r>
      <w:r w:rsidRPr="00E658E1">
        <w:rPr>
          <w:rFonts w:ascii="Times New Roman" w:hAnsi="Times New Roman"/>
          <w:sz w:val="24"/>
          <w:szCs w:val="24"/>
          <w:u w:val="single"/>
        </w:rPr>
        <w:t>Chaz Perry et al. v. City of New York</w:t>
      </w:r>
      <w:r w:rsidRPr="00E658E1">
        <w:rPr>
          <w:rFonts w:ascii="Times New Roman" w:hAnsi="Times New Roman"/>
          <w:sz w:val="24"/>
          <w:szCs w:val="24"/>
        </w:rPr>
        <w:t xml:space="preserve">, U.S. District Court for Southern District of New York, Federal District Judge Vernon S. Broderick held that the </w:t>
      </w:r>
      <w:proofErr w:type="gramStart"/>
      <w:r w:rsidRPr="00E658E1">
        <w:rPr>
          <w:rFonts w:ascii="Times New Roman" w:hAnsi="Times New Roman"/>
          <w:sz w:val="24"/>
          <w:szCs w:val="24"/>
        </w:rPr>
        <w:t>City</w:t>
      </w:r>
      <w:proofErr w:type="gramEnd"/>
      <w:r w:rsidRPr="00E658E1">
        <w:rPr>
          <w:rFonts w:ascii="Times New Roman" w:hAnsi="Times New Roman"/>
          <w:sz w:val="24"/>
          <w:szCs w:val="24"/>
        </w:rPr>
        <w:t xml:space="preserve"> must include meal allowances when calculating the “regular rate” of pay for overtime, just as City does for night shift differential pay.  In this </w:t>
      </w:r>
      <w:r w:rsidRPr="00E658E1">
        <w:rPr>
          <w:rFonts w:ascii="Times New Roman" w:hAnsi="Times New Roman"/>
          <w:sz w:val="24"/>
          <w:szCs w:val="24"/>
        </w:rPr>
        <w:lastRenderedPageBreak/>
        <w:t xml:space="preserve">lawsuit by over 2,600 FDNY paramedics, EMTs and Fire Inspectors, other claims in the lawsuit, including compensable work performed before and after Plaintiffs’ shifts, will go to trial. </w:t>
      </w:r>
      <w:hyperlink r:id="rId1920" w:history="1">
        <w:r w:rsidRPr="00E658E1">
          <w:rPr>
            <w:rStyle w:val="Hyperlink"/>
            <w:rFonts w:ascii="Times New Roman" w:hAnsi="Times New Roman"/>
            <w:sz w:val="24"/>
            <w:szCs w:val="24"/>
          </w:rPr>
          <w:t>https://law.justia.com/cases/federal/district-courts/new-york/nysdce/1:2013cv01015/407972/168/</w:t>
        </w:r>
      </w:hyperlink>
      <w:r w:rsidRPr="00E658E1">
        <w:rPr>
          <w:rFonts w:ascii="Times New Roman" w:hAnsi="Times New Roman"/>
          <w:sz w:val="24"/>
          <w:szCs w:val="24"/>
        </w:rPr>
        <w:t xml:space="preserve"> </w:t>
      </w:r>
    </w:p>
    <w:p w14:paraId="351228D4" w14:textId="77777777" w:rsidR="00E658E1" w:rsidRDefault="00E658E1" w:rsidP="00F326E5">
      <w:pPr>
        <w:rPr>
          <w:rFonts w:ascii="Times New Roman" w:hAnsi="Times New Roman"/>
          <w:b/>
          <w:sz w:val="24"/>
          <w:szCs w:val="24"/>
        </w:rPr>
      </w:pPr>
    </w:p>
    <w:p w14:paraId="017E8AFD" w14:textId="64B2A934" w:rsidR="00F326E5" w:rsidRPr="00E658E1" w:rsidRDefault="00F326E5" w:rsidP="00F326E5">
      <w:pPr>
        <w:rPr>
          <w:rFonts w:ascii="Times New Roman" w:hAnsi="Times New Roman"/>
          <w:b/>
          <w:sz w:val="24"/>
          <w:szCs w:val="24"/>
        </w:rPr>
      </w:pPr>
      <w:r w:rsidRPr="00E658E1">
        <w:rPr>
          <w:rFonts w:ascii="Times New Roman" w:hAnsi="Times New Roman"/>
          <w:b/>
          <w:sz w:val="24"/>
          <w:szCs w:val="24"/>
        </w:rPr>
        <w:t xml:space="preserve">Legal Lessons Learned:  Overtime pay is calculated by not only your hourly rate, but also other bonuses received, such as paramedic </w:t>
      </w:r>
      <w:proofErr w:type="gramStart"/>
      <w:r w:rsidRPr="00E658E1">
        <w:rPr>
          <w:rFonts w:ascii="Times New Roman" w:hAnsi="Times New Roman"/>
          <w:b/>
          <w:sz w:val="24"/>
          <w:szCs w:val="24"/>
        </w:rPr>
        <w:t>bonus</w:t>
      </w:r>
      <w:proofErr w:type="gramEnd"/>
      <w:r w:rsidRPr="00E658E1">
        <w:rPr>
          <w:rFonts w:ascii="Times New Roman" w:hAnsi="Times New Roman"/>
          <w:b/>
          <w:sz w:val="24"/>
          <w:szCs w:val="24"/>
        </w:rPr>
        <w:t xml:space="preserve"> and night shift differential. </w:t>
      </w:r>
    </w:p>
    <w:p w14:paraId="6EA6C78D" w14:textId="225D146E" w:rsidR="00F326E5" w:rsidRPr="00E658E1" w:rsidRDefault="00F326E5" w:rsidP="00F326E5">
      <w:pPr>
        <w:ind w:left="720"/>
        <w:rPr>
          <w:rFonts w:ascii="Times New Roman" w:hAnsi="Times New Roman"/>
          <w:sz w:val="24"/>
          <w:szCs w:val="24"/>
        </w:rPr>
      </w:pPr>
      <w:r w:rsidRPr="00E658E1">
        <w:rPr>
          <w:rFonts w:ascii="Times New Roman" w:hAnsi="Times New Roman"/>
          <w:sz w:val="24"/>
          <w:szCs w:val="24"/>
        </w:rPr>
        <w:t xml:space="preserve">See U.S. Department of Labor, Fact Sheet No. 23, and regulations. </w:t>
      </w:r>
      <w:hyperlink r:id="rId1921" w:history="1">
        <w:r w:rsidRPr="00E658E1">
          <w:rPr>
            <w:rStyle w:val="Hyperlink"/>
            <w:rFonts w:ascii="Times New Roman" w:hAnsi="Times New Roman"/>
            <w:sz w:val="24"/>
            <w:szCs w:val="24"/>
          </w:rPr>
          <w:t>file:///C:/Users/lawre/AppData/Local/Microsoft/Windows/INetCache/IE/CTCRXJ99/whdfs23.pdf</w:t>
        </w:r>
      </w:hyperlink>
      <w:r w:rsidRPr="00E658E1">
        <w:rPr>
          <w:rFonts w:ascii="Times New Roman" w:hAnsi="Times New Roman"/>
          <w:sz w:val="24"/>
          <w:szCs w:val="24"/>
        </w:rPr>
        <w:t xml:space="preserve">  </w:t>
      </w:r>
    </w:p>
    <w:p w14:paraId="6EA47649" w14:textId="77777777" w:rsidR="00DE0F03" w:rsidRPr="00E658E1" w:rsidRDefault="00DE0F03" w:rsidP="00DE0F03">
      <w:pPr>
        <w:rPr>
          <w:rFonts w:ascii="Times New Roman" w:hAnsi="Times New Roman"/>
          <w:b/>
          <w:sz w:val="24"/>
          <w:szCs w:val="24"/>
        </w:rPr>
      </w:pPr>
    </w:p>
    <w:p w14:paraId="5BEB22CC" w14:textId="7C98027D" w:rsidR="00DE0F03" w:rsidRDefault="00DE0F03" w:rsidP="00DE0F03">
      <w:pPr>
        <w:rPr>
          <w:sz w:val="24"/>
          <w:szCs w:val="24"/>
        </w:rPr>
      </w:pPr>
      <w:r>
        <w:rPr>
          <w:rFonts w:ascii="Arial Black" w:hAnsi="Arial Black"/>
          <w:b/>
          <w:sz w:val="24"/>
          <w:szCs w:val="24"/>
        </w:rPr>
        <w:t>11</w:t>
      </w:r>
      <w:r w:rsidRPr="00EF1133">
        <w:rPr>
          <w:rFonts w:ascii="Arial Black" w:hAnsi="Arial Black"/>
          <w:b/>
          <w:sz w:val="24"/>
          <w:szCs w:val="24"/>
        </w:rPr>
        <w:t>-1</w:t>
      </w:r>
    </w:p>
    <w:p w14:paraId="7FE50A4C" w14:textId="09B8F2E9" w:rsidR="00F326E5" w:rsidRPr="0000463F" w:rsidRDefault="00F326E5" w:rsidP="00F326E5">
      <w:pPr>
        <w:rPr>
          <w:rFonts w:ascii="Arial Black" w:hAnsi="Arial Black"/>
          <w:sz w:val="28"/>
          <w:szCs w:val="28"/>
        </w:rPr>
      </w:pPr>
      <w:bookmarkStart w:id="412" w:name="_Hlk7345626"/>
      <w:bookmarkEnd w:id="411"/>
      <w:r w:rsidRPr="0000463F">
        <w:rPr>
          <w:rFonts w:ascii="Arial Black" w:hAnsi="Arial Black"/>
          <w:sz w:val="28"/>
          <w:szCs w:val="28"/>
        </w:rPr>
        <w:t xml:space="preserve">U.S. </w:t>
      </w:r>
      <w:r>
        <w:rPr>
          <w:rFonts w:ascii="Arial Black" w:hAnsi="Arial Black"/>
          <w:sz w:val="28"/>
          <w:szCs w:val="28"/>
        </w:rPr>
        <w:t xml:space="preserve">DOL:  FD CONTRACTS WITH PRIVATE COMPANY FOR EMS – </w:t>
      </w:r>
      <w:r w:rsidR="008F1BBB">
        <w:rPr>
          <w:rFonts w:ascii="Arial Black" w:hAnsi="Arial Black"/>
          <w:sz w:val="28"/>
          <w:szCs w:val="28"/>
        </w:rPr>
        <w:t xml:space="preserve">EMT </w:t>
      </w:r>
      <w:r>
        <w:rPr>
          <w:rFonts w:ascii="Arial Black" w:hAnsi="Arial Black"/>
          <w:sz w:val="28"/>
          <w:szCs w:val="28"/>
        </w:rPr>
        <w:t>CAN’T VOL</w:t>
      </w:r>
      <w:r w:rsidR="008F1BBB">
        <w:rPr>
          <w:rFonts w:ascii="Arial Black" w:hAnsi="Arial Black"/>
          <w:sz w:val="28"/>
          <w:szCs w:val="28"/>
        </w:rPr>
        <w:t xml:space="preserve">UNTEER </w:t>
      </w:r>
      <w:r>
        <w:rPr>
          <w:rFonts w:ascii="Arial Black" w:hAnsi="Arial Black"/>
          <w:sz w:val="28"/>
          <w:szCs w:val="28"/>
        </w:rPr>
        <w:t xml:space="preserve">IF </w:t>
      </w:r>
      <w:r w:rsidR="008F1BBB">
        <w:rPr>
          <w:rFonts w:ascii="Arial Black" w:hAnsi="Arial Black"/>
          <w:sz w:val="28"/>
          <w:szCs w:val="28"/>
        </w:rPr>
        <w:t xml:space="preserve">PERFORMING </w:t>
      </w:r>
      <w:r>
        <w:rPr>
          <w:rFonts w:ascii="Arial Black" w:hAnsi="Arial Black"/>
          <w:sz w:val="28"/>
          <w:szCs w:val="28"/>
        </w:rPr>
        <w:t>SAME SERVICES</w:t>
      </w:r>
    </w:p>
    <w:p w14:paraId="43E1D9EC" w14:textId="77777777" w:rsidR="00E658E1" w:rsidRDefault="00F326E5" w:rsidP="00F326E5">
      <w:pPr>
        <w:rPr>
          <w:rFonts w:ascii="Times New Roman" w:eastAsia="Times New Roman" w:hAnsi="Times New Roman"/>
          <w:sz w:val="24"/>
          <w:szCs w:val="24"/>
        </w:rPr>
      </w:pPr>
      <w:r w:rsidRPr="00E658E1">
        <w:rPr>
          <w:rFonts w:ascii="Times New Roman" w:eastAsia="Times New Roman" w:hAnsi="Times New Roman"/>
          <w:sz w:val="24"/>
          <w:szCs w:val="24"/>
        </w:rPr>
        <w:t xml:space="preserve">On Jan. 5, 2018, the U.S. Department of Labor issued Opinion Letter FLSA 2018-16, re-affirmed a 2009 Opinion Letter: </w:t>
      </w:r>
    </w:p>
    <w:p w14:paraId="10C90298" w14:textId="7265BBC8" w:rsidR="00F326E5" w:rsidRPr="00E658E1" w:rsidRDefault="00F326E5" w:rsidP="00E658E1">
      <w:pPr>
        <w:ind w:left="720"/>
        <w:rPr>
          <w:rFonts w:ascii="Times New Roman" w:eastAsia="Times New Roman" w:hAnsi="Times New Roman"/>
          <w:sz w:val="24"/>
          <w:szCs w:val="24"/>
        </w:rPr>
      </w:pPr>
      <w:r w:rsidRPr="00E658E1">
        <w:rPr>
          <w:rFonts w:ascii="Times New Roman" w:eastAsia="Times New Roman" w:hAnsi="Times New Roman"/>
          <w:sz w:val="24"/>
          <w:szCs w:val="24"/>
        </w:rPr>
        <w:t xml:space="preserve">“You [ask] whether the EMTs paid by the VFC’s contractor may continue to ‘volunteer’ as EMTs for the VFC without being compensated in accordance with the FLSA. The answer to this question depends on whether the VFC </w:t>
      </w:r>
      <w:proofErr w:type="gramStart"/>
      <w:r w:rsidRPr="00E658E1">
        <w:rPr>
          <w:rFonts w:ascii="Times New Roman" w:eastAsia="Times New Roman" w:hAnsi="Times New Roman"/>
          <w:sz w:val="24"/>
          <w:szCs w:val="24"/>
        </w:rPr>
        <w:t>is considered to be</w:t>
      </w:r>
      <w:proofErr w:type="gramEnd"/>
      <w:r w:rsidRPr="00E658E1">
        <w:rPr>
          <w:rFonts w:ascii="Times New Roman" w:eastAsia="Times New Roman" w:hAnsi="Times New Roman"/>
          <w:sz w:val="24"/>
          <w:szCs w:val="24"/>
        </w:rPr>
        <w:t xml:space="preserve"> an employer of the paid staff members. If the VFC is in fact deemed to be an employer (along with the contractor) of the paid staff members, the EMTs could not ‘volunteer’ to the VFC the same services that they perform </w:t>
      </w:r>
      <w:proofErr w:type="gramStart"/>
      <w:r w:rsidRPr="00E658E1">
        <w:rPr>
          <w:rFonts w:ascii="Times New Roman" w:eastAsia="Times New Roman" w:hAnsi="Times New Roman"/>
          <w:sz w:val="24"/>
          <w:szCs w:val="24"/>
        </w:rPr>
        <w:t>for</w:t>
      </w:r>
      <w:proofErr w:type="gramEnd"/>
      <w:r w:rsidRPr="00E658E1">
        <w:rPr>
          <w:rFonts w:ascii="Times New Roman" w:eastAsia="Times New Roman" w:hAnsi="Times New Roman"/>
          <w:sz w:val="24"/>
          <w:szCs w:val="24"/>
        </w:rPr>
        <w:t xml:space="preserve"> pay for the contractor. </w:t>
      </w:r>
      <w:hyperlink r:id="rId1922" w:history="1">
        <w:r w:rsidRPr="00E658E1">
          <w:rPr>
            <w:rStyle w:val="Hyperlink"/>
            <w:rFonts w:ascii="Times New Roman" w:hAnsi="Times New Roman"/>
            <w:sz w:val="24"/>
            <w:szCs w:val="24"/>
          </w:rPr>
          <w:t>https://www.dol.gov/whd/opinion/FLSA/2018/2018_01_05_16_FLSA.pdf</w:t>
        </w:r>
      </w:hyperlink>
      <w:r w:rsidRPr="00E658E1">
        <w:rPr>
          <w:rFonts w:ascii="Times New Roman" w:eastAsia="Times New Roman" w:hAnsi="Times New Roman"/>
          <w:sz w:val="24"/>
          <w:szCs w:val="24"/>
        </w:rPr>
        <w:t xml:space="preserve"> </w:t>
      </w:r>
    </w:p>
    <w:p w14:paraId="4AAFD519" w14:textId="77777777" w:rsidR="00F44623" w:rsidRDefault="00F326E5" w:rsidP="00F326E5">
      <w:pPr>
        <w:rPr>
          <w:rFonts w:ascii="Times New Roman" w:eastAsia="Times New Roman" w:hAnsi="Times New Roman"/>
          <w:b/>
          <w:sz w:val="24"/>
          <w:szCs w:val="24"/>
        </w:rPr>
      </w:pPr>
      <w:r w:rsidRPr="00E658E1">
        <w:rPr>
          <w:rFonts w:ascii="Times New Roman" w:eastAsia="Times New Roman" w:hAnsi="Times New Roman"/>
          <w:b/>
          <w:sz w:val="24"/>
          <w:szCs w:val="24"/>
        </w:rPr>
        <w:t xml:space="preserve">Legal Lessons Learned: FLSA Opinion Letters are helpful, but as in this matter are not always definitive.  Fire &amp; EMS Departments are also encouraged to meet “face to face” with Wage &amp; Hour staff and get their informal </w:t>
      </w:r>
      <w:proofErr w:type="gramStart"/>
      <w:r w:rsidRPr="00E658E1">
        <w:rPr>
          <w:rFonts w:ascii="Times New Roman" w:eastAsia="Times New Roman" w:hAnsi="Times New Roman"/>
          <w:b/>
          <w:sz w:val="24"/>
          <w:szCs w:val="24"/>
        </w:rPr>
        <w:t xml:space="preserve">feedback, </w:t>
      </w:r>
      <w:r w:rsidR="00E658E1">
        <w:rPr>
          <w:rFonts w:ascii="Times New Roman" w:eastAsia="Times New Roman" w:hAnsi="Times New Roman"/>
          <w:b/>
          <w:sz w:val="24"/>
          <w:szCs w:val="24"/>
        </w:rPr>
        <w:t xml:space="preserve"> </w:t>
      </w:r>
      <w:r w:rsidRPr="00E658E1">
        <w:rPr>
          <w:rFonts w:ascii="Times New Roman" w:eastAsia="Times New Roman" w:hAnsi="Times New Roman"/>
          <w:b/>
          <w:sz w:val="24"/>
          <w:szCs w:val="24"/>
        </w:rPr>
        <w:t>and</w:t>
      </w:r>
      <w:proofErr w:type="gramEnd"/>
      <w:r w:rsidRPr="00E658E1">
        <w:rPr>
          <w:rFonts w:ascii="Times New Roman" w:eastAsia="Times New Roman" w:hAnsi="Times New Roman"/>
          <w:b/>
          <w:sz w:val="24"/>
          <w:szCs w:val="24"/>
        </w:rPr>
        <w:t xml:space="preserve"> consider retaining Legal Counsel experienced with FLSA issues. </w:t>
      </w:r>
    </w:p>
    <w:bookmarkEnd w:id="412"/>
    <w:p w14:paraId="3ABE2BFD" w14:textId="77777777" w:rsidR="00F44623" w:rsidRDefault="00F44623" w:rsidP="00F326E5">
      <w:pPr>
        <w:pStyle w:val="NoSpacing"/>
        <w:rPr>
          <w:rFonts w:ascii="Arial Black" w:hAnsi="Arial Black"/>
          <w:sz w:val="40"/>
          <w:szCs w:val="40"/>
        </w:rPr>
      </w:pPr>
    </w:p>
    <w:p w14:paraId="0F6AF8AF" w14:textId="4C154D1E" w:rsidR="00F44623" w:rsidRDefault="00F44623" w:rsidP="00F326E5">
      <w:pPr>
        <w:pStyle w:val="NoSpacing"/>
        <w:rPr>
          <w:rFonts w:ascii="Arial Black" w:hAnsi="Arial Black"/>
          <w:sz w:val="40"/>
          <w:szCs w:val="40"/>
        </w:rPr>
      </w:pPr>
      <w:r w:rsidRPr="00F44623">
        <w:rPr>
          <w:rFonts w:ascii="Times New Roman" w:hAnsi="Times New Roman"/>
          <w:b/>
          <w:bCs/>
          <w:sz w:val="24"/>
          <w:szCs w:val="24"/>
        </w:rPr>
        <w:t>See also 2018 PowerPoints by David Comstock, Esq.:</w:t>
      </w:r>
      <w:r>
        <w:rPr>
          <w:rFonts w:ascii="Arial Black" w:hAnsi="Arial Black"/>
          <w:sz w:val="40"/>
          <w:szCs w:val="40"/>
        </w:rPr>
        <w:t xml:space="preserve"> </w:t>
      </w:r>
      <w:hyperlink r:id="rId1923" w:history="1">
        <w:r w:rsidRPr="00F44623">
          <w:rPr>
            <w:rStyle w:val="Hyperlink"/>
            <w:rFonts w:ascii="Times New Roman" w:hAnsi="Times New Roman"/>
            <w:sz w:val="24"/>
            <w:szCs w:val="24"/>
          </w:rPr>
          <w:t>https://www.ohioauditor.gov/trainings/lgoc/2018/Fair%20Labor%20Standards%20Act%20for%20Firefighters.pdf</w:t>
        </w:r>
      </w:hyperlink>
      <w:r>
        <w:rPr>
          <w:rFonts w:ascii="Arial Black" w:hAnsi="Arial Black"/>
          <w:sz w:val="40"/>
          <w:szCs w:val="40"/>
        </w:rPr>
        <w:t xml:space="preserve"> </w:t>
      </w:r>
    </w:p>
    <w:p w14:paraId="71E4CC93" w14:textId="71892566" w:rsidR="00F44623" w:rsidRDefault="00F44623" w:rsidP="00F326E5">
      <w:pPr>
        <w:pStyle w:val="NoSpacing"/>
        <w:rPr>
          <w:rFonts w:ascii="Arial Black" w:hAnsi="Arial Black"/>
          <w:sz w:val="40"/>
          <w:szCs w:val="40"/>
        </w:rPr>
      </w:pPr>
    </w:p>
    <w:p w14:paraId="0D2D6C43" w14:textId="6A77043A" w:rsidR="00F44623" w:rsidRPr="00F44623" w:rsidRDefault="00F44623" w:rsidP="00F326E5">
      <w:pPr>
        <w:pStyle w:val="NoSpacing"/>
        <w:rPr>
          <w:rFonts w:ascii="Times New Roman" w:hAnsi="Times New Roman"/>
          <w:sz w:val="24"/>
          <w:szCs w:val="24"/>
        </w:rPr>
      </w:pPr>
      <w:r>
        <w:rPr>
          <w:rFonts w:ascii="Times New Roman" w:hAnsi="Times New Roman"/>
          <w:sz w:val="24"/>
          <w:szCs w:val="24"/>
        </w:rPr>
        <w:t xml:space="preserve">Nov. 14, 2014: </w:t>
      </w:r>
      <w:r w:rsidRPr="00F44623">
        <w:rPr>
          <w:rFonts w:ascii="Times New Roman" w:hAnsi="Times New Roman"/>
          <w:sz w:val="24"/>
          <w:szCs w:val="24"/>
          <w:u w:val="single"/>
        </w:rPr>
        <w:t>Jon Misewicz, et al. v. City of Memphis</w:t>
      </w:r>
      <w:r w:rsidRPr="00F44623">
        <w:rPr>
          <w:rFonts w:ascii="Times New Roman" w:hAnsi="Times New Roman"/>
          <w:sz w:val="24"/>
          <w:szCs w:val="24"/>
        </w:rPr>
        <w:t xml:space="preserve"> (6</w:t>
      </w:r>
      <w:r w:rsidRPr="00F44623">
        <w:rPr>
          <w:rFonts w:ascii="Times New Roman" w:hAnsi="Times New Roman"/>
          <w:sz w:val="24"/>
          <w:szCs w:val="24"/>
          <w:vertAlign w:val="superscript"/>
        </w:rPr>
        <w:t>th</w:t>
      </w:r>
      <w:r w:rsidRPr="00F44623">
        <w:rPr>
          <w:rFonts w:ascii="Times New Roman" w:hAnsi="Times New Roman"/>
          <w:sz w:val="24"/>
          <w:szCs w:val="24"/>
        </w:rPr>
        <w:t xml:space="preserve"> Circuit)</w:t>
      </w:r>
    </w:p>
    <w:p w14:paraId="19A23741" w14:textId="77777777" w:rsidR="00F44623" w:rsidRDefault="00F44623" w:rsidP="00F326E5">
      <w:pPr>
        <w:pStyle w:val="NoSpacing"/>
        <w:rPr>
          <w:rFonts w:ascii="Times New Roman" w:hAnsi="Times New Roman"/>
          <w:sz w:val="24"/>
          <w:szCs w:val="24"/>
        </w:rPr>
      </w:pPr>
    </w:p>
    <w:p w14:paraId="356CBFF4" w14:textId="3FACB675" w:rsidR="00F44623" w:rsidRPr="00F44623" w:rsidRDefault="00F44623" w:rsidP="00F44623">
      <w:pPr>
        <w:pStyle w:val="NoSpacing"/>
        <w:ind w:left="720"/>
        <w:rPr>
          <w:rFonts w:ascii="Times New Roman" w:hAnsi="Times New Roman"/>
          <w:sz w:val="24"/>
          <w:szCs w:val="24"/>
        </w:rPr>
      </w:pPr>
      <w:r>
        <w:rPr>
          <w:rFonts w:ascii="Times New Roman" w:hAnsi="Times New Roman"/>
          <w:sz w:val="24"/>
          <w:szCs w:val="24"/>
        </w:rPr>
        <w:t>“</w:t>
      </w:r>
      <w:r w:rsidRPr="00F44623">
        <w:rPr>
          <w:rFonts w:ascii="Times New Roman" w:hAnsi="Times New Roman"/>
          <w:sz w:val="24"/>
          <w:szCs w:val="24"/>
        </w:rPr>
        <w:t xml:space="preserve">In this case alleging violations of § 207 of the Fair Labor Standards Act, 29 U.S.C. § 207, plaintiffs-appellants (hereinafter </w:t>
      </w:r>
      <w:r w:rsidR="00AE3176">
        <w:rPr>
          <w:rFonts w:ascii="Times New Roman" w:hAnsi="Times New Roman"/>
          <w:sz w:val="24"/>
          <w:szCs w:val="24"/>
        </w:rPr>
        <w:t>‘</w:t>
      </w:r>
      <w:r w:rsidRPr="00F44623">
        <w:rPr>
          <w:rFonts w:ascii="Times New Roman" w:hAnsi="Times New Roman"/>
          <w:sz w:val="24"/>
          <w:szCs w:val="24"/>
        </w:rPr>
        <w:t>Plaintiffs</w:t>
      </w:r>
      <w:r w:rsidR="00AE3176">
        <w:rPr>
          <w:rFonts w:ascii="Times New Roman" w:hAnsi="Times New Roman"/>
          <w:sz w:val="24"/>
          <w:szCs w:val="24"/>
        </w:rPr>
        <w:t>’</w:t>
      </w:r>
      <w:r w:rsidRPr="00F44623">
        <w:rPr>
          <w:rFonts w:ascii="Times New Roman" w:hAnsi="Times New Roman"/>
          <w:sz w:val="24"/>
          <w:szCs w:val="24"/>
        </w:rPr>
        <w:t xml:space="preserve">), fire fighters employed by the Memphis Fire Department, appeal the district court’s grant of summary judgment to defendant-appellee the City of Memphis, Tennessee on their complaint asserting overtime pay for paramedic training time. For the reasons set forth below, we AFFIRM the district court’s grant of summary judgment to the City of Memphis. *** In relevant part, the form required an applicant to agree that </w:t>
      </w:r>
      <w:r w:rsidR="00AE3176">
        <w:rPr>
          <w:rFonts w:ascii="Times New Roman" w:hAnsi="Times New Roman"/>
          <w:sz w:val="24"/>
          <w:szCs w:val="24"/>
        </w:rPr>
        <w:t>‘</w:t>
      </w:r>
      <w:r w:rsidRPr="00F44623">
        <w:rPr>
          <w:rFonts w:ascii="Times New Roman" w:hAnsi="Times New Roman"/>
          <w:sz w:val="24"/>
          <w:szCs w:val="24"/>
        </w:rPr>
        <w:t>[w]</w:t>
      </w:r>
      <w:proofErr w:type="spellStart"/>
      <w:r w:rsidRPr="00F44623">
        <w:rPr>
          <w:rFonts w:ascii="Times New Roman" w:hAnsi="Times New Roman"/>
          <w:sz w:val="24"/>
          <w:szCs w:val="24"/>
        </w:rPr>
        <w:t>ithin</w:t>
      </w:r>
      <w:proofErr w:type="spellEnd"/>
      <w:r w:rsidRPr="00F44623">
        <w:rPr>
          <w:rFonts w:ascii="Times New Roman" w:hAnsi="Times New Roman"/>
          <w:sz w:val="24"/>
          <w:szCs w:val="24"/>
        </w:rPr>
        <w:t xml:space="preserve"> three (3) years of employment with the Memphis Fire Department, you must become licensed by the State of Tennessee as a Paramedic (EMT-Advanced), as a condition of continued employment.</w:t>
      </w:r>
      <w:r w:rsidR="00AE3176">
        <w:rPr>
          <w:rFonts w:ascii="Times New Roman" w:hAnsi="Times New Roman"/>
          <w:sz w:val="24"/>
          <w:szCs w:val="24"/>
        </w:rPr>
        <w:t>’</w:t>
      </w:r>
      <w:r w:rsidRPr="00F44623">
        <w:rPr>
          <w:rFonts w:ascii="Times New Roman" w:hAnsi="Times New Roman"/>
          <w:sz w:val="24"/>
          <w:szCs w:val="24"/>
        </w:rPr>
        <w:t xml:space="preserve">1Id. One hundred and eleven Plaintiffs signed the forms, and </w:t>
      </w:r>
      <w:r w:rsidR="00AE3176">
        <w:rPr>
          <w:rFonts w:ascii="Times New Roman" w:hAnsi="Times New Roman"/>
          <w:sz w:val="24"/>
          <w:szCs w:val="24"/>
        </w:rPr>
        <w:t>‘</w:t>
      </w:r>
      <w:r w:rsidRPr="00F44623">
        <w:rPr>
          <w:rFonts w:ascii="Times New Roman" w:hAnsi="Times New Roman"/>
          <w:sz w:val="24"/>
          <w:szCs w:val="24"/>
        </w:rPr>
        <w:t>[a]</w:t>
      </w:r>
      <w:proofErr w:type="spellStart"/>
      <w:r w:rsidRPr="00F44623">
        <w:rPr>
          <w:rFonts w:ascii="Times New Roman" w:hAnsi="Times New Roman"/>
          <w:sz w:val="24"/>
          <w:szCs w:val="24"/>
        </w:rPr>
        <w:t>ll</w:t>
      </w:r>
      <w:proofErr w:type="spellEnd"/>
      <w:r w:rsidRPr="00F44623">
        <w:rPr>
          <w:rFonts w:ascii="Times New Roman" w:hAnsi="Times New Roman"/>
          <w:sz w:val="24"/>
          <w:szCs w:val="24"/>
        </w:rPr>
        <w:t xml:space="preserve"> but four . . . signed in January or February 2007.</w:t>
      </w:r>
      <w:r w:rsidR="00AE3176">
        <w:rPr>
          <w:rFonts w:ascii="Times New Roman" w:hAnsi="Times New Roman"/>
          <w:sz w:val="24"/>
          <w:szCs w:val="24"/>
        </w:rPr>
        <w:t>’</w:t>
      </w:r>
      <w:r w:rsidRPr="00F44623">
        <w:rPr>
          <w:rFonts w:ascii="Times New Roman" w:hAnsi="Times New Roman"/>
          <w:sz w:val="24"/>
          <w:szCs w:val="24"/>
        </w:rPr>
        <w:t xml:space="preserve"> Id. ¶ 17 (Page ID #906). When </w:t>
      </w:r>
      <w:r w:rsidRPr="00F44623">
        <w:rPr>
          <w:rFonts w:ascii="Times New Roman" w:hAnsi="Times New Roman"/>
          <w:sz w:val="24"/>
          <w:szCs w:val="24"/>
        </w:rPr>
        <w:lastRenderedPageBreak/>
        <w:t xml:space="preserve">Plaintiffs signed the forms, the MFD did not tell them that the training would be uncompensated or </w:t>
      </w:r>
      <w:proofErr w:type="gramStart"/>
      <w:r w:rsidRPr="00F44623">
        <w:rPr>
          <w:rFonts w:ascii="Times New Roman" w:hAnsi="Times New Roman"/>
          <w:sz w:val="24"/>
          <w:szCs w:val="24"/>
        </w:rPr>
        <w:t>off-duty</w:t>
      </w:r>
      <w:proofErr w:type="gramEnd"/>
      <w:r w:rsidRPr="00F44623">
        <w:rPr>
          <w:rFonts w:ascii="Times New Roman" w:hAnsi="Times New Roman"/>
          <w:sz w:val="24"/>
          <w:szCs w:val="24"/>
        </w:rPr>
        <w:t xml:space="preserve">. Id. ¶ 16 (Page ID #906). </w:t>
      </w:r>
      <w:hyperlink r:id="rId1924" w:history="1">
        <w:r w:rsidRPr="00F44623">
          <w:rPr>
            <w:rStyle w:val="Hyperlink"/>
            <w:rFonts w:ascii="Times New Roman" w:hAnsi="Times New Roman"/>
            <w:sz w:val="24"/>
            <w:szCs w:val="24"/>
          </w:rPr>
          <w:t>https://cases.justia.com/federal/appellate-courts/ca6/14-5053/14-5053-2014-11-14.pdf?ts=1415984433</w:t>
        </w:r>
      </w:hyperlink>
      <w:r w:rsidRPr="00F44623">
        <w:rPr>
          <w:rFonts w:ascii="Times New Roman" w:hAnsi="Times New Roman"/>
          <w:sz w:val="24"/>
          <w:szCs w:val="24"/>
        </w:rPr>
        <w:t xml:space="preserve"> </w:t>
      </w:r>
    </w:p>
    <w:p w14:paraId="0BDDD442" w14:textId="5824A830" w:rsidR="00F44623" w:rsidRDefault="00F44623">
      <w:pPr>
        <w:spacing w:after="0" w:line="240" w:lineRule="auto"/>
        <w:rPr>
          <w:rFonts w:ascii="Arial Black" w:hAnsi="Arial Black"/>
          <w:sz w:val="40"/>
          <w:szCs w:val="40"/>
        </w:rPr>
      </w:pPr>
      <w:r>
        <w:rPr>
          <w:rFonts w:ascii="Arial Black" w:hAnsi="Arial Black"/>
          <w:sz w:val="40"/>
          <w:szCs w:val="40"/>
        </w:rPr>
        <w:br w:type="page"/>
      </w:r>
    </w:p>
    <w:p w14:paraId="1ABCC0DD" w14:textId="098F2555" w:rsidR="00411E0E" w:rsidRDefault="00411E0E" w:rsidP="00411E0E">
      <w:pPr>
        <w:rPr>
          <w:rFonts w:ascii="Arial Black" w:hAnsi="Arial Black"/>
          <w:b/>
          <w:sz w:val="24"/>
          <w:szCs w:val="24"/>
        </w:rPr>
      </w:pPr>
    </w:p>
    <w:p w14:paraId="563FADC8" w14:textId="77777777" w:rsidR="00411E0E" w:rsidRDefault="00411E0E" w:rsidP="00411E0E">
      <w:pPr>
        <w:rPr>
          <w:rFonts w:ascii="Arial Black" w:hAnsi="Arial Black"/>
          <w:b/>
          <w:sz w:val="28"/>
          <w:szCs w:val="28"/>
        </w:rPr>
      </w:pPr>
    </w:p>
    <w:p w14:paraId="7B0D7F06" w14:textId="77777777" w:rsidR="00411E0E" w:rsidRDefault="00411E0E">
      <w:pPr>
        <w:spacing w:after="0" w:line="240" w:lineRule="auto"/>
        <w:rPr>
          <w:rFonts w:ascii="Arial Black" w:hAnsi="Arial Black"/>
          <w:sz w:val="40"/>
          <w:szCs w:val="40"/>
        </w:rPr>
      </w:pPr>
    </w:p>
    <w:p w14:paraId="11552CD5" w14:textId="77777777" w:rsidR="00F44623" w:rsidRDefault="00F44623" w:rsidP="00F326E5">
      <w:pPr>
        <w:pStyle w:val="NoSpacing"/>
        <w:rPr>
          <w:rFonts w:ascii="Arial Black" w:hAnsi="Arial Black"/>
          <w:sz w:val="40"/>
          <w:szCs w:val="40"/>
        </w:rPr>
      </w:pPr>
    </w:p>
    <w:p w14:paraId="588CE49C" w14:textId="77777777" w:rsidR="00020106" w:rsidRDefault="00020106" w:rsidP="00F326E5">
      <w:pPr>
        <w:pStyle w:val="NoSpacing"/>
        <w:rPr>
          <w:rFonts w:ascii="Arial Black" w:hAnsi="Arial Black"/>
          <w:sz w:val="40"/>
          <w:szCs w:val="40"/>
        </w:rPr>
      </w:pPr>
    </w:p>
    <w:p w14:paraId="030B98E6" w14:textId="77777777" w:rsidR="00020106" w:rsidRDefault="00020106" w:rsidP="00F326E5">
      <w:pPr>
        <w:pStyle w:val="NoSpacing"/>
        <w:rPr>
          <w:rFonts w:ascii="Arial Black" w:hAnsi="Arial Black"/>
          <w:sz w:val="40"/>
          <w:szCs w:val="40"/>
        </w:rPr>
      </w:pPr>
    </w:p>
    <w:p w14:paraId="55D107FF" w14:textId="77777777" w:rsidR="00020106" w:rsidRDefault="00020106" w:rsidP="00F326E5">
      <w:pPr>
        <w:pStyle w:val="NoSpacing"/>
        <w:rPr>
          <w:rFonts w:ascii="Arial Black" w:hAnsi="Arial Black"/>
          <w:sz w:val="40"/>
          <w:szCs w:val="40"/>
        </w:rPr>
      </w:pPr>
    </w:p>
    <w:p w14:paraId="7CC5AF74" w14:textId="77777777" w:rsidR="00020106" w:rsidRDefault="00020106" w:rsidP="00F326E5">
      <w:pPr>
        <w:pStyle w:val="NoSpacing"/>
        <w:rPr>
          <w:rFonts w:ascii="Arial Black" w:hAnsi="Arial Black"/>
          <w:sz w:val="40"/>
          <w:szCs w:val="40"/>
        </w:rPr>
      </w:pPr>
    </w:p>
    <w:p w14:paraId="7429EAEB" w14:textId="77777777" w:rsidR="00020106" w:rsidRDefault="00020106" w:rsidP="00F326E5">
      <w:pPr>
        <w:pStyle w:val="NoSpacing"/>
        <w:rPr>
          <w:rFonts w:ascii="Arial Black" w:hAnsi="Arial Black"/>
          <w:sz w:val="40"/>
          <w:szCs w:val="40"/>
        </w:rPr>
      </w:pPr>
    </w:p>
    <w:p w14:paraId="5D0ED5AB" w14:textId="77777777" w:rsidR="00020106" w:rsidRDefault="00020106" w:rsidP="00F326E5">
      <w:pPr>
        <w:pStyle w:val="NoSpacing"/>
        <w:rPr>
          <w:rFonts w:ascii="Arial Black" w:hAnsi="Arial Black"/>
          <w:sz w:val="40"/>
          <w:szCs w:val="40"/>
        </w:rPr>
      </w:pPr>
    </w:p>
    <w:p w14:paraId="1DB17969" w14:textId="77777777" w:rsidR="00020106" w:rsidRDefault="00020106" w:rsidP="00F326E5">
      <w:pPr>
        <w:pStyle w:val="NoSpacing"/>
        <w:rPr>
          <w:rFonts w:ascii="Arial Black" w:hAnsi="Arial Black"/>
          <w:sz w:val="40"/>
          <w:szCs w:val="40"/>
        </w:rPr>
      </w:pPr>
    </w:p>
    <w:p w14:paraId="4E5D2E5E" w14:textId="77777777" w:rsidR="00020106" w:rsidRDefault="00020106" w:rsidP="00F326E5">
      <w:pPr>
        <w:pStyle w:val="NoSpacing"/>
        <w:rPr>
          <w:rFonts w:ascii="Arial Black" w:hAnsi="Arial Black"/>
          <w:sz w:val="40"/>
          <w:szCs w:val="40"/>
        </w:rPr>
      </w:pPr>
    </w:p>
    <w:p w14:paraId="18D3BE3B" w14:textId="77777777" w:rsidR="00020106" w:rsidRDefault="00020106" w:rsidP="00F326E5">
      <w:pPr>
        <w:pStyle w:val="NoSpacing"/>
        <w:rPr>
          <w:rFonts w:ascii="Arial Black" w:hAnsi="Arial Black"/>
          <w:sz w:val="40"/>
          <w:szCs w:val="40"/>
        </w:rPr>
      </w:pPr>
    </w:p>
    <w:p w14:paraId="3863E80D" w14:textId="77777777" w:rsidR="00020106" w:rsidRDefault="00020106" w:rsidP="00F326E5">
      <w:pPr>
        <w:pStyle w:val="NoSpacing"/>
        <w:rPr>
          <w:rFonts w:ascii="Arial Black" w:hAnsi="Arial Black"/>
          <w:sz w:val="40"/>
          <w:szCs w:val="40"/>
        </w:rPr>
      </w:pPr>
    </w:p>
    <w:p w14:paraId="3F506ED8" w14:textId="77777777" w:rsidR="00020106" w:rsidRDefault="00020106" w:rsidP="00F326E5">
      <w:pPr>
        <w:pStyle w:val="NoSpacing"/>
        <w:rPr>
          <w:rFonts w:ascii="Arial Black" w:hAnsi="Arial Black"/>
          <w:sz w:val="40"/>
          <w:szCs w:val="40"/>
        </w:rPr>
      </w:pPr>
    </w:p>
    <w:p w14:paraId="57EDB87E" w14:textId="77777777" w:rsidR="00020106" w:rsidRDefault="00020106" w:rsidP="00F326E5">
      <w:pPr>
        <w:pStyle w:val="NoSpacing"/>
        <w:rPr>
          <w:rFonts w:ascii="Arial Black" w:hAnsi="Arial Black"/>
          <w:sz w:val="40"/>
          <w:szCs w:val="40"/>
        </w:rPr>
      </w:pPr>
    </w:p>
    <w:p w14:paraId="01DE9230" w14:textId="77777777" w:rsidR="00020106" w:rsidRDefault="00020106" w:rsidP="00F326E5">
      <w:pPr>
        <w:pStyle w:val="NoSpacing"/>
        <w:rPr>
          <w:rFonts w:ascii="Arial Black" w:hAnsi="Arial Black"/>
          <w:sz w:val="40"/>
          <w:szCs w:val="40"/>
        </w:rPr>
      </w:pPr>
    </w:p>
    <w:p w14:paraId="1DCF0D0C" w14:textId="77777777" w:rsidR="00020106" w:rsidRDefault="00020106" w:rsidP="00F326E5">
      <w:pPr>
        <w:pStyle w:val="NoSpacing"/>
        <w:rPr>
          <w:rFonts w:ascii="Arial Black" w:hAnsi="Arial Black"/>
          <w:sz w:val="40"/>
          <w:szCs w:val="40"/>
        </w:rPr>
      </w:pPr>
    </w:p>
    <w:p w14:paraId="0CFF60B8" w14:textId="77777777" w:rsidR="00020106" w:rsidRDefault="00020106" w:rsidP="00F326E5">
      <w:pPr>
        <w:pStyle w:val="NoSpacing"/>
        <w:rPr>
          <w:rFonts w:ascii="Arial Black" w:hAnsi="Arial Black"/>
          <w:sz w:val="40"/>
          <w:szCs w:val="40"/>
        </w:rPr>
      </w:pPr>
    </w:p>
    <w:p w14:paraId="53C2AF77" w14:textId="77777777" w:rsidR="00020106" w:rsidRDefault="00020106" w:rsidP="00F326E5">
      <w:pPr>
        <w:pStyle w:val="NoSpacing"/>
        <w:rPr>
          <w:rFonts w:ascii="Arial Black" w:hAnsi="Arial Black"/>
          <w:sz w:val="40"/>
          <w:szCs w:val="40"/>
        </w:rPr>
      </w:pPr>
    </w:p>
    <w:p w14:paraId="158503F6" w14:textId="77777777" w:rsidR="00020106" w:rsidRDefault="00020106" w:rsidP="00F326E5">
      <w:pPr>
        <w:pStyle w:val="NoSpacing"/>
        <w:rPr>
          <w:rFonts w:ascii="Arial Black" w:hAnsi="Arial Black"/>
          <w:sz w:val="40"/>
          <w:szCs w:val="40"/>
        </w:rPr>
      </w:pPr>
    </w:p>
    <w:p w14:paraId="2E430EFC" w14:textId="77777777" w:rsidR="00020106" w:rsidRDefault="00020106" w:rsidP="00F326E5">
      <w:pPr>
        <w:pStyle w:val="NoSpacing"/>
        <w:rPr>
          <w:rFonts w:ascii="Arial Black" w:hAnsi="Arial Black"/>
          <w:sz w:val="40"/>
          <w:szCs w:val="40"/>
        </w:rPr>
      </w:pPr>
    </w:p>
    <w:p w14:paraId="4527B5E1" w14:textId="77777777" w:rsidR="00020106" w:rsidRDefault="00020106" w:rsidP="00F326E5">
      <w:pPr>
        <w:pStyle w:val="NoSpacing"/>
        <w:rPr>
          <w:rFonts w:ascii="Arial Black" w:hAnsi="Arial Black"/>
          <w:sz w:val="40"/>
          <w:szCs w:val="40"/>
        </w:rPr>
      </w:pPr>
    </w:p>
    <w:p w14:paraId="0C67892F" w14:textId="77777777" w:rsidR="00020106" w:rsidRDefault="00020106" w:rsidP="00F326E5">
      <w:pPr>
        <w:pStyle w:val="NoSpacing"/>
        <w:rPr>
          <w:rFonts w:ascii="Arial Black" w:hAnsi="Arial Black"/>
          <w:sz w:val="40"/>
          <w:szCs w:val="40"/>
        </w:rPr>
      </w:pPr>
    </w:p>
    <w:p w14:paraId="42A418E5" w14:textId="77777777" w:rsidR="00020106" w:rsidRDefault="00020106" w:rsidP="00F326E5">
      <w:pPr>
        <w:pStyle w:val="NoSpacing"/>
        <w:rPr>
          <w:rFonts w:ascii="Arial Black" w:hAnsi="Arial Black"/>
          <w:sz w:val="40"/>
          <w:szCs w:val="40"/>
        </w:rPr>
      </w:pPr>
    </w:p>
    <w:p w14:paraId="21EDD998" w14:textId="76740DD5" w:rsidR="00F326E5" w:rsidRDefault="00F326E5" w:rsidP="00F326E5">
      <w:pPr>
        <w:pStyle w:val="NoSpacing"/>
        <w:rPr>
          <w:rFonts w:ascii="Arial Black" w:hAnsi="Arial Black"/>
          <w:sz w:val="40"/>
          <w:szCs w:val="40"/>
        </w:rPr>
      </w:pPr>
      <w:r w:rsidRPr="007732FA">
        <w:rPr>
          <w:rFonts w:ascii="Arial Black" w:hAnsi="Arial Black"/>
          <w:sz w:val="40"/>
          <w:szCs w:val="40"/>
        </w:rPr>
        <w:lastRenderedPageBreak/>
        <w:t>Chap. 12</w:t>
      </w:r>
      <w:r w:rsidRPr="007732FA">
        <w:rPr>
          <w:rFonts w:ascii="Arial Black" w:hAnsi="Arial Black"/>
          <w:sz w:val="40"/>
          <w:szCs w:val="40"/>
        </w:rPr>
        <w:tab/>
        <w:t>Drug-Free Workplace</w:t>
      </w:r>
    </w:p>
    <w:p w14:paraId="23B984FE" w14:textId="77777777" w:rsidR="00743B05" w:rsidRDefault="00743B05" w:rsidP="00F326E5">
      <w:pPr>
        <w:rPr>
          <w:rFonts w:ascii="Arial Black" w:hAnsi="Arial Black"/>
          <w:b/>
          <w:sz w:val="24"/>
          <w:szCs w:val="24"/>
        </w:rPr>
      </w:pPr>
    </w:p>
    <w:p w14:paraId="206B54B8" w14:textId="4AC53712" w:rsidR="003D4642" w:rsidRDefault="003D4642" w:rsidP="003D4642">
      <w:pPr>
        <w:pStyle w:val="NoSpacing"/>
        <w:rPr>
          <w:rFonts w:ascii="Arial Black" w:hAnsi="Arial Black"/>
          <w:sz w:val="28"/>
          <w:szCs w:val="28"/>
        </w:rPr>
      </w:pPr>
      <w:r>
        <w:rPr>
          <w:rFonts w:ascii="Arial Black" w:hAnsi="Arial Black"/>
          <w:sz w:val="28"/>
          <w:szCs w:val="28"/>
        </w:rPr>
        <w:t>12-41</w:t>
      </w:r>
    </w:p>
    <w:p w14:paraId="0A8160CD" w14:textId="77777777" w:rsidR="003D4642" w:rsidRDefault="003D4642" w:rsidP="00F326E5">
      <w:pPr>
        <w:rPr>
          <w:rFonts w:ascii="Arial Black" w:hAnsi="Arial Black"/>
          <w:b/>
          <w:sz w:val="24"/>
          <w:szCs w:val="24"/>
        </w:rPr>
      </w:pPr>
    </w:p>
    <w:p w14:paraId="0BF75B15" w14:textId="77777777" w:rsidR="006A2254" w:rsidRPr="00F02835" w:rsidRDefault="006A2254" w:rsidP="006A2254">
      <w:pPr>
        <w:pStyle w:val="NoSpacing"/>
        <w:rPr>
          <w:rFonts w:ascii="Arial Black" w:hAnsi="Arial Black"/>
          <w:sz w:val="28"/>
          <w:szCs w:val="28"/>
        </w:rPr>
      </w:pPr>
      <w:r>
        <w:rPr>
          <w:rFonts w:ascii="Arial Black" w:hAnsi="Arial Black"/>
          <w:sz w:val="28"/>
          <w:szCs w:val="28"/>
        </w:rPr>
        <w:t xml:space="preserve">FL: FF WITH STATE MJ CARD - ANXIETY – BUT VIOL. OF CBA </w:t>
      </w:r>
    </w:p>
    <w:p w14:paraId="2B6DF13F" w14:textId="77777777" w:rsidR="006A2254" w:rsidRDefault="006A2254" w:rsidP="006A2254">
      <w:pPr>
        <w:pStyle w:val="NoSpacing"/>
      </w:pPr>
    </w:p>
    <w:p w14:paraId="33CCD5B4" w14:textId="77777777" w:rsidR="006A2254" w:rsidRDefault="006A2254" w:rsidP="006A2254">
      <w:pPr>
        <w:pStyle w:val="NoSpacing"/>
      </w:pPr>
      <w:r>
        <w:t xml:space="preserve">On July 29, 2026, in </w:t>
      </w:r>
      <w:r w:rsidRPr="0092092D">
        <w:rPr>
          <w:u w:val="single"/>
        </w:rPr>
        <w:t>Hillsborough County v. Angelo Giambrone</w:t>
      </w:r>
      <w:r>
        <w:t xml:space="preserve">, the District Court of Appeal of Florida, Second District, held (3 to 0) that trial court improperly ordered the County to accommodate the firefighter/ paramedic, who was issued a state marijuana card for his anxiety and insomnia.   He tested positive in random drug test on February 26, 2019, and has been suspended without pay.  He testified that, during the time he was actively employed, he smoked "a half a joint to a joint two to three times a day." </w:t>
      </w:r>
      <w:hyperlink r:id="rId1925" w:history="1">
        <w:r w:rsidRPr="006F2115">
          <w:rPr>
            <w:rStyle w:val="Hyperlink"/>
          </w:rPr>
          <w:t>https://flcourts-media.flcourts.gov/content/download/2492932/opinion/Opinion_2025-0115.pdf</w:t>
        </w:r>
      </w:hyperlink>
      <w:r>
        <w:t xml:space="preserve"> </w:t>
      </w:r>
    </w:p>
    <w:p w14:paraId="542F2FBC" w14:textId="77777777" w:rsidR="006A2254" w:rsidRDefault="006A2254" w:rsidP="006A2254">
      <w:pPr>
        <w:pStyle w:val="NoSpacing"/>
      </w:pPr>
    </w:p>
    <w:p w14:paraId="314714DE" w14:textId="77777777" w:rsidR="006A2254" w:rsidRDefault="006A2254" w:rsidP="006A2254">
      <w:pPr>
        <w:pStyle w:val="NoSpacing"/>
      </w:pPr>
      <w:r>
        <w:t>THE COURT WROTE:</w:t>
      </w:r>
    </w:p>
    <w:p w14:paraId="0EF84CC3" w14:textId="77777777" w:rsidR="006A2254" w:rsidRDefault="006A2254" w:rsidP="006A2254">
      <w:pPr>
        <w:pStyle w:val="NoSpacing"/>
      </w:pPr>
    </w:p>
    <w:p w14:paraId="66A58C96" w14:textId="77777777" w:rsidR="006A2254" w:rsidRDefault="006A2254" w:rsidP="006A2254">
      <w:pPr>
        <w:pStyle w:val="NoSpacing"/>
        <w:ind w:left="720"/>
      </w:pPr>
      <w:r>
        <w:t>“</w:t>
      </w:r>
      <w:r w:rsidRPr="00643275">
        <w:t xml:space="preserve">The trial court determined that medical marijuana is </w:t>
      </w:r>
      <w:r>
        <w:t>‘</w:t>
      </w:r>
      <w:r w:rsidRPr="00643275">
        <w:t>considered a</w:t>
      </w:r>
      <w:r>
        <w:t xml:space="preserve"> </w:t>
      </w:r>
      <w:r w:rsidRPr="00643275">
        <w:t>prescription or akin to a prescription, as it is an order for drugs written</w:t>
      </w:r>
      <w:r>
        <w:t xml:space="preserve"> </w:t>
      </w:r>
      <w:r w:rsidRPr="00643275">
        <w:t>by a licensed doctor . . . [and] nowhere in [the CBA] is medical marijuana</w:t>
      </w:r>
      <w:r>
        <w:t xml:space="preserve"> </w:t>
      </w:r>
      <w:r w:rsidRPr="00643275">
        <w:t>enumerated as distinct from all other prescribed medications.</w:t>
      </w:r>
      <w:r>
        <w:t>’</w:t>
      </w:r>
      <w:r w:rsidRPr="00643275">
        <w:t xml:space="preserve"> As the</w:t>
      </w:r>
      <w:r>
        <w:t xml:space="preserve"> </w:t>
      </w:r>
      <w:r w:rsidRPr="00643275">
        <w:t>County correctly argues, the trial court reversibly erred in so concluding,</w:t>
      </w:r>
      <w:r>
        <w:t xml:space="preserve"> </w:t>
      </w:r>
      <w:r w:rsidRPr="00643275">
        <w:t xml:space="preserve">and that error </w:t>
      </w:r>
      <w:r>
        <w:t>p</w:t>
      </w:r>
      <w:r w:rsidRPr="00643275">
        <w:t>ermeates the order on review</w:t>
      </w:r>
      <w:r>
        <w:t>…. Treating this provision as a ‘broad definition’ that ‘encompasses medications authorized under federal or Florida law,’ the trial court ultimately concluded that medical marijuana is a medication authorized for general distribution because Florida has ‘over 880 thousand [medical marijuana] patients’ and ‘over 650 retail stores to distribute medical marijuana.’ As we will explain, marijuana is neither a medication ‘obtained pursuant to a prescription as defined by s[</w:t>
      </w:r>
      <w:proofErr w:type="spellStart"/>
      <w:r>
        <w:t>ection</w:t>
      </w:r>
      <w:proofErr w:type="spellEnd"/>
      <w:r>
        <w:t xml:space="preserve">] 893.02,’ nor one that is authorized by ‘federal or state law for general distribution and use without a prescription.’ … In sum, the trial court's conclusion that the County was contractually obligated to treat a positive test as negative rests on a premise that is wholly unsupported and is in fact contradicted by the CBA's text. Judgment cannot be sustained on a judicial rewriting of unambiguous definitions…. The better reading—and the one consistent with the statute's plain text and structure—is that the legislature preserved an employer's discretion to refuse accommodation of medical marijuana </w:t>
      </w:r>
      <w:r w:rsidRPr="00896754">
        <w:rPr>
          <w:i/>
          <w:iCs/>
        </w:rPr>
        <w:t>at all</w:t>
      </w:r>
      <w:r>
        <w:t xml:space="preserve"> in the workplace and separately preserved an employer's discretion to refuse accommodation for an employee working under the influence…. The trial court's countywide, prospective command that the County must ‘provide </w:t>
      </w:r>
      <w:proofErr w:type="gramStart"/>
      <w:r>
        <w:t>an accommodation’</w:t>
      </w:r>
      <w:proofErr w:type="gramEnd"/>
      <w:r>
        <w:t xml:space="preserve"> </w:t>
      </w:r>
      <w:proofErr w:type="gramStart"/>
      <w:r>
        <w:t>to</w:t>
      </w:r>
      <w:proofErr w:type="gramEnd"/>
      <w:r>
        <w:t xml:space="preserve"> any employee who produces a medical marijuana card after testing positive is not statutory interpretation; it is policymaking of the most direct kind. And it is absolutely forbidden by our constitution.”</w:t>
      </w:r>
    </w:p>
    <w:p w14:paraId="780F35B9" w14:textId="77777777" w:rsidR="006A2254" w:rsidRDefault="006A2254" w:rsidP="006A2254">
      <w:pPr>
        <w:pStyle w:val="NoSpacing"/>
        <w:ind w:left="720"/>
      </w:pPr>
    </w:p>
    <w:p w14:paraId="7A8CF53C" w14:textId="77777777" w:rsidR="006A2254" w:rsidRPr="002E731D" w:rsidRDefault="006A2254" w:rsidP="006A2254">
      <w:pPr>
        <w:pStyle w:val="NoSpacing"/>
        <w:rPr>
          <w:b/>
          <w:bCs/>
        </w:rPr>
      </w:pPr>
      <w:r>
        <w:rPr>
          <w:b/>
        </w:rPr>
        <w:t xml:space="preserve">Legal lesson learned:  The CBA was negotiated prior to Florida authorizing medical marijuana; hopefully a future CBA will address when firefighters can use marijuana for medical reasons. </w:t>
      </w:r>
    </w:p>
    <w:p w14:paraId="0CA908E5" w14:textId="77777777" w:rsidR="006A2254" w:rsidRDefault="006A2254" w:rsidP="006A2254">
      <w:pPr>
        <w:ind w:left="720"/>
        <w:rPr>
          <w:b/>
        </w:rPr>
      </w:pPr>
      <w:r w:rsidRPr="00386583">
        <w:t xml:space="preserve">Note: See this Aug. 6, </w:t>
      </w:r>
      <w:proofErr w:type="gramStart"/>
      <w:r w:rsidRPr="00386583">
        <w:t>2026</w:t>
      </w:r>
      <w:proofErr w:type="gramEnd"/>
      <w:r w:rsidRPr="00386583">
        <w:t xml:space="preserve"> article.</w:t>
      </w:r>
      <w:r>
        <w:rPr>
          <w:b/>
        </w:rPr>
        <w:t xml:space="preserve"> </w:t>
      </w:r>
      <w:r w:rsidRPr="00FA0D64">
        <w:t xml:space="preserve">Medical Marijuana Is Legal in FL. Why Is </w:t>
      </w:r>
      <w:proofErr w:type="gramStart"/>
      <w:r w:rsidRPr="00FA0D64">
        <w:t>A</w:t>
      </w:r>
      <w:proofErr w:type="gramEnd"/>
      <w:r w:rsidRPr="00FA0D64">
        <w:t xml:space="preserve"> Paramedic Being Punished? </w:t>
      </w:r>
      <w:r>
        <w:t xml:space="preserve">… </w:t>
      </w:r>
      <w:r w:rsidRPr="00FA0D64">
        <w:t>Giambrone plans to appeal the decision to the Florida Supreme Court, his attorney Michael Minardi said.</w:t>
      </w:r>
      <w:r>
        <w:t xml:space="preserve"> </w:t>
      </w:r>
      <w:hyperlink r:id="rId1926" w:history="1">
        <w:r w:rsidRPr="00634671">
          <w:rPr>
            <w:rStyle w:val="Hyperlink"/>
          </w:rPr>
          <w:t>https://www.jems.com/ems-management/medical-marijuana-is-legal-in-fl-why-is-a-paramedic-being-punished/?utm_source=fe_daily_newsletter&amp;utm_medium=email&amp;utm_campaign=2026-8-6&amp;oly_enc_id=0573H1103045H2E</w:t>
        </w:r>
      </w:hyperlink>
    </w:p>
    <w:p w14:paraId="295C4DF8" w14:textId="77777777" w:rsidR="006A2254" w:rsidRDefault="006A2254" w:rsidP="00C37020">
      <w:pPr>
        <w:pStyle w:val="NoSpacing"/>
        <w:rPr>
          <w:rFonts w:ascii="Arial Black" w:hAnsi="Arial Black"/>
          <w:sz w:val="28"/>
          <w:szCs w:val="28"/>
        </w:rPr>
      </w:pPr>
    </w:p>
    <w:p w14:paraId="774ACF15" w14:textId="77777777" w:rsidR="006A2254" w:rsidRDefault="006A2254" w:rsidP="00C37020">
      <w:pPr>
        <w:pStyle w:val="NoSpacing"/>
        <w:rPr>
          <w:rFonts w:ascii="Arial Black" w:hAnsi="Arial Black"/>
          <w:sz w:val="28"/>
          <w:szCs w:val="28"/>
        </w:rPr>
      </w:pPr>
    </w:p>
    <w:p w14:paraId="57538EED" w14:textId="5527EA0D" w:rsidR="00C37020" w:rsidRDefault="00C37020" w:rsidP="00C37020">
      <w:pPr>
        <w:pStyle w:val="NoSpacing"/>
        <w:rPr>
          <w:rFonts w:ascii="Arial Black" w:hAnsi="Arial Black"/>
          <w:sz w:val="28"/>
          <w:szCs w:val="28"/>
        </w:rPr>
      </w:pPr>
      <w:r>
        <w:rPr>
          <w:rFonts w:ascii="Arial Black" w:hAnsi="Arial Black"/>
          <w:sz w:val="28"/>
          <w:szCs w:val="28"/>
        </w:rPr>
        <w:t>12-40</w:t>
      </w:r>
    </w:p>
    <w:p w14:paraId="5C238E4E" w14:textId="77777777" w:rsidR="00C37020" w:rsidRDefault="00C37020" w:rsidP="00C37020">
      <w:pPr>
        <w:pStyle w:val="NoSpacing"/>
        <w:rPr>
          <w:rFonts w:ascii="Arial Black" w:hAnsi="Arial Black"/>
          <w:sz w:val="28"/>
          <w:szCs w:val="28"/>
        </w:rPr>
      </w:pPr>
    </w:p>
    <w:p w14:paraId="687744A9" w14:textId="3B9EF4D6" w:rsidR="00C37020" w:rsidRDefault="00C37020" w:rsidP="00C37020">
      <w:pPr>
        <w:pStyle w:val="NoSpacing"/>
        <w:rPr>
          <w:rFonts w:ascii="Arial Black" w:hAnsi="Arial Black"/>
          <w:sz w:val="28"/>
          <w:szCs w:val="28"/>
        </w:rPr>
      </w:pPr>
      <w:r>
        <w:rPr>
          <w:rFonts w:ascii="Arial Black" w:hAnsi="Arial Black"/>
          <w:sz w:val="28"/>
          <w:szCs w:val="28"/>
        </w:rPr>
        <w:lastRenderedPageBreak/>
        <w:t xml:space="preserve">CA: POSITIVE DRUG – ARMY - NOT DISAB IF ACTIVE USER </w:t>
      </w:r>
    </w:p>
    <w:p w14:paraId="4291E98D" w14:textId="77777777" w:rsidR="00C37020" w:rsidRDefault="00C37020" w:rsidP="00C37020">
      <w:pPr>
        <w:pStyle w:val="NoSpacing"/>
        <w:rPr>
          <w:rFonts w:ascii="Arial Black" w:hAnsi="Arial Black"/>
          <w:sz w:val="28"/>
          <w:szCs w:val="28"/>
        </w:rPr>
      </w:pPr>
    </w:p>
    <w:p w14:paraId="72B99E1C" w14:textId="77777777" w:rsidR="00C37020" w:rsidRDefault="00C37020" w:rsidP="00C37020">
      <w:pPr>
        <w:pStyle w:val="NoSpacing"/>
      </w:pPr>
      <w:r>
        <w:t xml:space="preserve">On July 21, 2026, in </w:t>
      </w:r>
      <w:r w:rsidRPr="00BB5886">
        <w:rPr>
          <w:u w:val="single"/>
        </w:rPr>
        <w:t>Roger E. Greer v. Christine Wormuth, Secretary, U.S. Department of the Army, et al</w:t>
      </w:r>
      <w:r>
        <w:t>., the United States Court of Appeals for the Ninth Circuit (San Francisco) held (3 to 0; unpublished decision) that the trial court judge properly dismissed his lawsuit.  He filed the case pro se [no attorney] and was fired for “</w:t>
      </w:r>
      <w:r w:rsidRPr="00A078DA">
        <w:t>testing positive for illegal substances</w:t>
      </w:r>
      <w:r>
        <w:t xml:space="preserve">’ [drugs not identified]. </w:t>
      </w:r>
      <w:hyperlink r:id="rId1927" w:history="1">
        <w:r w:rsidRPr="002E6E7A">
          <w:rPr>
            <w:rStyle w:val="Hyperlink"/>
          </w:rPr>
          <w:t>https://cdn.ca9.uscourts.gov/datastore/memoranda/2026/07/21/24-6425.pdf</w:t>
        </w:r>
      </w:hyperlink>
      <w:r>
        <w:t xml:space="preserve"> </w:t>
      </w:r>
    </w:p>
    <w:p w14:paraId="55F39AD9" w14:textId="77777777" w:rsidR="00C37020" w:rsidRDefault="00C37020" w:rsidP="00C37020">
      <w:pPr>
        <w:pStyle w:val="NoSpacing"/>
      </w:pPr>
    </w:p>
    <w:p w14:paraId="7D884847" w14:textId="77777777" w:rsidR="00C37020" w:rsidRDefault="00C37020" w:rsidP="00C37020">
      <w:pPr>
        <w:pStyle w:val="NoSpacing"/>
      </w:pPr>
      <w:r>
        <w:t>THE COURT WROTE:</w:t>
      </w:r>
    </w:p>
    <w:p w14:paraId="7049B6A3" w14:textId="77777777" w:rsidR="00C37020" w:rsidRDefault="00C37020" w:rsidP="00C37020">
      <w:pPr>
        <w:pStyle w:val="NoSpacing"/>
      </w:pPr>
    </w:p>
    <w:p w14:paraId="56F08C51" w14:textId="77777777" w:rsidR="00C37020" w:rsidRDefault="00C37020" w:rsidP="00C37020">
      <w:pPr>
        <w:pStyle w:val="NoSpacing"/>
      </w:pPr>
      <w:r>
        <w:rPr>
          <w:i/>
          <w:iCs/>
        </w:rPr>
        <w:t>“</w:t>
      </w:r>
      <w:r w:rsidRPr="000C7CAC">
        <w:rPr>
          <w:i/>
          <w:iCs/>
        </w:rPr>
        <w:t>Rehabilitation Act discrimination claim</w:t>
      </w:r>
      <w:r w:rsidRPr="000C7CAC">
        <w:t>. Greer also failed to state a disability discrimination claim under the Rehabilitation Act. To bring a successful claim under the Rehabilitation Act, a plaintiff must show that he (1) has a disability; (2) is otherwise qualified for employment; and (3) was discriminated against because of his disability</w:t>
      </w:r>
      <w:r>
        <w:t xml:space="preserve">…. </w:t>
      </w:r>
      <w:r w:rsidRPr="000C7CAC">
        <w:t xml:space="preserve">Greer's claim fails to allege the threshold requirement that he is </w:t>
      </w:r>
      <w:r>
        <w:t>‘</w:t>
      </w:r>
      <w:r w:rsidRPr="000C7CAC">
        <w:t>disabled</w:t>
      </w:r>
      <w:r>
        <w:t>’</w:t>
      </w:r>
      <w:r w:rsidRPr="000C7CAC">
        <w:t xml:space="preserve"> because the FAC </w:t>
      </w:r>
      <w:r>
        <w:t xml:space="preserve">[First Amended Complaint] </w:t>
      </w:r>
      <w:r w:rsidRPr="000C7CAC">
        <w:t xml:space="preserve">does not describe the nature of his impairment with sufficient particularity. Greer merely alleges that he was </w:t>
      </w:r>
      <w:r>
        <w:t>‘</w:t>
      </w:r>
      <w:r w:rsidRPr="000C7CAC">
        <w:t>perceived to have an actual or perceived physical or mental impairment</w:t>
      </w:r>
      <w:r>
        <w:t>’</w:t>
      </w:r>
      <w:r w:rsidRPr="000C7CAC">
        <w:t xml:space="preserve"> without any additional factual details</w:t>
      </w:r>
      <w:r>
        <w:t xml:space="preserve">….  </w:t>
      </w:r>
    </w:p>
    <w:p w14:paraId="6543D810" w14:textId="77777777" w:rsidR="00C37020" w:rsidRDefault="00C37020" w:rsidP="00C37020">
      <w:pPr>
        <w:pStyle w:val="NoSpacing"/>
      </w:pPr>
    </w:p>
    <w:p w14:paraId="76C4D971" w14:textId="77777777" w:rsidR="00C37020" w:rsidRDefault="00C37020" w:rsidP="00C37020">
      <w:pPr>
        <w:pStyle w:val="NoSpacing"/>
      </w:pPr>
      <w:r>
        <w:t>***</w:t>
      </w:r>
    </w:p>
    <w:p w14:paraId="78D6B903" w14:textId="77777777" w:rsidR="00C37020" w:rsidRDefault="00C37020" w:rsidP="00C37020">
      <w:pPr>
        <w:pStyle w:val="NoSpacing"/>
      </w:pPr>
    </w:p>
    <w:p w14:paraId="608496C2" w14:textId="77777777" w:rsidR="00C37020" w:rsidRDefault="00C37020" w:rsidP="00C37020">
      <w:pPr>
        <w:pStyle w:val="NoSpacing"/>
      </w:pPr>
      <w:r>
        <w:t xml:space="preserve">[Footnote 3] </w:t>
      </w:r>
      <w:r>
        <w:rPr>
          <w:vertAlign w:val="superscript"/>
        </w:rPr>
        <w:t xml:space="preserve"> </w:t>
      </w:r>
      <w:r>
        <w:t xml:space="preserve">Even if </w:t>
      </w:r>
      <w:r w:rsidRPr="00C90419">
        <w:t xml:space="preserve">we infer that Greer's </w:t>
      </w:r>
      <w:r>
        <w:t>‘</w:t>
      </w:r>
      <w:r w:rsidRPr="00C90419">
        <w:t>disability</w:t>
      </w:r>
      <w:r>
        <w:t xml:space="preserve">’ </w:t>
      </w:r>
      <w:r w:rsidRPr="00C90419">
        <w:t xml:space="preserve">was a perceived substance-use impairment, the Rehabilitation Act expressly states that </w:t>
      </w:r>
      <w:r>
        <w:t>‘</w:t>
      </w:r>
      <w:r w:rsidRPr="00C90419">
        <w:t>the term 'individual with a disability' does not include an individual who is currently engaging in the illegal use of drugs, when a covered entity acts on the basis of such use.</w:t>
      </w:r>
      <w:r>
        <w:t xml:space="preserve">’ </w:t>
      </w:r>
      <w:r w:rsidRPr="00C90419">
        <w:t>29 U.S.C. § 705(20)(C)(</w:t>
      </w:r>
      <w:proofErr w:type="spellStart"/>
      <w:r w:rsidRPr="00C90419">
        <w:t>i</w:t>
      </w:r>
      <w:proofErr w:type="spellEnd"/>
      <w:r w:rsidRPr="00C90419">
        <w:t>).</w:t>
      </w:r>
      <w:r>
        <w:t>”</w:t>
      </w:r>
    </w:p>
    <w:p w14:paraId="59987541" w14:textId="77777777" w:rsidR="00C37020" w:rsidRDefault="00C37020" w:rsidP="00C37020">
      <w:pPr>
        <w:pStyle w:val="NoSpacing"/>
      </w:pPr>
    </w:p>
    <w:p w14:paraId="48D72437" w14:textId="77777777" w:rsidR="00C37020" w:rsidRPr="00D266A9" w:rsidRDefault="00C37020" w:rsidP="00C37020">
      <w:pPr>
        <w:pStyle w:val="NoSpacing"/>
        <w:rPr>
          <w:b/>
          <w:bCs/>
        </w:rPr>
      </w:pPr>
      <w:r w:rsidRPr="00D266A9">
        <w:rPr>
          <w:b/>
        </w:rPr>
        <w:t xml:space="preserve">Legal lesson learned: </w:t>
      </w:r>
      <w:r>
        <w:rPr>
          <w:b/>
        </w:rPr>
        <w:t xml:space="preserve">Current users of illegal drugs are not “individuals with a disability.” </w:t>
      </w:r>
    </w:p>
    <w:p w14:paraId="00953783" w14:textId="77777777" w:rsidR="00C37020" w:rsidRPr="00D266A9" w:rsidRDefault="00C37020" w:rsidP="00C37020">
      <w:pPr>
        <w:pStyle w:val="NoSpacing"/>
        <w:rPr>
          <w:b/>
          <w:bCs/>
        </w:rPr>
      </w:pPr>
    </w:p>
    <w:p w14:paraId="777F54C8" w14:textId="77777777" w:rsidR="00C37020" w:rsidRDefault="00C37020" w:rsidP="00C37020">
      <w:pPr>
        <w:pStyle w:val="NoSpacing"/>
        <w:rPr>
          <w:b/>
          <w:sz w:val="20"/>
          <w:szCs w:val="20"/>
        </w:rPr>
      </w:pPr>
    </w:p>
    <w:p w14:paraId="6AE485B3" w14:textId="77777777" w:rsidR="00C37020" w:rsidRDefault="00C37020" w:rsidP="00C37020">
      <w:pPr>
        <w:pStyle w:val="NoSpacing"/>
        <w:rPr>
          <w:b/>
          <w:sz w:val="20"/>
          <w:szCs w:val="20"/>
        </w:rPr>
      </w:pPr>
    </w:p>
    <w:p w14:paraId="5BEA11F2" w14:textId="77777777" w:rsidR="00C37020" w:rsidRDefault="00C37020" w:rsidP="00C37020">
      <w:pPr>
        <w:pStyle w:val="NoSpacing"/>
        <w:rPr>
          <w:b/>
          <w:sz w:val="20"/>
          <w:szCs w:val="20"/>
        </w:rPr>
      </w:pPr>
    </w:p>
    <w:p w14:paraId="3DBF5CBD" w14:textId="77777777" w:rsidR="00C37020" w:rsidRDefault="00C37020" w:rsidP="00C37020">
      <w:pPr>
        <w:pStyle w:val="NoSpacing"/>
        <w:rPr>
          <w:b/>
          <w:sz w:val="20"/>
          <w:szCs w:val="20"/>
        </w:rPr>
      </w:pPr>
    </w:p>
    <w:p w14:paraId="715580BF" w14:textId="77777777" w:rsidR="00C37020" w:rsidRDefault="00C37020" w:rsidP="00C37020">
      <w:pPr>
        <w:pStyle w:val="NoSpacing"/>
        <w:rPr>
          <w:b/>
          <w:sz w:val="20"/>
          <w:szCs w:val="20"/>
        </w:rPr>
      </w:pPr>
    </w:p>
    <w:p w14:paraId="3DEEAA1C" w14:textId="43BF6BD7" w:rsidR="00C37020" w:rsidRDefault="00C37020" w:rsidP="00C37020">
      <w:pPr>
        <w:pStyle w:val="NoSpacing"/>
        <w:rPr>
          <w:rFonts w:ascii="Arial Black" w:hAnsi="Arial Black"/>
          <w:b/>
          <w:sz w:val="28"/>
          <w:szCs w:val="28"/>
        </w:rPr>
      </w:pPr>
      <w:r>
        <w:rPr>
          <w:rFonts w:ascii="Arial Black" w:hAnsi="Arial Black"/>
          <w:b/>
          <w:sz w:val="28"/>
          <w:szCs w:val="28"/>
        </w:rPr>
        <w:t>12-39</w:t>
      </w:r>
    </w:p>
    <w:p w14:paraId="042F3C47" w14:textId="77777777" w:rsidR="00C37020" w:rsidRDefault="00C37020" w:rsidP="00C37020">
      <w:pPr>
        <w:pStyle w:val="NoSpacing"/>
        <w:rPr>
          <w:rFonts w:ascii="Arial Black" w:hAnsi="Arial Black"/>
          <w:b/>
          <w:sz w:val="28"/>
          <w:szCs w:val="28"/>
        </w:rPr>
      </w:pPr>
    </w:p>
    <w:p w14:paraId="0800C5C6" w14:textId="77777777" w:rsidR="00C37020" w:rsidRPr="00FD6FBD" w:rsidRDefault="00C37020" w:rsidP="00C37020">
      <w:pPr>
        <w:pStyle w:val="NoSpacing"/>
        <w:rPr>
          <w:rFonts w:ascii="Arial Black" w:hAnsi="Arial Black"/>
          <w:b/>
          <w:sz w:val="28"/>
          <w:szCs w:val="28"/>
        </w:rPr>
      </w:pPr>
      <w:r>
        <w:rPr>
          <w:rFonts w:ascii="Arial Black" w:hAnsi="Arial Black"/>
          <w:b/>
          <w:sz w:val="28"/>
          <w:szCs w:val="28"/>
        </w:rPr>
        <w:t xml:space="preserve">NJ: OFF-DUTY MJ USE – PD – LAWFUL 2021 STATUTE </w:t>
      </w:r>
    </w:p>
    <w:p w14:paraId="20AFE8FD" w14:textId="77777777" w:rsidR="00C37020" w:rsidRDefault="00C37020" w:rsidP="00C37020">
      <w:pPr>
        <w:pStyle w:val="NoSpacing"/>
      </w:pPr>
    </w:p>
    <w:p w14:paraId="178A0442" w14:textId="77777777" w:rsidR="00C37020" w:rsidRDefault="00C37020" w:rsidP="00C37020">
      <w:pPr>
        <w:pStyle w:val="NoSpacing"/>
      </w:pPr>
      <w:r>
        <w:t xml:space="preserve">On May 1, 2026, in two combined cases – </w:t>
      </w:r>
      <w:r w:rsidRPr="003A18C8">
        <w:rPr>
          <w:u w:val="single"/>
        </w:rPr>
        <w:t xml:space="preserve">In </w:t>
      </w:r>
      <w:proofErr w:type="gramStart"/>
      <w:r w:rsidRPr="003A18C8">
        <w:rPr>
          <w:u w:val="single"/>
        </w:rPr>
        <w:t>The</w:t>
      </w:r>
      <w:proofErr w:type="gramEnd"/>
      <w:r w:rsidRPr="003A18C8">
        <w:rPr>
          <w:u w:val="single"/>
        </w:rPr>
        <w:t xml:space="preserve"> Matter </w:t>
      </w:r>
      <w:proofErr w:type="gramStart"/>
      <w:r w:rsidRPr="003A18C8">
        <w:rPr>
          <w:u w:val="single"/>
        </w:rPr>
        <w:t>Of</w:t>
      </w:r>
      <w:proofErr w:type="gramEnd"/>
      <w:r w:rsidRPr="003A18C8">
        <w:rPr>
          <w:u w:val="single"/>
        </w:rPr>
        <w:t xml:space="preserve"> Norman Mansor, Jersey City Police Department</w:t>
      </w:r>
      <w:r>
        <w:t xml:space="preserve">; and </w:t>
      </w:r>
      <w:r w:rsidRPr="003A18C8">
        <w:rPr>
          <w:u w:val="single"/>
        </w:rPr>
        <w:t xml:space="preserve">In </w:t>
      </w:r>
      <w:proofErr w:type="gramStart"/>
      <w:r w:rsidRPr="003A18C8">
        <w:rPr>
          <w:u w:val="single"/>
        </w:rPr>
        <w:t>The</w:t>
      </w:r>
      <w:proofErr w:type="gramEnd"/>
      <w:r w:rsidRPr="003A18C8">
        <w:rPr>
          <w:u w:val="single"/>
        </w:rPr>
        <w:t xml:space="preserve"> Matter </w:t>
      </w:r>
      <w:proofErr w:type="gramStart"/>
      <w:r w:rsidRPr="003A18C8">
        <w:rPr>
          <w:u w:val="single"/>
        </w:rPr>
        <w:t>Of</w:t>
      </w:r>
      <w:proofErr w:type="gramEnd"/>
      <w:r w:rsidRPr="003A18C8">
        <w:rPr>
          <w:u w:val="single"/>
        </w:rPr>
        <w:t xml:space="preserve"> Omar Polanco, Jersey City Police Department</w:t>
      </w:r>
      <w:r>
        <w:t xml:space="preserve"> – the Superior Court of New Jersey, Appellate Division, held (3 to 0) that the Civil Service Commission properly upheld the decision of two Administrative Law Judges reinstating the police officers (including back pay and reasonable attorney fees).  [See note below - Maryland has now enacted a similar law, effective October 1, 2026].  </w:t>
      </w:r>
      <w:hyperlink r:id="rId1928" w:history="1">
        <w:r w:rsidRPr="00841548">
          <w:rPr>
            <w:rStyle w:val="Hyperlink"/>
          </w:rPr>
          <w:t>https://www.njcourts.gov/system/files/court-opinions/2026/a3876-23a3886-23.pdf</w:t>
        </w:r>
      </w:hyperlink>
      <w:r>
        <w:t xml:space="preserve"> </w:t>
      </w:r>
    </w:p>
    <w:p w14:paraId="24D2235B" w14:textId="77777777" w:rsidR="00C37020" w:rsidRDefault="00C37020" w:rsidP="00C37020">
      <w:pPr>
        <w:pStyle w:val="NoSpacing"/>
      </w:pPr>
    </w:p>
    <w:p w14:paraId="2CA3298F" w14:textId="77777777" w:rsidR="00C37020" w:rsidRDefault="00C37020" w:rsidP="00C37020">
      <w:pPr>
        <w:pStyle w:val="NoSpacing"/>
      </w:pPr>
      <w:r>
        <w:t xml:space="preserve">THE COURT WROTE: </w:t>
      </w:r>
    </w:p>
    <w:p w14:paraId="0A7E2214" w14:textId="77777777" w:rsidR="00C37020" w:rsidRDefault="00C37020" w:rsidP="00C37020">
      <w:pPr>
        <w:pStyle w:val="NoSpacing"/>
      </w:pPr>
    </w:p>
    <w:p w14:paraId="23EE058D" w14:textId="77777777" w:rsidR="00C37020" w:rsidRDefault="00C37020" w:rsidP="00C37020">
      <w:pPr>
        <w:pStyle w:val="NoSpacing"/>
      </w:pPr>
      <w:r>
        <w:t>“In her decision, the ALJ summarized the facts that led to the charges against Mansour. The ALJ also recognized, ‘In April 2022, [the] JCPD Police Director and Deputy Chief issued an order stating that officers were prohibited from using cannabis on or off duty as it is illegal under federal law for cannabis users to possess, carry or use firearms.’ The ALJ further observed when</w:t>
      </w:r>
    </w:p>
    <w:p w14:paraId="7D57B31B" w14:textId="77777777" w:rsidR="00C37020" w:rsidRDefault="00C37020" w:rsidP="00C37020">
      <w:pPr>
        <w:pStyle w:val="NoSpacing"/>
      </w:pPr>
      <w:r>
        <w:t>Mansour was tested ‘[</w:t>
      </w:r>
      <w:proofErr w:type="spellStart"/>
      <w:r>
        <w:t>i</w:t>
      </w:r>
      <w:proofErr w:type="spellEnd"/>
      <w:r>
        <w:t xml:space="preserve">]n September 2022[,] regulated marijuana, cannabis was legal in New Jersey and available for purchase from in[-]state cannabis dispensaries.’ She further noted the JCPD did not allege Mansour used cannabis or was impaired while on </w:t>
      </w:r>
      <w:proofErr w:type="gramStart"/>
      <w:r>
        <w:t>duty, or</w:t>
      </w:r>
      <w:proofErr w:type="gramEnd"/>
      <w:r>
        <w:t xml:space="preserve"> used unregulated cannabis…. The ALJ recognized in August 2021, prior to Mansour's random drug screening, ‘N.J.S.A. 24:6I-52 became operative’ and states, in relevant part:</w:t>
      </w:r>
    </w:p>
    <w:p w14:paraId="287F1E8D" w14:textId="77777777" w:rsidR="00C37020" w:rsidRDefault="00C37020" w:rsidP="00C37020">
      <w:pPr>
        <w:pStyle w:val="NoSpacing"/>
        <w:ind w:left="720"/>
      </w:pPr>
    </w:p>
    <w:p w14:paraId="2FC3D7EC" w14:textId="77777777" w:rsidR="00C37020" w:rsidRDefault="00C37020" w:rsidP="00C37020">
      <w:pPr>
        <w:pStyle w:val="NoSpacing"/>
        <w:ind w:left="720"/>
      </w:pPr>
      <w:r>
        <w:t>No employer shall refuse to hire or employ any person</w:t>
      </w:r>
    </w:p>
    <w:p w14:paraId="073F4444" w14:textId="77777777" w:rsidR="00C37020" w:rsidRDefault="00C37020" w:rsidP="00C37020">
      <w:pPr>
        <w:pStyle w:val="NoSpacing"/>
        <w:ind w:firstLine="720"/>
      </w:pPr>
      <w:r>
        <w:lastRenderedPageBreak/>
        <w:t>or shall discharge from employment or take any adverse</w:t>
      </w:r>
    </w:p>
    <w:p w14:paraId="212A9BC7" w14:textId="77777777" w:rsidR="00C37020" w:rsidRDefault="00C37020" w:rsidP="00C37020">
      <w:pPr>
        <w:pStyle w:val="NoSpacing"/>
        <w:ind w:firstLine="720"/>
      </w:pPr>
      <w:r>
        <w:t>action against any employee with respect to</w:t>
      </w:r>
    </w:p>
    <w:p w14:paraId="7AA6E82C" w14:textId="77777777" w:rsidR="00C37020" w:rsidRDefault="00C37020" w:rsidP="00C37020">
      <w:pPr>
        <w:pStyle w:val="NoSpacing"/>
        <w:ind w:firstLine="720"/>
      </w:pPr>
      <w:r>
        <w:t>compensation, terms, conditions, or other privileges of</w:t>
      </w:r>
    </w:p>
    <w:p w14:paraId="7025D9BE" w14:textId="77777777" w:rsidR="00C37020" w:rsidRDefault="00C37020" w:rsidP="00C37020">
      <w:pPr>
        <w:pStyle w:val="NoSpacing"/>
        <w:ind w:firstLine="720"/>
      </w:pPr>
      <w:r>
        <w:t>employment because that person does or does not</w:t>
      </w:r>
    </w:p>
    <w:p w14:paraId="771F2E4E" w14:textId="77777777" w:rsidR="00C37020" w:rsidRDefault="00C37020" w:rsidP="00C37020">
      <w:pPr>
        <w:pStyle w:val="NoSpacing"/>
        <w:ind w:firstLine="720"/>
      </w:pPr>
      <w:r>
        <w:t>smoke, . . . or otherwise use cannabis items, and an</w:t>
      </w:r>
    </w:p>
    <w:p w14:paraId="02404FEA" w14:textId="77777777" w:rsidR="00C37020" w:rsidRDefault="00C37020" w:rsidP="00C37020">
      <w:pPr>
        <w:pStyle w:val="NoSpacing"/>
        <w:ind w:firstLine="720"/>
      </w:pPr>
      <w:r>
        <w:t>employee shall not be subject to any adverse action by</w:t>
      </w:r>
    </w:p>
    <w:p w14:paraId="784674EF" w14:textId="77777777" w:rsidR="00C37020" w:rsidRDefault="00C37020" w:rsidP="00C37020">
      <w:pPr>
        <w:pStyle w:val="NoSpacing"/>
        <w:ind w:firstLine="720"/>
      </w:pPr>
      <w:r>
        <w:t>an employer solely due to the presence of cannabinoid</w:t>
      </w:r>
    </w:p>
    <w:p w14:paraId="4200E61E" w14:textId="77777777" w:rsidR="00C37020" w:rsidRDefault="00C37020" w:rsidP="00C37020">
      <w:pPr>
        <w:pStyle w:val="NoSpacing"/>
        <w:ind w:firstLine="720"/>
      </w:pPr>
      <w:r>
        <w:t>metabolites in the employee's bodily fluid from</w:t>
      </w:r>
    </w:p>
    <w:p w14:paraId="3788F008" w14:textId="77777777" w:rsidR="00C37020" w:rsidRDefault="00C37020" w:rsidP="00C37020">
      <w:pPr>
        <w:pStyle w:val="NoSpacing"/>
        <w:ind w:firstLine="720"/>
      </w:pPr>
      <w:r>
        <w:t>engaging in conduct permitted under [CREAMMA].</w:t>
      </w:r>
    </w:p>
    <w:p w14:paraId="1B6D224C" w14:textId="77777777" w:rsidR="00C37020" w:rsidRDefault="00C37020" w:rsidP="00C37020">
      <w:pPr>
        <w:pStyle w:val="NoSpacing"/>
      </w:pPr>
      <w:r>
        <w:t>***</w:t>
      </w:r>
    </w:p>
    <w:p w14:paraId="44C98AB6" w14:textId="77777777" w:rsidR="00C37020" w:rsidRDefault="00C37020" w:rsidP="00C37020">
      <w:pPr>
        <w:pStyle w:val="NoSpacing"/>
      </w:pPr>
      <w:r w:rsidRPr="00C04A88">
        <w:t xml:space="preserve">In summary, we conclude the JCPD may comply with both the GCA </w:t>
      </w:r>
      <w:r>
        <w:t>[</w:t>
      </w:r>
      <w:r w:rsidRPr="00496437">
        <w:t>federal Gun Control Act (GCA), 18 U.S.C. §§ 921-934</w:t>
      </w:r>
      <w:r>
        <w:t xml:space="preserve">] </w:t>
      </w:r>
      <w:r w:rsidRPr="00C04A88">
        <w:t>and</w:t>
      </w:r>
      <w:r>
        <w:t xml:space="preserve"> </w:t>
      </w:r>
      <w:r w:rsidRPr="00C04A88">
        <w:t>CREAMMA</w:t>
      </w:r>
      <w:r>
        <w:t xml:space="preserve"> [PA Cannabis Regulatory, Enforcement Assistance, and Marketplace Modernization Act, N.J.S.A. 24:6I-31 to -56.] </w:t>
      </w:r>
      <w:r w:rsidRPr="00C04A88">
        <w:t xml:space="preserve"> Because the GCA does not preempt CREAMMA, we discern no</w:t>
      </w:r>
      <w:r>
        <w:t xml:space="preserve"> </w:t>
      </w:r>
      <w:r w:rsidRPr="00C04A88">
        <w:t>error in the CSC's decision that Mansour's and Polanco's use of regulated</w:t>
      </w:r>
      <w:r>
        <w:t xml:space="preserve"> </w:t>
      </w:r>
      <w:r w:rsidRPr="00C04A88">
        <w:t>cannabis, off duty, could not sustain the JCPD's removal decisions. We</w:t>
      </w:r>
      <w:r>
        <w:t xml:space="preserve"> </w:t>
      </w:r>
      <w:r w:rsidRPr="00C04A88">
        <w:t xml:space="preserve">therefore affirm the CSC's July 24, </w:t>
      </w:r>
      <w:proofErr w:type="gramStart"/>
      <w:r w:rsidRPr="00C04A88">
        <w:t>2024</w:t>
      </w:r>
      <w:proofErr w:type="gramEnd"/>
      <w:r w:rsidRPr="00C04A88">
        <w:t xml:space="preserve"> decisions in both matters.</w:t>
      </w:r>
      <w:r>
        <w:t>”</w:t>
      </w:r>
    </w:p>
    <w:p w14:paraId="02DB3E70" w14:textId="77777777" w:rsidR="00C37020" w:rsidRDefault="00C37020" w:rsidP="00C37020">
      <w:pPr>
        <w:pStyle w:val="NoSpacing"/>
      </w:pPr>
    </w:p>
    <w:p w14:paraId="2FF70BC1" w14:textId="77777777" w:rsidR="00C37020" w:rsidRDefault="00C37020" w:rsidP="00C37020">
      <w:pPr>
        <w:pStyle w:val="NoSpacing"/>
        <w:rPr>
          <w:b/>
          <w:bCs/>
        </w:rPr>
      </w:pPr>
      <w:r>
        <w:rPr>
          <w:b/>
        </w:rPr>
        <w:t xml:space="preserve">Legal lesson learned:  Fire &amp; EMS departments, in states where marijuana may be purchased lawfully, should carefully review </w:t>
      </w:r>
      <w:proofErr w:type="gramStart"/>
      <w:r>
        <w:rPr>
          <w:b/>
        </w:rPr>
        <w:t>there</w:t>
      </w:r>
      <w:proofErr w:type="gramEnd"/>
      <w:r>
        <w:rPr>
          <w:b/>
        </w:rPr>
        <w:t xml:space="preserve"> policy; in states </w:t>
      </w:r>
      <w:proofErr w:type="spellStart"/>
      <w:r>
        <w:rPr>
          <w:b/>
        </w:rPr>
        <w:t>kike</w:t>
      </w:r>
      <w:proofErr w:type="spellEnd"/>
      <w:r>
        <w:rPr>
          <w:b/>
        </w:rPr>
        <w:t xml:space="preserve"> New Jersey where legislature has enacted a statute prohibiting employer discipline, the policy may need to be modified. </w:t>
      </w:r>
    </w:p>
    <w:p w14:paraId="338AC661" w14:textId="77777777" w:rsidR="00C37020" w:rsidRDefault="00C37020" w:rsidP="00C37020">
      <w:pPr>
        <w:pStyle w:val="NoSpacing"/>
        <w:rPr>
          <w:b/>
          <w:bCs/>
        </w:rPr>
      </w:pPr>
    </w:p>
    <w:p w14:paraId="6DE94ADB" w14:textId="77777777" w:rsidR="00C37020" w:rsidRPr="003D4E4A" w:rsidRDefault="00C37020" w:rsidP="00C37020">
      <w:pPr>
        <w:pStyle w:val="NoSpacing"/>
        <w:ind w:left="720"/>
      </w:pPr>
      <w:r w:rsidRPr="003D4E4A">
        <w:t xml:space="preserve">Note: See the new Maryland statute for public safety employees, effective Oct. 1, 2026. </w:t>
      </w:r>
    </w:p>
    <w:p w14:paraId="29E9A8AC" w14:textId="77777777" w:rsidR="00C37020" w:rsidRPr="00556B50" w:rsidRDefault="00C37020" w:rsidP="00C37020">
      <w:pPr>
        <w:ind w:firstLine="720"/>
      </w:pPr>
      <w:hyperlink r:id="rId1929" w:history="1">
        <w:r w:rsidRPr="00556B50">
          <w:rPr>
            <w:rStyle w:val="Hyperlink"/>
          </w:rPr>
          <w:t>https://mgaleg.maryland.gov/mgawebsite/Legislation/Details/sb0439/?ys=2026rs</w:t>
        </w:r>
      </w:hyperlink>
    </w:p>
    <w:p w14:paraId="03F8A4BB" w14:textId="77777777" w:rsidR="00C37020" w:rsidRPr="00392CD0" w:rsidRDefault="00C37020" w:rsidP="00C37020">
      <w:pPr>
        <w:pStyle w:val="NoSpacing"/>
        <w:ind w:left="720"/>
        <w:rPr>
          <w:b/>
          <w:bCs/>
        </w:rPr>
      </w:pPr>
      <w:r>
        <w:t xml:space="preserve">Here are some key provisions of the bill: </w:t>
      </w:r>
      <w:hyperlink r:id="rId1930" w:history="1">
        <w:r w:rsidRPr="00841548">
          <w:rPr>
            <w:rStyle w:val="Hyperlink"/>
            <w:b/>
          </w:rPr>
          <w:t>https://mgaleg.maryland.gov/2026RS/bills/sb/sb0439T.pdf</w:t>
        </w:r>
      </w:hyperlink>
      <w:r>
        <w:rPr>
          <w:b/>
        </w:rPr>
        <w:t xml:space="preserve"> </w:t>
      </w:r>
    </w:p>
    <w:p w14:paraId="74D45007" w14:textId="77777777" w:rsidR="00C37020" w:rsidRDefault="00C37020" w:rsidP="00C37020">
      <w:pPr>
        <w:pStyle w:val="NoSpacing"/>
        <w:rPr>
          <w:b/>
        </w:rPr>
      </w:pPr>
    </w:p>
    <w:p w14:paraId="100F224B" w14:textId="77777777" w:rsidR="00C37020" w:rsidRPr="00FB438A" w:rsidRDefault="00C37020" w:rsidP="00C37020">
      <w:pPr>
        <w:pStyle w:val="NoSpacing"/>
        <w:ind w:left="720"/>
        <w:rPr>
          <w:b/>
          <w:bCs/>
        </w:rPr>
      </w:pPr>
      <w:r>
        <w:t xml:space="preserve">See this YouTube video with fire union members celebrating passage of the law. </w:t>
      </w:r>
      <w:hyperlink r:id="rId1931" w:history="1">
        <w:r w:rsidRPr="00841548">
          <w:rPr>
            <w:rStyle w:val="Hyperlink"/>
          </w:rPr>
          <w:t>https://www.facebook.com/watch/?v=2023629185244531</w:t>
        </w:r>
      </w:hyperlink>
    </w:p>
    <w:p w14:paraId="2FA35391" w14:textId="77777777" w:rsidR="00C37020" w:rsidRPr="00C04A88" w:rsidRDefault="00C37020" w:rsidP="00C37020">
      <w:pPr>
        <w:pStyle w:val="NoSpacing"/>
      </w:pPr>
    </w:p>
    <w:p w14:paraId="517D4831" w14:textId="77777777" w:rsidR="0062797C" w:rsidRDefault="0062797C" w:rsidP="00986B93">
      <w:pPr>
        <w:rPr>
          <w:rFonts w:ascii="Arial Black" w:hAnsi="Arial Black"/>
          <w:b/>
          <w:sz w:val="28"/>
          <w:szCs w:val="28"/>
        </w:rPr>
      </w:pPr>
    </w:p>
    <w:p w14:paraId="25A52A75" w14:textId="77777777" w:rsidR="0062797C" w:rsidRDefault="0062797C" w:rsidP="00986B93">
      <w:pPr>
        <w:rPr>
          <w:rFonts w:ascii="Arial Black" w:hAnsi="Arial Black"/>
          <w:b/>
          <w:sz w:val="28"/>
          <w:szCs w:val="28"/>
        </w:rPr>
      </w:pPr>
    </w:p>
    <w:p w14:paraId="49A51511" w14:textId="77777777" w:rsidR="0062797C" w:rsidRDefault="0062797C" w:rsidP="00986B93">
      <w:pPr>
        <w:rPr>
          <w:rFonts w:ascii="Arial Black" w:hAnsi="Arial Black"/>
          <w:b/>
          <w:sz w:val="28"/>
          <w:szCs w:val="28"/>
        </w:rPr>
      </w:pPr>
    </w:p>
    <w:p w14:paraId="5E682FA1" w14:textId="4C5A9223" w:rsidR="00E147E0" w:rsidRDefault="00E147E0" w:rsidP="00986B93">
      <w:pPr>
        <w:rPr>
          <w:rFonts w:ascii="Arial Black" w:hAnsi="Arial Black"/>
          <w:b/>
          <w:sz w:val="28"/>
          <w:szCs w:val="28"/>
        </w:rPr>
      </w:pPr>
      <w:r>
        <w:rPr>
          <w:rFonts w:ascii="Arial Black" w:hAnsi="Arial Black"/>
          <w:b/>
          <w:sz w:val="28"/>
          <w:szCs w:val="28"/>
        </w:rPr>
        <w:t>12-38</w:t>
      </w:r>
    </w:p>
    <w:p w14:paraId="5E348CFC" w14:textId="3BF5C3E0" w:rsidR="00986B93" w:rsidRPr="00D52490" w:rsidRDefault="00986B93" w:rsidP="00986B93">
      <w:pPr>
        <w:rPr>
          <w:rFonts w:ascii="Arial Black" w:hAnsi="Arial Black"/>
          <w:b/>
          <w:sz w:val="28"/>
          <w:szCs w:val="28"/>
        </w:rPr>
      </w:pPr>
      <w:r>
        <w:rPr>
          <w:rFonts w:ascii="Arial Black" w:hAnsi="Arial Black"/>
          <w:b/>
          <w:sz w:val="28"/>
          <w:szCs w:val="28"/>
        </w:rPr>
        <w:t>U.S. SUP. CT. – MARIJUANA LEGAL 40 STATES – OWN GUN</w:t>
      </w:r>
    </w:p>
    <w:p w14:paraId="2111969C" w14:textId="77777777" w:rsidR="00986B93" w:rsidRDefault="00986B93" w:rsidP="00986B93">
      <w:pPr>
        <w:pStyle w:val="NoSpacing"/>
      </w:pPr>
      <w:r>
        <w:t xml:space="preserve">On June 18, 2026, in </w:t>
      </w:r>
      <w:r w:rsidRPr="00270B86">
        <w:rPr>
          <w:u w:val="single"/>
        </w:rPr>
        <w:t>United States v. Ali Hemani</w:t>
      </w:r>
      <w:r>
        <w:t>, the United States Supreme Court held (9 to 0) that federal law banning possession of a firearm for someone who regularly smokes marijuana is violation of Second Amendment; recognizing that millions of Americans now regularly use marijuana. The opinion by Justice Neil, the Court held unconstitutional a provision in the federal Gun Control Act, §922(g)(3): anyone who is an “unlawful user of ” or “addicted to” a “controlled substance” is automatically banned from possessing a gun. In future litigation, this case may impact Fire Departments that seek to prohibit (rather than impose restrictions) the use of proscribed marijuana. The Court wrote: “Whatever one thinks of these developments, the federal government has not just tolerated them; it helped fuel them. All of which leaves it awkwardly positioned to suggest that the millions of Americans who now regularly use marijuana are categorically and unusually dangerous.”</w:t>
      </w:r>
    </w:p>
    <w:p w14:paraId="3ACBAA33" w14:textId="77777777" w:rsidR="00986B93" w:rsidRPr="00270B86" w:rsidRDefault="00986B93" w:rsidP="00986B93">
      <w:pPr>
        <w:rPr>
          <w:bCs/>
        </w:rPr>
      </w:pPr>
      <w:r>
        <w:t xml:space="preserve"> </w:t>
      </w:r>
      <w:hyperlink r:id="rId1932" w:history="1">
        <w:r w:rsidRPr="004E2277">
          <w:rPr>
            <w:rStyle w:val="Hyperlink"/>
          </w:rPr>
          <w:t>https://www.supremecourt.gov/opinions/25pdf/24-1234_g2bh.pdf</w:t>
        </w:r>
      </w:hyperlink>
      <w:r>
        <w:t xml:space="preserve"> </w:t>
      </w:r>
    </w:p>
    <w:p w14:paraId="324D43F7" w14:textId="77777777" w:rsidR="00986B93" w:rsidRDefault="00986B93" w:rsidP="00986B93">
      <w:pPr>
        <w:rPr>
          <w:b/>
        </w:rPr>
      </w:pPr>
      <w:r>
        <w:rPr>
          <w:b/>
        </w:rPr>
        <w:t>FACTS:</w:t>
      </w:r>
    </w:p>
    <w:p w14:paraId="5935219D" w14:textId="77777777" w:rsidR="00986B93" w:rsidRDefault="00986B93" w:rsidP="00986B93">
      <w:pPr>
        <w:pStyle w:val="NoSpacing"/>
      </w:pPr>
      <w:r>
        <w:lastRenderedPageBreak/>
        <w:t>“</w:t>
      </w:r>
      <w:r w:rsidRPr="00AF0E8D">
        <w:t>Ali Hemani uses marijuana a few times a week. That fact</w:t>
      </w:r>
      <w:r>
        <w:t xml:space="preserve"> </w:t>
      </w:r>
      <w:r w:rsidRPr="00AF0E8D">
        <w:t>alone, the government says, means he is automatically</w:t>
      </w:r>
      <w:r>
        <w:t xml:space="preserve"> </w:t>
      </w:r>
      <w:r w:rsidRPr="00AF0E8D">
        <w:t>banned from possessing a firearm under federal law. And</w:t>
      </w:r>
      <w:r>
        <w:t xml:space="preserve"> </w:t>
      </w:r>
      <w:r w:rsidRPr="00AF0E8D">
        <w:t>because Mr. Hemani admits he owns a gun despite this ban,</w:t>
      </w:r>
      <w:r>
        <w:t xml:space="preserve"> </w:t>
      </w:r>
      <w:r w:rsidRPr="00AF0E8D">
        <w:t>the government now seeks to prosecute him, imprison him</w:t>
      </w:r>
      <w:r>
        <w:t xml:space="preserve"> </w:t>
      </w:r>
      <w:r w:rsidRPr="00AF0E8D">
        <w:t>for up to 15 years, and disarm him for life. This case poses</w:t>
      </w:r>
      <w:r>
        <w:t xml:space="preserve"> </w:t>
      </w:r>
      <w:r w:rsidRPr="00AF0E8D">
        <w:t>the question whether the government’s prosecution of Mr.</w:t>
      </w:r>
      <w:r>
        <w:t xml:space="preserve"> </w:t>
      </w:r>
      <w:r w:rsidRPr="00AF0E8D">
        <w:t>Hemani is consistent with the Second Amendment.</w:t>
      </w:r>
    </w:p>
    <w:p w14:paraId="6657576E" w14:textId="77777777" w:rsidR="00986B93" w:rsidRDefault="00986B93" w:rsidP="00986B93">
      <w:pPr>
        <w:pStyle w:val="NoSpacing"/>
      </w:pPr>
    </w:p>
    <w:p w14:paraId="3FC1F72B" w14:textId="77777777" w:rsidR="00986B93" w:rsidRDefault="00986B93" w:rsidP="00986B93">
      <w:pPr>
        <w:pStyle w:val="NoSpacing"/>
      </w:pPr>
      <w:r>
        <w:t>***</w:t>
      </w:r>
    </w:p>
    <w:p w14:paraId="0F340F28" w14:textId="77777777" w:rsidR="00986B93" w:rsidRDefault="00986B93" w:rsidP="00986B93">
      <w:pPr>
        <w:pStyle w:val="NoSpacing"/>
      </w:pPr>
      <w:r>
        <w:t xml:space="preserve">Mr. Hemani is a dual citizen of the United States and Pakistan who was born in Texas and has spent most of his life there. In recent years, he has lived in the Dallas area with his parents and worked a stable job. But, suspecting Mr. Hemani and his family members of terrorism-related activities, the government conducted a search </w:t>
      </w:r>
      <w:proofErr w:type="gramStart"/>
      <w:r>
        <w:t>of</w:t>
      </w:r>
      <w:proofErr w:type="gramEnd"/>
      <w:r>
        <w:t xml:space="preserve"> the family home in 2022. Throughout the process, Mr. Hemani proved cooperative. He surrendered a gun he kept in the house and </w:t>
      </w:r>
      <w:proofErr w:type="gramStart"/>
      <w:r>
        <w:t>pointed agents to</w:t>
      </w:r>
      <w:proofErr w:type="gramEnd"/>
      <w:r>
        <w:t xml:space="preserve"> some marijuana on the property. He also consented to an interview, telling law enforcement agents that he used marijuana ‘about every other </w:t>
      </w:r>
      <w:proofErr w:type="gramStart"/>
      <w:r>
        <w:t>day.”’</w:t>
      </w:r>
      <w:proofErr w:type="gramEnd"/>
      <w:r>
        <w:t xml:space="preserve"> …  After the agents found cocaine in his parents’ closet, Mr. Hemani claimed ownership of that as well, though he maintained that his mother had hidden it from him and that he had not used any recently.</w:t>
      </w:r>
    </w:p>
    <w:p w14:paraId="5B361F89" w14:textId="77777777" w:rsidR="00986B93" w:rsidRDefault="00986B93" w:rsidP="00986B93">
      <w:pPr>
        <w:pStyle w:val="NoSpacing"/>
      </w:pPr>
    </w:p>
    <w:p w14:paraId="4664B8D7" w14:textId="77777777" w:rsidR="00986B93" w:rsidRDefault="00986B93" w:rsidP="00986B93">
      <w:pPr>
        <w:pStyle w:val="NoSpacing"/>
      </w:pPr>
      <w:r>
        <w:t xml:space="preserve">More than six months after the search, the government brought a single-charge indictment against Mr. Hemani. The charge had nothing to do with </w:t>
      </w:r>
      <w:proofErr w:type="gramStart"/>
      <w:r>
        <w:t>terrorism—</w:t>
      </w:r>
      <w:proofErr w:type="gramEnd"/>
      <w:r>
        <w:t>the reason for the search in the first place. Nor did the charge involve possession of cocaine, drug trafficking, or anything like that. Instead, relying solely on his admitted use of marijuana about every other day, the government prosecuted Mr. Hemani for knowingly possessing a gun in his home while being an ‘unlawful user’ of a controlled substance…. For that alone, the government claimed, Mr. Hemani</w:t>
      </w:r>
    </w:p>
    <w:p w14:paraId="2113E36E" w14:textId="77777777" w:rsidR="00986B93" w:rsidRDefault="00986B93" w:rsidP="00986B93">
      <w:pPr>
        <w:pStyle w:val="NoSpacing"/>
      </w:pPr>
      <w:r>
        <w:t>faced up to 15 years in prison and disarmament for life.</w:t>
      </w:r>
    </w:p>
    <w:p w14:paraId="1308A5D7" w14:textId="77777777" w:rsidR="00986B93" w:rsidRDefault="00986B93" w:rsidP="00986B93">
      <w:pPr>
        <w:pStyle w:val="NoSpacing"/>
      </w:pPr>
    </w:p>
    <w:p w14:paraId="4DCEE965" w14:textId="77777777" w:rsidR="00986B93" w:rsidRDefault="00986B93" w:rsidP="00986B93">
      <w:pPr>
        <w:pStyle w:val="NoSpacing"/>
      </w:pPr>
      <w:r>
        <w:t>***</w:t>
      </w:r>
    </w:p>
    <w:p w14:paraId="15DC9BB0" w14:textId="77777777" w:rsidR="00986B93" w:rsidRDefault="00986B93" w:rsidP="00986B93">
      <w:pPr>
        <w:pStyle w:val="NoSpacing"/>
      </w:pPr>
      <w:r>
        <w:t>Mr. Hemani moved to dismiss the indictment, arguing that the government’s effort to enforce §922(g)(3) against him violated the Second Amendment. The district court granted the motion and, after an unsuccessful appeal to the Fifth Circuit, the government asked us to review the case. We agreed to do so.</w:t>
      </w:r>
    </w:p>
    <w:p w14:paraId="4B4D7A2A" w14:textId="77777777" w:rsidR="00986B93" w:rsidRDefault="00986B93" w:rsidP="00986B93">
      <w:pPr>
        <w:pStyle w:val="NoSpacing"/>
      </w:pPr>
    </w:p>
    <w:p w14:paraId="7654852E" w14:textId="77777777" w:rsidR="00986B93" w:rsidRDefault="00986B93" w:rsidP="00986B93">
      <w:pPr>
        <w:pStyle w:val="NoSpacing"/>
        <w:rPr>
          <w:b/>
          <w:bCs/>
        </w:rPr>
      </w:pPr>
      <w:r w:rsidRPr="00B1025D">
        <w:rPr>
          <w:b/>
        </w:rPr>
        <w:t xml:space="preserve">COURT HELD: </w:t>
      </w:r>
    </w:p>
    <w:p w14:paraId="23863371" w14:textId="77777777" w:rsidR="00986B93" w:rsidRDefault="00986B93" w:rsidP="00986B93">
      <w:pPr>
        <w:pStyle w:val="NoSpacing"/>
        <w:rPr>
          <w:b/>
          <w:bCs/>
        </w:rPr>
      </w:pPr>
    </w:p>
    <w:p w14:paraId="6E704818" w14:textId="77777777" w:rsidR="00986B93" w:rsidRPr="00CB01DE" w:rsidRDefault="00986B93" w:rsidP="00986B93">
      <w:pPr>
        <w:pStyle w:val="NoSpacing"/>
      </w:pPr>
      <w:r>
        <w:t>“</w:t>
      </w:r>
      <w:r w:rsidRPr="00CB01DE">
        <w:t>The law, says the government, doesn’t</w:t>
      </w:r>
      <w:r>
        <w:t xml:space="preserve"> </w:t>
      </w:r>
      <w:r w:rsidRPr="00CB01DE">
        <w:t>require anything more. It doesn’t matter what controlled</w:t>
      </w:r>
    </w:p>
    <w:p w14:paraId="648ABCF3" w14:textId="77777777" w:rsidR="00986B93" w:rsidRDefault="00986B93" w:rsidP="00986B93">
      <w:pPr>
        <w:pStyle w:val="NoSpacing"/>
      </w:pPr>
      <w:r w:rsidRPr="00CB01DE">
        <w:t>substance an individual uses, in what amounts he does so,</w:t>
      </w:r>
      <w:r>
        <w:t xml:space="preserve"> </w:t>
      </w:r>
      <w:r w:rsidRPr="00CB01DE">
        <w:t>or whether his drug use has ever made him a danger to himself or others. It doesn’t even matter why he keeps a gun or</w:t>
      </w:r>
      <w:r>
        <w:t xml:space="preserve"> </w:t>
      </w:r>
      <w:r w:rsidRPr="00CB01DE">
        <w:t>how safely he does so. And for violating this automatic ban,</w:t>
      </w:r>
      <w:r>
        <w:t xml:space="preserve"> </w:t>
      </w:r>
      <w:r w:rsidRPr="00CB01DE">
        <w:t xml:space="preserve">the government </w:t>
      </w:r>
      <w:proofErr w:type="gramStart"/>
      <w:r w:rsidRPr="00CB01DE">
        <w:t>insists,</w:t>
      </w:r>
      <w:proofErr w:type="gramEnd"/>
      <w:r w:rsidRPr="00CB01DE">
        <w:t xml:space="preserve"> an individual like Mr. Hemani may</w:t>
      </w:r>
      <w:r>
        <w:t xml:space="preserve"> </w:t>
      </w:r>
      <w:r w:rsidRPr="00CB01DE">
        <w:t>be sent to prison for up to 15 years and disarmed for life.</w:t>
      </w:r>
    </w:p>
    <w:p w14:paraId="397F9669" w14:textId="77777777" w:rsidR="00986B93" w:rsidRDefault="00986B93" w:rsidP="00986B93">
      <w:pPr>
        <w:pStyle w:val="NoSpacing"/>
      </w:pPr>
    </w:p>
    <w:p w14:paraId="6EBA15B4" w14:textId="77777777" w:rsidR="00986B93" w:rsidRDefault="00986B93" w:rsidP="00986B93">
      <w:pPr>
        <w:pStyle w:val="NoSpacing"/>
      </w:pPr>
      <w:r>
        <w:t>***</w:t>
      </w:r>
    </w:p>
    <w:p w14:paraId="73DF993E" w14:textId="77777777" w:rsidR="00986B93" w:rsidRDefault="00986B93" w:rsidP="00986B93">
      <w:pPr>
        <w:pStyle w:val="NoSpacing"/>
      </w:pPr>
      <w:r>
        <w:t xml:space="preserve">The second reason has to do with the government’s approach to the drug at issue here. As this case came to us, marijuana was listed on Schedule I—a schedule reserved for drugs with ‘a high potential for abuse’ with ‘no currently accepted medical use.’ 21 U. S. C. §812(b)(1). But after we heard oral argument, the government moved some marijuana products to Schedule III, 91 Fed. Reg. 22714 (2026), a schedule that applies to drugs with a lower potential for dependence and abuse and for which a ‘currently accepted medical use’ exists, §812(b)(3). </w:t>
      </w:r>
    </w:p>
    <w:p w14:paraId="6406CD4B" w14:textId="77777777" w:rsidR="00986B93" w:rsidRDefault="00986B93" w:rsidP="00986B93">
      <w:pPr>
        <w:pStyle w:val="NoSpacing"/>
      </w:pPr>
    </w:p>
    <w:p w14:paraId="73FE9421" w14:textId="77777777" w:rsidR="00986B93" w:rsidRDefault="00986B93" w:rsidP="00986B93">
      <w:pPr>
        <w:pStyle w:val="NoSpacing"/>
      </w:pPr>
      <w:r>
        <w:t>Years before that, too, the Department of Justice issued a memorandum directing federal prosecutors nationwide to curtail their enforcement efforts against marijuana users even while all</w:t>
      </w:r>
    </w:p>
    <w:p w14:paraId="0885A6AF" w14:textId="77777777" w:rsidR="00986B93" w:rsidRDefault="00986B93" w:rsidP="00986B93">
      <w:pPr>
        <w:pStyle w:val="NoSpacing"/>
      </w:pPr>
      <w:proofErr w:type="gramStart"/>
      <w:r>
        <w:t>marijuana</w:t>
      </w:r>
      <w:proofErr w:type="gramEnd"/>
      <w:r>
        <w:t xml:space="preserve"> products remained on Schedule I. Attorney General Memo (Aug. 29, 2013).</w:t>
      </w:r>
    </w:p>
    <w:p w14:paraId="0A58423F" w14:textId="77777777" w:rsidR="00986B93" w:rsidRDefault="00986B93" w:rsidP="00986B93">
      <w:pPr>
        <w:pStyle w:val="NoSpacing"/>
      </w:pPr>
    </w:p>
    <w:p w14:paraId="76F226FA" w14:textId="77777777" w:rsidR="00986B93" w:rsidRDefault="00986B93" w:rsidP="00986B93">
      <w:pPr>
        <w:pStyle w:val="NoSpacing"/>
      </w:pPr>
      <w:r>
        <w:t>Seismic changes followed that memorandum. While marijuana use largely remained unlawful under federal law, the number of federal offenders sentenced for possession of marijuana dwindled. See United States Sentencing Commission, Interactive Data Analyzer. And most States responded by legalizing marijuana use to one degree or another as a matter of state law. See Nat. Conf. of State Legislatures, State Medical Cannabis Laws (June 27, 2025)(‘Forty states, three territories and the District of Columbia’ have legalized some marijuana use). As a result, some</w:t>
      </w:r>
    </w:p>
    <w:p w14:paraId="42CE3896" w14:textId="77777777" w:rsidR="00986B93" w:rsidRDefault="00986B93" w:rsidP="00986B93">
      <w:pPr>
        <w:pStyle w:val="NoSpacing"/>
      </w:pPr>
      <w:r>
        <w:t xml:space="preserve">surveys suggest there now may be more adults in this country who regularly use marijuana than consume alcohol. See, e.g., J. Caulkins, Changes in Self-Reported Cannabis Use in the United States from 1979 to 2022, 119 Addiction 1648 (2024) (finding, for the first time in 2022, more individuals who self-report daily or near-daily marijuana use than alcohol </w:t>
      </w:r>
      <w:r>
        <w:lastRenderedPageBreak/>
        <w:t>use). Whatever one thinks of these developments, the federal government has not just tolerated them; it helped fuel them. All of which leaves it awkwardly positioned to suggest that the millions of Americans who now regularly use marijuana are categorically and unusually dangerous.”</w:t>
      </w:r>
    </w:p>
    <w:p w14:paraId="7C5D9E64" w14:textId="77777777" w:rsidR="00986B93" w:rsidRDefault="00986B93" w:rsidP="00986B93">
      <w:pPr>
        <w:pStyle w:val="NoSpacing"/>
      </w:pPr>
    </w:p>
    <w:p w14:paraId="2E92629B" w14:textId="77777777" w:rsidR="00986B93" w:rsidRPr="00AD5B03" w:rsidRDefault="00986B93" w:rsidP="00986B93">
      <w:pPr>
        <w:pStyle w:val="NoSpacing"/>
        <w:rPr>
          <w:b/>
          <w:bCs/>
        </w:rPr>
      </w:pPr>
      <w:r>
        <w:rPr>
          <w:b/>
        </w:rPr>
        <w:t xml:space="preserve">Legal lesson learned: The unanimous decision may be cited in future litigation against fire departments that prohibit use of proscribed marijuana. </w:t>
      </w:r>
    </w:p>
    <w:p w14:paraId="40DDACF3" w14:textId="77777777" w:rsidR="00986B93" w:rsidRDefault="00986B93" w:rsidP="00986B93">
      <w:pPr>
        <w:pStyle w:val="NoSpacing"/>
        <w:rPr>
          <w:sz w:val="20"/>
          <w:szCs w:val="20"/>
        </w:rPr>
      </w:pPr>
    </w:p>
    <w:p w14:paraId="71A7F468" w14:textId="77777777" w:rsidR="00986B93" w:rsidRDefault="00986B93" w:rsidP="00A13485">
      <w:pPr>
        <w:rPr>
          <w:rFonts w:ascii="Arial Black" w:hAnsi="Arial Black"/>
          <w:b/>
          <w:sz w:val="24"/>
          <w:szCs w:val="24"/>
        </w:rPr>
      </w:pPr>
    </w:p>
    <w:p w14:paraId="775F90C6" w14:textId="77777777" w:rsidR="00986B93" w:rsidRDefault="00986B93" w:rsidP="00A13485">
      <w:pPr>
        <w:rPr>
          <w:rFonts w:ascii="Arial Black" w:hAnsi="Arial Black"/>
          <w:b/>
          <w:sz w:val="24"/>
          <w:szCs w:val="24"/>
        </w:rPr>
      </w:pPr>
    </w:p>
    <w:p w14:paraId="07EB053C" w14:textId="77777777" w:rsidR="00986B93" w:rsidRDefault="00986B93" w:rsidP="00A13485">
      <w:pPr>
        <w:rPr>
          <w:rFonts w:ascii="Arial Black" w:hAnsi="Arial Black"/>
          <w:b/>
          <w:sz w:val="24"/>
          <w:szCs w:val="24"/>
        </w:rPr>
      </w:pPr>
    </w:p>
    <w:p w14:paraId="75398E76" w14:textId="284205F3" w:rsidR="00A13485" w:rsidRDefault="00A13485" w:rsidP="00A13485">
      <w:pPr>
        <w:rPr>
          <w:rFonts w:ascii="Arial Black" w:hAnsi="Arial Black"/>
          <w:b/>
          <w:sz w:val="28"/>
          <w:szCs w:val="28"/>
        </w:rPr>
      </w:pPr>
      <w:r>
        <w:rPr>
          <w:rFonts w:ascii="Arial Black" w:hAnsi="Arial Black"/>
          <w:b/>
          <w:sz w:val="24"/>
          <w:szCs w:val="24"/>
        </w:rPr>
        <w:t>12-37</w:t>
      </w:r>
    </w:p>
    <w:p w14:paraId="7D8E5026" w14:textId="4BF0F025" w:rsidR="00A13485" w:rsidRPr="0086572F" w:rsidRDefault="00A13485" w:rsidP="00A13485">
      <w:pPr>
        <w:pStyle w:val="NoSpacing"/>
        <w:rPr>
          <w:rFonts w:ascii="Arial Black" w:hAnsi="Arial Black"/>
          <w:b/>
          <w:sz w:val="28"/>
          <w:szCs w:val="28"/>
        </w:rPr>
      </w:pPr>
      <w:r>
        <w:rPr>
          <w:rFonts w:ascii="Arial Black" w:hAnsi="Arial Black"/>
          <w:b/>
          <w:sz w:val="28"/>
          <w:szCs w:val="28"/>
        </w:rPr>
        <w:t>LA: CAPT PTSD – 2</w:t>
      </w:r>
      <w:r w:rsidRPr="00DC1547">
        <w:rPr>
          <w:rFonts w:ascii="Arial Black" w:hAnsi="Arial Black"/>
          <w:b/>
          <w:sz w:val="28"/>
          <w:szCs w:val="28"/>
          <w:vertAlign w:val="superscript"/>
        </w:rPr>
        <w:t>nd</w:t>
      </w:r>
      <w:r>
        <w:rPr>
          <w:rFonts w:ascii="Arial Black" w:hAnsi="Arial Black"/>
          <w:b/>
          <w:sz w:val="28"/>
          <w:szCs w:val="28"/>
        </w:rPr>
        <w:t xml:space="preserve"> POSITIVE MJ – TERMINATION UPHELD</w:t>
      </w:r>
    </w:p>
    <w:p w14:paraId="57A5BA10" w14:textId="77777777" w:rsidR="00A13485" w:rsidRDefault="00A13485" w:rsidP="00A13485">
      <w:pPr>
        <w:pStyle w:val="NoSpacing"/>
      </w:pPr>
    </w:p>
    <w:p w14:paraId="0BDFE62F" w14:textId="77777777" w:rsidR="00A13485" w:rsidRDefault="00A13485" w:rsidP="00A13485">
      <w:pPr>
        <w:pStyle w:val="NoSpacing"/>
        <w:rPr>
          <w:b/>
        </w:rPr>
      </w:pPr>
      <w:r>
        <w:t xml:space="preserve">On April 23, 2026, </w:t>
      </w:r>
      <w:r w:rsidRPr="001627E8">
        <w:rPr>
          <w:u w:val="single"/>
        </w:rPr>
        <w:t>In Re Appeal of Todd David</w:t>
      </w:r>
      <w:r>
        <w:t xml:space="preserve">, the </w:t>
      </w:r>
      <w:r w:rsidRPr="004D370E">
        <w:t>Court of Appeals of Louisiana, First Circuit</w:t>
      </w:r>
      <w:r>
        <w:t xml:space="preserve"> held (3 to 0) that the Fire &amp; Police Board had reasonable basis for the termination, and trial court judge improperly reversed the Board.  On September 14, 2022, the firefighter tested positive for marijuana; at the pre-termination hearing he stated that a doctor gave him the marijuana recommendation because he experienced issues during his sleep due to PTSD.  This was his second positive for marijuana; 1999 he testified positive and signed a rehabilitation agreement that under Board’s ordinance, police and firefighters, as ‘safety-sensitive” employees, can only have one positive in their employment.  The City of Baton Rouge has more lenient policy.  </w:t>
      </w:r>
      <w:hyperlink r:id="rId1933" w:history="1">
        <w:r w:rsidRPr="006400E9">
          <w:rPr>
            <w:rStyle w:val="Hyperlink"/>
            <w:b/>
          </w:rPr>
          <w:t>https://cases.justia.com/louisiana/first-circuit-court-of-appeal/2026-2025cw0332.pdf?ts=1776975731</w:t>
        </w:r>
      </w:hyperlink>
      <w:r>
        <w:rPr>
          <w:b/>
        </w:rPr>
        <w:t xml:space="preserve"> </w:t>
      </w:r>
    </w:p>
    <w:p w14:paraId="278E61E8" w14:textId="77777777" w:rsidR="00A13485" w:rsidRDefault="00A13485" w:rsidP="00A13485">
      <w:pPr>
        <w:pStyle w:val="NoSpacing"/>
        <w:rPr>
          <w:b/>
        </w:rPr>
      </w:pPr>
    </w:p>
    <w:p w14:paraId="1C4ECA0A" w14:textId="77777777" w:rsidR="00A13485" w:rsidRPr="004D370E" w:rsidRDefault="00A13485" w:rsidP="00A13485">
      <w:pPr>
        <w:pStyle w:val="NoSpacing"/>
        <w:rPr>
          <w:bCs/>
        </w:rPr>
      </w:pPr>
      <w:r>
        <w:t>THE COURT HELD:</w:t>
      </w:r>
    </w:p>
    <w:p w14:paraId="15A9A36C" w14:textId="77777777" w:rsidR="00A13485" w:rsidRDefault="00A13485" w:rsidP="00A13485">
      <w:pPr>
        <w:pStyle w:val="NoSpacing"/>
      </w:pPr>
    </w:p>
    <w:p w14:paraId="27EF2C25" w14:textId="77777777" w:rsidR="00A13485" w:rsidRDefault="00A13485" w:rsidP="00A13485">
      <w:pPr>
        <w:pStyle w:val="NoSpacing"/>
        <w:ind w:firstLine="720"/>
      </w:pPr>
      <w:r>
        <w:t>“The district court exceeded its authority by reversing the board's decision in this</w:t>
      </w:r>
    </w:p>
    <w:p w14:paraId="1D7D4CFA" w14:textId="77777777" w:rsidR="00A13485" w:rsidRDefault="00A13485" w:rsidP="00A13485">
      <w:pPr>
        <w:pStyle w:val="NoSpacing"/>
        <w:ind w:firstLine="720"/>
      </w:pPr>
      <w:r>
        <w:t>matter…. [T</w:t>
      </w:r>
      <w:proofErr w:type="gramStart"/>
      <w:r>
        <w:t xml:space="preserve">]he </w:t>
      </w:r>
      <w:proofErr w:type="gramEnd"/>
      <w:r>
        <w:t xml:space="preserve">evidence in the administrative record establishes </w:t>
      </w:r>
      <w:proofErr w:type="gramStart"/>
      <w:r>
        <w:t>the reasonableness</w:t>
      </w:r>
      <w:proofErr w:type="gramEnd"/>
    </w:p>
    <w:p w14:paraId="6AFEDBE0" w14:textId="77777777" w:rsidR="00A13485" w:rsidRDefault="00A13485" w:rsidP="00A13485">
      <w:pPr>
        <w:pStyle w:val="NoSpacing"/>
        <w:ind w:firstLine="720"/>
      </w:pPr>
      <w:r>
        <w:t>of the board' s determination. After all, David' s attorney did not dispute that there was a</w:t>
      </w:r>
    </w:p>
    <w:p w14:paraId="4E45FE09" w14:textId="77777777" w:rsidR="00A13485" w:rsidRDefault="00A13485" w:rsidP="00A13485">
      <w:pPr>
        <w:pStyle w:val="NoSpacing"/>
        <w:ind w:firstLine="720"/>
      </w:pPr>
      <w:r>
        <w:t>“</w:t>
      </w:r>
      <w:proofErr w:type="gramStart"/>
      <w:r>
        <w:t>positive</w:t>
      </w:r>
      <w:proofErr w:type="gramEnd"/>
      <w:r>
        <w:t xml:space="preserve"> test" at the hearing. Instead, David argued that he did not know his use of</w:t>
      </w:r>
    </w:p>
    <w:p w14:paraId="6E2F7B34" w14:textId="77777777" w:rsidR="00A13485" w:rsidRDefault="00A13485" w:rsidP="00A13485">
      <w:pPr>
        <w:pStyle w:val="NoSpacing"/>
        <w:ind w:left="720"/>
      </w:pPr>
      <w:proofErr w:type="gramStart"/>
      <w:r>
        <w:t>marijuana</w:t>
      </w:r>
      <w:proofErr w:type="gramEnd"/>
      <w:r>
        <w:t xml:space="preserve"> under these circumstances would jeopardize his employment.</w:t>
      </w:r>
    </w:p>
    <w:p w14:paraId="2E967539" w14:textId="77777777" w:rsidR="00A13485" w:rsidRDefault="00A13485" w:rsidP="00A13485">
      <w:pPr>
        <w:pStyle w:val="NoSpacing"/>
        <w:ind w:left="720"/>
      </w:pPr>
    </w:p>
    <w:p w14:paraId="5D1BE4F2" w14:textId="77777777" w:rsidR="00A13485" w:rsidRDefault="00A13485" w:rsidP="00A13485">
      <w:pPr>
        <w:pStyle w:val="NoSpacing"/>
        <w:ind w:left="720"/>
      </w:pPr>
      <w:r>
        <w:t>***</w:t>
      </w:r>
    </w:p>
    <w:p w14:paraId="122AFE92" w14:textId="77777777" w:rsidR="00A13485" w:rsidRDefault="00A13485" w:rsidP="00A13485">
      <w:pPr>
        <w:pStyle w:val="NoSpacing"/>
        <w:ind w:left="720"/>
      </w:pPr>
      <w:r>
        <w:t>Chief Kimble' s termination letter did not find David's actions were justified, stating:</w:t>
      </w:r>
    </w:p>
    <w:p w14:paraId="1674D4AC" w14:textId="77777777" w:rsidR="00A13485" w:rsidRDefault="00A13485" w:rsidP="00A13485">
      <w:pPr>
        <w:pStyle w:val="NoSpacing"/>
        <w:ind w:left="720"/>
      </w:pPr>
      <w:r>
        <w:t>“</w:t>
      </w:r>
      <w:proofErr w:type="gramStart"/>
      <w:r>
        <w:t>particularly</w:t>
      </w:r>
      <w:proofErr w:type="gramEnd"/>
      <w:r>
        <w:t xml:space="preserve"> since you [ David] previously acknowledged to me [ Chief Kimble] that you</w:t>
      </w:r>
    </w:p>
    <w:p w14:paraId="1B0F95B7" w14:textId="77777777" w:rsidR="00A13485" w:rsidRDefault="00A13485" w:rsidP="00A13485">
      <w:pPr>
        <w:pStyle w:val="NoSpacing"/>
        <w:ind w:left="720"/>
      </w:pPr>
      <w:r>
        <w:t>were aware [ taking] medical marijuana would place me in the difficult position to have</w:t>
      </w:r>
    </w:p>
    <w:p w14:paraId="3FEF4F0B" w14:textId="77777777" w:rsidR="00A13485" w:rsidRDefault="00A13485" w:rsidP="00A13485">
      <w:pPr>
        <w:pStyle w:val="NoSpacing"/>
        <w:ind w:left="720"/>
      </w:pPr>
      <w:r>
        <w:t xml:space="preserve">to make a decision regarding your employment." </w:t>
      </w:r>
    </w:p>
    <w:p w14:paraId="5AB8305C" w14:textId="77777777" w:rsidR="00A13485" w:rsidRDefault="00A13485" w:rsidP="00A13485">
      <w:pPr>
        <w:pStyle w:val="NoSpacing"/>
        <w:ind w:left="720"/>
      </w:pPr>
    </w:p>
    <w:p w14:paraId="672431AE" w14:textId="77777777" w:rsidR="00A13485" w:rsidRDefault="00A13485" w:rsidP="00A13485">
      <w:pPr>
        <w:pStyle w:val="NoSpacing"/>
        <w:ind w:left="720"/>
      </w:pPr>
      <w:r>
        <w:t>***</w:t>
      </w:r>
    </w:p>
    <w:p w14:paraId="7292CE81" w14:textId="77777777" w:rsidR="00A13485" w:rsidRDefault="00A13485" w:rsidP="00A13485">
      <w:pPr>
        <w:pStyle w:val="NoSpacing"/>
        <w:ind w:left="720"/>
      </w:pPr>
      <w:r>
        <w:t>David suggested that it would be unfair to terminate him for violating a rule that he was unable to find-- either on his employer's website, the State Examiner's website, or in the BRFD policy manual. In response, BRFD pointed out that the rehabilitation agreement David signed in 1999 specifically cited the Fire and Police Board' s Drug -Free Ordinance. BRFD also pointed out that its policy manual was implemented in 1997, when there were no valid recommendations for medical marijuana.”</w:t>
      </w:r>
    </w:p>
    <w:p w14:paraId="05091318" w14:textId="77777777" w:rsidR="00A13485" w:rsidRDefault="00A13485" w:rsidP="00A13485">
      <w:pPr>
        <w:pStyle w:val="NoSpacing"/>
        <w:ind w:left="720"/>
      </w:pPr>
    </w:p>
    <w:p w14:paraId="482E264F" w14:textId="77777777" w:rsidR="00A13485" w:rsidRPr="00AC3281" w:rsidRDefault="00A13485" w:rsidP="00A13485">
      <w:pPr>
        <w:pStyle w:val="NoSpacing"/>
        <w:rPr>
          <w:b/>
          <w:bCs/>
        </w:rPr>
      </w:pPr>
      <w:r>
        <w:rPr>
          <w:b/>
        </w:rPr>
        <w:t xml:space="preserve">Legal lesson learned: Fire Boards can implement tougher drug-free policy than city policy; it would also be helpful to update FD policy manual with the policy. </w:t>
      </w:r>
    </w:p>
    <w:p w14:paraId="2D806D15" w14:textId="77777777" w:rsidR="00A13485" w:rsidRDefault="00A13485" w:rsidP="00A13485">
      <w:pPr>
        <w:pStyle w:val="NoSpacing"/>
        <w:rPr>
          <w:bCs/>
        </w:rPr>
      </w:pPr>
    </w:p>
    <w:p w14:paraId="35FD28BA" w14:textId="77777777" w:rsidR="001C5665" w:rsidRDefault="001C5665" w:rsidP="00800ACD">
      <w:pPr>
        <w:rPr>
          <w:rFonts w:ascii="Arial Black" w:hAnsi="Arial Black"/>
          <w:b/>
          <w:sz w:val="24"/>
          <w:szCs w:val="24"/>
        </w:rPr>
      </w:pPr>
    </w:p>
    <w:p w14:paraId="231DD3AF" w14:textId="77777777" w:rsidR="001C5665" w:rsidRDefault="001C5665" w:rsidP="00800ACD">
      <w:pPr>
        <w:rPr>
          <w:rFonts w:ascii="Arial Black" w:hAnsi="Arial Black"/>
          <w:b/>
          <w:sz w:val="24"/>
          <w:szCs w:val="24"/>
        </w:rPr>
      </w:pPr>
    </w:p>
    <w:p w14:paraId="630D72B0" w14:textId="4C1029BB" w:rsidR="006C0A0C" w:rsidRDefault="006C0A0C" w:rsidP="00800ACD">
      <w:pPr>
        <w:rPr>
          <w:rFonts w:ascii="Arial Black" w:hAnsi="Arial Black"/>
          <w:b/>
          <w:sz w:val="24"/>
          <w:szCs w:val="24"/>
        </w:rPr>
      </w:pPr>
      <w:r>
        <w:rPr>
          <w:rFonts w:ascii="Arial Black" w:hAnsi="Arial Black"/>
          <w:b/>
          <w:sz w:val="24"/>
          <w:szCs w:val="24"/>
        </w:rPr>
        <w:t>12-36</w:t>
      </w:r>
    </w:p>
    <w:p w14:paraId="4D4EEE90" w14:textId="77777777" w:rsidR="00B170D7" w:rsidRDefault="00B170D7" w:rsidP="00B170D7">
      <w:pPr>
        <w:pStyle w:val="NoSpacing"/>
        <w:rPr>
          <w:rFonts w:ascii="Arial Black" w:hAnsi="Arial Black"/>
          <w:b/>
          <w:sz w:val="28"/>
          <w:szCs w:val="28"/>
        </w:rPr>
      </w:pPr>
      <w:r>
        <w:rPr>
          <w:rFonts w:ascii="Arial Black" w:hAnsi="Arial Black"/>
          <w:b/>
          <w:sz w:val="28"/>
          <w:szCs w:val="28"/>
        </w:rPr>
        <w:t>FL: DRUG-TEST - FF/EMT TOOK HUSBAND’S DRUG – FIRED</w:t>
      </w:r>
    </w:p>
    <w:p w14:paraId="6822E340" w14:textId="77777777" w:rsidR="00B170D7" w:rsidRDefault="00B170D7" w:rsidP="00B170D7">
      <w:pPr>
        <w:pStyle w:val="NoSpacing"/>
        <w:rPr>
          <w:bCs/>
        </w:rPr>
      </w:pPr>
    </w:p>
    <w:p w14:paraId="1D74FF65" w14:textId="77777777" w:rsidR="00B170D7" w:rsidRDefault="00B170D7" w:rsidP="00B170D7">
      <w:pPr>
        <w:pStyle w:val="NoSpacing"/>
      </w:pPr>
      <w:r w:rsidRPr="00442D02">
        <w:t xml:space="preserve">On March 4, 2026, in </w:t>
      </w:r>
      <w:r w:rsidRPr="00442D02">
        <w:rPr>
          <w:u w:val="single"/>
        </w:rPr>
        <w:t>Dawn Oakley v. Polk County Board of Commissioners</w:t>
      </w:r>
      <w:r>
        <w:rPr>
          <w:b/>
        </w:rPr>
        <w:t xml:space="preserve">,  </w:t>
      </w:r>
      <w:r w:rsidRPr="008864DD">
        <w:t>U.S. District Court Judge</w:t>
      </w:r>
      <w:r>
        <w:t xml:space="preserve"> Virginia M. Hernandez Covington</w:t>
      </w:r>
      <w:r w:rsidRPr="008864DD">
        <w:t>, United States District Court, Middle District of Florida, Tampa Division</w:t>
      </w:r>
      <w:r>
        <w:t xml:space="preserve">, granted the County’s motion for summary judgment. </w:t>
      </w:r>
      <w:r w:rsidRPr="00430AF4">
        <w:t> </w:t>
      </w:r>
      <w:r>
        <w:t>The Court wrote: “</w:t>
      </w:r>
      <w:r w:rsidRPr="00430AF4">
        <w:t xml:space="preserve">Ms. Oakley argues that termination was a draconian punishment for a good employee who made a mistake. The Court tends to agree and has sympathy for Ms. Oakley. But this Court cannot second guess whether the County's decision was </w:t>
      </w:r>
      <w:r>
        <w:t>“</w:t>
      </w:r>
      <w:r w:rsidRPr="00430AF4">
        <w:t>prudent or fair.</w:t>
      </w:r>
      <w:r>
        <w:t xml:space="preserve">”… </w:t>
      </w:r>
      <w:r w:rsidRPr="00E97B54">
        <w:t> This Court does “not sit as a super-personnel department that reexamines an entity's business decisions.</w:t>
      </w:r>
      <w:r>
        <w:t xml:space="preserve">” </w:t>
      </w:r>
      <w:hyperlink r:id="rId1934" w:history="1">
        <w:r w:rsidRPr="00502BCE">
          <w:rPr>
            <w:rStyle w:val="Hyperlink"/>
          </w:rPr>
          <w:t>https://ecf.flmd.uscourts.gov/cgi-bin/show_public_doc?2025-00120-37-8-cv</w:t>
        </w:r>
      </w:hyperlink>
      <w:r>
        <w:t xml:space="preserve"> </w:t>
      </w:r>
    </w:p>
    <w:p w14:paraId="2C7683CF" w14:textId="77777777" w:rsidR="00B170D7" w:rsidRDefault="00B170D7" w:rsidP="00B170D7">
      <w:pPr>
        <w:pStyle w:val="NoSpacing"/>
      </w:pPr>
    </w:p>
    <w:p w14:paraId="59AB65ED" w14:textId="77777777" w:rsidR="00B170D7" w:rsidRDefault="00B170D7" w:rsidP="00B170D7">
      <w:pPr>
        <w:pStyle w:val="NoSpacing"/>
      </w:pPr>
      <w:r>
        <w:t>THE COURT HELD: “</w:t>
      </w:r>
      <w:r w:rsidRPr="002965D8">
        <w:t>On March 28, 2022, Ms. Oakley was selected to undergo a random drug test</w:t>
      </w:r>
      <w:r>
        <w:t xml:space="preserve">…. </w:t>
      </w:r>
      <w:r w:rsidRPr="002965D8">
        <w:t>Before she drove to Bartow where the test would be administered, Ms. Oakley took two pills from her to-go pill bottle that she believed were Tylenol to alleviate her back pain</w:t>
      </w:r>
      <w:r>
        <w:t>….</w:t>
      </w:r>
      <w:r w:rsidRPr="002965D8">
        <w:t>But Ms. Oakley accidentally ingested her husband's Vyvanse, which she mistook for Tylenol</w:t>
      </w:r>
      <w:r>
        <w:t>….</w:t>
      </w:r>
      <w:r w:rsidRPr="002965D8">
        <w:t xml:space="preserve"> The weekend before her drug test, Ms. Oakley put one of her husband's Vyvanse pills in her to-go pill bottle in case they decided to spend the night in Orlando after a concert</w:t>
      </w:r>
      <w:r>
        <w:t xml:space="preserve">…. </w:t>
      </w:r>
      <w:r w:rsidRPr="002965D8">
        <w:t>Ms. Oakley had forgotten about her husband's Vyvanse, failing to remove it from her to-go bottle</w:t>
      </w:r>
      <w:r>
        <w:t xml:space="preserve">…. </w:t>
      </w:r>
      <w:r w:rsidRPr="002965D8">
        <w:t>Ms. Oakley completed a breathalyzer test and provided a urine sample</w:t>
      </w:r>
      <w:r>
        <w:t xml:space="preserve">…. </w:t>
      </w:r>
      <w:r w:rsidRPr="007803F7">
        <w:t>Ms. Oakley admitted to taking 70 milligrams of Vyvanse, and, although she did not feel any effects from the medication, she was still under its influence during her shift.</w:t>
      </w:r>
    </w:p>
    <w:p w14:paraId="1F722B1D" w14:textId="77777777" w:rsidR="00B170D7" w:rsidRDefault="00B170D7" w:rsidP="00B170D7">
      <w:pPr>
        <w:pStyle w:val="NoSpacing"/>
      </w:pPr>
    </w:p>
    <w:p w14:paraId="79ECAE3B" w14:textId="77777777" w:rsidR="00B170D7" w:rsidRDefault="00B170D7" w:rsidP="00B170D7">
      <w:pPr>
        <w:pStyle w:val="NoSpacing"/>
      </w:pPr>
      <w:r>
        <w:t>***</w:t>
      </w:r>
    </w:p>
    <w:p w14:paraId="07E4FE34" w14:textId="77777777" w:rsidR="00B170D7" w:rsidRDefault="00B170D7" w:rsidP="00B170D7">
      <w:pPr>
        <w:pStyle w:val="NoSpacing"/>
      </w:pPr>
    </w:p>
    <w:p w14:paraId="76F8D29A" w14:textId="77777777" w:rsidR="00B170D7" w:rsidRDefault="00B170D7" w:rsidP="00B170D7">
      <w:pPr>
        <w:pStyle w:val="NoSpacing"/>
      </w:pPr>
      <w:r w:rsidRPr="00F97586">
        <w:t>From January 2015 through December 2023, Polk County either terminated or allowed resignation in lieu of termination for 14 employees after positive random drug tests</w:t>
      </w:r>
      <w:r>
        <w:t>….</w:t>
      </w:r>
      <w:r w:rsidRPr="00F97586">
        <w:t>Eight of these employees, including Ms. Oakley, worked for PCFR</w:t>
      </w:r>
      <w:r>
        <w:t xml:space="preserve">…. </w:t>
      </w:r>
      <w:r w:rsidRPr="00F97586">
        <w:t xml:space="preserve">The group included two African American males, one Hispanic </w:t>
      </w:r>
      <w:r>
        <w:t xml:space="preserve"> </w:t>
      </w:r>
      <w:r w:rsidRPr="00F97586">
        <w:t>male, and one white male</w:t>
      </w:r>
      <w:r>
        <w:t xml:space="preserve">…. </w:t>
      </w:r>
      <w:r w:rsidRPr="00F97586">
        <w:t>The fifth male did not disclose his racial identity, so that remains unknown</w:t>
      </w:r>
      <w:r>
        <w:t xml:space="preserve">…. </w:t>
      </w:r>
      <w:r w:rsidRPr="00F97586">
        <w:t>In addition to Ms. Oakley, two white females have also been terminated for positive drug tests</w:t>
      </w:r>
      <w:r>
        <w:t xml:space="preserve">…. </w:t>
      </w:r>
      <w:r w:rsidRPr="00F97586">
        <w:t>Four white males and two Hispanic males who worked in the County's other divisions also lost their jobs after positive drug tests.</w:t>
      </w:r>
      <w:r>
        <w:t>”</w:t>
      </w:r>
    </w:p>
    <w:p w14:paraId="42B44340" w14:textId="77777777" w:rsidR="00B170D7" w:rsidRDefault="00B170D7" w:rsidP="00B170D7">
      <w:pPr>
        <w:pStyle w:val="NoSpacing"/>
      </w:pPr>
    </w:p>
    <w:p w14:paraId="1884B7E8" w14:textId="77777777" w:rsidR="00B170D7" w:rsidRPr="00F97586" w:rsidRDefault="00B170D7" w:rsidP="00B170D7">
      <w:pPr>
        <w:pStyle w:val="NoSpacing"/>
        <w:rPr>
          <w:b/>
          <w:bCs/>
        </w:rPr>
      </w:pPr>
      <w:r w:rsidRPr="003E0542">
        <w:rPr>
          <w:b/>
        </w:rPr>
        <w:t xml:space="preserve">Legal lesson learned: </w:t>
      </w:r>
      <w:r>
        <w:rPr>
          <w:b/>
        </w:rPr>
        <w:t xml:space="preserve">The County has consistently followed its drug free workplace policy (even if it may be called “harsh”). </w:t>
      </w:r>
    </w:p>
    <w:p w14:paraId="1E9A86A8" w14:textId="77777777" w:rsidR="006C0A0C" w:rsidRDefault="006C0A0C" w:rsidP="00800ACD">
      <w:pPr>
        <w:rPr>
          <w:rFonts w:ascii="Arial Black" w:hAnsi="Arial Black"/>
          <w:b/>
          <w:sz w:val="24"/>
          <w:szCs w:val="24"/>
        </w:rPr>
      </w:pPr>
    </w:p>
    <w:p w14:paraId="0D4247D4" w14:textId="77777777" w:rsidR="006C0A0C" w:rsidRDefault="006C0A0C" w:rsidP="00800ACD">
      <w:pPr>
        <w:rPr>
          <w:rFonts w:ascii="Arial Black" w:hAnsi="Arial Black"/>
          <w:b/>
          <w:sz w:val="24"/>
          <w:szCs w:val="24"/>
        </w:rPr>
      </w:pPr>
    </w:p>
    <w:p w14:paraId="7FCA3057" w14:textId="15F5AEDE" w:rsidR="005F4889" w:rsidRDefault="005F4889" w:rsidP="00800ACD">
      <w:pPr>
        <w:rPr>
          <w:rFonts w:ascii="Arial Black" w:hAnsi="Arial Black"/>
          <w:b/>
          <w:sz w:val="24"/>
          <w:szCs w:val="24"/>
        </w:rPr>
      </w:pPr>
      <w:r>
        <w:rPr>
          <w:rFonts w:ascii="Arial Black" w:hAnsi="Arial Black"/>
          <w:b/>
          <w:sz w:val="24"/>
          <w:szCs w:val="24"/>
        </w:rPr>
        <w:t>12-35</w:t>
      </w:r>
    </w:p>
    <w:p w14:paraId="5599C142" w14:textId="77777777" w:rsidR="00C812C2" w:rsidRPr="00E361DB" w:rsidRDefault="00C812C2" w:rsidP="00C812C2">
      <w:pPr>
        <w:rPr>
          <w:rFonts w:ascii="Arial Black" w:hAnsi="Arial Black"/>
          <w:b/>
          <w:sz w:val="28"/>
          <w:szCs w:val="28"/>
        </w:rPr>
      </w:pPr>
      <w:r>
        <w:rPr>
          <w:rFonts w:ascii="Arial Black" w:hAnsi="Arial Black"/>
          <w:b/>
          <w:sz w:val="28"/>
          <w:szCs w:val="28"/>
        </w:rPr>
        <w:t xml:space="preserve">FL: B/C MJ MEDICAL USE – DEMOTED -  NOT COVERED ADA </w:t>
      </w:r>
    </w:p>
    <w:p w14:paraId="0697D919" w14:textId="77777777" w:rsidR="00C812C2" w:rsidRDefault="00C812C2" w:rsidP="00C812C2">
      <w:pPr>
        <w:pStyle w:val="NoSpacing"/>
      </w:pPr>
      <w:r>
        <w:t>On January 13, 2026</w:t>
      </w:r>
      <w:proofErr w:type="gramStart"/>
      <w:r>
        <w:t>, in</w:t>
      </w:r>
      <w:proofErr w:type="gramEnd"/>
      <w:r>
        <w:t xml:space="preserve"> </w:t>
      </w:r>
      <w:r w:rsidRPr="005515CC">
        <w:rPr>
          <w:u w:val="single"/>
        </w:rPr>
        <w:t>John Beckman v. The Collier County Board of Commissioners</w:t>
      </w:r>
      <w:r>
        <w:t xml:space="preserve">, Senior U.S. District Court Judge John E. Steele, United States District Court for the Middle District of Florida, Fort Myers Division, granted summary judgment to the County; even though Florida allows medically prescribed marijuana, it is still an illegal Federal drug and under ADA persons using illegal drugs are not “qualified individual.” The record shows that Beckman’s disability disclosures to Fire Department occurred in October 2020, April 2021, and September 2022. He  was selected for random drug testing on September 1, 2023, and after testing positive, placed on unpaid administrative leave, returned to work on October 17, </w:t>
      </w:r>
      <w:proofErr w:type="gramStart"/>
      <w:r>
        <w:t>2023</w:t>
      </w:r>
      <w:proofErr w:type="gramEnd"/>
      <w:r>
        <w:t xml:space="preserve"> he was demoted.  He </w:t>
      </w:r>
      <w:proofErr w:type="gramStart"/>
      <w:r>
        <w:t>resigned</w:t>
      </w:r>
      <w:proofErr w:type="gramEnd"/>
      <w:r>
        <w:t xml:space="preserve"> November 9, 2023.  </w:t>
      </w:r>
      <w:hyperlink r:id="rId1935" w:history="1">
        <w:r w:rsidRPr="00EB79A3">
          <w:rPr>
            <w:rStyle w:val="Hyperlink"/>
          </w:rPr>
          <w:t>https://cases.justia.com/federal/district-courts/florida/flmdce/2:2024cv00585/429227/35/0.pdf?ts=1768388107</w:t>
        </w:r>
      </w:hyperlink>
      <w:r>
        <w:t xml:space="preserve"> </w:t>
      </w:r>
    </w:p>
    <w:p w14:paraId="0A703893" w14:textId="77777777" w:rsidR="00C812C2" w:rsidRDefault="00C812C2" w:rsidP="00C812C2">
      <w:pPr>
        <w:pStyle w:val="NoSpacing"/>
      </w:pPr>
    </w:p>
    <w:p w14:paraId="0E37247D" w14:textId="77777777" w:rsidR="00C812C2" w:rsidRDefault="00C812C2" w:rsidP="00C812C2">
      <w:pPr>
        <w:pStyle w:val="NoSpacing"/>
      </w:pPr>
      <w:r>
        <w:lastRenderedPageBreak/>
        <w:t>THE COURT HELD:</w:t>
      </w:r>
    </w:p>
    <w:p w14:paraId="747F9504" w14:textId="77777777" w:rsidR="00C812C2" w:rsidRDefault="00C812C2" w:rsidP="00C812C2">
      <w:pPr>
        <w:pStyle w:val="NoSpacing"/>
      </w:pPr>
    </w:p>
    <w:p w14:paraId="5D84B0D7" w14:textId="77777777" w:rsidR="00C812C2" w:rsidRDefault="00C812C2" w:rsidP="00C812C2">
      <w:pPr>
        <w:pStyle w:val="NoSpacing"/>
        <w:ind w:left="720"/>
      </w:pPr>
      <w:r>
        <w:t>“</w:t>
      </w:r>
      <w:r w:rsidRPr="00AF601A">
        <w:t>Beckman began his employment with the County in 2006 as an</w:t>
      </w:r>
      <w:r>
        <w:t xml:space="preserve"> </w:t>
      </w:r>
      <w:r w:rsidRPr="00AF601A">
        <w:t>Emergency Medical Technician. Beckman enjoyed a successful career</w:t>
      </w:r>
      <w:r>
        <w:t xml:space="preserve"> </w:t>
      </w:r>
      <w:r w:rsidRPr="00AF601A">
        <w:t>with the County, and by 2016 had been promoted to Battalion Chief.</w:t>
      </w:r>
      <w:r>
        <w:t xml:space="preserve"> </w:t>
      </w:r>
      <w:r w:rsidRPr="00AF601A">
        <w:t>At all relevant times Beckman had been able to perform the</w:t>
      </w:r>
      <w:r>
        <w:t xml:space="preserve"> </w:t>
      </w:r>
      <w:r w:rsidRPr="00AF601A">
        <w:t xml:space="preserve">essential functions of his employment position with </w:t>
      </w:r>
      <w:proofErr w:type="gramStart"/>
      <w:r w:rsidRPr="00AF601A">
        <w:t>an</w:t>
      </w:r>
      <w:r>
        <w:t xml:space="preserve"> </w:t>
      </w:r>
      <w:r w:rsidRPr="00AF601A">
        <w:t>accommodation</w:t>
      </w:r>
      <w:proofErr w:type="gramEnd"/>
      <w:r w:rsidRPr="00AF601A">
        <w:t xml:space="preserve"> for a gastrointestinal condition that substantially</w:t>
      </w:r>
      <w:r>
        <w:t xml:space="preserve"> </w:t>
      </w:r>
      <w:r w:rsidRPr="00AF601A">
        <w:t>limits his major life activities. After multiple medications</w:t>
      </w:r>
      <w:r>
        <w:t xml:space="preserve"> </w:t>
      </w:r>
      <w:r w:rsidRPr="00AF601A">
        <w:t>proved unsuccessful in managing the condition, on September 12,</w:t>
      </w:r>
      <w:r>
        <w:t xml:space="preserve"> </w:t>
      </w:r>
      <w:r w:rsidRPr="00AF601A">
        <w:t>2020, Beckman obtained a certification for medical marijuana use</w:t>
      </w:r>
      <w:r>
        <w:t xml:space="preserve"> </w:t>
      </w:r>
      <w:r w:rsidRPr="00AF601A">
        <w:t>from the State of Florida.</w:t>
      </w:r>
    </w:p>
    <w:p w14:paraId="468101A5" w14:textId="77777777" w:rsidR="00C812C2" w:rsidRDefault="00C812C2" w:rsidP="00C812C2">
      <w:pPr>
        <w:pStyle w:val="NoSpacing"/>
        <w:ind w:left="720"/>
      </w:pPr>
    </w:p>
    <w:p w14:paraId="5E28F31A" w14:textId="77777777" w:rsidR="00C812C2" w:rsidRDefault="00C812C2" w:rsidP="00C812C2">
      <w:pPr>
        <w:pStyle w:val="NoSpacing"/>
        <w:ind w:left="720"/>
      </w:pPr>
      <w:r>
        <w:t>***</w:t>
      </w:r>
    </w:p>
    <w:p w14:paraId="64031651" w14:textId="77777777" w:rsidR="00C812C2" w:rsidRDefault="00C812C2" w:rsidP="00C812C2">
      <w:pPr>
        <w:pStyle w:val="NoSpacing"/>
        <w:ind w:left="720"/>
      </w:pPr>
    </w:p>
    <w:p w14:paraId="657C1484" w14:textId="77777777" w:rsidR="00C812C2" w:rsidRDefault="00C812C2" w:rsidP="00C812C2">
      <w:pPr>
        <w:pStyle w:val="NoSpacing"/>
        <w:ind w:left="720"/>
      </w:pPr>
      <w:r>
        <w:t>In October 2020 Beckman notified both Deputy Chief Tony Camps (‘Deputy Chief Camps’) and Chief Tabatha Butcher (‘Chief Butcher’)about his medical marijuana use certification…. Beckman would periodically request and receive paid time off because of his medical condition. There were no issues about Beckman’s work performance, and Beckman continued to use the medical marijuana on and off as needed. Beckman was only tested at work because of the random drug testing protocol, and until September 1, 2023, he had never tested positive for the presence of marijuana in his system.</w:t>
      </w:r>
    </w:p>
    <w:p w14:paraId="642BE5CA" w14:textId="77777777" w:rsidR="00C812C2" w:rsidRDefault="00C812C2" w:rsidP="00C812C2">
      <w:pPr>
        <w:pStyle w:val="NoSpacing"/>
        <w:ind w:left="720"/>
      </w:pPr>
    </w:p>
    <w:p w14:paraId="031B6E6C" w14:textId="77777777" w:rsidR="00C812C2" w:rsidRDefault="00C812C2" w:rsidP="00C812C2">
      <w:pPr>
        <w:pStyle w:val="NoSpacing"/>
        <w:ind w:left="720"/>
      </w:pPr>
      <w:r>
        <w:t>On September 1, 2023, Beckman was selected for random drug testing as part of the County’s testing protocol. The test came back positive for the presence of marijuana in Beckman’s system, and he was immediately placed on unpaid administrative leave until completing counseling with a substance abuse professional and returning a negative drug screening.</w:t>
      </w:r>
    </w:p>
    <w:p w14:paraId="4E67D843" w14:textId="77777777" w:rsidR="00C812C2" w:rsidRDefault="00C812C2" w:rsidP="00C812C2">
      <w:pPr>
        <w:pStyle w:val="NoSpacing"/>
        <w:ind w:left="720"/>
      </w:pPr>
    </w:p>
    <w:p w14:paraId="00E05092" w14:textId="77777777" w:rsidR="00C812C2" w:rsidRDefault="00C812C2" w:rsidP="00C812C2">
      <w:pPr>
        <w:pStyle w:val="NoSpacing"/>
        <w:ind w:left="720"/>
      </w:pPr>
      <w:r>
        <w:t xml:space="preserve">Beckman was cleared to return to work after testing negative for illegal substances on October 17, 2023. By October 24, 2023, Beckman received and signed a Behavioral Action Plan (‘BAP’) which included: (1) a thirty-day suspension credited as time served, (2) demotion from Battalion Chief II to Paramedic II with an approximate 24.5% pay cut, (3) a six-month driving prohibition, (4) a six-month probationary period, and (5) ineligibility for promotional opportunities for up to twenty-four months. Beckman did not appeal this </w:t>
      </w:r>
      <w:proofErr w:type="gramStart"/>
      <w:r>
        <w:t>discipline, but</w:t>
      </w:r>
      <w:proofErr w:type="gramEnd"/>
      <w:r>
        <w:t xml:space="preserve"> was unwilling to accept the demotion in rank. Beckman submitted a letter of resignation on October 26, 2023, and terminated his employment with the County on November 9, 2023. Beckman characterizes this as a constructive discharge by the County.</w:t>
      </w:r>
    </w:p>
    <w:p w14:paraId="387FAD6F" w14:textId="77777777" w:rsidR="00C812C2" w:rsidRDefault="00C812C2" w:rsidP="00C812C2">
      <w:pPr>
        <w:pStyle w:val="NoSpacing"/>
        <w:ind w:left="720"/>
      </w:pPr>
    </w:p>
    <w:p w14:paraId="152D3E3D" w14:textId="77777777" w:rsidR="00C812C2" w:rsidRDefault="00C812C2" w:rsidP="00C812C2">
      <w:pPr>
        <w:pStyle w:val="NoSpacing"/>
        <w:ind w:left="720"/>
      </w:pPr>
      <w:r>
        <w:t>***</w:t>
      </w:r>
    </w:p>
    <w:p w14:paraId="03B970F9" w14:textId="77777777" w:rsidR="00C812C2" w:rsidRDefault="00C812C2" w:rsidP="00C812C2">
      <w:pPr>
        <w:pStyle w:val="NoSpacing"/>
        <w:ind w:left="720"/>
      </w:pPr>
      <w:r>
        <w:t xml:space="preserve">Beckman’s use of marijuana, even pursuant to his Florida certificate, was illegal under federal law, and the statutory exclusion is not satisfied by the Florida medical marijuana program. Accordingly, Beckman was not a qualified individual with a disability under the ADA…. But even construing this conduct as being a requested accommodation to allow the use of marijuana, it was not reasonable under the ADA because medical marijuana use was and still is illegal under federal law. Accordingly, any failure to accommodate claim based on the underlying facts fails as a matter of </w:t>
      </w:r>
      <w:proofErr w:type="gramStart"/>
      <w:r>
        <w:t>law.”</w:t>
      </w:r>
      <w:proofErr w:type="gramEnd"/>
    </w:p>
    <w:p w14:paraId="7C2FA684" w14:textId="77777777" w:rsidR="00C812C2" w:rsidRDefault="00C812C2" w:rsidP="00C812C2">
      <w:pPr>
        <w:pStyle w:val="NoSpacing"/>
        <w:ind w:left="720"/>
      </w:pPr>
    </w:p>
    <w:p w14:paraId="4B1420A5" w14:textId="77777777" w:rsidR="00C812C2" w:rsidRPr="003032F5" w:rsidRDefault="00C812C2" w:rsidP="00C812C2">
      <w:pPr>
        <w:pStyle w:val="NoSpacing"/>
        <w:rPr>
          <w:b/>
          <w:bCs/>
        </w:rPr>
      </w:pPr>
      <w:r>
        <w:rPr>
          <w:b/>
        </w:rPr>
        <w:t xml:space="preserve">Legal lesson learned: Unfortunate to discipline a Battalion Chief for use of proscribed medical marijuana; numerous fire departments have in their </w:t>
      </w:r>
      <w:proofErr w:type="gramStart"/>
      <w:r>
        <w:rPr>
          <w:b/>
        </w:rPr>
        <w:t>policies</w:t>
      </w:r>
      <w:proofErr w:type="gramEnd"/>
      <w:r>
        <w:rPr>
          <w:b/>
        </w:rPr>
        <w:t xml:space="preserve"> or Collective Bargaining Agreements recognized the use of proscribed medical marijuana.</w:t>
      </w:r>
    </w:p>
    <w:p w14:paraId="5E353C2C" w14:textId="77777777" w:rsidR="00C812C2" w:rsidRDefault="00C812C2" w:rsidP="00C812C2">
      <w:pPr>
        <w:pStyle w:val="NoSpacing"/>
      </w:pPr>
    </w:p>
    <w:p w14:paraId="3B5242D8" w14:textId="77777777" w:rsidR="00C812C2" w:rsidRDefault="00C812C2" w:rsidP="00C812C2">
      <w:pPr>
        <w:pStyle w:val="NoSpacing"/>
        <w:ind w:left="720"/>
      </w:pPr>
      <w:r>
        <w:t xml:space="preserve">Note: The Drug Enforcement Administration (DEA) recently proposed a new rule to reclassify Marijuana as a Schedule III drug, which would allow use of marijuana for medical treatment. On December 18, </w:t>
      </w:r>
      <w:proofErr w:type="gramStart"/>
      <w:r>
        <w:t>2025</w:t>
      </w:r>
      <w:proofErr w:type="gramEnd"/>
      <w:r>
        <w:t xml:space="preserve"> President Donald J. Trump has issued an Executive Order to speed up consideration of the reclassification of marijuana. Increasing</w:t>
      </w:r>
    </w:p>
    <w:p w14:paraId="5DDB30A8" w14:textId="77777777" w:rsidR="00C812C2" w:rsidRDefault="00C812C2" w:rsidP="00C812C2">
      <w:pPr>
        <w:pStyle w:val="NoSpacing"/>
        <w:ind w:left="720"/>
      </w:pPr>
      <w:r>
        <w:t xml:space="preserve">Medical Marijuana and Cannabidiol Research, 90 FR 60541. </w:t>
      </w:r>
      <w:hyperlink r:id="rId1936" w:history="1">
        <w:r w:rsidRPr="00EB79A3">
          <w:rPr>
            <w:rStyle w:val="Hyperlink"/>
          </w:rPr>
          <w:t>https://www.federalregister.gov/documents/2025/12/23/2025-23846/increasing-medical-marijuana-and-cannabidiol-research</w:t>
        </w:r>
      </w:hyperlink>
      <w:r>
        <w:t xml:space="preserve"> </w:t>
      </w:r>
    </w:p>
    <w:p w14:paraId="3CE69537" w14:textId="77777777" w:rsidR="00C812C2" w:rsidRDefault="00C812C2" w:rsidP="00C812C2">
      <w:pPr>
        <w:pStyle w:val="NoSpacing"/>
        <w:ind w:left="720"/>
      </w:pPr>
    </w:p>
    <w:p w14:paraId="74F7464E" w14:textId="77777777" w:rsidR="00C812C2" w:rsidRDefault="00C812C2" w:rsidP="00C812C2">
      <w:pPr>
        <w:pStyle w:val="NoSpacing"/>
        <w:ind w:left="720"/>
        <w:rPr>
          <w:bCs/>
        </w:rPr>
      </w:pPr>
      <w:r>
        <w:lastRenderedPageBreak/>
        <w:t xml:space="preserve">See also: Dec. 22, 2025: MD – </w:t>
      </w:r>
      <w:r w:rsidRPr="005841E1">
        <w:t xml:space="preserve">Howard County firefighters may use medical cannabis during off-hours, starting soon. </w:t>
      </w:r>
      <w:hyperlink r:id="rId1937" w:history="1">
        <w:r w:rsidRPr="00815351">
          <w:rPr>
            <w:rStyle w:val="Hyperlink"/>
          </w:rPr>
          <w:t>https://baltimorefishbowl.com/stories/howard-county-firefighters-medical-cannabis/</w:t>
        </w:r>
      </w:hyperlink>
      <w:r>
        <w:t xml:space="preserve"> </w:t>
      </w:r>
    </w:p>
    <w:p w14:paraId="4D510AAF" w14:textId="77777777" w:rsidR="00C812C2" w:rsidRPr="005841E1" w:rsidRDefault="00C812C2" w:rsidP="00C812C2">
      <w:pPr>
        <w:pStyle w:val="NoSpacing"/>
        <w:ind w:left="720"/>
        <w:rPr>
          <w:bCs/>
        </w:rPr>
      </w:pPr>
      <w:r w:rsidRPr="00BC6E53">
        <w:t>Howard County Executive Calvin Ball on Friday announced an agreement between Howard County Government and the Howard County International Association of Fire Fighters (IAFF) Local 2000 to allow County Department of Fire and Rescue Services (DFRS) uniformed personnel off-duty usage of medical cannabis. The employees may not use the substance 12 hours before reporting to work, and they must present a valid medical cannabis authorization form to the County’s Office of Human Resources.</w:t>
      </w:r>
    </w:p>
    <w:p w14:paraId="3913A83A" w14:textId="77777777" w:rsidR="00C812C2" w:rsidRDefault="00C812C2" w:rsidP="00C812C2">
      <w:pPr>
        <w:pStyle w:val="NoSpacing"/>
        <w:ind w:left="720"/>
      </w:pPr>
    </w:p>
    <w:p w14:paraId="42298BF1" w14:textId="77777777" w:rsidR="00C812C2" w:rsidRPr="00C83C95" w:rsidRDefault="00C812C2" w:rsidP="00C812C2">
      <w:pPr>
        <w:pStyle w:val="NoSpacing"/>
        <w:ind w:left="720"/>
        <w:rPr>
          <w:b/>
        </w:rPr>
      </w:pPr>
      <w:r w:rsidRPr="00C83C95">
        <w:t>New policy allows Howard County firefighters to use medical cannabis</w:t>
      </w:r>
      <w:r>
        <w:t xml:space="preserve">. </w:t>
      </w:r>
      <w:hyperlink r:id="rId1938" w:history="1">
        <w:r w:rsidRPr="00815351">
          <w:rPr>
            <w:rStyle w:val="Hyperlink"/>
          </w:rPr>
          <w:t>https://www.youtube.com/watch?v=wVEUB8WSdp8</w:t>
        </w:r>
      </w:hyperlink>
      <w:r>
        <w:t xml:space="preserve"> </w:t>
      </w:r>
    </w:p>
    <w:p w14:paraId="4EEA7258" w14:textId="77777777" w:rsidR="00C812C2" w:rsidRDefault="00C812C2" w:rsidP="00C812C2">
      <w:pPr>
        <w:pStyle w:val="NoSpacing"/>
        <w:ind w:left="720"/>
      </w:pPr>
    </w:p>
    <w:p w14:paraId="133172FD" w14:textId="77777777" w:rsidR="00C812C2" w:rsidRPr="00F71B22" w:rsidRDefault="00C812C2" w:rsidP="00C812C2">
      <w:pPr>
        <w:pStyle w:val="NoSpacing"/>
        <w:ind w:left="720"/>
        <w:rPr>
          <w:bCs/>
        </w:rPr>
      </w:pPr>
      <w:r>
        <w:t xml:space="preserve">Dec. 19, 2025: </w:t>
      </w:r>
      <w:r w:rsidRPr="00F71B22">
        <w:t>What Does President Trump’s New Marijuana Directive Mean for You as a Fire Chief?</w:t>
      </w:r>
      <w:r>
        <w:t xml:space="preserve"> </w:t>
      </w:r>
      <w:hyperlink r:id="rId1939" w:history="1">
        <w:r w:rsidRPr="00815351">
          <w:rPr>
            <w:rStyle w:val="Hyperlink"/>
          </w:rPr>
          <w:t>https://www.firefighternation.com/fire-leadership/what-does-president-trumps-new-marijuana-directive-mean-for-you-as-a-fire-chief/</w:t>
        </w:r>
      </w:hyperlink>
      <w:r>
        <w:t xml:space="preserve"> </w:t>
      </w:r>
    </w:p>
    <w:p w14:paraId="6B14FF4B" w14:textId="77777777" w:rsidR="00C812C2" w:rsidRDefault="00C812C2" w:rsidP="00C812C2">
      <w:pPr>
        <w:pStyle w:val="NoSpacing"/>
        <w:ind w:left="720"/>
      </w:pPr>
    </w:p>
    <w:p w14:paraId="1F92C09B" w14:textId="77777777" w:rsidR="00C812C2" w:rsidRPr="001B7700" w:rsidRDefault="00C812C2" w:rsidP="00C812C2">
      <w:pPr>
        <w:pStyle w:val="NoSpacing"/>
        <w:ind w:left="720"/>
        <w:rPr>
          <w:vanish/>
        </w:rPr>
      </w:pPr>
      <w:r>
        <w:t xml:space="preserve">Jan. 2025: KY - </w:t>
      </w:r>
      <w:r w:rsidRPr="00FE3452">
        <w:t xml:space="preserve">Louisville union sues city to allow firefighters to use medical cannabis. </w:t>
      </w:r>
      <w:hyperlink r:id="rId1940" w:history="1">
        <w:r w:rsidRPr="00FE3452">
          <w:rPr>
            <w:rStyle w:val="Hyperlink"/>
          </w:rPr>
          <w:t>https://www.youtube.com/watch?v=1jL6w0_sguI</w:t>
        </w:r>
      </w:hyperlink>
      <w:r w:rsidRPr="00FE3452">
        <w:t xml:space="preserve"> </w:t>
      </w:r>
    </w:p>
    <w:p w14:paraId="5BF3C490" w14:textId="77777777" w:rsidR="00C812C2" w:rsidRPr="001B7700" w:rsidRDefault="00C812C2" w:rsidP="00C812C2">
      <w:pPr>
        <w:ind w:left="720"/>
        <w:rPr>
          <w:vanish/>
        </w:rPr>
      </w:pPr>
      <w:r w:rsidRPr="001B7700">
        <w:rPr>
          <w:vanish/>
        </w:rPr>
        <w:t>Bottom of Form</w:t>
      </w:r>
    </w:p>
    <w:p w14:paraId="31C8A261" w14:textId="77777777" w:rsidR="00C812C2" w:rsidRPr="001B7700" w:rsidRDefault="00C812C2" w:rsidP="00C812C2">
      <w:pPr>
        <w:ind w:left="720"/>
        <w:rPr>
          <w:rStyle w:val="Hyperlink"/>
        </w:rPr>
      </w:pPr>
      <w:r w:rsidRPr="001B7700">
        <w:fldChar w:fldCharType="begin"/>
      </w:r>
      <w:r w:rsidRPr="001B7700">
        <w:instrText>HYPERLINK "https://www.youtube.com/" \o "YouTube Home"</w:instrText>
      </w:r>
      <w:r w:rsidRPr="001B7700">
        <w:fldChar w:fldCharType="separate"/>
      </w:r>
    </w:p>
    <w:p w14:paraId="44D30990" w14:textId="790A2373" w:rsidR="005F4889" w:rsidRDefault="00C812C2" w:rsidP="00C812C2">
      <w:pPr>
        <w:rPr>
          <w:rFonts w:ascii="Arial Black" w:hAnsi="Arial Black"/>
          <w:b/>
          <w:sz w:val="24"/>
          <w:szCs w:val="24"/>
        </w:rPr>
      </w:pPr>
      <w:r w:rsidRPr="001B7700">
        <w:fldChar w:fldCharType="end"/>
      </w:r>
    </w:p>
    <w:p w14:paraId="3BEA6EBD" w14:textId="77777777" w:rsidR="005F4889" w:rsidRDefault="005F4889" w:rsidP="00800ACD">
      <w:pPr>
        <w:rPr>
          <w:rFonts w:ascii="Arial Black" w:hAnsi="Arial Black"/>
          <w:b/>
          <w:sz w:val="24"/>
          <w:szCs w:val="24"/>
        </w:rPr>
      </w:pPr>
    </w:p>
    <w:p w14:paraId="43A1942B" w14:textId="77777777" w:rsidR="005F4889" w:rsidRDefault="005F4889" w:rsidP="00800ACD">
      <w:pPr>
        <w:rPr>
          <w:rFonts w:ascii="Arial Black" w:hAnsi="Arial Black"/>
          <w:b/>
          <w:sz w:val="24"/>
          <w:szCs w:val="24"/>
        </w:rPr>
      </w:pPr>
    </w:p>
    <w:p w14:paraId="08BAB7EB" w14:textId="2BA71371" w:rsidR="008E743B" w:rsidRDefault="00A34683" w:rsidP="00800ACD">
      <w:pPr>
        <w:rPr>
          <w:rFonts w:ascii="Arial Black" w:hAnsi="Arial Black"/>
          <w:b/>
          <w:sz w:val="24"/>
          <w:szCs w:val="24"/>
        </w:rPr>
      </w:pPr>
      <w:r>
        <w:rPr>
          <w:rFonts w:ascii="Arial Black" w:hAnsi="Arial Black"/>
          <w:b/>
          <w:sz w:val="24"/>
          <w:szCs w:val="24"/>
        </w:rPr>
        <w:t>12-34</w:t>
      </w:r>
    </w:p>
    <w:p w14:paraId="15394B7C" w14:textId="77777777" w:rsidR="00A34683" w:rsidRPr="005F4150" w:rsidRDefault="00A34683" w:rsidP="00A34683">
      <w:pPr>
        <w:rPr>
          <w:rFonts w:ascii="Arial Black" w:hAnsi="Arial Black"/>
          <w:b/>
          <w:sz w:val="28"/>
          <w:szCs w:val="28"/>
        </w:rPr>
      </w:pPr>
      <w:r>
        <w:rPr>
          <w:rFonts w:ascii="Arial Black" w:hAnsi="Arial Black"/>
          <w:b/>
          <w:sz w:val="28"/>
          <w:szCs w:val="28"/>
        </w:rPr>
        <w:t>CT: MEDICAL MJ – FF VIOL. LAST CHANCE AGREEMENT</w:t>
      </w:r>
    </w:p>
    <w:p w14:paraId="61FF3C09" w14:textId="77777777" w:rsidR="00D104F2" w:rsidRDefault="00A34683" w:rsidP="00D104F2">
      <w:pPr>
        <w:pStyle w:val="NoSpacing"/>
      </w:pPr>
      <w:r>
        <w:t xml:space="preserve">On June 11, 2025, in </w:t>
      </w:r>
      <w:r w:rsidRPr="00BC5D65">
        <w:rPr>
          <w:u w:val="single"/>
        </w:rPr>
        <w:t>Thomas Eccleston, III v. City of Waterbury</w:t>
      </w:r>
      <w:r>
        <w:t xml:space="preserve">, Judge Kiberly P. Massicotte, </w:t>
      </w:r>
      <w:r w:rsidRPr="00270B5A">
        <w:t>Superior Court of Connecticut, Judicial District of Waterbury, Waterbury</w:t>
      </w:r>
      <w:r>
        <w:t xml:space="preserve">, held after a bench </w:t>
      </w:r>
      <w:r w:rsidRPr="007F5AEF">
        <w:t xml:space="preserve">trial on February 20, </w:t>
      </w:r>
      <w:proofErr w:type="gramStart"/>
      <w:r w:rsidRPr="007F5AEF">
        <w:t>2025</w:t>
      </w:r>
      <w:proofErr w:type="gramEnd"/>
      <w:r>
        <w:t xml:space="preserve"> that the city properly fired the firefighter for violation of Las Chance agreement.   On </w:t>
      </w:r>
      <w:r w:rsidRPr="00CA655F">
        <w:t>November 19, 2015, to avoid termination, the plaintiff signed a "last chance agreement" after the plaintiff was arrested for domestic violence</w:t>
      </w:r>
      <w:r>
        <w:t xml:space="preserve">; the agreement prohibits use of alcohol or a controlled substance.  He tested positive in random drug test on </w:t>
      </w:r>
      <w:r w:rsidRPr="0094669A">
        <w:t>March 20, 2018</w:t>
      </w:r>
      <w:r>
        <w:t xml:space="preserve"> (obtained medical marijuana card March 6, 2018).  </w:t>
      </w:r>
      <w:hyperlink r:id="rId1941" w:history="1">
        <w:r w:rsidR="00D104F2" w:rsidRPr="00774087">
          <w:rPr>
            <w:rStyle w:val="Hyperlink"/>
          </w:rPr>
          <w:t>https://public.fastcase.com/jaEE2PXzRXmZ99jOLMt1It2Tjmgxo5hSPIplN9zr2RKL3xaZLK1Vh5eTa9w8Wk8pfXZv57sP%2BSheWcKHfFgy9Ah5Ev5ZnvIAKgdp6Yn%2FiQI%3D?utm_medium=email&amp;_hsenc=p2ANqtz-_xr08pWLevFeFI8Ge2XvipIP7qRBaDeRzA2aeNOeAMxf3drkc7WBb-blscAE4MgKHVvRlF4GyH0W6s2eAyYhQEv9ZP9w&amp;_hsmi=226712652&amp;utm_content=226712652&amp;utm_source=hs_email</w:t>
        </w:r>
      </w:hyperlink>
      <w:r w:rsidR="00D104F2">
        <w:t xml:space="preserve"> </w:t>
      </w:r>
    </w:p>
    <w:p w14:paraId="52119EE6" w14:textId="17AF1E5B" w:rsidR="00A34683" w:rsidRDefault="00A34683" w:rsidP="00A34683"/>
    <w:p w14:paraId="0909C901" w14:textId="77777777" w:rsidR="00A34683" w:rsidRPr="00FF6498" w:rsidRDefault="00A34683" w:rsidP="00A34683">
      <w:pPr>
        <w:rPr>
          <w:b/>
          <w:bCs/>
        </w:rPr>
      </w:pPr>
      <w:r w:rsidRPr="00FF6498">
        <w:rPr>
          <w:b/>
        </w:rPr>
        <w:t>THE COURT HELD:</w:t>
      </w:r>
    </w:p>
    <w:p w14:paraId="5770F0F8" w14:textId="77777777" w:rsidR="00A34683" w:rsidRDefault="00A34683" w:rsidP="00A34683">
      <w:pPr>
        <w:pStyle w:val="NoSpacing"/>
        <w:ind w:left="720"/>
      </w:pPr>
      <w:r>
        <w:t>“</w:t>
      </w:r>
      <w:r w:rsidRPr="002321AE">
        <w:t xml:space="preserve">The </w:t>
      </w:r>
      <w:r>
        <w:t xml:space="preserve">[Last Chance] </w:t>
      </w:r>
      <w:r w:rsidRPr="002321AE">
        <w:t xml:space="preserve">Agreement provides: </w:t>
      </w:r>
      <w:r>
        <w:t>‘</w:t>
      </w:r>
      <w:r w:rsidRPr="002321AE">
        <w:t>WHEREAS, Thomas F. Eccleston has issues with alcohol abuse and domestic violence; WHEREAS, the parties wish to enter into this stipulated agreement, in lieu of Thomas F. Eccleston's termination, setting forth the terms and conditions of Thomas F. Eccleston's continued employment with the City; and WHEREAS, Thomas F. Eccleston accepts responsibility for the issues and acknowledges the need for immediate improvement.</w:t>
      </w:r>
      <w:r>
        <w:t xml:space="preserve">’ … </w:t>
      </w:r>
      <w:r w:rsidRPr="002321AE">
        <w:t xml:space="preserve">The condition relevant to this case is that the plaintiff agreed that he may be subject to immediate termination </w:t>
      </w:r>
      <w:r>
        <w:t>‘</w:t>
      </w:r>
      <w:r w:rsidRPr="002321AE">
        <w:t>[</w:t>
      </w:r>
      <w:proofErr w:type="spellStart"/>
      <w:r w:rsidRPr="002321AE">
        <w:t>i</w:t>
      </w:r>
      <w:proofErr w:type="spellEnd"/>
      <w:r w:rsidRPr="002321AE">
        <w:t>]f Thomas F. Eccleston tests positive for alcohol (at the level of 0.04 or above) or a controlled substance.</w:t>
      </w:r>
      <w:r>
        <w:t>’</w:t>
      </w:r>
    </w:p>
    <w:p w14:paraId="22D9507C" w14:textId="77777777" w:rsidR="00A34683" w:rsidRDefault="00A34683" w:rsidP="00A34683">
      <w:pPr>
        <w:pStyle w:val="NoSpacing"/>
        <w:ind w:left="720"/>
      </w:pPr>
    </w:p>
    <w:p w14:paraId="05F1583A" w14:textId="77777777" w:rsidR="00A34683" w:rsidRDefault="00A34683" w:rsidP="00A34683">
      <w:pPr>
        <w:pStyle w:val="NoSpacing"/>
        <w:ind w:left="720"/>
      </w:pPr>
      <w:r>
        <w:t>***</w:t>
      </w:r>
    </w:p>
    <w:p w14:paraId="16D25EDF" w14:textId="77777777" w:rsidR="00A34683" w:rsidRDefault="00A34683" w:rsidP="00A34683">
      <w:pPr>
        <w:pStyle w:val="NoSpacing"/>
        <w:ind w:left="720"/>
      </w:pPr>
      <w:r w:rsidRPr="008036C4">
        <w:lastRenderedPageBreak/>
        <w:t>This can only mean that the plaintiff waived his rights under PUMA.</w:t>
      </w:r>
      <w:r>
        <w:t xml:space="preserve"> </w:t>
      </w:r>
      <w:r w:rsidRPr="00DC3909">
        <w:t>His agreement to waive his rights under PUMA did not run contrary to state law because the sound reasons for prohibiting the use of marijuana under the circumstances leave no room, without more, for the claim that the plaintiff's status as a qualifying patient was the sole reason for discharge pursuant to the Agreement. The plaintiff contractually agreed that he could be terminated for testing positive for the use of marijuana. He did so to save himself for other alleged and cumulative misconduct including substance abuse. Having done so, he cannot now invoke the statutory protections of PUMA which he effectively surrendered.</w:t>
      </w:r>
      <w:r>
        <w:t>”</w:t>
      </w:r>
      <w:r w:rsidRPr="00D8111A">
        <w:t xml:space="preserve"> </w:t>
      </w:r>
      <w:hyperlink r:id="rId1942" w:history="1">
        <w:r w:rsidRPr="00774087">
          <w:rPr>
            <w:rStyle w:val="Hyperlink"/>
          </w:rPr>
          <w:t>https://public.fastcase.com/jaEE2PXzRXmZ99jOLMt1It2Tjmgxo5hSPIplN9zr2RKL3xaZLK1Vh5eTa9w8Wk8pfXZv57sP%2BSheWcKHfFgy9Ah5Ev5ZnvIAKgdp6Yn%2FiQI%3D?utm_medium=email&amp;_hsenc=p2ANqtz-_xr08pWLevFeFI8Ge2XvipIP7qRBaDeRzA2aeNOeAMxf3drkc7WBb-blscAE4MgKHVvRlF4GyH0W6s2eAyYhQEv9ZP9w&amp;_hsmi=226712652&amp;utm_content=226712652&amp;utm_source=hs_email</w:t>
        </w:r>
      </w:hyperlink>
      <w:r>
        <w:t xml:space="preserve"> </w:t>
      </w:r>
    </w:p>
    <w:p w14:paraId="1F8E5486" w14:textId="77777777" w:rsidR="00A34683" w:rsidRDefault="00A34683" w:rsidP="00A34683">
      <w:pPr>
        <w:pStyle w:val="NoSpacing"/>
        <w:ind w:left="720"/>
      </w:pPr>
    </w:p>
    <w:p w14:paraId="324D6568" w14:textId="77777777" w:rsidR="00A34683" w:rsidRDefault="00A34683" w:rsidP="00A34683">
      <w:pPr>
        <w:pStyle w:val="NoSpacing"/>
        <w:rPr>
          <w:b/>
          <w:bCs/>
        </w:rPr>
      </w:pPr>
      <w:r>
        <w:rPr>
          <w:b/>
        </w:rPr>
        <w:t xml:space="preserve">KEY FACTS: </w:t>
      </w:r>
    </w:p>
    <w:p w14:paraId="5E38209E" w14:textId="77777777" w:rsidR="00A34683" w:rsidRDefault="00A34683" w:rsidP="00A34683">
      <w:pPr>
        <w:pStyle w:val="NoSpacing"/>
        <w:rPr>
          <w:b/>
          <w:bCs/>
        </w:rPr>
      </w:pPr>
    </w:p>
    <w:p w14:paraId="2A48456F" w14:textId="77777777" w:rsidR="00A34683" w:rsidRDefault="00A34683" w:rsidP="00A34683">
      <w:pPr>
        <w:pStyle w:val="NoSpacing"/>
        <w:ind w:left="720"/>
      </w:pPr>
      <w:r>
        <w:rPr>
          <w:b/>
        </w:rPr>
        <w:t>“</w:t>
      </w:r>
      <w:r w:rsidRPr="00C30B72">
        <w:t xml:space="preserve">The plaintiff obtained a medical marijuana card on March 6, 2018. During a random drug test on March 20, 2018, the plaintiff tested positive for marijuana. On March 30, 2018, Dr. Leela </w:t>
      </w:r>
      <w:proofErr w:type="spellStart"/>
      <w:r w:rsidRPr="00C30B72">
        <w:t>Panoor</w:t>
      </w:r>
      <w:proofErr w:type="spellEnd"/>
      <w:r w:rsidRPr="00C30B72">
        <w:t xml:space="preserve"> declared him fit for duty. On April 23, 2018, the plaintiff was terminated. The parties stipulated that the plaintiff obtained a valid medical marijuana card under PUMA, but the plaintiff did not tell his employer that he had the card until after he tested positive for marijuana and before he was terminated.</w:t>
      </w:r>
    </w:p>
    <w:p w14:paraId="319C8CB7" w14:textId="77777777" w:rsidR="00A34683" w:rsidRDefault="00A34683" w:rsidP="00A34683">
      <w:pPr>
        <w:pStyle w:val="NoSpacing"/>
        <w:ind w:left="720"/>
      </w:pPr>
    </w:p>
    <w:p w14:paraId="5DCF16B4" w14:textId="77777777" w:rsidR="00A34683" w:rsidRDefault="00A34683" w:rsidP="00A34683">
      <w:pPr>
        <w:pStyle w:val="NoSpacing"/>
        <w:ind w:left="720"/>
      </w:pPr>
      <w:r>
        <w:t>***</w:t>
      </w:r>
    </w:p>
    <w:p w14:paraId="6CA6E981" w14:textId="77777777" w:rsidR="00A34683" w:rsidRDefault="00A34683" w:rsidP="00A34683">
      <w:pPr>
        <w:pStyle w:val="NoSpacing"/>
      </w:pPr>
    </w:p>
    <w:p w14:paraId="5A58EC34" w14:textId="77777777" w:rsidR="00A34683" w:rsidRDefault="00A34683" w:rsidP="00A34683">
      <w:pPr>
        <w:pStyle w:val="NoSpacing"/>
        <w:ind w:left="720"/>
        <w:rPr>
          <w:vertAlign w:val="superscript"/>
        </w:rPr>
      </w:pPr>
      <w:r w:rsidRPr="00416AA3">
        <w:t xml:space="preserve">The plaintiff testified, and the court takes as true for the purpose of this motion, that he was diagnosed with PTSD on September 20, 2017. His doctor recommended medical marijuana as a treatment. He obtained two additional opinions. He talked to his crew about taking marijuana for medical treatment. He subsequently received all state law requirements necessary to obtain prescribed marijuana for the treatment of his PTSD on March 6, 2018. He took measures to prevent the possibility of being under the influence at work by not taking the prescribed marijuana the day before or the day of work. As an added measure, he asked his immediate supervisor to keep an eye on him because </w:t>
      </w:r>
      <w:r>
        <w:t>‘</w:t>
      </w:r>
      <w:r w:rsidRPr="00416AA3">
        <w:t>if he was under the influence, how would he know?</w:t>
      </w:r>
      <w:r>
        <w:t>’</w:t>
      </w:r>
      <w:r w:rsidRPr="00416AA3">
        <w:t xml:space="preserve"> Testimony, Thomas Eccleston, 2/20/25. He was not accused of being under the influence at work, nor was he accused of taking marijuana during work hours. The plaintiff testified that it was his understanding that if one ingested marijuana, one could test positive for it up to 30 days later. The plaintiff challenged his termination through administrative processes available to him. He was unsuccessful in his challenge and the termination was upheld. When he appealed the administrative decision upholding his termination to court, the case was dismissed because the union named the wrong party.</w:t>
      </w:r>
      <w:r>
        <w:rPr>
          <w:vertAlign w:val="superscript"/>
        </w:rPr>
        <w:t>”</w:t>
      </w:r>
    </w:p>
    <w:p w14:paraId="206A67ED" w14:textId="77777777" w:rsidR="00A34683" w:rsidRDefault="00A34683" w:rsidP="00A34683">
      <w:pPr>
        <w:pStyle w:val="NoSpacing"/>
        <w:ind w:left="720"/>
        <w:rPr>
          <w:vertAlign w:val="superscript"/>
        </w:rPr>
      </w:pPr>
    </w:p>
    <w:p w14:paraId="2D21AB31" w14:textId="77777777" w:rsidR="00A34683" w:rsidRPr="00416AA3" w:rsidRDefault="00A34683" w:rsidP="00A34683">
      <w:pPr>
        <w:pStyle w:val="NoSpacing"/>
      </w:pPr>
      <w:r>
        <w:rPr>
          <w:b/>
        </w:rPr>
        <w:t xml:space="preserve">Legal lesson learned: The firefighter might have avoided termination if he informed the fire department of his medical condition and need for prescribed marijuana, and they worked out a reasonable accommodation plan (including no use of marijuana for specific </w:t>
      </w:r>
      <w:proofErr w:type="gramStart"/>
      <w:r>
        <w:rPr>
          <w:b/>
        </w:rPr>
        <w:t>period of time</w:t>
      </w:r>
      <w:proofErr w:type="gramEnd"/>
      <w:r>
        <w:rPr>
          <w:b/>
        </w:rPr>
        <w:t xml:space="preserve"> before reporting for duty). </w:t>
      </w:r>
    </w:p>
    <w:p w14:paraId="7FB14433" w14:textId="77777777" w:rsidR="00A34683" w:rsidRDefault="00A34683" w:rsidP="00A34683">
      <w:pPr>
        <w:pStyle w:val="NoSpacing"/>
        <w:rPr>
          <w:b/>
          <w:bCs/>
        </w:rPr>
      </w:pPr>
    </w:p>
    <w:p w14:paraId="4E924AB8" w14:textId="77777777" w:rsidR="00A34683" w:rsidRPr="00914A87" w:rsidRDefault="00A34683" w:rsidP="00A34683">
      <w:pPr>
        <w:pStyle w:val="NoSpacing"/>
        <w:ind w:left="720"/>
      </w:pPr>
      <w:r w:rsidRPr="00914A87">
        <w:t xml:space="preserve">Note: See this article, “Medical Marijuana and Firefighters: Creating a Medical Marijuana Use Policy” Dec. 15, 2022; </w:t>
      </w:r>
      <w:hyperlink r:id="rId1943" w:history="1">
        <w:r w:rsidRPr="00914A87">
          <w:rPr>
            <w:rStyle w:val="Hyperlink"/>
          </w:rPr>
          <w:t>https://www.fireengineering.com/firefighting/medical-marijuana-and-firefighters-creating-a-medical-marijuana-use-policy/</w:t>
        </w:r>
      </w:hyperlink>
      <w:r w:rsidRPr="00914A87">
        <w:t xml:space="preserve"> </w:t>
      </w:r>
    </w:p>
    <w:p w14:paraId="2BC08EF6" w14:textId="77777777" w:rsidR="00A34683" w:rsidRDefault="00A34683" w:rsidP="00800ACD">
      <w:pPr>
        <w:rPr>
          <w:rFonts w:ascii="Arial Black" w:hAnsi="Arial Black"/>
          <w:b/>
          <w:sz w:val="24"/>
          <w:szCs w:val="24"/>
        </w:rPr>
      </w:pPr>
    </w:p>
    <w:p w14:paraId="57FA10FE" w14:textId="77777777" w:rsidR="008E743B" w:rsidRDefault="008E743B" w:rsidP="00800ACD">
      <w:pPr>
        <w:rPr>
          <w:rFonts w:ascii="Arial Black" w:hAnsi="Arial Black"/>
          <w:b/>
          <w:sz w:val="24"/>
          <w:szCs w:val="24"/>
        </w:rPr>
      </w:pPr>
    </w:p>
    <w:p w14:paraId="67DDF5FB" w14:textId="7E2E798D" w:rsidR="00800ACD" w:rsidRDefault="00800ACD" w:rsidP="00800ACD">
      <w:pPr>
        <w:rPr>
          <w:rFonts w:ascii="Arial Black" w:hAnsi="Arial Black"/>
          <w:b/>
          <w:sz w:val="24"/>
          <w:szCs w:val="24"/>
        </w:rPr>
      </w:pPr>
      <w:r>
        <w:rPr>
          <w:rFonts w:ascii="Arial Black" w:hAnsi="Arial Black"/>
          <w:b/>
          <w:sz w:val="24"/>
          <w:szCs w:val="24"/>
        </w:rPr>
        <w:t>12-33</w:t>
      </w:r>
    </w:p>
    <w:p w14:paraId="12FDA850" w14:textId="695C5977" w:rsidR="00985434" w:rsidRPr="00C707AE" w:rsidRDefault="00985434" w:rsidP="00985434">
      <w:pPr>
        <w:pStyle w:val="NoSpacing"/>
        <w:rPr>
          <w:rFonts w:ascii="Arial Black" w:hAnsi="Arial Black"/>
          <w:sz w:val="28"/>
          <w:szCs w:val="28"/>
        </w:rPr>
      </w:pPr>
      <w:r>
        <w:rPr>
          <w:rFonts w:ascii="Arial Black" w:hAnsi="Arial Black"/>
          <w:sz w:val="28"/>
          <w:szCs w:val="28"/>
        </w:rPr>
        <w:t xml:space="preserve">LA: AMBULANCE DAMAGED – DRUG TEST - COCAINE / METH </w:t>
      </w:r>
      <w:r w:rsidR="006D37B6">
        <w:rPr>
          <w:rFonts w:ascii="Arial Black" w:hAnsi="Arial Black"/>
          <w:sz w:val="28"/>
          <w:szCs w:val="28"/>
        </w:rPr>
        <w:t>- FIRED</w:t>
      </w:r>
    </w:p>
    <w:p w14:paraId="282EBF35" w14:textId="77777777" w:rsidR="00985434" w:rsidRDefault="00985434" w:rsidP="00985434">
      <w:pPr>
        <w:pStyle w:val="NoSpacing"/>
      </w:pPr>
    </w:p>
    <w:p w14:paraId="246A2C4C" w14:textId="77777777" w:rsidR="00985434" w:rsidRPr="00826327" w:rsidRDefault="00985434" w:rsidP="00985434">
      <w:pPr>
        <w:rPr>
          <w:rFonts w:ascii="Times New Roman" w:hAnsi="Times New Roman"/>
          <w:sz w:val="24"/>
          <w:szCs w:val="24"/>
        </w:rPr>
      </w:pPr>
      <w:r w:rsidRPr="00826327">
        <w:rPr>
          <w:rFonts w:ascii="Times New Roman" w:hAnsi="Times New Roman"/>
          <w:sz w:val="24"/>
          <w:szCs w:val="24"/>
        </w:rPr>
        <w:lastRenderedPageBreak/>
        <w:t xml:space="preserve">On June 13, 2025, </w:t>
      </w:r>
      <w:r w:rsidRPr="00826327">
        <w:rPr>
          <w:rFonts w:ascii="Times New Roman" w:hAnsi="Times New Roman"/>
          <w:sz w:val="24"/>
          <w:szCs w:val="24"/>
          <w:u w:val="single"/>
        </w:rPr>
        <w:t>in Benjamin Woods v. City of Baton Rouge, through the Department of Emergency Medical Services</w:t>
      </w:r>
      <w:r w:rsidRPr="00826327">
        <w:rPr>
          <w:rFonts w:ascii="Times New Roman" w:hAnsi="Times New Roman"/>
          <w:sz w:val="24"/>
          <w:szCs w:val="24"/>
        </w:rPr>
        <w:t xml:space="preserve">, the Court of Appeals of Louisiana, First Circuit held (3 to 0) that the Paramedic was properly fired by the Department and the City Personnel Board – tested positive for meth and cocaine after telling supervisor had no knowledge of how the ambulance he was driving was damaged. The Court reversed the trial court, which found that the administration of the drug test to Mr. Woods was unreasonable ($2,060 in damage in ambulance; “serious incident” was $2,500 or more damage).  The Court of Appeals found that management had “reasonable suspicion” to drug test, not because of the amount of damage, but because the Paramedic transporting a patient non-emergency to hospital on July 5, </w:t>
      </w:r>
      <w:proofErr w:type="gramStart"/>
      <w:r w:rsidRPr="00826327">
        <w:rPr>
          <w:rFonts w:ascii="Times New Roman" w:hAnsi="Times New Roman"/>
          <w:sz w:val="24"/>
          <w:szCs w:val="24"/>
        </w:rPr>
        <w:t>2018</w:t>
      </w:r>
      <w:proofErr w:type="gramEnd"/>
      <w:r w:rsidRPr="00826327">
        <w:rPr>
          <w:rFonts w:ascii="Times New Roman" w:hAnsi="Times New Roman"/>
          <w:sz w:val="24"/>
          <w:szCs w:val="24"/>
        </w:rPr>
        <w:t xml:space="preserve">  did not immediately stop when he reportedly felt a bump and heard a “pop.” He didn’t immediately inspect the ambulance for damage, initially denied any knowledge of damages, and had no explanation for how “one and a half to two feet of rub rail broke off.”  THE COURT HELD: “We find these circumstances sufficient to support a reasonable suspicion that the Mr. Wood' s behavior indicated that he may have been under the influence of drugs or alcohol while working for the City/Parish such that the administration of a drug test was reasonable and warranted.” </w:t>
      </w:r>
      <w:hyperlink r:id="rId1944" w:history="1">
        <w:r w:rsidRPr="00826327">
          <w:rPr>
            <w:rStyle w:val="Hyperlink"/>
            <w:rFonts w:ascii="Times New Roman" w:hAnsi="Times New Roman"/>
            <w:sz w:val="24"/>
            <w:szCs w:val="24"/>
          </w:rPr>
          <w:t>https://cases.justia.com/louisiana/first-circuit-court-of-appeal/2025-2023ca0459.pdf?ts=1749828408</w:t>
        </w:r>
      </w:hyperlink>
      <w:r w:rsidRPr="00826327">
        <w:rPr>
          <w:rFonts w:ascii="Times New Roman" w:hAnsi="Times New Roman"/>
          <w:sz w:val="24"/>
          <w:szCs w:val="24"/>
        </w:rPr>
        <w:t xml:space="preserve"> </w:t>
      </w:r>
    </w:p>
    <w:p w14:paraId="4AC7CBF3" w14:textId="77777777" w:rsidR="00826327" w:rsidRPr="00826327" w:rsidRDefault="00826327" w:rsidP="00826327">
      <w:pPr>
        <w:rPr>
          <w:rFonts w:ascii="Times New Roman" w:hAnsi="Times New Roman"/>
          <w:b/>
          <w:bCs/>
          <w:sz w:val="24"/>
          <w:szCs w:val="24"/>
        </w:rPr>
      </w:pPr>
      <w:r w:rsidRPr="00826327">
        <w:rPr>
          <w:rFonts w:ascii="Times New Roman" w:hAnsi="Times New Roman"/>
          <w:b/>
          <w:sz w:val="24"/>
          <w:szCs w:val="24"/>
        </w:rPr>
        <w:t xml:space="preserve">Legal lesson learned:  “Reasonable suspicion” includes questionable responses by ambulance driver concerning how ambulance was seriously damaged. </w:t>
      </w:r>
    </w:p>
    <w:p w14:paraId="136B016B" w14:textId="77777777" w:rsidR="00020106" w:rsidRDefault="00020106" w:rsidP="00F326E5">
      <w:pPr>
        <w:rPr>
          <w:rFonts w:ascii="Arial Black" w:hAnsi="Arial Black"/>
          <w:b/>
          <w:sz w:val="24"/>
          <w:szCs w:val="24"/>
        </w:rPr>
      </w:pPr>
    </w:p>
    <w:p w14:paraId="2286877B" w14:textId="6721B6B4" w:rsidR="00707821" w:rsidRDefault="00707821" w:rsidP="00F326E5">
      <w:pPr>
        <w:rPr>
          <w:rFonts w:ascii="Arial Black" w:hAnsi="Arial Black"/>
          <w:b/>
          <w:sz w:val="24"/>
          <w:szCs w:val="24"/>
        </w:rPr>
      </w:pPr>
      <w:r>
        <w:rPr>
          <w:rFonts w:ascii="Arial Black" w:hAnsi="Arial Black"/>
          <w:b/>
          <w:sz w:val="24"/>
          <w:szCs w:val="24"/>
        </w:rPr>
        <w:t>12-32</w:t>
      </w:r>
    </w:p>
    <w:p w14:paraId="244AD6AC" w14:textId="5D4CF884" w:rsidR="00707821" w:rsidRPr="009B58E5" w:rsidRDefault="00707821" w:rsidP="00707821">
      <w:pPr>
        <w:pStyle w:val="NoSpacing"/>
        <w:rPr>
          <w:rFonts w:ascii="Arial Black" w:hAnsi="Arial Black"/>
          <w:b/>
          <w:sz w:val="28"/>
          <w:szCs w:val="28"/>
        </w:rPr>
      </w:pPr>
      <w:r>
        <w:rPr>
          <w:rFonts w:ascii="Arial Black" w:hAnsi="Arial Black"/>
          <w:b/>
          <w:sz w:val="28"/>
          <w:szCs w:val="28"/>
        </w:rPr>
        <w:t xml:space="preserve">AL: FLIGHT RN - TAMPERED KETAMINE – </w:t>
      </w:r>
      <w:r w:rsidR="0017434A">
        <w:rPr>
          <w:rFonts w:ascii="Arial Black" w:hAnsi="Arial Black"/>
          <w:b/>
          <w:sz w:val="28"/>
          <w:szCs w:val="28"/>
        </w:rPr>
        <w:t>ONE YR FEDERAL PRISON</w:t>
      </w:r>
    </w:p>
    <w:p w14:paraId="661A44EC" w14:textId="77777777" w:rsidR="00707821" w:rsidRDefault="00707821" w:rsidP="00707821">
      <w:pPr>
        <w:pStyle w:val="NoSpacing"/>
        <w:rPr>
          <w:b/>
        </w:rPr>
      </w:pPr>
    </w:p>
    <w:p w14:paraId="18D2F3AB" w14:textId="77777777" w:rsidR="00707821" w:rsidRPr="00F065F7" w:rsidRDefault="00707821" w:rsidP="00707821">
      <w:pPr>
        <w:pStyle w:val="NoSpacing"/>
        <w:rPr>
          <w:rFonts w:ascii="Times New Roman" w:hAnsi="Times New Roman"/>
          <w:bCs/>
          <w:sz w:val="24"/>
          <w:szCs w:val="24"/>
        </w:rPr>
      </w:pPr>
      <w:r w:rsidRPr="00F065F7">
        <w:rPr>
          <w:rFonts w:ascii="Times New Roman" w:hAnsi="Times New Roman"/>
          <w:sz w:val="24"/>
          <w:szCs w:val="24"/>
        </w:rPr>
        <w:t xml:space="preserve">On March 21, 2025, </w:t>
      </w:r>
      <w:proofErr w:type="gramStart"/>
      <w:r w:rsidRPr="00F065F7">
        <w:rPr>
          <w:rFonts w:ascii="Times New Roman" w:hAnsi="Times New Roman"/>
          <w:sz w:val="24"/>
          <w:szCs w:val="24"/>
        </w:rPr>
        <w:t>in</w:t>
      </w:r>
      <w:proofErr w:type="gramEnd"/>
      <w:r w:rsidRPr="00F065F7">
        <w:rPr>
          <w:rFonts w:ascii="Times New Roman" w:hAnsi="Times New Roman"/>
          <w:sz w:val="24"/>
          <w:szCs w:val="24"/>
        </w:rPr>
        <w:t xml:space="preserve"> </w:t>
      </w:r>
      <w:r w:rsidRPr="00F065F7">
        <w:rPr>
          <w:rFonts w:ascii="Times New Roman" w:hAnsi="Times New Roman"/>
          <w:sz w:val="24"/>
          <w:szCs w:val="24"/>
          <w:u w:val="single"/>
        </w:rPr>
        <w:t xml:space="preserve">Ex </w:t>
      </w:r>
      <w:proofErr w:type="spellStart"/>
      <w:r w:rsidRPr="00F065F7">
        <w:rPr>
          <w:rFonts w:ascii="Times New Roman" w:hAnsi="Times New Roman"/>
          <w:sz w:val="24"/>
          <w:szCs w:val="24"/>
          <w:u w:val="single"/>
        </w:rPr>
        <w:t>parte</w:t>
      </w:r>
      <w:proofErr w:type="spellEnd"/>
      <w:r w:rsidRPr="00F065F7">
        <w:rPr>
          <w:rFonts w:ascii="Times New Roman" w:hAnsi="Times New Roman"/>
          <w:sz w:val="24"/>
          <w:szCs w:val="24"/>
          <w:u w:val="single"/>
        </w:rPr>
        <w:t xml:space="preserve"> Air Evac EMS, Inc. (In re: Ernest Charles Jones, by and through Ovetta Jones, as spouse and next friend) v. Bryan Heath Webster, et al.</w:t>
      </w:r>
      <w:r w:rsidRPr="00F065F7">
        <w:rPr>
          <w:rFonts w:ascii="Times New Roman" w:hAnsi="Times New Roman"/>
          <w:sz w:val="24"/>
          <w:szCs w:val="24"/>
        </w:rPr>
        <w:t xml:space="preserve">, the Supreme Court of Alabama held (7 to 0) that Air Evac’s motion for summary judgment on plaintiff’s amended complaint should have been granted; it was filed 6 years after the patient’s transport on Aug. 18, 2018 (well beyond the two-year statute of limitation) and dealt with flight nurse tampering with two vials of ketamine the day prior to the transport. The flight nurse, Bryan Heath Wester, pled guilty and was sentenced on Aug. 5, </w:t>
      </w:r>
      <w:proofErr w:type="gramStart"/>
      <w:r w:rsidRPr="00F065F7">
        <w:rPr>
          <w:rFonts w:ascii="Times New Roman" w:hAnsi="Times New Roman"/>
          <w:sz w:val="24"/>
          <w:szCs w:val="24"/>
        </w:rPr>
        <w:t>2019</w:t>
      </w:r>
      <w:proofErr w:type="gramEnd"/>
      <w:r w:rsidRPr="00F065F7">
        <w:rPr>
          <w:rFonts w:ascii="Times New Roman" w:hAnsi="Times New Roman"/>
          <w:sz w:val="24"/>
          <w:szCs w:val="24"/>
        </w:rPr>
        <w:t xml:space="preserve"> </w:t>
      </w:r>
      <w:proofErr w:type="gramStart"/>
      <w:r w:rsidRPr="00F065F7">
        <w:rPr>
          <w:rFonts w:ascii="Times New Roman" w:hAnsi="Times New Roman"/>
          <w:sz w:val="24"/>
          <w:szCs w:val="24"/>
        </w:rPr>
        <w:t>in</w:t>
      </w:r>
      <w:proofErr w:type="gramEnd"/>
      <w:r w:rsidRPr="00F065F7">
        <w:rPr>
          <w:rFonts w:ascii="Times New Roman" w:hAnsi="Times New Roman"/>
          <w:sz w:val="24"/>
          <w:szCs w:val="24"/>
        </w:rPr>
        <w:t xml:space="preserve"> federal court to one year in prison [see details in Note below]. “Because the Joneses’ amended complaint ‘clearly addresses conduct distinct in kind and in time from the conduct alleged in [their] original complaint,’ … and ‘listed several actions by [the defendants] that [the Joneses] alleged had breached the applicable standard of care owed to [Earnest] that were entirely different than some of the actions listed in the original complaint,’ their amended complaint cannot relate back to the filing of their initial complaint.” </w:t>
      </w:r>
      <w:hyperlink r:id="rId1945" w:history="1">
        <w:r w:rsidRPr="00F065F7">
          <w:rPr>
            <w:rStyle w:val="Hyperlink"/>
            <w:rFonts w:ascii="Times New Roman" w:hAnsi="Times New Roman"/>
            <w:sz w:val="24"/>
            <w:szCs w:val="24"/>
          </w:rPr>
          <w:t>https://caselaw.findlaw.com/court/al-supreme-court/117080306.html</w:t>
        </w:r>
      </w:hyperlink>
      <w:r w:rsidRPr="00F065F7">
        <w:rPr>
          <w:rFonts w:ascii="Times New Roman" w:hAnsi="Times New Roman"/>
          <w:sz w:val="24"/>
          <w:szCs w:val="24"/>
        </w:rPr>
        <w:t xml:space="preserve"> </w:t>
      </w:r>
    </w:p>
    <w:p w14:paraId="0A1D6225" w14:textId="77777777" w:rsidR="00707821" w:rsidRPr="00F065F7" w:rsidRDefault="00707821" w:rsidP="00F326E5">
      <w:pPr>
        <w:rPr>
          <w:rFonts w:ascii="Times New Roman" w:hAnsi="Times New Roman"/>
          <w:b/>
          <w:sz w:val="24"/>
          <w:szCs w:val="24"/>
        </w:rPr>
      </w:pPr>
    </w:p>
    <w:p w14:paraId="67A00B31" w14:textId="77777777" w:rsidR="00012C74" w:rsidRPr="00F065F7" w:rsidRDefault="00012C74" w:rsidP="00012C74">
      <w:pPr>
        <w:pStyle w:val="NoSpacing"/>
        <w:rPr>
          <w:rFonts w:ascii="Times New Roman" w:hAnsi="Times New Roman"/>
          <w:b/>
          <w:bCs/>
          <w:sz w:val="24"/>
          <w:szCs w:val="24"/>
        </w:rPr>
      </w:pPr>
      <w:r w:rsidRPr="00F065F7">
        <w:rPr>
          <w:rFonts w:ascii="Times New Roman" w:hAnsi="Times New Roman"/>
          <w:b/>
          <w:sz w:val="24"/>
          <w:szCs w:val="24"/>
        </w:rPr>
        <w:t xml:space="preserve">Legal Lesson Learned: Read below details of how the tampering occurred; share with your </w:t>
      </w:r>
      <w:proofErr w:type="gramStart"/>
      <w:r w:rsidRPr="00F065F7">
        <w:rPr>
          <w:rFonts w:ascii="Times New Roman" w:hAnsi="Times New Roman"/>
          <w:b/>
          <w:sz w:val="24"/>
          <w:szCs w:val="24"/>
        </w:rPr>
        <w:t>crews</w:t>
      </w:r>
      <w:proofErr w:type="gramEnd"/>
      <w:r w:rsidRPr="00F065F7">
        <w:rPr>
          <w:rFonts w:ascii="Times New Roman" w:hAnsi="Times New Roman"/>
          <w:b/>
          <w:sz w:val="24"/>
          <w:szCs w:val="24"/>
        </w:rPr>
        <w:t xml:space="preserve">. </w:t>
      </w:r>
    </w:p>
    <w:p w14:paraId="01DA3344" w14:textId="77777777" w:rsidR="00012C74" w:rsidRPr="00F065F7" w:rsidRDefault="00012C74" w:rsidP="00012C74">
      <w:pPr>
        <w:pStyle w:val="NoSpacing"/>
        <w:rPr>
          <w:rFonts w:ascii="Times New Roman" w:hAnsi="Times New Roman"/>
          <w:bCs/>
          <w:sz w:val="24"/>
          <w:szCs w:val="24"/>
        </w:rPr>
      </w:pPr>
    </w:p>
    <w:p w14:paraId="2AED70BA" w14:textId="77777777" w:rsidR="00012C74" w:rsidRPr="00F065F7" w:rsidRDefault="00012C74" w:rsidP="00012C74">
      <w:pPr>
        <w:pStyle w:val="NoSpacing"/>
        <w:rPr>
          <w:rFonts w:ascii="Times New Roman" w:hAnsi="Times New Roman"/>
          <w:bCs/>
          <w:sz w:val="24"/>
          <w:szCs w:val="24"/>
        </w:rPr>
      </w:pPr>
      <w:r w:rsidRPr="00F065F7">
        <w:rPr>
          <w:rFonts w:ascii="Times New Roman" w:hAnsi="Times New Roman"/>
          <w:sz w:val="24"/>
          <w:szCs w:val="24"/>
        </w:rPr>
        <w:tab/>
        <w:t>Note: Aug. 5, 2019: U.S. Department of Justice / Press Release.</w:t>
      </w:r>
    </w:p>
    <w:p w14:paraId="720A4BD0" w14:textId="77777777" w:rsidR="00012C74" w:rsidRPr="00F065F7" w:rsidRDefault="00012C74" w:rsidP="00012C74">
      <w:pPr>
        <w:pStyle w:val="NoSpacing"/>
        <w:rPr>
          <w:rFonts w:ascii="Times New Roman" w:hAnsi="Times New Roman"/>
          <w:bCs/>
          <w:sz w:val="24"/>
          <w:szCs w:val="24"/>
        </w:rPr>
      </w:pPr>
    </w:p>
    <w:p w14:paraId="100B5CE8" w14:textId="77777777" w:rsidR="00012C74" w:rsidRPr="00F065F7" w:rsidRDefault="00012C74" w:rsidP="00012C74">
      <w:pPr>
        <w:pStyle w:val="NoSpacing"/>
        <w:ind w:left="720"/>
        <w:rPr>
          <w:rFonts w:ascii="Times New Roman" w:hAnsi="Times New Roman"/>
          <w:bCs/>
          <w:sz w:val="24"/>
          <w:szCs w:val="24"/>
        </w:rPr>
      </w:pPr>
      <w:r w:rsidRPr="00F065F7">
        <w:rPr>
          <w:rFonts w:ascii="Times New Roman" w:hAnsi="Times New Roman"/>
          <w:sz w:val="24"/>
          <w:szCs w:val="24"/>
        </w:rPr>
        <w:t xml:space="preserve">Former Paramedic and Flight Nurse Receives One Year in Prison for Tampering with Ketamine Vials. </w:t>
      </w:r>
    </w:p>
    <w:p w14:paraId="1EF7EAF4" w14:textId="77777777" w:rsidR="00012C74" w:rsidRPr="00F065F7" w:rsidRDefault="00012C74" w:rsidP="00012C74">
      <w:pPr>
        <w:pStyle w:val="NoSpacing"/>
        <w:rPr>
          <w:rFonts w:ascii="Times New Roman" w:hAnsi="Times New Roman"/>
          <w:b/>
          <w:sz w:val="24"/>
          <w:szCs w:val="24"/>
        </w:rPr>
      </w:pPr>
    </w:p>
    <w:p w14:paraId="27FD4EBC" w14:textId="77777777" w:rsidR="00012C74" w:rsidRPr="00F065F7" w:rsidRDefault="00012C74" w:rsidP="00012C74">
      <w:pPr>
        <w:pStyle w:val="NoSpacing"/>
        <w:ind w:left="720"/>
        <w:rPr>
          <w:rFonts w:ascii="Times New Roman" w:hAnsi="Times New Roman"/>
          <w:bCs/>
          <w:sz w:val="24"/>
          <w:szCs w:val="24"/>
        </w:rPr>
      </w:pPr>
      <w:r w:rsidRPr="00F065F7">
        <w:rPr>
          <w:rFonts w:ascii="Times New Roman" w:hAnsi="Times New Roman"/>
          <w:sz w:val="24"/>
          <w:szCs w:val="24"/>
        </w:rPr>
        <w:t xml:space="preserve">United States Attorney Richard W. Moore of the Southern District of Alabama announces today that United States District Judge Jeffrey U. </w:t>
      </w:r>
      <w:proofErr w:type="spellStart"/>
      <w:r w:rsidRPr="00F065F7">
        <w:rPr>
          <w:rFonts w:ascii="Times New Roman" w:hAnsi="Times New Roman"/>
          <w:sz w:val="24"/>
          <w:szCs w:val="24"/>
        </w:rPr>
        <w:t>Beaverstock</w:t>
      </w:r>
      <w:proofErr w:type="spellEnd"/>
      <w:r w:rsidRPr="00F065F7">
        <w:rPr>
          <w:rFonts w:ascii="Times New Roman" w:hAnsi="Times New Roman"/>
          <w:sz w:val="24"/>
          <w:szCs w:val="24"/>
        </w:rPr>
        <w:t xml:space="preserve"> sentenced defendant Bryan Heath Wester, 43, a resident of Springville, Alabama, to imprisonment for 12 months and one day for tampering with a consumer product. As part of the sentence, the judge ordered that Wester undergo three years of supervised release after finishing his term of imprisonment, pay a $100 mandatory special assessment, </w:t>
      </w:r>
      <w:r w:rsidRPr="00F065F7">
        <w:rPr>
          <w:rFonts w:ascii="Times New Roman" w:hAnsi="Times New Roman"/>
          <w:sz w:val="24"/>
          <w:szCs w:val="24"/>
        </w:rPr>
        <w:lastRenderedPageBreak/>
        <w:t>receive substance abuse and mental health treatment as directed by the U.S. Probation Office, and pay restitution totaling $511.48 to a patient-victim in the case.</w:t>
      </w:r>
    </w:p>
    <w:p w14:paraId="3BC24FB3" w14:textId="77777777" w:rsidR="00012C74" w:rsidRPr="00F065F7" w:rsidRDefault="00012C74" w:rsidP="00012C74">
      <w:pPr>
        <w:pStyle w:val="NoSpacing"/>
        <w:rPr>
          <w:rFonts w:ascii="Times New Roman" w:hAnsi="Times New Roman"/>
          <w:b/>
          <w:sz w:val="24"/>
          <w:szCs w:val="24"/>
        </w:rPr>
      </w:pPr>
    </w:p>
    <w:p w14:paraId="287851DB" w14:textId="77777777" w:rsidR="00012C74" w:rsidRPr="00F065F7" w:rsidRDefault="00012C74" w:rsidP="00012C74">
      <w:pPr>
        <w:pStyle w:val="NoSpacing"/>
        <w:ind w:firstLine="720"/>
        <w:rPr>
          <w:rFonts w:ascii="Times New Roman" w:hAnsi="Times New Roman"/>
          <w:b/>
          <w:sz w:val="24"/>
          <w:szCs w:val="24"/>
        </w:rPr>
      </w:pPr>
      <w:r w:rsidRPr="00F065F7">
        <w:rPr>
          <w:rFonts w:ascii="Times New Roman" w:hAnsi="Times New Roman"/>
          <w:b/>
          <w:sz w:val="24"/>
          <w:szCs w:val="24"/>
        </w:rPr>
        <w:t>***</w:t>
      </w:r>
    </w:p>
    <w:p w14:paraId="2AE91181" w14:textId="77777777" w:rsidR="00012C74" w:rsidRPr="00F065F7" w:rsidRDefault="00012C74" w:rsidP="00012C74">
      <w:pPr>
        <w:pStyle w:val="NoSpacing"/>
        <w:rPr>
          <w:rFonts w:ascii="Times New Roman" w:hAnsi="Times New Roman"/>
          <w:b/>
          <w:sz w:val="24"/>
          <w:szCs w:val="24"/>
        </w:rPr>
      </w:pPr>
    </w:p>
    <w:p w14:paraId="4A515EA0" w14:textId="77777777" w:rsidR="00012C74" w:rsidRPr="00F065F7" w:rsidRDefault="00012C74" w:rsidP="00012C74">
      <w:pPr>
        <w:pStyle w:val="NoSpacing"/>
        <w:ind w:left="720"/>
        <w:rPr>
          <w:rFonts w:ascii="Times New Roman" w:hAnsi="Times New Roman"/>
          <w:bCs/>
          <w:sz w:val="24"/>
          <w:szCs w:val="24"/>
        </w:rPr>
      </w:pPr>
      <w:r w:rsidRPr="00F065F7">
        <w:rPr>
          <w:rFonts w:ascii="Times New Roman" w:hAnsi="Times New Roman"/>
          <w:sz w:val="24"/>
          <w:szCs w:val="24"/>
        </w:rPr>
        <w:t xml:space="preserve">Wester </w:t>
      </w:r>
      <w:proofErr w:type="gramStart"/>
      <w:r w:rsidRPr="00F065F7">
        <w:rPr>
          <w:rFonts w:ascii="Times New Roman" w:hAnsi="Times New Roman"/>
          <w:sz w:val="24"/>
          <w:szCs w:val="24"/>
        </w:rPr>
        <w:t>admitted to</w:t>
      </w:r>
      <w:proofErr w:type="gramEnd"/>
      <w:r w:rsidRPr="00F065F7">
        <w:rPr>
          <w:rFonts w:ascii="Times New Roman" w:hAnsi="Times New Roman"/>
          <w:sz w:val="24"/>
          <w:szCs w:val="24"/>
        </w:rPr>
        <w:t xml:space="preserve"> the following facts at his plea hearing. He was previously a licensed nurse and a paramedic who worked for an air ambulance service in Demopolis, Alabama. On August 26, 2018, Wester, with reckless disregard for the risk that another person would be placed in danger of death and bodily injury, and under circumstances manifesting extreme indifference to such risk, tampered with ketamine hydrochloride (ketamine), a consumer product that was manufactured outside of Alabama and affected interstate commerce. Wester accessed the controlled substances box inside a locked safe located on board an emergency helicopter, removed ketamine from two vials, and replaced the removed ketamine with saline, knowing that the ketamine was intended to be administered via injection to critically ill and injured patients being transported by helicopter for emergency treatment. </w:t>
      </w:r>
    </w:p>
    <w:p w14:paraId="2EA7F505" w14:textId="77777777" w:rsidR="00012C74" w:rsidRPr="00F065F7" w:rsidRDefault="00012C74" w:rsidP="00012C74">
      <w:pPr>
        <w:pStyle w:val="NoSpacing"/>
        <w:rPr>
          <w:rFonts w:ascii="Times New Roman" w:hAnsi="Times New Roman"/>
          <w:bCs/>
          <w:sz w:val="24"/>
          <w:szCs w:val="24"/>
        </w:rPr>
      </w:pPr>
    </w:p>
    <w:p w14:paraId="7C6F92EF" w14:textId="77777777" w:rsidR="00012C74" w:rsidRPr="00F065F7" w:rsidRDefault="00012C74" w:rsidP="00012C74">
      <w:pPr>
        <w:pStyle w:val="NoSpacing"/>
        <w:ind w:left="720"/>
        <w:rPr>
          <w:rFonts w:ascii="Times New Roman" w:hAnsi="Times New Roman"/>
          <w:bCs/>
          <w:sz w:val="24"/>
          <w:szCs w:val="24"/>
        </w:rPr>
      </w:pPr>
      <w:r w:rsidRPr="00F065F7">
        <w:rPr>
          <w:rFonts w:ascii="Times New Roman" w:hAnsi="Times New Roman"/>
          <w:sz w:val="24"/>
          <w:szCs w:val="24"/>
        </w:rPr>
        <w:t xml:space="preserve">On August 27, 2018, a critically injured patient required air transport to Mobile, Alabama. The patient had been run over by a cow and suffered head trauma and loss of consciousness. The on-board nurse attempted to administer ketamine. The vial appeared to have a blue glue on the cap. When the needle was inserted, the vial did not appear to be vacuum sealed. The nurse administered the </w:t>
      </w:r>
      <w:proofErr w:type="gramStart"/>
      <w:r w:rsidRPr="00F065F7">
        <w:rPr>
          <w:rFonts w:ascii="Times New Roman" w:hAnsi="Times New Roman"/>
          <w:sz w:val="24"/>
          <w:szCs w:val="24"/>
        </w:rPr>
        <w:t>dose</w:t>
      </w:r>
      <w:proofErr w:type="gramEnd"/>
      <w:r w:rsidRPr="00F065F7">
        <w:rPr>
          <w:rFonts w:ascii="Times New Roman" w:hAnsi="Times New Roman"/>
          <w:sz w:val="24"/>
          <w:szCs w:val="24"/>
        </w:rPr>
        <w:t xml:space="preserve"> but it did not have the anticipated effect. The nurse then obtained a second vial of ketamine and found that the cap had been glued on. </w:t>
      </w:r>
    </w:p>
    <w:p w14:paraId="5F64DE06" w14:textId="77777777" w:rsidR="00012C74" w:rsidRPr="00F065F7" w:rsidRDefault="00012C74" w:rsidP="00012C74">
      <w:pPr>
        <w:pStyle w:val="NoSpacing"/>
        <w:rPr>
          <w:rFonts w:ascii="Times New Roman" w:hAnsi="Times New Roman"/>
          <w:bCs/>
          <w:sz w:val="24"/>
          <w:szCs w:val="24"/>
        </w:rPr>
      </w:pPr>
    </w:p>
    <w:p w14:paraId="3BA6681E" w14:textId="77777777" w:rsidR="00012C74" w:rsidRPr="00F065F7" w:rsidRDefault="00012C74" w:rsidP="00012C74">
      <w:pPr>
        <w:pStyle w:val="NoSpacing"/>
        <w:ind w:left="720"/>
        <w:rPr>
          <w:rFonts w:ascii="Times New Roman" w:hAnsi="Times New Roman"/>
          <w:bCs/>
          <w:sz w:val="24"/>
          <w:szCs w:val="24"/>
        </w:rPr>
      </w:pPr>
      <w:r w:rsidRPr="00F065F7">
        <w:rPr>
          <w:rFonts w:ascii="Times New Roman" w:hAnsi="Times New Roman"/>
          <w:sz w:val="24"/>
          <w:szCs w:val="24"/>
        </w:rPr>
        <w:t xml:space="preserve">On August 30, 2018, a special agent with the Food and Drug Administration (FDA)’s Office of Criminal Investigations interviewed Wester, who admitted to removing ketamine from two vials on August 26. According to his statements, around midday on August 26 Wester asked another nurse on duty for the nurse’s set of keys to the locked narcotics on the helicopter, telling the other nurse that he would do the equipment check. The nurse gave Wester the keys. Wester opened the safe and did not lock one side back. The two-key lock system allowed Wester to return later with his own keys and access the safe. Later that evening, Wester went out to the helicopter, withdrew the ketamine from two vials, and replaced it with saline. Wester re-glued the tops of the vials with </w:t>
      </w:r>
      <w:proofErr w:type="spellStart"/>
      <w:r w:rsidRPr="00F065F7">
        <w:rPr>
          <w:rFonts w:ascii="Times New Roman" w:hAnsi="Times New Roman"/>
          <w:sz w:val="24"/>
          <w:szCs w:val="24"/>
        </w:rPr>
        <w:t>dermabond</w:t>
      </w:r>
      <w:proofErr w:type="spellEnd"/>
      <w:r w:rsidRPr="00F065F7">
        <w:rPr>
          <w:rFonts w:ascii="Times New Roman" w:hAnsi="Times New Roman"/>
          <w:sz w:val="24"/>
          <w:szCs w:val="24"/>
        </w:rPr>
        <w:t>. There was a zip-tie securing the plastic narcotics box inside the safe; Wester cut the zip-tie off and replaced it with a new one. Wester also changed the number in the logbook to reflect the new number. The old number ended in a “2.” Wester changed it to a “1.”</w:t>
      </w:r>
    </w:p>
    <w:p w14:paraId="79F51BDD" w14:textId="77777777" w:rsidR="00012C74" w:rsidRPr="003D63D9" w:rsidRDefault="00012C74" w:rsidP="00012C74">
      <w:pPr>
        <w:pStyle w:val="NoSpacing"/>
        <w:rPr>
          <w:bCs/>
        </w:rPr>
      </w:pPr>
    </w:p>
    <w:p w14:paraId="4B3AECBD" w14:textId="77777777" w:rsidR="00012C74" w:rsidRDefault="00012C74" w:rsidP="00012C74">
      <w:pPr>
        <w:pStyle w:val="NoSpacing"/>
        <w:rPr>
          <w:b/>
        </w:rPr>
      </w:pPr>
    </w:p>
    <w:p w14:paraId="302A738F" w14:textId="77777777" w:rsidR="00012C74" w:rsidRDefault="00012C74" w:rsidP="00F326E5">
      <w:pPr>
        <w:rPr>
          <w:rFonts w:ascii="Arial Black" w:hAnsi="Arial Black"/>
          <w:b/>
          <w:sz w:val="24"/>
          <w:szCs w:val="24"/>
        </w:rPr>
      </w:pPr>
    </w:p>
    <w:p w14:paraId="3EE69F75" w14:textId="77777777" w:rsidR="00707821" w:rsidRDefault="00707821" w:rsidP="00F326E5">
      <w:pPr>
        <w:rPr>
          <w:rFonts w:ascii="Arial Black" w:hAnsi="Arial Black"/>
          <w:b/>
          <w:sz w:val="24"/>
          <w:szCs w:val="24"/>
        </w:rPr>
      </w:pPr>
    </w:p>
    <w:p w14:paraId="3F4DB0D5" w14:textId="77777777" w:rsidR="00707821" w:rsidRDefault="00707821" w:rsidP="00F326E5">
      <w:pPr>
        <w:rPr>
          <w:rFonts w:ascii="Arial Black" w:hAnsi="Arial Black"/>
          <w:b/>
          <w:sz w:val="24"/>
          <w:szCs w:val="24"/>
        </w:rPr>
      </w:pPr>
    </w:p>
    <w:p w14:paraId="6A5A9D4D" w14:textId="30802665" w:rsidR="00131912" w:rsidRDefault="00131912" w:rsidP="00F326E5">
      <w:pPr>
        <w:rPr>
          <w:rFonts w:ascii="Arial Black" w:hAnsi="Arial Black"/>
          <w:b/>
          <w:sz w:val="24"/>
          <w:szCs w:val="24"/>
        </w:rPr>
      </w:pPr>
      <w:r>
        <w:rPr>
          <w:rFonts w:ascii="Arial Black" w:hAnsi="Arial Black"/>
          <w:b/>
          <w:sz w:val="24"/>
          <w:szCs w:val="24"/>
        </w:rPr>
        <w:t>12-31</w:t>
      </w:r>
    </w:p>
    <w:p w14:paraId="22710BCE" w14:textId="77777777" w:rsidR="00131912" w:rsidRPr="0089400B" w:rsidRDefault="00131912" w:rsidP="00131912">
      <w:pPr>
        <w:pStyle w:val="NoSpacing"/>
        <w:rPr>
          <w:rFonts w:ascii="Arial Black" w:hAnsi="Arial Black"/>
          <w:sz w:val="28"/>
          <w:szCs w:val="28"/>
        </w:rPr>
      </w:pPr>
      <w:r w:rsidRPr="0089400B">
        <w:rPr>
          <w:rFonts w:ascii="Arial Black" w:hAnsi="Arial Black"/>
          <w:sz w:val="28"/>
          <w:szCs w:val="28"/>
        </w:rPr>
        <w:t>MA: FF PINPOINT PUPILS – DELAY DRUG TEST / CBD - FIRED</w:t>
      </w:r>
    </w:p>
    <w:p w14:paraId="65DE9069" w14:textId="77777777" w:rsidR="00131912" w:rsidRPr="0089400B" w:rsidRDefault="00131912" w:rsidP="00131912">
      <w:pPr>
        <w:pStyle w:val="NoSpacing"/>
        <w:rPr>
          <w:rFonts w:ascii="Times New Roman" w:hAnsi="Times New Roman"/>
          <w:sz w:val="24"/>
          <w:szCs w:val="24"/>
        </w:rPr>
      </w:pPr>
    </w:p>
    <w:p w14:paraId="36950906" w14:textId="77777777" w:rsidR="003E0872" w:rsidRDefault="00131912" w:rsidP="003E0872">
      <w:pPr>
        <w:pStyle w:val="NoSpacing"/>
      </w:pPr>
      <w:r w:rsidRPr="0089400B">
        <w:rPr>
          <w:rFonts w:ascii="Times New Roman" w:hAnsi="Times New Roman"/>
          <w:sz w:val="24"/>
          <w:szCs w:val="24"/>
        </w:rPr>
        <w:t xml:space="preserve">On March 20, 2025, in </w:t>
      </w:r>
      <w:r w:rsidRPr="0089400B">
        <w:rPr>
          <w:rFonts w:ascii="Times New Roman" w:hAnsi="Times New Roman"/>
          <w:sz w:val="24"/>
          <w:szCs w:val="24"/>
          <w:u w:val="single"/>
        </w:rPr>
        <w:t>Patrick F. Burns, Sr, v. The City of Worchester, et al</w:t>
      </w:r>
      <w:r w:rsidRPr="0089400B">
        <w:rPr>
          <w:rFonts w:ascii="Times New Roman" w:hAnsi="Times New Roman"/>
          <w:sz w:val="24"/>
          <w:szCs w:val="24"/>
        </w:rPr>
        <w:t xml:space="preserve">., U.S. District Court Judge Margaret R. Guzman, U.S. District Court for the District of Massachusetts, granted the city’s motion to dismiss.  A Deputy Fire Chief observed the firefighter with “pinpoint” pupils during Recue 1 training on September 7, </w:t>
      </w:r>
      <w:proofErr w:type="gramStart"/>
      <w:r w:rsidRPr="0089400B">
        <w:rPr>
          <w:rFonts w:ascii="Times New Roman" w:hAnsi="Times New Roman"/>
          <w:sz w:val="24"/>
          <w:szCs w:val="24"/>
        </w:rPr>
        <w:t>2023</w:t>
      </w:r>
      <w:proofErr w:type="gramEnd"/>
      <w:r w:rsidRPr="0089400B">
        <w:rPr>
          <w:rFonts w:ascii="Times New Roman" w:hAnsi="Times New Roman"/>
          <w:sz w:val="24"/>
          <w:szCs w:val="24"/>
        </w:rPr>
        <w:t xml:space="preserve"> and ordered him to take drug test.  The firefighter didn’t take urine test until Nov. 8.  “Burns had recently begun the lawful off-duty use of prescribed oral cannabidiol (CBD), a non-intoxicating derivative of cannabis, as a sleep aid; he was unsure how this could affect drug test results or how such results might be interpreted or </w:t>
      </w:r>
      <w:r w:rsidRPr="0089400B">
        <w:rPr>
          <w:rFonts w:ascii="Times New Roman" w:hAnsi="Times New Roman"/>
          <w:sz w:val="24"/>
          <w:szCs w:val="24"/>
        </w:rPr>
        <w:lastRenderedPageBreak/>
        <w:t xml:space="preserve">portrayed. He was suspended without pay since Oct. 8, 2023, and on Jan. 21, </w:t>
      </w:r>
      <w:proofErr w:type="gramStart"/>
      <w:r w:rsidRPr="0089400B">
        <w:rPr>
          <w:rFonts w:ascii="Times New Roman" w:hAnsi="Times New Roman"/>
          <w:sz w:val="24"/>
          <w:szCs w:val="24"/>
        </w:rPr>
        <w:t>2024</w:t>
      </w:r>
      <w:proofErr w:type="gramEnd"/>
      <w:r w:rsidRPr="0089400B">
        <w:rPr>
          <w:rFonts w:ascii="Times New Roman" w:hAnsi="Times New Roman"/>
          <w:sz w:val="24"/>
          <w:szCs w:val="24"/>
        </w:rPr>
        <w:t xml:space="preserve"> the FD offered him a substance abuse agreement [which he rejected].  The agreement “required Burns to accept its premise that he was an admitted drug abuser…. The agreement called for Burns to complete treatment with a licensed substance abuse rehabilitation program and provide negative results from hair, urine, and breathalyzer tests, or to accept a ‘last chance agreement’ requiring three years of highly intrusive drug testing on demand with ‘physical inspection’ before providing a urine sample and provision of each sample ‘under direct observation.’ …  The agreement also included ‘permanent transfer off the Rescue [unit] and outside the Franklin Street Fire Station’ with Burns to be barred from assignment to that station ‘even on a temporary basis.’ The letter stated the </w:t>
      </w:r>
      <w:proofErr w:type="gramStart"/>
      <w:r w:rsidRPr="0089400B">
        <w:rPr>
          <w:rFonts w:ascii="Times New Roman" w:hAnsi="Times New Roman"/>
          <w:sz w:val="24"/>
          <w:szCs w:val="24"/>
        </w:rPr>
        <w:t>City</w:t>
      </w:r>
      <w:proofErr w:type="gramEnd"/>
      <w:r w:rsidRPr="0089400B">
        <w:rPr>
          <w:rFonts w:ascii="Times New Roman" w:hAnsi="Times New Roman"/>
          <w:sz w:val="24"/>
          <w:szCs w:val="24"/>
        </w:rPr>
        <w:t xml:space="preserve"> would ‘move for your termination’ if Burns did not return the signed agreement within 10 days.”  His termination was upheld by a city Hearing Officer upheld after full hearing on June 7, 2023; and by Civil Service Commission on June 27, </w:t>
      </w:r>
      <w:proofErr w:type="gramStart"/>
      <w:r w:rsidRPr="0089400B">
        <w:rPr>
          <w:rFonts w:ascii="Times New Roman" w:hAnsi="Times New Roman"/>
          <w:sz w:val="24"/>
          <w:szCs w:val="24"/>
        </w:rPr>
        <w:t>2024</w:t>
      </w:r>
      <w:proofErr w:type="gramEnd"/>
      <w:r w:rsidRPr="0089400B">
        <w:rPr>
          <w:rFonts w:ascii="Times New Roman" w:hAnsi="Times New Roman"/>
          <w:sz w:val="24"/>
          <w:szCs w:val="24"/>
        </w:rPr>
        <w:t xml:space="preserve"> after a hearing.”</w:t>
      </w:r>
      <w:r w:rsidR="003E0872">
        <w:rPr>
          <w:rFonts w:ascii="Times New Roman" w:hAnsi="Times New Roman"/>
          <w:sz w:val="24"/>
          <w:szCs w:val="24"/>
        </w:rPr>
        <w:t xml:space="preserve"> </w:t>
      </w:r>
      <w:hyperlink r:id="rId1946" w:history="1">
        <w:r w:rsidR="003E0872" w:rsidRPr="00A02498">
          <w:rPr>
            <w:rStyle w:val="Hyperlink"/>
          </w:rPr>
          <w:t>https://public.fastcase.com/jaEE2PXzRXmZ99jOLMt1IkwLjDIafZivsAf6axO%2B3QZjm6x80NhvTxxrXJiS64do?utm_medium=email&amp;_hsenc=p2ANqtz-_ZLiMFX9yN1wO2MCWrhyQko1U4dUXhzxPQAtrBDBjCrjbe9Dh7_kNIbfrc-1zaAPZ0Y1FmrwNmXCeWeaeUVjh5p5R-nw&amp;_hsmi=226712652&amp;utm_content=226712652&amp;utm_source=hs_email</w:t>
        </w:r>
      </w:hyperlink>
      <w:r w:rsidR="003E0872">
        <w:t xml:space="preserve"> </w:t>
      </w:r>
    </w:p>
    <w:p w14:paraId="0E880446" w14:textId="77777777" w:rsidR="003E0872" w:rsidRDefault="003E0872" w:rsidP="003E0872">
      <w:pPr>
        <w:pStyle w:val="NoSpacing"/>
      </w:pPr>
    </w:p>
    <w:p w14:paraId="2656FD4A" w14:textId="1318A3C9" w:rsidR="00131912" w:rsidRPr="0089400B" w:rsidRDefault="00131912" w:rsidP="00131912">
      <w:pPr>
        <w:pStyle w:val="NoSpacing"/>
        <w:rPr>
          <w:rFonts w:ascii="Times New Roman" w:hAnsi="Times New Roman"/>
          <w:sz w:val="24"/>
          <w:szCs w:val="24"/>
        </w:rPr>
      </w:pPr>
    </w:p>
    <w:p w14:paraId="56CACE56" w14:textId="77777777" w:rsidR="0089400B" w:rsidRPr="0089400B" w:rsidRDefault="0089400B" w:rsidP="0089400B">
      <w:pPr>
        <w:pStyle w:val="NoSpacing"/>
        <w:rPr>
          <w:rFonts w:ascii="Times New Roman" w:hAnsi="Times New Roman"/>
          <w:b/>
          <w:sz w:val="24"/>
          <w:szCs w:val="24"/>
        </w:rPr>
      </w:pPr>
    </w:p>
    <w:p w14:paraId="6E5747C4" w14:textId="07DA2504" w:rsidR="0089400B" w:rsidRPr="0089400B" w:rsidRDefault="0089400B" w:rsidP="0089400B">
      <w:pPr>
        <w:pStyle w:val="NoSpacing"/>
        <w:rPr>
          <w:rFonts w:ascii="Times New Roman" w:hAnsi="Times New Roman"/>
          <w:b/>
          <w:bCs/>
          <w:sz w:val="24"/>
          <w:szCs w:val="24"/>
        </w:rPr>
      </w:pPr>
      <w:r w:rsidRPr="0089400B">
        <w:rPr>
          <w:rFonts w:ascii="Times New Roman" w:hAnsi="Times New Roman"/>
          <w:b/>
          <w:sz w:val="24"/>
          <w:szCs w:val="24"/>
        </w:rPr>
        <w:t xml:space="preserve">Legal Lesson Learned: Firefighting is a “safety-sensitive” job and employer may order drug test if there is reasonable suspicion.  </w:t>
      </w:r>
    </w:p>
    <w:p w14:paraId="25692397" w14:textId="77777777" w:rsidR="0089400B" w:rsidRPr="0089400B" w:rsidRDefault="0089400B" w:rsidP="0089400B">
      <w:pPr>
        <w:pStyle w:val="NoSpacing"/>
        <w:rPr>
          <w:rFonts w:ascii="Times New Roman" w:hAnsi="Times New Roman"/>
          <w:sz w:val="24"/>
          <w:szCs w:val="24"/>
        </w:rPr>
      </w:pPr>
    </w:p>
    <w:p w14:paraId="38429B94" w14:textId="77777777" w:rsidR="0089400B" w:rsidRDefault="0089400B" w:rsidP="00131912">
      <w:pPr>
        <w:pStyle w:val="NoSpacing"/>
      </w:pPr>
    </w:p>
    <w:p w14:paraId="101F78FC" w14:textId="77777777" w:rsidR="00131912" w:rsidRDefault="00131912" w:rsidP="00F326E5">
      <w:pPr>
        <w:rPr>
          <w:rFonts w:ascii="Arial Black" w:hAnsi="Arial Black"/>
          <w:b/>
          <w:sz w:val="24"/>
          <w:szCs w:val="24"/>
        </w:rPr>
      </w:pPr>
    </w:p>
    <w:p w14:paraId="1D88A510" w14:textId="77777777" w:rsidR="00131912" w:rsidRDefault="00131912" w:rsidP="00F326E5">
      <w:pPr>
        <w:rPr>
          <w:rFonts w:ascii="Arial Black" w:hAnsi="Arial Black"/>
          <w:b/>
          <w:sz w:val="24"/>
          <w:szCs w:val="24"/>
        </w:rPr>
      </w:pPr>
    </w:p>
    <w:p w14:paraId="5BB7BB4B" w14:textId="77777777" w:rsidR="00131912" w:rsidRDefault="00131912" w:rsidP="00F326E5">
      <w:pPr>
        <w:rPr>
          <w:rFonts w:ascii="Arial Black" w:hAnsi="Arial Black"/>
          <w:b/>
          <w:sz w:val="24"/>
          <w:szCs w:val="24"/>
        </w:rPr>
      </w:pPr>
    </w:p>
    <w:p w14:paraId="08E6AC15" w14:textId="1E311322" w:rsidR="00EE6BDE" w:rsidRDefault="00EE6BDE" w:rsidP="00F326E5">
      <w:pPr>
        <w:rPr>
          <w:rFonts w:ascii="Arial Black" w:hAnsi="Arial Black"/>
          <w:b/>
          <w:sz w:val="24"/>
          <w:szCs w:val="24"/>
        </w:rPr>
      </w:pPr>
      <w:r>
        <w:rPr>
          <w:rFonts w:ascii="Arial Black" w:hAnsi="Arial Black"/>
          <w:b/>
          <w:sz w:val="24"/>
          <w:szCs w:val="24"/>
        </w:rPr>
        <w:t>12-30</w:t>
      </w:r>
    </w:p>
    <w:p w14:paraId="10BA2680" w14:textId="77777777" w:rsidR="00EE6BDE" w:rsidRPr="000B7F2C" w:rsidRDefault="00EE6BDE" w:rsidP="00EE6BDE">
      <w:pPr>
        <w:rPr>
          <w:rFonts w:ascii="Arial Black" w:hAnsi="Arial Black"/>
          <w:sz w:val="28"/>
          <w:szCs w:val="28"/>
        </w:rPr>
      </w:pPr>
      <w:r w:rsidRPr="000B7F2C">
        <w:rPr>
          <w:rFonts w:ascii="Arial Black" w:hAnsi="Arial Black"/>
          <w:sz w:val="28"/>
          <w:szCs w:val="28"/>
        </w:rPr>
        <w:t xml:space="preserve">PA: MEDICAL MJ – PTSD – LAB HIRE DEMOTED – NO ADA </w:t>
      </w:r>
    </w:p>
    <w:p w14:paraId="5063C9C0" w14:textId="77777777" w:rsidR="00EE6BDE" w:rsidRPr="00BA592A" w:rsidRDefault="00EE6BDE" w:rsidP="00EE6BDE">
      <w:pPr>
        <w:rPr>
          <w:rFonts w:ascii="Times New Roman" w:hAnsi="Times New Roman"/>
          <w:sz w:val="24"/>
          <w:szCs w:val="24"/>
        </w:rPr>
      </w:pPr>
      <w:r w:rsidRPr="00BA592A">
        <w:rPr>
          <w:rFonts w:ascii="Times New Roman" w:hAnsi="Times New Roman"/>
          <w:sz w:val="24"/>
          <w:szCs w:val="24"/>
        </w:rPr>
        <w:t xml:space="preserve">On Feb. 12, 2025, in </w:t>
      </w:r>
      <w:r w:rsidRPr="00BA592A">
        <w:rPr>
          <w:rFonts w:ascii="Times New Roman" w:hAnsi="Times New Roman"/>
          <w:sz w:val="24"/>
          <w:szCs w:val="24"/>
          <w:u w:val="single"/>
        </w:rPr>
        <w:t>Nicole Zimmerman v. Health Network Laboratories, L.P</w:t>
      </w:r>
      <w:r w:rsidRPr="00BA592A">
        <w:rPr>
          <w:rFonts w:ascii="Times New Roman" w:hAnsi="Times New Roman"/>
          <w:sz w:val="24"/>
          <w:szCs w:val="24"/>
        </w:rPr>
        <w:t xml:space="preserve">., United States District Court Judge Gail A. Weilheimer, U.S. District Court for Eastern District of Pennsylvania, granted defense motion for summary judgment’ medical marijuana use is not protected under the Americans with Disabilities Act (ADA).   The company (50 locations; 1,500 employees) hired the plaintiff on March 3, </w:t>
      </w:r>
      <w:proofErr w:type="gramStart"/>
      <w:r w:rsidRPr="00BA592A">
        <w:rPr>
          <w:rFonts w:ascii="Times New Roman" w:hAnsi="Times New Roman"/>
          <w:sz w:val="24"/>
          <w:szCs w:val="24"/>
        </w:rPr>
        <w:t>2022</w:t>
      </w:r>
      <w:proofErr w:type="gramEnd"/>
      <w:r w:rsidRPr="00BA592A">
        <w:rPr>
          <w:rFonts w:ascii="Times New Roman" w:hAnsi="Times New Roman"/>
          <w:sz w:val="24"/>
          <w:szCs w:val="24"/>
        </w:rPr>
        <w:t xml:space="preserve"> as a </w:t>
      </w:r>
      <w:proofErr w:type="gramStart"/>
      <w:r w:rsidRPr="00BA592A">
        <w:rPr>
          <w:rFonts w:ascii="Times New Roman" w:hAnsi="Times New Roman"/>
          <w:sz w:val="24"/>
          <w:szCs w:val="24"/>
        </w:rPr>
        <w:t>Phlebotomist</w:t>
      </w:r>
      <w:proofErr w:type="gramEnd"/>
      <w:r w:rsidRPr="00BA592A">
        <w:rPr>
          <w:rFonts w:ascii="Times New Roman" w:hAnsi="Times New Roman"/>
          <w:sz w:val="24"/>
          <w:szCs w:val="24"/>
        </w:rPr>
        <w:t xml:space="preserve"> II.  She suffers from Post-Traumatic Stress Disorder ("PTSD") and Generalized Anxiety Disorder ("GAD") and uses medical marijuana to support her treatment for these diagnoses.  On April 13, 2022, Ms. Zimmerman was instead offered a position as a Laboratory Assistant</w:t>
      </w:r>
      <w:r w:rsidRPr="00BA592A">
        <w:rPr>
          <w:rFonts w:ascii="Times New Roman" w:hAnsi="Times New Roman"/>
          <w:sz w:val="24"/>
          <w:szCs w:val="24"/>
          <w:vertAlign w:val="superscript"/>
        </w:rPr>
        <w:t xml:space="preserve"> </w:t>
      </w:r>
      <w:r w:rsidRPr="00BA592A">
        <w:rPr>
          <w:rFonts w:ascii="Times New Roman" w:hAnsi="Times New Roman"/>
          <w:sz w:val="24"/>
          <w:szCs w:val="24"/>
        </w:rPr>
        <w:t xml:space="preserve">[classified as non-safety sensitive] which constituted a demotion with a lower hourly rate of pay.  </w:t>
      </w:r>
      <w:hyperlink r:id="rId1947" w:history="1">
        <w:r w:rsidRPr="00BA592A">
          <w:rPr>
            <w:rStyle w:val="Hyperlink"/>
            <w:rFonts w:ascii="Times New Roman" w:hAnsi="Times New Roman"/>
            <w:sz w:val="24"/>
            <w:szCs w:val="24"/>
          </w:rPr>
          <w:t>https://public.fastcase.com/jaEE2PXzRXmZ99jOLMt1IkeXMb88bktridCVT2cNJQMzpCQ6GgqcAq9z2DsPb3SV?utm_medium=email&amp;_hsenc=p2ANqtz-85xVo1nyN3HdtXmyEBbnKz3steTpDAfhmpvG3xr6TrZ9DYf7Sn2b546JhEk92EHRSHghCxIzSuD7PvUX919GE5tGfx5g&amp;_hsmi=226712652&amp;utm_content=226712652&amp;utm_source=hs_email</w:t>
        </w:r>
      </w:hyperlink>
      <w:r w:rsidRPr="00BA592A">
        <w:rPr>
          <w:rFonts w:ascii="Times New Roman" w:hAnsi="Times New Roman"/>
          <w:sz w:val="24"/>
          <w:szCs w:val="24"/>
        </w:rPr>
        <w:t xml:space="preserve"> </w:t>
      </w:r>
    </w:p>
    <w:p w14:paraId="1F3FAF02" w14:textId="77777777" w:rsidR="00EE6BDE" w:rsidRPr="00BA592A" w:rsidRDefault="00EE6BDE" w:rsidP="00EE6BDE">
      <w:pPr>
        <w:pStyle w:val="NoSpacing"/>
        <w:rPr>
          <w:rFonts w:ascii="Times New Roman" w:hAnsi="Times New Roman"/>
          <w:sz w:val="24"/>
          <w:szCs w:val="24"/>
        </w:rPr>
      </w:pPr>
      <w:r w:rsidRPr="00BA592A">
        <w:rPr>
          <w:rFonts w:ascii="Times New Roman" w:hAnsi="Times New Roman"/>
          <w:sz w:val="24"/>
          <w:szCs w:val="24"/>
        </w:rPr>
        <w:t>The Court wrote:</w:t>
      </w:r>
    </w:p>
    <w:p w14:paraId="6929948C" w14:textId="77777777" w:rsidR="00EE6BDE" w:rsidRPr="00BA592A" w:rsidRDefault="00EE6BDE" w:rsidP="00EE6BDE">
      <w:pPr>
        <w:pStyle w:val="NoSpacing"/>
        <w:rPr>
          <w:rFonts w:ascii="Times New Roman" w:hAnsi="Times New Roman"/>
          <w:sz w:val="24"/>
          <w:szCs w:val="24"/>
        </w:rPr>
      </w:pPr>
    </w:p>
    <w:p w14:paraId="7B34C13B" w14:textId="77777777" w:rsidR="00EE6BDE" w:rsidRPr="00BA592A" w:rsidRDefault="00EE6BDE" w:rsidP="00EE6BDE">
      <w:pPr>
        <w:pStyle w:val="NoSpacing"/>
        <w:ind w:left="720"/>
        <w:rPr>
          <w:rFonts w:ascii="Times New Roman" w:hAnsi="Times New Roman"/>
          <w:sz w:val="24"/>
          <w:szCs w:val="24"/>
        </w:rPr>
      </w:pPr>
      <w:r w:rsidRPr="00BA592A">
        <w:rPr>
          <w:rFonts w:ascii="Times New Roman" w:hAnsi="Times New Roman"/>
          <w:sz w:val="24"/>
          <w:szCs w:val="24"/>
        </w:rPr>
        <w:t xml:space="preserve">“Because the adverse employment action here was precipitated by Ms. Zimmerman's use of medical marijuana, she is not a qualified individual per the ADA. </w:t>
      </w:r>
    </w:p>
    <w:p w14:paraId="31E5F6BC" w14:textId="77777777" w:rsidR="00EE6BDE" w:rsidRPr="00BA592A" w:rsidRDefault="00EE6BDE" w:rsidP="00EE6BDE">
      <w:pPr>
        <w:pStyle w:val="NoSpacing"/>
        <w:rPr>
          <w:rFonts w:ascii="Times New Roman" w:hAnsi="Times New Roman"/>
          <w:sz w:val="24"/>
          <w:szCs w:val="24"/>
        </w:rPr>
      </w:pPr>
    </w:p>
    <w:p w14:paraId="5E375F57" w14:textId="77777777" w:rsidR="00EE6BDE" w:rsidRPr="00BA592A" w:rsidRDefault="00EE6BDE" w:rsidP="00EE6BDE">
      <w:pPr>
        <w:pStyle w:val="NoSpacing"/>
        <w:ind w:left="720"/>
        <w:rPr>
          <w:rFonts w:ascii="Times New Roman" w:hAnsi="Times New Roman"/>
          <w:sz w:val="24"/>
          <w:szCs w:val="24"/>
        </w:rPr>
      </w:pPr>
      <w:r w:rsidRPr="00BA592A">
        <w:rPr>
          <w:rFonts w:ascii="Times New Roman" w:hAnsi="Times New Roman"/>
          <w:sz w:val="24"/>
          <w:szCs w:val="24"/>
        </w:rPr>
        <w:lastRenderedPageBreak/>
        <w:t xml:space="preserve">[Fire Department case – in] </w:t>
      </w:r>
      <w:r w:rsidRPr="00BA592A">
        <w:rPr>
          <w:rFonts w:ascii="Times New Roman" w:hAnsi="Times New Roman"/>
          <w:i/>
          <w:iCs/>
          <w:sz w:val="24"/>
          <w:szCs w:val="24"/>
        </w:rPr>
        <w:t>Eccleston v. City of Waterbury,</w:t>
      </w:r>
      <w:r w:rsidRPr="00BA592A">
        <w:rPr>
          <w:rFonts w:ascii="Times New Roman" w:hAnsi="Times New Roman"/>
          <w:sz w:val="24"/>
          <w:szCs w:val="24"/>
        </w:rPr>
        <w:t xml:space="preserve"> No. 3:19-cv-1614, 2021 WL 1090754, at *6 (D. Conn. Mar. 22, 2021). In </w:t>
      </w:r>
      <w:r w:rsidRPr="00BA592A">
        <w:rPr>
          <w:rFonts w:ascii="Times New Roman" w:hAnsi="Times New Roman"/>
          <w:i/>
          <w:iCs/>
          <w:sz w:val="24"/>
          <w:szCs w:val="24"/>
        </w:rPr>
        <w:t>Eccleston,</w:t>
      </w:r>
      <w:r w:rsidRPr="00BA592A">
        <w:rPr>
          <w:rFonts w:ascii="Times New Roman" w:hAnsi="Times New Roman"/>
          <w:sz w:val="24"/>
          <w:szCs w:val="24"/>
        </w:rPr>
        <w:t xml:space="preserve"> the District Court of Connecticut held that a firefighter, lawfully prescribed medical marijuana under Connecticut state law, was not protected as a qualified individual under the ADA. </w:t>
      </w:r>
      <w:r w:rsidRPr="00BA592A">
        <w:rPr>
          <w:rFonts w:ascii="Times New Roman" w:hAnsi="Times New Roman"/>
          <w:i/>
          <w:iCs/>
          <w:sz w:val="24"/>
          <w:szCs w:val="24"/>
        </w:rPr>
        <w:t>See Eccleston,</w:t>
      </w:r>
      <w:r w:rsidRPr="00BA592A">
        <w:rPr>
          <w:rFonts w:ascii="Times New Roman" w:hAnsi="Times New Roman"/>
          <w:sz w:val="24"/>
          <w:szCs w:val="24"/>
        </w:rPr>
        <w:t xml:space="preserve"> at *6. The Court explained that to hold ‘otherwise would place [the ADA] in direct tension with the clear provisions of the CSA-a statute the ADA relies upon </w:t>
      </w:r>
      <w:proofErr w:type="gramStart"/>
      <w:r w:rsidRPr="00BA592A">
        <w:rPr>
          <w:rFonts w:ascii="Times New Roman" w:hAnsi="Times New Roman"/>
          <w:sz w:val="24"/>
          <w:szCs w:val="24"/>
        </w:rPr>
        <w:t>to define</w:t>
      </w:r>
      <w:proofErr w:type="gramEnd"/>
      <w:r w:rsidRPr="00BA592A">
        <w:rPr>
          <w:rFonts w:ascii="Times New Roman" w:hAnsi="Times New Roman"/>
          <w:sz w:val="24"/>
          <w:szCs w:val="24"/>
        </w:rPr>
        <w:t xml:space="preserve"> the term "illegal drug use.’ </w:t>
      </w:r>
    </w:p>
    <w:p w14:paraId="0D516CAB" w14:textId="77777777" w:rsidR="00EE6BDE" w:rsidRPr="00BA592A" w:rsidRDefault="00EE6BDE" w:rsidP="00EE6BDE">
      <w:pPr>
        <w:pStyle w:val="NoSpacing"/>
        <w:rPr>
          <w:rFonts w:ascii="Times New Roman" w:hAnsi="Times New Roman"/>
          <w:sz w:val="24"/>
          <w:szCs w:val="24"/>
        </w:rPr>
      </w:pPr>
    </w:p>
    <w:p w14:paraId="07C28A5B" w14:textId="77777777" w:rsidR="00EE6BDE" w:rsidRPr="00BA592A" w:rsidRDefault="00EE6BDE" w:rsidP="00EE6BDE">
      <w:pPr>
        <w:pStyle w:val="NoSpacing"/>
        <w:ind w:firstLine="720"/>
        <w:rPr>
          <w:rFonts w:ascii="Times New Roman" w:hAnsi="Times New Roman"/>
          <w:sz w:val="24"/>
          <w:szCs w:val="24"/>
        </w:rPr>
      </w:pPr>
      <w:r w:rsidRPr="00BA592A">
        <w:rPr>
          <w:rFonts w:ascii="Times New Roman" w:hAnsi="Times New Roman"/>
          <w:sz w:val="24"/>
          <w:szCs w:val="24"/>
        </w:rPr>
        <w:t>***</w:t>
      </w:r>
    </w:p>
    <w:p w14:paraId="4D427B4E" w14:textId="77777777" w:rsidR="00EE6BDE" w:rsidRPr="00BA592A" w:rsidRDefault="00EE6BDE" w:rsidP="00EE6BDE">
      <w:pPr>
        <w:pStyle w:val="NoSpacing"/>
        <w:rPr>
          <w:rFonts w:ascii="Times New Roman" w:hAnsi="Times New Roman"/>
          <w:sz w:val="24"/>
          <w:szCs w:val="24"/>
        </w:rPr>
      </w:pPr>
    </w:p>
    <w:p w14:paraId="0A814CA9" w14:textId="77777777" w:rsidR="00EE6BDE" w:rsidRPr="00BA592A" w:rsidRDefault="00EE6BDE" w:rsidP="00EE6BDE">
      <w:pPr>
        <w:pStyle w:val="NoSpacing"/>
        <w:ind w:left="720"/>
        <w:rPr>
          <w:rFonts w:ascii="Times New Roman" w:hAnsi="Times New Roman"/>
          <w:sz w:val="24"/>
          <w:szCs w:val="24"/>
        </w:rPr>
      </w:pPr>
      <w:r w:rsidRPr="00BA592A">
        <w:rPr>
          <w:rFonts w:ascii="Times New Roman" w:hAnsi="Times New Roman"/>
          <w:sz w:val="24"/>
          <w:szCs w:val="24"/>
        </w:rPr>
        <w:t xml:space="preserve">Similarly, the District Court of Colorado held termination on account of complainant's medical marijuana use did not constitute discrimination under the ADA. </w:t>
      </w:r>
      <w:r w:rsidRPr="00BA592A">
        <w:rPr>
          <w:rFonts w:ascii="Times New Roman" w:hAnsi="Times New Roman"/>
          <w:i/>
          <w:iCs/>
          <w:sz w:val="24"/>
          <w:szCs w:val="24"/>
        </w:rPr>
        <w:t>Steele v. Stallion Rockies Ltd,</w:t>
      </w:r>
      <w:r w:rsidRPr="00BA592A">
        <w:rPr>
          <w:rFonts w:ascii="Times New Roman" w:hAnsi="Times New Roman"/>
          <w:sz w:val="24"/>
          <w:szCs w:val="24"/>
        </w:rPr>
        <w:t xml:space="preserve"> 106 F.Supp.3d 1205, 1218 (D. Colo. 2015); </w:t>
      </w:r>
      <w:r w:rsidRPr="00BA592A">
        <w:rPr>
          <w:rFonts w:ascii="Times New Roman" w:hAnsi="Times New Roman"/>
          <w:i/>
          <w:iCs/>
          <w:sz w:val="24"/>
          <w:szCs w:val="24"/>
        </w:rPr>
        <w:t xml:space="preserve">see also </w:t>
      </w:r>
      <w:proofErr w:type="spellStart"/>
      <w:r w:rsidRPr="00BA592A">
        <w:rPr>
          <w:rFonts w:ascii="Times New Roman" w:hAnsi="Times New Roman"/>
          <w:i/>
          <w:iCs/>
          <w:sz w:val="24"/>
          <w:szCs w:val="24"/>
        </w:rPr>
        <w:t>Aiiderson</w:t>
      </w:r>
      <w:proofErr w:type="spellEnd"/>
      <w:r w:rsidRPr="00BA592A">
        <w:rPr>
          <w:rFonts w:ascii="Times New Roman" w:hAnsi="Times New Roman"/>
          <w:i/>
          <w:iCs/>
          <w:sz w:val="24"/>
          <w:szCs w:val="24"/>
        </w:rPr>
        <w:t xml:space="preserve"> v. Diamondback Investment Group,</w:t>
      </w:r>
      <w:r w:rsidRPr="00BA592A">
        <w:rPr>
          <w:rFonts w:ascii="Times New Roman" w:hAnsi="Times New Roman"/>
          <w:sz w:val="24"/>
          <w:szCs w:val="24"/>
        </w:rPr>
        <w:t xml:space="preserve"> 117 F.4</w:t>
      </w:r>
      <w:r w:rsidRPr="00BA592A">
        <w:rPr>
          <w:rFonts w:ascii="Times New Roman" w:hAnsi="Times New Roman"/>
          <w:sz w:val="24"/>
          <w:szCs w:val="24"/>
          <w:vertAlign w:val="superscript"/>
        </w:rPr>
        <w:t>th</w:t>
      </w:r>
      <w:r w:rsidRPr="00BA592A">
        <w:rPr>
          <w:rFonts w:ascii="Times New Roman" w:hAnsi="Times New Roman"/>
          <w:sz w:val="24"/>
          <w:szCs w:val="24"/>
        </w:rPr>
        <w:t xml:space="preserve"> 165 (4th Cir. 2024) (terminating individuals taking illegal drugs to treat a disability is permissible, so long as the goal of the drug testing scheme does not intentionally exclude any individual taking a </w:t>
      </w:r>
      <w:r w:rsidRPr="00BA592A">
        <w:rPr>
          <w:rFonts w:ascii="Times New Roman" w:hAnsi="Times New Roman"/>
          <w:i/>
          <w:iCs/>
          <w:sz w:val="24"/>
          <w:szCs w:val="24"/>
        </w:rPr>
        <w:t>lawfully prescribed</w:t>
      </w:r>
      <w:r w:rsidRPr="00BA592A">
        <w:rPr>
          <w:rFonts w:ascii="Times New Roman" w:hAnsi="Times New Roman"/>
          <w:sz w:val="24"/>
          <w:szCs w:val="24"/>
        </w:rPr>
        <w:t xml:space="preserve"> drug to treat a disability); </w:t>
      </w:r>
      <w:r w:rsidRPr="00BA592A">
        <w:rPr>
          <w:rFonts w:ascii="Times New Roman" w:hAnsi="Times New Roman"/>
          <w:i/>
          <w:iCs/>
          <w:sz w:val="24"/>
          <w:szCs w:val="24"/>
        </w:rPr>
        <w:t>Zarazua v. Ricketts,</w:t>
      </w:r>
      <w:r w:rsidRPr="00BA592A">
        <w:rPr>
          <w:rFonts w:ascii="Times New Roman" w:hAnsi="Times New Roman"/>
          <w:sz w:val="24"/>
          <w:szCs w:val="24"/>
        </w:rPr>
        <w:t xml:space="preserve"> 8:17CV318, 2017 WL 6503395, at *2 (D. Neb. Oct. 2, 2017) (exception for medical marijuana in state law is not a reasonable accommodation under the ADA); </w:t>
      </w:r>
      <w:r w:rsidRPr="00BA592A">
        <w:rPr>
          <w:rFonts w:ascii="Times New Roman" w:hAnsi="Times New Roman"/>
          <w:i/>
          <w:iCs/>
          <w:sz w:val="24"/>
          <w:szCs w:val="24"/>
        </w:rPr>
        <w:t>Barber v. Gonzalez</w:t>
      </w:r>
      <w:r w:rsidRPr="00BA592A">
        <w:rPr>
          <w:rFonts w:ascii="Times New Roman" w:hAnsi="Times New Roman"/>
          <w:sz w:val="24"/>
          <w:szCs w:val="24"/>
        </w:rPr>
        <w:t xml:space="preserve"> No. CV-05-0173, 2005 WL 1607189, at *1 (E.D. Wash. Jul. 1, 2005) (physician supervised drug use must be authorized under the Controlled Substances Act or other provisions of Federal law, regardless of any state law authorization).</w:t>
      </w:r>
    </w:p>
    <w:p w14:paraId="1D66A366" w14:textId="77777777" w:rsidR="00EE6BDE" w:rsidRPr="00BA592A" w:rsidRDefault="00EE6BDE" w:rsidP="00EE6BDE">
      <w:pPr>
        <w:pStyle w:val="NoSpacing"/>
        <w:rPr>
          <w:rFonts w:ascii="Times New Roman" w:hAnsi="Times New Roman"/>
          <w:sz w:val="24"/>
          <w:szCs w:val="24"/>
        </w:rPr>
      </w:pPr>
    </w:p>
    <w:p w14:paraId="059735C8" w14:textId="77777777" w:rsidR="00EE6BDE" w:rsidRPr="00BA592A" w:rsidRDefault="00EE6BDE" w:rsidP="00EE6BDE">
      <w:pPr>
        <w:pStyle w:val="NoSpacing"/>
        <w:ind w:firstLine="720"/>
        <w:rPr>
          <w:rFonts w:ascii="Times New Roman" w:hAnsi="Times New Roman"/>
          <w:sz w:val="24"/>
          <w:szCs w:val="24"/>
        </w:rPr>
      </w:pPr>
      <w:r w:rsidRPr="00BA592A">
        <w:rPr>
          <w:rFonts w:ascii="Times New Roman" w:hAnsi="Times New Roman"/>
          <w:sz w:val="24"/>
          <w:szCs w:val="24"/>
        </w:rPr>
        <w:t>***</w:t>
      </w:r>
    </w:p>
    <w:p w14:paraId="14F6F634" w14:textId="77777777" w:rsidR="00EE6BDE" w:rsidRPr="00BA592A" w:rsidRDefault="00EE6BDE" w:rsidP="00EE6BDE">
      <w:pPr>
        <w:pStyle w:val="NoSpacing"/>
        <w:rPr>
          <w:rFonts w:ascii="Times New Roman" w:hAnsi="Times New Roman"/>
          <w:sz w:val="24"/>
          <w:szCs w:val="24"/>
        </w:rPr>
      </w:pPr>
    </w:p>
    <w:p w14:paraId="614FD360" w14:textId="77777777" w:rsidR="00EE6BDE" w:rsidRPr="00BA592A" w:rsidRDefault="00EE6BDE" w:rsidP="00EE6BDE">
      <w:pPr>
        <w:pStyle w:val="NoSpacing"/>
        <w:ind w:left="720"/>
        <w:rPr>
          <w:rFonts w:ascii="Times New Roman" w:hAnsi="Times New Roman"/>
          <w:sz w:val="24"/>
          <w:szCs w:val="24"/>
        </w:rPr>
      </w:pPr>
      <w:r w:rsidRPr="00BA592A">
        <w:rPr>
          <w:rFonts w:ascii="Times New Roman" w:hAnsi="Times New Roman"/>
          <w:sz w:val="24"/>
          <w:szCs w:val="24"/>
        </w:rPr>
        <w:t xml:space="preserve">Accordingly, this Court concludes that employees properly prescribed marijuana in compliance with Pennsylvania law, who then experience adverse employment determinations based on that use, are not "qualified individuals" contemplated at 42 U.S.C, § 12101, et seq. Although this specific issue has not been decided by the Third Circuit, this Court's conclusion accords with case law within the Circuit examining failed drug tests in slightly different factual contexts. </w:t>
      </w:r>
      <w:r w:rsidRPr="00BA592A">
        <w:rPr>
          <w:rFonts w:ascii="Times New Roman" w:hAnsi="Times New Roman"/>
          <w:i/>
          <w:iCs/>
          <w:sz w:val="24"/>
          <w:szCs w:val="24"/>
        </w:rPr>
        <w:t>See Drift, supra</w:t>
      </w:r>
      <w:r w:rsidRPr="00BA592A">
        <w:rPr>
          <w:rFonts w:ascii="Times New Roman" w:hAnsi="Times New Roman"/>
          <w:sz w:val="24"/>
          <w:szCs w:val="24"/>
        </w:rPr>
        <w:t xml:space="preserve"> (use of marijuana precludes and individual from being "qualified" under the ADA if the employer acts on this use); </w:t>
      </w:r>
      <w:proofErr w:type="spellStart"/>
      <w:r w:rsidRPr="00BA592A">
        <w:rPr>
          <w:rFonts w:ascii="Times New Roman" w:hAnsi="Times New Roman"/>
          <w:i/>
          <w:iCs/>
          <w:sz w:val="24"/>
          <w:szCs w:val="24"/>
        </w:rPr>
        <w:t>Lehenky</w:t>
      </w:r>
      <w:proofErr w:type="spellEnd"/>
      <w:r w:rsidRPr="00BA592A">
        <w:rPr>
          <w:rFonts w:ascii="Times New Roman" w:hAnsi="Times New Roman"/>
          <w:i/>
          <w:iCs/>
          <w:sz w:val="24"/>
          <w:szCs w:val="24"/>
        </w:rPr>
        <w:t xml:space="preserve"> v. Toshiba America Energy Systems Corp.,</w:t>
      </w:r>
      <w:r w:rsidRPr="00BA592A">
        <w:rPr>
          <w:rFonts w:ascii="Times New Roman" w:hAnsi="Times New Roman"/>
          <w:sz w:val="24"/>
          <w:szCs w:val="24"/>
        </w:rPr>
        <w:t xml:space="preserve"> No. 20-4573, 2022 WL 523739, at *3 (E.D. Pa. 2022) (over-the-counter CBD product resulting in positive drug test and subsequent termination not covered by ADA), </w:t>
      </w:r>
      <w:r w:rsidRPr="00BA592A">
        <w:rPr>
          <w:rFonts w:ascii="Times New Roman" w:hAnsi="Times New Roman"/>
          <w:i/>
          <w:iCs/>
          <w:sz w:val="24"/>
          <w:szCs w:val="24"/>
        </w:rPr>
        <w:t>aff'd,</w:t>
      </w:r>
      <w:r w:rsidRPr="00BA592A">
        <w:rPr>
          <w:rFonts w:ascii="Times New Roman" w:hAnsi="Times New Roman"/>
          <w:sz w:val="24"/>
          <w:szCs w:val="24"/>
        </w:rPr>
        <w:t xml:space="preserve"> 2023 WL 3562981 (3d Cir. May 19, 2023). As such, Plaintiff cannot make </w:t>
      </w:r>
      <w:r w:rsidRPr="00BA592A">
        <w:rPr>
          <w:rFonts w:ascii="Times New Roman" w:hAnsi="Times New Roman"/>
          <w:i/>
          <w:iCs/>
          <w:sz w:val="24"/>
          <w:szCs w:val="24"/>
        </w:rPr>
        <w:t>a prima facie</w:t>
      </w:r>
      <w:r w:rsidRPr="00BA592A">
        <w:rPr>
          <w:rFonts w:ascii="Times New Roman" w:hAnsi="Times New Roman"/>
          <w:sz w:val="24"/>
          <w:szCs w:val="24"/>
        </w:rPr>
        <w:t xml:space="preserve"> showing of discrimination to even engage the </w:t>
      </w:r>
      <w:r w:rsidRPr="00BA592A">
        <w:rPr>
          <w:rFonts w:ascii="Times New Roman" w:hAnsi="Times New Roman"/>
          <w:i/>
          <w:iCs/>
          <w:sz w:val="24"/>
          <w:szCs w:val="24"/>
        </w:rPr>
        <w:t>McDonnell Douglas</w:t>
      </w:r>
      <w:r w:rsidRPr="00BA592A">
        <w:rPr>
          <w:rFonts w:ascii="Times New Roman" w:hAnsi="Times New Roman"/>
          <w:sz w:val="24"/>
          <w:szCs w:val="24"/>
        </w:rPr>
        <w:t xml:space="preserve"> burden shifting framework in the first place.”</w:t>
      </w:r>
    </w:p>
    <w:p w14:paraId="4E6CE357" w14:textId="77777777" w:rsidR="00EE6BDE" w:rsidRPr="00BA592A" w:rsidRDefault="00EE6BDE" w:rsidP="00EE6BDE">
      <w:pPr>
        <w:pStyle w:val="NoSpacing"/>
        <w:rPr>
          <w:rFonts w:ascii="Times New Roman" w:hAnsi="Times New Roman"/>
          <w:sz w:val="24"/>
          <w:szCs w:val="24"/>
        </w:rPr>
      </w:pPr>
    </w:p>
    <w:p w14:paraId="425A55CD" w14:textId="77777777" w:rsidR="00EE6BDE" w:rsidRPr="00BA592A" w:rsidRDefault="00EE6BDE" w:rsidP="00EE6BDE">
      <w:pPr>
        <w:pStyle w:val="NoSpacing"/>
        <w:rPr>
          <w:rFonts w:ascii="Times New Roman" w:hAnsi="Times New Roman"/>
          <w:b/>
          <w:sz w:val="24"/>
          <w:szCs w:val="24"/>
        </w:rPr>
      </w:pPr>
      <w:r w:rsidRPr="00BA592A">
        <w:rPr>
          <w:rFonts w:ascii="Times New Roman" w:hAnsi="Times New Roman"/>
          <w:b/>
          <w:sz w:val="24"/>
          <w:szCs w:val="24"/>
        </w:rPr>
        <w:t xml:space="preserve">Legal Lesson Learned:  Fire &amp; EMS department dug use policies should address medical marijuana and recreational marijuana. </w:t>
      </w:r>
    </w:p>
    <w:p w14:paraId="4AE6BBA9" w14:textId="77777777" w:rsidR="00EE6BDE" w:rsidRDefault="00EE6BDE" w:rsidP="00F326E5">
      <w:pPr>
        <w:rPr>
          <w:rFonts w:ascii="Arial Black" w:hAnsi="Arial Black"/>
          <w:b/>
          <w:sz w:val="24"/>
          <w:szCs w:val="24"/>
        </w:rPr>
      </w:pPr>
    </w:p>
    <w:p w14:paraId="67D701D7" w14:textId="77777777" w:rsidR="00EE6BDE" w:rsidRDefault="00EE6BDE" w:rsidP="00F326E5">
      <w:pPr>
        <w:rPr>
          <w:rFonts w:ascii="Arial Black" w:hAnsi="Arial Black"/>
          <w:b/>
          <w:sz w:val="24"/>
          <w:szCs w:val="24"/>
        </w:rPr>
      </w:pPr>
    </w:p>
    <w:p w14:paraId="188AF957" w14:textId="14645329" w:rsidR="00743B05" w:rsidRDefault="00743B05" w:rsidP="00F326E5">
      <w:pPr>
        <w:rPr>
          <w:rFonts w:ascii="Arial Black" w:hAnsi="Arial Black"/>
          <w:b/>
          <w:sz w:val="24"/>
          <w:szCs w:val="24"/>
        </w:rPr>
      </w:pPr>
      <w:r>
        <w:rPr>
          <w:rFonts w:ascii="Arial Black" w:hAnsi="Arial Black"/>
          <w:b/>
          <w:sz w:val="24"/>
          <w:szCs w:val="24"/>
        </w:rPr>
        <w:t>12-29</w:t>
      </w:r>
    </w:p>
    <w:p w14:paraId="57BA6686" w14:textId="77777777" w:rsidR="00743B05" w:rsidRPr="00444233" w:rsidRDefault="00743B05" w:rsidP="00743B05">
      <w:pPr>
        <w:rPr>
          <w:rFonts w:ascii="Arial Black" w:hAnsi="Arial Black"/>
          <w:b/>
          <w:sz w:val="28"/>
          <w:szCs w:val="28"/>
        </w:rPr>
      </w:pPr>
      <w:r>
        <w:rPr>
          <w:rFonts w:ascii="Arial Black" w:hAnsi="Arial Black"/>
          <w:b/>
          <w:sz w:val="28"/>
          <w:szCs w:val="28"/>
        </w:rPr>
        <w:t xml:space="preserve">WA: ALCOHOL – FRAT - STUDENT DEAD – CAN SUE UNIV. </w:t>
      </w:r>
    </w:p>
    <w:p w14:paraId="4F9EEA30" w14:textId="0711D694" w:rsidR="00151EBE" w:rsidRDefault="00743B05" w:rsidP="00151EBE">
      <w:pPr>
        <w:pStyle w:val="NoSpacing"/>
        <w:rPr>
          <w:rFonts w:ascii="Times New Roman" w:hAnsi="Times New Roman"/>
          <w:sz w:val="24"/>
          <w:szCs w:val="24"/>
        </w:rPr>
      </w:pPr>
      <w:r w:rsidRPr="00151EBE">
        <w:rPr>
          <w:rFonts w:ascii="Times New Roman" w:hAnsi="Times New Roman"/>
          <w:sz w:val="24"/>
          <w:szCs w:val="24"/>
        </w:rPr>
        <w:t xml:space="preserve">On Jan. 21, 2025, in </w:t>
      </w:r>
      <w:r w:rsidRPr="00151EBE">
        <w:rPr>
          <w:rFonts w:ascii="Times New Roman" w:hAnsi="Times New Roman"/>
          <w:sz w:val="24"/>
          <w:szCs w:val="24"/>
          <w:u w:val="single"/>
        </w:rPr>
        <w:t xml:space="preserve">Hector Martinez and Jolayne Houtz, husband and wife and co-personal representatives of the Estate of Samuel H. Marinez v. Washington State University, Gamma Chi Chapter of Alpha Tau Omega Fraternity, et al., </w:t>
      </w:r>
      <w:r w:rsidRPr="00151EBE">
        <w:rPr>
          <w:rFonts w:ascii="Times New Roman" w:hAnsi="Times New Roman"/>
          <w:sz w:val="24"/>
          <w:szCs w:val="24"/>
        </w:rPr>
        <w:t xml:space="preserve">the Court of Appeals of Washington, Division 1 held (3 to 0) that the lawsuit should be reinstated against the University, and not just against the Gamma Chi fraternity.  The university can be sued because it has a “special relationship” with its recognized fraternal organizations – a similar legal doctrine to the duty of EMS when transporting a patient, or a jail holding a prisoner.  </w:t>
      </w:r>
      <w:hyperlink r:id="rId1948" w:history="1">
        <w:r w:rsidRPr="00151EBE">
          <w:rPr>
            <w:rStyle w:val="Hyperlink"/>
            <w:rFonts w:ascii="Times New Roman" w:hAnsi="Times New Roman"/>
            <w:sz w:val="24"/>
            <w:szCs w:val="24"/>
          </w:rPr>
          <w:t>https://cases.justia.com/washington/court-of-appeals-division-i/2025-83853-9.pdf?ts=1737494121</w:t>
        </w:r>
      </w:hyperlink>
      <w:r w:rsidRPr="00151EBE">
        <w:rPr>
          <w:rFonts w:ascii="Times New Roman" w:hAnsi="Times New Roman"/>
          <w:sz w:val="24"/>
          <w:szCs w:val="24"/>
        </w:rPr>
        <w:t xml:space="preserve"> </w:t>
      </w:r>
    </w:p>
    <w:p w14:paraId="07C1ECB5" w14:textId="77777777" w:rsidR="00151EBE" w:rsidRPr="00151EBE" w:rsidRDefault="00151EBE" w:rsidP="00151EBE">
      <w:pPr>
        <w:pStyle w:val="NoSpacing"/>
        <w:rPr>
          <w:rFonts w:ascii="Times New Roman" w:hAnsi="Times New Roman"/>
          <w:bCs/>
          <w:sz w:val="24"/>
          <w:szCs w:val="24"/>
        </w:rPr>
      </w:pPr>
    </w:p>
    <w:p w14:paraId="129DF7D2" w14:textId="77777777" w:rsidR="00743B05" w:rsidRPr="00151EBE" w:rsidRDefault="00743B05" w:rsidP="00743B05">
      <w:pPr>
        <w:rPr>
          <w:rFonts w:ascii="Times New Roman" w:hAnsi="Times New Roman"/>
          <w:bCs/>
          <w:sz w:val="24"/>
          <w:szCs w:val="24"/>
        </w:rPr>
      </w:pPr>
      <w:r w:rsidRPr="00151EBE">
        <w:rPr>
          <w:rFonts w:ascii="Times New Roman" w:hAnsi="Times New Roman"/>
          <w:sz w:val="24"/>
          <w:szCs w:val="24"/>
        </w:rPr>
        <w:t>The Court wrote:</w:t>
      </w:r>
    </w:p>
    <w:p w14:paraId="5138EAA9" w14:textId="77777777" w:rsidR="00743B05" w:rsidRPr="00151EBE" w:rsidRDefault="00743B05" w:rsidP="00743B05">
      <w:pPr>
        <w:pStyle w:val="NoSpacing"/>
        <w:ind w:left="720"/>
        <w:rPr>
          <w:rFonts w:ascii="Times New Roman" w:hAnsi="Times New Roman"/>
          <w:bCs/>
          <w:sz w:val="24"/>
          <w:szCs w:val="24"/>
        </w:rPr>
      </w:pPr>
      <w:r w:rsidRPr="00151EBE">
        <w:rPr>
          <w:rFonts w:ascii="Times New Roman" w:hAnsi="Times New Roman"/>
          <w:sz w:val="24"/>
          <w:szCs w:val="24"/>
        </w:rPr>
        <w:t xml:space="preserve">“Samuel ‘Sam’ Martinez died of acute alcohol poisoning in November 2019 following a hazing ritual at a fraternity house located near the Pullman campus of Washington State University (WSU). Sam’s estate representatives and parents Hector Martinez and Jolayne Houtz (collectively Estate) appeal summary judgment dismissal of their lawsuit against WSU. WSU contends that it </w:t>
      </w:r>
      <w:proofErr w:type="gramStart"/>
      <w:r w:rsidRPr="00151EBE">
        <w:rPr>
          <w:rFonts w:ascii="Times New Roman" w:hAnsi="Times New Roman"/>
          <w:sz w:val="24"/>
          <w:szCs w:val="24"/>
        </w:rPr>
        <w:t>owed</w:t>
      </w:r>
      <w:proofErr w:type="gramEnd"/>
      <w:r w:rsidRPr="00151EBE">
        <w:rPr>
          <w:rFonts w:ascii="Times New Roman" w:hAnsi="Times New Roman"/>
          <w:sz w:val="24"/>
          <w:szCs w:val="24"/>
        </w:rPr>
        <w:t xml:space="preserve"> no duty to protect Sam. Because WSU has a special</w:t>
      </w:r>
    </w:p>
    <w:p w14:paraId="0F8F3827" w14:textId="77777777" w:rsidR="00743B05" w:rsidRPr="00151EBE" w:rsidRDefault="00743B05" w:rsidP="00743B05">
      <w:pPr>
        <w:pStyle w:val="NoSpacing"/>
        <w:ind w:left="720"/>
        <w:rPr>
          <w:rFonts w:ascii="Times New Roman" w:hAnsi="Times New Roman"/>
          <w:bCs/>
          <w:sz w:val="24"/>
          <w:szCs w:val="24"/>
        </w:rPr>
      </w:pPr>
      <w:r w:rsidRPr="00151EBE">
        <w:rPr>
          <w:rFonts w:ascii="Times New Roman" w:hAnsi="Times New Roman"/>
          <w:sz w:val="24"/>
          <w:szCs w:val="24"/>
        </w:rPr>
        <w:t>relationship with its recognized fraternal organizations, we conclude that it owed a duty to use reasonable care to control the fraternity and protect Sam from the foreseeable harms of fraternal hazing and alcohol misuse. We reverse and remand.</w:t>
      </w:r>
    </w:p>
    <w:p w14:paraId="0469F315" w14:textId="77777777" w:rsidR="00743B05" w:rsidRPr="00151EBE" w:rsidRDefault="00743B05" w:rsidP="00743B05">
      <w:pPr>
        <w:rPr>
          <w:rFonts w:ascii="Times New Roman" w:hAnsi="Times New Roman"/>
          <w:bCs/>
          <w:sz w:val="24"/>
          <w:szCs w:val="24"/>
        </w:rPr>
      </w:pPr>
    </w:p>
    <w:p w14:paraId="6F9F27F8" w14:textId="77777777" w:rsidR="00743B05" w:rsidRPr="00151EBE" w:rsidRDefault="00743B05" w:rsidP="00743B05">
      <w:pPr>
        <w:rPr>
          <w:rFonts w:ascii="Times New Roman" w:hAnsi="Times New Roman"/>
          <w:bCs/>
          <w:sz w:val="24"/>
          <w:szCs w:val="24"/>
        </w:rPr>
      </w:pPr>
      <w:r w:rsidRPr="00151EBE">
        <w:rPr>
          <w:rFonts w:ascii="Times New Roman" w:hAnsi="Times New Roman"/>
          <w:sz w:val="24"/>
          <w:szCs w:val="24"/>
        </w:rPr>
        <w:tab/>
        <w:t>***</w:t>
      </w:r>
    </w:p>
    <w:p w14:paraId="47CD4FE7" w14:textId="77777777" w:rsidR="00743B05" w:rsidRPr="00151EBE" w:rsidRDefault="00743B05" w:rsidP="00743B05">
      <w:pPr>
        <w:pStyle w:val="NoSpacing"/>
        <w:ind w:left="720"/>
        <w:rPr>
          <w:rFonts w:ascii="Times New Roman" w:hAnsi="Times New Roman"/>
          <w:bCs/>
          <w:sz w:val="24"/>
          <w:szCs w:val="24"/>
        </w:rPr>
      </w:pPr>
      <w:r w:rsidRPr="00151EBE">
        <w:rPr>
          <w:rFonts w:ascii="Times New Roman" w:hAnsi="Times New Roman"/>
          <w:sz w:val="24"/>
          <w:szCs w:val="24"/>
        </w:rPr>
        <w:t>During the ritual [on Nov. 11, 2019] Sam drank straight from the bottle. After 30 to 45 minutes in the live-out house, the event moved to Gamma Chi’s chapter house, where the drinking continued. Sam ‘tried to shotgun a beer’ and drank ‘clear hard alcohol.’ He began ‘slurring his words’ and ‘lost coordination.’ After seeing Sam ‘getting visibly more intoxicated,’ Oswald ‘cut him off’ around 11:00 p.m., telling Sam, ‘Hey, let’s take a break for a little bit.’ Sam eventually passed out on a couch in Oswald’s room. ‘He was asleep</w:t>
      </w:r>
    </w:p>
    <w:p w14:paraId="2A7F1FAB" w14:textId="77777777" w:rsidR="00743B05" w:rsidRPr="00151EBE" w:rsidRDefault="00743B05" w:rsidP="00743B05">
      <w:pPr>
        <w:pStyle w:val="NoSpacing"/>
        <w:ind w:left="720"/>
        <w:rPr>
          <w:rFonts w:ascii="Times New Roman" w:hAnsi="Times New Roman"/>
          <w:bCs/>
          <w:sz w:val="24"/>
          <w:szCs w:val="24"/>
        </w:rPr>
      </w:pPr>
      <w:r w:rsidRPr="00151EBE">
        <w:rPr>
          <w:rFonts w:ascii="Times New Roman" w:hAnsi="Times New Roman"/>
          <w:sz w:val="24"/>
          <w:szCs w:val="24"/>
        </w:rPr>
        <w:t xml:space="preserve">for a while, woke back up, and was still visibly drunk.’ So, Oswald and another fraternity member carried Sam to the bathroom and tried to force him to vomit for 5 to 10 minutes. Their efforts failed. A few people then helped Oswald move Sam to the </w:t>
      </w:r>
      <w:proofErr w:type="gramStart"/>
      <w:r w:rsidRPr="00151EBE">
        <w:rPr>
          <w:rFonts w:ascii="Times New Roman" w:hAnsi="Times New Roman"/>
          <w:sz w:val="24"/>
          <w:szCs w:val="24"/>
        </w:rPr>
        <w:t>basement, ‘</w:t>
      </w:r>
      <w:proofErr w:type="gramEnd"/>
      <w:r w:rsidRPr="00151EBE">
        <w:rPr>
          <w:rFonts w:ascii="Times New Roman" w:hAnsi="Times New Roman"/>
          <w:sz w:val="24"/>
          <w:szCs w:val="24"/>
        </w:rPr>
        <w:t xml:space="preserve">where a variety of pledges were already asleep.’ They placed Sam on a couch, where he remained ‘for the rest of the night.’ Oswald said he checked on Sam ‘two to three </w:t>
      </w:r>
      <w:proofErr w:type="gramStart"/>
      <w:r w:rsidRPr="00151EBE">
        <w:rPr>
          <w:rFonts w:ascii="Times New Roman" w:hAnsi="Times New Roman"/>
          <w:sz w:val="24"/>
          <w:szCs w:val="24"/>
        </w:rPr>
        <w:t>times’</w:t>
      </w:r>
      <w:proofErr w:type="gramEnd"/>
      <w:r w:rsidRPr="00151EBE">
        <w:rPr>
          <w:rFonts w:ascii="Times New Roman" w:hAnsi="Times New Roman"/>
          <w:sz w:val="24"/>
          <w:szCs w:val="24"/>
        </w:rPr>
        <w:t xml:space="preserve"> before going to bed around 3:00 a.m. on November 12. Hours later at about 9:00 a.m., Gamma Chi member Soreano found Sam face down on the couch with </w:t>
      </w:r>
      <w:proofErr w:type="gramStart"/>
      <w:r w:rsidRPr="00151EBE">
        <w:rPr>
          <w:rFonts w:ascii="Times New Roman" w:hAnsi="Times New Roman"/>
          <w:sz w:val="24"/>
          <w:szCs w:val="24"/>
        </w:rPr>
        <w:t>vomit</w:t>
      </w:r>
      <w:proofErr w:type="gramEnd"/>
      <w:r w:rsidRPr="00151EBE">
        <w:rPr>
          <w:rFonts w:ascii="Times New Roman" w:hAnsi="Times New Roman"/>
          <w:sz w:val="24"/>
          <w:szCs w:val="24"/>
        </w:rPr>
        <w:t xml:space="preserve"> in his mouth and unresponsive. He called 911 and tried to resuscitate Sam. Paramedics arrived but ceased their efforts to resuscitate Sam soon after. The medical examiner determined Sam died from ‘acute ethanol intoxication’ at about 4:30 a.m. on November 12, 2019. His</w:t>
      </w:r>
    </w:p>
    <w:p w14:paraId="69EEB949" w14:textId="77777777" w:rsidR="00743B05" w:rsidRPr="00151EBE" w:rsidRDefault="00743B05" w:rsidP="00743B05">
      <w:pPr>
        <w:pStyle w:val="NoSpacing"/>
        <w:ind w:left="720"/>
        <w:rPr>
          <w:rFonts w:ascii="Times New Roman" w:hAnsi="Times New Roman"/>
          <w:bCs/>
          <w:sz w:val="24"/>
          <w:szCs w:val="24"/>
        </w:rPr>
      </w:pPr>
      <w:r w:rsidRPr="00151EBE">
        <w:rPr>
          <w:rFonts w:ascii="Times New Roman" w:hAnsi="Times New Roman"/>
          <w:sz w:val="24"/>
          <w:szCs w:val="24"/>
        </w:rPr>
        <w:t>femoral blood alcohol concentration measured 0.372. Sam had just turned 19 years old in October.”</w:t>
      </w:r>
    </w:p>
    <w:p w14:paraId="06472161" w14:textId="77777777" w:rsidR="00743B05" w:rsidRPr="00151EBE" w:rsidRDefault="00743B05" w:rsidP="00743B05">
      <w:pPr>
        <w:rPr>
          <w:rFonts w:ascii="Times New Roman" w:hAnsi="Times New Roman"/>
          <w:b/>
          <w:sz w:val="24"/>
          <w:szCs w:val="24"/>
        </w:rPr>
      </w:pPr>
    </w:p>
    <w:p w14:paraId="71D84361" w14:textId="57D37232" w:rsidR="00743B05" w:rsidRPr="00151EBE" w:rsidRDefault="00743B05" w:rsidP="00743B05">
      <w:pPr>
        <w:rPr>
          <w:rFonts w:ascii="Times New Roman" w:hAnsi="Times New Roman"/>
          <w:b/>
          <w:sz w:val="24"/>
          <w:szCs w:val="24"/>
        </w:rPr>
      </w:pPr>
      <w:r w:rsidRPr="00151EBE">
        <w:rPr>
          <w:rFonts w:ascii="Times New Roman" w:hAnsi="Times New Roman"/>
          <w:b/>
          <w:sz w:val="24"/>
          <w:szCs w:val="24"/>
        </w:rPr>
        <w:t>Legal Lesson Learned: Fire &amp; EMS responders are all too familiar with deaths by students in fraternities and elsewhere from acute ethanol intoxication.</w:t>
      </w:r>
      <w:r w:rsidR="00151EBE">
        <w:rPr>
          <w:rFonts w:ascii="Times New Roman" w:hAnsi="Times New Roman"/>
          <w:b/>
          <w:sz w:val="24"/>
          <w:szCs w:val="24"/>
        </w:rPr>
        <w:t xml:space="preserve"> Perhaps this decision will “get the attention” of </w:t>
      </w:r>
      <w:proofErr w:type="gramStart"/>
      <w:r w:rsidR="00CC049C">
        <w:rPr>
          <w:rFonts w:ascii="Times New Roman" w:hAnsi="Times New Roman"/>
          <w:b/>
          <w:sz w:val="24"/>
          <w:szCs w:val="24"/>
        </w:rPr>
        <w:t>University</w:t>
      </w:r>
      <w:proofErr w:type="gramEnd"/>
      <w:r w:rsidR="00CC049C">
        <w:rPr>
          <w:rFonts w:ascii="Times New Roman" w:hAnsi="Times New Roman"/>
          <w:b/>
          <w:sz w:val="24"/>
          <w:szCs w:val="24"/>
        </w:rPr>
        <w:t xml:space="preserve"> officials who </w:t>
      </w:r>
      <w:r w:rsidR="00896888">
        <w:rPr>
          <w:rFonts w:ascii="Times New Roman" w:hAnsi="Times New Roman"/>
          <w:b/>
          <w:sz w:val="24"/>
          <w:szCs w:val="24"/>
        </w:rPr>
        <w:t xml:space="preserve">have responsibilities </w:t>
      </w:r>
      <w:r w:rsidR="00275738">
        <w:rPr>
          <w:rFonts w:ascii="Times New Roman" w:hAnsi="Times New Roman"/>
          <w:b/>
          <w:sz w:val="24"/>
          <w:szCs w:val="24"/>
        </w:rPr>
        <w:t xml:space="preserve">concerning </w:t>
      </w:r>
      <w:r w:rsidR="00CC049C">
        <w:rPr>
          <w:rFonts w:ascii="Times New Roman" w:hAnsi="Times New Roman"/>
          <w:b/>
          <w:sz w:val="24"/>
          <w:szCs w:val="24"/>
        </w:rPr>
        <w:t xml:space="preserve">fraternities. </w:t>
      </w:r>
    </w:p>
    <w:p w14:paraId="61ECE281" w14:textId="77777777" w:rsidR="00743B05" w:rsidRDefault="00743B05" w:rsidP="00F326E5">
      <w:pPr>
        <w:rPr>
          <w:rFonts w:ascii="Arial Black" w:hAnsi="Arial Black"/>
          <w:b/>
          <w:sz w:val="24"/>
          <w:szCs w:val="24"/>
        </w:rPr>
      </w:pPr>
    </w:p>
    <w:p w14:paraId="56C1FBB0" w14:textId="7C074363" w:rsidR="00BF78AE" w:rsidRDefault="00BF78AE" w:rsidP="00F326E5">
      <w:pPr>
        <w:rPr>
          <w:rFonts w:ascii="Arial Black" w:hAnsi="Arial Black"/>
          <w:b/>
          <w:sz w:val="24"/>
          <w:szCs w:val="24"/>
        </w:rPr>
      </w:pPr>
      <w:r>
        <w:rPr>
          <w:rFonts w:ascii="Arial Black" w:hAnsi="Arial Black"/>
          <w:b/>
          <w:sz w:val="24"/>
          <w:szCs w:val="24"/>
        </w:rPr>
        <w:t>12-28</w:t>
      </w:r>
    </w:p>
    <w:p w14:paraId="3C188998" w14:textId="77777777" w:rsidR="00BF78AE" w:rsidRPr="00E17720" w:rsidRDefault="00BF78AE" w:rsidP="00BF78AE">
      <w:pPr>
        <w:pStyle w:val="NoSpacing"/>
        <w:rPr>
          <w:rFonts w:ascii="Arial Black" w:hAnsi="Arial Black"/>
          <w:b/>
          <w:sz w:val="28"/>
          <w:szCs w:val="28"/>
        </w:rPr>
      </w:pPr>
      <w:r>
        <w:rPr>
          <w:rFonts w:ascii="Arial Black" w:hAnsi="Arial Black"/>
          <w:b/>
          <w:sz w:val="28"/>
          <w:szCs w:val="28"/>
        </w:rPr>
        <w:t>MT: NEW RANDOM POLICY – MUST BARGAIN</w:t>
      </w:r>
    </w:p>
    <w:p w14:paraId="14635188" w14:textId="77777777" w:rsidR="00BF78AE" w:rsidRDefault="00BF78AE" w:rsidP="00BF78AE">
      <w:pPr>
        <w:pStyle w:val="NoSpacing"/>
        <w:rPr>
          <w:b/>
        </w:rPr>
      </w:pPr>
      <w:r>
        <w:rPr>
          <w:b/>
        </w:rPr>
        <w:t xml:space="preserve"> </w:t>
      </w:r>
    </w:p>
    <w:p w14:paraId="470B9448" w14:textId="0927FC7E" w:rsidR="0026092A" w:rsidRPr="0026092A" w:rsidRDefault="0026092A" w:rsidP="00BF78AE">
      <w:pPr>
        <w:pStyle w:val="NoSpacing"/>
        <w:rPr>
          <w:rFonts w:ascii="Times New Roman" w:hAnsi="Times New Roman"/>
          <w:sz w:val="24"/>
          <w:szCs w:val="24"/>
        </w:rPr>
      </w:pPr>
      <w:r w:rsidRPr="0026092A">
        <w:rPr>
          <w:rFonts w:ascii="Times New Roman" w:hAnsi="Times New Roman"/>
          <w:sz w:val="24"/>
          <w:szCs w:val="24"/>
        </w:rPr>
        <w:t xml:space="preserve">On Dec. 10, 2024, in </w:t>
      </w:r>
      <w:r w:rsidRPr="0026092A">
        <w:rPr>
          <w:rFonts w:ascii="Times New Roman" w:hAnsi="Times New Roman"/>
          <w:sz w:val="24"/>
          <w:szCs w:val="24"/>
          <w:u w:val="single"/>
        </w:rPr>
        <w:t xml:space="preserve">City of Great Falls v. Int'l </w:t>
      </w:r>
      <w:proofErr w:type="spellStart"/>
      <w:r w:rsidRPr="0026092A">
        <w:rPr>
          <w:rFonts w:ascii="Times New Roman" w:hAnsi="Times New Roman"/>
          <w:sz w:val="24"/>
          <w:szCs w:val="24"/>
          <w:u w:val="single"/>
        </w:rPr>
        <w:t>Ass'n</w:t>
      </w:r>
      <w:proofErr w:type="spellEnd"/>
      <w:r w:rsidRPr="0026092A">
        <w:rPr>
          <w:rFonts w:ascii="Times New Roman" w:hAnsi="Times New Roman"/>
          <w:sz w:val="24"/>
          <w:szCs w:val="24"/>
          <w:u w:val="single"/>
        </w:rPr>
        <w:t xml:space="preserve"> of Fire Fighters, Local #8</w:t>
      </w:r>
      <w:r w:rsidRPr="0026092A">
        <w:rPr>
          <w:rFonts w:ascii="Times New Roman" w:hAnsi="Times New Roman"/>
          <w:sz w:val="24"/>
          <w:szCs w:val="24"/>
        </w:rPr>
        <w:t xml:space="preserve">, the Supreme Court of Montana held (5 to 0) that the city failed to collectively bargain the new policy and failed to exhaust its administrative remedies. The pre-2019 collectively bargained random drug testing policy applied only to employees with CDLs [commercial driver licenses] and specific “safety-sensitive positions.”   The new policy included all city drivers of city vehicles, including firefighters. Multiple city unions filed unfair labor practice charges with the Montana Board of Personnel Appeals (MBPA), and on October 22, </w:t>
      </w:r>
      <w:proofErr w:type="gramStart"/>
      <w:r w:rsidRPr="0026092A">
        <w:rPr>
          <w:rFonts w:ascii="Times New Roman" w:hAnsi="Times New Roman"/>
          <w:sz w:val="24"/>
          <w:szCs w:val="24"/>
        </w:rPr>
        <w:t>2020</w:t>
      </w:r>
      <w:proofErr w:type="gramEnd"/>
      <w:r w:rsidRPr="0026092A">
        <w:rPr>
          <w:rFonts w:ascii="Times New Roman" w:hAnsi="Times New Roman"/>
          <w:sz w:val="24"/>
          <w:szCs w:val="24"/>
        </w:rPr>
        <w:t xml:space="preserve"> the hearing officer found for the unions. The city did not appeal to the MBPA, but instead on November 20, 2020, petitioned for district court </w:t>
      </w:r>
      <w:r w:rsidRPr="0026092A">
        <w:rPr>
          <w:rFonts w:ascii="Times New Roman" w:hAnsi="Times New Roman"/>
          <w:sz w:val="24"/>
          <w:szCs w:val="24"/>
        </w:rPr>
        <w:lastRenderedPageBreak/>
        <w:t xml:space="preserve">judicial review. The District Court judge denied the petition since the city failed to exhaust administrative rights. </w:t>
      </w:r>
      <w:hyperlink r:id="rId1949" w:history="1">
        <w:r w:rsidRPr="0026092A">
          <w:rPr>
            <w:rStyle w:val="Hyperlink"/>
            <w:rFonts w:ascii="Times New Roman" w:hAnsi="Times New Roman"/>
            <w:sz w:val="24"/>
            <w:szCs w:val="24"/>
          </w:rPr>
          <w:t>https://casetext.com/case/city-of-great-falls-v-intl-assn-of-fire-fighters-loca</w:t>
        </w:r>
      </w:hyperlink>
    </w:p>
    <w:p w14:paraId="37F1554E" w14:textId="77777777" w:rsidR="0026092A" w:rsidRPr="0026092A" w:rsidRDefault="0026092A" w:rsidP="00BF78AE">
      <w:pPr>
        <w:pStyle w:val="NoSpacing"/>
        <w:rPr>
          <w:rFonts w:ascii="Times New Roman" w:hAnsi="Times New Roman"/>
          <w:sz w:val="24"/>
          <w:szCs w:val="24"/>
        </w:rPr>
      </w:pPr>
    </w:p>
    <w:p w14:paraId="413B828E" w14:textId="014F1AB3" w:rsidR="00BF78AE" w:rsidRPr="005A220C" w:rsidRDefault="00BF78AE" w:rsidP="00BF78AE">
      <w:pPr>
        <w:pStyle w:val="NoSpacing"/>
        <w:rPr>
          <w:rFonts w:ascii="Times New Roman" w:hAnsi="Times New Roman"/>
          <w:sz w:val="24"/>
          <w:szCs w:val="24"/>
        </w:rPr>
      </w:pPr>
      <w:r w:rsidRPr="005A220C">
        <w:rPr>
          <w:rFonts w:ascii="Times New Roman" w:hAnsi="Times New Roman"/>
          <w:sz w:val="24"/>
          <w:szCs w:val="24"/>
        </w:rPr>
        <w:t xml:space="preserve">The </w:t>
      </w:r>
      <w:r w:rsidR="0026092A">
        <w:rPr>
          <w:rFonts w:ascii="Times New Roman" w:hAnsi="Times New Roman"/>
          <w:sz w:val="24"/>
          <w:szCs w:val="24"/>
        </w:rPr>
        <w:t xml:space="preserve">MT </w:t>
      </w:r>
      <w:r w:rsidRPr="005A220C">
        <w:rPr>
          <w:rFonts w:ascii="Times New Roman" w:hAnsi="Times New Roman"/>
          <w:sz w:val="24"/>
          <w:szCs w:val="24"/>
        </w:rPr>
        <w:t>Supreme Court wrote:</w:t>
      </w:r>
    </w:p>
    <w:p w14:paraId="230C6B9D" w14:textId="77777777" w:rsidR="00BF78AE" w:rsidRPr="005A220C" w:rsidRDefault="00BF78AE" w:rsidP="00BF78AE">
      <w:pPr>
        <w:pStyle w:val="NoSpacing"/>
        <w:rPr>
          <w:rFonts w:ascii="Times New Roman" w:hAnsi="Times New Roman"/>
          <w:sz w:val="24"/>
          <w:szCs w:val="24"/>
        </w:rPr>
      </w:pPr>
    </w:p>
    <w:p w14:paraId="2E891A56" w14:textId="77777777" w:rsidR="00BF78AE" w:rsidRPr="005A220C" w:rsidRDefault="00BF78AE" w:rsidP="00BF78AE">
      <w:pPr>
        <w:pStyle w:val="NoSpacing"/>
        <w:ind w:left="720"/>
        <w:rPr>
          <w:rFonts w:ascii="Times New Roman" w:hAnsi="Times New Roman"/>
          <w:sz w:val="24"/>
          <w:szCs w:val="24"/>
        </w:rPr>
      </w:pPr>
      <w:r w:rsidRPr="005A220C">
        <w:rPr>
          <w:rFonts w:ascii="Times New Roman" w:hAnsi="Times New Roman"/>
          <w:sz w:val="24"/>
          <w:szCs w:val="24"/>
        </w:rPr>
        <w:t xml:space="preserve">“We must thus consider whether the District Court correctly concluded that the October 2020 hearing examiner's decision and order was not eligible for judicial review under </w:t>
      </w:r>
      <w:hyperlink r:id="rId1950" w:history="1">
        <w:r w:rsidRPr="005A220C">
          <w:rPr>
            <w:rStyle w:val="Hyperlink"/>
            <w:rFonts w:ascii="Times New Roman" w:hAnsi="Times New Roman"/>
            <w:sz w:val="24"/>
            <w:szCs w:val="24"/>
          </w:rPr>
          <w:t>§ 2-4-702(1)(a), MCA</w:t>
        </w:r>
      </w:hyperlink>
      <w:r w:rsidRPr="005A220C">
        <w:rPr>
          <w:rFonts w:ascii="Times New Roman" w:hAnsi="Times New Roman"/>
          <w:sz w:val="24"/>
          <w:szCs w:val="24"/>
        </w:rPr>
        <w:t xml:space="preserve">, due to the City's failure to exhaust the administrative ‘exceptions’ and final agency review remedy provided by </w:t>
      </w:r>
      <w:hyperlink r:id="rId1951" w:history="1">
        <w:r w:rsidRPr="005A220C">
          <w:rPr>
            <w:rStyle w:val="Hyperlink"/>
            <w:rFonts w:ascii="Times New Roman" w:hAnsi="Times New Roman"/>
            <w:sz w:val="24"/>
            <w:szCs w:val="24"/>
          </w:rPr>
          <w:t>§§ 39-31-406(6)</w:t>
        </w:r>
      </w:hyperlink>
      <w:r w:rsidRPr="005A220C">
        <w:rPr>
          <w:rFonts w:ascii="Times New Roman" w:hAnsi="Times New Roman"/>
          <w:sz w:val="24"/>
          <w:szCs w:val="24"/>
        </w:rPr>
        <w:t xml:space="preserve">, </w:t>
      </w:r>
      <w:hyperlink r:id="rId1952" w:history="1">
        <w:r w:rsidRPr="005A220C">
          <w:rPr>
            <w:rStyle w:val="Hyperlink"/>
            <w:rFonts w:ascii="Times New Roman" w:hAnsi="Times New Roman"/>
            <w:sz w:val="24"/>
            <w:szCs w:val="24"/>
          </w:rPr>
          <w:t>2-4-621(1)</w:t>
        </w:r>
      </w:hyperlink>
      <w:r w:rsidRPr="005A220C">
        <w:rPr>
          <w:rFonts w:ascii="Times New Roman" w:hAnsi="Times New Roman"/>
          <w:sz w:val="24"/>
          <w:szCs w:val="24"/>
        </w:rPr>
        <w:t xml:space="preserve">-(3), and -623(1)(a), MCA. *** We hold that the District Court correctly concluded that the hearing examiner's October 2020 proposed agency/MBPA decision and order was not eligible for judicial review as a preliminary order under </w:t>
      </w:r>
      <w:hyperlink r:id="rId1953" w:history="1">
        <w:r w:rsidRPr="005A220C">
          <w:rPr>
            <w:rStyle w:val="Hyperlink"/>
            <w:rFonts w:ascii="Times New Roman" w:hAnsi="Times New Roman"/>
            <w:sz w:val="24"/>
            <w:szCs w:val="24"/>
          </w:rPr>
          <w:t>§ 2-4-701, MCA.</w:t>
        </w:r>
      </w:hyperlink>
      <w:r w:rsidRPr="005A220C">
        <w:rPr>
          <w:rFonts w:ascii="Times New Roman" w:hAnsi="Times New Roman"/>
          <w:sz w:val="24"/>
          <w:szCs w:val="24"/>
        </w:rPr>
        <w:t xml:space="preserve"> We hold further that the District Court also correctly concluded that the resulting October 2020 final agency/MBPA decision and order was not eligible for judicial review under </w:t>
      </w:r>
      <w:hyperlink r:id="rId1954" w:history="1">
        <w:r w:rsidRPr="005A220C">
          <w:rPr>
            <w:rStyle w:val="Hyperlink"/>
            <w:rFonts w:ascii="Times New Roman" w:hAnsi="Times New Roman"/>
            <w:sz w:val="24"/>
            <w:szCs w:val="24"/>
          </w:rPr>
          <w:t>§ 2-4-702(1)(a), MCA</w:t>
        </w:r>
      </w:hyperlink>
      <w:r w:rsidRPr="005A220C">
        <w:rPr>
          <w:rFonts w:ascii="Times New Roman" w:hAnsi="Times New Roman"/>
          <w:sz w:val="24"/>
          <w:szCs w:val="24"/>
        </w:rPr>
        <w:t xml:space="preserve">, due to the City's failure to exhaust the ‘exceptions’ and final agency review remedy available under </w:t>
      </w:r>
      <w:hyperlink r:id="rId1955" w:history="1">
        <w:r w:rsidRPr="005A220C">
          <w:rPr>
            <w:rStyle w:val="Hyperlink"/>
            <w:rFonts w:ascii="Times New Roman" w:hAnsi="Times New Roman"/>
            <w:sz w:val="24"/>
            <w:szCs w:val="24"/>
          </w:rPr>
          <w:t>§§ 39-31-406(6)</w:t>
        </w:r>
      </w:hyperlink>
      <w:r w:rsidRPr="005A220C">
        <w:rPr>
          <w:rFonts w:ascii="Times New Roman" w:hAnsi="Times New Roman"/>
          <w:sz w:val="24"/>
          <w:szCs w:val="24"/>
        </w:rPr>
        <w:t xml:space="preserve">, </w:t>
      </w:r>
      <w:hyperlink r:id="rId1956" w:history="1">
        <w:r w:rsidRPr="005A220C">
          <w:rPr>
            <w:rStyle w:val="Hyperlink"/>
            <w:rFonts w:ascii="Times New Roman" w:hAnsi="Times New Roman"/>
            <w:sz w:val="24"/>
            <w:szCs w:val="24"/>
          </w:rPr>
          <w:t>2-4-621(1)</w:t>
        </w:r>
      </w:hyperlink>
      <w:r w:rsidRPr="005A220C">
        <w:rPr>
          <w:rFonts w:ascii="Times New Roman" w:hAnsi="Times New Roman"/>
          <w:sz w:val="24"/>
          <w:szCs w:val="24"/>
        </w:rPr>
        <w:t>-(3), and -623(1)(a), MCA. The District Court's 2022 order and judgment denying the City's petition for judicial review of the October 2020 MBPA hearing examiner decision and order is therefore AFFIRMED.”</w:t>
      </w:r>
    </w:p>
    <w:p w14:paraId="6C12D886" w14:textId="0D77E60D" w:rsidR="00BF78AE" w:rsidRDefault="00BF78AE" w:rsidP="0026092A">
      <w:pPr>
        <w:pStyle w:val="NoSpacing"/>
        <w:ind w:left="720"/>
      </w:pPr>
      <w:r w:rsidRPr="005A220C">
        <w:rPr>
          <w:rFonts w:ascii="Times New Roman" w:hAnsi="Times New Roman"/>
          <w:sz w:val="24"/>
          <w:szCs w:val="24"/>
        </w:rPr>
        <w:t xml:space="preserve"> </w:t>
      </w:r>
    </w:p>
    <w:p w14:paraId="5A0B81C0" w14:textId="77777777" w:rsidR="003923C6" w:rsidRPr="003923C6" w:rsidRDefault="003923C6" w:rsidP="003923C6">
      <w:pPr>
        <w:pStyle w:val="NoSpacing"/>
        <w:rPr>
          <w:rFonts w:ascii="Times New Roman" w:hAnsi="Times New Roman"/>
          <w:bCs/>
          <w:sz w:val="24"/>
          <w:szCs w:val="24"/>
        </w:rPr>
      </w:pPr>
      <w:r w:rsidRPr="003923C6">
        <w:rPr>
          <w:rFonts w:ascii="Times New Roman" w:hAnsi="Times New Roman"/>
          <w:sz w:val="24"/>
          <w:szCs w:val="24"/>
        </w:rPr>
        <w:t>HOLDING:</w:t>
      </w:r>
    </w:p>
    <w:p w14:paraId="067D8DC0" w14:textId="77777777" w:rsidR="003923C6" w:rsidRPr="003923C6" w:rsidRDefault="003923C6" w:rsidP="003923C6">
      <w:pPr>
        <w:pStyle w:val="NoSpacing"/>
        <w:rPr>
          <w:rFonts w:ascii="Times New Roman" w:hAnsi="Times New Roman"/>
          <w:bCs/>
          <w:sz w:val="24"/>
          <w:szCs w:val="24"/>
        </w:rPr>
      </w:pPr>
    </w:p>
    <w:p w14:paraId="19B3C0EA" w14:textId="77777777" w:rsidR="003923C6" w:rsidRPr="003923C6" w:rsidRDefault="003923C6" w:rsidP="003923C6">
      <w:pPr>
        <w:pStyle w:val="NoSpacing"/>
        <w:ind w:left="720"/>
        <w:rPr>
          <w:rFonts w:ascii="Times New Roman" w:hAnsi="Times New Roman"/>
          <w:bCs/>
          <w:sz w:val="24"/>
          <w:szCs w:val="24"/>
        </w:rPr>
      </w:pPr>
      <w:r w:rsidRPr="003923C6">
        <w:rPr>
          <w:rFonts w:ascii="Times New Roman" w:hAnsi="Times New Roman"/>
          <w:sz w:val="24"/>
          <w:szCs w:val="24"/>
        </w:rPr>
        <w:t xml:space="preserve">“We hold that the District Court correctly concluded that the hearing examiner's October 2020 proposed agency/MBPA decision and order was not eligible for judicial review as a preliminary order under </w:t>
      </w:r>
      <w:hyperlink r:id="rId1957" w:history="1">
        <w:r w:rsidRPr="003923C6">
          <w:rPr>
            <w:rStyle w:val="Hyperlink"/>
            <w:rFonts w:ascii="Times New Roman" w:hAnsi="Times New Roman"/>
            <w:sz w:val="24"/>
            <w:szCs w:val="24"/>
          </w:rPr>
          <w:t>§ 2-4-701, MCA.</w:t>
        </w:r>
      </w:hyperlink>
      <w:r w:rsidRPr="003923C6">
        <w:rPr>
          <w:rFonts w:ascii="Times New Roman" w:hAnsi="Times New Roman"/>
          <w:sz w:val="24"/>
          <w:szCs w:val="24"/>
        </w:rPr>
        <w:t>”</w:t>
      </w:r>
    </w:p>
    <w:p w14:paraId="1FFC9366" w14:textId="77777777" w:rsidR="003923C6" w:rsidRPr="003923C6" w:rsidRDefault="003923C6" w:rsidP="003923C6">
      <w:pPr>
        <w:pStyle w:val="NoSpacing"/>
        <w:ind w:left="720"/>
        <w:rPr>
          <w:rFonts w:ascii="Times New Roman" w:hAnsi="Times New Roman"/>
          <w:bCs/>
          <w:sz w:val="24"/>
          <w:szCs w:val="24"/>
        </w:rPr>
      </w:pPr>
    </w:p>
    <w:p w14:paraId="37AF60FC" w14:textId="77777777" w:rsidR="003923C6" w:rsidRPr="003923C6" w:rsidRDefault="003923C6" w:rsidP="003923C6">
      <w:pPr>
        <w:pStyle w:val="NoSpacing"/>
        <w:rPr>
          <w:rFonts w:ascii="Times New Roman" w:hAnsi="Times New Roman"/>
          <w:b/>
          <w:sz w:val="24"/>
          <w:szCs w:val="24"/>
        </w:rPr>
      </w:pPr>
      <w:r w:rsidRPr="003923C6">
        <w:rPr>
          <w:rFonts w:ascii="Times New Roman" w:hAnsi="Times New Roman"/>
          <w:b/>
          <w:sz w:val="24"/>
          <w:szCs w:val="24"/>
        </w:rPr>
        <w:t xml:space="preserve">Legal Lesson Learned:  A collectively bargained random drug testing policy can be modified through additional collective bargaining. </w:t>
      </w:r>
    </w:p>
    <w:p w14:paraId="188186AE" w14:textId="77777777" w:rsidR="00BF78AE" w:rsidRDefault="00BF78AE" w:rsidP="00F326E5">
      <w:pPr>
        <w:rPr>
          <w:rFonts w:ascii="Arial Black" w:hAnsi="Arial Black"/>
          <w:b/>
          <w:sz w:val="24"/>
          <w:szCs w:val="24"/>
        </w:rPr>
      </w:pPr>
    </w:p>
    <w:p w14:paraId="63CE13DA" w14:textId="77777777" w:rsidR="00BF78AE" w:rsidRDefault="00BF78AE" w:rsidP="00F326E5">
      <w:pPr>
        <w:rPr>
          <w:rFonts w:ascii="Arial Black" w:hAnsi="Arial Black"/>
          <w:b/>
          <w:sz w:val="24"/>
          <w:szCs w:val="24"/>
        </w:rPr>
      </w:pPr>
    </w:p>
    <w:p w14:paraId="6D4882FD" w14:textId="77777777" w:rsidR="00BF78AE" w:rsidRDefault="00BF78AE" w:rsidP="00F326E5">
      <w:pPr>
        <w:rPr>
          <w:rFonts w:ascii="Arial Black" w:hAnsi="Arial Black"/>
          <w:b/>
          <w:sz w:val="24"/>
          <w:szCs w:val="24"/>
        </w:rPr>
      </w:pPr>
    </w:p>
    <w:p w14:paraId="0F8553BF" w14:textId="73DC80DD" w:rsidR="00081AD1" w:rsidRDefault="00081AD1" w:rsidP="00F326E5">
      <w:pPr>
        <w:rPr>
          <w:rFonts w:ascii="Arial Black" w:hAnsi="Arial Black"/>
          <w:b/>
          <w:sz w:val="24"/>
          <w:szCs w:val="24"/>
        </w:rPr>
      </w:pPr>
      <w:r>
        <w:rPr>
          <w:rFonts w:ascii="Arial Black" w:hAnsi="Arial Black"/>
          <w:b/>
          <w:sz w:val="24"/>
          <w:szCs w:val="24"/>
        </w:rPr>
        <w:t>12-27</w:t>
      </w:r>
    </w:p>
    <w:p w14:paraId="49253D6F" w14:textId="77777777" w:rsidR="003378B6" w:rsidRPr="00340F44" w:rsidRDefault="003378B6" w:rsidP="003378B6">
      <w:pPr>
        <w:rPr>
          <w:rFonts w:ascii="Arial Black" w:hAnsi="Arial Black"/>
          <w:b/>
          <w:bCs/>
          <w:sz w:val="28"/>
        </w:rPr>
      </w:pPr>
      <w:r>
        <w:rPr>
          <w:rFonts w:ascii="Arial Black" w:hAnsi="Arial Black"/>
          <w:b/>
          <w:bCs/>
          <w:sz w:val="28"/>
        </w:rPr>
        <w:t>IN: FF DRUG TEST - MARIJUANA – ADMIN. INVEST. STOPPED, MIGHT NOT HAVE USED – CANNOT SUE CITY</w:t>
      </w:r>
    </w:p>
    <w:p w14:paraId="34B2A16B" w14:textId="77777777" w:rsidR="003378B6" w:rsidRPr="003378B6" w:rsidRDefault="003378B6" w:rsidP="003378B6">
      <w:pPr>
        <w:rPr>
          <w:rFonts w:ascii="Times New Roman" w:hAnsi="Times New Roman"/>
          <w:sz w:val="24"/>
          <w:szCs w:val="24"/>
        </w:rPr>
      </w:pPr>
      <w:r w:rsidRPr="003378B6">
        <w:rPr>
          <w:rFonts w:ascii="Times New Roman" w:hAnsi="Times New Roman"/>
          <w:sz w:val="24"/>
          <w:szCs w:val="24"/>
        </w:rPr>
        <w:t xml:space="preserve">On Aug. 8, 2024, in </w:t>
      </w:r>
      <w:r w:rsidRPr="003378B6">
        <w:rPr>
          <w:rFonts w:ascii="Times New Roman" w:hAnsi="Times New Roman"/>
          <w:sz w:val="24"/>
          <w:szCs w:val="24"/>
          <w:u w:val="single"/>
        </w:rPr>
        <w:t xml:space="preserve">Paul Russell v. John Doe, M.D., John Doe Hospital, John Doe Retracted Network, Inc. d/b/a John Doe Redacted Health, Omega Laboratories Inc., and City of East Chicago, </w:t>
      </w:r>
      <w:r w:rsidRPr="003378B6">
        <w:rPr>
          <w:rFonts w:ascii="Times New Roman" w:hAnsi="Times New Roman"/>
          <w:sz w:val="24"/>
          <w:szCs w:val="24"/>
        </w:rPr>
        <w:t xml:space="preserve">the Court of Appeals of Indiana held (3 to 0) that trial court properly dismissed his complaint against the City of East Chicago. The Court wrote: “In his complaint, Russell made clear that he was ‘not alleging that [the City] wrongly or negligently initiated an administrative process’ but that ‘there came a point in [that] administrative process when [the City] knew or had reason to know that [Russell] had not ingested marijuana.’ Appellant's App. Vol. 2, p. 40; </w:t>
      </w:r>
      <w:r w:rsidRPr="003378B6">
        <w:rPr>
          <w:rFonts w:ascii="Times New Roman" w:hAnsi="Times New Roman"/>
          <w:i/>
          <w:iCs/>
          <w:sz w:val="24"/>
          <w:szCs w:val="24"/>
        </w:rPr>
        <w:t>see also</w:t>
      </w:r>
      <w:r w:rsidRPr="003378B6">
        <w:rPr>
          <w:rFonts w:ascii="Times New Roman" w:hAnsi="Times New Roman"/>
          <w:sz w:val="24"/>
          <w:szCs w:val="24"/>
        </w:rPr>
        <w:t xml:space="preserve"> Appellant's Br. at 45. Russell thus alleged that the </w:t>
      </w:r>
      <w:proofErr w:type="gramStart"/>
      <w:r w:rsidRPr="003378B6">
        <w:rPr>
          <w:rFonts w:ascii="Times New Roman" w:hAnsi="Times New Roman"/>
          <w:sz w:val="24"/>
          <w:szCs w:val="24"/>
        </w:rPr>
        <w:t>City</w:t>
      </w:r>
      <w:proofErr w:type="gramEnd"/>
      <w:r w:rsidRPr="003378B6">
        <w:rPr>
          <w:rFonts w:ascii="Times New Roman" w:hAnsi="Times New Roman"/>
          <w:sz w:val="24"/>
          <w:szCs w:val="24"/>
        </w:rPr>
        <w:t xml:space="preserve"> had caused him monetary harm by continuing with the administrative process after having received the conflicting evidence. *** Indiana Code section 34-13-3-3(a)(6) provides that a governmental entity "is not liable if a loss </w:t>
      </w:r>
      <w:r w:rsidRPr="003378B6">
        <w:rPr>
          <w:rFonts w:ascii="Times New Roman" w:hAnsi="Times New Roman"/>
          <w:i/>
          <w:iCs/>
          <w:sz w:val="24"/>
          <w:szCs w:val="24"/>
        </w:rPr>
        <w:t>results from</w:t>
      </w:r>
      <w:r w:rsidRPr="003378B6">
        <w:rPr>
          <w:rFonts w:ascii="Times New Roman" w:hAnsi="Times New Roman"/>
          <w:sz w:val="24"/>
          <w:szCs w:val="24"/>
        </w:rPr>
        <w:t xml:space="preserve"> . . . [t]</w:t>
      </w:r>
      <w:proofErr w:type="gramStart"/>
      <w:r w:rsidRPr="003378B6">
        <w:rPr>
          <w:rFonts w:ascii="Times New Roman" w:hAnsi="Times New Roman"/>
          <w:sz w:val="24"/>
          <w:szCs w:val="24"/>
        </w:rPr>
        <w:t>he</w:t>
      </w:r>
      <w:proofErr w:type="gramEnd"/>
      <w:r w:rsidRPr="003378B6">
        <w:rPr>
          <w:rFonts w:ascii="Times New Roman" w:hAnsi="Times New Roman"/>
          <w:sz w:val="24"/>
          <w:szCs w:val="24"/>
        </w:rPr>
        <w:t xml:space="preserve"> initiation of a judicial or an administrative proceeding." (Emphasis added.) We think that language is clear: a governmental entity is not liable for any loss that arises from the initiation of an administrative proceeding or </w:t>
      </w:r>
      <w:r w:rsidRPr="003378B6">
        <w:rPr>
          <w:rFonts w:ascii="Times New Roman" w:hAnsi="Times New Roman"/>
          <w:sz w:val="24"/>
          <w:szCs w:val="24"/>
        </w:rPr>
        <w:lastRenderedPageBreak/>
        <w:t xml:space="preserve">"results from" the initiation of that proceeding. A loss plainly "results from" the initiation of a proceeding if it occurred </w:t>
      </w:r>
      <w:r w:rsidRPr="003378B6">
        <w:rPr>
          <w:rFonts w:ascii="Times New Roman" w:hAnsi="Times New Roman"/>
          <w:i/>
          <w:iCs/>
          <w:sz w:val="24"/>
          <w:szCs w:val="24"/>
        </w:rPr>
        <w:t>during</w:t>
      </w:r>
      <w:r w:rsidRPr="003378B6">
        <w:rPr>
          <w:rFonts w:ascii="Times New Roman" w:hAnsi="Times New Roman"/>
          <w:sz w:val="24"/>
          <w:szCs w:val="24"/>
        </w:rPr>
        <w:t xml:space="preserve"> the proceeding and </w:t>
      </w:r>
      <w:r w:rsidRPr="003378B6">
        <w:rPr>
          <w:rFonts w:ascii="Times New Roman" w:hAnsi="Times New Roman"/>
          <w:i/>
          <w:iCs/>
          <w:sz w:val="24"/>
          <w:szCs w:val="24"/>
        </w:rPr>
        <w:t>after</w:t>
      </w:r>
      <w:r w:rsidRPr="003378B6">
        <w:rPr>
          <w:rFonts w:ascii="Times New Roman" w:hAnsi="Times New Roman"/>
          <w:sz w:val="24"/>
          <w:szCs w:val="24"/>
        </w:rPr>
        <w:t xml:space="preserve"> its initiation.” </w:t>
      </w:r>
      <w:hyperlink r:id="rId1958" w:history="1">
        <w:r w:rsidRPr="003378B6">
          <w:rPr>
            <w:rStyle w:val="Hyperlink"/>
            <w:rFonts w:ascii="Times New Roman" w:hAnsi="Times New Roman"/>
            <w:sz w:val="24"/>
            <w:szCs w:val="24"/>
          </w:rPr>
          <w:t>https://caselaw.findlaw.com/court/in-court-of-appeals/116468399.html</w:t>
        </w:r>
      </w:hyperlink>
      <w:r w:rsidRPr="003378B6">
        <w:rPr>
          <w:rFonts w:ascii="Times New Roman" w:hAnsi="Times New Roman"/>
          <w:sz w:val="24"/>
          <w:szCs w:val="24"/>
        </w:rPr>
        <w:t xml:space="preserve"> </w:t>
      </w:r>
    </w:p>
    <w:p w14:paraId="43E75465" w14:textId="77777777" w:rsidR="003378B6" w:rsidRPr="003378B6" w:rsidRDefault="003378B6" w:rsidP="003378B6">
      <w:pPr>
        <w:rPr>
          <w:rFonts w:ascii="Times New Roman" w:hAnsi="Times New Roman"/>
          <w:sz w:val="24"/>
          <w:szCs w:val="24"/>
        </w:rPr>
      </w:pPr>
      <w:r w:rsidRPr="003378B6">
        <w:rPr>
          <w:rFonts w:ascii="Times New Roman" w:hAnsi="Times New Roman"/>
          <w:sz w:val="24"/>
          <w:szCs w:val="24"/>
        </w:rPr>
        <w:t>THE COURT HELD:</w:t>
      </w:r>
    </w:p>
    <w:p w14:paraId="1C9D8E52" w14:textId="77777777" w:rsidR="003378B6" w:rsidRPr="003378B6" w:rsidRDefault="003378B6" w:rsidP="003378B6">
      <w:pPr>
        <w:ind w:left="720"/>
        <w:rPr>
          <w:rFonts w:ascii="Times New Roman" w:hAnsi="Times New Roman"/>
          <w:sz w:val="24"/>
          <w:szCs w:val="24"/>
        </w:rPr>
      </w:pPr>
      <w:r w:rsidRPr="003378B6">
        <w:rPr>
          <w:rFonts w:ascii="Times New Roman" w:hAnsi="Times New Roman"/>
          <w:sz w:val="24"/>
          <w:szCs w:val="24"/>
        </w:rPr>
        <w:t xml:space="preserve">“Russell's claims against the </w:t>
      </w:r>
      <w:proofErr w:type="gramStart"/>
      <w:r w:rsidRPr="003378B6">
        <w:rPr>
          <w:rFonts w:ascii="Times New Roman" w:hAnsi="Times New Roman"/>
          <w:sz w:val="24"/>
          <w:szCs w:val="24"/>
        </w:rPr>
        <w:t>City</w:t>
      </w:r>
      <w:proofErr w:type="gramEnd"/>
      <w:r w:rsidRPr="003378B6">
        <w:rPr>
          <w:rFonts w:ascii="Times New Roman" w:hAnsi="Times New Roman"/>
          <w:sz w:val="24"/>
          <w:szCs w:val="24"/>
        </w:rPr>
        <w:t xml:space="preserve"> are expressly premised on information obtained by the </w:t>
      </w:r>
      <w:proofErr w:type="gramStart"/>
      <w:r w:rsidRPr="003378B6">
        <w:rPr>
          <w:rFonts w:ascii="Times New Roman" w:hAnsi="Times New Roman"/>
          <w:sz w:val="24"/>
          <w:szCs w:val="24"/>
        </w:rPr>
        <w:t>City</w:t>
      </w:r>
      <w:proofErr w:type="gramEnd"/>
      <w:r w:rsidRPr="003378B6">
        <w:rPr>
          <w:rFonts w:ascii="Times New Roman" w:hAnsi="Times New Roman"/>
          <w:sz w:val="24"/>
          <w:szCs w:val="24"/>
        </w:rPr>
        <w:t xml:space="preserve"> after it had initiated the administrative proceedings against him and while those administrative proceedings were ongoing. Russell's claims against the </w:t>
      </w:r>
      <w:proofErr w:type="gramStart"/>
      <w:r w:rsidRPr="003378B6">
        <w:rPr>
          <w:rFonts w:ascii="Times New Roman" w:hAnsi="Times New Roman"/>
          <w:sz w:val="24"/>
          <w:szCs w:val="24"/>
        </w:rPr>
        <w:t>City</w:t>
      </w:r>
      <w:proofErr w:type="gramEnd"/>
      <w:r w:rsidRPr="003378B6">
        <w:rPr>
          <w:rFonts w:ascii="Times New Roman" w:hAnsi="Times New Roman"/>
          <w:sz w:val="24"/>
          <w:szCs w:val="24"/>
        </w:rPr>
        <w:t xml:space="preserve"> therefore seek to hold the </w:t>
      </w:r>
      <w:proofErr w:type="gramStart"/>
      <w:r w:rsidRPr="003378B6">
        <w:rPr>
          <w:rFonts w:ascii="Times New Roman" w:hAnsi="Times New Roman"/>
          <w:sz w:val="24"/>
          <w:szCs w:val="24"/>
        </w:rPr>
        <w:t>City</w:t>
      </w:r>
      <w:proofErr w:type="gramEnd"/>
      <w:r w:rsidRPr="003378B6">
        <w:rPr>
          <w:rFonts w:ascii="Times New Roman" w:hAnsi="Times New Roman"/>
          <w:sz w:val="24"/>
          <w:szCs w:val="24"/>
        </w:rPr>
        <w:t xml:space="preserve"> liable for losses that ‘result from’ the City's initiation of the administrative proceedings against Russell. The </w:t>
      </w:r>
      <w:proofErr w:type="gramStart"/>
      <w:r w:rsidRPr="003378B6">
        <w:rPr>
          <w:rFonts w:ascii="Times New Roman" w:hAnsi="Times New Roman"/>
          <w:sz w:val="24"/>
          <w:szCs w:val="24"/>
        </w:rPr>
        <w:t>City</w:t>
      </w:r>
      <w:proofErr w:type="gramEnd"/>
      <w:r w:rsidRPr="003378B6">
        <w:rPr>
          <w:rFonts w:ascii="Times New Roman" w:hAnsi="Times New Roman"/>
          <w:sz w:val="24"/>
          <w:szCs w:val="24"/>
        </w:rPr>
        <w:t xml:space="preserve"> is therefore immune from Russell's claims, and the trial court properly dismissed them. </w:t>
      </w:r>
    </w:p>
    <w:p w14:paraId="63699B48" w14:textId="77777777" w:rsidR="003378B6" w:rsidRPr="003378B6" w:rsidRDefault="003378B6" w:rsidP="003378B6">
      <w:pPr>
        <w:ind w:left="720"/>
        <w:rPr>
          <w:rFonts w:ascii="Times New Roman" w:hAnsi="Times New Roman"/>
          <w:sz w:val="24"/>
          <w:szCs w:val="24"/>
        </w:rPr>
      </w:pPr>
      <w:r w:rsidRPr="003378B6">
        <w:rPr>
          <w:rFonts w:ascii="Times New Roman" w:hAnsi="Times New Roman"/>
          <w:sz w:val="24"/>
          <w:szCs w:val="24"/>
        </w:rPr>
        <w:t>Still, Russell asserts that, insofar as his claims against the City are premised on ‘intentional misrepresentation’ by the City, they should proceed because Indiana Code section 34-</w:t>
      </w:r>
      <w:proofErr w:type="gramStart"/>
      <w:r w:rsidRPr="003378B6">
        <w:rPr>
          <w:rFonts w:ascii="Times New Roman" w:hAnsi="Times New Roman"/>
          <w:sz w:val="24"/>
          <w:szCs w:val="24"/>
        </w:rPr>
        <w:t>13-3-3</w:t>
      </w:r>
      <w:proofErr w:type="gramEnd"/>
      <w:r w:rsidRPr="003378B6">
        <w:rPr>
          <w:rFonts w:ascii="Times New Roman" w:hAnsi="Times New Roman"/>
          <w:sz w:val="24"/>
          <w:szCs w:val="24"/>
        </w:rPr>
        <w:t xml:space="preserve">(a)(14) provides that a governmental entity is not liable for only ‘unintentional’ misrepresentations. Appellant's Br. at 10-11. But we conclude that section 34-13-3-3(a)(14) is irrelevant where, as here, the governmental entity has established that it is entitled to immunity under a different subsection of the ITCA on the same facts. </w:t>
      </w:r>
    </w:p>
    <w:p w14:paraId="6576FB89" w14:textId="77777777" w:rsidR="003378B6" w:rsidRPr="003378B6" w:rsidRDefault="003378B6" w:rsidP="003378B6">
      <w:pPr>
        <w:ind w:left="720"/>
        <w:rPr>
          <w:rFonts w:ascii="Times New Roman" w:hAnsi="Times New Roman"/>
          <w:sz w:val="24"/>
          <w:szCs w:val="24"/>
        </w:rPr>
      </w:pPr>
      <w:r w:rsidRPr="003378B6">
        <w:rPr>
          <w:rFonts w:ascii="Times New Roman" w:hAnsi="Times New Roman"/>
          <w:sz w:val="24"/>
          <w:szCs w:val="24"/>
        </w:rPr>
        <w:t xml:space="preserve">For </w:t>
      </w:r>
      <w:proofErr w:type="gramStart"/>
      <w:r w:rsidRPr="003378B6">
        <w:rPr>
          <w:rFonts w:ascii="Times New Roman" w:hAnsi="Times New Roman"/>
          <w:sz w:val="24"/>
          <w:szCs w:val="24"/>
        </w:rPr>
        <w:t>all of</w:t>
      </w:r>
      <w:proofErr w:type="gramEnd"/>
      <w:r w:rsidRPr="003378B6">
        <w:rPr>
          <w:rFonts w:ascii="Times New Roman" w:hAnsi="Times New Roman"/>
          <w:sz w:val="24"/>
          <w:szCs w:val="24"/>
        </w:rPr>
        <w:t xml:space="preserve"> these reasons, we affirm the trial court's dismissal of Russell's complaint against the </w:t>
      </w:r>
      <w:proofErr w:type="gramStart"/>
      <w:r w:rsidRPr="003378B6">
        <w:rPr>
          <w:rFonts w:ascii="Times New Roman" w:hAnsi="Times New Roman"/>
          <w:sz w:val="24"/>
          <w:szCs w:val="24"/>
        </w:rPr>
        <w:t>City</w:t>
      </w:r>
      <w:proofErr w:type="gramEnd"/>
      <w:r w:rsidRPr="003378B6">
        <w:rPr>
          <w:rFonts w:ascii="Times New Roman" w:hAnsi="Times New Roman"/>
          <w:sz w:val="24"/>
          <w:szCs w:val="24"/>
        </w:rPr>
        <w:t>.”</w:t>
      </w:r>
    </w:p>
    <w:p w14:paraId="0D3531F3" w14:textId="77777777" w:rsidR="003378B6" w:rsidRPr="003378B6" w:rsidRDefault="003378B6" w:rsidP="003378B6">
      <w:pPr>
        <w:rPr>
          <w:rFonts w:ascii="Times New Roman" w:hAnsi="Times New Roman"/>
          <w:b/>
          <w:bCs/>
          <w:sz w:val="24"/>
          <w:szCs w:val="24"/>
        </w:rPr>
      </w:pPr>
      <w:r w:rsidRPr="003378B6">
        <w:rPr>
          <w:rFonts w:ascii="Times New Roman" w:hAnsi="Times New Roman"/>
          <w:b/>
          <w:bCs/>
          <w:sz w:val="24"/>
          <w:szCs w:val="24"/>
        </w:rPr>
        <w:t xml:space="preserve">Legal Lesson Learned: City not liable for bringing administrative charges; </w:t>
      </w:r>
      <w:proofErr w:type="gramStart"/>
      <w:r w:rsidRPr="003378B6">
        <w:rPr>
          <w:rFonts w:ascii="Times New Roman" w:hAnsi="Times New Roman"/>
          <w:b/>
          <w:bCs/>
          <w:sz w:val="24"/>
          <w:szCs w:val="24"/>
        </w:rPr>
        <w:t>firefighter</w:t>
      </w:r>
      <w:proofErr w:type="gramEnd"/>
      <w:r w:rsidRPr="003378B6">
        <w:rPr>
          <w:rFonts w:ascii="Times New Roman" w:hAnsi="Times New Roman"/>
          <w:b/>
          <w:bCs/>
          <w:sz w:val="24"/>
          <w:szCs w:val="24"/>
        </w:rPr>
        <w:t xml:space="preserve"> however can still bring lawsuit against drug testing facility. </w:t>
      </w:r>
    </w:p>
    <w:p w14:paraId="0572A433" w14:textId="77777777" w:rsidR="00081AD1" w:rsidRDefault="00081AD1" w:rsidP="00F326E5">
      <w:pPr>
        <w:rPr>
          <w:rFonts w:ascii="Arial Black" w:hAnsi="Arial Black"/>
          <w:b/>
          <w:sz w:val="24"/>
          <w:szCs w:val="24"/>
        </w:rPr>
      </w:pPr>
    </w:p>
    <w:p w14:paraId="27715807" w14:textId="77777777" w:rsidR="00081AD1" w:rsidRDefault="00081AD1" w:rsidP="00F326E5">
      <w:pPr>
        <w:rPr>
          <w:rFonts w:ascii="Arial Black" w:hAnsi="Arial Black"/>
          <w:b/>
          <w:sz w:val="24"/>
          <w:szCs w:val="24"/>
        </w:rPr>
      </w:pPr>
    </w:p>
    <w:p w14:paraId="2109E1A9" w14:textId="08EA815C" w:rsidR="00CF5424" w:rsidRDefault="00CF5424" w:rsidP="00F326E5">
      <w:pPr>
        <w:rPr>
          <w:rFonts w:ascii="Arial Black" w:hAnsi="Arial Black"/>
          <w:b/>
          <w:sz w:val="24"/>
          <w:szCs w:val="24"/>
        </w:rPr>
      </w:pPr>
      <w:r>
        <w:rPr>
          <w:rFonts w:ascii="Arial Black" w:hAnsi="Arial Black"/>
          <w:b/>
          <w:sz w:val="24"/>
          <w:szCs w:val="24"/>
        </w:rPr>
        <w:t>12-26</w:t>
      </w:r>
    </w:p>
    <w:p w14:paraId="337444A1" w14:textId="77777777" w:rsidR="0041296B" w:rsidRPr="00767FB4" w:rsidRDefault="0041296B" w:rsidP="0041296B">
      <w:pPr>
        <w:pStyle w:val="NormalWeb"/>
        <w:spacing w:before="0" w:beforeAutospacing="0"/>
        <w:rPr>
          <w:rFonts w:ascii="Arial Black" w:hAnsi="Arial Black"/>
          <w:sz w:val="28"/>
          <w:szCs w:val="28"/>
        </w:rPr>
      </w:pPr>
      <w:r>
        <w:rPr>
          <w:rFonts w:ascii="Arial Black" w:hAnsi="Arial Black"/>
          <w:sz w:val="28"/>
          <w:szCs w:val="28"/>
        </w:rPr>
        <w:t xml:space="preserve">CA: FIREFIGHTER - U.S. ARMY - FIRED POSITIVE RANDOM DRUG TEST METH – WAS IN TREATMENT - NO CASE </w:t>
      </w:r>
    </w:p>
    <w:p w14:paraId="0E799514" w14:textId="20378D7F" w:rsidR="0041296B" w:rsidRPr="0041296B" w:rsidRDefault="0041296B" w:rsidP="0041296B">
      <w:pPr>
        <w:pStyle w:val="NormalWeb"/>
      </w:pPr>
      <w:r w:rsidRPr="0041296B">
        <w:t xml:space="preserve">On May 22, 2024, in </w:t>
      </w:r>
      <w:r w:rsidRPr="0041296B">
        <w:rPr>
          <w:u w:val="single"/>
        </w:rPr>
        <w:t xml:space="preserve">Roger E. Greer v. Christine Wormuth </w:t>
      </w:r>
      <w:r w:rsidRPr="0041296B">
        <w:t>(Secretary of U.S. Army), United States District Court Judge Maxine M. Chesney, U.S. District Court for Northern District of California, granted defense motion to dismiss (firefighter filed lawsuit pro se; without an attorney).  Ten months (Aug. 2014) prior to his notice of removal (June 26, 2015), he told Supervisor he was in treatment and detoxification for drug use under 'Safe Harbor' under the government's DFWP [Drug-Free Workplace Program. On April 16, 2015, he tested positive for tested positive for amphetamine and methamphetamine</w:t>
      </w:r>
      <w:proofErr w:type="gramStart"/>
      <w:r w:rsidRPr="0041296B">
        <w:t>/d-</w:t>
      </w:r>
      <w:proofErr w:type="gramEnd"/>
      <w:r w:rsidRPr="0041296B">
        <w:t>methamphetamine. The Court held:</w:t>
      </w:r>
    </w:p>
    <w:p w14:paraId="5688E531" w14:textId="6958E9C5" w:rsidR="00CF5424" w:rsidRPr="0041296B" w:rsidRDefault="0041296B" w:rsidP="0041296B">
      <w:pPr>
        <w:ind w:left="720"/>
        <w:rPr>
          <w:rFonts w:ascii="Times New Roman" w:hAnsi="Times New Roman"/>
          <w:b/>
          <w:sz w:val="24"/>
          <w:szCs w:val="24"/>
        </w:rPr>
      </w:pPr>
      <w:r w:rsidRPr="0041296B">
        <w:rPr>
          <w:rFonts w:ascii="Times New Roman" w:hAnsi="Times New Roman"/>
          <w:sz w:val="24"/>
          <w:szCs w:val="24"/>
        </w:rPr>
        <w:t xml:space="preserve">“Further, even assuming Greer is, in some manner, disabled, his reliance on the Rehabilitation Act's ‘safe harbor’ provision is unavailing. </w:t>
      </w:r>
      <w:proofErr w:type="gramStart"/>
      <w:r w:rsidRPr="0041296B">
        <w:rPr>
          <w:rFonts w:ascii="Times New Roman" w:hAnsi="Times New Roman"/>
          <w:sz w:val="24"/>
          <w:szCs w:val="24"/>
        </w:rPr>
        <w:t>In particular, said</w:t>
      </w:r>
      <w:proofErr w:type="gramEnd"/>
      <w:r w:rsidRPr="0041296B">
        <w:rPr>
          <w:rFonts w:ascii="Times New Roman" w:hAnsi="Times New Roman"/>
          <w:sz w:val="24"/>
          <w:szCs w:val="24"/>
        </w:rPr>
        <w:t xml:space="preserve"> statutory provision sets forth three ‘exceptions’ to the general rule that, if ‘currently engaged in the illegal use of drugs,’ an employee is not disabled where the employer ‘acts on the basis of such use.’ </w:t>
      </w:r>
      <w:r w:rsidRPr="0041296B">
        <w:rPr>
          <w:rStyle w:val="Emphasis"/>
          <w:rFonts w:ascii="Times New Roman" w:eastAsiaTheme="majorEastAsia" w:hAnsi="Times New Roman"/>
          <w:sz w:val="24"/>
          <w:szCs w:val="24"/>
        </w:rPr>
        <w:t>See</w:t>
      </w:r>
      <w:r w:rsidRPr="0041296B">
        <w:rPr>
          <w:rFonts w:ascii="Times New Roman" w:hAnsi="Times New Roman"/>
          <w:sz w:val="24"/>
          <w:szCs w:val="24"/>
        </w:rPr>
        <w:t xml:space="preserve"> 29 U.S.C. § 705(20)(C)(</w:t>
      </w:r>
      <w:proofErr w:type="spellStart"/>
      <w:r w:rsidRPr="0041296B">
        <w:rPr>
          <w:rFonts w:ascii="Times New Roman" w:hAnsi="Times New Roman"/>
          <w:sz w:val="24"/>
          <w:szCs w:val="24"/>
        </w:rPr>
        <w:t>i</w:t>
      </w:r>
      <w:proofErr w:type="spellEnd"/>
      <w:r w:rsidRPr="0041296B">
        <w:rPr>
          <w:rFonts w:ascii="Times New Roman" w:hAnsi="Times New Roman"/>
          <w:sz w:val="24"/>
          <w:szCs w:val="24"/>
        </w:rPr>
        <w:t xml:space="preserve">). Each such exception, however, requires a showing that the employee ‘is no longer’ or ‘is not’ engaging in the illegal use of drugs, </w:t>
      </w:r>
      <w:r w:rsidRPr="0041296B">
        <w:rPr>
          <w:rStyle w:val="Emphasis"/>
          <w:rFonts w:ascii="Times New Roman" w:eastAsiaTheme="majorEastAsia" w:hAnsi="Times New Roman"/>
          <w:sz w:val="24"/>
          <w:szCs w:val="24"/>
        </w:rPr>
        <w:t>see</w:t>
      </w:r>
      <w:r w:rsidRPr="0041296B">
        <w:rPr>
          <w:rFonts w:ascii="Times New Roman" w:hAnsi="Times New Roman"/>
          <w:sz w:val="24"/>
          <w:szCs w:val="24"/>
        </w:rPr>
        <w:t xml:space="preserve"> 29 U.S.C. § 705(20)(C)(ii),</w:t>
      </w:r>
      <w:r w:rsidRPr="0041296B">
        <w:rPr>
          <w:rFonts w:ascii="Times New Roman" w:hAnsi="Times New Roman"/>
          <w:sz w:val="24"/>
          <w:szCs w:val="24"/>
          <w:vertAlign w:val="superscript"/>
        </w:rPr>
        <w:t>[</w:t>
      </w:r>
      <w:bookmarkStart w:id="413" w:name="FN1"/>
      <w:r w:rsidRPr="0041296B">
        <w:rPr>
          <w:rFonts w:ascii="Times New Roman" w:hAnsi="Times New Roman"/>
          <w:sz w:val="24"/>
          <w:szCs w:val="24"/>
          <w:vertAlign w:val="superscript"/>
        </w:rPr>
        <w:fldChar w:fldCharType="begin"/>
      </w:r>
      <w:r w:rsidRPr="0041296B">
        <w:rPr>
          <w:rFonts w:ascii="Times New Roman" w:hAnsi="Times New Roman"/>
          <w:sz w:val="24"/>
          <w:szCs w:val="24"/>
          <w:vertAlign w:val="superscript"/>
        </w:rPr>
        <w:instrText>HYPERLINK "https://public.fastcase.com/" \l "ftn.FN1"</w:instrText>
      </w:r>
      <w:r w:rsidRPr="0041296B">
        <w:rPr>
          <w:rFonts w:ascii="Times New Roman" w:hAnsi="Times New Roman"/>
          <w:sz w:val="24"/>
          <w:szCs w:val="24"/>
          <w:vertAlign w:val="superscript"/>
        </w:rPr>
      </w:r>
      <w:r w:rsidRPr="0041296B">
        <w:rPr>
          <w:rFonts w:ascii="Times New Roman" w:hAnsi="Times New Roman"/>
          <w:sz w:val="24"/>
          <w:szCs w:val="24"/>
          <w:vertAlign w:val="superscript"/>
        </w:rPr>
        <w:fldChar w:fldCharType="separate"/>
      </w:r>
      <w:r w:rsidRPr="0041296B">
        <w:rPr>
          <w:rStyle w:val="Hyperlink"/>
          <w:rFonts w:ascii="Times New Roman" w:eastAsiaTheme="majorEastAsia" w:hAnsi="Times New Roman"/>
          <w:sz w:val="24"/>
          <w:szCs w:val="24"/>
          <w:vertAlign w:val="superscript"/>
        </w:rPr>
        <w:t>1</w:t>
      </w:r>
      <w:r w:rsidRPr="0041296B">
        <w:rPr>
          <w:rFonts w:ascii="Times New Roman" w:hAnsi="Times New Roman"/>
          <w:sz w:val="24"/>
          <w:szCs w:val="24"/>
          <w:vertAlign w:val="superscript"/>
        </w:rPr>
        <w:fldChar w:fldCharType="end"/>
      </w:r>
      <w:bookmarkEnd w:id="413"/>
      <w:r w:rsidRPr="0041296B">
        <w:rPr>
          <w:rFonts w:ascii="Times New Roman" w:hAnsi="Times New Roman"/>
          <w:sz w:val="24"/>
          <w:szCs w:val="24"/>
          <w:vertAlign w:val="superscript"/>
        </w:rPr>
        <w:t>]</w:t>
      </w:r>
      <w:r w:rsidRPr="0041296B">
        <w:rPr>
          <w:rFonts w:ascii="Times New Roman" w:hAnsi="Times New Roman"/>
          <w:sz w:val="24"/>
          <w:szCs w:val="24"/>
        </w:rPr>
        <w:t xml:space="preserve"> and Greer, at best, alleges he stated to his supervisor that he was ‘seeking treatment and detoxification,’ not that he was no longer using illegal drugs.” </w:t>
      </w:r>
      <w:hyperlink r:id="rId1959" w:history="1">
        <w:r w:rsidRPr="0041296B">
          <w:rPr>
            <w:rStyle w:val="Hyperlink"/>
            <w:rFonts w:ascii="Times New Roman" w:hAnsi="Times New Roman"/>
            <w:sz w:val="24"/>
            <w:szCs w:val="24"/>
          </w:rPr>
          <w:t>https://cases.justia.com/federal/district-courts/california/candce/3:2024cv00614/424391/24/0.pdf</w:t>
        </w:r>
      </w:hyperlink>
    </w:p>
    <w:p w14:paraId="146E6E78" w14:textId="77777777" w:rsidR="00303E7B" w:rsidRDefault="00303E7B" w:rsidP="00303E7B">
      <w:pPr>
        <w:spacing w:after="100" w:line="240" w:lineRule="auto"/>
        <w:rPr>
          <w:rFonts w:ascii="Times New Roman" w:eastAsia="Times New Roman" w:hAnsi="Times New Roman"/>
          <w:b/>
          <w:bCs/>
          <w:sz w:val="24"/>
          <w:szCs w:val="24"/>
        </w:rPr>
      </w:pPr>
      <w:r w:rsidRPr="00A92D10">
        <w:rPr>
          <w:rFonts w:ascii="Times New Roman" w:eastAsia="Times New Roman" w:hAnsi="Times New Roman"/>
          <w:b/>
          <w:bCs/>
          <w:sz w:val="24"/>
          <w:szCs w:val="24"/>
        </w:rPr>
        <w:lastRenderedPageBreak/>
        <w:t xml:space="preserve">Legal Lesson Learned: </w:t>
      </w:r>
      <w:r>
        <w:rPr>
          <w:rFonts w:ascii="Times New Roman" w:eastAsia="Times New Roman" w:hAnsi="Times New Roman"/>
          <w:b/>
          <w:bCs/>
          <w:sz w:val="24"/>
          <w:szCs w:val="24"/>
        </w:rPr>
        <w:t xml:space="preserve">The “Safe Harbor” provisions of the federal Rehabilitation Act, </w:t>
      </w:r>
      <w:proofErr w:type="gramStart"/>
      <w:r>
        <w:rPr>
          <w:rFonts w:ascii="Times New Roman" w:eastAsia="Times New Roman" w:hAnsi="Times New Roman"/>
          <w:b/>
          <w:bCs/>
          <w:sz w:val="24"/>
          <w:szCs w:val="24"/>
        </w:rPr>
        <w:t>similar to</w:t>
      </w:r>
      <w:proofErr w:type="gramEnd"/>
      <w:r>
        <w:rPr>
          <w:rFonts w:ascii="Times New Roman" w:eastAsia="Times New Roman" w:hAnsi="Times New Roman"/>
          <w:b/>
          <w:bCs/>
          <w:sz w:val="24"/>
          <w:szCs w:val="24"/>
        </w:rPr>
        <w:t xml:space="preserve"> ADA, does not protect employees who continue to use illegal drugs. </w:t>
      </w:r>
    </w:p>
    <w:p w14:paraId="25A0E628" w14:textId="47C19348" w:rsidR="00303E7B" w:rsidRPr="00303E7B" w:rsidRDefault="00303E7B" w:rsidP="00303E7B">
      <w:pPr>
        <w:pStyle w:val="Heading1"/>
        <w:ind w:left="720"/>
        <w:rPr>
          <w:b w:val="0"/>
          <w:bCs w:val="0"/>
          <w:sz w:val="24"/>
          <w:szCs w:val="24"/>
        </w:rPr>
      </w:pPr>
      <w:r w:rsidRPr="00303E7B">
        <w:rPr>
          <w:b w:val="0"/>
          <w:bCs w:val="0"/>
          <w:kern w:val="0"/>
          <w:sz w:val="24"/>
          <w:szCs w:val="24"/>
        </w:rPr>
        <w:t>Note: “</w:t>
      </w:r>
      <w:r w:rsidRPr="00303E7B">
        <w:rPr>
          <w:b w:val="0"/>
          <w:bCs w:val="0"/>
          <w:sz w:val="24"/>
          <w:szCs w:val="24"/>
        </w:rPr>
        <w:t xml:space="preserve">Addiction and the ADA: The “Current User,” Safe Harbor.” </w:t>
      </w:r>
      <w:hyperlink r:id="rId1960" w:history="1">
        <w:r w:rsidRPr="00303E7B">
          <w:rPr>
            <w:rStyle w:val="Hyperlink"/>
            <w:b w:val="0"/>
            <w:bCs w:val="0"/>
            <w:sz w:val="24"/>
            <w:szCs w:val="24"/>
          </w:rPr>
          <w:t>https://www.understandingtheada.com/blog/2015/02/03/addiction-ada-current-user-safe-harbor/</w:t>
        </w:r>
      </w:hyperlink>
      <w:r w:rsidRPr="00303E7B">
        <w:rPr>
          <w:b w:val="0"/>
          <w:bCs w:val="0"/>
          <w:sz w:val="24"/>
          <w:szCs w:val="24"/>
        </w:rPr>
        <w:t xml:space="preserve">  </w:t>
      </w:r>
    </w:p>
    <w:p w14:paraId="28AA4268" w14:textId="77777777" w:rsidR="00303E7B" w:rsidRPr="003F5245" w:rsidRDefault="00303E7B" w:rsidP="00303E7B">
      <w:pPr>
        <w:spacing w:after="100" w:line="240" w:lineRule="auto"/>
        <w:ind w:left="720"/>
        <w:rPr>
          <w:rFonts w:ascii="Times New Roman" w:eastAsia="Times New Roman" w:hAnsi="Times New Roman"/>
          <w:b/>
          <w:bCs/>
          <w:sz w:val="24"/>
          <w:szCs w:val="24"/>
        </w:rPr>
      </w:pPr>
      <w:r>
        <w:rPr>
          <w:rFonts w:ascii="Times New Roman" w:hAnsi="Times New Roman"/>
          <w:sz w:val="24"/>
          <w:szCs w:val="24"/>
        </w:rPr>
        <w:t>“</w:t>
      </w:r>
      <w:r w:rsidRPr="005C7112">
        <w:rPr>
          <w:rFonts w:ascii="Times New Roman" w:hAnsi="Times New Roman"/>
          <w:sz w:val="24"/>
          <w:szCs w:val="24"/>
        </w:rPr>
        <w:t xml:space="preserve">When it comes to drugs and alcohol, those addicted to drugs and alcohol are not treated the same way as persons with other disabilities. For example, an employer has the right to evaluate an alcoholic employee or an employee addicted to drugs as if the disability didn’t exist. 42 U.S.C. § 12114(c)(4); EEOC interpretive guidance on 29 C.F.R. § 1630.16(b). Also, under </w:t>
      </w:r>
      <w:hyperlink r:id="rId1961" w:tooltip="42 U.S.C. § 12114" w:history="1">
        <w:r w:rsidRPr="005C7112">
          <w:rPr>
            <w:rStyle w:val="Hyperlink"/>
            <w:rFonts w:ascii="Times New Roman" w:hAnsi="Times New Roman"/>
            <w:sz w:val="24"/>
            <w:szCs w:val="24"/>
          </w:rPr>
          <w:t>42 U.S.C. § 12114(a)</w:t>
        </w:r>
      </w:hyperlink>
      <w:r w:rsidRPr="005C7112">
        <w:rPr>
          <w:rFonts w:ascii="Times New Roman" w:hAnsi="Times New Roman"/>
          <w:sz w:val="24"/>
          <w:szCs w:val="24"/>
        </w:rPr>
        <w:t xml:space="preserve"> a person currently using illegal drugs or alcohol is not protected. Finally, a person who is in a rehabilitation program or has completed a rehabilitation program and is no longer engaging in the use of alcohol or drugs can be protected under the ADA. 42 U.S.C. § 12114(b)(1),(2). In short, a person using drugs or alcohol is not protected, but a person with a record of using drugs or alcohol can be. Case law often refers to this as a safe harbor. Case law may also refer to it as a person not being qualified since that is the statutory language.</w:t>
      </w:r>
      <w:r>
        <w:rPr>
          <w:rFonts w:ascii="Times New Roman" w:hAnsi="Times New Roman"/>
          <w:sz w:val="24"/>
          <w:szCs w:val="24"/>
        </w:rPr>
        <w:t>”</w:t>
      </w:r>
    </w:p>
    <w:p w14:paraId="399E3E37" w14:textId="77777777" w:rsidR="00CF5424" w:rsidRDefault="00CF5424" w:rsidP="00F326E5">
      <w:pPr>
        <w:rPr>
          <w:rFonts w:ascii="Arial Black" w:hAnsi="Arial Black"/>
          <w:b/>
          <w:sz w:val="24"/>
          <w:szCs w:val="24"/>
        </w:rPr>
      </w:pPr>
    </w:p>
    <w:p w14:paraId="672A489D" w14:textId="77777777" w:rsidR="00CF5424" w:rsidRDefault="00CF5424" w:rsidP="00F326E5">
      <w:pPr>
        <w:rPr>
          <w:rFonts w:ascii="Arial Black" w:hAnsi="Arial Black"/>
          <w:b/>
          <w:sz w:val="24"/>
          <w:szCs w:val="24"/>
        </w:rPr>
      </w:pPr>
    </w:p>
    <w:p w14:paraId="18134E19" w14:textId="06C5A3D1" w:rsidR="005677A6" w:rsidRDefault="005677A6" w:rsidP="00F326E5">
      <w:pPr>
        <w:rPr>
          <w:rFonts w:ascii="Arial Black" w:hAnsi="Arial Black"/>
          <w:b/>
          <w:sz w:val="24"/>
          <w:szCs w:val="24"/>
        </w:rPr>
      </w:pPr>
      <w:r>
        <w:rPr>
          <w:rFonts w:ascii="Arial Black" w:hAnsi="Arial Black"/>
          <w:b/>
          <w:sz w:val="24"/>
          <w:szCs w:val="24"/>
        </w:rPr>
        <w:t>12-25</w:t>
      </w:r>
    </w:p>
    <w:p w14:paraId="192FE1E1" w14:textId="77777777" w:rsidR="005677A6" w:rsidRPr="00057368" w:rsidRDefault="005677A6" w:rsidP="005677A6">
      <w:pPr>
        <w:pStyle w:val="NormalWeb"/>
        <w:rPr>
          <w:rFonts w:ascii="Arial Black" w:hAnsi="Arial Black"/>
          <w:sz w:val="28"/>
          <w:szCs w:val="28"/>
        </w:rPr>
      </w:pPr>
      <w:r>
        <w:rPr>
          <w:rFonts w:ascii="Arial Black" w:hAnsi="Arial Black"/>
          <w:sz w:val="28"/>
          <w:szCs w:val="28"/>
        </w:rPr>
        <w:t>MD: FF SUPPORTIVE 1</w:t>
      </w:r>
      <w:r w:rsidRPr="00DA29D6">
        <w:rPr>
          <w:rFonts w:ascii="Arial Black" w:hAnsi="Arial Black"/>
          <w:sz w:val="28"/>
          <w:szCs w:val="28"/>
          <w:vertAlign w:val="superscript"/>
        </w:rPr>
        <w:t>st</w:t>
      </w:r>
      <w:r>
        <w:rPr>
          <w:rFonts w:ascii="Arial Black" w:hAnsi="Arial Black"/>
          <w:sz w:val="28"/>
          <w:szCs w:val="28"/>
        </w:rPr>
        <w:t xml:space="preserve"> DUI - WENT TO IAFF CENTER OF EXCELLENCE – 2</w:t>
      </w:r>
      <w:r w:rsidRPr="00025810">
        <w:rPr>
          <w:rFonts w:ascii="Arial Black" w:hAnsi="Arial Black"/>
          <w:sz w:val="28"/>
          <w:szCs w:val="28"/>
          <w:vertAlign w:val="superscript"/>
        </w:rPr>
        <w:t>nd</w:t>
      </w:r>
      <w:r>
        <w:rPr>
          <w:rFonts w:ascii="Arial Black" w:hAnsi="Arial Black"/>
          <w:sz w:val="28"/>
          <w:szCs w:val="28"/>
        </w:rPr>
        <w:t xml:space="preserve"> DUI / FIRED, NOT BECAUSE PTSD</w:t>
      </w:r>
    </w:p>
    <w:p w14:paraId="5CF93CE5" w14:textId="77777777" w:rsidR="005677A6" w:rsidRDefault="005677A6" w:rsidP="005677A6">
      <w:pPr>
        <w:pStyle w:val="NormalWeb"/>
      </w:pPr>
      <w:r>
        <w:t xml:space="preserve">On March 28, </w:t>
      </w:r>
      <w:proofErr w:type="gramStart"/>
      <w:r>
        <w:t>2024</w:t>
      </w:r>
      <w:proofErr w:type="gramEnd"/>
      <w:r>
        <w:t xml:space="preserve"> in </w:t>
      </w:r>
      <w:r w:rsidRPr="00546246">
        <w:rPr>
          <w:u w:val="single"/>
        </w:rPr>
        <w:t>Deanna Jones v. Cecil County, Maryland</w:t>
      </w:r>
      <w:r>
        <w:t xml:space="preserve">, United States District Court Judge Richard D. Bennett, U.S. District Court for District of Maryland, granted County’s motion for summary judgment. </w:t>
      </w:r>
    </w:p>
    <w:p w14:paraId="5BF8AA74" w14:textId="77777777" w:rsidR="00D90293" w:rsidRPr="004C0299" w:rsidRDefault="00D90293" w:rsidP="00D90293">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60A1F3F5" w14:textId="77777777" w:rsidR="005677A6" w:rsidRDefault="005677A6" w:rsidP="005677A6">
      <w:pPr>
        <w:pStyle w:val="NormalWeb"/>
        <w:ind w:left="720"/>
      </w:pPr>
      <w:r>
        <w:t xml:space="preserve">“Even assuming arguendo that Jones is a qualified individual with a disability under the meaning of the ADA, she has not plausibly stated that she was terminated because of her disability. Jones provides nothing more than conclusory statements that she was terminated because of her alcohol use disorder. As discussed, the facts alleged by Jones indicate that she was terminated because of her second DUI, not because of her disability. Moreover, the Department's support of Jones after her first DUI undermines her claim of discrimination. Jones admits that the Department was supportive of her following her first DUI and that it was only after her second DUI that she was terminated.” </w:t>
      </w:r>
      <w:hyperlink r:id="rId1962" w:history="1">
        <w:r w:rsidRPr="007E7996">
          <w:rPr>
            <w:rStyle w:val="Hyperlink"/>
          </w:rPr>
          <w:t>https://public.fastcase.com/H1P9uiW3J20SFp%2BGCG%2BxLWxsjT87vgsYeUyD6XhJjN4sWvyHUDi1iD6eePPdFLtF?utm_medium=email&amp;_hsmi=226712652&amp;_hsenc=p2ANqtz-_iI2JExLit36jQEG92m9s-4sdtZgfob1tVRc-o7xFd5g7DvtyOGh3o-vGJ1z88YzXriHS74jMuVuWJoviL5aHAnGRzpg&amp;utm_content=226712652&amp;utm_source=hs_email</w:t>
        </w:r>
      </w:hyperlink>
      <w:r>
        <w:t xml:space="preserve"> </w:t>
      </w:r>
    </w:p>
    <w:p w14:paraId="4F3D12BE" w14:textId="77777777" w:rsidR="005677A6" w:rsidRPr="009614DD" w:rsidRDefault="005677A6" w:rsidP="005677A6">
      <w:pPr>
        <w:pStyle w:val="NormalWeb"/>
        <w:rPr>
          <w:b/>
          <w:bCs/>
        </w:rPr>
      </w:pPr>
      <w:r>
        <w:rPr>
          <w:b/>
          <w:bCs/>
        </w:rPr>
        <w:t xml:space="preserve">Legal Lesson Learned: Fire &amp; EMS departments should require in their policies an immediate written notice of DUI arrests, not just convictions. </w:t>
      </w:r>
    </w:p>
    <w:p w14:paraId="5272CD04" w14:textId="77777777" w:rsidR="005677A6" w:rsidRDefault="005677A6" w:rsidP="00F326E5">
      <w:pPr>
        <w:rPr>
          <w:rFonts w:ascii="Arial Black" w:hAnsi="Arial Black"/>
          <w:b/>
          <w:sz w:val="24"/>
          <w:szCs w:val="24"/>
        </w:rPr>
      </w:pPr>
    </w:p>
    <w:p w14:paraId="3B839F16" w14:textId="77777777" w:rsidR="005677A6" w:rsidRDefault="005677A6" w:rsidP="00F326E5">
      <w:pPr>
        <w:rPr>
          <w:rFonts w:ascii="Arial Black" w:hAnsi="Arial Black"/>
          <w:b/>
          <w:sz w:val="24"/>
          <w:szCs w:val="24"/>
        </w:rPr>
      </w:pPr>
    </w:p>
    <w:p w14:paraId="2602E47B" w14:textId="37A7CD81" w:rsidR="009C19A1" w:rsidRDefault="009C19A1" w:rsidP="00F326E5">
      <w:pPr>
        <w:rPr>
          <w:rFonts w:ascii="Arial Black" w:hAnsi="Arial Black"/>
          <w:b/>
          <w:sz w:val="24"/>
          <w:szCs w:val="24"/>
        </w:rPr>
      </w:pPr>
      <w:r>
        <w:rPr>
          <w:rFonts w:ascii="Arial Black" w:hAnsi="Arial Black"/>
          <w:b/>
          <w:sz w:val="24"/>
          <w:szCs w:val="24"/>
        </w:rPr>
        <w:lastRenderedPageBreak/>
        <w:t>12-24</w:t>
      </w:r>
    </w:p>
    <w:p w14:paraId="7F14028C" w14:textId="77777777" w:rsidR="00C72905" w:rsidRDefault="00C72905" w:rsidP="00C72905">
      <w:pPr>
        <w:pStyle w:val="NormalWeb"/>
        <w:rPr>
          <w:b/>
          <w:bCs/>
        </w:rPr>
      </w:pPr>
      <w:r>
        <w:rPr>
          <w:rFonts w:ascii="Arial Black" w:hAnsi="Arial Black"/>
          <w:b/>
          <w:bCs/>
          <w:sz w:val="28"/>
          <w:szCs w:val="28"/>
        </w:rPr>
        <w:t>TX: OFF DUTY DALLAS FF – DRUNK DRIVING, KILLED PREGNANT TEEN – 12 YRS, PLED GUILTY AVOID 40 YRS</w:t>
      </w:r>
      <w:r>
        <w:rPr>
          <w:b/>
          <w:bCs/>
        </w:rPr>
        <w:t xml:space="preserve"> </w:t>
      </w:r>
    </w:p>
    <w:p w14:paraId="3DB2B4C3" w14:textId="77777777" w:rsidR="00C72905" w:rsidRDefault="00C72905" w:rsidP="00C72905">
      <w:pPr>
        <w:pStyle w:val="NoSpacing"/>
        <w:rPr>
          <w:rFonts w:ascii="Times New Roman" w:hAnsi="Times New Roman"/>
          <w:sz w:val="24"/>
          <w:szCs w:val="24"/>
        </w:rPr>
      </w:pPr>
      <w:r>
        <w:rPr>
          <w:rFonts w:ascii="Times New Roman" w:hAnsi="Times New Roman"/>
          <w:sz w:val="24"/>
          <w:szCs w:val="24"/>
        </w:rPr>
        <w:t xml:space="preserve">On Feb. 20, 2024, in </w:t>
      </w:r>
      <w:r w:rsidRPr="00461ABE">
        <w:rPr>
          <w:rFonts w:ascii="Times New Roman" w:hAnsi="Times New Roman"/>
          <w:sz w:val="24"/>
          <w:szCs w:val="24"/>
          <w:u w:val="single"/>
        </w:rPr>
        <w:t>Horace Shaw v. The State of Texas</w:t>
      </w:r>
      <w:r>
        <w:rPr>
          <w:rFonts w:ascii="Times New Roman" w:hAnsi="Times New Roman"/>
          <w:sz w:val="24"/>
          <w:szCs w:val="24"/>
        </w:rPr>
        <w:t xml:space="preserve">, the </w:t>
      </w:r>
      <w:r w:rsidRPr="003A17CB">
        <w:rPr>
          <w:rFonts w:ascii="Times New Roman" w:hAnsi="Times New Roman"/>
          <w:sz w:val="24"/>
          <w:szCs w:val="24"/>
        </w:rPr>
        <w:t>Court of Appeals</w:t>
      </w:r>
      <w:r>
        <w:rPr>
          <w:rFonts w:ascii="Times New Roman" w:hAnsi="Times New Roman"/>
          <w:sz w:val="24"/>
          <w:szCs w:val="24"/>
        </w:rPr>
        <w:t xml:space="preserve">, </w:t>
      </w:r>
      <w:r w:rsidRPr="003A17CB">
        <w:rPr>
          <w:rFonts w:ascii="Times New Roman" w:hAnsi="Times New Roman"/>
          <w:sz w:val="24"/>
          <w:szCs w:val="24"/>
        </w:rPr>
        <w:t>Fifth District of Texas at Dallas</w:t>
      </w:r>
      <w:r>
        <w:rPr>
          <w:rFonts w:ascii="Times New Roman" w:hAnsi="Times New Roman"/>
          <w:sz w:val="24"/>
          <w:szCs w:val="24"/>
        </w:rPr>
        <w:t xml:space="preserve"> held (3 to 0; unpublished opinion) denied the defendant’s appeal based on alleged in effective of counsel; he pled guilty to manslaughter, and if convicted of intoxicated manslaughter he could have sentenced up to 40 years. </w:t>
      </w:r>
    </w:p>
    <w:p w14:paraId="0BCD7915" w14:textId="77777777" w:rsidR="00C72905" w:rsidRDefault="00C72905" w:rsidP="00C72905">
      <w:pPr>
        <w:pStyle w:val="NoSpacing"/>
        <w:rPr>
          <w:rFonts w:ascii="Times New Roman" w:hAnsi="Times New Roman"/>
          <w:sz w:val="24"/>
          <w:szCs w:val="24"/>
        </w:rPr>
      </w:pPr>
    </w:p>
    <w:p w14:paraId="64AABEBE" w14:textId="77777777" w:rsidR="00C72905" w:rsidRDefault="00C72905" w:rsidP="00C72905">
      <w:pPr>
        <w:pStyle w:val="NoSpacing"/>
        <w:rPr>
          <w:rFonts w:ascii="Times New Roman" w:hAnsi="Times New Roman"/>
          <w:sz w:val="24"/>
          <w:szCs w:val="24"/>
        </w:rPr>
      </w:pPr>
      <w:r>
        <w:rPr>
          <w:rFonts w:ascii="Times New Roman" w:hAnsi="Times New Roman"/>
          <w:sz w:val="24"/>
          <w:szCs w:val="24"/>
        </w:rPr>
        <w:t>The Court held:</w:t>
      </w:r>
    </w:p>
    <w:p w14:paraId="05646DFF" w14:textId="77777777" w:rsidR="00C72905" w:rsidRDefault="00C72905" w:rsidP="00C72905">
      <w:pPr>
        <w:pStyle w:val="NoSpacing"/>
        <w:rPr>
          <w:rFonts w:ascii="Times New Roman" w:hAnsi="Times New Roman"/>
          <w:sz w:val="24"/>
          <w:szCs w:val="24"/>
        </w:rPr>
      </w:pPr>
    </w:p>
    <w:p w14:paraId="78DC837C" w14:textId="77777777" w:rsidR="00C72905" w:rsidRPr="00527850" w:rsidRDefault="00C72905" w:rsidP="00C72905">
      <w:pPr>
        <w:pStyle w:val="NoSpacing"/>
        <w:ind w:firstLine="720"/>
        <w:rPr>
          <w:rFonts w:ascii="Times New Roman" w:hAnsi="Times New Roman"/>
          <w:sz w:val="24"/>
          <w:szCs w:val="24"/>
        </w:rPr>
      </w:pPr>
      <w:r>
        <w:rPr>
          <w:rFonts w:ascii="Times New Roman" w:hAnsi="Times New Roman"/>
          <w:sz w:val="24"/>
          <w:szCs w:val="24"/>
        </w:rPr>
        <w:t>“</w:t>
      </w:r>
      <w:r w:rsidRPr="00527850">
        <w:rPr>
          <w:rFonts w:ascii="Times New Roman" w:hAnsi="Times New Roman"/>
          <w:sz w:val="24"/>
          <w:szCs w:val="24"/>
        </w:rPr>
        <w:t>Notably, the record shows these cases were filed by information and the state</w:t>
      </w:r>
    </w:p>
    <w:p w14:paraId="3EAD2090" w14:textId="77777777" w:rsidR="00C72905" w:rsidRPr="00527850" w:rsidRDefault="00C72905" w:rsidP="00C72905">
      <w:pPr>
        <w:pStyle w:val="NoSpacing"/>
        <w:ind w:firstLine="720"/>
        <w:rPr>
          <w:rFonts w:ascii="Times New Roman" w:hAnsi="Times New Roman"/>
          <w:sz w:val="24"/>
          <w:szCs w:val="24"/>
        </w:rPr>
      </w:pPr>
      <w:r w:rsidRPr="00527850">
        <w:rPr>
          <w:rFonts w:ascii="Times New Roman" w:hAnsi="Times New Roman"/>
          <w:sz w:val="24"/>
          <w:szCs w:val="24"/>
        </w:rPr>
        <w:t>only charged Mr. Shaw with manslaughter for which the sentences could only run</w:t>
      </w:r>
    </w:p>
    <w:p w14:paraId="12C6F92D" w14:textId="77777777" w:rsidR="00C72905" w:rsidRPr="00527850" w:rsidRDefault="00C72905" w:rsidP="00C72905">
      <w:pPr>
        <w:pStyle w:val="NoSpacing"/>
        <w:ind w:firstLine="720"/>
        <w:rPr>
          <w:rFonts w:ascii="Times New Roman" w:hAnsi="Times New Roman"/>
          <w:sz w:val="24"/>
          <w:szCs w:val="24"/>
        </w:rPr>
      </w:pPr>
      <w:r w:rsidRPr="00527850">
        <w:rPr>
          <w:rFonts w:ascii="Times New Roman" w:hAnsi="Times New Roman"/>
          <w:sz w:val="24"/>
          <w:szCs w:val="24"/>
        </w:rPr>
        <w:t>concurrently. See TEX. PENAL CODE § 3.03(a). Had the state charged Mr. Shaw with</w:t>
      </w:r>
    </w:p>
    <w:p w14:paraId="7651E40C" w14:textId="77777777" w:rsidR="00C72905" w:rsidRPr="00527850" w:rsidRDefault="00C72905" w:rsidP="00C72905">
      <w:pPr>
        <w:pStyle w:val="NoSpacing"/>
        <w:ind w:firstLine="720"/>
        <w:rPr>
          <w:rFonts w:ascii="Times New Roman" w:hAnsi="Times New Roman"/>
          <w:sz w:val="24"/>
          <w:szCs w:val="24"/>
        </w:rPr>
      </w:pPr>
      <w:r w:rsidRPr="00527850">
        <w:rPr>
          <w:rFonts w:ascii="Times New Roman" w:hAnsi="Times New Roman"/>
          <w:sz w:val="24"/>
          <w:szCs w:val="24"/>
        </w:rPr>
        <w:t>intoxication manslaughter, also a second-degree felony, the judge could have</w:t>
      </w:r>
    </w:p>
    <w:p w14:paraId="3EA6A31C" w14:textId="77777777" w:rsidR="00C72905" w:rsidRPr="00527850" w:rsidRDefault="00C72905" w:rsidP="00C72905">
      <w:pPr>
        <w:pStyle w:val="NoSpacing"/>
        <w:ind w:firstLine="720"/>
        <w:rPr>
          <w:rFonts w:ascii="Times New Roman" w:hAnsi="Times New Roman"/>
          <w:sz w:val="24"/>
          <w:szCs w:val="24"/>
        </w:rPr>
      </w:pPr>
      <w:r w:rsidRPr="00527850">
        <w:rPr>
          <w:rFonts w:ascii="Times New Roman" w:hAnsi="Times New Roman"/>
          <w:sz w:val="24"/>
          <w:szCs w:val="24"/>
        </w:rPr>
        <w:t>ordered the sentences to run consecutively, opening Mr. Shaw up to a potential forty</w:t>
      </w:r>
    </w:p>
    <w:p w14:paraId="19CC41AA" w14:textId="77777777" w:rsidR="00C72905" w:rsidRDefault="00C72905" w:rsidP="00C72905">
      <w:pPr>
        <w:pStyle w:val="NoSpacing"/>
        <w:ind w:left="720"/>
        <w:rPr>
          <w:rFonts w:ascii="Times New Roman" w:hAnsi="Times New Roman"/>
          <w:sz w:val="24"/>
          <w:szCs w:val="24"/>
        </w:rPr>
      </w:pPr>
      <w:r w:rsidRPr="00527850">
        <w:rPr>
          <w:rFonts w:ascii="Times New Roman" w:hAnsi="Times New Roman"/>
          <w:sz w:val="24"/>
          <w:szCs w:val="24"/>
        </w:rPr>
        <w:t>years in prison.</w:t>
      </w:r>
      <w:r>
        <w:rPr>
          <w:rFonts w:ascii="Times New Roman" w:hAnsi="Times New Roman"/>
          <w:sz w:val="24"/>
          <w:szCs w:val="24"/>
        </w:rPr>
        <w:t xml:space="preserve"> *** </w:t>
      </w:r>
      <w:r w:rsidRPr="006C19C6">
        <w:rPr>
          <w:rFonts w:ascii="Times New Roman" w:hAnsi="Times New Roman"/>
          <w:sz w:val="24"/>
          <w:szCs w:val="24"/>
        </w:rPr>
        <w:t>We agree the appeal is frivolous and</w:t>
      </w:r>
      <w:r>
        <w:rPr>
          <w:rFonts w:ascii="Times New Roman" w:hAnsi="Times New Roman"/>
          <w:sz w:val="24"/>
          <w:szCs w:val="24"/>
        </w:rPr>
        <w:t xml:space="preserve"> </w:t>
      </w:r>
      <w:r w:rsidRPr="006C19C6">
        <w:rPr>
          <w:rFonts w:ascii="Times New Roman" w:hAnsi="Times New Roman"/>
          <w:sz w:val="24"/>
          <w:szCs w:val="24"/>
        </w:rPr>
        <w:t>without merit, and we find nothing in the record that might arguably support the</w:t>
      </w:r>
      <w:r>
        <w:rPr>
          <w:rFonts w:ascii="Times New Roman" w:hAnsi="Times New Roman"/>
          <w:sz w:val="24"/>
          <w:szCs w:val="24"/>
        </w:rPr>
        <w:t xml:space="preserve"> </w:t>
      </w:r>
      <w:r w:rsidRPr="006C19C6">
        <w:rPr>
          <w:rFonts w:ascii="Times New Roman" w:hAnsi="Times New Roman"/>
          <w:sz w:val="24"/>
          <w:szCs w:val="24"/>
        </w:rPr>
        <w:t>appea</w:t>
      </w:r>
      <w:r>
        <w:rPr>
          <w:rFonts w:ascii="Times New Roman" w:hAnsi="Times New Roman"/>
          <w:sz w:val="24"/>
          <w:szCs w:val="24"/>
        </w:rPr>
        <w:t xml:space="preserve">l.” </w:t>
      </w:r>
      <w:hyperlink r:id="rId1963" w:history="1">
        <w:r w:rsidRPr="00216BB3">
          <w:rPr>
            <w:rStyle w:val="Hyperlink"/>
            <w:rFonts w:ascii="Times New Roman" w:hAnsi="Times New Roman"/>
            <w:sz w:val="24"/>
            <w:szCs w:val="24"/>
          </w:rPr>
          <w:t>https://cases.justia.com/texas/fifth-court-of-appeals/2024-05-22-01220-cr.pdf?ts=1708523726</w:t>
        </w:r>
      </w:hyperlink>
      <w:r>
        <w:rPr>
          <w:rFonts w:ascii="Times New Roman" w:hAnsi="Times New Roman"/>
          <w:sz w:val="24"/>
          <w:szCs w:val="24"/>
        </w:rPr>
        <w:t xml:space="preserve"> </w:t>
      </w:r>
    </w:p>
    <w:p w14:paraId="4BFFDE17" w14:textId="77777777" w:rsidR="00C72905" w:rsidRDefault="00C72905" w:rsidP="00C72905">
      <w:pPr>
        <w:jc w:val="center"/>
        <w:rPr>
          <w:rFonts w:cs="Calibri"/>
        </w:rPr>
      </w:pPr>
    </w:p>
    <w:p w14:paraId="345180C2" w14:textId="77777777" w:rsidR="00C72905" w:rsidRDefault="00C72905" w:rsidP="00C72905">
      <w:pPr>
        <w:pStyle w:val="NoSpacing"/>
        <w:rPr>
          <w:rFonts w:ascii="Times New Roman" w:hAnsi="Times New Roman"/>
          <w:b/>
          <w:bCs/>
          <w:sz w:val="24"/>
          <w:szCs w:val="24"/>
        </w:rPr>
      </w:pPr>
      <w:r w:rsidRPr="00A15543">
        <w:rPr>
          <w:rFonts w:ascii="Times New Roman" w:hAnsi="Times New Roman"/>
          <w:b/>
          <w:bCs/>
          <w:sz w:val="24"/>
          <w:szCs w:val="24"/>
        </w:rPr>
        <w:t>Legal Lesson Learned:</w:t>
      </w:r>
      <w:r>
        <w:rPr>
          <w:rFonts w:ascii="Times New Roman" w:hAnsi="Times New Roman"/>
          <w:b/>
          <w:bCs/>
          <w:sz w:val="24"/>
          <w:szCs w:val="24"/>
        </w:rPr>
        <w:t xml:space="preserve"> If you plead guilty to a lesser offense to avoid much longer prison sentence, with advice of legal counsel, then </w:t>
      </w:r>
      <w:proofErr w:type="gramStart"/>
      <w:r>
        <w:rPr>
          <w:rFonts w:ascii="Times New Roman" w:hAnsi="Times New Roman"/>
          <w:b/>
          <w:bCs/>
          <w:sz w:val="24"/>
          <w:szCs w:val="24"/>
        </w:rPr>
        <w:t>very</w:t>
      </w:r>
      <w:proofErr w:type="gramEnd"/>
      <w:r>
        <w:rPr>
          <w:rFonts w:ascii="Times New Roman" w:hAnsi="Times New Roman"/>
          <w:b/>
          <w:bCs/>
          <w:sz w:val="24"/>
          <w:szCs w:val="24"/>
        </w:rPr>
        <w:t xml:space="preserve"> difficult to appeal on basis of ineffective legal counsel. </w:t>
      </w:r>
    </w:p>
    <w:p w14:paraId="35C5711D" w14:textId="77777777" w:rsidR="00C72905" w:rsidRDefault="00C72905" w:rsidP="00C72905">
      <w:pPr>
        <w:pStyle w:val="NoSpacing"/>
        <w:rPr>
          <w:rFonts w:ascii="Times New Roman" w:hAnsi="Times New Roman"/>
          <w:b/>
          <w:bCs/>
          <w:sz w:val="24"/>
          <w:szCs w:val="24"/>
        </w:rPr>
      </w:pPr>
    </w:p>
    <w:p w14:paraId="729128D1" w14:textId="77777777" w:rsidR="00C72905" w:rsidRPr="00A15543" w:rsidRDefault="00C72905" w:rsidP="00C72905">
      <w:pPr>
        <w:pStyle w:val="NoSpacing"/>
        <w:rPr>
          <w:rFonts w:ascii="Times New Roman" w:hAnsi="Times New Roman"/>
          <w:b/>
          <w:bCs/>
          <w:sz w:val="24"/>
          <w:szCs w:val="24"/>
        </w:rPr>
      </w:pPr>
      <w:r>
        <w:rPr>
          <w:rFonts w:ascii="Times New Roman" w:hAnsi="Times New Roman"/>
          <w:b/>
          <w:bCs/>
          <w:sz w:val="24"/>
          <w:szCs w:val="24"/>
        </w:rPr>
        <w:tab/>
      </w:r>
      <w:r w:rsidRPr="00F3105C">
        <w:rPr>
          <w:rFonts w:ascii="Times New Roman" w:hAnsi="Times New Roman"/>
          <w:sz w:val="24"/>
          <w:szCs w:val="24"/>
        </w:rPr>
        <w:t>Note: See articles on this tragic event</w:t>
      </w:r>
      <w:r>
        <w:rPr>
          <w:rFonts w:ascii="Times New Roman" w:hAnsi="Times New Roman"/>
          <w:b/>
          <w:bCs/>
          <w:sz w:val="24"/>
          <w:szCs w:val="24"/>
        </w:rPr>
        <w:t xml:space="preserve">.  </w:t>
      </w:r>
    </w:p>
    <w:p w14:paraId="45D7DE79" w14:textId="77777777" w:rsidR="00C72905" w:rsidRPr="00F3105C" w:rsidRDefault="00C72905" w:rsidP="00C72905">
      <w:pPr>
        <w:pStyle w:val="NoSpacing"/>
        <w:ind w:left="720"/>
        <w:rPr>
          <w:rFonts w:ascii="Times New Roman" w:eastAsia="Times New Roman" w:hAnsi="Times New Roman"/>
          <w:sz w:val="24"/>
          <w:szCs w:val="24"/>
        </w:rPr>
      </w:pPr>
      <w:r>
        <w:rPr>
          <w:rFonts w:ascii="Times New Roman" w:eastAsia="Times New Roman" w:hAnsi="Times New Roman"/>
          <w:kern w:val="36"/>
          <w:sz w:val="24"/>
          <w:szCs w:val="24"/>
        </w:rPr>
        <w:t xml:space="preserve">Dec. 14, 2017: </w:t>
      </w:r>
      <w:r w:rsidRPr="00F3105C">
        <w:rPr>
          <w:rFonts w:ascii="Times New Roman" w:eastAsia="Times New Roman" w:hAnsi="Times New Roman"/>
          <w:kern w:val="36"/>
          <w:sz w:val="24"/>
          <w:szCs w:val="24"/>
        </w:rPr>
        <w:t>“Firefighter charged with killing pregnant teen in DUI crash</w:t>
      </w:r>
      <w:r>
        <w:rPr>
          <w:rFonts w:ascii="Times New Roman" w:eastAsia="Times New Roman" w:hAnsi="Times New Roman"/>
          <w:kern w:val="36"/>
          <w:sz w:val="24"/>
          <w:szCs w:val="24"/>
        </w:rPr>
        <w:t xml:space="preserve">.” </w:t>
      </w:r>
      <w:hyperlink r:id="rId1964" w:history="1">
        <w:r w:rsidRPr="00216BB3">
          <w:rPr>
            <w:rStyle w:val="Hyperlink"/>
            <w:rFonts w:ascii="Times New Roman" w:eastAsia="Times New Roman" w:hAnsi="Times New Roman"/>
            <w:sz w:val="24"/>
            <w:szCs w:val="24"/>
          </w:rPr>
          <w:t>https://www.10tv.com/article/news/nation-world/firefighter-charged-killing-pregnant-teen-dui-crash/530-c59458ea-0d76-4ce2-8b1e-022640f424f8</w:t>
        </w:r>
      </w:hyperlink>
      <w:r w:rsidRPr="00F3105C">
        <w:rPr>
          <w:rFonts w:ascii="Times New Roman" w:eastAsia="Times New Roman" w:hAnsi="Times New Roman"/>
          <w:sz w:val="24"/>
          <w:szCs w:val="24"/>
        </w:rPr>
        <w:t xml:space="preserve"> </w:t>
      </w:r>
    </w:p>
    <w:p w14:paraId="057EAE3D" w14:textId="77777777" w:rsidR="00C72905" w:rsidRDefault="00C72905" w:rsidP="00C72905">
      <w:pPr>
        <w:spacing w:after="0" w:line="240" w:lineRule="auto"/>
        <w:rPr>
          <w:rFonts w:ascii="Times New Roman" w:eastAsia="Times New Roman" w:hAnsi="Times New Roman"/>
          <w:sz w:val="24"/>
          <w:szCs w:val="24"/>
        </w:rPr>
      </w:pPr>
    </w:p>
    <w:p w14:paraId="67EF0B50" w14:textId="77777777" w:rsidR="00C72905" w:rsidRPr="00A870A8" w:rsidRDefault="00C72905" w:rsidP="00C72905">
      <w:pPr>
        <w:pStyle w:val="Heading1"/>
        <w:ind w:left="720"/>
        <w:rPr>
          <w:b w:val="0"/>
          <w:bCs w:val="0"/>
          <w:kern w:val="0"/>
          <w:sz w:val="24"/>
          <w:szCs w:val="24"/>
        </w:rPr>
      </w:pPr>
      <w:r>
        <w:rPr>
          <w:b w:val="0"/>
          <w:bCs w:val="0"/>
          <w:sz w:val="24"/>
          <w:szCs w:val="24"/>
        </w:rPr>
        <w:t xml:space="preserve">Nov. 7, 2022: </w:t>
      </w:r>
      <w:r w:rsidRPr="00A870A8">
        <w:rPr>
          <w:b w:val="0"/>
          <w:bCs w:val="0"/>
          <w:sz w:val="24"/>
          <w:szCs w:val="24"/>
        </w:rPr>
        <w:t>“Former DFR firefighter sent to prison for DWI accident</w:t>
      </w:r>
      <w:r>
        <w:rPr>
          <w:b w:val="0"/>
          <w:bCs w:val="0"/>
          <w:sz w:val="24"/>
          <w:szCs w:val="24"/>
        </w:rPr>
        <w:t xml:space="preserve">. </w:t>
      </w:r>
      <w:r w:rsidRPr="00A870A8">
        <w:rPr>
          <w:b w:val="0"/>
          <w:bCs w:val="0"/>
          <w:sz w:val="24"/>
          <w:szCs w:val="24"/>
        </w:rPr>
        <w:t xml:space="preserve"> </w:t>
      </w:r>
      <w:hyperlink r:id="rId1965" w:history="1">
        <w:r w:rsidRPr="00216BB3">
          <w:rPr>
            <w:rStyle w:val="Hyperlink"/>
            <w:b w:val="0"/>
            <w:bCs w:val="0"/>
            <w:kern w:val="0"/>
            <w:sz w:val="24"/>
            <w:szCs w:val="24"/>
          </w:rPr>
          <w:t>https://www.audacy.com/krld/news/local/former-dfr-firefighter-sent-to-prison-for-dwi-accident</w:t>
        </w:r>
      </w:hyperlink>
      <w:r w:rsidRPr="00A870A8">
        <w:rPr>
          <w:b w:val="0"/>
          <w:bCs w:val="0"/>
          <w:kern w:val="0"/>
          <w:sz w:val="24"/>
          <w:szCs w:val="24"/>
        </w:rPr>
        <w:t xml:space="preserve"> </w:t>
      </w:r>
    </w:p>
    <w:p w14:paraId="44678573" w14:textId="77777777" w:rsidR="009C19A1" w:rsidRDefault="009C19A1" w:rsidP="00F326E5">
      <w:pPr>
        <w:rPr>
          <w:rFonts w:ascii="Arial Black" w:hAnsi="Arial Black"/>
          <w:b/>
          <w:sz w:val="24"/>
          <w:szCs w:val="24"/>
        </w:rPr>
      </w:pPr>
    </w:p>
    <w:p w14:paraId="2ED008FC" w14:textId="77777777" w:rsidR="009C19A1" w:rsidRDefault="009C19A1" w:rsidP="00F326E5">
      <w:pPr>
        <w:rPr>
          <w:rFonts w:ascii="Arial Black" w:hAnsi="Arial Black"/>
          <w:b/>
          <w:sz w:val="24"/>
          <w:szCs w:val="24"/>
        </w:rPr>
      </w:pPr>
    </w:p>
    <w:p w14:paraId="70FD9879" w14:textId="58040F69" w:rsidR="000644B6" w:rsidRDefault="000644B6" w:rsidP="00F326E5">
      <w:pPr>
        <w:rPr>
          <w:rFonts w:ascii="Arial Black" w:hAnsi="Arial Black"/>
          <w:b/>
          <w:sz w:val="24"/>
          <w:szCs w:val="24"/>
        </w:rPr>
      </w:pPr>
      <w:r>
        <w:rPr>
          <w:rFonts w:ascii="Arial Black" w:hAnsi="Arial Black"/>
          <w:b/>
          <w:sz w:val="24"/>
          <w:szCs w:val="24"/>
        </w:rPr>
        <w:t>12-23</w:t>
      </w:r>
    </w:p>
    <w:p w14:paraId="3B39510E" w14:textId="77777777" w:rsidR="000644B6" w:rsidRDefault="000644B6" w:rsidP="000644B6">
      <w:pPr>
        <w:pStyle w:val="NormalWeb"/>
        <w:rPr>
          <w:rFonts w:ascii="Arial Black" w:hAnsi="Arial Black"/>
          <w:b/>
          <w:bCs/>
          <w:sz w:val="28"/>
          <w:szCs w:val="28"/>
        </w:rPr>
      </w:pPr>
      <w:r>
        <w:rPr>
          <w:rFonts w:ascii="Arial Black" w:hAnsi="Arial Black"/>
          <w:b/>
          <w:bCs/>
          <w:sz w:val="28"/>
          <w:szCs w:val="28"/>
        </w:rPr>
        <w:t>TX: OFF DUTY FF AT CITY HALL TO COPY EEOC DOCUMENT – APPEARED INTOXICATED – REFUSED BE TESTED – FIRED</w:t>
      </w:r>
    </w:p>
    <w:p w14:paraId="20E748A0" w14:textId="77777777" w:rsidR="000644B6" w:rsidRDefault="000644B6" w:rsidP="000644B6">
      <w:pPr>
        <w:pStyle w:val="NormalWeb"/>
      </w:pPr>
      <w:r w:rsidRPr="00A65A26">
        <w:t xml:space="preserve">On </w:t>
      </w:r>
      <w:r>
        <w:t xml:space="preserve">July 24, 2023, in </w:t>
      </w:r>
      <w:r w:rsidRPr="00A65A26">
        <w:rPr>
          <w:u w:val="single"/>
        </w:rPr>
        <w:t>Jason January v. City of Huntsville</w:t>
      </w:r>
      <w:r>
        <w:t>, the U.S. Court of Appeals for 5</w:t>
      </w:r>
      <w:r w:rsidRPr="00A65A26">
        <w:rPr>
          <w:vertAlign w:val="superscript"/>
        </w:rPr>
        <w:t>th</w:t>
      </w:r>
      <w:r>
        <w:t xml:space="preserve"> Circuit (New Orleans), held (2 to 1) that the City was properly granted summary judgment since the FF could not prove City’s explication for firing him was a pretext.  According to secretary in City Hall, the FF boxed her in and blocked the copy room </w:t>
      </w:r>
      <w:proofErr w:type="gramStart"/>
      <w:r>
        <w:t>exit, and</w:t>
      </w:r>
      <w:proofErr w:type="gramEnd"/>
      <w:r>
        <w:t xml:space="preserve"> told her that “when all of this comes out, they're going to be sorry that they messed with me." Ms. Poe, feeling threatened, escaped past him when she could and ran to hide in the women's bathroom nearby.  A video camera in the City Manager’s office showed the City Manager, with several other </w:t>
      </w:r>
      <w:r>
        <w:lastRenderedPageBreak/>
        <w:t xml:space="preserve">officials, ordering him to stay until his wife could drive him home.  He repeatedly refused to take a drug test (took test the following day). </w:t>
      </w:r>
    </w:p>
    <w:p w14:paraId="63D9E0FD" w14:textId="77777777" w:rsidR="000644B6" w:rsidRDefault="000644B6" w:rsidP="000644B6">
      <w:pPr>
        <w:pStyle w:val="NormalWeb"/>
      </w:pPr>
      <w:r>
        <w:t xml:space="preserve">The Court noted: “All told then, beyond temporal proximity, January produces no evidence that Lunsford's reasoning concerning his intoxication was false (such that he was not actually intoxicated at the time) or pretextual (such that January's protected activities were the real reason for his firing).  *** [The City’s explanation was as follows.] The </w:t>
      </w:r>
      <w:proofErr w:type="gramStart"/>
      <w:r>
        <w:t>City</w:t>
      </w:r>
      <w:proofErr w:type="gramEnd"/>
      <w:r>
        <w:t xml:space="preserve"> placed January on administrative leave and investigated. Two weeks later, it fired him. Director of Public Safety Kevin Lunsford, the decisionmaker, explained that January was fired because: 1) despite a drug test taken the next day showing no intoxication, there remained a ‘high probability’ that January was impaired at City Hall; 2) January was insubordinate because he refused to leave City Hall when told to do so; 3) January's lack of cooperation and intoxication harmed the City's reputation; and 4) January was disrespectful in intimidating and scaring Poe. Given January's past warning that any further violation could end his employment, the </w:t>
      </w:r>
      <w:proofErr w:type="gramStart"/>
      <w:r>
        <w:t>City</w:t>
      </w:r>
      <w:proofErr w:type="gramEnd"/>
      <w:r>
        <w:t xml:space="preserve"> terminated him. </w:t>
      </w:r>
      <w:hyperlink r:id="rId1966" w:history="1">
        <w:r w:rsidRPr="00B46EE7">
          <w:rPr>
            <w:rStyle w:val="Hyperlink"/>
            <w:rFonts w:eastAsiaTheme="majorEastAsia"/>
          </w:rPr>
          <w:t>https://cases.justia.com/federal/appellate-courts/ca5/22-20380/22-20380-2023-07-24.pdf?ts=1690219861</w:t>
        </w:r>
      </w:hyperlink>
      <w:r>
        <w:t xml:space="preserve"> </w:t>
      </w:r>
    </w:p>
    <w:p w14:paraId="18BF19E3" w14:textId="77777777" w:rsidR="000644B6" w:rsidRDefault="000644B6" w:rsidP="000644B6">
      <w:pPr>
        <w:pStyle w:val="NormalWeb"/>
      </w:pPr>
      <w:r>
        <w:t xml:space="preserve">Dissent:  </w:t>
      </w:r>
    </w:p>
    <w:p w14:paraId="7650D2A2" w14:textId="77777777" w:rsidR="000644B6" w:rsidRDefault="000644B6" w:rsidP="000644B6">
      <w:pPr>
        <w:pStyle w:val="NormalWeb"/>
        <w:ind w:left="720"/>
      </w:pPr>
      <w:r>
        <w:t>“As [</w:t>
      </w:r>
      <w:proofErr w:type="gramStart"/>
      <w:r>
        <w:t>secretary</w:t>
      </w:r>
      <w:proofErr w:type="gramEnd"/>
      <w:r>
        <w:t xml:space="preserve"> Ms.] Poe acknowledged, it was entirely normal for January to wait in the copy machine room with her while she was making copies. That is what most people do, so there is nothing to support the notion that he was threatening her by doing so. At some point January made his allegedly threatening statement, but, as Poe also admitted, she understood this statement to be directed </w:t>
      </w:r>
      <w:r>
        <w:rPr>
          <w:rStyle w:val="Emphasis"/>
        </w:rPr>
        <w:t>at Huntsville</w:t>
      </w:r>
      <w:r>
        <w:t xml:space="preserve">, rather than </w:t>
      </w:r>
      <w:r>
        <w:rPr>
          <w:rStyle w:val="Emphasis"/>
        </w:rPr>
        <w:t>herself</w:t>
      </w:r>
      <w:r>
        <w:t xml:space="preserve">. Put another way, he was threatening to sue the </w:t>
      </w:r>
      <w:proofErr w:type="gramStart"/>
      <w:r>
        <w:t>City</w:t>
      </w:r>
      <w:proofErr w:type="gramEnd"/>
      <w:r>
        <w:t>, not to hurt her physically (or otherwise). If telling one of the employees of a company or city that you are going to sue their employer is a threat that allows firing, that would be the opposite of the exact point of the retaliation clause: to preserve the protected activities of employees to file EEOC claims.”</w:t>
      </w:r>
    </w:p>
    <w:p w14:paraId="15AD8166" w14:textId="77777777" w:rsidR="000644B6" w:rsidRPr="006B356E" w:rsidRDefault="000644B6" w:rsidP="000644B6">
      <w:pPr>
        <w:pStyle w:val="NormalWeb"/>
        <w:rPr>
          <w:b/>
          <w:bCs/>
        </w:rPr>
      </w:pPr>
      <w:r w:rsidRPr="006B356E">
        <w:rPr>
          <w:b/>
          <w:bCs/>
        </w:rPr>
        <w:t xml:space="preserve">Legal Lesson Learned: </w:t>
      </w:r>
      <w:r>
        <w:rPr>
          <w:b/>
          <w:bCs/>
        </w:rPr>
        <w:t xml:space="preserve">The City officials had a reasonable basis to order a drug test; no retaliation for filing EEOC complaint was proven.  </w:t>
      </w:r>
    </w:p>
    <w:p w14:paraId="7D319C06" w14:textId="77777777" w:rsidR="000644B6" w:rsidRDefault="000644B6" w:rsidP="00F326E5">
      <w:pPr>
        <w:rPr>
          <w:rFonts w:ascii="Arial Black" w:hAnsi="Arial Black"/>
          <w:b/>
          <w:sz w:val="24"/>
          <w:szCs w:val="24"/>
        </w:rPr>
      </w:pPr>
    </w:p>
    <w:p w14:paraId="687B79FD" w14:textId="77777777" w:rsidR="000644B6" w:rsidRDefault="000644B6" w:rsidP="00F326E5">
      <w:pPr>
        <w:rPr>
          <w:rFonts w:ascii="Arial Black" w:hAnsi="Arial Black"/>
          <w:b/>
          <w:sz w:val="24"/>
          <w:szCs w:val="24"/>
        </w:rPr>
      </w:pPr>
    </w:p>
    <w:p w14:paraId="7F6E7CED" w14:textId="77777777" w:rsidR="000644B6" w:rsidRDefault="000644B6" w:rsidP="00F326E5">
      <w:pPr>
        <w:rPr>
          <w:rFonts w:ascii="Arial Black" w:hAnsi="Arial Black"/>
          <w:b/>
          <w:sz w:val="24"/>
          <w:szCs w:val="24"/>
        </w:rPr>
      </w:pPr>
    </w:p>
    <w:p w14:paraId="5C9B86D8" w14:textId="6403C376" w:rsidR="00237599" w:rsidRDefault="00237599" w:rsidP="00F326E5">
      <w:pPr>
        <w:rPr>
          <w:rFonts w:ascii="Arial Black" w:hAnsi="Arial Black"/>
          <w:b/>
          <w:sz w:val="24"/>
          <w:szCs w:val="24"/>
        </w:rPr>
      </w:pPr>
      <w:r>
        <w:rPr>
          <w:rFonts w:ascii="Arial Black" w:hAnsi="Arial Black"/>
          <w:b/>
          <w:sz w:val="24"/>
          <w:szCs w:val="24"/>
        </w:rPr>
        <w:t>12-22</w:t>
      </w:r>
    </w:p>
    <w:p w14:paraId="5CCE0507" w14:textId="77777777" w:rsidR="00237599" w:rsidRDefault="00237599" w:rsidP="00237599">
      <w:pPr>
        <w:pStyle w:val="NormalWeb"/>
        <w:rPr>
          <w:rFonts w:ascii="Arial Black" w:hAnsi="Arial Black"/>
          <w:sz w:val="28"/>
          <w:szCs w:val="28"/>
        </w:rPr>
      </w:pPr>
      <w:bookmarkStart w:id="414" w:name="_Hlk136860476"/>
      <w:r>
        <w:rPr>
          <w:rFonts w:ascii="Arial Black" w:hAnsi="Arial Black"/>
          <w:sz w:val="28"/>
          <w:szCs w:val="28"/>
        </w:rPr>
        <w:t>NY: OXYCONTIN – CO. BANKRUPTCY APPROVED, ALONG WITH SACKLER FAMILY RELEASE - $5 - $6B TO STATES</w:t>
      </w:r>
    </w:p>
    <w:bookmarkEnd w:id="414"/>
    <w:p w14:paraId="66A3C9AA" w14:textId="77777777" w:rsidR="00237599" w:rsidRPr="005B0088" w:rsidRDefault="00237599" w:rsidP="00237599">
      <w:pPr>
        <w:pStyle w:val="NormalWeb"/>
        <w:rPr>
          <w:rFonts w:ascii="Arial Black" w:hAnsi="Arial Black"/>
          <w:sz w:val="28"/>
          <w:szCs w:val="28"/>
        </w:rPr>
      </w:pPr>
      <w:r>
        <w:t xml:space="preserve">On May 30, 2023, in bankruptcy case </w:t>
      </w:r>
      <w:r w:rsidRPr="002F4F98">
        <w:rPr>
          <w:rStyle w:val="markedcontent"/>
          <w:u w:val="single"/>
        </w:rPr>
        <w:t>In Re: Purdue Pharma L.P., et a</w:t>
      </w:r>
      <w:r>
        <w:rPr>
          <w:rStyle w:val="markedcontent"/>
        </w:rPr>
        <w:t xml:space="preserve">l., </w:t>
      </w:r>
      <w:r>
        <w:t>the U.S. Court of Appeals for Second Circuit (in New York City), approved (3 to 0) settlement of mass tort litigation from overdose deaths from OxyContin, and the Sackler family owners will pay about $5 to $6 billion to state and local governments and others and give up control of Purdue Pharma (based in Stamford, CT) , and about $750 million will go to individuals (ranging from $3,500 to $48,000). Several states had opposed the plan, but with revisions all agreed to the plan. In 2021, U.S. District Judge Colleen McMahon in New York found that federal bankruptcy law does not give the bankruptcy judge who had accepted the plan the authority to grant that kind of release to Sackler family; the 2</w:t>
      </w:r>
      <w:r w:rsidRPr="007A5B02">
        <w:rPr>
          <w:vertAlign w:val="superscript"/>
        </w:rPr>
        <w:t>nd</w:t>
      </w:r>
      <w:r>
        <w:t xml:space="preserve"> Circuit reversed that ruling.  </w:t>
      </w:r>
      <w:hyperlink r:id="rId1967" w:anchor="xml=https://www.ca2.uscourts.gov/decisions/isysquery/8c1d712c-7872-4b25-a064-fe1fbb801f2a/1/hilite/" w:history="1">
        <w:r w:rsidRPr="00BA70FB">
          <w:rPr>
            <w:rStyle w:val="Hyperlink"/>
            <w:rFonts w:eastAsiaTheme="majorEastAsia"/>
          </w:rPr>
          <w:t>https://www.ca2.uscourts.gov/decisions/isysquery/8c1d712c-7872-4b25-a064-fe1fbb801f2a/1/doc/22-</w:t>
        </w:r>
        <w:r w:rsidRPr="00BA70FB">
          <w:rPr>
            <w:rStyle w:val="Hyperlink"/>
            <w:rFonts w:eastAsiaTheme="majorEastAsia"/>
          </w:rPr>
          <w:lastRenderedPageBreak/>
          <w:t>110_complete_opn.pdf#xml=https://www.ca2.uscourts.gov/decisions/isysquery/8c1d712c-7872-4b25-a064-fe1fbb801f2a/1/hilite/</w:t>
        </w:r>
      </w:hyperlink>
      <w:r>
        <w:t xml:space="preserve">  </w:t>
      </w:r>
    </w:p>
    <w:p w14:paraId="347C5CB8" w14:textId="77777777" w:rsidR="00237599" w:rsidRPr="005B0088" w:rsidRDefault="00237599" w:rsidP="00237599">
      <w:pPr>
        <w:pStyle w:val="NormalWeb"/>
        <w:ind w:left="720"/>
        <w:jc w:val="both"/>
        <w:rPr>
          <w:rFonts w:ascii="Arial Black" w:hAnsi="Arial Black"/>
          <w:sz w:val="28"/>
          <w:szCs w:val="28"/>
        </w:rPr>
      </w:pPr>
      <w:r>
        <w:t>“</w:t>
      </w:r>
      <w:r>
        <w:rPr>
          <w:rStyle w:val="markedcontent"/>
        </w:rPr>
        <w:t xml:space="preserve">In sum, we reverse the district court’s holding that the bankruptcy court lacked the authority to approve the Plan that included the nonconsensual third-party releases. We instead hold that the bankruptcy court properly approved the Plan and made the requisite detailed factual findings to approve of the Shareholder Releases.” </w:t>
      </w:r>
    </w:p>
    <w:p w14:paraId="2863C9AB" w14:textId="77777777" w:rsidR="00237599" w:rsidRPr="001F18CE" w:rsidRDefault="00237599" w:rsidP="00237599">
      <w:pPr>
        <w:pStyle w:val="NormalWeb"/>
        <w:rPr>
          <w:rStyle w:val="markedcontent"/>
          <w:b/>
          <w:bCs/>
        </w:rPr>
      </w:pPr>
      <w:r w:rsidRPr="001F18CE">
        <w:rPr>
          <w:rStyle w:val="markedcontent"/>
          <w:b/>
          <w:bCs/>
        </w:rPr>
        <w:t xml:space="preserve">Legal Lesson Learned: </w:t>
      </w:r>
      <w:r>
        <w:rPr>
          <w:rStyle w:val="markedcontent"/>
          <w:b/>
          <w:bCs/>
        </w:rPr>
        <w:t xml:space="preserve">OxyContin has led to death of many; this bankruptcy ends numerous mass tort cases.  </w:t>
      </w:r>
    </w:p>
    <w:p w14:paraId="173C6EB4" w14:textId="77777777" w:rsidR="00237599" w:rsidRDefault="00237599" w:rsidP="00237599">
      <w:pPr>
        <w:pStyle w:val="NormalWeb"/>
        <w:ind w:left="720"/>
        <w:rPr>
          <w:b/>
          <w:bCs/>
        </w:rPr>
      </w:pPr>
      <w:r>
        <w:rPr>
          <w:rStyle w:val="markedcontent"/>
        </w:rPr>
        <w:t xml:space="preserve">Note: </w:t>
      </w:r>
      <w:r w:rsidRPr="005B0088">
        <w:t xml:space="preserve">See May 30, </w:t>
      </w:r>
      <w:proofErr w:type="gramStart"/>
      <w:r w:rsidRPr="005B0088">
        <w:t>2023</w:t>
      </w:r>
      <w:proofErr w:type="gramEnd"/>
      <w:r w:rsidRPr="005B0088">
        <w:t xml:space="preserve"> article, “A landmark appeals court ruling clears way for Purdue Pharma-Sackler bankruptcy deal.”</w:t>
      </w:r>
      <w:r>
        <w:rPr>
          <w:b/>
          <w:bCs/>
        </w:rPr>
        <w:t xml:space="preserve"> </w:t>
      </w:r>
      <w:hyperlink r:id="rId1968" w:history="1">
        <w:r w:rsidRPr="00BA70FB">
          <w:rPr>
            <w:rStyle w:val="Hyperlink"/>
            <w:rFonts w:eastAsiaTheme="majorEastAsia"/>
          </w:rPr>
          <w:t>https://www.npr.org/2023/05/30/1178850879/sackler-family-purdue-pharma-immunity-lawsuits-oxycontin-opioid</w:t>
        </w:r>
      </w:hyperlink>
      <w:r>
        <w:rPr>
          <w:b/>
          <w:bCs/>
        </w:rPr>
        <w:t xml:space="preserve"> </w:t>
      </w:r>
    </w:p>
    <w:p w14:paraId="046FBC9C" w14:textId="77777777" w:rsidR="00237599" w:rsidRPr="005B0088" w:rsidRDefault="00237599" w:rsidP="00237599">
      <w:pPr>
        <w:pStyle w:val="NormalWeb"/>
        <w:ind w:left="1440"/>
        <w:rPr>
          <w:color w:val="000000" w:themeColor="text1"/>
        </w:rPr>
      </w:pPr>
      <w:r w:rsidRPr="005B0088">
        <w:rPr>
          <w:color w:val="000000" w:themeColor="text1"/>
        </w:rPr>
        <w:t xml:space="preserve">“As part of the bankruptcy settlement, the </w:t>
      </w:r>
      <w:proofErr w:type="spellStart"/>
      <w:r w:rsidRPr="005B0088">
        <w:rPr>
          <w:color w:val="000000" w:themeColor="text1"/>
        </w:rPr>
        <w:t>Sacklers</w:t>
      </w:r>
      <w:proofErr w:type="spellEnd"/>
      <w:r w:rsidRPr="005B0088">
        <w:rPr>
          <w:color w:val="000000" w:themeColor="text1"/>
        </w:rPr>
        <w:t xml:space="preserve"> are </w:t>
      </w:r>
      <w:hyperlink r:id="rId1969" w:anchor=":~:text=The%20Sackler%20families%20must%20pay,to%20the%20previous%20bankruptcy%20plan." w:history="1">
        <w:r w:rsidRPr="005B0088">
          <w:rPr>
            <w:rStyle w:val="Hyperlink"/>
            <w:rFonts w:eastAsiaTheme="majorEastAsia"/>
            <w:color w:val="000000" w:themeColor="text1"/>
          </w:rPr>
          <w:t>expected to pay roughly $5 to $6 billion and give up control of Purdue Pharma</w:t>
        </w:r>
      </w:hyperlink>
      <w:r w:rsidRPr="005B0088">
        <w:rPr>
          <w:color w:val="000000" w:themeColor="text1"/>
        </w:rPr>
        <w:t>. Roughly $750 million from that payout will go to individuals across the U.S. who became addicted to OxyContin and to the families of those who died from overdoses.”</w:t>
      </w:r>
    </w:p>
    <w:p w14:paraId="4DA353E5" w14:textId="77777777" w:rsidR="00237599" w:rsidRPr="00BD34DC" w:rsidRDefault="00237599" w:rsidP="00237599">
      <w:pPr>
        <w:pStyle w:val="Heading1"/>
        <w:ind w:left="720"/>
        <w:rPr>
          <w:b w:val="0"/>
          <w:bCs w:val="0"/>
          <w:sz w:val="24"/>
          <w:szCs w:val="24"/>
        </w:rPr>
      </w:pPr>
      <w:r w:rsidRPr="00BD34DC">
        <w:rPr>
          <w:b w:val="0"/>
          <w:bCs w:val="0"/>
          <w:sz w:val="24"/>
          <w:szCs w:val="24"/>
        </w:rPr>
        <w:t xml:space="preserve">See March 3, </w:t>
      </w:r>
      <w:proofErr w:type="gramStart"/>
      <w:r w:rsidRPr="00BD34DC">
        <w:rPr>
          <w:b w:val="0"/>
          <w:bCs w:val="0"/>
          <w:sz w:val="24"/>
          <w:szCs w:val="24"/>
        </w:rPr>
        <w:t>2022</w:t>
      </w:r>
      <w:proofErr w:type="gramEnd"/>
      <w:r w:rsidRPr="00BD34DC">
        <w:rPr>
          <w:b w:val="0"/>
          <w:bCs w:val="0"/>
          <w:sz w:val="24"/>
          <w:szCs w:val="24"/>
        </w:rPr>
        <w:t xml:space="preserve"> New York Times article, </w:t>
      </w:r>
      <w:r>
        <w:rPr>
          <w:b w:val="0"/>
          <w:bCs w:val="0"/>
          <w:sz w:val="24"/>
          <w:szCs w:val="24"/>
        </w:rPr>
        <w:t>“</w:t>
      </w:r>
      <w:proofErr w:type="spellStart"/>
      <w:r w:rsidRPr="00BD34DC">
        <w:rPr>
          <w:b w:val="0"/>
          <w:bCs w:val="0"/>
          <w:sz w:val="24"/>
          <w:szCs w:val="24"/>
        </w:rPr>
        <w:t>Sacklers</w:t>
      </w:r>
      <w:proofErr w:type="spellEnd"/>
      <w:r w:rsidRPr="00BD34DC">
        <w:rPr>
          <w:b w:val="0"/>
          <w:bCs w:val="0"/>
          <w:sz w:val="24"/>
          <w:szCs w:val="24"/>
        </w:rPr>
        <w:t xml:space="preserve"> and Purdue Pharma Reach New Deal </w:t>
      </w:r>
      <w:proofErr w:type="gramStart"/>
      <w:r w:rsidRPr="00BD34DC">
        <w:rPr>
          <w:b w:val="0"/>
          <w:bCs w:val="0"/>
          <w:sz w:val="24"/>
          <w:szCs w:val="24"/>
        </w:rPr>
        <w:t>With</w:t>
      </w:r>
      <w:proofErr w:type="gramEnd"/>
      <w:r w:rsidRPr="00BD34DC">
        <w:rPr>
          <w:b w:val="0"/>
          <w:bCs w:val="0"/>
          <w:sz w:val="24"/>
          <w:szCs w:val="24"/>
        </w:rPr>
        <w:t xml:space="preserve"> States Over Opioids</w:t>
      </w:r>
      <w:r>
        <w:rPr>
          <w:b w:val="0"/>
          <w:bCs w:val="0"/>
          <w:sz w:val="24"/>
          <w:szCs w:val="24"/>
        </w:rPr>
        <w:t xml:space="preserve">.” </w:t>
      </w:r>
      <w:hyperlink r:id="rId1970" w:history="1">
        <w:r w:rsidRPr="006E17D1">
          <w:rPr>
            <w:rStyle w:val="Hyperlink"/>
            <w:rFonts w:eastAsiaTheme="majorEastAsia"/>
            <w:b w:val="0"/>
            <w:bCs w:val="0"/>
            <w:sz w:val="24"/>
            <w:szCs w:val="24"/>
          </w:rPr>
          <w:t>https://www.nytimes.com/2022/03/03/health/sacklers-purdue-oxycontin-settlement.html</w:t>
        </w:r>
      </w:hyperlink>
      <w:r>
        <w:rPr>
          <w:b w:val="0"/>
          <w:bCs w:val="0"/>
          <w:sz w:val="24"/>
          <w:szCs w:val="24"/>
        </w:rPr>
        <w:t xml:space="preserve"> </w:t>
      </w:r>
    </w:p>
    <w:p w14:paraId="0DD668A0" w14:textId="77777777" w:rsidR="00237599" w:rsidRDefault="00237599" w:rsidP="00237599">
      <w:pPr>
        <w:pStyle w:val="css-1n0orw4"/>
        <w:ind w:left="1440"/>
      </w:pPr>
      <w:r>
        <w:t xml:space="preserve">“The agreement brought holdout states on </w:t>
      </w:r>
      <w:proofErr w:type="gramStart"/>
      <w:r>
        <w:t>board, and</w:t>
      </w:r>
      <w:proofErr w:type="gramEnd"/>
      <w:r>
        <w:t xml:space="preserve"> would settle thousands of lawsuits over the company’s and family’s roles in the opioid epidemic. The </w:t>
      </w:r>
      <w:proofErr w:type="spellStart"/>
      <w:r>
        <w:t>Sacklers</w:t>
      </w:r>
      <w:proofErr w:type="spellEnd"/>
      <w:r>
        <w:t xml:space="preserve"> agreed to pay an extra $1 billion. Members of the billionaire Sackler family and their company, Purdue Pharma, have reached a deal with a group of states that had long resisted the company’s bankruptcy plan — a crucial step toward funneling billions of dollars from the family’s fortune to addiction treatment programs nationwide, according to a </w:t>
      </w:r>
      <w:hyperlink r:id="rId1971" w:tgtFrame="_blank" w:history="1">
        <w:r>
          <w:rPr>
            <w:rStyle w:val="Hyperlink"/>
            <w:rFonts w:eastAsiaTheme="majorEastAsia"/>
          </w:rPr>
          <w:t>court filing</w:t>
        </w:r>
      </w:hyperlink>
      <w:r>
        <w:t xml:space="preserve"> on Thursday. If Judge Robert Drain, who has presided over Purdue’s bankruptcy proceedings in White Plains, N.Y., approves the agreement, the </w:t>
      </w:r>
      <w:proofErr w:type="spellStart"/>
      <w:r>
        <w:t>Sacklers</w:t>
      </w:r>
      <w:proofErr w:type="spellEnd"/>
      <w:r>
        <w:t xml:space="preserve"> would pay as much as $6 billion to help communities address the damage from the opioid crisis. In return, Sackler family members would get the</w:t>
      </w:r>
      <w:hyperlink r:id="rId1972" w:history="1">
        <w:r>
          <w:rPr>
            <w:rStyle w:val="Hyperlink"/>
            <w:rFonts w:eastAsiaTheme="majorEastAsia"/>
          </w:rPr>
          <w:t xml:space="preserve"> prize they insisted upon for nearly three years</w:t>
        </w:r>
      </w:hyperlink>
      <w:r>
        <w:t xml:space="preserve">: an end to all current and future civil claims against them over the company’s prescription opioid </w:t>
      </w:r>
      <w:proofErr w:type="gramStart"/>
      <w:r>
        <w:t>business.”</w:t>
      </w:r>
      <w:proofErr w:type="gramEnd"/>
    </w:p>
    <w:p w14:paraId="7578779F" w14:textId="77777777" w:rsidR="00237599" w:rsidRDefault="00237599" w:rsidP="00237599">
      <w:pPr>
        <w:pStyle w:val="Heading1"/>
        <w:ind w:left="720"/>
        <w:rPr>
          <w:b w:val="0"/>
          <w:bCs w:val="0"/>
          <w:sz w:val="24"/>
          <w:szCs w:val="24"/>
        </w:rPr>
      </w:pPr>
      <w:r>
        <w:rPr>
          <w:b w:val="0"/>
          <w:bCs w:val="0"/>
          <w:sz w:val="24"/>
          <w:szCs w:val="24"/>
        </w:rPr>
        <w:t xml:space="preserve">See </w:t>
      </w:r>
      <w:r w:rsidRPr="00022A47">
        <w:rPr>
          <w:b w:val="0"/>
          <w:bCs w:val="0"/>
          <w:sz w:val="24"/>
          <w:szCs w:val="24"/>
        </w:rPr>
        <w:t xml:space="preserve">Oct. 21, </w:t>
      </w:r>
      <w:proofErr w:type="gramStart"/>
      <w:r w:rsidRPr="00022A47">
        <w:rPr>
          <w:b w:val="0"/>
          <w:bCs w:val="0"/>
          <w:sz w:val="24"/>
          <w:szCs w:val="24"/>
        </w:rPr>
        <w:t>20</w:t>
      </w:r>
      <w:r>
        <w:rPr>
          <w:b w:val="0"/>
          <w:bCs w:val="0"/>
          <w:sz w:val="24"/>
          <w:szCs w:val="24"/>
        </w:rPr>
        <w:t>20</w:t>
      </w:r>
      <w:proofErr w:type="gramEnd"/>
      <w:r>
        <w:rPr>
          <w:b w:val="0"/>
          <w:bCs w:val="0"/>
          <w:sz w:val="24"/>
          <w:szCs w:val="24"/>
        </w:rPr>
        <w:t xml:space="preserve"> Press Release, “</w:t>
      </w:r>
      <w:r w:rsidRPr="00022A47">
        <w:rPr>
          <w:b w:val="0"/>
          <w:bCs w:val="0"/>
          <w:sz w:val="24"/>
          <w:szCs w:val="24"/>
        </w:rPr>
        <w:t>Justice Department Announces Global Resolution of Criminal and Civil Investigations with Opioid Manufacturer Purdue Pharma and Civil Settlement with Members of the Sackler Family</w:t>
      </w:r>
      <w:r>
        <w:rPr>
          <w:b w:val="0"/>
          <w:bCs w:val="0"/>
          <w:sz w:val="24"/>
          <w:szCs w:val="24"/>
        </w:rPr>
        <w:t>.”</w:t>
      </w:r>
      <w:r w:rsidRPr="00022A47">
        <w:t xml:space="preserve"> </w:t>
      </w:r>
      <w:hyperlink r:id="rId1973" w:history="1">
        <w:r w:rsidRPr="005639A2">
          <w:rPr>
            <w:rStyle w:val="Hyperlink"/>
            <w:rFonts w:eastAsiaTheme="majorEastAsia"/>
            <w:b w:val="0"/>
            <w:bCs w:val="0"/>
            <w:sz w:val="24"/>
            <w:szCs w:val="24"/>
          </w:rPr>
          <w:t>https://www.justice.gov/opa/pr/justice-department-announces-global-resolution-criminal-and-civil-investigations-opioid</w:t>
        </w:r>
      </w:hyperlink>
      <w:r>
        <w:rPr>
          <w:b w:val="0"/>
          <w:bCs w:val="0"/>
          <w:sz w:val="24"/>
          <w:szCs w:val="24"/>
        </w:rPr>
        <w:t xml:space="preserve"> </w:t>
      </w:r>
    </w:p>
    <w:p w14:paraId="29920321" w14:textId="77777777" w:rsidR="00237599" w:rsidRPr="00022A47" w:rsidRDefault="00237599" w:rsidP="00237599">
      <w:pPr>
        <w:pStyle w:val="Heading1"/>
        <w:ind w:left="1440"/>
        <w:rPr>
          <w:b w:val="0"/>
          <w:bCs w:val="0"/>
          <w:sz w:val="24"/>
          <w:szCs w:val="24"/>
        </w:rPr>
      </w:pPr>
      <w:r>
        <w:rPr>
          <w:b w:val="0"/>
          <w:bCs w:val="0"/>
          <w:sz w:val="24"/>
          <w:szCs w:val="24"/>
        </w:rPr>
        <w:t>“</w:t>
      </w:r>
      <w:r w:rsidRPr="00022A47">
        <w:rPr>
          <w:b w:val="0"/>
          <w:bCs w:val="0"/>
          <w:sz w:val="24"/>
          <w:szCs w:val="24"/>
        </w:rPr>
        <w:t xml:space="preserve">Under a separate civil settlement, individual members of the Sackler family will pay the United States $225 million arising from the alleged conduct of Dr. Richard Sackler, David Sackler, Mortimer D.A. Sackler, Dr. Kathe Sackler, and Jonathan Sackler (the Named </w:t>
      </w:r>
      <w:proofErr w:type="spellStart"/>
      <w:r w:rsidRPr="00022A47">
        <w:rPr>
          <w:b w:val="0"/>
          <w:bCs w:val="0"/>
          <w:sz w:val="24"/>
          <w:szCs w:val="24"/>
        </w:rPr>
        <w:t>Sacklers</w:t>
      </w:r>
      <w:proofErr w:type="spellEnd"/>
      <w:r w:rsidRPr="00022A47">
        <w:rPr>
          <w:b w:val="0"/>
          <w:bCs w:val="0"/>
          <w:sz w:val="24"/>
          <w:szCs w:val="24"/>
        </w:rPr>
        <w:t xml:space="preserve">).  This settlement resolves allegations that, in 2012, the Named </w:t>
      </w:r>
      <w:proofErr w:type="spellStart"/>
      <w:r w:rsidRPr="00022A47">
        <w:rPr>
          <w:b w:val="0"/>
          <w:bCs w:val="0"/>
          <w:sz w:val="24"/>
          <w:szCs w:val="24"/>
        </w:rPr>
        <w:t>Sacklers</w:t>
      </w:r>
      <w:proofErr w:type="spellEnd"/>
      <w:r w:rsidRPr="00022A47">
        <w:rPr>
          <w:b w:val="0"/>
          <w:bCs w:val="0"/>
          <w:sz w:val="24"/>
          <w:szCs w:val="24"/>
        </w:rPr>
        <w:t xml:space="preserve"> knew that the legitimate market for Purdue’s opioids had contracted.  Nevertheless, they requested that Purdue executives recapture lost sales and increase Purdue’s share of the opioid market.  The Named </w:t>
      </w:r>
      <w:proofErr w:type="spellStart"/>
      <w:r w:rsidRPr="00022A47">
        <w:rPr>
          <w:b w:val="0"/>
          <w:bCs w:val="0"/>
          <w:sz w:val="24"/>
          <w:szCs w:val="24"/>
        </w:rPr>
        <w:t>Sacklers</w:t>
      </w:r>
      <w:proofErr w:type="spellEnd"/>
      <w:r w:rsidRPr="00022A47">
        <w:rPr>
          <w:b w:val="0"/>
          <w:bCs w:val="0"/>
          <w:sz w:val="24"/>
          <w:szCs w:val="24"/>
        </w:rPr>
        <w:t xml:space="preserve"> then approved a new marketing program beginning in 2013 called </w:t>
      </w:r>
      <w:r>
        <w:rPr>
          <w:b w:val="0"/>
          <w:bCs w:val="0"/>
          <w:sz w:val="24"/>
          <w:szCs w:val="24"/>
        </w:rPr>
        <w:t>‘</w:t>
      </w:r>
      <w:r w:rsidRPr="00022A47">
        <w:rPr>
          <w:b w:val="0"/>
          <w:bCs w:val="0"/>
          <w:sz w:val="24"/>
          <w:szCs w:val="24"/>
        </w:rPr>
        <w:t>Evolve to Excellence,</w:t>
      </w:r>
      <w:r>
        <w:rPr>
          <w:b w:val="0"/>
          <w:bCs w:val="0"/>
          <w:sz w:val="24"/>
          <w:szCs w:val="24"/>
        </w:rPr>
        <w:t>’</w:t>
      </w:r>
      <w:r w:rsidRPr="00022A47">
        <w:rPr>
          <w:b w:val="0"/>
          <w:bCs w:val="0"/>
          <w:sz w:val="24"/>
          <w:szCs w:val="24"/>
        </w:rPr>
        <w:t xml:space="preserve"> through which Purdue sales representatives intensified their marketing of OxyContin to extreme, high-volume prescribers who were already writing “25 times as many OxyContin scripts” as their peers, causing health care providers to prescribe opioids for uses that were unsafe, ineffective, and medically unnecessary, and that often led to abuse and diversion.</w:t>
      </w:r>
      <w:r>
        <w:rPr>
          <w:b w:val="0"/>
          <w:bCs w:val="0"/>
          <w:sz w:val="24"/>
          <w:szCs w:val="24"/>
        </w:rPr>
        <w:t>”</w:t>
      </w:r>
      <w:r w:rsidRPr="00022A47">
        <w:rPr>
          <w:b w:val="0"/>
          <w:bCs w:val="0"/>
          <w:sz w:val="24"/>
          <w:szCs w:val="24"/>
        </w:rPr>
        <w:t xml:space="preserve">    </w:t>
      </w:r>
    </w:p>
    <w:p w14:paraId="6BD81C99" w14:textId="77777777" w:rsidR="00237599" w:rsidRDefault="00237599" w:rsidP="00F326E5">
      <w:pPr>
        <w:rPr>
          <w:rFonts w:ascii="Arial Black" w:hAnsi="Arial Black"/>
          <w:b/>
          <w:sz w:val="24"/>
          <w:szCs w:val="24"/>
        </w:rPr>
      </w:pPr>
    </w:p>
    <w:p w14:paraId="37276519" w14:textId="77777777" w:rsidR="00237599" w:rsidRDefault="00237599" w:rsidP="00F326E5">
      <w:pPr>
        <w:rPr>
          <w:rFonts w:ascii="Arial Black" w:hAnsi="Arial Black"/>
          <w:b/>
          <w:sz w:val="24"/>
          <w:szCs w:val="24"/>
        </w:rPr>
      </w:pPr>
    </w:p>
    <w:p w14:paraId="73A66DE2" w14:textId="559102DB" w:rsidR="00F55395" w:rsidRDefault="00F55395" w:rsidP="00F326E5">
      <w:pPr>
        <w:rPr>
          <w:rFonts w:ascii="Arial Black" w:hAnsi="Arial Black"/>
          <w:b/>
          <w:sz w:val="24"/>
          <w:szCs w:val="24"/>
        </w:rPr>
      </w:pPr>
      <w:r>
        <w:rPr>
          <w:rFonts w:ascii="Arial Black" w:hAnsi="Arial Black"/>
          <w:b/>
          <w:sz w:val="24"/>
          <w:szCs w:val="24"/>
        </w:rPr>
        <w:t>12-21</w:t>
      </w:r>
    </w:p>
    <w:p w14:paraId="6EA76482" w14:textId="77777777" w:rsidR="00F55395" w:rsidRDefault="00F55395" w:rsidP="00F55395">
      <w:pPr>
        <w:pStyle w:val="NormalWeb"/>
        <w:rPr>
          <w:rFonts w:ascii="Arial Black" w:hAnsi="Arial Black"/>
          <w:sz w:val="28"/>
          <w:szCs w:val="28"/>
        </w:rPr>
      </w:pPr>
      <w:r>
        <w:rPr>
          <w:rFonts w:ascii="Arial Black" w:hAnsi="Arial Black"/>
          <w:sz w:val="28"/>
          <w:szCs w:val="28"/>
        </w:rPr>
        <w:t>PA: 7 DISPATCHERS FIRED – EGG NOG / ALCOHOL – THEIR PRIOR CALL CENTER ISSUES NOT “CITIZEN SPEECH”</w:t>
      </w:r>
    </w:p>
    <w:p w14:paraId="26C7C252" w14:textId="77777777" w:rsidR="00F55395" w:rsidRDefault="00F55395" w:rsidP="00F55395">
      <w:pPr>
        <w:pStyle w:val="NormalWeb"/>
      </w:pPr>
      <w:r>
        <w:t xml:space="preserve">On March 9, 2023, in </w:t>
      </w:r>
      <w:r w:rsidRPr="00D85D57">
        <w:rPr>
          <w:u w:val="single"/>
        </w:rPr>
        <w:t>Justin Zucal, et al. v. County of Lehigh, et al</w:t>
      </w:r>
      <w:r>
        <w:t xml:space="preserve">., U.S. District Court Judge John M. Gallaher, Eastern District of Pennsylvania, granted the defense motion to dismiss the lawsuit filed by seven dispatchers who were fired on Jan. 21, </w:t>
      </w:r>
      <w:proofErr w:type="gramStart"/>
      <w:r>
        <w:t>2020</w:t>
      </w:r>
      <w:proofErr w:type="gramEnd"/>
      <w:r>
        <w:t xml:space="preserve"> after the New Year’s Eve toast.  In January 2019, the Allentown 911 Emergency Call Center merged with the Lehigh County 911 Emergency Call Center; some dispatchers complained to County officials, and police and fire agencies about call center issues, and alleged discrimination against a Latino dispatcher.  The Court rejected their claim that they were fired in retaliation for exercising their First Amendment rights to complain to public.  “[T]he Court finds that Plaintiffs' complaints that serve as the basis for their retaliation claim are not protected by the First Amendment as citizen speech. And because the Plaintiffs' statements were made within their duties as government employees, the Court need not address whether their statements involved a matter of public concern or whether the government lacked an ‘adequate justification' for treating the employee differently than the general public based on its needs as an employer under the </w:t>
      </w:r>
      <w:r>
        <w:rPr>
          <w:rStyle w:val="Emphasis"/>
        </w:rPr>
        <w:t>Pickering</w:t>
      </w:r>
      <w:r>
        <w:t xml:space="preserve"> balancing test.’ </w:t>
      </w:r>
      <w:r>
        <w:rPr>
          <w:rStyle w:val="Emphasis"/>
        </w:rPr>
        <w:t>Dougherty</w:t>
      </w:r>
      <w:r>
        <w:t xml:space="preserve">, 772 F.3d at 987 (quoting </w:t>
      </w:r>
      <w:r>
        <w:rPr>
          <w:rStyle w:val="Emphasis"/>
        </w:rPr>
        <w:t>Gorum</w:t>
      </w:r>
      <w:r>
        <w:t xml:space="preserve">, 561 F.3d at 185). Accordingly, Defendants' motion to dismiss this claim is granted.” </w:t>
      </w:r>
      <w:hyperlink r:id="rId1974" w:history="1">
        <w:r w:rsidRPr="005C1F1B">
          <w:rPr>
            <w:rStyle w:val="Hyperlink"/>
            <w:rFonts w:eastAsiaTheme="majorEastAsia"/>
          </w:rPr>
          <w:t>https://public.fastcase.com/J%2FJP6pdidelsXxEE4k%2BLMjguDlksD8dKELdpfFWP9cYBmH83FdbmlTzl%2FYR%2FGHKVJmTrfPX2dR0kqVK5JcTrQwWj0Xyj7G2BHa1wkLBWvR8%3D?utm_medium=email&amp;_hsmi=226712652&amp;_hsenc=p2ANqtz-8X8hd1OyKx9xBVWTYyyRcKWZqDrqGklavKHA9oFy03k-3f0cMxPP9GwSn13jNQOldot2axaAKjxlo1irLgFnquT2grYg&amp;utm_content=226712652&amp;utm_source=hs_email</w:t>
        </w:r>
      </w:hyperlink>
      <w:r>
        <w:t xml:space="preserve"> </w:t>
      </w:r>
    </w:p>
    <w:p w14:paraId="587682CD" w14:textId="77777777" w:rsidR="00F55395" w:rsidRDefault="00F55395" w:rsidP="00F55395">
      <w:pPr>
        <w:pStyle w:val="NormalWeb"/>
      </w:pPr>
      <w:r>
        <w:t xml:space="preserve">The Court described the “Fact Finding” meeting that led to their termination. </w:t>
      </w:r>
    </w:p>
    <w:p w14:paraId="5584E975" w14:textId="77777777" w:rsidR="00F55395" w:rsidRDefault="00F55395" w:rsidP="00F55395">
      <w:pPr>
        <w:pStyle w:val="NormalWeb"/>
        <w:ind w:left="720"/>
      </w:pPr>
      <w:r>
        <w:t>On December 31, 2019, Alvarez-Carril, Plaintiffs and other 911 dispatchers shared a New Year's Eve toast over small cups of eggnog….Plaintiffs claim that Gieringer granted permission to Alvarez-Carril to use alcohol for the toast….Plaintiffs also claim that prior to the toast, they had observed supervisors and other Lehigh County employees use, possess, or distribute alcohol on county property without any discipline….</w:t>
      </w:r>
    </w:p>
    <w:p w14:paraId="66FD186D" w14:textId="77777777" w:rsidR="00F55395" w:rsidRDefault="00F55395" w:rsidP="00F55395">
      <w:pPr>
        <w:pStyle w:val="NormalWeb"/>
        <w:ind w:left="720"/>
      </w:pPr>
      <w:r>
        <w:t>***</w:t>
      </w:r>
    </w:p>
    <w:p w14:paraId="169EEF28" w14:textId="77777777" w:rsidR="00F55395" w:rsidRDefault="00F55395" w:rsidP="00F55395">
      <w:pPr>
        <w:pStyle w:val="NormalWeb"/>
        <w:ind w:left="720"/>
      </w:pPr>
      <w:r>
        <w:t>On January 21, 2020, Plaintiffs were all ordered to attend individual meetings with Redding the next day…. Plaintiffs claim that during these meetings with Redding, they learned that county supervisors were alleging they had “drinking problems….” During these meetings, Plaintiffs Zucal, Francis C. Gatens, Geiger, Landis and Palmer were told their positions were being terminated and they were given an opportunity to resign….These plaintiffs claim Redding told them they could reapply for their positions, and that resignation would look better than termination…. They subsequently resigned, wrote a resignation letter, and immediately applied for reinstatement…. Plaintiffs claim the applications for reinstatement were ignored and dismissed….During their meetings with Redding that day, Plaintiffs David M. Gatens and Kirchner were informed their employment was being terminated and were subsequently escorted from the premises.”</w:t>
      </w:r>
    </w:p>
    <w:p w14:paraId="6A499809" w14:textId="77777777" w:rsidR="00F55395" w:rsidRPr="00D35EF0" w:rsidRDefault="00F55395" w:rsidP="00F55395">
      <w:pPr>
        <w:pStyle w:val="NormalWeb"/>
        <w:rPr>
          <w:b/>
          <w:bCs/>
        </w:rPr>
      </w:pPr>
      <w:r w:rsidRPr="00D35EF0">
        <w:rPr>
          <w:b/>
          <w:bCs/>
        </w:rPr>
        <w:t xml:space="preserve">Legal Lesson Learned:  </w:t>
      </w:r>
      <w:r>
        <w:rPr>
          <w:b/>
          <w:bCs/>
        </w:rPr>
        <w:t xml:space="preserve">Dispatchers drinking alcohol on duty, of any amount, can lead to termination. </w:t>
      </w:r>
    </w:p>
    <w:p w14:paraId="245A8E8D" w14:textId="77777777" w:rsidR="00F55395" w:rsidRPr="00D35EF0" w:rsidRDefault="00F55395" w:rsidP="00F55395">
      <w:pPr>
        <w:pStyle w:val="Heading1"/>
        <w:ind w:left="720"/>
        <w:rPr>
          <w:b w:val="0"/>
          <w:bCs w:val="0"/>
          <w:sz w:val="24"/>
          <w:szCs w:val="24"/>
        </w:rPr>
      </w:pPr>
      <w:r w:rsidRPr="00D35EF0">
        <w:rPr>
          <w:b w:val="0"/>
          <w:bCs w:val="0"/>
          <w:sz w:val="24"/>
          <w:szCs w:val="24"/>
        </w:rPr>
        <w:lastRenderedPageBreak/>
        <w:t xml:space="preserve">Note: See </w:t>
      </w:r>
      <w:r>
        <w:rPr>
          <w:b w:val="0"/>
          <w:bCs w:val="0"/>
          <w:sz w:val="24"/>
          <w:szCs w:val="24"/>
        </w:rPr>
        <w:t xml:space="preserve">Oct. 22, </w:t>
      </w:r>
      <w:proofErr w:type="gramStart"/>
      <w:r>
        <w:rPr>
          <w:b w:val="0"/>
          <w:bCs w:val="0"/>
          <w:sz w:val="24"/>
          <w:szCs w:val="24"/>
        </w:rPr>
        <w:t>2021</w:t>
      </w:r>
      <w:proofErr w:type="gramEnd"/>
      <w:r>
        <w:rPr>
          <w:b w:val="0"/>
          <w:bCs w:val="0"/>
          <w:sz w:val="24"/>
          <w:szCs w:val="24"/>
        </w:rPr>
        <w:t xml:space="preserve"> </w:t>
      </w:r>
      <w:r w:rsidRPr="00D35EF0">
        <w:rPr>
          <w:b w:val="0"/>
          <w:bCs w:val="0"/>
          <w:sz w:val="24"/>
          <w:szCs w:val="24"/>
        </w:rPr>
        <w:t>article</w:t>
      </w:r>
      <w:r>
        <w:rPr>
          <w:b w:val="0"/>
          <w:bCs w:val="0"/>
          <w:sz w:val="24"/>
          <w:szCs w:val="24"/>
        </w:rPr>
        <w:t>, “</w:t>
      </w:r>
      <w:r w:rsidRPr="00D35EF0">
        <w:rPr>
          <w:b w:val="0"/>
          <w:bCs w:val="0"/>
          <w:sz w:val="24"/>
          <w:szCs w:val="24"/>
        </w:rPr>
        <w:t>Lehigh County Pushes Back Against Lawsuit Alleging that Racism, Negligence at Emergency Call Center Led to Deaths</w:t>
      </w:r>
      <w:r>
        <w:rPr>
          <w:b w:val="0"/>
          <w:bCs w:val="0"/>
          <w:sz w:val="24"/>
          <w:szCs w:val="24"/>
        </w:rPr>
        <w:t xml:space="preserve">.” </w:t>
      </w:r>
      <w:hyperlink r:id="rId1975" w:history="1">
        <w:r w:rsidRPr="005C1F1B">
          <w:rPr>
            <w:rStyle w:val="Hyperlink"/>
            <w:rFonts w:eastAsiaTheme="majorEastAsia"/>
            <w:b w:val="0"/>
            <w:bCs w:val="0"/>
            <w:sz w:val="24"/>
            <w:szCs w:val="24"/>
          </w:rPr>
          <w:t>https://lawandcrime.com/lawsuit/racism-negligence-at-pennsylvania-emergency-call-center-led-to-deaths-lawsuit/</w:t>
        </w:r>
      </w:hyperlink>
      <w:r>
        <w:rPr>
          <w:b w:val="0"/>
          <w:bCs w:val="0"/>
          <w:sz w:val="24"/>
          <w:szCs w:val="24"/>
        </w:rPr>
        <w:t xml:space="preserve"> </w:t>
      </w:r>
    </w:p>
    <w:p w14:paraId="00F91500" w14:textId="77777777" w:rsidR="00F55395" w:rsidRDefault="00F55395" w:rsidP="00F326E5">
      <w:pPr>
        <w:rPr>
          <w:rFonts w:ascii="Arial Black" w:hAnsi="Arial Black"/>
          <w:b/>
          <w:sz w:val="24"/>
          <w:szCs w:val="24"/>
        </w:rPr>
      </w:pPr>
    </w:p>
    <w:p w14:paraId="6F3D7CD2" w14:textId="77777777" w:rsidR="00F55395" w:rsidRDefault="00F55395" w:rsidP="00F326E5">
      <w:pPr>
        <w:rPr>
          <w:rFonts w:ascii="Arial Black" w:hAnsi="Arial Black"/>
          <w:b/>
          <w:sz w:val="24"/>
          <w:szCs w:val="24"/>
        </w:rPr>
      </w:pPr>
    </w:p>
    <w:p w14:paraId="74BE185E" w14:textId="52D27774" w:rsidR="00D47B53" w:rsidRDefault="00D47B53" w:rsidP="00F326E5">
      <w:pPr>
        <w:rPr>
          <w:rFonts w:ascii="Arial Black" w:hAnsi="Arial Black"/>
          <w:b/>
          <w:sz w:val="24"/>
          <w:szCs w:val="24"/>
        </w:rPr>
      </w:pPr>
      <w:r>
        <w:rPr>
          <w:rFonts w:ascii="Arial Black" w:hAnsi="Arial Black"/>
          <w:b/>
          <w:sz w:val="24"/>
          <w:szCs w:val="24"/>
        </w:rPr>
        <w:t>12-20</w:t>
      </w:r>
    </w:p>
    <w:p w14:paraId="75EA4B90" w14:textId="77777777" w:rsidR="00D47B53" w:rsidRDefault="00D47B53" w:rsidP="00D47B53">
      <w:pPr>
        <w:pStyle w:val="NormalWeb"/>
      </w:pPr>
      <w:bookmarkStart w:id="415" w:name="_Hlk120878043"/>
      <w:r>
        <w:rPr>
          <w:rFonts w:ascii="Arial Black" w:hAnsi="Arial Black"/>
          <w:sz w:val="28"/>
          <w:szCs w:val="28"/>
        </w:rPr>
        <w:t>CT: FF BREACHED LAST CHANCE AGREEMENT – FIRED – PRESCRIPTION MARIJUANA – WINS UNEMPLOYMENT</w:t>
      </w:r>
      <w:r>
        <w:t xml:space="preserve"> </w:t>
      </w:r>
    </w:p>
    <w:p w14:paraId="3861BE3C" w14:textId="77777777" w:rsidR="00D47B53" w:rsidRDefault="00D47B53" w:rsidP="00D47B53">
      <w:pPr>
        <w:pStyle w:val="NormalWeb"/>
      </w:pPr>
      <w:r>
        <w:t xml:space="preserve">On Nov. 29, 2022, in </w:t>
      </w:r>
      <w:r w:rsidRPr="00544DBB">
        <w:rPr>
          <w:u w:val="single"/>
        </w:rPr>
        <w:t>City of Waterbury v. Administrator, Unemployment Compensation Act, et al.</w:t>
      </w:r>
      <w:r>
        <w:t xml:space="preserve">, the Court of Appeals of Connecticut held (3 to 0) that the referee decision and the Board of Review correctly held that firefighter </w:t>
      </w:r>
      <w:r w:rsidRPr="00AC0FB0">
        <w:t>Thomas F. Eccleston II, fired for use of marijuana, was</w:t>
      </w:r>
      <w:r>
        <w:t xml:space="preserve"> entitled to unemployment compensation. He was using prescribed marijuana under the state’s Palliative Use of Marijuana Act (PUMA); the Last Chance Agreement was signed prior to new marijuana prescription statute.   Under state law, employees may receive unemployment unless not discharged for “</w:t>
      </w:r>
      <w:proofErr w:type="spellStart"/>
      <w:r>
        <w:t>wilful</w:t>
      </w:r>
      <w:proofErr w:type="spellEnd"/>
      <w:r>
        <w:t xml:space="preserve"> misconduct.” </w:t>
      </w:r>
    </w:p>
    <w:p w14:paraId="18CBE56E" w14:textId="77777777" w:rsidR="00D47B53" w:rsidRDefault="00D47B53" w:rsidP="00D47B53">
      <w:pPr>
        <w:pStyle w:val="NormalWeb"/>
        <w:ind w:left="720"/>
      </w:pPr>
      <w:r>
        <w:t xml:space="preserve">“It is undisputed that the claimant is a qualifying patient entitled to protections under PUMA, which likewise entails protection against employment penalties resulting from the claimant's legal, off-duty use of medical marijuana. General Statutes § 21a-408p (b) (3); see also General Statutes § 21a-408a (a) (‘ [a] qualifying patient who has a valid registration certificate from the Department of Consumer Protection . . . and complies with the requirements of [PUMA] . . . shall not be subject to arrest or prosecution, penalized in any manner, including, but not limited to, being subject to any civil penalty, or denied any right or privilege, including, but not limited to, being subject to any disciplinary action by a professional licensing board, for the palliative </w:t>
      </w:r>
      <w:r>
        <w:rPr>
          <w:rStyle w:val="Emphasis"/>
        </w:rPr>
        <w:t>use</w:t>
      </w:r>
      <w:r>
        <w:t xml:space="preserve"> of marijuana’ (emphasis added)). Consequently, the board reasonably concluded that, insofar as the last chance agreement operated to allow the plaintiff to terminate the claimant's employment for his palliative use of marijuana, it was unreasonable. See Regs., Conn. State Agencies § 31-236-26b (d). Further, the unreasonable application of the last chance agreement to the claimant's palliative marijuana use forecloses the possibility that the claimant's employment was terminated for </w:t>
      </w:r>
      <w:proofErr w:type="spellStart"/>
      <w:r>
        <w:t>wilful</w:t>
      </w:r>
      <w:proofErr w:type="spellEnd"/>
      <w:r>
        <w:t xml:space="preserve"> misconduct. See General Statutes § 31-236 (a) (16).</w:t>
      </w:r>
      <w:r>
        <w:rPr>
          <w:vertAlign w:val="superscript"/>
        </w:rPr>
        <w:t xml:space="preserve">” </w:t>
      </w:r>
      <w:hyperlink r:id="rId1976" w:history="1">
        <w:r w:rsidRPr="00AF231E">
          <w:rPr>
            <w:rStyle w:val="Hyperlink"/>
            <w:rFonts w:eastAsiaTheme="majorEastAsia"/>
          </w:rPr>
          <w:t>https://www.jud.ct.gov/external/supapp/Cases/AROap/AP216/216AP25.pdf</w:t>
        </w:r>
      </w:hyperlink>
      <w:r>
        <w:t xml:space="preserve"> </w:t>
      </w:r>
    </w:p>
    <w:bookmarkEnd w:id="415"/>
    <w:p w14:paraId="1D75FEF6" w14:textId="77777777" w:rsidR="00D47B53" w:rsidRPr="00F5602A" w:rsidRDefault="00D47B53" w:rsidP="00D47B53">
      <w:pPr>
        <w:pStyle w:val="NormalWeb"/>
        <w:rPr>
          <w:b/>
          <w:bCs/>
        </w:rPr>
      </w:pPr>
      <w:r w:rsidRPr="00F5602A">
        <w:rPr>
          <w:b/>
          <w:bCs/>
        </w:rPr>
        <w:t>Legal Lesson Learned:</w:t>
      </w:r>
      <w:r>
        <w:rPr>
          <w:b/>
          <w:bCs/>
        </w:rPr>
        <w:t xml:space="preserve"> The last chance agreement was signed prior to the State’s new palliative marijuana legislation; future last chance agreements should address prescription marijuana. </w:t>
      </w:r>
    </w:p>
    <w:p w14:paraId="79CB2FF6" w14:textId="77777777" w:rsidR="00D47B53" w:rsidRDefault="00D47B53" w:rsidP="00F326E5">
      <w:pPr>
        <w:rPr>
          <w:rFonts w:ascii="Arial Black" w:hAnsi="Arial Black"/>
          <w:b/>
          <w:sz w:val="24"/>
          <w:szCs w:val="24"/>
        </w:rPr>
      </w:pPr>
    </w:p>
    <w:p w14:paraId="5E27A2D7" w14:textId="77777777" w:rsidR="00D47B53" w:rsidRDefault="00D47B53" w:rsidP="00F326E5">
      <w:pPr>
        <w:rPr>
          <w:rFonts w:ascii="Arial Black" w:hAnsi="Arial Black"/>
          <w:b/>
          <w:sz w:val="24"/>
          <w:szCs w:val="24"/>
        </w:rPr>
      </w:pPr>
    </w:p>
    <w:p w14:paraId="28A59F4E" w14:textId="3BB9B37D" w:rsidR="00AC5FED" w:rsidRDefault="00AC5FED" w:rsidP="00F326E5">
      <w:pPr>
        <w:rPr>
          <w:rFonts w:ascii="Arial Black" w:hAnsi="Arial Black"/>
          <w:b/>
          <w:sz w:val="24"/>
          <w:szCs w:val="24"/>
        </w:rPr>
      </w:pPr>
      <w:r>
        <w:rPr>
          <w:rFonts w:ascii="Arial Black" w:hAnsi="Arial Black"/>
          <w:b/>
          <w:sz w:val="24"/>
          <w:szCs w:val="24"/>
        </w:rPr>
        <w:t>12-19</w:t>
      </w:r>
    </w:p>
    <w:p w14:paraId="7A191B74" w14:textId="77777777" w:rsidR="00AC5FED" w:rsidRDefault="00AC5FED" w:rsidP="00AC5FED">
      <w:pPr>
        <w:pStyle w:val="NormalWeb"/>
        <w:rPr>
          <w:rFonts w:ascii="Arial Black" w:hAnsi="Arial Black"/>
          <w:b/>
          <w:bCs/>
          <w:sz w:val="28"/>
          <w:szCs w:val="28"/>
        </w:rPr>
      </w:pPr>
      <w:r>
        <w:rPr>
          <w:rFonts w:ascii="Arial Black" w:hAnsi="Arial Black"/>
          <w:b/>
          <w:bCs/>
          <w:sz w:val="28"/>
          <w:szCs w:val="28"/>
        </w:rPr>
        <w:t>FL: DRUG OVERDOSE / 911 CALLED - GOOD SAMARITAN ACT DOES NOT PREVENT PD ARREST OUTSTANDING WARRANT</w:t>
      </w:r>
    </w:p>
    <w:p w14:paraId="303F189E" w14:textId="77777777" w:rsidR="00AC5FED" w:rsidRDefault="00AC5FED" w:rsidP="00AC5FED">
      <w:pPr>
        <w:pStyle w:val="NormalWeb"/>
        <w:rPr>
          <w:rFonts w:eastAsiaTheme="minorHAnsi"/>
        </w:rPr>
      </w:pPr>
      <w:r>
        <w:lastRenderedPageBreak/>
        <w:t xml:space="preserve">On Sept. 23, 2022, in </w:t>
      </w:r>
      <w:r>
        <w:rPr>
          <w:u w:val="single"/>
        </w:rPr>
        <w:t>State of Florida v. Anthony L. Waiters</w:t>
      </w:r>
      <w:r>
        <w:t xml:space="preserve">, the Florida Court of Appeals, Second District, held (3 to 0) that the trial court improperly dismissed </w:t>
      </w:r>
      <w:r>
        <w:rPr>
          <w:rFonts w:eastAsiaTheme="minorHAnsi"/>
        </w:rPr>
        <w:t xml:space="preserve">the drug-related offenses under the 911 Good Samaritan Act, § 893.21(2), Fla. Stat. (2020). </w:t>
      </w:r>
    </w:p>
    <w:p w14:paraId="72DF42F8" w14:textId="29F24255" w:rsidR="00AC5FED" w:rsidRPr="00AC5FED" w:rsidRDefault="00AC5FED" w:rsidP="00AC5FED">
      <w:pPr>
        <w:ind w:left="720"/>
        <w:rPr>
          <w:rStyle w:val="Hyperlink"/>
          <w:rFonts w:ascii="Times New Roman" w:hAnsi="Times New Roman"/>
          <w:sz w:val="24"/>
          <w:szCs w:val="24"/>
        </w:rPr>
      </w:pPr>
      <w:r w:rsidRPr="00AC5FED">
        <w:rPr>
          <w:rFonts w:ascii="Times New Roman" w:eastAsiaTheme="minorHAnsi" w:hAnsi="Times New Roman"/>
          <w:sz w:val="24"/>
          <w:szCs w:val="24"/>
        </w:rPr>
        <w:t>“[T]</w:t>
      </w:r>
      <w:r w:rsidRPr="00AC5FED">
        <w:rPr>
          <w:rFonts w:ascii="Times New Roman" w:hAnsi="Times New Roman"/>
          <w:sz w:val="24"/>
          <w:szCs w:val="24"/>
        </w:rPr>
        <w:t xml:space="preserve">he legislature did not intend to immunize individuals seeking medical assistance for a drug overdose from arrest pursuant to an outstanding arrest warrant.” </w:t>
      </w:r>
      <w:hyperlink r:id="rId1977" w:history="1">
        <w:r w:rsidRPr="00AC5FED">
          <w:rPr>
            <w:rStyle w:val="Hyperlink"/>
            <w:rFonts w:ascii="Times New Roman" w:hAnsi="Times New Roman"/>
            <w:sz w:val="24"/>
            <w:szCs w:val="24"/>
          </w:rPr>
          <w:t>https://www.2dca.org/content/download/849844/opinion/211477_DC13_09232022_081840_i.pdf</w:t>
        </w:r>
      </w:hyperlink>
    </w:p>
    <w:p w14:paraId="0502456E" w14:textId="77777777" w:rsidR="00AC5FED" w:rsidRDefault="00AC5FED" w:rsidP="00AC5FED">
      <w:pPr>
        <w:pStyle w:val="NormalWeb"/>
        <w:rPr>
          <w:b/>
          <w:bCs/>
        </w:rPr>
      </w:pPr>
      <w:r>
        <w:rPr>
          <w:b/>
          <w:bCs/>
        </w:rPr>
        <w:t>Legal Lesson Learned: Several states have enacted drug overdose “Good Samaritan Acts.”  In Florida, you are still subject to arrest for an outstanding warrant.</w:t>
      </w:r>
    </w:p>
    <w:p w14:paraId="432E2EE7" w14:textId="77777777" w:rsidR="00AC5FED" w:rsidRPr="00AC5FED" w:rsidRDefault="00AC5FED" w:rsidP="00AC5FED">
      <w:pPr>
        <w:pStyle w:val="NormalWeb"/>
      </w:pPr>
      <w:r>
        <w:rPr>
          <w:b/>
          <w:bCs/>
        </w:rPr>
        <w:tab/>
      </w:r>
      <w:r w:rsidRPr="00AC5FED">
        <w:t>Note: See Court’s Opinion, footnote 4:</w:t>
      </w:r>
    </w:p>
    <w:p w14:paraId="4B1BCFDE" w14:textId="5DCA389F" w:rsidR="00AC5FED" w:rsidRPr="00AC5FED" w:rsidRDefault="00AC5FED" w:rsidP="00AC5FED">
      <w:pPr>
        <w:ind w:left="720"/>
        <w:rPr>
          <w:rFonts w:ascii="Times New Roman" w:hAnsi="Times New Roman"/>
          <w:b/>
          <w:sz w:val="24"/>
          <w:szCs w:val="24"/>
        </w:rPr>
      </w:pPr>
      <w:r w:rsidRPr="00AC5FED">
        <w:rPr>
          <w:rFonts w:ascii="Times New Roman" w:eastAsiaTheme="minorHAnsi" w:hAnsi="Times New Roman"/>
          <w:sz w:val="24"/>
          <w:szCs w:val="24"/>
        </w:rPr>
        <w:t xml:space="preserve">“Other states have adopted similar laws; however, the statutory language in some is more explicit. </w:t>
      </w:r>
      <w:r w:rsidRPr="00AC5FED">
        <w:rPr>
          <w:rFonts w:ascii="Times New Roman" w:eastAsiaTheme="minorHAnsi" w:hAnsi="Times New Roman"/>
          <w:i/>
          <w:iCs/>
          <w:sz w:val="24"/>
          <w:szCs w:val="24"/>
        </w:rPr>
        <w:t>See</w:t>
      </w:r>
      <w:r w:rsidRPr="00AC5FED">
        <w:rPr>
          <w:rFonts w:ascii="Times New Roman" w:eastAsiaTheme="minorHAnsi" w:hAnsi="Times New Roman"/>
          <w:sz w:val="24"/>
          <w:szCs w:val="24"/>
        </w:rPr>
        <w:t xml:space="preserve">, </w:t>
      </w:r>
      <w:r w:rsidRPr="00AC5FED">
        <w:rPr>
          <w:rFonts w:ascii="Times New Roman" w:eastAsiaTheme="minorHAnsi" w:hAnsi="Times New Roman"/>
          <w:i/>
          <w:iCs/>
          <w:sz w:val="24"/>
          <w:szCs w:val="24"/>
        </w:rPr>
        <w:t>e.g.</w:t>
      </w:r>
      <w:r w:rsidRPr="00AC5FED">
        <w:rPr>
          <w:rFonts w:ascii="Times New Roman" w:eastAsiaTheme="minorHAnsi" w:hAnsi="Times New Roman"/>
          <w:sz w:val="24"/>
          <w:szCs w:val="24"/>
        </w:rPr>
        <w:t xml:space="preserve">, Ga. Code Ann. § 16-13-5(b) (West 2014) (‘Any person who is experiencing a drug overdose and, in good faith, seeks medical assistance for himself or herself or is the subject of such a request shall not be arrested, charged, or prosecuted for a drug violation if the evidence for the arrest, charge, or prosecution of such drug violation </w:t>
      </w:r>
      <w:r w:rsidRPr="00AC5FED">
        <w:rPr>
          <w:rFonts w:ascii="Times New Roman" w:eastAsiaTheme="minorHAnsi" w:hAnsi="Times New Roman"/>
          <w:i/>
          <w:iCs/>
          <w:sz w:val="24"/>
          <w:szCs w:val="24"/>
        </w:rPr>
        <w:t>resulted solely from</w:t>
      </w:r>
      <w:r w:rsidRPr="00AC5FED">
        <w:rPr>
          <w:rFonts w:ascii="Times New Roman" w:eastAsiaTheme="minorHAnsi" w:hAnsi="Times New Roman"/>
          <w:sz w:val="24"/>
          <w:szCs w:val="24"/>
        </w:rPr>
        <w:t xml:space="preserve"> seeking such medical assistance.’ (emphasis added)); Md. Code Ann., Crim. Proc. § 1-210(b) (West 2016) (‘A person who, in good faith, seeks, provides, or assists with the provision of medical assistance for a person reasonably believed to be experiencing a medical emergency after ingesting or using alcohol or drugs shall be immune from criminal arrest, charge, or prosecution for a violation of § 5-601, § 5-619, § 5-620, § 10-114, § 10-116, or § 10-117 of the Criminal Law Article if the evidence for the criminal arrest, charge, or prosecution was obtained </w:t>
      </w:r>
      <w:r w:rsidRPr="00AC5FED">
        <w:rPr>
          <w:rFonts w:ascii="Times New Roman" w:eastAsiaTheme="minorHAnsi" w:hAnsi="Times New Roman"/>
          <w:i/>
          <w:iCs/>
          <w:sz w:val="24"/>
          <w:szCs w:val="24"/>
        </w:rPr>
        <w:t>solely as a result</w:t>
      </w:r>
      <w:r w:rsidRPr="00AC5FED">
        <w:rPr>
          <w:rFonts w:ascii="Times New Roman" w:eastAsiaTheme="minorHAnsi" w:hAnsi="Times New Roman"/>
          <w:sz w:val="24"/>
          <w:szCs w:val="24"/>
        </w:rPr>
        <w:t xml:space="preserve"> of the person's seeking, providing, or assisting with the provision of medical assistance.’ (emphasis added)); N.H. Rev. Stat. Ann. § 318-B:28-b (2021) (creating a defense to enumerated drug possession charges ‘if the evidence for the charge was gained as a </w:t>
      </w:r>
      <w:r w:rsidRPr="00AC5FED">
        <w:rPr>
          <w:rFonts w:ascii="Times New Roman" w:eastAsiaTheme="minorHAnsi" w:hAnsi="Times New Roman"/>
          <w:i/>
          <w:iCs/>
          <w:sz w:val="24"/>
          <w:szCs w:val="24"/>
        </w:rPr>
        <w:t>proximate result</w:t>
      </w:r>
      <w:r w:rsidRPr="00AC5FED">
        <w:rPr>
          <w:rFonts w:ascii="Times New Roman" w:eastAsiaTheme="minorHAnsi" w:hAnsi="Times New Roman"/>
          <w:sz w:val="24"/>
          <w:szCs w:val="24"/>
        </w:rPr>
        <w:t xml:space="preserve"> of the request for medical assistance or the report to law enforcement’ (emphasis added)).”</w:t>
      </w:r>
    </w:p>
    <w:p w14:paraId="66DE406D" w14:textId="77777777" w:rsidR="00AC5FED" w:rsidRDefault="00AC5FED" w:rsidP="00F326E5">
      <w:pPr>
        <w:rPr>
          <w:rFonts w:ascii="Arial Black" w:hAnsi="Arial Black"/>
          <w:b/>
          <w:sz w:val="24"/>
          <w:szCs w:val="24"/>
        </w:rPr>
      </w:pPr>
    </w:p>
    <w:p w14:paraId="65F010A6" w14:textId="77777777" w:rsidR="00AC5FED" w:rsidRDefault="00AC5FED" w:rsidP="00F326E5">
      <w:pPr>
        <w:rPr>
          <w:rFonts w:ascii="Arial Black" w:hAnsi="Arial Black"/>
          <w:b/>
          <w:sz w:val="24"/>
          <w:szCs w:val="24"/>
        </w:rPr>
      </w:pPr>
    </w:p>
    <w:p w14:paraId="55F8EA15" w14:textId="775A8011" w:rsidR="007F3F5A" w:rsidRDefault="00A707E2" w:rsidP="00F326E5">
      <w:pPr>
        <w:rPr>
          <w:rFonts w:ascii="Arial Black" w:hAnsi="Arial Black"/>
          <w:b/>
          <w:sz w:val="24"/>
          <w:szCs w:val="24"/>
        </w:rPr>
      </w:pPr>
      <w:r>
        <w:rPr>
          <w:rFonts w:ascii="Arial Black" w:hAnsi="Arial Black"/>
          <w:b/>
          <w:sz w:val="24"/>
          <w:szCs w:val="24"/>
        </w:rPr>
        <w:t>12-18</w:t>
      </w:r>
    </w:p>
    <w:p w14:paraId="368F49EB" w14:textId="77777777" w:rsidR="00A707E2" w:rsidRDefault="00A707E2" w:rsidP="00A707E2">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NJ: RANDOM DRUG TEST - “INDUSTRY STANDARDS” FOR EQUIPMENT CALIBRATION UNCLEAR - FF REINSTATED</w:t>
      </w:r>
    </w:p>
    <w:p w14:paraId="1D63D7C4" w14:textId="6B4AC4C6" w:rsidR="00A707E2" w:rsidRDefault="00A707E2" w:rsidP="00A707E2">
      <w:pPr>
        <w:rPr>
          <w:rStyle w:val="Hyperlink"/>
          <w:sz w:val="24"/>
          <w:szCs w:val="24"/>
        </w:rPr>
      </w:pPr>
      <w:r>
        <w:rPr>
          <w:rFonts w:ascii="Times New Roman" w:eastAsia="Times New Roman" w:hAnsi="Times New Roman"/>
          <w:sz w:val="24"/>
          <w:szCs w:val="24"/>
        </w:rPr>
        <w:t xml:space="preserve">On June 28, 2022, </w:t>
      </w:r>
      <w:r>
        <w:rPr>
          <w:rFonts w:ascii="Times New Roman" w:eastAsia="Times New Roman" w:hAnsi="Times New Roman"/>
          <w:sz w:val="24"/>
          <w:szCs w:val="24"/>
          <w:u w:val="single"/>
        </w:rPr>
        <w:t>In The Matter Of Eric Beagin, City of Paterson, Fire Department</w:t>
      </w:r>
      <w:r>
        <w:rPr>
          <w:rFonts w:ascii="Times New Roman" w:eastAsia="Times New Roman" w:hAnsi="Times New Roman"/>
          <w:sz w:val="24"/>
          <w:szCs w:val="24"/>
        </w:rPr>
        <w:t>, the Superior Court of New Jersey, Appellate Division, held (2 to 0) the Court stated that the Civil Service Commission’s decisions [reversing Administrative Law Judge who found calibrations of drug testing equipment questionable] “</w:t>
      </w:r>
      <w:r>
        <w:rPr>
          <w:rFonts w:ascii="Times New Roman" w:hAnsi="Times New Roman"/>
          <w:sz w:val="24"/>
          <w:szCs w:val="24"/>
        </w:rPr>
        <w:t xml:space="preserve">are not supported by sufficient, credible evidence in the record and are arbitrary, capricious, and unreasonable. The urine sample was sent to the New Jersey State Toxicology Laboratory (State Lab) and on July 17, 2015, the State Lab reported </w:t>
      </w:r>
      <w:proofErr w:type="spellStart"/>
      <w:r>
        <w:rPr>
          <w:rFonts w:ascii="Times New Roman" w:hAnsi="Times New Roman"/>
          <w:sz w:val="24"/>
          <w:szCs w:val="24"/>
        </w:rPr>
        <w:t>Beagin's</w:t>
      </w:r>
      <w:proofErr w:type="spellEnd"/>
      <w:r>
        <w:rPr>
          <w:rFonts w:ascii="Times New Roman" w:hAnsi="Times New Roman"/>
          <w:sz w:val="24"/>
          <w:szCs w:val="24"/>
        </w:rPr>
        <w:t xml:space="preserve"> random urine screen positive for oxycodone at 114 ng/mL, 14 nanograms over the State Lab's defined cutoff of 100 ng/</w:t>
      </w:r>
      <w:proofErr w:type="spellStart"/>
      <w:r>
        <w:rPr>
          <w:rFonts w:ascii="Times New Roman" w:hAnsi="Times New Roman"/>
          <w:sz w:val="24"/>
          <w:szCs w:val="24"/>
        </w:rPr>
        <w:t>mL.</w:t>
      </w:r>
      <w:proofErr w:type="spellEnd"/>
      <w:r>
        <w:rPr>
          <w:rFonts w:ascii="Times New Roman" w:hAnsi="Times New Roman"/>
          <w:sz w:val="24"/>
          <w:szCs w:val="24"/>
        </w:rPr>
        <w:t xml:space="preserve">  He was immediately suspended.  On March 11 and 15, 2019, a hearing was held before ALJ Celentano. Dr. Robert  Havier, with State Lab for 40 years and Acting Director for 8 years, was cross examined about “industry standards” on calibrating testing equipment used by federal </w:t>
      </w:r>
      <w:r>
        <w:rPr>
          <w:rFonts w:ascii="Times New Roman" w:hAnsi="Times New Roman"/>
          <w:sz w:val="24"/>
          <w:szCs w:val="24"/>
        </w:rPr>
        <w:lastRenderedPageBreak/>
        <w:t xml:space="preserve">government in testing military, but FD never had him write a report on those standards. The ALJ recommended </w:t>
      </w:r>
      <w:proofErr w:type="spellStart"/>
      <w:r>
        <w:rPr>
          <w:rFonts w:ascii="Times New Roman" w:hAnsi="Times New Roman"/>
          <w:sz w:val="24"/>
          <w:szCs w:val="24"/>
        </w:rPr>
        <w:t>Beagin</w:t>
      </w:r>
      <w:proofErr w:type="spellEnd"/>
      <w:r>
        <w:rPr>
          <w:rFonts w:ascii="Times New Roman" w:hAnsi="Times New Roman"/>
          <w:sz w:val="24"/>
          <w:szCs w:val="24"/>
        </w:rPr>
        <w:t xml:space="preserve"> be reinstated to the position of firefighter. The Civil Service Commission rejected the ALJ’s recommendation, placing burden on the firefighter to prove “industry standards” were not followed.  </w:t>
      </w:r>
      <w:hyperlink r:id="rId1978" w:history="1">
        <w:r>
          <w:rPr>
            <w:rStyle w:val="Hyperlink"/>
            <w:sz w:val="24"/>
            <w:szCs w:val="24"/>
          </w:rPr>
          <w:t>https://public.fastcase.com/J%2FJP6pdidelsXxEE4k%2BLMm7PttKNvW62%2BDA0%2BSJrBHAICFIaFusuxX5Jb%2BuxRPK6Bzlob%2BslGSm9QeXJwFgRUwDQqdPl09RLYbpqdskqtWk%3D</w:t>
        </w:r>
      </w:hyperlink>
    </w:p>
    <w:p w14:paraId="1D1093FF" w14:textId="77777777" w:rsidR="00936792" w:rsidRDefault="00936792" w:rsidP="00936792">
      <w:pPr>
        <w:spacing w:after="100" w:line="240" w:lineRule="auto"/>
        <w:rPr>
          <w:rFonts w:ascii="Times New Roman" w:hAnsi="Times New Roman"/>
          <w:sz w:val="24"/>
          <w:szCs w:val="24"/>
        </w:rPr>
      </w:pPr>
      <w:r>
        <w:rPr>
          <w:rFonts w:ascii="Times New Roman" w:hAnsi="Times New Roman"/>
          <w:b/>
          <w:bCs/>
          <w:sz w:val="24"/>
          <w:szCs w:val="24"/>
        </w:rPr>
        <w:t xml:space="preserve">Legal Lesson Learned: Since the main issue was “industry standards” on calibration of testing equipment, the State Lab expert should have been asked to provide a report to the ALJ on those standards.  </w:t>
      </w:r>
    </w:p>
    <w:p w14:paraId="200A6472" w14:textId="77777777" w:rsidR="00936792" w:rsidRPr="004535AA" w:rsidRDefault="00936792" w:rsidP="00936792">
      <w:pPr>
        <w:pStyle w:val="Heading1"/>
        <w:ind w:left="720"/>
        <w:rPr>
          <w:b w:val="0"/>
          <w:bCs w:val="0"/>
          <w:sz w:val="24"/>
          <w:szCs w:val="24"/>
        </w:rPr>
      </w:pPr>
      <w:r>
        <w:rPr>
          <w:b w:val="0"/>
          <w:bCs w:val="0"/>
          <w:sz w:val="24"/>
          <w:szCs w:val="24"/>
        </w:rPr>
        <w:t xml:space="preserve">Note: See article after ALJ decision: “Judge orders Paterson firefighter terminated for failing drug test reinstated” (Dec. 9, 2019): </w:t>
      </w:r>
      <w:hyperlink r:id="rId1979" w:history="1">
        <w:r w:rsidRPr="004535AA">
          <w:rPr>
            <w:rStyle w:val="Hyperlink"/>
            <w:b w:val="0"/>
            <w:bCs w:val="0"/>
            <w:sz w:val="24"/>
            <w:szCs w:val="24"/>
          </w:rPr>
          <w:t>https://patersontimes.com/2019/12/09/judge-orders-paterson-firefighter-terminated-for-failing-drug-test-reinstated/</w:t>
        </w:r>
      </w:hyperlink>
      <w:r w:rsidRPr="004535AA">
        <w:rPr>
          <w:b w:val="0"/>
          <w:bCs w:val="0"/>
          <w:sz w:val="24"/>
          <w:szCs w:val="24"/>
        </w:rPr>
        <w:t xml:space="preserve"> </w:t>
      </w:r>
    </w:p>
    <w:p w14:paraId="49CE837F" w14:textId="77777777" w:rsidR="00A707E2" w:rsidRDefault="00A707E2" w:rsidP="00A707E2">
      <w:pPr>
        <w:rPr>
          <w:rFonts w:ascii="Arial Black" w:hAnsi="Arial Black"/>
          <w:b/>
          <w:sz w:val="24"/>
          <w:szCs w:val="24"/>
        </w:rPr>
      </w:pPr>
    </w:p>
    <w:p w14:paraId="2D2D90EB" w14:textId="1E43D974" w:rsidR="007F3F5A" w:rsidRDefault="007F3F5A" w:rsidP="00F326E5">
      <w:pPr>
        <w:rPr>
          <w:rFonts w:ascii="Arial Black" w:hAnsi="Arial Black"/>
          <w:b/>
          <w:sz w:val="24"/>
          <w:szCs w:val="24"/>
        </w:rPr>
      </w:pPr>
      <w:r>
        <w:rPr>
          <w:rFonts w:ascii="Arial Black" w:hAnsi="Arial Black"/>
          <w:b/>
          <w:sz w:val="24"/>
          <w:szCs w:val="24"/>
        </w:rPr>
        <w:t>12-17</w:t>
      </w:r>
    </w:p>
    <w:p w14:paraId="0244E688" w14:textId="77777777" w:rsidR="00A707E2" w:rsidRDefault="00A707E2" w:rsidP="00A707E2">
      <w:pPr>
        <w:pStyle w:val="Heading1"/>
        <w:jc w:val="both"/>
        <w:rPr>
          <w:rFonts w:ascii="Arial Black" w:hAnsi="Arial Black"/>
          <w:b w:val="0"/>
          <w:bCs w:val="0"/>
          <w:sz w:val="28"/>
          <w:szCs w:val="28"/>
        </w:rPr>
      </w:pPr>
      <w:bookmarkStart w:id="416" w:name="_Hlk107815505"/>
      <w:r>
        <w:rPr>
          <w:rFonts w:ascii="Arial Black" w:hAnsi="Arial Black"/>
          <w:b w:val="0"/>
          <w:bCs w:val="0"/>
          <w:sz w:val="28"/>
          <w:szCs w:val="28"/>
        </w:rPr>
        <w:t xml:space="preserve">U.S. SUP. COURT: THREE “PAIN MILL” DOCTORS – RE-TRIAL - MUST PROVE KNEW ACTING IN “UNAUHORIZED MANNER” </w:t>
      </w:r>
    </w:p>
    <w:p w14:paraId="284C940C" w14:textId="109E851B" w:rsidR="00A707E2" w:rsidRDefault="00A707E2" w:rsidP="00A707E2">
      <w:pPr>
        <w:pStyle w:val="Heading1"/>
        <w:rPr>
          <w:rStyle w:val="markedcontent"/>
          <w:sz w:val="24"/>
          <w:szCs w:val="24"/>
        </w:rPr>
      </w:pPr>
      <w:r>
        <w:rPr>
          <w:b w:val="0"/>
          <w:bCs w:val="0"/>
          <w:sz w:val="24"/>
          <w:szCs w:val="24"/>
        </w:rPr>
        <w:t xml:space="preserve">On June 27, 2022, in </w:t>
      </w:r>
      <w:proofErr w:type="spellStart"/>
      <w:r>
        <w:rPr>
          <w:b w:val="0"/>
          <w:bCs w:val="0"/>
          <w:sz w:val="24"/>
          <w:szCs w:val="24"/>
          <w:u w:val="single"/>
        </w:rPr>
        <w:t>Xiulu</w:t>
      </w:r>
      <w:proofErr w:type="spellEnd"/>
      <w:r>
        <w:rPr>
          <w:b w:val="0"/>
          <w:bCs w:val="0"/>
          <w:sz w:val="24"/>
          <w:szCs w:val="24"/>
          <w:u w:val="single"/>
        </w:rPr>
        <w:t xml:space="preserve"> Ruan v. United States</w:t>
      </w:r>
      <w:r>
        <w:rPr>
          <w:b w:val="0"/>
          <w:bCs w:val="0"/>
          <w:sz w:val="24"/>
          <w:szCs w:val="24"/>
        </w:rPr>
        <w:t xml:space="preserve">, the U.S. Supreme Court held (9 to 0) that a Mobile, Alabama pain mill doctor, </w:t>
      </w:r>
      <w:proofErr w:type="spellStart"/>
      <w:r>
        <w:rPr>
          <w:rStyle w:val="markedcontent"/>
          <w:b w:val="0"/>
          <w:bCs w:val="0"/>
          <w:sz w:val="24"/>
          <w:szCs w:val="24"/>
        </w:rPr>
        <w:t>Xiulu</w:t>
      </w:r>
      <w:proofErr w:type="spellEnd"/>
      <w:r>
        <w:rPr>
          <w:rStyle w:val="markedcontent"/>
          <w:b w:val="0"/>
          <w:bCs w:val="0"/>
          <w:sz w:val="24"/>
          <w:szCs w:val="24"/>
        </w:rPr>
        <w:t xml:space="preserve"> Ruan, who was sentenced in to 21 years in federal prison in 2017 and pain mill doctor from Arizona and Wyoming, Dr. Shakeel Kahn, 25 years in prison, may be entitled to new trials because the jury instructions did not clearly state the Government must prove they were acting in an “unauthorized manner” when issuing thousands of proscriptions, including for fentanyl. </w:t>
      </w:r>
      <w:hyperlink r:id="rId1980" w:history="1">
        <w:r>
          <w:rPr>
            <w:rStyle w:val="Hyperlink"/>
            <w:sz w:val="24"/>
            <w:szCs w:val="24"/>
          </w:rPr>
          <w:t>https://www.supremecourt.gov/opinions/21pdf/20-1410_1an2.pdf</w:t>
        </w:r>
      </w:hyperlink>
      <w:r>
        <w:rPr>
          <w:rStyle w:val="markedcontent"/>
          <w:b w:val="0"/>
          <w:bCs w:val="0"/>
          <w:sz w:val="24"/>
          <w:szCs w:val="24"/>
        </w:rPr>
        <w:t xml:space="preserve">.  Dr. Ruan’s partner, Dr. Patrick Couch, 20 years in prison, had his conviction also set aside, by separate Court order, and will likely also get a new trial. </w:t>
      </w:r>
      <w:hyperlink r:id="rId1981" w:history="1">
        <w:r>
          <w:rPr>
            <w:rStyle w:val="Hyperlink"/>
            <w:sz w:val="24"/>
            <w:szCs w:val="24"/>
          </w:rPr>
          <w:t>https://www.supremecourt.gov/docket/docketfiles/html/public/20-7934.html</w:t>
        </w:r>
      </w:hyperlink>
      <w:r>
        <w:rPr>
          <w:rStyle w:val="markedcontent"/>
          <w:b w:val="0"/>
          <w:bCs w:val="0"/>
          <w:sz w:val="24"/>
          <w:szCs w:val="24"/>
        </w:rPr>
        <w:t xml:space="preserve"> </w:t>
      </w:r>
    </w:p>
    <w:p w14:paraId="1D407EBB" w14:textId="44B1A327" w:rsidR="00A707E2" w:rsidRDefault="00A707E2" w:rsidP="00A707E2">
      <w:pPr>
        <w:pStyle w:val="Heading1"/>
        <w:rPr>
          <w:rStyle w:val="markedcontent"/>
          <w:sz w:val="24"/>
          <w:szCs w:val="24"/>
        </w:rPr>
      </w:pPr>
      <w:bookmarkStart w:id="417" w:name="_Hlk107815724"/>
      <w:bookmarkEnd w:id="416"/>
      <w:r>
        <w:rPr>
          <w:rStyle w:val="markedcontent"/>
          <w:sz w:val="24"/>
          <w:szCs w:val="24"/>
        </w:rPr>
        <w:t xml:space="preserve">Legal Lesson Learned: This decision may impact numerous other “pain mill” physicians. </w:t>
      </w:r>
    </w:p>
    <w:bookmarkEnd w:id="417"/>
    <w:p w14:paraId="3531F9CE" w14:textId="77777777" w:rsidR="00A707E2" w:rsidRDefault="007F3F5A" w:rsidP="00A707E2">
      <w:pPr>
        <w:pStyle w:val="Heading1"/>
        <w:ind w:left="720"/>
        <w:rPr>
          <w:b w:val="0"/>
          <w:bCs w:val="0"/>
        </w:rPr>
      </w:pPr>
      <w:r>
        <w:rPr>
          <w:rStyle w:val="markedcontent"/>
          <w:b w:val="0"/>
          <w:bCs w:val="0"/>
          <w:sz w:val="24"/>
          <w:szCs w:val="24"/>
        </w:rPr>
        <w:t xml:space="preserve"> </w:t>
      </w:r>
      <w:r w:rsidR="00A707E2">
        <w:rPr>
          <w:b w:val="0"/>
          <w:bCs w:val="0"/>
          <w:sz w:val="24"/>
          <w:szCs w:val="24"/>
        </w:rPr>
        <w:t xml:space="preserve">Note: “Mobile doctor’s Supreme Court win could impact other ‘pill mill’ convictions” (June 27, 2022) – VIDEO: </w:t>
      </w:r>
      <w:hyperlink r:id="rId1982" w:history="1">
        <w:r w:rsidR="00A707E2">
          <w:rPr>
            <w:rStyle w:val="Hyperlink"/>
            <w:sz w:val="24"/>
            <w:szCs w:val="24"/>
          </w:rPr>
          <w:t>https://www.fox10tv.com/2022/06/27/mobile-doctors-supreme-court-win-could-impact-other-pill-mill-convictions/</w:t>
        </w:r>
      </w:hyperlink>
      <w:r w:rsidR="00A707E2">
        <w:rPr>
          <w:b w:val="0"/>
          <w:bCs w:val="0"/>
          <w:sz w:val="24"/>
          <w:szCs w:val="24"/>
        </w:rPr>
        <w:t xml:space="preserve"> . “The justices sent the case against Dr. </w:t>
      </w:r>
      <w:proofErr w:type="spellStart"/>
      <w:r w:rsidR="00A707E2">
        <w:rPr>
          <w:b w:val="0"/>
          <w:bCs w:val="0"/>
          <w:sz w:val="24"/>
          <w:szCs w:val="24"/>
        </w:rPr>
        <w:t>Xiulu</w:t>
      </w:r>
      <w:proofErr w:type="spellEnd"/>
      <w:r w:rsidR="00A707E2">
        <w:rPr>
          <w:b w:val="0"/>
          <w:bCs w:val="0"/>
          <w:sz w:val="24"/>
          <w:szCs w:val="24"/>
        </w:rPr>
        <w:t xml:space="preserve"> Ruan back to the Atlanta-based 11th U.S. Circuit Court of Appeals, which likely will instruct a federal judge in Mobile to order a new trial. A spokesman for the U.S. Attorney’s Office in Mobile declined to comment.”</w:t>
      </w:r>
    </w:p>
    <w:p w14:paraId="713499C6" w14:textId="5949159F" w:rsidR="007F3F5A" w:rsidRPr="00A707E2" w:rsidRDefault="00A707E2" w:rsidP="00A707E2">
      <w:pPr>
        <w:pStyle w:val="Heading1"/>
        <w:ind w:left="720"/>
        <w:rPr>
          <w:rStyle w:val="markedcontent"/>
          <w:b w:val="0"/>
          <w:bCs w:val="0"/>
          <w:sz w:val="24"/>
          <w:szCs w:val="24"/>
        </w:rPr>
      </w:pPr>
      <w:r w:rsidRPr="00A707E2">
        <w:rPr>
          <w:b w:val="0"/>
          <w:bCs w:val="0"/>
          <w:sz w:val="24"/>
          <w:szCs w:val="24"/>
        </w:rPr>
        <w:t xml:space="preserve">Regarding Dr. </w:t>
      </w:r>
      <w:r w:rsidRPr="00A707E2">
        <w:rPr>
          <w:rStyle w:val="markedcontent"/>
          <w:b w:val="0"/>
          <w:bCs w:val="0"/>
          <w:sz w:val="24"/>
          <w:szCs w:val="24"/>
        </w:rPr>
        <w:t xml:space="preserve">Shakeel Kahn in Wyoming, see this article: </w:t>
      </w:r>
      <w:r w:rsidRPr="00A707E2">
        <w:rPr>
          <w:b w:val="0"/>
          <w:bCs w:val="0"/>
          <w:sz w:val="24"/>
          <w:szCs w:val="24"/>
        </w:rPr>
        <w:t xml:space="preserve"> “Federal Appellate Court Upholds Former Casper Doctor’s Drug Conspiracy Verdict” (Feb. 23, 2021): </w:t>
      </w:r>
      <w:hyperlink r:id="rId1983" w:history="1">
        <w:r w:rsidRPr="00A707E2">
          <w:rPr>
            <w:rStyle w:val="Hyperlink"/>
            <w:b w:val="0"/>
            <w:bCs w:val="0"/>
            <w:sz w:val="24"/>
            <w:szCs w:val="24"/>
          </w:rPr>
          <w:t>https://k2radio.com/federal-appellate-court-upholds-former-casper-doctors-drug-conspiracy-verdict/</w:t>
        </w:r>
      </w:hyperlink>
      <w:r w:rsidRPr="00A707E2">
        <w:rPr>
          <w:b w:val="0"/>
          <w:bCs w:val="0"/>
          <w:sz w:val="24"/>
          <w:szCs w:val="24"/>
        </w:rPr>
        <w:t xml:space="preserve">.  In late 2016, federal authorities </w:t>
      </w:r>
      <w:proofErr w:type="gramStart"/>
      <w:r w:rsidRPr="00A707E2">
        <w:rPr>
          <w:b w:val="0"/>
          <w:bCs w:val="0"/>
          <w:sz w:val="24"/>
          <w:szCs w:val="24"/>
        </w:rPr>
        <w:t>searched</w:t>
      </w:r>
      <w:proofErr w:type="gramEnd"/>
      <w:r w:rsidRPr="00A707E2">
        <w:rPr>
          <w:b w:val="0"/>
          <w:bCs w:val="0"/>
          <w:sz w:val="24"/>
          <w:szCs w:val="24"/>
        </w:rPr>
        <w:t xml:space="preserve"> the Kahns’ properties in Casper and Arizona, and seized financial and business records, cars, firearms and more than $1 million in cash.</w:t>
      </w:r>
      <w:r w:rsidRPr="00A707E2">
        <w:rPr>
          <w:b w:val="0"/>
          <w:bCs w:val="0"/>
          <w:sz w:val="24"/>
          <w:szCs w:val="24"/>
        </w:rPr>
        <w:br/>
      </w:r>
    </w:p>
    <w:p w14:paraId="2BF9F243" w14:textId="77777777" w:rsidR="007F3F5A" w:rsidRDefault="007F3F5A" w:rsidP="00F326E5">
      <w:pPr>
        <w:rPr>
          <w:rFonts w:ascii="Arial Black" w:hAnsi="Arial Black"/>
          <w:b/>
          <w:sz w:val="24"/>
          <w:szCs w:val="24"/>
        </w:rPr>
      </w:pPr>
    </w:p>
    <w:p w14:paraId="29C56AB0" w14:textId="77777777" w:rsidR="007F3F5A" w:rsidRDefault="007F3F5A" w:rsidP="00F326E5">
      <w:pPr>
        <w:rPr>
          <w:rFonts w:ascii="Arial Black" w:hAnsi="Arial Black"/>
          <w:b/>
          <w:sz w:val="24"/>
          <w:szCs w:val="24"/>
        </w:rPr>
      </w:pPr>
    </w:p>
    <w:p w14:paraId="113351E4" w14:textId="481D5EAA" w:rsidR="00174109" w:rsidRDefault="00174109" w:rsidP="00F326E5">
      <w:pPr>
        <w:rPr>
          <w:rFonts w:ascii="Arial Black" w:hAnsi="Arial Black"/>
          <w:b/>
          <w:sz w:val="24"/>
          <w:szCs w:val="24"/>
        </w:rPr>
      </w:pPr>
      <w:r>
        <w:rPr>
          <w:rFonts w:ascii="Arial Black" w:hAnsi="Arial Black"/>
          <w:b/>
          <w:sz w:val="24"/>
          <w:szCs w:val="24"/>
        </w:rPr>
        <w:lastRenderedPageBreak/>
        <w:t>12-16</w:t>
      </w:r>
    </w:p>
    <w:p w14:paraId="4911B6F8" w14:textId="77777777" w:rsidR="00174109" w:rsidRDefault="00174109" w:rsidP="00174109">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LA: DRUG TEST - EMT FAILED / FIRED - INJURED BACK WITH PATIENT – TOOK WIFE’S BARBITURATE PILLS BEFORE TEST </w:t>
      </w:r>
    </w:p>
    <w:p w14:paraId="47A523BB" w14:textId="77777777" w:rsidR="00174109" w:rsidRPr="00021FC8" w:rsidRDefault="00174109" w:rsidP="00174109">
      <w:pPr>
        <w:spacing w:before="100" w:beforeAutospacing="1" w:after="100" w:afterAutospacing="1" w:line="240" w:lineRule="auto"/>
        <w:rPr>
          <w:rFonts w:ascii="Times New Roman" w:eastAsia="Times New Roman" w:hAnsi="Times New Roman"/>
          <w:sz w:val="24"/>
          <w:szCs w:val="24"/>
        </w:rPr>
      </w:pPr>
      <w:r w:rsidRPr="00021FC8">
        <w:rPr>
          <w:rFonts w:ascii="Times New Roman" w:eastAsia="Times New Roman" w:hAnsi="Times New Roman"/>
          <w:sz w:val="24"/>
          <w:szCs w:val="24"/>
        </w:rPr>
        <w:t xml:space="preserve">On </w:t>
      </w:r>
      <w:r>
        <w:rPr>
          <w:rFonts w:ascii="Times New Roman" w:eastAsia="Times New Roman" w:hAnsi="Times New Roman"/>
          <w:sz w:val="24"/>
          <w:szCs w:val="24"/>
        </w:rPr>
        <w:t xml:space="preserve">Dec. 22, 2021, in </w:t>
      </w:r>
      <w:r w:rsidRPr="00021FC8">
        <w:rPr>
          <w:rFonts w:ascii="Times New Roman" w:eastAsia="Times New Roman" w:hAnsi="Times New Roman"/>
          <w:sz w:val="24"/>
          <w:szCs w:val="24"/>
          <w:u w:val="single"/>
        </w:rPr>
        <w:t>Antoine Dufrene v. Northshore EMS, LLC</w:t>
      </w:r>
      <w:r>
        <w:rPr>
          <w:rFonts w:ascii="Times New Roman" w:eastAsia="Times New Roman" w:hAnsi="Times New Roman"/>
          <w:sz w:val="24"/>
          <w:szCs w:val="24"/>
        </w:rPr>
        <w:t xml:space="preserve">, Court of Appeals of Louisiana, Fire Circuit, held (3 to 0) that trial judge properly granted summary judgment to the employer which terminated the EMT for breach of Drug-Free Workplace policy; plaintiff failed to that he  was fired in retaliation for filing workers comp claim. </w:t>
      </w:r>
    </w:p>
    <w:p w14:paraId="25589C65" w14:textId="77777777" w:rsidR="00174109" w:rsidRPr="00021FC8" w:rsidRDefault="00174109" w:rsidP="00174109">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w:t>
      </w:r>
      <w:r w:rsidRPr="00021FC8">
        <w:rPr>
          <w:rFonts w:ascii="Times New Roman" w:hAnsi="Times New Roman"/>
          <w:sz w:val="24"/>
          <w:szCs w:val="24"/>
        </w:rPr>
        <w:t>e find that the plaintiff failed to produce sufficient factual support demonstrating the existence of a genuine issue of material fact on the question of whether he was terminated from his employment due to him filing a workers' compensation claim. The evidence offered by the plaintiff in opposition to the motion for summary judgment did not establish that he could demonstrate a causal connection between his termination of employment and his workers' compensation claim with any reasonable probability. In fact, the plaintiff offered no evidence to rebut the defendant's claim that his employment was terminated due to the plaintiff</w:t>
      </w:r>
      <w:r>
        <w:rPr>
          <w:rFonts w:ascii="Times New Roman" w:hAnsi="Times New Roman"/>
          <w:sz w:val="24"/>
          <w:szCs w:val="24"/>
        </w:rPr>
        <w:t>’</w:t>
      </w:r>
      <w:r w:rsidRPr="00021FC8">
        <w:rPr>
          <w:rFonts w:ascii="Times New Roman" w:hAnsi="Times New Roman"/>
          <w:sz w:val="24"/>
          <w:szCs w:val="24"/>
        </w:rPr>
        <w:t>s violation of the defendant's Drug-Free Workplace policy. Therefore, the trial court correctly granted summary judgment in favor of the</w:t>
      </w:r>
      <w:r>
        <w:rPr>
          <w:rFonts w:ascii="Times New Roman" w:hAnsi="Times New Roman"/>
          <w:sz w:val="24"/>
          <w:szCs w:val="24"/>
        </w:rPr>
        <w:t xml:space="preserve"> </w:t>
      </w:r>
      <w:proofErr w:type="gramStart"/>
      <w:r w:rsidRPr="00021FC8">
        <w:rPr>
          <w:rFonts w:ascii="Times New Roman" w:hAnsi="Times New Roman"/>
          <w:sz w:val="24"/>
          <w:szCs w:val="24"/>
        </w:rPr>
        <w:t>defendant.</w:t>
      </w:r>
      <w:r>
        <w:rPr>
          <w:rFonts w:ascii="Times New Roman" w:hAnsi="Times New Roman"/>
          <w:sz w:val="24"/>
          <w:szCs w:val="24"/>
        </w:rPr>
        <w:t>”</w:t>
      </w:r>
      <w:proofErr w:type="gramEnd"/>
      <w:r>
        <w:rPr>
          <w:rFonts w:ascii="Times New Roman" w:hAnsi="Times New Roman"/>
          <w:sz w:val="24"/>
          <w:szCs w:val="24"/>
        </w:rPr>
        <w:t xml:space="preserve"> </w:t>
      </w:r>
      <w:hyperlink r:id="rId1984" w:history="1">
        <w:r w:rsidRPr="00EC5853">
          <w:rPr>
            <w:rStyle w:val="Hyperlink"/>
            <w:rFonts w:ascii="Times New Roman" w:hAnsi="Times New Roman"/>
            <w:sz w:val="24"/>
            <w:szCs w:val="24"/>
          </w:rPr>
          <w:t>https://casetext.com/case/dufrene-v-northshore-ems-llc</w:t>
        </w:r>
      </w:hyperlink>
      <w:r>
        <w:rPr>
          <w:rFonts w:ascii="Times New Roman" w:hAnsi="Times New Roman"/>
          <w:sz w:val="24"/>
          <w:szCs w:val="24"/>
        </w:rPr>
        <w:t xml:space="preserve"> </w:t>
      </w:r>
    </w:p>
    <w:p w14:paraId="481ABC2A" w14:textId="77777777" w:rsidR="00001D9A" w:rsidRDefault="00001D9A" w:rsidP="00001D9A">
      <w:pPr>
        <w:spacing w:before="100" w:beforeAutospacing="1" w:after="100" w:afterAutospacing="1" w:line="240" w:lineRule="auto"/>
        <w:rPr>
          <w:rFonts w:ascii="Times New Roman" w:hAnsi="Times New Roman"/>
          <w:b/>
          <w:bCs/>
          <w:sz w:val="24"/>
          <w:szCs w:val="24"/>
        </w:rPr>
      </w:pPr>
      <w:r w:rsidRPr="00B27F71">
        <w:rPr>
          <w:rFonts w:ascii="Times New Roman" w:hAnsi="Times New Roman"/>
          <w:b/>
          <w:bCs/>
          <w:sz w:val="24"/>
          <w:szCs w:val="24"/>
        </w:rPr>
        <w:t>Legal Lesson Learned:</w:t>
      </w:r>
      <w:r>
        <w:rPr>
          <w:rFonts w:ascii="Times New Roman" w:hAnsi="Times New Roman"/>
          <w:b/>
          <w:bCs/>
          <w:sz w:val="24"/>
          <w:szCs w:val="24"/>
        </w:rPr>
        <w:t xml:space="preserve"> Drug-Free Workplace policies, including post injury drug testing, are lawful for EMS and other emergency responders. </w:t>
      </w:r>
    </w:p>
    <w:p w14:paraId="44B174D8" w14:textId="77777777" w:rsidR="00001D9A" w:rsidRDefault="00001D9A" w:rsidP="00001D9A">
      <w:pPr>
        <w:spacing w:before="100" w:beforeAutospacing="1" w:after="100" w:afterAutospacing="1" w:line="240" w:lineRule="auto"/>
        <w:ind w:left="720"/>
        <w:rPr>
          <w:rFonts w:ascii="Times New Roman" w:hAnsi="Times New Roman"/>
          <w:sz w:val="24"/>
          <w:szCs w:val="24"/>
        </w:rPr>
      </w:pPr>
      <w:r w:rsidRPr="00D456FB">
        <w:rPr>
          <w:rFonts w:ascii="Times New Roman" w:hAnsi="Times New Roman"/>
          <w:sz w:val="24"/>
          <w:szCs w:val="24"/>
        </w:rPr>
        <w:t xml:space="preserve">Note: Drug-Free Workplace policies should require all personnel to report in writing if they are on prescribed medication. </w:t>
      </w:r>
    </w:p>
    <w:p w14:paraId="66DC5749" w14:textId="77777777" w:rsidR="00001D9A" w:rsidRDefault="00001D9A" w:rsidP="00001D9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For example, s</w:t>
      </w:r>
      <w:r w:rsidRPr="00D456FB">
        <w:rPr>
          <w:rFonts w:ascii="Times New Roman" w:hAnsi="Times New Roman"/>
          <w:sz w:val="24"/>
          <w:szCs w:val="24"/>
        </w:rPr>
        <w:t xml:space="preserve">ee </w:t>
      </w:r>
      <w:r>
        <w:rPr>
          <w:rFonts w:ascii="Times New Roman" w:hAnsi="Times New Roman"/>
          <w:sz w:val="24"/>
          <w:szCs w:val="24"/>
        </w:rPr>
        <w:t xml:space="preserve">Court’s comment in this case. </w:t>
      </w:r>
    </w:p>
    <w:p w14:paraId="2E0D7D0A" w14:textId="77777777" w:rsidR="00001D9A" w:rsidRPr="00021FC8" w:rsidRDefault="00001D9A" w:rsidP="00001D9A">
      <w:pPr>
        <w:spacing w:before="100" w:beforeAutospacing="1" w:after="100" w:afterAutospacing="1" w:line="240" w:lineRule="auto"/>
        <w:ind w:left="1440"/>
        <w:rPr>
          <w:rFonts w:ascii="Times New Roman" w:eastAsia="Times New Roman" w:hAnsi="Times New Roman"/>
          <w:sz w:val="24"/>
          <w:szCs w:val="24"/>
        </w:rPr>
      </w:pPr>
      <w:r>
        <w:rPr>
          <w:rFonts w:ascii="Times New Roman" w:hAnsi="Times New Roman"/>
          <w:sz w:val="24"/>
          <w:szCs w:val="24"/>
        </w:rPr>
        <w:t>“</w:t>
      </w:r>
      <w:r w:rsidRPr="00D456FB">
        <w:rPr>
          <w:rFonts w:ascii="Times New Roman" w:hAnsi="Times New Roman"/>
          <w:sz w:val="24"/>
          <w:szCs w:val="24"/>
        </w:rPr>
        <w:t>Dr. Jasmin further stated that the plaintiff was undergoing opioid treatment with suboxone, which is buprenorphine. The plaintiff had been treated for his opioid addiction with suboxone for over five years.</w:t>
      </w:r>
      <w:r>
        <w:rPr>
          <w:rFonts w:ascii="Times New Roman" w:hAnsi="Times New Roman"/>
          <w:sz w:val="24"/>
          <w:szCs w:val="24"/>
        </w:rPr>
        <w:t>”</w:t>
      </w:r>
      <w:r w:rsidRPr="00D456FB">
        <w:rPr>
          <w:rFonts w:ascii="Times New Roman" w:hAnsi="Times New Roman"/>
          <w:sz w:val="24"/>
          <w:szCs w:val="24"/>
        </w:rPr>
        <w:t xml:space="preserve"> </w:t>
      </w:r>
      <w:hyperlink r:id="rId1985" w:history="1">
        <w:r w:rsidRPr="004065C6">
          <w:rPr>
            <w:rStyle w:val="Hyperlink"/>
            <w:rFonts w:ascii="Times New Roman" w:hAnsi="Times New Roman"/>
            <w:sz w:val="24"/>
            <w:szCs w:val="24"/>
          </w:rPr>
          <w:t>https://casetext.com/case/dufrene-v-northshore-ems-llc</w:t>
        </w:r>
      </w:hyperlink>
      <w:r>
        <w:rPr>
          <w:rFonts w:ascii="Times New Roman" w:hAnsi="Times New Roman"/>
          <w:sz w:val="24"/>
          <w:szCs w:val="24"/>
        </w:rPr>
        <w:t xml:space="preserve"> </w:t>
      </w:r>
    </w:p>
    <w:p w14:paraId="5682A33A" w14:textId="77777777" w:rsidR="00001D9A" w:rsidRDefault="00001D9A" w:rsidP="00001D9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See also this info on suboxone: </w:t>
      </w:r>
    </w:p>
    <w:p w14:paraId="6CBCC38E" w14:textId="77777777" w:rsidR="00001D9A" w:rsidRDefault="00001D9A" w:rsidP="00001D9A">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C914C9">
        <w:rPr>
          <w:rFonts w:ascii="Times New Roman" w:eastAsia="Times New Roman" w:hAnsi="Times New Roman"/>
          <w:sz w:val="24"/>
          <w:szCs w:val="24"/>
        </w:rPr>
        <w:t>Suboxone does sometimes create mild side effects such as dizziness that could affect your ability to do certain types of work. You will begin using suboxone while you are in the treatment center and under the care of your medical team. This allows you to learn how your body responds to the suboxone before you ever return home and go back to work.</w:t>
      </w:r>
      <w:r>
        <w:rPr>
          <w:rFonts w:ascii="Times New Roman" w:eastAsia="Times New Roman" w:hAnsi="Times New Roman"/>
          <w:sz w:val="24"/>
          <w:szCs w:val="24"/>
        </w:rPr>
        <w:t xml:space="preserve"> </w:t>
      </w:r>
      <w:r w:rsidRPr="00C914C9">
        <w:rPr>
          <w:rFonts w:ascii="Times New Roman" w:eastAsia="Times New Roman" w:hAnsi="Times New Roman"/>
          <w:sz w:val="24"/>
          <w:szCs w:val="24"/>
        </w:rPr>
        <w:t>In most cases, you will find that any side effects that you experience are mild enough that they do not affect your ability to perform your job duties. In fact, you will be better able to maintain a career when you are not stuck in the throes of dealing with addiction. Keep in mind that adjustments to your dosage could alter your reaction so always follow the medication instructions and be cautious about activities such as driving until you know how you react.</w:t>
      </w:r>
      <w:r>
        <w:rPr>
          <w:rFonts w:ascii="Times New Roman" w:eastAsia="Times New Roman" w:hAnsi="Times New Roman"/>
          <w:sz w:val="24"/>
          <w:szCs w:val="24"/>
        </w:rPr>
        <w:t xml:space="preserve">” </w:t>
      </w:r>
      <w:hyperlink r:id="rId1986" w:history="1">
        <w:r w:rsidRPr="004065C6">
          <w:rPr>
            <w:rStyle w:val="Hyperlink"/>
            <w:rFonts w:ascii="Times New Roman" w:eastAsia="Times New Roman" w:hAnsi="Times New Roman"/>
            <w:sz w:val="24"/>
            <w:szCs w:val="24"/>
          </w:rPr>
          <w:t>https://dreamcenterforrecovery.com/can-take-suboxone-still-go-work/</w:t>
        </w:r>
      </w:hyperlink>
      <w:r>
        <w:rPr>
          <w:rFonts w:ascii="Times New Roman" w:eastAsia="Times New Roman" w:hAnsi="Times New Roman"/>
          <w:sz w:val="24"/>
          <w:szCs w:val="24"/>
        </w:rPr>
        <w:t xml:space="preserve"> </w:t>
      </w:r>
    </w:p>
    <w:p w14:paraId="20A71679" w14:textId="77777777" w:rsidR="00001D9A" w:rsidRDefault="00001D9A" w:rsidP="00001D9A">
      <w:pPr>
        <w:spacing w:before="100" w:beforeAutospacing="1" w:after="100" w:afterAutospacing="1" w:line="240" w:lineRule="auto"/>
        <w:rPr>
          <w:rFonts w:ascii="Arial Black" w:eastAsia="Times New Roman" w:hAnsi="Arial Black"/>
          <w:sz w:val="28"/>
          <w:szCs w:val="28"/>
        </w:rPr>
      </w:pPr>
    </w:p>
    <w:p w14:paraId="3E34AC99" w14:textId="77777777" w:rsidR="00174109" w:rsidRDefault="00174109" w:rsidP="00F326E5">
      <w:pPr>
        <w:rPr>
          <w:rFonts w:ascii="Arial Black" w:hAnsi="Arial Black"/>
          <w:b/>
          <w:sz w:val="24"/>
          <w:szCs w:val="24"/>
        </w:rPr>
      </w:pPr>
    </w:p>
    <w:p w14:paraId="4563E767" w14:textId="77777777" w:rsidR="00174109" w:rsidRDefault="00174109" w:rsidP="00F326E5">
      <w:pPr>
        <w:rPr>
          <w:rFonts w:ascii="Arial Black" w:hAnsi="Arial Black"/>
          <w:b/>
          <w:sz w:val="24"/>
          <w:szCs w:val="24"/>
        </w:rPr>
      </w:pPr>
    </w:p>
    <w:p w14:paraId="5DD01093" w14:textId="78D95A23" w:rsidR="00174109" w:rsidRDefault="00174109" w:rsidP="00F326E5">
      <w:pPr>
        <w:rPr>
          <w:rFonts w:ascii="Arial Black" w:hAnsi="Arial Black"/>
          <w:b/>
          <w:sz w:val="24"/>
          <w:szCs w:val="24"/>
        </w:rPr>
      </w:pPr>
      <w:r>
        <w:rPr>
          <w:rFonts w:ascii="Arial Black" w:hAnsi="Arial Black"/>
          <w:b/>
          <w:sz w:val="24"/>
          <w:szCs w:val="24"/>
        </w:rPr>
        <w:t>12-15</w:t>
      </w:r>
    </w:p>
    <w:p w14:paraId="7A969389" w14:textId="77777777" w:rsidR="00174109" w:rsidRDefault="00174109" w:rsidP="00174109">
      <w:pPr>
        <w:ind w:left="90"/>
        <w:rPr>
          <w:rFonts w:ascii="Arial Black" w:hAnsi="Arial Black"/>
          <w:sz w:val="28"/>
          <w:szCs w:val="28"/>
        </w:rPr>
      </w:pPr>
      <w:r>
        <w:rPr>
          <w:rFonts w:ascii="Arial Black" w:hAnsi="Arial Black"/>
          <w:sz w:val="28"/>
          <w:szCs w:val="28"/>
        </w:rPr>
        <w:t>LA: URINE TEST – “SHY BLADDER” - 1</w:t>
      </w:r>
      <w:r w:rsidRPr="00D20B2B">
        <w:rPr>
          <w:rFonts w:ascii="Arial Black" w:hAnsi="Arial Black"/>
          <w:sz w:val="28"/>
          <w:szCs w:val="28"/>
          <w:vertAlign w:val="superscript"/>
        </w:rPr>
        <w:t>st</w:t>
      </w:r>
      <w:r>
        <w:rPr>
          <w:rFonts w:ascii="Arial Black" w:hAnsi="Arial Black"/>
          <w:sz w:val="28"/>
          <w:szCs w:val="28"/>
        </w:rPr>
        <w:t xml:space="preserve"> SAMPLE TOO COLD - 3 HRS NO SAMPLES – REHIRED – BREACH FED. PROTOCOL  </w:t>
      </w:r>
    </w:p>
    <w:p w14:paraId="7DA6F4BD" w14:textId="77777777" w:rsidR="00174109" w:rsidRPr="00EF39AB" w:rsidRDefault="00174109" w:rsidP="00174109">
      <w:pPr>
        <w:ind w:left="90"/>
        <w:rPr>
          <w:rFonts w:ascii="Times New Roman" w:hAnsi="Times New Roman"/>
          <w:sz w:val="24"/>
          <w:szCs w:val="24"/>
        </w:rPr>
      </w:pPr>
      <w:r w:rsidRPr="00EF39AB">
        <w:rPr>
          <w:rFonts w:ascii="Times New Roman" w:hAnsi="Times New Roman"/>
          <w:sz w:val="24"/>
          <w:szCs w:val="24"/>
        </w:rPr>
        <w:t xml:space="preserve">On Dec. 1, 2021, in </w:t>
      </w:r>
      <w:r w:rsidRPr="00EF39AB">
        <w:rPr>
          <w:rFonts w:ascii="Times New Roman" w:hAnsi="Times New Roman"/>
          <w:sz w:val="24"/>
          <w:szCs w:val="24"/>
          <w:u w:val="single"/>
        </w:rPr>
        <w:t>Roy Neely v. Department of Fire [New Orleans]</w:t>
      </w:r>
      <w:r w:rsidRPr="00EF39AB">
        <w:rPr>
          <w:rFonts w:ascii="Times New Roman" w:hAnsi="Times New Roman"/>
          <w:sz w:val="24"/>
          <w:szCs w:val="24"/>
        </w:rPr>
        <w:t xml:space="preserve">, the Court of Appeals of Louisiana, Fourth Circuit, held (3 to 0) that the City Civil Service Commission properly ordered the 11-year firefighter (no prior discipline) reinstated. “Had the SAMHSA [federal Substance Abuse and Mental Health Services Administration] guidelines been followed, an alternate specimen would have been quickly </w:t>
      </w:r>
      <w:proofErr w:type="gramStart"/>
      <w:r w:rsidRPr="00EF39AB">
        <w:rPr>
          <w:rFonts w:ascii="Times New Roman" w:hAnsi="Times New Roman"/>
          <w:sz w:val="24"/>
          <w:szCs w:val="24"/>
        </w:rPr>
        <w:t>collected</w:t>
      </w:r>
      <w:proofErr w:type="gramEnd"/>
      <w:r w:rsidRPr="00EF39AB">
        <w:rPr>
          <w:rFonts w:ascii="Times New Roman" w:hAnsi="Times New Roman"/>
          <w:sz w:val="24"/>
          <w:szCs w:val="24"/>
        </w:rPr>
        <w:t xml:space="preserve"> or a medical evaluation would have occurred within five days, thereby facilitating the agency's efficient operation.” The Court noted that the FD could have provided in its protocol for hair or blood testing for “shy bladder” cases. </w:t>
      </w:r>
    </w:p>
    <w:p w14:paraId="0907EE2D" w14:textId="77777777" w:rsidR="00174109" w:rsidRPr="00EF39AB" w:rsidRDefault="00174109" w:rsidP="00174109">
      <w:pPr>
        <w:spacing w:before="100" w:beforeAutospacing="1" w:after="100" w:afterAutospacing="1" w:line="240" w:lineRule="auto"/>
        <w:ind w:left="720"/>
        <w:rPr>
          <w:rFonts w:ascii="Times New Roman" w:eastAsia="Times New Roman" w:hAnsi="Times New Roman"/>
          <w:b/>
          <w:bCs/>
          <w:sz w:val="24"/>
          <w:szCs w:val="24"/>
        </w:rPr>
      </w:pPr>
      <w:r w:rsidRPr="00EF39AB">
        <w:rPr>
          <w:rFonts w:ascii="Times New Roman" w:hAnsi="Times New Roman"/>
          <w:sz w:val="24"/>
          <w:szCs w:val="24"/>
        </w:rPr>
        <w:t xml:space="preserve">“Analyzing these guidelines together, it is evident that the appellee's conduct did not characterize a refusal to test. He appeared for the test, underwent and passed the first portion of it, stayed on the premises for the duration of the test, drank more than the minimum amount of fluid to facilitate urination, made three observed attempts to provide a sample, and expressed a willingness to undergo additional testing when he was unable to provide a second specimen. The appellee believed that he would have an opportunity to provide an alternate specimen, and when one was not requested, he paid for an additional test himself. The appellant failed to follow the mandatory testing protocol set forth in SAMHSA by not requesting an alternate sample or ordering a medical </w:t>
      </w:r>
      <w:proofErr w:type="gramStart"/>
      <w:r w:rsidRPr="00EF39AB">
        <w:rPr>
          <w:rFonts w:ascii="Times New Roman" w:hAnsi="Times New Roman"/>
          <w:sz w:val="24"/>
          <w:szCs w:val="24"/>
        </w:rPr>
        <w:t>evaluation, and</w:t>
      </w:r>
      <w:proofErr w:type="gramEnd"/>
      <w:r w:rsidRPr="00EF39AB">
        <w:rPr>
          <w:rFonts w:ascii="Times New Roman" w:hAnsi="Times New Roman"/>
          <w:sz w:val="24"/>
          <w:szCs w:val="24"/>
        </w:rPr>
        <w:t xml:space="preserve"> incorrectly concluded that the appellee's behavior constituted a refusal to test. *** The comments reveal that in drafting updates to the guidelines, a commenter requested that immediate alternate collections be made mandatory, to avoid additional costs associated with medical evaluations of "shy bladder" that would otherwise be necessary. Instead, the Department gave agencies the authority to decide whether to implement a standard protocol requiring an immediate alternate specimen, or to decide on a case-by-case basis whether to request an alternate specimen. This commentary illustrates a collective understanding that a ‘shy bladder’ is a condition requiring further evaluation.” </w:t>
      </w:r>
      <w:hyperlink r:id="rId1987" w:history="1">
        <w:r w:rsidRPr="00EC5853">
          <w:rPr>
            <w:rStyle w:val="Hyperlink"/>
            <w:rFonts w:ascii="Times New Roman" w:hAnsi="Times New Roman"/>
            <w:sz w:val="24"/>
            <w:szCs w:val="24"/>
          </w:rPr>
          <w:t>https://law.justia.com/cases/louisiana/fourth-circuit-court-of-appeal/2021/2021-ca-0454.html</w:t>
        </w:r>
      </w:hyperlink>
      <w:r>
        <w:rPr>
          <w:rFonts w:ascii="Times New Roman" w:hAnsi="Times New Roman"/>
          <w:sz w:val="24"/>
          <w:szCs w:val="24"/>
        </w:rPr>
        <w:t xml:space="preserve"> </w:t>
      </w:r>
    </w:p>
    <w:p w14:paraId="38B27D86" w14:textId="77777777" w:rsidR="00174109" w:rsidRPr="00131B6D" w:rsidRDefault="00174109" w:rsidP="00174109">
      <w:pPr>
        <w:spacing w:before="100" w:beforeAutospacing="1" w:after="100" w:afterAutospacing="1" w:line="240" w:lineRule="auto"/>
        <w:rPr>
          <w:rFonts w:ascii="Times New Roman" w:eastAsia="Times New Roman" w:hAnsi="Times New Roman"/>
          <w:b/>
          <w:bCs/>
          <w:sz w:val="24"/>
          <w:szCs w:val="24"/>
        </w:rPr>
      </w:pPr>
      <w:r w:rsidRPr="00131B6D">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To avoid similar litigation, FDs should adopt a policy that gives firefighters with a “shy bladder” the option taking a hair or blood test, or a medical exam at the firefighter’s expense. </w:t>
      </w:r>
    </w:p>
    <w:p w14:paraId="5CDAD513" w14:textId="77777777" w:rsidR="00174109" w:rsidRDefault="00174109" w:rsidP="00F326E5">
      <w:pPr>
        <w:rPr>
          <w:rFonts w:ascii="Arial Black" w:hAnsi="Arial Black"/>
          <w:b/>
          <w:sz w:val="24"/>
          <w:szCs w:val="24"/>
        </w:rPr>
      </w:pPr>
    </w:p>
    <w:p w14:paraId="4C38BEE5" w14:textId="1218CF71" w:rsidR="00885321" w:rsidRDefault="00885321" w:rsidP="00F326E5">
      <w:pPr>
        <w:rPr>
          <w:rFonts w:ascii="Arial Black" w:hAnsi="Arial Black"/>
          <w:b/>
          <w:sz w:val="24"/>
          <w:szCs w:val="24"/>
        </w:rPr>
      </w:pPr>
      <w:r>
        <w:rPr>
          <w:rFonts w:ascii="Arial Black" w:hAnsi="Arial Black"/>
          <w:b/>
          <w:sz w:val="24"/>
          <w:szCs w:val="24"/>
        </w:rPr>
        <w:t>12-14</w:t>
      </w:r>
    </w:p>
    <w:p w14:paraId="1FBB9DF8" w14:textId="77777777" w:rsidR="00885321" w:rsidRDefault="00885321" w:rsidP="00885321">
      <w:pPr>
        <w:pStyle w:val="NormalWeb"/>
        <w:rPr>
          <w:rFonts w:ascii="Arial Black" w:hAnsi="Arial Black"/>
          <w:sz w:val="28"/>
          <w:szCs w:val="28"/>
        </w:rPr>
      </w:pPr>
      <w:r>
        <w:rPr>
          <w:rFonts w:ascii="Arial Black" w:hAnsi="Arial Black"/>
          <w:sz w:val="28"/>
          <w:szCs w:val="28"/>
        </w:rPr>
        <w:t>OK: STATE AG SUES OPIOID MANUFACTURERS – MARKETING DRUGS - $465M VERDICT SET ASIDE – J&amp;J</w:t>
      </w:r>
    </w:p>
    <w:p w14:paraId="7BA7E78A" w14:textId="77777777" w:rsidR="00885321" w:rsidRDefault="00885321" w:rsidP="00885321">
      <w:pPr>
        <w:pStyle w:val="NormalWeb"/>
      </w:pPr>
      <w:r>
        <w:t xml:space="preserve">On Nov. 9, 2021, in </w:t>
      </w:r>
      <w:r w:rsidRPr="00CA6C2D">
        <w:rPr>
          <w:u w:val="single"/>
        </w:rPr>
        <w:t>State ex rel. Attorney General of Oklahoma v. Johnson &amp; Johnson</w:t>
      </w:r>
      <w:r>
        <w:t>, the Supreme Court of the State of Oklahoma (5 to 1) overturned $465 million judgment won by the State.  In 2019, state District Judge Thad Balkman ruled in a bench trial supporting the State’s argument that J&amp;J created a "public nuisance" through its marketing of prescription pain pills.</w:t>
      </w:r>
    </w:p>
    <w:p w14:paraId="736A9F07" w14:textId="77777777" w:rsidR="00885321" w:rsidRDefault="00885321" w:rsidP="00885321">
      <w:pPr>
        <w:pStyle w:val="NormalWeb"/>
        <w:ind w:left="720"/>
      </w:pPr>
      <w:r>
        <w:lastRenderedPageBreak/>
        <w:t xml:space="preserve">“To address this problem, the State of Oklahoma ex rel. Mike Hunter, Attorney General of Oklahoma ("State"), sued three prescription opioid manufacturers and requested that the district court hold opioid manufacturers liable for violating Oklahoma's public nuisance statute. The question before the Court is whether the conduct of an opioid manufacturer in marketing and selling its products constituted a public nuisance under 50 O.S.2011, §§ 1 &amp; 2. We hold that the district court's expansion of public nuisance law went too far. Oklahoma public nuisance law does not extend to the manufacturing, marketing, and selling of prescription opioids.” </w:t>
      </w:r>
      <w:hyperlink r:id="rId1988" w:history="1">
        <w:r w:rsidRPr="0085682C">
          <w:rPr>
            <w:rStyle w:val="Hyperlink"/>
          </w:rPr>
          <w:t>https://law.justia.com/cases/oklahoma/supreme-court/2021/118474.html</w:t>
        </w:r>
      </w:hyperlink>
      <w:r>
        <w:t xml:space="preserve"> </w:t>
      </w:r>
    </w:p>
    <w:p w14:paraId="4270A239" w14:textId="77777777" w:rsidR="00885321" w:rsidRPr="00D37C80" w:rsidRDefault="00885321" w:rsidP="00885321">
      <w:pPr>
        <w:spacing w:before="100" w:beforeAutospacing="1" w:after="100" w:afterAutospacing="1" w:line="240" w:lineRule="auto"/>
        <w:rPr>
          <w:rFonts w:ascii="Times New Roman" w:eastAsia="Times New Roman" w:hAnsi="Times New Roman"/>
          <w:b/>
          <w:bCs/>
          <w:sz w:val="24"/>
          <w:szCs w:val="24"/>
        </w:rPr>
      </w:pPr>
      <w:r w:rsidRPr="00D37C80">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Numerous states have sued drug manufacturers and drug retail stores; the Oklahoma Supreme Court decision applies only to Oklahoma.</w:t>
      </w:r>
    </w:p>
    <w:p w14:paraId="760C2990" w14:textId="77777777" w:rsidR="00885321" w:rsidRDefault="00885321" w:rsidP="00885321">
      <w:pPr>
        <w:pStyle w:val="Heading1"/>
        <w:ind w:left="720"/>
        <w:rPr>
          <w:b w:val="0"/>
          <w:bCs w:val="0"/>
          <w:sz w:val="24"/>
          <w:szCs w:val="24"/>
        </w:rPr>
      </w:pPr>
      <w:r>
        <w:rPr>
          <w:b w:val="0"/>
          <w:bCs w:val="0"/>
          <w:sz w:val="24"/>
          <w:szCs w:val="24"/>
        </w:rPr>
        <w:t>See article on this decision:</w:t>
      </w:r>
      <w:r w:rsidRPr="00190C74">
        <w:rPr>
          <w:b w:val="0"/>
          <w:bCs w:val="0"/>
          <w:sz w:val="24"/>
          <w:szCs w:val="24"/>
        </w:rPr>
        <w:t xml:space="preserve"> </w:t>
      </w:r>
    </w:p>
    <w:p w14:paraId="4BA376BE" w14:textId="77777777" w:rsidR="00885321" w:rsidRDefault="00885321" w:rsidP="00885321">
      <w:pPr>
        <w:pStyle w:val="Heading1"/>
        <w:ind w:left="720"/>
        <w:rPr>
          <w:b w:val="0"/>
          <w:bCs w:val="0"/>
          <w:sz w:val="24"/>
          <w:szCs w:val="24"/>
        </w:rPr>
      </w:pPr>
      <w:r>
        <w:rPr>
          <w:b w:val="0"/>
          <w:bCs w:val="0"/>
          <w:sz w:val="24"/>
          <w:szCs w:val="24"/>
        </w:rPr>
        <w:t>Nov. 9, 2021: “</w:t>
      </w:r>
      <w:r w:rsidRPr="00190C74">
        <w:rPr>
          <w:b w:val="0"/>
          <w:bCs w:val="0"/>
          <w:sz w:val="24"/>
          <w:szCs w:val="24"/>
        </w:rPr>
        <w:t>Oklahoma's Supreme Court tossed out a landmark $465 million opioid ruling</w:t>
      </w:r>
      <w:r>
        <w:rPr>
          <w:b w:val="0"/>
          <w:bCs w:val="0"/>
          <w:sz w:val="24"/>
          <w:szCs w:val="24"/>
        </w:rPr>
        <w:t xml:space="preserve">.” </w:t>
      </w:r>
      <w:r w:rsidRPr="00190C74">
        <w:rPr>
          <w:b w:val="0"/>
          <w:bCs w:val="0"/>
          <w:sz w:val="24"/>
          <w:szCs w:val="24"/>
        </w:rPr>
        <w:t xml:space="preserve"> </w:t>
      </w:r>
      <w:hyperlink r:id="rId1989" w:history="1">
        <w:r w:rsidRPr="0085682C">
          <w:rPr>
            <w:rStyle w:val="Hyperlink"/>
            <w:b w:val="0"/>
            <w:bCs w:val="0"/>
            <w:sz w:val="24"/>
            <w:szCs w:val="24"/>
          </w:rPr>
          <w:t>https://www.npr.org/2021/11/09/1054000996/oklahoma-supreme-court-465-million-opioid-ruling</w:t>
        </w:r>
      </w:hyperlink>
      <w:r w:rsidRPr="00190C74">
        <w:rPr>
          <w:b w:val="0"/>
          <w:bCs w:val="0"/>
          <w:sz w:val="24"/>
          <w:szCs w:val="24"/>
        </w:rPr>
        <w:t xml:space="preserve"> </w:t>
      </w:r>
    </w:p>
    <w:p w14:paraId="590F338F" w14:textId="77777777" w:rsidR="00885321" w:rsidRDefault="00885321" w:rsidP="00885321">
      <w:pPr>
        <w:pStyle w:val="Heading1"/>
        <w:ind w:left="720"/>
        <w:rPr>
          <w:b w:val="0"/>
          <w:bCs w:val="0"/>
          <w:sz w:val="24"/>
          <w:szCs w:val="24"/>
        </w:rPr>
      </w:pPr>
      <w:r>
        <w:rPr>
          <w:b w:val="0"/>
          <w:bCs w:val="0"/>
          <w:sz w:val="24"/>
          <w:szCs w:val="24"/>
        </w:rPr>
        <w:t xml:space="preserve">But see other Court decisions: </w:t>
      </w:r>
    </w:p>
    <w:p w14:paraId="3739DB4D" w14:textId="77777777" w:rsidR="00885321" w:rsidRDefault="00885321" w:rsidP="00885321">
      <w:pPr>
        <w:pStyle w:val="Heading1"/>
        <w:ind w:left="720"/>
        <w:rPr>
          <w:b w:val="0"/>
          <w:bCs w:val="0"/>
          <w:sz w:val="24"/>
          <w:szCs w:val="24"/>
        </w:rPr>
      </w:pPr>
      <w:r>
        <w:rPr>
          <w:b w:val="0"/>
          <w:bCs w:val="0"/>
          <w:sz w:val="24"/>
          <w:szCs w:val="24"/>
        </w:rPr>
        <w:t xml:space="preserve">Nov. 23, 2021: </w:t>
      </w:r>
      <w:r w:rsidRPr="00C201AC">
        <w:rPr>
          <w:b w:val="0"/>
          <w:bCs w:val="0"/>
          <w:sz w:val="24"/>
          <w:szCs w:val="24"/>
        </w:rPr>
        <w:t xml:space="preserve">“3 of America's biggest pharmacy chains </w:t>
      </w:r>
      <w:proofErr w:type="gramStart"/>
      <w:r w:rsidRPr="00C201AC">
        <w:rPr>
          <w:b w:val="0"/>
          <w:bCs w:val="0"/>
          <w:sz w:val="24"/>
          <w:szCs w:val="24"/>
        </w:rPr>
        <w:t>have</w:t>
      </w:r>
      <w:proofErr w:type="gramEnd"/>
      <w:r w:rsidRPr="00C201AC">
        <w:rPr>
          <w:b w:val="0"/>
          <w:bCs w:val="0"/>
          <w:sz w:val="24"/>
          <w:szCs w:val="24"/>
        </w:rPr>
        <w:t xml:space="preserve"> been found liable for the opioid crisis.” </w:t>
      </w:r>
      <w:hyperlink r:id="rId1990" w:history="1">
        <w:r w:rsidRPr="0085682C">
          <w:rPr>
            <w:rStyle w:val="Hyperlink"/>
            <w:b w:val="0"/>
            <w:bCs w:val="0"/>
            <w:sz w:val="24"/>
            <w:szCs w:val="24"/>
          </w:rPr>
          <w:t>https://www.npr.org/2021/11/23/1058539458/a-jury-in-ohio-says-americas-big-pharmacy-chains-are-liable-for-the-opioid-epide</w:t>
        </w:r>
      </w:hyperlink>
      <w:r w:rsidRPr="00C201AC">
        <w:rPr>
          <w:b w:val="0"/>
          <w:bCs w:val="0"/>
          <w:sz w:val="24"/>
          <w:szCs w:val="24"/>
        </w:rPr>
        <w:t xml:space="preserve"> </w:t>
      </w:r>
    </w:p>
    <w:p w14:paraId="419EF775" w14:textId="77777777" w:rsidR="00885321" w:rsidRPr="00C201AC" w:rsidRDefault="00885321" w:rsidP="00885321">
      <w:pPr>
        <w:pStyle w:val="Heading1"/>
        <w:ind w:left="1440"/>
        <w:rPr>
          <w:b w:val="0"/>
          <w:bCs w:val="0"/>
          <w:sz w:val="24"/>
          <w:szCs w:val="24"/>
        </w:rPr>
      </w:pPr>
      <w:r>
        <w:rPr>
          <w:b w:val="0"/>
          <w:bCs w:val="0"/>
          <w:sz w:val="24"/>
          <w:szCs w:val="24"/>
        </w:rPr>
        <w:t>“</w:t>
      </w:r>
      <w:r w:rsidRPr="00C201AC">
        <w:rPr>
          <w:b w:val="0"/>
          <w:bCs w:val="0"/>
          <w:sz w:val="24"/>
          <w:szCs w:val="24"/>
        </w:rPr>
        <w:t>A federal jury on Tuesday found three of the nation's biggest pharmacy chains, CVS, Walgreens and Walmart, liable for helping to fuel the U.S. opioid crisis — a decision that's expected to have legal repercussions as thousands of similar lawsuits move forward in courts across the country.</w:t>
      </w:r>
      <w:r>
        <w:rPr>
          <w:b w:val="0"/>
          <w:bCs w:val="0"/>
          <w:sz w:val="24"/>
          <w:szCs w:val="24"/>
        </w:rPr>
        <w:t>”</w:t>
      </w:r>
    </w:p>
    <w:p w14:paraId="0A881F38" w14:textId="77777777" w:rsidR="00885321" w:rsidRPr="00190C74" w:rsidRDefault="00885321" w:rsidP="00885321">
      <w:pPr>
        <w:pStyle w:val="Heading1"/>
        <w:ind w:left="720"/>
        <w:rPr>
          <w:b w:val="0"/>
          <w:bCs w:val="0"/>
          <w:sz w:val="24"/>
          <w:szCs w:val="24"/>
        </w:rPr>
      </w:pPr>
      <w:r>
        <w:rPr>
          <w:b w:val="0"/>
          <w:bCs w:val="0"/>
          <w:sz w:val="24"/>
          <w:szCs w:val="24"/>
        </w:rPr>
        <w:t xml:space="preserve"> Nov. 1, 2021: “</w:t>
      </w:r>
      <w:r w:rsidRPr="00190C74">
        <w:rPr>
          <w:b w:val="0"/>
          <w:bCs w:val="0"/>
          <w:sz w:val="24"/>
          <w:szCs w:val="24"/>
        </w:rPr>
        <w:t xml:space="preserve">A California court says drug companies aren't liable for the state's opioid crisis. </w:t>
      </w:r>
      <w:hyperlink r:id="rId1991" w:history="1">
        <w:r w:rsidRPr="0085682C">
          <w:rPr>
            <w:rStyle w:val="Hyperlink"/>
            <w:b w:val="0"/>
            <w:bCs w:val="0"/>
            <w:sz w:val="24"/>
            <w:szCs w:val="24"/>
          </w:rPr>
          <w:t>https://www.npr.org/2021/11/01/1051321580/california-judge-drug-companies-opioid-crisis-allergan-endo-johnson-teva</w:t>
        </w:r>
      </w:hyperlink>
      <w:r w:rsidRPr="00190C74">
        <w:rPr>
          <w:b w:val="0"/>
          <w:bCs w:val="0"/>
          <w:sz w:val="24"/>
          <w:szCs w:val="24"/>
        </w:rPr>
        <w:t xml:space="preserve"> </w:t>
      </w:r>
    </w:p>
    <w:p w14:paraId="23226769" w14:textId="77777777" w:rsidR="00885321" w:rsidRPr="00C201AC" w:rsidRDefault="00885321" w:rsidP="00885321">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C201AC">
        <w:rPr>
          <w:rFonts w:ascii="Times New Roman" w:eastAsia="Times New Roman" w:hAnsi="Times New Roman"/>
          <w:sz w:val="24"/>
          <w:szCs w:val="24"/>
        </w:rPr>
        <w:t xml:space="preserve">A state judge in California ruled late Monday that four drug companies can't be held liable for that state's opioid epidemic. Communities had hoped for tens of billions of dollars in compensation to help ease the addiction crisis. </w:t>
      </w:r>
      <w:r>
        <w:rPr>
          <w:rFonts w:ascii="Times New Roman" w:eastAsia="Times New Roman" w:hAnsi="Times New Roman"/>
          <w:sz w:val="24"/>
          <w:szCs w:val="24"/>
        </w:rPr>
        <w:t xml:space="preserve"> </w:t>
      </w:r>
      <w:r w:rsidRPr="00C201AC">
        <w:rPr>
          <w:rFonts w:ascii="Times New Roman" w:eastAsia="Times New Roman" w:hAnsi="Times New Roman"/>
          <w:sz w:val="24"/>
          <w:szCs w:val="24"/>
        </w:rPr>
        <w:t>Attorneys representing four California counties argued the drug companies Allergan, Endo, Johnson &amp; Johnson and Teva used false and misleading marketing to push up the sale of prescription opioids.</w:t>
      </w:r>
      <w:r>
        <w:rPr>
          <w:rFonts w:ascii="Times New Roman" w:eastAsia="Times New Roman" w:hAnsi="Times New Roman"/>
          <w:sz w:val="24"/>
          <w:szCs w:val="24"/>
        </w:rPr>
        <w:t>”</w:t>
      </w:r>
    </w:p>
    <w:p w14:paraId="5CAE2483" w14:textId="77777777" w:rsidR="00885321" w:rsidRDefault="00885321" w:rsidP="00F326E5">
      <w:pPr>
        <w:rPr>
          <w:rFonts w:ascii="Arial Black" w:hAnsi="Arial Black"/>
          <w:b/>
          <w:sz w:val="24"/>
          <w:szCs w:val="24"/>
        </w:rPr>
      </w:pPr>
    </w:p>
    <w:p w14:paraId="7ECE1CD5" w14:textId="357215CC" w:rsidR="00774A91" w:rsidRDefault="00774A91" w:rsidP="00F326E5">
      <w:pPr>
        <w:rPr>
          <w:rFonts w:ascii="Arial Black" w:hAnsi="Arial Black"/>
          <w:b/>
          <w:sz w:val="24"/>
          <w:szCs w:val="24"/>
        </w:rPr>
      </w:pPr>
      <w:r>
        <w:rPr>
          <w:rFonts w:ascii="Arial Black" w:hAnsi="Arial Black"/>
          <w:b/>
          <w:sz w:val="24"/>
          <w:szCs w:val="24"/>
        </w:rPr>
        <w:t>12-13</w:t>
      </w:r>
    </w:p>
    <w:p w14:paraId="3D0AFAC3" w14:textId="77777777" w:rsidR="00774A91" w:rsidRPr="005C4D5B" w:rsidRDefault="00774A91" w:rsidP="00774A91">
      <w:pPr>
        <w:spacing w:before="100" w:beforeAutospacing="1" w:after="100" w:afterAutospacing="1" w:line="240" w:lineRule="auto"/>
        <w:rPr>
          <w:rFonts w:ascii="Arial Black" w:eastAsia="Times New Roman" w:hAnsi="Arial Black"/>
          <w:b/>
          <w:bCs/>
          <w:sz w:val="28"/>
          <w:szCs w:val="28"/>
        </w:rPr>
      </w:pPr>
      <w:r w:rsidRPr="005C4D5B">
        <w:rPr>
          <w:rFonts w:ascii="Arial Black" w:eastAsia="Times New Roman" w:hAnsi="Arial Black"/>
          <w:b/>
          <w:bCs/>
          <w:sz w:val="28"/>
          <w:szCs w:val="28"/>
        </w:rPr>
        <w:t>MI: FREELANCE PHOTOGRAPHER –</w:t>
      </w:r>
      <w:r>
        <w:rPr>
          <w:rFonts w:ascii="Arial Black" w:eastAsia="Times New Roman" w:hAnsi="Arial Black"/>
          <w:b/>
          <w:bCs/>
          <w:sz w:val="28"/>
          <w:szCs w:val="28"/>
        </w:rPr>
        <w:t xml:space="preserve"> LAWFULLY BANNED FROM FIREHOUSES FOR DRINKING – NOT RETALIATION</w:t>
      </w:r>
    </w:p>
    <w:p w14:paraId="6942F097" w14:textId="77777777" w:rsidR="00774A91" w:rsidRDefault="00774A91" w:rsidP="00774A91">
      <w:pPr>
        <w:pStyle w:val="NormalWeb"/>
      </w:pPr>
      <w:r>
        <w:t xml:space="preserve">On Oct. 27, 2021, in </w:t>
      </w:r>
      <w:r w:rsidRPr="005C4D5B">
        <w:rPr>
          <w:u w:val="single"/>
        </w:rPr>
        <w:t>Alexander Haggart v. City of Detroit, et al</w:t>
      </w:r>
      <w:r>
        <w:t xml:space="preserve">., U.S. District Court Judge Steven J. Murphy, U.S. District Court, Eastern District of Michigan (Southern Division) granted defendants’ motion for summary judgment, </w:t>
      </w:r>
      <w:r w:rsidRPr="00B97D8A">
        <w:t xml:space="preserve">including </w:t>
      </w:r>
      <w:r>
        <w:t xml:space="preserve">Fire </w:t>
      </w:r>
      <w:r w:rsidRPr="00B97D8A">
        <w:t>Chief Patrick McNulty</w:t>
      </w:r>
      <w:r>
        <w:t xml:space="preserve"> and </w:t>
      </w:r>
      <w:r w:rsidRPr="00B97D8A">
        <w:t>Deputy Chief Robert Shinske</w:t>
      </w:r>
      <w:r>
        <w:t xml:space="preserve">.  The Court held the </w:t>
      </w:r>
      <w:proofErr w:type="gramStart"/>
      <w:r>
        <w:t>banning</w:t>
      </w:r>
      <w:proofErr w:type="gramEnd"/>
      <w:r>
        <w:t xml:space="preserve"> was not in retaliation for taking photo of Deputy Chief Shinske’s command vehicle at bar 18 months earlier, where Deputy Chief received a 5-day suspension. Note: the photo was picked up by press and “went viral.”  See </w:t>
      </w:r>
      <w:r>
        <w:lastRenderedPageBreak/>
        <w:t xml:space="preserve">Oct. 18, </w:t>
      </w:r>
      <w:proofErr w:type="gramStart"/>
      <w:r>
        <w:t>2017</w:t>
      </w:r>
      <w:proofErr w:type="gramEnd"/>
      <w:r>
        <w:t xml:space="preserve"> article, “Detroit fire chief investigated for taking department car to bar.” </w:t>
      </w:r>
      <w:hyperlink r:id="rId1992" w:history="1">
        <w:r w:rsidRPr="00EF1618">
          <w:rPr>
            <w:rStyle w:val="Hyperlink"/>
          </w:rPr>
          <w:t>https://www.fox2detroit.com/news/detroit-fire-chief-investigated-for-taking-department-car-to-bar</w:t>
        </w:r>
      </w:hyperlink>
      <w:r>
        <w:t xml:space="preserve"> </w:t>
      </w:r>
    </w:p>
    <w:p w14:paraId="4814C452" w14:textId="77777777" w:rsidR="00774A91" w:rsidRDefault="00774A91" w:rsidP="00774A91">
      <w:pPr>
        <w:pStyle w:val="NormalWeb"/>
        <w:ind w:left="720"/>
      </w:pPr>
      <w:r>
        <w:t xml:space="preserve">“And the evidence shows that Deputy Chief Shinske had a legitimate reason to ban Plaintiff from firehouses based on Plaintiff's drinking and horsing around on department equipment. </w:t>
      </w:r>
      <w:r w:rsidRPr="005C4D5B">
        <w:t xml:space="preserve">In all, Plaintiff has failed to show that Deputy Chief Shinske would not have banned him but for posting </w:t>
      </w:r>
      <w:proofErr w:type="gramStart"/>
      <w:r w:rsidRPr="005C4D5B">
        <w:t>the photos</w:t>
      </w:r>
      <w:proofErr w:type="gramEnd"/>
      <w:r w:rsidRPr="005C4D5B">
        <w:t xml:space="preserve"> on social media. Because no evidence shows a </w:t>
      </w:r>
      <w:proofErr w:type="spellStart"/>
      <w:r w:rsidRPr="005C4D5B">
        <w:t>but</w:t>
      </w:r>
      <w:proofErr w:type="spellEnd"/>
      <w:r w:rsidRPr="005C4D5B">
        <w:t>-for causation, Deputy Chief Shinske did not violate Plaintiff's constitutional rights and is therefore entitled to qualified immunity.</w:t>
      </w:r>
      <w:r>
        <w:t xml:space="preserve">” </w:t>
      </w:r>
      <w:hyperlink r:id="rId1993" w:history="1">
        <w:r w:rsidRPr="009545D0">
          <w:rPr>
            <w:rStyle w:val="Hyperlink"/>
          </w:rPr>
          <w:t>https://public.fastcase.com/9SKwsfNqTc6OieYDhNMyM8QDIumtbytcTIYRS7vEe0pQ3%2BAszz%2FAIWxBBPTdhGkJW%2FsZnkZT639gd%2FCKUheamGpg8tPb2WiD4LZsCmDtik8%3D</w:t>
        </w:r>
      </w:hyperlink>
      <w:r>
        <w:t xml:space="preserve"> </w:t>
      </w:r>
    </w:p>
    <w:p w14:paraId="74BB0873" w14:textId="77777777" w:rsidR="00774A91" w:rsidRDefault="00774A91" w:rsidP="00774A91">
      <w:pPr>
        <w:pStyle w:val="NormalWeb"/>
        <w:rPr>
          <w:b/>
          <w:bCs/>
        </w:rPr>
      </w:pPr>
      <w:r w:rsidRPr="00FC31F8">
        <w:rPr>
          <w:b/>
          <w:bCs/>
        </w:rPr>
        <w:t>Legal Lesson Learned:</w:t>
      </w:r>
      <w:r>
        <w:rPr>
          <w:b/>
          <w:bCs/>
        </w:rPr>
        <w:t xml:space="preserve"> (1) Even if off duty, don’t drive your marked FD vehicle to bar unless conducting official business; (2) station officers who allow </w:t>
      </w:r>
      <w:proofErr w:type="gramStart"/>
      <w:r>
        <w:rPr>
          <w:b/>
          <w:bCs/>
        </w:rPr>
        <w:t>civilian</w:t>
      </w:r>
      <w:proofErr w:type="gramEnd"/>
      <w:r>
        <w:rPr>
          <w:b/>
          <w:bCs/>
        </w:rPr>
        <w:t xml:space="preserve"> to drink </w:t>
      </w:r>
      <w:proofErr w:type="gramStart"/>
      <w:r>
        <w:rPr>
          <w:b/>
          <w:bCs/>
        </w:rPr>
        <w:t>a beer</w:t>
      </w:r>
      <w:proofErr w:type="gramEnd"/>
      <w:r>
        <w:rPr>
          <w:b/>
          <w:bCs/>
        </w:rPr>
        <w:t xml:space="preserve"> at the station should also face discipline. </w:t>
      </w:r>
    </w:p>
    <w:p w14:paraId="2DF5780B" w14:textId="0A5E47ED" w:rsidR="00774A91" w:rsidRDefault="00774A91" w:rsidP="00F326E5">
      <w:pPr>
        <w:rPr>
          <w:rFonts w:ascii="Arial Black" w:hAnsi="Arial Black"/>
          <w:b/>
          <w:sz w:val="24"/>
          <w:szCs w:val="24"/>
        </w:rPr>
      </w:pPr>
    </w:p>
    <w:p w14:paraId="1F406173" w14:textId="666A1562" w:rsidR="00774A91" w:rsidRDefault="00774A91" w:rsidP="00F326E5">
      <w:pPr>
        <w:rPr>
          <w:rFonts w:ascii="Arial Black" w:hAnsi="Arial Black"/>
          <w:b/>
          <w:sz w:val="24"/>
          <w:szCs w:val="24"/>
        </w:rPr>
      </w:pPr>
      <w:r>
        <w:rPr>
          <w:rFonts w:ascii="Arial Black" w:hAnsi="Arial Black"/>
          <w:b/>
          <w:sz w:val="24"/>
          <w:szCs w:val="24"/>
        </w:rPr>
        <w:t>12-12</w:t>
      </w:r>
    </w:p>
    <w:p w14:paraId="15F7599E" w14:textId="77777777" w:rsidR="00774A91" w:rsidRPr="002B1B5D" w:rsidRDefault="00774A91" w:rsidP="00774A91">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LA: FF 3rd DUI – AFTER FIRST DUI SIGNED “RETURN TO WORK AGREEMENT” - TERMINATION UPHELD </w:t>
      </w:r>
    </w:p>
    <w:p w14:paraId="4D35CBAE" w14:textId="77777777" w:rsidR="00774A91" w:rsidRDefault="00774A91" w:rsidP="00774A91">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Oct. 20, 2021, in </w:t>
      </w:r>
      <w:r w:rsidRPr="00C0791C">
        <w:rPr>
          <w:rFonts w:ascii="Times New Roman" w:eastAsia="Times New Roman" w:hAnsi="Times New Roman"/>
          <w:sz w:val="24"/>
          <w:szCs w:val="24"/>
          <w:u w:val="single"/>
        </w:rPr>
        <w:t>Lance Martin v. Department of Fire [New Orleans]</w:t>
      </w:r>
      <w:r>
        <w:rPr>
          <w:rFonts w:ascii="Times New Roman" w:eastAsia="Times New Roman" w:hAnsi="Times New Roman"/>
          <w:sz w:val="24"/>
          <w:szCs w:val="24"/>
        </w:rPr>
        <w:t>, the Court of Appeals of Louisiana, Fourth Circuit, held (3 to 0) that the Civil Service Commission properly upheld the  firefighter’s termination.  After his first DUI (July 18, 2018), he agreed to seek help from EAP and signed a “</w:t>
      </w:r>
      <w:r w:rsidRPr="00C0791C">
        <w:rPr>
          <w:rFonts w:ascii="Times New Roman" w:hAnsi="Times New Roman"/>
          <w:sz w:val="24"/>
          <w:szCs w:val="24"/>
        </w:rPr>
        <w:t>Return to Work Consent for Information Disclosure</w:t>
      </w:r>
      <w:r>
        <w:rPr>
          <w:rFonts w:ascii="Times New Roman" w:hAnsi="Times New Roman"/>
          <w:sz w:val="24"/>
          <w:szCs w:val="24"/>
        </w:rPr>
        <w:t>’</w:t>
      </w:r>
      <w:r w:rsidRPr="00C0791C">
        <w:rPr>
          <w:rFonts w:ascii="Times New Roman" w:hAnsi="Times New Roman"/>
          <w:sz w:val="24"/>
          <w:szCs w:val="24"/>
        </w:rPr>
        <w:t xml:space="preserve"> </w:t>
      </w:r>
      <w:r>
        <w:rPr>
          <w:rFonts w:ascii="Times New Roman" w:hAnsi="Times New Roman"/>
          <w:sz w:val="24"/>
          <w:szCs w:val="24"/>
        </w:rPr>
        <w:t>A</w:t>
      </w:r>
      <w:r w:rsidRPr="00C0791C">
        <w:rPr>
          <w:rFonts w:ascii="Times New Roman" w:hAnsi="Times New Roman"/>
          <w:sz w:val="24"/>
          <w:szCs w:val="24"/>
        </w:rPr>
        <w:t>greement</w:t>
      </w:r>
      <w:r>
        <w:rPr>
          <w:rFonts w:ascii="Times New Roman" w:hAnsi="Times New Roman"/>
          <w:sz w:val="24"/>
          <w:szCs w:val="24"/>
        </w:rPr>
        <w:t xml:space="preserve"> </w:t>
      </w:r>
      <w:r w:rsidRPr="00D431D9">
        <w:rPr>
          <w:rFonts w:ascii="Times New Roman" w:hAnsi="Times New Roman"/>
          <w:sz w:val="24"/>
          <w:szCs w:val="24"/>
        </w:rPr>
        <w:t>which obligated him to abstain from alcohol consumption during the term of his employment</w:t>
      </w:r>
      <w:r>
        <w:rPr>
          <w:rFonts w:ascii="Times New Roman" w:hAnsi="Times New Roman"/>
          <w:sz w:val="24"/>
          <w:szCs w:val="24"/>
        </w:rPr>
        <w:t>.  Thereafter he had two more DUIs: Oct. 10, 2018, and July 12, 2019.</w:t>
      </w:r>
    </w:p>
    <w:p w14:paraId="23D3B56B" w14:textId="77777777" w:rsidR="00774A91" w:rsidRDefault="00774A91" w:rsidP="00774A91">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2B1B5D">
        <w:rPr>
          <w:rFonts w:ascii="Times New Roman" w:eastAsia="Times New Roman" w:hAnsi="Times New Roman"/>
          <w:sz w:val="24"/>
          <w:szCs w:val="24"/>
        </w:rPr>
        <w:t xml:space="preserve">Upon review of the record, we find the Commission's decision to uphold Mr. Martin's termination is rationally based on the facts established in the record. The record reflects that after </w:t>
      </w:r>
      <w:proofErr w:type="gramStart"/>
      <w:r w:rsidRPr="002B1B5D">
        <w:rPr>
          <w:rFonts w:ascii="Times New Roman" w:eastAsia="Times New Roman" w:hAnsi="Times New Roman"/>
          <w:sz w:val="24"/>
          <w:szCs w:val="24"/>
        </w:rPr>
        <w:t>entering into</w:t>
      </w:r>
      <w:proofErr w:type="gramEnd"/>
      <w:r w:rsidRPr="002B1B5D">
        <w:rPr>
          <w:rFonts w:ascii="Times New Roman" w:eastAsia="Times New Roman" w:hAnsi="Times New Roman"/>
          <w:sz w:val="24"/>
          <w:szCs w:val="24"/>
        </w:rPr>
        <w:t xml:space="preserve"> the </w:t>
      </w:r>
      <w:proofErr w:type="gramStart"/>
      <w:r w:rsidRPr="002B1B5D">
        <w:rPr>
          <w:rFonts w:ascii="Times New Roman" w:eastAsia="Times New Roman" w:hAnsi="Times New Roman"/>
          <w:sz w:val="24"/>
          <w:szCs w:val="24"/>
        </w:rPr>
        <w:t>return to work</w:t>
      </w:r>
      <w:proofErr w:type="gramEnd"/>
      <w:r w:rsidRPr="002B1B5D">
        <w:rPr>
          <w:rFonts w:ascii="Times New Roman" w:eastAsia="Times New Roman" w:hAnsi="Times New Roman"/>
          <w:sz w:val="24"/>
          <w:szCs w:val="24"/>
        </w:rPr>
        <w:t xml:space="preserve"> agreement, Mr. Martin had two additional incidents of alcohol misuse, which led to him being arrested. Consequently, he violated his </w:t>
      </w:r>
      <w:proofErr w:type="gramStart"/>
      <w:r w:rsidRPr="002B1B5D">
        <w:rPr>
          <w:rFonts w:ascii="Times New Roman" w:eastAsia="Times New Roman" w:hAnsi="Times New Roman"/>
          <w:sz w:val="24"/>
          <w:szCs w:val="24"/>
        </w:rPr>
        <w:t>return to work</w:t>
      </w:r>
      <w:proofErr w:type="gramEnd"/>
      <w:r w:rsidRPr="002B1B5D">
        <w:rPr>
          <w:rFonts w:ascii="Times New Roman" w:eastAsia="Times New Roman" w:hAnsi="Times New Roman"/>
          <w:sz w:val="24"/>
          <w:szCs w:val="24"/>
        </w:rPr>
        <w:t xml:space="preserve"> agreement. While we acknowledge that termination from permanent employment is the most extreme form of disciplinary action taken against an employee, we cannot say the Commission's decision to uphold the termination in this case was arbitrary, capricious, or an abuse of discretion.</w:t>
      </w:r>
      <w:r>
        <w:rPr>
          <w:rFonts w:ascii="Times New Roman" w:eastAsia="Times New Roman" w:hAnsi="Times New Roman"/>
          <w:sz w:val="24"/>
          <w:szCs w:val="24"/>
        </w:rPr>
        <w:t xml:space="preserve">” </w:t>
      </w:r>
      <w:hyperlink r:id="rId1994" w:history="1">
        <w:r w:rsidRPr="00ED2C8C">
          <w:rPr>
            <w:rStyle w:val="Hyperlink"/>
            <w:sz w:val="24"/>
            <w:szCs w:val="24"/>
          </w:rPr>
          <w:t>https://law.justia.com/cases/louisiana/fourth-circuit-court-of-appeal/2021/2021-ca-0070.html</w:t>
        </w:r>
      </w:hyperlink>
      <w:r>
        <w:rPr>
          <w:rFonts w:ascii="Times New Roman" w:eastAsia="Times New Roman" w:hAnsi="Times New Roman"/>
          <w:sz w:val="24"/>
          <w:szCs w:val="24"/>
        </w:rPr>
        <w:t xml:space="preserve"> </w:t>
      </w:r>
    </w:p>
    <w:p w14:paraId="07062970" w14:textId="77777777" w:rsidR="00774A91" w:rsidRPr="00C0791C" w:rsidRDefault="00774A91" w:rsidP="00774A91">
      <w:pPr>
        <w:spacing w:before="100" w:beforeAutospacing="1" w:after="100" w:afterAutospacing="1" w:line="240" w:lineRule="auto"/>
        <w:rPr>
          <w:rFonts w:ascii="Times New Roman" w:eastAsia="Times New Roman" w:hAnsi="Times New Roman"/>
          <w:b/>
          <w:bCs/>
          <w:sz w:val="24"/>
          <w:szCs w:val="24"/>
        </w:rPr>
      </w:pPr>
      <w:r w:rsidRPr="00D431D9">
        <w:rPr>
          <w:rFonts w:ascii="Times New Roman" w:hAnsi="Times New Roman"/>
          <w:b/>
          <w:bCs/>
          <w:sz w:val="24"/>
          <w:szCs w:val="24"/>
        </w:rPr>
        <w:t>Legal Lesson Learned:</w:t>
      </w:r>
      <w:r>
        <w:rPr>
          <w:rFonts w:ascii="Times New Roman" w:hAnsi="Times New Roman"/>
          <w:b/>
          <w:bCs/>
          <w:sz w:val="24"/>
          <w:szCs w:val="24"/>
        </w:rPr>
        <w:t xml:space="preserve"> Return to work agreements and other “last chance agreements” are enforceable. </w:t>
      </w:r>
    </w:p>
    <w:p w14:paraId="41723C7F" w14:textId="77777777" w:rsidR="00774A91" w:rsidRDefault="00774A91" w:rsidP="00F326E5">
      <w:pPr>
        <w:rPr>
          <w:rFonts w:ascii="Arial Black" w:hAnsi="Arial Black"/>
          <w:b/>
          <w:sz w:val="24"/>
          <w:szCs w:val="24"/>
        </w:rPr>
      </w:pPr>
    </w:p>
    <w:p w14:paraId="2D0D6631" w14:textId="4435079F" w:rsidR="003E0A22" w:rsidRDefault="00A82898" w:rsidP="00F326E5">
      <w:pPr>
        <w:rPr>
          <w:rFonts w:ascii="Arial Black" w:hAnsi="Arial Black"/>
          <w:b/>
          <w:sz w:val="24"/>
          <w:szCs w:val="24"/>
        </w:rPr>
      </w:pPr>
      <w:r>
        <w:rPr>
          <w:rFonts w:ascii="Arial Black" w:hAnsi="Arial Black"/>
          <w:b/>
          <w:sz w:val="24"/>
          <w:szCs w:val="24"/>
        </w:rPr>
        <w:t>12-11</w:t>
      </w:r>
    </w:p>
    <w:p w14:paraId="16D4701E" w14:textId="77777777" w:rsidR="00A82898" w:rsidRDefault="00A82898" w:rsidP="00A82898">
      <w:pPr>
        <w:pStyle w:val="NormalWeb"/>
        <w:spacing w:before="0" w:beforeAutospacing="0" w:after="0" w:afterAutospacing="0" w:line="255" w:lineRule="atLeast"/>
        <w:rPr>
          <w:rStyle w:val="markedcontent"/>
          <w:rFonts w:ascii="Arial Black" w:hAnsi="Arial Black"/>
          <w:sz w:val="28"/>
          <w:szCs w:val="28"/>
        </w:rPr>
      </w:pPr>
      <w:r>
        <w:rPr>
          <w:rStyle w:val="markedcontent"/>
          <w:rFonts w:ascii="Arial Black" w:hAnsi="Arial Black"/>
          <w:sz w:val="28"/>
          <w:szCs w:val="28"/>
        </w:rPr>
        <w:t xml:space="preserve">CO: MARIJUANA - 44 STATES ALLOW USE – U.S. SUPREME COURT JUSTICE THOMAS: FEDS ARE “HALF-IN, HALF OUT” </w:t>
      </w:r>
    </w:p>
    <w:p w14:paraId="6EDDF135" w14:textId="77777777" w:rsidR="00A82898" w:rsidRDefault="00A82898" w:rsidP="00A82898">
      <w:pPr>
        <w:pStyle w:val="NormalWeb"/>
        <w:spacing w:before="0" w:beforeAutospacing="0" w:after="0" w:afterAutospacing="0" w:line="255" w:lineRule="atLeast"/>
        <w:rPr>
          <w:rStyle w:val="markedcontent"/>
          <w:rFonts w:ascii="Arial Black" w:hAnsi="Arial Black"/>
          <w:sz w:val="28"/>
          <w:szCs w:val="28"/>
        </w:rPr>
      </w:pPr>
    </w:p>
    <w:p w14:paraId="537B74F1" w14:textId="77777777" w:rsidR="00A82898" w:rsidRPr="005B0F3E" w:rsidRDefault="00A82898" w:rsidP="00A82898">
      <w:pPr>
        <w:pStyle w:val="NormalWeb"/>
        <w:spacing w:before="0" w:beforeAutospacing="0" w:after="0" w:afterAutospacing="0" w:line="255" w:lineRule="atLeast"/>
        <w:rPr>
          <w:rStyle w:val="markedcontent"/>
        </w:rPr>
      </w:pPr>
      <w:r w:rsidRPr="00C13F94">
        <w:rPr>
          <w:rStyle w:val="markedcontent"/>
        </w:rPr>
        <w:t xml:space="preserve">On June 28, 2021, in </w:t>
      </w:r>
      <w:r w:rsidRPr="00C13F94">
        <w:rPr>
          <w:rStyle w:val="markedcontent"/>
          <w:u w:val="single"/>
        </w:rPr>
        <w:t>Standing Akimbo, LLC et al. v. United States</w:t>
      </w:r>
      <w:r w:rsidRPr="00C13F94">
        <w:rPr>
          <w:rStyle w:val="markedcontent"/>
        </w:rPr>
        <w:t xml:space="preserve">, filed a dissent when the </w:t>
      </w:r>
      <w:r w:rsidRPr="005B0F3E">
        <w:rPr>
          <w:rStyle w:val="markedcontent"/>
        </w:rPr>
        <w:t xml:space="preserve">Court declined to hear appeal (requires 4 Justices to hear an appeal) of a medical marijuana dispensary in Colorado, that under </w:t>
      </w:r>
      <w:r w:rsidRPr="005B0F3E">
        <w:rPr>
          <w:rStyle w:val="markedcontent"/>
        </w:rPr>
        <w:lastRenderedPageBreak/>
        <w:t xml:space="preserve">Federal law cannot deduct cost of doing business from IRS taxes.  His dissent pointed out that “36 States allow medicinal marijuana use and 18 of those States also allow recreational use.”  </w:t>
      </w:r>
    </w:p>
    <w:p w14:paraId="4242109A" w14:textId="77777777" w:rsidR="00A82898" w:rsidRPr="005B0F3E" w:rsidRDefault="00A82898" w:rsidP="00A82898">
      <w:pPr>
        <w:pStyle w:val="NormalWeb"/>
        <w:spacing w:before="0" w:beforeAutospacing="0" w:after="0" w:afterAutospacing="0" w:line="255" w:lineRule="atLeast"/>
        <w:rPr>
          <w:rStyle w:val="markedcontent"/>
        </w:rPr>
      </w:pPr>
    </w:p>
    <w:p w14:paraId="7B83AF9F" w14:textId="77777777" w:rsidR="00A82898" w:rsidRPr="005B0F3E" w:rsidRDefault="00A82898" w:rsidP="00A82898">
      <w:pPr>
        <w:pStyle w:val="NormalWeb"/>
        <w:spacing w:before="0" w:beforeAutospacing="0" w:after="0" w:afterAutospacing="0" w:line="255" w:lineRule="atLeast"/>
        <w:ind w:left="720"/>
        <w:rPr>
          <w:rStyle w:val="Strong"/>
          <w:rFonts w:ascii="Arial" w:eastAsiaTheme="majorEastAsia" w:hAnsi="Arial" w:cs="Arial"/>
          <w:color w:val="555555"/>
        </w:rPr>
      </w:pPr>
      <w:r w:rsidRPr="005B0F3E">
        <w:rPr>
          <w:rStyle w:val="markedcontent"/>
        </w:rPr>
        <w:t xml:space="preserve">“Once comprehensive, the Federal Government’s current approach is a half-in, half-out regime that simultaneously tolerates and forbids local use of marijuana. This contradictory and unstable </w:t>
      </w:r>
      <w:proofErr w:type="gramStart"/>
      <w:r w:rsidRPr="005B0F3E">
        <w:rPr>
          <w:rStyle w:val="markedcontent"/>
        </w:rPr>
        <w:t>state of affairs</w:t>
      </w:r>
      <w:proofErr w:type="gramEnd"/>
      <w:r w:rsidRPr="005B0F3E">
        <w:rPr>
          <w:rStyle w:val="markedcontent"/>
        </w:rPr>
        <w:t xml:space="preserve"> strains basic principles of federalism and conceals traps for the unwary.  ***A prohibition on intrastate use or cultivation of marijuana may no longer be necessary or proper to support the Federal Government’s piecemeal approach.” </w:t>
      </w:r>
      <w:hyperlink r:id="rId1995" w:history="1">
        <w:r w:rsidRPr="005B0F3E">
          <w:rPr>
            <w:rStyle w:val="Hyperlink"/>
          </w:rPr>
          <w:t>https://www.supremecourt.gov/opinions/20pdf/20-645_9p6b.pdf</w:t>
        </w:r>
      </w:hyperlink>
      <w:r w:rsidRPr="005B0F3E">
        <w:rPr>
          <w:rStyle w:val="markedcontent"/>
        </w:rPr>
        <w:t xml:space="preserve"> </w:t>
      </w:r>
    </w:p>
    <w:p w14:paraId="05F55223" w14:textId="77777777" w:rsidR="00A82898" w:rsidRPr="005B0F3E" w:rsidRDefault="00A82898" w:rsidP="00A82898">
      <w:pPr>
        <w:pStyle w:val="NormalWeb"/>
        <w:spacing w:before="0" w:beforeAutospacing="0" w:after="0" w:afterAutospacing="0" w:line="255" w:lineRule="atLeast"/>
        <w:rPr>
          <w:rStyle w:val="markedcontent"/>
        </w:rPr>
      </w:pPr>
    </w:p>
    <w:p w14:paraId="2F5CC76E" w14:textId="77777777" w:rsidR="00A82898" w:rsidRPr="005B0F3E" w:rsidRDefault="00A82898" w:rsidP="00A82898">
      <w:pPr>
        <w:pStyle w:val="NormalWeb"/>
        <w:spacing w:before="0" w:beforeAutospacing="0" w:after="0" w:afterAutospacing="0" w:line="255" w:lineRule="atLeast"/>
        <w:rPr>
          <w:rStyle w:val="markedcontent"/>
        </w:rPr>
      </w:pPr>
      <w:r w:rsidRPr="005B0F3E">
        <w:rPr>
          <w:rStyle w:val="markedcontent"/>
        </w:rPr>
        <w:t>Facts [from 10</w:t>
      </w:r>
      <w:r w:rsidRPr="005B0F3E">
        <w:rPr>
          <w:rStyle w:val="markedcontent"/>
          <w:vertAlign w:val="superscript"/>
        </w:rPr>
        <w:t>th</w:t>
      </w:r>
      <w:r w:rsidRPr="005B0F3E">
        <w:rPr>
          <w:rStyle w:val="markedcontent"/>
        </w:rPr>
        <w:t xml:space="preserve"> Circuit decision, April 7, 2020: </w:t>
      </w:r>
    </w:p>
    <w:p w14:paraId="155BA214" w14:textId="77777777" w:rsidR="00A82898" w:rsidRPr="005B0F3E" w:rsidRDefault="00A82898" w:rsidP="00A82898">
      <w:pPr>
        <w:pStyle w:val="NormalWeb"/>
        <w:spacing w:before="0" w:beforeAutospacing="0" w:after="0" w:afterAutospacing="0" w:line="255" w:lineRule="atLeast"/>
        <w:rPr>
          <w:rStyle w:val="markedcontent"/>
        </w:rPr>
      </w:pPr>
    </w:p>
    <w:p w14:paraId="776587F1" w14:textId="77777777" w:rsidR="00A82898" w:rsidRPr="005B0F3E" w:rsidRDefault="00A82898" w:rsidP="00A82898">
      <w:pPr>
        <w:pStyle w:val="NormalWeb"/>
        <w:spacing w:before="0" w:beforeAutospacing="0" w:after="0" w:afterAutospacing="0" w:line="255" w:lineRule="atLeast"/>
        <w:ind w:left="720"/>
      </w:pPr>
      <w:r w:rsidRPr="005B0F3E">
        <w:t>“The Internal Revenue Service (IRS) is responsible to enforce the federal tax code against marijuana businesses operating legally under state law. This led to a civil audit of Peter Hermes, Kevin Desilet, Samantha Murphy, and John Murphy (collectively, the ‘Taxpayers’) to verify their tax liabilities for their medical-marijuana dispensary, Standing Akimbo, LLC. The IRS was investigating whether the Taxpayers had taken improper deductions for business expenses arising from a ‘trade or business’ that ‘consists of trafficking in controlled substances.’ 26 U.S.C. § 280E. But claiming to fear criminal prosecution, the Taxpayers declined to provide the audit information to the IRS. This left the IRS to seek the information elsewhere—it issued four summonses for plant reports, gross-sales reports and license information to the Colorado Department of Revenue’s Marijuana Enforcement Division (the ‘Enforcement Division’), which is the state entity responsible for regulating licensed marijuana sales.</w:t>
      </w:r>
    </w:p>
    <w:p w14:paraId="0D1D2EFA" w14:textId="77777777" w:rsidR="00A82898" w:rsidRPr="005B0F3E" w:rsidRDefault="00A82898" w:rsidP="00A82898">
      <w:pPr>
        <w:pStyle w:val="NormalWeb"/>
        <w:spacing w:before="0" w:beforeAutospacing="0" w:after="0" w:afterAutospacing="0" w:line="255" w:lineRule="atLeast"/>
        <w:ind w:left="720"/>
      </w:pPr>
    </w:p>
    <w:p w14:paraId="339FDB34" w14:textId="77777777" w:rsidR="00A82898" w:rsidRDefault="00A82898" w:rsidP="00A82898">
      <w:pPr>
        <w:pStyle w:val="NormalWeb"/>
        <w:spacing w:before="0" w:beforeAutospacing="0" w:after="0" w:afterAutospacing="0" w:line="255" w:lineRule="atLeast"/>
        <w:ind w:left="720"/>
        <w:rPr>
          <w:rStyle w:val="markedcontent"/>
          <w:sz w:val="27"/>
          <w:szCs w:val="27"/>
        </w:rPr>
      </w:pPr>
      <w:r w:rsidRPr="005B0F3E">
        <w:t>In Colorado federal district court, the Taxpayers filed a petition to quash the summonses. The government moved to dismiss the petition and to enforce the summonses. The district court granted the motion to dismiss and ordered the summonses enforced. Exercising jurisdiction under 28 U.S.C. § 1291, we affirm.”</w:t>
      </w:r>
      <w:r w:rsidRPr="005B0F3E">
        <w:rPr>
          <w:rStyle w:val="markedcontent"/>
        </w:rPr>
        <w:t xml:space="preserve"> </w:t>
      </w:r>
      <w:hyperlink r:id="rId1996" w:history="1">
        <w:r w:rsidRPr="005B0F3E">
          <w:rPr>
            <w:rStyle w:val="Hyperlink"/>
          </w:rPr>
          <w:t>https://cases.justia.com/federal/appellate-courts/ca10/19-1049/19-1049-2020-04-07.pdf?ts=1586277066</w:t>
        </w:r>
      </w:hyperlink>
      <w:r>
        <w:rPr>
          <w:rStyle w:val="markedcontent"/>
          <w:sz w:val="27"/>
          <w:szCs w:val="27"/>
        </w:rPr>
        <w:t xml:space="preserve"> ]</w:t>
      </w:r>
    </w:p>
    <w:p w14:paraId="16A91E14" w14:textId="77777777" w:rsidR="00A82898" w:rsidRPr="00AE19EB" w:rsidRDefault="00A82898" w:rsidP="00A82898">
      <w:pPr>
        <w:pStyle w:val="NormalWeb"/>
        <w:spacing w:before="0" w:beforeAutospacing="0" w:after="0" w:afterAutospacing="0" w:line="255" w:lineRule="atLeast"/>
        <w:ind w:left="720"/>
        <w:rPr>
          <w:rStyle w:val="markedcontent"/>
        </w:rPr>
      </w:pPr>
    </w:p>
    <w:p w14:paraId="70F3A3FA" w14:textId="77777777" w:rsidR="00A82898" w:rsidRPr="00AE19EB" w:rsidRDefault="00A82898" w:rsidP="00A82898">
      <w:pPr>
        <w:pStyle w:val="NormalWeb"/>
        <w:spacing w:before="0" w:beforeAutospacing="0" w:after="0" w:afterAutospacing="0" w:line="255" w:lineRule="atLeast"/>
        <w:rPr>
          <w:rStyle w:val="markedcontent"/>
          <w:b/>
          <w:bCs/>
        </w:rPr>
      </w:pPr>
      <w:r w:rsidRPr="00AE19EB">
        <w:rPr>
          <w:rStyle w:val="markedcontent"/>
          <w:b/>
          <w:bCs/>
        </w:rPr>
        <w:t xml:space="preserve">Legal Lesson Learned: Fire Departments should </w:t>
      </w:r>
      <w:r>
        <w:rPr>
          <w:rStyle w:val="markedcontent"/>
          <w:b/>
          <w:bCs/>
        </w:rPr>
        <w:t xml:space="preserve">consider </w:t>
      </w:r>
      <w:proofErr w:type="gramStart"/>
      <w:r w:rsidRPr="00AE19EB">
        <w:rPr>
          <w:rStyle w:val="markedcontent"/>
          <w:b/>
          <w:bCs/>
        </w:rPr>
        <w:t>adopt</w:t>
      </w:r>
      <w:proofErr w:type="gramEnd"/>
      <w:r w:rsidRPr="00AE19EB">
        <w:rPr>
          <w:rStyle w:val="markedcontent"/>
          <w:b/>
          <w:bCs/>
        </w:rPr>
        <w:t xml:space="preserve"> policies that </w:t>
      </w:r>
      <w:proofErr w:type="gramStart"/>
      <w:r w:rsidRPr="00AE19EB">
        <w:rPr>
          <w:rStyle w:val="markedcontent"/>
          <w:b/>
          <w:bCs/>
        </w:rPr>
        <w:t>requires</w:t>
      </w:r>
      <w:proofErr w:type="gramEnd"/>
      <w:r w:rsidRPr="00AE19EB">
        <w:rPr>
          <w:rStyle w:val="markedcontent"/>
          <w:b/>
          <w:bCs/>
        </w:rPr>
        <w:t xml:space="preserve"> firefighters to disclose any prescription for medicinal marijuana use, and </w:t>
      </w:r>
      <w:r>
        <w:rPr>
          <w:rStyle w:val="markedcontent"/>
          <w:b/>
          <w:bCs/>
        </w:rPr>
        <w:t xml:space="preserve">the </w:t>
      </w:r>
      <w:r w:rsidRPr="00AE19EB">
        <w:rPr>
          <w:rStyle w:val="markedcontent"/>
          <w:b/>
          <w:bCs/>
        </w:rPr>
        <w:t>duty restrictions</w:t>
      </w:r>
      <w:r>
        <w:rPr>
          <w:rStyle w:val="markedcontent"/>
          <w:b/>
          <w:bCs/>
        </w:rPr>
        <w:t xml:space="preserve"> for such firefighters. </w:t>
      </w:r>
    </w:p>
    <w:p w14:paraId="4DE6AF4C" w14:textId="77777777" w:rsidR="00A82898" w:rsidRDefault="00A82898" w:rsidP="00A82898">
      <w:pPr>
        <w:pStyle w:val="NoSpacing"/>
        <w:rPr>
          <w:rStyle w:val="markedcontent"/>
          <w:rFonts w:ascii="Times New Roman" w:hAnsi="Times New Roman"/>
          <w:sz w:val="24"/>
          <w:szCs w:val="24"/>
        </w:rPr>
      </w:pPr>
      <w:r w:rsidRPr="0041393A">
        <w:rPr>
          <w:rStyle w:val="markedcontent"/>
          <w:rFonts w:ascii="Times New Roman" w:hAnsi="Times New Roman"/>
          <w:sz w:val="24"/>
          <w:szCs w:val="24"/>
        </w:rPr>
        <w:tab/>
        <w:t>Note:</w:t>
      </w:r>
    </w:p>
    <w:p w14:paraId="25DFCBA8" w14:textId="77777777" w:rsidR="00A82898" w:rsidRDefault="00A82898" w:rsidP="00A82898">
      <w:pPr>
        <w:pStyle w:val="NoSpacing"/>
        <w:rPr>
          <w:rStyle w:val="markedcontent"/>
        </w:rPr>
      </w:pPr>
    </w:p>
    <w:p w14:paraId="1594A5BB" w14:textId="77777777" w:rsidR="00A82898" w:rsidRPr="0041393A" w:rsidRDefault="00A82898" w:rsidP="00A82898">
      <w:pPr>
        <w:pStyle w:val="NoSpacing"/>
        <w:ind w:firstLine="720"/>
        <w:rPr>
          <w:rFonts w:ascii="Times New Roman" w:hAnsi="Times New Roman"/>
          <w:sz w:val="24"/>
          <w:szCs w:val="24"/>
        </w:rPr>
      </w:pPr>
      <w:r w:rsidRPr="0041393A">
        <w:rPr>
          <w:rStyle w:val="markedcontent"/>
          <w:rFonts w:ascii="Times New Roman" w:hAnsi="Times New Roman"/>
          <w:sz w:val="24"/>
          <w:szCs w:val="24"/>
        </w:rPr>
        <w:t xml:space="preserve">June 29, 2021: </w:t>
      </w:r>
      <w:r w:rsidRPr="0041393A">
        <w:rPr>
          <w:rFonts w:ascii="Times New Roman" w:hAnsi="Times New Roman"/>
          <w:sz w:val="24"/>
          <w:szCs w:val="24"/>
        </w:rPr>
        <w:t>Mexico's supreme court decriminalizes recreational use of cannabis</w:t>
      </w:r>
    </w:p>
    <w:p w14:paraId="02A6A52B" w14:textId="77777777" w:rsidR="00A82898" w:rsidRDefault="00A82898" w:rsidP="00A82898">
      <w:pPr>
        <w:pStyle w:val="NoSpacing"/>
        <w:ind w:left="720"/>
      </w:pPr>
      <w:hyperlink r:id="rId1997" w:history="1">
        <w:r w:rsidRPr="004E5B98">
          <w:rPr>
            <w:rStyle w:val="Hyperlink"/>
            <w:sz w:val="24"/>
            <w:szCs w:val="24"/>
          </w:rPr>
          <w:t>https://www.cnn.com/2021/06/29/americas/mexico-cannabis-decriminalization-intl/index.html?utm_content=2021-06-29T08%3A51%3A14&amp;utm_term=link&amp;utm_source=twcnnbrk&amp;utm_medium=social</w:t>
        </w:r>
      </w:hyperlink>
      <w:r>
        <w:t xml:space="preserve"> </w:t>
      </w:r>
    </w:p>
    <w:p w14:paraId="4E1B18DE" w14:textId="77777777" w:rsidR="00A82898" w:rsidRPr="007E3D25" w:rsidRDefault="00A82898" w:rsidP="00A82898">
      <w:pPr>
        <w:pStyle w:val="NormalWeb"/>
        <w:spacing w:before="0" w:beforeAutospacing="0" w:after="0" w:afterAutospacing="0" w:line="255" w:lineRule="atLeast"/>
        <w:rPr>
          <w:rStyle w:val="markedcontent"/>
        </w:rPr>
      </w:pPr>
    </w:p>
    <w:p w14:paraId="0095E9FA" w14:textId="77777777" w:rsidR="00A82898" w:rsidRPr="00A82898" w:rsidRDefault="00A82898" w:rsidP="00A82898">
      <w:pPr>
        <w:pStyle w:val="Heading1"/>
        <w:ind w:left="720"/>
        <w:rPr>
          <w:b w:val="0"/>
          <w:bCs w:val="0"/>
          <w:sz w:val="24"/>
          <w:szCs w:val="24"/>
        </w:rPr>
      </w:pPr>
      <w:r>
        <w:rPr>
          <w:b w:val="0"/>
          <w:bCs w:val="0"/>
          <w:sz w:val="24"/>
          <w:szCs w:val="24"/>
        </w:rPr>
        <w:t>Sept. 23, 2020: “</w:t>
      </w:r>
      <w:r w:rsidRPr="00AE19EB">
        <w:rPr>
          <w:b w:val="0"/>
          <w:bCs w:val="0"/>
          <w:sz w:val="24"/>
          <w:szCs w:val="24"/>
        </w:rPr>
        <w:t>Can Fire Departments Prohibit Firefighter Off-Duty Medical Marijuana Use?</w:t>
      </w:r>
      <w:r>
        <w:rPr>
          <w:b w:val="0"/>
          <w:bCs w:val="0"/>
          <w:sz w:val="24"/>
          <w:szCs w:val="24"/>
        </w:rPr>
        <w:t xml:space="preserve">” </w:t>
      </w:r>
      <w:hyperlink r:id="rId1998" w:history="1">
        <w:r w:rsidRPr="00A82898">
          <w:rPr>
            <w:rStyle w:val="Hyperlink"/>
            <w:b w:val="0"/>
            <w:bCs w:val="0"/>
            <w:sz w:val="24"/>
            <w:szCs w:val="24"/>
          </w:rPr>
          <w:t>https://www.lexipol.com/resources/blog/can-fire-departments-prohibit-firefighter-off-duty-medical-marijuana-use/</w:t>
        </w:r>
      </w:hyperlink>
      <w:r w:rsidRPr="00A82898">
        <w:rPr>
          <w:b w:val="0"/>
          <w:bCs w:val="0"/>
          <w:sz w:val="24"/>
          <w:szCs w:val="24"/>
        </w:rPr>
        <w:t xml:space="preserve"> </w:t>
      </w:r>
    </w:p>
    <w:p w14:paraId="123DC077" w14:textId="77777777" w:rsidR="00A82898" w:rsidRPr="003D5D8C" w:rsidRDefault="00A82898" w:rsidP="00A82898">
      <w:pPr>
        <w:pStyle w:val="Heading1"/>
        <w:ind w:left="720"/>
        <w:rPr>
          <w:b w:val="0"/>
          <w:bCs w:val="0"/>
          <w:sz w:val="24"/>
          <w:szCs w:val="24"/>
        </w:rPr>
      </w:pPr>
      <w:r>
        <w:rPr>
          <w:b w:val="0"/>
          <w:bCs w:val="0"/>
          <w:sz w:val="24"/>
          <w:szCs w:val="24"/>
        </w:rPr>
        <w:t>Feb. 5, 2020: “</w:t>
      </w:r>
      <w:r w:rsidRPr="00434B0D">
        <w:rPr>
          <w:b w:val="0"/>
          <w:bCs w:val="0"/>
          <w:sz w:val="24"/>
          <w:szCs w:val="24"/>
        </w:rPr>
        <w:t>Marijuana in the Fire Service: Up in Smoke, Part II</w:t>
      </w:r>
      <w:r>
        <w:rPr>
          <w:b w:val="0"/>
          <w:bCs w:val="0"/>
          <w:sz w:val="24"/>
          <w:szCs w:val="24"/>
        </w:rPr>
        <w:t xml:space="preserve">.” </w:t>
      </w:r>
      <w:hyperlink r:id="rId1999" w:anchor="gref" w:history="1">
        <w:r w:rsidRPr="00A82898">
          <w:rPr>
            <w:rStyle w:val="Hyperlink"/>
            <w:b w:val="0"/>
            <w:bCs w:val="0"/>
            <w:sz w:val="24"/>
            <w:szCs w:val="24"/>
          </w:rPr>
          <w:t>https://www.fireengineering.com/leadership/marijuana-in-the-fire-service-up-in-smoke-part-ii/#gref</w:t>
        </w:r>
      </w:hyperlink>
      <w:r w:rsidRPr="00A82898">
        <w:rPr>
          <w:b w:val="0"/>
          <w:bCs w:val="0"/>
          <w:sz w:val="24"/>
          <w:szCs w:val="24"/>
        </w:rPr>
        <w:t xml:space="preserve"> </w:t>
      </w:r>
    </w:p>
    <w:p w14:paraId="427E286B" w14:textId="7CE17B31" w:rsidR="00A82898" w:rsidRDefault="00A82898" w:rsidP="00F326E5">
      <w:pPr>
        <w:rPr>
          <w:rFonts w:ascii="Arial Black" w:hAnsi="Arial Black"/>
          <w:b/>
          <w:sz w:val="24"/>
          <w:szCs w:val="24"/>
        </w:rPr>
      </w:pPr>
    </w:p>
    <w:p w14:paraId="338F2D95" w14:textId="77777777" w:rsidR="00A82898" w:rsidRDefault="00A82898" w:rsidP="00F326E5">
      <w:pPr>
        <w:rPr>
          <w:rFonts w:ascii="Arial Black" w:hAnsi="Arial Black"/>
          <w:b/>
          <w:sz w:val="24"/>
          <w:szCs w:val="24"/>
        </w:rPr>
      </w:pPr>
    </w:p>
    <w:p w14:paraId="4AAED520" w14:textId="37F24BB6" w:rsidR="003E0A22" w:rsidRDefault="003E0A22" w:rsidP="00F326E5">
      <w:pPr>
        <w:rPr>
          <w:rFonts w:ascii="Arial Black" w:hAnsi="Arial Black"/>
          <w:b/>
          <w:sz w:val="24"/>
          <w:szCs w:val="24"/>
        </w:rPr>
      </w:pPr>
      <w:r>
        <w:rPr>
          <w:rFonts w:ascii="Arial Black" w:hAnsi="Arial Black"/>
          <w:b/>
          <w:sz w:val="24"/>
          <w:szCs w:val="24"/>
        </w:rPr>
        <w:t>12-10</w:t>
      </w:r>
    </w:p>
    <w:p w14:paraId="11740AD7" w14:textId="77777777" w:rsidR="003E0A22" w:rsidRDefault="003E0A22" w:rsidP="003E0A22">
      <w:pPr>
        <w:rPr>
          <w:rFonts w:ascii="Arial Black" w:hAnsi="Arial Black"/>
          <w:b/>
          <w:sz w:val="28"/>
          <w:szCs w:val="28"/>
        </w:rPr>
      </w:pPr>
      <w:r>
        <w:rPr>
          <w:rFonts w:ascii="Arial Black" w:hAnsi="Arial Black"/>
          <w:b/>
          <w:sz w:val="28"/>
          <w:szCs w:val="28"/>
        </w:rPr>
        <w:lastRenderedPageBreak/>
        <w:t>NC: DIVISION CHIEF’S DUI CONVICTION – NOT ELIGIBLE TWO PROMOTIONS 2019 – TITLE VII (RACE) DISMISSED</w:t>
      </w:r>
    </w:p>
    <w:p w14:paraId="2BD0929A" w14:textId="77777777" w:rsidR="003E0A22" w:rsidRDefault="003E0A22" w:rsidP="003E0A22">
      <w:pPr>
        <w:rPr>
          <w:rFonts w:ascii="Times New Roman" w:hAnsi="Times New Roman"/>
          <w:bCs/>
          <w:sz w:val="24"/>
          <w:szCs w:val="24"/>
        </w:rPr>
      </w:pPr>
      <w:r>
        <w:rPr>
          <w:rFonts w:ascii="Times New Roman" w:hAnsi="Times New Roman"/>
          <w:bCs/>
          <w:sz w:val="24"/>
          <w:szCs w:val="24"/>
        </w:rPr>
        <w:t xml:space="preserve">On April 1, 2021, in </w:t>
      </w:r>
      <w:r>
        <w:rPr>
          <w:rFonts w:ascii="Times New Roman" w:hAnsi="Times New Roman"/>
          <w:bCs/>
          <w:sz w:val="24"/>
          <w:szCs w:val="24"/>
          <w:u w:val="single"/>
        </w:rPr>
        <w:t>Kevin Coppage v. City of Raleigh</w:t>
      </w:r>
      <w:r>
        <w:rPr>
          <w:rFonts w:ascii="Times New Roman" w:hAnsi="Times New Roman"/>
          <w:bCs/>
          <w:sz w:val="24"/>
          <w:szCs w:val="24"/>
        </w:rPr>
        <w:t xml:space="preserve">, U.S. District Court Chief Judge Richard E, Myers, II, </w:t>
      </w:r>
      <w:r>
        <w:rPr>
          <w:rFonts w:ascii="Times New Roman" w:hAnsi="Times New Roman"/>
          <w:sz w:val="24"/>
          <w:szCs w:val="24"/>
        </w:rPr>
        <w:t xml:space="preserve">United States District Court for the Eastern District of North Carolina, </w:t>
      </w:r>
      <w:r>
        <w:rPr>
          <w:rFonts w:ascii="Times New Roman" w:hAnsi="Times New Roman"/>
          <w:bCs/>
          <w:sz w:val="24"/>
          <w:szCs w:val="24"/>
        </w:rPr>
        <w:t xml:space="preserve">granted the City’s motion to for partial dismissal of the Amended Complaint. The plaintiff, a Division Chief (highest ranking </w:t>
      </w:r>
      <w:proofErr w:type="gramStart"/>
      <w:r>
        <w:rPr>
          <w:rFonts w:ascii="Times New Roman" w:hAnsi="Times New Roman"/>
          <w:bCs/>
          <w:sz w:val="24"/>
          <w:szCs w:val="24"/>
        </w:rPr>
        <w:t>African-American</w:t>
      </w:r>
      <w:proofErr w:type="gramEnd"/>
      <w:r>
        <w:rPr>
          <w:rFonts w:ascii="Times New Roman" w:hAnsi="Times New Roman"/>
          <w:bCs/>
          <w:sz w:val="24"/>
          <w:szCs w:val="24"/>
        </w:rPr>
        <w:t xml:space="preserve"> on the fire department), was convicted of an off-duty DUI on July 10, 2019.  In Oct. 2019, he was denied promotion to Assistant Fire </w:t>
      </w:r>
      <w:proofErr w:type="gramStart"/>
      <w:r>
        <w:rPr>
          <w:rFonts w:ascii="Times New Roman" w:hAnsi="Times New Roman"/>
          <w:bCs/>
          <w:sz w:val="24"/>
          <w:szCs w:val="24"/>
        </w:rPr>
        <w:t>based</w:t>
      </w:r>
      <w:proofErr w:type="gramEnd"/>
      <w:r>
        <w:rPr>
          <w:rFonts w:ascii="Times New Roman" w:hAnsi="Times New Roman"/>
          <w:bCs/>
          <w:sz w:val="24"/>
          <w:szCs w:val="24"/>
        </w:rPr>
        <w:t xml:space="preserve"> the FD’s Administrative Directive of March 21, </w:t>
      </w:r>
      <w:proofErr w:type="gramStart"/>
      <w:r>
        <w:rPr>
          <w:rFonts w:ascii="Times New Roman" w:hAnsi="Times New Roman"/>
          <w:bCs/>
          <w:sz w:val="24"/>
          <w:szCs w:val="24"/>
        </w:rPr>
        <w:t>2019</w:t>
      </w:r>
      <w:proofErr w:type="gramEnd"/>
      <w:r>
        <w:rPr>
          <w:rFonts w:ascii="Times New Roman" w:hAnsi="Times New Roman"/>
          <w:bCs/>
          <w:sz w:val="24"/>
          <w:szCs w:val="24"/>
        </w:rPr>
        <w:t xml:space="preserve"> that </w:t>
      </w:r>
      <w:proofErr w:type="gramStart"/>
      <w:r>
        <w:rPr>
          <w:rFonts w:ascii="Times New Roman" w:hAnsi="Times New Roman"/>
          <w:bCs/>
          <w:sz w:val="24"/>
          <w:szCs w:val="24"/>
        </w:rPr>
        <w:t>employees are current promotion lists</w:t>
      </w:r>
      <w:proofErr w:type="gramEnd"/>
      <w:r>
        <w:rPr>
          <w:rFonts w:ascii="Times New Roman" w:hAnsi="Times New Roman"/>
          <w:bCs/>
          <w:sz w:val="24"/>
          <w:szCs w:val="24"/>
        </w:rPr>
        <w:t xml:space="preserve"> are ineligible upon conviction. On </w:t>
      </w:r>
      <w:r>
        <w:rPr>
          <w:rFonts w:ascii="Times New Roman" w:hAnsi="Times New Roman"/>
          <w:sz w:val="24"/>
          <w:szCs w:val="24"/>
        </w:rPr>
        <w:t>November 29, 2019, plaintiff applied for the position of Division Chief of Service and was again denied based on his DUI conviction.  In Dec. 2019, he filed EEOC charge claiming he was denied seven (7) promotions because of his race.</w:t>
      </w:r>
    </w:p>
    <w:p w14:paraId="7B94F622" w14:textId="77777777" w:rsidR="003E0A22" w:rsidRDefault="003E0A22" w:rsidP="003E0A22">
      <w:pPr>
        <w:ind w:left="1440"/>
        <w:rPr>
          <w:rFonts w:ascii="Times New Roman" w:hAnsi="Times New Roman"/>
          <w:sz w:val="24"/>
          <w:szCs w:val="24"/>
        </w:rPr>
      </w:pPr>
      <w:r>
        <w:rPr>
          <w:rFonts w:ascii="Times New Roman" w:hAnsi="Times New Roman"/>
          <w:sz w:val="24"/>
          <w:szCs w:val="24"/>
        </w:rPr>
        <w:t xml:space="preserve">“On or about March 4, 2019, when Plaintiff was off duty, he was charged with ‘driving under the influence’ (‘DUI’); he was eventually convicted of the charge on or about July 10, 2019. On or about March 21, 2019, the Fire Department's Office of the Fire Chief published an Administrative Directive titled, ‘Impaired Driving Offenses,’ which directed that ‘[a]n employee . . . [who] is eligible for promotion on a concurrent promotional list will be ineligible for the current promotion if charged and convicted with an impaired driving offense.’ While the Administrative Directive was published with an effective date of March 1, 2019, the Office of the Fire Chief issued two other policies on March 21, </w:t>
      </w:r>
      <w:proofErr w:type="gramStart"/>
      <w:r>
        <w:rPr>
          <w:rFonts w:ascii="Times New Roman" w:hAnsi="Times New Roman"/>
          <w:sz w:val="24"/>
          <w:szCs w:val="24"/>
        </w:rPr>
        <w:t>2019</w:t>
      </w:r>
      <w:proofErr w:type="gramEnd"/>
      <w:r>
        <w:rPr>
          <w:rFonts w:ascii="Times New Roman" w:hAnsi="Times New Roman"/>
          <w:sz w:val="24"/>
          <w:szCs w:val="24"/>
        </w:rPr>
        <w:t xml:space="preserve"> that had effective dates of March 21, 2019. Plaintiff believes that the Office of </w:t>
      </w:r>
      <w:proofErr w:type="gramStart"/>
      <w:r>
        <w:rPr>
          <w:rFonts w:ascii="Times New Roman" w:hAnsi="Times New Roman"/>
          <w:sz w:val="24"/>
          <w:szCs w:val="24"/>
        </w:rPr>
        <w:t>the Fire</w:t>
      </w:r>
      <w:proofErr w:type="gramEnd"/>
      <w:r>
        <w:rPr>
          <w:rFonts w:ascii="Times New Roman" w:hAnsi="Times New Roman"/>
          <w:sz w:val="24"/>
          <w:szCs w:val="24"/>
        </w:rPr>
        <w:t xml:space="preserve"> Chief had never issued new policies with effective dates prior to the publication date and that the purpose of backdating the ‘Impaired Driving Offenses’ Administrative Directive was to provide a racially neutral pretext for denying Plaintiff further promotions. Plaintiff also believes that the Fire Department has promoted white firefighters who have been subject to the March 2019 Administrative Directive.</w:t>
      </w:r>
    </w:p>
    <w:p w14:paraId="1CB36E8A" w14:textId="77777777" w:rsidR="003E0A22" w:rsidRDefault="003E0A22" w:rsidP="003E0A22">
      <w:pPr>
        <w:ind w:left="720"/>
        <w:rPr>
          <w:rFonts w:ascii="Times New Roman" w:hAnsi="Times New Roman"/>
          <w:bCs/>
          <w:sz w:val="24"/>
          <w:szCs w:val="24"/>
        </w:rPr>
      </w:pPr>
      <w:r>
        <w:rPr>
          <w:rFonts w:ascii="Times New Roman" w:hAnsi="Times New Roman"/>
          <w:bCs/>
          <w:sz w:val="24"/>
          <w:szCs w:val="24"/>
        </w:rPr>
        <w:t xml:space="preserve"> </w:t>
      </w:r>
      <w:r>
        <w:rPr>
          <w:rFonts w:ascii="Times New Roman" w:hAnsi="Times New Roman"/>
          <w:bCs/>
          <w:sz w:val="24"/>
          <w:szCs w:val="24"/>
        </w:rPr>
        <w:tab/>
        <w:t>***</w:t>
      </w:r>
    </w:p>
    <w:p w14:paraId="2AA46519" w14:textId="77777777" w:rsidR="003E0A22" w:rsidRDefault="003E0A22" w:rsidP="003E0A22">
      <w:pPr>
        <w:ind w:left="1440"/>
        <w:rPr>
          <w:rFonts w:ascii="Times New Roman" w:hAnsi="Times New Roman"/>
          <w:sz w:val="24"/>
          <w:szCs w:val="24"/>
        </w:rPr>
      </w:pPr>
      <w:r>
        <w:rPr>
          <w:rFonts w:ascii="Times New Roman" w:hAnsi="Times New Roman"/>
          <w:sz w:val="24"/>
          <w:szCs w:val="24"/>
        </w:rPr>
        <w:t>Plaintiff's [Dec. 2019 EEOC] charge of discrimination lists only the discrete acts of failures to promote [on 7 occasions] and does not mention Defendant's treatment of other non-white firefighters, statistics concerning non-white employees in the Department, or the application of the Administrative Directive to Plaintiff or any other employee.</w:t>
      </w:r>
    </w:p>
    <w:p w14:paraId="7FC73610" w14:textId="77777777" w:rsidR="003E0A22" w:rsidRDefault="003E0A22" w:rsidP="003E0A22">
      <w:pPr>
        <w:ind w:left="1440"/>
        <w:rPr>
          <w:rFonts w:ascii="Times New Roman" w:hAnsi="Times New Roman"/>
          <w:sz w:val="24"/>
          <w:szCs w:val="24"/>
        </w:rPr>
      </w:pPr>
      <w:r>
        <w:rPr>
          <w:rFonts w:ascii="Times New Roman" w:hAnsi="Times New Roman"/>
          <w:sz w:val="24"/>
          <w:szCs w:val="24"/>
        </w:rPr>
        <w:t>***</w:t>
      </w:r>
    </w:p>
    <w:p w14:paraId="1871F6AE" w14:textId="77777777" w:rsidR="003E0A22" w:rsidRDefault="003E0A22" w:rsidP="003E0A22">
      <w:pPr>
        <w:ind w:left="1440"/>
        <w:rPr>
          <w:rFonts w:ascii="Times New Roman" w:hAnsi="Times New Roman"/>
          <w:bCs/>
          <w:sz w:val="24"/>
          <w:szCs w:val="24"/>
        </w:rPr>
      </w:pPr>
      <w:r>
        <w:rPr>
          <w:rFonts w:ascii="Times New Roman" w:hAnsi="Times New Roman"/>
          <w:sz w:val="24"/>
          <w:szCs w:val="24"/>
        </w:rPr>
        <w:t xml:space="preserve">The court must conclude that the factual allegations in the Amended Complaint are not reasonably related to the factual allegations in </w:t>
      </w:r>
      <w:proofErr w:type="gramStart"/>
      <w:r>
        <w:rPr>
          <w:rFonts w:ascii="Times New Roman" w:hAnsi="Times New Roman"/>
          <w:sz w:val="24"/>
          <w:szCs w:val="24"/>
        </w:rPr>
        <w:t>the charge</w:t>
      </w:r>
      <w:proofErr w:type="gramEnd"/>
      <w:r>
        <w:rPr>
          <w:rFonts w:ascii="Times New Roman" w:hAnsi="Times New Roman"/>
          <w:sz w:val="24"/>
          <w:szCs w:val="24"/>
        </w:rPr>
        <w:t xml:space="preserve"> of discrimination and, therefore, the Plaintiff's hostile work environment claim has exceeded the scope of the EEOC charge. As such, Plaintiff fails to state a plausible second claim for relief having failed to exhaust required administrative remedies.” </w:t>
      </w:r>
      <w:hyperlink r:id="rId2000" w:history="1">
        <w:r w:rsidRPr="0041276B">
          <w:rPr>
            <w:rStyle w:val="Hyperlink"/>
            <w:rFonts w:ascii="Times New Roman" w:hAnsi="Times New Roman"/>
            <w:sz w:val="24"/>
            <w:szCs w:val="24"/>
          </w:rPr>
          <w:t>https://casetext.com/case/coppage-v-city-of-raleigh-1</w:t>
        </w:r>
      </w:hyperlink>
      <w:r>
        <w:rPr>
          <w:rFonts w:ascii="Times New Roman" w:hAnsi="Times New Roman"/>
          <w:sz w:val="24"/>
          <w:szCs w:val="24"/>
        </w:rPr>
        <w:t xml:space="preserve"> </w:t>
      </w:r>
    </w:p>
    <w:p w14:paraId="3F8D963A" w14:textId="77777777" w:rsidR="003E0A22" w:rsidRDefault="003E0A22" w:rsidP="003E0A22">
      <w:pPr>
        <w:rPr>
          <w:rFonts w:ascii="Times New Roman" w:hAnsi="Times New Roman"/>
          <w:b/>
          <w:bCs/>
          <w:sz w:val="24"/>
          <w:szCs w:val="24"/>
        </w:rPr>
      </w:pPr>
      <w:r>
        <w:rPr>
          <w:rFonts w:ascii="Times New Roman" w:hAnsi="Times New Roman"/>
          <w:b/>
          <w:bCs/>
          <w:sz w:val="24"/>
          <w:szCs w:val="24"/>
        </w:rPr>
        <w:t xml:space="preserve">Legal Lesson Learned: FDs may adopt DUI policy prohibiting promotion based on a DUI conviction. </w:t>
      </w:r>
    </w:p>
    <w:p w14:paraId="35C8FF2B" w14:textId="77777777" w:rsidR="003E0A22" w:rsidRPr="0026670B" w:rsidRDefault="003E0A22" w:rsidP="003E0A22">
      <w:pPr>
        <w:ind w:left="720"/>
        <w:rPr>
          <w:rFonts w:ascii="Times New Roman" w:hAnsi="Times New Roman"/>
          <w:b/>
          <w:bCs/>
          <w:sz w:val="24"/>
          <w:szCs w:val="24"/>
        </w:rPr>
      </w:pPr>
      <w:r>
        <w:rPr>
          <w:rFonts w:ascii="Times New Roman" w:hAnsi="Times New Roman"/>
          <w:sz w:val="24"/>
          <w:szCs w:val="24"/>
        </w:rPr>
        <w:t xml:space="preserve">Note:  See article on San Antonio policy (Jan. 15, 2015): “Fire dept. changes rules after firefighter DWI arrests. The change in protocol comes after three firefighters were arrested for suspected drunk driving during a seven-week period last summer.” </w:t>
      </w:r>
      <w:hyperlink r:id="rId2001" w:history="1">
        <w:r w:rsidRPr="0026670B">
          <w:rPr>
            <w:rStyle w:val="Hyperlink"/>
            <w:sz w:val="24"/>
            <w:szCs w:val="24"/>
          </w:rPr>
          <w:t>https://www.firerescue1.com/dwi/articles/fire-dept-changes-rules-after-firefighter-dwi-arrests-rmaW6QcL6R9YmTqf/</w:t>
        </w:r>
      </w:hyperlink>
      <w:r w:rsidRPr="0026670B">
        <w:rPr>
          <w:rFonts w:ascii="Times New Roman" w:hAnsi="Times New Roman"/>
          <w:sz w:val="24"/>
          <w:szCs w:val="24"/>
        </w:rPr>
        <w:t xml:space="preserve"> </w:t>
      </w:r>
    </w:p>
    <w:p w14:paraId="7AF1F520" w14:textId="77777777" w:rsidR="003E0A22" w:rsidRDefault="003E0A22" w:rsidP="003E0A22">
      <w:pPr>
        <w:ind w:left="1440"/>
        <w:rPr>
          <w:rFonts w:ascii="Times New Roman" w:hAnsi="Times New Roman"/>
          <w:b/>
          <w:bCs/>
          <w:sz w:val="24"/>
          <w:szCs w:val="24"/>
        </w:rPr>
      </w:pPr>
      <w:r>
        <w:rPr>
          <w:rFonts w:ascii="Times New Roman" w:hAnsi="Times New Roman"/>
          <w:sz w:val="24"/>
          <w:szCs w:val="24"/>
        </w:rPr>
        <w:lastRenderedPageBreak/>
        <w:t xml:space="preserve">“SAFD has increased suspension lengths for firefighters arrested for Driving While Intoxicated. </w:t>
      </w:r>
      <w:proofErr w:type="gramStart"/>
      <w:r>
        <w:rPr>
          <w:rFonts w:ascii="Times New Roman" w:hAnsi="Times New Roman"/>
          <w:sz w:val="24"/>
          <w:szCs w:val="24"/>
        </w:rPr>
        <w:t>A first</w:t>
      </w:r>
      <w:proofErr w:type="gramEnd"/>
      <w:r>
        <w:rPr>
          <w:rFonts w:ascii="Times New Roman" w:hAnsi="Times New Roman"/>
          <w:sz w:val="24"/>
          <w:szCs w:val="24"/>
        </w:rPr>
        <w:t xml:space="preserve"> DWI arrest now results in a 60-day suspension and mandatory alcohol abuse counseling. This suspension length is four times longer than the 15-day suspension previously given for a first offense. A second DWI arrest results in termination.” </w:t>
      </w:r>
    </w:p>
    <w:p w14:paraId="2F55CB08" w14:textId="77777777" w:rsidR="003E0A22" w:rsidRPr="0078387A" w:rsidRDefault="003E0A22" w:rsidP="003E0A22">
      <w:pPr>
        <w:pStyle w:val="Heading1"/>
        <w:ind w:left="720"/>
        <w:rPr>
          <w:b w:val="0"/>
          <w:bCs w:val="0"/>
          <w:sz w:val="24"/>
          <w:szCs w:val="24"/>
        </w:rPr>
      </w:pPr>
      <w:r w:rsidRPr="0078387A">
        <w:rPr>
          <w:b w:val="0"/>
          <w:bCs w:val="0"/>
          <w:sz w:val="24"/>
          <w:szCs w:val="24"/>
        </w:rPr>
        <w:t xml:space="preserve">See this article on firefighter DUIs in California, written by Retired Captain Rafael Ortiz, Los Angeles County Fire Department.  “What Happens if a Firefighter Drinks/Drives in their Personal Life?”  </w:t>
      </w:r>
      <w:hyperlink r:id="rId2002" w:history="1">
        <w:r w:rsidRPr="003E0A22">
          <w:rPr>
            <w:rStyle w:val="Hyperlink"/>
            <w:b w:val="0"/>
            <w:bCs w:val="0"/>
            <w:sz w:val="24"/>
            <w:szCs w:val="24"/>
          </w:rPr>
          <w:t>http://futurefirefighters.org/firefighter-drinking-driving/</w:t>
        </w:r>
      </w:hyperlink>
      <w:r w:rsidRPr="003E0A22">
        <w:rPr>
          <w:b w:val="0"/>
          <w:bCs w:val="0"/>
          <w:sz w:val="24"/>
          <w:szCs w:val="24"/>
        </w:rPr>
        <w:t xml:space="preserve"> </w:t>
      </w:r>
    </w:p>
    <w:p w14:paraId="095AB5DF" w14:textId="77777777" w:rsidR="003E0A22" w:rsidRDefault="003E0A22" w:rsidP="003E0A22">
      <w:pPr>
        <w:pStyle w:val="Heading3"/>
        <w:ind w:left="720" w:firstLine="720"/>
        <w:rPr>
          <w:rFonts w:ascii="Times New Roman" w:hAnsi="Times New Roman" w:cs="Times New Roman"/>
          <w:color w:val="auto"/>
        </w:rPr>
      </w:pPr>
      <w:r>
        <w:rPr>
          <w:rFonts w:ascii="Times New Roman" w:hAnsi="Times New Roman" w:cs="Times New Roman"/>
          <w:color w:val="auto"/>
        </w:rPr>
        <w:t xml:space="preserve">“Typical Costs and Consequences of First Offense DUI. </w:t>
      </w:r>
    </w:p>
    <w:p w14:paraId="77FFD5D2" w14:textId="77777777" w:rsidR="003E0A22" w:rsidRDefault="003E0A22" w:rsidP="003E0A22">
      <w:pPr>
        <w:pStyle w:val="NormalWeb"/>
        <w:ind w:left="1440"/>
      </w:pPr>
      <w:r>
        <w:t>These would be without any aggravated circumstances, such as collision, injury, etc.</w:t>
      </w:r>
    </w:p>
    <w:p w14:paraId="2CBAC0C4" w14:textId="77777777" w:rsidR="003E0A22" w:rsidRDefault="003E0A22" w:rsidP="003E0A22">
      <w:pPr>
        <w:pStyle w:val="NormalWeb"/>
        <w:ind w:left="1440"/>
      </w:pPr>
      <w:r>
        <w:t>• Attorney Fees: $8,500.00</w:t>
      </w:r>
      <w:r>
        <w:br/>
        <w:t>• Court fines/fees: $1,500.00</w:t>
      </w:r>
      <w:r>
        <w:br/>
        <w:t>• Court mandated classes: $500.00</w:t>
      </w:r>
      <w:r>
        <w:br/>
        <w:t>• Additional insurance of: $1200.00 (per year for three years)</w:t>
      </w:r>
      <w:r>
        <w:br/>
        <w:t>• 6 months restricted license</w:t>
      </w:r>
      <w:r>
        <w:br/>
        <w:t>• Time off work during DMV license suspension (typically 30 days)</w:t>
      </w:r>
      <w:r>
        <w:br/>
        <w:t>• Attend eight classes at Alcohol Anonymous – 12 hours</w:t>
      </w:r>
      <w:r>
        <w:br/>
        <w:t>• Attend ten classes for Alcohol Awareness – 30 hours</w:t>
      </w:r>
      <w:r>
        <w:br/>
        <w:t>• Suspension or discharges from Fire Department or various lesser charges</w:t>
      </w:r>
    </w:p>
    <w:p w14:paraId="1381F333" w14:textId="77777777" w:rsidR="003E0A22" w:rsidRDefault="003E0A22" w:rsidP="003E0A22">
      <w:pPr>
        <w:pStyle w:val="NormalWeb"/>
        <w:ind w:left="1440"/>
        <w:rPr>
          <w:rFonts w:ascii="Arial Black" w:hAnsi="Arial Black"/>
          <w:b/>
          <w:bCs/>
          <w:sz w:val="40"/>
          <w:szCs w:val="40"/>
        </w:rPr>
      </w:pPr>
      <w:r>
        <w:t xml:space="preserve">The point is, if you want to be a firefighter (or remain a firefighter), don’t drink and drive.”  </w:t>
      </w:r>
    </w:p>
    <w:p w14:paraId="654F51C4" w14:textId="77777777" w:rsidR="003E0A22" w:rsidRDefault="003E0A22" w:rsidP="00F326E5">
      <w:pPr>
        <w:rPr>
          <w:rFonts w:ascii="Arial Black" w:hAnsi="Arial Black"/>
          <w:b/>
          <w:sz w:val="24"/>
          <w:szCs w:val="24"/>
        </w:rPr>
      </w:pPr>
    </w:p>
    <w:p w14:paraId="3212C351" w14:textId="77777777" w:rsidR="003E0A22" w:rsidRDefault="003E0A22" w:rsidP="00F326E5">
      <w:pPr>
        <w:rPr>
          <w:rFonts w:ascii="Arial Black" w:hAnsi="Arial Black"/>
          <w:b/>
          <w:sz w:val="24"/>
          <w:szCs w:val="24"/>
        </w:rPr>
      </w:pPr>
    </w:p>
    <w:p w14:paraId="32A05B25" w14:textId="303310A8" w:rsidR="00AD5461" w:rsidRDefault="00AD5461" w:rsidP="00F326E5">
      <w:pPr>
        <w:rPr>
          <w:rFonts w:ascii="Arial Black" w:hAnsi="Arial Black"/>
          <w:b/>
          <w:sz w:val="24"/>
          <w:szCs w:val="24"/>
        </w:rPr>
      </w:pPr>
      <w:r>
        <w:rPr>
          <w:rFonts w:ascii="Arial Black" w:hAnsi="Arial Black"/>
          <w:b/>
          <w:sz w:val="24"/>
          <w:szCs w:val="24"/>
        </w:rPr>
        <w:t>12-9</w:t>
      </w:r>
    </w:p>
    <w:p w14:paraId="0C5E5BF4" w14:textId="77777777" w:rsidR="00AD5461" w:rsidRPr="006C3DB9" w:rsidRDefault="00AD5461" w:rsidP="00AD5461">
      <w:pPr>
        <w:pStyle w:val="NoSpacing"/>
        <w:rPr>
          <w:rFonts w:ascii="Arial Black" w:hAnsi="Arial Black"/>
          <w:sz w:val="28"/>
          <w:szCs w:val="28"/>
        </w:rPr>
      </w:pPr>
      <w:r>
        <w:rPr>
          <w:rFonts w:ascii="Arial Black" w:hAnsi="Arial Black"/>
          <w:sz w:val="28"/>
          <w:szCs w:val="28"/>
        </w:rPr>
        <w:t>PA: PHILADELPHIA CANNOT OPEN A “SAFEHOUSE” WHERE DRUG ADDICTS CAN USE DRUGS – VIOL. FEDERAL LAW</w:t>
      </w:r>
    </w:p>
    <w:p w14:paraId="1AFA66E6" w14:textId="77777777" w:rsidR="00AD5461" w:rsidRPr="0043365C" w:rsidRDefault="00AD5461" w:rsidP="00AD5461">
      <w:pPr>
        <w:tabs>
          <w:tab w:val="left" w:pos="3820"/>
        </w:tabs>
        <w:spacing w:before="100" w:beforeAutospacing="1" w:after="100" w:afterAutospacing="1" w:line="240" w:lineRule="auto"/>
        <w:rPr>
          <w:rFonts w:ascii="Times New Roman" w:hAnsi="Times New Roman"/>
          <w:sz w:val="24"/>
          <w:szCs w:val="24"/>
        </w:rPr>
      </w:pPr>
      <w:r w:rsidRPr="0043365C">
        <w:rPr>
          <w:rFonts w:ascii="Times New Roman" w:hAnsi="Times New Roman"/>
          <w:sz w:val="24"/>
          <w:szCs w:val="24"/>
        </w:rPr>
        <w:t xml:space="preserve">On Jan. 12, 2021, in </w:t>
      </w:r>
      <w:r w:rsidRPr="0043365C">
        <w:rPr>
          <w:rFonts w:ascii="Times New Roman" w:hAnsi="Times New Roman"/>
          <w:sz w:val="24"/>
          <w:szCs w:val="24"/>
          <w:u w:val="single"/>
        </w:rPr>
        <w:t>Safehouse, a Pennsylvania nonprofit corporation, et al. v. U.S. Department of Justice</w:t>
      </w:r>
      <w:r w:rsidRPr="0043365C">
        <w:rPr>
          <w:rFonts w:ascii="Times New Roman" w:hAnsi="Times New Roman"/>
          <w:sz w:val="24"/>
          <w:szCs w:val="24"/>
        </w:rPr>
        <w:t xml:space="preserve">, </w:t>
      </w:r>
      <w:r>
        <w:rPr>
          <w:rFonts w:ascii="Times New Roman" w:hAnsi="Times New Roman"/>
          <w:sz w:val="24"/>
          <w:szCs w:val="24"/>
        </w:rPr>
        <w:t xml:space="preserve">the U.S. Court of Appeals for the Third Circuit, held (2 to 1) that the U.S. District Court improperly held that Safehouses conduct would not violate the Controlled Substance Act of 1970, and denied the Government’s motion for declaratory judgment.  </w:t>
      </w:r>
    </w:p>
    <w:p w14:paraId="134A556E" w14:textId="77777777" w:rsidR="00AD5461" w:rsidRDefault="00AD5461" w:rsidP="00AD5461">
      <w:pPr>
        <w:pStyle w:val="NoSpacing"/>
        <w:ind w:left="720"/>
        <w:rPr>
          <w:rFonts w:ascii="Times New Roman" w:hAnsi="Times New Roman"/>
          <w:sz w:val="24"/>
          <w:szCs w:val="24"/>
        </w:rPr>
      </w:pPr>
      <w:r w:rsidRPr="0043365C">
        <w:rPr>
          <w:rFonts w:ascii="Times New Roman" w:hAnsi="Times New Roman"/>
          <w:sz w:val="24"/>
          <w:szCs w:val="24"/>
        </w:rPr>
        <w:t xml:space="preserve">“The opioid crisis is a grave problem that calls for creative solutions. Safehouse wants to experiment with one. Its goal, saving lives, is laudable. But it is not our job to </w:t>
      </w:r>
      <w:proofErr w:type="gramStart"/>
      <w:r w:rsidRPr="0043365C">
        <w:rPr>
          <w:rFonts w:ascii="Times New Roman" w:hAnsi="Times New Roman"/>
          <w:sz w:val="24"/>
          <w:szCs w:val="24"/>
        </w:rPr>
        <w:t>opine on</w:t>
      </w:r>
      <w:proofErr w:type="gramEnd"/>
      <w:r w:rsidRPr="0043365C">
        <w:rPr>
          <w:rFonts w:ascii="Times New Roman" w:hAnsi="Times New Roman"/>
          <w:sz w:val="24"/>
          <w:szCs w:val="24"/>
        </w:rPr>
        <w:t xml:space="preserve"> whether its experiment is wise. The statute forbids opening and maintaining any place for visitors to come use drugs. Its words are not limited to crack houses. Congress has chosen one rational approach to reducing drug use and trafficking: a flat ban. We cannot rewrite the statute. Only Congress can. </w:t>
      </w:r>
      <w:proofErr w:type="gramStart"/>
      <w:r w:rsidRPr="0043365C">
        <w:rPr>
          <w:rFonts w:ascii="Times New Roman" w:hAnsi="Times New Roman"/>
          <w:sz w:val="24"/>
          <w:szCs w:val="24"/>
        </w:rPr>
        <w:t>So</w:t>
      </w:r>
      <w:proofErr w:type="gramEnd"/>
      <w:r w:rsidRPr="0043365C">
        <w:rPr>
          <w:rFonts w:ascii="Times New Roman" w:hAnsi="Times New Roman"/>
          <w:sz w:val="24"/>
          <w:szCs w:val="24"/>
        </w:rPr>
        <w:t xml:space="preserve"> we will reverse and remand for the District Court to consider the RFRA counterclaim.”  </w:t>
      </w:r>
      <w:hyperlink r:id="rId2003" w:history="1">
        <w:r w:rsidRPr="00AA6AFA">
          <w:rPr>
            <w:rStyle w:val="Hyperlink"/>
            <w:rFonts w:ascii="Times New Roman" w:hAnsi="Times New Roman"/>
            <w:sz w:val="24"/>
            <w:szCs w:val="24"/>
          </w:rPr>
          <w:t>https://law.justia.com/cases/federal/appellate-courts/ca3/20-1422/20-1422-2021-01-12.html</w:t>
        </w:r>
      </w:hyperlink>
      <w:r>
        <w:rPr>
          <w:rFonts w:ascii="Times New Roman" w:hAnsi="Times New Roman"/>
          <w:sz w:val="24"/>
          <w:szCs w:val="24"/>
        </w:rPr>
        <w:t xml:space="preserve"> </w:t>
      </w:r>
    </w:p>
    <w:p w14:paraId="0206A222" w14:textId="77777777" w:rsidR="00AD5461" w:rsidRDefault="00AD5461" w:rsidP="00AD5461">
      <w:pPr>
        <w:spacing w:before="100" w:beforeAutospacing="1" w:after="100" w:afterAutospacing="1" w:line="240" w:lineRule="auto"/>
        <w:rPr>
          <w:rFonts w:ascii="Times New Roman" w:eastAsia="Times New Roman" w:hAnsi="Times New Roman"/>
          <w:b/>
          <w:bCs/>
          <w:sz w:val="24"/>
          <w:szCs w:val="24"/>
        </w:rPr>
      </w:pPr>
      <w:r w:rsidRPr="0015227C">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Amsterdam and other locations in Europe proved “safe sites” for drug use, but in U.S. this violates federal law.</w:t>
      </w:r>
    </w:p>
    <w:p w14:paraId="5386A4B4" w14:textId="77777777" w:rsidR="00AD5461" w:rsidRDefault="00AD5461" w:rsidP="00AD546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lastRenderedPageBreak/>
        <w:t xml:space="preserve">Note: See Report – “Drug Consumption Rooms </w:t>
      </w:r>
      <w:proofErr w:type="gramStart"/>
      <w:r>
        <w:rPr>
          <w:rFonts w:ascii="Times New Roman" w:eastAsia="Times New Roman" w:hAnsi="Times New Roman"/>
          <w:sz w:val="24"/>
          <w:szCs w:val="24"/>
        </w:rPr>
        <w:t>In</w:t>
      </w:r>
      <w:proofErr w:type="gramEnd"/>
      <w:r>
        <w:rPr>
          <w:rFonts w:ascii="Times New Roman" w:eastAsia="Times New Roman" w:hAnsi="Times New Roman"/>
          <w:sz w:val="24"/>
          <w:szCs w:val="24"/>
        </w:rPr>
        <w:t xml:space="preserve"> Europe.” </w:t>
      </w:r>
    </w:p>
    <w:p w14:paraId="6F6969A1" w14:textId="77777777" w:rsidR="00AD5461" w:rsidRPr="0015227C" w:rsidRDefault="00AD5461" w:rsidP="00AD5461">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15227C">
        <w:rPr>
          <w:rFonts w:ascii="Times New Roman" w:hAnsi="Times New Roman"/>
          <w:sz w:val="24"/>
          <w:szCs w:val="24"/>
        </w:rPr>
        <w:t>Clients generally report low levels of public drug use, particularly during the hours when DCR [drug consumption room] facilities are open. Respondents indicated that the main reasons for</w:t>
      </w:r>
      <w:r>
        <w:rPr>
          <w:rFonts w:ascii="Times New Roman" w:hAnsi="Times New Roman"/>
          <w:sz w:val="24"/>
          <w:szCs w:val="24"/>
        </w:rPr>
        <w:t xml:space="preserve"> </w:t>
      </w:r>
      <w:r w:rsidRPr="0015227C">
        <w:rPr>
          <w:rFonts w:ascii="Times New Roman" w:hAnsi="Times New Roman"/>
          <w:sz w:val="24"/>
          <w:szCs w:val="24"/>
        </w:rPr>
        <w:t>attending DCR facilities included safety, social interaction, and police avoidance. Clients rely heavily on the social functions of the DCR –many clients who have their own home or other private place to use their drugs still choose to regularly access DCR services and to maintain contact with peers.</w:t>
      </w:r>
      <w:r>
        <w:rPr>
          <w:rFonts w:ascii="Times New Roman" w:hAnsi="Times New Roman"/>
          <w:sz w:val="24"/>
          <w:szCs w:val="24"/>
        </w:rPr>
        <w:t xml:space="preserve">” </w:t>
      </w:r>
      <w:hyperlink r:id="rId2004" w:history="1">
        <w:r w:rsidRPr="00AA6AFA">
          <w:rPr>
            <w:rStyle w:val="Hyperlink"/>
            <w:rFonts w:ascii="Times New Roman" w:eastAsia="Times New Roman" w:hAnsi="Times New Roman"/>
            <w:sz w:val="24"/>
            <w:szCs w:val="24"/>
          </w:rPr>
          <w:t>http://www.drugconsumptionroom-international.org/images/pdf/dcr_in_rotterdam_amsterdam.pdf</w:t>
        </w:r>
      </w:hyperlink>
      <w:r>
        <w:rPr>
          <w:rFonts w:ascii="Times New Roman" w:eastAsia="Times New Roman" w:hAnsi="Times New Roman"/>
          <w:sz w:val="24"/>
          <w:szCs w:val="24"/>
        </w:rPr>
        <w:t xml:space="preserve"> </w:t>
      </w:r>
    </w:p>
    <w:p w14:paraId="1F650893" w14:textId="77777777" w:rsidR="00AD5461" w:rsidRDefault="00AD5461" w:rsidP="00F326E5">
      <w:pPr>
        <w:rPr>
          <w:rFonts w:ascii="Arial Black" w:hAnsi="Arial Black"/>
          <w:b/>
          <w:sz w:val="24"/>
          <w:szCs w:val="24"/>
        </w:rPr>
      </w:pPr>
    </w:p>
    <w:p w14:paraId="2B8A163C" w14:textId="561F4D04" w:rsidR="00557CA2" w:rsidRDefault="00557CA2" w:rsidP="00F326E5">
      <w:pPr>
        <w:rPr>
          <w:rFonts w:ascii="Arial Black" w:hAnsi="Arial Black"/>
          <w:b/>
          <w:sz w:val="24"/>
          <w:szCs w:val="24"/>
        </w:rPr>
      </w:pPr>
      <w:r>
        <w:rPr>
          <w:rFonts w:ascii="Arial Black" w:hAnsi="Arial Black"/>
          <w:b/>
          <w:sz w:val="24"/>
          <w:szCs w:val="24"/>
        </w:rPr>
        <w:t>12-8</w:t>
      </w:r>
    </w:p>
    <w:p w14:paraId="40883192" w14:textId="77777777" w:rsidR="00557CA2" w:rsidRDefault="00557CA2" w:rsidP="00557CA2">
      <w:pPr>
        <w:pStyle w:val="Heading1"/>
        <w:rPr>
          <w:rFonts w:ascii="Arial Black" w:hAnsi="Arial Black"/>
          <w:sz w:val="28"/>
          <w:szCs w:val="28"/>
        </w:rPr>
      </w:pPr>
      <w:r>
        <w:rPr>
          <w:rFonts w:ascii="Arial Black" w:hAnsi="Arial Black"/>
          <w:sz w:val="28"/>
          <w:szCs w:val="28"/>
        </w:rPr>
        <w:t xml:space="preserve">PA: TACO BELL MANAGER CALLS 911 – CUSTOMER “ASLEEP STANDING UP” – PD FIND DRUGS – CUSTOMER CONVICTED </w:t>
      </w:r>
    </w:p>
    <w:p w14:paraId="43E28C99" w14:textId="77777777" w:rsidR="00557CA2" w:rsidRDefault="00557CA2" w:rsidP="00557CA2">
      <w:pPr>
        <w:pStyle w:val="Heading1"/>
        <w:rPr>
          <w:b w:val="0"/>
          <w:bCs w:val="0"/>
          <w:sz w:val="24"/>
          <w:szCs w:val="24"/>
        </w:rPr>
      </w:pPr>
      <w:r>
        <w:rPr>
          <w:b w:val="0"/>
          <w:bCs w:val="0"/>
          <w:sz w:val="24"/>
          <w:szCs w:val="24"/>
        </w:rPr>
        <w:t xml:space="preserve">On Aug. 14, 2020, in </w:t>
      </w:r>
      <w:r>
        <w:rPr>
          <w:b w:val="0"/>
          <w:bCs w:val="0"/>
          <w:sz w:val="24"/>
          <w:szCs w:val="24"/>
          <w:u w:val="single"/>
        </w:rPr>
        <w:t>Commonwealth of Pennsylvania v. Obed Nunez</w:t>
      </w:r>
      <w:r>
        <w:rPr>
          <w:b w:val="0"/>
          <w:bCs w:val="0"/>
          <w:sz w:val="24"/>
          <w:szCs w:val="24"/>
        </w:rPr>
        <w:t xml:space="preserve">, Superior Court of Pennsylvania, 2020 PA Super 198, held (3 to 0) that the trial court judge properly held that the PA Overdose Immunity statute does not apply since the Taco Bell Manager William Jay called 911 because a customer was “asleep standing up,” not because the customer was necessarily having an overdose.  </w:t>
      </w:r>
      <w:proofErr w:type="gramStart"/>
      <w:r>
        <w:rPr>
          <w:b w:val="0"/>
          <w:bCs w:val="0"/>
          <w:sz w:val="24"/>
          <w:szCs w:val="24"/>
        </w:rPr>
        <w:t>Also</w:t>
      </w:r>
      <w:proofErr w:type="gramEnd"/>
      <w:r>
        <w:rPr>
          <w:b w:val="0"/>
          <w:bCs w:val="0"/>
          <w:sz w:val="24"/>
          <w:szCs w:val="24"/>
        </w:rPr>
        <w:t xml:space="preserve"> PA statute requires 911 </w:t>
      </w:r>
      <w:proofErr w:type="gramStart"/>
      <w:r>
        <w:rPr>
          <w:b w:val="0"/>
          <w:bCs w:val="0"/>
          <w:sz w:val="24"/>
          <w:szCs w:val="24"/>
        </w:rPr>
        <w:t>caller</w:t>
      </w:r>
      <w:proofErr w:type="gramEnd"/>
      <w:r>
        <w:rPr>
          <w:b w:val="0"/>
          <w:bCs w:val="0"/>
          <w:sz w:val="24"/>
          <w:szCs w:val="24"/>
        </w:rPr>
        <w:t xml:space="preserve"> to remain with overdose person. </w:t>
      </w:r>
    </w:p>
    <w:p w14:paraId="6538AC43" w14:textId="27055F52" w:rsidR="00557CA2" w:rsidRDefault="00557CA2" w:rsidP="00557CA2">
      <w:pPr>
        <w:spacing w:after="100" w:line="240" w:lineRule="auto"/>
        <w:ind w:left="720"/>
        <w:rPr>
          <w:rFonts w:ascii="Times New Roman" w:hAnsi="Times New Roman"/>
          <w:sz w:val="24"/>
          <w:szCs w:val="24"/>
        </w:rPr>
      </w:pPr>
      <w:r>
        <w:rPr>
          <w:rFonts w:ascii="Times New Roman" w:hAnsi="Times New Roman"/>
          <w:sz w:val="24"/>
          <w:szCs w:val="24"/>
        </w:rPr>
        <w:t xml:space="preserve">“However, Mr. Jay [Taco Bell Manager] did not make any statement during this call that he reasonably believed Appellant required immediate medical attention, </w:t>
      </w:r>
      <w:r>
        <w:rPr>
          <w:rFonts w:ascii="Times New Roman" w:hAnsi="Times New Roman"/>
          <w:i/>
          <w:iCs/>
          <w:sz w:val="24"/>
          <w:szCs w:val="24"/>
        </w:rPr>
        <w:t>see id.,</w:t>
      </w:r>
      <w:r>
        <w:rPr>
          <w:rFonts w:ascii="Times New Roman" w:hAnsi="Times New Roman"/>
          <w:sz w:val="24"/>
          <w:szCs w:val="24"/>
        </w:rPr>
        <w:t xml:space="preserve"> nor did Mr. Jay relay to the dispatcher that he reasonably believed Appellant was experiencing a drug overdose event, as defined by the Act.” </w:t>
      </w:r>
      <w:hyperlink r:id="rId2005" w:history="1">
        <w:r>
          <w:rPr>
            <w:rStyle w:val="Hyperlink"/>
            <w:sz w:val="24"/>
            <w:szCs w:val="24"/>
          </w:rPr>
          <w:t>https://scholar.google.com/scholar_case?case=14934683326774120071&amp;q=Pennsylvania+%22overdose+response%22&amp;hl=en&amp;scisbd=2&amp;as_sdt=6,36&amp;as_ylo=2020</w:t>
        </w:r>
      </w:hyperlink>
      <w:r>
        <w:rPr>
          <w:rFonts w:ascii="Times New Roman" w:hAnsi="Times New Roman"/>
          <w:sz w:val="24"/>
          <w:szCs w:val="24"/>
        </w:rPr>
        <w:t xml:space="preserve"> </w:t>
      </w:r>
    </w:p>
    <w:p w14:paraId="273E1DE8" w14:textId="77777777" w:rsidR="00557CA2" w:rsidRDefault="00557CA2" w:rsidP="00557CA2">
      <w:pPr>
        <w:spacing w:after="10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Over 40 states have enacted Drug Overdose Immunity statutes, designed to encourage fellow drug users to call 911, without fear of their own arrest.   </w:t>
      </w:r>
    </w:p>
    <w:p w14:paraId="150E1B6F" w14:textId="77777777" w:rsidR="00557CA2" w:rsidRDefault="00557CA2" w:rsidP="00557CA2">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A similar decision involving a customer in a McDonald’s restaurant, Aug. 13, 2020: Commonwealth of Pennsylvania v. Francis South, 2020 PA Super 194: </w:t>
      </w:r>
    </w:p>
    <w:p w14:paraId="593F361B" w14:textId="77777777" w:rsidR="00557CA2" w:rsidRDefault="00557CA2" w:rsidP="00557CA2">
      <w:pPr>
        <w:spacing w:after="100" w:line="240" w:lineRule="auto"/>
        <w:ind w:left="720"/>
        <w:rPr>
          <w:rFonts w:ascii="Times New Roman" w:eastAsia="Times New Roman" w:hAnsi="Times New Roman"/>
          <w:sz w:val="24"/>
          <w:szCs w:val="24"/>
        </w:rPr>
      </w:pPr>
      <w:r>
        <w:rPr>
          <w:rFonts w:ascii="Times New Roman" w:hAnsi="Times New Roman"/>
          <w:sz w:val="24"/>
          <w:szCs w:val="24"/>
        </w:rPr>
        <w:t>“During her shift, Ms. Glass called 911 and [reported that an adult white male was passed out in the restaurant, and during the call, he got up and proceeded to exit the building and stumble through the parking lot….  To qualify for immunity, it was Appellant's burden to show that Ms. Glass reasonably believed he required emergency medical care due to a drug overdose. 35 P.S. § 780-113.7(2)(</w:t>
      </w:r>
      <w:proofErr w:type="spellStart"/>
      <w:r>
        <w:rPr>
          <w:rFonts w:ascii="Times New Roman" w:hAnsi="Times New Roman"/>
          <w:sz w:val="24"/>
          <w:szCs w:val="24"/>
        </w:rPr>
        <w:t>i</w:t>
      </w:r>
      <w:proofErr w:type="spellEnd"/>
      <w:r>
        <w:rPr>
          <w:rFonts w:ascii="Times New Roman" w:hAnsi="Times New Roman"/>
          <w:sz w:val="24"/>
          <w:szCs w:val="24"/>
        </w:rPr>
        <w:t xml:space="preserve">); </w:t>
      </w:r>
      <w:hyperlink r:id="rId2006" w:history="1">
        <w:r>
          <w:rPr>
            <w:rStyle w:val="Hyperlink"/>
            <w:i/>
            <w:iCs/>
            <w:sz w:val="24"/>
            <w:szCs w:val="24"/>
          </w:rPr>
          <w:t>Lewis,</w:t>
        </w:r>
        <w:r>
          <w:rPr>
            <w:rStyle w:val="Hyperlink"/>
            <w:sz w:val="24"/>
            <w:szCs w:val="24"/>
          </w:rPr>
          <w:t xml:space="preserve"> 180 A.3d at 791</w:t>
        </w:r>
      </w:hyperlink>
      <w:r>
        <w:rPr>
          <w:rFonts w:ascii="Times New Roman" w:hAnsi="Times New Roman"/>
          <w:sz w:val="24"/>
          <w:szCs w:val="24"/>
        </w:rPr>
        <w:t xml:space="preserve">. We agree with the trial court's conclusion that there was no evidence submitted at Appellant's trial ‘which would support that Ms. Glass, as the reporter, had any reasonable belief that Appellant was in need of immediate medical attention to prevent death or serious bodily injury from a drug overdose." Trial Court Opinion, 1/10/20, at 8.’”  </w:t>
      </w:r>
      <w:hyperlink r:id="rId2007" w:history="1">
        <w:r>
          <w:rPr>
            <w:rStyle w:val="Hyperlink"/>
            <w:sz w:val="24"/>
            <w:szCs w:val="24"/>
          </w:rPr>
          <w:t>https://scholar.google.com/scholar_case?case=1228128574784444684&amp;q=Pennsylvania+%22overdose+response%22&amp;hl=en&amp;scisbd=2&amp;as_sdt=6,36&amp;as_ylo=2020</w:t>
        </w:r>
      </w:hyperlink>
      <w:r>
        <w:rPr>
          <w:rFonts w:ascii="Times New Roman" w:eastAsia="Times New Roman" w:hAnsi="Times New Roman"/>
          <w:sz w:val="24"/>
          <w:szCs w:val="24"/>
        </w:rPr>
        <w:t xml:space="preserve"> </w:t>
      </w:r>
    </w:p>
    <w:p w14:paraId="690BA045" w14:textId="77777777" w:rsidR="00557CA2" w:rsidRDefault="00557CA2" w:rsidP="00557CA2">
      <w:pPr>
        <w:spacing w:after="100" w:line="240" w:lineRule="auto"/>
        <w:ind w:left="720"/>
        <w:rPr>
          <w:rFonts w:ascii="Times New Roman" w:eastAsia="Times New Roman" w:hAnsi="Times New Roman"/>
          <w:b/>
          <w:bCs/>
          <w:sz w:val="24"/>
          <w:szCs w:val="24"/>
        </w:rPr>
      </w:pPr>
    </w:p>
    <w:p w14:paraId="7E105792" w14:textId="77777777" w:rsidR="00557CA2" w:rsidRPr="007C158F" w:rsidRDefault="00557CA2" w:rsidP="00557CA2">
      <w:pPr>
        <w:pStyle w:val="Heading2"/>
        <w:ind w:left="720"/>
        <w:rPr>
          <w:rFonts w:ascii="Times New Roman" w:eastAsiaTheme="majorEastAsia" w:hAnsi="Times New Roman"/>
          <w:b w:val="0"/>
          <w:bCs w:val="0"/>
          <w:i w:val="0"/>
          <w:iCs w:val="0"/>
          <w:sz w:val="24"/>
          <w:szCs w:val="24"/>
        </w:rPr>
      </w:pPr>
      <w:r w:rsidRPr="007C158F">
        <w:rPr>
          <w:rFonts w:ascii="Times New Roman" w:hAnsi="Times New Roman"/>
          <w:b w:val="0"/>
          <w:bCs w:val="0"/>
          <w:i w:val="0"/>
          <w:iCs w:val="0"/>
          <w:sz w:val="24"/>
          <w:szCs w:val="24"/>
        </w:rPr>
        <w:t xml:space="preserve">See also Ohio law – ORC 2925.11 Possession of controlled substances. </w:t>
      </w:r>
      <w:hyperlink r:id="rId2008" w:history="1">
        <w:r w:rsidRPr="007C158F">
          <w:rPr>
            <w:rStyle w:val="Hyperlink"/>
            <w:rFonts w:ascii="Times New Roman" w:hAnsi="Times New Roman"/>
            <w:b w:val="0"/>
            <w:bCs w:val="0"/>
            <w:i w:val="0"/>
            <w:iCs w:val="0"/>
            <w:sz w:val="24"/>
            <w:szCs w:val="24"/>
          </w:rPr>
          <w:t>https://codes.ohio.gov/orc/2925.11</w:t>
        </w:r>
      </w:hyperlink>
      <w:r w:rsidRPr="007C158F">
        <w:rPr>
          <w:rFonts w:ascii="Times New Roman" w:hAnsi="Times New Roman"/>
          <w:b w:val="0"/>
          <w:bCs w:val="0"/>
          <w:i w:val="0"/>
          <w:iCs w:val="0"/>
          <w:sz w:val="24"/>
          <w:szCs w:val="24"/>
        </w:rPr>
        <w:t xml:space="preserve"> </w:t>
      </w:r>
    </w:p>
    <w:p w14:paraId="53FC7A71" w14:textId="77777777" w:rsidR="00557CA2" w:rsidRDefault="00557CA2" w:rsidP="00557CA2">
      <w:pPr>
        <w:pStyle w:val="Heading1"/>
        <w:ind w:left="1440"/>
        <w:rPr>
          <w:b w:val="0"/>
          <w:bCs w:val="0"/>
          <w:sz w:val="24"/>
          <w:szCs w:val="24"/>
        </w:rPr>
      </w:pPr>
      <w:r>
        <w:rPr>
          <w:b w:val="0"/>
          <w:bCs w:val="0"/>
          <w:sz w:val="24"/>
          <w:szCs w:val="24"/>
        </w:rPr>
        <w:t xml:space="preserve">(viii) "Qualified individual" means a person who is not on community control or post-release control and is a person acting in good faith who seeks or obtains medical assistance for another </w:t>
      </w:r>
      <w:r>
        <w:rPr>
          <w:b w:val="0"/>
          <w:bCs w:val="0"/>
          <w:sz w:val="24"/>
          <w:szCs w:val="24"/>
        </w:rPr>
        <w:lastRenderedPageBreak/>
        <w:t>person who is experiencing a drug overdose, a person who experiences a drug overdose and who seeks medical assistance for that overdose, or a person who is the subject of another person seeking or obtaining medical assistance for that overdose as described in division (B)(2)(b) of  this section</w:t>
      </w:r>
      <w:r>
        <w:rPr>
          <w:sz w:val="24"/>
          <w:szCs w:val="24"/>
        </w:rPr>
        <w:t>.</w:t>
      </w:r>
    </w:p>
    <w:p w14:paraId="17F22B60" w14:textId="77777777" w:rsidR="00557CA2" w:rsidRDefault="00557CA2" w:rsidP="00557CA2">
      <w:pPr>
        <w:pStyle w:val="Heading1"/>
        <w:rPr>
          <w:b w:val="0"/>
          <w:bCs w:val="0"/>
          <w:sz w:val="24"/>
          <w:szCs w:val="24"/>
        </w:rPr>
      </w:pPr>
      <w:r>
        <w:rPr>
          <w:b w:val="0"/>
          <w:bCs w:val="0"/>
          <w:sz w:val="24"/>
          <w:szCs w:val="24"/>
        </w:rPr>
        <w:tab/>
        <w:t>But there is a treatment requirement:</w:t>
      </w:r>
    </w:p>
    <w:p w14:paraId="226ACEAA" w14:textId="4AAD1061" w:rsidR="00557CA2" w:rsidRDefault="00557CA2" w:rsidP="00557CA2">
      <w:pPr>
        <w:pStyle w:val="Heading1"/>
        <w:ind w:left="1440"/>
        <w:rPr>
          <w:b w:val="0"/>
          <w:bCs w:val="0"/>
          <w:sz w:val="24"/>
          <w:szCs w:val="24"/>
        </w:rPr>
      </w:pPr>
      <w:r>
        <w:rPr>
          <w:b w:val="0"/>
          <w:bCs w:val="0"/>
          <w:sz w:val="24"/>
          <w:szCs w:val="24"/>
        </w:rPr>
        <w:t xml:space="preserve">(ii) Subject to division (B)(2)(g) of this section, within thirty days after seeking or obtaining </w:t>
      </w:r>
      <w:proofErr w:type="gramStart"/>
      <w:r>
        <w:rPr>
          <w:b w:val="0"/>
          <w:bCs w:val="0"/>
          <w:sz w:val="24"/>
          <w:szCs w:val="24"/>
        </w:rPr>
        <w:t>the medical</w:t>
      </w:r>
      <w:proofErr w:type="gramEnd"/>
      <w:r>
        <w:rPr>
          <w:b w:val="0"/>
          <w:bCs w:val="0"/>
          <w:sz w:val="24"/>
          <w:szCs w:val="24"/>
        </w:rPr>
        <w:t xml:space="preserve"> assistance, the qualified individual seeks and obtains a screening and receives a referral for treatment from a community addiction services provider or a properly credentialed addiction treatment professional.</w:t>
      </w:r>
    </w:p>
    <w:p w14:paraId="76871404" w14:textId="77777777" w:rsidR="00557CA2" w:rsidRDefault="00557CA2" w:rsidP="00557CA2">
      <w:pPr>
        <w:pStyle w:val="Heading1"/>
        <w:ind w:left="720"/>
      </w:pPr>
      <w:r>
        <w:rPr>
          <w:b w:val="0"/>
          <w:bCs w:val="0"/>
          <w:sz w:val="24"/>
          <w:szCs w:val="24"/>
        </w:rPr>
        <w:t xml:space="preserve">But see criticism: The Network </w:t>
      </w:r>
      <w:proofErr w:type="gramStart"/>
      <w:r>
        <w:rPr>
          <w:b w:val="0"/>
          <w:bCs w:val="0"/>
          <w:sz w:val="24"/>
          <w:szCs w:val="24"/>
        </w:rPr>
        <w:t>For</w:t>
      </w:r>
      <w:proofErr w:type="gramEnd"/>
      <w:r>
        <w:rPr>
          <w:b w:val="0"/>
          <w:bCs w:val="0"/>
          <w:sz w:val="24"/>
          <w:szCs w:val="24"/>
        </w:rPr>
        <w:t xml:space="preserve"> Public Health Law - “Overdose ‘Good Samaritan’ Laws Should Protect, Not Punish” (Jan. 26, 2020): </w:t>
      </w:r>
      <w:hyperlink r:id="rId2009" w:history="1">
        <w:r>
          <w:rPr>
            <w:rStyle w:val="Hyperlink"/>
            <w:rFonts w:eastAsiaTheme="majorEastAsia"/>
            <w:b w:val="0"/>
            <w:bCs w:val="0"/>
            <w:sz w:val="24"/>
            <w:szCs w:val="24"/>
          </w:rPr>
          <w:t>https://www.networkforphl.org/news-insights/overdose-good-samaritan-laws-should-protect-not-punish/</w:t>
        </w:r>
      </w:hyperlink>
      <w:r>
        <w:rPr>
          <w:b w:val="0"/>
          <w:bCs w:val="0"/>
          <w:sz w:val="24"/>
          <w:szCs w:val="24"/>
        </w:rPr>
        <w:t xml:space="preserve"> </w:t>
      </w:r>
    </w:p>
    <w:p w14:paraId="3717C980" w14:textId="77777777" w:rsidR="00557CA2" w:rsidRDefault="00557CA2" w:rsidP="00557CA2">
      <w:pPr>
        <w:pStyle w:val="NormalWeb"/>
        <w:ind w:left="1440"/>
      </w:pPr>
      <w:r>
        <w:t xml:space="preserve">“These laws have further limitations as well. In at least a </w:t>
      </w:r>
      <w:hyperlink r:id="rId2010" w:history="1">
        <w:r>
          <w:rPr>
            <w:rStyle w:val="Hyperlink"/>
            <w:rFonts w:eastAsiaTheme="majorEastAsia"/>
          </w:rPr>
          <w:t>dozen states</w:t>
        </w:r>
      </w:hyperlink>
      <w:r>
        <w:t>, the Good Samaritan is required not only to call for help but also to jump through additional hoops such as providing their full name to law enforcement, staying on the scene, and cooperating with responding officers. None of those requirements are necessary to help the person suffering from an overdose; all are likely to discourage people from calling for help.”</w:t>
      </w:r>
    </w:p>
    <w:p w14:paraId="269A0AA5" w14:textId="77777777" w:rsidR="00557CA2" w:rsidRDefault="00557CA2" w:rsidP="00557CA2">
      <w:pPr>
        <w:rPr>
          <w:rFonts w:ascii="Times New Roman" w:hAnsi="Times New Roman"/>
          <w:b/>
          <w:sz w:val="20"/>
          <w:szCs w:val="20"/>
        </w:rPr>
      </w:pPr>
    </w:p>
    <w:p w14:paraId="3B3D44AC" w14:textId="77777777" w:rsidR="00557CA2" w:rsidRDefault="00557CA2" w:rsidP="00F326E5">
      <w:pPr>
        <w:rPr>
          <w:rFonts w:ascii="Arial Black" w:hAnsi="Arial Black"/>
          <w:b/>
          <w:sz w:val="24"/>
          <w:szCs w:val="24"/>
        </w:rPr>
      </w:pPr>
    </w:p>
    <w:p w14:paraId="605C3CF9" w14:textId="6B83D2DC" w:rsidR="007105B3" w:rsidRDefault="007105B3" w:rsidP="00F326E5">
      <w:pPr>
        <w:rPr>
          <w:rFonts w:ascii="Arial Black" w:hAnsi="Arial Black"/>
          <w:b/>
          <w:sz w:val="24"/>
          <w:szCs w:val="24"/>
        </w:rPr>
      </w:pPr>
      <w:r>
        <w:rPr>
          <w:rFonts w:ascii="Arial Black" w:hAnsi="Arial Black"/>
          <w:b/>
          <w:sz w:val="24"/>
          <w:szCs w:val="24"/>
        </w:rPr>
        <w:t>12-7</w:t>
      </w:r>
    </w:p>
    <w:p w14:paraId="131EB7B1" w14:textId="77777777" w:rsidR="001C563D" w:rsidRDefault="001C563D" w:rsidP="001C563D">
      <w:pPr>
        <w:pStyle w:val="Heading1"/>
        <w:rPr>
          <w:rFonts w:ascii="Arial Black" w:hAnsi="Arial Black"/>
          <w:sz w:val="28"/>
          <w:szCs w:val="28"/>
        </w:rPr>
      </w:pPr>
      <w:r w:rsidRPr="003B2D7D">
        <w:rPr>
          <w:rFonts w:ascii="Arial Black" w:hAnsi="Arial Black"/>
          <w:sz w:val="28"/>
          <w:szCs w:val="28"/>
        </w:rPr>
        <w:t xml:space="preserve">PA: </w:t>
      </w:r>
      <w:r>
        <w:rPr>
          <w:rFonts w:ascii="Arial Black" w:hAnsi="Arial Black"/>
          <w:sz w:val="28"/>
          <w:szCs w:val="28"/>
        </w:rPr>
        <w:t>PHILADELPHIA NEW “SAFE INJECTION SITE” PROGRAM – INJUNCTION DURING COVID-19 &amp; NATIONWIDE PROTESTS</w:t>
      </w:r>
    </w:p>
    <w:p w14:paraId="1C79BBE6" w14:textId="77777777" w:rsidR="001C563D" w:rsidRPr="00F72F3E" w:rsidRDefault="001C563D" w:rsidP="001C563D">
      <w:pPr>
        <w:pStyle w:val="NoSpacing"/>
        <w:rPr>
          <w:rFonts w:ascii="Times New Roman" w:hAnsi="Times New Roman"/>
          <w:sz w:val="24"/>
          <w:szCs w:val="24"/>
        </w:rPr>
      </w:pPr>
      <w:r w:rsidRPr="003B2D7D">
        <w:rPr>
          <w:rFonts w:ascii="Times New Roman" w:hAnsi="Times New Roman"/>
          <w:sz w:val="24"/>
          <w:szCs w:val="24"/>
        </w:rPr>
        <w:t xml:space="preserve">On </w:t>
      </w:r>
      <w:r>
        <w:rPr>
          <w:rFonts w:ascii="Times New Roman" w:hAnsi="Times New Roman"/>
          <w:sz w:val="24"/>
          <w:szCs w:val="24"/>
        </w:rPr>
        <w:t xml:space="preserve">June 24, 2020, in </w:t>
      </w:r>
      <w:r w:rsidRPr="003B2D7D">
        <w:rPr>
          <w:rFonts w:ascii="Times New Roman" w:hAnsi="Times New Roman"/>
          <w:sz w:val="24"/>
          <w:szCs w:val="24"/>
          <w:u w:val="single"/>
        </w:rPr>
        <w:t>United States of America v. SAFEHOUSE</w:t>
      </w:r>
      <w:r>
        <w:rPr>
          <w:rFonts w:ascii="Times New Roman" w:hAnsi="Times New Roman"/>
          <w:sz w:val="24"/>
          <w:szCs w:val="24"/>
        </w:rPr>
        <w:t>, U.S. District Court Judge George Austin McHugh, U.S. District Court for Eastern District of Pennsylvania, ordered that the injection program in South Philadelphia be stayed.  “</w:t>
      </w:r>
      <w:r w:rsidRPr="00F72F3E">
        <w:rPr>
          <w:rFonts w:ascii="Times New Roman" w:hAnsi="Times New Roman"/>
          <w:sz w:val="24"/>
          <w:szCs w:val="24"/>
        </w:rPr>
        <w:t>Although the Government has failed to show that it will suffer harms that cannot be prevented or fully rectified by a successful appeal, the ongoing challenges posed by COVID-19 and the deep social currents and introspection following the tragic killing of Mr. Floyd make this the wrong moment for another change in the status quo. Accordingly, the Government’s request for a stay will be granted.</w:t>
      </w:r>
      <w:r>
        <w:rPr>
          <w:rFonts w:ascii="Times New Roman" w:hAnsi="Times New Roman"/>
          <w:sz w:val="24"/>
          <w:szCs w:val="24"/>
        </w:rPr>
        <w:t>”</w:t>
      </w:r>
      <w:r w:rsidRPr="00F72F3E">
        <w:t xml:space="preserve"> </w:t>
      </w:r>
      <w:hyperlink r:id="rId2011" w:history="1">
        <w:r w:rsidRPr="003B7380">
          <w:rPr>
            <w:rStyle w:val="Hyperlink"/>
            <w:rFonts w:ascii="Times New Roman" w:hAnsi="Times New Roman"/>
            <w:sz w:val="24"/>
            <w:szCs w:val="24"/>
          </w:rPr>
          <w:t>https://www.courthousenews.com/wp-content/uploads/2020/06/safehouse-pa.pdf</w:t>
        </w:r>
      </w:hyperlink>
      <w:r>
        <w:rPr>
          <w:rFonts w:ascii="Times New Roman" w:hAnsi="Times New Roman"/>
          <w:sz w:val="24"/>
          <w:szCs w:val="24"/>
        </w:rPr>
        <w:t xml:space="preserve"> </w:t>
      </w:r>
    </w:p>
    <w:p w14:paraId="15CF32E1" w14:textId="77777777" w:rsidR="001C563D" w:rsidRDefault="001C563D" w:rsidP="001C563D">
      <w:pPr>
        <w:pStyle w:val="NoSpacing"/>
        <w:rPr>
          <w:rFonts w:ascii="Times New Roman" w:hAnsi="Times New Roman"/>
          <w:b/>
          <w:bCs/>
          <w:sz w:val="24"/>
          <w:szCs w:val="24"/>
        </w:rPr>
      </w:pPr>
    </w:p>
    <w:p w14:paraId="538C0A36" w14:textId="5D68BAB2" w:rsidR="001C563D" w:rsidRPr="002B1D2F" w:rsidRDefault="001C563D" w:rsidP="001C563D">
      <w:pPr>
        <w:pStyle w:val="NoSpacing"/>
        <w:rPr>
          <w:rFonts w:ascii="Times New Roman" w:hAnsi="Times New Roman"/>
          <w:b/>
          <w:bCs/>
          <w:sz w:val="24"/>
          <w:szCs w:val="24"/>
        </w:rPr>
      </w:pPr>
      <w:r w:rsidRPr="002B1D2F">
        <w:rPr>
          <w:rFonts w:ascii="Times New Roman" w:hAnsi="Times New Roman"/>
          <w:b/>
          <w:bCs/>
          <w:sz w:val="24"/>
          <w:szCs w:val="24"/>
        </w:rPr>
        <w:t xml:space="preserve">Legal Lessons Learned: The Court has wise issued an injunction preventing the opening a “safe injection site” during the COVID-19 pandemic.  </w:t>
      </w:r>
    </w:p>
    <w:p w14:paraId="3E70ACC8" w14:textId="77777777" w:rsidR="001C563D" w:rsidRDefault="001C563D" w:rsidP="001C563D">
      <w:pPr>
        <w:pStyle w:val="NoSpacing"/>
        <w:ind w:left="720"/>
        <w:rPr>
          <w:rFonts w:ascii="Times New Roman" w:hAnsi="Times New Roman"/>
          <w:sz w:val="24"/>
          <w:szCs w:val="24"/>
        </w:rPr>
      </w:pPr>
    </w:p>
    <w:p w14:paraId="03A15578" w14:textId="77777777" w:rsidR="001C563D" w:rsidRPr="002B1D2F" w:rsidRDefault="001C563D" w:rsidP="001C563D">
      <w:pPr>
        <w:pStyle w:val="NoSpacing"/>
        <w:ind w:left="720"/>
        <w:rPr>
          <w:rFonts w:ascii="Times New Roman" w:hAnsi="Times New Roman"/>
          <w:sz w:val="24"/>
          <w:szCs w:val="24"/>
        </w:rPr>
      </w:pPr>
      <w:r w:rsidRPr="002B1D2F">
        <w:rPr>
          <w:rFonts w:ascii="Times New Roman" w:hAnsi="Times New Roman"/>
          <w:sz w:val="24"/>
          <w:szCs w:val="24"/>
        </w:rPr>
        <w:t xml:space="preserve">Note: See June 25, 2020 article, </w:t>
      </w:r>
      <w:r>
        <w:rPr>
          <w:rFonts w:ascii="Times New Roman" w:hAnsi="Times New Roman"/>
          <w:sz w:val="24"/>
          <w:szCs w:val="24"/>
        </w:rPr>
        <w:t>“</w:t>
      </w:r>
      <w:r w:rsidRPr="002B1D2F">
        <w:rPr>
          <w:rFonts w:ascii="Times New Roman" w:hAnsi="Times New Roman"/>
          <w:sz w:val="24"/>
          <w:szCs w:val="24"/>
        </w:rPr>
        <w:t>Judge Halts Opening of Safe Injection Site, Citing COVID-19 Pandemic and Protests</w:t>
      </w:r>
      <w:r>
        <w:rPr>
          <w:rFonts w:ascii="Times New Roman" w:hAnsi="Times New Roman"/>
          <w:sz w:val="24"/>
          <w:szCs w:val="24"/>
        </w:rPr>
        <w:t xml:space="preserve">” </w:t>
      </w:r>
      <w:r w:rsidRPr="002B1D2F">
        <w:rPr>
          <w:rFonts w:ascii="Times New Roman" w:hAnsi="Times New Roman"/>
          <w:sz w:val="24"/>
          <w:szCs w:val="24"/>
        </w:rPr>
        <w:t xml:space="preserve">-  A federal judge has hit pause on efforts to open the nation’s first so-called </w:t>
      </w:r>
      <w:hyperlink r:id="rId2012" w:history="1">
        <w:r w:rsidRPr="002B1D2F">
          <w:rPr>
            <w:rStyle w:val="Hyperlink"/>
            <w:rFonts w:ascii="Times New Roman" w:hAnsi="Times New Roman"/>
            <w:sz w:val="24"/>
            <w:szCs w:val="24"/>
          </w:rPr>
          <w:t>safe injection</w:t>
        </w:r>
      </w:hyperlink>
      <w:r w:rsidRPr="002B1D2F">
        <w:rPr>
          <w:rFonts w:ascii="Times New Roman" w:hAnsi="Times New Roman"/>
          <w:sz w:val="24"/>
          <w:szCs w:val="24"/>
        </w:rPr>
        <w:t xml:space="preserve"> site, where heroin users would be able to inject the drug under </w:t>
      </w:r>
      <w:hyperlink r:id="rId2013" w:history="1">
        <w:r w:rsidRPr="002B1D2F">
          <w:rPr>
            <w:rStyle w:val="Hyperlink"/>
            <w:rFonts w:ascii="Times New Roman" w:hAnsi="Times New Roman"/>
            <w:sz w:val="24"/>
            <w:szCs w:val="24"/>
          </w:rPr>
          <w:t>medical supervision</w:t>
        </w:r>
      </w:hyperlink>
      <w:r w:rsidRPr="002B1D2F">
        <w:rPr>
          <w:rFonts w:ascii="Times New Roman" w:hAnsi="Times New Roman"/>
          <w:sz w:val="24"/>
          <w:szCs w:val="24"/>
        </w:rPr>
        <w:t>, citing Philadelphia’s “frayed” nerves in the midst of a global pandemic and mounting protests for social justice reform.</w:t>
      </w:r>
    </w:p>
    <w:p w14:paraId="5F5883C8" w14:textId="77777777" w:rsidR="001C563D" w:rsidRPr="002B1D2F" w:rsidRDefault="001C563D" w:rsidP="001C563D">
      <w:pPr>
        <w:pStyle w:val="NoSpacing"/>
        <w:ind w:left="720"/>
        <w:rPr>
          <w:rFonts w:ascii="Times New Roman" w:hAnsi="Times New Roman"/>
          <w:sz w:val="24"/>
          <w:szCs w:val="24"/>
        </w:rPr>
      </w:pPr>
      <w:hyperlink r:id="rId2014" w:history="1">
        <w:r w:rsidRPr="003B7380">
          <w:rPr>
            <w:rStyle w:val="Hyperlink"/>
            <w:rFonts w:ascii="Times New Roman" w:hAnsi="Times New Roman"/>
            <w:sz w:val="24"/>
            <w:szCs w:val="24"/>
          </w:rPr>
          <w:t>https://www.law.com/thelegalintelligencer/2020/06/25/judge-halts-opening-of-safe-injection-site-citing-covid-19-pandemic-and-protests/</w:t>
        </w:r>
      </w:hyperlink>
      <w:r w:rsidRPr="002B1D2F">
        <w:rPr>
          <w:rFonts w:ascii="Times New Roman" w:hAnsi="Times New Roman"/>
          <w:sz w:val="24"/>
          <w:szCs w:val="24"/>
        </w:rPr>
        <w:t xml:space="preserve"> </w:t>
      </w:r>
    </w:p>
    <w:p w14:paraId="720C0E43" w14:textId="77777777" w:rsidR="001C563D" w:rsidRDefault="001C563D" w:rsidP="00F326E5">
      <w:pPr>
        <w:rPr>
          <w:rFonts w:ascii="Arial Black" w:hAnsi="Arial Black"/>
          <w:b/>
          <w:sz w:val="24"/>
          <w:szCs w:val="24"/>
        </w:rPr>
      </w:pPr>
    </w:p>
    <w:p w14:paraId="746F85D4" w14:textId="77777777" w:rsidR="007105B3" w:rsidRDefault="007105B3" w:rsidP="00F326E5">
      <w:pPr>
        <w:rPr>
          <w:rFonts w:ascii="Arial Black" w:hAnsi="Arial Black"/>
          <w:b/>
          <w:sz w:val="24"/>
          <w:szCs w:val="24"/>
        </w:rPr>
      </w:pPr>
    </w:p>
    <w:p w14:paraId="423860FC" w14:textId="4D9BFE17" w:rsidR="00FA7B26" w:rsidRDefault="00FA7B26" w:rsidP="00F326E5">
      <w:pPr>
        <w:rPr>
          <w:rFonts w:ascii="Arial Black" w:hAnsi="Arial Black"/>
          <w:b/>
          <w:sz w:val="24"/>
          <w:szCs w:val="24"/>
        </w:rPr>
      </w:pPr>
      <w:r>
        <w:rPr>
          <w:rFonts w:ascii="Arial Black" w:hAnsi="Arial Black"/>
          <w:b/>
          <w:sz w:val="24"/>
          <w:szCs w:val="24"/>
        </w:rPr>
        <w:t>12-6</w:t>
      </w:r>
    </w:p>
    <w:p w14:paraId="4DF99FA8" w14:textId="77777777" w:rsidR="00FA7B26" w:rsidRPr="00BE492A" w:rsidRDefault="00FA7B26" w:rsidP="00FA7B26">
      <w:pPr>
        <w:spacing w:before="100" w:beforeAutospacing="1" w:after="100" w:afterAutospacing="1" w:line="240" w:lineRule="auto"/>
        <w:rPr>
          <w:rFonts w:ascii="Arial Black" w:eastAsia="Times New Roman" w:hAnsi="Arial Black"/>
          <w:b/>
          <w:bCs/>
          <w:sz w:val="28"/>
          <w:szCs w:val="28"/>
        </w:rPr>
      </w:pPr>
      <w:bookmarkStart w:id="418" w:name="_Hlk66949143"/>
      <w:r w:rsidRPr="00BE492A">
        <w:rPr>
          <w:rFonts w:ascii="Arial Black" w:eastAsia="Times New Roman" w:hAnsi="Arial Black"/>
          <w:b/>
          <w:bCs/>
          <w:sz w:val="28"/>
          <w:szCs w:val="28"/>
        </w:rPr>
        <w:t xml:space="preserve">LA: </w:t>
      </w:r>
      <w:r>
        <w:rPr>
          <w:rFonts w:ascii="Arial Black" w:eastAsia="Times New Roman" w:hAnsi="Arial Black"/>
          <w:b/>
          <w:bCs/>
          <w:sz w:val="28"/>
          <w:szCs w:val="28"/>
        </w:rPr>
        <w:t>FF REINSTATED – FIRED FOR POSITIVE MARIJUANA – HIS DOCTOR HAD APPROVED USE OF OVER-THE-COUNTER CANNABIODAL (CBD) FOR PAIN</w:t>
      </w:r>
    </w:p>
    <w:p w14:paraId="7C6EE212" w14:textId="77777777" w:rsidR="00FA7B26" w:rsidRDefault="00FA7B26" w:rsidP="00FA7B26">
      <w:pPr>
        <w:spacing w:before="100" w:beforeAutospacing="1" w:after="100" w:afterAutospacing="1" w:line="240" w:lineRule="auto"/>
        <w:jc w:val="both"/>
        <w:rPr>
          <w:rFonts w:ascii="Times New Roman" w:hAnsi="Times New Roman"/>
          <w:sz w:val="24"/>
          <w:szCs w:val="24"/>
        </w:rPr>
      </w:pPr>
      <w:r w:rsidRPr="00BE492A">
        <w:rPr>
          <w:rFonts w:ascii="Times New Roman" w:hAnsi="Times New Roman"/>
          <w:sz w:val="24"/>
          <w:szCs w:val="24"/>
        </w:rPr>
        <w:t xml:space="preserve">On May 20, 2020, in </w:t>
      </w:r>
      <w:r w:rsidRPr="00BE492A">
        <w:rPr>
          <w:rFonts w:ascii="Times New Roman" w:hAnsi="Times New Roman"/>
          <w:sz w:val="24"/>
          <w:szCs w:val="24"/>
          <w:u w:val="single"/>
        </w:rPr>
        <w:t>Gregory Matusoff v. New Orleans Department of Fire</w:t>
      </w:r>
      <w:r>
        <w:rPr>
          <w:rFonts w:ascii="Times New Roman" w:hAnsi="Times New Roman"/>
          <w:sz w:val="24"/>
          <w:szCs w:val="24"/>
        </w:rPr>
        <w:t xml:space="preserve">, the Court of Appeal, Fourth Circuit, State of Louisiana, held (3 to 0) that City’s Civil Service Commission abused its discretion in deny the firefighter’s appeal. </w:t>
      </w:r>
      <w:hyperlink r:id="rId2015" w:history="1">
        <w:r w:rsidRPr="004A7721">
          <w:rPr>
            <w:rStyle w:val="Hyperlink"/>
            <w:sz w:val="24"/>
            <w:szCs w:val="24"/>
          </w:rPr>
          <w:t>https://www.la4th.org/opinion/2019/486077.pdf</w:t>
        </w:r>
      </w:hyperlink>
      <w:r>
        <w:rPr>
          <w:rFonts w:ascii="Times New Roman" w:hAnsi="Times New Roman"/>
          <w:sz w:val="24"/>
          <w:szCs w:val="24"/>
        </w:rPr>
        <w:t xml:space="preserve"> </w:t>
      </w:r>
    </w:p>
    <w:p w14:paraId="2895FCD6" w14:textId="1BE1D3DE" w:rsidR="00FA7B26" w:rsidRPr="00B53124" w:rsidRDefault="00FA7B26" w:rsidP="00FA7B26">
      <w:pPr>
        <w:spacing w:before="100" w:beforeAutospacing="1" w:after="100" w:afterAutospacing="1" w:line="240" w:lineRule="auto"/>
        <w:jc w:val="both"/>
        <w:rPr>
          <w:rFonts w:ascii="Times New Roman" w:eastAsia="Times New Roman" w:hAnsi="Times New Roman"/>
          <w:b/>
          <w:bCs/>
          <w:sz w:val="24"/>
          <w:szCs w:val="24"/>
        </w:rPr>
      </w:pPr>
      <w:r w:rsidRPr="00B53124">
        <w:rPr>
          <w:rFonts w:ascii="Times New Roman" w:hAnsi="Times New Roman"/>
          <w:b/>
          <w:bCs/>
          <w:sz w:val="24"/>
          <w:szCs w:val="24"/>
        </w:rPr>
        <w:t>Legal Lessons Learned:</w:t>
      </w:r>
      <w:r>
        <w:rPr>
          <w:rFonts w:ascii="Times New Roman" w:hAnsi="Times New Roman"/>
          <w:b/>
          <w:bCs/>
          <w:sz w:val="24"/>
          <w:szCs w:val="24"/>
        </w:rPr>
        <w:t xml:space="preserve">  This termination makes one wonder what the FD and the Civil Service Commission were thinking.  Suggestion to FF using CBD; ask your physician for a “prescription” or other written authorization, that you can then </w:t>
      </w:r>
      <w:r w:rsidR="00D44294">
        <w:rPr>
          <w:rFonts w:ascii="Times New Roman" w:hAnsi="Times New Roman"/>
          <w:b/>
          <w:bCs/>
          <w:sz w:val="24"/>
          <w:szCs w:val="24"/>
        </w:rPr>
        <w:t xml:space="preserve">provide to </w:t>
      </w:r>
      <w:r>
        <w:rPr>
          <w:rFonts w:ascii="Times New Roman" w:hAnsi="Times New Roman"/>
          <w:b/>
          <w:bCs/>
          <w:sz w:val="24"/>
          <w:szCs w:val="24"/>
        </w:rPr>
        <w:t xml:space="preserve">your FD. </w:t>
      </w:r>
    </w:p>
    <w:bookmarkEnd w:id="418"/>
    <w:p w14:paraId="3B830110" w14:textId="77777777" w:rsidR="00FA7B26" w:rsidRDefault="00FA7B26" w:rsidP="00F326E5">
      <w:pPr>
        <w:rPr>
          <w:rFonts w:ascii="Arial Black" w:hAnsi="Arial Black"/>
          <w:b/>
          <w:sz w:val="24"/>
          <w:szCs w:val="24"/>
        </w:rPr>
      </w:pPr>
    </w:p>
    <w:p w14:paraId="0249E464" w14:textId="07ED73E0" w:rsidR="005C30A4" w:rsidRDefault="005C30A4" w:rsidP="00F326E5">
      <w:pPr>
        <w:rPr>
          <w:rFonts w:ascii="Arial Black" w:hAnsi="Arial Black"/>
          <w:b/>
          <w:sz w:val="24"/>
          <w:szCs w:val="24"/>
        </w:rPr>
      </w:pPr>
      <w:r>
        <w:rPr>
          <w:rFonts w:ascii="Arial Black" w:hAnsi="Arial Black"/>
          <w:b/>
          <w:sz w:val="24"/>
          <w:szCs w:val="24"/>
        </w:rPr>
        <w:t>12-5</w:t>
      </w:r>
    </w:p>
    <w:p w14:paraId="197B1E2A" w14:textId="77777777" w:rsidR="005C30A4" w:rsidRPr="00514F51" w:rsidRDefault="005C30A4" w:rsidP="005C30A4">
      <w:pPr>
        <w:pStyle w:val="NoSpacing"/>
        <w:rPr>
          <w:rFonts w:ascii="Arial Black" w:hAnsi="Arial Black"/>
          <w:sz w:val="28"/>
          <w:szCs w:val="28"/>
        </w:rPr>
      </w:pPr>
      <w:bookmarkStart w:id="419" w:name="_Hlk39772175"/>
      <w:r w:rsidRPr="00514F51">
        <w:rPr>
          <w:rFonts w:ascii="Arial Black" w:hAnsi="Arial Black"/>
          <w:sz w:val="28"/>
          <w:szCs w:val="28"/>
        </w:rPr>
        <w:t>KY:</w:t>
      </w:r>
      <w:r>
        <w:rPr>
          <w:rFonts w:ascii="Arial Black" w:hAnsi="Arial Black"/>
          <w:sz w:val="28"/>
          <w:szCs w:val="28"/>
        </w:rPr>
        <w:t xml:space="preserve"> DRUG USER - GOOD SAMARITAN STATUTE – IMMUNITY FROM PROSECUTION – EVEN IF 911 CALLER LEAVES</w:t>
      </w:r>
    </w:p>
    <w:p w14:paraId="2340F6DE" w14:textId="77777777" w:rsidR="005C30A4" w:rsidRDefault="005C30A4" w:rsidP="005C30A4">
      <w:pPr>
        <w:pStyle w:val="NoSpacing"/>
        <w:ind w:left="720"/>
        <w:rPr>
          <w:rFonts w:ascii="KYArial Black" w:hAnsi="KYArial Black"/>
          <w:sz w:val="28"/>
          <w:szCs w:val="28"/>
        </w:rPr>
      </w:pPr>
    </w:p>
    <w:p w14:paraId="0E4B72AD" w14:textId="77777777" w:rsidR="005C30A4" w:rsidRPr="00465FB3" w:rsidRDefault="005C30A4" w:rsidP="005C30A4">
      <w:pPr>
        <w:pStyle w:val="NoSpacing"/>
        <w:rPr>
          <w:rFonts w:ascii="Times New Roman" w:hAnsi="Times New Roman"/>
          <w:b/>
          <w:bCs/>
          <w:sz w:val="24"/>
          <w:szCs w:val="24"/>
        </w:rPr>
      </w:pPr>
      <w:r w:rsidRPr="00465FB3">
        <w:rPr>
          <w:rFonts w:ascii="Times New Roman" w:hAnsi="Times New Roman"/>
          <w:bCs/>
          <w:sz w:val="24"/>
          <w:szCs w:val="24"/>
        </w:rPr>
        <w:t xml:space="preserve">On </w:t>
      </w:r>
      <w:bookmarkStart w:id="420" w:name="_Hlk39848381"/>
      <w:r w:rsidRPr="00465FB3">
        <w:rPr>
          <w:rFonts w:ascii="Times New Roman" w:hAnsi="Times New Roman"/>
          <w:bCs/>
          <w:sz w:val="24"/>
          <w:szCs w:val="24"/>
        </w:rPr>
        <w:t xml:space="preserve">Feb. 21, 2020, in </w:t>
      </w:r>
      <w:r w:rsidRPr="00465FB3">
        <w:rPr>
          <w:rFonts w:ascii="Times New Roman" w:hAnsi="Times New Roman"/>
          <w:bCs/>
          <w:sz w:val="24"/>
          <w:szCs w:val="24"/>
          <w:u w:val="single"/>
        </w:rPr>
        <w:t>Jeremy Logsdon v. Commonwealth of Kentucky</w:t>
      </w:r>
      <w:bookmarkEnd w:id="420"/>
      <w:r w:rsidRPr="00465FB3">
        <w:rPr>
          <w:rFonts w:ascii="Times New Roman" w:hAnsi="Times New Roman"/>
          <w:bCs/>
          <w:sz w:val="24"/>
          <w:szCs w:val="24"/>
        </w:rPr>
        <w:t>, the Kentucky Court of Appeals held (3 to 0) that the defendant enjoys immunity from prosecution, even if the 911 caller took off (had outstanding warrants) before police &amp; EMS arrived, reversing the decision of the [Boone Circuit Court] judge.</w:t>
      </w:r>
    </w:p>
    <w:p w14:paraId="7F7B0A05" w14:textId="77777777" w:rsidR="005C30A4" w:rsidRPr="00465FB3" w:rsidRDefault="005C30A4" w:rsidP="005C30A4">
      <w:pPr>
        <w:spacing w:before="100" w:beforeAutospacing="1" w:after="100" w:afterAutospacing="1" w:line="240" w:lineRule="auto"/>
        <w:ind w:left="720"/>
        <w:rPr>
          <w:rFonts w:ascii="Times New Roman" w:eastAsia="Times New Roman" w:hAnsi="Times New Roman"/>
          <w:sz w:val="24"/>
          <w:szCs w:val="24"/>
        </w:rPr>
      </w:pPr>
      <w:r w:rsidRPr="00465FB3">
        <w:rPr>
          <w:rFonts w:ascii="Times New Roman" w:eastAsia="Times New Roman" w:hAnsi="Times New Roman"/>
          <w:sz w:val="24"/>
          <w:szCs w:val="24"/>
        </w:rPr>
        <w:t xml:space="preserve">“We agree with both Appellant … that the Boone Circuit Court's ruling is not supported by a strict interpretation of KRS 218A.133(2). Throughout this </w:t>
      </w:r>
      <w:proofErr w:type="gramStart"/>
      <w:r w:rsidRPr="00465FB3">
        <w:rPr>
          <w:rFonts w:ascii="Times New Roman" w:eastAsia="Times New Roman" w:hAnsi="Times New Roman"/>
          <w:sz w:val="24"/>
          <w:szCs w:val="24"/>
        </w:rPr>
        <w:t>statute, ‘</w:t>
      </w:r>
      <w:proofErr w:type="gramEnd"/>
      <w:r w:rsidRPr="00465FB3">
        <w:rPr>
          <w:rFonts w:ascii="Times New Roman" w:eastAsia="Times New Roman" w:hAnsi="Times New Roman"/>
          <w:sz w:val="24"/>
          <w:szCs w:val="24"/>
        </w:rPr>
        <w:t>the person’ may reasonably be construed as the individual experiencing a drug overdose, and for whom a third-party caller requested medical assistance. When read in this light, KRS 218A.133(2) does not require a third-party caller to be present with the individual experiencing a drug overdose when medical personnel arrive. As such, the circuit court erred in concluding that Appellant was not entitled to the KRS 218A.133(2) exemption from prosecution. Accordingly, we REVERSE the judgment of the Boone Circuit Court.”</w:t>
      </w:r>
      <w:r w:rsidRPr="00465FB3">
        <w:rPr>
          <w:rFonts w:ascii="Times New Roman" w:hAnsi="Times New Roman"/>
          <w:sz w:val="24"/>
          <w:szCs w:val="24"/>
        </w:rPr>
        <w:t xml:space="preserve"> </w:t>
      </w:r>
      <w:bookmarkStart w:id="421" w:name="_Hlk39848396"/>
      <w:r w:rsidR="00BC38B6">
        <w:fldChar w:fldCharType="begin"/>
      </w:r>
      <w:r w:rsidR="00BC38B6">
        <w:instrText xml:space="preserve"> HYPERLINK "https://public.fastcase.com/Wl%2B2t%2BeVuI35%2FN70vAMFZhWagCVrrnIVHI5ze3ezrqb5nbCRO4xyuBvAFcv5WsVX" </w:instrText>
      </w:r>
      <w:r w:rsidR="00BC38B6">
        <w:fldChar w:fldCharType="separate"/>
      </w:r>
      <w:r w:rsidRPr="00465FB3">
        <w:rPr>
          <w:rStyle w:val="Hyperlink"/>
          <w:rFonts w:ascii="Times New Roman" w:eastAsia="Times New Roman" w:hAnsi="Times New Roman"/>
          <w:sz w:val="24"/>
          <w:szCs w:val="24"/>
        </w:rPr>
        <w:t>https://public.fastcase.com/Wl%2B2t%2BeVuI35%2FN70vAMFZhWagCVrrnIVHI5ze3ezrqb5nbCRO4xyuBvAFcv5WsVX</w:t>
      </w:r>
      <w:r w:rsidR="00BC38B6">
        <w:rPr>
          <w:rStyle w:val="Hyperlink"/>
          <w:rFonts w:ascii="Times New Roman" w:eastAsia="Times New Roman" w:hAnsi="Times New Roman"/>
          <w:sz w:val="24"/>
          <w:szCs w:val="24"/>
        </w:rPr>
        <w:fldChar w:fldCharType="end"/>
      </w:r>
      <w:bookmarkEnd w:id="419"/>
      <w:r w:rsidRPr="00465FB3">
        <w:rPr>
          <w:rFonts w:ascii="Times New Roman" w:eastAsia="Times New Roman" w:hAnsi="Times New Roman"/>
          <w:sz w:val="24"/>
          <w:szCs w:val="24"/>
        </w:rPr>
        <w:t xml:space="preserve"> </w:t>
      </w:r>
      <w:bookmarkEnd w:id="421"/>
    </w:p>
    <w:p w14:paraId="5DE247A1" w14:textId="15558E64" w:rsidR="005C30A4" w:rsidRPr="00465FB3" w:rsidRDefault="005C30A4" w:rsidP="005C30A4">
      <w:pPr>
        <w:pStyle w:val="NoSpacing"/>
        <w:rPr>
          <w:rFonts w:ascii="Times New Roman" w:eastAsia="Times New Roman" w:hAnsi="Times New Roman"/>
          <w:b/>
          <w:bCs/>
          <w:sz w:val="24"/>
          <w:szCs w:val="24"/>
        </w:rPr>
      </w:pPr>
      <w:bookmarkStart w:id="422" w:name="_Hlk40513640"/>
      <w:r w:rsidRPr="00465FB3">
        <w:rPr>
          <w:rFonts w:ascii="Times New Roman" w:hAnsi="Times New Roman"/>
          <w:b/>
          <w:bCs/>
          <w:sz w:val="24"/>
          <w:szCs w:val="24"/>
        </w:rPr>
        <w:t>Legal Lesson</w:t>
      </w:r>
      <w:r w:rsidR="00E71BA9">
        <w:rPr>
          <w:rFonts w:ascii="Times New Roman" w:hAnsi="Times New Roman"/>
          <w:b/>
          <w:bCs/>
          <w:sz w:val="24"/>
          <w:szCs w:val="24"/>
        </w:rPr>
        <w:t xml:space="preserve"> </w:t>
      </w:r>
      <w:r w:rsidRPr="00465FB3">
        <w:rPr>
          <w:rFonts w:ascii="Times New Roman" w:hAnsi="Times New Roman"/>
          <w:b/>
          <w:bCs/>
          <w:sz w:val="24"/>
          <w:szCs w:val="24"/>
        </w:rPr>
        <w:t xml:space="preserve">Learned: Many states have enacted drug-user Good Samaritan statutes, to encourage the user or friend to call 911. </w:t>
      </w:r>
    </w:p>
    <w:bookmarkEnd w:id="422"/>
    <w:p w14:paraId="02A5BE40" w14:textId="77777777" w:rsidR="005C30A4" w:rsidRDefault="005C30A4" w:rsidP="00F326E5">
      <w:pPr>
        <w:rPr>
          <w:rFonts w:ascii="Arial Black" w:hAnsi="Arial Black"/>
          <w:b/>
          <w:sz w:val="24"/>
          <w:szCs w:val="24"/>
        </w:rPr>
      </w:pPr>
    </w:p>
    <w:p w14:paraId="065B3E34" w14:textId="77777777" w:rsidR="005C30A4" w:rsidRDefault="005C30A4" w:rsidP="00F326E5">
      <w:pPr>
        <w:rPr>
          <w:rFonts w:ascii="Arial Black" w:hAnsi="Arial Black"/>
          <w:b/>
          <w:sz w:val="24"/>
          <w:szCs w:val="24"/>
        </w:rPr>
      </w:pPr>
    </w:p>
    <w:p w14:paraId="7B9EE014" w14:textId="67CB8932" w:rsidR="005C30A4" w:rsidRDefault="005C30A4" w:rsidP="00F326E5">
      <w:pPr>
        <w:rPr>
          <w:rFonts w:ascii="Arial Black" w:hAnsi="Arial Black"/>
          <w:b/>
          <w:sz w:val="24"/>
          <w:szCs w:val="24"/>
        </w:rPr>
      </w:pPr>
      <w:r>
        <w:rPr>
          <w:rFonts w:ascii="Arial Black" w:hAnsi="Arial Black"/>
          <w:b/>
          <w:sz w:val="24"/>
          <w:szCs w:val="24"/>
        </w:rPr>
        <w:t>12-4</w:t>
      </w:r>
    </w:p>
    <w:p w14:paraId="1777747A" w14:textId="77777777" w:rsidR="005C30A4" w:rsidRPr="00021226" w:rsidRDefault="005C30A4" w:rsidP="005C30A4">
      <w:pPr>
        <w:pStyle w:val="NoSpacing"/>
        <w:rPr>
          <w:rFonts w:ascii="Arial Black" w:hAnsi="Arial Black"/>
          <w:sz w:val="28"/>
          <w:szCs w:val="28"/>
        </w:rPr>
      </w:pPr>
      <w:r>
        <w:rPr>
          <w:rFonts w:ascii="Arial Black" w:hAnsi="Arial Black"/>
          <w:sz w:val="28"/>
          <w:szCs w:val="28"/>
        </w:rPr>
        <w:t>RI: DRUG USER - GOOD SAMARITAN ACT - PD FOUND 6 MARIJUANA PLANTS – IMMUNITY EVEN IF DEALER</w:t>
      </w:r>
    </w:p>
    <w:p w14:paraId="5CBC19BA" w14:textId="77777777" w:rsidR="005C30A4" w:rsidRDefault="005C30A4" w:rsidP="005C30A4">
      <w:pPr>
        <w:pStyle w:val="NoSpacing"/>
        <w:rPr>
          <w:b/>
          <w:bCs/>
          <w:sz w:val="24"/>
          <w:szCs w:val="24"/>
        </w:rPr>
      </w:pPr>
    </w:p>
    <w:p w14:paraId="3733D142" w14:textId="77777777" w:rsidR="005C30A4" w:rsidRPr="00465FB3" w:rsidRDefault="005C30A4" w:rsidP="005C30A4">
      <w:pPr>
        <w:pStyle w:val="NoSpacing"/>
        <w:rPr>
          <w:rFonts w:ascii="Times New Roman" w:hAnsi="Times New Roman"/>
          <w:b/>
          <w:bCs/>
          <w:sz w:val="24"/>
          <w:szCs w:val="24"/>
        </w:rPr>
      </w:pPr>
      <w:r w:rsidRPr="00465FB3">
        <w:rPr>
          <w:rFonts w:ascii="Times New Roman" w:hAnsi="Times New Roman"/>
          <w:bCs/>
          <w:sz w:val="24"/>
          <w:szCs w:val="24"/>
        </w:rPr>
        <w:t xml:space="preserve">On </w:t>
      </w:r>
      <w:bookmarkStart w:id="423" w:name="_Hlk39848608"/>
      <w:r w:rsidRPr="00465FB3">
        <w:rPr>
          <w:rFonts w:ascii="Times New Roman" w:hAnsi="Times New Roman"/>
          <w:bCs/>
          <w:sz w:val="24"/>
          <w:szCs w:val="24"/>
        </w:rPr>
        <w:t xml:space="preserve">Feb. 7, 2020, in </w:t>
      </w:r>
      <w:r w:rsidRPr="00465FB3">
        <w:rPr>
          <w:rFonts w:ascii="Times New Roman" w:hAnsi="Times New Roman"/>
          <w:bCs/>
          <w:sz w:val="24"/>
          <w:szCs w:val="24"/>
          <w:u w:val="single"/>
        </w:rPr>
        <w:t xml:space="preserve">State of Rhode Island v. Daniel </w:t>
      </w:r>
      <w:proofErr w:type="spellStart"/>
      <w:r w:rsidRPr="00465FB3">
        <w:rPr>
          <w:rFonts w:ascii="Times New Roman" w:hAnsi="Times New Roman"/>
          <w:bCs/>
          <w:sz w:val="24"/>
          <w:szCs w:val="24"/>
          <w:u w:val="single"/>
        </w:rPr>
        <w:t>Disalvo</w:t>
      </w:r>
      <w:proofErr w:type="spellEnd"/>
      <w:r w:rsidRPr="00465FB3">
        <w:rPr>
          <w:rFonts w:ascii="Times New Roman" w:hAnsi="Times New Roman"/>
          <w:bCs/>
          <w:sz w:val="24"/>
          <w:szCs w:val="24"/>
        </w:rPr>
        <w:t xml:space="preserve">, </w:t>
      </w:r>
      <w:bookmarkEnd w:id="423"/>
      <w:r w:rsidRPr="00465FB3">
        <w:rPr>
          <w:rFonts w:ascii="Times New Roman" w:hAnsi="Times New Roman"/>
          <w:bCs/>
          <w:sz w:val="24"/>
          <w:szCs w:val="24"/>
        </w:rPr>
        <w:t>the Superior Court (Washington County) Judge Melanie Thunberg held that the criminal complaint must be dismissed, since the defendant is covered by the Good Samaritan Act even though he appears to be a dealer.</w:t>
      </w:r>
    </w:p>
    <w:p w14:paraId="59EF9EE7" w14:textId="77777777" w:rsidR="005C30A4" w:rsidRPr="00465FB3" w:rsidRDefault="005C30A4" w:rsidP="005C30A4">
      <w:pPr>
        <w:pStyle w:val="NoSpacing"/>
        <w:rPr>
          <w:rFonts w:ascii="Times New Roman" w:hAnsi="Times New Roman"/>
          <w:b/>
          <w:bCs/>
          <w:sz w:val="24"/>
          <w:szCs w:val="24"/>
        </w:rPr>
      </w:pPr>
    </w:p>
    <w:p w14:paraId="58AFDA29" w14:textId="77777777" w:rsidR="005C30A4" w:rsidRPr="00465FB3" w:rsidRDefault="005C30A4" w:rsidP="005C30A4">
      <w:pPr>
        <w:pStyle w:val="NoSpacing"/>
        <w:ind w:left="720"/>
        <w:rPr>
          <w:rFonts w:ascii="Times New Roman" w:hAnsi="Times New Roman"/>
          <w:b/>
          <w:bCs/>
          <w:sz w:val="24"/>
          <w:szCs w:val="24"/>
        </w:rPr>
      </w:pPr>
      <w:r w:rsidRPr="00465FB3">
        <w:rPr>
          <w:rFonts w:ascii="Times New Roman" w:hAnsi="Times New Roman"/>
          <w:bCs/>
          <w:sz w:val="24"/>
          <w:szCs w:val="24"/>
        </w:rPr>
        <w:t xml:space="preserve">“At issue here is whether the State may prosecute Defendant for possession of controlled substances with the intent to deliver </w:t>
      </w:r>
      <w:proofErr w:type="gramStart"/>
      <w:r w:rsidRPr="00465FB3">
        <w:rPr>
          <w:rFonts w:ascii="Times New Roman" w:hAnsi="Times New Roman"/>
          <w:bCs/>
          <w:sz w:val="24"/>
          <w:szCs w:val="24"/>
        </w:rPr>
        <w:t>despite the fact that</w:t>
      </w:r>
      <w:proofErr w:type="gramEnd"/>
      <w:r w:rsidRPr="00465FB3">
        <w:rPr>
          <w:rFonts w:ascii="Times New Roman" w:hAnsi="Times New Roman"/>
          <w:bCs/>
          <w:sz w:val="24"/>
          <w:szCs w:val="24"/>
        </w:rPr>
        <w:t xml:space="preserve"> law enforcement would not have discovered the contraband but for Defendant’s need for medical attention. The parties dispute the application of G.L. 1956 § 21-28.9-4, the Good Samaritan Overdose Prevention Act of 2016 (the Act). Their arguments turn on whether the individual who experiences an overdose may seek immunity under the Act; whether the drug or alcohol user needs to actually overdose in order for the protections of the Act to apply; and whether the Act immunizes only possession related crimes—not the crime of possession with the intent to deliver.  *** Again, the language contained in § 21-28.9-4(b) is dispositive. This section provides that qualifying individuals ‘shall not be charged or prosecuted for any crime related to the possession of a controlled substance or drug paraphernalia, possession or transportation of alcohol by an underage person, or the operation of a drug-involved premises, if the evidence. . .was gained as a result of the overdose and the need for medical assistance.’Section21-28.9-4(b) (emphasis added). *** The outcome of this dispute turns on whether the crime of unlawful possession of a controlled substance with the intent to distribute is a crime ‘related to the possession of a controlled substance.’ Id. Clearly, it is.  An individual must possess the controlled substances with which he or she intends to distribute </w:t>
      </w:r>
      <w:proofErr w:type="gramStart"/>
      <w:r w:rsidRPr="00465FB3">
        <w:rPr>
          <w:rFonts w:ascii="Times New Roman" w:hAnsi="Times New Roman"/>
          <w:bCs/>
          <w:sz w:val="24"/>
          <w:szCs w:val="24"/>
        </w:rPr>
        <w:t>in order to</w:t>
      </w:r>
      <w:proofErr w:type="gramEnd"/>
      <w:r w:rsidRPr="00465FB3">
        <w:rPr>
          <w:rFonts w:ascii="Times New Roman" w:hAnsi="Times New Roman"/>
          <w:bCs/>
          <w:sz w:val="24"/>
          <w:szCs w:val="24"/>
        </w:rPr>
        <w:t xml:space="preserve"> be guilty of possession with the intent to deliver. Moreover, the unambiguous language of § 21-28.9-4(b) establishes that the Legislature intended that the individual who </w:t>
      </w:r>
      <w:proofErr w:type="gramStart"/>
      <w:r w:rsidRPr="00465FB3">
        <w:rPr>
          <w:rFonts w:ascii="Times New Roman" w:hAnsi="Times New Roman"/>
          <w:bCs/>
          <w:sz w:val="24"/>
          <w:szCs w:val="24"/>
        </w:rPr>
        <w:t>overdoses</w:t>
      </w:r>
      <w:proofErr w:type="gramEnd"/>
      <w:r w:rsidRPr="00465FB3">
        <w:rPr>
          <w:rFonts w:ascii="Times New Roman" w:hAnsi="Times New Roman"/>
          <w:bCs/>
          <w:sz w:val="24"/>
          <w:szCs w:val="24"/>
        </w:rPr>
        <w:t xml:space="preserve"> or experiences a drug-or alcohol-related medical emergency receive immunity for ‘any crime related to the possession of a controlled substance or drug paraphernalia. . . .’ Section 21-28.9-4(b) (emphasis added). The Legislature chose to use the words ‘any crime related to the possession of a controlled substance’ to delineate the crimes that would fall under the umbrella of protection afforded by the Act. The Legislature could have carved out crimes related to the delivery or distribution of controlled substances; however, as demonstrated by the existing statute, it did not.</w:t>
      </w:r>
    </w:p>
    <w:bookmarkStart w:id="424" w:name="_Hlk39848627"/>
    <w:p w14:paraId="6D51335B" w14:textId="77777777" w:rsidR="005C30A4" w:rsidRPr="00465FB3" w:rsidRDefault="00BC38B6" w:rsidP="005C30A4">
      <w:pPr>
        <w:pStyle w:val="NoSpacing"/>
        <w:ind w:left="720"/>
        <w:rPr>
          <w:rFonts w:ascii="Times New Roman" w:hAnsi="Times New Roman"/>
          <w:b/>
          <w:bCs/>
          <w:sz w:val="24"/>
          <w:szCs w:val="24"/>
        </w:rPr>
      </w:pPr>
      <w:r>
        <w:fldChar w:fldCharType="begin"/>
      </w:r>
      <w:r>
        <w:instrText xml:space="preserve"> HYPERLINK "https://cases.justia.com/rhode-island/superior-court/2020-18-0273.pdf?ts=1581362174" </w:instrText>
      </w:r>
      <w:r>
        <w:fldChar w:fldCharType="separate"/>
      </w:r>
      <w:r w:rsidR="005C30A4" w:rsidRPr="00465FB3">
        <w:rPr>
          <w:rStyle w:val="Hyperlink"/>
          <w:rFonts w:ascii="Times New Roman" w:hAnsi="Times New Roman"/>
          <w:bCs/>
          <w:sz w:val="24"/>
          <w:szCs w:val="24"/>
        </w:rPr>
        <w:t>https://cases.justia.com/rhode-island/superior-court/2020-18-0273.pdf?ts=1581362174</w:t>
      </w:r>
      <w:r>
        <w:rPr>
          <w:rStyle w:val="Hyperlink"/>
          <w:rFonts w:ascii="Times New Roman" w:hAnsi="Times New Roman"/>
          <w:bCs/>
          <w:sz w:val="24"/>
          <w:szCs w:val="24"/>
        </w:rPr>
        <w:fldChar w:fldCharType="end"/>
      </w:r>
      <w:r w:rsidR="005C30A4" w:rsidRPr="00465FB3">
        <w:rPr>
          <w:rFonts w:ascii="Times New Roman" w:hAnsi="Times New Roman"/>
          <w:bCs/>
          <w:sz w:val="24"/>
          <w:szCs w:val="24"/>
        </w:rPr>
        <w:t xml:space="preserve"> </w:t>
      </w:r>
    </w:p>
    <w:bookmarkEnd w:id="424"/>
    <w:p w14:paraId="5F2C0971" w14:textId="77777777" w:rsidR="005C30A4" w:rsidRPr="00465FB3" w:rsidRDefault="005C30A4" w:rsidP="005C30A4">
      <w:pPr>
        <w:pStyle w:val="NoSpacing"/>
        <w:ind w:left="720"/>
        <w:rPr>
          <w:rFonts w:ascii="Times New Roman" w:hAnsi="Times New Roman"/>
          <w:b/>
          <w:bCs/>
          <w:sz w:val="24"/>
          <w:szCs w:val="24"/>
        </w:rPr>
      </w:pPr>
    </w:p>
    <w:p w14:paraId="553BE63D" w14:textId="77777777" w:rsidR="005C30A4" w:rsidRPr="00465FB3" w:rsidRDefault="005C30A4" w:rsidP="005C30A4">
      <w:pPr>
        <w:pStyle w:val="NoSpacing"/>
        <w:rPr>
          <w:rFonts w:ascii="Times New Roman" w:hAnsi="Times New Roman"/>
          <w:b/>
          <w:bCs/>
          <w:sz w:val="24"/>
          <w:szCs w:val="24"/>
        </w:rPr>
      </w:pPr>
      <w:r w:rsidRPr="00465FB3">
        <w:rPr>
          <w:rFonts w:ascii="Times New Roman" w:hAnsi="Times New Roman"/>
          <w:b/>
          <w:bCs/>
          <w:sz w:val="24"/>
          <w:szCs w:val="24"/>
        </w:rPr>
        <w:t xml:space="preserve">Legal Lessons Learned: This Good Samaritan Act was written to broadly protect drug users and others who call 911 for help. </w:t>
      </w:r>
    </w:p>
    <w:p w14:paraId="607C312D" w14:textId="77777777" w:rsidR="005C30A4" w:rsidRDefault="005C30A4" w:rsidP="00F326E5">
      <w:pPr>
        <w:rPr>
          <w:rFonts w:ascii="Arial Black" w:hAnsi="Arial Black"/>
          <w:b/>
          <w:sz w:val="24"/>
          <w:szCs w:val="24"/>
        </w:rPr>
      </w:pPr>
    </w:p>
    <w:p w14:paraId="483A2F1F" w14:textId="77777777" w:rsidR="005C30A4" w:rsidRDefault="005C30A4" w:rsidP="00F326E5">
      <w:pPr>
        <w:rPr>
          <w:rFonts w:ascii="Arial Black" w:hAnsi="Arial Black"/>
          <w:b/>
          <w:sz w:val="24"/>
          <w:szCs w:val="24"/>
        </w:rPr>
      </w:pPr>
    </w:p>
    <w:p w14:paraId="4323B294" w14:textId="77777777" w:rsidR="005C30A4" w:rsidRDefault="005C30A4" w:rsidP="00F326E5">
      <w:pPr>
        <w:rPr>
          <w:rFonts w:ascii="Arial Black" w:hAnsi="Arial Black"/>
          <w:b/>
          <w:sz w:val="24"/>
          <w:szCs w:val="24"/>
        </w:rPr>
      </w:pPr>
    </w:p>
    <w:p w14:paraId="2E040259" w14:textId="7B2E87FB" w:rsidR="00A52325" w:rsidRDefault="00A52325" w:rsidP="00F326E5">
      <w:pPr>
        <w:rPr>
          <w:rFonts w:ascii="Arial Black" w:hAnsi="Arial Black"/>
          <w:b/>
          <w:sz w:val="24"/>
          <w:szCs w:val="24"/>
        </w:rPr>
      </w:pPr>
      <w:r>
        <w:rPr>
          <w:rFonts w:ascii="Arial Black" w:hAnsi="Arial Black"/>
          <w:b/>
          <w:sz w:val="24"/>
          <w:szCs w:val="24"/>
        </w:rPr>
        <w:t>12-3</w:t>
      </w:r>
    </w:p>
    <w:p w14:paraId="6C5A2033" w14:textId="77777777" w:rsidR="00A52325" w:rsidRDefault="00A52325" w:rsidP="00A52325">
      <w:pPr>
        <w:pStyle w:val="NoSpacing"/>
        <w:rPr>
          <w:rFonts w:ascii="Arial Black" w:hAnsi="Arial Black"/>
          <w:sz w:val="28"/>
          <w:szCs w:val="28"/>
        </w:rPr>
      </w:pPr>
      <w:bookmarkStart w:id="425" w:name="_Hlk39772024"/>
      <w:bookmarkStart w:id="426" w:name="_Hlk41155561"/>
      <w:r>
        <w:rPr>
          <w:rFonts w:ascii="Arial Black" w:hAnsi="Arial Black"/>
          <w:sz w:val="28"/>
          <w:szCs w:val="28"/>
        </w:rPr>
        <w:t>IL: PARAMEDIC USING SQUAD FENTANYL – HOSPITAL FOUND PIN HOLES IN VIALS – CONVICTION UPHELD</w:t>
      </w:r>
    </w:p>
    <w:p w14:paraId="58922B2E" w14:textId="77777777" w:rsidR="00A52325" w:rsidRDefault="00A52325" w:rsidP="00A52325">
      <w:pPr>
        <w:pStyle w:val="NoSpacing"/>
        <w:rPr>
          <w:rFonts w:ascii="Times New Roman" w:hAnsi="Times New Roman"/>
          <w:sz w:val="24"/>
          <w:szCs w:val="24"/>
        </w:rPr>
      </w:pPr>
    </w:p>
    <w:p w14:paraId="7A8F57DA" w14:textId="77777777" w:rsidR="00A52325" w:rsidRDefault="00A52325" w:rsidP="00A52325">
      <w:pPr>
        <w:pStyle w:val="NoSpacing"/>
        <w:rPr>
          <w:rFonts w:ascii="Times New Roman" w:hAnsi="Times New Roman"/>
          <w:sz w:val="24"/>
          <w:szCs w:val="24"/>
        </w:rPr>
      </w:pPr>
      <w:r>
        <w:rPr>
          <w:rFonts w:ascii="Times New Roman" w:hAnsi="Times New Roman"/>
          <w:sz w:val="24"/>
          <w:szCs w:val="24"/>
        </w:rPr>
        <w:t xml:space="preserve">On </w:t>
      </w:r>
      <w:bookmarkStart w:id="427" w:name="_Hlk39849052"/>
      <w:r>
        <w:rPr>
          <w:rFonts w:ascii="Times New Roman" w:hAnsi="Times New Roman"/>
          <w:sz w:val="24"/>
          <w:szCs w:val="24"/>
        </w:rPr>
        <w:t xml:space="preserve">Dec. 6, 2019, in </w:t>
      </w:r>
      <w:r>
        <w:rPr>
          <w:rFonts w:ascii="Times New Roman" w:hAnsi="Times New Roman"/>
          <w:sz w:val="24"/>
          <w:szCs w:val="24"/>
          <w:u w:val="single"/>
        </w:rPr>
        <w:t>United States v. Jason Laut</w:t>
      </w:r>
      <w:bookmarkEnd w:id="427"/>
      <w:r>
        <w:rPr>
          <w:rFonts w:ascii="Times New Roman" w:hAnsi="Times New Roman"/>
          <w:sz w:val="24"/>
          <w:szCs w:val="24"/>
        </w:rPr>
        <w:t>, the U.S. Court of Appeals for the 7</w:t>
      </w:r>
      <w:r>
        <w:rPr>
          <w:rFonts w:ascii="Times New Roman" w:hAnsi="Times New Roman"/>
          <w:sz w:val="24"/>
          <w:szCs w:val="24"/>
          <w:vertAlign w:val="superscript"/>
        </w:rPr>
        <w:t>th</w:t>
      </w:r>
      <w:r>
        <w:rPr>
          <w:rFonts w:ascii="Times New Roman" w:hAnsi="Times New Roman"/>
          <w:sz w:val="24"/>
          <w:szCs w:val="24"/>
        </w:rPr>
        <w:t xml:space="preserve"> Circuit (Chicago), held (3 to 0) that in a nonprecedential disposition that his jury conviction was affirmed. </w:t>
      </w:r>
    </w:p>
    <w:p w14:paraId="682A45B9" w14:textId="77777777" w:rsidR="00A52325" w:rsidRDefault="00A52325" w:rsidP="00A52325">
      <w:pPr>
        <w:pStyle w:val="NoSpacing"/>
        <w:rPr>
          <w:rFonts w:ascii="Times New Roman" w:hAnsi="Times New Roman"/>
          <w:sz w:val="24"/>
          <w:szCs w:val="24"/>
        </w:rPr>
      </w:pPr>
    </w:p>
    <w:p w14:paraId="38C1AA0B" w14:textId="77777777" w:rsidR="00A52325" w:rsidRDefault="00A52325" w:rsidP="00A52325">
      <w:pPr>
        <w:pStyle w:val="NoSpacing"/>
        <w:ind w:left="720"/>
        <w:rPr>
          <w:rFonts w:ascii="Times New Roman" w:hAnsi="Times New Roman"/>
          <w:sz w:val="24"/>
          <w:szCs w:val="24"/>
        </w:rPr>
      </w:pPr>
      <w:r>
        <w:rPr>
          <w:rFonts w:ascii="Times New Roman" w:hAnsi="Times New Roman"/>
          <w:sz w:val="24"/>
          <w:szCs w:val="24"/>
        </w:rPr>
        <w:t xml:space="preserve">“Specifically, the government stated that Laut had tampered with fentanyl vials ‘57 times in 2014, 28 times in 2015; and repeatedly referred to the ‘85 tampered vials.’ Also, when describing the 2015 tampering, the government stated that pharmacists discovered the tampered vials ‘after Jason Laut’s </w:t>
      </w:r>
      <w:r>
        <w:rPr>
          <w:rFonts w:ascii="Times New Roman" w:hAnsi="Times New Roman"/>
          <w:sz w:val="24"/>
          <w:szCs w:val="24"/>
        </w:rPr>
        <w:lastRenderedPageBreak/>
        <w:t>tampering had already been caught once ... but he got away with it.’ *** The jury found Laut guilty on all 38 counts.</w:t>
      </w:r>
    </w:p>
    <w:bookmarkStart w:id="428" w:name="_Hlk39849070"/>
    <w:p w14:paraId="78A527AF" w14:textId="77777777" w:rsidR="00A52325" w:rsidRDefault="00BC38B6" w:rsidP="00A52325">
      <w:pPr>
        <w:pStyle w:val="NoSpacing"/>
        <w:ind w:left="720"/>
        <w:rPr>
          <w:rFonts w:ascii="Times New Roman" w:hAnsi="Times New Roman"/>
          <w:sz w:val="24"/>
          <w:szCs w:val="24"/>
        </w:rPr>
      </w:pPr>
      <w:r>
        <w:fldChar w:fldCharType="begin"/>
      </w:r>
      <w:r>
        <w:instrText xml:space="preserve"> HYPERLINK "http://media.ca7.uscourts.gov/cgi-bin/rssExec.pl?Submit=Display&amp;Path=Y2019/D12-06/C:18-2843:J:PerCuriam:aut:T:npDp:N:2440892:S:0" </w:instrText>
      </w:r>
      <w:r>
        <w:fldChar w:fldCharType="separate"/>
      </w:r>
      <w:r w:rsidR="00A52325">
        <w:rPr>
          <w:rStyle w:val="Hyperlink"/>
          <w:rFonts w:ascii="Times New Roman" w:hAnsi="Times New Roman"/>
          <w:sz w:val="24"/>
          <w:szCs w:val="24"/>
        </w:rPr>
        <w:t>http://media.ca7.uscourts.gov/cgi-bin/rssExec.pl?Submit=Display&amp;Path=Y2019/D12-06/C:18-2843:J:PerCuriam:aut:T:npDp:N:2440892:S:0</w:t>
      </w:r>
      <w:r>
        <w:rPr>
          <w:rStyle w:val="Hyperlink"/>
          <w:rFonts w:ascii="Times New Roman" w:hAnsi="Times New Roman"/>
          <w:sz w:val="24"/>
          <w:szCs w:val="24"/>
        </w:rPr>
        <w:fldChar w:fldCharType="end"/>
      </w:r>
      <w:r w:rsidR="00A52325">
        <w:rPr>
          <w:rFonts w:ascii="Times New Roman" w:hAnsi="Times New Roman"/>
          <w:sz w:val="24"/>
          <w:szCs w:val="24"/>
        </w:rPr>
        <w:t xml:space="preserve"> </w:t>
      </w:r>
    </w:p>
    <w:p w14:paraId="208CA5FC" w14:textId="56C65859" w:rsidR="00A52325" w:rsidRPr="00E71BA9" w:rsidRDefault="00A52325" w:rsidP="00A52325">
      <w:pPr>
        <w:spacing w:before="100" w:beforeAutospacing="1" w:after="100" w:afterAutospacing="1" w:line="240" w:lineRule="auto"/>
        <w:rPr>
          <w:rFonts w:ascii="Times New Roman" w:hAnsi="Times New Roman"/>
          <w:b/>
          <w:bCs/>
          <w:sz w:val="24"/>
          <w:szCs w:val="24"/>
        </w:rPr>
      </w:pPr>
      <w:bookmarkStart w:id="429" w:name="_Hlk40513758"/>
      <w:bookmarkEnd w:id="425"/>
      <w:bookmarkEnd w:id="428"/>
      <w:r>
        <w:rPr>
          <w:rFonts w:ascii="Times New Roman" w:hAnsi="Times New Roman"/>
          <w:b/>
          <w:bCs/>
          <w:sz w:val="24"/>
          <w:szCs w:val="24"/>
        </w:rPr>
        <w:t xml:space="preserve">Legal Lesson Learned: Conduct training of all </w:t>
      </w:r>
      <w:r w:rsidR="00E71BA9">
        <w:rPr>
          <w:rFonts w:ascii="Times New Roman" w:hAnsi="Times New Roman"/>
          <w:b/>
          <w:bCs/>
          <w:sz w:val="24"/>
          <w:szCs w:val="24"/>
        </w:rPr>
        <w:t xml:space="preserve">FD </w:t>
      </w:r>
      <w:r>
        <w:rPr>
          <w:rFonts w:ascii="Times New Roman" w:hAnsi="Times New Roman"/>
          <w:b/>
          <w:bCs/>
          <w:sz w:val="24"/>
          <w:szCs w:val="24"/>
        </w:rPr>
        <w:t>personnel on tamperin</w:t>
      </w:r>
      <w:r w:rsidR="00E71BA9">
        <w:rPr>
          <w:rFonts w:ascii="Times New Roman" w:hAnsi="Times New Roman"/>
          <w:b/>
          <w:bCs/>
          <w:sz w:val="24"/>
          <w:szCs w:val="24"/>
        </w:rPr>
        <w:t xml:space="preserve">g.   </w:t>
      </w:r>
      <w:r w:rsidR="00E71BA9" w:rsidRPr="00E71BA9">
        <w:rPr>
          <w:rFonts w:ascii="Times New Roman" w:hAnsi="Times New Roman"/>
          <w:sz w:val="24"/>
          <w:szCs w:val="24"/>
        </w:rPr>
        <w:t xml:space="preserve">Note:  See this web site: </w:t>
      </w:r>
      <w:hyperlink r:id="rId2016" w:history="1">
        <w:r w:rsidRPr="00E71BA9">
          <w:rPr>
            <w:rStyle w:val="Hyperlink"/>
            <w:rFonts w:ascii="Times New Roman" w:hAnsi="Times New Roman"/>
            <w:sz w:val="24"/>
            <w:szCs w:val="24"/>
          </w:rPr>
          <w:t>http://www.diversionspecialists.com/wp-content/uploads/Considerations-When-Tampering-Occurs.pdf</w:t>
        </w:r>
      </w:hyperlink>
      <w:r w:rsidRPr="00E71BA9">
        <w:rPr>
          <w:rFonts w:ascii="Times New Roman" w:hAnsi="Times New Roman"/>
          <w:b/>
          <w:bCs/>
          <w:sz w:val="24"/>
          <w:szCs w:val="24"/>
        </w:rPr>
        <w:t xml:space="preserve"> </w:t>
      </w:r>
    </w:p>
    <w:bookmarkEnd w:id="426"/>
    <w:bookmarkEnd w:id="429"/>
    <w:p w14:paraId="160E7F52" w14:textId="2BFBF2E1" w:rsidR="00A52325" w:rsidRDefault="00A52325" w:rsidP="00F326E5">
      <w:pPr>
        <w:rPr>
          <w:rFonts w:ascii="Times New Roman" w:hAnsi="Times New Roman"/>
          <w:bCs/>
          <w:sz w:val="24"/>
          <w:szCs w:val="24"/>
        </w:rPr>
      </w:pPr>
    </w:p>
    <w:p w14:paraId="7BA16672" w14:textId="77777777" w:rsidR="00E658E1" w:rsidRPr="00A52325" w:rsidRDefault="00E658E1" w:rsidP="00F326E5">
      <w:pPr>
        <w:rPr>
          <w:rFonts w:ascii="Times New Roman" w:hAnsi="Times New Roman"/>
          <w:bCs/>
          <w:sz w:val="24"/>
          <w:szCs w:val="24"/>
        </w:rPr>
      </w:pPr>
    </w:p>
    <w:p w14:paraId="6C0B8382" w14:textId="77777777" w:rsidR="00A52325" w:rsidRDefault="00A52325" w:rsidP="00F326E5">
      <w:pPr>
        <w:rPr>
          <w:rFonts w:ascii="Arial Black" w:hAnsi="Arial Black"/>
          <w:b/>
          <w:sz w:val="24"/>
          <w:szCs w:val="24"/>
        </w:rPr>
      </w:pPr>
    </w:p>
    <w:p w14:paraId="689E5B5E" w14:textId="6ADAEEE4" w:rsidR="009F0F05" w:rsidRDefault="009F0F05" w:rsidP="00F326E5">
      <w:pPr>
        <w:rPr>
          <w:rFonts w:ascii="Arial Black" w:hAnsi="Arial Black"/>
          <w:b/>
          <w:sz w:val="24"/>
          <w:szCs w:val="24"/>
        </w:rPr>
      </w:pPr>
      <w:r>
        <w:rPr>
          <w:rFonts w:ascii="Arial Black" w:hAnsi="Arial Black"/>
          <w:b/>
          <w:sz w:val="24"/>
          <w:szCs w:val="24"/>
        </w:rPr>
        <w:t>12-2</w:t>
      </w:r>
    </w:p>
    <w:p w14:paraId="511B0FF8" w14:textId="77777777" w:rsidR="009F0F05" w:rsidRPr="00412490" w:rsidRDefault="009F0F05" w:rsidP="009F0F05">
      <w:pPr>
        <w:rPr>
          <w:rFonts w:ascii="Arial Black" w:hAnsi="Arial Black"/>
          <w:sz w:val="28"/>
          <w:szCs w:val="28"/>
        </w:rPr>
      </w:pPr>
      <w:r w:rsidRPr="00412490">
        <w:rPr>
          <w:rFonts w:ascii="Arial Black" w:hAnsi="Arial Black"/>
          <w:sz w:val="28"/>
          <w:szCs w:val="28"/>
        </w:rPr>
        <w:t xml:space="preserve">NY: </w:t>
      </w:r>
      <w:r>
        <w:rPr>
          <w:rFonts w:ascii="Arial Black" w:hAnsi="Arial Black"/>
          <w:sz w:val="28"/>
          <w:szCs w:val="28"/>
        </w:rPr>
        <w:t xml:space="preserve">COURT REFUSES TO DROP DUI CHARGES AGAINST POLICE OFFICER / EMT – NOT “INTEREST OF JUSTICE” </w:t>
      </w:r>
    </w:p>
    <w:p w14:paraId="1640859F" w14:textId="77777777" w:rsidR="009F0F05" w:rsidRPr="00412490" w:rsidRDefault="009F0F05" w:rsidP="009F0F05">
      <w:pPr>
        <w:rPr>
          <w:rFonts w:ascii="Times New Roman" w:hAnsi="Times New Roman"/>
          <w:sz w:val="24"/>
          <w:szCs w:val="24"/>
        </w:rPr>
      </w:pPr>
      <w:r w:rsidRPr="00412490">
        <w:rPr>
          <w:rFonts w:ascii="Times New Roman" w:hAnsi="Times New Roman"/>
          <w:sz w:val="24"/>
          <w:szCs w:val="24"/>
        </w:rPr>
        <w:t xml:space="preserve">On </w:t>
      </w:r>
      <w:r>
        <w:rPr>
          <w:rFonts w:ascii="Times New Roman" w:hAnsi="Times New Roman"/>
          <w:sz w:val="24"/>
          <w:szCs w:val="24"/>
        </w:rPr>
        <w:t xml:space="preserve">Aug. 13, 2019, in </w:t>
      </w:r>
      <w:r w:rsidRPr="00412490">
        <w:rPr>
          <w:rFonts w:ascii="Times New Roman" w:hAnsi="Times New Roman"/>
          <w:sz w:val="24"/>
          <w:szCs w:val="24"/>
          <w:u w:val="single"/>
        </w:rPr>
        <w:t xml:space="preserve">The People </w:t>
      </w:r>
      <w:proofErr w:type="gramStart"/>
      <w:r w:rsidRPr="00412490">
        <w:rPr>
          <w:rFonts w:ascii="Times New Roman" w:hAnsi="Times New Roman"/>
          <w:sz w:val="24"/>
          <w:szCs w:val="24"/>
          <w:u w:val="single"/>
        </w:rPr>
        <w:t>Of</w:t>
      </w:r>
      <w:proofErr w:type="gramEnd"/>
      <w:r w:rsidRPr="00412490">
        <w:rPr>
          <w:rFonts w:ascii="Times New Roman" w:hAnsi="Times New Roman"/>
          <w:sz w:val="24"/>
          <w:szCs w:val="24"/>
          <w:u w:val="single"/>
        </w:rPr>
        <w:t xml:space="preserve"> </w:t>
      </w:r>
      <w:proofErr w:type="gramStart"/>
      <w:r w:rsidRPr="00412490">
        <w:rPr>
          <w:rFonts w:ascii="Times New Roman" w:hAnsi="Times New Roman"/>
          <w:sz w:val="24"/>
          <w:szCs w:val="24"/>
          <w:u w:val="single"/>
        </w:rPr>
        <w:t>The</w:t>
      </w:r>
      <w:proofErr w:type="gramEnd"/>
      <w:r w:rsidRPr="00412490">
        <w:rPr>
          <w:rFonts w:ascii="Times New Roman" w:hAnsi="Times New Roman"/>
          <w:sz w:val="24"/>
          <w:szCs w:val="24"/>
          <w:u w:val="single"/>
        </w:rPr>
        <w:t xml:space="preserve"> State Of New York v. Shreeganes Meade</w:t>
      </w:r>
      <w:r>
        <w:rPr>
          <w:rFonts w:ascii="Times New Roman" w:hAnsi="Times New Roman"/>
          <w:sz w:val="24"/>
          <w:szCs w:val="24"/>
        </w:rPr>
        <w:t xml:space="preserve">, </w:t>
      </w:r>
      <w:r w:rsidRPr="00A31BF5">
        <w:rPr>
          <w:rFonts w:ascii="Times New Roman" w:hAnsi="Times New Roman"/>
          <w:sz w:val="24"/>
          <w:szCs w:val="24"/>
        </w:rPr>
        <w:t>2019 NY Slip Op 51419(U)</w:t>
      </w:r>
      <w:r>
        <w:rPr>
          <w:rFonts w:ascii="Times New Roman" w:hAnsi="Times New Roman"/>
          <w:sz w:val="24"/>
          <w:szCs w:val="24"/>
        </w:rPr>
        <w:t>,</w:t>
      </w:r>
      <w:r>
        <w:t xml:space="preserve"> </w:t>
      </w:r>
      <w:r w:rsidRPr="00A31BF5">
        <w:rPr>
          <w:rFonts w:ascii="Times New Roman" w:hAnsi="Times New Roman"/>
          <w:sz w:val="24"/>
          <w:szCs w:val="24"/>
        </w:rPr>
        <w:t>N.Y. Crim. Ct., 2019</w:t>
      </w:r>
      <w:r>
        <w:t xml:space="preserve">, </w:t>
      </w:r>
      <w:r>
        <w:rPr>
          <w:rFonts w:ascii="Times New Roman" w:hAnsi="Times New Roman"/>
          <w:sz w:val="24"/>
          <w:szCs w:val="24"/>
        </w:rPr>
        <w:t xml:space="preserve"> trial judge Kate Paek, Criminal Court of the City of New York, denied the defense motion to dismiss the two misdemeanor counts “in the interest of justice.”  </w:t>
      </w:r>
      <w:hyperlink r:id="rId2017" w:history="1">
        <w:r w:rsidRPr="00412490">
          <w:rPr>
            <w:rStyle w:val="Hyperlink"/>
            <w:rFonts w:ascii="Times New Roman" w:hAnsi="Times New Roman"/>
            <w:sz w:val="24"/>
            <w:szCs w:val="24"/>
          </w:rPr>
          <w:t>https://law.justia.com/cases/new-york/other-courts/2019/2019-ny-slip-op-51419-u.html</w:t>
        </w:r>
      </w:hyperlink>
      <w:r w:rsidRPr="00412490">
        <w:rPr>
          <w:rFonts w:ascii="Times New Roman" w:hAnsi="Times New Roman"/>
          <w:sz w:val="24"/>
          <w:szCs w:val="24"/>
        </w:rPr>
        <w:t xml:space="preserve"> </w:t>
      </w:r>
    </w:p>
    <w:p w14:paraId="4452E726" w14:textId="77777777" w:rsidR="009F0F05" w:rsidRDefault="009F0F05" w:rsidP="009F0F05">
      <w:pPr>
        <w:ind w:firstLine="720"/>
        <w:rPr>
          <w:rFonts w:ascii="Times New Roman" w:hAnsi="Times New Roman"/>
          <w:sz w:val="24"/>
          <w:szCs w:val="24"/>
        </w:rPr>
      </w:pPr>
      <w:r>
        <w:rPr>
          <w:rFonts w:ascii="Times New Roman" w:hAnsi="Times New Roman"/>
          <w:sz w:val="24"/>
          <w:szCs w:val="24"/>
        </w:rPr>
        <w:t>The judge held:</w:t>
      </w:r>
    </w:p>
    <w:p w14:paraId="3B7A7419" w14:textId="77777777" w:rsidR="009F0F05" w:rsidRPr="00412490" w:rsidRDefault="009F0F05" w:rsidP="009F0F05">
      <w:pPr>
        <w:ind w:left="720"/>
        <w:rPr>
          <w:rFonts w:ascii="Times New Roman" w:hAnsi="Times New Roman"/>
          <w:sz w:val="24"/>
          <w:szCs w:val="24"/>
        </w:rPr>
      </w:pPr>
      <w:r>
        <w:rPr>
          <w:rFonts w:ascii="Times New Roman" w:hAnsi="Times New Roman"/>
          <w:sz w:val="24"/>
          <w:szCs w:val="24"/>
        </w:rPr>
        <w:t>“</w:t>
      </w:r>
      <w:r w:rsidRPr="00412490">
        <w:rPr>
          <w:rFonts w:ascii="Times New Roman" w:hAnsi="Times New Roman"/>
          <w:sz w:val="24"/>
          <w:szCs w:val="24"/>
        </w:rPr>
        <w:t xml:space="preserve">The defendant asserts that he will face discipline, including possible termination from the NYPD, if he is convicted of a misdemeanor DWI offense. He also states that he will face removal from the New York State Guard and could lose his license to work as an Emergency Medical Technician. Defense counsel asserts that these consequences would not only impact the defendant </w:t>
      </w:r>
      <w:proofErr w:type="gramStart"/>
      <w:r w:rsidRPr="00412490">
        <w:rPr>
          <w:rFonts w:ascii="Times New Roman" w:hAnsi="Times New Roman"/>
          <w:sz w:val="24"/>
          <w:szCs w:val="24"/>
        </w:rPr>
        <w:t>personally,</w:t>
      </w:r>
      <w:r>
        <w:rPr>
          <w:rFonts w:ascii="Times New Roman" w:hAnsi="Times New Roman"/>
          <w:sz w:val="24"/>
          <w:szCs w:val="24"/>
        </w:rPr>
        <w:t xml:space="preserve"> </w:t>
      </w:r>
      <w:r w:rsidRPr="00412490">
        <w:rPr>
          <w:rFonts w:ascii="Times New Roman" w:hAnsi="Times New Roman"/>
          <w:sz w:val="24"/>
          <w:szCs w:val="24"/>
        </w:rPr>
        <w:t>but</w:t>
      </w:r>
      <w:proofErr w:type="gramEnd"/>
      <w:r w:rsidRPr="00412490">
        <w:rPr>
          <w:rFonts w:ascii="Times New Roman" w:hAnsi="Times New Roman"/>
          <w:sz w:val="24"/>
          <w:szCs w:val="24"/>
        </w:rPr>
        <w:t xml:space="preserve"> would deprive the community of the defendant's service in those roles. The court is mindful of these potential collateral </w:t>
      </w:r>
      <w:proofErr w:type="gramStart"/>
      <w:r w:rsidRPr="00412490">
        <w:rPr>
          <w:rFonts w:ascii="Times New Roman" w:hAnsi="Times New Roman"/>
          <w:sz w:val="24"/>
          <w:szCs w:val="24"/>
        </w:rPr>
        <w:t>consequences, but</w:t>
      </w:r>
      <w:proofErr w:type="gramEnd"/>
      <w:r w:rsidRPr="00412490">
        <w:rPr>
          <w:rFonts w:ascii="Times New Roman" w:hAnsi="Times New Roman"/>
          <w:sz w:val="24"/>
          <w:szCs w:val="24"/>
        </w:rPr>
        <w:t xml:space="preserve"> finds that they do not mandate dismissal in this case.</w:t>
      </w:r>
      <w:r>
        <w:rPr>
          <w:rFonts w:ascii="Times New Roman" w:hAnsi="Times New Roman"/>
          <w:sz w:val="24"/>
          <w:szCs w:val="24"/>
        </w:rPr>
        <w:t>”</w:t>
      </w:r>
    </w:p>
    <w:p w14:paraId="0B547525" w14:textId="77777777" w:rsidR="009F0F05" w:rsidRDefault="009F0F05" w:rsidP="009F0F05">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The job consequences of an emergency responder being convicted of driving while intoxicated can be very severe.  The case will now go to a jury, unless the police officer elects to have a “bench trial” or pleads guilty.   </w:t>
      </w:r>
    </w:p>
    <w:p w14:paraId="3DB632E9" w14:textId="77777777" w:rsidR="00E658E1" w:rsidRDefault="00E658E1" w:rsidP="00F326E5">
      <w:pPr>
        <w:rPr>
          <w:rFonts w:ascii="Arial Black" w:hAnsi="Arial Black"/>
          <w:b/>
          <w:sz w:val="24"/>
          <w:szCs w:val="24"/>
        </w:rPr>
      </w:pPr>
    </w:p>
    <w:p w14:paraId="3CC152EB" w14:textId="79E412E7" w:rsidR="00F326E5" w:rsidRDefault="00DE0F03" w:rsidP="00F326E5">
      <w:pPr>
        <w:rPr>
          <w:rFonts w:ascii="Arial Black" w:hAnsi="Arial Black"/>
          <w:sz w:val="40"/>
          <w:szCs w:val="40"/>
        </w:rPr>
      </w:pPr>
      <w:r>
        <w:rPr>
          <w:rFonts w:ascii="Arial Black" w:hAnsi="Arial Black"/>
          <w:b/>
          <w:sz w:val="24"/>
          <w:szCs w:val="24"/>
        </w:rPr>
        <w:t xml:space="preserve">12-1 </w:t>
      </w:r>
    </w:p>
    <w:p w14:paraId="5F96CBC6" w14:textId="174B8F51" w:rsidR="00F326E5" w:rsidRDefault="00F326E5" w:rsidP="00F326E5">
      <w:pPr>
        <w:pStyle w:val="NoSpacing"/>
        <w:rPr>
          <w:rFonts w:ascii="Arial Black" w:hAnsi="Arial Black"/>
          <w:sz w:val="28"/>
          <w:szCs w:val="28"/>
        </w:rPr>
      </w:pPr>
      <w:bookmarkStart w:id="430" w:name="_Hlk39772079"/>
      <w:bookmarkStart w:id="431" w:name="_Hlk7345754"/>
      <w:r w:rsidRPr="00541B0F">
        <w:rPr>
          <w:rFonts w:ascii="Arial Black" w:hAnsi="Arial Black"/>
          <w:b/>
          <w:sz w:val="28"/>
          <w:szCs w:val="28"/>
        </w:rPr>
        <w:t>MD</w:t>
      </w:r>
      <w:r>
        <w:rPr>
          <w:rFonts w:ascii="Arial Black" w:hAnsi="Arial Black"/>
          <w:b/>
          <w:sz w:val="28"/>
          <w:szCs w:val="28"/>
        </w:rPr>
        <w:t xml:space="preserve">: </w:t>
      </w:r>
      <w:r w:rsidRPr="00541B0F">
        <w:rPr>
          <w:rFonts w:ascii="Arial Black" w:hAnsi="Arial Black"/>
          <w:b/>
          <w:sz w:val="28"/>
          <w:szCs w:val="28"/>
        </w:rPr>
        <w:t>F</w:t>
      </w:r>
      <w:r>
        <w:rPr>
          <w:rFonts w:ascii="Arial Black" w:hAnsi="Arial Black"/>
          <w:b/>
          <w:sz w:val="28"/>
          <w:szCs w:val="28"/>
        </w:rPr>
        <w:t xml:space="preserve">F </w:t>
      </w:r>
      <w:r w:rsidRPr="00541B0F">
        <w:rPr>
          <w:rFonts w:ascii="Arial Black" w:hAnsi="Arial Black"/>
          <w:b/>
          <w:sz w:val="28"/>
          <w:szCs w:val="28"/>
        </w:rPr>
        <w:t>TERMINATED FOR ALCOHOL</w:t>
      </w:r>
      <w:r>
        <w:rPr>
          <w:rFonts w:ascii="Arial Black" w:hAnsi="Arial Black"/>
          <w:sz w:val="28"/>
          <w:szCs w:val="28"/>
        </w:rPr>
        <w:t xml:space="preserve"> – GIVEN SECOND CHANCE – PRE-TERMINATION HEARING</w:t>
      </w:r>
    </w:p>
    <w:p w14:paraId="09636522" w14:textId="77777777" w:rsidR="00E658E1" w:rsidRDefault="00F326E5" w:rsidP="00F326E5">
      <w:pPr>
        <w:pStyle w:val="NoSpacing"/>
        <w:rPr>
          <w:rFonts w:ascii="Times New Roman" w:hAnsi="Times New Roman"/>
          <w:sz w:val="24"/>
          <w:szCs w:val="24"/>
        </w:rPr>
      </w:pPr>
      <w:r w:rsidRPr="00E658E1">
        <w:rPr>
          <w:rFonts w:ascii="Times New Roman" w:hAnsi="Times New Roman"/>
          <w:sz w:val="24"/>
          <w:szCs w:val="24"/>
        </w:rPr>
        <w:t xml:space="preserve">On Oct. 19, 2018, in </w:t>
      </w:r>
      <w:r w:rsidRPr="00E658E1">
        <w:rPr>
          <w:rFonts w:ascii="Times New Roman" w:hAnsi="Times New Roman"/>
          <w:sz w:val="24"/>
          <w:szCs w:val="24"/>
          <w:u w:val="single"/>
        </w:rPr>
        <w:t>Darryl K. Lewis, Jr. v. City of Baltimore Civil Service Commission, et al</w:t>
      </w:r>
      <w:r w:rsidRPr="00E658E1">
        <w:rPr>
          <w:rFonts w:ascii="Times New Roman" w:hAnsi="Times New Roman"/>
          <w:sz w:val="24"/>
          <w:szCs w:val="24"/>
        </w:rPr>
        <w:t xml:space="preserve">, the Circuit Court for Baltimore City, held (3 to 0) in unreported decision that the firefighter was provided due process, affirming the Hearing Officer’s findings: </w:t>
      </w:r>
    </w:p>
    <w:p w14:paraId="2EBA2134" w14:textId="77777777" w:rsidR="00E658E1" w:rsidRDefault="00E658E1" w:rsidP="00F326E5">
      <w:pPr>
        <w:pStyle w:val="NoSpacing"/>
        <w:rPr>
          <w:rFonts w:ascii="Times New Roman" w:hAnsi="Times New Roman"/>
          <w:sz w:val="24"/>
          <w:szCs w:val="24"/>
        </w:rPr>
      </w:pPr>
    </w:p>
    <w:p w14:paraId="371452EE" w14:textId="452B71D0" w:rsidR="00F326E5" w:rsidRPr="00E658E1" w:rsidRDefault="00F326E5" w:rsidP="00E658E1">
      <w:pPr>
        <w:pStyle w:val="NoSpacing"/>
        <w:ind w:left="720"/>
        <w:rPr>
          <w:rFonts w:ascii="Times New Roman" w:eastAsia="Times New Roman" w:hAnsi="Times New Roman"/>
          <w:sz w:val="24"/>
          <w:szCs w:val="24"/>
        </w:rPr>
      </w:pPr>
      <w:r w:rsidRPr="00E658E1">
        <w:rPr>
          <w:rFonts w:ascii="Times New Roman" w:hAnsi="Times New Roman"/>
          <w:sz w:val="24"/>
          <w:szCs w:val="24"/>
        </w:rPr>
        <w:lastRenderedPageBreak/>
        <w:t>“</w:t>
      </w:r>
      <w:r w:rsidRPr="00E658E1">
        <w:rPr>
          <w:rFonts w:ascii="Times New Roman" w:eastAsia="Times New Roman" w:hAnsi="Times New Roman"/>
          <w:sz w:val="24"/>
          <w:szCs w:val="24"/>
        </w:rPr>
        <w:t xml:space="preserve">The Hearing Officer’s Recommendation states, ‘Procedural due process was afforded in that Lewis received notice of the underlying charges and an opportunity to be heard at a pre-termination hearing. He received sufficient notification of the outcome of that hearing and was advised of his right to this investigation.’” </w:t>
      </w:r>
      <w:hyperlink r:id="rId2018" w:history="1">
        <w:r w:rsidRPr="00E658E1">
          <w:rPr>
            <w:rStyle w:val="Hyperlink"/>
            <w:rFonts w:ascii="Times New Roman" w:hAnsi="Times New Roman"/>
            <w:sz w:val="24"/>
            <w:szCs w:val="24"/>
          </w:rPr>
          <w:t>https://www.courts.state.md.us/sites/default/files/unreported-opinions/2605s16.pdf</w:t>
        </w:r>
      </w:hyperlink>
      <w:r w:rsidRPr="00E658E1">
        <w:rPr>
          <w:rFonts w:ascii="Times New Roman" w:eastAsia="Times New Roman" w:hAnsi="Times New Roman"/>
          <w:sz w:val="24"/>
          <w:szCs w:val="24"/>
        </w:rPr>
        <w:t xml:space="preserve"> </w:t>
      </w:r>
    </w:p>
    <w:p w14:paraId="4E968E6B" w14:textId="77777777" w:rsidR="00E658E1" w:rsidRDefault="00E658E1" w:rsidP="00F326E5">
      <w:pPr>
        <w:pStyle w:val="NoSpacing"/>
        <w:rPr>
          <w:rFonts w:ascii="Times New Roman" w:hAnsi="Times New Roman"/>
          <w:b/>
          <w:sz w:val="24"/>
          <w:szCs w:val="24"/>
        </w:rPr>
      </w:pPr>
    </w:p>
    <w:p w14:paraId="21BE52CC" w14:textId="3494E15D" w:rsidR="00F326E5" w:rsidRPr="00E658E1" w:rsidRDefault="00F326E5" w:rsidP="00F326E5">
      <w:pPr>
        <w:pStyle w:val="NoSpacing"/>
        <w:rPr>
          <w:rFonts w:ascii="Times New Roman" w:hAnsi="Times New Roman"/>
          <w:b/>
          <w:sz w:val="24"/>
          <w:szCs w:val="24"/>
        </w:rPr>
      </w:pPr>
      <w:bookmarkStart w:id="432" w:name="_Hlk40513865"/>
      <w:bookmarkEnd w:id="430"/>
      <w:r w:rsidRPr="00E658E1">
        <w:rPr>
          <w:rFonts w:ascii="Times New Roman" w:hAnsi="Times New Roman"/>
          <w:b/>
          <w:sz w:val="24"/>
          <w:szCs w:val="24"/>
        </w:rPr>
        <w:t xml:space="preserve">Legal Lesson Learned: “After Care Contracts” and other forms of last chance agreements are enforceable, and procedural due process rights were followed in this case.   </w:t>
      </w:r>
    </w:p>
    <w:p w14:paraId="79D791FF" w14:textId="0B8F9210" w:rsidR="000F0910" w:rsidRPr="00E658E1" w:rsidRDefault="00F326E5" w:rsidP="00E71BA9">
      <w:pPr>
        <w:pStyle w:val="NoSpacing"/>
        <w:ind w:left="720"/>
        <w:rPr>
          <w:rFonts w:ascii="Times New Roman" w:hAnsi="Times New Roman"/>
          <w:sz w:val="24"/>
          <w:szCs w:val="24"/>
        </w:rPr>
      </w:pPr>
      <w:r w:rsidRPr="00E658E1">
        <w:rPr>
          <w:rFonts w:ascii="Times New Roman" w:hAnsi="Times New Roman"/>
          <w:sz w:val="24"/>
          <w:szCs w:val="24"/>
        </w:rPr>
        <w:t>Note:  Consider in such agreements a requirement that the employee enroll in a continuing care program</w:t>
      </w:r>
      <w:bookmarkEnd w:id="431"/>
      <w:bookmarkEnd w:id="432"/>
      <w:r w:rsidR="00E71BA9">
        <w:rPr>
          <w:rFonts w:ascii="Times New Roman" w:hAnsi="Times New Roman"/>
          <w:sz w:val="24"/>
          <w:szCs w:val="24"/>
        </w:rPr>
        <w:t>.</w:t>
      </w:r>
    </w:p>
    <w:p w14:paraId="10F8BFED" w14:textId="77777777" w:rsidR="000F0910" w:rsidRDefault="000F0910" w:rsidP="00F326E5">
      <w:pPr>
        <w:pStyle w:val="NoSpacing"/>
        <w:rPr>
          <w:rFonts w:ascii="Arial Black" w:hAnsi="Arial Black"/>
          <w:sz w:val="40"/>
          <w:szCs w:val="40"/>
        </w:rPr>
      </w:pPr>
    </w:p>
    <w:p w14:paraId="4E25EFB5" w14:textId="2D2AEA7B" w:rsidR="00FA7B26" w:rsidRDefault="00FA7B26">
      <w:pPr>
        <w:spacing w:after="0" w:line="240" w:lineRule="auto"/>
        <w:rPr>
          <w:rFonts w:ascii="Arial Black" w:hAnsi="Arial Black"/>
          <w:sz w:val="40"/>
          <w:szCs w:val="40"/>
        </w:rPr>
      </w:pPr>
      <w:r>
        <w:rPr>
          <w:rFonts w:ascii="Arial Black" w:hAnsi="Arial Black"/>
          <w:sz w:val="40"/>
          <w:szCs w:val="40"/>
        </w:rPr>
        <w:br w:type="page"/>
      </w:r>
    </w:p>
    <w:p w14:paraId="18E891B7" w14:textId="77777777" w:rsidR="00FA7B26" w:rsidRDefault="00FA7B26" w:rsidP="00F326E5">
      <w:pPr>
        <w:pStyle w:val="NoSpacing"/>
        <w:rPr>
          <w:rFonts w:ascii="Arial Black" w:hAnsi="Arial Black"/>
          <w:sz w:val="40"/>
          <w:szCs w:val="40"/>
        </w:rPr>
      </w:pPr>
    </w:p>
    <w:p w14:paraId="6111C988" w14:textId="77777777" w:rsidR="00F55DAF" w:rsidRDefault="00F55DAF" w:rsidP="00F326E5">
      <w:pPr>
        <w:pStyle w:val="NoSpacing"/>
        <w:rPr>
          <w:rFonts w:ascii="Arial Black" w:hAnsi="Arial Black"/>
          <w:sz w:val="40"/>
          <w:szCs w:val="40"/>
        </w:rPr>
      </w:pPr>
    </w:p>
    <w:p w14:paraId="3485BFB7" w14:textId="77777777" w:rsidR="00F55DAF" w:rsidRDefault="00F55DAF" w:rsidP="00F326E5">
      <w:pPr>
        <w:pStyle w:val="NoSpacing"/>
        <w:rPr>
          <w:rFonts w:ascii="Arial Black" w:hAnsi="Arial Black"/>
          <w:sz w:val="40"/>
          <w:szCs w:val="40"/>
        </w:rPr>
      </w:pPr>
    </w:p>
    <w:p w14:paraId="6CFCB04B" w14:textId="77777777" w:rsidR="00F55DAF" w:rsidRDefault="00F55DAF" w:rsidP="00F326E5">
      <w:pPr>
        <w:pStyle w:val="NoSpacing"/>
        <w:rPr>
          <w:rFonts w:ascii="Arial Black" w:hAnsi="Arial Black"/>
          <w:sz w:val="40"/>
          <w:szCs w:val="40"/>
        </w:rPr>
      </w:pPr>
    </w:p>
    <w:p w14:paraId="78BB6FB3" w14:textId="77777777" w:rsidR="00F55DAF" w:rsidRDefault="00F55DAF" w:rsidP="00F326E5">
      <w:pPr>
        <w:pStyle w:val="NoSpacing"/>
        <w:rPr>
          <w:rFonts w:ascii="Arial Black" w:hAnsi="Arial Black"/>
          <w:sz w:val="40"/>
          <w:szCs w:val="40"/>
        </w:rPr>
      </w:pPr>
    </w:p>
    <w:p w14:paraId="60750650" w14:textId="77777777" w:rsidR="00F55DAF" w:rsidRDefault="00F55DAF" w:rsidP="00F326E5">
      <w:pPr>
        <w:pStyle w:val="NoSpacing"/>
        <w:rPr>
          <w:rFonts w:ascii="Arial Black" w:hAnsi="Arial Black"/>
          <w:sz w:val="40"/>
          <w:szCs w:val="40"/>
        </w:rPr>
      </w:pPr>
    </w:p>
    <w:p w14:paraId="3FE3F119" w14:textId="77777777" w:rsidR="00F55DAF" w:rsidRDefault="00F55DAF" w:rsidP="00F326E5">
      <w:pPr>
        <w:pStyle w:val="NoSpacing"/>
        <w:rPr>
          <w:rFonts w:ascii="Arial Black" w:hAnsi="Arial Black"/>
          <w:sz w:val="40"/>
          <w:szCs w:val="40"/>
        </w:rPr>
      </w:pPr>
    </w:p>
    <w:p w14:paraId="2687991C" w14:textId="77777777" w:rsidR="00F55DAF" w:rsidRDefault="00F55DAF" w:rsidP="00F326E5">
      <w:pPr>
        <w:pStyle w:val="NoSpacing"/>
        <w:rPr>
          <w:rFonts w:ascii="Arial Black" w:hAnsi="Arial Black"/>
          <w:sz w:val="40"/>
          <w:szCs w:val="40"/>
        </w:rPr>
      </w:pPr>
    </w:p>
    <w:p w14:paraId="789B827A" w14:textId="77777777" w:rsidR="00F55DAF" w:rsidRDefault="00F55DAF" w:rsidP="00F326E5">
      <w:pPr>
        <w:pStyle w:val="NoSpacing"/>
        <w:rPr>
          <w:rFonts w:ascii="Arial Black" w:hAnsi="Arial Black"/>
          <w:sz w:val="40"/>
          <w:szCs w:val="40"/>
        </w:rPr>
      </w:pPr>
    </w:p>
    <w:p w14:paraId="1A35755D" w14:textId="77777777" w:rsidR="00F55DAF" w:rsidRDefault="00F55DAF" w:rsidP="00F326E5">
      <w:pPr>
        <w:pStyle w:val="NoSpacing"/>
        <w:rPr>
          <w:rFonts w:ascii="Arial Black" w:hAnsi="Arial Black"/>
          <w:sz w:val="40"/>
          <w:szCs w:val="40"/>
        </w:rPr>
      </w:pPr>
    </w:p>
    <w:p w14:paraId="3D7E24F4" w14:textId="77777777" w:rsidR="00F55DAF" w:rsidRDefault="00F55DAF" w:rsidP="00F326E5">
      <w:pPr>
        <w:pStyle w:val="NoSpacing"/>
        <w:rPr>
          <w:rFonts w:ascii="Arial Black" w:hAnsi="Arial Black"/>
          <w:sz w:val="40"/>
          <w:szCs w:val="40"/>
        </w:rPr>
      </w:pPr>
    </w:p>
    <w:p w14:paraId="17A4E84A" w14:textId="77777777" w:rsidR="00F55DAF" w:rsidRDefault="00F55DAF" w:rsidP="00F326E5">
      <w:pPr>
        <w:pStyle w:val="NoSpacing"/>
        <w:rPr>
          <w:rFonts w:ascii="Arial Black" w:hAnsi="Arial Black"/>
          <w:sz w:val="40"/>
          <w:szCs w:val="40"/>
        </w:rPr>
      </w:pPr>
    </w:p>
    <w:p w14:paraId="63E1950E" w14:textId="77777777" w:rsidR="00F55DAF" w:rsidRDefault="00F55DAF" w:rsidP="00F326E5">
      <w:pPr>
        <w:pStyle w:val="NoSpacing"/>
        <w:rPr>
          <w:rFonts w:ascii="Arial Black" w:hAnsi="Arial Black"/>
          <w:sz w:val="40"/>
          <w:szCs w:val="40"/>
        </w:rPr>
      </w:pPr>
    </w:p>
    <w:p w14:paraId="4D80508A" w14:textId="77777777" w:rsidR="00F55DAF" w:rsidRDefault="00F55DAF" w:rsidP="00F326E5">
      <w:pPr>
        <w:pStyle w:val="NoSpacing"/>
        <w:rPr>
          <w:rFonts w:ascii="Arial Black" w:hAnsi="Arial Black"/>
          <w:sz w:val="40"/>
          <w:szCs w:val="40"/>
        </w:rPr>
      </w:pPr>
    </w:p>
    <w:p w14:paraId="36A8EC93" w14:textId="77777777" w:rsidR="00F55DAF" w:rsidRDefault="00F55DAF" w:rsidP="00F326E5">
      <w:pPr>
        <w:pStyle w:val="NoSpacing"/>
        <w:rPr>
          <w:rFonts w:ascii="Arial Black" w:hAnsi="Arial Black"/>
          <w:sz w:val="40"/>
          <w:szCs w:val="40"/>
        </w:rPr>
      </w:pPr>
    </w:p>
    <w:p w14:paraId="5A63D56B" w14:textId="77777777" w:rsidR="00F55DAF" w:rsidRDefault="00F55DAF" w:rsidP="00F326E5">
      <w:pPr>
        <w:pStyle w:val="NoSpacing"/>
        <w:rPr>
          <w:rFonts w:ascii="Arial Black" w:hAnsi="Arial Black"/>
          <w:sz w:val="40"/>
          <w:szCs w:val="40"/>
        </w:rPr>
      </w:pPr>
    </w:p>
    <w:p w14:paraId="5528F68C" w14:textId="77777777" w:rsidR="00F55DAF" w:rsidRDefault="00F55DAF" w:rsidP="00F326E5">
      <w:pPr>
        <w:pStyle w:val="NoSpacing"/>
        <w:rPr>
          <w:rFonts w:ascii="Arial Black" w:hAnsi="Arial Black"/>
          <w:sz w:val="40"/>
          <w:szCs w:val="40"/>
        </w:rPr>
      </w:pPr>
    </w:p>
    <w:p w14:paraId="232EF1FE" w14:textId="77777777" w:rsidR="00F55DAF" w:rsidRDefault="00F55DAF" w:rsidP="00F326E5">
      <w:pPr>
        <w:pStyle w:val="NoSpacing"/>
        <w:rPr>
          <w:rFonts w:ascii="Arial Black" w:hAnsi="Arial Black"/>
          <w:sz w:val="40"/>
          <w:szCs w:val="40"/>
        </w:rPr>
      </w:pPr>
    </w:p>
    <w:p w14:paraId="1D239E1D" w14:textId="77777777" w:rsidR="00F55DAF" w:rsidRDefault="00F55DAF" w:rsidP="00F326E5">
      <w:pPr>
        <w:pStyle w:val="NoSpacing"/>
        <w:rPr>
          <w:rFonts w:ascii="Arial Black" w:hAnsi="Arial Black"/>
          <w:sz w:val="40"/>
          <w:szCs w:val="40"/>
        </w:rPr>
      </w:pPr>
    </w:p>
    <w:p w14:paraId="08195DF4" w14:textId="77777777" w:rsidR="00F55DAF" w:rsidRDefault="00F55DAF" w:rsidP="00F326E5">
      <w:pPr>
        <w:pStyle w:val="NoSpacing"/>
        <w:rPr>
          <w:rFonts w:ascii="Arial Black" w:hAnsi="Arial Black"/>
          <w:sz w:val="40"/>
          <w:szCs w:val="40"/>
        </w:rPr>
      </w:pPr>
    </w:p>
    <w:p w14:paraId="44C48805" w14:textId="77777777" w:rsidR="00F55DAF" w:rsidRDefault="00F55DAF" w:rsidP="00F326E5">
      <w:pPr>
        <w:pStyle w:val="NoSpacing"/>
        <w:rPr>
          <w:rFonts w:ascii="Arial Black" w:hAnsi="Arial Black"/>
          <w:sz w:val="40"/>
          <w:szCs w:val="40"/>
        </w:rPr>
      </w:pPr>
    </w:p>
    <w:p w14:paraId="00C8AFA0" w14:textId="77777777" w:rsidR="00F55DAF" w:rsidRDefault="00F55DAF" w:rsidP="00F326E5">
      <w:pPr>
        <w:pStyle w:val="NoSpacing"/>
        <w:rPr>
          <w:rFonts w:ascii="Arial Black" w:hAnsi="Arial Black"/>
          <w:sz w:val="40"/>
          <w:szCs w:val="40"/>
        </w:rPr>
      </w:pPr>
    </w:p>
    <w:p w14:paraId="3E3744A8" w14:textId="77777777" w:rsidR="00F55DAF" w:rsidRDefault="00F55DAF" w:rsidP="00F326E5">
      <w:pPr>
        <w:pStyle w:val="NoSpacing"/>
        <w:rPr>
          <w:rFonts w:ascii="Arial Black" w:hAnsi="Arial Black"/>
          <w:sz w:val="40"/>
          <w:szCs w:val="40"/>
        </w:rPr>
      </w:pPr>
    </w:p>
    <w:p w14:paraId="7FE0DA20" w14:textId="77777777" w:rsidR="00F55DAF" w:rsidRDefault="00F55DAF" w:rsidP="00F326E5">
      <w:pPr>
        <w:pStyle w:val="NoSpacing"/>
        <w:rPr>
          <w:rFonts w:ascii="Arial Black" w:hAnsi="Arial Black"/>
          <w:sz w:val="40"/>
          <w:szCs w:val="40"/>
        </w:rPr>
      </w:pPr>
    </w:p>
    <w:p w14:paraId="50B99505" w14:textId="6951BD87" w:rsidR="00F326E5" w:rsidRDefault="00F326E5" w:rsidP="00F326E5">
      <w:pPr>
        <w:pStyle w:val="NoSpacing"/>
        <w:rPr>
          <w:rFonts w:ascii="Arial Black" w:hAnsi="Arial Black"/>
          <w:sz w:val="40"/>
          <w:szCs w:val="40"/>
        </w:rPr>
      </w:pPr>
      <w:r w:rsidRPr="007732FA">
        <w:rPr>
          <w:rFonts w:ascii="Arial Black" w:hAnsi="Arial Black"/>
          <w:sz w:val="40"/>
          <w:szCs w:val="40"/>
        </w:rPr>
        <w:lastRenderedPageBreak/>
        <w:t>Chap. 13</w:t>
      </w:r>
      <w:r w:rsidRPr="007732FA">
        <w:rPr>
          <w:rFonts w:ascii="Arial Black" w:hAnsi="Arial Black"/>
          <w:sz w:val="40"/>
          <w:szCs w:val="40"/>
        </w:rPr>
        <w:tab/>
        <w:t>EMS</w:t>
      </w:r>
      <w:r w:rsidR="003F660F">
        <w:rPr>
          <w:rFonts w:ascii="Arial Black" w:hAnsi="Arial Black"/>
          <w:sz w:val="40"/>
          <w:szCs w:val="40"/>
        </w:rPr>
        <w:t xml:space="preserve">, including </w:t>
      </w:r>
      <w:r w:rsidR="00636395">
        <w:rPr>
          <w:rFonts w:ascii="Arial Black" w:hAnsi="Arial Black"/>
          <w:sz w:val="40"/>
          <w:szCs w:val="40"/>
        </w:rPr>
        <w:t>Community Paramedicine</w:t>
      </w:r>
      <w:r w:rsidR="003F660F">
        <w:rPr>
          <w:rFonts w:ascii="Arial Black" w:hAnsi="Arial Black"/>
          <w:sz w:val="40"/>
          <w:szCs w:val="40"/>
        </w:rPr>
        <w:t>, Corona Virus</w:t>
      </w:r>
      <w:r w:rsidRPr="007732FA">
        <w:rPr>
          <w:rFonts w:ascii="Arial Black" w:hAnsi="Arial Black"/>
          <w:sz w:val="40"/>
          <w:szCs w:val="40"/>
        </w:rPr>
        <w:tab/>
      </w:r>
    </w:p>
    <w:p w14:paraId="4145B648" w14:textId="77777777" w:rsidR="00AC1F80" w:rsidRDefault="00AC1F80" w:rsidP="002B1283">
      <w:pPr>
        <w:rPr>
          <w:rFonts w:ascii="Arial Black" w:hAnsi="Arial Black"/>
          <w:b/>
          <w:bCs/>
          <w:sz w:val="28"/>
          <w:szCs w:val="28"/>
        </w:rPr>
      </w:pPr>
      <w:bookmarkStart w:id="433" w:name="_Hlk7346153"/>
    </w:p>
    <w:p w14:paraId="7EA58841" w14:textId="19C0B0A8" w:rsidR="00E47580" w:rsidRDefault="00E47580" w:rsidP="00E47580">
      <w:pPr>
        <w:rPr>
          <w:rFonts w:ascii="Arial Black" w:hAnsi="Arial Black"/>
          <w:b/>
          <w:bCs/>
          <w:sz w:val="28"/>
          <w:szCs w:val="28"/>
        </w:rPr>
      </w:pPr>
      <w:r>
        <w:rPr>
          <w:rFonts w:ascii="Arial Black" w:hAnsi="Arial Black"/>
          <w:b/>
          <w:bCs/>
          <w:sz w:val="28"/>
          <w:szCs w:val="28"/>
        </w:rPr>
        <w:t>13-276</w:t>
      </w:r>
    </w:p>
    <w:p w14:paraId="044EAFF5" w14:textId="77777777" w:rsidR="002E67EB" w:rsidRPr="0074337E" w:rsidRDefault="002E67EB" w:rsidP="002E67EB">
      <w:pPr>
        <w:rPr>
          <w:rFonts w:ascii="Arial Black" w:hAnsi="Arial Black"/>
          <w:b/>
          <w:sz w:val="28"/>
          <w:szCs w:val="28"/>
        </w:rPr>
      </w:pPr>
      <w:r>
        <w:rPr>
          <w:rFonts w:ascii="Arial Black" w:hAnsi="Arial Black"/>
          <w:b/>
          <w:sz w:val="28"/>
          <w:szCs w:val="28"/>
        </w:rPr>
        <w:t xml:space="preserve">KS: PT WELFARE CHECK – ARRESTED ON WARRANT </w:t>
      </w:r>
    </w:p>
    <w:p w14:paraId="59C10A5E" w14:textId="77777777" w:rsidR="002E67EB" w:rsidRDefault="002E67EB" w:rsidP="002E67EB">
      <w:pPr>
        <w:pStyle w:val="NoSpacing"/>
      </w:pPr>
      <w:r>
        <w:t xml:space="preserve">On August 21, 2026, in </w:t>
      </w:r>
      <w:r w:rsidRPr="00397193">
        <w:rPr>
          <w:u w:val="single"/>
        </w:rPr>
        <w:t>State of Kansas v. Nicole Willard</w:t>
      </w:r>
      <w:r>
        <w:t xml:space="preserve">, the Supreme Court of Kansas held 96 to 1) that the trial court properly denied her motion to suppress since fire &amp; EMS responded to call for unconscious person under a bridge.  The Court of Appeals improperly held (2 to 1) that she was “seized” because police when she revealed her name to </w:t>
      </w:r>
      <w:proofErr w:type="gramStart"/>
      <w:r>
        <w:t>firefighters</w:t>
      </w:r>
      <w:proofErr w:type="gramEnd"/>
      <w:r>
        <w:t xml:space="preserve"> police ran a warrant check.  A search after her arrest on the warrant revealed </w:t>
      </w:r>
      <w:r w:rsidRPr="00915043">
        <w:t>plastic bag of methamphetamine</w:t>
      </w:r>
      <w:r>
        <w:t xml:space="preserve"> (18 months’ probation). </w:t>
      </w:r>
      <w:hyperlink r:id="rId2019" w:history="1">
        <w:r w:rsidRPr="00515AC5">
          <w:rPr>
            <w:rStyle w:val="Hyperlink"/>
          </w:rPr>
          <w:t>https://cases.justia.com/kansas/supreme-court/2026-125812.pdf?ts=1787323095</w:t>
        </w:r>
      </w:hyperlink>
      <w:r>
        <w:t xml:space="preserve"> </w:t>
      </w:r>
    </w:p>
    <w:p w14:paraId="5DB7931C" w14:textId="77777777" w:rsidR="002E67EB" w:rsidRDefault="002E67EB" w:rsidP="002E67EB">
      <w:pPr>
        <w:pStyle w:val="NoSpacing"/>
      </w:pPr>
    </w:p>
    <w:p w14:paraId="669386A4" w14:textId="77777777" w:rsidR="002E67EB" w:rsidRDefault="002E67EB" w:rsidP="002E67EB">
      <w:pPr>
        <w:pStyle w:val="NoSpacing"/>
      </w:pPr>
      <w:r>
        <w:t xml:space="preserve"> THE COURT WROTE: </w:t>
      </w:r>
    </w:p>
    <w:p w14:paraId="44A129E1" w14:textId="77777777" w:rsidR="002E67EB" w:rsidRDefault="002E67EB" w:rsidP="002E67EB">
      <w:pPr>
        <w:pStyle w:val="NoSpacing"/>
        <w:rPr>
          <w:bCs/>
        </w:rPr>
      </w:pPr>
    </w:p>
    <w:p w14:paraId="75D07095" w14:textId="77777777" w:rsidR="002E67EB" w:rsidRDefault="002E67EB" w:rsidP="002E67EB">
      <w:pPr>
        <w:pStyle w:val="NoSpacing"/>
        <w:ind w:left="720"/>
      </w:pPr>
      <w:r>
        <w:t xml:space="preserve">“On May 13, 2021, Captain Ian Arndt of the Hutchinson Fire Department and two other firefighters responded to a civilian's call there was an unconscious person under a bridge. When they arrived, they found a person lying under a bridge and not moving. Captain Arndt shook her awake. Once awake, she did not want to provide any information and turned down any care. She eventually told the firefighters her name was Nicole Willard. Three to five minutes after the firefighters arrived, Sergeant Cole Long arrived on the scene in response to a request for a ‘welfare check.’ Sergeant Long's bodycam footage shows Willard sitting against the bridge wall with three firefighters around her in a semi-circle. Willard told Long that the firefighters would not let her call her friend. The firefighters told Willard her phone was behind her, and she could call whoever she wanted. She asked the firefighters to call Christopher Shane Douglas; the firefighters handed her the </w:t>
      </w:r>
      <w:proofErr w:type="gramStart"/>
      <w:r>
        <w:t>phone</w:t>
      </w:r>
      <w:proofErr w:type="gramEnd"/>
      <w:r>
        <w:t xml:space="preserve"> and she made the call herself…. Long responded ‘she's got a warrant, so.’ A second officer arrived, and three minutes later, Long told Willard there was a warrant out for her arrest and took her into custody. Officers performed a search at the jail and located a plastic baggie containing methamphetamine. The State charged Willard with possession of paraphernalia and possession of methamphetamine.</w:t>
      </w:r>
    </w:p>
    <w:p w14:paraId="587BE7C8" w14:textId="77777777" w:rsidR="002E67EB" w:rsidRDefault="002E67EB" w:rsidP="002E67EB">
      <w:pPr>
        <w:pStyle w:val="NoSpacing"/>
        <w:ind w:left="720"/>
      </w:pPr>
    </w:p>
    <w:p w14:paraId="2477D3FA" w14:textId="77777777" w:rsidR="002E67EB" w:rsidRDefault="002E67EB" w:rsidP="002E67EB">
      <w:pPr>
        <w:pStyle w:val="NoSpacing"/>
        <w:ind w:left="720"/>
      </w:pPr>
      <w:r>
        <w:t>***</w:t>
      </w:r>
    </w:p>
    <w:p w14:paraId="240BDC03" w14:textId="77777777" w:rsidR="002E67EB" w:rsidRDefault="002E67EB" w:rsidP="002E67EB">
      <w:pPr>
        <w:pStyle w:val="NoSpacing"/>
        <w:ind w:left="720"/>
      </w:pPr>
      <w:r>
        <w:t xml:space="preserve">In some instances, an encounter described as a public safety or welfare encounter does not rise to the level of a seizure because a reasonable person would understand they can end an encounter. In that case, the official's engagement with a civilian for safety purposes is simply a voluntary encounter that does not violate the Fourth Amendment.  … We agree with this assessment and move on to consider whether </w:t>
      </w:r>
      <w:proofErr w:type="gramStart"/>
      <w:r>
        <w:t>all of</w:t>
      </w:r>
      <w:proofErr w:type="gramEnd"/>
      <w:r>
        <w:t xml:space="preserve"> the circumstances, including the actions of the firefighters and EMTs, communicated to a reasonable person in Willard's position that she was free to end the encounter. We conclude they did…. Because Willard was never seized, the district court made no error in denying her motion to suppress. Willard has not claimed that the warrant check or the search incident to arrest, on their own, constituted an unlawful search or seizure. She argued only that the unlawful seizure facilitated the warrant check, which facilitated the arrest and the eventual search. Because we reject that premise, her argument fails.”</w:t>
      </w:r>
    </w:p>
    <w:p w14:paraId="76042FC9" w14:textId="77777777" w:rsidR="002E67EB" w:rsidRDefault="002E67EB" w:rsidP="002E67EB">
      <w:pPr>
        <w:pStyle w:val="NoSpacing"/>
        <w:ind w:left="720"/>
      </w:pPr>
    </w:p>
    <w:p w14:paraId="19AA23EA" w14:textId="77777777" w:rsidR="002E67EB" w:rsidRDefault="002E67EB" w:rsidP="002E67EB">
      <w:pPr>
        <w:pStyle w:val="NoSpacing"/>
        <w:jc w:val="both"/>
      </w:pPr>
      <w:r>
        <w:t>Dissent: “Because the officials continued Willard's welfare-based seizure and used it to facilitate a warrant check after the record disclosed no remaining welfare need, transportation-related safety concern, or reasonable suspicion of criminal activity, discovery of the warrant and resulting search were fruits of the unlawful detention.”</w:t>
      </w:r>
    </w:p>
    <w:p w14:paraId="2F307F15" w14:textId="77777777" w:rsidR="002E67EB" w:rsidRDefault="002E67EB" w:rsidP="002E67EB">
      <w:pPr>
        <w:pStyle w:val="NoSpacing"/>
        <w:ind w:left="720"/>
      </w:pPr>
    </w:p>
    <w:p w14:paraId="72880F82" w14:textId="77777777" w:rsidR="002E67EB" w:rsidRPr="005F1FAF" w:rsidRDefault="002E67EB" w:rsidP="002E67EB">
      <w:pPr>
        <w:pStyle w:val="NoSpacing"/>
        <w:rPr>
          <w:b/>
          <w:bCs/>
        </w:rPr>
      </w:pPr>
      <w:r>
        <w:rPr>
          <w:b/>
        </w:rPr>
        <w:t xml:space="preserve">Legal lesson learned: Welfare checks can result in lawful arrests if wanted on a warrant. </w:t>
      </w:r>
    </w:p>
    <w:p w14:paraId="4777D97F" w14:textId="77777777" w:rsidR="002E67EB" w:rsidRDefault="002E67EB" w:rsidP="002B1283">
      <w:pPr>
        <w:rPr>
          <w:rFonts w:ascii="Arial Black" w:hAnsi="Arial Black"/>
          <w:b/>
          <w:bCs/>
          <w:sz w:val="28"/>
          <w:szCs w:val="28"/>
        </w:rPr>
      </w:pPr>
    </w:p>
    <w:p w14:paraId="69EBA5D2" w14:textId="77777777" w:rsidR="00083814" w:rsidRDefault="00083814" w:rsidP="002B1283">
      <w:pPr>
        <w:rPr>
          <w:rFonts w:ascii="Arial Black" w:hAnsi="Arial Black"/>
          <w:b/>
          <w:bCs/>
          <w:sz w:val="28"/>
          <w:szCs w:val="28"/>
        </w:rPr>
      </w:pPr>
    </w:p>
    <w:p w14:paraId="22785E10" w14:textId="77777777" w:rsidR="00E47580" w:rsidRDefault="00E47580" w:rsidP="00083814">
      <w:pPr>
        <w:rPr>
          <w:rFonts w:ascii="Arial Black" w:hAnsi="Arial Black"/>
          <w:b/>
          <w:sz w:val="28"/>
          <w:szCs w:val="28"/>
        </w:rPr>
      </w:pPr>
    </w:p>
    <w:p w14:paraId="6A41698E" w14:textId="2B28BA7B" w:rsidR="00E47580" w:rsidRDefault="00E47580" w:rsidP="00083814">
      <w:pPr>
        <w:rPr>
          <w:rFonts w:ascii="Arial Black" w:hAnsi="Arial Black"/>
          <w:b/>
          <w:sz w:val="28"/>
          <w:szCs w:val="28"/>
        </w:rPr>
      </w:pPr>
      <w:r>
        <w:rPr>
          <w:rFonts w:ascii="Arial Black" w:hAnsi="Arial Black"/>
          <w:b/>
          <w:bCs/>
          <w:sz w:val="28"/>
          <w:szCs w:val="28"/>
        </w:rPr>
        <w:t>13-275</w:t>
      </w:r>
    </w:p>
    <w:p w14:paraId="4B18BE12" w14:textId="3448DC8A" w:rsidR="00083814" w:rsidRPr="009B6D73" w:rsidRDefault="00083814" w:rsidP="00083814">
      <w:pPr>
        <w:rPr>
          <w:rFonts w:ascii="Arial Black" w:hAnsi="Arial Black"/>
          <w:b/>
          <w:sz w:val="28"/>
          <w:szCs w:val="28"/>
        </w:rPr>
      </w:pPr>
      <w:r>
        <w:rPr>
          <w:rFonts w:ascii="Arial Black" w:hAnsi="Arial Black"/>
          <w:b/>
          <w:sz w:val="28"/>
          <w:szCs w:val="28"/>
        </w:rPr>
        <w:t>OH: CHILD SEIZURES – PARENTS COMPLAIN - PD WITH EMS</w:t>
      </w:r>
    </w:p>
    <w:p w14:paraId="0F409022" w14:textId="77777777" w:rsidR="00083814" w:rsidRDefault="00083814" w:rsidP="00083814">
      <w:pPr>
        <w:rPr>
          <w:bCs/>
        </w:rPr>
      </w:pPr>
      <w:r>
        <w:t xml:space="preserve">On August 7, 2026, in </w:t>
      </w:r>
      <w:r w:rsidRPr="002052F3">
        <w:rPr>
          <w:u w:val="single"/>
        </w:rPr>
        <w:t>Timothy W. Kovach, et al. v. City of Lakewood, Ohio, et al.</w:t>
      </w:r>
      <w:r>
        <w:t xml:space="preserve">, U.S. District Court Judge Charles E. Fleming, United States District Court for the Northern District of Ohio, dismissed the lawsuit by parents of three-year old child who suffers from seizures.  Their repeated complaints about EMS conduct in administering medications led the Fire Chief to issue a Directive that Lakewood PD will be requested to accompany PD to their home and during transport.  </w:t>
      </w:r>
      <w:hyperlink r:id="rId2020" w:history="1">
        <w:r w:rsidRPr="00657688">
          <w:rPr>
            <w:rStyle w:val="Hyperlink"/>
          </w:rPr>
          <w:t>https://cases.justia.com/federal/district-courts/ohio/ohndce/1:2024cv01780/310775/29/0.pdf?ts=1786388028</w:t>
        </w:r>
      </w:hyperlink>
      <w:r>
        <w:t xml:space="preserve"> </w:t>
      </w:r>
    </w:p>
    <w:p w14:paraId="3AE628CA" w14:textId="77777777" w:rsidR="00083814" w:rsidRDefault="00083814" w:rsidP="00083814">
      <w:pPr>
        <w:rPr>
          <w:bCs/>
        </w:rPr>
      </w:pPr>
      <w:r>
        <w:t>THE COURT WROTE:</w:t>
      </w:r>
    </w:p>
    <w:p w14:paraId="2AB7AF51" w14:textId="77777777" w:rsidR="00083814" w:rsidRDefault="00083814" w:rsidP="00083814">
      <w:pPr>
        <w:ind w:left="720"/>
      </w:pPr>
      <w:r>
        <w:t>“</w:t>
      </w:r>
      <w:r w:rsidRPr="00914282">
        <w:t xml:space="preserve">Plaintiffs Timothy Kovach and Ashley </w:t>
      </w:r>
      <w:proofErr w:type="spellStart"/>
      <w:r w:rsidRPr="00914282">
        <w:t>Ziganti</w:t>
      </w:r>
      <w:proofErr w:type="spellEnd"/>
      <w:r w:rsidRPr="00914282">
        <w:t xml:space="preserve"> (</w:t>
      </w:r>
      <w:r>
        <w:t>‘</w:t>
      </w:r>
      <w:r w:rsidRPr="00914282">
        <w:t>Plaintiffs</w:t>
      </w:r>
      <w:r>
        <w:t>’</w:t>
      </w:r>
      <w:r w:rsidRPr="00914282">
        <w:t>) are spouses and the parents of three minor children, including EK-Z who suffers from seizures</w:t>
      </w:r>
      <w:r>
        <w:t xml:space="preserve">…. </w:t>
      </w:r>
      <w:r w:rsidRPr="00914282">
        <w:t xml:space="preserve"> After moving to Lakewood, Ohio, Plaintiffs called 911 to request emergency assistance from the Emergency Medical Services of </w:t>
      </w:r>
      <w:proofErr w:type="gramStart"/>
      <w:r w:rsidRPr="00914282">
        <w:t>Lakewood (</w:t>
      </w:r>
      <w:r>
        <w:t>‘</w:t>
      </w:r>
      <w:proofErr w:type="gramEnd"/>
      <w:r w:rsidRPr="00914282">
        <w:t>EMS</w:t>
      </w:r>
      <w:r>
        <w:t>’</w:t>
      </w:r>
      <w:r w:rsidRPr="00914282">
        <w:t>) for EK-Z's seizures on the five occasions at issue: February 13, 2022, July 20, 2022, October 12, 2022, December 30, 2022, and August 30, 2023.</w:t>
      </w:r>
    </w:p>
    <w:p w14:paraId="63CD7969" w14:textId="77777777" w:rsidR="00083814" w:rsidRDefault="00083814" w:rsidP="00083814">
      <w:pPr>
        <w:ind w:left="720"/>
      </w:pPr>
      <w:r>
        <w:t>***</w:t>
      </w:r>
    </w:p>
    <w:p w14:paraId="5CB799D1" w14:textId="77777777" w:rsidR="00083814" w:rsidRDefault="00083814" w:rsidP="00083814">
      <w:pPr>
        <w:ind w:left="720"/>
      </w:pPr>
      <w:r>
        <w:t xml:space="preserve">[February 13, </w:t>
      </w:r>
      <w:proofErr w:type="gramStart"/>
      <w:r>
        <w:t>2022</w:t>
      </w:r>
      <w:proofErr w:type="gramEnd"/>
      <w:r>
        <w:t xml:space="preserve"> run} </w:t>
      </w:r>
      <w:r w:rsidRPr="009351D0">
        <w:t>EMS personnel administered 2.5 mg of midazolam (</w:t>
      </w:r>
      <w:r>
        <w:t>‘</w:t>
      </w:r>
      <w:r w:rsidRPr="009351D0">
        <w:t>Versed</w:t>
      </w:r>
      <w:r>
        <w:t>’</w:t>
      </w:r>
      <w:r w:rsidRPr="009351D0">
        <w:t>) to EK-Z, who was three years old and weighed 35 pounds at the time</w:t>
      </w:r>
      <w:r>
        <w:t>…. Plain</w:t>
      </w:r>
      <w:r w:rsidRPr="009351D0">
        <w:t>tiffs allege that on February 13, 2022, 2.5 mg of Versed was listed as an adult dosage in the regional EMS protocols (</w:t>
      </w:r>
      <w:r>
        <w:t>‘</w:t>
      </w:r>
      <w:r w:rsidRPr="009351D0">
        <w:t>Regional Protocols</w:t>
      </w:r>
      <w:r>
        <w:t>’</w:t>
      </w:r>
      <w:r w:rsidRPr="009351D0">
        <w:t>)</w:t>
      </w:r>
      <w:r>
        <w:t xml:space="preserve">… </w:t>
      </w:r>
      <w:r w:rsidRPr="00224E7A">
        <w:t>instead of the 1.6 mg dose for a minor of 35 pounds Plaintiff had interpreted the Regional Protocols to recommend</w:t>
      </w:r>
      <w:r>
        <w:t xml:space="preserve">…. </w:t>
      </w:r>
      <w:r w:rsidRPr="007A309A">
        <w:t>Assistant Law Director Jennifer Swallow (</w:t>
      </w:r>
      <w:r>
        <w:t>‘</w:t>
      </w:r>
      <w:r w:rsidRPr="007A309A">
        <w:t>Swallow</w:t>
      </w:r>
      <w:r>
        <w:t>’</w:t>
      </w:r>
      <w:r w:rsidRPr="007A309A">
        <w:t xml:space="preserve">) emailed Plaintiffs that Dr. Lally, the Medical Director of the Lakewood Division of Fire, reviewed the run reports for the incidents that Plaintiffs raised and found that </w:t>
      </w:r>
      <w:r>
        <w:t>‘</w:t>
      </w:r>
      <w:r w:rsidRPr="007A309A">
        <w:t>all medications administered were within protocol and within proper dosing ranges for a child the age and weight of [Plaintiffs'] daughter.</w:t>
      </w:r>
      <w:r>
        <w:t>’</w:t>
      </w:r>
    </w:p>
    <w:p w14:paraId="0A94DD9E" w14:textId="77777777" w:rsidR="00083814" w:rsidRDefault="00083814" w:rsidP="00083814">
      <w:pPr>
        <w:ind w:left="720"/>
      </w:pPr>
      <w:r>
        <w:t>***</w:t>
      </w:r>
    </w:p>
    <w:p w14:paraId="0C069F17" w14:textId="77777777" w:rsidR="00083814" w:rsidRPr="006863F0" w:rsidRDefault="00083814" w:rsidP="00083814">
      <w:pPr>
        <w:ind w:left="720"/>
      </w:pPr>
      <w:r w:rsidRPr="00754FDA">
        <w:t>On July 20, 2022, EK-Z suffered another seizure, prompting Plaintiffs to call 911 for EMS services</w:t>
      </w:r>
      <w:r>
        <w:t xml:space="preserve">….  </w:t>
      </w:r>
      <w:r w:rsidRPr="00754FDA">
        <w:t xml:space="preserve">After that EMS run, in an August 12, </w:t>
      </w:r>
      <w:proofErr w:type="gramStart"/>
      <w:r w:rsidRPr="00754FDA">
        <w:t>2022</w:t>
      </w:r>
      <w:proofErr w:type="gramEnd"/>
      <w:r w:rsidRPr="00754FDA">
        <w:t xml:space="preserve"> email, </w:t>
      </w:r>
      <w:r>
        <w:t xml:space="preserve">[Assistant Law Director Jennifer] </w:t>
      </w:r>
      <w:r w:rsidRPr="00754FDA">
        <w:t xml:space="preserve">Swallow </w:t>
      </w:r>
      <w:r>
        <w:t>‘</w:t>
      </w:r>
      <w:r w:rsidRPr="00754FDA">
        <w:t>accused Plaintiffs of ‘</w:t>
      </w:r>
      <w:proofErr w:type="spellStart"/>
      <w:r w:rsidRPr="00754FDA">
        <w:t>refus</w:t>
      </w:r>
      <w:proofErr w:type="spellEnd"/>
      <w:r w:rsidRPr="00754FDA">
        <w:t>[</w:t>
      </w:r>
      <w:proofErr w:type="spellStart"/>
      <w:r w:rsidRPr="00754FDA">
        <w:t>ing</w:t>
      </w:r>
      <w:proofErr w:type="spellEnd"/>
      <w:r w:rsidRPr="00754FDA">
        <w:t>] to allow paramedics to provide any pre-medical care to [their] daughter, resulting in her seizing for the entire trip to Metro Health'” hospital.</w:t>
      </w:r>
      <w:r>
        <w:t xml:space="preserve"> </w:t>
      </w:r>
      <w:r w:rsidRPr="006863F0">
        <w:t xml:space="preserve">Swallow emailed Plaintiffs: </w:t>
      </w:r>
    </w:p>
    <w:p w14:paraId="7511DAAB" w14:textId="77777777" w:rsidR="00083814" w:rsidRPr="006863F0" w:rsidRDefault="00083814" w:rsidP="00083814">
      <w:pPr>
        <w:ind w:left="1440"/>
      </w:pPr>
      <w:r w:rsidRPr="006863F0">
        <w:t xml:space="preserve">[I]f you call 911 for transport of your daughter due to a seizure, all regular protocol will be </w:t>
      </w:r>
      <w:proofErr w:type="gramStart"/>
      <w:r w:rsidRPr="006863F0">
        <w:t>implemented</w:t>
      </w:r>
      <w:proofErr w:type="gramEnd"/>
      <w:r w:rsidRPr="006863F0">
        <w:t xml:space="preserve"> and she will be treated for her seizure and any other emergent symptoms. Not only does failure to treat your daughter put her at risk, but it also places our EMS staff at risk for failure to act in such circumstances. </w:t>
      </w:r>
    </w:p>
    <w:p w14:paraId="48FEBD7E" w14:textId="77777777" w:rsidR="00083814" w:rsidRDefault="00083814" w:rsidP="00083814">
      <w:pPr>
        <w:ind w:left="720"/>
      </w:pPr>
      <w:r>
        <w:t>***</w:t>
      </w:r>
    </w:p>
    <w:p w14:paraId="6FB86FD9" w14:textId="77777777" w:rsidR="00083814" w:rsidRDefault="00083814" w:rsidP="00083814">
      <w:pPr>
        <w:ind w:left="720"/>
        <w:rPr>
          <w:i/>
          <w:iCs/>
        </w:rPr>
      </w:pPr>
      <w:r w:rsidRPr="003F2541">
        <w:rPr>
          <w:i/>
          <w:iCs/>
        </w:rPr>
        <w:t>The “Dunphy Directive”</w:t>
      </w:r>
    </w:p>
    <w:p w14:paraId="11A7D950" w14:textId="77777777" w:rsidR="00083814" w:rsidRDefault="00083814" w:rsidP="00083814">
      <w:pPr>
        <w:ind w:left="720"/>
      </w:pPr>
      <w:r w:rsidRPr="00D55385">
        <w:lastRenderedPageBreak/>
        <w:t xml:space="preserve">On August 30, 2022, </w:t>
      </w:r>
      <w:r>
        <w:t xml:space="preserve">[Fire Chief Timothy] </w:t>
      </w:r>
      <w:r w:rsidRPr="00D55385">
        <w:t>Dunphy emailed Swallow, Assistant Fire Chief Nicholas Sambula (</w:t>
      </w:r>
      <w:r>
        <w:t>‘</w:t>
      </w:r>
      <w:r w:rsidRPr="00D55385">
        <w:t>Sambula</w:t>
      </w:r>
      <w:r>
        <w:t>’</w:t>
      </w:r>
      <w:r w:rsidRPr="00D55385">
        <w:t>), and members of the Lakewood Fire Department</w:t>
      </w:r>
      <w:r>
        <w:t xml:space="preserve">…. </w:t>
      </w:r>
      <w:r w:rsidRPr="00D55385">
        <w:t xml:space="preserve"> In that email, Dunphy stated Lakewood police would accompany EMS on future calls to Plaintiffs' residence </w:t>
      </w:r>
      <w:r>
        <w:t>‘</w:t>
      </w:r>
      <w:r w:rsidRPr="00D55385">
        <w:t>‘to allow for [them] to do [their] job[,]'</w:t>
      </w:r>
      <w:r>
        <w:t>’</w:t>
      </w:r>
      <w:r w:rsidRPr="00D55385">
        <w:t xml:space="preserve"> including </w:t>
      </w:r>
      <w:r>
        <w:t>‘</w:t>
      </w:r>
      <w:r w:rsidRPr="00D55385">
        <w:t>riding to the hospital with the medic in the back if needed.</w:t>
      </w:r>
      <w:r>
        <w:t xml:space="preserve">’ … </w:t>
      </w:r>
      <w:r w:rsidRPr="00D55385">
        <w:t xml:space="preserve">The Dunphy Directive also advised EMS personnel to </w:t>
      </w:r>
      <w:r>
        <w:t>‘</w:t>
      </w:r>
      <w:r w:rsidRPr="00D55385">
        <w:t>consider having the parents ride upfront, especially when rendering patient care.</w:t>
      </w:r>
      <w:r>
        <w:t>’ …</w:t>
      </w:r>
      <w:r w:rsidRPr="00D55385">
        <w:t xml:space="preserve"> The Dunphy Directive concluded with informing EMS that they </w:t>
      </w:r>
      <w:proofErr w:type="spellStart"/>
      <w:r w:rsidRPr="00D55385">
        <w:t>can</w:t>
      </w:r>
      <w:r>
        <w:t>’</w:t>
      </w:r>
      <w:r w:rsidRPr="00D55385">
        <w:t>feel</w:t>
      </w:r>
      <w:proofErr w:type="spellEnd"/>
      <w:r w:rsidRPr="00D55385">
        <w:t xml:space="preserve"> free to have LPD assist in anyway</w:t>
      </w:r>
      <w:r>
        <w:t>’</w:t>
      </w:r>
      <w:r w:rsidRPr="00D55385">
        <w:t xml:space="preserve"> and that</w:t>
      </w:r>
      <w:r>
        <w:t xml:space="preserve"> ‘</w:t>
      </w:r>
      <w:r w:rsidRPr="00D55385">
        <w:t>if the parents refuse medical treatment, we will have them sign a refusal form and still transport the patient.</w:t>
      </w:r>
      <w:r>
        <w:t>’</w:t>
      </w:r>
    </w:p>
    <w:p w14:paraId="6F4880BE" w14:textId="77777777" w:rsidR="00083814" w:rsidRDefault="00083814" w:rsidP="00083814">
      <w:pPr>
        <w:ind w:left="720"/>
      </w:pPr>
      <w:r>
        <w:t>***</w:t>
      </w:r>
    </w:p>
    <w:p w14:paraId="4B7FD915" w14:textId="77777777" w:rsidR="00083814" w:rsidRDefault="00083814" w:rsidP="00083814">
      <w:pPr>
        <w:ind w:left="720"/>
      </w:pPr>
      <w:r w:rsidRPr="0043354A">
        <w:t>On October 12, 2022, EK-Z had her next seizure, prompting Plaintiffs to call 911 for EMS services</w:t>
      </w:r>
      <w:r>
        <w:t xml:space="preserve">…. </w:t>
      </w:r>
      <w:r w:rsidRPr="0043354A">
        <w:t>Two police officers accompanied EMS personnel to respond to Plaintiffs' 911 call</w:t>
      </w:r>
      <w:r>
        <w:t xml:space="preserve">…. </w:t>
      </w:r>
      <w:r w:rsidRPr="00122B84">
        <w:t>On December 30, 2022, Plaintiffs called 911 for another medical emergency</w:t>
      </w:r>
      <w:r>
        <w:t xml:space="preserve">…. </w:t>
      </w:r>
      <w:r w:rsidRPr="00122B84">
        <w:t>Upon arrival, EMS personnel examined EK-Z and determined that EK-Z did not require treatment or transportation</w:t>
      </w:r>
      <w:r>
        <w:t xml:space="preserve">…. </w:t>
      </w:r>
      <w:r w:rsidRPr="00122B84">
        <w:t xml:space="preserve"> During that run, police officers accompanied EMS personnel to the residence but did not enter. </w:t>
      </w:r>
      <w:r>
        <w:t xml:space="preserve"> </w:t>
      </w:r>
      <w:r w:rsidRPr="00F66AAC">
        <w:t xml:space="preserve">On August 30, 2023, EK-Z had another seizure, which prompted Plaintiffs to call 911, but Plaintiff </w:t>
      </w:r>
      <w:proofErr w:type="spellStart"/>
      <w:r w:rsidRPr="00F66AAC">
        <w:t>Ziganti</w:t>
      </w:r>
      <w:proofErr w:type="spellEnd"/>
      <w:r w:rsidRPr="00F66AAC">
        <w:t xml:space="preserve"> </w:t>
      </w:r>
      <w:r>
        <w:t>‘</w:t>
      </w:r>
      <w:r w:rsidRPr="00F66AAC">
        <w:t>requested that police not accompany EMS to the residence.</w:t>
      </w:r>
      <w:r>
        <w:t xml:space="preserve">’…  </w:t>
      </w:r>
      <w:r w:rsidRPr="004D264F">
        <w:t xml:space="preserve">None of the police officers entered the residence or </w:t>
      </w:r>
      <w:r>
        <w:t>‘</w:t>
      </w:r>
      <w:r w:rsidRPr="004D264F">
        <w:t>detained or threatened to detain or took any law enforcement action against Plaintiffs.</w:t>
      </w:r>
      <w:r>
        <w:t xml:space="preserve">’… </w:t>
      </w:r>
      <w:r w:rsidRPr="009C7BA0">
        <w:t xml:space="preserve">Between October 6, </w:t>
      </w:r>
      <w:proofErr w:type="gramStart"/>
      <w:r w:rsidRPr="009C7BA0">
        <w:t>2023</w:t>
      </w:r>
      <w:proofErr w:type="gramEnd"/>
      <w:r w:rsidRPr="009C7BA0">
        <w:t xml:space="preserve"> and March 19, 2024, Plaintiffs have, through their attorney, attempted to secure a rescission of the Dunphy Directive</w:t>
      </w:r>
      <w:r>
        <w:t xml:space="preserve">…. </w:t>
      </w:r>
      <w:r w:rsidRPr="009C7BA0">
        <w:t xml:space="preserve"> Plaintiffs, with one exception</w:t>
      </w:r>
      <w:r>
        <w:t xml:space="preserve"> [footnote 2]. h</w:t>
      </w:r>
      <w:r w:rsidRPr="006D0F95">
        <w:t>ave since chosen not to call 911 for EMS services when EK-Z seizes</w:t>
      </w:r>
      <w:r>
        <w:t>….</w:t>
      </w:r>
      <w:r w:rsidRPr="006D0F95">
        <w:t xml:space="preserve">Instead, Plaintiff Kovach uses his own car to drive EK-Z to the hospital. </w:t>
      </w:r>
      <w:r>
        <w:t xml:space="preserve">[Footnote 2: </w:t>
      </w:r>
      <w:r w:rsidRPr="005305F6">
        <w:t>That one exception occurred in November 2023, when EK-Z seized while at physical therapy in Westlake, Ohio</w:t>
      </w:r>
      <w:r>
        <w:t xml:space="preserve">; </w:t>
      </w:r>
      <w:r w:rsidRPr="005305F6">
        <w:t xml:space="preserve"> Police officers did not accompany Westlake emergency services while EK-Z was transported to the hospital</w:t>
      </w:r>
      <w:r>
        <w:t>.]</w:t>
      </w:r>
      <w:r w:rsidRPr="005305F6">
        <w:t xml:space="preserve"> </w:t>
      </w:r>
    </w:p>
    <w:p w14:paraId="02B7CF60" w14:textId="77777777" w:rsidR="00083814" w:rsidRDefault="00083814" w:rsidP="00083814">
      <w:pPr>
        <w:ind w:left="720"/>
      </w:pPr>
      <w:r>
        <w:t>***</w:t>
      </w:r>
    </w:p>
    <w:p w14:paraId="609B5A0F" w14:textId="77777777" w:rsidR="00083814" w:rsidRDefault="00083814" w:rsidP="00083814">
      <w:pPr>
        <w:ind w:left="720"/>
      </w:pPr>
      <w:r w:rsidRPr="000C6EE1">
        <w:t xml:space="preserve">Accordingly, absent allegations of a sufficient adverse action, Plaintiffs have not pled a First Amendment retaliation claim against Defendants. Plaintiffs' claims must be dismissed </w:t>
      </w:r>
      <w:proofErr w:type="gramStart"/>
      <w:r w:rsidRPr="000C6EE1">
        <w:t>on</w:t>
      </w:r>
      <w:proofErr w:type="gramEnd"/>
      <w:r w:rsidRPr="000C6EE1">
        <w:t xml:space="preserve"> this reason alone. But even if Plaintiffs adequately pled a First Amendment retaliation claim against Defendants, Plaintiffs claims still fail. Plaintiffs have not pled sufficient facts to infer a retaliatory motive as to Dr. Lally, nor overcome qualified immunity as to Dunphy.</w:t>
      </w:r>
      <w:r>
        <w:t>”</w:t>
      </w:r>
    </w:p>
    <w:p w14:paraId="42DAD688" w14:textId="77777777" w:rsidR="00083814" w:rsidRPr="00B33C87" w:rsidRDefault="00083814" w:rsidP="00083814">
      <w:pPr>
        <w:rPr>
          <w:b/>
          <w:bCs/>
        </w:rPr>
      </w:pPr>
      <w:r>
        <w:rPr>
          <w:b/>
        </w:rPr>
        <w:t xml:space="preserve">Legal lesson learned: The Fire Department wisely had police accompany EMS on these complaining parents. </w:t>
      </w:r>
    </w:p>
    <w:p w14:paraId="5234B536" w14:textId="77777777" w:rsidR="00083814" w:rsidRDefault="00083814" w:rsidP="002B1283">
      <w:pPr>
        <w:rPr>
          <w:rFonts w:ascii="Arial Black" w:hAnsi="Arial Black"/>
          <w:b/>
          <w:bCs/>
          <w:sz w:val="28"/>
          <w:szCs w:val="28"/>
        </w:rPr>
      </w:pPr>
    </w:p>
    <w:p w14:paraId="2ED4D981" w14:textId="77777777" w:rsidR="002E67EB" w:rsidRDefault="002E67EB" w:rsidP="002B1283">
      <w:pPr>
        <w:rPr>
          <w:rFonts w:ascii="Arial Black" w:hAnsi="Arial Black"/>
          <w:b/>
          <w:bCs/>
          <w:sz w:val="28"/>
          <w:szCs w:val="28"/>
        </w:rPr>
      </w:pPr>
    </w:p>
    <w:p w14:paraId="0BBB10AE" w14:textId="77777777" w:rsidR="002E67EB" w:rsidRDefault="002E67EB" w:rsidP="002B1283">
      <w:pPr>
        <w:rPr>
          <w:rFonts w:ascii="Arial Black" w:hAnsi="Arial Black"/>
          <w:b/>
          <w:bCs/>
          <w:sz w:val="28"/>
          <w:szCs w:val="28"/>
        </w:rPr>
      </w:pPr>
    </w:p>
    <w:p w14:paraId="7B0B8733" w14:textId="77777777" w:rsidR="002E67EB" w:rsidRDefault="002E67EB" w:rsidP="002B1283">
      <w:pPr>
        <w:rPr>
          <w:rFonts w:ascii="Arial Black" w:hAnsi="Arial Black"/>
          <w:b/>
          <w:bCs/>
          <w:sz w:val="28"/>
          <w:szCs w:val="28"/>
        </w:rPr>
      </w:pPr>
    </w:p>
    <w:p w14:paraId="7D41EBB3" w14:textId="227B9B8F" w:rsidR="00A971EA" w:rsidRDefault="00A971EA" w:rsidP="002B1283">
      <w:pPr>
        <w:rPr>
          <w:rFonts w:ascii="Arial Black" w:hAnsi="Arial Black"/>
          <w:b/>
          <w:bCs/>
          <w:sz w:val="28"/>
          <w:szCs w:val="28"/>
        </w:rPr>
      </w:pPr>
      <w:r>
        <w:rPr>
          <w:rFonts w:ascii="Arial Black" w:hAnsi="Arial Black"/>
          <w:b/>
          <w:bCs/>
          <w:sz w:val="28"/>
          <w:szCs w:val="28"/>
        </w:rPr>
        <w:t>13-274</w:t>
      </w:r>
    </w:p>
    <w:p w14:paraId="0C96EF7A" w14:textId="77777777" w:rsidR="00C37020" w:rsidRDefault="00C37020" w:rsidP="00752531">
      <w:pPr>
        <w:pStyle w:val="NoSpacing"/>
        <w:rPr>
          <w:rFonts w:ascii="Arial Black" w:hAnsi="Arial Black"/>
          <w:sz w:val="24"/>
          <w:szCs w:val="24"/>
        </w:rPr>
      </w:pPr>
    </w:p>
    <w:p w14:paraId="28E03A2A" w14:textId="77777777" w:rsidR="002D139D" w:rsidRPr="005212AF" w:rsidRDefault="002D139D" w:rsidP="002D139D">
      <w:pPr>
        <w:pStyle w:val="NoSpacing"/>
        <w:rPr>
          <w:rFonts w:ascii="Arial Black" w:hAnsi="Arial Black"/>
          <w:sz w:val="28"/>
          <w:szCs w:val="28"/>
        </w:rPr>
      </w:pPr>
      <w:r>
        <w:rPr>
          <w:rFonts w:ascii="Arial Black" w:hAnsi="Arial Black"/>
          <w:sz w:val="28"/>
          <w:szCs w:val="28"/>
        </w:rPr>
        <w:t xml:space="preserve">WA: COVID – 26 SEATTLE FF – GOT </w:t>
      </w:r>
      <w:r w:rsidRPr="00D73FE2">
        <w:rPr>
          <w:rFonts w:ascii="Arial Black" w:hAnsi="Arial Black"/>
          <w:i/>
          <w:iCs/>
          <w:sz w:val="28"/>
          <w:szCs w:val="28"/>
        </w:rPr>
        <w:t xml:space="preserve">LOUDERMILL </w:t>
      </w:r>
      <w:r>
        <w:rPr>
          <w:rFonts w:ascii="Arial Black" w:hAnsi="Arial Black"/>
          <w:sz w:val="28"/>
          <w:szCs w:val="28"/>
        </w:rPr>
        <w:t xml:space="preserve">HEARINGS </w:t>
      </w:r>
    </w:p>
    <w:p w14:paraId="3D2422CB" w14:textId="77777777" w:rsidR="002D139D" w:rsidRDefault="002D139D" w:rsidP="002D139D">
      <w:pPr>
        <w:pStyle w:val="NoSpacing"/>
      </w:pPr>
    </w:p>
    <w:p w14:paraId="2E578ECD" w14:textId="77777777" w:rsidR="002D139D" w:rsidRDefault="002D139D" w:rsidP="002D139D">
      <w:pPr>
        <w:pStyle w:val="NoSpacing"/>
      </w:pPr>
      <w:r>
        <w:lastRenderedPageBreak/>
        <w:t xml:space="preserve">On July 24, 2026, in </w:t>
      </w:r>
      <w:r w:rsidRPr="00F341B4">
        <w:rPr>
          <w:u w:val="single"/>
        </w:rPr>
        <w:t>Jeffrey Vale, et al. v. City of Seattle</w:t>
      </w:r>
      <w:r>
        <w:t xml:space="preserve">, U.S. Magistrate Judge Theresa L. Fricke denied the former firefighters’ motion for summary judgment claiming city violated their Free Exercise Clause claim of religious </w:t>
      </w:r>
      <w:proofErr w:type="gramStart"/>
      <w:r>
        <w:t>discrimination, and</w:t>
      </w:r>
      <w:proofErr w:type="gramEnd"/>
      <w:r>
        <w:t xml:space="preserve"> also granted the City’s motion for summary judgment on providing due process prior to termination. The firefighters each received pre-termination </w:t>
      </w:r>
      <w:r w:rsidRPr="007B2004">
        <w:rPr>
          <w:i/>
          <w:iCs/>
        </w:rPr>
        <w:t xml:space="preserve">Loudermill </w:t>
      </w:r>
      <w:r>
        <w:t>hearing; and 9</w:t>
      </w:r>
      <w:r w:rsidRPr="0065019E">
        <w:rPr>
          <w:vertAlign w:val="superscript"/>
        </w:rPr>
        <w:t>th</w:t>
      </w:r>
      <w:r>
        <w:t xml:space="preserve"> Circuit later held in another case that </w:t>
      </w:r>
      <w:r w:rsidRPr="00B6146C">
        <w:rPr>
          <w:i/>
          <w:iCs/>
        </w:rPr>
        <w:t xml:space="preserve">Loudermill </w:t>
      </w:r>
      <w:r>
        <w:t xml:space="preserve">hearings were not required in Covid cases where firefighters receive notice of need to vaccinate). decision </w:t>
      </w:r>
      <w:proofErr w:type="gramStart"/>
      <w:r>
        <w:t>are</w:t>
      </w:r>
      <w:proofErr w:type="gramEnd"/>
      <w:r>
        <w:t xml:space="preserve"> not required).</w:t>
      </w:r>
      <w:r w:rsidRPr="00F40CB1">
        <w:t xml:space="preserve"> </w:t>
      </w:r>
      <w:hyperlink r:id="rId2021" w:history="1">
        <w:r w:rsidRPr="009C317C">
          <w:rPr>
            <w:rStyle w:val="Hyperlink"/>
          </w:rPr>
          <w:t>https://cases.justia.com/federal/district-courts/washington/wawdce/2:2023cv01095/324497/258/0.pdf?ts=1785113252</w:t>
        </w:r>
      </w:hyperlink>
      <w:r>
        <w:t xml:space="preserve"> </w:t>
      </w:r>
    </w:p>
    <w:p w14:paraId="700E2C21" w14:textId="77777777" w:rsidR="002D139D" w:rsidRDefault="002D139D" w:rsidP="002D139D">
      <w:pPr>
        <w:pStyle w:val="NoSpacing"/>
      </w:pPr>
    </w:p>
    <w:p w14:paraId="6ABFF023" w14:textId="77777777" w:rsidR="002D139D" w:rsidRPr="007B2004" w:rsidRDefault="002D139D" w:rsidP="002D139D">
      <w:pPr>
        <w:pStyle w:val="NoSpacing"/>
      </w:pPr>
      <w:r>
        <w:t xml:space="preserve">THE COURT WROTE: </w:t>
      </w:r>
    </w:p>
    <w:p w14:paraId="606C5C2F" w14:textId="77777777" w:rsidR="002D139D" w:rsidRDefault="002D139D" w:rsidP="002D139D">
      <w:pPr>
        <w:pStyle w:val="NoSpacing"/>
      </w:pPr>
    </w:p>
    <w:p w14:paraId="38195F60" w14:textId="77777777" w:rsidR="002D139D" w:rsidRDefault="002D139D" w:rsidP="002D139D">
      <w:pPr>
        <w:pStyle w:val="NoSpacing"/>
      </w:pPr>
      <w:r>
        <w:t>“This matter concerns thirty Plaintiffs challenge their separation from the SFD due to their non-compliance with the COVID-19 vaccination mandate of defendant City of Seattle (hereinafter the ‘City’). On August 9, 2021, Mayor Jenny Durkan issued Mayoral Directive No. 9, which</w:t>
      </w:r>
    </w:p>
    <w:p w14:paraId="406CB9B8" w14:textId="77777777" w:rsidR="002D139D" w:rsidRDefault="002D139D" w:rsidP="002D139D">
      <w:pPr>
        <w:pStyle w:val="NoSpacing"/>
      </w:pPr>
      <w:r>
        <w:t>required City employees to be vaccinated against COVID-19 by October 18, 2021….The directive allowed employees to seek medical or religious exemptions from the vaccination mandate…. For [the 26] employees who were granted exemptions, the City later issued final</w:t>
      </w:r>
    </w:p>
    <w:p w14:paraId="261DAB80" w14:textId="77777777" w:rsidR="002D139D" w:rsidRDefault="002D139D" w:rsidP="002D139D">
      <w:pPr>
        <w:pStyle w:val="NoSpacing"/>
      </w:pPr>
      <w:r>
        <w:t xml:space="preserve">determination letters stating that it was unable to identify any reasonable accommodation that would allow the employees to perform the essential functions of their positions while unvaccinated…. The </w:t>
      </w:r>
      <w:proofErr w:type="gramStart"/>
      <w:r>
        <w:t>City</w:t>
      </w:r>
      <w:proofErr w:type="gramEnd"/>
      <w:r>
        <w:t xml:space="preserve"> states employees who remained unvaccinated and were recommended</w:t>
      </w:r>
    </w:p>
    <w:p w14:paraId="5B49174E" w14:textId="77777777" w:rsidR="002D139D" w:rsidRDefault="002D139D" w:rsidP="002D139D">
      <w:pPr>
        <w:pStyle w:val="NoSpacing"/>
      </w:pPr>
      <w:r>
        <w:t xml:space="preserve">for separation were provided an opportunity to participate in </w:t>
      </w:r>
      <w:r w:rsidRPr="00D80CE1">
        <w:rPr>
          <w:i/>
          <w:iCs/>
        </w:rPr>
        <w:t>Loudermill</w:t>
      </w:r>
      <w:r>
        <w:t xml:space="preserve"> hearings before</w:t>
      </w:r>
    </w:p>
    <w:p w14:paraId="1E0FE1F5" w14:textId="77777777" w:rsidR="002D139D" w:rsidRDefault="002D139D" w:rsidP="002D139D">
      <w:pPr>
        <w:pStyle w:val="NoSpacing"/>
      </w:pPr>
      <w:r>
        <w:t>separation from employment.</w:t>
      </w:r>
    </w:p>
    <w:p w14:paraId="625C2694" w14:textId="77777777" w:rsidR="002D139D" w:rsidRDefault="002D139D" w:rsidP="002D139D">
      <w:pPr>
        <w:pStyle w:val="NoSpacing"/>
      </w:pPr>
    </w:p>
    <w:p w14:paraId="0440ECE9" w14:textId="77777777" w:rsidR="002D139D" w:rsidRDefault="002D139D" w:rsidP="002D139D">
      <w:pPr>
        <w:pStyle w:val="NoSpacing"/>
      </w:pPr>
      <w:r>
        <w:t>***</w:t>
      </w:r>
    </w:p>
    <w:p w14:paraId="49CD64C3" w14:textId="77777777" w:rsidR="002D139D" w:rsidRDefault="002D139D" w:rsidP="002D139D">
      <w:pPr>
        <w:pStyle w:val="NoSpacing"/>
      </w:pPr>
    </w:p>
    <w:p w14:paraId="679F5691" w14:textId="77777777" w:rsidR="002D139D" w:rsidRDefault="002D139D" w:rsidP="002D139D">
      <w:pPr>
        <w:pStyle w:val="NoSpacing"/>
      </w:pPr>
      <w:r>
        <w:t xml:space="preserve">[FREE EXERCISE CLAIM] Plaintiffs assert that evidence concerning non-City firefighters and emergency personnel (such as those from Boeing, South Snohomish County, Central Pierce, and South Pierce) shows the </w:t>
      </w:r>
      <w:proofErr w:type="gramStart"/>
      <w:r>
        <w:t>City</w:t>
      </w:r>
      <w:proofErr w:type="gramEnd"/>
      <w:r>
        <w:t xml:space="preserve"> applied its mandate in an underinclusive manner…. </w:t>
      </w:r>
      <w:proofErr w:type="gramStart"/>
      <w:r>
        <w:t>But,</w:t>
      </w:r>
      <w:proofErr w:type="gramEnd"/>
      <w:r>
        <w:t xml:space="preserve"> defendants assert that from October 2021 to February 2023, the </w:t>
      </w:r>
      <w:proofErr w:type="gramStart"/>
      <w:r>
        <w:t>City</w:t>
      </w:r>
      <w:proofErr w:type="gramEnd"/>
      <w:r>
        <w:t xml:space="preserve"> did not use automatic-aid responses or agreements to supplement or replace its unvaccinated employees from neighboring cities…. Defendants also point to the City’s contractor mandate and attestation requirements for covered onsite or in-person City work…. Plaintiffs also rely on public events and gatherings, including SFD Neighbor Day events, station tours, a King County Fire Chiefs Association event, and a summer</w:t>
      </w:r>
    </w:p>
    <w:p w14:paraId="66C8EEB0" w14:textId="77777777" w:rsidR="002D139D" w:rsidRDefault="002D139D" w:rsidP="002D139D">
      <w:pPr>
        <w:pStyle w:val="NoSpacing"/>
      </w:pPr>
      <w:r>
        <w:t>potluck…. Plaintiffs argue these events exposed SFD personnel to unvaccinated members of the public while religious- objector employees were denied accommodations….Viewing the record in the light most favorable to defendants, a reasonable factfinder could conclude that transient public contact at events is not comparable to unvaccinated firefighters working regular shifts, sharing station living spaces, using City vehicles, responding to emergency calls, and providing patient care.</w:t>
      </w:r>
    </w:p>
    <w:p w14:paraId="4579B300" w14:textId="77777777" w:rsidR="002D139D" w:rsidRDefault="002D139D" w:rsidP="002D139D">
      <w:pPr>
        <w:pStyle w:val="NoSpacing"/>
      </w:pPr>
    </w:p>
    <w:p w14:paraId="68D4D167" w14:textId="77777777" w:rsidR="002D139D" w:rsidRDefault="002D139D" w:rsidP="002D139D">
      <w:pPr>
        <w:pStyle w:val="NoSpacing"/>
      </w:pPr>
      <w:r>
        <w:t>[DUE PROCESS CLAIM] The Court thus finds defendants are entitled to judgment as a matter of law on</w:t>
      </w:r>
    </w:p>
    <w:p w14:paraId="4772446B" w14:textId="77777777" w:rsidR="002D139D" w:rsidRDefault="002D139D" w:rsidP="002D139D">
      <w:pPr>
        <w:pStyle w:val="NoSpacing"/>
      </w:pPr>
      <w:r>
        <w:t xml:space="preserve">plaintiffs’ due process </w:t>
      </w:r>
      <w:proofErr w:type="gramStart"/>
      <w:r>
        <w:t>claim</w:t>
      </w:r>
      <w:proofErr w:type="gramEnd"/>
      <w:r>
        <w:t xml:space="preserve"> under the above-described authorities. On the same day however, the Ninth Circuit issued its decision in Bacon v. Woodward, No. 22-35611, 2024 WL 3041850 (9th Cir. Jun. 18, 2024) (hereinafter “Bacon II”). The matter addressed Washington’s Proclamation that “required firefighters in Washington State to be fully vaccinated against COVID-19.” Id. at *1. The Bacon II Court affirmed the dismissal of the firefighters’ due process claim. Id. at *1-*2. The Court rejected the firefighters’ reliance on Loudermill to assert “</w:t>
      </w:r>
      <w:proofErr w:type="gramStart"/>
      <w:r>
        <w:t>their</w:t>
      </w:r>
      <w:proofErr w:type="gramEnd"/>
    </w:p>
    <w:p w14:paraId="05B79B36" w14:textId="77777777" w:rsidR="002D139D" w:rsidRDefault="002D139D" w:rsidP="002D139D">
      <w:pPr>
        <w:pStyle w:val="NoSpacing"/>
      </w:pPr>
      <w:r>
        <w:t>due process rights were violated when they were denied religious and medical accommodations after what they considered to be sham hearings.” Id. at *1-*2”</w:t>
      </w:r>
    </w:p>
    <w:p w14:paraId="6FCA0E07" w14:textId="77777777" w:rsidR="002D139D" w:rsidRDefault="002D139D" w:rsidP="002D139D">
      <w:pPr>
        <w:pStyle w:val="NoSpacing"/>
      </w:pPr>
    </w:p>
    <w:p w14:paraId="35891137" w14:textId="77777777" w:rsidR="002D139D" w:rsidRPr="00121C86" w:rsidRDefault="002D139D" w:rsidP="002D139D">
      <w:pPr>
        <w:pStyle w:val="NoSpacing"/>
        <w:rPr>
          <w:b/>
          <w:bCs/>
        </w:rPr>
      </w:pPr>
      <w:r>
        <w:rPr>
          <w:b/>
        </w:rPr>
        <w:t xml:space="preserve">Legal lesson learned: FD followed due process procedures prior to termination. </w:t>
      </w:r>
    </w:p>
    <w:p w14:paraId="66662965" w14:textId="77777777" w:rsidR="002D139D" w:rsidRDefault="002D139D" w:rsidP="002D139D">
      <w:pPr>
        <w:pStyle w:val="NoSpacing"/>
      </w:pPr>
    </w:p>
    <w:p w14:paraId="784EED4B" w14:textId="77777777" w:rsidR="002D139D" w:rsidRDefault="002D139D" w:rsidP="002D139D">
      <w:pPr>
        <w:pStyle w:val="NoSpacing"/>
        <w:rPr>
          <w:b/>
          <w:sz w:val="20"/>
          <w:szCs w:val="20"/>
        </w:rPr>
      </w:pPr>
    </w:p>
    <w:p w14:paraId="06F23BC7" w14:textId="77777777" w:rsidR="002D139D" w:rsidRDefault="002D139D" w:rsidP="002D139D">
      <w:pPr>
        <w:pStyle w:val="NoSpacing"/>
        <w:rPr>
          <w:b/>
          <w:sz w:val="20"/>
          <w:szCs w:val="20"/>
        </w:rPr>
      </w:pPr>
    </w:p>
    <w:p w14:paraId="15EBF991" w14:textId="673D18B2" w:rsidR="002D139D" w:rsidRPr="00A971EA" w:rsidRDefault="00A971EA" w:rsidP="002D139D">
      <w:pPr>
        <w:pStyle w:val="NoSpacing"/>
        <w:rPr>
          <w:rFonts w:ascii="Arial Black" w:hAnsi="Arial Black"/>
          <w:b/>
          <w:sz w:val="24"/>
          <w:szCs w:val="24"/>
        </w:rPr>
      </w:pPr>
      <w:r w:rsidRPr="00A971EA">
        <w:rPr>
          <w:rFonts w:ascii="Arial Black" w:hAnsi="Arial Black"/>
          <w:b/>
          <w:sz w:val="24"/>
          <w:szCs w:val="24"/>
        </w:rPr>
        <w:t>13-273</w:t>
      </w:r>
    </w:p>
    <w:p w14:paraId="18D1F2F7" w14:textId="77777777" w:rsidR="002D139D" w:rsidRDefault="002D139D" w:rsidP="002D139D">
      <w:pPr>
        <w:pStyle w:val="NoSpacing"/>
        <w:rPr>
          <w:b/>
        </w:rPr>
      </w:pPr>
    </w:p>
    <w:p w14:paraId="4962A58D" w14:textId="77777777" w:rsidR="002D139D" w:rsidRDefault="002D139D" w:rsidP="002D139D">
      <w:pPr>
        <w:pStyle w:val="NoSpacing"/>
        <w:rPr>
          <w:rFonts w:ascii="Arial Black" w:hAnsi="Arial Black"/>
          <w:b/>
          <w:sz w:val="28"/>
          <w:szCs w:val="28"/>
        </w:rPr>
      </w:pPr>
      <w:r>
        <w:rPr>
          <w:rFonts w:ascii="Arial Black" w:hAnsi="Arial Black"/>
          <w:b/>
          <w:sz w:val="28"/>
          <w:szCs w:val="28"/>
        </w:rPr>
        <w:t>OR: DEF. CONV. INTERFERING EMS - NO CIVIL COMPROMISE</w:t>
      </w:r>
    </w:p>
    <w:p w14:paraId="6875F86C" w14:textId="77777777" w:rsidR="002D139D" w:rsidRDefault="002D139D" w:rsidP="002D139D">
      <w:pPr>
        <w:pStyle w:val="NoSpacing"/>
        <w:rPr>
          <w:rFonts w:ascii="Arial Black" w:hAnsi="Arial Black"/>
          <w:b/>
          <w:sz w:val="28"/>
          <w:szCs w:val="28"/>
        </w:rPr>
      </w:pPr>
    </w:p>
    <w:p w14:paraId="10C83E26" w14:textId="77777777" w:rsidR="002D139D" w:rsidRPr="00DA6AC7" w:rsidRDefault="002D139D" w:rsidP="002D139D">
      <w:pPr>
        <w:pStyle w:val="NoSpacing"/>
        <w:rPr>
          <w:bCs/>
        </w:rPr>
      </w:pPr>
      <w:r w:rsidRPr="00F32109">
        <w:t xml:space="preserve">On July 22, 2026, in </w:t>
      </w:r>
      <w:r w:rsidRPr="00F32109">
        <w:rPr>
          <w:u w:val="single"/>
        </w:rPr>
        <w:t>State of Oregon v. Roberto Hernandez</w:t>
      </w:r>
      <w:r w:rsidRPr="00F32109">
        <w:t xml:space="preserve">, </w:t>
      </w:r>
      <w:r>
        <w:t xml:space="preserve">the </w:t>
      </w:r>
      <w:r w:rsidRPr="008B3DCE">
        <w:t>Court of Appeals of Oregon</w:t>
      </w:r>
      <w:r>
        <w:t xml:space="preserve"> held (3 to 0) that trial court properly found defendant guilty and refused to drop the misdemeanor charges, since the offense of </w:t>
      </w:r>
      <w:r w:rsidRPr="00E46D74">
        <w:t>interfering with emergency medical service (EMS)</w:t>
      </w:r>
      <w:r>
        <w:t xml:space="preserve">, </w:t>
      </w:r>
      <w:r w:rsidRPr="00E46D74">
        <w:t>ORS 162.257</w:t>
      </w:r>
      <w:r>
        <w:t>, is an offense against the public at large. Under Oregon’s  “civilly compromise” statute a misdemeanor can be privately resolved if the injured party has a civil cause of action for the injury, and “</w:t>
      </w:r>
      <w:r w:rsidRPr="00DA6AC7">
        <w:t>the</w:t>
      </w:r>
      <w:r>
        <w:t xml:space="preserve"> </w:t>
      </w:r>
      <w:r w:rsidRPr="00DA6AC7">
        <w:t>injured party acknowledges in writing before trial that they</w:t>
      </w:r>
      <w:r>
        <w:t xml:space="preserve"> </w:t>
      </w:r>
      <w:r w:rsidRPr="00DA6AC7">
        <w:t>have received satisfaction for their injury, and (4) the defendant pays the cost of any incurred expenses.</w:t>
      </w:r>
      <w:r>
        <w:t xml:space="preserve">”  The EMT had signed that he had received satisfaction. </w:t>
      </w:r>
      <w:hyperlink r:id="rId2022" w:history="1">
        <w:r w:rsidRPr="005B5770">
          <w:rPr>
            <w:rStyle w:val="Hyperlink"/>
          </w:rPr>
          <w:t>https://cases.justia.com/oregon/court-of-appeals/2026-a185059.pdf?ts=1784734294</w:t>
        </w:r>
      </w:hyperlink>
      <w:r>
        <w:t xml:space="preserve"> </w:t>
      </w:r>
    </w:p>
    <w:p w14:paraId="6D04F565" w14:textId="77777777" w:rsidR="002D139D" w:rsidRDefault="002D139D" w:rsidP="002D139D">
      <w:pPr>
        <w:pStyle w:val="NoSpacing"/>
        <w:rPr>
          <w:bCs/>
        </w:rPr>
      </w:pPr>
    </w:p>
    <w:p w14:paraId="7247095E" w14:textId="77777777" w:rsidR="002D139D" w:rsidRDefault="002D139D" w:rsidP="002D139D">
      <w:pPr>
        <w:pStyle w:val="NoSpacing"/>
      </w:pPr>
      <w:r>
        <w:t xml:space="preserve">THE COURT WROTE: </w:t>
      </w:r>
    </w:p>
    <w:p w14:paraId="2A3F47B9" w14:textId="77777777" w:rsidR="002D139D" w:rsidRDefault="002D139D" w:rsidP="002D139D">
      <w:pPr>
        <w:pStyle w:val="NoSpacing"/>
      </w:pPr>
    </w:p>
    <w:p w14:paraId="58AF3F53" w14:textId="77777777" w:rsidR="002D139D" w:rsidRDefault="002D139D" w:rsidP="002D139D">
      <w:pPr>
        <w:pStyle w:val="NoSpacing"/>
      </w:pPr>
      <w:r>
        <w:t>“</w:t>
      </w:r>
      <w:r w:rsidRPr="00D26819">
        <w:t>Defendant was charged with interfering with EMS</w:t>
      </w:r>
      <w:r>
        <w:t xml:space="preserve"> </w:t>
      </w:r>
      <w:r w:rsidRPr="00D26819">
        <w:t>providers after he prevented EMS from rendering aid to an</w:t>
      </w:r>
      <w:r>
        <w:t xml:space="preserve"> </w:t>
      </w:r>
      <w:r w:rsidRPr="00D26819">
        <w:t>injured woman following a vehicular accident.</w:t>
      </w:r>
      <w:r>
        <w:t xml:space="preserve"> </w:t>
      </w:r>
      <w:r w:rsidRPr="00D26819">
        <w:t>The woman</w:t>
      </w:r>
      <w:r>
        <w:t xml:space="preserve"> </w:t>
      </w:r>
      <w:r w:rsidRPr="00D26819">
        <w:t>had been driving, and defendant was a passenger. At the</w:t>
      </w:r>
      <w:r>
        <w:t xml:space="preserve"> </w:t>
      </w:r>
      <w:r w:rsidRPr="00D26819">
        <w:t xml:space="preserve">crash site, defendant lay on top of the woman and </w:t>
      </w:r>
    </w:p>
    <w:p w14:paraId="561D390E" w14:textId="77777777" w:rsidR="002D139D" w:rsidRPr="00D26819" w:rsidRDefault="002D139D" w:rsidP="002D139D">
      <w:pPr>
        <w:pStyle w:val="NoSpacing"/>
      </w:pPr>
      <w:r w:rsidRPr="00D26819">
        <w:t>continuously screamed that she needed help.</w:t>
      </w:r>
      <w:r>
        <w:t xml:space="preserve">  </w:t>
      </w:r>
      <w:r w:rsidRPr="00D26819">
        <w:t>However, when EMS</w:t>
      </w:r>
      <w:r>
        <w:t xml:space="preserve"> </w:t>
      </w:r>
      <w:r w:rsidRPr="00D26819">
        <w:t>providers tried to render her aid, defendant refused to move</w:t>
      </w:r>
      <w:r>
        <w:t xml:space="preserve"> </w:t>
      </w:r>
      <w:r w:rsidRPr="00D26819">
        <w:t>and punched an EMS provider once in the chest—though no</w:t>
      </w:r>
    </w:p>
    <w:p w14:paraId="3A22A920" w14:textId="77777777" w:rsidR="002D139D" w:rsidRDefault="002D139D" w:rsidP="002D139D">
      <w:pPr>
        <w:pStyle w:val="NoSpacing"/>
      </w:pPr>
      <w:proofErr w:type="gramStart"/>
      <w:r w:rsidRPr="00D26819">
        <w:t>injury</w:t>
      </w:r>
      <w:proofErr w:type="gramEnd"/>
      <w:r w:rsidRPr="00D26819">
        <w:t xml:space="preserve"> resulted. Defendant was subsequently detained.</w:t>
      </w:r>
      <w:r>
        <w:t xml:space="preserve"> [Footnote 2: Prior to the accident, defendant and the woman had been drinking. When EMS providers arrived, the woman was lying on the ground profusely bleeding and screaming for help. She was later transported to the hospital. Her injuries required four surgeries and being airlifted to an intensive care unit.] </w:t>
      </w:r>
    </w:p>
    <w:p w14:paraId="5EBEFEB3" w14:textId="77777777" w:rsidR="002D139D" w:rsidRDefault="002D139D" w:rsidP="002D139D">
      <w:pPr>
        <w:pStyle w:val="NoSpacing"/>
      </w:pPr>
      <w:r>
        <w:t xml:space="preserve">Before trial, defendant wrote the EMS provider an apology, and the EMS provider acknowledged in writing that he had received satisfaction for his injuries and agreed to a civil compromise. Defendant moved to dismiss the charge pursuant to that civil compromise, but the trial court denied the motion, reasoning that civil compromise requires that the injured party have a civil cause of action against the defendant for the conduct prohibited by the criminal statute and that no such civil cause of action existed for the conduct prohibited by the offense of interfering with EMS providers. Defendant was convicted at trial.  [Footnote 1: Defendant was also charged with second-degree disorderly conduct, ORS 166.025, but was acquitted of that charge at trial.] </w:t>
      </w:r>
    </w:p>
    <w:p w14:paraId="603DFD34" w14:textId="77777777" w:rsidR="002D139D" w:rsidRDefault="002D139D" w:rsidP="002D139D">
      <w:pPr>
        <w:pStyle w:val="NoSpacing"/>
      </w:pPr>
    </w:p>
    <w:p w14:paraId="4527AE79" w14:textId="77777777" w:rsidR="002D139D" w:rsidRDefault="002D139D" w:rsidP="002D139D">
      <w:pPr>
        <w:pStyle w:val="NoSpacing"/>
      </w:pPr>
      <w:r>
        <w:t>***</w:t>
      </w:r>
    </w:p>
    <w:p w14:paraId="1E5D3818" w14:textId="77777777" w:rsidR="002D139D" w:rsidRDefault="002D139D" w:rsidP="002D139D">
      <w:pPr>
        <w:pStyle w:val="NoSpacing"/>
      </w:pPr>
    </w:p>
    <w:p w14:paraId="793DA5EA" w14:textId="77777777" w:rsidR="002D139D" w:rsidRDefault="002D139D" w:rsidP="002D139D">
      <w:pPr>
        <w:pStyle w:val="NoSpacing"/>
      </w:pPr>
      <w:r>
        <w:t>On appeal, defendant argues that the trial court erred by denying his motion to dismiss pursuant to a civil compromise. Defendant argues that the EMS provider had a civilly actionable battery claim, and therefore, the acknowledgement of satisfaction of injury between defendant and</w:t>
      </w:r>
    </w:p>
    <w:p w14:paraId="4D1300DC" w14:textId="77777777" w:rsidR="002D139D" w:rsidRDefault="002D139D" w:rsidP="002D139D">
      <w:pPr>
        <w:pStyle w:val="NoSpacing"/>
      </w:pPr>
      <w:proofErr w:type="gramStart"/>
      <w:r>
        <w:t>the</w:t>
      </w:r>
      <w:proofErr w:type="gramEnd"/>
      <w:r>
        <w:t xml:space="preserve"> EMS provider satisfied the statutory requirements for a civil compromise. In response, the state argues that the public at large, not the EMS provider, is the “injured person,” and therefore, an individual EMS provider does not have a civil cause of action for the criminal conduct </w:t>
      </w:r>
    </w:p>
    <w:p w14:paraId="6D14E5B0" w14:textId="77777777" w:rsidR="002D139D" w:rsidRDefault="002D139D" w:rsidP="002D139D">
      <w:pPr>
        <w:pStyle w:val="NoSpacing"/>
      </w:pPr>
      <w:r>
        <w:t>prohibited by the offense of interfering with EMS providers. We agree with the state that the public is the ‘injured person’ under ORS 162.257 and, thus, affirm…. ORS 162.257 is an offense that primarily injures the public at large and, therefore, cannot be civilly compromised. The trial court did not err in denying defendant’s motion.</w:t>
      </w:r>
    </w:p>
    <w:p w14:paraId="55BC951C" w14:textId="77777777" w:rsidR="002D139D" w:rsidRDefault="002D139D" w:rsidP="002D139D">
      <w:pPr>
        <w:pStyle w:val="NoSpacing"/>
      </w:pPr>
    </w:p>
    <w:p w14:paraId="3EB13CE5" w14:textId="77777777" w:rsidR="002D139D" w:rsidRPr="00FF74A3" w:rsidRDefault="002D139D" w:rsidP="002D139D">
      <w:pPr>
        <w:pStyle w:val="NoSpacing"/>
        <w:rPr>
          <w:b/>
          <w:bCs/>
        </w:rPr>
      </w:pPr>
      <w:r>
        <w:rPr>
          <w:b/>
        </w:rPr>
        <w:t xml:space="preserve">Legal lesson learned: Interfering with EMS is not subject to civil compromise between the EMS and the offender. </w:t>
      </w:r>
    </w:p>
    <w:p w14:paraId="307A0259" w14:textId="77777777" w:rsidR="002D139D" w:rsidRDefault="002D139D" w:rsidP="002D139D">
      <w:pPr>
        <w:pStyle w:val="NoSpacing"/>
        <w:rPr>
          <w:b/>
          <w:sz w:val="20"/>
          <w:szCs w:val="20"/>
        </w:rPr>
      </w:pPr>
    </w:p>
    <w:p w14:paraId="53B8CC0D" w14:textId="77777777" w:rsidR="002D139D" w:rsidRDefault="002D139D" w:rsidP="002D139D">
      <w:pPr>
        <w:pStyle w:val="NoSpacing"/>
        <w:rPr>
          <w:b/>
          <w:sz w:val="20"/>
          <w:szCs w:val="20"/>
        </w:rPr>
      </w:pPr>
    </w:p>
    <w:p w14:paraId="7378DFA4" w14:textId="77777777" w:rsidR="002D139D" w:rsidRDefault="002D139D" w:rsidP="002D139D">
      <w:pPr>
        <w:pStyle w:val="NoSpacing"/>
        <w:rPr>
          <w:b/>
          <w:sz w:val="20"/>
          <w:szCs w:val="20"/>
        </w:rPr>
      </w:pPr>
    </w:p>
    <w:p w14:paraId="542A3D05" w14:textId="5D5B04C1" w:rsidR="002D139D" w:rsidRDefault="00A971EA" w:rsidP="002D139D">
      <w:pPr>
        <w:pStyle w:val="NoSpacing"/>
        <w:rPr>
          <w:rFonts w:ascii="Arial Black" w:hAnsi="Arial Black"/>
          <w:b/>
          <w:sz w:val="28"/>
          <w:szCs w:val="28"/>
        </w:rPr>
      </w:pPr>
      <w:r>
        <w:rPr>
          <w:rFonts w:ascii="Arial Black" w:hAnsi="Arial Black"/>
          <w:b/>
          <w:sz w:val="28"/>
          <w:szCs w:val="28"/>
        </w:rPr>
        <w:t xml:space="preserve">13-272 </w:t>
      </w:r>
    </w:p>
    <w:p w14:paraId="2916FF85" w14:textId="77777777" w:rsidR="00A971EA" w:rsidRDefault="00A971EA" w:rsidP="002D139D">
      <w:pPr>
        <w:pStyle w:val="NoSpacing"/>
        <w:rPr>
          <w:rFonts w:ascii="Arial Black" w:hAnsi="Arial Black"/>
          <w:b/>
          <w:sz w:val="28"/>
          <w:szCs w:val="28"/>
        </w:rPr>
      </w:pPr>
    </w:p>
    <w:p w14:paraId="7373DE3A" w14:textId="77777777" w:rsidR="002D139D" w:rsidRDefault="002D139D" w:rsidP="002D139D">
      <w:pPr>
        <w:pStyle w:val="NoSpacing"/>
        <w:rPr>
          <w:rFonts w:ascii="Arial Black" w:hAnsi="Arial Black"/>
          <w:b/>
          <w:sz w:val="28"/>
          <w:szCs w:val="28"/>
        </w:rPr>
      </w:pPr>
      <w:r>
        <w:rPr>
          <w:rFonts w:ascii="Arial Black" w:hAnsi="Arial Black"/>
          <w:b/>
          <w:sz w:val="28"/>
          <w:szCs w:val="28"/>
        </w:rPr>
        <w:t xml:space="preserve">NJ: EMS SUPER SUED BY EMT – TOLD OTHERS EMT CONV  </w:t>
      </w:r>
    </w:p>
    <w:p w14:paraId="3F21491D" w14:textId="77777777" w:rsidR="002D139D" w:rsidRDefault="002D139D" w:rsidP="002D139D">
      <w:pPr>
        <w:pStyle w:val="NoSpacing"/>
        <w:rPr>
          <w:rFonts w:ascii="Arial Black" w:hAnsi="Arial Black"/>
          <w:b/>
          <w:sz w:val="28"/>
          <w:szCs w:val="28"/>
        </w:rPr>
      </w:pPr>
    </w:p>
    <w:p w14:paraId="7AFEA2B1" w14:textId="77777777" w:rsidR="002D139D" w:rsidRDefault="002D139D" w:rsidP="002D139D">
      <w:pPr>
        <w:pStyle w:val="NoSpacing"/>
        <w:rPr>
          <w:bCs/>
        </w:rPr>
      </w:pPr>
      <w:r w:rsidRPr="00AC2490">
        <w:t xml:space="preserve">On July 21, 2026, in </w:t>
      </w:r>
      <w:r w:rsidRPr="00AC2490">
        <w:rPr>
          <w:u w:val="single"/>
        </w:rPr>
        <w:t>L.R. Jr. v. J.R.B</w:t>
      </w:r>
      <w:r w:rsidRPr="00AC2490">
        <w:t xml:space="preserve">., </w:t>
      </w:r>
      <w:r>
        <w:t xml:space="preserve">the </w:t>
      </w:r>
      <w:r w:rsidRPr="00AC2490">
        <w:t>Superior Court of New Jersey, Appellate Division</w:t>
      </w:r>
      <w:r>
        <w:t xml:space="preserve"> held (2 to 0; unpublished decision) that the former EMT Supervisor (initials J.R.B.) is entitled to a new hearing, before a new judge; the original </w:t>
      </w:r>
      <w:r>
        <w:lastRenderedPageBreak/>
        <w:t xml:space="preserve">judge issued a final protective order against him to stop his publicly sharing EMT’s conviction, without first advising him of right to counsel and the consequences of a final protective order.  </w:t>
      </w:r>
    </w:p>
    <w:p w14:paraId="15B4533E" w14:textId="77777777" w:rsidR="002D139D" w:rsidRDefault="002D139D" w:rsidP="002D139D">
      <w:pPr>
        <w:pStyle w:val="NoSpacing"/>
        <w:rPr>
          <w:bCs/>
        </w:rPr>
      </w:pPr>
      <w:hyperlink r:id="rId2023" w:history="1">
        <w:r w:rsidRPr="0044034D">
          <w:rPr>
            <w:rStyle w:val="Hyperlink"/>
          </w:rPr>
          <w:t>https://www.njcourts.gov/system/files/court-opinions/2026/a1374-24.pdf</w:t>
        </w:r>
      </w:hyperlink>
      <w:r>
        <w:t xml:space="preserve"> </w:t>
      </w:r>
    </w:p>
    <w:p w14:paraId="41EA3D93" w14:textId="77777777" w:rsidR="002D139D" w:rsidRDefault="002D139D" w:rsidP="002D139D">
      <w:pPr>
        <w:pStyle w:val="NoSpacing"/>
        <w:rPr>
          <w:bCs/>
        </w:rPr>
      </w:pPr>
    </w:p>
    <w:p w14:paraId="52491841" w14:textId="77777777" w:rsidR="002D139D" w:rsidRDefault="002D139D" w:rsidP="002D139D">
      <w:pPr>
        <w:pStyle w:val="NoSpacing"/>
        <w:rPr>
          <w:bCs/>
        </w:rPr>
      </w:pPr>
      <w:r>
        <w:t>THE COURT WROTE:</w:t>
      </w:r>
    </w:p>
    <w:p w14:paraId="59344603" w14:textId="77777777" w:rsidR="002D139D" w:rsidRDefault="002D139D" w:rsidP="002D139D">
      <w:pPr>
        <w:pStyle w:val="NoSpacing"/>
        <w:rPr>
          <w:bCs/>
        </w:rPr>
      </w:pPr>
    </w:p>
    <w:p w14:paraId="456EB71C" w14:textId="77777777" w:rsidR="002D139D" w:rsidRPr="00557E89" w:rsidRDefault="002D139D" w:rsidP="002D139D">
      <w:pPr>
        <w:pStyle w:val="NoSpacing"/>
        <w:rPr>
          <w:bCs/>
        </w:rPr>
      </w:pPr>
      <w:r>
        <w:t>“</w:t>
      </w:r>
      <w:r w:rsidRPr="00557E89">
        <w:t>Plaintiff pled</w:t>
      </w:r>
      <w:r>
        <w:t xml:space="preserve"> </w:t>
      </w:r>
      <w:r w:rsidRPr="00557E89">
        <w:t>guilty to endangering the welfare of a child in 2001 and was subject to Megan 's</w:t>
      </w:r>
    </w:p>
    <w:p w14:paraId="437374BA" w14:textId="77777777" w:rsidR="002D139D" w:rsidRPr="00F23DB2" w:rsidRDefault="002D139D" w:rsidP="002D139D">
      <w:pPr>
        <w:pStyle w:val="NoSpacing"/>
        <w:rPr>
          <w:bCs/>
        </w:rPr>
      </w:pPr>
      <w:r w:rsidRPr="00557E89">
        <w:t xml:space="preserve">Law and parole supervision for </w:t>
      </w:r>
      <w:proofErr w:type="gramStart"/>
      <w:r w:rsidRPr="00557E89">
        <w:t>life (</w:t>
      </w:r>
      <w:r>
        <w:t>‘</w:t>
      </w:r>
      <w:proofErr w:type="gramEnd"/>
      <w:r w:rsidRPr="00557E89">
        <w:t>PSL</w:t>
      </w:r>
      <w:r>
        <w:t>’</w:t>
      </w:r>
      <w:r w:rsidRPr="00557E89">
        <w:t>). In 2011, plaintiff and defendant</w:t>
      </w:r>
      <w:r>
        <w:t xml:space="preserve"> </w:t>
      </w:r>
      <w:r w:rsidRPr="00557E89">
        <w:t xml:space="preserve">worked together as volunteer emergency medical </w:t>
      </w:r>
      <w:proofErr w:type="gramStart"/>
      <w:r w:rsidRPr="00557E89">
        <w:t>technicians (</w:t>
      </w:r>
      <w:r>
        <w:t>‘</w:t>
      </w:r>
      <w:proofErr w:type="gramEnd"/>
      <w:r w:rsidRPr="00557E89">
        <w:t>EMTs</w:t>
      </w:r>
      <w:r>
        <w:t>’</w:t>
      </w:r>
      <w:r w:rsidRPr="00557E89">
        <w:t>).</w:t>
      </w:r>
      <w:r>
        <w:t xml:space="preserve"> </w:t>
      </w:r>
      <w:r w:rsidRPr="00557E89">
        <w:t>Plaintiff served as defendant's supervisor. After plaintiff filed a complaint,</w:t>
      </w:r>
      <w:r>
        <w:t xml:space="preserve"> </w:t>
      </w:r>
      <w:r w:rsidRPr="00557E89">
        <w:t>defendant received a thirty-day suspension. Defendant then voluntarily left his</w:t>
      </w:r>
      <w:r>
        <w:t xml:space="preserve"> </w:t>
      </w:r>
      <w:r w:rsidRPr="00557E89">
        <w:t>position.</w:t>
      </w:r>
      <w:r>
        <w:t xml:space="preserve"> </w:t>
      </w:r>
      <w:r w:rsidRPr="00557E89">
        <w:t>Plaintiff claimed that his record was expunged in April 2016. Plaintiff</w:t>
      </w:r>
      <w:r>
        <w:t xml:space="preserve"> </w:t>
      </w:r>
      <w:r w:rsidRPr="00557E89">
        <w:t>moved to Florida in 2018. In 2019, defendant discovered plaintiff's LinkedIn</w:t>
      </w:r>
      <w:r>
        <w:t xml:space="preserve"> </w:t>
      </w:r>
      <w:r w:rsidRPr="00557E89">
        <w:t>account and saw that plaintiff worked as an EMT in Florida. Defendant then</w:t>
      </w:r>
      <w:r>
        <w:t xml:space="preserve"> </w:t>
      </w:r>
      <w:r w:rsidRPr="00557E89">
        <w:t xml:space="preserve">submitted an Open Public Records </w:t>
      </w:r>
      <w:proofErr w:type="gramStart"/>
      <w:r w:rsidRPr="00557E89">
        <w:t>Act (</w:t>
      </w:r>
      <w:r>
        <w:t>‘</w:t>
      </w:r>
      <w:proofErr w:type="gramEnd"/>
      <w:r w:rsidRPr="00557E89">
        <w:t>OPRA</w:t>
      </w:r>
      <w:r>
        <w:t>’</w:t>
      </w:r>
      <w:r w:rsidRPr="00557E89">
        <w:t>) request to the State Parole</w:t>
      </w:r>
      <w:r>
        <w:t xml:space="preserve"> </w:t>
      </w:r>
      <w:r w:rsidRPr="00F23DB2">
        <w:t>Board and obtained plaintiff's judgment of conviction, which included Megan's</w:t>
      </w:r>
      <w:r>
        <w:t xml:space="preserve"> </w:t>
      </w:r>
      <w:r w:rsidRPr="00F23DB2">
        <w:t>Law and PSL requirements. After receiving these documents, defendant notified</w:t>
      </w:r>
      <w:r>
        <w:t xml:space="preserve"> </w:t>
      </w:r>
      <w:r w:rsidRPr="00F23DB2">
        <w:t>Florida authorities that plaintiff resided in Florida and was required to register</w:t>
      </w:r>
      <w:r>
        <w:t xml:space="preserve"> </w:t>
      </w:r>
      <w:r w:rsidRPr="00F23DB2">
        <w:t>under Megan's Law. In November 2019, Florida law enforcement officers</w:t>
      </w:r>
    </w:p>
    <w:p w14:paraId="3F51EF51" w14:textId="77777777" w:rsidR="002D139D" w:rsidRPr="002515CB" w:rsidRDefault="002D139D" w:rsidP="002D139D">
      <w:pPr>
        <w:pStyle w:val="NoSpacing"/>
        <w:rPr>
          <w:bCs/>
        </w:rPr>
      </w:pPr>
      <w:r w:rsidRPr="00F23DB2">
        <w:t>visited plaintiff's residence and informed him that he must register as a sex</w:t>
      </w:r>
      <w:r>
        <w:t xml:space="preserve"> </w:t>
      </w:r>
      <w:r w:rsidRPr="00F23DB2">
        <w:t>offender because of his New Jersey conviction. Plaintiff subsequently returned</w:t>
      </w:r>
      <w:r>
        <w:t xml:space="preserve"> </w:t>
      </w:r>
      <w:r w:rsidRPr="00F23DB2">
        <w:t>to New Jersey and started to work here again as an EMT.</w:t>
      </w:r>
      <w:r>
        <w:t xml:space="preserve"> </w:t>
      </w:r>
      <w:r w:rsidRPr="002515CB">
        <w:t>In February 2020, defendant posted the documents obtained through the</w:t>
      </w:r>
    </w:p>
    <w:p w14:paraId="4556D7E8" w14:textId="77777777" w:rsidR="002D139D" w:rsidRPr="00F036F0" w:rsidRDefault="002D139D" w:rsidP="002D139D">
      <w:pPr>
        <w:pStyle w:val="NoSpacing"/>
        <w:rPr>
          <w:bCs/>
        </w:rPr>
      </w:pPr>
      <w:r w:rsidRPr="002515CB">
        <w:t>OPRA request on Facebook. Plaintiff testified that defendant then made</w:t>
      </w:r>
      <w:r>
        <w:t xml:space="preserve"> </w:t>
      </w:r>
      <w:r w:rsidRPr="002515CB">
        <w:t xml:space="preserve">additional posts about his past but plaintiff </w:t>
      </w:r>
      <w:r>
        <w:t>‘</w:t>
      </w:r>
      <w:r w:rsidRPr="002515CB">
        <w:t xml:space="preserve">let it go, </w:t>
      </w:r>
      <w:proofErr w:type="gramStart"/>
      <w:r w:rsidRPr="002515CB">
        <w:t>cause</w:t>
      </w:r>
      <w:proofErr w:type="gramEnd"/>
      <w:r w:rsidRPr="002515CB">
        <w:t xml:space="preserve"> I was hoping if I let</w:t>
      </w:r>
      <w:r>
        <w:t xml:space="preserve"> </w:t>
      </w:r>
      <w:r w:rsidRPr="002515CB">
        <w:t>it go it would just stop.</w:t>
      </w:r>
      <w:r>
        <w:t xml:space="preserve">’ </w:t>
      </w:r>
      <w:r w:rsidRPr="00F036F0">
        <w:t>In November 2024, defendant emailed the New Jersey State Emergency</w:t>
      </w:r>
      <w:r>
        <w:t xml:space="preserve"> </w:t>
      </w:r>
      <w:r w:rsidRPr="00F036F0">
        <w:t xml:space="preserve">Medical Services Task </w:t>
      </w:r>
      <w:proofErr w:type="gramStart"/>
      <w:r w:rsidRPr="00F036F0">
        <w:t>Force (</w:t>
      </w:r>
      <w:r>
        <w:t>‘</w:t>
      </w:r>
      <w:proofErr w:type="gramEnd"/>
      <w:r w:rsidRPr="00F036F0">
        <w:t>EMSTF</w:t>
      </w:r>
      <w:r>
        <w:t>’</w:t>
      </w:r>
      <w:r w:rsidRPr="00F036F0">
        <w:t>), stating that he knew of an employee</w:t>
      </w:r>
      <w:r>
        <w:t xml:space="preserve"> </w:t>
      </w:r>
      <w:r w:rsidRPr="00F036F0">
        <w:t>with a child endangerment conviction. That same month, defendant posted on</w:t>
      </w:r>
      <w:r>
        <w:t xml:space="preserve"> </w:t>
      </w:r>
      <w:r w:rsidRPr="00F036F0">
        <w:t xml:space="preserve">the New Jersey Forest Fire Department's webpage, </w:t>
      </w:r>
      <w:r>
        <w:t>‘</w:t>
      </w:r>
      <w:r w:rsidRPr="00F036F0">
        <w:t>[w]hy does the Department</w:t>
      </w:r>
      <w:r>
        <w:t xml:space="preserve"> </w:t>
      </w:r>
      <w:r w:rsidRPr="00F036F0">
        <w:t>allow sex offenders on the crew?</w:t>
      </w:r>
      <w:r>
        <w:t>’</w:t>
      </w:r>
      <w:r w:rsidRPr="00F036F0">
        <w:t xml:space="preserve"> He also linked plaintiff's payroll information</w:t>
      </w:r>
      <w:r>
        <w:t xml:space="preserve"> </w:t>
      </w:r>
      <w:r w:rsidRPr="00F036F0">
        <w:t>from the State Department of Treasury. In December 2024, defendant posted</w:t>
      </w:r>
    </w:p>
    <w:p w14:paraId="2FA5C52F" w14:textId="77777777" w:rsidR="002D139D" w:rsidRDefault="002D139D" w:rsidP="002D139D">
      <w:pPr>
        <w:pStyle w:val="NoSpacing"/>
        <w:rPr>
          <w:bCs/>
        </w:rPr>
      </w:pPr>
      <w:r w:rsidRPr="00F036F0">
        <w:t xml:space="preserve">on the EMSTF webpage, </w:t>
      </w:r>
      <w:r>
        <w:t>‘</w:t>
      </w:r>
      <w:r w:rsidRPr="00F036F0">
        <w:t>[w]hy does the [EMSTF] have people who pled to</w:t>
      </w:r>
      <w:r>
        <w:t xml:space="preserve"> </w:t>
      </w:r>
      <w:proofErr w:type="gramStart"/>
      <w:r w:rsidRPr="00F036F0">
        <w:t>endangering</w:t>
      </w:r>
      <w:proofErr w:type="gramEnd"/>
      <w:r w:rsidRPr="00F036F0">
        <w:t xml:space="preserve"> the welfare of a child?</w:t>
      </w:r>
      <w:r>
        <w:t>’</w:t>
      </w:r>
    </w:p>
    <w:p w14:paraId="058A771E" w14:textId="77777777" w:rsidR="002D139D" w:rsidRDefault="002D139D" w:rsidP="002D139D">
      <w:pPr>
        <w:pStyle w:val="NoSpacing"/>
        <w:rPr>
          <w:bCs/>
        </w:rPr>
      </w:pPr>
    </w:p>
    <w:p w14:paraId="2C08619D" w14:textId="77777777" w:rsidR="002D139D" w:rsidRDefault="002D139D" w:rsidP="002D139D">
      <w:pPr>
        <w:pStyle w:val="NoSpacing"/>
        <w:rPr>
          <w:bCs/>
        </w:rPr>
      </w:pPr>
      <w:r>
        <w:t>***</w:t>
      </w:r>
    </w:p>
    <w:p w14:paraId="589581DA" w14:textId="77777777" w:rsidR="002D139D" w:rsidRPr="00794B93" w:rsidRDefault="002D139D" w:rsidP="002D139D">
      <w:pPr>
        <w:pStyle w:val="NoSpacing"/>
        <w:rPr>
          <w:bCs/>
        </w:rPr>
      </w:pPr>
      <w:r w:rsidRPr="00B37DFD">
        <w:t>As noted above, the record neither demonstrates that the judge informed</w:t>
      </w:r>
      <w:r>
        <w:t xml:space="preserve"> </w:t>
      </w:r>
      <w:r w:rsidRPr="00B37DFD">
        <w:t>defendant of his right to be represented by legal counsel in advance of trial, nor</w:t>
      </w:r>
      <w:r>
        <w:t xml:space="preserve"> </w:t>
      </w:r>
      <w:r w:rsidRPr="00B37DFD">
        <w:t>that defendant voluntarily and knowingly waived his right to counsel. Guided</w:t>
      </w:r>
      <w:r>
        <w:t xml:space="preserve"> </w:t>
      </w:r>
      <w:r w:rsidRPr="00B37DFD">
        <w:t>by the noted principles, we conclude the court mistakenly applied its discretion</w:t>
      </w:r>
      <w:r>
        <w:t xml:space="preserve"> </w:t>
      </w:r>
      <w:r w:rsidRPr="00B37DFD">
        <w:t>by its failure to instruct defendant of his right to be represented by legal counsel</w:t>
      </w:r>
      <w:r>
        <w:t xml:space="preserve"> </w:t>
      </w:r>
      <w:r w:rsidRPr="00B37DFD">
        <w:t>in advance of trial and by not taking testimony concerning whether defendant</w:t>
      </w:r>
      <w:r>
        <w:t xml:space="preserve"> </w:t>
      </w:r>
      <w:r w:rsidRPr="00794B93">
        <w:t>knowingly and voluntarily waived his right to counsel. Although we can</w:t>
      </w:r>
      <w:r>
        <w:t xml:space="preserve"> </w:t>
      </w:r>
      <w:r w:rsidRPr="00794B93">
        <w:t>appreciate the need for the court to have control over management of its trial</w:t>
      </w:r>
      <w:r>
        <w:t xml:space="preserve"> </w:t>
      </w:r>
      <w:r w:rsidRPr="00794B93">
        <w:t>list, we discern there would have been no undue prejudice to plaintiff if</w:t>
      </w:r>
      <w:r>
        <w:t xml:space="preserve"> </w:t>
      </w:r>
      <w:r w:rsidRPr="00794B93">
        <w:t>defendant sought an adjournment to obtain counsel as the TPO protections</w:t>
      </w:r>
      <w:r>
        <w:t xml:space="preserve"> </w:t>
      </w:r>
      <w:r w:rsidRPr="00794B93">
        <w:t>would have remained in effect. Therefore, we are constrained to vacate the FPO,</w:t>
      </w:r>
    </w:p>
    <w:p w14:paraId="7AA35C69" w14:textId="77777777" w:rsidR="002D139D" w:rsidRDefault="002D139D" w:rsidP="002D139D">
      <w:pPr>
        <w:pStyle w:val="NoSpacing"/>
        <w:rPr>
          <w:bCs/>
        </w:rPr>
      </w:pPr>
      <w:r w:rsidRPr="00794B93">
        <w:t>reinstate the TPO, and remand for a new trial.</w:t>
      </w:r>
      <w:r>
        <w:t>”</w:t>
      </w:r>
    </w:p>
    <w:p w14:paraId="681D2EA4" w14:textId="77777777" w:rsidR="002D139D" w:rsidRDefault="002D139D" w:rsidP="002D139D">
      <w:pPr>
        <w:pStyle w:val="NoSpacing"/>
        <w:rPr>
          <w:bCs/>
        </w:rPr>
      </w:pPr>
    </w:p>
    <w:p w14:paraId="42932537" w14:textId="77777777" w:rsidR="002D139D" w:rsidRPr="00091D5C" w:rsidRDefault="002D139D" w:rsidP="002D139D">
      <w:pPr>
        <w:pStyle w:val="NoSpacing"/>
        <w:rPr>
          <w:b/>
        </w:rPr>
      </w:pPr>
      <w:r w:rsidRPr="00091D5C">
        <w:rPr>
          <w:b/>
        </w:rPr>
        <w:t xml:space="preserve">Legal lesson learned: </w:t>
      </w:r>
      <w:r>
        <w:rPr>
          <w:b/>
        </w:rPr>
        <w:t xml:space="preserve">The EMT’s conviction is a public record, but posting documents on Facebook can lead to “cyber harassment” litigation. </w:t>
      </w:r>
    </w:p>
    <w:p w14:paraId="22078E71" w14:textId="77777777" w:rsidR="002D139D" w:rsidRDefault="002D139D" w:rsidP="002D139D">
      <w:pPr>
        <w:pStyle w:val="NoSpacing"/>
        <w:rPr>
          <w:bCs/>
        </w:rPr>
      </w:pPr>
    </w:p>
    <w:p w14:paraId="16F04844" w14:textId="77777777" w:rsidR="002D139D" w:rsidRDefault="002D139D" w:rsidP="002D139D">
      <w:pPr>
        <w:pStyle w:val="NoSpacing"/>
      </w:pPr>
    </w:p>
    <w:p w14:paraId="1B11098F" w14:textId="77777777" w:rsidR="002D139D" w:rsidRDefault="002D139D" w:rsidP="002D139D">
      <w:pPr>
        <w:pStyle w:val="NoSpacing"/>
      </w:pPr>
    </w:p>
    <w:p w14:paraId="14E698D2" w14:textId="654D6CED" w:rsidR="002D139D" w:rsidRDefault="00A971EA" w:rsidP="002D139D">
      <w:pPr>
        <w:rPr>
          <w:rFonts w:ascii="Arial Black" w:hAnsi="Arial Black"/>
          <w:b/>
          <w:sz w:val="28"/>
          <w:szCs w:val="28"/>
        </w:rPr>
      </w:pPr>
      <w:r>
        <w:rPr>
          <w:rFonts w:ascii="Arial Black" w:hAnsi="Arial Black"/>
          <w:b/>
          <w:sz w:val="28"/>
          <w:szCs w:val="28"/>
        </w:rPr>
        <w:t>13-271</w:t>
      </w:r>
    </w:p>
    <w:p w14:paraId="6D81718D" w14:textId="77777777" w:rsidR="002D139D" w:rsidRPr="00C46E5F" w:rsidRDefault="002D139D" w:rsidP="002D139D">
      <w:pPr>
        <w:rPr>
          <w:b/>
          <w:sz w:val="40"/>
          <w:szCs w:val="40"/>
        </w:rPr>
      </w:pPr>
      <w:r>
        <w:rPr>
          <w:rFonts w:ascii="Arial Black" w:hAnsi="Arial Black"/>
          <w:b/>
          <w:sz w:val="28"/>
          <w:szCs w:val="28"/>
        </w:rPr>
        <w:t xml:space="preserve">MI: PT TOLD MEDIC DEF HURT HER - HEARSAY EXCEPTION </w:t>
      </w:r>
    </w:p>
    <w:p w14:paraId="19EE1015" w14:textId="77777777" w:rsidR="002D139D" w:rsidRDefault="002D139D" w:rsidP="002D139D">
      <w:pPr>
        <w:pStyle w:val="NoSpacing"/>
        <w:rPr>
          <w:bCs/>
        </w:rPr>
      </w:pPr>
      <w:r w:rsidRPr="00012298">
        <w:t xml:space="preserve">On July 16, 2026, in </w:t>
      </w:r>
      <w:r w:rsidRPr="0059572D">
        <w:rPr>
          <w:u w:val="single"/>
        </w:rPr>
        <w:t>People of the</w:t>
      </w:r>
      <w:r w:rsidRPr="00012298">
        <w:t xml:space="preserve"> </w:t>
      </w:r>
      <w:r w:rsidRPr="00012298">
        <w:rPr>
          <w:u w:val="single"/>
        </w:rPr>
        <w:t>State of Michigan v. Robert A. Hollon</w:t>
      </w:r>
      <w:r w:rsidRPr="00012298">
        <w:t xml:space="preserve">, </w:t>
      </w:r>
      <w:r>
        <w:t xml:space="preserve">the </w:t>
      </w:r>
      <w:r w:rsidRPr="0059572D">
        <w:t>Court of Appeals of Michigan</w:t>
      </w:r>
      <w:r>
        <w:t xml:space="preserve"> held (3 to 0; unpublished decision) that prior to trial court allowing Medic and ER doctor to testify in murder trial, court should first hold hearing on defendant’s </w:t>
      </w:r>
      <w:r w:rsidRPr="00164115">
        <w:t xml:space="preserve">motion to exclude evidence. </w:t>
      </w:r>
      <w:r>
        <w:t xml:space="preserve"> The patient [identified by her initials “WP”], who later died, told Medic in ambulance and ER doctor that her boyfriend had pushed her down the stairs. </w:t>
      </w:r>
      <w:hyperlink r:id="rId2024" w:history="1">
        <w:r w:rsidRPr="001C4F77">
          <w:rPr>
            <w:rStyle w:val="Hyperlink"/>
          </w:rPr>
          <w:t>https://cases.justia.com/michigan/court-of-appeals-unpublished/2026-377838.pdf?ts=1784293205</w:t>
        </w:r>
      </w:hyperlink>
      <w:r>
        <w:t xml:space="preserve"> </w:t>
      </w:r>
    </w:p>
    <w:p w14:paraId="5CEBB1CB" w14:textId="77777777" w:rsidR="002D139D" w:rsidRDefault="002D139D" w:rsidP="002D139D">
      <w:pPr>
        <w:pStyle w:val="NoSpacing"/>
        <w:rPr>
          <w:bCs/>
        </w:rPr>
      </w:pPr>
    </w:p>
    <w:p w14:paraId="5910B37A" w14:textId="77777777" w:rsidR="002D139D" w:rsidRDefault="002D139D" w:rsidP="002D139D">
      <w:pPr>
        <w:pStyle w:val="NoSpacing"/>
      </w:pPr>
      <w:r>
        <w:lastRenderedPageBreak/>
        <w:t>THE COURT WROTE: “</w:t>
      </w:r>
      <w:r w:rsidRPr="00066976">
        <w:t xml:space="preserve">Therefore, on remand, if the prosecution continues to seek to elicit testimony at trial from the paramedic or ER doctor as to WP's statements identifying her assailant (either by name or otherwise), the trial court must first hold an evidentiary hearing at which the prospective witness testifies, and the trial court must apply this evidence to the </w:t>
      </w:r>
      <w:r w:rsidRPr="00827032">
        <w:rPr>
          <w:i/>
          <w:iCs/>
        </w:rPr>
        <w:t xml:space="preserve">Meeboer </w:t>
      </w:r>
      <w:r w:rsidRPr="00066976">
        <w:t>factors to determine its possible admissibility under MRE 803(4)</w:t>
      </w:r>
      <w:r>
        <w:t xml:space="preserve">…. In </w:t>
      </w:r>
      <w:r w:rsidRPr="004C1020">
        <w:rPr>
          <w:i/>
          <w:iCs/>
        </w:rPr>
        <w:t>People v Meeboer (After Remand)</w:t>
      </w:r>
      <w:r w:rsidRPr="004C1020">
        <w:t>, 439 Mich. 310, 322; 484 N.W.2d 621 (1992), the Michigan Supreme Court held that a child sexual assault victim's hearsay statement identifying the child's assailant made to a physician-as opposed to a psychologist- was admissible under MRE 803(4).</w:t>
      </w:r>
      <w:r>
        <w:t xml:space="preserve"> </w:t>
      </w:r>
      <w:r w:rsidRPr="00D75B8B">
        <w:t xml:space="preserve">Instead, </w:t>
      </w:r>
      <w:r w:rsidRPr="00D75B8B">
        <w:rPr>
          <w:i/>
          <w:iCs/>
        </w:rPr>
        <w:t>Meeboer</w:t>
      </w:r>
      <w:r w:rsidRPr="00D75B8B">
        <w:t xml:space="preserve"> held that, when deciding the admissibility of a hearsay statement of identification under MRE 803(4), courts look to the trustworthiness and necessity of the statement in light of MRE 803(4)'s underlying rationale: </w:t>
      </w:r>
      <w:r>
        <w:t>‘</w:t>
      </w:r>
      <w:r w:rsidRPr="00D75B8B">
        <w:t>(1) the self-interested motivation to speak the truth to treating physicians in order to receive proper medical care, and (2) the reasonable necessity of the statement to the diagnosis and treatment of the patient.</w:t>
      </w:r>
      <w:r>
        <w:t>’</w:t>
      </w:r>
      <w:r w:rsidRPr="00D75B8B">
        <w:t xml:space="preserve"> </w:t>
      </w:r>
      <w:r w:rsidRPr="00D75B8B">
        <w:rPr>
          <w:i/>
          <w:iCs/>
        </w:rPr>
        <w:t>Id</w:t>
      </w:r>
      <w:r w:rsidRPr="00D75B8B">
        <w:t>. at 322-30.</w:t>
      </w:r>
      <w:r>
        <w:t>”</w:t>
      </w:r>
    </w:p>
    <w:p w14:paraId="70C23D63" w14:textId="77777777" w:rsidR="002D139D" w:rsidRDefault="002D139D" w:rsidP="002D139D">
      <w:pPr>
        <w:pStyle w:val="NoSpacing"/>
      </w:pPr>
    </w:p>
    <w:p w14:paraId="66B9F8A5" w14:textId="77777777" w:rsidR="002D139D" w:rsidRPr="004C1020" w:rsidRDefault="002D139D" w:rsidP="002D139D">
      <w:pPr>
        <w:pStyle w:val="NoSpacing"/>
      </w:pPr>
      <w:r>
        <w:t>***</w:t>
      </w:r>
    </w:p>
    <w:p w14:paraId="0784D18C" w14:textId="77777777" w:rsidR="002D139D" w:rsidRDefault="002D139D" w:rsidP="002D139D">
      <w:pPr>
        <w:pStyle w:val="NoSpacing"/>
      </w:pPr>
    </w:p>
    <w:p w14:paraId="0D67A827" w14:textId="77777777" w:rsidR="002D139D" w:rsidRDefault="002D139D" w:rsidP="002D139D">
      <w:pPr>
        <w:pStyle w:val="NoSpacing"/>
      </w:pPr>
      <w:r>
        <w:t xml:space="preserve">Concurring Judge: “The urgency of her medical condition, that the statements were made in the back of an ambulance, and while receiving emergency medical care at a hospital align well with the trustworthiness factor to be considered under </w:t>
      </w:r>
      <w:r w:rsidRPr="00BB3761">
        <w:rPr>
          <w:i/>
          <w:iCs/>
        </w:rPr>
        <w:t>Meeboer</w:t>
      </w:r>
      <w:r>
        <w:t xml:space="preserve">.” </w:t>
      </w:r>
      <w:hyperlink r:id="rId2025" w:history="1">
        <w:r w:rsidRPr="002B5610">
          <w:rPr>
            <w:rStyle w:val="Hyperlink"/>
          </w:rPr>
          <w:t>https://cases.justia.com/michigan/court-of-appeals-unpublished/2026-377838.pdf?ts=1784293205</w:t>
        </w:r>
      </w:hyperlink>
      <w:r>
        <w:t xml:space="preserve"> </w:t>
      </w:r>
    </w:p>
    <w:p w14:paraId="5CAA8DCC" w14:textId="77777777" w:rsidR="002D139D" w:rsidRDefault="002D139D" w:rsidP="002D139D">
      <w:pPr>
        <w:pStyle w:val="NoSpacing"/>
        <w:rPr>
          <w:b/>
          <w:bCs/>
        </w:rPr>
      </w:pPr>
    </w:p>
    <w:p w14:paraId="160EBCB4" w14:textId="77777777" w:rsidR="002D139D" w:rsidRDefault="002D139D" w:rsidP="002D139D">
      <w:pPr>
        <w:pStyle w:val="NoSpacing"/>
        <w:rPr>
          <w:b/>
          <w:bCs/>
        </w:rPr>
      </w:pPr>
      <w:r>
        <w:rPr>
          <w:b/>
        </w:rPr>
        <w:t xml:space="preserve">Legal lesson learned: Patient’s comments to EMS while receiving emergency medical care can be admissible at trial.  EMS should document the comments in the </w:t>
      </w:r>
      <w:proofErr w:type="gramStart"/>
      <w:r>
        <w:rPr>
          <w:b/>
        </w:rPr>
        <w:t>run</w:t>
      </w:r>
      <w:proofErr w:type="gramEnd"/>
      <w:r>
        <w:rPr>
          <w:b/>
        </w:rPr>
        <w:t xml:space="preserve"> report </w:t>
      </w:r>
    </w:p>
    <w:p w14:paraId="4E6A06F4" w14:textId="77777777" w:rsidR="002D139D" w:rsidRDefault="002D139D" w:rsidP="002D139D">
      <w:pPr>
        <w:pStyle w:val="NoSpacing"/>
        <w:rPr>
          <w:b/>
          <w:bCs/>
        </w:rPr>
      </w:pPr>
    </w:p>
    <w:p w14:paraId="54999602" w14:textId="77777777" w:rsidR="002D139D" w:rsidRDefault="002D139D" w:rsidP="002D139D">
      <w:pPr>
        <w:pStyle w:val="NoSpacing"/>
      </w:pPr>
      <w:r>
        <w:rPr>
          <w:b/>
        </w:rPr>
        <w:tab/>
      </w:r>
      <w:r w:rsidRPr="003E7066">
        <w:t>See Michigan Rule of Evidence 803(4)</w:t>
      </w:r>
      <w:r>
        <w:t xml:space="preserve">. </w:t>
      </w:r>
      <w:hyperlink r:id="rId2026" w:history="1">
        <w:r w:rsidRPr="002B5610">
          <w:rPr>
            <w:rStyle w:val="Hyperlink"/>
          </w:rPr>
          <w:t>https://www.law.cornell.edu/rules/fre/rule_803</w:t>
        </w:r>
      </w:hyperlink>
      <w:r>
        <w:t xml:space="preserve"> </w:t>
      </w:r>
    </w:p>
    <w:p w14:paraId="231C9CA0" w14:textId="77777777" w:rsidR="002D139D" w:rsidRPr="003E7066" w:rsidRDefault="002D139D" w:rsidP="002D139D">
      <w:pPr>
        <w:pStyle w:val="NoSpacing"/>
        <w:ind w:left="720"/>
      </w:pPr>
      <w:r w:rsidRPr="003E7066">
        <w:t>Exceptions to the Rule Against Hearsay:</w:t>
      </w:r>
    </w:p>
    <w:p w14:paraId="1BB16E0F" w14:textId="77777777" w:rsidR="002D139D" w:rsidRPr="003E7066" w:rsidRDefault="002D139D" w:rsidP="002D139D">
      <w:pPr>
        <w:pStyle w:val="NoSpacing"/>
        <w:ind w:left="720"/>
      </w:pPr>
      <w:r w:rsidRPr="003E7066">
        <w:t>The following are not excluded by the rule against hearsay, regardless of whether the declarant is available as a witness:</w:t>
      </w:r>
      <w:r>
        <w:t xml:space="preserve"> ***</w:t>
      </w:r>
    </w:p>
    <w:p w14:paraId="00D7F751" w14:textId="77777777" w:rsidR="002D139D" w:rsidRPr="003E7066" w:rsidRDefault="002D139D" w:rsidP="002D139D">
      <w:pPr>
        <w:pStyle w:val="NoSpacing"/>
        <w:ind w:firstLine="720"/>
      </w:pPr>
      <w:r w:rsidRPr="003E7066">
        <w:t xml:space="preserve">(4) </w:t>
      </w:r>
      <w:r w:rsidRPr="003E7066">
        <w:rPr>
          <w:i/>
          <w:iCs/>
        </w:rPr>
        <w:t>Statement Made for Medical Diagnosis or Treatment</w:t>
      </w:r>
      <w:r w:rsidRPr="003E7066">
        <w:t>. A statement that:</w:t>
      </w:r>
    </w:p>
    <w:p w14:paraId="783784F0" w14:textId="77777777" w:rsidR="002D139D" w:rsidRPr="003E7066" w:rsidRDefault="002D139D" w:rsidP="002D139D">
      <w:pPr>
        <w:pStyle w:val="NoSpacing"/>
        <w:ind w:left="720"/>
      </w:pPr>
      <w:r w:rsidRPr="003E7066">
        <w:t>(A) is made for — and is reasonably pertinent to — medical diagnosis or treatment; and (B) describes medical history; past or present symptoms or sensations; their inception; or their general cause.</w:t>
      </w:r>
    </w:p>
    <w:p w14:paraId="04F3D2F8" w14:textId="77777777" w:rsidR="002D139D" w:rsidRDefault="002D139D" w:rsidP="002D139D">
      <w:pPr>
        <w:pStyle w:val="NoSpacing"/>
        <w:rPr>
          <w:b/>
        </w:rPr>
      </w:pPr>
    </w:p>
    <w:p w14:paraId="18F122C7" w14:textId="77777777" w:rsidR="002D139D" w:rsidRDefault="002D139D" w:rsidP="002D139D">
      <w:pPr>
        <w:pStyle w:val="NoSpacing"/>
        <w:rPr>
          <w:b/>
        </w:rPr>
      </w:pPr>
    </w:p>
    <w:p w14:paraId="75CFE5FC" w14:textId="77777777" w:rsidR="002D139D" w:rsidRDefault="002D139D" w:rsidP="002D139D">
      <w:pPr>
        <w:pStyle w:val="NoSpacing"/>
        <w:rPr>
          <w:rFonts w:ascii="Arial Black" w:hAnsi="Arial Black"/>
          <w:sz w:val="28"/>
          <w:szCs w:val="28"/>
        </w:rPr>
      </w:pPr>
    </w:p>
    <w:p w14:paraId="5C0F048C" w14:textId="014EC2D5" w:rsidR="002D139D" w:rsidRDefault="00A971EA" w:rsidP="002D139D">
      <w:pPr>
        <w:pStyle w:val="NoSpacing"/>
        <w:rPr>
          <w:rFonts w:ascii="Arial Black" w:hAnsi="Arial Black"/>
          <w:sz w:val="28"/>
          <w:szCs w:val="28"/>
        </w:rPr>
      </w:pPr>
      <w:r>
        <w:rPr>
          <w:rFonts w:ascii="Arial Black" w:hAnsi="Arial Black"/>
          <w:sz w:val="28"/>
          <w:szCs w:val="28"/>
        </w:rPr>
        <w:t xml:space="preserve">13-270 </w:t>
      </w:r>
    </w:p>
    <w:p w14:paraId="04183909" w14:textId="77777777" w:rsidR="00A971EA" w:rsidRDefault="00A971EA" w:rsidP="002D139D">
      <w:pPr>
        <w:pStyle w:val="NoSpacing"/>
        <w:rPr>
          <w:rFonts w:ascii="Arial Black" w:hAnsi="Arial Black"/>
          <w:sz w:val="28"/>
          <w:szCs w:val="28"/>
        </w:rPr>
      </w:pPr>
    </w:p>
    <w:p w14:paraId="472E6326" w14:textId="77777777" w:rsidR="002D139D" w:rsidRPr="003A5B53" w:rsidRDefault="002D139D" w:rsidP="002D139D">
      <w:pPr>
        <w:pStyle w:val="NoSpacing"/>
        <w:rPr>
          <w:rFonts w:ascii="Arial Black" w:hAnsi="Arial Black"/>
          <w:sz w:val="28"/>
          <w:szCs w:val="28"/>
        </w:rPr>
      </w:pPr>
      <w:r>
        <w:rPr>
          <w:rFonts w:ascii="Arial Black" w:hAnsi="Arial Black"/>
          <w:sz w:val="28"/>
          <w:szCs w:val="28"/>
        </w:rPr>
        <w:t>WA: COVID – CHRISTIAN FFs – ADMIN DUTY 4 MOS / FIRED</w:t>
      </w:r>
    </w:p>
    <w:p w14:paraId="599E7F0C" w14:textId="77777777" w:rsidR="002D139D" w:rsidRDefault="002D139D" w:rsidP="002D139D">
      <w:pPr>
        <w:pStyle w:val="NoSpacing"/>
      </w:pPr>
    </w:p>
    <w:p w14:paraId="307CCBD2" w14:textId="77777777" w:rsidR="002D139D" w:rsidRDefault="002D139D" w:rsidP="002D139D">
      <w:pPr>
        <w:pStyle w:val="NoSpacing"/>
      </w:pPr>
      <w:r>
        <w:t xml:space="preserve">On July 14, 2026, in </w:t>
      </w:r>
      <w:r w:rsidRPr="008A2380">
        <w:rPr>
          <w:u w:val="single"/>
        </w:rPr>
        <w:t>Erik Gustafson, et al. v. City of Kirkland, et al</w:t>
      </w:r>
      <w:r>
        <w:t xml:space="preserve">., U.S. District Court Judge Robert S. </w:t>
      </w:r>
      <w:proofErr w:type="spellStart"/>
      <w:r>
        <w:t>Lasnik</w:t>
      </w:r>
      <w:proofErr w:type="spellEnd"/>
      <w:r>
        <w:t xml:space="preserve">, United States District Court, Western District of Washinton (Seattle) granted City’s motion to dismiss.  The city implemented the Governor’s COVID vaccination requirement; City granted temporary administrative positions from August 20, </w:t>
      </w:r>
      <w:proofErr w:type="gramStart"/>
      <w:r>
        <w:t>2021</w:t>
      </w:r>
      <w:proofErr w:type="gramEnd"/>
      <w:r>
        <w:t xml:space="preserve"> until Dec. 31, 2021, and then terminated unvaccinated firefighters of all religious faiths.   </w:t>
      </w:r>
      <w:hyperlink r:id="rId2027" w:history="1">
        <w:r w:rsidRPr="00CE452D">
          <w:rPr>
            <w:rStyle w:val="Hyperlink"/>
          </w:rPr>
          <w:t>https://cases.justia.com/federal/district-courts/washington/wawdce/2:2025cv00367/345154/49/0.pdf?ts=1784314094</w:t>
        </w:r>
      </w:hyperlink>
      <w:r>
        <w:t xml:space="preserve"> </w:t>
      </w:r>
    </w:p>
    <w:p w14:paraId="3EA416AC" w14:textId="77777777" w:rsidR="002D139D" w:rsidRDefault="002D139D" w:rsidP="002D139D">
      <w:pPr>
        <w:pStyle w:val="NoSpacing"/>
      </w:pPr>
    </w:p>
    <w:p w14:paraId="3806A717" w14:textId="77777777" w:rsidR="002D139D" w:rsidRDefault="002D139D" w:rsidP="002D139D">
      <w:pPr>
        <w:pStyle w:val="NoSpacing"/>
      </w:pPr>
      <w:r>
        <w:t>THE COURT WROTE: “Plaintiffs ‘are devout, practicing Christians’ who allege they ‘were terminated from their employment by the City of Kirkland Fire Department, after exercising their rights to religious freedom and declining to receive the COVID-19 vaccine.’ … After submitting requests for religious exemptions to a vaccination requirement that was in effect for firefighters beginning Aug. 20, 2021, plaintiffs allege that their “requests for religious exemptions were approved by their employers, the Defendants, based on Plaintiffs’ sincerely held religious beliefs.’ … With their religious exemptions approved, plaintiffs were offered accommodations through Dec. 31, 2021…. After that, plaintiffs’ employment with the City of Kirkland Fire Department was terminated.</w:t>
      </w:r>
    </w:p>
    <w:p w14:paraId="7244F8B1" w14:textId="77777777" w:rsidR="002D139D" w:rsidRDefault="002D139D" w:rsidP="002D139D">
      <w:pPr>
        <w:pStyle w:val="NoSpacing"/>
      </w:pPr>
    </w:p>
    <w:p w14:paraId="5B058840" w14:textId="77777777" w:rsidR="002D139D" w:rsidRDefault="002D139D" w:rsidP="002D139D">
      <w:pPr>
        <w:pStyle w:val="NoSpacing"/>
      </w:pPr>
      <w:r>
        <w:t>***</w:t>
      </w:r>
    </w:p>
    <w:p w14:paraId="7E48D317" w14:textId="77777777" w:rsidR="002D139D" w:rsidRDefault="002D139D" w:rsidP="002D139D">
      <w:pPr>
        <w:pStyle w:val="NoSpacing"/>
      </w:pPr>
    </w:p>
    <w:p w14:paraId="4AD72360" w14:textId="77777777" w:rsidR="002D139D" w:rsidRDefault="002D139D" w:rsidP="002D139D">
      <w:pPr>
        <w:pStyle w:val="NoSpacing"/>
      </w:pPr>
      <w:r w:rsidRPr="000F69B7">
        <w:lastRenderedPageBreak/>
        <w:t xml:space="preserve">Plaintiffs allege that </w:t>
      </w:r>
      <w:r>
        <w:t>‘</w:t>
      </w:r>
      <w:r w:rsidRPr="000F69B7">
        <w:t>day shift</w:t>
      </w:r>
      <w:r>
        <w:t>’</w:t>
      </w:r>
      <w:r w:rsidRPr="000F69B7">
        <w:t xml:space="preserve"> accommodations, in which accommodated firefighters</w:t>
      </w:r>
      <w:r>
        <w:t xml:space="preserve"> </w:t>
      </w:r>
      <w:r w:rsidRPr="000F69B7">
        <w:t xml:space="preserve">were allowed to perform </w:t>
      </w:r>
      <w:r>
        <w:t>‘</w:t>
      </w:r>
      <w:r w:rsidRPr="000F69B7">
        <w:t>administrative functions</w:t>
      </w:r>
      <w:r>
        <w:t>’</w:t>
      </w:r>
      <w:r w:rsidRPr="000F69B7">
        <w:t xml:space="preserve"> that didn’t require contact with the public,</w:t>
      </w:r>
      <w:r>
        <w:t xml:space="preserve"> </w:t>
      </w:r>
      <w:r w:rsidRPr="000F69B7">
        <w:t xml:space="preserve">were given </w:t>
      </w:r>
      <w:r>
        <w:t>‘</w:t>
      </w:r>
      <w:r w:rsidRPr="000F69B7">
        <w:t>only</w:t>
      </w:r>
      <w:r>
        <w:t>’</w:t>
      </w:r>
      <w:r w:rsidRPr="000F69B7">
        <w:t xml:space="preserve"> to those firefighters who requested a vaccination exemption on religious</w:t>
      </w:r>
      <w:r>
        <w:t xml:space="preserve"> </w:t>
      </w:r>
      <w:r w:rsidRPr="000F69B7">
        <w:t>grounds</w:t>
      </w:r>
      <w:r>
        <w:t xml:space="preserve">…. </w:t>
      </w:r>
      <w:r w:rsidRPr="000F69B7">
        <w:t>But exhibits attached to plaintiffs’ complaint only support a claim</w:t>
      </w:r>
      <w:r>
        <w:t xml:space="preserve"> </w:t>
      </w:r>
      <w:r w:rsidRPr="000F69B7">
        <w:t xml:space="preserve">that day shift </w:t>
      </w:r>
      <w:proofErr w:type="gramStart"/>
      <w:r w:rsidRPr="000F69B7">
        <w:t>accommodations were</w:t>
      </w:r>
      <w:proofErr w:type="gramEnd"/>
      <w:r w:rsidRPr="000F69B7">
        <w:t xml:space="preserve"> given to a broader category of </w:t>
      </w:r>
      <w:proofErr w:type="gramStart"/>
      <w:r w:rsidRPr="000F69B7">
        <w:t xml:space="preserve">individuals: </w:t>
      </w:r>
      <w:r>
        <w:t>‘</w:t>
      </w:r>
      <w:proofErr w:type="gramEnd"/>
      <w:r w:rsidRPr="000F69B7">
        <w:t>unvaccinated</w:t>
      </w:r>
      <w:r>
        <w:t xml:space="preserve"> </w:t>
      </w:r>
      <w:r w:rsidRPr="000F69B7">
        <w:t>firefighters.</w:t>
      </w:r>
      <w:r>
        <w:t>’ …</w:t>
      </w:r>
      <w:r w:rsidRPr="000F69B7">
        <w:t>Even taking as true plaintiffs’ claim that day shift accommodations were given only to those requesting religious exemptions</w:t>
      </w:r>
      <w:r>
        <w:t xml:space="preserve"> … </w:t>
      </w:r>
      <w:r w:rsidRPr="000F69B7">
        <w:t xml:space="preserve">those claims do not support a specific inference that animus against </w:t>
      </w:r>
      <w:r w:rsidRPr="000F69B7">
        <w:rPr>
          <w:i/>
          <w:iCs/>
        </w:rPr>
        <w:t>Christians</w:t>
      </w:r>
      <w:r w:rsidRPr="000F69B7">
        <w:t xml:space="preserve"> motivated the</w:t>
      </w:r>
      <w:r>
        <w:t xml:space="preserve"> </w:t>
      </w:r>
      <w:r w:rsidRPr="000F69B7">
        <w:t>implementation of defendants’ vaccination policy.</w:t>
      </w:r>
      <w:r>
        <w:t>”</w:t>
      </w:r>
      <w:r w:rsidRPr="00242674">
        <w:t xml:space="preserve"> </w:t>
      </w:r>
    </w:p>
    <w:p w14:paraId="3A74E3D4" w14:textId="77777777" w:rsidR="002D139D" w:rsidRDefault="002D139D" w:rsidP="002D139D">
      <w:pPr>
        <w:pStyle w:val="NoSpacing"/>
      </w:pPr>
    </w:p>
    <w:p w14:paraId="31552092" w14:textId="77777777" w:rsidR="002D139D" w:rsidRPr="00242674" w:rsidRDefault="002D139D" w:rsidP="002D139D">
      <w:pPr>
        <w:pStyle w:val="NoSpacing"/>
        <w:rPr>
          <w:b/>
          <w:bCs/>
        </w:rPr>
      </w:pPr>
      <w:r>
        <w:rPr>
          <w:b/>
        </w:rPr>
        <w:t>Legal lesson learned: No animus shown to Christian firefighters; no obligation to continue to offer administrative positions with no patient contact.</w:t>
      </w:r>
    </w:p>
    <w:p w14:paraId="29CF51BD" w14:textId="77777777" w:rsidR="002D139D" w:rsidRPr="000F69B7" w:rsidRDefault="002D139D" w:rsidP="002D139D">
      <w:pPr>
        <w:pStyle w:val="NoSpacing"/>
      </w:pPr>
    </w:p>
    <w:p w14:paraId="117F8B31" w14:textId="77777777" w:rsidR="002D139D" w:rsidRPr="00BB2BFD" w:rsidRDefault="002D139D" w:rsidP="002D139D">
      <w:pPr>
        <w:pStyle w:val="NoSpacing"/>
        <w:rPr>
          <w:b/>
        </w:rPr>
      </w:pPr>
    </w:p>
    <w:p w14:paraId="6C27645F" w14:textId="490E9E1D" w:rsidR="002D139D" w:rsidRPr="00A971EA" w:rsidRDefault="00A971EA" w:rsidP="002D139D">
      <w:pPr>
        <w:pStyle w:val="NoSpacing"/>
        <w:rPr>
          <w:rFonts w:ascii="Arial Black" w:hAnsi="Arial Black"/>
          <w:sz w:val="24"/>
          <w:szCs w:val="24"/>
        </w:rPr>
      </w:pPr>
      <w:r w:rsidRPr="00A971EA">
        <w:rPr>
          <w:rFonts w:ascii="Arial Black" w:hAnsi="Arial Black"/>
          <w:sz w:val="24"/>
          <w:szCs w:val="24"/>
        </w:rPr>
        <w:t>13-269</w:t>
      </w:r>
    </w:p>
    <w:p w14:paraId="05F7D749" w14:textId="77777777" w:rsidR="00A971EA" w:rsidRDefault="00A971EA" w:rsidP="002D139D">
      <w:pPr>
        <w:pStyle w:val="NoSpacing"/>
      </w:pPr>
    </w:p>
    <w:p w14:paraId="3E4270B8" w14:textId="77777777" w:rsidR="002D139D" w:rsidRPr="00254CC1" w:rsidRDefault="002D139D" w:rsidP="002D139D">
      <w:pPr>
        <w:pStyle w:val="NoSpacing"/>
        <w:rPr>
          <w:rFonts w:ascii="Arial Black" w:hAnsi="Arial Black"/>
          <w:sz w:val="28"/>
          <w:szCs w:val="28"/>
        </w:rPr>
      </w:pPr>
      <w:r>
        <w:rPr>
          <w:rFonts w:ascii="Arial Black" w:hAnsi="Arial Black"/>
          <w:sz w:val="28"/>
          <w:szCs w:val="28"/>
        </w:rPr>
        <w:t xml:space="preserve">WA: COVID – 15 FF – DUE PROCESS – NOTICE / NO HEARING </w:t>
      </w:r>
    </w:p>
    <w:p w14:paraId="15EB2561" w14:textId="77777777" w:rsidR="002D139D" w:rsidRDefault="002D139D" w:rsidP="002D139D">
      <w:pPr>
        <w:pStyle w:val="NoSpacing"/>
      </w:pPr>
    </w:p>
    <w:p w14:paraId="7905A83E" w14:textId="77777777" w:rsidR="002D139D" w:rsidRDefault="002D139D" w:rsidP="002D139D">
      <w:pPr>
        <w:pStyle w:val="NoSpacing"/>
      </w:pPr>
      <w:r>
        <w:t xml:space="preserve">On July 10, 2026, in </w:t>
      </w:r>
      <w:r w:rsidRPr="008D59DD">
        <w:rPr>
          <w:u w:val="single"/>
        </w:rPr>
        <w:t>Monroe Hill et al. v. Washington Department of Natural Resources</w:t>
      </w:r>
      <w:r>
        <w:t xml:space="preserve">, the United States Court of Appeals for Ninth Circuit (sitting in Seattle) held (3 to 0; unpublished decision) that the trial court judge properly dismissed the lawsuit by 15 firefighters, who refused to be vaccinated on account of their religious beliefs and were subsequently terminated. They were provided due process through the vaccination notice and response process and were not entitled to a </w:t>
      </w:r>
      <w:r w:rsidRPr="00BA6BCD">
        <w:rPr>
          <w:i/>
          <w:iCs/>
        </w:rPr>
        <w:t xml:space="preserve">Loudermill </w:t>
      </w:r>
      <w:r>
        <w:t xml:space="preserve">pre-termination hearing. </w:t>
      </w:r>
      <w:hyperlink r:id="rId2028" w:history="1">
        <w:r w:rsidRPr="00237C6E">
          <w:rPr>
            <w:rStyle w:val="Hyperlink"/>
          </w:rPr>
          <w:t>https://cdn.ca9.uscourts.gov/datastore/memoranda/2026/07/10/25-3863.pdf</w:t>
        </w:r>
      </w:hyperlink>
    </w:p>
    <w:p w14:paraId="69144097" w14:textId="77777777" w:rsidR="002D139D" w:rsidRDefault="002D139D" w:rsidP="002D139D">
      <w:pPr>
        <w:pStyle w:val="NoSpacing"/>
      </w:pPr>
    </w:p>
    <w:p w14:paraId="48FEDA9D" w14:textId="77777777" w:rsidR="002D139D" w:rsidRDefault="002D139D" w:rsidP="002D139D">
      <w:pPr>
        <w:pStyle w:val="NoSpacing"/>
      </w:pPr>
      <w:r>
        <w:t xml:space="preserve">THE COURT WROTE: </w:t>
      </w:r>
    </w:p>
    <w:p w14:paraId="7415993D" w14:textId="77777777" w:rsidR="002D139D" w:rsidRDefault="002D139D" w:rsidP="002D139D">
      <w:pPr>
        <w:pStyle w:val="NoSpacing"/>
      </w:pPr>
      <w:r>
        <w:t>“Defendants-Appellees Washington Department of Natural Resources (‘WDNR’) and Commissioner of Public Lands Hilary Franz (‘Franz’) (together, ‘Defendants’) enacted a department-wide policy requiring employees to be vaccinated against COVID-19. Plaintiffs-Appellants (‘Plaintiffs’) WDNR firefighters declined to be vaccinated on account of their religious beliefs and were subsequently terminated. Plaintiffs appeal the district court’s order dismissing with prejudice three claims brought under 42 U.S.C. § 1983 alleging violations of the</w:t>
      </w:r>
    </w:p>
    <w:p w14:paraId="7BA4C20D" w14:textId="77777777" w:rsidR="002D139D" w:rsidRDefault="002D139D" w:rsidP="002D139D">
      <w:pPr>
        <w:pStyle w:val="NoSpacing"/>
      </w:pPr>
      <w:r>
        <w:t>Free Exercise Clause, Equal Protection Clause, and Due Process Clause…. The vaccine mandate was rescinded on or about May 11, 2023.</w:t>
      </w:r>
    </w:p>
    <w:p w14:paraId="7AB56787" w14:textId="77777777" w:rsidR="002D139D" w:rsidRDefault="002D139D" w:rsidP="002D139D">
      <w:pPr>
        <w:pStyle w:val="NoSpacing"/>
      </w:pPr>
    </w:p>
    <w:p w14:paraId="1C519B29" w14:textId="77777777" w:rsidR="002D139D" w:rsidRDefault="002D139D" w:rsidP="002D139D">
      <w:pPr>
        <w:pStyle w:val="NoSpacing"/>
      </w:pPr>
      <w:r>
        <w:t>***</w:t>
      </w:r>
    </w:p>
    <w:p w14:paraId="01BA23C7" w14:textId="77777777" w:rsidR="002D139D" w:rsidRDefault="002D139D" w:rsidP="002D139D">
      <w:pPr>
        <w:pStyle w:val="NoSpacing"/>
      </w:pPr>
    </w:p>
    <w:p w14:paraId="5CFB3F64" w14:textId="77777777" w:rsidR="002D139D" w:rsidRDefault="002D139D" w:rsidP="002D139D">
      <w:pPr>
        <w:pStyle w:val="NoSpacing"/>
      </w:pPr>
      <w:r w:rsidRPr="004D5F03">
        <w:t>Plaintiffs point to Cleveland Board of Education v. Loudermill, 470 U.S. 532</w:t>
      </w:r>
      <w:r>
        <w:t xml:space="preserve"> </w:t>
      </w:r>
      <w:r w:rsidRPr="004D5F03">
        <w:t>(1985) to support a clearly established right to a pre-termination hearing. In</w:t>
      </w:r>
      <w:r>
        <w:t xml:space="preserve"> </w:t>
      </w:r>
      <w:r w:rsidRPr="004D5F03">
        <w:t xml:space="preserve">Loudermill, the Court determined that </w:t>
      </w:r>
      <w:r>
        <w:t>‘</w:t>
      </w:r>
      <w:r w:rsidRPr="004D5F03">
        <w:t>[t]he essential requirements of due process</w:t>
      </w:r>
      <w:r>
        <w:t xml:space="preserve"> </w:t>
      </w:r>
      <w:r w:rsidRPr="004D5F03">
        <w:t>. . . are notice and an opportunity to respond.” 470 U.S. at 546. WDNR’s</w:t>
      </w:r>
      <w:r>
        <w:t xml:space="preserve"> </w:t>
      </w:r>
      <w:r w:rsidRPr="004D5F03">
        <w:t>accommodation and exemption process</w:t>
      </w:r>
      <w:proofErr w:type="gramStart"/>
      <w:r w:rsidRPr="004D5F03">
        <w:t>, in itself, provided</w:t>
      </w:r>
      <w:proofErr w:type="gramEnd"/>
      <w:r w:rsidRPr="004D5F03">
        <w:t xml:space="preserve"> as much notice and</w:t>
      </w:r>
      <w:r>
        <w:t xml:space="preserve"> </w:t>
      </w:r>
      <w:r w:rsidRPr="004D5F03">
        <w:t>process as the law required. WDNR notified employees that they would be terminated if they did not get vaccinated and the exemption and accommodation</w:t>
      </w:r>
      <w:r>
        <w:t xml:space="preserve"> </w:t>
      </w:r>
      <w:r w:rsidRPr="004D5F03">
        <w:t>process provided an opportunity for employees to present their reasons for</w:t>
      </w:r>
      <w:r>
        <w:t xml:space="preserve"> </w:t>
      </w:r>
      <w:r w:rsidRPr="004D5F03">
        <w:t>noncompliance. We affirm the district court’s dismissal of their Due Process claim</w:t>
      </w:r>
      <w:r>
        <w:t xml:space="preserve"> </w:t>
      </w:r>
      <w:r w:rsidRPr="004D5F03">
        <w:t>with prejudice.</w:t>
      </w:r>
      <w:r>
        <w:t>”</w:t>
      </w:r>
    </w:p>
    <w:p w14:paraId="2DBBBEB7" w14:textId="77777777" w:rsidR="002D139D" w:rsidRDefault="002D139D" w:rsidP="002D139D">
      <w:pPr>
        <w:pStyle w:val="NoSpacing"/>
      </w:pPr>
    </w:p>
    <w:p w14:paraId="169045BB" w14:textId="77777777" w:rsidR="002D139D" w:rsidRDefault="002D139D" w:rsidP="002D139D">
      <w:pPr>
        <w:pStyle w:val="NoSpacing"/>
        <w:rPr>
          <w:b/>
          <w:bCs/>
        </w:rPr>
      </w:pPr>
      <w:r w:rsidRPr="000F7471">
        <w:rPr>
          <w:b/>
        </w:rPr>
        <w:t xml:space="preserve">Legal lesson learned: </w:t>
      </w:r>
      <w:r>
        <w:rPr>
          <w:b/>
        </w:rPr>
        <w:t xml:space="preserve">The notice and opportunity to respond was adequate due process. </w:t>
      </w:r>
    </w:p>
    <w:p w14:paraId="37CFC2D8" w14:textId="77777777" w:rsidR="002D139D" w:rsidRDefault="002D139D" w:rsidP="002D139D">
      <w:pPr>
        <w:pStyle w:val="NoSpacing"/>
        <w:rPr>
          <w:b/>
          <w:bCs/>
        </w:rPr>
      </w:pPr>
    </w:p>
    <w:p w14:paraId="38729CE1" w14:textId="77777777" w:rsidR="002D139D" w:rsidRDefault="002D139D" w:rsidP="002D139D">
      <w:pPr>
        <w:pStyle w:val="NoSpacing"/>
        <w:ind w:left="720"/>
      </w:pPr>
      <w:r>
        <w:t xml:space="preserve">Note:  The U.S. Supreme Court </w:t>
      </w:r>
      <w:r w:rsidRPr="00C70286">
        <w:t xml:space="preserve">in </w:t>
      </w:r>
      <w:r w:rsidRPr="00186123">
        <w:rPr>
          <w:u w:val="single"/>
        </w:rPr>
        <w:t>Cleveland Bd. of Educ. v. Loudermill</w:t>
      </w:r>
      <w:r w:rsidRPr="00C70286">
        <w:t xml:space="preserve">, </w:t>
      </w:r>
      <w:hyperlink r:id="rId2029" w:history="1">
        <w:r w:rsidRPr="00C70286">
          <w:rPr>
            <w:rStyle w:val="Hyperlink"/>
          </w:rPr>
          <w:t>470 U.S. 532</w:t>
        </w:r>
      </w:hyperlink>
      <w:r w:rsidRPr="00C70286">
        <w:t xml:space="preserve"> (1985)</w:t>
      </w:r>
      <w:r>
        <w:t xml:space="preserve"> held (6 to 3) that the Board was required to provide a pre-termination hearing before firing a security guard about an undisclosed felony. </w:t>
      </w:r>
      <w:hyperlink r:id="rId2030" w:anchor="top" w:history="1">
        <w:r w:rsidRPr="00743E29">
          <w:rPr>
            <w:rStyle w:val="Hyperlink"/>
          </w:rPr>
          <w:t>https://supreme.justia.com/cases/federal/us/470/532/#top</w:t>
        </w:r>
      </w:hyperlink>
    </w:p>
    <w:p w14:paraId="1FF9375C" w14:textId="77777777" w:rsidR="002D139D" w:rsidRDefault="002D139D" w:rsidP="002D139D">
      <w:pPr>
        <w:pStyle w:val="NoSpacing"/>
      </w:pPr>
    </w:p>
    <w:p w14:paraId="36CD932C" w14:textId="77777777" w:rsidR="002D139D" w:rsidRDefault="002D139D" w:rsidP="002D139D">
      <w:pPr>
        <w:pStyle w:val="NoSpacing"/>
        <w:rPr>
          <w:b/>
          <w:sz w:val="20"/>
          <w:szCs w:val="20"/>
        </w:rPr>
      </w:pPr>
    </w:p>
    <w:p w14:paraId="38F04CE6" w14:textId="0C1C36E7" w:rsidR="002D139D" w:rsidRPr="00A971EA" w:rsidRDefault="00A971EA" w:rsidP="002D139D">
      <w:pPr>
        <w:pStyle w:val="NoSpacing"/>
        <w:rPr>
          <w:rFonts w:ascii="Arial Black" w:hAnsi="Arial Black"/>
          <w:bCs/>
          <w:sz w:val="24"/>
          <w:szCs w:val="24"/>
        </w:rPr>
      </w:pPr>
      <w:r w:rsidRPr="00A971EA">
        <w:rPr>
          <w:rFonts w:ascii="Arial Black" w:hAnsi="Arial Black"/>
          <w:bCs/>
          <w:sz w:val="24"/>
          <w:szCs w:val="24"/>
        </w:rPr>
        <w:t>13-268</w:t>
      </w:r>
    </w:p>
    <w:p w14:paraId="21486803" w14:textId="77777777" w:rsidR="00A971EA" w:rsidRPr="00E5565B" w:rsidRDefault="00A971EA" w:rsidP="002D139D">
      <w:pPr>
        <w:pStyle w:val="NoSpacing"/>
        <w:rPr>
          <w:bCs/>
        </w:rPr>
      </w:pPr>
    </w:p>
    <w:p w14:paraId="75C2F5C8" w14:textId="77777777" w:rsidR="002D139D" w:rsidRDefault="002D139D" w:rsidP="002D139D">
      <w:pPr>
        <w:pStyle w:val="NoSpacing"/>
        <w:rPr>
          <w:rFonts w:ascii="Arial Black" w:hAnsi="Arial Black"/>
          <w:b/>
          <w:sz w:val="28"/>
          <w:szCs w:val="28"/>
        </w:rPr>
      </w:pPr>
      <w:r>
        <w:rPr>
          <w:rFonts w:ascii="Arial Black" w:hAnsi="Arial Black"/>
          <w:b/>
          <w:sz w:val="28"/>
          <w:szCs w:val="28"/>
        </w:rPr>
        <w:t>NY: PRIVATE AMBUL CO – DENIED LICENSE – NO “NEED”</w:t>
      </w:r>
    </w:p>
    <w:p w14:paraId="535BFEE1" w14:textId="77777777" w:rsidR="002D139D" w:rsidRPr="00AD2D8A" w:rsidRDefault="002D139D" w:rsidP="002D139D">
      <w:pPr>
        <w:pStyle w:val="NoSpacing"/>
        <w:rPr>
          <w:rFonts w:ascii="Arial Black" w:hAnsi="Arial Black"/>
          <w:b/>
          <w:sz w:val="28"/>
          <w:szCs w:val="28"/>
        </w:rPr>
      </w:pPr>
    </w:p>
    <w:p w14:paraId="0B4DD615" w14:textId="77777777" w:rsidR="002D139D" w:rsidRPr="00196850" w:rsidRDefault="002D139D" w:rsidP="002D139D">
      <w:pPr>
        <w:pStyle w:val="NoSpacing"/>
        <w:rPr>
          <w:bCs/>
        </w:rPr>
      </w:pPr>
      <w:r>
        <w:t xml:space="preserve">On July 10, 2026, in </w:t>
      </w:r>
      <w:r w:rsidRPr="00196850">
        <w:rPr>
          <w:u w:val="single"/>
        </w:rPr>
        <w:t>Blue Care, Inc. v. The New York State Department of Health</w:t>
      </w:r>
      <w:r>
        <w:t xml:space="preserve">, Judge </w:t>
      </w:r>
      <w:r w:rsidRPr="00066677">
        <w:t>John P. Collins, Jr.</w:t>
      </w:r>
      <w:r>
        <w:t xml:space="preserve">, the </w:t>
      </w:r>
      <w:r w:rsidRPr="00196850">
        <w:t>Supreme Court, Rockland County</w:t>
      </w:r>
      <w:r>
        <w:t xml:space="preserve"> held (unpublished opinion) that the State’s Emergency Medical Services Council properly denied an </w:t>
      </w:r>
      <w:r w:rsidRPr="00E16227">
        <w:t>ambulance service certificate for Rockland County, New York</w:t>
      </w:r>
      <w:r>
        <w:t xml:space="preserve">; there was no “need” for another ambulance service per 2024 hearing before the </w:t>
      </w:r>
      <w:r w:rsidRPr="00E16227">
        <w:t>Hudson Valley Regional Emergency Medical Services Council</w:t>
      </w:r>
      <w:r>
        <w:t xml:space="preserve">. The Ambulance company presented testimony at the hearing about hospitals and nursing facilities needing more services, but failed to present any statistical evidence. </w:t>
      </w:r>
      <w:hyperlink r:id="rId2031" w:history="1">
        <w:r w:rsidRPr="000F5D15">
          <w:rPr>
            <w:rStyle w:val="Hyperlink"/>
          </w:rPr>
          <w:t>https://public.fastcase.com/Jhe1Qn%2BmJndQYQU6z%2FeNm1ngVbZVwfb9i9nq%2ByxsJt7eYa6Yri%2FXr9veF2mIoPRbBYalWXjl02DPpQ9AYC5%2BzkBbUV9CJV65Gz31ZPaNAhA%3D?utm_medium=email&amp;_hsenc=p2ANqtz--v_X0_ty2KgZc4cuUGDg0UHRgKtD60M90IuqE8DpMJ6uO5aXr8LyUQmZOmsR5mb8hE3f734Ge27BP-t9ynHj9iUX7jKQ&amp;_hsmi=226712652&amp;utm_content=226712652&amp;utm_source=hs_email</w:t>
        </w:r>
      </w:hyperlink>
      <w:r>
        <w:t xml:space="preserve"> </w:t>
      </w:r>
    </w:p>
    <w:p w14:paraId="441A9D06" w14:textId="77777777" w:rsidR="002D139D" w:rsidRPr="00196850" w:rsidRDefault="002D139D" w:rsidP="002D139D">
      <w:pPr>
        <w:pStyle w:val="NoSpacing"/>
        <w:rPr>
          <w:bCs/>
        </w:rPr>
      </w:pPr>
    </w:p>
    <w:p w14:paraId="4C06CE43" w14:textId="77777777" w:rsidR="002D139D" w:rsidRDefault="002D139D" w:rsidP="002D139D">
      <w:pPr>
        <w:pStyle w:val="NoSpacing"/>
        <w:rPr>
          <w:bCs/>
        </w:rPr>
      </w:pPr>
    </w:p>
    <w:p w14:paraId="3C23CD70" w14:textId="77777777" w:rsidR="002D139D" w:rsidRDefault="002D139D" w:rsidP="002D139D">
      <w:pPr>
        <w:pStyle w:val="NoSpacing"/>
        <w:rPr>
          <w:bCs/>
        </w:rPr>
      </w:pPr>
      <w:r>
        <w:t>THE COURT WROTE:</w:t>
      </w:r>
    </w:p>
    <w:p w14:paraId="448D0725" w14:textId="77777777" w:rsidR="002D139D" w:rsidRDefault="002D139D" w:rsidP="002D139D">
      <w:pPr>
        <w:pStyle w:val="NoSpacing"/>
        <w:rPr>
          <w:bCs/>
        </w:rPr>
      </w:pPr>
    </w:p>
    <w:p w14:paraId="7157FEE4" w14:textId="77777777" w:rsidR="002D139D" w:rsidRDefault="002D139D" w:rsidP="002D139D">
      <w:pPr>
        <w:pStyle w:val="NoSpacing"/>
      </w:pPr>
      <w:r>
        <w:t>“</w:t>
      </w:r>
      <w:r w:rsidRPr="00865DE0">
        <w:t>The Petitioner was informed on January 27, 2026, that the State Emergency Medical Services Council voted to uphold the Hudson Valley Regional Emergency Medical Services Council's decision to deny Petitioner's application for new service</w:t>
      </w:r>
      <w:r>
        <w:t xml:space="preserve">…. </w:t>
      </w:r>
      <w:proofErr w:type="gramStart"/>
      <w:r w:rsidRPr="00865DE0">
        <w:t>Petitioner</w:t>
      </w:r>
      <w:proofErr w:type="gramEnd"/>
      <w:r w:rsidRPr="00865DE0">
        <w:t xml:space="preserve"> commenced the instant Article 78 proceeding within sixty (60) days of </w:t>
      </w:r>
      <w:proofErr w:type="gramStart"/>
      <w:r w:rsidRPr="00865DE0">
        <w:t>the January</w:t>
      </w:r>
      <w:proofErr w:type="gramEnd"/>
      <w:r w:rsidRPr="00865DE0">
        <w:t xml:space="preserve"> 27, 2026, determination, as required by </w:t>
      </w:r>
      <w:r w:rsidRPr="00865DE0">
        <w:rPr>
          <w:i/>
          <w:iCs/>
        </w:rPr>
        <w:t>Public Health Law</w:t>
      </w:r>
      <w:r w:rsidRPr="00865DE0">
        <w:t xml:space="preserve"> § 3002.</w:t>
      </w:r>
    </w:p>
    <w:p w14:paraId="57DA529C" w14:textId="77777777" w:rsidR="002D139D" w:rsidRDefault="002D139D" w:rsidP="002D139D">
      <w:pPr>
        <w:pStyle w:val="NoSpacing"/>
      </w:pPr>
    </w:p>
    <w:p w14:paraId="6DA00628" w14:textId="77777777" w:rsidR="002D139D" w:rsidRDefault="002D139D" w:rsidP="002D139D">
      <w:pPr>
        <w:pStyle w:val="NoSpacing"/>
      </w:pPr>
      <w:r>
        <w:t>***</w:t>
      </w:r>
    </w:p>
    <w:p w14:paraId="2F19246B" w14:textId="77777777" w:rsidR="002D139D" w:rsidRDefault="002D139D" w:rsidP="002D139D">
      <w:pPr>
        <w:pStyle w:val="NoSpacing"/>
      </w:pPr>
      <w:r w:rsidRPr="00956D99">
        <w:t xml:space="preserve">Petitioner contends the question before the Court is whether it established a need for ambulance services in Rockland County and whether he Respondent's determination that the Petition failed to prove </w:t>
      </w:r>
      <w:r>
        <w:t>‘</w:t>
      </w:r>
      <w:r w:rsidRPr="00956D99">
        <w:t>need</w:t>
      </w:r>
      <w:r>
        <w:t xml:space="preserve">’ </w:t>
      </w:r>
      <w:r w:rsidRPr="00956D99">
        <w:t xml:space="preserve">of services through </w:t>
      </w:r>
      <w:r>
        <w:t>‘</w:t>
      </w:r>
      <w:r w:rsidRPr="00956D99">
        <w:t>quantifiable date</w:t>
      </w:r>
      <w:r>
        <w:t>’</w:t>
      </w:r>
      <w:r w:rsidRPr="00956D99">
        <w:t xml:space="preserve"> was arbitrary and capricious. Specifically, the Petitioner challenges the requirement that a Petitioner can only establish </w:t>
      </w:r>
      <w:r>
        <w:t>‘</w:t>
      </w:r>
      <w:r w:rsidRPr="00956D99">
        <w:t>need,</w:t>
      </w:r>
      <w:r>
        <w:t>’</w:t>
      </w:r>
      <w:r w:rsidRPr="00956D99">
        <w:t xml:space="preserve"> as it is defined in Department of Health Policy 06-06, through statistics instead of through testimony and written support from affected hospitals and nursing homes.</w:t>
      </w:r>
      <w:r w:rsidRPr="00160BD1">
        <w:t xml:space="preserve"> </w:t>
      </w:r>
      <w:proofErr w:type="gramStart"/>
      <w:r w:rsidRPr="00160BD1">
        <w:t>Petitioner contends</w:t>
      </w:r>
      <w:proofErr w:type="gramEnd"/>
      <w:r w:rsidRPr="00160BD1">
        <w:t xml:space="preserve"> that there is no statute, regulation or policy that requires use of statistics as a means of establishing </w:t>
      </w:r>
      <w:r>
        <w:t>‘</w:t>
      </w:r>
      <w:r w:rsidRPr="00160BD1">
        <w:t>need.</w:t>
      </w:r>
      <w:r>
        <w:t>’</w:t>
      </w:r>
      <w:r w:rsidRPr="00160BD1">
        <w:t xml:space="preserve"> Petitioner notes that neither </w:t>
      </w:r>
      <w:r w:rsidRPr="00160BD1">
        <w:rPr>
          <w:i/>
          <w:iCs/>
        </w:rPr>
        <w:t>Public Health Law</w:t>
      </w:r>
      <w:r w:rsidRPr="00160BD1">
        <w:t xml:space="preserve"> § 30, 29 NYCRR Part 800 nor Department of Health Policy 06-6 require an applicant to submit statistics from hospitals and nursing homes of the need for additional ambulance services. According to Petitioner, these types of statistics are not required -- as the records that would support these statistics are not maintained by the hospitals and nursing homes. Instead, Petitioner contends that this </w:t>
      </w:r>
      <w:r>
        <w:t>‘</w:t>
      </w:r>
      <w:r w:rsidRPr="00160BD1">
        <w:t>need</w:t>
      </w:r>
      <w:r>
        <w:t>’</w:t>
      </w:r>
      <w:r w:rsidRPr="00160BD1">
        <w:t xml:space="preserve"> is determined through anecdotal testimony from representatives of the hospitals and nursing homes, which is sufficient. Also, Petitioner asserts that there is no requirement that statistics are the only method of establishing </w:t>
      </w:r>
      <w:r>
        <w:t>‘</w:t>
      </w:r>
      <w:r w:rsidRPr="00160BD1">
        <w:t>need.</w:t>
      </w:r>
      <w:r>
        <w:t xml:space="preserve">’… </w:t>
      </w:r>
      <w:r w:rsidRPr="00EE4454">
        <w:t>Accordingly, it is hereby ORDERED that the Declaratory Judgment action pursuant to Civil Practice Law and Rules § 3001 is dismissed consistent with the foregoing Decisio</w:t>
      </w:r>
      <w:r>
        <w:t xml:space="preserve">n; </w:t>
      </w:r>
      <w:r w:rsidRPr="0049391F">
        <w:t xml:space="preserve">it is further ORDERED that the Article 78 action is transferred to the Appellate Division, Second Department pursuant to </w:t>
      </w:r>
      <w:r w:rsidRPr="0049391F">
        <w:rPr>
          <w:i/>
          <w:iCs/>
        </w:rPr>
        <w:t>Civil Practice Law and Rules</w:t>
      </w:r>
      <w:r w:rsidRPr="0049391F">
        <w:t xml:space="preserve"> § 7804(g).</w:t>
      </w:r>
      <w:r>
        <w:t>”</w:t>
      </w:r>
    </w:p>
    <w:p w14:paraId="7296E852" w14:textId="77777777" w:rsidR="002D139D" w:rsidRDefault="002D139D" w:rsidP="002D139D">
      <w:pPr>
        <w:pStyle w:val="NoSpacing"/>
      </w:pPr>
    </w:p>
    <w:p w14:paraId="225B8E9F" w14:textId="77777777" w:rsidR="002D139D" w:rsidRPr="0049391F" w:rsidRDefault="002D139D" w:rsidP="002D139D">
      <w:pPr>
        <w:pStyle w:val="NoSpacing"/>
        <w:rPr>
          <w:b/>
          <w:bCs/>
        </w:rPr>
      </w:pPr>
      <w:r>
        <w:rPr>
          <w:b/>
        </w:rPr>
        <w:t xml:space="preserve">Legal lesson learned: Statistical evidence of a need for another ambulance company can be important in a hearing; you would expect the company </w:t>
      </w:r>
      <w:proofErr w:type="gramStart"/>
      <w:r>
        <w:rPr>
          <w:b/>
        </w:rPr>
        <w:t>had</w:t>
      </w:r>
      <w:proofErr w:type="gramEnd"/>
      <w:r>
        <w:rPr>
          <w:b/>
        </w:rPr>
        <w:t xml:space="preserve"> conducted some survey of need in its business plan prior to submitting its petition.</w:t>
      </w:r>
    </w:p>
    <w:p w14:paraId="2D7B34EB" w14:textId="77777777" w:rsidR="002D139D" w:rsidRPr="00EE4454" w:rsidRDefault="002D139D" w:rsidP="002D139D">
      <w:pPr>
        <w:pStyle w:val="NoSpacing"/>
      </w:pPr>
    </w:p>
    <w:p w14:paraId="6AA9D5F6" w14:textId="77777777" w:rsidR="002D139D" w:rsidRDefault="002D139D" w:rsidP="002D139D">
      <w:pPr>
        <w:pStyle w:val="NoSpacing"/>
        <w:rPr>
          <w:bCs/>
        </w:rPr>
      </w:pPr>
    </w:p>
    <w:p w14:paraId="10824039" w14:textId="77777777" w:rsidR="002D139D" w:rsidRDefault="002D139D" w:rsidP="002D139D">
      <w:pPr>
        <w:pStyle w:val="NoSpacing"/>
        <w:rPr>
          <w:b/>
          <w:sz w:val="20"/>
          <w:szCs w:val="20"/>
        </w:rPr>
      </w:pPr>
    </w:p>
    <w:p w14:paraId="6FE675DD" w14:textId="77777777" w:rsidR="002D139D" w:rsidRDefault="002D139D" w:rsidP="002D139D">
      <w:pPr>
        <w:pStyle w:val="NoSpacing"/>
        <w:rPr>
          <w:b/>
          <w:sz w:val="20"/>
          <w:szCs w:val="20"/>
        </w:rPr>
      </w:pPr>
    </w:p>
    <w:p w14:paraId="77449119" w14:textId="77777777" w:rsidR="002D139D" w:rsidRDefault="002D139D" w:rsidP="002D139D">
      <w:pPr>
        <w:pStyle w:val="NoSpacing"/>
        <w:rPr>
          <w:b/>
          <w:sz w:val="20"/>
          <w:szCs w:val="20"/>
        </w:rPr>
      </w:pPr>
    </w:p>
    <w:p w14:paraId="1C7F68FD" w14:textId="77777777" w:rsidR="002D139D" w:rsidRDefault="002D139D" w:rsidP="002D139D">
      <w:pPr>
        <w:pStyle w:val="NoSpacing"/>
        <w:rPr>
          <w:b/>
          <w:sz w:val="20"/>
          <w:szCs w:val="20"/>
        </w:rPr>
      </w:pPr>
    </w:p>
    <w:p w14:paraId="5EEB83F4" w14:textId="77777777" w:rsidR="002D139D" w:rsidRDefault="002D139D" w:rsidP="002D139D">
      <w:pPr>
        <w:pStyle w:val="NoSpacing"/>
        <w:rPr>
          <w:b/>
          <w:sz w:val="20"/>
          <w:szCs w:val="20"/>
        </w:rPr>
      </w:pPr>
    </w:p>
    <w:p w14:paraId="0C3223E0" w14:textId="77777777" w:rsidR="002D139D" w:rsidRDefault="002D139D" w:rsidP="002D139D">
      <w:pPr>
        <w:pStyle w:val="NoSpacing"/>
        <w:rPr>
          <w:b/>
          <w:sz w:val="20"/>
          <w:szCs w:val="20"/>
        </w:rPr>
      </w:pPr>
    </w:p>
    <w:p w14:paraId="7A9701FE" w14:textId="77777777" w:rsidR="002D139D" w:rsidRDefault="002D139D" w:rsidP="002D139D">
      <w:pPr>
        <w:pStyle w:val="NoSpacing"/>
        <w:rPr>
          <w:b/>
          <w:sz w:val="20"/>
          <w:szCs w:val="20"/>
        </w:rPr>
      </w:pPr>
    </w:p>
    <w:p w14:paraId="0B02277D" w14:textId="00F49392" w:rsidR="002D139D" w:rsidRDefault="00A971EA" w:rsidP="002D139D">
      <w:pPr>
        <w:pStyle w:val="NoSpacing"/>
        <w:rPr>
          <w:rFonts w:ascii="Arial Black" w:hAnsi="Arial Black"/>
          <w:b/>
          <w:sz w:val="24"/>
          <w:szCs w:val="24"/>
        </w:rPr>
      </w:pPr>
      <w:r w:rsidRPr="00A971EA">
        <w:rPr>
          <w:rFonts w:ascii="Arial Black" w:hAnsi="Arial Black"/>
          <w:b/>
          <w:sz w:val="24"/>
          <w:szCs w:val="24"/>
        </w:rPr>
        <w:t>13-267</w:t>
      </w:r>
    </w:p>
    <w:p w14:paraId="5A3AF5C0" w14:textId="77777777" w:rsidR="00A971EA" w:rsidRPr="00A971EA" w:rsidRDefault="00A971EA" w:rsidP="002D139D">
      <w:pPr>
        <w:pStyle w:val="NoSpacing"/>
        <w:rPr>
          <w:rFonts w:ascii="Arial Black" w:hAnsi="Arial Black"/>
          <w:b/>
          <w:sz w:val="24"/>
          <w:szCs w:val="24"/>
        </w:rPr>
      </w:pPr>
    </w:p>
    <w:p w14:paraId="6CB19DEE" w14:textId="77777777" w:rsidR="002D139D" w:rsidRDefault="002D139D" w:rsidP="002D139D">
      <w:pPr>
        <w:pStyle w:val="NoSpacing"/>
        <w:rPr>
          <w:rFonts w:ascii="Arial Black" w:hAnsi="Arial Black"/>
          <w:b/>
          <w:sz w:val="28"/>
          <w:szCs w:val="28"/>
        </w:rPr>
      </w:pPr>
      <w:r>
        <w:rPr>
          <w:rFonts w:ascii="Arial Black" w:hAnsi="Arial Black"/>
          <w:b/>
          <w:sz w:val="28"/>
          <w:szCs w:val="28"/>
        </w:rPr>
        <w:t>CO: CRISIS RESP - MEDIC TAKLED PT / DIED - IMMUNITY</w:t>
      </w:r>
    </w:p>
    <w:p w14:paraId="7504A426" w14:textId="77777777" w:rsidR="002D139D" w:rsidRDefault="002D139D" w:rsidP="002D139D">
      <w:pPr>
        <w:pStyle w:val="NoSpacing"/>
        <w:rPr>
          <w:rFonts w:ascii="Arial Black" w:hAnsi="Arial Black"/>
          <w:b/>
          <w:sz w:val="28"/>
          <w:szCs w:val="28"/>
        </w:rPr>
      </w:pPr>
    </w:p>
    <w:p w14:paraId="4E1A4D33" w14:textId="77777777" w:rsidR="002D139D" w:rsidRDefault="002D139D" w:rsidP="002D139D">
      <w:pPr>
        <w:pStyle w:val="NoSpacing"/>
        <w:rPr>
          <w:b/>
        </w:rPr>
      </w:pPr>
      <w:r w:rsidRPr="00F1416F">
        <w:t xml:space="preserve">On July 6, 2026, in </w:t>
      </w:r>
      <w:r w:rsidRPr="00757F6B">
        <w:rPr>
          <w:u w:val="single"/>
        </w:rPr>
        <w:t>Estate of Kevin Dizmang v. Sean Reed, a Colorado Springs Police Officer</w:t>
      </w:r>
      <w:r>
        <w:rPr>
          <w:u w:val="single"/>
        </w:rPr>
        <w:t>, and Nick Fischer, a Colorado Springs Fire Department Paramedic</w:t>
      </w:r>
      <w:r>
        <w:t xml:space="preserve">, the </w:t>
      </w:r>
      <w:r w:rsidRPr="0050642F">
        <w:t>United States Court of Appeals, Tenth Circuit</w:t>
      </w:r>
      <w:r>
        <w:t xml:space="preserve"> (Denver) held (3 to 0) that trial court properly held both members of crisis response unit are entitled to qualified immunity.  </w:t>
      </w:r>
      <w:hyperlink r:id="rId2032" w:history="1">
        <w:r w:rsidRPr="003158CB">
          <w:rPr>
            <w:rStyle w:val="Hyperlink"/>
            <w:b/>
          </w:rPr>
          <w:t>https://cases.justia.com/federal/appellate-courts/ca10/25-1118/25-1118-2026-07-06.pdf?ts=1783359113</w:t>
        </w:r>
      </w:hyperlink>
      <w:r>
        <w:rPr>
          <w:b/>
        </w:rPr>
        <w:t xml:space="preserve"> </w:t>
      </w:r>
    </w:p>
    <w:p w14:paraId="6210800E" w14:textId="77777777" w:rsidR="002D139D" w:rsidRDefault="002D139D" w:rsidP="002D139D">
      <w:pPr>
        <w:pStyle w:val="NoSpacing"/>
        <w:rPr>
          <w:bCs/>
        </w:rPr>
      </w:pPr>
    </w:p>
    <w:p w14:paraId="2E0D93D2" w14:textId="77777777" w:rsidR="002D139D" w:rsidRPr="0050642F" w:rsidRDefault="002D139D" w:rsidP="002D139D">
      <w:pPr>
        <w:pStyle w:val="NoSpacing"/>
        <w:rPr>
          <w:bCs/>
        </w:rPr>
      </w:pPr>
      <w:r>
        <w:t xml:space="preserve">THE COURT WROTE: </w:t>
      </w:r>
    </w:p>
    <w:p w14:paraId="59ECA6FF" w14:textId="77777777" w:rsidR="002D139D" w:rsidRPr="00757F6B" w:rsidRDefault="002D139D" w:rsidP="002D139D">
      <w:pPr>
        <w:pStyle w:val="NoSpacing"/>
        <w:rPr>
          <w:bCs/>
        </w:rPr>
      </w:pPr>
    </w:p>
    <w:p w14:paraId="66CF57F4" w14:textId="77777777" w:rsidR="002D139D" w:rsidRDefault="002D139D" w:rsidP="002D139D">
      <w:pPr>
        <w:pStyle w:val="NoSpacing"/>
      </w:pPr>
      <w:r>
        <w:t>“</w:t>
      </w:r>
      <w:r w:rsidRPr="00CB5F0D">
        <w:t>On November 15, 2022, CSPD received reports that Dizmang was displaying symptoms of schizophrenia and post-traumatic stress disorder, damaging his residential vehicle, and walking in traffic. CSPD dispatched Reed, Fischer, and a clinician named Andrea Alban to the scene</w:t>
      </w:r>
      <w:r>
        <w:t xml:space="preserve">…. </w:t>
      </w:r>
      <w:r w:rsidRPr="004E2640">
        <w:t xml:space="preserve">Reed eventually got ahold of Dizmang, walked him towards the sidewalk, and attempted to handcuff him. Dizmang broke free and walked away from the sidewalk, towards the middle of the road. Reed again got ahold of Dizmang, moved him onto the sidewalk, and attempted to handcuff him a second time. Dizmang again broke free, but this time he fled toward a line of trees in front of a mobile-home park. As Reed caught up and attempted to handcuff Dizmang for a third time, Alban told Fischer to help restrain Dizmang. </w:t>
      </w:r>
      <w:r>
        <w:t xml:space="preserve"> [Per the plaintiff’s complaint] </w:t>
      </w:r>
      <w:r w:rsidRPr="004E2640">
        <w:t xml:space="preserve">Fischer then </w:t>
      </w:r>
      <w:r>
        <w:t>‘</w:t>
      </w:r>
      <w:r w:rsidRPr="004E2640">
        <w:t>suddenly and violently tackled</w:t>
      </w:r>
      <w:r>
        <w:t>’</w:t>
      </w:r>
      <w:r w:rsidRPr="004E2640">
        <w:t xml:space="preserve"> Dizmang and drove him into the ground, where Dizmang landed on his right side</w:t>
      </w:r>
      <w:r>
        <w:t xml:space="preserve">…. </w:t>
      </w:r>
      <w:r w:rsidRPr="004E2640">
        <w:t xml:space="preserve"> Fischer then put Dizmang in a chokehold for approximately 30 seconds. During this time, Dizmang </w:t>
      </w:r>
      <w:r>
        <w:t>‘</w:t>
      </w:r>
      <w:r w:rsidRPr="004E2640">
        <w:t>quit moving.</w:t>
      </w:r>
      <w:r>
        <w:t xml:space="preserve">’ … </w:t>
      </w:r>
      <w:r w:rsidRPr="004E2640">
        <w:t xml:space="preserve">Then, Fischer </w:t>
      </w:r>
      <w:r>
        <w:t>‘</w:t>
      </w:r>
      <w:r w:rsidRPr="004E2640">
        <w:t>rolled [Dizmang] face down onto the ground, . . . placed his hands on the back of [Dizmang's] neck and dr[</w:t>
      </w:r>
      <w:proofErr w:type="spellStart"/>
      <w:r w:rsidRPr="004E2640">
        <w:t>ove</w:t>
      </w:r>
      <w:proofErr w:type="spellEnd"/>
      <w:r w:rsidRPr="004E2640">
        <w:t>] his body weight downward, pushing [Dizmang's] neck and face into the ground. At this point, [Dizmang] remained completely motionless.</w:t>
      </w:r>
      <w:r>
        <w:t xml:space="preserve">’ … </w:t>
      </w:r>
      <w:r w:rsidRPr="004E2640">
        <w:t>Fischer maintained this position for approximately 45 seconds, long enough for Reed to finish handcuffing Dizmang. Fischer and Reed then rolled Dizmang onto his back and seated him upright</w:t>
      </w:r>
      <w:r>
        <w:t xml:space="preserve">…. </w:t>
      </w:r>
      <w:r w:rsidRPr="007356F6">
        <w:t xml:space="preserve">By this time, Dizmang was unresponsive. Fischer noted that Dizmang was not aspirating and stated that he wanted to </w:t>
      </w:r>
      <w:r>
        <w:t>‘</w:t>
      </w:r>
      <w:r w:rsidRPr="007356F6">
        <w:t>attempt a nasal airway,</w:t>
      </w:r>
      <w:r>
        <w:t>’</w:t>
      </w:r>
      <w:r w:rsidRPr="007356F6">
        <w:t xml:space="preserve"> and Reed called for an ambulance</w:t>
      </w:r>
      <w:r>
        <w:t xml:space="preserve">…. </w:t>
      </w:r>
      <w:r w:rsidRPr="007356F6">
        <w:t xml:space="preserve">Once the ambulance arrived, Fischer and other medical professionals tried to resuscitate Dizmang </w:t>
      </w:r>
      <w:proofErr w:type="spellStart"/>
      <w:r w:rsidRPr="007356F6">
        <w:t>en</w:t>
      </w:r>
      <w:proofErr w:type="spellEnd"/>
      <w:r w:rsidRPr="007356F6">
        <w:t xml:space="preserve"> route to a hospital. These efforts continued once Dizmang arrived at the hospital. However, Dizmang was pronounced dead in the emergency room.</w:t>
      </w:r>
      <w:r>
        <w:t xml:space="preserve"> </w:t>
      </w:r>
    </w:p>
    <w:p w14:paraId="3B6E2B3E" w14:textId="77777777" w:rsidR="002D139D" w:rsidRDefault="002D139D" w:rsidP="002D139D">
      <w:pPr>
        <w:pStyle w:val="NoSpacing"/>
      </w:pPr>
    </w:p>
    <w:p w14:paraId="0C7DD02E" w14:textId="77777777" w:rsidR="002D139D" w:rsidRDefault="002D139D" w:rsidP="002D139D">
      <w:pPr>
        <w:pStyle w:val="NoSpacing"/>
      </w:pPr>
      <w:r>
        <w:t xml:space="preserve">*** </w:t>
      </w:r>
    </w:p>
    <w:p w14:paraId="51A82257" w14:textId="77777777" w:rsidR="002D139D" w:rsidRDefault="002D139D" w:rsidP="002D139D">
      <w:pPr>
        <w:pStyle w:val="NoSpacing"/>
        <w:rPr>
          <w:bCs/>
        </w:rPr>
      </w:pPr>
    </w:p>
    <w:p w14:paraId="3A3A5533" w14:textId="77777777" w:rsidR="002D139D" w:rsidRDefault="002D139D" w:rsidP="002D139D">
      <w:pPr>
        <w:pStyle w:val="NoSpacing"/>
      </w:pPr>
      <w:r w:rsidRPr="00A65E70">
        <w:t xml:space="preserve">These facts do not support the Estate's theory that Fischer used </w:t>
      </w:r>
      <w:r>
        <w:t>‘</w:t>
      </w:r>
      <w:r w:rsidRPr="00A65E70">
        <w:t>totally unnecessary</w:t>
      </w:r>
      <w:r>
        <w:t>’</w:t>
      </w:r>
      <w:r w:rsidRPr="00A65E70">
        <w:t xml:space="preserve"> force to restrain Dizmang and differ substantially from the unnecessary force applied in </w:t>
      </w:r>
      <w:r w:rsidRPr="00A65E70">
        <w:rPr>
          <w:i/>
          <w:iCs/>
        </w:rPr>
        <w:t>Weigel</w:t>
      </w:r>
      <w:r w:rsidRPr="00A65E70">
        <w:t xml:space="preserve">. </w:t>
      </w:r>
      <w:r w:rsidRPr="00A65E70">
        <w:rPr>
          <w:i/>
          <w:iCs/>
        </w:rPr>
        <w:t>Id.</w:t>
      </w:r>
      <w:r w:rsidRPr="00A65E70">
        <w:t xml:space="preserve"> at 1154. Thus, </w:t>
      </w:r>
      <w:r w:rsidRPr="00A65E70">
        <w:rPr>
          <w:i/>
          <w:iCs/>
        </w:rPr>
        <w:t>Weigel</w:t>
      </w:r>
      <w:r w:rsidRPr="00A65E70">
        <w:t xml:space="preserve"> did not place Fischer on notice that his use of force would subject him to constitutional liability</w:t>
      </w:r>
      <w:r>
        <w:t xml:space="preserve">…. </w:t>
      </w:r>
      <w:r w:rsidRPr="00B66519">
        <w:t xml:space="preserve">Fischer's conduct was not particularly egregious, at least when compared to the incidents in </w:t>
      </w:r>
      <w:r w:rsidRPr="00B66519">
        <w:rPr>
          <w:i/>
          <w:iCs/>
        </w:rPr>
        <w:t>Weigel</w:t>
      </w:r>
      <w:r w:rsidRPr="00B66519">
        <w:t xml:space="preserve">, </w:t>
      </w:r>
      <w:r w:rsidRPr="00B66519">
        <w:rPr>
          <w:i/>
          <w:iCs/>
        </w:rPr>
        <w:t>Teetz</w:t>
      </w:r>
      <w:r w:rsidRPr="00B66519">
        <w:t xml:space="preserve">, and </w:t>
      </w:r>
      <w:r w:rsidRPr="00B66519">
        <w:rPr>
          <w:i/>
          <w:iCs/>
        </w:rPr>
        <w:t>Estate of Booker</w:t>
      </w:r>
      <w:r w:rsidRPr="00B66519">
        <w:t>; we certainly cannot say he committed an obvious constitutional violation by restraining Dizmang so that Reed could apply handcuffs. Therefore, the Estate has not overcome Fischer's assertion of qualified immunity.</w:t>
      </w:r>
      <w:r>
        <w:t>”</w:t>
      </w:r>
    </w:p>
    <w:p w14:paraId="6AE34716" w14:textId="77777777" w:rsidR="002D139D" w:rsidRDefault="002D139D" w:rsidP="002D139D">
      <w:pPr>
        <w:pStyle w:val="NoSpacing"/>
      </w:pPr>
    </w:p>
    <w:p w14:paraId="2C2B14B9" w14:textId="77777777" w:rsidR="002D139D" w:rsidRDefault="002D139D" w:rsidP="002D139D">
      <w:pPr>
        <w:pStyle w:val="NoSpacing"/>
        <w:rPr>
          <w:b/>
        </w:rPr>
      </w:pPr>
      <w:r w:rsidRPr="0054722F">
        <w:rPr>
          <w:b/>
        </w:rPr>
        <w:t>Legal lesson learned:</w:t>
      </w:r>
      <w:r>
        <w:rPr>
          <w:b/>
        </w:rPr>
        <w:t xml:space="preserve"> There was no proof of “unnecessary force” being applied.  </w:t>
      </w:r>
    </w:p>
    <w:p w14:paraId="0BC6CF42" w14:textId="77777777" w:rsidR="002D139D" w:rsidRPr="009F63E1" w:rsidRDefault="002D139D" w:rsidP="002D139D">
      <w:pPr>
        <w:pStyle w:val="NoSpacing"/>
        <w:rPr>
          <w:b/>
          <w:bCs/>
        </w:rPr>
      </w:pPr>
    </w:p>
    <w:p w14:paraId="6509C67B" w14:textId="77777777" w:rsidR="002D139D" w:rsidRDefault="002D139D" w:rsidP="002D139D">
      <w:pPr>
        <w:pStyle w:val="NoSpacing"/>
      </w:pPr>
    </w:p>
    <w:p w14:paraId="43103CAB" w14:textId="77777777" w:rsidR="002D139D" w:rsidRDefault="002D139D" w:rsidP="002D139D">
      <w:pPr>
        <w:pStyle w:val="NoSpacing"/>
      </w:pPr>
    </w:p>
    <w:p w14:paraId="1458351F" w14:textId="338483F0" w:rsidR="002D139D" w:rsidRPr="00A971EA" w:rsidRDefault="00A971EA" w:rsidP="002D139D">
      <w:pPr>
        <w:rPr>
          <w:rFonts w:ascii="Arial Black" w:hAnsi="Arial Black"/>
          <w:b/>
          <w:sz w:val="24"/>
          <w:szCs w:val="24"/>
        </w:rPr>
      </w:pPr>
      <w:r w:rsidRPr="00A971EA">
        <w:rPr>
          <w:rFonts w:ascii="Arial Black" w:hAnsi="Arial Black"/>
          <w:b/>
          <w:sz w:val="24"/>
          <w:szCs w:val="24"/>
        </w:rPr>
        <w:t>13-266</w:t>
      </w:r>
    </w:p>
    <w:p w14:paraId="16FAACD9" w14:textId="77777777" w:rsidR="002D139D" w:rsidRPr="00906FE0" w:rsidRDefault="002D139D" w:rsidP="002D139D">
      <w:pPr>
        <w:rPr>
          <w:rFonts w:ascii="Arial Black" w:hAnsi="Arial Black"/>
          <w:b/>
          <w:sz w:val="28"/>
          <w:szCs w:val="28"/>
        </w:rPr>
      </w:pPr>
      <w:r>
        <w:rPr>
          <w:rFonts w:ascii="Arial Black" w:hAnsi="Arial Black"/>
          <w:b/>
          <w:sz w:val="28"/>
          <w:szCs w:val="28"/>
        </w:rPr>
        <w:t xml:space="preserve">NY: TOWN – USE NEW COUNTY-WIDE EMS – OLD SINCE 1949   </w:t>
      </w:r>
    </w:p>
    <w:p w14:paraId="29C5B85B" w14:textId="77777777" w:rsidR="002D139D" w:rsidRDefault="002D139D" w:rsidP="002D139D">
      <w:r>
        <w:t>On June 29, 2026</w:t>
      </w:r>
      <w:r w:rsidRPr="007653F9">
        <w:rPr>
          <w:u w:val="single"/>
        </w:rPr>
        <w:t xml:space="preserve">, In the Matter of the Application of Western Wayne Ambulance, Inc d/b/a </w:t>
      </w:r>
      <w:proofErr w:type="spellStart"/>
      <w:r w:rsidRPr="007653F9">
        <w:rPr>
          <w:u w:val="single"/>
        </w:rPr>
        <w:t>Walmorth</w:t>
      </w:r>
      <w:proofErr w:type="spellEnd"/>
      <w:r w:rsidRPr="007653F9">
        <w:rPr>
          <w:u w:val="single"/>
        </w:rPr>
        <w:t xml:space="preserve"> Ambulance v. Town of Walworth</w:t>
      </w:r>
      <w:r>
        <w:t xml:space="preserve">, Judge </w:t>
      </w:r>
      <w:r w:rsidRPr="00C40154">
        <w:t>Arthur B. Williams, Supreme Court</w:t>
      </w:r>
      <w:r>
        <w:t xml:space="preserve">, Wayne County, granted the Town’s </w:t>
      </w:r>
      <w:r w:rsidRPr="004D379A">
        <w:t xml:space="preserve">motion to dismiss the </w:t>
      </w:r>
      <w:r>
        <w:t>p</w:t>
      </w:r>
      <w:r w:rsidRPr="004D379A">
        <w:t>etition</w:t>
      </w:r>
      <w:r>
        <w:t xml:space="preserve"> to set aside the Town’s decision to change EMS provider.  On </w:t>
      </w:r>
      <w:r w:rsidRPr="00A57E79">
        <w:t xml:space="preserve">November 6, </w:t>
      </w:r>
      <w:proofErr w:type="gramStart"/>
      <w:r w:rsidRPr="00A57E79">
        <w:t>2025</w:t>
      </w:r>
      <w:proofErr w:type="gramEnd"/>
      <w:r w:rsidRPr="00A57E79">
        <w:t xml:space="preserve"> </w:t>
      </w:r>
      <w:r>
        <w:t xml:space="preserve">the Town </w:t>
      </w:r>
      <w:r w:rsidRPr="00A57E79">
        <w:t>recogni</w:t>
      </w:r>
      <w:r>
        <w:t>zed newly formed county-wide</w:t>
      </w:r>
      <w:r w:rsidRPr="00A57E79">
        <w:t xml:space="preserve"> Wayne County Emergency Medical Services as the Town's primary provider of emergency medical services</w:t>
      </w:r>
      <w:r>
        <w:t xml:space="preserve">; this </w:t>
      </w:r>
      <w:r w:rsidRPr="00A57E79">
        <w:t>effectively remov</w:t>
      </w:r>
      <w:r>
        <w:t>ed</w:t>
      </w:r>
      <w:r w:rsidRPr="00A57E79">
        <w:t xml:space="preserve"> Petitioner from that role</w:t>
      </w:r>
      <w:r>
        <w:t xml:space="preserve"> which it provided since 1949.</w:t>
      </w:r>
      <w:r w:rsidRPr="003B0877">
        <w:t xml:space="preserve"> </w:t>
      </w:r>
      <w:r w:rsidRPr="0034278C">
        <w:t xml:space="preserve">At the Board meeting of November 6, 2025, it was discussed that WWA would still be available to provide second call out ambulance services. </w:t>
      </w:r>
      <w:hyperlink r:id="rId2033" w:history="1">
        <w:r w:rsidRPr="00305A77">
          <w:rPr>
            <w:rStyle w:val="Hyperlink"/>
          </w:rPr>
          <w:t>https://public.fastcase.com/Jhe1Qn%2BmJndQYQU6z%2FeNm6ju%2Bd0XMiKIQG0dYFr7cgUzgsifv99YXHK%2BxnD66TJoHk4g2WwtQKDS%2BvASTYn2UbNIVhBuboQ2Vfvy9hViY%2Bk%3D?utm_medium=email&amp;_hsenc=p2ANqtz-</w:t>
        </w:r>
        <w:r w:rsidRPr="00305A77">
          <w:rPr>
            <w:rStyle w:val="Hyperlink"/>
          </w:rPr>
          <w:lastRenderedPageBreak/>
          <w:t>8NHhkkKcWj0_qee_n9oiHaTk7VwtWB_afCW5GLhqKW_ltr3Dza-rNcLPsWMOqNw3cx9q-xKyAAVyV_SrzeJvBmwADJtg&amp;_hsmi=226712652&amp;utm_content=226712652&amp;utm_source=hs_email</w:t>
        </w:r>
      </w:hyperlink>
      <w:r>
        <w:t xml:space="preserve"> </w:t>
      </w:r>
    </w:p>
    <w:p w14:paraId="213E4564" w14:textId="77777777" w:rsidR="002D139D" w:rsidRDefault="002D139D" w:rsidP="002D139D">
      <w:pPr>
        <w:rPr>
          <w:bCs/>
        </w:rPr>
      </w:pPr>
      <w:r>
        <w:t xml:space="preserve">THE COURT WROTE:   </w:t>
      </w:r>
    </w:p>
    <w:p w14:paraId="6CF8C7FF" w14:textId="77777777" w:rsidR="002D139D" w:rsidRDefault="002D139D" w:rsidP="002D139D">
      <w:pPr>
        <w:pStyle w:val="NoSpacing"/>
      </w:pPr>
      <w:r>
        <w:t>“</w:t>
      </w:r>
      <w:r w:rsidRPr="00830F8E">
        <w:t xml:space="preserve">Respondents state that between 2022 and 2025 they were made aware of numerous complaints of exorbitant bills submitted to individuals receiving services from WWA. The Town further states that they repeatedly requested certain detailed financial information from WWA which was only partially provided. Petitioner asserts that at a regular Town Board meeting it did provide information regarding WWA's coverage statistics, payments and staffing. </w:t>
      </w:r>
      <w:proofErr w:type="gramStart"/>
      <w:r w:rsidRPr="00830F8E">
        <w:t>Petitioner claims</w:t>
      </w:r>
      <w:proofErr w:type="gramEnd"/>
      <w:r w:rsidRPr="00830F8E">
        <w:t xml:space="preserve"> that on multiple occasions it was assured that the Town would continue to support WWA. During this time there was also discussion regarding the costs and rationale for WWA expanding its services from providing basic life support services (BLS) to </w:t>
      </w:r>
      <w:proofErr w:type="gramStart"/>
      <w:r w:rsidRPr="00830F8E">
        <w:t>include</w:t>
      </w:r>
      <w:proofErr w:type="gramEnd"/>
      <w:r w:rsidRPr="00830F8E">
        <w:t xml:space="preserve"> advanced life support services (ALS). In 2023 WWA approached the Walworth Town Board for the purpose of seeking approval for construction of an addition to the ambulance base which was approved by the Town and funded exclusively by WWA. All during this time there was discussion throughout Wayne County regarding the establishment of a county-wide EMS service. Wayne County EMS became operational during 2023. Thereafter on October 17, </w:t>
      </w:r>
      <w:proofErr w:type="gramStart"/>
      <w:r w:rsidRPr="00830F8E">
        <w:t>2024</w:t>
      </w:r>
      <w:proofErr w:type="gramEnd"/>
      <w:r w:rsidRPr="00830F8E">
        <w:t xml:space="preserve"> citing a lack of information from WWA, the Town Board voted to not provide financial support for WWA for the year 2025. On November 6, 2025, the Town Board resolved to recognize Wayne County EMS as the primary provider of emergency medical services for the Town of Walworth.</w:t>
      </w:r>
      <w:r>
        <w:t>”</w:t>
      </w:r>
    </w:p>
    <w:p w14:paraId="1F1D6418" w14:textId="77777777" w:rsidR="002D139D" w:rsidRDefault="002D139D" w:rsidP="002D139D">
      <w:pPr>
        <w:pStyle w:val="NoSpacing"/>
      </w:pPr>
    </w:p>
    <w:p w14:paraId="4595BA45" w14:textId="77777777" w:rsidR="002D139D" w:rsidRDefault="002D139D" w:rsidP="002D139D">
      <w:pPr>
        <w:pStyle w:val="NoSpacing"/>
      </w:pPr>
      <w:r>
        <w:t>***</w:t>
      </w:r>
    </w:p>
    <w:p w14:paraId="1C17C2D5" w14:textId="77777777" w:rsidR="002D139D" w:rsidRDefault="002D139D" w:rsidP="002D139D">
      <w:pPr>
        <w:pStyle w:val="NoSpacing"/>
      </w:pPr>
    </w:p>
    <w:p w14:paraId="569A3015" w14:textId="77777777" w:rsidR="002D139D" w:rsidRPr="00AD636C" w:rsidRDefault="002D139D" w:rsidP="002D139D">
      <w:pPr>
        <w:pStyle w:val="NoSpacing"/>
      </w:pPr>
      <w:r w:rsidRPr="00AD636C">
        <w:t>Likewise, at the Town Board meeting held on November 6, 2025</w:t>
      </w:r>
      <w:proofErr w:type="gramStart"/>
      <w:r w:rsidRPr="00AD636C">
        <w:t>, wherein</w:t>
      </w:r>
      <w:proofErr w:type="gramEnd"/>
      <w:r w:rsidRPr="00AD636C">
        <w:t xml:space="preserve"> the Board named Wayne County EMS as the primary ambulance provider discussion was had in support of the Board's decision. The relevant minutes read as follows: </w:t>
      </w:r>
    </w:p>
    <w:p w14:paraId="74337323" w14:textId="77777777" w:rsidR="002D139D" w:rsidRDefault="002D139D" w:rsidP="002D139D">
      <w:pPr>
        <w:pStyle w:val="NoSpacing"/>
        <w:rPr>
          <w:i/>
          <w:iCs/>
        </w:rPr>
      </w:pPr>
    </w:p>
    <w:p w14:paraId="74D4F9ED" w14:textId="77777777" w:rsidR="002D139D" w:rsidRPr="00AD636C" w:rsidRDefault="002D139D" w:rsidP="002D139D">
      <w:pPr>
        <w:pStyle w:val="NoSpacing"/>
        <w:ind w:left="720"/>
      </w:pPr>
      <w:r w:rsidRPr="00AD636C">
        <w:rPr>
          <w:i/>
          <w:iCs/>
        </w:rPr>
        <w:t>Discussion - Councilman Kelly stated that we have been having conversations for a couple of years now with our ambulance provider and the county is opening on November 15</w:t>
      </w:r>
      <w:r w:rsidRPr="00AD636C">
        <w:rPr>
          <w:i/>
          <w:iCs/>
          <w:vertAlign w:val="superscript"/>
        </w:rPr>
        <w:t>th</w:t>
      </w:r>
      <w:r w:rsidRPr="00AD636C">
        <w:rPr>
          <w:i/>
          <w:iCs/>
        </w:rPr>
        <w:t>, it's going to be the best choice for the Town and the protection of our citizens. But just so everyone knows Western Wayne is not going away, they are still an ambulance agency within the Town of Walworth, they will still be providing</w:t>
      </w:r>
      <w:r w:rsidRPr="00AD636C">
        <w:t xml:space="preserve"> </w:t>
      </w:r>
      <w:r>
        <w:t xml:space="preserve"> </w:t>
      </w:r>
      <w:r w:rsidRPr="00AD636C">
        <w:rPr>
          <w:i/>
          <w:iCs/>
        </w:rPr>
        <w:t xml:space="preserve">services, they will just be second out. </w:t>
      </w:r>
      <w:proofErr w:type="gramStart"/>
      <w:r w:rsidRPr="00AD636C">
        <w:rPr>
          <w:i/>
          <w:iCs/>
        </w:rPr>
        <w:t>So</w:t>
      </w:r>
      <w:proofErr w:type="gramEnd"/>
      <w:r w:rsidRPr="00AD636C">
        <w:rPr>
          <w:i/>
          <w:iCs/>
        </w:rPr>
        <w:t xml:space="preserve"> if there is a second emergency with the Town of Walworth and they are available they will come and assist you.</w:t>
      </w:r>
      <w:r w:rsidRPr="00AD636C">
        <w:t xml:space="preserve"> </w:t>
      </w:r>
    </w:p>
    <w:p w14:paraId="2984EED0" w14:textId="77777777" w:rsidR="002D139D" w:rsidRDefault="002D139D" w:rsidP="002D139D">
      <w:pPr>
        <w:pStyle w:val="NoSpacing"/>
      </w:pPr>
    </w:p>
    <w:p w14:paraId="6BCA62D3" w14:textId="77777777" w:rsidR="002D139D" w:rsidRPr="00D979B3" w:rsidRDefault="002D139D" w:rsidP="002D139D">
      <w:pPr>
        <w:pStyle w:val="NoSpacing"/>
      </w:pPr>
      <w:r w:rsidRPr="00D979B3">
        <w:t xml:space="preserve">There was also public discussion at the November 21, 2024, Town Board meeting wherein the difference in the fee structure between WWA and Wayne County EMS was considered as reflected in the following minutes: </w:t>
      </w:r>
    </w:p>
    <w:p w14:paraId="4E3E1A82" w14:textId="77777777" w:rsidR="002D139D" w:rsidRDefault="002D139D" w:rsidP="002D139D">
      <w:pPr>
        <w:pStyle w:val="NoSpacing"/>
        <w:rPr>
          <w:i/>
          <w:iCs/>
        </w:rPr>
      </w:pPr>
    </w:p>
    <w:p w14:paraId="3F8BCFC2" w14:textId="77777777" w:rsidR="002D139D" w:rsidRPr="00D979B3" w:rsidRDefault="002D139D" w:rsidP="002D139D">
      <w:pPr>
        <w:pStyle w:val="NoSpacing"/>
        <w:ind w:left="720"/>
      </w:pPr>
      <w:r w:rsidRPr="00D979B3">
        <w:rPr>
          <w:i/>
          <w:iCs/>
        </w:rPr>
        <w:t>Councilman Linson wanted to discuss Western Wayne Ambulance and their charges. She would like to see an Ambulance provide quality service to our residents. Councilman Kelly received some information regarding pricing for Western Wayne charges around $2,000 whereas the County charges around $400.00for basic services.</w:t>
      </w:r>
      <w:r w:rsidRPr="00D979B3">
        <w:t xml:space="preserve"> </w:t>
      </w:r>
    </w:p>
    <w:p w14:paraId="71AE19D8" w14:textId="77777777" w:rsidR="002D139D" w:rsidRDefault="002D139D" w:rsidP="002D139D">
      <w:pPr>
        <w:pStyle w:val="NoSpacing"/>
      </w:pPr>
    </w:p>
    <w:p w14:paraId="3F22618A" w14:textId="77777777" w:rsidR="002D139D" w:rsidRDefault="002D139D" w:rsidP="002D139D">
      <w:pPr>
        <w:pStyle w:val="NoSpacing"/>
      </w:pPr>
      <w:r w:rsidRPr="00B81758">
        <w:t>The Court finds that the decisions of the Town Board regarding continued funding for WWA and the designation of Wayne County EMS as a primary ambulance service provider were rationally determined on the facts and were thus not arbitrary and capricious</w:t>
      </w:r>
      <w:r>
        <w:t xml:space="preserve">…. </w:t>
      </w:r>
      <w:r w:rsidRPr="0007308E">
        <w:t>Given the issues leading up to the Town Board's decisions in this matter, albeit abrupt, the Court does not find that the actions of the Town Board give rise to a prospective enforceable contract right nor does it find a basis for which declaratory judgment can be granted.</w:t>
      </w:r>
      <w:r>
        <w:t>”</w:t>
      </w:r>
    </w:p>
    <w:p w14:paraId="2504BE88" w14:textId="77777777" w:rsidR="002D139D" w:rsidRDefault="002D139D" w:rsidP="002D139D">
      <w:pPr>
        <w:pStyle w:val="NoSpacing"/>
      </w:pPr>
    </w:p>
    <w:p w14:paraId="420E2140" w14:textId="77777777" w:rsidR="002D139D" w:rsidRDefault="002D139D" w:rsidP="002D139D">
      <w:pPr>
        <w:pStyle w:val="NoSpacing"/>
      </w:pPr>
      <w:r>
        <w:rPr>
          <w:b/>
        </w:rPr>
        <w:t>Legal lesson learned: Town had lawful right to switch primary EMS provider.</w:t>
      </w:r>
    </w:p>
    <w:p w14:paraId="331E76C8" w14:textId="77777777" w:rsidR="002D139D" w:rsidRDefault="002D139D" w:rsidP="002D139D">
      <w:pPr>
        <w:pStyle w:val="NoSpacing"/>
      </w:pPr>
    </w:p>
    <w:p w14:paraId="32160919" w14:textId="77777777" w:rsidR="00C37020" w:rsidRDefault="00C37020" w:rsidP="00752531">
      <w:pPr>
        <w:pStyle w:val="NoSpacing"/>
        <w:rPr>
          <w:rFonts w:ascii="Arial Black" w:hAnsi="Arial Black"/>
          <w:sz w:val="24"/>
          <w:szCs w:val="24"/>
        </w:rPr>
      </w:pPr>
    </w:p>
    <w:p w14:paraId="367A0FBE" w14:textId="77777777" w:rsidR="00C37020" w:rsidRDefault="00C37020" w:rsidP="00752531">
      <w:pPr>
        <w:pStyle w:val="NoSpacing"/>
        <w:rPr>
          <w:rFonts w:ascii="Arial Black" w:hAnsi="Arial Black"/>
          <w:sz w:val="24"/>
          <w:szCs w:val="24"/>
        </w:rPr>
      </w:pPr>
    </w:p>
    <w:p w14:paraId="2E11EECC" w14:textId="77777777" w:rsidR="00C37020" w:rsidRDefault="00C37020" w:rsidP="00752531">
      <w:pPr>
        <w:pStyle w:val="NoSpacing"/>
        <w:rPr>
          <w:rFonts w:ascii="Arial Black" w:hAnsi="Arial Black"/>
          <w:sz w:val="24"/>
          <w:szCs w:val="24"/>
        </w:rPr>
      </w:pPr>
    </w:p>
    <w:p w14:paraId="63A93B38" w14:textId="77777777" w:rsidR="00C37020" w:rsidRDefault="00C37020" w:rsidP="00752531">
      <w:pPr>
        <w:pStyle w:val="NoSpacing"/>
        <w:rPr>
          <w:rFonts w:ascii="Arial Black" w:hAnsi="Arial Black"/>
          <w:sz w:val="24"/>
          <w:szCs w:val="24"/>
        </w:rPr>
      </w:pPr>
    </w:p>
    <w:p w14:paraId="510B8314" w14:textId="77777777" w:rsidR="00C37020" w:rsidRDefault="00C37020" w:rsidP="00752531">
      <w:pPr>
        <w:pStyle w:val="NoSpacing"/>
        <w:rPr>
          <w:rFonts w:ascii="Arial Black" w:hAnsi="Arial Black"/>
          <w:sz w:val="24"/>
          <w:szCs w:val="24"/>
        </w:rPr>
      </w:pPr>
    </w:p>
    <w:p w14:paraId="733571F4" w14:textId="6E51BEA4" w:rsidR="00752531" w:rsidRPr="00DA5EE8" w:rsidRDefault="00752531" w:rsidP="00752531">
      <w:pPr>
        <w:pStyle w:val="NoSpacing"/>
        <w:rPr>
          <w:rFonts w:ascii="Arial Black" w:hAnsi="Arial Black"/>
          <w:sz w:val="24"/>
          <w:szCs w:val="24"/>
        </w:rPr>
      </w:pPr>
      <w:r w:rsidRPr="00DA5EE8">
        <w:rPr>
          <w:rFonts w:ascii="Arial Black" w:hAnsi="Arial Black"/>
          <w:sz w:val="24"/>
          <w:szCs w:val="24"/>
        </w:rPr>
        <w:lastRenderedPageBreak/>
        <w:t>13-2</w:t>
      </w:r>
      <w:r>
        <w:rPr>
          <w:rFonts w:ascii="Arial Black" w:hAnsi="Arial Black"/>
          <w:sz w:val="24"/>
          <w:szCs w:val="24"/>
        </w:rPr>
        <w:t>65</w:t>
      </w:r>
    </w:p>
    <w:p w14:paraId="391A2C8D" w14:textId="77777777" w:rsidR="00EB0265" w:rsidRDefault="00EB0265" w:rsidP="00824E5F">
      <w:pPr>
        <w:pStyle w:val="NoSpacing"/>
        <w:rPr>
          <w:rFonts w:ascii="Arial Black" w:hAnsi="Arial Black"/>
          <w:sz w:val="24"/>
          <w:szCs w:val="24"/>
        </w:rPr>
      </w:pPr>
    </w:p>
    <w:p w14:paraId="052A904C" w14:textId="77777777" w:rsidR="00EB0265" w:rsidRPr="00805D73" w:rsidRDefault="00EB0265" w:rsidP="00EB0265">
      <w:pPr>
        <w:pStyle w:val="NoSpacing"/>
        <w:rPr>
          <w:rFonts w:ascii="Arial Black" w:hAnsi="Arial Black"/>
          <w:bCs/>
          <w:sz w:val="28"/>
          <w:szCs w:val="28"/>
        </w:rPr>
      </w:pPr>
      <w:r>
        <w:rPr>
          <w:rFonts w:ascii="Arial Black" w:hAnsi="Arial Black"/>
          <w:sz w:val="28"/>
          <w:szCs w:val="28"/>
        </w:rPr>
        <w:t xml:space="preserve">NJ: HOSP. MD OK’D DRUG / INTUBATION – EMS IMMUNITY </w:t>
      </w:r>
    </w:p>
    <w:p w14:paraId="4CEE6CDB" w14:textId="77777777" w:rsidR="00EB0265" w:rsidRDefault="00EB0265" w:rsidP="00EB0265">
      <w:pPr>
        <w:pStyle w:val="NoSpacing"/>
        <w:rPr>
          <w:bCs/>
        </w:rPr>
      </w:pPr>
    </w:p>
    <w:p w14:paraId="71D2DEB4" w14:textId="77777777" w:rsidR="00EB0265" w:rsidRPr="002B7C2B" w:rsidRDefault="00EB0265" w:rsidP="00EB0265">
      <w:pPr>
        <w:pStyle w:val="NoSpacing"/>
        <w:rPr>
          <w:bCs/>
          <w:u w:val="single"/>
        </w:rPr>
      </w:pPr>
      <w:r>
        <w:t xml:space="preserve">On June 25, 2026, in </w:t>
      </w:r>
      <w:r w:rsidRPr="002B7C2B">
        <w:rPr>
          <w:u w:val="single"/>
        </w:rPr>
        <w:t>Jari Almonte and Yahaira Almanzar, individually and as parents and</w:t>
      </w:r>
    </w:p>
    <w:p w14:paraId="41B694BB" w14:textId="77777777" w:rsidR="00EB0265" w:rsidRPr="006A0694" w:rsidRDefault="00EB0265" w:rsidP="00EB0265">
      <w:pPr>
        <w:pStyle w:val="NoSpacing"/>
        <w:rPr>
          <w:bCs/>
        </w:rPr>
      </w:pPr>
      <w:r w:rsidRPr="002B7C2B">
        <w:rPr>
          <w:u w:val="single"/>
        </w:rPr>
        <w:t>natural guardians of Jeremy Almonte, an infant v. Township of Union, Township of Union Fire Department, et al</w:t>
      </w:r>
      <w:r w:rsidRPr="002B7C2B">
        <w:t xml:space="preserve">., </w:t>
      </w:r>
      <w:r>
        <w:t xml:space="preserve">the Supreme Court of New Jersey held (7 to 0) that trial court judge, and the Appellate Court properly held that the paramedics and their employer </w:t>
      </w:r>
      <w:r w:rsidRPr="006A0694">
        <w:t xml:space="preserve">have immunity under </w:t>
      </w:r>
      <w:r>
        <w:t xml:space="preserve">NJ statute, failed intubations, but made two calls to hospital doctor and there is no requirement they have “constant, live stream” with the physician. </w:t>
      </w:r>
      <w:r w:rsidRPr="005B4CCA">
        <w:t>The version of the EMSA that controls this appeal was</w:t>
      </w:r>
      <w:r>
        <w:t xml:space="preserve"> </w:t>
      </w:r>
      <w:r w:rsidRPr="005B4CCA">
        <w:t>adopted in 1984. At that time, N.J.S.A. 26:2K-14 immunized paramedics who</w:t>
      </w:r>
      <w:r>
        <w:t xml:space="preserve"> </w:t>
      </w:r>
      <w:r w:rsidRPr="005B4CCA">
        <w:t xml:space="preserve">perform advanced life support services </w:t>
      </w:r>
      <w:r>
        <w:t>‘</w:t>
      </w:r>
      <w:r w:rsidRPr="005B4CCA">
        <w:t>in good faith</w:t>
      </w:r>
      <w:r>
        <w:t>’</w:t>
      </w:r>
      <w:r w:rsidRPr="005B4CCA">
        <w:t xml:space="preserve"> and </w:t>
      </w:r>
      <w:r>
        <w:t>‘</w:t>
      </w:r>
      <w:r w:rsidRPr="005B4CCA">
        <w:t>in accordance with [the</w:t>
      </w:r>
      <w:r>
        <w:t xml:space="preserve"> </w:t>
      </w:r>
      <w:r w:rsidRPr="005B4CCA">
        <w:t xml:space="preserve">EMSA].” </w:t>
      </w:r>
      <w:r>
        <w:t>The Court wrote: “</w:t>
      </w:r>
      <w:r w:rsidRPr="005B4CCA">
        <w:t>The latter requirement, which is at issue in plaintiffs’ challenge, is</w:t>
      </w:r>
      <w:r>
        <w:t xml:space="preserve"> </w:t>
      </w:r>
      <w:r w:rsidRPr="005B4CCA">
        <w:t xml:space="preserve">fulfilled if paramedics (1) </w:t>
      </w:r>
      <w:r>
        <w:t>‘</w:t>
      </w:r>
      <w:r w:rsidRPr="005B4CCA">
        <w:t>maintain direct voice communication with</w:t>
      </w:r>
      <w:r>
        <w:t>’</w:t>
      </w:r>
      <w:r w:rsidRPr="005B4CCA">
        <w:t xml:space="preserve"> and (2) </w:t>
      </w:r>
      <w:r>
        <w:t>‘</w:t>
      </w:r>
      <w:r w:rsidRPr="005B4CCA">
        <w:t>are</w:t>
      </w:r>
      <w:r>
        <w:t xml:space="preserve"> </w:t>
      </w:r>
      <w:r w:rsidRPr="005B4CCA">
        <w:t>taking orders from a licensed physician</w:t>
      </w:r>
      <w:r>
        <w:t>’</w:t>
      </w:r>
      <w:r w:rsidRPr="005B4CCA">
        <w:t xml:space="preserve"> while providing ALS.</w:t>
      </w:r>
      <w:r>
        <w:t xml:space="preserve">” </w:t>
      </w:r>
      <w:hyperlink r:id="rId2034" w:history="1">
        <w:r w:rsidRPr="005431AD">
          <w:rPr>
            <w:rStyle w:val="Hyperlink"/>
          </w:rPr>
          <w:t>https://www.njcourts.gov/system/files/court-opinions/2026/a_73_24.pdf</w:t>
        </w:r>
      </w:hyperlink>
      <w:r>
        <w:t xml:space="preserve"> </w:t>
      </w:r>
    </w:p>
    <w:p w14:paraId="14748ECC" w14:textId="77777777" w:rsidR="00EB0265" w:rsidRDefault="00EB0265" w:rsidP="00EB0265">
      <w:pPr>
        <w:pStyle w:val="NoSpacing"/>
        <w:rPr>
          <w:b/>
        </w:rPr>
      </w:pPr>
    </w:p>
    <w:p w14:paraId="5696D8D0" w14:textId="77777777" w:rsidR="00EB0265" w:rsidRPr="00F26F6D" w:rsidRDefault="00EB0265" w:rsidP="00EB0265">
      <w:pPr>
        <w:pStyle w:val="NoSpacing"/>
        <w:rPr>
          <w:b/>
        </w:rPr>
      </w:pPr>
      <w:r w:rsidRPr="00F26F6D">
        <w:rPr>
          <w:b/>
        </w:rPr>
        <w:t xml:space="preserve">FACTS: </w:t>
      </w:r>
    </w:p>
    <w:p w14:paraId="74087FF2" w14:textId="77777777" w:rsidR="00EB0265" w:rsidRDefault="00EB0265" w:rsidP="00EB0265">
      <w:pPr>
        <w:pStyle w:val="NoSpacing"/>
        <w:rPr>
          <w:b/>
        </w:rPr>
      </w:pPr>
    </w:p>
    <w:p w14:paraId="052165B2" w14:textId="77777777" w:rsidR="00EB0265" w:rsidRDefault="00EB0265" w:rsidP="00EB0265">
      <w:pPr>
        <w:pStyle w:val="NoSpacing"/>
      </w:pPr>
      <w:r>
        <w:t>“8:56 p.m. Jeremy Almonte’s mother called 9-1-1 immediately after observing her twenty-one-month-old son fall and strike his head on a hardwood floor while running and playing in their Vauxhall home. After the fall, Almonte’s face and neck began ‘twitching</w:t>
      </w:r>
      <w:proofErr w:type="gramStart"/>
      <w:r>
        <w:t>,’ ‘</w:t>
      </w:r>
      <w:proofErr w:type="gramEnd"/>
      <w:r>
        <w:t>which rapidly</w:t>
      </w:r>
    </w:p>
    <w:p w14:paraId="6D471E06" w14:textId="77777777" w:rsidR="00EB0265" w:rsidRDefault="00EB0265" w:rsidP="00EB0265">
      <w:pPr>
        <w:pStyle w:val="NoSpacing"/>
      </w:pPr>
      <w:r>
        <w:t>progressed into full body convulsions.’</w:t>
      </w:r>
    </w:p>
    <w:p w14:paraId="5C57CD81" w14:textId="77777777" w:rsidR="00EB0265" w:rsidRDefault="00EB0265" w:rsidP="00EB0265">
      <w:pPr>
        <w:pStyle w:val="NoSpacing"/>
      </w:pPr>
    </w:p>
    <w:p w14:paraId="2F73BB7C" w14:textId="77777777" w:rsidR="00EB0265" w:rsidRDefault="00EB0265" w:rsidP="00EB0265">
      <w:pPr>
        <w:pStyle w:val="NoSpacing"/>
      </w:pPr>
      <w:r>
        <w:t>9:00 p.m. Basic life support (BLS) Emergency Medical Technicians (EMTs) arrived at the Almonte home. They found Almonte with a fist-sized lump on the rear of his head and reported that he was actively seizing and ‘unresponsive’ but breathing on his own. Almonte was</w:t>
      </w:r>
    </w:p>
    <w:p w14:paraId="05EC53ED" w14:textId="77777777" w:rsidR="00EB0265" w:rsidRDefault="00EB0265" w:rsidP="00EB0265">
      <w:pPr>
        <w:pStyle w:val="NoSpacing"/>
      </w:pPr>
      <w:r>
        <w:t>‘</w:t>
      </w:r>
      <w:proofErr w:type="gramStart"/>
      <w:r>
        <w:t>vomiting</w:t>
      </w:r>
      <w:proofErr w:type="gramEnd"/>
      <w:r>
        <w:t xml:space="preserve"> large amounts of fluid from his oral and nasal airway.’ The BLS EMTs administered oxygen, suctioned fluid from Almonte’s airway, and loaded him into an ambulance.</w:t>
      </w:r>
    </w:p>
    <w:p w14:paraId="565C5056" w14:textId="77777777" w:rsidR="00EB0265" w:rsidRDefault="00EB0265" w:rsidP="00EB0265">
      <w:pPr>
        <w:pStyle w:val="NoSpacing"/>
      </w:pPr>
    </w:p>
    <w:p w14:paraId="2E82D7A6" w14:textId="77777777" w:rsidR="00EB0265" w:rsidRDefault="00EB0265" w:rsidP="00EB0265">
      <w:pPr>
        <w:pStyle w:val="NoSpacing"/>
      </w:pPr>
      <w:r>
        <w:t xml:space="preserve">9:10 p.m. Advanced life support (ALS) paramedics employed by the Atlantic Ambulance Corporation, David Pernell and Denyel Cusimano (the paramedics), arrived and assumed care of Almonte. Almonte remained ‘unresponsive,’ with his </w:t>
      </w:r>
      <w:proofErr w:type="gramStart"/>
      <w:r>
        <w:t>lips blue</w:t>
      </w:r>
      <w:proofErr w:type="gramEnd"/>
      <w:r>
        <w:t xml:space="preserve">, extremities cool </w:t>
      </w:r>
      <w:proofErr w:type="gramStart"/>
      <w:r>
        <w:t>to</w:t>
      </w:r>
      <w:proofErr w:type="gramEnd"/>
      <w:r>
        <w:t xml:space="preserve"> the</w:t>
      </w:r>
    </w:p>
    <w:p w14:paraId="6C97BE10" w14:textId="77777777" w:rsidR="00EB0265" w:rsidRDefault="00EB0265" w:rsidP="00EB0265">
      <w:pPr>
        <w:pStyle w:val="NoSpacing"/>
      </w:pPr>
      <w:r>
        <w:t>touch, and jaw clenched shut; his breathing became ‘labored’ and he continued to actively seize.</w:t>
      </w:r>
    </w:p>
    <w:p w14:paraId="146365F3" w14:textId="77777777" w:rsidR="00EB0265" w:rsidRDefault="00EB0265" w:rsidP="00EB0265">
      <w:pPr>
        <w:pStyle w:val="NoSpacing"/>
      </w:pPr>
    </w:p>
    <w:p w14:paraId="444AD1C0" w14:textId="77777777" w:rsidR="00EB0265" w:rsidRDefault="00EB0265" w:rsidP="00EB0265">
      <w:pPr>
        <w:pStyle w:val="NoSpacing"/>
      </w:pPr>
      <w:r w:rsidRPr="00722122">
        <w:t>9:17 p.m. Pernell placed the first cellular phone call to Dr. Sharma</w:t>
      </w:r>
      <w:r>
        <w:t xml:space="preserve"> [Dr. Niti Sharma, M.D., a licensed physician working in the Emergency Department at Overlook Medical Center]…. DR. SHARMA: You can give him . . . one milligram [of Valium]….</w:t>
      </w:r>
    </w:p>
    <w:p w14:paraId="055D8E9E" w14:textId="77777777" w:rsidR="00EB0265" w:rsidRDefault="00EB0265" w:rsidP="00EB0265">
      <w:pPr>
        <w:pStyle w:val="NoSpacing"/>
      </w:pPr>
    </w:p>
    <w:p w14:paraId="7134EB08" w14:textId="77777777" w:rsidR="00EB0265" w:rsidRDefault="00EB0265" w:rsidP="00EB0265">
      <w:pPr>
        <w:pStyle w:val="NoSpacing"/>
      </w:pPr>
      <w:r>
        <w:t>9:29 p.m. Almonte’s ‘respiratory drive had decreased’ and his heart rate declined to 158 beats per minute (bpm). The paramedics suctioned ‘large amount[s] of fluid’ from Almonte’s ‘oral and nasal airways. Cusimano was able to open Almonte’s airway enough to insert a device to perform ventilation through a bag-valve-mask.</w:t>
      </w:r>
    </w:p>
    <w:p w14:paraId="1629957C" w14:textId="77777777" w:rsidR="00EB0265" w:rsidRDefault="00EB0265" w:rsidP="00EB0265">
      <w:pPr>
        <w:pStyle w:val="NoSpacing"/>
      </w:pPr>
    </w:p>
    <w:p w14:paraId="54586806" w14:textId="77777777" w:rsidR="00EB0265" w:rsidRDefault="00EB0265" w:rsidP="00EB0265">
      <w:pPr>
        <w:pStyle w:val="NoSpacing"/>
      </w:pPr>
      <w:r>
        <w:t>9:30 p.m. Pernell made the second cellular phone call to Dr. Sharma, during which the following exchange occurred:</w:t>
      </w:r>
    </w:p>
    <w:p w14:paraId="5E9B8DF0" w14:textId="77777777" w:rsidR="00EB0265" w:rsidRDefault="00EB0265" w:rsidP="00EB0265">
      <w:pPr>
        <w:pStyle w:val="NoSpacing"/>
        <w:ind w:left="720"/>
      </w:pPr>
    </w:p>
    <w:p w14:paraId="10A10F46" w14:textId="77777777" w:rsidR="00EB0265" w:rsidRDefault="00EB0265" w:rsidP="00EB0265">
      <w:pPr>
        <w:pStyle w:val="NoSpacing"/>
        <w:ind w:left="720"/>
      </w:pPr>
      <w:r>
        <w:t xml:space="preserve">PERNELL: This kid needs to be intubated. I need to get some orders for </w:t>
      </w:r>
      <w:proofErr w:type="spellStart"/>
      <w:r>
        <w:t>Succ</w:t>
      </w:r>
      <w:proofErr w:type="spellEnd"/>
      <w:r>
        <w:t xml:space="preserve"> and Etomidate. . . .</w:t>
      </w:r>
    </w:p>
    <w:p w14:paraId="0DD3B72A" w14:textId="77777777" w:rsidR="00EB0265" w:rsidRDefault="00EB0265" w:rsidP="00EB0265">
      <w:pPr>
        <w:pStyle w:val="NoSpacing"/>
      </w:pPr>
    </w:p>
    <w:p w14:paraId="0E268BB8" w14:textId="77777777" w:rsidR="00EB0265" w:rsidRDefault="00EB0265" w:rsidP="00EB0265">
      <w:pPr>
        <w:pStyle w:val="NoSpacing"/>
        <w:ind w:left="720"/>
      </w:pPr>
      <w:r>
        <w:t>DR. SHARMA: Etomidate . . . would be around four milligrams . . . And Succinylcholine . . . you can give him about [twenty-four] milligrams</w:t>
      </w:r>
      <w:proofErr w:type="gramStart"/>
      <w:r>
        <w:t>…..</w:t>
      </w:r>
      <w:proofErr w:type="gramEnd"/>
    </w:p>
    <w:p w14:paraId="77CAD3ED" w14:textId="77777777" w:rsidR="00EB0265" w:rsidRDefault="00EB0265" w:rsidP="00EB0265">
      <w:pPr>
        <w:pStyle w:val="NoSpacing"/>
        <w:ind w:left="720"/>
      </w:pPr>
    </w:p>
    <w:p w14:paraId="3B31333E" w14:textId="77777777" w:rsidR="00EB0265" w:rsidRDefault="00EB0265" w:rsidP="00EB0265">
      <w:pPr>
        <w:pStyle w:val="NoSpacing"/>
      </w:pPr>
      <w:r>
        <w:t>***</w:t>
      </w:r>
    </w:p>
    <w:p w14:paraId="6987AD02" w14:textId="77777777" w:rsidR="00EB0265" w:rsidRDefault="00EB0265" w:rsidP="00EB0265">
      <w:pPr>
        <w:pStyle w:val="NoSpacing"/>
      </w:pPr>
    </w:p>
    <w:p w14:paraId="15051D9D" w14:textId="77777777" w:rsidR="00EB0265" w:rsidRDefault="00EB0265" w:rsidP="00EB0265">
      <w:pPr>
        <w:pStyle w:val="NoSpacing"/>
      </w:pPr>
      <w:r>
        <w:t>9:37 p.m. The ambulance arrived at University Hospital. The paramedics remained with Almonte in the ambulance to continue their attempts to intubate him.</w:t>
      </w:r>
    </w:p>
    <w:p w14:paraId="004DDB7E" w14:textId="77777777" w:rsidR="00EB0265" w:rsidRDefault="00EB0265" w:rsidP="00EB0265">
      <w:pPr>
        <w:pStyle w:val="NoSpacing"/>
      </w:pPr>
    </w:p>
    <w:p w14:paraId="45EA20E1" w14:textId="77777777" w:rsidR="00EB0265" w:rsidRDefault="00EB0265" w:rsidP="00EB0265">
      <w:pPr>
        <w:pStyle w:val="NoSpacing"/>
      </w:pPr>
      <w:r>
        <w:t>9:42 p.m. Pernell began the third intubation attempt. Almonte’s ‘airway [was] cleared via suction while intubating.’ The ‘[p]</w:t>
      </w:r>
      <w:proofErr w:type="spellStart"/>
      <w:r>
        <w:t>lacement</w:t>
      </w:r>
      <w:proofErr w:type="spellEnd"/>
      <w:r>
        <w:t xml:space="preserve"> of [the] tube [was] successful’ and was ‘verified by’ measuring Almonte’s breathing and </w:t>
      </w:r>
      <w:proofErr w:type="gramStart"/>
      <w:r>
        <w:t>through ‘[</w:t>
      </w:r>
      <w:proofErr w:type="gramEnd"/>
      <w:r>
        <w:t>d]</w:t>
      </w:r>
      <w:proofErr w:type="spellStart"/>
      <w:r>
        <w:t>irect</w:t>
      </w:r>
      <w:proofErr w:type="spellEnd"/>
      <w:r>
        <w:t xml:space="preserve"> [v]</w:t>
      </w:r>
      <w:proofErr w:type="spellStart"/>
      <w:r>
        <w:t>isualization</w:t>
      </w:r>
      <w:proofErr w:type="spellEnd"/>
      <w:r>
        <w:t>.’ At this point, Almonte’s heart rate decreased to 71 bpm.</w:t>
      </w:r>
    </w:p>
    <w:p w14:paraId="41FC22BE" w14:textId="77777777" w:rsidR="00EB0265" w:rsidRDefault="00EB0265" w:rsidP="00EB0265">
      <w:pPr>
        <w:pStyle w:val="NoSpacing"/>
      </w:pPr>
    </w:p>
    <w:p w14:paraId="00CDB46F" w14:textId="77777777" w:rsidR="00EB0265" w:rsidRDefault="00EB0265" w:rsidP="00EB0265">
      <w:pPr>
        <w:pStyle w:val="NoSpacing"/>
      </w:pPr>
      <w:r>
        <w:t>9:47 p.m. Almonte was transferred to the Trauma Center by stretcher. When Almonte arrived, he was in cardiac arrest. The trauma physician found that the endotracheal tube was not in Almonte’s trachea. Almonte was then reintubated and resuscitated.</w:t>
      </w:r>
    </w:p>
    <w:p w14:paraId="6E8FBEE4" w14:textId="77777777" w:rsidR="00EB0265" w:rsidRDefault="00EB0265" w:rsidP="00EB0265">
      <w:pPr>
        <w:pStyle w:val="NoSpacing"/>
      </w:pPr>
    </w:p>
    <w:p w14:paraId="1B9B365B" w14:textId="77777777" w:rsidR="00EB0265" w:rsidRDefault="00EB0265" w:rsidP="00EB0265">
      <w:pPr>
        <w:pStyle w:val="NoSpacing"/>
      </w:pPr>
      <w:r>
        <w:t>9:57 p.m. Almonte’s breathing returned.”</w:t>
      </w:r>
    </w:p>
    <w:p w14:paraId="2C80F3F0" w14:textId="77777777" w:rsidR="00EB0265" w:rsidRDefault="00EB0265" w:rsidP="00EB0265">
      <w:pPr>
        <w:pStyle w:val="NoSpacing"/>
      </w:pPr>
    </w:p>
    <w:p w14:paraId="6A1AFE79" w14:textId="77777777" w:rsidR="00EB0265" w:rsidRDefault="00EB0265" w:rsidP="00EB0265">
      <w:pPr>
        <w:pStyle w:val="NoSpacing"/>
      </w:pPr>
    </w:p>
    <w:p w14:paraId="28A16251" w14:textId="77777777" w:rsidR="00EB0265" w:rsidRDefault="00EB0265" w:rsidP="00EB0265">
      <w:pPr>
        <w:pStyle w:val="NoSpacing"/>
        <w:rPr>
          <w:b/>
          <w:bCs/>
        </w:rPr>
      </w:pPr>
      <w:r w:rsidRPr="003D3633">
        <w:rPr>
          <w:b/>
        </w:rPr>
        <w:t>COURT HELD:</w:t>
      </w:r>
    </w:p>
    <w:p w14:paraId="524588A7" w14:textId="77777777" w:rsidR="00EB0265" w:rsidRDefault="00EB0265" w:rsidP="00EB0265">
      <w:pPr>
        <w:pStyle w:val="NoSpacing"/>
        <w:rPr>
          <w:b/>
          <w:bCs/>
        </w:rPr>
      </w:pPr>
    </w:p>
    <w:p w14:paraId="50985698" w14:textId="77777777" w:rsidR="00EB0265" w:rsidRPr="00B554DF" w:rsidRDefault="00EB0265" w:rsidP="00EB0265">
      <w:pPr>
        <w:pStyle w:val="NoSpacing"/>
      </w:pPr>
      <w:r>
        <w:t>“</w:t>
      </w:r>
      <w:r w:rsidRPr="00B554DF">
        <w:t>We conclude that the paramedics who provided care to Jeremy Almonte</w:t>
      </w:r>
      <w:r>
        <w:t xml:space="preserve"> </w:t>
      </w:r>
      <w:r w:rsidRPr="00B554DF">
        <w:t xml:space="preserve">acted under the </w:t>
      </w:r>
      <w:r>
        <w:t>‘</w:t>
      </w:r>
      <w:r w:rsidRPr="00B554DF">
        <w:t>orders</w:t>
      </w:r>
      <w:r>
        <w:t>’</w:t>
      </w:r>
      <w:r w:rsidRPr="00B554DF">
        <w:t xml:space="preserve"> of Dr. Niti Sharma, M.D., a licensed physician</w:t>
      </w:r>
      <w:r>
        <w:t xml:space="preserve"> </w:t>
      </w:r>
      <w:r w:rsidRPr="00B554DF">
        <w:t>working in the Emergency Department at Overlook Medical Center in Summit,</w:t>
      </w:r>
      <w:r>
        <w:t xml:space="preserve"> </w:t>
      </w:r>
      <w:r w:rsidRPr="00B554DF">
        <w:t>to intubate Almonte in an effort to open his airway; we also have determined</w:t>
      </w:r>
      <w:r>
        <w:t xml:space="preserve"> </w:t>
      </w:r>
      <w:r w:rsidRPr="00B554DF">
        <w:t xml:space="preserve">that those orders were conveyed during </w:t>
      </w:r>
      <w:r>
        <w:t>‘</w:t>
      </w:r>
      <w:r w:rsidRPr="00B554DF">
        <w:t>direct voice communication[s]</w:t>
      </w:r>
      <w:r>
        <w:t>’</w:t>
      </w:r>
      <w:r w:rsidRPr="00B554DF">
        <w:t xml:space="preserve"> with</w:t>
      </w:r>
    </w:p>
    <w:p w14:paraId="7F3EDC95" w14:textId="77777777" w:rsidR="00EB0265" w:rsidRDefault="00EB0265" w:rsidP="00EB0265">
      <w:pPr>
        <w:pStyle w:val="NoSpacing"/>
      </w:pPr>
      <w:r w:rsidRPr="00B554DF">
        <w:t>Dr. Sharma. Accordingly, we hold that defendants are entitled to immunity.</w:t>
      </w:r>
      <w:r>
        <w:t xml:space="preserve"> </w:t>
      </w:r>
      <w:r w:rsidRPr="00B554DF">
        <w:t>We reach this holding based on N.J.S.A. 26:2K-10’s plain language, aided by</w:t>
      </w:r>
      <w:r>
        <w:t xml:space="preserve"> </w:t>
      </w:r>
      <w:r w:rsidRPr="00B554DF">
        <w:t>legislative intent.</w:t>
      </w:r>
    </w:p>
    <w:p w14:paraId="29A13864" w14:textId="77777777" w:rsidR="00EB0265" w:rsidRDefault="00EB0265" w:rsidP="00EB0265">
      <w:pPr>
        <w:pStyle w:val="NoSpacing"/>
      </w:pPr>
    </w:p>
    <w:p w14:paraId="28FD1C56" w14:textId="77777777" w:rsidR="00EB0265" w:rsidRDefault="00EB0265" w:rsidP="00EB0265">
      <w:pPr>
        <w:pStyle w:val="NoSpacing"/>
      </w:pPr>
      <w:r>
        <w:t>***</w:t>
      </w:r>
    </w:p>
    <w:p w14:paraId="1134D813" w14:textId="77777777" w:rsidR="00EB0265" w:rsidRPr="00B554DF" w:rsidRDefault="00EB0265" w:rsidP="00EB0265">
      <w:pPr>
        <w:pStyle w:val="NoSpacing"/>
      </w:pPr>
      <w:r>
        <w:t>The appellate court noted that the statute itself does not define ‘maintain direct voice communication’ and credited the testimony of plaintiffs’ expert, Dr. Brown, that such communication need not be a ‘</w:t>
      </w:r>
      <w:r w:rsidRPr="00907730">
        <w:t>constant, live stream.</w:t>
      </w:r>
      <w:r>
        <w:t>’”</w:t>
      </w:r>
    </w:p>
    <w:p w14:paraId="335219A9" w14:textId="77777777" w:rsidR="00EB0265" w:rsidRDefault="00EB0265" w:rsidP="00EB0265">
      <w:pPr>
        <w:pStyle w:val="NoSpacing"/>
      </w:pPr>
    </w:p>
    <w:p w14:paraId="6FAF2A2E" w14:textId="77777777" w:rsidR="00EB0265" w:rsidRPr="00F010AA" w:rsidRDefault="00EB0265" w:rsidP="00EB0265">
      <w:pPr>
        <w:pStyle w:val="NoSpacing"/>
        <w:rPr>
          <w:b/>
          <w:bCs/>
        </w:rPr>
      </w:pPr>
      <w:r>
        <w:rPr>
          <w:b/>
        </w:rPr>
        <w:t xml:space="preserve">Legal lesson learned: Medics have immunity under the NJ law (now broadened) since they called hospital </w:t>
      </w:r>
      <w:proofErr w:type="gramStart"/>
      <w:r>
        <w:rPr>
          <w:b/>
        </w:rPr>
        <w:t>physician</w:t>
      </w:r>
      <w:proofErr w:type="gramEnd"/>
      <w:r>
        <w:rPr>
          <w:b/>
        </w:rPr>
        <w:t xml:space="preserve"> before intubation and administration of meds; check the law and your protocol in your state on when must contact Medical Control.</w:t>
      </w:r>
    </w:p>
    <w:p w14:paraId="3AFD0224" w14:textId="77777777" w:rsidR="00752531" w:rsidRDefault="00752531" w:rsidP="00752531">
      <w:pPr>
        <w:pStyle w:val="NoSpacing"/>
        <w:rPr>
          <w:rFonts w:ascii="Arial Black" w:hAnsi="Arial Black"/>
          <w:sz w:val="24"/>
          <w:szCs w:val="24"/>
        </w:rPr>
      </w:pPr>
    </w:p>
    <w:p w14:paraId="3D229831" w14:textId="77777777" w:rsidR="00752531" w:rsidRDefault="00752531" w:rsidP="00752531">
      <w:pPr>
        <w:pStyle w:val="NoSpacing"/>
        <w:rPr>
          <w:rFonts w:ascii="Arial Black" w:hAnsi="Arial Black"/>
          <w:sz w:val="24"/>
          <w:szCs w:val="24"/>
        </w:rPr>
      </w:pPr>
    </w:p>
    <w:p w14:paraId="027546E3" w14:textId="1747EB82" w:rsidR="00752531" w:rsidRPr="00DA5EE8" w:rsidRDefault="00752531" w:rsidP="00752531">
      <w:pPr>
        <w:pStyle w:val="NoSpacing"/>
        <w:rPr>
          <w:rFonts w:ascii="Arial Black" w:hAnsi="Arial Black"/>
          <w:sz w:val="24"/>
          <w:szCs w:val="24"/>
        </w:rPr>
      </w:pPr>
      <w:r w:rsidRPr="00DA5EE8">
        <w:rPr>
          <w:rFonts w:ascii="Arial Black" w:hAnsi="Arial Black"/>
          <w:sz w:val="24"/>
          <w:szCs w:val="24"/>
        </w:rPr>
        <w:t>13-2</w:t>
      </w:r>
      <w:r>
        <w:rPr>
          <w:rFonts w:ascii="Arial Black" w:hAnsi="Arial Black"/>
          <w:sz w:val="24"/>
          <w:szCs w:val="24"/>
        </w:rPr>
        <w:t>64</w:t>
      </w:r>
    </w:p>
    <w:p w14:paraId="351EB58E" w14:textId="4C9B721B" w:rsidR="00EB0265" w:rsidRDefault="00EB0265" w:rsidP="00EB0265">
      <w:pPr>
        <w:pStyle w:val="NoSpacing"/>
        <w:rPr>
          <w:sz w:val="20"/>
          <w:szCs w:val="20"/>
        </w:rPr>
      </w:pPr>
      <w:r w:rsidRPr="00F922D6">
        <w:rPr>
          <w:sz w:val="20"/>
          <w:szCs w:val="20"/>
        </w:rPr>
        <w:tab/>
      </w:r>
    </w:p>
    <w:p w14:paraId="7627E21F" w14:textId="77777777" w:rsidR="00EB0265" w:rsidRDefault="00EB0265" w:rsidP="00EB0265">
      <w:pPr>
        <w:pStyle w:val="NoSpacing"/>
      </w:pPr>
    </w:p>
    <w:p w14:paraId="731AC1C9" w14:textId="77777777" w:rsidR="00EB0265" w:rsidRPr="000629C2" w:rsidRDefault="00EB0265" w:rsidP="00EB0265">
      <w:pPr>
        <w:pStyle w:val="NoSpacing"/>
        <w:rPr>
          <w:rFonts w:ascii="Arial Black" w:hAnsi="Arial Black"/>
          <w:sz w:val="28"/>
          <w:szCs w:val="28"/>
        </w:rPr>
      </w:pPr>
      <w:r>
        <w:rPr>
          <w:rFonts w:ascii="Arial Black" w:hAnsi="Arial Black"/>
          <w:sz w:val="28"/>
          <w:szCs w:val="28"/>
        </w:rPr>
        <w:t>TX: AMBUL OUT 02 TRANSP – P’s EXPERT RPT TOSSED</w:t>
      </w:r>
    </w:p>
    <w:p w14:paraId="6489260B" w14:textId="77777777" w:rsidR="00EB0265" w:rsidRDefault="00EB0265" w:rsidP="00EB0265">
      <w:pPr>
        <w:pStyle w:val="NoSpacing"/>
      </w:pPr>
    </w:p>
    <w:p w14:paraId="7C854EBB" w14:textId="77777777" w:rsidR="00EB0265" w:rsidRDefault="00EB0265" w:rsidP="00EB0265">
      <w:pPr>
        <w:pStyle w:val="NoSpacing"/>
      </w:pPr>
      <w:r>
        <w:t xml:space="preserve">On June 25, 2026, in </w:t>
      </w:r>
      <w:r w:rsidRPr="00FB68FB">
        <w:rPr>
          <w:u w:val="single"/>
        </w:rPr>
        <w:t>Chester Powell v. Jimmy Cruz Sanchez</w:t>
      </w:r>
      <w:r>
        <w:t xml:space="preserve">, the </w:t>
      </w:r>
      <w:r w:rsidRPr="00FB68FB">
        <w:t>Court of Appeals of Texas, Thirteenth District, Corpus Christi-Edinburg</w:t>
      </w:r>
      <w:r>
        <w:t xml:space="preserve"> held (3 to 0) that case was properly dismissed; trial court had discretion to either allow or prohibit plaintiff to file new report about EMT duties instead of paramedic duties. The EMT employed by </w:t>
      </w:r>
      <w:r w:rsidRPr="000B25EA">
        <w:t>Sacred Heart EMS</w:t>
      </w:r>
      <w:r>
        <w:t xml:space="preserve"> was driving a patient from </w:t>
      </w:r>
      <w:r w:rsidRPr="00B970BB">
        <w:t>DeTar Hospital in Victoria</w:t>
      </w:r>
      <w:r>
        <w:t>, Texas</w:t>
      </w:r>
      <w:r w:rsidRPr="00B970BB">
        <w:t xml:space="preserve"> to Methodist Hospital in San Antonio. During the transport, the oxygen supply ran out, and the ambulance diverted to the nearest hospital</w:t>
      </w:r>
      <w:r>
        <w:t xml:space="preserve">, where patient was admitted to intensive care. In a TX </w:t>
      </w:r>
      <w:r w:rsidRPr="000629C2">
        <w:t>health care liability case</w:t>
      </w:r>
      <w:r>
        <w:t>, the plaintiff must submit expert report with the lawsuit setting out breach of duty – in this case the MDs report was about paramedic duties.   Trial court dismissed the lawsuit, instead of granting 30 days to for plaintiff to file revised report;  Court of Appeals upheld the dismissal.  The Court wrote: “</w:t>
      </w:r>
      <w:r w:rsidRPr="00AB6B88">
        <w:t>Accordingly, the trial court did not abuse its discretion in granting Cruz's motion to dismiss with prejudice based on an inadequate report.</w:t>
      </w:r>
      <w:r>
        <w:t>”</w:t>
      </w:r>
    </w:p>
    <w:p w14:paraId="212A5ADD" w14:textId="77777777" w:rsidR="00EB0265" w:rsidRPr="003F2723" w:rsidRDefault="00EB0265" w:rsidP="00EB0265">
      <w:pPr>
        <w:pStyle w:val="NoSpacing"/>
        <w:rPr>
          <w:b/>
        </w:rPr>
      </w:pPr>
      <w:hyperlink r:id="rId2035" w:history="1">
        <w:r w:rsidRPr="00014504">
          <w:rPr>
            <w:rStyle w:val="Hyperlink"/>
            <w:b/>
          </w:rPr>
          <w:t>https://public.fastcase.com/Jhe1Qn%2BmJndQYQU6z%2FeNmxd3J8jpmxXxyeidb6WXrTEciJVACoDQGCX04YyoIKQxWs5hBfmCFqjSsPik5w4la1NJYiz6fo5tDOdYnNwjoT0%3D?utm_medium=email&amp;_hsenc=p2ANqtz-9LzrN1R9Pgrlzgu6Bjb006a7Y-7J4xKc7rzHzZp95cTtgFvjhjxyCpE0IXkHF1YdLpVWdu75zDjIRZyumRHM8CB80GGw&amp;_hsmi=226712652&amp;utm_content=226712652&amp;utm_source=hs_email</w:t>
        </w:r>
      </w:hyperlink>
      <w:r>
        <w:rPr>
          <w:b/>
        </w:rPr>
        <w:t xml:space="preserve"> </w:t>
      </w:r>
    </w:p>
    <w:p w14:paraId="70EC9EBB" w14:textId="77777777" w:rsidR="00EB0265" w:rsidRDefault="00EB0265" w:rsidP="00EB0265">
      <w:pPr>
        <w:pStyle w:val="NoSpacing"/>
      </w:pPr>
    </w:p>
    <w:p w14:paraId="409272F4" w14:textId="77777777" w:rsidR="00EB0265" w:rsidRPr="000629C2" w:rsidRDefault="00EB0265" w:rsidP="00EB0265">
      <w:pPr>
        <w:pStyle w:val="NoSpacing"/>
      </w:pPr>
    </w:p>
    <w:p w14:paraId="4D50E0C4" w14:textId="77777777" w:rsidR="00EB0265" w:rsidRDefault="00EB0265" w:rsidP="00EB0265">
      <w:pPr>
        <w:pStyle w:val="NoSpacing"/>
        <w:rPr>
          <w:b/>
          <w:bCs/>
        </w:rPr>
      </w:pPr>
      <w:r w:rsidRPr="00FC1481">
        <w:rPr>
          <w:b/>
        </w:rPr>
        <w:t>FACTS:</w:t>
      </w:r>
    </w:p>
    <w:p w14:paraId="32CBAF26" w14:textId="77777777" w:rsidR="00EB0265" w:rsidRDefault="00EB0265" w:rsidP="00EB0265">
      <w:pPr>
        <w:pStyle w:val="NoSpacing"/>
        <w:rPr>
          <w:b/>
          <w:bCs/>
        </w:rPr>
      </w:pPr>
    </w:p>
    <w:p w14:paraId="4B0B0684" w14:textId="77777777" w:rsidR="00EB0265" w:rsidRDefault="00EB0265" w:rsidP="00EB0265">
      <w:pPr>
        <w:pStyle w:val="NoSpacing"/>
      </w:pPr>
      <w:r>
        <w:t>“</w:t>
      </w:r>
      <w:r w:rsidRPr="00481044">
        <w:t>Powell asserted that he was transported in an ambulance "manned by" Cruz</w:t>
      </w:r>
      <w:r>
        <w:t xml:space="preserve"> [Jimmy Cruz Sanchez] from </w:t>
      </w:r>
      <w:r w:rsidRPr="00481044">
        <w:t xml:space="preserve">DeTar Hospital in Victoria to Methodist Hospital in San Antonio. During the transport, the oxygen supply ran out, and the ambulance diverted to the nearest hospital. Powell was admitted to the Intensive Care Unit, and he was placed on </w:t>
      </w:r>
      <w:r>
        <w:t>‘</w:t>
      </w:r>
      <w:proofErr w:type="spellStart"/>
      <w:r w:rsidRPr="00481044">
        <w:t>veno</w:t>
      </w:r>
      <w:proofErr w:type="spellEnd"/>
      <w:r w:rsidRPr="00481044">
        <w:t>-venous Extra Corporal Membrane Oxygenation</w:t>
      </w:r>
      <w:r>
        <w:t>’</w:t>
      </w:r>
      <w:r w:rsidRPr="00481044">
        <w:t xml:space="preserve"> for eighty-two days and suffered from adult respiratory distress syndrome. Powell stated that he could not recover from this incident and remains on a portable oxygen ventilator. Powell alleged that Cruz's conduct was a proximate cause of his resulting injuries.</w:t>
      </w:r>
    </w:p>
    <w:p w14:paraId="0105DB43" w14:textId="77777777" w:rsidR="00EB0265" w:rsidRDefault="00EB0265" w:rsidP="00EB0265">
      <w:pPr>
        <w:pStyle w:val="NoSpacing"/>
      </w:pPr>
    </w:p>
    <w:p w14:paraId="58B93CA1" w14:textId="77777777" w:rsidR="00EB0265" w:rsidRDefault="00EB0265" w:rsidP="00EB0265">
      <w:pPr>
        <w:pStyle w:val="NoSpacing"/>
      </w:pPr>
      <w:r>
        <w:t>***</w:t>
      </w:r>
    </w:p>
    <w:p w14:paraId="5557DB88" w14:textId="77777777" w:rsidR="00EB0265" w:rsidRDefault="00EB0265" w:rsidP="00EB0265">
      <w:pPr>
        <w:pStyle w:val="NoSpacing"/>
      </w:pPr>
      <w:r w:rsidRPr="005E585F">
        <w:t xml:space="preserve">On September 17, 2024, Cruz objected to the expert report, asserting Dr. Bedolla based his expert report on the roles and duties of a paramedic, which Cruz is not. In his motion, Cruz stated that he is merely an EMT, and he explained the difference between the two roles. Cruz moved to dismiss contending the expert report did not constitute a </w:t>
      </w:r>
      <w:r>
        <w:t>‘</w:t>
      </w:r>
      <w:r w:rsidRPr="005E585F">
        <w:t>good faith</w:t>
      </w:r>
      <w:r>
        <w:t>’</w:t>
      </w:r>
      <w:r w:rsidRPr="005E585F">
        <w:t xml:space="preserve"> effort to comply with section 74.351 because Dr. Bedolla only addressed the standard of care, breach, roles and duties of a paramedic and failed to address the appropriate standard of an EMT.</w:t>
      </w:r>
      <w:r>
        <w:t>”</w:t>
      </w:r>
    </w:p>
    <w:p w14:paraId="268DDD0E" w14:textId="77777777" w:rsidR="00EB0265" w:rsidRDefault="00EB0265" w:rsidP="00EB0265">
      <w:pPr>
        <w:pStyle w:val="NoSpacing"/>
      </w:pPr>
    </w:p>
    <w:p w14:paraId="2B662419" w14:textId="77777777" w:rsidR="00EB0265" w:rsidRDefault="00EB0265" w:rsidP="00EB0265">
      <w:pPr>
        <w:pStyle w:val="NoSpacing"/>
        <w:rPr>
          <w:b/>
          <w:bCs/>
        </w:rPr>
      </w:pPr>
      <w:r w:rsidRPr="005E585F">
        <w:rPr>
          <w:b/>
        </w:rPr>
        <w:t>COURT HELD:</w:t>
      </w:r>
    </w:p>
    <w:p w14:paraId="0883ADE6" w14:textId="77777777" w:rsidR="00EB0265" w:rsidRDefault="00EB0265" w:rsidP="00EB0265">
      <w:pPr>
        <w:pStyle w:val="NoSpacing"/>
        <w:rPr>
          <w:b/>
          <w:bCs/>
        </w:rPr>
      </w:pPr>
    </w:p>
    <w:p w14:paraId="3EB309BA" w14:textId="77777777" w:rsidR="00EB0265" w:rsidRDefault="00EB0265" w:rsidP="00EB0265">
      <w:pPr>
        <w:pStyle w:val="NoSpacing"/>
      </w:pPr>
      <w:r>
        <w:t>“</w:t>
      </w:r>
      <w:r w:rsidRPr="00094EF3">
        <w:t xml:space="preserve">Dr. Bedolla prefaced his expert report with the following: </w:t>
      </w:r>
      <w:r>
        <w:t>‘</w:t>
      </w:r>
      <w:r w:rsidRPr="00094EF3">
        <w:t xml:space="preserve">Thank you for the opportunity to review this case. It is a case of negligence involving EMS transport by </w:t>
      </w:r>
      <w:proofErr w:type="gramStart"/>
      <w:r w:rsidRPr="00094EF3">
        <w:t>Mr. [Cruz],</w:t>
      </w:r>
      <w:proofErr w:type="gramEnd"/>
      <w:r w:rsidRPr="00094EF3">
        <w:t xml:space="preserve"> a paramedic with Sacred Heart EMS.</w:t>
      </w:r>
      <w:r>
        <w:t>’</w:t>
      </w:r>
      <w:r w:rsidRPr="00094EF3">
        <w:t xml:space="preserve"> The report then details a paramedic's duties and roles and further opines how Cruz failed to adhere to a paramedic's standard of care and how he breached that standard.</w:t>
      </w:r>
    </w:p>
    <w:p w14:paraId="7588EEBF" w14:textId="77777777" w:rsidR="00EB0265" w:rsidRDefault="00EB0265" w:rsidP="00EB0265">
      <w:pPr>
        <w:pStyle w:val="NoSpacing"/>
      </w:pPr>
    </w:p>
    <w:p w14:paraId="213C0ED9" w14:textId="77777777" w:rsidR="00EB0265" w:rsidRDefault="00EB0265" w:rsidP="00EB0265">
      <w:pPr>
        <w:pStyle w:val="NoSpacing"/>
      </w:pPr>
      <w:r>
        <w:t>***</w:t>
      </w:r>
    </w:p>
    <w:p w14:paraId="18125F3F" w14:textId="77777777" w:rsidR="00EB0265" w:rsidRPr="00094EF3" w:rsidRDefault="00EB0265" w:rsidP="00EB0265">
      <w:pPr>
        <w:pStyle w:val="NoSpacing"/>
      </w:pPr>
      <w:r w:rsidRPr="0040133C">
        <w:t xml:space="preserve">We recognize that </w:t>
      </w:r>
      <w:r>
        <w:t>‘</w:t>
      </w:r>
      <w:r w:rsidRPr="0040133C">
        <w:t>even when a report is deemed not served because it is deficient, the trial court retains discretion to grant a thirty[-]day extension.</w:t>
      </w:r>
      <w:r>
        <w:t>’</w:t>
      </w:r>
      <w:r w:rsidRPr="0040133C">
        <w:t xml:space="preserve"> </w:t>
      </w:r>
      <w:r w:rsidRPr="0040133C">
        <w:rPr>
          <w:i/>
          <w:iCs/>
        </w:rPr>
        <w:t>Ogletree</w:t>
      </w:r>
      <w:r w:rsidRPr="0040133C">
        <w:t xml:space="preserve">, 262 S.W.3d at 320-321. </w:t>
      </w:r>
      <w:r>
        <w:t>‘</w:t>
      </w:r>
      <w:r w:rsidRPr="0040133C">
        <w:t>Although the distinction between 'no report' and a deficient-but-potentially curable report can be elusive,</w:t>
      </w:r>
      <w:r>
        <w:t>’</w:t>
      </w:r>
      <w:r w:rsidRPr="0040133C">
        <w:t xml:space="preserve"> we conclude that the expert report as to Cruz is "no report," as it does not address an applicable standard of care, such that a dismissal of the actions against him was required without an opportunity to cure the report</w:t>
      </w:r>
      <w:r>
        <w:t xml:space="preserve">…. </w:t>
      </w:r>
      <w:r w:rsidRPr="00AB6B88">
        <w:t>Accordingly, the trial court did not abuse its discretion in granting Cruz's motion to dismiss with prejudice based on an inadequate report. We overrule Powell's issue.</w:t>
      </w:r>
      <w:r>
        <w:t>”</w:t>
      </w:r>
    </w:p>
    <w:p w14:paraId="13DCA125" w14:textId="77777777" w:rsidR="00EB0265" w:rsidRPr="00094EF3" w:rsidRDefault="00EB0265" w:rsidP="00EB0265">
      <w:pPr>
        <w:pStyle w:val="NoSpacing"/>
      </w:pPr>
    </w:p>
    <w:p w14:paraId="121ED732" w14:textId="77777777" w:rsidR="00EB0265" w:rsidRDefault="00EB0265" w:rsidP="00EB0265">
      <w:pPr>
        <w:pStyle w:val="NoSpacing"/>
      </w:pPr>
      <w:r>
        <w:rPr>
          <w:b/>
        </w:rPr>
        <w:t xml:space="preserve">Legal lesson learned: Expert reports are required in healthcare liability cases when case is filed; expert must carefully describe duties that were allegedly breached.  Check your ambulance O2 should be checked every shift and prior to patient </w:t>
      </w:r>
      <w:proofErr w:type="gramStart"/>
      <w:r>
        <w:rPr>
          <w:b/>
        </w:rPr>
        <w:t>transports</w:t>
      </w:r>
      <w:proofErr w:type="gramEnd"/>
      <w:r>
        <w:rPr>
          <w:b/>
        </w:rPr>
        <w:t xml:space="preserve">. </w:t>
      </w:r>
    </w:p>
    <w:p w14:paraId="443248F8" w14:textId="77777777" w:rsidR="00EB0265" w:rsidRDefault="00EB0265" w:rsidP="00EB0265">
      <w:pPr>
        <w:pStyle w:val="NoSpacing"/>
      </w:pPr>
    </w:p>
    <w:p w14:paraId="2343161C" w14:textId="77777777" w:rsidR="00752531" w:rsidRDefault="00752531" w:rsidP="00752531">
      <w:pPr>
        <w:pStyle w:val="NoSpacing"/>
        <w:rPr>
          <w:rFonts w:ascii="Arial Black" w:hAnsi="Arial Black"/>
          <w:sz w:val="24"/>
          <w:szCs w:val="24"/>
        </w:rPr>
      </w:pPr>
    </w:p>
    <w:p w14:paraId="5AF079AC" w14:textId="58ED50D6" w:rsidR="00752531" w:rsidRPr="00DA5EE8" w:rsidRDefault="00752531" w:rsidP="00752531">
      <w:pPr>
        <w:pStyle w:val="NoSpacing"/>
        <w:rPr>
          <w:rFonts w:ascii="Arial Black" w:hAnsi="Arial Black"/>
          <w:sz w:val="24"/>
          <w:szCs w:val="24"/>
        </w:rPr>
      </w:pPr>
      <w:r w:rsidRPr="00DA5EE8">
        <w:rPr>
          <w:rFonts w:ascii="Arial Black" w:hAnsi="Arial Black"/>
          <w:sz w:val="24"/>
          <w:szCs w:val="24"/>
        </w:rPr>
        <w:t>13-2</w:t>
      </w:r>
      <w:r>
        <w:rPr>
          <w:rFonts w:ascii="Arial Black" w:hAnsi="Arial Black"/>
          <w:sz w:val="24"/>
          <w:szCs w:val="24"/>
        </w:rPr>
        <w:t>63</w:t>
      </w:r>
    </w:p>
    <w:p w14:paraId="309980DE" w14:textId="77777777" w:rsidR="00EB0265" w:rsidRDefault="00EB0265" w:rsidP="00EB0265">
      <w:pPr>
        <w:pStyle w:val="NoSpacing"/>
      </w:pPr>
    </w:p>
    <w:p w14:paraId="0BF1A383" w14:textId="77777777" w:rsidR="00EB0265" w:rsidRPr="00F7747C" w:rsidRDefault="00EB0265" w:rsidP="00EB0265">
      <w:pPr>
        <w:rPr>
          <w:rFonts w:ascii="Arial Black" w:hAnsi="Arial Black"/>
          <w:b/>
          <w:bCs/>
          <w:sz w:val="28"/>
          <w:szCs w:val="28"/>
        </w:rPr>
      </w:pPr>
      <w:r>
        <w:rPr>
          <w:rFonts w:ascii="Arial Black" w:hAnsi="Arial Black"/>
          <w:b/>
          <w:sz w:val="28"/>
          <w:szCs w:val="28"/>
        </w:rPr>
        <w:t>IL: COVID-19 – RELIGION – CITY PROH. FETUS CELL MEDS</w:t>
      </w:r>
    </w:p>
    <w:p w14:paraId="501A8A6B" w14:textId="77777777" w:rsidR="00EB0265" w:rsidRDefault="00EB0265" w:rsidP="00EB0265">
      <w:pPr>
        <w:pStyle w:val="NoSpacing"/>
      </w:pPr>
      <w:r>
        <w:t xml:space="preserve">On June 22, 2026, in </w:t>
      </w:r>
      <w:r w:rsidRPr="00FF6D9F">
        <w:rPr>
          <w:u w:val="single"/>
        </w:rPr>
        <w:t>Robert Morris v. The City of Chicago</w:t>
      </w:r>
      <w:r>
        <w:t xml:space="preserve">, U.S. District Court Judge </w:t>
      </w:r>
      <w:r w:rsidRPr="00A22E52">
        <w:t xml:space="preserve">Joan H. </w:t>
      </w:r>
      <w:proofErr w:type="spellStart"/>
      <w:r w:rsidRPr="00A22E52">
        <w:t>Lefkow</w:t>
      </w:r>
      <w:proofErr w:type="spellEnd"/>
      <w:r>
        <w:t xml:space="preserve">, </w:t>
      </w:r>
      <w:r w:rsidRPr="00A22E52">
        <w:t>United States District Court, Northern District of Illinois, Eastern Division</w:t>
      </w:r>
      <w:r>
        <w:t xml:space="preserve">, held that the fighter’s claim of religious discrimination may proceed – during COVID-19 vaccination period only firefighters seeking religious discrimination were required to sign a form certifying they would forgo certain medications that city claims </w:t>
      </w:r>
      <w:r w:rsidRPr="00E51E4E">
        <w:t>were developed using cells obtained from aborted fetuses.</w:t>
      </w:r>
      <w:r>
        <w:t xml:space="preserve"> The Court wrote: “</w:t>
      </w:r>
      <w:r w:rsidRPr="00551616">
        <w:t>Further, Morris alleges that no parallel requirement existed for individuals requesting non-religious accommodations—only those, like him, who opposed the use of fetal cell lines in the development of vaccines on religious grounds.</w:t>
      </w:r>
      <w:r>
        <w:t>”</w:t>
      </w:r>
    </w:p>
    <w:p w14:paraId="253CFCB2" w14:textId="77777777" w:rsidR="00EB0265" w:rsidRDefault="00EB0265" w:rsidP="00EB0265">
      <w:pPr>
        <w:pStyle w:val="NoSpacing"/>
      </w:pPr>
      <w:hyperlink r:id="rId2036" w:history="1">
        <w:r w:rsidRPr="001B1815">
          <w:rPr>
            <w:rStyle w:val="Hyperlink"/>
          </w:rPr>
          <w:t>https://public.fastcase.com/Jhe1Qn%2BmJndQYQU6z%2FeNm00La4tSCrrnQj5Y3npvm8fdoq4TeulewGlEW3bFFA7N?utm_medium=email&amp;_hsenc=p2ANqtz-8ThEk2xAXh6kES_woWZ5vNzcOTlPOgA5SAfsmD2YLCJ8ZqGGe3eNs5iYP9SOCvDgMCA2VIbcxNqC2sINqsn3X7XvkFGA&amp;_hsmi=226712652&amp;utm_content=226712652&amp;utm_source=hs_email</w:t>
        </w:r>
      </w:hyperlink>
      <w:r>
        <w:t xml:space="preserve"> </w:t>
      </w:r>
    </w:p>
    <w:p w14:paraId="2FB6F9A1" w14:textId="77777777" w:rsidR="00EB0265" w:rsidRDefault="00EB0265" w:rsidP="00EB0265">
      <w:pPr>
        <w:rPr>
          <w:bCs/>
        </w:rPr>
      </w:pPr>
    </w:p>
    <w:p w14:paraId="19935B79" w14:textId="77777777" w:rsidR="00EB0265" w:rsidRDefault="00EB0265" w:rsidP="00EB0265">
      <w:pPr>
        <w:rPr>
          <w:bCs/>
        </w:rPr>
      </w:pPr>
      <w:r w:rsidRPr="00F26F6D">
        <w:rPr>
          <w:b/>
        </w:rPr>
        <w:lastRenderedPageBreak/>
        <w:t>FACTS:</w:t>
      </w:r>
      <w:r>
        <w:t xml:space="preserve"> </w:t>
      </w:r>
    </w:p>
    <w:p w14:paraId="4528FD75" w14:textId="77777777" w:rsidR="00EB0265" w:rsidRDefault="00EB0265" w:rsidP="00EB0265">
      <w:r>
        <w:t>“</w:t>
      </w:r>
      <w:r w:rsidRPr="003E0DC7">
        <w:t xml:space="preserve">In August 2021, the City implemented a COVID-19 vaccination policy that required its employees to be vaccinated against the COVID-19 virus. Morris, a firefighter for the </w:t>
      </w:r>
      <w:proofErr w:type="gramStart"/>
      <w:r w:rsidRPr="003E0DC7">
        <w:t>City</w:t>
      </w:r>
      <w:proofErr w:type="gramEnd"/>
      <w:r w:rsidRPr="003E0DC7">
        <w:t xml:space="preserve"> and a devout Catholic deacon, refused to take the COVID-19 vaccine due to his religious beliefs. Morris opposes, on religious grounds, the use of vaccines derived from fetal cell lines. So, on October 13, 2021, he submitted a religious accommodation request, seeking an exemption from the COVID-19 vaccine requirement. His request included a multi-page explanation of his </w:t>
      </w:r>
      <w:r>
        <w:t xml:space="preserve"> </w:t>
      </w:r>
      <w:r w:rsidRPr="003E0DC7">
        <w:t>religious beliefs that addressed each of the questions outlined in the City's form. He had, however, deliberately omitted from the request the signature of a spiritual advisor, since he believed that requiring such a signature was unnecessary and illegal. As a Catholic deacon, he deemed his signature to be sufficient</w:t>
      </w:r>
      <w:r>
        <w:t xml:space="preserve">…. </w:t>
      </w:r>
      <w:r w:rsidRPr="00AF6F9F">
        <w:t xml:space="preserve">Eventually, on January 26, 2022, Morris signed the Attestation Form, since he feared repercussions from the </w:t>
      </w:r>
      <w:proofErr w:type="gramStart"/>
      <w:r w:rsidRPr="00AF6F9F">
        <w:t>City</w:t>
      </w:r>
      <w:proofErr w:type="gramEnd"/>
      <w:r w:rsidRPr="00AF6F9F">
        <w:t xml:space="preserve"> if he refused to do so. One day later, the </w:t>
      </w:r>
      <w:proofErr w:type="gramStart"/>
      <w:r w:rsidRPr="00AF6F9F">
        <w:t>City</w:t>
      </w:r>
      <w:proofErr w:type="gramEnd"/>
      <w:r w:rsidRPr="00AF6F9F">
        <w:t xml:space="preserve"> granted his accommodations request</w:t>
      </w:r>
      <w:r>
        <w:t xml:space="preserve">…. </w:t>
      </w:r>
      <w:r w:rsidRPr="00F7747C">
        <w:t xml:space="preserve">The City also introduced additional requirements for Morris to seek an exemption, including a new condition that he </w:t>
      </w:r>
      <w:proofErr w:type="gramStart"/>
      <w:r w:rsidRPr="00F7747C">
        <w:t>sign</w:t>
      </w:r>
      <w:proofErr w:type="gramEnd"/>
      <w:r w:rsidRPr="00F7747C">
        <w:t xml:space="preserve"> a medication follow-up attestation (the Attestation Form), which required Morris to agree that he would forgo using certain medications. Individuals who sought medical exemptions were not required to sign the Attestation Form or a comparable form. Only individuals seeking a religious exemption were required to sign this form.</w:t>
      </w:r>
      <w:r>
        <w:t>”</w:t>
      </w:r>
    </w:p>
    <w:p w14:paraId="50905CCD" w14:textId="77777777" w:rsidR="00EB0265" w:rsidRDefault="00EB0265" w:rsidP="00EB0265">
      <w:pPr>
        <w:pStyle w:val="NoSpacing"/>
      </w:pPr>
    </w:p>
    <w:p w14:paraId="4D450282" w14:textId="77777777" w:rsidR="00EB0265" w:rsidRDefault="00EB0265" w:rsidP="00EB0265">
      <w:pPr>
        <w:pStyle w:val="NoSpacing"/>
        <w:rPr>
          <w:b/>
          <w:bCs/>
        </w:rPr>
      </w:pPr>
      <w:r w:rsidRPr="00F26F6D">
        <w:rPr>
          <w:b/>
        </w:rPr>
        <w:t>COURT HELD:</w:t>
      </w:r>
    </w:p>
    <w:p w14:paraId="6B7E0D7D" w14:textId="77777777" w:rsidR="00EB0265" w:rsidRDefault="00EB0265" w:rsidP="00EB0265">
      <w:pPr>
        <w:pStyle w:val="NoSpacing"/>
      </w:pPr>
    </w:p>
    <w:p w14:paraId="5DD87390" w14:textId="77777777" w:rsidR="00EB0265" w:rsidRPr="00551616" w:rsidRDefault="00EB0265" w:rsidP="00EB0265">
      <w:pPr>
        <w:pStyle w:val="NoSpacing"/>
      </w:pPr>
      <w:r>
        <w:t xml:space="preserve"> </w:t>
      </w:r>
      <w:r w:rsidRPr="009E2CCD">
        <w:t>“Religious Discrimination (Count II)….</w:t>
      </w:r>
      <w:r>
        <w:t xml:space="preserve"> </w:t>
      </w:r>
      <w:r w:rsidRPr="008A0C1C">
        <w:t>Moreover, following the Supreme Court's decision in Muldrow v. City of St. Louis, Missouri, it is clear that a relatively minor adverse action suffices for pleading a Title VII disparate treatment claim: A plaintiff need only allege “some harm respecting an identifiable term or condition of employment.” 601 U.S. 346, 355 (2024) (emphasis added). There is no need to allege that the harm a plaintiff suffered is “serious, or substantial, or any similar adjective” for a such a claim to be well-pleaded. Id</w:t>
      </w:r>
      <w:r>
        <w:t xml:space="preserve">…. </w:t>
      </w:r>
      <w:r w:rsidRPr="00551616">
        <w:t xml:space="preserve">Morris has met the low threshold requirements for pleading disparate treatment and religious discrimination. The City argues that Morris has failed to allege an adverse action, but Morris alleges that as a precondition for receiving his vaccine exemption, the City required him to complete the Attestation Form, which prohibited him from taking a range of common medications or potentially face discipline. Since many of these were </w:t>
      </w:r>
      <w:proofErr w:type="gramStart"/>
      <w:r w:rsidRPr="00551616">
        <w:t>medications</w:t>
      </w:r>
      <w:proofErr w:type="gramEnd"/>
      <w:r w:rsidRPr="00551616">
        <w:t xml:space="preserve"> he did not have any religious opposition to, this not only changed the terms and conditions of Morris's employment but also required him to misrepresent his religious views </w:t>
      </w:r>
      <w:proofErr w:type="gramStart"/>
      <w:r w:rsidRPr="00551616">
        <w:t>in order to</w:t>
      </w:r>
      <w:proofErr w:type="gramEnd"/>
      <w:r w:rsidRPr="00551616">
        <w:t xml:space="preserve"> be exempt from the City's vaccination requirement. Accordingly, Morris has shown at least </w:t>
      </w:r>
      <w:r>
        <w:t>‘</w:t>
      </w:r>
      <w:r w:rsidRPr="00551616">
        <w:t>some harm</w:t>
      </w:r>
      <w:r>
        <w:t>’</w:t>
      </w:r>
      <w:r w:rsidRPr="00551616">
        <w:t xml:space="preserve"> for purposes of stating an adverse action. </w:t>
      </w:r>
      <w:r w:rsidRPr="00551616">
        <w:rPr>
          <w:i/>
          <w:iCs/>
        </w:rPr>
        <w:t>Muldrow</w:t>
      </w:r>
      <w:r w:rsidRPr="00551616">
        <w:t xml:space="preserve">, 601 U.S. at 355. Further, Morris alleges that no parallel requirement existed for individuals requesting non-religious accommodations—only </w:t>
      </w:r>
    </w:p>
    <w:p w14:paraId="53D63E97" w14:textId="77777777" w:rsidR="00EB0265" w:rsidRDefault="00EB0265" w:rsidP="00EB0265">
      <w:pPr>
        <w:pStyle w:val="NoSpacing"/>
      </w:pPr>
      <w:r w:rsidRPr="00551616">
        <w:t>those, like him, who opposed the use of fetal cell lines in the development of vaccines on religious grounds. In other words, Morris alleges that the changes to the terms and conditions of his employment were made on account of his religious beliefs. Under Title VII's generous pleading standards for disparate treatment claims, this is sufficient.</w:t>
      </w:r>
      <w:r>
        <w:t xml:space="preserve">”  </w:t>
      </w:r>
    </w:p>
    <w:p w14:paraId="5D2C1A8B" w14:textId="77777777" w:rsidR="00EB0265" w:rsidRDefault="00EB0265" w:rsidP="00EB0265">
      <w:pPr>
        <w:pStyle w:val="NoSpacing"/>
      </w:pPr>
    </w:p>
    <w:p w14:paraId="000331B9" w14:textId="77777777" w:rsidR="00EB0265" w:rsidRPr="003209C4" w:rsidRDefault="00EB0265" w:rsidP="00EB0265">
      <w:pPr>
        <w:pStyle w:val="NoSpacing"/>
        <w:rPr>
          <w:b/>
          <w:bCs/>
        </w:rPr>
      </w:pPr>
      <w:r>
        <w:rPr>
          <w:b/>
        </w:rPr>
        <w:t xml:space="preserve">Legal lesson learned: To avoid religious discrimination lawsuits, do not impose unique requirements on only those firefighters seeking religious accommodations. </w:t>
      </w:r>
    </w:p>
    <w:p w14:paraId="159736EA" w14:textId="77777777" w:rsidR="00EB0265" w:rsidRPr="008A0C1C" w:rsidRDefault="00EB0265" w:rsidP="00EB0265">
      <w:pPr>
        <w:pStyle w:val="NoSpacing"/>
      </w:pPr>
    </w:p>
    <w:p w14:paraId="65226508" w14:textId="77777777" w:rsidR="00EB0265" w:rsidRPr="008A0C1C" w:rsidRDefault="00EB0265" w:rsidP="00EB0265">
      <w:pPr>
        <w:pStyle w:val="NoSpacing"/>
      </w:pPr>
      <w:r>
        <w:tab/>
        <w:t xml:space="preserve">Note: See this Feb. 19, </w:t>
      </w:r>
      <w:proofErr w:type="gramStart"/>
      <w:r>
        <w:t>2024</w:t>
      </w:r>
      <w:proofErr w:type="gramEnd"/>
      <w:r>
        <w:t xml:space="preserve"> article:</w:t>
      </w:r>
    </w:p>
    <w:p w14:paraId="738ACA25" w14:textId="77777777" w:rsidR="00EB0265" w:rsidRDefault="00EB0265" w:rsidP="00EB0265">
      <w:pPr>
        <w:pStyle w:val="NoSpacing"/>
        <w:ind w:left="720"/>
        <w:rPr>
          <w:bCs/>
        </w:rPr>
      </w:pPr>
      <w:r w:rsidRPr="009D4AD6">
        <w:t>“Chicago firefighter says city forced him to refuse all other meds before granting Covid vax religious exemption</w:t>
      </w:r>
      <w:r w:rsidRPr="00024DD4">
        <w:t>. A Chicago firefighter has filed suit against the city, claiming his rights were violated when the city of Chicago forced him to sign a form agreeing not to take even the most basic of medications before granting him a religious exemption from the city's Covid vaccine mandate.</w:t>
      </w:r>
      <w:r>
        <w:t xml:space="preserve"> </w:t>
      </w:r>
      <w:hyperlink r:id="rId2037" w:history="1">
        <w:r w:rsidRPr="00D079ED">
          <w:rPr>
            <w:rStyle w:val="Hyperlink"/>
            <w:color w:val="auto"/>
            <w:u w:val="none"/>
          </w:rPr>
          <w:t>On Feb. 5, plaintiff Daniel Baumgartner filed suit in Chicago federal court against the city, accusing the city of religious discrimination.</w:t>
        </w:r>
      </w:hyperlink>
      <w:r>
        <w:t xml:space="preserve">... </w:t>
      </w:r>
      <w:r w:rsidRPr="00E51E4E">
        <w:t xml:space="preserve">The lawsuit asserts the form would all but bar Baumgartner from taking even basic over the counter medications, including Benadryl, ibuprofen and aspirin, because the city claims </w:t>
      </w:r>
      <w:proofErr w:type="gramStart"/>
      <w:r w:rsidRPr="00E51E4E">
        <w:t>all of</w:t>
      </w:r>
      <w:proofErr w:type="gramEnd"/>
      <w:r w:rsidRPr="00E51E4E">
        <w:t xml:space="preserve"> those medications were developed using cells obtained from aborted fetuses. Baumgartner's complaint asserts the forms are </w:t>
      </w:r>
      <w:r>
        <w:t>‘</w:t>
      </w:r>
      <w:r w:rsidRPr="00E51E4E">
        <w:t>riddled with inaccurate and flatly erroneous information about the listed medications and their connections to fetal cells.</w:t>
      </w:r>
      <w:r>
        <w:t>’”</w:t>
      </w:r>
    </w:p>
    <w:p w14:paraId="2E79D4B2" w14:textId="77777777" w:rsidR="00EB0265" w:rsidRPr="00D079ED" w:rsidRDefault="00EB0265" w:rsidP="00EB0265">
      <w:pPr>
        <w:pStyle w:val="NoSpacing"/>
        <w:ind w:left="720"/>
        <w:rPr>
          <w:bCs/>
        </w:rPr>
      </w:pPr>
      <w:hyperlink r:id="rId2038" w:history="1">
        <w:r w:rsidRPr="001B1815">
          <w:rPr>
            <w:rStyle w:val="Hyperlink"/>
          </w:rPr>
          <w:t>https://www.legalnewsline.com/cook-county-record/chicago-firefighter-says-city-forced-him-to-refuse-all-other-meds-before-granting-covid-vax/article_68ad87a4-9b1a-50d4-8779-f38508fd4aad.html</w:t>
        </w:r>
      </w:hyperlink>
      <w:r>
        <w:t xml:space="preserve"> </w:t>
      </w:r>
    </w:p>
    <w:p w14:paraId="12E16FD5" w14:textId="77777777" w:rsidR="00EB0265" w:rsidRDefault="00EB0265" w:rsidP="00EB0265">
      <w:pPr>
        <w:pStyle w:val="NoSpacing"/>
        <w:rPr>
          <w:b/>
        </w:rPr>
      </w:pPr>
    </w:p>
    <w:p w14:paraId="6D8BF693" w14:textId="77777777" w:rsidR="00EB0265" w:rsidRDefault="00EB0265" w:rsidP="00EB0265">
      <w:pPr>
        <w:pStyle w:val="NoSpacing"/>
        <w:rPr>
          <w:b/>
        </w:rPr>
      </w:pPr>
    </w:p>
    <w:p w14:paraId="1A3A062C" w14:textId="05A5978F" w:rsidR="007A053D" w:rsidRDefault="007A053D" w:rsidP="007A053D">
      <w:pPr>
        <w:pStyle w:val="NoSpacing"/>
        <w:rPr>
          <w:rFonts w:ascii="Arial Black" w:hAnsi="Arial Black"/>
          <w:sz w:val="24"/>
          <w:szCs w:val="24"/>
        </w:rPr>
      </w:pPr>
      <w:r w:rsidRPr="00DA5EE8">
        <w:rPr>
          <w:rFonts w:ascii="Arial Black" w:hAnsi="Arial Black"/>
          <w:sz w:val="24"/>
          <w:szCs w:val="24"/>
        </w:rPr>
        <w:t>13-2</w:t>
      </w:r>
      <w:r>
        <w:rPr>
          <w:rFonts w:ascii="Arial Black" w:hAnsi="Arial Black"/>
          <w:sz w:val="24"/>
          <w:szCs w:val="24"/>
        </w:rPr>
        <w:t>62</w:t>
      </w:r>
    </w:p>
    <w:p w14:paraId="68471CAF" w14:textId="77777777" w:rsidR="00752531" w:rsidRDefault="00752531" w:rsidP="00EB0265">
      <w:pPr>
        <w:rPr>
          <w:rFonts w:ascii="Arial Black" w:hAnsi="Arial Black"/>
          <w:b/>
          <w:sz w:val="28"/>
          <w:szCs w:val="28"/>
        </w:rPr>
      </w:pPr>
    </w:p>
    <w:p w14:paraId="1E9F49A1" w14:textId="410141D3" w:rsidR="00EB0265" w:rsidRPr="00C26528" w:rsidRDefault="00EB0265" w:rsidP="00EB0265">
      <w:pPr>
        <w:rPr>
          <w:rFonts w:ascii="Arial Black" w:hAnsi="Arial Black"/>
          <w:b/>
          <w:sz w:val="28"/>
          <w:szCs w:val="28"/>
        </w:rPr>
      </w:pPr>
      <w:r>
        <w:rPr>
          <w:rFonts w:ascii="Arial Black" w:hAnsi="Arial Black"/>
          <w:b/>
          <w:sz w:val="28"/>
          <w:szCs w:val="28"/>
        </w:rPr>
        <w:t>CO: MEDIC – CONV. REV. KETAMINE DEATH – NEW TRIAL</w:t>
      </w:r>
    </w:p>
    <w:p w14:paraId="5FD8780F" w14:textId="77777777" w:rsidR="00EB0265" w:rsidRDefault="00EB0265" w:rsidP="00EB0265">
      <w:pPr>
        <w:rPr>
          <w:b/>
        </w:rPr>
      </w:pPr>
      <w:r>
        <w:t xml:space="preserve">On June 4. 2026, in </w:t>
      </w:r>
      <w:r w:rsidRPr="00C94F16">
        <w:rPr>
          <w:u w:val="single"/>
        </w:rPr>
        <w:t>The People of the State of Colorado v. Jeremy Cooper</w:t>
      </w:r>
      <w:r>
        <w:t xml:space="preserve">, the </w:t>
      </w:r>
      <w:r w:rsidRPr="004E2276">
        <w:t>Court of Appeals of Colorado, First Division</w:t>
      </w:r>
      <w:r>
        <w:t xml:space="preserve"> held (3 to 0) that the trial court judge gave jury an improperly jury instruction on when a medic could be guilty of “criminally negligent homicide.”  The trial judge should have instructed the jury in 2023 trial that a paramedic </w:t>
      </w:r>
      <w:proofErr w:type="spellStart"/>
      <w:r>
        <w:t>isonly</w:t>
      </w:r>
      <w:proofErr w:type="spellEnd"/>
      <w:r>
        <w:t xml:space="preserve">  </w:t>
      </w:r>
      <w:r w:rsidRPr="0086124D">
        <w:t xml:space="preserve">guilty of </w:t>
      </w:r>
      <w:r>
        <w:t>“</w:t>
      </w:r>
      <w:r w:rsidRPr="0086124D">
        <w:t>criminally negligent homicide</w:t>
      </w:r>
      <w:r>
        <w:t>” only when his conduct in 2019 was a gross violation of the protocols to be followed by a reasonable medic in that community.  The Court wrote: The Court wrote: “</w:t>
      </w:r>
      <w:r w:rsidRPr="00F572CB">
        <w:t xml:space="preserve">A person acts 'with criminal negligence' when, through a gross deviation from the standard of care that a </w:t>
      </w:r>
      <w:r w:rsidRPr="00F572CB">
        <w:rPr>
          <w:i/>
          <w:iCs/>
        </w:rPr>
        <w:t>reasonable paramedic in Aurora, Colorado</w:t>
      </w:r>
      <w:r w:rsidRPr="00F572CB">
        <w:t xml:space="preserve"> would exercise in the same circumstance, he fails to perceive a substantial and unjustifiable risk that a result will occur or that a circumstance exists.</w:t>
      </w:r>
      <w:r>
        <w:t xml:space="preserve">’ </w:t>
      </w:r>
      <w:hyperlink r:id="rId2039" w:history="1">
        <w:r w:rsidRPr="00971037">
          <w:rPr>
            <w:rStyle w:val="Hyperlink"/>
          </w:rPr>
          <w:t>https://www.coloradojudicial.gov/system/files/opinions-2026-06/24CA1002.pdf</w:t>
        </w:r>
      </w:hyperlink>
      <w:r>
        <w:t xml:space="preserve"> </w:t>
      </w:r>
    </w:p>
    <w:p w14:paraId="0E82B7BC" w14:textId="77777777" w:rsidR="00EB0265" w:rsidRDefault="00EB0265" w:rsidP="00EB0265">
      <w:pPr>
        <w:rPr>
          <w:b/>
        </w:rPr>
      </w:pPr>
      <w:r>
        <w:rPr>
          <w:b/>
        </w:rPr>
        <w:t>FACTS:</w:t>
      </w:r>
    </w:p>
    <w:p w14:paraId="47CF6A6F" w14:textId="77777777" w:rsidR="00EB0265" w:rsidRDefault="00EB0265" w:rsidP="00EB0265">
      <w:pPr>
        <w:pStyle w:val="NoSpacing"/>
      </w:pPr>
      <w:r>
        <w:t>“</w:t>
      </w:r>
      <w:r w:rsidRPr="005C2B80">
        <w:t xml:space="preserve">This case arises out of the tragic death of Elijah McClain following an interaction with Aurora police officers and fire rescue paramedics. Defendant, Jeremy Cooper, is the paramedic who injected Mr. McClain with ketamine, which, the People contend, contributed to his death. Cooper appeals the district court's judgment of conviction entered on a jury's verdict finding him guilty of criminally negligent homicide. We conclude that the district court erred by failing to properly instruct the jury on the standard of care applicable to the criminally negligent homicide charge and that the error wasn't harmless. Accordingly, we reverse the judgment and </w:t>
      </w:r>
      <w:proofErr w:type="gramStart"/>
      <w:r w:rsidRPr="005C2B80">
        <w:t>remand</w:t>
      </w:r>
      <w:proofErr w:type="gramEnd"/>
      <w:r w:rsidRPr="005C2B80">
        <w:t xml:space="preserve"> the case for a new trial.</w:t>
      </w:r>
    </w:p>
    <w:p w14:paraId="7B32F492" w14:textId="77777777" w:rsidR="00EB0265" w:rsidRDefault="00EB0265" w:rsidP="00EB0265">
      <w:pPr>
        <w:pStyle w:val="NoSpacing"/>
      </w:pPr>
    </w:p>
    <w:p w14:paraId="6CDD737B" w14:textId="77777777" w:rsidR="00EB0265" w:rsidRDefault="00EB0265" w:rsidP="00EB0265">
      <w:pPr>
        <w:pStyle w:val="NoSpacing"/>
      </w:pPr>
      <w:r>
        <w:t>***</w:t>
      </w:r>
    </w:p>
    <w:p w14:paraId="06A42C00" w14:textId="77777777" w:rsidR="00EB0265" w:rsidRPr="00B97DA4" w:rsidRDefault="00EB0265" w:rsidP="00EB0265">
      <w:pPr>
        <w:pStyle w:val="NoSpacing"/>
      </w:pPr>
      <w:r w:rsidRPr="00B97DA4">
        <w:t xml:space="preserve">One summer evening, Mr. McClain walked to a convenience store and bought a few cans of iced tea. The store's security </w:t>
      </w:r>
      <w:proofErr w:type="gramStart"/>
      <w:r w:rsidRPr="00B97DA4">
        <w:t>cameras</w:t>
      </w:r>
      <w:proofErr w:type="gramEnd"/>
      <w:r w:rsidRPr="00B97DA4">
        <w:t xml:space="preserve"> showed him wearing a black ski mask and headphones, paying for his tea, and dancing with his arms raised in the parking lot. </w:t>
      </w:r>
    </w:p>
    <w:p w14:paraId="6338A848" w14:textId="77777777" w:rsidR="00EB0265" w:rsidRDefault="00EB0265" w:rsidP="00EB0265">
      <w:pPr>
        <w:pStyle w:val="NoSpacing"/>
      </w:pPr>
    </w:p>
    <w:p w14:paraId="0F9CB969" w14:textId="77777777" w:rsidR="00EB0265" w:rsidRPr="00B97DA4" w:rsidRDefault="00EB0265" w:rsidP="00EB0265">
      <w:pPr>
        <w:pStyle w:val="NoSpacing"/>
      </w:pPr>
      <w:r w:rsidRPr="00B97DA4">
        <w:t xml:space="preserve">Soon after Mr. McClain left the store, a 911 caller reported a "sketchy" looking black male </w:t>
      </w:r>
      <w:r>
        <w:t>‘</w:t>
      </w:r>
      <w:r w:rsidRPr="00B97DA4">
        <w:t>walking fast</w:t>
      </w:r>
      <w:r>
        <w:t>’</w:t>
      </w:r>
      <w:r w:rsidRPr="00B97DA4">
        <w:t xml:space="preserve"> down the street wearing a black ski mask and "moving his arms." </w:t>
      </w:r>
    </w:p>
    <w:p w14:paraId="0A81B02A" w14:textId="77777777" w:rsidR="00EB0265" w:rsidRPr="00B97DA4" w:rsidRDefault="00EB0265" w:rsidP="00EB0265">
      <w:pPr>
        <w:pStyle w:val="NoSpacing"/>
      </w:pPr>
    </w:p>
    <w:p w14:paraId="2C4FE585" w14:textId="77777777" w:rsidR="00EB0265" w:rsidRPr="00B97DA4" w:rsidRDefault="00EB0265" w:rsidP="00EB0265">
      <w:pPr>
        <w:pStyle w:val="NoSpacing"/>
      </w:pPr>
      <w:r w:rsidRPr="00B97DA4">
        <w:t xml:space="preserve">Aurora police officers saw Mr. McClain. Police body-worn cameras recorded the interaction. When the officers asked Mr. McClain to stop, he said he had a right to walk where he was going and continued walking. Three officers then tried to physically restrain Mr. McClain. One repeatedly told him to </w:t>
      </w:r>
      <w:r>
        <w:t>‘</w:t>
      </w:r>
      <w:r w:rsidRPr="00B97DA4">
        <w:t>stop tensing up,</w:t>
      </w:r>
      <w:r>
        <w:t>’</w:t>
      </w:r>
      <w:r w:rsidRPr="00B97DA4">
        <w:t xml:space="preserve"> and one told him to </w:t>
      </w:r>
      <w:r>
        <w:t>‘</w:t>
      </w:r>
      <w:r w:rsidRPr="00B97DA4">
        <w:t>relax or I'm going to have to change this situation.</w:t>
      </w:r>
      <w:r>
        <w:t>’</w:t>
      </w:r>
      <w:r w:rsidRPr="00B97DA4">
        <w:t xml:space="preserve"> Mr. McClain objected to being stopped, and the officers began to struggle with him. </w:t>
      </w:r>
    </w:p>
    <w:p w14:paraId="1024E3E1" w14:textId="77777777" w:rsidR="00EB0265" w:rsidRDefault="00EB0265" w:rsidP="00EB0265">
      <w:pPr>
        <w:pStyle w:val="NoSpacing"/>
      </w:pPr>
      <w:r w:rsidRPr="00B97DA4">
        <w:t>        </w:t>
      </w:r>
    </w:p>
    <w:p w14:paraId="7246E9EE" w14:textId="77777777" w:rsidR="00EB0265" w:rsidRPr="00B97DA4" w:rsidRDefault="00EB0265" w:rsidP="00EB0265">
      <w:pPr>
        <w:pStyle w:val="NoSpacing"/>
      </w:pPr>
      <w:r w:rsidRPr="00B97DA4">
        <w:t xml:space="preserve"> As the officers continued to struggle with Mr. McClain, one of them said, </w:t>
      </w:r>
      <w:r>
        <w:t>‘</w:t>
      </w:r>
      <w:r w:rsidRPr="00B97DA4">
        <w:t>He just grabbed your gun,</w:t>
      </w:r>
      <w:r>
        <w:t>’</w:t>
      </w:r>
      <w:r w:rsidRPr="00B97DA4">
        <w:t xml:space="preserve"> to one of the other officers. The officers pushed Mr. McClain to the ground. An officer tried to put Mr. McClain in a carotid control hold, whereby a person applies pressure on someone's neck with his bicep and forearm. When that effort failed, another officer put Mr. McClain in a carotid control hold. The second hold cut off blood flow to Mr. McClain's brain, causing him to temporarily lose consciousness. When Mr. McClain regained consciousness, he told the officers that he couldn't breathe. He later vomited. An officer asked a dispatcher to send paramedics to treat Mr. McClain because he had temporarily lost consciousness. </w:t>
      </w:r>
    </w:p>
    <w:p w14:paraId="25893C55" w14:textId="77777777" w:rsidR="00EB0265" w:rsidRPr="00B97DA4" w:rsidRDefault="00EB0265" w:rsidP="00EB0265">
      <w:pPr>
        <w:pStyle w:val="NoSpacing"/>
      </w:pPr>
    </w:p>
    <w:p w14:paraId="1CDC5FE0" w14:textId="77777777" w:rsidR="00EB0265" w:rsidRPr="00B97DA4" w:rsidRDefault="00EB0265" w:rsidP="00EB0265">
      <w:pPr>
        <w:pStyle w:val="NoSpacing"/>
      </w:pPr>
      <w:r w:rsidRPr="00B97DA4">
        <w:t xml:space="preserve">Cooper; his supervisor, Lieutenant Peter Cichuniec; and two </w:t>
      </w:r>
      <w:proofErr w:type="gramStart"/>
      <w:r w:rsidRPr="00B97DA4">
        <w:t>nonmedical</w:t>
      </w:r>
      <w:proofErr w:type="gramEnd"/>
      <w:r w:rsidRPr="00B97DA4">
        <w:t xml:space="preserve"> fire department personnel (an </w:t>
      </w:r>
      <w:r>
        <w:t>‘</w:t>
      </w:r>
      <w:r w:rsidRPr="00B97DA4">
        <w:t>engineer</w:t>
      </w:r>
      <w:r>
        <w:t>’</w:t>
      </w:r>
      <w:r w:rsidRPr="00B97DA4">
        <w:t xml:space="preserve"> and a firefighter) arrived a few minutes later. They saw two officers restraining Mr. McClain on the ground. The police officers told Cooper and </w:t>
      </w:r>
      <w:proofErr w:type="spellStart"/>
      <w:r w:rsidRPr="00B97DA4">
        <w:t>Cichuniec</w:t>
      </w:r>
      <w:proofErr w:type="spellEnd"/>
      <w:r w:rsidRPr="00B97DA4">
        <w:t xml:space="preserve"> that Mr. McClain had </w:t>
      </w:r>
      <w:r>
        <w:t>‘</w:t>
      </w:r>
      <w:r w:rsidRPr="00B97DA4">
        <w:t>passed out,</w:t>
      </w:r>
      <w:r>
        <w:t>’</w:t>
      </w:r>
      <w:r w:rsidRPr="00B97DA4">
        <w:t xml:space="preserve"> was </w:t>
      </w:r>
      <w:r>
        <w:t>‘</w:t>
      </w:r>
      <w:r w:rsidRPr="00B97DA4">
        <w:t>definitely on something,</w:t>
      </w:r>
      <w:r>
        <w:t>’</w:t>
      </w:r>
      <w:r w:rsidRPr="00B97DA4">
        <w:t xml:space="preserve"> and was </w:t>
      </w:r>
      <w:r>
        <w:t>‘</w:t>
      </w:r>
      <w:r w:rsidRPr="00B97DA4">
        <w:t>acting crazy.</w:t>
      </w:r>
      <w:r>
        <w:t>’</w:t>
      </w:r>
      <w:r w:rsidRPr="00B97DA4">
        <w:t xml:space="preserve"> One of the officers said that the officers had tried to </w:t>
      </w:r>
      <w:r>
        <w:t>‘</w:t>
      </w:r>
      <w:r w:rsidRPr="00B97DA4">
        <w:t>put a carotid on the guy</w:t>
      </w:r>
      <w:r>
        <w:t>’</w:t>
      </w:r>
      <w:r w:rsidRPr="00B97DA4">
        <w:t xml:space="preserve"> and had done so, which </w:t>
      </w:r>
      <w:r>
        <w:t>‘</w:t>
      </w:r>
      <w:r w:rsidRPr="00B97DA4">
        <w:t>put [Mr. McClain] out.</w:t>
      </w:r>
      <w:r>
        <w:t>’</w:t>
      </w:r>
      <w:r w:rsidRPr="00B97DA4">
        <w:t xml:space="preserve"> Officers also said Mr. McClain had shown </w:t>
      </w:r>
      <w:r>
        <w:t>‘</w:t>
      </w:r>
      <w:r w:rsidRPr="00B97DA4">
        <w:t>incredible</w:t>
      </w:r>
      <w:r>
        <w:t xml:space="preserve">’ </w:t>
      </w:r>
      <w:r w:rsidRPr="00B97DA4">
        <w:t xml:space="preserve">and </w:t>
      </w:r>
      <w:r>
        <w:t>‘</w:t>
      </w:r>
      <w:r w:rsidRPr="00B97DA4">
        <w:t>crazy</w:t>
      </w:r>
      <w:r>
        <w:t>’</w:t>
      </w:r>
      <w:r w:rsidRPr="00B97DA4">
        <w:t xml:space="preserve"> strength from </w:t>
      </w:r>
      <w:r>
        <w:t>‘</w:t>
      </w:r>
      <w:r w:rsidRPr="00B97DA4">
        <w:t>whatever he's on</w:t>
      </w:r>
      <w:r>
        <w:t>’</w:t>
      </w:r>
      <w:r w:rsidRPr="00B97DA4">
        <w:t xml:space="preserve"> and </w:t>
      </w:r>
      <w:r>
        <w:t>‘</w:t>
      </w:r>
      <w:r w:rsidRPr="00B97DA4">
        <w:t>almost did a pushup with all three of us on his back.</w:t>
      </w:r>
      <w:r>
        <w:t>’</w:t>
      </w:r>
      <w:r w:rsidRPr="00B97DA4">
        <w:t xml:space="preserve"> </w:t>
      </w:r>
    </w:p>
    <w:p w14:paraId="4D56C36E" w14:textId="77777777" w:rsidR="00EB0265" w:rsidRDefault="00EB0265" w:rsidP="00EB0265">
      <w:pPr>
        <w:pStyle w:val="NoSpacing"/>
      </w:pPr>
      <w:r w:rsidRPr="00B97DA4">
        <w:lastRenderedPageBreak/>
        <w:t>         </w:t>
      </w:r>
    </w:p>
    <w:p w14:paraId="14942F80" w14:textId="77777777" w:rsidR="00EB0265" w:rsidRDefault="00EB0265" w:rsidP="00EB0265">
      <w:pPr>
        <w:pStyle w:val="NoSpacing"/>
      </w:pPr>
      <w:r w:rsidRPr="00B97DA4">
        <w:t xml:space="preserve">Based on the information the officers had told them and their visual assessment of Mr. McClain, Cooper and </w:t>
      </w:r>
      <w:proofErr w:type="spellStart"/>
      <w:r w:rsidRPr="00B97DA4">
        <w:t>Cichuniec</w:t>
      </w:r>
      <w:proofErr w:type="spellEnd"/>
      <w:r w:rsidRPr="00B97DA4">
        <w:t xml:space="preserve"> concluded that Mr. McClain showed symptoms of a condition called </w:t>
      </w:r>
      <w:r>
        <w:t>‘</w:t>
      </w:r>
      <w:r w:rsidRPr="00B97DA4">
        <w:t>excited delirium</w:t>
      </w:r>
      <w:proofErr w:type="gramStart"/>
      <w:r w:rsidRPr="00B97DA4">
        <w:t>.</w:t>
      </w:r>
      <w:r>
        <w:t>’</w:t>
      </w:r>
      <w:proofErr w:type="gramEnd"/>
      <w:r>
        <w:t xml:space="preserve"> </w:t>
      </w:r>
      <w:r w:rsidRPr="00B97DA4">
        <w:t xml:space="preserve"> They agreed they would inject Mr. McClain with ketamine. Cooper told the officers that the paramedics would inject Mr. McClain with ketamine once the ambulance arrived with the drug. (An ambulance with two emergency medical technicians (EMTs) had also been dispatched to the scene.) </w:t>
      </w:r>
    </w:p>
    <w:p w14:paraId="13EF017E" w14:textId="77777777" w:rsidR="00EB0265" w:rsidRPr="00B97DA4" w:rsidRDefault="00EB0265" w:rsidP="00EB0265">
      <w:pPr>
        <w:pStyle w:val="NoSpacing"/>
      </w:pPr>
    </w:p>
    <w:p w14:paraId="5318F6E5" w14:textId="77777777" w:rsidR="00EB0265" w:rsidRDefault="00EB0265" w:rsidP="00EB0265">
      <w:pPr>
        <w:pStyle w:val="NoSpacing"/>
      </w:pPr>
      <w:r w:rsidRPr="00B97DA4">
        <w:t xml:space="preserve">Once the ambulance arrived, Cooper and </w:t>
      </w:r>
      <w:proofErr w:type="spellStart"/>
      <w:r w:rsidRPr="00B97DA4">
        <w:t>Cichuniec</w:t>
      </w:r>
      <w:proofErr w:type="spellEnd"/>
      <w:r w:rsidRPr="00B97DA4">
        <w:t xml:space="preserve"> determined that 500 mg of ketamine was the correct dosage to give to Mr. McClain based on his weight (which Cooper estimated at about 220 pounds (100 kg) and </w:t>
      </w:r>
      <w:proofErr w:type="spellStart"/>
      <w:r w:rsidRPr="00B97DA4">
        <w:t>Cichuniec</w:t>
      </w:r>
      <w:proofErr w:type="spellEnd"/>
      <w:r w:rsidRPr="00B97DA4">
        <w:t xml:space="preserve"> estimated at 187 pounds (85 kg)) and his degree of agitation. (In fact, Mr. McClain weighed only 143 pounds.) Either Cooper or </w:t>
      </w:r>
      <w:proofErr w:type="spellStart"/>
      <w:r w:rsidRPr="00B97DA4">
        <w:t>Cichuniec</w:t>
      </w:r>
      <w:proofErr w:type="spellEnd"/>
      <w:r w:rsidRPr="00B97DA4">
        <w:t xml:space="preserve"> told an EMT to prepare it. Once the EMT did so, Cooper injected it into Mr. McClain. </w:t>
      </w:r>
    </w:p>
    <w:p w14:paraId="7FC48AE6" w14:textId="77777777" w:rsidR="00EB0265" w:rsidRPr="00B97DA4" w:rsidRDefault="00EB0265" w:rsidP="00EB0265">
      <w:pPr>
        <w:pStyle w:val="NoSpacing"/>
      </w:pPr>
    </w:p>
    <w:p w14:paraId="3211A659" w14:textId="77777777" w:rsidR="00EB0265" w:rsidRDefault="00EB0265" w:rsidP="00EB0265">
      <w:pPr>
        <w:pStyle w:val="NoSpacing"/>
      </w:pPr>
      <w:r w:rsidRPr="00B97DA4">
        <w:t xml:space="preserve">Sometime after Mr. McClain was placed in the ambulance, </w:t>
      </w:r>
      <w:proofErr w:type="spellStart"/>
      <w:r w:rsidRPr="00B97DA4">
        <w:t>Cichuniec</w:t>
      </w:r>
      <w:proofErr w:type="spellEnd"/>
      <w:r w:rsidRPr="00B97DA4">
        <w:t xml:space="preserve"> noticed that he had stopped breathing. He told an EMT to check Mr. McClain's pulse. When the EMT couldn't find one, the EMTs began CPR. Mr. McClain was subsequently admitted to a hospital. Doctors declared </w:t>
      </w:r>
      <w:proofErr w:type="gramStart"/>
      <w:r w:rsidRPr="00B97DA4">
        <w:t>him</w:t>
      </w:r>
      <w:proofErr w:type="gramEnd"/>
      <w:r w:rsidRPr="00B97DA4">
        <w:t xml:space="preserve"> brain dead a few days later.</w:t>
      </w:r>
    </w:p>
    <w:p w14:paraId="6A27637F" w14:textId="77777777" w:rsidR="00EB0265" w:rsidRDefault="00EB0265" w:rsidP="00EB0265">
      <w:pPr>
        <w:pStyle w:val="NoSpacing"/>
      </w:pPr>
    </w:p>
    <w:p w14:paraId="0420DDB3" w14:textId="77777777" w:rsidR="00EB0265" w:rsidRDefault="00EB0265" w:rsidP="00EB0265">
      <w:pPr>
        <w:pStyle w:val="NoSpacing"/>
      </w:pPr>
      <w:r>
        <w:t>***</w:t>
      </w:r>
    </w:p>
    <w:p w14:paraId="7BE5D857" w14:textId="77777777" w:rsidR="00EB0265" w:rsidRPr="00AE6BA2" w:rsidRDefault="00EB0265" w:rsidP="00EB0265">
      <w:pPr>
        <w:pStyle w:val="NoSpacing"/>
      </w:pPr>
      <w:r w:rsidRPr="00AE6BA2">
        <w:t xml:space="preserve">A state grand jury subsequently indicted Cooper and </w:t>
      </w:r>
      <w:proofErr w:type="spellStart"/>
      <w:r w:rsidRPr="00AE6BA2">
        <w:t>Cichuniec</w:t>
      </w:r>
      <w:proofErr w:type="spellEnd"/>
      <w:r w:rsidRPr="00AE6BA2">
        <w:t xml:space="preserve"> on one count each of reckless manslaughter and criminally negligent homicide and three counts each of </w:t>
      </w:r>
      <w:proofErr w:type="gramStart"/>
      <w:r w:rsidRPr="00AE6BA2">
        <w:t>second degree</w:t>
      </w:r>
      <w:proofErr w:type="gramEnd"/>
      <w:r w:rsidRPr="00AE6BA2">
        <w:t xml:space="preserve"> assault. They were </w:t>
      </w:r>
      <w:proofErr w:type="gramStart"/>
      <w:r w:rsidRPr="00AE6BA2">
        <w:t>tried</w:t>
      </w:r>
      <w:proofErr w:type="gramEnd"/>
      <w:r w:rsidRPr="00AE6BA2">
        <w:t xml:space="preserve"> together. The prosecution's theory was that Cooper and </w:t>
      </w:r>
      <w:proofErr w:type="spellStart"/>
      <w:r w:rsidRPr="00AE6BA2">
        <w:t>Cichuniec</w:t>
      </w:r>
      <w:proofErr w:type="spellEnd"/>
      <w:r w:rsidRPr="00AE6BA2">
        <w:t xml:space="preserve"> had acted contrary to their medical training and proper protocols. And the prosecution charged that  </w:t>
      </w:r>
    </w:p>
    <w:p w14:paraId="3BA98A46" w14:textId="77777777" w:rsidR="00EB0265" w:rsidRDefault="00EB0265" w:rsidP="00EB0265">
      <w:pPr>
        <w:pStyle w:val="NoSpacing"/>
      </w:pPr>
      <w:proofErr w:type="gramStart"/>
      <w:r w:rsidRPr="00AE6BA2">
        <w:t>each</w:t>
      </w:r>
      <w:proofErr w:type="gramEnd"/>
      <w:r w:rsidRPr="00AE6BA2">
        <w:t xml:space="preserve"> could be found guilty of all the charges as either a principal or a </w:t>
      </w:r>
      <w:proofErr w:type="spellStart"/>
      <w:r w:rsidRPr="00AE6BA2">
        <w:t>complicitor</w:t>
      </w:r>
      <w:proofErr w:type="spellEnd"/>
      <w:r w:rsidRPr="00AE6BA2">
        <w:t xml:space="preserve">. </w:t>
      </w:r>
    </w:p>
    <w:p w14:paraId="722A8541" w14:textId="77777777" w:rsidR="00EB0265" w:rsidRDefault="00EB0265" w:rsidP="00EB0265">
      <w:pPr>
        <w:pStyle w:val="NoSpacing"/>
      </w:pPr>
    </w:p>
    <w:p w14:paraId="6447090B" w14:textId="77777777" w:rsidR="00EB0265" w:rsidRPr="00AE6BA2" w:rsidRDefault="00EB0265" w:rsidP="00EB0265">
      <w:pPr>
        <w:pStyle w:val="NoSpacing"/>
      </w:pPr>
      <w:r w:rsidRPr="0086124D">
        <w:t xml:space="preserve">A jury found Cooper guilty of criminally negligent homicide but acquitted him of all other charges. The same jury found </w:t>
      </w:r>
      <w:proofErr w:type="spellStart"/>
      <w:r w:rsidRPr="0086124D">
        <w:t>Cichuniec</w:t>
      </w:r>
      <w:proofErr w:type="spellEnd"/>
      <w:r w:rsidRPr="0086124D">
        <w:t xml:space="preserve"> guilty of criminally negligent homicide and one count of </w:t>
      </w:r>
      <w:proofErr w:type="gramStart"/>
      <w:r w:rsidRPr="0086124D">
        <w:t>second degree</w:t>
      </w:r>
      <w:proofErr w:type="gramEnd"/>
      <w:r w:rsidRPr="0086124D">
        <w:t xml:space="preserve"> assault (unlawful administration of drugs) but acquitted him of reckless manslaughter and the remaining count of </w:t>
      </w:r>
      <w:proofErr w:type="gramStart"/>
      <w:r w:rsidRPr="0086124D">
        <w:t>second degree</w:t>
      </w:r>
      <w:proofErr w:type="gramEnd"/>
      <w:r w:rsidRPr="0086124D">
        <w:t xml:space="preserve"> assault (causing serious bodily injury with intent to cause bodily injury). Cooper and </w:t>
      </w:r>
      <w:proofErr w:type="spellStart"/>
      <w:r w:rsidRPr="0086124D">
        <w:t>Cichuniec</w:t>
      </w:r>
      <w:proofErr w:type="spellEnd"/>
      <w:r w:rsidRPr="0086124D">
        <w:t xml:space="preserve"> separately appealed their convictions. This appeal is </w:t>
      </w:r>
      <w:proofErr w:type="gramStart"/>
      <w:r w:rsidRPr="0086124D">
        <w:t>Cooper's.</w:t>
      </w:r>
      <w:r>
        <w:t>”</w:t>
      </w:r>
      <w:proofErr w:type="gramEnd"/>
    </w:p>
    <w:p w14:paraId="1432E3B5" w14:textId="77777777" w:rsidR="00EB0265" w:rsidRPr="00B97DA4" w:rsidRDefault="00EB0265" w:rsidP="00EB0265">
      <w:pPr>
        <w:pStyle w:val="NoSpacing"/>
      </w:pPr>
    </w:p>
    <w:p w14:paraId="7F566221" w14:textId="77777777" w:rsidR="00EB0265" w:rsidRDefault="00EB0265" w:rsidP="00EB0265">
      <w:pPr>
        <w:pStyle w:val="NoSpacing"/>
      </w:pPr>
    </w:p>
    <w:p w14:paraId="2FFF81DA" w14:textId="77777777" w:rsidR="00EB0265" w:rsidRDefault="00EB0265" w:rsidP="00EB0265">
      <w:pPr>
        <w:pStyle w:val="NoSpacing"/>
        <w:rPr>
          <w:b/>
          <w:bCs/>
        </w:rPr>
      </w:pPr>
      <w:r w:rsidRPr="005C2B80">
        <w:rPr>
          <w:b/>
        </w:rPr>
        <w:t>COURT HELD:</w:t>
      </w:r>
    </w:p>
    <w:p w14:paraId="78255764" w14:textId="77777777" w:rsidR="00EB0265" w:rsidRDefault="00EB0265" w:rsidP="00EB0265">
      <w:pPr>
        <w:pStyle w:val="NoSpacing"/>
        <w:rPr>
          <w:b/>
          <w:bCs/>
        </w:rPr>
      </w:pPr>
    </w:p>
    <w:p w14:paraId="4B96974E" w14:textId="77777777" w:rsidR="00EB0265" w:rsidRDefault="00EB0265" w:rsidP="00EB0265">
      <w:pPr>
        <w:pStyle w:val="NoSpacing"/>
      </w:pPr>
      <w:r>
        <w:t>“</w:t>
      </w:r>
      <w:r w:rsidRPr="00064EE0">
        <w:t xml:space="preserve">Cooper contends that the district court erred by refusing his counsel's tendered instruction specifying the standard of care applicable to the charge of criminally negligent homicide and by refusing to adequately and accurately define that standard after the jurors affirmatively indicated that they didn't understand what standard to apply. We agree with Cooper. We also conclude that the errors weren't harmless. </w:t>
      </w:r>
    </w:p>
    <w:p w14:paraId="6B376E77" w14:textId="77777777" w:rsidR="00EB0265" w:rsidRDefault="00EB0265" w:rsidP="00EB0265">
      <w:pPr>
        <w:pStyle w:val="NoSpacing"/>
      </w:pPr>
    </w:p>
    <w:p w14:paraId="4895B0FC" w14:textId="77777777" w:rsidR="00EB0265" w:rsidRDefault="00EB0265" w:rsidP="00EB0265">
      <w:pPr>
        <w:pStyle w:val="NoSpacing"/>
      </w:pPr>
      <w:r>
        <w:t>***</w:t>
      </w:r>
    </w:p>
    <w:p w14:paraId="31B380CD" w14:textId="77777777" w:rsidR="00EB0265" w:rsidRDefault="00EB0265" w:rsidP="00EB0265">
      <w:pPr>
        <w:pStyle w:val="NoSpacing"/>
      </w:pPr>
    </w:p>
    <w:p w14:paraId="4E60F65D" w14:textId="77777777" w:rsidR="00EB0265" w:rsidRDefault="00EB0265" w:rsidP="00EB0265">
      <w:pPr>
        <w:pStyle w:val="NoSpacing"/>
      </w:pPr>
      <w:r w:rsidRPr="00F572CB">
        <w:t xml:space="preserve">Before closing arguments, based on the prosecution's theory of culpability, Cooper's counsel tendered a jury instruction that read, </w:t>
      </w:r>
      <w:r>
        <w:t>‘</w:t>
      </w:r>
      <w:r w:rsidRPr="00F572CB">
        <w:t xml:space="preserve">A person acts 'with criminal negligence' when, through a gross deviation from the standard of care that a </w:t>
      </w:r>
      <w:r w:rsidRPr="00F572CB">
        <w:rPr>
          <w:i/>
          <w:iCs/>
        </w:rPr>
        <w:t>reasonable paramedic in Aurora, Colorado</w:t>
      </w:r>
      <w:r w:rsidRPr="00F572CB">
        <w:t xml:space="preserve"> would exercise in the same circumstance, he fails to perceive a substantial and unjustifiable risk that a result will occur or that a circumstance exists.</w:t>
      </w:r>
      <w:r>
        <w:t>’</w:t>
      </w:r>
      <w:r w:rsidRPr="00F572CB">
        <w:t xml:space="preserve"> (Emphasis added.)</w:t>
      </w:r>
    </w:p>
    <w:p w14:paraId="78D828F8" w14:textId="77777777" w:rsidR="00EB0265" w:rsidRDefault="00EB0265" w:rsidP="00EB0265">
      <w:pPr>
        <w:pStyle w:val="NoSpacing"/>
      </w:pPr>
    </w:p>
    <w:p w14:paraId="17A8B479" w14:textId="77777777" w:rsidR="00EB0265" w:rsidRDefault="00EB0265" w:rsidP="00EB0265">
      <w:pPr>
        <w:pStyle w:val="NoSpacing"/>
      </w:pPr>
      <w:r>
        <w:t>***</w:t>
      </w:r>
    </w:p>
    <w:p w14:paraId="3E203B88" w14:textId="77777777" w:rsidR="00EB0265" w:rsidRDefault="00EB0265" w:rsidP="00EB0265">
      <w:pPr>
        <w:pStyle w:val="NoSpacing"/>
      </w:pPr>
      <w:r w:rsidRPr="00C06A25">
        <w:t xml:space="preserve">After the jurors began deliberating, the court received the following question from the jurors: </w:t>
      </w:r>
      <w:r>
        <w:t>‘</w:t>
      </w:r>
      <w:r w:rsidRPr="00C06A25">
        <w:t>May we have a definition of the standard of care</w:t>
      </w:r>
      <w:proofErr w:type="gramStart"/>
      <w:r w:rsidRPr="00C06A25">
        <w:t>?</w:t>
      </w:r>
      <w:proofErr w:type="gramEnd"/>
      <w:r w:rsidRPr="00C06A25">
        <w:t xml:space="preserve"> Or a description of it?</w:t>
      </w:r>
      <w:r>
        <w:t>’</w:t>
      </w:r>
      <w:r w:rsidRPr="00C06A25">
        <w:t xml:space="preserve"> Cooper's counsel reiterated the defense's position that </w:t>
      </w:r>
      <w:r>
        <w:t>‘</w:t>
      </w:r>
      <w:r w:rsidRPr="00C06A25">
        <w:t xml:space="preserve">the professional standard of care . . . in this case . . . would be reasonable paramedics in Aurora, Colorado." The prosecutor asked the court to just refer </w:t>
      </w:r>
      <w:proofErr w:type="gramStart"/>
      <w:r w:rsidRPr="00C06A25">
        <w:t>the jury back to the</w:t>
      </w:r>
      <w:proofErr w:type="gramEnd"/>
      <w:r w:rsidRPr="00C06A25">
        <w:t xml:space="preserve"> </w:t>
      </w:r>
      <w:proofErr w:type="gramStart"/>
      <w:r w:rsidRPr="00C06A25">
        <w:t>instructions as</w:t>
      </w:r>
      <w:proofErr w:type="gramEnd"/>
      <w:r w:rsidRPr="00C06A25">
        <w:t xml:space="preserve"> given. </w:t>
      </w:r>
    </w:p>
    <w:p w14:paraId="7598A55F" w14:textId="77777777" w:rsidR="00EB0265" w:rsidRDefault="00EB0265" w:rsidP="00EB0265">
      <w:pPr>
        <w:pStyle w:val="NoSpacing"/>
      </w:pPr>
    </w:p>
    <w:p w14:paraId="7C0D2CF6" w14:textId="77777777" w:rsidR="00EB0265" w:rsidRDefault="00EB0265" w:rsidP="00EB0265">
      <w:pPr>
        <w:pStyle w:val="NoSpacing"/>
      </w:pPr>
      <w:r>
        <w:t>***</w:t>
      </w:r>
    </w:p>
    <w:p w14:paraId="2082D886" w14:textId="77777777" w:rsidR="00EB0265" w:rsidRDefault="00EB0265" w:rsidP="00EB0265">
      <w:pPr>
        <w:pStyle w:val="NoSpacing"/>
      </w:pPr>
      <w:r w:rsidRPr="0061527B">
        <w:t xml:space="preserve">The relevant circumstances in this case were that a medical professional provided medical treatment to a person needing medical attention while under law enforcement's physical restraint. The standard of care was therefore that </w:t>
      </w:r>
      <w:r w:rsidRPr="0061527B">
        <w:lastRenderedPageBreak/>
        <w:t>which would apply in a civil case involving such a situation - one applicable to a reasonable paramedic in Aurora, Colorado, in 2019 treating a person in Mr. McClain's condition</w:t>
      </w:r>
      <w:r>
        <w:t xml:space="preserve">…. </w:t>
      </w:r>
      <w:r w:rsidRPr="00320D42">
        <w:t>It follows, then, that the district court erred by refusing defense counsel's tendered instruction and by refusing to clarify the standard of care in response to the jurors' question.</w:t>
      </w:r>
    </w:p>
    <w:p w14:paraId="56B94998" w14:textId="77777777" w:rsidR="00EB0265" w:rsidRDefault="00EB0265" w:rsidP="00EB0265">
      <w:pPr>
        <w:pStyle w:val="NoSpacing"/>
      </w:pPr>
    </w:p>
    <w:p w14:paraId="1D493FE9" w14:textId="77777777" w:rsidR="00EB0265" w:rsidRDefault="00EB0265" w:rsidP="00EB0265">
      <w:pPr>
        <w:pStyle w:val="NoSpacing"/>
      </w:pPr>
      <w:r>
        <w:t>***</w:t>
      </w:r>
    </w:p>
    <w:p w14:paraId="1E259282" w14:textId="77777777" w:rsidR="00EB0265" w:rsidRDefault="00EB0265" w:rsidP="00EB0265">
      <w:pPr>
        <w:pStyle w:val="NoSpacing"/>
      </w:pPr>
      <w:r w:rsidRPr="00DB7856">
        <w:t>Under the facts of this case, the definitional instruction didn't adequately articulate the applicable standard of care but rather left the jury in the dark</w:t>
      </w:r>
      <w:r>
        <w:t xml:space="preserve">…. </w:t>
      </w:r>
      <w:r w:rsidRPr="0037576A">
        <w:t>Also, the jurors' question told the court that they didn't know what standard to apply. By telling the jurors to apply the "common and ordinary meanings" of the words in the instruction, the court failed to shine any light on the issue and in fact misled the jurors as to the applicable standard of care</w:t>
      </w:r>
      <w:r>
        <w:t>….”</w:t>
      </w:r>
    </w:p>
    <w:p w14:paraId="227235EF" w14:textId="77777777" w:rsidR="00EB0265" w:rsidRDefault="00EB0265" w:rsidP="00EB0265">
      <w:pPr>
        <w:pStyle w:val="NoSpacing"/>
      </w:pPr>
    </w:p>
    <w:p w14:paraId="128BC7DA" w14:textId="77777777" w:rsidR="00EB0265" w:rsidRDefault="00EB0265" w:rsidP="00EB0265">
      <w:pPr>
        <w:pStyle w:val="NoSpacing"/>
        <w:rPr>
          <w:b/>
          <w:bCs/>
        </w:rPr>
      </w:pPr>
      <w:r w:rsidRPr="00377720">
        <w:rPr>
          <w:b/>
        </w:rPr>
        <w:t xml:space="preserve">Legal lesson learned: </w:t>
      </w:r>
      <w:r>
        <w:rPr>
          <w:b/>
        </w:rPr>
        <w:t xml:space="preserve">The jury instructions were clearly wrong; but since .  Since the </w:t>
      </w:r>
    </w:p>
    <w:p w14:paraId="177EA840" w14:textId="77777777" w:rsidR="00EB0265" w:rsidRDefault="00EB0265" w:rsidP="00EB0265">
      <w:pPr>
        <w:pStyle w:val="NoSpacing"/>
        <w:rPr>
          <w:b/>
          <w:bCs/>
        </w:rPr>
      </w:pPr>
    </w:p>
    <w:p w14:paraId="71095F9C" w14:textId="77777777" w:rsidR="00EB0265" w:rsidRPr="00000ABC" w:rsidRDefault="00EB0265" w:rsidP="00EB0265">
      <w:pPr>
        <w:ind w:left="720"/>
      </w:pPr>
      <w:r>
        <w:t xml:space="preserve">Note: Cooper was sentenced to 14 </w:t>
      </w:r>
      <w:proofErr w:type="gramStart"/>
      <w:r>
        <w:t>months</w:t>
      </w:r>
      <w:proofErr w:type="gramEnd"/>
      <w:r>
        <w:t xml:space="preserve"> work release and probation, so doubtful he will be retired.  In a separate Court of Appeals decision (3 to 0), the lead medic</w:t>
      </w:r>
      <w:r w:rsidRPr="00273730">
        <w:t>, Peter Cichuniec</w:t>
      </w:r>
      <w:r>
        <w:t xml:space="preserve">, co-tried with Cooper also had his conviction for </w:t>
      </w:r>
      <w:r w:rsidRPr="0086124D">
        <w:t>criminally negligent homicide</w:t>
      </w:r>
      <w:r>
        <w:t xml:space="preserve"> reversed but his assault conviction was affirmed. </w:t>
      </w:r>
      <w:hyperlink r:id="rId2040" w:history="1">
        <w:r w:rsidRPr="00971037">
          <w:rPr>
            <w:rStyle w:val="Hyperlink"/>
          </w:rPr>
          <w:t>https://www.coloradojudicial.gov/system/files/opinions-2026-06/24CA0675.pdf</w:t>
        </w:r>
      </w:hyperlink>
      <w:r>
        <w:t xml:space="preserve"> It is doubtful he will be retried; he </w:t>
      </w:r>
      <w:r w:rsidRPr="00273A62">
        <w:t xml:space="preserve">received </w:t>
      </w:r>
      <w:r>
        <w:t xml:space="preserve">a sentence of </w:t>
      </w:r>
      <w:r w:rsidRPr="00273A62">
        <w:t xml:space="preserve">five years in </w:t>
      </w:r>
      <w:proofErr w:type="gramStart"/>
      <w:r w:rsidRPr="00273A62">
        <w:t>prison</w:t>
      </w:r>
      <w:r>
        <w:t>, but</w:t>
      </w:r>
      <w:proofErr w:type="gramEnd"/>
      <w:r>
        <w:t xml:space="preserve"> was </w:t>
      </w:r>
      <w:r w:rsidRPr="00CA2153">
        <w:t>released early from prison in 2024 after a judge reduced his sentence to four years of probation</w:t>
      </w:r>
      <w:r>
        <w:t xml:space="preserve">.  </w:t>
      </w:r>
      <w:r w:rsidRPr="0024472D">
        <w:t>The city of Aurora in 2021 agreed to pay $15 million to settle a federal civil rights lawsuit brought by McClain's parents.</w:t>
      </w:r>
      <w:r>
        <w:t xml:space="preserve"> </w:t>
      </w:r>
    </w:p>
    <w:p w14:paraId="0FA5E500" w14:textId="77777777" w:rsidR="00EB0265" w:rsidRDefault="00EB0265" w:rsidP="00EB0265">
      <w:pPr>
        <w:pStyle w:val="NoSpacing"/>
        <w:rPr>
          <w:b/>
          <w:bCs/>
        </w:rPr>
      </w:pPr>
    </w:p>
    <w:p w14:paraId="6A4EF841" w14:textId="77777777" w:rsidR="00EB0265" w:rsidRDefault="00EB0265" w:rsidP="00EB0265">
      <w:pPr>
        <w:pStyle w:val="NoSpacing"/>
        <w:rPr>
          <w:b/>
          <w:bCs/>
        </w:rPr>
      </w:pPr>
    </w:p>
    <w:p w14:paraId="7296CBD9" w14:textId="77777777" w:rsidR="00EB0265" w:rsidRDefault="00EB0265" w:rsidP="00EB0265">
      <w:pPr>
        <w:pStyle w:val="NoSpacing"/>
        <w:rPr>
          <w:b/>
          <w:bCs/>
        </w:rPr>
      </w:pPr>
    </w:p>
    <w:p w14:paraId="1E1735CD" w14:textId="77777777" w:rsidR="00EB0265" w:rsidRDefault="00EB0265" w:rsidP="00EB0265">
      <w:pPr>
        <w:pStyle w:val="NoSpacing"/>
        <w:rPr>
          <w:b/>
          <w:bCs/>
        </w:rPr>
      </w:pPr>
    </w:p>
    <w:p w14:paraId="2001654B" w14:textId="7967E3B0" w:rsidR="007A053D" w:rsidRPr="00DA5EE8" w:rsidRDefault="007A053D" w:rsidP="007A053D">
      <w:pPr>
        <w:pStyle w:val="NoSpacing"/>
        <w:rPr>
          <w:rFonts w:ascii="Arial Black" w:hAnsi="Arial Black"/>
          <w:sz w:val="24"/>
          <w:szCs w:val="24"/>
        </w:rPr>
      </w:pPr>
      <w:r w:rsidRPr="00DA5EE8">
        <w:rPr>
          <w:rFonts w:ascii="Arial Black" w:hAnsi="Arial Black"/>
          <w:sz w:val="24"/>
          <w:szCs w:val="24"/>
        </w:rPr>
        <w:t>13-2</w:t>
      </w:r>
      <w:r>
        <w:rPr>
          <w:rFonts w:ascii="Arial Black" w:hAnsi="Arial Black"/>
          <w:sz w:val="24"/>
          <w:szCs w:val="24"/>
        </w:rPr>
        <w:t>61</w:t>
      </w:r>
    </w:p>
    <w:p w14:paraId="3ACAE596" w14:textId="77777777" w:rsidR="00EB0265" w:rsidRDefault="00EB0265" w:rsidP="00EB0265">
      <w:pPr>
        <w:pStyle w:val="NoSpacing"/>
        <w:rPr>
          <w:rFonts w:ascii="Arial Black" w:hAnsi="Arial Black"/>
          <w:sz w:val="28"/>
          <w:szCs w:val="28"/>
        </w:rPr>
      </w:pPr>
    </w:p>
    <w:p w14:paraId="14D67B25" w14:textId="77777777" w:rsidR="00EB0265" w:rsidRDefault="00EB0265" w:rsidP="00EB0265">
      <w:pPr>
        <w:pStyle w:val="NoSpacing"/>
        <w:rPr>
          <w:rFonts w:ascii="Arial Black" w:hAnsi="Arial Black"/>
          <w:sz w:val="28"/>
          <w:szCs w:val="28"/>
        </w:rPr>
      </w:pPr>
      <w:r>
        <w:rPr>
          <w:rFonts w:ascii="Arial Black" w:hAnsi="Arial Black"/>
          <w:sz w:val="28"/>
          <w:szCs w:val="28"/>
        </w:rPr>
        <w:t xml:space="preserve">CO: LEAD MEDIC – NEW TRIAL </w:t>
      </w:r>
      <w:r>
        <w:rPr>
          <w:rFonts w:ascii="Arial Black" w:hAnsi="Arial Black"/>
          <w:b/>
          <w:sz w:val="28"/>
          <w:szCs w:val="28"/>
        </w:rPr>
        <w:t>KETAMINE</w:t>
      </w:r>
      <w:r>
        <w:rPr>
          <w:rFonts w:ascii="Arial Black" w:hAnsi="Arial Black"/>
          <w:sz w:val="28"/>
          <w:szCs w:val="28"/>
        </w:rPr>
        <w:t xml:space="preserve"> - GUITY ASSAULT</w:t>
      </w:r>
    </w:p>
    <w:p w14:paraId="033EF125" w14:textId="77777777" w:rsidR="00EB0265" w:rsidRDefault="00EB0265" w:rsidP="00EB0265">
      <w:pPr>
        <w:pStyle w:val="NoSpacing"/>
        <w:rPr>
          <w:rFonts w:ascii="Arial Black" w:hAnsi="Arial Black"/>
          <w:sz w:val="28"/>
          <w:szCs w:val="28"/>
        </w:rPr>
      </w:pPr>
    </w:p>
    <w:p w14:paraId="20B5BC7C" w14:textId="77777777" w:rsidR="00EB0265" w:rsidRDefault="00EB0265" w:rsidP="00EB0265">
      <w:r>
        <w:t xml:space="preserve">On June 4, 2026, in </w:t>
      </w:r>
      <w:r w:rsidRPr="00C40923">
        <w:rPr>
          <w:u w:val="single"/>
        </w:rPr>
        <w:t>The People of the State of Colorado v. Peter Cichuniec</w:t>
      </w:r>
      <w:r w:rsidRPr="00C40923">
        <w:t xml:space="preserve">, </w:t>
      </w:r>
      <w:r>
        <w:t xml:space="preserve">the </w:t>
      </w:r>
      <w:r w:rsidRPr="002F147B">
        <w:t>Court of Appeals of Colorado, First Division</w:t>
      </w:r>
      <w:r>
        <w:t xml:space="preserve"> held (3 to 0) that </w:t>
      </w:r>
      <w:r w:rsidRPr="00695527">
        <w:t>Peter Cichuniec</w:t>
      </w:r>
      <w:r>
        <w:t xml:space="preserve">, the lead Medic, had authorized Medic Jeremy Cooper to administer the ketamine that killed the patient, </w:t>
      </w:r>
      <w:r w:rsidRPr="0083787B">
        <w:t>Elijah McClain</w:t>
      </w:r>
      <w:r>
        <w:t xml:space="preserve">. </w:t>
      </w:r>
      <w:proofErr w:type="spellStart"/>
      <w:r w:rsidRPr="00273A62">
        <w:t>Cichuniec</w:t>
      </w:r>
      <w:proofErr w:type="spellEnd"/>
      <w:r w:rsidRPr="00273A62">
        <w:t xml:space="preserve"> received five years in prison</w:t>
      </w:r>
      <w:r>
        <w:t xml:space="preserve"> and</w:t>
      </w:r>
      <w:r w:rsidRPr="00CA2153">
        <w:t xml:space="preserve"> was released early from prison in 2024 after a judge reduced his sentence to four years of probation</w:t>
      </w:r>
      <w:r>
        <w:t>; his partner Jeremy</w:t>
      </w:r>
      <w:r w:rsidRPr="00273A62">
        <w:t xml:space="preserve"> Cooper avoided prison and was sentenced to 14 months work release and probation.</w:t>
      </w:r>
      <w:r>
        <w:t xml:space="preserve"> </w:t>
      </w:r>
      <w:r w:rsidRPr="0024472D">
        <w:t>The city of Aurora in 2021 agreed to pay $15 million to settle a federal civil rights lawsuit brought by McClain's parents.</w:t>
      </w:r>
      <w:r>
        <w:t xml:space="preserve"> The Court wrote:  The judgment of conviction on the charge of criminally negligent homicide is reversed, and the case is remanded for a new trial on that charge. The judgment of conviction on the charge of </w:t>
      </w:r>
      <w:proofErr w:type="gramStart"/>
      <w:r>
        <w:t>second degree</w:t>
      </w:r>
      <w:proofErr w:type="gramEnd"/>
      <w:r>
        <w:t xml:space="preserve"> assault is affirmed.”  </w:t>
      </w:r>
      <w:hyperlink r:id="rId2041" w:history="1">
        <w:r w:rsidRPr="00971037">
          <w:rPr>
            <w:rStyle w:val="Hyperlink"/>
          </w:rPr>
          <w:t>https://www.coloradojudicial.gov/system/files/opinions-2026-06/24CA0675.pdf</w:t>
        </w:r>
      </w:hyperlink>
      <w:r>
        <w:t xml:space="preserve"> </w:t>
      </w:r>
    </w:p>
    <w:p w14:paraId="770CA2AF" w14:textId="77777777" w:rsidR="00EB0265" w:rsidRDefault="00EB0265" w:rsidP="00EB0265">
      <w:pPr>
        <w:pStyle w:val="NoSpacing"/>
      </w:pPr>
    </w:p>
    <w:p w14:paraId="3ACA08EA" w14:textId="77777777" w:rsidR="00EB0265" w:rsidRDefault="00EB0265" w:rsidP="00EB0265">
      <w:pPr>
        <w:rPr>
          <w:b/>
        </w:rPr>
      </w:pPr>
      <w:r>
        <w:rPr>
          <w:b/>
        </w:rPr>
        <w:t>FACTS:</w:t>
      </w:r>
    </w:p>
    <w:p w14:paraId="73C4BDDD" w14:textId="77777777" w:rsidR="00EB0265" w:rsidRDefault="00EB0265" w:rsidP="00EB0265">
      <w:pPr>
        <w:pStyle w:val="NoSpacing"/>
      </w:pPr>
      <w:r>
        <w:t>“</w:t>
      </w:r>
      <w:r w:rsidRPr="006B39B1">
        <w:t>Based on the information the officers had told them and their</w:t>
      </w:r>
      <w:r>
        <w:t xml:space="preserve"> </w:t>
      </w:r>
      <w:r w:rsidRPr="006B39B1">
        <w:t xml:space="preserve">visual assessment of Mr. McClain, </w:t>
      </w:r>
      <w:proofErr w:type="spellStart"/>
      <w:r w:rsidRPr="006B39B1">
        <w:t>Cichuniec</w:t>
      </w:r>
      <w:proofErr w:type="spellEnd"/>
      <w:r w:rsidRPr="006B39B1">
        <w:t xml:space="preserve"> and Cooper concluded</w:t>
      </w:r>
      <w:r>
        <w:t xml:space="preserve"> </w:t>
      </w:r>
      <w:r w:rsidRPr="006B39B1">
        <w:t xml:space="preserve">that Mr. McClain showed symptoms of a condition called </w:t>
      </w:r>
      <w:r>
        <w:t>‘</w:t>
      </w:r>
      <w:r w:rsidRPr="006B39B1">
        <w:t>excited</w:t>
      </w:r>
      <w:r>
        <w:t xml:space="preserve"> </w:t>
      </w:r>
      <w:r w:rsidRPr="006B39B1">
        <w:t>delirium.</w:t>
      </w:r>
      <w:r>
        <w:t>’</w:t>
      </w:r>
      <w:r w:rsidRPr="006B39B1">
        <w:t xml:space="preserve"> They agreed they would inject Mr. McClain with</w:t>
      </w:r>
      <w:r>
        <w:t xml:space="preserve"> </w:t>
      </w:r>
      <w:r w:rsidRPr="006B39B1">
        <w:t>ketamine.</w:t>
      </w:r>
      <w:r>
        <w:t xml:space="preserve"> </w:t>
      </w:r>
      <w:r w:rsidRPr="006B39B1">
        <w:t>Cooper told the officers that the paramedics would</w:t>
      </w:r>
      <w:r>
        <w:t xml:space="preserve"> </w:t>
      </w:r>
      <w:r w:rsidRPr="006B39B1">
        <w:t>inject Mr. McClain with ketamine once the ambulance arrived with</w:t>
      </w:r>
      <w:r>
        <w:t xml:space="preserve"> the drug. (An ambulance with two emergency medical technicians (EMTs) had also been dispatched to the scene.)</w:t>
      </w:r>
    </w:p>
    <w:p w14:paraId="5DB4C4B7" w14:textId="77777777" w:rsidR="00EB0265" w:rsidRDefault="00EB0265" w:rsidP="00EB0265">
      <w:pPr>
        <w:pStyle w:val="NoSpacing"/>
      </w:pPr>
      <w:r>
        <w:t xml:space="preserve">Once the ambulance arrived, </w:t>
      </w:r>
      <w:proofErr w:type="spellStart"/>
      <w:r>
        <w:t>Cichuniec</w:t>
      </w:r>
      <w:proofErr w:type="spellEnd"/>
      <w:r>
        <w:t xml:space="preserve"> and Cooper determined that 500 mg of ketamine was the correct dosage to give to Mr. McClain based on his weight (which </w:t>
      </w:r>
      <w:proofErr w:type="spellStart"/>
      <w:r>
        <w:t>Cichuniec</w:t>
      </w:r>
      <w:proofErr w:type="spellEnd"/>
      <w:r>
        <w:t xml:space="preserve"> estimated at 187 pounds (85 kg) and Cooper estimated at about 220 pounds (100 kg)) and his degree of agitation. (In fact, Mr. McClain weighed only 143 pounds.) Either </w:t>
      </w:r>
      <w:proofErr w:type="spellStart"/>
      <w:r>
        <w:t>Cichuniec</w:t>
      </w:r>
      <w:proofErr w:type="spellEnd"/>
      <w:r>
        <w:t xml:space="preserve"> or Cooper told an EMT to</w:t>
      </w:r>
    </w:p>
    <w:p w14:paraId="7AEB7D03" w14:textId="77777777" w:rsidR="00EB0265" w:rsidRDefault="00EB0265" w:rsidP="00EB0265">
      <w:pPr>
        <w:pStyle w:val="NoSpacing"/>
      </w:pPr>
      <w:proofErr w:type="gramStart"/>
      <w:r>
        <w:lastRenderedPageBreak/>
        <w:t>prepare</w:t>
      </w:r>
      <w:proofErr w:type="gramEnd"/>
      <w:r>
        <w:t xml:space="preserve"> it. Once the EMT did so, Cooper injected it into Mr. McClain.</w:t>
      </w:r>
    </w:p>
    <w:p w14:paraId="3727E8CE" w14:textId="77777777" w:rsidR="00EB0265" w:rsidRDefault="00EB0265" w:rsidP="00EB0265">
      <w:pPr>
        <w:pStyle w:val="NoSpacing"/>
      </w:pPr>
    </w:p>
    <w:p w14:paraId="111B0579" w14:textId="77777777" w:rsidR="00EB0265" w:rsidRDefault="00EB0265" w:rsidP="00EB0265">
      <w:pPr>
        <w:pStyle w:val="NoSpacing"/>
      </w:pPr>
      <w:r>
        <w:t xml:space="preserve">Sometime after Mr. McClain was placed in the ambulance, </w:t>
      </w:r>
      <w:proofErr w:type="spellStart"/>
      <w:r>
        <w:t>Cichuniec</w:t>
      </w:r>
      <w:proofErr w:type="spellEnd"/>
      <w:r>
        <w:t xml:space="preserve"> noticed that he had stopped breathing. He told an EMT to check Mr. McClain’s pulse. When the EMT couldn’t find one, the EMTs began CPR. Mr. McClain was subsequently admitted to a hospital. Doctors declared him brain dead a few days later.”</w:t>
      </w:r>
    </w:p>
    <w:p w14:paraId="54ADB63E" w14:textId="77777777" w:rsidR="00EB0265" w:rsidRDefault="00EB0265" w:rsidP="00EB0265">
      <w:pPr>
        <w:pStyle w:val="NoSpacing"/>
      </w:pPr>
    </w:p>
    <w:p w14:paraId="273546B6" w14:textId="77777777" w:rsidR="00EB0265" w:rsidRPr="00C16E9C" w:rsidRDefault="00EB0265" w:rsidP="00EB0265">
      <w:pPr>
        <w:pStyle w:val="NoSpacing"/>
        <w:rPr>
          <w:b/>
          <w:bCs/>
        </w:rPr>
      </w:pPr>
      <w:r w:rsidRPr="00C16E9C">
        <w:rPr>
          <w:b/>
        </w:rPr>
        <w:t xml:space="preserve">COURT HELD: </w:t>
      </w:r>
    </w:p>
    <w:p w14:paraId="41E673F5" w14:textId="77777777" w:rsidR="00EB0265" w:rsidRDefault="00EB0265" w:rsidP="00EB0265">
      <w:pPr>
        <w:pStyle w:val="NoSpacing"/>
      </w:pPr>
    </w:p>
    <w:p w14:paraId="40FB4E8D" w14:textId="77777777" w:rsidR="00EB0265" w:rsidRDefault="00EB0265" w:rsidP="00EB0265">
      <w:r>
        <w:t>“</w:t>
      </w:r>
      <w:r w:rsidRPr="0083787B">
        <w:t>Defendant, Peter Cichuniec, appeals the district court’s</w:t>
      </w:r>
      <w:r>
        <w:t xml:space="preserve"> </w:t>
      </w:r>
      <w:r w:rsidRPr="0083787B">
        <w:t>judgment of conviction entered after a jury found him guilty of</w:t>
      </w:r>
      <w:r>
        <w:t xml:space="preserve"> </w:t>
      </w:r>
      <w:r w:rsidRPr="0083787B">
        <w:t xml:space="preserve">criminally negligent homicide and </w:t>
      </w:r>
      <w:proofErr w:type="gramStart"/>
      <w:r w:rsidRPr="0083787B">
        <w:t>second degree</w:t>
      </w:r>
      <w:proofErr w:type="gramEnd"/>
      <w:r w:rsidRPr="0083787B">
        <w:t xml:space="preserve"> assault.</w:t>
      </w:r>
      <w:r>
        <w:t xml:space="preserve"> </w:t>
      </w:r>
      <w:r w:rsidRPr="0083787B">
        <w:t xml:space="preserve">The People charged </w:t>
      </w:r>
      <w:proofErr w:type="spellStart"/>
      <w:r w:rsidRPr="0083787B">
        <w:t>Cichuniec</w:t>
      </w:r>
      <w:proofErr w:type="spellEnd"/>
      <w:r w:rsidRPr="0083787B">
        <w:t>, a paramedic, and his</w:t>
      </w:r>
      <w:r>
        <w:t xml:space="preserve"> </w:t>
      </w:r>
      <w:r w:rsidRPr="0083787B">
        <w:t>codefendant, Jeremy Cooper, also a paramedic, with various</w:t>
      </w:r>
      <w:r>
        <w:t xml:space="preserve"> </w:t>
      </w:r>
      <w:r w:rsidRPr="0083787B">
        <w:t>offenses arising out their medical treatment of Elijah McClain based</w:t>
      </w:r>
      <w:r>
        <w:t xml:space="preserve"> </w:t>
      </w:r>
      <w:r w:rsidRPr="0083787B">
        <w:t>on a theory that Cooper’s injection of Mr. McClain with ketamine</w:t>
      </w:r>
      <w:r>
        <w:t xml:space="preserve"> </w:t>
      </w:r>
      <w:r w:rsidRPr="0083787B">
        <w:t xml:space="preserve">contributed to Mr. McClain’s tragic death. A jury found </w:t>
      </w:r>
      <w:proofErr w:type="spellStart"/>
      <w:r w:rsidRPr="0083787B">
        <w:t>Cichuniec</w:t>
      </w:r>
      <w:proofErr w:type="spellEnd"/>
      <w:r>
        <w:t xml:space="preserve"> </w:t>
      </w:r>
      <w:r w:rsidRPr="0083787B">
        <w:t xml:space="preserve">guilty of both criminally negligent homicide and </w:t>
      </w:r>
      <w:proofErr w:type="gramStart"/>
      <w:r w:rsidRPr="0083787B">
        <w:t>second degree</w:t>
      </w:r>
      <w:proofErr w:type="gramEnd"/>
      <w:r>
        <w:t xml:space="preserve"> </w:t>
      </w:r>
      <w:r w:rsidRPr="0083787B">
        <w:t>assault. That same jury found Cooper guilty of criminally negligent</w:t>
      </w:r>
      <w:r>
        <w:t xml:space="preserve"> </w:t>
      </w:r>
      <w:r w:rsidRPr="0083787B">
        <w:t xml:space="preserve">homicide but not guilty of </w:t>
      </w:r>
      <w:proofErr w:type="gramStart"/>
      <w:r w:rsidRPr="0083787B">
        <w:t>second degree</w:t>
      </w:r>
      <w:proofErr w:type="gramEnd"/>
      <w:r w:rsidRPr="0083787B">
        <w:t xml:space="preserve"> assault. Cooper separately</w:t>
      </w:r>
      <w:r>
        <w:t xml:space="preserve"> </w:t>
      </w:r>
      <w:r w:rsidRPr="0083787B">
        <w:t>appealed, and this division (with Judge Berger substituting for</w:t>
      </w:r>
      <w:r>
        <w:t xml:space="preserve"> </w:t>
      </w:r>
      <w:r w:rsidRPr="0083787B">
        <w:t>Judge Lum) reversed Cooper’s conviction for criminally negligent</w:t>
      </w:r>
      <w:r>
        <w:t xml:space="preserve"> </w:t>
      </w:r>
      <w:r w:rsidRPr="0083787B">
        <w:t xml:space="preserve">homicide and </w:t>
      </w:r>
      <w:proofErr w:type="gramStart"/>
      <w:r w:rsidRPr="0083787B">
        <w:t>remanded</w:t>
      </w:r>
      <w:proofErr w:type="gramEnd"/>
      <w:r w:rsidRPr="0083787B">
        <w:t xml:space="preserve"> for a new trial on that charge. People v.</w:t>
      </w:r>
      <w:r>
        <w:t xml:space="preserve"> </w:t>
      </w:r>
      <w:r w:rsidRPr="0083787B">
        <w:t>Cooper, 2026 COA 44.</w:t>
      </w:r>
      <w:r>
        <w:t xml:space="preserve"> We now also reverse </w:t>
      </w:r>
      <w:proofErr w:type="spellStart"/>
      <w:r>
        <w:t>Cichuniec’s</w:t>
      </w:r>
      <w:proofErr w:type="spellEnd"/>
      <w:r>
        <w:t xml:space="preserve"> conviction for criminally negligent homicide and </w:t>
      </w:r>
      <w:proofErr w:type="gramStart"/>
      <w:r>
        <w:t>remand</w:t>
      </w:r>
      <w:proofErr w:type="gramEnd"/>
      <w:r>
        <w:t xml:space="preserve"> for a new trial on that charge. But we affirm </w:t>
      </w:r>
      <w:proofErr w:type="spellStart"/>
      <w:r>
        <w:t>Cichuniec’s</w:t>
      </w:r>
      <w:proofErr w:type="spellEnd"/>
      <w:r>
        <w:t xml:space="preserve"> conviction for second degree assault.</w:t>
      </w:r>
    </w:p>
    <w:p w14:paraId="04015B2E" w14:textId="77777777" w:rsidR="00EB0265" w:rsidRDefault="00EB0265" w:rsidP="00EB0265">
      <w:r>
        <w:t>***</w:t>
      </w:r>
    </w:p>
    <w:p w14:paraId="4313B307" w14:textId="77777777" w:rsidR="00EB0265" w:rsidRDefault="00EB0265" w:rsidP="00EB0265">
      <w:pPr>
        <w:pStyle w:val="NoSpacing"/>
      </w:pPr>
      <w:r w:rsidRPr="00483A61">
        <w:t xml:space="preserve">We therefore reverse </w:t>
      </w:r>
      <w:proofErr w:type="spellStart"/>
      <w:r w:rsidRPr="00483A61">
        <w:t>Cichuniec’s</w:t>
      </w:r>
      <w:proofErr w:type="spellEnd"/>
      <w:r w:rsidRPr="00483A61">
        <w:t xml:space="preserve"> conviction for criminally</w:t>
      </w:r>
      <w:r>
        <w:t xml:space="preserve"> </w:t>
      </w:r>
      <w:r w:rsidRPr="00483A61">
        <w:t>negligent homicide and remand the case for a new trial on that</w:t>
      </w:r>
      <w:r>
        <w:t xml:space="preserve"> </w:t>
      </w:r>
      <w:r w:rsidRPr="00483A61">
        <w:t>charge (should the People so elect).</w:t>
      </w:r>
      <w:r>
        <w:t>”</w:t>
      </w:r>
    </w:p>
    <w:p w14:paraId="65C7D9AD" w14:textId="77777777" w:rsidR="00EB0265" w:rsidRDefault="00EB0265" w:rsidP="00EB0265">
      <w:pPr>
        <w:pStyle w:val="NoSpacing"/>
      </w:pPr>
    </w:p>
    <w:p w14:paraId="3EF69C49" w14:textId="77777777" w:rsidR="00EB0265" w:rsidRPr="00377720" w:rsidRDefault="00EB0265" w:rsidP="00EB0265">
      <w:pPr>
        <w:pStyle w:val="NoSpacing"/>
        <w:rPr>
          <w:b/>
          <w:bCs/>
        </w:rPr>
      </w:pPr>
      <w:r w:rsidRPr="004E2529">
        <w:rPr>
          <w:b/>
        </w:rPr>
        <w:t xml:space="preserve">Legal lesson learned: </w:t>
      </w:r>
      <w:r>
        <w:rPr>
          <w:b/>
        </w:rPr>
        <w:t>The medic was never sentenced to prison for the assault conviction, so hopefully he will not be re-tried for that offense</w:t>
      </w:r>
    </w:p>
    <w:p w14:paraId="15D67F94" w14:textId="77777777" w:rsidR="00EB0265" w:rsidRPr="00C06A25" w:rsidRDefault="00EB0265" w:rsidP="00EB0265">
      <w:pPr>
        <w:pStyle w:val="NoSpacing"/>
      </w:pPr>
    </w:p>
    <w:p w14:paraId="60E9092F" w14:textId="77777777" w:rsidR="00EB0265" w:rsidRDefault="00EB0265" w:rsidP="00EB0265">
      <w:pPr>
        <w:pStyle w:val="NoSpacing"/>
      </w:pPr>
    </w:p>
    <w:p w14:paraId="671247A8" w14:textId="77777777" w:rsidR="00EB0265" w:rsidRDefault="00EB0265" w:rsidP="00EB0265">
      <w:pPr>
        <w:pStyle w:val="NoSpacing"/>
      </w:pPr>
    </w:p>
    <w:p w14:paraId="4353F456" w14:textId="77777777" w:rsidR="00EB0265" w:rsidRDefault="00EB0265" w:rsidP="00EB0265">
      <w:pPr>
        <w:pStyle w:val="NoSpacing"/>
        <w:rPr>
          <w:b/>
        </w:rPr>
      </w:pPr>
    </w:p>
    <w:p w14:paraId="1DD4A4D9" w14:textId="003A5C0D" w:rsidR="00824E5F" w:rsidRPr="00DA5EE8" w:rsidRDefault="00824E5F" w:rsidP="00824E5F">
      <w:pPr>
        <w:pStyle w:val="NoSpacing"/>
        <w:rPr>
          <w:rFonts w:ascii="Arial Black" w:hAnsi="Arial Black"/>
          <w:sz w:val="24"/>
          <w:szCs w:val="24"/>
        </w:rPr>
      </w:pPr>
      <w:r w:rsidRPr="00DA5EE8">
        <w:rPr>
          <w:rFonts w:ascii="Arial Black" w:hAnsi="Arial Black"/>
          <w:sz w:val="24"/>
          <w:szCs w:val="24"/>
        </w:rPr>
        <w:t>13-2</w:t>
      </w:r>
      <w:r>
        <w:rPr>
          <w:rFonts w:ascii="Arial Black" w:hAnsi="Arial Black"/>
          <w:sz w:val="24"/>
          <w:szCs w:val="24"/>
        </w:rPr>
        <w:t>60</w:t>
      </w:r>
    </w:p>
    <w:p w14:paraId="36857338" w14:textId="77777777" w:rsidR="00824E5F" w:rsidRDefault="00824E5F" w:rsidP="0087684E">
      <w:pPr>
        <w:pStyle w:val="NoSpacing"/>
        <w:rPr>
          <w:rFonts w:ascii="Arial Black" w:hAnsi="Arial Black"/>
          <w:sz w:val="28"/>
          <w:szCs w:val="28"/>
        </w:rPr>
      </w:pPr>
    </w:p>
    <w:p w14:paraId="4ABE72CF" w14:textId="15591C96" w:rsidR="0087684E" w:rsidRDefault="0087684E" w:rsidP="0087684E">
      <w:pPr>
        <w:pStyle w:val="NoSpacing"/>
      </w:pPr>
      <w:r>
        <w:rPr>
          <w:rFonts w:ascii="Arial Black" w:hAnsi="Arial Black"/>
          <w:sz w:val="28"/>
          <w:szCs w:val="28"/>
        </w:rPr>
        <w:t>TN: MEDIC CASE PROCEED – WHISTLEBLOWER /</w:t>
      </w:r>
      <w:r w:rsidR="00824E5F">
        <w:rPr>
          <w:rFonts w:ascii="Arial Black" w:hAnsi="Arial Black"/>
          <w:sz w:val="28"/>
          <w:szCs w:val="28"/>
        </w:rPr>
        <w:t xml:space="preserve"> </w:t>
      </w:r>
      <w:r>
        <w:rPr>
          <w:rFonts w:ascii="Arial Black" w:hAnsi="Arial Black"/>
          <w:sz w:val="28"/>
          <w:szCs w:val="28"/>
        </w:rPr>
        <w:t xml:space="preserve">PT REFUSAL </w:t>
      </w:r>
    </w:p>
    <w:p w14:paraId="0747497E" w14:textId="77777777" w:rsidR="0087684E" w:rsidRDefault="0087684E" w:rsidP="0087684E">
      <w:pPr>
        <w:pStyle w:val="NoSpacing"/>
      </w:pPr>
    </w:p>
    <w:p w14:paraId="54DB1587" w14:textId="77777777" w:rsidR="0087684E" w:rsidRDefault="0087684E" w:rsidP="0087684E">
      <w:pPr>
        <w:rPr>
          <w:b/>
        </w:rPr>
      </w:pPr>
      <w:r>
        <w:t xml:space="preserve">On May 26, 2026, in </w:t>
      </w:r>
      <w:r w:rsidRPr="00654575">
        <w:rPr>
          <w:u w:val="single"/>
        </w:rPr>
        <w:t>Adam Thomas v. Metropolitan Government of Nashville and Davidson County</w:t>
      </w:r>
      <w:r>
        <w:t xml:space="preserve">, the </w:t>
      </w:r>
      <w:r w:rsidRPr="00555F7A">
        <w:t>Court of Appeals of Tennessee, Nashville</w:t>
      </w:r>
      <w:r>
        <w:t xml:space="preserve"> held (3 to 0) that the former paramedic’s whistleblower lawsuit is </w:t>
      </w:r>
      <w:proofErr w:type="gramStart"/>
      <w:r>
        <w:t>reinstated, and</w:t>
      </w:r>
      <w:proofErr w:type="gramEnd"/>
      <w:r>
        <w:t xml:space="preserve"> will now proceed to pre-trial discovery.  THE COURT WROTE:  “</w:t>
      </w:r>
      <w:r w:rsidRPr="005F3752">
        <w:t>He</w:t>
      </w:r>
      <w:r>
        <w:t xml:space="preserve"> </w:t>
      </w:r>
      <w:r w:rsidRPr="005F3752">
        <w:t>asserted that in violation of the Tennessee Public Protection Act he was discharged by the</w:t>
      </w:r>
      <w:r>
        <w:t xml:space="preserve"> </w:t>
      </w:r>
      <w:r w:rsidRPr="005F3752">
        <w:t>Nashville Fire Department because he refused to participate in or remain silent about the</w:t>
      </w:r>
      <w:r>
        <w:t xml:space="preserve"> </w:t>
      </w:r>
      <w:r w:rsidRPr="005F3752">
        <w:t>department forcing mentally competent inmates to undergo medical treatment without their</w:t>
      </w:r>
      <w:r>
        <w:t xml:space="preserve"> </w:t>
      </w:r>
      <w:r w:rsidRPr="005F3752">
        <w:t>consent</w:t>
      </w:r>
      <w:r>
        <w:t xml:space="preserve">…. </w:t>
      </w:r>
      <w:r w:rsidRPr="00650425">
        <w:t>According to the complaint, Mr.</w:t>
      </w:r>
      <w:r>
        <w:t xml:space="preserve"> </w:t>
      </w:r>
      <w:r w:rsidRPr="00650425">
        <w:t xml:space="preserve">Thomas reported </w:t>
      </w:r>
      <w:proofErr w:type="gramStart"/>
      <w:r w:rsidRPr="00650425">
        <w:t>the illegal</w:t>
      </w:r>
      <w:proofErr w:type="gramEnd"/>
      <w:r w:rsidRPr="00650425">
        <w:t xml:space="preserve"> activity to </w:t>
      </w:r>
      <w:proofErr w:type="gramStart"/>
      <w:r w:rsidRPr="00650425">
        <w:t>persons</w:t>
      </w:r>
      <w:proofErr w:type="gramEnd"/>
      <w:r w:rsidRPr="00650425">
        <w:t xml:space="preserve"> outside of the fire department, including</w:t>
      </w:r>
      <w:r>
        <w:t xml:space="preserve"> </w:t>
      </w:r>
      <w:r w:rsidRPr="00650425">
        <w:t>doctors, nurses, and an inmate. As to the latter, he not only informed the inmate that his</w:t>
      </w:r>
      <w:r>
        <w:t xml:space="preserve"> </w:t>
      </w:r>
      <w:r w:rsidRPr="00650425">
        <w:t>legal rights may have been violated but also proceeded to document the violation</w:t>
      </w:r>
      <w:r>
        <w:t xml:space="preserve">…. </w:t>
      </w:r>
      <w:r w:rsidRPr="00650425">
        <w:t>See Tenn.</w:t>
      </w:r>
      <w:r>
        <w:t xml:space="preserve"> </w:t>
      </w:r>
      <w:r w:rsidRPr="00650425">
        <w:t>Code Ann. § 50-1-304 (b)</w:t>
      </w:r>
      <w:proofErr w:type="gramStart"/>
      <w:r w:rsidRPr="00650425">
        <w:t>) (</w:t>
      </w:r>
      <w:r>
        <w:t>‘</w:t>
      </w:r>
      <w:proofErr w:type="gramEnd"/>
      <w:r w:rsidRPr="00650425">
        <w:t>No employee shall be discharged or terminated solely for</w:t>
      </w:r>
      <w:r>
        <w:t xml:space="preserve"> </w:t>
      </w:r>
      <w:r w:rsidRPr="00650425">
        <w:t>refusing to participate in, or for refusing to remain silent about, illegal activities.</w:t>
      </w:r>
      <w:r>
        <w:t>’</w:t>
      </w:r>
      <w:r w:rsidRPr="003140C1">
        <w:t xml:space="preserve">). </w:t>
      </w:r>
      <w:hyperlink r:id="rId2042" w:history="1">
        <w:r w:rsidRPr="003140C1">
          <w:rPr>
            <w:rStyle w:val="Hyperlink"/>
          </w:rPr>
          <w:t>https://cases.justia.com/tennessee/court-of-appeals/2026-m2025-00288-coa-r3-cv.pdf?ts=1779919242</w:t>
        </w:r>
      </w:hyperlink>
      <w:r>
        <w:rPr>
          <w:b/>
        </w:rPr>
        <w:t xml:space="preserve"> </w:t>
      </w:r>
    </w:p>
    <w:p w14:paraId="73D5C311" w14:textId="77777777" w:rsidR="0087684E" w:rsidRDefault="0087684E" w:rsidP="0087684E">
      <w:pPr>
        <w:rPr>
          <w:bCs/>
        </w:rPr>
      </w:pPr>
      <w:r w:rsidRPr="003140C1">
        <w:t>THE COURT HELD:</w:t>
      </w:r>
    </w:p>
    <w:p w14:paraId="6AA95A03" w14:textId="77777777" w:rsidR="0087684E" w:rsidRPr="0076569D" w:rsidRDefault="0087684E" w:rsidP="0087684E">
      <w:pPr>
        <w:pStyle w:val="NoSpacing"/>
        <w:ind w:firstLine="720"/>
        <w:rPr>
          <w:bCs/>
        </w:rPr>
      </w:pPr>
      <w:r>
        <w:t>“</w:t>
      </w:r>
      <w:r w:rsidRPr="0076569D">
        <w:t>According to his amended complaint, Mr. Thomas began working for the Nashville</w:t>
      </w:r>
    </w:p>
    <w:p w14:paraId="7DEF0239" w14:textId="77777777" w:rsidR="0087684E" w:rsidRPr="0076569D" w:rsidRDefault="0087684E" w:rsidP="0087684E">
      <w:pPr>
        <w:pStyle w:val="NoSpacing"/>
        <w:ind w:firstLine="720"/>
        <w:rPr>
          <w:bCs/>
        </w:rPr>
      </w:pPr>
      <w:r w:rsidRPr="0076569D">
        <w:t>Fire Department in October 2023. He was not new to being a paramedic; rather, he had</w:t>
      </w:r>
    </w:p>
    <w:p w14:paraId="55353C71" w14:textId="77777777" w:rsidR="0087684E" w:rsidRPr="0076569D" w:rsidRDefault="0087684E" w:rsidP="0087684E">
      <w:pPr>
        <w:pStyle w:val="NoSpacing"/>
        <w:ind w:firstLine="720"/>
        <w:rPr>
          <w:bCs/>
        </w:rPr>
      </w:pPr>
      <w:r w:rsidRPr="0076569D">
        <w:t>eight years of experience in such a role. In his first six months with the Nashville Fire</w:t>
      </w:r>
    </w:p>
    <w:p w14:paraId="765C9F14" w14:textId="77777777" w:rsidR="0087684E" w:rsidRPr="0076569D" w:rsidRDefault="0087684E" w:rsidP="0087684E">
      <w:pPr>
        <w:pStyle w:val="NoSpacing"/>
        <w:ind w:firstLine="720"/>
        <w:rPr>
          <w:bCs/>
        </w:rPr>
      </w:pPr>
      <w:proofErr w:type="gramStart"/>
      <w:r w:rsidRPr="0076569D">
        <w:lastRenderedPageBreak/>
        <w:t>Department, Mr</w:t>
      </w:r>
      <w:proofErr w:type="gramEnd"/>
      <w:r w:rsidRPr="0076569D">
        <w:t>. Thomas was recognized with three awards for his outstanding job</w:t>
      </w:r>
    </w:p>
    <w:p w14:paraId="5A4FAEE9" w14:textId="77777777" w:rsidR="0087684E" w:rsidRPr="0076569D" w:rsidRDefault="0087684E" w:rsidP="0087684E">
      <w:pPr>
        <w:pStyle w:val="NoSpacing"/>
        <w:ind w:firstLine="720"/>
        <w:rPr>
          <w:bCs/>
        </w:rPr>
      </w:pPr>
      <w:r w:rsidRPr="0076569D">
        <w:t>performance.</w:t>
      </w:r>
    </w:p>
    <w:p w14:paraId="3DF6092C" w14:textId="77777777" w:rsidR="0087684E" w:rsidRDefault="0087684E" w:rsidP="0087684E">
      <w:pPr>
        <w:pStyle w:val="NoSpacing"/>
        <w:rPr>
          <w:bCs/>
        </w:rPr>
      </w:pPr>
    </w:p>
    <w:p w14:paraId="22CA9F5F" w14:textId="77777777" w:rsidR="0087684E" w:rsidRPr="0076569D" w:rsidRDefault="0087684E" w:rsidP="0087684E">
      <w:pPr>
        <w:pStyle w:val="NoSpacing"/>
        <w:ind w:firstLine="720"/>
        <w:rPr>
          <w:bCs/>
        </w:rPr>
      </w:pPr>
      <w:r w:rsidRPr="0076569D">
        <w:t>However, things turned for Mr. Thomas starting on January 23, 2024. On that date,</w:t>
      </w:r>
    </w:p>
    <w:p w14:paraId="5250D6CD" w14:textId="77777777" w:rsidR="0087684E" w:rsidRPr="0076569D" w:rsidRDefault="0087684E" w:rsidP="0087684E">
      <w:pPr>
        <w:pStyle w:val="NoSpacing"/>
        <w:ind w:firstLine="720"/>
        <w:rPr>
          <w:bCs/>
        </w:rPr>
      </w:pPr>
      <w:r w:rsidRPr="0076569D">
        <w:t>Mr. Thomas responded to a call indicating an inmate needed medical attention at the</w:t>
      </w:r>
    </w:p>
    <w:p w14:paraId="024D67C5" w14:textId="77777777" w:rsidR="0087684E" w:rsidRPr="0076569D" w:rsidRDefault="0087684E" w:rsidP="0087684E">
      <w:pPr>
        <w:pStyle w:val="NoSpacing"/>
        <w:ind w:firstLine="720"/>
        <w:rPr>
          <w:bCs/>
        </w:rPr>
      </w:pPr>
      <w:r w:rsidRPr="0076569D">
        <w:t>Davidson County Jail. Upon arriving, Mr. Thomas was informed the inmate was refusing</w:t>
      </w:r>
    </w:p>
    <w:p w14:paraId="6E929641" w14:textId="77777777" w:rsidR="0087684E" w:rsidRPr="0076569D" w:rsidRDefault="0087684E" w:rsidP="0087684E">
      <w:pPr>
        <w:pStyle w:val="NoSpacing"/>
        <w:ind w:firstLine="720"/>
        <w:rPr>
          <w:bCs/>
        </w:rPr>
      </w:pPr>
      <w:r w:rsidRPr="0076569D">
        <w:t>medical treatment and transport to the hospital. While Mr. Thomas maintained that the</w:t>
      </w:r>
    </w:p>
    <w:p w14:paraId="089B2378" w14:textId="77777777" w:rsidR="0087684E" w:rsidRPr="0076569D" w:rsidRDefault="0087684E" w:rsidP="0087684E">
      <w:pPr>
        <w:pStyle w:val="NoSpacing"/>
        <w:ind w:firstLine="720"/>
        <w:rPr>
          <w:bCs/>
        </w:rPr>
      </w:pPr>
      <w:r w:rsidRPr="0076569D">
        <w:t>inmate had a right to refuse medical treatment, a nurse at the jail remained steadfast that</w:t>
      </w:r>
    </w:p>
    <w:p w14:paraId="42AC73B5" w14:textId="77777777" w:rsidR="0087684E" w:rsidRPr="0076569D" w:rsidRDefault="0087684E" w:rsidP="0087684E">
      <w:pPr>
        <w:pStyle w:val="NoSpacing"/>
        <w:ind w:firstLine="720"/>
        <w:rPr>
          <w:bCs/>
        </w:rPr>
      </w:pPr>
      <w:proofErr w:type="gramStart"/>
      <w:r w:rsidRPr="0076569D">
        <w:t>the</w:t>
      </w:r>
      <w:proofErr w:type="gramEnd"/>
      <w:r w:rsidRPr="0076569D">
        <w:t xml:space="preserve"> inmate did not have a right to refuse care or medical transport because of his status as</w:t>
      </w:r>
    </w:p>
    <w:p w14:paraId="6CDFBAAC" w14:textId="77777777" w:rsidR="0087684E" w:rsidRPr="0076569D" w:rsidRDefault="0087684E" w:rsidP="0087684E">
      <w:pPr>
        <w:pStyle w:val="NoSpacing"/>
        <w:ind w:firstLine="720"/>
        <w:rPr>
          <w:bCs/>
        </w:rPr>
      </w:pPr>
      <w:r w:rsidRPr="0076569D">
        <w:t>an inmate. On this occasion, Mr. Thomas relented and transported the inmate to the</w:t>
      </w:r>
    </w:p>
    <w:p w14:paraId="5E09431B" w14:textId="77777777" w:rsidR="0087684E" w:rsidRPr="0076569D" w:rsidRDefault="0087684E" w:rsidP="0087684E">
      <w:pPr>
        <w:pStyle w:val="NoSpacing"/>
        <w:ind w:firstLine="720"/>
        <w:rPr>
          <w:bCs/>
        </w:rPr>
      </w:pPr>
      <w:r w:rsidRPr="0076569D">
        <w:t xml:space="preserve">hospital despite the inmate’s refusal to be treated. To fulfill his duty to </w:t>
      </w:r>
      <w:proofErr w:type="gramStart"/>
      <w:r w:rsidRPr="0076569D">
        <w:t>medically</w:t>
      </w:r>
      <w:proofErr w:type="gramEnd"/>
      <w:r w:rsidRPr="0076569D">
        <w:t xml:space="preserve"> monitor</w:t>
      </w:r>
    </w:p>
    <w:p w14:paraId="24604EEF" w14:textId="77777777" w:rsidR="0087684E" w:rsidRPr="0076569D" w:rsidRDefault="0087684E" w:rsidP="0087684E">
      <w:pPr>
        <w:pStyle w:val="NoSpacing"/>
        <w:ind w:firstLine="720"/>
        <w:rPr>
          <w:bCs/>
        </w:rPr>
      </w:pPr>
      <w:r w:rsidRPr="0076569D">
        <w:t>a patient during transport, he took the inmate’s vital signs and continued to monitor those</w:t>
      </w:r>
    </w:p>
    <w:p w14:paraId="1DC0DE6C" w14:textId="77777777" w:rsidR="0087684E" w:rsidRDefault="0087684E" w:rsidP="0087684E">
      <w:pPr>
        <w:pStyle w:val="NoSpacing"/>
        <w:ind w:firstLine="720"/>
        <w:rPr>
          <w:bCs/>
        </w:rPr>
      </w:pPr>
      <w:r w:rsidRPr="0076569D">
        <w:t>vitals until arriving at the hospital.</w:t>
      </w:r>
    </w:p>
    <w:p w14:paraId="0B21A689" w14:textId="77777777" w:rsidR="0087684E" w:rsidRDefault="0087684E" w:rsidP="0087684E">
      <w:pPr>
        <w:pStyle w:val="NoSpacing"/>
        <w:ind w:firstLine="720"/>
        <w:rPr>
          <w:bCs/>
        </w:rPr>
      </w:pPr>
    </w:p>
    <w:p w14:paraId="24FE8C52" w14:textId="77777777" w:rsidR="0087684E" w:rsidRDefault="0087684E" w:rsidP="0087684E">
      <w:pPr>
        <w:pStyle w:val="NoSpacing"/>
        <w:ind w:firstLine="720"/>
        <w:rPr>
          <w:bCs/>
        </w:rPr>
      </w:pPr>
      <w:r>
        <w:t>***</w:t>
      </w:r>
    </w:p>
    <w:p w14:paraId="5459E241" w14:textId="77777777" w:rsidR="0087684E" w:rsidRPr="002967D3" w:rsidRDefault="0087684E" w:rsidP="0087684E">
      <w:pPr>
        <w:pStyle w:val="NoSpacing"/>
        <w:ind w:firstLine="720"/>
        <w:rPr>
          <w:bCs/>
        </w:rPr>
      </w:pPr>
      <w:r w:rsidRPr="002967D3">
        <w:t>Mr. Thomas also conducted his own research. His research confirmed his understanding</w:t>
      </w:r>
    </w:p>
    <w:p w14:paraId="1749C7DC" w14:textId="77777777" w:rsidR="0087684E" w:rsidRPr="002967D3" w:rsidRDefault="0087684E" w:rsidP="0087684E">
      <w:pPr>
        <w:pStyle w:val="NoSpacing"/>
        <w:ind w:left="720"/>
        <w:rPr>
          <w:bCs/>
        </w:rPr>
      </w:pPr>
      <w:r w:rsidRPr="002967D3">
        <w:t>that a mentally competent inmate has a right to refuse medical treatment. Mr. Thomas filed</w:t>
      </w:r>
      <w:r>
        <w:t xml:space="preserve"> </w:t>
      </w:r>
      <w:r w:rsidRPr="002967D3">
        <w:t>a detailed report at the conclusion of his shift. In his report, Mr. Thomas cited Tennessee</w:t>
      </w:r>
      <w:r>
        <w:t xml:space="preserve"> </w:t>
      </w:r>
      <w:r w:rsidRPr="002967D3">
        <w:t>Department of Correction policies and Tennessee Corrections Institute guidelines,</w:t>
      </w:r>
      <w:r>
        <w:t xml:space="preserve"> </w:t>
      </w:r>
      <w:r w:rsidRPr="002967D3">
        <w:t>indicating that prisoners have a right to refuse medical treatment.</w:t>
      </w:r>
    </w:p>
    <w:p w14:paraId="0484FA26" w14:textId="77777777" w:rsidR="0087684E" w:rsidRDefault="0087684E" w:rsidP="0087684E">
      <w:pPr>
        <w:pStyle w:val="NoSpacing"/>
        <w:ind w:firstLine="720"/>
        <w:rPr>
          <w:bCs/>
        </w:rPr>
      </w:pPr>
    </w:p>
    <w:p w14:paraId="7C7D3242" w14:textId="77777777" w:rsidR="0087684E" w:rsidRPr="002967D3" w:rsidRDefault="0087684E" w:rsidP="0087684E">
      <w:pPr>
        <w:pStyle w:val="NoSpacing"/>
        <w:ind w:firstLine="720"/>
        <w:rPr>
          <w:bCs/>
        </w:rPr>
      </w:pPr>
      <w:r w:rsidRPr="002967D3">
        <w:t xml:space="preserve">Approximately a week later, Mr. Thomas was called into a meeting with several </w:t>
      </w:r>
      <w:proofErr w:type="gramStart"/>
      <w:r w:rsidRPr="002967D3">
        <w:t>fire</w:t>
      </w:r>
      <w:proofErr w:type="gramEnd"/>
    </w:p>
    <w:p w14:paraId="69FDFF7E" w14:textId="77777777" w:rsidR="0087684E" w:rsidRPr="002967D3" w:rsidRDefault="0087684E" w:rsidP="0087684E">
      <w:pPr>
        <w:pStyle w:val="NoSpacing"/>
        <w:ind w:firstLine="720"/>
        <w:rPr>
          <w:bCs/>
        </w:rPr>
      </w:pPr>
      <w:r w:rsidRPr="002967D3">
        <w:t>department Chiefs. Mr. Thomas alleges that in this meeting, he was reprimanded</w:t>
      </w:r>
    </w:p>
    <w:p w14:paraId="503F65CE" w14:textId="77777777" w:rsidR="0087684E" w:rsidRPr="002967D3" w:rsidRDefault="0087684E" w:rsidP="0087684E">
      <w:pPr>
        <w:pStyle w:val="NoSpacing"/>
        <w:ind w:firstLine="720"/>
        <w:rPr>
          <w:bCs/>
        </w:rPr>
      </w:pPr>
      <w:r w:rsidRPr="002967D3">
        <w:t xml:space="preserve">extensively for the report he filed regarding the January 23, </w:t>
      </w:r>
      <w:proofErr w:type="gramStart"/>
      <w:r w:rsidRPr="002967D3">
        <w:t>2024</w:t>
      </w:r>
      <w:proofErr w:type="gramEnd"/>
      <w:r w:rsidRPr="002967D3">
        <w:t xml:space="preserve"> transport of the inmate.</w:t>
      </w:r>
    </w:p>
    <w:p w14:paraId="2B31724B" w14:textId="77777777" w:rsidR="0087684E" w:rsidRPr="002967D3" w:rsidRDefault="0087684E" w:rsidP="0087684E">
      <w:pPr>
        <w:pStyle w:val="NoSpacing"/>
        <w:ind w:firstLine="720"/>
        <w:rPr>
          <w:bCs/>
        </w:rPr>
      </w:pPr>
      <w:r w:rsidRPr="002967D3">
        <w:t>The Chiefs indicated that he was correct that an inmate could refuse treatment, but they</w:t>
      </w:r>
    </w:p>
    <w:p w14:paraId="22FA74A6" w14:textId="77777777" w:rsidR="0087684E" w:rsidRPr="00C1245A" w:rsidRDefault="0087684E" w:rsidP="0087684E">
      <w:pPr>
        <w:pStyle w:val="NoSpacing"/>
        <w:ind w:left="720"/>
        <w:rPr>
          <w:bCs/>
        </w:rPr>
      </w:pPr>
      <w:r w:rsidRPr="002967D3">
        <w:t>could not believe that he had documented the incident. In the meeting, Mr. Thomas</w:t>
      </w:r>
      <w:r>
        <w:t xml:space="preserve"> </w:t>
      </w:r>
      <w:r w:rsidRPr="00C1245A">
        <w:t>indicated that he would not transport another competent inmate to the hospital without the</w:t>
      </w:r>
      <w:r>
        <w:t xml:space="preserve"> </w:t>
      </w:r>
      <w:r w:rsidRPr="00C1245A">
        <w:t>inmate’s consent.</w:t>
      </w:r>
    </w:p>
    <w:p w14:paraId="7D59D021" w14:textId="77777777" w:rsidR="0087684E" w:rsidRDefault="0087684E" w:rsidP="0087684E">
      <w:pPr>
        <w:pStyle w:val="NoSpacing"/>
        <w:ind w:firstLine="720"/>
        <w:rPr>
          <w:bCs/>
        </w:rPr>
      </w:pPr>
    </w:p>
    <w:p w14:paraId="79927B4B" w14:textId="77777777" w:rsidR="0087684E" w:rsidRPr="00C1245A" w:rsidRDefault="0087684E" w:rsidP="0087684E">
      <w:pPr>
        <w:pStyle w:val="NoSpacing"/>
        <w:ind w:firstLine="720"/>
        <w:rPr>
          <w:bCs/>
        </w:rPr>
      </w:pPr>
      <w:r w:rsidRPr="00C1245A">
        <w:t>Less than a month later, Mr. Thomas, who had previously served in the Marine</w:t>
      </w:r>
    </w:p>
    <w:p w14:paraId="0390EF73" w14:textId="77777777" w:rsidR="0087684E" w:rsidRPr="00C1245A" w:rsidRDefault="0087684E" w:rsidP="0087684E">
      <w:pPr>
        <w:pStyle w:val="NoSpacing"/>
        <w:ind w:firstLine="720"/>
        <w:rPr>
          <w:bCs/>
        </w:rPr>
      </w:pPr>
      <w:proofErr w:type="gramStart"/>
      <w:r w:rsidRPr="00C1245A">
        <w:t>Corps,</w:t>
      </w:r>
      <w:proofErr w:type="gramEnd"/>
      <w:r w:rsidRPr="00C1245A">
        <w:t xml:space="preserve"> was scheduled to be in Arlington. Members of his platoon annually gathered to</w:t>
      </w:r>
    </w:p>
    <w:p w14:paraId="6A3EC459" w14:textId="77777777" w:rsidR="0087684E" w:rsidRPr="00C1245A" w:rsidRDefault="0087684E" w:rsidP="0087684E">
      <w:pPr>
        <w:pStyle w:val="NoSpacing"/>
        <w:ind w:firstLine="720"/>
        <w:rPr>
          <w:bCs/>
        </w:rPr>
      </w:pPr>
      <w:r w:rsidRPr="00C1245A">
        <w:t>honor a fallen comrade who had died in Afghanistan. Mr. Thomas had been approved for</w:t>
      </w:r>
    </w:p>
    <w:p w14:paraId="04FF85AB" w14:textId="77777777" w:rsidR="0087684E" w:rsidRPr="00C1245A" w:rsidRDefault="0087684E" w:rsidP="0087684E">
      <w:pPr>
        <w:pStyle w:val="NoSpacing"/>
        <w:ind w:firstLine="720"/>
        <w:rPr>
          <w:bCs/>
        </w:rPr>
      </w:pPr>
      <w:r w:rsidRPr="00C1245A">
        <w:t xml:space="preserve">vacation time, and a coworker was going to cover his shift on February 16. </w:t>
      </w:r>
      <w:proofErr w:type="gramStart"/>
      <w:r w:rsidRPr="00C1245A">
        <w:t>The coworker</w:t>
      </w:r>
      <w:proofErr w:type="gramEnd"/>
      <w:r w:rsidRPr="00C1245A">
        <w:t>,</w:t>
      </w:r>
    </w:p>
    <w:p w14:paraId="59B7A3D9" w14:textId="77777777" w:rsidR="0087684E" w:rsidRPr="00C1245A" w:rsidRDefault="0087684E" w:rsidP="0087684E">
      <w:pPr>
        <w:pStyle w:val="NoSpacing"/>
        <w:ind w:firstLine="720"/>
        <w:rPr>
          <w:bCs/>
        </w:rPr>
      </w:pPr>
      <w:proofErr w:type="gramStart"/>
      <w:r w:rsidRPr="00C1245A">
        <w:t>however</w:t>
      </w:r>
      <w:proofErr w:type="gramEnd"/>
      <w:r w:rsidRPr="00C1245A">
        <w:t>, was forbidden by superiors from covering his February 16 shift, which went</w:t>
      </w:r>
    </w:p>
    <w:p w14:paraId="7515948B" w14:textId="77777777" w:rsidR="0087684E" w:rsidRDefault="0087684E" w:rsidP="0087684E">
      <w:pPr>
        <w:pStyle w:val="NoSpacing"/>
        <w:ind w:firstLine="720"/>
        <w:rPr>
          <w:bCs/>
        </w:rPr>
      </w:pPr>
      <w:r w:rsidRPr="00C1245A">
        <w:t>uncovered.</w:t>
      </w:r>
    </w:p>
    <w:p w14:paraId="57F09B18" w14:textId="77777777" w:rsidR="0087684E" w:rsidRDefault="0087684E" w:rsidP="0087684E">
      <w:pPr>
        <w:pStyle w:val="NoSpacing"/>
        <w:ind w:firstLine="720"/>
        <w:rPr>
          <w:bCs/>
        </w:rPr>
      </w:pPr>
    </w:p>
    <w:p w14:paraId="447AD8A3" w14:textId="77777777" w:rsidR="0087684E" w:rsidRPr="00F85597" w:rsidRDefault="0087684E" w:rsidP="0087684E">
      <w:pPr>
        <w:pStyle w:val="NoSpacing"/>
        <w:ind w:firstLine="720"/>
        <w:rPr>
          <w:bCs/>
        </w:rPr>
      </w:pPr>
      <w:r w:rsidRPr="00F85597">
        <w:t>On or around February 26, 2024, Nashville Fire Department Chief Fred Smith gave</w:t>
      </w:r>
    </w:p>
    <w:p w14:paraId="37D5B4CA" w14:textId="77777777" w:rsidR="0087684E" w:rsidRPr="00F85597" w:rsidRDefault="0087684E" w:rsidP="0087684E">
      <w:pPr>
        <w:pStyle w:val="NoSpacing"/>
        <w:ind w:firstLine="720"/>
        <w:rPr>
          <w:bCs/>
        </w:rPr>
      </w:pPr>
      <w:r w:rsidRPr="00F85597">
        <w:t>Mr. Thomas an ultimatum: “You can either resign, or I can fire you.” Metro contends this</w:t>
      </w:r>
    </w:p>
    <w:p w14:paraId="1C857F7A" w14:textId="77777777" w:rsidR="0087684E" w:rsidRPr="00F85597" w:rsidRDefault="0087684E" w:rsidP="0087684E">
      <w:pPr>
        <w:pStyle w:val="NoSpacing"/>
        <w:ind w:left="720"/>
        <w:rPr>
          <w:bCs/>
        </w:rPr>
      </w:pPr>
      <w:r w:rsidRPr="00F85597">
        <w:t>ultimatum was the result of Mr. Thomas missing a single shift and not finding coverage to</w:t>
      </w:r>
      <w:r>
        <w:t xml:space="preserve"> </w:t>
      </w:r>
      <w:r w:rsidRPr="00F85597">
        <w:t>replace him. Mr. Thomas chose to resign to prevent a termination from becoming part of</w:t>
      </w:r>
      <w:r>
        <w:t xml:space="preserve"> </w:t>
      </w:r>
      <w:r w:rsidRPr="00F85597">
        <w:t>his record. Thereafter, Mr. Thomas alleges he received a text message from another</w:t>
      </w:r>
    </w:p>
    <w:p w14:paraId="487839D8" w14:textId="77777777" w:rsidR="0087684E" w:rsidRPr="00F85597" w:rsidRDefault="0087684E" w:rsidP="0087684E">
      <w:pPr>
        <w:pStyle w:val="NoSpacing"/>
        <w:ind w:firstLine="720"/>
        <w:rPr>
          <w:bCs/>
        </w:rPr>
      </w:pPr>
      <w:r w:rsidRPr="00F85597">
        <w:t>paramedic employed by the fire department stating that, when that employee had</w:t>
      </w:r>
    </w:p>
    <w:p w14:paraId="474FFB18" w14:textId="77777777" w:rsidR="0087684E" w:rsidRDefault="0087684E" w:rsidP="0087684E">
      <w:pPr>
        <w:pStyle w:val="NoSpacing"/>
        <w:ind w:firstLine="720"/>
        <w:rPr>
          <w:bCs/>
        </w:rPr>
      </w:pPr>
      <w:r w:rsidRPr="00F85597">
        <w:t>previously missed a shift, the only consequence was a write-up</w:t>
      </w:r>
      <w:r>
        <w:t>.”</w:t>
      </w:r>
    </w:p>
    <w:p w14:paraId="6260A993" w14:textId="77777777" w:rsidR="0087684E" w:rsidRDefault="0087684E" w:rsidP="0087684E">
      <w:pPr>
        <w:pStyle w:val="NoSpacing"/>
        <w:ind w:firstLine="720"/>
        <w:rPr>
          <w:bCs/>
        </w:rPr>
      </w:pPr>
    </w:p>
    <w:p w14:paraId="31564EC9" w14:textId="77777777" w:rsidR="0087684E" w:rsidRPr="005936B4" w:rsidRDefault="0087684E" w:rsidP="0087684E">
      <w:pPr>
        <w:rPr>
          <w:b/>
        </w:rPr>
      </w:pPr>
      <w:r>
        <w:rPr>
          <w:b/>
        </w:rPr>
        <w:t xml:space="preserve">Legal lesson learned: </w:t>
      </w:r>
      <w:r w:rsidRPr="005936B4">
        <w:rPr>
          <w:b/>
        </w:rPr>
        <w:t>The Tennessee Public Protection Act protects whistleblowers; case will now proceed to pre-trial discovery; a jury may ultimately reward</w:t>
      </w:r>
      <w:r>
        <w:rPr>
          <w:b/>
        </w:rPr>
        <w:t xml:space="preserve"> Medic with </w:t>
      </w:r>
      <w:r w:rsidRPr="005936B4">
        <w:rPr>
          <w:b/>
        </w:rPr>
        <w:t xml:space="preserve">substantial damages. </w:t>
      </w:r>
    </w:p>
    <w:p w14:paraId="57193B73" w14:textId="77777777" w:rsidR="0087684E" w:rsidRDefault="0087684E" w:rsidP="0087684E">
      <w:pPr>
        <w:ind w:left="720"/>
        <w:rPr>
          <w:bCs/>
        </w:rPr>
      </w:pPr>
      <w:r w:rsidRPr="008B6EA3">
        <w:t>Note: The Tenn. Code</w:t>
      </w:r>
      <w:r>
        <w:t xml:space="preserve"> provides in </w:t>
      </w:r>
      <w:r w:rsidRPr="00FD65F6">
        <w:t>§ 50-1-304 (2024)</w:t>
      </w:r>
      <w:r>
        <w:t xml:space="preserve">: </w:t>
      </w:r>
      <w:hyperlink r:id="rId2043" w:history="1">
        <w:r w:rsidRPr="003971FA">
          <w:rPr>
            <w:rStyle w:val="Hyperlink"/>
          </w:rPr>
          <w:t>https://law.justia.com/codes/tennessee/title-50/chapter-1/part-3/section-50-1-304/</w:t>
        </w:r>
      </w:hyperlink>
      <w:r>
        <w:t xml:space="preserve"> </w:t>
      </w:r>
    </w:p>
    <w:p w14:paraId="7E0AA116" w14:textId="77777777" w:rsidR="0087684E" w:rsidRPr="008B6EA3" w:rsidRDefault="0087684E" w:rsidP="0087684E">
      <w:pPr>
        <w:ind w:left="720"/>
        <w:rPr>
          <w:bCs/>
        </w:rPr>
      </w:pPr>
      <w:r>
        <w:rPr>
          <w:b/>
        </w:rPr>
        <w:t>“</w:t>
      </w:r>
      <w:r w:rsidRPr="000F04F2">
        <w:rPr>
          <w:b/>
        </w:rPr>
        <w:t>(1)</w:t>
      </w:r>
      <w:r w:rsidRPr="000F04F2">
        <w:t xml:space="preserve"> Any employee terminated in violation of subsection (b) shall have a cause of action against the employer for retaliatory discharge and any other damages to which the employee may be entitled, subject to the limitations set out in § 4-21-313.</w:t>
      </w:r>
      <w:r>
        <w:t>”</w:t>
      </w:r>
    </w:p>
    <w:p w14:paraId="78D2C1EC" w14:textId="77777777" w:rsidR="0087684E" w:rsidRDefault="0087684E" w:rsidP="0087684E">
      <w:pPr>
        <w:rPr>
          <w:bCs/>
        </w:rPr>
      </w:pPr>
    </w:p>
    <w:p w14:paraId="0E47927F" w14:textId="185829FA" w:rsidR="00DA5EE8" w:rsidRPr="00DA5EE8" w:rsidRDefault="00DA5EE8" w:rsidP="00DA5EE8">
      <w:pPr>
        <w:pStyle w:val="NoSpacing"/>
        <w:rPr>
          <w:rFonts w:ascii="Arial Black" w:hAnsi="Arial Black"/>
          <w:sz w:val="24"/>
          <w:szCs w:val="24"/>
        </w:rPr>
      </w:pPr>
      <w:r w:rsidRPr="00DA5EE8">
        <w:rPr>
          <w:rFonts w:ascii="Arial Black" w:hAnsi="Arial Black"/>
          <w:sz w:val="24"/>
          <w:szCs w:val="24"/>
        </w:rPr>
        <w:lastRenderedPageBreak/>
        <w:t>13-25</w:t>
      </w:r>
      <w:r>
        <w:rPr>
          <w:rFonts w:ascii="Arial Black" w:hAnsi="Arial Black"/>
          <w:sz w:val="24"/>
          <w:szCs w:val="24"/>
        </w:rPr>
        <w:t>9</w:t>
      </w:r>
    </w:p>
    <w:p w14:paraId="48668188" w14:textId="77777777" w:rsidR="0087684E" w:rsidRDefault="0087684E" w:rsidP="0087684E">
      <w:pPr>
        <w:rPr>
          <w:bCs/>
        </w:rPr>
      </w:pPr>
    </w:p>
    <w:p w14:paraId="748B1E05" w14:textId="77777777" w:rsidR="0087684E" w:rsidRPr="00161BDB" w:rsidRDefault="0087684E" w:rsidP="0087684E">
      <w:pPr>
        <w:rPr>
          <w:rFonts w:ascii="Arial Black" w:hAnsi="Arial Black"/>
          <w:b/>
          <w:sz w:val="28"/>
          <w:szCs w:val="28"/>
        </w:rPr>
      </w:pPr>
      <w:r>
        <w:rPr>
          <w:rFonts w:ascii="Arial Black" w:hAnsi="Arial Black"/>
          <w:b/>
          <w:sz w:val="28"/>
          <w:szCs w:val="28"/>
        </w:rPr>
        <w:t>MI: PT GURNEY / UNLOADING – NO IMMUN. STATE MV LAW</w:t>
      </w:r>
    </w:p>
    <w:p w14:paraId="180B9550" w14:textId="77777777" w:rsidR="0087684E" w:rsidRDefault="0087684E" w:rsidP="0087684E">
      <w:pPr>
        <w:pStyle w:val="NoSpacing"/>
      </w:pPr>
      <w:r>
        <w:t xml:space="preserve">On May 19, 2026, in </w:t>
      </w:r>
      <w:r w:rsidRPr="0087386B">
        <w:rPr>
          <w:u w:val="single"/>
        </w:rPr>
        <w:t>Walter Winters v. City of Detroit</w:t>
      </w:r>
      <w:r>
        <w:t xml:space="preserve">, the State of Michigan Court of Appeals held (3 to 0) that the patient’s lawsuit may proceed, since this was an injury arising out of </w:t>
      </w:r>
      <w:proofErr w:type="spellStart"/>
      <w:r>
        <w:t>a</w:t>
      </w:r>
      <w:proofErr w:type="spellEnd"/>
      <w:r>
        <w:t xml:space="preserve"> accident involving a motor vehicle (ambulance); trial court improperly dismissed the case under EMS immunity statute.  THE COURT WROTE: “</w:t>
      </w:r>
      <w:r w:rsidRPr="00F53EB6">
        <w:t>Winters appeals by right the trial court’s order granting the City’s motion for</w:t>
      </w:r>
      <w:r>
        <w:t xml:space="preserve"> </w:t>
      </w:r>
      <w:r w:rsidRPr="00F53EB6">
        <w:t xml:space="preserve">summary disposition. Because the trial court erroneously applied the EMSA </w:t>
      </w:r>
      <w:r>
        <w:t>[E</w:t>
      </w:r>
      <w:r w:rsidRPr="002147CE">
        <w:t xml:space="preserve">mergency </w:t>
      </w:r>
      <w:r>
        <w:t>M</w:t>
      </w:r>
      <w:r w:rsidRPr="002147CE">
        <w:t xml:space="preserve">edical </w:t>
      </w:r>
      <w:r>
        <w:t>S</w:t>
      </w:r>
      <w:r w:rsidRPr="002147CE">
        <w:t xml:space="preserve">ervices </w:t>
      </w:r>
      <w:r>
        <w:t>A</w:t>
      </w:r>
      <w:r w:rsidRPr="002147CE">
        <w:t>ct</w:t>
      </w:r>
      <w:r>
        <w:t>]</w:t>
      </w:r>
      <w:r w:rsidRPr="002147CE">
        <w:t xml:space="preserve"> </w:t>
      </w:r>
      <w:r w:rsidRPr="00F53EB6">
        <w:t>and Winters’s</w:t>
      </w:r>
      <w:r>
        <w:t xml:space="preserve"> </w:t>
      </w:r>
      <w:r w:rsidRPr="00F53EB6">
        <w:t>complaint asserted a claim under the motor-vehicle exception to governmental immunity, MCL</w:t>
      </w:r>
      <w:r>
        <w:t xml:space="preserve"> </w:t>
      </w:r>
      <w:r w:rsidRPr="00F53EB6">
        <w:t>691.1405, we reverse and remand for further proceedings</w:t>
      </w:r>
      <w:r>
        <w:t>.”</w:t>
      </w:r>
    </w:p>
    <w:p w14:paraId="0F6BDC55" w14:textId="77777777" w:rsidR="0087684E" w:rsidRDefault="0087684E" w:rsidP="0087684E">
      <w:pPr>
        <w:pStyle w:val="NoSpacing"/>
      </w:pPr>
      <w:r>
        <w:t xml:space="preserve"> </w:t>
      </w:r>
      <w:hyperlink r:id="rId2044" w:history="1">
        <w:r w:rsidRPr="00061A2D">
          <w:rPr>
            <w:rStyle w:val="Hyperlink"/>
          </w:rPr>
          <w:t>https://cases.justia.com/michigan/court-of-appeals-unpublished/2026-371690.pdf?ts=1779282004</w:t>
        </w:r>
      </w:hyperlink>
      <w:r>
        <w:t xml:space="preserve"> </w:t>
      </w:r>
    </w:p>
    <w:p w14:paraId="37F05A2F" w14:textId="77777777" w:rsidR="0087684E" w:rsidRDefault="0087684E" w:rsidP="0087684E">
      <w:pPr>
        <w:pStyle w:val="NoSpacing"/>
      </w:pPr>
    </w:p>
    <w:p w14:paraId="1AC0847C" w14:textId="77777777" w:rsidR="0087684E" w:rsidRDefault="0087684E" w:rsidP="0087684E">
      <w:pPr>
        <w:pStyle w:val="NoSpacing"/>
      </w:pPr>
      <w:r>
        <w:t>THE COURT HELD:</w:t>
      </w:r>
    </w:p>
    <w:p w14:paraId="66A7407E" w14:textId="77777777" w:rsidR="0087684E" w:rsidRDefault="0087684E" w:rsidP="0087684E">
      <w:pPr>
        <w:pStyle w:val="NoSpacing"/>
      </w:pPr>
    </w:p>
    <w:p w14:paraId="39620B7F" w14:textId="77777777" w:rsidR="0087684E" w:rsidRPr="00161BDB" w:rsidRDefault="0087684E" w:rsidP="0087684E">
      <w:pPr>
        <w:pStyle w:val="NoSpacing"/>
        <w:ind w:firstLine="720"/>
      </w:pPr>
      <w:r>
        <w:t>“</w:t>
      </w:r>
      <w:r w:rsidRPr="00161BDB">
        <w:t>In his complaint, Winters alleged that the City’s EMTs strapped him onto a gurney for</w:t>
      </w:r>
    </w:p>
    <w:p w14:paraId="015FEC4B" w14:textId="77777777" w:rsidR="0087684E" w:rsidRDefault="0087684E" w:rsidP="0087684E">
      <w:pPr>
        <w:pStyle w:val="NoSpacing"/>
        <w:ind w:left="720"/>
      </w:pPr>
      <w:r w:rsidRPr="00161BDB">
        <w:t xml:space="preserve">transport and negligently </w:t>
      </w:r>
      <w:r>
        <w:t>‘</w:t>
      </w:r>
      <w:r w:rsidRPr="00161BDB">
        <w:t>failed to keep the gurney upright</w:t>
      </w:r>
      <w:r>
        <w:t>’</w:t>
      </w:r>
      <w:r w:rsidRPr="00161BDB">
        <w:t xml:space="preserve"> which caused him to fall to the ground</w:t>
      </w:r>
      <w:r>
        <w:t xml:space="preserve"> </w:t>
      </w:r>
      <w:r w:rsidRPr="00161BDB">
        <w:t>and sustain injury while the EMTs unloaded him from the ambulance. Winters also alleged that</w:t>
      </w:r>
      <w:r>
        <w:t xml:space="preserve"> </w:t>
      </w:r>
      <w:r w:rsidRPr="00161BDB">
        <w:t xml:space="preserve">the </w:t>
      </w:r>
      <w:proofErr w:type="gramStart"/>
      <w:r w:rsidRPr="00161BDB">
        <w:t>City</w:t>
      </w:r>
      <w:proofErr w:type="gramEnd"/>
      <w:r w:rsidRPr="00161BDB">
        <w:t xml:space="preserve"> had a duty to ensure that its employees safely unload patients from an ambulance and that</w:t>
      </w:r>
      <w:r>
        <w:t xml:space="preserve"> </w:t>
      </w:r>
      <w:r w:rsidRPr="00161BDB">
        <w:t xml:space="preserve">the </w:t>
      </w:r>
      <w:proofErr w:type="gramStart"/>
      <w:r w:rsidRPr="00161BDB">
        <w:t>City</w:t>
      </w:r>
      <w:proofErr w:type="gramEnd"/>
      <w:r w:rsidRPr="00161BDB">
        <w:t xml:space="preserve"> was liable for its own negligence, and that of the EMTs, because the </w:t>
      </w:r>
      <w:proofErr w:type="gramStart"/>
      <w:r w:rsidRPr="00161BDB">
        <w:t>City</w:t>
      </w:r>
      <w:proofErr w:type="gramEnd"/>
      <w:r w:rsidRPr="00161BDB">
        <w:t xml:space="preserve"> owned the</w:t>
      </w:r>
      <w:r>
        <w:t xml:space="preserve"> </w:t>
      </w:r>
      <w:r w:rsidRPr="00161BDB">
        <w:t>ambulance. Winters cited the owner’s liability statute, MCL 257.401. Winters’s allegations were</w:t>
      </w:r>
      <w:r>
        <w:t xml:space="preserve"> </w:t>
      </w:r>
      <w:r w:rsidRPr="00161BDB">
        <w:t>sufficient to plead in avoidance of governmental immunity because they stated a claim that fit</w:t>
      </w:r>
      <w:r>
        <w:t xml:space="preserve"> </w:t>
      </w:r>
      <w:r w:rsidRPr="00161BDB">
        <w:t>within the motor-vehicle exception to governmental immunity. See Mount Clemens Recreational</w:t>
      </w:r>
      <w:r>
        <w:t xml:space="preserve"> </w:t>
      </w:r>
      <w:r w:rsidRPr="00161BDB">
        <w:t>Bowl, 344 Mich App at 245. The motor-vehicle exception requires that the governmental agency</w:t>
      </w:r>
      <w:r>
        <w:t xml:space="preserve"> </w:t>
      </w:r>
      <w:r w:rsidRPr="00161BDB">
        <w:t>owned the motor vehicle involved in the incident and that the plaintiff’s injuries resulted from the</w:t>
      </w:r>
      <w:r>
        <w:t xml:space="preserve"> </w:t>
      </w:r>
      <w:r w:rsidRPr="00161BDB">
        <w:t xml:space="preserve">negligent operation of the vehicle by the governmental agency’s employees. Further, as in </w:t>
      </w:r>
      <w:r w:rsidRPr="00AF59D3">
        <w:rPr>
          <w:i/>
          <w:iCs/>
        </w:rPr>
        <w:t>Martin,</w:t>
      </w:r>
      <w:r>
        <w:t xml:space="preserve"> </w:t>
      </w:r>
      <w:r w:rsidRPr="00161BDB">
        <w:t>the loading and unloading of patients is an action within the operation of an ambulance. Indeed,</w:t>
      </w:r>
      <w:r>
        <w:t xml:space="preserve"> </w:t>
      </w:r>
      <w:proofErr w:type="gramStart"/>
      <w:r w:rsidRPr="00161BDB">
        <w:t>similar to</w:t>
      </w:r>
      <w:proofErr w:type="gramEnd"/>
      <w:r w:rsidRPr="00161BDB">
        <w:t xml:space="preserve"> the garbage truck in Strozier, it is impossible for an ambulance to perform its intended</w:t>
      </w:r>
      <w:r>
        <w:t xml:space="preserve"> </w:t>
      </w:r>
      <w:proofErr w:type="gramStart"/>
      <w:r w:rsidRPr="00161BDB">
        <w:t>function</w:t>
      </w:r>
      <w:proofErr w:type="gramEnd"/>
      <w:r w:rsidRPr="00161BDB">
        <w:t xml:space="preserve"> absent the loading and unloading of patients. Accordingly, because Winters’s complaint</w:t>
      </w:r>
      <w:r>
        <w:t xml:space="preserve"> </w:t>
      </w:r>
      <w:r w:rsidRPr="00161BDB">
        <w:t>stated a claim within the motor-vehicle exception to governmental immunity, the trial court erred</w:t>
      </w:r>
      <w:r>
        <w:t xml:space="preserve"> </w:t>
      </w:r>
      <w:r w:rsidRPr="00161BDB">
        <w:t>by granting the City’s motion for summary disposition.</w:t>
      </w:r>
      <w:r>
        <w:t>:</w:t>
      </w:r>
    </w:p>
    <w:p w14:paraId="57F8B4F6" w14:textId="77777777" w:rsidR="0087684E" w:rsidRDefault="0087684E" w:rsidP="0087684E">
      <w:pPr>
        <w:pStyle w:val="NoSpacing"/>
        <w:ind w:left="720"/>
      </w:pPr>
    </w:p>
    <w:p w14:paraId="7B4338A7" w14:textId="77777777" w:rsidR="0087684E" w:rsidRPr="005F70EF" w:rsidRDefault="0087684E" w:rsidP="0087684E">
      <w:pPr>
        <w:pStyle w:val="NoSpacing"/>
        <w:rPr>
          <w:b/>
          <w:bCs/>
        </w:rPr>
      </w:pPr>
      <w:r>
        <w:rPr>
          <w:b/>
        </w:rPr>
        <w:t xml:space="preserve">Legal lesson learned: </w:t>
      </w:r>
      <w:r w:rsidRPr="005F70EF">
        <w:rPr>
          <w:b/>
        </w:rPr>
        <w:t>Novel decision – no immunity for an injury arising out of accident involving a motor vehicle (ambulance).</w:t>
      </w:r>
    </w:p>
    <w:p w14:paraId="5CE14A90" w14:textId="77777777" w:rsidR="0087684E" w:rsidRDefault="0087684E" w:rsidP="0087684E">
      <w:pPr>
        <w:pStyle w:val="NoSpacing"/>
        <w:rPr>
          <w:b/>
          <w:bCs/>
        </w:rPr>
      </w:pPr>
    </w:p>
    <w:p w14:paraId="49F665BB" w14:textId="77777777" w:rsidR="0087684E" w:rsidRDefault="0087684E" w:rsidP="0087684E">
      <w:pPr>
        <w:ind w:firstLine="720"/>
      </w:pPr>
      <w:r>
        <w:t>Note: See Michigan government agency motor vehicle liability statute.</w:t>
      </w:r>
    </w:p>
    <w:p w14:paraId="0CA99499" w14:textId="77777777" w:rsidR="0087684E" w:rsidRDefault="0087684E" w:rsidP="0087684E">
      <w:pPr>
        <w:pStyle w:val="NoSpacing"/>
        <w:ind w:left="720"/>
      </w:pPr>
      <w:r>
        <w:t>“</w:t>
      </w:r>
      <w:r w:rsidRPr="00E747BB">
        <w:t>Governmental agencies shall be liable for bodily injury and property damage resulting from the negligent operation by any officer, agent, or employee of the governmental agency, of a motor vehicle of which the governmental agency is owner, as defined in Act No. 300 of the Public Acts of 1949, as amended, being sections 257.1 to 257.923 of the Compiled Laws of 1948.</w:t>
      </w:r>
      <w:r>
        <w:t xml:space="preserve">” </w:t>
      </w:r>
      <w:hyperlink r:id="rId2045" w:history="1">
        <w:r w:rsidRPr="00966D1B">
          <w:rPr>
            <w:rStyle w:val="Hyperlink"/>
          </w:rPr>
          <w:t>https://www.legislature.mi.gov/Laws/MCL?objectName=MCL-691-1405</w:t>
        </w:r>
      </w:hyperlink>
    </w:p>
    <w:p w14:paraId="60B66701" w14:textId="77777777" w:rsidR="0087684E" w:rsidRDefault="0087684E" w:rsidP="0087684E">
      <w:pPr>
        <w:pStyle w:val="NoSpacing"/>
      </w:pPr>
    </w:p>
    <w:p w14:paraId="509A7EC2" w14:textId="77777777" w:rsidR="0087684E" w:rsidRDefault="0087684E" w:rsidP="0087684E">
      <w:pPr>
        <w:pStyle w:val="NoSpacing"/>
      </w:pPr>
    </w:p>
    <w:p w14:paraId="51FDB9CF" w14:textId="77777777" w:rsidR="0087684E" w:rsidRDefault="0087684E" w:rsidP="0087684E">
      <w:pPr>
        <w:rPr>
          <w:bCs/>
        </w:rPr>
      </w:pPr>
    </w:p>
    <w:p w14:paraId="0DCE122B" w14:textId="77777777" w:rsidR="0087684E" w:rsidRPr="00B46857" w:rsidRDefault="0087684E" w:rsidP="0087684E">
      <w:pPr>
        <w:rPr>
          <w:bCs/>
        </w:rPr>
      </w:pPr>
      <w:r w:rsidRPr="00B46857">
        <w:t>Chap. 13: EMS, incl. Community Paramedicine, Corona Virus</w:t>
      </w:r>
    </w:p>
    <w:p w14:paraId="359BB88A" w14:textId="77777777" w:rsidR="0087684E" w:rsidRPr="00505DF5" w:rsidRDefault="0087684E" w:rsidP="0087684E">
      <w:pPr>
        <w:rPr>
          <w:rFonts w:ascii="Arial Black" w:hAnsi="Arial Black"/>
          <w:b/>
          <w:sz w:val="28"/>
          <w:szCs w:val="28"/>
        </w:rPr>
      </w:pPr>
      <w:r>
        <w:rPr>
          <w:rFonts w:ascii="Arial Black" w:hAnsi="Arial Black"/>
          <w:b/>
          <w:sz w:val="28"/>
          <w:szCs w:val="28"/>
        </w:rPr>
        <w:t>WA: COVID – FF TURNED DOWN 3 FD JOBS - NO CASE</w:t>
      </w:r>
    </w:p>
    <w:p w14:paraId="32035376" w14:textId="77777777" w:rsidR="0087684E" w:rsidRDefault="0087684E" w:rsidP="0087684E">
      <w:pPr>
        <w:rPr>
          <w:b/>
        </w:rPr>
      </w:pPr>
      <w:r>
        <w:t xml:space="preserve">On May 17, 2026, in </w:t>
      </w:r>
      <w:r w:rsidRPr="00EA2931">
        <w:rPr>
          <w:u w:val="single"/>
        </w:rPr>
        <w:t>Justin Jobes v. City of Bellevue</w:t>
      </w:r>
      <w:r>
        <w:t xml:space="preserve">, </w:t>
      </w:r>
      <w:r w:rsidRPr="00F823BE">
        <w:t>the United States Court of Appeals, Ninth Circuit</w:t>
      </w:r>
      <w:r>
        <w:t xml:space="preserve"> (San Francisco) held (3 to 0; unpublished decision) that the trial court properly granted city summary judgment.  </w:t>
      </w:r>
      <w:r w:rsidRPr="00BB6C9C">
        <w:t xml:space="preserve">The </w:t>
      </w:r>
      <w:proofErr w:type="gramStart"/>
      <w:r w:rsidRPr="00BB6C9C">
        <w:t>City</w:t>
      </w:r>
      <w:proofErr w:type="gramEnd"/>
      <w:r w:rsidRPr="00BB6C9C">
        <w:t xml:space="preserve"> offered Jobes several reasonable accommodations. First, the </w:t>
      </w:r>
      <w:proofErr w:type="gramStart"/>
      <w:r w:rsidRPr="00BB6C9C">
        <w:t>City</w:t>
      </w:r>
      <w:proofErr w:type="gramEnd"/>
      <w:r>
        <w:t xml:space="preserve"> </w:t>
      </w:r>
      <w:r w:rsidRPr="00BB6C9C">
        <w:t>offered Jobes a utilities position, which Jobes rejected. Jobes requested paid medical</w:t>
      </w:r>
      <w:r>
        <w:t xml:space="preserve"> </w:t>
      </w:r>
      <w:r w:rsidRPr="00BB6C9C">
        <w:t xml:space="preserve">leave paid medical leave for stress related to the vaccine mandate, and the </w:t>
      </w:r>
      <w:proofErr w:type="gramStart"/>
      <w:r w:rsidRPr="00BB6C9C">
        <w:t>City</w:t>
      </w:r>
      <w:proofErr w:type="gramEnd"/>
      <w:r>
        <w:t xml:space="preserve"> </w:t>
      </w:r>
      <w:r w:rsidRPr="00BB6C9C">
        <w:t xml:space="preserve">granted it to him </w:t>
      </w:r>
      <w:r w:rsidRPr="00BB6C9C">
        <w:lastRenderedPageBreak/>
        <w:t>for five months.</w:t>
      </w:r>
      <w:r>
        <w:t xml:space="preserve"> </w:t>
      </w:r>
      <w:r w:rsidRPr="00222ECA">
        <w:t>When Jobes’ medical leave was set to end, the</w:t>
      </w:r>
      <w:r>
        <w:t xml:space="preserve"> </w:t>
      </w:r>
      <w:proofErr w:type="gramStart"/>
      <w:r w:rsidRPr="00222ECA">
        <w:t>City</w:t>
      </w:r>
      <w:proofErr w:type="gramEnd"/>
      <w:r w:rsidRPr="00222ECA">
        <w:t xml:space="preserve"> offered him three other potential positions</w:t>
      </w:r>
      <w:r>
        <w:t xml:space="preserve">, which he turned down. THE COURT WROTE:  </w:t>
      </w:r>
      <w:r w:rsidRPr="0062080F">
        <w:t>Jobes alleges religious</w:t>
      </w:r>
      <w:r>
        <w:t xml:space="preserve"> </w:t>
      </w:r>
      <w:r w:rsidRPr="0062080F">
        <w:t>discrimination and failure to accommodate under Title VII, 42 U.S.C. § 2000e et</w:t>
      </w:r>
      <w:r>
        <w:t xml:space="preserve">. </w:t>
      </w:r>
      <w:r w:rsidRPr="00981D4F">
        <w:t>seq, and the Washington Law Against Discrimination.1 Because the district court</w:t>
      </w:r>
      <w:r>
        <w:t xml:space="preserve"> </w:t>
      </w:r>
      <w:r w:rsidRPr="00981D4F">
        <w:t xml:space="preserve">correctly concluded that the </w:t>
      </w:r>
      <w:proofErr w:type="gramStart"/>
      <w:r w:rsidRPr="00981D4F">
        <w:t>City</w:t>
      </w:r>
      <w:proofErr w:type="gramEnd"/>
      <w:r w:rsidRPr="00981D4F">
        <w:t xml:space="preserve"> tried to reasonably accommodate Jobes, we affirm.</w:t>
      </w:r>
      <w:r>
        <w:t xml:space="preserve">” </w:t>
      </w:r>
      <w:hyperlink r:id="rId2046" w:history="1">
        <w:r w:rsidRPr="00C37C99">
          <w:rPr>
            <w:rStyle w:val="Hyperlink"/>
          </w:rPr>
          <w:t>https://cdn.ca9.uscourts.gov/datastore/memoranda/2026/05/27/24-6656.pdf</w:t>
        </w:r>
      </w:hyperlink>
      <w:r w:rsidRPr="00C37C99">
        <w:t xml:space="preserve"> </w:t>
      </w:r>
    </w:p>
    <w:p w14:paraId="44A59ABA" w14:textId="77777777" w:rsidR="0087684E" w:rsidRPr="00F823BE" w:rsidRDefault="0087684E" w:rsidP="0087684E">
      <w:pPr>
        <w:rPr>
          <w:bCs/>
        </w:rPr>
      </w:pPr>
      <w:r>
        <w:t>THE COURT HELD:</w:t>
      </w:r>
    </w:p>
    <w:p w14:paraId="202DA8A4" w14:textId="77777777" w:rsidR="0087684E" w:rsidRDefault="0087684E" w:rsidP="0087684E">
      <w:pPr>
        <w:pStyle w:val="NoSpacing"/>
        <w:ind w:left="720"/>
      </w:pPr>
      <w:r>
        <w:t>“</w:t>
      </w:r>
      <w:r w:rsidRPr="00C4416D">
        <w:t xml:space="preserve">The </w:t>
      </w:r>
      <w:proofErr w:type="gramStart"/>
      <w:r w:rsidRPr="00C4416D">
        <w:t>City</w:t>
      </w:r>
      <w:proofErr w:type="gramEnd"/>
      <w:r w:rsidRPr="00C4416D">
        <w:t xml:space="preserve"> offered Jobes several reasonable accommodations. First, the </w:t>
      </w:r>
      <w:proofErr w:type="gramStart"/>
      <w:r w:rsidRPr="00C4416D">
        <w:t>City</w:t>
      </w:r>
      <w:proofErr w:type="gramEnd"/>
      <w:r>
        <w:t xml:space="preserve"> </w:t>
      </w:r>
      <w:r w:rsidRPr="00C4416D">
        <w:t>offered Jobes a utilities position, which Jobes rejected. Jobes requested paid medical</w:t>
      </w:r>
      <w:r>
        <w:t xml:space="preserve"> </w:t>
      </w:r>
      <w:r w:rsidRPr="00C4416D">
        <w:t xml:space="preserve">leave paid medical leave for stress related to the vaccine mandate, and the </w:t>
      </w:r>
      <w:proofErr w:type="gramStart"/>
      <w:r w:rsidRPr="00C4416D">
        <w:t>City</w:t>
      </w:r>
      <w:proofErr w:type="gramEnd"/>
      <w:r>
        <w:t xml:space="preserve"> </w:t>
      </w:r>
      <w:r w:rsidRPr="00C4416D">
        <w:t>granted it to him for five months. When Jobes’ medical leave was set to end, the</w:t>
      </w:r>
      <w:r>
        <w:t xml:space="preserve"> </w:t>
      </w:r>
      <w:proofErr w:type="gramStart"/>
      <w:r w:rsidRPr="00C4416D">
        <w:t>City</w:t>
      </w:r>
      <w:proofErr w:type="gramEnd"/>
      <w:r w:rsidRPr="00C4416D">
        <w:t xml:space="preserve"> offered him three other potential positions—as an Emergency Management</w:t>
      </w:r>
      <w:r>
        <w:t xml:space="preserve"> </w:t>
      </w:r>
      <w:proofErr w:type="gramStart"/>
      <w:r w:rsidRPr="00C4416D">
        <w:t>Coordinator, as</w:t>
      </w:r>
      <w:proofErr w:type="gramEnd"/>
      <w:r w:rsidRPr="00C4416D">
        <w:t xml:space="preserve"> an LTE Grants Coordinator, and as a Fire Prevention Program</w:t>
      </w:r>
      <w:r>
        <w:t xml:space="preserve"> </w:t>
      </w:r>
      <w:r w:rsidRPr="00C4416D">
        <w:t>Analyst. None of these jobs required contact with patients, and the Fire Prevention</w:t>
      </w:r>
      <w:r>
        <w:t xml:space="preserve"> </w:t>
      </w:r>
      <w:r w:rsidRPr="00C4416D">
        <w:t>position allowed Jobes to remain within the City’s Fire Department. Jobes refused</w:t>
      </w:r>
      <w:r>
        <w:t xml:space="preserve"> </w:t>
      </w:r>
      <w:r w:rsidRPr="00C4416D">
        <w:t xml:space="preserve">these accommodations. The </w:t>
      </w:r>
      <w:proofErr w:type="gramStart"/>
      <w:r w:rsidRPr="00C4416D">
        <w:t>City</w:t>
      </w:r>
      <w:proofErr w:type="gramEnd"/>
      <w:r w:rsidRPr="00C4416D">
        <w:t xml:space="preserve"> contacted Jobes subsequently and offered him a</w:t>
      </w:r>
      <w:r>
        <w:t xml:space="preserve"> </w:t>
      </w:r>
      <w:r w:rsidRPr="00C4416D">
        <w:t>Fire Prevention Officer position within the Fire Department. Jobes declined this</w:t>
      </w:r>
      <w:r>
        <w:t xml:space="preserve"> accommodation as well. </w:t>
      </w:r>
    </w:p>
    <w:p w14:paraId="12AB519B" w14:textId="77777777" w:rsidR="0087684E" w:rsidRDefault="0087684E" w:rsidP="0087684E">
      <w:pPr>
        <w:pStyle w:val="NoSpacing"/>
        <w:ind w:left="720"/>
      </w:pPr>
    </w:p>
    <w:p w14:paraId="5166595C" w14:textId="77777777" w:rsidR="0087684E" w:rsidRDefault="0087684E" w:rsidP="0087684E">
      <w:pPr>
        <w:pStyle w:val="NoSpacing"/>
        <w:ind w:left="720"/>
      </w:pPr>
      <w:r>
        <w:t xml:space="preserve">And after Jobes voluntarily resigned and the vaccine mandate was lifted, the </w:t>
      </w:r>
      <w:proofErr w:type="gramStart"/>
      <w:r>
        <w:t>City</w:t>
      </w:r>
      <w:proofErr w:type="gramEnd"/>
      <w:r>
        <w:t xml:space="preserve"> later contacted Jobes through one of its Fire Chiefs and advised him there was a pathway for him to return to his old job as a Firefighter/EMT. Jobes declined this final offer as well.</w:t>
      </w:r>
    </w:p>
    <w:p w14:paraId="5E7F0526" w14:textId="77777777" w:rsidR="0087684E" w:rsidRDefault="0087684E" w:rsidP="0087684E">
      <w:pPr>
        <w:pStyle w:val="NoSpacing"/>
        <w:ind w:left="720"/>
      </w:pPr>
    </w:p>
    <w:p w14:paraId="49F55DC4" w14:textId="77777777" w:rsidR="0087684E" w:rsidRDefault="0087684E" w:rsidP="0087684E">
      <w:pPr>
        <w:pStyle w:val="NoSpacing"/>
        <w:ind w:left="720"/>
      </w:pPr>
      <w:r>
        <w:t>***</w:t>
      </w:r>
    </w:p>
    <w:p w14:paraId="651B15AC" w14:textId="77777777" w:rsidR="0087684E" w:rsidRDefault="0087684E" w:rsidP="0087684E">
      <w:pPr>
        <w:pStyle w:val="NoSpacing"/>
        <w:ind w:left="720"/>
      </w:pPr>
      <w:r>
        <w:t xml:space="preserve">The record shows that the </w:t>
      </w:r>
      <w:proofErr w:type="gramStart"/>
      <w:r>
        <w:t>City</w:t>
      </w:r>
      <w:proofErr w:type="gramEnd"/>
      <w:r>
        <w:t xml:space="preserve"> repeatedly offered reasonable </w:t>
      </w:r>
      <w:proofErr w:type="gramStart"/>
      <w:r>
        <w:t>accommodations</w:t>
      </w:r>
      <w:proofErr w:type="gramEnd"/>
      <w:r>
        <w:t xml:space="preserve"> to Jobes which he repeatedly declined. As such, the </w:t>
      </w:r>
      <w:proofErr w:type="gramStart"/>
      <w:r>
        <w:t>City</w:t>
      </w:r>
      <w:proofErr w:type="gramEnd"/>
      <w:r>
        <w:t xml:space="preserve"> carried its burden on the affirmative defense, and the district court did not err in granting summary judgment…. Moreover …  the </w:t>
      </w:r>
      <w:proofErr w:type="gramStart"/>
      <w:r>
        <w:t>City</w:t>
      </w:r>
      <w:proofErr w:type="gramEnd"/>
      <w:r>
        <w:t xml:space="preserve"> also would have prevailed on its affirmative defense of undue hardship as the district court </w:t>
      </w:r>
      <w:proofErr w:type="gramStart"/>
      <w:r>
        <w:t>concluded.”</w:t>
      </w:r>
      <w:proofErr w:type="gramEnd"/>
    </w:p>
    <w:p w14:paraId="5B1B4FC9" w14:textId="77777777" w:rsidR="0087684E" w:rsidRDefault="0087684E" w:rsidP="0087684E">
      <w:pPr>
        <w:pStyle w:val="NoSpacing"/>
        <w:ind w:left="720"/>
      </w:pPr>
    </w:p>
    <w:p w14:paraId="41D0A5DD" w14:textId="77777777" w:rsidR="0087684E" w:rsidRPr="00F26DBD" w:rsidRDefault="0087684E" w:rsidP="0087684E">
      <w:pPr>
        <w:rPr>
          <w:b/>
          <w:bCs/>
        </w:rPr>
      </w:pPr>
      <w:r>
        <w:rPr>
          <w:b/>
        </w:rPr>
        <w:t xml:space="preserve">Legal lesson learned: The City was very generous in offering numerous positions that avoided patient contact. </w:t>
      </w:r>
    </w:p>
    <w:p w14:paraId="7C77F2F0" w14:textId="77777777" w:rsidR="0087684E" w:rsidRDefault="0087684E" w:rsidP="0087684E">
      <w:pPr>
        <w:pStyle w:val="NoSpacing"/>
        <w:ind w:left="720"/>
      </w:pPr>
    </w:p>
    <w:p w14:paraId="20AFD15B" w14:textId="77777777" w:rsidR="0087684E" w:rsidRDefault="0087684E" w:rsidP="0087684E">
      <w:pPr>
        <w:rPr>
          <w:bCs/>
        </w:rPr>
      </w:pPr>
    </w:p>
    <w:p w14:paraId="13FF66C1" w14:textId="77777777" w:rsidR="0087684E" w:rsidRDefault="0087684E" w:rsidP="0087684E">
      <w:pPr>
        <w:rPr>
          <w:bCs/>
        </w:rPr>
      </w:pPr>
    </w:p>
    <w:p w14:paraId="039A210E" w14:textId="2BD35D4D" w:rsidR="0087684E" w:rsidRPr="00DA5EE8" w:rsidRDefault="00DA5EE8" w:rsidP="0087684E">
      <w:pPr>
        <w:pStyle w:val="NoSpacing"/>
        <w:rPr>
          <w:rFonts w:ascii="Arial Black" w:hAnsi="Arial Black"/>
          <w:sz w:val="24"/>
          <w:szCs w:val="24"/>
        </w:rPr>
      </w:pPr>
      <w:r w:rsidRPr="00DA5EE8">
        <w:rPr>
          <w:rFonts w:ascii="Arial Black" w:hAnsi="Arial Black"/>
          <w:sz w:val="24"/>
          <w:szCs w:val="24"/>
        </w:rPr>
        <w:t>13-258</w:t>
      </w:r>
    </w:p>
    <w:p w14:paraId="69D293AC" w14:textId="77777777" w:rsidR="00DA5EE8" w:rsidRDefault="00DA5EE8" w:rsidP="0087684E">
      <w:pPr>
        <w:pStyle w:val="NoSpacing"/>
      </w:pPr>
    </w:p>
    <w:p w14:paraId="4AF2D493" w14:textId="77777777" w:rsidR="0087684E" w:rsidRPr="003D0299" w:rsidRDefault="0087684E" w:rsidP="0087684E">
      <w:pPr>
        <w:pStyle w:val="NoSpacing"/>
        <w:rPr>
          <w:rFonts w:ascii="Arial Black" w:hAnsi="Arial Black"/>
          <w:sz w:val="28"/>
          <w:szCs w:val="28"/>
        </w:rPr>
      </w:pPr>
      <w:r>
        <w:rPr>
          <w:rFonts w:ascii="Arial Black" w:hAnsi="Arial Black"/>
          <w:sz w:val="28"/>
          <w:szCs w:val="28"/>
        </w:rPr>
        <w:t>ID: IMMUNITY LAW / OVERDOSE – DRUNK CAR NOT IMMUNE</w:t>
      </w:r>
    </w:p>
    <w:p w14:paraId="60D1F7F9" w14:textId="77777777" w:rsidR="0087684E" w:rsidRDefault="0087684E" w:rsidP="0087684E">
      <w:pPr>
        <w:pStyle w:val="NoSpacing"/>
      </w:pPr>
    </w:p>
    <w:p w14:paraId="7222ECDC" w14:textId="77777777" w:rsidR="0087684E" w:rsidRDefault="0087684E" w:rsidP="0087684E">
      <w:pPr>
        <w:rPr>
          <w:b/>
        </w:rPr>
      </w:pPr>
      <w:r>
        <w:t xml:space="preserve">On May 7, 2026, in </w:t>
      </w:r>
      <w:r w:rsidRPr="00150AE4">
        <w:rPr>
          <w:u w:val="single"/>
        </w:rPr>
        <w:t>State of Idaho v. Gannon Manuelito</w:t>
      </w:r>
      <w:r>
        <w:t xml:space="preserve">, the </w:t>
      </w:r>
      <w:r w:rsidRPr="00150AE4">
        <w:t>Supreme Court of Idaho</w:t>
      </w:r>
      <w:r>
        <w:t xml:space="preserve"> held (5 to 0) that trial court improperly dismissed drug charges against the defendant; he was drunk and not suffering a </w:t>
      </w:r>
      <w:r w:rsidRPr="008B0F56">
        <w:t>drug-related medical emergency</w:t>
      </w:r>
      <w:r>
        <w:t xml:space="preserve">.    </w:t>
      </w:r>
      <w:r w:rsidRPr="000B2D28">
        <w:t>On May 7, 2023, a Flying-J truck stop manager was informed by a customer that a person,</w:t>
      </w:r>
      <w:r>
        <w:t xml:space="preserve"> </w:t>
      </w:r>
      <w:r w:rsidRPr="000B2D28">
        <w:t>later identified as Manuelito, “may be . . . in distress in [the] parking lot.”</w:t>
      </w:r>
      <w:r>
        <w:t xml:space="preserve"> He thought the driver had overdosed and called 911, but police woke him </w:t>
      </w:r>
      <w:proofErr w:type="gramStart"/>
      <w:r>
        <w:t>up</w:t>
      </w:r>
      <w:proofErr w:type="gramEnd"/>
      <w:r>
        <w:t xml:space="preserve"> found he was intoxicated and EMS provided no treatment. THE COURT WROTE: “The only evidence offered to support that characterization is the manager’s observation that Manuelito might be overdosing or might have passed out from alcohol consumption or other drugs. Subsection (2) does not turn on a third party’s subjective belief—it turns on the defendant’s actual condition…. Further, no evidence in the record indicates that Manuelito required or even received medical intervention for a drug-related emergency. Officer Jaramillo testified that Manuelito was able to speak and repeatedly told him he was okay. Manuelito was not placed in an ambulance, was not transported to a hospital, and there is no evidence that any medical treatment was administered. The patient care record that was admitted into evidence confirms that Manuelito did not receive assistance beyond waking him up.” </w:t>
      </w:r>
      <w:hyperlink r:id="rId2047" w:history="1">
        <w:r w:rsidRPr="00A32209">
          <w:rPr>
            <w:rStyle w:val="Hyperlink"/>
          </w:rPr>
          <w:t>https://cases.justia.com/idaho/supreme-court-criminal/2026-51595.pdf?ts=1778169780</w:t>
        </w:r>
      </w:hyperlink>
      <w:r>
        <w:rPr>
          <w:b/>
        </w:rPr>
        <w:t xml:space="preserve"> </w:t>
      </w:r>
    </w:p>
    <w:p w14:paraId="40E5B938" w14:textId="77777777" w:rsidR="0087684E" w:rsidRDefault="0087684E" w:rsidP="0087684E">
      <w:pPr>
        <w:pStyle w:val="NoSpacing"/>
      </w:pPr>
      <w:r>
        <w:lastRenderedPageBreak/>
        <w:t xml:space="preserve">THE COURT HELD:  </w:t>
      </w:r>
    </w:p>
    <w:p w14:paraId="47FF7894" w14:textId="77777777" w:rsidR="0087684E" w:rsidRDefault="0087684E" w:rsidP="0087684E">
      <w:pPr>
        <w:pStyle w:val="NoSpacing"/>
      </w:pPr>
    </w:p>
    <w:p w14:paraId="2EC19A70" w14:textId="77777777" w:rsidR="0087684E" w:rsidRDefault="0087684E" w:rsidP="0087684E">
      <w:pPr>
        <w:pStyle w:val="NoSpacing"/>
        <w:ind w:left="720"/>
        <w:rPr>
          <w:bCs/>
        </w:rPr>
      </w:pPr>
      <w:r>
        <w:t>“</w:t>
      </w:r>
      <w:r w:rsidRPr="008E758B">
        <w:t>Officer Jaramillo conducted a DUI investigation. Manuelito provided two breath samples,</w:t>
      </w:r>
      <w:r>
        <w:t xml:space="preserve"> </w:t>
      </w:r>
      <w:r w:rsidRPr="008E758B">
        <w:t>which showed that his blood alcohol content (BAC) was nearly twice the legal limit. Officer</w:t>
      </w:r>
      <w:r>
        <w:t xml:space="preserve"> </w:t>
      </w:r>
      <w:r w:rsidRPr="008E758B">
        <w:t>Jaramillo also searched Manuelito’s vehicle and discovered drug paraphernalia, including a</w:t>
      </w:r>
      <w:r>
        <w:t xml:space="preserve"> </w:t>
      </w:r>
      <w:r w:rsidRPr="008E758B">
        <w:t>grinder with marijuana residue, a smoking bowl with burnt marijuana residue, and an empty THC</w:t>
      </w:r>
      <w:r>
        <w:t xml:space="preserve"> </w:t>
      </w:r>
      <w:r w:rsidRPr="008E758B">
        <w:t>cartridge. In the back seat, the officer found a cooler containing a bag of marijuana weighing</w:t>
      </w:r>
      <w:r>
        <w:t xml:space="preserve"> </w:t>
      </w:r>
      <w:r w:rsidRPr="008E758B">
        <w:t>approximately 12.29 ounces. Inside the cooler was a backpack with more marijuana and a bag that</w:t>
      </w:r>
      <w:r>
        <w:t xml:space="preserve"> </w:t>
      </w:r>
      <w:r w:rsidRPr="008E758B">
        <w:t>contained the hallucinogen dimethyltryptamine (DMT). The officer also discovered a THC vape</w:t>
      </w:r>
      <w:r>
        <w:t xml:space="preserve"> </w:t>
      </w:r>
      <w:r w:rsidRPr="008E758B">
        <w:t>pen in Manuelito’s pocket.</w:t>
      </w:r>
    </w:p>
    <w:p w14:paraId="544E77E7" w14:textId="77777777" w:rsidR="0087684E" w:rsidRDefault="0087684E" w:rsidP="0087684E">
      <w:pPr>
        <w:pStyle w:val="NoSpacing"/>
        <w:ind w:left="720"/>
        <w:rPr>
          <w:bCs/>
        </w:rPr>
      </w:pPr>
    </w:p>
    <w:p w14:paraId="615AC21E" w14:textId="77777777" w:rsidR="0087684E" w:rsidRDefault="0087684E" w:rsidP="0087684E">
      <w:pPr>
        <w:pStyle w:val="NoSpacing"/>
        <w:ind w:left="720"/>
        <w:rPr>
          <w:bCs/>
        </w:rPr>
      </w:pPr>
      <w:r>
        <w:t>***</w:t>
      </w:r>
    </w:p>
    <w:p w14:paraId="71D5D3A2" w14:textId="77777777" w:rsidR="0087684E" w:rsidRPr="00C227B7" w:rsidRDefault="0087684E" w:rsidP="0087684E">
      <w:pPr>
        <w:pStyle w:val="NoSpacing"/>
        <w:ind w:firstLine="720"/>
      </w:pPr>
      <w:r w:rsidRPr="00C227B7">
        <w:t>Following Manuelito’s motion to dismiss, the district court determined that Idaho’s</w:t>
      </w:r>
    </w:p>
    <w:p w14:paraId="3324ECC8" w14:textId="77777777" w:rsidR="0087684E" w:rsidRDefault="0087684E" w:rsidP="0087684E">
      <w:pPr>
        <w:pStyle w:val="NoSpacing"/>
        <w:ind w:left="720"/>
      </w:pPr>
      <w:r w:rsidRPr="00C227B7">
        <w:t>overdose immunity statute, Idaho Code section 37-2739C, applied to Manuelito, thereby granting</w:t>
      </w:r>
      <w:r>
        <w:t xml:space="preserve"> </w:t>
      </w:r>
      <w:r w:rsidRPr="00C227B7">
        <w:t xml:space="preserve">him immunity from prosecution for </w:t>
      </w:r>
      <w:proofErr w:type="gramStart"/>
      <w:r w:rsidRPr="00C227B7">
        <w:t>the possession</w:t>
      </w:r>
      <w:proofErr w:type="gramEnd"/>
      <w:r w:rsidRPr="00C227B7">
        <w:t xml:space="preserve"> offenses. We reverse the district court’s order</w:t>
      </w:r>
      <w:r>
        <w:t xml:space="preserve"> </w:t>
      </w:r>
      <w:r w:rsidRPr="00C227B7">
        <w:t>because the record contains no showing that Manuelito either experienced a drug-related medical</w:t>
      </w:r>
      <w:r>
        <w:t xml:space="preserve"> </w:t>
      </w:r>
      <w:r w:rsidRPr="00C227B7">
        <w:t xml:space="preserve">emergency or </w:t>
      </w:r>
      <w:proofErr w:type="gramStart"/>
      <w:r w:rsidRPr="00C227B7">
        <w:t>was in need of</w:t>
      </w:r>
      <w:proofErr w:type="gramEnd"/>
      <w:r w:rsidRPr="00C227B7">
        <w:t xml:space="preserve"> medical assistance.</w:t>
      </w:r>
    </w:p>
    <w:p w14:paraId="2A9C831C" w14:textId="77777777" w:rsidR="0087684E" w:rsidRDefault="0087684E" w:rsidP="0087684E">
      <w:pPr>
        <w:pStyle w:val="NoSpacing"/>
        <w:ind w:left="720"/>
      </w:pPr>
    </w:p>
    <w:p w14:paraId="515E8377" w14:textId="77777777" w:rsidR="0087684E" w:rsidRDefault="0087684E" w:rsidP="0087684E">
      <w:pPr>
        <w:pStyle w:val="NoSpacing"/>
        <w:ind w:left="720"/>
      </w:pPr>
      <w:r>
        <w:t>***</w:t>
      </w:r>
    </w:p>
    <w:p w14:paraId="31E65236" w14:textId="77777777" w:rsidR="0087684E" w:rsidRDefault="0087684E" w:rsidP="0087684E">
      <w:pPr>
        <w:pStyle w:val="NoSpacing"/>
      </w:pPr>
    </w:p>
    <w:p w14:paraId="6BEC9D42" w14:textId="77777777" w:rsidR="0087684E" w:rsidRDefault="0087684E" w:rsidP="0087684E">
      <w:pPr>
        <w:pStyle w:val="NoSpacing"/>
        <w:ind w:firstLine="720"/>
      </w:pPr>
      <w:r>
        <w:t>Based on legislative intent and policy considerations, the court adopted a broad</w:t>
      </w:r>
    </w:p>
    <w:p w14:paraId="6F59DD4B" w14:textId="77777777" w:rsidR="0087684E" w:rsidRDefault="0087684E" w:rsidP="0087684E">
      <w:pPr>
        <w:pStyle w:val="NoSpacing"/>
        <w:ind w:left="720"/>
      </w:pPr>
      <w:r>
        <w:t>interpretation of the statute, concluding that a ‘drug-related medical emergency’ encompasses situations where a person in good faith believes another is experiencing a drug- or alcohol-related medical issue requiring assistance. The court reasoned that this interpretation aligns with the legislature’s intent to encourage a request for emergency assistance without fear of prosecution. For those reasons, the court granted Manuelito’s motion to dismiss the three possession charges relating to controlled substances (marijuana and DMT) and paraphernalia.</w:t>
      </w:r>
    </w:p>
    <w:p w14:paraId="658B6ADF" w14:textId="77777777" w:rsidR="0087684E" w:rsidRDefault="0087684E" w:rsidP="0087684E">
      <w:pPr>
        <w:pStyle w:val="NoSpacing"/>
        <w:ind w:left="720"/>
      </w:pPr>
    </w:p>
    <w:p w14:paraId="308FEB1E" w14:textId="77777777" w:rsidR="0087684E" w:rsidRDefault="0087684E" w:rsidP="0087684E">
      <w:pPr>
        <w:pStyle w:val="NoSpacing"/>
        <w:ind w:left="720"/>
      </w:pPr>
      <w:r>
        <w:t>***</w:t>
      </w:r>
    </w:p>
    <w:p w14:paraId="1C3BAC47" w14:textId="77777777" w:rsidR="0087684E" w:rsidRDefault="0087684E" w:rsidP="0087684E">
      <w:pPr>
        <w:pStyle w:val="NoSpacing"/>
        <w:ind w:left="720"/>
      </w:pPr>
      <w:r>
        <w:t xml:space="preserve">Manuelito did not establish he was suffering a drug-related medical emergency at the time police obtained </w:t>
      </w:r>
      <w:proofErr w:type="gramStart"/>
      <w:r>
        <w:t>the evidence</w:t>
      </w:r>
      <w:proofErr w:type="gramEnd"/>
      <w:r>
        <w:t xml:space="preserve"> supporting his drug-related charges for immunity to apply under Idaho Code section 37-2739C(2). Therefore, the statute does not provide </w:t>
      </w:r>
      <w:proofErr w:type="gramStart"/>
      <w:r>
        <w:t>him</w:t>
      </w:r>
      <w:proofErr w:type="gramEnd"/>
      <w:r>
        <w:t xml:space="preserve"> immunity from prosecution on counts one through three. The district court erred in concluding otherwise.”</w:t>
      </w:r>
    </w:p>
    <w:p w14:paraId="384CD31F" w14:textId="77777777" w:rsidR="0087684E" w:rsidRDefault="0087684E" w:rsidP="0087684E">
      <w:pPr>
        <w:pStyle w:val="NoSpacing"/>
      </w:pPr>
    </w:p>
    <w:p w14:paraId="764C0FFE" w14:textId="77777777" w:rsidR="0087684E" w:rsidRPr="006841DB" w:rsidRDefault="0087684E" w:rsidP="0087684E">
      <w:pPr>
        <w:rPr>
          <w:b/>
        </w:rPr>
      </w:pPr>
      <w:r>
        <w:rPr>
          <w:b/>
        </w:rPr>
        <w:t xml:space="preserve">Legal lesson learned: Drug immunity statutes are designed to encourage third parties to call 911; Idaho’s statute only applies if the person is suffering a drug-related emergency.  </w:t>
      </w:r>
    </w:p>
    <w:p w14:paraId="5F0E8B44" w14:textId="77777777" w:rsidR="0087684E" w:rsidRDefault="0087684E" w:rsidP="0087684E">
      <w:pPr>
        <w:ind w:left="720"/>
      </w:pPr>
      <w:r>
        <w:t xml:space="preserve">Note: Idaho immunity law: </w:t>
      </w:r>
      <w:hyperlink r:id="rId2048" w:history="1">
        <w:r w:rsidRPr="00C109A8">
          <w:rPr>
            <w:rStyle w:val="Hyperlink"/>
          </w:rPr>
          <w:t>https://law.justia.com/codes/idaho/title-37/chapter-27/article-iv/section-37-2739c/</w:t>
        </w:r>
      </w:hyperlink>
      <w:r>
        <w:t xml:space="preserve"> </w:t>
      </w:r>
    </w:p>
    <w:p w14:paraId="4C01A39E" w14:textId="77777777" w:rsidR="0087684E" w:rsidRDefault="0087684E" w:rsidP="0087684E">
      <w:pPr>
        <w:ind w:left="720"/>
      </w:pPr>
      <w:r w:rsidRPr="008B0F56">
        <w:t>37-2739C. MEDICAL ASSISTANCE — DRUG-RELATED OVERDOSE — PROSECUTION FOR POSSESSION.</w:t>
      </w:r>
    </w:p>
    <w:p w14:paraId="75EEBE29" w14:textId="77777777" w:rsidR="0087684E" w:rsidRPr="008B0F56" w:rsidRDefault="0087684E" w:rsidP="0087684E">
      <w:pPr>
        <w:ind w:left="720"/>
      </w:pPr>
      <w:r w:rsidRPr="008B0F56">
        <w:t>(1) A person acting in good faith who seeks medical assistance for any person experiencing a drug-related medical emergency shall not be charged or prosecuted for possession of a controlled substance pursuant to section 37-2732(c) or (e), Idaho Code, for using or being under the influence of a controlled substance pursuant to section 37-2732C(a), Idaho Code, or for using or possessing with intent to use drug paraphernalia pursuant to section 37-2734A(1), Idaho Code, if the evidence for the charge of possession of or using or being under the influence of a controlled substance or using or possessing drug paraphernalia was obtained as a result of the person seeking medical assistance.</w:t>
      </w:r>
    </w:p>
    <w:p w14:paraId="63021BF6" w14:textId="77777777" w:rsidR="0087684E" w:rsidRPr="008B0F56" w:rsidRDefault="0087684E" w:rsidP="0087684E">
      <w:pPr>
        <w:ind w:left="720"/>
      </w:pPr>
      <w:r w:rsidRPr="008B0F56">
        <w:t xml:space="preserve">(2) A person who experiences a drug-related medical emergency and is in need of medical assistance shall not be charged or prosecuted for possession of a controlled substance pursuant to section 37-2732(c) or (e), Idaho Code, for using or being under the influence of a controlled substance pursuant to section 37-2732C(a), Idaho Code, or for using or possessing with intent to use drug paraphernalia pursuant to section 37-2734A(1), Idaho </w:t>
      </w:r>
      <w:r w:rsidRPr="008B0F56">
        <w:lastRenderedPageBreak/>
        <w:t>Code, if the evidence for the charge of possession of or using or being under the influence of a controlled substance or using or possessing drug paraphernalia was obtained as a result of the medical emergency and the need for medical assistance.</w:t>
      </w:r>
    </w:p>
    <w:p w14:paraId="62F789F3" w14:textId="77777777" w:rsidR="0087684E" w:rsidRPr="008B0F56" w:rsidRDefault="0087684E" w:rsidP="0087684E">
      <w:pPr>
        <w:ind w:left="720"/>
      </w:pPr>
      <w:r w:rsidRPr="008B0F56">
        <w:t>(3) The protections in this section from prosecution shall not be grounds for suppression of evidence in other criminal charges.</w:t>
      </w:r>
    </w:p>
    <w:p w14:paraId="4D742A75" w14:textId="77777777" w:rsidR="0087684E" w:rsidRDefault="0087684E" w:rsidP="0087684E">
      <w:pPr>
        <w:pStyle w:val="NoSpacing"/>
        <w:rPr>
          <w:bCs/>
        </w:rPr>
      </w:pPr>
    </w:p>
    <w:p w14:paraId="168EB01A" w14:textId="77777777" w:rsidR="0087684E" w:rsidRDefault="0087684E" w:rsidP="0087684E">
      <w:pPr>
        <w:pStyle w:val="NoSpacing"/>
      </w:pPr>
    </w:p>
    <w:p w14:paraId="7B068B9D" w14:textId="77777777" w:rsidR="0087684E" w:rsidRDefault="0087684E" w:rsidP="0087684E">
      <w:pPr>
        <w:pStyle w:val="NoSpacing"/>
      </w:pPr>
    </w:p>
    <w:p w14:paraId="452712C0" w14:textId="77777777" w:rsidR="0087684E" w:rsidRDefault="0087684E" w:rsidP="0087684E">
      <w:pPr>
        <w:rPr>
          <w:bCs/>
        </w:rPr>
      </w:pPr>
    </w:p>
    <w:p w14:paraId="07072E63" w14:textId="77777777" w:rsidR="0087684E" w:rsidRDefault="0087684E" w:rsidP="0087684E">
      <w:pPr>
        <w:rPr>
          <w:bCs/>
        </w:rPr>
      </w:pPr>
    </w:p>
    <w:p w14:paraId="2E63B2AA" w14:textId="77777777" w:rsidR="0036420D" w:rsidRDefault="0036420D" w:rsidP="0091755D">
      <w:pPr>
        <w:rPr>
          <w:rFonts w:ascii="Arial Black" w:hAnsi="Arial Black"/>
          <w:b/>
          <w:bCs/>
          <w:sz w:val="24"/>
          <w:szCs w:val="24"/>
        </w:rPr>
      </w:pPr>
    </w:p>
    <w:p w14:paraId="799D5015" w14:textId="77777777" w:rsidR="0036420D" w:rsidRDefault="0036420D" w:rsidP="0091755D">
      <w:pPr>
        <w:rPr>
          <w:rFonts w:ascii="Arial Black" w:hAnsi="Arial Black"/>
          <w:b/>
          <w:bCs/>
          <w:sz w:val="24"/>
          <w:szCs w:val="24"/>
        </w:rPr>
      </w:pPr>
    </w:p>
    <w:p w14:paraId="26893937" w14:textId="77777777" w:rsidR="0036420D" w:rsidRDefault="0036420D" w:rsidP="0091755D">
      <w:pPr>
        <w:rPr>
          <w:rFonts w:ascii="Arial Black" w:hAnsi="Arial Black"/>
          <w:b/>
          <w:bCs/>
          <w:sz w:val="24"/>
          <w:szCs w:val="24"/>
        </w:rPr>
      </w:pPr>
    </w:p>
    <w:p w14:paraId="660DFBA3" w14:textId="33BE0CF3" w:rsidR="0091755D" w:rsidRDefault="0091755D" w:rsidP="0091755D">
      <w:pPr>
        <w:rPr>
          <w:rFonts w:ascii="Arial Black" w:hAnsi="Arial Black"/>
          <w:b/>
          <w:bCs/>
          <w:sz w:val="24"/>
          <w:szCs w:val="24"/>
        </w:rPr>
      </w:pPr>
      <w:r>
        <w:rPr>
          <w:rFonts w:ascii="Arial Black" w:hAnsi="Arial Black"/>
          <w:b/>
          <w:bCs/>
          <w:sz w:val="24"/>
          <w:szCs w:val="24"/>
        </w:rPr>
        <w:t>13-25</w:t>
      </w:r>
      <w:r w:rsidR="00DA5EE8">
        <w:rPr>
          <w:rFonts w:ascii="Arial Black" w:hAnsi="Arial Black"/>
          <w:b/>
          <w:bCs/>
          <w:sz w:val="24"/>
          <w:szCs w:val="24"/>
        </w:rPr>
        <w:t>7</w:t>
      </w:r>
    </w:p>
    <w:p w14:paraId="65B951EF" w14:textId="77777777" w:rsidR="007F7423" w:rsidRDefault="007F7423" w:rsidP="007F7423">
      <w:pPr>
        <w:pStyle w:val="NoSpacing"/>
        <w:rPr>
          <w:rFonts w:ascii="Arial Black" w:hAnsi="Arial Black"/>
          <w:bCs/>
          <w:sz w:val="28"/>
          <w:szCs w:val="28"/>
        </w:rPr>
      </w:pPr>
      <w:r>
        <w:rPr>
          <w:rFonts w:ascii="Arial Black" w:hAnsi="Arial Black"/>
          <w:sz w:val="28"/>
          <w:szCs w:val="28"/>
        </w:rPr>
        <w:t>NY: EMT DISCIPLINE - STATE DPT HEALTH - NO JURY TRIAL</w:t>
      </w:r>
    </w:p>
    <w:p w14:paraId="118919D7" w14:textId="77777777" w:rsidR="007F7423" w:rsidRDefault="007F7423" w:rsidP="007F7423">
      <w:pPr>
        <w:pStyle w:val="NoSpacing"/>
        <w:rPr>
          <w:bCs/>
        </w:rPr>
      </w:pPr>
    </w:p>
    <w:p w14:paraId="53B102AE" w14:textId="77777777" w:rsidR="007F7423" w:rsidRPr="00BE66C3" w:rsidRDefault="007F7423" w:rsidP="007F7423">
      <w:pPr>
        <w:pStyle w:val="NoSpacing"/>
        <w:rPr>
          <w:b/>
        </w:rPr>
      </w:pPr>
      <w:r>
        <w:t xml:space="preserve">On April 23, 2026, in </w:t>
      </w:r>
      <w:r w:rsidRPr="00D17474">
        <w:rPr>
          <w:u w:val="single"/>
        </w:rPr>
        <w:t>Justin Ball v. New York State Department of Health</w:t>
      </w:r>
      <w:r w:rsidRPr="00D17474">
        <w:t xml:space="preserve">, </w:t>
      </w:r>
      <w:r>
        <w:t xml:space="preserve">the </w:t>
      </w:r>
      <w:r w:rsidRPr="00D17474">
        <w:t>Supreme Court of New York, Third Department</w:t>
      </w:r>
      <w:r>
        <w:t xml:space="preserve"> held (5 to 0) that a Supreme Court Judge for </w:t>
      </w:r>
      <w:r w:rsidRPr="00537671">
        <w:t>Schoharie County</w:t>
      </w:r>
      <w:r>
        <w:t xml:space="preserve"> improperly held the EMT was entitled </w:t>
      </w:r>
      <w:r w:rsidRPr="00537671">
        <w:t>to a civil jury trial in a pending administrative license revocation proceeding.</w:t>
      </w:r>
      <w:r>
        <w:t xml:space="preserve">  He is under investigation for a complaint that on a </w:t>
      </w:r>
      <w:r w:rsidRPr="00BB5F73">
        <w:t xml:space="preserve">call </w:t>
      </w:r>
      <w:r>
        <w:t xml:space="preserve">to help a </w:t>
      </w:r>
      <w:r w:rsidRPr="00BB5F73">
        <w:t>63-year-old man who was allegedly unable to get up after having fallen down</w:t>
      </w:r>
      <w:r>
        <w:t>, the EMT “</w:t>
      </w:r>
      <w:r w:rsidRPr="00BB5F73">
        <w:t>believed that the patient was faking his condition and, rather than providing any meaningful assistance to the patient, plaintiff ridiculed him and offered minimal, rough aid.</w:t>
      </w:r>
      <w:r>
        <w:t xml:space="preserve">” </w:t>
      </w:r>
      <w:hyperlink r:id="rId2049" w:history="1">
        <w:r w:rsidRPr="003A1948">
          <w:rPr>
            <w:rStyle w:val="Hyperlink"/>
          </w:rPr>
          <w:t>https://www.nycourts.gov/reporter/current/3dseries/2026/2026_02494.shtml</w:t>
        </w:r>
      </w:hyperlink>
      <w:r>
        <w:t xml:space="preserve"> </w:t>
      </w:r>
    </w:p>
    <w:p w14:paraId="48C0A22E" w14:textId="77777777" w:rsidR="007F7423" w:rsidRDefault="007F7423" w:rsidP="007F7423">
      <w:pPr>
        <w:pStyle w:val="NoSpacing"/>
      </w:pPr>
      <w:r>
        <w:t xml:space="preserve"> </w:t>
      </w:r>
    </w:p>
    <w:p w14:paraId="211A97CE" w14:textId="77777777" w:rsidR="007F7423" w:rsidRDefault="007F7423" w:rsidP="007F7423">
      <w:pPr>
        <w:pStyle w:val="NoSpacing"/>
      </w:pPr>
    </w:p>
    <w:p w14:paraId="143E6C31" w14:textId="77777777" w:rsidR="007F7423" w:rsidRDefault="007F7423" w:rsidP="007F7423">
      <w:pPr>
        <w:pStyle w:val="NoSpacing"/>
      </w:pPr>
      <w:r>
        <w:t>THE COURT HELD:</w:t>
      </w:r>
    </w:p>
    <w:p w14:paraId="39C949AD" w14:textId="77777777" w:rsidR="007F7423" w:rsidRDefault="007F7423" w:rsidP="007F7423">
      <w:pPr>
        <w:pStyle w:val="NoSpacing"/>
      </w:pPr>
    </w:p>
    <w:p w14:paraId="7A1C3C53" w14:textId="77777777" w:rsidR="007F7423" w:rsidRDefault="007F7423" w:rsidP="007F7423">
      <w:pPr>
        <w:pStyle w:val="NoSpacing"/>
        <w:ind w:left="720"/>
      </w:pPr>
      <w:r>
        <w:t>“</w:t>
      </w:r>
      <w:r w:rsidRPr="00152C4C">
        <w:t>Defendant argues that Supreme Court improperly disregarded binding precedent from the Supreme Court of the United States that the Seventh Amendment does not apply to the states. We agree. The Seventh Amendment to the US Constitution preserves the right of trial by jury in suits at common law where the value of the controversy exceeds $20 (</w:t>
      </w:r>
      <w:r w:rsidRPr="00152C4C">
        <w:rPr>
          <w:i/>
          <w:iCs/>
        </w:rPr>
        <w:t>see</w:t>
      </w:r>
      <w:r w:rsidRPr="00152C4C">
        <w:t xml:space="preserve"> US Const, 7th Amend). Longstanding precedent from the Supreme Court of the United States holds that the Seventh Amendment "applies only to proceedings in courts of the United States, and does not in any manner whatever govern or regulate trials by jury in state courts, or the standards which must be applied concerning the same"(</w:t>
      </w:r>
      <w:r w:rsidRPr="00152C4C">
        <w:rPr>
          <w:i/>
          <w:iCs/>
        </w:rPr>
        <w:t xml:space="preserve">Minneapolis &amp; St. Louis R. Co. v </w:t>
      </w:r>
      <w:proofErr w:type="spellStart"/>
      <w:r w:rsidRPr="00152C4C">
        <w:rPr>
          <w:i/>
          <w:iCs/>
        </w:rPr>
        <w:t>Bombolis</w:t>
      </w:r>
      <w:proofErr w:type="spellEnd"/>
      <w:r w:rsidRPr="00152C4C">
        <w:t xml:space="preserve">, 241 US 211, 217 [1916]; </w:t>
      </w:r>
      <w:r w:rsidRPr="00152C4C">
        <w:rPr>
          <w:i/>
          <w:iCs/>
        </w:rPr>
        <w:t>see</w:t>
      </w:r>
      <w:r w:rsidRPr="00152C4C">
        <w:t xml:space="preserve"> </w:t>
      </w:r>
      <w:r w:rsidRPr="00152C4C">
        <w:rPr>
          <w:i/>
          <w:iCs/>
        </w:rPr>
        <w:t xml:space="preserve">Walker v </w:t>
      </w:r>
      <w:proofErr w:type="spellStart"/>
      <w:r w:rsidRPr="00152C4C">
        <w:rPr>
          <w:i/>
          <w:iCs/>
        </w:rPr>
        <w:t>Sauvinet</w:t>
      </w:r>
      <w:proofErr w:type="spellEnd"/>
      <w:r w:rsidRPr="00152C4C">
        <w:t>, 92 US 90, 92 [1875]).</w:t>
      </w:r>
    </w:p>
    <w:p w14:paraId="28432B1F" w14:textId="77777777" w:rsidR="007F7423" w:rsidRDefault="007F7423" w:rsidP="007F7423">
      <w:pPr>
        <w:pStyle w:val="NoSpacing"/>
      </w:pPr>
    </w:p>
    <w:p w14:paraId="33DA1E8D" w14:textId="77777777" w:rsidR="007F7423" w:rsidRDefault="007F7423" w:rsidP="007F7423">
      <w:pPr>
        <w:pStyle w:val="NoSpacing"/>
        <w:ind w:firstLine="720"/>
      </w:pPr>
      <w:r>
        <w:t>***</w:t>
      </w:r>
    </w:p>
    <w:p w14:paraId="51D2DC57" w14:textId="77777777" w:rsidR="007F7423" w:rsidRDefault="007F7423" w:rsidP="007F7423">
      <w:pPr>
        <w:pStyle w:val="NoSpacing"/>
        <w:ind w:left="720"/>
      </w:pPr>
      <w:r w:rsidRPr="005D4F0C">
        <w:t xml:space="preserve">Indeed, the right to a trial by jury provided in the NY Constitution does not extend to those proceedings concerning professional licensure </w:t>
      </w:r>
      <w:r>
        <w:t>‘</w:t>
      </w:r>
      <w:r w:rsidRPr="005D4F0C">
        <w:t>where the object is not the punishment of the offender, but to purge of an unworthy member a profession in which purity of conduct and character are all important</w:t>
      </w:r>
      <w:r>
        <w:t>’</w:t>
      </w:r>
      <w:r w:rsidRPr="005D4F0C">
        <w:t xml:space="preserve"> (</w:t>
      </w:r>
      <w:r w:rsidRPr="005D4F0C">
        <w:rPr>
          <w:i/>
          <w:iCs/>
        </w:rPr>
        <w:t>Matter of Smith</w:t>
      </w:r>
      <w:r w:rsidRPr="005D4F0C">
        <w:t xml:space="preserve">, 10 Wend at 454). The fact that plaintiff's alleged conduct may also form the basis for common-law claims sounding in tort does not alter the fact that this proceeding arises through defendant's statutory obligation to regulate EMT licenses. Accordingly, because plaintiff has failed to establish that a regulatory revocation proceeding for an EMT license is analogous to common-law cases traditionally entitled to trial by jury before 1777, plaintiff is not </w:t>
      </w:r>
      <w:r w:rsidRPr="005D4F0C">
        <w:lastRenderedPageBreak/>
        <w:t>entitled to a jury trial under the NY Constitution (</w:t>
      </w:r>
      <w:r w:rsidRPr="005D4F0C">
        <w:rPr>
          <w:i/>
          <w:iCs/>
        </w:rPr>
        <w:t>see Matter of DES Mkt. Share Litig.</w:t>
      </w:r>
      <w:r w:rsidRPr="005D4F0C">
        <w:t xml:space="preserve">, 79 NY2d at 304-305; </w:t>
      </w:r>
      <w:r w:rsidRPr="005D4F0C">
        <w:rPr>
          <w:i/>
          <w:iCs/>
        </w:rPr>
        <w:t>Matter of State of New York v Myron P.</w:t>
      </w:r>
      <w:r w:rsidRPr="005D4F0C">
        <w:t>, 86 AD3d at 29-30).</w:t>
      </w:r>
      <w:r>
        <w:t>”</w:t>
      </w:r>
    </w:p>
    <w:p w14:paraId="215BDCA2" w14:textId="77777777" w:rsidR="007F7423" w:rsidRDefault="007F7423" w:rsidP="007F7423">
      <w:pPr>
        <w:pStyle w:val="NoSpacing"/>
      </w:pPr>
    </w:p>
    <w:p w14:paraId="5C2C0353" w14:textId="77777777" w:rsidR="007F7423" w:rsidRPr="00CE4216" w:rsidRDefault="007F7423" w:rsidP="007F7423">
      <w:pPr>
        <w:pStyle w:val="NoSpacing"/>
        <w:rPr>
          <w:b/>
          <w:bCs/>
        </w:rPr>
      </w:pPr>
      <w:r>
        <w:rPr>
          <w:b/>
        </w:rPr>
        <w:t xml:space="preserve">Legal </w:t>
      </w:r>
      <w:proofErr w:type="gramStart"/>
      <w:r>
        <w:rPr>
          <w:b/>
        </w:rPr>
        <w:t>lesson</w:t>
      </w:r>
      <w:proofErr w:type="gramEnd"/>
      <w:r>
        <w:rPr>
          <w:b/>
        </w:rPr>
        <w:t xml:space="preserve"> learned: EMS are entitled to a hearing before the state board, but not a civil jury trial in state court.  If license is revoked, can then appeal to court.</w:t>
      </w:r>
    </w:p>
    <w:p w14:paraId="1F886424" w14:textId="77777777" w:rsidR="007F7423" w:rsidRDefault="007F7423" w:rsidP="007F7423">
      <w:pPr>
        <w:pStyle w:val="NoSpacing"/>
      </w:pPr>
    </w:p>
    <w:p w14:paraId="4E767C83" w14:textId="77777777" w:rsidR="007F7423" w:rsidRDefault="007F7423" w:rsidP="007F7423">
      <w:pPr>
        <w:pStyle w:val="NoSpacing"/>
        <w:ind w:left="720"/>
      </w:pPr>
      <w:r>
        <w:t xml:space="preserve">Note:  For example, </w:t>
      </w:r>
      <w:r w:rsidRPr="007B3D37">
        <w:t>see H</w:t>
      </w:r>
      <w:r>
        <w:t xml:space="preserve">olycross v. State Board of EMS (2005): </w:t>
      </w:r>
      <w:r>
        <w:rPr>
          <w:b/>
        </w:rPr>
        <w:t xml:space="preserve"> </w:t>
      </w:r>
      <w:hyperlink r:id="rId2050" w:history="1">
        <w:r w:rsidRPr="003C3573">
          <w:rPr>
            <w:rStyle w:val="Hyperlink"/>
            <w:b/>
          </w:rPr>
          <w:t>https://www.studicata.com/summaries/court-of-appeals-of-ohio/holycross-v-state-board-of-emergency-med-2005-oor7s1/</w:t>
        </w:r>
      </w:hyperlink>
      <w:r>
        <w:rPr>
          <w:b/>
        </w:rPr>
        <w:t xml:space="preserve">  </w:t>
      </w:r>
      <w:r>
        <w:t>“</w:t>
      </w:r>
      <w:r w:rsidRPr="0013381F">
        <w:t xml:space="preserve">We agree with Holycross that the board's decision to revoke his license is not supported by the probative, credible evidence in the record. </w:t>
      </w:r>
      <w:r w:rsidRPr="0013381F">
        <w:t> </w:t>
      </w:r>
      <w:r w:rsidRPr="0013381F">
        <w:t xml:space="preserve"> We therefore reverse the judgment of the trial court and remand this cause, without reaching his constitutional claim, which we find to be moot.</w:t>
      </w:r>
      <w:r>
        <w:t xml:space="preserve">” </w:t>
      </w:r>
    </w:p>
    <w:p w14:paraId="329399B6" w14:textId="77777777" w:rsidR="007F7423" w:rsidRDefault="007F7423" w:rsidP="007F7423">
      <w:pPr>
        <w:pStyle w:val="NoSpacing"/>
        <w:ind w:left="720"/>
      </w:pPr>
    </w:p>
    <w:p w14:paraId="02428C54" w14:textId="77777777" w:rsidR="0091755D" w:rsidRDefault="0091755D" w:rsidP="00756ACB">
      <w:pPr>
        <w:rPr>
          <w:rFonts w:ascii="Arial Black" w:hAnsi="Arial Black"/>
          <w:b/>
          <w:bCs/>
          <w:sz w:val="24"/>
          <w:szCs w:val="24"/>
        </w:rPr>
      </w:pPr>
    </w:p>
    <w:p w14:paraId="1080CB31" w14:textId="77777777" w:rsidR="0091755D" w:rsidRDefault="0091755D" w:rsidP="00756ACB">
      <w:pPr>
        <w:rPr>
          <w:rFonts w:ascii="Arial Black" w:hAnsi="Arial Black"/>
          <w:b/>
          <w:bCs/>
          <w:sz w:val="24"/>
          <w:szCs w:val="24"/>
        </w:rPr>
      </w:pPr>
    </w:p>
    <w:p w14:paraId="658809D2" w14:textId="4EB04F87" w:rsidR="00756ACB" w:rsidRDefault="00756ACB" w:rsidP="00756ACB">
      <w:pPr>
        <w:rPr>
          <w:rFonts w:ascii="Arial Black" w:hAnsi="Arial Black"/>
          <w:b/>
          <w:bCs/>
          <w:sz w:val="24"/>
          <w:szCs w:val="24"/>
        </w:rPr>
      </w:pPr>
      <w:r>
        <w:rPr>
          <w:rFonts w:ascii="Arial Black" w:hAnsi="Arial Black"/>
          <w:b/>
          <w:bCs/>
          <w:sz w:val="24"/>
          <w:szCs w:val="24"/>
        </w:rPr>
        <w:t>13-25</w:t>
      </w:r>
      <w:r w:rsidR="00DA5EE8">
        <w:rPr>
          <w:rFonts w:ascii="Arial Black" w:hAnsi="Arial Black"/>
          <w:b/>
          <w:bCs/>
          <w:sz w:val="24"/>
          <w:szCs w:val="24"/>
        </w:rPr>
        <w:t>6</w:t>
      </w:r>
    </w:p>
    <w:p w14:paraId="75158E20" w14:textId="77777777" w:rsidR="00E14BE6" w:rsidRPr="00EC03B8" w:rsidRDefault="00E14BE6" w:rsidP="00E14BE6">
      <w:pPr>
        <w:pStyle w:val="NoSpacing"/>
        <w:rPr>
          <w:rFonts w:ascii="Arial Black" w:hAnsi="Arial Black"/>
          <w:sz w:val="28"/>
          <w:szCs w:val="28"/>
        </w:rPr>
      </w:pPr>
      <w:r>
        <w:rPr>
          <w:rFonts w:ascii="Arial Black" w:hAnsi="Arial Black"/>
          <w:sz w:val="28"/>
          <w:szCs w:val="28"/>
        </w:rPr>
        <w:t>PA: MOTORCYCLE PT TO NON-TRAUMA HOSP - IMMUNITY</w:t>
      </w:r>
    </w:p>
    <w:p w14:paraId="56FA4893" w14:textId="77777777" w:rsidR="00E14BE6" w:rsidRDefault="00E14BE6" w:rsidP="00E14BE6">
      <w:pPr>
        <w:pStyle w:val="NoSpacing"/>
      </w:pPr>
    </w:p>
    <w:p w14:paraId="5ABF1F6B" w14:textId="77777777" w:rsidR="00E14BE6" w:rsidRPr="008F6F62" w:rsidRDefault="00E14BE6" w:rsidP="00E14BE6">
      <w:pPr>
        <w:pStyle w:val="NoSpacing"/>
        <w:rPr>
          <w:bCs/>
        </w:rPr>
      </w:pPr>
      <w:r>
        <w:t xml:space="preserve">On April 23, 2026, in </w:t>
      </w:r>
      <w:r w:rsidRPr="006C06CA">
        <w:rPr>
          <w:u w:val="single"/>
        </w:rPr>
        <w:t>Kristin Claypoole and Melissa Knepp as Co-Administrators of the Estate of Glenn M. Noel v. Altoona-Logan Township Mobile Medical Emergency Department Authority d/b/a AMED</w:t>
      </w:r>
      <w:r>
        <w:t xml:space="preserve">, the </w:t>
      </w:r>
      <w:r w:rsidRPr="008F6F62">
        <w:t>Commonwealth Court of Pennsylvania</w:t>
      </w:r>
      <w:r>
        <w:t xml:space="preserve"> held (3 to 0) that trial court judge properly dismissed the lawsuit; the local EMS agency enjoys broad immunity under state law, unless proof of gross negligence or willful </w:t>
      </w:r>
      <w:proofErr w:type="spellStart"/>
      <w:r>
        <w:t>miscondict</w:t>
      </w:r>
      <w:proofErr w:type="spellEnd"/>
      <w:r>
        <w:t xml:space="preserve">. Accident was on October 25, transported at </w:t>
      </w:r>
      <w:r w:rsidRPr="00AF132A">
        <w:t>6:49 a.m.</w:t>
      </w:r>
      <w:r>
        <w:t xml:space="preserve"> to local hospital (7 minutes); not to Level II trauma hospital !9 minutes).   Approximately 3 1/2 hours later was transferred by ground transport (Air Care not available due to weather) to UPMC Altoona, where he died at 2:04 p.m. on October 26, </w:t>
      </w:r>
      <w:proofErr w:type="gramStart"/>
      <w:r>
        <w:t>2022</w:t>
      </w:r>
      <w:proofErr w:type="gramEnd"/>
      <w:r>
        <w:t xml:space="preserve"> from traumatic brain injury.  </w:t>
      </w:r>
      <w:hyperlink r:id="rId2051" w:history="1">
        <w:r w:rsidRPr="003C3573">
          <w:rPr>
            <w:rStyle w:val="Hyperlink"/>
          </w:rPr>
          <w:t>https://www.pacourts.us/assets/opinions/Commonwealth/out/196CD25_4-23-26.pdf?cb=1</w:t>
        </w:r>
      </w:hyperlink>
      <w:r>
        <w:t xml:space="preserve"> </w:t>
      </w:r>
    </w:p>
    <w:p w14:paraId="71253AEA" w14:textId="77777777" w:rsidR="00E14BE6" w:rsidRDefault="00E14BE6" w:rsidP="00E14BE6">
      <w:pPr>
        <w:pStyle w:val="NoSpacing"/>
      </w:pPr>
    </w:p>
    <w:p w14:paraId="3C520431" w14:textId="77777777" w:rsidR="00E14BE6" w:rsidRDefault="00E14BE6" w:rsidP="00E14BE6">
      <w:pPr>
        <w:pStyle w:val="NoSpacing"/>
      </w:pPr>
      <w:r>
        <w:t>THE COURT HELD:</w:t>
      </w:r>
    </w:p>
    <w:p w14:paraId="317795E8" w14:textId="77777777" w:rsidR="00E14BE6" w:rsidRDefault="00E14BE6" w:rsidP="00E14BE6">
      <w:pPr>
        <w:pStyle w:val="NoSpacing"/>
      </w:pPr>
    </w:p>
    <w:p w14:paraId="53BEB168" w14:textId="77777777" w:rsidR="00E14BE6" w:rsidRDefault="00E14BE6" w:rsidP="00E14BE6">
      <w:pPr>
        <w:pStyle w:val="NoSpacing"/>
        <w:ind w:left="720"/>
      </w:pPr>
      <w:r>
        <w:t>“</w:t>
      </w:r>
      <w:r w:rsidRPr="00F118CC">
        <w:t>The Complaint asserts claims for negligence/gross negligence (survival)</w:t>
      </w:r>
      <w:r>
        <w:t xml:space="preserve"> </w:t>
      </w:r>
      <w:r w:rsidRPr="00F118CC">
        <w:t>(Count I) and wrongful death (Count II) against AMED, chiefly alleging that AMED’s</w:t>
      </w:r>
      <w:r>
        <w:t xml:space="preserve"> </w:t>
      </w:r>
      <w:r w:rsidRPr="00F118CC">
        <w:t>failure to immediately transport Decedent to a Level I or II trauma center was</w:t>
      </w:r>
      <w:r>
        <w:t xml:space="preserve"> ‘</w:t>
      </w:r>
      <w:r w:rsidRPr="00F118CC">
        <w:t>negligent, grossly negligent, and reckless.</w:t>
      </w:r>
      <w:r>
        <w:t xml:space="preserve">’ </w:t>
      </w:r>
    </w:p>
    <w:p w14:paraId="55A8D199" w14:textId="77777777" w:rsidR="00E14BE6" w:rsidRDefault="00E14BE6" w:rsidP="00E14BE6">
      <w:pPr>
        <w:pStyle w:val="NoSpacing"/>
        <w:ind w:left="720"/>
      </w:pPr>
    </w:p>
    <w:p w14:paraId="487DCD39" w14:textId="77777777" w:rsidR="00E14BE6" w:rsidRDefault="00E14BE6" w:rsidP="00E14BE6">
      <w:pPr>
        <w:pStyle w:val="NoSpacing"/>
        <w:ind w:left="720"/>
      </w:pPr>
      <w:r>
        <w:t>***</w:t>
      </w:r>
    </w:p>
    <w:p w14:paraId="1D36DA1A" w14:textId="77777777" w:rsidR="00E14BE6" w:rsidRPr="00F118CC" w:rsidRDefault="00E14BE6" w:rsidP="00E14BE6">
      <w:pPr>
        <w:pStyle w:val="NoSpacing"/>
        <w:ind w:left="720"/>
      </w:pPr>
    </w:p>
    <w:p w14:paraId="5C59DB7B" w14:textId="77777777" w:rsidR="00E14BE6" w:rsidRDefault="00E14BE6" w:rsidP="00E14BE6">
      <w:pPr>
        <w:pStyle w:val="NoSpacing"/>
        <w:ind w:left="720"/>
      </w:pPr>
      <w:r w:rsidRPr="002D328B">
        <w:t>Because it also is undisputed</w:t>
      </w:r>
      <w:r>
        <w:t xml:space="preserve"> </w:t>
      </w:r>
      <w:r w:rsidRPr="002D328B">
        <w:t>that none of those exceptions apply here, we must determine whether, as the Estate</w:t>
      </w:r>
      <w:r>
        <w:t xml:space="preserve"> </w:t>
      </w:r>
      <w:r w:rsidRPr="002D328B">
        <w:t>argues, the General Assembly specifically intended to abrogate immunity for local</w:t>
      </w:r>
      <w:r>
        <w:t xml:space="preserve"> </w:t>
      </w:r>
      <w:r w:rsidRPr="002D328B">
        <w:t>agencies via Section 8151(2) of the EMSSA and permit claims for gross negligence or</w:t>
      </w:r>
      <w:r>
        <w:t xml:space="preserve"> </w:t>
      </w:r>
      <w:r w:rsidRPr="002D328B">
        <w:t>willful misconduct arising out of the provision of EMS care. See Doe v. Franklin</w:t>
      </w:r>
      <w:r>
        <w:t xml:space="preserve"> </w:t>
      </w:r>
      <w:r w:rsidRPr="002D328B">
        <w:t>County, 174 A.3d 593, 605 (Pa. 2017). We conclude that it did not.</w:t>
      </w:r>
      <w:r>
        <w:t>’</w:t>
      </w:r>
    </w:p>
    <w:p w14:paraId="7E45D4D2" w14:textId="77777777" w:rsidR="00E14BE6" w:rsidRDefault="00E14BE6" w:rsidP="00E14BE6">
      <w:pPr>
        <w:pStyle w:val="NoSpacing"/>
        <w:ind w:left="720"/>
      </w:pPr>
    </w:p>
    <w:p w14:paraId="58028602" w14:textId="77777777" w:rsidR="00E14BE6" w:rsidRDefault="00E14BE6" w:rsidP="00E14BE6">
      <w:pPr>
        <w:pStyle w:val="NoSpacing"/>
        <w:ind w:left="720"/>
      </w:pPr>
      <w:r>
        <w:t>***</w:t>
      </w:r>
    </w:p>
    <w:p w14:paraId="73DBCF2B" w14:textId="77777777" w:rsidR="00E14BE6" w:rsidRDefault="00E14BE6" w:rsidP="00E14BE6">
      <w:pPr>
        <w:pStyle w:val="NoSpacing"/>
      </w:pPr>
    </w:p>
    <w:p w14:paraId="52A799A9" w14:textId="77777777" w:rsidR="00E14BE6" w:rsidRDefault="00E14BE6" w:rsidP="00E14BE6">
      <w:pPr>
        <w:pStyle w:val="NoSpacing"/>
        <w:ind w:left="720"/>
      </w:pPr>
      <w:r>
        <w:t>The EMSSA [E</w:t>
      </w:r>
      <w:r w:rsidRPr="00E472D0">
        <w:t>mergency Medical Services System Act</w:t>
      </w:r>
      <w:r>
        <w:t xml:space="preserve">] enacted in 2009, is a comprehensive statute that regulates the provision of EMS in Pennsylvania… a single miscellaneous provision of the EMSSA, Section 8151(2), prohibits the liability of EMS agencies related to the good faith rendering of EMS care unless gross negligence or willful misconduct is established. 35 </w:t>
      </w:r>
      <w:proofErr w:type="spellStart"/>
      <w:r>
        <w:t>Pa.C.S</w:t>
      </w:r>
      <w:proofErr w:type="spellEnd"/>
      <w:r>
        <w:t>. § 8151(2).</w:t>
      </w:r>
    </w:p>
    <w:p w14:paraId="02BEB7BF" w14:textId="77777777" w:rsidR="00E14BE6" w:rsidRDefault="00E14BE6" w:rsidP="00E14BE6">
      <w:pPr>
        <w:pStyle w:val="NoSpacing"/>
        <w:ind w:left="720"/>
      </w:pPr>
    </w:p>
    <w:p w14:paraId="699BDB92" w14:textId="77777777" w:rsidR="00E14BE6" w:rsidRPr="000573EE" w:rsidRDefault="00E14BE6" w:rsidP="00E14BE6">
      <w:pPr>
        <w:pStyle w:val="NoSpacing"/>
        <w:ind w:left="1440"/>
      </w:pPr>
      <w:r w:rsidRPr="000573EE">
        <w:t>(2) No EMS agency, EMS agency medical director or EMS</w:t>
      </w:r>
      <w:r>
        <w:t xml:space="preserve"> </w:t>
      </w:r>
      <w:r w:rsidRPr="000573EE">
        <w:t>provider[4] who in good faith attempts to render or facilitate</w:t>
      </w:r>
      <w:r>
        <w:t xml:space="preserve"> </w:t>
      </w:r>
      <w:r w:rsidRPr="000573EE">
        <w:t>emergency medical care authorized by this chapter shall be</w:t>
      </w:r>
      <w:r>
        <w:t xml:space="preserve"> </w:t>
      </w:r>
      <w:r w:rsidRPr="000573EE">
        <w:t xml:space="preserve">liable for civil damages </w:t>
      </w:r>
      <w:proofErr w:type="gramStart"/>
      <w:r w:rsidRPr="000573EE">
        <w:t>as a result of</w:t>
      </w:r>
      <w:proofErr w:type="gramEnd"/>
      <w:r w:rsidRPr="000573EE">
        <w:t xml:space="preserve"> an act or omission,</w:t>
      </w:r>
      <w:r>
        <w:t xml:space="preserve"> </w:t>
      </w:r>
      <w:r w:rsidRPr="000573EE">
        <w:t>absent a showing of gross negligence or willful</w:t>
      </w:r>
      <w:r>
        <w:t xml:space="preserve"> </w:t>
      </w:r>
      <w:r w:rsidRPr="000573EE">
        <w:t xml:space="preserve">misconduct. This paragraph </w:t>
      </w:r>
      <w:r w:rsidRPr="000573EE">
        <w:lastRenderedPageBreak/>
        <w:t>shall also apply to students</w:t>
      </w:r>
      <w:r>
        <w:t xml:space="preserve"> </w:t>
      </w:r>
      <w:r w:rsidRPr="000573EE">
        <w:t>enrolled in approved courses of instruction and supervised</w:t>
      </w:r>
      <w:r>
        <w:t xml:space="preserve"> </w:t>
      </w:r>
      <w:r w:rsidRPr="000573EE">
        <w:t>pursuant to rules and regulations.</w:t>
      </w:r>
      <w:r>
        <w:t>”</w:t>
      </w:r>
    </w:p>
    <w:p w14:paraId="1B43714C" w14:textId="77777777" w:rsidR="00E14BE6" w:rsidRPr="000573EE" w:rsidRDefault="00E14BE6" w:rsidP="00E14BE6">
      <w:pPr>
        <w:pStyle w:val="NoSpacing"/>
      </w:pPr>
    </w:p>
    <w:p w14:paraId="055E2164" w14:textId="77777777" w:rsidR="00E14BE6" w:rsidRPr="00F71EF9" w:rsidRDefault="00E14BE6" w:rsidP="00E14BE6">
      <w:pPr>
        <w:pStyle w:val="NoSpacing"/>
        <w:rPr>
          <w:b/>
        </w:rPr>
      </w:pPr>
      <w:r>
        <w:rPr>
          <w:b/>
        </w:rPr>
        <w:t xml:space="preserve">Legal lesson learned: EMS agencies have broad immunity; follow your protocol on when to call Air Care for head trauma, and when to transport to Level I or II trauma hospital. </w:t>
      </w:r>
    </w:p>
    <w:p w14:paraId="4FA7D7FB" w14:textId="77777777" w:rsidR="00E14BE6" w:rsidRDefault="00E14BE6" w:rsidP="002B1283">
      <w:pPr>
        <w:rPr>
          <w:rFonts w:ascii="Arial Black" w:hAnsi="Arial Black"/>
          <w:b/>
          <w:bCs/>
          <w:sz w:val="28"/>
          <w:szCs w:val="28"/>
        </w:rPr>
      </w:pPr>
    </w:p>
    <w:p w14:paraId="740A7DFA" w14:textId="3C9BAF27" w:rsidR="00DA5EE8" w:rsidRDefault="00DA5EE8" w:rsidP="00756ACB">
      <w:pPr>
        <w:rPr>
          <w:rFonts w:ascii="Arial Black" w:hAnsi="Arial Black"/>
          <w:b/>
          <w:bCs/>
          <w:sz w:val="24"/>
          <w:szCs w:val="24"/>
        </w:rPr>
      </w:pPr>
      <w:r>
        <w:rPr>
          <w:rFonts w:ascii="Arial Black" w:hAnsi="Arial Black"/>
          <w:b/>
          <w:bCs/>
          <w:sz w:val="24"/>
          <w:szCs w:val="24"/>
        </w:rPr>
        <w:t>13-255</w:t>
      </w:r>
    </w:p>
    <w:p w14:paraId="06A5332C" w14:textId="77777777" w:rsidR="00DA5EE8" w:rsidRPr="00374D58" w:rsidRDefault="00DA5EE8" w:rsidP="00DA5EE8">
      <w:pPr>
        <w:rPr>
          <w:rFonts w:ascii="Arial Black" w:hAnsi="Arial Black"/>
          <w:b/>
          <w:sz w:val="28"/>
          <w:szCs w:val="28"/>
        </w:rPr>
      </w:pPr>
      <w:r>
        <w:rPr>
          <w:rFonts w:ascii="Arial Black" w:hAnsi="Arial Black"/>
          <w:b/>
          <w:sz w:val="28"/>
          <w:szCs w:val="28"/>
        </w:rPr>
        <w:t>DC: MEDICAL DIRECTOR - EMT-I FAILED TWICE - FIRED</w:t>
      </w:r>
    </w:p>
    <w:p w14:paraId="0AA8C02E" w14:textId="77777777" w:rsidR="00DA5EE8" w:rsidRDefault="00DA5EE8" w:rsidP="00DA5EE8">
      <w:pPr>
        <w:rPr>
          <w:b/>
        </w:rPr>
      </w:pPr>
      <w:r>
        <w:t xml:space="preserve">On April 17, 2026, in </w:t>
      </w:r>
      <w:r w:rsidRPr="00EA62C7">
        <w:rPr>
          <w:u w:val="single"/>
        </w:rPr>
        <w:t>Harold Dargan v. District of Columbia Office of Employee Appeals, et al.,</w:t>
      </w:r>
      <w:r>
        <w:rPr>
          <w:u w:val="single"/>
        </w:rPr>
        <w:t xml:space="preserve"> </w:t>
      </w:r>
      <w:r w:rsidRPr="00EA62C7">
        <w:t>the Court of Appeals of The District of Columbia</w:t>
      </w:r>
      <w:r>
        <w:t xml:space="preserve"> held (3 to 0) that the EMT-Intermediate, who declined to be reclassified at lower level as an EMT-Advanced, was properly terminated on May 3, 2013.   After an EMS run on June 14, </w:t>
      </w:r>
      <w:proofErr w:type="gramStart"/>
      <w:r>
        <w:t>2011</w:t>
      </w:r>
      <w:proofErr w:type="gramEnd"/>
      <w:r>
        <w:t xml:space="preserve"> where patient died and patient’s airway was unattended while he was retrieving additional equipment, he was immediately removed from the field and sent to Training Academy for six months.  The Medical Director then assessed his skills on February 2, 2012 (failed to </w:t>
      </w:r>
      <w:r w:rsidRPr="002572E6">
        <w:t>perform a cardiac life support scenario</w:t>
      </w:r>
      <w:r>
        <w:t>) and on February 14 (again failed).  THE COURT WROTE: “</w:t>
      </w:r>
      <w:r w:rsidRPr="008A58CB">
        <w:t>As Mr. Dargan himself concedes, Dr. Miramontes, as</w:t>
      </w:r>
      <w:r>
        <w:t xml:space="preserve"> </w:t>
      </w:r>
      <w:r w:rsidRPr="008A58CB">
        <w:t xml:space="preserve">the FEMS Medical Director, </w:t>
      </w:r>
      <w:r>
        <w:t>‘</w:t>
      </w:r>
      <w:r w:rsidRPr="008A58CB">
        <w:t>must have the absolute right—short of discriminatory</w:t>
      </w:r>
      <w:r>
        <w:t xml:space="preserve"> </w:t>
      </w:r>
      <w:r w:rsidRPr="008A58CB">
        <w:t>animus—to protect the public by designating which EMTs and Paramedics are to be</w:t>
      </w:r>
      <w:r>
        <w:t xml:space="preserve"> </w:t>
      </w:r>
      <w:r w:rsidRPr="008A58CB">
        <w:t xml:space="preserve">permitted to practice under his </w:t>
      </w:r>
      <w:proofErr w:type="spellStart"/>
      <w:r w:rsidRPr="008A58CB">
        <w:t>licens</w:t>
      </w:r>
      <w:proofErr w:type="spellEnd"/>
      <w:r w:rsidRPr="008A58CB">
        <w:t>[e].</w:t>
      </w:r>
      <w:r>
        <w:t xml:space="preserve">’”  </w:t>
      </w:r>
      <w:hyperlink r:id="rId2052" w:history="1">
        <w:r w:rsidRPr="003823BB">
          <w:rPr>
            <w:rStyle w:val="Hyperlink"/>
            <w:b/>
          </w:rPr>
          <w:t>https://www.dccourts.gov/sites/default/files/2026-05/Dargan%20%20v.%20D.C.%20Office%20of%20Employee%20Appeals.%2024-CV-1001.pdf</w:t>
        </w:r>
      </w:hyperlink>
      <w:r>
        <w:rPr>
          <w:b/>
        </w:rPr>
        <w:t xml:space="preserve"> </w:t>
      </w:r>
    </w:p>
    <w:p w14:paraId="06E16A19" w14:textId="77777777" w:rsidR="00DA5EE8" w:rsidRDefault="00DA5EE8" w:rsidP="00DA5EE8">
      <w:pPr>
        <w:pStyle w:val="NoSpacing"/>
      </w:pPr>
    </w:p>
    <w:p w14:paraId="10AFFC34" w14:textId="77777777" w:rsidR="00DA5EE8" w:rsidRDefault="00DA5EE8" w:rsidP="00DA5EE8">
      <w:pPr>
        <w:pStyle w:val="NoSpacing"/>
      </w:pPr>
    </w:p>
    <w:p w14:paraId="4A6B166E" w14:textId="77777777" w:rsidR="00DA5EE8" w:rsidRDefault="00DA5EE8" w:rsidP="00DA5EE8">
      <w:pPr>
        <w:pStyle w:val="NoSpacing"/>
      </w:pPr>
      <w:r>
        <w:t xml:space="preserve">THE COURT HELD: </w:t>
      </w:r>
    </w:p>
    <w:p w14:paraId="09485501" w14:textId="77777777" w:rsidR="00DA5EE8" w:rsidRDefault="00DA5EE8" w:rsidP="00DA5EE8">
      <w:pPr>
        <w:pStyle w:val="NoSpacing"/>
      </w:pPr>
    </w:p>
    <w:p w14:paraId="36F1AF13" w14:textId="77777777" w:rsidR="00DA5EE8" w:rsidRDefault="00DA5EE8" w:rsidP="00DA5EE8">
      <w:pPr>
        <w:pStyle w:val="NoSpacing"/>
        <w:ind w:firstLine="720"/>
      </w:pPr>
      <w:r>
        <w:t>“As such, Dr. Miramontes was responsible only for evaluating Mr. Dargan and</w:t>
      </w:r>
    </w:p>
    <w:p w14:paraId="70D65014" w14:textId="77777777" w:rsidR="00DA5EE8" w:rsidRDefault="00DA5EE8" w:rsidP="00DA5EE8">
      <w:pPr>
        <w:pStyle w:val="NoSpacing"/>
        <w:ind w:firstLine="720"/>
      </w:pPr>
      <w:r>
        <w:t>deciding whether to sign off on his recertification as an EMT-Intermediate based on</w:t>
      </w:r>
    </w:p>
    <w:p w14:paraId="68CB09D9" w14:textId="77777777" w:rsidR="00DA5EE8" w:rsidRDefault="00DA5EE8" w:rsidP="00DA5EE8">
      <w:pPr>
        <w:pStyle w:val="NoSpacing"/>
        <w:ind w:firstLine="720"/>
      </w:pPr>
      <w:r>
        <w:t>his evaluation of Mr. Dargan’s competency. Dr. Miramontes did just this. Following</w:t>
      </w:r>
    </w:p>
    <w:p w14:paraId="5045A9F7" w14:textId="77777777" w:rsidR="00DA5EE8" w:rsidRDefault="00DA5EE8" w:rsidP="00DA5EE8">
      <w:pPr>
        <w:pStyle w:val="NoSpacing"/>
        <w:ind w:firstLine="720"/>
      </w:pPr>
      <w:r>
        <w:t>Mr. Dargan’s extensive remediation, Dr. Miramontes administered two practical</w:t>
      </w:r>
    </w:p>
    <w:p w14:paraId="1B96444C" w14:textId="77777777" w:rsidR="00DA5EE8" w:rsidRDefault="00DA5EE8" w:rsidP="00DA5EE8">
      <w:pPr>
        <w:pStyle w:val="NoSpacing"/>
        <w:ind w:firstLine="720"/>
      </w:pPr>
      <w:r>
        <w:t>skills assessments to determine whether Mr. Dargan could perform at the level</w:t>
      </w:r>
    </w:p>
    <w:p w14:paraId="6EC6C9BC" w14:textId="77777777" w:rsidR="00DA5EE8" w:rsidRDefault="00DA5EE8" w:rsidP="00DA5EE8">
      <w:pPr>
        <w:pStyle w:val="NoSpacing"/>
        <w:ind w:firstLine="720"/>
      </w:pPr>
      <w:r>
        <w:t>expected for an EMT-Intermediate. After Mr. Dargan failed the first assessment, Dr.</w:t>
      </w:r>
    </w:p>
    <w:p w14:paraId="5B361EFE" w14:textId="77777777" w:rsidR="00DA5EE8" w:rsidRDefault="00DA5EE8" w:rsidP="00DA5EE8">
      <w:pPr>
        <w:pStyle w:val="NoSpacing"/>
        <w:ind w:firstLine="720"/>
      </w:pPr>
      <w:r>
        <w:t>Miramontes gave him an opportunity for additional remediation and offered to</w:t>
      </w:r>
    </w:p>
    <w:p w14:paraId="464FCD1E" w14:textId="77777777" w:rsidR="00DA5EE8" w:rsidRDefault="00DA5EE8" w:rsidP="00DA5EE8">
      <w:pPr>
        <w:pStyle w:val="NoSpacing"/>
        <w:ind w:firstLine="720"/>
      </w:pPr>
      <w:r>
        <w:t>sponsor him at the basic life support level as an EMT-Advanced. When Mr. Dargan</w:t>
      </w:r>
    </w:p>
    <w:p w14:paraId="7E7CBF60" w14:textId="77777777" w:rsidR="00DA5EE8" w:rsidRDefault="00DA5EE8" w:rsidP="00DA5EE8">
      <w:pPr>
        <w:pStyle w:val="NoSpacing"/>
        <w:ind w:firstLine="720"/>
      </w:pPr>
      <w:r>
        <w:t>failed the second assessment, Dr. Miramontes again told him that he would not</w:t>
      </w:r>
    </w:p>
    <w:p w14:paraId="12C6D105" w14:textId="77777777" w:rsidR="00DA5EE8" w:rsidRDefault="00DA5EE8" w:rsidP="00DA5EE8">
      <w:pPr>
        <w:pStyle w:val="NoSpacing"/>
        <w:ind w:firstLine="720"/>
      </w:pPr>
      <w:r>
        <w:t>sponsor him at the EMT-Intermediate level for his DOH recertification, but that he</w:t>
      </w:r>
    </w:p>
    <w:p w14:paraId="704D6C21" w14:textId="77777777" w:rsidR="00DA5EE8" w:rsidRDefault="00DA5EE8" w:rsidP="00DA5EE8">
      <w:pPr>
        <w:pStyle w:val="NoSpacing"/>
        <w:ind w:firstLine="720"/>
      </w:pPr>
      <w:r>
        <w:t>would sponsor him at the lower EMT-Advanced level. Despite this knowledge, Mr.</w:t>
      </w:r>
    </w:p>
    <w:p w14:paraId="653A1A7C" w14:textId="77777777" w:rsidR="00DA5EE8" w:rsidRDefault="00DA5EE8" w:rsidP="00DA5EE8">
      <w:pPr>
        <w:pStyle w:val="NoSpacing"/>
        <w:ind w:firstLine="720"/>
      </w:pPr>
      <w:r>
        <w:t>Dargan did not apply for the EMT-Advanced DOH certification, choosing instead</w:t>
      </w:r>
    </w:p>
    <w:p w14:paraId="0116E17D" w14:textId="77777777" w:rsidR="00DA5EE8" w:rsidRDefault="00DA5EE8" w:rsidP="00DA5EE8">
      <w:pPr>
        <w:pStyle w:val="NoSpacing"/>
        <w:ind w:left="720"/>
      </w:pPr>
      <w:r>
        <w:t>to submit to Dr. Miramontes his application for the EMT-Intermediate DOH certification. Dr. Miramontes refused to sign Mr. Dargan’s application, rendering it</w:t>
      </w:r>
    </w:p>
    <w:p w14:paraId="65D5351A" w14:textId="77777777" w:rsidR="00DA5EE8" w:rsidRDefault="00DA5EE8" w:rsidP="00DA5EE8">
      <w:pPr>
        <w:pStyle w:val="NoSpacing"/>
        <w:ind w:firstLine="720"/>
      </w:pPr>
      <w:r>
        <w:t>incomplete, and likewise refused to submit the application to DOH.”</w:t>
      </w:r>
    </w:p>
    <w:p w14:paraId="3F63053B" w14:textId="77777777" w:rsidR="00DA5EE8" w:rsidRDefault="00DA5EE8" w:rsidP="00DA5EE8">
      <w:pPr>
        <w:pStyle w:val="NoSpacing"/>
        <w:ind w:firstLine="720"/>
      </w:pPr>
    </w:p>
    <w:p w14:paraId="54CC851E" w14:textId="77777777" w:rsidR="00DA5EE8" w:rsidRPr="00A95FA3" w:rsidRDefault="00DA5EE8" w:rsidP="00DA5EE8">
      <w:pPr>
        <w:rPr>
          <w:b/>
          <w:bCs/>
        </w:rPr>
      </w:pPr>
      <w:r>
        <w:rPr>
          <w:b/>
        </w:rPr>
        <w:t xml:space="preserve">Legal lesson learned: EMS Medical Directors have the “absolute right” to designate appropriate level of EMS personnel. </w:t>
      </w:r>
    </w:p>
    <w:p w14:paraId="15561197" w14:textId="77777777" w:rsidR="00DA5EE8" w:rsidRDefault="00DA5EE8" w:rsidP="00756ACB">
      <w:pPr>
        <w:rPr>
          <w:rFonts w:ascii="Arial Black" w:hAnsi="Arial Black"/>
          <w:b/>
          <w:bCs/>
          <w:sz w:val="24"/>
          <w:szCs w:val="24"/>
        </w:rPr>
      </w:pPr>
    </w:p>
    <w:p w14:paraId="31A0F35E" w14:textId="77777777" w:rsidR="00DA5EE8" w:rsidRDefault="00DA5EE8" w:rsidP="00756ACB">
      <w:pPr>
        <w:rPr>
          <w:rFonts w:ascii="Arial Black" w:hAnsi="Arial Black"/>
          <w:b/>
          <w:bCs/>
          <w:sz w:val="24"/>
          <w:szCs w:val="24"/>
        </w:rPr>
      </w:pPr>
    </w:p>
    <w:p w14:paraId="5E665B1B" w14:textId="21ED8F58" w:rsidR="00756ACB" w:rsidRDefault="00756ACB" w:rsidP="00756ACB">
      <w:pPr>
        <w:rPr>
          <w:rFonts w:ascii="Arial Black" w:hAnsi="Arial Black"/>
          <w:b/>
          <w:bCs/>
          <w:sz w:val="24"/>
          <w:szCs w:val="24"/>
        </w:rPr>
      </w:pPr>
      <w:r>
        <w:rPr>
          <w:rFonts w:ascii="Arial Black" w:hAnsi="Arial Black"/>
          <w:b/>
          <w:bCs/>
          <w:sz w:val="24"/>
          <w:szCs w:val="24"/>
        </w:rPr>
        <w:t>13-254</w:t>
      </w:r>
    </w:p>
    <w:p w14:paraId="6B9A7B5F" w14:textId="77777777" w:rsidR="00A93BF7" w:rsidRPr="003E1686" w:rsidRDefault="00A93BF7" w:rsidP="00A93BF7">
      <w:pPr>
        <w:pStyle w:val="NoSpacing"/>
        <w:rPr>
          <w:rFonts w:ascii="Arial Black" w:hAnsi="Arial Black"/>
          <w:sz w:val="28"/>
          <w:szCs w:val="28"/>
        </w:rPr>
      </w:pPr>
      <w:r>
        <w:rPr>
          <w:rFonts w:ascii="Arial Black" w:hAnsi="Arial Black"/>
          <w:sz w:val="28"/>
          <w:szCs w:val="28"/>
        </w:rPr>
        <w:lastRenderedPageBreak/>
        <w:t xml:space="preserve">VA: MED RECORS – JUSTICE GINSBURG - 2 YRS PRISON </w:t>
      </w:r>
    </w:p>
    <w:p w14:paraId="207BD8D6" w14:textId="77777777" w:rsidR="00A93BF7" w:rsidRDefault="00A93BF7" w:rsidP="00A93BF7">
      <w:pPr>
        <w:pStyle w:val="NoSpacing"/>
      </w:pPr>
    </w:p>
    <w:p w14:paraId="4A3A3DD1" w14:textId="77777777" w:rsidR="00A93BF7" w:rsidRDefault="00A93BF7" w:rsidP="00A93BF7">
      <w:pPr>
        <w:pStyle w:val="NoSpacing"/>
      </w:pPr>
      <w:r>
        <w:t xml:space="preserve">On April 14, 2026 in </w:t>
      </w:r>
      <w:r w:rsidRPr="003E1686">
        <w:rPr>
          <w:u w:val="single"/>
        </w:rPr>
        <w:t>United States of America v. Trent James Russell</w:t>
      </w:r>
      <w:r>
        <w:t xml:space="preserve">, the U.S. Court of Appeals for the Fourth Circuit (Richmond, VA) held (3 to 0) that jury properly found Russell guilty of (1) destroying and altering records, and (2) obtaining individually identifiable health information, and trial court sentenced him to </w:t>
      </w:r>
      <w:r w:rsidRPr="00EE3E0E">
        <w:t>twenty-four months’ imprisonment</w:t>
      </w:r>
      <w:r>
        <w:t xml:space="preserve"> for posting on Twitter a screenshot of the George Washington University hospital’s patient search screen, which highlighted Justice Ginsburg’s name and showed the dates of ten visits, along with medical services she received (which included radiology, oncology, and surgery services). Based</w:t>
      </w:r>
    </w:p>
    <w:p w14:paraId="37625DFB" w14:textId="77777777" w:rsidR="00A93BF7" w:rsidRDefault="00A93BF7" w:rsidP="00A93BF7">
      <w:pPr>
        <w:pStyle w:val="NoSpacing"/>
      </w:pPr>
      <w:r>
        <w:t>on the dates captured in the screenshot, it was taken between December 31, 2018, and</w:t>
      </w:r>
    </w:p>
    <w:p w14:paraId="53BC44F8" w14:textId="77777777" w:rsidR="00A93BF7" w:rsidRDefault="00A93BF7" w:rsidP="00A93BF7">
      <w:pPr>
        <w:pStyle w:val="NoSpacing"/>
      </w:pPr>
      <w:r>
        <w:t xml:space="preserve">January 9, 2019. </w:t>
      </w:r>
      <w:hyperlink r:id="rId2053" w:history="1">
        <w:r w:rsidRPr="009126C9">
          <w:rPr>
            <w:rStyle w:val="Hyperlink"/>
          </w:rPr>
          <w:t>https://www.ca4.uscourts.gov/opinions/244620.P.pd</w:t>
        </w:r>
      </w:hyperlink>
      <w:r>
        <w:t xml:space="preserve"> </w:t>
      </w:r>
    </w:p>
    <w:p w14:paraId="78AEAF50" w14:textId="77777777" w:rsidR="00A93BF7" w:rsidRDefault="00A93BF7" w:rsidP="00A93BF7">
      <w:pPr>
        <w:pStyle w:val="NoSpacing"/>
      </w:pPr>
    </w:p>
    <w:p w14:paraId="60888C5E" w14:textId="77777777" w:rsidR="00A93BF7" w:rsidRDefault="00A93BF7" w:rsidP="00A93BF7">
      <w:pPr>
        <w:pStyle w:val="NoSpacing"/>
      </w:pPr>
      <w:r>
        <w:t>THE COURT WROTE:</w:t>
      </w:r>
    </w:p>
    <w:p w14:paraId="717DD92C" w14:textId="77777777" w:rsidR="00A93BF7" w:rsidRDefault="00A93BF7" w:rsidP="00A93BF7">
      <w:pPr>
        <w:pStyle w:val="NoSpacing"/>
        <w:ind w:firstLine="720"/>
      </w:pPr>
    </w:p>
    <w:p w14:paraId="040163D3" w14:textId="77777777" w:rsidR="00A93BF7" w:rsidRDefault="00A93BF7" w:rsidP="00A93BF7">
      <w:pPr>
        <w:pStyle w:val="NoSpacing"/>
        <w:ind w:firstLine="720"/>
      </w:pPr>
      <w:r>
        <w:t>“Before Supreme Court Justice Ruth Bader Ginsburg passed away, someone posted</w:t>
      </w:r>
    </w:p>
    <w:p w14:paraId="445F4C6D" w14:textId="77777777" w:rsidR="00A93BF7" w:rsidRDefault="00A93BF7" w:rsidP="00A93BF7">
      <w:pPr>
        <w:pStyle w:val="NoSpacing"/>
        <w:ind w:firstLine="720"/>
      </w:pPr>
      <w:r>
        <w:t>a screenshot of her private medical information on the internet. The information related to</w:t>
      </w:r>
    </w:p>
    <w:p w14:paraId="1703C2F9" w14:textId="77777777" w:rsidR="00A93BF7" w:rsidRDefault="00A93BF7" w:rsidP="00A93BF7">
      <w:pPr>
        <w:pStyle w:val="NoSpacing"/>
        <w:ind w:left="720"/>
      </w:pPr>
      <w:r>
        <w:t>treatment the Justice received at George Washington University Hospital. An investigation led federal agents to Trent Russell, who worked for a company with access to the hospital’s medical records.</w:t>
      </w:r>
    </w:p>
    <w:p w14:paraId="065B87FA" w14:textId="77777777" w:rsidR="00A93BF7" w:rsidRDefault="00A93BF7" w:rsidP="00A93BF7">
      <w:pPr>
        <w:pStyle w:val="NoSpacing"/>
        <w:ind w:left="720"/>
      </w:pPr>
    </w:p>
    <w:p w14:paraId="007C3A2C" w14:textId="77777777" w:rsidR="00A93BF7" w:rsidRDefault="00A93BF7" w:rsidP="00A93BF7">
      <w:pPr>
        <w:pStyle w:val="NoSpacing"/>
        <w:ind w:left="720"/>
      </w:pPr>
      <w:r>
        <w:t>***</w:t>
      </w:r>
    </w:p>
    <w:p w14:paraId="38D04DE0" w14:textId="77777777" w:rsidR="00A93BF7" w:rsidRDefault="00A93BF7" w:rsidP="00A93BF7">
      <w:pPr>
        <w:pStyle w:val="NoSpacing"/>
        <w:ind w:left="720"/>
      </w:pPr>
      <w:r>
        <w:t>That led him to Russell, who worked for a non-profit that facilitates organ donations.</w:t>
      </w:r>
    </w:p>
    <w:p w14:paraId="2A486471" w14:textId="77777777" w:rsidR="00A93BF7" w:rsidRDefault="00A93BF7" w:rsidP="00A93BF7">
      <w:pPr>
        <w:pStyle w:val="NoSpacing"/>
        <w:ind w:left="720"/>
      </w:pPr>
      <w:r>
        <w:t>Russell’s position gave him both on-site and remote access to patient medical records and</w:t>
      </w:r>
    </w:p>
    <w:p w14:paraId="36420EBB" w14:textId="77777777" w:rsidR="00A93BF7" w:rsidRDefault="00A93BF7" w:rsidP="00A93BF7">
      <w:pPr>
        <w:pStyle w:val="NoSpacing"/>
        <w:ind w:left="720"/>
      </w:pPr>
      <w:r>
        <w:t>other hospital data.”</w:t>
      </w:r>
    </w:p>
    <w:p w14:paraId="1F3BE0F2" w14:textId="77777777" w:rsidR="00A93BF7" w:rsidRDefault="00A93BF7" w:rsidP="00A93BF7">
      <w:pPr>
        <w:pStyle w:val="NoSpacing"/>
        <w:ind w:left="720"/>
      </w:pPr>
    </w:p>
    <w:p w14:paraId="5731628E" w14:textId="77777777" w:rsidR="00A93BF7" w:rsidRPr="00301C5F" w:rsidRDefault="00A93BF7" w:rsidP="00A93BF7">
      <w:pPr>
        <w:rPr>
          <w:b/>
          <w:bCs/>
        </w:rPr>
      </w:pPr>
      <w:r>
        <w:rPr>
          <w:b/>
        </w:rPr>
        <w:t xml:space="preserve">Legal lesson learned:  </w:t>
      </w:r>
      <w:r w:rsidRPr="00677791">
        <w:rPr>
          <w:b/>
        </w:rPr>
        <w:t>Disclosure of individually identifiable health information can lead to criminal indictment and prison</w:t>
      </w:r>
      <w:r>
        <w:rPr>
          <w:b/>
        </w:rPr>
        <w:t xml:space="preserve">. </w:t>
      </w:r>
    </w:p>
    <w:p w14:paraId="1C9EB5BC" w14:textId="77777777" w:rsidR="00A93BF7" w:rsidRDefault="00A93BF7" w:rsidP="00A93BF7">
      <w:pPr>
        <w:pStyle w:val="NoSpacing"/>
        <w:ind w:left="720"/>
      </w:pPr>
      <w:r>
        <w:t xml:space="preserve">Note: See HIPAA Violations – 2026.  </w:t>
      </w:r>
      <w:hyperlink r:id="rId2054" w:history="1">
        <w:r w:rsidRPr="009126C9">
          <w:rPr>
            <w:rStyle w:val="Hyperlink"/>
          </w:rPr>
          <w:t>https://www.hipaajournal.com/hipaa-violation-cases/</w:t>
        </w:r>
      </w:hyperlink>
      <w:r>
        <w:t xml:space="preserve"> </w:t>
      </w:r>
    </w:p>
    <w:p w14:paraId="2B0D70F5" w14:textId="77777777" w:rsidR="00A93BF7" w:rsidRDefault="00A93BF7" w:rsidP="002B1283">
      <w:pPr>
        <w:rPr>
          <w:rFonts w:ascii="Arial Black" w:hAnsi="Arial Black"/>
          <w:b/>
          <w:bCs/>
          <w:sz w:val="28"/>
          <w:szCs w:val="28"/>
        </w:rPr>
      </w:pPr>
    </w:p>
    <w:p w14:paraId="32F04E91" w14:textId="02048C69" w:rsidR="00756ACB" w:rsidRDefault="00756ACB" w:rsidP="00756ACB">
      <w:pPr>
        <w:rPr>
          <w:rFonts w:ascii="Arial Black" w:hAnsi="Arial Black"/>
          <w:b/>
          <w:bCs/>
          <w:sz w:val="24"/>
          <w:szCs w:val="24"/>
        </w:rPr>
      </w:pPr>
      <w:r>
        <w:rPr>
          <w:rFonts w:ascii="Arial Black" w:hAnsi="Arial Black"/>
          <w:b/>
          <w:bCs/>
          <w:sz w:val="24"/>
          <w:szCs w:val="24"/>
        </w:rPr>
        <w:t>13-253</w:t>
      </w:r>
    </w:p>
    <w:p w14:paraId="707A49E4" w14:textId="77777777" w:rsidR="00756ACB" w:rsidRDefault="00756ACB" w:rsidP="00756ACB">
      <w:pPr>
        <w:pStyle w:val="NoSpacing"/>
        <w:rPr>
          <w:rFonts w:ascii="Arial Black" w:hAnsi="Arial Black"/>
          <w:b/>
          <w:color w:val="000000" w:themeColor="text1"/>
          <w:sz w:val="28"/>
          <w:szCs w:val="28"/>
        </w:rPr>
      </w:pPr>
      <w:r>
        <w:rPr>
          <w:rFonts w:ascii="Arial Black" w:hAnsi="Arial Black"/>
          <w:b/>
          <w:color w:val="000000" w:themeColor="text1"/>
          <w:sz w:val="28"/>
          <w:szCs w:val="28"/>
        </w:rPr>
        <w:t>NV: EMS OPER MGR – FIRED / ALS CREW – NO RETALIATION</w:t>
      </w:r>
    </w:p>
    <w:p w14:paraId="1E71B341" w14:textId="77777777" w:rsidR="00756ACB" w:rsidRDefault="00756ACB" w:rsidP="00756ACB">
      <w:pPr>
        <w:pStyle w:val="NoSpacing"/>
        <w:rPr>
          <w:rFonts w:ascii="Arial Black" w:hAnsi="Arial Black"/>
          <w:b/>
          <w:color w:val="000000" w:themeColor="text1"/>
          <w:sz w:val="28"/>
          <w:szCs w:val="28"/>
        </w:rPr>
      </w:pPr>
    </w:p>
    <w:p w14:paraId="0AF68F2C" w14:textId="77777777" w:rsidR="00756ACB" w:rsidRDefault="00756ACB" w:rsidP="00756ACB">
      <w:pPr>
        <w:pStyle w:val="NoSpacing"/>
      </w:pPr>
      <w:r>
        <w:rPr>
          <w:color w:val="000000" w:themeColor="text1"/>
        </w:rPr>
        <w:t xml:space="preserve">On March 27, 2026, in </w:t>
      </w:r>
      <w:r w:rsidRPr="006D5B67">
        <w:rPr>
          <w:color w:val="000000" w:themeColor="text1"/>
          <w:u w:val="single"/>
        </w:rPr>
        <w:t>Dusty Allen v. Mercy, Inc</w:t>
      </w:r>
      <w:r>
        <w:rPr>
          <w:color w:val="000000" w:themeColor="text1"/>
        </w:rPr>
        <w:t xml:space="preserve">., U.S. District Court Judge </w:t>
      </w:r>
      <w:r w:rsidRPr="000F569F">
        <w:rPr>
          <w:color w:val="000000" w:themeColor="text1"/>
        </w:rPr>
        <w:t>Gloria M. Navarro,</w:t>
      </w:r>
      <w:r>
        <w:rPr>
          <w:color w:val="000000" w:themeColor="text1"/>
        </w:rPr>
        <w:t xml:space="preserve"> United States District Court for the District of Nevada, granted the employer’s motion for summary judgment; fired because of a weekend staffing shortage of ALS medics for one hour – a </w:t>
      </w:r>
      <w:r w:rsidRPr="00A92472">
        <w:rPr>
          <w:color w:val="000000" w:themeColor="text1"/>
        </w:rPr>
        <w:t>“critical system failure.”</w:t>
      </w:r>
      <w:r>
        <w:rPr>
          <w:color w:val="000000" w:themeColor="text1"/>
        </w:rPr>
        <w:t xml:space="preserve"> </w:t>
      </w:r>
      <w:r w:rsidRPr="00806927">
        <w:rPr>
          <w:color w:val="000000" w:themeColor="text1"/>
        </w:rPr>
        <w:t xml:space="preserve">Plaintiff </w:t>
      </w:r>
      <w:r>
        <w:rPr>
          <w:color w:val="000000" w:themeColor="text1"/>
        </w:rPr>
        <w:t>alleges</w:t>
      </w:r>
      <w:r w:rsidRPr="00806927">
        <w:rPr>
          <w:color w:val="000000" w:themeColor="text1"/>
        </w:rPr>
        <w:t xml:space="preserve"> he was terminated because </w:t>
      </w:r>
      <w:r>
        <w:rPr>
          <w:color w:val="000000" w:themeColor="text1"/>
        </w:rPr>
        <w:t xml:space="preserve">one month earlier </w:t>
      </w:r>
      <w:r w:rsidRPr="00806927">
        <w:rPr>
          <w:color w:val="000000" w:themeColor="text1"/>
        </w:rPr>
        <w:t>he confronted his supervisor, Kirk Schmitt, Regional Director of Southern Nevada, about two female coworkers</w:t>
      </w:r>
      <w:r>
        <w:rPr>
          <w:color w:val="000000" w:themeColor="text1"/>
        </w:rPr>
        <w:t xml:space="preserve"> uncomfortable with manager comments.  But Court referenced plaintiff’s deposition testimony -  he wasn’t making a formal report of sexual harassment complaints by two women, he was</w:t>
      </w:r>
      <w:r>
        <w:t xml:space="preserve"> merely trying to </w:t>
      </w:r>
      <w:r w:rsidRPr="00FF08F8">
        <w:t>“fix. . . a toxic work environment</w:t>
      </w:r>
      <w:r>
        <w:t xml:space="preserve">.” </w:t>
      </w:r>
      <w:hyperlink r:id="rId2055" w:history="1">
        <w:r w:rsidRPr="00A849F7">
          <w:rPr>
            <w:rStyle w:val="Hyperlink"/>
          </w:rPr>
          <w:t>https://public.fastcase.com/Jhe1Qn%2BmJndQYQU6z%2FeNm2IRLtoYkrU6PXL9o8jwzst%2FNdrzc21hLfx%2B7rIFE%2Fjg?utm_medium=email&amp;_hsenc=p2ANqtz--U5QylLiDrvLvgZPxLp1UD1XwB_7biW9lkq8qHdnYocPTAWXoAY4eWtL30hGAHlHHG6f150Lk3QwJZsSzIIPSSPKfBlQ&amp;_hsmi=226712652&amp;utm_content=226712652&amp;utm_source=hs_email</w:t>
        </w:r>
      </w:hyperlink>
      <w:r>
        <w:t xml:space="preserve"> </w:t>
      </w:r>
    </w:p>
    <w:p w14:paraId="2FDF3432" w14:textId="77777777" w:rsidR="00756ACB" w:rsidRDefault="00756ACB" w:rsidP="00756ACB">
      <w:pPr>
        <w:pStyle w:val="NoSpacing"/>
        <w:rPr>
          <w:color w:val="000000" w:themeColor="text1"/>
        </w:rPr>
      </w:pPr>
    </w:p>
    <w:p w14:paraId="20E23842" w14:textId="77777777" w:rsidR="00756ACB" w:rsidRDefault="00756ACB" w:rsidP="00756ACB">
      <w:pPr>
        <w:pStyle w:val="NoSpacing"/>
        <w:rPr>
          <w:color w:val="000000" w:themeColor="text1"/>
        </w:rPr>
      </w:pPr>
      <w:r>
        <w:rPr>
          <w:color w:val="000000" w:themeColor="text1"/>
        </w:rPr>
        <w:t xml:space="preserve">THE COURT HELD: </w:t>
      </w:r>
    </w:p>
    <w:p w14:paraId="21950A81" w14:textId="77777777" w:rsidR="00756ACB" w:rsidRDefault="00756ACB" w:rsidP="00756ACB">
      <w:pPr>
        <w:pStyle w:val="NoSpacing"/>
        <w:rPr>
          <w:color w:val="000000" w:themeColor="text1"/>
        </w:rPr>
      </w:pPr>
    </w:p>
    <w:p w14:paraId="6DC0B820" w14:textId="77777777" w:rsidR="00756ACB" w:rsidRDefault="00756ACB" w:rsidP="00756ACB">
      <w:pPr>
        <w:pStyle w:val="NoSpacing"/>
        <w:ind w:left="720"/>
      </w:pPr>
      <w:r>
        <w:rPr>
          <w:color w:val="000000" w:themeColor="text1"/>
        </w:rPr>
        <w:t xml:space="preserve">“Plaintiff’s job duties </w:t>
      </w:r>
      <w:r>
        <w:t>a</w:t>
      </w:r>
      <w:r w:rsidRPr="00F772E3">
        <w:t>s an Operations Manager, Plaintiff's job duties included working with the scheduling department and his team of operations supervisors to ensure that there was adequate employee coverage</w:t>
      </w:r>
      <w:r>
        <w:t xml:space="preserve"> for </w:t>
      </w:r>
      <w:r w:rsidRPr="00FB30E3">
        <w:t xml:space="preserve">has two locations in Las Vegas: </w:t>
      </w:r>
      <w:proofErr w:type="spellStart"/>
      <w:r w:rsidRPr="00FB30E3">
        <w:t>MedicWest</w:t>
      </w:r>
      <w:proofErr w:type="spellEnd"/>
      <w:r w:rsidRPr="00FB30E3">
        <w:t xml:space="preserve"> and American Medical Response (</w:t>
      </w:r>
      <w:r>
        <w:t>‘</w:t>
      </w:r>
      <w:r w:rsidRPr="00FB30E3">
        <w:t>AMR</w:t>
      </w:r>
      <w:r>
        <w:t>’</w:t>
      </w:r>
      <w:r w:rsidRPr="00FB30E3">
        <w:t>).</w:t>
      </w:r>
      <w:r>
        <w:t xml:space="preserve">  </w:t>
      </w:r>
    </w:p>
    <w:p w14:paraId="1564857C" w14:textId="77777777" w:rsidR="00756ACB" w:rsidRDefault="00756ACB" w:rsidP="00756ACB">
      <w:pPr>
        <w:pStyle w:val="NoSpacing"/>
        <w:ind w:left="720"/>
      </w:pPr>
    </w:p>
    <w:p w14:paraId="4C61A237" w14:textId="77777777" w:rsidR="00756ACB" w:rsidRDefault="00756ACB" w:rsidP="00756ACB">
      <w:pPr>
        <w:pStyle w:val="NoSpacing"/>
        <w:ind w:left="720"/>
      </w:pPr>
      <w:r>
        <w:lastRenderedPageBreak/>
        <w:t>***</w:t>
      </w:r>
    </w:p>
    <w:p w14:paraId="5898EC59" w14:textId="77777777" w:rsidR="00756ACB" w:rsidRDefault="00756ACB" w:rsidP="00756ACB">
      <w:pPr>
        <w:pStyle w:val="NoSpacing"/>
        <w:ind w:left="720"/>
      </w:pPr>
      <w:r w:rsidRPr="00211E94">
        <w:t xml:space="preserve">On September 25, 2023, Plaintiff had a conversation with a female coworker, Audra, who expressed to Plaintiff that she does not like Schmitt because he makes </w:t>
      </w:r>
      <w:r>
        <w:t>‘</w:t>
      </w:r>
      <w:r w:rsidRPr="00211E94">
        <w:t>comments that [are] sexist in nature,</w:t>
      </w:r>
      <w:r>
        <w:t>’</w:t>
      </w:r>
      <w:r w:rsidRPr="00211E94">
        <w:t xml:space="preserve"> and feels uncomfortable around him</w:t>
      </w:r>
      <w:r>
        <w:t xml:space="preserve">…. </w:t>
      </w:r>
      <w:r w:rsidRPr="00211E94">
        <w:t>Another female coworker, Stephanie, also expressed to Audra that she was uncomfortable being around Schmitt because of the sexist comments he makes</w:t>
      </w:r>
      <w:r>
        <w:t>…. Pla</w:t>
      </w:r>
      <w:r w:rsidRPr="00211E94">
        <w:t xml:space="preserve">intiff does not know what the sexist comments made were. </w:t>
      </w:r>
      <w:r w:rsidRPr="009B08C7">
        <w:t>But Plaintiff encouraged Audra to report the allegations to HR and told her to advise Stephanie to do the same.</w:t>
      </w:r>
    </w:p>
    <w:p w14:paraId="7DB00066" w14:textId="77777777" w:rsidR="00756ACB" w:rsidRDefault="00756ACB" w:rsidP="00756ACB">
      <w:pPr>
        <w:pStyle w:val="NoSpacing"/>
        <w:ind w:left="720"/>
      </w:pPr>
    </w:p>
    <w:p w14:paraId="640C42BD" w14:textId="77777777" w:rsidR="00756ACB" w:rsidRDefault="00756ACB" w:rsidP="00756ACB">
      <w:pPr>
        <w:pStyle w:val="NoSpacing"/>
        <w:ind w:left="720"/>
      </w:pPr>
      <w:r>
        <w:t>***</w:t>
      </w:r>
    </w:p>
    <w:p w14:paraId="456925E6" w14:textId="77777777" w:rsidR="00756ACB" w:rsidRDefault="00756ACB" w:rsidP="00756ACB">
      <w:pPr>
        <w:pStyle w:val="NoSpacing"/>
        <w:ind w:left="720"/>
      </w:pPr>
      <w:r>
        <w:t xml:space="preserve">[Two days later] </w:t>
      </w:r>
      <w:r w:rsidRPr="00B51821">
        <w:t>Plaintiff confronted Schmitt about the allegations two days after his conversation with Audra</w:t>
      </w:r>
      <w:r>
        <w:t xml:space="preserve">…. </w:t>
      </w:r>
      <w:r w:rsidRPr="00B51821">
        <w:t>Plaintiff also spoke with Schmitt about the way he generally spoke to people, both men and women</w:t>
      </w:r>
      <w:r>
        <w:t xml:space="preserve">…. </w:t>
      </w:r>
      <w:r w:rsidRPr="00B51821">
        <w:t>Plaintiff details that Schmitt was rude and condescending to a coworker, made another coworker cry, and raised his voice frequently</w:t>
      </w:r>
      <w:r>
        <w:t>….</w:t>
      </w:r>
      <w:r w:rsidRPr="00B51821">
        <w:t xml:space="preserve">Plaintiff's goal in speaking with Schmitt was to get him </w:t>
      </w:r>
      <w:r>
        <w:t>‘</w:t>
      </w:r>
      <w:r w:rsidRPr="00B51821">
        <w:t>to be a little bit more mindful of the interactions he had.</w:t>
      </w:r>
      <w:r>
        <w:t xml:space="preserve">’ </w:t>
      </w:r>
      <w:r w:rsidRPr="00B51821">
        <w:t xml:space="preserve">Plaintiff states that </w:t>
      </w:r>
      <w:r>
        <w:t>‘</w:t>
      </w:r>
      <w:r w:rsidRPr="00B51821">
        <w:t>the spirit of the conversation</w:t>
      </w:r>
      <w:r>
        <w:t>’</w:t>
      </w:r>
      <w:r w:rsidRPr="00B51821">
        <w:t xml:space="preserve"> with Schmitt was to </w:t>
      </w:r>
      <w:r>
        <w:t>‘</w:t>
      </w:r>
      <w:r w:rsidRPr="00B51821">
        <w:t>fix. . . a toxic work environment. . . [and] if there was any sort of inappropriate [sic] with the [sexist] comments, that was up for the corporate HR to discuss and investigate.</w:t>
      </w:r>
      <w:r>
        <w:t>’</w:t>
      </w:r>
    </w:p>
    <w:p w14:paraId="6DDFCF34" w14:textId="77777777" w:rsidR="00756ACB" w:rsidRDefault="00756ACB" w:rsidP="00756ACB">
      <w:pPr>
        <w:pStyle w:val="NoSpacing"/>
        <w:ind w:left="720"/>
      </w:pPr>
    </w:p>
    <w:p w14:paraId="3E1CF840" w14:textId="77777777" w:rsidR="00756ACB" w:rsidRDefault="00756ACB" w:rsidP="00756ACB">
      <w:pPr>
        <w:pStyle w:val="NoSpacing"/>
        <w:ind w:left="720"/>
      </w:pPr>
      <w:r>
        <w:t>***</w:t>
      </w:r>
    </w:p>
    <w:p w14:paraId="786C7A8D" w14:textId="77777777" w:rsidR="00756ACB" w:rsidRDefault="00756ACB" w:rsidP="00756ACB">
      <w:pPr>
        <w:pStyle w:val="NoSpacing"/>
        <w:ind w:left="720"/>
      </w:pPr>
      <w:r w:rsidRPr="00154A82">
        <w:t xml:space="preserve">Making an informal complaint to a supervisor can be considered a protected activity, </w:t>
      </w:r>
      <w:r w:rsidRPr="00154A82">
        <w:rPr>
          <w:i/>
          <w:iCs/>
        </w:rPr>
        <w:t>if</w:t>
      </w:r>
      <w:r w:rsidRPr="00154A82">
        <w:t xml:space="preserve"> Plaintiff was acting on a reasonable belief that an unlawful employment practice had occurred.</w:t>
      </w:r>
      <w:r>
        <w:t xml:space="preserve"> </w:t>
      </w:r>
      <w:r w:rsidRPr="00BA635F">
        <w:t>Indeed, Plaintiff did not know whether any unlawful employment practices had occurred, took no position on whether he thought an unlawful act occurred, and instead deferred to HR to investigate whether there was anything inappropriate about the sexist comments. Thus, Defendant meets its initial burden of negating an essential element of Plaintiff's claim-the element of protected activity.</w:t>
      </w:r>
      <w:r>
        <w:t>”</w:t>
      </w:r>
    </w:p>
    <w:p w14:paraId="74A6621D" w14:textId="77777777" w:rsidR="00756ACB" w:rsidRDefault="00756ACB" w:rsidP="00756ACB">
      <w:pPr>
        <w:pStyle w:val="NoSpacing"/>
        <w:ind w:left="720"/>
      </w:pPr>
    </w:p>
    <w:p w14:paraId="2E0EEC25" w14:textId="77777777" w:rsidR="00756ACB" w:rsidRPr="00BA635F" w:rsidRDefault="00756ACB" w:rsidP="00756ACB">
      <w:pPr>
        <w:rPr>
          <w:b/>
          <w:bCs/>
        </w:rPr>
      </w:pPr>
      <w:r>
        <w:rPr>
          <w:b/>
        </w:rPr>
        <w:t xml:space="preserve">Legal lesson learned:  Employer terminated plaintiff for gross misconduct. </w:t>
      </w:r>
    </w:p>
    <w:p w14:paraId="22AD614B" w14:textId="77777777" w:rsidR="00756ACB" w:rsidRDefault="00756ACB" w:rsidP="002B1283">
      <w:pPr>
        <w:rPr>
          <w:rFonts w:ascii="Arial Black" w:hAnsi="Arial Black"/>
          <w:b/>
          <w:bCs/>
          <w:sz w:val="28"/>
          <w:szCs w:val="28"/>
        </w:rPr>
      </w:pPr>
    </w:p>
    <w:p w14:paraId="38C4BEA5" w14:textId="77777777" w:rsidR="001150EA" w:rsidRDefault="001150EA" w:rsidP="00004498">
      <w:pPr>
        <w:rPr>
          <w:rFonts w:ascii="Arial Black" w:hAnsi="Arial Black"/>
          <w:b/>
          <w:bCs/>
          <w:sz w:val="24"/>
          <w:szCs w:val="24"/>
        </w:rPr>
      </w:pPr>
    </w:p>
    <w:p w14:paraId="1FC16693" w14:textId="77777777" w:rsidR="001150EA" w:rsidRDefault="001150EA" w:rsidP="00004498">
      <w:pPr>
        <w:rPr>
          <w:rFonts w:ascii="Arial Black" w:hAnsi="Arial Black"/>
          <w:b/>
          <w:bCs/>
          <w:sz w:val="24"/>
          <w:szCs w:val="24"/>
        </w:rPr>
      </w:pPr>
    </w:p>
    <w:p w14:paraId="6F9AB0E4" w14:textId="77777777" w:rsidR="001150EA" w:rsidRDefault="001150EA" w:rsidP="00004498">
      <w:pPr>
        <w:rPr>
          <w:rFonts w:ascii="Arial Black" w:hAnsi="Arial Black"/>
          <w:b/>
          <w:bCs/>
          <w:sz w:val="24"/>
          <w:szCs w:val="24"/>
        </w:rPr>
      </w:pPr>
    </w:p>
    <w:p w14:paraId="3C30CCCA" w14:textId="5988C92D" w:rsidR="00B170D7" w:rsidRDefault="00B170D7" w:rsidP="00004498">
      <w:pPr>
        <w:rPr>
          <w:rFonts w:ascii="Arial Black" w:hAnsi="Arial Black"/>
          <w:b/>
          <w:bCs/>
          <w:sz w:val="24"/>
          <w:szCs w:val="24"/>
        </w:rPr>
      </w:pPr>
      <w:r>
        <w:rPr>
          <w:rFonts w:ascii="Arial Black" w:hAnsi="Arial Black"/>
          <w:b/>
          <w:bCs/>
          <w:sz w:val="24"/>
          <w:szCs w:val="24"/>
        </w:rPr>
        <w:t>13-</w:t>
      </w:r>
      <w:r w:rsidR="009256C3">
        <w:rPr>
          <w:rFonts w:ascii="Arial Black" w:hAnsi="Arial Black"/>
          <w:b/>
          <w:bCs/>
          <w:sz w:val="24"/>
          <w:szCs w:val="24"/>
        </w:rPr>
        <w:t>252</w:t>
      </w:r>
    </w:p>
    <w:p w14:paraId="00C9DBE0" w14:textId="77777777" w:rsidR="00DD2FCE" w:rsidRPr="00226169" w:rsidRDefault="00DD2FCE" w:rsidP="00DD2FCE">
      <w:pPr>
        <w:pStyle w:val="NoSpacing"/>
        <w:rPr>
          <w:rFonts w:ascii="Arial Black" w:hAnsi="Arial Black"/>
          <w:sz w:val="28"/>
          <w:szCs w:val="28"/>
        </w:rPr>
      </w:pPr>
      <w:r>
        <w:rPr>
          <w:rFonts w:ascii="Arial Black" w:hAnsi="Arial Black"/>
          <w:sz w:val="28"/>
          <w:szCs w:val="28"/>
        </w:rPr>
        <w:t xml:space="preserve">OK: COMBATIVE PT - “POSITIONAL ASPHYXIA” – DIED </w:t>
      </w:r>
    </w:p>
    <w:p w14:paraId="5B04D20D" w14:textId="77777777" w:rsidR="00DD2FCE" w:rsidRDefault="00DD2FCE" w:rsidP="00DD2FCE">
      <w:pPr>
        <w:pStyle w:val="NoSpacing"/>
        <w:ind w:left="720"/>
      </w:pPr>
    </w:p>
    <w:p w14:paraId="62FB26F8" w14:textId="77777777" w:rsidR="00DD2FCE" w:rsidRDefault="00DD2FCE" w:rsidP="00DD2FCE">
      <w:pPr>
        <w:pStyle w:val="NoSpacing"/>
      </w:pPr>
      <w:r>
        <w:t xml:space="preserve">On March 18, 2026, in </w:t>
      </w:r>
      <w:r w:rsidRPr="00C503C4">
        <w:rPr>
          <w:u w:val="single"/>
        </w:rPr>
        <w:t>Charles Kaleb Vanlandingham, Administrator for the Estate of Charles Lamar Vanlandingham v. The City of Oklahoma City, et al.</w:t>
      </w:r>
      <w:r>
        <w:t xml:space="preserve">, U.S. District Court Judge Timothy D. </w:t>
      </w:r>
      <w:proofErr w:type="spellStart"/>
      <w:r>
        <w:t>DeGiusti</w:t>
      </w:r>
      <w:proofErr w:type="spellEnd"/>
      <w:r>
        <w:t xml:space="preserve">, United States District Court for Western District of Oklahoma, denied the defense motion for summary judgment, finding that there was a lack of training by police officers and EMS/fire </w:t>
      </w:r>
      <w:r w:rsidRPr="009C398A">
        <w:t>of positional asphyxia</w:t>
      </w:r>
      <w:r>
        <w:t>. There is “</w:t>
      </w:r>
      <w:r w:rsidRPr="00BD5698">
        <w:t>sufficient evidence for a jury to conclude that the City acted with deliberate indifference.</w:t>
      </w:r>
      <w:r>
        <w:t xml:space="preserve">”  Court did </w:t>
      </w:r>
      <w:proofErr w:type="gramStart"/>
      <w:r>
        <w:t>dismiss</w:t>
      </w:r>
      <w:proofErr w:type="gramEnd"/>
      <w:r>
        <w:t xml:space="preserve"> claims that Officer Lee violated state negligence law. “</w:t>
      </w:r>
      <w:r w:rsidRPr="00854B99">
        <w:t>The body-worn camera footage shows Officer Lee entering the home, placing handcuffs on Mr. Vanlandingham, and placing his weight and shin on Plaintiff's back to restrain him. The Court finds these actions consistent with an officer taking an individual into protective custody.</w:t>
      </w:r>
      <w:r>
        <w:t>”</w:t>
      </w:r>
    </w:p>
    <w:p w14:paraId="5812F320" w14:textId="77777777" w:rsidR="00DD2FCE" w:rsidRDefault="00DD2FCE" w:rsidP="00DD2FCE">
      <w:pPr>
        <w:pStyle w:val="NoSpacing"/>
      </w:pPr>
      <w:hyperlink r:id="rId2056" w:history="1">
        <w:r w:rsidRPr="004C7C67">
          <w:rPr>
            <w:rStyle w:val="Hyperlink"/>
          </w:rPr>
          <w:t>https://public.fastcase.com/Jhe1Qn%2BmJndQYQU6z%2FeNm94x%2BjtPzHFQX2c8S%2Bx9Phdmrv4s2ioOEI%2FF1Ai%2FXC71?utm_medium=email&amp;_hsenc=p2ANqtz-9AeMkmBBV7ab-HOOGxYui1F4KaPFQMcLoSV_UpG8Q7nnWqxWkhxKerqRyhPDwCCdLiDrxj3K5C-zreoAE1nVCtmbRsSQ&amp;_hsmi=226712652&amp;utm_content=226712652&amp;utm_source=hs_email</w:t>
        </w:r>
      </w:hyperlink>
      <w:r>
        <w:t xml:space="preserve"> </w:t>
      </w:r>
    </w:p>
    <w:p w14:paraId="6A05F634" w14:textId="77777777" w:rsidR="00DD2FCE" w:rsidRDefault="00DD2FCE" w:rsidP="00DD2FCE">
      <w:pPr>
        <w:pStyle w:val="NoSpacing"/>
      </w:pPr>
    </w:p>
    <w:p w14:paraId="01C31218" w14:textId="77777777" w:rsidR="00DD2FCE" w:rsidRDefault="00DD2FCE" w:rsidP="00DD2FCE">
      <w:pPr>
        <w:pStyle w:val="NoSpacing"/>
      </w:pPr>
      <w:r>
        <w:lastRenderedPageBreak/>
        <w:t>THE COURT HELD:  “</w:t>
      </w:r>
      <w:r w:rsidRPr="00E033CA">
        <w:t>The Court finds there is evidence from which a reasonable jury could conclude that the need for additional training was so obvious as to support a finding of deliberate indifference. Although Defendant offers extensive evidence regarding its training for officers that has been accredited by a national accrediting organization, Plaintiff provides evidence that the OCPD has known of the dangers of positional asphyxia and has failed to update or change their use of force policy.</w:t>
      </w:r>
    </w:p>
    <w:p w14:paraId="3399D718" w14:textId="77777777" w:rsidR="00DD2FCE" w:rsidRDefault="00DD2FCE" w:rsidP="00DD2FCE">
      <w:pPr>
        <w:pStyle w:val="NoSpacing"/>
      </w:pPr>
    </w:p>
    <w:p w14:paraId="2FDD8C4A" w14:textId="77777777" w:rsidR="00DD2FCE" w:rsidRDefault="00DD2FCE" w:rsidP="00DD2FCE">
      <w:pPr>
        <w:pStyle w:val="NoSpacing"/>
      </w:pPr>
      <w:r>
        <w:t>***</w:t>
      </w:r>
    </w:p>
    <w:p w14:paraId="615BB1D2" w14:textId="77777777" w:rsidR="00DD2FCE" w:rsidRDefault="00DD2FCE" w:rsidP="00DD2FCE">
      <w:pPr>
        <w:pStyle w:val="NoSpacing"/>
      </w:pPr>
    </w:p>
    <w:p w14:paraId="15C1B54F" w14:textId="77777777" w:rsidR="00DD2FCE" w:rsidRDefault="00DD2FCE" w:rsidP="00DD2FCE">
      <w:pPr>
        <w:pStyle w:val="NoSpacing"/>
      </w:pPr>
      <w:r w:rsidRPr="00CD137A">
        <w:t>On September 15, 2019, at approximately 3:54 a.m., Theresa Hancock called 911 seeking help for her boyfriend, Charles Vanlandingham, who was having a medical emergency</w:t>
      </w:r>
      <w:r>
        <w:t xml:space="preserve"> ….</w:t>
      </w:r>
      <w:r w:rsidRPr="00CD137A">
        <w:t>Paramedics employed by American Medical Response Ambulance Service were dispatched to the home where they found Mr. Vanlandingham on a bed</w:t>
      </w:r>
      <w:r>
        <w:t xml:space="preserve"> ….</w:t>
      </w:r>
      <w:r w:rsidRPr="00CD137A">
        <w:t>One of the paramedics attempted to move him from the bed to a cot</w:t>
      </w:r>
      <w:r>
        <w:t>…. it i</w:t>
      </w:r>
      <w:r w:rsidRPr="00CD137A">
        <w:t>s undisputed that at some point during this attempt, the paramedic pushed his panic button and sent another paramedic to the ambulance to call for assistance from both the fire department and Oklahoma City police officers</w:t>
      </w:r>
      <w:r>
        <w:t xml:space="preserve">…. </w:t>
      </w:r>
      <w:r w:rsidRPr="00CD137A">
        <w:t>Shortly thereafter, four firefighters arrived at the scene</w:t>
      </w:r>
      <w:r>
        <w:t xml:space="preserve"> … t</w:t>
      </w:r>
      <w:r w:rsidRPr="00CD137A">
        <w:t>he first firefighter entered the home and found the paramedic struggling with Mr. Vanlandingham</w:t>
      </w:r>
      <w:r>
        <w:t xml:space="preserve">… </w:t>
      </w:r>
      <w:r w:rsidRPr="00CD137A">
        <w:t>After several minutes, the firefighter placed Mr. Vanlandingham on the ground in a prone position</w:t>
      </w:r>
      <w:r>
        <w:t xml:space="preserve">…. </w:t>
      </w:r>
      <w:r w:rsidRPr="00CD137A">
        <w:t>Upon entering the home, Officer Lee went to the room where Mr. Vanlandingham was located and saw him wheezing and experiencing labored breaching</w:t>
      </w:r>
      <w:r>
        <w:t xml:space="preserve">…. </w:t>
      </w:r>
      <w:r w:rsidRPr="00CD137A">
        <w:t>A paramedic asked Officer Lee if he had a set of handcuffs, to which Officer Lee immediately responded by securing two sets of handcuffs on Mr. Vanlandingham</w:t>
      </w:r>
      <w:r>
        <w:t xml:space="preserve"> …. </w:t>
      </w:r>
      <w:r w:rsidRPr="00CD137A">
        <w:t>Although someone on the scene asked whether soft restraints should be used, the paramedic stated that it was his call and he wanted Mr. Vanlandingham to remain handcuffed until he was in the ambulance</w:t>
      </w:r>
      <w:r>
        <w:t xml:space="preserve">…. </w:t>
      </w:r>
      <w:r w:rsidRPr="00CD137A">
        <w:t>Officer Lee told dispatch that he was in custody but needed the assistance of another officer</w:t>
      </w:r>
      <w:r>
        <w:t xml:space="preserve">…. </w:t>
      </w:r>
      <w:r w:rsidRPr="00CD137A">
        <w:t>He proceeded to place his shin across Mr. Vanlandingham's back while four other firefighters held him down</w:t>
      </w:r>
      <w:r>
        <w:t xml:space="preserve">…. </w:t>
      </w:r>
      <w:r w:rsidRPr="00CD137A">
        <w:t>Officer Lee estimates that he placed 10% to 20% of his total body weight on Mr. Vanlandingham for approximately 90 seconds</w:t>
      </w:r>
      <w:r>
        <w:t xml:space="preserve">…. </w:t>
      </w:r>
      <w:r w:rsidRPr="00CD137A">
        <w:t xml:space="preserve"> Another firefighter was holding and bending Mr. Vanlandingham's right leg to his buttocks while his other leg was held down by another firefighter</w:t>
      </w:r>
      <w:r>
        <w:t xml:space="preserve"> …. </w:t>
      </w:r>
      <w:r w:rsidRPr="00CD137A">
        <w:t>While Mr. Vanlandingham was still handcuffed, the paramedics administered 5mg of Versed, and within seconds he became unresponsive</w:t>
      </w:r>
      <w:r>
        <w:t xml:space="preserve">…. </w:t>
      </w:r>
      <w:r w:rsidRPr="00CD137A">
        <w:t>Officer Lee removed the handcuffs and left the room</w:t>
      </w:r>
      <w:r>
        <w:t xml:space="preserve"> …. </w:t>
      </w:r>
      <w:r w:rsidRPr="00CD137A">
        <w:t>Paramedics then began to render emergency aid for approximately 30 minutes, but it was unsuccessful and Mr. Vanlandingham was pronounced dead at the scene.</w:t>
      </w:r>
      <w:r>
        <w:t>”</w:t>
      </w:r>
    </w:p>
    <w:p w14:paraId="43556061" w14:textId="77777777" w:rsidR="00DD2FCE" w:rsidRDefault="00DD2FCE" w:rsidP="00DD2FCE">
      <w:pPr>
        <w:pStyle w:val="NoSpacing"/>
      </w:pPr>
    </w:p>
    <w:p w14:paraId="3D5F4A6C" w14:textId="77777777" w:rsidR="00DD2FCE" w:rsidRPr="00846D95" w:rsidRDefault="00DD2FCE" w:rsidP="00DD2FCE">
      <w:pPr>
        <w:pStyle w:val="NoSpacing"/>
        <w:rPr>
          <w:b/>
          <w:bCs/>
        </w:rPr>
      </w:pPr>
      <w:r>
        <w:rPr>
          <w:b/>
        </w:rPr>
        <w:t xml:space="preserve">Legal lesson learned: EMS should review their protocols, and conduct joint training with law enforcement, on handling a combative patient. </w:t>
      </w:r>
    </w:p>
    <w:p w14:paraId="0BB6DB44" w14:textId="77777777" w:rsidR="00DD2FCE" w:rsidRPr="00CD137A" w:rsidRDefault="00DD2FCE" w:rsidP="00DD2FCE">
      <w:pPr>
        <w:pStyle w:val="NoSpacing"/>
      </w:pPr>
    </w:p>
    <w:p w14:paraId="010684DE" w14:textId="77777777" w:rsidR="00DD2FCE" w:rsidRPr="00576F3F" w:rsidRDefault="00DD2FCE" w:rsidP="00DD2FCE">
      <w:pPr>
        <w:pStyle w:val="NoSpacing"/>
        <w:ind w:left="720"/>
      </w:pPr>
      <w:r>
        <w:t xml:space="preserve">Note: See 2025 YouTube video: </w:t>
      </w:r>
      <w:r w:rsidRPr="00576F3F">
        <w:t xml:space="preserve">“What Is Positional Asphyxia </w:t>
      </w:r>
      <w:proofErr w:type="gramStart"/>
      <w:r w:rsidRPr="00576F3F">
        <w:t>And</w:t>
      </w:r>
      <w:proofErr w:type="gramEnd"/>
      <w:r w:rsidRPr="00576F3F">
        <w:t xml:space="preserve"> How </w:t>
      </w:r>
      <w:proofErr w:type="gramStart"/>
      <w:r w:rsidRPr="00576F3F">
        <w:t>To</w:t>
      </w:r>
      <w:proofErr w:type="gramEnd"/>
      <w:r w:rsidRPr="00576F3F">
        <w:t xml:space="preserve"> Prevent It? - Law Enforcement Insider.”</w:t>
      </w:r>
      <w:r>
        <w:t xml:space="preserve"> </w:t>
      </w:r>
      <w:hyperlink r:id="rId2057" w:history="1">
        <w:r w:rsidRPr="004C7C67">
          <w:rPr>
            <w:rStyle w:val="Hyperlink"/>
          </w:rPr>
          <w:t>https://www.youtube.com/watch?v=_LFgzOE_WU8</w:t>
        </w:r>
      </w:hyperlink>
      <w:r>
        <w:t xml:space="preserve"> </w:t>
      </w:r>
    </w:p>
    <w:p w14:paraId="7223DEDC" w14:textId="77777777" w:rsidR="00DD2FCE" w:rsidRPr="00576F3F" w:rsidRDefault="00DD2FCE" w:rsidP="00DD2FCE">
      <w:pPr>
        <w:pStyle w:val="NoSpacing"/>
        <w:ind w:left="720"/>
      </w:pPr>
    </w:p>
    <w:p w14:paraId="65299030" w14:textId="77777777" w:rsidR="00DD2FCE" w:rsidRDefault="00DD2FCE" w:rsidP="00DD2FCE">
      <w:pPr>
        <w:pStyle w:val="NoSpacing"/>
        <w:ind w:left="720"/>
      </w:pPr>
      <w:r>
        <w:t>See also U.S. Department of Justice June 1995 bulletin: “</w:t>
      </w:r>
      <w:r w:rsidRPr="00C31F2D">
        <w:t>Positional Asphyxia—Sudden Death</w:t>
      </w:r>
      <w:r>
        <w:t xml:space="preserve">.” </w:t>
      </w:r>
      <w:hyperlink r:id="rId2058" w:history="1">
        <w:r w:rsidRPr="004C7C67">
          <w:rPr>
            <w:rStyle w:val="Hyperlink"/>
          </w:rPr>
          <w:t>https://www.ojp.gov/pdffiles/posasph.pdf</w:t>
        </w:r>
      </w:hyperlink>
      <w:r>
        <w:t xml:space="preserve"> </w:t>
      </w:r>
    </w:p>
    <w:p w14:paraId="068D66F8" w14:textId="77777777" w:rsidR="00DD2FCE" w:rsidRDefault="00DD2FCE" w:rsidP="00DD2FCE">
      <w:pPr>
        <w:pStyle w:val="NoSpacing"/>
      </w:pPr>
    </w:p>
    <w:p w14:paraId="79B3F049" w14:textId="77777777" w:rsidR="00DD2FCE" w:rsidRDefault="00DD2FCE" w:rsidP="00DD2FCE">
      <w:pPr>
        <w:pStyle w:val="NoSpacing"/>
      </w:pPr>
    </w:p>
    <w:p w14:paraId="34A9565A" w14:textId="77777777" w:rsidR="00B170D7" w:rsidRDefault="00B170D7" w:rsidP="00004498">
      <w:pPr>
        <w:rPr>
          <w:rFonts w:ascii="Arial Black" w:hAnsi="Arial Black"/>
          <w:b/>
          <w:bCs/>
          <w:sz w:val="24"/>
          <w:szCs w:val="24"/>
        </w:rPr>
      </w:pPr>
    </w:p>
    <w:p w14:paraId="6DE3A8F7" w14:textId="3633BCF4" w:rsidR="00DD2FCE" w:rsidRDefault="00DD2FCE" w:rsidP="00004498">
      <w:pPr>
        <w:rPr>
          <w:rFonts w:ascii="Arial Black" w:hAnsi="Arial Black"/>
          <w:b/>
          <w:bCs/>
          <w:sz w:val="24"/>
          <w:szCs w:val="24"/>
        </w:rPr>
      </w:pPr>
      <w:r>
        <w:rPr>
          <w:rFonts w:ascii="Arial Black" w:hAnsi="Arial Black"/>
          <w:b/>
          <w:bCs/>
          <w:sz w:val="24"/>
          <w:szCs w:val="24"/>
        </w:rPr>
        <w:t>13-</w:t>
      </w:r>
      <w:r w:rsidR="009256C3">
        <w:rPr>
          <w:rFonts w:ascii="Arial Black" w:hAnsi="Arial Black"/>
          <w:b/>
          <w:bCs/>
          <w:sz w:val="24"/>
          <w:szCs w:val="24"/>
        </w:rPr>
        <w:t>251</w:t>
      </w:r>
    </w:p>
    <w:p w14:paraId="018D5317" w14:textId="77777777" w:rsidR="00552D25" w:rsidRPr="00C15F7A" w:rsidRDefault="00552D25" w:rsidP="00552D25">
      <w:pPr>
        <w:pStyle w:val="NoSpacing"/>
        <w:rPr>
          <w:rFonts w:ascii="Arial Black" w:hAnsi="Arial Black"/>
          <w:sz w:val="28"/>
          <w:szCs w:val="28"/>
        </w:rPr>
      </w:pPr>
      <w:r>
        <w:rPr>
          <w:rFonts w:ascii="Arial Black" w:hAnsi="Arial Black"/>
          <w:sz w:val="28"/>
          <w:szCs w:val="28"/>
        </w:rPr>
        <w:t xml:space="preserve">MN: PT TOLD MEDIC USING HEROIN – RUN RPT ADMISSIBLE </w:t>
      </w:r>
    </w:p>
    <w:p w14:paraId="25B94484" w14:textId="77777777" w:rsidR="00552D25" w:rsidRDefault="00552D25" w:rsidP="00552D25">
      <w:pPr>
        <w:pStyle w:val="NoSpacing"/>
      </w:pPr>
    </w:p>
    <w:p w14:paraId="4F864768" w14:textId="77777777" w:rsidR="00552D25" w:rsidRDefault="00552D25" w:rsidP="00552D25">
      <w:pPr>
        <w:pStyle w:val="NoSpacing"/>
      </w:pPr>
      <w:r>
        <w:t xml:space="preserve">On March 18, 2026, in </w:t>
      </w:r>
      <w:r w:rsidRPr="005442BF">
        <w:rPr>
          <w:u w:val="single"/>
        </w:rPr>
        <w:t>State of Minnesota v. Anthony Richard Smeby</w:t>
      </w:r>
      <w:r>
        <w:t xml:space="preserve">, the </w:t>
      </w:r>
      <w:r w:rsidRPr="00454086">
        <w:t>Supreme Court of Minnesota</w:t>
      </w:r>
      <w:r>
        <w:t xml:space="preserve"> held (6 to 1) that the trial court judge properly denied the defendant’s motion to suppress the EMS run record confirming that prior to the three-car crash Smeby told the paramedics and his girlfriend that he had used heroin. The jury convicted </w:t>
      </w:r>
      <w:proofErr w:type="gramStart"/>
      <w:r>
        <w:t>him</w:t>
      </w:r>
      <w:proofErr w:type="gramEnd"/>
      <w:r>
        <w:t xml:space="preserve"> driving while under the influence of a controlled substance.   The Court of Appeals rejected Smeby’s argument on appeal that the disclosure of his statements to the paramedics and his girlfriend violated the physician-patient privilege statute; holding that “paramedics are categorically excluded from the</w:t>
      </w:r>
    </w:p>
    <w:p w14:paraId="6D6E42BF" w14:textId="77777777" w:rsidR="00552D25" w:rsidRDefault="00552D25" w:rsidP="00552D25">
      <w:pPr>
        <w:pStyle w:val="NoSpacing"/>
      </w:pPr>
      <w:r>
        <w:lastRenderedPageBreak/>
        <w:t xml:space="preserve">physician-patient privilege statute” since EMS not mentioned in the statute.  Minnesota Supreme Court clarified that if EMS were performing activities are the specific direction of a physician [such as in Emergency Department] that a defendant’s comments about his heroin use could be privileged. </w:t>
      </w:r>
      <w:hyperlink r:id="rId2059" w:history="1">
        <w:r w:rsidRPr="004C7C67">
          <w:rPr>
            <w:rStyle w:val="Hyperlink"/>
          </w:rPr>
          <w:t>https://cases.justia.com/minnesota/supreme-court/2026-a23-0516.pdf?ts=1773911973</w:t>
        </w:r>
      </w:hyperlink>
      <w:r>
        <w:t xml:space="preserve"> </w:t>
      </w:r>
    </w:p>
    <w:p w14:paraId="3A03995D" w14:textId="77777777" w:rsidR="00552D25" w:rsidRDefault="00552D25" w:rsidP="00552D25">
      <w:pPr>
        <w:pStyle w:val="NoSpacing"/>
      </w:pPr>
      <w:r>
        <w:t xml:space="preserve"> </w:t>
      </w:r>
    </w:p>
    <w:p w14:paraId="371F67EB" w14:textId="77777777" w:rsidR="00552D25" w:rsidRDefault="00552D25" w:rsidP="00552D25">
      <w:pPr>
        <w:pStyle w:val="NoSpacing"/>
      </w:pPr>
    </w:p>
    <w:p w14:paraId="4AE261C3" w14:textId="77777777" w:rsidR="00552D25" w:rsidRDefault="00552D25" w:rsidP="00552D25">
      <w:pPr>
        <w:pStyle w:val="NoSpacing"/>
      </w:pPr>
      <w:r>
        <w:t>THE COURT HELD: “In August 2021, law enforcement officers responded to the scene of a three-car accident and found appellant Anthony Richard Smeby unconscious behind the wheel of</w:t>
      </w:r>
    </w:p>
    <w:p w14:paraId="69CD42F0" w14:textId="77777777" w:rsidR="00552D25" w:rsidRDefault="00552D25" w:rsidP="00552D25">
      <w:pPr>
        <w:pStyle w:val="NoSpacing"/>
      </w:pPr>
      <w:r>
        <w:t>one of the cars. After an officer administered two doses of Narcan,1 Smeby regained</w:t>
      </w:r>
    </w:p>
    <w:p w14:paraId="028DEDDF" w14:textId="77777777" w:rsidR="00552D25" w:rsidRDefault="00552D25" w:rsidP="00552D25">
      <w:pPr>
        <w:pStyle w:val="NoSpacing"/>
      </w:pPr>
      <w:r>
        <w:t>consciousness. Ambulance paramedics transported Smeby to a hospital. A district court</w:t>
      </w:r>
    </w:p>
    <w:p w14:paraId="19EB4115" w14:textId="77777777" w:rsidR="00552D25" w:rsidRDefault="00552D25" w:rsidP="00552D25">
      <w:pPr>
        <w:pStyle w:val="NoSpacing"/>
      </w:pPr>
      <w:r>
        <w:t>later signed a search warrant presented by law enforcement that authorized the State to</w:t>
      </w:r>
    </w:p>
    <w:p w14:paraId="712C7787" w14:textId="77777777" w:rsidR="00552D25" w:rsidRDefault="00552D25" w:rsidP="00552D25">
      <w:pPr>
        <w:pStyle w:val="NoSpacing"/>
      </w:pPr>
      <w:r>
        <w:t>search the medical records and ambulance run sheets related to Smeby from the date of the</w:t>
      </w:r>
    </w:p>
    <w:p w14:paraId="51F27007" w14:textId="77777777" w:rsidR="00552D25" w:rsidRDefault="00552D25" w:rsidP="00552D25">
      <w:pPr>
        <w:pStyle w:val="NoSpacing"/>
      </w:pPr>
      <w:r>
        <w:t>accident. The search revealed that Smeby told the paramedics and his girlfriend that he</w:t>
      </w:r>
    </w:p>
    <w:p w14:paraId="5CC08B4B" w14:textId="77777777" w:rsidR="00552D25" w:rsidRDefault="00552D25" w:rsidP="00552D25">
      <w:pPr>
        <w:pStyle w:val="NoSpacing"/>
      </w:pPr>
      <w:r>
        <w:t>had used heroin.</w:t>
      </w:r>
    </w:p>
    <w:p w14:paraId="61AC9269" w14:textId="77777777" w:rsidR="00552D25" w:rsidRDefault="00552D25" w:rsidP="00552D25">
      <w:pPr>
        <w:pStyle w:val="NoSpacing"/>
      </w:pPr>
    </w:p>
    <w:p w14:paraId="3479C201" w14:textId="77777777" w:rsidR="00552D25" w:rsidRDefault="00552D25" w:rsidP="00552D25">
      <w:pPr>
        <w:pStyle w:val="NoSpacing"/>
      </w:pPr>
      <w:r>
        <w:t>***</w:t>
      </w:r>
    </w:p>
    <w:p w14:paraId="3E145D81" w14:textId="77777777" w:rsidR="00552D25" w:rsidRDefault="00552D25" w:rsidP="00552D25">
      <w:pPr>
        <w:pStyle w:val="NoSpacing"/>
      </w:pPr>
      <w:r>
        <w:t>We now clarify that Minn. Stat. § 595.02, subd. 1(d), applies to communications between paramedics and patients if the paramedic is acting ‘under the direction’ of the treating physician such that there is an agency relationship with the physician….</w:t>
      </w:r>
    </w:p>
    <w:p w14:paraId="2E540018" w14:textId="77777777" w:rsidR="00552D25" w:rsidRDefault="00552D25" w:rsidP="00552D25">
      <w:pPr>
        <w:pStyle w:val="NoSpacing"/>
      </w:pPr>
    </w:p>
    <w:p w14:paraId="67947793" w14:textId="77777777" w:rsidR="00552D25" w:rsidRDefault="00552D25" w:rsidP="00552D25">
      <w:pPr>
        <w:pStyle w:val="NoSpacing"/>
      </w:pPr>
      <w:r>
        <w:t>The same is true for Smeby’s girlfriend’s statements to the nurse about his heroin use. For the reasons already explained, those statements are not protected by the physician-patient privilege or the nurse-patient privilege. The inclusion of the girlfriend’s comment in Smeby’s medical record does not render the girlfriend’s comment privileged.”</w:t>
      </w:r>
    </w:p>
    <w:p w14:paraId="45BC40F5" w14:textId="77777777" w:rsidR="00552D25" w:rsidRDefault="00552D25" w:rsidP="00552D25">
      <w:pPr>
        <w:pStyle w:val="NoSpacing"/>
      </w:pPr>
    </w:p>
    <w:p w14:paraId="6214C8D3" w14:textId="77777777" w:rsidR="00552D25" w:rsidRPr="00273001" w:rsidRDefault="00552D25" w:rsidP="00552D25">
      <w:pPr>
        <w:pStyle w:val="NoSpacing"/>
        <w:rPr>
          <w:b/>
          <w:bCs/>
        </w:rPr>
      </w:pPr>
      <w:r w:rsidRPr="00273001">
        <w:rPr>
          <w:b/>
        </w:rPr>
        <w:t xml:space="preserve">Legal lesson learned: </w:t>
      </w:r>
      <w:r>
        <w:rPr>
          <w:b/>
        </w:rPr>
        <w:t xml:space="preserve">EMS wisely documented in EMS run report that both the patient and his girlfriend stated he was using heroin prior to crash.  </w:t>
      </w:r>
    </w:p>
    <w:p w14:paraId="52692DFA" w14:textId="77777777" w:rsidR="00552D25" w:rsidRDefault="00552D25" w:rsidP="00552D25">
      <w:pPr>
        <w:pStyle w:val="NoSpacing"/>
      </w:pPr>
    </w:p>
    <w:p w14:paraId="2815BC2B" w14:textId="77777777" w:rsidR="00552D25" w:rsidRDefault="00552D25" w:rsidP="00552D25">
      <w:pPr>
        <w:pStyle w:val="NoSpacing"/>
      </w:pPr>
      <w:r>
        <w:tab/>
        <w:t>Note:  See the Minnesota privilege statue.</w:t>
      </w:r>
    </w:p>
    <w:p w14:paraId="64E08A1F" w14:textId="77777777" w:rsidR="00552D25" w:rsidRDefault="00552D25" w:rsidP="00552D25">
      <w:pPr>
        <w:pStyle w:val="NoSpacing"/>
        <w:ind w:firstLine="720"/>
      </w:pPr>
      <w:hyperlink r:id="rId2060" w:history="1">
        <w:r w:rsidRPr="004C7C67">
          <w:rPr>
            <w:rStyle w:val="Hyperlink"/>
          </w:rPr>
          <w:t>https://www.revisor.mn.gov/statutes/cite/595.02</w:t>
        </w:r>
      </w:hyperlink>
      <w:r>
        <w:t xml:space="preserve"> </w:t>
      </w:r>
    </w:p>
    <w:p w14:paraId="151FB290" w14:textId="77777777" w:rsidR="00552D25" w:rsidRDefault="00552D25" w:rsidP="00552D25">
      <w:pPr>
        <w:pStyle w:val="NoSpacing"/>
      </w:pPr>
    </w:p>
    <w:p w14:paraId="7C11F5FB" w14:textId="77777777" w:rsidR="00552D25" w:rsidRDefault="00552D25" w:rsidP="00552D25">
      <w:pPr>
        <w:pStyle w:val="NoSpacing"/>
        <w:ind w:left="720"/>
      </w:pPr>
      <w:r>
        <w:t>“</w:t>
      </w:r>
      <w:r w:rsidRPr="008235AE">
        <w:t>(d) A licensed physician or surgeon, dentist, or chiropractor shall not, without the consent of the patient, be allowed to disclose any information or any opinion based thereon which the professional acquired in attending the patient in a professional capacity, and which was necessary to enable the professional to act in that capacity; after the decease of the patient, in an action to recover insurance benefits, where the insurance has been in existence two years or more, the beneficiaries shall be deemed to be the personal representatives of the deceased person for the purpose of waiving this privilege, and no oral or written waiver of the privilege shall have any binding force or effect except when made upon the trial or examination where the evidence is offered or received.</w:t>
      </w:r>
      <w:r>
        <w:t>”</w:t>
      </w:r>
    </w:p>
    <w:p w14:paraId="58169CD0" w14:textId="77777777" w:rsidR="00552D25" w:rsidRPr="00BC4B85" w:rsidRDefault="00552D25" w:rsidP="00552D25">
      <w:pPr>
        <w:pStyle w:val="NoSpacing"/>
        <w:rPr>
          <w:b/>
          <w:bCs/>
        </w:rPr>
      </w:pPr>
    </w:p>
    <w:p w14:paraId="29447C2D" w14:textId="77777777" w:rsidR="00DD2FCE" w:rsidRDefault="00DD2FCE" w:rsidP="00004498">
      <w:pPr>
        <w:rPr>
          <w:rFonts w:ascii="Arial Black" w:hAnsi="Arial Black"/>
          <w:b/>
          <w:bCs/>
          <w:sz w:val="24"/>
          <w:szCs w:val="24"/>
        </w:rPr>
      </w:pPr>
    </w:p>
    <w:p w14:paraId="159D361F" w14:textId="066733D5" w:rsidR="00552D25" w:rsidRDefault="00552D25" w:rsidP="00004498">
      <w:pPr>
        <w:rPr>
          <w:rFonts w:ascii="Arial Black" w:hAnsi="Arial Black"/>
          <w:b/>
          <w:bCs/>
          <w:sz w:val="24"/>
          <w:szCs w:val="24"/>
        </w:rPr>
      </w:pPr>
      <w:r>
        <w:rPr>
          <w:rFonts w:ascii="Arial Black" w:hAnsi="Arial Black"/>
          <w:b/>
          <w:bCs/>
          <w:sz w:val="24"/>
          <w:szCs w:val="24"/>
        </w:rPr>
        <w:t>13-</w:t>
      </w:r>
      <w:r w:rsidR="009256C3">
        <w:rPr>
          <w:rFonts w:ascii="Arial Black" w:hAnsi="Arial Black"/>
          <w:b/>
          <w:bCs/>
          <w:sz w:val="24"/>
          <w:szCs w:val="24"/>
        </w:rPr>
        <w:t>250</w:t>
      </w:r>
    </w:p>
    <w:p w14:paraId="05500C7A" w14:textId="77777777" w:rsidR="00E306E9" w:rsidRPr="00752ABB" w:rsidRDefault="00E306E9" w:rsidP="00E306E9">
      <w:pPr>
        <w:pStyle w:val="NoSpacing"/>
        <w:rPr>
          <w:rFonts w:ascii="Arial Black" w:hAnsi="Arial Black"/>
          <w:b/>
          <w:sz w:val="28"/>
          <w:szCs w:val="28"/>
        </w:rPr>
      </w:pPr>
      <w:r>
        <w:rPr>
          <w:rFonts w:ascii="Arial Black" w:hAnsi="Arial Black"/>
          <w:b/>
          <w:sz w:val="28"/>
          <w:szCs w:val="28"/>
        </w:rPr>
        <w:t>FL: EMS &amp; HOSP BLOOD DRAWS – SUBPOENA MURDER</w:t>
      </w:r>
    </w:p>
    <w:p w14:paraId="6AFB49B5" w14:textId="77777777" w:rsidR="00E306E9" w:rsidRDefault="00E306E9" w:rsidP="00E306E9">
      <w:pPr>
        <w:pStyle w:val="NoSpacing"/>
        <w:rPr>
          <w:b/>
        </w:rPr>
      </w:pPr>
    </w:p>
    <w:p w14:paraId="45479718" w14:textId="21CF744F" w:rsidR="00E306E9" w:rsidRDefault="00E306E9" w:rsidP="00E306E9">
      <w:pPr>
        <w:pStyle w:val="NoSpacing"/>
        <w:rPr>
          <w:b/>
        </w:rPr>
      </w:pPr>
      <w:r>
        <w:t xml:space="preserve">On March 18, 2026, in </w:t>
      </w:r>
      <w:r w:rsidRPr="007F0612">
        <w:rPr>
          <w:u w:val="single"/>
        </w:rPr>
        <w:t>Kyle Matthew Hill v. State of Florida</w:t>
      </w:r>
      <w:r>
        <w:t xml:space="preserve">, the </w:t>
      </w:r>
      <w:r w:rsidRPr="006D0767">
        <w:t>Florida Court of Appeals, Second District</w:t>
      </w:r>
      <w:r>
        <w:t xml:space="preserve">, held (3 to 0) that trial court judge properly refused the defendant’s motion to quash the state’s subpoena for EMS blood draw and EMS run report, and the Hospital’s blood draw records.  </w:t>
      </w:r>
      <w:r w:rsidRPr="00307C91">
        <w:t>The State indicted Mr. Hill for first-degree murder, attempted first-degree murder, DUI manslaughter, and DUI with serious bodily injury</w:t>
      </w:r>
      <w:r>
        <w:t xml:space="preserve">, and the </w:t>
      </w:r>
      <w:r w:rsidRPr="00307C91">
        <w:t>State seeks the death penalty</w:t>
      </w:r>
      <w:r>
        <w:t xml:space="preserve">.  </w:t>
      </w:r>
      <w:hyperlink r:id="rId2061" w:history="1">
        <w:r w:rsidRPr="004C7C67">
          <w:rPr>
            <w:rStyle w:val="Hyperlink"/>
            <w:b/>
          </w:rPr>
          <w:t>https://flcourts-media.flcourts.gov/content/download/2486201/opinion/Opinion_2025-1955.pdf</w:t>
        </w:r>
      </w:hyperlink>
      <w:r>
        <w:rPr>
          <w:b/>
        </w:rPr>
        <w:t xml:space="preserve"> </w:t>
      </w:r>
    </w:p>
    <w:p w14:paraId="667C54C0" w14:textId="77777777" w:rsidR="00E306E9" w:rsidRDefault="00E306E9" w:rsidP="00E306E9">
      <w:pPr>
        <w:pStyle w:val="NoSpacing"/>
        <w:rPr>
          <w:bCs/>
        </w:rPr>
      </w:pPr>
    </w:p>
    <w:p w14:paraId="4ACC2C35" w14:textId="77777777" w:rsidR="00E306E9" w:rsidRPr="00752ABB" w:rsidRDefault="00E306E9" w:rsidP="00E306E9">
      <w:pPr>
        <w:pStyle w:val="NoSpacing"/>
      </w:pPr>
      <w:r>
        <w:t>THE COURT HELD:  “</w:t>
      </w:r>
      <w:r w:rsidRPr="00752ABB">
        <w:t>Allegedly, Mr. Hill purposefully sideswiped another vehicle, causing</w:t>
      </w:r>
    </w:p>
    <w:p w14:paraId="15C8BAA8" w14:textId="77777777" w:rsidR="00E306E9" w:rsidRDefault="00E306E9" w:rsidP="00E306E9">
      <w:pPr>
        <w:pStyle w:val="NoSpacing"/>
      </w:pPr>
      <w:proofErr w:type="gramStart"/>
      <w:r w:rsidRPr="00752ABB">
        <w:lastRenderedPageBreak/>
        <w:t>it</w:t>
      </w:r>
      <w:proofErr w:type="gramEnd"/>
      <w:r w:rsidRPr="00752ABB">
        <w:t xml:space="preserve"> </w:t>
      </w:r>
      <w:proofErr w:type="gramStart"/>
      <w:r w:rsidRPr="00752ABB">
        <w:t>to</w:t>
      </w:r>
      <w:proofErr w:type="gramEnd"/>
      <w:r w:rsidRPr="00752ABB">
        <w:t xml:space="preserve"> leave the roadway and crash into a pole. The collision injured the</w:t>
      </w:r>
      <w:r>
        <w:t xml:space="preserve"> </w:t>
      </w:r>
      <w:r w:rsidRPr="00752ABB">
        <w:t>driver and killed her passenger.</w:t>
      </w:r>
      <w:r>
        <w:t xml:space="preserve"> </w:t>
      </w:r>
      <w:r w:rsidRPr="00752ABB">
        <w:t>Police suspected that Mr. Hill was driving under the influence of</w:t>
      </w:r>
      <w:r>
        <w:t xml:space="preserve"> </w:t>
      </w:r>
      <w:r w:rsidRPr="00752ABB">
        <w:t>alcohol. They directed emergency medical services (EMS) personnel to</w:t>
      </w:r>
      <w:r>
        <w:t xml:space="preserve"> </w:t>
      </w:r>
      <w:r w:rsidRPr="00752ABB">
        <w:t xml:space="preserve">conduct </w:t>
      </w:r>
      <w:proofErr w:type="gramStart"/>
      <w:r w:rsidRPr="00752ABB">
        <w:t>a blood</w:t>
      </w:r>
      <w:proofErr w:type="gramEnd"/>
      <w:r w:rsidRPr="00752ABB">
        <w:t xml:space="preserve"> draw. EMS personnel then took Mr. Hill to the hospital</w:t>
      </w:r>
      <w:r>
        <w:t xml:space="preserve"> </w:t>
      </w:r>
      <w:r w:rsidRPr="00752ABB">
        <w:t>where staff performed another blood draw.</w:t>
      </w:r>
    </w:p>
    <w:p w14:paraId="50AD8ADC" w14:textId="77777777" w:rsidR="00E306E9" w:rsidRDefault="00E306E9" w:rsidP="00E306E9">
      <w:pPr>
        <w:pStyle w:val="NoSpacing"/>
      </w:pPr>
    </w:p>
    <w:p w14:paraId="2CB4ECDE" w14:textId="77777777" w:rsidR="00E306E9" w:rsidRDefault="00E306E9" w:rsidP="00E306E9">
      <w:pPr>
        <w:pStyle w:val="NoSpacing"/>
      </w:pPr>
      <w:r>
        <w:t>***</w:t>
      </w:r>
    </w:p>
    <w:p w14:paraId="33EFDD69" w14:textId="77777777" w:rsidR="00E306E9" w:rsidRDefault="00E306E9" w:rsidP="00E306E9">
      <w:pPr>
        <w:pStyle w:val="NoSpacing"/>
        <w:rPr>
          <w:bCs/>
        </w:rPr>
      </w:pPr>
      <w:r w:rsidRPr="00104E34">
        <w:t>Thus, the charging documents indicate that Mr. Hill's medical</w:t>
      </w:r>
      <w:r>
        <w:t xml:space="preserve"> </w:t>
      </w:r>
      <w:r w:rsidRPr="00104E34">
        <w:t>records will provide evidence of intoxication.</w:t>
      </w:r>
      <w:r>
        <w:t xml:space="preserve"> </w:t>
      </w:r>
      <w:r w:rsidRPr="00104E34">
        <w:t>Mr. Hill contends that the State's quantum of evidence was</w:t>
      </w:r>
      <w:r>
        <w:t xml:space="preserve"> </w:t>
      </w:r>
      <w:r w:rsidRPr="00104E34">
        <w:t xml:space="preserve">insufficient to support issuance of the subpoenas. He laments </w:t>
      </w:r>
      <w:proofErr w:type="gramStart"/>
      <w:r w:rsidRPr="00104E34">
        <w:t xml:space="preserve">that </w:t>
      </w:r>
      <w:r>
        <w:t>‘</w:t>
      </w:r>
      <w:r w:rsidRPr="00104E34">
        <w:t>[t]he</w:t>
      </w:r>
      <w:proofErr w:type="gramEnd"/>
      <w:r>
        <w:t xml:space="preserve"> </w:t>
      </w:r>
      <w:r w:rsidRPr="00104E34">
        <w:t xml:space="preserve">State advanced a brief </w:t>
      </w:r>
      <w:proofErr w:type="gramStart"/>
      <w:r w:rsidRPr="00104E34">
        <w:t>argument, and</w:t>
      </w:r>
      <w:proofErr w:type="gramEnd"/>
      <w:r w:rsidRPr="00104E34">
        <w:t xml:space="preserve"> presented no evidence . . . other</w:t>
      </w:r>
      <w:r>
        <w:t xml:space="preserve"> </w:t>
      </w:r>
      <w:r w:rsidRPr="00104E34">
        <w:t>than the arrest affidavits.</w:t>
      </w:r>
      <w:r>
        <w:t>’</w:t>
      </w:r>
      <w:r w:rsidRPr="00104E34">
        <w:t xml:space="preserve"> We are unpersuaded</w:t>
      </w:r>
      <w:r>
        <w:t>.”</w:t>
      </w:r>
    </w:p>
    <w:p w14:paraId="140DDA0B" w14:textId="77777777" w:rsidR="00E306E9" w:rsidRDefault="00E306E9" w:rsidP="00E306E9">
      <w:pPr>
        <w:pStyle w:val="NoSpacing"/>
        <w:rPr>
          <w:bCs/>
        </w:rPr>
      </w:pPr>
    </w:p>
    <w:p w14:paraId="727283C0" w14:textId="77777777" w:rsidR="00E306E9" w:rsidRDefault="00E306E9" w:rsidP="00E306E9">
      <w:pPr>
        <w:pStyle w:val="NoSpacing"/>
        <w:rPr>
          <w:b/>
        </w:rPr>
      </w:pPr>
      <w:r w:rsidRPr="00B018C5">
        <w:rPr>
          <w:b/>
        </w:rPr>
        <w:t xml:space="preserve">Legal lesson learned: </w:t>
      </w:r>
      <w:r>
        <w:rPr>
          <w:b/>
        </w:rPr>
        <w:t xml:space="preserve">The defendant is facing death penalty, and the blood draw records will be provided to the jury. </w:t>
      </w:r>
    </w:p>
    <w:p w14:paraId="07F3F69F" w14:textId="77777777" w:rsidR="00552D25" w:rsidRDefault="00552D25" w:rsidP="00004498">
      <w:pPr>
        <w:rPr>
          <w:rFonts w:ascii="Arial Black" w:hAnsi="Arial Black"/>
          <w:b/>
          <w:bCs/>
          <w:sz w:val="24"/>
          <w:szCs w:val="24"/>
        </w:rPr>
      </w:pPr>
    </w:p>
    <w:p w14:paraId="5D850888" w14:textId="492F529D" w:rsidR="00B170D7" w:rsidRDefault="005127F9" w:rsidP="00004498">
      <w:pPr>
        <w:rPr>
          <w:rFonts w:ascii="Arial Black" w:hAnsi="Arial Black"/>
          <w:b/>
          <w:bCs/>
          <w:sz w:val="24"/>
          <w:szCs w:val="24"/>
        </w:rPr>
      </w:pPr>
      <w:r>
        <w:rPr>
          <w:rFonts w:ascii="Arial Black" w:hAnsi="Arial Black"/>
          <w:b/>
          <w:bCs/>
          <w:sz w:val="24"/>
          <w:szCs w:val="24"/>
        </w:rPr>
        <w:t>13-</w:t>
      </w:r>
      <w:r w:rsidR="009256C3">
        <w:rPr>
          <w:rFonts w:ascii="Arial Black" w:hAnsi="Arial Black"/>
          <w:b/>
          <w:bCs/>
          <w:sz w:val="24"/>
          <w:szCs w:val="24"/>
        </w:rPr>
        <w:t>249</w:t>
      </w:r>
    </w:p>
    <w:p w14:paraId="73789317" w14:textId="77777777" w:rsidR="007C0834" w:rsidRPr="002870FF" w:rsidRDefault="007C0834" w:rsidP="007C0834">
      <w:pPr>
        <w:pStyle w:val="NoSpacing"/>
        <w:rPr>
          <w:rFonts w:ascii="Arial Black" w:hAnsi="Arial Black"/>
          <w:b/>
          <w:sz w:val="28"/>
          <w:szCs w:val="28"/>
        </w:rPr>
      </w:pPr>
      <w:r>
        <w:rPr>
          <w:rFonts w:ascii="Arial Black" w:hAnsi="Arial Black"/>
          <w:b/>
          <w:sz w:val="28"/>
          <w:szCs w:val="28"/>
        </w:rPr>
        <w:t xml:space="preserve">TN: SEIZURE PT - TASED - SPIT SOCK - FACE DOWN – DIED </w:t>
      </w:r>
    </w:p>
    <w:p w14:paraId="73AFC9BF" w14:textId="77777777" w:rsidR="007C0834" w:rsidRDefault="007C0834" w:rsidP="007C0834">
      <w:pPr>
        <w:pStyle w:val="NoSpacing"/>
        <w:rPr>
          <w:b/>
        </w:rPr>
      </w:pPr>
    </w:p>
    <w:p w14:paraId="39DB9B73" w14:textId="77777777" w:rsidR="007C0834" w:rsidRDefault="007C0834" w:rsidP="007C0834">
      <w:pPr>
        <w:pStyle w:val="NoSpacing"/>
        <w:rPr>
          <w:bCs/>
        </w:rPr>
      </w:pPr>
      <w:r w:rsidRPr="00E565A4">
        <w:t xml:space="preserve">On March 16, 2026, in </w:t>
      </w:r>
      <w:r w:rsidRPr="00E565A4">
        <w:rPr>
          <w:u w:val="single"/>
        </w:rPr>
        <w:t>Karen Goodwin, individually and on behalf of Austin Hunter Turner, deceased v. City of Bristol, Tennessee</w:t>
      </w:r>
      <w:r w:rsidRPr="00E565A4">
        <w:t xml:space="preserve">, </w:t>
      </w:r>
      <w:r>
        <w:t xml:space="preserve">U.S. District Court Judge Clifton L. Corker, United States District Court for the Eastern District of Tennessee, </w:t>
      </w:r>
      <w:r w:rsidRPr="00646F7A">
        <w:t>Greeneville Division</w:t>
      </w:r>
      <w:r>
        <w:t xml:space="preserve">, granted defense motion for summary judgment.  Combative patient, face down, restraints on hands and feet – died. Family did not file lawsuit within one year – August 30, </w:t>
      </w:r>
      <w:proofErr w:type="gramStart"/>
      <w:r>
        <w:t>2017</w:t>
      </w:r>
      <w:proofErr w:type="gramEnd"/>
      <w:r>
        <w:t xml:space="preserve"> death; case filed six years later.  </w:t>
      </w:r>
      <w:hyperlink r:id="rId2062" w:history="1">
        <w:r w:rsidRPr="00A9331C">
          <w:rPr>
            <w:rStyle w:val="Hyperlink"/>
          </w:rPr>
          <w:t>https://public.fastcase.com/Jhe1Qn%2BmJndQYQU6z%2FeNm%2BJGkZOBI%2FIR3xMI1hqgTrQGqCoob0t8sJ6Oq4%2B3vNWN?utm_medium=email&amp;_hsenc=p2ANqtz-9C5O8INd3-mOP0XdLpifj0NkMcgvHJMlYVXVlVDxFjxItyF7mxImlUcaWgD0DywBt6olIyvEknUS-SxKw_pSJ1xCMABg&amp;_hsmi=226712652&amp;utm_content=226712652&amp;utm_source=hs_email</w:t>
        </w:r>
      </w:hyperlink>
      <w:r>
        <w:t xml:space="preserve"> </w:t>
      </w:r>
    </w:p>
    <w:p w14:paraId="38E75661" w14:textId="77777777" w:rsidR="007C0834" w:rsidRDefault="007C0834" w:rsidP="007C0834">
      <w:pPr>
        <w:pStyle w:val="NoSpacing"/>
        <w:rPr>
          <w:bCs/>
        </w:rPr>
      </w:pPr>
    </w:p>
    <w:p w14:paraId="1DE9ABA5" w14:textId="77777777" w:rsidR="007C0834" w:rsidRDefault="007C0834" w:rsidP="007C0834">
      <w:pPr>
        <w:pStyle w:val="NoSpacing"/>
      </w:pPr>
      <w:r>
        <w:t>THE COURT HELD:  “</w:t>
      </w:r>
      <w:r w:rsidRPr="00EE41D8">
        <w:t>Tennessee's one-year statute of limitations therefore expired on August 30, 2018—nearly six years before this action was filed. Plaintiff's § 1983 claims must therefore be dismissed for failure to state a claim.</w:t>
      </w:r>
    </w:p>
    <w:p w14:paraId="286A9BB4" w14:textId="77777777" w:rsidR="007C0834" w:rsidRDefault="007C0834" w:rsidP="007C0834">
      <w:pPr>
        <w:pStyle w:val="NoSpacing"/>
      </w:pPr>
    </w:p>
    <w:p w14:paraId="1CE41C2A" w14:textId="77777777" w:rsidR="007C0834" w:rsidRDefault="007C0834" w:rsidP="007C0834">
      <w:pPr>
        <w:pStyle w:val="NoSpacing"/>
        <w:rPr>
          <w:bCs/>
        </w:rPr>
      </w:pPr>
      <w:r>
        <w:t>***</w:t>
      </w:r>
    </w:p>
    <w:p w14:paraId="76192D94" w14:textId="77777777" w:rsidR="007C0834" w:rsidRDefault="007C0834" w:rsidP="007C0834">
      <w:pPr>
        <w:pStyle w:val="NoSpacing"/>
        <w:rPr>
          <w:bCs/>
        </w:rPr>
      </w:pPr>
    </w:p>
    <w:p w14:paraId="3EF67B0E" w14:textId="77777777" w:rsidR="007C0834" w:rsidRDefault="007C0834" w:rsidP="007C0834">
      <w:pPr>
        <w:pStyle w:val="NoSpacing"/>
      </w:pPr>
      <w:r w:rsidRPr="00F1137B">
        <w:t xml:space="preserve">Though Plaintiff is not seen on camera when Turner was </w:t>
      </w:r>
      <w:proofErr w:type="gramStart"/>
      <w:r w:rsidRPr="00F1137B">
        <w:t>tased</w:t>
      </w:r>
      <w:proofErr w:type="gramEnd"/>
      <w:r w:rsidRPr="00F1137B">
        <w:t xml:space="preserve">, the footage makes clear that she was standing only a few feet away. </w:t>
      </w:r>
      <w:r>
        <w:t>[</w:t>
      </w:r>
      <w:r w:rsidRPr="00EC243A">
        <w:t xml:space="preserve">Bristol Police </w:t>
      </w:r>
      <w:r>
        <w:t xml:space="preserve">Officer Eric] </w:t>
      </w:r>
      <w:r w:rsidRPr="00F1137B">
        <w:t>Keller's warning, the sound of the taser, and Turner's audible reaction would have been plainly perceptible to anyone in the room. The struggle continued for roughly another minute as officers and paramedics attempted to secure Turner in handcuffs</w:t>
      </w:r>
      <w:r>
        <w:t xml:space="preserve">…. </w:t>
      </w:r>
      <w:r w:rsidRPr="00A91024">
        <w:t>The footage next shows Plaintiff outside after the paramedics moved Turner towards the ambulance. She got out of her car and walked towards Turner as he lay face down on the cot with a spit sock over his head and restraints on both his hands and feet</w:t>
      </w:r>
      <w:r>
        <w:t xml:space="preserve">…. </w:t>
      </w:r>
      <w:r w:rsidRPr="00A91024">
        <w:t>Plaintiff stood beside him facing the cot</w:t>
      </w:r>
      <w:r>
        <w:t xml:space="preserve">…. </w:t>
      </w:r>
      <w:r w:rsidRPr="00A91024">
        <w:t>She is also seen outside the ambulance looking inside while officers and paramedics applied pressure to Turner's head</w:t>
      </w:r>
      <w:r>
        <w:t xml:space="preserve">…. </w:t>
      </w:r>
      <w:r w:rsidRPr="00A91024">
        <w:t xml:space="preserve"> She was also outside the ambulance door seconds after someone shut the door.</w:t>
      </w:r>
      <w:r>
        <w:t>”</w:t>
      </w:r>
    </w:p>
    <w:p w14:paraId="10DB9E55" w14:textId="77777777" w:rsidR="007C0834" w:rsidRDefault="007C0834" w:rsidP="007C0834">
      <w:pPr>
        <w:pStyle w:val="NoSpacing"/>
      </w:pPr>
    </w:p>
    <w:p w14:paraId="5455D8FA" w14:textId="77777777" w:rsidR="007C0834" w:rsidRDefault="007C0834" w:rsidP="007C0834">
      <w:pPr>
        <w:pStyle w:val="NoSpacing"/>
        <w:rPr>
          <w:b/>
          <w:bCs/>
        </w:rPr>
      </w:pPr>
      <w:r w:rsidRPr="00BC4B85">
        <w:rPr>
          <w:b/>
        </w:rPr>
        <w:t xml:space="preserve">Legal lesson learned: </w:t>
      </w:r>
      <w:r>
        <w:rPr>
          <w:b/>
        </w:rPr>
        <w:t xml:space="preserve">Case was not timely filed.  Review your protocol about transporting combative patients, handcuffed, face down with spit sock. </w:t>
      </w:r>
    </w:p>
    <w:p w14:paraId="7C71CE33" w14:textId="77777777" w:rsidR="007C0834" w:rsidRDefault="007C0834" w:rsidP="007C0834">
      <w:pPr>
        <w:pStyle w:val="NoSpacing"/>
        <w:rPr>
          <w:b/>
          <w:bCs/>
        </w:rPr>
      </w:pPr>
    </w:p>
    <w:p w14:paraId="3500837F" w14:textId="77777777" w:rsidR="007C0834" w:rsidRDefault="007C0834" w:rsidP="007C0834">
      <w:pPr>
        <w:pStyle w:val="NoSpacing"/>
        <w:rPr>
          <w:rFonts w:ascii="Arial Black" w:hAnsi="Arial Black"/>
          <w:sz w:val="28"/>
          <w:szCs w:val="28"/>
        </w:rPr>
      </w:pPr>
    </w:p>
    <w:p w14:paraId="7F18D8ED" w14:textId="70E45617" w:rsidR="009256C3" w:rsidRDefault="007C0834" w:rsidP="00004498">
      <w:pPr>
        <w:rPr>
          <w:rFonts w:ascii="Arial Black" w:hAnsi="Arial Black"/>
          <w:b/>
          <w:bCs/>
          <w:sz w:val="24"/>
          <w:szCs w:val="24"/>
        </w:rPr>
      </w:pPr>
      <w:r>
        <w:rPr>
          <w:rFonts w:ascii="Arial Black" w:hAnsi="Arial Black"/>
          <w:b/>
          <w:bCs/>
          <w:sz w:val="24"/>
          <w:szCs w:val="24"/>
        </w:rPr>
        <w:t>13-</w:t>
      </w:r>
      <w:r w:rsidR="009256C3">
        <w:rPr>
          <w:rFonts w:ascii="Arial Black" w:hAnsi="Arial Black"/>
          <w:b/>
          <w:bCs/>
          <w:sz w:val="24"/>
          <w:szCs w:val="24"/>
        </w:rPr>
        <w:t>248</w:t>
      </w:r>
    </w:p>
    <w:p w14:paraId="4ACA8CD6" w14:textId="77777777" w:rsidR="009256C3" w:rsidRPr="008A6E9C" w:rsidRDefault="009256C3" w:rsidP="009256C3">
      <w:pPr>
        <w:pStyle w:val="NoSpacing"/>
        <w:rPr>
          <w:rFonts w:ascii="Arial Black" w:hAnsi="Arial Black"/>
          <w:b/>
          <w:sz w:val="28"/>
          <w:szCs w:val="28"/>
        </w:rPr>
      </w:pPr>
      <w:r>
        <w:rPr>
          <w:rFonts w:ascii="Arial Black" w:hAnsi="Arial Black"/>
          <w:b/>
          <w:sz w:val="28"/>
          <w:szCs w:val="28"/>
        </w:rPr>
        <w:t xml:space="preserve">CA: EMS DIVERTED BY HOSP - PREGNANT PT – EMTALA </w:t>
      </w:r>
    </w:p>
    <w:p w14:paraId="5789CEC6" w14:textId="77777777" w:rsidR="009256C3" w:rsidRDefault="009256C3" w:rsidP="009256C3">
      <w:pPr>
        <w:pStyle w:val="NoSpacing"/>
        <w:rPr>
          <w:b/>
        </w:rPr>
      </w:pPr>
    </w:p>
    <w:p w14:paraId="5CCE6462" w14:textId="77777777" w:rsidR="009256C3" w:rsidRDefault="009256C3" w:rsidP="009256C3">
      <w:pPr>
        <w:pStyle w:val="NoSpacing"/>
        <w:rPr>
          <w:bCs/>
        </w:rPr>
      </w:pPr>
      <w:r>
        <w:t xml:space="preserve">On March 13, 2026 in </w:t>
      </w:r>
      <w:r w:rsidRPr="00134CC5">
        <w:rPr>
          <w:u w:val="single"/>
        </w:rPr>
        <w:t>Keiko Kawamura v. Mammoth Hospital, et al</w:t>
      </w:r>
      <w:r>
        <w:t xml:space="preserve">., U.S. Magistrate Judge has issued a Report and Recommendation to U.S. District Court judge, United States District Court for the Eastern District of California, that the lawsuit filed by pro se plaintiff (not represented by an attorney) may proceed against the Hospital under </w:t>
      </w:r>
      <w:r w:rsidRPr="008F7969">
        <w:t xml:space="preserve">Emergency </w:t>
      </w:r>
      <w:r w:rsidRPr="008F7969">
        <w:lastRenderedPageBreak/>
        <w:t>Medical Treatment and Active Labor Act (EMTALA) because Mammoth Hospital failed to screen her under 42 U.S.C. § 1395dd(a) and failed to stabilize her under § 1395dd(b).</w:t>
      </w:r>
      <w:r>
        <w:t xml:space="preserve">  However, the EMTALA does not provide for litigation against any individual doctors.  She claims the ambulance was three minutes from the hospital, in third stage of labor and EMS were directed to take her to another hospital, </w:t>
      </w:r>
      <w:r w:rsidRPr="000F6DB1">
        <w:t>resulting in an almost 2-hour delay between when EMS personnel</w:t>
      </w:r>
      <w:r>
        <w:t xml:space="preserve"> first</w:t>
      </w:r>
      <w:r w:rsidRPr="000F6DB1">
        <w:t xml:space="preserve"> </w:t>
      </w:r>
      <w:proofErr w:type="gramStart"/>
      <w:r w:rsidRPr="000F6DB1">
        <w:t>made contact with</w:t>
      </w:r>
      <w:proofErr w:type="gramEnd"/>
      <w:r w:rsidRPr="000F6DB1">
        <w:t xml:space="preserve"> Plaintiff and the time </w:t>
      </w:r>
      <w:r>
        <w:t xml:space="preserve">physicians </w:t>
      </w:r>
      <w:r w:rsidRPr="000F6DB1">
        <w:t>evaluated her.</w:t>
      </w:r>
      <w:r>
        <w:t xml:space="preserve"> </w:t>
      </w:r>
      <w:hyperlink r:id="rId2063" w:history="1">
        <w:r w:rsidRPr="00502BCE">
          <w:rPr>
            <w:rStyle w:val="Hyperlink"/>
          </w:rPr>
          <w:t>https://cases.justia.com/federal/district-courts/california/caedce/1:2025cv00789/467494/25/0.pdf?ts=1773524860</w:t>
        </w:r>
      </w:hyperlink>
      <w:r>
        <w:t xml:space="preserve"> </w:t>
      </w:r>
    </w:p>
    <w:p w14:paraId="74EDF75D" w14:textId="77777777" w:rsidR="009256C3" w:rsidRDefault="009256C3" w:rsidP="009256C3">
      <w:pPr>
        <w:pStyle w:val="NoSpacing"/>
        <w:rPr>
          <w:bCs/>
        </w:rPr>
      </w:pPr>
    </w:p>
    <w:p w14:paraId="68379CF9" w14:textId="77777777" w:rsidR="009256C3" w:rsidRDefault="009256C3" w:rsidP="009256C3">
      <w:pPr>
        <w:pStyle w:val="NoSpacing"/>
        <w:rPr>
          <w:bCs/>
        </w:rPr>
      </w:pPr>
      <w:r>
        <w:t>THE COURT HELD: “</w:t>
      </w:r>
      <w:r w:rsidRPr="006A1EB3">
        <w:t>The Court has screened Plaintiff's second amended complaint and concludes that it sufficiently states a claim that Defendant Mammoth Hospital violated EMTALA, specifically that it failed to screen her under 42 U.S.C. § 1395dd(a) and failed to stabilize her under § 1395dd(b). However, the Court recommends that all other claims and Defendants be dismissed without further leave to amend.</w:t>
      </w:r>
    </w:p>
    <w:p w14:paraId="388DF5C4" w14:textId="77777777" w:rsidR="009256C3" w:rsidRDefault="009256C3" w:rsidP="009256C3">
      <w:pPr>
        <w:pStyle w:val="NoSpacing"/>
        <w:rPr>
          <w:bCs/>
        </w:rPr>
      </w:pPr>
    </w:p>
    <w:p w14:paraId="391A3CF7" w14:textId="77777777" w:rsidR="009256C3" w:rsidRDefault="009256C3" w:rsidP="009256C3">
      <w:pPr>
        <w:pStyle w:val="NoSpacing"/>
        <w:rPr>
          <w:bCs/>
        </w:rPr>
      </w:pPr>
      <w:r>
        <w:t>***</w:t>
      </w:r>
    </w:p>
    <w:p w14:paraId="3EA1A4A0" w14:textId="77777777" w:rsidR="009256C3" w:rsidRPr="000F6DB1" w:rsidRDefault="009256C3" w:rsidP="009256C3">
      <w:pPr>
        <w:pStyle w:val="NoSpacing"/>
      </w:pPr>
      <w:r w:rsidRPr="000F6DB1">
        <w:t>Moreover, Plaintiff's second amended complaint alleges that Plaintiff was approximately three minutes from Mammoth hospital while in labor</w:t>
      </w:r>
      <w:r>
        <w:t xml:space="preserve">…. </w:t>
      </w:r>
      <w:r w:rsidRPr="000F6DB1">
        <w:t xml:space="preserve">Communications between EMS services and Mammoth Hospital indicate that Mammoth Hospital knew that Plaintiff had an emergency medical condition, including “that Plaintiff was still in the third stage of labor, had not yet </w:t>
      </w:r>
    </w:p>
    <w:p w14:paraId="5A35603F" w14:textId="77777777" w:rsidR="009256C3" w:rsidRDefault="009256C3" w:rsidP="009256C3">
      <w:pPr>
        <w:pStyle w:val="NoSpacing"/>
        <w:rPr>
          <w:b/>
        </w:rPr>
      </w:pPr>
      <w:r w:rsidRPr="000F6DB1">
        <w:t>delivered the placenta, was actively hemorrhaging, and that the umbilical cord remained attached to the newborn.”</w:t>
      </w:r>
      <w:r>
        <w:t xml:space="preserve"> … </w:t>
      </w:r>
      <w:r w:rsidRPr="000F6DB1">
        <w:t xml:space="preserve">Despite knowing this, Mammoth Hospital declined to screen Plaintiff for medical care or provide stabilizing treatment, and instead diverted the ambulance that Plaintiff was </w:t>
      </w:r>
      <w:proofErr w:type="gramStart"/>
      <w:r w:rsidRPr="000F6DB1">
        <w:t>in to</w:t>
      </w:r>
      <w:proofErr w:type="gramEnd"/>
      <w:r w:rsidRPr="000F6DB1">
        <w:t xml:space="preserve"> NIHD,</w:t>
      </w:r>
      <w:r>
        <w:t xml:space="preserve"> [</w:t>
      </w:r>
      <w:r w:rsidRPr="00C45FE9">
        <w:t>Northern Inyo Healthcare District</w:t>
      </w:r>
      <w:r>
        <w:t xml:space="preserve">] </w:t>
      </w:r>
      <w:r w:rsidRPr="000F6DB1">
        <w:t>resulting in an almost 2-hour delay between when EMS personnel made contact with Plaintiff and the time NIHD evaluated her</w:t>
      </w:r>
      <w:r>
        <w:t xml:space="preserve">…. </w:t>
      </w:r>
      <w:r w:rsidRPr="000F6DB1">
        <w:t xml:space="preserve"> Liberally construing the allegations in Plaintiff's second amended complaint, the Court concludes that she has sufficiently stated a claim against Defendant Mammoth Hospital for violation of 42 U.S.C. § § 1395dd(a) and (b) to proceed past screening. </w:t>
      </w:r>
    </w:p>
    <w:p w14:paraId="4CBA2DB9" w14:textId="77777777" w:rsidR="009256C3" w:rsidRDefault="009256C3" w:rsidP="009256C3">
      <w:pPr>
        <w:pStyle w:val="NoSpacing"/>
        <w:rPr>
          <w:b/>
        </w:rPr>
      </w:pPr>
    </w:p>
    <w:p w14:paraId="1D78EE12" w14:textId="77777777" w:rsidR="009256C3" w:rsidRDefault="009256C3" w:rsidP="009256C3">
      <w:pPr>
        <w:pStyle w:val="NoSpacing"/>
      </w:pPr>
      <w:r w:rsidRPr="00F525DB">
        <w:t>However, as noted in the Court's previous screening order, because a private EMTALA right of action is authorized as to “a participating hospital's violation” under 42 U.S.C.A. § 1395dd(d)(2)(A), Plaintiff cannot sue non-hospital Defendants, i.e., Dr. Howell, Tom Parker, and Does 1-10.</w:t>
      </w:r>
      <w:r>
        <w:t>”</w:t>
      </w:r>
    </w:p>
    <w:p w14:paraId="4351F68A" w14:textId="77777777" w:rsidR="009256C3" w:rsidRDefault="009256C3" w:rsidP="009256C3">
      <w:pPr>
        <w:pStyle w:val="NoSpacing"/>
      </w:pPr>
    </w:p>
    <w:p w14:paraId="3A6BE958" w14:textId="77777777" w:rsidR="009256C3" w:rsidRDefault="009256C3" w:rsidP="009256C3">
      <w:pPr>
        <w:pStyle w:val="NoSpacing"/>
        <w:rPr>
          <w:b/>
          <w:bCs/>
        </w:rPr>
      </w:pPr>
      <w:r w:rsidRPr="00EA02A3">
        <w:rPr>
          <w:b/>
        </w:rPr>
        <w:t xml:space="preserve">Legal lesson learned: </w:t>
      </w:r>
      <w:r>
        <w:rPr>
          <w:b/>
        </w:rPr>
        <w:t>The case will now proceed to pre-trial discovery with the hospital.</w:t>
      </w:r>
    </w:p>
    <w:p w14:paraId="58E3AD4F" w14:textId="77777777" w:rsidR="009256C3" w:rsidRDefault="009256C3" w:rsidP="009256C3">
      <w:pPr>
        <w:pStyle w:val="NoSpacing"/>
        <w:rPr>
          <w:b/>
          <w:bCs/>
        </w:rPr>
      </w:pPr>
    </w:p>
    <w:p w14:paraId="317C8F75" w14:textId="77777777" w:rsidR="009256C3" w:rsidRPr="001F7B5B" w:rsidRDefault="009256C3" w:rsidP="009256C3">
      <w:pPr>
        <w:pStyle w:val="NoSpacing"/>
        <w:ind w:left="720"/>
      </w:pPr>
      <w:r w:rsidRPr="00BA4F71">
        <w:t>Note: Plaintiff also claimed a HIPAA violation.</w:t>
      </w:r>
      <w:r>
        <w:rPr>
          <w:b/>
        </w:rPr>
        <w:t xml:space="preserve"> “</w:t>
      </w:r>
      <w:r w:rsidRPr="001F7B5B">
        <w:t>In addition, Plaintiff's claims under HIPAA are subject to dismissal because, as the Court previously advised Plaintiff in the screening order, HIPAA does not authorize a private right of action for HIPAA violations.</w:t>
      </w:r>
      <w:r>
        <w:t>”</w:t>
      </w:r>
    </w:p>
    <w:p w14:paraId="789D6F7A" w14:textId="77777777" w:rsidR="009256C3" w:rsidRDefault="009256C3" w:rsidP="00004498">
      <w:pPr>
        <w:rPr>
          <w:rFonts w:ascii="Arial Black" w:hAnsi="Arial Black"/>
          <w:b/>
          <w:bCs/>
          <w:sz w:val="24"/>
          <w:szCs w:val="24"/>
        </w:rPr>
      </w:pPr>
    </w:p>
    <w:p w14:paraId="04DDD02E" w14:textId="77777777" w:rsidR="00B170D7" w:rsidRDefault="00B170D7" w:rsidP="00004498">
      <w:pPr>
        <w:rPr>
          <w:rFonts w:ascii="Arial Black" w:hAnsi="Arial Black"/>
          <w:b/>
          <w:bCs/>
          <w:sz w:val="24"/>
          <w:szCs w:val="24"/>
        </w:rPr>
      </w:pPr>
    </w:p>
    <w:p w14:paraId="1C4164B8" w14:textId="77777777" w:rsidR="00B170D7" w:rsidRDefault="00B170D7" w:rsidP="00004498">
      <w:pPr>
        <w:rPr>
          <w:rFonts w:ascii="Arial Black" w:hAnsi="Arial Black"/>
          <w:b/>
          <w:bCs/>
          <w:sz w:val="24"/>
          <w:szCs w:val="24"/>
        </w:rPr>
      </w:pPr>
    </w:p>
    <w:p w14:paraId="4EDE43A2" w14:textId="4C88195A" w:rsidR="0064577F" w:rsidRDefault="0064577F" w:rsidP="00004498">
      <w:pPr>
        <w:rPr>
          <w:rFonts w:ascii="Arial Black" w:hAnsi="Arial Black"/>
          <w:b/>
          <w:bCs/>
          <w:sz w:val="24"/>
          <w:szCs w:val="24"/>
        </w:rPr>
      </w:pPr>
      <w:r>
        <w:rPr>
          <w:rFonts w:ascii="Arial Black" w:hAnsi="Arial Black"/>
          <w:b/>
          <w:bCs/>
          <w:sz w:val="24"/>
          <w:szCs w:val="24"/>
        </w:rPr>
        <w:t>13-</w:t>
      </w:r>
      <w:r w:rsidR="00E6034E">
        <w:rPr>
          <w:rFonts w:ascii="Arial Black" w:hAnsi="Arial Black"/>
          <w:b/>
          <w:bCs/>
          <w:sz w:val="24"/>
          <w:szCs w:val="24"/>
        </w:rPr>
        <w:t>24</w:t>
      </w:r>
      <w:r w:rsidR="008D7CEA">
        <w:rPr>
          <w:rFonts w:ascii="Arial Black" w:hAnsi="Arial Black"/>
          <w:b/>
          <w:bCs/>
          <w:sz w:val="24"/>
          <w:szCs w:val="24"/>
        </w:rPr>
        <w:t>7</w:t>
      </w:r>
    </w:p>
    <w:p w14:paraId="096C4509" w14:textId="77777777" w:rsidR="00E6034E" w:rsidRPr="000E4586" w:rsidRDefault="00E6034E" w:rsidP="00E6034E">
      <w:pPr>
        <w:pStyle w:val="NoSpacing"/>
        <w:rPr>
          <w:rFonts w:ascii="Arial Black" w:hAnsi="Arial Black"/>
          <w:bCs/>
          <w:sz w:val="28"/>
          <w:szCs w:val="28"/>
        </w:rPr>
      </w:pPr>
      <w:r w:rsidRPr="000E4586">
        <w:rPr>
          <w:rFonts w:ascii="Arial Black" w:hAnsi="Arial Black"/>
          <w:sz w:val="28"/>
          <w:szCs w:val="28"/>
        </w:rPr>
        <w:t xml:space="preserve">NY: </w:t>
      </w:r>
      <w:r>
        <w:rPr>
          <w:rFonts w:ascii="Arial Black" w:hAnsi="Arial Black"/>
          <w:sz w:val="28"/>
          <w:szCs w:val="28"/>
        </w:rPr>
        <w:t>EMT LICENSE REVOKED – 26 PATIENTS / VITAL SIGNS</w:t>
      </w:r>
    </w:p>
    <w:p w14:paraId="19A112A9" w14:textId="77777777" w:rsidR="00E6034E" w:rsidRDefault="00E6034E" w:rsidP="00E6034E">
      <w:pPr>
        <w:pStyle w:val="NoSpacing"/>
      </w:pPr>
    </w:p>
    <w:p w14:paraId="53558D33" w14:textId="77777777" w:rsidR="00E6034E" w:rsidRDefault="00E6034E" w:rsidP="00E6034E">
      <w:pPr>
        <w:pStyle w:val="NoSpacing"/>
      </w:pPr>
      <w:r>
        <w:t xml:space="preserve">On February 26, 2026, in </w:t>
      </w:r>
      <w:r w:rsidRPr="0087051E">
        <w:rPr>
          <w:u w:val="single"/>
        </w:rPr>
        <w:t xml:space="preserve">In </w:t>
      </w:r>
      <w:proofErr w:type="gramStart"/>
      <w:r w:rsidRPr="0087051E">
        <w:rPr>
          <w:u w:val="single"/>
        </w:rPr>
        <w:t>The</w:t>
      </w:r>
      <w:proofErr w:type="gramEnd"/>
      <w:r w:rsidRPr="0087051E">
        <w:rPr>
          <w:u w:val="single"/>
        </w:rPr>
        <w:t xml:space="preserve"> Matter of Andrew P. DeWolf v. James McDonald, Commissioner of Health, et al</w:t>
      </w:r>
      <w:r>
        <w:t xml:space="preserve">., </w:t>
      </w:r>
      <w:r w:rsidRPr="001E064D">
        <w:t>the Supreme Court of New York, Third Department</w:t>
      </w:r>
      <w:r>
        <w:t xml:space="preserve"> held (5 to 0) that the revocation and $26,000 fine is supported by the administrative record (May 2024 and December 2024 final orders) and the appeal is moot.  </w:t>
      </w:r>
      <w:hyperlink r:id="rId2064" w:history="1">
        <w:r w:rsidRPr="000D51C6">
          <w:rPr>
            <w:rStyle w:val="Hyperlink"/>
          </w:rPr>
          <w:t>https://law.justia.com/cases/new-york/appellate-division-third-department/2026/cv-24-1117-cv-25-0151.html</w:t>
        </w:r>
      </w:hyperlink>
      <w:r>
        <w:t xml:space="preserve"> </w:t>
      </w:r>
    </w:p>
    <w:p w14:paraId="1416B306" w14:textId="77777777" w:rsidR="00E6034E" w:rsidRDefault="00E6034E" w:rsidP="00E6034E">
      <w:pPr>
        <w:pStyle w:val="NoSpacing"/>
      </w:pPr>
    </w:p>
    <w:p w14:paraId="45DEAA52" w14:textId="77777777" w:rsidR="00E6034E" w:rsidRDefault="00E6034E" w:rsidP="00E6034E">
      <w:pPr>
        <w:pStyle w:val="NoSpacing"/>
        <w:rPr>
          <w:bCs/>
        </w:rPr>
      </w:pPr>
      <w:r>
        <w:t>THE COURT HELD: “</w:t>
      </w:r>
      <w:r w:rsidRPr="00280636">
        <w:t xml:space="preserve">In June 2021, respondent Department of Health (hereinafter DOH) served petitioner with a notice of hearing and statement of charges, alleging that, between 2018 and 2019, petitioner endangered the lives of 26 patients in his care as an emergency medical technician (hereinafter EMT). </w:t>
      </w:r>
      <w:r w:rsidRPr="00280636">
        <w:rPr>
          <w:vertAlign w:val="superscript"/>
        </w:rPr>
        <w:t>[</w:t>
      </w:r>
      <w:bookmarkStart w:id="434" w:name="ftn.FN1"/>
      <w:r w:rsidRPr="00280636">
        <w:rPr>
          <w:bCs/>
          <w:vertAlign w:val="superscript"/>
        </w:rPr>
        <w:fldChar w:fldCharType="begin"/>
      </w:r>
      <w:r w:rsidRPr="00280636">
        <w:rPr>
          <w:vertAlign w:val="superscript"/>
        </w:rPr>
        <w:instrText>HYPERLINK "https://public.fastcase.com/" \l "FN1"</w:instrText>
      </w:r>
      <w:r w:rsidRPr="00280636">
        <w:rPr>
          <w:bCs/>
          <w:vertAlign w:val="superscript"/>
        </w:rPr>
      </w:r>
      <w:r w:rsidRPr="00280636">
        <w:rPr>
          <w:bCs/>
          <w:vertAlign w:val="superscript"/>
        </w:rPr>
        <w:fldChar w:fldCharType="separate"/>
      </w:r>
      <w:r w:rsidRPr="00280636">
        <w:rPr>
          <w:rStyle w:val="Hyperlink"/>
          <w:vertAlign w:val="superscript"/>
        </w:rPr>
        <w:t>1</w:t>
      </w:r>
      <w:r w:rsidRPr="00280636">
        <w:rPr>
          <w:bCs/>
        </w:rPr>
        <w:fldChar w:fldCharType="end"/>
      </w:r>
      <w:bookmarkEnd w:id="434"/>
      <w:r w:rsidRPr="00280636">
        <w:rPr>
          <w:vertAlign w:val="superscript"/>
        </w:rPr>
        <w:t>]</w:t>
      </w:r>
      <w:r w:rsidRPr="00280636">
        <w:t xml:space="preserve"> </w:t>
      </w:r>
    </w:p>
    <w:p w14:paraId="0A38EE06" w14:textId="77777777" w:rsidR="00E6034E" w:rsidRDefault="00E6034E" w:rsidP="00E6034E">
      <w:pPr>
        <w:pStyle w:val="NoSpacing"/>
        <w:rPr>
          <w:bCs/>
        </w:rPr>
      </w:pPr>
    </w:p>
    <w:p w14:paraId="451014AD" w14:textId="77777777" w:rsidR="00E6034E" w:rsidRPr="00280636" w:rsidRDefault="00E6034E" w:rsidP="00E6034E">
      <w:pPr>
        <w:pStyle w:val="NoSpacing"/>
        <w:ind w:left="720"/>
        <w:rPr>
          <w:bCs/>
        </w:rPr>
      </w:pPr>
      <w:r>
        <w:t xml:space="preserve">Footnote 1: </w:t>
      </w:r>
      <w:r w:rsidRPr="00280636">
        <w:t xml:space="preserve">DOH charged petitioner with 134 violations of basic and advanced life support treatment protocols; </w:t>
      </w:r>
      <w:proofErr w:type="gramStart"/>
      <w:r w:rsidRPr="00280636">
        <w:t>namely, that</w:t>
      </w:r>
      <w:proofErr w:type="gramEnd"/>
      <w:r w:rsidRPr="00280636">
        <w:t xml:space="preserve"> he failed to regularly monitor patients' vital signs, failed to follow instructions from supervising physicians and overdosed patients on various controlled substances.</w:t>
      </w:r>
    </w:p>
    <w:p w14:paraId="14F6090B" w14:textId="77777777" w:rsidR="00E6034E" w:rsidRDefault="00E6034E" w:rsidP="00E6034E">
      <w:pPr>
        <w:pStyle w:val="NoSpacing"/>
        <w:rPr>
          <w:bCs/>
        </w:rPr>
      </w:pPr>
    </w:p>
    <w:p w14:paraId="3DC59674" w14:textId="77777777" w:rsidR="00E6034E" w:rsidRDefault="00E6034E" w:rsidP="00E6034E">
      <w:pPr>
        <w:pStyle w:val="NoSpacing"/>
      </w:pPr>
      <w:r w:rsidRPr="00280636">
        <w:t>Petitioner contested the charges and, after an evidentiary hearing, an Administrative Law Judge (hereinafter ALJ) issued a report and recommendation that the charges be sustained, petitioner's EMT certification be revoked and he be fined $26,000</w:t>
      </w:r>
      <w:r>
        <w:t xml:space="preserve">…. </w:t>
      </w:r>
      <w:r w:rsidRPr="00F35C35">
        <w:t>Subsequently, in July 2024, respondent Commissioner of Health issued a final determination which adopted the ALJ's report and recommendation.</w:t>
      </w:r>
      <w:r>
        <w:t xml:space="preserve">” </w:t>
      </w:r>
    </w:p>
    <w:p w14:paraId="6029C777" w14:textId="77777777" w:rsidR="00E6034E" w:rsidRDefault="00E6034E" w:rsidP="00E6034E">
      <w:pPr>
        <w:pStyle w:val="NoSpacing"/>
      </w:pPr>
    </w:p>
    <w:p w14:paraId="3DD60C94" w14:textId="77777777" w:rsidR="00E6034E" w:rsidRPr="00BC60DC" w:rsidRDefault="00E6034E" w:rsidP="00E6034E">
      <w:pPr>
        <w:pStyle w:val="NoSpacing"/>
        <w:rPr>
          <w:b/>
          <w:bCs/>
        </w:rPr>
      </w:pPr>
      <w:r>
        <w:rPr>
          <w:b/>
        </w:rPr>
        <w:t xml:space="preserve">Legal lesson learned: EMTs must follow their protocol on monitoring patients’ vital signs </w:t>
      </w:r>
      <w:proofErr w:type="gramStart"/>
      <w:r>
        <w:rPr>
          <w:b/>
        </w:rPr>
        <w:t>and also</w:t>
      </w:r>
      <w:proofErr w:type="gramEnd"/>
      <w:r>
        <w:rPr>
          <w:b/>
        </w:rPr>
        <w:t xml:space="preserve"> follow medical directions.</w:t>
      </w:r>
    </w:p>
    <w:p w14:paraId="3E882E7D" w14:textId="77777777" w:rsidR="00E6034E" w:rsidRDefault="00E6034E" w:rsidP="00004498">
      <w:pPr>
        <w:rPr>
          <w:rFonts w:ascii="Arial Black" w:hAnsi="Arial Black"/>
          <w:b/>
          <w:bCs/>
          <w:sz w:val="24"/>
          <w:szCs w:val="24"/>
        </w:rPr>
      </w:pPr>
    </w:p>
    <w:p w14:paraId="7A6C1DD5" w14:textId="742EADA7" w:rsidR="0064577F" w:rsidRDefault="00A2043F" w:rsidP="00004498">
      <w:pPr>
        <w:rPr>
          <w:rFonts w:ascii="Arial Black" w:hAnsi="Arial Black"/>
          <w:b/>
          <w:bCs/>
          <w:sz w:val="24"/>
          <w:szCs w:val="24"/>
        </w:rPr>
      </w:pPr>
      <w:r>
        <w:rPr>
          <w:rFonts w:ascii="Arial Black" w:hAnsi="Arial Black"/>
          <w:b/>
          <w:bCs/>
          <w:sz w:val="24"/>
          <w:szCs w:val="24"/>
        </w:rPr>
        <w:t>13-24</w:t>
      </w:r>
      <w:r w:rsidR="008D7CEA">
        <w:rPr>
          <w:rFonts w:ascii="Arial Black" w:hAnsi="Arial Black"/>
          <w:b/>
          <w:bCs/>
          <w:sz w:val="24"/>
          <w:szCs w:val="24"/>
        </w:rPr>
        <w:t>6</w:t>
      </w:r>
    </w:p>
    <w:p w14:paraId="18E9DD20" w14:textId="77777777" w:rsidR="00A2043F" w:rsidRPr="00DB2B54" w:rsidRDefault="00A2043F" w:rsidP="00A2043F">
      <w:pPr>
        <w:pStyle w:val="NoSpacing"/>
        <w:rPr>
          <w:rFonts w:ascii="Arial Black" w:hAnsi="Arial Black"/>
          <w:b/>
          <w:sz w:val="28"/>
          <w:szCs w:val="28"/>
        </w:rPr>
      </w:pPr>
      <w:r>
        <w:rPr>
          <w:rFonts w:ascii="Arial Black" w:hAnsi="Arial Black"/>
          <w:b/>
          <w:sz w:val="28"/>
          <w:szCs w:val="28"/>
        </w:rPr>
        <w:t xml:space="preserve">TX: PATIENT FELL OFF COT – P’S EXPERT CAN BE A MEDIC </w:t>
      </w:r>
    </w:p>
    <w:p w14:paraId="5ED4DFB4" w14:textId="77777777" w:rsidR="00A2043F" w:rsidRDefault="00A2043F" w:rsidP="00A2043F">
      <w:pPr>
        <w:pStyle w:val="NoSpacing"/>
        <w:rPr>
          <w:b/>
        </w:rPr>
      </w:pPr>
    </w:p>
    <w:p w14:paraId="2796D662" w14:textId="77777777" w:rsidR="00A2043F" w:rsidRPr="000D6884" w:rsidRDefault="00A2043F" w:rsidP="00A2043F">
      <w:pPr>
        <w:pStyle w:val="NoSpacing"/>
        <w:rPr>
          <w:bCs/>
        </w:rPr>
      </w:pPr>
      <w:r>
        <w:t xml:space="preserve">On February 26, 2026, in </w:t>
      </w:r>
      <w:proofErr w:type="spellStart"/>
      <w:r w:rsidRPr="000D6884">
        <w:rPr>
          <w:u w:val="single"/>
        </w:rPr>
        <w:t>Medcare</w:t>
      </w:r>
      <w:proofErr w:type="spellEnd"/>
      <w:r w:rsidRPr="000D6884">
        <w:rPr>
          <w:u w:val="single"/>
        </w:rPr>
        <w:t xml:space="preserve"> EMS v. Carolina Flores</w:t>
      </w:r>
      <w:r>
        <w:t xml:space="preserve">, the </w:t>
      </w:r>
      <w:r w:rsidRPr="000D6884">
        <w:t>Court of Appeals of Texas, Thirteenth District, Corpus Christi-Edinburg</w:t>
      </w:r>
      <w:r>
        <w:t xml:space="preserve">, held (3 to 0) that the lawsuit may proceed since the plaintiff timely filed an expert’s report from a paramedic within the 120 days required under the Texas Medical Liability Act.  Trial court denied </w:t>
      </w:r>
      <w:proofErr w:type="spellStart"/>
      <w:r>
        <w:t>Medcare’s</w:t>
      </w:r>
      <w:proofErr w:type="spellEnd"/>
      <w:r>
        <w:t xml:space="preserve"> motion to dismiss, arguing the expert had to be a physician.  </w:t>
      </w:r>
      <w:hyperlink r:id="rId2065" w:history="1">
        <w:r w:rsidRPr="000D51C6">
          <w:rPr>
            <w:rStyle w:val="Hyperlink"/>
          </w:rPr>
          <w:t>https://cases.justia.com/texas/thirteenth-court-of-appeals/2026-13-25-00099-cv.pdf?ts=1772125541</w:t>
        </w:r>
      </w:hyperlink>
      <w:r>
        <w:t xml:space="preserve"> </w:t>
      </w:r>
    </w:p>
    <w:p w14:paraId="60AB26D8" w14:textId="77777777" w:rsidR="00A2043F" w:rsidRDefault="00A2043F" w:rsidP="00A2043F">
      <w:pPr>
        <w:pStyle w:val="NoSpacing"/>
        <w:rPr>
          <w:bCs/>
        </w:rPr>
      </w:pPr>
    </w:p>
    <w:p w14:paraId="20FE23FB" w14:textId="77777777" w:rsidR="00A2043F" w:rsidRDefault="00A2043F" w:rsidP="00A2043F">
      <w:pPr>
        <w:pStyle w:val="NoSpacing"/>
      </w:pPr>
      <w:r>
        <w:t>THE COURT HELD: “</w:t>
      </w:r>
      <w:r w:rsidRPr="00D3244C">
        <w:t xml:space="preserve">It is undisputed that </w:t>
      </w:r>
      <w:proofErr w:type="spellStart"/>
      <w:r w:rsidRPr="00D3244C">
        <w:t>Everlove</w:t>
      </w:r>
      <w:proofErr w:type="spellEnd"/>
      <w:r w:rsidRPr="00D3244C">
        <w:t xml:space="preserve"> was qualified to opine as to the standard of care</w:t>
      </w:r>
      <w:r>
        <w:t xml:space="preserve"> </w:t>
      </w:r>
      <w:r w:rsidRPr="00D3244C">
        <w:t xml:space="preserve">applicable to </w:t>
      </w:r>
      <w:proofErr w:type="spellStart"/>
      <w:r w:rsidRPr="00D3244C">
        <w:t>MedCare</w:t>
      </w:r>
      <w:proofErr w:type="spellEnd"/>
      <w:r>
        <w:t xml:space="preserve">…. </w:t>
      </w:r>
      <w:r w:rsidRPr="00C72FB6">
        <w:t xml:space="preserve">On December 9, 2021, Flores called emergency services after experiencing abdominal pain. A </w:t>
      </w:r>
      <w:proofErr w:type="spellStart"/>
      <w:r w:rsidRPr="00C72FB6">
        <w:t>MedCare</w:t>
      </w:r>
      <w:proofErr w:type="spellEnd"/>
      <w:r w:rsidRPr="00C72FB6">
        <w:t xml:space="preserve"> emergency medical technician (EMT) and paramedic arrived at her apartment and assessed her. Flores was subsequently placed and strapped onto a stretcher, which was wheeled from her apartment to the parking lot of Flores's apartment complex. Flores </w:t>
      </w:r>
      <w:proofErr w:type="gramStart"/>
      <w:r w:rsidRPr="00C72FB6">
        <w:t>was</w:t>
      </w:r>
      <w:proofErr w:type="gramEnd"/>
      <w:r w:rsidRPr="00C72FB6">
        <w:t xml:space="preserve"> left in the stretcher under the paramedic's supervision while the EMT moved the ambulance closer to Flores's location. Flores's stretcher ultimately tipped over, and she sustained injuries from the fall</w:t>
      </w:r>
      <w:r>
        <w:t xml:space="preserve">.  </w:t>
      </w:r>
      <w:r w:rsidRPr="00474CA1">
        <w:t xml:space="preserve">On December 20, 2022, Flores sent </w:t>
      </w:r>
      <w:proofErr w:type="spellStart"/>
      <w:r w:rsidRPr="00474CA1">
        <w:t>MedCare</w:t>
      </w:r>
      <w:proofErr w:type="spellEnd"/>
      <w:r w:rsidRPr="00474CA1">
        <w:t xml:space="preserve"> a pre-suit letter by certified mail which included an expert report authored by registered paramedic John B. </w:t>
      </w:r>
      <w:proofErr w:type="spellStart"/>
      <w:r w:rsidRPr="00474CA1">
        <w:t>Everlove</w:t>
      </w:r>
      <w:proofErr w:type="spellEnd"/>
      <w:r w:rsidRPr="00474CA1">
        <w:t xml:space="preserve">, as well as his curriculum vitae. In his report, </w:t>
      </w:r>
      <w:proofErr w:type="spellStart"/>
      <w:r w:rsidRPr="00474CA1">
        <w:t>Everlove</w:t>
      </w:r>
      <w:proofErr w:type="spellEnd"/>
      <w:r w:rsidRPr="00474CA1">
        <w:t xml:space="preserve"> described the standard of care applicable to </w:t>
      </w:r>
      <w:proofErr w:type="spellStart"/>
      <w:r w:rsidRPr="00474CA1">
        <w:t>MedCare</w:t>
      </w:r>
      <w:proofErr w:type="spellEnd"/>
      <w:r w:rsidRPr="00474CA1">
        <w:t xml:space="preserve"> and deviations from that standard by </w:t>
      </w:r>
      <w:proofErr w:type="spellStart"/>
      <w:r w:rsidRPr="00474CA1">
        <w:t>MedCare</w:t>
      </w:r>
      <w:proofErr w:type="spellEnd"/>
      <w:r w:rsidRPr="00474CA1">
        <w:t xml:space="preserve"> personnel concerning the </w:t>
      </w:r>
      <w:r>
        <w:t>‘</w:t>
      </w:r>
      <w:r w:rsidRPr="00474CA1">
        <w:t>care, treatment, and management of . . . Flores.</w:t>
      </w:r>
      <w:r>
        <w:t>’ ***</w:t>
      </w:r>
    </w:p>
    <w:p w14:paraId="50B72328" w14:textId="77777777" w:rsidR="00A2043F" w:rsidRPr="000D6884" w:rsidRDefault="00A2043F" w:rsidP="00A2043F">
      <w:pPr>
        <w:pStyle w:val="NoSpacing"/>
        <w:rPr>
          <w:bCs/>
        </w:rPr>
      </w:pPr>
      <w:r w:rsidRPr="009B7BDF">
        <w:t xml:space="preserve">It is undisputed that </w:t>
      </w:r>
      <w:proofErr w:type="spellStart"/>
      <w:r w:rsidRPr="009B7BDF">
        <w:t>Everlove</w:t>
      </w:r>
      <w:proofErr w:type="spellEnd"/>
      <w:r w:rsidRPr="009B7BDF">
        <w:t xml:space="preserve"> was qualified to opine as to the standard of care applicable to </w:t>
      </w:r>
      <w:proofErr w:type="spellStart"/>
      <w:r w:rsidRPr="009B7BDF">
        <w:t>MedCare</w:t>
      </w:r>
      <w:proofErr w:type="spellEnd"/>
      <w:r w:rsidRPr="009B7BDF">
        <w:t xml:space="preserve">. </w:t>
      </w:r>
      <w:r w:rsidRPr="009B7BDF">
        <w:rPr>
          <w:i/>
          <w:iCs/>
        </w:rPr>
        <w:t>See</w:t>
      </w:r>
      <w:r w:rsidRPr="009B7BDF">
        <w:t xml:space="preserve"> Tex. Civ. </w:t>
      </w:r>
      <w:proofErr w:type="spellStart"/>
      <w:r w:rsidRPr="009B7BDF">
        <w:t>Prac</w:t>
      </w:r>
      <w:proofErr w:type="spellEnd"/>
      <w:r w:rsidRPr="009B7BDF">
        <w:t xml:space="preserve">. &amp; Rem. Code § 74.402. Moreover, </w:t>
      </w:r>
      <w:proofErr w:type="spellStart"/>
      <w:r w:rsidRPr="009B7BDF">
        <w:t>Everlove</w:t>
      </w:r>
      <w:proofErr w:type="spellEnd"/>
      <w:r w:rsidRPr="009B7BDF">
        <w:t xml:space="preserve"> opined in his report that </w:t>
      </w:r>
      <w:proofErr w:type="spellStart"/>
      <w:r w:rsidRPr="009B7BDF">
        <w:t>MedCare</w:t>
      </w:r>
      <w:proofErr w:type="spellEnd"/>
      <w:r w:rsidRPr="009B7BDF">
        <w:t xml:space="preserve"> personnel deviated from that standard concerning their "care, treatment, and management of . . . Flores." In other words, </w:t>
      </w:r>
      <w:proofErr w:type="spellStart"/>
      <w:r w:rsidRPr="009B7BDF">
        <w:t>Everlove</w:t>
      </w:r>
      <w:proofErr w:type="spellEnd"/>
      <w:r w:rsidRPr="009B7BDF">
        <w:t xml:space="preserve"> opined that </w:t>
      </w:r>
      <w:proofErr w:type="spellStart"/>
      <w:r w:rsidRPr="009B7BDF">
        <w:t>MedCare</w:t>
      </w:r>
      <w:proofErr w:type="spellEnd"/>
      <w:r w:rsidRPr="009B7BDF">
        <w:t xml:space="preserve"> was negligent. Accordingly, we hold that </w:t>
      </w:r>
      <w:proofErr w:type="spellStart"/>
      <w:r w:rsidRPr="009B7BDF">
        <w:t>Everlove's</w:t>
      </w:r>
      <w:proofErr w:type="spellEnd"/>
      <w:r w:rsidRPr="009B7BDF">
        <w:t xml:space="preserve"> report constitutes a statement of opinion by an individual with expertise indicating that the claim asserted by Flores against </w:t>
      </w:r>
      <w:proofErr w:type="spellStart"/>
      <w:r w:rsidRPr="009B7BDF">
        <w:t>MedCare</w:t>
      </w:r>
      <w:proofErr w:type="spellEnd"/>
      <w:r w:rsidRPr="009B7BDF">
        <w:t xml:space="preserve"> has merit.</w:t>
      </w:r>
      <w:r>
        <w:t xml:space="preserve">”  </w:t>
      </w:r>
    </w:p>
    <w:p w14:paraId="1CCCA09B" w14:textId="77777777" w:rsidR="00A2043F" w:rsidRDefault="00A2043F" w:rsidP="00A2043F">
      <w:pPr>
        <w:pStyle w:val="NoSpacing"/>
        <w:rPr>
          <w:bCs/>
        </w:rPr>
      </w:pPr>
    </w:p>
    <w:p w14:paraId="713A2370" w14:textId="77777777" w:rsidR="00A2043F" w:rsidRDefault="00A2043F" w:rsidP="00A2043F">
      <w:pPr>
        <w:pStyle w:val="NoSpacing"/>
        <w:rPr>
          <w:b/>
        </w:rPr>
      </w:pPr>
      <w:r>
        <w:rPr>
          <w:b/>
        </w:rPr>
        <w:t xml:space="preserve">Legal lesson learned:  This is yet another case of a patient falling off a cot and being injured. </w:t>
      </w:r>
    </w:p>
    <w:p w14:paraId="5E6E6451" w14:textId="77777777" w:rsidR="00A2043F" w:rsidRDefault="00A2043F" w:rsidP="00A2043F">
      <w:pPr>
        <w:pStyle w:val="NoSpacing"/>
        <w:rPr>
          <w:b/>
        </w:rPr>
      </w:pPr>
    </w:p>
    <w:p w14:paraId="381857B7" w14:textId="77777777" w:rsidR="00A2043F" w:rsidRDefault="00A2043F" w:rsidP="00004498">
      <w:pPr>
        <w:rPr>
          <w:rFonts w:ascii="Arial Black" w:hAnsi="Arial Black"/>
          <w:b/>
          <w:bCs/>
          <w:sz w:val="24"/>
          <w:szCs w:val="24"/>
        </w:rPr>
      </w:pPr>
    </w:p>
    <w:p w14:paraId="3BD1F70E" w14:textId="2213E646" w:rsidR="008D7CEA" w:rsidRDefault="008D7CEA" w:rsidP="00004498">
      <w:pPr>
        <w:rPr>
          <w:rFonts w:ascii="Arial Black" w:hAnsi="Arial Black"/>
          <w:b/>
          <w:bCs/>
          <w:sz w:val="24"/>
          <w:szCs w:val="24"/>
        </w:rPr>
      </w:pPr>
      <w:r>
        <w:rPr>
          <w:rFonts w:ascii="Arial Black" w:hAnsi="Arial Black"/>
          <w:b/>
          <w:bCs/>
          <w:sz w:val="24"/>
          <w:szCs w:val="24"/>
        </w:rPr>
        <w:t>13-245</w:t>
      </w:r>
    </w:p>
    <w:p w14:paraId="01A6D54F" w14:textId="77777777" w:rsidR="008D7CEA" w:rsidRDefault="008D7CEA" w:rsidP="008D7CEA">
      <w:pPr>
        <w:pStyle w:val="NoSpacing"/>
        <w:rPr>
          <w:rFonts w:ascii="Arial Black" w:hAnsi="Arial Black"/>
          <w:b/>
          <w:sz w:val="28"/>
          <w:szCs w:val="28"/>
        </w:rPr>
      </w:pPr>
      <w:r>
        <w:rPr>
          <w:rFonts w:ascii="Arial Black" w:hAnsi="Arial Black"/>
          <w:b/>
          <w:sz w:val="28"/>
          <w:szCs w:val="28"/>
        </w:rPr>
        <w:t xml:space="preserve">FL: B/C FIRED – REFUSED TO ISSUE COVID REPRIMANDS </w:t>
      </w:r>
    </w:p>
    <w:p w14:paraId="7851E63A" w14:textId="77777777" w:rsidR="008D7CEA" w:rsidRDefault="008D7CEA" w:rsidP="008D7CEA">
      <w:pPr>
        <w:pStyle w:val="NoSpacing"/>
        <w:rPr>
          <w:rFonts w:ascii="Arial Black" w:hAnsi="Arial Black"/>
          <w:b/>
          <w:sz w:val="28"/>
          <w:szCs w:val="28"/>
        </w:rPr>
      </w:pPr>
    </w:p>
    <w:p w14:paraId="78FA378E" w14:textId="77777777" w:rsidR="008D7CEA" w:rsidRDefault="008D7CEA" w:rsidP="008D7CEA">
      <w:pPr>
        <w:pStyle w:val="NoSpacing"/>
        <w:rPr>
          <w:bCs/>
        </w:rPr>
      </w:pPr>
      <w:r>
        <w:t xml:space="preserve">On February 13, 2026, in </w:t>
      </w:r>
      <w:r w:rsidRPr="00805F39">
        <w:rPr>
          <w:u w:val="single"/>
        </w:rPr>
        <w:t>Stephen M. Davis v. Orange County</w:t>
      </w:r>
      <w:r>
        <w:t xml:space="preserve">, the United States Court of Appeals for the Eleventh Circuit (Atlanta) held (3 to 0; unpublished decision) that his lawsuit was properly dismissed.  </w:t>
      </w:r>
      <w:r w:rsidRPr="00CD2C4C">
        <w:t xml:space="preserve">Davis worked for the department for 15 years and advanced through the ranks to battalion chief. In 2021, Davis was terminated after he did not </w:t>
      </w:r>
      <w:r w:rsidRPr="00CD2C4C">
        <w:lastRenderedPageBreak/>
        <w:t xml:space="preserve">reprimand department personnel who refused the Orange County’s mandated COVID-19 vaccine. </w:t>
      </w:r>
      <w:r>
        <w:t xml:space="preserve"> Davis has failed to allege an” objectively reasonable” belief that issuing the written reprimands to firefighters who hadn’t timely provided a vaccination certificate or exemption request, because the union had negotiated an MOU with the County that COVID reprimands could not be considered or used in a union member’s performance evaluation, and that no further disciplinary action could be taken against employees who didn’t file a timely vaccination certificate or exemption request. </w:t>
      </w:r>
      <w:hyperlink r:id="rId2066" w:history="1">
        <w:r w:rsidRPr="002B0907">
          <w:rPr>
            <w:rStyle w:val="Hyperlink"/>
          </w:rPr>
          <w:t>https://www.govinfo.gov/content/pkg/USCOURTS-ca11-25-11434/pdf/USCOURTS-ca11-25-11434-0.pdf</w:t>
        </w:r>
      </w:hyperlink>
      <w:r>
        <w:t xml:space="preserve"> </w:t>
      </w:r>
    </w:p>
    <w:p w14:paraId="32322AF6" w14:textId="77777777" w:rsidR="008D7CEA" w:rsidRDefault="008D7CEA" w:rsidP="008D7CEA">
      <w:pPr>
        <w:pStyle w:val="NoSpacing"/>
        <w:rPr>
          <w:bCs/>
        </w:rPr>
      </w:pPr>
    </w:p>
    <w:p w14:paraId="49A6FA41" w14:textId="77777777" w:rsidR="008D7CEA" w:rsidRDefault="008D7CEA" w:rsidP="008D7CEA">
      <w:pPr>
        <w:pStyle w:val="NoSpacing"/>
      </w:pPr>
      <w:r>
        <w:t>THE COURT HELD: “It is undisputed that Davis’s termination was an adverse employment action caused by his refusal to issue reprimands for violations of the department’s COVID-19 policy, so this case comes down to whether that refusal was protected activity…. Here, Davis asserts that he believed the reprimands he was ordered to issue violated Title VII’s anti-discrimination provision. That belief wasn’t objectively reasonable….  The memorandum of understanding between the union representing Orange County firefighters and the county stated that the reprimands could not be considered or used in a union member’s performance</w:t>
      </w:r>
    </w:p>
    <w:p w14:paraId="25DB761E" w14:textId="77777777" w:rsidR="008D7CEA" w:rsidRDefault="008D7CEA" w:rsidP="008D7CEA">
      <w:pPr>
        <w:pStyle w:val="NoSpacing"/>
      </w:pPr>
      <w:r>
        <w:t xml:space="preserve">evaluation, and that no further disciplinary action could be taken against employees who didn’t file a timely vaccination certificate or exemption request. In other words, the reprimands were toothless—they themselves didn’t rise to the level of an adverse employment action, and a future adverse employment action couldn’t be based on them…. In other words, the reprimands were toothless—they themselves didn’t rise to the level of an adverse employment action, and a future adverse employment action couldn’t be based on them. </w:t>
      </w:r>
      <w:proofErr w:type="gramStart"/>
      <w:r>
        <w:t>So</w:t>
      </w:r>
      <w:proofErr w:type="gramEnd"/>
      <w:r>
        <w:t xml:space="preserve"> Davis has failed to allege an objectively reasonable belief that a written reprimand—that by its own terms could</w:t>
      </w:r>
    </w:p>
    <w:p w14:paraId="6F4F22F4" w14:textId="77777777" w:rsidR="008D7CEA" w:rsidRDefault="008D7CEA" w:rsidP="008D7CEA">
      <w:pPr>
        <w:pStyle w:val="NoSpacing"/>
      </w:pPr>
      <w:r>
        <w:t>not impact the terms or conditions of a firefighter’s employment— would disadvantage, harm, or make “worse off” his subordinates’ employment in any way.”</w:t>
      </w:r>
    </w:p>
    <w:p w14:paraId="49FCE479" w14:textId="77777777" w:rsidR="008D7CEA" w:rsidRDefault="008D7CEA" w:rsidP="008D7CEA">
      <w:pPr>
        <w:pStyle w:val="NoSpacing"/>
      </w:pPr>
    </w:p>
    <w:p w14:paraId="05D5DD49" w14:textId="77777777" w:rsidR="008D7CEA" w:rsidRDefault="008D7CEA" w:rsidP="008D7CEA">
      <w:pPr>
        <w:pStyle w:val="NoSpacing"/>
        <w:rPr>
          <w:b/>
          <w:bCs/>
        </w:rPr>
      </w:pPr>
      <w:r>
        <w:rPr>
          <w:b/>
        </w:rPr>
        <w:t>Legal lesson learned:  Davis should have consulted an employment layer before refusing to issue the COVID reprimands.</w:t>
      </w:r>
    </w:p>
    <w:p w14:paraId="7896FF80" w14:textId="77777777" w:rsidR="008D7CEA" w:rsidRDefault="008D7CEA" w:rsidP="008D7CEA">
      <w:pPr>
        <w:pStyle w:val="NoSpacing"/>
        <w:rPr>
          <w:b/>
          <w:bCs/>
        </w:rPr>
      </w:pPr>
    </w:p>
    <w:p w14:paraId="53D4C45D" w14:textId="77777777" w:rsidR="008D7CEA" w:rsidRDefault="008D7CEA" w:rsidP="008D7CEA">
      <w:pPr>
        <w:pStyle w:val="NoSpacing"/>
        <w:ind w:left="720"/>
      </w:pPr>
      <w:r>
        <w:t xml:space="preserve">Note: See June 15, </w:t>
      </w:r>
      <w:proofErr w:type="gramStart"/>
      <w:r>
        <w:t>2024</w:t>
      </w:r>
      <w:proofErr w:type="gramEnd"/>
      <w:r>
        <w:t xml:space="preserve"> article</w:t>
      </w:r>
      <w:r w:rsidRPr="001260AC">
        <w:rPr>
          <w:b/>
        </w:rPr>
        <w:t xml:space="preserve">: </w:t>
      </w:r>
      <w:r>
        <w:rPr>
          <w:b/>
        </w:rPr>
        <w:t>“</w:t>
      </w:r>
      <w:r w:rsidRPr="001260AC">
        <w:t>BREAKING: Former Orange County Fire Rescue battalion chief announces candidacy for County Commission District 1</w:t>
      </w:r>
      <w:r>
        <w:t xml:space="preserve">. </w:t>
      </w:r>
      <w:hyperlink r:id="rId2067" w:history="1">
        <w:r w:rsidRPr="002B0907">
          <w:rPr>
            <w:rStyle w:val="Hyperlink"/>
          </w:rPr>
          <w:t>https://www.orangeobserver.com/news/2024/jun/15/breaking-former-orange-county-fire-rescue-battalion-chief-announces-candidacy-for-county-commission-district-1/</w:t>
        </w:r>
      </w:hyperlink>
      <w:r>
        <w:t xml:space="preserve"> </w:t>
      </w:r>
    </w:p>
    <w:p w14:paraId="247E0F29" w14:textId="77777777" w:rsidR="008D7CEA" w:rsidRDefault="008D7CEA" w:rsidP="008D7CEA">
      <w:pPr>
        <w:pStyle w:val="NoSpacing"/>
        <w:ind w:left="720"/>
      </w:pPr>
    </w:p>
    <w:p w14:paraId="1318568A" w14:textId="77777777" w:rsidR="008D7CEA" w:rsidRPr="00A21182" w:rsidRDefault="008D7CEA" w:rsidP="008D7CEA">
      <w:pPr>
        <w:pStyle w:val="NoSpacing"/>
        <w:ind w:left="720"/>
      </w:pPr>
      <w:r>
        <w:t>“</w:t>
      </w:r>
      <w:r w:rsidRPr="00722EC8">
        <w:t xml:space="preserve">Stephen Davis, a former Orange County Fire Rescue battalion chief has filed as a qualified write-in candidate for the </w:t>
      </w:r>
      <w:proofErr w:type="gramStart"/>
      <w:r w:rsidRPr="00722EC8">
        <w:t>District</w:t>
      </w:r>
      <w:proofErr w:type="gramEnd"/>
      <w:r w:rsidRPr="00722EC8">
        <w:t xml:space="preserve"> 1 Orange County Commission seat.</w:t>
      </w:r>
      <w:r>
        <w:t xml:space="preserve"> </w:t>
      </w:r>
      <w:r w:rsidRPr="00722EC8">
        <w:t xml:space="preserve">Davis joins incumbent Nicole Wilson and challenger Austin Arthur in the race. </w:t>
      </w:r>
      <w:proofErr w:type="spellStart"/>
      <w:r w:rsidRPr="00722EC8">
        <w:t>Davis’</w:t>
      </w:r>
      <w:proofErr w:type="spellEnd"/>
      <w:r w:rsidRPr="00722EC8">
        <w:t xml:space="preserve"> candidacy also moves the race from November general election up to the primary ballot, Aug. 20.</w:t>
      </w:r>
      <w:r>
        <w:t xml:space="preserve"> </w:t>
      </w:r>
      <w:r w:rsidRPr="00722EC8">
        <w:t xml:space="preserve">If one candidate gets 50% plus one vote in the primary, that person wins the seat, Orange County Supervisor of Elections Public Information Officer Christopher Heath said. </w:t>
      </w:r>
      <w:r>
        <w:t xml:space="preserve"> </w:t>
      </w:r>
      <w:r w:rsidRPr="00722EC8">
        <w:t>Davis worked for the department for 15 years and advanced through the ranks to battalion chief. In 2021, Davis was terminated after he did not reprimand department personnel who refused the Orange County’s mandated COVID-19 vaccine.</w:t>
      </w:r>
      <w:r w:rsidRPr="00A21182">
        <w:rPr>
          <w:rFonts w:eastAsia="Times New Roman"/>
        </w:rPr>
        <w:t xml:space="preserve"> </w:t>
      </w:r>
      <w:r w:rsidRPr="00A21182">
        <w:t xml:space="preserve">He later filed a lawsuit against the county for wrongful termination </w:t>
      </w:r>
      <w:proofErr w:type="gramStart"/>
      <w:r w:rsidRPr="00A21182">
        <w:t>and also</w:t>
      </w:r>
      <w:proofErr w:type="gramEnd"/>
      <w:r w:rsidRPr="00A21182">
        <w:t xml:space="preserve"> has written a book about his experience.</w:t>
      </w:r>
      <w:r>
        <w:t xml:space="preserve"> ‘</w:t>
      </w:r>
      <w:r w:rsidRPr="00A21182">
        <w:t>History has now proven Orange County was wrong to mandate the so-called vaccine,</w:t>
      </w:r>
      <w:r>
        <w:t>’</w:t>
      </w:r>
      <w:r w:rsidRPr="00A21182">
        <w:t xml:space="preserve"> Davis said. </w:t>
      </w:r>
      <w:r>
        <w:t>‘</w:t>
      </w:r>
      <w:r w:rsidRPr="00A21182">
        <w:t>It did not stop the spread. Worse, Commissioner Nicole Wilson ridiculed and showed disdain for the firefighters who refused it. That’s why I’m running — to make sure this issue does not go away.</w:t>
      </w:r>
      <w:r>
        <w:t>’”</w:t>
      </w:r>
    </w:p>
    <w:p w14:paraId="7943B121" w14:textId="77777777" w:rsidR="00DB1FBE" w:rsidRDefault="00DB1FBE" w:rsidP="00004498">
      <w:pPr>
        <w:rPr>
          <w:rFonts w:ascii="Arial Black" w:hAnsi="Arial Black"/>
          <w:b/>
          <w:bCs/>
          <w:sz w:val="24"/>
          <w:szCs w:val="24"/>
        </w:rPr>
      </w:pPr>
    </w:p>
    <w:p w14:paraId="58697735" w14:textId="77777777" w:rsidR="00DB1FBE" w:rsidRDefault="00DB1FBE" w:rsidP="00004498">
      <w:pPr>
        <w:rPr>
          <w:rFonts w:ascii="Arial Black" w:hAnsi="Arial Black"/>
          <w:b/>
          <w:bCs/>
          <w:sz w:val="24"/>
          <w:szCs w:val="24"/>
        </w:rPr>
      </w:pPr>
    </w:p>
    <w:p w14:paraId="039E4D67" w14:textId="42AA3F76" w:rsidR="00F448F2" w:rsidRDefault="00F448F2" w:rsidP="00004498">
      <w:pPr>
        <w:rPr>
          <w:rFonts w:ascii="Arial Black" w:hAnsi="Arial Black"/>
          <w:b/>
          <w:bCs/>
          <w:sz w:val="24"/>
          <w:szCs w:val="24"/>
        </w:rPr>
      </w:pPr>
      <w:r>
        <w:rPr>
          <w:rFonts w:ascii="Arial Black" w:hAnsi="Arial Black"/>
          <w:b/>
          <w:bCs/>
          <w:sz w:val="24"/>
          <w:szCs w:val="24"/>
        </w:rPr>
        <w:t>13-244</w:t>
      </w:r>
    </w:p>
    <w:p w14:paraId="4FC97D69" w14:textId="77777777" w:rsidR="00F448F2" w:rsidRPr="005A0B1B" w:rsidRDefault="00F448F2" w:rsidP="00F448F2">
      <w:pPr>
        <w:pStyle w:val="NoSpacing"/>
        <w:rPr>
          <w:rFonts w:ascii="Arial Black" w:hAnsi="Arial Black"/>
          <w:b/>
          <w:sz w:val="28"/>
          <w:szCs w:val="28"/>
        </w:rPr>
      </w:pPr>
      <w:r>
        <w:rPr>
          <w:rFonts w:ascii="Arial Black" w:hAnsi="Arial Black"/>
          <w:b/>
          <w:sz w:val="28"/>
          <w:szCs w:val="28"/>
        </w:rPr>
        <w:t>MA: 8-MO CHILD – 2 EMTs DIDN’T CANCEL ALS – NO CASE</w:t>
      </w:r>
    </w:p>
    <w:p w14:paraId="7FDD11F0" w14:textId="77777777" w:rsidR="00F448F2" w:rsidRDefault="00F448F2" w:rsidP="00F448F2">
      <w:pPr>
        <w:pStyle w:val="NoSpacing"/>
        <w:rPr>
          <w:b/>
        </w:rPr>
      </w:pPr>
    </w:p>
    <w:p w14:paraId="5F061A7F" w14:textId="77777777" w:rsidR="00F448F2" w:rsidRDefault="00F448F2" w:rsidP="00F448F2">
      <w:pPr>
        <w:pStyle w:val="NoSpacing"/>
      </w:pPr>
      <w:r>
        <w:t xml:space="preserve">On February 6, 2026, in </w:t>
      </w:r>
      <w:r w:rsidRPr="00A658F9">
        <w:rPr>
          <w:u w:val="single"/>
        </w:rPr>
        <w:t>Matthew Lincoff and Taylor Lincoff, co-personal representatives of the estate of Landon Lincoff v. Town of Topsfield, et al</w:t>
      </w:r>
      <w:r>
        <w:t xml:space="preserve">., U.S. District Court Judge Brian E. Murphy, </w:t>
      </w:r>
    </w:p>
    <w:p w14:paraId="08337326" w14:textId="77777777" w:rsidR="00F448F2" w:rsidRDefault="00F448F2" w:rsidP="00F448F2">
      <w:pPr>
        <w:pStyle w:val="NoSpacing"/>
      </w:pPr>
      <w:r w:rsidRPr="00B672B3">
        <w:t>United States District Court for the District of Massachusetts</w:t>
      </w:r>
      <w:r>
        <w:t xml:space="preserve"> granted the defendants motion to dismiss federal case; there no proof that the Town’s policy in 2020 to handle their own EMS transports, with mutual aid ALS back up, led to a </w:t>
      </w:r>
      <w:r>
        <w:lastRenderedPageBreak/>
        <w:t xml:space="preserve">practice of cancelling ALS mutual aid. In the </w:t>
      </w:r>
      <w:r w:rsidRPr="00B73581">
        <w:t xml:space="preserve">early hours of June 5, 2021, eight-month-old Landon stopped breathing at </w:t>
      </w:r>
      <w:proofErr w:type="gramStart"/>
      <w:r w:rsidRPr="00B73581">
        <w:t>his home</w:t>
      </w:r>
      <w:proofErr w:type="gramEnd"/>
      <w:r w:rsidRPr="00B73581">
        <w:t xml:space="preserve"> after having been sick with a cough and respiratory illness in the preceding days.</w:t>
      </w:r>
      <w:r>
        <w:t xml:space="preserve"> </w:t>
      </w:r>
      <w:r w:rsidRPr="0005295A">
        <w:t xml:space="preserve">Two Topsfield </w:t>
      </w:r>
      <w:r>
        <w:t xml:space="preserve">police </w:t>
      </w:r>
      <w:r w:rsidRPr="0005295A">
        <w:t xml:space="preserve">officers arrived at the residence around 2:11 a.m. </w:t>
      </w:r>
      <w:r>
        <w:t xml:space="preserve">and </w:t>
      </w:r>
      <w:r w:rsidRPr="0005295A">
        <w:t>found Landon pulseless and not breathing.</w:t>
      </w:r>
      <w:r>
        <w:t xml:space="preserve">  At 2:12 am, off duty TDF paramedic </w:t>
      </w:r>
      <w:r w:rsidRPr="00064812">
        <w:t>Jonathan Hallina</w:t>
      </w:r>
      <w:r>
        <w:t xml:space="preserve">n heard the call at home, requested mutual aid and drove to the fire station, while two EMT-Basics at the station responded in ambulance and arrived at </w:t>
      </w:r>
      <w:r w:rsidRPr="00A24981">
        <w:t>2:16 a.m.</w:t>
      </w:r>
      <w:r>
        <w:t xml:space="preserve">, and departed for </w:t>
      </w:r>
      <w:r w:rsidRPr="009A12DF">
        <w:t xml:space="preserve">Beverly Hospital </w:t>
      </w:r>
      <w:r>
        <w:t xml:space="preserve">at 2:19 pm </w:t>
      </w:r>
      <w:r w:rsidRPr="009A12DF">
        <w:t>with a police escor</w:t>
      </w:r>
      <w:r>
        <w:t xml:space="preserve">t, along with Mrs. </w:t>
      </w:r>
      <w:proofErr w:type="spellStart"/>
      <w:r>
        <w:t>Lincoff</w:t>
      </w:r>
      <w:proofErr w:type="spellEnd"/>
      <w:r>
        <w:t xml:space="preserve"> on board. At 2:22 the ambulance picked up Paramedic </w:t>
      </w:r>
      <w:r w:rsidRPr="00064812">
        <w:t>Hallina</w:t>
      </w:r>
      <w:r>
        <w:t xml:space="preserve">n and at </w:t>
      </w:r>
      <w:r w:rsidRPr="00B62E7F">
        <w:t xml:space="preserve">2:23 a.m., picked up </w:t>
      </w:r>
      <w:r>
        <w:t xml:space="preserve">Lt. Paramedic </w:t>
      </w:r>
      <w:r w:rsidRPr="00472E7E">
        <w:t>John Boyle</w:t>
      </w:r>
      <w:r>
        <w:t xml:space="preserve"> and went to hospital. The mutual aid ambulance from </w:t>
      </w:r>
      <w:r w:rsidRPr="001C5499">
        <w:t>Northeast Regional Ambulance Service (</w:t>
      </w:r>
      <w:r>
        <w:t>‘</w:t>
      </w:r>
      <w:r w:rsidRPr="001C5499">
        <w:t>NRAS</w:t>
      </w:r>
      <w:r>
        <w:t>’</w:t>
      </w:r>
      <w:r w:rsidRPr="001C5499">
        <w:t>)</w:t>
      </w:r>
      <w:r>
        <w:t xml:space="preserve"> was not needed – but advised they w</w:t>
      </w:r>
      <w:r w:rsidRPr="006B140B">
        <w:t xml:space="preserve">ould “be coming down </w:t>
      </w:r>
      <w:r>
        <w:t>[R</w:t>
      </w:r>
      <w:r w:rsidRPr="006B140B">
        <w:t xml:space="preserve">oute] 97 also, we will intercept you as easy as possible. If you do not need to stop, </w:t>
      </w:r>
      <w:proofErr w:type="gramStart"/>
      <w:r w:rsidRPr="006B140B">
        <w:t>continue on</w:t>
      </w:r>
      <w:proofErr w:type="gramEnd"/>
      <w:r w:rsidRPr="006B140B">
        <w:t>, we will stop if you need to.”</w:t>
      </w:r>
      <w:r>
        <w:t xml:space="preserve"> </w:t>
      </w:r>
      <w:hyperlink r:id="rId2068" w:history="1">
        <w:r w:rsidRPr="00C72C21">
          <w:rPr>
            <w:rStyle w:val="Hyperlink"/>
          </w:rPr>
          <w:t>https://cases.justia.com/federal/district-courts/massachusetts/madce/1:2023cv12125/261357/75/0.pdf?ts=1770465752</w:t>
        </w:r>
      </w:hyperlink>
      <w:r>
        <w:t xml:space="preserve"> </w:t>
      </w:r>
    </w:p>
    <w:p w14:paraId="38D539B1" w14:textId="77777777" w:rsidR="00F448F2" w:rsidRDefault="00F448F2" w:rsidP="00F448F2">
      <w:pPr>
        <w:pStyle w:val="NoSpacing"/>
      </w:pPr>
    </w:p>
    <w:p w14:paraId="671320AD" w14:textId="77777777" w:rsidR="00F448F2" w:rsidRDefault="00F448F2" w:rsidP="00F448F2">
      <w:pPr>
        <w:pStyle w:val="NoSpacing"/>
      </w:pPr>
      <w:r>
        <w:t>THE COURT HELD: “</w:t>
      </w:r>
      <w:r w:rsidRPr="005C6982">
        <w:t>Since 2020, TFD has been the primary transport service, though the Town maintains agreements with other emergency first responder services to provide backup emergency services</w:t>
      </w:r>
      <w:r>
        <w:t xml:space="preserve">…. </w:t>
      </w:r>
      <w:r w:rsidRPr="005C6982">
        <w:t xml:space="preserve"> Backup emergency services are available via an </w:t>
      </w:r>
      <w:r>
        <w:t>‘</w:t>
      </w:r>
      <w:r w:rsidRPr="005C6982">
        <w:t>intercept,</w:t>
      </w:r>
      <w:r>
        <w:t>’</w:t>
      </w:r>
      <w:r w:rsidRPr="005C6982">
        <w:t xml:space="preserve"> which refers to any ambulance or individual dispatched for the purpose of supplementing staff</w:t>
      </w:r>
      <w:r>
        <w:t xml:space="preserve">…. </w:t>
      </w:r>
      <w:r w:rsidRPr="00A45B59">
        <w:t>One such service is Northeast Regional Ambulance Service (</w:t>
      </w:r>
      <w:r>
        <w:t>‘</w:t>
      </w:r>
      <w:r w:rsidRPr="00A45B59">
        <w:t>NRAS</w:t>
      </w:r>
      <w:r>
        <w:t>’</w:t>
      </w:r>
      <w:r w:rsidRPr="00A45B59">
        <w:t>)</w:t>
      </w:r>
      <w:r>
        <w:t xml:space="preserve">…. </w:t>
      </w:r>
      <w:r w:rsidRPr="00A45B59">
        <w:t>The Town claims to have decided to make TFD the primary transportation service because when NRAS was the primary transport provider, NRAS's delayed response time would result in TFD personnel arriving to provide services but then needing to wait for NRAS to arrive to make the transport</w:t>
      </w:r>
      <w:r>
        <w:t>….</w:t>
      </w:r>
      <w:r w:rsidRPr="00A45B59">
        <w:t>The Town experienced additional difficulties relying on NRAS's staffing of ambulances, including sending BLS services instead of ALS</w:t>
      </w:r>
      <w:r>
        <w:t xml:space="preserve">…. </w:t>
      </w:r>
      <w:r w:rsidRPr="00101460">
        <w:t>Around the same time, Collins-Brown expressed a desire to ensure that TFD paramedics gain more experience in the field, to provide better and faster care to Topsfield residents.</w:t>
      </w:r>
      <w:r>
        <w:t xml:space="preserve"> *** </w:t>
      </w:r>
      <w:r w:rsidRPr="00E502A2">
        <w:t xml:space="preserve"> The </w:t>
      </w:r>
      <w:proofErr w:type="spellStart"/>
      <w:r w:rsidRPr="00E502A2">
        <w:t>Lincoffs</w:t>
      </w:r>
      <w:proofErr w:type="spellEnd"/>
      <w:r w:rsidRPr="00E502A2">
        <w:t xml:space="preserve"> contend that this preference became a policy or practice of cancelling NRAS intercepts to allow the TFD paramedics to gain more experience</w:t>
      </w:r>
      <w:r>
        <w:t xml:space="preserve">…. </w:t>
      </w:r>
      <w:r w:rsidRPr="00E502A2">
        <w:t xml:space="preserve">However, none of the TFD personnel involved in this case were aware of a policy or practice of cancelling intercepts for any reason other than because it was deemed unnecessary for patient care. </w:t>
      </w:r>
      <w:r>
        <w:t xml:space="preserve">*** </w:t>
      </w:r>
      <w:r w:rsidRPr="001607ED">
        <w:t>Based on the undisputed record before the Court, Boyle's actions cannot be said to have been deliberately indifferent to a substantial risk of serious harm.</w:t>
      </w:r>
      <w:r>
        <w:t>”</w:t>
      </w:r>
    </w:p>
    <w:p w14:paraId="63D983D5" w14:textId="77777777" w:rsidR="00F448F2" w:rsidRDefault="00F448F2" w:rsidP="00F448F2">
      <w:pPr>
        <w:pStyle w:val="NoSpacing"/>
      </w:pPr>
    </w:p>
    <w:p w14:paraId="2AA36D4E" w14:textId="77777777" w:rsidR="00F448F2" w:rsidRPr="00E502A2" w:rsidRDefault="00F448F2" w:rsidP="00F448F2">
      <w:pPr>
        <w:pStyle w:val="NoSpacing"/>
        <w:rPr>
          <w:b/>
          <w:bCs/>
        </w:rPr>
      </w:pPr>
      <w:r w:rsidRPr="00AD2716">
        <w:rPr>
          <w:b/>
        </w:rPr>
        <w:t xml:space="preserve">Legal lesson learned: </w:t>
      </w:r>
      <w:r>
        <w:rPr>
          <w:b/>
        </w:rPr>
        <w:t xml:space="preserve">There was no evidence of any of the EMS being “deliberate indifferent” to the needs of the patient. </w:t>
      </w:r>
    </w:p>
    <w:p w14:paraId="5AA50487" w14:textId="77777777" w:rsidR="00F448F2" w:rsidRPr="00A45B59" w:rsidRDefault="00F448F2" w:rsidP="00F448F2">
      <w:pPr>
        <w:pStyle w:val="NoSpacing"/>
      </w:pPr>
    </w:p>
    <w:p w14:paraId="0D48D4C6" w14:textId="77777777" w:rsidR="00F448F2" w:rsidRDefault="00F448F2" w:rsidP="00004498">
      <w:pPr>
        <w:rPr>
          <w:rFonts w:ascii="Arial Black" w:hAnsi="Arial Black"/>
          <w:b/>
          <w:bCs/>
          <w:sz w:val="24"/>
          <w:szCs w:val="24"/>
        </w:rPr>
      </w:pPr>
    </w:p>
    <w:p w14:paraId="2A36AC61" w14:textId="3AF748A3" w:rsidR="00BF6824" w:rsidRDefault="00BF6824" w:rsidP="00004498">
      <w:pPr>
        <w:rPr>
          <w:rFonts w:ascii="Arial Black" w:hAnsi="Arial Black"/>
          <w:b/>
          <w:bCs/>
          <w:sz w:val="24"/>
          <w:szCs w:val="24"/>
        </w:rPr>
      </w:pPr>
      <w:r>
        <w:rPr>
          <w:rFonts w:ascii="Arial Black" w:hAnsi="Arial Black"/>
          <w:b/>
          <w:bCs/>
          <w:sz w:val="24"/>
          <w:szCs w:val="24"/>
        </w:rPr>
        <w:t>13-243</w:t>
      </w:r>
    </w:p>
    <w:p w14:paraId="2E90720B" w14:textId="77777777" w:rsidR="00BF6824" w:rsidRPr="005D5832" w:rsidRDefault="00BF6824" w:rsidP="00BF6824">
      <w:pPr>
        <w:pStyle w:val="NoSpacing"/>
        <w:rPr>
          <w:rFonts w:ascii="Arial Black" w:hAnsi="Arial Black"/>
          <w:sz w:val="28"/>
          <w:szCs w:val="28"/>
        </w:rPr>
      </w:pPr>
      <w:r>
        <w:rPr>
          <w:rFonts w:ascii="Arial Black" w:hAnsi="Arial Black"/>
          <w:sz w:val="28"/>
          <w:szCs w:val="28"/>
        </w:rPr>
        <w:t>NY: COVID – FF CLAIM VAC FETAL CELLS – CASE PROCEED</w:t>
      </w:r>
    </w:p>
    <w:p w14:paraId="7673D1EE" w14:textId="77777777" w:rsidR="00BF6824" w:rsidRDefault="00BF6824" w:rsidP="00BF6824">
      <w:pPr>
        <w:pStyle w:val="NoSpacing"/>
      </w:pPr>
    </w:p>
    <w:p w14:paraId="544991AB" w14:textId="77777777" w:rsidR="00BF6824" w:rsidRDefault="00BF6824" w:rsidP="00BF6824">
      <w:pPr>
        <w:pStyle w:val="NoSpacing"/>
      </w:pPr>
      <w:r>
        <w:t xml:space="preserve">On February 2, 2026, in Salvatore Maita v. City of New York, U.S. Magistrate Judge Vera M. Scanlon, </w:t>
      </w:r>
      <w:r w:rsidRPr="00914791">
        <w:t>United States District Court for Eastern District of New York</w:t>
      </w:r>
      <w:r>
        <w:rPr>
          <w:b/>
        </w:rPr>
        <w:t xml:space="preserve">, </w:t>
      </w:r>
      <w:r w:rsidRPr="001B0201">
        <w:t xml:space="preserve">issued a Report and Recommendation </w:t>
      </w:r>
      <w:r>
        <w:t xml:space="preserve">that the lawsuit proceed to pre-trial discovery.  FDNY on November 1, </w:t>
      </w:r>
      <w:proofErr w:type="gramStart"/>
      <w:r>
        <w:t>2021</w:t>
      </w:r>
      <w:proofErr w:type="gramEnd"/>
      <w:r>
        <w:t xml:space="preserve"> he was placed on leave without pay; his request for accommodation because it was not based on his religion – Catholic – but on his claim the vaccination was “produced </w:t>
      </w:r>
      <w:r w:rsidRPr="006E2758">
        <w:t>researched, manufactured, and/or tested using aborted fetal cell lines</w:t>
      </w:r>
      <w:r>
        <w:t>.</w:t>
      </w:r>
      <w:r w:rsidRPr="006E2758">
        <w:t>”</w:t>
      </w:r>
      <w:r>
        <w:t xml:space="preserve"> He was fired on February 11, 2022. In 2023 he requested reinstatement, but it was denied on April 17, 2023 when he refused to sign a waiver </w:t>
      </w:r>
      <w:r w:rsidRPr="00300A52">
        <w:t>waiving his right to all backpay from the time he was placed on Leave Without Pay</w:t>
      </w:r>
      <w:r>
        <w:t xml:space="preserve">.  </w:t>
      </w:r>
      <w:hyperlink r:id="rId2069" w:history="1">
        <w:r w:rsidRPr="00125CD1">
          <w:rPr>
            <w:rStyle w:val="Hyperlink"/>
          </w:rPr>
          <w:t>https://public.fastcase.com/Jhe1Qn%2BmJndQYQU6z%2FeNm1LICE259A5ulYHxnw3lcJtDWEaUq57rExGHQXd3hU8EgaPHTdGS%2FRk5aoRP0crRKmeZauTqc6nD5gh3xIKTEMg%3D?utm_medium=email&amp;_hsenc=p2ANqtz-9zYvhQr5QF-kHvOgqVEwwEjeDJW6aa7G89aGppWtTq6GnIfdSTK1neKuS-jEFNuUA2B3hULaVGvwBQIPV_0qoJel6h4w&amp;_hsmi=226712652&amp;utm_content=226712652&amp;utm_source=hs_email</w:t>
        </w:r>
      </w:hyperlink>
      <w:r>
        <w:t xml:space="preserve"> </w:t>
      </w:r>
    </w:p>
    <w:p w14:paraId="256630DA" w14:textId="77777777" w:rsidR="00BF6824" w:rsidRDefault="00BF6824" w:rsidP="00BF6824">
      <w:pPr>
        <w:pStyle w:val="NoSpacing"/>
      </w:pPr>
    </w:p>
    <w:p w14:paraId="5C6CEBF7" w14:textId="77777777" w:rsidR="00BF6824" w:rsidRDefault="00BF6824" w:rsidP="00BF6824">
      <w:pPr>
        <w:pStyle w:val="NoSpacing"/>
      </w:pPr>
      <w:r>
        <w:t>THE COURT HELD:  “[Plaintiff claims] that</w:t>
      </w:r>
      <w:r w:rsidRPr="00106892">
        <w:t xml:space="preserve"> Defendant granted approximately 105 religious and medical accommodations to other employees of the FDNY, including </w:t>
      </w:r>
      <w:r>
        <w:t>‘</w:t>
      </w:r>
      <w:r w:rsidRPr="00106892">
        <w:t>active-duty firefighters,</w:t>
      </w:r>
      <w:r>
        <w:t>’</w:t>
      </w:r>
      <w:r w:rsidRPr="00106892">
        <w:t xml:space="preserve"> as of January 11, 2022, including at least thirty medical accommodations and at least six religious accommodations, and permitted them </w:t>
      </w:r>
      <w:r>
        <w:t>‘</w:t>
      </w:r>
      <w:r w:rsidRPr="00106892">
        <w:t>to submit to weekly PCR testing</w:t>
      </w:r>
      <w:r>
        <w:t>’</w:t>
      </w:r>
      <w:r w:rsidRPr="00106892">
        <w:t xml:space="preserve"> in lieu of receiving the COVID-19 vaccine, such that providing this accommodation was not an undue hardship, </w:t>
      </w:r>
      <w:r w:rsidRPr="00106892">
        <w:lastRenderedPageBreak/>
        <w:t xml:space="preserve">particularly given that only the initial dose was required, that </w:t>
      </w:r>
      <w:r>
        <w:t>‘</w:t>
      </w:r>
      <w:r w:rsidRPr="00106892">
        <w:t>[t]he COVID-19 vaccine does not cause prevention or [sic] transmission of the COVID-19 virus,</w:t>
      </w:r>
      <w:r>
        <w:t xml:space="preserve">’ </w:t>
      </w:r>
      <w:r w:rsidRPr="00106892">
        <w:t xml:space="preserve"> and that </w:t>
      </w:r>
      <w:r>
        <w:t>‘</w:t>
      </w:r>
      <w:r w:rsidRPr="00106892">
        <w:t>vaccinated and unvaccinated people infected with COVID-19</w:t>
      </w:r>
      <w:r>
        <w:t>’</w:t>
      </w:r>
      <w:r w:rsidRPr="00106892">
        <w:t xml:space="preserve"> had </w:t>
      </w:r>
      <w:r>
        <w:t>‘</w:t>
      </w:r>
      <w:r w:rsidRPr="00106892">
        <w:t>similar viral loads.</w:t>
      </w:r>
      <w:r>
        <w:t xml:space="preserve">’ … </w:t>
      </w:r>
      <w:r w:rsidRPr="00106892">
        <w:t>Employees of the New York City Police Department were similarly accommodated</w:t>
      </w:r>
      <w:r>
        <w:t xml:space="preserve">…. *** </w:t>
      </w:r>
      <w:r w:rsidRPr="00823740">
        <w:t xml:space="preserve">Once Plaintiff has pleaded his claims, and the possible affirmative defenses are not evident on the face of the amended complaint, the claims may move forward. </w:t>
      </w:r>
      <w:proofErr w:type="gramStart"/>
      <w:r w:rsidRPr="00823740">
        <w:t>Defendant</w:t>
      </w:r>
      <w:proofErr w:type="gramEnd"/>
      <w:r w:rsidRPr="00823740">
        <w:t xml:space="preserve"> may, indeed, have valid defenses, but they require the presentation of facts beyond the amended complaint. For example, Plaintiff bases his claims on a claim that aborted fetal cell lines were used in the production, research, manufacture and/or testing of the COVID-19 vaccine. This is posited as a fact, not a religious belief in and of itself such that Plaintiff will have to prove such alleged fact at a later stage of the proceedings. This allegation cannot be resolved on the current record. By way of another factual dispute that cannot be resolved on the face of the amended complaint or as a matter of law is the defense of undue hardship. At this juncture, determination of whether accommodating Plaintiff would have been an undue hardship for Defendant would be premature.</w:t>
      </w:r>
      <w:r>
        <w:t>”</w:t>
      </w:r>
    </w:p>
    <w:p w14:paraId="59A55B97" w14:textId="77777777" w:rsidR="00BF6824" w:rsidRDefault="00BF6824" w:rsidP="00BF6824">
      <w:pPr>
        <w:pStyle w:val="NoSpacing"/>
      </w:pPr>
    </w:p>
    <w:p w14:paraId="37B7892C" w14:textId="77777777" w:rsidR="00BF6824" w:rsidRPr="00106892" w:rsidRDefault="00BF6824" w:rsidP="00BF6824">
      <w:pPr>
        <w:pStyle w:val="NoSpacing"/>
        <w:rPr>
          <w:b/>
          <w:bCs/>
        </w:rPr>
      </w:pPr>
      <w:r w:rsidRPr="00B57F27">
        <w:rPr>
          <w:b/>
        </w:rPr>
        <w:t xml:space="preserve">Legal lesson learned: </w:t>
      </w:r>
      <w:r>
        <w:rPr>
          <w:b/>
        </w:rPr>
        <w:t xml:space="preserve">Case will now proceed to pre-trial discovery; many COVID cases against FDNY have resulted in dismissal of the cases. </w:t>
      </w:r>
    </w:p>
    <w:p w14:paraId="10A1E9BB" w14:textId="77777777" w:rsidR="00BF6824" w:rsidRDefault="00BF6824" w:rsidP="00004498">
      <w:pPr>
        <w:rPr>
          <w:rFonts w:ascii="Arial Black" w:hAnsi="Arial Black"/>
          <w:b/>
          <w:bCs/>
          <w:sz w:val="24"/>
          <w:szCs w:val="24"/>
        </w:rPr>
      </w:pPr>
    </w:p>
    <w:p w14:paraId="541EAFB2" w14:textId="3FD57166" w:rsidR="00C812C2" w:rsidRDefault="00627649" w:rsidP="00004498">
      <w:pPr>
        <w:rPr>
          <w:rFonts w:ascii="Arial Black" w:hAnsi="Arial Black"/>
          <w:b/>
          <w:bCs/>
          <w:sz w:val="24"/>
          <w:szCs w:val="24"/>
        </w:rPr>
      </w:pPr>
      <w:r>
        <w:rPr>
          <w:rFonts w:ascii="Arial Black" w:hAnsi="Arial Black"/>
          <w:b/>
          <w:bCs/>
          <w:sz w:val="24"/>
          <w:szCs w:val="24"/>
        </w:rPr>
        <w:t>13-242</w:t>
      </w:r>
    </w:p>
    <w:p w14:paraId="39FB2AB2" w14:textId="0277EA31" w:rsidR="00627649" w:rsidRPr="00454803" w:rsidRDefault="00627649" w:rsidP="00627649">
      <w:pPr>
        <w:rPr>
          <w:rFonts w:ascii="Arial Black" w:hAnsi="Arial Black"/>
          <w:b/>
          <w:sz w:val="28"/>
          <w:szCs w:val="28"/>
        </w:rPr>
      </w:pPr>
      <w:r>
        <w:rPr>
          <w:rFonts w:ascii="Arial Black" w:hAnsi="Arial Black"/>
          <w:b/>
          <w:sz w:val="28"/>
          <w:szCs w:val="28"/>
        </w:rPr>
        <w:t>OH: ASHMA PT – 911 / HANG UP – DISPATCHERS NEG</w:t>
      </w:r>
      <w:r w:rsidR="005A04E2">
        <w:rPr>
          <w:rFonts w:ascii="Arial Black" w:hAnsi="Arial Black"/>
          <w:b/>
          <w:sz w:val="28"/>
          <w:szCs w:val="28"/>
        </w:rPr>
        <w:t>LIGENCE</w:t>
      </w:r>
      <w:r>
        <w:rPr>
          <w:rFonts w:ascii="Arial Black" w:hAnsi="Arial Black"/>
          <w:b/>
          <w:sz w:val="28"/>
          <w:szCs w:val="28"/>
        </w:rPr>
        <w:t xml:space="preserve"> </w:t>
      </w:r>
    </w:p>
    <w:p w14:paraId="73A1C282" w14:textId="77777777" w:rsidR="00627649" w:rsidRDefault="00627649" w:rsidP="00627649">
      <w:pPr>
        <w:pStyle w:val="NoSpacing"/>
      </w:pPr>
      <w:r>
        <w:t xml:space="preserve">On January 12, 2026, in </w:t>
      </w:r>
      <w:r w:rsidRPr="0005582E">
        <w:rPr>
          <w:u w:val="single"/>
        </w:rPr>
        <w:t>Clinton T. Widdowson, as Administrator of the Estate of Tyler Joe-Austin Widdowson, et al. v. Lake County, Ohio</w:t>
      </w:r>
      <w:r>
        <w:t xml:space="preserve">, the </w:t>
      </w:r>
      <w:r w:rsidRPr="0005582E">
        <w:t>Court of Appeals of Ohio, Eleventh District, Lake</w:t>
      </w:r>
      <w:r>
        <w:t xml:space="preserve"> County held (2 to 1) that trial court judge should not have dismissed the two dispatchers from this lawsuit for their alleged “</w:t>
      </w:r>
      <w:r w:rsidRPr="00C47724">
        <w:t>wanton and reckless conduct</w:t>
      </w:r>
      <w:r>
        <w:t>”</w:t>
      </w:r>
      <w:r w:rsidRPr="00C47724">
        <w:t xml:space="preserve"> </w:t>
      </w:r>
      <w:r>
        <w:t xml:space="preserve">- </w:t>
      </w:r>
      <w:r w:rsidRPr="00471BDC">
        <w:t>Angela King and Brandy</w:t>
      </w:r>
      <w:r>
        <w:t xml:space="preserve"> </w:t>
      </w:r>
      <w:r w:rsidRPr="00471BDC">
        <w:t xml:space="preserve">Catanese. </w:t>
      </w:r>
      <w:r>
        <w:t xml:space="preserve"> On </w:t>
      </w:r>
      <w:r w:rsidRPr="00CC1EE2">
        <w:t>Saturday, April 30, 2022, at 5:26 a.m.,</w:t>
      </w:r>
      <w:r>
        <w:t xml:space="preserve"> </w:t>
      </w:r>
      <w:r w:rsidRPr="00CC1EE2">
        <w:t xml:space="preserve">Tiler Widdowson </w:t>
      </w:r>
      <w:r>
        <w:t xml:space="preserve">(age 24) </w:t>
      </w:r>
      <w:r w:rsidRPr="00CC1EE2">
        <w:t>called 911 on his cell phone for assistance. The</w:t>
      </w:r>
      <w:r>
        <w:t xml:space="preserve"> </w:t>
      </w:r>
      <w:r w:rsidRPr="00CC1EE2">
        <w:t>call was received by Sgt. King who had difficulty discerning what</w:t>
      </w:r>
      <w:r>
        <w:t xml:space="preserve"> </w:t>
      </w:r>
      <w:r w:rsidRPr="00CC1EE2">
        <w:t>Widdowson was saying. She was only able to discern the word</w:t>
      </w:r>
      <w:r>
        <w:t xml:space="preserve"> '</w:t>
      </w:r>
      <w:r w:rsidRPr="00CC1EE2">
        <w:t xml:space="preserve">help.” She </w:t>
      </w:r>
      <w:proofErr w:type="gramStart"/>
      <w:r w:rsidRPr="00CC1EE2">
        <w:t>entered into</w:t>
      </w:r>
      <w:proofErr w:type="gramEnd"/>
      <w:r w:rsidRPr="00CC1EE2">
        <w:t xml:space="preserve"> the Computer Aided Dispatch (CAD) system</w:t>
      </w:r>
      <w:r>
        <w:t xml:space="preserve"> </w:t>
      </w:r>
      <w:r w:rsidRPr="00CC1EE2">
        <w:t>“Male just yelling help.” Despite her repeated requests, Widdowson</w:t>
      </w:r>
      <w:r>
        <w:t xml:space="preserve"> </w:t>
      </w:r>
      <w:r w:rsidRPr="00CC1EE2">
        <w:t>was unable to provide his location</w:t>
      </w:r>
      <w:r>
        <w:t xml:space="preserve">, and sent deputies to Cambridge Condominiums on low level welfare check. At 6:06 a.m., she relistened to the call and added in the CAD the comment “just says please help, please help, can’t breathe” and further commented “sounds like it’s not directly into the phone either.” She did not reclassify the call from a welfare check to a medical emergency and did send fire or </w:t>
      </w:r>
      <w:proofErr w:type="gramStart"/>
      <w:r>
        <w:t>EMS, and</w:t>
      </w:r>
      <w:proofErr w:type="gramEnd"/>
      <w:r>
        <w:t xml:space="preserve"> did have second dispatcher radio this information to the deputies. </w:t>
      </w:r>
      <w:hyperlink r:id="rId2070" w:history="1">
        <w:r w:rsidRPr="00815351">
          <w:rPr>
            <w:rStyle w:val="Hyperlink"/>
          </w:rPr>
          <w:t>https://www.supremecourt.ohio.gov/rod/docs/pdf/11/2026/2026-Ohio-67.pdf</w:t>
        </w:r>
      </w:hyperlink>
      <w:r>
        <w:t xml:space="preserve"> </w:t>
      </w:r>
    </w:p>
    <w:p w14:paraId="1FAFD8E2" w14:textId="77777777" w:rsidR="00627649" w:rsidRDefault="00627649" w:rsidP="00627649">
      <w:pPr>
        <w:pStyle w:val="NoSpacing"/>
      </w:pPr>
    </w:p>
    <w:p w14:paraId="3820200E" w14:textId="77777777" w:rsidR="00627649" w:rsidRDefault="00627649" w:rsidP="00627649">
      <w:pPr>
        <w:pStyle w:val="NoSpacing"/>
      </w:pPr>
      <w:r>
        <w:t>THE COURT HELD:</w:t>
      </w:r>
    </w:p>
    <w:p w14:paraId="437A9DA4" w14:textId="77777777" w:rsidR="00627649" w:rsidRDefault="00627649" w:rsidP="00627649">
      <w:pPr>
        <w:pStyle w:val="NoSpacing"/>
      </w:pPr>
    </w:p>
    <w:p w14:paraId="51FE6D46" w14:textId="77777777" w:rsidR="00627649" w:rsidRDefault="00627649" w:rsidP="00627649">
      <w:pPr>
        <w:pStyle w:val="NoSpacing"/>
        <w:ind w:firstLine="720"/>
      </w:pPr>
      <w:r>
        <w:t>“King was the fire and EMS dispatcher and could have directly dispatched</w:t>
      </w:r>
    </w:p>
    <w:p w14:paraId="28B30853" w14:textId="77777777" w:rsidR="00627649" w:rsidRDefault="00627649" w:rsidP="00627649">
      <w:pPr>
        <w:pStyle w:val="NoSpacing"/>
        <w:ind w:firstLine="720"/>
      </w:pPr>
      <w:r>
        <w:t>those units (located about two minutes away) to the scene or, at the least, staged them</w:t>
      </w:r>
    </w:p>
    <w:p w14:paraId="77530F39" w14:textId="77777777" w:rsidR="00627649" w:rsidRDefault="00627649" w:rsidP="00627649">
      <w:pPr>
        <w:pStyle w:val="NoSpacing"/>
        <w:ind w:firstLine="720"/>
      </w:pPr>
      <w:r>
        <w:t>(</w:t>
      </w:r>
      <w:proofErr w:type="gramStart"/>
      <w:r>
        <w:t>put</w:t>
      </w:r>
      <w:proofErr w:type="gramEnd"/>
      <w:r>
        <w:t xml:space="preserve"> them on notice</w:t>
      </w:r>
      <w:proofErr w:type="gramStart"/>
      <w:r>
        <w:t>), but</w:t>
      </w:r>
      <w:proofErr w:type="gramEnd"/>
      <w:r>
        <w:t xml:space="preserve"> did not do so. Nor did she reclassify the call as a medical</w:t>
      </w:r>
    </w:p>
    <w:p w14:paraId="487BEAF4" w14:textId="77777777" w:rsidR="00627649" w:rsidRDefault="00627649" w:rsidP="00627649">
      <w:pPr>
        <w:pStyle w:val="NoSpacing"/>
        <w:ind w:firstLine="720"/>
      </w:pPr>
      <w:r>
        <w:t>emergency. Although deputies were already on the scene, the deputies, according to</w:t>
      </w:r>
    </w:p>
    <w:p w14:paraId="54F1662F" w14:textId="77777777" w:rsidR="00627649" w:rsidRDefault="00627649" w:rsidP="00627649">
      <w:pPr>
        <w:pStyle w:val="NoSpacing"/>
        <w:ind w:firstLine="720"/>
      </w:pPr>
      <w:proofErr w:type="gramStart"/>
      <w:r>
        <w:t>Bowers,</w:t>
      </w:r>
      <w:proofErr w:type="gramEnd"/>
      <w:r>
        <w:t xml:space="preserve"> were not ‘trained medically’ to deal with a medical emergency.</w:t>
      </w:r>
    </w:p>
    <w:p w14:paraId="4BEA0738" w14:textId="77777777" w:rsidR="00627649" w:rsidRDefault="00627649" w:rsidP="00627649">
      <w:pPr>
        <w:pStyle w:val="NoSpacing"/>
        <w:ind w:firstLine="720"/>
      </w:pPr>
    </w:p>
    <w:p w14:paraId="6C23C9A1" w14:textId="77777777" w:rsidR="00627649" w:rsidRDefault="00627649" w:rsidP="00627649">
      <w:pPr>
        <w:pStyle w:val="NoSpacing"/>
        <w:ind w:firstLine="720"/>
      </w:pPr>
      <w:r>
        <w:t>We do find that the plaintiffs merit the opportunity of making that case to the</w:t>
      </w:r>
    </w:p>
    <w:p w14:paraId="33FB20F9" w14:textId="77777777" w:rsidR="00627649" w:rsidRDefault="00627649" w:rsidP="00627649">
      <w:pPr>
        <w:pStyle w:val="NoSpacing"/>
        <w:ind w:firstLine="720"/>
      </w:pPr>
      <w:r>
        <w:t>jury. Accordingly, summary judgment was improperly granted with respect to King.</w:t>
      </w:r>
    </w:p>
    <w:p w14:paraId="442CB11F" w14:textId="77777777" w:rsidR="00627649" w:rsidRDefault="00627649" w:rsidP="00627649">
      <w:pPr>
        <w:pStyle w:val="NoSpacing"/>
        <w:ind w:firstLine="720"/>
      </w:pPr>
    </w:p>
    <w:p w14:paraId="0193C2BD" w14:textId="77777777" w:rsidR="00627649" w:rsidRDefault="00627649" w:rsidP="00627649">
      <w:pPr>
        <w:pStyle w:val="NoSpacing"/>
        <w:ind w:firstLine="720"/>
      </w:pPr>
      <w:r>
        <w:t>***</w:t>
      </w:r>
    </w:p>
    <w:p w14:paraId="1CA28349" w14:textId="77777777" w:rsidR="00627649" w:rsidRDefault="00627649" w:rsidP="00627649">
      <w:pPr>
        <w:pStyle w:val="NoSpacing"/>
      </w:pPr>
    </w:p>
    <w:p w14:paraId="21934AF5" w14:textId="77777777" w:rsidR="00627649" w:rsidRDefault="00627649" w:rsidP="00627649">
      <w:pPr>
        <w:pStyle w:val="NoSpacing"/>
        <w:ind w:left="720"/>
      </w:pPr>
      <w:r>
        <w:t>We find that prior to hearing Tiler’s complaint that he could not breathe at about 6:06 a.m., King’s conduct was at most negligent. The initial classification of the call as a welfare check was in accordance with call center policies. In addition to classifying the event, King noted that the male caller was yelling ‘help’ and Catanese duly broadcast this information when dispatching Deputy Bowers.</w:t>
      </w:r>
    </w:p>
    <w:p w14:paraId="2AAF6A44" w14:textId="77777777" w:rsidR="00627649" w:rsidRDefault="00627649" w:rsidP="00627649">
      <w:pPr>
        <w:pStyle w:val="NoSpacing"/>
      </w:pPr>
    </w:p>
    <w:p w14:paraId="268C78F3" w14:textId="77777777" w:rsidR="00627649" w:rsidRDefault="00627649" w:rsidP="00627649">
      <w:pPr>
        <w:pStyle w:val="NoSpacing"/>
        <w:ind w:left="720"/>
      </w:pPr>
      <w:r>
        <w:lastRenderedPageBreak/>
        <w:t>After realizing the severity of the situation, however, King’s conduct could be described as the failure to exercise any care in circumstances in which there was a great probability of harm and/or the conscious disregard of or indifference to an obvious risk of harm. The critical issue of whether Tiler’s not being able to breathe constituted a medical emergency, i.e., a situation requiring an emergency medical response, is not one that needs to be resolved.”</w:t>
      </w:r>
    </w:p>
    <w:p w14:paraId="7608D3FC" w14:textId="77777777" w:rsidR="00627649" w:rsidRDefault="00627649" w:rsidP="00627649">
      <w:pPr>
        <w:pStyle w:val="NoSpacing"/>
        <w:ind w:left="720"/>
      </w:pPr>
    </w:p>
    <w:p w14:paraId="4BB95A9A" w14:textId="77777777" w:rsidR="00627649" w:rsidRPr="00EB0A64" w:rsidRDefault="00627649" w:rsidP="00627649">
      <w:pPr>
        <w:pStyle w:val="NoSpacing"/>
        <w:rPr>
          <w:b/>
          <w:bCs/>
        </w:rPr>
      </w:pPr>
      <w:r>
        <w:rPr>
          <w:b/>
        </w:rPr>
        <w:t xml:space="preserve">Legal lesson learned: Please share this case with your dispatchers; a 911 call for “can’t </w:t>
      </w:r>
      <w:proofErr w:type="spellStart"/>
      <w:proofErr w:type="gramStart"/>
      <w:r>
        <w:rPr>
          <w:b/>
        </w:rPr>
        <w:t>breath</w:t>
      </w:r>
      <w:proofErr w:type="spellEnd"/>
      <w:proofErr w:type="gramEnd"/>
      <w:r>
        <w:rPr>
          <w:b/>
        </w:rPr>
        <w:t xml:space="preserve">” should be handled as a medical emergency with EMS responding. </w:t>
      </w:r>
    </w:p>
    <w:p w14:paraId="20D5A555" w14:textId="77777777" w:rsidR="00627649" w:rsidRDefault="00627649" w:rsidP="00627649">
      <w:pPr>
        <w:pStyle w:val="NoSpacing"/>
      </w:pPr>
    </w:p>
    <w:p w14:paraId="3F346A1F" w14:textId="77777777" w:rsidR="00627649" w:rsidRDefault="00627649" w:rsidP="00627649">
      <w:pPr>
        <w:pStyle w:val="NoSpacing"/>
        <w:ind w:left="720"/>
      </w:pPr>
      <w:r>
        <w:t xml:space="preserve">Note: Dissenting Justice: “While Tiler Widdowson’s death is undeniably tragic, and while the emergency response may not have been perfect, the legal standards governing this case do not permit liability under these circumstances.” </w:t>
      </w:r>
    </w:p>
    <w:p w14:paraId="58D80299" w14:textId="77777777" w:rsidR="00627649" w:rsidRDefault="00627649" w:rsidP="00627649">
      <w:pPr>
        <w:pStyle w:val="NoSpacing"/>
      </w:pPr>
    </w:p>
    <w:p w14:paraId="631BBBA9" w14:textId="77777777" w:rsidR="00627649" w:rsidRDefault="00627649" w:rsidP="00004498">
      <w:pPr>
        <w:rPr>
          <w:rFonts w:ascii="Arial Black" w:hAnsi="Arial Black"/>
          <w:b/>
          <w:bCs/>
          <w:sz w:val="24"/>
          <w:szCs w:val="24"/>
        </w:rPr>
      </w:pPr>
    </w:p>
    <w:p w14:paraId="4125F5CB" w14:textId="2EC099D8" w:rsidR="009F546C" w:rsidRDefault="00424793" w:rsidP="00004498">
      <w:pPr>
        <w:rPr>
          <w:rFonts w:ascii="Arial Black" w:hAnsi="Arial Black"/>
          <w:b/>
          <w:bCs/>
          <w:sz w:val="24"/>
          <w:szCs w:val="24"/>
        </w:rPr>
      </w:pPr>
      <w:r>
        <w:rPr>
          <w:rFonts w:ascii="Arial Black" w:hAnsi="Arial Black"/>
          <w:b/>
          <w:bCs/>
          <w:sz w:val="24"/>
          <w:szCs w:val="24"/>
        </w:rPr>
        <w:t xml:space="preserve">13 – </w:t>
      </w:r>
      <w:r w:rsidR="002E2246">
        <w:rPr>
          <w:rFonts w:ascii="Arial Black" w:hAnsi="Arial Black"/>
          <w:b/>
          <w:bCs/>
          <w:sz w:val="24"/>
          <w:szCs w:val="24"/>
        </w:rPr>
        <w:t>24</w:t>
      </w:r>
      <w:r w:rsidR="00524647">
        <w:rPr>
          <w:rFonts w:ascii="Arial Black" w:hAnsi="Arial Black"/>
          <w:b/>
          <w:bCs/>
          <w:sz w:val="24"/>
          <w:szCs w:val="24"/>
        </w:rPr>
        <w:t>1</w:t>
      </w:r>
    </w:p>
    <w:p w14:paraId="42C17C39" w14:textId="61D17F23" w:rsidR="00424793" w:rsidRDefault="00424793" w:rsidP="00424793">
      <w:pPr>
        <w:rPr>
          <w:rFonts w:ascii="Arial Black" w:hAnsi="Arial Black"/>
          <w:b/>
          <w:sz w:val="28"/>
          <w:szCs w:val="28"/>
        </w:rPr>
      </w:pPr>
      <w:r>
        <w:rPr>
          <w:rFonts w:ascii="Arial Black" w:hAnsi="Arial Black"/>
          <w:b/>
          <w:sz w:val="28"/>
          <w:szCs w:val="28"/>
        </w:rPr>
        <w:t xml:space="preserve">IL: VICTIM DIED – MEDIC </w:t>
      </w:r>
      <w:r w:rsidR="00437034">
        <w:rPr>
          <w:rFonts w:ascii="Arial Black" w:hAnsi="Arial Black"/>
          <w:b/>
          <w:sz w:val="28"/>
          <w:szCs w:val="28"/>
        </w:rPr>
        <w:t xml:space="preserve">CAN TESTIFY </w:t>
      </w:r>
      <w:r w:rsidR="00014738">
        <w:rPr>
          <w:rFonts w:ascii="Arial Black" w:hAnsi="Arial Black"/>
          <w:b/>
          <w:sz w:val="28"/>
          <w:szCs w:val="28"/>
        </w:rPr>
        <w:t xml:space="preserve">TO </w:t>
      </w:r>
      <w:r>
        <w:rPr>
          <w:rFonts w:ascii="Arial Black" w:hAnsi="Arial Black"/>
          <w:b/>
          <w:sz w:val="28"/>
          <w:szCs w:val="28"/>
        </w:rPr>
        <w:t xml:space="preserve">JURY </w:t>
      </w:r>
      <w:r w:rsidR="00014738">
        <w:rPr>
          <w:rFonts w:ascii="Arial Black" w:hAnsi="Arial Black"/>
          <w:b/>
          <w:sz w:val="28"/>
          <w:szCs w:val="28"/>
        </w:rPr>
        <w:t xml:space="preserve">– PT’s </w:t>
      </w:r>
      <w:r>
        <w:rPr>
          <w:rFonts w:ascii="Arial Black" w:hAnsi="Arial Black"/>
          <w:b/>
          <w:sz w:val="28"/>
          <w:szCs w:val="28"/>
        </w:rPr>
        <w:t xml:space="preserve">“EXCITED UTTERANCE” </w:t>
      </w:r>
    </w:p>
    <w:p w14:paraId="13C761B7" w14:textId="77777777" w:rsidR="00424793" w:rsidRDefault="00424793" w:rsidP="00424793">
      <w:pPr>
        <w:rPr>
          <w:b/>
        </w:rPr>
      </w:pPr>
      <w:r>
        <w:t xml:space="preserve">On December 23, 2025, in </w:t>
      </w:r>
      <w:r w:rsidRPr="001D5214">
        <w:rPr>
          <w:u w:val="single"/>
        </w:rPr>
        <w:t>The People of the State of Illinois v. Londre Brown</w:t>
      </w:r>
      <w:r>
        <w:t xml:space="preserve">, the </w:t>
      </w:r>
      <w:r w:rsidRPr="001D5214">
        <w:t>Court of Appeals of Illinois, First District, Fifth Division</w:t>
      </w:r>
      <w:r>
        <w:t xml:space="preserve"> held (3 to 0) that the defendant was properly convicted by a jury of </w:t>
      </w:r>
      <w:r w:rsidRPr="00CD235D">
        <w:t>two counts of aggravated criminal</w:t>
      </w:r>
      <w:r>
        <w:t xml:space="preserve"> </w:t>
      </w:r>
      <w:r w:rsidRPr="00CD235D">
        <w:t>sexual assault and one count of aggravated battery of a person 60 years of age or older</w:t>
      </w:r>
      <w:r>
        <w:t xml:space="preserve">, and the sentence of 54 years.  The paramedic was properly allowed to testify about  the victim’s comments to her at the scene – excited utterance exception to hearsay rule and EMS run report was admissible as nontestimonial medical record (she died before trail, apparently from unrelated cause).   </w:t>
      </w:r>
      <w:hyperlink r:id="rId2071" w:history="1">
        <w:r w:rsidRPr="00D31421">
          <w:rPr>
            <w:rStyle w:val="Hyperlink"/>
            <w:b/>
          </w:rPr>
          <w:t>https://ilcourtsaudio.blob.core.windows.net/</w:t>
        </w:r>
      </w:hyperlink>
      <w:r>
        <w:rPr>
          <w:b/>
        </w:rPr>
        <w:t xml:space="preserve"> </w:t>
      </w:r>
    </w:p>
    <w:p w14:paraId="62FC5623" w14:textId="77777777" w:rsidR="00424793" w:rsidRDefault="00424793" w:rsidP="00424793">
      <w:pPr>
        <w:rPr>
          <w:bCs/>
        </w:rPr>
      </w:pPr>
      <w:r>
        <w:t>THE COURT HELD:</w:t>
      </w:r>
    </w:p>
    <w:p w14:paraId="05816073" w14:textId="77777777" w:rsidR="00424793" w:rsidRPr="001C2565" w:rsidRDefault="00424793" w:rsidP="00424793">
      <w:pPr>
        <w:pStyle w:val="NoSpacing"/>
        <w:ind w:firstLine="720"/>
        <w:rPr>
          <w:bCs/>
        </w:rPr>
      </w:pPr>
      <w:r>
        <w:t>“</w:t>
      </w:r>
      <w:r w:rsidRPr="001C2565">
        <w:t>Christopher Daly, a paramedic, testified that, on December 13, 2019, at approximately</w:t>
      </w:r>
    </w:p>
    <w:p w14:paraId="4F5DC630" w14:textId="77777777" w:rsidR="00424793" w:rsidRDefault="00424793" w:rsidP="00424793">
      <w:pPr>
        <w:pStyle w:val="NoSpacing"/>
        <w:ind w:left="720"/>
        <w:rPr>
          <w:bCs/>
        </w:rPr>
      </w:pPr>
      <w:r w:rsidRPr="001C2565">
        <w:t>8:30 p.m. when he arrived at the scene, he observed an elderly woman sitting at the top of the</w:t>
      </w:r>
      <w:r>
        <w:t xml:space="preserve"> </w:t>
      </w:r>
      <w:r w:rsidRPr="001C2565">
        <w:t xml:space="preserve">stairs, who was </w:t>
      </w:r>
      <w:r>
        <w:t>‘</w:t>
      </w:r>
      <w:r w:rsidRPr="001C2565">
        <w:t>stressed out</w:t>
      </w:r>
      <w:r>
        <w:t>’</w:t>
      </w:r>
      <w:r w:rsidRPr="001C2565">
        <w:t xml:space="preserve"> and </w:t>
      </w:r>
      <w:r>
        <w:t>‘</w:t>
      </w:r>
      <w:r w:rsidRPr="001C2565">
        <w:t>near hysterical.</w:t>
      </w:r>
      <w:r>
        <w:t>’</w:t>
      </w:r>
      <w:r w:rsidRPr="001C2565">
        <w:t xml:space="preserve"> The victim did not want anyone to touch her;</w:t>
      </w:r>
      <w:r>
        <w:t xml:space="preserve"> </w:t>
      </w:r>
      <w:r w:rsidRPr="001C2565">
        <w:t xml:space="preserve">she was </w:t>
      </w:r>
      <w:r>
        <w:t>‘</w:t>
      </w:r>
      <w:r w:rsidRPr="001C2565">
        <w:t>shaking</w:t>
      </w:r>
      <w:r>
        <w:t>’</w:t>
      </w:r>
      <w:r w:rsidRPr="001C2565">
        <w:t xml:space="preserve"> and </w:t>
      </w:r>
      <w:r>
        <w:t>‘</w:t>
      </w:r>
      <w:r w:rsidRPr="001C2565">
        <w:t>very scared.</w:t>
      </w:r>
      <w:r>
        <w:t>’</w:t>
      </w:r>
      <w:r w:rsidRPr="001C2565">
        <w:t xml:space="preserve"> Daly’s partner, Anthony Hoard, coaxed her down the stairs.</w:t>
      </w:r>
      <w:r>
        <w:t xml:space="preserve"> </w:t>
      </w:r>
      <w:r w:rsidRPr="001C2565">
        <w:t>After the victim stepped outside, she sat in a chair they had brought, and they took her to the</w:t>
      </w:r>
      <w:r>
        <w:t xml:space="preserve"> </w:t>
      </w:r>
      <w:r w:rsidRPr="001C2565">
        <w:t>ambulance. Her demeanor in the ambulance was the same as it had been at the top of stairs:</w:t>
      </w:r>
      <w:r>
        <w:t xml:space="preserve"> ‘</w:t>
      </w:r>
      <w:r w:rsidRPr="001C2565">
        <w:t>anxious, nervous, seemed very scared.</w:t>
      </w:r>
      <w:r>
        <w:t xml:space="preserve">’ </w:t>
      </w:r>
      <w:r w:rsidRPr="001C2565">
        <w:t>Daly explained that, because he was the paramedic, he</w:t>
      </w:r>
      <w:r>
        <w:t xml:space="preserve"> </w:t>
      </w:r>
      <w:r w:rsidRPr="001C2565">
        <w:t>assessed the patient while his partner did the documentation. While Daly was assessing her and</w:t>
      </w:r>
      <w:r>
        <w:t xml:space="preserve"> </w:t>
      </w:r>
      <w:r w:rsidRPr="001C2565">
        <w:t xml:space="preserve">asking, </w:t>
      </w:r>
      <w:r>
        <w:t>‘</w:t>
      </w:r>
      <w:r w:rsidRPr="001C2565">
        <w:t>what happened,</w:t>
      </w:r>
      <w:r>
        <w:t>’</w:t>
      </w:r>
      <w:r w:rsidRPr="001C2565">
        <w:t xml:space="preserve"> the victim said that defendant had bitten her and had </w:t>
      </w:r>
      <w:r>
        <w:t>‘</w:t>
      </w:r>
      <w:r w:rsidRPr="001C2565">
        <w:t>stuck his penis in</w:t>
      </w:r>
      <w:r>
        <w:t xml:space="preserve"> </w:t>
      </w:r>
      <w:r w:rsidRPr="001C2565">
        <w:t>her mouth.</w:t>
      </w:r>
      <w:r>
        <w:t>’</w:t>
      </w:r>
      <w:r w:rsidRPr="001C2565">
        <w:t xml:space="preserve"> The victim said defendant was holding her down and she was fighting him off and</w:t>
      </w:r>
      <w:r>
        <w:t xml:space="preserve"> ‘</w:t>
      </w:r>
      <w:r w:rsidRPr="001C2565">
        <w:t>that’s why she was hurt all over.”</w:t>
      </w:r>
      <w:r>
        <w:t xml:space="preserve"> </w:t>
      </w:r>
    </w:p>
    <w:p w14:paraId="5B88F1EF" w14:textId="77777777" w:rsidR="00424793" w:rsidRDefault="00424793" w:rsidP="00424793">
      <w:pPr>
        <w:pStyle w:val="NoSpacing"/>
        <w:rPr>
          <w:bCs/>
        </w:rPr>
      </w:pPr>
    </w:p>
    <w:p w14:paraId="2FB63724" w14:textId="77777777" w:rsidR="00424793" w:rsidRPr="00465B82" w:rsidRDefault="00424793" w:rsidP="00424793">
      <w:pPr>
        <w:pStyle w:val="NoSpacing"/>
        <w:ind w:firstLine="720"/>
        <w:rPr>
          <w:bCs/>
        </w:rPr>
      </w:pPr>
      <w:r w:rsidRPr="00465B82">
        <w:t>Daly described the injuries he observed, including a very deep cut in her right thigh</w:t>
      </w:r>
    </w:p>
    <w:p w14:paraId="7C6E2755" w14:textId="77777777" w:rsidR="00424793" w:rsidRDefault="00424793" w:rsidP="00424793">
      <w:pPr>
        <w:pStyle w:val="NoSpacing"/>
        <w:ind w:left="720"/>
        <w:rPr>
          <w:bCs/>
        </w:rPr>
      </w:pPr>
      <w:r w:rsidRPr="00465B82">
        <w:t xml:space="preserve">that seemed almost to </w:t>
      </w:r>
      <w:proofErr w:type="gramStart"/>
      <w:r w:rsidRPr="00465B82">
        <w:t>the</w:t>
      </w:r>
      <w:proofErr w:type="gramEnd"/>
      <w:r w:rsidRPr="00465B82">
        <w:t xml:space="preserve"> bone. Daly explained that doctors at the hospital would want to know</w:t>
      </w:r>
      <w:r>
        <w:t xml:space="preserve"> </w:t>
      </w:r>
      <w:r w:rsidRPr="00465B82">
        <w:t xml:space="preserve">how big the knife was, what kind of knife was used, and whether it was clean or dirty. </w:t>
      </w:r>
    </w:p>
    <w:p w14:paraId="28E7DE1E" w14:textId="77777777" w:rsidR="00424793" w:rsidRDefault="00424793" w:rsidP="00424793">
      <w:pPr>
        <w:pStyle w:val="NoSpacing"/>
        <w:ind w:left="720"/>
        <w:rPr>
          <w:bCs/>
        </w:rPr>
      </w:pPr>
    </w:p>
    <w:p w14:paraId="6240F0A6" w14:textId="77777777" w:rsidR="00424793" w:rsidRDefault="00424793" w:rsidP="00424793">
      <w:pPr>
        <w:pStyle w:val="NoSpacing"/>
        <w:ind w:left="720"/>
        <w:rPr>
          <w:bCs/>
        </w:rPr>
      </w:pPr>
      <w:r w:rsidRPr="00465B82">
        <w:t>For this</w:t>
      </w:r>
      <w:r>
        <w:t xml:space="preserve"> </w:t>
      </w:r>
      <w:r w:rsidRPr="00465B82">
        <w:t>reason, Daly went back inside the victim’s house and asked defendant ‘What kind of knife did</w:t>
      </w:r>
      <w:r>
        <w:t xml:space="preserve"> </w:t>
      </w:r>
      <w:r w:rsidRPr="00465B82">
        <w:t xml:space="preserve">you use to cut her?’ </w:t>
      </w:r>
      <w:r>
        <w:t>‘</w:t>
      </w:r>
      <w:r w:rsidRPr="00465B82">
        <w:t xml:space="preserve"> Defendant replied: ‘I didn’t use a knife</w:t>
      </w:r>
      <w:proofErr w:type="gramStart"/>
      <w:r w:rsidRPr="00465B82">
        <w:t>.</w:t>
      </w:r>
      <w:proofErr w:type="gramEnd"/>
      <w:r w:rsidRPr="00465B82">
        <w:t xml:space="preserve"> I bit her.’ Daly described</w:t>
      </w:r>
      <w:r>
        <w:t xml:space="preserve"> </w:t>
      </w:r>
      <w:r w:rsidRPr="00465B82">
        <w:t xml:space="preserve">defendant’s demeanor as </w:t>
      </w:r>
      <w:r>
        <w:t>‘</w:t>
      </w:r>
      <w:r w:rsidRPr="00465B82">
        <w:t>[a]</w:t>
      </w:r>
      <w:proofErr w:type="spellStart"/>
      <w:r w:rsidRPr="00465B82">
        <w:t>lmost</w:t>
      </w:r>
      <w:proofErr w:type="spellEnd"/>
      <w:r w:rsidRPr="00465B82">
        <w:t xml:space="preserve"> smug,</w:t>
      </w:r>
      <w:r>
        <w:t>’</w:t>
      </w:r>
      <w:r w:rsidRPr="00465B82">
        <w:t xml:space="preserve"> like he </w:t>
      </w:r>
      <w:r>
        <w:t>‘</w:t>
      </w:r>
      <w:r w:rsidRPr="00465B82">
        <w:t>didn’t care.</w:t>
      </w:r>
      <w:r>
        <w:t>’</w:t>
      </w:r>
      <w:r w:rsidRPr="00465B82">
        <w:t xml:space="preserve"> After speaking with defendant</w:t>
      </w:r>
      <w:r>
        <w:t>.</w:t>
      </w:r>
    </w:p>
    <w:p w14:paraId="705D02A5" w14:textId="77777777" w:rsidR="00424793" w:rsidRDefault="00424793" w:rsidP="00424793">
      <w:pPr>
        <w:pStyle w:val="NoSpacing"/>
        <w:ind w:left="720"/>
        <w:rPr>
          <w:bCs/>
        </w:rPr>
      </w:pPr>
    </w:p>
    <w:p w14:paraId="3B3B54D3" w14:textId="77777777" w:rsidR="00424793" w:rsidRDefault="00424793" w:rsidP="00424793">
      <w:pPr>
        <w:pStyle w:val="NoSpacing"/>
        <w:ind w:left="720"/>
        <w:rPr>
          <w:bCs/>
        </w:rPr>
      </w:pPr>
      <w:r>
        <w:t>***</w:t>
      </w:r>
    </w:p>
    <w:p w14:paraId="6E31F73E" w14:textId="77777777" w:rsidR="00424793" w:rsidRPr="00465B82" w:rsidRDefault="00424793" w:rsidP="00424793">
      <w:pPr>
        <w:pStyle w:val="NoSpacing"/>
        <w:ind w:left="720"/>
        <w:rPr>
          <w:bCs/>
        </w:rPr>
      </w:pPr>
    </w:p>
    <w:p w14:paraId="0DE70880" w14:textId="77777777" w:rsidR="00424793" w:rsidRPr="003A1E73" w:rsidRDefault="00424793" w:rsidP="00424793">
      <w:pPr>
        <w:pStyle w:val="NoSpacing"/>
        <w:ind w:firstLine="720"/>
        <w:rPr>
          <w:bCs/>
        </w:rPr>
      </w:pPr>
      <w:r w:rsidRPr="003A1E73">
        <w:t xml:space="preserve">The </w:t>
      </w:r>
      <w:r>
        <w:t>‘</w:t>
      </w:r>
      <w:r w:rsidRPr="003A1E73">
        <w:t>Excited Utterance</w:t>
      </w:r>
      <w:r>
        <w:t>’</w:t>
      </w:r>
      <w:r w:rsidRPr="003A1E73">
        <w:t xml:space="preserve"> exception permits the introduction of </w:t>
      </w:r>
      <w:r>
        <w:t>‘</w:t>
      </w:r>
      <w:r w:rsidRPr="003A1E73">
        <w:t>[a] statement relating</w:t>
      </w:r>
    </w:p>
    <w:p w14:paraId="733DDD74" w14:textId="77777777" w:rsidR="00424793" w:rsidRDefault="00424793" w:rsidP="00424793">
      <w:pPr>
        <w:pStyle w:val="NoSpacing"/>
        <w:ind w:left="720"/>
        <w:rPr>
          <w:bCs/>
        </w:rPr>
      </w:pPr>
      <w:r w:rsidRPr="003A1E73">
        <w:lastRenderedPageBreak/>
        <w:t>to a startling event or condition made while the declarant was under the stress of excitement caused</w:t>
      </w:r>
      <w:r>
        <w:t xml:space="preserve"> </w:t>
      </w:r>
      <w:r w:rsidRPr="003A1E73">
        <w:t>by the event or condition.</w:t>
      </w:r>
      <w:r>
        <w:t>’</w:t>
      </w:r>
      <w:r w:rsidRPr="003A1E73">
        <w:t xml:space="preserve"> Ill. R. Evid. 803(2) (eff. Jan. 25, 2023). For a hearsay statement to be</w:t>
      </w:r>
      <w:r>
        <w:t xml:space="preserve"> </w:t>
      </w:r>
      <w:r w:rsidRPr="003A1E73">
        <w:t xml:space="preserve">admissible under this exception, our supreme court has set forth three </w:t>
      </w:r>
      <w:r>
        <w:t>‘</w:t>
      </w:r>
      <w:r w:rsidRPr="003A1E73">
        <w:t>must</w:t>
      </w:r>
      <w:r>
        <w:t>’</w:t>
      </w:r>
      <w:r w:rsidRPr="003A1E73">
        <w:t xml:space="preserve"> requirements:</w:t>
      </w:r>
      <w:r>
        <w:t xml:space="preserve"> </w:t>
      </w:r>
      <w:r w:rsidRPr="003A1E73">
        <w:t xml:space="preserve">(1) </w:t>
      </w:r>
      <w:r>
        <w:t>‘</w:t>
      </w:r>
      <w:r w:rsidRPr="003A1E73">
        <w:t>there must be an occurrence sufficiently startling to produce a spontaneous and unreflecting</w:t>
      </w:r>
      <w:r>
        <w:t xml:space="preserve"> </w:t>
      </w:r>
      <w:r w:rsidRPr="003A1E73">
        <w:t>statement,</w:t>
      </w:r>
      <w:r>
        <w:t>’</w:t>
      </w:r>
      <w:r w:rsidRPr="003A1E73">
        <w:t xml:space="preserve">(2) </w:t>
      </w:r>
      <w:r>
        <w:t>‘</w:t>
      </w:r>
      <w:r w:rsidRPr="003A1E73">
        <w:t>there must be an absence of time for the declarant to fabricate the statement,</w:t>
      </w:r>
      <w:r>
        <w:t>’</w:t>
      </w:r>
      <w:r w:rsidRPr="003A1E73">
        <w:t xml:space="preserve"> and</w:t>
      </w:r>
      <w:r>
        <w:t xml:space="preserve"> </w:t>
      </w:r>
      <w:r w:rsidRPr="003A1E73">
        <w:t xml:space="preserve">(3) </w:t>
      </w:r>
      <w:r>
        <w:t>‘</w:t>
      </w:r>
      <w:r w:rsidRPr="003A1E73">
        <w:t>the statement must relate to the circumstances of the occurrence.</w:t>
      </w:r>
      <w:r>
        <w:t>’</w:t>
      </w:r>
      <w:r w:rsidRPr="003A1E73">
        <w:t xml:space="preserve"> (Emphases added.) People</w:t>
      </w:r>
      <w:r>
        <w:t xml:space="preserve"> </w:t>
      </w:r>
      <w:r w:rsidRPr="003A1E73">
        <w:t>v. Sutton, 233 Ill. 2d 89, 107 (2009); People v. Williams, 193 Ill. 2d 306, 352 (2000); Jones, 2025</w:t>
      </w:r>
      <w:r>
        <w:t xml:space="preserve"> </w:t>
      </w:r>
      <w:r w:rsidRPr="003A1E73">
        <w:t>IL App (1st) 230771, ¶ 114; People v. Morales, 2021 IL App (2d) 190408, ¶ 12.</w:t>
      </w:r>
    </w:p>
    <w:p w14:paraId="2765ABDF" w14:textId="77777777" w:rsidR="00424793" w:rsidRDefault="00424793" w:rsidP="00424793">
      <w:pPr>
        <w:pStyle w:val="NoSpacing"/>
        <w:ind w:left="720"/>
        <w:rPr>
          <w:bCs/>
        </w:rPr>
      </w:pPr>
    </w:p>
    <w:p w14:paraId="027F3FE4" w14:textId="77777777" w:rsidR="00424793" w:rsidRDefault="00424793" w:rsidP="00424793">
      <w:pPr>
        <w:pStyle w:val="NoSpacing"/>
        <w:ind w:left="720"/>
        <w:rPr>
          <w:bCs/>
        </w:rPr>
      </w:pPr>
      <w:r>
        <w:t>***</w:t>
      </w:r>
    </w:p>
    <w:p w14:paraId="66C2B1F1" w14:textId="77777777" w:rsidR="00424793" w:rsidRDefault="00424793" w:rsidP="00424793">
      <w:pPr>
        <w:pStyle w:val="NoSpacing"/>
        <w:ind w:left="720"/>
        <w:rPr>
          <w:bCs/>
        </w:rPr>
      </w:pPr>
    </w:p>
    <w:p w14:paraId="56315985" w14:textId="77777777" w:rsidR="00424793" w:rsidRDefault="00424793" w:rsidP="00424793">
      <w:pPr>
        <w:pStyle w:val="NoSpacing"/>
        <w:ind w:left="720"/>
        <w:rPr>
          <w:bCs/>
        </w:rPr>
      </w:pPr>
      <w:r>
        <w:t>[T]</w:t>
      </w:r>
      <w:r w:rsidRPr="000A6A49">
        <w:t xml:space="preserve">here is no indication that their </w:t>
      </w:r>
      <w:r>
        <w:t xml:space="preserve">[EMS] </w:t>
      </w:r>
      <w:r w:rsidRPr="000A6A49">
        <w:t>report was intended as a substitute for victim</w:t>
      </w:r>
      <w:r>
        <w:t xml:space="preserve"> </w:t>
      </w:r>
      <w:r w:rsidRPr="000A6A49">
        <w:t>testimony, as opposed to a medical record intended to enable accurate treatment once they reached</w:t>
      </w:r>
      <w:r>
        <w:t xml:space="preserve"> </w:t>
      </w:r>
      <w:r w:rsidRPr="000A6A49">
        <w:t>the hospital and doctors.</w:t>
      </w:r>
      <w:r>
        <w:t>”</w:t>
      </w:r>
    </w:p>
    <w:p w14:paraId="3E443489" w14:textId="77777777" w:rsidR="00424793" w:rsidRDefault="00424793" w:rsidP="00424793">
      <w:pPr>
        <w:pStyle w:val="NoSpacing"/>
        <w:ind w:left="720"/>
        <w:rPr>
          <w:bCs/>
        </w:rPr>
      </w:pPr>
    </w:p>
    <w:p w14:paraId="59A030DA" w14:textId="77777777" w:rsidR="00424793" w:rsidRPr="005D1520" w:rsidRDefault="00424793" w:rsidP="00424793">
      <w:pPr>
        <w:pStyle w:val="NoSpacing"/>
        <w:rPr>
          <w:b/>
        </w:rPr>
      </w:pPr>
      <w:r>
        <w:rPr>
          <w:b/>
        </w:rPr>
        <w:t xml:space="preserve">Legal lesson learned: Excited utterances are admissible as an exception to the Hearsay Rule; </w:t>
      </w:r>
      <w:proofErr w:type="gramStart"/>
      <w:r>
        <w:rPr>
          <w:b/>
        </w:rPr>
        <w:t>a best</w:t>
      </w:r>
      <w:proofErr w:type="gramEnd"/>
      <w:r>
        <w:rPr>
          <w:b/>
        </w:rPr>
        <w:t xml:space="preserve"> practice is to </w:t>
      </w:r>
      <w:proofErr w:type="gramStart"/>
      <w:r>
        <w:rPr>
          <w:b/>
        </w:rPr>
        <w:t>document to</w:t>
      </w:r>
      <w:proofErr w:type="gramEnd"/>
      <w:r>
        <w:rPr>
          <w:b/>
        </w:rPr>
        <w:t xml:space="preserve"> victim’s comments in the EMR run report. </w:t>
      </w:r>
    </w:p>
    <w:p w14:paraId="717F072A" w14:textId="77777777" w:rsidR="00424793" w:rsidRDefault="00424793" w:rsidP="00424793">
      <w:pPr>
        <w:pStyle w:val="NoSpacing"/>
        <w:ind w:left="720"/>
        <w:rPr>
          <w:bCs/>
        </w:rPr>
      </w:pPr>
    </w:p>
    <w:p w14:paraId="7219418B" w14:textId="77777777" w:rsidR="00424793" w:rsidRDefault="00424793" w:rsidP="00004498">
      <w:pPr>
        <w:rPr>
          <w:rFonts w:ascii="Arial Black" w:hAnsi="Arial Black"/>
          <w:b/>
          <w:bCs/>
          <w:sz w:val="24"/>
          <w:szCs w:val="24"/>
        </w:rPr>
      </w:pPr>
    </w:p>
    <w:p w14:paraId="7C5C0CC2" w14:textId="11759C71" w:rsidR="00424793" w:rsidRDefault="00424793" w:rsidP="00004498">
      <w:pPr>
        <w:rPr>
          <w:rFonts w:ascii="Arial Black" w:hAnsi="Arial Black"/>
          <w:b/>
          <w:bCs/>
          <w:sz w:val="24"/>
          <w:szCs w:val="24"/>
        </w:rPr>
      </w:pPr>
      <w:r>
        <w:rPr>
          <w:rFonts w:ascii="Arial Black" w:hAnsi="Arial Black"/>
          <w:b/>
          <w:bCs/>
          <w:sz w:val="24"/>
          <w:szCs w:val="24"/>
        </w:rPr>
        <w:t>13-</w:t>
      </w:r>
      <w:r w:rsidR="002E2246">
        <w:rPr>
          <w:rFonts w:ascii="Arial Black" w:hAnsi="Arial Black"/>
          <w:b/>
          <w:bCs/>
          <w:sz w:val="24"/>
          <w:szCs w:val="24"/>
        </w:rPr>
        <w:t>24</w:t>
      </w:r>
      <w:r w:rsidR="00524647">
        <w:rPr>
          <w:rFonts w:ascii="Arial Black" w:hAnsi="Arial Black"/>
          <w:b/>
          <w:bCs/>
          <w:sz w:val="24"/>
          <w:szCs w:val="24"/>
        </w:rPr>
        <w:t>0</w:t>
      </w:r>
    </w:p>
    <w:p w14:paraId="60C44056" w14:textId="77777777" w:rsidR="006F6E5A" w:rsidRPr="00EA63F0" w:rsidRDefault="006F6E5A" w:rsidP="006F6E5A">
      <w:pPr>
        <w:rPr>
          <w:rFonts w:ascii="Arial Black" w:hAnsi="Arial Black"/>
          <w:b/>
          <w:sz w:val="28"/>
          <w:szCs w:val="28"/>
        </w:rPr>
      </w:pPr>
      <w:r>
        <w:rPr>
          <w:rFonts w:ascii="Arial Black" w:hAnsi="Arial Black"/>
          <w:b/>
          <w:sz w:val="28"/>
          <w:szCs w:val="28"/>
        </w:rPr>
        <w:t xml:space="preserve">NY: NO TRANSPORT – PT AGREED WITH EMS – IMMUNITY </w:t>
      </w:r>
    </w:p>
    <w:p w14:paraId="63E51B80" w14:textId="7F621EB5" w:rsidR="006F6E5A" w:rsidRDefault="006F6E5A" w:rsidP="006F6E5A">
      <w:pPr>
        <w:rPr>
          <w:bCs/>
        </w:rPr>
      </w:pPr>
      <w:r>
        <w:t xml:space="preserve">On December 23, 2025, in </w:t>
      </w:r>
      <w:r w:rsidRPr="000C240F">
        <w:rPr>
          <w:u w:val="single"/>
        </w:rPr>
        <w:t>Kathleen Gumkowski, Administrator Of The Estate Of Gregory Gumkowski, Deceased, et al. v. Thomas Shwaab, M.D., et al</w:t>
      </w:r>
      <w:r>
        <w:t xml:space="preserve">., the </w:t>
      </w:r>
      <w:r w:rsidRPr="000C240F">
        <w:t>Supreme Court of New York, Fourth Department</w:t>
      </w:r>
      <w:r>
        <w:t xml:space="preserve">, held (5 to 0) that the trial improperly denied summary judgment for the Town of Tonawanda, Town of Tonawanda EMS and two paramedics on the run.   EMS and the patient jointly </w:t>
      </w:r>
      <w:proofErr w:type="gramStart"/>
      <w:r>
        <w:t>agreed</w:t>
      </w:r>
      <w:proofErr w:type="gramEnd"/>
      <w:r>
        <w:t xml:space="preserve"> no transport was necessary. </w:t>
      </w:r>
      <w:hyperlink r:id="rId2072" w:history="1">
        <w:r w:rsidR="008343E2" w:rsidRPr="000F3B38">
          <w:rPr>
            <w:rStyle w:val="Hyperlink"/>
            <w:b/>
          </w:rPr>
          <w:t>https://law.justia.com/cases/new-york/appellate-division-fourth-department/2025/816-1-ca-24-01193.html</w:t>
        </w:r>
      </w:hyperlink>
    </w:p>
    <w:p w14:paraId="675CEBCB" w14:textId="77777777" w:rsidR="006F6E5A" w:rsidRDefault="006F6E5A" w:rsidP="006F6E5A">
      <w:pPr>
        <w:rPr>
          <w:bCs/>
        </w:rPr>
      </w:pPr>
      <w:r>
        <w:t>THE COURT HELD:</w:t>
      </w:r>
    </w:p>
    <w:p w14:paraId="72CEB2F8" w14:textId="77777777" w:rsidR="006F6E5A" w:rsidRDefault="006F6E5A" w:rsidP="006F6E5A">
      <w:pPr>
        <w:pStyle w:val="NoSpacing"/>
        <w:ind w:left="720"/>
      </w:pPr>
      <w:r>
        <w:t>“</w:t>
      </w:r>
      <w:r w:rsidRPr="00604A64">
        <w:t>Following his discharge</w:t>
      </w:r>
      <w:r>
        <w:t xml:space="preserve"> [on Jan. 11, </w:t>
      </w:r>
      <w:proofErr w:type="gramStart"/>
      <w:r>
        <w:t>2016</w:t>
      </w:r>
      <w:proofErr w:type="gramEnd"/>
      <w:r>
        <w:t xml:space="preserve"> from </w:t>
      </w:r>
      <w:r w:rsidRPr="001B33C6">
        <w:t>Roswell Park Cancer Institute</w:t>
      </w:r>
      <w:r>
        <w:t>]</w:t>
      </w:r>
      <w:r w:rsidRPr="00604A64">
        <w:t xml:space="preserve">, decedent called Roswell Park on several occasions, including a call to Pieri </w:t>
      </w:r>
      <w:r>
        <w:t>[</w:t>
      </w:r>
      <w:r w:rsidRPr="00DA5A83">
        <w:t>Christine Pieri, R.N</w:t>
      </w:r>
      <w:r>
        <w:t xml:space="preserve">.] </w:t>
      </w:r>
      <w:r w:rsidRPr="00604A64">
        <w:t xml:space="preserve">on January 13, 2016, wherein decedent reported shallow breathing and lightheadedness. A few hours later, decedent called 911 with a chief complaint of shortness of breath. </w:t>
      </w:r>
      <w:proofErr w:type="spellStart"/>
      <w:r w:rsidRPr="00604A64">
        <w:t>Rutenkroger</w:t>
      </w:r>
      <w:proofErr w:type="spellEnd"/>
      <w:r w:rsidRPr="00604A64">
        <w:t xml:space="preserve"> and Rice, paramedics employed by the Town of Tonawanda, arrived at the decedent's residence, took his vital signs, and assessed his condition. Given decedent's history of anxiety and the absence of any other clinical indications of respiratory distress, the paramedics concluded that decedent's shortness of breath was caused by anxiety. According to plaintiff's deposition testimony, decedent and the paramedics made "a joint decision" that decedent would not be taken to the emergency room that day, and decedent signed a treatment refusal acknowledgment.</w:t>
      </w:r>
    </w:p>
    <w:p w14:paraId="7EB4C754" w14:textId="77777777" w:rsidR="006F6E5A" w:rsidRDefault="006F6E5A" w:rsidP="006F6E5A">
      <w:pPr>
        <w:pStyle w:val="NoSpacing"/>
        <w:ind w:left="720"/>
      </w:pPr>
    </w:p>
    <w:p w14:paraId="784FEFCD" w14:textId="77777777" w:rsidR="006F6E5A" w:rsidRDefault="006F6E5A" w:rsidP="006F6E5A">
      <w:pPr>
        <w:pStyle w:val="NoSpacing"/>
        <w:ind w:left="720"/>
      </w:pPr>
      <w:r>
        <w:t>***</w:t>
      </w:r>
    </w:p>
    <w:p w14:paraId="2DAF8947" w14:textId="77777777" w:rsidR="006F6E5A" w:rsidRDefault="006F6E5A" w:rsidP="006F6E5A">
      <w:pPr>
        <w:pStyle w:val="NoSpacing"/>
        <w:ind w:left="720"/>
      </w:pPr>
    </w:p>
    <w:p w14:paraId="423241BC" w14:textId="77777777" w:rsidR="006F6E5A" w:rsidRDefault="006F6E5A" w:rsidP="006F6E5A">
      <w:pPr>
        <w:pStyle w:val="NoSpacing"/>
        <w:ind w:left="720"/>
      </w:pPr>
      <w:r w:rsidRPr="006D0006">
        <w:t xml:space="preserve">Under the circumstances presented here, we conclude that the Town defendants established that </w:t>
      </w:r>
      <w:proofErr w:type="spellStart"/>
      <w:r w:rsidRPr="006D0006">
        <w:t>Rutenkroger's</w:t>
      </w:r>
      <w:proofErr w:type="spellEnd"/>
      <w:r w:rsidRPr="006D0006">
        <w:t xml:space="preserve"> and Rice's actions were discretionary and, thus, the Town defendants are entitled to governmental function immunity.</w:t>
      </w:r>
    </w:p>
    <w:p w14:paraId="1D109414" w14:textId="77777777" w:rsidR="006F6E5A" w:rsidRDefault="006F6E5A" w:rsidP="006F6E5A">
      <w:pPr>
        <w:pStyle w:val="NoSpacing"/>
        <w:ind w:left="720"/>
      </w:pPr>
    </w:p>
    <w:p w14:paraId="200D8162" w14:textId="77777777" w:rsidR="006F6E5A" w:rsidRDefault="006F6E5A" w:rsidP="006F6E5A">
      <w:pPr>
        <w:pStyle w:val="NoSpacing"/>
        <w:ind w:left="720"/>
      </w:pPr>
      <w:r>
        <w:t>***</w:t>
      </w:r>
    </w:p>
    <w:p w14:paraId="41295655" w14:textId="77777777" w:rsidR="006F6E5A" w:rsidRDefault="006F6E5A" w:rsidP="006F6E5A">
      <w:pPr>
        <w:pStyle w:val="NoSpacing"/>
        <w:ind w:left="720"/>
      </w:pPr>
    </w:p>
    <w:p w14:paraId="69E1CA87" w14:textId="77777777" w:rsidR="006F6E5A" w:rsidRDefault="006F6E5A" w:rsidP="006F6E5A">
      <w:pPr>
        <w:ind w:left="720"/>
        <w:rPr>
          <w:b/>
        </w:rPr>
      </w:pPr>
      <w:r>
        <w:t>[W]</w:t>
      </w:r>
      <w:r w:rsidRPr="003E3A48">
        <w:t xml:space="preserve">e </w:t>
      </w:r>
      <w:proofErr w:type="gramStart"/>
      <w:r w:rsidRPr="003E3A48">
        <w:t>agree</w:t>
      </w:r>
      <w:proofErr w:type="gramEnd"/>
      <w:r w:rsidRPr="003E3A48">
        <w:t xml:space="preserve"> with the Town defendants that they are entitled to governmental function immunity and the court therefore erred in denying their motion for summary judgment dismissing the complaint and </w:t>
      </w:r>
      <w:proofErr w:type="gramStart"/>
      <w:r w:rsidRPr="003E3A48">
        <w:t>cross-claims</w:t>
      </w:r>
      <w:proofErr w:type="gramEnd"/>
      <w:r w:rsidRPr="003E3A48">
        <w:t xml:space="preserve"> against them. </w:t>
      </w:r>
      <w:r>
        <w:t>‘</w:t>
      </w:r>
      <w:r w:rsidRPr="003E3A48">
        <w:t xml:space="preserve">A municipality is immune from liability where the actions of its employees in performing </w:t>
      </w:r>
      <w:r w:rsidRPr="003E3A48">
        <w:lastRenderedPageBreak/>
        <w:t>governmental functions involve[ ] the exercise of discretion</w:t>
      </w:r>
      <w:r>
        <w:t>’</w:t>
      </w:r>
      <w:r w:rsidRPr="003E3A48">
        <w:t xml:space="preserve"> (</w:t>
      </w:r>
      <w:r w:rsidRPr="003E3A48">
        <w:rPr>
          <w:i/>
          <w:iCs/>
        </w:rPr>
        <w:t>Morales v City of New York</w:t>
      </w:r>
      <w:r w:rsidRPr="003E3A48">
        <w:t xml:space="preserve">, 235 AD3d 595, 597 [1st Dept 2025]; </w:t>
      </w:r>
      <w:r w:rsidRPr="003E3A48">
        <w:rPr>
          <w:i/>
          <w:iCs/>
        </w:rPr>
        <w:t>see McLean v City of New York</w:t>
      </w:r>
      <w:r w:rsidRPr="003E3A48">
        <w:t xml:space="preserve">, 12 NY3d 194, 202-203 [2009]). </w:t>
      </w:r>
      <w:r>
        <w:t>‘</w:t>
      </w:r>
      <w:r w:rsidRPr="003E3A48">
        <w:t>[A]</w:t>
      </w:r>
      <w:proofErr w:type="spellStart"/>
      <w:r w:rsidRPr="003E3A48">
        <w:t>mbulance</w:t>
      </w:r>
      <w:proofErr w:type="spellEnd"/>
      <w:r w:rsidRPr="003E3A48">
        <w:t xml:space="preserve"> assistance rendered by first responders . . . should be viewed as a classic governmental, rather than proprietary, function</w:t>
      </w:r>
      <w:r>
        <w:t>’</w:t>
      </w:r>
      <w:r w:rsidRPr="003E3A48">
        <w:t xml:space="preserve"> (</w:t>
      </w:r>
      <w:r w:rsidRPr="003E3A48">
        <w:rPr>
          <w:i/>
          <w:iCs/>
        </w:rPr>
        <w:t xml:space="preserve">Applewhite v </w:t>
      </w:r>
      <w:proofErr w:type="spellStart"/>
      <w:r w:rsidRPr="003E3A48">
        <w:rPr>
          <w:i/>
          <w:iCs/>
        </w:rPr>
        <w:t>Accuhealth</w:t>
      </w:r>
      <w:proofErr w:type="spellEnd"/>
      <w:r w:rsidRPr="003E3A48">
        <w:t>,</w:t>
      </w:r>
      <w:r w:rsidRPr="003E3A48">
        <w:rPr>
          <w:i/>
          <w:iCs/>
        </w:rPr>
        <w:t xml:space="preserve"> Inc</w:t>
      </w:r>
      <w:r w:rsidRPr="003E3A48">
        <w:t>., 21 NY3d 420, 430 [2013] [internal quotation marks omitted]).</w:t>
      </w:r>
      <w:r>
        <w:t xml:space="preserve">” </w:t>
      </w:r>
      <w:hyperlink r:id="rId2073" w:history="1">
        <w:r w:rsidRPr="009B6A10">
          <w:rPr>
            <w:rStyle w:val="Hyperlink"/>
            <w:b/>
          </w:rPr>
          <w:t>https://law.justia.com/cases/new-york/appellate-division-fourth-department/2025/816-1-ca-24-01193.html</w:t>
        </w:r>
      </w:hyperlink>
      <w:r>
        <w:rPr>
          <w:b/>
        </w:rPr>
        <w:t xml:space="preserve"> </w:t>
      </w:r>
    </w:p>
    <w:p w14:paraId="16237A1B" w14:textId="77777777" w:rsidR="006F6E5A" w:rsidRDefault="006F6E5A" w:rsidP="006F6E5A">
      <w:pPr>
        <w:pStyle w:val="NoSpacing"/>
        <w:ind w:left="720"/>
      </w:pPr>
    </w:p>
    <w:p w14:paraId="6A102836" w14:textId="77777777" w:rsidR="006F6E5A" w:rsidRPr="0080119F" w:rsidRDefault="006F6E5A" w:rsidP="006F6E5A">
      <w:pPr>
        <w:pStyle w:val="NoSpacing"/>
        <w:rPr>
          <w:b/>
          <w:bCs/>
        </w:rPr>
      </w:pPr>
      <w:r>
        <w:rPr>
          <w:b/>
        </w:rPr>
        <w:t>Legal lesson learned: Medics and patient made “joint decision” to not transport – hopefully they also had patient sign a refusal form.   When in doubt, also call Hospital Medical Control.</w:t>
      </w:r>
    </w:p>
    <w:p w14:paraId="08E3879F" w14:textId="77777777" w:rsidR="006F6E5A" w:rsidRDefault="006F6E5A" w:rsidP="006F6E5A">
      <w:pPr>
        <w:pStyle w:val="NoSpacing"/>
      </w:pPr>
    </w:p>
    <w:p w14:paraId="369F8F71" w14:textId="77777777" w:rsidR="00CD1570" w:rsidRDefault="00CD1570" w:rsidP="00004498">
      <w:pPr>
        <w:rPr>
          <w:rFonts w:ascii="Arial Black" w:hAnsi="Arial Black"/>
          <w:b/>
          <w:bCs/>
          <w:sz w:val="24"/>
          <w:szCs w:val="24"/>
        </w:rPr>
      </w:pPr>
    </w:p>
    <w:p w14:paraId="4DD3D089" w14:textId="1628CF26" w:rsidR="00424793" w:rsidRDefault="006F6E5A" w:rsidP="00004498">
      <w:pPr>
        <w:rPr>
          <w:rFonts w:ascii="Arial Black" w:hAnsi="Arial Black"/>
          <w:b/>
          <w:bCs/>
          <w:sz w:val="24"/>
          <w:szCs w:val="24"/>
        </w:rPr>
      </w:pPr>
      <w:r>
        <w:rPr>
          <w:rFonts w:ascii="Arial Black" w:hAnsi="Arial Black"/>
          <w:b/>
          <w:bCs/>
          <w:sz w:val="24"/>
          <w:szCs w:val="24"/>
        </w:rPr>
        <w:t>13-</w:t>
      </w:r>
      <w:r w:rsidR="002E2246">
        <w:rPr>
          <w:rFonts w:ascii="Arial Black" w:hAnsi="Arial Black"/>
          <w:b/>
          <w:bCs/>
          <w:sz w:val="24"/>
          <w:szCs w:val="24"/>
        </w:rPr>
        <w:t>2</w:t>
      </w:r>
      <w:r w:rsidR="00524647">
        <w:rPr>
          <w:rFonts w:ascii="Arial Black" w:hAnsi="Arial Black"/>
          <w:b/>
          <w:bCs/>
          <w:sz w:val="24"/>
          <w:szCs w:val="24"/>
        </w:rPr>
        <w:t>39</w:t>
      </w:r>
    </w:p>
    <w:p w14:paraId="0887E386" w14:textId="77777777" w:rsidR="007D294B" w:rsidRDefault="007D294B" w:rsidP="00004498">
      <w:pPr>
        <w:rPr>
          <w:rFonts w:ascii="Arial Black" w:hAnsi="Arial Black"/>
          <w:b/>
          <w:bCs/>
          <w:sz w:val="24"/>
          <w:szCs w:val="24"/>
        </w:rPr>
      </w:pPr>
    </w:p>
    <w:p w14:paraId="25DF064C" w14:textId="77777777" w:rsidR="00092D5A" w:rsidRPr="008159A8" w:rsidRDefault="00092D5A" w:rsidP="00092D5A">
      <w:pPr>
        <w:rPr>
          <w:rFonts w:ascii="Arial Black" w:hAnsi="Arial Black"/>
          <w:b/>
          <w:sz w:val="28"/>
          <w:szCs w:val="28"/>
        </w:rPr>
      </w:pPr>
      <w:r>
        <w:rPr>
          <w:rFonts w:ascii="Arial Black" w:hAnsi="Arial Black"/>
          <w:b/>
          <w:sz w:val="28"/>
          <w:szCs w:val="28"/>
        </w:rPr>
        <w:t>NY: DISPATCH DID NOT TELL PT 1</w:t>
      </w:r>
      <w:r w:rsidRPr="001E7EF7">
        <w:rPr>
          <w:rFonts w:ascii="Arial Black" w:hAnsi="Arial Black"/>
          <w:b/>
          <w:sz w:val="28"/>
          <w:szCs w:val="28"/>
          <w:vertAlign w:val="superscript"/>
        </w:rPr>
        <w:t>st</w:t>
      </w:r>
      <w:r>
        <w:rPr>
          <w:rFonts w:ascii="Arial Black" w:hAnsi="Arial Black"/>
          <w:b/>
          <w:sz w:val="28"/>
          <w:szCs w:val="28"/>
        </w:rPr>
        <w:t xml:space="preserve"> UNIT ALS - IMMUNITY</w:t>
      </w:r>
    </w:p>
    <w:p w14:paraId="78016B85" w14:textId="3CF15A8B" w:rsidR="00092D5A" w:rsidRPr="00A528FE" w:rsidRDefault="00092D5A" w:rsidP="00092D5A">
      <w:pPr>
        <w:rPr>
          <w:bCs/>
        </w:rPr>
      </w:pPr>
      <w:r w:rsidRPr="00A528FE">
        <w:t xml:space="preserve">On December 18, 2025, in </w:t>
      </w:r>
      <w:r w:rsidRPr="00A528FE">
        <w:rPr>
          <w:u w:val="single"/>
        </w:rPr>
        <w:t>Ebony Hinkson, et al. v. New York-Presbyterian Queens, et al</w:t>
      </w:r>
      <w:r w:rsidRPr="00A528FE">
        <w:t xml:space="preserve">., </w:t>
      </w:r>
      <w:r>
        <w:t xml:space="preserve">the </w:t>
      </w:r>
      <w:r w:rsidRPr="00A528FE">
        <w:t>Supreme Court of New York, First Department</w:t>
      </w:r>
      <w:r>
        <w:t xml:space="preserve"> held (4 to ) that that trial court judge improperly denied motion to dismiss by </w:t>
      </w:r>
      <w:r w:rsidRPr="006D09AC">
        <w:t>City of New York and FDNY EMS</w:t>
      </w:r>
      <w:r>
        <w:t xml:space="preserve">.  Dispatch did not advise patient that ALS would be first on scene.  </w:t>
      </w:r>
      <w:hyperlink r:id="rId2074" w:history="1">
        <w:r w:rsidR="008343E2" w:rsidRPr="000F3B38">
          <w:rPr>
            <w:rStyle w:val="Hyperlink"/>
          </w:rPr>
          <w:t>https://law.justia.com/cases/new-york/appellate-division-first-department/2025/index-no-153104-18-appeal-no-5428-case-no-2024-01885.html</w:t>
        </w:r>
      </w:hyperlink>
      <w:r>
        <w:t xml:space="preserve"> </w:t>
      </w:r>
    </w:p>
    <w:p w14:paraId="6986CC51" w14:textId="77777777" w:rsidR="00092D5A" w:rsidRPr="00A528FE" w:rsidRDefault="00092D5A" w:rsidP="00092D5A">
      <w:pPr>
        <w:rPr>
          <w:bCs/>
        </w:rPr>
      </w:pPr>
      <w:r>
        <w:t>THE COURT HELD:</w:t>
      </w:r>
    </w:p>
    <w:p w14:paraId="73593B21" w14:textId="77777777" w:rsidR="00092D5A" w:rsidRDefault="00092D5A" w:rsidP="00092D5A">
      <w:pPr>
        <w:ind w:left="720"/>
      </w:pPr>
      <w:r>
        <w:rPr>
          <w:b/>
        </w:rPr>
        <w:t>“</w:t>
      </w:r>
      <w:r w:rsidRPr="006939D7">
        <w:t xml:space="preserve">To establish the requisite </w:t>
      </w:r>
      <w:r>
        <w:t>‘</w:t>
      </w:r>
      <w:r w:rsidRPr="006939D7">
        <w:t>assumption by the municipality, through promises or actions, of an affirmative duty to act on behalf of the party who was injured</w:t>
      </w:r>
      <w:r>
        <w:t>’ … p</w:t>
      </w:r>
      <w:r w:rsidRPr="006939D7">
        <w:t>laintiff relies solely on the 911 operator's purported assurance to the decedent's grandmother that an ambulance was on its way; the grandmother does not claim to have received any additional assurances from the FDNY paramedics themselves. It is not enough that they arrived and provided treatment because that is what emergency responders do for any member of the public (</w:t>
      </w:r>
      <w:r w:rsidRPr="006939D7">
        <w:rPr>
          <w:i/>
          <w:iCs/>
        </w:rPr>
        <w:t xml:space="preserve">see Estate of Kyle A. v New York City </w:t>
      </w:r>
      <w:proofErr w:type="spellStart"/>
      <w:r w:rsidRPr="006939D7">
        <w:rPr>
          <w:i/>
          <w:iCs/>
        </w:rPr>
        <w:t>Hous</w:t>
      </w:r>
      <w:proofErr w:type="spellEnd"/>
      <w:r w:rsidRPr="006939D7">
        <w:rPr>
          <w:i/>
          <w:iCs/>
        </w:rPr>
        <w:t>. Auth.</w:t>
      </w:r>
      <w:r w:rsidRPr="006939D7">
        <w:t>, 181 AD3d 492, 493 [1st Dept 2020]). Even ignoring any purported inconsistencies between the grandmother's deposition testimony and her summary judgment opposition affidavit with respect to what the 911 operator said, any special duty created by the 911 operator's purported assurance that the ambulance was on its way was fulfilled when the first ambulance (operated by defendant New York-Presbyterian d/b/a New York Presbyterian EMS [NYP-EMS]) arrived five minutes later.</w:t>
      </w:r>
    </w:p>
    <w:p w14:paraId="413E5CEC" w14:textId="77777777" w:rsidR="00092D5A" w:rsidRPr="006939D7" w:rsidRDefault="00092D5A" w:rsidP="00092D5A">
      <w:pPr>
        <w:ind w:left="720"/>
      </w:pPr>
      <w:r>
        <w:t>***</w:t>
      </w:r>
    </w:p>
    <w:p w14:paraId="107F8DFF" w14:textId="77777777" w:rsidR="00092D5A" w:rsidRPr="006939D7" w:rsidRDefault="00092D5A" w:rsidP="00092D5A">
      <w:pPr>
        <w:pStyle w:val="NoSpacing"/>
        <w:ind w:left="720"/>
      </w:pPr>
      <w:r w:rsidRPr="006939D7">
        <w:t>Plaintiff does not claim that the 911 operator promised that the ambulance would be capable of rendering advanced life support (ALS) rather than basic life support or that it would be operated by the FDNY as opposed to some other provider. The 911 operator at any rate also dispatched an FDNY ALS ambulance at the same time; it was just farther away and took longer (14 minutes) to arrive. Plaintiff does not claim that there was anything negligent about the amount of time it took the FDNY ambulance to arrive, challenging only the NYP-EMS ambulance's delay of transport (for which the City is not responsible) (</w:t>
      </w:r>
      <w:r w:rsidRPr="006939D7">
        <w:rPr>
          <w:i/>
          <w:iCs/>
        </w:rPr>
        <w:t xml:space="preserve">see Brown v </w:t>
      </w:r>
      <w:proofErr w:type="spellStart"/>
      <w:r w:rsidRPr="006939D7">
        <w:rPr>
          <w:i/>
          <w:iCs/>
        </w:rPr>
        <w:t>Transcare</w:t>
      </w:r>
      <w:proofErr w:type="spellEnd"/>
      <w:r w:rsidRPr="006939D7">
        <w:rPr>
          <w:i/>
          <w:iCs/>
        </w:rPr>
        <w:t xml:space="preserve"> N.Y., Inc.</w:t>
      </w:r>
      <w:r w:rsidRPr="006939D7">
        <w:t>, 27 AD3d 350, 351 [1st Dept 2006]), and the FDNY paramedics' failure to properly intubate the decedent (which had nothing to do with their time of arrival).</w:t>
      </w:r>
      <w:r>
        <w:t>”</w:t>
      </w:r>
    </w:p>
    <w:p w14:paraId="08773553" w14:textId="77777777" w:rsidR="00092D5A" w:rsidRDefault="00092D5A" w:rsidP="00092D5A">
      <w:pPr>
        <w:rPr>
          <w:b/>
        </w:rPr>
      </w:pPr>
    </w:p>
    <w:p w14:paraId="604561C7" w14:textId="2264219F" w:rsidR="00092D5A" w:rsidRPr="00F02ABA" w:rsidRDefault="00092D5A" w:rsidP="00092D5A">
      <w:pPr>
        <w:rPr>
          <w:b/>
        </w:rPr>
      </w:pPr>
      <w:r>
        <w:rPr>
          <w:b/>
        </w:rPr>
        <w:t>Legal lesson learned: Dispatchers and EMS enjoy immunity – owe no “special duty” t</w:t>
      </w:r>
      <w:r w:rsidR="00A33C55">
        <w:rPr>
          <w:b/>
        </w:rPr>
        <w:t>o</w:t>
      </w:r>
      <w:r>
        <w:rPr>
          <w:b/>
        </w:rPr>
        <w:t xml:space="preserve"> patients. </w:t>
      </w:r>
    </w:p>
    <w:p w14:paraId="60C50B13" w14:textId="77777777" w:rsidR="00092D5A" w:rsidRDefault="00092D5A" w:rsidP="00092D5A">
      <w:pPr>
        <w:pStyle w:val="NoSpacing"/>
      </w:pPr>
    </w:p>
    <w:p w14:paraId="0246B471" w14:textId="77777777" w:rsidR="00092D5A" w:rsidRDefault="00092D5A" w:rsidP="00092D5A">
      <w:pPr>
        <w:pStyle w:val="NoSpacing"/>
      </w:pPr>
    </w:p>
    <w:p w14:paraId="66D5347F" w14:textId="240E3528" w:rsidR="00BE2EF9" w:rsidRDefault="00092D5A" w:rsidP="00004498">
      <w:pPr>
        <w:rPr>
          <w:rFonts w:ascii="Arial Black" w:hAnsi="Arial Black"/>
          <w:b/>
          <w:bCs/>
          <w:sz w:val="24"/>
          <w:szCs w:val="24"/>
        </w:rPr>
      </w:pPr>
      <w:r>
        <w:rPr>
          <w:rFonts w:ascii="Arial Black" w:hAnsi="Arial Black"/>
          <w:b/>
          <w:bCs/>
          <w:sz w:val="24"/>
          <w:szCs w:val="24"/>
        </w:rPr>
        <w:t xml:space="preserve">13 </w:t>
      </w:r>
      <w:r w:rsidR="00BE2EF9">
        <w:rPr>
          <w:rFonts w:ascii="Arial Black" w:hAnsi="Arial Black"/>
          <w:b/>
          <w:bCs/>
          <w:sz w:val="24"/>
          <w:szCs w:val="24"/>
        </w:rPr>
        <w:t>–</w:t>
      </w:r>
      <w:r>
        <w:rPr>
          <w:rFonts w:ascii="Arial Black" w:hAnsi="Arial Black"/>
          <w:b/>
          <w:bCs/>
          <w:sz w:val="24"/>
          <w:szCs w:val="24"/>
        </w:rPr>
        <w:t xml:space="preserve"> </w:t>
      </w:r>
      <w:r w:rsidR="002E2246">
        <w:rPr>
          <w:rFonts w:ascii="Arial Black" w:hAnsi="Arial Black"/>
          <w:b/>
          <w:bCs/>
          <w:sz w:val="24"/>
          <w:szCs w:val="24"/>
        </w:rPr>
        <w:t>23</w:t>
      </w:r>
      <w:r w:rsidR="00524647">
        <w:rPr>
          <w:rFonts w:ascii="Arial Black" w:hAnsi="Arial Black"/>
          <w:b/>
          <w:bCs/>
          <w:sz w:val="24"/>
          <w:szCs w:val="24"/>
        </w:rPr>
        <w:t>8</w:t>
      </w:r>
    </w:p>
    <w:p w14:paraId="2A628E46" w14:textId="77777777" w:rsidR="00BE2EF9" w:rsidRDefault="00BE2EF9" w:rsidP="00BE2EF9">
      <w:pPr>
        <w:rPr>
          <w:rFonts w:ascii="Arial Black" w:hAnsi="Arial Black"/>
          <w:b/>
          <w:sz w:val="28"/>
          <w:szCs w:val="28"/>
        </w:rPr>
      </w:pPr>
      <w:r>
        <w:rPr>
          <w:rFonts w:ascii="Arial Black" w:hAnsi="Arial Black"/>
          <w:b/>
          <w:sz w:val="28"/>
          <w:szCs w:val="28"/>
        </w:rPr>
        <w:t xml:space="preserve">CA: AMR – WAS COUNTY EMS - </w:t>
      </w:r>
      <w:proofErr w:type="spellStart"/>
      <w:r>
        <w:rPr>
          <w:rFonts w:ascii="Arial Black" w:hAnsi="Arial Black"/>
          <w:b/>
          <w:sz w:val="28"/>
          <w:szCs w:val="28"/>
        </w:rPr>
        <w:t>ConFIRE</w:t>
      </w:r>
      <w:proofErr w:type="spellEnd"/>
      <w:r>
        <w:rPr>
          <w:rFonts w:ascii="Arial Black" w:hAnsi="Arial Black"/>
          <w:b/>
          <w:sz w:val="28"/>
          <w:szCs w:val="28"/>
        </w:rPr>
        <w:t xml:space="preserve"> WINS CONTRACT</w:t>
      </w:r>
    </w:p>
    <w:p w14:paraId="21F8D538" w14:textId="77777777" w:rsidR="00BE2EF9" w:rsidRPr="00E654C4" w:rsidRDefault="00BE2EF9" w:rsidP="00BE2EF9">
      <w:pPr>
        <w:rPr>
          <w:b/>
        </w:rPr>
      </w:pPr>
      <w:r w:rsidRPr="001079CA">
        <w:t xml:space="preserve">On December 18, 205 in </w:t>
      </w:r>
      <w:r w:rsidRPr="000020FF">
        <w:rPr>
          <w:u w:val="single"/>
        </w:rPr>
        <w:t>American Medical Response of Inland Empire v. County of San Bernardino, et al</w:t>
      </w:r>
      <w:r>
        <w:t xml:space="preserve">.; the </w:t>
      </w:r>
      <w:r w:rsidRPr="000020FF">
        <w:t>California Court of Appeals, Fourth District, First Division</w:t>
      </w:r>
      <w:r>
        <w:t xml:space="preserve"> held (3 to 0; unpublished decision) that trial court improperly granted AMR a preliminary injunction during the pendency of this lawsuit to stop the County from switching to </w:t>
      </w:r>
      <w:proofErr w:type="spellStart"/>
      <w:r>
        <w:t>ConFire</w:t>
      </w:r>
      <w:proofErr w:type="spellEnd"/>
      <w:r>
        <w:t xml:space="preserve"> as their new EMS provider. </w:t>
      </w:r>
      <w:hyperlink r:id="rId2075" w:history="1">
        <w:r w:rsidRPr="00FC78E3">
          <w:rPr>
            <w:rStyle w:val="Hyperlink"/>
            <w:b/>
          </w:rPr>
          <w:t>https://www4.courts.ca.gov/opinions/nonpub/D085716.PDF</w:t>
        </w:r>
      </w:hyperlink>
      <w:r>
        <w:rPr>
          <w:b/>
        </w:rPr>
        <w:t xml:space="preserve"> </w:t>
      </w:r>
    </w:p>
    <w:p w14:paraId="62188B40" w14:textId="77777777" w:rsidR="00BE2EF9" w:rsidRPr="00E654C4" w:rsidRDefault="00BE2EF9" w:rsidP="00BE2EF9">
      <w:pPr>
        <w:rPr>
          <w:b/>
        </w:rPr>
      </w:pPr>
      <w:r>
        <w:t xml:space="preserve">THE COURT HELD: </w:t>
      </w:r>
    </w:p>
    <w:p w14:paraId="62A30225" w14:textId="77777777" w:rsidR="00BE2EF9" w:rsidRDefault="00BE2EF9" w:rsidP="00BE2EF9">
      <w:pPr>
        <w:pStyle w:val="NoSpacing"/>
        <w:ind w:left="720"/>
      </w:pPr>
      <w:r>
        <w:t>“</w:t>
      </w:r>
      <w:r w:rsidRPr="00BF5999">
        <w:t>AMR began operating as the ambulance service provider for the County in the late 1970s. Since that time, the County has retained AMR as its exclusive EMS provider, grandfathered into its system in accordance with section 1797.224 of the EMS Act</w:t>
      </w:r>
      <w:r>
        <w:t>.</w:t>
      </w:r>
    </w:p>
    <w:p w14:paraId="229634DD" w14:textId="77777777" w:rsidR="00BE2EF9" w:rsidRDefault="00BE2EF9" w:rsidP="00BE2EF9">
      <w:pPr>
        <w:pStyle w:val="NoSpacing"/>
        <w:ind w:left="720"/>
      </w:pPr>
    </w:p>
    <w:p w14:paraId="7776B994" w14:textId="77777777" w:rsidR="00BE2EF9" w:rsidRDefault="00BE2EF9" w:rsidP="00BE2EF9">
      <w:pPr>
        <w:pStyle w:val="NoSpacing"/>
        <w:ind w:left="720"/>
      </w:pPr>
      <w:r>
        <w:t>***</w:t>
      </w:r>
    </w:p>
    <w:p w14:paraId="20BA64EB" w14:textId="77777777" w:rsidR="00BE2EF9" w:rsidRDefault="00BE2EF9" w:rsidP="00BE2EF9">
      <w:pPr>
        <w:pStyle w:val="NoSpacing"/>
        <w:ind w:left="720"/>
      </w:pPr>
      <w:r w:rsidRPr="00356A3B">
        <w:t>In 2022, the County initiated a competitive process to improve its EMS system and issued a request for proposal (RFP) seeking bidders for a new exclusive contract to provide EMS services. The RFP set forth three overarching goals for its procurement process-to improve service delivery to customers and partners, to establish a more efficient EMS system, and to make investments back into the system.</w:t>
      </w:r>
    </w:p>
    <w:p w14:paraId="29BE527B" w14:textId="77777777" w:rsidR="00BE2EF9" w:rsidRDefault="00BE2EF9" w:rsidP="00BE2EF9">
      <w:pPr>
        <w:pStyle w:val="NoSpacing"/>
        <w:ind w:left="720"/>
      </w:pPr>
    </w:p>
    <w:p w14:paraId="056EFAA0" w14:textId="77777777" w:rsidR="00BE2EF9" w:rsidRDefault="00BE2EF9" w:rsidP="00BE2EF9">
      <w:pPr>
        <w:pStyle w:val="NoSpacing"/>
        <w:ind w:left="720"/>
      </w:pPr>
      <w:r>
        <w:t>***</w:t>
      </w:r>
    </w:p>
    <w:p w14:paraId="0D91799C" w14:textId="77777777" w:rsidR="00BE2EF9" w:rsidRDefault="00BE2EF9" w:rsidP="00BE2EF9">
      <w:pPr>
        <w:pStyle w:val="NoSpacing"/>
        <w:ind w:left="720"/>
      </w:pPr>
      <w:r>
        <w:t>T</w:t>
      </w:r>
      <w:r w:rsidRPr="00476B0A">
        <w:t xml:space="preserve">he County and </w:t>
      </w:r>
      <w:proofErr w:type="spellStart"/>
      <w:r w:rsidRPr="00476B0A">
        <w:t>ConFire</w:t>
      </w:r>
      <w:proofErr w:type="spellEnd"/>
      <w:r w:rsidRPr="00476B0A">
        <w:t xml:space="preserve"> appeal from the preliminary injunction order, asserting the trial court improperly determined the County had a ministerial duty to advance only AMR's proposal to the County's Board of Supervisors because it was the </w:t>
      </w:r>
      <w:r>
        <w:t>‘</w:t>
      </w:r>
      <w:proofErr w:type="gramStart"/>
      <w:r w:rsidRPr="00476B0A">
        <w:t>highest-scoring</w:t>
      </w:r>
      <w:proofErr w:type="gramEnd"/>
      <w:r>
        <w:t xml:space="preserve">’ </w:t>
      </w:r>
      <w:r w:rsidRPr="00476B0A">
        <w:t xml:space="preserve">proposal. Further, the County and </w:t>
      </w:r>
      <w:proofErr w:type="spellStart"/>
      <w:r w:rsidRPr="00476B0A">
        <w:t>ConFire</w:t>
      </w:r>
      <w:proofErr w:type="spellEnd"/>
      <w:r w:rsidRPr="00476B0A">
        <w:t xml:space="preserve"> assert the County did not abuse its discretion by advancing both </w:t>
      </w:r>
      <w:proofErr w:type="spellStart"/>
      <w:r w:rsidRPr="00476B0A">
        <w:t>ConFire's</w:t>
      </w:r>
      <w:proofErr w:type="spellEnd"/>
      <w:r w:rsidRPr="00476B0A">
        <w:t xml:space="preserve"> and AMR's proposals to the Board and ultimately selecting </w:t>
      </w:r>
      <w:proofErr w:type="spellStart"/>
      <w:r w:rsidRPr="00476B0A">
        <w:t>ConFire</w:t>
      </w:r>
      <w:proofErr w:type="spellEnd"/>
      <w:r w:rsidRPr="00476B0A">
        <w:t xml:space="preserve"> as the provider.</w:t>
      </w:r>
      <w:r>
        <w:t>”</w:t>
      </w:r>
    </w:p>
    <w:p w14:paraId="20F312F7" w14:textId="77777777" w:rsidR="00BE2EF9" w:rsidRDefault="00BE2EF9" w:rsidP="00BE2EF9">
      <w:pPr>
        <w:pStyle w:val="NoSpacing"/>
        <w:ind w:left="720"/>
      </w:pPr>
    </w:p>
    <w:p w14:paraId="282B5789" w14:textId="77777777" w:rsidR="00BE2EF9" w:rsidRDefault="00BE2EF9" w:rsidP="00BE2EF9">
      <w:pPr>
        <w:pStyle w:val="NoSpacing"/>
        <w:ind w:left="720"/>
      </w:pPr>
      <w:r>
        <w:t>***</w:t>
      </w:r>
    </w:p>
    <w:p w14:paraId="21C9F964" w14:textId="77777777" w:rsidR="00BE2EF9" w:rsidRDefault="00BE2EF9" w:rsidP="00BE2EF9">
      <w:pPr>
        <w:pStyle w:val="NoSpacing"/>
        <w:ind w:left="720"/>
      </w:pPr>
      <w:r>
        <w:t xml:space="preserve">The County received responses to the RFP from AMR and </w:t>
      </w:r>
      <w:proofErr w:type="spellStart"/>
      <w:r>
        <w:t>ConFire</w:t>
      </w:r>
      <w:proofErr w:type="spellEnd"/>
      <w:r>
        <w:t xml:space="preserve">. Four evaluators scored both proposals. Three of the four evaluators gave </w:t>
      </w:r>
      <w:proofErr w:type="spellStart"/>
      <w:r>
        <w:t>ConFire</w:t>
      </w:r>
      <w:proofErr w:type="spellEnd"/>
      <w:r>
        <w:t xml:space="preserve"> a higher score. The total cumulative score for AMR, however, was higher by four points. </w:t>
      </w:r>
      <w:proofErr w:type="spellStart"/>
      <w:r>
        <w:t>ConFire</w:t>
      </w:r>
      <w:proofErr w:type="spellEnd"/>
      <w:r>
        <w:t xml:space="preserve"> received individual scores </w:t>
      </w:r>
      <w:proofErr w:type="gramStart"/>
      <w:r>
        <w:t>of:</w:t>
      </w:r>
      <w:proofErr w:type="gramEnd"/>
      <w:r>
        <w:t xml:space="preserve"> 383, 384, 363 and 385. AMR’s scores were: 373, 419, 346, 381. After the proposals were scored, in June 2023, the County sent a letter to both AMR and </w:t>
      </w:r>
      <w:proofErr w:type="spellStart"/>
      <w:r>
        <w:t>ConFire</w:t>
      </w:r>
      <w:proofErr w:type="spellEnd"/>
      <w:r>
        <w:t xml:space="preserve"> stating that because the scores for both proposers were ‘substantially </w:t>
      </w:r>
      <w:proofErr w:type="gramStart"/>
      <w:r>
        <w:t>equivalent’</w:t>
      </w:r>
      <w:proofErr w:type="gramEnd"/>
      <w:r>
        <w:t xml:space="preserve"> it intended to ‘move forward with </w:t>
      </w:r>
      <w:proofErr w:type="gramStart"/>
      <w:r>
        <w:t xml:space="preserve">negotiations’ </w:t>
      </w:r>
      <w:proofErr w:type="gramEnd"/>
      <w:r>
        <w:t xml:space="preserve"> with both entities.</w:t>
      </w:r>
    </w:p>
    <w:p w14:paraId="5C7123E7" w14:textId="77777777" w:rsidR="00BE2EF9" w:rsidRDefault="00BE2EF9" w:rsidP="00BE2EF9">
      <w:pPr>
        <w:pStyle w:val="NoSpacing"/>
        <w:ind w:left="720"/>
      </w:pPr>
    </w:p>
    <w:p w14:paraId="7B7B460E" w14:textId="77777777" w:rsidR="00BE2EF9" w:rsidRDefault="00BE2EF9" w:rsidP="00BE2EF9">
      <w:pPr>
        <w:pStyle w:val="NoSpacing"/>
        <w:ind w:left="720"/>
      </w:pPr>
      <w:r>
        <w:t>***</w:t>
      </w:r>
    </w:p>
    <w:p w14:paraId="433B91EE" w14:textId="77777777" w:rsidR="00BE2EF9" w:rsidRDefault="00BE2EF9" w:rsidP="00BE2EF9">
      <w:pPr>
        <w:pStyle w:val="NoSpacing"/>
        <w:ind w:left="720"/>
      </w:pPr>
      <w:r>
        <w:t>On November 3, 2023, AMR submitted a letter protesting the County’s decision to advance both proposals to the Board…. On November 28, 2023, the County sent a letter to AMR denying its protest.</w:t>
      </w:r>
    </w:p>
    <w:p w14:paraId="5F5A2144" w14:textId="77777777" w:rsidR="00BE2EF9" w:rsidRDefault="00BE2EF9" w:rsidP="00BE2EF9">
      <w:pPr>
        <w:pStyle w:val="NoSpacing"/>
        <w:ind w:left="720"/>
      </w:pPr>
    </w:p>
    <w:p w14:paraId="1FBB0453" w14:textId="77777777" w:rsidR="00BE2EF9" w:rsidRDefault="00BE2EF9" w:rsidP="00BE2EF9">
      <w:pPr>
        <w:pStyle w:val="NoSpacing"/>
        <w:ind w:left="720"/>
      </w:pPr>
      <w:r>
        <w:t>***</w:t>
      </w:r>
    </w:p>
    <w:p w14:paraId="64A196BA" w14:textId="77777777" w:rsidR="00BE2EF9" w:rsidRDefault="00BE2EF9" w:rsidP="00BE2EF9">
      <w:pPr>
        <w:pStyle w:val="NoSpacing"/>
        <w:ind w:left="720"/>
      </w:pPr>
      <w:r>
        <w:t xml:space="preserve">At a regular meeting of the County’s Board on December 5, 2023, AMR and </w:t>
      </w:r>
      <w:proofErr w:type="spellStart"/>
      <w:r>
        <w:t>ConFire</w:t>
      </w:r>
      <w:proofErr w:type="spellEnd"/>
      <w:r>
        <w:t xml:space="preserve"> each presented their proposals. Thereafter, the Board heard several public comments in support of each proposal, including from representatives of cities within the exclusive operation area for which the RFP was issued. At the conclusion of the hearing, the Board voted to deny AMR’s protest and award the service contract to </w:t>
      </w:r>
      <w:proofErr w:type="spellStart"/>
      <w:r>
        <w:t>ConFire</w:t>
      </w:r>
      <w:proofErr w:type="spellEnd"/>
      <w:r>
        <w:t>.</w:t>
      </w:r>
    </w:p>
    <w:p w14:paraId="26204EB7" w14:textId="77777777" w:rsidR="00BE2EF9" w:rsidRDefault="00BE2EF9" w:rsidP="00BE2EF9">
      <w:pPr>
        <w:pStyle w:val="NoSpacing"/>
        <w:ind w:left="720"/>
      </w:pPr>
    </w:p>
    <w:p w14:paraId="40788099" w14:textId="77777777" w:rsidR="00BE2EF9" w:rsidRDefault="00BE2EF9" w:rsidP="00BE2EF9">
      <w:pPr>
        <w:pStyle w:val="NoSpacing"/>
        <w:ind w:left="720"/>
      </w:pPr>
      <w:r>
        <w:t>***</w:t>
      </w:r>
    </w:p>
    <w:p w14:paraId="69EA374F" w14:textId="77777777" w:rsidR="00BE2EF9" w:rsidRDefault="00BE2EF9" w:rsidP="00BE2EF9">
      <w:pPr>
        <w:pStyle w:val="NoSpacing"/>
        <w:ind w:left="720"/>
      </w:pPr>
      <w:r>
        <w:t xml:space="preserve">In short, the RFP’s plain language provides that the County may negotiate with more than one proposer and that the final determination is left to the discretion of the Board based on the scoring, and the Board’s determination </w:t>
      </w:r>
      <w:r>
        <w:lastRenderedPageBreak/>
        <w:t xml:space="preserve">of the proposer’s ability to meet the needs of the County and provide the best value. Contrary to the trial court’s </w:t>
      </w:r>
      <w:proofErr w:type="gramStart"/>
      <w:r>
        <w:t>finding</w:t>
      </w:r>
      <w:proofErr w:type="gramEnd"/>
      <w:r>
        <w:t>, the RFP does not impose a ministerial duty on the County to negotiate solely with the proposer</w:t>
      </w:r>
    </w:p>
    <w:p w14:paraId="5958C7B6" w14:textId="77777777" w:rsidR="00BE2EF9" w:rsidRDefault="00BE2EF9" w:rsidP="00BE2EF9">
      <w:pPr>
        <w:pStyle w:val="NoSpacing"/>
        <w:ind w:left="720"/>
      </w:pPr>
      <w:r>
        <w:t>who received the highest total score…. Given our conclusion that AMR cannot show a</w:t>
      </w:r>
    </w:p>
    <w:p w14:paraId="3DF26E2E" w14:textId="77777777" w:rsidR="00BE2EF9" w:rsidRDefault="00BE2EF9" w:rsidP="00BE2EF9">
      <w:pPr>
        <w:pStyle w:val="NoSpacing"/>
        <w:ind w:left="720"/>
      </w:pPr>
      <w:r>
        <w:t>likelihood of prevailing on the merits of its mandate claim and the general rule against enjoining public agencies, AMR has not shown that its risk of injury supports the imposition of a preliminary injunction.”</w:t>
      </w:r>
    </w:p>
    <w:p w14:paraId="1879A51E" w14:textId="77777777" w:rsidR="00BE2EF9" w:rsidRDefault="00BE2EF9" w:rsidP="00BE2EF9">
      <w:pPr>
        <w:pStyle w:val="NoSpacing"/>
        <w:ind w:left="720"/>
      </w:pPr>
    </w:p>
    <w:p w14:paraId="0DC0318A" w14:textId="77777777" w:rsidR="00BE2EF9" w:rsidRPr="00E778FA" w:rsidRDefault="00BE2EF9" w:rsidP="00BE2EF9">
      <w:pPr>
        <w:pStyle w:val="NoSpacing"/>
        <w:rPr>
          <w:b/>
          <w:bCs/>
        </w:rPr>
      </w:pPr>
      <w:r>
        <w:rPr>
          <w:b/>
        </w:rPr>
        <w:t xml:space="preserve">Legal lesson learned:  The RFP was clear and Courts </w:t>
      </w:r>
      <w:proofErr w:type="gramStart"/>
      <w:r>
        <w:rPr>
          <w:b/>
        </w:rPr>
        <w:t>as a general rule</w:t>
      </w:r>
      <w:proofErr w:type="gramEnd"/>
      <w:r>
        <w:rPr>
          <w:b/>
        </w:rPr>
        <w:t xml:space="preserve"> oppose issuing injunctions against public agencies. </w:t>
      </w:r>
    </w:p>
    <w:p w14:paraId="2139331B" w14:textId="77777777" w:rsidR="00BE2EF9" w:rsidRDefault="00BE2EF9" w:rsidP="00BE2EF9">
      <w:pPr>
        <w:pStyle w:val="NoSpacing"/>
      </w:pPr>
    </w:p>
    <w:p w14:paraId="04510C60" w14:textId="77777777" w:rsidR="002E2246" w:rsidRDefault="002E2246" w:rsidP="00004498">
      <w:pPr>
        <w:rPr>
          <w:rFonts w:ascii="Arial Black" w:hAnsi="Arial Black"/>
          <w:b/>
          <w:bCs/>
          <w:sz w:val="24"/>
          <w:szCs w:val="24"/>
        </w:rPr>
      </w:pPr>
    </w:p>
    <w:p w14:paraId="269419CB" w14:textId="77777777" w:rsidR="002E2246" w:rsidRDefault="002E2246" w:rsidP="00004498">
      <w:pPr>
        <w:rPr>
          <w:rFonts w:ascii="Arial Black" w:hAnsi="Arial Black"/>
          <w:b/>
          <w:bCs/>
          <w:sz w:val="24"/>
          <w:szCs w:val="24"/>
        </w:rPr>
      </w:pPr>
    </w:p>
    <w:p w14:paraId="1D9CFB54" w14:textId="0A5DDDB2" w:rsidR="00BE2EF9" w:rsidRDefault="008E7464" w:rsidP="00004498">
      <w:pPr>
        <w:rPr>
          <w:rFonts w:ascii="Arial Black" w:hAnsi="Arial Black"/>
          <w:b/>
          <w:bCs/>
          <w:sz w:val="24"/>
          <w:szCs w:val="24"/>
        </w:rPr>
      </w:pPr>
      <w:r>
        <w:rPr>
          <w:rFonts w:ascii="Arial Black" w:hAnsi="Arial Black"/>
          <w:b/>
          <w:bCs/>
          <w:sz w:val="24"/>
          <w:szCs w:val="24"/>
        </w:rPr>
        <w:t>13-</w:t>
      </w:r>
      <w:r w:rsidR="002E2246">
        <w:rPr>
          <w:rFonts w:ascii="Arial Black" w:hAnsi="Arial Black"/>
          <w:b/>
          <w:bCs/>
          <w:sz w:val="24"/>
          <w:szCs w:val="24"/>
        </w:rPr>
        <w:t>23</w:t>
      </w:r>
      <w:r w:rsidR="00524647">
        <w:rPr>
          <w:rFonts w:ascii="Arial Black" w:hAnsi="Arial Black"/>
          <w:b/>
          <w:bCs/>
          <w:sz w:val="24"/>
          <w:szCs w:val="24"/>
        </w:rPr>
        <w:t>7</w:t>
      </w:r>
    </w:p>
    <w:p w14:paraId="67E1B4F5" w14:textId="77777777" w:rsidR="00907B6A" w:rsidRDefault="00907B6A" w:rsidP="00004498">
      <w:pPr>
        <w:rPr>
          <w:rFonts w:ascii="Arial Black" w:hAnsi="Arial Black"/>
          <w:b/>
          <w:bCs/>
          <w:sz w:val="24"/>
          <w:szCs w:val="24"/>
        </w:rPr>
      </w:pPr>
    </w:p>
    <w:p w14:paraId="426FE7A2" w14:textId="77777777" w:rsidR="00907B6A" w:rsidRPr="00737DC2" w:rsidRDefault="00907B6A" w:rsidP="00907B6A">
      <w:pPr>
        <w:pStyle w:val="NoSpacing"/>
        <w:rPr>
          <w:rFonts w:ascii="Arial Black" w:hAnsi="Arial Black"/>
          <w:sz w:val="28"/>
          <w:szCs w:val="28"/>
        </w:rPr>
      </w:pPr>
      <w:r>
        <w:rPr>
          <w:rFonts w:ascii="Arial Black" w:hAnsi="Arial Black"/>
          <w:sz w:val="28"/>
          <w:szCs w:val="28"/>
        </w:rPr>
        <w:t xml:space="preserve">UT: EMS – SUES INSUR. CO. NOT PAYING STATE RATES </w:t>
      </w:r>
    </w:p>
    <w:p w14:paraId="5A161CFF" w14:textId="77777777" w:rsidR="00907B6A" w:rsidRDefault="00907B6A" w:rsidP="00907B6A">
      <w:pPr>
        <w:pStyle w:val="NoSpacing"/>
      </w:pPr>
    </w:p>
    <w:p w14:paraId="1D63591A" w14:textId="77777777" w:rsidR="00907B6A" w:rsidRDefault="00907B6A" w:rsidP="00907B6A">
      <w:pPr>
        <w:rPr>
          <w:b/>
        </w:rPr>
      </w:pPr>
      <w:r>
        <w:t xml:space="preserve">On December 12, 2025, </w:t>
      </w:r>
      <w:proofErr w:type="gramStart"/>
      <w:r>
        <w:t>in</w:t>
      </w:r>
      <w:proofErr w:type="gramEnd"/>
      <w:r>
        <w:t xml:space="preserve"> </w:t>
      </w:r>
      <w:r w:rsidRPr="005A464F">
        <w:rPr>
          <w:u w:val="single"/>
        </w:rPr>
        <w:t>Gold Cross Services, Inc. v</w:t>
      </w:r>
      <w:r>
        <w:rPr>
          <w:u w:val="single"/>
        </w:rPr>
        <w:t xml:space="preserve">. </w:t>
      </w:r>
      <w:r w:rsidRPr="005A464F">
        <w:rPr>
          <w:u w:val="single"/>
        </w:rPr>
        <w:t>The Cigna Group</w:t>
      </w:r>
      <w:r>
        <w:t xml:space="preserve">, U.S. District court Judge  Dale A. Kimball, </w:t>
      </w:r>
      <w:r w:rsidRPr="0057656F">
        <w:t>United States District Court, D. Utah</w:t>
      </w:r>
      <w:r>
        <w:t xml:space="preserve">, denied The Cigna Group’s motion to dismiss; the EMS services provided by Gold Cross to patients insured by Cigna were billed at State levels, and Cigna’s not paying full price is a breach of the “implied contract” claim.  As of July 1, </w:t>
      </w:r>
      <w:proofErr w:type="gramStart"/>
      <w:r>
        <w:t>2024</w:t>
      </w:r>
      <w:proofErr w:type="gramEnd"/>
      <w:r>
        <w:t xml:space="preserve"> the state’s </w:t>
      </w:r>
      <w:r w:rsidRPr="004F491B">
        <w:t>maximum ambulance base rate permitted for EMT services is $1,176.11, for</w:t>
      </w:r>
      <w:r>
        <w:t xml:space="preserve"> </w:t>
      </w:r>
      <w:r w:rsidRPr="004F491B">
        <w:t>AEMT services is $1,552.68, and for Paramedic services is $2,270.22. See Utah Admin. Code</w:t>
      </w:r>
      <w:r>
        <w:t xml:space="preserve"> </w:t>
      </w:r>
      <w:r w:rsidRPr="004F491B">
        <w:t>R911-8-200(6)</w:t>
      </w:r>
      <w:r>
        <w:t xml:space="preserve">.   The Cigna Group’s counterclaim of “up charging” is dismissed since they failed to provide any proof of a charge over the state’s rates (reviewed 50 claims and alleged </w:t>
      </w:r>
      <w:r w:rsidRPr="00FC6A24">
        <w:t>$406, 328.73 in overbillings</w:t>
      </w:r>
      <w:r>
        <w:t xml:space="preserve">.  Case will now go to pre-trial discovery. </w:t>
      </w:r>
      <w:hyperlink r:id="rId2076" w:history="1">
        <w:r w:rsidRPr="00AE4181">
          <w:rPr>
            <w:rStyle w:val="Hyperlink"/>
            <w:b/>
          </w:rPr>
          <w:t>https://cases.justia.com/federal/district-courts/utah/utdce/2:2025cv00111/154289/32/0.pdf?ts=1765634947</w:t>
        </w:r>
      </w:hyperlink>
      <w:r>
        <w:rPr>
          <w:b/>
        </w:rPr>
        <w:t xml:space="preserve"> </w:t>
      </w:r>
    </w:p>
    <w:p w14:paraId="075DF498" w14:textId="77777777" w:rsidR="00907B6A" w:rsidRDefault="00907B6A" w:rsidP="00907B6A">
      <w:pPr>
        <w:pStyle w:val="NoSpacing"/>
        <w:rPr>
          <w:bCs/>
        </w:rPr>
      </w:pPr>
      <w:r>
        <w:t xml:space="preserve"> THE COURT HELD:</w:t>
      </w:r>
    </w:p>
    <w:p w14:paraId="3A7D1CE6" w14:textId="77777777" w:rsidR="00907B6A" w:rsidRDefault="00907B6A" w:rsidP="00907B6A">
      <w:pPr>
        <w:pStyle w:val="NoSpacing"/>
        <w:rPr>
          <w:bCs/>
        </w:rPr>
      </w:pPr>
    </w:p>
    <w:p w14:paraId="6CCA6770" w14:textId="77777777" w:rsidR="00907B6A" w:rsidRPr="008544FB" w:rsidRDefault="00907B6A" w:rsidP="00907B6A">
      <w:pPr>
        <w:pStyle w:val="NoSpacing"/>
        <w:ind w:left="720"/>
        <w:rPr>
          <w:bCs/>
        </w:rPr>
      </w:pPr>
      <w:r>
        <w:t>“</w:t>
      </w:r>
      <w:r w:rsidRPr="008544FB">
        <w:t>Under this regulatory framework, an ambulance provider may not charge more than the</w:t>
      </w:r>
    </w:p>
    <w:p w14:paraId="2BEF2342" w14:textId="77777777" w:rsidR="00907B6A" w:rsidRDefault="00907B6A" w:rsidP="00907B6A">
      <w:pPr>
        <w:pStyle w:val="NoSpacing"/>
        <w:ind w:left="720"/>
        <w:rPr>
          <w:bCs/>
        </w:rPr>
      </w:pPr>
      <w:r w:rsidRPr="008544FB">
        <w:t xml:space="preserve">maximum base rate for </w:t>
      </w:r>
      <w:proofErr w:type="gramStart"/>
      <w:r w:rsidRPr="008544FB">
        <w:t>an ambulance</w:t>
      </w:r>
      <w:proofErr w:type="gramEnd"/>
      <w:r w:rsidRPr="008544FB">
        <w:t xml:space="preserve"> transfer and may not include costs for procedures or</w:t>
      </w:r>
      <w:r>
        <w:t xml:space="preserve"> </w:t>
      </w:r>
      <w:r w:rsidRPr="008544FB">
        <w:t xml:space="preserve">medications administered to patients </w:t>
      </w:r>
      <w:proofErr w:type="gramStart"/>
      <w:r w:rsidRPr="008544FB">
        <w:t>in</w:t>
      </w:r>
      <w:proofErr w:type="gramEnd"/>
      <w:r w:rsidRPr="008544FB">
        <w:t xml:space="preserve"> that base rate. Utah’s regulatory framework also</w:t>
      </w:r>
      <w:r>
        <w:t xml:space="preserve"> </w:t>
      </w:r>
      <w:r w:rsidRPr="008544FB">
        <w:t xml:space="preserve">recognizes that ambulance providers may incur additional costs during ambulance </w:t>
      </w:r>
      <w:proofErr w:type="gramStart"/>
      <w:r w:rsidRPr="008544FB">
        <w:t>transports</w:t>
      </w:r>
      <w:proofErr w:type="gramEnd"/>
      <w:r>
        <w:t xml:space="preserve"> </w:t>
      </w:r>
      <w:r w:rsidRPr="008544FB">
        <w:t>beyond what is covered by the maximum base rates. To account for these costs, an ambulance</w:t>
      </w:r>
      <w:r>
        <w:t xml:space="preserve"> </w:t>
      </w:r>
      <w:r w:rsidRPr="008544FB">
        <w:t>provider may charge for mileage, supplies, and medications as prescribed by law in addition to</w:t>
      </w:r>
      <w:r>
        <w:t xml:space="preserve"> </w:t>
      </w:r>
      <w:r w:rsidRPr="008544FB">
        <w:t>the base rate.</w:t>
      </w:r>
    </w:p>
    <w:p w14:paraId="1028604A" w14:textId="77777777" w:rsidR="00907B6A" w:rsidRDefault="00907B6A" w:rsidP="00907B6A">
      <w:pPr>
        <w:pStyle w:val="NoSpacing"/>
        <w:ind w:left="720"/>
        <w:rPr>
          <w:bCs/>
        </w:rPr>
      </w:pPr>
    </w:p>
    <w:p w14:paraId="7802AB08" w14:textId="77777777" w:rsidR="00907B6A" w:rsidRDefault="00907B6A" w:rsidP="00907B6A">
      <w:pPr>
        <w:pStyle w:val="NoSpacing"/>
        <w:ind w:left="720"/>
        <w:rPr>
          <w:bCs/>
        </w:rPr>
      </w:pPr>
      <w:r>
        <w:t>***</w:t>
      </w:r>
    </w:p>
    <w:p w14:paraId="19683BEF" w14:textId="77777777" w:rsidR="00907B6A" w:rsidRDefault="00907B6A" w:rsidP="00907B6A">
      <w:pPr>
        <w:pStyle w:val="NoSpacing"/>
        <w:ind w:left="720"/>
        <w:rPr>
          <w:bCs/>
        </w:rPr>
      </w:pPr>
    </w:p>
    <w:p w14:paraId="4ECFF433" w14:textId="77777777" w:rsidR="00907B6A" w:rsidRDefault="00907B6A" w:rsidP="00907B6A">
      <w:pPr>
        <w:pStyle w:val="NoSpacing"/>
        <w:ind w:left="720"/>
      </w:pPr>
      <w:r>
        <w:t xml:space="preserve">Utah law provides a rate for ambulance transport that is charged regardless of which HCPCS code is used. The statutory rate is what Gold Cross is entitled to charge. While Cigna claims that the use of certain HCPCS codes caused Cigna to incorrectly evaluate the claim under the respective insured’s policy, this is Cigna’s own </w:t>
      </w:r>
      <w:proofErr w:type="gramStart"/>
      <w:r>
        <w:t>mistake</w:t>
      </w:r>
      <w:proofErr w:type="gramEnd"/>
      <w:r>
        <w:t xml:space="preserve"> and it stems from Cigna’s failure to account for Utah’s statutory framework. Utah’s regulatory</w:t>
      </w:r>
    </w:p>
    <w:p w14:paraId="1AD82118" w14:textId="77777777" w:rsidR="00907B6A" w:rsidRDefault="00907B6A" w:rsidP="00907B6A">
      <w:pPr>
        <w:pStyle w:val="NoSpacing"/>
        <w:ind w:left="720"/>
      </w:pPr>
      <w:r>
        <w:t>framework allows ambulance providers to bill at the level of service dispatched, not the level of service rendered.</w:t>
      </w:r>
    </w:p>
    <w:p w14:paraId="707A6404" w14:textId="77777777" w:rsidR="00907B6A" w:rsidRDefault="00907B6A" w:rsidP="00907B6A">
      <w:pPr>
        <w:pStyle w:val="NoSpacing"/>
        <w:ind w:left="720"/>
      </w:pPr>
    </w:p>
    <w:p w14:paraId="225BE68A" w14:textId="77777777" w:rsidR="00907B6A" w:rsidRDefault="00907B6A" w:rsidP="00907B6A">
      <w:pPr>
        <w:pStyle w:val="NoSpacing"/>
        <w:ind w:left="720"/>
      </w:pPr>
      <w:r>
        <w:t>***</w:t>
      </w:r>
    </w:p>
    <w:p w14:paraId="3AA803FD" w14:textId="77777777" w:rsidR="00907B6A" w:rsidRDefault="00907B6A" w:rsidP="00907B6A">
      <w:pPr>
        <w:pStyle w:val="NoSpacing"/>
      </w:pPr>
    </w:p>
    <w:p w14:paraId="5AADE22A" w14:textId="77777777" w:rsidR="00907B6A" w:rsidRDefault="00907B6A" w:rsidP="00907B6A">
      <w:pPr>
        <w:pStyle w:val="NoSpacing"/>
        <w:ind w:left="720"/>
      </w:pPr>
      <w:r>
        <w:t xml:space="preserve">However, Cigna fails to appreciate that these duties [to pay state’s rates] were alleged to have been breached when Cigna inconsistently assigned different allowed amounts for the exact same HCPCS code and ambulance service. These duties were also allegedly breached when Cigna refused to consider Utah’s statutory framework </w:t>
      </w:r>
      <w:r>
        <w:lastRenderedPageBreak/>
        <w:t xml:space="preserve">when evaluating claims. As a result, Cigna has assigned different allowed amounts to identical HCPCS codes that are less than what are customary under Utah law. The parties can explore these duties and the alleged factual allegations in discovery. At the motion to dismiss stage, Gold Cross’ allegations are sufficiently </w:t>
      </w:r>
      <w:proofErr w:type="gramStart"/>
      <w:r>
        <w:t>pled</w:t>
      </w:r>
      <w:proofErr w:type="gramEnd"/>
      <w:r>
        <w:t xml:space="preserve">. The court, therefore, denies Cigna’s motion to dismiss the claim.”  </w:t>
      </w:r>
    </w:p>
    <w:p w14:paraId="5BCA5C9E" w14:textId="77777777" w:rsidR="00907B6A" w:rsidRDefault="00907B6A" w:rsidP="00907B6A">
      <w:pPr>
        <w:pStyle w:val="NoSpacing"/>
        <w:ind w:left="720"/>
      </w:pPr>
    </w:p>
    <w:p w14:paraId="7D5000CC" w14:textId="77777777" w:rsidR="00907B6A" w:rsidRDefault="00907B6A" w:rsidP="00907B6A">
      <w:pPr>
        <w:pStyle w:val="NoSpacing"/>
        <w:rPr>
          <w:b/>
        </w:rPr>
      </w:pPr>
      <w:r>
        <w:rPr>
          <w:b/>
        </w:rPr>
        <w:t xml:space="preserve">Legal lesson learned:  Pre-trial discovery will focus on any evidence of “up charging: by the ambulance company. </w:t>
      </w:r>
    </w:p>
    <w:p w14:paraId="58D36FAB" w14:textId="77777777" w:rsidR="00907B6A" w:rsidRDefault="00907B6A" w:rsidP="00004498">
      <w:pPr>
        <w:rPr>
          <w:rFonts w:ascii="Arial Black" w:hAnsi="Arial Black"/>
          <w:b/>
          <w:bCs/>
          <w:sz w:val="24"/>
          <w:szCs w:val="24"/>
        </w:rPr>
      </w:pPr>
    </w:p>
    <w:p w14:paraId="38E76735" w14:textId="7169D20F" w:rsidR="002C0B2A" w:rsidRDefault="002C0B2A" w:rsidP="00004498">
      <w:pPr>
        <w:rPr>
          <w:rFonts w:ascii="Arial Black" w:hAnsi="Arial Black"/>
          <w:b/>
          <w:bCs/>
          <w:sz w:val="24"/>
          <w:szCs w:val="24"/>
        </w:rPr>
      </w:pPr>
      <w:r>
        <w:rPr>
          <w:rFonts w:ascii="Arial Black" w:hAnsi="Arial Black"/>
          <w:b/>
          <w:bCs/>
          <w:sz w:val="24"/>
          <w:szCs w:val="24"/>
        </w:rPr>
        <w:t xml:space="preserve">13 – </w:t>
      </w:r>
      <w:r w:rsidR="00C16AA1">
        <w:rPr>
          <w:rFonts w:ascii="Arial Black" w:hAnsi="Arial Black"/>
          <w:b/>
          <w:bCs/>
          <w:sz w:val="24"/>
          <w:szCs w:val="24"/>
        </w:rPr>
        <w:t>23</w:t>
      </w:r>
      <w:r w:rsidR="00524647">
        <w:rPr>
          <w:rFonts w:ascii="Arial Black" w:hAnsi="Arial Black"/>
          <w:b/>
          <w:bCs/>
          <w:sz w:val="24"/>
          <w:szCs w:val="24"/>
        </w:rPr>
        <w:t>6</w:t>
      </w:r>
    </w:p>
    <w:p w14:paraId="2E2DE977" w14:textId="0A045C59" w:rsidR="002C0B2A" w:rsidRPr="008743D2" w:rsidRDefault="002C0B2A" w:rsidP="002C0B2A">
      <w:pPr>
        <w:rPr>
          <w:rFonts w:ascii="Arial Black" w:hAnsi="Arial Black"/>
          <w:b/>
          <w:sz w:val="28"/>
          <w:szCs w:val="28"/>
        </w:rPr>
      </w:pPr>
      <w:r>
        <w:rPr>
          <w:rFonts w:ascii="Arial Black" w:hAnsi="Arial Black"/>
          <w:b/>
          <w:sz w:val="28"/>
          <w:szCs w:val="28"/>
        </w:rPr>
        <w:t xml:space="preserve">MI: </w:t>
      </w:r>
      <w:r w:rsidR="002720DE">
        <w:rPr>
          <w:rFonts w:ascii="Arial Black" w:hAnsi="Arial Black"/>
          <w:b/>
          <w:sz w:val="28"/>
          <w:szCs w:val="28"/>
        </w:rPr>
        <w:t>DEFENDANT</w:t>
      </w:r>
      <w:r>
        <w:rPr>
          <w:rFonts w:ascii="Arial Black" w:hAnsi="Arial Black"/>
          <w:b/>
          <w:sz w:val="28"/>
          <w:szCs w:val="28"/>
        </w:rPr>
        <w:t xml:space="preserve"> IMPERSONATED EMT / FOOTBALL – CHILD PORN</w:t>
      </w:r>
    </w:p>
    <w:p w14:paraId="32625292" w14:textId="77777777" w:rsidR="002C0B2A" w:rsidRDefault="002C0B2A" w:rsidP="002C0B2A">
      <w:r>
        <w:t xml:space="preserve">On December 10, 2025, in </w:t>
      </w:r>
      <w:r w:rsidRPr="00A17D21">
        <w:rPr>
          <w:u w:val="single"/>
        </w:rPr>
        <w:t>United States of America v. Scott A. Lantzy</w:t>
      </w:r>
      <w:r>
        <w:t xml:space="preserve">, U.S. District Court Judge </w:t>
      </w:r>
      <w:r w:rsidRPr="00E8243B">
        <w:t>Thomas L. Ludington</w:t>
      </w:r>
      <w:r>
        <w:t xml:space="preserve">, </w:t>
      </w:r>
      <w:r w:rsidRPr="00DB542E">
        <w:t>United States District Court, E.D. Michigan, Northern Division</w:t>
      </w:r>
      <w:r>
        <w:t xml:space="preserve">. Denied new trial for the convicted child pornographer.  </w:t>
      </w:r>
      <w:r w:rsidRPr="002925B6">
        <w:t>On October 26, 2021, a jury convicted Defendant on all five counts</w:t>
      </w:r>
      <w:r>
        <w:t xml:space="preserve">, and he </w:t>
      </w:r>
      <w:r w:rsidRPr="002925B6">
        <w:t>was sentenced to 235 months of imprisonment, followed by a lifetime term</w:t>
      </w:r>
      <w:r>
        <w:t xml:space="preserve"> </w:t>
      </w:r>
      <w:r w:rsidRPr="002925B6">
        <w:t xml:space="preserve">of supervised release. </w:t>
      </w:r>
      <w:r>
        <w:t xml:space="preserve">On </w:t>
      </w:r>
      <w:r w:rsidRPr="002925B6">
        <w:t>October 4, 2023, the United States Court of Appeals for the Sixth Circuit affirmed his</w:t>
      </w:r>
      <w:r>
        <w:t xml:space="preserve"> </w:t>
      </w:r>
      <w:r w:rsidRPr="002925B6">
        <w:t xml:space="preserve">conviction. </w:t>
      </w:r>
      <w:r>
        <w:t xml:space="preserve">Two years after his </w:t>
      </w:r>
      <w:proofErr w:type="gramStart"/>
      <w:r>
        <w:t>trial, that</w:t>
      </w:r>
      <w:proofErr w:type="gramEnd"/>
      <w:r>
        <w:t xml:space="preserve"> he had ineffective defense attorney. </w:t>
      </w:r>
      <w:hyperlink r:id="rId2077" w:history="1">
        <w:r w:rsidRPr="00AE4181">
          <w:rPr>
            <w:rStyle w:val="Hyperlink"/>
          </w:rPr>
          <w:t>https://www.govinfo.gov/content/pkg/USCOURTS-mied-1_19-cr-20167/pdf/USCOURTS-mied-1_19-cr-20167-2.pdf</w:t>
        </w:r>
      </w:hyperlink>
      <w:r>
        <w:t xml:space="preserve"> </w:t>
      </w:r>
    </w:p>
    <w:p w14:paraId="01068ACD" w14:textId="77777777" w:rsidR="002C0B2A" w:rsidRDefault="002C0B2A" w:rsidP="002C0B2A">
      <w:r>
        <w:t>THE COURT HELD:</w:t>
      </w:r>
    </w:p>
    <w:p w14:paraId="73079331" w14:textId="77777777" w:rsidR="002C0B2A" w:rsidRPr="00096EC3" w:rsidRDefault="002C0B2A" w:rsidP="002C0B2A">
      <w:pPr>
        <w:pStyle w:val="NoSpacing"/>
        <w:ind w:firstLine="720"/>
      </w:pPr>
      <w:r>
        <w:t>“</w:t>
      </w:r>
      <w:r w:rsidRPr="00096EC3">
        <w:t>In 2018, Defendant Scott A. Lantzy impersonated an Emergency Medical Technician</w:t>
      </w:r>
    </w:p>
    <w:p w14:paraId="04A6ABE7" w14:textId="77777777" w:rsidR="002C0B2A" w:rsidRDefault="002C0B2A" w:rsidP="002C0B2A">
      <w:pPr>
        <w:pStyle w:val="NoSpacing"/>
        <w:ind w:left="720"/>
      </w:pPr>
      <w:r w:rsidRPr="00096EC3">
        <w:t>(EMT) at a high school football game</w:t>
      </w:r>
      <w:r>
        <w:t xml:space="preserve">…. </w:t>
      </w:r>
      <w:r w:rsidRPr="00096EC3">
        <w:t>In so doing, Defendant pretended to assist a player who had broken</w:t>
      </w:r>
      <w:r>
        <w:t xml:space="preserve"> </w:t>
      </w:r>
      <w:r w:rsidRPr="00096EC3">
        <w:t>his leg during that game and then followed him to the hospital</w:t>
      </w:r>
      <w:r>
        <w:t xml:space="preserve">…. </w:t>
      </w:r>
      <w:r w:rsidRPr="00096EC3">
        <w:t xml:space="preserve">  Once at the hospital, Defendant</w:t>
      </w:r>
      <w:r>
        <w:t xml:space="preserve"> ‘</w:t>
      </w:r>
      <w:r w:rsidRPr="00096EC3">
        <w:t>remained in the player’s</w:t>
      </w:r>
      <w:r>
        <w:t>’</w:t>
      </w:r>
      <w:r w:rsidRPr="00096EC3">
        <w:t xml:space="preserve"> room </w:t>
      </w:r>
      <w:r>
        <w:t>‘</w:t>
      </w:r>
      <w:r w:rsidRPr="00096EC3">
        <w:t>for over two hours before he was identified as an imposter.</w:t>
      </w:r>
      <w:r>
        <w:t>’</w:t>
      </w:r>
    </w:p>
    <w:p w14:paraId="091D678E" w14:textId="77777777" w:rsidR="002C0B2A" w:rsidRDefault="002C0B2A" w:rsidP="002C0B2A">
      <w:pPr>
        <w:pStyle w:val="NoSpacing"/>
        <w:ind w:left="720"/>
      </w:pPr>
    </w:p>
    <w:p w14:paraId="481A73A0" w14:textId="77777777" w:rsidR="002C0B2A" w:rsidRDefault="002C0B2A" w:rsidP="002C0B2A">
      <w:pPr>
        <w:pStyle w:val="NoSpacing"/>
        <w:ind w:left="720"/>
      </w:pPr>
      <w:r>
        <w:t>***</w:t>
      </w:r>
    </w:p>
    <w:p w14:paraId="39D28E14" w14:textId="77777777" w:rsidR="002C0B2A" w:rsidRPr="004C1AF9" w:rsidRDefault="002C0B2A" w:rsidP="002C0B2A">
      <w:pPr>
        <w:pStyle w:val="NoSpacing"/>
        <w:ind w:firstLine="720"/>
      </w:pPr>
      <w:r w:rsidRPr="004C1AF9">
        <w:t>As a part of the investigation into the EMT incident, law enforcement learned that before</w:t>
      </w:r>
    </w:p>
    <w:p w14:paraId="5DA15DA5" w14:textId="77777777" w:rsidR="002C0B2A" w:rsidRDefault="002C0B2A" w:rsidP="002C0B2A">
      <w:pPr>
        <w:pStyle w:val="NoSpacing"/>
        <w:ind w:left="720"/>
      </w:pPr>
      <w:r w:rsidRPr="004C1AF9">
        <w:t xml:space="preserve">that, Defendant had </w:t>
      </w:r>
      <w:r>
        <w:t>‘</w:t>
      </w:r>
      <w:r w:rsidRPr="004C1AF9">
        <w:t>developed a close relationship with another student.</w:t>
      </w:r>
      <w:r>
        <w:t xml:space="preserve">’ … </w:t>
      </w:r>
      <w:r w:rsidRPr="004C1AF9">
        <w:t>Defendant gave the</w:t>
      </w:r>
      <w:r>
        <w:t xml:space="preserve"> </w:t>
      </w:r>
      <w:r w:rsidRPr="004C1AF9">
        <w:t xml:space="preserve">student gifts and </w:t>
      </w:r>
      <w:r>
        <w:t>‘</w:t>
      </w:r>
      <w:r w:rsidRPr="004C1AF9">
        <w:t>asked the student and his friend to house sit for several days.</w:t>
      </w:r>
      <w:r>
        <w:t>’…</w:t>
      </w:r>
      <w:r w:rsidRPr="004C1AF9">
        <w:t>When the</w:t>
      </w:r>
      <w:r>
        <w:t xml:space="preserve"> </w:t>
      </w:r>
      <w:r w:rsidRPr="004C1AF9">
        <w:t>student agreed, Defendant gave him a camera and directed him to take pictures of what he and his</w:t>
      </w:r>
      <w:r>
        <w:t xml:space="preserve"> </w:t>
      </w:r>
      <w:r w:rsidRPr="004C1AF9">
        <w:t>friend did while housesitting</w:t>
      </w:r>
      <w:r>
        <w:t xml:space="preserve">…. </w:t>
      </w:r>
      <w:r w:rsidRPr="004C1AF9">
        <w:t>Defendant then texted the student daily to see if he had taken</w:t>
      </w:r>
      <w:r>
        <w:t xml:space="preserve"> </w:t>
      </w:r>
      <w:r w:rsidRPr="004C1AF9">
        <w:t xml:space="preserve">pictures and responded to one picture that it was </w:t>
      </w:r>
      <w:r>
        <w:t>‘</w:t>
      </w:r>
      <w:r w:rsidRPr="004C1AF9">
        <w:t>nice to see that</w:t>
      </w:r>
      <w:r>
        <w:t>’</w:t>
      </w:r>
      <w:r w:rsidRPr="004C1AF9">
        <w:t xml:space="preserve"> the student and his friend were</w:t>
      </w:r>
      <w:r>
        <w:t xml:space="preserve"> </w:t>
      </w:r>
      <w:r w:rsidRPr="00560EE7">
        <w:t>clothed</w:t>
      </w:r>
      <w:r>
        <w:t xml:space="preserve">…. </w:t>
      </w:r>
      <w:r w:rsidRPr="00560EE7">
        <w:t xml:space="preserve">In addition to that line of text messages, Defendant discussed </w:t>
      </w:r>
      <w:r>
        <w:t>‘</w:t>
      </w:r>
      <w:r w:rsidRPr="00560EE7">
        <w:t>sex</w:t>
      </w:r>
      <w:r>
        <w:t xml:space="preserve"> </w:t>
      </w:r>
      <w:r w:rsidRPr="00560EE7">
        <w:t>with the student.</w:t>
      </w:r>
      <w:r>
        <w:t>’</w:t>
      </w:r>
    </w:p>
    <w:p w14:paraId="12926E9E" w14:textId="77777777" w:rsidR="002C0B2A" w:rsidRDefault="002C0B2A" w:rsidP="002C0B2A">
      <w:pPr>
        <w:pStyle w:val="NoSpacing"/>
        <w:ind w:left="720"/>
      </w:pPr>
    </w:p>
    <w:p w14:paraId="16AA578D" w14:textId="77777777" w:rsidR="002C0B2A" w:rsidRDefault="002C0B2A" w:rsidP="002C0B2A">
      <w:pPr>
        <w:pStyle w:val="NoSpacing"/>
        <w:ind w:left="720"/>
      </w:pPr>
      <w:r>
        <w:t>***</w:t>
      </w:r>
    </w:p>
    <w:p w14:paraId="1FED7FE3" w14:textId="77777777" w:rsidR="002C0B2A" w:rsidRDefault="002C0B2A" w:rsidP="002C0B2A">
      <w:pPr>
        <w:pStyle w:val="NoSpacing"/>
        <w:ind w:left="720"/>
      </w:pPr>
      <w:r>
        <w:t xml:space="preserve">In sum, Defendant’s Motion is time-barred. Defendant moved for a new trial over two years after his 14-day deadline under Criminal Rule 33. And he does not </w:t>
      </w:r>
      <w:proofErr w:type="gramStart"/>
      <w:r>
        <w:t>argue—nor could he—</w:t>
      </w:r>
      <w:proofErr w:type="gramEnd"/>
      <w:r>
        <w:t xml:space="preserve">that this inordinate delay was the product of excusable neglect. As a result, Defendant’s Motion for a New Trial, ECF No. 125, will be </w:t>
      </w:r>
      <w:proofErr w:type="gramStart"/>
      <w:r>
        <w:t>denied.”</w:t>
      </w:r>
      <w:proofErr w:type="gramEnd"/>
    </w:p>
    <w:p w14:paraId="754FDBC3" w14:textId="77777777" w:rsidR="002C0B2A" w:rsidRDefault="002C0B2A" w:rsidP="002C0B2A">
      <w:pPr>
        <w:pStyle w:val="NoSpacing"/>
        <w:ind w:left="720"/>
      </w:pPr>
    </w:p>
    <w:p w14:paraId="13AEBFCE" w14:textId="77777777" w:rsidR="002C0B2A" w:rsidRPr="002B074F" w:rsidRDefault="002C0B2A" w:rsidP="002C0B2A">
      <w:pPr>
        <w:pStyle w:val="NoSpacing"/>
        <w:rPr>
          <w:b/>
          <w:bCs/>
        </w:rPr>
      </w:pPr>
      <w:r>
        <w:rPr>
          <w:b/>
        </w:rPr>
        <w:t>Legal lesson learned:  C</w:t>
      </w:r>
      <w:r w:rsidRPr="00EA74B9">
        <w:rPr>
          <w:b/>
        </w:rPr>
        <w:t>hild pornography</w:t>
      </w:r>
      <w:r>
        <w:rPr>
          <w:b/>
        </w:rPr>
        <w:t xml:space="preserve"> is a terrible offense; impersonating an EMT in pursuit of children is particularly offense. </w:t>
      </w:r>
    </w:p>
    <w:p w14:paraId="3200EDF8" w14:textId="77777777" w:rsidR="002C0B2A" w:rsidRDefault="002C0B2A" w:rsidP="002C0B2A">
      <w:pPr>
        <w:rPr>
          <w:b/>
        </w:rPr>
      </w:pPr>
    </w:p>
    <w:p w14:paraId="330B028C" w14:textId="07A80247" w:rsidR="002C0B2A" w:rsidRDefault="00182433" w:rsidP="00004498">
      <w:pPr>
        <w:rPr>
          <w:rFonts w:ascii="Arial Black" w:hAnsi="Arial Black"/>
          <w:b/>
          <w:bCs/>
          <w:sz w:val="24"/>
          <w:szCs w:val="24"/>
        </w:rPr>
      </w:pPr>
      <w:r>
        <w:rPr>
          <w:rFonts w:ascii="Arial Black" w:hAnsi="Arial Black"/>
          <w:b/>
          <w:bCs/>
          <w:sz w:val="24"/>
          <w:szCs w:val="24"/>
        </w:rPr>
        <w:t>13-</w:t>
      </w:r>
      <w:r w:rsidR="00C16AA1">
        <w:rPr>
          <w:rFonts w:ascii="Arial Black" w:hAnsi="Arial Black"/>
          <w:b/>
          <w:bCs/>
          <w:sz w:val="24"/>
          <w:szCs w:val="24"/>
        </w:rPr>
        <w:t>23</w:t>
      </w:r>
      <w:r w:rsidR="00524647">
        <w:rPr>
          <w:rFonts w:ascii="Arial Black" w:hAnsi="Arial Black"/>
          <w:b/>
          <w:bCs/>
          <w:sz w:val="24"/>
          <w:szCs w:val="24"/>
        </w:rPr>
        <w:t>5</w:t>
      </w:r>
    </w:p>
    <w:p w14:paraId="79D99B97" w14:textId="60410BC3" w:rsidR="009F725F" w:rsidRDefault="009F725F" w:rsidP="009F725F">
      <w:pPr>
        <w:rPr>
          <w:rFonts w:ascii="Arial Black" w:hAnsi="Arial Black"/>
          <w:bCs/>
          <w:sz w:val="28"/>
          <w:szCs w:val="28"/>
        </w:rPr>
      </w:pPr>
      <w:r>
        <w:rPr>
          <w:rFonts w:ascii="Arial Black" w:hAnsi="Arial Black"/>
          <w:sz w:val="28"/>
          <w:szCs w:val="28"/>
        </w:rPr>
        <w:t>GA: AGITATED PT – VERSED / PRONE / DIED – QUAL IMMUN</w:t>
      </w:r>
      <w:r w:rsidR="002F4ACE">
        <w:rPr>
          <w:rFonts w:ascii="Arial Black" w:hAnsi="Arial Black"/>
          <w:sz w:val="28"/>
          <w:szCs w:val="28"/>
        </w:rPr>
        <w:t>ITY</w:t>
      </w:r>
    </w:p>
    <w:p w14:paraId="2C32F48E" w14:textId="77777777" w:rsidR="009F725F" w:rsidRPr="003D3384" w:rsidRDefault="009F725F" w:rsidP="009F725F">
      <w:pPr>
        <w:pStyle w:val="NoSpacing"/>
        <w:rPr>
          <w:bCs/>
        </w:rPr>
      </w:pPr>
      <w:r>
        <w:t xml:space="preserve">On December 1, 2025, in </w:t>
      </w:r>
      <w:r w:rsidRPr="004F2FE9">
        <w:rPr>
          <w:u w:val="single"/>
        </w:rPr>
        <w:t>Yvonne M. West, individually and as administrator of the estate of Jamon West v. Dekalb County, Georgia, et al</w:t>
      </w:r>
      <w:r>
        <w:t>., the U.S. Court of Appeals for 11</w:t>
      </w:r>
      <w:r w:rsidRPr="00567FD4">
        <w:rPr>
          <w:vertAlign w:val="superscript"/>
        </w:rPr>
        <w:t>th</w:t>
      </w:r>
      <w:r>
        <w:t xml:space="preserve"> Circuit (Atlanta) held (3 to 0; unpublished opinion) that the trial court judge properly dismissed the lawsuit; no deliberate indifference to the needs of the patient and therefore </w:t>
      </w:r>
      <w:r>
        <w:lastRenderedPageBreak/>
        <w:t xml:space="preserve">firefighters have qualified immunity. While the fire department’s policy manual warns that </w:t>
      </w:r>
      <w:r w:rsidRPr="000F2663">
        <w:t>patients with excited delirium “should never be oriented in a prone</w:t>
      </w:r>
      <w:r>
        <w:t xml:space="preserve"> </w:t>
      </w:r>
      <w:r w:rsidRPr="000F2663">
        <w:t xml:space="preserve">position” and should only be restrained with “soft medical restraints” </w:t>
      </w:r>
      <w:r>
        <w:t xml:space="preserve">there was no proof that EMS violated  </w:t>
      </w:r>
      <w:r w:rsidRPr="003D3384">
        <w:t>any clearly established law regarding deliberate indifference to</w:t>
      </w:r>
      <w:r>
        <w:t xml:space="preserve"> </w:t>
      </w:r>
      <w:r w:rsidRPr="003D3384">
        <w:t>medical need</w:t>
      </w:r>
      <w:r>
        <w:t xml:space="preserve">. On August 16, 2019, the patient was at his mother’s home, she called 911 when he </w:t>
      </w:r>
      <w:r w:rsidRPr="000F055C">
        <w:t>suffered “an episode of behavioral crisis,”</w:t>
      </w:r>
      <w:r>
        <w:t xml:space="preserve"> </w:t>
      </w:r>
      <w:r w:rsidRPr="000F055C">
        <w:t>known as “excited delirium</w:t>
      </w:r>
      <w:r>
        <w:t>.</w:t>
      </w:r>
      <w:r w:rsidRPr="000F055C">
        <w:t>”</w:t>
      </w:r>
      <w:r>
        <w:t xml:space="preserve">  Firefighters held him prone in grass, administered Haldol and Versed, and when quieted down, police removed the handcuffs and soft restraints were used.  When moving him to ambulance, he went into cardia arrest, then a coma and died few days later.  </w:t>
      </w:r>
    </w:p>
    <w:p w14:paraId="39DCB970" w14:textId="77777777" w:rsidR="009F725F" w:rsidRDefault="009F725F" w:rsidP="009F725F">
      <w:pPr>
        <w:pStyle w:val="NoSpacing"/>
        <w:rPr>
          <w:bCs/>
        </w:rPr>
      </w:pPr>
      <w:hyperlink r:id="rId2078" w:history="1">
        <w:r w:rsidRPr="00E22D14">
          <w:rPr>
            <w:rStyle w:val="Hyperlink"/>
          </w:rPr>
          <w:t>https://media.ca11.uscourts.gov/opinions/unpub/files/202413197.pdf</w:t>
        </w:r>
      </w:hyperlink>
      <w:r>
        <w:t xml:space="preserve"> </w:t>
      </w:r>
    </w:p>
    <w:p w14:paraId="63C2CCF6" w14:textId="77777777" w:rsidR="009F725F" w:rsidRDefault="009F725F" w:rsidP="009F725F">
      <w:pPr>
        <w:pStyle w:val="NoSpacing"/>
        <w:rPr>
          <w:bCs/>
        </w:rPr>
      </w:pPr>
    </w:p>
    <w:p w14:paraId="433DD9F3" w14:textId="77777777" w:rsidR="009F725F" w:rsidRDefault="009F725F" w:rsidP="009F725F">
      <w:pPr>
        <w:rPr>
          <w:bCs/>
        </w:rPr>
      </w:pPr>
      <w:r>
        <w:t>THE COURT HELD:</w:t>
      </w:r>
    </w:p>
    <w:p w14:paraId="36DF1E4A" w14:textId="77777777" w:rsidR="009F725F" w:rsidRDefault="009F725F" w:rsidP="009F725F">
      <w:pPr>
        <w:pStyle w:val="NoSpacing"/>
        <w:ind w:left="720"/>
      </w:pPr>
      <w:r>
        <w:t>“When Firefighters Winkler and Lakatos initially responded to the call, West appeared ‘highly agitated, hyperactive, confused, and not in control of his behavior.’ Firefighters Winkler and Lakatos restrained West ‘in a prone position, face down on the ground’ with the help of fire department Captain Ditmore and Firefighters Kelly, Van Wie, and Fleming, who arrived shortly after Winkler and Lakatos had started  restraining West. ‘[F]</w:t>
      </w:r>
      <w:proofErr w:type="spellStart"/>
      <w:r>
        <w:t>our</w:t>
      </w:r>
      <w:proofErr w:type="spellEnd"/>
      <w:r>
        <w:t xml:space="preserve"> or five firefighters appl[</w:t>
      </w:r>
      <w:proofErr w:type="spellStart"/>
      <w:r>
        <w:t>ied</w:t>
      </w:r>
      <w:proofErr w:type="spellEnd"/>
      <w:proofErr w:type="gramStart"/>
      <w:r>
        <w:t>] force</w:t>
      </w:r>
      <w:proofErr w:type="gramEnd"/>
      <w:r>
        <w:t xml:space="preserve"> to all four [of West’s] extremities and to his back.’ West’s mother cried for the firefighters to stop because her son couldn’t breathe with his face pressed </w:t>
      </w:r>
      <w:proofErr w:type="gramStart"/>
      <w:r>
        <w:t>in</w:t>
      </w:r>
      <w:proofErr w:type="gramEnd"/>
      <w:r>
        <w:t xml:space="preserve"> the grass. One of the firefighters told West’s mother ‘that she would be arrested if she did not back away.’ Captain Ditmore then ‘took command of the scene,’ directing Firefighter Payne to inject West with a ‘chemical restraint.’ Firefighter Payne gave West the maximum dosage permitted by county policy of two sedatives, Haldol and Versed. </w:t>
      </w:r>
    </w:p>
    <w:p w14:paraId="2899BCA6" w14:textId="77777777" w:rsidR="009F725F" w:rsidRDefault="009F725F" w:rsidP="009F725F">
      <w:pPr>
        <w:pStyle w:val="NoSpacing"/>
        <w:ind w:left="720"/>
      </w:pPr>
    </w:p>
    <w:p w14:paraId="2CE6F5E3" w14:textId="77777777" w:rsidR="009F725F" w:rsidRDefault="009F725F" w:rsidP="009F725F">
      <w:pPr>
        <w:pStyle w:val="NoSpacing"/>
        <w:ind w:left="720"/>
      </w:pPr>
      <w:r>
        <w:t>***</w:t>
      </w:r>
    </w:p>
    <w:p w14:paraId="3373C72E" w14:textId="77777777" w:rsidR="009F725F" w:rsidRDefault="009F725F" w:rsidP="009F725F">
      <w:pPr>
        <w:pStyle w:val="NoSpacing"/>
        <w:ind w:left="720"/>
      </w:pPr>
      <w:r w:rsidRPr="00560F9E">
        <w:t>After the firefighters had given West the sedatives, county</w:t>
      </w:r>
      <w:r>
        <w:t xml:space="preserve"> </w:t>
      </w:r>
      <w:r w:rsidRPr="00560F9E">
        <w:t>police officers arrived. Captain Ditmore asked the police to handcuff West. Police Officers Lattimore and Williams handcuffed</w:t>
      </w:r>
      <w:r>
        <w:t xml:space="preserve"> </w:t>
      </w:r>
      <w:r w:rsidRPr="00560F9E">
        <w:t>West’s hands behind his back with Captain Ditmore’s assistance.</w:t>
      </w:r>
      <w:r>
        <w:t xml:space="preserve"> </w:t>
      </w:r>
      <w:r w:rsidRPr="00560F9E">
        <w:t xml:space="preserve">Captain Ditmore walked away to make a status report </w:t>
      </w:r>
      <w:proofErr w:type="gramStart"/>
      <w:r w:rsidRPr="00560F9E">
        <w:t>by radio</w:t>
      </w:r>
      <w:proofErr w:type="gramEnd"/>
      <w:r w:rsidRPr="00560F9E">
        <w:t>.</w:t>
      </w:r>
      <w:r>
        <w:t xml:space="preserve"> </w:t>
      </w:r>
      <w:r w:rsidRPr="00560F9E">
        <w:t xml:space="preserve">The officers left West </w:t>
      </w:r>
      <w:r>
        <w:t>‘</w:t>
      </w:r>
      <w:r w:rsidRPr="00560F9E">
        <w:t>in a prone position with his hands cuffed</w:t>
      </w:r>
      <w:r>
        <w:t xml:space="preserve"> </w:t>
      </w:r>
      <w:r w:rsidRPr="00560F9E">
        <w:t>behind his back,</w:t>
      </w:r>
      <w:r>
        <w:t>’</w:t>
      </w:r>
      <w:r w:rsidRPr="00560F9E">
        <w:t xml:space="preserve"> and West continued to be restrained </w:t>
      </w:r>
      <w:r>
        <w:t>‘</w:t>
      </w:r>
      <w:r w:rsidRPr="00560F9E">
        <w:t>in this manner long enough for the sedatives to take effect.</w:t>
      </w:r>
      <w:r>
        <w:t>’</w:t>
      </w:r>
      <w:r w:rsidRPr="00560F9E">
        <w:t xml:space="preserve"> After Captain</w:t>
      </w:r>
      <w:r>
        <w:t xml:space="preserve"> Ditmore finished his call and ‘observed that . . . West was calm,’ he ‘ordered the handcuffs removed and replaced with soft restraints.’ As the defendants began to transport West across his mother’s </w:t>
      </w:r>
      <w:proofErr w:type="gramStart"/>
      <w:r>
        <w:t>yard, ‘</w:t>
      </w:r>
      <w:proofErr w:type="gramEnd"/>
      <w:r>
        <w:t>his respiratory rate dropped and he went into cardiac arrest.’  West was transported to the hospital, fell into a coma, and died a few days later. After performing an autopsy, the county medical examiner concluded that West had ‘died of ‘[d]</w:t>
      </w:r>
      <w:proofErr w:type="spellStart"/>
      <w:r>
        <w:t>elayed</w:t>
      </w:r>
      <w:proofErr w:type="spellEnd"/>
      <w:r>
        <w:t xml:space="preserve"> complications of cardiorespiratory arrest due [to] probable excited delirium and physical restraint,’ describing West’s death as a homicide.</w:t>
      </w:r>
    </w:p>
    <w:p w14:paraId="7BACEEA6" w14:textId="77777777" w:rsidR="009F725F" w:rsidRDefault="009F725F" w:rsidP="009F725F">
      <w:pPr>
        <w:pStyle w:val="NoSpacing"/>
        <w:ind w:left="720"/>
      </w:pPr>
    </w:p>
    <w:p w14:paraId="344C4653" w14:textId="77777777" w:rsidR="009F725F" w:rsidRDefault="009F725F" w:rsidP="009F725F">
      <w:pPr>
        <w:pStyle w:val="NoSpacing"/>
        <w:ind w:left="720"/>
      </w:pPr>
      <w:r>
        <w:t>***</w:t>
      </w:r>
    </w:p>
    <w:p w14:paraId="6D32A6E8" w14:textId="77777777" w:rsidR="009F725F" w:rsidRDefault="009F725F" w:rsidP="009F725F">
      <w:pPr>
        <w:pStyle w:val="NoSpacing"/>
      </w:pPr>
    </w:p>
    <w:p w14:paraId="4B39FA6E" w14:textId="77777777" w:rsidR="009F725F" w:rsidRDefault="009F725F" w:rsidP="009F725F">
      <w:pPr>
        <w:pStyle w:val="NoSpacing"/>
        <w:ind w:left="720"/>
        <w:rPr>
          <w:bCs/>
        </w:rPr>
      </w:pPr>
      <w:r w:rsidRPr="000F2663">
        <w:t>DeKalb County officials</w:t>
      </w:r>
      <w:r>
        <w:t xml:space="preserve"> </w:t>
      </w:r>
      <w:r w:rsidRPr="000F2663">
        <w:t>conducted an internal investigation and determined that the first</w:t>
      </w:r>
      <w:r>
        <w:t xml:space="preserve"> </w:t>
      </w:r>
      <w:r w:rsidRPr="000F2663">
        <w:t>responders involved in West’s death had complied with county policy</w:t>
      </w:r>
      <w:r>
        <w:t>.</w:t>
      </w:r>
    </w:p>
    <w:p w14:paraId="0A493A63" w14:textId="77777777" w:rsidR="009F725F" w:rsidRDefault="009F725F" w:rsidP="009F725F">
      <w:pPr>
        <w:pStyle w:val="NoSpacing"/>
        <w:ind w:left="720"/>
        <w:rPr>
          <w:bCs/>
        </w:rPr>
      </w:pPr>
    </w:p>
    <w:p w14:paraId="36519513" w14:textId="77777777" w:rsidR="009F725F" w:rsidRDefault="009F725F" w:rsidP="009F725F">
      <w:pPr>
        <w:pStyle w:val="NoSpacing"/>
        <w:ind w:left="720"/>
        <w:rPr>
          <w:bCs/>
        </w:rPr>
      </w:pPr>
      <w:r>
        <w:t>***</w:t>
      </w:r>
    </w:p>
    <w:p w14:paraId="72D0BAB6" w14:textId="77777777" w:rsidR="009F725F" w:rsidRDefault="009F725F" w:rsidP="009F725F">
      <w:pPr>
        <w:pStyle w:val="NoSpacing"/>
        <w:ind w:left="720"/>
      </w:pPr>
      <w:r>
        <w:t xml:space="preserve">Turning to the specific practices at issue here, Ms. West does not actually allege that the use of prone restraints or behind-the-back handcuffing on individuals with excited delirium was ‘so obvious” that liability attaches for a single incident. See Weiland v. Palm Beach </w:t>
      </w:r>
      <w:proofErr w:type="spellStart"/>
      <w:r>
        <w:t>Cnty</w:t>
      </w:r>
      <w:proofErr w:type="spellEnd"/>
      <w:r>
        <w:t>. Sheriff’s Off., 792 F.3d 1313, 1329 (11th Cir. 2015) (rejecting failure-to-train claim where the complaint ‘d[id] not allege that the need for specialized training in the constitutional restrictions on the use of force when dealing with mentally ill citizens [</w:t>
      </w:r>
      <w:proofErr w:type="spellStart"/>
      <w:r>
        <w:t>wa</w:t>
      </w:r>
      <w:proofErr w:type="spellEnd"/>
      <w:r>
        <w:t xml:space="preserve">]s ‘so obvious’ that the failure to provide such training amounts to deliberate indifference’). And even if she did, training in the proper use of restraints on individuals with excited delirium ‘falls far short of the kind of ‘obvious’ need for training that would support </w:t>
      </w:r>
      <w:proofErr w:type="gramStart"/>
      <w:r>
        <w:t>a finding</w:t>
      </w:r>
      <w:proofErr w:type="gramEnd"/>
      <w:r>
        <w:t xml:space="preserve"> of deliberate indifference to constitutional rights on the part of the [county].’ Canton, 489 U.S. at 396–97 (O’Connor, J., concurring in part and dissenting in part) (finding no obvious need to train police in diagnosing mental illness)….</w:t>
      </w:r>
    </w:p>
    <w:p w14:paraId="4C97DCE4" w14:textId="77777777" w:rsidR="009F725F" w:rsidRDefault="009F725F" w:rsidP="009F725F">
      <w:pPr>
        <w:pStyle w:val="NoSpacing"/>
        <w:ind w:left="720"/>
      </w:pPr>
    </w:p>
    <w:p w14:paraId="7901EB92" w14:textId="77777777" w:rsidR="009F725F" w:rsidRDefault="009F725F" w:rsidP="009F725F">
      <w:pPr>
        <w:pStyle w:val="NoSpacing"/>
        <w:ind w:left="720"/>
      </w:pPr>
      <w:r>
        <w:t>***</w:t>
      </w:r>
    </w:p>
    <w:p w14:paraId="59B72A96" w14:textId="77777777" w:rsidR="009F725F" w:rsidRDefault="009F725F" w:rsidP="009F725F">
      <w:pPr>
        <w:pStyle w:val="NoSpacing"/>
        <w:ind w:left="720"/>
      </w:pPr>
      <w:r>
        <w:t xml:space="preserve">Because Captain Ditmore and Firefighter Payne did not violate any clearly established law regarding deliberate indifference to medical need, Ms. West cannot overcome their qualified immunity at the dismissal </w:t>
      </w:r>
      <w:proofErr w:type="gramStart"/>
      <w:r>
        <w:t>stage.”</w:t>
      </w:r>
      <w:proofErr w:type="gramEnd"/>
    </w:p>
    <w:p w14:paraId="62E9A1B8" w14:textId="77777777" w:rsidR="009F725F" w:rsidRDefault="009F725F" w:rsidP="009F725F">
      <w:pPr>
        <w:pStyle w:val="NoSpacing"/>
        <w:ind w:left="720"/>
      </w:pPr>
    </w:p>
    <w:p w14:paraId="37EDF8E5" w14:textId="77777777" w:rsidR="009F725F" w:rsidRPr="00F03ED4" w:rsidRDefault="009F725F" w:rsidP="009F725F">
      <w:pPr>
        <w:pStyle w:val="NoSpacing"/>
        <w:rPr>
          <w:b/>
          <w:bCs/>
        </w:rPr>
      </w:pPr>
      <w:r>
        <w:rPr>
          <w:b/>
        </w:rPr>
        <w:t>Legal lesson learned</w:t>
      </w:r>
      <w:r w:rsidRPr="00F03ED4">
        <w:rPr>
          <w:b/>
        </w:rPr>
        <w:t>:  Review your EMS protocols concerning holding combative patient in prone position after administering Haldol and Versed</w:t>
      </w:r>
    </w:p>
    <w:p w14:paraId="3F7235FE" w14:textId="77777777" w:rsidR="009F725F" w:rsidRPr="00F03ED4" w:rsidRDefault="009F725F" w:rsidP="009F725F">
      <w:pPr>
        <w:rPr>
          <w:b/>
          <w:bCs/>
        </w:rPr>
      </w:pPr>
    </w:p>
    <w:p w14:paraId="1BD7EE0F" w14:textId="1AA527A7" w:rsidR="00182433" w:rsidRDefault="009F725F" w:rsidP="00004498">
      <w:pPr>
        <w:rPr>
          <w:rFonts w:ascii="Arial Black" w:hAnsi="Arial Black"/>
          <w:b/>
          <w:bCs/>
          <w:sz w:val="24"/>
          <w:szCs w:val="24"/>
        </w:rPr>
      </w:pPr>
      <w:r>
        <w:rPr>
          <w:rFonts w:ascii="Arial Black" w:hAnsi="Arial Black"/>
          <w:b/>
          <w:bCs/>
          <w:sz w:val="24"/>
          <w:szCs w:val="24"/>
        </w:rPr>
        <w:t>13-</w:t>
      </w:r>
      <w:r w:rsidR="00C16AA1">
        <w:rPr>
          <w:rFonts w:ascii="Arial Black" w:hAnsi="Arial Black"/>
          <w:b/>
          <w:bCs/>
          <w:sz w:val="24"/>
          <w:szCs w:val="24"/>
        </w:rPr>
        <w:t>23</w:t>
      </w:r>
      <w:r w:rsidR="00524647">
        <w:rPr>
          <w:rFonts w:ascii="Arial Black" w:hAnsi="Arial Black"/>
          <w:b/>
          <w:bCs/>
          <w:sz w:val="24"/>
          <w:szCs w:val="24"/>
        </w:rPr>
        <w:t>4</w:t>
      </w:r>
    </w:p>
    <w:p w14:paraId="509B8F2A" w14:textId="66F291E9" w:rsidR="00C16AA1" w:rsidRPr="00C83248" w:rsidRDefault="00C16AA1" w:rsidP="00C16AA1">
      <w:pPr>
        <w:rPr>
          <w:rFonts w:ascii="Arial Black" w:hAnsi="Arial Black"/>
          <w:b/>
          <w:sz w:val="28"/>
          <w:szCs w:val="28"/>
        </w:rPr>
      </w:pPr>
      <w:r>
        <w:rPr>
          <w:rFonts w:ascii="Arial Black" w:hAnsi="Arial Black"/>
          <w:b/>
          <w:sz w:val="28"/>
          <w:szCs w:val="28"/>
        </w:rPr>
        <w:t xml:space="preserve">IL: </w:t>
      </w:r>
      <w:r>
        <w:rPr>
          <w:b/>
        </w:rPr>
        <w:t xml:space="preserve"> </w:t>
      </w:r>
      <w:r>
        <w:rPr>
          <w:rFonts w:ascii="Arial Black" w:hAnsi="Arial Black"/>
          <w:b/>
          <w:sz w:val="28"/>
          <w:szCs w:val="28"/>
        </w:rPr>
        <w:t>330 LB PATIENT – GURNEY F</w:t>
      </w:r>
      <w:r w:rsidR="00F92E13">
        <w:rPr>
          <w:rFonts w:ascii="Arial Black" w:hAnsi="Arial Black"/>
          <w:b/>
          <w:sz w:val="28"/>
          <w:szCs w:val="28"/>
        </w:rPr>
        <w:t>E</w:t>
      </w:r>
      <w:r>
        <w:rPr>
          <w:rFonts w:ascii="Arial Black" w:hAnsi="Arial Black"/>
          <w:b/>
          <w:sz w:val="28"/>
          <w:szCs w:val="28"/>
        </w:rPr>
        <w:t>LL</w:t>
      </w:r>
      <w:r w:rsidR="00F92E13">
        <w:rPr>
          <w:rFonts w:ascii="Arial Black" w:hAnsi="Arial Black"/>
          <w:b/>
          <w:sz w:val="28"/>
          <w:szCs w:val="28"/>
        </w:rPr>
        <w:t xml:space="preserve"> OVER</w:t>
      </w:r>
      <w:r>
        <w:rPr>
          <w:rFonts w:ascii="Arial Black" w:hAnsi="Arial Black"/>
          <w:b/>
          <w:sz w:val="28"/>
          <w:szCs w:val="28"/>
        </w:rPr>
        <w:t xml:space="preserve"> – QUAL. IMMUNITY </w:t>
      </w:r>
    </w:p>
    <w:p w14:paraId="7AD01D1D" w14:textId="1D70EA98" w:rsidR="00C16AA1" w:rsidRDefault="00C16AA1" w:rsidP="00C16AA1">
      <w:pPr>
        <w:rPr>
          <w:bCs/>
        </w:rPr>
      </w:pPr>
      <w:r>
        <w:t xml:space="preserve">On November 26, 2025, in </w:t>
      </w:r>
      <w:r w:rsidRPr="00A6056A">
        <w:rPr>
          <w:u w:val="single"/>
        </w:rPr>
        <w:t>Nancy Gabriel, Administrator of the Estate of James Gabriel v. Alton Memorial Hospital, et al</w:t>
      </w:r>
      <w:r>
        <w:t xml:space="preserve">., the </w:t>
      </w:r>
      <w:r w:rsidRPr="00A6056A">
        <w:t>Court of Appeals of Illinois, Fifth District</w:t>
      </w:r>
      <w:r>
        <w:t xml:space="preserve"> held (3 to 0) that the trial court properly granted summary judgment to the defendants; there was no evidence of willful and wanton misconduct by EMS.  On </w:t>
      </w:r>
      <w:r w:rsidRPr="007611BD">
        <w:t>February 2, 2019,</w:t>
      </w:r>
      <w:r>
        <w:t xml:space="preserve"> after</w:t>
      </w:r>
      <w:r w:rsidRPr="007611BD">
        <w:t xml:space="preserve"> ambulance transport from </w:t>
      </w:r>
      <w:r>
        <w:t xml:space="preserve">the </w:t>
      </w:r>
      <w:r w:rsidRPr="007611BD">
        <w:t>hospital to a</w:t>
      </w:r>
      <w:r>
        <w:t xml:space="preserve"> </w:t>
      </w:r>
      <w:r w:rsidRPr="007611BD">
        <w:t xml:space="preserve">nursing home, </w:t>
      </w:r>
      <w:r>
        <w:t xml:space="preserve">the EMS lost control of the gurney and the strapped patient fell on his </w:t>
      </w:r>
      <w:proofErr w:type="gramStart"/>
      <w:r>
        <w:t>head, and</w:t>
      </w:r>
      <w:proofErr w:type="gramEnd"/>
      <w:r>
        <w:t xml:space="preserve"> died March 23, 2019.  </w:t>
      </w:r>
      <w:hyperlink r:id="rId2079" w:history="1">
        <w:r w:rsidRPr="00347812">
          <w:rPr>
            <w:rStyle w:val="Hyperlink"/>
          </w:rPr>
          <w:t>https://cases.justia.com/illinois/court-of-appeals-fifth-appellate-district/2025-5-24-0729-0.pdf?ts=1764692248</w:t>
        </w:r>
      </w:hyperlink>
      <w:r>
        <w:t xml:space="preserve"> </w:t>
      </w:r>
    </w:p>
    <w:p w14:paraId="1CF9E017" w14:textId="77777777" w:rsidR="00C16AA1" w:rsidRDefault="00C16AA1" w:rsidP="00C16AA1">
      <w:pPr>
        <w:rPr>
          <w:bCs/>
        </w:rPr>
      </w:pPr>
      <w:r>
        <w:t>THE COURT HELD:</w:t>
      </w:r>
    </w:p>
    <w:p w14:paraId="3916A441" w14:textId="77777777" w:rsidR="00C16AA1" w:rsidRDefault="00C16AA1" w:rsidP="00C16AA1">
      <w:pPr>
        <w:pStyle w:val="NoSpacing"/>
        <w:ind w:left="720"/>
      </w:pPr>
      <w:r>
        <w:t>“</w:t>
      </w:r>
      <w:r w:rsidRPr="007B1F2E">
        <w:t>The sidewalk leading to the ambulance entrance of the nursing facility had a right-hand turn. As Brooks and Bell approached the turn, they slowed down. As they began the turn, Bell saw that</w:t>
      </w:r>
      <w:r>
        <w:t xml:space="preserve"> </w:t>
      </w:r>
      <w:proofErr w:type="gramStart"/>
      <w:r w:rsidRPr="007B1F2E">
        <w:t>The</w:t>
      </w:r>
      <w:proofErr w:type="gramEnd"/>
      <w:r w:rsidRPr="007B1F2E">
        <w:t xml:space="preserve"> sidewalk leading to the ambulance entrance of the nursing facility had a Bell saw that James had shifted his body, which tilted the gurney to the left. Bell attempted to balance the gurney and called out to Brooks for assistance. In Bell's deposition, he testified that James was </w:t>
      </w:r>
      <w:r>
        <w:t>‘</w:t>
      </w:r>
      <w:r w:rsidRPr="007B1F2E">
        <w:t>such a heavy guy, I can't do it by myself.</w:t>
      </w:r>
    </w:p>
    <w:p w14:paraId="34A8198C" w14:textId="77777777" w:rsidR="00C16AA1" w:rsidRDefault="00C16AA1" w:rsidP="00C16AA1">
      <w:pPr>
        <w:pStyle w:val="NoSpacing"/>
        <w:ind w:left="720"/>
      </w:pPr>
      <w:r>
        <w:t xml:space="preserve"> </w:t>
      </w:r>
      <w:r w:rsidRPr="007B1F2E">
        <w:t>Brooks started to turn around, and "felt the [gurney's]bar twist in [his] hand.</w:t>
      </w:r>
      <w:r>
        <w:t>’</w:t>
      </w:r>
      <w:r w:rsidRPr="007B1F2E">
        <w:t xml:space="preserve"> Brooks and Bell held onto the bars in a futile attempt to prevent th</w:t>
      </w:r>
      <w:r>
        <w:t>e fall.</w:t>
      </w:r>
    </w:p>
    <w:p w14:paraId="2FE8D1B9" w14:textId="77777777" w:rsidR="00C16AA1" w:rsidRDefault="00C16AA1" w:rsidP="00C16AA1">
      <w:pPr>
        <w:pStyle w:val="NoSpacing"/>
      </w:pPr>
    </w:p>
    <w:p w14:paraId="11C27316" w14:textId="77777777" w:rsidR="00C16AA1" w:rsidRDefault="00C16AA1" w:rsidP="00C16AA1">
      <w:pPr>
        <w:pStyle w:val="NoSpacing"/>
        <w:ind w:left="720"/>
      </w:pPr>
      <w:r w:rsidRPr="00671BAC">
        <w:t>James fell face down onto the ground but avoided striking the concrete. He remained strapped into the gurney, and with effort, Brooks and Bell were slowly able to get the gurney back into an upright position. Following his fall, the nursing facility refused to accept James, and Brooks and Bell transported him back to St. Anthony's Hospital. James sustained a laceration above his left eye from the fall.</w:t>
      </w:r>
    </w:p>
    <w:p w14:paraId="6BC5D467" w14:textId="77777777" w:rsidR="00C16AA1" w:rsidRDefault="00C16AA1" w:rsidP="00C16AA1">
      <w:pPr>
        <w:pStyle w:val="NoSpacing"/>
        <w:ind w:left="720"/>
      </w:pPr>
    </w:p>
    <w:p w14:paraId="1F726337" w14:textId="77777777" w:rsidR="00C16AA1" w:rsidRDefault="00C16AA1" w:rsidP="00C16AA1">
      <w:pPr>
        <w:pStyle w:val="NoSpacing"/>
        <w:ind w:left="720"/>
      </w:pPr>
      <w:r>
        <w:t>***</w:t>
      </w:r>
    </w:p>
    <w:p w14:paraId="0254E8C3" w14:textId="77777777" w:rsidR="00C16AA1" w:rsidRDefault="00C16AA1" w:rsidP="00C16AA1">
      <w:pPr>
        <w:pStyle w:val="NoSpacing"/>
        <w:ind w:left="720"/>
      </w:pPr>
      <w:r>
        <w:t>Alton Memorial can only be held liable for damages in this case pursuant to section</w:t>
      </w:r>
    </w:p>
    <w:p w14:paraId="0E7221A9" w14:textId="77777777" w:rsidR="00C16AA1" w:rsidRDefault="00C16AA1" w:rsidP="00C16AA1">
      <w:pPr>
        <w:pStyle w:val="NoSpacing"/>
        <w:ind w:left="720"/>
      </w:pPr>
      <w:r>
        <w:t>3.150(a) of the EMS Systems Act, which provides: ‘Any person, agency or governmental body certified, licensed or authorized pursuant to this Act … who in good faith provides emergency or non-emergency medical services …in the normal course of conducting their duties …shall not be civilly liable as a result of their acts or omissions in providing such services unless such acts or omissions … constitute willful and wanton misconduct.” 210 ILCS 50/3.150(a).</w:t>
      </w:r>
    </w:p>
    <w:p w14:paraId="4B82194D" w14:textId="77777777" w:rsidR="00C16AA1" w:rsidRDefault="00C16AA1" w:rsidP="00C16AA1">
      <w:pPr>
        <w:pStyle w:val="NoSpacing"/>
        <w:ind w:left="720"/>
      </w:pPr>
    </w:p>
    <w:p w14:paraId="591185B3" w14:textId="77777777" w:rsidR="00C16AA1" w:rsidRDefault="00C16AA1" w:rsidP="00C16AA1">
      <w:pPr>
        <w:pStyle w:val="NoSpacing"/>
        <w:ind w:left="720"/>
      </w:pPr>
      <w:r>
        <w:t>***</w:t>
      </w:r>
    </w:p>
    <w:p w14:paraId="1042FEFE" w14:textId="77777777" w:rsidR="00C16AA1" w:rsidRDefault="00C16AA1" w:rsidP="00C16AA1">
      <w:pPr>
        <w:pStyle w:val="NoSpacing"/>
        <w:ind w:left="720"/>
      </w:pPr>
      <w:r>
        <w:t>We find that summary judgment was appropriate where the pleadings, depositions and any admissions and/or affidavits on file, when viewed in the light most favorable to Nancy, established that there was no genuine issue of material fact to support an allegation of willful and wanton misconduct on behalf of Alton Memorial’s ambulance crew.”</w:t>
      </w:r>
    </w:p>
    <w:p w14:paraId="753D1D61" w14:textId="77777777" w:rsidR="00C16AA1" w:rsidRDefault="00C16AA1" w:rsidP="00C16AA1">
      <w:pPr>
        <w:rPr>
          <w:b/>
        </w:rPr>
      </w:pPr>
    </w:p>
    <w:p w14:paraId="449CFA8A" w14:textId="44AACF47" w:rsidR="00C16AA1" w:rsidRPr="00F5657D" w:rsidRDefault="00C16AA1" w:rsidP="00C16AA1">
      <w:pPr>
        <w:rPr>
          <w:b/>
        </w:rPr>
      </w:pPr>
      <w:r>
        <w:rPr>
          <w:b/>
        </w:rPr>
        <w:t xml:space="preserve">Legal lesson learned: Moving a </w:t>
      </w:r>
      <w:r w:rsidR="003271B2">
        <w:rPr>
          <w:b/>
        </w:rPr>
        <w:t>330-pound</w:t>
      </w:r>
      <w:r>
        <w:rPr>
          <w:b/>
        </w:rPr>
        <w:t xml:space="preserve"> patient </w:t>
      </w:r>
      <w:r w:rsidR="004348E5">
        <w:rPr>
          <w:b/>
        </w:rPr>
        <w:t xml:space="preserve">can be </w:t>
      </w:r>
      <w:r>
        <w:rPr>
          <w:b/>
        </w:rPr>
        <w:t xml:space="preserve">particularly challenging; no liability for negligent conduct that is not deemed willful and wanton misconduct. </w:t>
      </w:r>
    </w:p>
    <w:p w14:paraId="5E2C55A3" w14:textId="77777777" w:rsidR="009F546C" w:rsidRDefault="009F546C" w:rsidP="00004498">
      <w:pPr>
        <w:rPr>
          <w:rFonts w:ascii="Arial Black" w:hAnsi="Arial Black"/>
          <w:b/>
          <w:bCs/>
          <w:sz w:val="24"/>
          <w:szCs w:val="24"/>
        </w:rPr>
      </w:pPr>
    </w:p>
    <w:p w14:paraId="1803C3A1" w14:textId="77777777" w:rsidR="009F546C" w:rsidRDefault="009F546C" w:rsidP="00004498">
      <w:pPr>
        <w:rPr>
          <w:rFonts w:ascii="Arial Black" w:hAnsi="Arial Black"/>
          <w:b/>
          <w:bCs/>
          <w:sz w:val="24"/>
          <w:szCs w:val="24"/>
        </w:rPr>
      </w:pPr>
    </w:p>
    <w:p w14:paraId="256049CE" w14:textId="1300CE9C" w:rsidR="00C6504D" w:rsidRDefault="00C6504D" w:rsidP="00004498">
      <w:pPr>
        <w:rPr>
          <w:rFonts w:ascii="Arial Black" w:hAnsi="Arial Black"/>
          <w:b/>
          <w:bCs/>
          <w:sz w:val="24"/>
          <w:szCs w:val="24"/>
        </w:rPr>
      </w:pPr>
      <w:r>
        <w:rPr>
          <w:rFonts w:ascii="Arial Black" w:hAnsi="Arial Black"/>
          <w:b/>
          <w:bCs/>
          <w:sz w:val="24"/>
          <w:szCs w:val="24"/>
        </w:rPr>
        <w:lastRenderedPageBreak/>
        <w:t>13-23</w:t>
      </w:r>
      <w:r w:rsidR="00524647">
        <w:rPr>
          <w:rFonts w:ascii="Arial Black" w:hAnsi="Arial Black"/>
          <w:b/>
          <w:bCs/>
          <w:sz w:val="24"/>
          <w:szCs w:val="24"/>
        </w:rPr>
        <w:t>3</w:t>
      </w:r>
    </w:p>
    <w:p w14:paraId="73336DA4" w14:textId="77777777" w:rsidR="00C6504D" w:rsidRPr="00864A31" w:rsidRDefault="00C6504D" w:rsidP="00C6504D">
      <w:pPr>
        <w:pStyle w:val="NoSpacing"/>
        <w:rPr>
          <w:rFonts w:ascii="Arial Black" w:hAnsi="Arial Black"/>
          <w:sz w:val="28"/>
          <w:szCs w:val="28"/>
        </w:rPr>
      </w:pPr>
      <w:r>
        <w:rPr>
          <w:rFonts w:ascii="Arial Black" w:hAnsi="Arial Black"/>
          <w:sz w:val="28"/>
          <w:szCs w:val="28"/>
        </w:rPr>
        <w:t>CA: HANCUFFED PRONE PT – VERSED / DIED – LIAB CAP</w:t>
      </w:r>
    </w:p>
    <w:p w14:paraId="170233E7" w14:textId="77777777" w:rsidR="00C6504D" w:rsidRDefault="00C6504D" w:rsidP="00C6504D">
      <w:pPr>
        <w:pStyle w:val="NoSpacing"/>
      </w:pPr>
    </w:p>
    <w:p w14:paraId="4A8DDA31" w14:textId="0EEC163B" w:rsidR="00C6504D" w:rsidRDefault="00C6504D" w:rsidP="00C6504D">
      <w:pPr>
        <w:pStyle w:val="NoSpacing"/>
      </w:pPr>
      <w:r>
        <w:t xml:space="preserve">On November 25, 2025, in </w:t>
      </w:r>
      <w:r w:rsidRPr="00266691">
        <w:rPr>
          <w:u w:val="single"/>
        </w:rPr>
        <w:t>Ivan Gutzalenko, et al. v. City of Richmond, et al</w:t>
      </w:r>
      <w:r>
        <w:t xml:space="preserve">., U.S. District Court Judge Edward M. Chen, United States District Court for Northern District of California, held that the $500,000 caps on medical negligence claims under California state law applies to this medical negligence claim.  A paramedic injected the handcuffed prone patient with </w:t>
      </w:r>
      <w:proofErr w:type="gramStart"/>
      <w:r w:rsidR="002B5A76">
        <w:t>v</w:t>
      </w:r>
      <w:r>
        <w:t>ersed, and</w:t>
      </w:r>
      <w:proofErr w:type="gramEnd"/>
      <w:r>
        <w:t xml:space="preserve"> allegedly </w:t>
      </w:r>
      <w:r w:rsidRPr="002204F5">
        <w:t xml:space="preserve">did not “aspirate” the syringe when he administered the </w:t>
      </w:r>
      <w:r w:rsidR="002B5A76">
        <w:t>v</w:t>
      </w:r>
      <w:r w:rsidRPr="002204F5">
        <w:t xml:space="preserve">ersed to ensure it was not in the vein. </w:t>
      </w:r>
      <w:r>
        <w:t xml:space="preserve"> The Court rejected plaintiff’s attempt to recover more than the medical negligence caps by claiming “assault” and “battery.” THE COURT WROTE: “Although intentional torts are generally not subject to the section 3333.2 cap on noneconomic damages, see Perry, 88 Cal. App. 4th at 662, the gravamen of Plaintiffs’ assault and battery claim is essentially a claim of medical negligence such that MICRA applies….  Further, the MICRA cap on noneconomic damages does not apply to settlement awards. Finally, if Plaintiffs establish wrongful death and survival claims that include noneconomic damages, they are entitled to separate MICRA noneconomic damages caps for the wrongful death and survival claims.” </w:t>
      </w:r>
      <w:hyperlink r:id="rId2080" w:history="1">
        <w:r w:rsidRPr="0075505A">
          <w:rPr>
            <w:rStyle w:val="Hyperlink"/>
          </w:rPr>
          <w:t>https://cases.justia.com/federal/district-courts/california/candce/3:2022cv02130/394009/131/0.pdf</w:t>
        </w:r>
      </w:hyperlink>
      <w:r>
        <w:t xml:space="preserve"> </w:t>
      </w:r>
    </w:p>
    <w:p w14:paraId="3EF86943" w14:textId="77777777" w:rsidR="00C6504D" w:rsidRDefault="00C6504D" w:rsidP="00C6504D">
      <w:pPr>
        <w:pStyle w:val="NoSpacing"/>
      </w:pPr>
    </w:p>
    <w:p w14:paraId="5AEAF28D" w14:textId="77777777" w:rsidR="00C6504D" w:rsidRDefault="00C6504D" w:rsidP="00C6504D">
      <w:pPr>
        <w:pStyle w:val="NoSpacing"/>
      </w:pPr>
      <w:r>
        <w:t>THE COURT HELD:</w:t>
      </w:r>
    </w:p>
    <w:p w14:paraId="0267E271" w14:textId="77777777" w:rsidR="00C6504D" w:rsidRDefault="00C6504D" w:rsidP="00C6504D">
      <w:pPr>
        <w:pStyle w:val="NoSpacing"/>
      </w:pPr>
    </w:p>
    <w:p w14:paraId="6666CD02" w14:textId="77777777" w:rsidR="00C6504D" w:rsidRDefault="00C6504D" w:rsidP="00C6504D">
      <w:pPr>
        <w:pStyle w:val="NoSpacing"/>
        <w:ind w:left="720"/>
      </w:pPr>
      <w:r>
        <w:t xml:space="preserve">“On March 10, 2021, a Richmond police officer responded to a call for service about a man causing a disturbance in a furniture store on San Pablo Avenue in Richmond, California….  When the police officer arrived at the scene, he encountered Mr. Gutzalenko, the decedent. Id. Mr. </w:t>
      </w:r>
      <w:proofErr w:type="spellStart"/>
      <w:r>
        <w:t>Gutzalenko</w:t>
      </w:r>
      <w:proofErr w:type="spellEnd"/>
      <w:r>
        <w:t xml:space="preserve"> needed medical aid and was  ‘possibly intoxicated or experiencing a medical emergency.’ … Specifically, Mr. </w:t>
      </w:r>
      <w:proofErr w:type="spellStart"/>
      <w:r>
        <w:t>Gutzalenko</w:t>
      </w:r>
      <w:proofErr w:type="spellEnd"/>
    </w:p>
    <w:p w14:paraId="10D3BC45" w14:textId="77777777" w:rsidR="00C6504D" w:rsidRDefault="00C6504D" w:rsidP="00C6504D">
      <w:pPr>
        <w:pStyle w:val="NoSpacing"/>
        <w:ind w:left="720"/>
      </w:pPr>
      <w:r>
        <w:t xml:space="preserve">had a dark purple mark on his forehead, was bleeding profusely from one of his hands, and had difficulty focusing on and communicating with the police officer…. Mr. </w:t>
      </w:r>
      <w:proofErr w:type="spellStart"/>
      <w:r>
        <w:t>Gutzalenko</w:t>
      </w:r>
      <w:proofErr w:type="spellEnd"/>
      <w:r>
        <w:t xml:space="preserve"> was also having a hard time breathing. </w:t>
      </w:r>
    </w:p>
    <w:p w14:paraId="25EA54D2" w14:textId="77777777" w:rsidR="00C6504D" w:rsidRDefault="00C6504D" w:rsidP="00C6504D">
      <w:pPr>
        <w:pStyle w:val="NoSpacing"/>
        <w:ind w:left="720"/>
      </w:pPr>
    </w:p>
    <w:p w14:paraId="29C4C725" w14:textId="77777777" w:rsidR="00C6504D" w:rsidRDefault="00C6504D" w:rsidP="00C6504D">
      <w:pPr>
        <w:pStyle w:val="NoSpacing"/>
        <w:ind w:left="720"/>
      </w:pPr>
      <w:r>
        <w:t>***</w:t>
      </w:r>
    </w:p>
    <w:p w14:paraId="7D189B86" w14:textId="77777777" w:rsidR="00C6504D" w:rsidRDefault="00C6504D" w:rsidP="00C6504D">
      <w:pPr>
        <w:pStyle w:val="NoSpacing"/>
        <w:ind w:left="720"/>
      </w:pPr>
    </w:p>
    <w:p w14:paraId="34134FA7" w14:textId="77777777" w:rsidR="00C6504D" w:rsidRDefault="00C6504D" w:rsidP="00C6504D">
      <w:pPr>
        <w:pStyle w:val="NoSpacing"/>
        <w:ind w:left="720"/>
      </w:pPr>
      <w:r w:rsidRPr="002204F5">
        <w:t>Medical Defendants, AMR West and the paramedic Mr. Richardson, arrived in an ambulance and attempted to bandage Mr. Gutzalenko's hands</w:t>
      </w:r>
      <w:r>
        <w:t xml:space="preserve">…. </w:t>
      </w:r>
      <w:r w:rsidRPr="002204F5">
        <w:t xml:space="preserve">Mr. </w:t>
      </w:r>
      <w:proofErr w:type="spellStart"/>
      <w:r w:rsidRPr="002204F5">
        <w:t>Gutzalenko</w:t>
      </w:r>
      <w:proofErr w:type="spellEnd"/>
      <w:r w:rsidRPr="002204F5">
        <w:t xml:space="preserve"> became agitated and tried to keep his hands away</w:t>
      </w:r>
      <w:r>
        <w:t xml:space="preserve">…. </w:t>
      </w:r>
      <w:r w:rsidRPr="002204F5">
        <w:t xml:space="preserve">After Mr. </w:t>
      </w:r>
      <w:proofErr w:type="spellStart"/>
      <w:r w:rsidRPr="002204F5">
        <w:t>Gutzalenko</w:t>
      </w:r>
      <w:proofErr w:type="spellEnd"/>
      <w:r w:rsidRPr="002204F5">
        <w:t xml:space="preserve"> began to resist, the police officers attempted to handcuff him</w:t>
      </w:r>
      <w:r>
        <w:t xml:space="preserve">…. </w:t>
      </w:r>
      <w:r w:rsidRPr="002204F5">
        <w:t>During this struggle, Plaintiffs allege that Officer Tran applied his knee to Mr. Gutzalenko's back while he was in a prone position</w:t>
      </w:r>
      <w:r>
        <w:t xml:space="preserve">…. </w:t>
      </w:r>
      <w:r w:rsidRPr="002204F5">
        <w:t>By the time the handcuffs were placed on Mr. Gutzalenko, Plaintiffs claim that he had become non-responsive and no longer resistive. </w:t>
      </w:r>
    </w:p>
    <w:p w14:paraId="63E389C4" w14:textId="77777777" w:rsidR="00C6504D" w:rsidRDefault="00C6504D" w:rsidP="00C6504D">
      <w:pPr>
        <w:pStyle w:val="NoSpacing"/>
        <w:ind w:left="720"/>
      </w:pPr>
    </w:p>
    <w:p w14:paraId="2B2904B6" w14:textId="77777777" w:rsidR="00C6504D" w:rsidRDefault="00C6504D" w:rsidP="00C6504D">
      <w:pPr>
        <w:pStyle w:val="NoSpacing"/>
        <w:ind w:left="720"/>
      </w:pPr>
      <w:r w:rsidRPr="002204F5">
        <w:t xml:space="preserve">After Mr. </w:t>
      </w:r>
      <w:proofErr w:type="spellStart"/>
      <w:r w:rsidRPr="002204F5">
        <w:t>Gutzalenko</w:t>
      </w:r>
      <w:proofErr w:type="spellEnd"/>
      <w:r w:rsidRPr="002204F5">
        <w:t xml:space="preserve"> was handcuffed on the ground, Defendant Mr. Richardson injected Mr. </w:t>
      </w:r>
      <w:proofErr w:type="spellStart"/>
      <w:r w:rsidRPr="002204F5">
        <w:t>Gutzalenko</w:t>
      </w:r>
      <w:proofErr w:type="spellEnd"/>
      <w:r w:rsidRPr="002204F5">
        <w:t xml:space="preserve"> with Versed, a chemical restraint</w:t>
      </w:r>
      <w:r>
        <w:t xml:space="preserve">…. </w:t>
      </w:r>
      <w:r w:rsidRPr="002204F5">
        <w:t xml:space="preserve">At this juncture, there is no dispute that Mr. Richardson administered the chemical restraint for safety reasons, rather than to restrain Mr. </w:t>
      </w:r>
      <w:proofErr w:type="spellStart"/>
      <w:r w:rsidRPr="002204F5">
        <w:t>Gutzalenko</w:t>
      </w:r>
      <w:proofErr w:type="spellEnd"/>
      <w:r w:rsidRPr="002204F5">
        <w:t xml:space="preserve"> in a law enforcement capacity; he injected Mr. </w:t>
      </w:r>
      <w:proofErr w:type="spellStart"/>
      <w:r w:rsidRPr="002204F5">
        <w:t>Gutzalenko</w:t>
      </w:r>
      <w:proofErr w:type="spellEnd"/>
      <w:r w:rsidRPr="002204F5">
        <w:t xml:space="preserve"> to protect himself and others in the ambulance during transport of Mr. </w:t>
      </w:r>
      <w:proofErr w:type="spellStart"/>
      <w:r w:rsidRPr="002204F5">
        <w:t>Gutzalenko</w:t>
      </w:r>
      <w:proofErr w:type="spellEnd"/>
      <w:r w:rsidRPr="002204F5">
        <w:t xml:space="preserve"> to the hospital</w:t>
      </w:r>
      <w:r>
        <w:t xml:space="preserve">…. </w:t>
      </w:r>
    </w:p>
    <w:p w14:paraId="5FA69228" w14:textId="77777777" w:rsidR="00C6504D" w:rsidRDefault="00C6504D" w:rsidP="00C6504D">
      <w:pPr>
        <w:pStyle w:val="NoSpacing"/>
        <w:ind w:left="720"/>
      </w:pPr>
    </w:p>
    <w:p w14:paraId="1441F2C8" w14:textId="77777777" w:rsidR="00C6504D" w:rsidRDefault="00C6504D" w:rsidP="00C6504D">
      <w:pPr>
        <w:pStyle w:val="NoSpacing"/>
        <w:ind w:left="720"/>
      </w:pPr>
      <w:r w:rsidRPr="002204F5">
        <w:t xml:space="preserve">Plaintiffs claim that Mr. Richardson did not </w:t>
      </w:r>
      <w:r>
        <w:t>‘</w:t>
      </w:r>
      <w:r w:rsidRPr="002204F5">
        <w:t>aspirate</w:t>
      </w:r>
      <w:r>
        <w:t xml:space="preserve">’ </w:t>
      </w:r>
      <w:r w:rsidRPr="002204F5">
        <w:t>the syringe when he administered the Versed to ensure it was not in the vein</w:t>
      </w:r>
      <w:r>
        <w:t xml:space="preserve">…. </w:t>
      </w:r>
      <w:r w:rsidRPr="002204F5">
        <w:t xml:space="preserve">Plaintiffs allege that Mr. </w:t>
      </w:r>
      <w:proofErr w:type="spellStart"/>
      <w:r w:rsidRPr="002204F5">
        <w:t>Gutzalenko</w:t>
      </w:r>
      <w:proofErr w:type="spellEnd"/>
      <w:r w:rsidRPr="002204F5">
        <w:t xml:space="preserve"> stopped breathing within 90 seconds of the Versed administration</w:t>
      </w:r>
      <w:r>
        <w:t xml:space="preserve">… </w:t>
      </w:r>
      <w:r w:rsidRPr="002204F5">
        <w:t xml:space="preserve">Mr. </w:t>
      </w:r>
      <w:proofErr w:type="spellStart"/>
      <w:r w:rsidRPr="002204F5">
        <w:t>Gutzalenko</w:t>
      </w:r>
      <w:proofErr w:type="spellEnd"/>
      <w:r w:rsidRPr="002204F5">
        <w:t xml:space="preserve"> was pronounced dead after he was taken to Summit Hospital in Oakland</w:t>
      </w:r>
      <w:r>
        <w:t xml:space="preserve">…. </w:t>
      </w:r>
      <w:r w:rsidRPr="002204F5">
        <w:t xml:space="preserve"> An autopsy determined the cause of death was prone restraint asphyxia and cardiac arrest while under the influence of methamphetamine.</w:t>
      </w:r>
      <w:r>
        <w:t>”</w:t>
      </w:r>
    </w:p>
    <w:p w14:paraId="410BABDD" w14:textId="77777777" w:rsidR="00C6504D" w:rsidRDefault="00C6504D" w:rsidP="00C6504D">
      <w:pPr>
        <w:pStyle w:val="NoSpacing"/>
        <w:ind w:left="720"/>
      </w:pPr>
    </w:p>
    <w:p w14:paraId="77CD0284" w14:textId="16649AAD" w:rsidR="00C6504D" w:rsidRPr="004622D5" w:rsidRDefault="00C6504D" w:rsidP="00C6504D">
      <w:pPr>
        <w:pStyle w:val="NoSpacing"/>
        <w:rPr>
          <w:b/>
          <w:bCs/>
        </w:rPr>
      </w:pPr>
      <w:r>
        <w:rPr>
          <w:b/>
        </w:rPr>
        <w:t xml:space="preserve">Legal lesson learned: Follow your protocol on administering </w:t>
      </w:r>
      <w:r w:rsidR="002B5A76">
        <w:rPr>
          <w:b/>
        </w:rPr>
        <w:t>v</w:t>
      </w:r>
      <w:r>
        <w:rPr>
          <w:b/>
        </w:rPr>
        <w:t xml:space="preserve">ersed to a handcuffed prone patient. </w:t>
      </w:r>
    </w:p>
    <w:p w14:paraId="0EE67BDD" w14:textId="77777777" w:rsidR="00C6504D" w:rsidRDefault="00C6504D" w:rsidP="00C6504D">
      <w:pPr>
        <w:rPr>
          <w:b/>
        </w:rPr>
      </w:pPr>
    </w:p>
    <w:p w14:paraId="61FE4895" w14:textId="77777777" w:rsidR="00C6504D" w:rsidRDefault="00C6504D" w:rsidP="00004498">
      <w:pPr>
        <w:rPr>
          <w:rFonts w:ascii="Arial Black" w:hAnsi="Arial Black"/>
          <w:b/>
          <w:bCs/>
          <w:sz w:val="24"/>
          <w:szCs w:val="24"/>
        </w:rPr>
      </w:pPr>
    </w:p>
    <w:p w14:paraId="5C63ECB1" w14:textId="77777777" w:rsidR="00C6504D" w:rsidRDefault="00C6504D" w:rsidP="00004498">
      <w:pPr>
        <w:rPr>
          <w:rFonts w:ascii="Arial Black" w:hAnsi="Arial Black"/>
          <w:b/>
          <w:bCs/>
          <w:sz w:val="24"/>
          <w:szCs w:val="24"/>
        </w:rPr>
      </w:pPr>
    </w:p>
    <w:p w14:paraId="6BE7BD6D" w14:textId="5FF2DFBB" w:rsidR="004612E3" w:rsidRDefault="00F04117" w:rsidP="00004498">
      <w:pPr>
        <w:rPr>
          <w:rFonts w:ascii="Arial Black" w:hAnsi="Arial Black"/>
          <w:b/>
          <w:bCs/>
          <w:sz w:val="24"/>
          <w:szCs w:val="24"/>
        </w:rPr>
      </w:pPr>
      <w:r>
        <w:rPr>
          <w:rFonts w:ascii="Arial Black" w:hAnsi="Arial Black"/>
          <w:b/>
          <w:bCs/>
          <w:sz w:val="24"/>
          <w:szCs w:val="24"/>
        </w:rPr>
        <w:lastRenderedPageBreak/>
        <w:t>13-23</w:t>
      </w:r>
      <w:r w:rsidR="00524647">
        <w:rPr>
          <w:rFonts w:ascii="Arial Black" w:hAnsi="Arial Black"/>
          <w:b/>
          <w:bCs/>
          <w:sz w:val="24"/>
          <w:szCs w:val="24"/>
        </w:rPr>
        <w:t>2</w:t>
      </w:r>
    </w:p>
    <w:p w14:paraId="2FBEF3A7" w14:textId="4E484F18" w:rsidR="00F04117" w:rsidRDefault="00F04117" w:rsidP="00F04117">
      <w:pPr>
        <w:pStyle w:val="NoSpacing"/>
        <w:rPr>
          <w:rFonts w:ascii="Arial Black" w:hAnsi="Arial Black"/>
          <w:sz w:val="28"/>
          <w:szCs w:val="28"/>
        </w:rPr>
      </w:pPr>
      <w:r>
        <w:rPr>
          <w:rFonts w:ascii="Arial Black" w:hAnsi="Arial Black"/>
          <w:sz w:val="28"/>
          <w:szCs w:val="28"/>
        </w:rPr>
        <w:t xml:space="preserve">GA: PULSE OX MONITOR – NOT IN PCR – JURY </w:t>
      </w:r>
      <w:r w:rsidR="003054C5">
        <w:rPr>
          <w:rFonts w:ascii="Arial Black" w:hAnsi="Arial Black"/>
          <w:sz w:val="28"/>
          <w:szCs w:val="28"/>
        </w:rPr>
        <w:t>FINDS</w:t>
      </w:r>
      <w:r>
        <w:rPr>
          <w:rFonts w:ascii="Arial Black" w:hAnsi="Arial Black"/>
          <w:sz w:val="28"/>
          <w:szCs w:val="28"/>
        </w:rPr>
        <w:t xml:space="preserve"> NO LIAB </w:t>
      </w:r>
    </w:p>
    <w:p w14:paraId="4B962ABB" w14:textId="77777777" w:rsidR="00F04117" w:rsidRDefault="00F04117" w:rsidP="00F04117">
      <w:pPr>
        <w:pStyle w:val="NoSpacing"/>
        <w:rPr>
          <w:rFonts w:ascii="Arial Black" w:hAnsi="Arial Black"/>
          <w:sz w:val="28"/>
          <w:szCs w:val="28"/>
        </w:rPr>
      </w:pPr>
    </w:p>
    <w:p w14:paraId="464C2AC4" w14:textId="77777777" w:rsidR="007438A3" w:rsidRDefault="00F04117" w:rsidP="00F04117">
      <w:pPr>
        <w:pStyle w:val="NoSpacing"/>
      </w:pPr>
      <w:r>
        <w:t xml:space="preserve">On October 30, 2025, in </w:t>
      </w:r>
      <w:r w:rsidRPr="00062B36">
        <w:rPr>
          <w:u w:val="single"/>
        </w:rPr>
        <w:t>Wright v. Metro Ambulance Services, Inc</w:t>
      </w:r>
      <w:r>
        <w:t xml:space="preserve">., the </w:t>
      </w:r>
      <w:r w:rsidRPr="00B92007">
        <w:t>Court of Appeals of Georgia</w:t>
      </w:r>
      <w:r>
        <w:t xml:space="preserve"> held (3 to 0) that jury verdict for defense is affirmed. The lawsuit was brought by Dr. Joray Wright, as survivor and administrator of the Estate of Vanessa Banks.  Plaintiffs’ expert, cardiologist Dr. B</w:t>
      </w:r>
      <w:r w:rsidRPr="00B54144">
        <w:t>rian Swirsky,</w:t>
      </w:r>
      <w:r>
        <w:t xml:space="preserve"> testified by videotaped deposition that a patient’s oxygen saturation is a vital sign that must be taken by a pulse oximeter, and there was no such reading recorded </w:t>
      </w:r>
      <w:r w:rsidRPr="00E25A64">
        <w:t>as having been taken by Kern in Banks’s patient care record.</w:t>
      </w:r>
      <w:r>
        <w:t xml:space="preserve">  The cardiologist testified that Kern may have “fabricated” the 99% oxygen saturation level he reported to the hospital when requesting to administer a morphine 20 minutes from the hospital.  Defense expert, cardiologist Dr. </w:t>
      </w:r>
      <w:r w:rsidRPr="000B73D5">
        <w:t>Charles Wilmer</w:t>
      </w:r>
      <w:r>
        <w:t xml:space="preserve">, testified in person to the jury that paramedic continued speaking with </w:t>
      </w:r>
      <w:proofErr w:type="gramStart"/>
      <w:r>
        <w:t>patient</w:t>
      </w:r>
      <w:proofErr w:type="gramEnd"/>
      <w:r>
        <w:t xml:space="preserve"> during transport until she suddenly experienced respiratory depression leading to a fatal cardiac arrhythmia (VFIB).  The Court of Appeals rejected plaintiff’s argument that trial court abused its discretion by excluding the in-person testimony of their cardiologist (his videotaped testimony was shown to the jury) as a rebuttal witness after the defense cardiologist testified in person.  </w:t>
      </w:r>
    </w:p>
    <w:p w14:paraId="5AF21256" w14:textId="458B2C0F" w:rsidR="00F04117" w:rsidRPr="00B92007" w:rsidRDefault="005D3D7E" w:rsidP="00F04117">
      <w:pPr>
        <w:pStyle w:val="NoSpacing"/>
      </w:pPr>
      <w:hyperlink r:id="rId2081" w:history="1">
        <w:r w:rsidRPr="000F3B38">
          <w:rPr>
            <w:rStyle w:val="Hyperlink"/>
            <w:b/>
          </w:rPr>
          <w:t>https://cases.justia.com/georgia/court-of-appeals/2025-a25a1173.pdf?ts=1761847932</w:t>
        </w:r>
      </w:hyperlink>
    </w:p>
    <w:p w14:paraId="13B6553F" w14:textId="77777777" w:rsidR="00F04117" w:rsidRDefault="00F04117" w:rsidP="00F04117">
      <w:pPr>
        <w:pStyle w:val="NoSpacing"/>
      </w:pPr>
    </w:p>
    <w:p w14:paraId="54F109DB" w14:textId="77777777" w:rsidR="00F04117" w:rsidRDefault="00F04117" w:rsidP="00F04117">
      <w:pPr>
        <w:pStyle w:val="NoSpacing"/>
      </w:pPr>
      <w:r>
        <w:t>THE COURT HELD:</w:t>
      </w:r>
    </w:p>
    <w:p w14:paraId="3E140AB3" w14:textId="77777777" w:rsidR="00F04117" w:rsidRDefault="00F04117" w:rsidP="00F04117">
      <w:pPr>
        <w:pStyle w:val="NoSpacing"/>
      </w:pPr>
    </w:p>
    <w:p w14:paraId="21EB3D56" w14:textId="77777777" w:rsidR="00F04117" w:rsidRDefault="00F04117" w:rsidP="00F04117">
      <w:pPr>
        <w:pStyle w:val="NoSpacing"/>
        <w:ind w:left="720"/>
      </w:pPr>
      <w:r>
        <w:t xml:space="preserve">“The more prudent course in this case would have been for the trial court to allow Dr. Swirsky to testify in rebuttal to Dr. Wilmer’s theory regarding the GCS. Nevertheless, our de novo review of the full record does not evidence harm </w:t>
      </w:r>
      <w:proofErr w:type="gramStart"/>
      <w:r>
        <w:t>as a result of</w:t>
      </w:r>
      <w:proofErr w:type="gramEnd"/>
      <w:r>
        <w:t xml:space="preserve"> the trial court’s refusal to allow Swirsky’s testimony.</w:t>
      </w:r>
    </w:p>
    <w:p w14:paraId="589CCA95" w14:textId="77777777" w:rsidR="00F04117" w:rsidRDefault="00F04117" w:rsidP="00F04117">
      <w:pPr>
        <w:pStyle w:val="NoSpacing"/>
        <w:ind w:left="720"/>
      </w:pPr>
    </w:p>
    <w:p w14:paraId="121494C4" w14:textId="77777777" w:rsidR="00F04117" w:rsidRDefault="00F04117" w:rsidP="00F04117">
      <w:pPr>
        <w:pStyle w:val="NoSpacing"/>
        <w:ind w:left="720"/>
      </w:pPr>
      <w:r>
        <w:t>***</w:t>
      </w:r>
    </w:p>
    <w:p w14:paraId="3A9BE67D" w14:textId="77777777" w:rsidR="00F04117" w:rsidRDefault="00F04117" w:rsidP="00F04117">
      <w:pPr>
        <w:pStyle w:val="NoSpacing"/>
      </w:pPr>
    </w:p>
    <w:p w14:paraId="09E62799" w14:textId="77777777" w:rsidR="00F04117" w:rsidRDefault="00F04117" w:rsidP="00F04117">
      <w:pPr>
        <w:pStyle w:val="NoSpacing"/>
        <w:ind w:left="720"/>
      </w:pPr>
      <w:r>
        <w:t xml:space="preserve">[T]he </w:t>
      </w:r>
      <w:r w:rsidRPr="009433B1">
        <w:t>evidence showed that after the death of his mother, 63-year-old</w:t>
      </w:r>
      <w:r>
        <w:t xml:space="preserve"> </w:t>
      </w:r>
      <w:r w:rsidRPr="009433B1">
        <w:t>Vanessa Banks, Wright filed the instant wrongful death action against Metro on a</w:t>
      </w:r>
      <w:r>
        <w:t xml:space="preserve"> </w:t>
      </w:r>
      <w:r w:rsidRPr="009433B1">
        <w:t>theory of vicarious liability based on the negligence of its paramedic, Michael Kern.</w:t>
      </w:r>
      <w:r>
        <w:t xml:space="preserve"> </w:t>
      </w:r>
      <w:r w:rsidRPr="009433B1">
        <w:t>Testimony at trial showed that in the early morning hours of April 15, 2019, Banks was</w:t>
      </w:r>
      <w:r>
        <w:t xml:space="preserve"> </w:t>
      </w:r>
      <w:r w:rsidRPr="009433B1">
        <w:t>pushed from a second story window onto vegetation below. She survived the fall, and</w:t>
      </w:r>
      <w:r>
        <w:t xml:space="preserve"> </w:t>
      </w:r>
      <w:r w:rsidRPr="009433B1">
        <w:t>Metro’s ambulance arrived at 12:33 a.m. Banks was alert and oriented at the time of</w:t>
      </w:r>
      <w:r>
        <w:t xml:space="preserve"> </w:t>
      </w:r>
      <w:r w:rsidRPr="009433B1">
        <w:t xml:space="preserve">transport but complained of ten out of ten </w:t>
      </w:r>
      <w:proofErr w:type="gramStart"/>
      <w:r w:rsidRPr="009433B1">
        <w:t>pain</w:t>
      </w:r>
      <w:proofErr w:type="gramEnd"/>
      <w:r w:rsidRPr="009433B1">
        <w:t xml:space="preserve"> in her left side and abdomen.</w:t>
      </w:r>
    </w:p>
    <w:p w14:paraId="5D89D86B" w14:textId="77777777" w:rsidR="00F04117" w:rsidRDefault="00F04117" w:rsidP="00F04117">
      <w:pPr>
        <w:pStyle w:val="NoSpacing"/>
      </w:pPr>
    </w:p>
    <w:p w14:paraId="0C4077C9" w14:textId="77777777" w:rsidR="00F04117" w:rsidRDefault="00F04117" w:rsidP="00F04117">
      <w:pPr>
        <w:pStyle w:val="NoSpacing"/>
        <w:ind w:left="720"/>
      </w:pPr>
      <w:r>
        <w:t>Kern and technician Chayce Burton placed Banks on a backboard and collar to protect her spine. Kern testified that he took a baseline blood oxygen level with a handheld pulse oximeter prior to leaving the scene with Banks, and based on his observations of her, he did not consider her unstable. The ambulance left the scene around 12:45 a.m., and Kern treated Banks therein, attaching a four-line cardiac monitor and establishing an IV. Kern did not place a pulse oximeter to measure blood oxygen saturation during the trip.</w:t>
      </w:r>
    </w:p>
    <w:p w14:paraId="2040179D" w14:textId="77777777" w:rsidR="00F04117" w:rsidRDefault="00F04117" w:rsidP="00F04117">
      <w:pPr>
        <w:pStyle w:val="NoSpacing"/>
      </w:pPr>
    </w:p>
    <w:p w14:paraId="55D6A159" w14:textId="77777777" w:rsidR="00F04117" w:rsidRDefault="00F04117" w:rsidP="00F04117">
      <w:pPr>
        <w:pStyle w:val="NoSpacing"/>
        <w:ind w:left="720"/>
      </w:pPr>
      <w:r>
        <w:t xml:space="preserve">About 20 minutes away from the destination hospital, Kern sought approval from a doctor to give Banks morphine. Kern reported that Banks had a history of diabetes; was conscious, alert, and oriented with a Glasgow Coma Score (“GCS”) of 15; had pain in her lower lumbar and upper back; was tender on palpation; had a pulse rate of 88, normal sinus heart rhythm on the monitor, blood pressure of 150/90, and oxygen saturation of 99 percent on room air; and her breath was fast and shallow, which he scored at a 30 respiration rate. Instead of morphine, the doctor instructed Kern to administer 50 micrograms of fentanyl, which Kern gave Banks intravenously at 12:48 a.m. Kern testified the fentanyl did not reduce Banks’s pain, and she was alert and speaking after he administered it. The monitor recorded Banks’s heart rate approximately six times (12:42, 12:46, 12:51, 12:52, 12:56, and 1:02), and it recorded her blood pressure and </w:t>
      </w:r>
      <w:proofErr w:type="gramStart"/>
      <w:r>
        <w:t>mean</w:t>
      </w:r>
      <w:proofErr w:type="gramEnd"/>
      <w:r>
        <w:t xml:space="preserve"> arterial pressure three times (12:42, 12:52, and 1:02). Kern noted Banks’s respiratory rate, depth, and effort over the course of the ride.</w:t>
      </w:r>
    </w:p>
    <w:p w14:paraId="25F8BFD5" w14:textId="77777777" w:rsidR="00F04117" w:rsidRDefault="00F04117" w:rsidP="00F04117">
      <w:pPr>
        <w:pStyle w:val="NoSpacing"/>
      </w:pPr>
    </w:p>
    <w:p w14:paraId="52E40274" w14:textId="77777777" w:rsidR="00F04117" w:rsidRDefault="00F04117" w:rsidP="00F04117">
      <w:pPr>
        <w:pStyle w:val="NoSpacing"/>
        <w:ind w:left="720"/>
      </w:pPr>
      <w:r>
        <w:t xml:space="preserve">Around 1:06 a.m., Kern testified that they were about two minutes away from the hospital when Banks gasped, turned her head to the side, and became flushed and purple. Her breathing was agonal, she had no palpable pulse, and the heart monitor indicated that she was in ventricular fibrillation (“VFIB”). Kern started </w:t>
      </w:r>
      <w:r>
        <w:lastRenderedPageBreak/>
        <w:t xml:space="preserve">cardiopulmonary resuscitation (“CPR”), and after parking the ambulance (about two minutes after CPR began), Burton came back to assist </w:t>
      </w:r>
      <w:proofErr w:type="gramStart"/>
      <w:r>
        <w:t>in order for</w:t>
      </w:r>
      <w:proofErr w:type="gramEnd"/>
      <w:r>
        <w:t xml:space="preserve"> Kern to attempt to defibrillate Banks. Hospital </w:t>
      </w:r>
      <w:proofErr w:type="gramStart"/>
      <w:r>
        <w:t>personal</w:t>
      </w:r>
      <w:proofErr w:type="gramEnd"/>
      <w:r>
        <w:t xml:space="preserve"> from the ambulance bay joined the effort to resuscitate Banks, performing bag-assisted ventilation while Kern administered intravenous amiodarone, an antiarrhythmic medication, at 1:10 a.m. Metro’s crew turned care of Banks over to the hospital by 1:15 a.m. At 1:19 a.m., Banks was pronounced dead from what the medical examiner later determined to be ‘acute cardiac dysrhythmia complicating fall from height.’”</w:t>
      </w:r>
    </w:p>
    <w:p w14:paraId="103EFF33" w14:textId="77777777" w:rsidR="00F04117" w:rsidRDefault="00F04117" w:rsidP="00F04117">
      <w:pPr>
        <w:pStyle w:val="NoSpacing"/>
        <w:ind w:left="720"/>
      </w:pPr>
    </w:p>
    <w:p w14:paraId="5BD0FFF2" w14:textId="2D92B6E9" w:rsidR="00F04117" w:rsidRPr="006572CC" w:rsidRDefault="00F04117" w:rsidP="00F04117">
      <w:pPr>
        <w:pStyle w:val="NoSpacing"/>
        <w:rPr>
          <w:b/>
          <w:bCs/>
        </w:rPr>
      </w:pPr>
      <w:r>
        <w:rPr>
          <w:b/>
        </w:rPr>
        <w:t xml:space="preserve">Lesson learned: Avoid litigation, use pulse ox monitor during transport and record that in patient care report. </w:t>
      </w:r>
    </w:p>
    <w:p w14:paraId="0F7251F6" w14:textId="77777777" w:rsidR="00F04117" w:rsidRDefault="00F04117" w:rsidP="00004498">
      <w:pPr>
        <w:rPr>
          <w:rFonts w:ascii="Arial Black" w:hAnsi="Arial Black"/>
          <w:b/>
          <w:bCs/>
          <w:sz w:val="24"/>
          <w:szCs w:val="24"/>
        </w:rPr>
      </w:pPr>
    </w:p>
    <w:p w14:paraId="69141FB2" w14:textId="77777777" w:rsidR="00F04117" w:rsidRDefault="00F04117" w:rsidP="00004498">
      <w:pPr>
        <w:rPr>
          <w:rFonts w:ascii="Arial Black" w:hAnsi="Arial Black"/>
          <w:b/>
          <w:bCs/>
          <w:sz w:val="24"/>
          <w:szCs w:val="24"/>
        </w:rPr>
      </w:pPr>
    </w:p>
    <w:p w14:paraId="0EC8D52B" w14:textId="651436D8" w:rsidR="00F04117" w:rsidRDefault="00E42133" w:rsidP="00004498">
      <w:pPr>
        <w:rPr>
          <w:rFonts w:ascii="Arial Black" w:hAnsi="Arial Black"/>
          <w:b/>
          <w:bCs/>
          <w:sz w:val="24"/>
          <w:szCs w:val="24"/>
        </w:rPr>
      </w:pPr>
      <w:r>
        <w:rPr>
          <w:rFonts w:ascii="Arial Black" w:hAnsi="Arial Black"/>
          <w:b/>
          <w:bCs/>
          <w:sz w:val="24"/>
          <w:szCs w:val="24"/>
        </w:rPr>
        <w:t>13</w:t>
      </w:r>
      <w:r w:rsidR="002E67EB">
        <w:rPr>
          <w:rFonts w:ascii="Arial Black" w:hAnsi="Arial Black"/>
          <w:b/>
          <w:bCs/>
          <w:sz w:val="24"/>
          <w:szCs w:val="24"/>
        </w:rPr>
        <w:t>-</w:t>
      </w:r>
      <w:r w:rsidR="00B15D17">
        <w:rPr>
          <w:rFonts w:ascii="Arial Black" w:hAnsi="Arial Black"/>
          <w:b/>
          <w:bCs/>
          <w:sz w:val="24"/>
          <w:szCs w:val="24"/>
        </w:rPr>
        <w:t>23</w:t>
      </w:r>
      <w:r w:rsidR="00524647">
        <w:rPr>
          <w:rFonts w:ascii="Arial Black" w:hAnsi="Arial Black"/>
          <w:b/>
          <w:bCs/>
          <w:sz w:val="24"/>
          <w:szCs w:val="24"/>
        </w:rPr>
        <w:t>1</w:t>
      </w:r>
    </w:p>
    <w:p w14:paraId="6E8BA226" w14:textId="1E1BAAB0" w:rsidR="00E42133" w:rsidRDefault="00E42133" w:rsidP="00E42133">
      <w:pPr>
        <w:pStyle w:val="NoSpacing"/>
        <w:rPr>
          <w:rFonts w:ascii="Arial Black" w:hAnsi="Arial Black"/>
          <w:b/>
          <w:sz w:val="28"/>
          <w:szCs w:val="28"/>
        </w:rPr>
      </w:pPr>
      <w:r>
        <w:rPr>
          <w:rFonts w:ascii="Arial Black" w:hAnsi="Arial Black"/>
          <w:b/>
          <w:sz w:val="28"/>
          <w:szCs w:val="28"/>
        </w:rPr>
        <w:t xml:space="preserve">PA: PT PUNCHED MEDIC IN AMBULANCE </w:t>
      </w:r>
      <w:r w:rsidR="008019DB">
        <w:rPr>
          <w:rFonts w:ascii="Arial Black" w:hAnsi="Arial Black"/>
          <w:b/>
          <w:sz w:val="28"/>
          <w:szCs w:val="28"/>
        </w:rPr>
        <w:t xml:space="preserve">– </w:t>
      </w:r>
      <w:r w:rsidR="004B5399">
        <w:rPr>
          <w:rFonts w:ascii="Arial Black" w:hAnsi="Arial Black"/>
          <w:b/>
          <w:sz w:val="28"/>
          <w:szCs w:val="28"/>
        </w:rPr>
        <w:t>RETRIAL – STANDBY ATTY</w:t>
      </w:r>
    </w:p>
    <w:p w14:paraId="7DD87E5E" w14:textId="77777777" w:rsidR="00E42133" w:rsidRDefault="00E42133" w:rsidP="00E42133">
      <w:pPr>
        <w:pStyle w:val="NoSpacing"/>
        <w:rPr>
          <w:rFonts w:ascii="Arial Black" w:hAnsi="Arial Black"/>
          <w:b/>
          <w:sz w:val="28"/>
          <w:szCs w:val="28"/>
        </w:rPr>
      </w:pPr>
    </w:p>
    <w:p w14:paraId="2E10FAF5" w14:textId="77777777" w:rsidR="00A5402C" w:rsidRDefault="00E42133" w:rsidP="00E42133">
      <w:pPr>
        <w:pStyle w:val="NoSpacing"/>
      </w:pPr>
      <w:r w:rsidRPr="00FD0472">
        <w:t xml:space="preserve">On October 25, 2025, in </w:t>
      </w:r>
      <w:r w:rsidRPr="00A107E9">
        <w:rPr>
          <w:u w:val="single"/>
        </w:rPr>
        <w:t>Commonwealth of Pennsylvania v. Roger Dean Hornberger</w:t>
      </w:r>
      <w:r>
        <w:t xml:space="preserve">, the </w:t>
      </w:r>
      <w:r w:rsidRPr="000761B1">
        <w:t>Superior Court of Pennsylvania</w:t>
      </w:r>
      <w:r>
        <w:t xml:space="preserve"> held (3 to 0; non-precedential decision) that defendant’s conviction for assaulting the paramedic and sentence of 21-42 months in prison must be set aside for a new trial.  Defendant pro se - represented himself at trial (trial court did appoint a “standby attorney” during the trial) but prior to selection of a jury the trial court judge did review with him each charge and possible sentences if convicted.</w:t>
      </w:r>
    </w:p>
    <w:p w14:paraId="7574D202" w14:textId="17A4F328" w:rsidR="00E42133" w:rsidRDefault="00E42133" w:rsidP="00E42133">
      <w:pPr>
        <w:pStyle w:val="NoSpacing"/>
        <w:rPr>
          <w:b/>
        </w:rPr>
      </w:pPr>
      <w:r>
        <w:t xml:space="preserve"> </w:t>
      </w:r>
      <w:hyperlink r:id="rId2082" w:history="1">
        <w:r w:rsidRPr="00937559">
          <w:rPr>
            <w:rStyle w:val="Hyperlink"/>
            <w:b/>
          </w:rPr>
          <w:t>https://www.pacourts.us/assets/opinions/Superior/out/J-A19045-25m%20-%20106549181332513446.pdf?cb=1</w:t>
        </w:r>
      </w:hyperlink>
      <w:r>
        <w:rPr>
          <w:b/>
        </w:rPr>
        <w:t xml:space="preserve"> </w:t>
      </w:r>
    </w:p>
    <w:p w14:paraId="1DA98C4B" w14:textId="77777777" w:rsidR="00E42133" w:rsidRDefault="00E42133" w:rsidP="00E42133">
      <w:pPr>
        <w:pStyle w:val="NoSpacing"/>
        <w:rPr>
          <w:b/>
        </w:rPr>
      </w:pPr>
    </w:p>
    <w:p w14:paraId="0C77CC93" w14:textId="77777777" w:rsidR="00E42133" w:rsidRDefault="00E42133" w:rsidP="00E42133">
      <w:pPr>
        <w:pStyle w:val="NoSpacing"/>
        <w:rPr>
          <w:bCs/>
        </w:rPr>
      </w:pPr>
      <w:r w:rsidRPr="00073BE7">
        <w:t>THE COURT HELD:</w:t>
      </w:r>
    </w:p>
    <w:p w14:paraId="6AEFE723" w14:textId="77777777" w:rsidR="00E42133" w:rsidRDefault="00E42133" w:rsidP="00E42133">
      <w:pPr>
        <w:pStyle w:val="NoSpacing"/>
        <w:rPr>
          <w:bCs/>
        </w:rPr>
      </w:pPr>
    </w:p>
    <w:p w14:paraId="10830B5A" w14:textId="77777777" w:rsidR="00E42133" w:rsidRDefault="00E42133" w:rsidP="00E42133">
      <w:pPr>
        <w:pStyle w:val="NoSpacing"/>
        <w:ind w:left="720"/>
        <w:rPr>
          <w:bCs/>
        </w:rPr>
      </w:pPr>
      <w:r>
        <w:t>“</w:t>
      </w:r>
      <w:r w:rsidRPr="008028D9">
        <w:t>This matter arises from a domestic violence call on September 3, 2023.</w:t>
      </w:r>
      <w:r>
        <w:t xml:space="preserve"> </w:t>
      </w:r>
      <w:r w:rsidRPr="008028D9">
        <w:t>Trooper John Ryan Herold of the Pennsylvania State Police responded to</w:t>
      </w:r>
      <w:r>
        <w:t xml:space="preserve"> </w:t>
      </w:r>
      <w:r w:rsidRPr="008028D9">
        <w:t>Appellant’s house, where he and other troopers discovered that Appellant had</w:t>
      </w:r>
      <w:r>
        <w:t xml:space="preserve"> </w:t>
      </w:r>
      <w:r w:rsidRPr="008028D9">
        <w:t>fallen or jumped from the second story window. Upon contact with Appellant</w:t>
      </w:r>
      <w:r>
        <w:t xml:space="preserve"> </w:t>
      </w:r>
      <w:r w:rsidRPr="008028D9">
        <w:t>outside, Trooper Herold saw that he was holding a red container filled with a</w:t>
      </w:r>
      <w:r>
        <w:t xml:space="preserve"> </w:t>
      </w:r>
      <w:r w:rsidRPr="008028D9">
        <w:t xml:space="preserve">white powdery substance, later identified as </w:t>
      </w:r>
      <w:r>
        <w:t>m</w:t>
      </w:r>
      <w:r w:rsidRPr="008028D9">
        <w:t>ethamphetamine. Instead of</w:t>
      </w:r>
      <w:r>
        <w:t xml:space="preserve"> </w:t>
      </w:r>
      <w:r w:rsidRPr="008028D9">
        <w:t>immediately detaining Appellant and placing him in a cruiser, the troopers</w:t>
      </w:r>
      <w:r>
        <w:t xml:space="preserve"> </w:t>
      </w:r>
      <w:r w:rsidRPr="008028D9">
        <w:t>called an ambulance to transport him to the hospital based on a complaint of</w:t>
      </w:r>
      <w:r>
        <w:t xml:space="preserve"> </w:t>
      </w:r>
      <w:r w:rsidRPr="00FE6C43">
        <w:t xml:space="preserve">back pain. </w:t>
      </w:r>
    </w:p>
    <w:p w14:paraId="0E5722E3" w14:textId="77777777" w:rsidR="00E42133" w:rsidRDefault="00E42133" w:rsidP="00E42133">
      <w:pPr>
        <w:pStyle w:val="NoSpacing"/>
        <w:ind w:left="720"/>
        <w:rPr>
          <w:bCs/>
        </w:rPr>
      </w:pPr>
    </w:p>
    <w:p w14:paraId="3FE211DE" w14:textId="77777777" w:rsidR="00E42133" w:rsidRPr="00FE6C43" w:rsidRDefault="00E42133" w:rsidP="00E42133">
      <w:pPr>
        <w:pStyle w:val="NoSpacing"/>
        <w:ind w:left="720"/>
        <w:rPr>
          <w:bCs/>
        </w:rPr>
      </w:pPr>
      <w:r w:rsidRPr="00FE6C43">
        <w:t>He was strapped to a stretcher in the back of the ambulance and</w:t>
      </w:r>
      <w:r>
        <w:t xml:space="preserve"> </w:t>
      </w:r>
      <w:r w:rsidRPr="00FE6C43">
        <w:t>fell asleep.</w:t>
      </w:r>
      <w:r>
        <w:t xml:space="preserve"> </w:t>
      </w:r>
      <w:r w:rsidRPr="00FE6C43">
        <w:t>Once in motion, Tracy Finnefrach, a paramedic, began her diagnostics</w:t>
      </w:r>
      <w:r>
        <w:t xml:space="preserve"> </w:t>
      </w:r>
      <w:r w:rsidRPr="00FE6C43">
        <w:t>as Appellant awoke from his slumber. He suddenly broke free of his restraints,</w:t>
      </w:r>
      <w:r>
        <w:t xml:space="preserve"> </w:t>
      </w:r>
      <w:r w:rsidRPr="00FE6C43">
        <w:t xml:space="preserve">jumped up from the stretcher, and claimed that Ms. </w:t>
      </w:r>
      <w:proofErr w:type="spellStart"/>
      <w:r w:rsidRPr="00FE6C43">
        <w:t>Finnefrach</w:t>
      </w:r>
      <w:proofErr w:type="spellEnd"/>
      <w:r w:rsidRPr="00FE6C43">
        <w:t xml:space="preserve"> was trying to</w:t>
      </w:r>
      <w:r>
        <w:t xml:space="preserve"> </w:t>
      </w:r>
      <w:r w:rsidRPr="00FE6C43">
        <w:t>kill him. He eventually punched her once in the forehead and again in the</w:t>
      </w:r>
      <w:r>
        <w:t xml:space="preserve"> </w:t>
      </w:r>
      <w:r w:rsidRPr="00FE6C43">
        <w:t>jaw. The ambulance driver, Jayden Cornman, observed Appellant attacking</w:t>
      </w:r>
      <w:r>
        <w:t xml:space="preserve"> </w:t>
      </w:r>
      <w:r w:rsidRPr="00FE6C43">
        <w:t xml:space="preserve">Ms. </w:t>
      </w:r>
      <w:proofErr w:type="spellStart"/>
      <w:r w:rsidRPr="00FE6C43">
        <w:t>Finnefrach</w:t>
      </w:r>
      <w:proofErr w:type="spellEnd"/>
      <w:r w:rsidRPr="00FE6C43">
        <w:t>. He tried to pull the vehicle over, but Appellant reached</w:t>
      </w:r>
      <w:r>
        <w:t xml:space="preserve"> </w:t>
      </w:r>
      <w:r w:rsidRPr="00FE6C43">
        <w:t>through the partition window and pulled on the collar of Mr. Cornman’s shirt,</w:t>
      </w:r>
    </w:p>
    <w:p w14:paraId="5ED43C5A" w14:textId="77777777" w:rsidR="00E42133" w:rsidRDefault="00E42133" w:rsidP="00E42133">
      <w:pPr>
        <w:pStyle w:val="NoSpacing"/>
        <w:ind w:left="720"/>
        <w:rPr>
          <w:bCs/>
        </w:rPr>
      </w:pPr>
      <w:r w:rsidRPr="00FE6C43">
        <w:t>restricting his breathing. Once the driver finally stopped the vehicle, Appellant</w:t>
      </w:r>
      <w:r>
        <w:t xml:space="preserve"> </w:t>
      </w:r>
      <w:r w:rsidRPr="00FE6C43">
        <w:t>jumped through the divider opening and exited the driver’s side door.</w:t>
      </w:r>
      <w:r>
        <w:t xml:space="preserve"> </w:t>
      </w:r>
      <w:r w:rsidRPr="00FE6C43">
        <w:t>Troopers arrived shortly thereafter and transported him to the hospital in a</w:t>
      </w:r>
      <w:r>
        <w:t xml:space="preserve"> </w:t>
      </w:r>
      <w:r w:rsidRPr="00FE6C43">
        <w:t>patrol car.</w:t>
      </w:r>
    </w:p>
    <w:p w14:paraId="0F1C2636" w14:textId="77777777" w:rsidR="00E42133" w:rsidRDefault="00E42133" w:rsidP="00E42133">
      <w:pPr>
        <w:pStyle w:val="NoSpacing"/>
        <w:ind w:left="720"/>
        <w:rPr>
          <w:bCs/>
        </w:rPr>
      </w:pPr>
    </w:p>
    <w:p w14:paraId="45F28D1B" w14:textId="77777777" w:rsidR="00E42133" w:rsidRDefault="00E42133" w:rsidP="00E42133">
      <w:pPr>
        <w:pStyle w:val="NoSpacing"/>
        <w:ind w:left="720"/>
        <w:rPr>
          <w:bCs/>
        </w:rPr>
      </w:pPr>
      <w:r>
        <w:t>***</w:t>
      </w:r>
    </w:p>
    <w:p w14:paraId="051C1416" w14:textId="77777777" w:rsidR="00E42133" w:rsidRDefault="00E42133" w:rsidP="00E42133">
      <w:pPr>
        <w:pStyle w:val="NoSpacing"/>
        <w:ind w:left="720"/>
        <w:rPr>
          <w:bCs/>
        </w:rPr>
      </w:pPr>
      <w:r w:rsidRPr="00061D0A">
        <w:t xml:space="preserve">Based on the </w:t>
      </w:r>
      <w:proofErr w:type="gramStart"/>
      <w:r w:rsidRPr="00061D0A">
        <w:t>aforementioned events</w:t>
      </w:r>
      <w:proofErr w:type="gramEnd"/>
      <w:r w:rsidRPr="00061D0A">
        <w:t>, Appellant was charged with two</w:t>
      </w:r>
      <w:r>
        <w:t xml:space="preserve"> </w:t>
      </w:r>
      <w:r w:rsidRPr="00061D0A">
        <w:t>counts of recklessly endangering another person, and one count each of</w:t>
      </w:r>
      <w:r>
        <w:t xml:space="preserve"> </w:t>
      </w:r>
      <w:r w:rsidRPr="00061D0A">
        <w:t>aggravated assault, simple assault, resisting arrest, possession/use of drug</w:t>
      </w:r>
      <w:r>
        <w:t xml:space="preserve"> </w:t>
      </w:r>
      <w:r w:rsidRPr="00061D0A">
        <w:t>paraphernalia, and possession of a controlled substance. Appellant neglected</w:t>
      </w:r>
      <w:r>
        <w:t xml:space="preserve"> </w:t>
      </w:r>
      <w:r w:rsidRPr="00061D0A">
        <w:t>to appear at the pretrial conference. Consequently, the court issued a bench</w:t>
      </w:r>
      <w:r>
        <w:t xml:space="preserve"> </w:t>
      </w:r>
      <w:r w:rsidRPr="00061D0A">
        <w:t>warrant and Appellant was arrested.</w:t>
      </w:r>
    </w:p>
    <w:p w14:paraId="213B4A37" w14:textId="77777777" w:rsidR="00E42133" w:rsidRDefault="00E42133" w:rsidP="00E42133">
      <w:pPr>
        <w:pStyle w:val="NoSpacing"/>
        <w:ind w:left="720"/>
        <w:rPr>
          <w:bCs/>
        </w:rPr>
      </w:pPr>
    </w:p>
    <w:p w14:paraId="7A9AD89F" w14:textId="77777777" w:rsidR="00E42133" w:rsidRDefault="00E42133" w:rsidP="00E42133">
      <w:pPr>
        <w:pStyle w:val="NoSpacing"/>
        <w:ind w:left="720"/>
        <w:rPr>
          <w:bCs/>
        </w:rPr>
      </w:pPr>
      <w:r>
        <w:t>***</w:t>
      </w:r>
    </w:p>
    <w:p w14:paraId="21755841" w14:textId="77777777" w:rsidR="00E42133" w:rsidRPr="00073BE7" w:rsidRDefault="00E42133" w:rsidP="00E42133">
      <w:pPr>
        <w:pStyle w:val="NoSpacing"/>
        <w:ind w:left="720"/>
        <w:rPr>
          <w:bCs/>
        </w:rPr>
      </w:pPr>
    </w:p>
    <w:p w14:paraId="2DC77F45" w14:textId="77777777" w:rsidR="00E42133" w:rsidRPr="00716FF2" w:rsidRDefault="00E42133" w:rsidP="00E42133">
      <w:pPr>
        <w:pStyle w:val="NoSpacing"/>
        <w:ind w:left="720"/>
        <w:rPr>
          <w:bCs/>
        </w:rPr>
      </w:pPr>
      <w:r w:rsidRPr="004145EE">
        <w:t>The court failed to</w:t>
      </w:r>
      <w:r>
        <w:t xml:space="preserve"> </w:t>
      </w:r>
      <w:r w:rsidRPr="004145EE">
        <w:t>list the specific crimes, explain the nature of the charges, and identify the</w:t>
      </w:r>
      <w:r>
        <w:t xml:space="preserve"> </w:t>
      </w:r>
      <w:r w:rsidRPr="004145EE">
        <w:t>elements that constitute those offenses. We appreciate the Commonwealth’s</w:t>
      </w:r>
      <w:r>
        <w:t xml:space="preserve"> </w:t>
      </w:r>
      <w:r w:rsidRPr="004145EE">
        <w:t xml:space="preserve">effort to supplement the court’s colloquy by </w:t>
      </w:r>
      <w:r w:rsidRPr="004145EE">
        <w:lastRenderedPageBreak/>
        <w:t>reiterating the name of the</w:t>
      </w:r>
      <w:r>
        <w:t xml:space="preserve"> </w:t>
      </w:r>
      <w:r w:rsidRPr="004145EE">
        <w:t>assault- and drug-related charges brought against Appellant. However, the</w:t>
      </w:r>
      <w:r>
        <w:t xml:space="preserve"> </w:t>
      </w:r>
      <w:r w:rsidRPr="004145EE">
        <w:t>Commonwealth also neglected to articulate the nature of those crimes or the</w:t>
      </w:r>
      <w:r>
        <w:t xml:space="preserve"> </w:t>
      </w:r>
      <w:r w:rsidRPr="004145EE">
        <w:t>elements thereof</w:t>
      </w:r>
      <w:r>
        <w:t xml:space="preserve">…. </w:t>
      </w:r>
      <w:r w:rsidRPr="008F6604">
        <w:t xml:space="preserve">Additionally, the court omitted from the colloquy the </w:t>
      </w:r>
      <w:r>
        <w:t>‘</w:t>
      </w:r>
      <w:r w:rsidRPr="008F6604">
        <w:t>permissible range</w:t>
      </w:r>
      <w:r>
        <w:t xml:space="preserve"> </w:t>
      </w:r>
      <w:r w:rsidRPr="008F6604">
        <w:t>of sentences and/or fines for the offenses charged[.]</w:t>
      </w:r>
      <w:r>
        <w:t>’</w:t>
      </w:r>
      <w:r w:rsidRPr="008F6604">
        <w:t xml:space="preserve"> See </w:t>
      </w:r>
      <w:proofErr w:type="spellStart"/>
      <w:r w:rsidRPr="008F6604">
        <w:t>Pa.R.Crim.P</w:t>
      </w:r>
      <w:proofErr w:type="spellEnd"/>
      <w:r w:rsidRPr="008F6604">
        <w:t>.</w:t>
      </w:r>
      <w:r>
        <w:t xml:space="preserve"> </w:t>
      </w:r>
      <w:r w:rsidRPr="00716FF2">
        <w:t>J-A19045-25</w:t>
      </w:r>
      <w:r>
        <w:t xml:space="preserve">.” </w:t>
      </w:r>
    </w:p>
    <w:p w14:paraId="596A42BF" w14:textId="77777777" w:rsidR="00E42133" w:rsidRDefault="00E42133" w:rsidP="00E42133">
      <w:pPr>
        <w:pStyle w:val="NoSpacing"/>
        <w:ind w:left="720"/>
        <w:rPr>
          <w:bCs/>
        </w:rPr>
      </w:pPr>
    </w:p>
    <w:p w14:paraId="5C8F7A91" w14:textId="1A7524F7" w:rsidR="00E42133" w:rsidRPr="00716FF2" w:rsidRDefault="00E42133" w:rsidP="00E42133">
      <w:pPr>
        <w:pStyle w:val="NoSpacing"/>
        <w:rPr>
          <w:b/>
        </w:rPr>
      </w:pPr>
      <w:r>
        <w:rPr>
          <w:b/>
        </w:rPr>
        <w:t xml:space="preserve">Lesson learned:  Helpful to have PD ride in the ambulance when transporting patient they arrested. </w:t>
      </w:r>
    </w:p>
    <w:p w14:paraId="075DFD12" w14:textId="77777777" w:rsidR="00E42133" w:rsidRDefault="00E42133" w:rsidP="00E42133">
      <w:pPr>
        <w:pStyle w:val="NoSpacing"/>
        <w:ind w:left="720"/>
        <w:rPr>
          <w:bCs/>
        </w:rPr>
      </w:pPr>
    </w:p>
    <w:p w14:paraId="3BC260B3" w14:textId="77777777" w:rsidR="00E42133" w:rsidRDefault="00E42133" w:rsidP="00E42133">
      <w:pPr>
        <w:pStyle w:val="NoSpacing"/>
        <w:rPr>
          <w:b/>
        </w:rPr>
      </w:pPr>
    </w:p>
    <w:p w14:paraId="6E55E687" w14:textId="58538B23" w:rsidR="00B15D17" w:rsidRDefault="00E42133" w:rsidP="00004498">
      <w:pPr>
        <w:rPr>
          <w:rFonts w:ascii="Arial Black" w:hAnsi="Arial Black"/>
          <w:b/>
          <w:bCs/>
          <w:sz w:val="24"/>
          <w:szCs w:val="24"/>
        </w:rPr>
      </w:pPr>
      <w:r>
        <w:rPr>
          <w:rFonts w:ascii="Arial Black" w:hAnsi="Arial Black"/>
          <w:b/>
          <w:bCs/>
          <w:sz w:val="24"/>
          <w:szCs w:val="24"/>
        </w:rPr>
        <w:t>13-2</w:t>
      </w:r>
      <w:r w:rsidR="00C519F1">
        <w:rPr>
          <w:rFonts w:ascii="Arial Black" w:hAnsi="Arial Black"/>
          <w:b/>
          <w:bCs/>
          <w:sz w:val="24"/>
          <w:szCs w:val="24"/>
        </w:rPr>
        <w:t>3</w:t>
      </w:r>
      <w:r w:rsidR="00524647">
        <w:rPr>
          <w:rFonts w:ascii="Arial Black" w:hAnsi="Arial Black"/>
          <w:b/>
          <w:bCs/>
          <w:sz w:val="24"/>
          <w:szCs w:val="24"/>
        </w:rPr>
        <w:t>0</w:t>
      </w:r>
    </w:p>
    <w:p w14:paraId="6B8526AA" w14:textId="378D3AD7" w:rsidR="006B067A" w:rsidRPr="008D675E" w:rsidRDefault="006B067A" w:rsidP="006B067A">
      <w:pPr>
        <w:pStyle w:val="NoSpacing"/>
        <w:rPr>
          <w:rFonts w:ascii="Arial Black" w:hAnsi="Arial Black"/>
          <w:sz w:val="28"/>
          <w:szCs w:val="28"/>
        </w:rPr>
      </w:pPr>
      <w:r>
        <w:rPr>
          <w:rFonts w:ascii="Arial Black" w:hAnsi="Arial Black"/>
          <w:sz w:val="28"/>
          <w:szCs w:val="28"/>
        </w:rPr>
        <w:t xml:space="preserve">KS: EMS WELFARE CHECK –  WARRANT / </w:t>
      </w:r>
      <w:r w:rsidR="00DD4DF6">
        <w:rPr>
          <w:rFonts w:ascii="Arial Black" w:hAnsi="Arial Black"/>
          <w:sz w:val="28"/>
          <w:szCs w:val="28"/>
        </w:rPr>
        <w:t>METH</w:t>
      </w:r>
      <w:r w:rsidR="009C6F45">
        <w:rPr>
          <w:rFonts w:ascii="Arial Black" w:hAnsi="Arial Black"/>
          <w:sz w:val="28"/>
          <w:szCs w:val="28"/>
        </w:rPr>
        <w:t xml:space="preserve"> CONV</w:t>
      </w:r>
      <w:r w:rsidR="00DD4DF6">
        <w:rPr>
          <w:rFonts w:ascii="Arial Black" w:hAnsi="Arial Black"/>
          <w:sz w:val="28"/>
          <w:szCs w:val="28"/>
        </w:rPr>
        <w:t xml:space="preserve"> </w:t>
      </w:r>
      <w:r>
        <w:rPr>
          <w:rFonts w:ascii="Arial Black" w:hAnsi="Arial Black"/>
          <w:sz w:val="28"/>
          <w:szCs w:val="28"/>
        </w:rPr>
        <w:t>SET ASIDE</w:t>
      </w:r>
    </w:p>
    <w:p w14:paraId="6E292CC2" w14:textId="77777777" w:rsidR="006B067A" w:rsidRDefault="006B067A" w:rsidP="006B067A">
      <w:pPr>
        <w:spacing w:after="0"/>
      </w:pPr>
    </w:p>
    <w:p w14:paraId="3CA708FC" w14:textId="77777777" w:rsidR="006B067A" w:rsidRDefault="006B067A" w:rsidP="006B067A">
      <w:pPr>
        <w:spacing w:after="0"/>
        <w:rPr>
          <w:b/>
        </w:rPr>
      </w:pPr>
      <w:r>
        <w:t xml:space="preserve">On Oct. 24, 2025, in </w:t>
      </w:r>
      <w:r w:rsidRPr="002D085A">
        <w:rPr>
          <w:u w:val="single"/>
        </w:rPr>
        <w:t>State of Kansas v. Nicole Willard</w:t>
      </w:r>
      <w:r>
        <w:t xml:space="preserve">, the </w:t>
      </w:r>
      <w:r w:rsidRPr="002D085A">
        <w:t>Court of Appeals of Kansas</w:t>
      </w:r>
      <w:r>
        <w:t xml:space="preserve"> held (2 to 1; unpublished decision) that the warrant check by police, after EMS vitals were checked, was a violation of 4</w:t>
      </w:r>
      <w:r w:rsidRPr="00AD4D18">
        <w:rPr>
          <w:vertAlign w:val="superscript"/>
        </w:rPr>
        <w:t>th</w:t>
      </w:r>
      <w:r>
        <w:t xml:space="preserve"> Amendment, and her conviction for possession of methamphetamine and drug paraphernalia, discovered at the jail, is reversed.  </w:t>
      </w:r>
      <w:hyperlink r:id="rId2083" w:history="1">
        <w:r w:rsidRPr="00E37B9B">
          <w:rPr>
            <w:rStyle w:val="Hyperlink"/>
            <w:b/>
          </w:rPr>
          <w:t>https://searchdro.kscourts.gov/documents/pdf/caseDecisions/d2d9aca8-0558-406d-9148-9139f4e8d305_125812.pdf</w:t>
        </w:r>
      </w:hyperlink>
      <w:r>
        <w:rPr>
          <w:b/>
        </w:rPr>
        <w:t xml:space="preserve"> </w:t>
      </w:r>
    </w:p>
    <w:p w14:paraId="6F1084C9" w14:textId="77777777" w:rsidR="006B067A" w:rsidRDefault="006B067A" w:rsidP="006B067A">
      <w:pPr>
        <w:spacing w:after="0"/>
      </w:pPr>
    </w:p>
    <w:p w14:paraId="67C2F9AB" w14:textId="77777777" w:rsidR="006B067A" w:rsidRDefault="006B067A" w:rsidP="006B067A">
      <w:pPr>
        <w:spacing w:after="0"/>
      </w:pPr>
      <w:r>
        <w:t>THE COURT HELD:</w:t>
      </w:r>
    </w:p>
    <w:p w14:paraId="3DF10FA1" w14:textId="77777777" w:rsidR="006B067A" w:rsidRDefault="006B067A" w:rsidP="006B067A">
      <w:pPr>
        <w:spacing w:after="0"/>
      </w:pPr>
    </w:p>
    <w:p w14:paraId="63F16CA7" w14:textId="77777777" w:rsidR="006B067A" w:rsidRDefault="006B067A" w:rsidP="006B067A">
      <w:pPr>
        <w:spacing w:after="0"/>
        <w:ind w:left="720"/>
      </w:pPr>
      <w:r>
        <w:t xml:space="preserve">“On May 13, 2021, Nicole Willard was the subject of a welfare check after a civilian reported that someone was unconscious under a bridge in Hutchinson, Kansas. Hutchinson Fire Department (HFD) firefighters initially responded, </w:t>
      </w:r>
      <w:proofErr w:type="gramStart"/>
      <w:r>
        <w:t>making contact with</w:t>
      </w:r>
      <w:proofErr w:type="gramEnd"/>
      <w:r>
        <w:t xml:space="preserve"> Willard and offering her aid, which she refused. A few minutes later, Sergeant Cole Long of the Hutchinson Police Department (HPD) arrived.</w:t>
      </w:r>
    </w:p>
    <w:p w14:paraId="3FE2225A" w14:textId="77777777" w:rsidR="006B067A" w:rsidRDefault="006B067A" w:rsidP="006B067A">
      <w:pPr>
        <w:spacing w:after="0"/>
      </w:pPr>
    </w:p>
    <w:p w14:paraId="614CAECF" w14:textId="77777777" w:rsidR="006B067A" w:rsidRDefault="006B067A" w:rsidP="006B067A">
      <w:pPr>
        <w:spacing w:after="0"/>
        <w:ind w:firstLine="720"/>
      </w:pPr>
      <w:r>
        <w:t>Less than three minutes after Long arrived on the scene, Captain Ian Arndt of the</w:t>
      </w:r>
    </w:p>
    <w:p w14:paraId="55DB2C6A" w14:textId="77777777" w:rsidR="006B067A" w:rsidRDefault="006B067A" w:rsidP="006B067A">
      <w:pPr>
        <w:spacing w:after="0"/>
        <w:ind w:left="720"/>
      </w:pPr>
      <w:r>
        <w:t>Hutchinson Fire Department provided Willard's name to Long, and Long immediately stepped away, contacted dispatch, and requested a warrant check. Long learned that Willard was the subject of a warrant.</w:t>
      </w:r>
    </w:p>
    <w:p w14:paraId="5443C9F4" w14:textId="77777777" w:rsidR="006B067A" w:rsidRDefault="006B067A" w:rsidP="006B067A">
      <w:pPr>
        <w:pStyle w:val="NoSpacing"/>
        <w:ind w:firstLine="720"/>
      </w:pPr>
    </w:p>
    <w:p w14:paraId="47A7819D" w14:textId="77777777" w:rsidR="006B067A" w:rsidRDefault="006B067A" w:rsidP="006B067A">
      <w:pPr>
        <w:pStyle w:val="NoSpacing"/>
        <w:ind w:firstLine="720"/>
      </w:pPr>
      <w:r>
        <w:t>***</w:t>
      </w:r>
    </w:p>
    <w:p w14:paraId="00243410" w14:textId="77777777" w:rsidR="006B067A" w:rsidRPr="00BD54FC" w:rsidRDefault="006B067A" w:rsidP="006B067A">
      <w:pPr>
        <w:pStyle w:val="NoSpacing"/>
        <w:ind w:firstLine="720"/>
      </w:pPr>
      <w:r w:rsidRPr="00BD54FC">
        <w:t>Thus, in Kansas, a welfare check cannot lawfully be extended by running a</w:t>
      </w:r>
    </w:p>
    <w:p w14:paraId="07EDFCFE" w14:textId="77777777" w:rsidR="006B067A" w:rsidRPr="00BD54FC" w:rsidRDefault="006B067A" w:rsidP="006B067A">
      <w:pPr>
        <w:pStyle w:val="NoSpacing"/>
        <w:ind w:firstLine="720"/>
      </w:pPr>
      <w:r w:rsidRPr="00BD54FC">
        <w:t xml:space="preserve">warrant check without good reason. </w:t>
      </w:r>
      <w:r>
        <w:t>‘</w:t>
      </w:r>
      <w:r w:rsidRPr="00BD54FC">
        <w:t>Our caselaw makes it clear that police may not</w:t>
      </w:r>
    </w:p>
    <w:p w14:paraId="500F5213" w14:textId="77777777" w:rsidR="006B067A" w:rsidRPr="00BD54FC" w:rsidRDefault="006B067A" w:rsidP="006B067A">
      <w:pPr>
        <w:pStyle w:val="NoSpacing"/>
        <w:ind w:firstLine="720"/>
      </w:pPr>
      <w:r w:rsidRPr="00BD54FC">
        <w:t>lawfully extend a welfare check by running a warrant check on an individual who is the</w:t>
      </w:r>
    </w:p>
    <w:p w14:paraId="76CC74C9" w14:textId="77777777" w:rsidR="006B067A" w:rsidRPr="00BD54FC" w:rsidRDefault="006B067A" w:rsidP="006B067A">
      <w:pPr>
        <w:pStyle w:val="NoSpacing"/>
        <w:ind w:firstLine="720"/>
      </w:pPr>
      <w:r w:rsidRPr="00BD54FC">
        <w:t>subject of the check unless some other circumstances support prolonging the check and</w:t>
      </w:r>
    </w:p>
    <w:p w14:paraId="1CA94865" w14:textId="77777777" w:rsidR="006B067A" w:rsidRDefault="006B067A" w:rsidP="006B067A">
      <w:pPr>
        <w:pStyle w:val="NoSpacing"/>
        <w:ind w:firstLine="720"/>
      </w:pPr>
      <w:r w:rsidRPr="00BD54FC">
        <w:t>converting it into a detention.</w:t>
      </w:r>
      <w:r>
        <w:t>’</w:t>
      </w:r>
      <w:r w:rsidRPr="00BD54FC">
        <w:t xml:space="preserve"> 311 Kan. at 932.</w:t>
      </w:r>
    </w:p>
    <w:p w14:paraId="254B0A75" w14:textId="77777777" w:rsidR="006B067A" w:rsidRDefault="006B067A" w:rsidP="006B067A">
      <w:pPr>
        <w:pStyle w:val="NoSpacing"/>
      </w:pPr>
    </w:p>
    <w:p w14:paraId="4ADCF415" w14:textId="77777777" w:rsidR="006B067A" w:rsidRDefault="006B067A" w:rsidP="006B067A">
      <w:pPr>
        <w:pStyle w:val="NoSpacing"/>
        <w:ind w:firstLine="720"/>
      </w:pPr>
      <w:r>
        <w:t>***</w:t>
      </w:r>
    </w:p>
    <w:p w14:paraId="198CB1B5" w14:textId="77777777" w:rsidR="006B067A" w:rsidRDefault="006B067A" w:rsidP="006B067A">
      <w:pPr>
        <w:pStyle w:val="NoSpacing"/>
        <w:ind w:firstLine="720"/>
      </w:pPr>
      <w:r>
        <w:t>This brings us to the third factor—once the officer is assured that the citizen is not</w:t>
      </w:r>
    </w:p>
    <w:p w14:paraId="458A2BB2" w14:textId="77777777" w:rsidR="006B067A" w:rsidRDefault="006B067A" w:rsidP="006B067A">
      <w:pPr>
        <w:pStyle w:val="NoSpacing"/>
        <w:ind w:firstLine="720"/>
      </w:pPr>
      <w:r>
        <w:t>in peril or is no longer in need of assistance, any actions beyond that constitute a seizure,</w:t>
      </w:r>
    </w:p>
    <w:p w14:paraId="60BB1551" w14:textId="77777777" w:rsidR="006B067A" w:rsidRDefault="006B067A" w:rsidP="006B067A">
      <w:pPr>
        <w:pStyle w:val="NoSpacing"/>
        <w:ind w:firstLine="720"/>
      </w:pPr>
      <w:r>
        <w:t>implicating the protections provided by the Fourth Amendment. Gonzales, 36 Kan. App.</w:t>
      </w:r>
    </w:p>
    <w:p w14:paraId="042DB379" w14:textId="77777777" w:rsidR="006B067A" w:rsidRDefault="006B067A" w:rsidP="006B067A">
      <w:pPr>
        <w:pStyle w:val="NoSpacing"/>
        <w:ind w:firstLine="720"/>
      </w:pPr>
      <w:r>
        <w:t xml:space="preserve">2d at 456. Once Willard refused care, and </w:t>
      </w:r>
      <w:proofErr w:type="gramStart"/>
      <w:r>
        <w:t>Long</w:t>
      </w:r>
      <w:proofErr w:type="gramEnd"/>
      <w:r>
        <w:t xml:space="preserve"> and the firefighters </w:t>
      </w:r>
      <w:proofErr w:type="gramStart"/>
      <w:r>
        <w:t>decided</w:t>
      </w:r>
      <w:proofErr w:type="gramEnd"/>
      <w:r>
        <w:t xml:space="preserve"> her friend</w:t>
      </w:r>
    </w:p>
    <w:p w14:paraId="684AE3C6" w14:textId="77777777" w:rsidR="006B067A" w:rsidRDefault="006B067A" w:rsidP="006B067A">
      <w:pPr>
        <w:pStyle w:val="NoSpacing"/>
        <w:ind w:firstLine="720"/>
      </w:pPr>
      <w:r>
        <w:t>could come pick her up, it was clear that she was not in peril and no longer in need of</w:t>
      </w:r>
    </w:p>
    <w:p w14:paraId="1C111353" w14:textId="77777777" w:rsidR="006B067A" w:rsidRDefault="006B067A" w:rsidP="006B067A">
      <w:pPr>
        <w:pStyle w:val="NoSpacing"/>
        <w:ind w:firstLine="720"/>
      </w:pPr>
      <w:r>
        <w:t>assistance. It was at this point the encounter should have ended.”</w:t>
      </w:r>
    </w:p>
    <w:p w14:paraId="561F1C4F" w14:textId="77777777" w:rsidR="006B067A" w:rsidRDefault="006B067A" w:rsidP="006B067A">
      <w:pPr>
        <w:pStyle w:val="NoSpacing"/>
      </w:pPr>
    </w:p>
    <w:p w14:paraId="028DF5A5" w14:textId="77777777" w:rsidR="006B067A" w:rsidRDefault="006B067A" w:rsidP="006B067A">
      <w:pPr>
        <w:pStyle w:val="NoSpacing"/>
      </w:pPr>
    </w:p>
    <w:p w14:paraId="1B15607C" w14:textId="77777777" w:rsidR="006B067A" w:rsidRPr="00EA0F8C" w:rsidRDefault="006B067A" w:rsidP="006B067A">
      <w:pPr>
        <w:pStyle w:val="NoSpacing"/>
        <w:rPr>
          <w:b/>
        </w:rPr>
      </w:pPr>
      <w:r>
        <w:t xml:space="preserve">DISSENT [Judge </w:t>
      </w:r>
      <w:r w:rsidRPr="00EA0F8C">
        <w:t>Kathryn A. Gardner</w:t>
      </w:r>
      <w:r>
        <w:t>]</w:t>
      </w:r>
    </w:p>
    <w:p w14:paraId="1E23289A" w14:textId="77777777" w:rsidR="006B067A" w:rsidRDefault="006B067A" w:rsidP="006B067A">
      <w:pPr>
        <w:pStyle w:val="NoSpacing"/>
      </w:pPr>
    </w:p>
    <w:p w14:paraId="45D9653A" w14:textId="77777777" w:rsidR="006B067A" w:rsidRDefault="006B067A" w:rsidP="006B067A">
      <w:pPr>
        <w:pStyle w:val="NoSpacing"/>
        <w:ind w:firstLine="720"/>
      </w:pPr>
      <w:r>
        <w:t xml:space="preserve"> “I would find that a seizure did not occur, so the Fourth Amendment to the United</w:t>
      </w:r>
    </w:p>
    <w:p w14:paraId="400D2E46" w14:textId="77777777" w:rsidR="006B067A" w:rsidRDefault="006B067A" w:rsidP="006B067A">
      <w:pPr>
        <w:pStyle w:val="NoSpacing"/>
        <w:ind w:firstLine="720"/>
      </w:pPr>
      <w:r>
        <w:t>States Constitution was not implicated. But even if a seizure did occur, all acts were</w:t>
      </w:r>
    </w:p>
    <w:p w14:paraId="54B502DA" w14:textId="77777777" w:rsidR="006B067A" w:rsidRDefault="006B067A" w:rsidP="006B067A">
      <w:pPr>
        <w:pStyle w:val="NoSpacing"/>
        <w:ind w:firstLine="720"/>
      </w:pPr>
      <w:r>
        <w:t>lawful. Officer Long's decision to run the warrant check was consistent with public safety</w:t>
      </w:r>
    </w:p>
    <w:p w14:paraId="3F3B53B7" w14:textId="77777777" w:rsidR="006B067A" w:rsidRDefault="006B067A" w:rsidP="006B067A">
      <w:pPr>
        <w:pStyle w:val="NoSpacing"/>
        <w:ind w:firstLine="720"/>
      </w:pPr>
      <w:r>
        <w:t>and did not unlawfully broaden or extend the scope of the encounter with Willard. Both</w:t>
      </w:r>
    </w:p>
    <w:p w14:paraId="62076A3F" w14:textId="77777777" w:rsidR="006B067A" w:rsidRDefault="006B067A" w:rsidP="006B067A">
      <w:pPr>
        <w:pStyle w:val="NoSpacing"/>
        <w:ind w:firstLine="720"/>
      </w:pPr>
      <w:proofErr w:type="gramStart"/>
      <w:r>
        <w:lastRenderedPageBreak/>
        <w:t>before</w:t>
      </w:r>
      <w:proofErr w:type="gramEnd"/>
      <w:r>
        <w:t xml:space="preserve"> and after the warrant check, Officer Long's contact with Willard was justified by</w:t>
      </w:r>
    </w:p>
    <w:p w14:paraId="5183D9C3" w14:textId="77777777" w:rsidR="006B067A" w:rsidRDefault="006B067A" w:rsidP="006B067A">
      <w:pPr>
        <w:pStyle w:val="NoSpacing"/>
        <w:ind w:firstLine="720"/>
      </w:pPr>
      <w:r>
        <w:t>safety reasons based on objective, specific, and articulable facts. The majority's</w:t>
      </w:r>
    </w:p>
    <w:p w14:paraId="4A45F6BD" w14:textId="77777777" w:rsidR="006B067A" w:rsidRDefault="006B067A" w:rsidP="006B067A">
      <w:pPr>
        <w:pStyle w:val="NoSpacing"/>
        <w:ind w:firstLine="720"/>
      </w:pPr>
      <w:r>
        <w:t>contention that the justification dissipated when Willard said she did not want assistance</w:t>
      </w:r>
    </w:p>
    <w:p w14:paraId="791795E3" w14:textId="77777777" w:rsidR="006B067A" w:rsidRDefault="006B067A" w:rsidP="006B067A">
      <w:pPr>
        <w:pStyle w:val="NoSpacing"/>
        <w:ind w:firstLine="720"/>
      </w:pPr>
      <w:r>
        <w:t>is unfounded.”</w:t>
      </w:r>
    </w:p>
    <w:p w14:paraId="18DE0E84" w14:textId="77777777" w:rsidR="006B067A" w:rsidRDefault="006B067A" w:rsidP="006B067A">
      <w:pPr>
        <w:pStyle w:val="NoSpacing"/>
        <w:ind w:firstLine="720"/>
      </w:pPr>
    </w:p>
    <w:p w14:paraId="19DFAAE8" w14:textId="31800470" w:rsidR="006B067A" w:rsidRPr="0057222C" w:rsidRDefault="006B067A" w:rsidP="006B067A">
      <w:pPr>
        <w:pStyle w:val="NoSpacing"/>
        <w:rPr>
          <w:b/>
          <w:bCs/>
        </w:rPr>
      </w:pPr>
      <w:r w:rsidRPr="00EA0F8C">
        <w:rPr>
          <w:b/>
        </w:rPr>
        <w:t>L</w:t>
      </w:r>
      <w:r>
        <w:rPr>
          <w:b/>
        </w:rPr>
        <w:t xml:space="preserve">esson learned:  </w:t>
      </w:r>
      <w:r w:rsidRPr="0057222C">
        <w:rPr>
          <w:b/>
        </w:rPr>
        <w:t>Powerful dissent – “warrant check was consistent with public safety.”</w:t>
      </w:r>
    </w:p>
    <w:p w14:paraId="34AC4EAA" w14:textId="77777777" w:rsidR="006B067A" w:rsidRDefault="006B067A" w:rsidP="006B067A">
      <w:pPr>
        <w:pStyle w:val="NoSpacing"/>
      </w:pPr>
    </w:p>
    <w:p w14:paraId="721EEB47" w14:textId="77777777" w:rsidR="006D545F" w:rsidRDefault="006D545F" w:rsidP="00004498">
      <w:pPr>
        <w:rPr>
          <w:rFonts w:ascii="Arial Black" w:hAnsi="Arial Black"/>
          <w:b/>
          <w:bCs/>
          <w:sz w:val="24"/>
          <w:szCs w:val="24"/>
        </w:rPr>
      </w:pPr>
    </w:p>
    <w:p w14:paraId="2DF4DAF2" w14:textId="7F819423" w:rsidR="00F515BD" w:rsidRDefault="00F62795" w:rsidP="00004498">
      <w:pPr>
        <w:rPr>
          <w:rFonts w:ascii="Arial Black" w:hAnsi="Arial Black"/>
          <w:b/>
          <w:bCs/>
          <w:sz w:val="24"/>
          <w:szCs w:val="24"/>
        </w:rPr>
      </w:pPr>
      <w:r>
        <w:rPr>
          <w:rFonts w:ascii="Arial Black" w:hAnsi="Arial Black"/>
          <w:b/>
          <w:bCs/>
          <w:sz w:val="24"/>
          <w:szCs w:val="24"/>
        </w:rPr>
        <w:t>13-2</w:t>
      </w:r>
      <w:r w:rsidR="00524647">
        <w:rPr>
          <w:rFonts w:ascii="Arial Black" w:hAnsi="Arial Black"/>
          <w:b/>
          <w:bCs/>
          <w:sz w:val="24"/>
          <w:szCs w:val="24"/>
        </w:rPr>
        <w:t>29</w:t>
      </w:r>
    </w:p>
    <w:p w14:paraId="7C30A87A" w14:textId="09BAA6F2" w:rsidR="00F515BD" w:rsidRDefault="00F515BD" w:rsidP="00F515BD">
      <w:pPr>
        <w:spacing w:after="0"/>
        <w:rPr>
          <w:rFonts w:ascii="Arial Black" w:hAnsi="Arial Black"/>
          <w:b/>
          <w:sz w:val="28"/>
          <w:szCs w:val="28"/>
        </w:rPr>
      </w:pPr>
      <w:r>
        <w:rPr>
          <w:rFonts w:ascii="Arial Black" w:hAnsi="Arial Black"/>
          <w:sz w:val="28"/>
          <w:szCs w:val="28"/>
        </w:rPr>
        <w:t xml:space="preserve">MI: COVID </w:t>
      </w:r>
      <w:r w:rsidRPr="001D2498">
        <w:rPr>
          <w:rFonts w:ascii="Arial Black" w:hAnsi="Arial Black"/>
          <w:b/>
          <w:sz w:val="28"/>
          <w:szCs w:val="28"/>
        </w:rPr>
        <w:t>PT</w:t>
      </w:r>
      <w:r>
        <w:rPr>
          <w:rFonts w:ascii="Arial Black" w:hAnsi="Arial Black"/>
          <w:b/>
          <w:sz w:val="28"/>
          <w:szCs w:val="28"/>
        </w:rPr>
        <w:t xml:space="preserve"> NOT TRANS (2X) – </w:t>
      </w:r>
      <w:r w:rsidR="006043BC">
        <w:rPr>
          <w:rFonts w:ascii="Arial Black" w:hAnsi="Arial Black"/>
          <w:b/>
          <w:sz w:val="28"/>
          <w:szCs w:val="28"/>
        </w:rPr>
        <w:t xml:space="preserve">GROSS NEG. </w:t>
      </w:r>
      <w:r w:rsidR="00054335">
        <w:rPr>
          <w:rFonts w:ascii="Arial Black" w:hAnsi="Arial Black"/>
          <w:b/>
          <w:sz w:val="28"/>
          <w:szCs w:val="28"/>
        </w:rPr>
        <w:t xml:space="preserve">LAWSUIT REINSTATED </w:t>
      </w:r>
    </w:p>
    <w:p w14:paraId="71BC52EB" w14:textId="77777777" w:rsidR="00F515BD" w:rsidRDefault="00F515BD" w:rsidP="00F515BD">
      <w:pPr>
        <w:spacing w:after="0"/>
      </w:pPr>
    </w:p>
    <w:p w14:paraId="60C5F249" w14:textId="77777777" w:rsidR="00F515BD" w:rsidRDefault="00F515BD" w:rsidP="00F515BD">
      <w:pPr>
        <w:spacing w:after="0"/>
      </w:pPr>
      <w:r>
        <w:t xml:space="preserve">On Oct. 23, 2025, in </w:t>
      </w:r>
      <w:r w:rsidRPr="00B851B0">
        <w:rPr>
          <w:u w:val="single"/>
        </w:rPr>
        <w:t>Daniel Wehner, Personal Representative of the Estate of Dale Wehner v. Tr-Hospital Emergency Medical Services Corporation, et al</w:t>
      </w:r>
      <w:r>
        <w:t xml:space="preserve">, the Court of Appeals of Michigan held (3 to 0) that lawsuit should be reinstated, since there is some evidence of “gross negligence” when EMS did not transport a COVID patient on two calls (Oct. 3, 2021 and Oct. 5, 2021). Whether Dale </w:t>
      </w:r>
      <w:proofErr w:type="gramStart"/>
      <w:r>
        <w:t>actually signed</w:t>
      </w:r>
      <w:proofErr w:type="gramEnd"/>
      <w:r>
        <w:t xml:space="preserve"> or initialed the refusal forms is in dispute; his name is badly misspelled on Oct. 3 report; and only initials were on the Oct. 5 report. </w:t>
      </w:r>
      <w:hyperlink r:id="rId2084" w:history="1">
        <w:r w:rsidRPr="00356365">
          <w:rPr>
            <w:rStyle w:val="Hyperlink"/>
          </w:rPr>
          <w:t>https://www.michbar.org/Portals/0/opinions/appeals/2025/102325/84576.pdf</w:t>
        </w:r>
      </w:hyperlink>
      <w:r>
        <w:t xml:space="preserve"> </w:t>
      </w:r>
    </w:p>
    <w:p w14:paraId="24ECD089" w14:textId="77777777" w:rsidR="00F515BD" w:rsidRDefault="00F515BD" w:rsidP="00F515BD">
      <w:pPr>
        <w:spacing w:after="0"/>
      </w:pPr>
    </w:p>
    <w:p w14:paraId="2C08CE78" w14:textId="77777777" w:rsidR="00F515BD" w:rsidRDefault="00F515BD" w:rsidP="00F515BD">
      <w:pPr>
        <w:spacing w:after="0"/>
      </w:pPr>
      <w:r>
        <w:t xml:space="preserve">COURT HELD:  </w:t>
      </w:r>
    </w:p>
    <w:p w14:paraId="68E59BFF" w14:textId="77777777" w:rsidR="00F515BD" w:rsidRDefault="00F515BD" w:rsidP="00F515BD">
      <w:pPr>
        <w:spacing w:after="0"/>
      </w:pPr>
    </w:p>
    <w:p w14:paraId="4B9E6DA3" w14:textId="77777777" w:rsidR="00F515BD" w:rsidRDefault="00F515BD" w:rsidP="00F515BD">
      <w:pPr>
        <w:spacing w:after="0"/>
        <w:ind w:left="720"/>
      </w:pPr>
      <w:r>
        <w:t xml:space="preserve">“Here, plaintiff alleges that defendants told Dale that he would be fine and that he should not go to the hospital because it was full. In contrast, each defendant [EMS] testified that Dale’s condition was so dire that it was imperative that he </w:t>
      </w:r>
      <w:proofErr w:type="gramStart"/>
      <w:r>
        <w:t>go</w:t>
      </w:r>
      <w:proofErr w:type="gramEnd"/>
      <w:r>
        <w:t xml:space="preserve"> to the hospital. In fact, they have consistently argued that Dale was advised of the risks of declining treatment, yet he voluntarily chose not to be transported to the hospital for further evaluation or treatment. In support, defendants [EMS] rely on their own testimony and the assertion that Dale, on October 3rd, purportedly signed his name in the signature box acknowledging that he was declining treatment and transport, and on October 5th, he purportedly placed his initials in the relevant signature box. Whether Dale </w:t>
      </w:r>
      <w:proofErr w:type="gramStart"/>
      <w:r>
        <w:t>actually signed</w:t>
      </w:r>
      <w:proofErr w:type="gramEnd"/>
      <w:r>
        <w:t xml:space="preserve"> or initialed the documents is in dispute. It is notable that Dale’s name is badly misspelled in the signature box of the Patient Care Report (PCR) generated for the October 3rd ambulance run (‘</w:t>
      </w:r>
      <w:proofErr w:type="spellStart"/>
      <w:r>
        <w:t>Sehren</w:t>
      </w:r>
      <w:proofErr w:type="spellEnd"/>
      <w:r>
        <w:t xml:space="preserve">’ rather than ‘Wehner’), and only the initials ‘DW; were placed in the signature box relative to the October 5th run. *** Added to these discrepancies, Grace Warmbier, a trained document examiner, examined the signature and initials in the signature boxes acknowledging the refusal of treatment or transport. She compared those signatures to known handwriting samples and concluded that Dale did not sign the refusal of services. The foregoing evidence casts sufficient doubt on the assertion that Dale placed his signature and initials in the signature boxes acknowledging that the risks had been explained and he was nonetheless refusing services and transportation to the hospital. If Dale did not sign the acknowledgments, then this would be a particularly relevant piece of </w:t>
      </w:r>
      <w:proofErr w:type="gramStart"/>
      <w:r>
        <w:t>evidence.”</w:t>
      </w:r>
      <w:proofErr w:type="gramEnd"/>
      <w:r>
        <w:t xml:space="preserve"> </w:t>
      </w:r>
    </w:p>
    <w:p w14:paraId="17E0E48D" w14:textId="77777777" w:rsidR="00F515BD" w:rsidRDefault="00F515BD" w:rsidP="00F515BD">
      <w:pPr>
        <w:spacing w:after="0"/>
        <w:rPr>
          <w:b/>
          <w:bCs/>
        </w:rPr>
      </w:pPr>
    </w:p>
    <w:p w14:paraId="29ACC300" w14:textId="50A84284" w:rsidR="00F515BD" w:rsidRDefault="00F515BD" w:rsidP="00F515BD">
      <w:pPr>
        <w:spacing w:after="0"/>
        <w:rPr>
          <w:b/>
          <w:bCs/>
        </w:rPr>
      </w:pPr>
      <w:r>
        <w:rPr>
          <w:b/>
        </w:rPr>
        <w:t>Lesson Learned: If patient signature is misspelled, or initials unclear, ask spouse to co-sign.</w:t>
      </w:r>
    </w:p>
    <w:p w14:paraId="63C19F4E" w14:textId="77777777" w:rsidR="00F515BD" w:rsidRDefault="00F515BD" w:rsidP="00F515BD">
      <w:pPr>
        <w:spacing w:after="0"/>
        <w:rPr>
          <w:b/>
          <w:bCs/>
        </w:rPr>
      </w:pPr>
    </w:p>
    <w:p w14:paraId="49DFB6BD" w14:textId="77777777" w:rsidR="00F515BD" w:rsidRDefault="00F515BD" w:rsidP="00004498">
      <w:pPr>
        <w:rPr>
          <w:rFonts w:ascii="Arial Black" w:hAnsi="Arial Black"/>
          <w:b/>
          <w:bCs/>
          <w:sz w:val="24"/>
          <w:szCs w:val="24"/>
        </w:rPr>
      </w:pPr>
    </w:p>
    <w:p w14:paraId="355C7E01" w14:textId="3CED3CB6" w:rsidR="006D545F" w:rsidRDefault="00F62795" w:rsidP="00004498">
      <w:pPr>
        <w:rPr>
          <w:rFonts w:ascii="Arial Black" w:hAnsi="Arial Black"/>
          <w:b/>
          <w:bCs/>
          <w:sz w:val="24"/>
          <w:szCs w:val="24"/>
        </w:rPr>
      </w:pPr>
      <w:r>
        <w:rPr>
          <w:rFonts w:ascii="Arial Black" w:hAnsi="Arial Black"/>
          <w:b/>
          <w:bCs/>
          <w:sz w:val="24"/>
          <w:szCs w:val="24"/>
        </w:rPr>
        <w:t>13-22</w:t>
      </w:r>
      <w:r w:rsidR="00524647">
        <w:rPr>
          <w:rFonts w:ascii="Arial Black" w:hAnsi="Arial Black"/>
          <w:b/>
          <w:bCs/>
          <w:sz w:val="24"/>
          <w:szCs w:val="24"/>
        </w:rPr>
        <w:t>8</w:t>
      </w:r>
    </w:p>
    <w:p w14:paraId="3798C4BA" w14:textId="5A41B9BD" w:rsidR="00550025" w:rsidRPr="0073614C" w:rsidRDefault="00550025" w:rsidP="00550025">
      <w:pPr>
        <w:pStyle w:val="NoSpacing"/>
        <w:rPr>
          <w:rFonts w:ascii="Arial Black" w:hAnsi="Arial Black"/>
          <w:b/>
          <w:sz w:val="28"/>
          <w:szCs w:val="28"/>
        </w:rPr>
      </w:pPr>
      <w:r>
        <w:rPr>
          <w:rFonts w:ascii="Arial Black" w:hAnsi="Arial Black"/>
          <w:b/>
          <w:sz w:val="28"/>
          <w:szCs w:val="28"/>
        </w:rPr>
        <w:t xml:space="preserve">NJ: PT TRIED JUMP </w:t>
      </w:r>
      <w:r w:rsidR="00FA7170">
        <w:rPr>
          <w:rFonts w:ascii="Arial Black" w:hAnsi="Arial Black"/>
          <w:b/>
          <w:sz w:val="28"/>
          <w:szCs w:val="28"/>
        </w:rPr>
        <w:t xml:space="preserve">OUT </w:t>
      </w:r>
      <w:r>
        <w:rPr>
          <w:rFonts w:ascii="Arial Black" w:hAnsi="Arial Black"/>
          <w:b/>
          <w:sz w:val="28"/>
          <w:szCs w:val="28"/>
        </w:rPr>
        <w:t>AMBUL – STOPPED – NO LIAB / ANKLE</w:t>
      </w:r>
    </w:p>
    <w:p w14:paraId="7ABFEEC1" w14:textId="77777777" w:rsidR="00550025" w:rsidRDefault="00550025" w:rsidP="00550025">
      <w:pPr>
        <w:pStyle w:val="NoSpacing"/>
        <w:rPr>
          <w:b/>
        </w:rPr>
      </w:pPr>
    </w:p>
    <w:p w14:paraId="3037647D" w14:textId="77777777" w:rsidR="00550025" w:rsidRDefault="00550025" w:rsidP="00550025">
      <w:pPr>
        <w:pStyle w:val="NoSpacing"/>
        <w:rPr>
          <w:b/>
        </w:rPr>
      </w:pPr>
      <w:r>
        <w:t xml:space="preserve">On Oct. 22, 2025, in </w:t>
      </w:r>
      <w:r w:rsidRPr="00741E4D">
        <w:rPr>
          <w:u w:val="single"/>
        </w:rPr>
        <w:t>Sandra Poling v. Atlantic Mobile Health, et al</w:t>
      </w:r>
      <w:r>
        <w:t xml:space="preserve">., the </w:t>
      </w:r>
      <w:r w:rsidRPr="00741E4D">
        <w:t>Superior Court of New Jersey, Appellate Division</w:t>
      </w:r>
      <w:r>
        <w:t xml:space="preserve"> held (3 to 0) that trial court properly granted summary judgment to the ambulance company and two EMTs.  The plaintiff claimed that EMT broke her ankle when preventing her from jumping out of a moving ambulance (MD testimony - doubtful he caused injury) and she provided no expert to testify that EMT acted inappropriately in retaining her by the ambulance side exert door.  </w:t>
      </w:r>
      <w:hyperlink r:id="rId2085" w:history="1">
        <w:r w:rsidRPr="00F346A5">
          <w:rPr>
            <w:rStyle w:val="Hyperlink"/>
            <w:b/>
          </w:rPr>
          <w:t>https://www.njcourts.gov/system/files/court-opinions/2025/a0275-24.pdf</w:t>
        </w:r>
      </w:hyperlink>
      <w:r>
        <w:rPr>
          <w:b/>
        </w:rPr>
        <w:t xml:space="preserve"> </w:t>
      </w:r>
    </w:p>
    <w:p w14:paraId="5816EB59" w14:textId="77777777" w:rsidR="00550025" w:rsidRDefault="00550025" w:rsidP="00550025">
      <w:pPr>
        <w:pStyle w:val="NoSpacing"/>
        <w:rPr>
          <w:b/>
        </w:rPr>
      </w:pPr>
    </w:p>
    <w:p w14:paraId="024F8A4E" w14:textId="77777777" w:rsidR="00550025" w:rsidRDefault="00550025" w:rsidP="00550025">
      <w:pPr>
        <w:pStyle w:val="NoSpacing"/>
        <w:rPr>
          <w:bCs/>
        </w:rPr>
      </w:pPr>
      <w:r w:rsidRPr="00BF18DF">
        <w:t xml:space="preserve">THE COURT HELD: </w:t>
      </w:r>
    </w:p>
    <w:p w14:paraId="40798510" w14:textId="77777777" w:rsidR="00550025" w:rsidRDefault="00550025" w:rsidP="00550025">
      <w:pPr>
        <w:pStyle w:val="NoSpacing"/>
        <w:rPr>
          <w:bCs/>
        </w:rPr>
      </w:pPr>
    </w:p>
    <w:p w14:paraId="10F28F88" w14:textId="77777777" w:rsidR="00550025" w:rsidRDefault="00550025" w:rsidP="00550025">
      <w:pPr>
        <w:pStyle w:val="NoSpacing"/>
        <w:ind w:left="720"/>
      </w:pPr>
      <w:r>
        <w:t>“The trial court dismissed plaintiff's complaint determining plaintiff raised claims of professional negligence for injuries sustained during ambulance transport but failed to</w:t>
      </w:r>
    </w:p>
    <w:p w14:paraId="44792148" w14:textId="77777777" w:rsidR="00550025" w:rsidRDefault="00550025" w:rsidP="00550025">
      <w:pPr>
        <w:pStyle w:val="NoSpacing"/>
        <w:ind w:left="720"/>
      </w:pPr>
      <w:r>
        <w:t>provide expert proof regarding the standard of care or breach by defendant emergency responders. We affirm.</w:t>
      </w:r>
    </w:p>
    <w:p w14:paraId="75FEAEEE" w14:textId="77777777" w:rsidR="00550025" w:rsidRDefault="00550025" w:rsidP="00550025">
      <w:pPr>
        <w:pStyle w:val="NoSpacing"/>
        <w:ind w:left="720"/>
      </w:pPr>
    </w:p>
    <w:p w14:paraId="4689D041" w14:textId="77777777" w:rsidR="00550025" w:rsidRDefault="00550025" w:rsidP="00550025">
      <w:pPr>
        <w:pStyle w:val="NoSpacing"/>
        <w:ind w:left="720"/>
      </w:pPr>
      <w:r>
        <w:t>***</w:t>
      </w:r>
    </w:p>
    <w:p w14:paraId="300727C1" w14:textId="77777777" w:rsidR="00550025" w:rsidRDefault="00550025" w:rsidP="00550025">
      <w:pPr>
        <w:pStyle w:val="NoSpacing"/>
        <w:ind w:left="720"/>
      </w:pPr>
      <w:r>
        <w:t>Although the precise movements utilized by [EMT] Vazquez to stabilize plaintiff were disputed, the critical material facts were not. Plaintiff was intoxicated, argumentative, and defiant of orders. She removed safety restraints, moved off the stretcher, and vaped all while the vehicle was moving on the roadway. This was a rapidly changing situation in which plaintiff's erratic conduct escalated and potentially threatened her safety. At the time plaintiff admittedly threatened to jump out of the moving ambulance, Vazquez, a licensed and trained emergency response professional, was faced ‘with a split-second decision,’ which implicated multiple complex factors and considerations. These included Vazquez's and Golightly's relevant prior training, applicable safety standards, plaintiff's unpredictable behavior and belligerence, her intoxication and unwillingness to comply with orders or maintain restraints for her own security, the EMTs' understanding of layout of the ambulance as it impacted the ability to control the situation to protect plaintiff from harm, and the options for most-safely subduing plaintiff and preventing her movement in light of all the failed attempts to gain her compliance.</w:t>
      </w:r>
    </w:p>
    <w:p w14:paraId="1D8CDE4C" w14:textId="77777777" w:rsidR="00550025" w:rsidRDefault="00550025" w:rsidP="00550025">
      <w:pPr>
        <w:pStyle w:val="NoSpacing"/>
        <w:ind w:left="720"/>
      </w:pPr>
    </w:p>
    <w:p w14:paraId="4038D284" w14:textId="77777777" w:rsidR="00550025" w:rsidRDefault="00550025" w:rsidP="00550025">
      <w:pPr>
        <w:pStyle w:val="NoSpacing"/>
        <w:ind w:left="720"/>
      </w:pPr>
      <w:r>
        <w:t>***</w:t>
      </w:r>
    </w:p>
    <w:p w14:paraId="5EF0E1AD" w14:textId="77777777" w:rsidR="00550025" w:rsidRDefault="00550025" w:rsidP="00550025">
      <w:pPr>
        <w:pStyle w:val="NoSpacing"/>
        <w:ind w:left="720"/>
      </w:pPr>
    </w:p>
    <w:p w14:paraId="5A0E8DE0" w14:textId="77777777" w:rsidR="00550025" w:rsidRDefault="00550025" w:rsidP="00550025">
      <w:pPr>
        <w:pStyle w:val="NoSpacing"/>
        <w:ind w:left="720"/>
      </w:pPr>
      <w:r>
        <w:t xml:space="preserve">Defendants also retained Paul A. Werfel, MS, NR-P, a professional paramedic and Assistant Professor of Clinical Emergency Medicine, as an expert on the standard of care for EMTs…. Professor Werfel recounted the details leading to the incident involving plaintiff. He noted that upon arrival, [EMT] Golightly and Vazquez encountered </w:t>
      </w:r>
      <w:proofErr w:type="gramStart"/>
      <w:r>
        <w:t>plaintiff</w:t>
      </w:r>
      <w:proofErr w:type="gramEnd"/>
      <w:r>
        <w:t xml:space="preserve"> accompanied by police and in a highly intoxicated state. Citing plaintiff's deposition, he found plaintiff became agitated, unbuckled the stretcher's straps, began vaping, became more upset as Vazquez attempted to calm her down, and ‘stated to EMT Vazquez 'you don't give a f[***] about me, I am jumping out of this ambulance.’</w:t>
      </w:r>
    </w:p>
    <w:p w14:paraId="7B65B705" w14:textId="77777777" w:rsidR="00550025" w:rsidRDefault="00550025" w:rsidP="00550025">
      <w:pPr>
        <w:pStyle w:val="NoSpacing"/>
      </w:pPr>
    </w:p>
    <w:p w14:paraId="082B2332" w14:textId="77777777" w:rsidR="00550025" w:rsidRDefault="00550025" w:rsidP="00550025">
      <w:pPr>
        <w:pStyle w:val="NoSpacing"/>
      </w:pPr>
    </w:p>
    <w:p w14:paraId="79F1E9B0" w14:textId="77777777" w:rsidR="00550025" w:rsidRDefault="00550025" w:rsidP="00550025">
      <w:pPr>
        <w:pStyle w:val="NoSpacing"/>
        <w:ind w:left="720"/>
      </w:pPr>
      <w:r>
        <w:t>The expert opined defendants' conduct was ‘what one should expect from an ambulance crew and [</w:t>
      </w:r>
      <w:proofErr w:type="spellStart"/>
      <w:proofErr w:type="gramStart"/>
      <w:r>
        <w:t>wa</w:t>
      </w:r>
      <w:proofErr w:type="spellEnd"/>
      <w:r>
        <w:t>]s</w:t>
      </w:r>
      <w:proofErr w:type="gramEnd"/>
      <w:r>
        <w:t xml:space="preserve"> well within the standard of care.’ He concluded Vazquez and Golightly ‘were faced with an intoxicated, and uncooperative patient [who] ultimately became verbally and physically abusive during transport.’ He determined that both Vazquez and Golightly were adequately trained and conducted themselves within the standard of care for EMTs throughout their interaction with plaintiff. Further, he found ‘Vazquez responded emergently to the fact that [plaintiff] created a very real threat to herself by attempting to open the door to the ambulance and jump out while the truck was moving’ and he ‘did very well to try and de-escalate the situation.’ </w:t>
      </w:r>
    </w:p>
    <w:p w14:paraId="509EEB70" w14:textId="77777777" w:rsidR="00550025" w:rsidRDefault="00550025" w:rsidP="00550025">
      <w:pPr>
        <w:pStyle w:val="NoSpacing"/>
        <w:ind w:left="720"/>
      </w:pPr>
    </w:p>
    <w:p w14:paraId="7BBB141B" w14:textId="77777777" w:rsidR="00550025" w:rsidRDefault="00550025" w:rsidP="00550025">
      <w:pPr>
        <w:pStyle w:val="NoSpacing"/>
        <w:ind w:left="720"/>
        <w:rPr>
          <w:b/>
        </w:rPr>
      </w:pPr>
      <w:r>
        <w:t>***</w:t>
      </w:r>
    </w:p>
    <w:p w14:paraId="52FF49A4" w14:textId="77777777" w:rsidR="00550025" w:rsidRDefault="00550025" w:rsidP="00550025">
      <w:pPr>
        <w:pStyle w:val="NoSpacing"/>
        <w:rPr>
          <w:b/>
        </w:rPr>
      </w:pPr>
    </w:p>
    <w:p w14:paraId="26B8FFE8" w14:textId="77777777" w:rsidR="00550025" w:rsidRDefault="00550025" w:rsidP="00550025">
      <w:pPr>
        <w:pStyle w:val="NoSpacing"/>
        <w:ind w:left="720"/>
      </w:pPr>
      <w:r>
        <w:t>Plaintiff neither presented an expert report nor attempted to depose defendants' expert. Thus, based on the record before it, the [trial] court properly dismissed plaintiff's claims.”</w:t>
      </w:r>
    </w:p>
    <w:p w14:paraId="223E2D44" w14:textId="77777777" w:rsidR="00550025" w:rsidRDefault="00550025" w:rsidP="00550025">
      <w:pPr>
        <w:pStyle w:val="NoSpacing"/>
        <w:ind w:left="720"/>
      </w:pPr>
    </w:p>
    <w:p w14:paraId="465B5634" w14:textId="43E68073" w:rsidR="00550025" w:rsidRPr="0075792F" w:rsidRDefault="00550025" w:rsidP="00550025">
      <w:pPr>
        <w:pStyle w:val="NoSpacing"/>
        <w:rPr>
          <w:b/>
          <w:bCs/>
        </w:rPr>
      </w:pPr>
      <w:r>
        <w:rPr>
          <w:b/>
        </w:rPr>
        <w:t xml:space="preserve">Lesson learned: The EMS run report thoroughly documented efforts to prevent the drunk and belligerent patient from jumping out of a moving ambulance. </w:t>
      </w:r>
    </w:p>
    <w:p w14:paraId="3906F430" w14:textId="77777777" w:rsidR="00550025" w:rsidRPr="00F02C51" w:rsidRDefault="00550025" w:rsidP="00550025">
      <w:pPr>
        <w:spacing w:after="0"/>
        <w:rPr>
          <w:b/>
          <w:bCs/>
        </w:rPr>
      </w:pPr>
    </w:p>
    <w:p w14:paraId="5AD2B379" w14:textId="77777777" w:rsidR="00550025" w:rsidRDefault="00550025" w:rsidP="00550025">
      <w:pPr>
        <w:spacing w:after="0"/>
      </w:pPr>
    </w:p>
    <w:p w14:paraId="28720B74" w14:textId="77777777" w:rsidR="004612E3" w:rsidRDefault="004612E3" w:rsidP="00004498">
      <w:pPr>
        <w:rPr>
          <w:rFonts w:ascii="Arial Black" w:hAnsi="Arial Black"/>
          <w:b/>
          <w:bCs/>
          <w:sz w:val="24"/>
          <w:szCs w:val="24"/>
        </w:rPr>
      </w:pPr>
    </w:p>
    <w:p w14:paraId="15B15960" w14:textId="77777777" w:rsidR="004612E3" w:rsidRDefault="004612E3" w:rsidP="00004498">
      <w:pPr>
        <w:rPr>
          <w:rFonts w:ascii="Arial Black" w:hAnsi="Arial Black"/>
          <w:b/>
          <w:bCs/>
          <w:sz w:val="24"/>
          <w:szCs w:val="24"/>
        </w:rPr>
      </w:pPr>
    </w:p>
    <w:p w14:paraId="56C491E4" w14:textId="77777777" w:rsidR="004612E3" w:rsidRDefault="004612E3" w:rsidP="00004498">
      <w:pPr>
        <w:rPr>
          <w:rFonts w:ascii="Arial Black" w:hAnsi="Arial Black"/>
          <w:b/>
          <w:bCs/>
          <w:sz w:val="24"/>
          <w:szCs w:val="24"/>
        </w:rPr>
      </w:pPr>
    </w:p>
    <w:p w14:paraId="7777C148" w14:textId="4455E4D2" w:rsidR="00004498" w:rsidRPr="002E2CF4" w:rsidRDefault="00004498" w:rsidP="00004498">
      <w:pPr>
        <w:rPr>
          <w:rFonts w:ascii="Arial Black" w:hAnsi="Arial Black"/>
          <w:b/>
          <w:bCs/>
          <w:sz w:val="24"/>
          <w:szCs w:val="24"/>
        </w:rPr>
      </w:pPr>
      <w:r w:rsidRPr="002E2CF4">
        <w:rPr>
          <w:rFonts w:ascii="Arial Black" w:hAnsi="Arial Black"/>
          <w:b/>
          <w:bCs/>
          <w:sz w:val="24"/>
          <w:szCs w:val="24"/>
        </w:rPr>
        <w:t>13-22</w:t>
      </w:r>
      <w:r w:rsidR="00524647">
        <w:rPr>
          <w:rFonts w:ascii="Arial Black" w:hAnsi="Arial Black"/>
          <w:b/>
          <w:bCs/>
          <w:sz w:val="24"/>
          <w:szCs w:val="24"/>
        </w:rPr>
        <w:t>7</w:t>
      </w:r>
    </w:p>
    <w:p w14:paraId="5AEEA28F" w14:textId="3C114372" w:rsidR="00A96BBF" w:rsidRDefault="00A96BBF" w:rsidP="00A96BBF">
      <w:pPr>
        <w:pStyle w:val="NoSpacing"/>
        <w:rPr>
          <w:rFonts w:ascii="Arial Black" w:hAnsi="Arial Black"/>
          <w:bCs/>
          <w:sz w:val="28"/>
          <w:szCs w:val="28"/>
        </w:rPr>
      </w:pPr>
      <w:r>
        <w:rPr>
          <w:rFonts w:ascii="Arial Black" w:hAnsi="Arial Black"/>
          <w:sz w:val="28"/>
          <w:szCs w:val="28"/>
        </w:rPr>
        <w:t>A</w:t>
      </w:r>
      <w:r w:rsidR="00F95C6C">
        <w:rPr>
          <w:rFonts w:ascii="Arial Black" w:hAnsi="Arial Black"/>
          <w:sz w:val="28"/>
          <w:szCs w:val="28"/>
        </w:rPr>
        <w:t>Z</w:t>
      </w:r>
      <w:r>
        <w:rPr>
          <w:rFonts w:ascii="Arial Black" w:hAnsi="Arial Black"/>
          <w:sz w:val="28"/>
          <w:szCs w:val="28"/>
        </w:rPr>
        <w:t xml:space="preserve">: OVERDOSE – </w:t>
      </w:r>
      <w:r w:rsidR="008D3A9B">
        <w:rPr>
          <w:rFonts w:ascii="Arial Black" w:hAnsi="Arial Black"/>
          <w:sz w:val="28"/>
          <w:szCs w:val="28"/>
        </w:rPr>
        <w:t xml:space="preserve">PT </w:t>
      </w:r>
      <w:r>
        <w:rPr>
          <w:rFonts w:ascii="Arial Black" w:hAnsi="Arial Black"/>
          <w:sz w:val="28"/>
          <w:szCs w:val="28"/>
        </w:rPr>
        <w:t>CALL MEDICAL HELP – CAN’T PROSECUTE</w:t>
      </w:r>
    </w:p>
    <w:p w14:paraId="0FDF4036" w14:textId="77777777" w:rsidR="00A96BBF" w:rsidRDefault="00A96BBF" w:rsidP="00A96BBF">
      <w:pPr>
        <w:pStyle w:val="NoSpacing"/>
        <w:rPr>
          <w:bCs/>
        </w:rPr>
      </w:pPr>
    </w:p>
    <w:p w14:paraId="02AF1F8D" w14:textId="46D581CF" w:rsidR="00A96BBF" w:rsidRDefault="00A96BBF" w:rsidP="00A96BBF">
      <w:pPr>
        <w:pStyle w:val="NoSpacing"/>
        <w:rPr>
          <w:bCs/>
        </w:rPr>
      </w:pPr>
      <w:r>
        <w:t xml:space="preserve">On September 25, 2025, in </w:t>
      </w:r>
      <w:r w:rsidRPr="001470E9">
        <w:rPr>
          <w:u w:val="single"/>
        </w:rPr>
        <w:t>State of Arizona v. Corinthian Jerry Johnson</w:t>
      </w:r>
      <w:r>
        <w:t xml:space="preserve">, the </w:t>
      </w:r>
      <w:r w:rsidRPr="0069190C">
        <w:t>Court of Appeals of Arizona, First Division</w:t>
      </w:r>
      <w:r>
        <w:t xml:space="preserve"> held (3 to 0) that trial court properly dismissed possession and use of narcotic charges, since casino Security Guard called 911 when he observed the defendant passed out in his car.</w:t>
      </w:r>
      <w:r w:rsidR="00B9006C">
        <w:t xml:space="preserve"> </w:t>
      </w:r>
      <w:hyperlink r:id="rId2086" w:history="1">
        <w:r w:rsidR="00B9006C" w:rsidRPr="003870A5">
          <w:rPr>
            <w:rStyle w:val="Hyperlink"/>
          </w:rPr>
          <w:t>https://jpr.azcourts.gov/Portals/0/OpinionFiles/Div1/2025/1%20CA-CR%2024-0549%20Johnson.pdf</w:t>
        </w:r>
      </w:hyperlink>
      <w:r w:rsidR="00B9006C">
        <w:t xml:space="preserve"> </w:t>
      </w:r>
    </w:p>
    <w:p w14:paraId="135A2616" w14:textId="77777777" w:rsidR="00A96BBF" w:rsidRDefault="00A96BBF" w:rsidP="00A96BBF">
      <w:pPr>
        <w:pStyle w:val="NoSpacing"/>
        <w:rPr>
          <w:bCs/>
        </w:rPr>
      </w:pPr>
    </w:p>
    <w:p w14:paraId="0473E6E0" w14:textId="77777777" w:rsidR="00A96BBF" w:rsidRDefault="00A96BBF" w:rsidP="00A96BBF">
      <w:pPr>
        <w:pStyle w:val="NoSpacing"/>
      </w:pPr>
      <w:r w:rsidRPr="000E2BDC">
        <w:rPr>
          <w:b/>
        </w:rPr>
        <w:t>THE COURT HELD:</w:t>
      </w:r>
      <w:r>
        <w:rPr>
          <w:b/>
        </w:rPr>
        <w:t xml:space="preserve"> “</w:t>
      </w:r>
      <w:r w:rsidRPr="00686F6C">
        <w:t>In response to Johnson’s motion, the State insisted that A.R.S.</w:t>
      </w:r>
      <w:r>
        <w:t xml:space="preserve"> </w:t>
      </w:r>
      <w:r w:rsidRPr="00686F6C">
        <w:t>§ 13-3423(B) confers immunity only to defendants who are actively</w:t>
      </w:r>
      <w:r>
        <w:t xml:space="preserve"> </w:t>
      </w:r>
      <w:r w:rsidRPr="00686F6C">
        <w:t>overdosing at the time the evidence supporting their charges is discovered.</w:t>
      </w:r>
      <w:r>
        <w:t xml:space="preserve"> </w:t>
      </w:r>
      <w:r w:rsidRPr="00686F6C">
        <w:t xml:space="preserve">The State conceded that Johnson was </w:t>
      </w:r>
      <w:r>
        <w:t>o</w:t>
      </w:r>
      <w:r w:rsidRPr="00686F6C">
        <w:t>verdosing by the time he was treated</w:t>
      </w:r>
      <w:r>
        <w:t xml:space="preserve"> </w:t>
      </w:r>
      <w:r w:rsidRPr="00686F6C">
        <w:t>by the hospital, but it claimed that a question of fact still existed as to</w:t>
      </w:r>
      <w:r>
        <w:t xml:space="preserve"> </w:t>
      </w:r>
      <w:r w:rsidRPr="00686F6C">
        <w:t>whether Johnson was overdosing during the welfare check. The State</w:t>
      </w:r>
      <w:r>
        <w:t xml:space="preserve"> </w:t>
      </w:r>
      <w:r w:rsidRPr="00686F6C">
        <w:t>argued that dismissal would therefore be inappropriate without an</w:t>
      </w:r>
      <w:r>
        <w:t xml:space="preserve"> </w:t>
      </w:r>
      <w:r w:rsidRPr="00686F6C">
        <w:t>evidentiary hearing to determine the timing of Johnson’s overdose</w:t>
      </w:r>
      <w:r>
        <w:t>…. Here, undisputed facts established each element of A.R.S. §</w:t>
      </w:r>
    </w:p>
    <w:p w14:paraId="6D6CD16D" w14:textId="77777777" w:rsidR="00A96BBF" w:rsidRDefault="00A96BBF" w:rsidP="00A96BBF">
      <w:pPr>
        <w:pStyle w:val="NoSpacing"/>
      </w:pPr>
      <w:r>
        <w:t xml:space="preserve">13-3423(B). The police officer discovered Johnson’s drug paraphernalia due to the security guard’s request for a welfare check. The officer suspected that Johnson needed medical care for an overdose and sought medical care accordingly. And Johnson did experience an overdose and did need medical assistance, as his hospital treatment later confirmed.”  </w:t>
      </w:r>
      <w:hyperlink r:id="rId2087" w:history="1">
        <w:r w:rsidRPr="00313D33">
          <w:rPr>
            <w:rStyle w:val="Hyperlink"/>
          </w:rPr>
          <w:t>https://jpr.azcourts.gov/Portals/0/OpinionFiles/Div1/2025/1%20CA-CR%2024-0549%20Johnson.pdf</w:t>
        </w:r>
      </w:hyperlink>
      <w:r>
        <w:t xml:space="preserve"> </w:t>
      </w:r>
    </w:p>
    <w:p w14:paraId="02AB2954" w14:textId="77777777" w:rsidR="00A96BBF" w:rsidRDefault="00A96BBF" w:rsidP="00A96BBF">
      <w:pPr>
        <w:pStyle w:val="NoSpacing"/>
      </w:pPr>
    </w:p>
    <w:p w14:paraId="7B5D3030" w14:textId="77777777" w:rsidR="00A96BBF" w:rsidRDefault="00A96BBF" w:rsidP="00A96BBF">
      <w:pPr>
        <w:pStyle w:val="NoSpacing"/>
      </w:pPr>
      <w:r w:rsidRPr="00A044B1">
        <w:rPr>
          <w:b/>
        </w:rPr>
        <w:t>KEY FACTS</w:t>
      </w:r>
      <w:r>
        <w:t>:</w:t>
      </w:r>
    </w:p>
    <w:p w14:paraId="410E95E1" w14:textId="77777777" w:rsidR="00A96BBF" w:rsidRDefault="00A96BBF" w:rsidP="00A96BBF">
      <w:pPr>
        <w:pStyle w:val="NoSpacing"/>
      </w:pPr>
    </w:p>
    <w:p w14:paraId="6798ADA1" w14:textId="77777777" w:rsidR="00A96BBF" w:rsidRDefault="00A96BBF" w:rsidP="00A96BBF">
      <w:pPr>
        <w:pStyle w:val="NoSpacing"/>
        <w:ind w:left="720"/>
      </w:pPr>
      <w:r>
        <w:t>“In December 2022, a security guard was patrolling a casino’s parking garage at around 1:00 a.m. when he noticed Johnson ‘passed out’ in the front seat of a parked car with a glass pipe in his left hand and a lighter in his right hand. The guard requested a welfare check on Johnson. When a police officer arrived, an emergency medical technician (‘EMT’) from the casino advised him that Johnson was breathing but appeared to</w:t>
      </w:r>
    </w:p>
    <w:p w14:paraId="6749F1F9" w14:textId="77777777" w:rsidR="00A96BBF" w:rsidRDefault="00A96BBF" w:rsidP="00A96BBF">
      <w:pPr>
        <w:pStyle w:val="NoSpacing"/>
        <w:ind w:firstLine="720"/>
      </w:pPr>
      <w:proofErr w:type="gramStart"/>
      <w:r>
        <w:t>be</w:t>
      </w:r>
      <w:proofErr w:type="gramEnd"/>
      <w:r>
        <w:t xml:space="preserve"> asleep.</w:t>
      </w:r>
    </w:p>
    <w:p w14:paraId="1AD4BA4C" w14:textId="77777777" w:rsidR="00A96BBF" w:rsidRDefault="00A96BBF" w:rsidP="00A96BBF">
      <w:pPr>
        <w:pStyle w:val="NoSpacing"/>
        <w:ind w:firstLine="720"/>
      </w:pPr>
    </w:p>
    <w:p w14:paraId="6DFBAB1B" w14:textId="77777777" w:rsidR="00A96BBF" w:rsidRDefault="00A96BBF" w:rsidP="00A96BBF">
      <w:pPr>
        <w:pStyle w:val="NoSpacing"/>
        <w:ind w:left="720"/>
      </w:pPr>
      <w:r>
        <w:t>The officer opened the car’s unlocked passenger door and startled Johnson awake. As the officer helped Johnson step out of the car, he noticed Johnson ‘had very ridged [sic] muscle tone ([c]</w:t>
      </w:r>
      <w:proofErr w:type="spellStart"/>
      <w:r>
        <w:t>ommonly</w:t>
      </w:r>
      <w:proofErr w:type="spellEnd"/>
      <w:r>
        <w:t xml:space="preserve"> observed with </w:t>
      </w:r>
      <w:proofErr w:type="gramStart"/>
      <w:r>
        <w:t>persons</w:t>
      </w:r>
      <w:proofErr w:type="gramEnd"/>
      <w:r>
        <w:t xml:space="preserve"> that have used methamphetamine)’ and appeared to have trouble maintaining his balance.</w:t>
      </w:r>
    </w:p>
    <w:p w14:paraId="6AE01F2C" w14:textId="77777777" w:rsidR="00A96BBF" w:rsidRDefault="00A96BBF" w:rsidP="00A96BBF">
      <w:pPr>
        <w:pStyle w:val="NoSpacing"/>
        <w:ind w:left="720"/>
      </w:pPr>
    </w:p>
    <w:p w14:paraId="3318B845" w14:textId="77777777" w:rsidR="00A96BBF" w:rsidRDefault="00A96BBF" w:rsidP="00A96BBF">
      <w:pPr>
        <w:pStyle w:val="NoSpacing"/>
        <w:ind w:left="720"/>
      </w:pPr>
      <w:r>
        <w:t>The officer arrested Johnson and searched his pockets, finding a lighter, box cutter, glass tube, and piece of foil. The officer then placed Johnson in his patrol car and asked Johnson his name, but Johnson refused to answer and appeared to be incoherent. Suspecting Johnson was overdosing on fentanyl, the officer contacted the Peoria Fire Department and asked the EMT to continue monitoring Johnson’s medical condition. In</w:t>
      </w:r>
    </w:p>
    <w:p w14:paraId="56620E73" w14:textId="77777777" w:rsidR="00A96BBF" w:rsidRDefault="00A96BBF" w:rsidP="00A96BBF">
      <w:pPr>
        <w:pStyle w:val="NoSpacing"/>
        <w:ind w:left="720"/>
      </w:pPr>
      <w:r>
        <w:t>the meantime, the officer searched Johnson’s vehicle and found a pouch containing another glass pipe, several blue pills, several empty plastic baggies with residue, and pieces of foil. In the foil pieces, he found more blue pills and a white crystalline substance.”</w:t>
      </w:r>
    </w:p>
    <w:p w14:paraId="0AD13463" w14:textId="77777777" w:rsidR="00A96BBF" w:rsidRDefault="00A96BBF" w:rsidP="00A96BBF">
      <w:pPr>
        <w:pStyle w:val="NoSpacing"/>
        <w:ind w:left="720"/>
      </w:pPr>
    </w:p>
    <w:p w14:paraId="16D36EF1" w14:textId="77777777" w:rsidR="00A96BBF" w:rsidRDefault="00A96BBF" w:rsidP="00A96BBF">
      <w:pPr>
        <w:pStyle w:val="NoSpacing"/>
        <w:rPr>
          <w:b/>
          <w:bCs/>
        </w:rPr>
      </w:pPr>
      <w:r>
        <w:rPr>
          <w:b/>
        </w:rPr>
        <w:t>Legal lesson learned:  Many states have enacted statutes to encourage overdose victims and others to call 911.</w:t>
      </w:r>
    </w:p>
    <w:p w14:paraId="4853D723" w14:textId="77777777" w:rsidR="00A96BBF" w:rsidRDefault="00A96BBF" w:rsidP="00A96BBF">
      <w:pPr>
        <w:pStyle w:val="NoSpacing"/>
        <w:rPr>
          <w:b/>
          <w:bCs/>
        </w:rPr>
      </w:pPr>
    </w:p>
    <w:p w14:paraId="53712D69" w14:textId="77777777" w:rsidR="00A96BBF" w:rsidRPr="00766927" w:rsidRDefault="00A96BBF" w:rsidP="00A96BBF">
      <w:pPr>
        <w:pStyle w:val="NoSpacing"/>
      </w:pPr>
      <w:r>
        <w:rPr>
          <w:b/>
        </w:rPr>
        <w:tab/>
      </w:r>
      <w:r w:rsidRPr="00766927">
        <w:t>Note:  Arizona Revised Statutes</w:t>
      </w:r>
      <w:r>
        <w:t xml:space="preserve"> </w:t>
      </w:r>
      <w:r w:rsidRPr="00766927">
        <w:t>(“A.R.S.”) section 13-3423(B), states:</w:t>
      </w:r>
    </w:p>
    <w:p w14:paraId="37E7EADD" w14:textId="77777777" w:rsidR="00A96BBF" w:rsidRPr="00766927" w:rsidRDefault="00A96BBF" w:rsidP="00A96BBF">
      <w:pPr>
        <w:pStyle w:val="NoSpacing"/>
        <w:ind w:left="720"/>
      </w:pPr>
      <w:r>
        <w:t>“</w:t>
      </w:r>
      <w:r w:rsidRPr="00766927">
        <w:t>A person who experiences a drug-related overdose,</w:t>
      </w:r>
      <w:r>
        <w:t xml:space="preserve"> </w:t>
      </w:r>
      <w:r w:rsidRPr="00766927">
        <w:t xml:space="preserve">who </w:t>
      </w:r>
      <w:proofErr w:type="gramStart"/>
      <w:r w:rsidRPr="00766927">
        <w:t>is in need of</w:t>
      </w:r>
      <w:proofErr w:type="gramEnd"/>
      <w:r w:rsidRPr="00766927">
        <w:t xml:space="preserve"> medical assistance and for whom medical</w:t>
      </w:r>
      <w:r>
        <w:t xml:space="preserve"> </w:t>
      </w:r>
      <w:r w:rsidRPr="00766927">
        <w:t>assistance is sought . . . may not be charged or prosecuted for</w:t>
      </w:r>
    </w:p>
    <w:p w14:paraId="5729F255" w14:textId="77777777" w:rsidR="00A96BBF" w:rsidRPr="00766927" w:rsidRDefault="00A96BBF" w:rsidP="00A96BBF">
      <w:pPr>
        <w:pStyle w:val="NoSpacing"/>
        <w:ind w:left="720"/>
      </w:pPr>
      <w:r w:rsidRPr="00766927">
        <w:lastRenderedPageBreak/>
        <w:t>the possession or use of a controlled substance or drug</w:t>
      </w:r>
      <w:r>
        <w:t xml:space="preserve"> </w:t>
      </w:r>
      <w:r w:rsidRPr="00766927">
        <w:t xml:space="preserve">paraphernalia if the evidence for the violation was gained </w:t>
      </w:r>
      <w:proofErr w:type="gramStart"/>
      <w:r w:rsidRPr="00766927">
        <w:t>as</w:t>
      </w:r>
      <w:r>
        <w:t xml:space="preserve"> </w:t>
      </w:r>
      <w:r w:rsidRPr="00766927">
        <w:t>a result of</w:t>
      </w:r>
      <w:proofErr w:type="gramEnd"/>
      <w:r w:rsidRPr="00766927">
        <w:t xml:space="preserve"> the person’s overdose and need for medical</w:t>
      </w:r>
    </w:p>
    <w:p w14:paraId="7F427CBE" w14:textId="77777777" w:rsidR="00A96BBF" w:rsidRPr="00766927" w:rsidRDefault="00A96BBF" w:rsidP="00A96BBF">
      <w:pPr>
        <w:pStyle w:val="NoSpacing"/>
        <w:ind w:firstLine="720"/>
      </w:pPr>
      <w:r w:rsidRPr="00766927">
        <w:t>assistance.</w:t>
      </w:r>
      <w:r>
        <w:t>”</w:t>
      </w:r>
    </w:p>
    <w:p w14:paraId="34B88B5F" w14:textId="77777777" w:rsidR="00A96BBF" w:rsidRDefault="00A96BBF" w:rsidP="00A96BBF">
      <w:pPr>
        <w:pStyle w:val="NoSpacing"/>
      </w:pPr>
    </w:p>
    <w:p w14:paraId="5C73A0DA" w14:textId="77777777" w:rsidR="00A96BBF" w:rsidRDefault="00A96BBF" w:rsidP="002B1283">
      <w:pPr>
        <w:rPr>
          <w:rFonts w:ascii="Arial Black" w:hAnsi="Arial Black"/>
          <w:b/>
          <w:bCs/>
          <w:sz w:val="28"/>
          <w:szCs w:val="28"/>
        </w:rPr>
      </w:pPr>
    </w:p>
    <w:p w14:paraId="33BDB765" w14:textId="380FD4CB" w:rsidR="00004498" w:rsidRPr="002E2CF4" w:rsidRDefault="00004498" w:rsidP="00004498">
      <w:pPr>
        <w:rPr>
          <w:rFonts w:ascii="Arial Black" w:hAnsi="Arial Black"/>
          <w:b/>
          <w:bCs/>
          <w:sz w:val="24"/>
          <w:szCs w:val="24"/>
        </w:rPr>
      </w:pPr>
      <w:r w:rsidRPr="002E2CF4">
        <w:rPr>
          <w:rFonts w:ascii="Arial Black" w:hAnsi="Arial Black"/>
          <w:b/>
          <w:bCs/>
          <w:sz w:val="24"/>
          <w:szCs w:val="24"/>
        </w:rPr>
        <w:t>13-22</w:t>
      </w:r>
      <w:r w:rsidR="00524647">
        <w:rPr>
          <w:rFonts w:ascii="Arial Black" w:hAnsi="Arial Black"/>
          <w:b/>
          <w:bCs/>
          <w:sz w:val="24"/>
          <w:szCs w:val="24"/>
        </w:rPr>
        <w:t>6</w:t>
      </w:r>
    </w:p>
    <w:p w14:paraId="0C90D742" w14:textId="536F18A5" w:rsidR="00177852" w:rsidRDefault="00177852" w:rsidP="00177852">
      <w:pPr>
        <w:pStyle w:val="NoSpacing"/>
        <w:rPr>
          <w:rFonts w:ascii="Arial Black" w:hAnsi="Arial Black"/>
          <w:bCs/>
          <w:sz w:val="28"/>
          <w:szCs w:val="28"/>
        </w:rPr>
      </w:pPr>
      <w:r>
        <w:rPr>
          <w:rFonts w:ascii="Arial Black" w:hAnsi="Arial Black"/>
          <w:sz w:val="28"/>
          <w:szCs w:val="28"/>
        </w:rPr>
        <w:t>PA: PD PAT-DOWN</w:t>
      </w:r>
      <w:r w:rsidR="0074334C">
        <w:rPr>
          <w:rFonts w:ascii="Arial Black" w:hAnsi="Arial Black"/>
          <w:sz w:val="28"/>
          <w:szCs w:val="28"/>
        </w:rPr>
        <w:t xml:space="preserve"> UNLAWFUL </w:t>
      </w:r>
      <w:r>
        <w:rPr>
          <w:rFonts w:ascii="Arial Black" w:hAnsi="Arial Black"/>
          <w:sz w:val="28"/>
          <w:szCs w:val="28"/>
        </w:rPr>
        <w:t xml:space="preserve">– PRIOR EMS </w:t>
      </w:r>
      <w:r w:rsidR="00BE5B68">
        <w:rPr>
          <w:rFonts w:ascii="Arial Black" w:hAnsi="Arial Black"/>
          <w:sz w:val="28"/>
          <w:szCs w:val="28"/>
        </w:rPr>
        <w:t xml:space="preserve">PT </w:t>
      </w:r>
      <w:r>
        <w:rPr>
          <w:rFonts w:ascii="Arial Black" w:hAnsi="Arial Black"/>
          <w:sz w:val="28"/>
          <w:szCs w:val="28"/>
        </w:rPr>
        <w:t xml:space="preserve">TRANS - DRUGS </w:t>
      </w:r>
    </w:p>
    <w:p w14:paraId="2B9EB72D" w14:textId="77777777" w:rsidR="00177852" w:rsidRDefault="00177852" w:rsidP="00177852">
      <w:pPr>
        <w:pStyle w:val="NoSpacing"/>
      </w:pPr>
    </w:p>
    <w:p w14:paraId="3D7CDB88" w14:textId="77777777" w:rsidR="0060697B" w:rsidRDefault="00177852" w:rsidP="0060697B">
      <w:pPr>
        <w:pStyle w:val="NoSpacing"/>
      </w:pPr>
      <w:r>
        <w:t xml:space="preserve">On September 19, 2025, in </w:t>
      </w:r>
      <w:r w:rsidRPr="0053267A">
        <w:rPr>
          <w:u w:val="single"/>
        </w:rPr>
        <w:t>Commonwealth of Pennsylvania v. Andre N. Fulton</w:t>
      </w:r>
      <w:r>
        <w:t xml:space="preserve">, the Superior Court of Pennsylvania held (3 to 0) that trial court properly granted defense motion to suppress a straw found in patient’s pocket during pat-down, and </w:t>
      </w:r>
      <w:r w:rsidRPr="006448AB">
        <w:t xml:space="preserve">narcotics found inside the </w:t>
      </w:r>
      <w:r>
        <w:t xml:space="preserve">black </w:t>
      </w:r>
      <w:r w:rsidRPr="006448AB">
        <w:t>plastic bag</w:t>
      </w:r>
      <w:r>
        <w:t xml:space="preserve"> in the patient’s vehicle.  Patient at PA Turnpike restaurant </w:t>
      </w:r>
      <w:proofErr w:type="gramStart"/>
      <w:r>
        <w:t>not</w:t>
      </w:r>
      <w:proofErr w:type="gramEnd"/>
      <w:r>
        <w:t xml:space="preserve"> feeling well; he consented to Troopers looking for his keys and cell phone in his car before EMS transport to hospital.  </w:t>
      </w:r>
      <w:hyperlink r:id="rId2088" w:history="1">
        <w:r w:rsidR="0060697B" w:rsidRPr="000F3B38">
          <w:rPr>
            <w:rStyle w:val="Hyperlink"/>
          </w:rPr>
          <w:t>https://www.pacourts.us/assets/opinions/Superior/out/J-S30019-25o%20-%20106515413327511102.pdf?cb=1</w:t>
        </w:r>
      </w:hyperlink>
      <w:r w:rsidR="0060697B">
        <w:t xml:space="preserve"> </w:t>
      </w:r>
    </w:p>
    <w:p w14:paraId="02E5F5AB" w14:textId="79FEC153" w:rsidR="00177852" w:rsidRDefault="00177852" w:rsidP="00177852">
      <w:pPr>
        <w:pStyle w:val="NoSpacing"/>
      </w:pPr>
    </w:p>
    <w:p w14:paraId="4B0E5D10" w14:textId="77777777" w:rsidR="00177852" w:rsidRDefault="00177852" w:rsidP="00177852">
      <w:pPr>
        <w:pStyle w:val="NoSpacing"/>
      </w:pPr>
    </w:p>
    <w:p w14:paraId="011514A6" w14:textId="77777777" w:rsidR="00177852" w:rsidRDefault="00177852" w:rsidP="00177852">
      <w:pPr>
        <w:pStyle w:val="NoSpacing"/>
      </w:pPr>
      <w:r w:rsidRPr="00913B5B">
        <w:rPr>
          <w:b/>
        </w:rPr>
        <w:t>THE COURT HELD</w:t>
      </w:r>
      <w:r>
        <w:t>: “The Commonwealth argues the suppression court erred by finding police unlawfully (1) performed a pat-down search of Appellee’s person, where he was not under arrest and police had no suspicion he was armed or dangerous; (2) exceeded the scope of Appellee’s consent, when conducting a warrantless search of Appellee’s vehicle for certain items that Appellee asked police to retrieve; and (3) seized contraband from an opaque plastic bag in Appellee’s vehicle that police discovered during the search. After careful review, we affirm.</w:t>
      </w:r>
    </w:p>
    <w:p w14:paraId="20C5C2A7" w14:textId="77777777" w:rsidR="00177852" w:rsidRDefault="00177852" w:rsidP="00177852">
      <w:pPr>
        <w:pStyle w:val="NoSpacing"/>
      </w:pPr>
    </w:p>
    <w:p w14:paraId="5DC949CC" w14:textId="77777777" w:rsidR="00177852" w:rsidRDefault="00177852" w:rsidP="00177852">
      <w:pPr>
        <w:pStyle w:val="NoSpacing"/>
      </w:pPr>
      <w:r>
        <w:t>***</w:t>
      </w:r>
    </w:p>
    <w:p w14:paraId="0886C257" w14:textId="77777777" w:rsidR="00D553CE" w:rsidRDefault="00177852" w:rsidP="00177852">
      <w:pPr>
        <w:pStyle w:val="NoSpacing"/>
      </w:pPr>
      <w:r>
        <w:t xml:space="preserve">ln this case, there was no reasonable belief that [Appellee] was armed and dangerous. Thus, the pat-down was unlawful. Without probable cause to arrest, or without reasonable suspicion that [Appellee] had weapons on him, the pat-down was illegal and unconstitutional[; accordingly,] the item seized, namely the straw, was properly suppressed. Suppression Court Opinion, 4/1/25, at 16-17….  The suppression court’s foregoing analysis is supported by the record and the law, and we agree with its </w:t>
      </w:r>
      <w:proofErr w:type="gramStart"/>
      <w:r>
        <w:t>determination.”</w:t>
      </w:r>
      <w:proofErr w:type="gramEnd"/>
      <w:r>
        <w:t xml:space="preserve"> </w:t>
      </w:r>
    </w:p>
    <w:p w14:paraId="241F9584" w14:textId="77777777" w:rsidR="00177852" w:rsidRDefault="00177852" w:rsidP="00177852">
      <w:pPr>
        <w:pStyle w:val="NoSpacing"/>
      </w:pPr>
    </w:p>
    <w:p w14:paraId="6AB7A112" w14:textId="77777777" w:rsidR="00177852" w:rsidRDefault="00177852" w:rsidP="00177852">
      <w:pPr>
        <w:pStyle w:val="NoSpacing"/>
      </w:pPr>
      <w:r w:rsidRPr="00913B5B">
        <w:rPr>
          <w:b/>
        </w:rPr>
        <w:t>KEY FACTS</w:t>
      </w:r>
      <w:r>
        <w:t xml:space="preserve">: </w:t>
      </w:r>
    </w:p>
    <w:p w14:paraId="21AB319E" w14:textId="77777777" w:rsidR="00177852" w:rsidRDefault="00177852" w:rsidP="00177852">
      <w:pPr>
        <w:pStyle w:val="NoSpacing"/>
      </w:pPr>
    </w:p>
    <w:p w14:paraId="3F9B3A76" w14:textId="77777777" w:rsidR="00177852" w:rsidRDefault="00177852" w:rsidP="00177852">
      <w:pPr>
        <w:pStyle w:val="NoSpacing"/>
        <w:ind w:firstLine="720"/>
      </w:pPr>
      <w:r>
        <w:t>“The suppression court summarized the evidence presented at Appellee’s</w:t>
      </w:r>
    </w:p>
    <w:p w14:paraId="411EA652" w14:textId="77777777" w:rsidR="00177852" w:rsidRDefault="00177852" w:rsidP="00177852">
      <w:pPr>
        <w:pStyle w:val="NoSpacing"/>
        <w:ind w:firstLine="720"/>
      </w:pPr>
      <w:r>
        <w:t>suppression hearing in its order granting suppression:</w:t>
      </w:r>
    </w:p>
    <w:p w14:paraId="4FDF6F61" w14:textId="77777777" w:rsidR="00177852" w:rsidRDefault="00177852" w:rsidP="00177852">
      <w:pPr>
        <w:pStyle w:val="NoSpacing"/>
      </w:pPr>
    </w:p>
    <w:p w14:paraId="49C0C30A" w14:textId="77777777" w:rsidR="00177852" w:rsidRDefault="00177852" w:rsidP="00177852">
      <w:pPr>
        <w:pStyle w:val="NoSpacing"/>
        <w:ind w:left="720"/>
      </w:pPr>
      <w:r>
        <w:t xml:space="preserve">On March 16, 2023, at 12:45 a.m., [Pennsylvania State Police] Trooper Adam Shutter [(Trooper Shutter)] and Trooper Curtis Matthews [(Trooper Matthews) (collectively, ‘the Troopers’)] received a report of a male having a medical emergency at the Peter J. Camiel Service Plaza, [a] Pennsylvania Turnpike rest area [(the Plaza). N.T. (suppression hearing), 2/10/25, at 6, 21]. [Appellee] was seated at a table inside the Plaza. [Id. at 6-7, 22.] Trooper Shutter testified at [the suppression hearing] … that [Appellee] was sweaty and said he had taken an ecstasy pill earlier in </w:t>
      </w:r>
      <w:proofErr w:type="gramStart"/>
      <w:r>
        <w:t>Philadelphia, and</w:t>
      </w:r>
      <w:proofErr w:type="gramEnd"/>
      <w:r>
        <w:t xml:space="preserve"> was not feeling well. [Id. at 22; see also id. at 8 (Trooper Matthews’s consistent testimony).] [Appellee] requested emergency medical [services</w:t>
      </w:r>
      <w:proofErr w:type="gramStart"/>
      <w:r>
        <w:t>] (‘</w:t>
      </w:r>
      <w:proofErr w:type="gramEnd"/>
      <w:r>
        <w:t xml:space="preserve">EMS’). [Id. at 8, 22.] EMS [personnel] arrived and determined that [Appellee] needed to be transported to Reading Hospital for treatment. [Id. at 8, 24.] Trooper Shutter testified that he [performed] a </w:t>
      </w:r>
      <w:proofErr w:type="spellStart"/>
      <w:r>
        <w:t>‘pat</w:t>
      </w:r>
      <w:proofErr w:type="spellEnd"/>
      <w:r>
        <w:t xml:space="preserve"> down’ of [Appellee’s] person to ensure he had no weapons before he got into the ambulance. [Id. at 24-25.]</w:t>
      </w:r>
    </w:p>
    <w:p w14:paraId="03073891" w14:textId="77777777" w:rsidR="00177852" w:rsidRDefault="00177852" w:rsidP="00177852">
      <w:pPr>
        <w:pStyle w:val="NoSpacing"/>
        <w:ind w:left="720"/>
      </w:pPr>
    </w:p>
    <w:p w14:paraId="4711D5A9" w14:textId="6AE85825" w:rsidR="00177852" w:rsidRDefault="00177852" w:rsidP="00177852">
      <w:pPr>
        <w:pStyle w:val="NoSpacing"/>
        <w:ind w:left="720"/>
      </w:pPr>
      <w:r>
        <w:t xml:space="preserve">Both Trooper Matthews and Trooper Shutter testified that [Appellee] stated he did not have his cell phone and keys [to his </w:t>
      </w:r>
      <w:proofErr w:type="gramStart"/>
      <w:r>
        <w:t>vehicle (‘keys’</w:t>
      </w:r>
      <w:proofErr w:type="gramEnd"/>
      <w:r>
        <w:t xml:space="preserve"> or ‘key’)] with him in the Plaza. [Id. at 10 (Trooper Matthews confirming that Appellee was ‘the first person to bring up his cell phone and his keys.’); id. at 26 (Trooper Shutter’s consistent testimony).] [Appellee] requested that [the Troopers] enter his vehicle to locate the cell phone and keys. [See id. at 11, 26-27.]2 [The Troopers walked to Appellee’s car, discovered it was unlocked, and opened the driver’s side door. Id. at 29.] [Trooper Matthews immediately] found [Appellee’s] cell phone on the [driver’s seat] floor. [Id.] [The </w:t>
      </w:r>
      <w:r>
        <w:lastRenderedPageBreak/>
        <w:t>Troopers continued] search[</w:t>
      </w:r>
      <w:proofErr w:type="spellStart"/>
      <w:r>
        <w:t>ing</w:t>
      </w:r>
      <w:proofErr w:type="spellEnd"/>
      <w:r>
        <w:t xml:space="preserve">] the vehicle for [Appellee’s] keys and found a [black] plastic [grocery] bag … on the rear floor. Id. at 30.]3 The contents of the bag were not visible. [Id. at 44.]4 Trooper Shutter [immediately] opened the bag and found white powder in the bag. Id. at 32. Trooper Shutter found the keys to [Appellee’s] vehicle underneath an ashtray in the center console. [Id.] The [white powder was] seized and </w:t>
      </w:r>
      <w:proofErr w:type="gramStart"/>
      <w:r>
        <w:t>entered into</w:t>
      </w:r>
      <w:proofErr w:type="gramEnd"/>
      <w:r>
        <w:t xml:space="preserve"> evidence. [Id. at 34.] [Appellee’s] vehicle was towed and </w:t>
      </w:r>
      <w:proofErr w:type="gramStart"/>
      <w:r>
        <w:t>entered into</w:t>
      </w:r>
      <w:proofErr w:type="gramEnd"/>
      <w:r>
        <w:t xml:space="preserve"> evidence. [Id. at 35.] On March 17, 2023, police obtained a search warrant to search [Appellee’s] vehicle. [Id. at 35-36.] The seized [white powder was subsequently] tested and identified as heroin,</w:t>
      </w:r>
      <w:r w:rsidR="000A35E0">
        <w:t xml:space="preserve"> </w:t>
      </w:r>
      <w:r>
        <w:t>fentanyl and xylazine.”</w:t>
      </w:r>
    </w:p>
    <w:p w14:paraId="123E9D13" w14:textId="77777777" w:rsidR="00177852" w:rsidRDefault="00177852" w:rsidP="00177852">
      <w:pPr>
        <w:pStyle w:val="NoSpacing"/>
      </w:pPr>
    </w:p>
    <w:p w14:paraId="071CA2DE" w14:textId="77777777" w:rsidR="00177852" w:rsidRDefault="00177852" w:rsidP="00177852">
      <w:pPr>
        <w:pStyle w:val="NoSpacing"/>
        <w:rPr>
          <w:b/>
          <w:bCs/>
        </w:rPr>
      </w:pPr>
      <w:r>
        <w:rPr>
          <w:b/>
        </w:rPr>
        <w:t xml:space="preserve">Legal lesson learned:  Pat-down by police prior to EMS transport is an excellent safety practice; PD and EMS should consider having a written protocol.  </w:t>
      </w:r>
    </w:p>
    <w:p w14:paraId="70A0E4A1" w14:textId="77777777" w:rsidR="00177852" w:rsidRDefault="00177852" w:rsidP="00177852">
      <w:pPr>
        <w:pStyle w:val="NoSpacing"/>
        <w:rPr>
          <w:b/>
          <w:bCs/>
        </w:rPr>
      </w:pPr>
    </w:p>
    <w:p w14:paraId="676FE75A" w14:textId="77777777" w:rsidR="00177852" w:rsidRDefault="00177852" w:rsidP="00177852">
      <w:pPr>
        <w:pStyle w:val="NoSpacing"/>
      </w:pPr>
      <w:r>
        <w:tab/>
        <w:t>Note: Pat downs can save EMS lives.</w:t>
      </w:r>
    </w:p>
    <w:p w14:paraId="4B0B5311" w14:textId="77777777" w:rsidR="00177852" w:rsidRDefault="00177852" w:rsidP="00177852">
      <w:pPr>
        <w:pStyle w:val="NoSpacing"/>
        <w:ind w:firstLine="720"/>
      </w:pPr>
      <w:r>
        <w:t>See Commonwealth of Massachusetts v. Raymond J. Verrier (September 8, 2025):</w:t>
      </w:r>
    </w:p>
    <w:p w14:paraId="0C7E982F" w14:textId="77777777" w:rsidR="00177852" w:rsidRPr="00D45DDD" w:rsidRDefault="00177852" w:rsidP="00177852">
      <w:pPr>
        <w:pStyle w:val="NoSpacing"/>
        <w:ind w:left="720"/>
      </w:pPr>
      <w:r>
        <w:t>Mental patient.  “</w:t>
      </w:r>
      <w:r w:rsidRPr="00D45DDD">
        <w:t>It is undisputed that before placing the defendant in an</w:t>
      </w:r>
      <w:r>
        <w:t xml:space="preserve"> </w:t>
      </w:r>
      <w:r w:rsidRPr="00D45DDD">
        <w:t>ambulance, Chelsea police officer Timothy McCarthy pat frisked</w:t>
      </w:r>
      <w:r>
        <w:t xml:space="preserve"> </w:t>
      </w:r>
      <w:r w:rsidRPr="00D45DDD">
        <w:t>the defendant, finding a loaded firearm. Officer McCarthy then</w:t>
      </w:r>
      <w:r>
        <w:t xml:space="preserve"> </w:t>
      </w:r>
      <w:r w:rsidRPr="00D45DDD">
        <w:t>placed the defendant under arrest and searched him incident to</w:t>
      </w:r>
      <w:r>
        <w:t xml:space="preserve"> </w:t>
      </w:r>
      <w:r w:rsidRPr="00D45DDD">
        <w:t>that arrest, finding drugs on his person.</w:t>
      </w:r>
      <w:r>
        <w:t xml:space="preserve">”  </w:t>
      </w:r>
      <w:hyperlink r:id="rId2089" w:history="1">
        <w:r w:rsidRPr="00FF39E5">
          <w:rPr>
            <w:rStyle w:val="Hyperlink"/>
          </w:rPr>
          <w:t>https://www.mass.gov/doc/commonwealth-v-verrier-ac-g24p446/download</w:t>
        </w:r>
      </w:hyperlink>
      <w:r>
        <w:t xml:space="preserve"> </w:t>
      </w:r>
    </w:p>
    <w:p w14:paraId="4D6DE902" w14:textId="77777777" w:rsidR="00177852" w:rsidRDefault="00177852" w:rsidP="00542851">
      <w:pPr>
        <w:rPr>
          <w:rFonts w:ascii="Times New Roman" w:hAnsi="Times New Roman"/>
          <w:b/>
          <w:bCs/>
          <w:sz w:val="24"/>
          <w:szCs w:val="24"/>
        </w:rPr>
      </w:pPr>
    </w:p>
    <w:p w14:paraId="30AE3843" w14:textId="3FF6BCFF" w:rsidR="00004498" w:rsidRPr="002E2CF4" w:rsidRDefault="00004498" w:rsidP="00004498">
      <w:pPr>
        <w:rPr>
          <w:rFonts w:ascii="Arial Black" w:hAnsi="Arial Black"/>
          <w:b/>
          <w:bCs/>
          <w:sz w:val="24"/>
          <w:szCs w:val="24"/>
        </w:rPr>
      </w:pPr>
      <w:r w:rsidRPr="002E2CF4">
        <w:rPr>
          <w:rFonts w:ascii="Arial Black" w:hAnsi="Arial Black"/>
          <w:b/>
          <w:bCs/>
          <w:sz w:val="24"/>
          <w:szCs w:val="24"/>
        </w:rPr>
        <w:t>13-22</w:t>
      </w:r>
      <w:r w:rsidR="00524647">
        <w:rPr>
          <w:rFonts w:ascii="Arial Black" w:hAnsi="Arial Black"/>
          <w:b/>
          <w:bCs/>
          <w:sz w:val="24"/>
          <w:szCs w:val="24"/>
        </w:rPr>
        <w:t>5</w:t>
      </w:r>
    </w:p>
    <w:p w14:paraId="4C4AF662" w14:textId="4A92C62D" w:rsidR="00E930D2" w:rsidRDefault="00E930D2" w:rsidP="00E930D2">
      <w:pPr>
        <w:pStyle w:val="NoSpacing"/>
        <w:rPr>
          <w:rFonts w:ascii="Arial Black" w:hAnsi="Arial Black"/>
          <w:sz w:val="28"/>
          <w:szCs w:val="28"/>
        </w:rPr>
      </w:pPr>
      <w:r>
        <w:rPr>
          <w:rFonts w:ascii="Arial Black" w:hAnsi="Arial Black"/>
          <w:sz w:val="28"/>
          <w:szCs w:val="28"/>
        </w:rPr>
        <w:t xml:space="preserve">WA: COVID19 – RELIGIOUS ACCOMMODATION </w:t>
      </w:r>
      <w:r w:rsidR="00EC0577">
        <w:rPr>
          <w:rFonts w:ascii="Arial Black" w:hAnsi="Arial Black"/>
          <w:sz w:val="28"/>
          <w:szCs w:val="28"/>
        </w:rPr>
        <w:t>NOT REASONABLE</w:t>
      </w:r>
    </w:p>
    <w:p w14:paraId="72DAE56A" w14:textId="77777777" w:rsidR="00E930D2" w:rsidRDefault="00E930D2" w:rsidP="00E930D2">
      <w:pPr>
        <w:pStyle w:val="NoSpacing"/>
      </w:pPr>
    </w:p>
    <w:p w14:paraId="5EB0D1D5" w14:textId="77777777" w:rsidR="005D334E" w:rsidRDefault="00E930D2" w:rsidP="005D334E">
      <w:pPr>
        <w:pStyle w:val="NoSpacing"/>
      </w:pPr>
      <w:r>
        <w:t xml:space="preserve">On September 2, 2025, in </w:t>
      </w:r>
      <w:r w:rsidRPr="00D15CD1">
        <w:rPr>
          <w:u w:val="single"/>
        </w:rPr>
        <w:t>David Peterso, et al. v. Snohomish Regional Fire and Rescue; Kevin O’Brien, Chief,</w:t>
      </w:r>
      <w:r>
        <w:t xml:space="preserve"> the United States Court of Appeals for 9</w:t>
      </w:r>
      <w:r w:rsidRPr="00D15CD1">
        <w:rPr>
          <w:vertAlign w:val="superscript"/>
        </w:rPr>
        <w:t>th</w:t>
      </w:r>
      <w:r>
        <w:t xml:space="preserve"> Circuit (San Francisco) </w:t>
      </w:r>
      <w:r w:rsidRPr="003C5A0D">
        <w:t>affirmed the district court’s summary</w:t>
      </w:r>
      <w:r>
        <w:t xml:space="preserve"> </w:t>
      </w:r>
      <w:r w:rsidRPr="003C5A0D">
        <w:t>judgment in favor of Snohomish Regional Fire and Rescue</w:t>
      </w:r>
      <w:r>
        <w:t xml:space="preserve"> </w:t>
      </w:r>
      <w:r w:rsidRPr="003C5A0D">
        <w:t>(SRFR)</w:t>
      </w:r>
      <w:r>
        <w:t xml:space="preserve">.  The FD could not “reasonably accommodate” the 8-plaintiff firefighter’s proposed religious accommodation (no vaccination, frequent testing) “without undue hardship on the conduct of” its business. 42 U.S.C. § 2000e(j).  </w:t>
      </w:r>
      <w:hyperlink r:id="rId2090" w:history="1">
        <w:r w:rsidR="005D334E" w:rsidRPr="00FE798F">
          <w:rPr>
            <w:rStyle w:val="Hyperlink"/>
          </w:rPr>
          <w:t>https://cdn.ca9.uscourts.gov/datastore/opinions/2025/09/02/24-1044.pdf</w:t>
        </w:r>
      </w:hyperlink>
      <w:r w:rsidR="005D334E">
        <w:t xml:space="preserve"> </w:t>
      </w:r>
    </w:p>
    <w:p w14:paraId="406EC566" w14:textId="77777777" w:rsidR="005D334E" w:rsidRDefault="005D334E" w:rsidP="005D334E">
      <w:pPr>
        <w:pStyle w:val="NoSpacing"/>
      </w:pPr>
    </w:p>
    <w:p w14:paraId="52A00F37" w14:textId="7497BEE8" w:rsidR="00E930D2" w:rsidRDefault="00E930D2" w:rsidP="00E930D2">
      <w:pPr>
        <w:pStyle w:val="NoSpacing"/>
      </w:pPr>
    </w:p>
    <w:p w14:paraId="6174869F" w14:textId="77777777" w:rsidR="00E930D2" w:rsidRDefault="00E930D2" w:rsidP="00E930D2">
      <w:pPr>
        <w:pStyle w:val="NoSpacing"/>
      </w:pPr>
    </w:p>
    <w:p w14:paraId="72196BE0" w14:textId="5B6490A0" w:rsidR="00E930D2" w:rsidRDefault="00E930D2" w:rsidP="00E930D2">
      <w:pPr>
        <w:pStyle w:val="NoSpacing"/>
      </w:pPr>
      <w:r w:rsidRPr="005A5894">
        <w:rPr>
          <w:b/>
        </w:rPr>
        <w:t>THE COURT HELD:</w:t>
      </w:r>
      <w:r>
        <w:t xml:space="preserve">  “Dr. Lynch is a board-certified physician in infectious disease, Professor of Medicine at the University of Washington School of Medicine, and Associate Medical Director at Harborview Medical Center…. Dr. Lynch explained in some detail why Plaintiffs’ proposed accommodation—testing, masking, and social distancing in lieu of vaccination— was inadequate. Regular COVID-19 testing was ‘not sufficient’ because tests are not always accurate and unvaccinated people subject to testing were ‘among positive cases that . . . caused outbreaks in’ Washington. Dr. Lynch described PPE, like masks, as ‘complements, not substitutes, for getting vaccinated,’ since ‘[m]asks shore up protection on the outside,’ and vaccines do so on the ‘inside.’ According to Dr. Lynch, vaccines are ‘effective around the clock,’ and masks are not because ‘a work-based masking requirement applies only while employees are at work.’ He cited various studies that supported these conclusions.” </w:t>
      </w:r>
    </w:p>
    <w:p w14:paraId="544C7659" w14:textId="77777777" w:rsidR="00E930D2" w:rsidRPr="005A5894" w:rsidRDefault="00E930D2" w:rsidP="00E930D2">
      <w:pPr>
        <w:pStyle w:val="NoSpacing"/>
        <w:rPr>
          <w:b/>
          <w:bCs/>
        </w:rPr>
      </w:pPr>
      <w:r w:rsidRPr="005A5894">
        <w:rPr>
          <w:b/>
        </w:rPr>
        <w:t xml:space="preserve">KEY FACTS: </w:t>
      </w:r>
    </w:p>
    <w:p w14:paraId="1465057B" w14:textId="77777777" w:rsidR="00E930D2" w:rsidRDefault="00E930D2" w:rsidP="00E930D2">
      <w:pPr>
        <w:pStyle w:val="NoSpacing"/>
      </w:pPr>
    </w:p>
    <w:p w14:paraId="02900EA9" w14:textId="77777777" w:rsidR="00E930D2" w:rsidRDefault="00E930D2" w:rsidP="00E930D2">
      <w:pPr>
        <w:pStyle w:val="NoSpacing"/>
        <w:ind w:left="720"/>
      </w:pPr>
      <w:r>
        <w:t>“SRFR provided its firefighters with information about the vaccination requirement and the process for requesting exemptions. Forty-six of SRFR’s 192 firefighters requested</w:t>
      </w:r>
    </w:p>
    <w:p w14:paraId="6B8F2E1A" w14:textId="77777777" w:rsidR="00E930D2" w:rsidRDefault="00E930D2" w:rsidP="00E930D2">
      <w:pPr>
        <w:pStyle w:val="NoSpacing"/>
        <w:ind w:left="720"/>
      </w:pPr>
      <w:r>
        <w:t>exemptions, including the eight Plaintiffs. All the firefighters served in various firefighting and emergency medical technician (EMT) positions, and all held EMT or</w:t>
      </w:r>
    </w:p>
    <w:p w14:paraId="6EE88AF0" w14:textId="77777777" w:rsidR="00E930D2" w:rsidRDefault="00E930D2" w:rsidP="00E930D2">
      <w:pPr>
        <w:pStyle w:val="NoSpacing"/>
        <w:ind w:firstLine="720"/>
      </w:pPr>
      <w:r>
        <w:t>paramedic certifications. SRFR’s Human Resources staff met with each employee</w:t>
      </w:r>
    </w:p>
    <w:p w14:paraId="6A2714E4" w14:textId="77777777" w:rsidR="00E930D2" w:rsidRDefault="00E930D2" w:rsidP="00E930D2">
      <w:pPr>
        <w:pStyle w:val="NoSpacing"/>
        <w:ind w:left="720"/>
      </w:pPr>
      <w:r>
        <w:t>who requested an exemption to discuss their request and any possible accommodation. SRFR simultaneously negotiated with the International Association of Fire Fighters, Local 2781 (the Union) regarding the vaccination requirement, and eventually ‘approved a Memorandum of Understanding (‘MOU’) that modified the collective bargaining agreement to provide accommodation options for firefighters if [SRFR] determined they could not be accommodated in their healthcare roles.’</w:t>
      </w:r>
    </w:p>
    <w:p w14:paraId="78596AD5" w14:textId="77777777" w:rsidR="00E930D2" w:rsidRDefault="00E930D2" w:rsidP="00E930D2">
      <w:pPr>
        <w:pStyle w:val="NoSpacing"/>
        <w:ind w:left="720"/>
      </w:pPr>
    </w:p>
    <w:p w14:paraId="19645ED3" w14:textId="77777777" w:rsidR="00E930D2" w:rsidRDefault="00E930D2" w:rsidP="00E930D2">
      <w:pPr>
        <w:pStyle w:val="NoSpacing"/>
        <w:ind w:left="720"/>
      </w:pPr>
      <w:r>
        <w:lastRenderedPageBreak/>
        <w:t>In these circumstances, the MOU explained that unvaccinated firefighters could use their accrued paid leave while remaining employed. After exhausting that leave, firefighters could take a one-year leave of absence without pay. The MOU also provided that if any firefighters chose to leave SRFR, they could be added to the disability rehire list, which gave them ‘priority’—meaning that they would not lose their rank, seniority, or benefit accrual status if they returned to SRFR within two years. Additionally, the MOU</w:t>
      </w:r>
    </w:p>
    <w:p w14:paraId="3A96786E" w14:textId="77777777" w:rsidR="00E930D2" w:rsidRDefault="00E930D2" w:rsidP="00E930D2">
      <w:pPr>
        <w:pStyle w:val="NoSpacing"/>
        <w:ind w:left="720"/>
      </w:pPr>
      <w:r>
        <w:t>‘</w:t>
      </w:r>
      <w:proofErr w:type="gramStart"/>
      <w:r>
        <w:t>specified</w:t>
      </w:r>
      <w:proofErr w:type="gramEnd"/>
      <w:r>
        <w:t xml:space="preserve"> that the unvaccinated frontline employees could return to work during their period of absence if [the] Proclamation . . . was updated and amended to that effect. </w:t>
      </w:r>
    </w:p>
    <w:p w14:paraId="3996DB25" w14:textId="77777777" w:rsidR="00E930D2" w:rsidRDefault="00E930D2" w:rsidP="00E930D2">
      <w:pPr>
        <w:pStyle w:val="NoSpacing"/>
        <w:ind w:left="720"/>
      </w:pPr>
    </w:p>
    <w:p w14:paraId="6B61E358" w14:textId="77777777" w:rsidR="00E930D2" w:rsidRDefault="00E930D2" w:rsidP="00E930D2">
      <w:pPr>
        <w:pStyle w:val="NoSpacing"/>
        <w:ind w:left="720"/>
      </w:pPr>
      <w:r>
        <w:t>In October 2021, SRFR determined that it could not accommodate unvaccinated firefighters in their firefighting roles without imposing an undue hardship on its operations. SRFR explained that because a firefighter’s work requires interfacing with the public, it did not have alternative positions for those seeking exemptions, nor could it facilitate their requested accommodation—masking, testing, and social distancing. SRFR encouraged all forty-six employees to use their accumulated leave days first and then apply for a one-year leave of absence. SRFR approved all such requests.”</w:t>
      </w:r>
    </w:p>
    <w:p w14:paraId="255B9D0F" w14:textId="77777777" w:rsidR="00E930D2" w:rsidRDefault="00E930D2" w:rsidP="00E930D2">
      <w:pPr>
        <w:pStyle w:val="NoSpacing"/>
        <w:ind w:firstLine="720"/>
      </w:pPr>
    </w:p>
    <w:p w14:paraId="46A5061D" w14:textId="77777777" w:rsidR="00E930D2" w:rsidRPr="00880A98" w:rsidRDefault="00E930D2" w:rsidP="00E930D2">
      <w:pPr>
        <w:pStyle w:val="NoSpacing"/>
        <w:rPr>
          <w:b/>
          <w:bCs/>
        </w:rPr>
      </w:pPr>
      <w:r>
        <w:rPr>
          <w:b/>
        </w:rPr>
        <w:t xml:space="preserve">Legal lesson learned: Yet another case holding that undue hardship for FDs to accommodate firefighters who refused to get vaccinated. </w:t>
      </w:r>
    </w:p>
    <w:p w14:paraId="29AF7C94" w14:textId="77777777" w:rsidR="00E930D2" w:rsidRDefault="00E930D2" w:rsidP="00542851">
      <w:pPr>
        <w:rPr>
          <w:rFonts w:ascii="Times New Roman" w:hAnsi="Times New Roman"/>
          <w:b/>
          <w:bCs/>
          <w:sz w:val="24"/>
          <w:szCs w:val="24"/>
        </w:rPr>
      </w:pPr>
    </w:p>
    <w:p w14:paraId="18BB4D82" w14:textId="1AAA77AC" w:rsidR="00004498" w:rsidRPr="002E2CF4" w:rsidRDefault="00004498" w:rsidP="00004498">
      <w:pPr>
        <w:rPr>
          <w:rFonts w:ascii="Arial Black" w:hAnsi="Arial Black"/>
          <w:b/>
          <w:bCs/>
          <w:sz w:val="24"/>
          <w:szCs w:val="24"/>
        </w:rPr>
      </w:pPr>
      <w:r w:rsidRPr="002E2CF4">
        <w:rPr>
          <w:rFonts w:ascii="Arial Black" w:hAnsi="Arial Black"/>
          <w:b/>
          <w:bCs/>
          <w:sz w:val="24"/>
          <w:szCs w:val="24"/>
        </w:rPr>
        <w:t>13-22</w:t>
      </w:r>
      <w:r w:rsidR="00524647">
        <w:rPr>
          <w:rFonts w:ascii="Arial Black" w:hAnsi="Arial Black"/>
          <w:b/>
          <w:bCs/>
          <w:sz w:val="24"/>
          <w:szCs w:val="24"/>
        </w:rPr>
        <w:t>4</w:t>
      </w:r>
    </w:p>
    <w:p w14:paraId="297D7CCF" w14:textId="7540BCE0" w:rsidR="004704EF" w:rsidRPr="001515BA" w:rsidRDefault="004704EF" w:rsidP="004704EF">
      <w:pPr>
        <w:rPr>
          <w:rFonts w:ascii="Arial Black" w:hAnsi="Arial Black"/>
          <w:b/>
          <w:sz w:val="28"/>
          <w:szCs w:val="28"/>
        </w:rPr>
      </w:pPr>
      <w:r>
        <w:rPr>
          <w:rFonts w:ascii="Arial Black" w:hAnsi="Arial Black"/>
          <w:b/>
          <w:sz w:val="28"/>
          <w:szCs w:val="28"/>
        </w:rPr>
        <w:t xml:space="preserve">AL: </w:t>
      </w:r>
      <w:r w:rsidR="0083128E">
        <w:rPr>
          <w:rFonts w:ascii="Arial Black" w:hAnsi="Arial Black"/>
          <w:b/>
          <w:sz w:val="28"/>
          <w:szCs w:val="28"/>
        </w:rPr>
        <w:t xml:space="preserve">VOL </w:t>
      </w:r>
      <w:r>
        <w:rPr>
          <w:rFonts w:ascii="Arial Black" w:hAnsi="Arial Black"/>
          <w:b/>
          <w:sz w:val="28"/>
          <w:szCs w:val="28"/>
        </w:rPr>
        <w:t>EM</w:t>
      </w:r>
      <w:r w:rsidR="0083128E">
        <w:rPr>
          <w:rFonts w:ascii="Arial Black" w:hAnsi="Arial Black"/>
          <w:b/>
          <w:sz w:val="28"/>
          <w:szCs w:val="28"/>
        </w:rPr>
        <w:t xml:space="preserve">T STOPPED CPR </w:t>
      </w:r>
      <w:r w:rsidR="000B5EEC">
        <w:rPr>
          <w:rFonts w:ascii="Arial Black" w:hAnsi="Arial Black"/>
          <w:b/>
          <w:sz w:val="28"/>
          <w:szCs w:val="28"/>
        </w:rPr>
        <w:t>–</w:t>
      </w:r>
      <w:r w:rsidR="0083128E">
        <w:rPr>
          <w:rFonts w:ascii="Arial Black" w:hAnsi="Arial Black"/>
          <w:b/>
          <w:sz w:val="28"/>
          <w:szCs w:val="28"/>
        </w:rPr>
        <w:t xml:space="preserve"> IMMUN</w:t>
      </w:r>
      <w:r w:rsidR="000B5EEC">
        <w:rPr>
          <w:rFonts w:ascii="Arial Black" w:hAnsi="Arial Black"/>
          <w:b/>
          <w:sz w:val="28"/>
          <w:szCs w:val="28"/>
        </w:rPr>
        <w:t xml:space="preserve">ITY - </w:t>
      </w:r>
      <w:r>
        <w:rPr>
          <w:rFonts w:ascii="Arial Black" w:hAnsi="Arial Black"/>
          <w:b/>
          <w:sz w:val="28"/>
          <w:szCs w:val="28"/>
        </w:rPr>
        <w:t>GOOD SAMAR</w:t>
      </w:r>
      <w:r w:rsidR="00D63907">
        <w:rPr>
          <w:rFonts w:ascii="Arial Black" w:hAnsi="Arial Black"/>
          <w:b/>
          <w:sz w:val="28"/>
          <w:szCs w:val="28"/>
        </w:rPr>
        <w:t>ITAN</w:t>
      </w:r>
      <w:r w:rsidR="00DE7A31">
        <w:rPr>
          <w:rFonts w:ascii="Arial Black" w:hAnsi="Arial Black"/>
          <w:b/>
          <w:sz w:val="28"/>
          <w:szCs w:val="28"/>
        </w:rPr>
        <w:t xml:space="preserve"> </w:t>
      </w:r>
      <w:r>
        <w:rPr>
          <w:rFonts w:ascii="Arial Black" w:hAnsi="Arial Black"/>
          <w:b/>
          <w:sz w:val="28"/>
          <w:szCs w:val="28"/>
        </w:rPr>
        <w:t xml:space="preserve">LAW </w:t>
      </w:r>
    </w:p>
    <w:p w14:paraId="4E29D2C3" w14:textId="0283FEB7" w:rsidR="004704EF" w:rsidRDefault="004704EF" w:rsidP="004704EF">
      <w:pPr>
        <w:pStyle w:val="NoSpacing"/>
      </w:pPr>
      <w:r>
        <w:t xml:space="preserve">On Aug. 29, 2025, in </w:t>
      </w:r>
      <w:r w:rsidRPr="002B4CFC">
        <w:rPr>
          <w:u w:val="single"/>
        </w:rPr>
        <w:t>Carol Rogers, as administratrix of the Estate of Susan Bonner, deceased v. Cedar Bluff Volunteer Fire Department</w:t>
      </w:r>
      <w:r>
        <w:rPr>
          <w:u w:val="single"/>
        </w:rPr>
        <w:t xml:space="preserve"> and the T</w:t>
      </w:r>
      <w:r w:rsidRPr="001B127E">
        <w:rPr>
          <w:u w:val="single"/>
        </w:rPr>
        <w:t>own of</w:t>
      </w:r>
      <w:r>
        <w:rPr>
          <w:u w:val="single"/>
        </w:rPr>
        <w:t xml:space="preserve"> </w:t>
      </w:r>
      <w:r w:rsidRPr="001B127E">
        <w:rPr>
          <w:u w:val="single"/>
        </w:rPr>
        <w:t>Cedar Bluff</w:t>
      </w:r>
      <w:r>
        <w:t xml:space="preserve">, the Alabama Supreme Court held (9 to 0) that trial court properly dismissed the lawsuit against the Town and its Volunteer Fire Department.  June 6, </w:t>
      </w:r>
      <w:proofErr w:type="gramStart"/>
      <w:r>
        <w:t>2017</w:t>
      </w:r>
      <w:proofErr w:type="gramEnd"/>
      <w:r>
        <w:t xml:space="preserve"> motor vehicle accident where drive was submerged in creek; bystander CPR; she died two days later.  Under the state’s </w:t>
      </w:r>
      <w:r w:rsidRPr="00340D54">
        <w:t>"Good Samaritan Act</w:t>
      </w:r>
      <w:r>
        <w:t xml:space="preserve">” the volunteer firefighter / EMT has immunity for negligence, as does his volunteer fire department which is deemed a </w:t>
      </w:r>
      <w:r w:rsidRPr="00786D98">
        <w:t>subordinate entity</w:t>
      </w:r>
      <w:r>
        <w:t xml:space="preserve"> of the Town.  If his conduct was deemed wanton misconduct, the Town and other governmental entities in Alabama are not liable for intentional misconduct of employees and agents.  </w:t>
      </w:r>
      <w:hyperlink r:id="rId2091" w:history="1">
        <w:r w:rsidR="000B5EEC" w:rsidRPr="00204094">
          <w:rPr>
            <w:rStyle w:val="Hyperlink"/>
          </w:rPr>
          <w:t>https://cases.justia.com/alabama/supreme-court/2025-sc-2025-0055.pdf?ts=1756474207</w:t>
        </w:r>
      </w:hyperlink>
    </w:p>
    <w:p w14:paraId="35875A35" w14:textId="77777777" w:rsidR="004704EF" w:rsidRDefault="004704EF" w:rsidP="004704EF">
      <w:pPr>
        <w:pStyle w:val="NoSpacing"/>
      </w:pPr>
    </w:p>
    <w:p w14:paraId="0A454198" w14:textId="77777777" w:rsidR="00957259" w:rsidRDefault="004704EF" w:rsidP="004704EF">
      <w:pPr>
        <w:pStyle w:val="NoSpacing"/>
      </w:pPr>
      <w:r w:rsidRPr="00474D47">
        <w:rPr>
          <w:b/>
        </w:rPr>
        <w:t xml:space="preserve">THE COURT HELD: </w:t>
      </w:r>
      <w:r>
        <w:rPr>
          <w:b/>
        </w:rPr>
        <w:t>“</w:t>
      </w:r>
      <w:r w:rsidRPr="00DF2DDA">
        <w:t>Based on the foregoing, Rogers failed to</w:t>
      </w:r>
      <w:r>
        <w:t xml:space="preserve"> demonstrate that a genuine issue of material fact existed as to whether the Town is vicariously immune from liability for Guice's allegedly wanton acts or omissions in this case, and, thus, the summary judgment in its favor is due to be affirmed…. Even if Guice's conduct was not done in ‘good faith’ and was not done within the ‘scope of [his] official functions and duties’ as a volunteer firefighter with the CBVFD, thereby preventing him from being entitled to immunity under § 6-5-3236(d)(1) of the VSA, § 11-47-190, which was raised in the Town's filings below, makes clear that the Town could not have been liable for that conduct because it would have been intentional, wrongful conduct.”</w:t>
      </w:r>
    </w:p>
    <w:p w14:paraId="249C7527" w14:textId="05BBA212" w:rsidR="004704EF" w:rsidRDefault="004704EF" w:rsidP="004704EF">
      <w:pPr>
        <w:pStyle w:val="NoSpacing"/>
      </w:pPr>
      <w:r>
        <w:t xml:space="preserve"> </w:t>
      </w:r>
      <w:hyperlink r:id="rId2092" w:history="1">
        <w:r w:rsidRPr="00204094">
          <w:rPr>
            <w:rStyle w:val="Hyperlink"/>
          </w:rPr>
          <w:t>https://cases.justia.com/alabama/supreme-court/2025-sc-2025-0055.pdf?ts=1756474207</w:t>
        </w:r>
      </w:hyperlink>
      <w:r>
        <w:t xml:space="preserve"> </w:t>
      </w:r>
    </w:p>
    <w:p w14:paraId="2147211A" w14:textId="77777777" w:rsidR="004704EF" w:rsidRDefault="004704EF" w:rsidP="004704EF">
      <w:pPr>
        <w:ind w:left="720"/>
      </w:pPr>
    </w:p>
    <w:p w14:paraId="40CDA44F" w14:textId="77777777" w:rsidR="004704EF" w:rsidRDefault="004704EF" w:rsidP="004704EF">
      <w:pPr>
        <w:rPr>
          <w:b/>
          <w:bCs/>
        </w:rPr>
      </w:pPr>
      <w:r>
        <w:rPr>
          <w:b/>
        </w:rPr>
        <w:t>KEY FACTS:</w:t>
      </w:r>
    </w:p>
    <w:p w14:paraId="2C253794" w14:textId="77777777" w:rsidR="004704EF" w:rsidRDefault="004704EF" w:rsidP="004704EF">
      <w:pPr>
        <w:pStyle w:val="NoSpacing"/>
        <w:ind w:left="720"/>
      </w:pPr>
      <w:r>
        <w:t>“</w:t>
      </w:r>
      <w:r w:rsidRPr="00443296">
        <w:t xml:space="preserve">On June 6, 2017, </w:t>
      </w:r>
      <w:r>
        <w:t xml:space="preserve">[Susan} </w:t>
      </w:r>
      <w:r w:rsidRPr="00443296">
        <w:t>Bonner was driving on County Road 45 in</w:t>
      </w:r>
      <w:r>
        <w:t xml:space="preserve"> </w:t>
      </w:r>
      <w:r w:rsidRPr="00443296">
        <w:t>Cherokee County when her vehicle left the roadway and ended up</w:t>
      </w:r>
      <w:r>
        <w:t xml:space="preserve"> </w:t>
      </w:r>
      <w:r w:rsidRPr="00443296">
        <w:t>submerged in a creek. After Bonner was rescued by passing motorists, a</w:t>
      </w:r>
      <w:r>
        <w:t xml:space="preserve"> </w:t>
      </w:r>
      <w:r w:rsidRPr="00443296">
        <w:t>bystander who also happened to be a volunteer firefighter with the</w:t>
      </w:r>
      <w:r>
        <w:t xml:space="preserve"> </w:t>
      </w:r>
      <w:r w:rsidRPr="00443296">
        <w:t xml:space="preserve">McCord's Crossroads Volunteer Fire </w:t>
      </w:r>
      <w:proofErr w:type="gramStart"/>
      <w:r w:rsidRPr="00443296">
        <w:t>Department (</w:t>
      </w:r>
      <w:r>
        <w:t>‘</w:t>
      </w:r>
      <w:proofErr w:type="gramEnd"/>
      <w:r w:rsidRPr="00443296">
        <w:t>the MCVFD</w:t>
      </w:r>
      <w:r>
        <w:t>’</w:t>
      </w:r>
      <w:r w:rsidRPr="00443296">
        <w:t>) began</w:t>
      </w:r>
      <w:r>
        <w:t xml:space="preserve"> </w:t>
      </w:r>
      <w:r w:rsidRPr="00493493">
        <w:t xml:space="preserve">performing cardiopulmonary </w:t>
      </w:r>
      <w:proofErr w:type="gramStart"/>
      <w:r w:rsidRPr="00493493">
        <w:t>resuscitation</w:t>
      </w:r>
      <w:r>
        <w:t xml:space="preserve"> </w:t>
      </w:r>
      <w:r w:rsidRPr="00493493">
        <w:t>(</w:t>
      </w:r>
      <w:r>
        <w:t>‘</w:t>
      </w:r>
      <w:proofErr w:type="gramEnd"/>
      <w:r w:rsidRPr="00493493">
        <w:t>CPR</w:t>
      </w:r>
      <w:r>
        <w:t>’</w:t>
      </w:r>
      <w:r w:rsidRPr="00493493">
        <w:t>) on Bonner. At some</w:t>
      </w:r>
      <w:r>
        <w:t xml:space="preserve"> </w:t>
      </w:r>
      <w:r w:rsidRPr="00493493">
        <w:t xml:space="preserve">point thereafter, Cherokee County Emergency Medical </w:t>
      </w:r>
      <w:proofErr w:type="gramStart"/>
      <w:r w:rsidRPr="00493493">
        <w:t>Services</w:t>
      </w:r>
      <w:r>
        <w:t xml:space="preserve"> </w:t>
      </w:r>
      <w:r w:rsidRPr="00493493">
        <w:t>(</w:t>
      </w:r>
      <w:r>
        <w:t>‘</w:t>
      </w:r>
      <w:proofErr w:type="gramEnd"/>
      <w:r w:rsidRPr="00493493">
        <w:t>Cherokee County EMS</w:t>
      </w:r>
      <w:r>
        <w:t>’</w:t>
      </w:r>
      <w:r w:rsidRPr="00493493">
        <w:t>) was notified of the accident, and paramedics</w:t>
      </w:r>
      <w:r>
        <w:t xml:space="preserve"> </w:t>
      </w:r>
      <w:r w:rsidRPr="00493493">
        <w:t>were dispatched to the scene.</w:t>
      </w:r>
    </w:p>
    <w:p w14:paraId="2AD1EA2E" w14:textId="77777777" w:rsidR="004704EF" w:rsidRDefault="004704EF" w:rsidP="004704EF">
      <w:pPr>
        <w:pStyle w:val="NoSpacing"/>
      </w:pPr>
    </w:p>
    <w:p w14:paraId="5211B024" w14:textId="77777777" w:rsidR="004704EF" w:rsidRDefault="004704EF" w:rsidP="004704EF">
      <w:pPr>
        <w:pStyle w:val="NoSpacing"/>
        <w:ind w:left="720"/>
      </w:pPr>
      <w:r>
        <w:t xml:space="preserve">Guice [Howard Guice, volunteer firefighter and emergency medical technician with the CBVFD]  was nearby, allegedly on a personal errand, and heard the call about the accident on a radio issued to him by the CBVFD. </w:t>
      </w:r>
      <w:r>
        <w:lastRenderedPageBreak/>
        <w:t>Even though the scene was not within the CBVFD's service area and even though the CBVFD had not dispatched him to the scene, Guice decided to go to the scene to see if he could assist the paramedics. After Guice arrived, the bystander who had been performing CPR on Bonner asked Guice to take over, but Guice declined. Instead, he advised that all resuscitative efforts should cease and stated over his CBVFD-issued radio that a death had occurred at the scene. Guice then allegedly entered the water to help other bystanders search for a possible second victim in Bonner's submerged vehicle.</w:t>
      </w:r>
    </w:p>
    <w:p w14:paraId="0B9F2F38" w14:textId="77777777" w:rsidR="004704EF" w:rsidRDefault="004704EF" w:rsidP="004704EF">
      <w:pPr>
        <w:pStyle w:val="NoSpacing"/>
      </w:pPr>
    </w:p>
    <w:p w14:paraId="74E33E86" w14:textId="77777777" w:rsidR="004704EF" w:rsidRDefault="004704EF" w:rsidP="004704EF">
      <w:pPr>
        <w:pStyle w:val="NoSpacing"/>
        <w:ind w:left="720"/>
      </w:pPr>
      <w:r w:rsidRPr="00464476">
        <w:t>Five minutes after the bystander ceased performing CPR on</w:t>
      </w:r>
      <w:r>
        <w:t xml:space="preserve"> </w:t>
      </w:r>
      <w:r w:rsidRPr="00464476">
        <w:t>Bonner, Cherokee County EMS paramedics arrived at the scene. They</w:t>
      </w:r>
      <w:r>
        <w:t xml:space="preserve"> </w:t>
      </w:r>
      <w:r w:rsidRPr="0004786C">
        <w:t xml:space="preserve">examined Bonner and found that she was warm to </w:t>
      </w:r>
      <w:proofErr w:type="gramStart"/>
      <w:r w:rsidRPr="0004786C">
        <w:t>the touch</w:t>
      </w:r>
      <w:proofErr w:type="gramEnd"/>
      <w:r w:rsidRPr="0004786C">
        <w:t>, had a pulse,</w:t>
      </w:r>
      <w:r>
        <w:t xml:space="preserve"> </w:t>
      </w:r>
      <w:r w:rsidRPr="0004786C">
        <w:t>and had responsive pupils. As a result, the paramedics performed CPR</w:t>
      </w:r>
      <w:r>
        <w:t xml:space="preserve"> </w:t>
      </w:r>
      <w:r w:rsidRPr="0004786C">
        <w:t>on her until she experienced a return of spontaneous circulation. Bonner</w:t>
      </w:r>
      <w:r>
        <w:t xml:space="preserve"> </w:t>
      </w:r>
      <w:r w:rsidRPr="0004786C">
        <w:t>was transported to the hospital for further treatment but died two days</w:t>
      </w:r>
      <w:r>
        <w:t xml:space="preserve"> </w:t>
      </w:r>
      <w:r w:rsidRPr="0004786C">
        <w:t xml:space="preserve">later </w:t>
      </w:r>
      <w:proofErr w:type="gramStart"/>
      <w:r w:rsidRPr="0004786C">
        <w:t>as a result of</w:t>
      </w:r>
      <w:proofErr w:type="gramEnd"/>
      <w:r w:rsidRPr="0004786C">
        <w:t xml:space="preserve"> anoxic </w:t>
      </w:r>
      <w:r w:rsidRPr="008225D6">
        <w:t>encephalopathy.4</w:t>
      </w:r>
    </w:p>
    <w:p w14:paraId="4CE289F3" w14:textId="77777777" w:rsidR="004704EF" w:rsidRDefault="004704EF" w:rsidP="004704EF">
      <w:pPr>
        <w:pStyle w:val="NoSpacing"/>
      </w:pPr>
    </w:p>
    <w:p w14:paraId="29D2FF14" w14:textId="77777777" w:rsidR="004704EF" w:rsidRDefault="004704EF" w:rsidP="004704EF">
      <w:pPr>
        <w:pStyle w:val="NoSpacing"/>
      </w:pPr>
      <w:r>
        <w:tab/>
      </w:r>
      <w:r>
        <w:tab/>
        <w:t>[Footnote 4.] According to the record, anoxic encephalopathy occurs when blood</w:t>
      </w:r>
    </w:p>
    <w:p w14:paraId="1E9066E7" w14:textId="77777777" w:rsidR="004704EF" w:rsidRDefault="004704EF" w:rsidP="004704EF">
      <w:pPr>
        <w:pStyle w:val="NoSpacing"/>
        <w:ind w:left="720" w:firstLine="720"/>
      </w:pPr>
      <w:r>
        <w:t>ceases to flow to the brain.</w:t>
      </w:r>
    </w:p>
    <w:p w14:paraId="24C86E15" w14:textId="77777777" w:rsidR="004704EF" w:rsidRDefault="004704EF" w:rsidP="004704EF">
      <w:r>
        <w:tab/>
        <w:t>***</w:t>
      </w:r>
    </w:p>
    <w:p w14:paraId="3833DE04" w14:textId="77777777" w:rsidR="004704EF" w:rsidRDefault="004704EF" w:rsidP="004704EF">
      <w:pPr>
        <w:pStyle w:val="NoSpacing"/>
        <w:ind w:left="720"/>
      </w:pPr>
      <w:r>
        <w:t xml:space="preserve">Furthermore, Steven Kimmons, the CBVFD's chief, testified during his deposition that he </w:t>
      </w:r>
      <w:proofErr w:type="gramStart"/>
      <w:r>
        <w:t>reports</w:t>
      </w:r>
      <w:proofErr w:type="gramEnd"/>
      <w:r>
        <w:t xml:space="preserve"> directly to the mayor of the Town. Our Court has recognized that this connection between a fire department and a municipality does not prevent that fire department from being deemed a ‘volunteer’ fire department, thus entitling the municipality to be vicariously immune from liability for the acts of the fire department's volunteer firefighters.”</w:t>
      </w:r>
      <w:r>
        <w:tab/>
      </w:r>
    </w:p>
    <w:p w14:paraId="38D916BF" w14:textId="77777777" w:rsidR="004704EF" w:rsidRDefault="004704EF" w:rsidP="004704EF">
      <w:pPr>
        <w:pStyle w:val="NoSpacing"/>
        <w:ind w:left="720"/>
      </w:pPr>
    </w:p>
    <w:p w14:paraId="7B4A6850" w14:textId="451EDCAD" w:rsidR="004704EF" w:rsidRDefault="004704EF" w:rsidP="004704EF">
      <w:pPr>
        <w:pStyle w:val="NoSpacing"/>
      </w:pPr>
      <w:r>
        <w:rPr>
          <w:b/>
        </w:rPr>
        <w:t xml:space="preserve">Legal lesson learned:  Continue CPR until ambulance arrives and takes vital signs. </w:t>
      </w:r>
    </w:p>
    <w:p w14:paraId="6EFD1BD6" w14:textId="77777777" w:rsidR="00004498" w:rsidRDefault="00004498" w:rsidP="00004498">
      <w:pPr>
        <w:rPr>
          <w:rFonts w:ascii="Arial Black" w:hAnsi="Arial Black"/>
          <w:b/>
          <w:bCs/>
          <w:sz w:val="24"/>
          <w:szCs w:val="24"/>
        </w:rPr>
      </w:pPr>
    </w:p>
    <w:p w14:paraId="5419F979" w14:textId="518237F9" w:rsidR="00004498" w:rsidRPr="002E2CF4" w:rsidRDefault="00004498" w:rsidP="00004498">
      <w:pPr>
        <w:rPr>
          <w:rFonts w:ascii="Arial Black" w:hAnsi="Arial Black"/>
          <w:b/>
          <w:bCs/>
          <w:sz w:val="24"/>
          <w:szCs w:val="24"/>
        </w:rPr>
      </w:pPr>
      <w:r w:rsidRPr="002E2CF4">
        <w:rPr>
          <w:rFonts w:ascii="Arial Black" w:hAnsi="Arial Black"/>
          <w:b/>
          <w:bCs/>
          <w:sz w:val="24"/>
          <w:szCs w:val="24"/>
        </w:rPr>
        <w:t>13-22</w:t>
      </w:r>
      <w:r w:rsidR="00524647">
        <w:rPr>
          <w:rFonts w:ascii="Arial Black" w:hAnsi="Arial Black"/>
          <w:b/>
          <w:bCs/>
          <w:sz w:val="24"/>
          <w:szCs w:val="24"/>
        </w:rPr>
        <w:t>3</w:t>
      </w:r>
    </w:p>
    <w:p w14:paraId="0C724300" w14:textId="2D3B7019" w:rsidR="00004498" w:rsidRPr="002B6421" w:rsidRDefault="00004498" w:rsidP="00004498">
      <w:pPr>
        <w:pStyle w:val="NoSpacing"/>
        <w:rPr>
          <w:rFonts w:ascii="Arial Black" w:hAnsi="Arial Black"/>
          <w:sz w:val="28"/>
          <w:szCs w:val="28"/>
        </w:rPr>
      </w:pPr>
      <w:r>
        <w:rPr>
          <w:rFonts w:ascii="Arial Black" w:hAnsi="Arial Black"/>
          <w:sz w:val="28"/>
          <w:szCs w:val="28"/>
        </w:rPr>
        <w:t xml:space="preserve">WA: SHOULDER STRAPS NOT USED – PT DEATH </w:t>
      </w:r>
      <w:r w:rsidR="00345C8F">
        <w:rPr>
          <w:rFonts w:ascii="Arial Black" w:hAnsi="Arial Black"/>
          <w:sz w:val="28"/>
          <w:szCs w:val="28"/>
        </w:rPr>
        <w:t>–</w:t>
      </w:r>
      <w:r>
        <w:rPr>
          <w:rFonts w:ascii="Arial Black" w:hAnsi="Arial Black"/>
          <w:sz w:val="28"/>
          <w:szCs w:val="28"/>
        </w:rPr>
        <w:t xml:space="preserve"> </w:t>
      </w:r>
      <w:r w:rsidR="00345C8F">
        <w:rPr>
          <w:rFonts w:ascii="Arial Black" w:hAnsi="Arial Black"/>
          <w:sz w:val="28"/>
          <w:szCs w:val="28"/>
        </w:rPr>
        <w:t xml:space="preserve">JURY </w:t>
      </w:r>
      <w:r>
        <w:rPr>
          <w:rFonts w:ascii="Arial Black" w:hAnsi="Arial Black"/>
          <w:sz w:val="28"/>
          <w:szCs w:val="28"/>
        </w:rPr>
        <w:t>$2.3M</w:t>
      </w:r>
    </w:p>
    <w:p w14:paraId="16811C29" w14:textId="77777777" w:rsidR="00004498" w:rsidRDefault="00004498" w:rsidP="00004498">
      <w:pPr>
        <w:pStyle w:val="NoSpacing"/>
      </w:pPr>
    </w:p>
    <w:p w14:paraId="082E3C59" w14:textId="77777777" w:rsidR="00542F1E" w:rsidRPr="00D8032C" w:rsidRDefault="00004498" w:rsidP="00542F1E">
      <w:pPr>
        <w:rPr>
          <w:rFonts w:ascii="Times New Roman" w:hAnsi="Times New Roman"/>
          <w:sz w:val="24"/>
          <w:szCs w:val="24"/>
        </w:rPr>
      </w:pPr>
      <w:r w:rsidRPr="00D8032C">
        <w:rPr>
          <w:rFonts w:ascii="Times New Roman" w:hAnsi="Times New Roman"/>
          <w:sz w:val="24"/>
          <w:szCs w:val="24"/>
        </w:rPr>
        <w:t xml:space="preserve">On July 28, 2025, in </w:t>
      </w:r>
      <w:r w:rsidRPr="00D8032C">
        <w:rPr>
          <w:rFonts w:ascii="Times New Roman" w:hAnsi="Times New Roman"/>
          <w:sz w:val="24"/>
          <w:szCs w:val="24"/>
          <w:u w:val="single"/>
        </w:rPr>
        <w:t>Michael J. Lang, individually and as personal representative of the estate of Frank E. Costa, et al. v. Platinum Nine Holdings, LLC, a Washington Limited Liability Corporation, doing business as Northwest Ambulance, et al</w:t>
      </w:r>
      <w:r w:rsidRPr="00D8032C">
        <w:rPr>
          <w:rFonts w:ascii="Times New Roman" w:hAnsi="Times New Roman"/>
          <w:sz w:val="24"/>
          <w:szCs w:val="24"/>
        </w:rPr>
        <w:t xml:space="preserve">., the Court of Appeals of Washington, Division 1 held (3 to 0; unpublished decision) that the trial court judge correctly held that the state’s EMS immunity statute does not apply to negligence in securing the patient to the gurney or negligence in driving ambulance; the jury awarded the estate $2.3 million in non-economic damages.  </w:t>
      </w:r>
      <w:hyperlink r:id="rId2093" w:history="1">
        <w:r w:rsidR="00542F1E" w:rsidRPr="00D8032C">
          <w:rPr>
            <w:rStyle w:val="Hyperlink"/>
            <w:rFonts w:ascii="Times New Roman" w:hAnsi="Times New Roman"/>
            <w:sz w:val="24"/>
            <w:szCs w:val="24"/>
          </w:rPr>
          <w:t>https://www.courts.wa.gov/opinions/pdf/862057.pdf</w:t>
        </w:r>
      </w:hyperlink>
    </w:p>
    <w:p w14:paraId="38755442" w14:textId="34786882" w:rsidR="00542F1E" w:rsidRDefault="006967A6" w:rsidP="00004498">
      <w:pPr>
        <w:rPr>
          <w:rFonts w:ascii="Times New Roman" w:hAnsi="Times New Roman"/>
          <w:sz w:val="24"/>
          <w:szCs w:val="24"/>
        </w:rPr>
      </w:pPr>
      <w:r>
        <w:rPr>
          <w:rFonts w:ascii="Times New Roman" w:hAnsi="Times New Roman"/>
          <w:sz w:val="24"/>
          <w:szCs w:val="24"/>
        </w:rPr>
        <w:t>COURT HELD:</w:t>
      </w:r>
    </w:p>
    <w:p w14:paraId="72221D78" w14:textId="119C6903" w:rsidR="00004498" w:rsidRPr="00D8032C" w:rsidRDefault="00004498" w:rsidP="00004498">
      <w:pPr>
        <w:rPr>
          <w:rFonts w:ascii="Times New Roman" w:hAnsi="Times New Roman"/>
          <w:sz w:val="24"/>
          <w:szCs w:val="24"/>
        </w:rPr>
      </w:pPr>
      <w:r w:rsidRPr="00D8032C">
        <w:rPr>
          <w:rFonts w:ascii="Times New Roman" w:hAnsi="Times New Roman"/>
          <w:sz w:val="24"/>
          <w:szCs w:val="24"/>
        </w:rPr>
        <w:t xml:space="preserve">In Nov. 2020, the private ambulance with three EMS on board transported the 78-year-old patient with metastatic breast cancer from Genesis Care Center to the hospital for bloodwork.  The ambulance crew moved Costa from his bed to the ambulance stretcher and secured him with two lap belts and guardrails but did not use shoulder straps to secure Costa to the gurney. [Lead EMT Jack] Wilson later testified that shoulder straps were for ‘specific patients’ who ‘weren’t able to control their upper body;’ that he had rarely seen anyone use shoulder straps; and that he could not recall being trained on how to use them. During transport, Costa’s condition deteriorated…  [EMT Henry] Shaw, driving the ambulance, turned on the lights and sirens, and when garbage truck started to yield to right, but then moved left Shaw hit the brakes, lost control and hit a highway divider head-on at 53 miles per hour. During the crash, Costa came off the gurney and hit the ambulance wall, sustained injuries to his head and neck, and died later that day.  THE COURT HELD:  “Because, under the facts of this case, RCW 18.71.210 does not extend qualified immunity to ambulance transportation or the use of gurney restraints, we conclude that the trial court acted appropriately in granting Lang’s motion in part and </w:t>
      </w:r>
      <w:r w:rsidRPr="00D8032C">
        <w:rPr>
          <w:rFonts w:ascii="Times New Roman" w:hAnsi="Times New Roman"/>
          <w:sz w:val="24"/>
          <w:szCs w:val="24"/>
        </w:rPr>
        <w:lastRenderedPageBreak/>
        <w:t xml:space="preserve">denying NWA’s motion…. NWA contends that the trial court misconstrued RCW 18.71.210 in denying its motion for summary judgment because ambulance transportation of patients receiving treatment and care to a medical facility is part of ‘emergency medical service’ as a matter of law. Because the statute differentiates between emergency medical service and transportation, we disagree. *** But because the statute does not provide qualified immunity for the behavior at issue and NWA conceded negligence, Lang did not need to plead or offer evidence of gross negligence.”  </w:t>
      </w:r>
    </w:p>
    <w:p w14:paraId="21D176DD" w14:textId="77777777" w:rsidR="00004498" w:rsidRPr="00D8032C" w:rsidRDefault="00004498" w:rsidP="00004498">
      <w:pPr>
        <w:pStyle w:val="NoSpacing"/>
        <w:rPr>
          <w:rFonts w:ascii="Times New Roman" w:hAnsi="Times New Roman"/>
          <w:b/>
          <w:bCs/>
          <w:sz w:val="24"/>
          <w:szCs w:val="24"/>
        </w:rPr>
      </w:pPr>
      <w:r w:rsidRPr="00D8032C">
        <w:rPr>
          <w:rFonts w:ascii="Times New Roman" w:hAnsi="Times New Roman"/>
          <w:b/>
          <w:sz w:val="24"/>
          <w:szCs w:val="24"/>
        </w:rPr>
        <w:t xml:space="preserve">Legal lesson learned:  If your gurney has shoulder straps, write a policy that specifies when they are to be used.  </w:t>
      </w:r>
    </w:p>
    <w:p w14:paraId="7BC9AFE8" w14:textId="77777777" w:rsidR="00004498" w:rsidRDefault="00004498" w:rsidP="00004498">
      <w:pPr>
        <w:rPr>
          <w:rFonts w:ascii="Times New Roman" w:hAnsi="Times New Roman"/>
          <w:b/>
          <w:bCs/>
          <w:sz w:val="24"/>
          <w:szCs w:val="24"/>
        </w:rPr>
      </w:pPr>
    </w:p>
    <w:p w14:paraId="78ED5774" w14:textId="77777777" w:rsidR="00004498" w:rsidRDefault="00004498" w:rsidP="00004498">
      <w:pPr>
        <w:rPr>
          <w:rFonts w:ascii="Arial Black" w:hAnsi="Arial Black"/>
          <w:b/>
          <w:bCs/>
          <w:sz w:val="24"/>
          <w:szCs w:val="24"/>
        </w:rPr>
      </w:pPr>
    </w:p>
    <w:p w14:paraId="0DFBB6DB" w14:textId="77777777" w:rsidR="00004498" w:rsidRDefault="00004498" w:rsidP="00004498">
      <w:pPr>
        <w:rPr>
          <w:rFonts w:ascii="Arial Black" w:hAnsi="Arial Black"/>
          <w:b/>
          <w:bCs/>
          <w:sz w:val="24"/>
          <w:szCs w:val="24"/>
        </w:rPr>
      </w:pPr>
    </w:p>
    <w:p w14:paraId="5982DD57" w14:textId="77777777" w:rsidR="00004498" w:rsidRDefault="00004498" w:rsidP="00004498">
      <w:pPr>
        <w:rPr>
          <w:rFonts w:ascii="Arial Black" w:hAnsi="Arial Black"/>
          <w:b/>
          <w:bCs/>
          <w:sz w:val="24"/>
          <w:szCs w:val="24"/>
        </w:rPr>
      </w:pPr>
    </w:p>
    <w:p w14:paraId="126B1008" w14:textId="66930298" w:rsidR="00004498" w:rsidRPr="002E2CF4" w:rsidRDefault="00004498" w:rsidP="00004498">
      <w:pPr>
        <w:rPr>
          <w:rFonts w:ascii="Arial Black" w:hAnsi="Arial Black"/>
          <w:b/>
          <w:bCs/>
          <w:sz w:val="24"/>
          <w:szCs w:val="24"/>
        </w:rPr>
      </w:pPr>
      <w:r w:rsidRPr="002E2CF4">
        <w:rPr>
          <w:rFonts w:ascii="Arial Black" w:hAnsi="Arial Black"/>
          <w:b/>
          <w:bCs/>
          <w:sz w:val="24"/>
          <w:szCs w:val="24"/>
        </w:rPr>
        <w:t>13-22</w:t>
      </w:r>
      <w:r w:rsidR="00524647">
        <w:rPr>
          <w:rFonts w:ascii="Arial Black" w:hAnsi="Arial Black"/>
          <w:b/>
          <w:bCs/>
          <w:sz w:val="24"/>
          <w:szCs w:val="24"/>
        </w:rPr>
        <w:t>2</w:t>
      </w:r>
    </w:p>
    <w:p w14:paraId="09199574" w14:textId="2AC019FC" w:rsidR="00EB5A84" w:rsidRPr="002C5E98" w:rsidRDefault="00EB5A84" w:rsidP="00EB5A84">
      <w:pPr>
        <w:pStyle w:val="NoSpacing"/>
        <w:rPr>
          <w:rFonts w:ascii="Arial Black" w:hAnsi="Arial Black"/>
          <w:b/>
          <w:bCs/>
          <w:sz w:val="28"/>
          <w:szCs w:val="28"/>
        </w:rPr>
      </w:pPr>
      <w:r>
        <w:rPr>
          <w:rFonts w:ascii="Arial Black" w:hAnsi="Arial Black"/>
          <w:b/>
          <w:sz w:val="28"/>
          <w:szCs w:val="28"/>
        </w:rPr>
        <w:t xml:space="preserve">NY: </w:t>
      </w:r>
      <w:r w:rsidR="003204A1">
        <w:rPr>
          <w:rFonts w:ascii="Arial Black" w:hAnsi="Arial Black"/>
          <w:b/>
          <w:sz w:val="28"/>
          <w:szCs w:val="28"/>
        </w:rPr>
        <w:t>EXCI</w:t>
      </w:r>
      <w:r w:rsidR="00D77B56">
        <w:rPr>
          <w:rFonts w:ascii="Arial Black" w:hAnsi="Arial Black"/>
          <w:b/>
          <w:sz w:val="28"/>
          <w:szCs w:val="28"/>
        </w:rPr>
        <w:t xml:space="preserve">TED UTTERANCE - </w:t>
      </w:r>
      <w:r>
        <w:rPr>
          <w:rFonts w:ascii="Arial Black" w:hAnsi="Arial Black"/>
          <w:b/>
          <w:sz w:val="28"/>
          <w:szCs w:val="28"/>
        </w:rPr>
        <w:t>EM</w:t>
      </w:r>
      <w:r w:rsidR="00D77B56">
        <w:rPr>
          <w:rFonts w:ascii="Arial Black" w:hAnsi="Arial Black"/>
          <w:b/>
          <w:sz w:val="28"/>
          <w:szCs w:val="28"/>
        </w:rPr>
        <w:t>T</w:t>
      </w:r>
      <w:r>
        <w:rPr>
          <w:rFonts w:ascii="Arial Black" w:hAnsi="Arial Black"/>
          <w:b/>
          <w:sz w:val="28"/>
          <w:szCs w:val="28"/>
        </w:rPr>
        <w:t xml:space="preserve"> CAN TESTIFY - “MY BROTHER DID IT” </w:t>
      </w:r>
    </w:p>
    <w:p w14:paraId="3587308C" w14:textId="77777777" w:rsidR="00EB5A84" w:rsidRPr="009948C1" w:rsidRDefault="00EB5A84" w:rsidP="00EB5A84">
      <w:pPr>
        <w:pStyle w:val="NoSpacing"/>
      </w:pPr>
    </w:p>
    <w:p w14:paraId="05A5E4B9" w14:textId="77777777" w:rsidR="00D77B56" w:rsidRDefault="00EB5A84" w:rsidP="00D77B56">
      <w:pPr>
        <w:pStyle w:val="NoSpacing"/>
      </w:pPr>
      <w:r>
        <w:t xml:space="preserve">On June 27, 2025, in </w:t>
      </w:r>
      <w:r w:rsidRPr="009948C1">
        <w:rPr>
          <w:u w:val="single"/>
        </w:rPr>
        <w:t>The People of the State of New York</w:t>
      </w:r>
      <w:r w:rsidRPr="006C6A5A">
        <w:rPr>
          <w:u w:val="single"/>
        </w:rPr>
        <w:t xml:space="preserve"> </w:t>
      </w:r>
      <w:r w:rsidRPr="009948C1">
        <w:rPr>
          <w:u w:val="single"/>
        </w:rPr>
        <w:t>v.</w:t>
      </w:r>
      <w:r w:rsidRPr="006C6A5A">
        <w:rPr>
          <w:u w:val="single"/>
        </w:rPr>
        <w:t xml:space="preserve"> </w:t>
      </w:r>
      <w:r w:rsidRPr="009948C1">
        <w:rPr>
          <w:u w:val="single"/>
        </w:rPr>
        <w:t>Bruce Biggs</w:t>
      </w:r>
      <w:r w:rsidRPr="009948C1">
        <w:t xml:space="preserve">, </w:t>
      </w:r>
      <w:r>
        <w:t xml:space="preserve">Judge Dineen Ann Riviezzo, Supreme Court, Kings County, held (unpublished decision) that the “exited utterance”  exception to the hearsay rule allows police and EMS to in Second-Degree Murder trial about the dying patient’s comments. </w:t>
      </w:r>
      <w:hyperlink r:id="rId2094" w:history="1">
        <w:r w:rsidR="00D77B56" w:rsidRPr="008C7245">
          <w:rPr>
            <w:rStyle w:val="Hyperlink"/>
          </w:rPr>
          <w:t>https://law.justia.com/cases/new-york/other-courts/2025/2025-ny-slip-op-51480-u.html</w:t>
        </w:r>
      </w:hyperlink>
      <w:r w:rsidR="00D77B56">
        <w:t xml:space="preserve"> </w:t>
      </w:r>
    </w:p>
    <w:p w14:paraId="1E5E478C" w14:textId="484450CB" w:rsidR="00EB5A84" w:rsidRDefault="00EB5A84" w:rsidP="00EB5A84">
      <w:pPr>
        <w:pStyle w:val="NoSpacing"/>
      </w:pPr>
    </w:p>
    <w:p w14:paraId="21EB93C9" w14:textId="77777777" w:rsidR="00EB5A84" w:rsidRDefault="00EB5A84" w:rsidP="00EB5A84">
      <w:pPr>
        <w:pStyle w:val="NoSpacing"/>
      </w:pPr>
    </w:p>
    <w:p w14:paraId="65915C43" w14:textId="77777777" w:rsidR="00EB5A84" w:rsidRDefault="00EB5A84" w:rsidP="00EB5A84">
      <w:pPr>
        <w:pStyle w:val="NoSpacing"/>
      </w:pPr>
      <w:r w:rsidRPr="005A464F">
        <w:rPr>
          <w:b/>
        </w:rPr>
        <w:t xml:space="preserve">THE COURT HELD: </w:t>
      </w:r>
      <w:r>
        <w:t>“</w:t>
      </w:r>
      <w:r w:rsidRPr="00B158EA">
        <w:t xml:space="preserve">Here, based on the above factors, the court finds that the statement qualifies as an excited utterance. Decedent was shot five times and was suffering from traumatic and serious injuries. He made a spontaneous statement only thirteen minutes after the shooting while he was in the ambulance and the EMTs were tending to his multiple injuries. The body worn camera demonstrates that decedent was </w:t>
      </w:r>
      <w:proofErr w:type="gramStart"/>
      <w:r w:rsidRPr="00B158EA">
        <w:t>in the midst of</w:t>
      </w:r>
      <w:proofErr w:type="gramEnd"/>
      <w:r w:rsidRPr="00B158EA">
        <w:t xml:space="preserve"> a serious medical event and had no time to reflect </w:t>
      </w:r>
      <w:proofErr w:type="gramStart"/>
      <w:r w:rsidRPr="00B158EA">
        <w:t>so as to</w:t>
      </w:r>
      <w:proofErr w:type="gramEnd"/>
      <w:r w:rsidRPr="00B158EA">
        <w:t xml:space="preserve"> deliberately deviate from the truth.</w:t>
      </w:r>
      <w:r>
        <w:t xml:space="preserve">” </w:t>
      </w:r>
      <w:hyperlink r:id="rId2095" w:history="1">
        <w:r w:rsidRPr="008C7245">
          <w:rPr>
            <w:rStyle w:val="Hyperlink"/>
          </w:rPr>
          <w:t>https://law.justia.com/cases/new-york/other-courts/2025/2025-ny-slip-op-51480-u.html</w:t>
        </w:r>
      </w:hyperlink>
      <w:r>
        <w:t xml:space="preserve"> </w:t>
      </w:r>
    </w:p>
    <w:p w14:paraId="148D52CE" w14:textId="77777777" w:rsidR="00EB5A84" w:rsidRDefault="00EB5A84" w:rsidP="00EB5A84">
      <w:pPr>
        <w:pStyle w:val="NoSpacing"/>
      </w:pPr>
      <w:r>
        <w:t xml:space="preserve"> </w:t>
      </w:r>
    </w:p>
    <w:p w14:paraId="0CAE61DC" w14:textId="77777777" w:rsidR="00EB5A84" w:rsidRPr="005A464F" w:rsidRDefault="00EB5A84" w:rsidP="00EB5A84">
      <w:pPr>
        <w:pStyle w:val="NoSpacing"/>
        <w:rPr>
          <w:b/>
          <w:bCs/>
        </w:rPr>
      </w:pPr>
      <w:r w:rsidRPr="005A464F">
        <w:rPr>
          <w:b/>
        </w:rPr>
        <w:t>KEY FACTS:</w:t>
      </w:r>
    </w:p>
    <w:p w14:paraId="18ECF12B" w14:textId="77777777" w:rsidR="00EB5A84" w:rsidRDefault="00EB5A84" w:rsidP="00EB5A84">
      <w:pPr>
        <w:pStyle w:val="NoSpacing"/>
      </w:pPr>
    </w:p>
    <w:p w14:paraId="54ECB398" w14:textId="77777777" w:rsidR="00EB5A84" w:rsidRDefault="00EB5A84" w:rsidP="00EB5A84">
      <w:pPr>
        <w:pStyle w:val="NoSpacing"/>
        <w:ind w:left="720"/>
      </w:pPr>
      <w:r>
        <w:t>“</w:t>
      </w:r>
      <w:r w:rsidRPr="005B601F">
        <w:t>On May 2, 2021, at approximately 8:26p.m., Police Officer Christopher Murphy responded to the corner of Putnam and Patchen Avenues in response to reports of a male shot. Officer Murphy was one of the first officers to respond. His body worn camera was activated and captured the entirety of his interaction with decedent at the crime scene, during transport to the hospital and at the hospital.</w:t>
      </w:r>
    </w:p>
    <w:p w14:paraId="17B2B82C" w14:textId="77777777" w:rsidR="00EB5A84" w:rsidRPr="005B601F" w:rsidRDefault="00EB5A84" w:rsidP="00EB5A84">
      <w:pPr>
        <w:pStyle w:val="NoSpacing"/>
        <w:ind w:left="720"/>
      </w:pPr>
    </w:p>
    <w:p w14:paraId="3E501D51" w14:textId="77777777" w:rsidR="00EB5A84" w:rsidRDefault="00EB5A84" w:rsidP="00EB5A84">
      <w:pPr>
        <w:pStyle w:val="NoSpacing"/>
        <w:ind w:left="720"/>
      </w:pPr>
      <w:r w:rsidRPr="005B601F">
        <w:t xml:space="preserve">Officer Murphy approached decedent, who was lying on his stomach, and assessed him for injuries. Decedent rolled over onto his back and Officer Murphy applied a torniquet to his left leg which was bleeding profusely. Officer Murphy placed pressure on a wound to decedent's stomach area. During this time, decedent repeatedly asked for an ambulance, expressed that he was in pain and requested water. Officer Murphy told him to stay awake and to keep breathing. At one point, it appeared that decedent passed out. Officer Murphy asked what had happened, but </w:t>
      </w:r>
      <w:proofErr w:type="gramStart"/>
      <w:r w:rsidRPr="005B601F">
        <w:t>decedent</w:t>
      </w:r>
      <w:proofErr w:type="gramEnd"/>
      <w:r w:rsidRPr="005B601F">
        <w:t xml:space="preserve"> was unable to answer the most basic questions due to his pain and injuries.</w:t>
      </w:r>
    </w:p>
    <w:p w14:paraId="22818225" w14:textId="77777777" w:rsidR="00EB5A84" w:rsidRPr="005B601F" w:rsidRDefault="00EB5A84" w:rsidP="00EB5A84">
      <w:pPr>
        <w:pStyle w:val="NoSpacing"/>
        <w:ind w:left="720"/>
      </w:pPr>
    </w:p>
    <w:p w14:paraId="5D6A977D" w14:textId="77777777" w:rsidR="00EB5A84" w:rsidRDefault="00EB5A84" w:rsidP="00EB5A84">
      <w:pPr>
        <w:pStyle w:val="NoSpacing"/>
        <w:ind w:left="720"/>
      </w:pPr>
      <w:r w:rsidRPr="005B601F">
        <w:lastRenderedPageBreak/>
        <w:t>While Officer Murphy was attending decedent's injuries, another officer asked his name, where the shooting occurred, and who shot him. Decedent was unable to answer any of the questions posed. The officers learned his name from someone else on the scene and stopped asking decedent questions.</w:t>
      </w:r>
    </w:p>
    <w:p w14:paraId="5D426C47" w14:textId="77777777" w:rsidR="00EB5A84" w:rsidRPr="005B601F" w:rsidRDefault="00EB5A84" w:rsidP="00EB5A84">
      <w:pPr>
        <w:pStyle w:val="NoSpacing"/>
        <w:ind w:left="720"/>
      </w:pPr>
    </w:p>
    <w:p w14:paraId="5840BFC6" w14:textId="77777777" w:rsidR="00EB5A84" w:rsidRDefault="00EB5A84" w:rsidP="00EB5A84">
      <w:pPr>
        <w:pStyle w:val="NoSpacing"/>
        <w:ind w:left="720"/>
      </w:pPr>
      <w:r w:rsidRPr="005B601F">
        <w:t xml:space="preserve">At approximately 8:33 p.m., an ambulance arrived and the EMTs noted decedent's diminished breathing and low blood pressure. The EMTs encouraged decedent to </w:t>
      </w:r>
      <w:r>
        <w:t>‘</w:t>
      </w:r>
      <w:r w:rsidRPr="005B601F">
        <w:t>stay with us, stay awake, stay with me.</w:t>
      </w:r>
      <w:r>
        <w:t>’</w:t>
      </w:r>
      <w:r w:rsidRPr="005B601F">
        <w:t xml:space="preserve"> Decedent was given oxygen and was encouraged to take deep breaths. Decedent requested more oxygen, but the EMTs stated that it was already at a high level. They suggested he breathe through his nose.</w:t>
      </w:r>
    </w:p>
    <w:p w14:paraId="470A02EB" w14:textId="77777777" w:rsidR="00EB5A84" w:rsidRDefault="00EB5A84" w:rsidP="00EB5A84">
      <w:pPr>
        <w:pStyle w:val="NoSpacing"/>
        <w:ind w:left="720"/>
      </w:pPr>
    </w:p>
    <w:p w14:paraId="661ED21A" w14:textId="77777777" w:rsidR="00EB5A84" w:rsidRDefault="00EB5A84" w:rsidP="00EB5A84">
      <w:pPr>
        <w:pStyle w:val="NoSpacing"/>
        <w:ind w:left="720"/>
      </w:pPr>
      <w:r w:rsidRPr="00944CA6">
        <w:t xml:space="preserve">At 8:39 p.m., while still inside the ambulance, Decedent stated </w:t>
      </w:r>
      <w:r>
        <w:t>‘</w:t>
      </w:r>
      <w:r w:rsidRPr="00944CA6">
        <w:t>my brother did it, Bruce Biggs. Bruce Biggs shot me.</w:t>
      </w:r>
      <w:r>
        <w:t>’</w:t>
      </w:r>
      <w:r w:rsidRPr="00944CA6">
        <w:t xml:space="preserve"> The statement was spontaneous and not made in response to any questioning by Officer Murphy or the EMTs. Decedent then stated, </w:t>
      </w:r>
      <w:r>
        <w:t>‘</w:t>
      </w:r>
      <w:r w:rsidRPr="00944CA6">
        <w:t>I went to the precinct the other day and told the cop at the desk, a Spanish dude, he wouldn't listen to me. I told him he's after me [inaudible</w:t>
      </w:r>
      <w:proofErr w:type="gramStart"/>
      <w:r w:rsidRPr="00944CA6">
        <w:t>]</w:t>
      </w:r>
      <w:proofErr w:type="gramEnd"/>
      <w:r w:rsidRPr="00944CA6">
        <w:t xml:space="preserve"> but he wouldn't listen.</w:t>
      </w:r>
      <w:r>
        <w:t>’</w:t>
      </w:r>
      <w:r w:rsidRPr="00944CA6">
        <w:t xml:space="preserve"> After this statement, Officer Murphy </w:t>
      </w:r>
      <w:proofErr w:type="gramStart"/>
      <w:r w:rsidRPr="00944CA6">
        <w:t>asked</w:t>
      </w:r>
      <w:proofErr w:type="gramEnd"/>
      <w:r w:rsidRPr="00944CA6">
        <w:t xml:space="preserve"> </w:t>
      </w:r>
      <w:r>
        <w:t>‘</w:t>
      </w:r>
      <w:r w:rsidRPr="00944CA6">
        <w:t>Who did it?</w:t>
      </w:r>
      <w:r>
        <w:t xml:space="preserve">’ </w:t>
      </w:r>
      <w:r w:rsidRPr="00944CA6">
        <w:t xml:space="preserve"> to which Biggs responded, </w:t>
      </w:r>
      <w:r>
        <w:t>‘</w:t>
      </w:r>
      <w:r w:rsidRPr="00944CA6">
        <w:t>Bruce Biggs.</w:t>
      </w:r>
      <w:r>
        <w:t>’</w:t>
      </w:r>
      <w:r w:rsidRPr="00944CA6">
        <w:t xml:space="preserve"> Officer Murphy clarified by asking </w:t>
      </w:r>
      <w:r>
        <w:t>‘</w:t>
      </w:r>
      <w:r w:rsidRPr="00944CA6">
        <w:t>Bruce Biggs?</w:t>
      </w:r>
      <w:r>
        <w:t>’</w:t>
      </w:r>
      <w:r w:rsidRPr="00944CA6">
        <w:t xml:space="preserve"> and Biggs responded, </w:t>
      </w:r>
      <w:r>
        <w:t>‘</w:t>
      </w:r>
      <w:r w:rsidRPr="00944CA6">
        <w:t>74 Bainbridge Street.</w:t>
      </w:r>
      <w:r>
        <w:t>’”</w:t>
      </w:r>
    </w:p>
    <w:p w14:paraId="476F1C64" w14:textId="77777777" w:rsidR="00EB5A84" w:rsidRDefault="00EB5A84" w:rsidP="00EB5A84">
      <w:pPr>
        <w:pStyle w:val="NoSpacing"/>
        <w:ind w:left="720"/>
      </w:pPr>
    </w:p>
    <w:p w14:paraId="0CA10637" w14:textId="77777777" w:rsidR="00EB5A84" w:rsidRPr="00F43962" w:rsidRDefault="00EB5A84" w:rsidP="00EB5A84">
      <w:pPr>
        <w:pStyle w:val="NoSpacing"/>
        <w:rPr>
          <w:b/>
          <w:bCs/>
        </w:rPr>
      </w:pPr>
      <w:r>
        <w:rPr>
          <w:b/>
        </w:rPr>
        <w:t xml:space="preserve">Legal lesson learned: EMS should document in their run report the comments by the patient that his brother shot him.  </w:t>
      </w:r>
    </w:p>
    <w:p w14:paraId="18783650" w14:textId="77777777" w:rsidR="00EB5A84" w:rsidRDefault="00EB5A84" w:rsidP="00EB5A84">
      <w:pPr>
        <w:pStyle w:val="NoSpacing"/>
        <w:ind w:left="720"/>
      </w:pPr>
    </w:p>
    <w:p w14:paraId="56C855BB" w14:textId="77777777" w:rsidR="00EB5A84" w:rsidRDefault="00EB5A84" w:rsidP="00EB5A84">
      <w:pPr>
        <w:pStyle w:val="NoSpacing"/>
        <w:ind w:left="720"/>
      </w:pPr>
    </w:p>
    <w:p w14:paraId="35D2BF59" w14:textId="4001BAA7" w:rsidR="002E2CF4" w:rsidRPr="002E2CF4" w:rsidRDefault="002E2CF4" w:rsidP="00542851">
      <w:pPr>
        <w:rPr>
          <w:rFonts w:ascii="Arial Black" w:hAnsi="Arial Black"/>
          <w:b/>
          <w:bCs/>
          <w:sz w:val="24"/>
          <w:szCs w:val="24"/>
        </w:rPr>
      </w:pPr>
      <w:r w:rsidRPr="002E2CF4">
        <w:rPr>
          <w:rFonts w:ascii="Arial Black" w:hAnsi="Arial Black"/>
          <w:b/>
          <w:bCs/>
          <w:sz w:val="24"/>
          <w:szCs w:val="24"/>
        </w:rPr>
        <w:t>13-22</w:t>
      </w:r>
      <w:r w:rsidR="00524647">
        <w:rPr>
          <w:rFonts w:ascii="Arial Black" w:hAnsi="Arial Black"/>
          <w:b/>
          <w:bCs/>
          <w:sz w:val="24"/>
          <w:szCs w:val="24"/>
        </w:rPr>
        <w:t>1</w:t>
      </w:r>
    </w:p>
    <w:p w14:paraId="760ACA58" w14:textId="77777777" w:rsidR="00BA6717" w:rsidRPr="00204D78" w:rsidRDefault="00BA6717" w:rsidP="00BA6717">
      <w:pPr>
        <w:pStyle w:val="NoSpacing"/>
        <w:rPr>
          <w:rFonts w:ascii="Arial Black" w:hAnsi="Arial Black"/>
          <w:bCs/>
          <w:sz w:val="28"/>
          <w:szCs w:val="28"/>
        </w:rPr>
      </w:pPr>
      <w:r>
        <w:rPr>
          <w:rFonts w:ascii="Arial Black" w:hAnsi="Arial Black"/>
          <w:sz w:val="28"/>
          <w:szCs w:val="28"/>
        </w:rPr>
        <w:t>TX: “MD” TOLD EMS NOT TREAT PT - NOT A PHYSICIAN</w:t>
      </w:r>
    </w:p>
    <w:p w14:paraId="170191E0" w14:textId="77777777" w:rsidR="00BA6717" w:rsidRDefault="00BA6717" w:rsidP="00BA6717">
      <w:pPr>
        <w:pStyle w:val="NoSpacing"/>
        <w:rPr>
          <w:bCs/>
        </w:rPr>
      </w:pPr>
    </w:p>
    <w:p w14:paraId="40B805BB" w14:textId="3F99B353" w:rsidR="00BA6717" w:rsidRPr="00662E1A" w:rsidRDefault="00BA6717" w:rsidP="00BA6717">
      <w:pPr>
        <w:pStyle w:val="NoSpacing"/>
        <w:rPr>
          <w:rFonts w:ascii="Times New Roman" w:hAnsi="Times New Roman"/>
          <w:bCs/>
          <w:sz w:val="24"/>
          <w:szCs w:val="24"/>
        </w:rPr>
      </w:pPr>
      <w:r w:rsidRPr="00662E1A">
        <w:rPr>
          <w:rFonts w:ascii="Times New Roman" w:hAnsi="Times New Roman"/>
          <w:sz w:val="24"/>
          <w:szCs w:val="24"/>
        </w:rPr>
        <w:t xml:space="preserve">On July 24, 2025, in </w:t>
      </w:r>
      <w:r w:rsidRPr="00662E1A">
        <w:rPr>
          <w:rFonts w:ascii="Times New Roman" w:hAnsi="Times New Roman"/>
          <w:sz w:val="24"/>
          <w:szCs w:val="24"/>
          <w:u w:val="single"/>
        </w:rPr>
        <w:t>Texas Medical Board v. Grayce Yannuzzi</w:t>
      </w:r>
      <w:r w:rsidRPr="00662E1A">
        <w:rPr>
          <w:rFonts w:ascii="Times New Roman" w:hAnsi="Times New Roman"/>
          <w:sz w:val="24"/>
          <w:szCs w:val="24"/>
        </w:rPr>
        <w:t>, the Court of Appeals of Texas, Fifteenth District, held (3 to 0) that the Medical Board properly issued a cease-and-desist order</w:t>
      </w:r>
      <w:r w:rsidR="001F4349">
        <w:rPr>
          <w:rFonts w:ascii="Times New Roman" w:hAnsi="Times New Roman"/>
          <w:sz w:val="24"/>
          <w:szCs w:val="24"/>
        </w:rPr>
        <w:t xml:space="preserve"> </w:t>
      </w:r>
      <w:r w:rsidRPr="00662E1A">
        <w:rPr>
          <w:rFonts w:ascii="Times New Roman" w:hAnsi="Times New Roman"/>
          <w:sz w:val="24"/>
          <w:szCs w:val="24"/>
        </w:rPr>
        <w:t xml:space="preserve">prohibiting Grayce Yannuzzi from holding herself out to be a licensed physician.  She is a licensed laser hair professional who works at Ginger Allure </w:t>
      </w:r>
      <w:proofErr w:type="gramStart"/>
      <w:r w:rsidRPr="00662E1A">
        <w:rPr>
          <w:rFonts w:ascii="Times New Roman" w:hAnsi="Times New Roman"/>
          <w:sz w:val="24"/>
          <w:szCs w:val="24"/>
        </w:rPr>
        <w:t>MedSpa (‘</w:t>
      </w:r>
      <w:proofErr w:type="gramEnd"/>
      <w:r w:rsidRPr="00662E1A">
        <w:rPr>
          <w:rFonts w:ascii="Times New Roman" w:hAnsi="Times New Roman"/>
          <w:sz w:val="24"/>
          <w:szCs w:val="24"/>
        </w:rPr>
        <w:t xml:space="preserve">MedSpa’), under the direction of a Dr. Clark.  She claims that she was merely telling the medic and his Medical Director that Dr. Clark would see the patient.  Trial Court judge set aside the Board’s order; Court of Appeals disagreed and reinstated the order. THE COURT HELD: “[Paramedic Christopher] Stevens and Dr. Abraham’s testimony ‘demonstrates a reasonable basis for’ the Board’s decision.” </w:t>
      </w:r>
    </w:p>
    <w:p w14:paraId="6EC09F89" w14:textId="77777777" w:rsidR="00BA6717" w:rsidRPr="00662E1A" w:rsidRDefault="00BA6717" w:rsidP="00BA6717">
      <w:pPr>
        <w:pStyle w:val="NoSpacing"/>
        <w:rPr>
          <w:rFonts w:ascii="Times New Roman" w:hAnsi="Times New Roman"/>
          <w:bCs/>
          <w:sz w:val="24"/>
          <w:szCs w:val="24"/>
        </w:rPr>
      </w:pPr>
      <w:hyperlink r:id="rId2096" w:history="1">
        <w:r w:rsidRPr="00662E1A">
          <w:rPr>
            <w:rStyle w:val="Hyperlink"/>
            <w:rFonts w:ascii="Times New Roman" w:hAnsi="Times New Roman"/>
            <w:sz w:val="24"/>
            <w:szCs w:val="24"/>
          </w:rPr>
          <w:t>https://cases.justia.com/texas/fifteenth-court-of-appeals/2025-15-24-00048-cv.pdf?ts=1753365777</w:t>
        </w:r>
      </w:hyperlink>
    </w:p>
    <w:p w14:paraId="2A69C4BC" w14:textId="77777777" w:rsidR="00180F76" w:rsidRDefault="00180F76" w:rsidP="000A0CD1">
      <w:pPr>
        <w:pStyle w:val="NoSpacing"/>
        <w:rPr>
          <w:rFonts w:ascii="Times New Roman" w:hAnsi="Times New Roman"/>
          <w:b/>
          <w:sz w:val="24"/>
          <w:szCs w:val="24"/>
        </w:rPr>
      </w:pPr>
    </w:p>
    <w:p w14:paraId="0C36EFE3" w14:textId="1FF58E88" w:rsidR="000A0CD1" w:rsidRPr="00662E1A" w:rsidRDefault="000A0CD1" w:rsidP="000A0CD1">
      <w:pPr>
        <w:pStyle w:val="NoSpacing"/>
        <w:rPr>
          <w:rFonts w:ascii="Times New Roman" w:hAnsi="Times New Roman"/>
          <w:b/>
          <w:sz w:val="24"/>
          <w:szCs w:val="24"/>
        </w:rPr>
      </w:pPr>
      <w:r w:rsidRPr="00662E1A">
        <w:rPr>
          <w:rFonts w:ascii="Times New Roman" w:hAnsi="Times New Roman"/>
          <w:b/>
          <w:sz w:val="24"/>
          <w:szCs w:val="24"/>
        </w:rPr>
        <w:t xml:space="preserve">Legal Lesson Learned:  Paramedic wisely contacted Medical Director when person said she was a physician.  </w:t>
      </w:r>
    </w:p>
    <w:p w14:paraId="329D8C24" w14:textId="77777777" w:rsidR="000A0CD1" w:rsidRPr="00662E1A" w:rsidRDefault="000A0CD1" w:rsidP="000A0CD1">
      <w:pPr>
        <w:pStyle w:val="NoSpacing"/>
        <w:ind w:left="720"/>
        <w:rPr>
          <w:rFonts w:ascii="Times New Roman" w:hAnsi="Times New Roman"/>
          <w:b/>
          <w:sz w:val="24"/>
          <w:szCs w:val="24"/>
        </w:rPr>
      </w:pPr>
    </w:p>
    <w:p w14:paraId="03CC4008" w14:textId="77777777" w:rsidR="002E2CF4" w:rsidRDefault="002E2CF4" w:rsidP="00705D47">
      <w:pPr>
        <w:rPr>
          <w:rFonts w:ascii="Arial Black" w:hAnsi="Arial Black"/>
          <w:b/>
          <w:bCs/>
          <w:sz w:val="24"/>
          <w:szCs w:val="24"/>
        </w:rPr>
      </w:pPr>
    </w:p>
    <w:p w14:paraId="63F8D772" w14:textId="66187F28" w:rsidR="00542851" w:rsidRPr="002E2CF4" w:rsidRDefault="002E2CF4" w:rsidP="00705D47">
      <w:pPr>
        <w:rPr>
          <w:rFonts w:ascii="Arial Black" w:hAnsi="Arial Black"/>
          <w:b/>
          <w:bCs/>
          <w:sz w:val="24"/>
          <w:szCs w:val="24"/>
        </w:rPr>
      </w:pPr>
      <w:r w:rsidRPr="002E2CF4">
        <w:rPr>
          <w:rFonts w:ascii="Arial Black" w:hAnsi="Arial Black"/>
          <w:b/>
          <w:bCs/>
          <w:sz w:val="24"/>
          <w:szCs w:val="24"/>
        </w:rPr>
        <w:t>13-22</w:t>
      </w:r>
      <w:r w:rsidR="00524647">
        <w:rPr>
          <w:rFonts w:ascii="Arial Black" w:hAnsi="Arial Black"/>
          <w:b/>
          <w:bCs/>
          <w:sz w:val="24"/>
          <w:szCs w:val="24"/>
        </w:rPr>
        <w:t>0</w:t>
      </w:r>
    </w:p>
    <w:p w14:paraId="009C54BD" w14:textId="444F67CF" w:rsidR="004E4AEF" w:rsidRDefault="004E4AEF" w:rsidP="004E4AEF">
      <w:pPr>
        <w:pStyle w:val="NoSpacing"/>
        <w:rPr>
          <w:rFonts w:ascii="Arial Black" w:hAnsi="Arial Black"/>
          <w:b/>
          <w:sz w:val="28"/>
          <w:szCs w:val="28"/>
        </w:rPr>
      </w:pPr>
      <w:r>
        <w:rPr>
          <w:rFonts w:ascii="Arial Black" w:hAnsi="Arial Black"/>
          <w:b/>
          <w:sz w:val="28"/>
          <w:szCs w:val="28"/>
        </w:rPr>
        <w:t xml:space="preserve">NY: EMS OFFICER – DIDN’T WRITE RPT </w:t>
      </w:r>
      <w:r w:rsidR="0039559E">
        <w:rPr>
          <w:rFonts w:ascii="Arial Black" w:hAnsi="Arial Black"/>
          <w:b/>
          <w:sz w:val="28"/>
          <w:szCs w:val="28"/>
        </w:rPr>
        <w:t xml:space="preserve">TO </w:t>
      </w:r>
      <w:r>
        <w:rPr>
          <w:rFonts w:ascii="Arial Black" w:hAnsi="Arial Black"/>
          <w:b/>
          <w:sz w:val="28"/>
          <w:szCs w:val="28"/>
        </w:rPr>
        <w:t xml:space="preserve">CHIEF – 1-YR SUSP  </w:t>
      </w:r>
    </w:p>
    <w:p w14:paraId="086B832C" w14:textId="77777777" w:rsidR="004E4AEF" w:rsidRDefault="004E4AEF" w:rsidP="004E4AEF">
      <w:pPr>
        <w:pStyle w:val="NoSpacing"/>
        <w:rPr>
          <w:rFonts w:ascii="Arial Black" w:hAnsi="Arial Black"/>
          <w:b/>
          <w:sz w:val="28"/>
          <w:szCs w:val="28"/>
        </w:rPr>
      </w:pPr>
    </w:p>
    <w:p w14:paraId="1F93DE6B" w14:textId="77777777" w:rsidR="004E4AEF" w:rsidRPr="003D20B2" w:rsidRDefault="004E4AEF" w:rsidP="004E4AEF">
      <w:pPr>
        <w:pStyle w:val="NoSpacing"/>
        <w:rPr>
          <w:rFonts w:ascii="Times New Roman" w:hAnsi="Times New Roman"/>
          <w:sz w:val="24"/>
          <w:szCs w:val="24"/>
        </w:rPr>
      </w:pPr>
      <w:r w:rsidRPr="003D20B2">
        <w:rPr>
          <w:rFonts w:ascii="Times New Roman" w:hAnsi="Times New Roman"/>
          <w:sz w:val="24"/>
          <w:szCs w:val="24"/>
        </w:rPr>
        <w:t xml:space="preserve">On July 24, 2025, in </w:t>
      </w:r>
      <w:r w:rsidRPr="003D20B2">
        <w:rPr>
          <w:rFonts w:ascii="Times New Roman" w:hAnsi="Times New Roman"/>
          <w:sz w:val="24"/>
          <w:szCs w:val="24"/>
          <w:u w:val="single"/>
        </w:rPr>
        <w:t>Joseph Oginski v. Vigilant Engine And Hook And Ladder Company, Inc, et al</w:t>
      </w:r>
      <w:r w:rsidRPr="003D20B2">
        <w:rPr>
          <w:rFonts w:ascii="Times New Roman" w:hAnsi="Times New Roman"/>
          <w:sz w:val="24"/>
          <w:szCs w:val="24"/>
        </w:rPr>
        <w:t xml:space="preserve">.,  U.S. District Court Judge Joan M. </w:t>
      </w:r>
      <w:proofErr w:type="spellStart"/>
      <w:r w:rsidRPr="003D20B2">
        <w:rPr>
          <w:rFonts w:ascii="Times New Roman" w:hAnsi="Times New Roman"/>
          <w:sz w:val="24"/>
          <w:szCs w:val="24"/>
        </w:rPr>
        <w:t>Azrack</w:t>
      </w:r>
      <w:proofErr w:type="spellEnd"/>
      <w:r w:rsidRPr="003D20B2">
        <w:rPr>
          <w:rFonts w:ascii="Times New Roman" w:hAnsi="Times New Roman"/>
          <w:sz w:val="24"/>
          <w:szCs w:val="24"/>
        </w:rPr>
        <w:t>, United States District Court for Eastern District of New York, dismissed the lawsuit alleging retaliation in violation of his Constitutional right to free speech since his communications were not as a citizen but as a member on the department.  The plaintiff was EMS 1</w:t>
      </w:r>
      <w:r w:rsidRPr="003D20B2">
        <w:rPr>
          <w:rFonts w:ascii="Times New Roman" w:hAnsi="Times New Roman"/>
          <w:sz w:val="24"/>
          <w:szCs w:val="24"/>
          <w:vertAlign w:val="superscript"/>
        </w:rPr>
        <w:t>st</w:t>
      </w:r>
      <w:r w:rsidRPr="003D20B2">
        <w:rPr>
          <w:rFonts w:ascii="Times New Roman" w:hAnsi="Times New Roman"/>
          <w:sz w:val="24"/>
          <w:szCs w:val="24"/>
        </w:rPr>
        <w:t xml:space="preserve"> Assistant Chief of the department and had repeatedly urged the Board, including in a lengthy e-mail of August 7, 2022, to direct the Fire Chief to have all members use of the County Communication’s </w:t>
      </w:r>
      <w:proofErr w:type="spellStart"/>
      <w:r w:rsidRPr="003D20B2">
        <w:rPr>
          <w:rFonts w:ascii="Times New Roman" w:hAnsi="Times New Roman"/>
          <w:sz w:val="24"/>
          <w:szCs w:val="24"/>
        </w:rPr>
        <w:t>Bryx</w:t>
      </w:r>
      <w:proofErr w:type="spellEnd"/>
      <w:r w:rsidRPr="003D20B2">
        <w:rPr>
          <w:rFonts w:ascii="Times New Roman" w:hAnsi="Times New Roman"/>
          <w:sz w:val="24"/>
          <w:szCs w:val="24"/>
        </w:rPr>
        <w:t xml:space="preserve"> 911 App for early notification of runs. The Board declined to do this.  On September 18, </w:t>
      </w:r>
      <w:proofErr w:type="gramStart"/>
      <w:r w:rsidRPr="003D20B2">
        <w:rPr>
          <w:rFonts w:ascii="Times New Roman" w:hAnsi="Times New Roman"/>
          <w:sz w:val="24"/>
          <w:szCs w:val="24"/>
        </w:rPr>
        <w:t>2022</w:t>
      </w:r>
      <w:proofErr w:type="gramEnd"/>
      <w:r w:rsidRPr="003D20B2">
        <w:rPr>
          <w:rFonts w:ascii="Times New Roman" w:hAnsi="Times New Roman"/>
          <w:sz w:val="24"/>
          <w:szCs w:val="24"/>
        </w:rPr>
        <w:t xml:space="preserve"> the plaintiff responded to EMS call at nursing home for COVID patient; he refused to go in until fit tested COVID masks were brought from fire station to the ambulance.  The Fire Chief ordered him to submit a written report, which he refused to provide until meeting </w:t>
      </w:r>
      <w:r w:rsidRPr="003D20B2">
        <w:rPr>
          <w:rFonts w:ascii="Times New Roman" w:hAnsi="Times New Roman"/>
          <w:sz w:val="24"/>
          <w:szCs w:val="24"/>
        </w:rPr>
        <w:lastRenderedPageBreak/>
        <w:t xml:space="preserve">with Board’s Chair and attorney.  After a Board hearing on November 1, </w:t>
      </w:r>
      <w:proofErr w:type="gramStart"/>
      <w:r w:rsidRPr="003D20B2">
        <w:rPr>
          <w:rFonts w:ascii="Times New Roman" w:hAnsi="Times New Roman"/>
          <w:sz w:val="24"/>
          <w:szCs w:val="24"/>
        </w:rPr>
        <w:t>2022</w:t>
      </w:r>
      <w:proofErr w:type="gramEnd"/>
      <w:r w:rsidRPr="003D20B2">
        <w:rPr>
          <w:rFonts w:ascii="Times New Roman" w:hAnsi="Times New Roman"/>
          <w:sz w:val="24"/>
          <w:szCs w:val="24"/>
        </w:rPr>
        <w:t xml:space="preserve"> he was suspended for one year.  The case was first submitted to a U.S. Magistrate Judge who concluded that Oginski’s communications with the FD Board were part of official duties, and not as a private citizen; Federal Judge </w:t>
      </w:r>
      <w:proofErr w:type="spellStart"/>
      <w:r w:rsidRPr="003D20B2">
        <w:rPr>
          <w:rFonts w:ascii="Times New Roman" w:hAnsi="Times New Roman"/>
          <w:sz w:val="24"/>
          <w:szCs w:val="24"/>
        </w:rPr>
        <w:t>Azrack</w:t>
      </w:r>
      <w:proofErr w:type="spellEnd"/>
      <w:r w:rsidRPr="003D20B2">
        <w:rPr>
          <w:rFonts w:ascii="Times New Roman" w:hAnsi="Times New Roman"/>
          <w:sz w:val="24"/>
          <w:szCs w:val="24"/>
        </w:rPr>
        <w:t xml:space="preserve"> agreed. THE COURT HELD: “Here, however, the  communications at issue were made in the context of his employment and pursuant to Plaintiff's official duties.” </w:t>
      </w:r>
      <w:hyperlink r:id="rId2097" w:history="1">
        <w:r w:rsidRPr="003D20B2">
          <w:rPr>
            <w:rStyle w:val="Hyperlink"/>
            <w:rFonts w:ascii="Times New Roman" w:hAnsi="Times New Roman"/>
            <w:sz w:val="24"/>
            <w:szCs w:val="24"/>
          </w:rPr>
          <w:t>https://public.fastcase.com/jaEE2PXzRXmZ99jOLMt1Iur66SqTUHCh2%2F6i5JSa4l6hU%2FvLi%2B5AObhTx2DvFKDq?utm_medium=email&amp;_hsenc=p2ANqtz--swmEKE2bBH1yxnsdN_yPFP1ssqGq5KgURTPyK4vIy-QrvDWKI9I9IkKVZfzKsNc7HzZR6NsXw-W4jNuqGESlXN6G9zw&amp;_hsmi=226712652&amp;utm_content=226712652&amp;utm_source=hs_email</w:t>
        </w:r>
      </w:hyperlink>
      <w:r w:rsidRPr="003D20B2">
        <w:rPr>
          <w:rFonts w:ascii="Times New Roman" w:hAnsi="Times New Roman"/>
          <w:sz w:val="24"/>
          <w:szCs w:val="24"/>
        </w:rPr>
        <w:t xml:space="preserve"> </w:t>
      </w:r>
    </w:p>
    <w:p w14:paraId="06C86D07" w14:textId="77777777" w:rsidR="004E4AEF" w:rsidRPr="003D20B2" w:rsidRDefault="004E4AEF" w:rsidP="004E4AEF">
      <w:pPr>
        <w:pStyle w:val="NoSpacing"/>
        <w:rPr>
          <w:rFonts w:ascii="Times New Roman" w:hAnsi="Times New Roman"/>
          <w:sz w:val="24"/>
          <w:szCs w:val="24"/>
        </w:rPr>
      </w:pPr>
    </w:p>
    <w:p w14:paraId="2EDBDB94" w14:textId="77777777" w:rsidR="00297B95" w:rsidRPr="003D20B2" w:rsidRDefault="00297B95" w:rsidP="00297B95">
      <w:pPr>
        <w:pStyle w:val="NoSpacing"/>
        <w:rPr>
          <w:rFonts w:ascii="Times New Roman" w:hAnsi="Times New Roman"/>
          <w:b/>
          <w:bCs/>
          <w:sz w:val="24"/>
          <w:szCs w:val="24"/>
        </w:rPr>
      </w:pPr>
      <w:r w:rsidRPr="003D20B2">
        <w:rPr>
          <w:rFonts w:ascii="Times New Roman" w:hAnsi="Times New Roman"/>
          <w:b/>
          <w:sz w:val="24"/>
          <w:szCs w:val="24"/>
        </w:rPr>
        <w:t>Legal lesson learned:  EMS officer’s e-mails and other communications with Fire Department Board are not protected by First Amendment; his refusal to complete a written report to the Fire Chief about an EMS run is basis for discipline.</w:t>
      </w:r>
    </w:p>
    <w:p w14:paraId="438390E9" w14:textId="77777777" w:rsidR="00297B95" w:rsidRPr="003D20B2" w:rsidRDefault="00297B95" w:rsidP="00297B95">
      <w:pPr>
        <w:pStyle w:val="NoSpacing"/>
        <w:rPr>
          <w:rFonts w:ascii="Times New Roman" w:hAnsi="Times New Roman"/>
          <w:sz w:val="24"/>
          <w:szCs w:val="24"/>
        </w:rPr>
      </w:pPr>
    </w:p>
    <w:p w14:paraId="295B13D0" w14:textId="77777777" w:rsidR="00297B95" w:rsidRPr="003D20B2" w:rsidRDefault="00297B95" w:rsidP="00297B95">
      <w:pPr>
        <w:pStyle w:val="NoSpacing"/>
        <w:ind w:left="720"/>
        <w:rPr>
          <w:rFonts w:ascii="Times New Roman" w:hAnsi="Times New Roman"/>
          <w:sz w:val="24"/>
          <w:szCs w:val="24"/>
        </w:rPr>
      </w:pPr>
      <w:r w:rsidRPr="003D20B2">
        <w:rPr>
          <w:rFonts w:ascii="Times New Roman" w:hAnsi="Times New Roman"/>
          <w:sz w:val="24"/>
          <w:szCs w:val="24"/>
        </w:rPr>
        <w:t xml:space="preserve">See June 18, </w:t>
      </w:r>
      <w:proofErr w:type="gramStart"/>
      <w:r w:rsidRPr="003D20B2">
        <w:rPr>
          <w:rFonts w:ascii="Times New Roman" w:hAnsi="Times New Roman"/>
          <w:sz w:val="24"/>
          <w:szCs w:val="24"/>
        </w:rPr>
        <w:t>2025</w:t>
      </w:r>
      <w:proofErr w:type="gramEnd"/>
      <w:r w:rsidRPr="003D20B2">
        <w:rPr>
          <w:rFonts w:ascii="Times New Roman" w:hAnsi="Times New Roman"/>
          <w:sz w:val="24"/>
          <w:szCs w:val="24"/>
        </w:rPr>
        <w:t xml:space="preserve"> Report and Recommendation of U.S. Magistrate Judge Shield. </w:t>
      </w:r>
      <w:hyperlink r:id="rId2098" w:history="1">
        <w:r w:rsidRPr="003D20B2">
          <w:rPr>
            <w:rStyle w:val="Hyperlink"/>
            <w:rFonts w:ascii="Times New Roman" w:hAnsi="Times New Roman"/>
            <w:sz w:val="24"/>
            <w:szCs w:val="24"/>
          </w:rPr>
          <w:t>https://public.fastcase.com/jaEE2PXzRXmZ99jOLMt1Ii3GHq1DqUk6JcIatDazVs2MT6qOPN%2BlSHCpyD6INecs?utm_medium=email&amp;_hsenc=p2ANqtz--mlDS8haOQgu8WvAgxTOdChC-L5bDfnY4D7GnlMH_0KI2lqvAqiMoF8QlUmIn8nD4qRtsgkZAeTqUVI7tJfHdW7459rg&amp;_hsmi=226712652&amp;utm_content=226712652&amp;utm_source=hs_email</w:t>
        </w:r>
      </w:hyperlink>
      <w:r w:rsidRPr="003D20B2">
        <w:rPr>
          <w:rFonts w:ascii="Times New Roman" w:hAnsi="Times New Roman"/>
          <w:sz w:val="24"/>
          <w:szCs w:val="24"/>
        </w:rPr>
        <w:t xml:space="preserve"> </w:t>
      </w:r>
    </w:p>
    <w:p w14:paraId="2613CBE2" w14:textId="77777777" w:rsidR="00297B95" w:rsidRPr="003D20B2" w:rsidRDefault="00297B95" w:rsidP="00297B95">
      <w:pPr>
        <w:pStyle w:val="NoSpacing"/>
        <w:rPr>
          <w:rFonts w:ascii="Times New Roman" w:hAnsi="Times New Roman"/>
          <w:sz w:val="24"/>
          <w:szCs w:val="24"/>
        </w:rPr>
      </w:pPr>
      <w:r w:rsidRPr="003D20B2">
        <w:rPr>
          <w:rFonts w:ascii="Times New Roman" w:hAnsi="Times New Roman"/>
          <w:sz w:val="24"/>
          <w:szCs w:val="24"/>
        </w:rPr>
        <w:t xml:space="preserve"> </w:t>
      </w:r>
    </w:p>
    <w:p w14:paraId="60817537" w14:textId="77777777" w:rsidR="00297B95" w:rsidRPr="003D20B2" w:rsidRDefault="00297B95" w:rsidP="00297B95">
      <w:pPr>
        <w:pStyle w:val="NoSpacing"/>
        <w:ind w:left="720"/>
        <w:rPr>
          <w:rFonts w:ascii="Times New Roman" w:hAnsi="Times New Roman"/>
          <w:sz w:val="24"/>
          <w:szCs w:val="24"/>
        </w:rPr>
      </w:pPr>
      <w:r w:rsidRPr="003D20B2">
        <w:rPr>
          <w:rFonts w:ascii="Times New Roman" w:hAnsi="Times New Roman"/>
          <w:sz w:val="24"/>
          <w:szCs w:val="24"/>
        </w:rPr>
        <w:t xml:space="preserve">“Oginski was, at all relevant times, a member of the Company…. He first joined Vigilant in 2008. </w:t>
      </w:r>
      <w:proofErr w:type="gramStart"/>
      <w:r w:rsidRPr="003D20B2">
        <w:rPr>
          <w:rFonts w:ascii="Times New Roman" w:hAnsi="Times New Roman"/>
          <w:sz w:val="24"/>
          <w:szCs w:val="24"/>
        </w:rPr>
        <w:t>During the course of</w:t>
      </w:r>
      <w:proofErr w:type="gramEnd"/>
      <w:r w:rsidRPr="003D20B2">
        <w:rPr>
          <w:rFonts w:ascii="Times New Roman" w:hAnsi="Times New Roman"/>
          <w:sz w:val="24"/>
          <w:szCs w:val="24"/>
        </w:rPr>
        <w:t xml:space="preserve"> his membership Oginski held numerous ‘operational and leadership’ positions. Such positions included serving as Sergeant at Arms, Financial Secretary, EMS Corporal, Fire Lieutenant, EMS Captain and EMS 1st Assistant Chief.</w:t>
      </w:r>
    </w:p>
    <w:p w14:paraId="617AB032" w14:textId="77777777" w:rsidR="00297B95" w:rsidRPr="003D20B2" w:rsidRDefault="00297B95" w:rsidP="00297B95">
      <w:pPr>
        <w:pStyle w:val="NoSpacing"/>
        <w:ind w:left="720"/>
        <w:rPr>
          <w:rFonts w:ascii="Times New Roman" w:hAnsi="Times New Roman"/>
          <w:sz w:val="24"/>
          <w:szCs w:val="24"/>
        </w:rPr>
      </w:pPr>
    </w:p>
    <w:p w14:paraId="3AC6599D" w14:textId="77777777" w:rsidR="00297B95" w:rsidRPr="003D20B2" w:rsidRDefault="00297B95" w:rsidP="00297B95">
      <w:pPr>
        <w:pStyle w:val="NoSpacing"/>
        <w:ind w:left="720"/>
        <w:rPr>
          <w:rFonts w:ascii="Times New Roman" w:hAnsi="Times New Roman"/>
          <w:sz w:val="24"/>
          <w:szCs w:val="24"/>
        </w:rPr>
      </w:pPr>
      <w:r w:rsidRPr="003D20B2">
        <w:rPr>
          <w:rFonts w:ascii="Times New Roman" w:hAnsi="Times New Roman"/>
          <w:sz w:val="24"/>
          <w:szCs w:val="24"/>
        </w:rPr>
        <w:t>***</w:t>
      </w:r>
    </w:p>
    <w:p w14:paraId="6668A1A4" w14:textId="77777777" w:rsidR="00297B95" w:rsidRPr="003D20B2" w:rsidRDefault="00297B95" w:rsidP="00297B95">
      <w:pPr>
        <w:pStyle w:val="NoSpacing"/>
        <w:ind w:left="720"/>
        <w:rPr>
          <w:rFonts w:ascii="Times New Roman" w:hAnsi="Times New Roman"/>
          <w:sz w:val="24"/>
          <w:szCs w:val="24"/>
        </w:rPr>
      </w:pPr>
    </w:p>
    <w:p w14:paraId="570E06F7" w14:textId="77777777" w:rsidR="00297B95" w:rsidRPr="003D20B2" w:rsidRDefault="00297B95" w:rsidP="00297B95">
      <w:pPr>
        <w:pStyle w:val="NoSpacing"/>
        <w:ind w:left="720"/>
        <w:rPr>
          <w:rFonts w:ascii="Times New Roman" w:hAnsi="Times New Roman"/>
          <w:sz w:val="24"/>
          <w:szCs w:val="24"/>
        </w:rPr>
      </w:pPr>
      <w:r w:rsidRPr="003D20B2">
        <w:rPr>
          <w:rFonts w:ascii="Times New Roman" w:hAnsi="Times New Roman"/>
          <w:sz w:val="24"/>
          <w:szCs w:val="24"/>
        </w:rPr>
        <w:t xml:space="preserve">On September 18, </w:t>
      </w:r>
      <w:proofErr w:type="gramStart"/>
      <w:r w:rsidRPr="003D20B2">
        <w:rPr>
          <w:rFonts w:ascii="Times New Roman" w:hAnsi="Times New Roman"/>
          <w:sz w:val="24"/>
          <w:szCs w:val="24"/>
        </w:rPr>
        <w:t>2022</w:t>
      </w:r>
      <w:proofErr w:type="gramEnd"/>
      <w:r w:rsidRPr="003D20B2">
        <w:rPr>
          <w:rFonts w:ascii="Times New Roman" w:hAnsi="Times New Roman"/>
          <w:sz w:val="24"/>
          <w:szCs w:val="24"/>
        </w:rPr>
        <w:t xml:space="preserve"> Oginski and other Company members responded to an emergency call received from a nursing home (the ‘September 2022 Nursing Home Call’)…. That call requested an ambulance for a Covid patient. Oginski was the responding ambulance driver…. A paramedic was already on the scene…. Upon arrival at the nursing home Oginski and the other responders found that their N95 masks did not create a facial seal…. Oginski attributes this to the fact that the masks were not fit-tested as required by law. Oginski had previously complained about the lack of </w:t>
      </w:r>
      <w:proofErr w:type="gramStart"/>
      <w:r w:rsidRPr="003D20B2">
        <w:rPr>
          <w:rFonts w:ascii="Times New Roman" w:hAnsi="Times New Roman"/>
          <w:sz w:val="24"/>
          <w:szCs w:val="24"/>
        </w:rPr>
        <w:t>fit-testing</w:t>
      </w:r>
      <w:proofErr w:type="gramEnd"/>
      <w:r w:rsidRPr="003D20B2">
        <w:rPr>
          <w:rFonts w:ascii="Times New Roman" w:hAnsi="Times New Roman"/>
          <w:sz w:val="24"/>
          <w:szCs w:val="24"/>
        </w:rPr>
        <w:t xml:space="preserve"> to </w:t>
      </w:r>
      <w:proofErr w:type="spellStart"/>
      <w:r w:rsidRPr="003D20B2">
        <w:rPr>
          <w:rFonts w:ascii="Times New Roman" w:hAnsi="Times New Roman"/>
          <w:sz w:val="24"/>
          <w:szCs w:val="24"/>
        </w:rPr>
        <w:t>Sachmechi</w:t>
      </w:r>
      <w:proofErr w:type="spellEnd"/>
      <w:r w:rsidRPr="003D20B2">
        <w:rPr>
          <w:rFonts w:ascii="Times New Roman" w:hAnsi="Times New Roman"/>
          <w:sz w:val="24"/>
          <w:szCs w:val="24"/>
        </w:rPr>
        <w:t xml:space="preserve"> and Cherry who ignored his complaints….  Upon arrival at the nursing home Oginski immediately contacted the firehouse and asked the dispatcher to send masks to the scene…. He also contacted Nassau County Medical </w:t>
      </w:r>
      <w:proofErr w:type="gramStart"/>
      <w:r w:rsidRPr="003D20B2">
        <w:rPr>
          <w:rFonts w:ascii="Times New Roman" w:hAnsi="Times New Roman"/>
          <w:sz w:val="24"/>
          <w:szCs w:val="24"/>
        </w:rPr>
        <w:t>Control (‘</w:t>
      </w:r>
      <w:proofErr w:type="gramEnd"/>
      <w:r w:rsidRPr="003D20B2">
        <w:rPr>
          <w:rFonts w:ascii="Times New Roman" w:hAnsi="Times New Roman"/>
          <w:sz w:val="24"/>
          <w:szCs w:val="24"/>
        </w:rPr>
        <w:t>Medical Control’) for guidance as to how to proceed. Medical Control advised Oginski that it was appropriate to wait at the scene for the arrival of masks before entering the nursing home…. Shortly thereafter, the responding crew was advised that the patient at issue was not Covid positive…. Once masks arrived, the Vigilant responders entered the nursing home to provide the requested emergency assistance.</w:t>
      </w:r>
    </w:p>
    <w:p w14:paraId="502E0B45" w14:textId="77777777" w:rsidR="00297B95" w:rsidRPr="003D20B2" w:rsidRDefault="00297B95" w:rsidP="00297B95">
      <w:pPr>
        <w:pStyle w:val="NoSpacing"/>
        <w:ind w:left="720"/>
        <w:rPr>
          <w:rFonts w:ascii="Times New Roman" w:hAnsi="Times New Roman"/>
          <w:sz w:val="24"/>
          <w:szCs w:val="24"/>
        </w:rPr>
      </w:pPr>
    </w:p>
    <w:p w14:paraId="1173323B" w14:textId="77777777" w:rsidR="00297B95" w:rsidRPr="003D20B2" w:rsidRDefault="00297B95" w:rsidP="00297B95">
      <w:pPr>
        <w:pStyle w:val="NoSpacing"/>
        <w:ind w:left="720"/>
        <w:rPr>
          <w:rFonts w:ascii="Times New Roman" w:hAnsi="Times New Roman"/>
          <w:sz w:val="24"/>
          <w:szCs w:val="24"/>
        </w:rPr>
      </w:pPr>
      <w:r w:rsidRPr="003D20B2">
        <w:rPr>
          <w:rFonts w:ascii="Times New Roman" w:hAnsi="Times New Roman"/>
          <w:sz w:val="24"/>
          <w:szCs w:val="24"/>
        </w:rPr>
        <w:t>***</w:t>
      </w:r>
    </w:p>
    <w:p w14:paraId="0B5AC4F3" w14:textId="77777777" w:rsidR="00297B95" w:rsidRPr="003D20B2" w:rsidRDefault="00297B95" w:rsidP="00297B95">
      <w:pPr>
        <w:pStyle w:val="NoSpacing"/>
        <w:rPr>
          <w:rFonts w:ascii="Times New Roman" w:hAnsi="Times New Roman"/>
          <w:sz w:val="24"/>
          <w:szCs w:val="24"/>
        </w:rPr>
      </w:pPr>
    </w:p>
    <w:p w14:paraId="344244A4" w14:textId="77777777" w:rsidR="00297B95" w:rsidRPr="003D20B2" w:rsidRDefault="00297B95" w:rsidP="00297B95">
      <w:pPr>
        <w:pStyle w:val="NoSpacing"/>
        <w:ind w:left="720"/>
        <w:rPr>
          <w:rFonts w:ascii="Times New Roman" w:hAnsi="Times New Roman"/>
          <w:sz w:val="24"/>
          <w:szCs w:val="24"/>
        </w:rPr>
      </w:pPr>
      <w:r w:rsidRPr="003D20B2">
        <w:rPr>
          <w:rFonts w:ascii="Times New Roman" w:hAnsi="Times New Roman"/>
          <w:sz w:val="24"/>
          <w:szCs w:val="24"/>
        </w:rPr>
        <w:t xml:space="preserve">Before they could meet, [Department Chief Justin] </w:t>
      </w:r>
      <w:proofErr w:type="spellStart"/>
      <w:r w:rsidRPr="003D20B2">
        <w:rPr>
          <w:rFonts w:ascii="Times New Roman" w:hAnsi="Times New Roman"/>
          <w:sz w:val="24"/>
          <w:szCs w:val="24"/>
        </w:rPr>
        <w:t>Sachmechi</w:t>
      </w:r>
      <w:proofErr w:type="spellEnd"/>
      <w:r w:rsidRPr="003D20B2">
        <w:rPr>
          <w:rFonts w:ascii="Times New Roman" w:hAnsi="Times New Roman"/>
          <w:sz w:val="24"/>
          <w:szCs w:val="24"/>
        </w:rPr>
        <w:t xml:space="preserve"> is stated to have approached Oginski and ‘demanded’ that he write a statement about what happened at the nursing home…. Oginski told </w:t>
      </w:r>
      <w:proofErr w:type="spellStart"/>
      <w:r w:rsidRPr="003D20B2">
        <w:rPr>
          <w:rFonts w:ascii="Times New Roman" w:hAnsi="Times New Roman"/>
          <w:sz w:val="24"/>
          <w:szCs w:val="24"/>
        </w:rPr>
        <w:t>Sachmechi</w:t>
      </w:r>
      <w:proofErr w:type="spellEnd"/>
      <w:r w:rsidRPr="003D20B2">
        <w:rPr>
          <w:rFonts w:ascii="Times New Roman" w:hAnsi="Times New Roman"/>
          <w:sz w:val="24"/>
          <w:szCs w:val="24"/>
        </w:rPr>
        <w:t xml:space="preserve"> that he did not wish to meet with him, and that he would provide statements to the Vigilant attorney and to the Chairman of the Board….  </w:t>
      </w:r>
      <w:proofErr w:type="spellStart"/>
      <w:r w:rsidRPr="003D20B2">
        <w:rPr>
          <w:rFonts w:ascii="Times New Roman" w:hAnsi="Times New Roman"/>
          <w:sz w:val="24"/>
          <w:szCs w:val="24"/>
        </w:rPr>
        <w:t>Sachmechi</w:t>
      </w:r>
      <w:proofErr w:type="spellEnd"/>
      <w:r w:rsidRPr="003D20B2">
        <w:rPr>
          <w:rFonts w:ascii="Times New Roman" w:hAnsi="Times New Roman"/>
          <w:sz w:val="24"/>
          <w:szCs w:val="24"/>
        </w:rPr>
        <w:t xml:space="preserve"> continued to ask Oginski to provide him with a </w:t>
      </w:r>
      <w:proofErr w:type="gramStart"/>
      <w:r w:rsidRPr="003D20B2">
        <w:rPr>
          <w:rFonts w:ascii="Times New Roman" w:hAnsi="Times New Roman"/>
          <w:sz w:val="24"/>
          <w:szCs w:val="24"/>
        </w:rPr>
        <w:t>statement, and</w:t>
      </w:r>
      <w:proofErr w:type="gramEnd"/>
      <w:r w:rsidRPr="003D20B2">
        <w:rPr>
          <w:rFonts w:ascii="Times New Roman" w:hAnsi="Times New Roman"/>
          <w:sz w:val="24"/>
          <w:szCs w:val="24"/>
        </w:rPr>
        <w:t xml:space="preserve"> threatened to suspend Oginski for failure to comply….  Oginski reiterated to </w:t>
      </w:r>
      <w:proofErr w:type="spellStart"/>
      <w:r w:rsidRPr="003D20B2">
        <w:rPr>
          <w:rFonts w:ascii="Times New Roman" w:hAnsi="Times New Roman"/>
          <w:sz w:val="24"/>
          <w:szCs w:val="24"/>
        </w:rPr>
        <w:t>Sachmechi</w:t>
      </w:r>
      <w:proofErr w:type="spellEnd"/>
      <w:r w:rsidRPr="003D20B2">
        <w:rPr>
          <w:rFonts w:ascii="Times New Roman" w:hAnsi="Times New Roman"/>
          <w:sz w:val="24"/>
          <w:szCs w:val="24"/>
        </w:rPr>
        <w:t xml:space="preserve"> that he would provide a statement, but only after first speaking with Vigilant's counsel and the Board Chair…. </w:t>
      </w:r>
      <w:proofErr w:type="spellStart"/>
      <w:r w:rsidRPr="003D20B2">
        <w:rPr>
          <w:rFonts w:ascii="Times New Roman" w:hAnsi="Times New Roman"/>
          <w:sz w:val="24"/>
          <w:szCs w:val="24"/>
        </w:rPr>
        <w:t>Sachmechi</w:t>
      </w:r>
      <w:proofErr w:type="spellEnd"/>
      <w:r w:rsidRPr="003D20B2">
        <w:rPr>
          <w:rFonts w:ascii="Times New Roman" w:hAnsi="Times New Roman"/>
          <w:sz w:val="24"/>
          <w:szCs w:val="24"/>
        </w:rPr>
        <w:t xml:space="preserve"> responded by suspending Oginski for 10 days…. On September 20, 2022 (the next day) Vigilant's Recording Secretary emailed Oginski a statement of charges that was filed by </w:t>
      </w:r>
      <w:proofErr w:type="spellStart"/>
      <w:r w:rsidRPr="003D20B2">
        <w:rPr>
          <w:rFonts w:ascii="Times New Roman" w:hAnsi="Times New Roman"/>
          <w:sz w:val="24"/>
          <w:szCs w:val="24"/>
        </w:rPr>
        <w:lastRenderedPageBreak/>
        <w:t>Sachmechi</w:t>
      </w:r>
      <w:proofErr w:type="spellEnd"/>
      <w:r w:rsidRPr="003D20B2">
        <w:rPr>
          <w:rFonts w:ascii="Times New Roman" w:hAnsi="Times New Roman"/>
          <w:sz w:val="24"/>
          <w:szCs w:val="24"/>
        </w:rPr>
        <w:t xml:space="preserve">. In that statement Oginski was charged with insubordination and conduct unbecoming a member.” </w:t>
      </w:r>
    </w:p>
    <w:p w14:paraId="6D50216A" w14:textId="77777777" w:rsidR="00297B95" w:rsidRPr="003D20B2" w:rsidRDefault="00297B95" w:rsidP="00297B95">
      <w:pPr>
        <w:pStyle w:val="NoSpacing"/>
        <w:rPr>
          <w:rFonts w:ascii="Times New Roman" w:hAnsi="Times New Roman"/>
          <w:sz w:val="24"/>
          <w:szCs w:val="24"/>
        </w:rPr>
      </w:pPr>
    </w:p>
    <w:p w14:paraId="361ED78B" w14:textId="77777777" w:rsidR="00297B95" w:rsidRPr="003D20B2" w:rsidRDefault="00297B95" w:rsidP="00297B95">
      <w:pPr>
        <w:pStyle w:val="NoSpacing"/>
        <w:rPr>
          <w:rFonts w:ascii="Times New Roman" w:hAnsi="Times New Roman"/>
          <w:sz w:val="24"/>
          <w:szCs w:val="24"/>
        </w:rPr>
      </w:pPr>
    </w:p>
    <w:p w14:paraId="6E31D346" w14:textId="77777777" w:rsidR="00542851" w:rsidRDefault="00542851" w:rsidP="00705D47">
      <w:pPr>
        <w:rPr>
          <w:rFonts w:ascii="Arial Black" w:hAnsi="Arial Black"/>
          <w:b/>
          <w:bCs/>
          <w:sz w:val="28"/>
          <w:szCs w:val="28"/>
        </w:rPr>
      </w:pPr>
    </w:p>
    <w:p w14:paraId="067EBEC6" w14:textId="77B92400" w:rsidR="00705D47" w:rsidRDefault="00705D47" w:rsidP="00705D47">
      <w:pPr>
        <w:rPr>
          <w:rFonts w:ascii="Arial Black" w:hAnsi="Arial Black"/>
          <w:b/>
          <w:bCs/>
          <w:sz w:val="28"/>
          <w:szCs w:val="28"/>
        </w:rPr>
      </w:pPr>
      <w:r>
        <w:rPr>
          <w:rFonts w:ascii="Arial Black" w:hAnsi="Arial Black"/>
          <w:b/>
          <w:bCs/>
          <w:sz w:val="28"/>
          <w:szCs w:val="28"/>
        </w:rPr>
        <w:t>13-2</w:t>
      </w:r>
      <w:r w:rsidR="00524647">
        <w:rPr>
          <w:rFonts w:ascii="Arial Black" w:hAnsi="Arial Black"/>
          <w:b/>
          <w:bCs/>
          <w:sz w:val="28"/>
          <w:szCs w:val="28"/>
        </w:rPr>
        <w:t>19</w:t>
      </w:r>
    </w:p>
    <w:p w14:paraId="7CA62011" w14:textId="77777777" w:rsidR="005B4276" w:rsidRPr="002E2CF3" w:rsidRDefault="005B4276" w:rsidP="005B4276">
      <w:pPr>
        <w:rPr>
          <w:rFonts w:ascii="Arial Black" w:hAnsi="Arial Black"/>
          <w:b/>
          <w:sz w:val="28"/>
          <w:szCs w:val="28"/>
        </w:rPr>
      </w:pPr>
      <w:r>
        <w:rPr>
          <w:rFonts w:ascii="Arial Black" w:hAnsi="Arial Black"/>
          <w:b/>
          <w:sz w:val="28"/>
          <w:szCs w:val="28"/>
        </w:rPr>
        <w:t xml:space="preserve">NY: FDNY / EMS PAY – CAN’T DEPOSE FDNY COMMISSIONER </w:t>
      </w:r>
    </w:p>
    <w:p w14:paraId="0C291D8C" w14:textId="77777777" w:rsidR="005B4276" w:rsidRPr="005C6596" w:rsidRDefault="005B4276" w:rsidP="005B4276">
      <w:pPr>
        <w:rPr>
          <w:rFonts w:ascii="Times New Roman" w:hAnsi="Times New Roman"/>
          <w:bCs/>
          <w:sz w:val="24"/>
          <w:szCs w:val="24"/>
        </w:rPr>
      </w:pPr>
      <w:r w:rsidRPr="005C6596">
        <w:rPr>
          <w:rFonts w:ascii="Times New Roman" w:hAnsi="Times New Roman"/>
          <w:sz w:val="24"/>
          <w:szCs w:val="24"/>
        </w:rPr>
        <w:t xml:space="preserve">On June 20, 2025, in </w:t>
      </w:r>
      <w:r w:rsidRPr="005C6596">
        <w:rPr>
          <w:rFonts w:ascii="Times New Roman" w:hAnsi="Times New Roman"/>
          <w:sz w:val="24"/>
          <w:szCs w:val="24"/>
          <w:u w:val="single"/>
        </w:rPr>
        <w:t>Local 2507, Uniformed EMTs, Paramedics &amp; Fire Inspectors, et al. v. City of New York</w:t>
      </w:r>
      <w:r w:rsidRPr="005C6596">
        <w:rPr>
          <w:rFonts w:ascii="Times New Roman" w:hAnsi="Times New Roman"/>
          <w:sz w:val="24"/>
          <w:szCs w:val="24"/>
        </w:rPr>
        <w:t xml:space="preserve">, U. S. Magistrate Judge Gabriel W. Gorenstein, United States District Court for Southern District of New York, denied the Union motion to compel the deposition of FDNY Commissioner Robert Tucker.  He is a “high-level” government </w:t>
      </w:r>
      <w:proofErr w:type="gramStart"/>
      <w:r w:rsidRPr="005C6596">
        <w:rPr>
          <w:rFonts w:ascii="Times New Roman" w:hAnsi="Times New Roman"/>
          <w:sz w:val="24"/>
          <w:szCs w:val="24"/>
        </w:rPr>
        <w:t>official</w:t>
      </w:r>
      <w:proofErr w:type="gramEnd"/>
      <w:r w:rsidRPr="005C6596">
        <w:rPr>
          <w:rFonts w:ascii="Times New Roman" w:hAnsi="Times New Roman"/>
          <w:sz w:val="24"/>
          <w:szCs w:val="24"/>
        </w:rPr>
        <w:t xml:space="preserve"> and courts protect such individuals from depositions unless “exceptional circumstances.” He was appointed less than a year ago, well after the lawsuit was filed, and has not been involved in collective bargaining on this issue. THE COURT HELD: “A deposition of a high-level governmental or corporate officer is commonly referred to as an ‘apex deposition’ and may not be ordered absent a special showing by the party seeking the deposition. With respect to governmental officials, the Second Circuit noted in </w:t>
      </w:r>
      <w:r w:rsidRPr="005C6596">
        <w:rPr>
          <w:rFonts w:ascii="Times New Roman" w:hAnsi="Times New Roman"/>
          <w:i/>
          <w:iCs/>
          <w:sz w:val="24"/>
          <w:szCs w:val="24"/>
        </w:rPr>
        <w:t>Lederman v. N.Y. City Dept. of Parks and Recreation</w:t>
      </w:r>
      <w:r w:rsidRPr="005C6596">
        <w:rPr>
          <w:rFonts w:ascii="Times New Roman" w:hAnsi="Times New Roman"/>
          <w:sz w:val="24"/>
          <w:szCs w:val="24"/>
        </w:rPr>
        <w:t>, 731 F.3d 199 (2d Cir. 2013), that courts have commonly held that ‘a high-ranking government official should not - absent exceptional circumstances - be deposed or called to testify regarding the reasons for taking official action, including the manner and extent of his study of the record and his consultation with subordinates.’”</w:t>
      </w:r>
      <w:hyperlink r:id="rId2099" w:history="1">
        <w:r w:rsidRPr="005C6596">
          <w:rPr>
            <w:rStyle w:val="Hyperlink"/>
            <w:rFonts w:ascii="Times New Roman" w:hAnsi="Times New Roman"/>
            <w:sz w:val="24"/>
            <w:szCs w:val="24"/>
          </w:rPr>
          <w:t>https://caselaw.findlaw.com/court/us-dis-crt-sd-new-yor/117411673.html</w:t>
        </w:r>
      </w:hyperlink>
      <w:r w:rsidRPr="005C6596">
        <w:rPr>
          <w:rFonts w:ascii="Times New Roman" w:hAnsi="Times New Roman"/>
          <w:sz w:val="24"/>
          <w:szCs w:val="24"/>
        </w:rPr>
        <w:t xml:space="preserve"> </w:t>
      </w:r>
    </w:p>
    <w:p w14:paraId="6CE04202" w14:textId="77777777" w:rsidR="00571DF6" w:rsidRPr="005C6596" w:rsidRDefault="00571DF6" w:rsidP="00571DF6">
      <w:pPr>
        <w:pStyle w:val="NoSpacing"/>
        <w:rPr>
          <w:rFonts w:ascii="Times New Roman" w:hAnsi="Times New Roman"/>
          <w:b/>
          <w:bCs/>
          <w:sz w:val="24"/>
          <w:szCs w:val="24"/>
        </w:rPr>
      </w:pPr>
      <w:r w:rsidRPr="005C6596">
        <w:rPr>
          <w:rFonts w:ascii="Times New Roman" w:hAnsi="Times New Roman"/>
          <w:b/>
          <w:sz w:val="24"/>
          <w:szCs w:val="24"/>
        </w:rPr>
        <w:t xml:space="preserve">Legal </w:t>
      </w:r>
      <w:proofErr w:type="gramStart"/>
      <w:r w:rsidRPr="005C6596">
        <w:rPr>
          <w:rFonts w:ascii="Times New Roman" w:hAnsi="Times New Roman"/>
          <w:b/>
          <w:sz w:val="24"/>
          <w:szCs w:val="24"/>
        </w:rPr>
        <w:t>lesson</w:t>
      </w:r>
      <w:proofErr w:type="gramEnd"/>
      <w:r w:rsidRPr="005C6596">
        <w:rPr>
          <w:rFonts w:ascii="Times New Roman" w:hAnsi="Times New Roman"/>
          <w:b/>
          <w:sz w:val="24"/>
          <w:szCs w:val="24"/>
        </w:rPr>
        <w:t xml:space="preserve"> learned: High </w:t>
      </w:r>
      <w:r w:rsidRPr="005C6596">
        <w:rPr>
          <w:rFonts w:ascii="Times New Roman" w:hAnsi="Times New Roman"/>
          <w:b/>
          <w:bCs/>
          <w:sz w:val="24"/>
          <w:szCs w:val="24"/>
        </w:rPr>
        <w:t xml:space="preserve">level government officials </w:t>
      </w:r>
      <w:r w:rsidRPr="005C6596">
        <w:rPr>
          <w:rFonts w:ascii="Times New Roman" w:hAnsi="Times New Roman"/>
          <w:b/>
          <w:sz w:val="24"/>
          <w:szCs w:val="24"/>
        </w:rPr>
        <w:t>are generally protected from depositions</w:t>
      </w:r>
      <w:r w:rsidRPr="005C6596">
        <w:rPr>
          <w:rFonts w:ascii="Times New Roman" w:hAnsi="Times New Roman"/>
          <w:b/>
          <w:bCs/>
          <w:sz w:val="24"/>
          <w:szCs w:val="24"/>
        </w:rPr>
        <w:t xml:space="preserve"> so they can do their jobs without disruption.</w:t>
      </w:r>
    </w:p>
    <w:p w14:paraId="24C96E2D" w14:textId="77777777" w:rsidR="00F55DAF" w:rsidRDefault="00F55DAF" w:rsidP="002B1283">
      <w:pPr>
        <w:rPr>
          <w:rFonts w:ascii="Arial Black" w:hAnsi="Arial Black"/>
          <w:b/>
          <w:bCs/>
          <w:sz w:val="28"/>
          <w:szCs w:val="28"/>
        </w:rPr>
      </w:pPr>
    </w:p>
    <w:p w14:paraId="7A792E84" w14:textId="521AAD57" w:rsidR="00705D47" w:rsidRDefault="00705D47" w:rsidP="00705D47">
      <w:pPr>
        <w:rPr>
          <w:rFonts w:ascii="Arial Black" w:hAnsi="Arial Black"/>
          <w:b/>
          <w:bCs/>
          <w:sz w:val="28"/>
          <w:szCs w:val="28"/>
        </w:rPr>
      </w:pPr>
      <w:r>
        <w:rPr>
          <w:rFonts w:ascii="Arial Black" w:hAnsi="Arial Black"/>
          <w:b/>
          <w:bCs/>
          <w:sz w:val="28"/>
          <w:szCs w:val="28"/>
        </w:rPr>
        <w:t>13-21</w:t>
      </w:r>
      <w:r w:rsidR="00524647">
        <w:rPr>
          <w:rFonts w:ascii="Arial Black" w:hAnsi="Arial Black"/>
          <w:b/>
          <w:bCs/>
          <w:sz w:val="28"/>
          <w:szCs w:val="28"/>
        </w:rPr>
        <w:t>8</w:t>
      </w:r>
    </w:p>
    <w:p w14:paraId="54E2DAB6" w14:textId="30988BD6" w:rsidR="003F325A" w:rsidRDefault="003F325A" w:rsidP="003F325A">
      <w:pPr>
        <w:pStyle w:val="NoSpacing"/>
        <w:rPr>
          <w:rFonts w:ascii="Arial Black" w:hAnsi="Arial Black"/>
          <w:sz w:val="28"/>
          <w:szCs w:val="28"/>
        </w:rPr>
      </w:pPr>
      <w:r>
        <w:rPr>
          <w:rFonts w:ascii="Arial Black" w:hAnsi="Arial Black"/>
          <w:sz w:val="28"/>
          <w:szCs w:val="28"/>
        </w:rPr>
        <w:t xml:space="preserve">MO: HIPAA – FF PATIENT </w:t>
      </w:r>
      <w:r w:rsidR="00A10031">
        <w:rPr>
          <w:rFonts w:ascii="Arial Black" w:hAnsi="Arial Black"/>
          <w:sz w:val="28"/>
          <w:szCs w:val="28"/>
        </w:rPr>
        <w:t>–</w:t>
      </w:r>
      <w:r>
        <w:rPr>
          <w:rFonts w:ascii="Arial Black" w:hAnsi="Arial Black"/>
          <w:sz w:val="28"/>
          <w:szCs w:val="28"/>
        </w:rPr>
        <w:t xml:space="preserve"> INFO SHARED</w:t>
      </w:r>
      <w:r w:rsidR="00334308">
        <w:rPr>
          <w:rFonts w:ascii="Arial Black" w:hAnsi="Arial Black"/>
          <w:sz w:val="28"/>
          <w:szCs w:val="28"/>
        </w:rPr>
        <w:t xml:space="preserve"> IN FD</w:t>
      </w:r>
      <w:r>
        <w:rPr>
          <w:rFonts w:ascii="Arial Black" w:hAnsi="Arial Black"/>
          <w:sz w:val="28"/>
          <w:szCs w:val="28"/>
        </w:rPr>
        <w:t xml:space="preserve"> / </w:t>
      </w:r>
      <w:r w:rsidR="00A10031">
        <w:rPr>
          <w:rFonts w:ascii="Arial Black" w:hAnsi="Arial Black"/>
          <w:sz w:val="28"/>
          <w:szCs w:val="28"/>
        </w:rPr>
        <w:t xml:space="preserve">CAN’T SUE </w:t>
      </w:r>
      <w:r w:rsidR="00334308">
        <w:rPr>
          <w:rFonts w:ascii="Arial Black" w:hAnsi="Arial Black"/>
          <w:sz w:val="28"/>
          <w:szCs w:val="28"/>
        </w:rPr>
        <w:t>CITY</w:t>
      </w:r>
    </w:p>
    <w:p w14:paraId="1DED4825" w14:textId="77777777" w:rsidR="003F325A" w:rsidRDefault="003F325A" w:rsidP="003F325A">
      <w:pPr>
        <w:pStyle w:val="NoSpacing"/>
      </w:pPr>
    </w:p>
    <w:p w14:paraId="32F5669E" w14:textId="77777777" w:rsidR="003F325A" w:rsidRPr="0091209E" w:rsidRDefault="003F325A" w:rsidP="003F325A">
      <w:pPr>
        <w:pStyle w:val="NoSpacing"/>
        <w:rPr>
          <w:rFonts w:ascii="Times New Roman" w:hAnsi="Times New Roman"/>
          <w:sz w:val="24"/>
          <w:szCs w:val="24"/>
        </w:rPr>
      </w:pPr>
      <w:r w:rsidRPr="0091209E">
        <w:rPr>
          <w:rFonts w:ascii="Times New Roman" w:hAnsi="Times New Roman"/>
          <w:sz w:val="24"/>
          <w:szCs w:val="24"/>
        </w:rPr>
        <w:t xml:space="preserve">On June 17, 2025, in </w:t>
      </w:r>
      <w:r w:rsidRPr="0091209E">
        <w:rPr>
          <w:rFonts w:ascii="Times New Roman" w:hAnsi="Times New Roman"/>
          <w:sz w:val="24"/>
          <w:szCs w:val="24"/>
          <w:u w:val="single"/>
        </w:rPr>
        <w:t>Joseph Weixeldorfer v. City of Kansas City, Missouri, et al</w:t>
      </w:r>
      <w:r w:rsidRPr="0091209E">
        <w:rPr>
          <w:rFonts w:ascii="Times New Roman" w:hAnsi="Times New Roman"/>
          <w:sz w:val="24"/>
          <w:szCs w:val="24"/>
        </w:rPr>
        <w:t xml:space="preserve">., the Court of Appeals of Missouri, Western District, Second Division, held (3 to 0) that trial court properly granted City’s motion for summary judgment; as a patient when he signed a HIPAA acknowledgement, this did not constitute a “contract” for which he could sue the city.   On November 22, 2017, the plaintiff, a firefighter with the </w:t>
      </w:r>
      <w:proofErr w:type="gramStart"/>
      <w:r w:rsidRPr="0091209E">
        <w:rPr>
          <w:rFonts w:ascii="Times New Roman" w:hAnsi="Times New Roman"/>
          <w:sz w:val="24"/>
          <w:szCs w:val="24"/>
        </w:rPr>
        <w:t>City</w:t>
      </w:r>
      <w:proofErr w:type="gramEnd"/>
      <w:r w:rsidRPr="0091209E">
        <w:rPr>
          <w:rFonts w:ascii="Times New Roman" w:hAnsi="Times New Roman"/>
          <w:sz w:val="24"/>
          <w:szCs w:val="24"/>
        </w:rPr>
        <w:t xml:space="preserve">, was home and called 911 and was transported to the hospital.  Four years later, on November 12, 2021, he filed a lawsuit claiming he suffered humiliation and damage to his reputation when FD personnel and the dispatcher disclosed his “personal medical and mental health” information to both fellow personnel on the fire department, and to his father and others. The trial court judge also refused the plaintiff’s motion to file a Fifth Amended Complaint naming the lead paramedic on the run and the dispatcher – this was well after discovery was closed </w:t>
      </w:r>
      <w:proofErr w:type="gramStart"/>
      <w:r w:rsidRPr="0091209E">
        <w:rPr>
          <w:rFonts w:ascii="Times New Roman" w:hAnsi="Times New Roman"/>
          <w:sz w:val="24"/>
          <w:szCs w:val="24"/>
        </w:rPr>
        <w:t>and also</w:t>
      </w:r>
      <w:proofErr w:type="gramEnd"/>
      <w:r w:rsidRPr="0091209E">
        <w:rPr>
          <w:rFonts w:ascii="Times New Roman" w:hAnsi="Times New Roman"/>
          <w:sz w:val="24"/>
          <w:szCs w:val="24"/>
        </w:rPr>
        <w:t xml:space="preserve"> the 5-year statute of limitations. THE COURT HELD: "[T]he HIPAA Privacy Rule requires only that providers give patients a notice when it is practical to do so after the emergency situation has ended….The acknowledgment creates no duties other than those already required by HIPAA.” </w:t>
      </w:r>
    </w:p>
    <w:p w14:paraId="23F3A3E2" w14:textId="0B6E9790" w:rsidR="003F325A" w:rsidRPr="0091209E" w:rsidRDefault="003F325A" w:rsidP="003F325A">
      <w:pPr>
        <w:rPr>
          <w:rFonts w:ascii="Times New Roman" w:hAnsi="Times New Roman"/>
          <w:sz w:val="24"/>
          <w:szCs w:val="24"/>
        </w:rPr>
      </w:pPr>
      <w:hyperlink r:id="rId2100" w:history="1">
        <w:r w:rsidRPr="0091209E">
          <w:rPr>
            <w:rStyle w:val="Hyperlink"/>
            <w:rFonts w:ascii="Times New Roman" w:hAnsi="Times New Roman"/>
            <w:sz w:val="24"/>
            <w:szCs w:val="24"/>
          </w:rPr>
          <w:t>https://cases.justia.com/missouri/court-of-appeals/2025-wd87298.pdf?ts=1750174248</w:t>
        </w:r>
      </w:hyperlink>
    </w:p>
    <w:p w14:paraId="39BA91AC" w14:textId="77777777" w:rsidR="0091209E" w:rsidRPr="0091209E" w:rsidRDefault="0091209E" w:rsidP="0091209E">
      <w:pPr>
        <w:pStyle w:val="NoSpacing"/>
        <w:rPr>
          <w:rFonts w:ascii="Times New Roman" w:hAnsi="Times New Roman"/>
          <w:b/>
          <w:bCs/>
          <w:sz w:val="24"/>
          <w:szCs w:val="24"/>
        </w:rPr>
      </w:pPr>
      <w:r w:rsidRPr="0091209E">
        <w:rPr>
          <w:rFonts w:ascii="Times New Roman" w:hAnsi="Times New Roman"/>
          <w:b/>
          <w:sz w:val="24"/>
          <w:szCs w:val="24"/>
        </w:rPr>
        <w:t>Legal lesson learned. When transporting a patient who is also a member of the Fire Department special care must be exercised to not discuss the run with those who do not have an official need to know - particularly involving mental health.</w:t>
      </w:r>
    </w:p>
    <w:p w14:paraId="3F76557E" w14:textId="77777777" w:rsidR="0091209E" w:rsidRDefault="0091209E" w:rsidP="003F325A">
      <w:pPr>
        <w:rPr>
          <w:rFonts w:ascii="Arial Black" w:hAnsi="Arial Black"/>
          <w:b/>
          <w:bCs/>
          <w:sz w:val="28"/>
          <w:szCs w:val="28"/>
        </w:rPr>
      </w:pPr>
    </w:p>
    <w:p w14:paraId="241AF9C9" w14:textId="4552A2E7" w:rsidR="00705D47" w:rsidRDefault="00705D47" w:rsidP="00705D47">
      <w:pPr>
        <w:rPr>
          <w:rFonts w:ascii="Arial Black" w:hAnsi="Arial Black"/>
          <w:b/>
          <w:bCs/>
          <w:sz w:val="28"/>
          <w:szCs w:val="28"/>
        </w:rPr>
      </w:pPr>
      <w:r>
        <w:rPr>
          <w:rFonts w:ascii="Arial Black" w:hAnsi="Arial Black"/>
          <w:b/>
          <w:bCs/>
          <w:sz w:val="28"/>
          <w:szCs w:val="28"/>
        </w:rPr>
        <w:t>13-21</w:t>
      </w:r>
      <w:r w:rsidR="00524647">
        <w:rPr>
          <w:rFonts w:ascii="Arial Black" w:hAnsi="Arial Black"/>
          <w:b/>
          <w:bCs/>
          <w:sz w:val="28"/>
          <w:szCs w:val="28"/>
        </w:rPr>
        <w:t>7</w:t>
      </w:r>
    </w:p>
    <w:p w14:paraId="42EAE140" w14:textId="73E8E2A5" w:rsidR="00815DD8" w:rsidRPr="00A11F37" w:rsidRDefault="00815DD8" w:rsidP="00815DD8">
      <w:pPr>
        <w:rPr>
          <w:rFonts w:ascii="Arial Black" w:hAnsi="Arial Black"/>
          <w:b/>
          <w:sz w:val="28"/>
          <w:szCs w:val="28"/>
        </w:rPr>
      </w:pPr>
      <w:r>
        <w:rPr>
          <w:rFonts w:ascii="Arial Black" w:hAnsi="Arial Black"/>
          <w:b/>
          <w:sz w:val="28"/>
          <w:szCs w:val="28"/>
        </w:rPr>
        <w:t>WV: CO EXPOSURE –</w:t>
      </w:r>
      <w:r w:rsidR="00B242F8">
        <w:rPr>
          <w:rFonts w:ascii="Arial Black" w:hAnsi="Arial Black"/>
          <w:b/>
          <w:sz w:val="28"/>
          <w:szCs w:val="28"/>
        </w:rPr>
        <w:t xml:space="preserve"> DISPATCH SENT FF / NOT EMS – IMMUNITY </w:t>
      </w:r>
    </w:p>
    <w:p w14:paraId="47D022A0" w14:textId="77777777" w:rsidR="00815DD8" w:rsidRPr="00420162" w:rsidRDefault="00815DD8" w:rsidP="00815DD8">
      <w:pPr>
        <w:pStyle w:val="NoSpacing"/>
        <w:rPr>
          <w:rFonts w:ascii="Times New Roman" w:hAnsi="Times New Roman"/>
          <w:bCs/>
          <w:sz w:val="24"/>
          <w:szCs w:val="24"/>
        </w:rPr>
      </w:pPr>
      <w:r w:rsidRPr="00420162">
        <w:rPr>
          <w:rFonts w:ascii="Times New Roman" w:hAnsi="Times New Roman"/>
          <w:sz w:val="24"/>
          <w:szCs w:val="24"/>
        </w:rPr>
        <w:t xml:space="preserve">On June 6, 2015 in </w:t>
      </w:r>
      <w:r w:rsidRPr="00420162">
        <w:rPr>
          <w:rFonts w:ascii="Times New Roman" w:hAnsi="Times New Roman"/>
          <w:sz w:val="24"/>
          <w:szCs w:val="24"/>
          <w:u w:val="single"/>
        </w:rPr>
        <w:t xml:space="preserve">Rhoda M. Marchant, Timothy E. </w:t>
      </w:r>
      <w:proofErr w:type="spellStart"/>
      <w:r w:rsidRPr="00420162">
        <w:rPr>
          <w:rFonts w:ascii="Times New Roman" w:hAnsi="Times New Roman"/>
          <w:sz w:val="24"/>
          <w:szCs w:val="24"/>
          <w:u w:val="single"/>
        </w:rPr>
        <w:t>Marchart</w:t>
      </w:r>
      <w:proofErr w:type="spellEnd"/>
      <w:r w:rsidRPr="00420162">
        <w:rPr>
          <w:rFonts w:ascii="Times New Roman" w:hAnsi="Times New Roman"/>
          <w:sz w:val="24"/>
          <w:szCs w:val="24"/>
          <w:u w:val="single"/>
        </w:rPr>
        <w:t xml:space="preserve"> and Timothy S. </w:t>
      </w:r>
      <w:proofErr w:type="spellStart"/>
      <w:r w:rsidRPr="00420162">
        <w:rPr>
          <w:rFonts w:ascii="Times New Roman" w:hAnsi="Times New Roman"/>
          <w:sz w:val="24"/>
          <w:szCs w:val="24"/>
          <w:u w:val="single"/>
        </w:rPr>
        <w:t>Marchart</w:t>
      </w:r>
      <w:proofErr w:type="spellEnd"/>
      <w:r w:rsidRPr="00420162">
        <w:rPr>
          <w:rFonts w:ascii="Times New Roman" w:hAnsi="Times New Roman"/>
          <w:sz w:val="24"/>
          <w:szCs w:val="24"/>
          <w:u w:val="single"/>
        </w:rPr>
        <w:t xml:space="preserve"> v. Preston County Office of Emergency Management / E911 and Preston County Commission</w:t>
      </w:r>
      <w:r w:rsidRPr="00420162">
        <w:rPr>
          <w:rFonts w:ascii="Times New Roman" w:hAnsi="Times New Roman"/>
          <w:sz w:val="24"/>
          <w:szCs w:val="24"/>
        </w:rPr>
        <w:t xml:space="preserve">, the West Virginia Intermediate Court of Appeals held (3 to 0) that the trial court properly granted the County’s motion to dismiss; there was no proof of willful or wanton misconduct by the dispatchers who sent a fire department on Feb. 7, 2018 to their home in response to their 911 call about carbon monoxide from an electrical generator.  After the Fire Department arrived, Timothy E. Marchant drove himself and his family from Independence to Morgantown’s Ruby Memorial Hospital; they allege that all members of the family suffered physical and mental injuries as a result of the delay in treatment, but that Rhoda suffered most severely, as she was rendered permanently legally blind and disabled and is unable to work. THE COURT HELD:  “The Marchants requested a status conference, which was held on July 29, 2024. Thereafter, by order entered on August 14, 2024, the circuit court granted the motion to dismiss, asserting that respondents were entitled to immunity under West Virginia Code § 24-6-8.... Notably, the Marchants have not expressed what amendments [to their complaint] could be made or facts could be alleged to demonstrate a valid claim for willful or wanton  misconduct </w:t>
      </w:r>
      <w:proofErr w:type="gramStart"/>
      <w:r w:rsidRPr="00420162">
        <w:rPr>
          <w:rFonts w:ascii="Times New Roman" w:hAnsi="Times New Roman"/>
          <w:sz w:val="24"/>
          <w:szCs w:val="24"/>
        </w:rPr>
        <w:t>in light of</w:t>
      </w:r>
      <w:proofErr w:type="gramEnd"/>
      <w:r w:rsidRPr="00420162">
        <w:rPr>
          <w:rFonts w:ascii="Times New Roman" w:hAnsi="Times New Roman"/>
          <w:sz w:val="24"/>
          <w:szCs w:val="24"/>
        </w:rPr>
        <w:t xml:space="preserve"> the facts asserted in the operative </w:t>
      </w:r>
      <w:proofErr w:type="gramStart"/>
      <w:r w:rsidRPr="00420162">
        <w:rPr>
          <w:rFonts w:ascii="Times New Roman" w:hAnsi="Times New Roman"/>
          <w:sz w:val="24"/>
          <w:szCs w:val="24"/>
        </w:rPr>
        <w:t>complaint.”</w:t>
      </w:r>
      <w:proofErr w:type="gramEnd"/>
    </w:p>
    <w:p w14:paraId="16CD2DD1" w14:textId="77777777" w:rsidR="00815DD8" w:rsidRPr="00420162" w:rsidRDefault="00815DD8" w:rsidP="00815DD8">
      <w:pPr>
        <w:pStyle w:val="NoSpacing"/>
        <w:rPr>
          <w:rFonts w:ascii="Times New Roman" w:hAnsi="Times New Roman"/>
          <w:b/>
          <w:sz w:val="24"/>
          <w:szCs w:val="24"/>
        </w:rPr>
      </w:pPr>
      <w:hyperlink r:id="rId2101" w:history="1">
        <w:r w:rsidRPr="00420162">
          <w:rPr>
            <w:rStyle w:val="Hyperlink"/>
            <w:rFonts w:ascii="Times New Roman" w:hAnsi="Times New Roman"/>
            <w:sz w:val="24"/>
            <w:szCs w:val="24"/>
          </w:rPr>
          <w:t>https://cases.justia.com/west-virginia/intermediate-court-of-appeals/2025-24-ica-364.pdf?ts=1749239242</w:t>
        </w:r>
      </w:hyperlink>
      <w:r w:rsidRPr="00420162">
        <w:rPr>
          <w:rFonts w:ascii="Times New Roman" w:hAnsi="Times New Roman"/>
          <w:b/>
          <w:sz w:val="24"/>
          <w:szCs w:val="24"/>
        </w:rPr>
        <w:t xml:space="preserve"> </w:t>
      </w:r>
    </w:p>
    <w:p w14:paraId="58636EA9" w14:textId="77777777" w:rsidR="00815DD8" w:rsidRPr="00420162" w:rsidRDefault="00815DD8" w:rsidP="00815DD8">
      <w:pPr>
        <w:pStyle w:val="NoSpacing"/>
        <w:rPr>
          <w:rFonts w:ascii="Times New Roman" w:hAnsi="Times New Roman"/>
          <w:bCs/>
          <w:sz w:val="24"/>
          <w:szCs w:val="24"/>
        </w:rPr>
      </w:pPr>
    </w:p>
    <w:p w14:paraId="4336281B" w14:textId="77777777" w:rsidR="00420162" w:rsidRPr="00420162" w:rsidRDefault="00420162" w:rsidP="00420162">
      <w:pPr>
        <w:pStyle w:val="NoSpacing"/>
        <w:rPr>
          <w:rFonts w:ascii="Times New Roman" w:hAnsi="Times New Roman"/>
          <w:b/>
          <w:bCs/>
          <w:sz w:val="24"/>
          <w:szCs w:val="24"/>
        </w:rPr>
      </w:pPr>
      <w:r w:rsidRPr="00420162">
        <w:rPr>
          <w:rFonts w:ascii="Times New Roman" w:hAnsi="Times New Roman"/>
          <w:b/>
          <w:sz w:val="24"/>
          <w:szCs w:val="24"/>
        </w:rPr>
        <w:t xml:space="preserve">Legal lesson learned: Dispatchers and their employer are not liable in West Virginia unless there is proof of “willful or wanton misconduct.”  It is </w:t>
      </w:r>
      <w:proofErr w:type="gramStart"/>
      <w:r w:rsidRPr="00420162">
        <w:rPr>
          <w:rFonts w:ascii="Times New Roman" w:hAnsi="Times New Roman"/>
          <w:b/>
          <w:sz w:val="24"/>
          <w:szCs w:val="24"/>
        </w:rPr>
        <w:t>a best</w:t>
      </w:r>
      <w:proofErr w:type="gramEnd"/>
      <w:r w:rsidRPr="00420162">
        <w:rPr>
          <w:rFonts w:ascii="Times New Roman" w:hAnsi="Times New Roman"/>
          <w:b/>
          <w:sz w:val="24"/>
          <w:szCs w:val="24"/>
        </w:rPr>
        <w:t xml:space="preserve"> practice that dispatchers have a protocol on carbon monoxide calls, including when to dispatch an ambulance. </w:t>
      </w:r>
    </w:p>
    <w:p w14:paraId="0FAD7F2F" w14:textId="77777777" w:rsidR="00420162" w:rsidRPr="00420162" w:rsidRDefault="00420162" w:rsidP="00420162">
      <w:pPr>
        <w:pStyle w:val="NoSpacing"/>
        <w:rPr>
          <w:rFonts w:ascii="Times New Roman" w:hAnsi="Times New Roman"/>
          <w:b/>
          <w:bCs/>
          <w:sz w:val="24"/>
          <w:szCs w:val="24"/>
        </w:rPr>
      </w:pPr>
    </w:p>
    <w:p w14:paraId="0DF4ECB8" w14:textId="77777777" w:rsidR="00420162" w:rsidRPr="00420162" w:rsidRDefault="00420162" w:rsidP="00420162">
      <w:pPr>
        <w:pStyle w:val="NoSpacing"/>
        <w:ind w:firstLine="720"/>
        <w:rPr>
          <w:rFonts w:ascii="Times New Roman" w:hAnsi="Times New Roman"/>
          <w:bCs/>
          <w:sz w:val="24"/>
          <w:szCs w:val="24"/>
        </w:rPr>
      </w:pPr>
      <w:r w:rsidRPr="00420162">
        <w:rPr>
          <w:rFonts w:ascii="Times New Roman" w:hAnsi="Times New Roman"/>
          <w:sz w:val="24"/>
          <w:szCs w:val="24"/>
        </w:rPr>
        <w:t xml:space="preserve">Note: See West Virginia Code §24-6-8. </w:t>
      </w:r>
      <w:hyperlink r:id="rId2102" w:history="1">
        <w:r w:rsidRPr="00420162">
          <w:rPr>
            <w:rStyle w:val="Hyperlink"/>
            <w:rFonts w:ascii="Times New Roman" w:hAnsi="Times New Roman"/>
            <w:sz w:val="24"/>
            <w:szCs w:val="24"/>
          </w:rPr>
          <w:t>https://code.wvlegislature.gov/email/24-6/</w:t>
        </w:r>
      </w:hyperlink>
      <w:r w:rsidRPr="00420162">
        <w:rPr>
          <w:rFonts w:ascii="Times New Roman" w:hAnsi="Times New Roman"/>
          <w:sz w:val="24"/>
          <w:szCs w:val="24"/>
        </w:rPr>
        <w:t xml:space="preserve"> </w:t>
      </w:r>
    </w:p>
    <w:p w14:paraId="0829FCA1" w14:textId="77777777" w:rsidR="00420162" w:rsidRPr="00420162" w:rsidRDefault="00420162" w:rsidP="00420162">
      <w:pPr>
        <w:pStyle w:val="NoSpacing"/>
        <w:ind w:firstLine="720"/>
        <w:rPr>
          <w:rFonts w:ascii="Times New Roman" w:hAnsi="Times New Roman"/>
          <w:bCs/>
          <w:sz w:val="24"/>
          <w:szCs w:val="24"/>
        </w:rPr>
      </w:pPr>
    </w:p>
    <w:p w14:paraId="4DCD5F4A" w14:textId="77777777" w:rsidR="00420162" w:rsidRPr="00420162" w:rsidRDefault="00420162" w:rsidP="00420162">
      <w:pPr>
        <w:pStyle w:val="NoSpacing"/>
        <w:ind w:left="720"/>
        <w:rPr>
          <w:rFonts w:ascii="Times New Roman" w:hAnsi="Times New Roman"/>
          <w:bCs/>
          <w:sz w:val="24"/>
          <w:szCs w:val="24"/>
        </w:rPr>
      </w:pPr>
      <w:r w:rsidRPr="00420162">
        <w:rPr>
          <w:rFonts w:ascii="Times New Roman" w:hAnsi="Times New Roman"/>
          <w:sz w:val="24"/>
          <w:szCs w:val="24"/>
        </w:rPr>
        <w:t>“Limitation of liability. A public agency or a telephone company participating in an emergency telephone system or a county which has established an enhanced emergency telephone system, and any officer, agent or employee of the public agency, telephone company or county is not liable for damages in a civil action for injuries, death or loss to persons or property arising from any act or omission, except willful or wanton misconduct, in connection with developing, adopting or approving any final plan or any agreement made pursuant to this article, or otherwise bringing into operation or participating in the operation of an emergency telephone system or an enhanced emergency telephone system pursuant to this article.”</w:t>
      </w:r>
    </w:p>
    <w:p w14:paraId="5ACD7991" w14:textId="77777777" w:rsidR="00420162" w:rsidRPr="00420162" w:rsidRDefault="00420162" w:rsidP="00420162">
      <w:pPr>
        <w:pStyle w:val="NoSpacing"/>
        <w:rPr>
          <w:rFonts w:ascii="Times New Roman" w:hAnsi="Times New Roman"/>
          <w:b/>
          <w:bCs/>
          <w:sz w:val="24"/>
          <w:szCs w:val="24"/>
        </w:rPr>
      </w:pPr>
    </w:p>
    <w:p w14:paraId="2528AA53" w14:textId="77777777" w:rsidR="00705D47" w:rsidRDefault="00705D47" w:rsidP="00705D47">
      <w:pPr>
        <w:rPr>
          <w:rFonts w:ascii="Arial Black" w:hAnsi="Arial Black"/>
          <w:b/>
          <w:bCs/>
          <w:sz w:val="28"/>
          <w:szCs w:val="28"/>
        </w:rPr>
      </w:pPr>
    </w:p>
    <w:p w14:paraId="58DECBEB" w14:textId="03B97FC1" w:rsidR="00705D47" w:rsidRDefault="00705D47" w:rsidP="00705D47">
      <w:pPr>
        <w:rPr>
          <w:rFonts w:ascii="Arial Black" w:hAnsi="Arial Black"/>
          <w:b/>
          <w:bCs/>
          <w:sz w:val="28"/>
          <w:szCs w:val="28"/>
        </w:rPr>
      </w:pPr>
      <w:r>
        <w:rPr>
          <w:rFonts w:ascii="Arial Black" w:hAnsi="Arial Black"/>
          <w:b/>
          <w:bCs/>
          <w:sz w:val="28"/>
          <w:szCs w:val="28"/>
        </w:rPr>
        <w:t>13-21</w:t>
      </w:r>
      <w:r w:rsidR="00524647">
        <w:rPr>
          <w:rFonts w:ascii="Arial Black" w:hAnsi="Arial Black"/>
          <w:b/>
          <w:bCs/>
          <w:sz w:val="28"/>
          <w:szCs w:val="28"/>
        </w:rPr>
        <w:t>6</w:t>
      </w:r>
    </w:p>
    <w:p w14:paraId="322F1E3F" w14:textId="23ED63C5" w:rsidR="00DC020F" w:rsidRPr="00FD26B7" w:rsidRDefault="00DC020F" w:rsidP="00DC020F">
      <w:pPr>
        <w:rPr>
          <w:rFonts w:ascii="Arial Black" w:hAnsi="Arial Black"/>
          <w:b/>
          <w:sz w:val="28"/>
          <w:szCs w:val="28"/>
        </w:rPr>
      </w:pPr>
      <w:r>
        <w:rPr>
          <w:rFonts w:ascii="Arial Black" w:hAnsi="Arial Black"/>
          <w:b/>
          <w:sz w:val="28"/>
          <w:szCs w:val="28"/>
        </w:rPr>
        <w:t>OH: COMBATIVE P</w:t>
      </w:r>
      <w:r w:rsidR="006672D1">
        <w:rPr>
          <w:rFonts w:ascii="Arial Black" w:hAnsi="Arial Black"/>
          <w:b/>
          <w:sz w:val="28"/>
          <w:szCs w:val="28"/>
        </w:rPr>
        <w:t>T – HANDCUFFED TRANS</w:t>
      </w:r>
      <w:r w:rsidR="00F73364">
        <w:rPr>
          <w:rFonts w:ascii="Arial Black" w:hAnsi="Arial Black"/>
          <w:b/>
          <w:sz w:val="28"/>
          <w:szCs w:val="28"/>
        </w:rPr>
        <w:t xml:space="preserve"> - EMS / PD IMMUNITY </w:t>
      </w:r>
    </w:p>
    <w:p w14:paraId="54A8141A" w14:textId="628824E0" w:rsidR="00DC020F" w:rsidRPr="00705D47" w:rsidRDefault="00DC020F" w:rsidP="00DC020F">
      <w:pPr>
        <w:pStyle w:val="NoSpacing"/>
        <w:rPr>
          <w:rFonts w:ascii="Times New Roman" w:hAnsi="Times New Roman"/>
          <w:bCs/>
          <w:sz w:val="24"/>
          <w:szCs w:val="24"/>
        </w:rPr>
      </w:pPr>
      <w:r w:rsidRPr="00705D47">
        <w:rPr>
          <w:rFonts w:ascii="Times New Roman" w:hAnsi="Times New Roman"/>
          <w:sz w:val="24"/>
          <w:szCs w:val="24"/>
        </w:rPr>
        <w:t>On May 30, 2</w:t>
      </w:r>
      <w:r w:rsidR="003F4271">
        <w:rPr>
          <w:rFonts w:ascii="Times New Roman" w:hAnsi="Times New Roman"/>
          <w:sz w:val="24"/>
          <w:szCs w:val="24"/>
        </w:rPr>
        <w:t>0</w:t>
      </w:r>
      <w:r w:rsidRPr="00705D47">
        <w:rPr>
          <w:rFonts w:ascii="Times New Roman" w:hAnsi="Times New Roman"/>
          <w:sz w:val="24"/>
          <w:szCs w:val="24"/>
        </w:rPr>
        <w:t xml:space="preserve">25, in </w:t>
      </w:r>
      <w:r w:rsidRPr="00705D47">
        <w:rPr>
          <w:rFonts w:ascii="Times New Roman" w:hAnsi="Times New Roman"/>
          <w:sz w:val="24"/>
          <w:szCs w:val="24"/>
          <w:u w:val="single"/>
        </w:rPr>
        <w:t>Robert McGuire, et al. v. City of Mansfield, et al</w:t>
      </w:r>
      <w:r w:rsidRPr="00705D47">
        <w:rPr>
          <w:rFonts w:ascii="Times New Roman" w:hAnsi="Times New Roman"/>
          <w:sz w:val="24"/>
          <w:szCs w:val="24"/>
        </w:rPr>
        <w:t xml:space="preserve">., the Court of Appeals of Ohio, Fifth District, Richland held (3 to 0) that trial court erred in not dismissing the lawsuit; there was no evidence of willful or wanton misconduct by the EMS during transport on March 21, 2022, or of the Mansfield police officer at the hospital who handcuffed the combative patient as he was taken into the hospital. The entire encounter from arrival </w:t>
      </w:r>
      <w:proofErr w:type="gramStart"/>
      <w:r w:rsidRPr="00705D47">
        <w:rPr>
          <w:rFonts w:ascii="Times New Roman" w:hAnsi="Times New Roman"/>
          <w:sz w:val="24"/>
          <w:szCs w:val="24"/>
        </w:rPr>
        <w:t>to</w:t>
      </w:r>
      <w:proofErr w:type="gramEnd"/>
      <w:r w:rsidRPr="00705D47">
        <w:rPr>
          <w:rFonts w:ascii="Times New Roman" w:hAnsi="Times New Roman"/>
          <w:sz w:val="24"/>
          <w:szCs w:val="24"/>
        </w:rPr>
        <w:t xml:space="preserve"> McGuire's residence to taking McGuire into the emergency room was less than ten minutes. McGuire suffered injuries including cardiopulmonary arrest with consistent brain injury due to </w:t>
      </w:r>
      <w:r w:rsidRPr="00705D47">
        <w:rPr>
          <w:rFonts w:ascii="Times New Roman" w:hAnsi="Times New Roman"/>
          <w:sz w:val="24"/>
          <w:szCs w:val="24"/>
        </w:rPr>
        <w:lastRenderedPageBreak/>
        <w:t>hypoxia and hypotension.  To use a medical malpractice standard for a first responder would basically eviscerate the immunity statutes; that is why the wanton standard is the “failure to exercise any care.” THE COURT HELD: “The evidence presented also does not show the firefighters' conduct was wanton. They did not fail ‘to exercise any care toward’ McGuire ‘whom a duty of care is owed in circumstances in which there is great probability that harm will result.’ … While experts can argue over the more correct care, that is a negligence issue that does not rise to the standard of wanton care… To use a medical malpractice standard for a first responder would basically eviscerate the immunity statutes; that is why the wanton standard is the ‘failure to exercise any care.’”</w:t>
      </w:r>
      <w:hyperlink r:id="rId2103" w:history="1">
        <w:r w:rsidRPr="00705D47">
          <w:rPr>
            <w:rStyle w:val="Hyperlink"/>
            <w:rFonts w:ascii="Times New Roman" w:hAnsi="Times New Roman"/>
            <w:sz w:val="24"/>
            <w:szCs w:val="24"/>
          </w:rPr>
          <w:t>https://www.supremecourt.ohio.gov/rod/docs/pdf/5/2025/2025-Ohio-1961.pdf</w:t>
        </w:r>
      </w:hyperlink>
      <w:r w:rsidRPr="00705D47">
        <w:rPr>
          <w:rFonts w:ascii="Times New Roman" w:hAnsi="Times New Roman"/>
          <w:sz w:val="24"/>
          <w:szCs w:val="24"/>
        </w:rPr>
        <w:t xml:space="preserve"> </w:t>
      </w:r>
    </w:p>
    <w:p w14:paraId="4F1812A5" w14:textId="77777777" w:rsidR="00DC020F" w:rsidRPr="00705D47" w:rsidRDefault="00DC020F" w:rsidP="00DC020F">
      <w:pPr>
        <w:pStyle w:val="NoSpacing"/>
        <w:rPr>
          <w:rFonts w:ascii="Times New Roman" w:hAnsi="Times New Roman"/>
          <w:sz w:val="24"/>
          <w:szCs w:val="24"/>
        </w:rPr>
      </w:pPr>
    </w:p>
    <w:p w14:paraId="29FBE521" w14:textId="77777777" w:rsidR="00705D47" w:rsidRPr="00705D47" w:rsidRDefault="00705D47" w:rsidP="00705D47">
      <w:pPr>
        <w:pStyle w:val="NoSpacing"/>
        <w:rPr>
          <w:rFonts w:ascii="Times New Roman" w:hAnsi="Times New Roman"/>
          <w:sz w:val="24"/>
          <w:szCs w:val="24"/>
        </w:rPr>
      </w:pPr>
      <w:r w:rsidRPr="00705D47">
        <w:rPr>
          <w:rFonts w:ascii="Times New Roman" w:hAnsi="Times New Roman"/>
          <w:b/>
          <w:sz w:val="24"/>
          <w:szCs w:val="24"/>
        </w:rPr>
        <w:t>Legal lesson learned: Excellent decision; no evidence of EMS or PD “failure to exercise any care.”</w:t>
      </w:r>
    </w:p>
    <w:p w14:paraId="108750B0" w14:textId="77777777" w:rsidR="00DC020F" w:rsidRPr="00705D47" w:rsidRDefault="00DC020F" w:rsidP="003F325A">
      <w:pPr>
        <w:rPr>
          <w:rFonts w:ascii="Times New Roman" w:hAnsi="Times New Roman"/>
          <w:b/>
          <w:bCs/>
          <w:sz w:val="24"/>
          <w:szCs w:val="24"/>
        </w:rPr>
      </w:pPr>
    </w:p>
    <w:p w14:paraId="095A1B9D" w14:textId="77777777" w:rsidR="00705D47" w:rsidRDefault="00705D47" w:rsidP="002B1283">
      <w:pPr>
        <w:rPr>
          <w:rFonts w:ascii="Arial Black" w:hAnsi="Arial Black"/>
          <w:b/>
          <w:bCs/>
          <w:sz w:val="28"/>
          <w:szCs w:val="28"/>
        </w:rPr>
      </w:pPr>
    </w:p>
    <w:p w14:paraId="1B9C17EA" w14:textId="54DD598F" w:rsidR="00254EDF" w:rsidRDefault="00254EDF" w:rsidP="002B1283">
      <w:pPr>
        <w:rPr>
          <w:rFonts w:ascii="Arial Black" w:hAnsi="Arial Black"/>
          <w:b/>
          <w:bCs/>
          <w:sz w:val="28"/>
          <w:szCs w:val="28"/>
        </w:rPr>
      </w:pPr>
      <w:r>
        <w:rPr>
          <w:rFonts w:ascii="Arial Black" w:hAnsi="Arial Black"/>
          <w:b/>
          <w:bCs/>
          <w:sz w:val="28"/>
          <w:szCs w:val="28"/>
        </w:rPr>
        <w:t>13-</w:t>
      </w:r>
      <w:r w:rsidR="00816988">
        <w:rPr>
          <w:rFonts w:ascii="Arial Black" w:hAnsi="Arial Black"/>
          <w:b/>
          <w:bCs/>
          <w:sz w:val="28"/>
          <w:szCs w:val="28"/>
        </w:rPr>
        <w:t>21</w:t>
      </w:r>
      <w:r w:rsidR="00524647">
        <w:rPr>
          <w:rFonts w:ascii="Arial Black" w:hAnsi="Arial Black"/>
          <w:b/>
          <w:bCs/>
          <w:sz w:val="28"/>
          <w:szCs w:val="28"/>
        </w:rPr>
        <w:t>5</w:t>
      </w:r>
    </w:p>
    <w:p w14:paraId="6B30168E" w14:textId="12DD2810" w:rsidR="007B7FD8" w:rsidRPr="000A6F07" w:rsidRDefault="007B7FD8" w:rsidP="007B7FD8">
      <w:pPr>
        <w:pStyle w:val="NoSpacing"/>
        <w:rPr>
          <w:rFonts w:ascii="Arial Black" w:hAnsi="Arial Black"/>
          <w:b/>
          <w:bCs/>
          <w:sz w:val="28"/>
          <w:szCs w:val="28"/>
        </w:rPr>
      </w:pPr>
      <w:r w:rsidRPr="000A6F07">
        <w:rPr>
          <w:rFonts w:ascii="Arial Black" w:hAnsi="Arial Black"/>
          <w:b/>
          <w:sz w:val="28"/>
          <w:szCs w:val="28"/>
        </w:rPr>
        <w:t>WA:</w:t>
      </w:r>
      <w:r>
        <w:rPr>
          <w:rFonts w:ascii="Arial Black" w:hAnsi="Arial Black"/>
          <w:b/>
          <w:sz w:val="28"/>
          <w:szCs w:val="28"/>
        </w:rPr>
        <w:t xml:space="preserve"> 15 MO. </w:t>
      </w:r>
      <w:r w:rsidR="00E844E5">
        <w:rPr>
          <w:rFonts w:ascii="Arial Black" w:hAnsi="Arial Black"/>
          <w:b/>
          <w:sz w:val="28"/>
          <w:szCs w:val="28"/>
        </w:rPr>
        <w:t xml:space="preserve">TO </w:t>
      </w:r>
      <w:r>
        <w:rPr>
          <w:rFonts w:ascii="Arial Black" w:hAnsi="Arial Black"/>
          <w:b/>
          <w:sz w:val="28"/>
          <w:szCs w:val="28"/>
        </w:rPr>
        <w:t xml:space="preserve">GET </w:t>
      </w:r>
      <w:r w:rsidR="004E5E7F">
        <w:rPr>
          <w:rFonts w:ascii="Arial Black" w:hAnsi="Arial Black"/>
          <w:b/>
          <w:sz w:val="28"/>
          <w:szCs w:val="28"/>
        </w:rPr>
        <w:t xml:space="preserve">EMT </w:t>
      </w:r>
      <w:r>
        <w:rPr>
          <w:rFonts w:ascii="Arial Black" w:hAnsi="Arial Black"/>
          <w:b/>
          <w:sz w:val="28"/>
          <w:szCs w:val="28"/>
        </w:rPr>
        <w:t>LICENSE – CRIM RECORD</w:t>
      </w:r>
      <w:r w:rsidR="005745F5">
        <w:rPr>
          <w:rFonts w:ascii="Arial Black" w:hAnsi="Arial Black"/>
          <w:b/>
          <w:sz w:val="28"/>
          <w:szCs w:val="28"/>
        </w:rPr>
        <w:t xml:space="preserve"> CHECK</w:t>
      </w:r>
    </w:p>
    <w:p w14:paraId="2EDE25DF" w14:textId="77777777" w:rsidR="007B7FD8" w:rsidRPr="006F2B87" w:rsidRDefault="007B7FD8" w:rsidP="007B7FD8">
      <w:pPr>
        <w:pStyle w:val="NoSpacing"/>
        <w:rPr>
          <w:b/>
          <w:bCs/>
        </w:rPr>
      </w:pPr>
    </w:p>
    <w:p w14:paraId="1B5F9F3A" w14:textId="11BECB4D" w:rsidR="007B7FD8" w:rsidRPr="00AA6324" w:rsidRDefault="007B7FD8" w:rsidP="007B7FD8">
      <w:pPr>
        <w:pStyle w:val="NoSpacing"/>
        <w:rPr>
          <w:rFonts w:ascii="Times New Roman" w:hAnsi="Times New Roman"/>
          <w:bCs/>
          <w:sz w:val="24"/>
          <w:szCs w:val="24"/>
        </w:rPr>
      </w:pPr>
      <w:r w:rsidRPr="00AA6324">
        <w:rPr>
          <w:rFonts w:ascii="Times New Roman" w:hAnsi="Times New Roman"/>
          <w:sz w:val="24"/>
          <w:szCs w:val="24"/>
        </w:rPr>
        <w:t xml:space="preserve">On May 21, 2025, in </w:t>
      </w:r>
      <w:r w:rsidRPr="00AA6324">
        <w:rPr>
          <w:rFonts w:ascii="Times New Roman" w:hAnsi="Times New Roman"/>
          <w:sz w:val="24"/>
          <w:szCs w:val="24"/>
          <w:u w:val="single"/>
        </w:rPr>
        <w:t>Brooklyn C. Clark v. Washington State Department of Health, et al.</w:t>
      </w:r>
      <w:r w:rsidRPr="00AA6324">
        <w:rPr>
          <w:rFonts w:ascii="Times New Roman" w:hAnsi="Times New Roman"/>
          <w:sz w:val="24"/>
          <w:szCs w:val="24"/>
        </w:rPr>
        <w:t xml:space="preserve">, U.S. District Court Judge Tiffany M. Cartwright, United States District Court for Western District of Washington (Tacoma) granted the State’s motion for summary judgment since the EMT license was granted; 15 months delay caused by applicant not getting </w:t>
      </w:r>
      <w:r w:rsidR="005745F5">
        <w:rPr>
          <w:rFonts w:ascii="Times New Roman" w:hAnsi="Times New Roman"/>
          <w:sz w:val="24"/>
          <w:szCs w:val="24"/>
        </w:rPr>
        <w:t xml:space="preserve">his criminal history </w:t>
      </w:r>
      <w:r w:rsidRPr="00AA6324">
        <w:rPr>
          <w:rFonts w:ascii="Times New Roman" w:hAnsi="Times New Roman"/>
          <w:sz w:val="24"/>
          <w:szCs w:val="24"/>
        </w:rPr>
        <w:t xml:space="preserve">records from Oregon court.  </w:t>
      </w:r>
    </w:p>
    <w:p w14:paraId="3E6C24ED" w14:textId="77777777" w:rsidR="007B7FD8" w:rsidRPr="00AA6324" w:rsidRDefault="007B7FD8" w:rsidP="007B7FD8">
      <w:pPr>
        <w:pStyle w:val="NoSpacing"/>
        <w:rPr>
          <w:rFonts w:ascii="Times New Roman" w:hAnsi="Times New Roman"/>
          <w:bCs/>
          <w:sz w:val="24"/>
          <w:szCs w:val="24"/>
        </w:rPr>
      </w:pPr>
    </w:p>
    <w:p w14:paraId="55D15C0E" w14:textId="77777777" w:rsidR="007B7FD8" w:rsidRPr="00AA6324" w:rsidRDefault="007B7FD8" w:rsidP="007B7FD8">
      <w:pPr>
        <w:pStyle w:val="NoSpacing"/>
        <w:rPr>
          <w:rFonts w:ascii="Times New Roman" w:hAnsi="Times New Roman"/>
          <w:sz w:val="24"/>
          <w:szCs w:val="24"/>
        </w:rPr>
      </w:pPr>
      <w:r w:rsidRPr="00AA6324">
        <w:rPr>
          <w:rFonts w:ascii="Times New Roman" w:hAnsi="Times New Roman"/>
          <w:sz w:val="24"/>
          <w:szCs w:val="24"/>
        </w:rPr>
        <w:t xml:space="preserve">The Court wrote: “On July 3, 2023, Ms. Clark </w:t>
      </w:r>
      <w:proofErr w:type="gramStart"/>
      <w:r w:rsidRPr="00AA6324">
        <w:rPr>
          <w:rFonts w:ascii="Times New Roman" w:hAnsi="Times New Roman"/>
          <w:sz w:val="24"/>
          <w:szCs w:val="24"/>
        </w:rPr>
        <w:t>submitted an application</w:t>
      </w:r>
      <w:proofErr w:type="gramEnd"/>
      <w:r w:rsidRPr="00AA6324">
        <w:rPr>
          <w:rFonts w:ascii="Times New Roman" w:hAnsi="Times New Roman"/>
          <w:sz w:val="24"/>
          <w:szCs w:val="24"/>
        </w:rPr>
        <w:t xml:space="preserve"> to be certified as an Emergency Medical Technician (‘EMT’) in Washington….  Ms. Clark, who is transgender, had ‘disclose[d] her previous name and gender’ to the Department as part of her application.  On her application, Ms. Clark attested that she had never been ‘convicted, entered a plea of guilty, no contest, or a similar plea, or had prosecution or a sentence deferred or [suspended] as an adult or [juvenile] in any state or jurisdiction[.]’ … Because Ms. Clark lived in Oregon … the Department ran an FBI National Fingerprint Database search…. The background check returned an out-of-state criminal history record for Ms. Clark…. Ms. Clark contested the results of the background check…. Defendant Scott Bramhall was the assigned investigator…. Because of Bramhall’s role, he was able to request the necessary information from the Court directly…. Ms. Clark eventually provided the necessary documentation about her criminal history….  On September 20, 2024, the Department issued Ms. Clark her certification to work as an EMT in the state.” </w:t>
      </w:r>
      <w:hyperlink r:id="rId2104" w:history="1">
        <w:r w:rsidRPr="00AA6324">
          <w:rPr>
            <w:rStyle w:val="Hyperlink"/>
            <w:rFonts w:ascii="Times New Roman" w:hAnsi="Times New Roman"/>
            <w:sz w:val="24"/>
            <w:szCs w:val="24"/>
          </w:rPr>
          <w:t>https://cases.justia.com/federal/district-courts/washington/wawdce/2:2023cv01558/327312/54/0.pdf?ts=1747918716</w:t>
        </w:r>
      </w:hyperlink>
      <w:r w:rsidRPr="00AA6324">
        <w:rPr>
          <w:rFonts w:ascii="Times New Roman" w:hAnsi="Times New Roman"/>
          <w:sz w:val="24"/>
          <w:szCs w:val="24"/>
        </w:rPr>
        <w:t xml:space="preserve"> </w:t>
      </w:r>
    </w:p>
    <w:p w14:paraId="5BC57B9F" w14:textId="77777777" w:rsidR="007B7FD8" w:rsidRPr="006F2B87" w:rsidRDefault="007B7FD8" w:rsidP="007B7FD8">
      <w:pPr>
        <w:pStyle w:val="NoSpacing"/>
      </w:pPr>
    </w:p>
    <w:p w14:paraId="637DEB2A" w14:textId="77777777" w:rsidR="001D1462" w:rsidRPr="00DC2632" w:rsidRDefault="001D1462" w:rsidP="001D1462">
      <w:pPr>
        <w:pStyle w:val="NoSpacing"/>
        <w:rPr>
          <w:rFonts w:ascii="Times New Roman" w:hAnsi="Times New Roman"/>
          <w:b/>
          <w:bCs/>
          <w:sz w:val="24"/>
          <w:szCs w:val="24"/>
        </w:rPr>
      </w:pPr>
      <w:r w:rsidRPr="00DC2632">
        <w:rPr>
          <w:rFonts w:ascii="Times New Roman" w:hAnsi="Times New Roman"/>
          <w:b/>
          <w:sz w:val="24"/>
          <w:szCs w:val="24"/>
        </w:rPr>
        <w:t xml:space="preserve">Legal Lesson Learned: EMT applicants must disclose details of prior criminal history. </w:t>
      </w:r>
    </w:p>
    <w:p w14:paraId="70B39853" w14:textId="77777777" w:rsidR="001D1462" w:rsidRPr="00DC2632" w:rsidRDefault="001D1462" w:rsidP="001D1462">
      <w:pPr>
        <w:pStyle w:val="NoSpacing"/>
        <w:rPr>
          <w:rFonts w:ascii="Times New Roman" w:hAnsi="Times New Roman"/>
          <w:b/>
          <w:bCs/>
          <w:sz w:val="24"/>
          <w:szCs w:val="24"/>
        </w:rPr>
      </w:pPr>
    </w:p>
    <w:p w14:paraId="34E7A1D6" w14:textId="77777777" w:rsidR="001D1462" w:rsidRPr="00DC2632" w:rsidRDefault="001D1462" w:rsidP="001D1462">
      <w:pPr>
        <w:pStyle w:val="NoSpacing"/>
        <w:ind w:left="720"/>
        <w:rPr>
          <w:rFonts w:ascii="Times New Roman" w:hAnsi="Times New Roman"/>
          <w:sz w:val="24"/>
          <w:szCs w:val="24"/>
        </w:rPr>
      </w:pPr>
      <w:r w:rsidRPr="00DC2632">
        <w:rPr>
          <w:rFonts w:ascii="Times New Roman" w:hAnsi="Times New Roman"/>
          <w:sz w:val="24"/>
          <w:szCs w:val="24"/>
        </w:rPr>
        <w:t>Note: The Court did not describe the prior criminal history that came up on the FBI record check.</w:t>
      </w:r>
    </w:p>
    <w:p w14:paraId="353867FC" w14:textId="77777777" w:rsidR="001D1462" w:rsidRPr="00DC2632" w:rsidRDefault="001D1462" w:rsidP="001D1462">
      <w:pPr>
        <w:pStyle w:val="NoSpacing"/>
        <w:rPr>
          <w:rFonts w:ascii="Times New Roman" w:hAnsi="Times New Roman"/>
          <w:bCs/>
          <w:sz w:val="24"/>
          <w:szCs w:val="24"/>
        </w:rPr>
      </w:pPr>
    </w:p>
    <w:p w14:paraId="42246A3D" w14:textId="77777777" w:rsidR="007B7FD8" w:rsidRDefault="007B7FD8" w:rsidP="007B7FD8">
      <w:pPr>
        <w:pStyle w:val="NoSpacing"/>
      </w:pPr>
    </w:p>
    <w:p w14:paraId="57BC4E06" w14:textId="41109464" w:rsidR="00DC2632" w:rsidRPr="00254EDF" w:rsidRDefault="00254EDF" w:rsidP="007B7FD8">
      <w:pPr>
        <w:pStyle w:val="NoSpacing"/>
        <w:rPr>
          <w:rFonts w:ascii="Arial Black" w:hAnsi="Arial Black"/>
          <w:sz w:val="24"/>
          <w:szCs w:val="24"/>
        </w:rPr>
      </w:pPr>
      <w:r w:rsidRPr="00254EDF">
        <w:rPr>
          <w:rFonts w:ascii="Arial Black" w:hAnsi="Arial Black"/>
          <w:sz w:val="24"/>
          <w:szCs w:val="24"/>
        </w:rPr>
        <w:t>13-21</w:t>
      </w:r>
      <w:r w:rsidR="00524647">
        <w:rPr>
          <w:rFonts w:ascii="Arial Black" w:hAnsi="Arial Black"/>
          <w:sz w:val="24"/>
          <w:szCs w:val="24"/>
        </w:rPr>
        <w:t>4</w:t>
      </w:r>
    </w:p>
    <w:p w14:paraId="5D26D2B2" w14:textId="77777777" w:rsidR="00254EDF" w:rsidRDefault="00254EDF" w:rsidP="007B7FD8">
      <w:pPr>
        <w:pStyle w:val="NoSpacing"/>
      </w:pPr>
    </w:p>
    <w:p w14:paraId="46EF38A8" w14:textId="77777777" w:rsidR="008F24E3" w:rsidRPr="006F2B87" w:rsidRDefault="008F24E3" w:rsidP="008F24E3">
      <w:pPr>
        <w:pStyle w:val="NoSpacing"/>
        <w:rPr>
          <w:rFonts w:ascii="Arial Black" w:hAnsi="Arial Black"/>
          <w:b/>
          <w:bCs/>
          <w:sz w:val="28"/>
          <w:szCs w:val="28"/>
        </w:rPr>
      </w:pPr>
      <w:r w:rsidRPr="006F2B87">
        <w:rPr>
          <w:rFonts w:ascii="Arial Black" w:hAnsi="Arial Black"/>
          <w:b/>
          <w:sz w:val="28"/>
          <w:szCs w:val="28"/>
        </w:rPr>
        <w:t xml:space="preserve">NY: </w:t>
      </w:r>
      <w:r>
        <w:rPr>
          <w:rFonts w:ascii="Arial Black" w:hAnsi="Arial Black"/>
          <w:b/>
          <w:sz w:val="28"/>
          <w:szCs w:val="28"/>
        </w:rPr>
        <w:t xml:space="preserve">CITY / </w:t>
      </w:r>
      <w:r w:rsidRPr="006F2B87">
        <w:rPr>
          <w:rFonts w:ascii="Arial Black" w:hAnsi="Arial Black"/>
          <w:b/>
          <w:sz w:val="28"/>
          <w:szCs w:val="28"/>
        </w:rPr>
        <w:t xml:space="preserve">EMS </w:t>
      </w:r>
      <w:r>
        <w:rPr>
          <w:rFonts w:ascii="Arial Black" w:hAnsi="Arial Black"/>
          <w:b/>
          <w:sz w:val="28"/>
          <w:szCs w:val="28"/>
        </w:rPr>
        <w:t xml:space="preserve">- </w:t>
      </w:r>
      <w:r w:rsidRPr="006F2B87">
        <w:rPr>
          <w:rFonts w:ascii="Arial Black" w:hAnsi="Arial Black"/>
          <w:b/>
          <w:sz w:val="28"/>
          <w:szCs w:val="28"/>
        </w:rPr>
        <w:t>NO “SPECIAL DUTY” TO PT –</w:t>
      </w:r>
      <w:r>
        <w:rPr>
          <w:rFonts w:ascii="Arial Black" w:hAnsi="Arial Black"/>
          <w:b/>
          <w:sz w:val="28"/>
          <w:szCs w:val="28"/>
        </w:rPr>
        <w:t xml:space="preserve"> </w:t>
      </w:r>
      <w:r w:rsidRPr="006F2B87">
        <w:rPr>
          <w:rFonts w:ascii="Arial Black" w:hAnsi="Arial Black"/>
          <w:b/>
          <w:sz w:val="28"/>
          <w:szCs w:val="28"/>
        </w:rPr>
        <w:t>IMMUNITY</w:t>
      </w:r>
      <w:r>
        <w:rPr>
          <w:rFonts w:ascii="Arial Black" w:hAnsi="Arial Black"/>
          <w:b/>
          <w:sz w:val="28"/>
          <w:szCs w:val="28"/>
        </w:rPr>
        <w:t xml:space="preserve"> </w:t>
      </w:r>
    </w:p>
    <w:p w14:paraId="625D5D4C" w14:textId="77777777" w:rsidR="008F24E3" w:rsidRDefault="008F24E3" w:rsidP="008F24E3">
      <w:pPr>
        <w:pStyle w:val="NoSpacing"/>
        <w:rPr>
          <w:bCs/>
        </w:rPr>
      </w:pPr>
    </w:p>
    <w:p w14:paraId="32D10567" w14:textId="77777777" w:rsidR="008F24E3" w:rsidRPr="008F24E3" w:rsidRDefault="008F24E3" w:rsidP="008F24E3">
      <w:pPr>
        <w:pStyle w:val="NoSpacing"/>
        <w:rPr>
          <w:rFonts w:ascii="Times New Roman" w:hAnsi="Times New Roman"/>
          <w:bCs/>
          <w:sz w:val="24"/>
          <w:szCs w:val="24"/>
        </w:rPr>
      </w:pPr>
      <w:r w:rsidRPr="008F24E3">
        <w:rPr>
          <w:rFonts w:ascii="Times New Roman" w:hAnsi="Times New Roman"/>
          <w:sz w:val="24"/>
          <w:szCs w:val="24"/>
        </w:rPr>
        <w:t xml:space="preserve">On May 5, 2025, in </w:t>
      </w:r>
      <w:proofErr w:type="spellStart"/>
      <w:r w:rsidRPr="008F24E3">
        <w:rPr>
          <w:rFonts w:ascii="Times New Roman" w:hAnsi="Times New Roman"/>
          <w:sz w:val="24"/>
          <w:szCs w:val="24"/>
          <w:u w:val="single"/>
        </w:rPr>
        <w:t>Treverys</w:t>
      </w:r>
      <w:proofErr w:type="spellEnd"/>
      <w:r w:rsidRPr="008F24E3">
        <w:rPr>
          <w:rFonts w:ascii="Times New Roman" w:hAnsi="Times New Roman"/>
          <w:sz w:val="24"/>
          <w:szCs w:val="24"/>
          <w:u w:val="single"/>
        </w:rPr>
        <w:t xml:space="preserve"> Scott, as Administrator of the Estate of Alger Scott, deceased v. City of Schenectady, the Schenectady Fire Department, and Mohawk Ambulance Service</w:t>
      </w:r>
      <w:r w:rsidRPr="008F24E3">
        <w:rPr>
          <w:rFonts w:ascii="Times New Roman" w:hAnsi="Times New Roman"/>
          <w:sz w:val="24"/>
          <w:szCs w:val="24"/>
        </w:rPr>
        <w:t xml:space="preserve">, Supreme Court Justice Thomas D. Buchana dismissed the complaint.  </w:t>
      </w:r>
    </w:p>
    <w:p w14:paraId="17C8FD43" w14:textId="77777777" w:rsidR="008F24E3" w:rsidRPr="008F24E3" w:rsidRDefault="008F24E3" w:rsidP="008F24E3">
      <w:pPr>
        <w:pStyle w:val="NoSpacing"/>
        <w:rPr>
          <w:rFonts w:ascii="Times New Roman" w:hAnsi="Times New Roman"/>
          <w:bCs/>
          <w:sz w:val="24"/>
          <w:szCs w:val="24"/>
        </w:rPr>
      </w:pPr>
    </w:p>
    <w:p w14:paraId="14A8B9B3" w14:textId="77777777" w:rsidR="008F24E3" w:rsidRPr="008F24E3" w:rsidRDefault="008F24E3" w:rsidP="008F24E3">
      <w:pPr>
        <w:pStyle w:val="NoSpacing"/>
        <w:rPr>
          <w:rFonts w:ascii="Times New Roman" w:hAnsi="Times New Roman"/>
          <w:bCs/>
          <w:sz w:val="24"/>
          <w:szCs w:val="24"/>
        </w:rPr>
      </w:pPr>
      <w:r w:rsidRPr="008F24E3">
        <w:rPr>
          <w:rFonts w:ascii="Times New Roman" w:hAnsi="Times New Roman"/>
          <w:sz w:val="24"/>
          <w:szCs w:val="24"/>
        </w:rPr>
        <w:lastRenderedPageBreak/>
        <w:t xml:space="preserve">The Court wrote: “This case arises from the actions of emergency response personnel from defendants Schenectady Fire Department and Mohawk Ambulance Service (‘Mohawk’), who were dispatched to Plaintiff's home in response to a 911 call. Emergency medical treatment was administered at the </w:t>
      </w:r>
      <w:proofErr w:type="gramStart"/>
      <w:r w:rsidRPr="008F24E3">
        <w:rPr>
          <w:rFonts w:ascii="Times New Roman" w:hAnsi="Times New Roman"/>
          <w:sz w:val="24"/>
          <w:szCs w:val="24"/>
        </w:rPr>
        <w:t>residence</w:t>
      </w:r>
      <w:proofErr w:type="gramEnd"/>
      <w:r w:rsidRPr="008F24E3">
        <w:rPr>
          <w:rFonts w:ascii="Times New Roman" w:hAnsi="Times New Roman"/>
          <w:sz w:val="24"/>
          <w:szCs w:val="24"/>
        </w:rPr>
        <w:t xml:space="preserve"> and Mr. Scott was transported to Ellis Hospital, where he passed away. *** The </w:t>
      </w:r>
      <w:proofErr w:type="gramStart"/>
      <w:r w:rsidRPr="008F24E3">
        <w:rPr>
          <w:rFonts w:ascii="Times New Roman" w:hAnsi="Times New Roman"/>
          <w:sz w:val="24"/>
          <w:szCs w:val="24"/>
        </w:rPr>
        <w:t>City</w:t>
      </w:r>
      <w:proofErr w:type="gramEnd"/>
      <w:r w:rsidRPr="008F24E3">
        <w:rPr>
          <w:rFonts w:ascii="Times New Roman" w:hAnsi="Times New Roman"/>
          <w:sz w:val="24"/>
          <w:szCs w:val="24"/>
        </w:rPr>
        <w:t xml:space="preserve"> alleges that the Complaint fails to state a cause of action (CPLR 3211[a][7]) because Plaintiff fails to plead the existence of a special duty running from the City to Plaintiff's decedent. *** The starting point for analysis of Plaintiff's claim against the </w:t>
      </w:r>
      <w:proofErr w:type="gramStart"/>
      <w:r w:rsidRPr="008F24E3">
        <w:rPr>
          <w:rFonts w:ascii="Times New Roman" w:hAnsi="Times New Roman"/>
          <w:sz w:val="24"/>
          <w:szCs w:val="24"/>
        </w:rPr>
        <w:t>City</w:t>
      </w:r>
      <w:proofErr w:type="gramEnd"/>
      <w:r w:rsidRPr="008F24E3">
        <w:rPr>
          <w:rFonts w:ascii="Times New Roman" w:hAnsi="Times New Roman"/>
          <w:sz w:val="24"/>
          <w:szCs w:val="24"/>
        </w:rPr>
        <w:t xml:space="preserve"> is to determine whether the </w:t>
      </w:r>
      <w:proofErr w:type="gramStart"/>
      <w:r w:rsidRPr="008F24E3">
        <w:rPr>
          <w:rFonts w:ascii="Times New Roman" w:hAnsi="Times New Roman"/>
          <w:sz w:val="24"/>
          <w:szCs w:val="24"/>
        </w:rPr>
        <w:t>City</w:t>
      </w:r>
      <w:proofErr w:type="gramEnd"/>
      <w:r w:rsidRPr="008F24E3">
        <w:rPr>
          <w:rFonts w:ascii="Times New Roman" w:hAnsi="Times New Roman"/>
          <w:sz w:val="24"/>
          <w:szCs w:val="24"/>
        </w:rPr>
        <w:t xml:space="preserve"> was involved in a proprietary function or a government function, as the answer to that question determines the standard to be applied. Providing emergency medical services has been established as a governmental function (</w:t>
      </w:r>
      <w:r w:rsidRPr="008F24E3">
        <w:rPr>
          <w:rFonts w:ascii="Times New Roman" w:hAnsi="Times New Roman"/>
          <w:i/>
          <w:iCs/>
          <w:sz w:val="24"/>
          <w:szCs w:val="24"/>
        </w:rPr>
        <w:t xml:space="preserve">Applewhite v. </w:t>
      </w:r>
      <w:proofErr w:type="spellStart"/>
      <w:r w:rsidRPr="008F24E3">
        <w:rPr>
          <w:rFonts w:ascii="Times New Roman" w:hAnsi="Times New Roman"/>
          <w:i/>
          <w:iCs/>
          <w:sz w:val="24"/>
          <w:szCs w:val="24"/>
        </w:rPr>
        <w:t>Accuhealth</w:t>
      </w:r>
      <w:proofErr w:type="spellEnd"/>
      <w:r w:rsidRPr="008F24E3">
        <w:rPr>
          <w:rFonts w:ascii="Times New Roman" w:hAnsi="Times New Roman"/>
          <w:i/>
          <w:iCs/>
          <w:sz w:val="24"/>
          <w:szCs w:val="24"/>
        </w:rPr>
        <w:t>, Inc.</w:t>
      </w:r>
      <w:r w:rsidRPr="008F24E3">
        <w:rPr>
          <w:rFonts w:ascii="Times New Roman" w:hAnsi="Times New Roman"/>
          <w:sz w:val="24"/>
          <w:szCs w:val="24"/>
        </w:rPr>
        <w:t xml:space="preserve">, 21 NY3d 420 [2013]). Therefore, </w:t>
      </w:r>
      <w:proofErr w:type="gramStart"/>
      <w:r w:rsidRPr="008F24E3">
        <w:rPr>
          <w:rFonts w:ascii="Times New Roman" w:hAnsi="Times New Roman"/>
          <w:sz w:val="24"/>
          <w:szCs w:val="24"/>
        </w:rPr>
        <w:t>in order to</w:t>
      </w:r>
      <w:proofErr w:type="gramEnd"/>
      <w:r w:rsidRPr="008F24E3">
        <w:rPr>
          <w:rFonts w:ascii="Times New Roman" w:hAnsi="Times New Roman"/>
          <w:sz w:val="24"/>
          <w:szCs w:val="24"/>
        </w:rPr>
        <w:t xml:space="preserve"> cast the </w:t>
      </w:r>
      <w:proofErr w:type="gramStart"/>
      <w:r w:rsidRPr="008F24E3">
        <w:rPr>
          <w:rFonts w:ascii="Times New Roman" w:hAnsi="Times New Roman"/>
          <w:sz w:val="24"/>
          <w:szCs w:val="24"/>
        </w:rPr>
        <w:t>City</w:t>
      </w:r>
      <w:proofErr w:type="gramEnd"/>
      <w:r w:rsidRPr="008F24E3">
        <w:rPr>
          <w:rFonts w:ascii="Times New Roman" w:hAnsi="Times New Roman"/>
          <w:sz w:val="24"/>
          <w:szCs w:val="24"/>
        </w:rPr>
        <w:t xml:space="preserve"> in negligence, Plaintiff must assert that the </w:t>
      </w:r>
      <w:proofErr w:type="gramStart"/>
      <w:r w:rsidRPr="008F24E3">
        <w:rPr>
          <w:rFonts w:ascii="Times New Roman" w:hAnsi="Times New Roman"/>
          <w:sz w:val="24"/>
          <w:szCs w:val="24"/>
        </w:rPr>
        <w:t>City</w:t>
      </w:r>
      <w:proofErr w:type="gramEnd"/>
      <w:r w:rsidRPr="008F24E3">
        <w:rPr>
          <w:rFonts w:ascii="Times New Roman" w:hAnsi="Times New Roman"/>
          <w:sz w:val="24"/>
          <w:szCs w:val="24"/>
        </w:rPr>
        <w:t xml:space="preserve"> owed Mr. Scott a ‘special </w:t>
      </w:r>
      <w:proofErr w:type="gramStart"/>
      <w:r w:rsidRPr="008F24E3">
        <w:rPr>
          <w:rFonts w:ascii="Times New Roman" w:hAnsi="Times New Roman"/>
          <w:sz w:val="24"/>
          <w:szCs w:val="24"/>
        </w:rPr>
        <w:t>duty’;</w:t>
      </w:r>
      <w:proofErr w:type="gramEnd"/>
      <w:r w:rsidRPr="008F24E3">
        <w:rPr>
          <w:rFonts w:ascii="Times New Roman" w:hAnsi="Times New Roman"/>
          <w:sz w:val="24"/>
          <w:szCs w:val="24"/>
        </w:rPr>
        <w:t xml:space="preserve"> that is, a duty beyond that owed </w:t>
      </w:r>
      <w:proofErr w:type="gramStart"/>
      <w:r w:rsidRPr="008F24E3">
        <w:rPr>
          <w:rFonts w:ascii="Times New Roman" w:hAnsi="Times New Roman"/>
          <w:sz w:val="24"/>
          <w:szCs w:val="24"/>
        </w:rPr>
        <w:t>to</w:t>
      </w:r>
      <w:proofErr w:type="gramEnd"/>
      <w:r w:rsidRPr="008F24E3">
        <w:rPr>
          <w:rFonts w:ascii="Times New Roman" w:hAnsi="Times New Roman"/>
          <w:sz w:val="24"/>
          <w:szCs w:val="24"/>
        </w:rPr>
        <w:t xml:space="preserve"> the public generally. A special duty can arise in three situations: (1) when the plaintiff belonged to a class for whose benefit a statute was enacted, (2) the government entity voluntarily assumed a duty to the plaintiff beyond what was owed to the public generally, and (3) the municipality took positive control of a known and dangerous safety condition (</w:t>
      </w:r>
      <w:r w:rsidRPr="008F24E3">
        <w:rPr>
          <w:rFonts w:ascii="Times New Roman" w:hAnsi="Times New Roman"/>
          <w:i/>
          <w:iCs/>
          <w:sz w:val="24"/>
          <w:szCs w:val="24"/>
        </w:rPr>
        <w:t>Id</w:t>
      </w:r>
      <w:r w:rsidRPr="008F24E3">
        <w:rPr>
          <w:rFonts w:ascii="Times New Roman" w:hAnsi="Times New Roman"/>
          <w:sz w:val="24"/>
          <w:szCs w:val="24"/>
        </w:rPr>
        <w:t xml:space="preserve">. at 426).  *** In the absence of a special duty, there is no viable claim of negligence (or negligent hiring or negligent retention, or negligent supervision) against the </w:t>
      </w:r>
      <w:proofErr w:type="gramStart"/>
      <w:r w:rsidRPr="008F24E3">
        <w:rPr>
          <w:rFonts w:ascii="Times New Roman" w:hAnsi="Times New Roman"/>
          <w:sz w:val="24"/>
          <w:szCs w:val="24"/>
        </w:rPr>
        <w:t>City</w:t>
      </w:r>
      <w:proofErr w:type="gramEnd"/>
      <w:r w:rsidRPr="008F24E3">
        <w:rPr>
          <w:rFonts w:ascii="Times New Roman" w:hAnsi="Times New Roman"/>
          <w:sz w:val="24"/>
          <w:szCs w:val="24"/>
        </w:rPr>
        <w:t xml:space="preserve">. Likewise, Mr. Scott would not have had a viable claim against the City had he survived the events at issue, so that Plaintiff's claim for wrongful death against the City also fails (EPTL §5-4.1).” </w:t>
      </w:r>
      <w:hyperlink r:id="rId2105" w:history="1">
        <w:r w:rsidRPr="008F24E3">
          <w:rPr>
            <w:rStyle w:val="Hyperlink"/>
            <w:rFonts w:ascii="Times New Roman" w:hAnsi="Times New Roman"/>
            <w:sz w:val="24"/>
            <w:szCs w:val="24"/>
          </w:rPr>
          <w:t>https://law.justia.com/cases/new-york/other-courts/2025/2025-ny-slip-op-50759-u.html</w:t>
        </w:r>
      </w:hyperlink>
      <w:r w:rsidRPr="008F24E3">
        <w:rPr>
          <w:rFonts w:ascii="Times New Roman" w:hAnsi="Times New Roman"/>
          <w:sz w:val="24"/>
          <w:szCs w:val="24"/>
        </w:rPr>
        <w:t xml:space="preserve"> </w:t>
      </w:r>
    </w:p>
    <w:p w14:paraId="1640355E" w14:textId="77777777" w:rsidR="00DC2632" w:rsidRPr="006F2B87" w:rsidRDefault="00DC2632" w:rsidP="007B7FD8">
      <w:pPr>
        <w:pStyle w:val="NoSpacing"/>
      </w:pPr>
    </w:p>
    <w:p w14:paraId="294D0B39" w14:textId="77777777" w:rsidR="00B53CC8" w:rsidRPr="00B53CC8" w:rsidRDefault="00B53CC8" w:rsidP="00B53CC8">
      <w:pPr>
        <w:pStyle w:val="NoSpacing"/>
        <w:rPr>
          <w:rFonts w:ascii="Times New Roman" w:hAnsi="Times New Roman"/>
          <w:b/>
          <w:bCs/>
          <w:sz w:val="24"/>
          <w:szCs w:val="24"/>
        </w:rPr>
      </w:pPr>
      <w:r w:rsidRPr="00B53CC8">
        <w:rPr>
          <w:rFonts w:ascii="Times New Roman" w:hAnsi="Times New Roman"/>
          <w:b/>
          <w:sz w:val="24"/>
          <w:szCs w:val="24"/>
        </w:rPr>
        <w:t>Legal Lesson Learned: The “special duty” doctrine protects government agencies when performing a governmental function.</w:t>
      </w:r>
    </w:p>
    <w:p w14:paraId="0BB45131" w14:textId="77777777" w:rsidR="00B53CC8" w:rsidRPr="00B53CC8" w:rsidRDefault="00B53CC8" w:rsidP="00B53CC8">
      <w:pPr>
        <w:pStyle w:val="NoSpacing"/>
        <w:rPr>
          <w:rFonts w:ascii="Times New Roman" w:hAnsi="Times New Roman"/>
          <w:b/>
          <w:bCs/>
          <w:sz w:val="24"/>
          <w:szCs w:val="24"/>
        </w:rPr>
      </w:pPr>
    </w:p>
    <w:p w14:paraId="4D394153" w14:textId="77777777" w:rsidR="007B7FD8" w:rsidRDefault="007B7FD8" w:rsidP="002B1283">
      <w:pPr>
        <w:rPr>
          <w:rFonts w:ascii="Arial Black" w:hAnsi="Arial Black"/>
          <w:b/>
          <w:bCs/>
          <w:sz w:val="28"/>
          <w:szCs w:val="28"/>
        </w:rPr>
      </w:pPr>
    </w:p>
    <w:p w14:paraId="42857FA7" w14:textId="0526A7BE" w:rsidR="00254EDF" w:rsidRDefault="00254EDF" w:rsidP="002B1283">
      <w:pPr>
        <w:rPr>
          <w:rFonts w:ascii="Arial Black" w:hAnsi="Arial Black"/>
          <w:b/>
          <w:bCs/>
          <w:sz w:val="28"/>
          <w:szCs w:val="28"/>
        </w:rPr>
      </w:pPr>
      <w:r>
        <w:rPr>
          <w:rFonts w:ascii="Arial Black" w:hAnsi="Arial Black"/>
          <w:b/>
          <w:bCs/>
          <w:sz w:val="28"/>
          <w:szCs w:val="28"/>
        </w:rPr>
        <w:t>13-21</w:t>
      </w:r>
      <w:r w:rsidR="00524647">
        <w:rPr>
          <w:rFonts w:ascii="Arial Black" w:hAnsi="Arial Black"/>
          <w:b/>
          <w:bCs/>
          <w:sz w:val="28"/>
          <w:szCs w:val="28"/>
        </w:rPr>
        <w:t>3</w:t>
      </w:r>
    </w:p>
    <w:p w14:paraId="13A972C3" w14:textId="10988EEF" w:rsidR="001C6208" w:rsidRPr="006F2B87" w:rsidRDefault="001C6208" w:rsidP="001C6208">
      <w:pPr>
        <w:pStyle w:val="NoSpacing"/>
        <w:rPr>
          <w:rFonts w:ascii="Arial Black" w:hAnsi="Arial Black"/>
          <w:sz w:val="28"/>
          <w:szCs w:val="28"/>
        </w:rPr>
      </w:pPr>
      <w:r w:rsidRPr="006F2B87">
        <w:rPr>
          <w:rFonts w:ascii="Arial Black" w:hAnsi="Arial Black"/>
          <w:sz w:val="28"/>
          <w:szCs w:val="28"/>
        </w:rPr>
        <w:t>A</w:t>
      </w:r>
      <w:r>
        <w:rPr>
          <w:rFonts w:ascii="Arial Black" w:hAnsi="Arial Black"/>
          <w:sz w:val="28"/>
          <w:szCs w:val="28"/>
        </w:rPr>
        <w:t>K</w:t>
      </w:r>
      <w:r w:rsidRPr="006F2B87">
        <w:rPr>
          <w:rFonts w:ascii="Arial Black" w:hAnsi="Arial Black"/>
          <w:sz w:val="28"/>
          <w:szCs w:val="28"/>
        </w:rPr>
        <w:t xml:space="preserve">: </w:t>
      </w:r>
      <w:r w:rsidR="003D1F16">
        <w:rPr>
          <w:rFonts w:ascii="Arial Black" w:hAnsi="Arial Black"/>
          <w:sz w:val="28"/>
          <w:szCs w:val="28"/>
        </w:rPr>
        <w:t xml:space="preserve">MUNICIPAL IMMUNITY – INCLUDES </w:t>
      </w:r>
      <w:r>
        <w:rPr>
          <w:rFonts w:ascii="Arial Black" w:hAnsi="Arial Black"/>
          <w:sz w:val="28"/>
          <w:szCs w:val="28"/>
        </w:rPr>
        <w:t>EMS RUN</w:t>
      </w:r>
      <w:r w:rsidR="003D1F16">
        <w:rPr>
          <w:rFonts w:ascii="Arial Black" w:hAnsi="Arial Black"/>
          <w:sz w:val="28"/>
          <w:szCs w:val="28"/>
        </w:rPr>
        <w:t>S</w:t>
      </w:r>
      <w:r>
        <w:rPr>
          <w:rFonts w:ascii="Arial Black" w:hAnsi="Arial Black"/>
          <w:sz w:val="28"/>
          <w:szCs w:val="28"/>
        </w:rPr>
        <w:t xml:space="preserve"> OUTSIDE CITY</w:t>
      </w:r>
    </w:p>
    <w:p w14:paraId="66A4509E" w14:textId="77777777" w:rsidR="001C6208" w:rsidRPr="006F2B87" w:rsidRDefault="001C6208" w:rsidP="001C6208">
      <w:pPr>
        <w:pStyle w:val="NoSpacing"/>
      </w:pPr>
    </w:p>
    <w:p w14:paraId="48B5BCED" w14:textId="77777777" w:rsidR="001C6208" w:rsidRPr="00215578" w:rsidRDefault="001C6208" w:rsidP="001C6208">
      <w:pPr>
        <w:pStyle w:val="NoSpacing"/>
        <w:rPr>
          <w:rFonts w:ascii="Times New Roman" w:hAnsi="Times New Roman"/>
          <w:sz w:val="24"/>
          <w:szCs w:val="24"/>
        </w:rPr>
      </w:pPr>
      <w:r w:rsidRPr="00215578">
        <w:rPr>
          <w:rFonts w:ascii="Times New Roman" w:hAnsi="Times New Roman"/>
          <w:sz w:val="24"/>
          <w:szCs w:val="24"/>
        </w:rPr>
        <w:t xml:space="preserve">On May 2, 2025, in </w:t>
      </w:r>
      <w:r w:rsidRPr="00215578">
        <w:rPr>
          <w:rFonts w:ascii="Times New Roman" w:hAnsi="Times New Roman"/>
          <w:sz w:val="24"/>
          <w:szCs w:val="24"/>
          <w:u w:val="single"/>
        </w:rPr>
        <w:t>John D. Richon v. City of Nome, Allen Wright, and Jackie L. Reader</w:t>
      </w:r>
      <w:r w:rsidRPr="00215578">
        <w:rPr>
          <w:rFonts w:ascii="Times New Roman" w:hAnsi="Times New Roman"/>
          <w:sz w:val="24"/>
          <w:szCs w:val="24"/>
        </w:rPr>
        <w:t>, the Supreme Court of Alaska held (5 to 0) that trial court properly granted summary judgment to the city and the EMS personnel; the run was outside the city limits and under a unique Alaska statute there is no liability for “gratuitous extension of municipal services” even if the patient was charged for services. The ambulance department billed Rochon for its emergency services $1,775, which included base fee of $725 for advanced life support and $15 for each mile the ambulance travelled.  </w:t>
      </w:r>
    </w:p>
    <w:p w14:paraId="7F1DAFC7" w14:textId="77777777" w:rsidR="001C6208" w:rsidRPr="00215578" w:rsidRDefault="001C6208" w:rsidP="001C6208">
      <w:pPr>
        <w:pStyle w:val="NoSpacing"/>
        <w:rPr>
          <w:rFonts w:ascii="Times New Roman" w:hAnsi="Times New Roman"/>
          <w:sz w:val="24"/>
          <w:szCs w:val="24"/>
        </w:rPr>
      </w:pPr>
    </w:p>
    <w:p w14:paraId="30ED63C6" w14:textId="77777777" w:rsidR="001C6208" w:rsidRPr="00215578" w:rsidRDefault="001C6208" w:rsidP="001C6208">
      <w:pPr>
        <w:pStyle w:val="NoSpacing"/>
        <w:rPr>
          <w:rFonts w:ascii="Times New Roman" w:hAnsi="Times New Roman"/>
          <w:sz w:val="24"/>
          <w:szCs w:val="24"/>
        </w:rPr>
      </w:pPr>
      <w:r w:rsidRPr="00215578">
        <w:rPr>
          <w:rFonts w:ascii="Times New Roman" w:hAnsi="Times New Roman"/>
          <w:sz w:val="24"/>
          <w:szCs w:val="24"/>
        </w:rPr>
        <w:t xml:space="preserve">The Court wrote:  “It does not appear that any other state includes ‘extraterritorial’ in its municipal immunity statute. However, many states protect those who provide emergency care ‘gratuitously and in good faith’ from liability for damages resulting from that service.  These laws are generally referred to as ‘Good Samaritan laws.’ Such laws were created because common law did not require strangers to help people needing emergency assistance. But if someone chose to help another and the emergency assistance went wrong, the rescuer could be sued. Good Samaritan laws were passed to encourage rescues by eliminating the threat of liability. Courts outside Alaska that have interpreted these laws conclude that they protect rescuers who were under no duty to act.” </w:t>
      </w:r>
      <w:hyperlink r:id="rId2106" w:history="1">
        <w:r w:rsidRPr="00215578">
          <w:rPr>
            <w:rStyle w:val="Hyperlink"/>
            <w:rFonts w:ascii="Times New Roman" w:hAnsi="Times New Roman"/>
            <w:sz w:val="24"/>
            <w:szCs w:val="24"/>
          </w:rPr>
          <w:t>https://caselaw.findlaw.com/court/ak-supreme-court/117230404.html</w:t>
        </w:r>
      </w:hyperlink>
      <w:r w:rsidRPr="00215578">
        <w:rPr>
          <w:rFonts w:ascii="Times New Roman" w:hAnsi="Times New Roman"/>
          <w:sz w:val="24"/>
          <w:szCs w:val="24"/>
        </w:rPr>
        <w:t xml:space="preserve"> </w:t>
      </w:r>
    </w:p>
    <w:p w14:paraId="1E196DC9" w14:textId="77777777" w:rsidR="001C6208" w:rsidRPr="006F2B87" w:rsidRDefault="001C6208" w:rsidP="001C6208">
      <w:pPr>
        <w:pStyle w:val="NoSpacing"/>
      </w:pPr>
    </w:p>
    <w:p w14:paraId="16B4E7AF" w14:textId="77777777" w:rsidR="00467FCE" w:rsidRPr="00254EDF" w:rsidRDefault="00467FCE" w:rsidP="00467FCE">
      <w:pPr>
        <w:pStyle w:val="NoSpacing"/>
        <w:rPr>
          <w:rFonts w:ascii="Times New Roman" w:hAnsi="Times New Roman"/>
          <w:b/>
          <w:bCs/>
          <w:sz w:val="24"/>
          <w:szCs w:val="24"/>
        </w:rPr>
      </w:pPr>
      <w:r w:rsidRPr="00254EDF">
        <w:rPr>
          <w:rFonts w:ascii="Times New Roman" w:hAnsi="Times New Roman"/>
          <w:b/>
          <w:sz w:val="24"/>
          <w:szCs w:val="24"/>
        </w:rPr>
        <w:t xml:space="preserve">Legal Lesson Learned: Alaska’s unique statute </w:t>
      </w:r>
      <w:r w:rsidRPr="00254EDF">
        <w:rPr>
          <w:rFonts w:ascii="Times New Roman" w:hAnsi="Times New Roman"/>
          <w:b/>
          <w:bCs/>
          <w:sz w:val="24"/>
          <w:szCs w:val="24"/>
        </w:rPr>
        <w:t xml:space="preserve">protects </w:t>
      </w:r>
      <w:r w:rsidRPr="00254EDF">
        <w:rPr>
          <w:rFonts w:ascii="Times New Roman" w:hAnsi="Times New Roman"/>
          <w:b/>
          <w:sz w:val="24"/>
          <w:szCs w:val="24"/>
        </w:rPr>
        <w:t>municipalities and EMS personal from liability for ordinary negligence claims.  When using a backboard, strap down the patient and consider calling  an Air Ambulance to the scene instead of driving 35 miles on gravel road.</w:t>
      </w:r>
    </w:p>
    <w:p w14:paraId="3528DFC5" w14:textId="77777777" w:rsidR="00467FCE" w:rsidRPr="00254EDF" w:rsidRDefault="00467FCE" w:rsidP="00467FCE">
      <w:pPr>
        <w:pStyle w:val="NoSpacing"/>
        <w:rPr>
          <w:rFonts w:ascii="Times New Roman" w:hAnsi="Times New Roman"/>
          <w:sz w:val="24"/>
          <w:szCs w:val="24"/>
        </w:rPr>
      </w:pPr>
    </w:p>
    <w:p w14:paraId="7C1D4F12" w14:textId="77777777" w:rsidR="00467FCE" w:rsidRPr="00254EDF" w:rsidRDefault="00467FCE" w:rsidP="00467FCE">
      <w:pPr>
        <w:pStyle w:val="NoSpacing"/>
        <w:ind w:left="720"/>
        <w:rPr>
          <w:rFonts w:ascii="Times New Roman" w:hAnsi="Times New Roman"/>
          <w:sz w:val="24"/>
          <w:szCs w:val="24"/>
        </w:rPr>
      </w:pPr>
      <w:r w:rsidRPr="00254EDF">
        <w:rPr>
          <w:rFonts w:ascii="Times New Roman" w:hAnsi="Times New Roman"/>
          <w:sz w:val="24"/>
          <w:szCs w:val="24"/>
        </w:rPr>
        <w:t xml:space="preserve">Note:  The City’s attorneys made an “offer of judgment” to settle the case for $7.500. The plaintiff rejected that offer and now must reimburse City for attorney’s fees from the date of the offer. “Footnote 4: Under this rule, if the opposing party declines the offer and then receives a judgment that is 90% of </w:t>
      </w:r>
      <w:r w:rsidRPr="00254EDF">
        <w:rPr>
          <w:rFonts w:ascii="Times New Roman" w:hAnsi="Times New Roman"/>
          <w:sz w:val="24"/>
          <w:szCs w:val="24"/>
        </w:rPr>
        <w:lastRenderedPageBreak/>
        <w:t>the offer or less, it must pay a percentage of the offering party's attorney's fees. Alaska R. Civ. P. 68(a)-(b).”</w:t>
      </w:r>
    </w:p>
    <w:p w14:paraId="0B6F62D3" w14:textId="77777777" w:rsidR="00467FCE" w:rsidRPr="00254EDF" w:rsidRDefault="00467FCE" w:rsidP="00467FCE">
      <w:pPr>
        <w:pStyle w:val="NoSpacing"/>
        <w:rPr>
          <w:rFonts w:ascii="Times New Roman" w:hAnsi="Times New Roman"/>
          <w:sz w:val="24"/>
          <w:szCs w:val="24"/>
        </w:rPr>
      </w:pPr>
    </w:p>
    <w:p w14:paraId="17EC9C2D" w14:textId="77777777" w:rsidR="007B7FD8" w:rsidRDefault="007B7FD8" w:rsidP="002B1283">
      <w:pPr>
        <w:rPr>
          <w:rFonts w:ascii="Arial Black" w:hAnsi="Arial Black"/>
          <w:b/>
          <w:bCs/>
          <w:sz w:val="28"/>
          <w:szCs w:val="28"/>
        </w:rPr>
      </w:pPr>
    </w:p>
    <w:p w14:paraId="70D02C2D" w14:textId="447653FB" w:rsidR="00BA7C2E" w:rsidRDefault="00BA7C2E" w:rsidP="002B1283">
      <w:pPr>
        <w:rPr>
          <w:rFonts w:ascii="Arial Black" w:hAnsi="Arial Black"/>
          <w:b/>
          <w:bCs/>
          <w:sz w:val="28"/>
          <w:szCs w:val="28"/>
        </w:rPr>
      </w:pPr>
      <w:r>
        <w:rPr>
          <w:rFonts w:ascii="Arial Black" w:hAnsi="Arial Black"/>
          <w:b/>
          <w:bCs/>
          <w:sz w:val="28"/>
          <w:szCs w:val="28"/>
        </w:rPr>
        <w:t>13-21</w:t>
      </w:r>
      <w:r w:rsidR="00524647">
        <w:rPr>
          <w:rFonts w:ascii="Arial Black" w:hAnsi="Arial Black"/>
          <w:b/>
          <w:bCs/>
          <w:sz w:val="28"/>
          <w:szCs w:val="28"/>
        </w:rPr>
        <w:t>2</w:t>
      </w:r>
    </w:p>
    <w:p w14:paraId="5CDE112A" w14:textId="7F804292" w:rsidR="00940FEF" w:rsidRPr="00564629" w:rsidRDefault="00940FEF" w:rsidP="00940FEF">
      <w:pPr>
        <w:rPr>
          <w:rFonts w:ascii="Arial Black" w:hAnsi="Arial Black"/>
          <w:b/>
          <w:sz w:val="28"/>
          <w:szCs w:val="28"/>
        </w:rPr>
      </w:pPr>
      <w:r>
        <w:rPr>
          <w:rFonts w:ascii="Arial Black" w:hAnsi="Arial Black"/>
          <w:b/>
          <w:sz w:val="28"/>
          <w:szCs w:val="28"/>
        </w:rPr>
        <w:t xml:space="preserve">CA: AMR LOSES COUNTY CONTRACT – </w:t>
      </w:r>
      <w:r w:rsidR="00882D61">
        <w:rPr>
          <w:rFonts w:ascii="Arial Black" w:hAnsi="Arial Black"/>
          <w:b/>
          <w:sz w:val="28"/>
          <w:szCs w:val="28"/>
        </w:rPr>
        <w:t>NO</w:t>
      </w:r>
      <w:r w:rsidR="003101E1">
        <w:rPr>
          <w:rFonts w:ascii="Arial Black" w:hAnsi="Arial Black"/>
          <w:b/>
          <w:sz w:val="28"/>
          <w:szCs w:val="28"/>
        </w:rPr>
        <w:t>T</w:t>
      </w:r>
      <w:r w:rsidR="00882D61">
        <w:rPr>
          <w:rFonts w:ascii="Arial Black" w:hAnsi="Arial Black"/>
          <w:b/>
          <w:sz w:val="28"/>
          <w:szCs w:val="28"/>
        </w:rPr>
        <w:t xml:space="preserve"> FED ANTITUST </w:t>
      </w:r>
      <w:r>
        <w:rPr>
          <w:rFonts w:ascii="Arial Black" w:hAnsi="Arial Black"/>
          <w:b/>
          <w:sz w:val="28"/>
          <w:szCs w:val="28"/>
        </w:rPr>
        <w:t>CASE</w:t>
      </w:r>
    </w:p>
    <w:p w14:paraId="4E45534C" w14:textId="77777777" w:rsidR="00940FEF" w:rsidRPr="00940FEF" w:rsidRDefault="00940FEF" w:rsidP="00940FEF">
      <w:pPr>
        <w:rPr>
          <w:rFonts w:ascii="Times New Roman" w:hAnsi="Times New Roman"/>
          <w:bCs/>
          <w:sz w:val="24"/>
          <w:szCs w:val="24"/>
        </w:rPr>
      </w:pPr>
      <w:r w:rsidRPr="00940FEF">
        <w:rPr>
          <w:rFonts w:ascii="Times New Roman" w:hAnsi="Times New Roman"/>
          <w:sz w:val="24"/>
          <w:szCs w:val="24"/>
        </w:rPr>
        <w:t xml:space="preserve">On April 30, 2025, in </w:t>
      </w:r>
      <w:r w:rsidRPr="00940FEF">
        <w:rPr>
          <w:rFonts w:ascii="Times New Roman" w:hAnsi="Times New Roman"/>
          <w:sz w:val="24"/>
          <w:szCs w:val="24"/>
          <w:u w:val="single"/>
        </w:rPr>
        <w:t>American Medical Response of Inland Empire v. County of San Bernardino,</w:t>
      </w:r>
      <w:r w:rsidRPr="00940FEF">
        <w:rPr>
          <w:rFonts w:ascii="Times New Roman" w:hAnsi="Times New Roman"/>
          <w:sz w:val="24"/>
          <w:szCs w:val="24"/>
        </w:rPr>
        <w:t xml:space="preserve"> the U.S. Court of Appeals for the 9</w:t>
      </w:r>
      <w:r w:rsidRPr="00940FEF">
        <w:rPr>
          <w:rFonts w:ascii="Times New Roman" w:hAnsi="Times New Roman"/>
          <w:sz w:val="24"/>
          <w:szCs w:val="24"/>
          <w:vertAlign w:val="superscript"/>
        </w:rPr>
        <w:t>th</w:t>
      </w:r>
      <w:r w:rsidRPr="00940FEF">
        <w:rPr>
          <w:rFonts w:ascii="Times New Roman" w:hAnsi="Times New Roman"/>
          <w:sz w:val="24"/>
          <w:szCs w:val="24"/>
        </w:rPr>
        <w:t xml:space="preserve"> Circuit (San Francisco) held (3 to 0; not for publication decision) that the trial court properly dismissed the lawsuit claiming the County violated federal antitrust law by awarding all EMS services in a designated county area to Consolidated Fire Agencies (“</w:t>
      </w:r>
      <w:proofErr w:type="spellStart"/>
      <w:r w:rsidRPr="00940FEF">
        <w:rPr>
          <w:rFonts w:ascii="Times New Roman" w:hAnsi="Times New Roman"/>
          <w:sz w:val="24"/>
          <w:szCs w:val="24"/>
        </w:rPr>
        <w:t>ConFire</w:t>
      </w:r>
      <w:proofErr w:type="spellEnd"/>
      <w:r w:rsidRPr="00940FEF">
        <w:rPr>
          <w:rFonts w:ascii="Times New Roman" w:hAnsi="Times New Roman"/>
          <w:sz w:val="24"/>
          <w:szCs w:val="24"/>
        </w:rPr>
        <w:t xml:space="preserve">”), based in part on anticipated faster response times. AMR is also seeking relief in a state court case.  </w:t>
      </w:r>
      <w:hyperlink r:id="rId2107" w:history="1">
        <w:r w:rsidRPr="00940FEF">
          <w:rPr>
            <w:rStyle w:val="Hyperlink"/>
            <w:rFonts w:ascii="Times New Roman" w:hAnsi="Times New Roman"/>
            <w:sz w:val="24"/>
            <w:szCs w:val="24"/>
          </w:rPr>
          <w:t>https://cdn.ca9.uscourts.gov/datastore/memoranda/2025/04/30/24-3195.pdf</w:t>
        </w:r>
      </w:hyperlink>
      <w:r w:rsidRPr="00940FEF">
        <w:rPr>
          <w:rFonts w:ascii="Times New Roman" w:hAnsi="Times New Roman"/>
          <w:sz w:val="24"/>
          <w:szCs w:val="24"/>
        </w:rPr>
        <w:t xml:space="preserve"> </w:t>
      </w:r>
    </w:p>
    <w:p w14:paraId="0F6E9A2F" w14:textId="77777777" w:rsidR="000B3321" w:rsidRPr="003373B6" w:rsidRDefault="000B3321" w:rsidP="000B3321">
      <w:pPr>
        <w:pStyle w:val="NoSpacing"/>
        <w:rPr>
          <w:rFonts w:ascii="Times New Roman" w:hAnsi="Times New Roman"/>
          <w:b/>
          <w:bCs/>
          <w:sz w:val="24"/>
          <w:szCs w:val="24"/>
        </w:rPr>
      </w:pPr>
      <w:r w:rsidRPr="003373B6">
        <w:rPr>
          <w:rFonts w:ascii="Times New Roman" w:hAnsi="Times New Roman"/>
          <w:b/>
          <w:sz w:val="24"/>
          <w:szCs w:val="24"/>
        </w:rPr>
        <w:t xml:space="preserve">Legal Lesson Learned: Loss of an EMS contract </w:t>
      </w:r>
      <w:r w:rsidRPr="003373B6">
        <w:rPr>
          <w:rFonts w:ascii="Times New Roman" w:hAnsi="Times New Roman"/>
          <w:b/>
          <w:bCs/>
          <w:sz w:val="24"/>
          <w:szCs w:val="24"/>
        </w:rPr>
        <w:t xml:space="preserve">can be litigated </w:t>
      </w:r>
      <w:r w:rsidRPr="003373B6">
        <w:rPr>
          <w:rFonts w:ascii="Times New Roman" w:hAnsi="Times New Roman"/>
          <w:b/>
          <w:sz w:val="24"/>
          <w:szCs w:val="24"/>
        </w:rPr>
        <w:t xml:space="preserve">in state court. </w:t>
      </w:r>
    </w:p>
    <w:p w14:paraId="7C5C7665" w14:textId="77777777" w:rsidR="00BA7C2E" w:rsidRPr="003373B6" w:rsidRDefault="00BA7C2E" w:rsidP="002B1283">
      <w:pPr>
        <w:rPr>
          <w:rFonts w:ascii="Times New Roman" w:hAnsi="Times New Roman"/>
          <w:b/>
          <w:bCs/>
          <w:sz w:val="24"/>
          <w:szCs w:val="24"/>
        </w:rPr>
      </w:pPr>
    </w:p>
    <w:p w14:paraId="777084F7" w14:textId="77777777" w:rsidR="00BA7C2E" w:rsidRDefault="00BA7C2E" w:rsidP="002B1283">
      <w:pPr>
        <w:rPr>
          <w:rFonts w:ascii="Arial Black" w:hAnsi="Arial Black"/>
          <w:b/>
          <w:bCs/>
          <w:sz w:val="28"/>
          <w:szCs w:val="28"/>
        </w:rPr>
      </w:pPr>
    </w:p>
    <w:p w14:paraId="05B00ECD" w14:textId="6C344275" w:rsidR="00DB0A44" w:rsidRDefault="00DB0A44" w:rsidP="002B1283">
      <w:pPr>
        <w:rPr>
          <w:rFonts w:ascii="Arial Black" w:hAnsi="Arial Black"/>
          <w:b/>
          <w:bCs/>
          <w:sz w:val="28"/>
          <w:szCs w:val="28"/>
        </w:rPr>
      </w:pPr>
      <w:r>
        <w:rPr>
          <w:rFonts w:ascii="Arial Black" w:hAnsi="Arial Black"/>
          <w:b/>
          <w:bCs/>
          <w:sz w:val="28"/>
          <w:szCs w:val="28"/>
        </w:rPr>
        <w:t>13-21</w:t>
      </w:r>
      <w:r w:rsidR="00524647">
        <w:rPr>
          <w:rFonts w:ascii="Arial Black" w:hAnsi="Arial Black"/>
          <w:b/>
          <w:bCs/>
          <w:sz w:val="28"/>
          <w:szCs w:val="28"/>
        </w:rPr>
        <w:t>1</w:t>
      </w:r>
    </w:p>
    <w:p w14:paraId="0E80F0C8" w14:textId="77777777" w:rsidR="00233326" w:rsidRDefault="00233326" w:rsidP="00233326">
      <w:pPr>
        <w:rPr>
          <w:rFonts w:ascii="Arial Black" w:hAnsi="Arial Black"/>
          <w:sz w:val="28"/>
          <w:szCs w:val="28"/>
        </w:rPr>
      </w:pPr>
      <w:r>
        <w:rPr>
          <w:rFonts w:ascii="Arial Black" w:hAnsi="Arial Black"/>
          <w:sz w:val="28"/>
          <w:szCs w:val="28"/>
        </w:rPr>
        <w:t>NY: EMT FACING REV. LICENSE – CAN HAVE JURY TRIAL</w:t>
      </w:r>
    </w:p>
    <w:p w14:paraId="38EB5081" w14:textId="33A854B7" w:rsidR="00DB0A44" w:rsidRPr="00233326" w:rsidRDefault="00233326" w:rsidP="00233326">
      <w:pPr>
        <w:rPr>
          <w:rFonts w:ascii="Times New Roman" w:hAnsi="Times New Roman"/>
          <w:b/>
          <w:bCs/>
          <w:sz w:val="24"/>
          <w:szCs w:val="24"/>
        </w:rPr>
      </w:pPr>
      <w:r w:rsidRPr="00233326">
        <w:rPr>
          <w:rFonts w:ascii="Times New Roman" w:hAnsi="Times New Roman"/>
          <w:sz w:val="24"/>
          <w:szCs w:val="24"/>
        </w:rPr>
        <w:t xml:space="preserve">On April 14, 2025, in </w:t>
      </w:r>
      <w:r w:rsidRPr="00233326">
        <w:rPr>
          <w:rFonts w:ascii="Times New Roman" w:hAnsi="Times New Roman"/>
          <w:sz w:val="24"/>
          <w:szCs w:val="24"/>
          <w:u w:val="single"/>
        </w:rPr>
        <w:t>Justin Ball v. The New York State Department of Health</w:t>
      </w:r>
      <w:r w:rsidRPr="00233326">
        <w:rPr>
          <w:rFonts w:ascii="Times New Roman" w:hAnsi="Times New Roman"/>
          <w:b/>
          <w:sz w:val="24"/>
          <w:szCs w:val="24"/>
        </w:rPr>
        <w:t xml:space="preserve">,  </w:t>
      </w:r>
      <w:r w:rsidRPr="00233326">
        <w:rPr>
          <w:rFonts w:ascii="Times New Roman" w:hAnsi="Times New Roman"/>
          <w:sz w:val="24"/>
          <w:szCs w:val="24"/>
        </w:rPr>
        <w:t xml:space="preserve">N.Y. Supreme Court Justice Thomas Marcelle held that the EMT, facing loss of his license for improperly handling </w:t>
      </w:r>
      <w:proofErr w:type="gramStart"/>
      <w:r w:rsidRPr="00233326">
        <w:rPr>
          <w:rFonts w:ascii="Times New Roman" w:hAnsi="Times New Roman"/>
          <w:sz w:val="24"/>
          <w:szCs w:val="24"/>
        </w:rPr>
        <w:t>an</w:t>
      </w:r>
      <w:proofErr w:type="gramEnd"/>
      <w:r w:rsidRPr="00233326">
        <w:rPr>
          <w:rFonts w:ascii="Times New Roman" w:hAnsi="Times New Roman"/>
          <w:sz w:val="24"/>
          <w:szCs w:val="24"/>
        </w:rPr>
        <w:t xml:space="preserve"> patient with “scorn and ridicule” is entitled to a jury trial, rather than administrative hearing before the Department of Health. </w:t>
      </w:r>
      <w:hyperlink r:id="rId2108" w:history="1">
        <w:r w:rsidR="007807F7" w:rsidRPr="003870A5">
          <w:rPr>
            <w:rStyle w:val="Hyperlink"/>
            <w:rFonts w:ascii="Times New Roman" w:hAnsi="Times New Roman"/>
            <w:sz w:val="24"/>
            <w:szCs w:val="24"/>
          </w:rPr>
          <w:t>https://law.justia.com/cases/new-york/other-courts/2025/2025-ny-slip-op-25090.html</w:t>
        </w:r>
      </w:hyperlink>
      <w:r w:rsidR="007807F7">
        <w:rPr>
          <w:rFonts w:ascii="Times New Roman" w:hAnsi="Times New Roman"/>
          <w:sz w:val="24"/>
          <w:szCs w:val="24"/>
        </w:rPr>
        <w:t xml:space="preserve"> </w:t>
      </w:r>
    </w:p>
    <w:p w14:paraId="403649F7" w14:textId="77777777" w:rsidR="00BA7C2E" w:rsidRPr="00F62D6C" w:rsidRDefault="00BA7C2E" w:rsidP="00BA7C2E">
      <w:pPr>
        <w:rPr>
          <w:b/>
          <w:bCs/>
        </w:rPr>
      </w:pPr>
      <w:r w:rsidRPr="00BA7C2E">
        <w:rPr>
          <w:rFonts w:ascii="Times New Roman" w:hAnsi="Times New Roman"/>
          <w:b/>
          <w:sz w:val="24"/>
          <w:szCs w:val="24"/>
        </w:rPr>
        <w:t>Legal Lesson Learned:  A novel decision; State of NY is likely to appeal</w:t>
      </w:r>
      <w:r>
        <w:rPr>
          <w:b/>
        </w:rPr>
        <w:t xml:space="preserve">. </w:t>
      </w:r>
    </w:p>
    <w:p w14:paraId="50BD49B0" w14:textId="77777777" w:rsidR="00DB0A44" w:rsidRDefault="00DB0A44" w:rsidP="002B1283">
      <w:pPr>
        <w:rPr>
          <w:rFonts w:ascii="Arial Black" w:hAnsi="Arial Black"/>
          <w:b/>
          <w:bCs/>
          <w:sz w:val="28"/>
          <w:szCs w:val="28"/>
        </w:rPr>
      </w:pPr>
    </w:p>
    <w:p w14:paraId="6000CDD0" w14:textId="6CDED776" w:rsidR="00EB376E" w:rsidRDefault="00EF2CE3" w:rsidP="002B1283">
      <w:pPr>
        <w:rPr>
          <w:rFonts w:ascii="Arial Black" w:hAnsi="Arial Black"/>
          <w:b/>
          <w:bCs/>
          <w:sz w:val="28"/>
          <w:szCs w:val="28"/>
        </w:rPr>
      </w:pPr>
      <w:r>
        <w:rPr>
          <w:rFonts w:ascii="Arial Black" w:hAnsi="Arial Black"/>
          <w:b/>
          <w:bCs/>
          <w:sz w:val="28"/>
          <w:szCs w:val="28"/>
        </w:rPr>
        <w:t>13-2</w:t>
      </w:r>
      <w:r w:rsidR="00524647">
        <w:rPr>
          <w:rFonts w:ascii="Arial Black" w:hAnsi="Arial Black"/>
          <w:b/>
          <w:bCs/>
          <w:sz w:val="28"/>
          <w:szCs w:val="28"/>
        </w:rPr>
        <w:t>10</w:t>
      </w:r>
    </w:p>
    <w:p w14:paraId="15790D4E" w14:textId="77777777" w:rsidR="00FC77F5" w:rsidRPr="000F03D9" w:rsidRDefault="00FC77F5" w:rsidP="00FC77F5">
      <w:pPr>
        <w:pStyle w:val="NoSpacing"/>
        <w:rPr>
          <w:rFonts w:ascii="Arial Black" w:hAnsi="Arial Black"/>
          <w:sz w:val="28"/>
          <w:szCs w:val="28"/>
        </w:rPr>
      </w:pPr>
      <w:r w:rsidRPr="000F03D9">
        <w:rPr>
          <w:rFonts w:ascii="Arial Black" w:hAnsi="Arial Black"/>
          <w:sz w:val="28"/>
          <w:szCs w:val="28"/>
        </w:rPr>
        <w:t>DC: MEDIC FIRED – COVID - 6-YR OLD BOY NOT EVALUATED</w:t>
      </w:r>
    </w:p>
    <w:p w14:paraId="6000341D" w14:textId="77777777" w:rsidR="00FC77F5" w:rsidRPr="000F03D9" w:rsidRDefault="00FC77F5" w:rsidP="00FC77F5">
      <w:pPr>
        <w:pStyle w:val="NoSpacing"/>
        <w:rPr>
          <w:rFonts w:ascii="Arial Black" w:hAnsi="Arial Black"/>
          <w:sz w:val="28"/>
          <w:szCs w:val="28"/>
        </w:rPr>
      </w:pPr>
    </w:p>
    <w:p w14:paraId="3D0CA716" w14:textId="02DC2105" w:rsidR="00EF2CE3" w:rsidRPr="000F03D9" w:rsidRDefault="00FC77F5" w:rsidP="00FC77F5">
      <w:pPr>
        <w:rPr>
          <w:rFonts w:ascii="Times New Roman" w:hAnsi="Times New Roman"/>
          <w:b/>
          <w:bCs/>
          <w:sz w:val="24"/>
          <w:szCs w:val="24"/>
        </w:rPr>
      </w:pPr>
      <w:r w:rsidRPr="000F03D9">
        <w:rPr>
          <w:rFonts w:ascii="Times New Roman" w:hAnsi="Times New Roman"/>
          <w:sz w:val="24"/>
          <w:szCs w:val="24"/>
        </w:rPr>
        <w:t xml:space="preserve">On March 31, 2025, in </w:t>
      </w:r>
      <w:proofErr w:type="spellStart"/>
      <w:r w:rsidRPr="000F03D9">
        <w:rPr>
          <w:rFonts w:ascii="Times New Roman" w:hAnsi="Times New Roman"/>
          <w:sz w:val="24"/>
          <w:szCs w:val="24"/>
          <w:u w:val="single"/>
        </w:rPr>
        <w:t>Danaryae</w:t>
      </w:r>
      <w:proofErr w:type="spellEnd"/>
      <w:r w:rsidRPr="000F03D9">
        <w:rPr>
          <w:rFonts w:ascii="Times New Roman" w:hAnsi="Times New Roman"/>
          <w:sz w:val="24"/>
          <w:szCs w:val="24"/>
          <w:u w:val="single"/>
        </w:rPr>
        <w:t xml:space="preserve"> Lewis v. District of Columbia</w:t>
      </w:r>
      <w:r w:rsidRPr="000F03D9">
        <w:rPr>
          <w:rFonts w:ascii="Times New Roman" w:hAnsi="Times New Roman"/>
          <w:sz w:val="24"/>
          <w:szCs w:val="24"/>
        </w:rPr>
        <w:t xml:space="preserve">, U.S. District Court Judge Carl  J. Nichols, U.S. District Court for District of Columbia, denied the City’s motion for summary judgment.  She alleges that during COVID white and Hispanic EMS likewise did not put on PPE and enter homes to evaluate patients.  </w:t>
      </w:r>
      <w:hyperlink r:id="rId2109" w:history="1">
        <w:r w:rsidRPr="000F03D9">
          <w:rPr>
            <w:rStyle w:val="Hyperlink"/>
            <w:rFonts w:ascii="Times New Roman" w:hAnsi="Times New Roman"/>
            <w:sz w:val="24"/>
            <w:szCs w:val="24"/>
          </w:rPr>
          <w:t>https://public.fastcase.com/jaEE2PXzRXmZ99jOLMt1IuWGAIUpkkorrJl529LJ3awEx3zEi%2Byx9rGBI4x8eUTPQhULRQSbbdyTI3aaLB6SYlAXn8jJowYQjsFj%2FU%2FJFgg%3D?utm_medium=email&amp;_hsenc=p2ANqtz-83fSGxDadFaAqcLR0jtt8PGQuvqaI_epd1KGRFswTzY3809DqN4cnTFvjtIk9nPU87syAh5PxEK-y1xpj2mK9t5ywDKQ&amp;_hsmi=226712652&amp;utm_content=226712652&amp;utm_source=hs_email</w:t>
        </w:r>
      </w:hyperlink>
    </w:p>
    <w:p w14:paraId="2CCCE686" w14:textId="77777777" w:rsidR="000F03D9" w:rsidRPr="000F03D9" w:rsidRDefault="000F03D9" w:rsidP="000F03D9">
      <w:pPr>
        <w:pStyle w:val="NoSpacing"/>
        <w:rPr>
          <w:rFonts w:ascii="Times New Roman" w:hAnsi="Times New Roman"/>
          <w:b/>
          <w:bCs/>
          <w:sz w:val="24"/>
          <w:szCs w:val="24"/>
        </w:rPr>
      </w:pPr>
      <w:r w:rsidRPr="000F03D9">
        <w:rPr>
          <w:rFonts w:ascii="Times New Roman" w:hAnsi="Times New Roman"/>
          <w:b/>
          <w:sz w:val="24"/>
          <w:szCs w:val="24"/>
        </w:rPr>
        <w:lastRenderedPageBreak/>
        <w:t xml:space="preserve">Legal Lesson Learned: Case will now proceed to pre-trial discovery.  COVID protocols must be followed, including </w:t>
      </w:r>
      <w:proofErr w:type="gramStart"/>
      <w:r w:rsidRPr="000F03D9">
        <w:rPr>
          <w:rFonts w:ascii="Times New Roman" w:hAnsi="Times New Roman"/>
          <w:b/>
          <w:sz w:val="24"/>
          <w:szCs w:val="24"/>
        </w:rPr>
        <w:t>donning</w:t>
      </w:r>
      <w:proofErr w:type="gramEnd"/>
      <w:r w:rsidRPr="000F03D9">
        <w:rPr>
          <w:rFonts w:ascii="Times New Roman" w:hAnsi="Times New Roman"/>
          <w:b/>
          <w:sz w:val="24"/>
          <w:szCs w:val="24"/>
        </w:rPr>
        <w:t xml:space="preserve"> PPE if needed to assess a patient. </w:t>
      </w:r>
    </w:p>
    <w:p w14:paraId="4BB46571" w14:textId="77777777" w:rsidR="000F03D9" w:rsidRDefault="000F03D9" w:rsidP="000F03D9"/>
    <w:p w14:paraId="7A118820" w14:textId="77777777" w:rsidR="00EF2CE3" w:rsidRDefault="00EF2CE3" w:rsidP="00EB376E">
      <w:pPr>
        <w:pStyle w:val="NoSpacing"/>
        <w:rPr>
          <w:rFonts w:ascii="Arial Black" w:hAnsi="Arial Black"/>
          <w:b/>
          <w:bCs/>
          <w:sz w:val="28"/>
          <w:szCs w:val="28"/>
        </w:rPr>
      </w:pPr>
    </w:p>
    <w:p w14:paraId="5702318D" w14:textId="77777777" w:rsidR="00EF2CE3" w:rsidRDefault="00EF2CE3" w:rsidP="00EB376E">
      <w:pPr>
        <w:pStyle w:val="NoSpacing"/>
        <w:rPr>
          <w:rFonts w:ascii="Arial Black" w:hAnsi="Arial Black"/>
          <w:b/>
          <w:bCs/>
          <w:sz w:val="28"/>
          <w:szCs w:val="28"/>
        </w:rPr>
      </w:pPr>
    </w:p>
    <w:p w14:paraId="533B9C74" w14:textId="1BB87358" w:rsidR="00EF2CE3" w:rsidRDefault="00EB376E" w:rsidP="00EB376E">
      <w:pPr>
        <w:pStyle w:val="NoSpacing"/>
        <w:rPr>
          <w:rFonts w:ascii="Arial Black" w:hAnsi="Arial Black"/>
          <w:sz w:val="28"/>
          <w:szCs w:val="28"/>
        </w:rPr>
      </w:pPr>
      <w:r>
        <w:rPr>
          <w:rFonts w:ascii="Arial Black" w:hAnsi="Arial Black"/>
          <w:b/>
          <w:bCs/>
          <w:sz w:val="28"/>
          <w:szCs w:val="28"/>
        </w:rPr>
        <w:t>13-2</w:t>
      </w:r>
      <w:r w:rsidR="00524647">
        <w:rPr>
          <w:rFonts w:ascii="Arial Black" w:hAnsi="Arial Black"/>
          <w:b/>
          <w:bCs/>
          <w:sz w:val="28"/>
          <w:szCs w:val="28"/>
        </w:rPr>
        <w:t>09</w:t>
      </w:r>
      <w:r w:rsidRPr="00EB376E">
        <w:rPr>
          <w:rFonts w:ascii="Arial Black" w:hAnsi="Arial Black"/>
          <w:sz w:val="28"/>
          <w:szCs w:val="28"/>
        </w:rPr>
        <w:t xml:space="preserve"> </w:t>
      </w:r>
    </w:p>
    <w:p w14:paraId="3544D330" w14:textId="77777777" w:rsidR="00EF2CE3" w:rsidRDefault="00EF2CE3" w:rsidP="00EB376E">
      <w:pPr>
        <w:pStyle w:val="NoSpacing"/>
        <w:rPr>
          <w:rFonts w:ascii="Arial Black" w:hAnsi="Arial Black"/>
          <w:sz w:val="28"/>
          <w:szCs w:val="28"/>
        </w:rPr>
      </w:pPr>
    </w:p>
    <w:p w14:paraId="40B968C9" w14:textId="30EDFE62" w:rsidR="00EB376E" w:rsidRPr="00D864F0" w:rsidRDefault="00EB376E" w:rsidP="00EB376E">
      <w:pPr>
        <w:pStyle w:val="NoSpacing"/>
        <w:rPr>
          <w:rFonts w:ascii="Arial Black" w:hAnsi="Arial Black"/>
          <w:sz w:val="28"/>
          <w:szCs w:val="28"/>
        </w:rPr>
      </w:pPr>
      <w:r>
        <w:rPr>
          <w:rFonts w:ascii="Arial Black" w:hAnsi="Arial Black"/>
          <w:sz w:val="28"/>
          <w:szCs w:val="28"/>
        </w:rPr>
        <w:t>LA: POSS. STROKE – NO CONSENT NEEDED TO TRANSPORT</w:t>
      </w:r>
    </w:p>
    <w:p w14:paraId="23F5D10C" w14:textId="77777777" w:rsidR="00EB376E" w:rsidRDefault="00EB376E" w:rsidP="00EB376E">
      <w:pPr>
        <w:pStyle w:val="NoSpacing"/>
      </w:pPr>
    </w:p>
    <w:p w14:paraId="28616DA9" w14:textId="77777777" w:rsidR="00EB376E" w:rsidRPr="00AB754A" w:rsidRDefault="00EB376E" w:rsidP="00EB376E">
      <w:pPr>
        <w:pStyle w:val="NoSpacing"/>
        <w:rPr>
          <w:rFonts w:ascii="Times New Roman" w:hAnsi="Times New Roman"/>
          <w:sz w:val="24"/>
          <w:szCs w:val="24"/>
        </w:rPr>
      </w:pPr>
      <w:r w:rsidRPr="00AB754A">
        <w:rPr>
          <w:rFonts w:ascii="Times New Roman" w:hAnsi="Times New Roman"/>
          <w:sz w:val="24"/>
          <w:szCs w:val="24"/>
        </w:rPr>
        <w:t xml:space="preserve">On March 6, 2025, in </w:t>
      </w:r>
      <w:r w:rsidRPr="00AB754A">
        <w:rPr>
          <w:rFonts w:ascii="Times New Roman" w:hAnsi="Times New Roman"/>
          <w:sz w:val="24"/>
          <w:szCs w:val="24"/>
          <w:u w:val="single"/>
        </w:rPr>
        <w:t>Isiah Cole, Jr. and his wife, Karen Cole v. New Orleans Emergency Medical Services, et al</w:t>
      </w:r>
      <w:r w:rsidRPr="00AB754A">
        <w:rPr>
          <w:rFonts w:ascii="Times New Roman" w:hAnsi="Times New Roman"/>
          <w:sz w:val="24"/>
          <w:szCs w:val="24"/>
        </w:rPr>
        <w:t xml:space="preserve">., the Court of Appeals of Louisiana, Fourth Circuit, held (3 to 0) that the trial court on May 10, 2024 after a bench trial, found defendants not liable for transporting him to hospital without his consent, and for allegedly dropping him off flexible Reeves Stretcher going down a flight of stairs. “At the time the June 23, </w:t>
      </w:r>
      <w:proofErr w:type="gramStart"/>
      <w:r w:rsidRPr="00AB754A">
        <w:rPr>
          <w:rFonts w:ascii="Times New Roman" w:hAnsi="Times New Roman"/>
          <w:sz w:val="24"/>
          <w:szCs w:val="24"/>
        </w:rPr>
        <w:t>2017</w:t>
      </w:r>
      <w:proofErr w:type="gramEnd"/>
      <w:r w:rsidRPr="00AB754A">
        <w:rPr>
          <w:rFonts w:ascii="Times New Roman" w:hAnsi="Times New Roman"/>
          <w:sz w:val="24"/>
          <w:szCs w:val="24"/>
        </w:rPr>
        <w:t xml:space="preserve"> incident occurred, Mr. Cole was a 75-year-old man with </w:t>
      </w:r>
      <w:proofErr w:type="gramStart"/>
      <w:r w:rsidRPr="00AB754A">
        <w:rPr>
          <w:rFonts w:ascii="Times New Roman" w:hAnsi="Times New Roman"/>
          <w:sz w:val="24"/>
          <w:szCs w:val="24"/>
        </w:rPr>
        <w:t>a number of</w:t>
      </w:r>
      <w:proofErr w:type="gramEnd"/>
      <w:r w:rsidRPr="00AB754A">
        <w:rPr>
          <w:rFonts w:ascii="Times New Roman" w:hAnsi="Times New Roman"/>
          <w:sz w:val="24"/>
          <w:szCs w:val="24"/>
        </w:rPr>
        <w:t xml:space="preserve"> health problems. EMS evaluated him thoroughly and determined that a new onset of seizure and his altered mental status necessitated his transport to the hospital. As [Paramedic Derick] Blanchard testified, ‘Time is brain cells.’ The trial court found that “EMS adhered to proper protocol, and their determination that Mr. Cole did not have the capacity to refuse treatment did not violate the standard of care. After a review of the record and the applicable law, we agree and find that EMS acted pursuant to La. R.S. 40:1159.5 because they reasonably believed that any delay in diagnosis or treatment could have been harmful to Mr. Cole. We do not find that the trial court failed to recognize Mr. Cole’s constitutional and statutory rights; instead, we agree with the trial court that NOEMS could supersede those rights </w:t>
      </w:r>
      <w:proofErr w:type="gramStart"/>
      <w:r w:rsidRPr="00AB754A">
        <w:rPr>
          <w:rFonts w:ascii="Times New Roman" w:hAnsi="Times New Roman"/>
          <w:sz w:val="24"/>
          <w:szCs w:val="24"/>
        </w:rPr>
        <w:t>in order to</w:t>
      </w:r>
      <w:proofErr w:type="gramEnd"/>
      <w:r w:rsidRPr="00AB754A">
        <w:rPr>
          <w:rFonts w:ascii="Times New Roman" w:hAnsi="Times New Roman"/>
          <w:sz w:val="24"/>
          <w:szCs w:val="24"/>
        </w:rPr>
        <w:t xml:space="preserve"> prevent harm to Mr. Cole. Therefore, we find no error in the trial court’s </w:t>
      </w:r>
      <w:proofErr w:type="gramStart"/>
      <w:r w:rsidRPr="00AB754A">
        <w:rPr>
          <w:rFonts w:ascii="Times New Roman" w:hAnsi="Times New Roman"/>
          <w:sz w:val="24"/>
          <w:szCs w:val="24"/>
        </w:rPr>
        <w:t>finding</w:t>
      </w:r>
      <w:proofErr w:type="gramEnd"/>
      <w:r w:rsidRPr="00AB754A">
        <w:rPr>
          <w:rFonts w:ascii="Times New Roman" w:hAnsi="Times New Roman"/>
          <w:sz w:val="24"/>
          <w:szCs w:val="24"/>
        </w:rPr>
        <w:t xml:space="preserve">.  For the reasons discussed herein, we affirm the judgment of the trial court.” </w:t>
      </w:r>
      <w:hyperlink r:id="rId2110" w:history="1">
        <w:r w:rsidRPr="00AB754A">
          <w:rPr>
            <w:rStyle w:val="Hyperlink"/>
            <w:rFonts w:ascii="Times New Roman" w:hAnsi="Times New Roman"/>
            <w:sz w:val="24"/>
            <w:szCs w:val="24"/>
          </w:rPr>
          <w:t>https://cases.justia.com/louisiana/fourth-circuit-court-of-appeal/2025-2024-ca-0437.pdf?ts=1741310103</w:t>
        </w:r>
      </w:hyperlink>
      <w:r w:rsidRPr="00AB754A">
        <w:rPr>
          <w:rFonts w:ascii="Times New Roman" w:hAnsi="Times New Roman"/>
          <w:sz w:val="24"/>
          <w:szCs w:val="24"/>
        </w:rPr>
        <w:t xml:space="preserve"> </w:t>
      </w:r>
    </w:p>
    <w:p w14:paraId="064B67C8" w14:textId="77777777" w:rsidR="00AB754A" w:rsidRPr="00AB754A" w:rsidRDefault="00AB754A" w:rsidP="00AB754A">
      <w:pPr>
        <w:pStyle w:val="NoSpacing"/>
        <w:rPr>
          <w:rFonts w:ascii="Times New Roman" w:hAnsi="Times New Roman"/>
          <w:b/>
          <w:sz w:val="24"/>
          <w:szCs w:val="24"/>
        </w:rPr>
      </w:pPr>
    </w:p>
    <w:p w14:paraId="4EDB7B4C" w14:textId="29A7ACA4" w:rsidR="00AB754A" w:rsidRPr="00AB754A" w:rsidRDefault="00AB754A" w:rsidP="00AB754A">
      <w:pPr>
        <w:pStyle w:val="NoSpacing"/>
        <w:rPr>
          <w:rFonts w:ascii="Times New Roman" w:hAnsi="Times New Roman"/>
          <w:b/>
          <w:bCs/>
          <w:sz w:val="24"/>
          <w:szCs w:val="24"/>
        </w:rPr>
      </w:pPr>
      <w:r w:rsidRPr="00AB754A">
        <w:rPr>
          <w:rFonts w:ascii="Times New Roman" w:hAnsi="Times New Roman"/>
          <w:b/>
          <w:sz w:val="24"/>
          <w:szCs w:val="24"/>
        </w:rPr>
        <w:t>Legal Lesson Learned:  Stroke patient was properly transported to hospital;  state statute does not require patient consent “where an emergency exists.”</w:t>
      </w:r>
    </w:p>
    <w:p w14:paraId="1CDFC028" w14:textId="77777777" w:rsidR="00AB754A" w:rsidRDefault="00AB754A" w:rsidP="002B1283">
      <w:pPr>
        <w:rPr>
          <w:rFonts w:ascii="Arial Black" w:hAnsi="Arial Black"/>
          <w:b/>
          <w:bCs/>
          <w:sz w:val="28"/>
          <w:szCs w:val="28"/>
        </w:rPr>
      </w:pPr>
    </w:p>
    <w:p w14:paraId="19BC067E" w14:textId="77777777" w:rsidR="00EB376E" w:rsidRDefault="00EB376E" w:rsidP="002B1283">
      <w:pPr>
        <w:rPr>
          <w:rFonts w:ascii="Arial Black" w:hAnsi="Arial Black"/>
          <w:b/>
          <w:bCs/>
          <w:sz w:val="28"/>
          <w:szCs w:val="28"/>
        </w:rPr>
      </w:pPr>
    </w:p>
    <w:p w14:paraId="5788523D" w14:textId="4AEC9C62" w:rsidR="00062DA4" w:rsidRDefault="00062DA4" w:rsidP="002B1283">
      <w:pPr>
        <w:rPr>
          <w:rFonts w:ascii="Arial Black" w:hAnsi="Arial Black"/>
          <w:b/>
          <w:bCs/>
          <w:sz w:val="28"/>
          <w:szCs w:val="28"/>
        </w:rPr>
      </w:pPr>
      <w:r>
        <w:rPr>
          <w:rFonts w:ascii="Arial Black" w:hAnsi="Arial Black"/>
          <w:b/>
          <w:bCs/>
          <w:sz w:val="28"/>
          <w:szCs w:val="28"/>
        </w:rPr>
        <w:t xml:space="preserve">13 - </w:t>
      </w:r>
      <w:r w:rsidR="00F607C4">
        <w:rPr>
          <w:rFonts w:ascii="Arial Black" w:hAnsi="Arial Black"/>
          <w:b/>
          <w:bCs/>
          <w:sz w:val="28"/>
          <w:szCs w:val="28"/>
        </w:rPr>
        <w:t>20</w:t>
      </w:r>
      <w:r w:rsidR="00524647">
        <w:rPr>
          <w:rFonts w:ascii="Arial Black" w:hAnsi="Arial Black"/>
          <w:b/>
          <w:bCs/>
          <w:sz w:val="28"/>
          <w:szCs w:val="28"/>
        </w:rPr>
        <w:t>8</w:t>
      </w:r>
      <w:r>
        <w:rPr>
          <w:rFonts w:ascii="Arial Black" w:hAnsi="Arial Black"/>
          <w:b/>
          <w:bCs/>
          <w:sz w:val="28"/>
          <w:szCs w:val="28"/>
        </w:rPr>
        <w:t xml:space="preserve"> [also filed, Chap. 15]</w:t>
      </w:r>
    </w:p>
    <w:p w14:paraId="731220F6" w14:textId="7023D80F" w:rsidR="00062DA4" w:rsidRPr="000B7F2C" w:rsidRDefault="00062DA4" w:rsidP="00062DA4">
      <w:pPr>
        <w:rPr>
          <w:rFonts w:ascii="Arial Black" w:hAnsi="Arial Black"/>
          <w:sz w:val="28"/>
          <w:szCs w:val="28"/>
        </w:rPr>
      </w:pPr>
      <w:r w:rsidRPr="000B7F2C">
        <w:rPr>
          <w:rFonts w:ascii="Arial Black" w:hAnsi="Arial Black"/>
          <w:sz w:val="28"/>
          <w:szCs w:val="28"/>
        </w:rPr>
        <w:t>CO: MEDIC</w:t>
      </w:r>
      <w:r w:rsidR="00A931FC">
        <w:rPr>
          <w:rFonts w:ascii="Arial Black" w:hAnsi="Arial Black"/>
          <w:sz w:val="28"/>
          <w:szCs w:val="28"/>
        </w:rPr>
        <w:t xml:space="preserve"> </w:t>
      </w:r>
      <w:r w:rsidR="005467E9">
        <w:rPr>
          <w:rFonts w:ascii="Arial Black" w:hAnsi="Arial Black"/>
          <w:sz w:val="28"/>
          <w:szCs w:val="28"/>
        </w:rPr>
        <w:t xml:space="preserve">ON CRISIS RESP TEAM - </w:t>
      </w:r>
      <w:r w:rsidRPr="000B7F2C">
        <w:rPr>
          <w:rFonts w:ascii="Arial Black" w:hAnsi="Arial Black"/>
          <w:sz w:val="28"/>
          <w:szCs w:val="28"/>
        </w:rPr>
        <w:t xml:space="preserve">TACKLED </w:t>
      </w:r>
      <w:r w:rsidR="005467E9">
        <w:rPr>
          <w:rFonts w:ascii="Arial Black" w:hAnsi="Arial Black"/>
          <w:sz w:val="28"/>
          <w:szCs w:val="28"/>
        </w:rPr>
        <w:t>PT / DIED - IMMUNITY</w:t>
      </w:r>
    </w:p>
    <w:p w14:paraId="19876359" w14:textId="77777777" w:rsidR="00062DA4" w:rsidRPr="00CA2B3F" w:rsidRDefault="00062DA4" w:rsidP="00062DA4">
      <w:pPr>
        <w:rPr>
          <w:rFonts w:ascii="Times New Roman" w:hAnsi="Times New Roman"/>
          <w:sz w:val="24"/>
          <w:szCs w:val="24"/>
        </w:rPr>
      </w:pPr>
      <w:r w:rsidRPr="00CA2B3F">
        <w:rPr>
          <w:rFonts w:ascii="Times New Roman" w:hAnsi="Times New Roman"/>
          <w:sz w:val="24"/>
          <w:szCs w:val="24"/>
        </w:rPr>
        <w:t xml:space="preserve">On Feb. 28, 2025, in </w:t>
      </w:r>
      <w:r w:rsidRPr="00CA2B3F">
        <w:rPr>
          <w:rFonts w:ascii="Times New Roman" w:hAnsi="Times New Roman"/>
          <w:sz w:val="24"/>
          <w:szCs w:val="24"/>
          <w:u w:val="single"/>
        </w:rPr>
        <w:t>Estate of Kevin Dizmang v. Sean Reed, a Colorado Springs Police Officer and Nick Fischer, a Colorado Springs Paramedic</w:t>
      </w:r>
      <w:r w:rsidRPr="00CA2B3F">
        <w:rPr>
          <w:rFonts w:ascii="Times New Roman" w:hAnsi="Times New Roman"/>
          <w:sz w:val="24"/>
          <w:szCs w:val="24"/>
        </w:rPr>
        <w:t xml:space="preserve">, United States District Court Judge Charlotte N. Sweeney, U.S. District Court for District of Colorado, granted motions to dismiss the paramedic and the police officer.  The paramedic was on a three-person crisis response team (CRT) with a police officer and a licensed clinician.  The paramedic tackled the mental patient to prevent him walking back into the street and then render care. Both the paramedic and the police officer have qualified immunity.  </w:t>
      </w:r>
      <w:hyperlink r:id="rId2111" w:history="1">
        <w:r w:rsidRPr="00CA2B3F">
          <w:rPr>
            <w:rStyle w:val="Hyperlink"/>
            <w:rFonts w:ascii="Times New Roman" w:hAnsi="Times New Roman"/>
            <w:sz w:val="24"/>
            <w:szCs w:val="24"/>
          </w:rPr>
          <w:t>https://storage.courtlistener.com/recap/gov.uscourts.cod.231472/gov.uscourts.cod.231472.63.0.pdf</w:t>
        </w:r>
      </w:hyperlink>
      <w:r w:rsidRPr="00CA2B3F">
        <w:rPr>
          <w:rFonts w:ascii="Times New Roman" w:hAnsi="Times New Roman"/>
          <w:sz w:val="24"/>
          <w:szCs w:val="24"/>
        </w:rPr>
        <w:t xml:space="preserve"> </w:t>
      </w:r>
    </w:p>
    <w:p w14:paraId="79FB090C" w14:textId="77777777" w:rsidR="00062DA4" w:rsidRPr="00CA2B3F" w:rsidRDefault="00062DA4" w:rsidP="00062DA4">
      <w:pPr>
        <w:pStyle w:val="NoSpacing"/>
        <w:rPr>
          <w:rFonts w:ascii="Times New Roman" w:hAnsi="Times New Roman"/>
          <w:sz w:val="24"/>
          <w:szCs w:val="24"/>
        </w:rPr>
      </w:pPr>
      <w:r w:rsidRPr="00CA2B3F">
        <w:rPr>
          <w:rFonts w:ascii="Times New Roman" w:hAnsi="Times New Roman"/>
          <w:sz w:val="24"/>
          <w:szCs w:val="24"/>
        </w:rPr>
        <w:t xml:space="preserve">The Court described facts:  </w:t>
      </w:r>
    </w:p>
    <w:p w14:paraId="2E9708A6" w14:textId="77777777" w:rsidR="00062DA4" w:rsidRPr="00CA2B3F" w:rsidRDefault="00062DA4" w:rsidP="00062DA4">
      <w:pPr>
        <w:pStyle w:val="NoSpacing"/>
        <w:rPr>
          <w:rFonts w:ascii="Times New Roman" w:hAnsi="Times New Roman"/>
          <w:sz w:val="24"/>
          <w:szCs w:val="24"/>
        </w:rPr>
      </w:pPr>
    </w:p>
    <w:p w14:paraId="7333825F" w14:textId="77777777" w:rsidR="00062DA4" w:rsidRPr="00CA2B3F" w:rsidRDefault="00062DA4" w:rsidP="00062DA4">
      <w:pPr>
        <w:pStyle w:val="NoSpacing"/>
        <w:ind w:left="720"/>
        <w:rPr>
          <w:rFonts w:ascii="Times New Roman" w:hAnsi="Times New Roman"/>
          <w:sz w:val="24"/>
          <w:szCs w:val="24"/>
        </w:rPr>
      </w:pPr>
      <w:proofErr w:type="gramStart"/>
      <w:r w:rsidRPr="00CA2B3F">
        <w:rPr>
          <w:rFonts w:ascii="Times New Roman" w:hAnsi="Times New Roman"/>
          <w:sz w:val="24"/>
          <w:szCs w:val="24"/>
        </w:rPr>
        <w:lastRenderedPageBreak/>
        <w:t>“[Officer]Reed</w:t>
      </w:r>
      <w:proofErr w:type="gramEnd"/>
      <w:r w:rsidRPr="00CA2B3F">
        <w:rPr>
          <w:rFonts w:ascii="Times New Roman" w:hAnsi="Times New Roman"/>
          <w:sz w:val="24"/>
          <w:szCs w:val="24"/>
        </w:rPr>
        <w:t xml:space="preserve"> approached Mr. Dizmang, who walked back into traffic and bent over with his hands on his knees, displaying respiratory distress. Id. Mr. Dizmang said, ‘HELP me,’ then walked farther into the road…. Mr. Dizmang repeatedly </w:t>
      </w:r>
      <w:proofErr w:type="gramStart"/>
      <w:r w:rsidRPr="00CA2B3F">
        <w:rPr>
          <w:rFonts w:ascii="Times New Roman" w:hAnsi="Times New Roman"/>
          <w:sz w:val="24"/>
          <w:szCs w:val="24"/>
        </w:rPr>
        <w:t>said ‘please’</w:t>
      </w:r>
      <w:proofErr w:type="gramEnd"/>
      <w:r w:rsidRPr="00CA2B3F">
        <w:rPr>
          <w:rFonts w:ascii="Times New Roman" w:hAnsi="Times New Roman"/>
          <w:sz w:val="24"/>
          <w:szCs w:val="24"/>
        </w:rPr>
        <w:t xml:space="preserve"> and walked in circles in a ‘clearly </w:t>
      </w:r>
      <w:proofErr w:type="gramStart"/>
      <w:r w:rsidRPr="00CA2B3F">
        <w:rPr>
          <w:rFonts w:ascii="Times New Roman" w:hAnsi="Times New Roman"/>
          <w:sz w:val="24"/>
          <w:szCs w:val="24"/>
        </w:rPr>
        <w:t>confused</w:t>
      </w:r>
      <w:proofErr w:type="gramEnd"/>
      <w:r w:rsidRPr="00CA2B3F">
        <w:rPr>
          <w:rFonts w:ascii="Times New Roman" w:hAnsi="Times New Roman"/>
          <w:sz w:val="24"/>
          <w:szCs w:val="24"/>
        </w:rPr>
        <w:t xml:space="preserve"> and panicked state.’ … Defendant Reed then told Mr. Dizmang, </w:t>
      </w:r>
      <w:proofErr w:type="gramStart"/>
      <w:r w:rsidRPr="00CA2B3F">
        <w:rPr>
          <w:rFonts w:ascii="Times New Roman" w:hAnsi="Times New Roman"/>
          <w:sz w:val="24"/>
          <w:szCs w:val="24"/>
        </w:rPr>
        <w:t>‘sit</w:t>
      </w:r>
      <w:proofErr w:type="gramEnd"/>
      <w:r w:rsidRPr="00CA2B3F">
        <w:rPr>
          <w:rFonts w:ascii="Times New Roman" w:hAnsi="Times New Roman"/>
          <w:sz w:val="24"/>
          <w:szCs w:val="24"/>
        </w:rPr>
        <w:t xml:space="preserve"> down or put your hands behind your back.’</w:t>
      </w:r>
    </w:p>
    <w:p w14:paraId="1A1D6DF3" w14:textId="77777777" w:rsidR="00062DA4" w:rsidRPr="00CA2B3F" w:rsidRDefault="00062DA4" w:rsidP="00062DA4">
      <w:pPr>
        <w:pStyle w:val="NoSpacing"/>
        <w:rPr>
          <w:rFonts w:ascii="Times New Roman" w:hAnsi="Times New Roman"/>
          <w:sz w:val="24"/>
          <w:szCs w:val="24"/>
        </w:rPr>
      </w:pPr>
    </w:p>
    <w:p w14:paraId="760FCB6E"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w:t>
      </w:r>
    </w:p>
    <w:p w14:paraId="56FC3817"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The parties </w:t>
      </w:r>
      <w:proofErr w:type="gramStart"/>
      <w:r w:rsidRPr="00CA2B3F">
        <w:rPr>
          <w:rFonts w:ascii="Times New Roman" w:hAnsi="Times New Roman"/>
          <w:sz w:val="24"/>
          <w:szCs w:val="24"/>
        </w:rPr>
        <w:t>dispute</w:t>
      </w:r>
      <w:proofErr w:type="gramEnd"/>
      <w:r w:rsidRPr="00CA2B3F">
        <w:rPr>
          <w:rFonts w:ascii="Times New Roman" w:hAnsi="Times New Roman"/>
          <w:sz w:val="24"/>
          <w:szCs w:val="24"/>
        </w:rPr>
        <w:t xml:space="preserve"> what happened next. [Court now references the plaintiff’s complaint.] Plaintiff alleges that, as Mr. Dizmang stood in the tree line approximately 20 feet from the road, [Paramedic] Fischer ‘suddenly and violently tackled’ him to the ground…. As alleged, Defendant Fischer put Mr. Dizmang into a chokehold by wrapping his arms around his neck while Defendant Reed handcuffed Mr. Dizmang’s hands behind his back….  Defendant Fischer maintained this hold for approximately 30 seconds…. Mr. Dizmang stopped moving.</w:t>
      </w:r>
    </w:p>
    <w:p w14:paraId="2500B162" w14:textId="77777777" w:rsidR="00062DA4" w:rsidRPr="00CA2B3F" w:rsidRDefault="00062DA4" w:rsidP="00062DA4">
      <w:pPr>
        <w:pStyle w:val="NoSpacing"/>
        <w:rPr>
          <w:rFonts w:ascii="Times New Roman" w:hAnsi="Times New Roman"/>
          <w:sz w:val="24"/>
          <w:szCs w:val="24"/>
        </w:rPr>
      </w:pPr>
    </w:p>
    <w:p w14:paraId="26A1CD14"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Defendant Fischer then rolled Mr. Dizmang face down on the ground, with his</w:t>
      </w:r>
    </w:p>
    <w:p w14:paraId="28452EE4"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hands on the back of Mr. Dizmang’s neck and ‘driving his body weight downward, [Mr. Dizmang’s] neck and face into the ground. … Plaintiff alleges that Defendant Fischer stayed in that position, ‘with his body weight on [Mr. Dizmang’s] neck and back,’ for approximately forty-five seconds….Defendants Fischer and Reed then rolled Mr. Dizmang into a seated position….  At that point, Mr. Dizmang still had a faint pulse, but he was struggling to breathe and was unresponsive to questions and commands…. A bystander repeatedly told Mr. Dizmang, </w:t>
      </w:r>
      <w:proofErr w:type="gramStart"/>
      <w:r w:rsidRPr="00CA2B3F">
        <w:rPr>
          <w:rFonts w:ascii="Times New Roman" w:hAnsi="Times New Roman"/>
          <w:sz w:val="24"/>
          <w:szCs w:val="24"/>
        </w:rPr>
        <w:t>‘talk</w:t>
      </w:r>
      <w:proofErr w:type="gramEnd"/>
      <w:r w:rsidRPr="00CA2B3F">
        <w:rPr>
          <w:rFonts w:ascii="Times New Roman" w:hAnsi="Times New Roman"/>
          <w:sz w:val="24"/>
          <w:szCs w:val="24"/>
        </w:rPr>
        <w:t xml:space="preserve"> to me,’ but he never responded…. Defendant Reed called for an ambulance…. Defendants Reed and Fischer left Mr. Dizmang in handcuffs…. He remained handcuffed for nearly seven minutes before he was loaded onto a stretcher and moved into an ambulance…. As alleged,</w:t>
      </w:r>
    </w:p>
    <w:p w14:paraId="0124A445"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Defendant Fischer took no actions to provide medical care or resuscitate Mr. Dizmang….</w:t>
      </w:r>
    </w:p>
    <w:p w14:paraId="75BE8A75"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Defendant Fischer commented, ‘He’s not aspirating’ and ‘I want to attempt a</w:t>
      </w:r>
    </w:p>
    <w:p w14:paraId="29D2AED5"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nasal airway.’ …Medical staff attempted resuscitation measures once Mr. Dizmang was</w:t>
      </w:r>
    </w:p>
    <w:p w14:paraId="1289D7DB"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transferred to the ambulance…. Once at the hospital, emergency room staff also attempted life-saving measures, but Mr. Dizmang was pronounced dead at 6:16 p.m.”</w:t>
      </w:r>
    </w:p>
    <w:p w14:paraId="4D2AA20F" w14:textId="77777777" w:rsidR="00062DA4" w:rsidRPr="00CA2B3F" w:rsidRDefault="00062DA4" w:rsidP="00062DA4">
      <w:pPr>
        <w:pStyle w:val="NoSpacing"/>
        <w:rPr>
          <w:rFonts w:ascii="Times New Roman" w:hAnsi="Times New Roman"/>
          <w:sz w:val="24"/>
          <w:szCs w:val="24"/>
        </w:rPr>
      </w:pPr>
    </w:p>
    <w:p w14:paraId="7797E772" w14:textId="77777777" w:rsidR="00062DA4" w:rsidRPr="00CA2B3F" w:rsidRDefault="00062DA4" w:rsidP="00062DA4">
      <w:pPr>
        <w:pStyle w:val="NoSpacing"/>
        <w:rPr>
          <w:rFonts w:ascii="Times New Roman" w:hAnsi="Times New Roman"/>
          <w:sz w:val="24"/>
          <w:szCs w:val="24"/>
        </w:rPr>
      </w:pPr>
      <w:r w:rsidRPr="00CA2B3F">
        <w:rPr>
          <w:rFonts w:ascii="Times New Roman" w:hAnsi="Times New Roman"/>
          <w:sz w:val="24"/>
          <w:szCs w:val="24"/>
        </w:rPr>
        <w:t>The Court held:</w:t>
      </w:r>
    </w:p>
    <w:p w14:paraId="199703FE" w14:textId="77777777" w:rsidR="00062DA4" w:rsidRPr="00CA2B3F" w:rsidRDefault="00062DA4" w:rsidP="00062DA4">
      <w:pPr>
        <w:pStyle w:val="NoSpacing"/>
        <w:rPr>
          <w:rFonts w:ascii="Times New Roman" w:hAnsi="Times New Roman"/>
          <w:sz w:val="24"/>
          <w:szCs w:val="24"/>
        </w:rPr>
      </w:pPr>
    </w:p>
    <w:p w14:paraId="5180D940"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“Here, based on the allegations in the complaint, it appears that [Paramedic] Fischer</w:t>
      </w:r>
    </w:p>
    <w:p w14:paraId="571B4C02"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was not attempting to arrest Mr. Dizmang or otherwise enforce the law; he was trying to</w:t>
      </w:r>
    </w:p>
    <w:p w14:paraId="4D3FC7CF"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subdue him so that he could be properly treated…. </w:t>
      </w:r>
      <w:proofErr w:type="gramStart"/>
      <w:r w:rsidRPr="00CA2B3F">
        <w:rPr>
          <w:rFonts w:ascii="Times New Roman" w:hAnsi="Times New Roman"/>
          <w:sz w:val="24"/>
          <w:szCs w:val="24"/>
        </w:rPr>
        <w:t>It is clear that Mr. Dizmang</w:t>
      </w:r>
      <w:proofErr w:type="gramEnd"/>
      <w:r w:rsidRPr="00CA2B3F">
        <w:rPr>
          <w:rFonts w:ascii="Times New Roman" w:hAnsi="Times New Roman"/>
          <w:sz w:val="24"/>
          <w:szCs w:val="24"/>
        </w:rPr>
        <w:t xml:space="preserve"> needed </w:t>
      </w:r>
    </w:p>
    <w:p w14:paraId="22E13D4C"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treatment and that Defendant Fischer was attempting to fulfill his role as a treatment provider.</w:t>
      </w:r>
    </w:p>
    <w:p w14:paraId="35F95212" w14:textId="77777777" w:rsidR="00062DA4" w:rsidRPr="00CA2B3F" w:rsidRDefault="00062DA4" w:rsidP="00062DA4">
      <w:pPr>
        <w:pStyle w:val="NoSpacing"/>
        <w:rPr>
          <w:rFonts w:ascii="Times New Roman" w:hAnsi="Times New Roman"/>
          <w:sz w:val="24"/>
          <w:szCs w:val="24"/>
        </w:rPr>
      </w:pPr>
    </w:p>
    <w:p w14:paraId="38CE3EA0"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w:t>
      </w:r>
    </w:p>
    <w:p w14:paraId="5B4561E8"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Even if a paramedic’s attempt to provide treatment amounts to a violation of a constitutional right to be free from </w:t>
      </w:r>
      <w:proofErr w:type="gramStart"/>
      <w:r w:rsidRPr="00CA2B3F">
        <w:rPr>
          <w:rFonts w:ascii="Times New Roman" w:hAnsi="Times New Roman"/>
          <w:sz w:val="24"/>
          <w:szCs w:val="24"/>
        </w:rPr>
        <w:t>an unlawful</w:t>
      </w:r>
      <w:proofErr w:type="gramEnd"/>
      <w:r w:rsidRPr="00CA2B3F">
        <w:rPr>
          <w:rFonts w:ascii="Times New Roman" w:hAnsi="Times New Roman"/>
          <w:sz w:val="24"/>
          <w:szCs w:val="24"/>
        </w:rPr>
        <w:t xml:space="preserve"> seizure, the right was not clearly established. The Tenth Circuit has not opined on whether or in what circumstances a paramedic can effectuate a Fourth Amendment seizure…. Thus, the Court grants Defendant Fischer’s motion to dismiss and declines to exercise supplemental jurisdiction over state law claims brought here.</w:t>
      </w:r>
    </w:p>
    <w:p w14:paraId="0FC9DCB2" w14:textId="77777777" w:rsidR="00062DA4" w:rsidRPr="00CA2B3F" w:rsidRDefault="00062DA4" w:rsidP="00062DA4">
      <w:pPr>
        <w:pStyle w:val="NoSpacing"/>
        <w:rPr>
          <w:rFonts w:ascii="Times New Roman" w:hAnsi="Times New Roman"/>
          <w:sz w:val="24"/>
          <w:szCs w:val="24"/>
        </w:rPr>
      </w:pPr>
    </w:p>
    <w:p w14:paraId="4E246338"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w:t>
      </w:r>
    </w:p>
    <w:p w14:paraId="64FF2AEA" w14:textId="77777777" w:rsidR="00062DA4" w:rsidRPr="00CA2B3F" w:rsidRDefault="00062DA4" w:rsidP="00062DA4">
      <w:pPr>
        <w:pStyle w:val="NoSpacing"/>
        <w:rPr>
          <w:rFonts w:ascii="Times New Roman" w:hAnsi="Times New Roman"/>
          <w:sz w:val="24"/>
          <w:szCs w:val="24"/>
        </w:rPr>
      </w:pPr>
    </w:p>
    <w:p w14:paraId="2C1E4F77"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[Police Officer] Reed is also entitled to qualified immunity based on the second prong. Plaintiff has not pointed to any Tenth Circuit precedent establishing a Fourth Amendment claim based on a failure to intervene in a paramedic’s alleged use of excessive </w:t>
      </w:r>
      <w:proofErr w:type="gramStart"/>
      <w:r w:rsidRPr="00CA2B3F">
        <w:rPr>
          <w:rFonts w:ascii="Times New Roman" w:hAnsi="Times New Roman"/>
          <w:sz w:val="24"/>
          <w:szCs w:val="24"/>
        </w:rPr>
        <w:t>force.”</w:t>
      </w:r>
      <w:proofErr w:type="gramEnd"/>
    </w:p>
    <w:p w14:paraId="21DB56C2" w14:textId="77777777" w:rsidR="00062DA4" w:rsidRPr="00CA2B3F" w:rsidRDefault="00062DA4" w:rsidP="00062DA4">
      <w:pPr>
        <w:pStyle w:val="NoSpacing"/>
        <w:rPr>
          <w:rFonts w:ascii="Times New Roman" w:hAnsi="Times New Roman"/>
          <w:sz w:val="24"/>
          <w:szCs w:val="24"/>
        </w:rPr>
      </w:pPr>
    </w:p>
    <w:p w14:paraId="769C11BC" w14:textId="0AE82026" w:rsidR="00062DA4" w:rsidRPr="00CA2B3F" w:rsidRDefault="00062DA4" w:rsidP="00062DA4">
      <w:pPr>
        <w:rPr>
          <w:rFonts w:ascii="Times New Roman" w:hAnsi="Times New Roman"/>
          <w:b/>
          <w:bCs/>
          <w:sz w:val="24"/>
          <w:szCs w:val="24"/>
        </w:rPr>
      </w:pPr>
      <w:r w:rsidRPr="00CA2B3F">
        <w:rPr>
          <w:rFonts w:ascii="Times New Roman" w:hAnsi="Times New Roman"/>
          <w:b/>
          <w:sz w:val="24"/>
          <w:szCs w:val="24"/>
        </w:rPr>
        <w:t xml:space="preserve">Legal Lesson Learned:  Critical Response Teams are a wonderful community asset; when subduing a mental </w:t>
      </w:r>
      <w:proofErr w:type="gramStart"/>
      <w:r w:rsidRPr="00CA2B3F">
        <w:rPr>
          <w:rFonts w:ascii="Times New Roman" w:hAnsi="Times New Roman"/>
          <w:b/>
          <w:sz w:val="24"/>
          <w:szCs w:val="24"/>
        </w:rPr>
        <w:t>patient</w:t>
      </w:r>
      <w:proofErr w:type="gramEnd"/>
      <w:r w:rsidRPr="00CA2B3F">
        <w:rPr>
          <w:rFonts w:ascii="Times New Roman" w:hAnsi="Times New Roman"/>
          <w:b/>
          <w:sz w:val="24"/>
          <w:szCs w:val="24"/>
        </w:rPr>
        <w:t xml:space="preserve"> it is helpful to have a member of the team videotape the conduct</w:t>
      </w:r>
      <w:r w:rsidR="008226AC">
        <w:rPr>
          <w:rFonts w:ascii="Times New Roman" w:hAnsi="Times New Roman"/>
          <w:b/>
          <w:sz w:val="24"/>
          <w:szCs w:val="24"/>
        </w:rPr>
        <w:t>.</w:t>
      </w:r>
    </w:p>
    <w:p w14:paraId="07AFF63B" w14:textId="77777777" w:rsidR="00D85226" w:rsidRDefault="00D85226" w:rsidP="002B1283">
      <w:pPr>
        <w:rPr>
          <w:rFonts w:ascii="Arial Black" w:hAnsi="Arial Black"/>
          <w:b/>
          <w:bCs/>
          <w:sz w:val="28"/>
          <w:szCs w:val="28"/>
        </w:rPr>
      </w:pPr>
    </w:p>
    <w:p w14:paraId="7302C3F2" w14:textId="04B3FB33" w:rsidR="003D0C4C" w:rsidRDefault="003D0C4C" w:rsidP="002B1283">
      <w:pPr>
        <w:rPr>
          <w:rFonts w:ascii="Arial Black" w:hAnsi="Arial Black"/>
          <w:b/>
          <w:bCs/>
          <w:sz w:val="28"/>
          <w:szCs w:val="28"/>
        </w:rPr>
      </w:pPr>
      <w:r>
        <w:rPr>
          <w:rFonts w:ascii="Arial Black" w:hAnsi="Arial Black"/>
          <w:b/>
          <w:bCs/>
          <w:sz w:val="28"/>
          <w:szCs w:val="28"/>
        </w:rPr>
        <w:t>13-20</w:t>
      </w:r>
      <w:r w:rsidR="00524647">
        <w:rPr>
          <w:rFonts w:ascii="Arial Black" w:hAnsi="Arial Black"/>
          <w:b/>
          <w:bCs/>
          <w:sz w:val="28"/>
          <w:szCs w:val="28"/>
        </w:rPr>
        <w:t>7</w:t>
      </w:r>
    </w:p>
    <w:p w14:paraId="1CDF1CA2" w14:textId="286C4C04" w:rsidR="003D0C4C" w:rsidRPr="000B7F2C" w:rsidRDefault="003D0C4C" w:rsidP="003D0C4C">
      <w:pPr>
        <w:rPr>
          <w:rFonts w:ascii="Arial Black" w:hAnsi="Arial Black"/>
          <w:sz w:val="28"/>
          <w:szCs w:val="28"/>
        </w:rPr>
      </w:pPr>
      <w:r w:rsidRPr="000B7F2C">
        <w:rPr>
          <w:rFonts w:ascii="Arial Black" w:hAnsi="Arial Black"/>
          <w:sz w:val="28"/>
          <w:szCs w:val="28"/>
        </w:rPr>
        <w:t xml:space="preserve">CA: </w:t>
      </w:r>
      <w:r w:rsidR="004D6D56">
        <w:rPr>
          <w:rFonts w:ascii="Arial Black" w:hAnsi="Arial Black"/>
          <w:sz w:val="28"/>
          <w:szCs w:val="28"/>
        </w:rPr>
        <w:t xml:space="preserve">HEAD INJURY – NO C-COLLAR </w:t>
      </w:r>
      <w:r w:rsidR="00DB1A8A">
        <w:rPr>
          <w:rFonts w:ascii="Arial Black" w:hAnsi="Arial Black"/>
          <w:sz w:val="28"/>
          <w:szCs w:val="28"/>
        </w:rPr>
        <w:t xml:space="preserve">/ </w:t>
      </w:r>
      <w:r w:rsidR="009A6126">
        <w:rPr>
          <w:rFonts w:ascii="Arial Black" w:hAnsi="Arial Black"/>
          <w:sz w:val="28"/>
          <w:szCs w:val="28"/>
        </w:rPr>
        <w:t xml:space="preserve">PT </w:t>
      </w:r>
      <w:r w:rsidR="00110BB4">
        <w:rPr>
          <w:rFonts w:ascii="Arial Black" w:hAnsi="Arial Black"/>
          <w:sz w:val="28"/>
          <w:szCs w:val="28"/>
        </w:rPr>
        <w:t xml:space="preserve">NOW </w:t>
      </w:r>
      <w:r w:rsidRPr="000B7F2C">
        <w:rPr>
          <w:rFonts w:ascii="Arial Black" w:hAnsi="Arial Black"/>
          <w:sz w:val="28"/>
          <w:szCs w:val="28"/>
        </w:rPr>
        <w:t>QUAD</w:t>
      </w:r>
      <w:r w:rsidR="00110BB4">
        <w:rPr>
          <w:rFonts w:ascii="Arial Black" w:hAnsi="Arial Black"/>
          <w:sz w:val="28"/>
          <w:szCs w:val="28"/>
        </w:rPr>
        <w:t xml:space="preserve"> </w:t>
      </w:r>
      <w:r w:rsidR="008226AC">
        <w:rPr>
          <w:rFonts w:ascii="Arial Black" w:hAnsi="Arial Black"/>
          <w:sz w:val="28"/>
          <w:szCs w:val="28"/>
        </w:rPr>
        <w:t>–</w:t>
      </w:r>
      <w:r w:rsidR="00110BB4">
        <w:rPr>
          <w:rFonts w:ascii="Arial Black" w:hAnsi="Arial Black"/>
          <w:sz w:val="28"/>
          <w:szCs w:val="28"/>
        </w:rPr>
        <w:t xml:space="preserve"> </w:t>
      </w:r>
      <w:r w:rsidR="008226AC">
        <w:rPr>
          <w:rFonts w:ascii="Arial Black" w:hAnsi="Arial Black"/>
          <w:sz w:val="28"/>
          <w:szCs w:val="28"/>
        </w:rPr>
        <w:t xml:space="preserve">IMMUNITY - </w:t>
      </w:r>
      <w:r w:rsidR="00110BB4">
        <w:rPr>
          <w:rFonts w:ascii="Arial Black" w:hAnsi="Arial Black"/>
          <w:sz w:val="28"/>
          <w:szCs w:val="28"/>
        </w:rPr>
        <w:t>NOT GROSS NEG</w:t>
      </w:r>
      <w:r w:rsidRPr="000B7F2C">
        <w:rPr>
          <w:rFonts w:ascii="Arial Black" w:hAnsi="Arial Black"/>
          <w:sz w:val="28"/>
          <w:szCs w:val="28"/>
        </w:rPr>
        <w:t xml:space="preserve"> </w:t>
      </w:r>
    </w:p>
    <w:p w14:paraId="365A377D" w14:textId="77777777" w:rsidR="003D0C4C" w:rsidRPr="003D0C4C" w:rsidRDefault="003D0C4C" w:rsidP="003D0C4C">
      <w:pPr>
        <w:rPr>
          <w:rFonts w:ascii="Times New Roman" w:hAnsi="Times New Roman"/>
          <w:sz w:val="24"/>
          <w:szCs w:val="24"/>
        </w:rPr>
      </w:pPr>
      <w:r w:rsidRPr="003D0C4C">
        <w:rPr>
          <w:rFonts w:ascii="Times New Roman" w:hAnsi="Times New Roman"/>
          <w:sz w:val="24"/>
          <w:szCs w:val="24"/>
        </w:rPr>
        <w:t xml:space="preserve">On Feb. 20, 2025, in </w:t>
      </w:r>
      <w:r w:rsidRPr="003D0C4C">
        <w:rPr>
          <w:rFonts w:ascii="Times New Roman" w:hAnsi="Times New Roman"/>
          <w:sz w:val="24"/>
          <w:szCs w:val="24"/>
          <w:u w:val="single"/>
        </w:rPr>
        <w:t xml:space="preserve">Manju </w:t>
      </w:r>
      <w:proofErr w:type="spellStart"/>
      <w:r w:rsidRPr="003D0C4C">
        <w:rPr>
          <w:rFonts w:ascii="Times New Roman" w:hAnsi="Times New Roman"/>
          <w:sz w:val="24"/>
          <w:szCs w:val="24"/>
          <w:u w:val="single"/>
        </w:rPr>
        <w:t>Devga</w:t>
      </w:r>
      <w:proofErr w:type="spellEnd"/>
      <w:r w:rsidRPr="003D0C4C">
        <w:rPr>
          <w:rFonts w:ascii="Times New Roman" w:hAnsi="Times New Roman"/>
          <w:sz w:val="24"/>
          <w:szCs w:val="24"/>
          <w:u w:val="single"/>
        </w:rPr>
        <w:t xml:space="preserve"> v. City of Santa Monica</w:t>
      </w:r>
      <w:r w:rsidRPr="003D0C4C">
        <w:rPr>
          <w:rFonts w:ascii="Times New Roman" w:hAnsi="Times New Roman"/>
          <w:sz w:val="24"/>
          <w:szCs w:val="24"/>
        </w:rPr>
        <w:t xml:space="preserve">, the California Court of Appeals, Second District, Division Two, held (2 to 1; unpublished decision) that trial court properly dismissed the lawsuit.  The conduct of EMS may have been negligent and led to the permanent injuries of the patient (a Medical Doctor), as they ignored the warnings from his wife (another Medical Doctor), but under California law the EMS and the City are immune from liability unless proof of “bad faith or gross negligence.” </w:t>
      </w:r>
      <w:hyperlink r:id="rId2112" w:history="1">
        <w:r w:rsidRPr="003D0C4C">
          <w:rPr>
            <w:rStyle w:val="Hyperlink"/>
            <w:rFonts w:ascii="Times New Roman" w:hAnsi="Times New Roman"/>
            <w:sz w:val="24"/>
            <w:szCs w:val="24"/>
          </w:rPr>
          <w:t>https://www4.courts.ca.gov/opinions/nonpub/B332479.PDF</w:t>
        </w:r>
      </w:hyperlink>
      <w:r w:rsidRPr="003D0C4C">
        <w:rPr>
          <w:rFonts w:ascii="Times New Roman" w:hAnsi="Times New Roman"/>
          <w:sz w:val="24"/>
          <w:szCs w:val="24"/>
        </w:rPr>
        <w:t xml:space="preserve"> </w:t>
      </w:r>
    </w:p>
    <w:p w14:paraId="3E0F7893" w14:textId="77777777" w:rsidR="003D0C4C" w:rsidRPr="003D0C4C" w:rsidRDefault="003D0C4C" w:rsidP="003D0C4C">
      <w:pPr>
        <w:pStyle w:val="NoSpacing"/>
        <w:rPr>
          <w:rFonts w:ascii="Times New Roman" w:hAnsi="Times New Roman"/>
          <w:sz w:val="24"/>
          <w:szCs w:val="24"/>
        </w:rPr>
      </w:pPr>
      <w:r w:rsidRPr="003D0C4C">
        <w:rPr>
          <w:rFonts w:ascii="Times New Roman" w:hAnsi="Times New Roman"/>
          <w:sz w:val="24"/>
          <w:szCs w:val="24"/>
        </w:rPr>
        <w:t xml:space="preserve">Court described facts: </w:t>
      </w:r>
    </w:p>
    <w:p w14:paraId="729161C9" w14:textId="77777777" w:rsidR="003D0C4C" w:rsidRPr="003D0C4C" w:rsidRDefault="003D0C4C" w:rsidP="003D0C4C">
      <w:pPr>
        <w:pStyle w:val="NoSpacing"/>
        <w:rPr>
          <w:rFonts w:ascii="Times New Roman" w:hAnsi="Times New Roman"/>
          <w:sz w:val="24"/>
          <w:szCs w:val="24"/>
        </w:rPr>
      </w:pPr>
    </w:p>
    <w:p w14:paraId="4E6159AC"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 xml:space="preserve">“Manju and Baldev were medical doctors. On April 27,2022, Baldev fell at home, hitting his head on the bathtub. Manju found her husband on the bathroom floor and called 911. She did not move him because she was concerned that he may have sustained orthopedic injury or brain trauma. </w:t>
      </w:r>
    </w:p>
    <w:p w14:paraId="07BA0CDB" w14:textId="77777777" w:rsidR="003D0C4C" w:rsidRPr="003D0C4C" w:rsidRDefault="003D0C4C" w:rsidP="003D0C4C">
      <w:pPr>
        <w:pStyle w:val="NoSpacing"/>
        <w:rPr>
          <w:rFonts w:ascii="Times New Roman" w:hAnsi="Times New Roman"/>
          <w:sz w:val="24"/>
          <w:szCs w:val="24"/>
        </w:rPr>
      </w:pPr>
    </w:p>
    <w:p w14:paraId="078BDA38"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 xml:space="preserve">Manju informed City’s emergency medical technicians (EMT’s) that she is a doctor, and that they needed to protect and stabilize Baldev’s neck before moving him because he had hit his head. They replied that they ‘are professionals and you need to let us do our job,’ and pushed her out of the bathroom. </w:t>
      </w:r>
    </w:p>
    <w:p w14:paraId="1B3F53B6" w14:textId="77777777" w:rsidR="003D0C4C" w:rsidRPr="003D0C4C" w:rsidRDefault="003D0C4C" w:rsidP="003D0C4C">
      <w:pPr>
        <w:pStyle w:val="NoSpacing"/>
        <w:rPr>
          <w:rFonts w:ascii="Times New Roman" w:hAnsi="Times New Roman"/>
          <w:sz w:val="24"/>
          <w:szCs w:val="24"/>
        </w:rPr>
      </w:pPr>
    </w:p>
    <w:p w14:paraId="677B3DE3"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 xml:space="preserve">Manju witnessed the EMT’s actions through the doorway. They did not put a cervical spine (C-spine) immobilization collar on Baldev, or take precautions to protect his spine, contrary to Manju’s warning. They moved him, had him sit up, and tried to get him to stand. They opined that ‘he looks ok’ ” and was able to move his extremities. They sat him on a chair. </w:t>
      </w:r>
    </w:p>
    <w:p w14:paraId="7E022652" w14:textId="77777777" w:rsidR="003D0C4C" w:rsidRPr="003D0C4C" w:rsidRDefault="003D0C4C" w:rsidP="003D0C4C">
      <w:pPr>
        <w:pStyle w:val="NoSpacing"/>
        <w:rPr>
          <w:rFonts w:ascii="Times New Roman" w:hAnsi="Times New Roman"/>
          <w:sz w:val="24"/>
          <w:szCs w:val="24"/>
        </w:rPr>
      </w:pPr>
    </w:p>
    <w:p w14:paraId="33851778"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 xml:space="preserve">When EMT’s placed Baldev on a gurney, he voiced concern that no precautions were being taken to protect his spine from further injury. Nonetheless, they put the gurney in an upright position and moved him downstairs ‘with a bouncing, jarring motion with each step.’ Baldev expressed discomfort and distress, and Manju protested. The EMT’s put Baldev in a supine position to load him in the ambulance, further jarring him. He complained of </w:t>
      </w:r>
      <w:proofErr w:type="gramStart"/>
      <w:r w:rsidRPr="003D0C4C">
        <w:rPr>
          <w:rFonts w:ascii="Times New Roman" w:hAnsi="Times New Roman"/>
          <w:sz w:val="24"/>
          <w:szCs w:val="24"/>
        </w:rPr>
        <w:t>pain, and</w:t>
      </w:r>
      <w:proofErr w:type="gramEnd"/>
      <w:r w:rsidRPr="003D0C4C">
        <w:rPr>
          <w:rFonts w:ascii="Times New Roman" w:hAnsi="Times New Roman"/>
          <w:sz w:val="24"/>
          <w:szCs w:val="24"/>
        </w:rPr>
        <w:t xml:space="preserve"> asked the EMT’s to place </w:t>
      </w:r>
      <w:proofErr w:type="gramStart"/>
      <w:r w:rsidRPr="003D0C4C">
        <w:rPr>
          <w:rFonts w:ascii="Times New Roman" w:hAnsi="Times New Roman"/>
          <w:sz w:val="24"/>
          <w:szCs w:val="24"/>
        </w:rPr>
        <w:t>supports</w:t>
      </w:r>
      <w:proofErr w:type="gramEnd"/>
      <w:r w:rsidRPr="003D0C4C">
        <w:rPr>
          <w:rFonts w:ascii="Times New Roman" w:hAnsi="Times New Roman"/>
          <w:sz w:val="24"/>
          <w:szCs w:val="24"/>
        </w:rPr>
        <w:t xml:space="preserve"> on him for safety when the vehicle’s movement jostled him while it drove down the road. They ignored his requests. </w:t>
      </w:r>
    </w:p>
    <w:p w14:paraId="13E21DDB" w14:textId="77777777" w:rsidR="003D0C4C" w:rsidRPr="003D0C4C" w:rsidRDefault="003D0C4C" w:rsidP="003D0C4C">
      <w:pPr>
        <w:pStyle w:val="NoSpacing"/>
        <w:rPr>
          <w:rFonts w:ascii="Times New Roman" w:hAnsi="Times New Roman"/>
          <w:sz w:val="24"/>
          <w:szCs w:val="24"/>
        </w:rPr>
      </w:pPr>
    </w:p>
    <w:p w14:paraId="64A00411"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Baldev was evaluated at a nearby hospital. A CT scan showed a serious neck injury. Physicians placed a C-spine collar on him and transferred him to UCLA for emergency surgery for a spinal cord injury. He became quadriplegic after his fall.”</w:t>
      </w:r>
    </w:p>
    <w:p w14:paraId="69C8F224" w14:textId="77777777" w:rsidR="003D0C4C" w:rsidRPr="003D0C4C" w:rsidRDefault="003D0C4C" w:rsidP="003D0C4C">
      <w:pPr>
        <w:pStyle w:val="NoSpacing"/>
        <w:rPr>
          <w:rFonts w:ascii="Times New Roman" w:hAnsi="Times New Roman"/>
          <w:sz w:val="24"/>
          <w:szCs w:val="24"/>
        </w:rPr>
      </w:pPr>
    </w:p>
    <w:p w14:paraId="5CFE337B" w14:textId="77777777" w:rsidR="003D0C4C" w:rsidRPr="003D0C4C" w:rsidRDefault="003D0C4C" w:rsidP="003D0C4C">
      <w:pPr>
        <w:pStyle w:val="NoSpacing"/>
        <w:rPr>
          <w:rFonts w:ascii="Times New Roman" w:hAnsi="Times New Roman"/>
          <w:sz w:val="24"/>
          <w:szCs w:val="24"/>
        </w:rPr>
      </w:pPr>
      <w:r w:rsidRPr="003D0C4C">
        <w:rPr>
          <w:rFonts w:ascii="Times New Roman" w:hAnsi="Times New Roman"/>
          <w:sz w:val="24"/>
          <w:szCs w:val="24"/>
        </w:rPr>
        <w:t xml:space="preserve">The Court held: </w:t>
      </w:r>
    </w:p>
    <w:p w14:paraId="1F09DECF" w14:textId="77777777" w:rsidR="003D0C4C" w:rsidRPr="003D0C4C" w:rsidRDefault="003D0C4C" w:rsidP="003D0C4C">
      <w:pPr>
        <w:pStyle w:val="NoSpacing"/>
        <w:rPr>
          <w:rFonts w:ascii="Times New Roman" w:hAnsi="Times New Roman"/>
          <w:sz w:val="24"/>
          <w:szCs w:val="24"/>
        </w:rPr>
      </w:pPr>
    </w:p>
    <w:p w14:paraId="58B57EF8"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“The issue is whether EMT’s efforts were grossly negligent. However, the pleading does not show an ‘extreme departure’ from the standard of care. Baldev was awake, alert, talking, moving his extremities, and able to sit in a chair. If EMT’s undertake triage measures and arrange transport to a hospital, it is immaterial if their acts or omissions are alleged to be below the standard of care: Efforts that are ultimately unavailing are not</w:t>
      </w:r>
    </w:p>
    <w:p w14:paraId="45D4CCC8" w14:textId="77777777" w:rsidR="003D0C4C" w:rsidRPr="003D0C4C" w:rsidRDefault="003D0C4C" w:rsidP="003D0C4C">
      <w:pPr>
        <w:pStyle w:val="NoSpacing"/>
        <w:ind w:firstLine="720"/>
        <w:rPr>
          <w:rFonts w:ascii="Times New Roman" w:hAnsi="Times New Roman"/>
          <w:sz w:val="24"/>
          <w:szCs w:val="24"/>
        </w:rPr>
      </w:pPr>
      <w:r w:rsidRPr="003D0C4C">
        <w:rPr>
          <w:rFonts w:ascii="Times New Roman" w:hAnsi="Times New Roman"/>
          <w:sz w:val="24"/>
          <w:szCs w:val="24"/>
        </w:rPr>
        <w:t>an ‘extreme departure’ from the standard of care.</w:t>
      </w:r>
    </w:p>
    <w:p w14:paraId="0FC0E296" w14:textId="77777777" w:rsidR="003D0C4C" w:rsidRPr="003D0C4C" w:rsidRDefault="003D0C4C" w:rsidP="003D0C4C">
      <w:pPr>
        <w:pStyle w:val="NoSpacing"/>
        <w:rPr>
          <w:rFonts w:ascii="Times New Roman" w:hAnsi="Times New Roman"/>
          <w:sz w:val="24"/>
          <w:szCs w:val="24"/>
        </w:rPr>
      </w:pPr>
    </w:p>
    <w:p w14:paraId="75C1445E" w14:textId="77777777" w:rsidR="003D0C4C" w:rsidRPr="003D0C4C" w:rsidRDefault="003D0C4C" w:rsidP="003D0C4C">
      <w:pPr>
        <w:pStyle w:val="NoSpacing"/>
        <w:ind w:firstLine="720"/>
        <w:rPr>
          <w:rFonts w:ascii="Times New Roman" w:hAnsi="Times New Roman"/>
          <w:sz w:val="24"/>
          <w:szCs w:val="24"/>
        </w:rPr>
      </w:pPr>
      <w:r w:rsidRPr="003D0C4C">
        <w:rPr>
          <w:rFonts w:ascii="Times New Roman" w:hAnsi="Times New Roman"/>
          <w:sz w:val="24"/>
          <w:szCs w:val="24"/>
        </w:rPr>
        <w:t>***</w:t>
      </w:r>
    </w:p>
    <w:p w14:paraId="1268CCFA" w14:textId="77777777" w:rsidR="003D0C4C" w:rsidRPr="003D0C4C" w:rsidRDefault="003D0C4C" w:rsidP="003D0C4C">
      <w:pPr>
        <w:pStyle w:val="NoSpacing"/>
        <w:rPr>
          <w:rFonts w:ascii="Times New Roman" w:hAnsi="Times New Roman"/>
          <w:sz w:val="24"/>
          <w:szCs w:val="24"/>
        </w:rPr>
      </w:pPr>
    </w:p>
    <w:p w14:paraId="598C4BFD"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 xml:space="preserve">The facts here show ordinary negligence, not gross negligence. The Legislature has chosen to give immunity to EMT’s who must make rapid decisions without the benefit of a testing device, such as a CT scanner, that would show </w:t>
      </w:r>
      <w:proofErr w:type="gramStart"/>
      <w:r w:rsidRPr="003D0C4C">
        <w:rPr>
          <w:rFonts w:ascii="Times New Roman" w:hAnsi="Times New Roman"/>
          <w:sz w:val="24"/>
          <w:szCs w:val="24"/>
        </w:rPr>
        <w:t>injury.”</w:t>
      </w:r>
      <w:proofErr w:type="gramEnd"/>
    </w:p>
    <w:p w14:paraId="764C1973" w14:textId="77777777" w:rsidR="003D0C4C" w:rsidRPr="003D0C4C" w:rsidRDefault="003D0C4C" w:rsidP="003D0C4C">
      <w:pPr>
        <w:pStyle w:val="NoSpacing"/>
        <w:rPr>
          <w:rFonts w:ascii="Times New Roman" w:hAnsi="Times New Roman"/>
          <w:sz w:val="24"/>
          <w:szCs w:val="24"/>
        </w:rPr>
      </w:pPr>
    </w:p>
    <w:p w14:paraId="60794A3C" w14:textId="77777777" w:rsidR="003D0C4C" w:rsidRPr="003D0C4C" w:rsidRDefault="003D0C4C" w:rsidP="003D0C4C">
      <w:pPr>
        <w:pStyle w:val="NoSpacing"/>
        <w:rPr>
          <w:rFonts w:ascii="Times New Roman" w:hAnsi="Times New Roman"/>
          <w:bCs/>
          <w:sz w:val="24"/>
          <w:szCs w:val="24"/>
        </w:rPr>
      </w:pPr>
      <w:r w:rsidRPr="003D0C4C">
        <w:rPr>
          <w:rFonts w:ascii="Times New Roman" w:hAnsi="Times New Roman"/>
          <w:sz w:val="24"/>
          <w:szCs w:val="24"/>
        </w:rPr>
        <w:t>DISSENT:</w:t>
      </w:r>
    </w:p>
    <w:p w14:paraId="2821CA92" w14:textId="77777777" w:rsidR="003D0C4C" w:rsidRPr="003D0C4C" w:rsidRDefault="003D0C4C" w:rsidP="003D0C4C">
      <w:pPr>
        <w:pStyle w:val="NoSpacing"/>
        <w:rPr>
          <w:rFonts w:ascii="Times New Roman" w:hAnsi="Times New Roman"/>
          <w:sz w:val="24"/>
          <w:szCs w:val="24"/>
        </w:rPr>
      </w:pPr>
    </w:p>
    <w:p w14:paraId="336516A9"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 xml:space="preserve">“Despite this information, the EMTs failed to ‘put a cervical spine (‘c-spine’) immobilization collar’ on Baldev or ‘otherwise secure and protect his spine’ before proceeding to sit him up. The EMTs moved Baldev to a gurney, converted the gurney into a sitting position, and brought it down two flights of stairs ‘with a bouncing, jarring[] motion with each step.’ ‘With each jarring movement[,]’ Baldev indicated his </w:t>
      </w:r>
      <w:proofErr w:type="gramStart"/>
      <w:r w:rsidRPr="003D0C4C">
        <w:rPr>
          <w:rFonts w:ascii="Times New Roman" w:hAnsi="Times New Roman"/>
          <w:sz w:val="24"/>
          <w:szCs w:val="24"/>
        </w:rPr>
        <w:t>distress, ‘</w:t>
      </w:r>
      <w:proofErr w:type="gramEnd"/>
      <w:r w:rsidRPr="003D0C4C">
        <w:rPr>
          <w:rFonts w:ascii="Times New Roman" w:hAnsi="Times New Roman"/>
          <w:sz w:val="24"/>
          <w:szCs w:val="24"/>
        </w:rPr>
        <w:t>informing the [EMTs] of [the] discomfort the movements were causing him.’</w:t>
      </w:r>
    </w:p>
    <w:p w14:paraId="48232025"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Once loaded into the ambulance, Baldev again informed the EMTs of his discomfort, including spinal pain, and requested support as he continued to be jarred by the motion of the ambulance. These requests were ignored. As a result, Baldev was rendered quadriplegic.</w:t>
      </w:r>
    </w:p>
    <w:p w14:paraId="0695019D" w14:textId="77777777" w:rsidR="003D0C4C" w:rsidRPr="003D0C4C" w:rsidRDefault="003D0C4C" w:rsidP="003D0C4C">
      <w:pPr>
        <w:pStyle w:val="NoSpacing"/>
        <w:rPr>
          <w:rFonts w:ascii="Times New Roman" w:hAnsi="Times New Roman"/>
          <w:sz w:val="24"/>
          <w:szCs w:val="24"/>
        </w:rPr>
      </w:pPr>
    </w:p>
    <w:p w14:paraId="1D6B932B" w14:textId="77777777" w:rsidR="003D0C4C" w:rsidRPr="003D0C4C" w:rsidRDefault="003D0C4C" w:rsidP="003D0C4C">
      <w:pPr>
        <w:pStyle w:val="NoSpacing"/>
        <w:ind w:firstLine="720"/>
        <w:rPr>
          <w:rFonts w:ascii="Times New Roman" w:hAnsi="Times New Roman"/>
          <w:sz w:val="24"/>
          <w:szCs w:val="24"/>
        </w:rPr>
      </w:pPr>
      <w:r w:rsidRPr="003D0C4C">
        <w:rPr>
          <w:rFonts w:ascii="Times New Roman" w:hAnsi="Times New Roman"/>
          <w:sz w:val="24"/>
          <w:szCs w:val="24"/>
        </w:rPr>
        <w:t>***</w:t>
      </w:r>
    </w:p>
    <w:p w14:paraId="42F995C3"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Because, liberally construed, the complaint here states a cause of action for gross negligence, it cannot be said at this early juncture that the City of Santa Monica is entitled to section 1799.107 immunity as a matter of law…. I proffer that appellant has sufficiently pled gross negligence or, at a minimum, should be permitted an opportunity</w:t>
      </w:r>
    </w:p>
    <w:p w14:paraId="7BF33C11" w14:textId="77777777" w:rsidR="003D0C4C" w:rsidRPr="003D0C4C" w:rsidRDefault="003D0C4C" w:rsidP="003D0C4C">
      <w:pPr>
        <w:pStyle w:val="NoSpacing"/>
        <w:ind w:firstLine="720"/>
        <w:rPr>
          <w:rFonts w:ascii="Times New Roman" w:hAnsi="Times New Roman"/>
          <w:sz w:val="24"/>
          <w:szCs w:val="24"/>
        </w:rPr>
      </w:pPr>
      <w:r w:rsidRPr="003D0C4C">
        <w:rPr>
          <w:rFonts w:ascii="Times New Roman" w:hAnsi="Times New Roman"/>
          <w:sz w:val="24"/>
          <w:szCs w:val="24"/>
        </w:rPr>
        <w:t>to amend the complaint.”</w:t>
      </w:r>
    </w:p>
    <w:p w14:paraId="3D545D66" w14:textId="77777777" w:rsidR="003D0C4C" w:rsidRPr="003D0C4C" w:rsidRDefault="003D0C4C" w:rsidP="003D0C4C">
      <w:pPr>
        <w:pStyle w:val="NoSpacing"/>
        <w:rPr>
          <w:rFonts w:ascii="Times New Roman" w:hAnsi="Times New Roman"/>
          <w:sz w:val="24"/>
          <w:szCs w:val="24"/>
        </w:rPr>
      </w:pPr>
    </w:p>
    <w:p w14:paraId="688FEA65" w14:textId="77777777" w:rsidR="003D0C4C" w:rsidRPr="003D0C4C" w:rsidRDefault="003D0C4C" w:rsidP="003D0C4C">
      <w:pPr>
        <w:pStyle w:val="NoSpacing"/>
        <w:rPr>
          <w:rFonts w:ascii="Times New Roman" w:hAnsi="Times New Roman"/>
          <w:b/>
          <w:bCs/>
          <w:sz w:val="24"/>
          <w:szCs w:val="24"/>
        </w:rPr>
      </w:pPr>
      <w:r w:rsidRPr="003D0C4C">
        <w:rPr>
          <w:rFonts w:ascii="Times New Roman" w:hAnsi="Times New Roman"/>
          <w:b/>
          <w:sz w:val="24"/>
          <w:szCs w:val="24"/>
        </w:rPr>
        <w:t xml:space="preserve">Legal Lesson Learned: These are very disturbing facts; please share with your personnel in continuing education sessions. </w:t>
      </w:r>
    </w:p>
    <w:p w14:paraId="74200472" w14:textId="77777777" w:rsidR="003D0C4C" w:rsidRPr="003D0C4C" w:rsidRDefault="003D0C4C" w:rsidP="003D0C4C">
      <w:pPr>
        <w:pStyle w:val="NoSpacing"/>
        <w:rPr>
          <w:rFonts w:ascii="Times New Roman" w:hAnsi="Times New Roman"/>
          <w:b/>
          <w:bCs/>
          <w:sz w:val="24"/>
          <w:szCs w:val="24"/>
        </w:rPr>
      </w:pPr>
      <w:r w:rsidRPr="003D0C4C">
        <w:rPr>
          <w:rFonts w:ascii="Times New Roman" w:hAnsi="Times New Roman"/>
          <w:b/>
          <w:sz w:val="24"/>
          <w:szCs w:val="24"/>
        </w:rPr>
        <w:tab/>
      </w:r>
    </w:p>
    <w:p w14:paraId="0B578EDD"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 xml:space="preserve">Note: California code – Section 1799.106 </w:t>
      </w:r>
      <w:hyperlink r:id="rId2113" w:history="1">
        <w:r w:rsidRPr="003D0C4C">
          <w:rPr>
            <w:rStyle w:val="Hyperlink"/>
            <w:rFonts w:ascii="Times New Roman" w:hAnsi="Times New Roman"/>
            <w:sz w:val="24"/>
            <w:szCs w:val="24"/>
          </w:rPr>
          <w:t>https://leginfo.legislature.ca.gov/faces/codes_displaySection.xhtml?sectionNum=1799.106.&amp;lawCode=HSC</w:t>
        </w:r>
      </w:hyperlink>
      <w:r w:rsidRPr="003D0C4C">
        <w:rPr>
          <w:rFonts w:ascii="Times New Roman" w:hAnsi="Times New Roman"/>
          <w:sz w:val="24"/>
          <w:szCs w:val="24"/>
        </w:rPr>
        <w:t xml:space="preserve"> </w:t>
      </w:r>
    </w:p>
    <w:p w14:paraId="39107B18" w14:textId="77777777" w:rsidR="003D0C4C" w:rsidRPr="003D0C4C" w:rsidRDefault="003D0C4C" w:rsidP="003D0C4C">
      <w:pPr>
        <w:pStyle w:val="NoSpacing"/>
        <w:ind w:firstLine="720"/>
        <w:rPr>
          <w:rFonts w:ascii="Times New Roman" w:hAnsi="Times New Roman"/>
          <w:sz w:val="24"/>
          <w:szCs w:val="24"/>
        </w:rPr>
      </w:pPr>
      <w:r w:rsidRPr="003D0C4C">
        <w:rPr>
          <w:rFonts w:ascii="Times New Roman" w:hAnsi="Times New Roman"/>
          <w:sz w:val="24"/>
          <w:szCs w:val="24"/>
        </w:rPr>
        <w:t>“CHAPTER 9. Liability Limitation</w:t>
      </w:r>
    </w:p>
    <w:p w14:paraId="484F1425" w14:textId="77777777" w:rsidR="003D0C4C" w:rsidRPr="003D0C4C" w:rsidRDefault="003D0C4C" w:rsidP="003D0C4C">
      <w:pPr>
        <w:pStyle w:val="NoSpacing"/>
        <w:rPr>
          <w:rFonts w:ascii="Times New Roman" w:hAnsi="Times New Roman"/>
          <w:sz w:val="24"/>
          <w:szCs w:val="24"/>
        </w:rPr>
      </w:pPr>
      <w:r w:rsidRPr="003D0C4C">
        <w:rPr>
          <w:rFonts w:ascii="Times New Roman" w:hAnsi="Times New Roman"/>
          <w:sz w:val="24"/>
          <w:szCs w:val="24"/>
        </w:rPr>
        <w:t>  </w:t>
      </w:r>
    </w:p>
    <w:p w14:paraId="1CC4B3C6" w14:textId="77777777" w:rsidR="003D0C4C" w:rsidRPr="003D0C4C" w:rsidRDefault="003D0C4C" w:rsidP="003D0C4C">
      <w:pPr>
        <w:pStyle w:val="NoSpacing"/>
        <w:ind w:firstLine="720"/>
        <w:rPr>
          <w:rFonts w:ascii="Times New Roman" w:hAnsi="Times New Roman"/>
          <w:sz w:val="24"/>
          <w:szCs w:val="24"/>
        </w:rPr>
      </w:pPr>
      <w:r w:rsidRPr="003D0C4C">
        <w:rPr>
          <w:rFonts w:ascii="Times New Roman" w:hAnsi="Times New Roman"/>
          <w:sz w:val="24"/>
          <w:szCs w:val="24"/>
        </w:rPr>
        <w:t>1799.106.  </w:t>
      </w:r>
    </w:p>
    <w:p w14:paraId="41316EB9"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 xml:space="preserve">(a) In addition to the provisions of Section 1799.104 of this code, Section 2727.5 of the </w:t>
      </w:r>
      <w:r w:rsidRPr="003D0C4C">
        <w:rPr>
          <w:rFonts w:ascii="Times New Roman" w:hAnsi="Times New Roman"/>
          <w:sz w:val="24"/>
          <w:szCs w:val="24"/>
        </w:rPr>
        <w:tab/>
        <w:t xml:space="preserve"> and Professions Code, and Section 1714.2 of the Civil Code, and in order to encourage the provision of emergency medical services by firefighters, police officers or other law enforcement officers, EMT-I, EMT-II, EMT-P, or registered nurses, a firefighter, police officer or other law enforcement officer, EMT-I, EMT-II, EMT-P, or registered nurse who renders emergency medical services at the scene of an emergency or during an emergency air or ground ambulance transport shall only be liable in civil damages for acts or omissions performed in a grossly negligent manner or acts or omissions not performed in good faith. A public agency employing such a firefighter, police officer or other law enforcement officer, EMT-I, EMT-II, EMT-P, or registered nurse shall not be liable for civil damages if the firefighter, police officer or other law enforcement officer, EMT-I, EMT-II, EMT-P, or registered nurse is not liable.</w:t>
      </w:r>
    </w:p>
    <w:p w14:paraId="2071871A" w14:textId="77777777" w:rsidR="003D0C4C" w:rsidRPr="003D0C4C" w:rsidRDefault="003D0C4C" w:rsidP="003D0C4C">
      <w:pPr>
        <w:pStyle w:val="NoSpacing"/>
        <w:ind w:left="720"/>
        <w:rPr>
          <w:rFonts w:ascii="Times New Roman" w:hAnsi="Times New Roman"/>
          <w:sz w:val="24"/>
          <w:szCs w:val="24"/>
        </w:rPr>
      </w:pPr>
      <w:r w:rsidRPr="003D0C4C">
        <w:rPr>
          <w:rFonts w:ascii="Times New Roman" w:hAnsi="Times New Roman"/>
          <w:sz w:val="24"/>
          <w:szCs w:val="24"/>
        </w:rPr>
        <w:t>(b) For purposes of this section, “registered nurse” means a registered nurse trained in emergency medical services and licensed pursuant to Chapter 6 (commencing with Section 2700) of Division 2 of the Business and Professions Code.”</w:t>
      </w:r>
    </w:p>
    <w:p w14:paraId="60CC68D8" w14:textId="77777777" w:rsidR="003D0C4C" w:rsidRDefault="003D0C4C" w:rsidP="002B1283">
      <w:pPr>
        <w:rPr>
          <w:rFonts w:ascii="Arial Black" w:hAnsi="Arial Black"/>
          <w:b/>
          <w:bCs/>
          <w:sz w:val="28"/>
          <w:szCs w:val="28"/>
        </w:rPr>
      </w:pPr>
    </w:p>
    <w:p w14:paraId="55692033" w14:textId="77777777" w:rsidR="00D85226" w:rsidRPr="00F607C4" w:rsidRDefault="00D85226" w:rsidP="002B1283">
      <w:pPr>
        <w:rPr>
          <w:rFonts w:ascii="Times New Roman" w:hAnsi="Times New Roman"/>
          <w:b/>
          <w:bCs/>
          <w:sz w:val="24"/>
          <w:szCs w:val="24"/>
        </w:rPr>
      </w:pPr>
    </w:p>
    <w:p w14:paraId="247E06E4" w14:textId="0E6869D7" w:rsidR="006D52C4" w:rsidRDefault="006D52C4" w:rsidP="002B1283">
      <w:pPr>
        <w:rPr>
          <w:rFonts w:ascii="Arial Black" w:hAnsi="Arial Black"/>
          <w:b/>
          <w:bCs/>
          <w:sz w:val="28"/>
          <w:szCs w:val="28"/>
        </w:rPr>
      </w:pPr>
      <w:r>
        <w:rPr>
          <w:rFonts w:ascii="Arial Black" w:hAnsi="Arial Black"/>
          <w:b/>
          <w:bCs/>
          <w:sz w:val="28"/>
          <w:szCs w:val="28"/>
        </w:rPr>
        <w:lastRenderedPageBreak/>
        <w:t>13-206</w:t>
      </w:r>
    </w:p>
    <w:p w14:paraId="0F901C86" w14:textId="56BE8AC9" w:rsidR="00C35503" w:rsidRPr="000B7F2C" w:rsidRDefault="00C35503" w:rsidP="00C35503">
      <w:pPr>
        <w:rPr>
          <w:rFonts w:ascii="Arial Black" w:hAnsi="Arial Black"/>
          <w:b/>
          <w:sz w:val="28"/>
          <w:szCs w:val="28"/>
        </w:rPr>
      </w:pPr>
      <w:r w:rsidRPr="000B7F2C">
        <w:rPr>
          <w:rFonts w:ascii="Arial Black" w:hAnsi="Arial Black"/>
          <w:b/>
          <w:sz w:val="28"/>
          <w:szCs w:val="28"/>
        </w:rPr>
        <w:t>DE: EMT REPORT - WOMAN INTERFERED</w:t>
      </w:r>
      <w:r w:rsidR="00004638">
        <w:rPr>
          <w:rFonts w:ascii="Arial Black" w:hAnsi="Arial Black"/>
          <w:b/>
          <w:sz w:val="28"/>
          <w:szCs w:val="28"/>
        </w:rPr>
        <w:t xml:space="preserve"> WITH EMS</w:t>
      </w:r>
      <w:r>
        <w:rPr>
          <w:rFonts w:ascii="Arial Black" w:hAnsi="Arial Black"/>
          <w:b/>
          <w:sz w:val="28"/>
          <w:szCs w:val="28"/>
        </w:rPr>
        <w:t xml:space="preserve"> – 2-YR STATUTE</w:t>
      </w:r>
      <w:r w:rsidRPr="000B7F2C">
        <w:rPr>
          <w:rFonts w:ascii="Arial Black" w:hAnsi="Arial Black"/>
          <w:b/>
          <w:sz w:val="28"/>
          <w:szCs w:val="28"/>
        </w:rPr>
        <w:t xml:space="preserve"> </w:t>
      </w:r>
    </w:p>
    <w:p w14:paraId="26A2E77F" w14:textId="77777777" w:rsidR="00C35503" w:rsidRPr="00C35503" w:rsidRDefault="00C35503" w:rsidP="00C35503">
      <w:pPr>
        <w:rPr>
          <w:rFonts w:ascii="Times New Roman" w:hAnsi="Times New Roman"/>
          <w:sz w:val="24"/>
          <w:szCs w:val="24"/>
        </w:rPr>
      </w:pPr>
      <w:r w:rsidRPr="00C35503">
        <w:rPr>
          <w:rFonts w:ascii="Times New Roman" w:hAnsi="Times New Roman"/>
          <w:sz w:val="24"/>
          <w:szCs w:val="24"/>
        </w:rPr>
        <w:t xml:space="preserve">On Feb. 10, 2025, in </w:t>
      </w:r>
      <w:r w:rsidRPr="00C35503">
        <w:rPr>
          <w:rFonts w:ascii="Times New Roman" w:hAnsi="Times New Roman"/>
          <w:sz w:val="24"/>
          <w:szCs w:val="24"/>
          <w:u w:val="single"/>
        </w:rPr>
        <w:t>Keisha Cappel and Alfonso Jones v. Aston Township Fire Department, et al</w:t>
      </w:r>
      <w:r w:rsidRPr="00C35503">
        <w:rPr>
          <w:rFonts w:ascii="Times New Roman" w:hAnsi="Times New Roman"/>
          <w:sz w:val="24"/>
          <w:szCs w:val="24"/>
        </w:rPr>
        <w:t xml:space="preserve">, United States District Court Judge John F. Murphy approved the settlement of $950,000.  “After apparently convincing Ms. Jones not to go to the hospital, the paramedics left the scene and inaccurately documented the encounter.” The contingency fee agreement distributes 33.3% of sums recovered after costs to counsel, totaling a fee of $303,504.96. “Following our review of the proposed settlement agreement, as required by Pennsylvania’s Probate, Estates, and Fiduciaries Code, we find the proposed settlement amount to be adequate, the allocation of proceeds to be reasonable, and the attorneys’ fees and costs to be reasonable.”  </w:t>
      </w:r>
      <w:hyperlink r:id="rId2114" w:history="1">
        <w:r w:rsidRPr="00C35503">
          <w:rPr>
            <w:rStyle w:val="Hyperlink"/>
            <w:rFonts w:ascii="Times New Roman" w:hAnsi="Times New Roman"/>
            <w:sz w:val="24"/>
            <w:szCs w:val="24"/>
          </w:rPr>
          <w:t>https://cases.justia.com/federal/district-courts/pennsylvania/paedce/2:2023cv00155/604825/106/0.pdf?ts=1739281859</w:t>
        </w:r>
      </w:hyperlink>
      <w:r w:rsidRPr="00C35503">
        <w:rPr>
          <w:rFonts w:ascii="Times New Roman" w:hAnsi="Times New Roman"/>
          <w:sz w:val="24"/>
          <w:szCs w:val="24"/>
        </w:rPr>
        <w:t xml:space="preserve"> </w:t>
      </w:r>
    </w:p>
    <w:p w14:paraId="5297AA0F" w14:textId="77777777" w:rsidR="00C35503" w:rsidRPr="00C35503" w:rsidRDefault="00C35503" w:rsidP="00C35503">
      <w:pPr>
        <w:pStyle w:val="NoSpacing"/>
        <w:rPr>
          <w:rFonts w:ascii="Times New Roman" w:hAnsi="Times New Roman"/>
          <w:sz w:val="24"/>
          <w:szCs w:val="24"/>
        </w:rPr>
      </w:pPr>
      <w:r w:rsidRPr="00C35503">
        <w:rPr>
          <w:rFonts w:ascii="Times New Roman" w:hAnsi="Times New Roman"/>
          <w:sz w:val="24"/>
          <w:szCs w:val="24"/>
        </w:rPr>
        <w:t>The Court wrote:</w:t>
      </w:r>
    </w:p>
    <w:p w14:paraId="1F63E0C3" w14:textId="77777777" w:rsidR="00C35503" w:rsidRPr="00C35503" w:rsidRDefault="00C35503" w:rsidP="00C35503">
      <w:pPr>
        <w:pStyle w:val="NoSpacing"/>
        <w:rPr>
          <w:rFonts w:ascii="Times New Roman" w:hAnsi="Times New Roman"/>
          <w:sz w:val="24"/>
          <w:szCs w:val="24"/>
        </w:rPr>
      </w:pPr>
    </w:p>
    <w:p w14:paraId="55B24E1D" w14:textId="77777777" w:rsidR="00C35503" w:rsidRPr="00C35503" w:rsidRDefault="00C35503" w:rsidP="00C35503">
      <w:pPr>
        <w:pStyle w:val="NoSpacing"/>
        <w:ind w:firstLine="720"/>
        <w:rPr>
          <w:rFonts w:ascii="Times New Roman" w:hAnsi="Times New Roman"/>
          <w:sz w:val="24"/>
          <w:szCs w:val="24"/>
        </w:rPr>
      </w:pPr>
      <w:r w:rsidRPr="00C35503">
        <w:rPr>
          <w:rFonts w:ascii="Times New Roman" w:hAnsi="Times New Roman"/>
          <w:sz w:val="24"/>
          <w:szCs w:val="24"/>
        </w:rPr>
        <w:t>“This case involves the death of a woman, Tamika Jones. Ms. Jones’s family called 911</w:t>
      </w:r>
    </w:p>
    <w:p w14:paraId="346B8DFF" w14:textId="77777777" w:rsidR="00C35503" w:rsidRPr="00C35503" w:rsidRDefault="00C35503" w:rsidP="00C35503">
      <w:pPr>
        <w:pStyle w:val="NoSpacing"/>
        <w:ind w:left="720"/>
        <w:rPr>
          <w:rFonts w:ascii="Times New Roman" w:hAnsi="Times New Roman"/>
          <w:sz w:val="24"/>
          <w:szCs w:val="24"/>
        </w:rPr>
      </w:pPr>
      <w:r w:rsidRPr="00C35503">
        <w:rPr>
          <w:rFonts w:ascii="Times New Roman" w:hAnsi="Times New Roman"/>
          <w:sz w:val="24"/>
          <w:szCs w:val="24"/>
        </w:rPr>
        <w:t xml:space="preserve">for help because she was experiencing significant and concerning COVID-19 symptoms. Two teams of paramedics were sent, including an advanced team, but only one junior paramedic evaluated Ms. Jones. After apparently convincing Ms. Jones not to go to the hospital, the paramedics left the scene and inaccurately documented the encounter. Ms. Jones died the next day. </w:t>
      </w:r>
    </w:p>
    <w:p w14:paraId="1D3332DA" w14:textId="77777777" w:rsidR="00C35503" w:rsidRPr="00C35503" w:rsidRDefault="00C35503" w:rsidP="00C35503">
      <w:pPr>
        <w:pStyle w:val="NoSpacing"/>
        <w:rPr>
          <w:rFonts w:ascii="Times New Roman" w:hAnsi="Times New Roman"/>
          <w:sz w:val="24"/>
          <w:szCs w:val="24"/>
        </w:rPr>
      </w:pPr>
    </w:p>
    <w:p w14:paraId="5032860C" w14:textId="77777777" w:rsidR="00C35503" w:rsidRPr="00C35503" w:rsidRDefault="00C35503" w:rsidP="00C35503">
      <w:pPr>
        <w:pStyle w:val="NoSpacing"/>
        <w:ind w:firstLine="720"/>
        <w:rPr>
          <w:rFonts w:ascii="Times New Roman" w:hAnsi="Times New Roman"/>
          <w:sz w:val="24"/>
          <w:szCs w:val="24"/>
        </w:rPr>
      </w:pPr>
      <w:r w:rsidRPr="00C35503">
        <w:rPr>
          <w:rFonts w:ascii="Times New Roman" w:hAnsi="Times New Roman"/>
          <w:sz w:val="24"/>
          <w:szCs w:val="24"/>
        </w:rPr>
        <w:t>***</w:t>
      </w:r>
    </w:p>
    <w:p w14:paraId="3D4D64AF" w14:textId="77777777" w:rsidR="00C35503" w:rsidRPr="00C35503" w:rsidRDefault="00C35503" w:rsidP="00C35503">
      <w:pPr>
        <w:pStyle w:val="NoSpacing"/>
        <w:rPr>
          <w:rFonts w:ascii="Times New Roman" w:hAnsi="Times New Roman"/>
          <w:sz w:val="24"/>
          <w:szCs w:val="24"/>
        </w:rPr>
      </w:pPr>
    </w:p>
    <w:p w14:paraId="5D1C5DBF" w14:textId="77777777" w:rsidR="00C35503" w:rsidRPr="00C35503" w:rsidRDefault="00C35503" w:rsidP="00C35503">
      <w:pPr>
        <w:pStyle w:val="NoSpacing"/>
        <w:ind w:firstLine="720"/>
        <w:rPr>
          <w:rFonts w:ascii="Times New Roman" w:hAnsi="Times New Roman"/>
          <w:sz w:val="24"/>
          <w:szCs w:val="24"/>
        </w:rPr>
      </w:pPr>
      <w:r w:rsidRPr="00C35503">
        <w:rPr>
          <w:rFonts w:ascii="Times New Roman" w:hAnsi="Times New Roman"/>
          <w:sz w:val="24"/>
          <w:szCs w:val="24"/>
        </w:rPr>
        <w:t xml:space="preserve">On the evening of January 22, 2021, while at the home of her mother and father — </w:t>
      </w:r>
      <w:proofErr w:type="gramStart"/>
      <w:r w:rsidRPr="00C35503">
        <w:rPr>
          <w:rFonts w:ascii="Times New Roman" w:hAnsi="Times New Roman"/>
          <w:sz w:val="24"/>
          <w:szCs w:val="24"/>
        </w:rPr>
        <w:t>where</w:t>
      </w:r>
      <w:proofErr w:type="gramEnd"/>
    </w:p>
    <w:p w14:paraId="24454FDD" w14:textId="77777777" w:rsidR="00C35503" w:rsidRPr="00C35503" w:rsidRDefault="00C35503" w:rsidP="00C35503">
      <w:pPr>
        <w:pStyle w:val="NoSpacing"/>
        <w:ind w:left="720"/>
        <w:rPr>
          <w:rFonts w:ascii="Times New Roman" w:hAnsi="Times New Roman"/>
          <w:sz w:val="24"/>
          <w:szCs w:val="24"/>
        </w:rPr>
      </w:pPr>
      <w:r w:rsidRPr="00C35503">
        <w:rPr>
          <w:rFonts w:ascii="Times New Roman" w:hAnsi="Times New Roman"/>
          <w:sz w:val="24"/>
          <w:szCs w:val="24"/>
        </w:rPr>
        <w:t>she was living to help her mother who was battling cancer — Tamika Jones was struggling to breathe and could not walk….  Five days earlier, Ms. Jones’s father, Mr. Jones, had been hospitalized for symptoms related to COVID-19.</w:t>
      </w:r>
    </w:p>
    <w:p w14:paraId="1215A535" w14:textId="77777777" w:rsidR="00C35503" w:rsidRPr="00C35503" w:rsidRDefault="00C35503" w:rsidP="00C35503">
      <w:pPr>
        <w:pStyle w:val="NoSpacing"/>
        <w:rPr>
          <w:rFonts w:ascii="Times New Roman" w:hAnsi="Times New Roman"/>
          <w:sz w:val="24"/>
          <w:szCs w:val="24"/>
        </w:rPr>
      </w:pPr>
    </w:p>
    <w:p w14:paraId="636FA683" w14:textId="77777777" w:rsidR="00C35503" w:rsidRPr="00C35503" w:rsidRDefault="00C35503" w:rsidP="00C35503">
      <w:pPr>
        <w:pStyle w:val="NoSpacing"/>
        <w:ind w:firstLine="720"/>
        <w:rPr>
          <w:rFonts w:ascii="Times New Roman" w:hAnsi="Times New Roman"/>
          <w:sz w:val="24"/>
          <w:szCs w:val="24"/>
        </w:rPr>
      </w:pPr>
      <w:r w:rsidRPr="00C35503">
        <w:rPr>
          <w:rFonts w:ascii="Times New Roman" w:hAnsi="Times New Roman"/>
          <w:sz w:val="24"/>
          <w:szCs w:val="24"/>
        </w:rPr>
        <w:t>***</w:t>
      </w:r>
    </w:p>
    <w:p w14:paraId="4D53DBA3" w14:textId="77777777" w:rsidR="00C35503" w:rsidRPr="00C35503" w:rsidRDefault="00C35503" w:rsidP="00C35503">
      <w:pPr>
        <w:pStyle w:val="NoSpacing"/>
        <w:ind w:firstLine="720"/>
        <w:rPr>
          <w:rFonts w:ascii="Times New Roman" w:hAnsi="Times New Roman"/>
          <w:sz w:val="24"/>
          <w:szCs w:val="24"/>
        </w:rPr>
      </w:pPr>
      <w:r w:rsidRPr="00C35503">
        <w:rPr>
          <w:rFonts w:ascii="Times New Roman" w:hAnsi="Times New Roman"/>
          <w:sz w:val="24"/>
          <w:szCs w:val="24"/>
        </w:rPr>
        <w:t>The Aston Township Fire Department unit arrived first, and Marshall, a new EMT-B,</w:t>
      </w:r>
    </w:p>
    <w:p w14:paraId="251DD335" w14:textId="77777777" w:rsidR="00C35503" w:rsidRPr="00C35503" w:rsidRDefault="00C35503" w:rsidP="00C35503">
      <w:pPr>
        <w:pStyle w:val="NoSpacing"/>
        <w:ind w:firstLine="720"/>
        <w:rPr>
          <w:rFonts w:ascii="Times New Roman" w:hAnsi="Times New Roman"/>
          <w:sz w:val="24"/>
          <w:szCs w:val="24"/>
        </w:rPr>
      </w:pPr>
      <w:r w:rsidRPr="00C35503">
        <w:rPr>
          <w:rFonts w:ascii="Times New Roman" w:hAnsi="Times New Roman"/>
          <w:sz w:val="24"/>
          <w:szCs w:val="24"/>
        </w:rPr>
        <w:t>went inside the home…. According to the complaint, Marshall ‘consciously disregarded</w:t>
      </w:r>
    </w:p>
    <w:p w14:paraId="043C6DAD" w14:textId="77777777" w:rsidR="00C35503" w:rsidRPr="00C35503" w:rsidRDefault="00C35503" w:rsidP="00C35503">
      <w:pPr>
        <w:pStyle w:val="NoSpacing"/>
        <w:ind w:left="720"/>
        <w:rPr>
          <w:rFonts w:ascii="Times New Roman" w:hAnsi="Times New Roman"/>
          <w:sz w:val="24"/>
          <w:szCs w:val="24"/>
        </w:rPr>
      </w:pPr>
      <w:r w:rsidRPr="00C35503">
        <w:rPr>
          <w:rFonts w:ascii="Times New Roman" w:hAnsi="Times New Roman"/>
          <w:sz w:val="24"/>
          <w:szCs w:val="24"/>
        </w:rPr>
        <w:t xml:space="preserve">two blood oxygen readings [of Ms. Jones] which Marshall himself stated would be nearly fatal’ and “instead of investigating further by checking vital signs, [] acted with deliberate indifference by halting his evaluation.’ … Marshall purportedly told </w:t>
      </w:r>
      <w:proofErr w:type="gramStart"/>
      <w:r w:rsidRPr="00C35503">
        <w:rPr>
          <w:rFonts w:ascii="Times New Roman" w:hAnsi="Times New Roman"/>
          <w:sz w:val="24"/>
          <w:szCs w:val="24"/>
        </w:rPr>
        <w:t>Ms. Jones</w:t>
      </w:r>
      <w:proofErr w:type="gramEnd"/>
      <w:r w:rsidRPr="00C35503">
        <w:rPr>
          <w:rFonts w:ascii="Times New Roman" w:hAnsi="Times New Roman"/>
          <w:sz w:val="24"/>
          <w:szCs w:val="24"/>
        </w:rPr>
        <w:t xml:space="preserve"> ‘I can take you to the hospital, but they will just bring you back home’ and added ‘I’d stay here. </w:t>
      </w:r>
      <w:proofErr w:type="gramStart"/>
      <w:r w:rsidRPr="00C35503">
        <w:rPr>
          <w:rFonts w:ascii="Times New Roman" w:hAnsi="Times New Roman"/>
          <w:sz w:val="24"/>
          <w:szCs w:val="24"/>
        </w:rPr>
        <w:t>They are</w:t>
      </w:r>
      <w:proofErr w:type="gramEnd"/>
      <w:r w:rsidRPr="00C35503">
        <w:rPr>
          <w:rFonts w:ascii="Times New Roman" w:hAnsi="Times New Roman"/>
          <w:sz w:val="24"/>
          <w:szCs w:val="24"/>
        </w:rPr>
        <w:t xml:space="preserve"> really wanting people to </w:t>
      </w:r>
      <w:proofErr w:type="gramStart"/>
      <w:r w:rsidRPr="00C35503">
        <w:rPr>
          <w:rFonts w:ascii="Times New Roman" w:hAnsi="Times New Roman"/>
          <w:sz w:val="24"/>
          <w:szCs w:val="24"/>
        </w:rPr>
        <w:t>stay</w:t>
      </w:r>
      <w:proofErr w:type="gramEnd"/>
      <w:r w:rsidRPr="00C35503">
        <w:rPr>
          <w:rFonts w:ascii="Times New Roman" w:hAnsi="Times New Roman"/>
          <w:sz w:val="24"/>
          <w:szCs w:val="24"/>
        </w:rPr>
        <w:t xml:space="preserve"> home. Your best chance is to stay here.’ … Before leaving Ms. Jones, Marshall did not get a signed refusal form or contact Medical Command, which is supposed to be ‘the final sign-off in deciding not to transport a patient.’ Meanwhile, Kisela, the more experienced EMT-B, ‘waived off’ the Advanced Life Support unit….The incident report completed by Marshall and Kisela indicated ‘No Patient Assessed.’ …Ms. Jones died the next day.”</w:t>
      </w:r>
    </w:p>
    <w:p w14:paraId="1D483C06" w14:textId="77777777" w:rsidR="00C35503" w:rsidRPr="00C35503" w:rsidRDefault="00C35503" w:rsidP="00C35503">
      <w:pPr>
        <w:pStyle w:val="NoSpacing"/>
        <w:rPr>
          <w:rFonts w:ascii="Times New Roman" w:hAnsi="Times New Roman"/>
          <w:sz w:val="24"/>
          <w:szCs w:val="24"/>
        </w:rPr>
      </w:pPr>
    </w:p>
    <w:p w14:paraId="7733722A" w14:textId="77777777" w:rsidR="00C35503" w:rsidRPr="00C35503" w:rsidRDefault="00C35503" w:rsidP="00C35503">
      <w:pPr>
        <w:pStyle w:val="NoSpacing"/>
        <w:rPr>
          <w:rFonts w:ascii="Times New Roman" w:hAnsi="Times New Roman"/>
          <w:b/>
          <w:bCs/>
          <w:sz w:val="24"/>
          <w:szCs w:val="24"/>
        </w:rPr>
      </w:pPr>
      <w:r w:rsidRPr="00C35503">
        <w:rPr>
          <w:rFonts w:ascii="Times New Roman" w:hAnsi="Times New Roman"/>
          <w:b/>
          <w:sz w:val="24"/>
          <w:szCs w:val="24"/>
        </w:rPr>
        <w:t xml:space="preserve">Legal Lesson Learned: Get a set of vitals and if no transported is indicated, obtain a signed patient refusal. </w:t>
      </w:r>
    </w:p>
    <w:p w14:paraId="1FB26D20" w14:textId="77777777" w:rsidR="006D52C4" w:rsidRPr="00C35503" w:rsidRDefault="006D52C4" w:rsidP="002B1283">
      <w:pPr>
        <w:rPr>
          <w:rFonts w:ascii="Times New Roman" w:hAnsi="Times New Roman"/>
          <w:b/>
          <w:bCs/>
          <w:sz w:val="24"/>
          <w:szCs w:val="24"/>
        </w:rPr>
      </w:pPr>
    </w:p>
    <w:p w14:paraId="7C09D5C4" w14:textId="77777777" w:rsidR="006D52C4" w:rsidRDefault="006D52C4" w:rsidP="002B1283">
      <w:pPr>
        <w:rPr>
          <w:rFonts w:ascii="Arial Black" w:hAnsi="Arial Black"/>
          <w:b/>
          <w:bCs/>
          <w:sz w:val="28"/>
          <w:szCs w:val="28"/>
        </w:rPr>
      </w:pPr>
    </w:p>
    <w:p w14:paraId="60C32DD2" w14:textId="1B1126CA" w:rsidR="00300506" w:rsidRDefault="00300506" w:rsidP="002B1283">
      <w:pPr>
        <w:rPr>
          <w:rFonts w:ascii="Arial Black" w:hAnsi="Arial Black"/>
          <w:b/>
          <w:bCs/>
          <w:sz w:val="28"/>
          <w:szCs w:val="28"/>
        </w:rPr>
      </w:pPr>
      <w:r>
        <w:rPr>
          <w:rFonts w:ascii="Arial Black" w:hAnsi="Arial Black"/>
          <w:b/>
          <w:bCs/>
          <w:sz w:val="28"/>
          <w:szCs w:val="28"/>
        </w:rPr>
        <w:t>13-205</w:t>
      </w:r>
    </w:p>
    <w:p w14:paraId="7CEDE818" w14:textId="689F7F76" w:rsidR="002270FF" w:rsidRPr="000B7F2C" w:rsidRDefault="002270FF" w:rsidP="002270FF">
      <w:pPr>
        <w:rPr>
          <w:rFonts w:ascii="Arial Black" w:hAnsi="Arial Black"/>
          <w:bCs/>
          <w:sz w:val="28"/>
          <w:szCs w:val="28"/>
        </w:rPr>
      </w:pPr>
      <w:r w:rsidRPr="000B7F2C">
        <w:rPr>
          <w:rFonts w:ascii="Arial Black" w:hAnsi="Arial Black"/>
          <w:sz w:val="28"/>
          <w:szCs w:val="28"/>
        </w:rPr>
        <w:lastRenderedPageBreak/>
        <w:t xml:space="preserve">MA: </w:t>
      </w:r>
      <w:r>
        <w:rPr>
          <w:rFonts w:ascii="Arial Black" w:hAnsi="Arial Black"/>
          <w:sz w:val="28"/>
          <w:szCs w:val="28"/>
        </w:rPr>
        <w:t xml:space="preserve">FIRED </w:t>
      </w:r>
      <w:r w:rsidR="00E56ACD">
        <w:rPr>
          <w:rFonts w:ascii="Arial Black" w:hAnsi="Arial Black"/>
          <w:sz w:val="28"/>
          <w:szCs w:val="28"/>
        </w:rPr>
        <w:t>–</w:t>
      </w:r>
      <w:r>
        <w:rPr>
          <w:rFonts w:ascii="Arial Black" w:hAnsi="Arial Black"/>
          <w:sz w:val="28"/>
          <w:szCs w:val="28"/>
        </w:rPr>
        <w:t xml:space="preserve"> </w:t>
      </w:r>
      <w:r w:rsidRPr="000B7F2C">
        <w:rPr>
          <w:rFonts w:ascii="Arial Black" w:hAnsi="Arial Black"/>
          <w:sz w:val="28"/>
          <w:szCs w:val="28"/>
        </w:rPr>
        <w:t>WHISTLEBLOWER</w:t>
      </w:r>
      <w:r w:rsidR="004B4BE8">
        <w:rPr>
          <w:rFonts w:ascii="Arial Black" w:hAnsi="Arial Black"/>
          <w:sz w:val="28"/>
          <w:szCs w:val="28"/>
        </w:rPr>
        <w:t xml:space="preserve"> CASE PROCEED</w:t>
      </w:r>
      <w:r w:rsidR="00E56ACD">
        <w:rPr>
          <w:rFonts w:ascii="Arial Black" w:hAnsi="Arial Black"/>
          <w:sz w:val="28"/>
          <w:szCs w:val="28"/>
        </w:rPr>
        <w:t xml:space="preserve"> </w:t>
      </w:r>
      <w:r w:rsidR="004B4BE8">
        <w:rPr>
          <w:rFonts w:ascii="Arial Black" w:hAnsi="Arial Black"/>
          <w:sz w:val="28"/>
          <w:szCs w:val="28"/>
        </w:rPr>
        <w:t>–</w:t>
      </w:r>
      <w:r w:rsidR="00E56ACD">
        <w:rPr>
          <w:rFonts w:ascii="Arial Black" w:hAnsi="Arial Black"/>
          <w:sz w:val="28"/>
          <w:szCs w:val="28"/>
        </w:rPr>
        <w:t xml:space="preserve"> </w:t>
      </w:r>
      <w:r w:rsidR="004B4BE8">
        <w:rPr>
          <w:rFonts w:ascii="Arial Black" w:hAnsi="Arial Black"/>
          <w:sz w:val="28"/>
          <w:szCs w:val="28"/>
        </w:rPr>
        <w:t>PHOTO PT INJURY</w:t>
      </w:r>
    </w:p>
    <w:p w14:paraId="4DEDE99D" w14:textId="775005AD" w:rsidR="002270FF" w:rsidRPr="002270FF" w:rsidRDefault="002270FF" w:rsidP="002270FF">
      <w:pPr>
        <w:rPr>
          <w:rFonts w:ascii="Times New Roman" w:hAnsi="Times New Roman"/>
          <w:bCs/>
          <w:sz w:val="24"/>
          <w:szCs w:val="24"/>
        </w:rPr>
      </w:pPr>
      <w:r w:rsidRPr="002270FF">
        <w:rPr>
          <w:rFonts w:ascii="Times New Roman" w:hAnsi="Times New Roman"/>
          <w:sz w:val="24"/>
          <w:szCs w:val="24"/>
        </w:rPr>
        <w:t xml:space="preserve">On Jan. 30, 2025, in </w:t>
      </w:r>
      <w:r w:rsidRPr="002270FF">
        <w:rPr>
          <w:rFonts w:ascii="Times New Roman" w:hAnsi="Times New Roman"/>
          <w:sz w:val="24"/>
          <w:szCs w:val="24"/>
          <w:u w:val="single"/>
        </w:rPr>
        <w:t>Nial Luu v. Falon Service, Inc</w:t>
      </w:r>
      <w:r w:rsidRPr="002270FF">
        <w:rPr>
          <w:rFonts w:ascii="Times New Roman" w:hAnsi="Times New Roman"/>
          <w:sz w:val="24"/>
          <w:szCs w:val="24"/>
        </w:rPr>
        <w:t xml:space="preserve">., the Appeals Court of Massachusetts held (3 to 0) that trial court improperly dismissed the lawsuit.  On Nov. 30, 2019, the EMT was driving ambulance transporting patent from Encompass Health Rehabilitation Hospital experiencing an altered mental status to a hospital.   “Upon arrival at the hospital, the plaintiff became aware of a new hemorrhage wound on the patient's arm. The plaintiff questioned his partner about how the injury resulted, but the partner </w:t>
      </w:r>
      <w:proofErr w:type="gramStart"/>
      <w:r w:rsidRPr="002270FF">
        <w:rPr>
          <w:rFonts w:ascii="Times New Roman" w:hAnsi="Times New Roman"/>
          <w:sz w:val="24"/>
          <w:szCs w:val="24"/>
        </w:rPr>
        <w:t>was not able to</w:t>
      </w:r>
      <w:proofErr w:type="gramEnd"/>
      <w:r w:rsidRPr="002270FF">
        <w:rPr>
          <w:rFonts w:ascii="Times New Roman" w:hAnsi="Times New Roman"/>
          <w:sz w:val="24"/>
          <w:szCs w:val="24"/>
        </w:rPr>
        <w:t xml:space="preserve"> provide an explanation. Believing that the injury was a result of his partner's misconduct and neglect of the patient, the plaintiff used his personal cell phone to take photographs and one video recording of the patient's arm injury prior to taking the patient into the hospital.”   After reporting this to his </w:t>
      </w:r>
      <w:proofErr w:type="gramStart"/>
      <w:r w:rsidRPr="002270FF">
        <w:rPr>
          <w:rFonts w:ascii="Times New Roman" w:hAnsi="Times New Roman"/>
          <w:sz w:val="24"/>
          <w:szCs w:val="24"/>
        </w:rPr>
        <w:t>Supervisor</w:t>
      </w:r>
      <w:proofErr w:type="gramEnd"/>
      <w:r w:rsidRPr="002270FF">
        <w:rPr>
          <w:rFonts w:ascii="Times New Roman" w:hAnsi="Times New Roman"/>
          <w:sz w:val="24"/>
          <w:szCs w:val="24"/>
        </w:rPr>
        <w:t xml:space="preserve"> and sending her a copy of the photo, his job duties now included sweeping, mopping, and sanitizing the station and paramedic trucks.  On Jan. 8, </w:t>
      </w:r>
      <w:proofErr w:type="gramStart"/>
      <w:r w:rsidRPr="002270FF">
        <w:rPr>
          <w:rFonts w:ascii="Times New Roman" w:hAnsi="Times New Roman"/>
          <w:sz w:val="24"/>
          <w:szCs w:val="24"/>
        </w:rPr>
        <w:t>2020</w:t>
      </w:r>
      <w:proofErr w:type="gramEnd"/>
      <w:r w:rsidRPr="002270FF">
        <w:rPr>
          <w:rFonts w:ascii="Times New Roman" w:hAnsi="Times New Roman"/>
          <w:sz w:val="24"/>
          <w:szCs w:val="24"/>
        </w:rPr>
        <w:t xml:space="preserve"> he was told to delete the photo in meeting with Vice-President, Human Resources Director, and Senior Vice-President. Instead, on Jan. 14, </w:t>
      </w:r>
      <w:proofErr w:type="gramStart"/>
      <w:r w:rsidRPr="002270FF">
        <w:rPr>
          <w:rFonts w:ascii="Times New Roman" w:hAnsi="Times New Roman"/>
          <w:sz w:val="24"/>
          <w:szCs w:val="24"/>
        </w:rPr>
        <w:t>2020</w:t>
      </w:r>
      <w:proofErr w:type="gramEnd"/>
      <w:r w:rsidRPr="002270FF">
        <w:rPr>
          <w:rFonts w:ascii="Times New Roman" w:hAnsi="Times New Roman"/>
          <w:sz w:val="24"/>
          <w:szCs w:val="24"/>
        </w:rPr>
        <w:t xml:space="preserve"> he made report to the State Office of Emergency Medical Services – he was fired on Jan. 17 for not deleting the photo.</w:t>
      </w:r>
      <w:r w:rsidR="00956215">
        <w:rPr>
          <w:rFonts w:ascii="Times New Roman" w:hAnsi="Times New Roman"/>
          <w:sz w:val="24"/>
          <w:szCs w:val="24"/>
        </w:rPr>
        <w:t xml:space="preserve"> </w:t>
      </w:r>
      <w:hyperlink r:id="rId2115" w:history="1">
        <w:r w:rsidR="00956215" w:rsidRPr="000F3B38">
          <w:rPr>
            <w:rStyle w:val="Hyperlink"/>
            <w:rFonts w:ascii="Times New Roman" w:hAnsi="Times New Roman"/>
            <w:sz w:val="24"/>
            <w:szCs w:val="24"/>
          </w:rPr>
          <w:t>https://caselaw.findlaw.com/court/ma-court-of-appeals/116890923.html</w:t>
        </w:r>
      </w:hyperlink>
      <w:r w:rsidR="00956215">
        <w:rPr>
          <w:rFonts w:ascii="Times New Roman" w:hAnsi="Times New Roman"/>
          <w:sz w:val="24"/>
          <w:szCs w:val="24"/>
        </w:rPr>
        <w:t xml:space="preserve"> </w:t>
      </w:r>
    </w:p>
    <w:p w14:paraId="3B28007B" w14:textId="77777777" w:rsidR="002270FF" w:rsidRPr="002270FF" w:rsidRDefault="002270FF" w:rsidP="002270FF">
      <w:pPr>
        <w:rPr>
          <w:rFonts w:ascii="Times New Roman" w:hAnsi="Times New Roman"/>
          <w:bCs/>
          <w:sz w:val="24"/>
          <w:szCs w:val="24"/>
        </w:rPr>
      </w:pPr>
      <w:r w:rsidRPr="002270FF">
        <w:rPr>
          <w:rFonts w:ascii="Times New Roman" w:hAnsi="Times New Roman"/>
          <w:sz w:val="24"/>
          <w:szCs w:val="24"/>
        </w:rPr>
        <w:t>The Court wrote:</w:t>
      </w:r>
    </w:p>
    <w:p w14:paraId="08A73D5D" w14:textId="77777777" w:rsidR="002270FF" w:rsidRPr="002270FF" w:rsidRDefault="002270FF" w:rsidP="002270FF">
      <w:pPr>
        <w:ind w:left="720"/>
        <w:rPr>
          <w:rFonts w:ascii="Times New Roman" w:hAnsi="Times New Roman"/>
          <w:sz w:val="24"/>
          <w:szCs w:val="24"/>
        </w:rPr>
      </w:pPr>
      <w:r w:rsidRPr="002270FF">
        <w:rPr>
          <w:rFonts w:ascii="Times New Roman" w:hAnsi="Times New Roman"/>
          <w:sz w:val="24"/>
          <w:szCs w:val="24"/>
        </w:rPr>
        <w:t xml:space="preserve">“Concluding that </w:t>
      </w:r>
      <w:hyperlink r:id="rId2116" w:history="1">
        <w:r w:rsidRPr="002270FF">
          <w:rPr>
            <w:rStyle w:val="Hyperlink"/>
            <w:rFonts w:ascii="Times New Roman" w:hAnsi="Times New Roman"/>
            <w:sz w:val="24"/>
            <w:szCs w:val="24"/>
          </w:rPr>
          <w:t>G. L. c. 149, § 187 (</w:t>
        </w:r>
        <w:r w:rsidRPr="002270FF">
          <w:rPr>
            <w:rStyle w:val="Hyperlink"/>
            <w:rFonts w:ascii="Times New Roman" w:hAnsi="Times New Roman"/>
            <w:i/>
            <w:iCs/>
            <w:sz w:val="24"/>
            <w:szCs w:val="24"/>
          </w:rPr>
          <w:t>b</w:t>
        </w:r>
        <w:r w:rsidRPr="002270FF">
          <w:rPr>
            <w:rStyle w:val="Hyperlink"/>
            <w:rFonts w:ascii="Times New Roman" w:hAnsi="Times New Roman"/>
            <w:sz w:val="24"/>
            <w:szCs w:val="24"/>
          </w:rPr>
          <w:t>)</w:t>
        </w:r>
      </w:hyperlink>
      <w:r w:rsidRPr="002270FF">
        <w:rPr>
          <w:rFonts w:ascii="Times New Roman" w:hAnsi="Times New Roman"/>
          <w:sz w:val="24"/>
          <w:szCs w:val="24"/>
        </w:rPr>
        <w:t>, prohibits retaliation by an ambulance service against an EMT employed by it for reporting medical misconduct to the government, we reverse the dismissal of the whistleblower claim.</w:t>
      </w:r>
    </w:p>
    <w:p w14:paraId="12E9C1A0" w14:textId="77777777" w:rsidR="002270FF" w:rsidRPr="002270FF" w:rsidRDefault="002270FF" w:rsidP="002270FF">
      <w:pPr>
        <w:ind w:firstLine="720"/>
        <w:rPr>
          <w:rFonts w:ascii="Times New Roman" w:hAnsi="Times New Roman"/>
          <w:sz w:val="24"/>
          <w:szCs w:val="24"/>
        </w:rPr>
      </w:pPr>
      <w:r w:rsidRPr="002270FF">
        <w:rPr>
          <w:rFonts w:ascii="Times New Roman" w:hAnsi="Times New Roman"/>
          <w:sz w:val="24"/>
          <w:szCs w:val="24"/>
        </w:rPr>
        <w:t>***</w:t>
      </w:r>
    </w:p>
    <w:p w14:paraId="2CB5CA61" w14:textId="77777777" w:rsidR="002270FF" w:rsidRPr="002270FF" w:rsidRDefault="002270FF" w:rsidP="002270FF">
      <w:pPr>
        <w:ind w:left="720"/>
        <w:rPr>
          <w:rFonts w:ascii="Times New Roman" w:hAnsi="Times New Roman"/>
          <w:sz w:val="24"/>
          <w:szCs w:val="24"/>
        </w:rPr>
      </w:pPr>
      <w:r w:rsidRPr="002270FF">
        <w:rPr>
          <w:rFonts w:ascii="Times New Roman" w:hAnsi="Times New Roman"/>
          <w:sz w:val="24"/>
          <w:szCs w:val="24"/>
        </w:rPr>
        <w:t xml:space="preserve">The plaintiff here falls squarely within ‘any other health care provider who performs or has performed health care related services for and under the control of a health care facility for care-related services.’ </w:t>
      </w:r>
      <w:hyperlink r:id="rId2117" w:history="1">
        <w:r w:rsidRPr="002270FF">
          <w:rPr>
            <w:rStyle w:val="Hyperlink"/>
            <w:rFonts w:ascii="Times New Roman" w:hAnsi="Times New Roman"/>
            <w:sz w:val="24"/>
            <w:szCs w:val="24"/>
          </w:rPr>
          <w:t>G. L. c. 149, § 187 (</w:t>
        </w:r>
        <w:r w:rsidRPr="002270FF">
          <w:rPr>
            <w:rStyle w:val="Hyperlink"/>
            <w:rFonts w:ascii="Times New Roman" w:hAnsi="Times New Roman"/>
            <w:i/>
            <w:iCs/>
            <w:sz w:val="24"/>
            <w:szCs w:val="24"/>
          </w:rPr>
          <w:t>a</w:t>
        </w:r>
        <w:r w:rsidRPr="002270FF">
          <w:rPr>
            <w:rStyle w:val="Hyperlink"/>
            <w:rFonts w:ascii="Times New Roman" w:hAnsi="Times New Roman"/>
            <w:sz w:val="24"/>
            <w:szCs w:val="24"/>
          </w:rPr>
          <w:t>)</w:t>
        </w:r>
      </w:hyperlink>
      <w:r w:rsidRPr="002270FF">
        <w:rPr>
          <w:rFonts w:ascii="Times New Roman" w:hAnsi="Times New Roman"/>
          <w:sz w:val="24"/>
          <w:szCs w:val="24"/>
        </w:rPr>
        <w:t xml:space="preserve">. As an EMT employed by Fallon, the plaintiff performed care-related services for and under the control of Fallon, a health care facility, including driving an ambulance and providing patient care in transport. During the incident in question, the plaintiff responded to a call at a rehabilitation hospital for a patient experiencing a medical emergency. The plaintiff was responsible for driving the ambulance as his partner provided medical care to the patient in the vehicle. In each of these tasks, the plaintiff interacted directly with the patient, who required immediate health care service. This falls within the patient care that </w:t>
      </w:r>
      <w:hyperlink r:id="rId2118" w:history="1">
        <w:r w:rsidRPr="002270FF">
          <w:rPr>
            <w:rStyle w:val="Hyperlink"/>
            <w:rFonts w:ascii="Times New Roman" w:hAnsi="Times New Roman"/>
            <w:sz w:val="24"/>
            <w:szCs w:val="24"/>
          </w:rPr>
          <w:t>G. L. c. 149, § 187</w:t>
        </w:r>
      </w:hyperlink>
      <w:r w:rsidRPr="002270FF">
        <w:rPr>
          <w:rFonts w:ascii="Times New Roman" w:hAnsi="Times New Roman"/>
          <w:sz w:val="24"/>
          <w:szCs w:val="24"/>
        </w:rPr>
        <w:t>, was designed to safeguard.”</w:t>
      </w:r>
    </w:p>
    <w:p w14:paraId="5521A801" w14:textId="6A20C893" w:rsidR="002270FF" w:rsidRPr="002270FF" w:rsidRDefault="002270FF" w:rsidP="002270FF">
      <w:pPr>
        <w:rPr>
          <w:rFonts w:ascii="Times New Roman" w:hAnsi="Times New Roman"/>
          <w:b/>
          <w:bCs/>
          <w:sz w:val="24"/>
          <w:szCs w:val="24"/>
        </w:rPr>
      </w:pPr>
      <w:r w:rsidRPr="002270FF">
        <w:rPr>
          <w:rFonts w:ascii="Times New Roman" w:hAnsi="Times New Roman"/>
          <w:b/>
          <w:sz w:val="24"/>
          <w:szCs w:val="24"/>
        </w:rPr>
        <w:t xml:space="preserve">Legal Lesson Learned: Avoid whistleblower lawsuits.  When an employee reports possible misconduct by another employee, promptly </w:t>
      </w:r>
      <w:proofErr w:type="gramStart"/>
      <w:r w:rsidRPr="002270FF">
        <w:rPr>
          <w:rFonts w:ascii="Times New Roman" w:hAnsi="Times New Roman"/>
          <w:b/>
          <w:sz w:val="24"/>
          <w:szCs w:val="24"/>
        </w:rPr>
        <w:t>conduct an investigation</w:t>
      </w:r>
      <w:proofErr w:type="gramEnd"/>
      <w:r w:rsidRPr="002270FF">
        <w:rPr>
          <w:rFonts w:ascii="Times New Roman" w:hAnsi="Times New Roman"/>
          <w:b/>
          <w:sz w:val="24"/>
          <w:szCs w:val="24"/>
        </w:rPr>
        <w:t xml:space="preserve"> and </w:t>
      </w:r>
      <w:r w:rsidR="001C1BE8">
        <w:rPr>
          <w:rFonts w:ascii="Times New Roman" w:hAnsi="Times New Roman"/>
          <w:b/>
          <w:sz w:val="24"/>
          <w:szCs w:val="24"/>
        </w:rPr>
        <w:t xml:space="preserve">inform </w:t>
      </w:r>
      <w:proofErr w:type="gramStart"/>
      <w:r w:rsidR="009B6783">
        <w:rPr>
          <w:rFonts w:ascii="Times New Roman" w:hAnsi="Times New Roman"/>
          <w:b/>
          <w:sz w:val="24"/>
          <w:szCs w:val="24"/>
        </w:rPr>
        <w:t>employee</w:t>
      </w:r>
      <w:proofErr w:type="gramEnd"/>
      <w:r w:rsidR="009B6783">
        <w:rPr>
          <w:rFonts w:ascii="Times New Roman" w:hAnsi="Times New Roman"/>
          <w:b/>
          <w:sz w:val="24"/>
          <w:szCs w:val="24"/>
        </w:rPr>
        <w:t xml:space="preserve"> </w:t>
      </w:r>
      <w:r w:rsidRPr="002270FF">
        <w:rPr>
          <w:rFonts w:ascii="Times New Roman" w:hAnsi="Times New Roman"/>
          <w:b/>
          <w:sz w:val="24"/>
          <w:szCs w:val="24"/>
        </w:rPr>
        <w:t xml:space="preserve">of </w:t>
      </w:r>
      <w:proofErr w:type="gramStart"/>
      <w:r w:rsidRPr="002270FF">
        <w:rPr>
          <w:rFonts w:ascii="Times New Roman" w:hAnsi="Times New Roman"/>
          <w:b/>
          <w:sz w:val="24"/>
          <w:szCs w:val="24"/>
        </w:rPr>
        <w:t>your</w:t>
      </w:r>
      <w:proofErr w:type="gramEnd"/>
      <w:r w:rsidRPr="002270FF">
        <w:rPr>
          <w:rFonts w:ascii="Times New Roman" w:hAnsi="Times New Roman"/>
          <w:b/>
          <w:sz w:val="24"/>
          <w:szCs w:val="24"/>
        </w:rPr>
        <w:t xml:space="preserve"> actions.  </w:t>
      </w:r>
    </w:p>
    <w:p w14:paraId="2C1EAEC4" w14:textId="77777777" w:rsidR="00300506" w:rsidRPr="002270FF" w:rsidRDefault="00300506" w:rsidP="002B1283">
      <w:pPr>
        <w:rPr>
          <w:rFonts w:ascii="Times New Roman" w:hAnsi="Times New Roman"/>
          <w:b/>
          <w:bCs/>
          <w:sz w:val="24"/>
          <w:szCs w:val="24"/>
        </w:rPr>
      </w:pPr>
    </w:p>
    <w:p w14:paraId="0785EAA7" w14:textId="37720460" w:rsidR="00816951" w:rsidRDefault="00816951" w:rsidP="002B1283">
      <w:pPr>
        <w:rPr>
          <w:rFonts w:ascii="Arial Black" w:hAnsi="Arial Black"/>
          <w:b/>
          <w:bCs/>
          <w:sz w:val="28"/>
          <w:szCs w:val="28"/>
        </w:rPr>
      </w:pPr>
      <w:r>
        <w:rPr>
          <w:rFonts w:ascii="Arial Black" w:hAnsi="Arial Black"/>
          <w:b/>
          <w:bCs/>
          <w:sz w:val="28"/>
          <w:szCs w:val="28"/>
        </w:rPr>
        <w:t>13-204</w:t>
      </w:r>
    </w:p>
    <w:p w14:paraId="0D36C7C3" w14:textId="07B8C3B8" w:rsidR="00816951" w:rsidRPr="00BF1717" w:rsidRDefault="00816951" w:rsidP="00816951">
      <w:pPr>
        <w:rPr>
          <w:rFonts w:ascii="Arial Black" w:hAnsi="Arial Black"/>
          <w:b/>
          <w:sz w:val="28"/>
          <w:szCs w:val="28"/>
        </w:rPr>
      </w:pPr>
      <w:r>
        <w:rPr>
          <w:rFonts w:ascii="Arial Black" w:hAnsi="Arial Black"/>
          <w:b/>
          <w:sz w:val="28"/>
          <w:szCs w:val="28"/>
        </w:rPr>
        <w:t xml:space="preserve">MN: </w:t>
      </w:r>
      <w:r w:rsidR="00206727">
        <w:rPr>
          <w:rFonts w:ascii="Arial Black" w:hAnsi="Arial Black"/>
          <w:b/>
          <w:sz w:val="28"/>
          <w:szCs w:val="28"/>
        </w:rPr>
        <w:t xml:space="preserve">AMBUL. CODER – </w:t>
      </w:r>
      <w:r>
        <w:rPr>
          <w:rFonts w:ascii="Arial Black" w:hAnsi="Arial Black"/>
          <w:b/>
          <w:sz w:val="28"/>
          <w:szCs w:val="28"/>
        </w:rPr>
        <w:t>WHISTLEBLOWER</w:t>
      </w:r>
      <w:r w:rsidR="00206727">
        <w:rPr>
          <w:rFonts w:ascii="Arial Black" w:hAnsi="Arial Black"/>
          <w:b/>
          <w:sz w:val="28"/>
          <w:szCs w:val="28"/>
        </w:rPr>
        <w:t xml:space="preserve"> - “BLS” UPCHARGED “ALS” </w:t>
      </w:r>
    </w:p>
    <w:p w14:paraId="099A4B53" w14:textId="77777777" w:rsidR="00816951" w:rsidRPr="000C1D8F" w:rsidRDefault="00816951" w:rsidP="00816951">
      <w:pPr>
        <w:pStyle w:val="NoSpacing"/>
        <w:rPr>
          <w:rFonts w:ascii="Times New Roman" w:hAnsi="Times New Roman"/>
          <w:sz w:val="24"/>
          <w:szCs w:val="24"/>
        </w:rPr>
      </w:pPr>
      <w:r w:rsidRPr="000C1D8F">
        <w:rPr>
          <w:rFonts w:ascii="Times New Roman" w:hAnsi="Times New Roman"/>
          <w:sz w:val="24"/>
          <w:szCs w:val="24"/>
        </w:rPr>
        <w:t xml:space="preserve">On Jan. 24, 2025, in </w:t>
      </w:r>
      <w:r w:rsidRPr="000C1D8F">
        <w:rPr>
          <w:rFonts w:ascii="Times New Roman" w:hAnsi="Times New Roman"/>
          <w:sz w:val="24"/>
          <w:szCs w:val="24"/>
          <w:u w:val="single"/>
        </w:rPr>
        <w:t>United States of America and the State of Minnesota, ex rel. Ashley Mothershed v. Mayo Clinic Ambulance</w:t>
      </w:r>
      <w:r w:rsidRPr="000C1D8F">
        <w:rPr>
          <w:rFonts w:ascii="Times New Roman" w:hAnsi="Times New Roman"/>
          <w:sz w:val="24"/>
          <w:szCs w:val="24"/>
        </w:rPr>
        <w:t xml:space="preserve">, United States District Court Judge Donovan W. Frank denied the Mayo Clinic motion to dismiss the false claim case (but dismiss duplicative counts of submitting false records). The whistleblower is an experienced ambulance coding employee; in her lawsuit she provided numerous examples of inflated charges.  Pre-trial discovery will now proceed (when federal government intervenes, whistleblowers typically </w:t>
      </w:r>
      <w:r w:rsidRPr="000C1D8F">
        <w:rPr>
          <w:rFonts w:ascii="Times New Roman" w:hAnsi="Times New Roman"/>
          <w:sz w:val="24"/>
          <w:szCs w:val="24"/>
        </w:rPr>
        <w:lastRenderedPageBreak/>
        <w:t xml:space="preserve">receive 15% to 30% of the recovery by federal government). </w:t>
      </w:r>
      <w:hyperlink r:id="rId2119" w:history="1">
        <w:r w:rsidRPr="000C1D8F">
          <w:rPr>
            <w:rStyle w:val="Hyperlink"/>
            <w:rFonts w:ascii="Times New Roman" w:hAnsi="Times New Roman"/>
            <w:sz w:val="24"/>
            <w:szCs w:val="24"/>
          </w:rPr>
          <w:t>https://cases.justia.com/federal/district-courts/minnesota/mndce/0:2022cv00602/199430/91/0.pdf?ts=1737802391</w:t>
        </w:r>
      </w:hyperlink>
      <w:r w:rsidRPr="000C1D8F">
        <w:rPr>
          <w:rFonts w:ascii="Times New Roman" w:hAnsi="Times New Roman"/>
          <w:sz w:val="24"/>
          <w:szCs w:val="24"/>
        </w:rPr>
        <w:t xml:space="preserve"> </w:t>
      </w:r>
    </w:p>
    <w:p w14:paraId="7F486D90" w14:textId="77777777" w:rsidR="00816951" w:rsidRPr="000C1D8F" w:rsidRDefault="00816951" w:rsidP="00816951">
      <w:pPr>
        <w:pStyle w:val="NoSpacing"/>
        <w:rPr>
          <w:rFonts w:ascii="Times New Roman" w:hAnsi="Times New Roman"/>
          <w:sz w:val="24"/>
          <w:szCs w:val="24"/>
        </w:rPr>
      </w:pPr>
    </w:p>
    <w:p w14:paraId="18A03948" w14:textId="77777777" w:rsidR="00816951" w:rsidRPr="000C1D8F" w:rsidRDefault="00816951" w:rsidP="00816951">
      <w:pPr>
        <w:pStyle w:val="NoSpacing"/>
        <w:rPr>
          <w:rFonts w:ascii="Times New Roman" w:hAnsi="Times New Roman"/>
          <w:sz w:val="24"/>
          <w:szCs w:val="24"/>
        </w:rPr>
      </w:pPr>
      <w:r w:rsidRPr="000C1D8F">
        <w:rPr>
          <w:rFonts w:ascii="Times New Roman" w:hAnsi="Times New Roman"/>
          <w:sz w:val="24"/>
          <w:szCs w:val="24"/>
        </w:rPr>
        <w:t>The Court wrote:</w:t>
      </w:r>
    </w:p>
    <w:p w14:paraId="55C23E52" w14:textId="77777777" w:rsidR="00816951" w:rsidRPr="000C1D8F" w:rsidRDefault="00816951" w:rsidP="00816951">
      <w:pPr>
        <w:pStyle w:val="NoSpacing"/>
        <w:rPr>
          <w:rFonts w:ascii="Times New Roman" w:hAnsi="Times New Roman"/>
          <w:sz w:val="24"/>
          <w:szCs w:val="24"/>
        </w:rPr>
      </w:pPr>
    </w:p>
    <w:p w14:paraId="17DDAE5A" w14:textId="77777777" w:rsidR="00816951" w:rsidRPr="000C1D8F" w:rsidRDefault="00816951" w:rsidP="00816951">
      <w:pPr>
        <w:pStyle w:val="NoSpacing"/>
        <w:ind w:firstLine="720"/>
        <w:rPr>
          <w:rFonts w:ascii="Times New Roman" w:hAnsi="Times New Roman"/>
          <w:sz w:val="24"/>
          <w:szCs w:val="24"/>
        </w:rPr>
      </w:pPr>
      <w:r w:rsidRPr="000C1D8F">
        <w:rPr>
          <w:rFonts w:ascii="Times New Roman" w:hAnsi="Times New Roman"/>
          <w:sz w:val="24"/>
          <w:szCs w:val="24"/>
        </w:rPr>
        <w:t>“Mothershed is an experienced professional in ambulance coding compliance….</w:t>
      </w:r>
    </w:p>
    <w:p w14:paraId="2E766F04"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Mayo is a Minnesota-based, non-profit organization that provides ambulance transport services in both Minnesota and Wisconsin</w:t>
      </w:r>
      <w:proofErr w:type="gramStart"/>
      <w:r w:rsidRPr="000C1D8F">
        <w:rPr>
          <w:rFonts w:ascii="Times New Roman" w:hAnsi="Times New Roman"/>
          <w:sz w:val="24"/>
          <w:szCs w:val="24"/>
        </w:rPr>
        <w:t>.…</w:t>
      </w:r>
      <w:proofErr w:type="gramEnd"/>
      <w:r w:rsidRPr="000C1D8F">
        <w:rPr>
          <w:rFonts w:ascii="Times New Roman" w:hAnsi="Times New Roman"/>
          <w:sz w:val="24"/>
          <w:szCs w:val="24"/>
        </w:rPr>
        <w:t xml:space="preserve"> In November 2020, Mothershed began working remotely for Mayo’s billing department….She worked for Mayo from November 2020 through June 2021, and then again from September 2021 through May 2022….As a biller in Mayo’s billing department, Mothershed used information from</w:t>
      </w:r>
    </w:p>
    <w:p w14:paraId="108DA866" w14:textId="77777777" w:rsidR="00816951" w:rsidRPr="000C1D8F" w:rsidRDefault="00816951" w:rsidP="00816951">
      <w:pPr>
        <w:pStyle w:val="NoSpacing"/>
        <w:rPr>
          <w:rFonts w:ascii="Times New Roman" w:hAnsi="Times New Roman"/>
          <w:sz w:val="24"/>
          <w:szCs w:val="24"/>
        </w:rPr>
      </w:pPr>
    </w:p>
    <w:p w14:paraId="25821085"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 xml:space="preserve">Mothershed brings this qui tam action on behalf of the United States of America and the State of Minnesota against Mayo under the federal False Claims Act (‘FCA’) and the Minnesota False Claims Act (‘MFCA.). </w:t>
      </w:r>
    </w:p>
    <w:p w14:paraId="09C09264" w14:textId="77777777" w:rsidR="00816951" w:rsidRPr="000C1D8F" w:rsidRDefault="00816951" w:rsidP="00816951">
      <w:pPr>
        <w:pStyle w:val="NoSpacing"/>
        <w:ind w:left="720"/>
        <w:rPr>
          <w:rFonts w:ascii="Times New Roman" w:hAnsi="Times New Roman"/>
          <w:sz w:val="24"/>
          <w:szCs w:val="24"/>
        </w:rPr>
      </w:pPr>
    </w:p>
    <w:p w14:paraId="3BBCB229" w14:textId="77777777" w:rsidR="00816951" w:rsidRPr="000C1D8F" w:rsidRDefault="00816951" w:rsidP="00816951">
      <w:pPr>
        <w:pStyle w:val="NoSpacing"/>
        <w:ind w:left="720"/>
        <w:rPr>
          <w:rFonts w:ascii="Times New Roman" w:hAnsi="Times New Roman"/>
          <w:b/>
          <w:sz w:val="24"/>
          <w:szCs w:val="24"/>
        </w:rPr>
      </w:pPr>
      <w:r w:rsidRPr="000C1D8F">
        <w:rPr>
          <w:rFonts w:ascii="Times New Roman" w:hAnsi="Times New Roman"/>
          <w:sz w:val="24"/>
          <w:szCs w:val="24"/>
        </w:rPr>
        <w:t>***</w:t>
      </w:r>
    </w:p>
    <w:p w14:paraId="510BB2B3"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Mothershed alleges that Mayo had three schemes for submitting false claims: (1) failing to review whether ambulance transports were medically necessary; (2) inaccurately reporting the level of services provided by upcoding non-emergency transports to emergency transports; and (3) inaccurately reporting the level of services provided by upcoding basic life support (‘BLS’) services to advanced life support (‘ALS’) services.</w:t>
      </w:r>
    </w:p>
    <w:p w14:paraId="48D354C5" w14:textId="77777777" w:rsidR="00816951" w:rsidRPr="000C1D8F" w:rsidRDefault="00816951" w:rsidP="00816951">
      <w:pPr>
        <w:pStyle w:val="NoSpacing"/>
        <w:ind w:left="720"/>
        <w:rPr>
          <w:rFonts w:ascii="Times New Roman" w:hAnsi="Times New Roman"/>
          <w:sz w:val="24"/>
          <w:szCs w:val="24"/>
        </w:rPr>
      </w:pPr>
    </w:p>
    <w:p w14:paraId="6E67D7F0"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w:t>
      </w:r>
    </w:p>
    <w:p w14:paraId="20D4123E" w14:textId="77777777" w:rsidR="00816951" w:rsidRPr="000C1D8F" w:rsidRDefault="00816951" w:rsidP="00816951">
      <w:pPr>
        <w:pStyle w:val="NoSpacing"/>
        <w:rPr>
          <w:rFonts w:ascii="Times New Roman" w:hAnsi="Times New Roman"/>
          <w:sz w:val="24"/>
          <w:szCs w:val="24"/>
        </w:rPr>
      </w:pPr>
    </w:p>
    <w:p w14:paraId="02CC9856"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As for knowledge, Mothershed alleges many conversations with her supervisors at Mayo about the problems with this billing practice. Her supervisors ignored her suggestions and told her to keep billing this way, even at times telling her to go back and change her codes. These actions demonstrate, at a minimum, a reckless disregard because Mayo was aware of the substantial and unjustifiable risk that they might have been submitting false claims, but they ignored those warnings by Mothershed. Thus, Mothershed sufficiently alleges knowledge.</w:t>
      </w:r>
    </w:p>
    <w:p w14:paraId="7DFCDD7A" w14:textId="77777777" w:rsidR="00816951" w:rsidRPr="000C1D8F" w:rsidRDefault="00816951" w:rsidP="00816951">
      <w:pPr>
        <w:pStyle w:val="NoSpacing"/>
        <w:ind w:left="720"/>
        <w:rPr>
          <w:rFonts w:ascii="Times New Roman" w:hAnsi="Times New Roman"/>
          <w:sz w:val="24"/>
          <w:szCs w:val="24"/>
        </w:rPr>
      </w:pPr>
    </w:p>
    <w:p w14:paraId="68C9810A"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w:t>
      </w:r>
    </w:p>
    <w:p w14:paraId="156846CF" w14:textId="77777777" w:rsidR="00816951" w:rsidRPr="000C1D8F" w:rsidRDefault="00816951" w:rsidP="00816951">
      <w:pPr>
        <w:pStyle w:val="NoSpacing"/>
        <w:rPr>
          <w:rFonts w:ascii="Times New Roman" w:hAnsi="Times New Roman"/>
          <w:sz w:val="24"/>
          <w:szCs w:val="24"/>
        </w:rPr>
      </w:pPr>
    </w:p>
    <w:p w14:paraId="5C71356F"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Mothershed provides two specific examples of this practice. Patient LS-3 was suffering from diarrhea, abdominal pain, nausea, and vomiting…. An ALS crew was dispatched to respond to the call, consisting of one Paramedic and one EMT-Basic….Dispatch marked the call type as ‘BLS.’… Upon arriving at the scene, the EMT-Basic performed an assessment of the patient…. No ALS interventions were conducted during the call…. Mayo billed the transport as ALS instead of BLS.</w:t>
      </w:r>
    </w:p>
    <w:p w14:paraId="7E1BD30A" w14:textId="77777777" w:rsidR="00816951" w:rsidRPr="000C1D8F" w:rsidRDefault="00816951" w:rsidP="00816951">
      <w:pPr>
        <w:pStyle w:val="NoSpacing"/>
        <w:ind w:left="720"/>
        <w:rPr>
          <w:rFonts w:ascii="Times New Roman" w:hAnsi="Times New Roman"/>
          <w:sz w:val="24"/>
          <w:szCs w:val="24"/>
        </w:rPr>
      </w:pPr>
    </w:p>
    <w:p w14:paraId="0C7C202C"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Patient LS-5 was found on the floor not making sense and reported experiencing</w:t>
      </w:r>
    </w:p>
    <w:p w14:paraId="10EADD14"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t>weakness…. An ALS crew was dispatched to respond to the call, consisting of one Paramedic and one EMT-Basic….Dispatch marked the call type as ‘BLS.’ Upon arriving at the scene, the EMT-Basic performed an assessment of the patient….No ALS interventions were conducted during the call…. Mayo billed the transport as ALS instead of BLS.”</w:t>
      </w:r>
    </w:p>
    <w:p w14:paraId="1D2FF85F" w14:textId="77777777" w:rsidR="00816951" w:rsidRPr="000C1D8F" w:rsidRDefault="00816951" w:rsidP="00816951">
      <w:pPr>
        <w:pStyle w:val="NoSpacing"/>
        <w:ind w:left="720"/>
        <w:rPr>
          <w:rFonts w:ascii="Times New Roman" w:hAnsi="Times New Roman"/>
          <w:sz w:val="24"/>
          <w:szCs w:val="24"/>
        </w:rPr>
      </w:pPr>
    </w:p>
    <w:p w14:paraId="54581F84" w14:textId="77777777" w:rsidR="00816951" w:rsidRPr="000C1D8F" w:rsidRDefault="00816951" w:rsidP="00816951">
      <w:pPr>
        <w:pStyle w:val="NoSpacing"/>
        <w:rPr>
          <w:rFonts w:ascii="Times New Roman" w:hAnsi="Times New Roman"/>
          <w:b/>
          <w:bCs/>
          <w:sz w:val="24"/>
          <w:szCs w:val="24"/>
        </w:rPr>
      </w:pPr>
      <w:r w:rsidRPr="000C1D8F">
        <w:rPr>
          <w:rFonts w:ascii="Times New Roman" w:hAnsi="Times New Roman"/>
          <w:b/>
          <w:sz w:val="24"/>
          <w:szCs w:val="24"/>
        </w:rPr>
        <w:t xml:space="preserve">Legal Lesson Learned:  Up charging BLS services as ALS can lead to litigation by both whistleblowers and by federal and state governments. </w:t>
      </w:r>
    </w:p>
    <w:p w14:paraId="53BDDDF9" w14:textId="77777777" w:rsidR="00816951" w:rsidRPr="000C1D8F" w:rsidRDefault="00816951" w:rsidP="00816951">
      <w:pPr>
        <w:pStyle w:val="NoSpacing"/>
        <w:ind w:left="720"/>
        <w:rPr>
          <w:rFonts w:ascii="Times New Roman" w:hAnsi="Times New Roman"/>
          <w:bCs/>
          <w:sz w:val="24"/>
          <w:szCs w:val="24"/>
        </w:rPr>
      </w:pPr>
    </w:p>
    <w:p w14:paraId="35F97D30" w14:textId="77777777" w:rsidR="00816951" w:rsidRPr="000C1D8F" w:rsidRDefault="00816951" w:rsidP="00816951">
      <w:pPr>
        <w:ind w:left="720"/>
        <w:rPr>
          <w:rFonts w:ascii="Times New Roman" w:hAnsi="Times New Roman"/>
          <w:bCs/>
          <w:sz w:val="24"/>
          <w:szCs w:val="24"/>
        </w:rPr>
      </w:pPr>
      <w:r w:rsidRPr="000C1D8F">
        <w:rPr>
          <w:rFonts w:ascii="Times New Roman" w:hAnsi="Times New Roman"/>
          <w:sz w:val="24"/>
          <w:szCs w:val="24"/>
        </w:rPr>
        <w:t xml:space="preserve">Note: See Jan. 17, </w:t>
      </w:r>
      <w:proofErr w:type="gramStart"/>
      <w:r w:rsidRPr="000C1D8F">
        <w:rPr>
          <w:rFonts w:ascii="Times New Roman" w:hAnsi="Times New Roman"/>
          <w:sz w:val="24"/>
          <w:szCs w:val="24"/>
        </w:rPr>
        <w:t>2025</w:t>
      </w:r>
      <w:proofErr w:type="gramEnd"/>
      <w:r w:rsidRPr="000C1D8F">
        <w:rPr>
          <w:rFonts w:ascii="Times New Roman" w:hAnsi="Times New Roman"/>
          <w:sz w:val="24"/>
          <w:szCs w:val="24"/>
        </w:rPr>
        <w:t xml:space="preserve"> U.S. Department of Justice report, “False Claims Act Settlements and Judgments Exceed $2.9B in Fiscal Year 2024.”</w:t>
      </w:r>
    </w:p>
    <w:p w14:paraId="3F446B36" w14:textId="77777777" w:rsidR="00816951" w:rsidRPr="000C1D8F" w:rsidRDefault="00816951" w:rsidP="00816951">
      <w:pPr>
        <w:pStyle w:val="NoSpacing"/>
        <w:ind w:left="720"/>
        <w:rPr>
          <w:rFonts w:ascii="Times New Roman" w:hAnsi="Times New Roman"/>
          <w:sz w:val="24"/>
          <w:szCs w:val="24"/>
        </w:rPr>
      </w:pPr>
      <w:r w:rsidRPr="000C1D8F">
        <w:rPr>
          <w:rFonts w:ascii="Times New Roman" w:hAnsi="Times New Roman"/>
          <w:sz w:val="24"/>
          <w:szCs w:val="24"/>
        </w:rPr>
        <w:lastRenderedPageBreak/>
        <w:t>“In 1986, Congress strengthened the False Claims Act by increasing incentives for whistleblowers to file lawsuits alleging false claims on behalf of the government. These whistleblowers, or qui tam, actions comprise a significant percentage of the False Claims Act cases that are filed. Qui tam cases may be pursued by the government or the whistleblower, and this past year, significant recoveries were obtained by both. When a qui tam action is successful, the whistleblower, also known as the relator, typically receives a portion of the recovery ranging between 15% and 30%. The 979 qui tam suits filed in fiscal year 2024 breaks the prior record set in 2013, and this past year, the Justice Department reported settlements and judgments exceeding $2.4 billion in these and earlier-filed qui tam suits.”</w:t>
      </w:r>
    </w:p>
    <w:p w14:paraId="3BC419B0" w14:textId="77777777" w:rsidR="00816951" w:rsidRDefault="00816951" w:rsidP="002B1283">
      <w:pPr>
        <w:rPr>
          <w:rFonts w:ascii="Arial Black" w:hAnsi="Arial Black"/>
          <w:b/>
          <w:bCs/>
          <w:sz w:val="28"/>
          <w:szCs w:val="28"/>
        </w:rPr>
      </w:pPr>
    </w:p>
    <w:p w14:paraId="2610712C" w14:textId="76115DC2" w:rsidR="00816951" w:rsidRDefault="00816951" w:rsidP="002B1283">
      <w:pPr>
        <w:rPr>
          <w:rFonts w:ascii="Arial Black" w:hAnsi="Arial Black"/>
          <w:b/>
          <w:bCs/>
          <w:sz w:val="28"/>
          <w:szCs w:val="28"/>
        </w:rPr>
      </w:pPr>
      <w:r>
        <w:rPr>
          <w:rFonts w:ascii="Arial Black" w:hAnsi="Arial Black"/>
          <w:b/>
          <w:bCs/>
          <w:sz w:val="28"/>
          <w:szCs w:val="28"/>
        </w:rPr>
        <w:t>13-203</w:t>
      </w:r>
    </w:p>
    <w:p w14:paraId="137072DF" w14:textId="42CCD4B0" w:rsidR="00A47FDE" w:rsidRPr="00314C53" w:rsidRDefault="00A47FDE" w:rsidP="00A47FDE">
      <w:pPr>
        <w:rPr>
          <w:rFonts w:ascii="Arial Black" w:hAnsi="Arial Black"/>
          <w:b/>
          <w:sz w:val="28"/>
          <w:szCs w:val="28"/>
        </w:rPr>
      </w:pPr>
      <w:r>
        <w:rPr>
          <w:rFonts w:ascii="Arial Black" w:hAnsi="Arial Black"/>
          <w:b/>
          <w:sz w:val="28"/>
          <w:szCs w:val="28"/>
        </w:rPr>
        <w:t>CA: COVID-19 –</w:t>
      </w:r>
      <w:r w:rsidR="00500351">
        <w:rPr>
          <w:rFonts w:ascii="Arial Black" w:hAnsi="Arial Black"/>
          <w:b/>
          <w:sz w:val="28"/>
          <w:szCs w:val="28"/>
        </w:rPr>
        <w:t xml:space="preserve"> </w:t>
      </w:r>
      <w:r>
        <w:rPr>
          <w:rFonts w:ascii="Arial Black" w:hAnsi="Arial Black"/>
          <w:b/>
          <w:sz w:val="28"/>
          <w:szCs w:val="28"/>
        </w:rPr>
        <w:t>RELIGIOUS ACCOM</w:t>
      </w:r>
      <w:r w:rsidR="00500351">
        <w:rPr>
          <w:rFonts w:ascii="Arial Black" w:hAnsi="Arial Black"/>
          <w:b/>
          <w:sz w:val="28"/>
          <w:szCs w:val="28"/>
        </w:rPr>
        <w:t xml:space="preserve"> </w:t>
      </w:r>
      <w:r w:rsidR="003275FF">
        <w:rPr>
          <w:rFonts w:ascii="Arial Black" w:hAnsi="Arial Black"/>
          <w:b/>
          <w:sz w:val="28"/>
          <w:szCs w:val="28"/>
        </w:rPr>
        <w:t xml:space="preserve">- </w:t>
      </w:r>
      <w:r w:rsidR="000A4BD5">
        <w:rPr>
          <w:rFonts w:ascii="Arial Black" w:hAnsi="Arial Black"/>
          <w:b/>
          <w:sz w:val="28"/>
          <w:szCs w:val="28"/>
        </w:rPr>
        <w:t xml:space="preserve">14 GRANTED </w:t>
      </w:r>
      <w:r w:rsidR="00895720">
        <w:rPr>
          <w:rFonts w:ascii="Arial Black" w:hAnsi="Arial Black"/>
          <w:b/>
          <w:sz w:val="28"/>
          <w:szCs w:val="28"/>
        </w:rPr>
        <w:t>/ 6 DENIED</w:t>
      </w:r>
    </w:p>
    <w:p w14:paraId="5BF382CB" w14:textId="77777777" w:rsidR="00A47FDE" w:rsidRPr="00A47FDE" w:rsidRDefault="00A47FDE" w:rsidP="00A47FDE">
      <w:pPr>
        <w:pStyle w:val="NoSpacing"/>
        <w:rPr>
          <w:rFonts w:ascii="Times New Roman" w:hAnsi="Times New Roman"/>
          <w:sz w:val="24"/>
          <w:szCs w:val="24"/>
        </w:rPr>
      </w:pPr>
      <w:r w:rsidRPr="00A47FDE">
        <w:rPr>
          <w:rFonts w:ascii="Times New Roman" w:hAnsi="Times New Roman"/>
          <w:sz w:val="24"/>
          <w:szCs w:val="24"/>
        </w:rPr>
        <w:t xml:space="preserve">On Jan. 22, 2025, in </w:t>
      </w:r>
      <w:r w:rsidRPr="00A47FDE">
        <w:rPr>
          <w:rFonts w:ascii="Times New Roman" w:hAnsi="Times New Roman"/>
          <w:sz w:val="24"/>
          <w:szCs w:val="24"/>
          <w:u w:val="single"/>
        </w:rPr>
        <w:t>Josh Sattley v. The City of Beverly Hills</w:t>
      </w:r>
      <w:r w:rsidRPr="00A47FDE">
        <w:rPr>
          <w:rFonts w:ascii="Times New Roman" w:hAnsi="Times New Roman"/>
          <w:sz w:val="24"/>
          <w:szCs w:val="24"/>
        </w:rPr>
        <w:t xml:space="preserve">, the California Court of Appeals, Second District, Second Division held (3 to 0; unpublished decision) that the firefighter / EMT was properly fired after 11 years on the job; his request for religious accommodation was merely one sentence - “He had a sincerely held religious belief or practices that conflicted with a stated job requirement (mandatory Covid vaccination).”  The City’s HR Director met with each of the firefighters seeking religious accommodations; 14 were granted, and 6 denied (5 then got vaccinated, only Sattley refused). There was no proof that his social media posts criticizing the </w:t>
      </w:r>
      <w:proofErr w:type="gramStart"/>
      <w:r w:rsidRPr="00A47FDE">
        <w:rPr>
          <w:rFonts w:ascii="Times New Roman" w:hAnsi="Times New Roman"/>
          <w:sz w:val="24"/>
          <w:szCs w:val="24"/>
        </w:rPr>
        <w:t>City</w:t>
      </w:r>
      <w:proofErr w:type="gramEnd"/>
      <w:r w:rsidRPr="00A47FDE">
        <w:rPr>
          <w:rFonts w:ascii="Times New Roman" w:hAnsi="Times New Roman"/>
          <w:sz w:val="24"/>
          <w:szCs w:val="24"/>
        </w:rPr>
        <w:t xml:space="preserve"> played any role in his termination. </w:t>
      </w:r>
      <w:hyperlink r:id="rId2120" w:history="1">
        <w:r w:rsidRPr="00A47FDE">
          <w:rPr>
            <w:rStyle w:val="Hyperlink"/>
            <w:rFonts w:ascii="Times New Roman" w:hAnsi="Times New Roman"/>
            <w:sz w:val="24"/>
            <w:szCs w:val="24"/>
          </w:rPr>
          <w:t>https://www4.courts.ca.gov/opinions/nonpub/B334048.PDF</w:t>
        </w:r>
      </w:hyperlink>
      <w:r w:rsidRPr="00A47FDE">
        <w:rPr>
          <w:rFonts w:ascii="Times New Roman" w:hAnsi="Times New Roman"/>
          <w:sz w:val="24"/>
          <w:szCs w:val="24"/>
        </w:rPr>
        <w:t xml:space="preserve"> </w:t>
      </w:r>
    </w:p>
    <w:p w14:paraId="27ED7EEA" w14:textId="77777777" w:rsidR="00A47FDE" w:rsidRPr="00A47FDE" w:rsidRDefault="00A47FDE" w:rsidP="00A47FDE">
      <w:pPr>
        <w:pStyle w:val="NoSpacing"/>
        <w:rPr>
          <w:rFonts w:ascii="Times New Roman" w:hAnsi="Times New Roman"/>
          <w:sz w:val="24"/>
          <w:szCs w:val="24"/>
        </w:rPr>
      </w:pPr>
    </w:p>
    <w:p w14:paraId="5D2A9054" w14:textId="77777777" w:rsidR="00A47FDE" w:rsidRPr="00A47FDE" w:rsidRDefault="00A47FDE" w:rsidP="00A47FDE">
      <w:pPr>
        <w:pStyle w:val="NoSpacing"/>
        <w:rPr>
          <w:rFonts w:ascii="Times New Roman" w:hAnsi="Times New Roman"/>
          <w:sz w:val="24"/>
          <w:szCs w:val="24"/>
        </w:rPr>
      </w:pPr>
      <w:r w:rsidRPr="00A47FDE">
        <w:rPr>
          <w:rFonts w:ascii="Times New Roman" w:hAnsi="Times New Roman"/>
          <w:sz w:val="24"/>
          <w:szCs w:val="24"/>
        </w:rPr>
        <w:t xml:space="preserve">The Court wrote:  </w:t>
      </w:r>
    </w:p>
    <w:p w14:paraId="44EFBEA2" w14:textId="77777777" w:rsidR="00A47FDE" w:rsidRPr="00A47FDE" w:rsidRDefault="00A47FDE" w:rsidP="00A47FDE">
      <w:pPr>
        <w:pStyle w:val="NoSpacing"/>
        <w:rPr>
          <w:rFonts w:ascii="Times New Roman" w:hAnsi="Times New Roman"/>
          <w:sz w:val="24"/>
          <w:szCs w:val="24"/>
        </w:rPr>
      </w:pPr>
    </w:p>
    <w:p w14:paraId="3C7117B5" w14:textId="77777777" w:rsidR="00A47FDE" w:rsidRPr="00A47FDE" w:rsidRDefault="00A47FDE" w:rsidP="00A47FDE">
      <w:pPr>
        <w:pStyle w:val="NoSpacing"/>
        <w:ind w:left="720"/>
        <w:rPr>
          <w:rFonts w:ascii="Times New Roman" w:hAnsi="Times New Roman"/>
          <w:sz w:val="24"/>
          <w:szCs w:val="24"/>
        </w:rPr>
      </w:pPr>
      <w:r w:rsidRPr="00A47FDE">
        <w:rPr>
          <w:rFonts w:ascii="Times New Roman" w:hAnsi="Times New Roman"/>
          <w:sz w:val="24"/>
          <w:szCs w:val="24"/>
        </w:rPr>
        <w:t>“An employee’s inability to perform the essential tasks of his or her job is a legitimate, nondiscriminatory reason to terminate the employee.</w:t>
      </w:r>
    </w:p>
    <w:p w14:paraId="59A73FD6" w14:textId="77777777" w:rsidR="00A47FDE" w:rsidRPr="00A47FDE" w:rsidRDefault="00A47FDE" w:rsidP="00A47FDE">
      <w:pPr>
        <w:pStyle w:val="NoSpacing"/>
        <w:ind w:left="720"/>
        <w:rPr>
          <w:rFonts w:ascii="Times New Roman" w:hAnsi="Times New Roman"/>
          <w:sz w:val="24"/>
          <w:szCs w:val="24"/>
        </w:rPr>
      </w:pPr>
    </w:p>
    <w:p w14:paraId="0048E0B8" w14:textId="77777777" w:rsidR="00A47FDE" w:rsidRPr="00A47FDE" w:rsidRDefault="00A47FDE" w:rsidP="00A47FDE">
      <w:pPr>
        <w:pStyle w:val="NoSpacing"/>
        <w:ind w:left="720"/>
        <w:rPr>
          <w:rFonts w:ascii="Times New Roman" w:hAnsi="Times New Roman"/>
          <w:sz w:val="24"/>
          <w:szCs w:val="24"/>
        </w:rPr>
      </w:pPr>
      <w:r w:rsidRPr="00A47FDE">
        <w:rPr>
          <w:rFonts w:ascii="Times New Roman" w:hAnsi="Times New Roman"/>
          <w:sz w:val="24"/>
          <w:szCs w:val="24"/>
        </w:rPr>
        <w:t>***</w:t>
      </w:r>
    </w:p>
    <w:p w14:paraId="06E19C82" w14:textId="77777777" w:rsidR="00A47FDE" w:rsidRPr="00A47FDE" w:rsidRDefault="00A47FDE" w:rsidP="00A47FDE">
      <w:pPr>
        <w:pStyle w:val="NoSpacing"/>
        <w:ind w:left="720"/>
        <w:rPr>
          <w:rFonts w:ascii="Times New Roman" w:hAnsi="Times New Roman"/>
          <w:sz w:val="24"/>
          <w:szCs w:val="24"/>
        </w:rPr>
      </w:pPr>
      <w:r w:rsidRPr="00A47FDE">
        <w:rPr>
          <w:rFonts w:ascii="Times New Roman" w:hAnsi="Times New Roman"/>
          <w:sz w:val="24"/>
          <w:szCs w:val="24"/>
        </w:rPr>
        <w:t xml:space="preserve">On September 28, 29, and 30, 2021, the city’s human resources director, Shelley Ovrom, met individually with each of the firefighters, including appellant, to determine which of the firefighters were eligible for </w:t>
      </w:r>
      <w:proofErr w:type="gramStart"/>
      <w:r w:rsidRPr="00A47FDE">
        <w:rPr>
          <w:rFonts w:ascii="Times New Roman" w:hAnsi="Times New Roman"/>
          <w:sz w:val="24"/>
          <w:szCs w:val="24"/>
        </w:rPr>
        <w:t>a religious</w:t>
      </w:r>
      <w:proofErr w:type="gramEnd"/>
      <w:r w:rsidRPr="00A47FDE">
        <w:rPr>
          <w:rFonts w:ascii="Times New Roman" w:hAnsi="Times New Roman"/>
          <w:sz w:val="24"/>
          <w:szCs w:val="24"/>
        </w:rPr>
        <w:t xml:space="preserve"> accommodation. Fourteen firefighters were granted </w:t>
      </w:r>
      <w:proofErr w:type="gramStart"/>
      <w:r w:rsidRPr="00A47FDE">
        <w:rPr>
          <w:rFonts w:ascii="Times New Roman" w:hAnsi="Times New Roman"/>
          <w:sz w:val="24"/>
          <w:szCs w:val="24"/>
        </w:rPr>
        <w:t>an accommodation</w:t>
      </w:r>
      <w:proofErr w:type="gramEnd"/>
      <w:r w:rsidRPr="00A47FDE">
        <w:rPr>
          <w:rFonts w:ascii="Times New Roman" w:hAnsi="Times New Roman"/>
          <w:sz w:val="24"/>
          <w:szCs w:val="24"/>
        </w:rPr>
        <w:t xml:space="preserve">, four withdrew their requests, and six firefighters’ requests were denied. Of the six firefighters whose requests were denied, all except Sattley later submitted proof of vaccination. Because Sattley did not have an approved </w:t>
      </w:r>
      <w:proofErr w:type="spellStart"/>
      <w:r w:rsidRPr="00A47FDE">
        <w:rPr>
          <w:rFonts w:ascii="Times New Roman" w:hAnsi="Times New Roman"/>
          <w:sz w:val="24"/>
          <w:szCs w:val="24"/>
        </w:rPr>
        <w:t>ccommodation</w:t>
      </w:r>
      <w:proofErr w:type="spellEnd"/>
      <w:r w:rsidRPr="00A47FDE">
        <w:rPr>
          <w:rFonts w:ascii="Times New Roman" w:hAnsi="Times New Roman"/>
          <w:sz w:val="24"/>
          <w:szCs w:val="24"/>
        </w:rPr>
        <w:t xml:space="preserve"> or exemption, he was placed on administrative leave on October 1, 2021. </w:t>
      </w:r>
      <w:proofErr w:type="spellStart"/>
      <w:r w:rsidRPr="00A47FDE">
        <w:rPr>
          <w:rFonts w:ascii="Times New Roman" w:hAnsi="Times New Roman"/>
          <w:sz w:val="24"/>
          <w:szCs w:val="24"/>
        </w:rPr>
        <w:t>Ovrom</w:t>
      </w:r>
      <w:proofErr w:type="spellEnd"/>
      <w:r w:rsidRPr="00A47FDE">
        <w:rPr>
          <w:rFonts w:ascii="Times New Roman" w:hAnsi="Times New Roman"/>
          <w:sz w:val="24"/>
          <w:szCs w:val="24"/>
        </w:rPr>
        <w:t xml:space="preserve"> and Chief Barton decided to place Sattley on leave because he was no longer qualified to perform his job under the health order…. Sattley received a due process (Skelly) hearing, and the hearing officer  recommended Chief Barton proceed with termination of Sattley’s employment. On March 9, 2022, Chief Barton terminated Sattley, effective March 11, 2022.</w:t>
      </w:r>
    </w:p>
    <w:p w14:paraId="183DDA68" w14:textId="77777777" w:rsidR="00A47FDE" w:rsidRPr="00A47FDE" w:rsidRDefault="00A47FDE" w:rsidP="00A47FDE">
      <w:pPr>
        <w:pStyle w:val="NoSpacing"/>
        <w:rPr>
          <w:rFonts w:ascii="Times New Roman" w:hAnsi="Times New Roman"/>
          <w:sz w:val="24"/>
          <w:szCs w:val="24"/>
        </w:rPr>
      </w:pPr>
    </w:p>
    <w:p w14:paraId="17F08BF6" w14:textId="77777777" w:rsidR="00A47FDE" w:rsidRPr="00A47FDE" w:rsidRDefault="00A47FDE" w:rsidP="00A47FDE">
      <w:pPr>
        <w:pStyle w:val="NoSpacing"/>
        <w:ind w:firstLine="720"/>
        <w:rPr>
          <w:rFonts w:ascii="Times New Roman" w:hAnsi="Times New Roman"/>
          <w:sz w:val="24"/>
          <w:szCs w:val="24"/>
        </w:rPr>
      </w:pPr>
      <w:r w:rsidRPr="00A47FDE">
        <w:rPr>
          <w:rFonts w:ascii="Times New Roman" w:hAnsi="Times New Roman"/>
          <w:sz w:val="24"/>
          <w:szCs w:val="24"/>
        </w:rPr>
        <w:t>***</w:t>
      </w:r>
    </w:p>
    <w:p w14:paraId="02360BD7" w14:textId="77777777" w:rsidR="00A47FDE" w:rsidRPr="00A47FDE" w:rsidRDefault="00A47FDE" w:rsidP="00A47FDE">
      <w:pPr>
        <w:pStyle w:val="NoSpacing"/>
        <w:ind w:left="720"/>
        <w:rPr>
          <w:rFonts w:ascii="Times New Roman" w:hAnsi="Times New Roman"/>
          <w:sz w:val="24"/>
          <w:szCs w:val="24"/>
        </w:rPr>
      </w:pPr>
      <w:r w:rsidRPr="00A47FDE">
        <w:rPr>
          <w:rFonts w:ascii="Times New Roman" w:hAnsi="Times New Roman"/>
          <w:sz w:val="24"/>
          <w:szCs w:val="24"/>
        </w:rPr>
        <w:t>Sattley’s allegations of his alleged bona fide religious belief consisted of one sentence: ‘He had a sincerely held religious belief or practices that conflicted with a stated job requirement (mandatory Covid vaccination).’ … Because Sattley failed to adequately plead a bona fide religious belief that conflicted with the health order, the trial court properly sustained the city’s demurrer to this cause of action…. Sattley’s addition [in reply brief] of the denomination of ‘Christian’ does not clarify his religious objection, as he had already described his religion as “Mormon/Christian” in his November 2021 DFEH charge.</w:t>
      </w:r>
    </w:p>
    <w:p w14:paraId="6E70DA0F" w14:textId="77777777" w:rsidR="00A47FDE" w:rsidRPr="00A47FDE" w:rsidRDefault="00A47FDE" w:rsidP="00A47FDE">
      <w:pPr>
        <w:pStyle w:val="NoSpacing"/>
        <w:rPr>
          <w:rFonts w:ascii="Times New Roman" w:hAnsi="Times New Roman"/>
          <w:sz w:val="24"/>
          <w:szCs w:val="24"/>
        </w:rPr>
      </w:pPr>
    </w:p>
    <w:p w14:paraId="7A6A5451" w14:textId="77777777" w:rsidR="00A47FDE" w:rsidRPr="00A47FDE" w:rsidRDefault="00A47FDE" w:rsidP="00A47FDE">
      <w:pPr>
        <w:pStyle w:val="NoSpacing"/>
        <w:ind w:firstLine="720"/>
        <w:rPr>
          <w:rFonts w:ascii="Times New Roman" w:hAnsi="Times New Roman"/>
          <w:sz w:val="24"/>
          <w:szCs w:val="24"/>
        </w:rPr>
      </w:pPr>
      <w:r w:rsidRPr="00A47FDE">
        <w:rPr>
          <w:rFonts w:ascii="Times New Roman" w:hAnsi="Times New Roman"/>
          <w:sz w:val="24"/>
          <w:szCs w:val="24"/>
        </w:rPr>
        <w:t>***</w:t>
      </w:r>
    </w:p>
    <w:p w14:paraId="5C319F16" w14:textId="77777777" w:rsidR="00A47FDE" w:rsidRPr="00A47FDE" w:rsidRDefault="00A47FDE" w:rsidP="00A47FDE">
      <w:pPr>
        <w:pStyle w:val="NoSpacing"/>
        <w:ind w:left="720"/>
        <w:rPr>
          <w:rFonts w:ascii="Times New Roman" w:hAnsi="Times New Roman"/>
          <w:sz w:val="24"/>
          <w:szCs w:val="24"/>
        </w:rPr>
      </w:pPr>
      <w:r w:rsidRPr="00A47FDE">
        <w:rPr>
          <w:rFonts w:ascii="Times New Roman" w:hAnsi="Times New Roman"/>
          <w:sz w:val="24"/>
          <w:szCs w:val="24"/>
        </w:rPr>
        <w:lastRenderedPageBreak/>
        <w:t xml:space="preserve">Sattley argues he engaged in protected activity during the fall of 2021 when he criticized the city’s COVID personnel policies on social media and filed this lawsuit…. Sattley fails to point to a specific social media post that he believed was the basis for his </w:t>
      </w:r>
      <w:proofErr w:type="gramStart"/>
      <w:r w:rsidRPr="00A47FDE">
        <w:rPr>
          <w:rFonts w:ascii="Times New Roman" w:hAnsi="Times New Roman"/>
          <w:sz w:val="24"/>
          <w:szCs w:val="24"/>
        </w:rPr>
        <w:t>termination.”</w:t>
      </w:r>
      <w:proofErr w:type="gramEnd"/>
    </w:p>
    <w:p w14:paraId="76B0EBFA" w14:textId="77777777" w:rsidR="00A47FDE" w:rsidRPr="00A47FDE" w:rsidRDefault="00A47FDE" w:rsidP="00A47FDE">
      <w:pPr>
        <w:pStyle w:val="NoSpacing"/>
        <w:ind w:left="720"/>
        <w:rPr>
          <w:rFonts w:ascii="Times New Roman" w:hAnsi="Times New Roman"/>
          <w:sz w:val="24"/>
          <w:szCs w:val="24"/>
        </w:rPr>
      </w:pPr>
    </w:p>
    <w:p w14:paraId="7C59BF9E" w14:textId="77777777" w:rsidR="00A47FDE" w:rsidRPr="00A47FDE" w:rsidRDefault="00A47FDE" w:rsidP="00A47FDE">
      <w:pPr>
        <w:pStyle w:val="NoSpacing"/>
        <w:rPr>
          <w:rFonts w:ascii="Times New Roman" w:hAnsi="Times New Roman"/>
          <w:b/>
          <w:bCs/>
          <w:sz w:val="24"/>
          <w:szCs w:val="24"/>
        </w:rPr>
      </w:pPr>
      <w:r w:rsidRPr="00A47FDE">
        <w:rPr>
          <w:rFonts w:ascii="Times New Roman" w:hAnsi="Times New Roman"/>
          <w:b/>
          <w:sz w:val="24"/>
          <w:szCs w:val="24"/>
        </w:rPr>
        <w:t>Legal Lesson Learned:  If you are seeking religious accommodation, need to provide details about your faith and your history of objection to vaccinations.</w:t>
      </w:r>
    </w:p>
    <w:p w14:paraId="1A18FC86" w14:textId="77777777" w:rsidR="00A47FDE" w:rsidRDefault="00A47FDE" w:rsidP="00A47FDE">
      <w:pPr>
        <w:pStyle w:val="NoSpacing"/>
      </w:pPr>
    </w:p>
    <w:p w14:paraId="4CC87C09" w14:textId="77777777" w:rsidR="00A47FDE" w:rsidRDefault="00A47FDE" w:rsidP="002B1283">
      <w:pPr>
        <w:rPr>
          <w:rFonts w:ascii="Arial Black" w:hAnsi="Arial Black"/>
          <w:b/>
          <w:bCs/>
          <w:sz w:val="28"/>
          <w:szCs w:val="28"/>
        </w:rPr>
      </w:pPr>
    </w:p>
    <w:p w14:paraId="6EED563B" w14:textId="496F4575" w:rsidR="00816951" w:rsidRDefault="00816951" w:rsidP="002B1283">
      <w:pPr>
        <w:rPr>
          <w:rFonts w:ascii="Arial Black" w:hAnsi="Arial Black"/>
          <w:b/>
          <w:bCs/>
          <w:sz w:val="28"/>
          <w:szCs w:val="28"/>
        </w:rPr>
      </w:pPr>
      <w:r>
        <w:rPr>
          <w:rFonts w:ascii="Arial Black" w:hAnsi="Arial Black"/>
          <w:b/>
          <w:bCs/>
          <w:sz w:val="28"/>
          <w:szCs w:val="28"/>
        </w:rPr>
        <w:t>13-202</w:t>
      </w:r>
    </w:p>
    <w:p w14:paraId="4638FDC4" w14:textId="79CB78E9" w:rsidR="00C20E41" w:rsidRPr="00DD6EF6" w:rsidRDefault="00C20E41" w:rsidP="00C20E41">
      <w:pPr>
        <w:rPr>
          <w:rFonts w:ascii="Arial Black" w:hAnsi="Arial Black"/>
          <w:b/>
          <w:sz w:val="28"/>
          <w:szCs w:val="28"/>
        </w:rPr>
      </w:pPr>
      <w:r>
        <w:rPr>
          <w:rFonts w:ascii="Arial Black" w:hAnsi="Arial Black"/>
          <w:b/>
          <w:sz w:val="28"/>
          <w:szCs w:val="28"/>
        </w:rPr>
        <w:t xml:space="preserve">CA: COVID-19 – </w:t>
      </w:r>
      <w:r w:rsidR="00D32102">
        <w:rPr>
          <w:rFonts w:ascii="Arial Black" w:hAnsi="Arial Black"/>
          <w:b/>
          <w:sz w:val="28"/>
          <w:szCs w:val="28"/>
        </w:rPr>
        <w:t>FF ALL</w:t>
      </w:r>
      <w:r w:rsidR="00310992">
        <w:rPr>
          <w:rFonts w:ascii="Arial Black" w:hAnsi="Arial Black"/>
          <w:b/>
          <w:sz w:val="28"/>
          <w:szCs w:val="28"/>
        </w:rPr>
        <w:t xml:space="preserve">OWED WK FROM HOME - </w:t>
      </w:r>
      <w:r>
        <w:rPr>
          <w:rFonts w:ascii="Arial Black" w:hAnsi="Arial Black"/>
          <w:b/>
          <w:sz w:val="28"/>
          <w:szCs w:val="28"/>
        </w:rPr>
        <w:t xml:space="preserve">VOL. RETIRED </w:t>
      </w:r>
    </w:p>
    <w:p w14:paraId="136C21BF" w14:textId="77777777" w:rsidR="00C20E41" w:rsidRPr="004441B2" w:rsidRDefault="00C20E41" w:rsidP="00C20E41">
      <w:pPr>
        <w:rPr>
          <w:rFonts w:ascii="Times New Roman" w:hAnsi="Times New Roman"/>
          <w:sz w:val="24"/>
          <w:szCs w:val="24"/>
        </w:rPr>
      </w:pPr>
      <w:r w:rsidRPr="004441B2">
        <w:rPr>
          <w:rFonts w:ascii="Times New Roman" w:hAnsi="Times New Roman"/>
          <w:sz w:val="24"/>
          <w:szCs w:val="24"/>
        </w:rPr>
        <w:t>On Jan. 22, 2025,</w:t>
      </w:r>
      <w:r w:rsidRPr="004441B2">
        <w:rPr>
          <w:rFonts w:ascii="Times New Roman" w:hAnsi="Times New Roman"/>
          <w:b/>
          <w:sz w:val="24"/>
          <w:szCs w:val="24"/>
        </w:rPr>
        <w:t xml:space="preserve"> </w:t>
      </w:r>
      <w:r w:rsidRPr="004441B2">
        <w:rPr>
          <w:rFonts w:ascii="Times New Roman" w:hAnsi="Times New Roman"/>
          <w:sz w:val="24"/>
          <w:szCs w:val="24"/>
        </w:rPr>
        <w:t>in</w:t>
      </w:r>
      <w:r w:rsidRPr="004441B2">
        <w:rPr>
          <w:rFonts w:ascii="Times New Roman" w:hAnsi="Times New Roman"/>
          <w:b/>
          <w:sz w:val="24"/>
          <w:szCs w:val="24"/>
        </w:rPr>
        <w:t xml:space="preserve"> </w:t>
      </w:r>
      <w:r w:rsidRPr="004441B2">
        <w:rPr>
          <w:rFonts w:ascii="Times New Roman" w:hAnsi="Times New Roman"/>
          <w:sz w:val="24"/>
          <w:szCs w:val="24"/>
          <w:u w:val="single"/>
        </w:rPr>
        <w:t>Mark Alan Clark v. City of Los Angeles</w:t>
      </w:r>
      <w:r w:rsidRPr="004441B2">
        <w:rPr>
          <w:rFonts w:ascii="Times New Roman" w:hAnsi="Times New Roman"/>
          <w:sz w:val="24"/>
          <w:szCs w:val="24"/>
        </w:rPr>
        <w:t xml:space="preserve">, the California Court of Appeals, Second District, Second Division held (3 to 0; unpublished decision) held he was not “constructively discharged.”  He was permitted to work from home as the FD’s equipment superintendent and voluntarily retired prior to finding out if his religious accommodation was granted. “Given the city’s indefinite excusal of Clark from working in person, receiving a vaccine, and getting tested for COVID-19, no reasonable employer would have felt resignation was Clark’s only option.”  He retired on March 31, 2022, at age 55, while his request for religious accommodation was pending. After Clark voluntarily retired the city granted all pending exemption requests. </w:t>
      </w:r>
      <w:hyperlink r:id="rId2121" w:history="1">
        <w:r w:rsidRPr="004441B2">
          <w:rPr>
            <w:rStyle w:val="Hyperlink"/>
            <w:rFonts w:ascii="Times New Roman" w:hAnsi="Times New Roman"/>
            <w:sz w:val="24"/>
            <w:szCs w:val="24"/>
          </w:rPr>
          <w:t>https://www4.courts.ca.gov/opinions/nonpub/B335656.PDF</w:t>
        </w:r>
      </w:hyperlink>
      <w:r w:rsidRPr="004441B2">
        <w:rPr>
          <w:rFonts w:ascii="Times New Roman" w:hAnsi="Times New Roman"/>
          <w:sz w:val="24"/>
          <w:szCs w:val="24"/>
        </w:rPr>
        <w:t xml:space="preserve"> </w:t>
      </w:r>
    </w:p>
    <w:p w14:paraId="36575230" w14:textId="77777777" w:rsidR="00C20E41" w:rsidRPr="004441B2" w:rsidRDefault="00C20E41" w:rsidP="00C20E41">
      <w:pPr>
        <w:rPr>
          <w:rFonts w:ascii="Times New Roman" w:hAnsi="Times New Roman"/>
          <w:bCs/>
          <w:sz w:val="24"/>
          <w:szCs w:val="24"/>
        </w:rPr>
      </w:pPr>
      <w:r w:rsidRPr="004441B2">
        <w:rPr>
          <w:rFonts w:ascii="Times New Roman" w:hAnsi="Times New Roman"/>
          <w:sz w:val="24"/>
          <w:szCs w:val="24"/>
        </w:rPr>
        <w:t>The Court wrote:</w:t>
      </w:r>
    </w:p>
    <w:p w14:paraId="4EF8BEF3" w14:textId="77777777" w:rsidR="00C20E41" w:rsidRPr="004441B2" w:rsidRDefault="00C20E41" w:rsidP="00C20E41">
      <w:pPr>
        <w:pStyle w:val="NoSpacing"/>
        <w:ind w:left="720"/>
        <w:rPr>
          <w:rFonts w:ascii="Times New Roman" w:hAnsi="Times New Roman"/>
          <w:bCs/>
          <w:sz w:val="24"/>
          <w:szCs w:val="24"/>
        </w:rPr>
      </w:pPr>
      <w:r w:rsidRPr="004441B2">
        <w:rPr>
          <w:rFonts w:ascii="Times New Roman" w:hAnsi="Times New Roman"/>
          <w:sz w:val="24"/>
          <w:szCs w:val="24"/>
        </w:rPr>
        <w:t>“Clark worked remotely from home starting in June 2021 due to his wife’s medical condition. He applied for and was granted modified intermittent family medical leave. Clark had a telephone conversation with Assistant Chief Richard Fields on December 1, 2021, in which Fields personally permitted Clark to continue to work remotely until March 2022. After that time, Clark would have to take early retirement or return to working in person. Fields told Clark that his religious exemption request was still under review. Clark was also informed that if his request for exemption was denied, it could be appealed to the Fire Chief.</w:t>
      </w:r>
    </w:p>
    <w:p w14:paraId="37C23D01" w14:textId="77777777" w:rsidR="00C20E41" w:rsidRPr="004441B2" w:rsidRDefault="00C20E41" w:rsidP="00C20E41">
      <w:pPr>
        <w:pStyle w:val="NoSpacing"/>
        <w:ind w:left="720"/>
        <w:rPr>
          <w:rFonts w:ascii="Times New Roman" w:hAnsi="Times New Roman"/>
          <w:bCs/>
          <w:sz w:val="24"/>
          <w:szCs w:val="24"/>
        </w:rPr>
      </w:pPr>
    </w:p>
    <w:p w14:paraId="31AB2934" w14:textId="77777777" w:rsidR="00C20E41" w:rsidRPr="004441B2" w:rsidRDefault="00C20E41" w:rsidP="00C20E41">
      <w:pPr>
        <w:pStyle w:val="NoSpacing"/>
        <w:ind w:left="720"/>
        <w:rPr>
          <w:rFonts w:ascii="Times New Roman" w:hAnsi="Times New Roman"/>
          <w:bCs/>
          <w:sz w:val="24"/>
          <w:szCs w:val="24"/>
        </w:rPr>
      </w:pPr>
      <w:r w:rsidRPr="004441B2">
        <w:rPr>
          <w:rFonts w:ascii="Times New Roman" w:hAnsi="Times New Roman"/>
          <w:sz w:val="24"/>
          <w:szCs w:val="24"/>
        </w:rPr>
        <w:t>***</w:t>
      </w:r>
    </w:p>
    <w:p w14:paraId="0E588191" w14:textId="77777777" w:rsidR="00C20E41" w:rsidRPr="004441B2" w:rsidRDefault="00C20E41" w:rsidP="00C20E41">
      <w:pPr>
        <w:pStyle w:val="NoSpacing"/>
        <w:ind w:firstLine="720"/>
        <w:rPr>
          <w:rFonts w:ascii="Times New Roman" w:hAnsi="Times New Roman"/>
          <w:sz w:val="24"/>
          <w:szCs w:val="24"/>
        </w:rPr>
      </w:pPr>
    </w:p>
    <w:p w14:paraId="746F4AB3" w14:textId="77777777" w:rsidR="00C20E41" w:rsidRPr="004441B2" w:rsidRDefault="00C20E41" w:rsidP="00C20E41">
      <w:pPr>
        <w:pStyle w:val="NoSpacing"/>
        <w:ind w:left="720"/>
        <w:rPr>
          <w:rFonts w:ascii="Times New Roman" w:hAnsi="Times New Roman"/>
          <w:sz w:val="24"/>
          <w:szCs w:val="24"/>
        </w:rPr>
      </w:pPr>
      <w:r w:rsidRPr="004441B2">
        <w:rPr>
          <w:rFonts w:ascii="Times New Roman" w:hAnsi="Times New Roman"/>
          <w:sz w:val="24"/>
          <w:szCs w:val="24"/>
        </w:rPr>
        <w:t>The city’s formal approval of Clark’s request for accommodation during the time of his employment was not necessary for the city to reasonably accommodate Clark, who was</w:t>
      </w:r>
    </w:p>
    <w:p w14:paraId="6C91A99D" w14:textId="77777777" w:rsidR="00C20E41" w:rsidRPr="004441B2" w:rsidRDefault="00C20E41" w:rsidP="00C20E41">
      <w:pPr>
        <w:pStyle w:val="NoSpacing"/>
        <w:ind w:left="720"/>
        <w:rPr>
          <w:rFonts w:ascii="Times New Roman" w:hAnsi="Times New Roman"/>
          <w:sz w:val="24"/>
          <w:szCs w:val="24"/>
        </w:rPr>
      </w:pPr>
      <w:r w:rsidRPr="004441B2">
        <w:rPr>
          <w:rFonts w:ascii="Times New Roman" w:hAnsi="Times New Roman"/>
          <w:sz w:val="24"/>
          <w:szCs w:val="24"/>
        </w:rPr>
        <w:t xml:space="preserve">permitted to work from home from March 2020 through March 2021 and from June 2021 through March 2022. He attended work in person for one day on March 30, 2022, the day before his retirement. Clark did not allege he was ever required to test for COVID-19 or receive a vaccine…. The city was not required to rapidly implement Clark’s preferred solution. Its decision to permit him to work from </w:t>
      </w:r>
      <w:proofErr w:type="gramStart"/>
      <w:r w:rsidRPr="004441B2">
        <w:rPr>
          <w:rFonts w:ascii="Times New Roman" w:hAnsi="Times New Roman"/>
          <w:sz w:val="24"/>
          <w:szCs w:val="24"/>
        </w:rPr>
        <w:t>home, and</w:t>
      </w:r>
      <w:proofErr w:type="gramEnd"/>
      <w:r w:rsidRPr="004441B2">
        <w:rPr>
          <w:rFonts w:ascii="Times New Roman" w:hAnsi="Times New Roman"/>
          <w:sz w:val="24"/>
          <w:szCs w:val="24"/>
        </w:rPr>
        <w:t xml:space="preserve"> not require him to get vaccinated or test for COVID-19 during the pendency of his accommodation request, was reasonable.”</w:t>
      </w:r>
    </w:p>
    <w:p w14:paraId="2B24DE27" w14:textId="77777777" w:rsidR="00C20E41" w:rsidRPr="004441B2" w:rsidRDefault="00C20E41" w:rsidP="00C20E41">
      <w:pPr>
        <w:pStyle w:val="NoSpacing"/>
        <w:rPr>
          <w:rFonts w:ascii="Times New Roman" w:hAnsi="Times New Roman"/>
          <w:b/>
          <w:bCs/>
          <w:sz w:val="24"/>
          <w:szCs w:val="24"/>
        </w:rPr>
      </w:pPr>
    </w:p>
    <w:p w14:paraId="406B4A38" w14:textId="77777777" w:rsidR="00C20E41" w:rsidRPr="004441B2" w:rsidRDefault="00C20E41" w:rsidP="00C20E41">
      <w:pPr>
        <w:pStyle w:val="NoSpacing"/>
        <w:rPr>
          <w:rFonts w:ascii="Times New Roman" w:hAnsi="Times New Roman"/>
          <w:b/>
          <w:bCs/>
          <w:sz w:val="24"/>
          <w:szCs w:val="24"/>
        </w:rPr>
      </w:pPr>
      <w:r w:rsidRPr="004441B2">
        <w:rPr>
          <w:rFonts w:ascii="Times New Roman" w:hAnsi="Times New Roman"/>
          <w:b/>
          <w:sz w:val="24"/>
          <w:szCs w:val="24"/>
        </w:rPr>
        <w:t xml:space="preserve">Legal Lesson Learned:  The firefighter’s voluntary retirement ended any need to accommodate him. </w:t>
      </w:r>
    </w:p>
    <w:p w14:paraId="26D58E01" w14:textId="77777777" w:rsidR="00816951" w:rsidRDefault="00816951" w:rsidP="002B1283">
      <w:pPr>
        <w:rPr>
          <w:rFonts w:ascii="Arial Black" w:hAnsi="Arial Black"/>
          <w:b/>
          <w:bCs/>
          <w:sz w:val="28"/>
          <w:szCs w:val="28"/>
        </w:rPr>
      </w:pPr>
    </w:p>
    <w:p w14:paraId="7EBA556C" w14:textId="77777777" w:rsidR="00C20E41" w:rsidRDefault="00C20E41" w:rsidP="002B1283">
      <w:pPr>
        <w:rPr>
          <w:rFonts w:ascii="Arial Black" w:hAnsi="Arial Black"/>
          <w:b/>
          <w:bCs/>
          <w:sz w:val="28"/>
          <w:szCs w:val="28"/>
        </w:rPr>
      </w:pPr>
    </w:p>
    <w:p w14:paraId="42C2CCD6" w14:textId="77777777" w:rsidR="00C20E41" w:rsidRDefault="00C20E41" w:rsidP="002B1283">
      <w:pPr>
        <w:rPr>
          <w:rFonts w:ascii="Arial Black" w:hAnsi="Arial Black"/>
          <w:b/>
          <w:bCs/>
          <w:sz w:val="28"/>
          <w:szCs w:val="28"/>
        </w:rPr>
      </w:pPr>
    </w:p>
    <w:p w14:paraId="593FB3CC" w14:textId="2211FAF7" w:rsidR="00B068BE" w:rsidRDefault="00D0461C" w:rsidP="002B1283">
      <w:pPr>
        <w:rPr>
          <w:rFonts w:ascii="Arial Black" w:hAnsi="Arial Black"/>
          <w:b/>
          <w:bCs/>
          <w:sz w:val="28"/>
          <w:szCs w:val="28"/>
        </w:rPr>
      </w:pPr>
      <w:r>
        <w:rPr>
          <w:rFonts w:ascii="Arial Black" w:hAnsi="Arial Black"/>
          <w:b/>
          <w:bCs/>
          <w:sz w:val="28"/>
          <w:szCs w:val="28"/>
        </w:rPr>
        <w:lastRenderedPageBreak/>
        <w:t>13-201</w:t>
      </w:r>
    </w:p>
    <w:p w14:paraId="500DE5E1" w14:textId="72D41B40" w:rsidR="00D0461C" w:rsidRDefault="00D0461C" w:rsidP="00D0461C">
      <w:pPr>
        <w:pStyle w:val="NoSpacing"/>
        <w:rPr>
          <w:rFonts w:ascii="Arial Black" w:hAnsi="Arial Black"/>
          <w:b/>
          <w:sz w:val="28"/>
          <w:szCs w:val="28"/>
        </w:rPr>
      </w:pPr>
      <w:r>
        <w:rPr>
          <w:rFonts w:ascii="Arial Black" w:hAnsi="Arial Black"/>
          <w:b/>
          <w:sz w:val="28"/>
          <w:szCs w:val="28"/>
        </w:rPr>
        <w:t xml:space="preserve">CA: COVID-19 – BC </w:t>
      </w:r>
      <w:r w:rsidR="007D512D">
        <w:rPr>
          <w:rFonts w:ascii="Arial Black" w:hAnsi="Arial Black"/>
          <w:b/>
          <w:sz w:val="28"/>
          <w:szCs w:val="28"/>
        </w:rPr>
        <w:t>SUSP</w:t>
      </w:r>
      <w:r>
        <w:rPr>
          <w:rFonts w:ascii="Arial Black" w:hAnsi="Arial Black"/>
          <w:b/>
          <w:sz w:val="28"/>
          <w:szCs w:val="28"/>
        </w:rPr>
        <w:t>–</w:t>
      </w:r>
      <w:r w:rsidR="007D512D">
        <w:rPr>
          <w:rFonts w:ascii="Arial Black" w:hAnsi="Arial Black"/>
          <w:b/>
          <w:sz w:val="28"/>
          <w:szCs w:val="28"/>
        </w:rPr>
        <w:t xml:space="preserve"> </w:t>
      </w:r>
      <w:r w:rsidR="00817397">
        <w:rPr>
          <w:rFonts w:ascii="Arial Black" w:hAnsi="Arial Black"/>
          <w:b/>
          <w:sz w:val="28"/>
          <w:szCs w:val="28"/>
        </w:rPr>
        <w:t xml:space="preserve">NO </w:t>
      </w:r>
      <w:r w:rsidR="007D512D">
        <w:rPr>
          <w:rFonts w:ascii="Arial Black" w:hAnsi="Arial Black"/>
          <w:b/>
          <w:sz w:val="28"/>
          <w:szCs w:val="28"/>
        </w:rPr>
        <w:t xml:space="preserve">PRE-DISCIPLINARY HEARING REQ. </w:t>
      </w:r>
    </w:p>
    <w:p w14:paraId="4038BDC8" w14:textId="77777777" w:rsidR="00D0461C" w:rsidRDefault="00D0461C" w:rsidP="00D0461C">
      <w:pPr>
        <w:pStyle w:val="NoSpacing"/>
        <w:rPr>
          <w:rFonts w:ascii="Arial Black" w:hAnsi="Arial Black"/>
          <w:b/>
          <w:sz w:val="28"/>
          <w:szCs w:val="28"/>
        </w:rPr>
      </w:pPr>
    </w:p>
    <w:p w14:paraId="5BD581B7" w14:textId="77777777" w:rsidR="00D0461C" w:rsidRPr="00D0461C" w:rsidRDefault="00D0461C" w:rsidP="00D0461C">
      <w:pPr>
        <w:pStyle w:val="NoSpacing"/>
        <w:rPr>
          <w:rStyle w:val="Hyperlink"/>
          <w:rFonts w:ascii="Times New Roman" w:hAnsi="Times New Roman"/>
          <w:sz w:val="24"/>
          <w:szCs w:val="24"/>
        </w:rPr>
      </w:pPr>
      <w:r w:rsidRPr="00D0461C">
        <w:rPr>
          <w:rFonts w:ascii="Times New Roman" w:hAnsi="Times New Roman"/>
          <w:sz w:val="24"/>
          <w:szCs w:val="24"/>
        </w:rPr>
        <w:t xml:space="preserve">On Dec. 10, 2024, in </w:t>
      </w:r>
      <w:r w:rsidRPr="00D0461C">
        <w:rPr>
          <w:rFonts w:ascii="Times New Roman" w:hAnsi="Times New Roman"/>
          <w:sz w:val="24"/>
          <w:szCs w:val="24"/>
          <w:u w:val="single"/>
        </w:rPr>
        <w:t>Robert L. Kilpatrick v. City of Los Angeles</w:t>
      </w:r>
      <w:r w:rsidRPr="00D0461C">
        <w:rPr>
          <w:rFonts w:ascii="Times New Roman" w:hAnsi="Times New Roman"/>
          <w:sz w:val="24"/>
          <w:szCs w:val="24"/>
        </w:rPr>
        <w:t xml:space="preserve">, the Court of Appeals, Second District, Third Division, held that the Battalion Chief with 34 years of service was not entitled to a pre-disciplinary hearing prior to suspension, thereby overturning a Superior Court judge that held the City Charter required a hearing and decision by the City Board of Rights.  On Nov. 9, </w:t>
      </w:r>
      <w:proofErr w:type="gramStart"/>
      <w:r w:rsidRPr="00D0461C">
        <w:rPr>
          <w:rFonts w:ascii="Times New Roman" w:hAnsi="Times New Roman"/>
          <w:sz w:val="24"/>
          <w:szCs w:val="24"/>
        </w:rPr>
        <w:t>2021</w:t>
      </w:r>
      <w:proofErr w:type="gramEnd"/>
      <w:r w:rsidRPr="00D0461C">
        <w:rPr>
          <w:rFonts w:ascii="Times New Roman" w:hAnsi="Times New Roman"/>
          <w:sz w:val="24"/>
          <w:szCs w:val="24"/>
        </w:rPr>
        <w:t xml:space="preserve"> he was given Notice of  Charges for not getting a COVID vaccination; the Notice provided Kilpatrick at least 48 hours to either confirm he had complied with the vaccine mandate, or agreed that he would comply by December 18, 2021, and signing an agreement.  Kilpatrick did not sign. On November 12, 2021, the </w:t>
      </w:r>
      <w:proofErr w:type="gramStart"/>
      <w:r w:rsidRPr="00D0461C">
        <w:rPr>
          <w:rFonts w:ascii="Times New Roman" w:hAnsi="Times New Roman"/>
          <w:sz w:val="24"/>
          <w:szCs w:val="24"/>
        </w:rPr>
        <w:t>City</w:t>
      </w:r>
      <w:proofErr w:type="gramEnd"/>
      <w:r w:rsidRPr="00D0461C">
        <w:rPr>
          <w:rFonts w:ascii="Times New Roman" w:hAnsi="Times New Roman"/>
          <w:sz w:val="24"/>
          <w:szCs w:val="24"/>
        </w:rPr>
        <w:t xml:space="preserve"> placed him off duty without pay . A virtual hearing took place on December 21, 2021, and Kilpatrick left the hearing after the </w:t>
      </w:r>
      <w:proofErr w:type="gramStart"/>
      <w:r w:rsidRPr="00D0461C">
        <w:rPr>
          <w:rFonts w:ascii="Times New Roman" w:hAnsi="Times New Roman"/>
          <w:sz w:val="24"/>
          <w:szCs w:val="24"/>
        </w:rPr>
        <w:t>City</w:t>
      </w:r>
      <w:proofErr w:type="gramEnd"/>
      <w:r w:rsidRPr="00D0461C">
        <w:rPr>
          <w:rFonts w:ascii="Times New Roman" w:hAnsi="Times New Roman"/>
          <w:sz w:val="24"/>
          <w:szCs w:val="24"/>
        </w:rPr>
        <w:t xml:space="preserve"> refused to produce materials he requested. </w:t>
      </w:r>
      <w:hyperlink r:id="rId2122" w:history="1">
        <w:r w:rsidRPr="00D0461C">
          <w:rPr>
            <w:rStyle w:val="Hyperlink"/>
            <w:rFonts w:ascii="Times New Roman" w:hAnsi="Times New Roman"/>
            <w:sz w:val="24"/>
            <w:szCs w:val="24"/>
          </w:rPr>
          <w:t>https://casetext.com/case/kilpatrick-v-city-of-l-a</w:t>
        </w:r>
      </w:hyperlink>
    </w:p>
    <w:p w14:paraId="7F6490A4" w14:textId="77777777" w:rsidR="00D0461C" w:rsidRDefault="00D0461C" w:rsidP="002B1283">
      <w:pPr>
        <w:rPr>
          <w:rFonts w:ascii="Arial Black" w:hAnsi="Arial Black"/>
          <w:b/>
          <w:bCs/>
          <w:sz w:val="28"/>
          <w:szCs w:val="28"/>
        </w:rPr>
      </w:pPr>
    </w:p>
    <w:p w14:paraId="011FFA4D" w14:textId="77777777" w:rsidR="00264893" w:rsidRPr="00264893" w:rsidRDefault="00264893" w:rsidP="00264893">
      <w:pPr>
        <w:pStyle w:val="NoSpacing"/>
        <w:rPr>
          <w:rFonts w:ascii="Times New Roman" w:hAnsi="Times New Roman"/>
          <w:sz w:val="24"/>
          <w:szCs w:val="24"/>
        </w:rPr>
      </w:pPr>
      <w:r w:rsidRPr="00264893">
        <w:rPr>
          <w:rFonts w:ascii="Times New Roman" w:hAnsi="Times New Roman"/>
          <w:sz w:val="24"/>
          <w:szCs w:val="24"/>
        </w:rPr>
        <w:t xml:space="preserve">The Court wrote: </w:t>
      </w:r>
    </w:p>
    <w:p w14:paraId="42D20495" w14:textId="77777777" w:rsidR="00264893" w:rsidRPr="00264893" w:rsidRDefault="00264893" w:rsidP="00264893">
      <w:pPr>
        <w:pStyle w:val="NoSpacing"/>
        <w:rPr>
          <w:rFonts w:ascii="Times New Roman" w:hAnsi="Times New Roman"/>
          <w:sz w:val="24"/>
          <w:szCs w:val="24"/>
        </w:rPr>
      </w:pPr>
    </w:p>
    <w:p w14:paraId="0E06B335" w14:textId="61DC4BEA" w:rsidR="00264893" w:rsidRPr="00264893" w:rsidRDefault="00264893" w:rsidP="00264893">
      <w:pPr>
        <w:pStyle w:val="NoSpacing"/>
        <w:ind w:left="720"/>
        <w:rPr>
          <w:rFonts w:ascii="Times New Roman" w:hAnsi="Times New Roman"/>
          <w:sz w:val="24"/>
          <w:szCs w:val="24"/>
        </w:rPr>
      </w:pPr>
      <w:r w:rsidRPr="00264893">
        <w:rPr>
          <w:rFonts w:ascii="Times New Roman" w:hAnsi="Times New Roman"/>
          <w:sz w:val="24"/>
          <w:szCs w:val="24"/>
        </w:rPr>
        <w:t xml:space="preserve">“Kilpatrick received notice of the charges against him and had a short period to respond prior to being temporarily removed from duty. He received further post-suspension notice and the opportunity to be heard and respond in real time less than six weeks later. Under the circumstances of this </w:t>
      </w:r>
      <w:proofErr w:type="gramStart"/>
      <w:r w:rsidRPr="00264893">
        <w:rPr>
          <w:rFonts w:ascii="Times New Roman" w:hAnsi="Times New Roman"/>
          <w:sz w:val="24"/>
          <w:szCs w:val="24"/>
        </w:rPr>
        <w:t>case, and</w:t>
      </w:r>
      <w:proofErr w:type="gramEnd"/>
      <w:r w:rsidRPr="00264893">
        <w:rPr>
          <w:rFonts w:ascii="Times New Roman" w:hAnsi="Times New Roman"/>
          <w:sz w:val="24"/>
          <w:szCs w:val="24"/>
        </w:rPr>
        <w:t xml:space="preserve"> considering the three distinct factors necessary to determine what process was constitutionally due, we conclude the City's procedure was constitutionally sufficient. Kilpatrick received the ‘</w:t>
      </w:r>
      <w:proofErr w:type="spellStart"/>
      <w:r w:rsidRPr="00264893">
        <w:rPr>
          <w:rFonts w:ascii="Times New Roman" w:hAnsi="Times New Roman"/>
          <w:sz w:val="24"/>
          <w:szCs w:val="24"/>
        </w:rPr>
        <w:t>predisciplinary</w:t>
      </w:r>
      <w:proofErr w:type="spellEnd"/>
      <w:r w:rsidRPr="00264893">
        <w:rPr>
          <w:rFonts w:ascii="Times New Roman" w:hAnsi="Times New Roman"/>
          <w:sz w:val="24"/>
          <w:szCs w:val="24"/>
        </w:rPr>
        <w:t xml:space="preserve"> procedures otherwise required by law’….” </w:t>
      </w:r>
    </w:p>
    <w:p w14:paraId="3215A67C" w14:textId="77777777" w:rsidR="00264893" w:rsidRPr="00264893" w:rsidRDefault="00264893" w:rsidP="00264893">
      <w:pPr>
        <w:pStyle w:val="NoSpacing"/>
        <w:rPr>
          <w:rFonts w:ascii="Times New Roman" w:hAnsi="Times New Roman"/>
          <w:sz w:val="24"/>
          <w:szCs w:val="24"/>
        </w:rPr>
      </w:pPr>
    </w:p>
    <w:p w14:paraId="02D94DC9" w14:textId="77777777" w:rsidR="00264893" w:rsidRPr="00264893" w:rsidRDefault="00264893" w:rsidP="00264893">
      <w:pPr>
        <w:pStyle w:val="NoSpacing"/>
        <w:rPr>
          <w:rFonts w:ascii="Times New Roman" w:hAnsi="Times New Roman"/>
          <w:sz w:val="24"/>
          <w:szCs w:val="24"/>
        </w:rPr>
      </w:pPr>
      <w:r w:rsidRPr="00264893">
        <w:rPr>
          <w:rFonts w:ascii="Times New Roman" w:hAnsi="Times New Roman"/>
          <w:sz w:val="24"/>
          <w:szCs w:val="24"/>
        </w:rPr>
        <w:t>HOLDING:</w:t>
      </w:r>
    </w:p>
    <w:p w14:paraId="6589C4F9" w14:textId="77777777" w:rsidR="00264893" w:rsidRPr="00264893" w:rsidRDefault="00264893" w:rsidP="00264893">
      <w:pPr>
        <w:pStyle w:val="NoSpacing"/>
        <w:rPr>
          <w:rFonts w:ascii="Times New Roman" w:hAnsi="Times New Roman"/>
          <w:sz w:val="24"/>
          <w:szCs w:val="24"/>
        </w:rPr>
      </w:pPr>
    </w:p>
    <w:p w14:paraId="7156840F" w14:textId="77777777" w:rsidR="00264893" w:rsidRPr="00264893" w:rsidRDefault="00264893" w:rsidP="00264893">
      <w:pPr>
        <w:pStyle w:val="NoSpacing"/>
        <w:ind w:left="720"/>
        <w:rPr>
          <w:rFonts w:ascii="Times New Roman" w:hAnsi="Times New Roman"/>
          <w:sz w:val="24"/>
          <w:szCs w:val="24"/>
        </w:rPr>
      </w:pPr>
      <w:r w:rsidRPr="00264893">
        <w:rPr>
          <w:rFonts w:ascii="Times New Roman" w:hAnsi="Times New Roman"/>
          <w:sz w:val="24"/>
          <w:szCs w:val="24"/>
        </w:rPr>
        <w:t xml:space="preserve">“Under the circumstances of this </w:t>
      </w:r>
      <w:proofErr w:type="gramStart"/>
      <w:r w:rsidRPr="00264893">
        <w:rPr>
          <w:rFonts w:ascii="Times New Roman" w:hAnsi="Times New Roman"/>
          <w:sz w:val="24"/>
          <w:szCs w:val="24"/>
        </w:rPr>
        <w:t>case, and</w:t>
      </w:r>
      <w:proofErr w:type="gramEnd"/>
      <w:r w:rsidRPr="00264893">
        <w:rPr>
          <w:rFonts w:ascii="Times New Roman" w:hAnsi="Times New Roman"/>
          <w:sz w:val="24"/>
          <w:szCs w:val="24"/>
        </w:rPr>
        <w:t xml:space="preserve"> considering the three distinct factors necessary to determine what process was constitutionally due, we conclude the City's procedure was constitutionally sufficient. Kilpatrick received the ‘pre-disciplinary procedures otherwise required by law’ pursuant to [City Charter] section 1060(b).”</w:t>
      </w:r>
    </w:p>
    <w:p w14:paraId="1F15311B" w14:textId="77777777" w:rsidR="00264893" w:rsidRPr="00264893" w:rsidRDefault="00264893" w:rsidP="00264893">
      <w:pPr>
        <w:pStyle w:val="NoSpacing"/>
        <w:ind w:left="720"/>
        <w:rPr>
          <w:rFonts w:ascii="Times New Roman" w:hAnsi="Times New Roman"/>
          <w:sz w:val="24"/>
          <w:szCs w:val="24"/>
        </w:rPr>
      </w:pPr>
    </w:p>
    <w:p w14:paraId="0B09A3D1" w14:textId="77777777" w:rsidR="00264893" w:rsidRPr="005E03F7" w:rsidRDefault="00264893" w:rsidP="00264893">
      <w:pPr>
        <w:pStyle w:val="NoSpacing"/>
        <w:rPr>
          <w:b/>
        </w:rPr>
      </w:pPr>
      <w:r w:rsidRPr="00264893">
        <w:rPr>
          <w:rFonts w:ascii="Times New Roman" w:hAnsi="Times New Roman"/>
          <w:b/>
          <w:sz w:val="24"/>
          <w:szCs w:val="24"/>
        </w:rPr>
        <w:t xml:space="preserve">Legal Lesson Learned: COVID-19 concerns required prompt decision making; a virtual hearing after suspension was adequate due process. </w:t>
      </w:r>
      <w:r>
        <w:rPr>
          <w:b/>
        </w:rPr>
        <w:t xml:space="preserve"> </w:t>
      </w:r>
    </w:p>
    <w:p w14:paraId="37422F5E" w14:textId="77777777" w:rsidR="00264893" w:rsidRDefault="00264893" w:rsidP="002B1283">
      <w:pPr>
        <w:rPr>
          <w:rFonts w:ascii="Arial Black" w:hAnsi="Arial Black"/>
          <w:b/>
          <w:bCs/>
          <w:sz w:val="28"/>
          <w:szCs w:val="28"/>
        </w:rPr>
      </w:pPr>
    </w:p>
    <w:p w14:paraId="5EA2F476" w14:textId="77777777" w:rsidR="002D13B2" w:rsidRDefault="002D13B2" w:rsidP="002B1283">
      <w:pPr>
        <w:rPr>
          <w:rFonts w:ascii="Arial Black" w:hAnsi="Arial Black"/>
          <w:b/>
          <w:bCs/>
          <w:sz w:val="28"/>
          <w:szCs w:val="28"/>
        </w:rPr>
      </w:pPr>
    </w:p>
    <w:p w14:paraId="267382B2" w14:textId="77777777" w:rsidR="002D13B2" w:rsidRDefault="002D13B2" w:rsidP="002B1283">
      <w:pPr>
        <w:rPr>
          <w:rFonts w:ascii="Arial Black" w:hAnsi="Arial Black"/>
          <w:b/>
          <w:bCs/>
          <w:sz w:val="28"/>
          <w:szCs w:val="28"/>
        </w:rPr>
      </w:pPr>
    </w:p>
    <w:p w14:paraId="13822043" w14:textId="77777777" w:rsidR="00B068BE" w:rsidRDefault="00B068BE" w:rsidP="002B1283">
      <w:pPr>
        <w:rPr>
          <w:rFonts w:ascii="Arial Black" w:hAnsi="Arial Black"/>
          <w:b/>
          <w:bCs/>
          <w:sz w:val="28"/>
          <w:szCs w:val="28"/>
        </w:rPr>
      </w:pPr>
    </w:p>
    <w:p w14:paraId="16CEDB03" w14:textId="77777777" w:rsidR="00B068BE" w:rsidRDefault="00B068BE" w:rsidP="002B1283">
      <w:pPr>
        <w:rPr>
          <w:rFonts w:ascii="Arial Black" w:hAnsi="Arial Black"/>
          <w:b/>
          <w:bCs/>
          <w:sz w:val="28"/>
          <w:szCs w:val="28"/>
        </w:rPr>
      </w:pPr>
    </w:p>
    <w:p w14:paraId="0BA76DB0" w14:textId="021C6803" w:rsidR="00FE343A" w:rsidRDefault="00FE343A" w:rsidP="002B1283">
      <w:pPr>
        <w:rPr>
          <w:rFonts w:ascii="Arial Black" w:hAnsi="Arial Black"/>
          <w:b/>
          <w:bCs/>
          <w:sz w:val="28"/>
          <w:szCs w:val="28"/>
        </w:rPr>
      </w:pPr>
      <w:r>
        <w:rPr>
          <w:rFonts w:ascii="Arial Black" w:hAnsi="Arial Black"/>
          <w:b/>
          <w:bCs/>
          <w:sz w:val="28"/>
          <w:szCs w:val="28"/>
        </w:rPr>
        <w:t>13-20</w:t>
      </w:r>
      <w:r w:rsidR="0026657A">
        <w:rPr>
          <w:rFonts w:ascii="Arial Black" w:hAnsi="Arial Black"/>
          <w:b/>
          <w:bCs/>
          <w:sz w:val="28"/>
          <w:szCs w:val="28"/>
        </w:rPr>
        <w:t>0</w:t>
      </w:r>
    </w:p>
    <w:p w14:paraId="4E942143" w14:textId="4BDCC04C" w:rsidR="0026657A" w:rsidRPr="00F71BFB" w:rsidRDefault="00BD7394" w:rsidP="0026657A">
      <w:pPr>
        <w:pStyle w:val="NoSpacing"/>
        <w:rPr>
          <w:rFonts w:ascii="Arial Black" w:hAnsi="Arial Black"/>
          <w:bCs/>
          <w:sz w:val="28"/>
          <w:szCs w:val="28"/>
        </w:rPr>
      </w:pPr>
      <w:r>
        <w:rPr>
          <w:rFonts w:ascii="Arial Black" w:hAnsi="Arial Black"/>
          <w:sz w:val="28"/>
          <w:szCs w:val="28"/>
        </w:rPr>
        <w:t xml:space="preserve">U.S. DEPT. </w:t>
      </w:r>
      <w:r w:rsidR="0026657A">
        <w:rPr>
          <w:rFonts w:ascii="Arial Black" w:hAnsi="Arial Black"/>
          <w:sz w:val="28"/>
          <w:szCs w:val="28"/>
        </w:rPr>
        <w:t>V</w:t>
      </w:r>
      <w:r w:rsidR="00A95D36">
        <w:rPr>
          <w:rFonts w:ascii="Arial Black" w:hAnsi="Arial Black"/>
          <w:sz w:val="28"/>
          <w:szCs w:val="28"/>
        </w:rPr>
        <w:t xml:space="preserve">ETERANS AFFAIR - </w:t>
      </w:r>
      <w:r w:rsidR="002470FD">
        <w:rPr>
          <w:rFonts w:ascii="Arial Black" w:hAnsi="Arial Black"/>
          <w:sz w:val="28"/>
          <w:szCs w:val="28"/>
        </w:rPr>
        <w:t xml:space="preserve">CANNOT </w:t>
      </w:r>
      <w:r w:rsidR="00A95D36">
        <w:rPr>
          <w:rFonts w:ascii="Arial Black" w:hAnsi="Arial Black"/>
          <w:sz w:val="28"/>
          <w:szCs w:val="28"/>
        </w:rPr>
        <w:t>L</w:t>
      </w:r>
      <w:r w:rsidR="0026657A">
        <w:rPr>
          <w:rFonts w:ascii="Arial Black" w:hAnsi="Arial Black"/>
          <w:sz w:val="28"/>
          <w:szCs w:val="28"/>
        </w:rPr>
        <w:t xml:space="preserve">OWER TRAVEL RATE </w:t>
      </w:r>
    </w:p>
    <w:p w14:paraId="23CCE8D3" w14:textId="77777777" w:rsidR="0026657A" w:rsidRDefault="0026657A" w:rsidP="0026657A">
      <w:pPr>
        <w:pStyle w:val="NoSpacing"/>
        <w:rPr>
          <w:bCs/>
        </w:rPr>
      </w:pPr>
    </w:p>
    <w:p w14:paraId="68D8B8DF" w14:textId="77777777" w:rsidR="00B15FBB" w:rsidRPr="00B00E74" w:rsidRDefault="00B15FBB" w:rsidP="00B00E74">
      <w:pPr>
        <w:pStyle w:val="NoSpacing"/>
        <w:rPr>
          <w:rFonts w:ascii="Times New Roman" w:hAnsi="Times New Roman"/>
          <w:bCs/>
          <w:sz w:val="24"/>
          <w:szCs w:val="24"/>
        </w:rPr>
      </w:pPr>
      <w:r w:rsidRPr="00B00E74">
        <w:rPr>
          <w:rFonts w:ascii="Times New Roman" w:hAnsi="Times New Roman"/>
          <w:sz w:val="24"/>
          <w:szCs w:val="24"/>
        </w:rPr>
        <w:lastRenderedPageBreak/>
        <w:t xml:space="preserve">On Dec. 9, 2024, in </w:t>
      </w:r>
      <w:r w:rsidRPr="00B00E74">
        <w:rPr>
          <w:rFonts w:ascii="Times New Roman" w:hAnsi="Times New Roman"/>
          <w:sz w:val="24"/>
          <w:szCs w:val="24"/>
          <w:u w:val="single"/>
        </w:rPr>
        <w:t>Metropolitan Area EMS Authority, et al. v. Secretary of Veteran Affairs</w:t>
      </w:r>
      <w:r w:rsidRPr="00B00E74">
        <w:rPr>
          <w:rFonts w:ascii="Times New Roman" w:hAnsi="Times New Roman"/>
          <w:sz w:val="24"/>
          <w:szCs w:val="24"/>
        </w:rPr>
        <w:t xml:space="preserve">, the United States Court of Appeals for the Federal Circuit (D.C.) held (3 to 0) that Congress did not authorize VA to implement reduced ambulance travel reimbursement using Medicare rate for transports that are to “other places” instead of to or from a VA facility (for example, to a nursing home).  The Court relied on U.S. Supreme Court’s landmark June 28, </w:t>
      </w:r>
      <w:proofErr w:type="gramStart"/>
      <w:r w:rsidRPr="00B00E74">
        <w:rPr>
          <w:rFonts w:ascii="Times New Roman" w:hAnsi="Times New Roman"/>
          <w:sz w:val="24"/>
          <w:szCs w:val="24"/>
        </w:rPr>
        <w:t>2024</w:t>
      </w:r>
      <w:proofErr w:type="gramEnd"/>
      <w:r w:rsidRPr="00B00E74">
        <w:rPr>
          <w:rFonts w:ascii="Times New Roman" w:hAnsi="Times New Roman"/>
          <w:sz w:val="24"/>
          <w:szCs w:val="24"/>
        </w:rPr>
        <w:t xml:space="preserve"> decision, setting aside the “Chevron doctrine” where federal courts normally followed Agency interpretation of Congressional statutes. </w:t>
      </w:r>
      <w:hyperlink r:id="rId2123" w:history="1">
        <w:r w:rsidRPr="00B00E74">
          <w:rPr>
            <w:rStyle w:val="Hyperlink"/>
            <w:rFonts w:ascii="Times New Roman" w:hAnsi="Times New Roman"/>
            <w:sz w:val="24"/>
            <w:szCs w:val="24"/>
          </w:rPr>
          <w:t>https://cafc.uscourts.gov/opinions-orders/24-1104.OPINION.12-9-2024_2432337.pdf</w:t>
        </w:r>
      </w:hyperlink>
      <w:r w:rsidRPr="00B00E74">
        <w:rPr>
          <w:rFonts w:ascii="Times New Roman" w:hAnsi="Times New Roman"/>
          <w:sz w:val="24"/>
          <w:szCs w:val="24"/>
        </w:rPr>
        <w:t xml:space="preserve"> </w:t>
      </w:r>
    </w:p>
    <w:p w14:paraId="5D3920BF" w14:textId="77777777" w:rsidR="00B15FBB" w:rsidRDefault="00B15FBB" w:rsidP="00B15FBB">
      <w:pPr>
        <w:pStyle w:val="NoSpacing"/>
        <w:ind w:left="720"/>
        <w:rPr>
          <w:bCs/>
        </w:rPr>
      </w:pPr>
    </w:p>
    <w:p w14:paraId="0B5080D8" w14:textId="0064CB66" w:rsidR="0026657A" w:rsidRPr="0026657A" w:rsidRDefault="0026657A" w:rsidP="0026657A">
      <w:pPr>
        <w:pStyle w:val="NoSpacing"/>
        <w:rPr>
          <w:rFonts w:ascii="Times New Roman" w:hAnsi="Times New Roman"/>
          <w:bCs/>
          <w:sz w:val="24"/>
          <w:szCs w:val="24"/>
        </w:rPr>
      </w:pPr>
      <w:r w:rsidRPr="0026657A">
        <w:rPr>
          <w:rFonts w:ascii="Times New Roman" w:hAnsi="Times New Roman"/>
          <w:sz w:val="24"/>
          <w:szCs w:val="24"/>
        </w:rPr>
        <w:t>The Court of Appeals wrote:</w:t>
      </w:r>
    </w:p>
    <w:p w14:paraId="2A6B862F" w14:textId="77777777" w:rsidR="0026657A" w:rsidRPr="0026657A" w:rsidRDefault="0026657A" w:rsidP="0026657A">
      <w:pPr>
        <w:pStyle w:val="NoSpacing"/>
        <w:rPr>
          <w:rFonts w:ascii="Times New Roman" w:hAnsi="Times New Roman"/>
          <w:bCs/>
          <w:sz w:val="24"/>
          <w:szCs w:val="24"/>
        </w:rPr>
      </w:pPr>
    </w:p>
    <w:p w14:paraId="7A0776E3" w14:textId="77777777" w:rsidR="0026657A" w:rsidRPr="0026657A" w:rsidRDefault="0026657A" w:rsidP="0026657A">
      <w:pPr>
        <w:pStyle w:val="NoSpacing"/>
        <w:ind w:left="720"/>
        <w:rPr>
          <w:rFonts w:ascii="Times New Roman" w:hAnsi="Times New Roman"/>
          <w:bCs/>
          <w:sz w:val="24"/>
          <w:szCs w:val="24"/>
        </w:rPr>
      </w:pPr>
      <w:r w:rsidRPr="0026657A">
        <w:rPr>
          <w:rFonts w:ascii="Times New Roman" w:hAnsi="Times New Roman"/>
          <w:sz w:val="24"/>
          <w:szCs w:val="24"/>
        </w:rPr>
        <w:t>“In 2018, the VA Office of Inspector General (OIG) faulted the VA for failing to realize $11 million in savings for ambulance services between October 2012 and December 2015 due to the VA’s failure to exercise its discretionary authority under § 111(b)(3)(C) to pay ‘the lesser of the actual charge for the transportation or the [Medicare fee schedule (MFS)] amount” for noncontract ambulance services.</w:t>
      </w:r>
    </w:p>
    <w:p w14:paraId="0B68DD0D" w14:textId="77777777" w:rsidR="0026657A" w:rsidRPr="0026657A" w:rsidRDefault="0026657A" w:rsidP="0026657A">
      <w:pPr>
        <w:pStyle w:val="NoSpacing"/>
        <w:ind w:left="720"/>
        <w:rPr>
          <w:rFonts w:ascii="Times New Roman" w:hAnsi="Times New Roman"/>
          <w:bCs/>
          <w:sz w:val="24"/>
          <w:szCs w:val="24"/>
        </w:rPr>
      </w:pPr>
    </w:p>
    <w:p w14:paraId="50F4F57E" w14:textId="77777777" w:rsidR="0026657A" w:rsidRPr="0026657A" w:rsidRDefault="0026657A" w:rsidP="0026657A">
      <w:pPr>
        <w:pStyle w:val="NoSpacing"/>
        <w:ind w:left="720"/>
        <w:rPr>
          <w:rFonts w:ascii="Times New Roman" w:hAnsi="Times New Roman"/>
          <w:bCs/>
          <w:sz w:val="24"/>
          <w:szCs w:val="24"/>
        </w:rPr>
      </w:pPr>
      <w:r w:rsidRPr="0026657A">
        <w:rPr>
          <w:rFonts w:ascii="Times New Roman" w:hAnsi="Times New Roman"/>
          <w:sz w:val="24"/>
          <w:szCs w:val="24"/>
        </w:rPr>
        <w:t>***</w:t>
      </w:r>
    </w:p>
    <w:p w14:paraId="607ABE56" w14:textId="77777777" w:rsidR="0026657A" w:rsidRPr="0026657A" w:rsidRDefault="0026657A" w:rsidP="0026657A">
      <w:pPr>
        <w:pStyle w:val="NoSpacing"/>
        <w:ind w:left="720"/>
        <w:rPr>
          <w:rFonts w:ascii="Times New Roman" w:hAnsi="Times New Roman"/>
          <w:bCs/>
          <w:sz w:val="24"/>
          <w:szCs w:val="24"/>
        </w:rPr>
      </w:pPr>
      <w:r w:rsidRPr="0026657A">
        <w:rPr>
          <w:rFonts w:ascii="Times New Roman" w:hAnsi="Times New Roman"/>
          <w:sz w:val="24"/>
          <w:szCs w:val="24"/>
        </w:rPr>
        <w:t xml:space="preserve">Thus, while in § 111(a) Congress authorized the Secretary to ‘pay the actual necessary expense’ for travel ‘to or from a </w:t>
      </w:r>
      <w:proofErr w:type="gramStart"/>
      <w:r w:rsidRPr="0026657A">
        <w:rPr>
          <w:rFonts w:ascii="Times New Roman" w:hAnsi="Times New Roman"/>
          <w:sz w:val="24"/>
          <w:szCs w:val="24"/>
        </w:rPr>
        <w:t>Department</w:t>
      </w:r>
      <w:proofErr w:type="gramEnd"/>
      <w:r w:rsidRPr="0026657A">
        <w:rPr>
          <w:rFonts w:ascii="Times New Roman" w:hAnsi="Times New Roman"/>
          <w:sz w:val="24"/>
          <w:szCs w:val="24"/>
        </w:rPr>
        <w:t xml:space="preserve"> facility or other place,’ Congress only</w:t>
      </w:r>
    </w:p>
    <w:p w14:paraId="32576A7E" w14:textId="06176095" w:rsidR="0026657A" w:rsidRDefault="0026657A" w:rsidP="00B00E74">
      <w:pPr>
        <w:pStyle w:val="NoSpacing"/>
        <w:ind w:left="720"/>
        <w:rPr>
          <w:rFonts w:ascii="Arial Black" w:hAnsi="Arial Black"/>
          <w:b/>
          <w:bCs/>
          <w:sz w:val="28"/>
          <w:szCs w:val="28"/>
        </w:rPr>
      </w:pPr>
      <w:r w:rsidRPr="0026657A">
        <w:rPr>
          <w:rFonts w:ascii="Times New Roman" w:hAnsi="Times New Roman"/>
          <w:sz w:val="24"/>
          <w:szCs w:val="24"/>
        </w:rPr>
        <w:t xml:space="preserve">authorized the Secretary in § 111(b)(3)(C) to apply the ‘lessor of’ payment methodology for transports ‘to or from a </w:t>
      </w:r>
      <w:proofErr w:type="gramStart"/>
      <w:r w:rsidRPr="0026657A">
        <w:rPr>
          <w:rFonts w:ascii="Times New Roman" w:hAnsi="Times New Roman"/>
          <w:sz w:val="24"/>
          <w:szCs w:val="24"/>
        </w:rPr>
        <w:t>Department</w:t>
      </w:r>
      <w:proofErr w:type="gramEnd"/>
      <w:r w:rsidRPr="0026657A">
        <w:rPr>
          <w:rFonts w:ascii="Times New Roman" w:hAnsi="Times New Roman"/>
          <w:sz w:val="24"/>
          <w:szCs w:val="24"/>
        </w:rPr>
        <w:t xml:space="preserve"> facility by ambulance.’ Conspicuously missing from § 111(b)(3)(C) is the ‘or other place’ language that Congress expressly stated in the earlier subsection.”   </w:t>
      </w:r>
    </w:p>
    <w:p w14:paraId="289D7B05" w14:textId="77777777" w:rsidR="00B00E74" w:rsidRDefault="00B00E74" w:rsidP="00F34D2E">
      <w:pPr>
        <w:pStyle w:val="NoSpacing"/>
        <w:rPr>
          <w:rFonts w:ascii="Times New Roman" w:hAnsi="Times New Roman"/>
          <w:sz w:val="24"/>
          <w:szCs w:val="24"/>
        </w:rPr>
      </w:pPr>
    </w:p>
    <w:p w14:paraId="03EDED95" w14:textId="52086F2A" w:rsidR="00F34D2E" w:rsidRPr="00F34D2E" w:rsidRDefault="00F34D2E" w:rsidP="00F34D2E">
      <w:pPr>
        <w:pStyle w:val="NoSpacing"/>
        <w:rPr>
          <w:rFonts w:ascii="Times New Roman" w:hAnsi="Times New Roman"/>
          <w:bCs/>
          <w:sz w:val="24"/>
          <w:szCs w:val="24"/>
        </w:rPr>
      </w:pPr>
      <w:r w:rsidRPr="00F34D2E">
        <w:rPr>
          <w:rFonts w:ascii="Times New Roman" w:hAnsi="Times New Roman"/>
          <w:sz w:val="24"/>
          <w:szCs w:val="24"/>
        </w:rPr>
        <w:t>HOLDING:</w:t>
      </w:r>
    </w:p>
    <w:p w14:paraId="59C015BD" w14:textId="77777777" w:rsidR="00F34D2E" w:rsidRPr="00F34D2E" w:rsidRDefault="00F34D2E" w:rsidP="00F34D2E">
      <w:pPr>
        <w:pStyle w:val="NoSpacing"/>
        <w:rPr>
          <w:rFonts w:ascii="Times New Roman" w:hAnsi="Times New Roman"/>
          <w:bCs/>
          <w:sz w:val="24"/>
          <w:szCs w:val="24"/>
        </w:rPr>
      </w:pPr>
    </w:p>
    <w:p w14:paraId="390EDEBC" w14:textId="77777777" w:rsidR="00F34D2E" w:rsidRPr="00F34D2E" w:rsidRDefault="00F34D2E" w:rsidP="00F34D2E">
      <w:pPr>
        <w:pStyle w:val="NoSpacing"/>
        <w:ind w:left="720"/>
        <w:rPr>
          <w:rFonts w:ascii="Times New Roman" w:hAnsi="Times New Roman"/>
          <w:bCs/>
          <w:sz w:val="24"/>
          <w:szCs w:val="24"/>
        </w:rPr>
      </w:pPr>
      <w:r w:rsidRPr="00F34D2E">
        <w:rPr>
          <w:rFonts w:ascii="Times New Roman" w:hAnsi="Times New Roman"/>
          <w:sz w:val="24"/>
          <w:szCs w:val="24"/>
        </w:rPr>
        <w:t>”In overturning Chevron, the Supreme Court in Loper Bright held that Chevron’s step-two requirement that a reviewing court defer to an agency’s reasonable statutory</w:t>
      </w:r>
    </w:p>
    <w:p w14:paraId="0A839B6E" w14:textId="77777777" w:rsidR="00F34D2E" w:rsidRPr="00F34D2E" w:rsidRDefault="00F34D2E" w:rsidP="00F34D2E">
      <w:pPr>
        <w:pStyle w:val="NoSpacing"/>
        <w:ind w:left="720"/>
        <w:rPr>
          <w:rFonts w:ascii="Times New Roman" w:hAnsi="Times New Roman"/>
          <w:bCs/>
          <w:sz w:val="24"/>
          <w:szCs w:val="24"/>
        </w:rPr>
      </w:pPr>
      <w:r w:rsidRPr="00F34D2E">
        <w:rPr>
          <w:rFonts w:ascii="Times New Roman" w:hAnsi="Times New Roman"/>
          <w:sz w:val="24"/>
          <w:szCs w:val="24"/>
        </w:rPr>
        <w:t xml:space="preserve">interpretation could not be squared with the reviewing court’s duty under the APA…. </w:t>
      </w:r>
    </w:p>
    <w:p w14:paraId="75EE8939" w14:textId="77777777" w:rsidR="00F34D2E" w:rsidRPr="00F34D2E" w:rsidRDefault="00F34D2E" w:rsidP="00F34D2E">
      <w:pPr>
        <w:pStyle w:val="NoSpacing"/>
        <w:ind w:left="720"/>
        <w:rPr>
          <w:rFonts w:ascii="Times New Roman" w:hAnsi="Times New Roman"/>
          <w:bCs/>
          <w:sz w:val="24"/>
          <w:szCs w:val="24"/>
        </w:rPr>
      </w:pPr>
      <w:r w:rsidRPr="00F34D2E">
        <w:rPr>
          <w:rFonts w:ascii="Times New Roman" w:hAnsi="Times New Roman"/>
          <w:sz w:val="24"/>
          <w:szCs w:val="24"/>
        </w:rPr>
        <w:t>The Supreme Court explained that “[c]</w:t>
      </w:r>
      <w:proofErr w:type="spellStart"/>
      <w:r w:rsidRPr="00F34D2E">
        <w:rPr>
          <w:rFonts w:ascii="Times New Roman" w:hAnsi="Times New Roman"/>
          <w:sz w:val="24"/>
          <w:szCs w:val="24"/>
        </w:rPr>
        <w:t>ourts</w:t>
      </w:r>
      <w:proofErr w:type="spellEnd"/>
      <w:r w:rsidRPr="00F34D2E">
        <w:rPr>
          <w:rFonts w:ascii="Times New Roman" w:hAnsi="Times New Roman"/>
          <w:sz w:val="24"/>
          <w:szCs w:val="24"/>
        </w:rPr>
        <w:t xml:space="preserve"> must exercise their independent judgment in deciding whether an agency has acted within its statutory authority, as the APA requires.” Id. at 2273. [See June 28, </w:t>
      </w:r>
      <w:proofErr w:type="gramStart"/>
      <w:r w:rsidRPr="00F34D2E">
        <w:rPr>
          <w:rFonts w:ascii="Times New Roman" w:hAnsi="Times New Roman"/>
          <w:sz w:val="24"/>
          <w:szCs w:val="24"/>
        </w:rPr>
        <w:t>2024</w:t>
      </w:r>
      <w:proofErr w:type="gramEnd"/>
      <w:r w:rsidRPr="00F34D2E">
        <w:rPr>
          <w:rFonts w:ascii="Times New Roman" w:hAnsi="Times New Roman"/>
          <w:sz w:val="24"/>
          <w:szCs w:val="24"/>
        </w:rPr>
        <w:t xml:space="preserve"> landmark decision: </w:t>
      </w:r>
      <w:hyperlink r:id="rId2124" w:history="1">
        <w:r w:rsidRPr="00F34D2E">
          <w:rPr>
            <w:rStyle w:val="Hyperlink"/>
            <w:rFonts w:ascii="Times New Roman" w:hAnsi="Times New Roman"/>
            <w:sz w:val="24"/>
            <w:szCs w:val="24"/>
          </w:rPr>
          <w:t>https://www.supremecourt.gov/opinions/23pdf/22-451_7m58.pdf</w:t>
        </w:r>
      </w:hyperlink>
      <w:r w:rsidRPr="00F34D2E">
        <w:rPr>
          <w:rFonts w:ascii="Times New Roman" w:hAnsi="Times New Roman"/>
          <w:sz w:val="24"/>
          <w:szCs w:val="24"/>
        </w:rPr>
        <w:t xml:space="preserve"> ]</w:t>
      </w:r>
    </w:p>
    <w:p w14:paraId="5B134DBC" w14:textId="77777777" w:rsidR="00F34D2E" w:rsidRPr="00F34D2E" w:rsidRDefault="00F34D2E" w:rsidP="00F34D2E">
      <w:pPr>
        <w:pStyle w:val="NoSpacing"/>
        <w:rPr>
          <w:rFonts w:ascii="Times New Roman" w:hAnsi="Times New Roman"/>
          <w:bCs/>
          <w:sz w:val="24"/>
          <w:szCs w:val="24"/>
        </w:rPr>
      </w:pPr>
    </w:p>
    <w:p w14:paraId="0E9A1338" w14:textId="77777777" w:rsidR="00F34D2E" w:rsidRPr="00F34D2E" w:rsidRDefault="00F34D2E" w:rsidP="00F34D2E">
      <w:pPr>
        <w:pStyle w:val="NoSpacing"/>
        <w:ind w:left="720"/>
        <w:rPr>
          <w:rFonts w:ascii="Times New Roman" w:hAnsi="Times New Roman"/>
          <w:bCs/>
          <w:sz w:val="24"/>
          <w:szCs w:val="24"/>
        </w:rPr>
      </w:pPr>
      <w:r w:rsidRPr="00F34D2E">
        <w:rPr>
          <w:rFonts w:ascii="Times New Roman" w:hAnsi="Times New Roman"/>
          <w:sz w:val="24"/>
          <w:szCs w:val="24"/>
        </w:rPr>
        <w:t xml:space="preserve">Thus, while in § 111(a) Congress authorized the Secretary to ‘pay the actual necessary expense’ for travel ‘to or from a </w:t>
      </w:r>
      <w:proofErr w:type="gramStart"/>
      <w:r w:rsidRPr="00F34D2E">
        <w:rPr>
          <w:rFonts w:ascii="Times New Roman" w:hAnsi="Times New Roman"/>
          <w:sz w:val="24"/>
          <w:szCs w:val="24"/>
        </w:rPr>
        <w:t>Department</w:t>
      </w:r>
      <w:proofErr w:type="gramEnd"/>
      <w:r w:rsidRPr="00F34D2E">
        <w:rPr>
          <w:rFonts w:ascii="Times New Roman" w:hAnsi="Times New Roman"/>
          <w:sz w:val="24"/>
          <w:szCs w:val="24"/>
        </w:rPr>
        <w:t xml:space="preserve"> facility or other place,’ Congress only</w:t>
      </w:r>
    </w:p>
    <w:p w14:paraId="47E010BA" w14:textId="77777777" w:rsidR="00F34D2E" w:rsidRPr="00F34D2E" w:rsidRDefault="00F34D2E" w:rsidP="00F34D2E">
      <w:pPr>
        <w:pStyle w:val="NoSpacing"/>
        <w:ind w:left="720"/>
        <w:rPr>
          <w:rFonts w:ascii="Times New Roman" w:hAnsi="Times New Roman"/>
          <w:bCs/>
          <w:sz w:val="24"/>
          <w:szCs w:val="24"/>
        </w:rPr>
      </w:pPr>
      <w:r w:rsidRPr="00F34D2E">
        <w:rPr>
          <w:rFonts w:ascii="Times New Roman" w:hAnsi="Times New Roman"/>
          <w:sz w:val="24"/>
          <w:szCs w:val="24"/>
        </w:rPr>
        <w:t xml:space="preserve">authorized the Secretary in § 111(b)(3)(C) to apply the ‘lessor of’ payment methodology for transports ‘to or from a </w:t>
      </w:r>
      <w:proofErr w:type="gramStart"/>
      <w:r w:rsidRPr="00F34D2E">
        <w:rPr>
          <w:rFonts w:ascii="Times New Roman" w:hAnsi="Times New Roman"/>
          <w:sz w:val="24"/>
          <w:szCs w:val="24"/>
        </w:rPr>
        <w:t>Department</w:t>
      </w:r>
      <w:proofErr w:type="gramEnd"/>
      <w:r w:rsidRPr="00F34D2E">
        <w:rPr>
          <w:rFonts w:ascii="Times New Roman" w:hAnsi="Times New Roman"/>
          <w:sz w:val="24"/>
          <w:szCs w:val="24"/>
        </w:rPr>
        <w:t xml:space="preserve"> facility by ambulance.’ Conspicuously missing from § 111(b)(3)(C) is the ‘or other place’ language that Congress expressly stated in the earlier subsection. ‘We assume Congress means what it says and says what it means.’ Sanho Corp. v. </w:t>
      </w:r>
      <w:proofErr w:type="spellStart"/>
      <w:r w:rsidRPr="00F34D2E">
        <w:rPr>
          <w:rFonts w:ascii="Times New Roman" w:hAnsi="Times New Roman"/>
          <w:sz w:val="24"/>
          <w:szCs w:val="24"/>
        </w:rPr>
        <w:t>Kaijet</w:t>
      </w:r>
      <w:proofErr w:type="spellEnd"/>
      <w:r w:rsidRPr="00F34D2E">
        <w:rPr>
          <w:rFonts w:ascii="Times New Roman" w:hAnsi="Times New Roman"/>
          <w:sz w:val="24"/>
          <w:szCs w:val="24"/>
        </w:rPr>
        <w:t xml:space="preserve"> Tech. Int’l Ltd., Inc., 108 F.4th 1376, 1382 (Fed. Cir. 2024)….</w:t>
      </w:r>
    </w:p>
    <w:p w14:paraId="79EE910C" w14:textId="77777777" w:rsidR="00F34D2E" w:rsidRPr="00F34D2E" w:rsidRDefault="00F34D2E" w:rsidP="00F34D2E">
      <w:pPr>
        <w:pStyle w:val="NoSpacing"/>
        <w:ind w:left="720"/>
        <w:rPr>
          <w:rFonts w:ascii="Times New Roman" w:hAnsi="Times New Roman"/>
          <w:bCs/>
          <w:sz w:val="24"/>
          <w:szCs w:val="24"/>
        </w:rPr>
      </w:pPr>
    </w:p>
    <w:p w14:paraId="503F85A0" w14:textId="77777777" w:rsidR="00F34D2E" w:rsidRPr="00F34D2E" w:rsidRDefault="00F34D2E" w:rsidP="00F34D2E">
      <w:pPr>
        <w:pStyle w:val="NoSpacing"/>
        <w:ind w:left="720"/>
        <w:rPr>
          <w:rFonts w:ascii="Times New Roman" w:hAnsi="Times New Roman"/>
          <w:bCs/>
          <w:sz w:val="24"/>
          <w:szCs w:val="24"/>
        </w:rPr>
      </w:pPr>
      <w:r w:rsidRPr="00F34D2E">
        <w:rPr>
          <w:rFonts w:ascii="Times New Roman" w:hAnsi="Times New Roman"/>
          <w:sz w:val="24"/>
          <w:szCs w:val="24"/>
        </w:rPr>
        <w:t>***</w:t>
      </w:r>
    </w:p>
    <w:p w14:paraId="2FF6262A" w14:textId="77777777" w:rsidR="00F34D2E" w:rsidRPr="00F34D2E" w:rsidRDefault="00F34D2E" w:rsidP="00F34D2E">
      <w:pPr>
        <w:pStyle w:val="NoSpacing"/>
        <w:ind w:left="720"/>
        <w:rPr>
          <w:rFonts w:ascii="Times New Roman" w:hAnsi="Times New Roman"/>
          <w:bCs/>
          <w:sz w:val="24"/>
          <w:szCs w:val="24"/>
        </w:rPr>
      </w:pPr>
      <w:r w:rsidRPr="00F34D2E">
        <w:rPr>
          <w:rFonts w:ascii="Times New Roman" w:hAnsi="Times New Roman"/>
          <w:sz w:val="24"/>
          <w:szCs w:val="24"/>
        </w:rPr>
        <w:t>For the foregoing reasons, we grant the petition and set aside the final promulgated rule Change in Rates VA Pays for Special Modes of Transportation, 88 Fed. Reg. 10,032 (Feb. 16, 2023).”</w:t>
      </w:r>
    </w:p>
    <w:p w14:paraId="1122E756" w14:textId="77777777" w:rsidR="00F34D2E" w:rsidRPr="00F34D2E" w:rsidRDefault="00F34D2E" w:rsidP="00F34D2E">
      <w:pPr>
        <w:pStyle w:val="NoSpacing"/>
        <w:ind w:left="720"/>
        <w:rPr>
          <w:rFonts w:ascii="Times New Roman" w:hAnsi="Times New Roman"/>
          <w:bCs/>
          <w:sz w:val="24"/>
          <w:szCs w:val="24"/>
        </w:rPr>
      </w:pPr>
    </w:p>
    <w:p w14:paraId="03118C10" w14:textId="29E3ADC6" w:rsidR="00F34D2E" w:rsidRPr="00F34D2E" w:rsidRDefault="00F34D2E" w:rsidP="00F34D2E">
      <w:pPr>
        <w:pStyle w:val="NoSpacing"/>
        <w:rPr>
          <w:rFonts w:ascii="Times New Roman" w:hAnsi="Times New Roman"/>
          <w:b/>
          <w:sz w:val="24"/>
          <w:szCs w:val="24"/>
        </w:rPr>
      </w:pPr>
      <w:r w:rsidRPr="00F34D2E">
        <w:rPr>
          <w:rFonts w:ascii="Times New Roman" w:hAnsi="Times New Roman"/>
          <w:b/>
          <w:sz w:val="24"/>
          <w:szCs w:val="24"/>
        </w:rPr>
        <w:t xml:space="preserve">Legal Lesson Learned: EMS transport companies nationwide will benefit from this decision.  It </w:t>
      </w:r>
      <w:r>
        <w:rPr>
          <w:rFonts w:ascii="Times New Roman" w:hAnsi="Times New Roman"/>
          <w:b/>
          <w:sz w:val="24"/>
          <w:szCs w:val="24"/>
        </w:rPr>
        <w:t xml:space="preserve">is </w:t>
      </w:r>
      <w:r w:rsidRPr="00F34D2E">
        <w:rPr>
          <w:rFonts w:ascii="Times New Roman" w:hAnsi="Times New Roman"/>
          <w:b/>
          <w:sz w:val="24"/>
          <w:szCs w:val="24"/>
        </w:rPr>
        <w:t>one of the first cases overturning a federal agency regulation since the U.S. Supreme Court set aside the “Chevron doctrine.”</w:t>
      </w:r>
    </w:p>
    <w:p w14:paraId="5336EFAB" w14:textId="77777777" w:rsidR="00F34D2E" w:rsidRPr="00F34D2E" w:rsidRDefault="00F34D2E" w:rsidP="00F34D2E">
      <w:pPr>
        <w:pStyle w:val="NoSpacing"/>
        <w:ind w:left="720"/>
        <w:rPr>
          <w:rFonts w:ascii="Times New Roman" w:hAnsi="Times New Roman"/>
          <w:bCs/>
          <w:sz w:val="24"/>
          <w:szCs w:val="24"/>
        </w:rPr>
      </w:pPr>
    </w:p>
    <w:p w14:paraId="7D955341" w14:textId="77777777" w:rsidR="00F34D2E" w:rsidRPr="00F34D2E" w:rsidRDefault="00F34D2E" w:rsidP="00F34D2E">
      <w:pPr>
        <w:pStyle w:val="NoSpacing"/>
        <w:ind w:left="720"/>
        <w:rPr>
          <w:rFonts w:ascii="Times New Roman" w:hAnsi="Times New Roman"/>
          <w:bCs/>
          <w:sz w:val="24"/>
          <w:szCs w:val="24"/>
        </w:rPr>
      </w:pPr>
      <w:r w:rsidRPr="00F34D2E">
        <w:rPr>
          <w:rFonts w:ascii="Times New Roman" w:hAnsi="Times New Roman"/>
          <w:sz w:val="24"/>
          <w:szCs w:val="24"/>
        </w:rPr>
        <w:t xml:space="preserve">Note: See Dec. 9, </w:t>
      </w:r>
      <w:proofErr w:type="gramStart"/>
      <w:r w:rsidRPr="00F34D2E">
        <w:rPr>
          <w:rFonts w:ascii="Times New Roman" w:hAnsi="Times New Roman"/>
          <w:sz w:val="24"/>
          <w:szCs w:val="24"/>
        </w:rPr>
        <w:t>2024</w:t>
      </w:r>
      <w:proofErr w:type="gramEnd"/>
      <w:r w:rsidRPr="00F34D2E">
        <w:rPr>
          <w:rFonts w:ascii="Times New Roman" w:hAnsi="Times New Roman"/>
          <w:sz w:val="24"/>
          <w:szCs w:val="24"/>
        </w:rPr>
        <w:t xml:space="preserve"> article, “Federal court vacates VA rule reducing ambulance payments.” The regulation aimed to tie reimbursement rates for ambulance services to the lesser of a provider’s actual charges or the Medicare Fee Schedule rate, even for </w:t>
      </w:r>
      <w:proofErr w:type="gramStart"/>
      <w:r w:rsidRPr="00F34D2E">
        <w:rPr>
          <w:rFonts w:ascii="Times New Roman" w:hAnsi="Times New Roman"/>
          <w:sz w:val="24"/>
          <w:szCs w:val="24"/>
        </w:rPr>
        <w:t>transports</w:t>
      </w:r>
      <w:proofErr w:type="gramEnd"/>
      <w:r w:rsidRPr="00F34D2E">
        <w:rPr>
          <w:rFonts w:ascii="Times New Roman" w:hAnsi="Times New Roman"/>
          <w:sz w:val="24"/>
          <w:szCs w:val="24"/>
        </w:rPr>
        <w:t xml:space="preserve"> unrelated to VA facilities. </w:t>
      </w:r>
    </w:p>
    <w:p w14:paraId="5BA92B45" w14:textId="64A7D72D" w:rsidR="00F34D2E" w:rsidRDefault="00F34D2E" w:rsidP="00F34D2E">
      <w:pPr>
        <w:rPr>
          <w:rFonts w:ascii="Arial Black" w:hAnsi="Arial Black"/>
          <w:b/>
          <w:bCs/>
          <w:sz w:val="28"/>
          <w:szCs w:val="28"/>
        </w:rPr>
      </w:pPr>
      <w:hyperlink r:id="rId2125" w:history="1">
        <w:r w:rsidRPr="00F34D2E">
          <w:rPr>
            <w:rStyle w:val="Hyperlink"/>
            <w:rFonts w:ascii="Times New Roman" w:hAnsi="Times New Roman"/>
            <w:sz w:val="24"/>
            <w:szCs w:val="24"/>
          </w:rPr>
          <w:t>https://www.ems1.com/legal/federal-court-overturns-va-rule-reducing-ambulance-payments</w:t>
        </w:r>
      </w:hyperlink>
    </w:p>
    <w:p w14:paraId="5A5BCCB0" w14:textId="77777777" w:rsidR="00FE343A" w:rsidRDefault="00FE343A" w:rsidP="002B1283">
      <w:pPr>
        <w:rPr>
          <w:rFonts w:ascii="Arial Black" w:hAnsi="Arial Black"/>
          <w:b/>
          <w:bCs/>
          <w:sz w:val="28"/>
          <w:szCs w:val="28"/>
        </w:rPr>
      </w:pPr>
    </w:p>
    <w:p w14:paraId="3710DF25" w14:textId="77777777" w:rsidR="00FE343A" w:rsidRDefault="00FE343A" w:rsidP="002B1283">
      <w:pPr>
        <w:rPr>
          <w:rFonts w:ascii="Arial Black" w:hAnsi="Arial Black"/>
          <w:b/>
          <w:bCs/>
          <w:sz w:val="28"/>
          <w:szCs w:val="28"/>
        </w:rPr>
      </w:pPr>
    </w:p>
    <w:p w14:paraId="6E56A7F9" w14:textId="0EC85927" w:rsidR="00AE7F1F" w:rsidRDefault="00AE7F1F" w:rsidP="002B1283">
      <w:pPr>
        <w:rPr>
          <w:rFonts w:ascii="Arial Black" w:hAnsi="Arial Black"/>
          <w:b/>
          <w:bCs/>
          <w:sz w:val="28"/>
          <w:szCs w:val="28"/>
        </w:rPr>
      </w:pPr>
      <w:r>
        <w:rPr>
          <w:rFonts w:ascii="Arial Black" w:hAnsi="Arial Black"/>
          <w:b/>
          <w:bCs/>
          <w:sz w:val="28"/>
          <w:szCs w:val="28"/>
        </w:rPr>
        <w:t>13-199</w:t>
      </w:r>
    </w:p>
    <w:p w14:paraId="60F8DCA2" w14:textId="77777777" w:rsidR="009438F6" w:rsidRPr="00E363AD" w:rsidRDefault="009438F6" w:rsidP="009438F6">
      <w:pPr>
        <w:pStyle w:val="NoSpacing"/>
        <w:rPr>
          <w:rFonts w:ascii="Arial Black" w:hAnsi="Arial Black"/>
          <w:b/>
          <w:sz w:val="28"/>
          <w:szCs w:val="28"/>
        </w:rPr>
      </w:pPr>
      <w:r>
        <w:rPr>
          <w:rFonts w:ascii="Arial Black" w:hAnsi="Arial Black"/>
          <w:b/>
          <w:sz w:val="28"/>
          <w:szCs w:val="28"/>
        </w:rPr>
        <w:t>CA: HEAD-ON MVA – PT REFUSED TREATMENT – LATER HAD A STROKE – MEDICS IMMUNITY / NO REQ. TO TAKE VITALS</w:t>
      </w:r>
    </w:p>
    <w:p w14:paraId="6BAA5AA5" w14:textId="77777777" w:rsidR="00EE5426" w:rsidRDefault="00EE5426" w:rsidP="00EE5426">
      <w:pPr>
        <w:pStyle w:val="NoSpacing"/>
        <w:ind w:firstLine="720"/>
        <w:rPr>
          <w:b/>
        </w:rPr>
      </w:pPr>
    </w:p>
    <w:p w14:paraId="01644B54" w14:textId="77777777" w:rsidR="00EE5426" w:rsidRPr="00F12753" w:rsidRDefault="00EE5426" w:rsidP="00EE5426">
      <w:pPr>
        <w:pStyle w:val="NoSpacing"/>
        <w:rPr>
          <w:rFonts w:ascii="Times New Roman" w:hAnsi="Times New Roman"/>
          <w:sz w:val="24"/>
          <w:szCs w:val="24"/>
        </w:rPr>
      </w:pPr>
      <w:r w:rsidRPr="00F12753">
        <w:rPr>
          <w:rFonts w:ascii="Times New Roman" w:hAnsi="Times New Roman"/>
          <w:sz w:val="24"/>
          <w:szCs w:val="24"/>
        </w:rPr>
        <w:t xml:space="preserve">On Nov. 25, 2024, in </w:t>
      </w:r>
      <w:r w:rsidRPr="00F12753">
        <w:rPr>
          <w:rFonts w:ascii="Times New Roman" w:hAnsi="Times New Roman"/>
          <w:sz w:val="24"/>
          <w:szCs w:val="24"/>
          <w:u w:val="single"/>
        </w:rPr>
        <w:t>Marites Murphy v. City of Petaluma, et al</w:t>
      </w:r>
      <w:r w:rsidRPr="00F12753">
        <w:rPr>
          <w:rFonts w:ascii="Times New Roman" w:hAnsi="Times New Roman"/>
          <w:sz w:val="24"/>
          <w:szCs w:val="24"/>
        </w:rPr>
        <w:t xml:space="preserve">., the California Court of Appeal, First District, Division 1 held (3 to 0) that the trial court judge properly granted summary judgment to the City and the medics.  The Court wrote: “The paramedics did not make Murphy any promises with respect to medical assistance, let alone fail to follow through on such promises. They did not ignore any requests for such assistance. </w:t>
      </w:r>
      <w:proofErr w:type="gramStart"/>
      <w:r w:rsidRPr="00F12753">
        <w:rPr>
          <w:rFonts w:ascii="Times New Roman" w:hAnsi="Times New Roman"/>
          <w:sz w:val="24"/>
          <w:szCs w:val="24"/>
        </w:rPr>
        <w:t>To</w:t>
      </w:r>
      <w:proofErr w:type="gramEnd"/>
      <w:r w:rsidRPr="00F12753">
        <w:rPr>
          <w:rFonts w:ascii="Times New Roman" w:hAnsi="Times New Roman"/>
          <w:sz w:val="24"/>
          <w:szCs w:val="24"/>
        </w:rPr>
        <w:t xml:space="preserve"> the contrary, they urged her to let them provide medical assistance and warned her that symptoms of a serious, even life threatening, injury could be delayed. She nevertheless reiterated she did not want medical assistance or transport to a hospital for examination. And while Murphy claims the paramedics failed to conduct a medical assessment sufficient to detect a potential brain injury or hypertensive crisis, the crisis she subsequently experienced was caused by the collision…. We therefore conclude, given the undisputed facts in this case, the trial court correctly ruled the paramedics did not, under the negligent undertaking doctrine, have a duty to render medical assistance to Murphy in accordance with the standard of care applicable such </w:t>
      </w:r>
      <w:proofErr w:type="gramStart"/>
      <w:r w:rsidRPr="00F12753">
        <w:rPr>
          <w:rFonts w:ascii="Times New Roman" w:hAnsi="Times New Roman"/>
          <w:sz w:val="24"/>
          <w:szCs w:val="24"/>
        </w:rPr>
        <w:t>assistance.”</w:t>
      </w:r>
      <w:proofErr w:type="gramEnd"/>
      <w:r w:rsidRPr="00F12753">
        <w:rPr>
          <w:rFonts w:ascii="Times New Roman" w:hAnsi="Times New Roman"/>
          <w:sz w:val="24"/>
          <w:szCs w:val="24"/>
        </w:rPr>
        <w:t xml:space="preserve"> </w:t>
      </w:r>
      <w:hyperlink r:id="rId2126" w:history="1">
        <w:r w:rsidRPr="00F12753">
          <w:rPr>
            <w:rStyle w:val="Hyperlink"/>
            <w:rFonts w:ascii="Times New Roman" w:hAnsi="Times New Roman"/>
            <w:sz w:val="24"/>
            <w:szCs w:val="24"/>
          </w:rPr>
          <w:t>https://caselaw.findlaw.com/court/ca-court-of-appeal/116718051.html</w:t>
        </w:r>
      </w:hyperlink>
      <w:r w:rsidRPr="00F12753">
        <w:rPr>
          <w:rFonts w:ascii="Times New Roman" w:hAnsi="Times New Roman"/>
          <w:sz w:val="24"/>
          <w:szCs w:val="24"/>
        </w:rPr>
        <w:t xml:space="preserve"> </w:t>
      </w:r>
    </w:p>
    <w:p w14:paraId="7FAA91D4" w14:textId="77777777" w:rsidR="00EE5426" w:rsidRPr="00F12753" w:rsidRDefault="00EE5426" w:rsidP="00EE5426">
      <w:pPr>
        <w:pStyle w:val="NoSpacing"/>
        <w:rPr>
          <w:rFonts w:ascii="Times New Roman" w:hAnsi="Times New Roman"/>
          <w:bCs/>
          <w:sz w:val="24"/>
          <w:szCs w:val="24"/>
        </w:rPr>
      </w:pPr>
    </w:p>
    <w:p w14:paraId="459398AA" w14:textId="77777777" w:rsidR="007C3144" w:rsidRPr="00F12753" w:rsidRDefault="007C3144" w:rsidP="007C3144">
      <w:pPr>
        <w:pStyle w:val="NoSpacing"/>
        <w:rPr>
          <w:rFonts w:ascii="Times New Roman" w:hAnsi="Times New Roman"/>
          <w:b/>
          <w:bCs/>
          <w:sz w:val="24"/>
          <w:szCs w:val="24"/>
        </w:rPr>
      </w:pPr>
      <w:r w:rsidRPr="00F12753">
        <w:rPr>
          <w:rFonts w:ascii="Times New Roman" w:hAnsi="Times New Roman"/>
          <w:b/>
          <w:sz w:val="24"/>
          <w:szCs w:val="24"/>
        </w:rPr>
        <w:t xml:space="preserve">Legal Lesson Learned: Plaintiff refused treatment; no obligation of medics to take vitals.  Best practice – have individual sign a Refusal of Care form. </w:t>
      </w:r>
    </w:p>
    <w:p w14:paraId="4A5483CE" w14:textId="77777777" w:rsidR="007C3144" w:rsidRPr="00102ABD" w:rsidRDefault="007C3144" w:rsidP="007C3144">
      <w:pPr>
        <w:pStyle w:val="NoSpacing"/>
        <w:ind w:left="720"/>
        <w:rPr>
          <w:bCs/>
        </w:rPr>
      </w:pPr>
    </w:p>
    <w:p w14:paraId="2E95722D" w14:textId="77777777" w:rsidR="00AE7F1F" w:rsidRDefault="00AE7F1F" w:rsidP="002B1283">
      <w:pPr>
        <w:rPr>
          <w:rFonts w:ascii="Arial Black" w:hAnsi="Arial Black"/>
          <w:b/>
          <w:bCs/>
          <w:sz w:val="28"/>
          <w:szCs w:val="28"/>
        </w:rPr>
      </w:pPr>
    </w:p>
    <w:p w14:paraId="268AAC33" w14:textId="77777777" w:rsidR="00AE7F1F" w:rsidRDefault="00AE7F1F" w:rsidP="002B1283">
      <w:pPr>
        <w:rPr>
          <w:rFonts w:ascii="Arial Black" w:hAnsi="Arial Black"/>
          <w:b/>
          <w:bCs/>
          <w:sz w:val="28"/>
          <w:szCs w:val="28"/>
        </w:rPr>
      </w:pPr>
    </w:p>
    <w:p w14:paraId="0FE38748" w14:textId="0D76EDBA" w:rsidR="00533809" w:rsidRDefault="00896019" w:rsidP="002B1283">
      <w:pPr>
        <w:rPr>
          <w:rFonts w:ascii="Arial Black" w:hAnsi="Arial Black"/>
          <w:b/>
          <w:bCs/>
          <w:sz w:val="28"/>
          <w:szCs w:val="28"/>
        </w:rPr>
      </w:pPr>
      <w:r>
        <w:rPr>
          <w:rFonts w:ascii="Arial Black" w:hAnsi="Arial Black"/>
          <w:b/>
          <w:bCs/>
          <w:sz w:val="28"/>
          <w:szCs w:val="28"/>
        </w:rPr>
        <w:t>13-198</w:t>
      </w:r>
    </w:p>
    <w:p w14:paraId="3A5CB115" w14:textId="77777777" w:rsidR="00E97069" w:rsidRPr="005121C3" w:rsidRDefault="00E97069" w:rsidP="00E97069">
      <w:pPr>
        <w:pStyle w:val="NoSpacing"/>
        <w:rPr>
          <w:rFonts w:ascii="Arial Black" w:hAnsi="Arial Black"/>
          <w:sz w:val="28"/>
          <w:szCs w:val="28"/>
        </w:rPr>
      </w:pPr>
      <w:r>
        <w:rPr>
          <w:rFonts w:ascii="Arial Black" w:hAnsi="Arial Black"/>
          <w:sz w:val="28"/>
          <w:szCs w:val="28"/>
        </w:rPr>
        <w:t>NJ: INTUBATION 21-MONTH-OLD TODDLER – 3</w:t>
      </w:r>
      <w:r w:rsidRPr="00DD0BBB">
        <w:rPr>
          <w:rFonts w:ascii="Arial Black" w:hAnsi="Arial Black"/>
          <w:sz w:val="28"/>
          <w:szCs w:val="28"/>
          <w:vertAlign w:val="superscript"/>
        </w:rPr>
        <w:t>rd</w:t>
      </w:r>
      <w:r>
        <w:rPr>
          <w:rFonts w:ascii="Arial Black" w:hAnsi="Arial Black"/>
          <w:sz w:val="28"/>
          <w:szCs w:val="28"/>
        </w:rPr>
        <w:t xml:space="preserve"> ATTEMPT</w:t>
      </w:r>
      <w:r>
        <w:rPr>
          <w:rFonts w:ascii="Arial Black" w:hAnsi="Arial Black"/>
          <w:sz w:val="28"/>
          <w:szCs w:val="28"/>
          <w:vertAlign w:val="superscript"/>
        </w:rPr>
        <w:t xml:space="preserve"> </w:t>
      </w:r>
      <w:r>
        <w:rPr>
          <w:rFonts w:ascii="Arial Black" w:hAnsi="Arial Black"/>
          <w:sz w:val="28"/>
          <w:szCs w:val="28"/>
        </w:rPr>
        <w:t xml:space="preserve"> IN TRACHEA – NO GROSS NEGLIGENCE - QUALIFIED IMMUNITY</w:t>
      </w:r>
    </w:p>
    <w:p w14:paraId="11023EFC" w14:textId="77777777" w:rsidR="00E97069" w:rsidRDefault="00E97069" w:rsidP="00E97069">
      <w:pPr>
        <w:pStyle w:val="NoSpacing"/>
      </w:pPr>
    </w:p>
    <w:p w14:paraId="1E37008C" w14:textId="77777777" w:rsidR="00E97069" w:rsidRPr="00AE7F1F" w:rsidRDefault="00E97069" w:rsidP="00E97069">
      <w:pPr>
        <w:pStyle w:val="NoSpacing"/>
        <w:rPr>
          <w:rFonts w:ascii="Times New Roman" w:hAnsi="Times New Roman"/>
          <w:sz w:val="24"/>
          <w:szCs w:val="24"/>
        </w:rPr>
      </w:pPr>
      <w:r w:rsidRPr="00AE7F1F">
        <w:rPr>
          <w:rFonts w:ascii="Times New Roman" w:hAnsi="Times New Roman"/>
          <w:sz w:val="24"/>
          <w:szCs w:val="24"/>
        </w:rPr>
        <w:t xml:space="preserve">On Nov. 18, 2024, in </w:t>
      </w:r>
      <w:r w:rsidRPr="00AE7F1F">
        <w:rPr>
          <w:rFonts w:ascii="Times New Roman" w:hAnsi="Times New Roman"/>
          <w:sz w:val="24"/>
          <w:szCs w:val="24"/>
          <w:u w:val="single"/>
        </w:rPr>
        <w:t>Jari Almonte and Yahaira Almanzar, parents of Jeremt Almonte v. Township of Union, et al</w:t>
      </w:r>
      <w:r w:rsidRPr="00AE7F1F">
        <w:rPr>
          <w:rFonts w:ascii="Times New Roman" w:hAnsi="Times New Roman"/>
          <w:sz w:val="24"/>
          <w:szCs w:val="24"/>
        </w:rPr>
        <w:t xml:space="preserve">., the Superior Court of New Jersey held (3 to 0; unpublished decision) that trial court properly concluded there was no gross negligence and therefore the medic enjoyed qualified immunity. The Court wrote: “Here, the extensive record, viewed in the light most favorable to plaintiffs, does not support a finding of gross negligence.” </w:t>
      </w:r>
      <w:hyperlink r:id="rId2127" w:history="1">
        <w:r w:rsidRPr="00AE7F1F">
          <w:rPr>
            <w:rStyle w:val="Hyperlink"/>
            <w:rFonts w:ascii="Times New Roman" w:hAnsi="Times New Roman"/>
            <w:sz w:val="24"/>
            <w:szCs w:val="24"/>
          </w:rPr>
          <w:t>https://www.njcourts.gov/system/files/court-opinions/2024/a2968-22.pdf</w:t>
        </w:r>
      </w:hyperlink>
      <w:r w:rsidRPr="00AE7F1F">
        <w:rPr>
          <w:rFonts w:ascii="Times New Roman" w:hAnsi="Times New Roman"/>
          <w:sz w:val="24"/>
          <w:szCs w:val="24"/>
        </w:rPr>
        <w:t xml:space="preserve"> </w:t>
      </w:r>
    </w:p>
    <w:p w14:paraId="3F1CBAC6" w14:textId="77777777" w:rsidR="00E97069" w:rsidRPr="00AE7F1F" w:rsidRDefault="00E97069" w:rsidP="00E97069">
      <w:pPr>
        <w:pStyle w:val="NoSpacing"/>
        <w:rPr>
          <w:rFonts w:ascii="Times New Roman" w:hAnsi="Times New Roman"/>
          <w:sz w:val="24"/>
          <w:szCs w:val="24"/>
        </w:rPr>
      </w:pPr>
    </w:p>
    <w:p w14:paraId="03E27C0E" w14:textId="77777777" w:rsidR="00AE7F1F" w:rsidRPr="00AE7F1F" w:rsidRDefault="00AE7F1F" w:rsidP="00AE7F1F">
      <w:pPr>
        <w:pStyle w:val="NoSpacing"/>
        <w:rPr>
          <w:rFonts w:ascii="Times New Roman" w:hAnsi="Times New Roman"/>
          <w:b/>
          <w:bCs/>
          <w:sz w:val="24"/>
          <w:szCs w:val="24"/>
        </w:rPr>
      </w:pPr>
      <w:r w:rsidRPr="00AE7F1F">
        <w:rPr>
          <w:rFonts w:ascii="Times New Roman" w:hAnsi="Times New Roman"/>
          <w:b/>
          <w:sz w:val="24"/>
          <w:szCs w:val="24"/>
        </w:rPr>
        <w:t xml:space="preserve">Legal Lesson Learned: </w:t>
      </w:r>
      <w:r w:rsidRPr="00AE7F1F">
        <w:rPr>
          <w:rFonts w:ascii="Times New Roman" w:hAnsi="Times New Roman"/>
          <w:b/>
          <w:bCs/>
          <w:sz w:val="24"/>
          <w:szCs w:val="24"/>
        </w:rPr>
        <w:t xml:space="preserve">Failed intubation attempts </w:t>
      </w:r>
      <w:proofErr w:type="gramStart"/>
      <w:r w:rsidRPr="00AE7F1F">
        <w:rPr>
          <w:rFonts w:ascii="Times New Roman" w:hAnsi="Times New Roman"/>
          <w:b/>
          <w:bCs/>
          <w:sz w:val="24"/>
          <w:szCs w:val="24"/>
        </w:rPr>
        <w:t>is</w:t>
      </w:r>
      <w:proofErr w:type="gramEnd"/>
      <w:r w:rsidRPr="00AE7F1F">
        <w:rPr>
          <w:rFonts w:ascii="Times New Roman" w:hAnsi="Times New Roman"/>
          <w:b/>
          <w:bCs/>
          <w:sz w:val="24"/>
          <w:szCs w:val="24"/>
        </w:rPr>
        <w:t xml:space="preserve"> not </w:t>
      </w:r>
      <w:r w:rsidRPr="00AE7F1F">
        <w:rPr>
          <w:rFonts w:ascii="Times New Roman" w:hAnsi="Times New Roman"/>
          <w:b/>
          <w:sz w:val="24"/>
          <w:szCs w:val="24"/>
        </w:rPr>
        <w:t xml:space="preserve">proof of gross negligence.  </w:t>
      </w:r>
    </w:p>
    <w:p w14:paraId="22BDEA06" w14:textId="77777777" w:rsidR="00AE7F1F" w:rsidRPr="00AE7F1F" w:rsidRDefault="00AE7F1F" w:rsidP="00AE7F1F">
      <w:pPr>
        <w:pStyle w:val="NoSpacing"/>
        <w:ind w:left="720"/>
        <w:rPr>
          <w:rFonts w:ascii="Times New Roman" w:hAnsi="Times New Roman"/>
          <w:sz w:val="24"/>
          <w:szCs w:val="24"/>
        </w:rPr>
      </w:pPr>
    </w:p>
    <w:p w14:paraId="111E3978" w14:textId="77777777" w:rsidR="00896019" w:rsidRDefault="00896019" w:rsidP="002B1283">
      <w:pPr>
        <w:rPr>
          <w:rFonts w:ascii="Arial Black" w:hAnsi="Arial Black"/>
          <w:b/>
          <w:bCs/>
          <w:sz w:val="28"/>
          <w:szCs w:val="28"/>
        </w:rPr>
      </w:pPr>
    </w:p>
    <w:p w14:paraId="202916E2" w14:textId="4C936CDC" w:rsidR="00533809" w:rsidRDefault="00533809" w:rsidP="002B1283">
      <w:pPr>
        <w:rPr>
          <w:rFonts w:ascii="Arial Black" w:hAnsi="Arial Black"/>
          <w:b/>
          <w:bCs/>
          <w:sz w:val="28"/>
          <w:szCs w:val="28"/>
        </w:rPr>
      </w:pPr>
      <w:r>
        <w:rPr>
          <w:rFonts w:ascii="Arial Black" w:hAnsi="Arial Black"/>
          <w:b/>
          <w:bCs/>
          <w:sz w:val="28"/>
          <w:szCs w:val="28"/>
        </w:rPr>
        <w:t>13-197</w:t>
      </w:r>
    </w:p>
    <w:p w14:paraId="1CE997CC" w14:textId="01DCAC67" w:rsidR="00533809" w:rsidRPr="00B41C31" w:rsidRDefault="00533809" w:rsidP="00533809">
      <w:pPr>
        <w:pStyle w:val="NoSpacing"/>
        <w:rPr>
          <w:rFonts w:ascii="Arial Black" w:hAnsi="Arial Black"/>
          <w:b/>
          <w:sz w:val="28"/>
          <w:szCs w:val="28"/>
        </w:rPr>
      </w:pPr>
      <w:r>
        <w:rPr>
          <w:rFonts w:ascii="Arial Black" w:hAnsi="Arial Black"/>
          <w:b/>
          <w:sz w:val="28"/>
          <w:szCs w:val="28"/>
        </w:rPr>
        <w:lastRenderedPageBreak/>
        <w:t xml:space="preserve">ID: MEDICAL AMNESTY LAW - UNCONSCIOUS DRIVER – FD FORCED ENTRY – DRUGS FOUND – NO </w:t>
      </w:r>
      <w:r w:rsidR="00FE4FB4">
        <w:rPr>
          <w:rFonts w:ascii="Arial Black" w:hAnsi="Arial Black"/>
          <w:b/>
          <w:sz w:val="28"/>
          <w:szCs w:val="28"/>
        </w:rPr>
        <w:t xml:space="preserve">CRIMINAL </w:t>
      </w:r>
      <w:r>
        <w:rPr>
          <w:rFonts w:ascii="Arial Black" w:hAnsi="Arial Black"/>
          <w:b/>
          <w:sz w:val="28"/>
          <w:szCs w:val="28"/>
        </w:rPr>
        <w:t xml:space="preserve">IMMUNITY </w:t>
      </w:r>
    </w:p>
    <w:p w14:paraId="48711C77" w14:textId="77777777" w:rsidR="00533809" w:rsidRDefault="00533809" w:rsidP="00533809">
      <w:pPr>
        <w:pStyle w:val="NoSpacing"/>
        <w:ind w:firstLine="720"/>
        <w:rPr>
          <w:b/>
        </w:rPr>
      </w:pPr>
    </w:p>
    <w:p w14:paraId="365DD347" w14:textId="77777777" w:rsidR="00533809" w:rsidRPr="001C1F8D" w:rsidRDefault="00533809" w:rsidP="00533809">
      <w:pPr>
        <w:pStyle w:val="NoSpacing"/>
        <w:rPr>
          <w:rFonts w:ascii="Times New Roman" w:hAnsi="Times New Roman"/>
          <w:sz w:val="24"/>
          <w:szCs w:val="24"/>
        </w:rPr>
      </w:pPr>
      <w:r w:rsidRPr="001C1F8D">
        <w:rPr>
          <w:rFonts w:ascii="Times New Roman" w:hAnsi="Times New Roman"/>
          <w:sz w:val="24"/>
          <w:szCs w:val="24"/>
        </w:rPr>
        <w:t xml:space="preserve">On Nov. 4, 2024, in </w:t>
      </w:r>
      <w:r w:rsidRPr="001C1F8D">
        <w:rPr>
          <w:rFonts w:ascii="Times New Roman" w:hAnsi="Times New Roman"/>
          <w:sz w:val="24"/>
          <w:szCs w:val="24"/>
          <w:u w:val="single"/>
        </w:rPr>
        <w:t>State of Ohio v. Adrian Renee Soliz</w:t>
      </w:r>
      <w:r w:rsidRPr="001C1F8D">
        <w:rPr>
          <w:rFonts w:ascii="Times New Roman" w:hAnsi="Times New Roman"/>
          <w:sz w:val="24"/>
          <w:szCs w:val="24"/>
        </w:rPr>
        <w:t xml:space="preserve">, the Idaho Supreme Court held (4 to 1) that the “medical amnesty law” does not apply to protect the defendant from prosecution.  The Court wrote: “The legislature's careful consideration of potential abuse scenarios indicates that the legislature was concerned that the bill would grant expansive immunity. The overall tenor of the Senate committee minutes supports an interpretation of the statute that requires the drug-related medical emergency and the need for medical assistance to be the sole cause of the discovery of evidence to prevent misuse of the statute. This interpretation ensures that immunity is granted only when the drug-related medical emergency and the need for medical assistance </w:t>
      </w:r>
      <w:proofErr w:type="gramStart"/>
      <w:r w:rsidRPr="001C1F8D">
        <w:rPr>
          <w:rFonts w:ascii="Times New Roman" w:hAnsi="Times New Roman"/>
          <w:sz w:val="24"/>
          <w:szCs w:val="24"/>
        </w:rPr>
        <w:t>produce</w:t>
      </w:r>
      <w:proofErr w:type="gramEnd"/>
      <w:r w:rsidRPr="001C1F8D">
        <w:rPr>
          <w:rFonts w:ascii="Times New Roman" w:hAnsi="Times New Roman"/>
          <w:sz w:val="24"/>
          <w:szCs w:val="24"/>
        </w:rPr>
        <w:t xml:space="preserve"> the discovery of evidence. This interpretation aligns with the statute's protective purpose while also preventing potential abuse.” </w:t>
      </w:r>
      <w:hyperlink r:id="rId2128" w:history="1">
        <w:r w:rsidRPr="001C1F8D">
          <w:rPr>
            <w:rStyle w:val="Hyperlink"/>
            <w:rFonts w:ascii="Times New Roman" w:hAnsi="Times New Roman"/>
            <w:sz w:val="24"/>
            <w:szCs w:val="24"/>
          </w:rPr>
          <w:t>https://casetext.com/case/state-v-soliz-24</w:t>
        </w:r>
      </w:hyperlink>
      <w:r w:rsidRPr="001C1F8D">
        <w:rPr>
          <w:rFonts w:ascii="Times New Roman" w:hAnsi="Times New Roman"/>
          <w:sz w:val="24"/>
          <w:szCs w:val="24"/>
        </w:rPr>
        <w:t xml:space="preserve"> </w:t>
      </w:r>
    </w:p>
    <w:p w14:paraId="4A8ED28D" w14:textId="77777777" w:rsidR="00E5379E" w:rsidRDefault="00E5379E" w:rsidP="001C1F8D">
      <w:pPr>
        <w:pStyle w:val="NoSpacing"/>
        <w:rPr>
          <w:rFonts w:ascii="Times New Roman" w:hAnsi="Times New Roman"/>
          <w:b/>
          <w:sz w:val="24"/>
          <w:szCs w:val="24"/>
        </w:rPr>
      </w:pPr>
    </w:p>
    <w:p w14:paraId="269DC108" w14:textId="653C04BE" w:rsidR="001C1F8D" w:rsidRPr="001C1F8D" w:rsidRDefault="001C1F8D" w:rsidP="001C1F8D">
      <w:pPr>
        <w:pStyle w:val="NoSpacing"/>
        <w:rPr>
          <w:rFonts w:ascii="Times New Roman" w:hAnsi="Times New Roman"/>
          <w:b/>
          <w:bCs/>
          <w:sz w:val="24"/>
          <w:szCs w:val="24"/>
        </w:rPr>
      </w:pPr>
      <w:r w:rsidRPr="001C1F8D">
        <w:rPr>
          <w:rFonts w:ascii="Times New Roman" w:hAnsi="Times New Roman"/>
          <w:b/>
          <w:sz w:val="24"/>
          <w:szCs w:val="24"/>
        </w:rPr>
        <w:t xml:space="preserve">Legal Lesson Learned: Many states have enacted “Good Samaritan” statutes designed to encourage 911 call when you or an associate is overdosing; this case does not fit that scenario. </w:t>
      </w:r>
    </w:p>
    <w:p w14:paraId="54BE610B" w14:textId="77777777" w:rsidR="001C1F8D" w:rsidRPr="001C1F8D" w:rsidRDefault="001C1F8D" w:rsidP="002B1283">
      <w:pPr>
        <w:rPr>
          <w:rFonts w:ascii="Times New Roman" w:hAnsi="Times New Roman"/>
          <w:b/>
          <w:bCs/>
          <w:sz w:val="24"/>
          <w:szCs w:val="24"/>
        </w:rPr>
      </w:pPr>
    </w:p>
    <w:p w14:paraId="665E580E" w14:textId="77777777" w:rsidR="00533809" w:rsidRDefault="00533809" w:rsidP="002B1283">
      <w:pPr>
        <w:rPr>
          <w:rFonts w:ascii="Arial Black" w:hAnsi="Arial Black"/>
          <w:b/>
          <w:bCs/>
          <w:sz w:val="28"/>
          <w:szCs w:val="28"/>
        </w:rPr>
      </w:pPr>
    </w:p>
    <w:p w14:paraId="69739103" w14:textId="635F9EDC" w:rsidR="00B96918" w:rsidRDefault="00B96918" w:rsidP="002B1283">
      <w:pPr>
        <w:rPr>
          <w:rFonts w:ascii="Arial Black" w:hAnsi="Arial Black"/>
          <w:b/>
          <w:bCs/>
          <w:sz w:val="28"/>
          <w:szCs w:val="28"/>
        </w:rPr>
      </w:pPr>
      <w:r>
        <w:rPr>
          <w:rFonts w:ascii="Arial Black" w:hAnsi="Arial Black"/>
          <w:b/>
          <w:bCs/>
          <w:sz w:val="28"/>
          <w:szCs w:val="28"/>
        </w:rPr>
        <w:t>13-196</w:t>
      </w:r>
    </w:p>
    <w:p w14:paraId="7BE054D7" w14:textId="77777777" w:rsidR="005B3FFE" w:rsidRPr="008519D7" w:rsidRDefault="005B3FFE" w:rsidP="005B3FFE">
      <w:pPr>
        <w:rPr>
          <w:rFonts w:ascii="Arial Black" w:hAnsi="Arial Black"/>
          <w:b/>
          <w:bCs/>
          <w:sz w:val="28"/>
          <w:szCs w:val="28"/>
        </w:rPr>
      </w:pPr>
      <w:r w:rsidRPr="008519D7">
        <w:rPr>
          <w:rFonts w:ascii="Arial Black" w:hAnsi="Arial Black"/>
          <w:b/>
          <w:bCs/>
          <w:sz w:val="28"/>
          <w:szCs w:val="28"/>
        </w:rPr>
        <w:t xml:space="preserve">NY:  DIFFICULTY BREATHING – DISPATCH SENT BLS – EMTS ON SCENE 12 MIN. FOR ALS – DISCRETIONARY – IMMUNITY </w:t>
      </w:r>
    </w:p>
    <w:p w14:paraId="6823B530" w14:textId="77777777" w:rsidR="005B3FFE" w:rsidRPr="004C62A0" w:rsidRDefault="005B3FFE" w:rsidP="005B3FFE">
      <w:pPr>
        <w:rPr>
          <w:rFonts w:ascii="Times New Roman" w:hAnsi="Times New Roman"/>
          <w:sz w:val="24"/>
          <w:szCs w:val="24"/>
        </w:rPr>
      </w:pPr>
      <w:r w:rsidRPr="004C62A0">
        <w:rPr>
          <w:rFonts w:ascii="Times New Roman" w:hAnsi="Times New Roman"/>
          <w:sz w:val="24"/>
          <w:szCs w:val="24"/>
        </w:rPr>
        <w:t xml:space="preserve">On Oct. 23, 2024, in </w:t>
      </w:r>
      <w:r w:rsidRPr="004C62A0">
        <w:rPr>
          <w:rFonts w:ascii="Times New Roman" w:hAnsi="Times New Roman"/>
          <w:sz w:val="24"/>
          <w:szCs w:val="24"/>
          <w:u w:val="single"/>
        </w:rPr>
        <w:t>Anita Walker-Rodriquez v. City of New York, et al</w:t>
      </w:r>
      <w:r w:rsidRPr="004C62A0">
        <w:rPr>
          <w:rFonts w:ascii="Times New Roman" w:hAnsi="Times New Roman"/>
          <w:sz w:val="24"/>
          <w:szCs w:val="24"/>
        </w:rPr>
        <w:t xml:space="preserve">., the New York Appellate Division, Second Judicial District, held (5 to 0): “In an action, inter alia, to recover damages for personal injuries, etc., the defendants City of New York, New York City Police Department, and New York City Fire Department Emergency Medical Services appeal from an order of the Supreme Court, Kings County (Marsha L. Steinhardt, J.), dated August 22, 2019. The order denied those defendants' motion pursuant to CPLR 3211(a)(7) to dismiss the complaint insofar as asserted against them or, in the alternative, for summary judgment dismissing the complaint insofar as asserted against them. *** Accordingly, the Supreme Court should have granted that branch of the defendants' motion which was for summary judgment dismissing the complaint insofar as asserted against them.” </w:t>
      </w:r>
      <w:hyperlink r:id="rId2129" w:history="1">
        <w:r w:rsidRPr="004C62A0">
          <w:rPr>
            <w:rStyle w:val="Hyperlink"/>
            <w:rFonts w:ascii="Times New Roman" w:hAnsi="Times New Roman"/>
            <w:sz w:val="24"/>
            <w:szCs w:val="24"/>
          </w:rPr>
          <w:t>https://law.justia.com/cases/new-york/appellate-division-second-department/2024/2019-11168.html</w:t>
        </w:r>
      </w:hyperlink>
      <w:r w:rsidRPr="004C62A0">
        <w:rPr>
          <w:rFonts w:ascii="Times New Roman" w:hAnsi="Times New Roman"/>
          <w:sz w:val="24"/>
          <w:szCs w:val="24"/>
        </w:rPr>
        <w:t xml:space="preserve"> </w:t>
      </w:r>
    </w:p>
    <w:p w14:paraId="31B92E54" w14:textId="77777777" w:rsidR="004C62A0" w:rsidRPr="004C62A0" w:rsidRDefault="004C62A0" w:rsidP="004C62A0">
      <w:pPr>
        <w:rPr>
          <w:rFonts w:ascii="Times New Roman" w:hAnsi="Times New Roman"/>
          <w:b/>
          <w:bCs/>
          <w:sz w:val="24"/>
          <w:szCs w:val="24"/>
        </w:rPr>
      </w:pPr>
      <w:r w:rsidRPr="004C62A0">
        <w:rPr>
          <w:rFonts w:ascii="Times New Roman" w:hAnsi="Times New Roman"/>
          <w:b/>
          <w:sz w:val="24"/>
          <w:szCs w:val="24"/>
        </w:rPr>
        <w:t>Legal Lesson Learned: Dispatch and EMS immunity for discretionary decisions.</w:t>
      </w:r>
    </w:p>
    <w:p w14:paraId="6500947B" w14:textId="77777777" w:rsidR="00B96918" w:rsidRDefault="00B96918" w:rsidP="002B1283">
      <w:pPr>
        <w:rPr>
          <w:rFonts w:ascii="Arial Black" w:hAnsi="Arial Black"/>
          <w:b/>
          <w:bCs/>
          <w:sz w:val="28"/>
          <w:szCs w:val="28"/>
        </w:rPr>
      </w:pPr>
    </w:p>
    <w:p w14:paraId="35EE876F" w14:textId="77777777" w:rsidR="00B96918" w:rsidRDefault="00B96918" w:rsidP="002B1283">
      <w:pPr>
        <w:rPr>
          <w:rFonts w:ascii="Arial Black" w:hAnsi="Arial Black"/>
          <w:b/>
          <w:bCs/>
          <w:sz w:val="28"/>
          <w:szCs w:val="28"/>
        </w:rPr>
      </w:pPr>
    </w:p>
    <w:p w14:paraId="74E29349" w14:textId="118EFF8D" w:rsidR="009C5942" w:rsidRDefault="009C5942" w:rsidP="002B1283">
      <w:pPr>
        <w:rPr>
          <w:rFonts w:ascii="Arial Black" w:hAnsi="Arial Black"/>
          <w:b/>
          <w:bCs/>
          <w:sz w:val="28"/>
          <w:szCs w:val="28"/>
        </w:rPr>
      </w:pPr>
      <w:r>
        <w:rPr>
          <w:rFonts w:ascii="Arial Black" w:hAnsi="Arial Black"/>
          <w:b/>
          <w:bCs/>
          <w:sz w:val="28"/>
          <w:szCs w:val="28"/>
        </w:rPr>
        <w:t>13-195</w:t>
      </w:r>
    </w:p>
    <w:p w14:paraId="74C88005" w14:textId="321EA269" w:rsidR="007A1954" w:rsidRPr="0019310D" w:rsidRDefault="007A1954" w:rsidP="007A1954">
      <w:pPr>
        <w:pStyle w:val="NoSpacing"/>
        <w:rPr>
          <w:rFonts w:ascii="Arial Black" w:hAnsi="Arial Black"/>
          <w:sz w:val="28"/>
        </w:rPr>
      </w:pPr>
      <w:r>
        <w:rPr>
          <w:rFonts w:ascii="Arial Black" w:hAnsi="Arial Black"/>
          <w:sz w:val="28"/>
        </w:rPr>
        <w:t xml:space="preserve">KY: CITY’S DONUT EATING CONTEST – CHOKING / DIED - CASE PROCEED - “WILLFUL OR WANTON” </w:t>
      </w:r>
      <w:r w:rsidR="006F0C54">
        <w:rPr>
          <w:rFonts w:ascii="Arial Black" w:hAnsi="Arial Black"/>
          <w:sz w:val="28"/>
        </w:rPr>
        <w:t xml:space="preserve">MISCONDUCT </w:t>
      </w:r>
      <w:r>
        <w:rPr>
          <w:rFonts w:ascii="Arial Black" w:hAnsi="Arial Black"/>
          <w:sz w:val="28"/>
        </w:rPr>
        <w:t xml:space="preserve">NOT IN WAIVER </w:t>
      </w:r>
    </w:p>
    <w:p w14:paraId="7A4644C0" w14:textId="77777777" w:rsidR="007A1954" w:rsidRDefault="007A1954" w:rsidP="009E4718">
      <w:pPr>
        <w:pStyle w:val="NoSpacing"/>
        <w:rPr>
          <w:rFonts w:ascii="Times New Roman" w:hAnsi="Times New Roman"/>
          <w:sz w:val="24"/>
          <w:szCs w:val="24"/>
        </w:rPr>
      </w:pPr>
    </w:p>
    <w:p w14:paraId="36B32D93" w14:textId="220A2550" w:rsidR="009E4718" w:rsidRPr="00D7210B" w:rsidRDefault="009E4718" w:rsidP="009E4718">
      <w:pPr>
        <w:pStyle w:val="NoSpacing"/>
        <w:rPr>
          <w:rFonts w:ascii="Times New Roman" w:hAnsi="Times New Roman"/>
          <w:sz w:val="24"/>
          <w:szCs w:val="24"/>
        </w:rPr>
      </w:pPr>
      <w:r w:rsidRPr="00D7210B">
        <w:rPr>
          <w:rFonts w:ascii="Times New Roman" w:hAnsi="Times New Roman"/>
          <w:sz w:val="24"/>
          <w:szCs w:val="24"/>
        </w:rPr>
        <w:lastRenderedPageBreak/>
        <w:t xml:space="preserve">On Sept. 27, 2024, in </w:t>
      </w:r>
      <w:r w:rsidRPr="00D7210B">
        <w:rPr>
          <w:rFonts w:ascii="Times New Roman" w:hAnsi="Times New Roman"/>
          <w:sz w:val="24"/>
          <w:szCs w:val="24"/>
          <w:u w:val="single"/>
        </w:rPr>
        <w:t>Laura Helmbrecht, in her individual capacity and as administrator of the estate of Cesar E. Marquez Chavez v. Baley Jayne Bakery and Café LLC and the City of Walton</w:t>
      </w:r>
      <w:r w:rsidRPr="00D7210B">
        <w:rPr>
          <w:rFonts w:ascii="Times New Roman" w:hAnsi="Times New Roman"/>
          <w:sz w:val="24"/>
          <w:szCs w:val="24"/>
        </w:rPr>
        <w:t xml:space="preserve">, the Court of Appeals of Kentucky held (3 to 0) that trial court improperly granted summary judgment to the City, holding that claims of “willful or wanton” negligence were never in the waiver document signed by the release.  The Court wrote: “Because Chavez did not waive his estate’s claim of willful or wanton negligence, that tort claim remains viable.” </w:t>
      </w:r>
      <w:hyperlink r:id="rId2130" w:history="1">
        <w:r w:rsidRPr="00D7210B">
          <w:rPr>
            <w:rStyle w:val="Hyperlink"/>
            <w:rFonts w:ascii="Times New Roman" w:hAnsi="Times New Roman"/>
            <w:sz w:val="24"/>
            <w:szCs w:val="24"/>
          </w:rPr>
          <w:t>https://cases.justia.com/kentucky/court-of-appeals/2024-2023-ca-1033-mr.pdf?ts=1727446176</w:t>
        </w:r>
      </w:hyperlink>
      <w:r w:rsidRPr="00D7210B">
        <w:rPr>
          <w:rFonts w:ascii="Times New Roman" w:hAnsi="Times New Roman"/>
          <w:sz w:val="24"/>
          <w:szCs w:val="24"/>
        </w:rPr>
        <w:t xml:space="preserve"> </w:t>
      </w:r>
    </w:p>
    <w:p w14:paraId="12E8440F" w14:textId="77777777" w:rsidR="009E4718" w:rsidRPr="00D7210B" w:rsidRDefault="009E4718" w:rsidP="009E4718">
      <w:pPr>
        <w:pStyle w:val="NoSpacing"/>
        <w:rPr>
          <w:rFonts w:ascii="Times New Roman" w:hAnsi="Times New Roman"/>
          <w:sz w:val="24"/>
          <w:szCs w:val="24"/>
        </w:rPr>
      </w:pPr>
    </w:p>
    <w:p w14:paraId="7387BD40" w14:textId="77777777" w:rsidR="009E4718" w:rsidRPr="00D7210B" w:rsidRDefault="009E4718" w:rsidP="009E4718">
      <w:pPr>
        <w:pStyle w:val="NoSpacing"/>
        <w:rPr>
          <w:rFonts w:ascii="Times New Roman" w:hAnsi="Times New Roman"/>
          <w:sz w:val="24"/>
          <w:szCs w:val="24"/>
        </w:rPr>
      </w:pPr>
      <w:r w:rsidRPr="00D7210B">
        <w:rPr>
          <w:rFonts w:ascii="Times New Roman" w:hAnsi="Times New Roman"/>
          <w:sz w:val="24"/>
          <w:szCs w:val="24"/>
        </w:rPr>
        <w:t>THE COURT HELD:</w:t>
      </w:r>
    </w:p>
    <w:p w14:paraId="39743D3B" w14:textId="77777777" w:rsidR="009E4718" w:rsidRPr="00D7210B" w:rsidRDefault="009E4718" w:rsidP="009E4718">
      <w:pPr>
        <w:pStyle w:val="NoSpacing"/>
        <w:rPr>
          <w:rFonts w:ascii="Times New Roman" w:hAnsi="Times New Roman"/>
          <w:sz w:val="24"/>
          <w:szCs w:val="24"/>
        </w:rPr>
      </w:pPr>
    </w:p>
    <w:p w14:paraId="3B5DD960" w14:textId="77777777" w:rsidR="009E4718" w:rsidRPr="00D7210B" w:rsidRDefault="009E4718" w:rsidP="009E4718">
      <w:pPr>
        <w:pStyle w:val="NoSpacing"/>
        <w:ind w:left="720"/>
        <w:rPr>
          <w:rFonts w:ascii="Times New Roman" w:hAnsi="Times New Roman"/>
          <w:sz w:val="24"/>
          <w:szCs w:val="24"/>
        </w:rPr>
      </w:pPr>
      <w:r w:rsidRPr="00D7210B">
        <w:rPr>
          <w:rFonts w:ascii="Times New Roman" w:hAnsi="Times New Roman"/>
          <w:sz w:val="24"/>
          <w:szCs w:val="24"/>
        </w:rPr>
        <w:t>“Helmbrecht alleges that during the contest, Chavez began choking, lost consciousness, and went into cardiac arrest. She further alleges that because the ‘Appellees failed to organize and provide any emergency medical services at the contest, he received untimely medical treatment for his airway obstruction.’ Appellant’s Br. at 3. Helmbrecht alleges that when paramedics finally arrived, Chavez was unresponsive, and he was transported to St. Elizabeth Edgewood Hospital, where he died from ‘asphyxia due to food bolus.’ Ibid. The Appellees affirm these basic facts, but contest there is any support in the record as to Chavez’s cause of death.</w:t>
      </w:r>
    </w:p>
    <w:p w14:paraId="1A6902A8" w14:textId="77777777" w:rsidR="009E4718" w:rsidRPr="00D7210B" w:rsidRDefault="009E4718" w:rsidP="009E4718">
      <w:pPr>
        <w:pStyle w:val="NoSpacing"/>
        <w:ind w:left="720"/>
        <w:rPr>
          <w:rFonts w:ascii="Times New Roman" w:hAnsi="Times New Roman"/>
          <w:sz w:val="24"/>
          <w:szCs w:val="24"/>
        </w:rPr>
      </w:pPr>
    </w:p>
    <w:p w14:paraId="4997A526" w14:textId="77777777" w:rsidR="009E4718" w:rsidRPr="00D7210B" w:rsidRDefault="009E4718" w:rsidP="009E4718">
      <w:pPr>
        <w:pStyle w:val="NoSpacing"/>
        <w:ind w:left="720"/>
        <w:rPr>
          <w:rFonts w:ascii="Times New Roman" w:hAnsi="Times New Roman"/>
          <w:sz w:val="24"/>
          <w:szCs w:val="24"/>
        </w:rPr>
      </w:pPr>
      <w:r w:rsidRPr="00D7210B">
        <w:rPr>
          <w:rFonts w:ascii="Times New Roman" w:hAnsi="Times New Roman"/>
          <w:sz w:val="24"/>
          <w:szCs w:val="24"/>
        </w:rPr>
        <w:t>***</w:t>
      </w:r>
    </w:p>
    <w:p w14:paraId="59A76C88" w14:textId="77777777" w:rsidR="009E4718" w:rsidRPr="00D7210B" w:rsidRDefault="009E4718" w:rsidP="009E4718">
      <w:pPr>
        <w:pStyle w:val="NoSpacing"/>
        <w:rPr>
          <w:rFonts w:ascii="Times New Roman" w:hAnsi="Times New Roman"/>
          <w:sz w:val="24"/>
          <w:szCs w:val="24"/>
        </w:rPr>
      </w:pPr>
    </w:p>
    <w:p w14:paraId="06FB936C" w14:textId="77777777" w:rsidR="009E4718" w:rsidRPr="00D7210B" w:rsidRDefault="009E4718" w:rsidP="009E4718">
      <w:pPr>
        <w:pStyle w:val="NoSpacing"/>
        <w:ind w:left="720"/>
        <w:rPr>
          <w:rFonts w:ascii="Times New Roman" w:hAnsi="Times New Roman"/>
          <w:sz w:val="24"/>
          <w:szCs w:val="24"/>
        </w:rPr>
      </w:pPr>
      <w:r w:rsidRPr="00D7210B">
        <w:rPr>
          <w:rFonts w:ascii="Times New Roman" w:hAnsi="Times New Roman"/>
          <w:sz w:val="24"/>
          <w:szCs w:val="24"/>
        </w:rPr>
        <w:t>With respect to whether the waiver bars Helmbrecht’s claim of negligence, the waiver is enforceable….  As we conclude the waiver’s employment of ‘negligence’ encompassed both ordinary and gross negligence, for the same reasons discussed above in addressing Helmbrecht’s claim of negligence, the waiver is enforceable as a bar to her claim of gross negligence.</w:t>
      </w:r>
    </w:p>
    <w:p w14:paraId="7C534CEE" w14:textId="77777777" w:rsidR="009E4718" w:rsidRPr="00D7210B" w:rsidRDefault="009E4718" w:rsidP="009E4718">
      <w:pPr>
        <w:pStyle w:val="NoSpacing"/>
        <w:ind w:left="720"/>
        <w:rPr>
          <w:rFonts w:ascii="Times New Roman" w:hAnsi="Times New Roman"/>
          <w:sz w:val="24"/>
          <w:szCs w:val="24"/>
        </w:rPr>
      </w:pPr>
    </w:p>
    <w:p w14:paraId="22BB373B" w14:textId="77777777" w:rsidR="009E4718" w:rsidRPr="00D7210B" w:rsidRDefault="009E4718" w:rsidP="009E4718">
      <w:pPr>
        <w:pStyle w:val="NoSpacing"/>
        <w:ind w:left="720"/>
        <w:rPr>
          <w:rFonts w:ascii="Times New Roman" w:hAnsi="Times New Roman"/>
          <w:sz w:val="24"/>
          <w:szCs w:val="24"/>
        </w:rPr>
      </w:pPr>
      <w:r w:rsidRPr="00D7210B">
        <w:rPr>
          <w:rFonts w:ascii="Times New Roman" w:hAnsi="Times New Roman"/>
          <w:sz w:val="24"/>
          <w:szCs w:val="24"/>
        </w:rPr>
        <w:t>***</w:t>
      </w:r>
    </w:p>
    <w:p w14:paraId="03429426" w14:textId="77777777" w:rsidR="009E4718" w:rsidRPr="00D7210B" w:rsidRDefault="009E4718" w:rsidP="009E4718">
      <w:pPr>
        <w:pStyle w:val="NoSpacing"/>
        <w:rPr>
          <w:rFonts w:ascii="Times New Roman" w:hAnsi="Times New Roman"/>
          <w:sz w:val="24"/>
          <w:szCs w:val="24"/>
        </w:rPr>
      </w:pPr>
    </w:p>
    <w:p w14:paraId="2C3A34BF" w14:textId="77777777" w:rsidR="009E4718" w:rsidRPr="00D7210B" w:rsidRDefault="009E4718" w:rsidP="009E4718">
      <w:pPr>
        <w:pStyle w:val="NoSpacing"/>
        <w:ind w:left="720"/>
        <w:rPr>
          <w:rFonts w:ascii="Times New Roman" w:hAnsi="Times New Roman"/>
          <w:sz w:val="24"/>
          <w:szCs w:val="24"/>
        </w:rPr>
      </w:pPr>
      <w:r w:rsidRPr="00D7210B">
        <w:rPr>
          <w:rFonts w:ascii="Times New Roman" w:hAnsi="Times New Roman"/>
          <w:sz w:val="24"/>
          <w:szCs w:val="24"/>
        </w:rPr>
        <w:t xml:space="preserve">By its nature, such a waiver </w:t>
      </w:r>
      <w:proofErr w:type="gramStart"/>
      <w:r w:rsidRPr="00D7210B">
        <w:rPr>
          <w:rFonts w:ascii="Times New Roman" w:hAnsi="Times New Roman"/>
          <w:sz w:val="24"/>
          <w:szCs w:val="24"/>
        </w:rPr>
        <w:t>benefits</w:t>
      </w:r>
      <w:proofErr w:type="gramEnd"/>
      <w:r w:rsidRPr="00D7210B">
        <w:rPr>
          <w:rFonts w:ascii="Times New Roman" w:hAnsi="Times New Roman"/>
          <w:sz w:val="24"/>
          <w:szCs w:val="24"/>
        </w:rPr>
        <w:t xml:space="preserve"> only the releasee. The releasor gains nothing from the waiver itself; </w:t>
      </w:r>
      <w:proofErr w:type="gramStart"/>
      <w:r w:rsidRPr="00D7210B">
        <w:rPr>
          <w:rFonts w:ascii="Times New Roman" w:hAnsi="Times New Roman"/>
          <w:sz w:val="24"/>
          <w:szCs w:val="24"/>
        </w:rPr>
        <w:t>his</w:t>
      </w:r>
      <w:proofErr w:type="gramEnd"/>
      <w:r w:rsidRPr="00D7210B">
        <w:rPr>
          <w:rFonts w:ascii="Times New Roman" w:hAnsi="Times New Roman"/>
          <w:sz w:val="24"/>
          <w:szCs w:val="24"/>
        </w:rPr>
        <w:t xml:space="preserve"> benefit is the privilege of participating in the risked activity. Consequently, the waiver itself cannot logically serve as evidence of care toward the releasor; it is quite the opposite. Finding otherwise, as the circuit court did here, is effectively abolishing the Supreme Court’s holding that exculpatory contracts are unenforceable as to claims of willful or wanton negligence. Id. at 654. Finding otherwise is equivalent to saying, ‘You cannot sue the releasee because he warned you that he might harm you willfully or wantonly – that is, intentionally or with utter indifference to your safety or life.’ Poindexter v. Commonwealth, 389 S.W.3d 112, 117 (Ky. 2012</w:t>
      </w:r>
      <w:proofErr w:type="gramStart"/>
      <w:r w:rsidRPr="00D7210B">
        <w:rPr>
          <w:rFonts w:ascii="Times New Roman" w:hAnsi="Times New Roman"/>
          <w:sz w:val="24"/>
          <w:szCs w:val="24"/>
        </w:rPr>
        <w:t>) (‘</w:t>
      </w:r>
      <w:proofErr w:type="gramEnd"/>
      <w:r w:rsidRPr="00D7210B">
        <w:rPr>
          <w:rFonts w:ascii="Times New Roman" w:hAnsi="Times New Roman"/>
          <w:sz w:val="24"/>
          <w:szCs w:val="24"/>
        </w:rPr>
        <w:t>[</w:t>
      </w:r>
      <w:proofErr w:type="gramStart"/>
      <w:r w:rsidRPr="00D7210B">
        <w:rPr>
          <w:rFonts w:ascii="Times New Roman" w:hAnsi="Times New Roman"/>
          <w:sz w:val="24"/>
          <w:szCs w:val="24"/>
        </w:rPr>
        <w:t>Willfulness] ‘</w:t>
      </w:r>
      <w:proofErr w:type="gramEnd"/>
      <w:r w:rsidRPr="00D7210B">
        <w:rPr>
          <w:rFonts w:ascii="Times New Roman" w:hAnsi="Times New Roman"/>
          <w:sz w:val="24"/>
          <w:szCs w:val="24"/>
        </w:rPr>
        <w:t>means with intent or intention.’) (internal quotation marks and citations omitted); Holbrook v. Ky. Unemployment Ins. Comm’n, 290 S.W.3d 81, 87 (Ky. App. 2009) (defining wanton conduct as ‘[u]</w:t>
      </w:r>
      <w:proofErr w:type="spellStart"/>
      <w:r w:rsidRPr="00D7210B">
        <w:rPr>
          <w:rFonts w:ascii="Times New Roman" w:hAnsi="Times New Roman"/>
          <w:sz w:val="24"/>
          <w:szCs w:val="24"/>
        </w:rPr>
        <w:t>nreasonably</w:t>
      </w:r>
      <w:proofErr w:type="spellEnd"/>
      <w:r w:rsidRPr="00D7210B">
        <w:rPr>
          <w:rFonts w:ascii="Times New Roman" w:hAnsi="Times New Roman"/>
          <w:sz w:val="24"/>
          <w:szCs w:val="24"/>
        </w:rPr>
        <w:t xml:space="preserve"> or maliciously risking harm while</w:t>
      </w:r>
    </w:p>
    <w:p w14:paraId="50064D0B" w14:textId="77777777" w:rsidR="009E4718" w:rsidRPr="00D7210B" w:rsidRDefault="009E4718" w:rsidP="009E4718">
      <w:pPr>
        <w:pStyle w:val="NoSpacing"/>
        <w:ind w:firstLine="720"/>
        <w:rPr>
          <w:rFonts w:ascii="Times New Roman" w:hAnsi="Times New Roman"/>
          <w:sz w:val="24"/>
          <w:szCs w:val="24"/>
        </w:rPr>
      </w:pPr>
      <w:r w:rsidRPr="00D7210B">
        <w:rPr>
          <w:rFonts w:ascii="Times New Roman" w:hAnsi="Times New Roman"/>
          <w:sz w:val="24"/>
          <w:szCs w:val="24"/>
        </w:rPr>
        <w:t>being utterly indifferent to the consequences’).</w:t>
      </w:r>
    </w:p>
    <w:p w14:paraId="1CC67EAF" w14:textId="77777777" w:rsidR="009E4718" w:rsidRPr="00D7210B" w:rsidRDefault="009E4718" w:rsidP="009E4718">
      <w:pPr>
        <w:pStyle w:val="NoSpacing"/>
        <w:ind w:firstLine="720"/>
        <w:rPr>
          <w:rFonts w:ascii="Times New Roman" w:hAnsi="Times New Roman"/>
          <w:sz w:val="24"/>
          <w:szCs w:val="24"/>
        </w:rPr>
      </w:pPr>
    </w:p>
    <w:p w14:paraId="05F6B155" w14:textId="77777777" w:rsidR="009E4718" w:rsidRPr="00D7210B" w:rsidRDefault="009E4718" w:rsidP="009E4718">
      <w:pPr>
        <w:pStyle w:val="NoSpacing"/>
        <w:ind w:firstLine="720"/>
        <w:rPr>
          <w:rFonts w:ascii="Times New Roman" w:hAnsi="Times New Roman"/>
          <w:sz w:val="24"/>
          <w:szCs w:val="24"/>
        </w:rPr>
      </w:pPr>
      <w:r w:rsidRPr="00D7210B">
        <w:rPr>
          <w:rFonts w:ascii="Times New Roman" w:hAnsi="Times New Roman"/>
          <w:sz w:val="24"/>
          <w:szCs w:val="24"/>
        </w:rPr>
        <w:t>***</w:t>
      </w:r>
    </w:p>
    <w:p w14:paraId="63FDAE5E" w14:textId="77777777" w:rsidR="009E4718" w:rsidRPr="00D7210B" w:rsidRDefault="009E4718" w:rsidP="009E4718">
      <w:pPr>
        <w:pStyle w:val="NoSpacing"/>
        <w:rPr>
          <w:rFonts w:ascii="Times New Roman" w:hAnsi="Times New Roman"/>
          <w:sz w:val="24"/>
          <w:szCs w:val="24"/>
        </w:rPr>
      </w:pPr>
      <w:r w:rsidRPr="00D7210B">
        <w:rPr>
          <w:rFonts w:ascii="Times New Roman" w:hAnsi="Times New Roman"/>
          <w:noProof/>
          <w:sz w:val="24"/>
          <w:szCs w:val="24"/>
        </w:rPr>
        <w:drawing>
          <wp:inline distT="0" distB="0" distL="0" distR="0" wp14:anchorId="39731B17" wp14:editId="0FE3131B">
            <wp:extent cx="57158" cy="47632"/>
            <wp:effectExtent l="0" t="0" r="0" b="9525"/>
            <wp:docPr id="1896007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007320" name=""/>
                    <pic:cNvPicPr/>
                  </pic:nvPicPr>
                  <pic:blipFill>
                    <a:blip r:embed="rId2131"/>
                    <a:stretch>
                      <a:fillRect/>
                    </a:stretch>
                  </pic:blipFill>
                  <pic:spPr>
                    <a:xfrm>
                      <a:off x="0" y="0"/>
                      <a:ext cx="57158" cy="47632"/>
                    </a:xfrm>
                    <a:prstGeom prst="rect">
                      <a:avLst/>
                    </a:prstGeom>
                  </pic:spPr>
                </pic:pic>
              </a:graphicData>
            </a:graphic>
          </wp:inline>
        </w:drawing>
      </w:r>
    </w:p>
    <w:p w14:paraId="16173799" w14:textId="6719E310" w:rsidR="009E4718" w:rsidRDefault="009E4718" w:rsidP="009E4718">
      <w:pPr>
        <w:pStyle w:val="NoSpacing"/>
        <w:ind w:left="720"/>
        <w:rPr>
          <w:rFonts w:ascii="Times New Roman" w:hAnsi="Times New Roman"/>
          <w:sz w:val="24"/>
          <w:szCs w:val="24"/>
        </w:rPr>
      </w:pPr>
      <w:r w:rsidRPr="00D7210B">
        <w:rPr>
          <w:rFonts w:ascii="Times New Roman" w:hAnsi="Times New Roman"/>
          <w:sz w:val="24"/>
          <w:szCs w:val="24"/>
        </w:rPr>
        <w:t>Because Chavez did not waive his estate’s claim of willful or wanton negligence, that tort claim remains viable.</w:t>
      </w:r>
    </w:p>
    <w:p w14:paraId="228638BA" w14:textId="77777777" w:rsidR="00532D2D" w:rsidRDefault="00532D2D" w:rsidP="009E4718">
      <w:pPr>
        <w:pStyle w:val="NoSpacing"/>
        <w:ind w:left="720"/>
        <w:rPr>
          <w:rFonts w:ascii="Times New Roman" w:hAnsi="Times New Roman"/>
          <w:sz w:val="24"/>
          <w:szCs w:val="24"/>
        </w:rPr>
      </w:pPr>
    </w:p>
    <w:p w14:paraId="7B94034B" w14:textId="658771FF" w:rsidR="00532D2D" w:rsidRPr="00D7210B" w:rsidRDefault="00532D2D" w:rsidP="009E4718">
      <w:pPr>
        <w:pStyle w:val="NoSpacing"/>
        <w:ind w:left="720"/>
        <w:rPr>
          <w:rFonts w:ascii="Times New Roman" w:hAnsi="Times New Roman"/>
          <w:sz w:val="24"/>
          <w:szCs w:val="24"/>
        </w:rPr>
      </w:pPr>
      <w:r>
        <w:rPr>
          <w:rFonts w:ascii="Times New Roman" w:hAnsi="Times New Roman"/>
          <w:sz w:val="24"/>
          <w:szCs w:val="24"/>
        </w:rPr>
        <w:t>***</w:t>
      </w:r>
    </w:p>
    <w:p w14:paraId="0548D0F7" w14:textId="182D415F" w:rsidR="009E4718" w:rsidRPr="00D7210B" w:rsidRDefault="009E4718" w:rsidP="00532D2D">
      <w:pPr>
        <w:pStyle w:val="NoSpacing"/>
        <w:ind w:left="720"/>
        <w:rPr>
          <w:rFonts w:ascii="Times New Roman" w:hAnsi="Times New Roman"/>
          <w:sz w:val="24"/>
          <w:szCs w:val="24"/>
        </w:rPr>
      </w:pPr>
      <w:r w:rsidRPr="00D7210B">
        <w:rPr>
          <w:rFonts w:ascii="Times New Roman" w:hAnsi="Times New Roman"/>
          <w:sz w:val="24"/>
          <w:szCs w:val="24"/>
        </w:rPr>
        <w:t>In September of 2021, Appellant City of Walton held its annual ‘Old Fashion Day’ festival. Helmbrecht and her husband, decedent Chavez, were in attendance, and Chavez entered the donut eating contest. Chavez was required to sign a waiver to participate.”</w:t>
      </w:r>
    </w:p>
    <w:p w14:paraId="5585573D" w14:textId="77777777" w:rsidR="009E4718" w:rsidRPr="00D7210B" w:rsidRDefault="009E4718" w:rsidP="009E4718">
      <w:pPr>
        <w:pStyle w:val="NoSpacing"/>
        <w:ind w:left="720"/>
        <w:rPr>
          <w:rFonts w:ascii="Times New Roman" w:hAnsi="Times New Roman"/>
          <w:sz w:val="24"/>
          <w:szCs w:val="24"/>
        </w:rPr>
      </w:pPr>
    </w:p>
    <w:p w14:paraId="7770B23F" w14:textId="77777777" w:rsidR="009E4718" w:rsidRPr="00D7210B" w:rsidRDefault="009E4718" w:rsidP="009E4718">
      <w:pPr>
        <w:pStyle w:val="NoSpacing"/>
        <w:rPr>
          <w:rFonts w:ascii="Times New Roman" w:hAnsi="Times New Roman"/>
          <w:b/>
          <w:bCs/>
          <w:sz w:val="24"/>
          <w:szCs w:val="24"/>
        </w:rPr>
      </w:pPr>
      <w:r w:rsidRPr="00D7210B">
        <w:rPr>
          <w:rFonts w:ascii="Times New Roman" w:hAnsi="Times New Roman"/>
          <w:b/>
          <w:bCs/>
          <w:sz w:val="24"/>
          <w:szCs w:val="24"/>
        </w:rPr>
        <w:t xml:space="preserve">Legal Lesson Learned:  If City is holding a donut or other “eating contest” should include in waiver “willful or wanton” negligence and have EMS standing nearby. </w:t>
      </w:r>
    </w:p>
    <w:p w14:paraId="0B93B2D6" w14:textId="77777777" w:rsidR="009C5942" w:rsidRDefault="009C5942" w:rsidP="002B1283">
      <w:pPr>
        <w:rPr>
          <w:rFonts w:ascii="Arial Black" w:hAnsi="Arial Black"/>
          <w:b/>
          <w:bCs/>
          <w:sz w:val="28"/>
          <w:szCs w:val="28"/>
        </w:rPr>
      </w:pPr>
    </w:p>
    <w:p w14:paraId="3749642A" w14:textId="77777777" w:rsidR="009C5942" w:rsidRDefault="009C5942" w:rsidP="002B1283">
      <w:pPr>
        <w:rPr>
          <w:rFonts w:ascii="Arial Black" w:hAnsi="Arial Black"/>
          <w:b/>
          <w:bCs/>
          <w:sz w:val="28"/>
          <w:szCs w:val="28"/>
        </w:rPr>
      </w:pPr>
    </w:p>
    <w:p w14:paraId="38C313FC" w14:textId="33394644" w:rsidR="009665CE" w:rsidRDefault="001C18B0" w:rsidP="002B1283">
      <w:pPr>
        <w:rPr>
          <w:rFonts w:ascii="Arial Black" w:hAnsi="Arial Black"/>
          <w:b/>
          <w:bCs/>
          <w:sz w:val="28"/>
          <w:szCs w:val="28"/>
        </w:rPr>
      </w:pPr>
      <w:r>
        <w:rPr>
          <w:rFonts w:ascii="Arial Black" w:hAnsi="Arial Black"/>
          <w:b/>
          <w:bCs/>
          <w:sz w:val="28"/>
          <w:szCs w:val="28"/>
        </w:rPr>
        <w:t>13-194</w:t>
      </w:r>
    </w:p>
    <w:p w14:paraId="0F9ECAC2" w14:textId="77777777" w:rsidR="009C5942" w:rsidRPr="0068578A" w:rsidRDefault="009C5942" w:rsidP="009C5942">
      <w:pPr>
        <w:pStyle w:val="NoSpacing"/>
        <w:rPr>
          <w:rFonts w:ascii="Arial Black" w:hAnsi="Arial Black"/>
          <w:sz w:val="28"/>
        </w:rPr>
      </w:pPr>
      <w:r>
        <w:rPr>
          <w:rFonts w:ascii="Arial Black" w:hAnsi="Arial Black"/>
          <w:sz w:val="28"/>
        </w:rPr>
        <w:t>NJ: CARDIAC – QUICK RESPONSE VEHICLE NOT ALS - MEDIC STUDENT TRIED TO INTUBATE – IMMUNITY</w:t>
      </w:r>
    </w:p>
    <w:p w14:paraId="59D54121" w14:textId="77777777" w:rsidR="009C5942" w:rsidRDefault="009C5942" w:rsidP="009C5942">
      <w:pPr>
        <w:pStyle w:val="NoSpacing"/>
      </w:pPr>
    </w:p>
    <w:p w14:paraId="653061DB" w14:textId="77777777" w:rsidR="009C5942" w:rsidRPr="009C5942" w:rsidRDefault="009C5942" w:rsidP="009C5942">
      <w:pPr>
        <w:pStyle w:val="NoSpacing"/>
        <w:rPr>
          <w:rFonts w:ascii="Times New Roman" w:hAnsi="Times New Roman"/>
          <w:sz w:val="24"/>
          <w:szCs w:val="24"/>
        </w:rPr>
      </w:pPr>
      <w:r w:rsidRPr="009C5942">
        <w:rPr>
          <w:rFonts w:ascii="Times New Roman" w:hAnsi="Times New Roman"/>
          <w:sz w:val="24"/>
          <w:szCs w:val="24"/>
        </w:rPr>
        <w:t xml:space="preserve">On October 1, 2024, in </w:t>
      </w:r>
      <w:proofErr w:type="spellStart"/>
      <w:r w:rsidRPr="009C5942">
        <w:rPr>
          <w:rFonts w:ascii="Times New Roman" w:hAnsi="Times New Roman"/>
          <w:sz w:val="24"/>
          <w:szCs w:val="24"/>
          <w:u w:val="single"/>
        </w:rPr>
        <w:t>Onyelle</w:t>
      </w:r>
      <w:proofErr w:type="spellEnd"/>
      <w:r w:rsidRPr="009C5942">
        <w:rPr>
          <w:rFonts w:ascii="Times New Roman" w:hAnsi="Times New Roman"/>
          <w:sz w:val="24"/>
          <w:szCs w:val="24"/>
          <w:u w:val="single"/>
        </w:rPr>
        <w:t xml:space="preserve"> R. Jamison, administrator of the estate of Ruby Nell King v. Jersey City Medical Center, et al</w:t>
      </w:r>
      <w:r w:rsidRPr="009C5942">
        <w:rPr>
          <w:rFonts w:ascii="Times New Roman" w:hAnsi="Times New Roman"/>
          <w:sz w:val="24"/>
          <w:szCs w:val="24"/>
        </w:rPr>
        <w:t xml:space="preserve">., the Superior Court of New Jersey, Appellate Division, held (unpublished decision) that trial court properly granted summary judgement to the Medical Center and all the EMS.  The Court wrote: “The [trial] court rejected plaintiff's claim that failing to equip the QRV with ALS supplies was a deviation from the applicable standard of care because dispatching ‘a single BLS and a single ALS unit on the scene would have met the standard of care.’ Because ‘the BLS unit and ALS unit were dispatched along with [Isidro's] unit and dispatching [Isidro's] unit did not affect the arrival of the other units, [Isidro's] attendance was not required at the scene.’ *** Specifically, plaintiff contends, given King's unstable condition, it was not appropriate to permit Molineros to attempt the intubation, and DiMarco took too long to intubate King after the initial unsuccessful attempt. We are not persuaded. Here, plaintiff's claim is based solely on Dr. Brown's opinion that it was ‘horrible’ judgment and ‘reckless and dangerous’ for DiMarco and Valles to permit Molineros to attempt the intubation. Dr. Brown, however, conceded at his deposition Molineros was, as a paramedic student, expressly permitted pursuant to N.J.A.C. 8:41-12.1(c)(7), to intubate patients in the field. In addition, Dr. Brown did not know how many times Molineros intubated patients before March 30, 2018. Dr. Brown testified he did not know why her intubation attempt failed and did not believe Molineros ‘deviated from what a student would do.’” </w:t>
      </w:r>
      <w:hyperlink r:id="rId2132" w:history="1">
        <w:r w:rsidRPr="009C5942">
          <w:rPr>
            <w:rStyle w:val="Hyperlink"/>
            <w:rFonts w:ascii="Times New Roman" w:hAnsi="Times New Roman"/>
            <w:sz w:val="24"/>
            <w:szCs w:val="24"/>
          </w:rPr>
          <w:t>https://www.njcourts.gov/system/files/court-opinions/2024/a1893-22.pdf</w:t>
        </w:r>
      </w:hyperlink>
      <w:r w:rsidRPr="009C5942">
        <w:rPr>
          <w:rFonts w:ascii="Times New Roman" w:hAnsi="Times New Roman"/>
          <w:sz w:val="24"/>
          <w:szCs w:val="24"/>
        </w:rPr>
        <w:t xml:space="preserve"> </w:t>
      </w:r>
    </w:p>
    <w:p w14:paraId="0C270AB8" w14:textId="77777777" w:rsidR="009C5942" w:rsidRPr="009C5942" w:rsidRDefault="009C5942" w:rsidP="009C5942">
      <w:pPr>
        <w:pStyle w:val="NoSpacing"/>
        <w:rPr>
          <w:rFonts w:ascii="Times New Roman" w:hAnsi="Times New Roman"/>
          <w:sz w:val="24"/>
          <w:szCs w:val="24"/>
        </w:rPr>
      </w:pPr>
    </w:p>
    <w:p w14:paraId="50D2E77F" w14:textId="77777777" w:rsidR="009C5942" w:rsidRPr="009C5942" w:rsidRDefault="009C5942" w:rsidP="009C5942">
      <w:pPr>
        <w:pStyle w:val="NoSpacing"/>
        <w:rPr>
          <w:rFonts w:ascii="Times New Roman" w:hAnsi="Times New Roman"/>
          <w:sz w:val="24"/>
          <w:szCs w:val="24"/>
        </w:rPr>
      </w:pPr>
      <w:r w:rsidRPr="009C5942">
        <w:rPr>
          <w:rFonts w:ascii="Times New Roman" w:hAnsi="Times New Roman"/>
          <w:sz w:val="24"/>
          <w:szCs w:val="24"/>
        </w:rPr>
        <w:t>THE COURT HELD:</w:t>
      </w:r>
    </w:p>
    <w:p w14:paraId="4607C4E2" w14:textId="77777777" w:rsidR="009C5942" w:rsidRPr="009C5942" w:rsidRDefault="009C5942" w:rsidP="009C5942">
      <w:pPr>
        <w:pStyle w:val="NoSpacing"/>
        <w:rPr>
          <w:rFonts w:ascii="Times New Roman" w:hAnsi="Times New Roman"/>
          <w:sz w:val="24"/>
          <w:szCs w:val="24"/>
        </w:rPr>
      </w:pPr>
    </w:p>
    <w:p w14:paraId="3318F276" w14:textId="77777777" w:rsidR="009C5942" w:rsidRPr="009C5942" w:rsidRDefault="009C5942" w:rsidP="009C5942">
      <w:pPr>
        <w:pStyle w:val="NoSpacing"/>
        <w:ind w:left="720"/>
        <w:rPr>
          <w:rFonts w:ascii="Times New Roman" w:hAnsi="Times New Roman"/>
          <w:sz w:val="24"/>
          <w:szCs w:val="24"/>
        </w:rPr>
      </w:pPr>
      <w:r w:rsidRPr="009C5942">
        <w:rPr>
          <w:rFonts w:ascii="Times New Roman" w:hAnsi="Times New Roman"/>
          <w:sz w:val="24"/>
          <w:szCs w:val="24"/>
        </w:rPr>
        <w:t xml:space="preserve">“At best, plaintiff sets forth a viable claim of negligence. Plaintiff does not offer any evidence to support </w:t>
      </w:r>
      <w:proofErr w:type="gramStart"/>
      <w:r w:rsidRPr="009C5942">
        <w:rPr>
          <w:rFonts w:ascii="Times New Roman" w:hAnsi="Times New Roman"/>
          <w:sz w:val="24"/>
          <w:szCs w:val="24"/>
        </w:rPr>
        <w:t>a finding</w:t>
      </w:r>
      <w:proofErr w:type="gramEnd"/>
      <w:r w:rsidRPr="009C5942">
        <w:rPr>
          <w:rFonts w:ascii="Times New Roman" w:hAnsi="Times New Roman"/>
          <w:sz w:val="24"/>
          <w:szCs w:val="24"/>
        </w:rPr>
        <w:t xml:space="preserve"> that DiMarco and Valles did not act in good faith. We are satisfied, based on the facts and circumstances of this case, the court correctly determined DiMarco and Valles demonstrated their actions "were objectively reasonable or that they performed them with subjective good faith." </w:t>
      </w:r>
      <w:proofErr w:type="spellStart"/>
      <w:r w:rsidRPr="009C5942">
        <w:rPr>
          <w:rFonts w:ascii="Times New Roman" w:hAnsi="Times New Roman"/>
          <w:sz w:val="24"/>
          <w:szCs w:val="24"/>
        </w:rPr>
        <w:t>Canico</w:t>
      </w:r>
      <w:proofErr w:type="spellEnd"/>
      <w:r w:rsidRPr="009C5942">
        <w:rPr>
          <w:rFonts w:ascii="Times New Roman" w:hAnsi="Times New Roman"/>
          <w:sz w:val="24"/>
          <w:szCs w:val="24"/>
        </w:rPr>
        <w:t>, 144 N.J. at 365. Summary judgment, therefore, was properly granted on the issue of good faith.</w:t>
      </w:r>
    </w:p>
    <w:p w14:paraId="5F1A62F8" w14:textId="77777777" w:rsidR="009C5942" w:rsidRPr="009C5942" w:rsidRDefault="009C5942" w:rsidP="009C5942">
      <w:pPr>
        <w:pStyle w:val="NoSpacing"/>
        <w:ind w:left="720"/>
        <w:rPr>
          <w:rFonts w:ascii="Times New Roman" w:hAnsi="Times New Roman"/>
          <w:sz w:val="24"/>
          <w:szCs w:val="24"/>
        </w:rPr>
      </w:pPr>
    </w:p>
    <w:p w14:paraId="1253B696" w14:textId="77777777" w:rsidR="009C5942" w:rsidRPr="009C5942" w:rsidRDefault="009C5942" w:rsidP="009C5942">
      <w:pPr>
        <w:pStyle w:val="NoSpacing"/>
        <w:ind w:left="720"/>
        <w:rPr>
          <w:rFonts w:ascii="Times New Roman" w:hAnsi="Times New Roman"/>
          <w:sz w:val="24"/>
          <w:szCs w:val="24"/>
        </w:rPr>
      </w:pPr>
      <w:r w:rsidRPr="009C5942">
        <w:rPr>
          <w:rFonts w:ascii="Times New Roman" w:hAnsi="Times New Roman"/>
          <w:sz w:val="24"/>
          <w:szCs w:val="24"/>
        </w:rPr>
        <w:t>***</w:t>
      </w:r>
    </w:p>
    <w:p w14:paraId="309060F3" w14:textId="77777777" w:rsidR="009C5942" w:rsidRPr="009C5942" w:rsidRDefault="009C5942" w:rsidP="009C5942">
      <w:pPr>
        <w:pStyle w:val="NoSpacing"/>
        <w:rPr>
          <w:rFonts w:ascii="Times New Roman" w:hAnsi="Times New Roman"/>
          <w:sz w:val="24"/>
          <w:szCs w:val="24"/>
        </w:rPr>
      </w:pPr>
    </w:p>
    <w:p w14:paraId="2DE4168E" w14:textId="77777777" w:rsidR="009C5942" w:rsidRPr="009C5942" w:rsidRDefault="009C5942" w:rsidP="009C5942">
      <w:pPr>
        <w:pStyle w:val="NoSpacing"/>
        <w:ind w:left="720"/>
        <w:rPr>
          <w:rFonts w:ascii="Times New Roman" w:hAnsi="Times New Roman"/>
          <w:sz w:val="24"/>
          <w:szCs w:val="24"/>
        </w:rPr>
      </w:pPr>
      <w:r w:rsidRPr="009C5942">
        <w:rPr>
          <w:rFonts w:ascii="Times New Roman" w:hAnsi="Times New Roman"/>
          <w:sz w:val="24"/>
          <w:szCs w:val="24"/>
        </w:rPr>
        <w:t>We are satisfied the court correctly determined defendants are entitled to immunity pursuant to N.J.S.A. 26:2K-14, which provides, in relevant part:</w:t>
      </w:r>
    </w:p>
    <w:p w14:paraId="22421BFB" w14:textId="77777777" w:rsidR="009C5942" w:rsidRPr="009C5942" w:rsidRDefault="009C5942" w:rsidP="009C5942">
      <w:pPr>
        <w:pStyle w:val="NoSpacing"/>
        <w:ind w:left="1440"/>
        <w:rPr>
          <w:rFonts w:ascii="Times New Roman" w:hAnsi="Times New Roman"/>
          <w:sz w:val="24"/>
          <w:szCs w:val="24"/>
        </w:rPr>
      </w:pPr>
      <w:r w:rsidRPr="009C5942">
        <w:rPr>
          <w:rFonts w:ascii="Times New Roman" w:hAnsi="Times New Roman"/>
          <w:sz w:val="24"/>
          <w:szCs w:val="24"/>
        </w:rPr>
        <w:t>No mobile intensive care paramedic, . . . hospital . . . first aid, ambulance or rescue squad, … shall be liable for any civil damages as the result of an act or the omission of an act committed while in training for or in the rendering of . . . advanced life support services in good faith and in accordance with this act.”</w:t>
      </w:r>
    </w:p>
    <w:p w14:paraId="5D383038" w14:textId="77777777" w:rsidR="009C5942" w:rsidRPr="009C5942" w:rsidRDefault="009C5942" w:rsidP="009C5942">
      <w:pPr>
        <w:pStyle w:val="NoSpacing"/>
        <w:rPr>
          <w:rFonts w:ascii="Times New Roman" w:hAnsi="Times New Roman"/>
          <w:sz w:val="24"/>
          <w:szCs w:val="24"/>
        </w:rPr>
      </w:pPr>
    </w:p>
    <w:p w14:paraId="506AD569" w14:textId="77777777" w:rsidR="009C5942" w:rsidRPr="009C5942" w:rsidRDefault="009C5942" w:rsidP="009C5942">
      <w:pPr>
        <w:pStyle w:val="NoSpacing"/>
        <w:rPr>
          <w:rFonts w:ascii="Times New Roman" w:hAnsi="Times New Roman"/>
          <w:sz w:val="24"/>
          <w:szCs w:val="24"/>
        </w:rPr>
      </w:pPr>
    </w:p>
    <w:p w14:paraId="2D8A07EB" w14:textId="77777777" w:rsidR="009C5942" w:rsidRPr="009C5942" w:rsidRDefault="009C5942" w:rsidP="009C5942">
      <w:pPr>
        <w:rPr>
          <w:rFonts w:ascii="Times New Roman" w:hAnsi="Times New Roman"/>
          <w:b/>
          <w:bCs/>
          <w:sz w:val="24"/>
          <w:szCs w:val="24"/>
        </w:rPr>
      </w:pPr>
      <w:r w:rsidRPr="009C5942">
        <w:rPr>
          <w:rFonts w:ascii="Times New Roman" w:hAnsi="Times New Roman"/>
          <w:b/>
          <w:bCs/>
          <w:sz w:val="24"/>
          <w:szCs w:val="24"/>
        </w:rPr>
        <w:t xml:space="preserve">Legal Lesson Learned:  Statutory immunity protects both Paramedics and EMS students trained in intubation from liability.  </w:t>
      </w:r>
    </w:p>
    <w:p w14:paraId="317A2DB8" w14:textId="77777777" w:rsidR="001C18B0" w:rsidRDefault="001C18B0" w:rsidP="002B1283">
      <w:pPr>
        <w:rPr>
          <w:rFonts w:ascii="Arial Black" w:hAnsi="Arial Black"/>
          <w:b/>
          <w:bCs/>
          <w:sz w:val="28"/>
          <w:szCs w:val="28"/>
        </w:rPr>
      </w:pPr>
    </w:p>
    <w:p w14:paraId="18AE349E" w14:textId="77777777" w:rsidR="001C18B0" w:rsidRDefault="001C18B0" w:rsidP="002B1283">
      <w:pPr>
        <w:rPr>
          <w:rFonts w:ascii="Arial Black" w:hAnsi="Arial Black"/>
          <w:b/>
          <w:bCs/>
          <w:sz w:val="28"/>
          <w:szCs w:val="28"/>
        </w:rPr>
      </w:pPr>
    </w:p>
    <w:p w14:paraId="447D5A69" w14:textId="17DA2199" w:rsidR="009665CE" w:rsidRDefault="009665CE" w:rsidP="002B1283">
      <w:pPr>
        <w:rPr>
          <w:rFonts w:ascii="Arial Black" w:hAnsi="Arial Black"/>
          <w:b/>
          <w:bCs/>
          <w:sz w:val="28"/>
          <w:szCs w:val="28"/>
        </w:rPr>
      </w:pPr>
      <w:r>
        <w:rPr>
          <w:rFonts w:ascii="Arial Black" w:hAnsi="Arial Black"/>
          <w:b/>
          <w:bCs/>
          <w:sz w:val="28"/>
          <w:szCs w:val="28"/>
        </w:rPr>
        <w:t>13-193</w:t>
      </w:r>
    </w:p>
    <w:p w14:paraId="32C725D5" w14:textId="764D79CD" w:rsidR="009665CE" w:rsidRPr="00546EED" w:rsidRDefault="009665CE" w:rsidP="009665CE">
      <w:pPr>
        <w:pStyle w:val="NoSpacing"/>
        <w:rPr>
          <w:rFonts w:ascii="Arial Black" w:hAnsi="Arial Black"/>
          <w:sz w:val="28"/>
        </w:rPr>
      </w:pPr>
      <w:r>
        <w:rPr>
          <w:rFonts w:ascii="Arial Black" w:hAnsi="Arial Black"/>
          <w:sz w:val="28"/>
        </w:rPr>
        <w:t>NM:  FLIGHT PARAMEDIC TERMINATED – “ABANDONED” OB PATIENT - FETAL MONITOR REMOVED, PILOT RETURN</w:t>
      </w:r>
      <w:r w:rsidR="00D4774D">
        <w:rPr>
          <w:rFonts w:ascii="Arial Black" w:hAnsi="Arial Black"/>
          <w:sz w:val="28"/>
        </w:rPr>
        <w:t>ED TO</w:t>
      </w:r>
      <w:r>
        <w:rPr>
          <w:rFonts w:ascii="Arial Black" w:hAnsi="Arial Black"/>
          <w:sz w:val="28"/>
        </w:rPr>
        <w:t xml:space="preserve"> BASE</w:t>
      </w:r>
    </w:p>
    <w:p w14:paraId="1D031AF2" w14:textId="77777777" w:rsidR="009665CE" w:rsidRDefault="009665CE" w:rsidP="009665CE">
      <w:pPr>
        <w:pStyle w:val="NoSpacing"/>
      </w:pPr>
    </w:p>
    <w:p w14:paraId="1B2D8318" w14:textId="77777777" w:rsidR="009665CE" w:rsidRPr="009665CE" w:rsidRDefault="009665CE" w:rsidP="009665CE">
      <w:pPr>
        <w:pStyle w:val="NoSpacing"/>
        <w:rPr>
          <w:rFonts w:ascii="Times New Roman" w:hAnsi="Times New Roman"/>
          <w:sz w:val="24"/>
          <w:szCs w:val="24"/>
        </w:rPr>
      </w:pPr>
      <w:r w:rsidRPr="009665CE">
        <w:rPr>
          <w:rFonts w:ascii="Times New Roman" w:hAnsi="Times New Roman"/>
          <w:sz w:val="24"/>
          <w:szCs w:val="24"/>
        </w:rPr>
        <w:t xml:space="preserve">On September 3, 2024, in </w:t>
      </w:r>
      <w:r w:rsidRPr="009665CE">
        <w:rPr>
          <w:rFonts w:ascii="Times New Roman" w:hAnsi="Times New Roman"/>
          <w:sz w:val="24"/>
          <w:szCs w:val="24"/>
          <w:u w:val="single"/>
        </w:rPr>
        <w:t>Daniel Kuhler v. PHI Health, LLC d/b/a Phi Air Medical</w:t>
      </w:r>
      <w:r w:rsidRPr="009665CE">
        <w:rPr>
          <w:rFonts w:ascii="Times New Roman" w:hAnsi="Times New Roman"/>
          <w:sz w:val="24"/>
          <w:szCs w:val="24"/>
        </w:rPr>
        <w:t xml:space="preserve">, United States District Court Chief Judge William P. Johnson, U.S. District Court, District of New Mexico, granted summary judgment to the employer, Phi Air Medical; there was no proof of employer making termination decision as a failure to accommodate his request for leave for ear surgery. Regarding the medical flight on Oct. 10, 2019, the Court wrote: “Disconnecting the equipment from the patient, leaving her with the ground ambulance crew, and flying back to base is why he was terminated. *** Here, the undisputed facts show that: (1) Kuhler was dispatched on October 10, 2019, for a high-risk OB patient; (2) the flight crew ‘interacted with, assessed and placed a PHI-owned fetal monitor on the patient’; (3) Kuhler did not call PHI personnel or any physician; (4) Kuhler then left the scene…. This constitutes abandonment-or is at least close enough that the Court will not play the role of a Monday morning quarterback and second-guess this decision.” </w:t>
      </w:r>
      <w:hyperlink r:id="rId2133" w:history="1">
        <w:r w:rsidRPr="009665CE">
          <w:rPr>
            <w:rStyle w:val="Hyperlink"/>
            <w:rFonts w:ascii="Times New Roman" w:hAnsi="Times New Roman"/>
            <w:sz w:val="24"/>
            <w:szCs w:val="24"/>
          </w:rPr>
          <w:t>https://casetext.com/case/kuhler-v-phi-health-llc</w:t>
        </w:r>
      </w:hyperlink>
      <w:r w:rsidRPr="009665CE">
        <w:rPr>
          <w:rFonts w:ascii="Times New Roman" w:hAnsi="Times New Roman"/>
          <w:sz w:val="24"/>
          <w:szCs w:val="24"/>
        </w:rPr>
        <w:t xml:space="preserve"> </w:t>
      </w:r>
    </w:p>
    <w:p w14:paraId="3C0AE6A4" w14:textId="77777777" w:rsidR="009665CE" w:rsidRPr="009665CE" w:rsidRDefault="009665CE" w:rsidP="009665CE">
      <w:pPr>
        <w:pStyle w:val="NoSpacing"/>
        <w:rPr>
          <w:rFonts w:ascii="Times New Roman" w:hAnsi="Times New Roman"/>
          <w:sz w:val="24"/>
          <w:szCs w:val="24"/>
        </w:rPr>
      </w:pPr>
    </w:p>
    <w:p w14:paraId="093F00E4" w14:textId="77777777" w:rsidR="009665CE" w:rsidRPr="009665CE" w:rsidRDefault="009665CE" w:rsidP="009665CE">
      <w:pPr>
        <w:pStyle w:val="NoSpacing"/>
        <w:rPr>
          <w:rFonts w:ascii="Times New Roman" w:hAnsi="Times New Roman"/>
          <w:sz w:val="24"/>
          <w:szCs w:val="24"/>
        </w:rPr>
      </w:pPr>
      <w:r w:rsidRPr="009665CE">
        <w:rPr>
          <w:rFonts w:ascii="Times New Roman" w:hAnsi="Times New Roman"/>
          <w:sz w:val="24"/>
          <w:szCs w:val="24"/>
        </w:rPr>
        <w:t>THE COURT HELD:</w:t>
      </w:r>
    </w:p>
    <w:p w14:paraId="5111E01A" w14:textId="77777777" w:rsidR="009665CE" w:rsidRPr="009665CE" w:rsidRDefault="009665CE" w:rsidP="009665CE">
      <w:pPr>
        <w:pStyle w:val="NoSpacing"/>
        <w:rPr>
          <w:rFonts w:ascii="Times New Roman" w:hAnsi="Times New Roman"/>
          <w:sz w:val="24"/>
          <w:szCs w:val="24"/>
        </w:rPr>
      </w:pPr>
    </w:p>
    <w:p w14:paraId="35CF24E8" w14:textId="77777777" w:rsidR="009665CE" w:rsidRPr="009665CE" w:rsidRDefault="009665CE" w:rsidP="009665CE">
      <w:pPr>
        <w:pStyle w:val="NoSpacing"/>
        <w:ind w:left="720"/>
        <w:rPr>
          <w:rFonts w:ascii="Times New Roman" w:hAnsi="Times New Roman"/>
          <w:sz w:val="24"/>
          <w:szCs w:val="24"/>
        </w:rPr>
      </w:pPr>
      <w:r w:rsidRPr="009665CE">
        <w:rPr>
          <w:rFonts w:ascii="Times New Roman" w:hAnsi="Times New Roman"/>
          <w:sz w:val="24"/>
          <w:szCs w:val="24"/>
        </w:rPr>
        <w:t xml:space="preserve">“After the internal investigation was completed, the Yslas Report found that Kuhler (and the flight nurse) had abandoned a patient and were dishonest in their statements…. Based on these findings, the Yslas Report recommended termination of both employees. </w:t>
      </w:r>
      <w:r w:rsidRPr="009665CE">
        <w:rPr>
          <w:rFonts w:ascii="Times New Roman" w:hAnsi="Times New Roman"/>
          <w:i/>
          <w:iCs/>
          <w:sz w:val="24"/>
          <w:szCs w:val="24"/>
        </w:rPr>
        <w:t>Id.</w:t>
      </w:r>
      <w:r w:rsidRPr="009665CE">
        <w:rPr>
          <w:rFonts w:ascii="Times New Roman" w:hAnsi="Times New Roman"/>
          <w:sz w:val="24"/>
          <w:szCs w:val="24"/>
        </w:rPr>
        <w:t xml:space="preserve"> Yslas presented the report to PHI's Chief Human Resources Officer (“CHRO”)…. After reviewing the Yslas Report, and accompanying PHI policies, the CHRO accepted the recommendation-and approved the termination of Kuhler and the flight nurse…. </w:t>
      </w:r>
    </w:p>
    <w:p w14:paraId="66C79B7D" w14:textId="77777777" w:rsidR="009665CE" w:rsidRPr="009665CE" w:rsidRDefault="009665CE" w:rsidP="009665CE">
      <w:pPr>
        <w:pStyle w:val="NoSpacing"/>
        <w:ind w:left="720"/>
        <w:rPr>
          <w:rFonts w:ascii="Times New Roman" w:hAnsi="Times New Roman"/>
          <w:b/>
          <w:bCs/>
          <w:sz w:val="24"/>
          <w:szCs w:val="24"/>
        </w:rPr>
      </w:pPr>
    </w:p>
    <w:p w14:paraId="12A507FE" w14:textId="77777777" w:rsidR="009665CE" w:rsidRPr="009665CE" w:rsidRDefault="009665CE" w:rsidP="009665CE">
      <w:pPr>
        <w:pStyle w:val="NoSpacing"/>
        <w:ind w:firstLine="720"/>
        <w:rPr>
          <w:rFonts w:ascii="Times New Roman" w:hAnsi="Times New Roman"/>
          <w:sz w:val="24"/>
          <w:szCs w:val="24"/>
        </w:rPr>
      </w:pPr>
      <w:r w:rsidRPr="009665CE">
        <w:rPr>
          <w:rFonts w:ascii="Times New Roman" w:hAnsi="Times New Roman"/>
          <w:sz w:val="24"/>
          <w:szCs w:val="24"/>
        </w:rPr>
        <w:t xml:space="preserve">Neither Yslas nor the CHRO knew of Kuhler's request for an accommodation…. </w:t>
      </w:r>
    </w:p>
    <w:p w14:paraId="60305F3B" w14:textId="77777777" w:rsidR="009665CE" w:rsidRPr="009665CE" w:rsidRDefault="009665CE" w:rsidP="009665CE">
      <w:pPr>
        <w:pStyle w:val="NoSpacing"/>
        <w:ind w:firstLine="720"/>
        <w:rPr>
          <w:rFonts w:ascii="Times New Roman" w:hAnsi="Times New Roman"/>
          <w:sz w:val="24"/>
          <w:szCs w:val="24"/>
        </w:rPr>
      </w:pPr>
    </w:p>
    <w:p w14:paraId="3AC250F9" w14:textId="77777777" w:rsidR="009665CE" w:rsidRPr="009665CE" w:rsidRDefault="009665CE" w:rsidP="009665CE">
      <w:pPr>
        <w:pStyle w:val="NoSpacing"/>
        <w:ind w:firstLine="720"/>
        <w:rPr>
          <w:rFonts w:ascii="Times New Roman" w:hAnsi="Times New Roman"/>
          <w:sz w:val="24"/>
          <w:szCs w:val="24"/>
        </w:rPr>
      </w:pPr>
      <w:r w:rsidRPr="009665CE">
        <w:rPr>
          <w:rFonts w:ascii="Times New Roman" w:hAnsi="Times New Roman"/>
          <w:sz w:val="24"/>
          <w:szCs w:val="24"/>
        </w:rPr>
        <w:t>***</w:t>
      </w:r>
    </w:p>
    <w:p w14:paraId="4BA92192" w14:textId="77777777" w:rsidR="009665CE" w:rsidRPr="009665CE" w:rsidRDefault="009665CE" w:rsidP="009665CE">
      <w:pPr>
        <w:pStyle w:val="NoSpacing"/>
        <w:rPr>
          <w:rFonts w:ascii="Times New Roman" w:hAnsi="Times New Roman"/>
          <w:sz w:val="24"/>
          <w:szCs w:val="24"/>
        </w:rPr>
      </w:pPr>
    </w:p>
    <w:p w14:paraId="3279B1F6" w14:textId="77777777" w:rsidR="009665CE" w:rsidRPr="009665CE" w:rsidRDefault="009665CE" w:rsidP="009665CE">
      <w:pPr>
        <w:pStyle w:val="NoSpacing"/>
        <w:ind w:left="720"/>
        <w:rPr>
          <w:rFonts w:ascii="Times New Roman" w:hAnsi="Times New Roman"/>
          <w:sz w:val="24"/>
          <w:szCs w:val="24"/>
        </w:rPr>
      </w:pPr>
      <w:r w:rsidRPr="009665CE">
        <w:rPr>
          <w:rFonts w:ascii="Times New Roman" w:hAnsi="Times New Roman"/>
          <w:sz w:val="24"/>
          <w:szCs w:val="24"/>
        </w:rPr>
        <w:t xml:space="preserve">In January 2019, Kuhler requested (and PHI granted) leave under the Family and Medical Leave </w:t>
      </w:r>
      <w:proofErr w:type="gramStart"/>
      <w:r w:rsidRPr="009665CE">
        <w:rPr>
          <w:rFonts w:ascii="Times New Roman" w:hAnsi="Times New Roman"/>
          <w:sz w:val="24"/>
          <w:szCs w:val="24"/>
        </w:rPr>
        <w:t>Act (‘</w:t>
      </w:r>
      <w:proofErr w:type="gramEnd"/>
      <w:r w:rsidRPr="009665CE">
        <w:rPr>
          <w:rFonts w:ascii="Times New Roman" w:hAnsi="Times New Roman"/>
          <w:sz w:val="24"/>
          <w:szCs w:val="24"/>
        </w:rPr>
        <w:t xml:space="preserve">FMLA’) for an eye </w:t>
      </w:r>
      <w:proofErr w:type="gramStart"/>
      <w:r w:rsidRPr="009665CE">
        <w:rPr>
          <w:rFonts w:ascii="Times New Roman" w:hAnsi="Times New Roman"/>
          <w:sz w:val="24"/>
          <w:szCs w:val="24"/>
        </w:rPr>
        <w:t>condition,,,,</w:t>
      </w:r>
      <w:proofErr w:type="gramEnd"/>
      <w:r w:rsidRPr="009665CE">
        <w:rPr>
          <w:rFonts w:ascii="Times New Roman" w:hAnsi="Times New Roman"/>
          <w:sz w:val="24"/>
          <w:szCs w:val="24"/>
        </w:rPr>
        <w:t xml:space="preserve">  Specifically, Kuhler received treatment for optic neuritis. </w:t>
      </w:r>
      <w:r w:rsidRPr="009665CE">
        <w:rPr>
          <w:rFonts w:ascii="Times New Roman" w:hAnsi="Times New Roman"/>
          <w:i/>
          <w:iCs/>
          <w:sz w:val="24"/>
          <w:szCs w:val="24"/>
        </w:rPr>
        <w:t>Ibid.</w:t>
      </w:r>
      <w:r w:rsidRPr="009665CE">
        <w:rPr>
          <w:rFonts w:ascii="Times New Roman" w:hAnsi="Times New Roman"/>
          <w:sz w:val="24"/>
          <w:szCs w:val="24"/>
        </w:rPr>
        <w:t xml:space="preserve"> By the end of the month, Kuhler returned to work at ‘full-duty status….’ A few months later, in early October 2019, Kuhler informed his supervisor that he would need time off for an ear surgery….  The supervisor told Kuhler to contact PHI's occupational health nurse to discuss the leave associated with the surgery. </w:t>
      </w:r>
      <w:r w:rsidRPr="009665CE">
        <w:rPr>
          <w:rFonts w:ascii="Times New Roman" w:hAnsi="Times New Roman"/>
          <w:i/>
          <w:iCs/>
          <w:sz w:val="24"/>
          <w:szCs w:val="24"/>
        </w:rPr>
        <w:t>Ibid.</w:t>
      </w:r>
      <w:r w:rsidRPr="009665CE">
        <w:rPr>
          <w:rFonts w:ascii="Times New Roman" w:hAnsi="Times New Roman"/>
          <w:sz w:val="24"/>
          <w:szCs w:val="24"/>
        </w:rPr>
        <w:t xml:space="preserve"> Specifically, PHI needed more information to determine ‘the type’ of leave…. But, for one reason or another, Kuhler did not “contact” the occupational health nurse once the surgery was scheduled. Nor did he ‘submit any paperwork’ requesting time off for the surgery…  And this ear surgery is the only ‘accommodation’ at issue in this lawsuit.”</w:t>
      </w:r>
    </w:p>
    <w:p w14:paraId="01ACEEA2" w14:textId="77777777" w:rsidR="009665CE" w:rsidRPr="009665CE" w:rsidRDefault="009665CE" w:rsidP="009665CE">
      <w:pPr>
        <w:pStyle w:val="NoSpacing"/>
        <w:ind w:left="720"/>
        <w:rPr>
          <w:rFonts w:ascii="Times New Roman" w:hAnsi="Times New Roman"/>
          <w:sz w:val="24"/>
          <w:szCs w:val="24"/>
        </w:rPr>
      </w:pPr>
    </w:p>
    <w:p w14:paraId="5D17443A" w14:textId="77777777" w:rsidR="009665CE" w:rsidRPr="009665CE" w:rsidRDefault="009665CE" w:rsidP="009665CE">
      <w:pPr>
        <w:pStyle w:val="NoSpacing"/>
        <w:ind w:left="720"/>
        <w:rPr>
          <w:rFonts w:ascii="Times New Roman" w:hAnsi="Times New Roman"/>
          <w:sz w:val="24"/>
          <w:szCs w:val="24"/>
        </w:rPr>
      </w:pPr>
    </w:p>
    <w:p w14:paraId="60A14055" w14:textId="77777777" w:rsidR="009665CE" w:rsidRPr="009665CE" w:rsidRDefault="009665CE" w:rsidP="009665CE">
      <w:pPr>
        <w:pStyle w:val="NoSpacing"/>
        <w:rPr>
          <w:rFonts w:ascii="Times New Roman" w:hAnsi="Times New Roman"/>
          <w:b/>
          <w:bCs/>
          <w:sz w:val="24"/>
          <w:szCs w:val="24"/>
        </w:rPr>
      </w:pPr>
      <w:r w:rsidRPr="009665CE">
        <w:rPr>
          <w:rFonts w:ascii="Times New Roman" w:hAnsi="Times New Roman"/>
          <w:b/>
          <w:bCs/>
          <w:sz w:val="24"/>
          <w:szCs w:val="24"/>
        </w:rPr>
        <w:t xml:space="preserve">Legal Lesson Learned:  Follow your protocol on passing care of patient to others. </w:t>
      </w:r>
    </w:p>
    <w:p w14:paraId="265C020B" w14:textId="77777777" w:rsidR="009665CE" w:rsidRPr="009665CE" w:rsidRDefault="009665CE" w:rsidP="002B1283">
      <w:pPr>
        <w:rPr>
          <w:rFonts w:ascii="Times New Roman" w:hAnsi="Times New Roman"/>
          <w:b/>
          <w:bCs/>
          <w:sz w:val="24"/>
          <w:szCs w:val="24"/>
        </w:rPr>
      </w:pPr>
    </w:p>
    <w:p w14:paraId="290F318D" w14:textId="77777777" w:rsidR="009665CE" w:rsidRDefault="009665CE" w:rsidP="002B1283">
      <w:pPr>
        <w:rPr>
          <w:rFonts w:ascii="Arial Black" w:hAnsi="Arial Black"/>
          <w:b/>
          <w:bCs/>
          <w:sz w:val="28"/>
          <w:szCs w:val="28"/>
        </w:rPr>
      </w:pPr>
    </w:p>
    <w:p w14:paraId="529DB9AE" w14:textId="18023DF2" w:rsidR="00EC1348" w:rsidRDefault="00EC1348" w:rsidP="002B1283">
      <w:pPr>
        <w:rPr>
          <w:rFonts w:ascii="Arial Black" w:hAnsi="Arial Black"/>
          <w:b/>
          <w:bCs/>
          <w:sz w:val="28"/>
          <w:szCs w:val="28"/>
        </w:rPr>
      </w:pPr>
      <w:r>
        <w:rPr>
          <w:rFonts w:ascii="Arial Black" w:hAnsi="Arial Black"/>
          <w:b/>
          <w:bCs/>
          <w:sz w:val="28"/>
          <w:szCs w:val="28"/>
        </w:rPr>
        <w:t>13-192</w:t>
      </w:r>
    </w:p>
    <w:p w14:paraId="383F07A6" w14:textId="2FE5D792" w:rsidR="00915BCF" w:rsidRPr="002346D4" w:rsidRDefault="00915BCF" w:rsidP="00915BCF">
      <w:pPr>
        <w:pStyle w:val="NoSpacing"/>
        <w:rPr>
          <w:rFonts w:ascii="Aptos Black" w:hAnsi="Aptos Black"/>
          <w:sz w:val="28"/>
        </w:rPr>
      </w:pPr>
      <w:r>
        <w:rPr>
          <w:rFonts w:ascii="Arial Black" w:hAnsi="Arial Black"/>
          <w:sz w:val="28"/>
        </w:rPr>
        <w:lastRenderedPageBreak/>
        <w:t xml:space="preserve">OH: FAMILY CLAIMS PT FELL OFF COT – EMTs DENY – NO LIABLITY – NOT WILLFUL </w:t>
      </w:r>
      <w:r w:rsidR="003A037C">
        <w:rPr>
          <w:rFonts w:ascii="Arial Black" w:hAnsi="Arial Black"/>
          <w:sz w:val="28"/>
        </w:rPr>
        <w:t xml:space="preserve">OR </w:t>
      </w:r>
      <w:r>
        <w:rPr>
          <w:rFonts w:ascii="Arial Black" w:hAnsi="Arial Black"/>
          <w:sz w:val="28"/>
        </w:rPr>
        <w:t xml:space="preserve">WANTON MISCONDUCT </w:t>
      </w:r>
    </w:p>
    <w:p w14:paraId="0DE9691D" w14:textId="77777777" w:rsidR="006878FB" w:rsidRPr="006878FB" w:rsidRDefault="006878FB" w:rsidP="006878FB">
      <w:pPr>
        <w:pStyle w:val="NoSpacing"/>
        <w:rPr>
          <w:rFonts w:ascii="Times New Roman" w:hAnsi="Times New Roman"/>
          <w:sz w:val="24"/>
          <w:szCs w:val="24"/>
        </w:rPr>
      </w:pPr>
    </w:p>
    <w:p w14:paraId="4E723774" w14:textId="77777777" w:rsidR="006878FB" w:rsidRPr="006878FB" w:rsidRDefault="006878FB" w:rsidP="006878FB">
      <w:pPr>
        <w:pStyle w:val="NoSpacing"/>
        <w:rPr>
          <w:rFonts w:ascii="Times New Roman" w:hAnsi="Times New Roman"/>
          <w:sz w:val="24"/>
          <w:szCs w:val="24"/>
        </w:rPr>
      </w:pPr>
      <w:r w:rsidRPr="006878FB">
        <w:rPr>
          <w:rFonts w:ascii="Times New Roman" w:hAnsi="Times New Roman"/>
          <w:sz w:val="24"/>
          <w:szCs w:val="24"/>
        </w:rPr>
        <w:t xml:space="preserve">On Aug. 30, 2024, in </w:t>
      </w:r>
      <w:proofErr w:type="spellStart"/>
      <w:r w:rsidRPr="006878FB">
        <w:rPr>
          <w:rFonts w:ascii="Times New Roman" w:hAnsi="Times New Roman"/>
          <w:sz w:val="24"/>
          <w:szCs w:val="24"/>
          <w:u w:val="single"/>
        </w:rPr>
        <w:t>Carthagenia</w:t>
      </w:r>
      <w:proofErr w:type="spellEnd"/>
      <w:r w:rsidRPr="006878FB">
        <w:rPr>
          <w:rFonts w:ascii="Times New Roman" w:hAnsi="Times New Roman"/>
          <w:sz w:val="24"/>
          <w:szCs w:val="24"/>
          <w:u w:val="single"/>
        </w:rPr>
        <w:t xml:space="preserve"> Wyatt, as Administrator of the Estate of Deltina Graves v. City of Springfield, Ohio, et al.</w:t>
      </w:r>
      <w:r w:rsidRPr="006878FB">
        <w:rPr>
          <w:rFonts w:ascii="Times New Roman" w:hAnsi="Times New Roman"/>
          <w:sz w:val="24"/>
          <w:szCs w:val="24"/>
        </w:rPr>
        <w:t xml:space="preserve">, the Ohio Court of Appeals of Second District (Clark County) held (3 to 0) that trial court granted summary judgment to two EMTs and the City. Autopsy showed patient died of “acute atraumatic intracranial hemorrhage,” meaning that the hemorrhage was not caused by any head trauma.  The cot was equipped with two straps – one across the patient’s waist and one across legs [not third over shoulders].  A neighbor believed she saw the patient </w:t>
      </w:r>
      <w:proofErr w:type="gramStart"/>
      <w:r w:rsidRPr="006878FB">
        <w:rPr>
          <w:rFonts w:ascii="Times New Roman" w:hAnsi="Times New Roman"/>
          <w:sz w:val="24"/>
          <w:szCs w:val="24"/>
        </w:rPr>
        <w:t>dropped</w:t>
      </w:r>
      <w:proofErr w:type="gramEnd"/>
      <w:r w:rsidRPr="006878FB">
        <w:rPr>
          <w:rFonts w:ascii="Times New Roman" w:hAnsi="Times New Roman"/>
          <w:sz w:val="24"/>
          <w:szCs w:val="24"/>
        </w:rPr>
        <w:t xml:space="preserve"> on her head.  The Court wrote: “We see nothing from which a trier of fact reasonably could have concluded that Kaufman or Scanlan acted recklessly. The appellants complain about Graves not being strapped above the waist, but nothing in the record suggests the availability of additional straps. We note too that the EMTs provided uncontroverted testimony about the cot’s partial side rails being up. </w:t>
      </w:r>
      <w:proofErr w:type="gramStart"/>
      <w:r w:rsidRPr="006878FB">
        <w:rPr>
          <w:rFonts w:ascii="Times New Roman" w:hAnsi="Times New Roman"/>
          <w:sz w:val="24"/>
          <w:szCs w:val="24"/>
        </w:rPr>
        <w:t>he</w:t>
      </w:r>
      <w:proofErr w:type="gramEnd"/>
      <w:r w:rsidRPr="006878FB">
        <w:rPr>
          <w:rFonts w:ascii="Times New Roman" w:hAnsi="Times New Roman"/>
          <w:sz w:val="24"/>
          <w:szCs w:val="24"/>
        </w:rPr>
        <w:t xml:space="preserve"> appellants also complain about the EMTs not mentioning Graves’ fall to the emergency-room physician after the fact. But the physician, Dr. Guest, promptly had been made aware of the allegation by Graves’ mother. At most, the record suggests that Kaufman and Scanlan were inattentive when Graves unexpectedly slid from her </w:t>
      </w:r>
      <w:proofErr w:type="gramStart"/>
      <w:r w:rsidRPr="006878FB">
        <w:rPr>
          <w:rFonts w:ascii="Times New Roman" w:hAnsi="Times New Roman"/>
          <w:sz w:val="24"/>
          <w:szCs w:val="24"/>
        </w:rPr>
        <w:t>cot</w:t>
      </w:r>
      <w:proofErr w:type="gramEnd"/>
      <w:r w:rsidRPr="006878FB">
        <w:rPr>
          <w:rFonts w:ascii="Times New Roman" w:hAnsi="Times New Roman"/>
          <w:sz w:val="24"/>
          <w:szCs w:val="24"/>
        </w:rPr>
        <w:t xml:space="preserve">. As a matter of law, this conduct could not have constituted more than negligence.” </w:t>
      </w:r>
      <w:hyperlink r:id="rId2134" w:history="1">
        <w:r w:rsidRPr="006878FB">
          <w:rPr>
            <w:rStyle w:val="Hyperlink"/>
            <w:rFonts w:ascii="Times New Roman" w:hAnsi="Times New Roman"/>
            <w:sz w:val="24"/>
            <w:szCs w:val="24"/>
          </w:rPr>
          <w:t>https://cases.justia.com/ohio/second-district-court-of-appeals/2024-2024-ca-3-0.pdf?ts=1725029311</w:t>
        </w:r>
      </w:hyperlink>
      <w:r w:rsidRPr="006878FB">
        <w:rPr>
          <w:rFonts w:ascii="Times New Roman" w:hAnsi="Times New Roman"/>
          <w:sz w:val="24"/>
          <w:szCs w:val="24"/>
        </w:rPr>
        <w:t xml:space="preserve"> </w:t>
      </w:r>
    </w:p>
    <w:p w14:paraId="0EC646A5" w14:textId="77777777" w:rsidR="006878FB" w:rsidRPr="006878FB" w:rsidRDefault="006878FB" w:rsidP="006878FB">
      <w:pPr>
        <w:pStyle w:val="NoSpacing"/>
        <w:rPr>
          <w:rFonts w:ascii="Times New Roman" w:hAnsi="Times New Roman"/>
          <w:sz w:val="24"/>
          <w:szCs w:val="24"/>
        </w:rPr>
      </w:pPr>
    </w:p>
    <w:p w14:paraId="6790D1D3" w14:textId="77777777" w:rsidR="006878FB" w:rsidRPr="006878FB" w:rsidRDefault="006878FB" w:rsidP="006878FB">
      <w:pPr>
        <w:pStyle w:val="NoSpacing"/>
        <w:rPr>
          <w:rFonts w:ascii="Times New Roman" w:hAnsi="Times New Roman"/>
          <w:sz w:val="24"/>
          <w:szCs w:val="24"/>
        </w:rPr>
      </w:pPr>
      <w:r w:rsidRPr="006878FB">
        <w:rPr>
          <w:rFonts w:ascii="Times New Roman" w:hAnsi="Times New Roman"/>
          <w:sz w:val="24"/>
          <w:szCs w:val="24"/>
        </w:rPr>
        <w:t>THE COURT HELD:</w:t>
      </w:r>
    </w:p>
    <w:p w14:paraId="39CE7A19" w14:textId="77777777" w:rsidR="006878FB" w:rsidRPr="006878FB" w:rsidRDefault="006878FB" w:rsidP="006878FB">
      <w:pPr>
        <w:pStyle w:val="NoSpacing"/>
        <w:ind w:left="720"/>
        <w:rPr>
          <w:rFonts w:ascii="Times New Roman" w:hAnsi="Times New Roman"/>
          <w:sz w:val="24"/>
          <w:szCs w:val="24"/>
        </w:rPr>
      </w:pPr>
      <w:r w:rsidRPr="006878FB">
        <w:rPr>
          <w:rFonts w:ascii="Times New Roman" w:hAnsi="Times New Roman"/>
          <w:sz w:val="24"/>
          <w:szCs w:val="24"/>
        </w:rPr>
        <w:t>“With regard to the EMTs, the trial court correctly looked to R.C. 4765.49(A), which provides: ‘A first responder, emergency medical technician-basic, emergency medical technician-intermediate, or emergency medical technician-paramedic is not liable in damages in a civil action for injury, death, or loss to person or property resulting from the individual’s administration of emergency medical services, unless the services are administered in a manner that constitutes willful or wanton misconduct.’</w:t>
      </w:r>
    </w:p>
    <w:p w14:paraId="47405BE6" w14:textId="77777777" w:rsidR="009E033B" w:rsidRDefault="009E033B" w:rsidP="006878FB">
      <w:pPr>
        <w:pStyle w:val="NoSpacing"/>
        <w:rPr>
          <w:rFonts w:ascii="Times New Roman" w:hAnsi="Times New Roman"/>
          <w:b/>
          <w:bCs/>
          <w:sz w:val="24"/>
          <w:szCs w:val="24"/>
        </w:rPr>
      </w:pPr>
    </w:p>
    <w:p w14:paraId="6EE8EFB1" w14:textId="3F7D5C07" w:rsidR="006878FB" w:rsidRPr="006878FB" w:rsidRDefault="006878FB" w:rsidP="006878FB">
      <w:pPr>
        <w:pStyle w:val="NoSpacing"/>
        <w:rPr>
          <w:rFonts w:ascii="Times New Roman" w:hAnsi="Times New Roman"/>
          <w:b/>
          <w:bCs/>
          <w:sz w:val="24"/>
          <w:szCs w:val="24"/>
        </w:rPr>
      </w:pPr>
      <w:r w:rsidRPr="006878FB">
        <w:rPr>
          <w:rFonts w:ascii="Times New Roman" w:hAnsi="Times New Roman"/>
          <w:b/>
          <w:bCs/>
          <w:sz w:val="24"/>
          <w:szCs w:val="24"/>
        </w:rPr>
        <w:t xml:space="preserve">Legal Lesson Learned: Securely strap the patient to the cot; if there is partial slippage off the cot, document it in the EMS run report. </w:t>
      </w:r>
    </w:p>
    <w:p w14:paraId="23445648" w14:textId="77777777" w:rsidR="00EC1348" w:rsidRDefault="00EC1348" w:rsidP="002B1283">
      <w:pPr>
        <w:rPr>
          <w:rFonts w:ascii="Arial Black" w:hAnsi="Arial Black"/>
          <w:b/>
          <w:bCs/>
          <w:sz w:val="28"/>
          <w:szCs w:val="28"/>
        </w:rPr>
      </w:pPr>
    </w:p>
    <w:p w14:paraId="1542249B" w14:textId="77777777" w:rsidR="00EC1348" w:rsidRDefault="00EC1348" w:rsidP="002B1283">
      <w:pPr>
        <w:rPr>
          <w:rFonts w:ascii="Arial Black" w:hAnsi="Arial Black"/>
          <w:b/>
          <w:bCs/>
          <w:sz w:val="28"/>
          <w:szCs w:val="28"/>
        </w:rPr>
      </w:pPr>
    </w:p>
    <w:p w14:paraId="732F86AC" w14:textId="07E91E75" w:rsidR="00AC1F80" w:rsidRDefault="00AC1F80" w:rsidP="002B1283">
      <w:pPr>
        <w:rPr>
          <w:rFonts w:ascii="Arial Black" w:hAnsi="Arial Black"/>
          <w:b/>
          <w:bCs/>
          <w:sz w:val="28"/>
          <w:szCs w:val="28"/>
        </w:rPr>
      </w:pPr>
      <w:r>
        <w:rPr>
          <w:rFonts w:ascii="Arial Black" w:hAnsi="Arial Black"/>
          <w:b/>
          <w:bCs/>
          <w:sz w:val="28"/>
          <w:szCs w:val="28"/>
        </w:rPr>
        <w:t>13-191</w:t>
      </w:r>
    </w:p>
    <w:p w14:paraId="2707F131" w14:textId="435F5D57" w:rsidR="00EC1348" w:rsidRPr="00954F7D" w:rsidRDefault="00EC1348" w:rsidP="00EC1348">
      <w:pPr>
        <w:pStyle w:val="NoSpacing"/>
        <w:rPr>
          <w:rFonts w:ascii="Aptos Black" w:hAnsi="Aptos Black"/>
          <w:sz w:val="28"/>
        </w:rPr>
      </w:pPr>
      <w:r>
        <w:rPr>
          <w:rFonts w:ascii="Arial Black" w:hAnsi="Arial Black"/>
          <w:sz w:val="28"/>
        </w:rPr>
        <w:t xml:space="preserve">MO: </w:t>
      </w:r>
      <w:r w:rsidR="008C18A2">
        <w:rPr>
          <w:rFonts w:ascii="Arial Black" w:hAnsi="Arial Black"/>
          <w:sz w:val="28"/>
        </w:rPr>
        <w:t xml:space="preserve">CRIMINAL IMMUNITY </w:t>
      </w:r>
      <w:r>
        <w:rPr>
          <w:rFonts w:ascii="Arial Black" w:hAnsi="Arial Black"/>
          <w:sz w:val="28"/>
        </w:rPr>
        <w:t xml:space="preserve">LAW NOT APPLY – PT REFUSED MEDICAL CARE – CONSENTED PD SEARCH </w:t>
      </w:r>
      <w:r w:rsidR="00F642D1">
        <w:rPr>
          <w:rFonts w:ascii="Arial Black" w:hAnsi="Arial Black"/>
          <w:sz w:val="28"/>
        </w:rPr>
        <w:t>–</w:t>
      </w:r>
      <w:r>
        <w:rPr>
          <w:rFonts w:ascii="Arial Black" w:hAnsi="Arial Black"/>
          <w:sz w:val="28"/>
        </w:rPr>
        <w:t xml:space="preserve"> </w:t>
      </w:r>
      <w:r w:rsidR="00F642D1">
        <w:rPr>
          <w:rFonts w:ascii="Arial Black" w:hAnsi="Arial Black"/>
          <w:sz w:val="28"/>
        </w:rPr>
        <w:t xml:space="preserve">MAY BE CHARGED </w:t>
      </w:r>
      <w:r>
        <w:rPr>
          <w:rFonts w:ascii="Arial Black" w:hAnsi="Arial Black"/>
          <w:sz w:val="28"/>
        </w:rPr>
        <w:t>DRUGS</w:t>
      </w:r>
    </w:p>
    <w:p w14:paraId="76BCBA37" w14:textId="77777777" w:rsidR="00EC1348" w:rsidRDefault="00EC1348" w:rsidP="00EC1348">
      <w:pPr>
        <w:pStyle w:val="NoSpacing"/>
      </w:pPr>
    </w:p>
    <w:p w14:paraId="4140D2E1" w14:textId="77777777" w:rsidR="00EC1348" w:rsidRPr="00EC1348" w:rsidRDefault="00EC1348" w:rsidP="00EC1348">
      <w:pPr>
        <w:pStyle w:val="NoSpacing"/>
        <w:rPr>
          <w:rFonts w:ascii="Times New Roman" w:hAnsi="Times New Roman"/>
          <w:sz w:val="24"/>
          <w:szCs w:val="24"/>
        </w:rPr>
      </w:pPr>
      <w:r w:rsidRPr="00EC1348">
        <w:rPr>
          <w:rFonts w:ascii="Times New Roman" w:hAnsi="Times New Roman"/>
          <w:sz w:val="24"/>
          <w:szCs w:val="24"/>
        </w:rPr>
        <w:t xml:space="preserve">On August 28, 2024, in </w:t>
      </w:r>
      <w:r w:rsidRPr="00EC1348">
        <w:rPr>
          <w:rFonts w:ascii="Times New Roman" w:hAnsi="Times New Roman"/>
          <w:sz w:val="24"/>
          <w:szCs w:val="24"/>
          <w:u w:val="single"/>
        </w:rPr>
        <w:t>State of Missouri v. Timothy Louis Smith</w:t>
      </w:r>
      <w:r w:rsidRPr="00EC1348">
        <w:rPr>
          <w:rFonts w:ascii="Times New Roman" w:hAnsi="Times New Roman"/>
          <w:sz w:val="24"/>
          <w:szCs w:val="24"/>
        </w:rPr>
        <w:t xml:space="preserve">, the Missouri Court of Appeals, Southern District, held (3 to 0) that trial court properly denied his motion to suppress the evidence and found him guilty of possession of plastic bag with white residue and a syringe cap with methamphetamine. The Court wrote: “Smith appeals his convictions in a single point, arguing the trial court erred in denying his motion to dismiss because section 195.205 applied since the evidence would not have been discovered but for his call for medical assistance. Smith's argument ignores the plain language of the statute. Because the plain language of the statute requires the evidence </w:t>
      </w:r>
      <w:proofErr w:type="gramStart"/>
      <w:r w:rsidRPr="00EC1348">
        <w:rPr>
          <w:rFonts w:ascii="Times New Roman" w:hAnsi="Times New Roman"/>
          <w:sz w:val="24"/>
          <w:szCs w:val="24"/>
        </w:rPr>
        <w:t>be</w:t>
      </w:r>
      <w:proofErr w:type="gramEnd"/>
      <w:r w:rsidRPr="00EC1348">
        <w:rPr>
          <w:rFonts w:ascii="Times New Roman" w:hAnsi="Times New Roman"/>
          <w:sz w:val="24"/>
          <w:szCs w:val="24"/>
        </w:rPr>
        <w:t xml:space="preserve"> gained </w:t>
      </w:r>
      <w:proofErr w:type="gramStart"/>
      <w:r w:rsidRPr="00EC1348">
        <w:rPr>
          <w:rFonts w:ascii="Times New Roman" w:hAnsi="Times New Roman"/>
          <w:sz w:val="24"/>
          <w:szCs w:val="24"/>
        </w:rPr>
        <w:t>as a result of</w:t>
      </w:r>
      <w:proofErr w:type="gramEnd"/>
      <w:r w:rsidRPr="00EC1348">
        <w:rPr>
          <w:rFonts w:ascii="Times New Roman" w:hAnsi="Times New Roman"/>
          <w:sz w:val="24"/>
          <w:szCs w:val="24"/>
        </w:rPr>
        <w:t xml:space="preserve"> seeking or obtaining medical assistance, it does not apply where there is a break in the causal chain between the request for medical assistance and the discovery of the evidence. In Smith's case, the evidence was found </w:t>
      </w:r>
      <w:proofErr w:type="gramStart"/>
      <w:r w:rsidRPr="00EC1348">
        <w:rPr>
          <w:rFonts w:ascii="Times New Roman" w:hAnsi="Times New Roman"/>
          <w:sz w:val="24"/>
          <w:szCs w:val="24"/>
        </w:rPr>
        <w:t>as a result of</w:t>
      </w:r>
      <w:proofErr w:type="gramEnd"/>
      <w:r w:rsidRPr="00EC1348">
        <w:rPr>
          <w:rFonts w:ascii="Times New Roman" w:hAnsi="Times New Roman"/>
          <w:sz w:val="24"/>
          <w:szCs w:val="24"/>
        </w:rPr>
        <w:t xml:space="preserve"> his consent to a search, not because he called for medical assistance.” </w:t>
      </w:r>
      <w:hyperlink r:id="rId2135" w:history="1">
        <w:r w:rsidRPr="00EC1348">
          <w:rPr>
            <w:rStyle w:val="Hyperlink"/>
            <w:rFonts w:ascii="Times New Roman" w:hAnsi="Times New Roman"/>
            <w:sz w:val="24"/>
            <w:szCs w:val="24"/>
          </w:rPr>
          <w:t>https://cases.justia.com/missouri/court-of-appeals/2024-sd38313.pdf?ts=1724895006</w:t>
        </w:r>
      </w:hyperlink>
      <w:r w:rsidRPr="00EC1348">
        <w:rPr>
          <w:rFonts w:ascii="Times New Roman" w:hAnsi="Times New Roman"/>
          <w:sz w:val="24"/>
          <w:szCs w:val="24"/>
        </w:rPr>
        <w:t xml:space="preserve"> </w:t>
      </w:r>
    </w:p>
    <w:p w14:paraId="6EE6E82A" w14:textId="77777777" w:rsidR="00EC1348" w:rsidRPr="00EC1348" w:rsidRDefault="00EC1348" w:rsidP="00EC1348">
      <w:pPr>
        <w:pStyle w:val="NoSpacing"/>
        <w:rPr>
          <w:rFonts w:ascii="Times New Roman" w:hAnsi="Times New Roman"/>
          <w:sz w:val="24"/>
          <w:szCs w:val="24"/>
        </w:rPr>
      </w:pPr>
    </w:p>
    <w:p w14:paraId="2B6578B6" w14:textId="77777777" w:rsidR="00EC1348" w:rsidRPr="00EC1348" w:rsidRDefault="00EC1348" w:rsidP="00EC1348">
      <w:pPr>
        <w:pStyle w:val="NoSpacing"/>
        <w:rPr>
          <w:rFonts w:ascii="Times New Roman" w:hAnsi="Times New Roman"/>
          <w:sz w:val="24"/>
          <w:szCs w:val="24"/>
        </w:rPr>
      </w:pPr>
      <w:r w:rsidRPr="00EC1348">
        <w:rPr>
          <w:rFonts w:ascii="Times New Roman" w:hAnsi="Times New Roman"/>
          <w:sz w:val="24"/>
          <w:szCs w:val="24"/>
        </w:rPr>
        <w:t>THE COURT HELD:</w:t>
      </w:r>
    </w:p>
    <w:p w14:paraId="6ED4B5DB" w14:textId="77777777" w:rsidR="00EC1348" w:rsidRPr="00EC1348" w:rsidRDefault="00EC1348" w:rsidP="00EC1348">
      <w:pPr>
        <w:pStyle w:val="NoSpacing"/>
        <w:rPr>
          <w:rFonts w:ascii="Times New Roman" w:hAnsi="Times New Roman"/>
          <w:sz w:val="24"/>
          <w:szCs w:val="24"/>
        </w:rPr>
      </w:pPr>
    </w:p>
    <w:p w14:paraId="7151874B" w14:textId="77777777" w:rsidR="00EC1348" w:rsidRPr="00EC1348" w:rsidRDefault="00EC1348" w:rsidP="00EC1348">
      <w:pPr>
        <w:pStyle w:val="NoSpacing"/>
        <w:ind w:firstLine="720"/>
        <w:rPr>
          <w:rFonts w:ascii="Times New Roman" w:hAnsi="Times New Roman"/>
          <w:sz w:val="24"/>
          <w:szCs w:val="24"/>
        </w:rPr>
      </w:pPr>
      <w:r w:rsidRPr="00EC1348">
        <w:rPr>
          <w:rFonts w:ascii="Times New Roman" w:hAnsi="Times New Roman"/>
          <w:sz w:val="24"/>
          <w:szCs w:val="24"/>
        </w:rPr>
        <w:t>“In Smith's case, the evidence was found not because Smith called for</w:t>
      </w:r>
    </w:p>
    <w:p w14:paraId="5FC04872" w14:textId="77777777" w:rsidR="00EC1348" w:rsidRPr="00EC1348" w:rsidRDefault="00EC1348" w:rsidP="00EC1348">
      <w:pPr>
        <w:pStyle w:val="NoSpacing"/>
        <w:ind w:firstLine="720"/>
        <w:rPr>
          <w:rFonts w:ascii="Times New Roman" w:hAnsi="Times New Roman"/>
          <w:sz w:val="24"/>
          <w:szCs w:val="24"/>
        </w:rPr>
      </w:pPr>
      <w:r w:rsidRPr="00EC1348">
        <w:rPr>
          <w:rFonts w:ascii="Times New Roman" w:hAnsi="Times New Roman"/>
          <w:sz w:val="24"/>
          <w:szCs w:val="24"/>
        </w:rPr>
        <w:t>medical assistance but because he consented to a search after asking the officer</w:t>
      </w:r>
    </w:p>
    <w:p w14:paraId="6EA83586" w14:textId="77777777" w:rsidR="00EC1348" w:rsidRPr="00EC1348" w:rsidRDefault="00EC1348" w:rsidP="00EC1348">
      <w:pPr>
        <w:pStyle w:val="NoSpacing"/>
        <w:ind w:firstLine="720"/>
        <w:rPr>
          <w:rFonts w:ascii="Times New Roman" w:hAnsi="Times New Roman"/>
          <w:sz w:val="24"/>
          <w:szCs w:val="24"/>
        </w:rPr>
      </w:pPr>
      <w:r w:rsidRPr="00EC1348">
        <w:rPr>
          <w:rFonts w:ascii="Times New Roman" w:hAnsi="Times New Roman"/>
          <w:sz w:val="24"/>
          <w:szCs w:val="24"/>
        </w:rPr>
        <w:t>for a ride. Applying section 195.205 to Smith's case would not further the</w:t>
      </w:r>
    </w:p>
    <w:p w14:paraId="461A360A" w14:textId="77777777" w:rsidR="00EC1348" w:rsidRPr="00EC1348" w:rsidRDefault="00EC1348" w:rsidP="00EC1348">
      <w:pPr>
        <w:pStyle w:val="NoSpacing"/>
        <w:ind w:firstLine="720"/>
        <w:rPr>
          <w:rFonts w:ascii="Times New Roman" w:hAnsi="Times New Roman"/>
          <w:sz w:val="24"/>
          <w:szCs w:val="24"/>
        </w:rPr>
      </w:pPr>
      <w:r w:rsidRPr="00EC1348">
        <w:rPr>
          <w:rFonts w:ascii="Times New Roman" w:hAnsi="Times New Roman"/>
          <w:sz w:val="24"/>
          <w:szCs w:val="24"/>
        </w:rPr>
        <w:t>purpose of the statute since, by the time the evidence was discovered, he was no</w:t>
      </w:r>
    </w:p>
    <w:p w14:paraId="7697E7E2" w14:textId="77777777" w:rsidR="00EC1348" w:rsidRPr="00EC1348" w:rsidRDefault="00EC1348" w:rsidP="00EC1348">
      <w:pPr>
        <w:pStyle w:val="NoSpacing"/>
        <w:ind w:firstLine="720"/>
        <w:rPr>
          <w:rFonts w:ascii="Times New Roman" w:hAnsi="Times New Roman"/>
          <w:sz w:val="24"/>
          <w:szCs w:val="24"/>
        </w:rPr>
      </w:pPr>
      <w:r w:rsidRPr="00EC1348">
        <w:rPr>
          <w:rFonts w:ascii="Times New Roman" w:hAnsi="Times New Roman"/>
          <w:sz w:val="24"/>
          <w:szCs w:val="24"/>
        </w:rPr>
        <w:t>longer in need of medical assistance or seeking medical assistance. The trial</w:t>
      </w:r>
    </w:p>
    <w:p w14:paraId="3CA7C987" w14:textId="77777777" w:rsidR="00EC1348" w:rsidRPr="00EC1348" w:rsidRDefault="00EC1348" w:rsidP="00EC1348">
      <w:pPr>
        <w:pStyle w:val="NoSpacing"/>
        <w:ind w:firstLine="720"/>
        <w:rPr>
          <w:rFonts w:ascii="Times New Roman" w:hAnsi="Times New Roman"/>
          <w:sz w:val="24"/>
          <w:szCs w:val="24"/>
        </w:rPr>
      </w:pPr>
      <w:r w:rsidRPr="00EC1348">
        <w:rPr>
          <w:rFonts w:ascii="Times New Roman" w:hAnsi="Times New Roman"/>
          <w:sz w:val="24"/>
          <w:szCs w:val="24"/>
        </w:rPr>
        <w:t xml:space="preserve">court did not err in denying Smith's motion to dismiss and </w:t>
      </w:r>
      <w:proofErr w:type="gramStart"/>
      <w:r w:rsidRPr="00EC1348">
        <w:rPr>
          <w:rFonts w:ascii="Times New Roman" w:hAnsi="Times New Roman"/>
          <w:sz w:val="24"/>
          <w:szCs w:val="24"/>
        </w:rPr>
        <w:t>entering</w:t>
      </w:r>
      <w:proofErr w:type="gramEnd"/>
      <w:r w:rsidRPr="00EC1348">
        <w:rPr>
          <w:rFonts w:ascii="Times New Roman" w:hAnsi="Times New Roman"/>
          <w:sz w:val="24"/>
          <w:szCs w:val="24"/>
        </w:rPr>
        <w:t xml:space="preserve"> a judgment</w:t>
      </w:r>
    </w:p>
    <w:p w14:paraId="0BEB26C6" w14:textId="77777777" w:rsidR="00EC1348" w:rsidRPr="00EC1348" w:rsidRDefault="00EC1348" w:rsidP="00EC1348">
      <w:pPr>
        <w:pStyle w:val="NoSpacing"/>
        <w:ind w:firstLine="720"/>
        <w:rPr>
          <w:rFonts w:ascii="Times New Roman" w:hAnsi="Times New Roman"/>
          <w:sz w:val="24"/>
          <w:szCs w:val="24"/>
        </w:rPr>
      </w:pPr>
      <w:r w:rsidRPr="00EC1348">
        <w:rPr>
          <w:rFonts w:ascii="Times New Roman" w:hAnsi="Times New Roman"/>
          <w:sz w:val="24"/>
          <w:szCs w:val="24"/>
        </w:rPr>
        <w:t>of conviction. Smith's point is denied.”</w:t>
      </w:r>
    </w:p>
    <w:p w14:paraId="43286F58" w14:textId="77777777" w:rsidR="00EC1348" w:rsidRPr="00EC1348" w:rsidRDefault="00EC1348" w:rsidP="00EC1348">
      <w:pPr>
        <w:pStyle w:val="NoSpacing"/>
        <w:ind w:left="720"/>
        <w:rPr>
          <w:rFonts w:ascii="Times New Roman" w:hAnsi="Times New Roman"/>
          <w:sz w:val="24"/>
          <w:szCs w:val="24"/>
        </w:rPr>
      </w:pPr>
    </w:p>
    <w:p w14:paraId="01445C83" w14:textId="77777777" w:rsidR="00EC1348" w:rsidRPr="00EC1348" w:rsidRDefault="00EC1348" w:rsidP="00EC1348">
      <w:pPr>
        <w:pStyle w:val="NoSpacing"/>
        <w:rPr>
          <w:rFonts w:ascii="Times New Roman" w:hAnsi="Times New Roman"/>
          <w:b/>
          <w:bCs/>
          <w:sz w:val="24"/>
          <w:szCs w:val="24"/>
        </w:rPr>
      </w:pPr>
      <w:r w:rsidRPr="00EC1348">
        <w:rPr>
          <w:rFonts w:ascii="Times New Roman" w:hAnsi="Times New Roman"/>
          <w:b/>
          <w:bCs/>
          <w:sz w:val="24"/>
          <w:szCs w:val="24"/>
        </w:rPr>
        <w:t xml:space="preserve">Legal Lesson Learned: The Good Samaritan Law only protects individuals receiving medical care, not those stupidly asking PD for a ride while in possession of drugs. </w:t>
      </w:r>
    </w:p>
    <w:p w14:paraId="369DC364" w14:textId="77777777" w:rsidR="00EC1348" w:rsidRPr="00EC1348" w:rsidRDefault="00EC1348" w:rsidP="00EC1348">
      <w:pPr>
        <w:pStyle w:val="NoSpacing"/>
        <w:rPr>
          <w:rFonts w:ascii="Times New Roman" w:hAnsi="Times New Roman"/>
          <w:sz w:val="24"/>
          <w:szCs w:val="24"/>
        </w:rPr>
      </w:pPr>
    </w:p>
    <w:p w14:paraId="5D5D96D7" w14:textId="77777777" w:rsidR="00EC1348" w:rsidRPr="00EC1348" w:rsidRDefault="00EC1348" w:rsidP="00EC1348">
      <w:pPr>
        <w:ind w:left="720"/>
        <w:rPr>
          <w:rFonts w:ascii="Times New Roman" w:hAnsi="Times New Roman"/>
          <w:sz w:val="24"/>
          <w:szCs w:val="24"/>
        </w:rPr>
      </w:pPr>
      <w:r w:rsidRPr="00EC1348">
        <w:rPr>
          <w:rFonts w:ascii="Times New Roman" w:hAnsi="Times New Roman"/>
          <w:sz w:val="24"/>
          <w:szCs w:val="24"/>
        </w:rPr>
        <w:t xml:space="preserve">Note: See “Missouri’s Good Samaritan Law and Drug Charges” </w:t>
      </w:r>
      <w:hyperlink r:id="rId2136" w:history="1">
        <w:r w:rsidRPr="00EC1348">
          <w:rPr>
            <w:rStyle w:val="Hyperlink"/>
            <w:rFonts w:ascii="Times New Roman" w:hAnsi="Times New Roman"/>
            <w:sz w:val="24"/>
            <w:szCs w:val="24"/>
          </w:rPr>
          <w:t>https://stlouiscriminaldefense.com/missouri-good-samaritan-law/</w:t>
        </w:r>
      </w:hyperlink>
      <w:r w:rsidRPr="00EC1348">
        <w:rPr>
          <w:rFonts w:ascii="Times New Roman" w:hAnsi="Times New Roman"/>
          <w:sz w:val="24"/>
          <w:szCs w:val="24"/>
        </w:rPr>
        <w:t xml:space="preserve"> </w:t>
      </w:r>
    </w:p>
    <w:p w14:paraId="6A708E4B" w14:textId="77777777" w:rsidR="00EC1348" w:rsidRPr="00EC1348" w:rsidRDefault="00EC1348" w:rsidP="00EC1348">
      <w:pPr>
        <w:ind w:left="720"/>
        <w:rPr>
          <w:rFonts w:ascii="Times New Roman" w:hAnsi="Times New Roman"/>
          <w:sz w:val="24"/>
          <w:szCs w:val="24"/>
        </w:rPr>
      </w:pPr>
      <w:r w:rsidRPr="00EC1348">
        <w:rPr>
          <w:rFonts w:ascii="Times New Roman" w:hAnsi="Times New Roman"/>
          <w:sz w:val="24"/>
          <w:szCs w:val="24"/>
        </w:rPr>
        <w:t xml:space="preserve">“In 2017, the Missouri Legislature passed </w:t>
      </w:r>
      <w:hyperlink r:id="rId2137" w:tgtFrame="_blank" w:history="1">
        <w:proofErr w:type="spellStart"/>
        <w:r w:rsidRPr="00EC1348">
          <w:rPr>
            <w:rStyle w:val="Hyperlink"/>
            <w:rFonts w:ascii="Times New Roman" w:hAnsi="Times New Roman"/>
            <w:sz w:val="24"/>
            <w:szCs w:val="24"/>
          </w:rPr>
          <w:t>RSMo</w:t>
        </w:r>
        <w:proofErr w:type="spellEnd"/>
        <w:r w:rsidRPr="00EC1348">
          <w:rPr>
            <w:rStyle w:val="Hyperlink"/>
            <w:rFonts w:ascii="Times New Roman" w:hAnsi="Times New Roman"/>
            <w:sz w:val="24"/>
            <w:szCs w:val="24"/>
          </w:rPr>
          <w:t xml:space="preserve"> Section 195.205</w:t>
        </w:r>
      </w:hyperlink>
      <w:r w:rsidRPr="00EC1348">
        <w:rPr>
          <w:rFonts w:ascii="Times New Roman" w:hAnsi="Times New Roman"/>
          <w:sz w:val="24"/>
          <w:szCs w:val="24"/>
        </w:rPr>
        <w:t xml:space="preserve">,  the ” Missouri’s Good Samaritan Law” to provide immunity to those seeking assistance with a drug overdose or medical emergency. The rationale behind the law is that drug users might avoid seeking help for a drug overdose because they feared prosecution. The law has </w:t>
      </w:r>
      <w:proofErr w:type="spellStart"/>
      <w:r w:rsidRPr="00EC1348">
        <w:rPr>
          <w:rFonts w:ascii="Times New Roman" w:hAnsi="Times New Roman"/>
          <w:sz w:val="24"/>
          <w:szCs w:val="24"/>
        </w:rPr>
        <w:t>undoubetedly</w:t>
      </w:r>
      <w:proofErr w:type="spellEnd"/>
      <w:r w:rsidRPr="00EC1348">
        <w:rPr>
          <w:rFonts w:ascii="Times New Roman" w:hAnsi="Times New Roman"/>
          <w:sz w:val="24"/>
          <w:szCs w:val="24"/>
        </w:rPr>
        <w:t xml:space="preserve"> saved </w:t>
      </w:r>
      <w:proofErr w:type="gramStart"/>
      <w:r w:rsidRPr="00EC1348">
        <w:rPr>
          <w:rFonts w:ascii="Times New Roman" w:hAnsi="Times New Roman"/>
          <w:sz w:val="24"/>
          <w:szCs w:val="24"/>
        </w:rPr>
        <w:t>a number of</w:t>
      </w:r>
      <w:proofErr w:type="gramEnd"/>
      <w:r w:rsidRPr="00EC1348">
        <w:rPr>
          <w:rFonts w:ascii="Times New Roman" w:hAnsi="Times New Roman"/>
          <w:sz w:val="24"/>
          <w:szCs w:val="24"/>
        </w:rPr>
        <w:t xml:space="preserve"> lives and provides a complete defense to a possession charge. Our </w:t>
      </w:r>
      <w:hyperlink r:id="rId2138" w:history="1">
        <w:r w:rsidRPr="00EC1348">
          <w:rPr>
            <w:rStyle w:val="Hyperlink"/>
            <w:rFonts w:ascii="Times New Roman" w:hAnsi="Times New Roman"/>
            <w:sz w:val="24"/>
            <w:szCs w:val="24"/>
          </w:rPr>
          <w:t>St. Louis Criminal Defense lawyer</w:t>
        </w:r>
      </w:hyperlink>
      <w:r w:rsidRPr="00EC1348">
        <w:rPr>
          <w:rFonts w:ascii="Times New Roman" w:hAnsi="Times New Roman"/>
          <w:sz w:val="24"/>
          <w:szCs w:val="24"/>
        </w:rPr>
        <w:t xml:space="preserve"> has used the good </w:t>
      </w:r>
      <w:proofErr w:type="spellStart"/>
      <w:r w:rsidRPr="00EC1348">
        <w:rPr>
          <w:rFonts w:ascii="Times New Roman" w:hAnsi="Times New Roman"/>
          <w:sz w:val="24"/>
          <w:szCs w:val="24"/>
        </w:rPr>
        <w:t>samaritan</w:t>
      </w:r>
      <w:proofErr w:type="spellEnd"/>
      <w:r w:rsidRPr="00EC1348">
        <w:rPr>
          <w:rFonts w:ascii="Times New Roman" w:hAnsi="Times New Roman"/>
          <w:sz w:val="24"/>
          <w:szCs w:val="24"/>
        </w:rPr>
        <w:t xml:space="preserve"> law to obtain complete dismissals on </w:t>
      </w:r>
      <w:proofErr w:type="gramStart"/>
      <w:r w:rsidRPr="00EC1348">
        <w:rPr>
          <w:rFonts w:ascii="Times New Roman" w:hAnsi="Times New Roman"/>
          <w:sz w:val="24"/>
          <w:szCs w:val="24"/>
        </w:rPr>
        <w:t>a number of</w:t>
      </w:r>
      <w:proofErr w:type="gramEnd"/>
      <w:r w:rsidRPr="00EC1348">
        <w:rPr>
          <w:rFonts w:ascii="Times New Roman" w:hAnsi="Times New Roman"/>
          <w:sz w:val="24"/>
          <w:szCs w:val="24"/>
        </w:rPr>
        <w:t xml:space="preserve"> </w:t>
      </w:r>
      <w:hyperlink r:id="rId2139" w:anchor=":~:text=The%20offense%20of%20possession%20of%20any%20controlled%20substance%20except%20thirty,4." w:tgtFrame="_blank" w:history="1">
        <w:r w:rsidRPr="00EC1348">
          <w:rPr>
            <w:rStyle w:val="Hyperlink"/>
            <w:rFonts w:ascii="Times New Roman" w:hAnsi="Times New Roman"/>
            <w:sz w:val="24"/>
            <w:szCs w:val="24"/>
          </w:rPr>
          <w:t>drug possession cases</w:t>
        </w:r>
      </w:hyperlink>
      <w:r w:rsidRPr="00EC1348">
        <w:rPr>
          <w:rFonts w:ascii="Times New Roman" w:hAnsi="Times New Roman"/>
          <w:sz w:val="24"/>
          <w:szCs w:val="24"/>
        </w:rPr>
        <w:t xml:space="preserve">. If you or a loved one </w:t>
      </w:r>
      <w:proofErr w:type="gramStart"/>
      <w:r w:rsidRPr="00EC1348">
        <w:rPr>
          <w:rFonts w:ascii="Times New Roman" w:hAnsi="Times New Roman"/>
          <w:sz w:val="24"/>
          <w:szCs w:val="24"/>
        </w:rPr>
        <w:t>have</w:t>
      </w:r>
      <w:proofErr w:type="gramEnd"/>
      <w:r w:rsidRPr="00EC1348">
        <w:rPr>
          <w:rFonts w:ascii="Times New Roman" w:hAnsi="Times New Roman"/>
          <w:sz w:val="24"/>
          <w:szCs w:val="24"/>
        </w:rPr>
        <w:t xml:space="preserve"> questions about </w:t>
      </w:r>
      <w:proofErr w:type="gramStart"/>
      <w:r w:rsidRPr="00EC1348">
        <w:rPr>
          <w:rFonts w:ascii="Times New Roman" w:hAnsi="Times New Roman"/>
          <w:sz w:val="24"/>
          <w:szCs w:val="24"/>
        </w:rPr>
        <w:t>whether or not</w:t>
      </w:r>
      <w:proofErr w:type="gramEnd"/>
      <w:r w:rsidRPr="00EC1348">
        <w:rPr>
          <w:rFonts w:ascii="Times New Roman" w:hAnsi="Times New Roman"/>
          <w:sz w:val="24"/>
          <w:szCs w:val="24"/>
        </w:rPr>
        <w:t xml:space="preserve"> the Good Samaritan Law applies to your case, please do not hesitate to contact our St. Louis criminal defense attorney today for a free case evaluation.</w:t>
      </w:r>
    </w:p>
    <w:p w14:paraId="7B0FCB6E" w14:textId="77777777" w:rsidR="00EC1348" w:rsidRPr="00EC1348" w:rsidRDefault="00EC1348" w:rsidP="00EC1348">
      <w:pPr>
        <w:ind w:firstLine="720"/>
        <w:rPr>
          <w:rFonts w:ascii="Times New Roman" w:hAnsi="Times New Roman"/>
          <w:sz w:val="24"/>
          <w:szCs w:val="24"/>
        </w:rPr>
      </w:pPr>
      <w:r w:rsidRPr="00EC1348">
        <w:rPr>
          <w:rFonts w:ascii="Times New Roman" w:hAnsi="Times New Roman"/>
          <w:sz w:val="24"/>
          <w:szCs w:val="24"/>
        </w:rPr>
        <w:t>When does the Good Samaritan Law apply?</w:t>
      </w:r>
    </w:p>
    <w:p w14:paraId="27FC224A" w14:textId="77777777" w:rsidR="00EC1348" w:rsidRPr="00EC1348" w:rsidRDefault="00EC1348" w:rsidP="00EC1348">
      <w:pPr>
        <w:ind w:left="720"/>
        <w:rPr>
          <w:rFonts w:ascii="Times New Roman" w:hAnsi="Times New Roman"/>
          <w:sz w:val="24"/>
          <w:szCs w:val="24"/>
        </w:rPr>
      </w:pPr>
      <w:r w:rsidRPr="00EC1348">
        <w:rPr>
          <w:rFonts w:ascii="Times New Roman" w:hAnsi="Times New Roman"/>
          <w:sz w:val="24"/>
          <w:szCs w:val="24"/>
        </w:rPr>
        <w:t xml:space="preserve">The good </w:t>
      </w:r>
      <w:proofErr w:type="spellStart"/>
      <w:r w:rsidRPr="00EC1348">
        <w:rPr>
          <w:rFonts w:ascii="Times New Roman" w:hAnsi="Times New Roman"/>
          <w:sz w:val="24"/>
          <w:szCs w:val="24"/>
        </w:rPr>
        <w:t>samaritan</w:t>
      </w:r>
      <w:proofErr w:type="spellEnd"/>
      <w:r w:rsidRPr="00EC1348">
        <w:rPr>
          <w:rFonts w:ascii="Times New Roman" w:hAnsi="Times New Roman"/>
          <w:sz w:val="24"/>
          <w:szCs w:val="24"/>
        </w:rPr>
        <w:t xml:space="preserve"> law applies to a person who is seeking medical assistance for a drug overdose or other medical emergency.  It applies to both the person who seeks help and to the </w:t>
      </w:r>
      <w:proofErr w:type="gramStart"/>
      <w:r w:rsidRPr="00EC1348">
        <w:rPr>
          <w:rFonts w:ascii="Times New Roman" w:hAnsi="Times New Roman"/>
          <w:sz w:val="24"/>
          <w:szCs w:val="24"/>
        </w:rPr>
        <w:t>person</w:t>
      </w:r>
      <w:proofErr w:type="gramEnd"/>
      <w:r w:rsidRPr="00EC1348">
        <w:rPr>
          <w:rFonts w:ascii="Times New Roman" w:hAnsi="Times New Roman"/>
          <w:sz w:val="24"/>
          <w:szCs w:val="24"/>
        </w:rPr>
        <w:t xml:space="preserve"> is experiencing </w:t>
      </w:r>
      <w:proofErr w:type="gramStart"/>
      <w:r w:rsidRPr="00EC1348">
        <w:rPr>
          <w:rFonts w:ascii="Times New Roman" w:hAnsi="Times New Roman"/>
          <w:sz w:val="24"/>
          <w:szCs w:val="24"/>
        </w:rPr>
        <w:t>the</w:t>
      </w:r>
      <w:proofErr w:type="gramEnd"/>
      <w:r w:rsidRPr="00EC1348">
        <w:rPr>
          <w:rFonts w:ascii="Times New Roman" w:hAnsi="Times New Roman"/>
          <w:sz w:val="24"/>
          <w:szCs w:val="24"/>
        </w:rPr>
        <w:t xml:space="preserve"> medical emergency or drug overdose. Under the good </w:t>
      </w:r>
      <w:proofErr w:type="spellStart"/>
      <w:r w:rsidRPr="00EC1348">
        <w:rPr>
          <w:rFonts w:ascii="Times New Roman" w:hAnsi="Times New Roman"/>
          <w:sz w:val="24"/>
          <w:szCs w:val="24"/>
        </w:rPr>
        <w:t>samaritan</w:t>
      </w:r>
      <w:proofErr w:type="spellEnd"/>
      <w:r w:rsidRPr="00EC1348">
        <w:rPr>
          <w:rFonts w:ascii="Times New Roman" w:hAnsi="Times New Roman"/>
          <w:sz w:val="24"/>
          <w:szCs w:val="24"/>
        </w:rPr>
        <w:t xml:space="preserve"> law, a drug overdose is defined as “a condition including, but not limited to, extreme physical illness, decreased level of consciousness, respiratory depression, coma, mania, or death which is the result of consumption or use of a controlled substance or alcohol or a substance with which the controlled substance or alcohol was combined, or that a person would reasonably believe to be a drug or alcohol overdose that requires medical assistance”. “Medical Assistance” is defined as, “includes, but is not limited to, reporting a drug or alcohol overdose or other medical emergency to law enforcement, the 911 system, a poison control center, or a medical provider; assisting someone so reporting; or providing care to someone who is experiencing a drug or alcohol overdose or other medical emergency while awaiting the arrival of medical assistance.” It is important to note, that medical assistance must be sought in “good faith”. In other words, you can’t just say you’re having a drug overdose after the police find drugs in your car to get out of being arrested.</w:t>
      </w:r>
    </w:p>
    <w:p w14:paraId="0EBC36F2" w14:textId="77777777" w:rsidR="00EC1348" w:rsidRPr="00EC1348" w:rsidRDefault="00EC1348" w:rsidP="00EC1348">
      <w:pPr>
        <w:ind w:left="720"/>
        <w:rPr>
          <w:rFonts w:ascii="Times New Roman" w:hAnsi="Times New Roman"/>
          <w:sz w:val="24"/>
          <w:szCs w:val="24"/>
        </w:rPr>
      </w:pPr>
      <w:r w:rsidRPr="00EC1348">
        <w:rPr>
          <w:rFonts w:ascii="Times New Roman" w:hAnsi="Times New Roman"/>
          <w:i/>
          <w:iCs/>
          <w:sz w:val="24"/>
          <w:szCs w:val="24"/>
        </w:rPr>
        <w:t>Example: </w:t>
      </w:r>
      <w:r w:rsidRPr="00EC1348">
        <w:rPr>
          <w:rFonts w:ascii="Times New Roman" w:hAnsi="Times New Roman"/>
          <w:sz w:val="24"/>
          <w:szCs w:val="24"/>
        </w:rPr>
        <w:t>John and John are using drugs at John’s house and Jane overdoses. John calls 911 to seek help for Jane. The police come and find drugs in the house. Under Missouri’s Good Samaritan Law, John cannot be prosecuted because he was seeking medical assistance in good faith for Jane.</w:t>
      </w:r>
    </w:p>
    <w:p w14:paraId="65948F05" w14:textId="77777777" w:rsidR="00EC1348" w:rsidRPr="00EC1348" w:rsidRDefault="00EC1348" w:rsidP="00EC1348">
      <w:pPr>
        <w:ind w:firstLine="720"/>
        <w:rPr>
          <w:rFonts w:ascii="Times New Roman" w:hAnsi="Times New Roman"/>
          <w:sz w:val="24"/>
          <w:szCs w:val="24"/>
        </w:rPr>
      </w:pPr>
      <w:r w:rsidRPr="00EC1348">
        <w:rPr>
          <w:rFonts w:ascii="Times New Roman" w:hAnsi="Times New Roman"/>
          <w:sz w:val="24"/>
          <w:szCs w:val="24"/>
        </w:rPr>
        <w:t>What charges does the Good Samaritan Law protect against?</w:t>
      </w:r>
    </w:p>
    <w:p w14:paraId="0F3F99FF" w14:textId="77777777" w:rsidR="00EC1348" w:rsidRPr="00EC1348" w:rsidRDefault="00EC1348" w:rsidP="00EC1348">
      <w:pPr>
        <w:ind w:left="720"/>
        <w:rPr>
          <w:rFonts w:ascii="Times New Roman" w:hAnsi="Times New Roman"/>
          <w:sz w:val="24"/>
          <w:szCs w:val="24"/>
        </w:rPr>
      </w:pPr>
      <w:r w:rsidRPr="00EC1348">
        <w:rPr>
          <w:rFonts w:ascii="Times New Roman" w:hAnsi="Times New Roman"/>
          <w:sz w:val="24"/>
          <w:szCs w:val="24"/>
        </w:rPr>
        <w:t>The good Samaritan Law protects against prosecution from the following Missouri criminal charges:</w:t>
      </w:r>
    </w:p>
    <w:p w14:paraId="160383B0"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lastRenderedPageBreak/>
        <w:t>Possession of a Controlled Substance</w:t>
      </w:r>
    </w:p>
    <w:p w14:paraId="1FDFA552"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Possession of Drug Paraphernalia</w:t>
      </w:r>
    </w:p>
    <w:p w14:paraId="61D5FEF9"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Possession of an Imitation Controlled Substance</w:t>
      </w:r>
    </w:p>
    <w:p w14:paraId="69A37B88"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 xml:space="preserve">Keeping or maintaining </w:t>
      </w:r>
      <w:proofErr w:type="gramStart"/>
      <w:r w:rsidRPr="00EC1348">
        <w:rPr>
          <w:rFonts w:ascii="Times New Roman" w:hAnsi="Times New Roman"/>
          <w:sz w:val="24"/>
          <w:szCs w:val="24"/>
        </w:rPr>
        <w:t>a Public</w:t>
      </w:r>
      <w:proofErr w:type="gramEnd"/>
      <w:r w:rsidRPr="00EC1348">
        <w:rPr>
          <w:rFonts w:ascii="Times New Roman" w:hAnsi="Times New Roman"/>
          <w:sz w:val="24"/>
          <w:szCs w:val="24"/>
        </w:rPr>
        <w:t xml:space="preserve"> Nuisance</w:t>
      </w:r>
    </w:p>
    <w:p w14:paraId="3FC711E2"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Sale of Alcohol to Minor</w:t>
      </w:r>
    </w:p>
    <w:p w14:paraId="5305E025"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Minor in Possession of Alcohol</w:t>
      </w:r>
    </w:p>
    <w:p w14:paraId="2374CB80"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Misrepresentation of  Age by a Minor to obtain alcohol</w:t>
      </w:r>
    </w:p>
    <w:p w14:paraId="52AFC218"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Violation of a restraining order</w:t>
      </w:r>
    </w:p>
    <w:p w14:paraId="3BB5EF55" w14:textId="77777777" w:rsidR="00EC1348" w:rsidRPr="00EC1348" w:rsidRDefault="00EC1348" w:rsidP="00EC1348">
      <w:pPr>
        <w:numPr>
          <w:ilvl w:val="0"/>
          <w:numId w:val="23"/>
        </w:numPr>
        <w:tabs>
          <w:tab w:val="num" w:pos="720"/>
        </w:tabs>
        <w:spacing w:after="160" w:line="259" w:lineRule="auto"/>
        <w:rPr>
          <w:rFonts w:ascii="Times New Roman" w:hAnsi="Times New Roman"/>
          <w:sz w:val="24"/>
          <w:szCs w:val="24"/>
        </w:rPr>
      </w:pPr>
      <w:r w:rsidRPr="00EC1348">
        <w:rPr>
          <w:rFonts w:ascii="Times New Roman" w:hAnsi="Times New Roman"/>
          <w:sz w:val="24"/>
          <w:szCs w:val="24"/>
        </w:rPr>
        <w:t>Violating probation or parole</w:t>
      </w:r>
    </w:p>
    <w:p w14:paraId="4DAB56D6" w14:textId="77777777" w:rsidR="00EC1348" w:rsidRPr="00EC1348" w:rsidRDefault="00EC1348" w:rsidP="00EC1348">
      <w:pPr>
        <w:ind w:left="720"/>
        <w:rPr>
          <w:rFonts w:ascii="Times New Roman" w:hAnsi="Times New Roman"/>
          <w:sz w:val="24"/>
          <w:szCs w:val="24"/>
        </w:rPr>
      </w:pPr>
      <w:r w:rsidRPr="00EC1348">
        <w:rPr>
          <w:rFonts w:ascii="Times New Roman" w:hAnsi="Times New Roman"/>
          <w:sz w:val="24"/>
          <w:szCs w:val="24"/>
        </w:rPr>
        <w:t xml:space="preserve">However, the law does not protect against other charges, such as </w:t>
      </w:r>
      <w:hyperlink r:id="rId2140" w:tgtFrame="_blank" w:history="1">
        <w:r w:rsidRPr="00EC1348">
          <w:rPr>
            <w:rStyle w:val="Hyperlink"/>
            <w:rFonts w:ascii="Times New Roman" w:hAnsi="Times New Roman"/>
            <w:sz w:val="24"/>
            <w:szCs w:val="24"/>
          </w:rPr>
          <w:t>distribution of a controlled substance</w:t>
        </w:r>
      </w:hyperlink>
      <w:r w:rsidRPr="00EC1348">
        <w:rPr>
          <w:rFonts w:ascii="Times New Roman" w:hAnsi="Times New Roman"/>
          <w:sz w:val="24"/>
          <w:szCs w:val="24"/>
        </w:rPr>
        <w:t xml:space="preserve"> or </w:t>
      </w:r>
      <w:hyperlink r:id="rId2141" w:history="1">
        <w:r w:rsidRPr="00EC1348">
          <w:rPr>
            <w:rStyle w:val="Hyperlink"/>
            <w:rFonts w:ascii="Times New Roman" w:hAnsi="Times New Roman"/>
            <w:sz w:val="24"/>
            <w:szCs w:val="24"/>
          </w:rPr>
          <w:t>manslaughter</w:t>
        </w:r>
      </w:hyperlink>
      <w:r w:rsidRPr="00EC1348">
        <w:rPr>
          <w:rFonts w:ascii="Times New Roman" w:hAnsi="Times New Roman"/>
          <w:sz w:val="24"/>
          <w:szCs w:val="24"/>
        </w:rPr>
        <w:t>. If for instance, you provide drugs to someone who overdoses and dies you could still be charged with those offenses. Moreover, the statute only applies to state charges and is not a defense to federal drug charges.”</w:t>
      </w:r>
    </w:p>
    <w:p w14:paraId="382A6958" w14:textId="77777777" w:rsidR="00AC1F80" w:rsidRDefault="00AC1F80" w:rsidP="002B1283">
      <w:pPr>
        <w:rPr>
          <w:rFonts w:ascii="Arial Black" w:hAnsi="Arial Black"/>
          <w:b/>
          <w:bCs/>
          <w:sz w:val="28"/>
          <w:szCs w:val="28"/>
        </w:rPr>
      </w:pPr>
    </w:p>
    <w:p w14:paraId="0DE5D993" w14:textId="77777777" w:rsidR="00AC1F80" w:rsidRDefault="00AC1F80" w:rsidP="002B1283">
      <w:pPr>
        <w:rPr>
          <w:rFonts w:ascii="Arial Black" w:hAnsi="Arial Black"/>
          <w:b/>
          <w:bCs/>
          <w:sz w:val="28"/>
          <w:szCs w:val="28"/>
        </w:rPr>
      </w:pPr>
    </w:p>
    <w:p w14:paraId="2BC14452" w14:textId="4E181B8D" w:rsidR="00824D3D" w:rsidRDefault="00824D3D" w:rsidP="002B1283">
      <w:pPr>
        <w:rPr>
          <w:rFonts w:ascii="Arial Black" w:hAnsi="Arial Black"/>
          <w:b/>
          <w:bCs/>
          <w:sz w:val="28"/>
          <w:szCs w:val="28"/>
        </w:rPr>
      </w:pPr>
      <w:r>
        <w:rPr>
          <w:rFonts w:ascii="Arial Black" w:hAnsi="Arial Black"/>
          <w:b/>
          <w:bCs/>
          <w:sz w:val="28"/>
          <w:szCs w:val="28"/>
        </w:rPr>
        <w:t>13-190</w:t>
      </w:r>
    </w:p>
    <w:p w14:paraId="40373838" w14:textId="2B26DF98" w:rsidR="00AC1F80" w:rsidRDefault="00AC1F80" w:rsidP="00AC1F80">
      <w:pPr>
        <w:pStyle w:val="NoSpacing"/>
        <w:rPr>
          <w:szCs w:val="24"/>
        </w:rPr>
      </w:pPr>
      <w:r>
        <w:rPr>
          <w:rFonts w:ascii="Arial Black" w:hAnsi="Arial Black"/>
          <w:sz w:val="28"/>
        </w:rPr>
        <w:t xml:space="preserve">CA: PT CLAIMED SEX. ASSAULT BY MEDIC – FD DAILY ROSTER ID HIM - CLAIM FD DEFAMED HIM FILED </w:t>
      </w:r>
      <w:r w:rsidR="00EA2F62">
        <w:rPr>
          <w:rFonts w:ascii="Arial Black" w:hAnsi="Arial Black"/>
          <w:sz w:val="28"/>
        </w:rPr>
        <w:t xml:space="preserve">TOO </w:t>
      </w:r>
      <w:r>
        <w:rPr>
          <w:rFonts w:ascii="Arial Black" w:hAnsi="Arial Black"/>
          <w:sz w:val="28"/>
        </w:rPr>
        <w:t>LATE</w:t>
      </w:r>
    </w:p>
    <w:p w14:paraId="217499C8" w14:textId="77777777" w:rsidR="00AC1F80" w:rsidRDefault="00AC1F80" w:rsidP="00AC1F80">
      <w:pPr>
        <w:pStyle w:val="NoSpacing"/>
        <w:rPr>
          <w:szCs w:val="24"/>
        </w:rPr>
      </w:pPr>
    </w:p>
    <w:p w14:paraId="113C548B" w14:textId="77777777" w:rsidR="00AC1F80" w:rsidRPr="00AC1F80" w:rsidRDefault="00AC1F80" w:rsidP="00AC1F80">
      <w:pPr>
        <w:pStyle w:val="NoSpacing"/>
        <w:rPr>
          <w:rFonts w:ascii="Times New Roman" w:hAnsi="Times New Roman"/>
          <w:sz w:val="24"/>
          <w:szCs w:val="24"/>
        </w:rPr>
      </w:pPr>
      <w:r w:rsidRPr="00AC1F80">
        <w:rPr>
          <w:rFonts w:ascii="Times New Roman" w:hAnsi="Times New Roman"/>
          <w:sz w:val="24"/>
          <w:szCs w:val="24"/>
        </w:rPr>
        <w:t xml:space="preserve">On August 16, 2024, in </w:t>
      </w:r>
      <w:r w:rsidRPr="00AC1F80">
        <w:rPr>
          <w:rFonts w:ascii="Times New Roman" w:hAnsi="Times New Roman"/>
          <w:sz w:val="24"/>
          <w:szCs w:val="24"/>
          <w:u w:val="single"/>
        </w:rPr>
        <w:t>Louis Cerda v. City of Los Angeles</w:t>
      </w:r>
      <w:r w:rsidRPr="00AC1F80">
        <w:rPr>
          <w:rFonts w:ascii="Times New Roman" w:hAnsi="Times New Roman"/>
          <w:sz w:val="24"/>
          <w:szCs w:val="24"/>
        </w:rPr>
        <w:t xml:space="preserve">, the California Court of Appeals, Second District, Third Division, held (3 to 0; unpublished opinion) that the trial court properly dismissed his lawsuit against the City, claiming FD defamed him by sending out internal notices of his suspension on the FD daily staffing roster, since a claim for defamation must be presented within six months of accrual (he was late by one month).  The Court wrote: “The City asserts that the defamation cause of action accrued on October 19, 2017, the last date the alleged defamatory statement was published in the roster according to Cerda’s opposition to judgment on the pleadings. Given the </w:t>
      </w:r>
      <w:proofErr w:type="gramStart"/>
      <w:r w:rsidRPr="00AC1F80">
        <w:rPr>
          <w:rFonts w:ascii="Times New Roman" w:hAnsi="Times New Roman"/>
          <w:sz w:val="24"/>
          <w:szCs w:val="24"/>
        </w:rPr>
        <w:t>six month</w:t>
      </w:r>
      <w:proofErr w:type="gramEnd"/>
      <w:r w:rsidRPr="00AC1F80">
        <w:rPr>
          <w:rFonts w:ascii="Times New Roman" w:hAnsi="Times New Roman"/>
          <w:sz w:val="24"/>
          <w:szCs w:val="24"/>
        </w:rPr>
        <w:t xml:space="preserve"> presentation deadline, Cerda’s government claim was due April 19, 2018. However, Cerda did not file his government claim until May 14, 2018. We agree with the </w:t>
      </w:r>
      <w:proofErr w:type="gramStart"/>
      <w:r w:rsidRPr="00AC1F80">
        <w:rPr>
          <w:rFonts w:ascii="Times New Roman" w:hAnsi="Times New Roman"/>
          <w:sz w:val="24"/>
          <w:szCs w:val="24"/>
        </w:rPr>
        <w:t>City</w:t>
      </w:r>
      <w:proofErr w:type="gramEnd"/>
      <w:r w:rsidRPr="00AC1F80">
        <w:rPr>
          <w:rFonts w:ascii="Times New Roman" w:hAnsi="Times New Roman"/>
          <w:sz w:val="24"/>
          <w:szCs w:val="24"/>
        </w:rPr>
        <w:t xml:space="preserve"> that the government claim for the defamation cause of action was untimely.”  </w:t>
      </w:r>
      <w:hyperlink r:id="rId2142" w:history="1">
        <w:r w:rsidRPr="00AC1F80">
          <w:rPr>
            <w:rStyle w:val="Hyperlink"/>
            <w:rFonts w:ascii="Times New Roman" w:hAnsi="Times New Roman"/>
            <w:sz w:val="24"/>
            <w:szCs w:val="24"/>
          </w:rPr>
          <w:t>https://www.courts.ca.gov/opinions/nonpub/B322004.PDF</w:t>
        </w:r>
      </w:hyperlink>
      <w:r w:rsidRPr="00AC1F80">
        <w:rPr>
          <w:rFonts w:ascii="Times New Roman" w:hAnsi="Times New Roman"/>
          <w:sz w:val="24"/>
          <w:szCs w:val="24"/>
        </w:rPr>
        <w:t xml:space="preserve"> </w:t>
      </w:r>
    </w:p>
    <w:p w14:paraId="52840587" w14:textId="77777777" w:rsidR="00AC1F80" w:rsidRPr="00AC1F80" w:rsidRDefault="00AC1F80" w:rsidP="00AC1F80">
      <w:pPr>
        <w:pStyle w:val="NoSpacing"/>
        <w:rPr>
          <w:rFonts w:ascii="Times New Roman" w:hAnsi="Times New Roman"/>
          <w:sz w:val="24"/>
          <w:szCs w:val="24"/>
        </w:rPr>
      </w:pPr>
    </w:p>
    <w:p w14:paraId="2DD4EC41" w14:textId="77777777" w:rsidR="00AC1F80" w:rsidRPr="00AC1F80" w:rsidRDefault="00AC1F80" w:rsidP="00AC1F80">
      <w:pPr>
        <w:pStyle w:val="NoSpacing"/>
        <w:rPr>
          <w:rFonts w:ascii="Times New Roman" w:hAnsi="Times New Roman"/>
          <w:sz w:val="24"/>
          <w:szCs w:val="24"/>
        </w:rPr>
      </w:pPr>
      <w:r w:rsidRPr="00AC1F80">
        <w:rPr>
          <w:rFonts w:ascii="Times New Roman" w:hAnsi="Times New Roman"/>
          <w:sz w:val="24"/>
          <w:szCs w:val="24"/>
        </w:rPr>
        <w:t>THE COURT HELD:</w:t>
      </w:r>
    </w:p>
    <w:p w14:paraId="5C7835C7" w14:textId="77777777" w:rsidR="00AC1F80" w:rsidRPr="00AC1F80" w:rsidRDefault="00AC1F80" w:rsidP="00AC1F80">
      <w:pPr>
        <w:pStyle w:val="NoSpacing"/>
        <w:rPr>
          <w:rFonts w:ascii="Times New Roman" w:hAnsi="Times New Roman"/>
          <w:sz w:val="24"/>
          <w:szCs w:val="24"/>
        </w:rPr>
      </w:pPr>
    </w:p>
    <w:p w14:paraId="0AB40E07" w14:textId="77777777" w:rsidR="00AC1F80" w:rsidRPr="00AC1F80" w:rsidRDefault="00AC1F80" w:rsidP="00AC1F80">
      <w:pPr>
        <w:pStyle w:val="NoSpacing"/>
        <w:ind w:left="720"/>
        <w:rPr>
          <w:rFonts w:ascii="Times New Roman" w:hAnsi="Times New Roman"/>
          <w:sz w:val="24"/>
          <w:szCs w:val="24"/>
        </w:rPr>
      </w:pPr>
      <w:r w:rsidRPr="00AC1F80">
        <w:rPr>
          <w:rFonts w:ascii="Times New Roman" w:hAnsi="Times New Roman"/>
          <w:sz w:val="24"/>
          <w:szCs w:val="24"/>
        </w:rPr>
        <w:t>“Moreover, as we explain below, Cerda’s failure to file a timely government claim regarding his defamation claim was fatal to his case.</w:t>
      </w:r>
    </w:p>
    <w:p w14:paraId="388AEA40" w14:textId="77777777" w:rsidR="00AC1F80" w:rsidRPr="00AC1F80" w:rsidRDefault="00AC1F80" w:rsidP="00AC1F80">
      <w:pPr>
        <w:pStyle w:val="NoSpacing"/>
        <w:ind w:left="720"/>
        <w:rPr>
          <w:rFonts w:ascii="Times New Roman" w:hAnsi="Times New Roman"/>
          <w:sz w:val="24"/>
          <w:szCs w:val="24"/>
        </w:rPr>
      </w:pPr>
    </w:p>
    <w:p w14:paraId="44496C92" w14:textId="77777777" w:rsidR="00AC1F80" w:rsidRPr="00AC1F80" w:rsidRDefault="00AC1F80" w:rsidP="00AC1F80">
      <w:pPr>
        <w:pStyle w:val="NoSpacing"/>
        <w:ind w:left="720"/>
        <w:rPr>
          <w:rFonts w:ascii="Times New Roman" w:hAnsi="Times New Roman"/>
          <w:sz w:val="24"/>
          <w:szCs w:val="24"/>
        </w:rPr>
      </w:pPr>
      <w:r w:rsidRPr="00AC1F80">
        <w:rPr>
          <w:rFonts w:ascii="Times New Roman" w:hAnsi="Times New Roman"/>
          <w:sz w:val="24"/>
          <w:szCs w:val="24"/>
        </w:rPr>
        <w:t>***</w:t>
      </w:r>
    </w:p>
    <w:p w14:paraId="4FD6F647" w14:textId="77777777" w:rsidR="00AC1F80" w:rsidRPr="00AC1F80" w:rsidRDefault="00AC1F80" w:rsidP="00AC1F80">
      <w:pPr>
        <w:pStyle w:val="NoSpacing"/>
        <w:rPr>
          <w:rFonts w:ascii="Times New Roman" w:hAnsi="Times New Roman"/>
          <w:sz w:val="24"/>
          <w:szCs w:val="24"/>
        </w:rPr>
      </w:pPr>
    </w:p>
    <w:p w14:paraId="04B2E873" w14:textId="77777777" w:rsidR="00AC1F80" w:rsidRPr="00AC1F80" w:rsidRDefault="00AC1F80" w:rsidP="00AC1F80">
      <w:pPr>
        <w:pStyle w:val="NoSpacing"/>
        <w:ind w:left="720"/>
        <w:rPr>
          <w:rFonts w:ascii="Times New Roman" w:hAnsi="Times New Roman"/>
          <w:sz w:val="24"/>
          <w:szCs w:val="24"/>
        </w:rPr>
      </w:pPr>
      <w:r w:rsidRPr="00AC1F80">
        <w:rPr>
          <w:rFonts w:ascii="Times New Roman" w:hAnsi="Times New Roman"/>
          <w:sz w:val="24"/>
          <w:szCs w:val="24"/>
        </w:rPr>
        <w:t xml:space="preserve">We agree with the </w:t>
      </w:r>
      <w:proofErr w:type="gramStart"/>
      <w:r w:rsidRPr="00AC1F80">
        <w:rPr>
          <w:rFonts w:ascii="Times New Roman" w:hAnsi="Times New Roman"/>
          <w:sz w:val="24"/>
          <w:szCs w:val="24"/>
        </w:rPr>
        <w:t>City</w:t>
      </w:r>
      <w:proofErr w:type="gramEnd"/>
      <w:r w:rsidRPr="00AC1F80">
        <w:rPr>
          <w:rFonts w:ascii="Times New Roman" w:hAnsi="Times New Roman"/>
          <w:sz w:val="24"/>
          <w:szCs w:val="24"/>
        </w:rPr>
        <w:t xml:space="preserve"> that the government claim for the defamation cause of action was untimely. We also note that in denying his government claim on June 28, 2018, the City specifically warned Cerda that </w:t>
      </w:r>
      <w:r w:rsidRPr="00AC1F80">
        <w:rPr>
          <w:rFonts w:ascii="Times New Roman" w:hAnsi="Times New Roman"/>
          <w:sz w:val="24"/>
          <w:szCs w:val="24"/>
        </w:rPr>
        <w:lastRenderedPageBreak/>
        <w:t>some of his claims were late and that his ‘recourse at this time in regard to the untimely claim(s) is to apply without delay to the Los Angeles City Clerk for leave to present a late claim.’ *** Cerda never applied to present a late claim.”</w:t>
      </w:r>
    </w:p>
    <w:p w14:paraId="5E8C3168" w14:textId="77777777" w:rsidR="00AC1F80" w:rsidRPr="00AC1F80" w:rsidRDefault="00AC1F80" w:rsidP="00AC1F80">
      <w:pPr>
        <w:pStyle w:val="NoSpacing"/>
        <w:ind w:left="720"/>
        <w:rPr>
          <w:rFonts w:ascii="Times New Roman" w:hAnsi="Times New Roman"/>
          <w:sz w:val="24"/>
          <w:szCs w:val="24"/>
        </w:rPr>
      </w:pPr>
    </w:p>
    <w:p w14:paraId="504780F5" w14:textId="77777777" w:rsidR="00AC1F80" w:rsidRPr="00AC1F80" w:rsidRDefault="00AC1F80" w:rsidP="00AC1F80">
      <w:pPr>
        <w:pStyle w:val="NoSpacing"/>
        <w:ind w:left="720"/>
        <w:rPr>
          <w:rFonts w:ascii="Times New Roman" w:hAnsi="Times New Roman"/>
          <w:sz w:val="24"/>
          <w:szCs w:val="24"/>
        </w:rPr>
      </w:pPr>
    </w:p>
    <w:p w14:paraId="622B0467" w14:textId="77777777" w:rsidR="00AC1F80" w:rsidRPr="00AC1F80" w:rsidRDefault="00AC1F80" w:rsidP="00AC1F80">
      <w:pPr>
        <w:pStyle w:val="NoSpacing"/>
        <w:rPr>
          <w:rFonts w:ascii="Times New Roman" w:hAnsi="Times New Roman"/>
          <w:b/>
          <w:bCs/>
          <w:sz w:val="24"/>
          <w:szCs w:val="24"/>
        </w:rPr>
      </w:pPr>
      <w:r w:rsidRPr="00AC1F80">
        <w:rPr>
          <w:rFonts w:ascii="Times New Roman" w:hAnsi="Times New Roman"/>
          <w:b/>
          <w:bCs/>
          <w:sz w:val="24"/>
          <w:szCs w:val="24"/>
        </w:rPr>
        <w:t xml:space="preserve">Legal Lesson Learned: The defamation claim was filed late.  When a suspended FD employee is reinstated after an investigation is completed, brief the employee about conclusions. </w:t>
      </w:r>
    </w:p>
    <w:p w14:paraId="505E206F" w14:textId="77777777" w:rsidR="00824D3D" w:rsidRDefault="00824D3D" w:rsidP="002B1283">
      <w:pPr>
        <w:rPr>
          <w:rFonts w:ascii="Arial Black" w:hAnsi="Arial Black"/>
          <w:b/>
          <w:bCs/>
          <w:sz w:val="28"/>
          <w:szCs w:val="28"/>
        </w:rPr>
      </w:pPr>
    </w:p>
    <w:p w14:paraId="73D2B403" w14:textId="77777777" w:rsidR="00824D3D" w:rsidRDefault="00824D3D" w:rsidP="002B1283">
      <w:pPr>
        <w:rPr>
          <w:rFonts w:ascii="Arial Black" w:hAnsi="Arial Black"/>
          <w:b/>
          <w:bCs/>
          <w:sz w:val="28"/>
          <w:szCs w:val="28"/>
        </w:rPr>
      </w:pPr>
    </w:p>
    <w:p w14:paraId="134C43BB" w14:textId="375A55DA" w:rsidR="0089006F" w:rsidRPr="0011264F" w:rsidRDefault="0089006F" w:rsidP="002B1283">
      <w:pPr>
        <w:rPr>
          <w:rFonts w:ascii="Times New Roman" w:hAnsi="Times New Roman"/>
          <w:sz w:val="24"/>
          <w:szCs w:val="24"/>
        </w:rPr>
      </w:pPr>
      <w:r>
        <w:rPr>
          <w:rFonts w:ascii="Arial Black" w:hAnsi="Arial Black"/>
          <w:b/>
          <w:bCs/>
          <w:sz w:val="28"/>
          <w:szCs w:val="28"/>
        </w:rPr>
        <w:t>13-189</w:t>
      </w:r>
      <w:r w:rsidR="005B3758">
        <w:rPr>
          <w:rFonts w:ascii="Arial Black" w:hAnsi="Arial Black"/>
          <w:b/>
          <w:bCs/>
          <w:sz w:val="28"/>
          <w:szCs w:val="28"/>
        </w:rPr>
        <w:t xml:space="preserve">  </w:t>
      </w:r>
      <w:r w:rsidR="005B3758" w:rsidRPr="0011264F">
        <w:rPr>
          <w:rFonts w:ascii="Times New Roman" w:hAnsi="Times New Roman"/>
          <w:sz w:val="24"/>
          <w:szCs w:val="24"/>
        </w:rPr>
        <w:t xml:space="preserve">[see </w:t>
      </w:r>
      <w:r w:rsidR="0011264F" w:rsidRPr="0011264F">
        <w:rPr>
          <w:rFonts w:ascii="Times New Roman" w:hAnsi="Times New Roman"/>
          <w:sz w:val="24"/>
          <w:szCs w:val="24"/>
        </w:rPr>
        <w:t>Jan. 2026 case]</w:t>
      </w:r>
    </w:p>
    <w:p w14:paraId="04B43DBF" w14:textId="231227B6" w:rsidR="0089006F" w:rsidRPr="00C3434D" w:rsidRDefault="0089006F" w:rsidP="0089006F">
      <w:pPr>
        <w:pStyle w:val="NormalWeb"/>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FL: CAPTAIN FIRED - REFUSED ISSUE COVID REPRIMANDS – CASE REINSTATED - U.S. SUP. CT. “SOME INJURY” TEST</w:t>
      </w:r>
    </w:p>
    <w:p w14:paraId="11B170C7" w14:textId="77777777" w:rsidR="0089006F" w:rsidRPr="00610F47" w:rsidRDefault="0089006F" w:rsidP="0089006F">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 xml:space="preserve">On July 23, 2024, in </w:t>
      </w:r>
      <w:r w:rsidRPr="004C6D8E">
        <w:rPr>
          <w:rFonts w:ascii="Times New Roman" w:hAnsi="Times New Roman"/>
          <w:sz w:val="24"/>
          <w:szCs w:val="24"/>
          <w:u w:val="single"/>
          <w:shd w:val="clear" w:color="auto" w:fill="FFFFFF"/>
        </w:rPr>
        <w:t>Stephen M. Davis v. Orange County</w:t>
      </w:r>
      <w:r>
        <w:rPr>
          <w:rFonts w:ascii="Times New Roman" w:hAnsi="Times New Roman"/>
          <w:sz w:val="24"/>
          <w:szCs w:val="24"/>
          <w:shd w:val="clear" w:color="auto" w:fill="FFFFFF"/>
        </w:rPr>
        <w:t>, the U.S. Court of Appeals for the 11</w:t>
      </w:r>
      <w:r w:rsidRPr="004C6D8E">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Circuit (Atlanta) held (3 to 0) that the fired Captain’s lawsuit will be remanded to U.S. District Court Judge in Florida, who had dismissed “retaliation” claims because the order to issue written reprimands did not amount  to </w:t>
      </w:r>
      <w:r w:rsidRPr="00667DF3">
        <w:rPr>
          <w:rFonts w:ascii="Times New Roman" w:hAnsi="Times New Roman"/>
          <w:sz w:val="24"/>
          <w:szCs w:val="24"/>
          <w:shd w:val="clear" w:color="auto" w:fill="FFFFFF"/>
        </w:rPr>
        <w:t xml:space="preserve">a </w:t>
      </w:r>
      <w:r>
        <w:rPr>
          <w:rFonts w:ascii="Times New Roman" w:hAnsi="Times New Roman"/>
          <w:sz w:val="24"/>
          <w:szCs w:val="24"/>
          <w:shd w:val="clear" w:color="auto" w:fill="FFFFFF"/>
        </w:rPr>
        <w:t>“</w:t>
      </w:r>
      <w:r w:rsidRPr="00667DF3">
        <w:rPr>
          <w:rFonts w:ascii="Times New Roman" w:hAnsi="Times New Roman"/>
          <w:sz w:val="24"/>
          <w:szCs w:val="24"/>
          <w:shd w:val="clear" w:color="auto" w:fill="FFFFFF"/>
        </w:rPr>
        <w:t>serious and material change in the employees’ terms, conditions, and</w:t>
      </w:r>
      <w:r>
        <w:rPr>
          <w:rFonts w:ascii="Times New Roman" w:hAnsi="Times New Roman"/>
          <w:sz w:val="24"/>
          <w:szCs w:val="24"/>
          <w:shd w:val="clear" w:color="auto" w:fill="FFFFFF"/>
        </w:rPr>
        <w:t xml:space="preserve"> </w:t>
      </w:r>
      <w:r w:rsidRPr="00667DF3">
        <w:rPr>
          <w:rFonts w:ascii="Times New Roman" w:hAnsi="Times New Roman"/>
          <w:sz w:val="24"/>
          <w:szCs w:val="24"/>
          <w:shd w:val="clear" w:color="auto" w:fill="FFFFFF"/>
        </w:rPr>
        <w:t>privileges of employment.</w:t>
      </w:r>
      <w:r>
        <w:rPr>
          <w:rFonts w:ascii="Times New Roman" w:hAnsi="Times New Roman"/>
          <w:sz w:val="24"/>
          <w:szCs w:val="24"/>
          <w:shd w:val="clear" w:color="auto" w:fill="FFFFFF"/>
        </w:rPr>
        <w:t xml:space="preserve">”  However, on April 17, 2024, the U.S. Supreme Court issued the “landmark” decision in </w:t>
      </w:r>
      <w:r w:rsidRPr="0069068E">
        <w:rPr>
          <w:rFonts w:ascii="Times New Roman" w:hAnsi="Times New Roman"/>
          <w:sz w:val="24"/>
          <w:szCs w:val="24"/>
          <w:shd w:val="clear" w:color="auto" w:fill="FFFFFF"/>
        </w:rPr>
        <w:t>Muldrow v. City of St. Louis</w:t>
      </w:r>
      <w:r>
        <w:rPr>
          <w:rFonts w:ascii="Times New Roman" w:hAnsi="Times New Roman"/>
          <w:sz w:val="24"/>
          <w:szCs w:val="24"/>
          <w:shd w:val="clear" w:color="auto" w:fill="FFFFFF"/>
        </w:rPr>
        <w:t xml:space="preserve">, which held that a female Saint Louis police officer may sue for her job transfer from Intelligence Division back to patrol duties.  </w:t>
      </w:r>
      <w:hyperlink r:id="rId2143" w:history="1">
        <w:r w:rsidRPr="0013187C">
          <w:rPr>
            <w:rStyle w:val="Hyperlink"/>
            <w:rFonts w:ascii="Times New Roman" w:hAnsi="Times New Roman"/>
            <w:sz w:val="24"/>
            <w:szCs w:val="24"/>
            <w:shd w:val="clear" w:color="auto" w:fill="FFFFFF"/>
          </w:rPr>
          <w:t>https://www.supremecourt.gov/opinions/23pdf/22-193_q86b.pdf</w:t>
        </w:r>
      </w:hyperlink>
      <w:r>
        <w:rPr>
          <w:rFonts w:ascii="Times New Roman" w:hAnsi="Times New Roman"/>
          <w:sz w:val="24"/>
          <w:szCs w:val="24"/>
          <w:shd w:val="clear" w:color="auto" w:fill="FFFFFF"/>
        </w:rPr>
        <w:t xml:space="preserve"> </w:t>
      </w:r>
    </w:p>
    <w:p w14:paraId="5F403218" w14:textId="77777777" w:rsidR="0089006F" w:rsidRDefault="0089006F" w:rsidP="0089006F">
      <w:pPr>
        <w:pStyle w:val="NoSpacing"/>
        <w:rPr>
          <w:rFonts w:ascii="Times New Roman" w:hAnsi="Times New Roman"/>
          <w:sz w:val="24"/>
          <w:szCs w:val="24"/>
          <w:shd w:val="clear" w:color="auto" w:fill="FFFFFF"/>
        </w:rPr>
      </w:pPr>
    </w:p>
    <w:p w14:paraId="3CCEBE93" w14:textId="77777777" w:rsidR="0089006F" w:rsidRDefault="0089006F" w:rsidP="0089006F">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 xml:space="preserve">Captain Davis gets the benefit of the new standard requiring only proof of “some injury.” </w:t>
      </w:r>
      <w:hyperlink r:id="rId2144" w:history="1">
        <w:r w:rsidRPr="0013187C">
          <w:rPr>
            <w:rStyle w:val="Hyperlink"/>
            <w:rFonts w:ascii="Times New Roman" w:hAnsi="Times New Roman"/>
            <w:sz w:val="24"/>
            <w:szCs w:val="24"/>
            <w:shd w:val="clear" w:color="auto" w:fill="FFFFFF"/>
          </w:rPr>
          <w:t>https://cases.justia.com/federal/appellate-courts/ca11/23-12759/23-12759-2024-07-23.pdf?ts=1721745066</w:t>
        </w:r>
      </w:hyperlink>
      <w:r>
        <w:rPr>
          <w:rFonts w:ascii="Times New Roman" w:hAnsi="Times New Roman"/>
          <w:sz w:val="24"/>
          <w:szCs w:val="24"/>
          <w:shd w:val="clear" w:color="auto" w:fill="FFFFFF"/>
        </w:rPr>
        <w:t xml:space="preserve"> </w:t>
      </w:r>
    </w:p>
    <w:p w14:paraId="6271F0E8" w14:textId="77777777" w:rsidR="0089006F" w:rsidRDefault="0089006F" w:rsidP="0089006F">
      <w:pPr>
        <w:pStyle w:val="NoSpacing"/>
        <w:rPr>
          <w:rFonts w:ascii="Times New Roman" w:hAnsi="Times New Roman"/>
          <w:sz w:val="24"/>
          <w:szCs w:val="24"/>
          <w:shd w:val="clear" w:color="auto" w:fill="FFFFFF"/>
        </w:rPr>
      </w:pPr>
    </w:p>
    <w:p w14:paraId="4833D683" w14:textId="77777777" w:rsidR="0089006F" w:rsidRDefault="0089006F" w:rsidP="0089006F">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THE COURT HELD:</w:t>
      </w:r>
    </w:p>
    <w:p w14:paraId="07B93E74" w14:textId="77777777" w:rsidR="0089006F" w:rsidRDefault="0089006F" w:rsidP="0089006F">
      <w:pPr>
        <w:pStyle w:val="NoSpacing"/>
        <w:rPr>
          <w:rFonts w:ascii="Times New Roman" w:hAnsi="Times New Roman"/>
          <w:sz w:val="24"/>
          <w:szCs w:val="24"/>
          <w:shd w:val="clear" w:color="auto" w:fill="FFFFFF"/>
        </w:rPr>
      </w:pPr>
    </w:p>
    <w:p w14:paraId="689D99F7" w14:textId="2E2048A0" w:rsidR="0089006F" w:rsidRDefault="0089006F" w:rsidP="0089006F">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69068E">
        <w:rPr>
          <w:rFonts w:ascii="Times New Roman" w:hAnsi="Times New Roman"/>
          <w:sz w:val="24"/>
          <w:szCs w:val="24"/>
          <w:shd w:val="clear" w:color="auto" w:fill="FFFFFF"/>
        </w:rPr>
        <w:t>But during the pendency of this appeal, the Supreme Court</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decided Muldrow v. City of St. Louis, 144 S. Ct. 967 (</w:t>
      </w:r>
      <w:r w:rsidR="006A6D1D">
        <w:rPr>
          <w:rFonts w:ascii="Times New Roman" w:hAnsi="Times New Roman"/>
          <w:sz w:val="24"/>
          <w:szCs w:val="24"/>
          <w:shd w:val="clear" w:color="auto" w:fill="FFFFFF"/>
        </w:rPr>
        <w:t xml:space="preserve">April 17, </w:t>
      </w:r>
      <w:r w:rsidRPr="0069068E">
        <w:rPr>
          <w:rFonts w:ascii="Times New Roman" w:hAnsi="Times New Roman"/>
          <w:sz w:val="24"/>
          <w:szCs w:val="24"/>
          <w:shd w:val="clear" w:color="auto" w:fill="FFFFFF"/>
        </w:rPr>
        <w:t>2024), in which</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it clarified a plaintiff’s required showing for an adverse employment action under the anti-discrimination provision of Title VII.</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 xml:space="preserve">The Supreme Court explained that a plaintiff </w:t>
      </w:r>
      <w:r>
        <w:rPr>
          <w:rFonts w:ascii="Times New Roman" w:hAnsi="Times New Roman"/>
          <w:sz w:val="24"/>
          <w:szCs w:val="24"/>
          <w:shd w:val="clear" w:color="auto" w:fill="FFFFFF"/>
        </w:rPr>
        <w:t>‘</w:t>
      </w:r>
      <w:r w:rsidRPr="0069068E">
        <w:rPr>
          <w:rFonts w:ascii="Times New Roman" w:hAnsi="Times New Roman"/>
          <w:sz w:val="24"/>
          <w:szCs w:val="24"/>
          <w:shd w:val="clear" w:color="auto" w:fill="FFFFFF"/>
        </w:rPr>
        <w:t xml:space="preserve">need </w:t>
      </w:r>
      <w:proofErr w:type="gramStart"/>
      <w:r w:rsidRPr="0069068E">
        <w:rPr>
          <w:rFonts w:ascii="Times New Roman" w:hAnsi="Times New Roman"/>
          <w:sz w:val="24"/>
          <w:szCs w:val="24"/>
          <w:shd w:val="clear" w:color="auto" w:fill="FFFFFF"/>
        </w:rPr>
        <w:t>show</w:t>
      </w:r>
      <w:proofErr w:type="gramEnd"/>
      <w:r w:rsidRPr="0069068E">
        <w:rPr>
          <w:rFonts w:ascii="Times New Roman" w:hAnsi="Times New Roman"/>
          <w:sz w:val="24"/>
          <w:szCs w:val="24"/>
          <w:shd w:val="clear" w:color="auto" w:fill="FFFFFF"/>
        </w:rPr>
        <w:t xml:space="preserve"> only</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some injury respecting her employment terms or conditions,</w:t>
      </w:r>
      <w:r>
        <w:rPr>
          <w:rFonts w:ascii="Times New Roman" w:hAnsi="Times New Roman"/>
          <w:sz w:val="24"/>
          <w:szCs w:val="24"/>
          <w:shd w:val="clear" w:color="auto" w:fill="FFFFFF"/>
        </w:rPr>
        <w:t>’</w:t>
      </w:r>
      <w:r w:rsidRPr="0069068E">
        <w:rPr>
          <w:rFonts w:ascii="Times New Roman" w:hAnsi="Times New Roman"/>
          <w:sz w:val="24"/>
          <w:szCs w:val="24"/>
          <w:shd w:val="clear" w:color="auto" w:fill="FFFFFF"/>
        </w:rPr>
        <w:t xml:space="preserve"> or</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 xml:space="preserve">in other words, a </w:t>
      </w:r>
      <w:r>
        <w:rPr>
          <w:rFonts w:ascii="Times New Roman" w:hAnsi="Times New Roman"/>
          <w:sz w:val="24"/>
          <w:szCs w:val="24"/>
          <w:shd w:val="clear" w:color="auto" w:fill="FFFFFF"/>
        </w:rPr>
        <w:t>‘</w:t>
      </w:r>
      <w:r w:rsidRPr="0069068E">
        <w:rPr>
          <w:rFonts w:ascii="Times New Roman" w:hAnsi="Times New Roman"/>
          <w:sz w:val="24"/>
          <w:szCs w:val="24"/>
          <w:shd w:val="clear" w:color="auto" w:fill="FFFFFF"/>
        </w:rPr>
        <w:t>disadvantageous change in an employment term</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 xml:space="preserve">or </w:t>
      </w:r>
      <w:proofErr w:type="gramStart"/>
      <w:r w:rsidRPr="0069068E">
        <w:rPr>
          <w:rFonts w:ascii="Times New Roman" w:hAnsi="Times New Roman"/>
          <w:sz w:val="24"/>
          <w:szCs w:val="24"/>
          <w:shd w:val="clear" w:color="auto" w:fill="FFFFFF"/>
        </w:rPr>
        <w:t>condition.”</w:t>
      </w:r>
      <w:proofErr w:type="gramEnd"/>
      <w:r w:rsidRPr="0069068E">
        <w:rPr>
          <w:rFonts w:ascii="Times New Roman" w:hAnsi="Times New Roman"/>
          <w:sz w:val="24"/>
          <w:szCs w:val="24"/>
          <w:shd w:val="clear" w:color="auto" w:fill="FFFFFF"/>
        </w:rPr>
        <w:t xml:space="preserve"> Id. at 974, 977 (internal quotation marks omitted).</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But an injury need not constitute significant, serious, or substantial</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harm to suffice under the statute. Id. at 974. Thus, Davis does not</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need to meet our higher pre-Muldrow standard to make out a claim</w:t>
      </w:r>
      <w:r>
        <w:rPr>
          <w:rFonts w:ascii="Times New Roman" w:hAnsi="Times New Roman"/>
          <w:sz w:val="24"/>
          <w:szCs w:val="24"/>
          <w:shd w:val="clear" w:color="auto" w:fill="FFFFFF"/>
        </w:rPr>
        <w:t xml:space="preserve"> </w:t>
      </w:r>
      <w:r w:rsidRPr="0069068E">
        <w:rPr>
          <w:rFonts w:ascii="Times New Roman" w:hAnsi="Times New Roman"/>
          <w:sz w:val="24"/>
          <w:szCs w:val="24"/>
          <w:shd w:val="clear" w:color="auto" w:fill="FFFFFF"/>
        </w:rPr>
        <w:t>for retaliation under Title VII.</w:t>
      </w:r>
      <w:r>
        <w:rPr>
          <w:rFonts w:ascii="Times New Roman" w:hAnsi="Times New Roman"/>
          <w:sz w:val="24"/>
          <w:szCs w:val="24"/>
          <w:shd w:val="clear" w:color="auto" w:fill="FFFFFF"/>
        </w:rPr>
        <w:t>”</w:t>
      </w:r>
    </w:p>
    <w:p w14:paraId="78F7E399" w14:textId="77777777" w:rsidR="004F2EB6" w:rsidRDefault="004F2EB6" w:rsidP="004F2EB6">
      <w:pPr>
        <w:pStyle w:val="NoSpacing"/>
        <w:jc w:val="both"/>
        <w:rPr>
          <w:rFonts w:ascii="Times New Roman" w:hAnsi="Times New Roman"/>
          <w:b/>
          <w:bCs/>
          <w:sz w:val="24"/>
          <w:szCs w:val="24"/>
          <w:shd w:val="clear" w:color="auto" w:fill="FFFFFF"/>
        </w:rPr>
      </w:pPr>
    </w:p>
    <w:p w14:paraId="39A67C11" w14:textId="12AFAFCC" w:rsidR="004F2EB6" w:rsidRPr="004200F9" w:rsidRDefault="004F2EB6" w:rsidP="004F2EB6">
      <w:pPr>
        <w:pStyle w:val="NoSpacing"/>
        <w:jc w:val="both"/>
        <w:rPr>
          <w:rFonts w:ascii="Times New Roman" w:hAnsi="Times New Roman"/>
          <w:b/>
          <w:bCs/>
          <w:sz w:val="24"/>
          <w:szCs w:val="24"/>
          <w:shd w:val="clear" w:color="auto" w:fill="FFFFFF"/>
        </w:rPr>
      </w:pPr>
      <w:r>
        <w:rPr>
          <w:rFonts w:ascii="Times New Roman" w:hAnsi="Times New Roman"/>
          <w:b/>
          <w:bCs/>
          <w:sz w:val="24"/>
          <w:szCs w:val="24"/>
          <w:shd w:val="clear" w:color="auto" w:fill="FFFFFF"/>
        </w:rPr>
        <w:t xml:space="preserve">Legal Lesson Learned: Under the U.S. Supreme Court’s new “some injury” standard, many more discrimination and retaliation cases will now proceed to pre-trial discovery and trial. </w:t>
      </w:r>
    </w:p>
    <w:p w14:paraId="42F26BB9" w14:textId="77777777" w:rsidR="004F2EB6" w:rsidRPr="009D70F9" w:rsidRDefault="004F2EB6" w:rsidP="004F2EB6">
      <w:pPr>
        <w:pStyle w:val="NormalWeb"/>
        <w:ind w:left="720"/>
        <w:rPr>
          <w:color w:val="454545"/>
          <w:shd w:val="clear" w:color="auto" w:fill="FFFFFF"/>
        </w:rPr>
      </w:pPr>
      <w:r w:rsidRPr="009D70F9">
        <w:rPr>
          <w:color w:val="454545"/>
          <w:shd w:val="clear" w:color="auto" w:fill="FFFFFF"/>
        </w:rPr>
        <w:t xml:space="preserve">Note: See this June 15, </w:t>
      </w:r>
      <w:proofErr w:type="gramStart"/>
      <w:r w:rsidRPr="009D70F9">
        <w:rPr>
          <w:color w:val="454545"/>
          <w:shd w:val="clear" w:color="auto" w:fill="FFFFFF"/>
        </w:rPr>
        <w:t>2024</w:t>
      </w:r>
      <w:proofErr w:type="gramEnd"/>
      <w:r w:rsidRPr="009D70F9">
        <w:rPr>
          <w:color w:val="454545"/>
          <w:shd w:val="clear" w:color="auto" w:fill="FFFFFF"/>
        </w:rPr>
        <w:t xml:space="preserve"> article: </w:t>
      </w:r>
      <w:hyperlink r:id="rId2145" w:history="1">
        <w:r w:rsidRPr="009D70F9">
          <w:rPr>
            <w:rStyle w:val="Hyperlink"/>
            <w:shd w:val="clear" w:color="auto" w:fill="FFFFFF"/>
          </w:rPr>
          <w:t>https://www.orangeobserver.com/news/2024/jun/15/breaking-former-orange-county-fire-rescue-battalion-chief-announces-candidacy-for-county-commission-district-1/</w:t>
        </w:r>
      </w:hyperlink>
      <w:r w:rsidRPr="009D70F9">
        <w:rPr>
          <w:color w:val="454545"/>
          <w:shd w:val="clear" w:color="auto" w:fill="FFFFFF"/>
        </w:rPr>
        <w:t xml:space="preserve"> “BREAKING: Former Orange County Fire Rescue battalion chief announces candidacy for County Commission District 1. Stephen Davis in 2021 was fired from the department after he did not reprimand personnel who refused to take the COVID-19 vaccine.” </w:t>
      </w:r>
    </w:p>
    <w:p w14:paraId="761452AA" w14:textId="77777777" w:rsidR="0089006F" w:rsidRDefault="0089006F" w:rsidP="002B1283">
      <w:pPr>
        <w:rPr>
          <w:rFonts w:ascii="Arial Black" w:hAnsi="Arial Black"/>
          <w:b/>
          <w:bCs/>
          <w:sz w:val="28"/>
          <w:szCs w:val="28"/>
        </w:rPr>
      </w:pPr>
    </w:p>
    <w:p w14:paraId="764AD717" w14:textId="77777777" w:rsidR="0089006F" w:rsidRDefault="0089006F" w:rsidP="002B1283">
      <w:pPr>
        <w:rPr>
          <w:rFonts w:ascii="Arial Black" w:hAnsi="Arial Black"/>
          <w:b/>
          <w:bCs/>
          <w:sz w:val="28"/>
          <w:szCs w:val="28"/>
        </w:rPr>
      </w:pPr>
    </w:p>
    <w:p w14:paraId="78D29AF4" w14:textId="6FCF144E" w:rsidR="003C2A76" w:rsidRDefault="003C2A76" w:rsidP="002B1283">
      <w:pPr>
        <w:rPr>
          <w:rFonts w:ascii="Arial Black" w:hAnsi="Arial Black"/>
          <w:b/>
          <w:bCs/>
          <w:sz w:val="28"/>
          <w:szCs w:val="28"/>
        </w:rPr>
      </w:pPr>
      <w:r>
        <w:rPr>
          <w:rFonts w:ascii="Arial Black" w:hAnsi="Arial Black"/>
          <w:b/>
          <w:bCs/>
          <w:sz w:val="28"/>
          <w:szCs w:val="28"/>
        </w:rPr>
        <w:t>13-188</w:t>
      </w:r>
    </w:p>
    <w:p w14:paraId="09F6F2F9" w14:textId="77777777" w:rsidR="003C2A76" w:rsidRPr="0009763F" w:rsidRDefault="003C2A76" w:rsidP="003C2A76">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 xml:space="preserve">DC: ELDERLY WAITED 5 MIN. CALL 911 – DIED UNRELATED ILLNESS – NOT ADMISSIBLE TRIAL - “EXCITED UTTERANCE” </w:t>
      </w:r>
    </w:p>
    <w:p w14:paraId="61D3F653" w14:textId="77777777" w:rsidR="003C2A76" w:rsidRDefault="003C2A76" w:rsidP="003C2A76">
      <w:pPr>
        <w:pStyle w:val="NormalWeb"/>
        <w:rPr>
          <w:color w:val="454545"/>
          <w:shd w:val="clear" w:color="auto" w:fill="FFFFFF"/>
        </w:rPr>
      </w:pPr>
      <w:r w:rsidRPr="009253E0">
        <w:rPr>
          <w:color w:val="454545"/>
          <w:shd w:val="clear" w:color="auto" w:fill="FFFFFF"/>
        </w:rPr>
        <w:t xml:space="preserve">On May 23, 2024, in </w:t>
      </w:r>
      <w:r w:rsidRPr="00F018C0">
        <w:rPr>
          <w:color w:val="454545"/>
          <w:u w:val="single"/>
          <w:shd w:val="clear" w:color="auto" w:fill="FFFFFF"/>
        </w:rPr>
        <w:t>Joshua C. Austin v. United States</w:t>
      </w:r>
      <w:r w:rsidRPr="009253E0">
        <w:rPr>
          <w:color w:val="454545"/>
          <w:shd w:val="clear" w:color="auto" w:fill="FFFFFF"/>
        </w:rPr>
        <w:t xml:space="preserve">, the D.C. Court of Appeals held (3 to 0) </w:t>
      </w:r>
      <w:r>
        <w:rPr>
          <w:color w:val="454545"/>
          <w:shd w:val="clear" w:color="auto" w:fill="FFFFFF"/>
        </w:rPr>
        <w:t xml:space="preserve">that robbery jury conviction should be reversed; but burglary and assault convictions upheld.  He followed </w:t>
      </w:r>
      <w:proofErr w:type="gramStart"/>
      <w:r>
        <w:rPr>
          <w:color w:val="454545"/>
          <w:shd w:val="clear" w:color="auto" w:fill="FFFFFF"/>
        </w:rPr>
        <w:t>68-year old</w:t>
      </w:r>
      <w:proofErr w:type="gramEnd"/>
      <w:r>
        <w:rPr>
          <w:color w:val="454545"/>
          <w:shd w:val="clear" w:color="auto" w:fill="FFFFFF"/>
        </w:rPr>
        <w:t xml:space="preserve"> woman from grocery store to her apartment, threw her down steps and stole $60.  She called 911 about 5 minutes after the incident and gave a good description of the assailant. Prior to trial, the victim died from long illness unrelated to the assault.  The Court held:</w:t>
      </w:r>
    </w:p>
    <w:p w14:paraId="1B9DAD04" w14:textId="77777777" w:rsidR="003C2A76" w:rsidRPr="009253E0" w:rsidRDefault="003C2A76" w:rsidP="003C2A76">
      <w:pPr>
        <w:pStyle w:val="NormalWeb"/>
        <w:ind w:left="720" w:firstLine="60"/>
        <w:rPr>
          <w:color w:val="454545"/>
          <w:shd w:val="clear" w:color="auto" w:fill="FFFFFF"/>
        </w:rPr>
      </w:pPr>
      <w:r>
        <w:rPr>
          <w:color w:val="454545"/>
          <w:shd w:val="clear" w:color="auto" w:fill="FFFFFF"/>
        </w:rPr>
        <w:t>“</w:t>
      </w:r>
      <w:r w:rsidRPr="00875420">
        <w:rPr>
          <w:color w:val="454545"/>
          <w:shd w:val="clear" w:color="auto" w:fill="FFFFFF"/>
        </w:rPr>
        <w:t>Here, a reasonable person—from the perspective of either Ms. Marvil or the</w:t>
      </w:r>
      <w:r>
        <w:rPr>
          <w:color w:val="454545"/>
          <w:shd w:val="clear" w:color="auto" w:fill="FFFFFF"/>
        </w:rPr>
        <w:t xml:space="preserve"> </w:t>
      </w:r>
      <w:r w:rsidRPr="00875420">
        <w:rPr>
          <w:color w:val="454545"/>
          <w:shd w:val="clear" w:color="auto" w:fill="FFFFFF"/>
        </w:rPr>
        <w:t>911 operator—would not have believed that there was an ongoing emergency at the</w:t>
      </w:r>
      <w:r>
        <w:rPr>
          <w:color w:val="454545"/>
          <w:shd w:val="clear" w:color="auto" w:fill="FFFFFF"/>
        </w:rPr>
        <w:t xml:space="preserve"> </w:t>
      </w:r>
      <w:r w:rsidRPr="00875420">
        <w:rPr>
          <w:color w:val="454545"/>
          <w:shd w:val="clear" w:color="auto" w:fill="FFFFFF"/>
        </w:rPr>
        <w:t>time of the 911 call.</w:t>
      </w:r>
      <w:r>
        <w:rPr>
          <w:color w:val="454545"/>
          <w:shd w:val="clear" w:color="auto" w:fill="FFFFFF"/>
        </w:rPr>
        <w:t xml:space="preserve"> *** </w:t>
      </w:r>
      <w:r w:rsidRPr="00E35A07">
        <w:rPr>
          <w:color w:val="454545"/>
          <w:shd w:val="clear" w:color="auto" w:fill="FFFFFF"/>
        </w:rPr>
        <w:t xml:space="preserve">Considering the factors </w:t>
      </w:r>
      <w:proofErr w:type="gramStart"/>
      <w:r w:rsidRPr="00E35A07">
        <w:rPr>
          <w:color w:val="454545"/>
          <w:shd w:val="clear" w:color="auto" w:fill="FFFFFF"/>
        </w:rPr>
        <w:t>on the whole</w:t>
      </w:r>
      <w:proofErr w:type="gramEnd"/>
      <w:r w:rsidRPr="00E35A07">
        <w:rPr>
          <w:color w:val="454545"/>
          <w:shd w:val="clear" w:color="auto" w:fill="FFFFFF"/>
        </w:rPr>
        <w:t>, we conclude that the emergency had</w:t>
      </w:r>
      <w:r>
        <w:rPr>
          <w:color w:val="454545"/>
          <w:shd w:val="clear" w:color="auto" w:fill="FFFFFF"/>
        </w:rPr>
        <w:t xml:space="preserve"> </w:t>
      </w:r>
      <w:r w:rsidRPr="00E35A07">
        <w:rPr>
          <w:color w:val="454545"/>
          <w:shd w:val="clear" w:color="auto" w:fill="FFFFFF"/>
        </w:rPr>
        <w:t>subsided by the time Ms. Marvil called 911.</w:t>
      </w:r>
      <w:r>
        <w:rPr>
          <w:color w:val="454545"/>
          <w:shd w:val="clear" w:color="auto" w:fill="FFFFFF"/>
        </w:rPr>
        <w:t xml:space="preserve">” </w:t>
      </w:r>
      <w:hyperlink r:id="rId2146" w:history="1">
        <w:r w:rsidRPr="00F80308">
          <w:rPr>
            <w:rStyle w:val="Hyperlink"/>
            <w:shd w:val="clear" w:color="auto" w:fill="FFFFFF"/>
          </w:rPr>
          <w:t>https://www.dccourts.gov/sites/default/files/2024-05/Austin%20v.%20US%2022-CF-0085.pdf</w:t>
        </w:r>
      </w:hyperlink>
      <w:r>
        <w:rPr>
          <w:color w:val="454545"/>
          <w:shd w:val="clear" w:color="auto" w:fill="FFFFFF"/>
        </w:rPr>
        <w:t xml:space="preserve"> </w:t>
      </w:r>
    </w:p>
    <w:p w14:paraId="16288BBD" w14:textId="77777777" w:rsidR="00C825BD" w:rsidRDefault="00C825BD" w:rsidP="00C825BD">
      <w:pPr>
        <w:pStyle w:val="NoSpacing"/>
        <w:rPr>
          <w:rFonts w:ascii="Times New Roman" w:hAnsi="Times New Roman"/>
          <w:b/>
          <w:bCs/>
          <w:sz w:val="24"/>
          <w:szCs w:val="24"/>
          <w:shd w:val="clear" w:color="auto" w:fill="FFFFFF"/>
        </w:rPr>
      </w:pPr>
      <w:r w:rsidRPr="000349F6">
        <w:rPr>
          <w:rFonts w:ascii="Times New Roman" w:hAnsi="Times New Roman"/>
          <w:b/>
          <w:bCs/>
          <w:sz w:val="24"/>
          <w:szCs w:val="24"/>
          <w:shd w:val="clear" w:color="auto" w:fill="FFFFFF"/>
        </w:rPr>
        <w:t xml:space="preserve">Legal Lesson Learned: </w:t>
      </w:r>
      <w:r>
        <w:rPr>
          <w:rFonts w:ascii="Times New Roman" w:hAnsi="Times New Roman"/>
          <w:b/>
          <w:bCs/>
          <w:sz w:val="24"/>
          <w:szCs w:val="24"/>
          <w:shd w:val="clear" w:color="auto" w:fill="FFFFFF"/>
        </w:rPr>
        <w:t xml:space="preserve"> The “excited utterance” exception is well established in numerous court decisions – admissible if the declarant is still under stress from a startling event; the trial court judge made a well-reasoned decision. </w:t>
      </w:r>
    </w:p>
    <w:p w14:paraId="2C858A88" w14:textId="77777777" w:rsidR="00C825BD" w:rsidRDefault="00C825BD" w:rsidP="00C825BD">
      <w:pPr>
        <w:pStyle w:val="NoSpacing"/>
        <w:ind w:left="720"/>
        <w:rPr>
          <w:rFonts w:ascii="Times New Roman" w:hAnsi="Times New Roman"/>
          <w:sz w:val="24"/>
          <w:szCs w:val="24"/>
          <w:shd w:val="clear" w:color="auto" w:fill="FFFFFF"/>
        </w:rPr>
      </w:pPr>
    </w:p>
    <w:p w14:paraId="1A205814" w14:textId="77777777" w:rsidR="00C825BD" w:rsidRDefault="00C825BD" w:rsidP="00C825BD">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 xml:space="preserve">Note: </w:t>
      </w:r>
    </w:p>
    <w:p w14:paraId="65DFB47B" w14:textId="77777777" w:rsidR="00C825BD" w:rsidRDefault="00C825BD" w:rsidP="00C825BD">
      <w:pPr>
        <w:pStyle w:val="NoSpacing"/>
        <w:ind w:left="720"/>
        <w:rPr>
          <w:rFonts w:ascii="Times New Roman" w:hAnsi="Times New Roman"/>
          <w:sz w:val="24"/>
          <w:szCs w:val="24"/>
          <w:shd w:val="clear" w:color="auto" w:fill="FFFFFF"/>
        </w:rPr>
      </w:pPr>
    </w:p>
    <w:p w14:paraId="521BBBE2" w14:textId="77777777" w:rsidR="00C825BD" w:rsidRPr="00E62F56" w:rsidRDefault="00C825BD" w:rsidP="00C825BD">
      <w:pPr>
        <w:pStyle w:val="NoSpacing"/>
        <w:ind w:left="720"/>
        <w:rPr>
          <w:rFonts w:ascii="Times New Roman" w:hAnsi="Times New Roman"/>
          <w:b/>
          <w:bCs/>
          <w:sz w:val="24"/>
          <w:szCs w:val="24"/>
          <w:shd w:val="clear" w:color="auto" w:fill="FFFFFF"/>
        </w:rPr>
      </w:pPr>
      <w:r w:rsidRPr="00C1174E">
        <w:rPr>
          <w:rFonts w:ascii="Times New Roman" w:hAnsi="Times New Roman"/>
          <w:b/>
          <w:bCs/>
          <w:sz w:val="24"/>
          <w:szCs w:val="24"/>
          <w:shd w:val="clear" w:color="auto" w:fill="FFFFFF"/>
        </w:rPr>
        <w:t>“</w:t>
      </w:r>
      <w:r w:rsidRPr="00C1174E">
        <w:rPr>
          <w:rFonts w:ascii="Times New Roman" w:hAnsi="Times New Roman"/>
          <w:sz w:val="24"/>
          <w:szCs w:val="24"/>
        </w:rPr>
        <w:t>Excited utterance, under the</w:t>
      </w:r>
      <w:hyperlink r:id="rId2147" w:history="1">
        <w:r w:rsidRPr="00C1174E">
          <w:rPr>
            <w:rStyle w:val="Hyperlink"/>
            <w:rFonts w:ascii="Times New Roman" w:hAnsi="Times New Roman"/>
            <w:color w:val="auto"/>
            <w:sz w:val="24"/>
            <w:szCs w:val="24"/>
          </w:rPr>
          <w:t xml:space="preserve"> Federal Rules of Evidence</w:t>
        </w:r>
      </w:hyperlink>
      <w:r w:rsidRPr="00C1174E">
        <w:rPr>
          <w:rFonts w:ascii="Times New Roman" w:hAnsi="Times New Roman"/>
          <w:sz w:val="24"/>
          <w:szCs w:val="24"/>
        </w:rPr>
        <w:t xml:space="preserve">, is defined as a statement that concerns a startling event, made by the </w:t>
      </w:r>
      <w:hyperlink r:id="rId2148" w:history="1">
        <w:r w:rsidRPr="00C1174E">
          <w:rPr>
            <w:rStyle w:val="Hyperlink"/>
            <w:rFonts w:ascii="Times New Roman" w:hAnsi="Times New Roman"/>
            <w:color w:val="auto"/>
            <w:sz w:val="24"/>
            <w:szCs w:val="24"/>
          </w:rPr>
          <w:t>declarant</w:t>
        </w:r>
      </w:hyperlink>
      <w:r w:rsidRPr="00C1174E">
        <w:rPr>
          <w:rFonts w:ascii="Times New Roman" w:hAnsi="Times New Roman"/>
          <w:sz w:val="24"/>
          <w:szCs w:val="24"/>
        </w:rPr>
        <w:t xml:space="preserve"> when the declarant is still under stress from the startling event. Excited utterance is an exception to the</w:t>
      </w:r>
      <w:hyperlink r:id="rId2149" w:history="1">
        <w:r w:rsidRPr="00C1174E">
          <w:rPr>
            <w:rStyle w:val="Hyperlink"/>
            <w:rFonts w:ascii="Times New Roman" w:hAnsi="Times New Roman"/>
            <w:color w:val="auto"/>
            <w:sz w:val="24"/>
            <w:szCs w:val="24"/>
          </w:rPr>
          <w:t xml:space="preserve"> hearsay</w:t>
        </w:r>
      </w:hyperlink>
      <w:r w:rsidRPr="00C1174E">
        <w:rPr>
          <w:rFonts w:ascii="Times New Roman" w:hAnsi="Times New Roman"/>
          <w:sz w:val="24"/>
          <w:szCs w:val="24"/>
        </w:rPr>
        <w:t xml:space="preserve"> rule.” </w:t>
      </w:r>
      <w:hyperlink r:id="rId2150" w:history="1">
        <w:r w:rsidRPr="00F80308">
          <w:rPr>
            <w:rStyle w:val="Hyperlink"/>
            <w:rFonts w:ascii="Times New Roman" w:hAnsi="Times New Roman"/>
            <w:sz w:val="24"/>
            <w:szCs w:val="24"/>
          </w:rPr>
          <w:t>https://www.law.cornell.edu/wex/excited_utterance</w:t>
        </w:r>
      </w:hyperlink>
      <w:r>
        <w:rPr>
          <w:rFonts w:ascii="Times New Roman" w:hAnsi="Times New Roman"/>
          <w:sz w:val="24"/>
          <w:szCs w:val="24"/>
        </w:rPr>
        <w:t xml:space="preserve"> </w:t>
      </w:r>
    </w:p>
    <w:p w14:paraId="0D03A7D8" w14:textId="77777777" w:rsidR="00C825BD" w:rsidRDefault="00C825BD" w:rsidP="00C825BD">
      <w:pPr>
        <w:pStyle w:val="NoSpacing"/>
        <w:ind w:left="720"/>
        <w:rPr>
          <w:rFonts w:ascii="Times New Roman" w:hAnsi="Times New Roman"/>
          <w:sz w:val="24"/>
          <w:szCs w:val="24"/>
          <w:shd w:val="clear" w:color="auto" w:fill="FFFFFF"/>
        </w:rPr>
      </w:pPr>
    </w:p>
    <w:p w14:paraId="604ABBAB" w14:textId="77777777" w:rsidR="00C825BD" w:rsidRDefault="00C825BD" w:rsidP="00C825BD">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The defendant will be resentenced; he was originally sentenced to 24 years in prison. The Court wrote:</w:t>
      </w:r>
    </w:p>
    <w:p w14:paraId="2E0E83C9" w14:textId="77777777" w:rsidR="00C825BD" w:rsidRDefault="00C825BD" w:rsidP="00C825BD">
      <w:pPr>
        <w:pStyle w:val="NoSpacing"/>
        <w:ind w:firstLine="720"/>
        <w:rPr>
          <w:rFonts w:ascii="Times New Roman" w:hAnsi="Times New Roman"/>
          <w:sz w:val="24"/>
          <w:szCs w:val="24"/>
          <w:shd w:val="clear" w:color="auto" w:fill="FFFFFF"/>
        </w:rPr>
      </w:pPr>
    </w:p>
    <w:p w14:paraId="7DE288BD" w14:textId="77777777" w:rsidR="00C825BD" w:rsidRDefault="00C825BD" w:rsidP="00C825BD">
      <w:pPr>
        <w:pStyle w:val="NoSpacing"/>
        <w:ind w:left="1440"/>
        <w:rPr>
          <w:rFonts w:ascii="Times New Roman" w:hAnsi="Times New Roman"/>
          <w:sz w:val="24"/>
          <w:szCs w:val="24"/>
          <w:shd w:val="clear" w:color="auto" w:fill="FFFFFF"/>
        </w:rPr>
      </w:pPr>
      <w:r>
        <w:rPr>
          <w:rFonts w:ascii="Times New Roman" w:hAnsi="Times New Roman"/>
          <w:sz w:val="24"/>
          <w:szCs w:val="24"/>
          <w:shd w:val="clear" w:color="auto" w:fill="FFFFFF"/>
        </w:rPr>
        <w:t>“</w:t>
      </w:r>
      <w:r w:rsidRPr="0009763F">
        <w:rPr>
          <w:rFonts w:ascii="Times New Roman" w:hAnsi="Times New Roman"/>
          <w:sz w:val="24"/>
          <w:szCs w:val="24"/>
          <w:shd w:val="clear" w:color="auto" w:fill="FFFFFF"/>
        </w:rPr>
        <w:t>We further</w:t>
      </w:r>
      <w:r>
        <w:rPr>
          <w:rFonts w:ascii="Times New Roman" w:hAnsi="Times New Roman"/>
          <w:sz w:val="24"/>
          <w:szCs w:val="24"/>
          <w:shd w:val="clear" w:color="auto" w:fill="FFFFFF"/>
        </w:rPr>
        <w:t xml:space="preserve"> </w:t>
      </w:r>
      <w:r w:rsidRPr="0009763F">
        <w:rPr>
          <w:rFonts w:ascii="Times New Roman" w:hAnsi="Times New Roman"/>
          <w:sz w:val="24"/>
          <w:szCs w:val="24"/>
          <w:shd w:val="clear" w:color="auto" w:fill="FFFFFF"/>
        </w:rPr>
        <w:t>conclude that the government has failed to demonstrate that the error was harmless</w:t>
      </w:r>
      <w:r>
        <w:rPr>
          <w:rFonts w:ascii="Times New Roman" w:hAnsi="Times New Roman"/>
          <w:sz w:val="24"/>
          <w:szCs w:val="24"/>
          <w:shd w:val="clear" w:color="auto" w:fill="FFFFFF"/>
        </w:rPr>
        <w:t xml:space="preserve"> </w:t>
      </w:r>
      <w:r w:rsidRPr="0009763F">
        <w:rPr>
          <w:rFonts w:ascii="Times New Roman" w:hAnsi="Times New Roman"/>
          <w:sz w:val="24"/>
          <w:szCs w:val="24"/>
          <w:shd w:val="clear" w:color="auto" w:fill="FFFFFF"/>
        </w:rPr>
        <w:t>beyond a reasonable doubt as to Mr. Austin’s robbery conviction and his assault-with-intent-to-rob conviction. We are satisfied beyond a reasonable doubt, however,</w:t>
      </w:r>
      <w:r>
        <w:rPr>
          <w:rFonts w:ascii="Times New Roman" w:hAnsi="Times New Roman"/>
          <w:sz w:val="24"/>
          <w:szCs w:val="24"/>
          <w:shd w:val="clear" w:color="auto" w:fill="FFFFFF"/>
        </w:rPr>
        <w:t xml:space="preserve"> </w:t>
      </w:r>
      <w:r w:rsidRPr="0009763F">
        <w:rPr>
          <w:rFonts w:ascii="Times New Roman" w:hAnsi="Times New Roman"/>
          <w:sz w:val="24"/>
          <w:szCs w:val="24"/>
          <w:shd w:val="clear" w:color="auto" w:fill="FFFFFF"/>
        </w:rPr>
        <w:t>that, even without the erroneous admission of the 911 call, a rational jury would have</w:t>
      </w:r>
      <w:r>
        <w:rPr>
          <w:rFonts w:ascii="Times New Roman" w:hAnsi="Times New Roman"/>
          <w:sz w:val="24"/>
          <w:szCs w:val="24"/>
          <w:shd w:val="clear" w:color="auto" w:fill="FFFFFF"/>
        </w:rPr>
        <w:t xml:space="preserve"> </w:t>
      </w:r>
      <w:r w:rsidRPr="0009763F">
        <w:rPr>
          <w:rFonts w:ascii="Times New Roman" w:hAnsi="Times New Roman"/>
          <w:sz w:val="24"/>
          <w:szCs w:val="24"/>
          <w:shd w:val="clear" w:color="auto" w:fill="FFFFFF"/>
        </w:rPr>
        <w:t>found Mr. Austin guilty of burglary and simple assault as a lesser-included offense</w:t>
      </w:r>
      <w:r>
        <w:rPr>
          <w:rFonts w:ascii="Times New Roman" w:hAnsi="Times New Roman"/>
          <w:sz w:val="24"/>
          <w:szCs w:val="24"/>
          <w:shd w:val="clear" w:color="auto" w:fill="FFFFFF"/>
        </w:rPr>
        <w:t xml:space="preserve"> </w:t>
      </w:r>
      <w:r w:rsidRPr="0009763F">
        <w:rPr>
          <w:rFonts w:ascii="Times New Roman" w:hAnsi="Times New Roman"/>
          <w:sz w:val="24"/>
          <w:szCs w:val="24"/>
          <w:shd w:val="clear" w:color="auto" w:fill="FFFFFF"/>
        </w:rPr>
        <w:t>of assault with intent to rob. We therefore reverse Mr. Austin’s robbery and assault-with-intent-to-rob convictions, affirm Mr. Austin’s burglary conviction, and remand</w:t>
      </w:r>
      <w:r>
        <w:rPr>
          <w:rFonts w:ascii="Times New Roman" w:hAnsi="Times New Roman"/>
          <w:sz w:val="24"/>
          <w:szCs w:val="24"/>
          <w:shd w:val="clear" w:color="auto" w:fill="FFFFFF"/>
        </w:rPr>
        <w:t xml:space="preserve"> </w:t>
      </w:r>
      <w:r w:rsidRPr="0009763F">
        <w:rPr>
          <w:rFonts w:ascii="Times New Roman" w:hAnsi="Times New Roman"/>
          <w:sz w:val="24"/>
          <w:szCs w:val="24"/>
          <w:shd w:val="clear" w:color="auto" w:fill="FFFFFF"/>
        </w:rPr>
        <w:t>for entry of a conviction for assault and resentencing.</w:t>
      </w:r>
      <w:r>
        <w:rPr>
          <w:rFonts w:ascii="Times New Roman" w:hAnsi="Times New Roman"/>
          <w:sz w:val="24"/>
          <w:szCs w:val="24"/>
          <w:shd w:val="clear" w:color="auto" w:fill="FFFFFF"/>
        </w:rPr>
        <w:t>”</w:t>
      </w:r>
    </w:p>
    <w:p w14:paraId="61F187E3" w14:textId="77777777" w:rsidR="003C2A76" w:rsidRDefault="003C2A76" w:rsidP="002B1283">
      <w:pPr>
        <w:rPr>
          <w:rFonts w:ascii="Arial Black" w:hAnsi="Arial Black"/>
          <w:b/>
          <w:bCs/>
          <w:sz w:val="28"/>
          <w:szCs w:val="28"/>
        </w:rPr>
      </w:pPr>
    </w:p>
    <w:p w14:paraId="761515CC" w14:textId="77777777" w:rsidR="00E84210" w:rsidRDefault="00E84210" w:rsidP="002B1283">
      <w:pPr>
        <w:rPr>
          <w:rFonts w:ascii="Arial Black" w:hAnsi="Arial Black"/>
          <w:b/>
          <w:bCs/>
          <w:sz w:val="28"/>
          <w:szCs w:val="28"/>
        </w:rPr>
      </w:pPr>
    </w:p>
    <w:p w14:paraId="637F179E" w14:textId="2A42CF44" w:rsidR="00E84210" w:rsidRDefault="00E84210" w:rsidP="002B1283">
      <w:pPr>
        <w:rPr>
          <w:rFonts w:ascii="Arial Black" w:hAnsi="Arial Black"/>
          <w:b/>
          <w:bCs/>
          <w:sz w:val="28"/>
          <w:szCs w:val="28"/>
        </w:rPr>
      </w:pPr>
      <w:r>
        <w:rPr>
          <w:rFonts w:ascii="Arial Black" w:hAnsi="Arial Black"/>
          <w:b/>
          <w:bCs/>
          <w:sz w:val="28"/>
          <w:szCs w:val="28"/>
        </w:rPr>
        <w:t>13-187</w:t>
      </w:r>
    </w:p>
    <w:p w14:paraId="48CE8FED" w14:textId="77777777" w:rsidR="00595A8A" w:rsidRDefault="00595A8A" w:rsidP="00595A8A">
      <w:pPr>
        <w:pStyle w:val="NormalWeb"/>
        <w:rPr>
          <w:rFonts w:ascii="Arial Black" w:hAnsi="Arial Black"/>
          <w:sz w:val="28"/>
          <w:szCs w:val="28"/>
        </w:rPr>
      </w:pPr>
      <w:r>
        <w:rPr>
          <w:rFonts w:ascii="Arial Black" w:hAnsi="Arial Black"/>
          <w:sz w:val="28"/>
          <w:szCs w:val="28"/>
        </w:rPr>
        <w:t>AR:  PATIENT CONV. ASSAULT 2 PHOENIX FF -  PT THEN  SUES 5 PHOENIX FF EXCESSIVE FORCE – CASE PROCEED</w:t>
      </w:r>
    </w:p>
    <w:p w14:paraId="37744F70" w14:textId="77777777" w:rsidR="00595A8A" w:rsidRDefault="00595A8A" w:rsidP="00595A8A">
      <w:pPr>
        <w:pStyle w:val="NormalWeb"/>
      </w:pPr>
      <w:r>
        <w:lastRenderedPageBreak/>
        <w:t xml:space="preserve">On May 30, 2024, in </w:t>
      </w:r>
      <w:r w:rsidRPr="00504191">
        <w:rPr>
          <w:u w:val="single"/>
        </w:rPr>
        <w:t>Alan Troy Nimer v. Justin Broek, et al</w:t>
      </w:r>
      <w:r>
        <w:t>., the U.S. Court of Appeals for the 9</w:t>
      </w:r>
      <w:r w:rsidRPr="00504191">
        <w:rPr>
          <w:vertAlign w:val="superscript"/>
        </w:rPr>
        <w:t>th</w:t>
      </w:r>
      <w:r>
        <w:t xml:space="preserve"> Circuit, held (3 to 0; unpublished decision) that trial court improperly granted defense motion to dismiss.  The patient was convicted in state court of two counts of aggravated assault against two EMS – injuring two firefighters.  The Court held:</w:t>
      </w:r>
    </w:p>
    <w:p w14:paraId="04185B73" w14:textId="77777777" w:rsidR="00595A8A" w:rsidRDefault="00595A8A" w:rsidP="00595A8A">
      <w:pPr>
        <w:pStyle w:val="NormalWeb"/>
        <w:ind w:left="720"/>
      </w:pPr>
      <w:r>
        <w:t xml:space="preserve">“Hence, Nimer's claims are not </w:t>
      </w:r>
      <w:r>
        <w:rPr>
          <w:rStyle w:val="Emphasis"/>
          <w:rFonts w:eastAsiaTheme="majorEastAsia"/>
        </w:rPr>
        <w:t>Heck</w:t>
      </w:r>
      <w:r>
        <w:t xml:space="preserve">-barred because Nimer's success in this action would not </w:t>
      </w:r>
      <w:r>
        <w:rPr>
          <w:rStyle w:val="Emphasis"/>
          <w:rFonts w:eastAsiaTheme="majorEastAsia"/>
        </w:rPr>
        <w:t>necessarily</w:t>
      </w:r>
      <w:r>
        <w:t xml:space="preserve"> contradict his conviction. To the contrary, viewing the evidence in the light most favorable to Nimer, there is a genuine dispute of fact as to whether Defendants engaged in excessive force after Nimer completed the aggravated assault. </w:t>
      </w:r>
      <w:r>
        <w:rPr>
          <w:rStyle w:val="Emphasis"/>
          <w:rFonts w:eastAsiaTheme="majorEastAsia"/>
        </w:rPr>
        <w:t>See Smith</w:t>
      </w:r>
      <w:r>
        <w:t xml:space="preserve">, 394 F.3d at 699. We therefore reverse the district court's grant of summary judgment in favor of Defendants with respect to Nimer's excessive force and unconstitutional seizure claims. We remand for the district court to consider the merits of those claims in the first </w:t>
      </w:r>
      <w:proofErr w:type="gramStart"/>
      <w:r>
        <w:t>instance.”</w:t>
      </w:r>
      <w:proofErr w:type="gramEnd"/>
      <w:r>
        <w:t xml:space="preserve"> </w:t>
      </w:r>
      <w:hyperlink r:id="rId2151" w:history="1">
        <w:r w:rsidRPr="005176E1">
          <w:rPr>
            <w:rStyle w:val="Hyperlink"/>
          </w:rPr>
          <w:t>https://cases.justia.com/federal/appellate-courts/ca9/21-15252/21-15252-2024-05-20.pdf?ts=1716226339</w:t>
        </w:r>
      </w:hyperlink>
      <w:r>
        <w:t xml:space="preserve"> </w:t>
      </w:r>
    </w:p>
    <w:p w14:paraId="07D09180" w14:textId="77777777" w:rsidR="00F039A1" w:rsidRPr="00E62A89" w:rsidRDefault="00F039A1" w:rsidP="00F039A1">
      <w:pPr>
        <w:pStyle w:val="NormalWeb"/>
        <w:rPr>
          <w:b/>
          <w:bCs/>
        </w:rPr>
      </w:pPr>
      <w:r w:rsidRPr="00E62A89">
        <w:rPr>
          <w:b/>
          <w:bCs/>
        </w:rPr>
        <w:t>Legal Lesson Learned:</w:t>
      </w:r>
      <w:r>
        <w:rPr>
          <w:b/>
          <w:bCs/>
        </w:rPr>
        <w:t xml:space="preserve"> Patients assaulting EMS are unfortunately quite common, but a decision allowing a lawsuit to proceed against EMS by a patient convicted for assaulting the EMS is quite rare.  Body cameras could hopefully avoid similar cases. </w:t>
      </w:r>
    </w:p>
    <w:p w14:paraId="4BA94431" w14:textId="77777777" w:rsidR="00E84210" w:rsidRDefault="00E84210" w:rsidP="002B1283">
      <w:pPr>
        <w:rPr>
          <w:rFonts w:ascii="Arial Black" w:hAnsi="Arial Black"/>
          <w:b/>
          <w:bCs/>
          <w:sz w:val="28"/>
          <w:szCs w:val="28"/>
        </w:rPr>
      </w:pPr>
    </w:p>
    <w:p w14:paraId="0308C338" w14:textId="77777777" w:rsidR="00E84210" w:rsidRDefault="00E84210" w:rsidP="002B1283">
      <w:pPr>
        <w:rPr>
          <w:rFonts w:ascii="Arial Black" w:hAnsi="Arial Black"/>
          <w:b/>
          <w:bCs/>
          <w:sz w:val="28"/>
          <w:szCs w:val="28"/>
        </w:rPr>
      </w:pPr>
    </w:p>
    <w:p w14:paraId="66A1EEE4" w14:textId="1DB9FC17" w:rsidR="00D430E2" w:rsidRDefault="00D430E2" w:rsidP="002B1283">
      <w:pPr>
        <w:rPr>
          <w:rFonts w:ascii="Arial Black" w:hAnsi="Arial Black"/>
          <w:b/>
          <w:bCs/>
          <w:sz w:val="28"/>
          <w:szCs w:val="28"/>
        </w:rPr>
      </w:pPr>
      <w:r>
        <w:rPr>
          <w:rFonts w:ascii="Arial Black" w:hAnsi="Arial Black"/>
          <w:b/>
          <w:bCs/>
          <w:sz w:val="28"/>
          <w:szCs w:val="28"/>
        </w:rPr>
        <w:t>13-186</w:t>
      </w:r>
    </w:p>
    <w:p w14:paraId="55E3E808" w14:textId="7F7E572F" w:rsidR="006309AC" w:rsidRPr="0014478E" w:rsidRDefault="006309AC" w:rsidP="006309AC">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NC: P</w:t>
      </w:r>
      <w:r w:rsidR="00C760FE">
        <w:rPr>
          <w:rFonts w:ascii="Arial Black" w:hAnsi="Arial Black"/>
          <w:b/>
          <w:bCs/>
          <w:color w:val="454545"/>
          <w:sz w:val="28"/>
          <w:szCs w:val="28"/>
          <w:shd w:val="clear" w:color="auto" w:fill="FFFFFF"/>
        </w:rPr>
        <w:t>T</w:t>
      </w:r>
      <w:r>
        <w:rPr>
          <w:rFonts w:ascii="Arial Black" w:hAnsi="Arial Black"/>
          <w:b/>
          <w:bCs/>
          <w:color w:val="454545"/>
          <w:sz w:val="28"/>
          <w:szCs w:val="28"/>
          <w:shd w:val="clear" w:color="auto" w:fill="FFFFFF"/>
        </w:rPr>
        <w:t xml:space="preserve"> CONVICTED ASSAULTING “EMT” DURING TRANSPORT –ASSAULT ON “PARAMEDIC”</w:t>
      </w:r>
      <w:r w:rsidR="00C760FE">
        <w:rPr>
          <w:rFonts w:ascii="Arial Black" w:hAnsi="Arial Black"/>
          <w:b/>
          <w:bCs/>
          <w:color w:val="454545"/>
          <w:sz w:val="28"/>
          <w:szCs w:val="28"/>
          <w:shd w:val="clear" w:color="auto" w:fill="FFFFFF"/>
        </w:rPr>
        <w:t xml:space="preserve"> INCLUDES EMT</w:t>
      </w:r>
    </w:p>
    <w:p w14:paraId="23494D8E" w14:textId="77777777" w:rsidR="006309AC" w:rsidRDefault="006309AC" w:rsidP="006309AC">
      <w:pPr>
        <w:pStyle w:val="NormalWeb"/>
        <w:spacing w:before="0" w:beforeAutospacing="0"/>
      </w:pPr>
      <w:r>
        <w:t xml:space="preserve">On May 21, 2024, in </w:t>
      </w:r>
      <w:r w:rsidRPr="00782B8A">
        <w:rPr>
          <w:u w:val="single"/>
        </w:rPr>
        <w:t>State of North Carolina v. Rachel Shalom Juran</w:t>
      </w:r>
      <w:r>
        <w:t>, the Court of Appeals of North Carolina held (3 to 0) that under N.C. statutes, assault on a paramedic is considered an assault on an EMT.  During transport, the defendant became agitated and forcefully grabbed and squeezed the paramedic’s hand, and the ambulance driver had to pull over to assist the medic.  The EMS Supervisor came to scene along with PD and rode in ambulance to hospital.  When the patient was released from hospital she was arrested.  Jury convicted but Judge only sentenced her to 6 to 17 months' imprisonment suspended for 24 months' supervised probation The Court held:</w:t>
      </w:r>
    </w:p>
    <w:p w14:paraId="4E310179" w14:textId="77777777" w:rsidR="006309AC" w:rsidRDefault="006309AC" w:rsidP="006309AC">
      <w:pPr>
        <w:pStyle w:val="NormalWeb"/>
        <w:spacing w:before="0" w:beforeAutospacing="0"/>
        <w:ind w:left="720"/>
      </w:pPr>
      <w:r>
        <w:t xml:space="preserve">“Here, Defendant was charged with assault on an EMT as the indictment stated, in relevant part, Defendant "unlawfully, willfully and feloniously did assault [Lueth], an emergency medical technician[.]"  Notably, although N.C. Gen. Stat. § 14-34.6 does not specifically define emergency medical technician, other statutes within this same chapter define ‘emergency medical technician’ to include a paramedic. </w:t>
      </w:r>
      <w:r>
        <w:rPr>
          <w:rStyle w:val="Emphasis"/>
          <w:rFonts w:eastAsiaTheme="majorEastAsia"/>
        </w:rPr>
        <w:t>See</w:t>
      </w:r>
      <w:r>
        <w:t xml:space="preserve"> N.C. Gen. Stat. § 14-69.3(a)(1) (2023). Nonetheless, even if ‘emergency medical technician’ as applied under N.C. Gen. Stat. § 14-34.6 was not intended to include paramedics, whether the victim was an emergency medical technician or paramedic is a distinction without difference for the purpose of the charging statute. While we recognize the credentials of a paramedic differ from those of an EMT, the gist of the offense at issue remains the same notwithstanding the victim's credentials. </w:t>
      </w:r>
      <w:r>
        <w:rPr>
          <w:rStyle w:val="Emphasis"/>
          <w:rFonts w:eastAsiaTheme="majorEastAsia"/>
        </w:rPr>
        <w:t>See</w:t>
      </w:r>
      <w:r>
        <w:t xml:space="preserve"> N.C. Gen. Stat. § 131E-155(10), (15a) (2023). Moreover, Defendant would be charged under the same statute regardless of whether she assaulted a paramedic or an EMT.” </w:t>
      </w:r>
      <w:hyperlink r:id="rId2152" w:history="1">
        <w:r w:rsidRPr="004F7BC4">
          <w:rPr>
            <w:rStyle w:val="Hyperlink"/>
          </w:rPr>
          <w:t>https://cases.justia.com/north-carolina/court-of-appeals/2024-23-881.pdf?ts=1716294565</w:t>
        </w:r>
      </w:hyperlink>
      <w:r>
        <w:t xml:space="preserve"> </w:t>
      </w:r>
    </w:p>
    <w:p w14:paraId="1060F4F2" w14:textId="77777777" w:rsidR="00E84210" w:rsidRPr="00CD320B" w:rsidRDefault="00E84210" w:rsidP="00E84210">
      <w:pPr>
        <w:spacing w:after="100" w:line="240" w:lineRule="auto"/>
        <w:rPr>
          <w:rFonts w:ascii="Times New Roman" w:eastAsia="Times New Roman" w:hAnsi="Times New Roman"/>
          <w:b/>
          <w:bCs/>
          <w:sz w:val="24"/>
          <w:szCs w:val="24"/>
        </w:rPr>
      </w:pPr>
      <w:r w:rsidRPr="0090745C">
        <w:rPr>
          <w:rFonts w:ascii="Times New Roman" w:hAnsi="Times New Roman"/>
          <w:b/>
          <w:bCs/>
          <w:sz w:val="24"/>
          <w:szCs w:val="24"/>
        </w:rPr>
        <w:t>Legal Lesson Learned:</w:t>
      </w:r>
      <w:r>
        <w:rPr>
          <w:rFonts w:ascii="Times New Roman" w:hAnsi="Times New Roman"/>
          <w:b/>
          <w:bCs/>
          <w:sz w:val="24"/>
          <w:szCs w:val="24"/>
        </w:rPr>
        <w:t xml:space="preserve"> </w:t>
      </w:r>
      <w:r w:rsidRPr="00CD320B">
        <w:rPr>
          <w:rFonts w:ascii="Times New Roman" w:hAnsi="Times New Roman"/>
          <w:b/>
          <w:bCs/>
          <w:sz w:val="24"/>
          <w:szCs w:val="24"/>
        </w:rPr>
        <w:t>Strange appeal the NC statute clearly applies to “</w:t>
      </w:r>
      <w:r w:rsidRPr="00CD320B">
        <w:rPr>
          <w:rFonts w:ascii="Times New Roman" w:eastAsia="Times New Roman" w:hAnsi="Times New Roman"/>
          <w:b/>
          <w:bCs/>
          <w:sz w:val="24"/>
          <w:szCs w:val="24"/>
        </w:rPr>
        <w:t>An emergency medical technician or other emergency health care provider.”</w:t>
      </w:r>
    </w:p>
    <w:p w14:paraId="14447272" w14:textId="77777777" w:rsidR="00D430E2" w:rsidRDefault="00D430E2" w:rsidP="002B1283">
      <w:pPr>
        <w:rPr>
          <w:rFonts w:ascii="Arial Black" w:hAnsi="Arial Black"/>
          <w:b/>
          <w:bCs/>
          <w:sz w:val="28"/>
          <w:szCs w:val="28"/>
        </w:rPr>
      </w:pPr>
    </w:p>
    <w:p w14:paraId="5BB736C3" w14:textId="173E6478" w:rsidR="00766805" w:rsidRDefault="00766805" w:rsidP="001C2F88">
      <w:pPr>
        <w:rPr>
          <w:rFonts w:ascii="Arial Black" w:hAnsi="Arial Black"/>
          <w:sz w:val="28"/>
          <w:szCs w:val="28"/>
        </w:rPr>
      </w:pPr>
      <w:r>
        <w:rPr>
          <w:rFonts w:ascii="Arial Black" w:hAnsi="Arial Black"/>
          <w:sz w:val="28"/>
          <w:szCs w:val="28"/>
        </w:rPr>
        <w:t>13</w:t>
      </w:r>
      <w:r w:rsidR="00ED5101">
        <w:rPr>
          <w:rFonts w:ascii="Arial Black" w:hAnsi="Arial Black"/>
          <w:sz w:val="28"/>
          <w:szCs w:val="28"/>
        </w:rPr>
        <w:t>-185</w:t>
      </w:r>
    </w:p>
    <w:p w14:paraId="50D1284C" w14:textId="77777777" w:rsidR="003358D9" w:rsidRDefault="003358D9" w:rsidP="003358D9">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PA: DISPATCHER SENT WRONG AMBULANCE – 1 HOUR AWAY – PREGANT PATIENT LOST BABY – NOT FED. CASE</w:t>
      </w:r>
    </w:p>
    <w:p w14:paraId="0303BB56" w14:textId="77777777" w:rsidR="003358D9" w:rsidRDefault="003358D9" w:rsidP="003358D9">
      <w:pPr>
        <w:pStyle w:val="NormalWeb"/>
        <w:spacing w:before="0" w:beforeAutospacing="0"/>
      </w:pPr>
      <w:r>
        <w:rPr>
          <w:color w:val="454545"/>
          <w:shd w:val="clear" w:color="auto" w:fill="FFFFFF"/>
        </w:rPr>
        <w:t xml:space="preserve">On May 15, 2024, in </w:t>
      </w:r>
      <w:r w:rsidRPr="005F31AE">
        <w:rPr>
          <w:color w:val="454545"/>
          <w:u w:val="single"/>
          <w:shd w:val="clear" w:color="auto" w:fill="FFFFFF"/>
        </w:rPr>
        <w:t>Chad Reiner and Stephanie Reiner v. Northumberland County, et al</w:t>
      </w:r>
      <w:r>
        <w:rPr>
          <w:color w:val="454545"/>
          <w:shd w:val="clear" w:color="auto" w:fill="FFFFFF"/>
        </w:rPr>
        <w:t xml:space="preserve">., Chief United States District Court Judge </w:t>
      </w:r>
      <w:r>
        <w:t>Matthew W. Brann dismissed the lawsuit, which can now be filed in state court.  The dispatcher failed to notify the closest ambulance (10 miles) or the second ambulance (24 miles</w:t>
      </w:r>
      <w:proofErr w:type="gramStart"/>
      <w:r>
        <w:t>), but</w:t>
      </w:r>
      <w:proofErr w:type="gramEnd"/>
      <w:r>
        <w:t xml:space="preserve"> instead toned out ambulance in Harrisburg that took one hour to arrive.  The patient was bleeding out and repeatedly called 911, but dispatcher refused to advise location of responding ambulance.  The Court held:</w:t>
      </w:r>
    </w:p>
    <w:p w14:paraId="41368FE9" w14:textId="77777777" w:rsidR="003358D9" w:rsidRDefault="003358D9" w:rsidP="003358D9">
      <w:pPr>
        <w:pStyle w:val="NormalWeb"/>
        <w:spacing w:before="0" w:beforeAutospacing="0"/>
        <w:ind w:left="720"/>
      </w:pPr>
      <w:r>
        <w:t xml:space="preserve">“The law does not always align with what one may believe is right, just, or fair. This painful fact is the necessary reality of a well-ordered legal system. In this case, the careless conduct of a 911 dispatcher led to </w:t>
      </w:r>
      <w:proofErr w:type="gramStart"/>
      <w:r>
        <w:t>a terrible tragedy</w:t>
      </w:r>
      <w:proofErr w:type="gramEnd"/>
      <w:r>
        <w:t xml:space="preserve">. But for the individual citizen, the United States Constitution is mainly a charter of negative liberties. It provides no remedy for this harm. Nor is federal court an appropriate forum to talk through </w:t>
      </w:r>
      <w:proofErr w:type="gramStart"/>
      <w:r>
        <w:t>questions of state</w:t>
      </w:r>
      <w:proofErr w:type="gramEnd"/>
      <w:r>
        <w:t xml:space="preserve"> law. </w:t>
      </w:r>
      <w:proofErr w:type="gramStart"/>
      <w:r>
        <w:t>So</w:t>
      </w:r>
      <w:proofErr w:type="gramEnd"/>
      <w:r>
        <w:t xml:space="preserve"> this lawsuit is dismissed with prejudice.</w:t>
      </w:r>
    </w:p>
    <w:p w14:paraId="653BA3ED" w14:textId="77777777" w:rsidR="003358D9" w:rsidRDefault="003358D9" w:rsidP="003358D9">
      <w:pPr>
        <w:pStyle w:val="NormalWeb"/>
        <w:spacing w:before="0" w:beforeAutospacing="0"/>
        <w:ind w:left="720"/>
      </w:pPr>
      <w:r>
        <w:t>***</w:t>
      </w:r>
    </w:p>
    <w:p w14:paraId="3C0CBA7A" w14:textId="77777777" w:rsidR="003358D9" w:rsidRDefault="003358D9" w:rsidP="003358D9">
      <w:pPr>
        <w:pStyle w:val="NormalWeb"/>
        <w:spacing w:before="0" w:beforeAutospacing="0"/>
        <w:ind w:left="720"/>
      </w:pPr>
      <w:r>
        <w:t>Plaintiffs' Section 1983 claims fail because they have alleged no violation of their federal constitutional rights. Because there are no surviving federal claims, the Court declines to exercise supplemental jurisdiction over Plaintiffs' state law claims.</w:t>
      </w:r>
    </w:p>
    <w:p w14:paraId="4F5AAC11" w14:textId="77777777" w:rsidR="003358D9" w:rsidRDefault="003358D9" w:rsidP="003358D9">
      <w:pPr>
        <w:pStyle w:val="NormalWeb"/>
        <w:spacing w:before="0" w:beforeAutospacing="0"/>
        <w:ind w:left="720"/>
      </w:pPr>
      <w:r>
        <w:t>***</w:t>
      </w:r>
    </w:p>
    <w:p w14:paraId="6487E888" w14:textId="77777777" w:rsidR="003358D9" w:rsidRDefault="003358D9" w:rsidP="003358D9">
      <w:pPr>
        <w:pStyle w:val="NormalWeb"/>
        <w:ind w:left="720"/>
      </w:pPr>
      <w:r>
        <w:t xml:space="preserve">The Third Circuit has long-standing precedent that there is no constitutional right to receive emergency ambulance services, nor is there ‘an affirmative obligation on the State to provide competent rescue services if it chooses to provide them.’  </w:t>
      </w:r>
      <w:proofErr w:type="gramStart"/>
      <w:r>
        <w:t>So</w:t>
      </w:r>
      <w:proofErr w:type="gramEnd"/>
      <w:r>
        <w:t xml:space="preserve"> any injuries resulting from flawed or incompetent emergency rescue services are not constitutional injuries, and hence not actionable under Section 1983. Plaintiffs' argument that they only waited an hour for the ambulance because they did not know it would take so long requires a closer analysis of this Circuit's ‘state-created danger’ theory of liability. </w:t>
      </w:r>
    </w:p>
    <w:p w14:paraId="4CF099E0" w14:textId="77777777" w:rsidR="003358D9" w:rsidRDefault="003358D9" w:rsidP="003358D9">
      <w:pPr>
        <w:pStyle w:val="NormalWeb"/>
        <w:ind w:left="720"/>
      </w:pPr>
      <w:r>
        <w:t>***</w:t>
      </w:r>
    </w:p>
    <w:p w14:paraId="454BF281" w14:textId="77777777" w:rsidR="003358D9" w:rsidRDefault="003358D9" w:rsidP="003358D9">
      <w:pPr>
        <w:pStyle w:val="NormalWeb"/>
        <w:ind w:left="720"/>
      </w:pPr>
      <w:r>
        <w:t xml:space="preserve">Nothing of </w:t>
      </w:r>
      <w:proofErr w:type="gramStart"/>
      <w:r>
        <w:t>the</w:t>
      </w:r>
      <w:proofErr w:type="gramEnd"/>
      <w:r>
        <w:t xml:space="preserve"> kind is alleged here. Stephanie Reiner was not such a vulnerable person even while injured, the state does not assume responsibility over injured </w:t>
      </w:r>
      <w:proofErr w:type="gramStart"/>
      <w:r>
        <w:t>persons</w:t>
      </w:r>
      <w:proofErr w:type="gramEnd"/>
      <w:r>
        <w:t xml:space="preserve"> by offering assurances, and no would-be protector was displaced. Accordingly, Plaintiffs' Section 1983 claim fails under the state-created danger theory of liability. </w:t>
      </w:r>
    </w:p>
    <w:p w14:paraId="0DA30753" w14:textId="77777777" w:rsidR="003358D9" w:rsidRDefault="003358D9" w:rsidP="003358D9">
      <w:pPr>
        <w:pStyle w:val="NormalWeb"/>
        <w:ind w:left="720"/>
      </w:pPr>
      <w:r>
        <w:t>***</w:t>
      </w:r>
    </w:p>
    <w:p w14:paraId="6DBAC9D2" w14:textId="425CA111" w:rsidR="00ED5101" w:rsidRDefault="003358D9" w:rsidP="003358D9">
      <w:pPr>
        <w:ind w:left="720"/>
        <w:rPr>
          <w:rStyle w:val="Hyperlink"/>
          <w:rFonts w:ascii="Times New Roman" w:hAnsi="Times New Roman"/>
          <w:sz w:val="24"/>
          <w:szCs w:val="24"/>
        </w:rPr>
      </w:pPr>
      <w:r w:rsidRPr="003358D9">
        <w:rPr>
          <w:rFonts w:ascii="Times New Roman" w:hAnsi="Times New Roman"/>
          <w:sz w:val="24"/>
          <w:szCs w:val="24"/>
        </w:rPr>
        <w:t xml:space="preserve">The Court has great sympathy for the hardship Plaintiffs have suffered, but their case does not belong in federal court because they have not plausibly alleged any violation of the United States Constitution.” </w:t>
      </w:r>
      <w:hyperlink r:id="rId2153" w:history="1">
        <w:r w:rsidRPr="003358D9">
          <w:rPr>
            <w:rStyle w:val="Hyperlink"/>
            <w:rFonts w:ascii="Times New Roman" w:hAnsi="Times New Roman"/>
            <w:sz w:val="24"/>
            <w:szCs w:val="24"/>
          </w:rPr>
          <w:t>https://webservices.courthousenews.com/sites/Data/AppellateOpinionUploads/2024-17-5--13-46-27-048b5eb5-2700-4a37-ac11-5deaa284f5ce.pdf</w:t>
        </w:r>
      </w:hyperlink>
    </w:p>
    <w:p w14:paraId="18DC104C" w14:textId="77777777" w:rsidR="00D430E2" w:rsidRDefault="00D430E2" w:rsidP="00D430E2">
      <w:pPr>
        <w:pStyle w:val="NormalWeb"/>
        <w:rPr>
          <w:b/>
          <w:bCs/>
        </w:rPr>
      </w:pPr>
      <w:r>
        <w:rPr>
          <w:b/>
          <w:bCs/>
        </w:rPr>
        <w:lastRenderedPageBreak/>
        <w:t>Legal Lesson Learned: Dispatch protocol should require nearest ambulance be called [10 miles in this case], and if not available, then next nearest ambulance [24 miles].</w:t>
      </w:r>
    </w:p>
    <w:p w14:paraId="4D6A0356" w14:textId="77777777" w:rsidR="00D430E2" w:rsidRDefault="00D430E2" w:rsidP="00D430E2">
      <w:pPr>
        <w:pStyle w:val="NormalWeb"/>
        <w:ind w:left="720"/>
      </w:pPr>
      <w:r>
        <w:t>Note: Dispatch protocol was corrected after this run, and a change in management. The Court wrote:</w:t>
      </w:r>
    </w:p>
    <w:p w14:paraId="770ECEE8" w14:textId="77777777" w:rsidR="00D430E2" w:rsidRPr="00126FA6" w:rsidRDefault="00D430E2" w:rsidP="00D430E2">
      <w:pPr>
        <w:pStyle w:val="NormalWeb"/>
        <w:ind w:left="1440"/>
        <w:rPr>
          <w:vertAlign w:val="superscript"/>
        </w:rPr>
      </w:pPr>
      <w:r>
        <w:t>“The Northumberland County District Attorney's Office investigated the incident. In October 2022, the Northumberland County Fire Chiefs Association's vice president claimed that mismanagement of the 911 Center had placed the public in danger; another fire chief expressed concern that mismanagement of the 911 Center would result in civilian death. At this same meeting, fire officials aired grievances concerning prolonged dispatch times and significant dispatcher turnover, and called for Fellman's termination [Russell Fellman, the 911 Coordinator in charge of the Northumberland County 911 Center]. Fellman resigned as 911 Coordinator in December 2022.”</w:t>
      </w:r>
    </w:p>
    <w:p w14:paraId="02E4A6B5" w14:textId="77777777" w:rsidR="00D430E2" w:rsidRPr="003358D9" w:rsidRDefault="00D430E2" w:rsidP="003358D9">
      <w:pPr>
        <w:ind w:left="720"/>
        <w:rPr>
          <w:rFonts w:ascii="Times New Roman" w:hAnsi="Times New Roman"/>
          <w:sz w:val="24"/>
          <w:szCs w:val="24"/>
        </w:rPr>
      </w:pPr>
    </w:p>
    <w:p w14:paraId="4814F1E8" w14:textId="77777777" w:rsidR="00766805" w:rsidRDefault="00766805" w:rsidP="001C2F88">
      <w:pPr>
        <w:rPr>
          <w:rFonts w:ascii="Arial Black" w:hAnsi="Arial Black"/>
          <w:sz w:val="28"/>
          <w:szCs w:val="28"/>
        </w:rPr>
      </w:pPr>
    </w:p>
    <w:p w14:paraId="6D29D3A9" w14:textId="77777777" w:rsidR="00766805" w:rsidRDefault="00766805" w:rsidP="001C2F88">
      <w:pPr>
        <w:rPr>
          <w:rFonts w:ascii="Arial Black" w:hAnsi="Arial Black"/>
          <w:sz w:val="28"/>
          <w:szCs w:val="28"/>
        </w:rPr>
      </w:pPr>
    </w:p>
    <w:p w14:paraId="6615AD5E" w14:textId="66913EF9" w:rsidR="001C2F88" w:rsidRPr="001C2F88" w:rsidRDefault="001C2F88" w:rsidP="001C2F88">
      <w:pPr>
        <w:rPr>
          <w:rFonts w:ascii="Arial Black" w:hAnsi="Arial Black"/>
          <w:sz w:val="28"/>
          <w:szCs w:val="28"/>
        </w:rPr>
      </w:pPr>
      <w:r w:rsidRPr="001C2F88">
        <w:rPr>
          <w:rFonts w:ascii="Arial Black" w:hAnsi="Arial Black"/>
          <w:sz w:val="28"/>
          <w:szCs w:val="28"/>
        </w:rPr>
        <w:t>13-184</w:t>
      </w:r>
    </w:p>
    <w:p w14:paraId="635A756C" w14:textId="68A8E3F6" w:rsidR="001C2F88" w:rsidRPr="00C82AB6" w:rsidRDefault="001C2F88" w:rsidP="001C2F88">
      <w:pPr>
        <w:rPr>
          <w:rFonts w:ascii="Arial Black" w:hAnsi="Arial Black"/>
          <w:sz w:val="28"/>
          <w:szCs w:val="28"/>
        </w:rPr>
      </w:pPr>
      <w:r>
        <w:rPr>
          <w:rFonts w:ascii="Arial Black" w:hAnsi="Arial Black"/>
          <w:sz w:val="28"/>
          <w:szCs w:val="28"/>
        </w:rPr>
        <w:t xml:space="preserve">OH: COLUMBUS PD - NO FIRST AID AFTER SHOOTING SUICIDE MAN 5 TIMES  / NO IMMUN. - WHITLE CASTLE CASE </w:t>
      </w:r>
    </w:p>
    <w:p w14:paraId="20578C2C" w14:textId="77777777" w:rsidR="001C2F88" w:rsidRPr="009B4A97" w:rsidRDefault="001C2F88" w:rsidP="001C2F88">
      <w:pPr>
        <w:rPr>
          <w:rFonts w:ascii="Times New Roman" w:hAnsi="Times New Roman"/>
          <w:color w:val="454545"/>
          <w:sz w:val="24"/>
          <w:szCs w:val="24"/>
          <w:shd w:val="clear" w:color="auto" w:fill="FFFFFF"/>
        </w:rPr>
      </w:pPr>
      <w:r w:rsidRPr="009B4A97">
        <w:rPr>
          <w:rFonts w:ascii="Times New Roman" w:hAnsi="Times New Roman"/>
          <w:sz w:val="24"/>
          <w:szCs w:val="24"/>
        </w:rPr>
        <w:t xml:space="preserve">On April 29, 2024, in </w:t>
      </w:r>
      <w:r w:rsidRPr="00C275FC">
        <w:rPr>
          <w:rFonts w:ascii="Times New Roman" w:hAnsi="Times New Roman"/>
          <w:sz w:val="24"/>
          <w:szCs w:val="24"/>
          <w:u w:val="single"/>
        </w:rPr>
        <w:t xml:space="preserve">Ken Heeter, </w:t>
      </w:r>
      <w:r>
        <w:rPr>
          <w:rFonts w:ascii="Times New Roman" w:hAnsi="Times New Roman"/>
          <w:sz w:val="24"/>
          <w:szCs w:val="24"/>
          <w:u w:val="single"/>
        </w:rPr>
        <w:t>a</w:t>
      </w:r>
      <w:r w:rsidRPr="00C275FC">
        <w:rPr>
          <w:rFonts w:ascii="Times New Roman" w:hAnsi="Times New Roman"/>
          <w:sz w:val="24"/>
          <w:szCs w:val="24"/>
          <w:u w:val="single"/>
        </w:rPr>
        <w:t xml:space="preserve">s Administrator </w:t>
      </w:r>
      <w:r>
        <w:rPr>
          <w:rFonts w:ascii="Times New Roman" w:hAnsi="Times New Roman"/>
          <w:sz w:val="24"/>
          <w:szCs w:val="24"/>
          <w:u w:val="single"/>
        </w:rPr>
        <w:t>o</w:t>
      </w:r>
      <w:r w:rsidRPr="00C275FC">
        <w:rPr>
          <w:rFonts w:ascii="Times New Roman" w:hAnsi="Times New Roman"/>
          <w:sz w:val="24"/>
          <w:szCs w:val="24"/>
          <w:u w:val="single"/>
        </w:rPr>
        <w:t xml:space="preserve">f </w:t>
      </w:r>
      <w:r>
        <w:rPr>
          <w:rFonts w:ascii="Times New Roman" w:hAnsi="Times New Roman"/>
          <w:sz w:val="24"/>
          <w:szCs w:val="24"/>
          <w:u w:val="single"/>
        </w:rPr>
        <w:t>t</w:t>
      </w:r>
      <w:r w:rsidRPr="00C275FC">
        <w:rPr>
          <w:rFonts w:ascii="Times New Roman" w:hAnsi="Times New Roman"/>
          <w:sz w:val="24"/>
          <w:szCs w:val="24"/>
          <w:u w:val="single"/>
        </w:rPr>
        <w:t>he estate of Bill G. Heeter, et al. v. Kenneth Bowers, individually and in his capacity as an employee of the City of Columbus, Ohio; Columbus Police Department</w:t>
      </w:r>
      <w:r w:rsidRPr="009B4A97">
        <w:rPr>
          <w:rFonts w:ascii="Times New Roman" w:hAnsi="Times New Roman"/>
          <w:sz w:val="24"/>
          <w:szCs w:val="24"/>
        </w:rPr>
        <w:t>, the U.S. Court of Appeals for the 6</w:t>
      </w:r>
      <w:r w:rsidRPr="009B4A97">
        <w:rPr>
          <w:rFonts w:ascii="Times New Roman" w:hAnsi="Times New Roman"/>
          <w:sz w:val="24"/>
          <w:szCs w:val="24"/>
          <w:vertAlign w:val="superscript"/>
        </w:rPr>
        <w:t>th</w:t>
      </w:r>
      <w:r w:rsidRPr="009B4A97">
        <w:rPr>
          <w:rFonts w:ascii="Times New Roman" w:hAnsi="Times New Roman"/>
          <w:sz w:val="24"/>
          <w:szCs w:val="24"/>
        </w:rPr>
        <w:t xml:space="preserve"> Circuit (Cincinnati), held </w:t>
      </w:r>
      <w:r>
        <w:rPr>
          <w:rFonts w:ascii="Times New Roman" w:hAnsi="Times New Roman"/>
          <w:sz w:val="24"/>
          <w:szCs w:val="24"/>
        </w:rPr>
        <w:t>(</w:t>
      </w:r>
      <w:r w:rsidRPr="009B4A97">
        <w:rPr>
          <w:rFonts w:ascii="Times New Roman" w:hAnsi="Times New Roman"/>
          <w:sz w:val="24"/>
          <w:szCs w:val="24"/>
        </w:rPr>
        <w:t>2 to 1</w:t>
      </w:r>
      <w:r>
        <w:rPr>
          <w:rFonts w:ascii="Times New Roman" w:hAnsi="Times New Roman"/>
          <w:sz w:val="24"/>
          <w:szCs w:val="24"/>
        </w:rPr>
        <w:t xml:space="preserve">) that trial court judge properly denied officer’s motion for summary judgment who shot the man five times with M-16 service rifle; jury will decide if officer used excessive force, and whether he should have rendered basic first aid.  The City of Columbus was dismissed from case based on municipal immunity. </w:t>
      </w:r>
      <w:hyperlink r:id="rId2154" w:history="1">
        <w:r w:rsidRPr="007C1F1F">
          <w:rPr>
            <w:rStyle w:val="Hyperlink"/>
            <w:rFonts w:ascii="Times New Roman" w:hAnsi="Times New Roman"/>
            <w:sz w:val="24"/>
            <w:szCs w:val="24"/>
            <w:shd w:val="clear" w:color="auto" w:fill="FFFFFF"/>
          </w:rPr>
          <w:t>https://www.opn.ca6.uscourts.gov/opinions.pdf/24a0095p-06.pdf</w:t>
        </w:r>
      </w:hyperlink>
      <w:r w:rsidRPr="009B4A97">
        <w:rPr>
          <w:rFonts w:ascii="Times New Roman" w:hAnsi="Times New Roman"/>
          <w:color w:val="454545"/>
          <w:sz w:val="24"/>
          <w:szCs w:val="24"/>
          <w:shd w:val="clear" w:color="auto" w:fill="FFFFFF"/>
        </w:rPr>
        <w:t xml:space="preserve"> </w:t>
      </w:r>
    </w:p>
    <w:p w14:paraId="59A948F4" w14:textId="77777777" w:rsidR="001C2F88" w:rsidRDefault="001C2F88" w:rsidP="001C2F88">
      <w:pPr>
        <w:pStyle w:val="NormalWeb"/>
        <w:ind w:left="720"/>
      </w:pPr>
      <w:r w:rsidRPr="00B12AE6">
        <w:t xml:space="preserve">The Court referenced the infamous case where Cincinnati PD </w:t>
      </w:r>
      <w:r>
        <w:t xml:space="preserve">on Nov. 30, </w:t>
      </w:r>
      <w:proofErr w:type="gramStart"/>
      <w:r>
        <w:t>2003</w:t>
      </w:r>
      <w:proofErr w:type="gramEnd"/>
      <w:r>
        <w:t xml:space="preserve"> responded </w:t>
      </w:r>
      <w:proofErr w:type="gramStart"/>
      <w:r>
        <w:t>at</w:t>
      </w:r>
      <w:proofErr w:type="gramEnd"/>
      <w:r>
        <w:t xml:space="preserve"> FD request to White Castle where 350-pound Nataniel Jones was acting erratically. The violent struggle resulting in his death was recorded and video shown nationwide by many news outlets. </w:t>
      </w:r>
      <w:hyperlink r:id="rId2155" w:history="1">
        <w:r w:rsidRPr="00466FE4">
          <w:rPr>
            <w:rStyle w:val="Hyperlink"/>
          </w:rPr>
          <w:t>https://www.youtube.com/watch?v=o3-MrFOLXFs</w:t>
        </w:r>
      </w:hyperlink>
      <w:r>
        <w:t xml:space="preserve">.  The Fire Engine that had arrived first left the scene and returned to quarters.  </w:t>
      </w:r>
    </w:p>
    <w:p w14:paraId="4E6091BB" w14:textId="77777777" w:rsidR="001C2F88" w:rsidRPr="0019507E" w:rsidRDefault="001C2F88" w:rsidP="001C2F88">
      <w:pPr>
        <w:pStyle w:val="NoSpacing"/>
        <w:ind w:firstLine="720"/>
        <w:rPr>
          <w:rFonts w:ascii="Times New Roman" w:hAnsi="Times New Roman"/>
          <w:sz w:val="24"/>
          <w:szCs w:val="24"/>
        </w:rPr>
      </w:pPr>
      <w:r>
        <w:rPr>
          <w:rFonts w:ascii="Times New Roman" w:hAnsi="Times New Roman"/>
          <w:sz w:val="24"/>
          <w:szCs w:val="24"/>
        </w:rPr>
        <w:t>“</w:t>
      </w:r>
      <w:r w:rsidRPr="0019507E">
        <w:rPr>
          <w:rFonts w:ascii="Times New Roman" w:hAnsi="Times New Roman"/>
          <w:sz w:val="24"/>
          <w:szCs w:val="24"/>
        </w:rPr>
        <w:t>Officers Pike and Slade sprayed chemical irritant in Jones’s face while he was prone in</w:t>
      </w:r>
    </w:p>
    <w:p w14:paraId="69C38BA5" w14:textId="77777777" w:rsidR="001C2F88" w:rsidRPr="0019507E" w:rsidRDefault="001C2F88" w:rsidP="001C2F88">
      <w:pPr>
        <w:pStyle w:val="NoSpacing"/>
        <w:ind w:left="720"/>
        <w:rPr>
          <w:rFonts w:ascii="Times New Roman" w:hAnsi="Times New Roman"/>
          <w:sz w:val="24"/>
          <w:szCs w:val="24"/>
        </w:rPr>
      </w:pPr>
      <w:proofErr w:type="gramStart"/>
      <w:r w:rsidRPr="0019507E">
        <w:rPr>
          <w:rFonts w:ascii="Times New Roman" w:hAnsi="Times New Roman"/>
          <w:sz w:val="24"/>
          <w:szCs w:val="24"/>
        </w:rPr>
        <w:t>handcuffs and while</w:t>
      </w:r>
      <w:proofErr w:type="gramEnd"/>
      <w:r w:rsidRPr="0019507E">
        <w:rPr>
          <w:rFonts w:ascii="Times New Roman" w:hAnsi="Times New Roman"/>
          <w:sz w:val="24"/>
          <w:szCs w:val="24"/>
        </w:rPr>
        <w:t xml:space="preserve"> officers Pike, Osterman, Abrams, Reese, Slade, and Jay Johnstone used their</w:t>
      </w:r>
      <w:r>
        <w:rPr>
          <w:rFonts w:ascii="Times New Roman" w:hAnsi="Times New Roman"/>
          <w:sz w:val="24"/>
          <w:szCs w:val="24"/>
        </w:rPr>
        <w:t xml:space="preserve"> </w:t>
      </w:r>
      <w:r w:rsidRPr="0019507E">
        <w:rPr>
          <w:rFonts w:ascii="Times New Roman" w:hAnsi="Times New Roman"/>
          <w:sz w:val="24"/>
          <w:szCs w:val="24"/>
        </w:rPr>
        <w:t>combined weight to hold him down. Their weight restricted the movement of Jones’s diaphragm</w:t>
      </w:r>
      <w:r>
        <w:rPr>
          <w:rFonts w:ascii="Times New Roman" w:hAnsi="Times New Roman"/>
          <w:sz w:val="24"/>
          <w:szCs w:val="24"/>
        </w:rPr>
        <w:t xml:space="preserve"> </w:t>
      </w:r>
      <w:r w:rsidRPr="0019507E">
        <w:rPr>
          <w:rFonts w:ascii="Times New Roman" w:hAnsi="Times New Roman"/>
          <w:sz w:val="24"/>
          <w:szCs w:val="24"/>
        </w:rPr>
        <w:t xml:space="preserve">and made it difficult for him to breathe. Jones struggled to twist his body under the officers </w:t>
      </w:r>
      <w:proofErr w:type="gramStart"/>
      <w:r w:rsidRPr="0019507E">
        <w:rPr>
          <w:rFonts w:ascii="Times New Roman" w:hAnsi="Times New Roman"/>
          <w:sz w:val="24"/>
          <w:szCs w:val="24"/>
        </w:rPr>
        <w:t>in an</w:t>
      </w:r>
      <w:r>
        <w:rPr>
          <w:rFonts w:ascii="Times New Roman" w:hAnsi="Times New Roman"/>
          <w:sz w:val="24"/>
          <w:szCs w:val="24"/>
        </w:rPr>
        <w:t xml:space="preserve"> </w:t>
      </w:r>
      <w:r w:rsidRPr="0019507E">
        <w:rPr>
          <w:rFonts w:ascii="Times New Roman" w:hAnsi="Times New Roman"/>
          <w:sz w:val="24"/>
          <w:szCs w:val="24"/>
        </w:rPr>
        <w:t>attempt to</w:t>
      </w:r>
      <w:proofErr w:type="gramEnd"/>
      <w:r w:rsidRPr="0019507E">
        <w:rPr>
          <w:rFonts w:ascii="Times New Roman" w:hAnsi="Times New Roman"/>
          <w:sz w:val="24"/>
          <w:szCs w:val="24"/>
        </w:rPr>
        <w:t xml:space="preserve"> breathe. In response, the officers pressed down on him even harder. Once they had</w:t>
      </w:r>
      <w:r>
        <w:rPr>
          <w:rFonts w:ascii="Times New Roman" w:hAnsi="Times New Roman"/>
          <w:sz w:val="24"/>
          <w:szCs w:val="24"/>
        </w:rPr>
        <w:t xml:space="preserve"> </w:t>
      </w:r>
      <w:r w:rsidRPr="0019507E">
        <w:rPr>
          <w:rFonts w:ascii="Times New Roman" w:hAnsi="Times New Roman"/>
          <w:sz w:val="24"/>
          <w:szCs w:val="24"/>
        </w:rPr>
        <w:t>subdued Jones, they left him face down on the ground handcuffed behind his back for a prolonged</w:t>
      </w:r>
      <w:r>
        <w:rPr>
          <w:rFonts w:ascii="Times New Roman" w:hAnsi="Times New Roman"/>
          <w:sz w:val="24"/>
          <w:szCs w:val="24"/>
        </w:rPr>
        <w:t xml:space="preserve"> </w:t>
      </w:r>
      <w:proofErr w:type="gramStart"/>
      <w:r w:rsidRPr="0019507E">
        <w:rPr>
          <w:rFonts w:ascii="Times New Roman" w:hAnsi="Times New Roman"/>
          <w:sz w:val="24"/>
          <w:szCs w:val="24"/>
        </w:rPr>
        <w:t>period of time</w:t>
      </w:r>
      <w:proofErr w:type="gramEnd"/>
      <w:r w:rsidRPr="0019507E">
        <w:rPr>
          <w:rFonts w:ascii="Times New Roman" w:hAnsi="Times New Roman"/>
          <w:sz w:val="24"/>
          <w:szCs w:val="24"/>
        </w:rPr>
        <w:t>. During this time, Jones stopped breathing; all the officers knew it. Reese saw Jones</w:t>
      </w:r>
      <w:r>
        <w:rPr>
          <w:rFonts w:ascii="Times New Roman" w:hAnsi="Times New Roman"/>
          <w:sz w:val="24"/>
          <w:szCs w:val="24"/>
        </w:rPr>
        <w:t xml:space="preserve"> </w:t>
      </w:r>
      <w:r w:rsidRPr="0019507E">
        <w:rPr>
          <w:rFonts w:ascii="Times New Roman" w:hAnsi="Times New Roman"/>
          <w:sz w:val="24"/>
          <w:szCs w:val="24"/>
        </w:rPr>
        <w:t>changing color. Johnstone, Reese, and Abrams knew that a suspect lying face down risked</w:t>
      </w:r>
      <w:r>
        <w:rPr>
          <w:rFonts w:ascii="Times New Roman" w:hAnsi="Times New Roman"/>
          <w:sz w:val="24"/>
          <w:szCs w:val="24"/>
        </w:rPr>
        <w:t xml:space="preserve"> </w:t>
      </w:r>
      <w:r w:rsidRPr="0019507E">
        <w:rPr>
          <w:rFonts w:ascii="Times New Roman" w:hAnsi="Times New Roman"/>
          <w:sz w:val="24"/>
          <w:szCs w:val="24"/>
        </w:rPr>
        <w:t>positional asphyxia (difficulty breathing due to one’s posture or position). None of the officers</w:t>
      </w:r>
      <w:r>
        <w:rPr>
          <w:rFonts w:ascii="Times New Roman" w:hAnsi="Times New Roman"/>
          <w:sz w:val="24"/>
          <w:szCs w:val="24"/>
        </w:rPr>
        <w:t xml:space="preserve"> </w:t>
      </w:r>
      <w:r w:rsidRPr="0019507E">
        <w:rPr>
          <w:rFonts w:ascii="Times New Roman" w:hAnsi="Times New Roman"/>
          <w:sz w:val="24"/>
          <w:szCs w:val="24"/>
        </w:rPr>
        <w:t>provided mouth-to-mouth resuscitation or other respiratory aid. Instead, they stood there and</w:t>
      </w:r>
    </w:p>
    <w:p w14:paraId="0DD13B8B" w14:textId="77777777" w:rsidR="001C2F88" w:rsidRPr="0019507E" w:rsidRDefault="001C2F88" w:rsidP="001C2F88">
      <w:pPr>
        <w:pStyle w:val="NoSpacing"/>
        <w:ind w:left="720"/>
        <w:rPr>
          <w:rFonts w:ascii="Times New Roman" w:hAnsi="Times New Roman"/>
          <w:sz w:val="24"/>
          <w:szCs w:val="24"/>
        </w:rPr>
      </w:pPr>
      <w:r w:rsidRPr="0019507E">
        <w:rPr>
          <w:rFonts w:ascii="Times New Roman" w:hAnsi="Times New Roman"/>
          <w:sz w:val="24"/>
          <w:szCs w:val="24"/>
        </w:rPr>
        <w:lastRenderedPageBreak/>
        <w:t>discussed the absence of fire personnel.</w:t>
      </w:r>
      <w:r>
        <w:rPr>
          <w:rFonts w:ascii="Times New Roman" w:hAnsi="Times New Roman"/>
          <w:sz w:val="24"/>
          <w:szCs w:val="24"/>
        </w:rPr>
        <w:t xml:space="preserve">” </w:t>
      </w:r>
      <w:r>
        <w:t xml:space="preserve">   </w:t>
      </w:r>
      <w:r w:rsidRPr="000A46A1">
        <w:rPr>
          <w:rFonts w:ascii="Times New Roman" w:hAnsi="Times New Roman"/>
          <w:sz w:val="24"/>
          <w:szCs w:val="24"/>
          <w:u w:val="single"/>
        </w:rPr>
        <w:t>Jones v. City of Cincinnati</w:t>
      </w:r>
      <w:r w:rsidRPr="000A46A1">
        <w:rPr>
          <w:rFonts w:ascii="Times New Roman" w:hAnsi="Times New Roman"/>
          <w:sz w:val="24"/>
          <w:szCs w:val="24"/>
        </w:rPr>
        <w:t xml:space="preserve">,  </w:t>
      </w:r>
      <w:r w:rsidRPr="000A46A1">
        <w:rPr>
          <w:rFonts w:ascii="Times New Roman" w:hAnsi="Times New Roman"/>
          <w:color w:val="454545"/>
          <w:sz w:val="24"/>
          <w:szCs w:val="24"/>
        </w:rPr>
        <w:t>521 F.3d 555, 558 (6th Cir. 2008)</w:t>
      </w:r>
      <w:r>
        <w:rPr>
          <w:rFonts w:ascii="Times New Roman" w:hAnsi="Times New Roman"/>
          <w:color w:val="454545"/>
          <w:sz w:val="24"/>
          <w:szCs w:val="24"/>
        </w:rPr>
        <w:t xml:space="preserve">; </w:t>
      </w:r>
      <w:hyperlink r:id="rId2156" w:history="1">
        <w:r w:rsidRPr="007C1F1F">
          <w:rPr>
            <w:rStyle w:val="Hyperlink"/>
            <w:rFonts w:ascii="Times New Roman" w:hAnsi="Times New Roman"/>
            <w:sz w:val="24"/>
            <w:szCs w:val="24"/>
          </w:rPr>
          <w:t>http://www.opn.ca6.uscourts.gov/opinions.pdf/08a0140p-06.pdf</w:t>
        </w:r>
      </w:hyperlink>
      <w:r w:rsidRPr="0019507E">
        <w:rPr>
          <w:rFonts w:ascii="Times New Roman" w:hAnsi="Times New Roman"/>
          <w:sz w:val="24"/>
          <w:szCs w:val="24"/>
        </w:rPr>
        <w:t xml:space="preserve"> . </w:t>
      </w:r>
    </w:p>
    <w:p w14:paraId="2EE60DFA" w14:textId="77777777" w:rsidR="001C2F88" w:rsidRDefault="001C2F88" w:rsidP="001C2F88">
      <w:pPr>
        <w:pStyle w:val="NoSpacing"/>
        <w:rPr>
          <w:rFonts w:ascii="Times New Roman" w:hAnsi="Times New Roman"/>
          <w:sz w:val="24"/>
          <w:szCs w:val="24"/>
        </w:rPr>
      </w:pPr>
    </w:p>
    <w:p w14:paraId="4AB2F86D" w14:textId="77777777" w:rsidR="001C2F88" w:rsidRPr="0019507E" w:rsidRDefault="001C2F88" w:rsidP="001C2F88">
      <w:pPr>
        <w:pStyle w:val="NoSpacing"/>
        <w:ind w:left="720"/>
        <w:rPr>
          <w:rFonts w:ascii="Times New Roman" w:hAnsi="Times New Roman"/>
          <w:sz w:val="24"/>
          <w:szCs w:val="24"/>
        </w:rPr>
      </w:pPr>
      <w:r w:rsidRPr="0019507E">
        <w:rPr>
          <w:rFonts w:ascii="Times New Roman" w:hAnsi="Times New Roman"/>
          <w:sz w:val="24"/>
          <w:szCs w:val="24"/>
        </w:rPr>
        <w:t xml:space="preserve">See also:  “Coroner: Man had enlarged heart, drugs in system.” </w:t>
      </w:r>
      <w:hyperlink r:id="rId2157" w:history="1">
        <w:r w:rsidRPr="007C1F1F">
          <w:rPr>
            <w:rStyle w:val="Hyperlink"/>
            <w:rFonts w:ascii="Times New Roman" w:hAnsi="Times New Roman"/>
            <w:sz w:val="24"/>
            <w:szCs w:val="24"/>
          </w:rPr>
          <w:t>https://www.cnn.com/2003/US/Midwest/12/01/died.in.custody/index.html</w:t>
        </w:r>
      </w:hyperlink>
      <w:r w:rsidRPr="0019507E">
        <w:rPr>
          <w:rFonts w:ascii="Times New Roman" w:hAnsi="Times New Roman"/>
          <w:sz w:val="24"/>
          <w:szCs w:val="24"/>
        </w:rPr>
        <w:t xml:space="preserve"> </w:t>
      </w:r>
    </w:p>
    <w:p w14:paraId="4EF147D0" w14:textId="77777777" w:rsidR="001C2F88" w:rsidRDefault="001C2F88" w:rsidP="001C2F88">
      <w:pPr>
        <w:pStyle w:val="NormalWeb"/>
      </w:pPr>
      <w:r>
        <w:t>COURT HELD IN COLUMBUS CASE:</w:t>
      </w:r>
    </w:p>
    <w:p w14:paraId="195CC4B7" w14:textId="77777777" w:rsidR="001C2F88" w:rsidRDefault="001C2F88" w:rsidP="001C2F88">
      <w:pPr>
        <w:pStyle w:val="NoSpacing"/>
        <w:ind w:left="720"/>
        <w:rPr>
          <w:rFonts w:ascii="Times New Roman" w:hAnsi="Times New Roman"/>
          <w:sz w:val="24"/>
          <w:szCs w:val="24"/>
        </w:rPr>
      </w:pPr>
      <w:r>
        <w:rPr>
          <w:rFonts w:ascii="Times New Roman" w:hAnsi="Times New Roman"/>
          <w:sz w:val="24"/>
          <w:szCs w:val="24"/>
        </w:rPr>
        <w:t>[EXCESSIVE FORCE CLAIM.] “</w:t>
      </w:r>
      <w:r w:rsidRPr="001E1BB7">
        <w:rPr>
          <w:rFonts w:ascii="Times New Roman" w:hAnsi="Times New Roman"/>
          <w:sz w:val="24"/>
          <w:szCs w:val="24"/>
        </w:rPr>
        <w:t>First, Officer Bowers asks us</w:t>
      </w:r>
      <w:r>
        <w:rPr>
          <w:rFonts w:ascii="Times New Roman" w:hAnsi="Times New Roman"/>
          <w:sz w:val="24"/>
          <w:szCs w:val="24"/>
        </w:rPr>
        <w:t xml:space="preserve"> </w:t>
      </w:r>
      <w:r w:rsidRPr="001E1BB7">
        <w:rPr>
          <w:rFonts w:ascii="Times New Roman" w:hAnsi="Times New Roman"/>
          <w:sz w:val="24"/>
          <w:szCs w:val="24"/>
        </w:rPr>
        <w:t>to focus on the parts of the video which show Mr. Heeter was not following the officers’</w:t>
      </w:r>
      <w:r>
        <w:rPr>
          <w:rFonts w:ascii="Times New Roman" w:hAnsi="Times New Roman"/>
          <w:sz w:val="24"/>
          <w:szCs w:val="24"/>
        </w:rPr>
        <w:t xml:space="preserve"> </w:t>
      </w:r>
      <w:r w:rsidRPr="001E1BB7">
        <w:rPr>
          <w:rFonts w:ascii="Times New Roman" w:hAnsi="Times New Roman"/>
          <w:sz w:val="24"/>
          <w:szCs w:val="24"/>
        </w:rPr>
        <w:t>commands to exit the house, to put his gun down, or to raise his hands. Mr. Heeter’s</w:t>
      </w:r>
      <w:r>
        <w:rPr>
          <w:rFonts w:ascii="Times New Roman" w:hAnsi="Times New Roman"/>
          <w:sz w:val="24"/>
          <w:szCs w:val="24"/>
        </w:rPr>
        <w:t xml:space="preserve"> </w:t>
      </w:r>
      <w:r w:rsidRPr="001E1BB7">
        <w:rPr>
          <w:rFonts w:ascii="Times New Roman" w:hAnsi="Times New Roman"/>
          <w:sz w:val="24"/>
          <w:szCs w:val="24"/>
        </w:rPr>
        <w:t xml:space="preserve">disobedience and words of frustration that the group of armed officers in his home were </w:t>
      </w:r>
      <w:r>
        <w:rPr>
          <w:rFonts w:ascii="Times New Roman" w:hAnsi="Times New Roman"/>
          <w:sz w:val="24"/>
          <w:szCs w:val="24"/>
        </w:rPr>
        <w:t>‘</w:t>
      </w:r>
      <w:r w:rsidRPr="001E1BB7">
        <w:rPr>
          <w:rFonts w:ascii="Times New Roman" w:hAnsi="Times New Roman"/>
          <w:sz w:val="24"/>
          <w:szCs w:val="24"/>
        </w:rPr>
        <w:t>really</w:t>
      </w:r>
      <w:r>
        <w:rPr>
          <w:rFonts w:ascii="Times New Roman" w:hAnsi="Times New Roman"/>
          <w:sz w:val="24"/>
          <w:szCs w:val="24"/>
        </w:rPr>
        <w:t xml:space="preserve"> </w:t>
      </w:r>
      <w:r w:rsidRPr="001E1BB7">
        <w:rPr>
          <w:rFonts w:ascii="Times New Roman" w:hAnsi="Times New Roman"/>
          <w:sz w:val="24"/>
          <w:szCs w:val="24"/>
        </w:rPr>
        <w:t>starting to piss [him] off</w:t>
      </w:r>
      <w:r>
        <w:rPr>
          <w:rFonts w:ascii="Times New Roman" w:hAnsi="Times New Roman"/>
          <w:sz w:val="24"/>
          <w:szCs w:val="24"/>
        </w:rPr>
        <w:t>’</w:t>
      </w:r>
      <w:r w:rsidRPr="001E1BB7">
        <w:rPr>
          <w:rFonts w:ascii="Times New Roman" w:hAnsi="Times New Roman"/>
          <w:sz w:val="24"/>
          <w:szCs w:val="24"/>
        </w:rPr>
        <w:t xml:space="preserve"> indicated that the situation was tense. Redding Footage at 10:45–10:50. But </w:t>
      </w:r>
      <w:r>
        <w:rPr>
          <w:rFonts w:ascii="Times New Roman" w:hAnsi="Times New Roman"/>
          <w:sz w:val="24"/>
          <w:szCs w:val="24"/>
        </w:rPr>
        <w:t>‘</w:t>
      </w:r>
      <w:r w:rsidRPr="001E1BB7">
        <w:rPr>
          <w:rFonts w:ascii="Times New Roman" w:hAnsi="Times New Roman"/>
          <w:sz w:val="24"/>
          <w:szCs w:val="24"/>
        </w:rPr>
        <w:t>the mere failure of a citizen—not arrested for any crime—to follow the officer’s</w:t>
      </w:r>
      <w:r>
        <w:rPr>
          <w:rFonts w:ascii="Times New Roman" w:hAnsi="Times New Roman"/>
          <w:sz w:val="24"/>
          <w:szCs w:val="24"/>
        </w:rPr>
        <w:t xml:space="preserve"> </w:t>
      </w:r>
      <w:r w:rsidRPr="001E1BB7">
        <w:rPr>
          <w:rFonts w:ascii="Times New Roman" w:hAnsi="Times New Roman"/>
          <w:sz w:val="24"/>
          <w:szCs w:val="24"/>
        </w:rPr>
        <w:t>commands</w:t>
      </w:r>
      <w:r>
        <w:rPr>
          <w:rFonts w:ascii="Times New Roman" w:hAnsi="Times New Roman"/>
          <w:sz w:val="24"/>
          <w:szCs w:val="24"/>
        </w:rPr>
        <w:t>’</w:t>
      </w:r>
      <w:r w:rsidRPr="001E1BB7">
        <w:rPr>
          <w:rFonts w:ascii="Times New Roman" w:hAnsi="Times New Roman"/>
          <w:sz w:val="24"/>
          <w:szCs w:val="24"/>
        </w:rPr>
        <w:t xml:space="preserve"> does not give the officer probable cause to use deadly force against him. </w:t>
      </w:r>
    </w:p>
    <w:p w14:paraId="16F36544" w14:textId="77777777" w:rsidR="001C2F88" w:rsidRDefault="001C2F88" w:rsidP="001C2F88">
      <w:pPr>
        <w:pStyle w:val="NoSpacing"/>
        <w:ind w:left="720"/>
        <w:rPr>
          <w:rFonts w:ascii="Times New Roman" w:hAnsi="Times New Roman"/>
          <w:sz w:val="24"/>
          <w:szCs w:val="24"/>
        </w:rPr>
      </w:pPr>
      <w:r>
        <w:rPr>
          <w:rFonts w:ascii="Times New Roman" w:hAnsi="Times New Roman"/>
          <w:sz w:val="24"/>
          <w:szCs w:val="24"/>
        </w:rPr>
        <w:t>***</w:t>
      </w:r>
    </w:p>
    <w:p w14:paraId="1280B1CE" w14:textId="77777777" w:rsidR="001C2F88" w:rsidRDefault="001C2F88" w:rsidP="001C2F88">
      <w:pPr>
        <w:pStyle w:val="NoSpacing"/>
        <w:ind w:firstLine="720"/>
        <w:rPr>
          <w:rFonts w:ascii="Times New Roman" w:hAnsi="Times New Roman"/>
          <w:sz w:val="24"/>
          <w:szCs w:val="24"/>
        </w:rPr>
      </w:pPr>
    </w:p>
    <w:p w14:paraId="6E31E5FA" w14:textId="77777777" w:rsidR="001C2F88" w:rsidRDefault="001C2F88" w:rsidP="001C2F88">
      <w:pPr>
        <w:pStyle w:val="NoSpacing"/>
        <w:ind w:firstLine="720"/>
        <w:rPr>
          <w:rFonts w:ascii="Times New Roman" w:hAnsi="Times New Roman"/>
          <w:sz w:val="24"/>
          <w:szCs w:val="24"/>
        </w:rPr>
      </w:pPr>
    </w:p>
    <w:p w14:paraId="0B50A63A" w14:textId="77777777" w:rsidR="001C2F88" w:rsidRDefault="001C2F88" w:rsidP="001C2F88">
      <w:pPr>
        <w:pStyle w:val="NoSpacing"/>
        <w:ind w:left="720"/>
        <w:rPr>
          <w:rFonts w:ascii="Times New Roman" w:hAnsi="Times New Roman"/>
          <w:sz w:val="24"/>
          <w:szCs w:val="24"/>
        </w:rPr>
      </w:pPr>
      <w:r>
        <w:rPr>
          <w:rFonts w:ascii="Times New Roman" w:hAnsi="Times New Roman"/>
          <w:sz w:val="24"/>
          <w:szCs w:val="24"/>
        </w:rPr>
        <w:t>[FAILURE TO PROVIDE FIRST AID CLAIM.] “</w:t>
      </w:r>
      <w:r w:rsidRPr="005124E7">
        <w:rPr>
          <w:rFonts w:ascii="Times New Roman" w:hAnsi="Times New Roman"/>
          <w:sz w:val="24"/>
          <w:szCs w:val="24"/>
        </w:rPr>
        <w:t>To summarize, it is undisputed that Officer Bowers focused on ordering an officer to</w:t>
      </w:r>
      <w:r>
        <w:rPr>
          <w:rFonts w:ascii="Times New Roman" w:hAnsi="Times New Roman"/>
          <w:sz w:val="24"/>
          <w:szCs w:val="24"/>
        </w:rPr>
        <w:t xml:space="preserve"> </w:t>
      </w:r>
      <w:r w:rsidRPr="005124E7">
        <w:rPr>
          <w:rFonts w:ascii="Times New Roman" w:hAnsi="Times New Roman"/>
          <w:sz w:val="24"/>
          <w:szCs w:val="24"/>
        </w:rPr>
        <w:t>handcuff Mr. Heeter, then stood idle as Mr. Heeter bled out, moaned, and struggled to breathe.</w:t>
      </w:r>
      <w:r>
        <w:rPr>
          <w:rFonts w:ascii="Times New Roman" w:hAnsi="Times New Roman"/>
          <w:sz w:val="24"/>
          <w:szCs w:val="24"/>
        </w:rPr>
        <w:t xml:space="preserve"> </w:t>
      </w:r>
      <w:r w:rsidRPr="005124E7">
        <w:rPr>
          <w:rFonts w:ascii="Times New Roman" w:hAnsi="Times New Roman"/>
          <w:sz w:val="24"/>
          <w:szCs w:val="24"/>
        </w:rPr>
        <w:t>A reasonable jury could find that Mr. Heeter’s critical injury called for immediate first aid before</w:t>
      </w:r>
      <w:r>
        <w:rPr>
          <w:rFonts w:ascii="Times New Roman" w:hAnsi="Times New Roman"/>
          <w:sz w:val="24"/>
          <w:szCs w:val="24"/>
        </w:rPr>
        <w:t xml:space="preserve"> </w:t>
      </w:r>
      <w:r w:rsidRPr="005124E7">
        <w:rPr>
          <w:rFonts w:ascii="Times New Roman" w:hAnsi="Times New Roman"/>
          <w:sz w:val="24"/>
          <w:szCs w:val="24"/>
        </w:rPr>
        <w:t>professional paramedics arrived, and that Officer Bowers—trained in first aid and unoccupied by</w:t>
      </w:r>
      <w:r>
        <w:rPr>
          <w:rFonts w:ascii="Times New Roman" w:hAnsi="Times New Roman"/>
          <w:sz w:val="24"/>
          <w:szCs w:val="24"/>
        </w:rPr>
        <w:t xml:space="preserve"> </w:t>
      </w:r>
      <w:r w:rsidRPr="005124E7">
        <w:rPr>
          <w:rFonts w:ascii="Times New Roman" w:hAnsi="Times New Roman"/>
          <w:sz w:val="24"/>
          <w:szCs w:val="24"/>
        </w:rPr>
        <w:t>police duties—could and should have rendered that care. Therefore, a reasonable jury could find</w:t>
      </w:r>
      <w:r>
        <w:rPr>
          <w:rFonts w:ascii="Times New Roman" w:hAnsi="Times New Roman"/>
          <w:sz w:val="24"/>
          <w:szCs w:val="24"/>
        </w:rPr>
        <w:t xml:space="preserve"> </w:t>
      </w:r>
      <w:r w:rsidRPr="005124E7">
        <w:rPr>
          <w:rFonts w:ascii="Times New Roman" w:hAnsi="Times New Roman"/>
          <w:sz w:val="24"/>
          <w:szCs w:val="24"/>
        </w:rPr>
        <w:t xml:space="preserve">Officer Bowers violated Mr. Heeter’s Fourteenth Amendment right to adequate medical </w:t>
      </w:r>
      <w:proofErr w:type="gramStart"/>
      <w:r w:rsidRPr="005124E7">
        <w:rPr>
          <w:rFonts w:ascii="Times New Roman" w:hAnsi="Times New Roman"/>
          <w:sz w:val="24"/>
          <w:szCs w:val="24"/>
        </w:rPr>
        <w:t>care.</w:t>
      </w:r>
      <w:r>
        <w:rPr>
          <w:rFonts w:ascii="Times New Roman" w:hAnsi="Times New Roman"/>
          <w:sz w:val="24"/>
          <w:szCs w:val="24"/>
        </w:rPr>
        <w:t>”</w:t>
      </w:r>
      <w:proofErr w:type="gramEnd"/>
    </w:p>
    <w:p w14:paraId="3005C308" w14:textId="77777777" w:rsidR="001C2F88" w:rsidRDefault="001C2F88" w:rsidP="001C2F88">
      <w:pPr>
        <w:pStyle w:val="NoSpacing"/>
        <w:ind w:left="720"/>
        <w:rPr>
          <w:rFonts w:ascii="Times New Roman" w:hAnsi="Times New Roman"/>
          <w:sz w:val="24"/>
          <w:szCs w:val="24"/>
        </w:rPr>
      </w:pPr>
    </w:p>
    <w:p w14:paraId="6817DA14" w14:textId="77777777" w:rsidR="001C2F88" w:rsidRDefault="001C2F88" w:rsidP="001C2F88">
      <w:pPr>
        <w:pStyle w:val="NoSpacing"/>
        <w:ind w:left="720"/>
        <w:rPr>
          <w:rFonts w:ascii="Times New Roman" w:hAnsi="Times New Roman"/>
          <w:sz w:val="24"/>
          <w:szCs w:val="24"/>
        </w:rPr>
      </w:pPr>
      <w:r>
        <w:rPr>
          <w:rFonts w:ascii="Times New Roman" w:hAnsi="Times New Roman"/>
          <w:sz w:val="24"/>
          <w:szCs w:val="24"/>
        </w:rPr>
        <w:t>***</w:t>
      </w:r>
    </w:p>
    <w:p w14:paraId="761618BD" w14:textId="77777777" w:rsidR="001C2F88" w:rsidRDefault="001C2F88" w:rsidP="001C2F88">
      <w:pPr>
        <w:pStyle w:val="NoSpacing"/>
        <w:ind w:firstLine="720"/>
        <w:rPr>
          <w:rFonts w:ascii="Times New Roman" w:hAnsi="Times New Roman"/>
          <w:sz w:val="24"/>
          <w:szCs w:val="24"/>
        </w:rPr>
      </w:pPr>
    </w:p>
    <w:p w14:paraId="48C004F1" w14:textId="77777777" w:rsidR="001C2F88" w:rsidRDefault="001C2F88" w:rsidP="001C2F88">
      <w:pPr>
        <w:pStyle w:val="NoSpacing"/>
        <w:ind w:left="720"/>
        <w:rPr>
          <w:rStyle w:val="Hyperlink"/>
          <w:rFonts w:ascii="Times New Roman" w:hAnsi="Times New Roman"/>
          <w:sz w:val="24"/>
          <w:szCs w:val="24"/>
        </w:rPr>
      </w:pPr>
      <w:r w:rsidRPr="009B0945">
        <w:rPr>
          <w:rFonts w:ascii="Times New Roman" w:hAnsi="Times New Roman"/>
          <w:color w:val="454545"/>
          <w:sz w:val="24"/>
          <w:szCs w:val="24"/>
        </w:rPr>
        <w:t>In </w:t>
      </w:r>
      <w:r w:rsidRPr="009B0945">
        <w:rPr>
          <w:rStyle w:val="Emphasis"/>
          <w:rFonts w:ascii="Times New Roman" w:eastAsiaTheme="majorEastAsia" w:hAnsi="Times New Roman"/>
          <w:color w:val="454545"/>
          <w:sz w:val="24"/>
          <w:szCs w:val="24"/>
        </w:rPr>
        <w:t>Jones v. City of Cincinnati</w:t>
      </w:r>
      <w:r w:rsidRPr="009B0945">
        <w:rPr>
          <w:rFonts w:ascii="Times New Roman" w:hAnsi="Times New Roman"/>
          <w:color w:val="454545"/>
          <w:sz w:val="24"/>
          <w:szCs w:val="24"/>
        </w:rPr>
        <w:t>, a police sergeant arrived at a scene to find a detainee lying face down and not breathing; other responding officers had subdued and asphyxiated him. 521 F.3d 555, 558 (6th Cir. 2008).</w:t>
      </w:r>
      <w:r>
        <w:rPr>
          <w:rFonts w:ascii="Times New Roman" w:hAnsi="Times New Roman"/>
          <w:color w:val="454545"/>
          <w:sz w:val="24"/>
          <w:szCs w:val="24"/>
        </w:rPr>
        <w:t xml:space="preserve">” </w:t>
      </w:r>
      <w:hyperlink r:id="rId2158" w:history="1">
        <w:r w:rsidRPr="00891F87">
          <w:rPr>
            <w:rStyle w:val="Hyperlink"/>
            <w:rFonts w:ascii="Times New Roman" w:hAnsi="Times New Roman"/>
            <w:sz w:val="24"/>
            <w:szCs w:val="24"/>
          </w:rPr>
          <w:t>http://www.opn.ca6.uscourts.gov/opinions.pdf/08a0140p-06.pdf</w:t>
        </w:r>
      </w:hyperlink>
    </w:p>
    <w:p w14:paraId="098A7C2D" w14:textId="77777777" w:rsidR="001C2F88" w:rsidRDefault="001C2F88" w:rsidP="001C2F88">
      <w:pPr>
        <w:pStyle w:val="NoSpacing"/>
        <w:ind w:left="720"/>
        <w:rPr>
          <w:rFonts w:ascii="Times New Roman" w:hAnsi="Times New Roman"/>
          <w:color w:val="454545"/>
          <w:sz w:val="24"/>
          <w:szCs w:val="24"/>
        </w:rPr>
      </w:pPr>
    </w:p>
    <w:p w14:paraId="20CA9008" w14:textId="77777777" w:rsidR="001C2F88" w:rsidRDefault="001C2F88" w:rsidP="001C2F88">
      <w:pPr>
        <w:pStyle w:val="NoSpacing"/>
        <w:ind w:left="720"/>
        <w:rPr>
          <w:rFonts w:ascii="Times New Roman" w:hAnsi="Times New Roman"/>
          <w:color w:val="454545"/>
          <w:sz w:val="24"/>
          <w:szCs w:val="24"/>
        </w:rPr>
      </w:pPr>
      <w:r>
        <w:rPr>
          <w:rFonts w:ascii="Times New Roman" w:hAnsi="Times New Roman"/>
          <w:color w:val="454545"/>
          <w:sz w:val="24"/>
          <w:szCs w:val="24"/>
        </w:rPr>
        <w:t>***</w:t>
      </w:r>
    </w:p>
    <w:p w14:paraId="160459E7" w14:textId="77777777" w:rsidR="001C2F88" w:rsidRDefault="001C2F88" w:rsidP="001C2F88">
      <w:pPr>
        <w:pStyle w:val="NoSpacing"/>
        <w:ind w:left="720"/>
        <w:rPr>
          <w:rFonts w:ascii="Times New Roman" w:hAnsi="Times New Roman"/>
          <w:color w:val="454545"/>
          <w:sz w:val="24"/>
          <w:szCs w:val="24"/>
        </w:rPr>
      </w:pPr>
    </w:p>
    <w:p w14:paraId="3FF9A1F9" w14:textId="77777777" w:rsidR="001C2F88" w:rsidRPr="00C6276E" w:rsidRDefault="001C2F88" w:rsidP="001C2F88">
      <w:pPr>
        <w:pStyle w:val="NoSpacing"/>
        <w:ind w:left="720"/>
        <w:rPr>
          <w:rFonts w:ascii="Times New Roman" w:hAnsi="Times New Roman"/>
          <w:color w:val="454545"/>
          <w:sz w:val="24"/>
          <w:szCs w:val="24"/>
        </w:rPr>
      </w:pPr>
      <w:r w:rsidRPr="00C6276E">
        <w:rPr>
          <w:rFonts w:ascii="Times New Roman" w:hAnsi="Times New Roman"/>
          <w:color w:val="454545"/>
          <w:sz w:val="24"/>
          <w:szCs w:val="24"/>
        </w:rPr>
        <w:t>The Supreme Court established in 1983 that an officer has an obligation under the Due</w:t>
      </w:r>
    </w:p>
    <w:p w14:paraId="66C7A9FE" w14:textId="77777777" w:rsidR="001C2F88" w:rsidRDefault="001C2F88" w:rsidP="001C2F88">
      <w:pPr>
        <w:pStyle w:val="NoSpacing"/>
        <w:ind w:left="720"/>
        <w:rPr>
          <w:rFonts w:ascii="Times New Roman" w:hAnsi="Times New Roman"/>
          <w:color w:val="454545"/>
          <w:sz w:val="24"/>
          <w:szCs w:val="24"/>
        </w:rPr>
      </w:pPr>
      <w:r w:rsidRPr="00C6276E">
        <w:rPr>
          <w:rFonts w:ascii="Times New Roman" w:hAnsi="Times New Roman"/>
          <w:color w:val="454545"/>
          <w:sz w:val="24"/>
          <w:szCs w:val="24"/>
        </w:rPr>
        <w:t xml:space="preserve">Process Clause to provide adequate medical care </w:t>
      </w:r>
      <w:proofErr w:type="gramStart"/>
      <w:r w:rsidRPr="00C6276E">
        <w:rPr>
          <w:rFonts w:ascii="Times New Roman" w:hAnsi="Times New Roman"/>
          <w:color w:val="454545"/>
          <w:sz w:val="24"/>
          <w:szCs w:val="24"/>
        </w:rPr>
        <w:t>to</w:t>
      </w:r>
      <w:proofErr w:type="gramEnd"/>
      <w:r w:rsidRPr="00C6276E">
        <w:rPr>
          <w:rFonts w:ascii="Times New Roman" w:hAnsi="Times New Roman"/>
          <w:color w:val="454545"/>
          <w:sz w:val="24"/>
          <w:szCs w:val="24"/>
        </w:rPr>
        <w:t xml:space="preserve"> suspects shot during apprehension. City of</w:t>
      </w:r>
      <w:r>
        <w:rPr>
          <w:rFonts w:ascii="Times New Roman" w:hAnsi="Times New Roman"/>
          <w:color w:val="454545"/>
          <w:sz w:val="24"/>
          <w:szCs w:val="24"/>
        </w:rPr>
        <w:t xml:space="preserve"> </w:t>
      </w:r>
      <w:r w:rsidRPr="00C6276E">
        <w:rPr>
          <w:rFonts w:ascii="Times New Roman" w:hAnsi="Times New Roman"/>
          <w:color w:val="454545"/>
          <w:sz w:val="24"/>
          <w:szCs w:val="24"/>
        </w:rPr>
        <w:t>Revere, 463 U.S. at 244. As discussed above, the standard applicable in November 2018</w:t>
      </w:r>
      <w:r>
        <w:rPr>
          <w:rFonts w:ascii="Times New Roman" w:hAnsi="Times New Roman"/>
          <w:color w:val="454545"/>
          <w:sz w:val="24"/>
          <w:szCs w:val="24"/>
        </w:rPr>
        <w:t xml:space="preserve"> [Jones v. City of Cincinnati case] </w:t>
      </w:r>
      <w:r w:rsidRPr="00C6276E">
        <w:rPr>
          <w:rFonts w:ascii="Times New Roman" w:hAnsi="Times New Roman"/>
          <w:color w:val="454545"/>
          <w:sz w:val="24"/>
          <w:szCs w:val="24"/>
        </w:rPr>
        <w:t>required a plaintiff to show an officer knowingly and deliberately disregarded a detainee’s risk of</w:t>
      </w:r>
      <w:r>
        <w:rPr>
          <w:rFonts w:ascii="Times New Roman" w:hAnsi="Times New Roman"/>
          <w:color w:val="454545"/>
          <w:sz w:val="24"/>
          <w:szCs w:val="24"/>
        </w:rPr>
        <w:t xml:space="preserve"> </w:t>
      </w:r>
      <w:r w:rsidRPr="00C6276E">
        <w:rPr>
          <w:rFonts w:ascii="Times New Roman" w:hAnsi="Times New Roman"/>
          <w:color w:val="454545"/>
          <w:sz w:val="24"/>
          <w:szCs w:val="24"/>
        </w:rPr>
        <w:t xml:space="preserve">harm </w:t>
      </w:r>
      <w:proofErr w:type="gramStart"/>
      <w:r w:rsidRPr="00C6276E">
        <w:rPr>
          <w:rFonts w:ascii="Times New Roman" w:hAnsi="Times New Roman"/>
          <w:color w:val="454545"/>
          <w:sz w:val="24"/>
          <w:szCs w:val="24"/>
        </w:rPr>
        <w:t>in order to</w:t>
      </w:r>
      <w:proofErr w:type="gramEnd"/>
      <w:r w:rsidRPr="00C6276E">
        <w:rPr>
          <w:rFonts w:ascii="Times New Roman" w:hAnsi="Times New Roman"/>
          <w:color w:val="454545"/>
          <w:sz w:val="24"/>
          <w:szCs w:val="24"/>
        </w:rPr>
        <w:t xml:space="preserve"> prevail on an adequate medical care claim.</w:t>
      </w:r>
      <w:r>
        <w:rPr>
          <w:rFonts w:ascii="Times New Roman" w:hAnsi="Times New Roman"/>
          <w:color w:val="454545"/>
          <w:sz w:val="24"/>
          <w:szCs w:val="24"/>
        </w:rPr>
        <w:t>”</w:t>
      </w:r>
    </w:p>
    <w:p w14:paraId="14D15BA1" w14:textId="77777777" w:rsidR="001C2F88" w:rsidRDefault="001C2F88" w:rsidP="001C2F88">
      <w:pPr>
        <w:pStyle w:val="NoSpacing"/>
        <w:ind w:left="720"/>
        <w:rPr>
          <w:rFonts w:ascii="Times New Roman" w:hAnsi="Times New Roman"/>
          <w:color w:val="454545"/>
          <w:sz w:val="24"/>
          <w:szCs w:val="24"/>
        </w:rPr>
      </w:pPr>
    </w:p>
    <w:p w14:paraId="3EB4E79C" w14:textId="77777777" w:rsidR="001C2F88" w:rsidRDefault="001C2F88" w:rsidP="001C2F88">
      <w:pPr>
        <w:pStyle w:val="NormalWeb"/>
      </w:pPr>
      <w:r>
        <w:t xml:space="preserve">FACTS: </w:t>
      </w:r>
    </w:p>
    <w:p w14:paraId="3D262762" w14:textId="77777777" w:rsidR="001C2F88" w:rsidRPr="00A94EA2" w:rsidRDefault="001C2F88" w:rsidP="001C2F88">
      <w:pPr>
        <w:pStyle w:val="NoSpacing"/>
        <w:ind w:left="720"/>
        <w:rPr>
          <w:rFonts w:ascii="Times New Roman" w:hAnsi="Times New Roman"/>
          <w:sz w:val="24"/>
          <w:szCs w:val="24"/>
        </w:rPr>
      </w:pPr>
      <w:r>
        <w:rPr>
          <w:rFonts w:ascii="Times New Roman" w:hAnsi="Times New Roman"/>
          <w:sz w:val="24"/>
          <w:szCs w:val="24"/>
        </w:rPr>
        <w:t>“</w:t>
      </w:r>
      <w:r w:rsidRPr="00A94EA2">
        <w:rPr>
          <w:rFonts w:ascii="Times New Roman" w:hAnsi="Times New Roman"/>
          <w:sz w:val="24"/>
          <w:szCs w:val="24"/>
        </w:rPr>
        <w:t>On the morning of November 21, 2018, the day before</w:t>
      </w:r>
      <w:r>
        <w:rPr>
          <w:rFonts w:ascii="Times New Roman" w:hAnsi="Times New Roman"/>
          <w:sz w:val="24"/>
          <w:szCs w:val="24"/>
        </w:rPr>
        <w:t xml:space="preserve"> </w:t>
      </w:r>
      <w:r w:rsidRPr="00A94EA2">
        <w:rPr>
          <w:rFonts w:ascii="Times New Roman" w:hAnsi="Times New Roman"/>
          <w:sz w:val="24"/>
          <w:szCs w:val="24"/>
        </w:rPr>
        <w:t>Thanksgiving, Bill Heeter told his wife Karen he was about to commit suicide. Mr. Heeter’s</w:t>
      </w:r>
      <w:r>
        <w:rPr>
          <w:rFonts w:ascii="Times New Roman" w:hAnsi="Times New Roman"/>
          <w:sz w:val="24"/>
          <w:szCs w:val="24"/>
        </w:rPr>
        <w:t xml:space="preserve"> </w:t>
      </w:r>
      <w:r w:rsidRPr="00A94EA2">
        <w:rPr>
          <w:rFonts w:ascii="Times New Roman" w:hAnsi="Times New Roman"/>
          <w:sz w:val="24"/>
          <w:szCs w:val="24"/>
        </w:rPr>
        <w:t>brother called the police to stop him. At about 10:05 a.m., officers began to arrive at the family’s</w:t>
      </w:r>
      <w:r>
        <w:rPr>
          <w:rFonts w:ascii="Times New Roman" w:hAnsi="Times New Roman"/>
          <w:sz w:val="24"/>
          <w:szCs w:val="24"/>
        </w:rPr>
        <w:t xml:space="preserve"> </w:t>
      </w:r>
      <w:r w:rsidRPr="00A94EA2">
        <w:rPr>
          <w:rFonts w:ascii="Times New Roman" w:hAnsi="Times New Roman"/>
          <w:sz w:val="24"/>
          <w:szCs w:val="24"/>
        </w:rPr>
        <w:t>Columbus, Ohio home. They spotted Mr. Heeter through his kitchen window—he was sitting at</w:t>
      </w:r>
      <w:r>
        <w:rPr>
          <w:rFonts w:ascii="Times New Roman" w:hAnsi="Times New Roman"/>
          <w:sz w:val="24"/>
          <w:szCs w:val="24"/>
        </w:rPr>
        <w:t xml:space="preserve"> </w:t>
      </w:r>
      <w:r w:rsidRPr="00A94EA2">
        <w:rPr>
          <w:rFonts w:ascii="Times New Roman" w:hAnsi="Times New Roman"/>
          <w:sz w:val="24"/>
          <w:szCs w:val="24"/>
        </w:rPr>
        <w:t xml:space="preserve">a table smoking a cigarette, with one hand on his pistol. He told the officers he’d put his </w:t>
      </w:r>
      <w:proofErr w:type="gramStart"/>
      <w:r w:rsidRPr="00A94EA2">
        <w:rPr>
          <w:rFonts w:ascii="Times New Roman" w:hAnsi="Times New Roman"/>
          <w:sz w:val="24"/>
          <w:szCs w:val="24"/>
        </w:rPr>
        <w:t>gun</w:t>
      </w:r>
      <w:proofErr w:type="gramEnd"/>
    </w:p>
    <w:p w14:paraId="7BC1C106" w14:textId="77777777" w:rsidR="001C2F88" w:rsidRDefault="001C2F88" w:rsidP="001C2F88">
      <w:pPr>
        <w:pStyle w:val="NoSpacing"/>
        <w:ind w:left="720"/>
        <w:rPr>
          <w:rFonts w:ascii="Times New Roman" w:hAnsi="Times New Roman"/>
          <w:sz w:val="24"/>
          <w:szCs w:val="24"/>
        </w:rPr>
      </w:pPr>
      <w:r w:rsidRPr="00A94EA2">
        <w:rPr>
          <w:rFonts w:ascii="Times New Roman" w:hAnsi="Times New Roman"/>
          <w:sz w:val="24"/>
          <w:szCs w:val="24"/>
        </w:rPr>
        <w:t>away if they left. At approximately 10:15 a.m., a group of officers entered the house with their</w:t>
      </w:r>
      <w:r>
        <w:rPr>
          <w:rFonts w:ascii="Times New Roman" w:hAnsi="Times New Roman"/>
          <w:sz w:val="24"/>
          <w:szCs w:val="24"/>
        </w:rPr>
        <w:t xml:space="preserve"> </w:t>
      </w:r>
      <w:r w:rsidRPr="00A94EA2">
        <w:rPr>
          <w:rFonts w:ascii="Times New Roman" w:hAnsi="Times New Roman"/>
          <w:sz w:val="24"/>
          <w:szCs w:val="24"/>
        </w:rPr>
        <w:t>weapons drawn. At 10:17 a.m., Officer Kenneth Bowers fired five rounds from his M16 service</w:t>
      </w:r>
      <w:r>
        <w:rPr>
          <w:rFonts w:ascii="Times New Roman" w:hAnsi="Times New Roman"/>
          <w:sz w:val="24"/>
          <w:szCs w:val="24"/>
        </w:rPr>
        <w:t xml:space="preserve"> </w:t>
      </w:r>
      <w:r w:rsidRPr="00A94EA2">
        <w:rPr>
          <w:rFonts w:ascii="Times New Roman" w:hAnsi="Times New Roman"/>
          <w:sz w:val="24"/>
          <w:szCs w:val="24"/>
        </w:rPr>
        <w:t>rifle into Mr. Heeter’s chest. At 10:57 a.m., Mr. Heeter was pronounced dead at the hospital.</w:t>
      </w:r>
      <w:r>
        <w:rPr>
          <w:rFonts w:ascii="Times New Roman" w:hAnsi="Times New Roman"/>
          <w:sz w:val="24"/>
          <w:szCs w:val="24"/>
        </w:rPr>
        <w:t xml:space="preserve"> </w:t>
      </w:r>
      <w:r w:rsidRPr="00A94EA2">
        <w:rPr>
          <w:rFonts w:ascii="Times New Roman" w:hAnsi="Times New Roman"/>
          <w:sz w:val="24"/>
          <w:szCs w:val="24"/>
        </w:rPr>
        <w:t>Police bodycam footage captured almost everything that happened. It shows that a police</w:t>
      </w:r>
      <w:r>
        <w:rPr>
          <w:rFonts w:ascii="Times New Roman" w:hAnsi="Times New Roman"/>
          <w:sz w:val="24"/>
          <w:szCs w:val="24"/>
        </w:rPr>
        <w:t xml:space="preserve"> </w:t>
      </w:r>
      <w:r w:rsidRPr="00A94EA2">
        <w:rPr>
          <w:rFonts w:ascii="Times New Roman" w:hAnsi="Times New Roman"/>
          <w:sz w:val="24"/>
          <w:szCs w:val="24"/>
        </w:rPr>
        <w:t>sergeant called the paramedics. It also shows that Officer Bowers did not administer first aid or</w:t>
      </w:r>
      <w:r>
        <w:rPr>
          <w:rFonts w:ascii="Times New Roman" w:hAnsi="Times New Roman"/>
          <w:sz w:val="24"/>
          <w:szCs w:val="24"/>
        </w:rPr>
        <w:t xml:space="preserve"> </w:t>
      </w:r>
      <w:r w:rsidRPr="00A94EA2">
        <w:rPr>
          <w:rFonts w:ascii="Times New Roman" w:hAnsi="Times New Roman"/>
          <w:sz w:val="24"/>
          <w:szCs w:val="24"/>
        </w:rPr>
        <w:t xml:space="preserve">otherwise try to help Mr. Heeter while waiting </w:t>
      </w:r>
      <w:r w:rsidRPr="00A94EA2">
        <w:rPr>
          <w:rFonts w:ascii="Times New Roman" w:hAnsi="Times New Roman"/>
          <w:sz w:val="24"/>
          <w:szCs w:val="24"/>
        </w:rPr>
        <w:lastRenderedPageBreak/>
        <w:t>for the paramedics to arrive, even though Mr.</w:t>
      </w:r>
      <w:r>
        <w:rPr>
          <w:rFonts w:ascii="Times New Roman" w:hAnsi="Times New Roman"/>
          <w:sz w:val="24"/>
          <w:szCs w:val="24"/>
        </w:rPr>
        <w:t xml:space="preserve"> </w:t>
      </w:r>
      <w:r w:rsidRPr="00A94EA2">
        <w:rPr>
          <w:rFonts w:ascii="Times New Roman" w:hAnsi="Times New Roman"/>
          <w:sz w:val="24"/>
          <w:szCs w:val="24"/>
        </w:rPr>
        <w:t>Heeter was audibly and visibly alive, hemorrhaging blood, and struggling to breathe</w:t>
      </w:r>
      <w:r>
        <w:rPr>
          <w:rFonts w:ascii="Times New Roman" w:hAnsi="Times New Roman"/>
          <w:sz w:val="24"/>
          <w:szCs w:val="24"/>
        </w:rPr>
        <w:t>.”</w:t>
      </w:r>
    </w:p>
    <w:p w14:paraId="53170EFF" w14:textId="77777777" w:rsidR="001C2F88" w:rsidRDefault="001C2F88" w:rsidP="001C2F88">
      <w:pPr>
        <w:pStyle w:val="NoSpacing"/>
        <w:ind w:left="720"/>
        <w:rPr>
          <w:rFonts w:ascii="Times New Roman" w:hAnsi="Times New Roman"/>
          <w:sz w:val="24"/>
          <w:szCs w:val="24"/>
        </w:rPr>
      </w:pPr>
    </w:p>
    <w:p w14:paraId="36A72461" w14:textId="77777777" w:rsidR="001C2F88" w:rsidRDefault="001C2F88" w:rsidP="001C2F88">
      <w:pPr>
        <w:pStyle w:val="NormalWeb"/>
      </w:pPr>
      <w:r>
        <w:t>DISSENT:</w:t>
      </w:r>
    </w:p>
    <w:p w14:paraId="452B6B9D" w14:textId="77777777" w:rsidR="001C2F88" w:rsidRPr="00B91070" w:rsidRDefault="001C2F88" w:rsidP="001C2F88">
      <w:pPr>
        <w:pStyle w:val="NoSpacing"/>
        <w:ind w:left="720"/>
        <w:rPr>
          <w:rFonts w:ascii="Times New Roman" w:hAnsi="Times New Roman"/>
          <w:sz w:val="24"/>
          <w:szCs w:val="24"/>
        </w:rPr>
      </w:pPr>
      <w:r>
        <w:rPr>
          <w:rFonts w:ascii="Times New Roman" w:hAnsi="Times New Roman"/>
          <w:sz w:val="24"/>
          <w:szCs w:val="24"/>
        </w:rPr>
        <w:t xml:space="preserve">“The majority [opinion} acknowledges that </w:t>
      </w:r>
      <w:r w:rsidRPr="00B91070">
        <w:rPr>
          <w:rFonts w:ascii="Times New Roman" w:hAnsi="Times New Roman"/>
          <w:sz w:val="24"/>
          <w:szCs w:val="24"/>
        </w:rPr>
        <w:t>if Officer Bowers had reasonably believed that personal intervention would</w:t>
      </w:r>
      <w:r>
        <w:rPr>
          <w:rFonts w:ascii="Times New Roman" w:hAnsi="Times New Roman"/>
          <w:sz w:val="24"/>
          <w:szCs w:val="24"/>
        </w:rPr>
        <w:t xml:space="preserve"> </w:t>
      </w:r>
      <w:r w:rsidRPr="00B91070">
        <w:rPr>
          <w:rFonts w:ascii="Times New Roman" w:hAnsi="Times New Roman"/>
          <w:sz w:val="24"/>
          <w:szCs w:val="24"/>
        </w:rPr>
        <w:t>not have helped Mr. Heeter, he would not have been deliberately indifferent in failing to render</w:t>
      </w:r>
      <w:r>
        <w:rPr>
          <w:rFonts w:ascii="Times New Roman" w:hAnsi="Times New Roman"/>
          <w:sz w:val="24"/>
          <w:szCs w:val="24"/>
        </w:rPr>
        <w:t xml:space="preserve"> </w:t>
      </w:r>
      <w:r w:rsidRPr="00B91070">
        <w:rPr>
          <w:rFonts w:ascii="Times New Roman" w:hAnsi="Times New Roman"/>
          <w:sz w:val="24"/>
          <w:szCs w:val="24"/>
        </w:rPr>
        <w:t>any basic first aid under our precedent.</w:t>
      </w:r>
      <w:r>
        <w:rPr>
          <w:rFonts w:ascii="Times New Roman" w:hAnsi="Times New Roman"/>
          <w:sz w:val="24"/>
          <w:szCs w:val="24"/>
        </w:rPr>
        <w:t xml:space="preserve"> *** </w:t>
      </w:r>
      <w:r w:rsidRPr="004D46F5">
        <w:rPr>
          <w:rFonts w:ascii="Times New Roman" w:hAnsi="Times New Roman"/>
          <w:sz w:val="24"/>
          <w:szCs w:val="24"/>
        </w:rPr>
        <w:t>Because we do not have jurisdiction to review the factual disputes</w:t>
      </w:r>
      <w:r>
        <w:rPr>
          <w:rFonts w:ascii="Times New Roman" w:hAnsi="Times New Roman"/>
          <w:sz w:val="24"/>
          <w:szCs w:val="24"/>
        </w:rPr>
        <w:t xml:space="preserve"> </w:t>
      </w:r>
      <w:r w:rsidRPr="004D46F5">
        <w:rPr>
          <w:rFonts w:ascii="Times New Roman" w:hAnsi="Times New Roman"/>
          <w:sz w:val="24"/>
          <w:szCs w:val="24"/>
        </w:rPr>
        <w:t>Defendants present, I respectfully dissent from the majority’s choice to find jurisdiction in this</w:t>
      </w:r>
      <w:r>
        <w:rPr>
          <w:rFonts w:ascii="Times New Roman" w:hAnsi="Times New Roman"/>
          <w:sz w:val="24"/>
          <w:szCs w:val="24"/>
        </w:rPr>
        <w:t xml:space="preserve"> </w:t>
      </w:r>
      <w:r w:rsidRPr="004D46F5">
        <w:rPr>
          <w:rFonts w:ascii="Times New Roman" w:hAnsi="Times New Roman"/>
          <w:sz w:val="24"/>
          <w:szCs w:val="24"/>
        </w:rPr>
        <w:t>case. We should dismiss this qualified immunity appeal for lack of jurisdiction.</w:t>
      </w:r>
    </w:p>
    <w:p w14:paraId="2DCC3FBA" w14:textId="77777777" w:rsidR="001C2F88" w:rsidRPr="00A94EA2" w:rsidRDefault="001C2F88" w:rsidP="001C2F88">
      <w:pPr>
        <w:pStyle w:val="NoSpacing"/>
        <w:ind w:left="720"/>
        <w:rPr>
          <w:rFonts w:ascii="Times New Roman" w:hAnsi="Times New Roman"/>
          <w:sz w:val="24"/>
          <w:szCs w:val="24"/>
        </w:rPr>
      </w:pPr>
    </w:p>
    <w:p w14:paraId="0FB5864F" w14:textId="77777777" w:rsidR="001C2F88" w:rsidRPr="00A94EA2" w:rsidRDefault="001C2F88" w:rsidP="001C2F88">
      <w:pPr>
        <w:pStyle w:val="NoSpacing"/>
        <w:rPr>
          <w:rFonts w:ascii="Times New Roman" w:hAnsi="Times New Roman"/>
          <w:sz w:val="24"/>
          <w:szCs w:val="24"/>
        </w:rPr>
      </w:pPr>
    </w:p>
    <w:p w14:paraId="41EE3FF8" w14:textId="77777777" w:rsidR="001C2F88" w:rsidRPr="00C52C47" w:rsidRDefault="001C2F88" w:rsidP="001C2F88">
      <w:pPr>
        <w:pStyle w:val="NoSpacing"/>
        <w:rPr>
          <w:rFonts w:ascii="Times New Roman" w:hAnsi="Times New Roman"/>
          <w:b/>
          <w:bCs/>
          <w:sz w:val="24"/>
          <w:szCs w:val="24"/>
        </w:rPr>
      </w:pPr>
      <w:r w:rsidRPr="00C52C47">
        <w:rPr>
          <w:rFonts w:ascii="Times New Roman" w:hAnsi="Times New Roman"/>
          <w:b/>
          <w:bCs/>
          <w:sz w:val="24"/>
          <w:szCs w:val="24"/>
        </w:rPr>
        <w:t xml:space="preserve">Legal Lesson Learned: </w:t>
      </w:r>
      <w:r>
        <w:rPr>
          <w:rFonts w:ascii="Times New Roman" w:hAnsi="Times New Roman"/>
          <w:b/>
          <w:bCs/>
          <w:sz w:val="24"/>
          <w:szCs w:val="24"/>
        </w:rPr>
        <w:t>Under the 6</w:t>
      </w:r>
      <w:r w:rsidRPr="00C64006">
        <w:rPr>
          <w:rFonts w:ascii="Times New Roman" w:hAnsi="Times New Roman"/>
          <w:b/>
          <w:bCs/>
          <w:sz w:val="24"/>
          <w:szCs w:val="24"/>
          <w:vertAlign w:val="superscript"/>
        </w:rPr>
        <w:t>th</w:t>
      </w:r>
      <w:r>
        <w:rPr>
          <w:rFonts w:ascii="Times New Roman" w:hAnsi="Times New Roman"/>
          <w:b/>
          <w:bCs/>
          <w:sz w:val="24"/>
          <w:szCs w:val="24"/>
        </w:rPr>
        <w:t xml:space="preserve"> Circuit’s 2008 Jones v. City of Cincinnati case, police officers in 6</w:t>
      </w:r>
      <w:r w:rsidRPr="00C64006">
        <w:rPr>
          <w:rFonts w:ascii="Times New Roman" w:hAnsi="Times New Roman"/>
          <w:b/>
          <w:bCs/>
          <w:sz w:val="24"/>
          <w:szCs w:val="24"/>
          <w:vertAlign w:val="superscript"/>
        </w:rPr>
        <w:t>th</w:t>
      </w:r>
      <w:r>
        <w:rPr>
          <w:rFonts w:ascii="Times New Roman" w:hAnsi="Times New Roman"/>
          <w:b/>
          <w:bCs/>
          <w:sz w:val="24"/>
          <w:szCs w:val="24"/>
        </w:rPr>
        <w:t xml:space="preserve"> Circuit states [Ohio, Michigan, Kentucky, Tennessee] must render first aid to person in their custody.  Fire &amp; EMS when calling PD to scene of violent person should stage nearby. </w:t>
      </w:r>
    </w:p>
    <w:p w14:paraId="6C18DA91" w14:textId="77777777" w:rsidR="001C2F88" w:rsidRPr="00C52C47" w:rsidRDefault="001C2F88" w:rsidP="001C2F88">
      <w:pPr>
        <w:pStyle w:val="NoSpacing"/>
        <w:rPr>
          <w:rFonts w:ascii="Times New Roman" w:hAnsi="Times New Roman"/>
          <w:b/>
          <w:bCs/>
          <w:sz w:val="24"/>
          <w:szCs w:val="24"/>
        </w:rPr>
      </w:pPr>
    </w:p>
    <w:p w14:paraId="1085E5D7" w14:textId="77777777" w:rsidR="001C2F88" w:rsidRPr="004913F6" w:rsidRDefault="001C2F88" w:rsidP="001C2F88">
      <w:pPr>
        <w:pStyle w:val="NormalWeb"/>
        <w:spacing w:before="0" w:beforeAutospacing="0"/>
        <w:ind w:left="1440"/>
      </w:pPr>
      <w:r>
        <w:rPr>
          <w:color w:val="454545"/>
          <w:shd w:val="clear" w:color="auto" w:fill="FFFFFF"/>
        </w:rPr>
        <w:t xml:space="preserve">Note:  EMS agencies using body cameras. See this May 2, </w:t>
      </w:r>
      <w:proofErr w:type="gramStart"/>
      <w:r>
        <w:rPr>
          <w:color w:val="454545"/>
          <w:shd w:val="clear" w:color="auto" w:fill="FFFFFF"/>
        </w:rPr>
        <w:t>2024</w:t>
      </w:r>
      <w:proofErr w:type="gramEnd"/>
      <w:r>
        <w:rPr>
          <w:color w:val="454545"/>
          <w:shd w:val="clear" w:color="auto" w:fill="FFFFFF"/>
        </w:rPr>
        <w:t xml:space="preserve"> article: “</w:t>
      </w:r>
      <w:r w:rsidRPr="004913F6">
        <w:rPr>
          <w:rStyle w:val="title-main"/>
          <w:rFonts w:eastAsiaTheme="majorEastAsia"/>
          <w:color w:val="212529"/>
        </w:rPr>
        <w:t>Body Cams Help New Orleans EMS Protect Providers While Prioritizing Patient Safety</w:t>
      </w:r>
      <w:r>
        <w:rPr>
          <w:rStyle w:val="title-main"/>
          <w:rFonts w:eastAsiaTheme="majorEastAsia"/>
          <w:color w:val="212529"/>
        </w:rPr>
        <w:t xml:space="preserve">.” </w:t>
      </w:r>
      <w:hyperlink r:id="rId2159" w:history="1">
        <w:r w:rsidRPr="004913F6">
          <w:rPr>
            <w:rStyle w:val="Hyperlink"/>
          </w:rPr>
          <w:t>https://www.hmpgloballearningnetwork.com/site/emsworld/feature-story/body-cams-help-new-orleans-ems-protect-providers-while-prioritizing</w:t>
        </w:r>
      </w:hyperlink>
      <w:r>
        <w:t xml:space="preserve"> </w:t>
      </w:r>
    </w:p>
    <w:p w14:paraId="7BCF11A3" w14:textId="77777777" w:rsidR="001C2F88" w:rsidRDefault="001C2F88" w:rsidP="001C2F88">
      <w:pPr>
        <w:pStyle w:val="NormalWeb"/>
        <w:spacing w:before="0" w:beforeAutospacing="0"/>
        <w:ind w:left="1440"/>
        <w:rPr>
          <w:color w:val="454545"/>
          <w:shd w:val="clear" w:color="auto" w:fill="FFFFFF"/>
        </w:rPr>
      </w:pPr>
      <w:r>
        <w:rPr>
          <w:rFonts w:ascii="acumin-pro" w:hAnsi="acumin-pro"/>
          <w:color w:val="212529"/>
          <w:shd w:val="clear" w:color="auto" w:fill="FFFFFF"/>
        </w:rPr>
        <w:t>“New Orleans EMS embarked on a soft launch of body cameras in late 2022 to determine if staff wanted them and to calculate costs. The first deployment was 15 cameras, which recently increased to 30 more.”</w:t>
      </w:r>
    </w:p>
    <w:p w14:paraId="51E4A4AE" w14:textId="77777777" w:rsidR="001C2F88" w:rsidRDefault="001C2F88" w:rsidP="001C2F88">
      <w:pPr>
        <w:pStyle w:val="NormalWeb"/>
        <w:spacing w:before="0" w:beforeAutospacing="0"/>
        <w:rPr>
          <w:color w:val="454545"/>
          <w:shd w:val="clear" w:color="auto" w:fill="FFFFFF"/>
        </w:rPr>
      </w:pPr>
    </w:p>
    <w:p w14:paraId="7F460D65" w14:textId="77777777" w:rsidR="001C2F88" w:rsidRPr="001C2F88" w:rsidRDefault="001C2F88" w:rsidP="001C2F88">
      <w:pPr>
        <w:pStyle w:val="NormalWeb"/>
        <w:shd w:val="clear" w:color="auto" w:fill="FFFFFF"/>
        <w:spacing w:before="0" w:beforeAutospacing="0"/>
        <w:rPr>
          <w:rFonts w:ascii="Arial Black" w:hAnsi="Arial Black"/>
          <w:color w:val="454545"/>
          <w:sz w:val="28"/>
          <w:szCs w:val="28"/>
          <w:shd w:val="clear" w:color="auto" w:fill="FFFFFF"/>
        </w:rPr>
      </w:pPr>
      <w:r w:rsidRPr="001C2F88">
        <w:rPr>
          <w:rFonts w:ascii="Arial Black" w:hAnsi="Arial Black"/>
          <w:color w:val="454545"/>
          <w:sz w:val="28"/>
          <w:szCs w:val="28"/>
          <w:shd w:val="clear" w:color="auto" w:fill="FFFFFF"/>
        </w:rPr>
        <w:t>13-183</w:t>
      </w:r>
    </w:p>
    <w:p w14:paraId="38D674E8" w14:textId="7FA1DA71" w:rsidR="001C2F88" w:rsidRPr="006F4104" w:rsidRDefault="001C2F88" w:rsidP="001C2F88">
      <w:pPr>
        <w:pStyle w:val="NormalWeb"/>
        <w:shd w:val="clear" w:color="auto" w:fill="FFFFFF"/>
        <w:spacing w:before="0" w:beforeAutospacing="0"/>
        <w:rPr>
          <w:rFonts w:ascii="Arial Black" w:hAnsi="Arial Black"/>
          <w:b/>
          <w:bCs/>
          <w:color w:val="454545"/>
          <w:sz w:val="28"/>
          <w:szCs w:val="28"/>
        </w:rPr>
      </w:pPr>
      <w:r>
        <w:rPr>
          <w:rFonts w:ascii="Arial Black" w:hAnsi="Arial Black"/>
          <w:b/>
          <w:bCs/>
          <w:color w:val="454545"/>
          <w:sz w:val="28"/>
          <w:szCs w:val="28"/>
        </w:rPr>
        <w:t xml:space="preserve">ME: COVID VACCINATIONS  – 17 EMS SUED - STATE EMS HAD THE STATUTORY AUTHORITY REQ. EMS VACCINATED </w:t>
      </w:r>
    </w:p>
    <w:p w14:paraId="164FC379" w14:textId="77777777" w:rsidR="001C2F88" w:rsidRDefault="001C2F88" w:rsidP="001C2F88">
      <w:pPr>
        <w:pStyle w:val="NormalWeb"/>
        <w:shd w:val="clear" w:color="auto" w:fill="FFFFFF"/>
        <w:spacing w:before="0" w:beforeAutospacing="0"/>
      </w:pPr>
      <w:r>
        <w:rPr>
          <w:color w:val="454545"/>
        </w:rPr>
        <w:t xml:space="preserve">On April 25, 2024, in </w:t>
      </w:r>
      <w:r w:rsidRPr="0065594D">
        <w:rPr>
          <w:color w:val="454545"/>
          <w:u w:val="single"/>
        </w:rPr>
        <w:t>Chris Calnan, et al. v. San Hurley</w:t>
      </w:r>
      <w:r>
        <w:rPr>
          <w:color w:val="454545"/>
        </w:rPr>
        <w:t xml:space="preserve">, [Director of </w:t>
      </w:r>
      <w:r>
        <w:t xml:space="preserve">Maine Emergency Medical Services], the Supreme Court of Maine held (6 to 0) that trial court properly dismissed the plaintiffs’ complaint for a declaratory judgment, and EMS lost wages for failure to get vaccinated. </w:t>
      </w:r>
      <w:hyperlink r:id="rId2160" w:history="1">
        <w:r w:rsidRPr="007C1F1F">
          <w:rPr>
            <w:rStyle w:val="Hyperlink"/>
          </w:rPr>
          <w:t>https://www.courts.maine.gov/courts/sjc/lawcourt/2024/24me030.pdf</w:t>
        </w:r>
      </w:hyperlink>
      <w:r>
        <w:t xml:space="preserve"> </w:t>
      </w:r>
    </w:p>
    <w:p w14:paraId="0D0AAE9C" w14:textId="77777777" w:rsidR="001C2F88" w:rsidRDefault="001C2F88" w:rsidP="001C2F88">
      <w:pPr>
        <w:pStyle w:val="NormalWeb"/>
        <w:shd w:val="clear" w:color="auto" w:fill="FFFFFF"/>
        <w:spacing w:before="0" w:beforeAutospacing="0"/>
      </w:pPr>
      <w:r>
        <w:t>COURT HELD:</w:t>
      </w:r>
    </w:p>
    <w:p w14:paraId="6DD94C3E" w14:textId="77777777" w:rsidR="001C2F88" w:rsidRDefault="001C2F88" w:rsidP="001C2F88">
      <w:pPr>
        <w:pStyle w:val="NormalWeb"/>
        <w:shd w:val="clear" w:color="auto" w:fill="FFFFFF"/>
        <w:spacing w:before="0" w:beforeAutospacing="0"/>
        <w:ind w:left="720"/>
      </w:pPr>
      <w:r>
        <w:t xml:space="preserve">“The Maine Emergency Medical Services Act of 1982 (EMS Act) provides for the EMS system in Maine. </w:t>
      </w:r>
      <w:r>
        <w:rPr>
          <w:rStyle w:val="Emphasis"/>
          <w:rFonts w:eastAsiaTheme="majorEastAsia"/>
        </w:rPr>
        <w:t>See</w:t>
      </w:r>
      <w:r>
        <w:t xml:space="preserve"> 32 M.R.S. §§ 81-98 (2024).</w:t>
      </w:r>
    </w:p>
    <w:p w14:paraId="444EE1DB" w14:textId="77777777" w:rsidR="001C2F88" w:rsidRDefault="001C2F88" w:rsidP="001C2F88">
      <w:pPr>
        <w:pStyle w:val="NormalWeb"/>
        <w:shd w:val="clear" w:color="auto" w:fill="FFFFFF"/>
        <w:spacing w:before="0" w:beforeAutospacing="0"/>
        <w:ind w:left="720"/>
      </w:pPr>
      <w:r>
        <w:t>***</w:t>
      </w:r>
    </w:p>
    <w:p w14:paraId="213B67CD" w14:textId="77777777" w:rsidR="001C2F88" w:rsidRDefault="001C2F88" w:rsidP="001C2F88">
      <w:pPr>
        <w:pStyle w:val="NormalWeb"/>
        <w:ind w:left="720"/>
      </w:pPr>
      <w:r>
        <w:t xml:space="preserve">The statute unambiguously delegates to the EMS Board rulemaking authority regarding qualifications of EMS personnel, and its statutory purpose clearly vests the EMS Board with the responsibility of creating standards and qualifications for such personnel. </w:t>
      </w:r>
    </w:p>
    <w:p w14:paraId="7F09E3C2" w14:textId="77777777" w:rsidR="001C2F88" w:rsidRDefault="001C2F88" w:rsidP="001C2F88">
      <w:pPr>
        <w:pStyle w:val="NormalWeb"/>
        <w:ind w:left="720"/>
      </w:pPr>
      <w:r>
        <w:lastRenderedPageBreak/>
        <w:t xml:space="preserve">Calnan argues that unlike in the chapter relating to the Department of Health and Human Services, </w:t>
      </w:r>
      <w:r>
        <w:rPr>
          <w:rStyle w:val="Emphasis"/>
          <w:rFonts w:eastAsiaTheme="majorEastAsia"/>
        </w:rPr>
        <w:t>see</w:t>
      </w:r>
      <w:r>
        <w:t xml:space="preserve"> 22 M.R.S. § 802 (2024), which gives the Department of Health and Human Services express authority to promulgate immunization rules for healthcare workers, Section 81-A does not specifically confer such authority on the EMS Board. Thus, he maintains, it is beyond the power of the EMS Board to address immunization in its rules. We disagree.”</w:t>
      </w:r>
    </w:p>
    <w:p w14:paraId="4391B8E4" w14:textId="77777777" w:rsidR="001C2F88" w:rsidRPr="00897F33" w:rsidRDefault="001C2F88" w:rsidP="001C2F88">
      <w:pPr>
        <w:pStyle w:val="NormalWeb"/>
        <w:shd w:val="clear" w:color="auto" w:fill="FFFFFF"/>
        <w:spacing w:before="0" w:beforeAutospacing="0"/>
        <w:rPr>
          <w:b/>
          <w:bCs/>
        </w:rPr>
      </w:pPr>
      <w:r w:rsidRPr="00897F33">
        <w:rPr>
          <w:b/>
          <w:bCs/>
        </w:rPr>
        <w:t xml:space="preserve">Legal Lesson Learned: </w:t>
      </w:r>
      <w:r>
        <w:rPr>
          <w:b/>
          <w:bCs/>
        </w:rPr>
        <w:t xml:space="preserve">This is another case upholding State EMS agencies authority to require COVID vaccination. </w:t>
      </w:r>
    </w:p>
    <w:p w14:paraId="486ED613" w14:textId="77777777" w:rsidR="001C2F88" w:rsidRDefault="001C2F88" w:rsidP="001C2F88">
      <w:pPr>
        <w:pStyle w:val="NormalWeb"/>
        <w:shd w:val="clear" w:color="auto" w:fill="FFFFFF"/>
        <w:spacing w:before="0" w:beforeAutospacing="0"/>
        <w:ind w:left="720"/>
        <w:rPr>
          <w:color w:val="454545"/>
        </w:rPr>
      </w:pPr>
      <w:r>
        <w:rPr>
          <w:color w:val="454545"/>
        </w:rPr>
        <w:t>Note: The Court referenced other similar court decisions.</w:t>
      </w:r>
    </w:p>
    <w:p w14:paraId="5F17692C" w14:textId="77777777" w:rsidR="001C2F88" w:rsidRDefault="001C2F88" w:rsidP="001C2F88">
      <w:pPr>
        <w:pStyle w:val="NormalWeb"/>
        <w:ind w:left="720"/>
      </w:pPr>
      <w:r>
        <w:t xml:space="preserve">“Although Calnan challenges the EMS Board's overall authority </w:t>
      </w:r>
      <w:proofErr w:type="gramStart"/>
      <w:r>
        <w:t>with regard to</w:t>
      </w:r>
      <w:proofErr w:type="gramEnd"/>
      <w:r>
        <w:t xml:space="preserve"> immunization, when the EMS Board initially promulgated the rule in 2021, public policy supported requirements that certain people, especially healthcare workers such as EMS personnel, be vaccinated. </w:t>
      </w:r>
      <w:r>
        <w:rPr>
          <w:rStyle w:val="Emphasis"/>
          <w:rFonts w:eastAsiaTheme="majorEastAsia"/>
        </w:rPr>
        <w:t>See In re City of Newark</w:t>
      </w:r>
      <w:r>
        <w:t xml:space="preserve">, 264 A.3d at 327 ("Th[e] right ['to hire or direct its workforce',] coupled with the clear national and state public policy to combat the health threats posed by COVID-19, supports the City's authority to implement a vaccination mandate."); </w:t>
      </w:r>
      <w:r>
        <w:rPr>
          <w:rStyle w:val="Emphasis"/>
          <w:rFonts w:eastAsiaTheme="majorEastAsia"/>
        </w:rPr>
        <w:t>Boston Firefighters Union, Loc. 718 v. City of Boston</w:t>
      </w:r>
      <w:r>
        <w:t>, 205 N.E.3d 282, 294-95 (Mass. 2023) (‘[V]</w:t>
      </w:r>
      <w:proofErr w:type="spellStart"/>
      <w:r>
        <w:t>accination</w:t>
      </w:r>
      <w:proofErr w:type="spellEnd"/>
      <w:r>
        <w:t xml:space="preserve"> against COVID-19 not only protected the health of the city residents, but also protected the [City's] ability to continue to maintain a sufficiently healthy workforce during the Omicron surge, as would be needed to deliver emergency public safety services to the residents of the city.’). We conclude that the EMS Board did not exceed its statutory authority in issuing the EMS immunization rule.”</w:t>
      </w:r>
    </w:p>
    <w:p w14:paraId="202AA7C2" w14:textId="77777777" w:rsidR="001C2F88" w:rsidRDefault="001C2F88" w:rsidP="001C2F88">
      <w:pPr>
        <w:pStyle w:val="NormalWeb"/>
        <w:shd w:val="clear" w:color="auto" w:fill="FFFFFF"/>
        <w:spacing w:before="0" w:beforeAutospacing="0"/>
        <w:ind w:left="720"/>
        <w:rPr>
          <w:color w:val="454545"/>
        </w:rPr>
      </w:pPr>
    </w:p>
    <w:p w14:paraId="44693D4A" w14:textId="77777777" w:rsidR="001C2F88" w:rsidRPr="001C2F88" w:rsidRDefault="001C2F88" w:rsidP="001C2F88">
      <w:pPr>
        <w:pStyle w:val="NormalWeb"/>
        <w:rPr>
          <w:rFonts w:ascii="Arial Black" w:hAnsi="Arial Black"/>
          <w:sz w:val="28"/>
          <w:szCs w:val="28"/>
        </w:rPr>
      </w:pPr>
      <w:r w:rsidRPr="001C2F88">
        <w:rPr>
          <w:rFonts w:ascii="Arial Black" w:hAnsi="Arial Black"/>
          <w:sz w:val="28"/>
          <w:szCs w:val="28"/>
        </w:rPr>
        <w:t>13-182</w:t>
      </w:r>
    </w:p>
    <w:p w14:paraId="09353AD6" w14:textId="1C24A20B" w:rsidR="001C2F88" w:rsidRPr="008205D8" w:rsidRDefault="001C2F88" w:rsidP="001C2F88">
      <w:pPr>
        <w:pStyle w:val="NormalWeb"/>
        <w:rPr>
          <w:rFonts w:ascii="Arial Black" w:hAnsi="Arial Black"/>
          <w:sz w:val="28"/>
          <w:szCs w:val="28"/>
        </w:rPr>
      </w:pPr>
      <w:r>
        <w:rPr>
          <w:rFonts w:ascii="Arial Black" w:hAnsi="Arial Black"/>
          <w:sz w:val="28"/>
          <w:szCs w:val="28"/>
        </w:rPr>
        <w:t>NJ: UNCONSCIOUS DIABETIC – IV SITE ADVERSE REACTION TO DEXTROSE – MEDICS ACTED GOOD FAITH - IMMUNITY</w:t>
      </w:r>
    </w:p>
    <w:p w14:paraId="5A1ED38C" w14:textId="77777777" w:rsidR="001C2F88" w:rsidRDefault="001C2F88" w:rsidP="001C2F88">
      <w:pPr>
        <w:pStyle w:val="NormalWeb"/>
      </w:pPr>
      <w:r>
        <w:t xml:space="preserve">On April 24, 2024, in </w:t>
      </w:r>
      <w:r w:rsidRPr="00C71E18">
        <w:rPr>
          <w:u w:val="single"/>
        </w:rPr>
        <w:t>Robin Newsome v. Inspira Health Network, Inc, and Gloucester County Emergency Medical Service</w:t>
      </w:r>
      <w:r>
        <w:t xml:space="preserve">, the Superior Court of New Jersey, Appellate Division, held (3 to 0) that trial court properly granted summary judgment for the defense since the two medics acted in good faith. Four years prior, one of medics </w:t>
      </w:r>
      <w:proofErr w:type="gramStart"/>
      <w:r>
        <w:t>had transported</w:t>
      </w:r>
      <w:proofErr w:type="gramEnd"/>
      <w:r>
        <w:t xml:space="preserve"> the patient and did not use dextrose when husband told him about her adverse reaction (used glucagon instead); husband claims that he again warned the medic.  The patient when transported to hospital recovered but needed emergency “compartment syndrome” surgery to repair IV site. </w:t>
      </w:r>
      <w:hyperlink r:id="rId2161" w:history="1">
        <w:r w:rsidRPr="007C1F1F">
          <w:rPr>
            <w:rStyle w:val="Hyperlink"/>
          </w:rPr>
          <w:t>https://casetext.com/case/newsome-v-inspira-health-network-inc</w:t>
        </w:r>
      </w:hyperlink>
      <w:r>
        <w:t xml:space="preserve"> </w:t>
      </w:r>
    </w:p>
    <w:p w14:paraId="6BA6775A" w14:textId="77777777" w:rsidR="001C2F88" w:rsidRDefault="001C2F88" w:rsidP="001C2F88">
      <w:pPr>
        <w:pStyle w:val="NormalWeb"/>
      </w:pPr>
      <w:r>
        <w:t>COURT HELD:</w:t>
      </w:r>
    </w:p>
    <w:p w14:paraId="6C3D9B33" w14:textId="77777777" w:rsidR="001C2F88" w:rsidRDefault="001C2F88" w:rsidP="001C2F88">
      <w:pPr>
        <w:pStyle w:val="NormalWeb"/>
        <w:ind w:left="720"/>
      </w:pPr>
      <w:r>
        <w:t xml:space="preserve">“Therefore, we agree with the trial court's determination the initial communication, or miscommunication, was in the scope of rendering life support services, and thus conduct the Legislature intended to afford the shield of immunity. </w:t>
      </w:r>
    </w:p>
    <w:p w14:paraId="1277D5C3" w14:textId="77777777" w:rsidR="001C2F88" w:rsidRDefault="001C2F88" w:rsidP="001C2F88">
      <w:pPr>
        <w:pStyle w:val="NormalWeb"/>
        <w:ind w:left="720"/>
      </w:pPr>
      <w:r>
        <w:t xml:space="preserve">The paramedics' conduct must then be measured against the good faith standard, not negligence. </w:t>
      </w:r>
      <w:proofErr w:type="gramStart"/>
      <w:r>
        <w:t>Generally, ‘</w:t>
      </w:r>
      <w:proofErr w:type="gramEnd"/>
      <w:r>
        <w:t xml:space="preserve">good faith’ exists where there is ‘honesty of purpose and integrity of conduct without knowledge, either actual or sufficient to demand inquiry, that the conduct is wrong.’ </w:t>
      </w:r>
      <w:r>
        <w:rPr>
          <w:rStyle w:val="Emphasis"/>
          <w:rFonts w:eastAsiaTheme="majorEastAsia"/>
        </w:rPr>
        <w:t>Frields v. St. Joseph's Hosp.</w:t>
      </w:r>
      <w:r>
        <w:t xml:space="preserve">, 305 </w:t>
      </w:r>
      <w:proofErr w:type="spellStart"/>
      <w:r>
        <w:t>N.J.Super</w:t>
      </w:r>
      <w:proofErr w:type="spellEnd"/>
      <w:r>
        <w:t xml:space="preserve">. 244, 248 (App. Div. 1997) (quoting </w:t>
      </w:r>
      <w:r>
        <w:rPr>
          <w:rStyle w:val="Emphasis"/>
          <w:rFonts w:eastAsiaTheme="majorEastAsia"/>
        </w:rPr>
        <w:t>Marley v. Borough of Palmyra</w:t>
      </w:r>
      <w:r>
        <w:t xml:space="preserve">, 193 </w:t>
      </w:r>
      <w:proofErr w:type="spellStart"/>
      <w:r>
        <w:t>N.J.Super</w:t>
      </w:r>
      <w:proofErr w:type="spellEnd"/>
      <w:r>
        <w:t xml:space="preserve">. 271, 294 (Law Div. </w:t>
      </w:r>
      <w:proofErr w:type="gramStart"/>
      <w:r>
        <w:t>1983))</w:t>
      </w:r>
      <w:proofErr w:type="gramEnd"/>
      <w:r>
        <w:t xml:space="preserve">. While the issue of good faith is often determined in a plenary hearing, summary judgment is proper where the defendant demonstrates that the actions ‘were </w:t>
      </w:r>
      <w:r>
        <w:lastRenderedPageBreak/>
        <w:t xml:space="preserve">objectively reasonable or that they performed them with subjective good faith.’ </w:t>
      </w:r>
      <w:proofErr w:type="spellStart"/>
      <w:r>
        <w:rPr>
          <w:rStyle w:val="Emphasis"/>
          <w:rFonts w:eastAsiaTheme="majorEastAsia"/>
        </w:rPr>
        <w:t>Canico</w:t>
      </w:r>
      <w:proofErr w:type="spellEnd"/>
      <w:r>
        <w:rPr>
          <w:rStyle w:val="Emphasis"/>
          <w:rFonts w:eastAsiaTheme="majorEastAsia"/>
        </w:rPr>
        <w:t xml:space="preserve"> v. Hurtado</w:t>
      </w:r>
      <w:r>
        <w:t xml:space="preserve">, 144 N.J. 361, 365 (1996). ‘This test recognizes that even a person who acted negligently is entitled to a qualified immunity, if he acted in an objectively reasonable manner.’ </w:t>
      </w:r>
      <w:r>
        <w:rPr>
          <w:rStyle w:val="Emphasis"/>
          <w:rFonts w:eastAsiaTheme="majorEastAsia"/>
        </w:rPr>
        <w:t>Frields</w:t>
      </w:r>
      <w:r>
        <w:t xml:space="preserve">, 305 </w:t>
      </w:r>
      <w:proofErr w:type="spellStart"/>
      <w:r>
        <w:t>N.J.Super</w:t>
      </w:r>
      <w:proofErr w:type="spellEnd"/>
      <w:r>
        <w:t xml:space="preserve">. at 248 (citing </w:t>
      </w:r>
      <w:r>
        <w:rPr>
          <w:rStyle w:val="Emphasis"/>
          <w:rFonts w:eastAsiaTheme="majorEastAsia"/>
        </w:rPr>
        <w:t>id.</w:t>
      </w:r>
      <w:r>
        <w:t xml:space="preserve"> at 366).”</w:t>
      </w:r>
    </w:p>
    <w:p w14:paraId="5371A139" w14:textId="55B897E3" w:rsidR="001C2F88" w:rsidRPr="00833362" w:rsidRDefault="001C2F88" w:rsidP="001C2F88">
      <w:pPr>
        <w:pStyle w:val="paragraph"/>
        <w:rPr>
          <w:b/>
          <w:bCs/>
        </w:rPr>
      </w:pPr>
      <w:r w:rsidRPr="00833362">
        <w:rPr>
          <w:b/>
          <w:bCs/>
        </w:rPr>
        <w:t>Legal Lesson Learned:</w:t>
      </w:r>
      <w:r>
        <w:rPr>
          <w:b/>
          <w:bCs/>
        </w:rPr>
        <w:t xml:space="preserve"> Medics acted in good faith, so they have immunity</w:t>
      </w:r>
      <w:r w:rsidR="00E237FA">
        <w:rPr>
          <w:b/>
          <w:bCs/>
        </w:rPr>
        <w:t xml:space="preserve">, </w:t>
      </w:r>
      <w:proofErr w:type="gramStart"/>
      <w:r w:rsidR="00E237FA">
        <w:rPr>
          <w:b/>
          <w:bCs/>
        </w:rPr>
        <w:t>and also</w:t>
      </w:r>
      <w:proofErr w:type="gramEnd"/>
      <w:r w:rsidR="00E237FA">
        <w:rPr>
          <w:b/>
          <w:bCs/>
        </w:rPr>
        <w:t xml:space="preserve"> </w:t>
      </w:r>
      <w:r w:rsidR="001B219E">
        <w:rPr>
          <w:b/>
          <w:bCs/>
        </w:rPr>
        <w:t xml:space="preserve">the employer. </w:t>
      </w:r>
    </w:p>
    <w:p w14:paraId="4942D841" w14:textId="77777777" w:rsidR="001C2F88" w:rsidRDefault="001C2F88" w:rsidP="001C2F88">
      <w:pPr>
        <w:pStyle w:val="paragraph"/>
        <w:ind w:left="720"/>
      </w:pPr>
    </w:p>
    <w:p w14:paraId="6B70A525" w14:textId="77777777" w:rsidR="001C2F88" w:rsidRPr="001C2F88" w:rsidRDefault="001C2F88" w:rsidP="001C2F88">
      <w:pPr>
        <w:pStyle w:val="NormalWeb"/>
        <w:rPr>
          <w:rFonts w:ascii="Arial Black" w:hAnsi="Arial Black"/>
          <w:sz w:val="28"/>
          <w:szCs w:val="28"/>
        </w:rPr>
      </w:pPr>
      <w:r w:rsidRPr="001C2F88">
        <w:rPr>
          <w:rFonts w:ascii="Arial Black" w:hAnsi="Arial Black"/>
          <w:sz w:val="28"/>
          <w:szCs w:val="28"/>
        </w:rPr>
        <w:t>13-181</w:t>
      </w:r>
    </w:p>
    <w:p w14:paraId="5534B55A" w14:textId="3E098940" w:rsidR="001C2F88" w:rsidRPr="00E664B1" w:rsidRDefault="001C2F88" w:rsidP="001C2F88">
      <w:pPr>
        <w:pStyle w:val="NormalWeb"/>
        <w:rPr>
          <w:rFonts w:ascii="Arial Black" w:hAnsi="Arial Black"/>
          <w:sz w:val="28"/>
          <w:szCs w:val="28"/>
        </w:rPr>
      </w:pPr>
      <w:r>
        <w:rPr>
          <w:rFonts w:ascii="Arial Black" w:hAnsi="Arial Black"/>
          <w:sz w:val="28"/>
          <w:szCs w:val="28"/>
        </w:rPr>
        <w:t>MN: MENTAL – POLICE TACKLED - MEDIC INJECTS KETAMINE – NO CASE</w:t>
      </w:r>
      <w:r w:rsidR="00395EA8">
        <w:rPr>
          <w:rFonts w:ascii="Arial Black" w:hAnsi="Arial Black"/>
          <w:sz w:val="28"/>
          <w:szCs w:val="28"/>
        </w:rPr>
        <w:t xml:space="preserve"> - </w:t>
      </w:r>
      <w:r>
        <w:rPr>
          <w:rFonts w:ascii="Arial Black" w:hAnsi="Arial Black"/>
          <w:sz w:val="28"/>
          <w:szCs w:val="28"/>
        </w:rPr>
        <w:t xml:space="preserve">BUT </w:t>
      </w:r>
      <w:r w:rsidR="0072252E">
        <w:rPr>
          <w:rFonts w:ascii="Arial Black" w:hAnsi="Arial Black"/>
          <w:sz w:val="28"/>
          <w:szCs w:val="28"/>
        </w:rPr>
        <w:t xml:space="preserve">AGENCY </w:t>
      </w:r>
      <w:r>
        <w:rPr>
          <w:rFonts w:ascii="Arial Black" w:hAnsi="Arial Black"/>
          <w:sz w:val="28"/>
          <w:szCs w:val="28"/>
        </w:rPr>
        <w:t>CAN’T RECOVER $4,690 COSTS</w:t>
      </w:r>
    </w:p>
    <w:p w14:paraId="621E2A31" w14:textId="77777777" w:rsidR="001C2F88" w:rsidRDefault="001C2F88" w:rsidP="001C2F88">
      <w:pPr>
        <w:pStyle w:val="NormalWeb"/>
      </w:pPr>
      <w:r>
        <w:t xml:space="preserve">On April 22, 2024, in </w:t>
      </w:r>
      <w:r w:rsidRPr="008F6E23">
        <w:rPr>
          <w:u w:val="single"/>
        </w:rPr>
        <w:t>Brandon Currie v. Clayton Aswegan, et al</w:t>
      </w:r>
      <w:r>
        <w:t xml:space="preserve">., United States District Court Judge Eric C. </w:t>
      </w:r>
      <w:proofErr w:type="spellStart"/>
      <w:r>
        <w:t>Tostrud</w:t>
      </w:r>
      <w:proofErr w:type="spellEnd"/>
      <w:r>
        <w:t xml:space="preserve">, U.S. District Court for District of Minnesota, held that even though he granted summary judgment for the defense, the EMS agency is denied court order to recover their costs in defending the litigation brought by homeless man living in tent in the woods, since the complaint did adequately allege a medical malpractice claim, supported by affidavit from medical expert.  </w:t>
      </w:r>
      <w:hyperlink r:id="rId2162" w:history="1">
        <w:r w:rsidRPr="007C1F1F">
          <w:rPr>
            <w:rStyle w:val="Hyperlink"/>
          </w:rPr>
          <w:t>https://casetext.com/case/currie-v-aswegan-1</w:t>
        </w:r>
      </w:hyperlink>
      <w:r>
        <w:t xml:space="preserve"> </w:t>
      </w:r>
    </w:p>
    <w:p w14:paraId="3A45743D" w14:textId="77777777" w:rsidR="001C2F88" w:rsidRDefault="001C2F88" w:rsidP="001C2F88">
      <w:pPr>
        <w:pStyle w:val="NormalWeb"/>
      </w:pPr>
      <w:r>
        <w:t xml:space="preserve">COURT HELD: </w:t>
      </w:r>
    </w:p>
    <w:p w14:paraId="15892B38" w14:textId="77777777" w:rsidR="001C2F88" w:rsidRDefault="001C2F88" w:rsidP="001C2F88">
      <w:pPr>
        <w:pStyle w:val="NormalWeb"/>
        <w:ind w:left="720"/>
      </w:pPr>
      <w:r>
        <w:t xml:space="preserve">“Allina Health Emergency Medical Services and paramedic Lawrence seek to recoup taxable costs under </w:t>
      </w:r>
      <w:hyperlink r:id="rId2163" w:history="1">
        <w:r>
          <w:rPr>
            <w:rStyle w:val="Hyperlink"/>
            <w:rFonts w:eastAsiaTheme="majorEastAsia"/>
          </w:rPr>
          <w:t>28 U.S.C. § 1920</w:t>
        </w:r>
      </w:hyperlink>
      <w:r>
        <w:t xml:space="preserve">. ECF No. 86. They seek to recover deposition transcript costs of $2,535.86 and copying costs of $2,154.92, for a total of $4,690.78. </w:t>
      </w:r>
      <w:r>
        <w:rPr>
          <w:i/>
          <w:iCs/>
        </w:rPr>
        <w:t>Id.</w:t>
      </w:r>
      <w:r>
        <w:t xml:space="preserve"> Mr. Currie objects. ECF No. 87. Because the record shows that Mr. Currie's financial circumstances are grim and his medical malpractice claim was not frivolous, the better answer is that it would be inequitable to allow costs. Therefore, Allina and Mr. Lawrence's bill of costs will not be allowed.”</w:t>
      </w:r>
    </w:p>
    <w:p w14:paraId="513E8B15" w14:textId="77777777" w:rsidR="001C2F88" w:rsidRDefault="001C2F88" w:rsidP="001C2F88">
      <w:pPr>
        <w:pStyle w:val="NormalWeb"/>
        <w:rPr>
          <w:b/>
          <w:bCs/>
        </w:rPr>
      </w:pPr>
      <w:r w:rsidRPr="00E47F73">
        <w:rPr>
          <w:b/>
          <w:bCs/>
        </w:rPr>
        <w:t>Legal Lesson Learned:</w:t>
      </w:r>
      <w:r>
        <w:rPr>
          <w:b/>
          <w:bCs/>
        </w:rPr>
        <w:t xml:space="preserve"> EMS use of ketamine in police incidents has been hot topic, including criminal prosecution of two Colorado medics and civil litigation around nation. </w:t>
      </w:r>
    </w:p>
    <w:p w14:paraId="676A947F" w14:textId="77777777" w:rsidR="001C2F88" w:rsidRDefault="001C2F88" w:rsidP="001C2F88">
      <w:pPr>
        <w:pStyle w:val="NormalWeb"/>
        <w:ind w:left="720"/>
      </w:pPr>
      <w:r w:rsidRPr="00CA4063">
        <w:t xml:space="preserve">Note: </w:t>
      </w:r>
    </w:p>
    <w:p w14:paraId="7ECFBAE1" w14:textId="77777777" w:rsidR="001C2F88" w:rsidRDefault="001C2F88" w:rsidP="001C2F88">
      <w:pPr>
        <w:pStyle w:val="Heading1"/>
        <w:ind w:left="720"/>
        <w:rPr>
          <w:sz w:val="24"/>
          <w:szCs w:val="24"/>
        </w:rPr>
      </w:pPr>
      <w:r>
        <w:rPr>
          <w:sz w:val="24"/>
          <w:szCs w:val="24"/>
        </w:rPr>
        <w:t>April 26, 2024, “</w:t>
      </w:r>
      <w:r w:rsidRPr="0005513B">
        <w:rPr>
          <w:sz w:val="24"/>
          <w:szCs w:val="24"/>
        </w:rPr>
        <w:t>Former Colorado paramedic Jeremy Cooper sentenced to probation, work release after conviction in death of Elijah McClain</w:t>
      </w:r>
      <w:r>
        <w:rPr>
          <w:sz w:val="24"/>
          <w:szCs w:val="24"/>
        </w:rPr>
        <w:t xml:space="preserve">,” </w:t>
      </w:r>
      <w:hyperlink r:id="rId2164" w:history="1">
        <w:r w:rsidRPr="007C1F1F">
          <w:rPr>
            <w:rStyle w:val="Hyperlink"/>
            <w:sz w:val="24"/>
            <w:szCs w:val="24"/>
          </w:rPr>
          <w:t>https://www.cbsnews.com/colorado/news/former-colorado-paramedic-jeremy-cooper-sentenced-conviction-death-elijah-mcclain/</w:t>
        </w:r>
      </w:hyperlink>
      <w:r>
        <w:rPr>
          <w:sz w:val="24"/>
          <w:szCs w:val="24"/>
        </w:rPr>
        <w:t xml:space="preserve"> </w:t>
      </w:r>
    </w:p>
    <w:p w14:paraId="0241356A" w14:textId="77777777" w:rsidR="001C2F88" w:rsidRPr="00A04715" w:rsidRDefault="001C2F88" w:rsidP="001C2F88">
      <w:pPr>
        <w:pStyle w:val="Heading1"/>
        <w:ind w:left="720"/>
        <w:rPr>
          <w:sz w:val="24"/>
          <w:szCs w:val="24"/>
        </w:rPr>
      </w:pPr>
      <w:r w:rsidRPr="00A04715">
        <w:rPr>
          <w:sz w:val="24"/>
          <w:szCs w:val="24"/>
        </w:rPr>
        <w:t xml:space="preserve">March 1, 2024, </w:t>
      </w:r>
      <w:r>
        <w:rPr>
          <w:sz w:val="24"/>
          <w:szCs w:val="24"/>
        </w:rPr>
        <w:t>“</w:t>
      </w:r>
      <w:r w:rsidRPr="00A04715">
        <w:rPr>
          <w:sz w:val="24"/>
          <w:szCs w:val="24"/>
        </w:rPr>
        <w:t>Former Colorado paramedic sentenced to 5 years after conviction in death of Elijah McClain</w:t>
      </w:r>
      <w:r>
        <w:rPr>
          <w:sz w:val="24"/>
          <w:szCs w:val="24"/>
        </w:rPr>
        <w:t xml:space="preserve">.” </w:t>
      </w:r>
      <w:hyperlink r:id="rId2165" w:history="1">
        <w:r w:rsidRPr="007C1F1F">
          <w:rPr>
            <w:rStyle w:val="Hyperlink"/>
            <w:sz w:val="24"/>
            <w:szCs w:val="24"/>
          </w:rPr>
          <w:t>https://www.cbsnews.com/colorado/news/aurora-colorado-paramedic-peter-cichuniec-sentenced-elijah-mcclain/</w:t>
        </w:r>
      </w:hyperlink>
      <w:r>
        <w:rPr>
          <w:sz w:val="24"/>
          <w:szCs w:val="24"/>
        </w:rPr>
        <w:t xml:space="preserve"> </w:t>
      </w:r>
    </w:p>
    <w:p w14:paraId="1AAAD7BC" w14:textId="77777777" w:rsidR="001C2F88" w:rsidRDefault="001C2F88" w:rsidP="001C2F88">
      <w:pPr>
        <w:pStyle w:val="Heading1"/>
        <w:ind w:left="720"/>
        <w:rPr>
          <w:sz w:val="24"/>
          <w:szCs w:val="24"/>
        </w:rPr>
      </w:pPr>
      <w:r w:rsidRPr="00EE4E88">
        <w:rPr>
          <w:sz w:val="24"/>
          <w:szCs w:val="24"/>
        </w:rPr>
        <w:t xml:space="preserve">Jan. 31, 2024, “Burlington </w:t>
      </w:r>
      <w:r>
        <w:rPr>
          <w:sz w:val="24"/>
          <w:szCs w:val="24"/>
        </w:rPr>
        <w:t xml:space="preserve">[Vermont] </w:t>
      </w:r>
      <w:r w:rsidRPr="00EE4E88">
        <w:rPr>
          <w:sz w:val="24"/>
          <w:szCs w:val="24"/>
        </w:rPr>
        <w:t xml:space="preserve">sued over claims of excessive force and inappropriate ketamine use on 14-year-old.” </w:t>
      </w:r>
      <w:hyperlink r:id="rId2166" w:history="1">
        <w:r w:rsidRPr="007C1F1F">
          <w:rPr>
            <w:rStyle w:val="Hyperlink"/>
            <w:sz w:val="24"/>
            <w:szCs w:val="24"/>
          </w:rPr>
          <w:t>https://www.vermontpublic.org/local-news/2024-01-31/burlington-sued-over-claims-of-excessive-force-and-inappropriate-ketamine-use-on-14-year-old</w:t>
        </w:r>
      </w:hyperlink>
      <w:r>
        <w:rPr>
          <w:sz w:val="24"/>
          <w:szCs w:val="24"/>
        </w:rPr>
        <w:t xml:space="preserve"> </w:t>
      </w:r>
    </w:p>
    <w:p w14:paraId="272311EE" w14:textId="77777777" w:rsidR="001C2F88" w:rsidRPr="00976E41" w:rsidRDefault="001C2F88" w:rsidP="001C2F88">
      <w:pPr>
        <w:pStyle w:val="NormalWeb"/>
        <w:ind w:left="720"/>
      </w:pPr>
      <w:r w:rsidRPr="0072252E">
        <w:rPr>
          <w:b/>
          <w:bCs/>
        </w:rPr>
        <w:t>Oct. 18, 2023, “Charleston County EMS under fire for using ketamine as lawsuits, settlements mount</w:t>
      </w:r>
      <w:r w:rsidRPr="00976E41">
        <w:t>.</w:t>
      </w:r>
      <w:r>
        <w:t xml:space="preserve">” </w:t>
      </w:r>
      <w:hyperlink r:id="rId2167" w:history="1">
        <w:r w:rsidRPr="007C1F1F">
          <w:rPr>
            <w:rStyle w:val="Hyperlink"/>
          </w:rPr>
          <w:t>https://www.postandcourier.com/news/charleston-county-ems-ketamine-lawsuit-settlement/article_682c754c-6d10-11ee-ac1b-ef7daf1ea208.html</w:t>
        </w:r>
      </w:hyperlink>
      <w:r>
        <w:t xml:space="preserve"> </w:t>
      </w:r>
      <w:r w:rsidRPr="00976E41">
        <w:t xml:space="preserve"> </w:t>
      </w:r>
    </w:p>
    <w:p w14:paraId="07739EA6" w14:textId="77777777" w:rsidR="001C2F88" w:rsidRDefault="001C2F88" w:rsidP="001C2F88">
      <w:pPr>
        <w:pStyle w:val="NormalWeb"/>
        <w:ind w:left="720"/>
      </w:pPr>
      <w:r w:rsidRPr="0072252E">
        <w:rPr>
          <w:b/>
          <w:bCs/>
        </w:rPr>
        <w:lastRenderedPageBreak/>
        <w:t>April 12, 2023, “Suit claims Utah providers fatally injected teen with large ketamine dose after car crash</w:t>
      </w:r>
      <w:r>
        <w:t xml:space="preserve">.” </w:t>
      </w:r>
      <w:hyperlink r:id="rId2168" w:history="1">
        <w:r w:rsidRPr="007C1F1F">
          <w:rPr>
            <w:rStyle w:val="Hyperlink"/>
          </w:rPr>
          <w:t>https://www.ems1.com/lawsuit/articles/suit-claims-utah-providers-fatally-injected-teen-with-large-ketamine-dose-after-car-crash-nkmBexayJBAx5TCo/</w:t>
        </w:r>
      </w:hyperlink>
      <w:r>
        <w:t xml:space="preserve"> </w:t>
      </w:r>
    </w:p>
    <w:p w14:paraId="7999E8D8" w14:textId="77777777" w:rsidR="001C2F88" w:rsidRDefault="001C2F88" w:rsidP="001C2F88">
      <w:pPr>
        <w:rPr>
          <w:rFonts w:ascii="Times New Roman" w:hAnsi="Times New Roman"/>
          <w:sz w:val="24"/>
          <w:szCs w:val="24"/>
        </w:rPr>
      </w:pPr>
    </w:p>
    <w:p w14:paraId="316336FC" w14:textId="77777777" w:rsidR="001C2F88" w:rsidRPr="001C2F88" w:rsidRDefault="001C2F88" w:rsidP="001C2F88">
      <w:pPr>
        <w:pStyle w:val="NormalWeb"/>
        <w:rPr>
          <w:rFonts w:ascii="Arial Black" w:hAnsi="Arial Black"/>
          <w:sz w:val="28"/>
          <w:szCs w:val="28"/>
        </w:rPr>
      </w:pPr>
      <w:r w:rsidRPr="001C2F88">
        <w:rPr>
          <w:rFonts w:ascii="Arial Black" w:hAnsi="Arial Black"/>
          <w:sz w:val="28"/>
          <w:szCs w:val="28"/>
        </w:rPr>
        <w:t>13-180</w:t>
      </w:r>
    </w:p>
    <w:p w14:paraId="6730D79D" w14:textId="235C923F" w:rsidR="001C2F88" w:rsidRPr="00323D7F" w:rsidRDefault="001C2F88" w:rsidP="001C2F88">
      <w:pPr>
        <w:pStyle w:val="NormalWeb"/>
        <w:rPr>
          <w:rFonts w:ascii="Arial Black" w:hAnsi="Arial Black"/>
          <w:sz w:val="28"/>
          <w:szCs w:val="28"/>
        </w:rPr>
      </w:pPr>
      <w:r>
        <w:rPr>
          <w:rFonts w:ascii="Arial Black" w:hAnsi="Arial Black"/>
          <w:sz w:val="28"/>
          <w:szCs w:val="28"/>
        </w:rPr>
        <w:t>OR: COVID – EMS URGED ROOMMATE DRIVE PT HOSPITAL – NO REFUSAL SIGNED / CARDIAC ARREST – CASE PROCEED</w:t>
      </w:r>
    </w:p>
    <w:p w14:paraId="57CC8EAE" w14:textId="77777777" w:rsidR="001C2F88" w:rsidRPr="006437DB" w:rsidRDefault="001C2F88" w:rsidP="001C2F88">
      <w:pPr>
        <w:pStyle w:val="NormalWeb"/>
        <w:rPr>
          <w:rStyle w:val="Strong"/>
          <w:rFonts w:eastAsiaTheme="majorEastAsia"/>
          <w:b w:val="0"/>
          <w:bCs w:val="0"/>
        </w:rPr>
      </w:pPr>
      <w:r w:rsidRPr="001C2F88">
        <w:rPr>
          <w:rStyle w:val="Strong"/>
          <w:rFonts w:eastAsiaTheme="majorEastAsia"/>
          <w:b w:val="0"/>
          <w:bCs w:val="0"/>
        </w:rPr>
        <w:t xml:space="preserve">On April 19, 2024, in </w:t>
      </w:r>
      <w:r w:rsidRPr="001C2F88">
        <w:rPr>
          <w:rStyle w:val="Strong"/>
          <w:rFonts w:eastAsiaTheme="majorEastAsia"/>
          <w:b w:val="0"/>
          <w:bCs w:val="0"/>
          <w:u w:val="single"/>
        </w:rPr>
        <w:t>Richard Vaughn, Jr., individually and as personal representative for the estate of Teresa Vaugh, et al. v. Klamath County Fire District No. 1, et al.</w:t>
      </w:r>
      <w:r w:rsidRPr="001C2F88">
        <w:rPr>
          <w:rStyle w:val="Strong"/>
          <w:rFonts w:eastAsiaTheme="majorEastAsia"/>
          <w:b w:val="0"/>
          <w:bCs w:val="0"/>
        </w:rPr>
        <w:t xml:space="preserve">, United States Magistrate Judge Mark D. Clarke, U.S. District Court of Oregon (Medford Division) denied defense motion for summary judgment. The actions of the two medics may be viewed by a jury as “state-created danger.” No patient refusal was ever signed, no vitals taken, and the patient’s roommate, </w:t>
      </w:r>
      <w:r w:rsidRPr="001C2F88">
        <w:t xml:space="preserve">Ms. </w:t>
      </w:r>
      <w:proofErr w:type="spellStart"/>
      <w:r w:rsidRPr="001C2F88">
        <w:t>Kimbol</w:t>
      </w:r>
      <w:proofErr w:type="spellEnd"/>
      <w:r w:rsidRPr="001C2F88">
        <w:t xml:space="preserve"> contends she responded: “Isn't that your fucking job? I wouldn't have called you.”</w:t>
      </w:r>
      <w:r>
        <w:t xml:space="preserve"> </w:t>
      </w:r>
      <w:hyperlink r:id="rId2169" w:history="1">
        <w:r w:rsidRPr="00E2199F">
          <w:rPr>
            <w:rStyle w:val="Hyperlink"/>
            <w:rFonts w:eastAsiaTheme="majorEastAsia"/>
          </w:rPr>
          <w:t>https://casetext.com/case/vaughn-v-klamath-cnty-fire-dist-no1-1</w:t>
        </w:r>
      </w:hyperlink>
      <w:r>
        <w:rPr>
          <w:rStyle w:val="Strong"/>
          <w:rFonts w:eastAsiaTheme="majorEastAsia"/>
        </w:rPr>
        <w:t xml:space="preserve"> </w:t>
      </w:r>
    </w:p>
    <w:p w14:paraId="5D8A9196" w14:textId="77777777" w:rsidR="001C2F88" w:rsidRDefault="001C2F88" w:rsidP="001C2F88">
      <w:pPr>
        <w:pStyle w:val="NormalWeb"/>
        <w:rPr>
          <w:rStyle w:val="Strong"/>
          <w:rFonts w:eastAsiaTheme="majorEastAsia"/>
        </w:rPr>
      </w:pPr>
      <w:r>
        <w:rPr>
          <w:rStyle w:val="Strong"/>
          <w:rFonts w:eastAsiaTheme="majorEastAsia"/>
        </w:rPr>
        <w:t>COURT HELD:</w:t>
      </w:r>
    </w:p>
    <w:p w14:paraId="2800024F" w14:textId="77777777" w:rsidR="001C2F88" w:rsidRDefault="001C2F88" w:rsidP="001C2F88">
      <w:pPr>
        <w:pStyle w:val="NormalWeb"/>
        <w:ind w:left="720"/>
      </w:pPr>
      <w:r>
        <w:t>“In light of such dispute, the Court finds that Plaintiffs have raised a genuine question as to whether Engler and Dustin's conduct crossed from mere inaction into affirmative action that placed Ms. Vaughn in a worse circumstance than she otherwise would have found herself in.</w:t>
      </w:r>
    </w:p>
    <w:p w14:paraId="236549DF" w14:textId="77777777" w:rsidR="001C2F88" w:rsidRDefault="001C2F88" w:rsidP="001C2F88">
      <w:pPr>
        <w:pStyle w:val="NormalWeb"/>
        <w:ind w:left="720"/>
      </w:pPr>
      <w:r>
        <w:t>***</w:t>
      </w:r>
    </w:p>
    <w:p w14:paraId="7FCFBA30" w14:textId="77777777" w:rsidR="001C2F88" w:rsidRDefault="001C2F88" w:rsidP="001C2F88">
      <w:pPr>
        <w:pStyle w:val="NormalWeb"/>
        <w:ind w:left="720"/>
      </w:pPr>
      <w:r>
        <w:t xml:space="preserve">Plaintiffs here have presented evidence that Engler and Dustin knew of Ms. Vaughn's Covid-19 diagnosis, were responding to her 911 call requesting urgent assistance, saw her in a state where she could barely </w:t>
      </w:r>
      <w:proofErr w:type="gramStart"/>
      <w:r>
        <w:t>breath</w:t>
      </w:r>
      <w:proofErr w:type="gramEnd"/>
      <w:r>
        <w:t xml:space="preserve"> or walk on her own, and still, they chose to cut off further aid . and abandon Ms. Vaughn and Ms. </w:t>
      </w:r>
      <w:proofErr w:type="spellStart"/>
      <w:r>
        <w:t>Kimbol</w:t>
      </w:r>
      <w:proofErr w:type="spellEnd"/>
      <w:r>
        <w:t xml:space="preserve">. Drawing all inferences in Plaintiffs' favor, reasonable minds could differ regarding whether </w:t>
      </w:r>
      <w:proofErr w:type="gramStart"/>
      <w:r>
        <w:t>Defendants</w:t>
      </w:r>
      <w:proofErr w:type="gramEnd"/>
      <w:r>
        <w:t xml:space="preserve"> actions rose beyond mere' negligence to deliberate indifference to the known danger presented by Ms. Vaughn's condition. The Court is further mindful that the danger and uncertainty surrounding Covid-19 in December 2020 was significantly heightened compared to our current understanding in 2024.</w:t>
      </w:r>
    </w:p>
    <w:p w14:paraId="5F26BCE5" w14:textId="77777777" w:rsidR="001C2F88" w:rsidRDefault="001C2F88" w:rsidP="001C2F88">
      <w:pPr>
        <w:pStyle w:val="NormalWeb"/>
        <w:rPr>
          <w:rStyle w:val="Strong"/>
          <w:rFonts w:eastAsiaTheme="majorEastAsia"/>
        </w:rPr>
      </w:pPr>
      <w:r>
        <w:tab/>
        <w:t>***</w:t>
      </w:r>
    </w:p>
    <w:p w14:paraId="6C2987F6" w14:textId="77777777" w:rsidR="001C2F88" w:rsidRDefault="001C2F88" w:rsidP="001C2F88">
      <w:pPr>
        <w:pStyle w:val="NormalWeb"/>
        <w:ind w:left="720"/>
      </w:pPr>
      <w:r>
        <w:t xml:space="preserve">While the particular facts of this case present a somewhat novel application of the state-created danger exception, the right to be free from state-created danger is, and has been, a clearly established constitutional right. Given the possibility of conflicting inferences, the Court declines to grant Defendants qualified immunity as a matter of law. Moreover, significant </w:t>
      </w:r>
      <w:proofErr w:type="gramStart"/>
      <w:r>
        <w:t>disputes of fact</w:t>
      </w:r>
      <w:proofErr w:type="gramEnd"/>
      <w:r>
        <w:t xml:space="preserve"> exist in this </w:t>
      </w:r>
      <w:proofErr w:type="gramStart"/>
      <w:r>
        <w:t>case</w:t>
      </w:r>
      <w:proofErr w:type="gramEnd"/>
      <w:r>
        <w:t xml:space="preserve"> creating uncertainty as to whether Engler and Dustin knew of the danger they were creating with their actions. If appropriate, Defendants are entitled to move for directed verdict at the close of </w:t>
      </w:r>
      <w:proofErr w:type="gramStart"/>
      <w:r>
        <w:t>trial.”</w:t>
      </w:r>
      <w:proofErr w:type="gramEnd"/>
    </w:p>
    <w:p w14:paraId="4C0FCAEF" w14:textId="77777777" w:rsidR="001C2F88" w:rsidRDefault="001C2F88" w:rsidP="001C2F88">
      <w:pPr>
        <w:pStyle w:val="NormalWeb"/>
        <w:spacing w:before="0" w:beforeAutospacing="0"/>
        <w:rPr>
          <w:b/>
          <w:bCs/>
          <w:color w:val="454545"/>
          <w:shd w:val="clear" w:color="auto" w:fill="FFFFFF"/>
        </w:rPr>
      </w:pPr>
      <w:r>
        <w:rPr>
          <w:b/>
          <w:bCs/>
          <w:color w:val="454545"/>
          <w:shd w:val="clear" w:color="auto" w:fill="FFFFFF"/>
        </w:rPr>
        <w:t xml:space="preserve">Legal Lesson Learned: Get patient to sign a refusal if not going to transport. </w:t>
      </w:r>
    </w:p>
    <w:p w14:paraId="14E911B0" w14:textId="77777777" w:rsidR="001C2F88" w:rsidRDefault="001C2F88" w:rsidP="001C2F88">
      <w:pPr>
        <w:rPr>
          <w:rFonts w:ascii="Times New Roman" w:hAnsi="Times New Roman"/>
          <w:sz w:val="24"/>
          <w:szCs w:val="24"/>
        </w:rPr>
      </w:pPr>
    </w:p>
    <w:p w14:paraId="4C583EC4" w14:textId="77777777" w:rsidR="001C2F88" w:rsidRPr="001C2F88" w:rsidRDefault="001C2F88" w:rsidP="001C2F88">
      <w:pPr>
        <w:rPr>
          <w:rFonts w:ascii="Times New Roman" w:hAnsi="Times New Roman"/>
          <w:sz w:val="28"/>
          <w:szCs w:val="28"/>
        </w:rPr>
      </w:pPr>
    </w:p>
    <w:p w14:paraId="706CB706" w14:textId="77777777" w:rsidR="001C2F88" w:rsidRDefault="001C2F88" w:rsidP="001C2F88">
      <w:pPr>
        <w:rPr>
          <w:rFonts w:ascii="Times New Roman" w:hAnsi="Times New Roman"/>
          <w:sz w:val="24"/>
          <w:szCs w:val="24"/>
        </w:rPr>
      </w:pPr>
    </w:p>
    <w:p w14:paraId="58041D45" w14:textId="77777777" w:rsidR="001C2F88" w:rsidRPr="001C2F88" w:rsidRDefault="001C2F88" w:rsidP="001C2F88">
      <w:pPr>
        <w:rPr>
          <w:rFonts w:ascii="Arial Black" w:hAnsi="Arial Black"/>
          <w:sz w:val="28"/>
          <w:szCs w:val="28"/>
        </w:rPr>
      </w:pPr>
      <w:r w:rsidRPr="001C2F88">
        <w:rPr>
          <w:rFonts w:ascii="Arial Black" w:hAnsi="Arial Black"/>
          <w:sz w:val="28"/>
          <w:szCs w:val="28"/>
        </w:rPr>
        <w:t>13-179</w:t>
      </w:r>
    </w:p>
    <w:p w14:paraId="0D08694A" w14:textId="32FA1529" w:rsidR="001C2F88" w:rsidRPr="00272032" w:rsidRDefault="001C2F88" w:rsidP="001C2F88">
      <w:pPr>
        <w:rPr>
          <w:rFonts w:ascii="Arial Black" w:hAnsi="Arial Black"/>
          <w:sz w:val="28"/>
          <w:szCs w:val="28"/>
        </w:rPr>
      </w:pPr>
      <w:r>
        <w:rPr>
          <w:rFonts w:ascii="Arial Black" w:hAnsi="Arial Black"/>
          <w:sz w:val="28"/>
          <w:szCs w:val="28"/>
        </w:rPr>
        <w:t>CA: METH - PD STRUGGLE - ON BACKBOARD FACE DOWN, EMT TOLD PD SIT ON HIM – D</w:t>
      </w:r>
      <w:r w:rsidR="00A304E4">
        <w:rPr>
          <w:rFonts w:ascii="Arial Black" w:hAnsi="Arial Black"/>
          <w:sz w:val="28"/>
          <w:szCs w:val="28"/>
        </w:rPr>
        <w:t xml:space="preserve">IED </w:t>
      </w:r>
      <w:r w:rsidR="00AF46AA">
        <w:rPr>
          <w:rFonts w:ascii="Arial Black" w:hAnsi="Arial Black"/>
          <w:sz w:val="28"/>
          <w:szCs w:val="28"/>
        </w:rPr>
        <w:t>-</w:t>
      </w:r>
      <w:r>
        <w:rPr>
          <w:rFonts w:ascii="Arial Black" w:hAnsi="Arial Black"/>
          <w:sz w:val="28"/>
          <w:szCs w:val="28"/>
        </w:rPr>
        <w:t xml:space="preserve"> QUAL. IMMUNITY</w:t>
      </w:r>
    </w:p>
    <w:p w14:paraId="16BBE8FE" w14:textId="6D23BB2C" w:rsidR="001C2F88" w:rsidRDefault="001C2F88" w:rsidP="001C2F88">
      <w:pPr>
        <w:pStyle w:val="NormalWeb"/>
        <w:spacing w:before="0" w:beforeAutospacing="0"/>
      </w:pPr>
      <w:r>
        <w:t xml:space="preserve">On April 15, 2024, in </w:t>
      </w:r>
      <w:r w:rsidRPr="001F5B9B">
        <w:rPr>
          <w:u w:val="single"/>
        </w:rPr>
        <w:t>Anthony Perez, et al., individually and as successor in interest to Joseph Perez v. City of Fresno</w:t>
      </w:r>
      <w:r>
        <w:t>,  the U.S. Court of Appeals for 9</w:t>
      </w:r>
      <w:r w:rsidRPr="00A9612E">
        <w:rPr>
          <w:vertAlign w:val="superscript"/>
        </w:rPr>
        <w:t>th</w:t>
      </w:r>
      <w:r>
        <w:t xml:space="preserve"> Circuit (San Francisco) held (2 to 1) that trial court properly granted summary judgment to the defense on basis of qualified immunity. Police had Perez on the ground</w:t>
      </w:r>
      <w:r w:rsidR="00A304E4">
        <w:t xml:space="preserve"> </w:t>
      </w:r>
      <w:r>
        <w:t>and then put him on backboard. As this was happening, Perez yelled that he could not breathe. “Paramedic Morgan Anderson nevertheless told one of the officers to sit on the backboard. The officer complied and sat on the board for one minute and thirteen seconds while other officers applied pressure and worked with Anderson to secure the backboard. After the seated officer stood up, the paramedics continued securing Perez to the backboard for another two minutes before turning him over. Once Perez was placed on his back, the paramedics discovered that he did not have a pulse.</w:t>
      </w:r>
      <w:r>
        <w:rPr>
          <w:rFonts w:ascii="Arial" w:hAnsi="Arial" w:cs="Arial"/>
        </w:rPr>
        <w:t xml:space="preserve">” </w:t>
      </w:r>
      <w:r>
        <w:t xml:space="preserve">According to the coroner, the average lethal dose of methamphetamine is 200 nanograms per milliliter. Perez had ten times that amount in his bloodstream. </w:t>
      </w:r>
      <w:hyperlink r:id="rId2170" w:history="1">
        <w:r w:rsidRPr="00E2199F">
          <w:rPr>
            <w:rStyle w:val="Hyperlink"/>
          </w:rPr>
          <w:t>https://cdn.ca9.uscourts.gov/datastore/opinions/2024/04/15/22-15546.pdf</w:t>
        </w:r>
      </w:hyperlink>
      <w:r>
        <w:t xml:space="preserve"> </w:t>
      </w:r>
    </w:p>
    <w:p w14:paraId="41E61916" w14:textId="77777777" w:rsidR="001C2F88" w:rsidRDefault="001C2F88" w:rsidP="001C2F88">
      <w:pPr>
        <w:pStyle w:val="NormalWeb"/>
        <w:spacing w:before="0" w:beforeAutospacing="0"/>
      </w:pPr>
      <w:r>
        <w:t xml:space="preserve">COURT HELD: </w:t>
      </w:r>
    </w:p>
    <w:p w14:paraId="335D3F67" w14:textId="77777777" w:rsidR="001C2F88" w:rsidRDefault="001C2F88" w:rsidP="001C2F88">
      <w:pPr>
        <w:pStyle w:val="NormalWeb"/>
        <w:spacing w:before="0" w:beforeAutospacing="0"/>
        <w:ind w:left="720"/>
      </w:pPr>
      <w:r>
        <w:t xml:space="preserve">“Because the law-enforcement officers' actions that Plaintiffs contend led to Perez asphyxiating were taken at the direction of a medical professional who was trying to provide medical care, both the officers and the paramedic are entitled to qualified immunity. The district court also properly granted summary judgment against Plaintiffs' Monell claims because Plaintiffs presented insufficient evidence that the </w:t>
      </w:r>
      <w:proofErr w:type="gramStart"/>
      <w:r>
        <w:t>City</w:t>
      </w:r>
      <w:proofErr w:type="gramEnd"/>
      <w:r>
        <w:t xml:space="preserve"> and the County were deliberately indifferent to their duty to properly train their law-enforcement officers.</w:t>
      </w:r>
    </w:p>
    <w:p w14:paraId="1B56272A" w14:textId="77777777" w:rsidR="001C2F88" w:rsidRDefault="001C2F88" w:rsidP="001C2F88">
      <w:pPr>
        <w:pStyle w:val="NormalWeb"/>
        <w:spacing w:before="0" w:beforeAutospacing="0"/>
        <w:ind w:left="720"/>
      </w:pPr>
      <w:r>
        <w:t>***</w:t>
      </w:r>
    </w:p>
    <w:p w14:paraId="53293A71" w14:textId="77777777" w:rsidR="001C2F88" w:rsidRDefault="001C2F88" w:rsidP="001C2F88">
      <w:pPr>
        <w:pStyle w:val="NormalWeb"/>
        <w:spacing w:before="0" w:beforeAutospacing="0"/>
        <w:ind w:left="720"/>
      </w:pPr>
      <w:r>
        <w:t xml:space="preserve">At the time of Perez's death, the law did not clearly establish, nor was it otherwise obvious, that the officers' actions, directed by medical personnel, would violate Perez's constitutional rights. Likewise, the paramedic involved was acting in a medical capacity during the incident, and the law did not clearly establish that medical personnel are liable for constitutional torts for actions taken to provide medical care or medical transport. Thus, the officers and the paramedic are entitled to qualified immunity. We also conclude that Plaintiffs produced insufficient evidence to support their </w:t>
      </w:r>
      <w:proofErr w:type="gramStart"/>
      <w:r>
        <w:t>municipal-liability</w:t>
      </w:r>
      <w:proofErr w:type="gramEnd"/>
      <w:r>
        <w:t xml:space="preserve"> claim against the City and the County based on a failure-to-train theory.</w:t>
      </w:r>
    </w:p>
    <w:p w14:paraId="6FB3E620" w14:textId="77777777" w:rsidR="001C2F88" w:rsidRDefault="001C2F88" w:rsidP="001C2F88">
      <w:pPr>
        <w:pStyle w:val="NormalWeb"/>
        <w:spacing w:before="0" w:beforeAutospacing="0"/>
        <w:ind w:left="720"/>
      </w:pPr>
      <w:r>
        <w:t>***</w:t>
      </w:r>
    </w:p>
    <w:p w14:paraId="63905B19" w14:textId="77777777" w:rsidR="001C2F88" w:rsidRDefault="001C2F88" w:rsidP="001C2F88">
      <w:pPr>
        <w:pStyle w:val="NormalWeb"/>
        <w:spacing w:before="0" w:beforeAutospacing="0"/>
        <w:ind w:left="720"/>
      </w:pPr>
      <w:r>
        <w:t xml:space="preserve">Because we conclude that the law did not clearly establish at the time of the events at issue that a paramedic restraining a person in order to secure the person for medical transport could be held liable for a constitutional violation under either the Fourth or Fourteenth Amendment, we conclude that Anderson is entitled to qualified immunity. See Wesby, 583 U.S. at 63–64, 138 </w:t>
      </w:r>
      <w:proofErr w:type="spellStart"/>
      <w:r>
        <w:t>S.Ct</w:t>
      </w:r>
      <w:proofErr w:type="spellEnd"/>
      <w:r>
        <w:t>. 577 (clearly established question must be specific to the context of the case).”</w:t>
      </w:r>
    </w:p>
    <w:p w14:paraId="6A8D535C" w14:textId="77777777" w:rsidR="001C2F88" w:rsidRDefault="001C2F88" w:rsidP="001C2F88">
      <w:pPr>
        <w:pStyle w:val="NormalWeb"/>
        <w:spacing w:before="0" w:beforeAutospacing="0"/>
      </w:pPr>
      <w:r>
        <w:t>DISSENT:</w:t>
      </w:r>
    </w:p>
    <w:p w14:paraId="4AC3CF5B" w14:textId="77777777" w:rsidR="001C2F88" w:rsidRDefault="001C2F88" w:rsidP="001C2F88">
      <w:pPr>
        <w:pStyle w:val="NormalWeb"/>
        <w:spacing w:before="0" w:beforeAutospacing="0"/>
        <w:ind w:left="720"/>
      </w:pPr>
      <w:r>
        <w:t xml:space="preserve">“However, I respectfully disagree with the conclusion that the law governing the conduct of the individual officer defendants (‘Officers’) was not ‘clearly established’ in 2017. Extensive federal case </w:t>
      </w:r>
      <w:r>
        <w:lastRenderedPageBreak/>
        <w:t xml:space="preserve">law, departmental guidance, and common sense gave Officers fair warning that applying continuous force to the back of a prone person who claims he cannot breathe is constitutionally excessive. Any argument that Officers' continued force was nonetheless ‘reasonable’ under the circumstances turns on disputed issues of material fact—not confusion about ‘what the law requires.’ Saucier v. Katz, 533 U.S. 194, 205, 121 </w:t>
      </w:r>
      <w:proofErr w:type="spellStart"/>
      <w:r>
        <w:t>S.Ct</w:t>
      </w:r>
      <w:proofErr w:type="spellEnd"/>
      <w:r>
        <w:t>. 2151, 150 L.Ed.2d 272 (2001). Therefore, I respectfully dissent in part.</w:t>
      </w:r>
    </w:p>
    <w:p w14:paraId="54F6B537" w14:textId="77777777" w:rsidR="001C2F88" w:rsidRDefault="001C2F88" w:rsidP="001C2F88">
      <w:pPr>
        <w:pStyle w:val="NormalWeb"/>
        <w:spacing w:before="0" w:beforeAutospacing="0"/>
        <w:ind w:left="720"/>
      </w:pPr>
      <w:r>
        <w:t>***</w:t>
      </w:r>
    </w:p>
    <w:p w14:paraId="1792F30C" w14:textId="77777777" w:rsidR="001C2F88" w:rsidRDefault="001C2F88" w:rsidP="001C2F88">
      <w:pPr>
        <w:pStyle w:val="NormalWeb"/>
        <w:spacing w:before="0" w:beforeAutospacing="0"/>
        <w:ind w:left="720"/>
      </w:pPr>
      <w:r>
        <w:t>The officers—indeed, any reasonable person—should have known that squeezing the breath from a compliant, prone, and handcuffed individual despite his pleas for air involves a degree of force that is greater than reasonable.”</w:t>
      </w:r>
    </w:p>
    <w:p w14:paraId="7B82D4B2" w14:textId="77777777" w:rsidR="001C2F88" w:rsidRDefault="001C2F88" w:rsidP="001C2F88">
      <w:pPr>
        <w:pStyle w:val="NormalWeb"/>
        <w:spacing w:before="0" w:beforeAutospacing="0"/>
        <w:rPr>
          <w:b/>
          <w:bCs/>
        </w:rPr>
      </w:pPr>
      <w:r w:rsidRPr="006B17EB">
        <w:rPr>
          <w:b/>
          <w:bCs/>
        </w:rPr>
        <w:t>Legal Lesson Learned:</w:t>
      </w:r>
      <w:r>
        <w:rPr>
          <w:b/>
          <w:bCs/>
        </w:rPr>
        <w:t xml:space="preserve"> EMS must be extremely cautious of backboard asphyxiation.  This can lead to denial of qualified immunity </w:t>
      </w:r>
      <w:proofErr w:type="gramStart"/>
      <w:r>
        <w:rPr>
          <w:b/>
          <w:bCs/>
        </w:rPr>
        <w:t>for</w:t>
      </w:r>
      <w:proofErr w:type="gramEnd"/>
      <w:r>
        <w:rPr>
          <w:b/>
          <w:bCs/>
        </w:rPr>
        <w:t xml:space="preserve"> EMS and has also </w:t>
      </w:r>
      <w:proofErr w:type="gramStart"/>
      <w:r>
        <w:rPr>
          <w:b/>
          <w:bCs/>
        </w:rPr>
        <w:t>has recently led</w:t>
      </w:r>
      <w:proofErr w:type="gramEnd"/>
      <w:r>
        <w:rPr>
          <w:b/>
          <w:bCs/>
        </w:rPr>
        <w:t xml:space="preserve"> to two EMTs being charged with first degree murder. </w:t>
      </w:r>
    </w:p>
    <w:p w14:paraId="6526997D" w14:textId="77777777" w:rsidR="001C2F88" w:rsidRPr="00507580" w:rsidRDefault="001C2F88" w:rsidP="001C2F88">
      <w:pPr>
        <w:pStyle w:val="Heading1"/>
        <w:ind w:left="720"/>
        <w:rPr>
          <w:b w:val="0"/>
          <w:bCs w:val="0"/>
          <w:sz w:val="24"/>
          <w:szCs w:val="24"/>
        </w:rPr>
      </w:pPr>
      <w:r w:rsidRPr="00507580">
        <w:rPr>
          <w:b w:val="0"/>
          <w:bCs w:val="0"/>
          <w:sz w:val="24"/>
          <w:szCs w:val="24"/>
        </w:rPr>
        <w:t xml:space="preserve">Note: See article, Jan. 15, 2023, “Paramedics charged with murder after patient who was in stretcher face-down dies.” </w:t>
      </w:r>
      <w:hyperlink r:id="rId2171" w:history="1">
        <w:r w:rsidRPr="00507580">
          <w:rPr>
            <w:rStyle w:val="Hyperlink"/>
            <w:b w:val="0"/>
            <w:bCs w:val="0"/>
            <w:sz w:val="24"/>
            <w:szCs w:val="24"/>
          </w:rPr>
          <w:t>https://www.woodtv.com/news/nexstar-media-wire/paramedics-charged-with-murder-after-patient-who-was-in-stretcher-face-down-dies/</w:t>
        </w:r>
      </w:hyperlink>
      <w:r w:rsidRPr="00507580">
        <w:rPr>
          <w:b w:val="0"/>
          <w:bCs w:val="0"/>
          <w:sz w:val="24"/>
          <w:szCs w:val="24"/>
        </w:rPr>
        <w:t xml:space="preserve"> </w:t>
      </w:r>
    </w:p>
    <w:p w14:paraId="14DB2EBF" w14:textId="77777777" w:rsidR="001C2F88" w:rsidRPr="00507580" w:rsidRDefault="001C2F88" w:rsidP="001C2F88">
      <w:pPr>
        <w:pStyle w:val="Heading1"/>
        <w:ind w:left="720"/>
        <w:rPr>
          <w:b w:val="0"/>
          <w:bCs w:val="0"/>
          <w:sz w:val="24"/>
          <w:szCs w:val="24"/>
        </w:rPr>
      </w:pPr>
      <w:r w:rsidRPr="00507580">
        <w:rPr>
          <w:b w:val="0"/>
          <w:bCs w:val="0"/>
          <w:sz w:val="24"/>
          <w:szCs w:val="24"/>
        </w:rPr>
        <w:t xml:space="preserve">March 21, 2023, “2 Ill. EMTs charged with murder appear in court.” </w:t>
      </w:r>
      <w:hyperlink r:id="rId2172" w:history="1">
        <w:r w:rsidRPr="00507580">
          <w:rPr>
            <w:rStyle w:val="Hyperlink"/>
            <w:b w:val="0"/>
            <w:bCs w:val="0"/>
            <w:sz w:val="24"/>
            <w:szCs w:val="24"/>
          </w:rPr>
          <w:t>https://www.ems1.com/ill-emts-charged-murder-patients-death/articles/2-ill-emts-charged-with-murder-appear-in-court-lMnB5h9BN09tUYGl/</w:t>
        </w:r>
      </w:hyperlink>
      <w:r w:rsidRPr="00507580">
        <w:rPr>
          <w:b w:val="0"/>
          <w:bCs w:val="0"/>
          <w:sz w:val="24"/>
          <w:szCs w:val="24"/>
        </w:rPr>
        <w:t xml:space="preserve"> </w:t>
      </w:r>
    </w:p>
    <w:p w14:paraId="379D232A" w14:textId="77777777" w:rsidR="001C2F88" w:rsidRPr="00B416C6" w:rsidRDefault="001C2F88" w:rsidP="001C2F88"/>
    <w:p w14:paraId="5322FA44" w14:textId="718FE341" w:rsidR="004705C6" w:rsidRDefault="004705C6" w:rsidP="004705C6">
      <w:pPr>
        <w:rPr>
          <w:rFonts w:ascii="Arial Black" w:hAnsi="Arial Black"/>
          <w:sz w:val="28"/>
          <w:szCs w:val="28"/>
        </w:rPr>
      </w:pPr>
      <w:r>
        <w:rPr>
          <w:rFonts w:ascii="Arial Black" w:hAnsi="Arial Black"/>
          <w:sz w:val="28"/>
          <w:szCs w:val="28"/>
        </w:rPr>
        <w:t>13-178</w:t>
      </w:r>
    </w:p>
    <w:p w14:paraId="159C3E5F" w14:textId="3CE25D52" w:rsidR="004705C6" w:rsidRDefault="004705C6" w:rsidP="004705C6">
      <w:pPr>
        <w:rPr>
          <w:rFonts w:ascii="Arial Black" w:hAnsi="Arial Black"/>
          <w:sz w:val="28"/>
          <w:szCs w:val="28"/>
        </w:rPr>
      </w:pPr>
      <w:r>
        <w:rPr>
          <w:rFonts w:ascii="Arial Black" w:hAnsi="Arial Black"/>
          <w:sz w:val="28"/>
          <w:szCs w:val="28"/>
        </w:rPr>
        <w:t xml:space="preserve">PA: VA PATIENT REFUSES TRANSPORT – CLINIC ADVISES NEEDS GO – SEDATED BY EMS – NOT FALSE IMPRISONMENT </w:t>
      </w:r>
    </w:p>
    <w:p w14:paraId="261171CB" w14:textId="77777777" w:rsidR="004705C6" w:rsidRDefault="004705C6" w:rsidP="004705C6">
      <w:pPr>
        <w:rPr>
          <w:rFonts w:ascii="Times New Roman" w:hAnsi="Times New Roman"/>
          <w:sz w:val="24"/>
          <w:szCs w:val="24"/>
        </w:rPr>
      </w:pPr>
      <w:r>
        <w:rPr>
          <w:rFonts w:ascii="Times New Roman" w:hAnsi="Times New Roman"/>
          <w:sz w:val="24"/>
          <w:szCs w:val="24"/>
        </w:rPr>
        <w:t xml:space="preserve">On March 26, 2024, in </w:t>
      </w:r>
      <w:r w:rsidRPr="00E34548">
        <w:rPr>
          <w:rFonts w:ascii="Times New Roman" w:hAnsi="Times New Roman"/>
          <w:sz w:val="24"/>
          <w:szCs w:val="24"/>
          <w:u w:val="single"/>
        </w:rPr>
        <w:t>Thomas Sutton v. Secretary, U.S. Department of Veterans Affairs, et al</w:t>
      </w:r>
      <w:r>
        <w:rPr>
          <w:rFonts w:ascii="Times New Roman" w:hAnsi="Times New Roman"/>
          <w:sz w:val="24"/>
          <w:szCs w:val="24"/>
          <w:u w:val="single"/>
        </w:rPr>
        <w:t>.</w:t>
      </w:r>
      <w:r>
        <w:rPr>
          <w:rFonts w:ascii="Times New Roman" w:hAnsi="Times New Roman"/>
          <w:sz w:val="24"/>
          <w:szCs w:val="24"/>
        </w:rPr>
        <w:t>, the U.S. Court of Appeals for Third Circuit (Philadelphia) held (2 to 1) that trial court properly dismissed the plaintiff’s lawsuit against two EMT for “</w:t>
      </w:r>
      <w:r w:rsidRPr="001E5D96">
        <w:rPr>
          <w:rFonts w:ascii="Times New Roman" w:hAnsi="Times New Roman"/>
          <w:sz w:val="24"/>
          <w:szCs w:val="24"/>
        </w:rPr>
        <w:t>allegedly falsely imprisoning, and assaulting and battering him while transporting him from a local clinic where he sought medical care to a nearby hospital for higher level care.</w:t>
      </w:r>
      <w:r>
        <w:rPr>
          <w:rFonts w:ascii="Times New Roman" w:hAnsi="Times New Roman"/>
          <w:sz w:val="24"/>
          <w:szCs w:val="24"/>
        </w:rPr>
        <w:t xml:space="preserve">”  In medical malpractice cases, the lawsuit must include an affidavit from an MD with certificate of merit. </w:t>
      </w:r>
    </w:p>
    <w:p w14:paraId="670A4388" w14:textId="77777777" w:rsidR="00D90293" w:rsidRPr="004C0299" w:rsidRDefault="00D90293" w:rsidP="00D90293">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064743D4" w14:textId="78633EEC" w:rsidR="004705C6" w:rsidRPr="0046151D" w:rsidRDefault="004705C6" w:rsidP="004705C6">
      <w:pPr>
        <w:ind w:left="720"/>
        <w:rPr>
          <w:rFonts w:ascii="Times New Roman" w:hAnsi="Times New Roman"/>
          <w:sz w:val="24"/>
          <w:szCs w:val="24"/>
        </w:rPr>
      </w:pPr>
      <w:r>
        <w:rPr>
          <w:rFonts w:ascii="Times New Roman" w:hAnsi="Times New Roman"/>
          <w:sz w:val="24"/>
          <w:szCs w:val="24"/>
        </w:rPr>
        <w:t>“</w:t>
      </w:r>
      <w:r w:rsidRPr="0046151D">
        <w:rPr>
          <w:rFonts w:ascii="Times New Roman" w:hAnsi="Times New Roman"/>
          <w:sz w:val="24"/>
          <w:szCs w:val="24"/>
        </w:rPr>
        <w:t xml:space="preserve">In the course of transporting Sutton to the hospital, the technicians allegedly </w:t>
      </w:r>
      <w:r>
        <w:rPr>
          <w:rFonts w:ascii="Times New Roman" w:hAnsi="Times New Roman"/>
          <w:sz w:val="24"/>
          <w:szCs w:val="24"/>
        </w:rPr>
        <w:t>‘</w:t>
      </w:r>
      <w:r w:rsidRPr="0046151D">
        <w:rPr>
          <w:rFonts w:ascii="Times New Roman" w:hAnsi="Times New Roman"/>
          <w:sz w:val="24"/>
          <w:szCs w:val="24"/>
        </w:rPr>
        <w:t>restrained [Sutton] and forcefully sedated him.</w:t>
      </w:r>
      <w:r>
        <w:rPr>
          <w:rFonts w:ascii="Times New Roman" w:hAnsi="Times New Roman"/>
          <w:sz w:val="24"/>
          <w:szCs w:val="24"/>
        </w:rPr>
        <w:t xml:space="preserve">’ </w:t>
      </w:r>
      <w:r w:rsidRPr="0046151D">
        <w:rPr>
          <w:rFonts w:ascii="Times New Roman" w:hAnsi="Times New Roman"/>
          <w:sz w:val="24"/>
          <w:szCs w:val="24"/>
        </w:rPr>
        <w:t xml:space="preserve"> It is undisputed that these actions, whether medically justified or not, occurred </w:t>
      </w:r>
      <w:proofErr w:type="gramStart"/>
      <w:r w:rsidRPr="0046151D">
        <w:rPr>
          <w:rFonts w:ascii="Times New Roman" w:hAnsi="Times New Roman"/>
          <w:sz w:val="24"/>
          <w:szCs w:val="24"/>
        </w:rPr>
        <w:t>in the course of</w:t>
      </w:r>
      <w:proofErr w:type="gramEnd"/>
      <w:r w:rsidRPr="0046151D">
        <w:rPr>
          <w:rFonts w:ascii="Times New Roman" w:hAnsi="Times New Roman"/>
          <w:sz w:val="24"/>
          <w:szCs w:val="24"/>
        </w:rPr>
        <w:t xml:space="preserve"> the technicians' professional relationship with Sutton. And as Sutton himself </w:t>
      </w:r>
      <w:proofErr w:type="gramStart"/>
      <w:r w:rsidRPr="0046151D">
        <w:rPr>
          <w:rFonts w:ascii="Times New Roman" w:hAnsi="Times New Roman"/>
          <w:sz w:val="24"/>
          <w:szCs w:val="24"/>
        </w:rPr>
        <w:t xml:space="preserve">observed, </w:t>
      </w:r>
      <w:r>
        <w:rPr>
          <w:rFonts w:ascii="Times New Roman" w:hAnsi="Times New Roman"/>
          <w:sz w:val="24"/>
          <w:szCs w:val="24"/>
        </w:rPr>
        <w:t>‘</w:t>
      </w:r>
      <w:proofErr w:type="gramEnd"/>
      <w:r w:rsidRPr="0046151D">
        <w:rPr>
          <w:rFonts w:ascii="Times New Roman" w:hAnsi="Times New Roman"/>
          <w:sz w:val="24"/>
          <w:szCs w:val="24"/>
        </w:rPr>
        <w:t>[m]</w:t>
      </w:r>
      <w:proofErr w:type="spellStart"/>
      <w:r w:rsidRPr="0046151D">
        <w:rPr>
          <w:rFonts w:ascii="Times New Roman" w:hAnsi="Times New Roman"/>
          <w:sz w:val="24"/>
          <w:szCs w:val="24"/>
        </w:rPr>
        <w:t>edical</w:t>
      </w:r>
      <w:proofErr w:type="spellEnd"/>
      <w:r w:rsidRPr="0046151D">
        <w:rPr>
          <w:rFonts w:ascii="Times New Roman" w:hAnsi="Times New Roman"/>
          <w:sz w:val="24"/>
          <w:szCs w:val="24"/>
        </w:rPr>
        <w:t xml:space="preserve"> malpractice is defined as the unwarranted departure from the generally accepted standards of medical practice resulting in injury to a patient, including </w:t>
      </w:r>
      <w:r w:rsidRPr="0046151D">
        <w:rPr>
          <w:rStyle w:val="Emphasis"/>
          <w:rFonts w:ascii="Times New Roman" w:hAnsi="Times New Roman"/>
          <w:sz w:val="24"/>
          <w:szCs w:val="24"/>
        </w:rPr>
        <w:t>all liability-producing conduct arising from the rendition of professional medical services</w:t>
      </w:r>
      <w:r w:rsidRPr="0046151D">
        <w:rPr>
          <w:rFonts w:ascii="Times New Roman" w:hAnsi="Times New Roman"/>
          <w:sz w:val="24"/>
          <w:szCs w:val="24"/>
        </w:rPr>
        <w:t>.</w:t>
      </w:r>
      <w:r>
        <w:rPr>
          <w:rFonts w:ascii="Times New Roman" w:hAnsi="Times New Roman"/>
          <w:sz w:val="24"/>
          <w:szCs w:val="24"/>
        </w:rPr>
        <w:t xml:space="preserve">’ </w:t>
      </w:r>
      <w:r w:rsidRPr="0046151D">
        <w:rPr>
          <w:rFonts w:ascii="Times New Roman" w:hAnsi="Times New Roman"/>
          <w:sz w:val="24"/>
          <w:szCs w:val="24"/>
        </w:rPr>
        <w:t xml:space="preserve"> </w:t>
      </w:r>
    </w:p>
    <w:p w14:paraId="7701CFA3" w14:textId="77777777" w:rsidR="004705C6" w:rsidRDefault="004705C6" w:rsidP="004705C6">
      <w:pPr>
        <w:pStyle w:val="NormalWeb"/>
        <w:ind w:left="720"/>
      </w:pPr>
      <w:r w:rsidRPr="0046151D">
        <w:t xml:space="preserve">Although the Dissent observes that Sutton averred certain </w:t>
      </w:r>
      <w:r>
        <w:t>‘</w:t>
      </w:r>
      <w:r w:rsidRPr="0046151D">
        <w:t>intentional</w:t>
      </w:r>
      <w:r>
        <w:t>’</w:t>
      </w:r>
      <w:r w:rsidRPr="0046151D">
        <w:t xml:space="preserve"> actions these actions sounded in medical malpractice and, thus, he was required to file a certificate of merit to </w:t>
      </w:r>
      <w:r>
        <w:t>‘</w:t>
      </w:r>
      <w:r w:rsidRPr="0046151D">
        <w:t>signal[] to the parties and the trial court that . . . he [</w:t>
      </w:r>
      <w:proofErr w:type="spellStart"/>
      <w:r w:rsidRPr="0046151D">
        <w:t>wa</w:t>
      </w:r>
      <w:proofErr w:type="spellEnd"/>
      <w:r w:rsidRPr="0046151D">
        <w:t>]s in a position to support [his] allegations . . . and that resources w[</w:t>
      </w:r>
      <w:proofErr w:type="spellStart"/>
      <w:r w:rsidRPr="0046151D">
        <w:t>ould</w:t>
      </w:r>
      <w:proofErr w:type="spellEnd"/>
      <w:r w:rsidRPr="0046151D">
        <w:t xml:space="preserve">] </w:t>
      </w:r>
      <w:r w:rsidRPr="0046151D">
        <w:lastRenderedPageBreak/>
        <w:t>not be wasted if additional pleading and discovery [were to] take place.</w:t>
      </w:r>
      <w:r>
        <w:t>’</w:t>
      </w:r>
      <w:r w:rsidRPr="0046151D">
        <w:t xml:space="preserve"> </w:t>
      </w:r>
      <w:r w:rsidRPr="0046151D">
        <w:rPr>
          <w:rStyle w:val="Emphasis"/>
          <w:rFonts w:eastAsiaTheme="majorEastAsia"/>
        </w:rPr>
        <w:t>Bisher</w:t>
      </w:r>
      <w:r w:rsidRPr="0046151D">
        <w:t>, 265 A.3d at 3690 (internal quotation marks and citation omitted)</w:t>
      </w:r>
      <w:r>
        <w:t xml:space="preserve">.” </w:t>
      </w:r>
    </w:p>
    <w:p w14:paraId="1B87A630" w14:textId="77777777" w:rsidR="004705C6" w:rsidRDefault="004705C6" w:rsidP="004705C6">
      <w:pPr>
        <w:pStyle w:val="NormalWeb"/>
      </w:pPr>
      <w:r>
        <w:t xml:space="preserve">DISSENT – Circuit Judge Thomas Hardiman:   </w:t>
      </w:r>
    </w:p>
    <w:p w14:paraId="3DFF5096" w14:textId="77777777" w:rsidR="004705C6" w:rsidRPr="0046151D" w:rsidRDefault="004705C6" w:rsidP="004705C6">
      <w:pPr>
        <w:pStyle w:val="NormalWeb"/>
        <w:ind w:left="720"/>
      </w:pPr>
      <w:r>
        <w:t xml:space="preserve">“Sutton alleges intentional torts, not mere negligence. He accuses Fayette EMS of sedating him and transporting him to a hospital without his consent. Such claims do not require a certificate of merit. </w:t>
      </w:r>
      <w:r>
        <w:rPr>
          <w:rStyle w:val="Emphasis"/>
          <w:rFonts w:eastAsiaTheme="majorEastAsia"/>
        </w:rPr>
        <w:t>See</w:t>
      </w:r>
      <w:r>
        <w:t xml:space="preserve"> Pa. R. Civ. P. 1042.3(a); </w:t>
      </w:r>
      <w:r>
        <w:rPr>
          <w:rStyle w:val="Emphasis"/>
          <w:rFonts w:eastAsiaTheme="majorEastAsia"/>
        </w:rPr>
        <w:t>Montgomery</w:t>
      </w:r>
      <w:r>
        <w:t>, 798 A.2d at 749. These claims also fall outside the ambit of immunity under Pennsylvania's Emergency Medical Services Act and could support punitive damages.”</w:t>
      </w:r>
    </w:p>
    <w:p w14:paraId="74DA1A77" w14:textId="77777777" w:rsidR="004705C6" w:rsidRPr="00347278" w:rsidRDefault="004705C6" w:rsidP="004705C6">
      <w:pPr>
        <w:pStyle w:val="NormalWeb"/>
        <w:rPr>
          <w:b/>
          <w:bCs/>
        </w:rPr>
      </w:pPr>
      <w:r w:rsidRPr="00347278">
        <w:rPr>
          <w:b/>
          <w:bCs/>
        </w:rPr>
        <w:t xml:space="preserve">Legal Lesson Learned: </w:t>
      </w:r>
      <w:r>
        <w:rPr>
          <w:b/>
          <w:bCs/>
        </w:rPr>
        <w:t xml:space="preserve">Medical practice cases require a “certificate of merit” by an MD to proceed. </w:t>
      </w:r>
    </w:p>
    <w:p w14:paraId="6E362BDB" w14:textId="77777777" w:rsidR="004705C6" w:rsidRDefault="004705C6" w:rsidP="004705C6">
      <w:pPr>
        <w:pStyle w:val="NormalWeb"/>
        <w:ind w:left="720"/>
        <w:jc w:val="both"/>
      </w:pPr>
    </w:p>
    <w:p w14:paraId="2F3D6EAA" w14:textId="77777777" w:rsidR="004705C6" w:rsidRDefault="004705C6" w:rsidP="004705C6">
      <w:pPr>
        <w:pStyle w:val="NormalWeb"/>
        <w:ind w:left="720"/>
        <w:jc w:val="both"/>
      </w:pPr>
    </w:p>
    <w:p w14:paraId="7AB05BE1" w14:textId="77777777" w:rsidR="004705C6" w:rsidRDefault="004705C6" w:rsidP="004705C6">
      <w:pPr>
        <w:pStyle w:val="NormalWeb"/>
        <w:spacing w:before="0" w:beforeAutospacing="0"/>
        <w:rPr>
          <w:color w:val="454545"/>
          <w:shd w:val="clear" w:color="auto" w:fill="FFFFFF"/>
        </w:rPr>
      </w:pPr>
    </w:p>
    <w:p w14:paraId="618F67B5" w14:textId="77777777" w:rsidR="004705C6" w:rsidRPr="004705C6" w:rsidRDefault="004705C6" w:rsidP="004705C6">
      <w:pPr>
        <w:pStyle w:val="NormalWeb"/>
        <w:spacing w:before="0" w:beforeAutospacing="0"/>
        <w:rPr>
          <w:rFonts w:ascii="Arial Black" w:hAnsi="Arial Black"/>
          <w:color w:val="454545"/>
          <w:sz w:val="28"/>
          <w:szCs w:val="28"/>
          <w:shd w:val="clear" w:color="auto" w:fill="FFFFFF"/>
        </w:rPr>
      </w:pPr>
      <w:r w:rsidRPr="004705C6">
        <w:rPr>
          <w:rFonts w:ascii="Arial Black" w:hAnsi="Arial Black"/>
          <w:color w:val="454545"/>
          <w:sz w:val="28"/>
          <w:szCs w:val="28"/>
          <w:shd w:val="clear" w:color="auto" w:fill="FFFFFF"/>
        </w:rPr>
        <w:t>13-177</w:t>
      </w:r>
    </w:p>
    <w:p w14:paraId="691F6B9F" w14:textId="0065EF06" w:rsidR="004705C6" w:rsidRDefault="004705C6" w:rsidP="004705C6">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OK: EMT HELPING PD - GRAB ARM / LEG - TRANSPORTED IN HANCUFFS / CPR / DIED – QUALIFIED IMMUNITY</w:t>
      </w:r>
    </w:p>
    <w:p w14:paraId="34DC18FB" w14:textId="77777777" w:rsidR="00784981" w:rsidRDefault="004705C6" w:rsidP="00784981">
      <w:pPr>
        <w:pStyle w:val="NormalWeb"/>
        <w:spacing w:before="0" w:beforeAutospacing="0"/>
      </w:pPr>
      <w:r>
        <w:rPr>
          <w:color w:val="454545"/>
          <w:shd w:val="clear" w:color="auto" w:fill="FFFFFF"/>
        </w:rPr>
        <w:t xml:space="preserve">On March 26, 2024, in </w:t>
      </w:r>
      <w:r w:rsidRPr="000A5E66">
        <w:rPr>
          <w:color w:val="454545"/>
          <w:u w:val="single"/>
          <w:shd w:val="clear" w:color="auto" w:fill="FFFFFF"/>
        </w:rPr>
        <w:t xml:space="preserve">John Kruer, individually and as Co-Administrator of Estate of </w:t>
      </w:r>
      <w:proofErr w:type="spellStart"/>
      <w:r w:rsidRPr="000A5E66">
        <w:rPr>
          <w:color w:val="454545"/>
          <w:u w:val="single"/>
          <w:shd w:val="clear" w:color="auto" w:fill="FFFFFF"/>
        </w:rPr>
        <w:t>Jeffret</w:t>
      </w:r>
      <w:proofErr w:type="spellEnd"/>
      <w:r w:rsidRPr="000A5E66">
        <w:rPr>
          <w:color w:val="454545"/>
          <w:u w:val="single"/>
          <w:shd w:val="clear" w:color="auto" w:fill="FFFFFF"/>
        </w:rPr>
        <w:t xml:space="preserve"> Krueger v. Sheriff Chris Elliott, et al.</w:t>
      </w:r>
      <w:r>
        <w:rPr>
          <w:color w:val="454545"/>
          <w:shd w:val="clear" w:color="auto" w:fill="FFFFFF"/>
        </w:rPr>
        <w:t>, United States District Court Judge Ronald A. White, U.S. District Court for Eastern District of Oklahoma, granted the EMT’s motion for summary judgment – qualified immunity.</w:t>
      </w:r>
      <w:r w:rsidR="00086D22">
        <w:rPr>
          <w:color w:val="454545"/>
          <w:shd w:val="clear" w:color="auto" w:fill="FFFFFF"/>
        </w:rPr>
        <w:t xml:space="preserve">  </w:t>
      </w:r>
      <w:r w:rsidR="00D90293">
        <w:rPr>
          <w:shd w:val="clear" w:color="auto" w:fill="FFFFFF"/>
        </w:rPr>
        <w:t xml:space="preserve">THE COURT </w:t>
      </w:r>
      <w:proofErr w:type="spellStart"/>
      <w:r w:rsidR="00D90293">
        <w:rPr>
          <w:shd w:val="clear" w:color="auto" w:fill="FFFFFF"/>
        </w:rPr>
        <w:t>HELD:</w:t>
      </w:r>
      <w:r>
        <w:rPr>
          <w:color w:val="454545"/>
          <w:shd w:val="clear" w:color="auto" w:fill="FFFFFF"/>
        </w:rPr>
        <w:t>“</w:t>
      </w:r>
      <w:r>
        <w:t>Plaintiffs</w:t>
      </w:r>
      <w:proofErr w:type="spellEnd"/>
      <w:r>
        <w:t xml:space="preserve"> have not identified any cases holding that an EMT violates an individual's Fourth Amendment right to be free from excessive force by briefly assisting officers in cuffing that individual, especially when that individual is struggling with officers in the middle of a busy highway where he stopped his car. As Plaintiffs have not satisfied their “burden of identifying cases that constitute clearly established law on these facts,” </w:t>
      </w:r>
      <w:r>
        <w:rPr>
          <w:rStyle w:val="Emphasis"/>
          <w:rFonts w:eastAsiaTheme="majorEastAsia"/>
        </w:rPr>
        <w:t>Id.</w:t>
      </w:r>
      <w:r>
        <w:t xml:space="preserve"> (citing </w:t>
      </w:r>
      <w:r>
        <w:rPr>
          <w:rStyle w:val="Emphasis"/>
          <w:rFonts w:eastAsiaTheme="majorEastAsia"/>
        </w:rPr>
        <w:t>Quinn v. Young</w:t>
      </w:r>
      <w:r>
        <w:t xml:space="preserve">, 780 F.3d 998, 1015 (10th Cir. 2015)), Smith and Patterson are entitled to qualified immunity on Plaintiffs' Fourth Amendment claims of excessive force. The motion for summary judgment motion is granted as to the excessive force claims against Smith and Patterson.”  </w:t>
      </w:r>
      <w:hyperlink r:id="rId2173" w:history="1">
        <w:r w:rsidRPr="006F5A98">
          <w:rPr>
            <w:rStyle w:val="Hyperlink"/>
          </w:rPr>
          <w:t>https://public.fastcase.com/H1P9uiW3J20SFp%2BGCG%2BxLfXb%2FP0Zem%2FZVE%2B6Qs7i4IO1WpaqZWLhEbCf1wzASLCeHTBrNzAeMbTpuOI06nFKgtuOqPD57vVcxacgyHv1UJc%3D?utm_medium=email&amp;_hsmi=226712652&amp;_hsenc=p2ANqtz-8wnxBiWrzuFD2HrdDPkM1g9CGhbZuaZGzbWbXmLdA56OF31_PY2JQBf09BSmDMlHEKBQ_DWKjsPmFM9QlP1xX06T0eGA&amp;utm_content=226712652&amp;utm_source=hs_email</w:t>
        </w:r>
      </w:hyperlink>
      <w:r>
        <w:t xml:space="preserve"> </w:t>
      </w:r>
    </w:p>
    <w:p w14:paraId="7B081384" w14:textId="5E9E8AED" w:rsidR="004705C6" w:rsidRDefault="00784981" w:rsidP="00784981">
      <w:pPr>
        <w:pStyle w:val="NormalWeb"/>
        <w:spacing w:before="0" w:beforeAutospacing="0"/>
        <w:ind w:left="720"/>
        <w:rPr>
          <w:rFonts w:ascii="Arial Black" w:hAnsi="Arial Black"/>
          <w:b/>
          <w:bCs/>
          <w:color w:val="454545"/>
          <w:sz w:val="28"/>
          <w:szCs w:val="28"/>
          <w:shd w:val="clear" w:color="auto" w:fill="FFFFFF"/>
        </w:rPr>
      </w:pPr>
      <w:r>
        <w:t xml:space="preserve">Note: </w:t>
      </w:r>
      <w:r w:rsidR="001E28A4">
        <w:rPr>
          <w:color w:val="454545"/>
          <w:shd w:val="clear" w:color="auto" w:fill="FFFFFF"/>
        </w:rPr>
        <w:t>Aug. 22, 2025, 10</w:t>
      </w:r>
      <w:r w:rsidR="001E28A4" w:rsidRPr="00086D22">
        <w:rPr>
          <w:color w:val="454545"/>
          <w:shd w:val="clear" w:color="auto" w:fill="FFFFFF"/>
          <w:vertAlign w:val="superscript"/>
        </w:rPr>
        <w:t>th</w:t>
      </w:r>
      <w:r w:rsidR="001E28A4">
        <w:rPr>
          <w:color w:val="454545"/>
          <w:shd w:val="clear" w:color="auto" w:fill="FFFFFF"/>
        </w:rPr>
        <w:t xml:space="preserve"> Circuit agreed: “</w:t>
      </w:r>
      <w:r w:rsidR="001E28A4" w:rsidRPr="00DE14B4">
        <w:rPr>
          <w:shd w:val="clear" w:color="auto" w:fill="FFFFFF"/>
        </w:rPr>
        <w:t>We agree with the district court that the Defendants are not entitled to</w:t>
      </w:r>
      <w:r w:rsidR="001E28A4">
        <w:rPr>
          <w:shd w:val="clear" w:color="auto" w:fill="FFFFFF"/>
        </w:rPr>
        <w:t xml:space="preserve"> </w:t>
      </w:r>
      <w:r w:rsidR="001E28A4" w:rsidRPr="00DE14B4">
        <w:rPr>
          <w:shd w:val="clear" w:color="auto" w:fill="FFFFFF"/>
        </w:rPr>
        <w:t>qualified immunity on the excessive force and failure to intervene claims.</w:t>
      </w:r>
      <w:r w:rsidR="001E28A4">
        <w:rPr>
          <w:shd w:val="clear" w:color="auto" w:fill="FFFFFF"/>
        </w:rPr>
        <w:t xml:space="preserve"> </w:t>
      </w:r>
      <w:r w:rsidR="001E28A4" w:rsidRPr="00DE14B4">
        <w:rPr>
          <w:shd w:val="clear" w:color="auto" w:fill="FFFFFF"/>
        </w:rPr>
        <w:t>Accordingly, we affirm the district court’s orders denying summary judgment.</w:t>
      </w:r>
      <w:r w:rsidR="001E28A4">
        <w:rPr>
          <w:shd w:val="clear" w:color="auto" w:fill="FFFFFF"/>
        </w:rPr>
        <w:t>”</w:t>
      </w:r>
      <w:r w:rsidR="001E28A4" w:rsidRPr="005E2E1A">
        <w:t xml:space="preserve"> </w:t>
      </w:r>
      <w:hyperlink r:id="rId2174" w:history="1">
        <w:r w:rsidR="001E28A4" w:rsidRPr="005B4041">
          <w:rPr>
            <w:rStyle w:val="Hyperlink"/>
            <w:shd w:val="clear" w:color="auto" w:fill="FFFFFF"/>
          </w:rPr>
          <w:t>https://cases.justia.com/federal/appellate-courts/ca10/24-7035/24-7035-2025-08-22.pdf?ts=1755880380</w:t>
        </w:r>
      </w:hyperlink>
    </w:p>
    <w:p w14:paraId="74CD2BBF" w14:textId="77777777" w:rsidR="004705C6" w:rsidRPr="00534353" w:rsidRDefault="004705C6" w:rsidP="004705C6">
      <w:pPr>
        <w:pStyle w:val="NormalWeb"/>
        <w:rPr>
          <w:b/>
          <w:bCs/>
        </w:rPr>
      </w:pPr>
      <w:r w:rsidRPr="00534353">
        <w:rPr>
          <w:b/>
          <w:bCs/>
        </w:rPr>
        <w:t>Legal Lesson Learned:</w:t>
      </w:r>
      <w:r>
        <w:rPr>
          <w:b/>
          <w:bCs/>
        </w:rPr>
        <w:t xml:space="preserve">  EMS may assist police in restraining a prisoner. </w:t>
      </w:r>
    </w:p>
    <w:p w14:paraId="7E143C7D" w14:textId="77777777" w:rsidR="004705C6" w:rsidRDefault="004705C6" w:rsidP="004705C6">
      <w:pPr>
        <w:pStyle w:val="NormalWeb"/>
      </w:pPr>
    </w:p>
    <w:p w14:paraId="59DDF0A2" w14:textId="77777777" w:rsidR="004705C6" w:rsidRDefault="004705C6" w:rsidP="004705C6">
      <w:pPr>
        <w:pStyle w:val="NormalWeb"/>
      </w:pPr>
    </w:p>
    <w:p w14:paraId="63DBB2AA" w14:textId="77777777" w:rsidR="004705C6" w:rsidRDefault="004705C6" w:rsidP="004705C6">
      <w:pPr>
        <w:rPr>
          <w:rFonts w:ascii="Arial Black" w:hAnsi="Arial Black"/>
          <w:sz w:val="28"/>
          <w:szCs w:val="28"/>
        </w:rPr>
      </w:pPr>
      <w:r>
        <w:rPr>
          <w:rFonts w:ascii="Arial Black" w:hAnsi="Arial Black"/>
          <w:sz w:val="28"/>
          <w:szCs w:val="28"/>
        </w:rPr>
        <w:lastRenderedPageBreak/>
        <w:t>13-176</w:t>
      </w:r>
    </w:p>
    <w:p w14:paraId="7470A0FC" w14:textId="78AEC580" w:rsidR="004705C6" w:rsidRPr="00EB612F" w:rsidRDefault="004705C6" w:rsidP="004705C6">
      <w:pPr>
        <w:rPr>
          <w:rFonts w:ascii="Arial Black" w:hAnsi="Arial Black"/>
          <w:sz w:val="28"/>
          <w:szCs w:val="28"/>
        </w:rPr>
      </w:pPr>
      <w:r>
        <w:rPr>
          <w:rFonts w:ascii="Arial Black" w:hAnsi="Arial Black"/>
          <w:sz w:val="28"/>
          <w:szCs w:val="28"/>
        </w:rPr>
        <w:t>CA: PD HANCUFFED MENTAL – STOPPED RESISTING, BUT MEDIC INJECTED VERSED / DIED – CASE PROCEED</w:t>
      </w:r>
    </w:p>
    <w:p w14:paraId="1FDCEAF2" w14:textId="51AE1E7F" w:rsidR="004705C6" w:rsidRDefault="004705C6" w:rsidP="004705C6">
      <w:pPr>
        <w:pStyle w:val="NormalWeb"/>
      </w:pPr>
      <w:r>
        <w:t xml:space="preserve">On March 15, 2024, in </w:t>
      </w:r>
      <w:r w:rsidRPr="008058CA">
        <w:rPr>
          <w:u w:val="single"/>
        </w:rPr>
        <w:t>Ivan Gutzalenko, et al. v. City of Richmond, et al</w:t>
      </w:r>
      <w:r>
        <w:t xml:space="preserve">., United States District Court Judge Edward M. Chen, U.S. District Court for Northern District of California, denied the motion to dismiss by AMR and paramedic Damon Richardson, who had administered 5 milligrams of Versed into his left bicep, and the detainee stopped breathing.  </w:t>
      </w:r>
      <w:r w:rsidRPr="00A77F9B">
        <w:t xml:space="preserve">Plaintiffs claim Mr. Richardson did not </w:t>
      </w:r>
      <w:r>
        <w:t>‘</w:t>
      </w:r>
      <w:r w:rsidRPr="00A77F9B">
        <w:t>aspirate</w:t>
      </w:r>
      <w:r>
        <w:t>’</w:t>
      </w:r>
      <w:r w:rsidRPr="00A77F9B">
        <w:t xml:space="preserve"> the syringe when he administered the Versed to ensure it was not in the vein. Plaintiffs allege that the decedent stopped breathing within 90 seconds of the Versed administration and that he was pronounced dead after he was taken to Summit Hospital in Oakland.</w:t>
      </w:r>
      <w:r w:rsidR="00F733DE">
        <w:t xml:space="preserve"> </w:t>
      </w:r>
      <w:hyperlink r:id="rId2175" w:history="1">
        <w:r w:rsidR="00F733DE" w:rsidRPr="0026472A">
          <w:rPr>
            <w:rStyle w:val="Hyperlink"/>
          </w:rPr>
          <w:t>https://richmondside.org/2025/09/11/civil-rights-trial-forced-sedation-richmond-death/</w:t>
        </w:r>
      </w:hyperlink>
      <w:r w:rsidR="00F733DE">
        <w:t xml:space="preserve"> </w:t>
      </w:r>
    </w:p>
    <w:p w14:paraId="13295A4C" w14:textId="77777777" w:rsidR="00D90293" w:rsidRPr="004C0299" w:rsidRDefault="00D90293" w:rsidP="00D90293">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721A4182" w14:textId="77777777" w:rsidR="004504A6" w:rsidRDefault="004504A6" w:rsidP="004705C6">
      <w:pPr>
        <w:pStyle w:val="NoSpacing"/>
        <w:ind w:left="720"/>
        <w:rPr>
          <w:rFonts w:ascii="Times New Roman" w:hAnsi="Times New Roman"/>
          <w:sz w:val="24"/>
          <w:szCs w:val="24"/>
        </w:rPr>
      </w:pPr>
    </w:p>
    <w:p w14:paraId="792E0214" w14:textId="30E23BBB" w:rsidR="004705C6" w:rsidRDefault="004705C6" w:rsidP="004705C6">
      <w:pPr>
        <w:pStyle w:val="NoSpacing"/>
        <w:ind w:left="720"/>
        <w:rPr>
          <w:rFonts w:ascii="Times New Roman" w:hAnsi="Times New Roman"/>
          <w:sz w:val="24"/>
          <w:szCs w:val="24"/>
        </w:rPr>
      </w:pPr>
      <w:r>
        <w:rPr>
          <w:rFonts w:ascii="Times New Roman" w:hAnsi="Times New Roman"/>
          <w:sz w:val="24"/>
          <w:szCs w:val="24"/>
        </w:rPr>
        <w:t>“</w:t>
      </w:r>
      <w:r w:rsidRPr="0068190E">
        <w:rPr>
          <w:rFonts w:ascii="Times New Roman" w:hAnsi="Times New Roman"/>
          <w:sz w:val="24"/>
          <w:szCs w:val="24"/>
        </w:rPr>
        <w:t>Taking the allegations as true, if Mr. Richardson administered Versed into the decedent's body even though the decedent was not resisting arrest and could not consent, thus resulting in the decedent's death, these facts could constitute battery.</w:t>
      </w:r>
    </w:p>
    <w:p w14:paraId="7512B3FF" w14:textId="77777777" w:rsidR="004705C6" w:rsidRDefault="004705C6" w:rsidP="004705C6">
      <w:pPr>
        <w:pStyle w:val="NoSpacing"/>
        <w:rPr>
          <w:rFonts w:ascii="Times New Roman" w:hAnsi="Times New Roman"/>
          <w:sz w:val="24"/>
          <w:szCs w:val="24"/>
        </w:rPr>
      </w:pPr>
    </w:p>
    <w:p w14:paraId="69902BDB" w14:textId="77777777" w:rsidR="004705C6" w:rsidRDefault="004705C6" w:rsidP="004705C6">
      <w:pPr>
        <w:pStyle w:val="NoSpacing"/>
        <w:ind w:firstLine="720"/>
        <w:rPr>
          <w:rFonts w:ascii="Times New Roman" w:hAnsi="Times New Roman"/>
          <w:sz w:val="24"/>
          <w:szCs w:val="24"/>
        </w:rPr>
      </w:pPr>
      <w:r>
        <w:rPr>
          <w:rFonts w:ascii="Times New Roman" w:hAnsi="Times New Roman"/>
          <w:sz w:val="24"/>
          <w:szCs w:val="24"/>
        </w:rPr>
        <w:t>***</w:t>
      </w:r>
    </w:p>
    <w:p w14:paraId="5AEF51E4" w14:textId="77777777" w:rsidR="004705C6" w:rsidRDefault="004705C6" w:rsidP="004705C6">
      <w:pPr>
        <w:pStyle w:val="NoSpacing"/>
        <w:rPr>
          <w:rFonts w:ascii="Times New Roman" w:hAnsi="Times New Roman"/>
          <w:sz w:val="24"/>
          <w:szCs w:val="24"/>
        </w:rPr>
      </w:pPr>
    </w:p>
    <w:p w14:paraId="2A256FCC" w14:textId="77777777" w:rsidR="004705C6" w:rsidRDefault="004705C6" w:rsidP="004705C6">
      <w:pPr>
        <w:pStyle w:val="NoSpacing"/>
        <w:ind w:left="720"/>
        <w:rPr>
          <w:rFonts w:ascii="Times New Roman" w:hAnsi="Times New Roman"/>
          <w:sz w:val="24"/>
          <w:szCs w:val="24"/>
        </w:rPr>
      </w:pPr>
      <w:r w:rsidRPr="00F63C8E">
        <w:rPr>
          <w:rFonts w:ascii="Times New Roman" w:hAnsi="Times New Roman"/>
          <w:sz w:val="24"/>
          <w:szCs w:val="24"/>
        </w:rPr>
        <w:t>But whether there was a medical emergency here that warranted the injection of Versed is at least a factual question inappropriate for resolution on a motion to dismiss. The Court denies summary judgment and thus cannot dismiss Plaintiff's claim for assault and battery because factual issues remain.</w:t>
      </w:r>
    </w:p>
    <w:p w14:paraId="793EA206" w14:textId="77777777" w:rsidR="004705C6" w:rsidRDefault="004705C6" w:rsidP="004705C6">
      <w:pPr>
        <w:pStyle w:val="NoSpacing"/>
        <w:rPr>
          <w:rFonts w:ascii="Times New Roman" w:hAnsi="Times New Roman"/>
          <w:sz w:val="24"/>
          <w:szCs w:val="24"/>
        </w:rPr>
      </w:pPr>
      <w:r>
        <w:rPr>
          <w:rFonts w:ascii="Times New Roman" w:hAnsi="Times New Roman"/>
          <w:sz w:val="24"/>
          <w:szCs w:val="24"/>
        </w:rPr>
        <w:tab/>
      </w:r>
    </w:p>
    <w:p w14:paraId="72DAB3DE" w14:textId="77777777" w:rsidR="004705C6" w:rsidRDefault="004705C6" w:rsidP="004705C6">
      <w:pPr>
        <w:pStyle w:val="NoSpacing"/>
        <w:ind w:firstLine="720"/>
        <w:rPr>
          <w:rFonts w:ascii="Times New Roman" w:hAnsi="Times New Roman"/>
          <w:sz w:val="24"/>
          <w:szCs w:val="24"/>
        </w:rPr>
      </w:pPr>
      <w:r>
        <w:rPr>
          <w:rFonts w:ascii="Times New Roman" w:hAnsi="Times New Roman"/>
          <w:sz w:val="24"/>
          <w:szCs w:val="24"/>
        </w:rPr>
        <w:t>***</w:t>
      </w:r>
    </w:p>
    <w:p w14:paraId="4B3336DF" w14:textId="77777777" w:rsidR="004705C6" w:rsidRPr="009A0D07" w:rsidRDefault="004705C6" w:rsidP="004705C6">
      <w:pPr>
        <w:pStyle w:val="NoSpacing"/>
        <w:ind w:left="720"/>
        <w:rPr>
          <w:rFonts w:ascii="Times New Roman" w:hAnsi="Times New Roman"/>
          <w:sz w:val="24"/>
          <w:szCs w:val="24"/>
        </w:rPr>
      </w:pPr>
      <w:r w:rsidRPr="009A0D07">
        <w:rPr>
          <w:rFonts w:ascii="Times New Roman" w:hAnsi="Times New Roman"/>
          <w:sz w:val="24"/>
          <w:szCs w:val="24"/>
        </w:rPr>
        <w:t>Because the Court finds that Plaintiffs sufficiently alleged that Mr. Richardson assisted police officers in detaining and arresting the decedent, Mr. Richardson could be liable for the false arrest claim if he acted in a law enforcement rather than medical capacity.</w:t>
      </w:r>
      <w:r>
        <w:rPr>
          <w:rFonts w:ascii="Times New Roman" w:hAnsi="Times New Roman"/>
          <w:sz w:val="24"/>
          <w:szCs w:val="24"/>
        </w:rPr>
        <w:t xml:space="preserve">” </w:t>
      </w:r>
      <w:hyperlink r:id="rId2176" w:history="1">
        <w:r w:rsidRPr="00571E72">
          <w:rPr>
            <w:rStyle w:val="Hyperlink"/>
            <w:rFonts w:ascii="Times New Roman" w:hAnsi="Times New Roman"/>
            <w:sz w:val="24"/>
            <w:szCs w:val="24"/>
          </w:rPr>
          <w:t>https://casetext.com/case/gutzalenko-v-city-of-richmond</w:t>
        </w:r>
      </w:hyperlink>
      <w:r>
        <w:rPr>
          <w:rFonts w:ascii="Times New Roman" w:hAnsi="Times New Roman"/>
          <w:sz w:val="24"/>
          <w:szCs w:val="24"/>
        </w:rPr>
        <w:t xml:space="preserve"> </w:t>
      </w:r>
    </w:p>
    <w:p w14:paraId="06CCE028" w14:textId="77777777" w:rsidR="004705C6" w:rsidRPr="0068190E" w:rsidRDefault="004705C6" w:rsidP="004705C6">
      <w:pPr>
        <w:pStyle w:val="NoSpacing"/>
        <w:rPr>
          <w:rFonts w:ascii="Times New Roman" w:hAnsi="Times New Roman"/>
          <w:sz w:val="24"/>
          <w:szCs w:val="24"/>
        </w:rPr>
      </w:pPr>
    </w:p>
    <w:p w14:paraId="69B5F1F4" w14:textId="77777777" w:rsidR="004705C6" w:rsidRPr="001F7017" w:rsidRDefault="004705C6" w:rsidP="004705C6">
      <w:pPr>
        <w:pStyle w:val="NormalWeb"/>
        <w:rPr>
          <w:b/>
          <w:bCs/>
        </w:rPr>
      </w:pPr>
      <w:r>
        <w:rPr>
          <w:b/>
          <w:bCs/>
        </w:rPr>
        <w:t xml:space="preserve">Legal Lesson Learned:  If detainee is not struggling, carefully follow protocol about when to administer a sedative. </w:t>
      </w:r>
    </w:p>
    <w:p w14:paraId="04100412" w14:textId="77777777" w:rsidR="004705C6" w:rsidRPr="005E33AC" w:rsidRDefault="004705C6" w:rsidP="004705C6">
      <w:pPr>
        <w:pStyle w:val="NoSpacing"/>
        <w:ind w:left="720"/>
        <w:rPr>
          <w:rFonts w:ascii="Times New Roman" w:hAnsi="Times New Roman"/>
          <w:sz w:val="24"/>
          <w:szCs w:val="24"/>
        </w:rPr>
      </w:pPr>
      <w:r w:rsidRPr="005E33AC">
        <w:rPr>
          <w:rFonts w:ascii="Times New Roman" w:hAnsi="Times New Roman"/>
          <w:sz w:val="24"/>
          <w:szCs w:val="24"/>
        </w:rPr>
        <w:t>Note: See County Prosecutor’s investigation report, including interview of Medic Richardson (page 19)</w:t>
      </w:r>
      <w:r>
        <w:rPr>
          <w:rFonts w:ascii="Times New Roman" w:hAnsi="Times New Roman"/>
          <w:sz w:val="24"/>
          <w:szCs w:val="24"/>
        </w:rPr>
        <w:t xml:space="preserve">: </w:t>
      </w:r>
      <w:hyperlink r:id="rId2177" w:history="1">
        <w:r w:rsidRPr="00AA5DF9">
          <w:rPr>
            <w:rStyle w:val="Hyperlink"/>
            <w:rFonts w:ascii="Times New Roman" w:hAnsi="Times New Roman"/>
            <w:sz w:val="24"/>
            <w:szCs w:val="24"/>
          </w:rPr>
          <w:t>https://www.contracosta.ca.gov/DocumentCenter/View/79107/Final-LEIFI-Ivan-Gutzalenko--2021</w:t>
        </w:r>
      </w:hyperlink>
      <w:r>
        <w:rPr>
          <w:rFonts w:ascii="Times New Roman" w:hAnsi="Times New Roman"/>
          <w:sz w:val="24"/>
          <w:szCs w:val="24"/>
        </w:rPr>
        <w:t xml:space="preserve"> </w:t>
      </w:r>
    </w:p>
    <w:p w14:paraId="7578E5A0" w14:textId="77777777" w:rsidR="004705C6" w:rsidRPr="005E33AC" w:rsidRDefault="004705C6" w:rsidP="004705C6">
      <w:pPr>
        <w:pStyle w:val="NoSpacing"/>
        <w:rPr>
          <w:rFonts w:ascii="Times New Roman" w:hAnsi="Times New Roman"/>
          <w:sz w:val="24"/>
          <w:szCs w:val="24"/>
        </w:rPr>
      </w:pPr>
    </w:p>
    <w:p w14:paraId="3A0E2915" w14:textId="77777777" w:rsidR="004705C6" w:rsidRDefault="004705C6" w:rsidP="004705C6">
      <w:pPr>
        <w:pStyle w:val="NoSpacing"/>
        <w:rPr>
          <w:rFonts w:ascii="Times New Roman" w:hAnsi="Times New Roman"/>
          <w:sz w:val="24"/>
          <w:szCs w:val="24"/>
        </w:rPr>
      </w:pPr>
    </w:p>
    <w:p w14:paraId="4C4ACB24" w14:textId="77777777" w:rsidR="004705C6" w:rsidRPr="00A77F9B" w:rsidRDefault="004705C6" w:rsidP="004705C6">
      <w:pPr>
        <w:pStyle w:val="NoSpacing"/>
        <w:rPr>
          <w:rFonts w:ascii="Times New Roman" w:hAnsi="Times New Roman"/>
          <w:sz w:val="24"/>
          <w:szCs w:val="24"/>
        </w:rPr>
      </w:pPr>
    </w:p>
    <w:p w14:paraId="788E51A9" w14:textId="77777777" w:rsidR="004705C6" w:rsidRPr="004705C6" w:rsidRDefault="004705C6" w:rsidP="004705C6">
      <w:pPr>
        <w:pStyle w:val="NormalWeb"/>
        <w:spacing w:before="0" w:beforeAutospacing="0"/>
        <w:rPr>
          <w:rFonts w:ascii="Arial Black" w:hAnsi="Arial Black"/>
          <w:color w:val="454545"/>
          <w:sz w:val="28"/>
          <w:szCs w:val="28"/>
          <w:shd w:val="clear" w:color="auto" w:fill="FFFFFF"/>
        </w:rPr>
      </w:pPr>
      <w:r w:rsidRPr="004705C6">
        <w:rPr>
          <w:rFonts w:ascii="Arial Black" w:hAnsi="Arial Black"/>
          <w:color w:val="454545"/>
          <w:sz w:val="28"/>
          <w:szCs w:val="28"/>
          <w:shd w:val="clear" w:color="auto" w:fill="FFFFFF"/>
        </w:rPr>
        <w:t>13-175</w:t>
      </w:r>
    </w:p>
    <w:p w14:paraId="3BDEB80D" w14:textId="16D15A9F" w:rsidR="004705C6" w:rsidRPr="00BF0450" w:rsidRDefault="004705C6" w:rsidP="004705C6">
      <w:pPr>
        <w:pStyle w:val="NormalWeb"/>
        <w:spacing w:before="0" w:beforeAutospacing="0"/>
        <w:rPr>
          <w:rFonts w:ascii="Arial Black" w:hAnsi="Arial Black"/>
          <w:b/>
          <w:bCs/>
          <w:color w:val="454545"/>
          <w:sz w:val="28"/>
          <w:szCs w:val="28"/>
          <w:shd w:val="clear" w:color="auto" w:fill="FFFFFF"/>
        </w:rPr>
      </w:pPr>
      <w:r>
        <w:rPr>
          <w:rFonts w:ascii="Arial Black" w:hAnsi="Arial Black"/>
          <w:b/>
          <w:bCs/>
          <w:color w:val="454545"/>
          <w:sz w:val="28"/>
          <w:szCs w:val="28"/>
          <w:shd w:val="clear" w:color="auto" w:fill="FFFFFF"/>
        </w:rPr>
        <w:t>SC: COMBATIVE PT IN AMBULANCE – GIVEN 2</w:t>
      </w:r>
      <w:r w:rsidRPr="00C50832">
        <w:rPr>
          <w:rFonts w:ascii="Arial Black" w:hAnsi="Arial Black"/>
          <w:b/>
          <w:bCs/>
          <w:color w:val="454545"/>
          <w:sz w:val="28"/>
          <w:szCs w:val="28"/>
          <w:shd w:val="clear" w:color="auto" w:fill="FFFFFF"/>
          <w:vertAlign w:val="superscript"/>
        </w:rPr>
        <w:t>nd</w:t>
      </w:r>
      <w:r>
        <w:rPr>
          <w:rFonts w:ascii="Arial Black" w:hAnsi="Arial Black"/>
          <w:b/>
          <w:bCs/>
          <w:color w:val="454545"/>
          <w:sz w:val="28"/>
          <w:szCs w:val="28"/>
          <w:shd w:val="clear" w:color="auto" w:fill="FFFFFF"/>
        </w:rPr>
        <w:t xml:space="preserve"> KETAMINE – LIVED - NOT “SHOCK THE CONSCIOUS” - NO FED. CASE</w:t>
      </w:r>
    </w:p>
    <w:p w14:paraId="6A478D7B" w14:textId="77777777" w:rsidR="004705C6" w:rsidRDefault="004705C6" w:rsidP="004705C6">
      <w:pPr>
        <w:pStyle w:val="NormalWeb"/>
        <w:spacing w:before="0" w:beforeAutospacing="0"/>
      </w:pPr>
      <w:r w:rsidRPr="003E0A9D">
        <w:rPr>
          <w:color w:val="454545"/>
          <w:shd w:val="clear" w:color="auto" w:fill="FFFFFF"/>
        </w:rPr>
        <w:t>On March 14, 2024</w:t>
      </w:r>
      <w:r>
        <w:rPr>
          <w:color w:val="454545"/>
          <w:shd w:val="clear" w:color="auto" w:fill="FFFFFF"/>
        </w:rPr>
        <w:t xml:space="preserve">, in </w:t>
      </w:r>
      <w:r w:rsidRPr="00EB2849">
        <w:rPr>
          <w:color w:val="454545"/>
          <w:u w:val="single"/>
          <w:shd w:val="clear" w:color="auto" w:fill="FFFFFF"/>
        </w:rPr>
        <w:t>Randy Botten v. Charleton County EMS and Christopher Cox</w:t>
      </w:r>
      <w:r>
        <w:rPr>
          <w:color w:val="454545"/>
          <w:shd w:val="clear" w:color="auto" w:fill="FFFFFF"/>
        </w:rPr>
        <w:t xml:space="preserve">, United States District Court Judge David C. Norton, U.S. District Court for South Carolina (Charleston Division) granted defense motion to dismiss; plaintiff alleges he suffered </w:t>
      </w:r>
      <w:r>
        <w:t xml:space="preserve">acute respiratory failure because of second injection of ketamine, but he was so combative in back of the ambulance they had to pull over to control him. </w:t>
      </w:r>
    </w:p>
    <w:p w14:paraId="0BACE187" w14:textId="77777777" w:rsidR="004504A6" w:rsidRPr="004C0299" w:rsidRDefault="004504A6" w:rsidP="004504A6">
      <w:pPr>
        <w:pStyle w:val="NoSpacing"/>
        <w:rPr>
          <w:rFonts w:ascii="Times New Roman" w:hAnsi="Times New Roman"/>
          <w:sz w:val="24"/>
          <w:szCs w:val="24"/>
        </w:rPr>
      </w:pPr>
      <w:r>
        <w:rPr>
          <w:rFonts w:ascii="Times New Roman" w:hAnsi="Times New Roman"/>
          <w:sz w:val="24"/>
          <w:szCs w:val="24"/>
          <w:shd w:val="clear" w:color="auto" w:fill="FFFFFF"/>
        </w:rPr>
        <w:lastRenderedPageBreak/>
        <w:t>THE COURT HELD:</w:t>
      </w:r>
    </w:p>
    <w:p w14:paraId="560BA1D1" w14:textId="77777777" w:rsidR="004705C6" w:rsidRDefault="004705C6" w:rsidP="004705C6">
      <w:pPr>
        <w:pStyle w:val="NormalWeb"/>
        <w:ind w:left="720"/>
      </w:pPr>
      <w:r>
        <w:t>“The heart of Botten's allegations in this lawsuit is that these two ketamine injections were done without his consent and in a dangerous manner. He says that EMS employees determine how much ketamine to administer by ‘looking at the person and guessing their weight.’ Botten claims that injecting an intoxicated person with 500 milligrams of ketamine is extremely dangerous and can result in that person's death, and he says that the defendants had been told he was drunk prior to their injecting him.  He further states that Cox did not consult with medical control prior to administering the second ketamine dose, which violated EMS's protocol. Botten believes the defendants did not have a legitimate medical purpose for injecting him with ketamine and instead administered the drug ‘solely for the purpose of behavioral control.</w:t>
      </w:r>
    </w:p>
    <w:p w14:paraId="174BAB9D" w14:textId="77777777" w:rsidR="004705C6" w:rsidRDefault="004705C6" w:rsidP="004705C6">
      <w:pPr>
        <w:pStyle w:val="NormalWeb"/>
        <w:ind w:left="720"/>
      </w:pPr>
      <w:r>
        <w:t>***</w:t>
      </w:r>
    </w:p>
    <w:p w14:paraId="4D0373F6" w14:textId="77777777" w:rsidR="004705C6" w:rsidRDefault="004705C6" w:rsidP="004705C6">
      <w:pPr>
        <w:pStyle w:val="NormalWeb"/>
        <w:ind w:left="720"/>
      </w:pPr>
      <w:r>
        <w:t xml:space="preserve">The court finds that Botten's § 1983 claim must be dismissed because Botten's allegations do not give rise to a constitutional violation. The Fourth Circuit recently outlined what is necessary for a plaintiff to assert a due process violation based on an invasion of bodily integrity. </w:t>
      </w:r>
      <w:r>
        <w:rPr>
          <w:rStyle w:val="Emphasis"/>
          <w:rFonts w:eastAsiaTheme="majorEastAsia"/>
        </w:rPr>
        <w:t xml:space="preserve">See Washington v. </w:t>
      </w:r>
      <w:proofErr w:type="spellStart"/>
      <w:r>
        <w:rPr>
          <w:rStyle w:val="Emphasis"/>
          <w:rFonts w:eastAsiaTheme="majorEastAsia"/>
        </w:rPr>
        <w:t>Hous</w:t>
      </w:r>
      <w:proofErr w:type="spellEnd"/>
      <w:r>
        <w:rPr>
          <w:rStyle w:val="Emphasis"/>
          <w:rFonts w:eastAsiaTheme="majorEastAsia"/>
        </w:rPr>
        <w:t>. Auth.,</w:t>
      </w:r>
      <w:r>
        <w:t xml:space="preserve"> 58 F.4th 170, 177 (4th Cir. 2023). Namely, the plaintiff must show that the ‘defendant's behavior was ‘so egregious, so outrageous, that it may fairly be said to shock the contemporary conscience.' To be conscience shocking, a defendant's behavior must lack ‘any reasonable justification in the service of a legitimate governmental objective.' </w:t>
      </w:r>
      <w:r>
        <w:rPr>
          <w:rStyle w:val="Emphasis"/>
          <w:rFonts w:eastAsiaTheme="majorEastAsia"/>
        </w:rPr>
        <w:t>Id.</w:t>
      </w:r>
      <w:r>
        <w:t xml:space="preserve"> (citation omitted) (first quoting </w:t>
      </w:r>
      <w:r>
        <w:rPr>
          <w:rStyle w:val="Emphasis"/>
          <w:rFonts w:eastAsiaTheme="majorEastAsia"/>
        </w:rPr>
        <w:t>Dean ex rel. Harkness v. McKinney,</w:t>
      </w:r>
      <w:r>
        <w:t xml:space="preserve"> 976 F.3d 407, 413 (4th Cir. 2020); and then quoting </w:t>
      </w:r>
      <w:proofErr w:type="spellStart"/>
      <w:r>
        <w:rPr>
          <w:rStyle w:val="Emphasis"/>
          <w:rFonts w:eastAsiaTheme="majorEastAsia"/>
        </w:rPr>
        <w:t>Cnty</w:t>
      </w:r>
      <w:proofErr w:type="spellEnd"/>
      <w:r>
        <w:rPr>
          <w:rStyle w:val="Emphasis"/>
          <w:rFonts w:eastAsiaTheme="majorEastAsia"/>
        </w:rPr>
        <w:t>. of Sacramento v. Lewis,</w:t>
      </w:r>
      <w:r>
        <w:t xml:space="preserve"> 523 U.S. 833, 846 (1998)).” </w:t>
      </w:r>
      <w:hyperlink r:id="rId2178" w:history="1">
        <w:r w:rsidRPr="00AA5DF9">
          <w:rPr>
            <w:rStyle w:val="Hyperlink"/>
          </w:rPr>
          <w:t>https://public.fastcase.com/H1P9uiW3J20SFp%2BGCG%2BxLaemfayQbOUv%2BEh6FB5s8DQhIQ87YMziPJITlyqe%2FhSH?utm_medium=email&amp;_hsmi=226712652&amp;_hsenc=p2ANqtz-8exNZIeYxIQOzMK262tD3IHaMXGJDKKAxfpMPtjNaE7kcerp9c9vm-ypoKl8zd2ZG1HbM5kXW5cAGwdVsTDfl2ZJRdHw&amp;utm_content=226712652&amp;utm_source=hs_email</w:t>
        </w:r>
      </w:hyperlink>
      <w:r>
        <w:t xml:space="preserve"> </w:t>
      </w:r>
    </w:p>
    <w:p w14:paraId="0E3E4942" w14:textId="77777777" w:rsidR="004705C6" w:rsidRPr="00931393" w:rsidRDefault="004705C6" w:rsidP="004705C6">
      <w:pPr>
        <w:pStyle w:val="NormalWeb"/>
        <w:rPr>
          <w:b/>
          <w:bCs/>
        </w:rPr>
      </w:pPr>
      <w:r>
        <w:rPr>
          <w:b/>
          <w:bCs/>
        </w:rPr>
        <w:t xml:space="preserve">Legal Lesson Learned: Follow your protocol on administering second injection of ketamine. </w:t>
      </w:r>
    </w:p>
    <w:p w14:paraId="0215BAFE" w14:textId="77777777" w:rsidR="004705C6" w:rsidRDefault="004705C6" w:rsidP="004705C6">
      <w:pPr>
        <w:pStyle w:val="NoSpacing"/>
        <w:rPr>
          <w:rFonts w:ascii="Arial Black" w:hAnsi="Arial Black"/>
          <w:sz w:val="28"/>
          <w:szCs w:val="28"/>
        </w:rPr>
      </w:pPr>
    </w:p>
    <w:p w14:paraId="2A9D8362" w14:textId="63A9BF1E" w:rsidR="004705C6" w:rsidRDefault="004705C6" w:rsidP="004705C6">
      <w:pPr>
        <w:pStyle w:val="NoSpacing"/>
        <w:rPr>
          <w:rFonts w:ascii="Arial Black" w:hAnsi="Arial Black"/>
          <w:sz w:val="28"/>
          <w:szCs w:val="28"/>
        </w:rPr>
      </w:pPr>
      <w:r>
        <w:rPr>
          <w:rFonts w:ascii="Arial Black" w:hAnsi="Arial Black"/>
          <w:sz w:val="28"/>
          <w:szCs w:val="28"/>
        </w:rPr>
        <w:t>13-174</w:t>
      </w:r>
    </w:p>
    <w:p w14:paraId="03D50363" w14:textId="77777777" w:rsidR="004705C6" w:rsidRDefault="004705C6" w:rsidP="004705C6">
      <w:pPr>
        <w:pStyle w:val="NoSpacing"/>
        <w:rPr>
          <w:rFonts w:ascii="Arial Black" w:hAnsi="Arial Black"/>
          <w:sz w:val="28"/>
          <w:szCs w:val="28"/>
        </w:rPr>
      </w:pPr>
    </w:p>
    <w:p w14:paraId="44507672" w14:textId="77C60C5B" w:rsidR="004705C6" w:rsidRPr="008B6200" w:rsidRDefault="004705C6" w:rsidP="004705C6">
      <w:pPr>
        <w:pStyle w:val="NoSpacing"/>
        <w:rPr>
          <w:rFonts w:ascii="Arial Black" w:hAnsi="Arial Black"/>
          <w:sz w:val="28"/>
          <w:szCs w:val="28"/>
        </w:rPr>
      </w:pPr>
      <w:r>
        <w:rPr>
          <w:rFonts w:ascii="Arial Black" w:hAnsi="Arial Black"/>
          <w:sz w:val="28"/>
          <w:szCs w:val="28"/>
        </w:rPr>
        <w:t>TX: BLS TRANSPORT AFTER MVA – BILLED $1,830.50 – NO MEDICAL EXPERT FRAUD - CASE PROPERLY DISMISSED</w:t>
      </w:r>
    </w:p>
    <w:p w14:paraId="5DDCC576" w14:textId="77777777" w:rsidR="004705C6" w:rsidRDefault="004705C6" w:rsidP="004705C6">
      <w:pPr>
        <w:pStyle w:val="NoSpacing"/>
        <w:rPr>
          <w:rFonts w:ascii="Times New Roman" w:hAnsi="Times New Roman"/>
          <w:sz w:val="24"/>
          <w:szCs w:val="24"/>
        </w:rPr>
      </w:pPr>
    </w:p>
    <w:p w14:paraId="799015BB" w14:textId="77777777" w:rsidR="004705C6" w:rsidRDefault="004705C6" w:rsidP="004705C6">
      <w:pPr>
        <w:pStyle w:val="NoSpacing"/>
        <w:rPr>
          <w:rFonts w:ascii="Times New Roman" w:hAnsi="Times New Roman"/>
          <w:sz w:val="24"/>
          <w:szCs w:val="24"/>
        </w:rPr>
      </w:pPr>
      <w:r>
        <w:rPr>
          <w:rFonts w:ascii="Times New Roman" w:hAnsi="Times New Roman"/>
          <w:sz w:val="24"/>
          <w:szCs w:val="24"/>
        </w:rPr>
        <w:t xml:space="preserve">On March 14, 2024, in </w:t>
      </w:r>
      <w:proofErr w:type="spellStart"/>
      <w:r w:rsidRPr="00F1279A">
        <w:rPr>
          <w:rFonts w:ascii="Times New Roman" w:hAnsi="Times New Roman"/>
          <w:sz w:val="24"/>
          <w:szCs w:val="24"/>
          <w:u w:val="single"/>
        </w:rPr>
        <w:t>Alstonia</w:t>
      </w:r>
      <w:proofErr w:type="spellEnd"/>
      <w:r w:rsidRPr="00F1279A">
        <w:rPr>
          <w:rFonts w:ascii="Times New Roman" w:hAnsi="Times New Roman"/>
          <w:sz w:val="24"/>
          <w:szCs w:val="24"/>
          <w:u w:val="single"/>
        </w:rPr>
        <w:t xml:space="preserve"> Louis v. Liberty County Emergency Medical Service, Inc</w:t>
      </w:r>
      <w:r>
        <w:rPr>
          <w:rFonts w:ascii="Times New Roman" w:hAnsi="Times New Roman"/>
          <w:sz w:val="24"/>
          <w:szCs w:val="24"/>
        </w:rPr>
        <w:t xml:space="preserve">., the </w:t>
      </w:r>
    </w:p>
    <w:p w14:paraId="279EAD48" w14:textId="77777777" w:rsidR="004705C6" w:rsidRDefault="004705C6" w:rsidP="004705C6">
      <w:pPr>
        <w:pStyle w:val="NoSpacing"/>
        <w:rPr>
          <w:rFonts w:ascii="Times New Roman" w:hAnsi="Times New Roman"/>
          <w:sz w:val="24"/>
          <w:szCs w:val="24"/>
        </w:rPr>
      </w:pPr>
      <w:r w:rsidRPr="00C312AE">
        <w:rPr>
          <w:rFonts w:ascii="Times New Roman" w:hAnsi="Times New Roman"/>
          <w:sz w:val="24"/>
          <w:szCs w:val="24"/>
        </w:rPr>
        <w:t>Court of Appeals of Texas, Fourteenth District</w:t>
      </w:r>
      <w:r>
        <w:rPr>
          <w:rFonts w:ascii="Times New Roman" w:hAnsi="Times New Roman"/>
          <w:sz w:val="24"/>
          <w:szCs w:val="24"/>
        </w:rPr>
        <w:t xml:space="preserve"> held (3 to 0) that trial court properly granted defense motion to dismiss since this is in effect a medical malpractice claim that under Texas law must be supported by affidavit from medical expert.  </w:t>
      </w:r>
    </w:p>
    <w:p w14:paraId="53D766B2" w14:textId="77777777" w:rsidR="004504A6" w:rsidRDefault="004504A6" w:rsidP="004504A6">
      <w:pPr>
        <w:pStyle w:val="NoSpacing"/>
        <w:rPr>
          <w:rFonts w:ascii="Times New Roman" w:hAnsi="Times New Roman"/>
          <w:sz w:val="24"/>
          <w:szCs w:val="24"/>
          <w:shd w:val="clear" w:color="auto" w:fill="FFFFFF"/>
        </w:rPr>
      </w:pPr>
    </w:p>
    <w:p w14:paraId="005E6815" w14:textId="7BB1174A" w:rsidR="004504A6" w:rsidRPr="004C0299" w:rsidRDefault="004504A6" w:rsidP="004504A6">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0D6A70DC" w14:textId="77777777" w:rsidR="004705C6" w:rsidRDefault="004705C6" w:rsidP="004705C6">
      <w:pPr>
        <w:pStyle w:val="NoSpacing"/>
      </w:pPr>
    </w:p>
    <w:p w14:paraId="47786942" w14:textId="77777777" w:rsidR="004705C6" w:rsidRDefault="004705C6" w:rsidP="004705C6">
      <w:pPr>
        <w:pStyle w:val="NoSpacing"/>
        <w:ind w:left="720"/>
        <w:rPr>
          <w:rFonts w:ascii="Times New Roman" w:hAnsi="Times New Roman"/>
          <w:sz w:val="24"/>
          <w:szCs w:val="24"/>
        </w:rPr>
      </w:pPr>
      <w:r>
        <w:rPr>
          <w:rFonts w:ascii="Times New Roman" w:hAnsi="Times New Roman"/>
          <w:sz w:val="24"/>
          <w:szCs w:val="24"/>
        </w:rPr>
        <w:t>“</w:t>
      </w:r>
      <w:r w:rsidRPr="00BE1DE1">
        <w:rPr>
          <w:rFonts w:ascii="Times New Roman" w:hAnsi="Times New Roman"/>
          <w:sz w:val="24"/>
          <w:szCs w:val="24"/>
        </w:rPr>
        <w:t xml:space="preserve">Both Louis's pleadings and affidavit establish that he was transported by ambulance and received health care from Liberty County EMS. For example, Louis acknowledged that Liberty County EMS checked his vital signs. Therefore, we are confronted with another situation in which the conduct of the health-care provider and the determination of the care provided </w:t>
      </w:r>
      <w:proofErr w:type="gramStart"/>
      <w:r w:rsidRPr="00BE1DE1">
        <w:rPr>
          <w:rFonts w:ascii="Times New Roman" w:hAnsi="Times New Roman"/>
          <w:sz w:val="24"/>
          <w:szCs w:val="24"/>
        </w:rPr>
        <w:t>is at issue</w:t>
      </w:r>
      <w:proofErr w:type="gramEnd"/>
      <w:r w:rsidRPr="00BE1DE1">
        <w:rPr>
          <w:rFonts w:ascii="Times New Roman" w:hAnsi="Times New Roman"/>
          <w:sz w:val="24"/>
          <w:szCs w:val="24"/>
        </w:rPr>
        <w:t xml:space="preserve">. The resolution of Louis's challenge to the level of care provided to him and appropriate commensurate billing for those services is </w:t>
      </w:r>
      <w:r w:rsidRPr="00BE1DE1">
        <w:rPr>
          <w:rFonts w:ascii="Times New Roman" w:hAnsi="Times New Roman"/>
          <w:sz w:val="24"/>
          <w:szCs w:val="24"/>
        </w:rPr>
        <w:lastRenderedPageBreak/>
        <w:t xml:space="preserve">not within lay knowledge. Therefore, the </w:t>
      </w:r>
      <w:proofErr w:type="gramStart"/>
      <w:r w:rsidRPr="00BE1DE1">
        <w:rPr>
          <w:rFonts w:ascii="Times New Roman" w:hAnsi="Times New Roman"/>
          <w:sz w:val="24"/>
          <w:szCs w:val="24"/>
        </w:rPr>
        <w:t>fact-finder</w:t>
      </w:r>
      <w:proofErr w:type="gramEnd"/>
      <w:r w:rsidRPr="00BE1DE1">
        <w:rPr>
          <w:rFonts w:ascii="Times New Roman" w:hAnsi="Times New Roman"/>
          <w:sz w:val="24"/>
          <w:szCs w:val="24"/>
        </w:rPr>
        <w:t xml:space="preserve"> would need expert medical testimony to confirm whether (1) the care received by Louis was </w:t>
      </w:r>
      <w:r>
        <w:rPr>
          <w:rFonts w:ascii="Times New Roman" w:hAnsi="Times New Roman"/>
          <w:sz w:val="24"/>
          <w:szCs w:val="24"/>
        </w:rPr>
        <w:t>‘</w:t>
      </w:r>
      <w:r w:rsidRPr="00BE1DE1">
        <w:rPr>
          <w:rFonts w:ascii="Times New Roman" w:hAnsi="Times New Roman"/>
          <w:sz w:val="24"/>
          <w:szCs w:val="24"/>
        </w:rPr>
        <w:t>basic-life support</w:t>
      </w:r>
      <w:r>
        <w:rPr>
          <w:rFonts w:ascii="Times New Roman" w:hAnsi="Times New Roman"/>
          <w:sz w:val="24"/>
          <w:szCs w:val="24"/>
        </w:rPr>
        <w:t>’</w:t>
      </w:r>
      <w:r w:rsidRPr="00BE1DE1">
        <w:rPr>
          <w:rFonts w:ascii="Times New Roman" w:hAnsi="Times New Roman"/>
          <w:sz w:val="24"/>
          <w:szCs w:val="24"/>
        </w:rPr>
        <w:t xml:space="preserve"> as he was billed for and (2) the amount Louis was charged was appropriate for the services provided.</w:t>
      </w:r>
    </w:p>
    <w:p w14:paraId="716AF1CC" w14:textId="77777777" w:rsidR="004705C6" w:rsidRDefault="004705C6" w:rsidP="004705C6">
      <w:pPr>
        <w:pStyle w:val="NoSpacing"/>
        <w:rPr>
          <w:rFonts w:ascii="Times New Roman" w:hAnsi="Times New Roman"/>
          <w:sz w:val="24"/>
          <w:szCs w:val="24"/>
        </w:rPr>
      </w:pPr>
    </w:p>
    <w:p w14:paraId="2ECB23BC" w14:textId="77777777" w:rsidR="004705C6" w:rsidRDefault="004705C6" w:rsidP="004705C6">
      <w:pPr>
        <w:pStyle w:val="NoSpacing"/>
        <w:ind w:firstLine="720"/>
        <w:rPr>
          <w:rFonts w:ascii="Times New Roman" w:hAnsi="Times New Roman"/>
          <w:sz w:val="24"/>
          <w:szCs w:val="24"/>
        </w:rPr>
      </w:pPr>
      <w:r>
        <w:rPr>
          <w:rFonts w:ascii="Times New Roman" w:hAnsi="Times New Roman"/>
          <w:sz w:val="24"/>
          <w:szCs w:val="24"/>
        </w:rPr>
        <w:t>***</w:t>
      </w:r>
    </w:p>
    <w:p w14:paraId="4226AA41" w14:textId="77777777" w:rsidR="004705C6" w:rsidRDefault="004705C6" w:rsidP="004705C6">
      <w:pPr>
        <w:pStyle w:val="NoSpacing"/>
        <w:rPr>
          <w:rFonts w:ascii="Times New Roman" w:hAnsi="Times New Roman"/>
          <w:sz w:val="24"/>
          <w:szCs w:val="24"/>
        </w:rPr>
      </w:pPr>
    </w:p>
    <w:p w14:paraId="605E59FA" w14:textId="77777777" w:rsidR="004705C6" w:rsidRDefault="004705C6" w:rsidP="004705C6">
      <w:pPr>
        <w:pStyle w:val="NoSpacing"/>
        <w:ind w:left="720"/>
        <w:rPr>
          <w:rFonts w:ascii="Times New Roman" w:hAnsi="Times New Roman"/>
          <w:sz w:val="24"/>
          <w:szCs w:val="24"/>
        </w:rPr>
      </w:pPr>
      <w:r w:rsidRPr="00B350FE">
        <w:rPr>
          <w:rFonts w:ascii="Times New Roman" w:hAnsi="Times New Roman"/>
          <w:sz w:val="24"/>
          <w:szCs w:val="24"/>
        </w:rPr>
        <w:t>Following this court's precedent and the statutory directives of chapter 74, we conclude the trial court did not err in determining that Louis brought a healthcare-liability claim and for dismissing the claim due to lack of compliance with the expert-report requirements.</w:t>
      </w:r>
      <w:r>
        <w:rPr>
          <w:rFonts w:ascii="Times New Roman" w:hAnsi="Times New Roman"/>
          <w:sz w:val="24"/>
          <w:szCs w:val="24"/>
        </w:rPr>
        <w:t xml:space="preserve">” </w:t>
      </w:r>
      <w:hyperlink r:id="rId2179" w:history="1">
        <w:r w:rsidRPr="00AA5DF9">
          <w:rPr>
            <w:rStyle w:val="Hyperlink"/>
            <w:rFonts w:ascii="Times New Roman" w:hAnsi="Times New Roman"/>
            <w:sz w:val="24"/>
            <w:szCs w:val="24"/>
          </w:rPr>
          <w:t>https://casetext.com/case/louis-v-liberty-cnty-emergency-med-servs-3</w:t>
        </w:r>
      </w:hyperlink>
      <w:r>
        <w:rPr>
          <w:rFonts w:ascii="Times New Roman" w:hAnsi="Times New Roman"/>
          <w:sz w:val="24"/>
          <w:szCs w:val="24"/>
        </w:rPr>
        <w:t xml:space="preserve"> </w:t>
      </w:r>
    </w:p>
    <w:p w14:paraId="1EAEA7E9" w14:textId="77777777" w:rsidR="004705C6" w:rsidRDefault="004705C6" w:rsidP="004705C6">
      <w:pPr>
        <w:pStyle w:val="NoSpacing"/>
        <w:ind w:left="720"/>
        <w:rPr>
          <w:rFonts w:ascii="Times New Roman" w:hAnsi="Times New Roman"/>
          <w:sz w:val="24"/>
          <w:szCs w:val="24"/>
        </w:rPr>
      </w:pPr>
    </w:p>
    <w:p w14:paraId="1A09C9BE" w14:textId="77777777" w:rsidR="004705C6" w:rsidRDefault="004705C6" w:rsidP="004705C6">
      <w:pPr>
        <w:pStyle w:val="paragraph"/>
        <w:rPr>
          <w:b/>
          <w:bCs/>
        </w:rPr>
      </w:pPr>
      <w:r w:rsidRPr="005417E2">
        <w:rPr>
          <w:b/>
          <w:bCs/>
        </w:rPr>
        <w:t xml:space="preserve">Legal Lesson Learned: </w:t>
      </w:r>
      <w:r>
        <w:rPr>
          <w:b/>
          <w:bCs/>
        </w:rPr>
        <w:t xml:space="preserve">The plaintiff needed an affidavit from a medical expert to support his claim of fraudulent billing. </w:t>
      </w:r>
    </w:p>
    <w:p w14:paraId="048D45A9" w14:textId="77777777" w:rsidR="004705C6" w:rsidRDefault="004705C6" w:rsidP="004705C6">
      <w:pPr>
        <w:pStyle w:val="paragraph"/>
        <w:rPr>
          <w:b/>
          <w:bCs/>
        </w:rPr>
      </w:pPr>
    </w:p>
    <w:p w14:paraId="3AB60A62" w14:textId="77777777" w:rsidR="004705C6" w:rsidRPr="004705C6" w:rsidRDefault="004705C6" w:rsidP="004705C6">
      <w:pPr>
        <w:pStyle w:val="NormalWeb"/>
        <w:rPr>
          <w:sz w:val="28"/>
          <w:szCs w:val="28"/>
        </w:rPr>
      </w:pPr>
    </w:p>
    <w:p w14:paraId="11631F1F" w14:textId="77777777" w:rsidR="004705C6" w:rsidRPr="004705C6" w:rsidRDefault="004705C6" w:rsidP="004705C6">
      <w:pPr>
        <w:rPr>
          <w:rFonts w:ascii="Arial Black" w:hAnsi="Arial Black"/>
          <w:sz w:val="28"/>
          <w:szCs w:val="28"/>
          <w:shd w:val="clear" w:color="auto" w:fill="FFFFFF"/>
        </w:rPr>
      </w:pPr>
      <w:r w:rsidRPr="004705C6">
        <w:rPr>
          <w:rFonts w:ascii="Arial Black" w:hAnsi="Arial Black"/>
          <w:sz w:val="28"/>
          <w:szCs w:val="28"/>
          <w:shd w:val="clear" w:color="auto" w:fill="FFFFFF"/>
        </w:rPr>
        <w:t>13-173</w:t>
      </w:r>
    </w:p>
    <w:p w14:paraId="5E200646" w14:textId="77777777" w:rsidR="00B85B57" w:rsidRPr="006316A3" w:rsidRDefault="00B85B57" w:rsidP="00B85B57">
      <w:pPr>
        <w:rPr>
          <w:rFonts w:ascii="Arial Black" w:hAnsi="Arial Black"/>
          <w:sz w:val="28"/>
          <w:szCs w:val="28"/>
          <w:shd w:val="clear" w:color="auto" w:fill="FFFFFF"/>
        </w:rPr>
      </w:pPr>
      <w:r>
        <w:rPr>
          <w:rFonts w:ascii="Arial Black" w:hAnsi="Arial Black"/>
          <w:sz w:val="28"/>
          <w:szCs w:val="28"/>
          <w:shd w:val="clear" w:color="auto" w:fill="FFFFFF"/>
        </w:rPr>
        <w:t xml:space="preserve">IN: PT STROKE CO. BREAK ROOM – CO. MEDICS RAPID RESPONSE – 8 MIN -  WIFE FALSELY TOLD “ONE HOUR” – NO CASE </w:t>
      </w:r>
    </w:p>
    <w:p w14:paraId="0D9D8CB1" w14:textId="77777777" w:rsidR="00B85B57" w:rsidRDefault="00B85B57" w:rsidP="00B85B57">
      <w:pPr>
        <w:pStyle w:val="NoSpacing"/>
        <w:rPr>
          <w:rFonts w:ascii="Times New Roman" w:hAnsi="Times New Roman"/>
          <w:sz w:val="24"/>
          <w:szCs w:val="24"/>
          <w:shd w:val="clear" w:color="auto" w:fill="FFFFFF"/>
        </w:rPr>
      </w:pPr>
      <w:r>
        <w:rPr>
          <w:rFonts w:ascii="Times New Roman" w:hAnsi="Times New Roman"/>
          <w:sz w:val="24"/>
          <w:szCs w:val="24"/>
          <w:shd w:val="clear" w:color="auto" w:fill="FFFFFF"/>
        </w:rPr>
        <w:t xml:space="preserve">On March 14, 2024, in </w:t>
      </w:r>
      <w:r w:rsidRPr="00B967DB">
        <w:rPr>
          <w:rFonts w:ascii="Times New Roman" w:hAnsi="Times New Roman"/>
          <w:sz w:val="24"/>
          <w:szCs w:val="24"/>
          <w:u w:val="single"/>
          <w:shd w:val="clear" w:color="auto" w:fill="FFFFFF"/>
        </w:rPr>
        <w:t>Estate of Keith J. Hopkins v. Cleveland-Cliffs Steel, LLC</w:t>
      </w:r>
      <w:r>
        <w:rPr>
          <w:rFonts w:ascii="Times New Roman" w:hAnsi="Times New Roman"/>
          <w:sz w:val="24"/>
          <w:szCs w:val="24"/>
          <w:shd w:val="clear" w:color="auto" w:fill="FFFFFF"/>
        </w:rPr>
        <w:t>, United States Magistrate Judge Andrew P. Rodovich, U.S. District Court for Northern District of Indiana (Hammond Division) granted the company’s motion to dismiss.  The widow was told by two co-workers at the wake that medics took “one hour” to respond, but EMS report (</w:t>
      </w:r>
      <w:proofErr w:type="gramStart"/>
      <w:r>
        <w:rPr>
          <w:rFonts w:ascii="Times New Roman" w:hAnsi="Times New Roman"/>
          <w:sz w:val="24"/>
          <w:szCs w:val="24"/>
          <w:shd w:val="clear" w:color="auto" w:fill="FFFFFF"/>
        </w:rPr>
        <w:t>8 minute</w:t>
      </w:r>
      <w:proofErr w:type="gramEnd"/>
      <w:r>
        <w:rPr>
          <w:rFonts w:ascii="Times New Roman" w:hAnsi="Times New Roman"/>
          <w:sz w:val="24"/>
          <w:szCs w:val="24"/>
          <w:shd w:val="clear" w:color="auto" w:fill="FFFFFF"/>
        </w:rPr>
        <w:t xml:space="preserve"> response time) and hospital records showed prompt response and transport (arrived 27 minutes after medic on scene). </w:t>
      </w:r>
    </w:p>
    <w:p w14:paraId="702B0CEF" w14:textId="77777777" w:rsidR="00B85B57" w:rsidRDefault="00B85B57" w:rsidP="00B85B57">
      <w:pPr>
        <w:pStyle w:val="NoSpacing"/>
        <w:rPr>
          <w:rFonts w:ascii="Times New Roman" w:hAnsi="Times New Roman"/>
          <w:sz w:val="24"/>
          <w:szCs w:val="24"/>
          <w:shd w:val="clear" w:color="auto" w:fill="FFFFFF"/>
        </w:rPr>
      </w:pPr>
    </w:p>
    <w:p w14:paraId="3E9C143A" w14:textId="77777777" w:rsidR="00B85B57" w:rsidRPr="004C0299" w:rsidRDefault="00B85B57" w:rsidP="00B85B57">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04C0C207" w14:textId="77777777" w:rsidR="00B85B57" w:rsidRDefault="00B85B57" w:rsidP="00B85B57">
      <w:pPr>
        <w:pStyle w:val="NormalWeb"/>
        <w:ind w:left="720"/>
      </w:pPr>
      <w:r>
        <w:t xml:space="preserve">“The parties dispute the facts surrounding the emergency care that the paramedics provided to Hopkins. Paramedic William Webb stated the call for help was made at 6:59 p.m., and that he arrived with another paramedic at 7:07 p.m. Webb suspected that Hopkins was having a stroke, because his face was drooping and the right side of his body was flaccid. The paramedics assessed Hopkins, checked his blood sugar and vital signs, gave him intravenous fluids and oxygen, and prepared him for transportation by ambulance. The ambulance left for St. Catherine Hospital, in East Chicago, at 7:25 p.m., and arrived at 7:34 p.m. This timeline was recorded in an “Ambulance Report,” which was prepared by ArcelorMittal dispatch personnel based on information reported by the paramedics. [Webb Decl. ¶¶ 12-13]. </w:t>
      </w:r>
    </w:p>
    <w:p w14:paraId="71E0288F" w14:textId="77777777" w:rsidR="00B85B57" w:rsidRDefault="00B85B57" w:rsidP="00B85B57">
      <w:pPr>
        <w:ind w:left="720"/>
        <w:rPr>
          <w:rFonts w:ascii="Times New Roman" w:hAnsi="Times New Roman"/>
          <w:sz w:val="24"/>
          <w:szCs w:val="24"/>
        </w:rPr>
      </w:pPr>
      <w:r>
        <w:rPr>
          <w:rFonts w:ascii="Times New Roman" w:hAnsi="Times New Roman"/>
          <w:sz w:val="24"/>
          <w:szCs w:val="24"/>
        </w:rPr>
        <w:t>***</w:t>
      </w:r>
    </w:p>
    <w:p w14:paraId="3F80E19F" w14:textId="77777777" w:rsidR="00B85B57" w:rsidRDefault="00B85B57" w:rsidP="00B85B57">
      <w:pPr>
        <w:ind w:left="720"/>
        <w:rPr>
          <w:rFonts w:ascii="Times New Roman" w:hAnsi="Times New Roman"/>
          <w:sz w:val="24"/>
          <w:szCs w:val="24"/>
          <w:vertAlign w:val="superscript"/>
        </w:rPr>
      </w:pPr>
      <w:r w:rsidRPr="002750CB">
        <w:rPr>
          <w:rFonts w:ascii="Times New Roman" w:hAnsi="Times New Roman"/>
          <w:sz w:val="24"/>
          <w:szCs w:val="24"/>
        </w:rPr>
        <w:t xml:space="preserve">The court infers from the briefing that the Estate believes the paramedics did not </w:t>
      </w:r>
      <w:proofErr w:type="gramStart"/>
      <w:r w:rsidRPr="002750CB">
        <w:rPr>
          <w:rFonts w:ascii="Times New Roman" w:hAnsi="Times New Roman"/>
          <w:sz w:val="24"/>
          <w:szCs w:val="24"/>
        </w:rPr>
        <w:t>attend to</w:t>
      </w:r>
      <w:proofErr w:type="gramEnd"/>
      <w:r w:rsidRPr="002750CB">
        <w:rPr>
          <w:rFonts w:ascii="Times New Roman" w:hAnsi="Times New Roman"/>
          <w:sz w:val="24"/>
          <w:szCs w:val="24"/>
        </w:rPr>
        <w:t xml:space="preserve"> Hopkins until at least an hour after they were called. Felita Hopkins, Hopkins's widow, testified that at his wake two of his co-workers told her that </w:t>
      </w:r>
      <w:r>
        <w:rPr>
          <w:rFonts w:ascii="Times New Roman" w:hAnsi="Times New Roman"/>
          <w:sz w:val="24"/>
          <w:szCs w:val="24"/>
        </w:rPr>
        <w:t>‘</w:t>
      </w:r>
      <w:r w:rsidRPr="002750CB">
        <w:rPr>
          <w:rFonts w:ascii="Times New Roman" w:hAnsi="Times New Roman"/>
          <w:sz w:val="24"/>
          <w:szCs w:val="24"/>
        </w:rPr>
        <w:t>it took over an hour</w:t>
      </w:r>
      <w:r>
        <w:rPr>
          <w:rFonts w:ascii="Times New Roman" w:hAnsi="Times New Roman"/>
          <w:sz w:val="24"/>
          <w:szCs w:val="24"/>
        </w:rPr>
        <w:t>’</w:t>
      </w:r>
      <w:r w:rsidRPr="002750CB">
        <w:rPr>
          <w:rFonts w:ascii="Times New Roman" w:hAnsi="Times New Roman"/>
          <w:sz w:val="24"/>
          <w:szCs w:val="24"/>
        </w:rPr>
        <w:t xml:space="preserve"> for the paramedics to arrive and that ArcelorMittal's report was changed to say that they responded within three</w:t>
      </w:r>
      <w:r w:rsidRPr="002750CB">
        <w:rPr>
          <w:rFonts w:ascii="Times New Roman" w:hAnsi="Times New Roman"/>
          <w:sz w:val="24"/>
          <w:szCs w:val="24"/>
          <w:vertAlign w:val="superscript"/>
        </w:rPr>
        <w:t>[</w:t>
      </w:r>
      <w:hyperlink r:id="rId2180" w:anchor="ftn.FN3" w:history="1">
        <w:r w:rsidRPr="002750CB">
          <w:rPr>
            <w:rStyle w:val="Hyperlink"/>
            <w:rFonts w:ascii="Times New Roman" w:hAnsi="Times New Roman"/>
            <w:sz w:val="24"/>
            <w:szCs w:val="24"/>
            <w:vertAlign w:val="superscript"/>
          </w:rPr>
          <w:t>3</w:t>
        </w:r>
      </w:hyperlink>
      <w:r w:rsidRPr="002750CB">
        <w:rPr>
          <w:rFonts w:ascii="Times New Roman" w:hAnsi="Times New Roman"/>
          <w:sz w:val="24"/>
          <w:szCs w:val="24"/>
          <w:vertAlign w:val="superscript"/>
        </w:rPr>
        <w:t>]</w:t>
      </w:r>
      <w:r w:rsidRPr="002750CB">
        <w:rPr>
          <w:rFonts w:ascii="Times New Roman" w:hAnsi="Times New Roman"/>
          <w:sz w:val="24"/>
          <w:szCs w:val="24"/>
        </w:rPr>
        <w:t xml:space="preserve"> minutes. [Hopkins Dep. 39:1-6, 39:22-</w:t>
      </w:r>
      <w:r w:rsidRPr="002750CB">
        <w:rPr>
          <w:rFonts w:ascii="Times New Roman" w:hAnsi="Times New Roman"/>
          <w:sz w:val="24"/>
          <w:szCs w:val="24"/>
        </w:rPr>
        <w:lastRenderedPageBreak/>
        <w:t xml:space="preserve">40:21]. Although this fact is not properly alleged, </w:t>
      </w:r>
      <w:r w:rsidRPr="002750CB">
        <w:rPr>
          <w:rStyle w:val="Emphasis"/>
          <w:rFonts w:ascii="Times New Roman" w:hAnsi="Times New Roman"/>
          <w:sz w:val="24"/>
          <w:szCs w:val="24"/>
        </w:rPr>
        <w:t>see</w:t>
      </w:r>
      <w:r w:rsidRPr="002750CB">
        <w:rPr>
          <w:rFonts w:ascii="Times New Roman" w:hAnsi="Times New Roman"/>
          <w:sz w:val="24"/>
          <w:szCs w:val="24"/>
        </w:rPr>
        <w:t xml:space="preserve"> N. D. Ind. L. R. 56-1(b)(2)(D), the court will consider the Estate as having made that allegation based on Hopkins's deposition testimony.</w:t>
      </w:r>
    </w:p>
    <w:p w14:paraId="4E5C6B59" w14:textId="77777777" w:rsidR="00B85B57" w:rsidRDefault="00B85B57" w:rsidP="00B85B57">
      <w:pPr>
        <w:rPr>
          <w:rFonts w:ascii="Times New Roman" w:hAnsi="Times New Roman"/>
          <w:sz w:val="24"/>
          <w:szCs w:val="24"/>
        </w:rPr>
      </w:pPr>
      <w:r w:rsidRPr="002750CB">
        <w:rPr>
          <w:rFonts w:ascii="Times New Roman" w:hAnsi="Times New Roman"/>
          <w:sz w:val="24"/>
          <w:szCs w:val="24"/>
        </w:rPr>
        <w:t xml:space="preserve"> </w:t>
      </w:r>
      <w:r>
        <w:rPr>
          <w:rFonts w:ascii="Times New Roman" w:hAnsi="Times New Roman"/>
          <w:sz w:val="24"/>
          <w:szCs w:val="24"/>
        </w:rPr>
        <w:tab/>
        <w:t>***</w:t>
      </w:r>
    </w:p>
    <w:p w14:paraId="4A8F2653" w14:textId="77777777" w:rsidR="00B85B57" w:rsidRPr="00D97522" w:rsidRDefault="00B85B57" w:rsidP="00B85B57">
      <w:pPr>
        <w:ind w:left="720"/>
        <w:rPr>
          <w:rFonts w:ascii="Times New Roman" w:hAnsi="Times New Roman"/>
          <w:b/>
          <w:bCs/>
          <w:color w:val="454545"/>
          <w:sz w:val="24"/>
          <w:szCs w:val="24"/>
          <w:shd w:val="clear" w:color="auto" w:fill="FFFFFF"/>
        </w:rPr>
      </w:pPr>
      <w:r w:rsidRPr="00D97522">
        <w:rPr>
          <w:rFonts w:ascii="Times New Roman" w:hAnsi="Times New Roman"/>
          <w:sz w:val="24"/>
          <w:szCs w:val="24"/>
        </w:rPr>
        <w:t xml:space="preserve">Therefore, the injury for which the Estate seeks compensation arose out of and in the course of employment, and the IWCA </w:t>
      </w:r>
      <w:r>
        <w:rPr>
          <w:rFonts w:ascii="Times New Roman" w:hAnsi="Times New Roman"/>
          <w:sz w:val="24"/>
          <w:szCs w:val="24"/>
        </w:rPr>
        <w:t>[</w:t>
      </w:r>
      <w:r w:rsidRPr="004E1487">
        <w:rPr>
          <w:rFonts w:ascii="Times New Roman" w:hAnsi="Times New Roman"/>
          <w:sz w:val="24"/>
          <w:szCs w:val="24"/>
        </w:rPr>
        <w:t>Indiana Wrongful Death Act</w:t>
      </w:r>
      <w:r>
        <w:rPr>
          <w:rFonts w:ascii="Times New Roman" w:hAnsi="Times New Roman"/>
          <w:sz w:val="24"/>
          <w:szCs w:val="24"/>
        </w:rPr>
        <w:t xml:space="preserve">] </w:t>
      </w:r>
      <w:r w:rsidRPr="00D97522">
        <w:rPr>
          <w:rFonts w:ascii="Times New Roman" w:hAnsi="Times New Roman"/>
          <w:sz w:val="24"/>
          <w:szCs w:val="24"/>
        </w:rPr>
        <w:t>provides the exclusive remedy.</w:t>
      </w:r>
      <w:r>
        <w:rPr>
          <w:rFonts w:ascii="Times New Roman" w:hAnsi="Times New Roman"/>
          <w:sz w:val="24"/>
          <w:szCs w:val="24"/>
        </w:rPr>
        <w:t xml:space="preserve">” </w:t>
      </w:r>
      <w:hyperlink r:id="rId2181" w:history="1">
        <w:r w:rsidRPr="00793584">
          <w:rPr>
            <w:rStyle w:val="Hyperlink"/>
            <w:rFonts w:ascii="Times New Roman" w:hAnsi="Times New Roman"/>
            <w:sz w:val="24"/>
            <w:szCs w:val="24"/>
          </w:rPr>
          <w:t>https://public.fastcase.com/H1P9uiW3J20SFp%2BGCG%2BxLWaE5rZYr2H4Ujam%2BycZ4mpAt0doHRie9oUlcl2qsPlk?utm_medium=email&amp;_hsmi=226712652&amp;_hsenc=p2ANqtz-_AW42DW2ZKsbYvGhsf40qi8tEpXVEeEydLzmuxudQnQi0lg_TvDjKAtr1z0dXm_j1xtTRfnovBA_RTcYhjFA_6sdUkCw&amp;utm_content=226712652&amp;utm_source=hs_email</w:t>
        </w:r>
      </w:hyperlink>
      <w:r>
        <w:rPr>
          <w:rFonts w:ascii="Times New Roman" w:hAnsi="Times New Roman"/>
          <w:sz w:val="24"/>
          <w:szCs w:val="24"/>
        </w:rPr>
        <w:t xml:space="preserve"> </w:t>
      </w:r>
    </w:p>
    <w:p w14:paraId="70BE14B1" w14:textId="77777777" w:rsidR="00B85B57" w:rsidRPr="00496174" w:rsidRDefault="00B85B57" w:rsidP="00B85B57">
      <w:pPr>
        <w:pStyle w:val="NormalWeb"/>
        <w:rPr>
          <w:b/>
          <w:bCs/>
        </w:rPr>
      </w:pPr>
      <w:r w:rsidRPr="00496174">
        <w:rPr>
          <w:b/>
          <w:bCs/>
        </w:rPr>
        <w:t>Legal Lesson Learned:</w:t>
      </w:r>
      <w:r>
        <w:rPr>
          <w:b/>
          <w:bCs/>
        </w:rPr>
        <w:t xml:space="preserve"> The estate’s only remedy is under Indiana Wrongful Death Act (worker’s comp).  It is a shame that co-workers told widow that response time was one hour. </w:t>
      </w:r>
    </w:p>
    <w:p w14:paraId="17D341BF" w14:textId="77777777" w:rsidR="004705C6" w:rsidRDefault="004705C6" w:rsidP="004705C6">
      <w:pPr>
        <w:pStyle w:val="NormalWeb"/>
        <w:ind w:left="720"/>
      </w:pPr>
    </w:p>
    <w:p w14:paraId="1E8E0BAA" w14:textId="77777777" w:rsidR="004705C6" w:rsidRDefault="004705C6" w:rsidP="004705C6">
      <w:pPr>
        <w:pStyle w:val="NormalWeb"/>
      </w:pPr>
    </w:p>
    <w:p w14:paraId="4A6232FA" w14:textId="73ED64B6" w:rsidR="004705C6" w:rsidRPr="004705C6" w:rsidRDefault="004705C6" w:rsidP="004705C6">
      <w:pPr>
        <w:pStyle w:val="NormalWeb"/>
        <w:rPr>
          <w:rFonts w:ascii="Arial Black" w:hAnsi="Arial Black"/>
          <w:sz w:val="28"/>
          <w:szCs w:val="28"/>
        </w:rPr>
      </w:pPr>
      <w:r w:rsidRPr="004705C6">
        <w:rPr>
          <w:rFonts w:ascii="Arial Black" w:hAnsi="Arial Black"/>
          <w:sz w:val="28"/>
          <w:szCs w:val="28"/>
        </w:rPr>
        <w:t>13-172</w:t>
      </w:r>
    </w:p>
    <w:p w14:paraId="2916CE25" w14:textId="432D0233" w:rsidR="004705C6" w:rsidRDefault="004705C6" w:rsidP="004705C6">
      <w:pPr>
        <w:pStyle w:val="NormalWeb"/>
        <w:rPr>
          <w:rFonts w:ascii="Arial Black" w:hAnsi="Arial Black"/>
          <w:sz w:val="28"/>
          <w:szCs w:val="28"/>
        </w:rPr>
      </w:pPr>
      <w:r>
        <w:rPr>
          <w:rFonts w:ascii="Arial Black" w:hAnsi="Arial Black"/>
          <w:sz w:val="28"/>
          <w:szCs w:val="28"/>
        </w:rPr>
        <w:t xml:space="preserve">MN: COMBATIVE PATIENT - MEDIC </w:t>
      </w:r>
      <w:r w:rsidR="00311BBE">
        <w:rPr>
          <w:rFonts w:ascii="Arial Black" w:hAnsi="Arial Black"/>
          <w:sz w:val="28"/>
          <w:szCs w:val="28"/>
        </w:rPr>
        <w:t xml:space="preserve">WITH </w:t>
      </w:r>
      <w:r>
        <w:rPr>
          <w:rFonts w:ascii="Arial Black" w:hAnsi="Arial Black"/>
          <w:sz w:val="28"/>
          <w:szCs w:val="28"/>
        </w:rPr>
        <w:t xml:space="preserve">MILITARY TRAINING – PRESSURE ON CAROTID ARTERY </w:t>
      </w:r>
      <w:r w:rsidR="0057595C">
        <w:rPr>
          <w:rFonts w:ascii="Arial Black" w:hAnsi="Arial Black"/>
          <w:sz w:val="28"/>
          <w:szCs w:val="28"/>
        </w:rPr>
        <w:t>–</w:t>
      </w:r>
      <w:r>
        <w:rPr>
          <w:rFonts w:ascii="Arial Black" w:hAnsi="Arial Black"/>
          <w:sz w:val="28"/>
          <w:szCs w:val="28"/>
        </w:rPr>
        <w:t xml:space="preserve"> </w:t>
      </w:r>
      <w:r w:rsidR="0057595C">
        <w:rPr>
          <w:rFonts w:ascii="Arial Black" w:hAnsi="Arial Black"/>
          <w:sz w:val="28"/>
          <w:szCs w:val="28"/>
        </w:rPr>
        <w:t xml:space="preserve">MEDIC </w:t>
      </w:r>
      <w:r>
        <w:rPr>
          <w:rFonts w:ascii="Arial Black" w:hAnsi="Arial Black"/>
          <w:sz w:val="28"/>
          <w:szCs w:val="28"/>
        </w:rPr>
        <w:t>FIRING UPHELD</w:t>
      </w:r>
    </w:p>
    <w:p w14:paraId="6AEF2B05" w14:textId="77777777" w:rsidR="004705C6" w:rsidRDefault="004705C6" w:rsidP="004705C6">
      <w:pPr>
        <w:pStyle w:val="NormalWeb"/>
        <w:rPr>
          <w:color w:val="454545"/>
          <w:shd w:val="clear" w:color="auto" w:fill="FFFFFF"/>
        </w:rPr>
      </w:pPr>
      <w:r>
        <w:rPr>
          <w:color w:val="454545"/>
          <w:shd w:val="clear" w:color="auto" w:fill="FFFFFF"/>
        </w:rPr>
        <w:t xml:space="preserve">On March 11, 2024, in </w:t>
      </w:r>
      <w:r w:rsidRPr="009D1F77">
        <w:rPr>
          <w:color w:val="454545"/>
          <w:u w:val="single"/>
          <w:shd w:val="clear" w:color="auto" w:fill="FFFFFF"/>
        </w:rPr>
        <w:t>Kenneth Zepeda v. City of Sant Paul</w:t>
      </w:r>
      <w:r>
        <w:rPr>
          <w:color w:val="454545"/>
          <w:shd w:val="clear" w:color="auto" w:fill="FFFFFF"/>
        </w:rPr>
        <w:t xml:space="preserve">, the Minnesota Court of Appeals held (3 to 0) that </w:t>
      </w:r>
      <w:r w:rsidRPr="001E20BB">
        <w:rPr>
          <w:color w:val="454545"/>
          <w:shd w:val="clear" w:color="auto" w:fill="FFFFFF"/>
        </w:rPr>
        <w:t>the arbitrator</w:t>
      </w:r>
      <w:r>
        <w:rPr>
          <w:color w:val="454545"/>
          <w:shd w:val="clear" w:color="auto" w:fill="FFFFFF"/>
        </w:rPr>
        <w:t xml:space="preserve"> properly determined </w:t>
      </w:r>
      <w:r w:rsidRPr="001E20BB">
        <w:rPr>
          <w:color w:val="454545"/>
          <w:shd w:val="clear" w:color="auto" w:fill="FFFFFF"/>
        </w:rPr>
        <w:t>that the city had just cause to terminate Zepeda’s</w:t>
      </w:r>
      <w:r>
        <w:rPr>
          <w:color w:val="454545"/>
          <w:shd w:val="clear" w:color="auto" w:fill="FFFFFF"/>
        </w:rPr>
        <w:t xml:space="preserve"> </w:t>
      </w:r>
      <w:r w:rsidRPr="001E20BB">
        <w:rPr>
          <w:color w:val="454545"/>
          <w:shd w:val="clear" w:color="auto" w:fill="FFFFFF"/>
        </w:rPr>
        <w:t>employment.</w:t>
      </w:r>
    </w:p>
    <w:p w14:paraId="5DCE851A" w14:textId="77777777" w:rsidR="00D83012" w:rsidRPr="004C0299" w:rsidRDefault="00D83012" w:rsidP="00D8301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3EA9210D" w14:textId="77777777" w:rsidR="00D83012" w:rsidRDefault="00D83012" w:rsidP="004705C6">
      <w:pPr>
        <w:pStyle w:val="NoSpacing"/>
        <w:ind w:left="720"/>
        <w:rPr>
          <w:rFonts w:ascii="Times New Roman" w:hAnsi="Times New Roman"/>
          <w:sz w:val="24"/>
          <w:szCs w:val="24"/>
          <w:shd w:val="clear" w:color="auto" w:fill="FFFFFF"/>
        </w:rPr>
      </w:pPr>
    </w:p>
    <w:p w14:paraId="745246E4" w14:textId="1D46C2BA" w:rsidR="004705C6" w:rsidRDefault="004705C6" w:rsidP="004705C6">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r w:rsidRPr="00A1737F">
        <w:rPr>
          <w:rFonts w:ascii="Times New Roman" w:hAnsi="Times New Roman"/>
          <w:sz w:val="24"/>
          <w:szCs w:val="24"/>
          <w:shd w:val="clear" w:color="auto" w:fill="FFFFFF"/>
        </w:rPr>
        <w:t>Despite the</w:t>
      </w:r>
      <w:r>
        <w:rPr>
          <w:rFonts w:ascii="Times New Roman" w:hAnsi="Times New Roman"/>
          <w:sz w:val="24"/>
          <w:szCs w:val="24"/>
          <w:shd w:val="clear" w:color="auto" w:fill="FFFFFF"/>
        </w:rPr>
        <w:t xml:space="preserve"> </w:t>
      </w:r>
      <w:r w:rsidRPr="00A1737F">
        <w:rPr>
          <w:rFonts w:ascii="Times New Roman" w:hAnsi="Times New Roman"/>
          <w:sz w:val="24"/>
          <w:szCs w:val="24"/>
          <w:shd w:val="clear" w:color="auto" w:fill="FFFFFF"/>
        </w:rPr>
        <w:t>patient’s physically combative behavior in the ambulance, the video supports the</w:t>
      </w:r>
      <w:r>
        <w:rPr>
          <w:rFonts w:ascii="Times New Roman" w:hAnsi="Times New Roman"/>
          <w:sz w:val="24"/>
          <w:szCs w:val="24"/>
          <w:shd w:val="clear" w:color="auto" w:fill="FFFFFF"/>
        </w:rPr>
        <w:t xml:space="preserve"> </w:t>
      </w:r>
      <w:r w:rsidRPr="00A1737F">
        <w:rPr>
          <w:rFonts w:ascii="Times New Roman" w:hAnsi="Times New Roman"/>
          <w:sz w:val="24"/>
          <w:szCs w:val="24"/>
          <w:shd w:val="clear" w:color="auto" w:fill="FFFFFF"/>
        </w:rPr>
        <w:t>arbitrator’s statement that the patient was, nonetheless, not in a position to inflict harm on</w:t>
      </w:r>
      <w:r>
        <w:rPr>
          <w:rFonts w:ascii="Times New Roman" w:hAnsi="Times New Roman"/>
          <w:sz w:val="24"/>
          <w:szCs w:val="24"/>
          <w:shd w:val="clear" w:color="auto" w:fill="FFFFFF"/>
        </w:rPr>
        <w:t xml:space="preserve"> </w:t>
      </w:r>
      <w:r w:rsidRPr="00A1737F">
        <w:rPr>
          <w:rFonts w:ascii="Times New Roman" w:hAnsi="Times New Roman"/>
          <w:sz w:val="24"/>
          <w:szCs w:val="24"/>
          <w:shd w:val="clear" w:color="auto" w:fill="FFFFFF"/>
        </w:rPr>
        <w:t>the responders at that point.</w:t>
      </w:r>
    </w:p>
    <w:p w14:paraId="13767E36" w14:textId="77777777" w:rsidR="004705C6" w:rsidRDefault="004705C6" w:rsidP="004705C6">
      <w:pPr>
        <w:pStyle w:val="NoSpacing"/>
        <w:ind w:left="720"/>
        <w:rPr>
          <w:rFonts w:ascii="Times New Roman" w:hAnsi="Times New Roman"/>
          <w:sz w:val="24"/>
          <w:szCs w:val="24"/>
          <w:shd w:val="clear" w:color="auto" w:fill="FFFFFF"/>
        </w:rPr>
      </w:pPr>
    </w:p>
    <w:p w14:paraId="43D487F4" w14:textId="77777777" w:rsidR="004705C6" w:rsidRDefault="004705C6" w:rsidP="004705C6">
      <w:pPr>
        <w:pStyle w:val="NoSpacing"/>
        <w:ind w:left="720"/>
        <w:rPr>
          <w:rFonts w:ascii="Times New Roman" w:hAnsi="Times New Roman"/>
          <w:sz w:val="24"/>
          <w:szCs w:val="24"/>
          <w:shd w:val="clear" w:color="auto" w:fill="FFFFFF"/>
        </w:rPr>
      </w:pPr>
      <w:r>
        <w:rPr>
          <w:rFonts w:ascii="Times New Roman" w:hAnsi="Times New Roman"/>
          <w:sz w:val="24"/>
          <w:szCs w:val="24"/>
          <w:shd w:val="clear" w:color="auto" w:fill="FFFFFF"/>
        </w:rPr>
        <w:t>***</w:t>
      </w:r>
    </w:p>
    <w:p w14:paraId="4B70672B" w14:textId="77777777" w:rsidR="004705C6" w:rsidRDefault="004705C6" w:rsidP="004705C6">
      <w:pPr>
        <w:pStyle w:val="NoSpacing"/>
        <w:ind w:left="720"/>
        <w:rPr>
          <w:rFonts w:ascii="Times New Roman" w:hAnsi="Times New Roman"/>
          <w:sz w:val="24"/>
          <w:szCs w:val="24"/>
          <w:shd w:val="clear" w:color="auto" w:fill="FFFFFF"/>
        </w:rPr>
      </w:pPr>
      <w:r w:rsidRPr="00325B49">
        <w:rPr>
          <w:rFonts w:ascii="Times New Roman" w:hAnsi="Times New Roman"/>
          <w:sz w:val="24"/>
          <w:szCs w:val="24"/>
          <w:shd w:val="clear" w:color="auto" w:fill="FFFFFF"/>
        </w:rPr>
        <w:t xml:space="preserve">The arbitrator reasoned that </w:t>
      </w:r>
      <w:r>
        <w:rPr>
          <w:rFonts w:ascii="Times New Roman" w:hAnsi="Times New Roman"/>
          <w:sz w:val="24"/>
          <w:szCs w:val="24"/>
          <w:shd w:val="clear" w:color="auto" w:fill="FFFFFF"/>
        </w:rPr>
        <w:t>‘</w:t>
      </w:r>
      <w:r w:rsidRPr="00325B49">
        <w:rPr>
          <w:rFonts w:ascii="Times New Roman" w:hAnsi="Times New Roman"/>
          <w:sz w:val="24"/>
          <w:szCs w:val="24"/>
          <w:shd w:val="clear" w:color="auto" w:fill="FFFFFF"/>
        </w:rPr>
        <w:t>the rest of the crew,</w:t>
      </w:r>
      <w:r>
        <w:rPr>
          <w:rFonts w:ascii="Times New Roman" w:hAnsi="Times New Roman"/>
          <w:sz w:val="24"/>
          <w:szCs w:val="24"/>
          <w:shd w:val="clear" w:color="auto" w:fill="FFFFFF"/>
        </w:rPr>
        <w:t xml:space="preserve"> </w:t>
      </w:r>
      <w:r w:rsidRPr="00325B49">
        <w:rPr>
          <w:rFonts w:ascii="Times New Roman" w:hAnsi="Times New Roman"/>
          <w:sz w:val="24"/>
          <w:szCs w:val="24"/>
          <w:shd w:val="clear" w:color="auto" w:fill="FFFFFF"/>
        </w:rPr>
        <w:t>having received the same level of training, knew not to interact with the patient as Zepeda</w:t>
      </w:r>
      <w:r>
        <w:rPr>
          <w:rFonts w:ascii="Times New Roman" w:hAnsi="Times New Roman"/>
          <w:sz w:val="24"/>
          <w:szCs w:val="24"/>
          <w:shd w:val="clear" w:color="auto" w:fill="FFFFFF"/>
        </w:rPr>
        <w:t xml:space="preserve"> </w:t>
      </w:r>
      <w:r w:rsidRPr="00325B49">
        <w:rPr>
          <w:rFonts w:ascii="Times New Roman" w:hAnsi="Times New Roman"/>
          <w:sz w:val="24"/>
          <w:szCs w:val="24"/>
          <w:shd w:val="clear" w:color="auto" w:fill="FFFFFF"/>
        </w:rPr>
        <w:t>did,</w:t>
      </w:r>
      <w:r>
        <w:rPr>
          <w:rFonts w:ascii="Times New Roman" w:hAnsi="Times New Roman"/>
          <w:sz w:val="24"/>
          <w:szCs w:val="24"/>
          <w:shd w:val="clear" w:color="auto" w:fill="FFFFFF"/>
        </w:rPr>
        <w:t>’</w:t>
      </w:r>
      <w:r w:rsidRPr="00325B49">
        <w:rPr>
          <w:rFonts w:ascii="Times New Roman" w:hAnsi="Times New Roman"/>
          <w:sz w:val="24"/>
          <w:szCs w:val="24"/>
          <w:shd w:val="clear" w:color="auto" w:fill="FFFFFF"/>
        </w:rPr>
        <w:t xml:space="preserve"> that Zepeda’s behavior on the video </w:t>
      </w:r>
      <w:r>
        <w:rPr>
          <w:rFonts w:ascii="Times New Roman" w:hAnsi="Times New Roman"/>
          <w:sz w:val="24"/>
          <w:szCs w:val="24"/>
          <w:shd w:val="clear" w:color="auto" w:fill="FFFFFF"/>
        </w:rPr>
        <w:t>‘</w:t>
      </w:r>
      <w:r w:rsidRPr="00325B49">
        <w:rPr>
          <w:rFonts w:ascii="Times New Roman" w:hAnsi="Times New Roman"/>
          <w:sz w:val="24"/>
          <w:szCs w:val="24"/>
          <w:shd w:val="clear" w:color="auto" w:fill="FFFFFF"/>
        </w:rPr>
        <w:t>reflects someone who did not control their anger</w:t>
      </w:r>
      <w:r>
        <w:rPr>
          <w:rFonts w:ascii="Times New Roman" w:hAnsi="Times New Roman"/>
          <w:sz w:val="24"/>
          <w:szCs w:val="24"/>
          <w:shd w:val="clear" w:color="auto" w:fill="FFFFFF"/>
        </w:rPr>
        <w:t xml:space="preserve"> </w:t>
      </w:r>
      <w:r w:rsidRPr="00325B49">
        <w:rPr>
          <w:rFonts w:ascii="Times New Roman" w:hAnsi="Times New Roman"/>
          <w:sz w:val="24"/>
          <w:szCs w:val="24"/>
          <w:shd w:val="clear" w:color="auto" w:fill="FFFFFF"/>
        </w:rPr>
        <w:t>rather than someone who did not know better,</w:t>
      </w:r>
      <w:r>
        <w:rPr>
          <w:rFonts w:ascii="Times New Roman" w:hAnsi="Times New Roman"/>
          <w:sz w:val="24"/>
          <w:szCs w:val="24"/>
          <w:shd w:val="clear" w:color="auto" w:fill="FFFFFF"/>
        </w:rPr>
        <w:t>’</w:t>
      </w:r>
      <w:r w:rsidRPr="00325B49">
        <w:rPr>
          <w:rFonts w:ascii="Times New Roman" w:hAnsi="Times New Roman"/>
          <w:sz w:val="24"/>
          <w:szCs w:val="24"/>
          <w:shd w:val="clear" w:color="auto" w:fill="FFFFFF"/>
        </w:rPr>
        <w:t xml:space="preserve"> and that </w:t>
      </w:r>
      <w:r>
        <w:rPr>
          <w:rFonts w:ascii="Times New Roman" w:hAnsi="Times New Roman"/>
          <w:sz w:val="24"/>
          <w:szCs w:val="24"/>
          <w:shd w:val="clear" w:color="auto" w:fill="FFFFFF"/>
        </w:rPr>
        <w:t>‘</w:t>
      </w:r>
      <w:r w:rsidRPr="00325B49">
        <w:rPr>
          <w:rFonts w:ascii="Times New Roman" w:hAnsi="Times New Roman"/>
          <w:sz w:val="24"/>
          <w:szCs w:val="24"/>
          <w:shd w:val="clear" w:color="auto" w:fill="FFFFFF"/>
        </w:rPr>
        <w:t>supporting documentation</w:t>
      </w:r>
      <w:r>
        <w:rPr>
          <w:rFonts w:ascii="Times New Roman" w:hAnsi="Times New Roman"/>
          <w:sz w:val="24"/>
          <w:szCs w:val="24"/>
          <w:shd w:val="clear" w:color="auto" w:fill="FFFFFF"/>
        </w:rPr>
        <w:t>’</w:t>
      </w:r>
      <w:r w:rsidRPr="00325B49">
        <w:rPr>
          <w:rFonts w:ascii="Times New Roman" w:hAnsi="Times New Roman"/>
          <w:sz w:val="24"/>
          <w:szCs w:val="24"/>
          <w:shd w:val="clear" w:color="auto" w:fill="FFFFFF"/>
        </w:rPr>
        <w:t xml:space="preserve"> is not</w:t>
      </w:r>
      <w:r>
        <w:rPr>
          <w:rFonts w:ascii="Times New Roman" w:hAnsi="Times New Roman"/>
          <w:sz w:val="24"/>
          <w:szCs w:val="24"/>
          <w:shd w:val="clear" w:color="auto" w:fill="FFFFFF"/>
        </w:rPr>
        <w:t xml:space="preserve">  </w:t>
      </w:r>
      <w:r w:rsidRPr="00A461D9">
        <w:rPr>
          <w:rFonts w:ascii="Times New Roman" w:hAnsi="Times New Roman"/>
          <w:sz w:val="24"/>
          <w:szCs w:val="24"/>
          <w:shd w:val="clear" w:color="auto" w:fill="FFFFFF"/>
        </w:rPr>
        <w:t xml:space="preserve">necessary to establish that behaviors such as </w:t>
      </w:r>
      <w:r>
        <w:rPr>
          <w:rFonts w:ascii="Times New Roman" w:hAnsi="Times New Roman"/>
          <w:sz w:val="24"/>
          <w:szCs w:val="24"/>
          <w:shd w:val="clear" w:color="auto" w:fill="FFFFFF"/>
        </w:rPr>
        <w:t>‘</w:t>
      </w:r>
      <w:r w:rsidRPr="00A461D9">
        <w:rPr>
          <w:rFonts w:ascii="Times New Roman" w:hAnsi="Times New Roman"/>
          <w:sz w:val="24"/>
          <w:szCs w:val="24"/>
          <w:shd w:val="clear" w:color="auto" w:fill="FFFFFF"/>
        </w:rPr>
        <w:t>yelling, taunting, belittling and physically</w:t>
      </w:r>
      <w:r>
        <w:rPr>
          <w:rFonts w:ascii="Times New Roman" w:hAnsi="Times New Roman"/>
          <w:sz w:val="24"/>
          <w:szCs w:val="24"/>
          <w:shd w:val="clear" w:color="auto" w:fill="FFFFFF"/>
        </w:rPr>
        <w:t xml:space="preserve"> </w:t>
      </w:r>
      <w:r w:rsidRPr="00A461D9">
        <w:rPr>
          <w:rFonts w:ascii="Times New Roman" w:hAnsi="Times New Roman"/>
          <w:sz w:val="24"/>
          <w:szCs w:val="24"/>
          <w:shd w:val="clear" w:color="auto" w:fill="FFFFFF"/>
        </w:rPr>
        <w:t>abusing a patient</w:t>
      </w:r>
      <w:r>
        <w:rPr>
          <w:rFonts w:ascii="Times New Roman" w:hAnsi="Times New Roman"/>
          <w:sz w:val="24"/>
          <w:szCs w:val="24"/>
          <w:shd w:val="clear" w:color="auto" w:fill="FFFFFF"/>
        </w:rPr>
        <w:t>’</w:t>
      </w:r>
      <w:r w:rsidRPr="00A461D9">
        <w:rPr>
          <w:rFonts w:ascii="Times New Roman" w:hAnsi="Times New Roman"/>
          <w:sz w:val="24"/>
          <w:szCs w:val="24"/>
          <w:shd w:val="clear" w:color="auto" w:fill="FFFFFF"/>
        </w:rPr>
        <w:t xml:space="preserve"> are prohibited and could be considered misconduct.</w:t>
      </w:r>
      <w:r>
        <w:rPr>
          <w:rFonts w:ascii="Times New Roman" w:hAnsi="Times New Roman"/>
          <w:sz w:val="24"/>
          <w:szCs w:val="24"/>
          <w:shd w:val="clear" w:color="auto" w:fill="FFFFFF"/>
        </w:rPr>
        <w:t xml:space="preserve">” </w:t>
      </w:r>
      <w:hyperlink r:id="rId2182" w:history="1">
        <w:r w:rsidRPr="0090149E">
          <w:rPr>
            <w:rStyle w:val="Hyperlink"/>
            <w:rFonts w:ascii="Times New Roman" w:hAnsi="Times New Roman"/>
            <w:sz w:val="24"/>
            <w:szCs w:val="24"/>
            <w:shd w:val="clear" w:color="auto" w:fill="FFFFFF"/>
          </w:rPr>
          <w:t>https://cases.justia.com/minnesota/court-of-appeals/2024-a23-1210.pdf?ts=1710536669</w:t>
        </w:r>
      </w:hyperlink>
      <w:r>
        <w:rPr>
          <w:rFonts w:ascii="Times New Roman" w:hAnsi="Times New Roman"/>
          <w:sz w:val="24"/>
          <w:szCs w:val="24"/>
          <w:shd w:val="clear" w:color="auto" w:fill="FFFFFF"/>
        </w:rPr>
        <w:t xml:space="preserve"> </w:t>
      </w:r>
    </w:p>
    <w:p w14:paraId="3232BA0F" w14:textId="77777777" w:rsidR="004705C6" w:rsidRDefault="004705C6" w:rsidP="004705C6">
      <w:pPr>
        <w:pStyle w:val="NoSpacing"/>
        <w:rPr>
          <w:rFonts w:ascii="Times New Roman" w:hAnsi="Times New Roman"/>
          <w:sz w:val="24"/>
          <w:szCs w:val="24"/>
          <w:shd w:val="clear" w:color="auto" w:fill="FFFFFF"/>
        </w:rPr>
      </w:pPr>
    </w:p>
    <w:p w14:paraId="219899B5" w14:textId="77777777" w:rsidR="004705C6" w:rsidRDefault="004705C6" w:rsidP="004705C6">
      <w:pPr>
        <w:pStyle w:val="NoSpacing"/>
        <w:ind w:left="720"/>
        <w:rPr>
          <w:rFonts w:ascii="Times New Roman" w:hAnsi="Times New Roman"/>
          <w:sz w:val="24"/>
          <w:szCs w:val="24"/>
          <w:shd w:val="clear" w:color="auto" w:fill="FFFFFF"/>
        </w:rPr>
      </w:pPr>
    </w:p>
    <w:p w14:paraId="764D68C0" w14:textId="77777777" w:rsidR="004705C6" w:rsidRPr="00F03F0B" w:rsidRDefault="004705C6" w:rsidP="004705C6">
      <w:pPr>
        <w:pStyle w:val="NoSpacing"/>
        <w:rPr>
          <w:rFonts w:ascii="Times New Roman" w:hAnsi="Times New Roman"/>
          <w:b/>
          <w:bCs/>
          <w:sz w:val="24"/>
          <w:szCs w:val="24"/>
          <w:shd w:val="clear" w:color="auto" w:fill="FFFFFF"/>
        </w:rPr>
      </w:pPr>
      <w:r w:rsidRPr="00F03F0B">
        <w:rPr>
          <w:rFonts w:ascii="Times New Roman" w:hAnsi="Times New Roman"/>
          <w:b/>
          <w:bCs/>
          <w:sz w:val="24"/>
          <w:szCs w:val="24"/>
          <w:shd w:val="clear" w:color="auto" w:fill="FFFFFF"/>
        </w:rPr>
        <w:t>Legal Lesson Learned:</w:t>
      </w:r>
      <w:r>
        <w:rPr>
          <w:rFonts w:ascii="Times New Roman" w:hAnsi="Times New Roman"/>
          <w:b/>
          <w:bCs/>
          <w:sz w:val="24"/>
          <w:szCs w:val="24"/>
          <w:shd w:val="clear" w:color="auto" w:fill="FFFFFF"/>
        </w:rPr>
        <w:t xml:space="preserve">  Follow your protocol in restraining combative patients. </w:t>
      </w:r>
    </w:p>
    <w:p w14:paraId="12B89034" w14:textId="77777777" w:rsidR="004705C6" w:rsidRDefault="004705C6" w:rsidP="004705C6">
      <w:pPr>
        <w:spacing w:before="100" w:beforeAutospacing="1" w:after="100" w:afterAutospacing="1" w:line="240" w:lineRule="auto"/>
        <w:rPr>
          <w:rFonts w:ascii="Times New Roman" w:eastAsia="Times New Roman" w:hAnsi="Times New Roman"/>
          <w:sz w:val="24"/>
          <w:szCs w:val="24"/>
        </w:rPr>
      </w:pPr>
    </w:p>
    <w:p w14:paraId="62D86E0A" w14:textId="1AA7C881" w:rsidR="004705C6" w:rsidRPr="004705C6" w:rsidRDefault="004705C6" w:rsidP="004705C6">
      <w:pPr>
        <w:pStyle w:val="NoSpacing"/>
        <w:rPr>
          <w:rFonts w:ascii="Arial Black" w:hAnsi="Arial Black"/>
          <w:sz w:val="24"/>
          <w:szCs w:val="24"/>
          <w:shd w:val="clear" w:color="auto" w:fill="FFFFFF"/>
        </w:rPr>
      </w:pPr>
      <w:r w:rsidRPr="004705C6">
        <w:rPr>
          <w:rFonts w:ascii="Arial Black" w:hAnsi="Arial Black"/>
          <w:sz w:val="24"/>
          <w:szCs w:val="24"/>
          <w:shd w:val="clear" w:color="auto" w:fill="FFFFFF"/>
        </w:rPr>
        <w:t>13-171</w:t>
      </w:r>
    </w:p>
    <w:p w14:paraId="3BD50554" w14:textId="77777777" w:rsidR="004705C6" w:rsidRDefault="004705C6" w:rsidP="004705C6">
      <w:pPr>
        <w:pStyle w:val="NoSpacing"/>
        <w:rPr>
          <w:rFonts w:ascii="Arial Black" w:hAnsi="Arial Black"/>
          <w:sz w:val="28"/>
          <w:szCs w:val="28"/>
          <w:shd w:val="clear" w:color="auto" w:fill="FFFFFF"/>
        </w:rPr>
      </w:pPr>
    </w:p>
    <w:p w14:paraId="24027157" w14:textId="4FC1E871" w:rsidR="004705C6" w:rsidRDefault="004705C6" w:rsidP="004705C6">
      <w:pPr>
        <w:pStyle w:val="NoSpacing"/>
        <w:rPr>
          <w:rFonts w:ascii="Arial Black" w:hAnsi="Arial Black"/>
          <w:sz w:val="28"/>
          <w:szCs w:val="28"/>
          <w:shd w:val="clear" w:color="auto" w:fill="FFFFFF"/>
        </w:rPr>
      </w:pPr>
      <w:r>
        <w:rPr>
          <w:rFonts w:ascii="Arial Black" w:hAnsi="Arial Black"/>
          <w:sz w:val="28"/>
          <w:szCs w:val="28"/>
          <w:shd w:val="clear" w:color="auto" w:fill="FFFFFF"/>
        </w:rPr>
        <w:lastRenderedPageBreak/>
        <w:t xml:space="preserve">MN: PD TRYING TO HANDCUT MAN - MEDIC 350 MIL KETAMINE – NO PROOF </w:t>
      </w:r>
      <w:r w:rsidR="003271B7">
        <w:rPr>
          <w:rFonts w:ascii="Arial Black" w:hAnsi="Arial Black"/>
          <w:sz w:val="28"/>
          <w:szCs w:val="28"/>
          <w:shd w:val="clear" w:color="auto" w:fill="FFFFFF"/>
        </w:rPr>
        <w:t xml:space="preserve">BY </w:t>
      </w:r>
      <w:r>
        <w:rPr>
          <w:rFonts w:ascii="Arial Black" w:hAnsi="Arial Black"/>
          <w:sz w:val="28"/>
          <w:szCs w:val="28"/>
          <w:shd w:val="clear" w:color="auto" w:fill="FFFFFF"/>
        </w:rPr>
        <w:t xml:space="preserve">EXPERT </w:t>
      </w:r>
      <w:r w:rsidR="003271B7">
        <w:rPr>
          <w:rFonts w:ascii="Arial Black" w:hAnsi="Arial Black"/>
          <w:sz w:val="28"/>
          <w:szCs w:val="28"/>
          <w:shd w:val="clear" w:color="auto" w:fill="FFFFFF"/>
        </w:rPr>
        <w:t xml:space="preserve">THAT </w:t>
      </w:r>
      <w:r>
        <w:rPr>
          <w:rFonts w:ascii="Arial Black" w:hAnsi="Arial Black"/>
          <w:sz w:val="28"/>
          <w:szCs w:val="28"/>
          <w:shd w:val="clear" w:color="auto" w:fill="FFFFFF"/>
        </w:rPr>
        <w:t xml:space="preserve">MEDIC CAUSED INJURIES </w:t>
      </w:r>
    </w:p>
    <w:p w14:paraId="0CC2EC2D" w14:textId="77777777" w:rsidR="004705C6" w:rsidRDefault="004705C6" w:rsidP="004705C6">
      <w:pPr>
        <w:pStyle w:val="NormalWeb"/>
      </w:pPr>
      <w:r>
        <w:t xml:space="preserve">On March 11, 2024, in </w:t>
      </w:r>
      <w:r w:rsidRPr="0036667F">
        <w:rPr>
          <w:u w:val="single"/>
        </w:rPr>
        <w:t>Brandon Currie v. Clayton Aswegan, Elk Rive Police Officer, Brandin Martin, Elk River Police Officer, and Ronnie Lawrence, Paramedic</w:t>
      </w:r>
      <w:r>
        <w:t xml:space="preserve">, United States District Court Judge Eric C. </w:t>
      </w:r>
      <w:proofErr w:type="spellStart"/>
      <w:r>
        <w:t>Tostrud</w:t>
      </w:r>
      <w:proofErr w:type="spellEnd"/>
      <w:r>
        <w:t>, U.S. District Court for District of Minnesota, granted the motion to dismiss all defendants.  Plaintiff’s expert, Dr. A. Keith Wesley, M.D.,</w:t>
      </w:r>
      <w:r w:rsidRPr="001E71E3">
        <w:t xml:space="preserve"> </w:t>
      </w:r>
      <w:r>
        <w:t>Medical Director of United Emergency Medical Response in Wisconsin Rapids, in his affidavit fails to describe how the Paramedic and police “share responsibility” for patient’s alleged injuries.</w:t>
      </w:r>
    </w:p>
    <w:p w14:paraId="632782F9" w14:textId="77777777" w:rsidR="00D83012" w:rsidRPr="004C0299" w:rsidRDefault="00D83012" w:rsidP="00D8301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2CEB3E75" w14:textId="77777777" w:rsidR="004705C6" w:rsidRDefault="004705C6" w:rsidP="004705C6">
      <w:pPr>
        <w:pStyle w:val="NormalWeb"/>
        <w:ind w:left="720"/>
      </w:pPr>
      <w:r>
        <w:t xml:space="preserve">“After Mr. Currie repeatedly denied being on substances, officers requested an ambulance.  When the ambulance arrived, Mr. Currie got up from the ground. Several times, the officers directed Mr. Currie to ‘get down,’  ‘stay down,’ and ‘sit on the curb,’ and the officers threatened that if Mr. Currie did not sit down, they would ‘make [him] sit down.’ Instead of complying with the officers' commands, Mr. Currie fled. The officers chased and tackled Mr. Currie. After being tackled, Mr. Currie kicked, flailed, and resisted arrest. The officers attempted to handcuff Mr. Currie but struggled to get control of his second hand. </w:t>
      </w:r>
    </w:p>
    <w:p w14:paraId="57C7EC9D" w14:textId="77777777" w:rsidR="004705C6" w:rsidRDefault="004705C6" w:rsidP="004705C6">
      <w:pPr>
        <w:pStyle w:val="NormalWeb"/>
        <w:ind w:left="720"/>
      </w:pPr>
      <w:r>
        <w:t>Paramedic Lawrence, who by that time had arrived in the ambulance, administered 350 milligrams of ketamine intramuscularly to Mr. Currie to sedate him. Mr. Lawrence decided to administer ketamine based on his independent medical judgment; he was not influenced by the officers to do so. The officers first learned that Mr. Lawrence had administered ketamine to Mr. Currie only after Mr. Currie was handcuffed. Mr. Currie was arrested; he was later charged with and pleaded guilty to obstruction of legal process, a gross misdemeanor.</w:t>
      </w:r>
    </w:p>
    <w:p w14:paraId="2BCD2245" w14:textId="77777777" w:rsidR="004705C6" w:rsidRDefault="004705C6" w:rsidP="004705C6">
      <w:pPr>
        <w:pStyle w:val="NormalWeb"/>
        <w:ind w:left="720"/>
      </w:pPr>
      <w:r>
        <w:t>***</w:t>
      </w:r>
    </w:p>
    <w:p w14:paraId="77A885BB" w14:textId="77777777" w:rsidR="004705C6" w:rsidRDefault="004705C6" w:rsidP="004705C6">
      <w:pPr>
        <w:pStyle w:val="NormalWeb"/>
        <w:ind w:left="720"/>
      </w:pPr>
      <w:r>
        <w:t xml:space="preserve">[Plaintiff’s expert, Dr. Wesley] attributed ‘likely’ causation to persons other than Mr. Lawrence, but the lack of any apportionment opinion means the affidavit fails to describe what negligence on Mr. Lawrence's part caused Mr. Currie's injuries. To put it another way, Dr. Wesley does not ‘set out how’ he will use this case's facts ‘to arrive at’ a causation opinion as to Mr. Lawrence. </w:t>
      </w:r>
      <w:r>
        <w:rPr>
          <w:rStyle w:val="Emphasis"/>
          <w:rFonts w:eastAsiaTheme="majorEastAsia"/>
        </w:rPr>
        <w:t>Sorenson,</w:t>
      </w:r>
      <w:r>
        <w:t xml:space="preserve"> 457 N.W.2d at 192-93. </w:t>
      </w:r>
    </w:p>
    <w:p w14:paraId="171F60E1" w14:textId="746C9AC9" w:rsidR="004705C6" w:rsidRDefault="004705C6" w:rsidP="004705C6">
      <w:pPr>
        <w:pStyle w:val="NormalWeb"/>
        <w:ind w:left="720" w:firstLine="60"/>
      </w:pPr>
      <w:r>
        <w:t xml:space="preserve">Dr. Wesley's affidavit fails to comply with Minn. Stat. § 145.682, </w:t>
      </w:r>
      <w:proofErr w:type="spellStart"/>
      <w:r>
        <w:t>subdiv</w:t>
      </w:r>
      <w:proofErr w:type="spellEnd"/>
      <w:r>
        <w:t xml:space="preserve">. 4(a), as the Minnesota Supreme Court has construed the statute. For that reason, and because Dr. Wesley's testimony is essential to Mr. Currie's medical malpractice claim (Dr. Wesley is Mr. Currie's only expert), the claim must be dismissed pursuant to § 145.682, </w:t>
      </w:r>
      <w:proofErr w:type="spellStart"/>
      <w:r>
        <w:t>subdiv</w:t>
      </w:r>
      <w:proofErr w:type="spellEnd"/>
      <w:r>
        <w:t xml:space="preserve">. 6(c).” </w:t>
      </w:r>
      <w:hyperlink r:id="rId2183" w:history="1">
        <w:r w:rsidR="0091463E" w:rsidRPr="0026472A">
          <w:rPr>
            <w:rStyle w:val="Hyperlink"/>
          </w:rPr>
          <w:t>https://cases.justia.com/federal/district-courts/minnesota/mndce/0:2022cv00839/199889/89/0.pdf?ts=1714059506</w:t>
        </w:r>
      </w:hyperlink>
      <w:r w:rsidR="0091463E">
        <w:t xml:space="preserve"> </w:t>
      </w:r>
    </w:p>
    <w:p w14:paraId="30F0B070" w14:textId="77777777" w:rsidR="004705C6" w:rsidRPr="003C32ED" w:rsidRDefault="004705C6" w:rsidP="004705C6">
      <w:pPr>
        <w:pStyle w:val="NormalWeb"/>
        <w:rPr>
          <w:b/>
          <w:bCs/>
        </w:rPr>
      </w:pPr>
      <w:r w:rsidRPr="003C32ED">
        <w:rPr>
          <w:b/>
          <w:bCs/>
        </w:rPr>
        <w:t>Legal Lesson Learned:</w:t>
      </w:r>
      <w:r>
        <w:rPr>
          <w:b/>
          <w:bCs/>
        </w:rPr>
        <w:t xml:space="preserve"> Follow your protocols, including carefully evaluating the person before administering ketamine. </w:t>
      </w:r>
    </w:p>
    <w:p w14:paraId="1CAD7814" w14:textId="77777777" w:rsidR="004705C6" w:rsidRPr="00FE7997" w:rsidRDefault="004705C6" w:rsidP="004705C6">
      <w:pPr>
        <w:pStyle w:val="NormalWeb"/>
        <w:rPr>
          <w:rStyle w:val="Emphasis"/>
          <w:rFonts w:eastAsiaTheme="majorEastAsia"/>
          <w:i w:val="0"/>
          <w:iCs w:val="0"/>
        </w:rPr>
      </w:pPr>
    </w:p>
    <w:p w14:paraId="45E4645E" w14:textId="77777777" w:rsidR="004705C6" w:rsidRDefault="004705C6" w:rsidP="004705C6">
      <w:pPr>
        <w:pStyle w:val="NormalWeb"/>
        <w:spacing w:before="0" w:beforeAutospacing="0"/>
        <w:rPr>
          <w:rFonts w:ascii="Arial Black" w:hAnsi="Arial Black"/>
          <w:sz w:val="28"/>
          <w:szCs w:val="28"/>
        </w:rPr>
      </w:pPr>
    </w:p>
    <w:p w14:paraId="65EB4077" w14:textId="1E7EA010" w:rsidR="004705C6" w:rsidRDefault="004705C6" w:rsidP="004705C6">
      <w:pPr>
        <w:rPr>
          <w:rFonts w:ascii="Times New Roman" w:eastAsia="Times New Roman" w:hAnsi="Times New Roman"/>
          <w:sz w:val="24"/>
          <w:szCs w:val="24"/>
        </w:rPr>
      </w:pPr>
      <w:r>
        <w:rPr>
          <w:rFonts w:ascii="Arial Black" w:hAnsi="Arial Black"/>
          <w:b/>
          <w:bCs/>
          <w:sz w:val="28"/>
          <w:szCs w:val="28"/>
        </w:rPr>
        <w:t>13-170</w:t>
      </w:r>
    </w:p>
    <w:p w14:paraId="789446A7" w14:textId="77777777" w:rsidR="004705C6" w:rsidRPr="00423774" w:rsidRDefault="004705C6" w:rsidP="004705C6">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lastRenderedPageBreak/>
        <w:t xml:space="preserve">KY: EMS NO QUAL. IMMUNITY - DEFIBRILLATOR NOT CHECKED / “ACTIVE 911” APP – HUNG JURY / RETRIAL </w:t>
      </w:r>
    </w:p>
    <w:p w14:paraId="6B677E02" w14:textId="0D957EC3" w:rsidR="004705C6" w:rsidRDefault="004705C6" w:rsidP="004705C6">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March 8, 2024, in </w:t>
      </w:r>
      <w:r w:rsidRPr="002778D0">
        <w:rPr>
          <w:rFonts w:ascii="Times New Roman" w:eastAsia="Times New Roman" w:hAnsi="Times New Roman"/>
          <w:sz w:val="24"/>
          <w:szCs w:val="24"/>
          <w:u w:val="single"/>
        </w:rPr>
        <w:t>Kristian Brock and Christopher Stone v. Colton T. Hinkel, individually and as administrator of the estate of Charles L, Hinkel, III</w:t>
      </w:r>
      <w:r>
        <w:rPr>
          <w:rFonts w:ascii="Times New Roman" w:eastAsia="Times New Roman" w:hAnsi="Times New Roman"/>
          <w:sz w:val="24"/>
          <w:szCs w:val="24"/>
        </w:rPr>
        <w:t xml:space="preserve">, the Court of Appeals of Kentucky held (3 to 0; unpublished opinion) that the trial court properly denied qualified immunity for the EMS; the case must therefore be re-tried to Jury after the first civil jury failed to reach a decision. </w:t>
      </w:r>
    </w:p>
    <w:p w14:paraId="12EE44B2" w14:textId="77777777" w:rsidR="00D83012" w:rsidRPr="004C0299" w:rsidRDefault="00D83012" w:rsidP="00D83012">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7C5A10FA" w14:textId="77777777" w:rsidR="004705C6" w:rsidRDefault="004705C6" w:rsidP="004705C6">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r w:rsidRPr="002D1156">
        <w:rPr>
          <w:rFonts w:ascii="Times New Roman" w:hAnsi="Times New Roman"/>
          <w:sz w:val="24"/>
          <w:szCs w:val="24"/>
        </w:rPr>
        <w:t>Factual issues remain for the jury to</w:t>
      </w:r>
      <w:r>
        <w:rPr>
          <w:rFonts w:ascii="Times New Roman" w:hAnsi="Times New Roman"/>
          <w:sz w:val="24"/>
          <w:szCs w:val="24"/>
        </w:rPr>
        <w:t xml:space="preserve"> </w:t>
      </w:r>
      <w:r w:rsidRPr="002D1156">
        <w:rPr>
          <w:rFonts w:ascii="Times New Roman" w:hAnsi="Times New Roman"/>
          <w:sz w:val="24"/>
          <w:szCs w:val="24"/>
        </w:rPr>
        <w:t>determine whether they were negligent in not complying with written policy and</w:t>
      </w:r>
      <w:r>
        <w:rPr>
          <w:rFonts w:ascii="Times New Roman" w:hAnsi="Times New Roman"/>
          <w:sz w:val="24"/>
          <w:szCs w:val="24"/>
        </w:rPr>
        <w:t xml:space="preserve"> </w:t>
      </w:r>
      <w:r w:rsidRPr="002D1156">
        <w:rPr>
          <w:rFonts w:ascii="Times New Roman" w:hAnsi="Times New Roman"/>
          <w:sz w:val="24"/>
          <w:szCs w:val="24"/>
        </w:rPr>
        <w:t>procedure by using the app rather than the ambulance GPS and paper maps, or</w:t>
      </w:r>
      <w:r>
        <w:rPr>
          <w:rFonts w:ascii="Times New Roman" w:hAnsi="Times New Roman"/>
          <w:sz w:val="24"/>
          <w:szCs w:val="24"/>
        </w:rPr>
        <w:t xml:space="preserve"> </w:t>
      </w:r>
      <w:r w:rsidRPr="002D1156">
        <w:rPr>
          <w:rFonts w:ascii="Times New Roman" w:hAnsi="Times New Roman"/>
          <w:sz w:val="24"/>
          <w:szCs w:val="24"/>
        </w:rPr>
        <w:t>whether it was acceptable to use the app in light of the testimony from their</w:t>
      </w:r>
      <w:r>
        <w:rPr>
          <w:rFonts w:ascii="Times New Roman" w:hAnsi="Times New Roman"/>
          <w:sz w:val="24"/>
          <w:szCs w:val="24"/>
        </w:rPr>
        <w:t xml:space="preserve"> </w:t>
      </w:r>
      <w:r w:rsidRPr="002D1156">
        <w:rPr>
          <w:rFonts w:ascii="Times New Roman" w:hAnsi="Times New Roman"/>
          <w:sz w:val="24"/>
          <w:szCs w:val="24"/>
        </w:rPr>
        <w:t>supervisor, or whether they were negligent in not consulting the paper maps in</w:t>
      </w:r>
      <w:r>
        <w:rPr>
          <w:rFonts w:ascii="Times New Roman" w:hAnsi="Times New Roman"/>
          <w:sz w:val="24"/>
          <w:szCs w:val="24"/>
        </w:rPr>
        <w:t xml:space="preserve"> </w:t>
      </w:r>
      <w:r w:rsidRPr="002D1156">
        <w:rPr>
          <w:rFonts w:ascii="Times New Roman" w:hAnsi="Times New Roman"/>
          <w:sz w:val="24"/>
          <w:szCs w:val="24"/>
        </w:rPr>
        <w:t>conjunction with the app.</w:t>
      </w:r>
    </w:p>
    <w:p w14:paraId="264A4992" w14:textId="77777777" w:rsidR="004705C6" w:rsidRPr="004D7DFD" w:rsidRDefault="004705C6" w:rsidP="004705C6">
      <w:pPr>
        <w:pStyle w:val="NoSpacing"/>
        <w:ind w:left="720"/>
        <w:rPr>
          <w:rFonts w:ascii="Times New Roman" w:hAnsi="Times New Roman"/>
          <w:sz w:val="24"/>
          <w:szCs w:val="24"/>
        </w:rPr>
      </w:pPr>
      <w:r w:rsidRPr="004D7DFD">
        <w:rPr>
          <w:rFonts w:ascii="Times New Roman" w:hAnsi="Times New Roman"/>
          <w:sz w:val="24"/>
          <w:szCs w:val="24"/>
        </w:rPr>
        <w:t>Brock and Stone do not challenge the trial court’s holding that their</w:t>
      </w:r>
      <w:r>
        <w:rPr>
          <w:rFonts w:ascii="Times New Roman" w:hAnsi="Times New Roman"/>
          <w:sz w:val="24"/>
          <w:szCs w:val="24"/>
        </w:rPr>
        <w:t xml:space="preserve"> </w:t>
      </w:r>
      <w:r w:rsidRPr="004D7DFD">
        <w:rPr>
          <w:rFonts w:ascii="Times New Roman" w:hAnsi="Times New Roman"/>
          <w:sz w:val="24"/>
          <w:szCs w:val="24"/>
        </w:rPr>
        <w:t>duty to check the defibrillator was ministerial and consequently this ruling will not</w:t>
      </w:r>
      <w:r>
        <w:rPr>
          <w:rFonts w:ascii="Times New Roman" w:hAnsi="Times New Roman"/>
          <w:sz w:val="24"/>
          <w:szCs w:val="24"/>
        </w:rPr>
        <w:t xml:space="preserve"> </w:t>
      </w:r>
      <w:r w:rsidRPr="004D7DFD">
        <w:rPr>
          <w:rFonts w:ascii="Times New Roman" w:hAnsi="Times New Roman"/>
          <w:sz w:val="24"/>
          <w:szCs w:val="24"/>
        </w:rPr>
        <w:t>be reviewed here.</w:t>
      </w:r>
    </w:p>
    <w:p w14:paraId="0AF53E88" w14:textId="77777777" w:rsidR="004705C6" w:rsidRDefault="004705C6" w:rsidP="004705C6">
      <w:pPr>
        <w:pStyle w:val="NoSpacing"/>
        <w:rPr>
          <w:rFonts w:ascii="Times New Roman" w:hAnsi="Times New Roman"/>
          <w:sz w:val="24"/>
          <w:szCs w:val="24"/>
        </w:rPr>
      </w:pPr>
    </w:p>
    <w:p w14:paraId="7D6CAEBC" w14:textId="77777777" w:rsidR="004705C6" w:rsidRPr="004D7DFD" w:rsidRDefault="004705C6" w:rsidP="004705C6">
      <w:pPr>
        <w:pStyle w:val="NoSpacing"/>
        <w:ind w:firstLine="720"/>
        <w:rPr>
          <w:rFonts w:ascii="Times New Roman" w:hAnsi="Times New Roman"/>
          <w:sz w:val="24"/>
          <w:szCs w:val="24"/>
        </w:rPr>
      </w:pPr>
      <w:r w:rsidRPr="004D7DFD">
        <w:rPr>
          <w:rFonts w:ascii="Times New Roman" w:hAnsi="Times New Roman"/>
          <w:sz w:val="24"/>
          <w:szCs w:val="24"/>
        </w:rPr>
        <w:t>CONCLUSION</w:t>
      </w:r>
    </w:p>
    <w:p w14:paraId="4D785F80" w14:textId="77777777" w:rsidR="004705C6" w:rsidRDefault="004705C6" w:rsidP="004705C6">
      <w:pPr>
        <w:pStyle w:val="NoSpacing"/>
        <w:rPr>
          <w:rFonts w:ascii="Times New Roman" w:hAnsi="Times New Roman"/>
          <w:sz w:val="24"/>
          <w:szCs w:val="24"/>
        </w:rPr>
      </w:pPr>
    </w:p>
    <w:p w14:paraId="1DF49F6C" w14:textId="77777777" w:rsidR="004705C6" w:rsidRPr="002D1156" w:rsidRDefault="004705C6" w:rsidP="004705C6">
      <w:pPr>
        <w:pStyle w:val="NoSpacing"/>
        <w:ind w:left="720"/>
        <w:rPr>
          <w:rFonts w:ascii="Times New Roman" w:hAnsi="Times New Roman"/>
          <w:sz w:val="24"/>
          <w:szCs w:val="24"/>
        </w:rPr>
      </w:pPr>
      <w:r w:rsidRPr="004D7DFD">
        <w:rPr>
          <w:rFonts w:ascii="Times New Roman" w:hAnsi="Times New Roman"/>
          <w:sz w:val="24"/>
          <w:szCs w:val="24"/>
        </w:rPr>
        <w:t>For the foregoing reasons, the trial court’s order is affirmed insofar as</w:t>
      </w:r>
      <w:r>
        <w:rPr>
          <w:rFonts w:ascii="Times New Roman" w:hAnsi="Times New Roman"/>
          <w:sz w:val="24"/>
          <w:szCs w:val="24"/>
        </w:rPr>
        <w:t xml:space="preserve"> </w:t>
      </w:r>
      <w:r w:rsidRPr="004D7DFD">
        <w:rPr>
          <w:rFonts w:ascii="Times New Roman" w:hAnsi="Times New Roman"/>
          <w:sz w:val="24"/>
          <w:szCs w:val="24"/>
        </w:rPr>
        <w:t>Brock and Stone are not entitled to qualified official immunity for the claims that</w:t>
      </w:r>
      <w:r>
        <w:rPr>
          <w:rFonts w:ascii="Times New Roman" w:hAnsi="Times New Roman"/>
          <w:sz w:val="24"/>
          <w:szCs w:val="24"/>
        </w:rPr>
        <w:t xml:space="preserve"> </w:t>
      </w:r>
      <w:r w:rsidRPr="004D7DFD">
        <w:rPr>
          <w:rFonts w:ascii="Times New Roman" w:hAnsi="Times New Roman"/>
          <w:sz w:val="24"/>
          <w:szCs w:val="24"/>
        </w:rPr>
        <w:t>they were negligent in using the Active 911 app to navigate to Hinkel’s residence</w:t>
      </w:r>
      <w:r>
        <w:rPr>
          <w:rFonts w:ascii="Times New Roman" w:hAnsi="Times New Roman"/>
          <w:sz w:val="24"/>
          <w:szCs w:val="24"/>
        </w:rPr>
        <w:t xml:space="preserve"> </w:t>
      </w:r>
      <w:r w:rsidRPr="004D7DFD">
        <w:rPr>
          <w:rFonts w:ascii="Times New Roman" w:hAnsi="Times New Roman"/>
          <w:sz w:val="24"/>
          <w:szCs w:val="24"/>
        </w:rPr>
        <w:t xml:space="preserve">and in allegedly failing to perform the routine check of the </w:t>
      </w:r>
      <w:proofErr w:type="spellStart"/>
      <w:r w:rsidRPr="004D7DFD">
        <w:rPr>
          <w:rFonts w:ascii="Times New Roman" w:hAnsi="Times New Roman"/>
          <w:sz w:val="24"/>
          <w:szCs w:val="24"/>
        </w:rPr>
        <w:t>LifePak</w:t>
      </w:r>
      <w:proofErr w:type="spellEnd"/>
      <w:r w:rsidRPr="004D7DFD">
        <w:rPr>
          <w:rFonts w:ascii="Times New Roman" w:hAnsi="Times New Roman"/>
          <w:sz w:val="24"/>
          <w:szCs w:val="24"/>
        </w:rPr>
        <w:t xml:space="preserve"> defibrillator</w:t>
      </w:r>
      <w:r>
        <w:rPr>
          <w:rFonts w:ascii="Times New Roman" w:hAnsi="Times New Roman"/>
          <w:sz w:val="24"/>
          <w:szCs w:val="24"/>
        </w:rPr>
        <w:t xml:space="preserve">.” </w:t>
      </w:r>
      <w:hyperlink r:id="rId2184" w:history="1">
        <w:r w:rsidRPr="0090149E">
          <w:rPr>
            <w:rStyle w:val="Hyperlink"/>
            <w:rFonts w:ascii="Times New Roman" w:hAnsi="Times New Roman"/>
            <w:sz w:val="24"/>
            <w:szCs w:val="24"/>
          </w:rPr>
          <w:t>https://cases.justia.com/kentucky/court-of-appeals/2024-2022-ca-1330-mr.pdf?ts=1709910288</w:t>
        </w:r>
      </w:hyperlink>
      <w:r>
        <w:rPr>
          <w:rFonts w:ascii="Times New Roman" w:hAnsi="Times New Roman"/>
          <w:sz w:val="24"/>
          <w:szCs w:val="24"/>
        </w:rPr>
        <w:t xml:space="preserve"> </w:t>
      </w:r>
    </w:p>
    <w:p w14:paraId="4C94B79E" w14:textId="77777777" w:rsidR="004705C6" w:rsidRPr="002D1156" w:rsidRDefault="004705C6" w:rsidP="004705C6">
      <w:pPr>
        <w:pStyle w:val="NoSpacing"/>
        <w:rPr>
          <w:rFonts w:ascii="Times New Roman" w:hAnsi="Times New Roman"/>
          <w:sz w:val="24"/>
          <w:szCs w:val="24"/>
        </w:rPr>
      </w:pPr>
    </w:p>
    <w:p w14:paraId="2D291CB7" w14:textId="77777777" w:rsidR="004705C6" w:rsidRDefault="004705C6" w:rsidP="004705C6">
      <w:pPr>
        <w:pStyle w:val="NoSpacing"/>
        <w:ind w:left="720"/>
        <w:rPr>
          <w:rFonts w:ascii="Times New Roman" w:hAnsi="Times New Roman"/>
          <w:sz w:val="24"/>
          <w:szCs w:val="24"/>
        </w:rPr>
      </w:pPr>
    </w:p>
    <w:p w14:paraId="1D3F521A" w14:textId="77777777" w:rsidR="004705C6" w:rsidRPr="001C64D7" w:rsidRDefault="004705C6" w:rsidP="004705C6">
      <w:pPr>
        <w:pStyle w:val="NoSpacing"/>
        <w:rPr>
          <w:rFonts w:ascii="Times New Roman" w:hAnsi="Times New Roman"/>
          <w:b/>
          <w:bCs/>
          <w:sz w:val="24"/>
          <w:szCs w:val="24"/>
        </w:rPr>
      </w:pPr>
      <w:r w:rsidRPr="001C64D7">
        <w:rPr>
          <w:rFonts w:ascii="Times New Roman" w:hAnsi="Times New Roman"/>
          <w:b/>
          <w:bCs/>
          <w:sz w:val="24"/>
          <w:szCs w:val="24"/>
        </w:rPr>
        <w:t>Legal Lesson Learned:</w:t>
      </w:r>
      <w:r>
        <w:rPr>
          <w:rFonts w:ascii="Times New Roman" w:hAnsi="Times New Roman"/>
          <w:b/>
          <w:bCs/>
          <w:sz w:val="24"/>
          <w:szCs w:val="24"/>
        </w:rPr>
        <w:t xml:space="preserve"> Follow your </w:t>
      </w:r>
      <w:proofErr w:type="gramStart"/>
      <w:r>
        <w:rPr>
          <w:rFonts w:ascii="Times New Roman" w:hAnsi="Times New Roman"/>
          <w:b/>
          <w:bCs/>
          <w:sz w:val="24"/>
          <w:szCs w:val="24"/>
        </w:rPr>
        <w:t>equipment</w:t>
      </w:r>
      <w:proofErr w:type="gramEnd"/>
      <w:r>
        <w:rPr>
          <w:rFonts w:ascii="Times New Roman" w:hAnsi="Times New Roman"/>
          <w:b/>
          <w:bCs/>
          <w:sz w:val="24"/>
          <w:szCs w:val="24"/>
        </w:rPr>
        <w:t xml:space="preserve"> check protocols, including documentation; know your addresses or confirm with GPS or map.</w:t>
      </w:r>
    </w:p>
    <w:p w14:paraId="213D7D13" w14:textId="77777777" w:rsidR="004705C6" w:rsidRDefault="004705C6" w:rsidP="004705C6">
      <w:pPr>
        <w:pStyle w:val="NormalWeb"/>
        <w:spacing w:before="0" w:beforeAutospacing="0"/>
        <w:rPr>
          <w:color w:val="454545"/>
        </w:rPr>
      </w:pPr>
    </w:p>
    <w:p w14:paraId="542D8F54" w14:textId="77777777" w:rsidR="005677A6" w:rsidRDefault="005677A6" w:rsidP="006A02A4">
      <w:pPr>
        <w:rPr>
          <w:rFonts w:ascii="Arial Black" w:hAnsi="Arial Black"/>
          <w:b/>
          <w:bCs/>
          <w:sz w:val="28"/>
          <w:szCs w:val="28"/>
        </w:rPr>
      </w:pPr>
    </w:p>
    <w:p w14:paraId="5EF0F1F0" w14:textId="6EC69ACD" w:rsidR="00A77ADF" w:rsidRDefault="00A77ADF" w:rsidP="006A02A4">
      <w:pPr>
        <w:rPr>
          <w:rFonts w:ascii="Arial Black" w:hAnsi="Arial Black"/>
          <w:b/>
          <w:bCs/>
          <w:sz w:val="28"/>
          <w:szCs w:val="28"/>
        </w:rPr>
      </w:pPr>
      <w:r>
        <w:rPr>
          <w:rFonts w:ascii="Arial Black" w:hAnsi="Arial Black"/>
          <w:b/>
          <w:bCs/>
          <w:sz w:val="28"/>
          <w:szCs w:val="28"/>
        </w:rPr>
        <w:t>13-169</w:t>
      </w:r>
    </w:p>
    <w:p w14:paraId="0A6CE871" w14:textId="77777777" w:rsidR="006F1059" w:rsidRDefault="006F1059" w:rsidP="006F1059">
      <w:pPr>
        <w:pStyle w:val="NormalWeb"/>
        <w:rPr>
          <w:rFonts w:ascii="Arial Black" w:hAnsi="Arial Black"/>
          <w:sz w:val="28"/>
          <w:szCs w:val="28"/>
        </w:rPr>
      </w:pPr>
      <w:r>
        <w:rPr>
          <w:rFonts w:ascii="Arial Black" w:hAnsi="Arial Black"/>
          <w:sz w:val="28"/>
          <w:szCs w:val="28"/>
        </w:rPr>
        <w:t>TX: NO “STATE-CREATED DANGER” - 14-YR OLD, CEREBRAL PALSY – EMS NO “DELIBERATE INDIFFERENCE” - IMMUNITY</w:t>
      </w:r>
    </w:p>
    <w:p w14:paraId="0F1DF180" w14:textId="77777777" w:rsidR="006F1059" w:rsidRDefault="006F1059" w:rsidP="006F1059">
      <w:pPr>
        <w:pStyle w:val="NormalWeb"/>
      </w:pPr>
      <w:r>
        <w:t xml:space="preserve">On Feb. 27, 2024, in </w:t>
      </w:r>
      <w:r w:rsidRPr="00D05974">
        <w:rPr>
          <w:u w:val="single"/>
        </w:rPr>
        <w:t>Stacey Williams, on behalf of her minor grandson, J.J. v. Andrew Williams and Joe Spradlin</w:t>
      </w:r>
      <w:r>
        <w:t>, the U.S. Court of Appeals for Fifth Circuit (New Orleans) held (3 to 0) that trial court properly dismissed the lawsuit.</w:t>
      </w:r>
    </w:p>
    <w:p w14:paraId="155B6029" w14:textId="77777777" w:rsidR="00F86334" w:rsidRPr="004C0299" w:rsidRDefault="00F86334" w:rsidP="00F86334">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4C739182" w14:textId="77777777" w:rsidR="00F86334" w:rsidRDefault="00F86334" w:rsidP="006F1059">
      <w:pPr>
        <w:pStyle w:val="NoSpacing"/>
      </w:pPr>
    </w:p>
    <w:p w14:paraId="0AC662B1" w14:textId="3CBA26E9" w:rsidR="006F1059" w:rsidRPr="00B65994" w:rsidRDefault="006F1059" w:rsidP="006F1059">
      <w:pPr>
        <w:pStyle w:val="NoSpacing"/>
        <w:rPr>
          <w:rFonts w:ascii="Times New Roman" w:hAnsi="Times New Roman"/>
          <w:sz w:val="24"/>
          <w:szCs w:val="24"/>
        </w:rPr>
      </w:pPr>
      <w:r>
        <w:tab/>
      </w:r>
      <w:r w:rsidRPr="00330249">
        <w:rPr>
          <w:rFonts w:ascii="Times New Roman" w:hAnsi="Times New Roman"/>
          <w:sz w:val="24"/>
          <w:szCs w:val="24"/>
        </w:rPr>
        <w:t>The Court held:</w:t>
      </w:r>
      <w:r>
        <w:t xml:space="preserve"> “</w:t>
      </w:r>
      <w:r w:rsidRPr="00B65994">
        <w:rPr>
          <w:rFonts w:ascii="Times New Roman" w:hAnsi="Times New Roman"/>
          <w:sz w:val="24"/>
          <w:szCs w:val="24"/>
        </w:rPr>
        <w:t>The appellant recognizes that she cannot prevail under this court’s</w:t>
      </w:r>
    </w:p>
    <w:p w14:paraId="77C4D3B3" w14:textId="77777777" w:rsidR="006F1059" w:rsidRPr="00B65994" w:rsidRDefault="006F1059" w:rsidP="006F1059">
      <w:pPr>
        <w:pStyle w:val="NoSpacing"/>
        <w:ind w:left="720"/>
        <w:rPr>
          <w:rFonts w:ascii="Times New Roman" w:hAnsi="Times New Roman"/>
          <w:sz w:val="24"/>
          <w:szCs w:val="24"/>
        </w:rPr>
      </w:pPr>
      <w:r w:rsidRPr="00B65994">
        <w:rPr>
          <w:rFonts w:ascii="Times New Roman" w:hAnsi="Times New Roman"/>
          <w:sz w:val="24"/>
          <w:szCs w:val="24"/>
        </w:rPr>
        <w:t xml:space="preserve">longstanding jurisprudence whereunder we do not recognize </w:t>
      </w:r>
      <w:r>
        <w:rPr>
          <w:rFonts w:ascii="Times New Roman" w:hAnsi="Times New Roman"/>
          <w:sz w:val="24"/>
          <w:szCs w:val="24"/>
        </w:rPr>
        <w:t>‘</w:t>
      </w:r>
      <w:r w:rsidRPr="00B65994">
        <w:rPr>
          <w:rFonts w:ascii="Times New Roman" w:hAnsi="Times New Roman"/>
          <w:sz w:val="24"/>
          <w:szCs w:val="24"/>
        </w:rPr>
        <w:t>state-created</w:t>
      </w:r>
      <w:r>
        <w:rPr>
          <w:rFonts w:ascii="Times New Roman" w:hAnsi="Times New Roman"/>
          <w:sz w:val="24"/>
          <w:szCs w:val="24"/>
        </w:rPr>
        <w:t xml:space="preserve"> </w:t>
      </w:r>
      <w:r w:rsidRPr="00B65994">
        <w:rPr>
          <w:rFonts w:ascii="Times New Roman" w:hAnsi="Times New Roman"/>
          <w:sz w:val="24"/>
          <w:szCs w:val="24"/>
        </w:rPr>
        <w:t>danger</w:t>
      </w:r>
      <w:r>
        <w:rPr>
          <w:rFonts w:ascii="Times New Roman" w:hAnsi="Times New Roman"/>
          <w:sz w:val="24"/>
          <w:szCs w:val="24"/>
        </w:rPr>
        <w:t>’</w:t>
      </w:r>
      <w:r w:rsidRPr="00B65994">
        <w:rPr>
          <w:rFonts w:ascii="Times New Roman" w:hAnsi="Times New Roman"/>
          <w:sz w:val="24"/>
          <w:szCs w:val="24"/>
        </w:rPr>
        <w:t xml:space="preserve"> as a theory of liability for a claimed constitutional violation. Appellant asks the court to use this case as a vehicle to adopt, for the first time, that</w:t>
      </w:r>
      <w:r>
        <w:rPr>
          <w:rFonts w:ascii="Times New Roman" w:hAnsi="Times New Roman"/>
          <w:sz w:val="24"/>
          <w:szCs w:val="24"/>
        </w:rPr>
        <w:t xml:space="preserve"> </w:t>
      </w:r>
      <w:r w:rsidRPr="00B65994">
        <w:rPr>
          <w:rFonts w:ascii="Times New Roman" w:hAnsi="Times New Roman"/>
          <w:sz w:val="24"/>
          <w:szCs w:val="24"/>
        </w:rPr>
        <w:t>theory.</w:t>
      </w:r>
      <w:r>
        <w:rPr>
          <w:rFonts w:ascii="Times New Roman" w:hAnsi="Times New Roman"/>
          <w:sz w:val="24"/>
          <w:szCs w:val="24"/>
        </w:rPr>
        <w:t xml:space="preserve"> </w:t>
      </w:r>
      <w:r w:rsidRPr="00B65994">
        <w:rPr>
          <w:rFonts w:ascii="Times New Roman" w:hAnsi="Times New Roman"/>
          <w:sz w:val="24"/>
          <w:szCs w:val="24"/>
        </w:rPr>
        <w:t>We decline the invitation. It is a stretch to say that state actors</w:t>
      </w:r>
      <w:r>
        <w:rPr>
          <w:rFonts w:ascii="Times New Roman" w:hAnsi="Times New Roman"/>
          <w:sz w:val="24"/>
          <w:szCs w:val="24"/>
        </w:rPr>
        <w:t xml:space="preserve"> </w:t>
      </w:r>
      <w:r w:rsidRPr="00B65994">
        <w:rPr>
          <w:rFonts w:ascii="Times New Roman" w:hAnsi="Times New Roman"/>
          <w:sz w:val="24"/>
          <w:szCs w:val="24"/>
        </w:rPr>
        <w:t>“created” the danger, given that the appellant’s grandson was in medical</w:t>
      </w:r>
      <w:r>
        <w:rPr>
          <w:rFonts w:ascii="Times New Roman" w:hAnsi="Times New Roman"/>
          <w:sz w:val="24"/>
          <w:szCs w:val="24"/>
        </w:rPr>
        <w:t xml:space="preserve"> </w:t>
      </w:r>
      <w:r w:rsidRPr="00B65994">
        <w:rPr>
          <w:rFonts w:ascii="Times New Roman" w:hAnsi="Times New Roman"/>
          <w:sz w:val="24"/>
          <w:szCs w:val="24"/>
        </w:rPr>
        <w:t xml:space="preserve">distress, not caused by them, </w:t>
      </w:r>
      <w:r w:rsidRPr="00B65994">
        <w:rPr>
          <w:rFonts w:ascii="Times New Roman" w:hAnsi="Times New Roman"/>
          <w:sz w:val="24"/>
          <w:szCs w:val="24"/>
        </w:rPr>
        <w:lastRenderedPageBreak/>
        <w:t>when they arrived. As alleged, any failure to</w:t>
      </w:r>
      <w:r>
        <w:rPr>
          <w:rFonts w:ascii="Times New Roman" w:hAnsi="Times New Roman"/>
          <w:sz w:val="24"/>
          <w:szCs w:val="24"/>
        </w:rPr>
        <w:t xml:space="preserve"> </w:t>
      </w:r>
      <w:r w:rsidRPr="00B65994">
        <w:rPr>
          <w:rFonts w:ascii="Times New Roman" w:hAnsi="Times New Roman"/>
          <w:sz w:val="24"/>
          <w:szCs w:val="24"/>
        </w:rPr>
        <w:t>act sounds more in medical malpractice or negligence than in deliberate</w:t>
      </w:r>
    </w:p>
    <w:p w14:paraId="54FA6B18" w14:textId="77777777" w:rsidR="006F1059" w:rsidRPr="00127FA3" w:rsidRDefault="006F1059" w:rsidP="006F1059">
      <w:pPr>
        <w:pStyle w:val="NoSpacing"/>
        <w:ind w:firstLine="720"/>
        <w:rPr>
          <w:rFonts w:ascii="Times New Roman" w:hAnsi="Times New Roman"/>
          <w:sz w:val="24"/>
          <w:szCs w:val="24"/>
        </w:rPr>
      </w:pPr>
      <w:r w:rsidRPr="00B65994">
        <w:rPr>
          <w:rFonts w:ascii="Times New Roman" w:hAnsi="Times New Roman"/>
          <w:sz w:val="24"/>
          <w:szCs w:val="24"/>
        </w:rPr>
        <w:t>indifference.</w:t>
      </w:r>
      <w:r>
        <w:rPr>
          <w:rFonts w:ascii="Times New Roman" w:hAnsi="Times New Roman"/>
          <w:sz w:val="24"/>
          <w:szCs w:val="24"/>
        </w:rPr>
        <w:t xml:space="preserve">” </w:t>
      </w:r>
      <w:hyperlink r:id="rId2185" w:history="1">
        <w:r w:rsidRPr="00E64ED3">
          <w:rPr>
            <w:rStyle w:val="Hyperlink"/>
            <w:rFonts w:ascii="Times New Roman" w:hAnsi="Times New Roman"/>
            <w:sz w:val="24"/>
            <w:szCs w:val="24"/>
          </w:rPr>
          <w:t>https://www.ca5.uscourts.gov/opinions/unpub/23/23-20375.0.pdf</w:t>
        </w:r>
      </w:hyperlink>
      <w:r>
        <w:rPr>
          <w:rFonts w:ascii="Times New Roman" w:hAnsi="Times New Roman"/>
          <w:sz w:val="24"/>
          <w:szCs w:val="24"/>
        </w:rPr>
        <w:t xml:space="preserve"> </w:t>
      </w:r>
    </w:p>
    <w:p w14:paraId="33485358" w14:textId="77777777" w:rsidR="006F1059" w:rsidRDefault="006F1059" w:rsidP="006F1059">
      <w:pPr>
        <w:pStyle w:val="NoSpacing"/>
        <w:ind w:firstLine="720"/>
        <w:rPr>
          <w:rFonts w:ascii="Times New Roman" w:hAnsi="Times New Roman"/>
          <w:sz w:val="24"/>
          <w:szCs w:val="24"/>
        </w:rPr>
      </w:pPr>
    </w:p>
    <w:p w14:paraId="78B226D7" w14:textId="77777777" w:rsidR="006F1059" w:rsidRPr="001F3724" w:rsidRDefault="006F1059" w:rsidP="006F1059">
      <w:pPr>
        <w:pStyle w:val="NoSpacing"/>
        <w:rPr>
          <w:rFonts w:ascii="Times New Roman" w:hAnsi="Times New Roman"/>
          <w:b/>
          <w:bCs/>
          <w:sz w:val="24"/>
          <w:szCs w:val="24"/>
        </w:rPr>
      </w:pPr>
      <w:r w:rsidRPr="001F3724">
        <w:rPr>
          <w:rFonts w:ascii="Times New Roman" w:hAnsi="Times New Roman"/>
          <w:b/>
          <w:bCs/>
          <w:sz w:val="24"/>
          <w:szCs w:val="24"/>
        </w:rPr>
        <w:t>Legal Lesson Learned:</w:t>
      </w:r>
      <w:r>
        <w:rPr>
          <w:rFonts w:ascii="Times New Roman" w:hAnsi="Times New Roman"/>
          <w:b/>
          <w:bCs/>
          <w:sz w:val="24"/>
          <w:szCs w:val="24"/>
        </w:rPr>
        <w:t xml:space="preserve"> There was no proof of deliberate indifference; medics therefore enjoy qualified immunity. </w:t>
      </w:r>
    </w:p>
    <w:p w14:paraId="6588F812" w14:textId="77777777" w:rsidR="006F1059" w:rsidRDefault="006F1059" w:rsidP="006F1059">
      <w:pPr>
        <w:pStyle w:val="NoSpacing"/>
        <w:rPr>
          <w:sz w:val="24"/>
          <w:szCs w:val="24"/>
        </w:rPr>
      </w:pPr>
    </w:p>
    <w:p w14:paraId="52A1AF04" w14:textId="77777777" w:rsidR="006F1059" w:rsidRPr="00486412" w:rsidRDefault="006F1059" w:rsidP="006F1059">
      <w:pPr>
        <w:pStyle w:val="NoSpacing"/>
        <w:ind w:left="720"/>
        <w:rPr>
          <w:rFonts w:ascii="Times New Roman" w:hAnsi="Times New Roman"/>
          <w:sz w:val="24"/>
          <w:szCs w:val="24"/>
        </w:rPr>
      </w:pPr>
      <w:r w:rsidRPr="00486412">
        <w:rPr>
          <w:rFonts w:ascii="Times New Roman" w:hAnsi="Times New Roman"/>
          <w:sz w:val="24"/>
          <w:szCs w:val="24"/>
        </w:rPr>
        <w:t xml:space="preserve">Note: See allegations by plaintiff’s law firm.  “Attorney Ben Crump Files Personal Injury Lawsuit Against Paramedics Who Refused to Provide Emergency Care to Disabled Teen.” </w:t>
      </w:r>
      <w:hyperlink r:id="rId2186" w:history="1">
        <w:r w:rsidRPr="00486412">
          <w:rPr>
            <w:rStyle w:val="Hyperlink"/>
            <w:rFonts w:ascii="Times New Roman" w:hAnsi="Times New Roman"/>
            <w:sz w:val="24"/>
            <w:szCs w:val="24"/>
          </w:rPr>
          <w:t>https://bencrump.com/press/attorney-ben-crump-files-personal-injury-lawsuit-against-paramedics-who-refused-to-provide-emergency-care-to-disabled-teen/</w:t>
        </w:r>
      </w:hyperlink>
    </w:p>
    <w:p w14:paraId="53269796" w14:textId="77777777" w:rsidR="00A77ADF" w:rsidRDefault="00A77ADF" w:rsidP="006A02A4">
      <w:pPr>
        <w:rPr>
          <w:rFonts w:ascii="Arial Black" w:hAnsi="Arial Black"/>
          <w:b/>
          <w:bCs/>
          <w:sz w:val="28"/>
          <w:szCs w:val="28"/>
        </w:rPr>
      </w:pPr>
    </w:p>
    <w:p w14:paraId="78BE8F22" w14:textId="77777777" w:rsidR="00A77ADF" w:rsidRDefault="00A77ADF" w:rsidP="006A02A4">
      <w:pPr>
        <w:rPr>
          <w:rFonts w:ascii="Arial Black" w:hAnsi="Arial Black"/>
          <w:b/>
          <w:bCs/>
          <w:sz w:val="28"/>
          <w:szCs w:val="28"/>
        </w:rPr>
      </w:pPr>
    </w:p>
    <w:p w14:paraId="0A582832" w14:textId="5C7E6A3D" w:rsidR="00741889" w:rsidRDefault="00741889" w:rsidP="006A02A4">
      <w:pPr>
        <w:rPr>
          <w:rFonts w:ascii="Arial Black" w:hAnsi="Arial Black"/>
          <w:b/>
          <w:bCs/>
          <w:sz w:val="28"/>
          <w:szCs w:val="28"/>
        </w:rPr>
      </w:pPr>
      <w:r>
        <w:rPr>
          <w:rFonts w:ascii="Arial Black" w:hAnsi="Arial Black"/>
          <w:b/>
          <w:bCs/>
          <w:sz w:val="28"/>
          <w:szCs w:val="28"/>
        </w:rPr>
        <w:t>13-168</w:t>
      </w:r>
    </w:p>
    <w:p w14:paraId="0F38657E" w14:textId="31E7800A" w:rsidR="00741889" w:rsidRDefault="00741889" w:rsidP="00741889">
      <w:pPr>
        <w:pStyle w:val="NoSpacing"/>
        <w:rPr>
          <w:rFonts w:ascii="Arial Black" w:hAnsi="Arial Black"/>
          <w:sz w:val="28"/>
          <w:szCs w:val="28"/>
        </w:rPr>
      </w:pPr>
      <w:r>
        <w:rPr>
          <w:rFonts w:ascii="Arial Black" w:hAnsi="Arial Black"/>
          <w:sz w:val="28"/>
          <w:szCs w:val="28"/>
        </w:rPr>
        <w:t xml:space="preserve">ME: PERSON DEAD OVERDOSE UNDER SINK –  RESIDENT REFUSED TALK TO MEDICS – </w:t>
      </w:r>
      <w:r w:rsidR="003E7DB8">
        <w:rPr>
          <w:rFonts w:ascii="Arial Black" w:hAnsi="Arial Black"/>
          <w:sz w:val="28"/>
          <w:szCs w:val="28"/>
        </w:rPr>
        <w:t xml:space="preserve">PROSECUTOR </w:t>
      </w:r>
      <w:r>
        <w:rPr>
          <w:rFonts w:ascii="Arial Black" w:hAnsi="Arial Black"/>
          <w:sz w:val="28"/>
          <w:szCs w:val="28"/>
        </w:rPr>
        <w:t>TOLD JURY</w:t>
      </w:r>
      <w:r w:rsidR="00E9297E">
        <w:rPr>
          <w:rFonts w:ascii="Arial Black" w:hAnsi="Arial Black"/>
          <w:sz w:val="28"/>
          <w:szCs w:val="28"/>
        </w:rPr>
        <w:t xml:space="preserve"> </w:t>
      </w:r>
    </w:p>
    <w:p w14:paraId="019A5C82" w14:textId="77777777" w:rsidR="00741889" w:rsidRDefault="00741889" w:rsidP="00741889">
      <w:pPr>
        <w:pStyle w:val="NoSpacing"/>
        <w:rPr>
          <w:rFonts w:ascii="Times New Roman" w:hAnsi="Times New Roman"/>
          <w:sz w:val="24"/>
          <w:szCs w:val="24"/>
        </w:rPr>
      </w:pPr>
    </w:p>
    <w:p w14:paraId="19DB9084" w14:textId="77777777" w:rsidR="00741889" w:rsidRDefault="00741889" w:rsidP="00741889">
      <w:pPr>
        <w:pStyle w:val="NoSpacing"/>
        <w:rPr>
          <w:rFonts w:ascii="Times New Roman" w:hAnsi="Times New Roman"/>
          <w:sz w:val="24"/>
          <w:szCs w:val="24"/>
        </w:rPr>
      </w:pPr>
      <w:r>
        <w:rPr>
          <w:rFonts w:ascii="Times New Roman" w:hAnsi="Times New Roman"/>
          <w:sz w:val="24"/>
          <w:szCs w:val="24"/>
        </w:rPr>
        <w:t xml:space="preserve">On Jan. 30, 2024, in </w:t>
      </w:r>
      <w:r w:rsidRPr="008149F4">
        <w:rPr>
          <w:rFonts w:ascii="Times New Roman" w:hAnsi="Times New Roman"/>
          <w:sz w:val="24"/>
          <w:szCs w:val="24"/>
          <w:u w:val="single"/>
        </w:rPr>
        <w:t>State of Maine v. Ralph A. Trip, Jr</w:t>
      </w:r>
      <w:r>
        <w:rPr>
          <w:rFonts w:ascii="Times New Roman" w:hAnsi="Times New Roman"/>
          <w:sz w:val="24"/>
          <w:szCs w:val="24"/>
        </w:rPr>
        <w:t xml:space="preserve">., the Maine Supreme Judicial Court held (7 to 0) that trial court judge properly allowed jury to hear testimony of the paramedics from Bangor Fire Department that the defendant along with his wife called 911 on April 17, 2021, and they both refused to tell the medics anything about the person dead under the sink in their apartment.  The jury convicted the defendant of </w:t>
      </w:r>
      <w:r w:rsidRPr="00E67AD9">
        <w:rPr>
          <w:rFonts w:ascii="Times New Roman" w:hAnsi="Times New Roman"/>
          <w:sz w:val="24"/>
          <w:szCs w:val="24"/>
        </w:rPr>
        <w:t>aggravated trafficking of a scheduled drug that in fact caused the death of a</w:t>
      </w:r>
      <w:r>
        <w:rPr>
          <w:rFonts w:ascii="Times New Roman" w:hAnsi="Times New Roman"/>
          <w:sz w:val="24"/>
          <w:szCs w:val="24"/>
        </w:rPr>
        <w:t xml:space="preserve"> </w:t>
      </w:r>
      <w:r w:rsidRPr="00E67AD9">
        <w:rPr>
          <w:rFonts w:ascii="Times New Roman" w:hAnsi="Times New Roman"/>
          <w:sz w:val="24"/>
          <w:szCs w:val="24"/>
        </w:rPr>
        <w:t>person</w:t>
      </w:r>
      <w:r>
        <w:rPr>
          <w:rFonts w:ascii="Times New Roman" w:hAnsi="Times New Roman"/>
          <w:sz w:val="24"/>
          <w:szCs w:val="24"/>
        </w:rPr>
        <w:t xml:space="preserve">, </w:t>
      </w:r>
      <w:r w:rsidRPr="00E67AD9">
        <w:rPr>
          <w:rFonts w:ascii="Times New Roman" w:hAnsi="Times New Roman"/>
          <w:sz w:val="24"/>
          <w:szCs w:val="24"/>
        </w:rPr>
        <w:t xml:space="preserve"> three counts of</w:t>
      </w:r>
      <w:r>
        <w:rPr>
          <w:rFonts w:ascii="Times New Roman" w:hAnsi="Times New Roman"/>
          <w:sz w:val="24"/>
          <w:szCs w:val="24"/>
        </w:rPr>
        <w:t xml:space="preserve"> </w:t>
      </w:r>
      <w:r w:rsidRPr="00E67AD9">
        <w:rPr>
          <w:rFonts w:ascii="Times New Roman" w:hAnsi="Times New Roman"/>
          <w:sz w:val="24"/>
          <w:szCs w:val="24"/>
        </w:rPr>
        <w:t>aggravated trafficking of scheduled drugs: fentanyl powder, cocaine, and</w:t>
      </w:r>
      <w:r>
        <w:rPr>
          <w:rFonts w:ascii="Times New Roman" w:hAnsi="Times New Roman"/>
          <w:sz w:val="24"/>
          <w:szCs w:val="24"/>
        </w:rPr>
        <w:t xml:space="preserve"> m</w:t>
      </w:r>
      <w:r w:rsidRPr="00E67AD9">
        <w:rPr>
          <w:rFonts w:ascii="Times New Roman" w:hAnsi="Times New Roman"/>
          <w:sz w:val="24"/>
          <w:szCs w:val="24"/>
        </w:rPr>
        <w:t>ethamphetamine</w:t>
      </w:r>
      <w:r>
        <w:rPr>
          <w:rFonts w:ascii="Times New Roman" w:hAnsi="Times New Roman"/>
          <w:sz w:val="24"/>
          <w:szCs w:val="24"/>
        </w:rPr>
        <w:t xml:space="preserve">, </w:t>
      </w:r>
      <w:r w:rsidRPr="00E67AD9">
        <w:rPr>
          <w:rFonts w:ascii="Times New Roman" w:hAnsi="Times New Roman"/>
          <w:sz w:val="24"/>
          <w:szCs w:val="24"/>
        </w:rPr>
        <w:t>one</w:t>
      </w:r>
      <w:r>
        <w:rPr>
          <w:rFonts w:ascii="Times New Roman" w:hAnsi="Times New Roman"/>
          <w:sz w:val="24"/>
          <w:szCs w:val="24"/>
        </w:rPr>
        <w:t xml:space="preserve"> </w:t>
      </w:r>
      <w:r w:rsidRPr="00E67AD9">
        <w:rPr>
          <w:rFonts w:ascii="Times New Roman" w:hAnsi="Times New Roman"/>
          <w:sz w:val="24"/>
          <w:szCs w:val="24"/>
        </w:rPr>
        <w:t>count of possession of a firearm by a prohibited person</w:t>
      </w:r>
      <w:r w:rsidRPr="008734D5">
        <w:rPr>
          <w:rFonts w:ascii="Times New Roman" w:hAnsi="Times New Roman"/>
          <w:sz w:val="24"/>
          <w:szCs w:val="24"/>
        </w:rPr>
        <w:t>); and two counts of criminal forfeiture</w:t>
      </w:r>
      <w:r>
        <w:rPr>
          <w:rFonts w:ascii="Times New Roman" w:hAnsi="Times New Roman"/>
          <w:sz w:val="24"/>
          <w:szCs w:val="24"/>
        </w:rPr>
        <w:t xml:space="preserve">. </w:t>
      </w:r>
    </w:p>
    <w:p w14:paraId="1743CEA8" w14:textId="77777777" w:rsidR="00741889" w:rsidRDefault="00741889" w:rsidP="00741889">
      <w:pPr>
        <w:pStyle w:val="NoSpacing"/>
        <w:rPr>
          <w:rFonts w:ascii="Times New Roman" w:hAnsi="Times New Roman"/>
          <w:sz w:val="24"/>
          <w:szCs w:val="24"/>
        </w:rPr>
      </w:pPr>
    </w:p>
    <w:p w14:paraId="1F5BB293" w14:textId="77777777" w:rsidR="00741889" w:rsidRDefault="00741889" w:rsidP="00741889">
      <w:pPr>
        <w:pStyle w:val="NoSpacing"/>
        <w:ind w:left="720"/>
        <w:rPr>
          <w:rFonts w:ascii="Times New Roman" w:hAnsi="Times New Roman"/>
          <w:sz w:val="24"/>
          <w:szCs w:val="24"/>
        </w:rPr>
      </w:pPr>
      <w:r>
        <w:rPr>
          <w:rFonts w:ascii="Times New Roman" w:hAnsi="Times New Roman"/>
          <w:sz w:val="24"/>
          <w:szCs w:val="24"/>
        </w:rPr>
        <w:t>“</w:t>
      </w:r>
      <w:r w:rsidRPr="00866A39">
        <w:rPr>
          <w:rFonts w:ascii="Times New Roman" w:hAnsi="Times New Roman"/>
          <w:sz w:val="24"/>
          <w:szCs w:val="24"/>
        </w:rPr>
        <w:t>Even if the right to remain silent extends to a paramedic’s</w:t>
      </w:r>
      <w:r>
        <w:rPr>
          <w:rFonts w:ascii="Times New Roman" w:hAnsi="Times New Roman"/>
          <w:sz w:val="24"/>
          <w:szCs w:val="24"/>
        </w:rPr>
        <w:t xml:space="preserve"> </w:t>
      </w:r>
      <w:r w:rsidRPr="003509D7">
        <w:rPr>
          <w:rFonts w:ascii="Times New Roman" w:hAnsi="Times New Roman"/>
          <w:sz w:val="24"/>
          <w:szCs w:val="24"/>
        </w:rPr>
        <w:t>questioning, we conclude that Tripp failed to demonstrate that he invoked his</w:t>
      </w:r>
      <w:r>
        <w:rPr>
          <w:rFonts w:ascii="Times New Roman" w:hAnsi="Times New Roman"/>
          <w:sz w:val="24"/>
          <w:szCs w:val="24"/>
        </w:rPr>
        <w:t xml:space="preserve"> </w:t>
      </w:r>
      <w:r w:rsidRPr="003509D7">
        <w:rPr>
          <w:rFonts w:ascii="Times New Roman" w:hAnsi="Times New Roman"/>
          <w:sz w:val="24"/>
          <w:szCs w:val="24"/>
        </w:rPr>
        <w:t>right to remain silent in this non-custodial context.</w:t>
      </w:r>
    </w:p>
    <w:p w14:paraId="1BDE81B1" w14:textId="77777777" w:rsidR="00741889" w:rsidRDefault="00741889" w:rsidP="00741889">
      <w:pPr>
        <w:pStyle w:val="NoSpacing"/>
        <w:rPr>
          <w:rFonts w:ascii="Times New Roman" w:hAnsi="Times New Roman"/>
          <w:sz w:val="24"/>
          <w:szCs w:val="24"/>
        </w:rPr>
      </w:pPr>
    </w:p>
    <w:p w14:paraId="42221BAF" w14:textId="77777777" w:rsidR="00741889" w:rsidRDefault="00741889" w:rsidP="00741889">
      <w:pPr>
        <w:pStyle w:val="NoSpacing"/>
        <w:ind w:firstLine="720"/>
        <w:rPr>
          <w:rFonts w:ascii="Times New Roman" w:hAnsi="Times New Roman"/>
          <w:sz w:val="24"/>
          <w:szCs w:val="24"/>
        </w:rPr>
      </w:pPr>
      <w:r>
        <w:rPr>
          <w:rFonts w:ascii="Times New Roman" w:hAnsi="Times New Roman"/>
          <w:sz w:val="24"/>
          <w:szCs w:val="24"/>
        </w:rPr>
        <w:t>***</w:t>
      </w:r>
    </w:p>
    <w:p w14:paraId="318CE97F" w14:textId="77777777" w:rsidR="00741889" w:rsidRDefault="00741889" w:rsidP="00741889">
      <w:pPr>
        <w:pStyle w:val="NoSpacing"/>
        <w:ind w:left="720"/>
        <w:rPr>
          <w:rFonts w:ascii="Times New Roman" w:hAnsi="Times New Roman"/>
          <w:sz w:val="24"/>
          <w:szCs w:val="24"/>
        </w:rPr>
      </w:pPr>
      <w:r w:rsidRPr="00174E38">
        <w:rPr>
          <w:rFonts w:ascii="Times New Roman" w:hAnsi="Times New Roman"/>
          <w:sz w:val="24"/>
          <w:szCs w:val="24"/>
        </w:rPr>
        <w:t>Here, after Tripp let the paramedics</w:t>
      </w:r>
      <w:r>
        <w:rPr>
          <w:rFonts w:ascii="Times New Roman" w:hAnsi="Times New Roman"/>
          <w:sz w:val="24"/>
          <w:szCs w:val="24"/>
        </w:rPr>
        <w:t xml:space="preserve"> </w:t>
      </w:r>
      <w:r w:rsidRPr="00174E38">
        <w:rPr>
          <w:rFonts w:ascii="Times New Roman" w:hAnsi="Times New Roman"/>
          <w:sz w:val="24"/>
          <w:szCs w:val="24"/>
        </w:rPr>
        <w:t>into the rooming house and directed them upstairs to the unconscious person,</w:t>
      </w:r>
      <w:r>
        <w:rPr>
          <w:rFonts w:ascii="Times New Roman" w:hAnsi="Times New Roman"/>
          <w:sz w:val="24"/>
          <w:szCs w:val="24"/>
        </w:rPr>
        <w:t xml:space="preserve"> </w:t>
      </w:r>
      <w:r w:rsidRPr="00174E38">
        <w:rPr>
          <w:rFonts w:ascii="Times New Roman" w:hAnsi="Times New Roman"/>
          <w:sz w:val="24"/>
          <w:szCs w:val="24"/>
        </w:rPr>
        <w:t>he went into his room, denied knowing the person, and refused to answer the</w:t>
      </w:r>
      <w:r>
        <w:rPr>
          <w:rFonts w:ascii="Times New Roman" w:hAnsi="Times New Roman"/>
          <w:sz w:val="24"/>
          <w:szCs w:val="24"/>
        </w:rPr>
        <w:t xml:space="preserve"> </w:t>
      </w:r>
      <w:r w:rsidRPr="00174E38">
        <w:rPr>
          <w:rFonts w:ascii="Times New Roman" w:hAnsi="Times New Roman"/>
          <w:sz w:val="24"/>
          <w:szCs w:val="24"/>
        </w:rPr>
        <w:t>paramedic’s questions about the person. He was not in custody, and beyond</w:t>
      </w:r>
      <w:r>
        <w:rPr>
          <w:rFonts w:ascii="Times New Roman" w:hAnsi="Times New Roman"/>
          <w:sz w:val="24"/>
          <w:szCs w:val="24"/>
        </w:rPr>
        <w:t xml:space="preserve"> </w:t>
      </w:r>
      <w:r w:rsidRPr="00174E38">
        <w:rPr>
          <w:rFonts w:ascii="Times New Roman" w:hAnsi="Times New Roman"/>
          <w:sz w:val="24"/>
          <w:szCs w:val="24"/>
        </w:rPr>
        <w:t>remaining silent, Tripp did not expressly state nor otherwise manifest his</w:t>
      </w:r>
      <w:r>
        <w:rPr>
          <w:rFonts w:ascii="Times New Roman" w:hAnsi="Times New Roman"/>
          <w:sz w:val="24"/>
          <w:szCs w:val="24"/>
        </w:rPr>
        <w:t xml:space="preserve"> </w:t>
      </w:r>
      <w:r w:rsidRPr="009D716B">
        <w:rPr>
          <w:rFonts w:ascii="Times New Roman" w:hAnsi="Times New Roman"/>
          <w:sz w:val="24"/>
          <w:szCs w:val="24"/>
        </w:rPr>
        <w:t>intention to exercise the constitutional right against self-incrimination. These</w:t>
      </w:r>
      <w:r>
        <w:rPr>
          <w:rFonts w:ascii="Times New Roman" w:hAnsi="Times New Roman"/>
          <w:sz w:val="24"/>
          <w:szCs w:val="24"/>
        </w:rPr>
        <w:t xml:space="preserve"> </w:t>
      </w:r>
      <w:r w:rsidRPr="009D716B">
        <w:rPr>
          <w:rFonts w:ascii="Times New Roman" w:hAnsi="Times New Roman"/>
          <w:sz w:val="24"/>
          <w:szCs w:val="24"/>
        </w:rPr>
        <w:t>facts are not sufficient to demonstrate Tripp’s invocation of his Fifth</w:t>
      </w:r>
      <w:r>
        <w:rPr>
          <w:rFonts w:ascii="Times New Roman" w:hAnsi="Times New Roman"/>
          <w:sz w:val="24"/>
          <w:szCs w:val="24"/>
        </w:rPr>
        <w:t xml:space="preserve"> </w:t>
      </w:r>
      <w:r w:rsidRPr="009D716B">
        <w:rPr>
          <w:rFonts w:ascii="Times New Roman" w:hAnsi="Times New Roman"/>
          <w:sz w:val="24"/>
          <w:szCs w:val="24"/>
        </w:rPr>
        <w:t>Amendment right against self-incrimination.</w:t>
      </w:r>
      <w:r>
        <w:rPr>
          <w:rFonts w:ascii="Times New Roman" w:hAnsi="Times New Roman"/>
          <w:sz w:val="24"/>
          <w:szCs w:val="24"/>
        </w:rPr>
        <w:t xml:space="preserve">” </w:t>
      </w:r>
      <w:hyperlink r:id="rId2187" w:history="1">
        <w:r w:rsidRPr="00D10854">
          <w:rPr>
            <w:rStyle w:val="Hyperlink"/>
            <w:rFonts w:ascii="Times New Roman" w:hAnsi="Times New Roman"/>
            <w:sz w:val="24"/>
            <w:szCs w:val="24"/>
          </w:rPr>
          <w:t>https://www.courts.maine.gov/courts/sjc/lawcourt/2024/24me012.pdf</w:t>
        </w:r>
      </w:hyperlink>
      <w:r>
        <w:rPr>
          <w:rFonts w:ascii="Times New Roman" w:hAnsi="Times New Roman"/>
          <w:sz w:val="24"/>
          <w:szCs w:val="24"/>
        </w:rPr>
        <w:t xml:space="preserve"> </w:t>
      </w:r>
    </w:p>
    <w:p w14:paraId="18A50EE0" w14:textId="77777777" w:rsidR="00741889" w:rsidRDefault="00741889" w:rsidP="006A02A4">
      <w:pPr>
        <w:rPr>
          <w:rFonts w:ascii="Arial Black" w:hAnsi="Arial Black"/>
          <w:b/>
          <w:bCs/>
          <w:sz w:val="28"/>
          <w:szCs w:val="28"/>
        </w:rPr>
      </w:pPr>
    </w:p>
    <w:p w14:paraId="7E5707F3" w14:textId="77777777" w:rsidR="003E7DB8" w:rsidRDefault="003E7DB8" w:rsidP="003E7DB8">
      <w:pPr>
        <w:pStyle w:val="NoSpacing"/>
        <w:rPr>
          <w:rFonts w:ascii="Times New Roman" w:hAnsi="Times New Roman"/>
          <w:b/>
          <w:bCs/>
          <w:sz w:val="24"/>
          <w:szCs w:val="24"/>
        </w:rPr>
      </w:pPr>
      <w:r w:rsidRPr="006D521E">
        <w:rPr>
          <w:rFonts w:ascii="Times New Roman" w:hAnsi="Times New Roman"/>
          <w:b/>
          <w:bCs/>
          <w:sz w:val="24"/>
          <w:szCs w:val="24"/>
        </w:rPr>
        <w:t xml:space="preserve">Legal Lesson Learned: </w:t>
      </w:r>
      <w:r>
        <w:rPr>
          <w:rFonts w:ascii="Times New Roman" w:hAnsi="Times New Roman"/>
          <w:b/>
          <w:bCs/>
          <w:sz w:val="24"/>
          <w:szCs w:val="24"/>
        </w:rPr>
        <w:t xml:space="preserve">The defendant was not in custody, so there was no need to warn him of his Miranda rights. </w:t>
      </w:r>
    </w:p>
    <w:p w14:paraId="6BD8F780" w14:textId="77777777" w:rsidR="003E7DB8" w:rsidRDefault="003E7DB8" w:rsidP="003E7DB8">
      <w:pPr>
        <w:pStyle w:val="NoSpacing"/>
        <w:rPr>
          <w:rFonts w:ascii="Times New Roman" w:hAnsi="Times New Roman"/>
          <w:b/>
          <w:bCs/>
          <w:sz w:val="24"/>
          <w:szCs w:val="24"/>
        </w:rPr>
      </w:pPr>
    </w:p>
    <w:p w14:paraId="7D9BDE03" w14:textId="77777777" w:rsidR="003E7DB8" w:rsidRDefault="003E7DB8" w:rsidP="003E7DB8">
      <w:pPr>
        <w:pStyle w:val="NoSpacing"/>
        <w:ind w:left="720"/>
        <w:rPr>
          <w:rFonts w:ascii="Times New Roman" w:hAnsi="Times New Roman"/>
          <w:sz w:val="24"/>
          <w:szCs w:val="24"/>
        </w:rPr>
      </w:pPr>
      <w:r w:rsidRPr="005134A8">
        <w:rPr>
          <w:rFonts w:ascii="Times New Roman" w:hAnsi="Times New Roman"/>
          <w:sz w:val="24"/>
          <w:szCs w:val="24"/>
        </w:rPr>
        <w:t xml:space="preserve">Note: </w:t>
      </w:r>
      <w:r>
        <w:rPr>
          <w:rFonts w:ascii="Times New Roman" w:hAnsi="Times New Roman"/>
          <w:sz w:val="24"/>
          <w:szCs w:val="24"/>
        </w:rPr>
        <w:t xml:space="preserve">Many states, including Maine, have adopted laws to protect individual using drugs to call 911 to get help for overdose of another.  The Maine Supreme Court in this case agreed with trial court judge – the immunity statute does not protect a drug dealer who calls 911. </w:t>
      </w:r>
    </w:p>
    <w:p w14:paraId="5FA10450" w14:textId="77777777" w:rsidR="003E7DB8" w:rsidRDefault="003E7DB8" w:rsidP="003E7DB8">
      <w:pPr>
        <w:pStyle w:val="NoSpacing"/>
        <w:ind w:left="720"/>
        <w:rPr>
          <w:rFonts w:ascii="Times New Roman" w:hAnsi="Times New Roman"/>
          <w:sz w:val="24"/>
          <w:szCs w:val="24"/>
        </w:rPr>
      </w:pPr>
    </w:p>
    <w:p w14:paraId="3F2F4834" w14:textId="77777777" w:rsidR="003E7DB8" w:rsidRPr="005134A8" w:rsidRDefault="003E7DB8" w:rsidP="003E7DB8">
      <w:pPr>
        <w:pStyle w:val="NoSpacing"/>
        <w:ind w:left="720"/>
        <w:rPr>
          <w:rFonts w:ascii="Times New Roman" w:hAnsi="Times New Roman"/>
          <w:sz w:val="24"/>
          <w:szCs w:val="24"/>
        </w:rPr>
      </w:pPr>
      <w:r>
        <w:rPr>
          <w:rFonts w:ascii="Times New Roman" w:hAnsi="Times New Roman"/>
          <w:sz w:val="24"/>
          <w:szCs w:val="24"/>
        </w:rPr>
        <w:t>“</w:t>
      </w:r>
      <w:r w:rsidRPr="004C6F13">
        <w:rPr>
          <w:rFonts w:ascii="Times New Roman" w:hAnsi="Times New Roman"/>
          <w:sz w:val="24"/>
          <w:szCs w:val="24"/>
        </w:rPr>
        <w:t>If the accused, in good faith, either sought</w:t>
      </w:r>
      <w:r>
        <w:rPr>
          <w:rFonts w:ascii="Times New Roman" w:hAnsi="Times New Roman"/>
          <w:sz w:val="24"/>
          <w:szCs w:val="24"/>
        </w:rPr>
        <w:t xml:space="preserve"> </w:t>
      </w:r>
      <w:r w:rsidRPr="004C6F13">
        <w:rPr>
          <w:rFonts w:ascii="Times New Roman" w:hAnsi="Times New Roman"/>
          <w:sz w:val="24"/>
          <w:szCs w:val="24"/>
        </w:rPr>
        <w:t>medical assistance or administered naloxone for another person while that</w:t>
      </w:r>
      <w:r>
        <w:rPr>
          <w:rFonts w:ascii="Times New Roman" w:hAnsi="Times New Roman"/>
          <w:sz w:val="24"/>
          <w:szCs w:val="24"/>
        </w:rPr>
        <w:t xml:space="preserve"> </w:t>
      </w:r>
      <w:r w:rsidRPr="004C6F13">
        <w:rPr>
          <w:rFonts w:ascii="Times New Roman" w:hAnsi="Times New Roman"/>
          <w:sz w:val="24"/>
          <w:szCs w:val="24"/>
        </w:rPr>
        <w:t>person was experiencing a drug-related overdose, the accused can seek</w:t>
      </w:r>
      <w:r>
        <w:rPr>
          <w:rFonts w:ascii="Times New Roman" w:hAnsi="Times New Roman"/>
          <w:sz w:val="24"/>
          <w:szCs w:val="24"/>
        </w:rPr>
        <w:t xml:space="preserve"> </w:t>
      </w:r>
      <w:r w:rsidRPr="004C6F13">
        <w:rPr>
          <w:rFonts w:ascii="Times New Roman" w:hAnsi="Times New Roman"/>
          <w:sz w:val="24"/>
          <w:szCs w:val="24"/>
        </w:rPr>
        <w:t xml:space="preserve">immunity from </w:t>
      </w:r>
      <w:r w:rsidRPr="004C6F13">
        <w:rPr>
          <w:rFonts w:ascii="Times New Roman" w:hAnsi="Times New Roman"/>
          <w:sz w:val="24"/>
          <w:szCs w:val="24"/>
        </w:rPr>
        <w:lastRenderedPageBreak/>
        <w:t>arrest or prosecution only for the four enumerated crimes within</w:t>
      </w:r>
      <w:r>
        <w:rPr>
          <w:rFonts w:ascii="Times New Roman" w:hAnsi="Times New Roman"/>
          <w:sz w:val="24"/>
          <w:szCs w:val="24"/>
        </w:rPr>
        <w:t xml:space="preserve"> </w:t>
      </w:r>
      <w:r w:rsidRPr="004C6F13">
        <w:rPr>
          <w:rFonts w:ascii="Times New Roman" w:hAnsi="Times New Roman"/>
          <w:sz w:val="24"/>
          <w:szCs w:val="24"/>
        </w:rPr>
        <w:t>the statute.</w:t>
      </w:r>
      <w:r>
        <w:rPr>
          <w:rFonts w:ascii="Times New Roman" w:hAnsi="Times New Roman"/>
          <w:sz w:val="24"/>
          <w:szCs w:val="24"/>
        </w:rPr>
        <w:t xml:space="preserve"> </w:t>
      </w:r>
      <w:r w:rsidRPr="006F3039">
        <w:rPr>
          <w:rFonts w:ascii="Times New Roman" w:hAnsi="Times New Roman"/>
          <w:sz w:val="24"/>
          <w:szCs w:val="24"/>
        </w:rPr>
        <w:t>Our conclusion is further supported by considering the statute in</w:t>
      </w:r>
      <w:r>
        <w:rPr>
          <w:rFonts w:ascii="Times New Roman" w:hAnsi="Times New Roman"/>
          <w:sz w:val="24"/>
          <w:szCs w:val="24"/>
        </w:rPr>
        <w:t xml:space="preserve"> </w:t>
      </w:r>
      <w:r w:rsidRPr="006F3039">
        <w:rPr>
          <w:rFonts w:ascii="Times New Roman" w:hAnsi="Times New Roman"/>
          <w:sz w:val="24"/>
          <w:szCs w:val="24"/>
        </w:rPr>
        <w:t>the context of the statutory scheme of Chapter 45 (Drugs), which demonstrates</w:t>
      </w:r>
      <w:r>
        <w:rPr>
          <w:rFonts w:ascii="Times New Roman" w:hAnsi="Times New Roman"/>
          <w:sz w:val="24"/>
          <w:szCs w:val="24"/>
        </w:rPr>
        <w:t xml:space="preserve"> </w:t>
      </w:r>
      <w:r w:rsidRPr="006F3039">
        <w:rPr>
          <w:rFonts w:ascii="Times New Roman" w:hAnsi="Times New Roman"/>
          <w:sz w:val="24"/>
          <w:szCs w:val="24"/>
        </w:rPr>
        <w:t>that the Legislature intended to bar prosecution for crimes that are associated</w:t>
      </w:r>
      <w:r>
        <w:rPr>
          <w:rFonts w:ascii="Times New Roman" w:hAnsi="Times New Roman"/>
          <w:sz w:val="24"/>
          <w:szCs w:val="24"/>
        </w:rPr>
        <w:t xml:space="preserve"> </w:t>
      </w:r>
      <w:r w:rsidRPr="006F3039">
        <w:rPr>
          <w:rFonts w:ascii="Times New Roman" w:hAnsi="Times New Roman"/>
          <w:sz w:val="24"/>
          <w:szCs w:val="24"/>
        </w:rPr>
        <w:t>with drug use while still permitting prosecution for crimes that involve</w:t>
      </w:r>
      <w:r>
        <w:rPr>
          <w:rFonts w:ascii="Times New Roman" w:hAnsi="Times New Roman"/>
          <w:sz w:val="24"/>
          <w:szCs w:val="24"/>
        </w:rPr>
        <w:t xml:space="preserve"> </w:t>
      </w:r>
      <w:r w:rsidRPr="006F3039">
        <w:rPr>
          <w:rFonts w:ascii="Times New Roman" w:hAnsi="Times New Roman"/>
          <w:sz w:val="24"/>
          <w:szCs w:val="24"/>
        </w:rPr>
        <w:t>trafficking, furnishing, cultivating or fabricating, or importing drugs.</w:t>
      </w:r>
      <w:r>
        <w:rPr>
          <w:rFonts w:ascii="Times New Roman" w:hAnsi="Times New Roman"/>
          <w:sz w:val="24"/>
          <w:szCs w:val="24"/>
        </w:rPr>
        <w:t>”</w:t>
      </w:r>
    </w:p>
    <w:p w14:paraId="13F1D640" w14:textId="77777777" w:rsidR="003E7DB8" w:rsidRDefault="003E7DB8" w:rsidP="003E7DB8">
      <w:pPr>
        <w:spacing w:before="100" w:beforeAutospacing="1" w:after="100" w:afterAutospacing="1" w:line="240" w:lineRule="auto"/>
        <w:outlineLvl w:val="0"/>
        <w:rPr>
          <w:rFonts w:ascii="Times New Roman" w:eastAsia="Times New Roman" w:hAnsi="Times New Roman"/>
          <w:kern w:val="36"/>
          <w:sz w:val="24"/>
          <w:szCs w:val="24"/>
        </w:rPr>
      </w:pPr>
    </w:p>
    <w:p w14:paraId="2C9229B6" w14:textId="77777777" w:rsidR="003E7DB8" w:rsidRDefault="003E7DB8" w:rsidP="006A02A4">
      <w:pPr>
        <w:rPr>
          <w:rFonts w:ascii="Arial Black" w:hAnsi="Arial Black"/>
          <w:b/>
          <w:bCs/>
          <w:sz w:val="28"/>
          <w:szCs w:val="28"/>
        </w:rPr>
      </w:pPr>
    </w:p>
    <w:p w14:paraId="000FFCC5" w14:textId="77777777" w:rsidR="00741889" w:rsidRDefault="00741889" w:rsidP="006A02A4">
      <w:pPr>
        <w:rPr>
          <w:rFonts w:ascii="Arial Black" w:hAnsi="Arial Black"/>
          <w:b/>
          <w:bCs/>
          <w:sz w:val="28"/>
          <w:szCs w:val="28"/>
        </w:rPr>
      </w:pPr>
    </w:p>
    <w:p w14:paraId="1B7D8B2E" w14:textId="730ACAB8" w:rsidR="00336B00" w:rsidRDefault="00336B00" w:rsidP="006A02A4">
      <w:pPr>
        <w:rPr>
          <w:rFonts w:ascii="Arial Black" w:hAnsi="Arial Black"/>
          <w:b/>
          <w:bCs/>
          <w:sz w:val="28"/>
          <w:szCs w:val="28"/>
        </w:rPr>
      </w:pPr>
      <w:r>
        <w:rPr>
          <w:rFonts w:ascii="Arial Black" w:hAnsi="Arial Black"/>
          <w:b/>
          <w:bCs/>
          <w:sz w:val="28"/>
          <w:szCs w:val="28"/>
        </w:rPr>
        <w:t>13-167</w:t>
      </w:r>
    </w:p>
    <w:p w14:paraId="38C14EDF" w14:textId="77777777" w:rsidR="00563D38" w:rsidRDefault="00563D38" w:rsidP="00563D38">
      <w:pPr>
        <w:pStyle w:val="NormalWeb"/>
        <w:rPr>
          <w:rFonts w:ascii="Arial Black" w:hAnsi="Arial Black"/>
          <w:sz w:val="28"/>
          <w:szCs w:val="28"/>
        </w:rPr>
      </w:pPr>
      <w:r>
        <w:rPr>
          <w:rFonts w:ascii="Arial Black" w:hAnsi="Arial Black"/>
          <w:sz w:val="28"/>
          <w:szCs w:val="28"/>
        </w:rPr>
        <w:t>WA: COVID-19 – VACCINATIONS - 46 OF 192 FF REQUESTED RELIGIOUS ACCOMODATIONS – UNDUE HARDSHIP FOR FD</w:t>
      </w:r>
    </w:p>
    <w:p w14:paraId="6AFB9C7F" w14:textId="2EF868E4" w:rsidR="00563D38" w:rsidRPr="00563D38" w:rsidRDefault="00563D38" w:rsidP="00563D38">
      <w:pPr>
        <w:rPr>
          <w:rStyle w:val="Emphasis"/>
          <w:rFonts w:ascii="Times New Roman" w:hAnsi="Times New Roman"/>
          <w:i w:val="0"/>
          <w:iCs w:val="0"/>
          <w:sz w:val="24"/>
          <w:szCs w:val="24"/>
        </w:rPr>
      </w:pPr>
      <w:r w:rsidRPr="00563D38">
        <w:rPr>
          <w:rFonts w:ascii="Times New Roman" w:hAnsi="Times New Roman"/>
          <w:sz w:val="24"/>
          <w:szCs w:val="24"/>
        </w:rPr>
        <w:t>On Jan. 25, 20</w:t>
      </w:r>
      <w:r w:rsidR="00781D35">
        <w:rPr>
          <w:rFonts w:ascii="Times New Roman" w:hAnsi="Times New Roman"/>
          <w:sz w:val="24"/>
          <w:szCs w:val="24"/>
        </w:rPr>
        <w:t>2</w:t>
      </w:r>
      <w:r w:rsidRPr="00563D38">
        <w:rPr>
          <w:rFonts w:ascii="Times New Roman" w:hAnsi="Times New Roman"/>
          <w:sz w:val="24"/>
          <w:szCs w:val="24"/>
        </w:rPr>
        <w:t xml:space="preserve">4, in </w:t>
      </w:r>
      <w:r w:rsidRPr="00563D38">
        <w:rPr>
          <w:rFonts w:ascii="Times New Roman" w:hAnsi="Times New Roman"/>
          <w:sz w:val="24"/>
          <w:szCs w:val="24"/>
          <w:u w:val="single"/>
        </w:rPr>
        <w:t>David Petersen, et al. v. Snohomish Regional Fire &amp; Rescue, et al.</w:t>
      </w:r>
      <w:r w:rsidRPr="00563D38">
        <w:rPr>
          <w:rFonts w:ascii="Times New Roman" w:hAnsi="Times New Roman"/>
          <w:sz w:val="24"/>
          <w:szCs w:val="24"/>
        </w:rPr>
        <w:t xml:space="preserve">, U.S. District Court Judge Thomas S. Zilly, U.S. District Court, Western District of Washington (Seattle) granted the FD’s motion for summary judgment.  </w:t>
      </w:r>
      <w:r w:rsidRPr="00563D38">
        <w:rPr>
          <w:rStyle w:val="Emphasis"/>
          <w:rFonts w:ascii="Times New Roman" w:hAnsi="Times New Roman"/>
          <w:i w:val="0"/>
          <w:iCs w:val="0"/>
          <w:sz w:val="24"/>
          <w:szCs w:val="24"/>
        </w:rPr>
        <w:t xml:space="preserve">Employers do not need to accommodate an employee if this would create an undue hardship – with 11 stations and 192 firefighters providing fire &amp; EMS services, the FD could not safely place 46 unvaccinated firefighters in these stations. </w:t>
      </w:r>
    </w:p>
    <w:p w14:paraId="51AFAC05" w14:textId="77777777" w:rsidR="00563D38" w:rsidRPr="00563D38" w:rsidRDefault="00563D38" w:rsidP="00563D38">
      <w:pPr>
        <w:pStyle w:val="NormalWeb"/>
        <w:ind w:left="720"/>
      </w:pPr>
      <w:r w:rsidRPr="00563D38">
        <w:t>“Plaintiffs argue that masking, PPE, testing, and social distancing are accommodations that would have allowed them to continue working from October 18, 2021, to the end of April 2022, without imposing an undue hardship on Snohomish Fire. Snohomish Fire counters that allowing Plaintiffs to work while unvaccinated would have been an undue hardship even with masking, testing, PPE, and social distancing measures in place.</w:t>
      </w:r>
    </w:p>
    <w:p w14:paraId="5B672DA2" w14:textId="77777777" w:rsidR="00563D38" w:rsidRPr="00563D38" w:rsidRDefault="00563D38" w:rsidP="00563D38">
      <w:pPr>
        <w:pStyle w:val="NormalWeb"/>
        <w:ind w:left="720"/>
      </w:pPr>
      <w:r w:rsidRPr="00563D38">
        <w:t>***</w:t>
      </w:r>
    </w:p>
    <w:p w14:paraId="27DE9C1B" w14:textId="204E7652" w:rsidR="00336B00" w:rsidRPr="00563D38" w:rsidRDefault="00563D38" w:rsidP="00563D38">
      <w:pPr>
        <w:rPr>
          <w:rFonts w:ascii="Times New Roman" w:hAnsi="Times New Roman"/>
          <w:b/>
          <w:bCs/>
          <w:sz w:val="24"/>
          <w:szCs w:val="24"/>
        </w:rPr>
      </w:pPr>
      <w:r w:rsidRPr="00563D38">
        <w:rPr>
          <w:rFonts w:ascii="Times New Roman" w:hAnsi="Times New Roman"/>
          <w:sz w:val="24"/>
          <w:szCs w:val="24"/>
        </w:rPr>
        <w:t xml:space="preserve">In sum, the uncontroverted evidence in this case demonstrates that unvaccinated firefighters were at a higher risk of contracting and transmitting COVID-19 even with the use of masks, PPE, testing, and social distancing. </w:t>
      </w:r>
      <w:r w:rsidRPr="00563D38">
        <w:rPr>
          <w:rStyle w:val="Emphasis"/>
          <w:rFonts w:ascii="Times New Roman" w:hAnsi="Times New Roman"/>
          <w:sz w:val="24"/>
          <w:szCs w:val="24"/>
        </w:rPr>
        <w:t>See</w:t>
      </w:r>
      <w:r w:rsidRPr="00563D38">
        <w:rPr>
          <w:rFonts w:ascii="Times New Roman" w:hAnsi="Times New Roman"/>
          <w:sz w:val="24"/>
          <w:szCs w:val="24"/>
        </w:rPr>
        <w:t xml:space="preserve"> Lynch Decl. at ¶¶ 41, 44. Snohomish Fire informed Plaintiffs it could not accommodate their vaccination exemption requests because of the increased health risks of working as unvaccinated firefighters.” </w:t>
      </w:r>
      <w:hyperlink r:id="rId2188" w:history="1">
        <w:r w:rsidRPr="00563D38">
          <w:rPr>
            <w:rStyle w:val="Hyperlink"/>
            <w:rFonts w:ascii="Times New Roman" w:hAnsi="Times New Roman"/>
            <w:sz w:val="24"/>
            <w:szCs w:val="24"/>
          </w:rPr>
          <w:t>https://public.fastcase.com/ZZhmr5v9wN%2FXOe5IsQ%2FqDx0vrICWCRjPwrPkFejRzcL5IKaE8Rtd1E1QUMzNRkuXg4QLEVUEQQe1JZ8q921vtt1B6ovVwHeC3EtpH3EMOZQ%3D?utm_medium=email&amp;_hsmi=226712652&amp;_hsenc=p2ANqtz-</w:t>
        </w:r>
      </w:hyperlink>
    </w:p>
    <w:p w14:paraId="589F284F" w14:textId="77777777" w:rsidR="00336B00" w:rsidRDefault="00336B00" w:rsidP="006A02A4">
      <w:pPr>
        <w:rPr>
          <w:rFonts w:ascii="Arial Black" w:hAnsi="Arial Black"/>
          <w:b/>
          <w:bCs/>
          <w:sz w:val="28"/>
          <w:szCs w:val="28"/>
        </w:rPr>
      </w:pPr>
    </w:p>
    <w:p w14:paraId="0BD59D39" w14:textId="3A51365C" w:rsidR="00FC76E4" w:rsidRDefault="009F41E7" w:rsidP="006A02A4">
      <w:pPr>
        <w:rPr>
          <w:rFonts w:ascii="Arial Black" w:hAnsi="Arial Black"/>
          <w:b/>
          <w:bCs/>
          <w:sz w:val="28"/>
          <w:szCs w:val="28"/>
        </w:rPr>
      </w:pPr>
      <w:r>
        <w:rPr>
          <w:rFonts w:ascii="Arial Black" w:hAnsi="Arial Black"/>
          <w:b/>
          <w:bCs/>
          <w:sz w:val="28"/>
          <w:szCs w:val="28"/>
        </w:rPr>
        <w:t>13-166</w:t>
      </w:r>
    </w:p>
    <w:p w14:paraId="6CEC6990" w14:textId="77777777" w:rsidR="00FA2662" w:rsidRDefault="00FA2662" w:rsidP="00FA2662">
      <w:pPr>
        <w:pStyle w:val="NormalWeb"/>
        <w:rPr>
          <w:rFonts w:ascii="Arial Black" w:hAnsi="Arial Black"/>
          <w:b/>
          <w:bCs/>
          <w:sz w:val="28"/>
          <w:szCs w:val="28"/>
        </w:rPr>
      </w:pPr>
      <w:r>
        <w:rPr>
          <w:rFonts w:ascii="Arial Black" w:hAnsi="Arial Black"/>
          <w:b/>
          <w:bCs/>
          <w:sz w:val="28"/>
          <w:szCs w:val="28"/>
        </w:rPr>
        <w:t>NY: COVID-19 – FDNY - REQUEST RELIGIOUS ACCOMODATION - DENIED, HE RETIRED – CASE DISMISSED</w:t>
      </w:r>
    </w:p>
    <w:p w14:paraId="449AAAFB" w14:textId="77777777" w:rsidR="00FA2662" w:rsidRDefault="00FA2662" w:rsidP="00FA2662">
      <w:pPr>
        <w:pStyle w:val="NormalWeb"/>
      </w:pPr>
      <w:r w:rsidRPr="00CB5FAD">
        <w:lastRenderedPageBreak/>
        <w:t>On</w:t>
      </w:r>
      <w:r>
        <w:t xml:space="preserve"> Jan. 9, 2024, in </w:t>
      </w:r>
      <w:r w:rsidRPr="00EE2924">
        <w:rPr>
          <w:u w:val="single"/>
        </w:rPr>
        <w:t>Michael Currid v. The City of New York, et al</w:t>
      </w:r>
      <w:r>
        <w:t xml:space="preserve">., Judge Gina Abadi, New York Supreme Court, Kings County, granted the City’s motion to dismiss (unpublished decision).  The plaintiff served with the FDNY from about 1998 through April 19, 2022. On or around October 27. 2021, following the issuance of the COVID-19 vaccine mandate for City employees, plaintiff applied for a religious accommodation, which was denied by the FD </w:t>
      </w:r>
      <w:r w:rsidRPr="00941E84">
        <w:t>(January 6, 2022)</w:t>
      </w:r>
      <w:r>
        <w:rPr>
          <w:b/>
          <w:bCs/>
        </w:rPr>
        <w:t xml:space="preserve"> </w:t>
      </w:r>
      <w:r>
        <w:t xml:space="preserve">and his appeal to the City was also denied (March 17, 2022). The Court rejected his claim that he was “constructively discharged” because of intolerable working conditions. </w:t>
      </w:r>
    </w:p>
    <w:p w14:paraId="7C9E27C9" w14:textId="77777777" w:rsidR="00FA2662" w:rsidRPr="00C72E80" w:rsidRDefault="00FA2662" w:rsidP="00FA2662">
      <w:pPr>
        <w:pStyle w:val="NoSpacing"/>
        <w:ind w:left="720"/>
        <w:rPr>
          <w:rFonts w:ascii="Times New Roman" w:hAnsi="Times New Roman"/>
          <w:sz w:val="24"/>
          <w:szCs w:val="24"/>
        </w:rPr>
      </w:pPr>
      <w:r>
        <w:rPr>
          <w:rFonts w:ascii="Times New Roman" w:hAnsi="Times New Roman"/>
          <w:sz w:val="24"/>
          <w:szCs w:val="24"/>
        </w:rPr>
        <w:t>“</w:t>
      </w:r>
      <w:r w:rsidRPr="00C72E80">
        <w:rPr>
          <w:rFonts w:ascii="Times New Roman" w:hAnsi="Times New Roman"/>
          <w:sz w:val="24"/>
          <w:szCs w:val="24"/>
        </w:rPr>
        <w:t xml:space="preserve">In his verified complaint, plaintiff does not set factual allegations regarding a conflict between the vaccine mandate and his bona fide religious beliefs. Further, while plaintiff alleges that he was threatened with termination in the event he failed to receive the vaccine, there is no allegation that plaintiff was </w:t>
      </w:r>
      <w:proofErr w:type="gramStart"/>
      <w:r w:rsidRPr="00C72E80">
        <w:rPr>
          <w:rFonts w:ascii="Times New Roman" w:hAnsi="Times New Roman"/>
          <w:sz w:val="24"/>
          <w:szCs w:val="24"/>
        </w:rPr>
        <w:t>actually terminated</w:t>
      </w:r>
      <w:proofErr w:type="gramEnd"/>
      <w:r w:rsidRPr="00C72E80">
        <w:rPr>
          <w:rFonts w:ascii="Times New Roman" w:hAnsi="Times New Roman"/>
          <w:sz w:val="24"/>
          <w:szCs w:val="24"/>
        </w:rPr>
        <w:t xml:space="preserve"> or otherwise disciplined. Rather, it is not in dispute that plaintiff retired from service. </w:t>
      </w:r>
      <w:proofErr w:type="gramStart"/>
      <w:r w:rsidRPr="00C72E80">
        <w:rPr>
          <w:rFonts w:ascii="Times New Roman" w:hAnsi="Times New Roman"/>
          <w:sz w:val="24"/>
          <w:szCs w:val="24"/>
        </w:rPr>
        <w:t>Plaintiffs</w:t>
      </w:r>
      <w:proofErr w:type="gramEnd"/>
      <w:r w:rsidRPr="00C72E80">
        <w:rPr>
          <w:rFonts w:ascii="Times New Roman" w:hAnsi="Times New Roman"/>
          <w:sz w:val="24"/>
          <w:szCs w:val="24"/>
        </w:rPr>
        <w:t xml:space="preserve"> contention that his retirement amounts to a </w:t>
      </w:r>
      <w:r>
        <w:rPr>
          <w:rFonts w:ascii="Times New Roman" w:hAnsi="Times New Roman"/>
          <w:sz w:val="24"/>
          <w:szCs w:val="24"/>
        </w:rPr>
        <w:t>c</w:t>
      </w:r>
      <w:r w:rsidRPr="00C72E80">
        <w:rPr>
          <w:rFonts w:ascii="Times New Roman" w:hAnsi="Times New Roman"/>
          <w:sz w:val="24"/>
          <w:szCs w:val="24"/>
        </w:rPr>
        <w:t xml:space="preserve">onstructive </w:t>
      </w:r>
      <w:proofErr w:type="gramStart"/>
      <w:r w:rsidRPr="00C72E80">
        <w:rPr>
          <w:rFonts w:ascii="Times New Roman" w:hAnsi="Times New Roman"/>
          <w:sz w:val="24"/>
          <w:szCs w:val="24"/>
        </w:rPr>
        <w:t>discharge</w:t>
      </w:r>
      <w:proofErr w:type="gramEnd"/>
      <w:r w:rsidRPr="00C72E80">
        <w:rPr>
          <w:rFonts w:ascii="Times New Roman" w:hAnsi="Times New Roman"/>
          <w:sz w:val="24"/>
          <w:szCs w:val="24"/>
        </w:rPr>
        <w:t xml:space="preserve"> or termination is unavailing since plaintiff does not allege facts showing that the FDNY </w:t>
      </w:r>
      <w:r>
        <w:rPr>
          <w:rFonts w:ascii="Times New Roman" w:hAnsi="Times New Roman"/>
          <w:sz w:val="24"/>
          <w:szCs w:val="24"/>
        </w:rPr>
        <w:t>‘</w:t>
      </w:r>
      <w:r w:rsidRPr="00C72E80">
        <w:rPr>
          <w:rFonts w:ascii="Times New Roman" w:hAnsi="Times New Roman"/>
          <w:sz w:val="24"/>
          <w:szCs w:val="24"/>
        </w:rPr>
        <w:t>deliberately created working conditions so intolerable, difficult or unpleasant that a reasonable person would have felt compelled to resign.</w:t>
      </w:r>
      <w:r>
        <w:rPr>
          <w:rFonts w:ascii="Times New Roman" w:hAnsi="Times New Roman"/>
          <w:sz w:val="24"/>
          <w:szCs w:val="24"/>
        </w:rPr>
        <w:t>’</w:t>
      </w:r>
      <w:r w:rsidRPr="00C72E80">
        <w:rPr>
          <w:rFonts w:ascii="Times New Roman" w:hAnsi="Times New Roman"/>
          <w:sz w:val="24"/>
          <w:szCs w:val="24"/>
        </w:rPr>
        <w:t xml:space="preserve"> </w:t>
      </w:r>
      <w:r w:rsidRPr="00C72E80">
        <w:rPr>
          <w:rStyle w:val="Emphasis"/>
          <w:sz w:val="24"/>
          <w:szCs w:val="24"/>
        </w:rPr>
        <w:t>Mascola v City Univ, of N.Y,</w:t>
      </w:r>
      <w:r w:rsidRPr="00C72E80">
        <w:rPr>
          <w:rFonts w:ascii="Times New Roman" w:hAnsi="Times New Roman"/>
          <w:sz w:val="24"/>
          <w:szCs w:val="24"/>
        </w:rPr>
        <w:t xml:space="preserve"> 14 A.D.3d 409, 410 (1st Dept 2010).</w:t>
      </w:r>
      <w:r>
        <w:rPr>
          <w:rFonts w:ascii="Times New Roman" w:hAnsi="Times New Roman"/>
          <w:sz w:val="24"/>
          <w:szCs w:val="24"/>
        </w:rPr>
        <w:t xml:space="preserve">” </w:t>
      </w:r>
      <w:hyperlink r:id="rId2189" w:history="1">
        <w:r w:rsidRPr="00665549">
          <w:rPr>
            <w:rStyle w:val="Hyperlink"/>
            <w:rFonts w:ascii="Times New Roman" w:hAnsi="Times New Roman"/>
            <w:sz w:val="24"/>
            <w:szCs w:val="24"/>
          </w:rPr>
          <w:t>https://casetext.com/case/currid-v-the-city-of-new-york</w:t>
        </w:r>
      </w:hyperlink>
      <w:r>
        <w:rPr>
          <w:rFonts w:ascii="Times New Roman" w:hAnsi="Times New Roman"/>
          <w:sz w:val="24"/>
          <w:szCs w:val="24"/>
        </w:rPr>
        <w:t xml:space="preserve"> </w:t>
      </w:r>
    </w:p>
    <w:p w14:paraId="37AEB9C2" w14:textId="77777777" w:rsidR="00295D7B" w:rsidRPr="005F3052" w:rsidRDefault="00295D7B" w:rsidP="00295D7B">
      <w:pPr>
        <w:pStyle w:val="Heading1"/>
        <w:rPr>
          <w:sz w:val="24"/>
          <w:szCs w:val="24"/>
        </w:rPr>
      </w:pPr>
      <w:r w:rsidRPr="005F3052">
        <w:rPr>
          <w:sz w:val="24"/>
          <w:szCs w:val="24"/>
        </w:rPr>
        <w:t xml:space="preserve">Legal Lesson Learned: FDNY set up a COVID-19 religious accommodation appeal process that was fair. </w:t>
      </w:r>
    </w:p>
    <w:p w14:paraId="2FE4D4F5" w14:textId="77777777" w:rsidR="009F41E7" w:rsidRDefault="009F41E7" w:rsidP="006A02A4">
      <w:pPr>
        <w:rPr>
          <w:rFonts w:ascii="Arial Black" w:hAnsi="Arial Black"/>
          <w:b/>
          <w:bCs/>
          <w:sz w:val="28"/>
          <w:szCs w:val="28"/>
        </w:rPr>
      </w:pPr>
    </w:p>
    <w:p w14:paraId="0CD16A42" w14:textId="77777777" w:rsidR="009F41E7" w:rsidRDefault="009F41E7" w:rsidP="006A02A4">
      <w:pPr>
        <w:rPr>
          <w:rFonts w:ascii="Arial Black" w:hAnsi="Arial Black"/>
          <w:b/>
          <w:bCs/>
          <w:sz w:val="28"/>
          <w:szCs w:val="28"/>
        </w:rPr>
      </w:pPr>
    </w:p>
    <w:p w14:paraId="107C3105" w14:textId="77777777" w:rsidR="009F41E7" w:rsidRDefault="009F41E7" w:rsidP="006A02A4">
      <w:pPr>
        <w:rPr>
          <w:rFonts w:ascii="Arial Black" w:hAnsi="Arial Black"/>
          <w:b/>
          <w:bCs/>
          <w:sz w:val="28"/>
          <w:szCs w:val="28"/>
        </w:rPr>
      </w:pPr>
    </w:p>
    <w:p w14:paraId="3BF403FF" w14:textId="3139286A" w:rsidR="00FC76E4" w:rsidRDefault="00FC76E4" w:rsidP="006A02A4">
      <w:pPr>
        <w:rPr>
          <w:rFonts w:ascii="Arial Black" w:hAnsi="Arial Black"/>
          <w:b/>
          <w:bCs/>
          <w:sz w:val="28"/>
          <w:szCs w:val="28"/>
        </w:rPr>
      </w:pPr>
      <w:r>
        <w:rPr>
          <w:rFonts w:ascii="Arial Black" w:hAnsi="Arial Black"/>
          <w:b/>
          <w:bCs/>
          <w:sz w:val="28"/>
          <w:szCs w:val="28"/>
        </w:rPr>
        <w:t>13-165</w:t>
      </w:r>
    </w:p>
    <w:p w14:paraId="5B9F5446" w14:textId="77777777" w:rsidR="00DB4BC6" w:rsidRPr="00AF3602" w:rsidRDefault="00DB4BC6" w:rsidP="00DB4BC6">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MA: EMT - BACKGROUND CHECK – HIRED, 1 YR. RESIGNED – NO ACTUAL DAMAGES - CAN SUE BACKGROUND CHECK CO. </w:t>
      </w:r>
    </w:p>
    <w:p w14:paraId="0A70FB57" w14:textId="77777777" w:rsidR="00DB4BC6" w:rsidRPr="004766E1" w:rsidRDefault="00DB4BC6" w:rsidP="00DB4BC6">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Jan. 8, 2024, in </w:t>
      </w:r>
      <w:r w:rsidRPr="00B71A45">
        <w:rPr>
          <w:rFonts w:ascii="Times New Roman" w:hAnsi="Times New Roman"/>
          <w:sz w:val="24"/>
          <w:szCs w:val="24"/>
          <w:u w:val="single"/>
        </w:rPr>
        <w:t xml:space="preserve">Nicole Kenn v. </w:t>
      </w:r>
      <w:proofErr w:type="spellStart"/>
      <w:r w:rsidRPr="00B71A45">
        <w:rPr>
          <w:rFonts w:ascii="Times New Roman" w:hAnsi="Times New Roman"/>
          <w:sz w:val="24"/>
          <w:szCs w:val="24"/>
          <w:u w:val="single"/>
        </w:rPr>
        <w:t>Eascare</w:t>
      </w:r>
      <w:proofErr w:type="spellEnd"/>
      <w:r w:rsidRPr="00B71A45">
        <w:rPr>
          <w:rFonts w:ascii="Times New Roman" w:hAnsi="Times New Roman"/>
          <w:sz w:val="24"/>
          <w:szCs w:val="24"/>
          <w:u w:val="single"/>
        </w:rPr>
        <w:t>, LLC</w:t>
      </w:r>
      <w:r>
        <w:rPr>
          <w:rFonts w:ascii="Times New Roman" w:hAnsi="Times New Roman"/>
          <w:sz w:val="24"/>
          <w:szCs w:val="24"/>
        </w:rPr>
        <w:t xml:space="preserve">., the Appeals Court of Massachusetts (Norfolk) held (3 to 0) that even if the EMT has not suffered any actual damages (she was hired as an EMT), she still has standing to sue the background check company in state court for nominal damages, between $100 and $100 under the federal </w:t>
      </w:r>
      <w:r w:rsidRPr="000B6CE8">
        <w:rPr>
          <w:rFonts w:ascii="Times New Roman" w:hAnsi="Times New Roman"/>
          <w:sz w:val="24"/>
          <w:szCs w:val="24"/>
        </w:rPr>
        <w:t>Fair Credit Reporting Act, 15 U.S.C. §§ 1681-1681w (FCRA)</w:t>
      </w:r>
      <w:r>
        <w:rPr>
          <w:rFonts w:ascii="Times New Roman" w:hAnsi="Times New Roman"/>
          <w:sz w:val="24"/>
          <w:szCs w:val="24"/>
        </w:rPr>
        <w:t>.  The EMT signed an authorization form entitled “</w:t>
      </w:r>
      <w:r w:rsidRPr="004766E1">
        <w:rPr>
          <w:rFonts w:ascii="Times New Roman" w:hAnsi="Times New Roman"/>
          <w:sz w:val="24"/>
          <w:szCs w:val="24"/>
        </w:rPr>
        <w:t>Consumer Report</w:t>
      </w:r>
      <w:r>
        <w:rPr>
          <w:rFonts w:ascii="Times New Roman" w:hAnsi="Times New Roman"/>
          <w:sz w:val="24"/>
          <w:szCs w:val="24"/>
        </w:rPr>
        <w:t xml:space="preserve"> </w:t>
      </w:r>
      <w:r w:rsidRPr="004766E1">
        <w:rPr>
          <w:rFonts w:ascii="Times New Roman" w:hAnsi="Times New Roman"/>
          <w:sz w:val="24"/>
          <w:szCs w:val="24"/>
        </w:rPr>
        <w:t>/</w:t>
      </w:r>
      <w:r>
        <w:rPr>
          <w:rFonts w:ascii="Times New Roman" w:hAnsi="Times New Roman"/>
          <w:sz w:val="24"/>
          <w:szCs w:val="24"/>
        </w:rPr>
        <w:t xml:space="preserve"> </w:t>
      </w:r>
      <w:r w:rsidRPr="004766E1">
        <w:rPr>
          <w:rFonts w:ascii="Times New Roman" w:hAnsi="Times New Roman"/>
          <w:sz w:val="24"/>
          <w:szCs w:val="24"/>
        </w:rPr>
        <w:t>Investigative Consumer Report Disclosure and Release of Information Authorization</w:t>
      </w:r>
      <w:proofErr w:type="gramStart"/>
      <w:r>
        <w:rPr>
          <w:rFonts w:ascii="Times New Roman" w:hAnsi="Times New Roman"/>
          <w:sz w:val="24"/>
          <w:szCs w:val="24"/>
        </w:rPr>
        <w:t>”</w:t>
      </w:r>
      <w:proofErr w:type="gramEnd"/>
      <w:r>
        <w:rPr>
          <w:rFonts w:ascii="Times New Roman" w:hAnsi="Times New Roman"/>
          <w:sz w:val="24"/>
          <w:szCs w:val="24"/>
        </w:rPr>
        <w:t xml:space="preserve"> but she is now claiming that in the form there was no clear listing that a consumer report was to be obtained. </w:t>
      </w:r>
    </w:p>
    <w:p w14:paraId="2B670063" w14:textId="77777777" w:rsidR="00DB4BC6" w:rsidRDefault="00DB4BC6" w:rsidP="00DB4BC6">
      <w:pPr>
        <w:pStyle w:val="NormalWeb"/>
        <w:ind w:left="720"/>
      </w:pPr>
      <w:r>
        <w:t xml:space="preserve">“Although the plaintiff may not be able to articulate concrete, actual damages arising from </w:t>
      </w:r>
      <w:proofErr w:type="spellStart"/>
      <w:r>
        <w:t>Eascare</w:t>
      </w:r>
      <w:proofErr w:type="spellEnd"/>
      <w:r>
        <w:t xml:space="preserve"> obtaining her consumer report by using a noncompliant disclosure form and requiring her to agree to a release of liability in addition to a background check, the FCRA liability provision recognizes that the injury to the consumer may not be measurable. Thus, in an action for a willful violation, the statute provides for the option of the plaintiff recovering actual </w:t>
      </w:r>
      <w:proofErr w:type="gramStart"/>
      <w:r>
        <w:t>damages</w:t>
      </w:r>
      <w:proofErr w:type="gramEnd"/>
      <w:r>
        <w:t xml:space="preserve"> caused by the FCRA violation or, if the plaintiff cannot prove actual damages, nominal damages between $100 and $1,000. See 15 U.S.C. § 1681n(a)(1)(A). In this regard, the plaintiff's allegation of </w:t>
      </w:r>
      <w:proofErr w:type="spellStart"/>
      <w:r>
        <w:t>Eascare's</w:t>
      </w:r>
      <w:proofErr w:type="spellEnd"/>
      <w:r>
        <w:t xml:space="preserve"> willfulness is critical, as the cause of action for a negligent violation, by contrast, does require a showing of actual damages. See 15 U.S.C. § 1681o(a)(1).” </w:t>
      </w:r>
    </w:p>
    <w:p w14:paraId="2986B041" w14:textId="77777777" w:rsidR="00DB4BC6" w:rsidRDefault="00DB4BC6" w:rsidP="00DB4BC6">
      <w:pPr>
        <w:pStyle w:val="NormalWeb"/>
        <w:ind w:firstLine="720"/>
      </w:pPr>
      <w:r>
        <w:t>***</w:t>
      </w:r>
    </w:p>
    <w:p w14:paraId="2F2482BC" w14:textId="77777777" w:rsidR="00DB4BC6" w:rsidRDefault="00DB4BC6" w:rsidP="00DB4BC6">
      <w:pPr>
        <w:pStyle w:val="NormalWeb"/>
        <w:ind w:left="720"/>
        <w:rPr>
          <w:vertAlign w:val="superscript"/>
        </w:rPr>
      </w:pPr>
      <w:r>
        <w:lastRenderedPageBreak/>
        <w:t xml:space="preserve">Here, the plaintiff has plausibly alleged liability </w:t>
      </w:r>
      <w:proofErr w:type="gramStart"/>
      <w:r>
        <w:t>of</w:t>
      </w:r>
      <w:proofErr w:type="gramEnd"/>
      <w:r>
        <w:t xml:space="preserve"> </w:t>
      </w:r>
      <w:proofErr w:type="spellStart"/>
      <w:r>
        <w:t>Eascare</w:t>
      </w:r>
      <w:proofErr w:type="spellEnd"/>
      <w:r>
        <w:t xml:space="preserve"> for FCRA violations and an entitlement to damages if she prevails. The judgment dismissing the plaintiff's FCRA claims for lack of standing is vacated, and the plaintiff may proceed on her claims in the Superior Court.” </w:t>
      </w:r>
      <w:hyperlink r:id="rId2190" w:history="1">
        <w:r w:rsidRPr="00A46316">
          <w:rPr>
            <w:rStyle w:val="Hyperlink"/>
          </w:rPr>
          <w:t>https://casetext.com/case/kenn-v-eascare-llc-1</w:t>
        </w:r>
      </w:hyperlink>
      <w:r>
        <w:t xml:space="preserve"> </w:t>
      </w:r>
    </w:p>
    <w:p w14:paraId="595C6165" w14:textId="77777777" w:rsidR="009F41E7" w:rsidRDefault="009F41E7" w:rsidP="009F41E7">
      <w:pPr>
        <w:pStyle w:val="NormalWeb"/>
        <w:rPr>
          <w:b/>
          <w:bCs/>
        </w:rPr>
      </w:pPr>
      <w:r w:rsidRPr="008035CB">
        <w:rPr>
          <w:b/>
          <w:bCs/>
        </w:rPr>
        <w:t>Legal Lesson Learned:</w:t>
      </w:r>
      <w:r>
        <w:rPr>
          <w:b/>
          <w:bCs/>
        </w:rPr>
        <w:t xml:space="preserve">  The EMS agency in this case was not sued.  EMS and Fire agencies that use background check companies should require the company to defend and indemnify the agency for any alleged violations of the FCRA. </w:t>
      </w:r>
    </w:p>
    <w:p w14:paraId="48115494" w14:textId="77777777" w:rsidR="009F41E7" w:rsidRPr="008035CB" w:rsidRDefault="009F41E7" w:rsidP="009F41E7">
      <w:pPr>
        <w:pStyle w:val="NormalWeb"/>
        <w:ind w:left="720"/>
        <w:rPr>
          <w:b/>
          <w:bCs/>
        </w:rPr>
      </w:pPr>
      <w:r w:rsidRPr="00AE333A">
        <w:t xml:space="preserve">Note: In Ohio, Fire Chiefs of township or fire district can have state conduct criminal history </w:t>
      </w:r>
      <w:proofErr w:type="gramStart"/>
      <w:r w:rsidRPr="00AE333A">
        <w:t>check</w:t>
      </w:r>
      <w:proofErr w:type="gramEnd"/>
      <w:r w:rsidRPr="00AE333A">
        <w:t xml:space="preserve">. </w:t>
      </w:r>
      <w:r>
        <w:t xml:space="preserve">See </w:t>
      </w:r>
      <w:hyperlink r:id="rId2191" w:history="1">
        <w:r w:rsidRPr="00A46316">
          <w:rPr>
            <w:rStyle w:val="Hyperlink"/>
          </w:rPr>
          <w:t>https://codes.ohio.gov/ohio-revised-code/section-505.381</w:t>
        </w:r>
      </w:hyperlink>
      <w:r>
        <w:t xml:space="preserve"> “(A) The fire chief of a township or fire district may request the superintendent of BCII to conduct a criminal records check with respect to any person who is under consideration for appointment or employment as a permanent, full-time paid firefighter or any person who is under consideration for appointment as a volunteer firefighter.”</w:t>
      </w:r>
    </w:p>
    <w:p w14:paraId="692598A4" w14:textId="77777777" w:rsidR="00FC76E4" w:rsidRDefault="00FC76E4" w:rsidP="006A02A4">
      <w:pPr>
        <w:rPr>
          <w:rFonts w:ascii="Arial Black" w:hAnsi="Arial Black"/>
          <w:b/>
          <w:bCs/>
          <w:sz w:val="28"/>
          <w:szCs w:val="28"/>
        </w:rPr>
      </w:pPr>
    </w:p>
    <w:p w14:paraId="061E6D67" w14:textId="77777777" w:rsidR="00FC76E4" w:rsidRDefault="00FC76E4" w:rsidP="006A02A4">
      <w:pPr>
        <w:rPr>
          <w:rFonts w:ascii="Arial Black" w:hAnsi="Arial Black"/>
          <w:b/>
          <w:bCs/>
          <w:sz w:val="28"/>
          <w:szCs w:val="28"/>
        </w:rPr>
      </w:pPr>
    </w:p>
    <w:p w14:paraId="5B0653D8" w14:textId="1B4A229C" w:rsidR="009B2B57" w:rsidRDefault="009B2B57" w:rsidP="006A02A4">
      <w:pPr>
        <w:rPr>
          <w:rFonts w:ascii="Arial Black" w:hAnsi="Arial Black"/>
          <w:b/>
          <w:bCs/>
          <w:sz w:val="28"/>
          <w:szCs w:val="28"/>
        </w:rPr>
      </w:pPr>
      <w:r>
        <w:rPr>
          <w:rFonts w:ascii="Arial Black" w:hAnsi="Arial Black"/>
          <w:b/>
          <w:bCs/>
          <w:sz w:val="28"/>
          <w:szCs w:val="28"/>
        </w:rPr>
        <w:t>13-164</w:t>
      </w:r>
    </w:p>
    <w:p w14:paraId="4FE0F1CE" w14:textId="77777777" w:rsidR="00715650" w:rsidRPr="002436E5" w:rsidRDefault="00715650" w:rsidP="00715650">
      <w:pPr>
        <w:pStyle w:val="NormalWeb"/>
        <w:rPr>
          <w:rFonts w:ascii="Arial Black" w:hAnsi="Arial Black"/>
          <w:b/>
          <w:bCs/>
          <w:sz w:val="28"/>
          <w:szCs w:val="28"/>
        </w:rPr>
      </w:pPr>
      <w:r w:rsidRPr="002436E5">
        <w:rPr>
          <w:rFonts w:ascii="Arial Black" w:hAnsi="Arial Black"/>
          <w:b/>
          <w:bCs/>
          <w:sz w:val="28"/>
          <w:szCs w:val="28"/>
        </w:rPr>
        <w:t>NY</w:t>
      </w:r>
      <w:r>
        <w:rPr>
          <w:rFonts w:ascii="Arial Black" w:hAnsi="Arial Black"/>
          <w:b/>
          <w:bCs/>
          <w:sz w:val="28"/>
          <w:szCs w:val="28"/>
        </w:rPr>
        <w:t xml:space="preserve">: </w:t>
      </w:r>
      <w:r w:rsidRPr="002436E5">
        <w:rPr>
          <w:rFonts w:ascii="Arial Black" w:hAnsi="Arial Black"/>
          <w:b/>
          <w:bCs/>
          <w:sz w:val="28"/>
          <w:szCs w:val="28"/>
        </w:rPr>
        <w:t xml:space="preserve">TOWN </w:t>
      </w:r>
      <w:r>
        <w:rPr>
          <w:rFonts w:ascii="Arial Black" w:hAnsi="Arial Black"/>
          <w:b/>
          <w:bCs/>
          <w:sz w:val="28"/>
          <w:szCs w:val="28"/>
        </w:rPr>
        <w:t xml:space="preserve">DIDN’T RENEW </w:t>
      </w:r>
      <w:r w:rsidRPr="002436E5">
        <w:rPr>
          <w:rFonts w:ascii="Arial Black" w:hAnsi="Arial Black"/>
          <w:b/>
          <w:bCs/>
          <w:sz w:val="28"/>
          <w:szCs w:val="28"/>
        </w:rPr>
        <w:t xml:space="preserve"> </w:t>
      </w:r>
      <w:r>
        <w:rPr>
          <w:rFonts w:ascii="Arial Black" w:hAnsi="Arial Black"/>
          <w:b/>
          <w:bCs/>
          <w:sz w:val="28"/>
          <w:szCs w:val="28"/>
        </w:rPr>
        <w:t xml:space="preserve">VOL. </w:t>
      </w:r>
      <w:r w:rsidRPr="002436E5">
        <w:rPr>
          <w:rFonts w:ascii="Arial Black" w:hAnsi="Arial Black"/>
          <w:b/>
          <w:bCs/>
          <w:sz w:val="28"/>
          <w:szCs w:val="28"/>
        </w:rPr>
        <w:t>AMBUL</w:t>
      </w:r>
      <w:r>
        <w:rPr>
          <w:rFonts w:ascii="Arial Black" w:hAnsi="Arial Black"/>
          <w:b/>
          <w:bCs/>
          <w:sz w:val="28"/>
          <w:szCs w:val="28"/>
        </w:rPr>
        <w:t xml:space="preserve">. CO. – SLOW RESPONSE TIMES / NO PAID CREWS - </w:t>
      </w:r>
      <w:r w:rsidRPr="002436E5">
        <w:rPr>
          <w:rFonts w:ascii="Arial Black" w:hAnsi="Arial Black"/>
          <w:b/>
          <w:bCs/>
          <w:sz w:val="28"/>
          <w:szCs w:val="28"/>
        </w:rPr>
        <w:t>60 DAYS NOTICE</w:t>
      </w:r>
    </w:p>
    <w:p w14:paraId="03A954E4" w14:textId="66DEB331" w:rsidR="00715650" w:rsidRPr="00030936" w:rsidRDefault="00715650" w:rsidP="00715650">
      <w:pPr>
        <w:pStyle w:val="NoSpacing"/>
        <w:rPr>
          <w:rFonts w:ascii="Times New Roman" w:hAnsi="Times New Roman"/>
          <w:sz w:val="24"/>
          <w:szCs w:val="24"/>
        </w:rPr>
      </w:pPr>
      <w:r w:rsidRPr="00030936">
        <w:rPr>
          <w:rFonts w:ascii="Times New Roman" w:hAnsi="Times New Roman"/>
          <w:sz w:val="24"/>
          <w:szCs w:val="24"/>
        </w:rPr>
        <w:t xml:space="preserve">On Dec. 28, 2023, in </w:t>
      </w:r>
      <w:r w:rsidRPr="00030936">
        <w:rPr>
          <w:rFonts w:ascii="Times New Roman" w:hAnsi="Times New Roman"/>
          <w:sz w:val="24"/>
          <w:szCs w:val="24"/>
          <w:u w:val="single"/>
        </w:rPr>
        <w:t>Rampo Valley Ambulance Corps, Inc., et al. v. Town of Rampo, et al</w:t>
      </w:r>
      <w:r w:rsidRPr="00030936">
        <w:rPr>
          <w:rFonts w:ascii="Times New Roman" w:hAnsi="Times New Roman"/>
          <w:sz w:val="24"/>
          <w:szCs w:val="24"/>
        </w:rPr>
        <w:t xml:space="preserve">., United States District Court Judge Phillip M. Haper, Southern District of New York, granted the Town’s motion to dismiss the May 11, </w:t>
      </w:r>
      <w:proofErr w:type="gramStart"/>
      <w:r w:rsidRPr="00030936">
        <w:rPr>
          <w:rFonts w:ascii="Times New Roman" w:hAnsi="Times New Roman"/>
          <w:sz w:val="24"/>
          <w:szCs w:val="24"/>
        </w:rPr>
        <w:t>2022</w:t>
      </w:r>
      <w:proofErr w:type="gramEnd"/>
      <w:r w:rsidRPr="00030936">
        <w:rPr>
          <w:rFonts w:ascii="Times New Roman" w:hAnsi="Times New Roman"/>
          <w:sz w:val="24"/>
          <w:szCs w:val="24"/>
        </w:rPr>
        <w:t xml:space="preserve"> lawsuit. The Court wrote: “The Agreement did not protect RVAC from the Town's revocation of a status. *** However, the Court has already found in the procedural due process context that RVAC does not have a constitutionally protected property interest derived from the Agreement. *** Here, RVAC alleges that the Town “controlled the billing, dispatching, payments, and staffing of RVAC, and</w:t>
      </w:r>
      <w:r w:rsidR="00780354">
        <w:rPr>
          <w:rFonts w:ascii="Times New Roman" w:hAnsi="Times New Roman"/>
          <w:sz w:val="24"/>
          <w:szCs w:val="24"/>
        </w:rPr>
        <w:t xml:space="preserve"> </w:t>
      </w:r>
      <w:r w:rsidRPr="00030936">
        <w:rPr>
          <w:rFonts w:ascii="Times New Roman" w:hAnsi="Times New Roman"/>
          <w:sz w:val="24"/>
          <w:szCs w:val="24"/>
        </w:rPr>
        <w:t xml:space="preserve">did so in a wholly different and in a discriminatory manner than the way the Town executed its contracts and requirements, as well as, managing relationships with and for the other ambulance corporations servicing the people of Ramapo.” (Opp. at 21). This conduct, even in the context of  providing emergency medical services, does not amount to conduct that is so ‘truly brutal and offensive to human dignity’ as to shock the </w:t>
      </w:r>
      <w:proofErr w:type="gramStart"/>
      <w:r w:rsidRPr="00030936">
        <w:rPr>
          <w:rFonts w:ascii="Times New Roman" w:hAnsi="Times New Roman"/>
          <w:sz w:val="24"/>
          <w:szCs w:val="24"/>
        </w:rPr>
        <w:t>conscience.”</w:t>
      </w:r>
      <w:proofErr w:type="gramEnd"/>
      <w:r w:rsidRPr="00030936">
        <w:rPr>
          <w:rFonts w:ascii="Times New Roman" w:hAnsi="Times New Roman"/>
          <w:sz w:val="24"/>
          <w:szCs w:val="24"/>
        </w:rPr>
        <w:t xml:space="preserve"> </w:t>
      </w:r>
      <w:hyperlink r:id="rId2192" w:history="1">
        <w:r w:rsidRPr="00030936">
          <w:rPr>
            <w:rStyle w:val="Hyperlink"/>
            <w:rFonts w:ascii="Times New Roman" w:hAnsi="Times New Roman"/>
            <w:sz w:val="24"/>
            <w:szCs w:val="24"/>
          </w:rPr>
          <w:t>https://cases.justia.com/federal/district-courts/new-york/nysdce/7:2022cv04047/580058/37/0.pdf?ts=1703868116</w:t>
        </w:r>
      </w:hyperlink>
      <w:r w:rsidRPr="00030936">
        <w:rPr>
          <w:rFonts w:ascii="Times New Roman" w:hAnsi="Times New Roman"/>
          <w:sz w:val="24"/>
          <w:szCs w:val="24"/>
        </w:rPr>
        <w:t xml:space="preserve"> </w:t>
      </w:r>
    </w:p>
    <w:p w14:paraId="7A2D51A3" w14:textId="77777777" w:rsidR="007C5017" w:rsidRPr="009715E3" w:rsidRDefault="007C5017" w:rsidP="007C5017">
      <w:pPr>
        <w:pStyle w:val="NormalWeb"/>
        <w:rPr>
          <w:b/>
          <w:bCs/>
        </w:rPr>
      </w:pPr>
      <w:r w:rsidRPr="009715E3">
        <w:rPr>
          <w:b/>
          <w:bCs/>
        </w:rPr>
        <w:t>Legal Lesson Learned:</w:t>
      </w:r>
      <w:r>
        <w:rPr>
          <w:b/>
          <w:bCs/>
        </w:rPr>
        <w:t xml:space="preserve">  The volunteer ambulance company did not have a “constitutionally protected interest” in the agreement with the Town; if feel being mistreated, bring it to attention of elected officials. </w:t>
      </w:r>
    </w:p>
    <w:p w14:paraId="37A1C0F1" w14:textId="77777777" w:rsidR="007C5017" w:rsidRPr="006569AE" w:rsidRDefault="007C5017" w:rsidP="007C5017">
      <w:pPr>
        <w:pStyle w:val="NormalWeb"/>
        <w:ind w:left="720"/>
        <w:rPr>
          <w:color w:val="0563C1" w:themeColor="hyperlink"/>
          <w:u w:val="single"/>
        </w:rPr>
      </w:pPr>
      <w:r>
        <w:t xml:space="preserve">Note: </w:t>
      </w:r>
      <w:r w:rsidRPr="00DA3539">
        <w:t xml:space="preserve">See </w:t>
      </w:r>
      <w:r>
        <w:t>this article.</w:t>
      </w:r>
      <w:r w:rsidRPr="00DA3539">
        <w:t xml:space="preserve">  Aug. 16, 2022:</w:t>
      </w:r>
      <w:r>
        <w:rPr>
          <w:b/>
          <w:bCs/>
        </w:rPr>
        <w:t xml:space="preserve">  “</w:t>
      </w:r>
      <w:r>
        <w:t xml:space="preserve">Ramapo Valley Ambulance Corps defunded after disputes; see why, town's plan for service.” </w:t>
      </w:r>
      <w:hyperlink r:id="rId2193" w:history="1">
        <w:r w:rsidRPr="00AB6C1F">
          <w:rPr>
            <w:rStyle w:val="Hyperlink"/>
          </w:rPr>
          <w:t>https://www.lohud.com/story/news/local/rockland/2022/08/16/ramapo-valley-ambulance-corps-defunded/65406353007/</w:t>
        </w:r>
      </w:hyperlink>
      <w:r>
        <w:rPr>
          <w:rStyle w:val="Hyperlink"/>
        </w:rPr>
        <w:t xml:space="preserve"> </w:t>
      </w:r>
      <w:r>
        <w:t>“Recently there has been a range of serious issues involving Ramapo Valley Ambulance Corps (RVAC), including missed dispatch calls, delayed response times, and poor response rate,” Specht said in statement. “Despite the town’s best efforts to urge RVAC to rectify what regrettably became a critical and unacceptable situation, the RVAC leadership, unfortunately, failed to do so, thereby compelling the town to take action to best protect Ramapo families.”</w:t>
      </w:r>
    </w:p>
    <w:p w14:paraId="18589CAD" w14:textId="77777777" w:rsidR="009B2B57" w:rsidRDefault="009B2B57" w:rsidP="006A02A4">
      <w:pPr>
        <w:rPr>
          <w:rFonts w:ascii="Arial Black" w:hAnsi="Arial Black"/>
          <w:b/>
          <w:bCs/>
          <w:sz w:val="28"/>
          <w:szCs w:val="28"/>
        </w:rPr>
      </w:pPr>
    </w:p>
    <w:p w14:paraId="40BB0F61" w14:textId="77777777" w:rsidR="009B2B57" w:rsidRDefault="009B2B57" w:rsidP="006A02A4">
      <w:pPr>
        <w:rPr>
          <w:rFonts w:ascii="Arial Black" w:hAnsi="Arial Black"/>
          <w:b/>
          <w:bCs/>
          <w:sz w:val="28"/>
          <w:szCs w:val="28"/>
        </w:rPr>
      </w:pPr>
    </w:p>
    <w:p w14:paraId="247B19DC" w14:textId="77777777" w:rsidR="009B2B57" w:rsidRDefault="009B2B57" w:rsidP="006A02A4">
      <w:pPr>
        <w:rPr>
          <w:rFonts w:ascii="Arial Black" w:hAnsi="Arial Black"/>
          <w:b/>
          <w:bCs/>
          <w:sz w:val="28"/>
          <w:szCs w:val="28"/>
        </w:rPr>
      </w:pPr>
    </w:p>
    <w:p w14:paraId="2192E90D" w14:textId="6349E24A" w:rsidR="006E6416" w:rsidRDefault="006E6416" w:rsidP="006A02A4">
      <w:pPr>
        <w:rPr>
          <w:rFonts w:ascii="Arial Black" w:hAnsi="Arial Black"/>
          <w:b/>
          <w:bCs/>
          <w:sz w:val="28"/>
          <w:szCs w:val="28"/>
        </w:rPr>
      </w:pPr>
      <w:r>
        <w:rPr>
          <w:rFonts w:ascii="Arial Black" w:hAnsi="Arial Black"/>
          <w:b/>
          <w:bCs/>
          <w:sz w:val="28"/>
          <w:szCs w:val="28"/>
        </w:rPr>
        <w:t>13-163</w:t>
      </w:r>
    </w:p>
    <w:p w14:paraId="5ED20E59" w14:textId="77777777" w:rsidR="0025382C" w:rsidRPr="00EA0B46" w:rsidRDefault="0025382C" w:rsidP="0025382C">
      <w:pPr>
        <w:pStyle w:val="NormalWeb"/>
        <w:rPr>
          <w:rFonts w:ascii="Arial Black" w:hAnsi="Arial Black"/>
          <w:b/>
          <w:bCs/>
          <w:sz w:val="28"/>
          <w:szCs w:val="28"/>
        </w:rPr>
      </w:pPr>
      <w:r>
        <w:rPr>
          <w:rFonts w:ascii="Arial Black" w:hAnsi="Arial Black"/>
          <w:b/>
          <w:bCs/>
          <w:sz w:val="28"/>
          <w:szCs w:val="28"/>
        </w:rPr>
        <w:t xml:space="preserve">KY: HIPAA – NO PRIVATE RIGHT TO SUE - HOSPITAL REPORTED PRISONER TRYING “DRINK HIMSELF TO DEATH” </w:t>
      </w:r>
    </w:p>
    <w:p w14:paraId="3B7D4B0B" w14:textId="77777777" w:rsidR="0025382C" w:rsidRDefault="0025382C" w:rsidP="0025382C">
      <w:pPr>
        <w:pStyle w:val="NormalWeb"/>
      </w:pPr>
      <w:r>
        <w:t xml:space="preserve">On Dec. 21, 2023, in </w:t>
      </w:r>
      <w:r w:rsidRPr="00C47073">
        <w:rPr>
          <w:u w:val="single"/>
        </w:rPr>
        <w:t>Michael Shane Reid v. Med Center Health / EMS</w:t>
      </w:r>
      <w:r>
        <w:t xml:space="preserve">, Senior U.S. District Court Judge Joseph H. McKinnley, Jr., U.S. District Court for Westen District of Kentucky, Bowling Green Division, dismissed a lawsuit against a hospital brought by a prisoner filing lawsuit pro se [no attorney]. The Court held: “Plaintiff's only claim in this action is based upon HIPAA. Title II of HIPAA, codified at </w:t>
      </w:r>
      <w:hyperlink r:id="rId2194" w:history="1">
        <w:r>
          <w:rPr>
            <w:rStyle w:val="Hyperlink"/>
          </w:rPr>
          <w:t>42 U.S.C. § 1320a</w:t>
        </w:r>
      </w:hyperlink>
      <w:r>
        <w:t xml:space="preserve"> </w:t>
      </w:r>
      <w:r>
        <w:rPr>
          <w:i/>
          <w:iCs/>
        </w:rPr>
        <w:t>et seq.</w:t>
      </w:r>
      <w:r>
        <w:t xml:space="preserve">, was created to protect against the unauthorized disclosure of health records and information by a medical provider. However, only the Secretary of the Department of Health and Human Services may file suit to enforce its provisions… Private citizens have no standing to sue for a violation of HIPAA because HIPAA does not authorize a private cause of action.” </w:t>
      </w:r>
      <w:hyperlink r:id="rId2195" w:history="1">
        <w:r w:rsidRPr="003C47C7">
          <w:rPr>
            <w:rStyle w:val="Hyperlink"/>
          </w:rPr>
          <w:t>https://casetext.com/case/reid-v-med-ctr-healthems</w:t>
        </w:r>
      </w:hyperlink>
      <w:r>
        <w:t xml:space="preserve"> </w:t>
      </w:r>
    </w:p>
    <w:p w14:paraId="5E610E5F" w14:textId="77777777" w:rsidR="009B2B57" w:rsidRDefault="009B2B57" w:rsidP="009B2B57">
      <w:pPr>
        <w:pStyle w:val="NormalWeb"/>
        <w:rPr>
          <w:b/>
          <w:bCs/>
        </w:rPr>
      </w:pPr>
      <w:r w:rsidRPr="00AA30DE">
        <w:rPr>
          <w:b/>
          <w:bCs/>
        </w:rPr>
        <w:t>Legal Lesson Learned:</w:t>
      </w:r>
      <w:r>
        <w:rPr>
          <w:b/>
          <w:bCs/>
        </w:rPr>
        <w:t xml:space="preserve"> HIPAA does not authorize citizen lawsuits. </w:t>
      </w:r>
    </w:p>
    <w:p w14:paraId="4C712C6D" w14:textId="77777777" w:rsidR="009B2B57" w:rsidRPr="009B2B57" w:rsidRDefault="009B2B57" w:rsidP="009B2B57">
      <w:pPr>
        <w:pStyle w:val="Heading2"/>
        <w:ind w:left="720"/>
        <w:rPr>
          <w:rFonts w:ascii="Times New Roman" w:hAnsi="Times New Roman"/>
          <w:b w:val="0"/>
          <w:bCs w:val="0"/>
          <w:i w:val="0"/>
          <w:iCs w:val="0"/>
          <w:sz w:val="24"/>
          <w:szCs w:val="24"/>
        </w:rPr>
      </w:pPr>
      <w:r w:rsidRPr="009B2B57">
        <w:rPr>
          <w:rFonts w:ascii="Times New Roman" w:hAnsi="Times New Roman"/>
          <w:b w:val="0"/>
          <w:bCs w:val="0"/>
          <w:i w:val="0"/>
          <w:iCs w:val="0"/>
          <w:color w:val="000000" w:themeColor="text1"/>
          <w:sz w:val="24"/>
          <w:szCs w:val="24"/>
        </w:rPr>
        <w:t xml:space="preserve">Note: See HIPAA Enforcement Actions. Enforcement Results as of October 31, 2023. </w:t>
      </w:r>
      <w:hyperlink r:id="rId2196" w:history="1">
        <w:r w:rsidRPr="009B2B57">
          <w:rPr>
            <w:rStyle w:val="Hyperlink"/>
            <w:rFonts w:ascii="Times New Roman" w:hAnsi="Times New Roman"/>
            <w:b w:val="0"/>
            <w:bCs w:val="0"/>
            <w:i w:val="0"/>
            <w:iCs w:val="0"/>
            <w:sz w:val="24"/>
            <w:szCs w:val="24"/>
          </w:rPr>
          <w:t>https://www.hhs.gov/hipaa/for-professionals/compliance-enforcement/data/enforcement-highlights/index.html</w:t>
        </w:r>
      </w:hyperlink>
      <w:r w:rsidRPr="009B2B57">
        <w:rPr>
          <w:rFonts w:ascii="Times New Roman" w:hAnsi="Times New Roman"/>
          <w:b w:val="0"/>
          <w:bCs w:val="0"/>
          <w:i w:val="0"/>
          <w:iCs w:val="0"/>
          <w:color w:val="000000" w:themeColor="text1"/>
          <w:sz w:val="24"/>
          <w:szCs w:val="24"/>
        </w:rPr>
        <w:t xml:space="preserve">. </w:t>
      </w:r>
      <w:r w:rsidRPr="009B2B57">
        <w:rPr>
          <w:rFonts w:ascii="Times New Roman" w:hAnsi="Times New Roman"/>
          <w:b w:val="0"/>
          <w:bCs w:val="0"/>
          <w:i w:val="0"/>
          <w:iCs w:val="0"/>
          <w:sz w:val="24"/>
          <w:szCs w:val="24"/>
        </w:rPr>
        <w:t>“Since the compliance date of the Privacy Rule in April 2003, OCR has received over 344,607 HIPAA complaints and has initiated over 1,179 compliance reviews.  We have resolved ninety-nine percent of these cases (341,304).”</w:t>
      </w:r>
    </w:p>
    <w:p w14:paraId="2CC235B4" w14:textId="77777777" w:rsidR="009B2B57" w:rsidRPr="00C13067" w:rsidRDefault="009B2B57" w:rsidP="009B2B57">
      <w:pPr>
        <w:pStyle w:val="Heading1"/>
        <w:ind w:left="720"/>
        <w:rPr>
          <w:sz w:val="24"/>
          <w:szCs w:val="24"/>
        </w:rPr>
      </w:pPr>
      <w:r w:rsidRPr="00C13067">
        <w:rPr>
          <w:b w:val="0"/>
          <w:bCs w:val="0"/>
          <w:sz w:val="24"/>
          <w:szCs w:val="24"/>
        </w:rPr>
        <w:t>For example:</w:t>
      </w:r>
      <w:r>
        <w:t xml:space="preserve"> </w:t>
      </w:r>
      <w:r w:rsidRPr="00C13067">
        <w:rPr>
          <w:b w:val="0"/>
          <w:bCs w:val="0"/>
          <w:sz w:val="24"/>
          <w:szCs w:val="24"/>
        </w:rPr>
        <w:t xml:space="preserve">Dec. 30, 2019: </w:t>
      </w:r>
      <w:r>
        <w:rPr>
          <w:b w:val="0"/>
          <w:bCs w:val="0"/>
          <w:sz w:val="24"/>
          <w:szCs w:val="24"/>
        </w:rPr>
        <w:t>“</w:t>
      </w:r>
      <w:r w:rsidRPr="00C13067">
        <w:rPr>
          <w:b w:val="0"/>
          <w:bCs w:val="0"/>
          <w:sz w:val="24"/>
          <w:szCs w:val="24"/>
        </w:rPr>
        <w:t>Ambulance Company Pays $65,000 to Settle Allegations of Longstanding HIPAA Noncompliance</w:t>
      </w:r>
      <w:r>
        <w:rPr>
          <w:b w:val="0"/>
          <w:bCs w:val="0"/>
          <w:sz w:val="24"/>
          <w:szCs w:val="24"/>
        </w:rPr>
        <w:t xml:space="preserve">.” </w:t>
      </w:r>
      <w:hyperlink r:id="rId2197" w:history="1">
        <w:r w:rsidRPr="003C47C7">
          <w:rPr>
            <w:rStyle w:val="Hyperlink"/>
            <w:b w:val="0"/>
            <w:bCs w:val="0"/>
            <w:sz w:val="24"/>
            <w:szCs w:val="24"/>
          </w:rPr>
          <w:t>https://public3.pagefreezer.com/browse/HHS.gov/31-12-2020T08:51/https://www.hhs.gov/about/news/2019/12/30/ambulance-company-pays-65000-settle-allegations-longstanding-hipaa-noncompliance.html</w:t>
        </w:r>
      </w:hyperlink>
      <w:r>
        <w:rPr>
          <w:b w:val="0"/>
          <w:bCs w:val="0"/>
          <w:sz w:val="24"/>
          <w:szCs w:val="24"/>
        </w:rPr>
        <w:t xml:space="preserve">. </w:t>
      </w:r>
    </w:p>
    <w:p w14:paraId="319307A5" w14:textId="77777777" w:rsidR="009B2B57" w:rsidRPr="00C13067" w:rsidRDefault="009B2B57" w:rsidP="009B2B57">
      <w:pPr>
        <w:pStyle w:val="NormalWeb"/>
        <w:ind w:left="720"/>
      </w:pPr>
      <w:r>
        <w:t>“</w:t>
      </w:r>
      <w:r w:rsidRPr="00C13067">
        <w:t>West Georgia Ambulance, Inc. (West Georgia), has agreed to pay $65,000 to the Office for Civil Rights (OCR) at the U.S. Department of Health and Human Services (HHS) and to adopt a corrective action plan to settle potential violations of the Health Insurance Portability and Accountability Act (HIPAA) Security Rule. West Georgia is an ambulance company that provides emergency and non-emergency ambulance services in Carroll County, Georgia.</w:t>
      </w:r>
    </w:p>
    <w:p w14:paraId="709902D4" w14:textId="77777777" w:rsidR="009B2B57" w:rsidRPr="00C13067" w:rsidRDefault="009B2B57" w:rsidP="009B2B57">
      <w:pPr>
        <w:pStyle w:val="NormalWeb"/>
        <w:ind w:left="720"/>
      </w:pPr>
      <w:r w:rsidRPr="00C13067">
        <w:t xml:space="preserve">OCR began its investigation after West Georgia filed a breach report in 2013 concerning the loss of an unencrypted laptop containing the protected health information (PHI) of 500 individuals. OCR’s investigation uncovered long-standing noncompliance with the HIPAA Rules, including failures to conduct a risk analysis, </w:t>
      </w:r>
      <w:proofErr w:type="gramStart"/>
      <w:r w:rsidRPr="00C13067">
        <w:t>provide</w:t>
      </w:r>
      <w:proofErr w:type="gramEnd"/>
      <w:r w:rsidRPr="00C13067">
        <w:t xml:space="preserve"> a security awareness and training program, and </w:t>
      </w:r>
      <w:proofErr w:type="gramStart"/>
      <w:r w:rsidRPr="00C13067">
        <w:t>implement</w:t>
      </w:r>
      <w:proofErr w:type="gramEnd"/>
      <w:r w:rsidRPr="00C13067">
        <w:t xml:space="preserve"> HIPAA Security Rule policies and procedures. Despite OCR’s investigation and technical assistance, West Georgia did not take meaningful steps to address their systemic failures.</w:t>
      </w:r>
      <w:r>
        <w:t>”</w:t>
      </w:r>
    </w:p>
    <w:p w14:paraId="390E8091" w14:textId="77777777" w:rsidR="009B2B57" w:rsidRPr="006455BA" w:rsidRDefault="009B2B57" w:rsidP="009B2B57">
      <w:pPr>
        <w:pStyle w:val="NormalWeb"/>
        <w:ind w:left="720"/>
      </w:pPr>
      <w:r>
        <w:t>Other e</w:t>
      </w:r>
      <w:r w:rsidRPr="006455BA">
        <w:t xml:space="preserve">xamples of HIPAA </w:t>
      </w:r>
      <w:r>
        <w:t xml:space="preserve">enforcement actions: </w:t>
      </w:r>
      <w:hyperlink r:id="rId2198" w:anchor="case5" w:history="1">
        <w:r w:rsidRPr="003C47C7">
          <w:rPr>
            <w:rStyle w:val="Hyperlink"/>
          </w:rPr>
          <w:t>https://www.hhs.gov/hipaa/for-professionals/compliance-enforcement/examples/all-cases/index.html#case5</w:t>
        </w:r>
      </w:hyperlink>
      <w:r w:rsidRPr="006455BA">
        <w:t xml:space="preserve"> </w:t>
      </w:r>
    </w:p>
    <w:p w14:paraId="175D82BA" w14:textId="77777777" w:rsidR="006E6416" w:rsidRDefault="006E6416" w:rsidP="006A02A4">
      <w:pPr>
        <w:rPr>
          <w:rFonts w:ascii="Arial Black" w:hAnsi="Arial Black"/>
          <w:b/>
          <w:bCs/>
          <w:sz w:val="28"/>
          <w:szCs w:val="28"/>
        </w:rPr>
      </w:pPr>
    </w:p>
    <w:p w14:paraId="4A7BFABE" w14:textId="77777777" w:rsidR="006E6416" w:rsidRDefault="006E6416" w:rsidP="006A02A4">
      <w:pPr>
        <w:rPr>
          <w:rFonts w:ascii="Arial Black" w:hAnsi="Arial Black"/>
          <w:b/>
          <w:bCs/>
          <w:sz w:val="28"/>
          <w:szCs w:val="28"/>
        </w:rPr>
      </w:pPr>
    </w:p>
    <w:p w14:paraId="26C42740" w14:textId="77777777" w:rsidR="006E6416" w:rsidRDefault="006E6416" w:rsidP="006A02A4">
      <w:pPr>
        <w:rPr>
          <w:rFonts w:ascii="Arial Black" w:hAnsi="Arial Black"/>
          <w:b/>
          <w:bCs/>
          <w:sz w:val="28"/>
          <w:szCs w:val="28"/>
        </w:rPr>
      </w:pPr>
    </w:p>
    <w:p w14:paraId="3BA1217D" w14:textId="114F3580" w:rsidR="00592CB5" w:rsidRDefault="00592CB5" w:rsidP="006A02A4">
      <w:pPr>
        <w:rPr>
          <w:rFonts w:ascii="Arial Black" w:hAnsi="Arial Black"/>
          <w:b/>
          <w:bCs/>
          <w:sz w:val="28"/>
          <w:szCs w:val="28"/>
        </w:rPr>
      </w:pPr>
      <w:r>
        <w:rPr>
          <w:rFonts w:ascii="Arial Black" w:hAnsi="Arial Black"/>
          <w:b/>
          <w:bCs/>
          <w:sz w:val="28"/>
          <w:szCs w:val="28"/>
        </w:rPr>
        <w:t>13-162</w:t>
      </w:r>
    </w:p>
    <w:p w14:paraId="06753EE1" w14:textId="77777777" w:rsidR="00C7649B" w:rsidRDefault="00C7649B" w:rsidP="00C7649B">
      <w:pPr>
        <w:pStyle w:val="NormalWeb"/>
        <w:rPr>
          <w:rFonts w:ascii="Arial Black" w:hAnsi="Arial Black"/>
          <w:sz w:val="28"/>
          <w:szCs w:val="28"/>
        </w:rPr>
      </w:pPr>
      <w:r>
        <w:rPr>
          <w:rFonts w:ascii="Arial Black" w:hAnsi="Arial Black"/>
          <w:sz w:val="28"/>
          <w:szCs w:val="28"/>
        </w:rPr>
        <w:t xml:space="preserve">PA: HOSPITAL AMBUL. EMS “GOOD SAMARITAN” IMMUNITY - NON-EMERG. </w:t>
      </w:r>
      <w:proofErr w:type="gramStart"/>
      <w:r>
        <w:rPr>
          <w:rFonts w:ascii="Arial Black" w:hAnsi="Arial Black"/>
          <w:sz w:val="28"/>
          <w:szCs w:val="28"/>
        </w:rPr>
        <w:t>TRANSPORT,</w:t>
      </w:r>
      <w:proofErr w:type="gramEnd"/>
      <w:r>
        <w:rPr>
          <w:rFonts w:ascii="Arial Black" w:hAnsi="Arial Black"/>
          <w:sz w:val="28"/>
          <w:szCs w:val="28"/>
        </w:rPr>
        <w:t xml:space="preserve"> STOPPED TO PERFORM CPR</w:t>
      </w:r>
    </w:p>
    <w:p w14:paraId="5AF9F4CF" w14:textId="77777777" w:rsidR="00C7649B" w:rsidRDefault="00C7649B" w:rsidP="00C7649B">
      <w:pPr>
        <w:pStyle w:val="NormalWeb"/>
      </w:pPr>
      <w:r>
        <w:t xml:space="preserve">On Dec. 20, 2023, in </w:t>
      </w:r>
      <w:r w:rsidRPr="003E5ADD">
        <w:rPr>
          <w:u w:val="single"/>
        </w:rPr>
        <w:t xml:space="preserve">Desiree Lamarr-Murphy. Individually and as Administratrix of the Estate of Christopher B. Murphy, deceased, and Briannah </w:t>
      </w:r>
      <w:proofErr w:type="spellStart"/>
      <w:r w:rsidRPr="003E5ADD">
        <w:rPr>
          <w:u w:val="single"/>
        </w:rPr>
        <w:t>Lahmarr</w:t>
      </w:r>
      <w:proofErr w:type="spellEnd"/>
      <w:r w:rsidRPr="003E5ADD">
        <w:rPr>
          <w:u w:val="single"/>
        </w:rPr>
        <w:t xml:space="preserve"> v. Delaware County Memorial Hospital, et al.</w:t>
      </w:r>
      <w:r>
        <w:t>, the Superior Court of Pennsylvania held (3 to 0; non-presidential decision) that trial court properly entered judgment for two EMS and hospital. “</w:t>
      </w:r>
      <w:r w:rsidRPr="005F5B35">
        <w:t>Thus, DCMH, acting in its limited role as a provider of emergency</w:t>
      </w:r>
      <w:r>
        <w:t xml:space="preserve"> ambulatory services, and its emergency responder employees, DCMH EMS, were protected under the Good Samaritan Act.”  After an 8-day jury trial, the jury found 39-year-old patient with history of blood clots in his legs was 51% contributory negligent for not seeking medical </w:t>
      </w:r>
      <w:proofErr w:type="gramStart"/>
      <w:r>
        <w:t xml:space="preserve">attentions </w:t>
      </w:r>
      <w:proofErr w:type="gramEnd"/>
      <w:r>
        <w:t xml:space="preserve">large blood </w:t>
      </w:r>
      <w:proofErr w:type="gramStart"/>
      <w:r>
        <w:t>clot</w:t>
      </w:r>
      <w:proofErr w:type="gramEnd"/>
      <w:r>
        <w:t xml:space="preserve"> led to cardiac arrest in ambulance.  </w:t>
      </w:r>
      <w:hyperlink r:id="rId2199" w:history="1">
        <w:r w:rsidRPr="00601FD5">
          <w:rPr>
            <w:rStyle w:val="Hyperlink"/>
          </w:rPr>
          <w:t>https://cases.justia.com/pennsylvania/superior-court/2023-1846-eda-2021.pdf?ts=1703100172</w:t>
        </w:r>
      </w:hyperlink>
      <w:r>
        <w:t xml:space="preserve"> </w:t>
      </w:r>
    </w:p>
    <w:p w14:paraId="431797A9" w14:textId="77777777" w:rsidR="006E6416" w:rsidRDefault="006E6416" w:rsidP="006E6416">
      <w:pPr>
        <w:pStyle w:val="NormalWeb"/>
        <w:rPr>
          <w:b/>
          <w:bCs/>
        </w:rPr>
      </w:pPr>
      <w:r w:rsidRPr="0070397E">
        <w:rPr>
          <w:b/>
          <w:bCs/>
        </w:rPr>
        <w:t>Legal Lesson Learned:</w:t>
      </w:r>
      <w:r>
        <w:rPr>
          <w:b/>
          <w:bCs/>
        </w:rPr>
        <w:t xml:space="preserve"> Expert witnesses confirmed non-emergency transport was consistent with PA protocols; PA “Good Samaritan” statute provides immunity for EMS, unless acting with gross negligence, including </w:t>
      </w:r>
      <w:proofErr w:type="gramStart"/>
      <w:r>
        <w:rPr>
          <w:b/>
          <w:bCs/>
        </w:rPr>
        <w:t>hospital based</w:t>
      </w:r>
      <w:proofErr w:type="gramEnd"/>
      <w:r>
        <w:rPr>
          <w:b/>
          <w:bCs/>
        </w:rPr>
        <w:t xml:space="preserve"> EMS. </w:t>
      </w:r>
    </w:p>
    <w:p w14:paraId="7B2203BC" w14:textId="77777777" w:rsidR="006E6416" w:rsidRDefault="006E6416" w:rsidP="006E6416">
      <w:pPr>
        <w:pStyle w:val="NormalWeb"/>
      </w:pPr>
      <w:r>
        <w:rPr>
          <w:b/>
          <w:bCs/>
        </w:rPr>
        <w:tab/>
      </w:r>
      <w:r w:rsidRPr="00D35C79">
        <w:t>Note:</w:t>
      </w:r>
      <w:r>
        <w:rPr>
          <w:b/>
          <w:bCs/>
        </w:rPr>
        <w:t xml:space="preserve">  </w:t>
      </w:r>
      <w:r w:rsidRPr="00165EB6">
        <w:t>The</w:t>
      </w:r>
      <w:r>
        <w:t xml:space="preserve"> PA</w:t>
      </w:r>
      <w:r w:rsidRPr="00165EB6">
        <w:t xml:space="preserve"> Good Samaritan Act provides, in pertinent part: </w:t>
      </w:r>
    </w:p>
    <w:p w14:paraId="62F63F3A" w14:textId="77777777" w:rsidR="006E6416" w:rsidRPr="00165EB6" w:rsidRDefault="006E6416" w:rsidP="006E6416">
      <w:pPr>
        <w:pStyle w:val="NormalWeb"/>
        <w:ind w:left="1440"/>
      </w:pPr>
      <w:r w:rsidRPr="00165EB6">
        <w:t>(a) General rule</w:t>
      </w:r>
      <w:r w:rsidRPr="00165EB6">
        <w:rPr>
          <w:i/>
          <w:iCs/>
        </w:rPr>
        <w:t>.</w:t>
      </w:r>
      <w:r w:rsidRPr="00165EB6">
        <w:t xml:space="preserve"> - Any person, including an emergency response provider, whether or not trained to practice medicine, who in good faith renders emergency care, treatment, first aid or rescue at the scene of an emergency event or crime, or who moves the person receiving such care, first aid or rescue to a hospital or other place of medical care, shall not be liable for any civil damages as a result of rendering such care, except in any act or omission intentionally designed to harm or any grossly negligent acts or omissions which result in harm to the person receiving emergency care or being moved to a hospital or other place of medical care. </w:t>
      </w:r>
    </w:p>
    <w:p w14:paraId="0B037922" w14:textId="77777777" w:rsidR="00592CB5" w:rsidRDefault="00592CB5" w:rsidP="006A02A4">
      <w:pPr>
        <w:rPr>
          <w:rFonts w:ascii="Arial Black" w:hAnsi="Arial Black"/>
          <w:b/>
          <w:bCs/>
          <w:sz w:val="28"/>
          <w:szCs w:val="28"/>
        </w:rPr>
      </w:pPr>
    </w:p>
    <w:p w14:paraId="12A90D1F" w14:textId="77777777" w:rsidR="00592CB5" w:rsidRDefault="00592CB5" w:rsidP="006A02A4">
      <w:pPr>
        <w:rPr>
          <w:rFonts w:ascii="Arial Black" w:hAnsi="Arial Black"/>
          <w:b/>
          <w:bCs/>
          <w:sz w:val="28"/>
          <w:szCs w:val="28"/>
        </w:rPr>
      </w:pPr>
    </w:p>
    <w:p w14:paraId="72E0E53B" w14:textId="1F4AC660" w:rsidR="003D5ECA" w:rsidRDefault="003D5ECA" w:rsidP="006A02A4">
      <w:pPr>
        <w:rPr>
          <w:rFonts w:ascii="Arial Black" w:hAnsi="Arial Black"/>
          <w:b/>
          <w:bCs/>
          <w:sz w:val="28"/>
          <w:szCs w:val="28"/>
        </w:rPr>
      </w:pPr>
      <w:r>
        <w:rPr>
          <w:rFonts w:ascii="Arial Black" w:hAnsi="Arial Black"/>
          <w:b/>
          <w:bCs/>
          <w:sz w:val="28"/>
          <w:szCs w:val="28"/>
        </w:rPr>
        <w:t>13-161</w:t>
      </w:r>
    </w:p>
    <w:p w14:paraId="050C1C7F" w14:textId="77777777" w:rsidR="003D5ECA" w:rsidRDefault="003D5ECA" w:rsidP="003D5ECA">
      <w:pPr>
        <w:pStyle w:val="NormalWeb"/>
      </w:pPr>
      <w:r>
        <w:rPr>
          <w:rFonts w:ascii="Arial Black" w:hAnsi="Arial Black"/>
          <w:sz w:val="28"/>
          <w:szCs w:val="28"/>
        </w:rPr>
        <w:t>MN: MEDIC RESIGNED AFTER PUT ON PIP – NO 1</w:t>
      </w:r>
      <w:r w:rsidRPr="006A5EC7">
        <w:rPr>
          <w:rFonts w:ascii="Arial Black" w:hAnsi="Arial Black"/>
          <w:sz w:val="28"/>
          <w:szCs w:val="28"/>
          <w:vertAlign w:val="superscript"/>
        </w:rPr>
        <w:t>st</w:t>
      </w:r>
      <w:r>
        <w:rPr>
          <w:rFonts w:ascii="Arial Black" w:hAnsi="Arial Black"/>
          <w:sz w:val="28"/>
          <w:szCs w:val="28"/>
        </w:rPr>
        <w:t xml:space="preserve"> AMEND. SPEECH CASE - SPOKE ABOUT EMS TRAINING RECORDS</w:t>
      </w:r>
    </w:p>
    <w:p w14:paraId="3CADE404" w14:textId="77777777" w:rsidR="003D5ECA" w:rsidRDefault="003D5ECA" w:rsidP="003D5ECA">
      <w:pPr>
        <w:pStyle w:val="NormalWeb"/>
      </w:pPr>
      <w:r>
        <w:t xml:space="preserve">On Dec. 20, 2023, in </w:t>
      </w:r>
      <w:r w:rsidRPr="00926837">
        <w:rPr>
          <w:u w:val="single"/>
        </w:rPr>
        <w:t>Joseph Paul Baker v. The City of Woodbury, et al</w:t>
      </w:r>
      <w:r>
        <w:t xml:space="preserve">., U.S. District Court Judge David S. Doty, U.S. District Court for District of Minnesota granted the City’s motion for summary judgement. The Court wrote: “Baker claims that defendants Wallgren, Klein, and Guiton retaliated against him for questioning the EMS training records and complaining about Ehrenberg's request to prepare ketamine by placing him on a </w:t>
      </w:r>
      <w:r>
        <w:lastRenderedPageBreak/>
        <w:t xml:space="preserve">PIP, in violation of his right to free speech under the First Amendment. *** To determine whether the employee engaged in speech protected by the First Amendment, the court must first consider whether ‘the employee spoke as a citizen on a matter of public concern.’ </w:t>
      </w:r>
      <w:r>
        <w:rPr>
          <w:i/>
          <w:iCs/>
        </w:rPr>
        <w:t>Garcetti v. Ceballos</w:t>
      </w:r>
      <w:r>
        <w:t xml:space="preserve">, 54 7 U.S. 410, 418 (2014). ‘If the answer is no, the employee has no First Amendment cause of action based on his ... employer's reaction to the speech.*** When Baker made statements about the training records, the undisputed facts show that he did so within the scope of his duties as a member of the education group. In that role, Baker was responsible for, among other things, assessing and maintaining training documentation for submission to the EMSRB. Baker discovered the alleged deficiencies when carrying out those duties. He would not have been able to make such a discovery without access to the training records of each paramedic, along with their corresponding certifications. It is undisputed that those detailed records are not available to the </w:t>
      </w:r>
      <w:proofErr w:type="gramStart"/>
      <w:r>
        <w:t>general public</w:t>
      </w:r>
      <w:proofErr w:type="gramEnd"/>
      <w:r>
        <w:t xml:space="preserve">. Further, Baker reported the alleged deficiencies to his superiors after first discussing </w:t>
      </w:r>
      <w:proofErr w:type="gramStart"/>
      <w:r>
        <w:t>it</w:t>
      </w:r>
      <w:proofErr w:type="gramEnd"/>
      <w:r>
        <w:t xml:space="preserve"> with his fellow education group members, thus tying his concerns directly to his role in the education group rather than merely as a concerned citizen. Under these circumstances, there is no serious debate that Baker's speech owes its existence to his professional responsibilities and therefore is not protected by the First Amendment.” </w:t>
      </w:r>
      <w:hyperlink r:id="rId2200" w:history="1">
        <w:r w:rsidRPr="0044657D">
          <w:rPr>
            <w:rStyle w:val="Hyperlink"/>
          </w:rPr>
          <w:t>https://casetext.com/case/baker-v-city-of-woodbury</w:t>
        </w:r>
      </w:hyperlink>
      <w:r>
        <w:t xml:space="preserve"> </w:t>
      </w:r>
    </w:p>
    <w:p w14:paraId="45186F9A" w14:textId="77777777" w:rsidR="00592CB5" w:rsidRPr="00E57DEF" w:rsidRDefault="00592CB5" w:rsidP="00592CB5">
      <w:pPr>
        <w:pStyle w:val="NormalWeb"/>
        <w:rPr>
          <w:b/>
          <w:bCs/>
        </w:rPr>
      </w:pPr>
      <w:r w:rsidRPr="00E57DEF">
        <w:rPr>
          <w:b/>
          <w:bCs/>
        </w:rPr>
        <w:t xml:space="preserve">Legal Lesson Learned: </w:t>
      </w:r>
      <w:r>
        <w:rPr>
          <w:b/>
          <w:bCs/>
        </w:rPr>
        <w:t xml:space="preserve">PIP can be an effective management tool, either to get </w:t>
      </w:r>
      <w:proofErr w:type="gramStart"/>
      <w:r>
        <w:rPr>
          <w:b/>
          <w:bCs/>
        </w:rPr>
        <w:t>employee</w:t>
      </w:r>
      <w:proofErr w:type="gramEnd"/>
      <w:r>
        <w:rPr>
          <w:b/>
          <w:bCs/>
        </w:rPr>
        <w:t xml:space="preserve"> to improve or to look for another job.</w:t>
      </w:r>
    </w:p>
    <w:p w14:paraId="689A5DC4" w14:textId="77777777" w:rsidR="003D5ECA" w:rsidRDefault="003D5ECA" w:rsidP="006A02A4">
      <w:pPr>
        <w:rPr>
          <w:rFonts w:ascii="Arial Black" w:hAnsi="Arial Black"/>
          <w:b/>
          <w:bCs/>
          <w:sz w:val="28"/>
          <w:szCs w:val="28"/>
        </w:rPr>
      </w:pPr>
    </w:p>
    <w:p w14:paraId="4566F530" w14:textId="77777777" w:rsidR="003D5ECA" w:rsidRDefault="003D5ECA" w:rsidP="006A02A4">
      <w:pPr>
        <w:rPr>
          <w:rFonts w:ascii="Arial Black" w:hAnsi="Arial Black"/>
          <w:b/>
          <w:bCs/>
          <w:sz w:val="28"/>
          <w:szCs w:val="28"/>
        </w:rPr>
      </w:pPr>
    </w:p>
    <w:p w14:paraId="2FF3E591" w14:textId="38C70065" w:rsidR="002D6690" w:rsidRDefault="002D6690" w:rsidP="006A02A4">
      <w:pPr>
        <w:rPr>
          <w:rFonts w:ascii="Arial Black" w:hAnsi="Arial Black"/>
          <w:b/>
          <w:bCs/>
          <w:sz w:val="28"/>
          <w:szCs w:val="28"/>
        </w:rPr>
      </w:pPr>
      <w:r>
        <w:rPr>
          <w:rFonts w:ascii="Arial Black" w:hAnsi="Arial Black"/>
          <w:b/>
          <w:bCs/>
          <w:sz w:val="28"/>
          <w:szCs w:val="28"/>
        </w:rPr>
        <w:t>13-</w:t>
      </w:r>
      <w:r w:rsidR="002410DA">
        <w:rPr>
          <w:rFonts w:ascii="Arial Black" w:hAnsi="Arial Black"/>
          <w:b/>
          <w:bCs/>
          <w:sz w:val="28"/>
          <w:szCs w:val="28"/>
        </w:rPr>
        <w:t>160</w:t>
      </w:r>
    </w:p>
    <w:p w14:paraId="10B2F53E" w14:textId="77777777" w:rsidR="002410DA" w:rsidRPr="001F329A" w:rsidRDefault="002410DA" w:rsidP="002410DA">
      <w:pPr>
        <w:pStyle w:val="NormalWeb"/>
        <w:rPr>
          <w:rFonts w:ascii="Arial Black" w:hAnsi="Arial Black"/>
          <w:sz w:val="28"/>
          <w:szCs w:val="28"/>
        </w:rPr>
      </w:pPr>
      <w:r>
        <w:rPr>
          <w:rFonts w:ascii="Arial Black" w:hAnsi="Arial Black"/>
          <w:sz w:val="28"/>
          <w:szCs w:val="28"/>
        </w:rPr>
        <w:t>CO: HOSPITAL PARAMEDIC FIRED – EPINEPHRINE TO WOMAN PARKING LOT – QR FILES CONFIDENTIAL</w:t>
      </w:r>
    </w:p>
    <w:p w14:paraId="30ED0A5A" w14:textId="3C770E23" w:rsidR="002410DA" w:rsidRDefault="002410DA" w:rsidP="002410DA">
      <w:pPr>
        <w:rPr>
          <w:rStyle w:val="Hyperlink"/>
          <w:rFonts w:ascii="Times New Roman" w:hAnsi="Times New Roman"/>
          <w:sz w:val="24"/>
          <w:szCs w:val="24"/>
        </w:rPr>
      </w:pPr>
      <w:r w:rsidRPr="002410DA">
        <w:rPr>
          <w:rFonts w:ascii="Times New Roman" w:hAnsi="Times New Roman"/>
          <w:sz w:val="24"/>
          <w:szCs w:val="24"/>
        </w:rPr>
        <w:t xml:space="preserve">On Nov. 14, 2023, in </w:t>
      </w:r>
      <w:r w:rsidRPr="002410DA">
        <w:rPr>
          <w:rFonts w:ascii="Times New Roman" w:hAnsi="Times New Roman"/>
          <w:sz w:val="24"/>
          <w:szCs w:val="24"/>
          <w:u w:val="single"/>
        </w:rPr>
        <w:t xml:space="preserve">Jordan Christensen v. Denver Health </w:t>
      </w:r>
      <w:proofErr w:type="gramStart"/>
      <w:r w:rsidRPr="002410DA">
        <w:rPr>
          <w:rFonts w:ascii="Times New Roman" w:hAnsi="Times New Roman"/>
          <w:sz w:val="24"/>
          <w:szCs w:val="24"/>
          <w:u w:val="single"/>
        </w:rPr>
        <w:t>And</w:t>
      </w:r>
      <w:proofErr w:type="gramEnd"/>
      <w:r w:rsidRPr="002410DA">
        <w:rPr>
          <w:rFonts w:ascii="Times New Roman" w:hAnsi="Times New Roman"/>
          <w:sz w:val="24"/>
          <w:szCs w:val="24"/>
          <w:u w:val="single"/>
        </w:rPr>
        <w:t xml:space="preserve"> Hospital Authority, doing business as Denver Heath Paramedic Division</w:t>
      </w:r>
      <w:r w:rsidRPr="002410DA">
        <w:rPr>
          <w:rFonts w:ascii="Times New Roman" w:hAnsi="Times New Roman"/>
          <w:sz w:val="24"/>
          <w:szCs w:val="24"/>
        </w:rPr>
        <w:t xml:space="preserve">, U.S. Magistrate Judge Kathryn A. </w:t>
      </w:r>
      <w:proofErr w:type="spellStart"/>
      <w:r w:rsidRPr="002410DA">
        <w:rPr>
          <w:rFonts w:ascii="Times New Roman" w:hAnsi="Times New Roman"/>
          <w:sz w:val="24"/>
          <w:szCs w:val="24"/>
        </w:rPr>
        <w:t>Starnella</w:t>
      </w:r>
      <w:proofErr w:type="spellEnd"/>
      <w:r w:rsidRPr="002410DA">
        <w:rPr>
          <w:rFonts w:ascii="Times New Roman" w:hAnsi="Times New Roman"/>
          <w:sz w:val="24"/>
          <w:szCs w:val="24"/>
        </w:rPr>
        <w:t xml:space="preserve">, U.S. District Cort for District of Colorado, denied Plaintiff's Motion to Compel Production of the Quality Review File.  The termination decision was made by the Medical Director of the Paramedic Division, not on the hospital’s Quality Review Committee; the QR file is confidential under Federal and State statutes.  </w:t>
      </w:r>
      <w:hyperlink r:id="rId2201" w:history="1">
        <w:r w:rsidRPr="002410DA">
          <w:rPr>
            <w:rStyle w:val="Hyperlink"/>
            <w:rFonts w:ascii="Times New Roman" w:hAnsi="Times New Roman"/>
            <w:sz w:val="24"/>
            <w:szCs w:val="24"/>
          </w:rPr>
          <w:t>https://public.fastcase.com/ZZhmr5v9wN%2FXOe5IsQ%2FqD%2B1qjdbNtrbKnJG3uP2WWVmhlF8pu7dlSanIpJbUEtpE?utm_medium=email&amp;_hsmi=226712652&amp;_hsenc=p2ANqtz-_3swjkE_U3wk1h5U8jVat2QL8kZwPHoy86W6A4pHNVHtwV__0ZHK6m0x71w6miyP2O__WwBW9V-f993pnbFbogevKSBQ&amp;utm_content=226712652&amp;utm_source=hs_email</w:t>
        </w:r>
      </w:hyperlink>
    </w:p>
    <w:p w14:paraId="5E4AF293" w14:textId="77777777" w:rsidR="00BC2A27" w:rsidRDefault="00BC2A27" w:rsidP="00BC2A27">
      <w:pPr>
        <w:pStyle w:val="NormalWeb"/>
        <w:rPr>
          <w:b/>
          <w:bCs/>
        </w:rPr>
      </w:pPr>
      <w:r w:rsidRPr="007F3790">
        <w:rPr>
          <w:b/>
          <w:bCs/>
        </w:rPr>
        <w:t>Legal Lesson Learned:</w:t>
      </w:r>
      <w:r>
        <w:rPr>
          <w:b/>
          <w:bCs/>
        </w:rPr>
        <w:t xml:space="preserve"> Hospital QR reviews, and Fire &amp; EMS QRs are confidential in many states. </w:t>
      </w:r>
    </w:p>
    <w:p w14:paraId="7C48D26E" w14:textId="77777777" w:rsidR="00BC2A27" w:rsidRPr="008D2F39" w:rsidRDefault="00BC2A27" w:rsidP="00BC2A27">
      <w:pPr>
        <w:pStyle w:val="Heading1"/>
        <w:ind w:left="720"/>
        <w:rPr>
          <w:b w:val="0"/>
          <w:bCs w:val="0"/>
          <w:sz w:val="24"/>
          <w:szCs w:val="24"/>
        </w:rPr>
      </w:pPr>
      <w:r w:rsidRPr="008D2F39">
        <w:rPr>
          <w:b w:val="0"/>
          <w:bCs w:val="0"/>
          <w:sz w:val="24"/>
          <w:szCs w:val="24"/>
        </w:rPr>
        <w:t xml:space="preserve">Note: See Ohio Revised Code: </w:t>
      </w:r>
      <w:r>
        <w:rPr>
          <w:b w:val="0"/>
          <w:bCs w:val="0"/>
          <w:sz w:val="24"/>
          <w:szCs w:val="24"/>
        </w:rPr>
        <w:t>“</w:t>
      </w:r>
      <w:r w:rsidRPr="008D2F39">
        <w:rPr>
          <w:b w:val="0"/>
          <w:bCs w:val="0"/>
          <w:sz w:val="24"/>
          <w:szCs w:val="24"/>
        </w:rPr>
        <w:t xml:space="preserve">Section 4765.12 </w:t>
      </w:r>
      <w:r w:rsidRPr="008D2F39">
        <w:rPr>
          <w:rStyle w:val="codes-separator"/>
          <w:rFonts w:eastAsiaTheme="majorEastAsia"/>
          <w:b w:val="0"/>
          <w:bCs w:val="0"/>
          <w:sz w:val="24"/>
          <w:szCs w:val="24"/>
        </w:rPr>
        <w:t>|</w:t>
      </w:r>
      <w:r w:rsidRPr="008D2F39">
        <w:rPr>
          <w:b w:val="0"/>
          <w:bCs w:val="0"/>
          <w:sz w:val="24"/>
          <w:szCs w:val="24"/>
        </w:rPr>
        <w:t xml:space="preserve"> Guidelines for care of trauma victims by emergency medical service personnel - conduct of peer review and quality assurance programs by emergency medical service organizations</w:t>
      </w:r>
      <w:r>
        <w:rPr>
          <w:b w:val="0"/>
          <w:bCs w:val="0"/>
          <w:sz w:val="24"/>
          <w:szCs w:val="24"/>
        </w:rPr>
        <w:t xml:space="preserve">.” </w:t>
      </w:r>
      <w:hyperlink r:id="rId2202" w:history="1">
        <w:r w:rsidRPr="00D270AC">
          <w:rPr>
            <w:rStyle w:val="Hyperlink"/>
            <w:b w:val="0"/>
            <w:bCs w:val="0"/>
            <w:sz w:val="24"/>
            <w:szCs w:val="24"/>
          </w:rPr>
          <w:t>https://codes.ohio.gov/ohio-revised-code/section-4765.12</w:t>
        </w:r>
      </w:hyperlink>
      <w:r>
        <w:rPr>
          <w:b w:val="0"/>
          <w:bCs w:val="0"/>
          <w:sz w:val="24"/>
          <w:szCs w:val="24"/>
        </w:rPr>
        <w:t xml:space="preserve"> </w:t>
      </w:r>
    </w:p>
    <w:p w14:paraId="10BDCEC9" w14:textId="77777777" w:rsidR="00BC2A27" w:rsidRDefault="00BC2A27" w:rsidP="00BC2A27">
      <w:pPr>
        <w:pStyle w:val="NormalWeb"/>
        <w:ind w:left="720"/>
        <w:rPr>
          <w:b/>
          <w:bCs/>
        </w:rPr>
      </w:pPr>
      <w:r>
        <w:t xml:space="preserve">“Information generated solely for use in a peer review or quality assurance program conducted on behalf of an emergency medical service organization is not a public record under section </w:t>
      </w:r>
      <w:hyperlink r:id="rId2203" w:history="1">
        <w:r>
          <w:rPr>
            <w:rStyle w:val="Hyperlink"/>
            <w:rFonts w:eastAsiaTheme="majorEastAsia"/>
          </w:rPr>
          <w:t>149.43</w:t>
        </w:r>
      </w:hyperlink>
      <w:r>
        <w:t xml:space="preserve"> of the Revised Code. Such information, and any discussion conducted in the course of a peer review or quality assurance program conducted on behalf of an emergency medical service organization, is not subject to </w:t>
      </w:r>
      <w:r>
        <w:lastRenderedPageBreak/>
        <w:t>discovery in a civil action and shall not be introduced into evidence in a civil action against the emergency medical service organization on whose behalf the information was generated or the discussion occurred.</w:t>
      </w:r>
      <w:r>
        <w:rPr>
          <w:b/>
          <w:bCs/>
        </w:rPr>
        <w:t>”</w:t>
      </w:r>
    </w:p>
    <w:p w14:paraId="5F106965" w14:textId="77777777" w:rsidR="008578DE" w:rsidRDefault="008578DE" w:rsidP="00BC2A27">
      <w:pPr>
        <w:rPr>
          <w:rFonts w:ascii="Arial Black" w:hAnsi="Arial Black"/>
          <w:b/>
          <w:bCs/>
          <w:sz w:val="28"/>
          <w:szCs w:val="28"/>
        </w:rPr>
      </w:pPr>
    </w:p>
    <w:p w14:paraId="43923D7C" w14:textId="300C3315" w:rsidR="00BC2A27" w:rsidRDefault="00BC2A27" w:rsidP="00BC2A27">
      <w:pPr>
        <w:rPr>
          <w:rFonts w:ascii="Arial Black" w:hAnsi="Arial Black"/>
          <w:b/>
          <w:bCs/>
          <w:sz w:val="28"/>
          <w:szCs w:val="28"/>
        </w:rPr>
      </w:pPr>
      <w:r>
        <w:rPr>
          <w:rFonts w:ascii="Arial Black" w:hAnsi="Arial Black"/>
          <w:b/>
          <w:bCs/>
          <w:sz w:val="28"/>
          <w:szCs w:val="28"/>
        </w:rPr>
        <w:t>13-159</w:t>
      </w:r>
    </w:p>
    <w:p w14:paraId="3D7E88B8" w14:textId="77777777" w:rsidR="0061348F" w:rsidRPr="00171AD5" w:rsidRDefault="0061348F" w:rsidP="0061348F">
      <w:pPr>
        <w:pStyle w:val="NoSpacing"/>
        <w:rPr>
          <w:rFonts w:ascii="Arial Black" w:hAnsi="Arial Black"/>
          <w:b/>
          <w:sz w:val="28"/>
          <w:szCs w:val="28"/>
        </w:rPr>
      </w:pPr>
      <w:r>
        <w:rPr>
          <w:rFonts w:ascii="Arial Black" w:hAnsi="Arial Black"/>
          <w:b/>
          <w:sz w:val="28"/>
          <w:szCs w:val="28"/>
        </w:rPr>
        <w:t>WV:  911 DISPATCH NO CPR INSTRUCTIONS – PARENTS TOLD DRIVE TO HOSP – EMS CANCELLED - CASE PROCEED</w:t>
      </w:r>
    </w:p>
    <w:p w14:paraId="3A4FC938" w14:textId="77777777" w:rsidR="0061348F" w:rsidRDefault="0061348F" w:rsidP="0061348F">
      <w:pPr>
        <w:pStyle w:val="NoSpacing"/>
        <w:rPr>
          <w:rFonts w:ascii="Times New Roman" w:hAnsi="Times New Roman"/>
          <w:b/>
          <w:sz w:val="24"/>
          <w:szCs w:val="24"/>
        </w:rPr>
      </w:pPr>
    </w:p>
    <w:p w14:paraId="21E74309" w14:textId="77777777" w:rsidR="0061348F" w:rsidRDefault="0061348F" w:rsidP="0061348F">
      <w:pPr>
        <w:pStyle w:val="NoSpacing"/>
        <w:rPr>
          <w:rFonts w:ascii="Times New Roman" w:hAnsi="Times New Roman"/>
          <w:bCs/>
          <w:sz w:val="24"/>
          <w:szCs w:val="24"/>
        </w:rPr>
      </w:pPr>
      <w:r>
        <w:rPr>
          <w:rFonts w:ascii="Times New Roman" w:hAnsi="Times New Roman"/>
          <w:bCs/>
          <w:sz w:val="24"/>
          <w:szCs w:val="24"/>
        </w:rPr>
        <w:t xml:space="preserve">On Nov. 8, 2023, in </w:t>
      </w:r>
      <w:r w:rsidRPr="00832890">
        <w:rPr>
          <w:rFonts w:ascii="Times New Roman" w:hAnsi="Times New Roman"/>
          <w:bCs/>
          <w:sz w:val="24"/>
          <w:szCs w:val="24"/>
          <w:u w:val="single"/>
        </w:rPr>
        <w:t>Barabara Stine Trivett, Administratrix of the Estate of Jasper Trivett v. Summer County Commission d/b/a Summers County Office of Emergency Management and Carmen Cales</w:t>
      </w:r>
      <w:r>
        <w:rPr>
          <w:rFonts w:ascii="Times New Roman" w:hAnsi="Times New Roman"/>
          <w:bCs/>
          <w:sz w:val="24"/>
          <w:szCs w:val="24"/>
        </w:rPr>
        <w:t xml:space="preserve">, Supreme Court of Appeals of West Virginia, held (3 to 2) that the lawsuit was timely filed and should not have been dismissed by trial judge and remanded case for discovery. </w:t>
      </w:r>
      <w:hyperlink r:id="rId2204" w:history="1">
        <w:r w:rsidRPr="006F62A4">
          <w:rPr>
            <w:rStyle w:val="Hyperlink"/>
            <w:rFonts w:ascii="Times New Roman" w:hAnsi="Times New Roman"/>
            <w:bCs/>
            <w:sz w:val="24"/>
            <w:szCs w:val="24"/>
          </w:rPr>
          <w:t>http://www.courtswv.gov/supreme-court/docs/fall2023/22-0202-wooton-p.pdf</w:t>
        </w:r>
      </w:hyperlink>
      <w:r>
        <w:rPr>
          <w:rFonts w:ascii="Times New Roman" w:hAnsi="Times New Roman"/>
          <w:bCs/>
          <w:sz w:val="24"/>
          <w:szCs w:val="24"/>
        </w:rPr>
        <w:t xml:space="preserve"> </w:t>
      </w:r>
    </w:p>
    <w:p w14:paraId="5C475FA2" w14:textId="77777777" w:rsidR="00A126EB" w:rsidRDefault="00A126EB" w:rsidP="00A126EB">
      <w:pPr>
        <w:pStyle w:val="NoSpacing"/>
        <w:rPr>
          <w:rFonts w:ascii="Times New Roman" w:hAnsi="Times New Roman"/>
          <w:b/>
          <w:sz w:val="24"/>
          <w:szCs w:val="24"/>
        </w:rPr>
      </w:pPr>
    </w:p>
    <w:p w14:paraId="173FC03E" w14:textId="19EE0BCC" w:rsidR="00A126EB" w:rsidRPr="00925161" w:rsidRDefault="00A126EB" w:rsidP="00A126EB">
      <w:pPr>
        <w:pStyle w:val="NoSpacing"/>
        <w:rPr>
          <w:rFonts w:ascii="Times New Roman" w:hAnsi="Times New Roman"/>
          <w:b/>
          <w:sz w:val="24"/>
          <w:szCs w:val="24"/>
        </w:rPr>
      </w:pPr>
      <w:r w:rsidRPr="00925161">
        <w:rPr>
          <w:rFonts w:ascii="Times New Roman" w:hAnsi="Times New Roman"/>
          <w:b/>
          <w:sz w:val="24"/>
          <w:szCs w:val="24"/>
        </w:rPr>
        <w:t>Legal Lesson Learned:</w:t>
      </w:r>
      <w:r>
        <w:rPr>
          <w:rFonts w:ascii="Times New Roman" w:hAnsi="Times New Roman"/>
          <w:b/>
          <w:sz w:val="24"/>
          <w:szCs w:val="24"/>
        </w:rPr>
        <w:t xml:space="preserve"> Dispatchers should all be trained in giving CPR instructions.</w:t>
      </w:r>
    </w:p>
    <w:p w14:paraId="6BEA5159" w14:textId="77777777" w:rsidR="00A126EB" w:rsidRDefault="00A126EB" w:rsidP="00BC2A27">
      <w:pPr>
        <w:rPr>
          <w:rFonts w:ascii="Arial Black" w:hAnsi="Arial Black"/>
          <w:b/>
          <w:bCs/>
          <w:sz w:val="28"/>
          <w:szCs w:val="28"/>
        </w:rPr>
      </w:pPr>
    </w:p>
    <w:p w14:paraId="0CAB5A2C" w14:textId="0BE59538" w:rsidR="00A126EB" w:rsidRDefault="00A126EB" w:rsidP="00A126EB">
      <w:pPr>
        <w:rPr>
          <w:rFonts w:ascii="Arial Black" w:hAnsi="Arial Black"/>
          <w:b/>
          <w:bCs/>
          <w:sz w:val="28"/>
          <w:szCs w:val="28"/>
        </w:rPr>
      </w:pPr>
      <w:r>
        <w:rPr>
          <w:rFonts w:ascii="Arial Black" w:hAnsi="Arial Black"/>
          <w:b/>
          <w:bCs/>
          <w:sz w:val="28"/>
          <w:szCs w:val="28"/>
        </w:rPr>
        <w:t>13-158</w:t>
      </w:r>
    </w:p>
    <w:p w14:paraId="19120DFC" w14:textId="77777777" w:rsidR="00C02A64" w:rsidRDefault="00C02A64" w:rsidP="00C02A64">
      <w:pPr>
        <w:rPr>
          <w:rFonts w:ascii="Arial Black" w:hAnsi="Arial Black"/>
          <w:b/>
          <w:bCs/>
          <w:sz w:val="28"/>
          <w:szCs w:val="28"/>
        </w:rPr>
      </w:pPr>
      <w:r>
        <w:rPr>
          <w:rFonts w:ascii="Arial Black" w:hAnsi="Arial Black"/>
          <w:b/>
          <w:bCs/>
          <w:sz w:val="28"/>
          <w:szCs w:val="28"/>
        </w:rPr>
        <w:t>NC: PATIENT REFUSED TRANSPORT – 94-YR MENTALY SOUND – DAUGHTER POWER OF ATTY CAN’T OVERRULE</w:t>
      </w:r>
    </w:p>
    <w:p w14:paraId="64AF3651" w14:textId="77777777" w:rsidR="00C02A64" w:rsidRDefault="00C02A64" w:rsidP="00C02A64">
      <w:pPr>
        <w:rPr>
          <w:rFonts w:ascii="Times New Roman" w:hAnsi="Times New Roman"/>
          <w:sz w:val="24"/>
          <w:szCs w:val="24"/>
        </w:rPr>
      </w:pPr>
      <w:r>
        <w:rPr>
          <w:rFonts w:ascii="Times New Roman" w:hAnsi="Times New Roman"/>
          <w:sz w:val="24"/>
          <w:szCs w:val="24"/>
        </w:rPr>
        <w:t xml:space="preserve">On Nov. 6, 2023, in </w:t>
      </w:r>
      <w:r w:rsidRPr="00DA7B1E">
        <w:rPr>
          <w:rFonts w:ascii="Times New Roman" w:hAnsi="Times New Roman"/>
          <w:sz w:val="24"/>
          <w:szCs w:val="24"/>
          <w:u w:val="single"/>
        </w:rPr>
        <w:t>Justin L. Sutton, as Personal Representative of the Estate of Hartwell Lanier King, Sr. and Betty K. Sutton v. Rockingham County, et al</w:t>
      </w:r>
      <w:r>
        <w:rPr>
          <w:rFonts w:ascii="Times New Roman" w:hAnsi="Times New Roman"/>
          <w:sz w:val="24"/>
          <w:szCs w:val="24"/>
        </w:rPr>
        <w:t xml:space="preserve">., U.S. District Court Judge Loretta C. Briggs, U.S. District Court for the Middle District of North Carolina, granted the defendants motion for summary judgment.  The EMS followed the protocol, conducted several “capacity assessments” of the patient and found him to be capable of making his own decision about transport.  The daughter’s Power of Attorney could not overrule the patient’s decision. </w:t>
      </w:r>
      <w:hyperlink r:id="rId2205" w:history="1">
        <w:r w:rsidRPr="009F1DF3">
          <w:rPr>
            <w:rStyle w:val="Hyperlink"/>
            <w:rFonts w:ascii="Times New Roman" w:hAnsi="Times New Roman"/>
            <w:sz w:val="24"/>
            <w:szCs w:val="24"/>
          </w:rPr>
          <w:t>https://casetext.com/case/sutton-v-rockingham-cnty-1</w:t>
        </w:r>
      </w:hyperlink>
      <w:r>
        <w:rPr>
          <w:rStyle w:val="Hyperlink"/>
          <w:rFonts w:ascii="Times New Roman" w:hAnsi="Times New Roman"/>
          <w:sz w:val="24"/>
          <w:szCs w:val="24"/>
        </w:rPr>
        <w:t xml:space="preserve"> </w:t>
      </w:r>
    </w:p>
    <w:p w14:paraId="327D5B11" w14:textId="77777777" w:rsidR="0042334A" w:rsidRDefault="0042334A" w:rsidP="0042334A">
      <w:pPr>
        <w:rPr>
          <w:rFonts w:ascii="Times New Roman" w:hAnsi="Times New Roman"/>
          <w:b/>
          <w:bCs/>
          <w:sz w:val="24"/>
          <w:szCs w:val="24"/>
        </w:rPr>
      </w:pPr>
      <w:r w:rsidRPr="005F2AA0">
        <w:rPr>
          <w:rFonts w:ascii="Times New Roman" w:hAnsi="Times New Roman"/>
          <w:b/>
          <w:bCs/>
          <w:sz w:val="24"/>
          <w:szCs w:val="24"/>
        </w:rPr>
        <w:t>Legal Lesson Learned:</w:t>
      </w:r>
      <w:r>
        <w:rPr>
          <w:rFonts w:ascii="Times New Roman" w:hAnsi="Times New Roman"/>
          <w:b/>
          <w:bCs/>
          <w:sz w:val="24"/>
          <w:szCs w:val="24"/>
        </w:rPr>
        <w:t xml:space="preserve"> The EMS personnel followed their protocol and properly declined the daughter’s Power of Attorney.</w:t>
      </w:r>
    </w:p>
    <w:p w14:paraId="7816ADAF" w14:textId="77777777" w:rsidR="00C02A64" w:rsidRDefault="00C02A64" w:rsidP="00A126EB">
      <w:pPr>
        <w:rPr>
          <w:rFonts w:ascii="Arial Black" w:hAnsi="Arial Black"/>
          <w:b/>
          <w:bCs/>
          <w:sz w:val="28"/>
          <w:szCs w:val="28"/>
        </w:rPr>
      </w:pPr>
    </w:p>
    <w:p w14:paraId="422D1673" w14:textId="321E2FB3" w:rsidR="002410DA" w:rsidRPr="002410DA" w:rsidRDefault="002410DA" w:rsidP="00A126EB">
      <w:pPr>
        <w:pStyle w:val="NormalWeb"/>
        <w:rPr>
          <w:b/>
          <w:bCs/>
        </w:rPr>
      </w:pPr>
    </w:p>
    <w:p w14:paraId="25BA5E5B" w14:textId="77777777" w:rsidR="002D6690" w:rsidRDefault="002D6690" w:rsidP="006A02A4">
      <w:pPr>
        <w:rPr>
          <w:rFonts w:ascii="Arial Black" w:hAnsi="Arial Black"/>
          <w:b/>
          <w:bCs/>
          <w:sz w:val="28"/>
          <w:szCs w:val="28"/>
        </w:rPr>
      </w:pPr>
    </w:p>
    <w:p w14:paraId="7FFCC54D" w14:textId="3ABAA78B" w:rsidR="00832745" w:rsidRDefault="00832745" w:rsidP="006A02A4">
      <w:pPr>
        <w:rPr>
          <w:rFonts w:ascii="Arial Black" w:hAnsi="Arial Black"/>
          <w:b/>
          <w:bCs/>
          <w:sz w:val="28"/>
          <w:szCs w:val="28"/>
        </w:rPr>
      </w:pPr>
      <w:r>
        <w:rPr>
          <w:rFonts w:ascii="Arial Black" w:hAnsi="Arial Black"/>
          <w:b/>
          <w:bCs/>
          <w:sz w:val="28"/>
          <w:szCs w:val="28"/>
        </w:rPr>
        <w:t>13-157</w:t>
      </w:r>
    </w:p>
    <w:p w14:paraId="0B17FF35" w14:textId="77777777" w:rsidR="00832745" w:rsidRDefault="00832745" w:rsidP="00832745">
      <w:pPr>
        <w:pStyle w:val="paragraph"/>
        <w:rPr>
          <w:rFonts w:ascii="Arial Black" w:hAnsi="Arial Black"/>
          <w:sz w:val="28"/>
          <w:szCs w:val="28"/>
        </w:rPr>
      </w:pPr>
      <w:r>
        <w:rPr>
          <w:rFonts w:ascii="Arial Black" w:hAnsi="Arial Black"/>
          <w:sz w:val="28"/>
          <w:szCs w:val="28"/>
        </w:rPr>
        <w:t>KY: JAIL NURSE / GUARDS - “DELIBERATELY INDIFFERENT” INMATE OVERDOSING METH – DIED – NO QUAL. IMMUNITY</w:t>
      </w:r>
    </w:p>
    <w:p w14:paraId="32A63872" w14:textId="77777777" w:rsidR="00832745" w:rsidRDefault="00832745" w:rsidP="00832745">
      <w:pPr>
        <w:pStyle w:val="paragraph"/>
      </w:pPr>
      <w:r>
        <w:lastRenderedPageBreak/>
        <w:t xml:space="preserve">On Oct. 26, 2023, </w:t>
      </w:r>
      <w:r w:rsidRPr="003268E4">
        <w:rPr>
          <w:u w:val="single"/>
        </w:rPr>
        <w:t>in Luanna Grote, Administrator of the Estate of Bradley Grote v. Kenton County, et al.</w:t>
      </w:r>
      <w:r>
        <w:t>, the U.S. Court of Appeals for 6</w:t>
      </w:r>
      <w:r w:rsidRPr="003268E4">
        <w:rPr>
          <w:vertAlign w:val="superscript"/>
        </w:rPr>
        <w:t>th</w:t>
      </w:r>
      <w:r>
        <w:t xml:space="preserve"> Circuit (Cincinnati) held (3 to 0) that trial court improperly granted defense motion for summary judgment.  Bradley Grote died of acute methamphetamine intoxication three days after his arrest and detention at the Kenton County Detention Center in Covington, Kentucky. The Court held: “Although Grote was visibly in distress when put in a booking cell at the jail, the jail’s [nurse] failed to render any treatment at all or seek further medical attention from a doctor on call or emergency medical services. Grote’s case exposes myriad failures by county and jail officials, including a lack of basic knowledge concerning overdoses and how to respond to them. Under the facts of this case, we hold that a jury could find that the medical provider was deliberately indifferent to Grote’s need for medical attention, but not that the jail deputies acted unconstitutionally.” </w:t>
      </w:r>
      <w:hyperlink r:id="rId2206" w:history="1">
        <w:r w:rsidRPr="0097451D">
          <w:rPr>
            <w:rStyle w:val="Hyperlink"/>
            <w:rFonts w:eastAsiaTheme="majorEastAsia"/>
          </w:rPr>
          <w:t>https://www.opn.ca6.uscourts.gov/opinions.pdf/23a0237p-06.pdf</w:t>
        </w:r>
      </w:hyperlink>
      <w:r>
        <w:t xml:space="preserve"> </w:t>
      </w:r>
    </w:p>
    <w:p w14:paraId="345587A9" w14:textId="77777777" w:rsidR="00832745" w:rsidRPr="00445048" w:rsidRDefault="00832745" w:rsidP="00832745">
      <w:pPr>
        <w:pStyle w:val="paragraph"/>
        <w:rPr>
          <w:b/>
          <w:bCs/>
        </w:rPr>
      </w:pPr>
      <w:r w:rsidRPr="00445048">
        <w:rPr>
          <w:b/>
          <w:bCs/>
        </w:rPr>
        <w:t xml:space="preserve">Legal Lesson Learned: </w:t>
      </w:r>
      <w:r>
        <w:rPr>
          <w:b/>
          <w:bCs/>
        </w:rPr>
        <w:t xml:space="preserve">Failure to take full set of vitals is example of “deliberately indifferent” to the inmate’s immediate need for medical attention. </w:t>
      </w:r>
    </w:p>
    <w:p w14:paraId="6D3D12A0" w14:textId="77777777" w:rsidR="00832745" w:rsidRDefault="00832745" w:rsidP="006A02A4">
      <w:pPr>
        <w:rPr>
          <w:rFonts w:ascii="Arial Black" w:hAnsi="Arial Black"/>
          <w:b/>
          <w:bCs/>
          <w:sz w:val="28"/>
          <w:szCs w:val="28"/>
        </w:rPr>
      </w:pPr>
    </w:p>
    <w:p w14:paraId="2C8F889D" w14:textId="67DB9056" w:rsidR="00832745" w:rsidRDefault="00832745" w:rsidP="006A02A4">
      <w:pPr>
        <w:rPr>
          <w:rFonts w:ascii="Arial Black" w:hAnsi="Arial Black"/>
          <w:b/>
          <w:bCs/>
          <w:sz w:val="28"/>
          <w:szCs w:val="28"/>
        </w:rPr>
      </w:pPr>
      <w:r>
        <w:rPr>
          <w:rFonts w:ascii="Arial Black" w:hAnsi="Arial Black"/>
          <w:b/>
          <w:bCs/>
          <w:sz w:val="28"/>
          <w:szCs w:val="28"/>
        </w:rPr>
        <w:t>13-156</w:t>
      </w:r>
    </w:p>
    <w:p w14:paraId="102859EC" w14:textId="77777777" w:rsidR="00832745" w:rsidRDefault="00832745" w:rsidP="00832745">
      <w:pPr>
        <w:pStyle w:val="NormalWeb"/>
        <w:rPr>
          <w:rFonts w:ascii="Arial Black" w:hAnsi="Arial Black"/>
          <w:sz w:val="28"/>
          <w:szCs w:val="28"/>
        </w:rPr>
      </w:pPr>
      <w:r>
        <w:rPr>
          <w:rFonts w:ascii="Arial Black" w:hAnsi="Arial Black"/>
          <w:sz w:val="28"/>
          <w:szCs w:val="28"/>
        </w:rPr>
        <w:t>KY: ALLERGIC REACTION SHELLFISH – 911 SENT EMS TO RESTAURANT BUT NOT HIS VEHICLE – DIED – NO LIABILITY</w:t>
      </w:r>
    </w:p>
    <w:p w14:paraId="770E7A5D" w14:textId="77777777" w:rsidR="00832745" w:rsidRDefault="00832745" w:rsidP="00832745">
      <w:pPr>
        <w:pStyle w:val="NormalWeb"/>
      </w:pPr>
      <w:r>
        <w:t xml:space="preserve">On Oct. 13, 2023, in </w:t>
      </w:r>
      <w:r>
        <w:rPr>
          <w:u w:val="single"/>
        </w:rPr>
        <w:t>Carrie Johnson, individually and as Administratrix of the estate of Denver Stephen Johnson v. Dawn Henry, et al</w:t>
      </w:r>
      <w:r>
        <w:t xml:space="preserve">., the Commonwealth of Kentucky Court of Appeals, held (3 to 0; unpublished) that the dispatcher cannot be held liable under the “Public Duty Doctrine.” The Court held: “Henry did nothing beyond her responsibility as a 911 operator that would create a special relationship with Mr. Johnson. She answered the 911 call and sent help, as she would for any other citizen. She also did not create a connection with Mr. Johnson and repeatedly </w:t>
      </w:r>
      <w:proofErr w:type="gramStart"/>
      <w:r>
        <w:t>foster</w:t>
      </w:r>
      <w:proofErr w:type="gramEnd"/>
      <w:r>
        <w:t xml:space="preserve"> the continuation of that relationship, like the officers in Gaither. Simply put, the Estate has not shown Henry owed any special duty to Mr. Johnson, beyond the duty owed by a 911 operator to the public at large. Without a special relationship, Henry owed no duty to protect Mr. Johnson from harm or accident. While Mr. Johnson’s death is tragic, Henry cannot be held liable under the public duty doctrine. *** It is not enough to allege ineptitude, even shameful and inexcusable ineptitude, by a municipal agency in failing to respond adequately to a call for help. To give rise to a special relationship, the agency’s response to the private party must in some demonstrable way exceed the response generally made to other members of the public.”); Koher v. Dial, 653 N.E.2d 524, 526 (Ind. Ct. App. 1995) (‘Standing alone, a governmental entity’s dispatch of emergency services does not create a private duty.’) </w:t>
      </w:r>
      <w:hyperlink r:id="rId2207" w:history="1">
        <w:r>
          <w:rPr>
            <w:rStyle w:val="Hyperlink"/>
          </w:rPr>
          <w:t>https://cases.justia.com/kentucky/court-of-appeals/2023-2022-ca-1113-mr.pdf?ts=1697205894</w:t>
        </w:r>
      </w:hyperlink>
      <w:r>
        <w:t xml:space="preserve"> </w:t>
      </w:r>
    </w:p>
    <w:p w14:paraId="4FE21997" w14:textId="77777777" w:rsidR="00832745" w:rsidRDefault="00832745" w:rsidP="00832745">
      <w:pPr>
        <w:pStyle w:val="NormalWeb"/>
        <w:rPr>
          <w:b/>
          <w:bCs/>
        </w:rPr>
      </w:pPr>
      <w:r>
        <w:rPr>
          <w:b/>
          <w:bCs/>
        </w:rPr>
        <w:t xml:space="preserve">Legal Lesson Learned: The Public Duty Doctrine protects dispatchers, and their employers, from liability. </w:t>
      </w:r>
    </w:p>
    <w:p w14:paraId="7150E088" w14:textId="77777777" w:rsidR="00832745" w:rsidRDefault="00832745" w:rsidP="006A02A4">
      <w:pPr>
        <w:rPr>
          <w:rFonts w:ascii="Arial Black" w:hAnsi="Arial Black"/>
          <w:b/>
          <w:bCs/>
          <w:sz w:val="28"/>
          <w:szCs w:val="28"/>
        </w:rPr>
      </w:pPr>
    </w:p>
    <w:p w14:paraId="35937190" w14:textId="77777777" w:rsidR="00832745" w:rsidRDefault="00832745" w:rsidP="006A02A4">
      <w:pPr>
        <w:rPr>
          <w:rFonts w:ascii="Arial Black" w:hAnsi="Arial Black"/>
          <w:b/>
          <w:bCs/>
          <w:sz w:val="28"/>
          <w:szCs w:val="28"/>
        </w:rPr>
      </w:pPr>
    </w:p>
    <w:p w14:paraId="7676E372" w14:textId="1F2A15B5" w:rsidR="00AC3E10" w:rsidRDefault="00AC3E10" w:rsidP="006A02A4">
      <w:pPr>
        <w:rPr>
          <w:rFonts w:ascii="Arial Black" w:hAnsi="Arial Black"/>
          <w:b/>
          <w:bCs/>
          <w:sz w:val="28"/>
          <w:szCs w:val="28"/>
        </w:rPr>
      </w:pPr>
      <w:r>
        <w:rPr>
          <w:rFonts w:ascii="Arial Black" w:hAnsi="Arial Black"/>
          <w:b/>
          <w:bCs/>
          <w:sz w:val="28"/>
          <w:szCs w:val="28"/>
        </w:rPr>
        <w:t>13-15</w:t>
      </w:r>
      <w:r w:rsidR="008F7EBA">
        <w:rPr>
          <w:rFonts w:ascii="Arial Black" w:hAnsi="Arial Black"/>
          <w:b/>
          <w:bCs/>
          <w:sz w:val="28"/>
          <w:szCs w:val="28"/>
        </w:rPr>
        <w:t>5</w:t>
      </w:r>
    </w:p>
    <w:p w14:paraId="4734A7E5" w14:textId="77777777" w:rsidR="00AC3E10" w:rsidRPr="00D41A7C" w:rsidRDefault="00AC3E10" w:rsidP="00AC3E10">
      <w:pPr>
        <w:pStyle w:val="NoSpacing"/>
        <w:rPr>
          <w:rFonts w:ascii="Arial Black" w:hAnsi="Arial Black"/>
          <w:b/>
          <w:bCs/>
          <w:sz w:val="28"/>
          <w:szCs w:val="28"/>
        </w:rPr>
      </w:pPr>
      <w:r>
        <w:rPr>
          <w:rFonts w:ascii="Arial Black" w:hAnsi="Arial Black"/>
          <w:b/>
          <w:bCs/>
          <w:sz w:val="28"/>
          <w:szCs w:val="28"/>
        </w:rPr>
        <w:t>OH: EMS TREATING HEAD INJURY OF DRUNK FEMALE – SHE RESISTED ARREST DRUNK BOYFRIEND – PATIENT CONV.</w:t>
      </w:r>
    </w:p>
    <w:p w14:paraId="4A19D415" w14:textId="77777777" w:rsidR="00AC3E10" w:rsidRPr="00E460C5" w:rsidRDefault="00AC3E10" w:rsidP="00AC3E10">
      <w:pPr>
        <w:pStyle w:val="NoSpacing"/>
        <w:rPr>
          <w:rFonts w:ascii="Times New Roman" w:hAnsi="Times New Roman"/>
          <w:sz w:val="24"/>
          <w:szCs w:val="24"/>
        </w:rPr>
      </w:pPr>
    </w:p>
    <w:p w14:paraId="5BEA05F0" w14:textId="77777777" w:rsidR="00AC3E10" w:rsidRDefault="00AC3E10" w:rsidP="00AC3E10">
      <w:pPr>
        <w:pStyle w:val="NoSpacing"/>
        <w:rPr>
          <w:rFonts w:ascii="Times New Roman" w:hAnsi="Times New Roman"/>
          <w:sz w:val="24"/>
          <w:szCs w:val="24"/>
        </w:rPr>
      </w:pPr>
      <w:r>
        <w:rPr>
          <w:rFonts w:ascii="Times New Roman" w:hAnsi="Times New Roman"/>
          <w:sz w:val="24"/>
          <w:szCs w:val="24"/>
        </w:rPr>
        <w:t xml:space="preserve">On Sept. 25, 2023, in </w:t>
      </w:r>
      <w:r w:rsidRPr="008B3A9C">
        <w:rPr>
          <w:rFonts w:ascii="Times New Roman" w:hAnsi="Times New Roman"/>
          <w:sz w:val="24"/>
          <w:szCs w:val="24"/>
          <w:u w:val="single"/>
        </w:rPr>
        <w:t>State of Ohio v. Veronica Sepulveda</w:t>
      </w:r>
      <w:r>
        <w:rPr>
          <w:rFonts w:ascii="Times New Roman" w:hAnsi="Times New Roman"/>
          <w:sz w:val="24"/>
          <w:szCs w:val="24"/>
        </w:rPr>
        <w:t xml:space="preserve">, the Court of Appeals of Ohio, Third Appellate District, Auglaize County, held (3 to 0) that jury properly found her guilty of Resisting Arrest (sentenced 30 days in jail); jury found her not guilty of </w:t>
      </w:r>
      <w:r w:rsidRPr="008B3A9C">
        <w:rPr>
          <w:rFonts w:ascii="Times New Roman" w:hAnsi="Times New Roman"/>
          <w:sz w:val="24"/>
          <w:szCs w:val="24"/>
        </w:rPr>
        <w:t>Obstructing Official Business.</w:t>
      </w:r>
      <w:r>
        <w:rPr>
          <w:rFonts w:ascii="Times New Roman" w:hAnsi="Times New Roman"/>
          <w:sz w:val="24"/>
          <w:szCs w:val="24"/>
        </w:rPr>
        <w:t xml:space="preserve">  Police officer told boyfriend to allow medics to treat her; when he refused, she interfered with arrest of her boyfriend. </w:t>
      </w:r>
    </w:p>
    <w:p w14:paraId="3BF2C000" w14:textId="77777777" w:rsidR="00AC3E10" w:rsidRDefault="00AC3E10" w:rsidP="00AC3E10">
      <w:pPr>
        <w:pStyle w:val="NoSpacing"/>
        <w:rPr>
          <w:rFonts w:ascii="Times New Roman" w:hAnsi="Times New Roman"/>
          <w:sz w:val="24"/>
          <w:szCs w:val="24"/>
        </w:rPr>
      </w:pPr>
    </w:p>
    <w:p w14:paraId="6ABC847B" w14:textId="77777777" w:rsidR="00AC3E10" w:rsidRDefault="00AC3E10" w:rsidP="00AC3E10">
      <w:pPr>
        <w:pStyle w:val="NoSpacing"/>
        <w:ind w:left="720"/>
        <w:rPr>
          <w:rFonts w:ascii="Times New Roman" w:hAnsi="Times New Roman"/>
          <w:sz w:val="24"/>
          <w:szCs w:val="24"/>
        </w:rPr>
      </w:pPr>
      <w:r>
        <w:rPr>
          <w:rFonts w:ascii="Times New Roman" w:hAnsi="Times New Roman"/>
          <w:sz w:val="24"/>
          <w:szCs w:val="24"/>
        </w:rPr>
        <w:t>“</w:t>
      </w:r>
      <w:r w:rsidRPr="00DA08AA">
        <w:rPr>
          <w:rFonts w:ascii="Times New Roman" w:hAnsi="Times New Roman"/>
          <w:sz w:val="24"/>
          <w:szCs w:val="24"/>
        </w:rPr>
        <w:t>Sepulveda was convicted of Resisting Arrest in violation of R.C.</w:t>
      </w:r>
      <w:r>
        <w:rPr>
          <w:rFonts w:ascii="Times New Roman" w:hAnsi="Times New Roman"/>
          <w:sz w:val="24"/>
          <w:szCs w:val="24"/>
        </w:rPr>
        <w:t xml:space="preserve"> </w:t>
      </w:r>
      <w:r w:rsidRPr="00DA08AA">
        <w:rPr>
          <w:rFonts w:ascii="Times New Roman" w:hAnsi="Times New Roman"/>
          <w:sz w:val="24"/>
          <w:szCs w:val="24"/>
        </w:rPr>
        <w:t xml:space="preserve">2921.33(A), which reads, </w:t>
      </w:r>
      <w:r>
        <w:rPr>
          <w:rFonts w:ascii="Times New Roman" w:hAnsi="Times New Roman"/>
          <w:sz w:val="24"/>
          <w:szCs w:val="24"/>
        </w:rPr>
        <w:t>‘</w:t>
      </w:r>
      <w:r w:rsidRPr="00DA08AA">
        <w:rPr>
          <w:rFonts w:ascii="Times New Roman" w:hAnsi="Times New Roman"/>
          <w:sz w:val="24"/>
          <w:szCs w:val="24"/>
        </w:rPr>
        <w:t>No person, recklessly or by force, shall resist or interfere</w:t>
      </w:r>
      <w:r>
        <w:rPr>
          <w:rFonts w:ascii="Times New Roman" w:hAnsi="Times New Roman"/>
          <w:sz w:val="24"/>
          <w:szCs w:val="24"/>
        </w:rPr>
        <w:t xml:space="preserve"> </w:t>
      </w:r>
      <w:r w:rsidRPr="00DA08AA">
        <w:rPr>
          <w:rFonts w:ascii="Times New Roman" w:hAnsi="Times New Roman"/>
          <w:sz w:val="24"/>
          <w:szCs w:val="24"/>
        </w:rPr>
        <w:t>with a lawful arrest of the person or another.</w:t>
      </w:r>
      <w:r>
        <w:rPr>
          <w:rFonts w:ascii="Times New Roman" w:hAnsi="Times New Roman"/>
          <w:sz w:val="24"/>
          <w:szCs w:val="24"/>
        </w:rPr>
        <w:t>’</w:t>
      </w:r>
    </w:p>
    <w:p w14:paraId="5D3363A2" w14:textId="77777777" w:rsidR="00AC3E10" w:rsidRDefault="00AC3E10" w:rsidP="00AC3E10">
      <w:pPr>
        <w:pStyle w:val="NoSpacing"/>
        <w:ind w:left="720"/>
        <w:rPr>
          <w:rFonts w:ascii="Times New Roman" w:hAnsi="Times New Roman"/>
          <w:sz w:val="24"/>
          <w:szCs w:val="24"/>
        </w:rPr>
      </w:pPr>
    </w:p>
    <w:p w14:paraId="17822ED9" w14:textId="77777777" w:rsidR="00AC3E10" w:rsidRPr="00E460C5" w:rsidRDefault="00AC3E10" w:rsidP="00AC3E10">
      <w:pPr>
        <w:pStyle w:val="NoSpacing"/>
        <w:ind w:left="720"/>
        <w:rPr>
          <w:rFonts w:ascii="Times New Roman" w:hAnsi="Times New Roman"/>
          <w:sz w:val="24"/>
          <w:szCs w:val="24"/>
        </w:rPr>
      </w:pPr>
      <w:r>
        <w:rPr>
          <w:rFonts w:ascii="Times New Roman" w:hAnsi="Times New Roman"/>
          <w:sz w:val="24"/>
          <w:szCs w:val="24"/>
        </w:rPr>
        <w:t>[W]</w:t>
      </w:r>
      <w:proofErr w:type="spellStart"/>
      <w:r w:rsidRPr="00D16E8F">
        <w:rPr>
          <w:rFonts w:ascii="Times New Roman" w:hAnsi="Times New Roman"/>
          <w:sz w:val="24"/>
          <w:szCs w:val="24"/>
        </w:rPr>
        <w:t>hile</w:t>
      </w:r>
      <w:proofErr w:type="spellEnd"/>
      <w:r w:rsidRPr="00D16E8F">
        <w:rPr>
          <w:rFonts w:ascii="Times New Roman" w:hAnsi="Times New Roman"/>
          <w:sz w:val="24"/>
          <w:szCs w:val="24"/>
        </w:rPr>
        <w:t xml:space="preserve"> Sepulveda may have encouraged </w:t>
      </w:r>
      <w:r>
        <w:rPr>
          <w:rFonts w:ascii="Times New Roman" w:hAnsi="Times New Roman"/>
          <w:sz w:val="24"/>
          <w:szCs w:val="24"/>
        </w:rPr>
        <w:t xml:space="preserve">[her boyfriend, Tyler] </w:t>
      </w:r>
      <w:r w:rsidRPr="00D16E8F">
        <w:rPr>
          <w:rFonts w:ascii="Times New Roman" w:hAnsi="Times New Roman"/>
          <w:sz w:val="24"/>
          <w:szCs w:val="24"/>
        </w:rPr>
        <w:t>Dunlap to comply</w:t>
      </w:r>
      <w:r>
        <w:rPr>
          <w:rFonts w:ascii="Times New Roman" w:hAnsi="Times New Roman"/>
          <w:sz w:val="24"/>
          <w:szCs w:val="24"/>
        </w:rPr>
        <w:t xml:space="preserve"> </w:t>
      </w:r>
      <w:r w:rsidRPr="00D16E8F">
        <w:rPr>
          <w:rFonts w:ascii="Times New Roman" w:hAnsi="Times New Roman"/>
          <w:sz w:val="24"/>
          <w:szCs w:val="24"/>
        </w:rPr>
        <w:t>with Lt. Place’s orders when Dunlap refused to move away from Sepulveda on the</w:t>
      </w:r>
      <w:r>
        <w:rPr>
          <w:rFonts w:ascii="Times New Roman" w:hAnsi="Times New Roman"/>
          <w:sz w:val="24"/>
          <w:szCs w:val="24"/>
        </w:rPr>
        <w:t xml:space="preserve"> </w:t>
      </w:r>
      <w:r w:rsidRPr="00D16E8F">
        <w:rPr>
          <w:rFonts w:ascii="Times New Roman" w:hAnsi="Times New Roman"/>
          <w:sz w:val="24"/>
          <w:szCs w:val="24"/>
        </w:rPr>
        <w:t>ground, this did not stop Sepulveda from getting between Dunlap and Lt. Place</w:t>
      </w:r>
      <w:r>
        <w:rPr>
          <w:rFonts w:ascii="Times New Roman" w:hAnsi="Times New Roman"/>
          <w:sz w:val="24"/>
          <w:szCs w:val="24"/>
        </w:rPr>
        <w:t xml:space="preserve"> </w:t>
      </w:r>
      <w:r w:rsidRPr="00D16E8F">
        <w:rPr>
          <w:rFonts w:ascii="Times New Roman" w:hAnsi="Times New Roman"/>
          <w:sz w:val="24"/>
          <w:szCs w:val="24"/>
        </w:rPr>
        <w:t>when the arrest was taking place shortly thereafter. Sepulveda’s action in getting</w:t>
      </w:r>
      <w:r>
        <w:rPr>
          <w:rFonts w:ascii="Times New Roman" w:hAnsi="Times New Roman"/>
          <w:sz w:val="24"/>
          <w:szCs w:val="24"/>
        </w:rPr>
        <w:t xml:space="preserve"> </w:t>
      </w:r>
      <w:r w:rsidRPr="00D16E8F">
        <w:rPr>
          <w:rFonts w:ascii="Times New Roman" w:hAnsi="Times New Roman"/>
          <w:sz w:val="24"/>
          <w:szCs w:val="24"/>
        </w:rPr>
        <w:t>between Lt. Place and Dunlap, combined with her action moving Lt. Place’s Taser,</w:t>
      </w:r>
      <w:r>
        <w:rPr>
          <w:rFonts w:ascii="Times New Roman" w:hAnsi="Times New Roman"/>
          <w:sz w:val="24"/>
          <w:szCs w:val="24"/>
        </w:rPr>
        <w:t xml:space="preserve"> </w:t>
      </w:r>
      <w:r w:rsidRPr="00D16E8F">
        <w:rPr>
          <w:rFonts w:ascii="Times New Roman" w:hAnsi="Times New Roman"/>
          <w:sz w:val="24"/>
          <w:szCs w:val="24"/>
        </w:rPr>
        <w:t>led to her charges in this case.</w:t>
      </w:r>
      <w:r>
        <w:rPr>
          <w:rFonts w:ascii="Times New Roman" w:hAnsi="Times New Roman"/>
          <w:sz w:val="24"/>
          <w:szCs w:val="24"/>
        </w:rPr>
        <w:t xml:space="preserve">” </w:t>
      </w:r>
      <w:hyperlink r:id="rId2208" w:history="1">
        <w:r w:rsidRPr="00633022">
          <w:rPr>
            <w:rStyle w:val="Hyperlink"/>
            <w:rFonts w:ascii="Times New Roman" w:hAnsi="Times New Roman"/>
            <w:sz w:val="24"/>
            <w:szCs w:val="24"/>
          </w:rPr>
          <w:t>https://www.supremecourt.ohio.gov/rod/docs/pdf/3/2023/2023-Ohio-3429.pdf</w:t>
        </w:r>
      </w:hyperlink>
      <w:r>
        <w:rPr>
          <w:rFonts w:ascii="Times New Roman" w:hAnsi="Times New Roman"/>
          <w:sz w:val="24"/>
          <w:szCs w:val="24"/>
        </w:rPr>
        <w:t xml:space="preserve"> </w:t>
      </w:r>
    </w:p>
    <w:p w14:paraId="55E1510F" w14:textId="77777777" w:rsidR="00AC3E10" w:rsidRDefault="00AC3E10" w:rsidP="00AC3E10">
      <w:pPr>
        <w:pStyle w:val="NoSpacing"/>
        <w:rPr>
          <w:rFonts w:ascii="Times New Roman" w:hAnsi="Times New Roman"/>
          <w:b/>
          <w:bCs/>
          <w:sz w:val="24"/>
          <w:szCs w:val="24"/>
        </w:rPr>
      </w:pPr>
    </w:p>
    <w:p w14:paraId="0F02E092" w14:textId="7CB8BAC0" w:rsidR="00AC3E10" w:rsidRDefault="00AC3E10" w:rsidP="00AC3E10">
      <w:pPr>
        <w:pStyle w:val="NoSpacing"/>
        <w:rPr>
          <w:rFonts w:ascii="Times New Roman" w:hAnsi="Times New Roman"/>
          <w:b/>
          <w:bCs/>
          <w:sz w:val="24"/>
          <w:szCs w:val="24"/>
        </w:rPr>
      </w:pPr>
      <w:r w:rsidRPr="00A44D24">
        <w:rPr>
          <w:rFonts w:ascii="Times New Roman" w:hAnsi="Times New Roman"/>
          <w:b/>
          <w:bCs/>
          <w:sz w:val="24"/>
          <w:szCs w:val="24"/>
        </w:rPr>
        <w:t>Legal Lesson Learned:</w:t>
      </w:r>
      <w:r>
        <w:rPr>
          <w:rFonts w:ascii="Times New Roman" w:hAnsi="Times New Roman"/>
          <w:b/>
          <w:bCs/>
          <w:sz w:val="24"/>
          <w:szCs w:val="24"/>
        </w:rPr>
        <w:t xml:space="preserve"> Intoxicated patient, intoxicated boyfriend, injured police officer – 30 days in jail seems like a light sentence. </w:t>
      </w:r>
    </w:p>
    <w:p w14:paraId="29E166E2" w14:textId="77777777" w:rsidR="00AC3E10" w:rsidRDefault="00AC3E10" w:rsidP="006A02A4">
      <w:pPr>
        <w:rPr>
          <w:rFonts w:ascii="Arial Black" w:hAnsi="Arial Black"/>
          <w:b/>
          <w:bCs/>
          <w:sz w:val="28"/>
          <w:szCs w:val="28"/>
        </w:rPr>
      </w:pPr>
    </w:p>
    <w:p w14:paraId="0E25C8EE" w14:textId="4BF5E621" w:rsidR="00AC3E10" w:rsidRDefault="008F7EBA" w:rsidP="006A02A4">
      <w:pPr>
        <w:rPr>
          <w:rFonts w:ascii="Arial Black" w:hAnsi="Arial Black"/>
          <w:b/>
          <w:bCs/>
          <w:sz w:val="28"/>
          <w:szCs w:val="28"/>
        </w:rPr>
      </w:pPr>
      <w:r>
        <w:rPr>
          <w:rFonts w:ascii="Arial Black" w:hAnsi="Arial Black"/>
          <w:b/>
          <w:bCs/>
          <w:sz w:val="28"/>
          <w:szCs w:val="28"/>
        </w:rPr>
        <w:t>13-154</w:t>
      </w:r>
    </w:p>
    <w:p w14:paraId="3E33E6D2" w14:textId="338A5855" w:rsidR="008F7EBA" w:rsidRDefault="008F7EBA" w:rsidP="008F7EBA">
      <w:pPr>
        <w:pStyle w:val="NormalWeb"/>
        <w:rPr>
          <w:rFonts w:ascii="Arial Black" w:hAnsi="Arial Black"/>
          <w:b/>
          <w:bCs/>
          <w:sz w:val="28"/>
          <w:szCs w:val="28"/>
        </w:rPr>
      </w:pPr>
      <w:bookmarkStart w:id="435" w:name="_Hlk147080981"/>
      <w:r>
        <w:rPr>
          <w:rFonts w:ascii="Arial Black" w:hAnsi="Arial Black"/>
          <w:b/>
          <w:bCs/>
          <w:sz w:val="28"/>
          <w:szCs w:val="28"/>
        </w:rPr>
        <w:t>MI: POLICE – HANDCUFFED, FACE DOWN PRISONER – DIED ASPHYXIA – EMS IN 3 MIN - NO PD QUAL. IMMUNITY</w:t>
      </w:r>
    </w:p>
    <w:bookmarkEnd w:id="435"/>
    <w:p w14:paraId="682AD423" w14:textId="77777777" w:rsidR="008F7EBA" w:rsidRDefault="008F7EBA" w:rsidP="008F7EBA">
      <w:pPr>
        <w:pStyle w:val="NormalWeb"/>
      </w:pPr>
      <w:r w:rsidRPr="009B2552">
        <w:t xml:space="preserve">On </w:t>
      </w:r>
      <w:r>
        <w:t xml:space="preserve">Sept. 21, 2023, in Thomas E. </w:t>
      </w:r>
      <w:proofErr w:type="spellStart"/>
      <w:r>
        <w:t>Lunneen</w:t>
      </w:r>
      <w:proofErr w:type="spellEnd"/>
      <w:r>
        <w:t xml:space="preserve">, personal representative of the estate of </w:t>
      </w:r>
      <w:r w:rsidRPr="009B2552">
        <w:rPr>
          <w:u w:val="single"/>
        </w:rPr>
        <w:t xml:space="preserve">Jack C. </w:t>
      </w:r>
      <w:proofErr w:type="spellStart"/>
      <w:r w:rsidRPr="009B2552">
        <w:rPr>
          <w:u w:val="single"/>
        </w:rPr>
        <w:t>Lunneen</w:t>
      </w:r>
      <w:proofErr w:type="spellEnd"/>
      <w:r w:rsidRPr="009B2552">
        <w:rPr>
          <w:u w:val="single"/>
        </w:rPr>
        <w:t xml:space="preserve"> v. Village of Berrien Springs, Michigan, et al.</w:t>
      </w:r>
      <w:r>
        <w:t xml:space="preserve">, the U.S. Court of Appeals for the Sixth Circuit (Cincinnati) held (2 to 1) that the trial court judge properly denied qualified immunity to the arresting police officers and the village.  A jury will now decide if police </w:t>
      </w:r>
      <w:proofErr w:type="gramStart"/>
      <w:r>
        <w:t>used</w:t>
      </w:r>
      <w:proofErr w:type="gramEnd"/>
      <w:r>
        <w:t xml:space="preserve"> substantial force on the back of the handcuffed prisoner. EMS arrived three minutes after the arrest and will likely be called as witnesses for the plaintiff. </w:t>
      </w:r>
    </w:p>
    <w:p w14:paraId="7FAA2AAB" w14:textId="4E19385A" w:rsidR="008F7EBA" w:rsidRDefault="008F7EBA" w:rsidP="008F7EBA">
      <w:pPr>
        <w:ind w:left="720"/>
        <w:rPr>
          <w:rFonts w:ascii="Arial Black" w:hAnsi="Arial Black"/>
          <w:b/>
          <w:bCs/>
          <w:sz w:val="28"/>
          <w:szCs w:val="28"/>
        </w:rPr>
      </w:pPr>
      <w:r>
        <w:rPr>
          <w:rFonts w:ascii="Times New Roman" w:eastAsia="Times New Roman" w:hAnsi="Times New Roman"/>
          <w:sz w:val="24"/>
          <w:szCs w:val="24"/>
        </w:rPr>
        <w:t>“</w:t>
      </w:r>
      <w:r w:rsidRPr="00A35759">
        <w:rPr>
          <w:rFonts w:ascii="Times New Roman" w:eastAsia="Times New Roman" w:hAnsi="Times New Roman"/>
          <w:sz w:val="24"/>
          <w:szCs w:val="24"/>
        </w:rPr>
        <w:t>Wyss [</w:t>
      </w:r>
      <w:r w:rsidRPr="00A35759">
        <w:rPr>
          <w:rFonts w:ascii="Times New Roman" w:hAnsi="Times New Roman"/>
          <w:sz w:val="24"/>
          <w:szCs w:val="24"/>
        </w:rPr>
        <w:t xml:space="preserve">Officer James Wyss of the Village of Berrien Springs-Oronoko Township Police Department] </w:t>
      </w:r>
      <w:r w:rsidRPr="00A35759">
        <w:rPr>
          <w:rFonts w:ascii="Times New Roman" w:eastAsia="Times New Roman" w:hAnsi="Times New Roman"/>
          <w:sz w:val="24"/>
          <w:szCs w:val="24"/>
        </w:rPr>
        <w:t>argues</w:t>
      </w:r>
      <w:r w:rsidRPr="00646482">
        <w:rPr>
          <w:rFonts w:ascii="Times New Roman" w:eastAsia="Times New Roman" w:hAnsi="Times New Roman"/>
          <w:sz w:val="24"/>
          <w:szCs w:val="24"/>
        </w:rPr>
        <w:t xml:space="preserve"> that the district court erred because </w:t>
      </w:r>
      <w:r>
        <w:rPr>
          <w:rFonts w:ascii="Times New Roman" w:eastAsia="Times New Roman" w:hAnsi="Times New Roman"/>
          <w:sz w:val="24"/>
          <w:szCs w:val="24"/>
        </w:rPr>
        <w:t>‘</w:t>
      </w:r>
      <w:r w:rsidRPr="00646482">
        <w:rPr>
          <w:rFonts w:ascii="Times New Roman" w:eastAsia="Times New Roman" w:hAnsi="Times New Roman"/>
          <w:sz w:val="24"/>
          <w:szCs w:val="24"/>
        </w:rPr>
        <w:t xml:space="preserve">[t]here is nothing unreasonable and unconstitutional about </w:t>
      </w:r>
      <w:r w:rsidRPr="00646482">
        <w:rPr>
          <w:rFonts w:ascii="Times New Roman" w:eastAsia="Times New Roman" w:hAnsi="Times New Roman"/>
          <w:i/>
          <w:iCs/>
          <w:sz w:val="24"/>
          <w:szCs w:val="24"/>
        </w:rPr>
        <w:t>merely holding onto the handcuffs</w:t>
      </w:r>
      <w:r w:rsidRPr="00646482">
        <w:rPr>
          <w:rFonts w:ascii="Times New Roman" w:eastAsia="Times New Roman" w:hAnsi="Times New Roman"/>
          <w:sz w:val="24"/>
          <w:szCs w:val="24"/>
        </w:rPr>
        <w:t xml:space="preserve"> following the erratic behavior and extensive resistance displayed by </w:t>
      </w:r>
      <w:proofErr w:type="spellStart"/>
      <w:r w:rsidRPr="00646482">
        <w:rPr>
          <w:rFonts w:ascii="Times New Roman" w:eastAsia="Times New Roman" w:hAnsi="Times New Roman"/>
          <w:sz w:val="24"/>
          <w:szCs w:val="24"/>
        </w:rPr>
        <w:t>Lunneen</w:t>
      </w:r>
      <w:proofErr w:type="spellEnd"/>
      <w:r w:rsidRPr="00646482">
        <w:rPr>
          <w:rFonts w:ascii="Times New Roman" w:eastAsia="Times New Roman" w:hAnsi="Times New Roman"/>
          <w:sz w:val="24"/>
          <w:szCs w:val="24"/>
        </w:rPr>
        <w:t xml:space="preserve"> before he was detained.</w:t>
      </w:r>
      <w:r>
        <w:rPr>
          <w:rFonts w:ascii="Times New Roman" w:eastAsia="Times New Roman" w:hAnsi="Times New Roman"/>
          <w:sz w:val="24"/>
          <w:szCs w:val="24"/>
        </w:rPr>
        <w:t>’</w:t>
      </w:r>
      <w:r w:rsidRPr="00646482">
        <w:rPr>
          <w:rFonts w:ascii="Times New Roman" w:eastAsia="Times New Roman" w:hAnsi="Times New Roman"/>
          <w:sz w:val="24"/>
          <w:szCs w:val="24"/>
        </w:rPr>
        <w:t xml:space="preserve"> Wyss Opening Br. at 33 (emphasis added). But Wyss's argument is based on his own version of the facts-that he was </w:t>
      </w:r>
      <w:r>
        <w:rPr>
          <w:rFonts w:ascii="Times New Roman" w:eastAsia="Times New Roman" w:hAnsi="Times New Roman"/>
          <w:sz w:val="24"/>
          <w:szCs w:val="24"/>
        </w:rPr>
        <w:t>‘</w:t>
      </w:r>
      <w:r w:rsidRPr="00646482">
        <w:rPr>
          <w:rFonts w:ascii="Times New Roman" w:eastAsia="Times New Roman" w:hAnsi="Times New Roman"/>
          <w:sz w:val="24"/>
          <w:szCs w:val="24"/>
        </w:rPr>
        <w:t>merely holding onto the handcuffs.</w:t>
      </w:r>
      <w:r>
        <w:rPr>
          <w:rFonts w:ascii="Times New Roman" w:eastAsia="Times New Roman" w:hAnsi="Times New Roman"/>
          <w:sz w:val="24"/>
          <w:szCs w:val="24"/>
        </w:rPr>
        <w:t>’</w:t>
      </w:r>
      <w:r w:rsidRPr="00646482">
        <w:rPr>
          <w:rFonts w:ascii="Times New Roman" w:eastAsia="Times New Roman" w:hAnsi="Times New Roman"/>
          <w:sz w:val="24"/>
          <w:szCs w:val="24"/>
        </w:rPr>
        <w:t xml:space="preserve"> The video footage does not indisputably demonstrate this; Wyss's hand often appears to be in contact with </w:t>
      </w:r>
      <w:proofErr w:type="spellStart"/>
      <w:r w:rsidRPr="00646482">
        <w:rPr>
          <w:rFonts w:ascii="Times New Roman" w:eastAsia="Times New Roman" w:hAnsi="Times New Roman"/>
          <w:sz w:val="24"/>
          <w:szCs w:val="24"/>
        </w:rPr>
        <w:t>Lunneen's</w:t>
      </w:r>
      <w:proofErr w:type="spellEnd"/>
      <w:r w:rsidRPr="00646482">
        <w:rPr>
          <w:rFonts w:ascii="Times New Roman" w:eastAsia="Times New Roman" w:hAnsi="Times New Roman"/>
          <w:sz w:val="24"/>
          <w:szCs w:val="24"/>
        </w:rPr>
        <w:t xml:space="preserve"> back during this time and the amount of pressure he applies is not clear. And, as discussed above, Plaintiff's expert opined that </w:t>
      </w:r>
      <w:proofErr w:type="spellStart"/>
      <w:r w:rsidRPr="00646482">
        <w:rPr>
          <w:rFonts w:ascii="Times New Roman" w:eastAsia="Times New Roman" w:hAnsi="Times New Roman"/>
          <w:sz w:val="24"/>
          <w:szCs w:val="24"/>
        </w:rPr>
        <w:t>Lunneen's</w:t>
      </w:r>
      <w:proofErr w:type="spellEnd"/>
      <w:r w:rsidRPr="00646482">
        <w:rPr>
          <w:rFonts w:ascii="Times New Roman" w:eastAsia="Times New Roman" w:hAnsi="Times New Roman"/>
          <w:sz w:val="24"/>
          <w:szCs w:val="24"/>
        </w:rPr>
        <w:t xml:space="preserve"> autopsy revealed </w:t>
      </w:r>
      <w:r>
        <w:rPr>
          <w:rFonts w:ascii="Times New Roman" w:eastAsia="Times New Roman" w:hAnsi="Times New Roman"/>
          <w:sz w:val="24"/>
          <w:szCs w:val="24"/>
        </w:rPr>
        <w:t>‘</w:t>
      </w:r>
      <w:r w:rsidRPr="00646482">
        <w:rPr>
          <w:rFonts w:ascii="Times New Roman" w:eastAsia="Times New Roman" w:hAnsi="Times New Roman"/>
          <w:sz w:val="24"/>
          <w:szCs w:val="24"/>
        </w:rPr>
        <w:t>large areas of hemorrhage in the soft tissues and deep muscles of the mid and lower back bilaterally, evidence of severe prone back pressure.</w:t>
      </w:r>
      <w:r>
        <w:rPr>
          <w:rFonts w:ascii="Times New Roman" w:eastAsia="Times New Roman" w:hAnsi="Times New Roman"/>
          <w:sz w:val="24"/>
          <w:szCs w:val="24"/>
        </w:rPr>
        <w:t>’</w:t>
      </w:r>
      <w:r w:rsidRPr="00646482">
        <w:rPr>
          <w:rFonts w:ascii="Times New Roman" w:eastAsia="Times New Roman" w:hAnsi="Times New Roman"/>
          <w:sz w:val="24"/>
          <w:szCs w:val="24"/>
        </w:rPr>
        <w:t xml:space="preserve"> R. 57-3, PID # 389; </w:t>
      </w:r>
      <w:r w:rsidRPr="00646482">
        <w:rPr>
          <w:rFonts w:ascii="Times New Roman" w:eastAsia="Times New Roman" w:hAnsi="Times New Roman"/>
          <w:i/>
          <w:iCs/>
          <w:sz w:val="24"/>
          <w:szCs w:val="24"/>
        </w:rPr>
        <w:t>see also</w:t>
      </w:r>
      <w:r w:rsidRPr="00646482">
        <w:rPr>
          <w:rFonts w:ascii="Times New Roman" w:eastAsia="Times New Roman" w:hAnsi="Times New Roman"/>
          <w:sz w:val="24"/>
          <w:szCs w:val="24"/>
        </w:rPr>
        <w:t xml:space="preserve"> R. 57-11 (report by Dr. </w:t>
      </w:r>
      <w:proofErr w:type="spellStart"/>
      <w:r w:rsidRPr="00646482">
        <w:rPr>
          <w:rFonts w:ascii="Times New Roman" w:eastAsia="Times New Roman" w:hAnsi="Times New Roman"/>
          <w:sz w:val="24"/>
          <w:szCs w:val="24"/>
        </w:rPr>
        <w:t>Wohlgelernter</w:t>
      </w:r>
      <w:proofErr w:type="spellEnd"/>
      <w:r w:rsidRPr="00646482">
        <w:rPr>
          <w:rFonts w:ascii="Times New Roman" w:eastAsia="Times New Roman" w:hAnsi="Times New Roman"/>
          <w:sz w:val="24"/>
          <w:szCs w:val="24"/>
        </w:rPr>
        <w:t xml:space="preserve">, who concluded that </w:t>
      </w:r>
      <w:proofErr w:type="spellStart"/>
      <w:r w:rsidRPr="00646482">
        <w:rPr>
          <w:rFonts w:ascii="Times New Roman" w:eastAsia="Times New Roman" w:hAnsi="Times New Roman"/>
          <w:sz w:val="24"/>
          <w:szCs w:val="24"/>
        </w:rPr>
        <w:t>Lunneen</w:t>
      </w:r>
      <w:proofErr w:type="spellEnd"/>
      <w:r w:rsidRPr="00646482">
        <w:rPr>
          <w:rFonts w:ascii="Times New Roman" w:eastAsia="Times New Roman" w:hAnsi="Times New Roman"/>
          <w:sz w:val="24"/>
          <w:szCs w:val="24"/>
        </w:rPr>
        <w:t xml:space="preserve"> died from </w:t>
      </w:r>
      <w:r>
        <w:rPr>
          <w:rFonts w:ascii="Times New Roman" w:eastAsia="Times New Roman" w:hAnsi="Times New Roman"/>
          <w:sz w:val="24"/>
          <w:szCs w:val="24"/>
        </w:rPr>
        <w:t>‘</w:t>
      </w:r>
      <w:r w:rsidRPr="00646482">
        <w:rPr>
          <w:rFonts w:ascii="Times New Roman" w:eastAsia="Times New Roman" w:hAnsi="Times New Roman"/>
          <w:sz w:val="24"/>
          <w:szCs w:val="24"/>
        </w:rPr>
        <w:t>restraint/compressive asphyxia with mechanical obstruction of respiration, secondary to compressive force applied to his torso by the police officers with resultant respiratory compromise and subsequent development of hypoxia/hypoxemia causing asystole and PEA cardiac arrest).</w:t>
      </w:r>
      <w:r>
        <w:rPr>
          <w:rFonts w:ascii="Times New Roman" w:eastAsia="Times New Roman" w:hAnsi="Times New Roman"/>
          <w:sz w:val="24"/>
          <w:szCs w:val="24"/>
        </w:rPr>
        <w:t xml:space="preserve">” </w:t>
      </w:r>
      <w:hyperlink r:id="rId2209" w:history="1">
        <w:r w:rsidRPr="00D01575">
          <w:rPr>
            <w:rStyle w:val="Hyperlink"/>
            <w:rFonts w:ascii="Times New Roman" w:eastAsia="Times New Roman" w:hAnsi="Times New Roman"/>
            <w:sz w:val="24"/>
            <w:szCs w:val="24"/>
          </w:rPr>
          <w:t>https://public.fastcase.com/ZZhmr5v9wN%2FXOe5IsQ%2FqDwASFNWp2rhZooTaAZ4JTmSP%2Ba577zfXOKFdhmxj2NNxZ%2BfUfh8HTXLnmAlto%2FfEgpJtIv6O1WLjBzQZiKVSV8A%3D?utm_medium=email&amp;_hsmi=226712652&amp;_hsenc=p2ANqtz-</w:t>
        </w:r>
        <w:r w:rsidRPr="00D01575">
          <w:rPr>
            <w:rStyle w:val="Hyperlink"/>
            <w:rFonts w:ascii="Times New Roman" w:eastAsia="Times New Roman" w:hAnsi="Times New Roman"/>
            <w:sz w:val="24"/>
            <w:szCs w:val="24"/>
          </w:rPr>
          <w:lastRenderedPageBreak/>
          <w:t>9KUYaeGFguXeYoSZu4M54zm4xcFhouQPplq1qZXjy7nqatE34VLjsx4SN3mygo2_n2CHhg7EjDYW1VqsMoJq110-zPJg&amp;utm_content=226712652&amp;utm_source=hs_email</w:t>
        </w:r>
      </w:hyperlink>
    </w:p>
    <w:p w14:paraId="39441514" w14:textId="77777777" w:rsidR="008F7EBA" w:rsidRPr="007C2BBC" w:rsidRDefault="008F7EBA" w:rsidP="008F7EBA">
      <w:pPr>
        <w:pStyle w:val="NormalWeb"/>
        <w:rPr>
          <w:b/>
          <w:bCs/>
        </w:rPr>
      </w:pPr>
      <w:r w:rsidRPr="007C2BBC">
        <w:rPr>
          <w:b/>
          <w:bCs/>
        </w:rPr>
        <w:t xml:space="preserve">Legal Lesson Learned: </w:t>
      </w:r>
      <w:r>
        <w:rPr>
          <w:b/>
          <w:bCs/>
        </w:rPr>
        <w:t xml:space="preserve">EMS who observe police holding face down a handcuffed prisoner can expect to testify if the prisoner dies or is seriously injured. </w:t>
      </w:r>
    </w:p>
    <w:p w14:paraId="6304ECCC" w14:textId="77777777" w:rsidR="00AC3E10" w:rsidRDefault="00AC3E10" w:rsidP="006A02A4">
      <w:pPr>
        <w:rPr>
          <w:rFonts w:ascii="Arial Black" w:hAnsi="Arial Black"/>
          <w:b/>
          <w:bCs/>
          <w:sz w:val="28"/>
          <w:szCs w:val="28"/>
        </w:rPr>
      </w:pPr>
    </w:p>
    <w:p w14:paraId="104E8460" w14:textId="77777777" w:rsidR="008F7EBA" w:rsidRDefault="008F7EBA" w:rsidP="006A02A4">
      <w:pPr>
        <w:rPr>
          <w:rFonts w:ascii="Arial Black" w:hAnsi="Arial Black"/>
          <w:b/>
          <w:bCs/>
          <w:sz w:val="28"/>
          <w:szCs w:val="28"/>
        </w:rPr>
      </w:pPr>
    </w:p>
    <w:p w14:paraId="6809C985" w14:textId="5A9A0D81" w:rsidR="00DA3CAA" w:rsidRDefault="00DA3CAA" w:rsidP="006A02A4">
      <w:pPr>
        <w:rPr>
          <w:rFonts w:ascii="Arial Black" w:hAnsi="Arial Black"/>
          <w:b/>
          <w:bCs/>
          <w:sz w:val="28"/>
          <w:szCs w:val="28"/>
        </w:rPr>
      </w:pPr>
      <w:r>
        <w:rPr>
          <w:rFonts w:ascii="Arial Black" w:hAnsi="Arial Black"/>
          <w:b/>
          <w:bCs/>
          <w:sz w:val="28"/>
          <w:szCs w:val="28"/>
        </w:rPr>
        <w:t>13-153</w:t>
      </w:r>
    </w:p>
    <w:p w14:paraId="6EA7B7A2" w14:textId="77777777" w:rsidR="00DA3CAA" w:rsidRDefault="00DA3CAA" w:rsidP="00DA3CAA">
      <w:pPr>
        <w:pStyle w:val="NormalWeb"/>
        <w:rPr>
          <w:rFonts w:ascii="Arial Black" w:hAnsi="Arial Black"/>
          <w:sz w:val="28"/>
          <w:szCs w:val="28"/>
        </w:rPr>
      </w:pPr>
      <w:r>
        <w:rPr>
          <w:rFonts w:ascii="Arial Black" w:hAnsi="Arial Black"/>
          <w:sz w:val="28"/>
          <w:szCs w:val="28"/>
        </w:rPr>
        <w:t>PA: DIZZINESS / LIFT ASSIST – DIDN’T BRING IN MONITOR – REFUSED TRANSPORT, CARDIAC ARREST – NO GROSS NEG.</w:t>
      </w:r>
    </w:p>
    <w:p w14:paraId="333CC0EE" w14:textId="77777777" w:rsidR="00DA3CAA" w:rsidRPr="00DA3CAA" w:rsidRDefault="00DA3CAA" w:rsidP="00DA3CAA">
      <w:pPr>
        <w:spacing w:after="100" w:line="240" w:lineRule="auto"/>
        <w:rPr>
          <w:rFonts w:ascii="Times New Roman" w:eastAsia="Times New Roman" w:hAnsi="Times New Roman"/>
          <w:sz w:val="24"/>
          <w:szCs w:val="24"/>
        </w:rPr>
      </w:pPr>
      <w:r w:rsidRPr="00DA3CAA">
        <w:rPr>
          <w:rFonts w:ascii="Times New Roman" w:hAnsi="Times New Roman"/>
          <w:sz w:val="24"/>
          <w:szCs w:val="24"/>
        </w:rPr>
        <w:t xml:space="preserve">On July 28, 2023, in </w:t>
      </w:r>
      <w:r w:rsidRPr="00DA3CAA">
        <w:rPr>
          <w:rFonts w:ascii="Times New Roman" w:hAnsi="Times New Roman"/>
          <w:sz w:val="24"/>
          <w:szCs w:val="24"/>
          <w:u w:val="single"/>
        </w:rPr>
        <w:t>Frederick T. Fry. Administrator of Estate of Jean Ann Fry v. Montrose Minute Men, Inc</w:t>
      </w:r>
      <w:r w:rsidRPr="00DA3CAA">
        <w:rPr>
          <w:rFonts w:ascii="Times New Roman" w:hAnsi="Times New Roman"/>
          <w:sz w:val="24"/>
          <w:szCs w:val="24"/>
        </w:rPr>
        <w:t>., the Superior Court of Pennsylvania, held (3 to 0; non-precedential decision) that the trial court properly granted EMS summary judgment.  There may have been negligence regarding not bringing in monitor, and subsequent actions at the scene (plaintiff’s two expert witness medical doctors submitted reports finding breaches of protocol), but there was no proof of gross negligence.  The expert witness for EMS, another medical doctor, in his report disagree and concluded, “T</w:t>
      </w:r>
      <w:r w:rsidRPr="00DA3CAA">
        <w:rPr>
          <w:rFonts w:ascii="Times New Roman" w:eastAsia="Times New Roman" w:hAnsi="Times New Roman"/>
          <w:sz w:val="24"/>
          <w:szCs w:val="24"/>
        </w:rPr>
        <w:t xml:space="preserve">he EMS providers on the scene responded admirably to a very difficult situation.” </w:t>
      </w:r>
    </w:p>
    <w:p w14:paraId="3CC246B3" w14:textId="77777777" w:rsidR="00DA3CAA" w:rsidRPr="00DA3CAA" w:rsidRDefault="00DA3CAA" w:rsidP="00DA3CAA">
      <w:pPr>
        <w:spacing w:after="100" w:line="240" w:lineRule="auto"/>
        <w:rPr>
          <w:rFonts w:ascii="Times New Roman" w:eastAsia="Times New Roman" w:hAnsi="Times New Roman"/>
          <w:sz w:val="24"/>
          <w:szCs w:val="24"/>
        </w:rPr>
      </w:pPr>
    </w:p>
    <w:p w14:paraId="041F0B83" w14:textId="77777777" w:rsidR="00DA3CAA" w:rsidRPr="00DA3CAA" w:rsidRDefault="00DA3CAA" w:rsidP="00DA3CAA">
      <w:pPr>
        <w:spacing w:after="100" w:line="240" w:lineRule="auto"/>
        <w:rPr>
          <w:rFonts w:ascii="Times New Roman" w:eastAsia="Times New Roman" w:hAnsi="Times New Roman"/>
          <w:sz w:val="24"/>
          <w:szCs w:val="24"/>
        </w:rPr>
      </w:pPr>
      <w:r w:rsidRPr="00DA3CAA">
        <w:rPr>
          <w:rFonts w:ascii="Times New Roman" w:eastAsia="Times New Roman" w:hAnsi="Times New Roman"/>
          <w:sz w:val="24"/>
          <w:szCs w:val="24"/>
        </w:rPr>
        <w:t xml:space="preserve">The Court held: </w:t>
      </w:r>
    </w:p>
    <w:p w14:paraId="360942D5" w14:textId="77777777" w:rsidR="00DA3CAA" w:rsidRPr="00DA3CAA" w:rsidRDefault="00DA3CAA" w:rsidP="00DA3CAA">
      <w:pPr>
        <w:spacing w:after="100" w:line="240" w:lineRule="auto"/>
        <w:rPr>
          <w:rFonts w:ascii="Times New Roman" w:hAnsi="Times New Roman"/>
          <w:sz w:val="24"/>
          <w:szCs w:val="24"/>
        </w:rPr>
      </w:pPr>
      <w:r w:rsidRPr="00DA3CAA">
        <w:rPr>
          <w:rFonts w:ascii="Times New Roman" w:hAnsi="Times New Roman"/>
          <w:sz w:val="24"/>
          <w:szCs w:val="24"/>
        </w:rPr>
        <w:t>“The crew's failure to bring in diagnostic equipment when they arrived at the Fry residence hardly rises to an extreme departure from the standard of care or shows a conscious, voluntary omission in reckless disregard of a legal duty. At most, the failure of the crew to bring equipment when they first arrived at the Fry home may - or may not - rise to a level of ordinary negligence.</w:t>
      </w:r>
    </w:p>
    <w:p w14:paraId="1C55BF98" w14:textId="77777777" w:rsidR="00DA3CAA" w:rsidRPr="00DA3CAA" w:rsidRDefault="00DA3CAA" w:rsidP="00DA3CAA">
      <w:pPr>
        <w:spacing w:after="100" w:line="240" w:lineRule="auto"/>
        <w:rPr>
          <w:rFonts w:ascii="Times New Roman" w:eastAsia="Times New Roman" w:hAnsi="Times New Roman"/>
          <w:sz w:val="24"/>
          <w:szCs w:val="24"/>
        </w:rPr>
      </w:pPr>
      <w:r w:rsidRPr="00DA3CAA">
        <w:rPr>
          <w:rFonts w:ascii="Times New Roman" w:hAnsi="Times New Roman"/>
          <w:sz w:val="24"/>
          <w:szCs w:val="24"/>
        </w:rPr>
        <w:t>***</w:t>
      </w:r>
    </w:p>
    <w:p w14:paraId="47FEE111" w14:textId="20A3F85F" w:rsidR="00DA3CAA" w:rsidRDefault="00DA3CAA" w:rsidP="00DA3CAA">
      <w:pPr>
        <w:rPr>
          <w:rFonts w:ascii="Arial Black" w:hAnsi="Arial Black"/>
          <w:b/>
          <w:bCs/>
          <w:sz w:val="28"/>
          <w:szCs w:val="28"/>
        </w:rPr>
      </w:pPr>
      <w:r w:rsidRPr="00DA3CAA">
        <w:rPr>
          <w:rFonts w:ascii="Times New Roman" w:hAnsi="Times New Roman"/>
          <w:sz w:val="24"/>
          <w:szCs w:val="24"/>
        </w:rPr>
        <w:t xml:space="preserve">Distilled down, Fry argues that his expert reports, by themselves, create inherent issues of fact that are necessary for jury adjudication. However, other than citing two pieces of ‘authority,’ one from this Court and another from a trial-court level decision, even accepting everything contained within his expert reports as true, Fry has failed to show that the Minute Men, or its agents, engaged in any kind of behavior that could be considered grossly negligent or willful misconduct.” </w:t>
      </w:r>
      <w:hyperlink r:id="rId2210" w:history="1">
        <w:r w:rsidRPr="00DA3CAA">
          <w:rPr>
            <w:rStyle w:val="Hyperlink"/>
            <w:rFonts w:ascii="Times New Roman" w:eastAsiaTheme="majorEastAsia" w:hAnsi="Times New Roman"/>
            <w:sz w:val="24"/>
            <w:szCs w:val="24"/>
          </w:rPr>
          <w:t>https://public.fastcase.com/ZZhmr5v9wN%2FXOe5IsQ%2FqD%2FMrsYybnhzToDs3pNIz1%2FKuVE%2FXrNjXuEwJjzIPMf50bv4pQ7cB9hbsaZ7iWrESGuHFIj%2FFdpWNLAaphAA7k6c%3D?utm_medium=email&amp;_hsmi=226712652&amp;_hsenc=p2ANqtz-_5oWIy3JVMzQhw9Nc4Op3ZwRC559261JhKrpKmwZ_i9sOC_6POwqnLW9vjaTKG4YfwH8U6J7L56i3T2Eyz1DW0ZK0ATw&amp;utm_content=226712652&amp;utm_source=hs_email</w:t>
        </w:r>
      </w:hyperlink>
    </w:p>
    <w:p w14:paraId="176A673A" w14:textId="77777777" w:rsidR="00DA3CAA" w:rsidRPr="00A95A76" w:rsidRDefault="00DA3CAA" w:rsidP="00DA3CAA">
      <w:pPr>
        <w:pStyle w:val="NormalWeb"/>
        <w:rPr>
          <w:b/>
          <w:bCs/>
        </w:rPr>
      </w:pPr>
      <w:r w:rsidRPr="00A95A76">
        <w:rPr>
          <w:b/>
          <w:bCs/>
        </w:rPr>
        <w:t xml:space="preserve">Legal Lesson Learned: </w:t>
      </w:r>
      <w:r>
        <w:rPr>
          <w:b/>
          <w:bCs/>
        </w:rPr>
        <w:t xml:space="preserve">Bring </w:t>
      </w:r>
      <w:proofErr w:type="gramStart"/>
      <w:r>
        <w:rPr>
          <w:b/>
          <w:bCs/>
        </w:rPr>
        <w:t>in</w:t>
      </w:r>
      <w:proofErr w:type="gramEnd"/>
      <w:r>
        <w:rPr>
          <w:b/>
          <w:bCs/>
        </w:rPr>
        <w:t xml:space="preserve"> Monitor even if call is for lift assist. </w:t>
      </w:r>
    </w:p>
    <w:p w14:paraId="35D5F126" w14:textId="77777777" w:rsidR="00DA3CAA" w:rsidRDefault="00DA3CAA" w:rsidP="006A02A4">
      <w:pPr>
        <w:rPr>
          <w:rFonts w:ascii="Arial Black" w:hAnsi="Arial Black"/>
          <w:b/>
          <w:bCs/>
          <w:sz w:val="28"/>
          <w:szCs w:val="28"/>
        </w:rPr>
      </w:pPr>
    </w:p>
    <w:p w14:paraId="3876C319" w14:textId="77777777" w:rsidR="00DA3CAA" w:rsidRDefault="00DA3CAA" w:rsidP="006A02A4">
      <w:pPr>
        <w:rPr>
          <w:rFonts w:ascii="Arial Black" w:hAnsi="Arial Black"/>
          <w:b/>
          <w:bCs/>
          <w:sz w:val="28"/>
          <w:szCs w:val="28"/>
        </w:rPr>
      </w:pPr>
    </w:p>
    <w:p w14:paraId="47119F22" w14:textId="6B9118F1" w:rsidR="00DA3CAA" w:rsidRDefault="00DA3CAA" w:rsidP="006A02A4">
      <w:pPr>
        <w:rPr>
          <w:rFonts w:ascii="Arial Black" w:hAnsi="Arial Black"/>
          <w:b/>
          <w:bCs/>
          <w:sz w:val="28"/>
          <w:szCs w:val="28"/>
        </w:rPr>
      </w:pPr>
      <w:r>
        <w:rPr>
          <w:rFonts w:ascii="Arial Black" w:hAnsi="Arial Black"/>
          <w:b/>
          <w:bCs/>
          <w:sz w:val="28"/>
          <w:szCs w:val="28"/>
        </w:rPr>
        <w:lastRenderedPageBreak/>
        <w:t>13-152</w:t>
      </w:r>
    </w:p>
    <w:p w14:paraId="6EF7D0FD" w14:textId="176F347C" w:rsidR="00DA3CAA" w:rsidRPr="00C03DA4" w:rsidRDefault="00DA3CAA" w:rsidP="00DA3CAA">
      <w:pPr>
        <w:pStyle w:val="NormalWeb"/>
        <w:rPr>
          <w:rFonts w:ascii="Arial Black" w:hAnsi="Arial Black"/>
          <w:b/>
          <w:bCs/>
          <w:sz w:val="28"/>
          <w:szCs w:val="28"/>
        </w:rPr>
      </w:pPr>
      <w:r>
        <w:rPr>
          <w:rFonts w:ascii="Arial Black" w:hAnsi="Arial Black"/>
          <w:b/>
          <w:bCs/>
          <w:sz w:val="28"/>
          <w:szCs w:val="28"/>
        </w:rPr>
        <w:t>MI: CEREBAL PALSY PATIENT – FAMILY SAID SHE STILL BREATHING - ALIVE FUNERAL HOME - EMS QUAL. IMMUN.</w:t>
      </w:r>
    </w:p>
    <w:p w14:paraId="341962BC" w14:textId="77777777" w:rsidR="00DA3CAA" w:rsidRDefault="00DA3CAA" w:rsidP="00DA3CAA">
      <w:pPr>
        <w:pStyle w:val="NormalWeb"/>
      </w:pPr>
      <w:r>
        <w:t xml:space="preserve">On July 26, 2023, in </w:t>
      </w:r>
      <w:r w:rsidRPr="00C03DA4">
        <w:rPr>
          <w:u w:val="single"/>
        </w:rPr>
        <w:t>Howard T. Linden, as Personal Representative of the Estate of Timesha Beauchamp v</w:t>
      </w:r>
      <w:r>
        <w:rPr>
          <w:u w:val="single"/>
        </w:rPr>
        <w:t>.</w:t>
      </w:r>
      <w:r w:rsidRPr="00C03DA4">
        <w:rPr>
          <w:u w:val="single"/>
        </w:rPr>
        <w:t xml:space="preserve"> City of Southfield, Michigan, et al</w:t>
      </w:r>
      <w:r>
        <w:t>., the U.S. Court of Appeals for 6</w:t>
      </w:r>
      <w:r w:rsidRPr="00C03DA4">
        <w:rPr>
          <w:vertAlign w:val="superscript"/>
        </w:rPr>
        <w:t>th</w:t>
      </w:r>
      <w:r>
        <w:t xml:space="preserve"> Circuit (Cincinnati) held (3 to 0) that the trial court judge properly dismissed the lawsuit, holding that that the paramedics enjoyed qualified immunity, and therefore the City is also not liable. On Aug. 23, 2020, EMS were called to home of a 20-year-old woman with cerebral palsy who was unresponsive. After CPR and ventilation with a bag valve mask, the family was told she had died.  However, on three occasions family members said she appeared to still be </w:t>
      </w:r>
      <w:proofErr w:type="gramStart"/>
      <w:r>
        <w:t>breathing</w:t>
      </w:r>
      <w:proofErr w:type="gramEnd"/>
      <w:r>
        <w:t xml:space="preserve"> and the monitor showed electrical activity.  When at funeral home, the embalmer saw her chest rising; she died six weeks later. The Court rejected plaintiff’s “state-created danger” theory since EMS did not expose the patient to “private acts of violence.” The Court also rejected the “failure to train” liability for the City, since the lawsuit complaint contained no factual allegations about their EMS training. </w:t>
      </w:r>
    </w:p>
    <w:p w14:paraId="4CEDA4A2" w14:textId="77777777" w:rsidR="00DA3CAA" w:rsidRDefault="00DA3CAA" w:rsidP="00DA3CAA">
      <w:pPr>
        <w:pStyle w:val="NormalWeb"/>
      </w:pPr>
      <w:r>
        <w:t>The Court held:</w:t>
      </w:r>
    </w:p>
    <w:p w14:paraId="53D1A8A0" w14:textId="77777777" w:rsidR="00DA3CAA" w:rsidRDefault="00DA3CAA" w:rsidP="00DA3CAA">
      <w:pPr>
        <w:pStyle w:val="NormalWeb"/>
      </w:pPr>
      <w:r>
        <w:t xml:space="preserve">Generally, there is no constitutional right to adequate medical care for individuals who are not in </w:t>
      </w:r>
      <w:proofErr w:type="gramStart"/>
      <w:r>
        <w:t>the custody</w:t>
      </w:r>
      <w:proofErr w:type="gramEnd"/>
      <w:r>
        <w:t xml:space="preserve"> of the state. See Jackson v. Schultz, 429 F.3d 586, 590 (6th Cir. 2005) (‘It is not a constitutional violation for a state actor to render incompetent medical assistance or fail to rescue those in need.” (</w:t>
      </w:r>
      <w:proofErr w:type="gramStart"/>
      <w:r>
        <w:t>citing</w:t>
      </w:r>
      <w:proofErr w:type="gramEnd"/>
      <w:r>
        <w:t xml:space="preserve"> </w:t>
      </w:r>
      <w:proofErr w:type="spellStart"/>
      <w:r>
        <w:t>DeShaney</w:t>
      </w:r>
      <w:proofErr w:type="spellEnd"/>
      <w:r>
        <w:t xml:space="preserve"> v. Winnebago </w:t>
      </w:r>
      <w:proofErr w:type="spellStart"/>
      <w:r>
        <w:t>Cnty</w:t>
      </w:r>
      <w:proofErr w:type="spellEnd"/>
      <w:r>
        <w:t xml:space="preserve">. </w:t>
      </w:r>
      <w:proofErr w:type="spellStart"/>
      <w:r>
        <w:t>Dep’t</w:t>
      </w:r>
      <w:proofErr w:type="spellEnd"/>
      <w:r>
        <w:t xml:space="preserve"> of Soc. Servs., 489 U.S. 189, 196 (1989))). However, there is an exception to that general principle where a state actor’s ‘affirmative act’ either ‘creates or increases a risk that the decedent would be exposed to ‘private acts of violence…’ </w:t>
      </w:r>
    </w:p>
    <w:p w14:paraId="2D3EF0CC" w14:textId="77777777" w:rsidR="00DA3CAA" w:rsidRDefault="00DA3CAA" w:rsidP="00DA3CAA">
      <w:pPr>
        <w:pStyle w:val="NormalWeb"/>
      </w:pPr>
      <w:r>
        <w:t>***</w:t>
      </w:r>
    </w:p>
    <w:p w14:paraId="62A88073" w14:textId="77777777" w:rsidR="00DA3CAA" w:rsidRDefault="00DA3CAA" w:rsidP="00DA3CAA">
      <w:pPr>
        <w:pStyle w:val="NormalWeb"/>
      </w:pPr>
      <w:r>
        <w:t xml:space="preserve">Qualified immunity “shields governmental officials from monetary damages </w:t>
      </w:r>
      <w:proofErr w:type="gramStart"/>
      <w:r>
        <w:t>as long as</w:t>
      </w:r>
      <w:proofErr w:type="gramEnd"/>
      <w:r>
        <w:t xml:space="preserve"> ‘their actions did not violate clearly established statutory or constitutional rights of which a reasonable person would have known.’” Sumpter v. Wayne Cnty., 868 F.3d 473, 480 (6th Cir.  2017) (quoting Chappell v. City of Cleveland, 585 F.3d 901, 907 (6th Cir. 2009))…. So it is hard to see how it could be ‘clearly established” that the First Responders exposed Beauchamp to a private act of violence when they mistakenly believed she was dead and left her in her family’s care to be processed for routine funeral proceedings, which included the Funeral Home employee’s act of putting Beauchamp’s presumed-dead body into a body bag to transport her to a funeral home.” </w:t>
      </w:r>
      <w:hyperlink r:id="rId2211" w:history="1">
        <w:r w:rsidRPr="00833D9A">
          <w:rPr>
            <w:rStyle w:val="Hyperlink"/>
            <w:rFonts w:eastAsiaTheme="majorEastAsia"/>
          </w:rPr>
          <w:t>https://www.opn.ca6.uscourts.gov/opinions.pdf/23a0156p-06.pdf</w:t>
        </w:r>
      </w:hyperlink>
      <w:r>
        <w:t xml:space="preserve"> </w:t>
      </w:r>
    </w:p>
    <w:p w14:paraId="35ED38F8" w14:textId="77777777" w:rsidR="00DA3CAA" w:rsidRPr="00CF63FC" w:rsidRDefault="00DA3CAA" w:rsidP="00DA3CAA">
      <w:pPr>
        <w:pStyle w:val="NormalWeb"/>
        <w:rPr>
          <w:b/>
          <w:bCs/>
        </w:rPr>
      </w:pPr>
      <w:r w:rsidRPr="00CF63FC">
        <w:rPr>
          <w:b/>
          <w:bCs/>
        </w:rPr>
        <w:t xml:space="preserve">Legal Lesson Learned: </w:t>
      </w:r>
      <w:r>
        <w:rPr>
          <w:b/>
          <w:bCs/>
        </w:rPr>
        <w:t xml:space="preserve">Terrible set of facts; review this case and your protocol on declaration of death with EMS personnel. </w:t>
      </w:r>
    </w:p>
    <w:p w14:paraId="68AF52B7" w14:textId="77777777" w:rsidR="00DA3CAA" w:rsidRDefault="00DA3CAA" w:rsidP="00DA3CAA">
      <w:pPr>
        <w:pStyle w:val="Heading1"/>
        <w:ind w:left="720"/>
        <w:rPr>
          <w:b w:val="0"/>
          <w:bCs w:val="0"/>
          <w:sz w:val="24"/>
          <w:szCs w:val="24"/>
        </w:rPr>
      </w:pPr>
      <w:r w:rsidRPr="00D87DB0">
        <w:rPr>
          <w:b w:val="0"/>
          <w:bCs w:val="0"/>
          <w:sz w:val="24"/>
          <w:szCs w:val="24"/>
        </w:rPr>
        <w:t xml:space="preserve">Note: See July 27, </w:t>
      </w:r>
      <w:proofErr w:type="gramStart"/>
      <w:r w:rsidRPr="00D87DB0">
        <w:rPr>
          <w:b w:val="0"/>
          <w:bCs w:val="0"/>
          <w:sz w:val="24"/>
          <w:szCs w:val="24"/>
        </w:rPr>
        <w:t>2023</w:t>
      </w:r>
      <w:proofErr w:type="gramEnd"/>
      <w:r w:rsidRPr="00D87DB0">
        <w:rPr>
          <w:b w:val="0"/>
          <w:bCs w:val="0"/>
          <w:sz w:val="24"/>
          <w:szCs w:val="24"/>
        </w:rPr>
        <w:t xml:space="preserve"> article, “Court rules first responders who wrongfully declared Michigan woman dead cannot be sued.” </w:t>
      </w:r>
      <w:hyperlink r:id="rId2212" w:history="1">
        <w:r w:rsidRPr="00D87DB0">
          <w:rPr>
            <w:rStyle w:val="Hyperlink"/>
            <w:rFonts w:eastAsiaTheme="majorEastAsia"/>
            <w:b w:val="0"/>
            <w:bCs w:val="0"/>
            <w:sz w:val="24"/>
            <w:szCs w:val="24"/>
          </w:rPr>
          <w:t>https://www.foxnews.com/us/court-rules-first-responders-wrongfully-declared-michigan-woman-dead-cannot-be-sued</w:t>
        </w:r>
      </w:hyperlink>
      <w:r w:rsidRPr="00D87DB0">
        <w:rPr>
          <w:b w:val="0"/>
          <w:bCs w:val="0"/>
          <w:sz w:val="24"/>
          <w:szCs w:val="24"/>
        </w:rPr>
        <w:t xml:space="preserve"> </w:t>
      </w:r>
    </w:p>
    <w:p w14:paraId="748A1ABF" w14:textId="29052168" w:rsidR="00DA3CAA" w:rsidRPr="00DA3CAA" w:rsidRDefault="00DA3CAA" w:rsidP="00DA3CAA">
      <w:pPr>
        <w:ind w:left="720"/>
        <w:rPr>
          <w:rFonts w:ascii="Times New Roman" w:hAnsi="Times New Roman"/>
          <w:b/>
          <w:bCs/>
          <w:sz w:val="24"/>
          <w:szCs w:val="24"/>
        </w:rPr>
      </w:pPr>
      <w:r w:rsidRPr="00DA3CAA">
        <w:rPr>
          <w:rFonts w:ascii="Times New Roman" w:hAnsi="Times New Roman"/>
          <w:sz w:val="24"/>
          <w:szCs w:val="24"/>
        </w:rPr>
        <w:t xml:space="preserve">Dec. 10, </w:t>
      </w:r>
      <w:proofErr w:type="gramStart"/>
      <w:r w:rsidRPr="00DA3CAA">
        <w:rPr>
          <w:rFonts w:ascii="Times New Roman" w:hAnsi="Times New Roman"/>
          <w:sz w:val="24"/>
          <w:szCs w:val="24"/>
        </w:rPr>
        <w:t>2020</w:t>
      </w:r>
      <w:proofErr w:type="gramEnd"/>
      <w:r w:rsidRPr="00DA3CAA">
        <w:rPr>
          <w:rFonts w:ascii="Times New Roman" w:hAnsi="Times New Roman"/>
          <w:sz w:val="24"/>
          <w:szCs w:val="24"/>
        </w:rPr>
        <w:t xml:space="preserve"> article: “Paramedics in case of ‘dead’ woman alive can regain licenses.” “The state health department recently reached agreements with the men to drop the license suspensions. They will have multiple chances to pass written and practical exams for paramedics. Storms has additional work: He must write a paper on the protocols for determination of death and cardiac arrest. Storms must read a book, ‘People Care: Perspective and Practices for Professional Caregivers,’ and write a three-page paper. He will have three chances to achieve a passing grade on the papers.” </w:t>
      </w:r>
      <w:hyperlink r:id="rId2213" w:history="1">
        <w:r w:rsidRPr="00DA3CAA">
          <w:rPr>
            <w:rStyle w:val="Hyperlink"/>
            <w:rFonts w:ascii="Times New Roman" w:eastAsiaTheme="majorEastAsia" w:hAnsi="Times New Roman"/>
            <w:sz w:val="24"/>
            <w:szCs w:val="24"/>
          </w:rPr>
          <w:t>https://www.detroitnews.com/story/news/local/oakland-county/2020/12/10/paramedics-case-dead-woman-alive-can-regain-licenses/3883292001/</w:t>
        </w:r>
      </w:hyperlink>
    </w:p>
    <w:p w14:paraId="0AACAB41" w14:textId="77777777" w:rsidR="00DA3CAA" w:rsidRDefault="00DA3CAA" w:rsidP="006A02A4">
      <w:pPr>
        <w:rPr>
          <w:rFonts w:ascii="Arial Black" w:hAnsi="Arial Black"/>
          <w:b/>
          <w:bCs/>
          <w:sz w:val="28"/>
          <w:szCs w:val="28"/>
        </w:rPr>
      </w:pPr>
    </w:p>
    <w:p w14:paraId="3F8294E7" w14:textId="0A12B4BF" w:rsidR="000644B6" w:rsidRDefault="00DA3CAA" w:rsidP="006A02A4">
      <w:pPr>
        <w:rPr>
          <w:rFonts w:ascii="Arial Black" w:hAnsi="Arial Black"/>
          <w:b/>
          <w:bCs/>
          <w:sz w:val="28"/>
          <w:szCs w:val="28"/>
        </w:rPr>
      </w:pPr>
      <w:r>
        <w:rPr>
          <w:rFonts w:ascii="Arial Black" w:hAnsi="Arial Black"/>
          <w:b/>
          <w:bCs/>
          <w:sz w:val="28"/>
          <w:szCs w:val="28"/>
        </w:rPr>
        <w:t>13-151</w:t>
      </w:r>
    </w:p>
    <w:p w14:paraId="772CC63A" w14:textId="77777777" w:rsidR="00DA3CAA" w:rsidRPr="00F900CB" w:rsidRDefault="00DA3CAA" w:rsidP="00DA3CAA">
      <w:pPr>
        <w:pStyle w:val="NormalWeb"/>
        <w:rPr>
          <w:rFonts w:ascii="Arial Black" w:hAnsi="Arial Black"/>
          <w:b/>
          <w:bCs/>
          <w:sz w:val="28"/>
          <w:szCs w:val="28"/>
        </w:rPr>
      </w:pPr>
      <w:r>
        <w:rPr>
          <w:rFonts w:ascii="Arial Black" w:hAnsi="Arial Black"/>
          <w:b/>
          <w:bCs/>
          <w:sz w:val="28"/>
          <w:szCs w:val="28"/>
        </w:rPr>
        <w:t>LA: TRIAGE NURSE GRABBED GURNEY – EMT SHOULDER INJURY - HOSPITAL LIABLE, JUDGE OVERTURNED JURY</w:t>
      </w:r>
    </w:p>
    <w:p w14:paraId="0BBD9815" w14:textId="77777777" w:rsidR="00DA3CAA" w:rsidRPr="00DA3CAA" w:rsidRDefault="00DA3CAA" w:rsidP="00DA3CAA">
      <w:pPr>
        <w:pStyle w:val="NormalWeb"/>
      </w:pPr>
      <w:r w:rsidRPr="00DA3CAA">
        <w:t xml:space="preserve">On July 26, 2023, in </w:t>
      </w:r>
      <w:r w:rsidRPr="00DA3CAA">
        <w:rPr>
          <w:u w:val="single"/>
        </w:rPr>
        <w:t>Jenna Rougeau v. Hospital Service District No. 2 of Beauregard Parish, et al.</w:t>
      </w:r>
      <w:r w:rsidRPr="00DA3CAA">
        <w:t xml:space="preserve">, the Court of Appeals of Louisiana, Third Circuit, held (3 to 0) that while the jury correctly found that Triage Nurse on June 25, 2016 was negligent in grabbing the gurney, as EMT was pulling a patient into ER and passed Room No. 6. However, the trial judge correctly overturned jury verdict that the </w:t>
      </w:r>
      <w:proofErr w:type="gramStart"/>
      <w:r w:rsidRPr="00DA3CAA">
        <w:t>nurses</w:t>
      </w:r>
      <w:proofErr w:type="gramEnd"/>
      <w:r w:rsidRPr="00DA3CAA">
        <w:t xml:space="preserve"> negligence did not cause EMT’s injury to her shoulder and loss of work for two years.  The EMT had arthroscopic surgery to repair her tom labrum and rotator </w:t>
      </w:r>
      <w:proofErr w:type="gramStart"/>
      <w:r w:rsidRPr="00DA3CAA">
        <w:t>cuff, but</w:t>
      </w:r>
      <w:proofErr w:type="gramEnd"/>
      <w:r w:rsidRPr="00DA3CAA">
        <w:t xml:space="preserve"> clearly could not pass Arcadia Ambulance requirement to </w:t>
      </w:r>
      <w:proofErr w:type="gramStart"/>
      <w:r w:rsidRPr="00DA3CAA">
        <w:t>dead lift</w:t>
      </w:r>
      <w:proofErr w:type="gramEnd"/>
      <w:r w:rsidRPr="00DA3CAA">
        <w:t xml:space="preserve"> 175 pounds, cany a large medic bag and monitor up a flight of stairs, and perform CPR for approximately one minute while maintaining a certain heart rate. The trial court properly awarded the EMT $42,626.48 in past medical expenses, $60,000.00 in past lost wages; and $261,000.00 in general damages ($160,000.00 in past pain and suffering; $25,000.00 in future pain and suffering; $40,000.00 in past mental anguish; and $36,000.00 in loss of enjoyment of life). </w:t>
      </w:r>
    </w:p>
    <w:p w14:paraId="03801E99" w14:textId="77777777" w:rsidR="00DA3CAA" w:rsidRPr="00DA3CAA" w:rsidRDefault="00DA3CAA" w:rsidP="00DA3CAA">
      <w:pPr>
        <w:pStyle w:val="NormalWeb"/>
      </w:pPr>
      <w:r w:rsidRPr="00DA3CAA">
        <w:t xml:space="preserve">The Court held: </w:t>
      </w:r>
    </w:p>
    <w:p w14:paraId="65227333" w14:textId="77777777" w:rsidR="00DA3CAA" w:rsidRPr="00DA3CAA" w:rsidRDefault="00DA3CAA" w:rsidP="00DA3CAA">
      <w:pPr>
        <w:pStyle w:val="NormalWeb"/>
      </w:pPr>
      <w:r w:rsidRPr="00DA3CAA">
        <w:t xml:space="preserve">“Thus, under the facts at issue, we find that Nurse Harless had a duty to exercise reasonable care in the performance of his emergency room duties </w:t>
      </w:r>
      <w:proofErr w:type="gramStart"/>
      <w:r w:rsidRPr="00DA3CAA">
        <w:t>in order to</w:t>
      </w:r>
      <w:proofErr w:type="gramEnd"/>
      <w:r w:rsidRPr="00DA3CAA">
        <w:t xml:space="preserve"> avoid causing injury to others, including to EMTs acting in the performance of their duties…. Based on the video, Nurse Harless saw the EMTs walking towards him with the stretcher as he was getting linen from a blanket warmer located in the hallway. Instead of communicating the room assignment when he first saw them, he waited until Plaintiff had taken approximately twelve steps and the stretcher had passed him before grabbing the rear of the stretcher and pulling it to a stop.</w:t>
      </w:r>
    </w:p>
    <w:p w14:paraId="75AA5E64" w14:textId="77777777" w:rsidR="00DA3CAA" w:rsidRPr="00DA3CAA" w:rsidRDefault="00DA3CAA" w:rsidP="00DA3CAA">
      <w:pPr>
        <w:pStyle w:val="NormalWeb"/>
      </w:pPr>
      <w:r w:rsidRPr="00DA3CAA">
        <w:t>***</w:t>
      </w:r>
    </w:p>
    <w:p w14:paraId="096F8BBA" w14:textId="23F40DA1" w:rsidR="00DA3CAA" w:rsidRPr="00DA3CAA" w:rsidRDefault="00DA3CAA" w:rsidP="00DA3CAA">
      <w:pPr>
        <w:rPr>
          <w:rFonts w:ascii="Times New Roman" w:hAnsi="Times New Roman"/>
          <w:b/>
          <w:bCs/>
          <w:sz w:val="24"/>
          <w:szCs w:val="24"/>
        </w:rPr>
      </w:pPr>
      <w:r w:rsidRPr="00DA3CAA">
        <w:rPr>
          <w:rFonts w:ascii="Times New Roman" w:hAnsi="Times New Roman"/>
          <w:sz w:val="24"/>
          <w:szCs w:val="24"/>
        </w:rPr>
        <w:t xml:space="preserve">Thus, we find that the </w:t>
      </w:r>
      <w:proofErr w:type="spellStart"/>
      <w:r w:rsidRPr="00DA3CAA">
        <w:rPr>
          <w:rFonts w:ascii="Times New Roman" w:hAnsi="Times New Roman"/>
          <w:sz w:val="24"/>
          <w:szCs w:val="24"/>
        </w:rPr>
        <w:t>juiy</w:t>
      </w:r>
      <w:proofErr w:type="spellEnd"/>
      <w:r w:rsidRPr="00DA3CAA">
        <w:rPr>
          <w:rFonts w:ascii="Times New Roman" w:hAnsi="Times New Roman"/>
          <w:sz w:val="24"/>
          <w:szCs w:val="24"/>
        </w:rPr>
        <w:t xml:space="preserve"> was manifestly erroneous in finding that this incident was not the cause-in-fact and legal cause of her shoulder </w:t>
      </w:r>
      <w:proofErr w:type="gramStart"/>
      <w:r w:rsidRPr="00DA3CAA">
        <w:rPr>
          <w:rFonts w:ascii="Times New Roman" w:hAnsi="Times New Roman"/>
          <w:sz w:val="24"/>
          <w:szCs w:val="24"/>
        </w:rPr>
        <w:t>injury.”</w:t>
      </w:r>
      <w:proofErr w:type="gramEnd"/>
      <w:r w:rsidRPr="00DA3CAA">
        <w:rPr>
          <w:rFonts w:ascii="Times New Roman" w:hAnsi="Times New Roman"/>
          <w:sz w:val="24"/>
          <w:szCs w:val="24"/>
        </w:rPr>
        <w:t xml:space="preserve">  </w:t>
      </w:r>
      <w:hyperlink r:id="rId2214" w:history="1">
        <w:r w:rsidRPr="00DA3CAA">
          <w:rPr>
            <w:rStyle w:val="Hyperlink"/>
            <w:rFonts w:ascii="Times New Roman" w:eastAsiaTheme="majorEastAsia" w:hAnsi="Times New Roman"/>
            <w:sz w:val="24"/>
            <w:szCs w:val="24"/>
          </w:rPr>
          <w:t>https://public.fastcase.com/ZZhmr5v9wN%2FXOe5IsQ%2FqD7GCKb2IB3J54e7ItSmUYP%2BWMLglINdF7XSY%2Fk9VEPoTx4QWBItn6mQ9CDY1KKV2Qj7lzwy8FX40VrBADcTdOUs%3D?utm_medium=email&amp;_hsmi=226712652&amp;_hsenc=p2ANqtz-_DK7zem2LwgE_Zwv-o_RP9UByjQ85WHbLNpM1Ddz9HLFMrLo4_e5BuKmezeF9cnjUjmpRGuKlpbVs2F5114RUdRnDuAQ&amp;utm_content=226712652&amp;utm_source=hs_email</w:t>
        </w:r>
      </w:hyperlink>
    </w:p>
    <w:p w14:paraId="4A907F21" w14:textId="77777777" w:rsidR="00DA3CAA" w:rsidRDefault="00DA3CAA" w:rsidP="00DA3CAA">
      <w:pPr>
        <w:pStyle w:val="NormalWeb"/>
        <w:rPr>
          <w:b/>
          <w:bCs/>
        </w:rPr>
      </w:pPr>
      <w:r w:rsidRPr="00621639">
        <w:rPr>
          <w:b/>
          <w:bCs/>
        </w:rPr>
        <w:t xml:space="preserve">Legal Lesson Learned: </w:t>
      </w:r>
      <w:r>
        <w:rPr>
          <w:b/>
          <w:bCs/>
        </w:rPr>
        <w:t>Trial judge may set aside an erroneous jury verdict and award damages to injured EMT.</w:t>
      </w:r>
    </w:p>
    <w:p w14:paraId="246A0455" w14:textId="77777777" w:rsidR="00DA3CAA" w:rsidRPr="00212639" w:rsidRDefault="00DA3CAA" w:rsidP="00DA3CAA">
      <w:pPr>
        <w:pStyle w:val="NormalWeb"/>
        <w:ind w:left="720"/>
      </w:pPr>
      <w:r w:rsidRPr="00212639">
        <w:t xml:space="preserve">Note: The worker’s comp. insurance provider for Arcadia Ambulance may then recover their expenses from the </w:t>
      </w:r>
      <w:proofErr w:type="gramStart"/>
      <w:r w:rsidRPr="00212639">
        <w:t>damage award</w:t>
      </w:r>
      <w:proofErr w:type="gramEnd"/>
      <w:r w:rsidRPr="00212639">
        <w:t xml:space="preserve">. </w:t>
      </w:r>
    </w:p>
    <w:p w14:paraId="77F34F75" w14:textId="77777777" w:rsidR="00DA3CAA" w:rsidRDefault="00DA3CAA" w:rsidP="006A02A4">
      <w:pPr>
        <w:rPr>
          <w:rFonts w:ascii="Arial Black" w:hAnsi="Arial Black"/>
          <w:b/>
          <w:bCs/>
          <w:sz w:val="28"/>
          <w:szCs w:val="28"/>
        </w:rPr>
      </w:pPr>
    </w:p>
    <w:p w14:paraId="3815D090" w14:textId="7873ABE8" w:rsidR="000644B6" w:rsidRDefault="000644B6" w:rsidP="006A02A4">
      <w:pPr>
        <w:rPr>
          <w:rFonts w:ascii="Arial Black" w:hAnsi="Arial Black"/>
          <w:b/>
          <w:bCs/>
          <w:sz w:val="28"/>
          <w:szCs w:val="28"/>
        </w:rPr>
      </w:pPr>
      <w:r>
        <w:rPr>
          <w:rFonts w:ascii="Arial Black" w:hAnsi="Arial Black"/>
          <w:b/>
          <w:bCs/>
          <w:sz w:val="28"/>
          <w:szCs w:val="28"/>
        </w:rPr>
        <w:lastRenderedPageBreak/>
        <w:t>13-150</w:t>
      </w:r>
    </w:p>
    <w:p w14:paraId="63D2C3F9" w14:textId="77777777" w:rsidR="000644B6" w:rsidRPr="00F43F3E" w:rsidRDefault="000644B6" w:rsidP="000644B6">
      <w:pPr>
        <w:pStyle w:val="NormalWeb"/>
        <w:rPr>
          <w:rFonts w:ascii="Arial Black" w:hAnsi="Arial Black"/>
          <w:sz w:val="28"/>
          <w:szCs w:val="28"/>
        </w:rPr>
      </w:pPr>
      <w:r>
        <w:rPr>
          <w:rFonts w:ascii="Arial Black" w:hAnsi="Arial Black"/>
          <w:sz w:val="28"/>
          <w:szCs w:val="28"/>
        </w:rPr>
        <w:t xml:space="preserve">NV: COMBATIVE PATIENT – PD TAKEDOWN, EMS GAVE KETAMINE FOR 175 POUND (ONLY 155) - QUAL. IMMUNITY </w:t>
      </w:r>
    </w:p>
    <w:p w14:paraId="27B50F62" w14:textId="77777777" w:rsidR="000644B6" w:rsidRPr="00DA3CAA" w:rsidRDefault="000644B6" w:rsidP="000644B6">
      <w:pPr>
        <w:pStyle w:val="NormalWeb"/>
      </w:pPr>
      <w:r w:rsidRPr="00DA3CAA">
        <w:t xml:space="preserve">On July 19, 2023, in </w:t>
      </w:r>
      <w:r w:rsidRPr="00DA3CAA">
        <w:rPr>
          <w:u w:val="single"/>
        </w:rPr>
        <w:t>Marc Galli v. Anthony Rush, et al</w:t>
      </w:r>
      <w:r w:rsidRPr="00DA3CAA">
        <w:t xml:space="preserve">., U.S. District Court Judge Andrew P. Gordon, U.S. District Court for District of Nevada, granted summary judgment to City of Henderson paramedics Anthony Rush and Edward Pickup, as well as two police officers who tackled the patient who had fled from the back of the ambulance.  Paramedics administered 320 milligrams of ketamine based on patient’s estimated weight of 175; his actual weight (155 pounds) </w:t>
      </w:r>
      <w:proofErr w:type="gramStart"/>
      <w:r w:rsidRPr="00DA3CAA">
        <w:t>called for</w:t>
      </w:r>
      <w:proofErr w:type="gramEnd"/>
      <w:r w:rsidRPr="00DA3CAA">
        <w:t xml:space="preserve"> 280 milligrams.  At hospital he was intubated because of his altered mental state and intermittent combative behavior and was released six days later.</w:t>
      </w:r>
    </w:p>
    <w:p w14:paraId="203D2DBE" w14:textId="681BF9F7" w:rsidR="000644B6" w:rsidRPr="00DA3CAA" w:rsidRDefault="000644B6" w:rsidP="000644B6">
      <w:pPr>
        <w:rPr>
          <w:rFonts w:ascii="Times New Roman" w:hAnsi="Times New Roman"/>
          <w:b/>
          <w:bCs/>
          <w:sz w:val="24"/>
          <w:szCs w:val="24"/>
        </w:rPr>
      </w:pPr>
      <w:r w:rsidRPr="00DA3CAA">
        <w:rPr>
          <w:rFonts w:ascii="Times New Roman" w:hAnsi="Times New Roman"/>
          <w:sz w:val="24"/>
          <w:szCs w:val="24"/>
        </w:rPr>
        <w:t xml:space="preserve">The Court held: “Regardless of their subjective motivation, Rush and Pickup were confronted with a patient who was crying, retching, claiming poisoning, and running away in the dark. From the perspective of a reasonable paramedic confronting the objective circumstances, they had at least a moderate interest in sedating Galli to ensure he received emergency medical care and caused no harm to himself or others. Weighing the significant application of force against the moderate government interest, a reasonable jury could find sedating Galli to be an excessive use of force. But Rush and Pickup are shielded by qualified immunity. First, Galli does not point to any authority for the proposition that as a paramedic, Pickup had a clearly established duty to intervene in Rush's purported constitutional violation. And more importantly, Galli points to no binding authority, nor have I found any, clearly establishing that a paramedic's administration of a sedative under comparable circumstances constitutes excessive force under the Fourth Amendment.” </w:t>
      </w:r>
      <w:hyperlink r:id="rId2215" w:history="1">
        <w:r w:rsidRPr="00DA3CAA">
          <w:rPr>
            <w:rStyle w:val="Hyperlink"/>
            <w:rFonts w:ascii="Times New Roman" w:eastAsiaTheme="majorEastAsia" w:hAnsi="Times New Roman"/>
            <w:sz w:val="24"/>
            <w:szCs w:val="24"/>
          </w:rPr>
          <w:t>https://public.fastcase.com/ZZhmr5v9wN%2FXOe5IsQ%2FqD3dz3eOW5zFOFbDDQpgyn5N1g%2BDYcYq%2BQq5MnHYcUlJvjXUWh8aXMHicyBCjMoSMvWkOcK9%2F08vlf7VzRHHVD0g%3D?utm_medium=email&amp;_hsmi=226712652&amp;_hsenc=p2ANqtz-8FJSrnDbpE5SBLnbpgOtm8bsro6mydF1tKlBKSrXXB7U0G_KpVHeRpWqi1b6f_lyKuKYe1ibmLo31OO_-xt7H5dW8mOA&amp;utm_content=226712652&amp;utm_source=hs_email</w:t>
        </w:r>
      </w:hyperlink>
    </w:p>
    <w:p w14:paraId="08831C8B" w14:textId="77777777" w:rsidR="00DA3CAA" w:rsidRPr="00E12FD2" w:rsidRDefault="00DA3CAA" w:rsidP="00DA3CAA">
      <w:pPr>
        <w:pStyle w:val="NormalWeb"/>
        <w:rPr>
          <w:b/>
          <w:bCs/>
        </w:rPr>
      </w:pPr>
      <w:r w:rsidRPr="00E12FD2">
        <w:rPr>
          <w:b/>
          <w:bCs/>
        </w:rPr>
        <w:t>Legal Lesson Learned:  Paramedics were shielded by qualified immunity; make sure you follow protocol for administering ketamine.</w:t>
      </w:r>
    </w:p>
    <w:p w14:paraId="65AD3A71" w14:textId="77777777" w:rsidR="000644B6" w:rsidRDefault="000644B6" w:rsidP="006A02A4">
      <w:pPr>
        <w:rPr>
          <w:rFonts w:ascii="Arial Black" w:hAnsi="Arial Black"/>
          <w:b/>
          <w:bCs/>
          <w:sz w:val="28"/>
          <w:szCs w:val="28"/>
        </w:rPr>
      </w:pPr>
    </w:p>
    <w:p w14:paraId="73A458AB" w14:textId="37EEF802" w:rsidR="00D33F96" w:rsidRDefault="00D33F96" w:rsidP="006A02A4">
      <w:pPr>
        <w:rPr>
          <w:rFonts w:ascii="Arial Black" w:hAnsi="Arial Black"/>
          <w:b/>
          <w:bCs/>
          <w:sz w:val="28"/>
          <w:szCs w:val="28"/>
        </w:rPr>
      </w:pPr>
      <w:r>
        <w:rPr>
          <w:rFonts w:ascii="Arial Black" w:hAnsi="Arial Black"/>
          <w:b/>
          <w:bCs/>
          <w:sz w:val="28"/>
          <w:szCs w:val="28"/>
        </w:rPr>
        <w:t>13-149</w:t>
      </w:r>
    </w:p>
    <w:p w14:paraId="7271AE2D" w14:textId="77777777" w:rsidR="00D33F96" w:rsidRPr="00641877" w:rsidRDefault="00D33F96" w:rsidP="00D33F9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AL: BYSTANDER CPR – TOLD STOP BY VOL. FF – FIRE DEPT.  IMMUNITY, BUT NO APPEAL BY PLAINTIFF UNTIL FF TRIAL </w:t>
      </w:r>
    </w:p>
    <w:p w14:paraId="0E33EFE8" w14:textId="77777777" w:rsidR="00D33F96" w:rsidRDefault="00D33F96" w:rsidP="00D33F96">
      <w:pPr>
        <w:spacing w:before="100" w:beforeAutospacing="1" w:after="100" w:afterAutospacing="1" w:line="240" w:lineRule="auto"/>
        <w:rPr>
          <w:rFonts w:ascii="Times New Roman" w:hAnsi="Times New Roman"/>
          <w:sz w:val="24"/>
          <w:szCs w:val="24"/>
        </w:rPr>
      </w:pPr>
      <w:r w:rsidRPr="001A5B61">
        <w:rPr>
          <w:rFonts w:ascii="Times New Roman" w:eastAsia="Times New Roman" w:hAnsi="Times New Roman"/>
          <w:sz w:val="24"/>
          <w:szCs w:val="24"/>
        </w:rPr>
        <w:t xml:space="preserve">On June 30, 2023, in </w:t>
      </w:r>
      <w:r w:rsidRPr="001A5B61">
        <w:rPr>
          <w:rFonts w:ascii="Times New Roman" w:eastAsia="Times New Roman" w:hAnsi="Times New Roman"/>
          <w:sz w:val="24"/>
          <w:szCs w:val="24"/>
          <w:u w:val="single"/>
        </w:rPr>
        <w:t>Carol Rogers, as administratrix of Estate of Susan Bonner v. Cedar Bluff Volunteer Fire Department and Cherokee County Association of Volunteer Fire Department, Inc</w:t>
      </w:r>
      <w:r>
        <w:rPr>
          <w:rFonts w:ascii="Times New Roman" w:eastAsia="Times New Roman" w:hAnsi="Times New Roman"/>
          <w:sz w:val="24"/>
          <w:szCs w:val="24"/>
        </w:rPr>
        <w:t xml:space="preserve">., the Supreme Court of Alabama hold (8 to 1) that they will not decide Carol Rogers appeal from Court’s grant of summary judgment to Volunteer FD and its Association, since the lawsuit against the volunteer firefighter </w:t>
      </w:r>
      <w:r w:rsidRPr="001A5B61">
        <w:rPr>
          <w:rFonts w:ascii="Times New Roman" w:eastAsia="Times New Roman" w:hAnsi="Times New Roman"/>
          <w:sz w:val="24"/>
          <w:szCs w:val="24"/>
        </w:rPr>
        <w:t>(</w:t>
      </w:r>
      <w:r w:rsidRPr="001A5B61">
        <w:rPr>
          <w:rFonts w:ascii="Times New Roman" w:hAnsi="Times New Roman"/>
          <w:sz w:val="24"/>
          <w:szCs w:val="24"/>
        </w:rPr>
        <w:t>Guice)</w:t>
      </w:r>
      <w:r>
        <w:rPr>
          <w:rFonts w:ascii="Times New Roman" w:hAnsi="Times New Roman"/>
          <w:sz w:val="24"/>
          <w:szCs w:val="24"/>
        </w:rPr>
        <w:t xml:space="preserve"> is still awaiting trial. </w:t>
      </w:r>
    </w:p>
    <w:p w14:paraId="4DAC9F8C" w14:textId="79875EFC" w:rsidR="00D33F96" w:rsidRDefault="00D33F96" w:rsidP="00D33F96">
      <w:pPr>
        <w:rPr>
          <w:rFonts w:ascii="Arial Black" w:hAnsi="Arial Black"/>
          <w:b/>
          <w:bCs/>
          <w:sz w:val="28"/>
          <w:szCs w:val="28"/>
        </w:rPr>
      </w:pPr>
      <w:r>
        <w:rPr>
          <w:rFonts w:ascii="Times New Roman" w:hAnsi="Times New Roman"/>
          <w:sz w:val="24"/>
          <w:szCs w:val="24"/>
        </w:rPr>
        <w:t>The Court held: “</w:t>
      </w:r>
      <w:r w:rsidRPr="001A5B61">
        <w:rPr>
          <w:rFonts w:ascii="Times New Roman" w:hAnsi="Times New Roman"/>
          <w:sz w:val="24"/>
          <w:szCs w:val="24"/>
        </w:rPr>
        <w:t xml:space="preserve">In the present case, it is undisputed that the viability of Rogers's wrongful-death claim against either Cedar Bluff or the Association is entirely dependent on her still-pending claim against Guice. The bottom </w:t>
      </w:r>
      <w:r w:rsidRPr="001A5B61">
        <w:rPr>
          <w:rFonts w:ascii="Times New Roman" w:hAnsi="Times New Roman"/>
          <w:sz w:val="24"/>
          <w:szCs w:val="24"/>
        </w:rPr>
        <w:lastRenderedPageBreak/>
        <w:t>line is that if Guice is found not liable, then there would be no need for us to review the trial court's summary judgment in favor of Cedar Bluff or the Association in almost any scenario. For example, if a jury decides that Guice acted reasonably, or breached no duty, or was not the proximate cause of Bonner's death, then this appeal would be mooted. Likewise, even if a jury finds none of those things, but finds that Guice "was acting in good faith and within the scope of [his] official functions and duties for a ... governmental entity," then pursuant to § 6-5-336(d)(1) of the VSA, Guice would be immune from liability and Cedar Bluff could not be held vicariously liable for his conduct.</w:t>
      </w:r>
      <w:r>
        <w:rPr>
          <w:rFonts w:ascii="Times New Roman" w:hAnsi="Times New Roman"/>
          <w:sz w:val="24"/>
          <w:szCs w:val="24"/>
          <w:vertAlign w:val="superscript"/>
        </w:rPr>
        <w:t xml:space="preserve">” </w:t>
      </w:r>
      <w:hyperlink r:id="rId2216" w:history="1">
        <w:r w:rsidRPr="001A5B61">
          <w:rPr>
            <w:rStyle w:val="Hyperlink"/>
            <w:sz w:val="24"/>
            <w:szCs w:val="24"/>
          </w:rPr>
          <w:t>https://public.fastcase.com/ZZhmr5v9wN%2FXOe5IsQ%2FqD48qScyjnns4BvOFYThqD1VKn2oC3YL9HIinTf%2Fp30r2wBlFtUUFvRMyBphGDo8K28IC4vVctJZhhayY6V%2Bfn28%3D?utm_medium=email&amp;_hsmi=226712652&amp;_hsenc=p2ANqtz--TIjwUVFjOo5damiP3K6KiM86Ts0N1olRqZ_ArClgxTthTEvnZAd5hvf4I6P2KEFN6nH9cQVmvAvnMp9eheEIqoLW5ew&amp;utm_content=226712652&amp;utm_source=hs_email</w:t>
        </w:r>
      </w:hyperlink>
    </w:p>
    <w:p w14:paraId="5116D6D8" w14:textId="77777777" w:rsidR="00D33F96" w:rsidRPr="00364596" w:rsidRDefault="00D33F96" w:rsidP="00D33F96">
      <w:pPr>
        <w:spacing w:before="100" w:beforeAutospacing="1" w:after="100" w:afterAutospacing="1" w:line="240" w:lineRule="auto"/>
        <w:rPr>
          <w:rFonts w:ascii="Times New Roman" w:eastAsia="Times New Roman" w:hAnsi="Times New Roman"/>
          <w:b/>
          <w:bCs/>
          <w:sz w:val="24"/>
          <w:szCs w:val="24"/>
        </w:rPr>
      </w:pPr>
      <w:r w:rsidRPr="00364596">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Do not direct others to stop CPR unless patient is clearly dead.  Know your local EMS protocols on when a patient is deceased.</w:t>
      </w:r>
    </w:p>
    <w:p w14:paraId="7D66B3F2" w14:textId="77777777" w:rsidR="00D33F96" w:rsidRDefault="00D33F96" w:rsidP="006A02A4">
      <w:pPr>
        <w:rPr>
          <w:rFonts w:ascii="Arial Black" w:hAnsi="Arial Black"/>
          <w:b/>
          <w:bCs/>
          <w:sz w:val="28"/>
          <w:szCs w:val="28"/>
        </w:rPr>
      </w:pPr>
    </w:p>
    <w:p w14:paraId="34327A3A" w14:textId="7829C64B" w:rsidR="00D33F96" w:rsidRDefault="00D33F96" w:rsidP="006A02A4">
      <w:pPr>
        <w:rPr>
          <w:rFonts w:ascii="Arial Black" w:hAnsi="Arial Black"/>
          <w:b/>
          <w:bCs/>
          <w:sz w:val="28"/>
          <w:szCs w:val="28"/>
        </w:rPr>
      </w:pPr>
      <w:r>
        <w:rPr>
          <w:rFonts w:ascii="Arial Black" w:hAnsi="Arial Black"/>
          <w:b/>
          <w:bCs/>
          <w:sz w:val="28"/>
          <w:szCs w:val="28"/>
        </w:rPr>
        <w:t>13-148</w:t>
      </w:r>
    </w:p>
    <w:p w14:paraId="70E06592" w14:textId="77777777" w:rsidR="00D33F96" w:rsidRPr="004507F9" w:rsidRDefault="00D33F96" w:rsidP="00D33F96">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IL: TWO MEDICS CHARGED WITH MURDER – STRAPPED PT FACE DOWN / DIED – BOND A MEDIC REDUCED TO $600,000 </w:t>
      </w:r>
    </w:p>
    <w:p w14:paraId="6BA58D85" w14:textId="77777777" w:rsidR="00D33F96" w:rsidRDefault="00D33F96" w:rsidP="00D33F96">
      <w:pPr>
        <w:pStyle w:val="NormalWeb"/>
      </w:pPr>
      <w:r w:rsidRPr="004507F9">
        <w:t xml:space="preserve">On June 16, 2023, in </w:t>
      </w:r>
      <w:r w:rsidRPr="004507F9">
        <w:rPr>
          <w:u w:val="single"/>
        </w:rPr>
        <w:t>The People of the State of Illinois v. Peggy J. Finle</w:t>
      </w:r>
      <w:r>
        <w:t xml:space="preserve">y, the Court of Appeals of Illinois, Fourth District, held (3 to 0) that the trial court </w:t>
      </w:r>
      <w:proofErr w:type="gramStart"/>
      <w:r>
        <w:t>should have lowered</w:t>
      </w:r>
      <w:proofErr w:type="gramEnd"/>
      <w:r>
        <w:t xml:space="preserve"> the paramedic’s bond from $1 million to $600,000 (she must post 10%).  </w:t>
      </w:r>
    </w:p>
    <w:p w14:paraId="49330E58" w14:textId="77777777" w:rsidR="00D33F96" w:rsidRPr="008420C5" w:rsidRDefault="00D33F96" w:rsidP="00D33F96">
      <w:pPr>
        <w:pStyle w:val="NormalWeb"/>
      </w:pPr>
      <w:r>
        <w:t>The Court held: “</w:t>
      </w:r>
      <w:r w:rsidRPr="004507F9">
        <w:t xml:space="preserve">Defendant, a 45-year-old paramedic, was on duty and working with Peter Cadigan, when they responded to a call for the transportation of Earl Moore, Jr., to the hospital for medical treatment. Shortly after his arrival at the hospital, Moore died. Asserting Moore died of positional asphyxiation and compressional asphyxiation after being strapped face down on a gurney, the State charged defendant and Cadigan with first-degree murder. </w:t>
      </w:r>
      <w:r>
        <w:t xml:space="preserve">*** </w:t>
      </w:r>
      <w:r w:rsidRPr="008420C5">
        <w:t xml:space="preserve">Here, </w:t>
      </w:r>
      <w:proofErr w:type="gramStart"/>
      <w:r w:rsidRPr="008420C5">
        <w:t>defendant's</w:t>
      </w:r>
      <w:proofErr w:type="gramEnd"/>
      <w:r w:rsidRPr="008420C5">
        <w:t xml:space="preserve"> ties to central Illinois are strong, indicating a low risk of flight. Except for a relatively brief time when her work addressed COVID-19-related staffing issues in Kentucky, Oregon, and St. Croix, defendant has resided in central Illinois her entire life. Her adult children reside there, as do her grandchildren. She is in what appears to be a romantic relationship with someone in central Illinois. Defendant also maintained gainful employment in the area. </w:t>
      </w:r>
      <w:r>
        <w:t>D</w:t>
      </w:r>
      <w:r w:rsidRPr="008420C5">
        <w:t xml:space="preserve">efendant's financial condition further makes it unlikely she will flee. The circuit court found her to be indigent. </w:t>
      </w:r>
      <w:proofErr w:type="gramStart"/>
      <w:r w:rsidRPr="008420C5">
        <w:t>Defendant is</w:t>
      </w:r>
      <w:proofErr w:type="gramEnd"/>
      <w:r w:rsidRPr="008420C5">
        <w:t xml:space="preserve"> relying on the financial support of family, friends, and acquaintances to receive bail money. Nothing on the record from her background indicates defendant has the ability or desire to flee and deprive those individuals of reimbursement of those funds.</w:t>
      </w:r>
      <w:r>
        <w:t xml:space="preserve">” </w:t>
      </w:r>
      <w:hyperlink r:id="rId2217" w:history="1">
        <w:r w:rsidRPr="00812663">
          <w:rPr>
            <w:rStyle w:val="Hyperlink"/>
          </w:rPr>
          <w:t>https://casetext.com/case/people-v-finley-127</w:t>
        </w:r>
      </w:hyperlink>
      <w:r>
        <w:t xml:space="preserve"> </w:t>
      </w:r>
    </w:p>
    <w:p w14:paraId="0CCB4711" w14:textId="38882FD7" w:rsidR="00D33F96" w:rsidRDefault="00D33F96" w:rsidP="00D33F96">
      <w:pPr>
        <w:spacing w:before="100" w:beforeAutospacing="1" w:after="100" w:afterAutospacing="1" w:line="240" w:lineRule="auto"/>
        <w:rPr>
          <w:rFonts w:ascii="Times New Roman" w:eastAsia="Times New Roman" w:hAnsi="Times New Roman"/>
          <w:b/>
          <w:bCs/>
          <w:sz w:val="24"/>
          <w:szCs w:val="24"/>
        </w:rPr>
      </w:pPr>
      <w:r w:rsidRPr="008420C5">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A jury of 12 will ultimately decide if State has proven these charges beyond a reasonable doubt. </w:t>
      </w:r>
    </w:p>
    <w:p w14:paraId="6D721B6F" w14:textId="77777777" w:rsidR="00D33F96" w:rsidRDefault="00D33F96" w:rsidP="00D33F96">
      <w:pPr>
        <w:spacing w:before="100" w:beforeAutospacing="1" w:after="100" w:afterAutospacing="1" w:line="240" w:lineRule="auto"/>
        <w:ind w:left="720"/>
        <w:rPr>
          <w:rFonts w:ascii="Times New Roman" w:hAnsi="Times New Roman"/>
          <w:sz w:val="24"/>
          <w:szCs w:val="24"/>
        </w:rPr>
      </w:pPr>
      <w:r w:rsidRPr="00860A69">
        <w:rPr>
          <w:rFonts w:ascii="Times New Roman" w:eastAsia="Times New Roman" w:hAnsi="Times New Roman"/>
          <w:sz w:val="24"/>
          <w:szCs w:val="24"/>
        </w:rPr>
        <w:t xml:space="preserve">Note: Watch this TV video, including PD body camera. </w:t>
      </w:r>
      <w:hyperlink r:id="rId2218" w:history="1">
        <w:r w:rsidRPr="001055F4">
          <w:rPr>
            <w:rStyle w:val="Hyperlink"/>
            <w:sz w:val="24"/>
            <w:szCs w:val="24"/>
          </w:rPr>
          <w:t>https://www.youtube.com/watch?v=GHO2Qjk4XIo</w:t>
        </w:r>
      </w:hyperlink>
    </w:p>
    <w:p w14:paraId="74C11A49" w14:textId="77777777" w:rsidR="00D33F96" w:rsidRDefault="00D33F96" w:rsidP="006A02A4">
      <w:pPr>
        <w:rPr>
          <w:rFonts w:ascii="Arial Black" w:hAnsi="Arial Black"/>
          <w:b/>
          <w:bCs/>
          <w:sz w:val="28"/>
          <w:szCs w:val="28"/>
        </w:rPr>
      </w:pPr>
    </w:p>
    <w:p w14:paraId="2228F785" w14:textId="77777777" w:rsidR="00D33F96" w:rsidRDefault="00D33F96" w:rsidP="006A02A4">
      <w:pPr>
        <w:rPr>
          <w:rFonts w:ascii="Arial Black" w:hAnsi="Arial Black"/>
          <w:b/>
          <w:bCs/>
          <w:sz w:val="28"/>
          <w:szCs w:val="28"/>
        </w:rPr>
      </w:pPr>
    </w:p>
    <w:p w14:paraId="6221755B" w14:textId="681253E2" w:rsidR="00237599" w:rsidRDefault="00237599" w:rsidP="006A02A4">
      <w:pPr>
        <w:rPr>
          <w:rFonts w:ascii="Arial Black" w:hAnsi="Arial Black"/>
          <w:b/>
          <w:bCs/>
          <w:sz w:val="28"/>
          <w:szCs w:val="28"/>
        </w:rPr>
      </w:pPr>
      <w:r>
        <w:rPr>
          <w:rFonts w:ascii="Arial Black" w:hAnsi="Arial Black"/>
          <w:b/>
          <w:bCs/>
          <w:sz w:val="28"/>
          <w:szCs w:val="28"/>
        </w:rPr>
        <w:t>13-147</w:t>
      </w:r>
    </w:p>
    <w:p w14:paraId="50D90B26" w14:textId="77777777" w:rsidR="00237599" w:rsidRPr="008D1A6E" w:rsidRDefault="00237599" w:rsidP="00237599">
      <w:pPr>
        <w:pStyle w:val="NormalWeb"/>
        <w:rPr>
          <w:rFonts w:ascii="Arial Black" w:hAnsi="Arial Black"/>
          <w:sz w:val="28"/>
          <w:szCs w:val="28"/>
        </w:rPr>
      </w:pPr>
      <w:bookmarkStart w:id="436" w:name="_Hlk136860551"/>
      <w:r>
        <w:rPr>
          <w:rFonts w:ascii="Arial Black" w:hAnsi="Arial Black"/>
          <w:sz w:val="28"/>
          <w:szCs w:val="28"/>
        </w:rPr>
        <w:t>OK: COMBATIVE PT - MEDICS CALL HELP – 4 FF PIN HIM FACE DOWN, PD HANDCUFFS - DIES – FF QUAL. IMMUNITY</w:t>
      </w:r>
    </w:p>
    <w:bookmarkEnd w:id="436"/>
    <w:p w14:paraId="61E6084B" w14:textId="318D8BD8" w:rsidR="00237599" w:rsidRDefault="00237599" w:rsidP="00237599">
      <w:pPr>
        <w:rPr>
          <w:rStyle w:val="Hyperlink"/>
          <w:rFonts w:ascii="Times New Roman" w:eastAsiaTheme="majorEastAsia" w:hAnsi="Times New Roman"/>
          <w:sz w:val="24"/>
          <w:szCs w:val="24"/>
        </w:rPr>
      </w:pPr>
      <w:r w:rsidRPr="00237599">
        <w:rPr>
          <w:rFonts w:ascii="Times New Roman" w:hAnsi="Times New Roman"/>
          <w:sz w:val="24"/>
          <w:szCs w:val="24"/>
        </w:rPr>
        <w:t xml:space="preserve">On May 19, 2023, in </w:t>
      </w:r>
      <w:r w:rsidRPr="00237599">
        <w:rPr>
          <w:rFonts w:ascii="Times New Roman" w:hAnsi="Times New Roman"/>
          <w:sz w:val="24"/>
          <w:szCs w:val="24"/>
          <w:u w:val="single"/>
        </w:rPr>
        <w:t>Charles Kaleb Vanlandingham, Administrator for the Estate of Charles Lamar Vanlandingham v. City of Oklahoma City</w:t>
      </w:r>
      <w:r w:rsidRPr="00237599">
        <w:rPr>
          <w:rFonts w:ascii="Times New Roman" w:hAnsi="Times New Roman"/>
          <w:sz w:val="24"/>
          <w:szCs w:val="24"/>
        </w:rPr>
        <w:t xml:space="preserve">, Chief U.S. District Court Judge Timothy D. </w:t>
      </w:r>
      <w:proofErr w:type="spellStart"/>
      <w:r w:rsidRPr="00237599">
        <w:rPr>
          <w:rFonts w:ascii="Times New Roman" w:hAnsi="Times New Roman"/>
          <w:sz w:val="24"/>
          <w:szCs w:val="24"/>
        </w:rPr>
        <w:t>DeGisti</w:t>
      </w:r>
      <w:proofErr w:type="spellEnd"/>
      <w:r w:rsidRPr="00237599">
        <w:rPr>
          <w:rFonts w:ascii="Times New Roman" w:hAnsi="Times New Roman"/>
          <w:sz w:val="24"/>
          <w:szCs w:val="24"/>
        </w:rPr>
        <w:t xml:space="preserve">, U.S. District Court, Western District of Oklahoma, dismissed the four firefighters from the lawsuit; they enjoy qualified immunity even if performing law enforcement type duties of subduing the patient.  The lawsuit may, however, proceed against the police officer on alleged excessive force. </w:t>
      </w:r>
      <w:hyperlink r:id="rId2219" w:history="1">
        <w:r w:rsidRPr="00237599">
          <w:rPr>
            <w:rStyle w:val="Hyperlink"/>
            <w:rFonts w:ascii="Times New Roman" w:eastAsiaTheme="majorEastAsia" w:hAnsi="Times New Roman"/>
            <w:sz w:val="24"/>
            <w:szCs w:val="24"/>
          </w:rPr>
          <w:t>https://public.fastcase.com/ZZhmr5v9wN%2FXOe5IsQ%2FqD1tuyppLBnLrMmR86JNFVAlEsCewO4n%2BqmcnLV2ysm6tZCnkIxWDhw4CT9a2YbHZsY59KqRUUsvnj3oq0k4kZUY%3D?utm_medium=email&amp;_hsmi=226712652&amp;_hsenc=p2ANqtz-_TDFfv4pLQcLfqFCn8pFSxh77smp5fK7rovyeiHf7hqXQSyFbPSdIcgszVq5PNSPeSOT64f2E-JPGn2x6-fH_4dd4mvg&amp;utm_content=226712652&amp;utm_source=hs_email</w:t>
        </w:r>
      </w:hyperlink>
    </w:p>
    <w:p w14:paraId="50A5F754" w14:textId="77777777" w:rsidR="00237599" w:rsidRDefault="00237599" w:rsidP="00237599">
      <w:pPr>
        <w:pStyle w:val="NormalWeb"/>
        <w:ind w:left="720"/>
      </w:pPr>
      <w:r>
        <w:t xml:space="preserve">“The Court recognizes that Plaintiff alleges the paramedics called for assistance in handling a combative patient, and case law supports the view that restraints imposed for this purpose do not constitute a ‘seizure’ under the Fourth Amendment….  In response to Firefighters' Motion, Plaintiff identifies no Supreme Court, Tenth Circuit, or other published appellate decision that would have made clear to a reasonable person in Firefighters' position that their alleged conduct toward Mr. Vanlandingham was governed by the Fourth Amendment. *** The Court therefore finds that Plaintiff has not met his burden to overcome Firefighters' qualified immunity from suit on his § 1983 claims for unlawful detention of, or use of unreasonable force against, Mr. Vanlandingham.” </w:t>
      </w:r>
    </w:p>
    <w:p w14:paraId="6ADDE945" w14:textId="77777777" w:rsidR="00237599" w:rsidRPr="002966A6" w:rsidRDefault="00237599" w:rsidP="00237599">
      <w:pPr>
        <w:pStyle w:val="NormalWeb"/>
        <w:rPr>
          <w:b/>
          <w:bCs/>
        </w:rPr>
      </w:pPr>
      <w:r w:rsidRPr="002966A6">
        <w:rPr>
          <w:b/>
          <w:bCs/>
        </w:rPr>
        <w:t xml:space="preserve">Legal Lesson Learned: </w:t>
      </w:r>
      <w:r>
        <w:rPr>
          <w:b/>
          <w:bCs/>
        </w:rPr>
        <w:t xml:space="preserve">Firefighters enjoy qualified immunity; </w:t>
      </w:r>
      <w:r w:rsidRPr="002966A6">
        <w:rPr>
          <w:b/>
          <w:bCs/>
        </w:rPr>
        <w:t>restrain</w:t>
      </w:r>
      <w:r>
        <w:rPr>
          <w:b/>
          <w:bCs/>
        </w:rPr>
        <w:t xml:space="preserve">ing </w:t>
      </w:r>
      <w:r w:rsidRPr="002966A6">
        <w:rPr>
          <w:b/>
          <w:bCs/>
        </w:rPr>
        <w:t>a combative patient does not constitute a ‘seizure’ under the Fourth Amendment</w:t>
      </w:r>
    </w:p>
    <w:p w14:paraId="379B01EF" w14:textId="77777777" w:rsidR="00237599" w:rsidRDefault="00237599" w:rsidP="00237599">
      <w:pPr>
        <w:rPr>
          <w:rFonts w:ascii="Times New Roman" w:hAnsi="Times New Roman"/>
          <w:b/>
          <w:bCs/>
          <w:sz w:val="24"/>
          <w:szCs w:val="24"/>
        </w:rPr>
      </w:pPr>
    </w:p>
    <w:p w14:paraId="75B2502A" w14:textId="3781CB33" w:rsidR="00237599" w:rsidRDefault="00237599" w:rsidP="00237599">
      <w:pPr>
        <w:rPr>
          <w:rFonts w:ascii="Arial Black" w:hAnsi="Arial Black"/>
          <w:b/>
          <w:bCs/>
          <w:sz w:val="28"/>
          <w:szCs w:val="28"/>
        </w:rPr>
      </w:pPr>
      <w:r>
        <w:rPr>
          <w:rFonts w:ascii="Arial Black" w:hAnsi="Arial Black"/>
          <w:b/>
          <w:bCs/>
          <w:sz w:val="28"/>
          <w:szCs w:val="28"/>
        </w:rPr>
        <w:t>13-146</w:t>
      </w:r>
    </w:p>
    <w:p w14:paraId="4ED9453E" w14:textId="77777777" w:rsidR="00237599" w:rsidRPr="00FB5B17" w:rsidRDefault="00237599" w:rsidP="00237599">
      <w:pPr>
        <w:pStyle w:val="NormalWeb"/>
        <w:rPr>
          <w:rFonts w:ascii="Arial Black" w:hAnsi="Arial Black"/>
          <w:sz w:val="28"/>
          <w:szCs w:val="28"/>
        </w:rPr>
      </w:pPr>
      <w:bookmarkStart w:id="437" w:name="_Hlk136860623"/>
      <w:r>
        <w:rPr>
          <w:rFonts w:ascii="Arial Black" w:hAnsi="Arial Black"/>
          <w:sz w:val="28"/>
          <w:szCs w:val="28"/>
        </w:rPr>
        <w:t xml:space="preserve">KY: FIRE CHIEF HELPED 3 PD HANDCUFF NAKED MAN – “BAD METH” - DIED – QUALIFIED OFFICIAL IMMUNITY </w:t>
      </w:r>
    </w:p>
    <w:bookmarkEnd w:id="437"/>
    <w:p w14:paraId="0042390A" w14:textId="77777777" w:rsidR="00237599" w:rsidRDefault="00237599" w:rsidP="00237599">
      <w:pPr>
        <w:pStyle w:val="NormalWeb"/>
      </w:pPr>
      <w:r>
        <w:t xml:space="preserve">On May 19, 2023, in </w:t>
      </w:r>
      <w:r w:rsidRPr="00FB5B17">
        <w:rPr>
          <w:u w:val="single"/>
        </w:rPr>
        <w:t>Paula M. Haney, as Personal Representative of Estate of Donald Prater, Jr., v. City of Painesville, et al</w:t>
      </w:r>
      <w:r>
        <w:t xml:space="preserve">.,  the Court of Appeals of Kentucky held (3 to 0: unpublished opinion) that Fire Chief Rick Ratliff, Paintsville Fire Department was properly dismissed from the lawsuit. The case against police officers was remanded to trial court to make a finding on whether the patient was in their custody and owed him duties due to this “special relationship.” </w:t>
      </w:r>
      <w:hyperlink r:id="rId2220" w:history="1">
        <w:r w:rsidRPr="009F744A">
          <w:rPr>
            <w:rStyle w:val="Hyperlink"/>
            <w:rFonts w:eastAsiaTheme="majorEastAsia"/>
          </w:rPr>
          <w:t>https://public.fastcase.com/ZZhmr5v9wN%2FXOe5IsQ%2FqD3yVZPtM4gE5qxUG0JmvBs4KZKL0kykfWRWAFzVzGOUSCymfVjFMg8ksTGDwIJSWELTF6XkccOjxJx4J8ta6mPQ%3D?utm_medium=email&amp;_hsmi=</w:t>
        </w:r>
        <w:r w:rsidRPr="009F744A">
          <w:rPr>
            <w:rStyle w:val="Hyperlink"/>
            <w:rFonts w:eastAsiaTheme="majorEastAsia"/>
          </w:rPr>
          <w:lastRenderedPageBreak/>
          <w:t>226712652&amp;_hsenc=p2ANqtz-91z17HDQg9Q71tjjdfZzo5M0dPvb4mrX2MWXe9g7uh0-gjm69ERrplNGPGusNDxTqNwPz_oB2Mm624G4BOe4pHJTgwVA&amp;utm_content=226712652&amp;utm_source=hs_email</w:t>
        </w:r>
      </w:hyperlink>
      <w:r>
        <w:t xml:space="preserve"> </w:t>
      </w:r>
    </w:p>
    <w:p w14:paraId="0792DC20" w14:textId="77777777" w:rsidR="00237599" w:rsidRDefault="00237599" w:rsidP="00237599">
      <w:pPr>
        <w:pStyle w:val="NormalWeb"/>
        <w:ind w:left="720"/>
      </w:pPr>
      <w:r>
        <w:t xml:space="preserve">“Instead, all three officers, along with Fire Department Chief Ratliff who had arrived on the scene to respond as a medical responder, worked together to handcuff Prater. *** Notably, Kentucky has a longstanding tradition of treating firefighting as a governmental function and thereby cloaking it in immunity. *** The trial court's determination as to whether the Paintsville Fire Department is entitled to governmental immunity was correct. Turning to the determination </w:t>
      </w:r>
      <w:proofErr w:type="gramStart"/>
      <w:r>
        <w:t>as to</w:t>
      </w:r>
      <w:proofErr w:type="gramEnd"/>
      <w:r>
        <w:t xml:space="preserve"> Chief Ratliff personally, the trial court determined that his actions on that day were discretionary. We agree. As Chief Ratliff is a firefighter and emergency medical responder, he is not ordinarily engaged in participating in the arrest of citizens. He made a judgment that his assistance was needed to place Prater in handcuffs. The exercise of judgment is the gravamen of the exercise of discretion.” </w:t>
      </w:r>
    </w:p>
    <w:p w14:paraId="14F09820" w14:textId="77777777" w:rsidR="00237599" w:rsidRPr="00D717AB" w:rsidRDefault="00237599" w:rsidP="00237599">
      <w:pPr>
        <w:pStyle w:val="NormalWeb"/>
        <w:rPr>
          <w:b/>
          <w:bCs/>
        </w:rPr>
      </w:pPr>
      <w:r w:rsidRPr="00D717AB">
        <w:rPr>
          <w:b/>
          <w:bCs/>
        </w:rPr>
        <w:t>Legal Lesson Learned:</w:t>
      </w:r>
      <w:r>
        <w:rPr>
          <w:b/>
          <w:bCs/>
        </w:rPr>
        <w:t xml:space="preserve"> Helpful decision confirming “official qualified immunity” for firefighters in Kentucky. </w:t>
      </w:r>
    </w:p>
    <w:p w14:paraId="09C46813" w14:textId="77777777" w:rsidR="00237599" w:rsidRDefault="00237599" w:rsidP="00237599">
      <w:pPr>
        <w:rPr>
          <w:rFonts w:ascii="Arial Black" w:hAnsi="Arial Black"/>
          <w:b/>
          <w:bCs/>
          <w:sz w:val="28"/>
          <w:szCs w:val="28"/>
        </w:rPr>
      </w:pPr>
    </w:p>
    <w:p w14:paraId="5619D293" w14:textId="7717BEF7" w:rsidR="00237599" w:rsidRDefault="00237599" w:rsidP="00237599">
      <w:pPr>
        <w:rPr>
          <w:rFonts w:ascii="Arial Black" w:hAnsi="Arial Black"/>
          <w:b/>
          <w:bCs/>
          <w:sz w:val="28"/>
          <w:szCs w:val="28"/>
        </w:rPr>
      </w:pPr>
      <w:r>
        <w:rPr>
          <w:rFonts w:ascii="Arial Black" w:hAnsi="Arial Black"/>
          <w:b/>
          <w:bCs/>
          <w:sz w:val="28"/>
          <w:szCs w:val="28"/>
        </w:rPr>
        <w:t>13-145</w:t>
      </w:r>
    </w:p>
    <w:p w14:paraId="6B59900E" w14:textId="77777777" w:rsidR="00A01262" w:rsidRPr="00374572" w:rsidRDefault="00A01262" w:rsidP="00A01262">
      <w:pPr>
        <w:pStyle w:val="NormalWeb"/>
        <w:rPr>
          <w:rFonts w:ascii="Arial Black" w:hAnsi="Arial Black"/>
          <w:b/>
          <w:bCs/>
          <w:sz w:val="28"/>
          <w:szCs w:val="28"/>
        </w:rPr>
      </w:pPr>
      <w:bookmarkStart w:id="438" w:name="_Hlk136860693"/>
      <w:r>
        <w:rPr>
          <w:rFonts w:ascii="Arial Black" w:hAnsi="Arial Black"/>
          <w:b/>
          <w:bCs/>
          <w:sz w:val="28"/>
          <w:szCs w:val="28"/>
        </w:rPr>
        <w:t>KY: HOSPITAL ON DIVERSION – DIDN’T TELL EMS – STEMI PATIENT TURNED AWAY– JURY $1.8 MILLION PUNITIVE</w:t>
      </w:r>
    </w:p>
    <w:bookmarkEnd w:id="438"/>
    <w:p w14:paraId="65F8537B" w14:textId="77777777" w:rsidR="00A01262" w:rsidRDefault="00A01262" w:rsidP="00A01262">
      <w:pPr>
        <w:pStyle w:val="NormalWeb"/>
      </w:pPr>
      <w:r>
        <w:t xml:space="preserve">On May 8, 2023, in </w:t>
      </w:r>
      <w:r w:rsidRPr="00287FCD">
        <w:rPr>
          <w:u w:val="single"/>
        </w:rPr>
        <w:t>William H. Williams v. Baptist Healthcare System, Inc.</w:t>
      </w:r>
      <w:r>
        <w:t>, U.S. District Court Judge Clair H. Boom, U.S. District Court for Western District of Kentucky, Louisville Division, refused the hospital’s post-trial motion to set aside the verdict.  The hospital admitted it had breached EMTALA [</w:t>
      </w:r>
      <w:r w:rsidRPr="00287FCD">
        <w:t>Emergency Medical Treatment and Labor Act]</w:t>
      </w:r>
      <w:r>
        <w:t xml:space="preserve">; the jury awarded Plaintiff compensatory damages in the amount of $545,000 and punitive damages in the amount of $1,850,000. The hospital asked trial judge to set aside the verdict, claiming no proof of gross negligence. </w:t>
      </w:r>
      <w:hyperlink r:id="rId2221" w:history="1">
        <w:r w:rsidRPr="008E5D86">
          <w:rPr>
            <w:rStyle w:val="Hyperlink"/>
            <w:rFonts w:eastAsiaTheme="majorEastAsia"/>
          </w:rPr>
          <w:t>https://public.fastcase.com/ZZhmr5v9wN%2FXOe5IsQ%2FqD6Xk9Se1JBeTiY14mFqaZIC5zf3duAqu51qE94mXCojrTIXHUx6W2UZ5EsVNrKWWswbYRHUo1KFYOQ9M2ppF1oA%3D?utm_medium=email&amp;_hsmi=226712652&amp;_hsenc=p2ANqtz-9aFlMC5FDCM2U0K8x384sblH4I0CGG1sOM-rog5fs89w4bS-qizqdVKzMegY3x51ZczlJkgb2TT7R5d8mF-dWwXy7XkA&amp;utm_content=226712652&amp;utm_source=hs_email</w:t>
        </w:r>
      </w:hyperlink>
      <w:r>
        <w:t xml:space="preserve"> </w:t>
      </w:r>
    </w:p>
    <w:p w14:paraId="02A79331" w14:textId="77777777" w:rsidR="00A01262" w:rsidRDefault="00A01262" w:rsidP="00A01262">
      <w:pPr>
        <w:pStyle w:val="NormalWeb"/>
        <w:ind w:left="720"/>
      </w:pPr>
      <w:r>
        <w:t xml:space="preserve">“First, with respect to Nurse Blankenship, the Court finds that the jury could find her actions sufficiently egregious to amount to gross negligence…. The evidence also showed that, prior to </w:t>
      </w:r>
      <w:proofErr w:type="gramStart"/>
      <w:r>
        <w:t>the night of April</w:t>
      </w:r>
      <w:proofErr w:type="gramEnd"/>
      <w:r>
        <w:t xml:space="preserve"> 4, 2015, Nurse Blankenship had only received ‘about five minutes’ of EMTALA training. </w:t>
      </w:r>
    </w:p>
    <w:p w14:paraId="71C67BCA" w14:textId="77777777" w:rsidR="00A01262" w:rsidRDefault="00A01262" w:rsidP="00A01262">
      <w:pPr>
        <w:pStyle w:val="NormalWeb"/>
        <w:ind w:firstLine="720"/>
      </w:pPr>
      <w:r>
        <w:t>***</w:t>
      </w:r>
    </w:p>
    <w:p w14:paraId="6687EF0A" w14:textId="77777777" w:rsidR="00A01262" w:rsidRDefault="00A01262" w:rsidP="00A01262">
      <w:pPr>
        <w:pStyle w:val="NormalWeb"/>
        <w:ind w:left="720"/>
      </w:pPr>
      <w:r>
        <w:t xml:space="preserve">The failure of Baptist to activate the STEMI protocol, failure to alert local EMS of the diversion every three hours, and failure to call UK when Mr. Williams was actually sent to the University of Kentucky, and also failure to contact EMS per their policy after Mr. Williams showed up and was sent to UK so that it wouldn't happen again later that weekend, failure to disclose in the OIG report that this was a diversion for inbound STEMIs - now, you might view that in a different way, but the language of the OIG report just says “transfers to another hospital” - the fact that Nurse Blankenship didn't - the failure of Nurse Blankenship to write down who the EMS was that called and to take their telephone number; the testimony that Nurse Blankenship told EMS that they should go to Good Samaritan Hospital even though Good Samaritan did not have a </w:t>
      </w:r>
      <w:proofErr w:type="spellStart"/>
      <w:r>
        <w:t>cath</w:t>
      </w:r>
      <w:proofErr w:type="spellEnd"/>
      <w:r>
        <w:t xml:space="preserve"> lab.” </w:t>
      </w:r>
    </w:p>
    <w:p w14:paraId="766BD7FF" w14:textId="77777777" w:rsidR="00A01262" w:rsidRPr="003C5C00" w:rsidRDefault="00A01262" w:rsidP="00A01262">
      <w:pPr>
        <w:pStyle w:val="NormalWeb"/>
        <w:rPr>
          <w:b/>
          <w:bCs/>
        </w:rPr>
      </w:pPr>
      <w:r w:rsidRPr="003C5C00">
        <w:rPr>
          <w:b/>
          <w:bCs/>
        </w:rPr>
        <w:lastRenderedPageBreak/>
        <w:t>Legal Lesson Learned:</w:t>
      </w:r>
      <w:r>
        <w:rPr>
          <w:b/>
          <w:bCs/>
        </w:rPr>
        <w:t xml:space="preserve"> The jury awarded punitive damages to “punish” the hospital for causing delay to patient with STEMI. </w:t>
      </w:r>
    </w:p>
    <w:p w14:paraId="71657DFA" w14:textId="77777777" w:rsidR="00237599" w:rsidRDefault="00237599" w:rsidP="006A02A4">
      <w:pPr>
        <w:rPr>
          <w:rFonts w:ascii="Arial Black" w:hAnsi="Arial Black"/>
          <w:b/>
          <w:bCs/>
          <w:sz w:val="28"/>
          <w:szCs w:val="28"/>
        </w:rPr>
      </w:pPr>
    </w:p>
    <w:p w14:paraId="2499F44B" w14:textId="38A01C2B" w:rsidR="006A02A4" w:rsidRDefault="00227BDE" w:rsidP="006A02A4">
      <w:pPr>
        <w:rPr>
          <w:rFonts w:ascii="Arial Black" w:hAnsi="Arial Black"/>
          <w:b/>
          <w:bCs/>
          <w:sz w:val="28"/>
          <w:szCs w:val="28"/>
        </w:rPr>
      </w:pPr>
      <w:r>
        <w:rPr>
          <w:rFonts w:ascii="Arial Black" w:hAnsi="Arial Black"/>
          <w:b/>
          <w:bCs/>
          <w:sz w:val="28"/>
          <w:szCs w:val="28"/>
        </w:rPr>
        <w:t>13-14</w:t>
      </w:r>
      <w:r w:rsidR="006A02A4">
        <w:rPr>
          <w:rFonts w:ascii="Arial Black" w:hAnsi="Arial Black"/>
          <w:b/>
          <w:bCs/>
          <w:sz w:val="28"/>
          <w:szCs w:val="28"/>
        </w:rPr>
        <w:t>4</w:t>
      </w:r>
    </w:p>
    <w:p w14:paraId="368BC478" w14:textId="14B5FC3A" w:rsidR="00227BDE" w:rsidRPr="00F44C22" w:rsidRDefault="00227BDE" w:rsidP="006A02A4">
      <w:pPr>
        <w:rPr>
          <w:rFonts w:ascii="Arial Black" w:hAnsi="Arial Black"/>
          <w:sz w:val="28"/>
          <w:szCs w:val="28"/>
        </w:rPr>
      </w:pPr>
      <w:r w:rsidRPr="00F44C22">
        <w:rPr>
          <w:rFonts w:ascii="Arial Black" w:hAnsi="Arial Black"/>
          <w:b/>
          <w:bCs/>
          <w:sz w:val="28"/>
          <w:szCs w:val="28"/>
        </w:rPr>
        <w:t xml:space="preserve">KY </w:t>
      </w:r>
      <w:r>
        <w:rPr>
          <w:rFonts w:ascii="Arial Black" w:hAnsi="Arial Black"/>
          <w:b/>
          <w:bCs/>
          <w:sz w:val="28"/>
          <w:szCs w:val="28"/>
        </w:rPr>
        <w:t xml:space="preserve">(4/27/2023): EMS TOOK ASSAULT VICTIM </w:t>
      </w:r>
      <w:r w:rsidRPr="00F44C22">
        <w:rPr>
          <w:rFonts w:ascii="Arial Black" w:hAnsi="Arial Black"/>
          <w:b/>
          <w:bCs/>
          <w:sz w:val="28"/>
          <w:szCs w:val="28"/>
        </w:rPr>
        <w:t xml:space="preserve">TRAUMA </w:t>
      </w:r>
      <w:r>
        <w:rPr>
          <w:rFonts w:ascii="Arial Black" w:hAnsi="Arial Black"/>
          <w:b/>
          <w:bCs/>
          <w:sz w:val="28"/>
          <w:szCs w:val="28"/>
        </w:rPr>
        <w:t xml:space="preserve">HOSP - CRIM. TRIAL ED DOC TESTIFIED </w:t>
      </w:r>
      <w:r w:rsidRPr="00F44C22">
        <w:rPr>
          <w:rFonts w:ascii="Arial Black" w:hAnsi="Arial Black"/>
          <w:b/>
          <w:bCs/>
          <w:sz w:val="28"/>
          <w:szCs w:val="28"/>
        </w:rPr>
        <w:t xml:space="preserve">VIA ZOOM </w:t>
      </w:r>
      <w:r>
        <w:rPr>
          <w:rFonts w:ascii="Arial Black" w:hAnsi="Arial Black"/>
          <w:b/>
          <w:bCs/>
          <w:sz w:val="28"/>
          <w:szCs w:val="28"/>
        </w:rPr>
        <w:t xml:space="preserve">– CONV. REV. </w:t>
      </w:r>
    </w:p>
    <w:p w14:paraId="2AFCF940" w14:textId="77777777" w:rsidR="00227BDE" w:rsidRDefault="00227BDE" w:rsidP="00227BDE">
      <w:pPr>
        <w:pStyle w:val="NoSpacing"/>
      </w:pPr>
    </w:p>
    <w:p w14:paraId="45F2D4EE" w14:textId="77777777" w:rsidR="00227BDE" w:rsidRPr="003C1643" w:rsidRDefault="00227BDE" w:rsidP="00227BDE">
      <w:pPr>
        <w:pStyle w:val="NoSpacing"/>
        <w:rPr>
          <w:rFonts w:ascii="Times New Roman" w:hAnsi="Times New Roman"/>
          <w:sz w:val="24"/>
          <w:szCs w:val="24"/>
        </w:rPr>
      </w:pPr>
      <w:r w:rsidRPr="003C1643">
        <w:rPr>
          <w:rFonts w:ascii="Times New Roman" w:hAnsi="Times New Roman"/>
          <w:sz w:val="24"/>
          <w:szCs w:val="24"/>
          <w:u w:val="single"/>
        </w:rPr>
        <w:t>Donnie Campbell v. Commonwealth of Kentucky</w:t>
      </w:r>
      <w:r w:rsidRPr="003C1643">
        <w:rPr>
          <w:rFonts w:ascii="Times New Roman" w:hAnsi="Times New Roman"/>
          <w:sz w:val="24"/>
          <w:szCs w:val="24"/>
        </w:rPr>
        <w:t xml:space="preserve">, Supreme Court of Kentucky. </w:t>
      </w:r>
      <w:hyperlink r:id="rId2222" w:history="1">
        <w:r w:rsidRPr="003C1643">
          <w:rPr>
            <w:rStyle w:val="Hyperlink"/>
            <w:rFonts w:ascii="Times New Roman" w:hAnsi="Times New Roman"/>
            <w:sz w:val="24"/>
            <w:szCs w:val="24"/>
          </w:rPr>
          <w:t>https://law.justia.com/cases/kentucky/supreme-court/2023/2021-sc-0479-mr.html</w:t>
        </w:r>
      </w:hyperlink>
      <w:r w:rsidRPr="003C1643">
        <w:rPr>
          <w:rFonts w:ascii="Times New Roman" w:hAnsi="Times New Roman"/>
          <w:sz w:val="24"/>
          <w:szCs w:val="24"/>
        </w:rPr>
        <w:t xml:space="preserve"> </w:t>
      </w:r>
    </w:p>
    <w:p w14:paraId="7BB36B32" w14:textId="77777777" w:rsidR="00227BDE" w:rsidRPr="003C1643" w:rsidRDefault="00227BDE" w:rsidP="00227BDE">
      <w:pPr>
        <w:pStyle w:val="NormalWeb"/>
        <w:rPr>
          <w:b/>
          <w:bCs/>
        </w:rPr>
      </w:pPr>
      <w:r w:rsidRPr="003C1643">
        <w:rPr>
          <w:b/>
          <w:bCs/>
        </w:rPr>
        <w:t xml:space="preserve">Legal Lesson Learned: Timely subpoena ED doctor and other key witnesses to appear in person for criminal trials. </w:t>
      </w:r>
    </w:p>
    <w:p w14:paraId="6F8EE4B6" w14:textId="77777777" w:rsidR="00227BDE" w:rsidRDefault="00227BDE" w:rsidP="002B1283">
      <w:pPr>
        <w:rPr>
          <w:rFonts w:ascii="Arial Black" w:hAnsi="Arial Black"/>
          <w:b/>
          <w:bCs/>
          <w:sz w:val="28"/>
          <w:szCs w:val="28"/>
        </w:rPr>
      </w:pPr>
      <w:r>
        <w:rPr>
          <w:rFonts w:ascii="Arial Black" w:hAnsi="Arial Black"/>
          <w:b/>
          <w:bCs/>
          <w:sz w:val="28"/>
          <w:szCs w:val="28"/>
        </w:rPr>
        <w:t xml:space="preserve"> </w:t>
      </w:r>
    </w:p>
    <w:p w14:paraId="7FDD1EC0" w14:textId="37C82A65" w:rsidR="006A02A4" w:rsidRDefault="006A02A4" w:rsidP="002B1283">
      <w:pPr>
        <w:rPr>
          <w:rFonts w:ascii="Arial Black" w:hAnsi="Arial Black"/>
          <w:b/>
          <w:bCs/>
          <w:sz w:val="28"/>
          <w:szCs w:val="28"/>
        </w:rPr>
      </w:pPr>
      <w:r>
        <w:rPr>
          <w:rFonts w:ascii="Arial Black" w:hAnsi="Arial Black"/>
          <w:b/>
          <w:bCs/>
          <w:sz w:val="28"/>
          <w:szCs w:val="28"/>
        </w:rPr>
        <w:t>13-143</w:t>
      </w:r>
    </w:p>
    <w:p w14:paraId="7D78F9A7" w14:textId="77777777" w:rsidR="00227BDE" w:rsidRPr="003515EA" w:rsidRDefault="00227BDE" w:rsidP="00227BDE">
      <w:pPr>
        <w:pStyle w:val="NoSpacing"/>
        <w:rPr>
          <w:rFonts w:ascii="Arial Black" w:hAnsi="Arial Black"/>
          <w:sz w:val="28"/>
          <w:szCs w:val="28"/>
        </w:rPr>
      </w:pPr>
      <w:r w:rsidRPr="003515EA">
        <w:rPr>
          <w:rFonts w:ascii="Arial Black" w:hAnsi="Arial Black"/>
          <w:sz w:val="28"/>
          <w:szCs w:val="28"/>
        </w:rPr>
        <w:t xml:space="preserve">IL (4/19/2023) – COVID 19 - CHICAGO MUST REHIRE EMPLOYEES </w:t>
      </w:r>
      <w:r>
        <w:rPr>
          <w:rFonts w:ascii="Arial Black" w:hAnsi="Arial Black"/>
          <w:sz w:val="28"/>
          <w:szCs w:val="28"/>
        </w:rPr>
        <w:t>–</w:t>
      </w:r>
      <w:r w:rsidRPr="003515EA">
        <w:rPr>
          <w:rFonts w:ascii="Arial Black" w:hAnsi="Arial Black"/>
          <w:sz w:val="28"/>
          <w:szCs w:val="28"/>
        </w:rPr>
        <w:t xml:space="preserve"> </w:t>
      </w:r>
      <w:r>
        <w:rPr>
          <w:rFonts w:ascii="Arial Black" w:hAnsi="Arial Black"/>
          <w:sz w:val="28"/>
          <w:szCs w:val="28"/>
        </w:rPr>
        <w:t xml:space="preserve">ALJ - </w:t>
      </w:r>
      <w:r w:rsidRPr="003515EA">
        <w:rPr>
          <w:rFonts w:ascii="Arial Black" w:hAnsi="Arial Black"/>
          <w:sz w:val="28"/>
          <w:szCs w:val="28"/>
        </w:rPr>
        <w:t xml:space="preserve">ILLINOIS LABOR RELATIONS BOARD </w:t>
      </w:r>
    </w:p>
    <w:p w14:paraId="250E779A" w14:textId="77777777" w:rsidR="00227BDE" w:rsidRDefault="00227BDE" w:rsidP="00227BDE">
      <w:pPr>
        <w:pStyle w:val="NoSpacing"/>
      </w:pPr>
    </w:p>
    <w:p w14:paraId="370F1335" w14:textId="77777777" w:rsidR="00227BDE" w:rsidRDefault="00227BDE" w:rsidP="00227BDE">
      <w:pPr>
        <w:pStyle w:val="NoSpacing"/>
        <w:rPr>
          <w:rStyle w:val="markedcontent"/>
          <w:rFonts w:ascii="Times New Roman" w:hAnsi="Times New Roman"/>
          <w:sz w:val="24"/>
          <w:szCs w:val="24"/>
        </w:rPr>
      </w:pPr>
      <w:r w:rsidRPr="003C1643">
        <w:rPr>
          <w:rStyle w:val="markedcontent"/>
          <w:rFonts w:ascii="Times New Roman" w:hAnsi="Times New Roman"/>
          <w:sz w:val="24"/>
          <w:szCs w:val="24"/>
          <w:u w:val="single"/>
        </w:rPr>
        <w:t>Coalition of Unionized Public Employees and American Federation of State, County and Municipal Employees, Council 31 v. City of Chicago</w:t>
      </w:r>
      <w:r w:rsidRPr="003C1643">
        <w:rPr>
          <w:rStyle w:val="markedcontent"/>
          <w:rFonts w:ascii="Times New Roman" w:hAnsi="Times New Roman"/>
          <w:sz w:val="24"/>
          <w:szCs w:val="24"/>
        </w:rPr>
        <w:t xml:space="preserve">.  </w:t>
      </w:r>
      <w:hyperlink r:id="rId2223" w:history="1">
        <w:r w:rsidRPr="003C1643">
          <w:rPr>
            <w:rStyle w:val="Hyperlink"/>
            <w:rFonts w:ascii="Times New Roman" w:hAnsi="Times New Roman"/>
            <w:sz w:val="24"/>
            <w:szCs w:val="24"/>
          </w:rPr>
          <w:t>https://s3.amazonaws.com/jnswire/jns-media/e9/3e/12863006/unions_v_chicago_vax_ilrb_alj.pdf</w:t>
        </w:r>
      </w:hyperlink>
      <w:r w:rsidRPr="003C1643">
        <w:rPr>
          <w:rStyle w:val="markedcontent"/>
          <w:rFonts w:ascii="Times New Roman" w:hAnsi="Times New Roman"/>
          <w:sz w:val="24"/>
          <w:szCs w:val="24"/>
        </w:rPr>
        <w:t xml:space="preserve"> </w:t>
      </w:r>
    </w:p>
    <w:p w14:paraId="586E16A0" w14:textId="77777777" w:rsidR="006A02A4" w:rsidRDefault="006A02A4" w:rsidP="00227BDE">
      <w:pPr>
        <w:pStyle w:val="NoSpacing"/>
        <w:rPr>
          <w:rStyle w:val="markedcontent"/>
          <w:rFonts w:ascii="Times New Roman" w:hAnsi="Times New Roman"/>
          <w:sz w:val="24"/>
          <w:szCs w:val="24"/>
        </w:rPr>
      </w:pPr>
    </w:p>
    <w:p w14:paraId="2B9D8898" w14:textId="77777777" w:rsidR="006A02A4" w:rsidRPr="006A02A4" w:rsidRDefault="006A02A4" w:rsidP="006A02A4">
      <w:pPr>
        <w:pStyle w:val="Heading2"/>
        <w:rPr>
          <w:rFonts w:ascii="Times New Roman" w:hAnsi="Times New Roman"/>
          <w:b w:val="0"/>
          <w:bCs w:val="0"/>
          <w:i w:val="0"/>
          <w:iCs w:val="0"/>
          <w:color w:val="000000" w:themeColor="text1"/>
          <w:sz w:val="24"/>
          <w:szCs w:val="24"/>
        </w:rPr>
      </w:pPr>
      <w:r w:rsidRPr="006A02A4">
        <w:rPr>
          <w:rFonts w:ascii="Times New Roman" w:hAnsi="Times New Roman"/>
          <w:i w:val="0"/>
          <w:iCs w:val="0"/>
          <w:color w:val="000000" w:themeColor="text1"/>
          <w:sz w:val="24"/>
          <w:szCs w:val="24"/>
        </w:rPr>
        <w:t xml:space="preserve">Legal Lesson Learned: The City of Chicago must bargain over the effects of the vaccination mandate. </w:t>
      </w:r>
    </w:p>
    <w:p w14:paraId="44CD7852" w14:textId="77777777" w:rsidR="006A02A4" w:rsidRPr="006A02A4" w:rsidRDefault="006A02A4" w:rsidP="006A02A4">
      <w:pPr>
        <w:pStyle w:val="Heading2"/>
        <w:ind w:left="720"/>
        <w:rPr>
          <w:rFonts w:ascii="Times New Roman" w:hAnsi="Times New Roman"/>
          <w:b w:val="0"/>
          <w:bCs w:val="0"/>
          <w:color w:val="000000" w:themeColor="text1"/>
          <w:sz w:val="24"/>
          <w:szCs w:val="24"/>
        </w:rPr>
      </w:pPr>
      <w:r w:rsidRPr="006A02A4">
        <w:rPr>
          <w:rFonts w:ascii="Times New Roman" w:hAnsi="Times New Roman"/>
          <w:b w:val="0"/>
          <w:bCs w:val="0"/>
          <w:i w:val="0"/>
          <w:iCs w:val="0"/>
          <w:color w:val="000000" w:themeColor="text1"/>
          <w:sz w:val="24"/>
          <w:szCs w:val="24"/>
        </w:rPr>
        <w:t xml:space="preserve">Note: See also April 20, </w:t>
      </w:r>
      <w:proofErr w:type="gramStart"/>
      <w:r w:rsidRPr="006A02A4">
        <w:rPr>
          <w:rFonts w:ascii="Times New Roman" w:hAnsi="Times New Roman"/>
          <w:b w:val="0"/>
          <w:bCs w:val="0"/>
          <w:i w:val="0"/>
          <w:iCs w:val="0"/>
          <w:color w:val="000000" w:themeColor="text1"/>
          <w:sz w:val="24"/>
          <w:szCs w:val="24"/>
        </w:rPr>
        <w:t>2023</w:t>
      </w:r>
      <w:proofErr w:type="gramEnd"/>
      <w:r w:rsidRPr="006A02A4">
        <w:rPr>
          <w:rFonts w:ascii="Times New Roman" w:hAnsi="Times New Roman"/>
          <w:b w:val="0"/>
          <w:bCs w:val="0"/>
          <w:i w:val="0"/>
          <w:iCs w:val="0"/>
          <w:color w:val="000000" w:themeColor="text1"/>
          <w:sz w:val="24"/>
          <w:szCs w:val="24"/>
        </w:rPr>
        <w:t xml:space="preserve"> article, “Labor board judge: Chicago trampled union bargaining rights by firing workers who refused Covid vax.” </w:t>
      </w:r>
      <w:hyperlink r:id="rId2224" w:history="1">
        <w:r w:rsidRPr="006A02A4">
          <w:rPr>
            <w:rStyle w:val="Hyperlink"/>
            <w:rFonts w:ascii="Times New Roman" w:hAnsi="Times New Roman"/>
            <w:b w:val="0"/>
            <w:bCs w:val="0"/>
            <w:i w:val="0"/>
            <w:iCs w:val="0"/>
            <w:sz w:val="24"/>
            <w:szCs w:val="24"/>
          </w:rPr>
          <w:t>https://cookcountyrecord.com/stories/641740005-labor-board-judge-chicago-trampled-union-bargaining-rights-by-firing-workers-who-refused-covid-vax</w:t>
        </w:r>
      </w:hyperlink>
      <w:r w:rsidRPr="006A02A4">
        <w:rPr>
          <w:rFonts w:ascii="Times New Roman" w:hAnsi="Times New Roman"/>
          <w:b w:val="0"/>
          <w:bCs w:val="0"/>
          <w:color w:val="000000" w:themeColor="text1"/>
          <w:sz w:val="24"/>
          <w:szCs w:val="24"/>
        </w:rPr>
        <w:t xml:space="preserve"> </w:t>
      </w:r>
    </w:p>
    <w:p w14:paraId="0F077198" w14:textId="77777777" w:rsidR="006A02A4" w:rsidRPr="003C1643" w:rsidRDefault="006A02A4" w:rsidP="00227BDE">
      <w:pPr>
        <w:pStyle w:val="NoSpacing"/>
        <w:rPr>
          <w:rFonts w:ascii="Times New Roman" w:hAnsi="Times New Roman"/>
          <w:sz w:val="24"/>
          <w:szCs w:val="24"/>
        </w:rPr>
      </w:pPr>
    </w:p>
    <w:p w14:paraId="6727D08F" w14:textId="77777777" w:rsidR="00227BDE" w:rsidRDefault="00227BDE" w:rsidP="002B1283">
      <w:pPr>
        <w:rPr>
          <w:rFonts w:ascii="Arial Black" w:hAnsi="Arial Black"/>
          <w:b/>
          <w:bCs/>
          <w:sz w:val="28"/>
          <w:szCs w:val="28"/>
        </w:rPr>
      </w:pPr>
    </w:p>
    <w:p w14:paraId="552A7A95" w14:textId="675E7682" w:rsidR="00227BDE" w:rsidRDefault="006A02A4" w:rsidP="002B1283">
      <w:pPr>
        <w:rPr>
          <w:rFonts w:ascii="Arial Black" w:hAnsi="Arial Black"/>
          <w:b/>
          <w:bCs/>
          <w:sz w:val="28"/>
          <w:szCs w:val="28"/>
        </w:rPr>
      </w:pPr>
      <w:r>
        <w:rPr>
          <w:rFonts w:ascii="Arial Black" w:hAnsi="Arial Black"/>
          <w:b/>
          <w:bCs/>
          <w:sz w:val="28"/>
          <w:szCs w:val="28"/>
        </w:rPr>
        <w:t>13-142</w:t>
      </w:r>
    </w:p>
    <w:p w14:paraId="7DE32538" w14:textId="77777777" w:rsidR="006A02A4" w:rsidRPr="00CC53E3" w:rsidRDefault="006A02A4" w:rsidP="006A02A4">
      <w:pPr>
        <w:pStyle w:val="NoSpacing"/>
        <w:rPr>
          <w:rFonts w:ascii="Arial Black" w:hAnsi="Arial Black"/>
          <w:sz w:val="28"/>
          <w:szCs w:val="28"/>
        </w:rPr>
      </w:pPr>
      <w:r w:rsidRPr="00CC53E3">
        <w:rPr>
          <w:rFonts w:ascii="Arial Black" w:hAnsi="Arial Black"/>
          <w:sz w:val="28"/>
          <w:szCs w:val="28"/>
        </w:rPr>
        <w:t xml:space="preserve">IL (4/17/2023) – </w:t>
      </w:r>
      <w:r>
        <w:rPr>
          <w:rFonts w:ascii="Arial Black" w:hAnsi="Arial Black"/>
          <w:sz w:val="28"/>
          <w:szCs w:val="28"/>
        </w:rPr>
        <w:t xml:space="preserve">MENTAL TRANSPORT - BRUTALY </w:t>
      </w:r>
      <w:r w:rsidRPr="00CC53E3">
        <w:rPr>
          <w:rFonts w:ascii="Arial Black" w:hAnsi="Arial Black"/>
          <w:sz w:val="28"/>
          <w:szCs w:val="28"/>
        </w:rPr>
        <w:t>ASSAULTED EMT</w:t>
      </w:r>
      <w:r>
        <w:rPr>
          <w:rFonts w:ascii="Arial Black" w:hAnsi="Arial Black"/>
          <w:sz w:val="28"/>
          <w:szCs w:val="28"/>
        </w:rPr>
        <w:t xml:space="preserve"> IN AMBULANCE – 7 YRS PRISON </w:t>
      </w:r>
      <w:r w:rsidRPr="00CC53E3">
        <w:rPr>
          <w:rFonts w:ascii="Arial Black" w:hAnsi="Arial Black"/>
          <w:sz w:val="28"/>
          <w:szCs w:val="28"/>
        </w:rPr>
        <w:t xml:space="preserve"> </w:t>
      </w:r>
    </w:p>
    <w:p w14:paraId="0E17CB82" w14:textId="77777777" w:rsidR="006A02A4" w:rsidRDefault="006A02A4" w:rsidP="006A02A4">
      <w:pPr>
        <w:pStyle w:val="NoSpacing"/>
      </w:pPr>
    </w:p>
    <w:p w14:paraId="41E6FEF0" w14:textId="77777777" w:rsidR="006A02A4" w:rsidRPr="003C1643" w:rsidRDefault="006A02A4" w:rsidP="006A02A4">
      <w:pPr>
        <w:pStyle w:val="NoSpacing"/>
        <w:rPr>
          <w:rFonts w:ascii="Times New Roman" w:hAnsi="Times New Roman"/>
          <w:sz w:val="24"/>
          <w:szCs w:val="24"/>
        </w:rPr>
      </w:pPr>
      <w:r w:rsidRPr="003C1643">
        <w:rPr>
          <w:rFonts w:ascii="Times New Roman" w:hAnsi="Times New Roman"/>
          <w:sz w:val="24"/>
          <w:szCs w:val="24"/>
          <w:u w:val="single"/>
        </w:rPr>
        <w:t>The People of the State of Illinois v. Cortez Peters</w:t>
      </w:r>
      <w:r w:rsidRPr="003C1643">
        <w:rPr>
          <w:rFonts w:ascii="Times New Roman" w:hAnsi="Times New Roman"/>
          <w:sz w:val="24"/>
          <w:szCs w:val="24"/>
        </w:rPr>
        <w:t xml:space="preserve">, Court of Appeals of Illinois, First District, First Division. </w:t>
      </w:r>
      <w:hyperlink r:id="rId2225" w:history="1">
        <w:r w:rsidRPr="003C1643">
          <w:rPr>
            <w:rStyle w:val="Hyperlink"/>
            <w:rFonts w:ascii="Times New Roman" w:hAnsi="Times New Roman"/>
            <w:sz w:val="24"/>
            <w:szCs w:val="24"/>
          </w:rPr>
          <w:t>https://ilcourtsaudio.blob.core.windows.net/antilles-resources/resources/d0a50835-8b8c-4e4e-96d4-c3b209eadd34/People%20v.%20Peters,%202023%20IL%20App%20(1st)%20211591-U.pdf</w:t>
        </w:r>
      </w:hyperlink>
      <w:r w:rsidRPr="003C1643">
        <w:rPr>
          <w:rFonts w:ascii="Times New Roman" w:hAnsi="Times New Roman"/>
          <w:sz w:val="24"/>
          <w:szCs w:val="24"/>
        </w:rPr>
        <w:t xml:space="preserve"> </w:t>
      </w:r>
    </w:p>
    <w:p w14:paraId="55CF0651" w14:textId="77777777" w:rsidR="006A02A4" w:rsidRPr="003C1643" w:rsidRDefault="006A02A4" w:rsidP="006A02A4">
      <w:pPr>
        <w:pStyle w:val="NoSpacing"/>
        <w:rPr>
          <w:rFonts w:ascii="Times New Roman" w:hAnsi="Times New Roman"/>
          <w:sz w:val="24"/>
          <w:szCs w:val="24"/>
        </w:rPr>
      </w:pPr>
    </w:p>
    <w:p w14:paraId="297B15EF" w14:textId="77777777" w:rsidR="006A02A4" w:rsidRPr="003C1643" w:rsidRDefault="006A02A4" w:rsidP="006A02A4">
      <w:pPr>
        <w:pStyle w:val="NormalWeb"/>
        <w:rPr>
          <w:b/>
          <w:bCs/>
        </w:rPr>
      </w:pPr>
      <w:r w:rsidRPr="003C1643">
        <w:rPr>
          <w:b/>
          <w:bCs/>
        </w:rPr>
        <w:lastRenderedPageBreak/>
        <w:t xml:space="preserve">Legal Lesson Learned: Transporting mentally ill patient can be high risk; adopt a protocol on securing such patients. </w:t>
      </w:r>
    </w:p>
    <w:p w14:paraId="2E333774" w14:textId="77777777" w:rsidR="006A02A4" w:rsidRDefault="006A02A4" w:rsidP="002B1283">
      <w:pPr>
        <w:rPr>
          <w:rFonts w:ascii="Arial Black" w:hAnsi="Arial Black"/>
          <w:b/>
          <w:bCs/>
          <w:sz w:val="28"/>
          <w:szCs w:val="28"/>
        </w:rPr>
      </w:pPr>
    </w:p>
    <w:p w14:paraId="4D07DF78" w14:textId="77777777" w:rsidR="006A02A4" w:rsidRDefault="006A02A4" w:rsidP="002B1283">
      <w:pPr>
        <w:rPr>
          <w:rFonts w:ascii="Arial Black" w:hAnsi="Arial Black"/>
          <w:b/>
          <w:bCs/>
          <w:sz w:val="28"/>
          <w:szCs w:val="28"/>
        </w:rPr>
      </w:pPr>
    </w:p>
    <w:p w14:paraId="3663991E" w14:textId="01E0CE5D" w:rsidR="006A02A4" w:rsidRDefault="006A02A4" w:rsidP="002B1283">
      <w:pPr>
        <w:rPr>
          <w:rFonts w:ascii="Arial Black" w:hAnsi="Arial Black"/>
          <w:b/>
          <w:bCs/>
          <w:sz w:val="28"/>
          <w:szCs w:val="28"/>
        </w:rPr>
      </w:pPr>
      <w:r>
        <w:rPr>
          <w:rFonts w:ascii="Arial Black" w:hAnsi="Arial Black"/>
          <w:b/>
          <w:bCs/>
          <w:sz w:val="28"/>
          <w:szCs w:val="28"/>
        </w:rPr>
        <w:t>13-141</w:t>
      </w:r>
    </w:p>
    <w:p w14:paraId="2E99BF77" w14:textId="19C228B1" w:rsidR="006A02A4" w:rsidRPr="009F5DBC" w:rsidRDefault="006A02A4" w:rsidP="006A02A4">
      <w:pPr>
        <w:pStyle w:val="NoSpacing"/>
        <w:rPr>
          <w:rFonts w:ascii="Arial Black" w:hAnsi="Arial Black"/>
          <w:sz w:val="28"/>
          <w:szCs w:val="28"/>
        </w:rPr>
      </w:pPr>
      <w:r w:rsidRPr="009F5DBC">
        <w:rPr>
          <w:rFonts w:ascii="Arial Black" w:hAnsi="Arial Black"/>
          <w:sz w:val="28"/>
          <w:szCs w:val="28"/>
        </w:rPr>
        <w:t>NY (4/14/2023) – RESPIR</w:t>
      </w:r>
      <w:r>
        <w:rPr>
          <w:rFonts w:ascii="Arial Black" w:hAnsi="Arial Black"/>
          <w:sz w:val="28"/>
          <w:szCs w:val="28"/>
        </w:rPr>
        <w:t>. A</w:t>
      </w:r>
      <w:r w:rsidRPr="009F5DBC">
        <w:rPr>
          <w:rFonts w:ascii="Arial Black" w:hAnsi="Arial Black"/>
          <w:sz w:val="28"/>
          <w:szCs w:val="28"/>
        </w:rPr>
        <w:t xml:space="preserve">RREST – INTUBATION </w:t>
      </w:r>
      <w:r>
        <w:rPr>
          <w:rFonts w:ascii="Arial Black" w:hAnsi="Arial Black"/>
          <w:sz w:val="28"/>
          <w:szCs w:val="28"/>
        </w:rPr>
        <w:t xml:space="preserve">IN </w:t>
      </w:r>
      <w:r w:rsidRPr="009F5DBC">
        <w:rPr>
          <w:rFonts w:ascii="Arial Black" w:hAnsi="Arial Black"/>
          <w:sz w:val="28"/>
          <w:szCs w:val="28"/>
        </w:rPr>
        <w:t>ESOPHAGUS –</w:t>
      </w:r>
      <w:r>
        <w:rPr>
          <w:rFonts w:ascii="Arial Black" w:hAnsi="Arial Black"/>
          <w:sz w:val="28"/>
          <w:szCs w:val="28"/>
        </w:rPr>
        <w:t xml:space="preserve"> HOSP. ED - NO EXPERT PROOF CAUSED DEATH</w:t>
      </w:r>
    </w:p>
    <w:p w14:paraId="5B530D93" w14:textId="77777777" w:rsidR="006A02A4" w:rsidRDefault="006A02A4" w:rsidP="006A02A4">
      <w:pPr>
        <w:pStyle w:val="NoSpacing"/>
      </w:pPr>
    </w:p>
    <w:p w14:paraId="1C3C95F9" w14:textId="77777777" w:rsidR="006A02A4" w:rsidRPr="003C1643" w:rsidRDefault="006A02A4" w:rsidP="006A02A4">
      <w:pPr>
        <w:pStyle w:val="NoSpacing"/>
        <w:rPr>
          <w:rFonts w:ascii="Times New Roman" w:hAnsi="Times New Roman"/>
          <w:sz w:val="24"/>
          <w:szCs w:val="24"/>
        </w:rPr>
      </w:pPr>
      <w:r w:rsidRPr="003C1643">
        <w:rPr>
          <w:rFonts w:ascii="Times New Roman" w:hAnsi="Times New Roman"/>
          <w:sz w:val="24"/>
          <w:szCs w:val="24"/>
          <w:u w:val="single"/>
        </w:rPr>
        <w:t>Shaquia Simmons, Administrator of the estate of Judith Prescott v. Elizabeth Rubano, M.D. et al.</w:t>
      </w:r>
      <w:r w:rsidRPr="003C1643">
        <w:rPr>
          <w:rFonts w:ascii="Times New Roman" w:hAnsi="Times New Roman"/>
          <w:sz w:val="24"/>
          <w:szCs w:val="24"/>
        </w:rPr>
        <w:t>, Supreme Court, Kings County. [Unpublished Decision.]</w:t>
      </w:r>
    </w:p>
    <w:p w14:paraId="0B73F22E" w14:textId="5B523591" w:rsidR="006A02A4" w:rsidRDefault="006A02A4" w:rsidP="006A02A4">
      <w:pPr>
        <w:rPr>
          <w:rFonts w:ascii="Arial Black" w:hAnsi="Arial Black"/>
          <w:b/>
          <w:bCs/>
          <w:sz w:val="28"/>
          <w:szCs w:val="28"/>
        </w:rPr>
      </w:pPr>
      <w:hyperlink r:id="rId2226" w:history="1">
        <w:r w:rsidRPr="003C1643">
          <w:rPr>
            <w:rStyle w:val="Hyperlink"/>
            <w:rFonts w:ascii="Times New Roman" w:hAnsi="Times New Roman"/>
            <w:sz w:val="24"/>
            <w:szCs w:val="24"/>
          </w:rPr>
          <w:t>https://law.justia.com/cases/new-york/other-courts/2023/2023-ny-slip-op-31298-u.html</w:t>
        </w:r>
      </w:hyperlink>
    </w:p>
    <w:p w14:paraId="1BBCC23C" w14:textId="77777777" w:rsidR="006A02A4" w:rsidRPr="003C1643" w:rsidRDefault="006A02A4" w:rsidP="006A02A4">
      <w:pPr>
        <w:pStyle w:val="NormalWeb"/>
        <w:rPr>
          <w:b/>
          <w:bCs/>
        </w:rPr>
      </w:pPr>
      <w:r w:rsidRPr="003C1643">
        <w:rPr>
          <w:b/>
          <w:bCs/>
        </w:rPr>
        <w:t xml:space="preserve">Legal Lesson Learned: EMS should confirm proper placement of ET Tube. </w:t>
      </w:r>
    </w:p>
    <w:p w14:paraId="7CA52EEC" w14:textId="77777777" w:rsidR="00227BDE" w:rsidRDefault="00227BDE" w:rsidP="002B1283">
      <w:pPr>
        <w:rPr>
          <w:rFonts w:ascii="Arial Black" w:hAnsi="Arial Black"/>
          <w:b/>
          <w:bCs/>
          <w:sz w:val="28"/>
          <w:szCs w:val="28"/>
        </w:rPr>
      </w:pPr>
    </w:p>
    <w:p w14:paraId="4AF5BE6B" w14:textId="77777777" w:rsidR="00227BDE" w:rsidRDefault="00227BDE" w:rsidP="002B1283">
      <w:pPr>
        <w:rPr>
          <w:rFonts w:ascii="Arial Black" w:hAnsi="Arial Black"/>
          <w:b/>
          <w:bCs/>
          <w:sz w:val="28"/>
          <w:szCs w:val="28"/>
        </w:rPr>
      </w:pPr>
    </w:p>
    <w:p w14:paraId="59CA279A" w14:textId="68060B8B" w:rsidR="00D66BAA" w:rsidRDefault="00D66BAA" w:rsidP="002B1283">
      <w:pPr>
        <w:rPr>
          <w:rFonts w:ascii="Arial Black" w:hAnsi="Arial Black"/>
          <w:b/>
          <w:bCs/>
          <w:sz w:val="28"/>
          <w:szCs w:val="28"/>
        </w:rPr>
      </w:pPr>
      <w:r>
        <w:rPr>
          <w:rFonts w:ascii="Arial Black" w:hAnsi="Arial Black"/>
          <w:b/>
          <w:bCs/>
          <w:sz w:val="28"/>
          <w:szCs w:val="28"/>
        </w:rPr>
        <w:t>13-140</w:t>
      </w:r>
    </w:p>
    <w:p w14:paraId="3CC7D588" w14:textId="77777777" w:rsidR="00D66BAA" w:rsidRDefault="00D66BAA" w:rsidP="00D66BAA">
      <w:pPr>
        <w:pStyle w:val="NormalWeb"/>
        <w:rPr>
          <w:rFonts w:ascii="Arial Black" w:hAnsi="Arial Black"/>
          <w:sz w:val="28"/>
          <w:szCs w:val="28"/>
        </w:rPr>
      </w:pPr>
      <w:r>
        <w:t> </w:t>
      </w:r>
      <w:r>
        <w:rPr>
          <w:rFonts w:ascii="Arial Black" w:hAnsi="Arial Black"/>
          <w:sz w:val="28"/>
          <w:szCs w:val="28"/>
        </w:rPr>
        <w:t xml:space="preserve">NY: COVID-19 – EMS LAWSUIT AGAINST UNION DISMISSED – CITY BARGAINED WITH DC37 – NO RATIFICATION REQ. </w:t>
      </w:r>
    </w:p>
    <w:p w14:paraId="5957852B" w14:textId="77777777" w:rsidR="00D66BAA" w:rsidRDefault="00D66BAA" w:rsidP="00D66BAA">
      <w:pPr>
        <w:pStyle w:val="NormalWeb"/>
      </w:pPr>
      <w:r>
        <w:t xml:space="preserve">On March 29, 2023, in </w:t>
      </w:r>
      <w:r>
        <w:rPr>
          <w:u w:val="single"/>
        </w:rPr>
        <w:t>John Garland v. City of New York, et al</w:t>
      </w:r>
      <w:r>
        <w:t>., U.S. District Court Judge Kiyo A. Matsumoto, U.S. District Court for Eastern District of New York, granted the City’s motion to dismiss.  The Judge in December, 2021 had dismissed firefighters’ lawsuit seeking reinstatement and back pay, noting: “Indeed, any FDNY employees who challenged whether the Vaccine Mandate should apply to them not only ‘had the opportunity to seek a religious or medical accommodation,’ they also ‘remain[ed] on pay status pending the decision on their request or appeal, so long as their accommodation requests were submitted prior to October 27, 2021.”  On Jan. 5, 2022, the EMS plaintiffs then filed an Amended Complaint against their Union - District Council 37, AFSCME AFL-</w:t>
      </w:r>
      <w:proofErr w:type="gramStart"/>
      <w:r>
        <w:t>CIO (‘</w:t>
      </w:r>
      <w:proofErr w:type="gramEnd"/>
      <w:r>
        <w:t xml:space="preserve">DC37’) - and Harry Garrido, DC37's Executive Director.  </w:t>
      </w:r>
    </w:p>
    <w:p w14:paraId="0D9C9665" w14:textId="77777777" w:rsidR="00D66BAA" w:rsidRDefault="00D66BAA" w:rsidP="00D66BAA">
      <w:pPr>
        <w:pStyle w:val="NormalWeb"/>
        <w:ind w:left="720"/>
      </w:pPr>
      <w:r>
        <w:t xml:space="preserve">The Judge held: “Plaintiffs also argue that, even though the FDNY </w:t>
      </w:r>
      <w:r>
        <w:rPr>
          <w:rStyle w:val="Emphasis"/>
        </w:rPr>
        <w:t>did</w:t>
      </w:r>
      <w:r>
        <w:t xml:space="preserve"> bargain and negotiate with DC37 concerning the Vaccine Mandate, the resulting DC37 Agreement was never ratified by DC37's union members ….Plaintiffs assert that under New York City Admin. Code Section 12-307(a)(4), the DC37 Agreement could not amend the existing procedures of DC37's collective bargaining agreement without ratification by its members….  As the Court has repeatedly stated, however, ‘the Court looks to federal constitutional standards rather than state statutes to define the requirements of procedural due process…. Courts repeatedly have held that state statutes do not determine constitutional due process requirements.” </w:t>
      </w:r>
      <w:hyperlink r:id="rId2227" w:history="1">
        <w:r>
          <w:rPr>
            <w:rStyle w:val="Hyperlink"/>
          </w:rPr>
          <w:t>https://public.fastcase.com/J%2FJP6pdidelsXxEE4k%2BLMmkKAOu2og4RFw84MS%2B8ggk3sjpW8vutPxLex2RgGn%2Bt2Jik%2FeX8PJts3C%2F6Q%2Fo%2BG%2BiayCxJf82VEENSX79a%2FfU%3D?utm_medium=email&amp;_hsmi=226712652&amp;_hsenc=p2ANqtz-</w:t>
        </w:r>
        <w:r>
          <w:rPr>
            <w:rStyle w:val="Hyperlink"/>
          </w:rPr>
          <w:lastRenderedPageBreak/>
          <w:t>9IQANQQw8c4G50juoB1YOeI9PRU9K182hoTYcfz0uXjPfI5SdzNRjzRb60ER6nqwMSPaZSSyOzlxBsxtCZ7kFqJFFA4g&amp;utm_content=226712652&amp;utm_source=hs_email</w:t>
        </w:r>
      </w:hyperlink>
      <w:r>
        <w:t xml:space="preserve"> </w:t>
      </w:r>
    </w:p>
    <w:p w14:paraId="4B425704" w14:textId="77777777" w:rsidR="00D66BAA" w:rsidRDefault="00D66BAA" w:rsidP="00D66BAA">
      <w:pPr>
        <w:pStyle w:val="NormalWeb"/>
        <w:ind w:left="720"/>
      </w:pPr>
      <w:r>
        <w:t>“Plaintiffs allege in the Amended Complaint that seventy-seven out of the eighty-six total Plaintiffs have requested a medical or religious accommodation to be exempt from the Vaccine Mandate; seventy-one Plaintiffs have been denied and six were awaiting an initial determination; thirty-seven Plaintiffs have appealed the denial of their request for a reasonable accommodation; and one Plaintiff's appeal has been denied, while thirty-six are awaiting a decision.</w:t>
      </w:r>
    </w:p>
    <w:p w14:paraId="4B110261" w14:textId="77777777" w:rsidR="00D66BAA" w:rsidRDefault="00D66BAA" w:rsidP="00D66BAA">
      <w:pPr>
        <w:pStyle w:val="NormalWeb"/>
        <w:ind w:left="720"/>
      </w:pPr>
      <w:r>
        <w:t>***</w:t>
      </w:r>
    </w:p>
    <w:p w14:paraId="6695197B" w14:textId="77777777" w:rsidR="00D66BAA" w:rsidRDefault="00D66BAA" w:rsidP="00D66BAA">
      <w:pPr>
        <w:pStyle w:val="NormalWeb"/>
        <w:ind w:left="720"/>
      </w:pPr>
      <w:r>
        <w:t xml:space="preserve">The Vaccine Mandate was revoked by the City on February 10, </w:t>
      </w:r>
      <w:proofErr w:type="gramStart"/>
      <w:r>
        <w:t>2023</w:t>
      </w:r>
      <w:proofErr w:type="gramEnd"/>
      <w:r>
        <w:t xml:space="preserve"> and is no longer in effect.”</w:t>
      </w:r>
    </w:p>
    <w:p w14:paraId="00FF6026" w14:textId="77777777" w:rsidR="00D66BAA" w:rsidRDefault="00D66BAA" w:rsidP="00D66BAA">
      <w:pPr>
        <w:pStyle w:val="NormalWeb"/>
        <w:rPr>
          <w:b/>
          <w:bCs/>
        </w:rPr>
      </w:pPr>
      <w:r>
        <w:rPr>
          <w:b/>
          <w:bCs/>
        </w:rPr>
        <w:t xml:space="preserve">Legal Lesson Learned: Hopefully litigation over Covid-12 vaccinations will soon be over. </w:t>
      </w:r>
    </w:p>
    <w:p w14:paraId="60184AD3" w14:textId="77777777" w:rsidR="00D66BAA" w:rsidRDefault="00D66BAA" w:rsidP="00D66BAA">
      <w:pPr>
        <w:pStyle w:val="Heading1"/>
        <w:ind w:left="720"/>
        <w:rPr>
          <w:b w:val="0"/>
          <w:bCs w:val="0"/>
          <w:sz w:val="24"/>
          <w:szCs w:val="24"/>
        </w:rPr>
      </w:pPr>
      <w:r>
        <w:rPr>
          <w:b w:val="0"/>
          <w:bCs w:val="0"/>
          <w:sz w:val="24"/>
          <w:szCs w:val="24"/>
        </w:rPr>
        <w:t xml:space="preserve">Note: </w:t>
      </w:r>
    </w:p>
    <w:p w14:paraId="1EFB6343" w14:textId="77777777" w:rsidR="00D66BAA" w:rsidRDefault="00D66BAA" w:rsidP="00D66BAA">
      <w:pPr>
        <w:pStyle w:val="Heading1"/>
        <w:ind w:left="720"/>
        <w:rPr>
          <w:rStyle w:val="markedcontent"/>
        </w:rPr>
      </w:pPr>
      <w:r>
        <w:rPr>
          <w:b w:val="0"/>
          <w:bCs w:val="0"/>
          <w:sz w:val="24"/>
          <w:szCs w:val="24"/>
        </w:rPr>
        <w:t xml:space="preserve">See March 10, </w:t>
      </w:r>
      <w:proofErr w:type="gramStart"/>
      <w:r>
        <w:rPr>
          <w:b w:val="0"/>
          <w:bCs w:val="0"/>
          <w:sz w:val="24"/>
          <w:szCs w:val="24"/>
        </w:rPr>
        <w:t>2023</w:t>
      </w:r>
      <w:proofErr w:type="gramEnd"/>
      <w:r>
        <w:rPr>
          <w:b w:val="0"/>
          <w:bCs w:val="0"/>
          <w:sz w:val="24"/>
          <w:szCs w:val="24"/>
        </w:rPr>
        <w:t xml:space="preserve"> City Re-Hiring Memo: </w:t>
      </w:r>
      <w:r>
        <w:rPr>
          <w:rStyle w:val="markedcontent"/>
          <w:b w:val="0"/>
          <w:bCs w:val="0"/>
          <w:sz w:val="24"/>
          <w:szCs w:val="24"/>
        </w:rPr>
        <w:t>“Are employees who were terminated for failure to comply with the vaccine mandate eligible for rehire? Yes, employees who were terminated due to the vaccine mandate are eligible for rehire by any City agency, with the understanding they meet all conditions for employment in the rehire position and haven’t otherwise signed a waiver indicating they will not return.”</w:t>
      </w:r>
      <w:r>
        <w:t xml:space="preserve"> </w:t>
      </w:r>
      <w:hyperlink r:id="rId2228" w:history="1">
        <w:r>
          <w:rPr>
            <w:rStyle w:val="Hyperlink"/>
            <w:b w:val="0"/>
            <w:bCs w:val="0"/>
            <w:sz w:val="24"/>
            <w:szCs w:val="24"/>
          </w:rPr>
          <w:t>https://www.nyc.gov/assets/dcas/downloads/pdf/guidelines/faq-vaccine-mandate.pdf</w:t>
        </w:r>
      </w:hyperlink>
      <w:r>
        <w:rPr>
          <w:rStyle w:val="markedcontent"/>
          <w:b w:val="0"/>
          <w:bCs w:val="0"/>
          <w:sz w:val="24"/>
          <w:szCs w:val="24"/>
        </w:rPr>
        <w:t xml:space="preserve"> </w:t>
      </w:r>
    </w:p>
    <w:p w14:paraId="2D1BC1C8" w14:textId="77777777" w:rsidR="00D66BAA" w:rsidRDefault="00D66BAA" w:rsidP="00D66BAA">
      <w:pPr>
        <w:pStyle w:val="Heading1"/>
        <w:ind w:left="720"/>
      </w:pPr>
      <w:r>
        <w:rPr>
          <w:b w:val="0"/>
          <w:bCs w:val="0"/>
          <w:sz w:val="24"/>
          <w:szCs w:val="24"/>
        </w:rPr>
        <w:t xml:space="preserve">See Oct. 26, </w:t>
      </w:r>
      <w:proofErr w:type="gramStart"/>
      <w:r>
        <w:rPr>
          <w:b w:val="0"/>
          <w:bCs w:val="0"/>
          <w:sz w:val="24"/>
          <w:szCs w:val="24"/>
        </w:rPr>
        <w:t>2022</w:t>
      </w:r>
      <w:proofErr w:type="gramEnd"/>
      <w:r>
        <w:rPr>
          <w:b w:val="0"/>
          <w:bCs w:val="0"/>
          <w:sz w:val="24"/>
          <w:szCs w:val="24"/>
        </w:rPr>
        <w:t xml:space="preserve"> article, “Judge: NYC must rehire and pay back workers who violated vaccine mandate.” A judge with the New York State Supreme Court on Tuesday ruled that New York City Mayor Eric Adams' October 2021 mandate requiring all municipal workers to receive a Covid-19 vaccine was unlawful and ordered the city to rehire and provide back pay to all sanitation workers who lost their jobs for violating the mandate. </w:t>
      </w:r>
      <w:hyperlink r:id="rId2229" w:history="1">
        <w:r>
          <w:rPr>
            <w:rStyle w:val="Hyperlink"/>
            <w:b w:val="0"/>
            <w:bCs w:val="0"/>
            <w:sz w:val="24"/>
            <w:szCs w:val="24"/>
          </w:rPr>
          <w:t>https://www.advisory.com/daily-briefing/2022/10/26/vaccine-mandate</w:t>
        </w:r>
      </w:hyperlink>
      <w:r>
        <w:rPr>
          <w:b w:val="0"/>
          <w:bCs w:val="0"/>
          <w:sz w:val="24"/>
          <w:szCs w:val="24"/>
        </w:rPr>
        <w:t xml:space="preserve">  </w:t>
      </w:r>
    </w:p>
    <w:p w14:paraId="7731639F" w14:textId="1CE5D13A" w:rsidR="00D66BAA" w:rsidRPr="00D66BAA" w:rsidRDefault="00D66BAA" w:rsidP="00D66BAA">
      <w:pPr>
        <w:ind w:left="720"/>
        <w:rPr>
          <w:rFonts w:ascii="Times New Roman" w:hAnsi="Times New Roman"/>
          <w:b/>
          <w:bCs/>
          <w:sz w:val="24"/>
          <w:szCs w:val="24"/>
        </w:rPr>
      </w:pPr>
      <w:r w:rsidRPr="00D66BAA">
        <w:rPr>
          <w:rFonts w:ascii="Times New Roman" w:hAnsi="Times New Roman"/>
          <w:sz w:val="24"/>
          <w:szCs w:val="24"/>
        </w:rPr>
        <w:t xml:space="preserve">See Sept. 23, </w:t>
      </w:r>
      <w:proofErr w:type="gramStart"/>
      <w:r w:rsidRPr="00D66BAA">
        <w:rPr>
          <w:rFonts w:ascii="Times New Roman" w:hAnsi="Times New Roman"/>
          <w:sz w:val="24"/>
          <w:szCs w:val="24"/>
        </w:rPr>
        <w:t>2022</w:t>
      </w:r>
      <w:proofErr w:type="gramEnd"/>
      <w:r w:rsidRPr="00D66BAA">
        <w:rPr>
          <w:rFonts w:ascii="Times New Roman" w:hAnsi="Times New Roman"/>
          <w:sz w:val="24"/>
          <w:szCs w:val="24"/>
        </w:rPr>
        <w:t xml:space="preserve"> article, </w:t>
      </w:r>
      <w:r w:rsidRPr="00D66BAA">
        <w:rPr>
          <w:rFonts w:ascii="Times New Roman" w:hAnsi="Times New Roman"/>
          <w:b/>
          <w:bCs/>
          <w:sz w:val="24"/>
          <w:szCs w:val="24"/>
        </w:rPr>
        <w:t>“</w:t>
      </w:r>
      <w:r w:rsidRPr="00D66BAA">
        <w:rPr>
          <w:rFonts w:ascii="Times New Roman" w:hAnsi="Times New Roman"/>
          <w:sz w:val="24"/>
          <w:szCs w:val="24"/>
        </w:rPr>
        <w:t xml:space="preserve">Judge strikes down COVID vaccine mandate for PBA, orders New York City to reinstate unvaccinated police officers.” A Manhattan Supreme Court judge on Friday overturned the city's vaccine mandate for the New York Police Benevolent Association and said members who lost their jobs for being unvaccinated should be reinstated. </w:t>
      </w:r>
      <w:hyperlink r:id="rId2230" w:history="1">
        <w:r w:rsidRPr="00D66BAA">
          <w:rPr>
            <w:rStyle w:val="Hyperlink"/>
            <w:rFonts w:ascii="Times New Roman" w:hAnsi="Times New Roman"/>
            <w:sz w:val="24"/>
            <w:szCs w:val="24"/>
          </w:rPr>
          <w:t>https://www.cbsnews.com/newyork/news/judge-strikes-down-pba-vaccine-mandate-orders-new-york-city-to-reinstate-unvaccinated-members/</w:t>
        </w:r>
      </w:hyperlink>
    </w:p>
    <w:p w14:paraId="286A54D5" w14:textId="77777777" w:rsidR="00D66BAA" w:rsidRDefault="00D66BAA" w:rsidP="002B1283">
      <w:pPr>
        <w:rPr>
          <w:rFonts w:ascii="Arial Black" w:hAnsi="Arial Black"/>
          <w:b/>
          <w:bCs/>
          <w:sz w:val="28"/>
          <w:szCs w:val="28"/>
        </w:rPr>
      </w:pPr>
    </w:p>
    <w:p w14:paraId="069560D7" w14:textId="27C1C948" w:rsidR="00D66BAA" w:rsidRDefault="00D66BAA" w:rsidP="002B1283">
      <w:pPr>
        <w:rPr>
          <w:rFonts w:ascii="Arial Black" w:hAnsi="Arial Black"/>
          <w:b/>
          <w:bCs/>
          <w:sz w:val="28"/>
          <w:szCs w:val="28"/>
        </w:rPr>
      </w:pPr>
      <w:r>
        <w:rPr>
          <w:rFonts w:ascii="Arial Black" w:hAnsi="Arial Black"/>
          <w:b/>
          <w:bCs/>
          <w:sz w:val="28"/>
          <w:szCs w:val="28"/>
        </w:rPr>
        <w:t>13-139</w:t>
      </w:r>
    </w:p>
    <w:p w14:paraId="4C95A36F" w14:textId="77777777" w:rsidR="00D66BAA" w:rsidRDefault="00D66BAA" w:rsidP="00D66BAA">
      <w:pPr>
        <w:pStyle w:val="NormalWeb"/>
        <w:rPr>
          <w:rFonts w:ascii="Arial Black" w:hAnsi="Arial Black"/>
          <w:sz w:val="28"/>
          <w:szCs w:val="28"/>
        </w:rPr>
      </w:pPr>
      <w:r>
        <w:rPr>
          <w:rFonts w:ascii="Arial Black" w:hAnsi="Arial Black"/>
          <w:sz w:val="28"/>
          <w:szCs w:val="28"/>
        </w:rPr>
        <w:t>NY: COVID-19 VACCINATION - FDNY CLAIMED “RELIGIOUS EXEMPTION” AS A CATHOLIC – FIRED - CASE DISMISSED</w:t>
      </w:r>
    </w:p>
    <w:p w14:paraId="23ABBFAE" w14:textId="77777777" w:rsidR="00D66BAA" w:rsidRDefault="00D66BAA" w:rsidP="00D66BAA">
      <w:pPr>
        <w:pStyle w:val="NormalWeb"/>
      </w:pPr>
      <w:r>
        <w:t xml:space="preserve">On March 24, 2023, in </w:t>
      </w:r>
      <w:r>
        <w:rPr>
          <w:u w:val="single"/>
        </w:rPr>
        <w:t>Jude Pierre v. Fire Department of the City of New York, City of New York</w:t>
      </w:r>
      <w:r>
        <w:t xml:space="preserve">, Judge Lori S. Sattler, Supreme Court, New York County (unpublished decision) held that the FDNY properly fired him on September 7, 2022, after his administrative appeal to City of New York Reasonable Accommodation Appeals Panel was rejected on December 21, 2021, and he was put on unpaid leave.  </w:t>
      </w:r>
    </w:p>
    <w:p w14:paraId="0EE52E56" w14:textId="77777777" w:rsidR="00D66BAA" w:rsidRDefault="00D66BAA" w:rsidP="00D66BAA">
      <w:pPr>
        <w:pStyle w:val="NormalWeb"/>
        <w:ind w:left="720"/>
      </w:pPr>
      <w:r>
        <w:lastRenderedPageBreak/>
        <w:t xml:space="preserve">The Court held: “Petitioner fails to demonstrate how his religious beliefs conflict with [the City’s] vaccine requirement notwithstanding that he designates his religion as Catholic on the religious exemption request form. His assertion that he is ‘not comfortable using a vaccine that has used stem cells from fetuses’ is presented without any connection to a sincerely held religious belief and does not set forth an actual religious request for accommodation. Similarly, the language in the remainder of this section of the Accommodation Request - that he is concerned about the ‘manufacturers, government and department’ not being held liable for adverse long-term side effects, sees no reason to take the risk of ‘taking an expedited treatment,’ and that he will be solely responsible for dealing with ‘unforeseen consequences’ - indicate that Petitioner's request was based on his personal preferences.” </w:t>
      </w:r>
      <w:hyperlink r:id="rId2231" w:history="1">
        <w:r>
          <w:rPr>
            <w:rStyle w:val="Hyperlink"/>
          </w:rPr>
          <w:t>https://casetext.com/case/pierre-v-fire-dept-of-the-city-of-ny</w:t>
        </w:r>
      </w:hyperlink>
      <w:r>
        <w:t xml:space="preserve"> </w:t>
      </w:r>
    </w:p>
    <w:p w14:paraId="092F4E98" w14:textId="77777777" w:rsidR="00D66BAA" w:rsidRDefault="00D66BAA" w:rsidP="00D66BAA">
      <w:pPr>
        <w:pStyle w:val="NormalWeb"/>
        <w:ind w:left="720"/>
      </w:pPr>
      <w:r>
        <w:t xml:space="preserve">“A New York City vaccine mandate was issued on October 20, </w:t>
      </w:r>
      <w:proofErr w:type="gramStart"/>
      <w:r>
        <w:t>2021</w:t>
      </w:r>
      <w:proofErr w:type="gramEnd"/>
      <w:r>
        <w:t xml:space="preserve"> requiring that all employees of the City of New York verify vaccination against COVID-19 by October 29, 2021.  </w:t>
      </w:r>
    </w:p>
    <w:p w14:paraId="76E6DD48" w14:textId="77777777" w:rsidR="00D66BAA" w:rsidRDefault="00D66BAA" w:rsidP="00D66BAA">
      <w:pPr>
        <w:pStyle w:val="NormalWeb"/>
        <w:ind w:left="720"/>
      </w:pPr>
      <w:r>
        <w:t>***</w:t>
      </w:r>
    </w:p>
    <w:p w14:paraId="11C3F89D" w14:textId="77777777" w:rsidR="00D66BAA" w:rsidRDefault="00D66BAA" w:rsidP="00D66BA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Petitioner, a New York City Firefighter, filed a Form EEO-7 ‘REQUEST FOR A REASONABLE ACCOMODATION FOR RELIGIOUS OBSERVANCES, PRACTICES OR BELIEFS’ on November 21, </w:t>
      </w:r>
      <w:proofErr w:type="gramStart"/>
      <w:r>
        <w:rPr>
          <w:rFonts w:ascii="Times New Roman" w:eastAsia="Times New Roman" w:hAnsi="Times New Roman"/>
          <w:sz w:val="24"/>
          <w:szCs w:val="24"/>
        </w:rPr>
        <w:t>2021</w:t>
      </w:r>
      <w:proofErr w:type="gramEnd"/>
      <w:r>
        <w:rPr>
          <w:rFonts w:ascii="Times New Roman" w:eastAsia="Times New Roman" w:hAnsi="Times New Roman"/>
          <w:sz w:val="24"/>
          <w:szCs w:val="24"/>
        </w:rPr>
        <w:t xml:space="preserve"> … ‘Accommodation Request’). Under the section ‘Identify Religion/creed’ he specified Catholic. The form further asks the applicant to ‘Describe the religious practice(s) in conflict with the work rule(s) or requirement(s).’ He stated: </w:t>
      </w:r>
    </w:p>
    <w:p w14:paraId="2625506A" w14:textId="77777777" w:rsidR="00D66BAA" w:rsidRDefault="00D66BAA" w:rsidP="00D66BAA">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I am not comfortable using a vaccine that has used stem cells from fetuses in </w:t>
      </w:r>
      <w:proofErr w:type="spellStart"/>
      <w:proofErr w:type="gramStart"/>
      <w:r>
        <w:rPr>
          <w:rFonts w:ascii="Times New Roman" w:eastAsia="Times New Roman" w:hAnsi="Times New Roman"/>
          <w:sz w:val="24"/>
          <w:szCs w:val="24"/>
        </w:rPr>
        <w:t>it's</w:t>
      </w:r>
      <w:proofErr w:type="spellEnd"/>
      <w:proofErr w:type="gramEnd"/>
      <w:r>
        <w:rPr>
          <w:rFonts w:ascii="Times New Roman" w:eastAsia="Times New Roman" w:hAnsi="Times New Roman"/>
          <w:sz w:val="24"/>
          <w:szCs w:val="24"/>
        </w:rPr>
        <w:t xml:space="preserve"> [sic] development. I am also cautious in the fact that manufacturers, government, and department are not liable for any adverse long-term side effects. Why shall I take the risk of taking </w:t>
      </w:r>
      <w:proofErr w:type="gramStart"/>
      <w:r>
        <w:rPr>
          <w:rFonts w:ascii="Times New Roman" w:eastAsia="Times New Roman" w:hAnsi="Times New Roman"/>
          <w:sz w:val="24"/>
          <w:szCs w:val="24"/>
        </w:rPr>
        <w:t>an expedited</w:t>
      </w:r>
      <w:proofErr w:type="gramEnd"/>
      <w:r>
        <w:rPr>
          <w:rFonts w:ascii="Times New Roman" w:eastAsia="Times New Roman" w:hAnsi="Times New Roman"/>
          <w:sz w:val="24"/>
          <w:szCs w:val="24"/>
        </w:rPr>
        <w:t xml:space="preserve"> treatment if something were to happen and I'm will [sic] solely to be responsible </w:t>
      </w:r>
      <w:proofErr w:type="gramStart"/>
      <w:r>
        <w:rPr>
          <w:rFonts w:ascii="Times New Roman" w:eastAsia="Times New Roman" w:hAnsi="Times New Roman"/>
          <w:sz w:val="24"/>
          <w:szCs w:val="24"/>
        </w:rPr>
        <w:t>with</w:t>
      </w:r>
      <w:proofErr w:type="gramEnd"/>
      <w:r>
        <w:rPr>
          <w:rFonts w:ascii="Times New Roman" w:eastAsia="Times New Roman" w:hAnsi="Times New Roman"/>
          <w:sz w:val="24"/>
          <w:szCs w:val="24"/>
        </w:rPr>
        <w:t xml:space="preserve"> dealing with any unforeseen consequences? </w:t>
      </w:r>
    </w:p>
    <w:p w14:paraId="008AC0E3" w14:textId="77777777" w:rsidR="00D66BAA" w:rsidRDefault="00D66BAA" w:rsidP="00D66BAA">
      <w:pPr>
        <w:spacing w:after="100" w:line="240" w:lineRule="auto"/>
        <w:ind w:firstLine="720"/>
        <w:rPr>
          <w:rFonts w:ascii="Times New Roman" w:eastAsia="Times New Roman" w:hAnsi="Times New Roman"/>
          <w:sz w:val="24"/>
          <w:szCs w:val="24"/>
        </w:rPr>
      </w:pPr>
      <w:r>
        <w:rPr>
          <w:rFonts w:ascii="Times New Roman" w:eastAsia="Times New Roman" w:hAnsi="Times New Roman"/>
          <w:sz w:val="24"/>
          <w:szCs w:val="24"/>
        </w:rPr>
        <w:t>***</w:t>
      </w:r>
    </w:p>
    <w:p w14:paraId="661677CA" w14:textId="77777777" w:rsidR="00D66BAA" w:rsidRDefault="00D66BAA" w:rsidP="00D66BAA">
      <w:pPr>
        <w:spacing w:after="100" w:line="240" w:lineRule="auto"/>
        <w:ind w:left="720"/>
        <w:rPr>
          <w:rFonts w:ascii="Times New Roman" w:hAnsi="Times New Roman"/>
          <w:sz w:val="24"/>
          <w:szCs w:val="24"/>
        </w:rPr>
      </w:pPr>
      <w:r>
        <w:rPr>
          <w:rFonts w:ascii="Times New Roman" w:hAnsi="Times New Roman"/>
          <w:sz w:val="24"/>
          <w:szCs w:val="24"/>
        </w:rPr>
        <w:t>Here, the Court finds that Respondents' decision was not arbitrary and capricious and that there was a rational basis to support its determination. Although Petitioner points to other decisions regarding the use of "form" denials of religious accommodation requests by the FDNY, in this instance, Petitioner's application does not set forth a request for accommodation based on his religious beliefs but rather states his personal preferences regarding the vaccine….”</w:t>
      </w:r>
    </w:p>
    <w:p w14:paraId="06FE6A7C" w14:textId="77777777" w:rsidR="00D66BAA" w:rsidRDefault="00D66BAA" w:rsidP="00D66BAA">
      <w:pPr>
        <w:spacing w:after="100" w:line="240" w:lineRule="auto"/>
        <w:ind w:left="720"/>
        <w:rPr>
          <w:rFonts w:ascii="Times New Roman" w:hAnsi="Times New Roman"/>
          <w:sz w:val="24"/>
          <w:szCs w:val="24"/>
        </w:rPr>
      </w:pPr>
    </w:p>
    <w:p w14:paraId="6947DDC7" w14:textId="77777777" w:rsidR="00D66BAA" w:rsidRDefault="00D66BAA" w:rsidP="00D66BAA">
      <w:pPr>
        <w:spacing w:after="100"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The firefighter failed to show a basis for religious accommodation. </w:t>
      </w:r>
    </w:p>
    <w:p w14:paraId="0514071E" w14:textId="77777777" w:rsidR="00D66BAA" w:rsidRDefault="00D66BAA" w:rsidP="00D66BAA">
      <w:pPr>
        <w:pStyle w:val="NormalWeb"/>
        <w:ind w:left="720"/>
      </w:pPr>
    </w:p>
    <w:p w14:paraId="50538853" w14:textId="61ED40EC" w:rsidR="00D66BAA" w:rsidRDefault="00D66BAA" w:rsidP="002B1283">
      <w:pPr>
        <w:rPr>
          <w:rFonts w:ascii="Arial Black" w:hAnsi="Arial Black"/>
          <w:b/>
          <w:bCs/>
          <w:sz w:val="28"/>
          <w:szCs w:val="28"/>
        </w:rPr>
      </w:pPr>
      <w:r>
        <w:rPr>
          <w:rFonts w:ascii="Arial Black" w:hAnsi="Arial Black"/>
          <w:b/>
          <w:bCs/>
          <w:sz w:val="28"/>
          <w:szCs w:val="28"/>
        </w:rPr>
        <w:t>13-138</w:t>
      </w:r>
    </w:p>
    <w:p w14:paraId="00C36EE7" w14:textId="77777777" w:rsidR="00D66BAA" w:rsidRDefault="00D66BAA" w:rsidP="00D66BAA">
      <w:pPr>
        <w:pStyle w:val="NormalWeb"/>
        <w:rPr>
          <w:rFonts w:ascii="Arial Black" w:hAnsi="Arial Black"/>
          <w:sz w:val="28"/>
          <w:szCs w:val="28"/>
        </w:rPr>
      </w:pPr>
      <w:r>
        <w:rPr>
          <w:rFonts w:ascii="Arial Black" w:hAnsi="Arial Black"/>
          <w:sz w:val="28"/>
          <w:szCs w:val="28"/>
        </w:rPr>
        <w:t xml:space="preserve">NY: HOSP. BASED EMT PUNCHED MENTAL PT – FF HOLDING PATIENT FELL &amp; INJURED - CAN’T SUE HOSPITAL </w:t>
      </w:r>
    </w:p>
    <w:p w14:paraId="648241C6" w14:textId="77777777" w:rsidR="00D66BAA" w:rsidRDefault="00D66BAA" w:rsidP="00D66BAA">
      <w:pPr>
        <w:pStyle w:val="NormalWeb"/>
      </w:pPr>
      <w:r>
        <w:t>On March 23, 2023</w:t>
      </w:r>
      <w:proofErr w:type="gramStart"/>
      <w:r>
        <w:t>, in</w:t>
      </w:r>
      <w:proofErr w:type="gramEnd"/>
      <w:r>
        <w:t xml:space="preserve"> </w:t>
      </w:r>
      <w:r>
        <w:rPr>
          <w:u w:val="single"/>
        </w:rPr>
        <w:t>Michael McGovern and Laura McGovern v. The St. Luke’s-Roosevelt Hospital, et al</w:t>
      </w:r>
      <w:r>
        <w:t xml:space="preserve">., Justice Lyle E. Frank, Supreme Court, New York County (unpublished decision), granted the hospital motion for summary judgment.  Fire &amp; EMS responded for unconscious person; EMT gave sternum rub and patient became agitated and aggressive (“emotionally disturbed person”).  Video shows an EMT throwing a punch at the patient, as the firefighter was restraining the patient and both the firefighter and patient fell to the ground. </w:t>
      </w:r>
    </w:p>
    <w:p w14:paraId="7422348F" w14:textId="77777777" w:rsidR="00D66BAA" w:rsidRDefault="00D66BAA" w:rsidP="00D66BAA">
      <w:pPr>
        <w:pStyle w:val="NormalWeb"/>
        <w:ind w:left="720" w:firstLine="60"/>
      </w:pPr>
      <w:r>
        <w:lastRenderedPageBreak/>
        <w:t xml:space="preserve">“The Court finds that whether the non-party EMT was in fact negligent in failing to follow the proper protocols, that conduct was not the proximate cause of plaintiff's injuries. The Court finds the non-party EMT's conduct to be intentional, therefore not in the purview of negligence…. The law is well established that there cannot be vicarious liability for the intentional tort of an employee when the underlying act is outside of the scope of employment….”  </w:t>
      </w:r>
      <w:hyperlink r:id="rId2232" w:history="1">
        <w:r>
          <w:rPr>
            <w:rStyle w:val="Hyperlink"/>
          </w:rPr>
          <w:t>https://public.fastcase.com/J%2FJP6pdidelsXxEE4k%2BLMjJGU1N13mSM0FXq6MPMgI9LSFCmdWs1UmdxMrMk65JbGuZGkm2byIyaUDFttOOFNnpFfmnrOgyejNkkQ3Wd5bI%3D?utm_medium=email&amp;_hsmi=226712652&amp;_hsenc=p2ANqtz--0Qd6DUvdEJ2RTs9adtgmCzU05IEXqUBeE6HSsIcsSfVoNrdaOOcnlphoE_fH7sdYgnejI_LAktN6WZtOuiqSz8dg1eg&amp;utm_content=226712652&amp;utm_source=hs_email</w:t>
        </w:r>
      </w:hyperlink>
      <w:r>
        <w:t xml:space="preserve"> </w:t>
      </w:r>
    </w:p>
    <w:p w14:paraId="5F474B8E" w14:textId="77777777" w:rsidR="00D66BAA" w:rsidRDefault="00D66BAA" w:rsidP="00D66BAA">
      <w:pPr>
        <w:pStyle w:val="NormalWeb"/>
        <w:ind w:left="720"/>
      </w:pPr>
      <w:r>
        <w:t>“[T]here are two videos of the incident that have been provided by the parties and reviewed by the Court. Both are extremely short in duration, but both clearly show one of the EMT's shoving the non-party patient, the plaintiff retraining the [patient],  the same EMT throwing a punch in the direction of the … patient and the plaintiff, causing the plaintiff and the … patient to fall to the ground.</w:t>
      </w:r>
    </w:p>
    <w:p w14:paraId="4D2A7F4C" w14:textId="77777777" w:rsidR="00D66BAA" w:rsidRDefault="00D66BAA" w:rsidP="00D66BAA">
      <w:pPr>
        <w:pStyle w:val="NormalWeb"/>
        <w:ind w:left="720"/>
      </w:pPr>
      <w:r>
        <w:t>***</w:t>
      </w:r>
    </w:p>
    <w:p w14:paraId="726251FC" w14:textId="77777777" w:rsidR="00D66BAA" w:rsidRDefault="00D66BAA" w:rsidP="00D66BAA">
      <w:pPr>
        <w:pStyle w:val="NormalWeb"/>
        <w:ind w:left="720"/>
      </w:pPr>
      <w:r>
        <w:t xml:space="preserve">The crux of plaintiff’s position is that defendants' employees were negligent in following protocol by not creating a safe zone and not calling the police, with these failures causing plaintiff to intervene in a physical altercation between the non-party patient and the [EMT]. However, the Court finds that, consistent with the defendants' position, the ensuing physical altercation and the intervention by plaintiff does not impute vicarious liability onto the defendants. </w:t>
      </w:r>
    </w:p>
    <w:p w14:paraId="40F02669" w14:textId="77777777" w:rsidR="00D66BAA" w:rsidRDefault="00D66BAA" w:rsidP="00D66BAA">
      <w:pPr>
        <w:pStyle w:val="NormalWeb"/>
        <w:ind w:left="720"/>
      </w:pPr>
      <w:r>
        <w:t xml:space="preserve">The Court finds that whether the [paramedic] was in fact negligent in failing to follow the proper protocols, that conduct was not the proximate cause of plaintiff's injuries. The Court finds the non-party EMT's conduct to be intentional, therefore not in the purview of </w:t>
      </w:r>
      <w:proofErr w:type="gramStart"/>
      <w:r>
        <w:t>negligence.”</w:t>
      </w:r>
      <w:proofErr w:type="gramEnd"/>
    </w:p>
    <w:p w14:paraId="57FE5958" w14:textId="77777777" w:rsidR="00D66BAA" w:rsidRDefault="00D66BAA" w:rsidP="00D66BAA">
      <w:pPr>
        <w:pStyle w:val="NormalWeb"/>
        <w:rPr>
          <w:b/>
          <w:bCs/>
        </w:rPr>
      </w:pPr>
      <w:r>
        <w:rPr>
          <w:b/>
          <w:bCs/>
        </w:rPr>
        <w:t xml:space="preserve">Legal Lesson Learned: Hospital employer not liable for intentional misconduct of their EMT.  Also, don’t throw punches at patients; can hurt </w:t>
      </w:r>
      <w:proofErr w:type="gramStart"/>
      <w:r>
        <w:rPr>
          <w:b/>
          <w:bCs/>
        </w:rPr>
        <w:t>patient</w:t>
      </w:r>
      <w:proofErr w:type="gramEnd"/>
      <w:r>
        <w:rPr>
          <w:b/>
          <w:bCs/>
        </w:rPr>
        <w:t xml:space="preserve"> and those trying to restrain the patient. </w:t>
      </w:r>
    </w:p>
    <w:p w14:paraId="53B65E95" w14:textId="77777777" w:rsidR="00D66BAA" w:rsidRDefault="00D66BAA" w:rsidP="00D66BAA">
      <w:pPr>
        <w:pStyle w:val="NormalWeb"/>
      </w:pPr>
    </w:p>
    <w:p w14:paraId="6C9D27C2" w14:textId="77777777" w:rsidR="00D66BAA" w:rsidRPr="00832745" w:rsidRDefault="00D66BAA" w:rsidP="002B1283">
      <w:pPr>
        <w:rPr>
          <w:rFonts w:ascii="Times New Roman" w:hAnsi="Times New Roman"/>
          <w:b/>
          <w:bCs/>
          <w:sz w:val="24"/>
          <w:szCs w:val="24"/>
        </w:rPr>
      </w:pPr>
    </w:p>
    <w:p w14:paraId="2B8AC223" w14:textId="124545D9" w:rsidR="00F55395" w:rsidRDefault="00F55395" w:rsidP="002B1283">
      <w:pPr>
        <w:rPr>
          <w:rFonts w:ascii="Arial Black" w:hAnsi="Arial Black"/>
          <w:b/>
          <w:bCs/>
          <w:sz w:val="28"/>
          <w:szCs w:val="28"/>
        </w:rPr>
      </w:pPr>
      <w:r>
        <w:rPr>
          <w:rFonts w:ascii="Arial Black" w:hAnsi="Arial Black"/>
          <w:b/>
          <w:bCs/>
          <w:sz w:val="28"/>
          <w:szCs w:val="28"/>
        </w:rPr>
        <w:t>13-137</w:t>
      </w:r>
    </w:p>
    <w:p w14:paraId="1901D9F0" w14:textId="77777777" w:rsidR="00F55395" w:rsidRDefault="00F55395" w:rsidP="00F55395">
      <w:pPr>
        <w:pStyle w:val="NormalWeb"/>
        <w:rPr>
          <w:b/>
          <w:bCs/>
        </w:rPr>
      </w:pPr>
      <w:r>
        <w:rPr>
          <w:rFonts w:ascii="Arial Black" w:hAnsi="Arial Black"/>
          <w:b/>
          <w:bCs/>
          <w:sz w:val="28"/>
          <w:szCs w:val="28"/>
        </w:rPr>
        <w:t xml:space="preserve">MS: EMS WORKED GUN SHOT PATIENT AT SCENE 16 MIN –– PLAINTIFF’S MD NOT QUALIFIED AS “EXPERT” IN EMS </w:t>
      </w:r>
    </w:p>
    <w:p w14:paraId="77129025" w14:textId="77777777" w:rsidR="00F55395" w:rsidRDefault="00F55395" w:rsidP="00F55395">
      <w:pPr>
        <w:pStyle w:val="NormalWeb"/>
      </w:pPr>
      <w:r>
        <w:t xml:space="preserve">On March 9, 2023, </w:t>
      </w:r>
      <w:r w:rsidRPr="00470CD5">
        <w:rPr>
          <w:u w:val="single"/>
        </w:rPr>
        <w:t xml:space="preserve">in Marcus Walker, on behalf of beneficiaries of </w:t>
      </w:r>
      <w:proofErr w:type="spellStart"/>
      <w:r w:rsidRPr="00470CD5">
        <w:rPr>
          <w:u w:val="single"/>
        </w:rPr>
        <w:t>De’Aubrey</w:t>
      </w:r>
      <w:proofErr w:type="spellEnd"/>
      <w:r w:rsidRPr="00470CD5">
        <w:rPr>
          <w:u w:val="single"/>
        </w:rPr>
        <w:t xml:space="preserve"> </w:t>
      </w:r>
      <w:proofErr w:type="spellStart"/>
      <w:r w:rsidRPr="00470CD5">
        <w:rPr>
          <w:u w:val="single"/>
        </w:rPr>
        <w:t>Rajheem</w:t>
      </w:r>
      <w:proofErr w:type="spellEnd"/>
      <w:r w:rsidRPr="00470CD5">
        <w:rPr>
          <w:u w:val="single"/>
        </w:rPr>
        <w:t xml:space="preserve"> Roscoe, Deceased v. Jonathan </w:t>
      </w:r>
      <w:proofErr w:type="spellStart"/>
      <w:r w:rsidRPr="00470CD5">
        <w:rPr>
          <w:u w:val="single"/>
        </w:rPr>
        <w:t>Upp</w:t>
      </w:r>
      <w:proofErr w:type="spellEnd"/>
      <w:r w:rsidRPr="00470CD5">
        <w:rPr>
          <w:u w:val="single"/>
        </w:rPr>
        <w:t xml:space="preserve">, </w:t>
      </w:r>
      <w:proofErr w:type="spellStart"/>
      <w:r w:rsidRPr="00470CD5">
        <w:rPr>
          <w:u w:val="single"/>
        </w:rPr>
        <w:t>Medstat</w:t>
      </w:r>
      <w:proofErr w:type="spellEnd"/>
      <w:r w:rsidRPr="00470CD5">
        <w:rPr>
          <w:u w:val="single"/>
        </w:rPr>
        <w:t xml:space="preserve"> EMS, et al</w:t>
      </w:r>
      <w:r>
        <w:t xml:space="preserve">., the U.S. Court of Appeals for Fifth Circuit (New Orleans) held (2 to 0), unpublished decision, that the trial court judge properly found the plaintiff’s expert witness unqualified because he had no experience in emergency medicine.  Court of Appeals held: “As the district court noted, however, Dr. McNair conceded in his deposition ‘that the standard of care for pulmonology and internal medicine-the disciplines in which he does possess specialized knowledge, experience, and training-is different from the standard of care for paramedicine.’ At the same time, Dr. McNair unequivocally stated that he had no experience or education in paramedicine. Additionally, he failed to cite to any literature or published works pertaining to paramedicine that he might have relied on in formulating his opinions….  We conclude that the district court did not abuse its discretion in determining that Dr. McNair was not qualified by his ‘knowledge, </w:t>
      </w:r>
      <w:r>
        <w:lastRenderedPageBreak/>
        <w:t xml:space="preserve">skill, experience, training, or education’ to testify as an expert in this case. </w:t>
      </w:r>
      <w:hyperlink r:id="rId2233" w:history="1">
        <w:r w:rsidRPr="00317BE5">
          <w:rPr>
            <w:rStyle w:val="Hyperlink"/>
            <w:rFonts w:eastAsiaTheme="majorEastAsia"/>
          </w:rPr>
          <w:t>http://www.ca5.uscourts.gov/opinions/unpub/22/22-60374.0.pdf</w:t>
        </w:r>
      </w:hyperlink>
      <w:r>
        <w:t xml:space="preserve"> </w:t>
      </w:r>
    </w:p>
    <w:p w14:paraId="1E30D1FB" w14:textId="77777777" w:rsidR="00F55395" w:rsidRDefault="00F55395" w:rsidP="00F55395">
      <w:pPr>
        <w:pStyle w:val="NormalWeb"/>
        <w:ind w:left="720"/>
      </w:pPr>
      <w:r>
        <w:t>“After local law enforcement officers</w:t>
      </w:r>
      <w:r>
        <w:rPr>
          <w:vertAlign w:val="superscript"/>
        </w:rPr>
        <w:t xml:space="preserve"> </w:t>
      </w:r>
      <w:r>
        <w:t xml:space="preserve">secured the scene, the </w:t>
      </w:r>
      <w:proofErr w:type="spellStart"/>
      <w:r>
        <w:t>MedStat</w:t>
      </w:r>
      <w:proofErr w:type="spellEnd"/>
      <w:r>
        <w:t xml:space="preserve"> crew </w:t>
      </w:r>
      <w:proofErr w:type="gramStart"/>
      <w:r>
        <w:t>made contact with</w:t>
      </w:r>
      <w:proofErr w:type="gramEnd"/>
      <w:r>
        <w:t xml:space="preserve"> Roscoe between 8:12 P.M. and 8:16 P.M. They found him lying in the yard of his girlfriend's house, awake, alert, and oriented, with no active bleeding. [Paramedic Jonathan] </w:t>
      </w:r>
      <w:proofErr w:type="spellStart"/>
      <w:r>
        <w:t>Upp</w:t>
      </w:r>
      <w:proofErr w:type="spellEnd"/>
      <w:r>
        <w:t xml:space="preserve"> noted a gunshot wound to the right side of Roscoe's back near the axillary space and two wounds to the posterior of his right upper arm. At 8:20 P.M., Roscoe was in the ambulance. </w:t>
      </w:r>
      <w:proofErr w:type="spellStart"/>
      <w:r>
        <w:t>Upp</w:t>
      </w:r>
      <w:proofErr w:type="spellEnd"/>
      <w:r>
        <w:t xml:space="preserve"> administered oxygen via a non-rebreather mask and then attempted unsuccessfully to gain vascular access. He next attempted to gain peripheral access via an intraosseous device, but both attempts failed because the catheters bent.  </w:t>
      </w:r>
      <w:proofErr w:type="spellStart"/>
      <w:r>
        <w:t>Upp</w:t>
      </w:r>
      <w:proofErr w:type="spellEnd"/>
      <w:r>
        <w:t xml:space="preserve"> then observed that Roscoe was becoming short of breath and that the right side of his chest was moving less than the left. He suspected that air present in Roscoe's chest cavity was putting pressure on his lung. </w:t>
      </w:r>
      <w:proofErr w:type="spellStart"/>
      <w:r>
        <w:t>Upp</w:t>
      </w:r>
      <w:proofErr w:type="spellEnd"/>
      <w:r>
        <w:t xml:space="preserve"> successfully performed a needle decompression which allowed the air to escape the chest cavity. But then at 8:24 P.M., </w:t>
      </w:r>
      <w:proofErr w:type="spellStart"/>
      <w:r>
        <w:t>Upp</w:t>
      </w:r>
      <w:proofErr w:type="spellEnd"/>
      <w:r>
        <w:t xml:space="preserve"> noted that Roscoe was in respiratory distress and attempted to intubate </w:t>
      </w:r>
      <w:proofErr w:type="gramStart"/>
      <w:r>
        <w:t>him, but</w:t>
      </w:r>
      <w:proofErr w:type="gramEnd"/>
      <w:r>
        <w:t xml:space="preserve"> could not because Roscoe had lockjaw. After </w:t>
      </w:r>
      <w:proofErr w:type="spellStart"/>
      <w:r>
        <w:t>Upp</w:t>
      </w:r>
      <w:proofErr w:type="spellEnd"/>
      <w:r>
        <w:t xml:space="preserve"> and Walda administered medical care to Roscoe at the scene for approximately sixteen minutes, they began transporting him to the hospital at 8:27 P.M. and arrived four minutes later at 8:31 P.M. Roscoe was pronounced dead twenty-five minutes later at 8:56 P.M. The hospital listed Roscoe's cause of death as cardiac arrest due to gunshot wounds.”</w:t>
      </w:r>
    </w:p>
    <w:p w14:paraId="51F44B72" w14:textId="77777777" w:rsidR="00F55395" w:rsidRPr="00FC6E96" w:rsidRDefault="00F55395" w:rsidP="00F55395">
      <w:pPr>
        <w:pStyle w:val="NormalWeb"/>
        <w:rPr>
          <w:b/>
          <w:bCs/>
        </w:rPr>
      </w:pPr>
      <w:r w:rsidRPr="00FC6E96">
        <w:rPr>
          <w:b/>
          <w:bCs/>
        </w:rPr>
        <w:t>Legal Lesson Learned:</w:t>
      </w:r>
      <w:r>
        <w:rPr>
          <w:b/>
          <w:bCs/>
        </w:rPr>
        <w:t xml:space="preserve"> An “expert witness” must have experience directly related to skills required of paramedics.</w:t>
      </w:r>
    </w:p>
    <w:p w14:paraId="23FF3646" w14:textId="77777777" w:rsidR="00F55395" w:rsidRDefault="00F55395" w:rsidP="00F55395">
      <w:pPr>
        <w:pStyle w:val="NormalWeb"/>
      </w:pPr>
    </w:p>
    <w:p w14:paraId="1A8C7219" w14:textId="701DD993" w:rsidR="00F55395" w:rsidRDefault="00F55395" w:rsidP="002B1283">
      <w:pPr>
        <w:rPr>
          <w:rFonts w:ascii="Arial Black" w:hAnsi="Arial Black"/>
          <w:b/>
          <w:bCs/>
          <w:sz w:val="28"/>
          <w:szCs w:val="28"/>
        </w:rPr>
      </w:pPr>
      <w:r>
        <w:rPr>
          <w:rFonts w:ascii="Arial Black" w:hAnsi="Arial Black"/>
          <w:b/>
          <w:bCs/>
          <w:sz w:val="28"/>
          <w:szCs w:val="28"/>
        </w:rPr>
        <w:t>13-136</w:t>
      </w:r>
    </w:p>
    <w:p w14:paraId="214CBAE7" w14:textId="77777777" w:rsidR="00F55395" w:rsidRPr="00024F5F" w:rsidRDefault="00F55395" w:rsidP="00F55395">
      <w:pPr>
        <w:pStyle w:val="NormalWeb"/>
        <w:rPr>
          <w:rFonts w:ascii="Arial Black" w:hAnsi="Arial Black"/>
          <w:b/>
          <w:bCs/>
          <w:sz w:val="28"/>
          <w:szCs w:val="28"/>
        </w:rPr>
      </w:pPr>
      <w:r>
        <w:rPr>
          <w:rFonts w:ascii="Arial Black" w:hAnsi="Arial Black"/>
          <w:b/>
          <w:bCs/>
          <w:sz w:val="28"/>
          <w:szCs w:val="28"/>
        </w:rPr>
        <w:t xml:space="preserve">WV: PIPELINE EMPLOYEE BROKE ANKLE – CAN’T SUE CO. EMT OR CO. FOR NOT PROMPTLY CALLING AMBULANCE </w:t>
      </w:r>
    </w:p>
    <w:p w14:paraId="17AAF7DA" w14:textId="77777777" w:rsidR="00F55395" w:rsidRDefault="00F55395" w:rsidP="00F55395">
      <w:pPr>
        <w:pStyle w:val="NormalWeb"/>
        <w:rPr>
          <w:b/>
          <w:bCs/>
        </w:rPr>
      </w:pPr>
      <w:r>
        <w:t xml:space="preserve">On March 6, 2023, in </w:t>
      </w:r>
      <w:r w:rsidRPr="00024F5F">
        <w:rPr>
          <w:u w:val="single"/>
        </w:rPr>
        <w:t>Precision Pipeline, LLC, et al. v. Mark Weese</w:t>
      </w:r>
      <w:r>
        <w:t xml:space="preserve">, the Supreme Court of Appeals of West Virginia held (5 to 0) that a pipeline work, who suffered a broken ankle and a torn Achilles tendon, and received workers comp coverage, cannot sue the company or the company’s EMT, even if he was not taken directly to a hospital.  The Court reversed the trial court judge that had denied the employer and EMT’s motion to dismiss. Court held:  “Though respondent claims that Precision's negligence in hiring, retaining, and supervising Petitioner Vanessa Stromberg as an EMT is not the type of employer negligence contemplated by our workers' compensation law such that immunity should bar his claim, he cites to no supporting legal authority for this proposition and, indeed, ignores the clear and unambiguous language of West Virginia Code § 23-2-6, which dictates that immunity does apply to respondent's claim. *** As such, Stromberg and her fellow employees are immune from suit.” </w:t>
      </w:r>
      <w:hyperlink r:id="rId2234" w:history="1">
        <w:r w:rsidRPr="00764765">
          <w:rPr>
            <w:rStyle w:val="Hyperlink"/>
            <w:rFonts w:eastAsiaTheme="majorEastAsia"/>
          </w:rPr>
          <w:t>https://law.justia.com/cases/west-virginia/supreme-court/2023/21-0841.html</w:t>
        </w:r>
      </w:hyperlink>
      <w:r>
        <w:t xml:space="preserve"> </w:t>
      </w:r>
    </w:p>
    <w:p w14:paraId="14F3280F" w14:textId="77777777" w:rsidR="00F55395" w:rsidRDefault="00F55395" w:rsidP="00F55395">
      <w:pPr>
        <w:pStyle w:val="NormalWeb"/>
        <w:ind w:left="720"/>
      </w:pPr>
      <w:r>
        <w:t xml:space="preserve">“Respondent was employed by Precision at a pipeline construction project in Marshall County on April 12, 2019, when he severely injured his left leg while dragging a fuel hose. Witnesses to respondent's injury called for assistance and Petitioner Vanessa Stromberg, the site Emergency Medical Technician (EMT) and a Precision employee, responded. Respondent alleges that, despite her title, Ms. Stromberg is not a licensed EMT; that she ‘provided no actual medical assistance or intervention on </w:t>
      </w:r>
      <w:proofErr w:type="gramStart"/>
      <w:r>
        <w:t>site;’</w:t>
      </w:r>
      <w:proofErr w:type="gramEnd"/>
      <w:r>
        <w:t xml:space="preserve"> and that ‘no ambulance or outside medical assistance’ was summoned. According to </w:t>
      </w:r>
      <w:proofErr w:type="gramStart"/>
      <w:r>
        <w:t>respondent, ‘</w:t>
      </w:r>
      <w:proofErr w:type="gramEnd"/>
      <w:r>
        <w:t xml:space="preserve">worksite directives, plans to address injuries, public policy to treat medical emergencies, and West Virginia Code § 21-3-1’ required that </w:t>
      </w:r>
      <w:proofErr w:type="gramStart"/>
      <w:r>
        <w:t>respondent ‘</w:t>
      </w:r>
      <w:proofErr w:type="gramEnd"/>
      <w:r>
        <w:t xml:space="preserve">be taken to the nearest medical facility for immediate care.’ Although respondent was placed ‘into a pickup truck for transportation to a medical facility,’ he was taken, instead, to Precision's ‘yard’ or ‘office’ located in </w:t>
      </w:r>
      <w:proofErr w:type="spellStart"/>
      <w:r>
        <w:t>McMechen</w:t>
      </w:r>
      <w:proofErr w:type="spellEnd"/>
      <w:r>
        <w:t xml:space="preserve">, West Virginia, where he was </w:t>
      </w:r>
      <w:r>
        <w:lastRenderedPageBreak/>
        <w:t>transferred to another vehicle driven by a Precision employee and ultimately transported to a MedExpress urgent care facility.”</w:t>
      </w:r>
    </w:p>
    <w:p w14:paraId="4F549453" w14:textId="77777777" w:rsidR="00F55395" w:rsidRPr="00935A96" w:rsidRDefault="00F55395" w:rsidP="00F55395">
      <w:pPr>
        <w:pStyle w:val="NormalWeb"/>
        <w:rPr>
          <w:b/>
          <w:bCs/>
        </w:rPr>
      </w:pPr>
      <w:r w:rsidRPr="00935A96">
        <w:rPr>
          <w:b/>
          <w:bCs/>
        </w:rPr>
        <w:t xml:space="preserve">Legal Lesson Learned: </w:t>
      </w:r>
      <w:proofErr w:type="gramStart"/>
      <w:r>
        <w:rPr>
          <w:b/>
          <w:bCs/>
        </w:rPr>
        <w:t>Workers</w:t>
      </w:r>
      <w:proofErr w:type="gramEnd"/>
      <w:r>
        <w:rPr>
          <w:b/>
          <w:bCs/>
        </w:rPr>
        <w:t xml:space="preserve"> comp is sole remedy for injured employee in most jurisdictions, unless prove an “intentional tort.” </w:t>
      </w:r>
    </w:p>
    <w:p w14:paraId="7ACB1BED" w14:textId="77777777" w:rsidR="00F55395" w:rsidRDefault="00F55395" w:rsidP="00F55395">
      <w:pPr>
        <w:pStyle w:val="NormalWeb"/>
        <w:ind w:left="720"/>
      </w:pPr>
      <w:r w:rsidRPr="00D23010">
        <w:t>Note: In Ohio, for example</w:t>
      </w:r>
      <w:r>
        <w:t>, Ohio Revised Code 2745.01 provides.</w:t>
      </w:r>
      <w:r w:rsidRPr="00D23010">
        <w:t xml:space="preserve"> </w:t>
      </w:r>
      <w:hyperlink r:id="rId2235" w:history="1">
        <w:r w:rsidRPr="00764765">
          <w:rPr>
            <w:rStyle w:val="Hyperlink"/>
            <w:rFonts w:eastAsiaTheme="majorEastAsia"/>
          </w:rPr>
          <w:t>https://codes.ohio.gov/ohio-revised-code/section-2745.01</w:t>
        </w:r>
      </w:hyperlink>
      <w:r>
        <w:t xml:space="preserve"> </w:t>
      </w:r>
    </w:p>
    <w:p w14:paraId="5CFB42E4" w14:textId="77777777" w:rsidR="00F55395" w:rsidRPr="00D23010" w:rsidRDefault="00F55395" w:rsidP="00F55395">
      <w:pPr>
        <w:pStyle w:val="NormalWeb"/>
        <w:ind w:left="720"/>
      </w:pPr>
      <w:r>
        <w:t>“</w:t>
      </w:r>
      <w:r w:rsidRPr="00D23010">
        <w:t>(A) In an action brought against an employer by an employee, or by the dependent survivors of a deceased employee, for damages resulting from an intentional tort committed by the employer during the course of employment, the employer shall not be liable unless the plaintiff proves that the employer committed the tortious act with the intent to injure another or with the belief that the injury was substantially certain to occur.</w:t>
      </w:r>
      <w:r>
        <w:t xml:space="preserve">” </w:t>
      </w:r>
    </w:p>
    <w:p w14:paraId="4430DAF5" w14:textId="77777777" w:rsidR="00F55395" w:rsidRDefault="00F55395" w:rsidP="002B1283">
      <w:pPr>
        <w:rPr>
          <w:rFonts w:ascii="Arial Black" w:hAnsi="Arial Black"/>
          <w:b/>
          <w:bCs/>
          <w:sz w:val="28"/>
          <w:szCs w:val="28"/>
        </w:rPr>
      </w:pPr>
    </w:p>
    <w:p w14:paraId="7B85F064" w14:textId="77777777" w:rsidR="00F55395" w:rsidRDefault="00F55395" w:rsidP="002B1283">
      <w:pPr>
        <w:rPr>
          <w:rFonts w:ascii="Arial Black" w:hAnsi="Arial Black"/>
          <w:b/>
          <w:bCs/>
          <w:sz w:val="28"/>
          <w:szCs w:val="28"/>
        </w:rPr>
      </w:pPr>
    </w:p>
    <w:p w14:paraId="353197B3" w14:textId="05467868" w:rsidR="008A4533" w:rsidRDefault="008A4533" w:rsidP="002B1283">
      <w:pPr>
        <w:rPr>
          <w:rFonts w:ascii="Arial Black" w:hAnsi="Arial Black"/>
          <w:b/>
          <w:bCs/>
          <w:sz w:val="28"/>
          <w:szCs w:val="28"/>
        </w:rPr>
      </w:pPr>
      <w:r>
        <w:rPr>
          <w:rFonts w:ascii="Arial Black" w:hAnsi="Arial Black"/>
          <w:b/>
          <w:bCs/>
          <w:sz w:val="28"/>
          <w:szCs w:val="28"/>
        </w:rPr>
        <w:t>13-13</w:t>
      </w:r>
      <w:r w:rsidR="005C3F7B">
        <w:rPr>
          <w:rFonts w:ascii="Arial Black" w:hAnsi="Arial Black"/>
          <w:b/>
          <w:bCs/>
          <w:sz w:val="28"/>
          <w:szCs w:val="28"/>
        </w:rPr>
        <w:t>5</w:t>
      </w:r>
    </w:p>
    <w:p w14:paraId="0C66003A" w14:textId="77777777" w:rsidR="008A4533" w:rsidRDefault="008A4533" w:rsidP="008A4533">
      <w:pPr>
        <w:pStyle w:val="NormalWeb"/>
        <w:rPr>
          <w:rFonts w:ascii="Arial Black" w:hAnsi="Arial Black"/>
          <w:sz w:val="28"/>
          <w:szCs w:val="28"/>
        </w:rPr>
      </w:pPr>
      <w:r>
        <w:rPr>
          <w:rFonts w:ascii="Arial Black" w:hAnsi="Arial Black"/>
          <w:sz w:val="28"/>
          <w:szCs w:val="28"/>
        </w:rPr>
        <w:t>WA: FD WENT WRONG ADDRESS – 16 MIN. DELAY, BRAIN INJURY– CITY NO “PUBLIC DUTY DOCTRINE” IMMUNITY</w:t>
      </w:r>
    </w:p>
    <w:p w14:paraId="40236572" w14:textId="77777777" w:rsidR="008A4533" w:rsidRDefault="008A4533" w:rsidP="008A4533">
      <w:pPr>
        <w:pStyle w:val="NormalWeb"/>
      </w:pPr>
      <w:r>
        <w:t xml:space="preserve">On Jan. 12, 2023, in </w:t>
      </w:r>
      <w:r w:rsidRPr="00031673">
        <w:rPr>
          <w:u w:val="single"/>
        </w:rPr>
        <w:t>Delaura Norg, as Litigation Guardian ad Litem for her husband, Fred B. Norg v. City of Seattle</w:t>
      </w:r>
      <w:r>
        <w:t xml:space="preserve">, the Supreme Court of Washington, held (5 to 4; </w:t>
      </w:r>
      <w:proofErr w:type="spellStart"/>
      <w:r>
        <w:t>en</w:t>
      </w:r>
      <w:proofErr w:type="spellEnd"/>
      <w:r>
        <w:t xml:space="preserve"> banc – all the Justices) that the City does not have immunity under the “public duty doctrine” because the City had an “individualized, actionable duty of reasonable care when it undertook to respond to their 911 call.” On Feb. 7, 2017, Mrs. Norg called 911 at 4:42 am and reported husband was making loud sounds, and eyes were wide open and glassy.  Dispatch notified Seattle FD and units went in serve at 4:44 from one station, and 4:46 at another – but mistakenly went to a nursing home near the Norg residence.  They ultimately arrived at correct address 16 minutes after the initial call to 911. Fred Norg was transported to the hospital, where he was diagnosed with a heart attack. He survived but allegedly suffered "severe and permanent injuries," including brain damage due to a lack of oxygen, resulting in "cognitive deficits and impaired vision, balance[,] and ambulation.” The Court held: “</w:t>
      </w:r>
      <w:r>
        <w:rPr>
          <w:rStyle w:val="markedcontent"/>
          <w:rFonts w:eastAsiaTheme="majorEastAsia"/>
        </w:rPr>
        <w:t xml:space="preserve">The </w:t>
      </w:r>
      <w:proofErr w:type="spellStart"/>
      <w:r>
        <w:rPr>
          <w:rStyle w:val="markedcontent"/>
          <w:rFonts w:eastAsiaTheme="majorEastAsia"/>
        </w:rPr>
        <w:t>Norgs</w:t>
      </w:r>
      <w:proofErr w:type="spellEnd"/>
      <w:r>
        <w:rPr>
          <w:rStyle w:val="markedcontent"/>
          <w:rFonts w:eastAsiaTheme="majorEastAsia"/>
        </w:rPr>
        <w:t xml:space="preserve"> have established that the City owed them an individualized, actionable duty of reasonable care when it undertook to respond to their 911 call. The </w:t>
      </w:r>
      <w:proofErr w:type="spellStart"/>
      <w:r>
        <w:rPr>
          <w:rStyle w:val="markedcontent"/>
          <w:rFonts w:eastAsiaTheme="majorEastAsia"/>
        </w:rPr>
        <w:t>Norgs</w:t>
      </w:r>
      <w:proofErr w:type="spellEnd"/>
      <w:r>
        <w:rPr>
          <w:rStyle w:val="markedcontent"/>
          <w:rFonts w:eastAsiaTheme="majorEastAsia"/>
        </w:rPr>
        <w:t>’ negligence claim is based solely on the City’s alleged breach of this</w:t>
      </w:r>
      <w:r>
        <w:br/>
      </w:r>
      <w:r>
        <w:rPr>
          <w:rStyle w:val="markedcontent"/>
          <w:rFonts w:eastAsiaTheme="majorEastAsia"/>
        </w:rPr>
        <w:t>common law duty. Therefore, although we express no opinion as to whether the</w:t>
      </w:r>
      <w:r>
        <w:br/>
      </w:r>
      <w:proofErr w:type="spellStart"/>
      <w:r>
        <w:rPr>
          <w:rStyle w:val="markedcontent"/>
          <w:rFonts w:eastAsiaTheme="majorEastAsia"/>
        </w:rPr>
        <w:t>Norgs</w:t>
      </w:r>
      <w:proofErr w:type="spellEnd"/>
      <w:r>
        <w:rPr>
          <w:rStyle w:val="markedcontent"/>
          <w:rFonts w:eastAsiaTheme="majorEastAsia"/>
        </w:rPr>
        <w:t xml:space="preserve"> </w:t>
      </w:r>
      <w:proofErr w:type="gramStart"/>
      <w:r>
        <w:rPr>
          <w:rStyle w:val="markedcontent"/>
          <w:rFonts w:eastAsiaTheme="majorEastAsia"/>
        </w:rPr>
        <w:t>will be ultimately be</w:t>
      </w:r>
      <w:proofErr w:type="gramEnd"/>
      <w:r>
        <w:rPr>
          <w:rStyle w:val="markedcontent"/>
          <w:rFonts w:eastAsiaTheme="majorEastAsia"/>
        </w:rPr>
        <w:t xml:space="preserve"> able to prevail on their claim, we hold that the public</w:t>
      </w:r>
      <w:r>
        <w:br/>
      </w:r>
      <w:r>
        <w:rPr>
          <w:rStyle w:val="markedcontent"/>
          <w:rFonts w:eastAsiaTheme="majorEastAsia"/>
        </w:rPr>
        <w:t>duty doctrine does not apply.”</w:t>
      </w:r>
      <w:r>
        <w:t xml:space="preserve"> </w:t>
      </w:r>
      <w:hyperlink r:id="rId2236" w:history="1">
        <w:r w:rsidRPr="00E03083">
          <w:rPr>
            <w:rStyle w:val="Hyperlink"/>
          </w:rPr>
          <w:t>https://www.courts.wa.gov/opinions/pdf/1001002.pdf</w:t>
        </w:r>
      </w:hyperlink>
      <w:r>
        <w:t xml:space="preserve"> </w:t>
      </w:r>
    </w:p>
    <w:p w14:paraId="28F79EFB" w14:textId="77777777" w:rsidR="008A4533" w:rsidRDefault="008A4533" w:rsidP="008A4533">
      <w:pPr>
        <w:pStyle w:val="NormalWeb"/>
        <w:ind w:left="720"/>
      </w:pPr>
      <w:r>
        <w:t xml:space="preserve">“As discussed above, to determine whether the public duty doctrine applies to this case, we must determine what duty the </w:t>
      </w:r>
      <w:proofErr w:type="gramStart"/>
      <w:r>
        <w:t>City</w:t>
      </w:r>
      <w:proofErr w:type="gramEnd"/>
      <w:r>
        <w:t xml:space="preserve"> allegedly breached and whether that duty was owed to the </w:t>
      </w:r>
      <w:proofErr w:type="spellStart"/>
      <w:r>
        <w:t>Norgs</w:t>
      </w:r>
      <w:proofErr w:type="spellEnd"/>
      <w:r>
        <w:t xml:space="preserve"> individually or to the </w:t>
      </w:r>
      <w:proofErr w:type="gramStart"/>
      <w:r>
        <w:t>general public</w:t>
      </w:r>
      <w:proofErr w:type="gramEnd"/>
      <w:r>
        <w:t xml:space="preserve">. It is clear from the nature of the </w:t>
      </w:r>
      <w:proofErr w:type="spellStart"/>
      <w:r>
        <w:t>Norgs</w:t>
      </w:r>
      <w:proofErr w:type="spellEnd"/>
      <w:r>
        <w:t xml:space="preserve">' claim that it is based on an alleged breach of the City's common law duty to use reasonable care, which was owed to the </w:t>
      </w:r>
      <w:proofErr w:type="spellStart"/>
      <w:r>
        <w:t>Norgs</w:t>
      </w:r>
      <w:proofErr w:type="spellEnd"/>
      <w:r>
        <w:t xml:space="preserve"> individually. Therefore, the public duty doctrine does not apply as a matter of law.”</w:t>
      </w:r>
    </w:p>
    <w:p w14:paraId="3E9AD17C" w14:textId="77777777" w:rsidR="008A4533" w:rsidRDefault="008A4533" w:rsidP="008A4533">
      <w:pPr>
        <w:pStyle w:val="NormalWeb"/>
      </w:pPr>
      <w:r>
        <w:t xml:space="preserve">Dissent [Justice Barbara Madsen, joined by 3 other Justices]: </w:t>
      </w:r>
    </w:p>
    <w:p w14:paraId="546354C4" w14:textId="77777777" w:rsidR="008A4533" w:rsidRDefault="008A4533" w:rsidP="008A4533">
      <w:pPr>
        <w:pStyle w:val="NormalWeb"/>
        <w:ind w:left="720"/>
        <w:rPr>
          <w:rStyle w:val="markedcontent"/>
          <w:rFonts w:eastAsiaTheme="majorEastAsia"/>
        </w:rPr>
      </w:pPr>
      <w:r>
        <w:lastRenderedPageBreak/>
        <w:t>“</w:t>
      </w:r>
      <w:r>
        <w:rPr>
          <w:rStyle w:val="markedcontent"/>
          <w:rFonts w:eastAsiaTheme="majorEastAsia"/>
        </w:rPr>
        <w:t xml:space="preserve">Rather than straightforwardly applying precedent, the majority relies on pronouncements made in concurrences from past cases and accepts them as settled law, rewriting the public duty doctrine to apply only when duties are imposed on government entities by statute or ordinance—creating virtually limitless liability. *** The </w:t>
      </w:r>
      <w:proofErr w:type="spellStart"/>
      <w:r>
        <w:rPr>
          <w:rStyle w:val="markedcontent"/>
          <w:rFonts w:eastAsiaTheme="majorEastAsia"/>
        </w:rPr>
        <w:t>Norgs</w:t>
      </w:r>
      <w:proofErr w:type="spellEnd"/>
      <w:r>
        <w:rPr>
          <w:rStyle w:val="markedcontent"/>
          <w:rFonts w:eastAsiaTheme="majorEastAsia"/>
        </w:rPr>
        <w:t xml:space="preserve"> have not shown that any duty was owed to them as individuals….  A broad and general responsibility to the public rather than to individual members of the public does not create a duty of care…. I would hold that the public duty doctrine is available to the city of Seattle…. The public duty doctrine applies when a public entity is performing a governmental function.”</w:t>
      </w:r>
    </w:p>
    <w:p w14:paraId="01B7D16D" w14:textId="77777777" w:rsidR="008A4533" w:rsidRDefault="008A4533" w:rsidP="008A4533">
      <w:pPr>
        <w:pStyle w:val="NormalWeb"/>
        <w:rPr>
          <w:b/>
          <w:bCs/>
        </w:rPr>
      </w:pPr>
      <w:r w:rsidRPr="00777A43">
        <w:rPr>
          <w:b/>
          <w:bCs/>
        </w:rPr>
        <w:t>Legal Lesson Learned:</w:t>
      </w:r>
      <w:r>
        <w:rPr>
          <w:b/>
          <w:bCs/>
        </w:rPr>
        <w:t xml:space="preserve"> “Public duty doctrine” has generally been a strong defense for public employers. </w:t>
      </w:r>
    </w:p>
    <w:p w14:paraId="640216C1" w14:textId="3F2FDB1B" w:rsidR="008A4533" w:rsidRDefault="008A4533" w:rsidP="002B1283">
      <w:pPr>
        <w:rPr>
          <w:rFonts w:ascii="Arial Black" w:hAnsi="Arial Black"/>
          <w:b/>
          <w:bCs/>
          <w:sz w:val="28"/>
          <w:szCs w:val="28"/>
        </w:rPr>
      </w:pPr>
    </w:p>
    <w:p w14:paraId="29F5715A" w14:textId="3B7F00DC" w:rsidR="008A4533" w:rsidRDefault="008A4533" w:rsidP="002B1283">
      <w:pPr>
        <w:rPr>
          <w:rFonts w:ascii="Arial Black" w:hAnsi="Arial Black"/>
          <w:b/>
          <w:bCs/>
          <w:sz w:val="28"/>
          <w:szCs w:val="28"/>
        </w:rPr>
      </w:pPr>
      <w:r>
        <w:rPr>
          <w:rFonts w:ascii="Arial Black" w:hAnsi="Arial Black"/>
          <w:b/>
          <w:bCs/>
          <w:sz w:val="28"/>
          <w:szCs w:val="28"/>
        </w:rPr>
        <w:t>13-13</w:t>
      </w:r>
      <w:r w:rsidR="005C3F7B">
        <w:rPr>
          <w:rFonts w:ascii="Arial Black" w:hAnsi="Arial Black"/>
          <w:b/>
          <w:bCs/>
          <w:sz w:val="28"/>
          <w:szCs w:val="28"/>
        </w:rPr>
        <w:t>4</w:t>
      </w:r>
    </w:p>
    <w:p w14:paraId="6298455E" w14:textId="77777777" w:rsidR="008A4533" w:rsidRDefault="008A4533" w:rsidP="008A4533">
      <w:pPr>
        <w:pStyle w:val="NormalWeb"/>
        <w:rPr>
          <w:rFonts w:ascii="Arial Black" w:hAnsi="Arial Black"/>
          <w:b/>
          <w:bCs/>
          <w:sz w:val="28"/>
          <w:szCs w:val="28"/>
        </w:rPr>
      </w:pPr>
      <w:r>
        <w:rPr>
          <w:rFonts w:ascii="Arial Black" w:hAnsi="Arial Black"/>
          <w:b/>
          <w:bCs/>
          <w:sz w:val="28"/>
          <w:szCs w:val="28"/>
        </w:rPr>
        <w:t>IA: EMS - SPIT HOOD ON MAN ARRESTED DOMESTIC VIOLENCE – PROPERLY USED SENTENCING - 2-YRS JAIL</w:t>
      </w:r>
    </w:p>
    <w:p w14:paraId="06AA1CCA" w14:textId="77777777" w:rsidR="008A4533" w:rsidRPr="003E7D5E" w:rsidRDefault="008A4533" w:rsidP="008A4533">
      <w:pPr>
        <w:pStyle w:val="NormalWeb"/>
        <w:rPr>
          <w:b/>
          <w:bCs/>
        </w:rPr>
      </w:pPr>
      <w:r w:rsidRPr="003D19B9">
        <w:t xml:space="preserve">On </w:t>
      </w:r>
      <w:r>
        <w:t xml:space="preserve">Jan. 11, 2023, in </w:t>
      </w:r>
      <w:r w:rsidRPr="003D19B9">
        <w:rPr>
          <w:u w:val="single"/>
        </w:rPr>
        <w:t>State of Iowa v. Spencer Jerrick Carter</w:t>
      </w:r>
      <w:r>
        <w:t xml:space="preserve">, the Court of Appeals of Iowa held (3 to 0) that the Prosecutor at time of sentencing properly advised the trial court judge that two EMS had to use a spit hood when transporting the defendant.  The defendant had pled guilty to assaulting two police officers, and two firefighters on Oct. 14, 2021.  On appeal, Carter contends the prosecutor's relaying of information about use of spit hood constituted improper victim statements and he is entitled to resentencing. The Court of Appeals disagreed, finding “there is nothing in the court's reasons to indicate it considered improper factors.” </w:t>
      </w:r>
      <w:hyperlink r:id="rId2237" w:history="1">
        <w:r w:rsidRPr="00912476">
          <w:rPr>
            <w:rStyle w:val="Hyperlink"/>
          </w:rPr>
          <w:t>https://law.justia.com/cases/iowa/court-of-appeals/2023/22-0302.html</w:t>
        </w:r>
      </w:hyperlink>
    </w:p>
    <w:p w14:paraId="471F2B9A" w14:textId="77777777" w:rsidR="008A4533" w:rsidRPr="003E7D5E" w:rsidRDefault="008A4533" w:rsidP="008A4533">
      <w:pPr>
        <w:pStyle w:val="NormalWeb"/>
        <w:ind w:left="720"/>
        <w:rPr>
          <w:b/>
          <w:bCs/>
        </w:rPr>
      </w:pPr>
      <w:r>
        <w:t xml:space="preserve">“Officers restrained the defendant, including by using personal defense spray, and the defendant continued to refuse to cooperate with police attempts to move him. Officers requested assistance from the Dubuque Fire Department, and as the defendant was strapped to a cot and prepared to </w:t>
      </w:r>
      <w:proofErr w:type="gramStart"/>
      <w:r>
        <w:t>move</w:t>
      </w:r>
      <w:proofErr w:type="gramEnd"/>
      <w:r>
        <w:t xml:space="preserve"> he told Officer Warner, "I will kill you and your family." The defendant proceeded to spit on two different firefighters as he was being carried away, Firefighters </w:t>
      </w:r>
      <w:r w:rsidRPr="003E7D5E">
        <w:rPr>
          <w:rStyle w:val="Strong"/>
        </w:rPr>
        <w:t>Todd Sieverding and Steve Haupert.</w:t>
      </w:r>
    </w:p>
    <w:p w14:paraId="11D891F5" w14:textId="77777777" w:rsidR="008A4533" w:rsidRDefault="008A4533" w:rsidP="008A4533">
      <w:pPr>
        <w:pStyle w:val="NormalWeb"/>
      </w:pPr>
      <w:r>
        <w:t>The prosecutor at sentencing hearing told the Court:</w:t>
      </w:r>
    </w:p>
    <w:p w14:paraId="3C6423C5" w14:textId="77777777" w:rsidR="008A4533" w:rsidRDefault="008A4533" w:rsidP="008A4533">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0B135C">
        <w:rPr>
          <w:rFonts w:ascii="Times New Roman" w:eastAsia="Times New Roman" w:hAnsi="Times New Roman"/>
          <w:sz w:val="24"/>
          <w:szCs w:val="24"/>
        </w:rPr>
        <w:t xml:space="preserve">Firefighter Todd Sieverding did say that he wanted to relay that placing a spit hood on a subject is sort of the last resort for what they do. It's demeaning, not only for the subject, but for the firefighters to do that, and if they can avoid using a spit hood, in any, in any sort of way, they would avoid doing so, but they weren't able to do that here because the Defendant continued to resist, even as they were trying to help him. Their hands were tied up holding the cot and the patient, but </w:t>
      </w:r>
      <w:proofErr w:type="gramStart"/>
      <w:r w:rsidRPr="000B135C">
        <w:rPr>
          <w:rFonts w:ascii="Times New Roman" w:eastAsia="Times New Roman" w:hAnsi="Times New Roman"/>
          <w:sz w:val="24"/>
          <w:szCs w:val="24"/>
        </w:rPr>
        <w:t>in order to</w:t>
      </w:r>
      <w:proofErr w:type="gramEnd"/>
      <w:r w:rsidRPr="000B135C">
        <w:rPr>
          <w:rFonts w:ascii="Times New Roman" w:eastAsia="Times New Roman" w:hAnsi="Times New Roman"/>
          <w:sz w:val="24"/>
          <w:szCs w:val="24"/>
        </w:rPr>
        <w:t xml:space="preserve"> make sure he caused no harm to himself or to us, we used the spit </w:t>
      </w:r>
      <w:proofErr w:type="gramStart"/>
      <w:r w:rsidRPr="000B135C">
        <w:rPr>
          <w:rFonts w:ascii="Times New Roman" w:eastAsia="Times New Roman" w:hAnsi="Times New Roman"/>
          <w:sz w:val="24"/>
          <w:szCs w:val="24"/>
        </w:rPr>
        <w:t>hood.</w:t>
      </w:r>
      <w:r>
        <w:rPr>
          <w:rFonts w:ascii="Times New Roman" w:eastAsia="Times New Roman" w:hAnsi="Times New Roman"/>
          <w:sz w:val="24"/>
          <w:szCs w:val="24"/>
        </w:rPr>
        <w:t>”</w:t>
      </w:r>
      <w:proofErr w:type="gramEnd"/>
    </w:p>
    <w:p w14:paraId="68BD0625" w14:textId="77777777" w:rsidR="008A4533" w:rsidRPr="003E7D5E" w:rsidRDefault="008A4533" w:rsidP="008A4533">
      <w:pPr>
        <w:pStyle w:val="NormalWeb"/>
        <w:rPr>
          <w:b/>
          <w:bCs/>
        </w:rPr>
      </w:pPr>
      <w:r w:rsidRPr="003E7D5E">
        <w:rPr>
          <w:b/>
          <w:bCs/>
        </w:rPr>
        <w:t>Legal Lesson Learned:</w:t>
      </w:r>
      <w:r>
        <w:rPr>
          <w:b/>
          <w:bCs/>
        </w:rPr>
        <w:t xml:space="preserve"> Spitting on fire / EMS is an assault. </w:t>
      </w:r>
    </w:p>
    <w:p w14:paraId="36A1A185" w14:textId="77777777" w:rsidR="008A4533" w:rsidRDefault="008A4533" w:rsidP="008A4533">
      <w:pPr>
        <w:pStyle w:val="NormalWeb"/>
      </w:pPr>
    </w:p>
    <w:p w14:paraId="5E4044B2" w14:textId="7D224836" w:rsidR="008A4533" w:rsidRDefault="005C3F7B" w:rsidP="002B1283">
      <w:pPr>
        <w:rPr>
          <w:rFonts w:ascii="Arial Black" w:hAnsi="Arial Black"/>
          <w:b/>
          <w:bCs/>
          <w:sz w:val="28"/>
          <w:szCs w:val="28"/>
        </w:rPr>
      </w:pPr>
      <w:r>
        <w:rPr>
          <w:rFonts w:ascii="Arial Black" w:hAnsi="Arial Black"/>
          <w:b/>
          <w:bCs/>
          <w:sz w:val="28"/>
          <w:szCs w:val="28"/>
        </w:rPr>
        <w:t>13-133</w:t>
      </w:r>
    </w:p>
    <w:p w14:paraId="5A80E359" w14:textId="63882BA3" w:rsidR="005C3F7B" w:rsidRDefault="005C3F7B" w:rsidP="005C3F7B">
      <w:pPr>
        <w:pStyle w:val="NormalWeb"/>
        <w:rPr>
          <w:rFonts w:ascii="Arial Black" w:hAnsi="Arial Black"/>
          <w:sz w:val="28"/>
          <w:szCs w:val="28"/>
        </w:rPr>
      </w:pPr>
      <w:r>
        <w:rPr>
          <w:rFonts w:ascii="Arial Black" w:hAnsi="Arial Black"/>
          <w:sz w:val="28"/>
          <w:szCs w:val="28"/>
        </w:rPr>
        <w:t>NY: PATIENT FE</w:t>
      </w:r>
      <w:r w:rsidR="0004072E">
        <w:rPr>
          <w:rFonts w:ascii="Arial Black" w:hAnsi="Arial Black"/>
          <w:sz w:val="28"/>
          <w:szCs w:val="28"/>
        </w:rPr>
        <w:t>L</w:t>
      </w:r>
      <w:r>
        <w:rPr>
          <w:rFonts w:ascii="Arial Black" w:hAnsi="Arial Black"/>
          <w:sz w:val="28"/>
          <w:szCs w:val="28"/>
        </w:rPr>
        <w:t>L OFF STRETCHER – NO SHOULDER STRAPS - DIED – EMS FIRED FALSE INFORMATION</w:t>
      </w:r>
    </w:p>
    <w:p w14:paraId="1D9EA586" w14:textId="77777777" w:rsidR="005C3F7B" w:rsidRDefault="005C3F7B" w:rsidP="005C3F7B">
      <w:pPr>
        <w:pStyle w:val="NormalWeb"/>
        <w:rPr>
          <w:b/>
          <w:bCs/>
        </w:rPr>
      </w:pPr>
      <w:r>
        <w:lastRenderedPageBreak/>
        <w:t xml:space="preserve">On Jan. 5, 2023, </w:t>
      </w:r>
      <w:r>
        <w:rPr>
          <w:u w:val="single"/>
        </w:rPr>
        <w:t xml:space="preserve">In </w:t>
      </w:r>
      <w:proofErr w:type="gramStart"/>
      <w:r>
        <w:rPr>
          <w:u w:val="single"/>
        </w:rPr>
        <w:t>The</w:t>
      </w:r>
      <w:proofErr w:type="gramEnd"/>
      <w:r>
        <w:rPr>
          <w:u w:val="single"/>
        </w:rPr>
        <w:t xml:space="preserve"> Matter of Nicholas A. Walker v. City of Plattsburg, et al</w:t>
      </w:r>
      <w:r>
        <w:t xml:space="preserve">., the Supreme Court of New York, Third Department. Held (3 to 0) that the </w:t>
      </w:r>
      <w:proofErr w:type="gramStart"/>
      <w:r>
        <w:t>Mayor</w:t>
      </w:r>
      <w:proofErr w:type="gramEnd"/>
      <w:r>
        <w:t xml:space="preserve"> had authority to fire the medic in Jan. 2021, since video of the scene Nov. 21, </w:t>
      </w:r>
      <w:proofErr w:type="gramStart"/>
      <w:r>
        <w:t>2018</w:t>
      </w:r>
      <w:proofErr w:type="gramEnd"/>
      <w:r>
        <w:t xml:space="preserve"> showed he lied to police investigating the incident, </w:t>
      </w:r>
      <w:proofErr w:type="gramStart"/>
      <w:r>
        <w:t>and also</w:t>
      </w:r>
      <w:proofErr w:type="gramEnd"/>
      <w:r>
        <w:t xml:space="preserve"> submitted a false EMS run report.  “On November 30, </w:t>
      </w:r>
      <w:proofErr w:type="gramStart"/>
      <w:r>
        <w:t>2018</w:t>
      </w:r>
      <w:proofErr w:type="gramEnd"/>
      <w:r>
        <w:t xml:space="preserve"> at an apartment complex in the City of Plattsburgh, Clinton County, petitioner, a firefighter and emergency medical technician, responded with his partner to a 911 call regarding a man lying in a fifth-floor hallway requesting medical assistance. When petitioner reached the patient, he was responsive and communicative, asking for help. Petitioner and his partner put the patient on a stretcher, securing him with the stretcher's leg and waist straps but not its shoulder straps. They wheeled the stretcher to the elevator and transported the patient down to the first floor, through the building's lobby and outside to where an ambulance was waiting. As they were leaving the building, the patient's arm went limp and dropped down to the side of the stretcher, causing petitioner to lift the patient's arm and place it across his chest. While petitioner and his partner were attempting to transfer the patient into the ambulance, the patient's upper body slipped off the </w:t>
      </w:r>
      <w:proofErr w:type="gramStart"/>
      <w:r>
        <w:t>stretcher</w:t>
      </w:r>
      <w:proofErr w:type="gramEnd"/>
      <w:r>
        <w:t xml:space="preserve"> and his head hit the back of the </w:t>
      </w:r>
      <w:proofErr w:type="gramStart"/>
      <w:r>
        <w:t>ambulance.”</w:t>
      </w:r>
      <w:proofErr w:type="gramEnd"/>
      <w:r>
        <w:t xml:space="preserve">   The Court held: Petitioner concedes that he provided false information in the incident report, patient care report and statement to the police. Thus, as the parties agree, the only issue before this Court is whether the hearing evidence sufficiently established that he did so knowingly. The false statements, which are not in dispute, can be described as follows: petitioner indicated that the patient became unresponsive and was not breathing adequately while in the hallway or elevator, but video evidence and hearing testimony revealed that the patient was alert and responsive as he was transported through the hallway, elevator, building lobby and exterior doors; petitioner claimed that he radioed for assistance when the patient became unresponsive in the hallway or elevator, but the hearing evidence showed that he did not call for backup until after the patient fell off the stretcher and struck his head on the ambulance; petitioner asserted that he assessed the patient and took his pulse in the lobby, yet surveillance video reflected that petitioner did not take these actions at that time; and petitioner indicated that CPR was performed continuously after the patient fell, but video evidence showed that CPR was not begun until several minutes after the patient's fall, and was only conducted for a short time.” </w:t>
      </w:r>
      <w:hyperlink r:id="rId2238" w:history="1">
        <w:r>
          <w:rPr>
            <w:rStyle w:val="Hyperlink"/>
          </w:rPr>
          <w:t>https://caselaw.findlaw.com/ny-supreme-court/2147274.html</w:t>
        </w:r>
      </w:hyperlink>
      <w:r>
        <w:t xml:space="preserve"> </w:t>
      </w:r>
    </w:p>
    <w:p w14:paraId="6A40D780" w14:textId="77777777" w:rsidR="005C3F7B" w:rsidRDefault="005C3F7B" w:rsidP="005C3F7B">
      <w:pPr>
        <w:pStyle w:val="NormalWeb"/>
        <w:ind w:left="720"/>
      </w:pPr>
      <w:r>
        <w:t xml:space="preserve">“Within hours of the incident, petitioner filled out an incident report and a patient care form describing what had happened and filed these documents with the City of Plattsburgh Fire Department. The following day, petitioner was interviewed by the City of Plattsburgh Police Department regarding the incident and gave a sworn written statement to a detective. Moving forward, </w:t>
      </w:r>
      <w:proofErr w:type="gramStart"/>
      <w:r>
        <w:t>petitioner</w:t>
      </w:r>
      <w:proofErr w:type="gramEnd"/>
      <w:r>
        <w:t xml:space="preserve"> continued to work as a firefighter and emergency medical technician for over two years. During this time, the State Department of Health </w:t>
      </w:r>
      <w:proofErr w:type="gramStart"/>
      <w:r>
        <w:t>conducted an investigation</w:t>
      </w:r>
      <w:proofErr w:type="gramEnd"/>
      <w:r>
        <w:t xml:space="preserve"> of the incident, the result of which was petitioner agreeing to pay a $5,000 fine and complete additional training, and respondent City of Plattsburgh settled a wrongful death claim brought by the patient's family.</w:t>
      </w:r>
    </w:p>
    <w:p w14:paraId="549830D3" w14:textId="77777777" w:rsidR="005C3F7B" w:rsidRDefault="005C3F7B" w:rsidP="005C3F7B">
      <w:pPr>
        <w:pStyle w:val="NormalWeb"/>
        <w:ind w:left="720"/>
      </w:pPr>
      <w:r>
        <w:t>***</w:t>
      </w:r>
    </w:p>
    <w:p w14:paraId="6D95FAFF" w14:textId="77777777" w:rsidR="005C3F7B" w:rsidRDefault="005C3F7B" w:rsidP="005C3F7B">
      <w:pPr>
        <w:pStyle w:val="NormalWeb"/>
        <w:ind w:left="720"/>
        <w:rPr>
          <w:b/>
          <w:bCs/>
        </w:rPr>
      </w:pPr>
      <w:r>
        <w:t xml:space="preserve">As to the penalty imposed, we find that the </w:t>
      </w:r>
      <w:proofErr w:type="gramStart"/>
      <w:r>
        <w:t>Mayor's</w:t>
      </w:r>
      <w:proofErr w:type="gramEnd"/>
      <w:r>
        <w:t xml:space="preserve"> decision to terminate petitioner's employment was not "so disproportionate to the offenses as to be shocking to one's sense of fairness…. We see no reason to disturb the penalty imposed by the Mayor, who found, notwithstanding petitioner's positive accomplishments, that he had inhibited the investigation into the patient's untimely death and, seeking to avoid personal responsibility, placed his own interests above those of the City of Plattsburgh Fire Department, the patient's family and the public at large.”</w:t>
      </w:r>
    </w:p>
    <w:p w14:paraId="2DCAFB81" w14:textId="77777777" w:rsidR="005C3F7B" w:rsidRDefault="005C3F7B" w:rsidP="005C3F7B">
      <w:pPr>
        <w:pStyle w:val="NormalWeb"/>
        <w:rPr>
          <w:b/>
          <w:bCs/>
        </w:rPr>
      </w:pPr>
      <w:r>
        <w:rPr>
          <w:b/>
          <w:bCs/>
        </w:rPr>
        <w:t xml:space="preserve">Legal Lesson Learned: Properly restrain </w:t>
      </w:r>
      <w:proofErr w:type="gramStart"/>
      <w:r>
        <w:rPr>
          <w:b/>
          <w:bCs/>
        </w:rPr>
        <w:t>patient</w:t>
      </w:r>
      <w:proofErr w:type="gramEnd"/>
      <w:r>
        <w:rPr>
          <w:b/>
          <w:bCs/>
        </w:rPr>
        <w:t xml:space="preserve"> on the stretcher; don’t file false reports or lie to investigators. Not clear why took two years to discipline. </w:t>
      </w:r>
    </w:p>
    <w:p w14:paraId="273929DE" w14:textId="77777777" w:rsidR="005C3F7B" w:rsidRDefault="005C3F7B" w:rsidP="002B1283">
      <w:pPr>
        <w:rPr>
          <w:rFonts w:ascii="Arial Black" w:hAnsi="Arial Black"/>
          <w:b/>
          <w:bCs/>
          <w:sz w:val="28"/>
          <w:szCs w:val="28"/>
        </w:rPr>
      </w:pPr>
    </w:p>
    <w:p w14:paraId="6660D211" w14:textId="77777777" w:rsidR="008A4533" w:rsidRDefault="008A4533" w:rsidP="002B1283">
      <w:pPr>
        <w:rPr>
          <w:rFonts w:ascii="Arial Black" w:hAnsi="Arial Black"/>
          <w:b/>
          <w:bCs/>
          <w:sz w:val="28"/>
          <w:szCs w:val="28"/>
        </w:rPr>
      </w:pPr>
    </w:p>
    <w:p w14:paraId="3797E15C" w14:textId="2EE37088" w:rsidR="00BA3CDE" w:rsidRDefault="00BA3CDE" w:rsidP="002B1283">
      <w:pPr>
        <w:rPr>
          <w:rFonts w:ascii="Arial Black" w:hAnsi="Arial Black"/>
          <w:b/>
          <w:bCs/>
          <w:sz w:val="28"/>
          <w:szCs w:val="28"/>
        </w:rPr>
      </w:pPr>
      <w:r>
        <w:rPr>
          <w:rFonts w:ascii="Arial Black" w:hAnsi="Arial Black"/>
          <w:b/>
          <w:bCs/>
          <w:sz w:val="28"/>
          <w:szCs w:val="28"/>
        </w:rPr>
        <w:lastRenderedPageBreak/>
        <w:t>13-132</w:t>
      </w:r>
    </w:p>
    <w:p w14:paraId="52316E04" w14:textId="77777777" w:rsidR="00BA3CDE" w:rsidRDefault="00BA3CDE" w:rsidP="00BA3CDE">
      <w:pPr>
        <w:pStyle w:val="NormalWeb"/>
        <w:rPr>
          <w:b/>
          <w:bCs/>
        </w:rPr>
      </w:pPr>
      <w:r>
        <w:rPr>
          <w:rFonts w:ascii="Arial Black" w:hAnsi="Arial Black"/>
          <w:b/>
          <w:bCs/>
          <w:sz w:val="28"/>
          <w:szCs w:val="28"/>
        </w:rPr>
        <w:t xml:space="preserve">CA: BAT. CHIEF – TERMINATION UPHELD - NOT REPORTING MEDIC HITTING PATIENT – ALSO DENIED KNOWLEDGE  </w:t>
      </w:r>
    </w:p>
    <w:p w14:paraId="4D5665D8" w14:textId="77777777" w:rsidR="00BA3CDE" w:rsidRDefault="00BA3CDE" w:rsidP="00BA3CDE">
      <w:pPr>
        <w:pStyle w:val="NormalWeb"/>
      </w:pPr>
      <w:r>
        <w:t xml:space="preserve">On Dec. 22, 2022, in </w:t>
      </w:r>
      <w:r w:rsidRPr="00464F2D">
        <w:rPr>
          <w:u w:val="single"/>
        </w:rPr>
        <w:t>Steve Jones v. City of Loma Linda, et al</w:t>
      </w:r>
      <w:r>
        <w:t xml:space="preserve">., the California Court of Appeals, Fourth District (Second Division) held (3 to 0) that the City Council was authorized to reject a hearing officer’s recommendation that the Battalion Chief, with 26 years with the Fire Department, be reinstated with a letter of reprimand.  The Court found that City Council could reasonably conclude that the harm to the public service was so great that terminating his employment was the “only reasonable option.”  The incident involved a Medic who slapped a mental patient; during the transport the patient had freed his right arm from soft restraints and was spitting at the crew [see below note]. </w:t>
      </w:r>
    </w:p>
    <w:p w14:paraId="068DF9DF" w14:textId="77777777" w:rsidR="00BA3CDE" w:rsidRDefault="00BA3CDE" w:rsidP="00BA3CDE">
      <w:pPr>
        <w:pStyle w:val="NormalWeb"/>
        <w:ind w:left="720"/>
      </w:pPr>
      <w:r>
        <w:t>“Jones asserts that he had an ‘unblemished 26-year career,’ so terminating his employment was an abuse of discretion. Jones's long and mostly untarnished career indicates that it is less likely his dishonesty will be repeated, which is a relevant factor. (</w:t>
      </w:r>
      <w:r>
        <w:rPr>
          <w:rStyle w:val="Emphasis"/>
        </w:rPr>
        <w:t>Skelly v. State Personnel Bd.</w:t>
      </w:r>
      <w:r>
        <w:t xml:space="preserve">, </w:t>
      </w:r>
      <w:r>
        <w:rPr>
          <w:rStyle w:val="Emphasis"/>
        </w:rPr>
        <w:t>supra</w:t>
      </w:r>
      <w:r>
        <w:t xml:space="preserve">, 15 Cal.3d at p. 218.) </w:t>
      </w:r>
      <w:proofErr w:type="gramStart"/>
      <w:r>
        <w:t>However, ‘</w:t>
      </w:r>
      <w:proofErr w:type="gramEnd"/>
      <w:r>
        <w:t>the overriding consideration in these cases is the extent to which the employee's conduct resulted in . . . '[h]arm to the public service.' (</w:t>
      </w:r>
      <w:r>
        <w:rPr>
          <w:rStyle w:val="Emphasis"/>
        </w:rPr>
        <w:t>Ibid.</w:t>
      </w:r>
      <w:r>
        <w:t xml:space="preserve">) The City Council could reasonably conclude that the harm to the public service was great because Jones repeatedly had such poor judgment in this serious situation that his decision making could no longer be relied upon, which meant terminating his employment was the only reasonable option.” </w:t>
      </w:r>
      <w:hyperlink r:id="rId2239" w:history="1">
        <w:r w:rsidRPr="00075859">
          <w:rPr>
            <w:rStyle w:val="Hyperlink"/>
            <w:rFonts w:eastAsiaTheme="majorEastAsia"/>
          </w:rPr>
          <w:t>https://public.fastcase.com/J%2FJP6pdidelsXxEE4k%2BLMhEAWViZoZCNNVQqGGOJQe0x0uZjPj6basWGo2LdR7ZdZ7mXMibE%2B6q63t6QJEFPzY8xsgWYqrexPGowqeVKLtU%3D?utm_medium=email&amp;_hsmi=226712652&amp;_hsenc=p2ANqtz-_6354qi3IFHsOx1ZsytROIPRrzR7P7WEO-</w:t>
        </w:r>
      </w:hyperlink>
      <w:r>
        <w:t xml:space="preserve"> </w:t>
      </w:r>
    </w:p>
    <w:p w14:paraId="0FB790CB" w14:textId="77777777" w:rsidR="00BA3CDE" w:rsidRPr="00625D3A" w:rsidRDefault="00BA3CDE" w:rsidP="00BA3CDE">
      <w:pPr>
        <w:pStyle w:val="NormalWeb"/>
        <w:rPr>
          <w:b/>
          <w:bCs/>
        </w:rPr>
      </w:pPr>
      <w:r w:rsidRPr="00625D3A">
        <w:rPr>
          <w:b/>
          <w:bCs/>
        </w:rPr>
        <w:t>Legal Lesson Learned:</w:t>
      </w:r>
      <w:r>
        <w:rPr>
          <w:b/>
          <w:bCs/>
        </w:rPr>
        <w:t xml:space="preserve"> If there is a report of assault on a patient, promptly inform Senior Management and have entire crew write reports.</w:t>
      </w:r>
    </w:p>
    <w:p w14:paraId="103A78BE" w14:textId="77777777" w:rsidR="00BA3CDE" w:rsidRDefault="00BA3CDE" w:rsidP="00BA3CDE">
      <w:pPr>
        <w:pStyle w:val="NormalWeb"/>
        <w:ind w:left="720"/>
      </w:pPr>
      <w:r>
        <w:t xml:space="preserve">Note: In a Feb. 13, 2019. In an unpublished decision, a judge described the Medic’s actions.  </w:t>
      </w:r>
    </w:p>
    <w:p w14:paraId="2E36BEF5" w14:textId="77777777" w:rsidR="00BA3CDE" w:rsidRDefault="00BA3CDE" w:rsidP="00BA3CDE">
      <w:pPr>
        <w:pStyle w:val="NormalWeb"/>
        <w:ind w:left="720"/>
      </w:pPr>
      <w:r>
        <w:t xml:space="preserve"> “Toppo placed his left hand on the patient's forehead, and cupped his right hand under the patient's chin, </w:t>
      </w:r>
      <w:proofErr w:type="gramStart"/>
      <w:r>
        <w:t>so as to</w:t>
      </w:r>
      <w:proofErr w:type="gramEnd"/>
      <w:r>
        <w:t xml:space="preserve"> keep the patient's mouth closed to prevent the patient from spitting on the firefighters and the medics. Toppo had seen patients spit on personnel in other situations. There was a harness on the patient attaching him to the gurney, but the straps were not tight. Toppo's hand placement on the patient's face lasted five to 10 seconds, then Toppo focused on tightening the straps of the patient's harness, leaving his left hand on the patient's forehead. *** Toppo's striking of his own hand made a slapping sound. Toppo believed his left hand was slightly raised from the patient's forehead, so when his right hand struck his left hand, his left hand made a slapping noise as it </w:t>
      </w:r>
      <w:proofErr w:type="gramStart"/>
      <w:r>
        <w:t>came in contact with</w:t>
      </w:r>
      <w:proofErr w:type="gramEnd"/>
      <w:r>
        <w:t xml:space="preserve"> the patient. After Toppo struck his hand, "[t]he ambulance went silent," and the personnel were able to restrain the patient. Toppo believed the ambulance went silent "because of the slap." </w:t>
      </w:r>
    </w:p>
    <w:p w14:paraId="0FCB4B13" w14:textId="77777777" w:rsidR="00BA3CDE" w:rsidRDefault="00BA3CDE" w:rsidP="002B1283">
      <w:pPr>
        <w:rPr>
          <w:rFonts w:ascii="Arial Black" w:hAnsi="Arial Black"/>
          <w:b/>
          <w:bCs/>
          <w:sz w:val="28"/>
          <w:szCs w:val="28"/>
        </w:rPr>
      </w:pPr>
    </w:p>
    <w:p w14:paraId="249ED34D" w14:textId="58AD6A13" w:rsidR="00BA3CDE" w:rsidRDefault="00BA3CDE" w:rsidP="002B1283">
      <w:pPr>
        <w:rPr>
          <w:rFonts w:ascii="Arial Black" w:hAnsi="Arial Black"/>
          <w:b/>
          <w:bCs/>
          <w:sz w:val="28"/>
          <w:szCs w:val="28"/>
        </w:rPr>
      </w:pPr>
      <w:r>
        <w:rPr>
          <w:rFonts w:ascii="Arial Black" w:hAnsi="Arial Black"/>
          <w:b/>
          <w:bCs/>
          <w:sz w:val="28"/>
          <w:szCs w:val="28"/>
        </w:rPr>
        <w:t>13-131</w:t>
      </w:r>
    </w:p>
    <w:p w14:paraId="601FF0CD" w14:textId="77777777" w:rsidR="00BA3CDE" w:rsidRDefault="00BA3CDE" w:rsidP="00BA3CDE">
      <w:pPr>
        <w:rPr>
          <w:rFonts w:ascii="Arial Black" w:hAnsi="Arial Black"/>
          <w:sz w:val="28"/>
          <w:szCs w:val="28"/>
        </w:rPr>
      </w:pPr>
      <w:r>
        <w:rPr>
          <w:rFonts w:ascii="Arial Black" w:hAnsi="Arial Black"/>
          <w:sz w:val="28"/>
          <w:szCs w:val="28"/>
        </w:rPr>
        <w:t>NY:</w:t>
      </w:r>
      <w:r w:rsidRPr="002E745F">
        <w:rPr>
          <w:rFonts w:ascii="Arial Black" w:hAnsi="Arial Black"/>
          <w:sz w:val="28"/>
          <w:szCs w:val="28"/>
        </w:rPr>
        <w:t xml:space="preserve"> </w:t>
      </w:r>
      <w:r w:rsidRPr="00787655">
        <w:rPr>
          <w:rFonts w:ascii="Arial Black" w:hAnsi="Arial Black"/>
          <w:sz w:val="28"/>
          <w:szCs w:val="28"/>
        </w:rPr>
        <w:t>EMTALA</w:t>
      </w:r>
      <w:r>
        <w:rPr>
          <w:rFonts w:ascii="Arial Black" w:hAnsi="Arial Black"/>
          <w:sz w:val="28"/>
          <w:szCs w:val="28"/>
        </w:rPr>
        <w:t xml:space="preserve"> - PSYCH RUN – ER DOC MET PARENTS, IN HOSPITAL 3 DAYS – CASE NOT FILED 2-YR STATUTE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719"/>
        <w:gridCol w:w="81"/>
      </w:tblGrid>
      <w:tr w:rsidR="00BA3CDE" w14:paraId="41ABDE90" w14:textId="77777777" w:rsidTr="006901FD">
        <w:trPr>
          <w:tblCellSpacing w:w="15" w:type="dxa"/>
        </w:trPr>
        <w:tc>
          <w:tcPr>
            <w:tcW w:w="0" w:type="auto"/>
            <w:vAlign w:val="center"/>
          </w:tcPr>
          <w:p w14:paraId="4465C1B6" w14:textId="77777777" w:rsidR="00BA3CDE" w:rsidRDefault="00BA3CDE" w:rsidP="006901FD">
            <w:r w:rsidRPr="005F4B3D">
              <w:rPr>
                <w:rFonts w:ascii="Times New Roman" w:hAnsi="Times New Roman"/>
                <w:sz w:val="24"/>
                <w:szCs w:val="24"/>
              </w:rPr>
              <w:lastRenderedPageBreak/>
              <w:t xml:space="preserve">On Nov. 30, 2022, in </w:t>
            </w:r>
            <w:r w:rsidRPr="005F4B3D">
              <w:rPr>
                <w:rFonts w:ascii="Times New Roman" w:hAnsi="Times New Roman"/>
                <w:sz w:val="24"/>
                <w:szCs w:val="24"/>
                <w:u w:val="single"/>
              </w:rPr>
              <w:t>Lanit Amira v. Maimonides Hospital, et al.</w:t>
            </w:r>
            <w:r w:rsidRPr="005F4B3D">
              <w:rPr>
                <w:rFonts w:ascii="Times New Roman" w:hAnsi="Times New Roman"/>
                <w:sz w:val="24"/>
                <w:szCs w:val="24"/>
              </w:rPr>
              <w:t>, U.S. Magistrate Judge Taryn A. Merkl, U.S. District Court for Eastern District of New York, issued a Report and Recommendation that the psychiatric patient</w:t>
            </w:r>
            <w:r>
              <w:rPr>
                <w:rFonts w:ascii="Times New Roman" w:hAnsi="Times New Roman"/>
                <w:sz w:val="24"/>
                <w:szCs w:val="24"/>
              </w:rPr>
              <w:t>’</w:t>
            </w:r>
            <w:r w:rsidRPr="005F4B3D">
              <w:rPr>
                <w:rFonts w:ascii="Times New Roman" w:hAnsi="Times New Roman"/>
                <w:sz w:val="24"/>
                <w:szCs w:val="24"/>
              </w:rPr>
              <w:t xml:space="preserve">s lawsuit hospital failed to </w:t>
            </w:r>
            <w:r>
              <w:rPr>
                <w:rFonts w:ascii="Times New Roman" w:hAnsi="Times New Roman"/>
                <w:sz w:val="24"/>
                <w:szCs w:val="24"/>
              </w:rPr>
              <w:t xml:space="preserve">provide adequate medical screening before admitting her </w:t>
            </w:r>
            <w:r w:rsidRPr="005F4B3D">
              <w:rPr>
                <w:rFonts w:ascii="Times New Roman" w:hAnsi="Times New Roman"/>
                <w:sz w:val="24"/>
                <w:szCs w:val="24"/>
              </w:rPr>
              <w:t xml:space="preserve">must be dismissed since not filed within two years required by the 1986 </w:t>
            </w:r>
            <w:r w:rsidRPr="005F4B3D">
              <w:rPr>
                <w:rStyle w:val="field"/>
                <w:rFonts w:ascii="Times New Roman" w:hAnsi="Times New Roman"/>
                <w:sz w:val="24"/>
                <w:szCs w:val="24"/>
              </w:rPr>
              <w:t>Emergency Medical Treatment &amp; Labor Act (</w:t>
            </w:r>
            <w:r w:rsidRPr="005F4B3D">
              <w:rPr>
                <w:rFonts w:ascii="Times New Roman" w:hAnsi="Times New Roman"/>
                <w:sz w:val="24"/>
                <w:szCs w:val="24"/>
              </w:rPr>
              <w:t xml:space="preserve">EMTALA).  Plaintiff was at home on Dec. 10, </w:t>
            </w:r>
            <w:proofErr w:type="gramStart"/>
            <w:r w:rsidRPr="005F4B3D">
              <w:rPr>
                <w:rFonts w:ascii="Times New Roman" w:hAnsi="Times New Roman"/>
                <w:sz w:val="24"/>
                <w:szCs w:val="24"/>
              </w:rPr>
              <w:t>2018</w:t>
            </w:r>
            <w:proofErr w:type="gramEnd"/>
            <w:r w:rsidRPr="005F4B3D">
              <w:rPr>
                <w:rFonts w:ascii="Times New Roman" w:hAnsi="Times New Roman"/>
                <w:sz w:val="24"/>
                <w:szCs w:val="24"/>
              </w:rPr>
              <w:t xml:space="preserve"> when her mother called Hatzalah medics [Jewish based service]for medical assistance; her daughter had recently gone through a divorce and was concerned about her behavior “over the last few months.”  </w:t>
            </w:r>
            <w:r w:rsidRPr="002E745F">
              <w:rPr>
                <w:rFonts w:ascii="Times New Roman" w:eastAsia="Times New Roman" w:hAnsi="Times New Roman"/>
                <w:sz w:val="24"/>
                <w:szCs w:val="24"/>
              </w:rPr>
              <w:t>Hatzalah's medics</w:t>
            </w:r>
            <w:r w:rsidRPr="005F4B3D">
              <w:rPr>
                <w:rFonts w:ascii="Times New Roman" w:hAnsi="Times New Roman"/>
                <w:sz w:val="24"/>
                <w:szCs w:val="24"/>
              </w:rPr>
              <w:t xml:space="preserve"> at the Brooklyn home for two </w:t>
            </w:r>
            <w:proofErr w:type="gramStart"/>
            <w:r w:rsidRPr="005F4B3D">
              <w:rPr>
                <w:rFonts w:ascii="Times New Roman" w:hAnsi="Times New Roman"/>
                <w:sz w:val="24"/>
                <w:szCs w:val="24"/>
              </w:rPr>
              <w:t>hours, and</w:t>
            </w:r>
            <w:proofErr w:type="gramEnd"/>
            <w:r w:rsidRPr="005F4B3D">
              <w:rPr>
                <w:rFonts w:ascii="Times New Roman" w:hAnsi="Times New Roman"/>
                <w:sz w:val="24"/>
                <w:szCs w:val="24"/>
              </w:rPr>
              <w:t xml:space="preserve"> then called for back-up from Maimonides Hospital medics and NYPD. They eventually persuaded her to go to hospital ER in their ambulance. </w:t>
            </w:r>
            <w:r w:rsidRPr="002E745F">
              <w:rPr>
                <w:rFonts w:ascii="Times New Roman" w:eastAsia="Times New Roman" w:hAnsi="Times New Roman"/>
                <w:sz w:val="24"/>
                <w:szCs w:val="24"/>
              </w:rPr>
              <w:t xml:space="preserve">Plaintiff arrived at the emergency room around 5:00 p.m., at which point a nurse instructed her to change into a hospital robe and to place her belongings in a plastic </w:t>
            </w:r>
            <w:r>
              <w:rPr>
                <w:rFonts w:ascii="Times New Roman" w:eastAsia="Times New Roman" w:hAnsi="Times New Roman"/>
                <w:sz w:val="24"/>
                <w:szCs w:val="24"/>
              </w:rPr>
              <w:t>bag; a doctor spoke to her parents at the ER and admitted her (allegedly “without first speaking to” the plaintiff).  Plaintiff remained at hospital for three days, was administered medication, and discharged on Dec. 13, 2018.  She filed this lawsuit on July 6, 2021.  On Dec. 29, 2022, U.S. District Court Judge Rachel P. Kovner dismissed the case.</w:t>
            </w:r>
          </w:p>
        </w:tc>
        <w:tc>
          <w:tcPr>
            <w:tcW w:w="0" w:type="auto"/>
            <w:vAlign w:val="center"/>
          </w:tcPr>
          <w:p w14:paraId="0EC549C6" w14:textId="77777777" w:rsidR="00BA3CDE" w:rsidRDefault="00BA3CDE" w:rsidP="006901FD">
            <w:pPr>
              <w:rPr>
                <w:sz w:val="24"/>
                <w:szCs w:val="24"/>
              </w:rPr>
            </w:pPr>
          </w:p>
        </w:tc>
      </w:tr>
    </w:tbl>
    <w:p w14:paraId="7986058A" w14:textId="77777777" w:rsidR="00BA3CDE" w:rsidRDefault="00BA3CDE" w:rsidP="00BA3CDE">
      <w:pPr>
        <w:pStyle w:val="NormalWeb"/>
        <w:ind w:left="720" w:firstLine="60"/>
      </w:pPr>
      <w:r>
        <w:t xml:space="preserve">“With EMTALA, Congress created a federal cause of </w:t>
      </w:r>
      <w:proofErr w:type="gramStart"/>
      <w:r>
        <w:t>action, but</w:t>
      </w:r>
      <w:proofErr w:type="gramEnd"/>
      <w:r>
        <w:t xml:space="preserve"> also placed a strict limit on the </w:t>
      </w:r>
      <w:proofErr w:type="gramStart"/>
      <w:r>
        <w:t>time period</w:t>
      </w:r>
      <w:proofErr w:type="gramEnd"/>
      <w:r>
        <w:t xml:space="preserve"> under which medical providers could be held liable under its provisions. </w:t>
      </w:r>
      <w:proofErr w:type="gramStart"/>
      <w:r>
        <w:t>As a consequence</w:t>
      </w:r>
      <w:proofErr w:type="gramEnd"/>
      <w:r>
        <w:t>, Plaintiff's EMTALA claim was barred as of December 10, 2020, two years from the date of the alleged violation of the law's screening requirement, i.e., Maimonides's failure ‘to evaluate [Plaintiff] in the emergency room, prior to placing [her] under observation.’</w:t>
      </w:r>
    </w:p>
    <w:p w14:paraId="258F670F" w14:textId="77777777" w:rsidR="00BA3CDE" w:rsidRPr="00BA50D7" w:rsidRDefault="00BA3CDE" w:rsidP="00BA3CDE">
      <w:pPr>
        <w:pStyle w:val="NormalWeb"/>
        <w:ind w:firstLine="720"/>
      </w:pPr>
      <w:r w:rsidRPr="00BA50D7">
        <w:t>Footnote 11</w:t>
      </w:r>
    </w:p>
    <w:p w14:paraId="097181E5" w14:textId="77777777" w:rsidR="00BA3CDE" w:rsidRDefault="00BA3CDE" w:rsidP="00BA3CDE">
      <w:pPr>
        <w:pStyle w:val="NormalWeb"/>
        <w:ind w:left="720"/>
        <w:rPr>
          <w:vertAlign w:val="superscript"/>
        </w:rPr>
      </w:pPr>
      <w:r w:rsidRPr="00BA50D7">
        <w:t xml:space="preserve">To establish her EMTALA claim based on Maimonides's violation of the screening requirement, Plaintiff needed only to establish that she </w:t>
      </w:r>
      <w:r>
        <w:t>‘</w:t>
      </w:r>
      <w:r w:rsidRPr="00BA50D7">
        <w:t>show[ed] up for treatment at a hospital's emergency room</w:t>
      </w:r>
      <w:r>
        <w:t>’</w:t>
      </w:r>
      <w:r w:rsidRPr="00BA50D7">
        <w:t xml:space="preserve"> and that the hospital failed to </w:t>
      </w:r>
      <w:r>
        <w:t>‘</w:t>
      </w:r>
      <w:r w:rsidRPr="00BA50D7">
        <w:t>provide for an appropriate medical screening examination . . . to determine whether or not an emergency medical condition</w:t>
      </w:r>
      <w:r>
        <w:t>’</w:t>
      </w:r>
      <w:r w:rsidRPr="00BA50D7">
        <w:t xml:space="preserve"> existed. </w:t>
      </w:r>
      <w:r w:rsidRPr="00BA50D7">
        <w:rPr>
          <w:rStyle w:val="Emphasis"/>
        </w:rPr>
        <w:t>Hardy v. N.Y.C. Health &amp; Hosp. Corp.</w:t>
      </w:r>
      <w:r w:rsidRPr="00BA50D7">
        <w:t xml:space="preserve">, 164 F.3d 789, 792 (2d Cir. 1999). Since Plaintiff's allegations are that Maimonides failed to provide an examination at the emergency room </w:t>
      </w:r>
      <w:r w:rsidRPr="00BA50D7">
        <w:rPr>
          <w:rStyle w:val="Emphasis"/>
        </w:rPr>
        <w:t>whatsoever</w:t>
      </w:r>
      <w:r w:rsidRPr="00BA50D7">
        <w:t xml:space="preserve">, she necessarily knew the </w:t>
      </w:r>
      <w:r>
        <w:t>‘</w:t>
      </w:r>
      <w:r w:rsidRPr="00BA50D7">
        <w:t>critical facts of injury and causation</w:t>
      </w:r>
      <w:r>
        <w:t>’</w:t>
      </w:r>
      <w:r w:rsidRPr="00BA50D7">
        <w:t xml:space="preserve"> at such time. </w:t>
      </w:r>
      <w:r w:rsidRPr="00BA50D7">
        <w:rPr>
          <w:rStyle w:val="Emphasis"/>
        </w:rPr>
        <w:t>Kronisch</w:t>
      </w:r>
      <w:r w:rsidRPr="00BA50D7">
        <w:t xml:space="preserve">, 150 F.3d at 121. Accordingly, even if the discovery rule applies, Plaintiff's two-year clock began to run from the date of Maimonides's alleged EMTALA violation. The date Plaintiff </w:t>
      </w:r>
      <w:r>
        <w:t>‘</w:t>
      </w:r>
      <w:r w:rsidRPr="00BA50D7">
        <w:t>discovered</w:t>
      </w:r>
      <w:r>
        <w:t>’</w:t>
      </w:r>
      <w:r w:rsidRPr="00BA50D7">
        <w:t xml:space="preserve"> that there might be a federal claim on this basis is irrelevant.</w:t>
      </w:r>
      <w:r>
        <w:t xml:space="preserve">” </w:t>
      </w:r>
      <w:hyperlink r:id="rId2240" w:history="1">
        <w:r w:rsidRPr="00617AE0">
          <w:rPr>
            <w:rStyle w:val="Hyperlink"/>
            <w:rFonts w:eastAsiaTheme="majorEastAsia"/>
          </w:rPr>
          <w:t>https://public.fastcase.com/J%2FJP6pdidelsXxEE4k%2BLMmal3pmqwL2M3IcdBRYRq7H5oV2dmSosFOkL4d7k98jG9SuahbInE3n2tMql6kX0QUzRKtcMn83zHZ%2BG%2BG9ZYZQ%3D?utm_medium=email&amp;_hsmi=226712652&amp;_hsenc=p2ANqtz-9uf78hORTgLHe72Nq9qJz-C27iwk_m4r2mdnHF-ngJMSp_ULhMnmBHzq8bpBh7J7k34w9BngwpJd6Z97DDjhMn2bZMQA&amp;utm_content=226712652&amp;utm_source=hs_email</w:t>
        </w:r>
      </w:hyperlink>
      <w:r>
        <w:t xml:space="preserve"> </w:t>
      </w:r>
    </w:p>
    <w:p w14:paraId="6290E0B1" w14:textId="77777777" w:rsidR="00BA3CDE" w:rsidRDefault="00BA3CDE" w:rsidP="00BA3CDE">
      <w:pPr>
        <w:pStyle w:val="NormalWeb"/>
        <w:rPr>
          <w:sz w:val="20"/>
          <w:szCs w:val="20"/>
        </w:rPr>
      </w:pPr>
      <w:r w:rsidRPr="00453D7F">
        <w:rPr>
          <w:b/>
          <w:bCs/>
        </w:rPr>
        <w:t xml:space="preserve">Legal Lesson Learned: </w:t>
      </w:r>
      <w:r>
        <w:rPr>
          <w:b/>
          <w:bCs/>
        </w:rPr>
        <w:t xml:space="preserve"> Congress included </w:t>
      </w:r>
      <w:proofErr w:type="gramStart"/>
      <w:r>
        <w:rPr>
          <w:b/>
          <w:bCs/>
        </w:rPr>
        <w:t>two year</w:t>
      </w:r>
      <w:proofErr w:type="gramEnd"/>
      <w:r>
        <w:rPr>
          <w:b/>
          <w:bCs/>
        </w:rPr>
        <w:t xml:space="preserve"> statute of limitations in EMTALA so that hospitals can have timely notice to investigate and respond to patient allegations. </w:t>
      </w:r>
    </w:p>
    <w:p w14:paraId="6B08D079" w14:textId="77777777" w:rsidR="00BA3CDE" w:rsidRPr="00453D7F" w:rsidRDefault="00BA3CDE" w:rsidP="00BA3CDE">
      <w:pPr>
        <w:pStyle w:val="NormalWeb"/>
        <w:ind w:left="720"/>
      </w:pPr>
      <w:r w:rsidRPr="00453D7F">
        <w:t xml:space="preserve">Note: EMTALA also imposes a </w:t>
      </w:r>
      <w:r>
        <w:t xml:space="preserve">medical screening </w:t>
      </w:r>
      <w:r w:rsidRPr="00453D7F">
        <w:t xml:space="preserve">requirement. </w:t>
      </w:r>
      <w:r w:rsidRPr="00453D7F">
        <w:rPr>
          <w:rStyle w:val="Emphasis"/>
        </w:rPr>
        <w:t>See</w:t>
      </w:r>
      <w:r w:rsidRPr="00453D7F">
        <w:t xml:space="preserve"> 42 U.S.C. § 1395dd(b)</w:t>
      </w:r>
      <w:r>
        <w:t xml:space="preserve">. </w:t>
      </w:r>
      <w:hyperlink r:id="rId2241" w:history="1">
        <w:r w:rsidRPr="00617AE0">
          <w:rPr>
            <w:rStyle w:val="Hyperlink"/>
            <w:rFonts w:eastAsiaTheme="majorEastAsia"/>
          </w:rPr>
          <w:t>https://www.law.cornell.edu/uscode/text/42/1395dd</w:t>
        </w:r>
      </w:hyperlink>
      <w:r>
        <w:t xml:space="preserve"> </w:t>
      </w:r>
    </w:p>
    <w:p w14:paraId="4C329A8E" w14:textId="77777777" w:rsidR="00BA3CDE" w:rsidRPr="00453D7F" w:rsidRDefault="00BA3CDE" w:rsidP="00BA3CDE">
      <w:pPr>
        <w:ind w:left="720" w:firstLine="720"/>
        <w:rPr>
          <w:rFonts w:ascii="Times New Roman" w:hAnsi="Times New Roman"/>
          <w:sz w:val="24"/>
          <w:szCs w:val="24"/>
        </w:rPr>
      </w:pPr>
      <w:r w:rsidRPr="00453D7F">
        <w:rPr>
          <w:rStyle w:val="num"/>
          <w:rFonts w:ascii="Times New Roman" w:hAnsi="Times New Roman"/>
          <w:sz w:val="24"/>
          <w:szCs w:val="24"/>
        </w:rPr>
        <w:t>(a)</w:t>
      </w:r>
      <w:r w:rsidRPr="00453D7F">
        <w:rPr>
          <w:rStyle w:val="heading"/>
          <w:rFonts w:ascii="Times New Roman" w:hAnsi="Times New Roman"/>
          <w:sz w:val="24"/>
          <w:szCs w:val="24"/>
        </w:rPr>
        <w:t xml:space="preserve"> Medical screening requirement</w:t>
      </w:r>
      <w:r w:rsidRPr="00453D7F">
        <w:rPr>
          <w:rFonts w:ascii="Times New Roman" w:hAnsi="Times New Roman"/>
          <w:sz w:val="24"/>
          <w:szCs w:val="24"/>
        </w:rPr>
        <w:t xml:space="preserve"> </w:t>
      </w:r>
    </w:p>
    <w:p w14:paraId="4C60294E" w14:textId="77777777" w:rsidR="00BA3CDE" w:rsidRPr="00453D7F" w:rsidRDefault="00BA3CDE" w:rsidP="00BA3CDE">
      <w:pPr>
        <w:pStyle w:val="NormalWeb"/>
        <w:ind w:left="1440"/>
      </w:pPr>
      <w:r w:rsidRPr="00453D7F">
        <w:t xml:space="preserve">In the case of a </w:t>
      </w:r>
      <w:hyperlink r:id="rId2242" w:history="1">
        <w:r w:rsidRPr="00453D7F">
          <w:rPr>
            <w:rStyle w:val="Hyperlink"/>
            <w:rFonts w:eastAsiaTheme="majorEastAsia"/>
          </w:rPr>
          <w:t>hospital</w:t>
        </w:r>
      </w:hyperlink>
      <w:r w:rsidRPr="00453D7F">
        <w:t xml:space="preserve"> that has a </w:t>
      </w:r>
      <w:hyperlink r:id="rId2243" w:history="1">
        <w:r w:rsidRPr="00453D7F">
          <w:rPr>
            <w:rStyle w:val="Hyperlink"/>
            <w:rFonts w:eastAsiaTheme="majorEastAsia"/>
          </w:rPr>
          <w:t>hospital</w:t>
        </w:r>
      </w:hyperlink>
      <w:r w:rsidRPr="00453D7F">
        <w:t xml:space="preserve"> emergency department, if any individual (whether or not eligible for benefits under this subchapter) comes to the emergency department and a request is made on the individual’s behalf for examination or treatment for a medical condition, the </w:t>
      </w:r>
      <w:hyperlink r:id="rId2244" w:history="1">
        <w:r w:rsidRPr="00453D7F">
          <w:rPr>
            <w:rStyle w:val="Hyperlink"/>
            <w:rFonts w:eastAsiaTheme="majorEastAsia"/>
          </w:rPr>
          <w:t>hospital</w:t>
        </w:r>
      </w:hyperlink>
      <w:r w:rsidRPr="00453D7F">
        <w:t xml:space="preserve"> must provide for an</w:t>
      </w:r>
      <w:hyperlink r:id="rId2245" w:history="1">
        <w:r w:rsidRPr="00453D7F">
          <w:rPr>
            <w:rStyle w:val="Hyperlink"/>
            <w:rFonts w:eastAsiaTheme="majorEastAsia"/>
          </w:rPr>
          <w:t xml:space="preserve"> appropriate </w:t>
        </w:r>
      </w:hyperlink>
      <w:r w:rsidRPr="00453D7F">
        <w:t xml:space="preserve">medical screening examination within the capability of the </w:t>
      </w:r>
      <w:hyperlink r:id="rId2246" w:history="1">
        <w:r w:rsidRPr="00453D7F">
          <w:rPr>
            <w:rStyle w:val="Hyperlink"/>
            <w:rFonts w:eastAsiaTheme="majorEastAsia"/>
          </w:rPr>
          <w:t>hospital</w:t>
        </w:r>
      </w:hyperlink>
      <w:r w:rsidRPr="00453D7F">
        <w:t xml:space="preserve">’s emergency department, including ancillary services routinely available to the emergency department, to determine whether or not an </w:t>
      </w:r>
      <w:hyperlink r:id="rId2247" w:history="1">
        <w:r w:rsidRPr="00453D7F">
          <w:rPr>
            <w:rStyle w:val="Hyperlink"/>
            <w:rFonts w:eastAsiaTheme="majorEastAsia"/>
          </w:rPr>
          <w:t>emergency medical condition</w:t>
        </w:r>
      </w:hyperlink>
      <w:r w:rsidRPr="00453D7F">
        <w:t xml:space="preserve"> (within the meaning of subsection (e)(1)) exists.</w:t>
      </w:r>
    </w:p>
    <w:p w14:paraId="65D965B6" w14:textId="77777777" w:rsidR="00BA3CDE" w:rsidRDefault="00BA3CDE" w:rsidP="002B1283">
      <w:pPr>
        <w:rPr>
          <w:rFonts w:ascii="Arial Black" w:hAnsi="Arial Black"/>
          <w:b/>
          <w:bCs/>
          <w:sz w:val="28"/>
          <w:szCs w:val="28"/>
        </w:rPr>
      </w:pPr>
    </w:p>
    <w:p w14:paraId="7DCAC68C" w14:textId="77777777" w:rsidR="00BA3CDE" w:rsidRDefault="00BA3CDE" w:rsidP="002B1283">
      <w:pPr>
        <w:rPr>
          <w:rFonts w:ascii="Arial Black" w:hAnsi="Arial Black"/>
          <w:b/>
          <w:bCs/>
          <w:sz w:val="28"/>
          <w:szCs w:val="28"/>
        </w:rPr>
      </w:pPr>
    </w:p>
    <w:p w14:paraId="2980B602" w14:textId="7C1CF408" w:rsidR="00804F3A" w:rsidRDefault="00D47B53" w:rsidP="002B1283">
      <w:pPr>
        <w:rPr>
          <w:rFonts w:ascii="Arial Black" w:hAnsi="Arial Black"/>
          <w:b/>
          <w:bCs/>
          <w:sz w:val="28"/>
          <w:szCs w:val="28"/>
        </w:rPr>
      </w:pPr>
      <w:r>
        <w:rPr>
          <w:rFonts w:ascii="Arial Black" w:hAnsi="Arial Black"/>
          <w:b/>
          <w:bCs/>
          <w:sz w:val="28"/>
          <w:szCs w:val="28"/>
        </w:rPr>
        <w:t>13-130</w:t>
      </w:r>
    </w:p>
    <w:p w14:paraId="4E111451" w14:textId="77777777" w:rsidR="00D47B53" w:rsidRPr="00C5273B" w:rsidRDefault="00D47B53" w:rsidP="00D47B53">
      <w:pPr>
        <w:pStyle w:val="NormalWeb"/>
        <w:rPr>
          <w:rFonts w:ascii="Arial Black" w:hAnsi="Arial Black"/>
          <w:b/>
          <w:bCs/>
          <w:sz w:val="28"/>
          <w:szCs w:val="28"/>
        </w:rPr>
      </w:pPr>
      <w:r w:rsidRPr="00C5273B">
        <w:rPr>
          <w:rFonts w:ascii="Arial Black" w:hAnsi="Arial Black"/>
          <w:b/>
          <w:bCs/>
          <w:sz w:val="28"/>
          <w:szCs w:val="28"/>
        </w:rPr>
        <w:t>M</w:t>
      </w:r>
      <w:r>
        <w:rPr>
          <w:rFonts w:ascii="Arial Black" w:hAnsi="Arial Black"/>
          <w:b/>
          <w:bCs/>
          <w:sz w:val="28"/>
          <w:szCs w:val="28"/>
        </w:rPr>
        <w:t>I: INTOXICATED PERSON GUILTY ASSAULT MEDIC &amp; PD - EMS CAN DISREGARD DRUNK PATIENTS “REFUSAL” HELP</w:t>
      </w:r>
    </w:p>
    <w:p w14:paraId="00453954" w14:textId="77777777" w:rsidR="00D47B53" w:rsidRDefault="00D47B53" w:rsidP="00D47B53">
      <w:pPr>
        <w:pStyle w:val="NormalWeb"/>
      </w:pPr>
      <w:r>
        <w:t xml:space="preserve">On Nov. 17, 2022, in </w:t>
      </w:r>
      <w:r w:rsidRPr="00FF2F49">
        <w:rPr>
          <w:u w:val="single"/>
        </w:rPr>
        <w:t>People of the State of Michigan v. Sean Michael Pach</w:t>
      </w:r>
      <w:r>
        <w:t xml:space="preserve">, the Court of Appeals of Michigan held 3 to 0 (unpublished opinion) that jury properly found defendant guilty of assaulting both of police officer and a paramedic. Under Michigan statute, the medic lawfully determined that Pach would not be safe on his own and could therefore restrain him. </w:t>
      </w:r>
    </w:p>
    <w:p w14:paraId="7AB4ED15" w14:textId="77777777" w:rsidR="00D47B53" w:rsidRDefault="00D47B53" w:rsidP="00D47B53">
      <w:pPr>
        <w:pStyle w:val="NormalWeb"/>
        <w:ind w:left="720"/>
      </w:pPr>
      <w:r>
        <w:t>[T]</w:t>
      </w:r>
      <w:proofErr w:type="gramStart"/>
      <w:r>
        <w:t>he</w:t>
      </w:r>
      <w:proofErr w:type="gramEnd"/>
      <w:r>
        <w:t xml:space="preserve"> paramedic was acting in his capacity as a paramedic. He responded to the scene to aid Pach. The paramedic testified that if someone does not want his assistance, the person must answer his questions appropriately and sign a refusal form. Pach, however, failed to answer the questions and kept saying that he wanted to go home. Instead, as noted above, he was unable to take more than two steps before falling. The paramedic was not acting unlawfully when he helped stop Pach from hitting the ground and when he tried to convince him to sit down so he would not hurt himself. Moreover, viewed in the light most favorable to the jury verdict, there was sufficient evidence to find that the paramedic, exercising his professional judgment, lawfully determined that Pach would not be safe on his own. See MCL 333.20969 (providing that emergency medical services personnel must abide by the decision of the patient to refuse treatment or transportation unless ‘emergency medical services personnel, exercising professional judgment, determine that the individual's condition makes the individual incapable of competently objecting to treatment or transportation ....’). </w:t>
      </w:r>
    </w:p>
    <w:p w14:paraId="09F826DC" w14:textId="77777777" w:rsidR="00D47B53" w:rsidRDefault="00D47B53" w:rsidP="00D47B53">
      <w:pPr>
        <w:pStyle w:val="NormalWeb"/>
        <w:ind w:left="720"/>
      </w:pPr>
      <w:r>
        <w:t>***</w:t>
      </w:r>
    </w:p>
    <w:p w14:paraId="0FF77AE6" w14:textId="77777777" w:rsidR="00D47B53" w:rsidRPr="004203D5" w:rsidRDefault="00D47B53" w:rsidP="00D47B53">
      <w:pPr>
        <w:pStyle w:val="NormalWeb"/>
        <w:ind w:left="720"/>
      </w:pPr>
      <w:r>
        <w:t xml:space="preserve">In sum, there was sufficient evidence to support both convictions.”     </w:t>
      </w:r>
      <w:hyperlink r:id="rId2248" w:history="1">
        <w:r w:rsidRPr="002B6F66">
          <w:rPr>
            <w:rStyle w:val="Hyperlink"/>
            <w:rFonts w:eastAsiaTheme="majorEastAsia"/>
          </w:rPr>
          <w:t>https://law.justia.com/cases/michigan/court-of-appeals-unpublished/2022/359110.html</w:t>
        </w:r>
      </w:hyperlink>
      <w:r>
        <w:t xml:space="preserve"> </w:t>
      </w:r>
    </w:p>
    <w:p w14:paraId="6525C13D" w14:textId="77777777" w:rsidR="00D47B53" w:rsidRPr="004203D5" w:rsidRDefault="00D47B53" w:rsidP="00D47B53">
      <w:pPr>
        <w:pStyle w:val="NormalWeb"/>
        <w:rPr>
          <w:b/>
          <w:bCs/>
        </w:rPr>
      </w:pPr>
      <w:r w:rsidRPr="004203D5">
        <w:rPr>
          <w:b/>
          <w:bCs/>
        </w:rPr>
        <w:t xml:space="preserve">Legal Lesson Learned: Under Michigan law, </w:t>
      </w:r>
      <w:proofErr w:type="gramStart"/>
      <w:r w:rsidRPr="004203D5">
        <w:rPr>
          <w:b/>
          <w:bCs/>
        </w:rPr>
        <w:t>paramedic</w:t>
      </w:r>
      <w:proofErr w:type="gramEnd"/>
      <w:r w:rsidRPr="004203D5">
        <w:rPr>
          <w:b/>
          <w:bCs/>
        </w:rPr>
        <w:t xml:space="preserve"> had authority to disregard patient’s refusal of treatment if individual's condition makes the individual incapable of competently objecting to treatment or transportation.</w:t>
      </w:r>
    </w:p>
    <w:p w14:paraId="506202B9" w14:textId="55CD2987" w:rsidR="00D47B53" w:rsidRDefault="00D47B53" w:rsidP="002B1283">
      <w:pPr>
        <w:rPr>
          <w:rFonts w:ascii="Arial Black" w:hAnsi="Arial Black"/>
          <w:b/>
          <w:bCs/>
          <w:sz w:val="28"/>
          <w:szCs w:val="28"/>
        </w:rPr>
      </w:pPr>
      <w:r>
        <w:rPr>
          <w:rFonts w:ascii="Arial Black" w:hAnsi="Arial Black"/>
          <w:b/>
          <w:bCs/>
          <w:sz w:val="28"/>
          <w:szCs w:val="28"/>
        </w:rPr>
        <w:t>13-129</w:t>
      </w:r>
    </w:p>
    <w:p w14:paraId="39AC4F2E" w14:textId="77777777" w:rsidR="00D47B53" w:rsidRPr="00FA386C" w:rsidRDefault="00D47B53" w:rsidP="00D47B53">
      <w:pPr>
        <w:pStyle w:val="NormalWeb"/>
        <w:rPr>
          <w:rFonts w:ascii="Arial Black" w:hAnsi="Arial Black"/>
          <w:sz w:val="28"/>
          <w:szCs w:val="28"/>
        </w:rPr>
      </w:pPr>
      <w:r>
        <w:rPr>
          <w:rFonts w:ascii="Arial Black" w:hAnsi="Arial Black"/>
          <w:sz w:val="28"/>
          <w:szCs w:val="28"/>
        </w:rPr>
        <w:t>AR: KETAMINE, PATIENT DIED – NO PUNITIVE DAMAGES – NO EVIL INTENT BY MEDIC - EMERGENCY DECISION</w:t>
      </w:r>
    </w:p>
    <w:p w14:paraId="22667706" w14:textId="77777777" w:rsidR="00D47B53" w:rsidRDefault="00D47B53" w:rsidP="00D47B53">
      <w:pPr>
        <w:pStyle w:val="NormalWeb"/>
      </w:pPr>
      <w:r>
        <w:t xml:space="preserve">On Nov. 17, 2022, in </w:t>
      </w:r>
      <w:r w:rsidRPr="00FA386C">
        <w:rPr>
          <w:u w:val="single"/>
        </w:rPr>
        <w:t>Robert Steven Carter v. County of Pima, et al</w:t>
      </w:r>
      <w:r>
        <w:t xml:space="preserve">., U.S. District Court Judge John C. Hinderaker, United States District Court for District of Arizona, denied plaintiff’s request to add a claim for </w:t>
      </w:r>
      <w:r>
        <w:lastRenderedPageBreak/>
        <w:t>punitive damages.  Deceased David Cutler had been wandering in desert for over two hours, naked and covered in abrasions, when discovered by County Sheriff deputies, who resisted efforts to bring him down the hill.  Paramedic Reed administered ketamine.  “Here, Reed's alleged breach of Ketamine protocol, even when combined with other evidence and viewed most charitably for Plaintiffs, may establish gross negligence, but cannot establish that Reed acted with an ‘evil mind.’”</w:t>
      </w:r>
    </w:p>
    <w:p w14:paraId="4FF0D674" w14:textId="77777777" w:rsidR="00D47B53" w:rsidRDefault="00D47B53" w:rsidP="00D47B53">
      <w:pPr>
        <w:pStyle w:val="NormalWeb"/>
        <w:ind w:left="720"/>
      </w:pPr>
      <w:r>
        <w:t>“[P]</w:t>
      </w:r>
      <w:proofErr w:type="spellStart"/>
      <w:r>
        <w:t>laintiffs</w:t>
      </w:r>
      <w:proofErr w:type="spellEnd"/>
      <w:r>
        <w:t xml:space="preserve"> allege Reed went up the hill to David Cutler with a syringe of Ketamine, having decided in advance its use was warranted…. Plaintiffs also allege David Cutler's appearance when Reed arrived indicated hyperthermia rather than a need for Ketamine, but Reed nevertheless ignored the hyperthermia and proceeded to administer Ketamine…. Plaintiffs also allege Reed administered Ketamine without certain required resuscitative </w:t>
      </w:r>
      <w:proofErr w:type="gramStart"/>
      <w:r>
        <w:t>equipment, and</w:t>
      </w:r>
      <w:proofErr w:type="gramEnd"/>
      <w:r>
        <w:t xml:space="preserve"> may have injected more than the established limit…. Plaintiffs also allege David Cutler's respiratory arrest was ‘the exact risk identified’ for Ketamine administration, and Reed could not adequately treat it for lack of proper equipment on hand…. Finally, Plaintiffs allege that Reed's statement that he ‘would do it the exact same </w:t>
      </w:r>
      <w:proofErr w:type="spellStart"/>
      <w:r>
        <w:t>way’again</w:t>
      </w:r>
      <w:proofErr w:type="spellEnd"/>
      <w:r>
        <w:t xml:space="preserve"> indicates Reed ‘has not learned his lesson,’ and poses a threat to future patients. </w:t>
      </w:r>
    </w:p>
    <w:p w14:paraId="655FFF99" w14:textId="77777777" w:rsidR="00D47B53" w:rsidRDefault="00D47B53" w:rsidP="00D47B53">
      <w:pPr>
        <w:pStyle w:val="NormalWeb"/>
      </w:pPr>
      <w:r>
        <w:tab/>
        <w:t>***</w:t>
      </w:r>
    </w:p>
    <w:p w14:paraId="74595F0C" w14:textId="2EDD7A28" w:rsidR="00D47B53" w:rsidRPr="00D47B53" w:rsidRDefault="00D47B53" w:rsidP="00D47B53">
      <w:pPr>
        <w:ind w:left="720"/>
        <w:rPr>
          <w:rFonts w:ascii="Times New Roman" w:hAnsi="Times New Roman"/>
          <w:b/>
          <w:bCs/>
          <w:sz w:val="24"/>
          <w:szCs w:val="24"/>
        </w:rPr>
      </w:pPr>
      <w:r w:rsidRPr="00D47B53">
        <w:rPr>
          <w:rFonts w:ascii="Times New Roman" w:hAnsi="Times New Roman"/>
          <w:sz w:val="24"/>
          <w:szCs w:val="24"/>
        </w:rPr>
        <w:t xml:space="preserve">These allegations do not amount to ‘outrageous’ conduct for several reasons. First, Plaintiffs' evidence, even if proved, likely establishes Reed's behavior created only a risk of harm, not a" </w:t>
      </w:r>
      <w:r w:rsidRPr="00D47B53">
        <w:rPr>
          <w:rStyle w:val="Emphasis"/>
          <w:rFonts w:ascii="Times New Roman" w:hAnsi="Times New Roman"/>
          <w:sz w:val="24"/>
          <w:szCs w:val="24"/>
        </w:rPr>
        <w:t>substantial</w:t>
      </w:r>
      <w:r w:rsidRPr="00D47B53">
        <w:rPr>
          <w:rFonts w:ascii="Times New Roman" w:hAnsi="Times New Roman"/>
          <w:sz w:val="24"/>
          <w:szCs w:val="24"/>
        </w:rPr>
        <w:t>" risk of harm. Plaintiffs refer to respiratory depression as "an adverse effect" of Ketamine, and to excessive salivation as "a potential adverse effect" of Ketamine, but do not allege these effects are highly likely or substantially certain. (</w:t>
      </w:r>
      <w:r w:rsidRPr="00D47B53">
        <w:rPr>
          <w:rStyle w:val="Emphasis"/>
          <w:rFonts w:ascii="Times New Roman" w:hAnsi="Times New Roman"/>
          <w:sz w:val="24"/>
          <w:szCs w:val="24"/>
        </w:rPr>
        <w:t>See</w:t>
      </w:r>
      <w:r w:rsidRPr="00D47B53">
        <w:rPr>
          <w:rFonts w:ascii="Times New Roman" w:hAnsi="Times New Roman"/>
          <w:sz w:val="24"/>
          <w:szCs w:val="24"/>
        </w:rPr>
        <w:t xml:space="preserve"> Doc. 256 at 1-2.) Second, Plaintiffs' evidence, even if proved, cannot establish" </w:t>
      </w:r>
      <w:r w:rsidRPr="00D47B53">
        <w:rPr>
          <w:rStyle w:val="Emphasis"/>
          <w:rFonts w:ascii="Times New Roman" w:hAnsi="Times New Roman"/>
          <w:sz w:val="24"/>
          <w:szCs w:val="24"/>
        </w:rPr>
        <w:t>conscious</w:t>
      </w:r>
      <w:r w:rsidRPr="00D47B53">
        <w:rPr>
          <w:rFonts w:ascii="Times New Roman" w:hAnsi="Times New Roman"/>
          <w:sz w:val="24"/>
          <w:szCs w:val="24"/>
        </w:rPr>
        <w:t xml:space="preserve">" and" </w:t>
      </w:r>
      <w:r w:rsidRPr="00D47B53">
        <w:rPr>
          <w:rStyle w:val="Emphasis"/>
          <w:rFonts w:ascii="Times New Roman" w:hAnsi="Times New Roman"/>
          <w:sz w:val="24"/>
          <w:szCs w:val="24"/>
        </w:rPr>
        <w:t>deliberate</w:t>
      </w:r>
      <w:r w:rsidRPr="00D47B53">
        <w:rPr>
          <w:rFonts w:ascii="Times New Roman" w:hAnsi="Times New Roman"/>
          <w:sz w:val="24"/>
          <w:szCs w:val="24"/>
        </w:rPr>
        <w:t xml:space="preserve">" disregard of David Cutler's interests. Any course of emergency treatment involves risk. Healthcare providers must act with incomplete information in highly uncertain environments. They do not disregard a person's interests merely by making a judgment call under difficult, emergency circumstances. Failing to act or </w:t>
      </w:r>
      <w:proofErr w:type="gramStart"/>
      <w:r w:rsidRPr="00D47B53">
        <w:rPr>
          <w:rFonts w:ascii="Times New Roman" w:hAnsi="Times New Roman"/>
          <w:sz w:val="24"/>
          <w:szCs w:val="24"/>
        </w:rPr>
        <w:t>acting</w:t>
      </w:r>
      <w:proofErr w:type="gramEnd"/>
      <w:r w:rsidRPr="00D47B53">
        <w:rPr>
          <w:rFonts w:ascii="Times New Roman" w:hAnsi="Times New Roman"/>
          <w:sz w:val="24"/>
          <w:szCs w:val="24"/>
        </w:rPr>
        <w:t xml:space="preserve"> differently would involve other risks. In hindsight, the balance may be clearer. But liability does not follow armchair clarity. Plaintiffs' evidence arguably tends to show that Reed consciously chose a course of treatment with certain risks over other courses of treatment with other risks. That is not enough for conscious or deliberate disregard. Third, Plaintiffs' evidence does not establish "something more" than gross negligence….  </w:t>
      </w:r>
      <w:hyperlink r:id="rId2249" w:history="1">
        <w:r w:rsidRPr="00D47B53">
          <w:rPr>
            <w:rStyle w:val="Hyperlink"/>
            <w:rFonts w:ascii="Times New Roman" w:eastAsiaTheme="majorEastAsia" w:hAnsi="Times New Roman"/>
            <w:sz w:val="24"/>
            <w:szCs w:val="24"/>
          </w:rPr>
          <w:t>https://public.fastcase.com/J%2FJP6pdidelsXxEE4k%2BLMqK%2F7dEyjXc%2F7MSStJKYdkuUI2%2BsluBCAbCgNdX488UO%2BveqO8oLQ0RNBWqaiEFfWGkDgcs9M5oh9hj%2FtPj21RY%3D?utm_medium=email&amp;_hsmi=226712652&amp;_hsenc=p2ANqtz-9TZeiC7Qp2HA_ZU4GxpYYZhIBONOkNnO3yTlBCsoF00PWMECQ5punx4hjGs90LCim5ScH4TNtnDpd9JYQeMwpFQeZwiA&amp;utm_content=226712652&amp;utm_source=hs_email</w:t>
        </w:r>
      </w:hyperlink>
    </w:p>
    <w:p w14:paraId="46B2D21C" w14:textId="77777777" w:rsidR="00D47B53" w:rsidRPr="00C5273B" w:rsidRDefault="00D47B53" w:rsidP="00D47B53">
      <w:pPr>
        <w:pStyle w:val="paragraph"/>
        <w:rPr>
          <w:b/>
          <w:bCs/>
        </w:rPr>
      </w:pPr>
      <w:r w:rsidRPr="00C5273B">
        <w:rPr>
          <w:b/>
          <w:bCs/>
        </w:rPr>
        <w:t>Legal Lesson Learned:</w:t>
      </w:r>
      <w:r>
        <w:rPr>
          <w:b/>
          <w:bCs/>
        </w:rPr>
        <w:t xml:space="preserve"> No evil intent by the paramedic; no punitive damages claim.</w:t>
      </w:r>
    </w:p>
    <w:p w14:paraId="65880C0A" w14:textId="77777777" w:rsidR="00D47B53" w:rsidRDefault="00D47B53" w:rsidP="002B1283">
      <w:pPr>
        <w:rPr>
          <w:rFonts w:ascii="Arial Black" w:hAnsi="Arial Black"/>
          <w:b/>
          <w:bCs/>
          <w:sz w:val="28"/>
          <w:szCs w:val="28"/>
        </w:rPr>
      </w:pPr>
    </w:p>
    <w:p w14:paraId="3268B8E2" w14:textId="77777777" w:rsidR="00D47B53" w:rsidRDefault="00D47B53" w:rsidP="002B1283">
      <w:pPr>
        <w:rPr>
          <w:rFonts w:ascii="Arial Black" w:hAnsi="Arial Black"/>
          <w:b/>
          <w:bCs/>
          <w:sz w:val="28"/>
          <w:szCs w:val="28"/>
        </w:rPr>
      </w:pPr>
    </w:p>
    <w:p w14:paraId="12B50CA5" w14:textId="77777777" w:rsidR="00D47B53" w:rsidRDefault="00D47B53" w:rsidP="002B1283">
      <w:pPr>
        <w:rPr>
          <w:rFonts w:ascii="Arial Black" w:hAnsi="Arial Black"/>
          <w:b/>
          <w:bCs/>
          <w:sz w:val="28"/>
          <w:szCs w:val="28"/>
        </w:rPr>
      </w:pPr>
    </w:p>
    <w:p w14:paraId="47E64CC3" w14:textId="7689775C" w:rsidR="00804F3A" w:rsidRDefault="00804F3A" w:rsidP="002B1283">
      <w:pPr>
        <w:rPr>
          <w:rFonts w:ascii="Arial Black" w:hAnsi="Arial Black"/>
          <w:b/>
          <w:bCs/>
          <w:sz w:val="28"/>
          <w:szCs w:val="28"/>
        </w:rPr>
      </w:pPr>
      <w:r>
        <w:rPr>
          <w:rFonts w:ascii="Arial Black" w:hAnsi="Arial Black"/>
          <w:b/>
          <w:bCs/>
          <w:sz w:val="28"/>
          <w:szCs w:val="28"/>
        </w:rPr>
        <w:t>13-128</w:t>
      </w:r>
    </w:p>
    <w:p w14:paraId="714CF55A" w14:textId="77777777" w:rsidR="00804F3A" w:rsidRPr="009B2CF3" w:rsidRDefault="00804F3A" w:rsidP="00804F3A">
      <w:pPr>
        <w:pStyle w:val="NormalWeb"/>
        <w:rPr>
          <w:rFonts w:ascii="Arial Black" w:hAnsi="Arial Black"/>
          <w:sz w:val="28"/>
          <w:szCs w:val="28"/>
        </w:rPr>
      </w:pPr>
      <w:r w:rsidRPr="009B2CF3">
        <w:rPr>
          <w:rFonts w:ascii="Arial Black" w:hAnsi="Arial Black"/>
          <w:sz w:val="28"/>
          <w:szCs w:val="28"/>
        </w:rPr>
        <w:lastRenderedPageBreak/>
        <w:t>OK</w:t>
      </w:r>
      <w:r>
        <w:rPr>
          <w:rFonts w:ascii="Arial Black" w:hAnsi="Arial Black"/>
          <w:sz w:val="28"/>
          <w:szCs w:val="28"/>
        </w:rPr>
        <w:t>: SEIZURE PATIENT RESTRAINED – ASKED PD TO HANDCUFF – DIED AT SCENE – NO 4</w:t>
      </w:r>
      <w:r w:rsidRPr="00E13796">
        <w:rPr>
          <w:rFonts w:ascii="Arial Black" w:hAnsi="Arial Black"/>
          <w:sz w:val="28"/>
          <w:szCs w:val="28"/>
          <w:vertAlign w:val="superscript"/>
        </w:rPr>
        <w:t>th</w:t>
      </w:r>
      <w:r>
        <w:rPr>
          <w:rFonts w:ascii="Arial Black" w:hAnsi="Arial Black"/>
          <w:sz w:val="28"/>
          <w:szCs w:val="28"/>
        </w:rPr>
        <w:t xml:space="preserve"> AMEND VIOL. </w:t>
      </w:r>
    </w:p>
    <w:p w14:paraId="306D5EBB" w14:textId="77777777" w:rsidR="00804F3A" w:rsidRDefault="00804F3A" w:rsidP="00804F3A">
      <w:pPr>
        <w:spacing w:before="100" w:beforeAutospacing="1" w:after="100" w:afterAutospacing="1" w:line="240" w:lineRule="auto"/>
        <w:outlineLvl w:val="0"/>
        <w:rPr>
          <w:rFonts w:ascii="Times New Roman" w:hAnsi="Times New Roman"/>
          <w:sz w:val="24"/>
          <w:szCs w:val="24"/>
        </w:rPr>
      </w:pPr>
      <w:r w:rsidRPr="00E13796">
        <w:rPr>
          <w:rFonts w:ascii="Times New Roman" w:hAnsi="Times New Roman"/>
          <w:sz w:val="24"/>
          <w:szCs w:val="24"/>
        </w:rPr>
        <w:t xml:space="preserve">On Oct. 28, 2022, in </w:t>
      </w:r>
      <w:r w:rsidRPr="00E13796">
        <w:rPr>
          <w:rFonts w:ascii="Times New Roman" w:hAnsi="Times New Roman"/>
          <w:sz w:val="24"/>
          <w:szCs w:val="24"/>
          <w:u w:val="single"/>
        </w:rPr>
        <w:t>Charles Kaleb Vanlandingham, Administrator for the Estate of Charles Lamar Vanlandingham v, City of Oklahoma City</w:t>
      </w:r>
      <w:r w:rsidRPr="00E13796">
        <w:rPr>
          <w:rFonts w:ascii="Times New Roman" w:hAnsi="Times New Roman"/>
          <w:sz w:val="24"/>
          <w:szCs w:val="24"/>
        </w:rPr>
        <w:t xml:space="preserve">, U.S. District Court Chief Judge Timothy D. </w:t>
      </w:r>
      <w:proofErr w:type="spellStart"/>
      <w:r w:rsidRPr="00E13796">
        <w:rPr>
          <w:rFonts w:ascii="Times New Roman" w:hAnsi="Times New Roman"/>
          <w:sz w:val="24"/>
          <w:szCs w:val="24"/>
        </w:rPr>
        <w:t>Degiusti</w:t>
      </w:r>
      <w:proofErr w:type="spellEnd"/>
      <w:r w:rsidRPr="00E13796">
        <w:rPr>
          <w:rFonts w:ascii="Times New Roman" w:hAnsi="Times New Roman"/>
          <w:sz w:val="24"/>
          <w:szCs w:val="24"/>
        </w:rPr>
        <w:t xml:space="preserve">, Western District of Oklahoma, granted the EMS and firefighters motion to dismiss; they enjoy qualified immunity. </w:t>
      </w:r>
    </w:p>
    <w:p w14:paraId="32D35ABE" w14:textId="6ED7E819" w:rsidR="00804F3A" w:rsidRDefault="00804F3A" w:rsidP="00804F3A">
      <w:pPr>
        <w:rPr>
          <w:rFonts w:ascii="Arial Black" w:hAnsi="Arial Black"/>
          <w:b/>
          <w:bCs/>
          <w:sz w:val="28"/>
          <w:szCs w:val="28"/>
        </w:rPr>
      </w:pPr>
      <w:r>
        <w:rPr>
          <w:rFonts w:ascii="Times New Roman" w:eastAsia="Times New Roman" w:hAnsi="Times New Roman"/>
          <w:sz w:val="24"/>
          <w:szCs w:val="24"/>
        </w:rPr>
        <w:t>“</w:t>
      </w:r>
      <w:r w:rsidRPr="00E13796">
        <w:rPr>
          <w:rFonts w:ascii="Times New Roman" w:eastAsia="Times New Roman" w:hAnsi="Times New Roman"/>
          <w:sz w:val="24"/>
          <w:szCs w:val="24"/>
        </w:rPr>
        <w:t>Accepting the factual allegations of the Second Amended Complaint and viewing them in the light most favorable to Plaintiff, the Court finds that Plaintiff has failed to allege sufficient facts to show a Fourth Amendment violation by Firefighters. Therefore, the Court finds that the Second Amended Complaint fails to state a plausible § 1983 claim of unlawful seizure or excessive force against Firefighters.</w:t>
      </w:r>
      <w:r>
        <w:rPr>
          <w:rFonts w:ascii="Times New Roman" w:eastAsia="Times New Roman" w:hAnsi="Times New Roman"/>
          <w:sz w:val="24"/>
          <w:szCs w:val="24"/>
        </w:rPr>
        <w:t xml:space="preserve">” </w:t>
      </w:r>
      <w:hyperlink r:id="rId2250" w:history="1">
        <w:r w:rsidRPr="007662E8">
          <w:rPr>
            <w:rStyle w:val="Hyperlink"/>
            <w:rFonts w:ascii="Times New Roman" w:eastAsia="Times New Roman" w:hAnsi="Times New Roman"/>
            <w:kern w:val="36"/>
          </w:rPr>
          <w:t>https://public.fastcase.com/J%2FJP6pdidelsXxEE4k%2BLMv5wihlcRVj4L9YHbnV6MVAF3KBJWQtSNgsG4EjgakbdHjeAvtzGQxxiofGv8pQP2WzdDBJrvHehgIHwsEqWl4I%3D?utm_medium=email&amp;_hsmi=226712652&amp;_hsenc=p2ANqtz-8bxe8uEVUAEFxEuakn9lUGLQUwlcgKmV3pJL4LaqF4K3hrnG0m_YdcBfrpGQgthbsaGFQPAZbt-ltRFFMr5oynBxpKXA&amp;utm_content=226712652&amp;utm_source=hs_email</w:t>
        </w:r>
      </w:hyperlink>
    </w:p>
    <w:p w14:paraId="4BF1746E" w14:textId="77777777" w:rsidR="00804F3A" w:rsidRPr="00E13796" w:rsidRDefault="00804F3A" w:rsidP="00804F3A">
      <w:pPr>
        <w:pStyle w:val="NormalWeb"/>
        <w:rPr>
          <w:b/>
          <w:bCs/>
        </w:rPr>
      </w:pPr>
      <w:r w:rsidRPr="00E13796">
        <w:rPr>
          <w:b/>
          <w:bCs/>
        </w:rPr>
        <w:t>Legal Lesson Learned: EMS patient restraint protocols</w:t>
      </w:r>
      <w:r>
        <w:rPr>
          <w:b/>
          <w:bCs/>
        </w:rPr>
        <w:t xml:space="preserve"> may include requesting law enforcement assistance. </w:t>
      </w:r>
    </w:p>
    <w:p w14:paraId="67C3C6F7" w14:textId="3824DFC7" w:rsidR="00804F3A" w:rsidRDefault="00804F3A" w:rsidP="002B1283">
      <w:pPr>
        <w:rPr>
          <w:rFonts w:ascii="Arial Black" w:hAnsi="Arial Black"/>
          <w:b/>
          <w:bCs/>
          <w:sz w:val="28"/>
          <w:szCs w:val="28"/>
        </w:rPr>
      </w:pPr>
    </w:p>
    <w:p w14:paraId="79A9AAC8" w14:textId="2B8D6D1E" w:rsidR="00804F3A" w:rsidRDefault="00804F3A" w:rsidP="002B1283">
      <w:pPr>
        <w:rPr>
          <w:rFonts w:ascii="Arial Black" w:hAnsi="Arial Black"/>
          <w:b/>
          <w:bCs/>
          <w:sz w:val="28"/>
          <w:szCs w:val="28"/>
        </w:rPr>
      </w:pPr>
      <w:r>
        <w:rPr>
          <w:rFonts w:ascii="Arial Black" w:hAnsi="Arial Black"/>
          <w:b/>
          <w:bCs/>
          <w:sz w:val="28"/>
          <w:szCs w:val="28"/>
        </w:rPr>
        <w:t>13-125</w:t>
      </w:r>
    </w:p>
    <w:p w14:paraId="723A8F21" w14:textId="77777777" w:rsidR="00804F3A" w:rsidRPr="00E869A2" w:rsidRDefault="00804F3A" w:rsidP="00804F3A">
      <w:pPr>
        <w:pStyle w:val="NormalWeb"/>
        <w:rPr>
          <w:rFonts w:ascii="Arial Black" w:hAnsi="Arial Black"/>
          <w:sz w:val="28"/>
          <w:szCs w:val="28"/>
        </w:rPr>
      </w:pPr>
      <w:r>
        <w:rPr>
          <w:rFonts w:ascii="Arial Black" w:hAnsi="Arial Black"/>
          <w:sz w:val="28"/>
          <w:szCs w:val="28"/>
        </w:rPr>
        <w:t>MI: CPD PATIENT REFUSED TRANSPORT - NO REFUSAL FORM SIGNED – 2</w:t>
      </w:r>
      <w:r w:rsidRPr="002F1DB2">
        <w:rPr>
          <w:rFonts w:ascii="Arial Black" w:hAnsi="Arial Black"/>
          <w:sz w:val="28"/>
          <w:szCs w:val="28"/>
          <w:vertAlign w:val="superscript"/>
        </w:rPr>
        <w:t>nd</w:t>
      </w:r>
      <w:r>
        <w:rPr>
          <w:rFonts w:ascii="Arial Black" w:hAnsi="Arial Black"/>
          <w:sz w:val="28"/>
          <w:szCs w:val="28"/>
        </w:rPr>
        <w:t xml:space="preserve"> CALL, DIED CARDIAC - EMS IMMUNITY </w:t>
      </w:r>
    </w:p>
    <w:p w14:paraId="4B91EB7C" w14:textId="77777777" w:rsidR="00804F3A" w:rsidRDefault="00804F3A" w:rsidP="00804F3A">
      <w:pPr>
        <w:pStyle w:val="NormalWeb"/>
      </w:pPr>
      <w:r w:rsidRPr="00E869A2">
        <w:t xml:space="preserve">On Oct. 27, 2022, in </w:t>
      </w:r>
      <w:r w:rsidRPr="00815A5D">
        <w:rPr>
          <w:u w:val="single"/>
        </w:rPr>
        <w:t>Myra Buffington, Personal Representative of the Estate of Maurice Freeman v, Alic Layne, Ryan Cook and City of Detroit</w:t>
      </w:r>
      <w:r w:rsidRPr="00E869A2">
        <w:t>, the C</w:t>
      </w:r>
      <w:r>
        <w:t xml:space="preserve">ourt of Appeals of Michigan held (3 to 0), unpublished opinion, that trial court properly granted summary judgment to the defendants, since there was no evidence of gross negligence, even if the Medics didn’t get a signed refusal form. </w:t>
      </w:r>
    </w:p>
    <w:p w14:paraId="3803CFAF" w14:textId="77777777" w:rsidR="00804F3A" w:rsidRDefault="00804F3A" w:rsidP="00804F3A">
      <w:pPr>
        <w:spacing w:after="100" w:line="240" w:lineRule="auto"/>
        <w:ind w:left="720"/>
      </w:pPr>
      <w:r>
        <w:rPr>
          <w:rFonts w:ascii="Times New Roman" w:eastAsia="Times New Roman" w:hAnsi="Times New Roman"/>
          <w:sz w:val="24"/>
          <w:szCs w:val="24"/>
        </w:rPr>
        <w:t>“</w:t>
      </w:r>
      <w:r w:rsidRPr="006F70A6">
        <w:rPr>
          <w:rFonts w:ascii="Times New Roman" w:eastAsia="Times New Roman" w:hAnsi="Times New Roman"/>
          <w:sz w:val="24"/>
          <w:szCs w:val="24"/>
        </w:rPr>
        <w:t>Bad things happen in the world. In a world of accountability, everybody likes to point fingers and sit in judgment. The real world is a different place than the comfort of an office sitting behind a computer. Fault by which humans can be held legally liable does not always flow from bad things happening in the real world. While Mr. Freeman's death is tragic, an even greater tragedy is pinning blame (gross negligence/willful misconduct) on EMS techs doing a difficult job under trying circumstances. Those of us fortunate to sit in the relative comfort and safety of offices on our computers using big fancy words like gross negligence, should keep in mind, as we are tasked with determining legal liability for folks in the real world, that tragic results are not always avoidable and don't always equate with the high bar of gross negligence.</w:t>
      </w:r>
      <w:r>
        <w:rPr>
          <w:rFonts w:ascii="Times New Roman" w:eastAsia="Times New Roman" w:hAnsi="Times New Roman"/>
          <w:sz w:val="24"/>
          <w:szCs w:val="24"/>
        </w:rPr>
        <w:t xml:space="preserve">” </w:t>
      </w:r>
      <w:r>
        <w:t xml:space="preserve"> </w:t>
      </w:r>
      <w:hyperlink r:id="rId2251" w:history="1">
        <w:r w:rsidRPr="00A7079D">
          <w:rPr>
            <w:rStyle w:val="Hyperlink"/>
            <w:rFonts w:eastAsiaTheme="majorEastAsia"/>
          </w:rPr>
          <w:t>https://law.justia.com/cases/michigan/court-of-appeals-unpublished/2022/357887.html</w:t>
        </w:r>
      </w:hyperlink>
      <w:r>
        <w:t xml:space="preserve"> </w:t>
      </w:r>
    </w:p>
    <w:p w14:paraId="453249F9" w14:textId="77777777" w:rsidR="00804F3A" w:rsidRPr="00815A5D" w:rsidRDefault="00804F3A" w:rsidP="00804F3A">
      <w:pPr>
        <w:pStyle w:val="NormalWeb"/>
        <w:rPr>
          <w:b/>
          <w:bCs/>
        </w:rPr>
      </w:pPr>
      <w:r w:rsidRPr="00815A5D">
        <w:rPr>
          <w:b/>
          <w:bCs/>
        </w:rPr>
        <w:t>Legal Lesson Learned:</w:t>
      </w:r>
      <w:r>
        <w:rPr>
          <w:b/>
          <w:bCs/>
        </w:rPr>
        <w:t xml:space="preserve"> Use the Refusal Form or document why patient would not sign; reduce risk of litigation. </w:t>
      </w:r>
    </w:p>
    <w:p w14:paraId="6B9FF302" w14:textId="77777777" w:rsidR="00804F3A" w:rsidRDefault="00804F3A" w:rsidP="002B1283">
      <w:pPr>
        <w:rPr>
          <w:rFonts w:ascii="Arial Black" w:hAnsi="Arial Black"/>
          <w:b/>
          <w:bCs/>
          <w:sz w:val="28"/>
          <w:szCs w:val="28"/>
        </w:rPr>
      </w:pPr>
    </w:p>
    <w:p w14:paraId="4D45F257" w14:textId="77777777" w:rsidR="00804F3A" w:rsidRDefault="00804F3A" w:rsidP="002B1283">
      <w:pPr>
        <w:rPr>
          <w:rFonts w:ascii="Arial Black" w:hAnsi="Arial Black"/>
          <w:b/>
          <w:bCs/>
          <w:sz w:val="28"/>
          <w:szCs w:val="28"/>
        </w:rPr>
      </w:pPr>
    </w:p>
    <w:p w14:paraId="3449B5A5" w14:textId="691BBA37" w:rsidR="00AC5FED" w:rsidRDefault="00755E16" w:rsidP="002B1283">
      <w:pPr>
        <w:rPr>
          <w:rFonts w:ascii="Arial Black" w:hAnsi="Arial Black"/>
          <w:b/>
          <w:bCs/>
          <w:sz w:val="28"/>
          <w:szCs w:val="28"/>
        </w:rPr>
      </w:pPr>
      <w:r>
        <w:rPr>
          <w:rFonts w:ascii="Arial Black" w:hAnsi="Arial Black"/>
          <w:b/>
          <w:bCs/>
          <w:sz w:val="28"/>
          <w:szCs w:val="28"/>
        </w:rPr>
        <w:lastRenderedPageBreak/>
        <w:t>13-126</w:t>
      </w:r>
    </w:p>
    <w:p w14:paraId="3B78DAF4" w14:textId="77777777" w:rsidR="00755E16" w:rsidRDefault="00755E16" w:rsidP="00755E16">
      <w:pPr>
        <w:pStyle w:val="NormalWeb"/>
        <w:rPr>
          <w:rFonts w:ascii="Arial Black" w:hAnsi="Arial Black"/>
          <w:sz w:val="28"/>
          <w:szCs w:val="28"/>
        </w:rPr>
      </w:pPr>
      <w:bookmarkStart w:id="439" w:name="_Hlk115616390"/>
      <w:r>
        <w:rPr>
          <w:rFonts w:ascii="Arial Black" w:hAnsi="Arial Black"/>
          <w:sz w:val="28"/>
          <w:szCs w:val="28"/>
        </w:rPr>
        <w:t>CA: MENTAL PATIENT JUMPS OUT MOVING AMBUL. - NO SHOULDER HARNESS, DOORS UNLOCKED – CASE PROCEED</w:t>
      </w:r>
    </w:p>
    <w:p w14:paraId="267487CD" w14:textId="77777777" w:rsidR="00755E16" w:rsidRDefault="00755E16" w:rsidP="00755E16">
      <w:pPr>
        <w:pStyle w:val="NormalWeb"/>
      </w:pPr>
      <w:r>
        <w:t xml:space="preserve">On Sept. 29, 2022, in </w:t>
      </w:r>
      <w:r>
        <w:rPr>
          <w:u w:val="single"/>
        </w:rPr>
        <w:t>T.L., a Minor v. City Ambulance of Eureka, Inc</w:t>
      </w:r>
      <w:r>
        <w:t xml:space="preserve">., the California Court of Appeals, First District (First Division), held (3 to 0) that the trial court should not have granted summary judgment to the ambulance company and two EMS; lawsuit to proceed.   </w:t>
      </w:r>
    </w:p>
    <w:p w14:paraId="5F8A900C" w14:textId="77777777" w:rsidR="00755E16" w:rsidRDefault="00755E16" w:rsidP="00755E16">
      <w:pPr>
        <w:pStyle w:val="NormalWeb"/>
        <w:ind w:left="720"/>
      </w:pPr>
      <w:r>
        <w:t xml:space="preserve">“In short, as plaintiff has argued the case on appeal, and in light of the record on appeal, the only claims plaintiff has advanced that have any conceivable traction are that the gurney should have had shoulder harnesses which should have been used, and the rear door of the ambulance should have been locked. As we have </w:t>
      </w:r>
      <w:proofErr w:type="gramStart"/>
      <w:r>
        <w:t>observed,</w:t>
      </w:r>
      <w:proofErr w:type="gramEnd"/>
      <w:r>
        <w:t xml:space="preserve"> whether these claims have any merit was not addressed by the summary judgment motion.” </w:t>
      </w:r>
      <w:hyperlink r:id="rId2252" w:history="1">
        <w:r>
          <w:rPr>
            <w:rStyle w:val="Hyperlink"/>
          </w:rPr>
          <w:t>https://law.justia.com/cases/california/court-of-appeal/2022/a162508.html</w:t>
        </w:r>
      </w:hyperlink>
      <w:r>
        <w:t xml:space="preserve"> </w:t>
      </w:r>
    </w:p>
    <w:bookmarkEnd w:id="439"/>
    <w:p w14:paraId="7733D457" w14:textId="77777777" w:rsidR="00755E16" w:rsidRDefault="00755E16" w:rsidP="00755E16">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Legal Lesson Learned: When transporting a psych patient, use shoulder harness and consider other restraints; lock back door of the ambulance.</w:t>
      </w:r>
    </w:p>
    <w:p w14:paraId="499243AA" w14:textId="77777777" w:rsidR="00755E16" w:rsidRDefault="00755E16" w:rsidP="002B1283">
      <w:pPr>
        <w:rPr>
          <w:rFonts w:ascii="Arial Black" w:hAnsi="Arial Black"/>
          <w:b/>
          <w:bCs/>
          <w:sz w:val="28"/>
          <w:szCs w:val="28"/>
        </w:rPr>
      </w:pPr>
    </w:p>
    <w:p w14:paraId="650E5CFC" w14:textId="77777777" w:rsidR="00755E16" w:rsidRDefault="00755E16" w:rsidP="002B1283">
      <w:pPr>
        <w:rPr>
          <w:rFonts w:ascii="Arial Black" w:hAnsi="Arial Black"/>
          <w:b/>
          <w:bCs/>
          <w:sz w:val="28"/>
          <w:szCs w:val="28"/>
        </w:rPr>
      </w:pPr>
    </w:p>
    <w:p w14:paraId="0CC4C99F" w14:textId="0B3AAD13" w:rsidR="00AC5FED" w:rsidRDefault="00AC5FED" w:rsidP="002B1283">
      <w:pPr>
        <w:rPr>
          <w:rFonts w:ascii="Arial Black" w:hAnsi="Arial Black"/>
          <w:b/>
          <w:bCs/>
          <w:sz w:val="28"/>
          <w:szCs w:val="28"/>
        </w:rPr>
      </w:pPr>
      <w:r>
        <w:rPr>
          <w:rFonts w:ascii="Arial Black" w:hAnsi="Arial Black"/>
          <w:b/>
          <w:bCs/>
          <w:sz w:val="28"/>
          <w:szCs w:val="28"/>
        </w:rPr>
        <w:t>13-125</w:t>
      </w:r>
    </w:p>
    <w:p w14:paraId="48D95C3E" w14:textId="77777777" w:rsidR="00755E16" w:rsidRDefault="00755E16" w:rsidP="00755E16">
      <w:pPr>
        <w:pStyle w:val="NormalWeb"/>
        <w:rPr>
          <w:rFonts w:ascii="Arial Black" w:hAnsi="Arial Black"/>
          <w:b/>
          <w:bCs/>
          <w:sz w:val="28"/>
          <w:szCs w:val="28"/>
        </w:rPr>
      </w:pPr>
      <w:r>
        <w:rPr>
          <w:rFonts w:ascii="Arial Black" w:hAnsi="Arial Black"/>
          <w:b/>
          <w:bCs/>
          <w:sz w:val="28"/>
          <w:szCs w:val="28"/>
        </w:rPr>
        <w:t>GA:  EMS CALLED BY PD – DEFENDANT FOAMING MOUTH, UNRESPONSIVE – NO TRANSPORT / DIED – CASE PROCEED</w:t>
      </w:r>
    </w:p>
    <w:p w14:paraId="55B4A0D8" w14:textId="77777777" w:rsidR="00755E16" w:rsidRDefault="00755E16" w:rsidP="00755E16">
      <w:pPr>
        <w:pStyle w:val="NormalWeb"/>
      </w:pPr>
      <w:r>
        <w:t xml:space="preserve">On Sept. 27, 2022, in </w:t>
      </w:r>
      <w:r>
        <w:rPr>
          <w:u w:val="single"/>
        </w:rPr>
        <w:t>Anthony Wilson, Kimberly Wilson, the parents of Martez Wilson,  et al. v. EMT Sean Flack; Brian Porterfield, Paramedic; City of Douglasville, GA, et al</w:t>
      </w:r>
      <w:r>
        <w:t>., the U.S. Court of Appeals for the 11</w:t>
      </w:r>
      <w:r>
        <w:rPr>
          <w:vertAlign w:val="superscript"/>
        </w:rPr>
        <w:t>th</w:t>
      </w:r>
      <w:r>
        <w:t xml:space="preserve"> Circuit (Atlanta), held (3 to 0)(unpublished decision) that the lawsuit shall be reinstated against the two EMS personnel. </w:t>
      </w:r>
    </w:p>
    <w:p w14:paraId="0D8B7502" w14:textId="77777777" w:rsidR="00755E16" w:rsidRDefault="00755E16" w:rsidP="00755E16">
      <w:pPr>
        <w:pStyle w:val="NormalWeb"/>
        <w:ind w:left="720"/>
      </w:pPr>
      <w:r>
        <w:t xml:space="preserve">“It is undisputed that Defendants conducted a medical assessment of Wilson when they were called to the scene of his arrest. Specifically, they felt Wilson's skin, visually assessed his breathing by watching his chest movements, and used a ZOLL monitor to determine his pulse and oxygen levels. Based on their assessment, Defendants determined that no further assessment or treatment of Wilson was necessary. As discussed above, a jury might reasonably infer that this determination was so reckless that it amounted to a deliberate indifference to Wilson's obvious medical needs, particularly given the additional information Defendants received at the end of their assessment that Wilson was foaming at the mouth.” </w:t>
      </w:r>
      <w:hyperlink r:id="rId2253" w:history="1">
        <w:r>
          <w:rPr>
            <w:rStyle w:val="Hyperlink"/>
          </w:rPr>
          <w:t>https://media.ca11.uscourts.gov/opinions/unpub/files/201914294.pdf</w:t>
        </w:r>
      </w:hyperlink>
      <w:r>
        <w:t xml:space="preserve"> </w:t>
      </w:r>
    </w:p>
    <w:p w14:paraId="4CDB86C7" w14:textId="77777777" w:rsidR="00755E16" w:rsidRDefault="00755E16" w:rsidP="00755E16">
      <w:pPr>
        <w:pStyle w:val="NormalWeb"/>
        <w:rPr>
          <w:b/>
          <w:bCs/>
        </w:rPr>
      </w:pPr>
      <w:r>
        <w:rPr>
          <w:b/>
          <w:bCs/>
        </w:rPr>
        <w:t xml:space="preserve">Legal Lesson Learned: If a patient is unresponsive, transport to a hospital. </w:t>
      </w:r>
    </w:p>
    <w:p w14:paraId="5138533C" w14:textId="77777777" w:rsidR="00AC5FED" w:rsidRDefault="00AC5FED" w:rsidP="002B1283">
      <w:pPr>
        <w:rPr>
          <w:rFonts w:ascii="Arial Black" w:hAnsi="Arial Black"/>
          <w:b/>
          <w:bCs/>
          <w:sz w:val="28"/>
          <w:szCs w:val="28"/>
        </w:rPr>
      </w:pPr>
    </w:p>
    <w:p w14:paraId="274F08B9" w14:textId="77777777" w:rsidR="00AC5FED" w:rsidRDefault="00AC5FED" w:rsidP="002B1283">
      <w:pPr>
        <w:rPr>
          <w:rFonts w:ascii="Arial Black" w:hAnsi="Arial Black"/>
          <w:b/>
          <w:bCs/>
          <w:sz w:val="28"/>
          <w:szCs w:val="28"/>
        </w:rPr>
      </w:pPr>
    </w:p>
    <w:p w14:paraId="11CC5DEF" w14:textId="74777EF9" w:rsidR="00AC5FED" w:rsidRDefault="00AC5FED" w:rsidP="002B1283">
      <w:pPr>
        <w:rPr>
          <w:rFonts w:ascii="Arial Black" w:hAnsi="Arial Black"/>
          <w:b/>
          <w:bCs/>
          <w:sz w:val="28"/>
          <w:szCs w:val="28"/>
        </w:rPr>
      </w:pPr>
      <w:r>
        <w:rPr>
          <w:rFonts w:ascii="Arial Black" w:hAnsi="Arial Black"/>
          <w:b/>
          <w:bCs/>
          <w:sz w:val="28"/>
          <w:szCs w:val="28"/>
        </w:rPr>
        <w:lastRenderedPageBreak/>
        <w:t>13-124</w:t>
      </w:r>
    </w:p>
    <w:p w14:paraId="0FB6D7C4" w14:textId="77777777" w:rsidR="00AC5FED" w:rsidRDefault="00AC5FED" w:rsidP="00AC5FED">
      <w:pPr>
        <w:pStyle w:val="NormalWeb"/>
        <w:rPr>
          <w:rFonts w:ascii="Arial Black" w:hAnsi="Arial Black"/>
          <w:b/>
          <w:bCs/>
          <w:sz w:val="28"/>
          <w:szCs w:val="28"/>
        </w:rPr>
      </w:pPr>
      <w:r>
        <w:rPr>
          <w:rFonts w:ascii="Arial Black" w:hAnsi="Arial Black"/>
          <w:b/>
          <w:bCs/>
          <w:sz w:val="28"/>
          <w:szCs w:val="28"/>
        </w:rPr>
        <w:t>AR: WHEELCHAIR PATIENT – ASKED NOT USE SHOULDER HARNESS – FELL OUT, LATER DIED - 75% LIABILITY</w:t>
      </w:r>
    </w:p>
    <w:p w14:paraId="74802F79" w14:textId="77777777" w:rsidR="00AC5FED" w:rsidRPr="00AC5FED" w:rsidRDefault="00AC5FED" w:rsidP="00AC5FED">
      <w:pPr>
        <w:pStyle w:val="NormalWeb"/>
      </w:pPr>
      <w:r w:rsidRPr="00AC5FED">
        <w:t xml:space="preserve">On Sept. 16, 2022, in </w:t>
      </w:r>
      <w:r w:rsidRPr="00AC5FED">
        <w:rPr>
          <w:u w:val="single"/>
        </w:rPr>
        <w:t>Clementine Thomas v. United States of America</w:t>
      </w:r>
      <w:r w:rsidRPr="00AC5FED">
        <w:t xml:space="preserve">, U.S. District Court Judge Dominie W. Lanza, U.S. District of Arizona, held that the Federal government, which had contracted with private ambulance company, is 75% liable in damages, not 100% since the patient was 25% at fault. </w:t>
      </w:r>
    </w:p>
    <w:p w14:paraId="54525857" w14:textId="74AA3AC7" w:rsidR="00AC5FED" w:rsidRPr="00AC5FED" w:rsidRDefault="00AC5FED" w:rsidP="00AC5FED">
      <w:pPr>
        <w:ind w:left="720"/>
        <w:rPr>
          <w:rFonts w:ascii="Times New Roman" w:hAnsi="Times New Roman"/>
          <w:b/>
          <w:bCs/>
          <w:sz w:val="24"/>
          <w:szCs w:val="24"/>
        </w:rPr>
      </w:pPr>
      <w:r w:rsidRPr="00AC5FED">
        <w:rPr>
          <w:rFonts w:ascii="Times New Roman" w:hAnsi="Times New Roman"/>
          <w:sz w:val="24"/>
          <w:szCs w:val="24"/>
        </w:rPr>
        <w:t xml:space="preserve">“Here, [Veronica] Stevens bears 25% of the fault </w:t>
      </w:r>
      <w:proofErr w:type="gramStart"/>
      <w:r w:rsidRPr="00AC5FED">
        <w:rPr>
          <w:rFonts w:ascii="Times New Roman" w:hAnsi="Times New Roman"/>
          <w:sz w:val="24"/>
          <w:szCs w:val="24"/>
        </w:rPr>
        <w:t>in light of the fact that</w:t>
      </w:r>
      <w:proofErr w:type="gramEnd"/>
      <w:r w:rsidRPr="00AC5FED">
        <w:rPr>
          <w:rFonts w:ascii="Times New Roman" w:hAnsi="Times New Roman"/>
          <w:sz w:val="24"/>
          <w:szCs w:val="24"/>
        </w:rPr>
        <w:t xml:space="preserve"> Parker failed to secure the shoulder belt at her request. None of the other passengers in the van suffered injury from the braking incident, which suggests that if Stevens had simply allowed Parker to belt her into place (as had been his practice until she instructed him to stop), she would have avoided injury, </w:t>
      </w:r>
      <w:proofErr w:type="gramStart"/>
      <w:r w:rsidRPr="00AC5FED">
        <w:rPr>
          <w:rFonts w:ascii="Times New Roman" w:hAnsi="Times New Roman"/>
          <w:sz w:val="24"/>
          <w:szCs w:val="24"/>
        </w:rPr>
        <w:t>too.”</w:t>
      </w:r>
      <w:proofErr w:type="gramEnd"/>
      <w:r w:rsidRPr="00AC5FED">
        <w:rPr>
          <w:rFonts w:ascii="Times New Roman" w:hAnsi="Times New Roman"/>
          <w:sz w:val="24"/>
          <w:szCs w:val="24"/>
        </w:rPr>
        <w:t xml:space="preserve"> </w:t>
      </w:r>
      <w:hyperlink r:id="rId2254" w:history="1">
        <w:r w:rsidRPr="00AC5FED">
          <w:rPr>
            <w:rStyle w:val="Hyperlink"/>
            <w:rFonts w:ascii="Times New Roman" w:hAnsi="Times New Roman"/>
            <w:sz w:val="24"/>
            <w:szCs w:val="24"/>
          </w:rPr>
          <w:t>https://public.fastcase.com/J%2FJP6pdidelsXxEE4k%2BLMs47M8bX1jWCTU1t0SYWR19Iu9IUPatjWgRJl3RKX2DrLTQazC1ae%2FBWEsyi8L93eaS1AKPtR90SvCK0pYsfZI4%3D</w:t>
        </w:r>
      </w:hyperlink>
    </w:p>
    <w:p w14:paraId="32A8DB4C" w14:textId="77777777" w:rsidR="00AC5FED" w:rsidRDefault="00AC5FED" w:rsidP="00AC5FED">
      <w:pPr>
        <w:pStyle w:val="NormalWeb"/>
        <w:rPr>
          <w:b/>
          <w:bCs/>
        </w:rPr>
      </w:pPr>
      <w:r>
        <w:rPr>
          <w:b/>
          <w:bCs/>
        </w:rPr>
        <w:t xml:space="preserve">Legal Lesson Learned: When transporting </w:t>
      </w:r>
      <w:proofErr w:type="gramStart"/>
      <w:r>
        <w:rPr>
          <w:b/>
          <w:bCs/>
        </w:rPr>
        <w:t>patient</w:t>
      </w:r>
      <w:proofErr w:type="gramEnd"/>
      <w:r>
        <w:rPr>
          <w:b/>
          <w:bCs/>
        </w:rPr>
        <w:t xml:space="preserve">, use all the seat and harness belts, even if </w:t>
      </w:r>
      <w:proofErr w:type="gramStart"/>
      <w:r>
        <w:rPr>
          <w:b/>
          <w:bCs/>
        </w:rPr>
        <w:t>patient</w:t>
      </w:r>
      <w:proofErr w:type="gramEnd"/>
      <w:r>
        <w:rPr>
          <w:b/>
          <w:bCs/>
        </w:rPr>
        <w:t xml:space="preserve"> </w:t>
      </w:r>
      <w:proofErr w:type="gramStart"/>
      <w:r>
        <w:rPr>
          <w:b/>
          <w:bCs/>
        </w:rPr>
        <w:t>requests</w:t>
      </w:r>
      <w:proofErr w:type="gramEnd"/>
      <w:r>
        <w:rPr>
          <w:b/>
          <w:bCs/>
        </w:rPr>
        <w:t xml:space="preserve"> not use harness belts.  </w:t>
      </w:r>
    </w:p>
    <w:p w14:paraId="12AA5471" w14:textId="77777777" w:rsidR="00AC5FED" w:rsidRDefault="00AC5FED" w:rsidP="002B1283">
      <w:pPr>
        <w:rPr>
          <w:rFonts w:ascii="Arial Black" w:hAnsi="Arial Black"/>
          <w:b/>
          <w:bCs/>
          <w:sz w:val="28"/>
          <w:szCs w:val="28"/>
        </w:rPr>
      </w:pPr>
    </w:p>
    <w:p w14:paraId="70EFC0D9" w14:textId="2300735D" w:rsidR="00AC5FED" w:rsidRDefault="00AC5FED" w:rsidP="002B1283">
      <w:pPr>
        <w:rPr>
          <w:rFonts w:ascii="Arial Black" w:hAnsi="Arial Black"/>
          <w:b/>
          <w:bCs/>
          <w:sz w:val="28"/>
          <w:szCs w:val="28"/>
        </w:rPr>
      </w:pPr>
      <w:r>
        <w:rPr>
          <w:rFonts w:ascii="Arial Black" w:hAnsi="Arial Black"/>
          <w:b/>
          <w:bCs/>
          <w:sz w:val="28"/>
          <w:szCs w:val="28"/>
        </w:rPr>
        <w:t>13-123</w:t>
      </w:r>
    </w:p>
    <w:p w14:paraId="78CACB3C" w14:textId="77777777" w:rsidR="00AC5FED" w:rsidRDefault="00AC5FED" w:rsidP="00AC5FED">
      <w:pPr>
        <w:pStyle w:val="NormalWeb"/>
        <w:rPr>
          <w:rFonts w:ascii="Arial Black" w:hAnsi="Arial Black"/>
          <w:b/>
          <w:bCs/>
          <w:sz w:val="28"/>
          <w:szCs w:val="28"/>
        </w:rPr>
      </w:pPr>
      <w:r>
        <w:rPr>
          <w:rFonts w:ascii="Arial Black" w:hAnsi="Arial Black"/>
          <w:b/>
          <w:bCs/>
          <w:sz w:val="28"/>
          <w:szCs w:val="28"/>
        </w:rPr>
        <w:t>MD: PD ASSAULTED - DURING EMS TRANSPORT DEF. SAID “WENT FOR THAT WEAPON” – ADMISSIBLE IN CRIM. CASE</w:t>
      </w:r>
    </w:p>
    <w:p w14:paraId="16E3C1B9" w14:textId="77777777" w:rsidR="00AC5FED" w:rsidRDefault="00AC5FED" w:rsidP="00AC5FED">
      <w:pPr>
        <w:pStyle w:val="NormalWeb"/>
      </w:pPr>
      <w:r>
        <w:t xml:space="preserve">On Aug. 31, 2022, in </w:t>
      </w:r>
      <w:r>
        <w:rPr>
          <w:u w:val="single"/>
        </w:rPr>
        <w:t>Stanley C. Butler, Jr. v. State of Maryland</w:t>
      </w:r>
      <w:r>
        <w:t xml:space="preserve">, the Court of Appeal Appeals of Maryland held (3 to 0) that the defendant’s comments in the back of ambulance were admissible to the jury in his criminal trial for disarming a law-enforcement officer, assault on a law-enforcement officer, two counts of second-degree assault, and resisting arrest. </w:t>
      </w:r>
    </w:p>
    <w:p w14:paraId="3A8B92AD" w14:textId="77777777" w:rsidR="00AC5FED" w:rsidRDefault="00AC5FED" w:rsidP="00AC5FED">
      <w:pPr>
        <w:pStyle w:val="NormalWeb"/>
        <w:ind w:left="720"/>
      </w:pPr>
      <w:r>
        <w:t xml:space="preserve">“We reach the same conclusion as the circuit court in holding that [EMT] English was not a </w:t>
      </w:r>
      <w:proofErr w:type="gramStart"/>
      <w:r>
        <w:t>State</w:t>
      </w:r>
      <w:proofErr w:type="gramEnd"/>
      <w:r>
        <w:t xml:space="preserve"> agent. *** The [trial] court reasoned that EMTs are ‘civilians, they are not commissioned police officers . . . They are independent,’ and that Officer Kilgore did not ask Butler any questions or direct English to ask Butler any questions. </w:t>
      </w:r>
      <w:hyperlink r:id="rId2255" w:history="1">
        <w:r w:rsidRPr="0078619C">
          <w:rPr>
            <w:rStyle w:val="Hyperlink"/>
          </w:rPr>
          <w:t>https://mdcourts.gov/data/opinions/cosa/2022/1037s21.pdf</w:t>
        </w:r>
      </w:hyperlink>
      <w:r>
        <w:t xml:space="preserve"> </w:t>
      </w:r>
    </w:p>
    <w:p w14:paraId="4A0A030E" w14:textId="77777777" w:rsidR="00AC5FED" w:rsidRDefault="00AC5FED" w:rsidP="00AC5FED">
      <w:pPr>
        <w:pStyle w:val="NormalWeb"/>
        <w:rPr>
          <w:b/>
          <w:bCs/>
        </w:rPr>
      </w:pPr>
      <w:r>
        <w:rPr>
          <w:b/>
          <w:bCs/>
        </w:rPr>
        <w:t xml:space="preserve">Legal Lesson Learned: EMS may ask patient [defendant] questions related to his medical condition during transport with police on board; spontaneous confessions are generally admissible in criminal </w:t>
      </w:r>
      <w:proofErr w:type="gramStart"/>
      <w:r>
        <w:rPr>
          <w:b/>
          <w:bCs/>
        </w:rPr>
        <w:t>case</w:t>
      </w:r>
      <w:proofErr w:type="gramEnd"/>
      <w:r>
        <w:rPr>
          <w:b/>
          <w:bCs/>
        </w:rPr>
        <w:t xml:space="preserve">. </w:t>
      </w:r>
    </w:p>
    <w:p w14:paraId="63567E1D" w14:textId="77777777" w:rsidR="00AC5FED" w:rsidRDefault="00AC5FED" w:rsidP="002B1283">
      <w:pPr>
        <w:rPr>
          <w:rFonts w:ascii="Arial Black" w:hAnsi="Arial Black"/>
          <w:b/>
          <w:bCs/>
          <w:sz w:val="28"/>
          <w:szCs w:val="28"/>
        </w:rPr>
      </w:pPr>
    </w:p>
    <w:p w14:paraId="26791CDE" w14:textId="77777777" w:rsidR="00AC5FED" w:rsidRDefault="00AC5FED" w:rsidP="002B1283">
      <w:pPr>
        <w:rPr>
          <w:rFonts w:ascii="Arial Black" w:hAnsi="Arial Black"/>
          <w:b/>
          <w:bCs/>
          <w:sz w:val="28"/>
          <w:szCs w:val="28"/>
        </w:rPr>
      </w:pPr>
    </w:p>
    <w:p w14:paraId="43D22E55" w14:textId="38C63201" w:rsidR="006E70F8" w:rsidRDefault="006E70F8" w:rsidP="002B1283">
      <w:pPr>
        <w:rPr>
          <w:rFonts w:ascii="Arial Black" w:hAnsi="Arial Black"/>
          <w:b/>
          <w:bCs/>
          <w:sz w:val="28"/>
          <w:szCs w:val="28"/>
        </w:rPr>
      </w:pPr>
      <w:r>
        <w:rPr>
          <w:rFonts w:ascii="Arial Black" w:hAnsi="Arial Black"/>
          <w:b/>
          <w:bCs/>
          <w:sz w:val="28"/>
          <w:szCs w:val="28"/>
        </w:rPr>
        <w:t>13-122</w:t>
      </w:r>
    </w:p>
    <w:p w14:paraId="4DB3CA91" w14:textId="77777777" w:rsidR="006E70F8" w:rsidRDefault="006E70F8" w:rsidP="006E70F8">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lastRenderedPageBreak/>
        <w:t>WY: CAPTAIN FIRING UPHELD - FREQUENT 911 CALLER FOR LIFT ASSISTS – “KICK HER ASS” – PROVIDED DUE PROCESS</w:t>
      </w:r>
    </w:p>
    <w:p w14:paraId="056F03B5" w14:textId="66A63A04" w:rsidR="006E70F8" w:rsidRDefault="006E70F8" w:rsidP="006E70F8">
      <w:pPr>
        <w:spacing w:before="100" w:beforeAutospacing="1" w:after="100" w:afterAutospacing="1" w:line="240" w:lineRule="auto"/>
        <w:rPr>
          <w:rFonts w:ascii="Times New Roman" w:hAnsi="Times New Roman"/>
          <w:sz w:val="24"/>
          <w:szCs w:val="24"/>
        </w:rPr>
      </w:pPr>
      <w:bookmarkStart w:id="440" w:name="_Hlk112724120"/>
      <w:r w:rsidRPr="007E4B1C">
        <w:rPr>
          <w:rFonts w:ascii="Times New Roman" w:eastAsia="Times New Roman" w:hAnsi="Times New Roman"/>
          <w:sz w:val="24"/>
          <w:szCs w:val="24"/>
        </w:rPr>
        <w:t xml:space="preserve">On Aug. 24, 2022, in </w:t>
      </w:r>
      <w:r w:rsidRPr="007E4B1C">
        <w:rPr>
          <w:rFonts w:ascii="Times New Roman" w:eastAsia="Times New Roman" w:hAnsi="Times New Roman"/>
          <w:sz w:val="24"/>
          <w:szCs w:val="24"/>
          <w:u w:val="single"/>
        </w:rPr>
        <w:t>City of Rawlins v. Stephanie Schofield</w:t>
      </w:r>
      <w:r>
        <w:rPr>
          <w:rFonts w:ascii="Times New Roman" w:eastAsia="Times New Roman" w:hAnsi="Times New Roman"/>
          <w:sz w:val="24"/>
          <w:szCs w:val="24"/>
        </w:rPr>
        <w:t>, the Supreme Court of Wyoming held (5 to 0) that the trial court improperly overturned the Civil Service Commission</w:t>
      </w:r>
      <w:r w:rsidR="00B96B6D">
        <w:rPr>
          <w:rFonts w:ascii="Times New Roman" w:eastAsia="Times New Roman" w:hAnsi="Times New Roman"/>
          <w:sz w:val="24"/>
          <w:szCs w:val="24"/>
        </w:rPr>
        <w:t>; Supreme Court upheld the termination.</w:t>
      </w:r>
      <w:r>
        <w:rPr>
          <w:rFonts w:ascii="Times New Roman" w:eastAsia="Times New Roman" w:hAnsi="Times New Roman"/>
          <w:sz w:val="24"/>
          <w:szCs w:val="24"/>
        </w:rPr>
        <w:t xml:space="preserve">  Captain, while initially fired by the interim City Manager without </w:t>
      </w:r>
      <w:proofErr w:type="gramStart"/>
      <w:r>
        <w:rPr>
          <w:rFonts w:ascii="Times New Roman" w:eastAsia="Times New Roman" w:hAnsi="Times New Roman"/>
          <w:sz w:val="24"/>
          <w:szCs w:val="24"/>
        </w:rPr>
        <w:t>a hearing</w:t>
      </w:r>
      <w:proofErr w:type="gramEnd"/>
      <w:r>
        <w:rPr>
          <w:rFonts w:ascii="Times New Roman" w:eastAsia="Times New Roman" w:hAnsi="Times New Roman"/>
          <w:sz w:val="24"/>
          <w:szCs w:val="24"/>
        </w:rPr>
        <w:t>, was ultimately provided due process hearing by the Civil Service Commission. “</w:t>
      </w:r>
      <w:r w:rsidRPr="00E058A7">
        <w:rPr>
          <w:rFonts w:ascii="Times New Roman" w:hAnsi="Times New Roman"/>
          <w:sz w:val="24"/>
          <w:szCs w:val="24"/>
        </w:rPr>
        <w:t xml:space="preserve">The City's rescission of its original termination letter and reinstatement of Ms. Schofield with back pay rendered the initial due process violations moot. The City's June 8, </w:t>
      </w:r>
      <w:proofErr w:type="gramStart"/>
      <w:r w:rsidRPr="00E058A7">
        <w:rPr>
          <w:rFonts w:ascii="Times New Roman" w:hAnsi="Times New Roman"/>
          <w:sz w:val="24"/>
          <w:szCs w:val="24"/>
        </w:rPr>
        <w:t>2020</w:t>
      </w:r>
      <w:proofErr w:type="gramEnd"/>
      <w:r w:rsidRPr="00E058A7">
        <w:rPr>
          <w:rFonts w:ascii="Times New Roman" w:hAnsi="Times New Roman"/>
          <w:sz w:val="24"/>
          <w:szCs w:val="24"/>
        </w:rPr>
        <w:t xml:space="preserve"> notice of request for termination provided Ms. Schofield notice of the reasons it relied on in requesting her termination. The contested case hearing provided Ms. </w:t>
      </w:r>
      <w:proofErr w:type="gramStart"/>
      <w:r w:rsidRPr="00E058A7">
        <w:rPr>
          <w:rFonts w:ascii="Times New Roman" w:hAnsi="Times New Roman"/>
          <w:sz w:val="24"/>
          <w:szCs w:val="24"/>
        </w:rPr>
        <w:t>Schofield</w:t>
      </w:r>
      <w:proofErr w:type="gramEnd"/>
      <w:r w:rsidRPr="00E058A7">
        <w:rPr>
          <w:rFonts w:ascii="Times New Roman" w:hAnsi="Times New Roman"/>
          <w:sz w:val="24"/>
          <w:szCs w:val="24"/>
        </w:rPr>
        <w:t xml:space="preserve"> a full and fair opportunity to respond to the reasons underlying the request that her employment be terminated. The Commission's Findings of Fact, Conclusions of Law and Order was supported by substantial evidence and was not arbitrary and capricious, or otherwise not in accordance with law. We reverse the decision of the district court and affirm the Commission's order.</w:t>
      </w:r>
      <w:r>
        <w:rPr>
          <w:rFonts w:ascii="Times New Roman" w:hAnsi="Times New Roman"/>
          <w:sz w:val="24"/>
          <w:szCs w:val="24"/>
        </w:rPr>
        <w:t xml:space="preserve">”  </w:t>
      </w:r>
      <w:r>
        <w:rPr>
          <w:rFonts w:ascii="Times New Roman" w:eastAsia="Times New Roman" w:hAnsi="Times New Roman"/>
          <w:sz w:val="24"/>
          <w:szCs w:val="24"/>
        </w:rPr>
        <w:t xml:space="preserve"> </w:t>
      </w:r>
      <w:hyperlink r:id="rId2256" w:history="1">
        <w:r w:rsidRPr="00301464">
          <w:rPr>
            <w:rStyle w:val="Hyperlink"/>
            <w:rFonts w:ascii="Times New Roman" w:hAnsi="Times New Roman"/>
          </w:rPr>
          <w:t>https://law.justia.com/cases/wyoming/supreme-court/2022/s-21-0278.html</w:t>
        </w:r>
      </w:hyperlink>
      <w:r>
        <w:rPr>
          <w:rFonts w:ascii="Times New Roman" w:hAnsi="Times New Roman"/>
          <w:sz w:val="24"/>
          <w:szCs w:val="24"/>
        </w:rPr>
        <w:t xml:space="preserve"> </w:t>
      </w:r>
    </w:p>
    <w:bookmarkEnd w:id="440"/>
    <w:p w14:paraId="4C25FA77" w14:textId="77777777" w:rsidR="00B96B6D" w:rsidRPr="008F6CF7" w:rsidRDefault="00B96B6D" w:rsidP="00B96B6D">
      <w:pPr>
        <w:spacing w:before="100" w:beforeAutospacing="1" w:after="100" w:afterAutospacing="1" w:line="240" w:lineRule="auto"/>
        <w:rPr>
          <w:rFonts w:ascii="Times New Roman" w:hAnsi="Times New Roman"/>
          <w:b/>
          <w:bCs/>
          <w:sz w:val="24"/>
          <w:szCs w:val="24"/>
        </w:rPr>
      </w:pPr>
      <w:r w:rsidRPr="008F6CF7">
        <w:rPr>
          <w:rFonts w:ascii="Times New Roman" w:hAnsi="Times New Roman"/>
          <w:b/>
          <w:bCs/>
          <w:sz w:val="24"/>
          <w:szCs w:val="24"/>
        </w:rPr>
        <w:t>Legal Lesson Learned:</w:t>
      </w:r>
      <w:r>
        <w:rPr>
          <w:rFonts w:ascii="Times New Roman" w:hAnsi="Times New Roman"/>
          <w:b/>
          <w:bCs/>
          <w:sz w:val="24"/>
          <w:szCs w:val="24"/>
        </w:rPr>
        <w:t xml:space="preserve"> The City corrected its initial mistake of terminating the </w:t>
      </w:r>
      <w:proofErr w:type="gramStart"/>
      <w:r>
        <w:rPr>
          <w:rFonts w:ascii="Times New Roman" w:hAnsi="Times New Roman"/>
          <w:b/>
          <w:bCs/>
          <w:sz w:val="24"/>
          <w:szCs w:val="24"/>
        </w:rPr>
        <w:t>Captain</w:t>
      </w:r>
      <w:proofErr w:type="gramEnd"/>
      <w:r>
        <w:rPr>
          <w:rFonts w:ascii="Times New Roman" w:hAnsi="Times New Roman"/>
          <w:b/>
          <w:bCs/>
          <w:sz w:val="24"/>
          <w:szCs w:val="24"/>
        </w:rPr>
        <w:t xml:space="preserve"> without </w:t>
      </w:r>
      <w:proofErr w:type="gramStart"/>
      <w:r>
        <w:rPr>
          <w:rFonts w:ascii="Times New Roman" w:hAnsi="Times New Roman"/>
          <w:b/>
          <w:bCs/>
          <w:sz w:val="24"/>
          <w:szCs w:val="24"/>
        </w:rPr>
        <w:t>a due</w:t>
      </w:r>
      <w:proofErr w:type="gramEnd"/>
      <w:r>
        <w:rPr>
          <w:rFonts w:ascii="Times New Roman" w:hAnsi="Times New Roman"/>
          <w:b/>
          <w:bCs/>
          <w:sz w:val="24"/>
          <w:szCs w:val="24"/>
        </w:rPr>
        <w:t xml:space="preserve"> process hearing; wisely then provided hearing before the Civil Service Commission.</w:t>
      </w:r>
    </w:p>
    <w:p w14:paraId="2CCE1DE6" w14:textId="77777777" w:rsidR="006E70F8" w:rsidRDefault="006E70F8" w:rsidP="002B1283">
      <w:pPr>
        <w:rPr>
          <w:rFonts w:ascii="Arial Black" w:hAnsi="Arial Black"/>
          <w:b/>
          <w:bCs/>
          <w:sz w:val="28"/>
          <w:szCs w:val="28"/>
        </w:rPr>
      </w:pPr>
    </w:p>
    <w:p w14:paraId="7F940AEA" w14:textId="77777777" w:rsidR="006E70F8" w:rsidRDefault="006E70F8" w:rsidP="002B1283">
      <w:pPr>
        <w:rPr>
          <w:rFonts w:ascii="Arial Black" w:hAnsi="Arial Black"/>
          <w:b/>
          <w:bCs/>
          <w:sz w:val="28"/>
          <w:szCs w:val="28"/>
        </w:rPr>
      </w:pPr>
    </w:p>
    <w:p w14:paraId="7938F716" w14:textId="7148593A" w:rsidR="00282AF3" w:rsidRDefault="006E70F8" w:rsidP="002B1283">
      <w:pPr>
        <w:rPr>
          <w:rFonts w:ascii="Arial Black" w:hAnsi="Arial Black"/>
          <w:b/>
          <w:bCs/>
          <w:sz w:val="28"/>
          <w:szCs w:val="28"/>
        </w:rPr>
      </w:pPr>
      <w:r>
        <w:rPr>
          <w:rFonts w:ascii="Arial Black" w:hAnsi="Arial Black"/>
          <w:b/>
          <w:bCs/>
          <w:sz w:val="28"/>
          <w:szCs w:val="28"/>
        </w:rPr>
        <w:t>13-121</w:t>
      </w:r>
    </w:p>
    <w:p w14:paraId="3E4C331A" w14:textId="77777777" w:rsidR="006E70F8" w:rsidRPr="00757ECB" w:rsidRDefault="006E70F8" w:rsidP="006E70F8">
      <w:pPr>
        <w:spacing w:before="100" w:beforeAutospacing="1" w:after="100" w:afterAutospacing="1" w:line="240" w:lineRule="auto"/>
        <w:rPr>
          <w:rFonts w:ascii="Arial Black" w:hAnsi="Arial Black"/>
          <w:sz w:val="28"/>
          <w:szCs w:val="28"/>
        </w:rPr>
      </w:pPr>
      <w:bookmarkStart w:id="441" w:name="_Hlk112723764"/>
      <w:r>
        <w:rPr>
          <w:rFonts w:ascii="Arial Black" w:hAnsi="Arial Black"/>
          <w:sz w:val="28"/>
          <w:szCs w:val="28"/>
        </w:rPr>
        <w:t>TX: STRETCHER - 94-YR-OLD PATIENT - FELL ONTO SLOPED DRIVEWAY - HEAD INJURY, DIED 8 DAYS – GOV. IMMUNITY</w:t>
      </w:r>
    </w:p>
    <w:p w14:paraId="0C514DA1" w14:textId="77777777" w:rsidR="006E70F8" w:rsidRDefault="006E70F8" w:rsidP="006E70F8">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Aug. 23, 2022, in </w:t>
      </w:r>
      <w:r w:rsidRPr="00D72934">
        <w:rPr>
          <w:rFonts w:ascii="Times New Roman" w:eastAsia="Times New Roman" w:hAnsi="Times New Roman"/>
          <w:sz w:val="24"/>
          <w:szCs w:val="24"/>
          <w:u w:val="single"/>
        </w:rPr>
        <w:t>City of Houston v. Kathy Denby</w:t>
      </w:r>
      <w:r>
        <w:rPr>
          <w:rFonts w:ascii="Times New Roman" w:eastAsia="Times New Roman" w:hAnsi="Times New Roman"/>
          <w:sz w:val="24"/>
          <w:szCs w:val="24"/>
        </w:rPr>
        <w:t xml:space="preserve">, Court of Appeals of Texas, First District, held (3 to 0) that the trial judge’s decision denying the City’s motion for summary judgment is reversed; </w:t>
      </w:r>
      <w:r w:rsidRPr="002F4B1C">
        <w:rPr>
          <w:rFonts w:ascii="Times New Roman" w:eastAsia="Times New Roman" w:hAnsi="Times New Roman"/>
          <w:sz w:val="24"/>
          <w:szCs w:val="24"/>
        </w:rPr>
        <w:t xml:space="preserve">the City </w:t>
      </w:r>
      <w:r w:rsidRPr="002F4B1C">
        <w:rPr>
          <w:rFonts w:ascii="Times New Roman" w:hAnsi="Times New Roman"/>
          <w:sz w:val="24"/>
          <w:szCs w:val="24"/>
        </w:rPr>
        <w:t>“here retains its immunity under the 9-1-1 Emergency Services exception to the TTCA [Texas Tort Claims Act.</w:t>
      </w:r>
      <w:r>
        <w:rPr>
          <w:rFonts w:ascii="Times New Roman" w:hAnsi="Times New Roman"/>
          <w:sz w:val="24"/>
          <w:szCs w:val="24"/>
        </w:rPr>
        <w:t xml:space="preserve"> *** </w:t>
      </w:r>
      <w:r w:rsidRPr="007D078B">
        <w:rPr>
          <w:rFonts w:ascii="Times New Roman" w:hAnsi="Times New Roman"/>
          <w:sz w:val="24"/>
          <w:szCs w:val="24"/>
        </w:rPr>
        <w:t>Moreover, even if we concluded that the EMTs acted in a way that breached the standard of ordinary care, we could not say section 773.009 was violated."</w:t>
      </w:r>
      <w:r>
        <w:rPr>
          <w:rFonts w:ascii="Times New Roman" w:hAnsi="Times New Roman"/>
          <w:sz w:val="24"/>
          <w:szCs w:val="24"/>
        </w:rPr>
        <w:t xml:space="preserve"> </w:t>
      </w:r>
      <w:r w:rsidRPr="002F4B1C">
        <w:rPr>
          <w:rFonts w:ascii="Times New Roman" w:hAnsi="Times New Roman"/>
          <w:sz w:val="24"/>
          <w:szCs w:val="24"/>
        </w:rPr>
        <w:t xml:space="preserve"> </w:t>
      </w:r>
      <w:hyperlink r:id="rId2257" w:history="1">
        <w:r w:rsidRPr="002F4B1C">
          <w:rPr>
            <w:rStyle w:val="Hyperlink"/>
            <w:rFonts w:ascii="Times New Roman" w:hAnsi="Times New Roman"/>
          </w:rPr>
          <w:t>https://law.justia.com/cases/texas/first-court-of-appeals/2022/01-21-00422-cv.html</w:t>
        </w:r>
      </w:hyperlink>
    </w:p>
    <w:bookmarkEnd w:id="441"/>
    <w:p w14:paraId="32316C9D" w14:textId="77777777" w:rsidR="006E70F8" w:rsidRPr="0062341B" w:rsidRDefault="006E70F8" w:rsidP="006E70F8">
      <w:pPr>
        <w:spacing w:before="100" w:beforeAutospacing="1" w:after="100" w:afterAutospacing="1" w:line="240" w:lineRule="auto"/>
        <w:rPr>
          <w:rFonts w:ascii="Times New Roman" w:eastAsia="Times New Roman" w:hAnsi="Times New Roman"/>
          <w:b/>
          <w:bCs/>
          <w:sz w:val="24"/>
          <w:szCs w:val="24"/>
        </w:rPr>
      </w:pPr>
      <w:r w:rsidRPr="007D078B">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City is protected from liability by the immunity statute; EMS must use extreme care when moving a patient on a stretcher down a sloped driveway.  </w:t>
      </w:r>
    </w:p>
    <w:p w14:paraId="21E88F21" w14:textId="77777777" w:rsidR="006E70F8" w:rsidRDefault="006E70F8" w:rsidP="002B1283">
      <w:pPr>
        <w:rPr>
          <w:rFonts w:ascii="Arial Black" w:hAnsi="Arial Black"/>
          <w:b/>
          <w:bCs/>
          <w:sz w:val="28"/>
          <w:szCs w:val="28"/>
        </w:rPr>
      </w:pPr>
    </w:p>
    <w:p w14:paraId="5E8E0FCE" w14:textId="78E3534E" w:rsidR="00282AF3" w:rsidRDefault="00282AF3" w:rsidP="002B1283">
      <w:pPr>
        <w:rPr>
          <w:rFonts w:ascii="Arial Black" w:hAnsi="Arial Black"/>
          <w:b/>
          <w:bCs/>
          <w:sz w:val="28"/>
          <w:szCs w:val="28"/>
        </w:rPr>
      </w:pPr>
      <w:r>
        <w:rPr>
          <w:rFonts w:ascii="Arial Black" w:hAnsi="Arial Black"/>
          <w:b/>
          <w:bCs/>
          <w:sz w:val="28"/>
          <w:szCs w:val="28"/>
        </w:rPr>
        <w:t>13-120</w:t>
      </w:r>
    </w:p>
    <w:p w14:paraId="45AF80E7" w14:textId="77777777" w:rsidR="00282AF3" w:rsidRPr="00DF7237" w:rsidRDefault="00282AF3" w:rsidP="00282AF3">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TN: FEMALE PATIENT – EMT ALLEGEDLY “STROKED HER RING UP AND DOWN” ASKED MARRIED – CASE DISMISSED</w:t>
      </w:r>
    </w:p>
    <w:p w14:paraId="78F0EE3D" w14:textId="77777777" w:rsidR="00282AF3" w:rsidRDefault="00282AF3" w:rsidP="00282AF3">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Aug. 22, 2022, in </w:t>
      </w:r>
      <w:r w:rsidRPr="00A95147">
        <w:rPr>
          <w:rFonts w:ascii="Times New Roman" w:hAnsi="Times New Roman"/>
          <w:sz w:val="24"/>
          <w:szCs w:val="24"/>
          <w:u w:val="single"/>
        </w:rPr>
        <w:t xml:space="preserve">Myca Holloway v. Memphis Fire Department and </w:t>
      </w:r>
      <w:proofErr w:type="spellStart"/>
      <w:r w:rsidRPr="00A95147">
        <w:rPr>
          <w:rFonts w:ascii="Times New Roman" w:hAnsi="Times New Roman"/>
          <w:sz w:val="24"/>
          <w:szCs w:val="24"/>
          <w:u w:val="single"/>
        </w:rPr>
        <w:t>Roddi</w:t>
      </w:r>
      <w:proofErr w:type="spellEnd"/>
      <w:r w:rsidRPr="00A95147">
        <w:rPr>
          <w:rFonts w:ascii="Times New Roman" w:hAnsi="Times New Roman"/>
          <w:sz w:val="24"/>
          <w:szCs w:val="24"/>
          <w:u w:val="single"/>
        </w:rPr>
        <w:t xml:space="preserve"> Hugard</w:t>
      </w:r>
      <w:r>
        <w:rPr>
          <w:rFonts w:ascii="Times New Roman" w:hAnsi="Times New Roman"/>
          <w:sz w:val="24"/>
          <w:szCs w:val="24"/>
        </w:rPr>
        <w:t xml:space="preserve">, U.S. District Judge John T. Fowles, Jr., U.S. District Court for Western District of Tennessee [Western Division] held that lawsuit is dismissed with prejudice. </w:t>
      </w:r>
    </w:p>
    <w:p w14:paraId="4DF08F93" w14:textId="77777777" w:rsidR="00282AF3" w:rsidRDefault="00282AF3" w:rsidP="00282AF3">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lastRenderedPageBreak/>
        <w:t>“</w:t>
      </w:r>
      <w:r w:rsidRPr="009C356B">
        <w:rPr>
          <w:rFonts w:ascii="Times New Roman" w:eastAsia="Times New Roman" w:hAnsi="Times New Roman"/>
          <w:sz w:val="24"/>
          <w:szCs w:val="24"/>
        </w:rPr>
        <w:t xml:space="preserve">On December 27, 2021, the Magistrate Judge entered an order granting Plaintiff leave to proceed </w:t>
      </w:r>
      <w:r w:rsidRPr="009C356B">
        <w:rPr>
          <w:rFonts w:ascii="Times New Roman" w:eastAsia="Times New Roman" w:hAnsi="Times New Roman"/>
          <w:i/>
          <w:iCs/>
          <w:sz w:val="24"/>
          <w:szCs w:val="24"/>
        </w:rPr>
        <w:t>in forma pauperis</w:t>
      </w:r>
      <w:r w:rsidRPr="009C356B">
        <w:rPr>
          <w:rFonts w:ascii="Times New Roman" w:eastAsia="Times New Roman" w:hAnsi="Times New Roman"/>
          <w:sz w:val="24"/>
          <w:szCs w:val="24"/>
        </w:rPr>
        <w:t xml:space="preserve"> and a report and recommendation that the § 1983 action should be dismissed with prejudice for failure to state a claim for which relief may be granted</w:t>
      </w:r>
      <w:r>
        <w:rPr>
          <w:rFonts w:ascii="Times New Roman" w:eastAsia="Times New Roman" w:hAnsi="Times New Roman"/>
          <w:sz w:val="24"/>
          <w:szCs w:val="24"/>
        </w:rPr>
        <w:t xml:space="preserve">…. </w:t>
      </w:r>
      <w:r w:rsidRPr="009C356B">
        <w:rPr>
          <w:rFonts w:ascii="Times New Roman" w:eastAsia="Times New Roman" w:hAnsi="Times New Roman"/>
          <w:sz w:val="24"/>
          <w:szCs w:val="24"/>
        </w:rPr>
        <w:t xml:space="preserve">The Magistrate Judge noted that Holloway alleged that </w:t>
      </w:r>
      <w:proofErr w:type="spellStart"/>
      <w:r w:rsidRPr="009C356B">
        <w:rPr>
          <w:rFonts w:ascii="Times New Roman" w:eastAsia="Times New Roman" w:hAnsi="Times New Roman"/>
          <w:sz w:val="24"/>
          <w:szCs w:val="24"/>
        </w:rPr>
        <w:t>Hugard</w:t>
      </w:r>
      <w:proofErr w:type="spellEnd"/>
      <w:r w:rsidRPr="009C356B">
        <w:rPr>
          <w:rFonts w:ascii="Times New Roman" w:eastAsia="Times New Roman" w:hAnsi="Times New Roman"/>
          <w:sz w:val="24"/>
          <w:szCs w:val="24"/>
        </w:rPr>
        <w:t xml:space="preserve"> grabbed her left hand with his blue latex glove, stroked her ring up and down, and inquired about her marital status.</w:t>
      </w:r>
    </w:p>
    <w:p w14:paraId="20C0C628" w14:textId="77777777" w:rsidR="00282AF3" w:rsidRDefault="00282AF3" w:rsidP="00282AF3">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1E7EB883" w14:textId="77777777" w:rsidR="00282AF3" w:rsidRDefault="00282AF3" w:rsidP="00282AF3">
      <w:pPr>
        <w:spacing w:before="100" w:beforeAutospacing="1" w:after="100" w:afterAutospacing="1" w:line="240" w:lineRule="auto"/>
        <w:ind w:left="720"/>
        <w:rPr>
          <w:rFonts w:ascii="Times New Roman" w:hAnsi="Times New Roman"/>
          <w:sz w:val="24"/>
          <w:szCs w:val="24"/>
        </w:rPr>
      </w:pPr>
      <w:r w:rsidRPr="009C356B">
        <w:rPr>
          <w:rFonts w:ascii="Times New Roman" w:hAnsi="Times New Roman"/>
          <w:sz w:val="24"/>
          <w:szCs w:val="24"/>
        </w:rPr>
        <w:t xml:space="preserve">A plaintiff must allege (1) a deprivation of a right or rights secured by the Constitution and laws of the United States (2) that were committed by a defendant acting under color of state law. In the report and recommendation, the Magistrate Judge determined that Holloway specifically failed to state what actions were committed by the Memphis Fire Department or Firefighter </w:t>
      </w:r>
      <w:proofErr w:type="spellStart"/>
      <w:r w:rsidRPr="009C356B">
        <w:rPr>
          <w:rFonts w:ascii="Times New Roman" w:hAnsi="Times New Roman"/>
          <w:sz w:val="24"/>
          <w:szCs w:val="24"/>
        </w:rPr>
        <w:t>Roddi</w:t>
      </w:r>
      <w:proofErr w:type="spellEnd"/>
      <w:r w:rsidRPr="009C356B">
        <w:rPr>
          <w:rFonts w:ascii="Times New Roman" w:hAnsi="Times New Roman"/>
          <w:sz w:val="24"/>
          <w:szCs w:val="24"/>
        </w:rPr>
        <w:t xml:space="preserve"> </w:t>
      </w:r>
      <w:proofErr w:type="spellStart"/>
      <w:r w:rsidRPr="009C356B">
        <w:rPr>
          <w:rFonts w:ascii="Times New Roman" w:hAnsi="Times New Roman"/>
          <w:sz w:val="24"/>
          <w:szCs w:val="24"/>
        </w:rPr>
        <w:t>Hugard</w:t>
      </w:r>
      <w:proofErr w:type="spellEnd"/>
      <w:r w:rsidRPr="009C356B">
        <w:rPr>
          <w:rFonts w:ascii="Times New Roman" w:hAnsi="Times New Roman"/>
          <w:sz w:val="24"/>
          <w:szCs w:val="24"/>
        </w:rPr>
        <w:t xml:space="preserve"> that deprived her of her Constitutional rights.</w:t>
      </w:r>
      <w:r>
        <w:rPr>
          <w:rFonts w:ascii="Times New Roman" w:hAnsi="Times New Roman"/>
          <w:sz w:val="24"/>
          <w:szCs w:val="24"/>
        </w:rPr>
        <w:t xml:space="preserve">” </w:t>
      </w:r>
      <w:hyperlink r:id="rId2258" w:history="1">
        <w:r w:rsidRPr="002B54F8">
          <w:rPr>
            <w:rStyle w:val="Hyperlink"/>
            <w:rFonts w:ascii="Times New Roman" w:hAnsi="Times New Roman"/>
          </w:rPr>
          <w:t>https://public.fastcase.com/J%2FJP6pdidelsXxEE4k%2BLMlnZT9Hwtbb0RSX5AXtKQie%2FaJxcYuONay3v%2BauGycaLZPl2uZFZiVR3n7gLzEpChzWsXN2J3yktMkRz%2BOu%2BxAQ%3D</w:t>
        </w:r>
      </w:hyperlink>
      <w:r>
        <w:rPr>
          <w:rFonts w:ascii="Times New Roman" w:hAnsi="Times New Roman"/>
          <w:sz w:val="24"/>
          <w:szCs w:val="24"/>
        </w:rPr>
        <w:t xml:space="preserve"> </w:t>
      </w:r>
    </w:p>
    <w:p w14:paraId="5E01735F" w14:textId="4B26FEEF" w:rsidR="00282AF3" w:rsidRPr="006E70F8" w:rsidRDefault="00282AF3" w:rsidP="00282AF3">
      <w:pPr>
        <w:spacing w:before="100" w:beforeAutospacing="1" w:after="100" w:afterAutospacing="1" w:line="240" w:lineRule="auto"/>
        <w:rPr>
          <w:rFonts w:ascii="Times New Roman" w:eastAsia="Times New Roman" w:hAnsi="Times New Roman"/>
          <w:b/>
          <w:bCs/>
          <w:sz w:val="24"/>
          <w:szCs w:val="24"/>
        </w:rPr>
      </w:pPr>
      <w:bookmarkStart w:id="442" w:name="_Hlk112723729"/>
      <w:r w:rsidRPr="00757ECB">
        <w:rPr>
          <w:rFonts w:ascii="Times New Roman" w:eastAsia="Times New Roman" w:hAnsi="Times New Roman"/>
          <w:b/>
          <w:bCs/>
          <w:sz w:val="24"/>
          <w:szCs w:val="24"/>
        </w:rPr>
        <w:t xml:space="preserve">Legal Lesson Learned: </w:t>
      </w:r>
      <w:r w:rsidRPr="006E70F8">
        <w:rPr>
          <w:rFonts w:ascii="Times New Roman" w:eastAsia="Times New Roman" w:hAnsi="Times New Roman"/>
          <w:b/>
          <w:bCs/>
          <w:sz w:val="24"/>
          <w:szCs w:val="24"/>
        </w:rPr>
        <w:t xml:space="preserve">Strange case by </w:t>
      </w:r>
      <w:r w:rsidRPr="006E70F8">
        <w:rPr>
          <w:rFonts w:ascii="Times New Roman" w:eastAsia="Times New Roman" w:hAnsi="Times New Roman"/>
          <w:b/>
          <w:bCs/>
          <w:i/>
          <w:iCs/>
          <w:sz w:val="24"/>
          <w:szCs w:val="24"/>
        </w:rPr>
        <w:t xml:space="preserve">in </w:t>
      </w:r>
      <w:proofErr w:type="gramStart"/>
      <w:r w:rsidRPr="006E70F8">
        <w:rPr>
          <w:rFonts w:ascii="Times New Roman" w:eastAsia="Times New Roman" w:hAnsi="Times New Roman"/>
          <w:b/>
          <w:bCs/>
          <w:i/>
          <w:iCs/>
          <w:sz w:val="24"/>
          <w:szCs w:val="24"/>
        </w:rPr>
        <w:t>forma</w:t>
      </w:r>
      <w:proofErr w:type="gramEnd"/>
      <w:r w:rsidRPr="006E70F8">
        <w:rPr>
          <w:rFonts w:ascii="Times New Roman" w:eastAsia="Times New Roman" w:hAnsi="Times New Roman"/>
          <w:b/>
          <w:bCs/>
          <w:i/>
          <w:iCs/>
          <w:sz w:val="24"/>
          <w:szCs w:val="24"/>
        </w:rPr>
        <w:t xml:space="preserve"> pauperis</w:t>
      </w:r>
      <w:r w:rsidRPr="006E70F8">
        <w:rPr>
          <w:rFonts w:ascii="Times New Roman" w:eastAsia="Times New Roman" w:hAnsi="Times New Roman"/>
          <w:b/>
          <w:bCs/>
          <w:sz w:val="24"/>
          <w:szCs w:val="24"/>
        </w:rPr>
        <w:t xml:space="preserve"> [no money] patient with no money</w:t>
      </w:r>
      <w:r w:rsidR="006E70F8">
        <w:rPr>
          <w:rFonts w:ascii="Times New Roman" w:eastAsia="Times New Roman" w:hAnsi="Times New Roman"/>
          <w:b/>
          <w:bCs/>
          <w:sz w:val="24"/>
          <w:szCs w:val="24"/>
        </w:rPr>
        <w:t xml:space="preserve">. </w:t>
      </w:r>
      <w:r w:rsidRPr="006E70F8">
        <w:rPr>
          <w:rFonts w:ascii="Times New Roman" w:eastAsia="Times New Roman" w:hAnsi="Times New Roman"/>
          <w:b/>
          <w:bCs/>
          <w:sz w:val="24"/>
          <w:szCs w:val="24"/>
        </w:rPr>
        <w:t xml:space="preserve"> </w:t>
      </w:r>
    </w:p>
    <w:bookmarkEnd w:id="442"/>
    <w:p w14:paraId="43FFC182" w14:textId="77777777" w:rsidR="00282AF3" w:rsidRDefault="00282AF3" w:rsidP="002B1283">
      <w:pPr>
        <w:rPr>
          <w:rFonts w:ascii="Arial Black" w:hAnsi="Arial Black"/>
          <w:b/>
          <w:bCs/>
          <w:sz w:val="28"/>
          <w:szCs w:val="28"/>
        </w:rPr>
      </w:pPr>
    </w:p>
    <w:p w14:paraId="4AACD2B6" w14:textId="77777777" w:rsidR="00282AF3" w:rsidRDefault="00282AF3" w:rsidP="002B1283">
      <w:pPr>
        <w:rPr>
          <w:rFonts w:ascii="Arial Black" w:hAnsi="Arial Black"/>
          <w:b/>
          <w:bCs/>
          <w:sz w:val="28"/>
          <w:szCs w:val="28"/>
        </w:rPr>
      </w:pPr>
    </w:p>
    <w:p w14:paraId="6B72B646" w14:textId="0B01447B" w:rsidR="007051EE" w:rsidRDefault="007051EE" w:rsidP="002B1283">
      <w:pPr>
        <w:rPr>
          <w:rFonts w:ascii="Arial Black" w:hAnsi="Arial Black"/>
          <w:b/>
          <w:bCs/>
          <w:sz w:val="28"/>
          <w:szCs w:val="28"/>
        </w:rPr>
      </w:pPr>
      <w:r>
        <w:rPr>
          <w:rFonts w:ascii="Arial Black" w:hAnsi="Arial Black"/>
          <w:b/>
          <w:bCs/>
          <w:sz w:val="28"/>
          <w:szCs w:val="28"/>
        </w:rPr>
        <w:t>13-119</w:t>
      </w:r>
    </w:p>
    <w:p w14:paraId="61381B83" w14:textId="77777777" w:rsidR="007051EE" w:rsidRDefault="007051EE" w:rsidP="007051EE">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MN: MEDIC FIRED AFTER ER DOC REPORTED MISCONDUCT - NO MALICE BY MD – NO CASE – “VEXATIOUS LITIGANT”</w:t>
      </w:r>
    </w:p>
    <w:p w14:paraId="408450B9" w14:textId="77777777" w:rsidR="007051EE" w:rsidRPr="00133C50" w:rsidRDefault="007051EE" w:rsidP="007051EE">
      <w:pPr>
        <w:pStyle w:val="NormalWeb"/>
      </w:pPr>
      <w:r w:rsidRPr="00721460">
        <w:t xml:space="preserve">On </w:t>
      </w:r>
      <w:r>
        <w:t xml:space="preserve">July 26, 2022, in </w:t>
      </w:r>
      <w:r w:rsidRPr="00721460">
        <w:rPr>
          <w:u w:val="single"/>
        </w:rPr>
        <w:t>Peter Grigg v. Andy Coil</w:t>
      </w:r>
      <w:r>
        <w:t xml:space="preserve">, the Montana Supreme Court held (5 to 0), that lawsuit by Peter Grigg, who was fired by Eagle EMS after being informed of his misconduct by Dr. Andy Coil, emergency room physician, was properly dismissed. The lawsuit alleges: “[Dr.] Coil verbally abused, harassed, and threatened him in front of emergency room patients, family, and staff, as well as in Grigg's ambulance, and continued to harass and threaten him ‘throughout the month of May 2020.’ Grigg's Affidavit claimed he filed incident reports with [Doctor Coil’s] employer, St. Peter's Healthcare, and the Montana Board of Medical Examiners, to which [Dr.] Coil ‘retaliated by placing tort on my employer,’ causing Grigg to be terminated by his employer on June 2, 2020.” </w:t>
      </w:r>
      <w:hyperlink r:id="rId2259" w:history="1">
        <w:r w:rsidRPr="00001EDA">
          <w:rPr>
            <w:rStyle w:val="Hyperlink"/>
            <w:rFonts w:eastAsiaTheme="majorEastAsia"/>
          </w:rPr>
          <w:t>https://juddocumentservice.mt.gov/getDocByCTrackId?DocId=398159</w:t>
        </w:r>
      </w:hyperlink>
      <w:r>
        <w:t xml:space="preserve"> </w:t>
      </w:r>
    </w:p>
    <w:p w14:paraId="32B5E8F7" w14:textId="77777777" w:rsidR="007051EE" w:rsidRDefault="007051EE" w:rsidP="007051EE">
      <w:pPr>
        <w:spacing w:before="100" w:beforeAutospacing="1" w:after="100" w:afterAutospacing="1" w:line="240" w:lineRule="auto"/>
        <w:rPr>
          <w:rFonts w:ascii="Times New Roman" w:hAnsi="Times New Roman"/>
          <w:b/>
          <w:bCs/>
          <w:sz w:val="24"/>
          <w:szCs w:val="24"/>
        </w:rPr>
      </w:pPr>
      <w:r w:rsidRPr="00A75068">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 Plaintiff is fortunate that in American legal system, “pro se” plaintiffs are not normally help liable for filing a meritless case.  </w:t>
      </w:r>
    </w:p>
    <w:p w14:paraId="7DE1F9C6" w14:textId="77777777" w:rsidR="007051EE" w:rsidRDefault="007051EE" w:rsidP="002B1283">
      <w:pPr>
        <w:rPr>
          <w:rFonts w:ascii="Arial Black" w:hAnsi="Arial Black"/>
          <w:b/>
          <w:bCs/>
          <w:sz w:val="28"/>
          <w:szCs w:val="28"/>
        </w:rPr>
      </w:pPr>
    </w:p>
    <w:p w14:paraId="45ECB022" w14:textId="77777777" w:rsidR="007051EE" w:rsidRDefault="007051EE" w:rsidP="002B1283">
      <w:pPr>
        <w:rPr>
          <w:rFonts w:ascii="Arial Black" w:hAnsi="Arial Black"/>
          <w:b/>
          <w:bCs/>
          <w:sz w:val="28"/>
          <w:szCs w:val="28"/>
        </w:rPr>
      </w:pPr>
    </w:p>
    <w:p w14:paraId="10C99247" w14:textId="77777777" w:rsidR="007051EE" w:rsidRDefault="007051EE" w:rsidP="002B1283">
      <w:pPr>
        <w:rPr>
          <w:rFonts w:ascii="Arial Black" w:hAnsi="Arial Black"/>
          <w:b/>
          <w:bCs/>
          <w:sz w:val="28"/>
          <w:szCs w:val="28"/>
        </w:rPr>
      </w:pPr>
    </w:p>
    <w:p w14:paraId="4634C33D" w14:textId="242DEC28" w:rsidR="00240D3F" w:rsidRDefault="00240D3F" w:rsidP="002B1283">
      <w:pPr>
        <w:rPr>
          <w:rFonts w:ascii="Arial Black" w:hAnsi="Arial Black"/>
          <w:b/>
          <w:bCs/>
          <w:sz w:val="28"/>
          <w:szCs w:val="28"/>
        </w:rPr>
      </w:pPr>
      <w:r>
        <w:rPr>
          <w:rFonts w:ascii="Arial Black" w:hAnsi="Arial Black"/>
          <w:b/>
          <w:bCs/>
          <w:sz w:val="28"/>
          <w:szCs w:val="28"/>
        </w:rPr>
        <w:t>13-118</w:t>
      </w:r>
    </w:p>
    <w:p w14:paraId="71531BF1" w14:textId="77777777" w:rsidR="00240D3F" w:rsidRPr="00C847A3" w:rsidRDefault="00240D3F" w:rsidP="00240D3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lastRenderedPageBreak/>
        <w:t>OH: MOTORCYCLE ACCIDENT – PATIENT FLOWN LEVEL 1 TRAUMA - NOT DRIVEN LEVEL III – FOLLOWED PROTOCOL</w:t>
      </w:r>
    </w:p>
    <w:p w14:paraId="1C63D1C8" w14:textId="77777777" w:rsidR="00240D3F" w:rsidRPr="0044296F" w:rsidRDefault="00240D3F" w:rsidP="00240D3F">
      <w:pPr>
        <w:pStyle w:val="NormalWeb"/>
      </w:pPr>
      <w:r>
        <w:t xml:space="preserve">On July 22, 2022, in </w:t>
      </w:r>
      <w:r w:rsidRPr="00BB5BE6">
        <w:rPr>
          <w:u w:val="single"/>
        </w:rPr>
        <w:t>Cynthia Tillman, Administrator of the Estate of Eric P. Tillman v. Kelly M. Mantz, et al.,</w:t>
      </w:r>
      <w:r>
        <w:t xml:space="preserve"> the Court of Appeals of Ohio, Sixth District (Erie), 2022-Ohio-2527, held 3 to 0 that the trial court properly granted summary judgment to the EMS personnel and </w:t>
      </w:r>
      <w:r w:rsidRPr="00526CF3">
        <w:t>to North Central EMS (NCEMS)</w:t>
      </w:r>
      <w:r>
        <w:t xml:space="preserve">.  The plaintiff in this case, was flown by a Life Flight ambulance to Level III trauma center in Toledo and survived.  Eric Tillman was flown by second Life Flight ambulance to the trauma center where he died. The plaintiff’s lawsuit includes affidavit </w:t>
      </w:r>
      <w:r w:rsidRPr="00F4263B">
        <w:rPr>
          <w:rStyle w:val="markedcontent"/>
        </w:rPr>
        <w:t>of Jeff Durgin,</w:t>
      </w:r>
      <w:r>
        <w:rPr>
          <w:rStyle w:val="markedcontent"/>
        </w:rPr>
        <w:t xml:space="preserve"> </w:t>
      </w:r>
      <w:r w:rsidRPr="00F4263B">
        <w:rPr>
          <w:rStyle w:val="markedcontent"/>
        </w:rPr>
        <w:t>M.D</w:t>
      </w:r>
      <w:r>
        <w:rPr>
          <w:rStyle w:val="markedcontent"/>
        </w:rPr>
        <w:t>, who criticized EMS for not transporting Eric Tillman by ambulance to a Level I trauma center 15 minutes away, and for not taking vitals every 15 minutes prior to transport. [EMS run report showed one set of vitals taken: 5</w:t>
      </w:r>
      <w:r w:rsidRPr="00E5099E">
        <w:rPr>
          <w:rStyle w:val="markedcontent"/>
        </w:rPr>
        <w:t>:25 p.m</w:t>
      </w:r>
      <w:r>
        <w:rPr>
          <w:rStyle w:val="markedcontent"/>
        </w:rPr>
        <w:t xml:space="preserve">. at scene; </w:t>
      </w:r>
      <w:r w:rsidRPr="00E5099E">
        <w:rPr>
          <w:rStyle w:val="markedcontent"/>
        </w:rPr>
        <w:t xml:space="preserve">two IVs </w:t>
      </w:r>
      <w:r>
        <w:rPr>
          <w:rStyle w:val="markedcontent"/>
        </w:rPr>
        <w:t xml:space="preserve">started </w:t>
      </w:r>
      <w:r w:rsidRPr="00E5099E">
        <w:rPr>
          <w:rStyle w:val="markedcontent"/>
        </w:rPr>
        <w:t>at 5:30 p.m</w:t>
      </w:r>
      <w:r>
        <w:rPr>
          <w:rStyle w:val="markedcontent"/>
        </w:rPr>
        <w:t xml:space="preserve">.; set of </w:t>
      </w:r>
      <w:r w:rsidRPr="00E5099E">
        <w:rPr>
          <w:rStyle w:val="markedcontent"/>
        </w:rPr>
        <w:t xml:space="preserve">vitals </w:t>
      </w:r>
      <w:r>
        <w:rPr>
          <w:rStyle w:val="markedcontent"/>
        </w:rPr>
        <w:t xml:space="preserve">recorded </w:t>
      </w:r>
      <w:r w:rsidRPr="00E5099E">
        <w:rPr>
          <w:rStyle w:val="markedcontent"/>
        </w:rPr>
        <w:t>5:34</w:t>
      </w:r>
      <w:r>
        <w:rPr>
          <w:rStyle w:val="markedcontent"/>
        </w:rPr>
        <w:t xml:space="preserve"> </w:t>
      </w:r>
      <w:r w:rsidRPr="00E5099E">
        <w:rPr>
          <w:rStyle w:val="markedcontent"/>
        </w:rPr>
        <w:t>p.m.</w:t>
      </w:r>
      <w:r>
        <w:rPr>
          <w:rStyle w:val="markedcontent"/>
        </w:rPr>
        <w:t xml:space="preserve">; transferred care to Life Flight </w:t>
      </w:r>
      <w:r w:rsidRPr="00E5099E">
        <w:rPr>
          <w:rStyle w:val="markedcontent"/>
        </w:rPr>
        <w:t>5:56 p.m.].</w:t>
      </w:r>
      <w:r>
        <w:rPr>
          <w:rStyle w:val="markedcontent"/>
        </w:rPr>
        <w:t xml:space="preserve"> </w:t>
      </w:r>
      <w:hyperlink r:id="rId2260" w:history="1">
        <w:r w:rsidRPr="00355029">
          <w:rPr>
            <w:rStyle w:val="Hyperlink"/>
            <w:rFonts w:eastAsiaTheme="majorEastAsia"/>
          </w:rPr>
          <w:t>http://lcapps.co.lucas.oh.us/Courts/Appeals/DecisionsPDF/10196.pdf</w:t>
        </w:r>
      </w:hyperlink>
      <w:r>
        <w:rPr>
          <w:rStyle w:val="markedcontent"/>
        </w:rPr>
        <w:t xml:space="preserve"> </w:t>
      </w:r>
    </w:p>
    <w:p w14:paraId="371E9975" w14:textId="77777777" w:rsidR="00240D3F" w:rsidRDefault="00240D3F" w:rsidP="00240D3F">
      <w:pPr>
        <w:spacing w:before="100" w:beforeAutospacing="1" w:after="100" w:afterAutospacing="1" w:line="240" w:lineRule="auto"/>
        <w:rPr>
          <w:rFonts w:ascii="Times New Roman" w:hAnsi="Times New Roman"/>
          <w:b/>
          <w:bCs/>
          <w:sz w:val="24"/>
          <w:szCs w:val="24"/>
        </w:rPr>
      </w:pPr>
      <w:r w:rsidRPr="00E91EB2">
        <w:rPr>
          <w:rFonts w:ascii="Times New Roman" w:hAnsi="Times New Roman"/>
          <w:b/>
          <w:bCs/>
          <w:sz w:val="24"/>
          <w:szCs w:val="24"/>
        </w:rPr>
        <w:t>Legal Lesson Learned:</w:t>
      </w:r>
      <w:r>
        <w:rPr>
          <w:rFonts w:ascii="Times New Roman" w:hAnsi="Times New Roman"/>
          <w:b/>
          <w:bCs/>
          <w:sz w:val="24"/>
          <w:szCs w:val="24"/>
        </w:rPr>
        <w:t xml:space="preserve"> Helpful decision on EMS following trauma protocol.</w:t>
      </w:r>
    </w:p>
    <w:p w14:paraId="2BF1E583" w14:textId="77777777" w:rsidR="00240D3F" w:rsidRPr="00615A59" w:rsidRDefault="00240D3F" w:rsidP="00240D3F">
      <w:pPr>
        <w:spacing w:before="100" w:beforeAutospacing="1" w:after="100" w:afterAutospacing="1" w:line="240" w:lineRule="auto"/>
        <w:rPr>
          <w:rFonts w:ascii="Times New Roman" w:hAnsi="Times New Roman"/>
          <w:sz w:val="24"/>
          <w:szCs w:val="24"/>
        </w:rPr>
      </w:pPr>
      <w:r>
        <w:rPr>
          <w:rFonts w:ascii="Times New Roman" w:hAnsi="Times New Roman"/>
          <w:b/>
          <w:bCs/>
          <w:sz w:val="24"/>
          <w:szCs w:val="24"/>
        </w:rPr>
        <w:tab/>
      </w:r>
      <w:r w:rsidRPr="00615A59">
        <w:rPr>
          <w:rFonts w:ascii="Times New Roman" w:hAnsi="Times New Roman"/>
          <w:sz w:val="24"/>
          <w:szCs w:val="24"/>
        </w:rPr>
        <w:t>Note: See helpful resources on Ohio trauma protocol.</w:t>
      </w:r>
    </w:p>
    <w:p w14:paraId="79FE9B6B" w14:textId="77777777" w:rsidR="00240D3F" w:rsidRPr="00615A59" w:rsidRDefault="00240D3F" w:rsidP="00240D3F">
      <w:pPr>
        <w:pStyle w:val="Heading3"/>
        <w:ind w:left="1440"/>
        <w:rPr>
          <w:rFonts w:ascii="Times New Roman" w:hAnsi="Times New Roman" w:cs="Times New Roman"/>
          <w:color w:val="auto"/>
        </w:rPr>
      </w:pPr>
      <w:r>
        <w:rPr>
          <w:rFonts w:ascii="Times New Roman" w:hAnsi="Times New Roman" w:cs="Times New Roman"/>
          <w:color w:val="auto"/>
        </w:rPr>
        <w:t>“</w:t>
      </w:r>
      <w:r w:rsidRPr="004B5A02">
        <w:rPr>
          <w:rFonts w:ascii="Times New Roman" w:hAnsi="Times New Roman" w:cs="Times New Roman"/>
          <w:color w:val="auto"/>
        </w:rPr>
        <w:t>Trauma System Overview</w:t>
      </w:r>
      <w:r>
        <w:rPr>
          <w:rFonts w:ascii="Times New Roman" w:hAnsi="Times New Roman" w:cs="Times New Roman"/>
          <w:color w:val="auto"/>
        </w:rPr>
        <w:t xml:space="preserve">.” </w:t>
      </w:r>
      <w:r>
        <w:rPr>
          <w:rFonts w:ascii="Times New Roman" w:hAnsi="Times New Roman" w:cs="Times New Roman"/>
          <w:b/>
          <w:bCs/>
          <w:color w:val="auto"/>
        </w:rPr>
        <w:t xml:space="preserve"> </w:t>
      </w:r>
      <w:hyperlink r:id="rId2261" w:anchor="gsc.tab=0" w:history="1">
        <w:r w:rsidRPr="00615A59">
          <w:rPr>
            <w:rStyle w:val="Hyperlink"/>
            <w:rFonts w:ascii="Times New Roman" w:hAnsi="Times New Roman" w:cs="Times New Roman"/>
          </w:rPr>
          <w:t>https://www.ems.ohio.gov/trauma-system.aspx#gsc.tab=0</w:t>
        </w:r>
      </w:hyperlink>
      <w:r w:rsidRPr="00615A59">
        <w:rPr>
          <w:rFonts w:ascii="Times New Roman" w:hAnsi="Times New Roman" w:cs="Times New Roman"/>
          <w:color w:val="auto"/>
        </w:rPr>
        <w:t xml:space="preserve"> </w:t>
      </w:r>
    </w:p>
    <w:p w14:paraId="379D46FE" w14:textId="77777777" w:rsidR="00240D3F" w:rsidRDefault="00240D3F" w:rsidP="00240D3F">
      <w:pPr>
        <w:pStyle w:val="NormalWeb"/>
        <w:ind w:left="1440"/>
      </w:pPr>
      <w:r>
        <w:t xml:space="preserve">“The Ohio Trauma System is designed to get severely injured patients to the ‘right hospital, in the right manner, in the right amount of time.’ These three factors increase the patient’s chances of survival while minimizing chances of suffering severe disabilities and death. Trauma is </w:t>
      </w:r>
      <w:r>
        <w:rPr>
          <w:u w:val="single"/>
        </w:rPr>
        <w:t>the</w:t>
      </w:r>
      <w:r>
        <w:t xml:space="preserve"> leading cause of death for people between the ages of 1 and 44 years and is a leading cause of death and disability among all age groups. Research studies of other state trauma systems have shown a person’s chances of dying or suffering a severe disability drop sharply if they are injured in a state with an organized trauma system like the Ohio Trauma System.”</w:t>
      </w:r>
    </w:p>
    <w:p w14:paraId="772F5476" w14:textId="77777777" w:rsidR="00240D3F" w:rsidRDefault="00240D3F" w:rsidP="002B1283">
      <w:pPr>
        <w:rPr>
          <w:rFonts w:ascii="Arial Black" w:hAnsi="Arial Black"/>
          <w:b/>
          <w:bCs/>
          <w:sz w:val="28"/>
          <w:szCs w:val="28"/>
        </w:rPr>
      </w:pPr>
    </w:p>
    <w:p w14:paraId="44678697" w14:textId="77777777" w:rsidR="00240D3F" w:rsidRDefault="00240D3F" w:rsidP="002B1283">
      <w:pPr>
        <w:rPr>
          <w:rFonts w:ascii="Arial Black" w:hAnsi="Arial Black"/>
          <w:b/>
          <w:bCs/>
          <w:sz w:val="28"/>
          <w:szCs w:val="28"/>
        </w:rPr>
      </w:pPr>
    </w:p>
    <w:p w14:paraId="1CDAC8FB" w14:textId="7132C975" w:rsidR="00240D3F" w:rsidRDefault="00240D3F" w:rsidP="002B1283">
      <w:pPr>
        <w:rPr>
          <w:rFonts w:ascii="Arial Black" w:hAnsi="Arial Black"/>
          <w:b/>
          <w:bCs/>
          <w:sz w:val="28"/>
          <w:szCs w:val="28"/>
        </w:rPr>
      </w:pPr>
      <w:r>
        <w:rPr>
          <w:rFonts w:ascii="Arial Black" w:hAnsi="Arial Black"/>
          <w:b/>
          <w:bCs/>
          <w:sz w:val="28"/>
          <w:szCs w:val="28"/>
        </w:rPr>
        <w:t>13-117</w:t>
      </w:r>
    </w:p>
    <w:p w14:paraId="548F6621" w14:textId="77777777" w:rsidR="00240D3F" w:rsidRPr="0088768E" w:rsidRDefault="00240D3F" w:rsidP="00240D3F">
      <w:pPr>
        <w:spacing w:before="100" w:beforeAutospacing="1" w:after="100" w:afterAutospacing="1" w:line="240" w:lineRule="auto"/>
        <w:rPr>
          <w:rFonts w:ascii="Arial Black" w:hAnsi="Arial Black"/>
          <w:sz w:val="28"/>
          <w:szCs w:val="28"/>
        </w:rPr>
      </w:pPr>
      <w:r>
        <w:rPr>
          <w:rFonts w:ascii="Arial Black" w:hAnsi="Arial Black"/>
          <w:sz w:val="28"/>
          <w:szCs w:val="28"/>
        </w:rPr>
        <w:t>MI: CARDIAC - MONITOR CALLED FOR CPR – NO CPR GIVEN, PATIENT DIED – “GROSS NEGLIGENCE” CASE TO PROCEED</w:t>
      </w:r>
    </w:p>
    <w:p w14:paraId="1C4DDE67" w14:textId="77777777" w:rsidR="00240D3F" w:rsidRDefault="00240D3F" w:rsidP="00240D3F">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On July 21, 2022, in </w:t>
      </w:r>
      <w:r w:rsidRPr="0088768E">
        <w:rPr>
          <w:rFonts w:ascii="Times New Roman" w:hAnsi="Times New Roman"/>
          <w:sz w:val="24"/>
          <w:szCs w:val="24"/>
          <w:u w:val="single"/>
        </w:rPr>
        <w:t>Angela Hodges, Personal Representative of the Estate of Patrick Antonio Clemons-Hodges</w:t>
      </w:r>
      <w:r>
        <w:rPr>
          <w:rFonts w:ascii="Times New Roman" w:hAnsi="Times New Roman"/>
          <w:sz w:val="24"/>
          <w:szCs w:val="24"/>
          <w:u w:val="single"/>
        </w:rPr>
        <w:t xml:space="preserve"> v. City of </w:t>
      </w:r>
      <w:proofErr w:type="spellStart"/>
      <w:r>
        <w:rPr>
          <w:rFonts w:ascii="Times New Roman" w:hAnsi="Times New Roman"/>
          <w:sz w:val="24"/>
          <w:szCs w:val="24"/>
          <w:u w:val="single"/>
        </w:rPr>
        <w:t>Detroir</w:t>
      </w:r>
      <w:proofErr w:type="spellEnd"/>
      <w:r>
        <w:rPr>
          <w:rFonts w:ascii="Times New Roman" w:hAnsi="Times New Roman"/>
          <w:sz w:val="24"/>
          <w:szCs w:val="24"/>
          <w:u w:val="single"/>
        </w:rPr>
        <w:t xml:space="preserve">, Julian Holts and Michael Morgan, et al., </w:t>
      </w:r>
      <w:r>
        <w:rPr>
          <w:rFonts w:ascii="Times New Roman" w:hAnsi="Times New Roman"/>
          <w:sz w:val="24"/>
          <w:szCs w:val="24"/>
        </w:rPr>
        <w:t xml:space="preserve">the Court of Appeals of Michigan, held (3 to 0; unpublished opinion) that the trial court properly denied the City’s motion for summary judgment. The City took an immediate appeal and asserted that the </w:t>
      </w:r>
      <w:r w:rsidRPr="00C5046C">
        <w:rPr>
          <w:rFonts w:ascii="Times New Roman" w:hAnsi="Times New Roman"/>
          <w:sz w:val="24"/>
          <w:szCs w:val="24"/>
        </w:rPr>
        <w:t xml:space="preserve">trial court erred when it refused to grant the City governmental immunity from claims arising from the gross negligence of paramedics it employs. </w:t>
      </w:r>
      <w:r>
        <w:rPr>
          <w:rFonts w:ascii="Times New Roman" w:hAnsi="Times New Roman"/>
          <w:sz w:val="24"/>
          <w:szCs w:val="24"/>
        </w:rPr>
        <w:t xml:space="preserve"> Court of Appeals held, “</w:t>
      </w:r>
      <w:r w:rsidRPr="00C5046C">
        <w:rPr>
          <w:rFonts w:ascii="Times New Roman" w:hAnsi="Times New Roman"/>
          <w:sz w:val="24"/>
          <w:szCs w:val="24"/>
        </w:rPr>
        <w:t>We disagree and affirm.</w:t>
      </w:r>
      <w:r>
        <w:rPr>
          <w:rFonts w:ascii="Times New Roman" w:hAnsi="Times New Roman"/>
          <w:sz w:val="24"/>
          <w:szCs w:val="24"/>
        </w:rPr>
        <w:t>”</w:t>
      </w:r>
      <w:r w:rsidRPr="00C5046C">
        <w:rPr>
          <w:rFonts w:ascii="Times New Roman" w:hAnsi="Times New Roman"/>
          <w:sz w:val="24"/>
          <w:szCs w:val="24"/>
        </w:rPr>
        <w:t xml:space="preserve"> </w:t>
      </w:r>
      <w:hyperlink r:id="rId2262" w:history="1">
        <w:r w:rsidRPr="00355029">
          <w:rPr>
            <w:rStyle w:val="Hyperlink"/>
            <w:rFonts w:ascii="Times New Roman" w:eastAsia="Times New Roman" w:hAnsi="Times New Roman"/>
            <w:sz w:val="24"/>
            <w:szCs w:val="24"/>
          </w:rPr>
          <w:t>https://public.fastcase.com/J%2FJP6pdidelsXxEE4k%2BLMlzK3ypZvc0Gn%2FjuZDkyq8MI5%2FfINcqrUtBut3YiWnMm%2B6u%2FYbxznYZMXvWFYa2uilbMm7X%2Bw%2FMZe4%2FFjNyk13o%3D</w:t>
        </w:r>
      </w:hyperlink>
      <w:r>
        <w:rPr>
          <w:rFonts w:ascii="Times New Roman" w:eastAsia="Times New Roman" w:hAnsi="Times New Roman"/>
          <w:sz w:val="24"/>
          <w:szCs w:val="24"/>
        </w:rPr>
        <w:t xml:space="preserve"> </w:t>
      </w:r>
    </w:p>
    <w:p w14:paraId="7F40346A" w14:textId="77777777" w:rsidR="00240D3F" w:rsidRPr="009E08A4" w:rsidRDefault="00240D3F" w:rsidP="00240D3F">
      <w:pPr>
        <w:spacing w:before="100" w:beforeAutospacing="1" w:after="100" w:afterAutospacing="1" w:line="240" w:lineRule="auto"/>
        <w:rPr>
          <w:rFonts w:ascii="Times New Roman" w:hAnsi="Times New Roman"/>
          <w:b/>
          <w:bCs/>
          <w:sz w:val="24"/>
          <w:szCs w:val="24"/>
        </w:rPr>
      </w:pPr>
      <w:r w:rsidRPr="009E08A4">
        <w:rPr>
          <w:rFonts w:ascii="Times New Roman" w:hAnsi="Times New Roman"/>
          <w:b/>
          <w:bCs/>
          <w:sz w:val="24"/>
          <w:szCs w:val="24"/>
        </w:rPr>
        <w:t>Legal Lesson Learned:</w:t>
      </w:r>
      <w:r>
        <w:rPr>
          <w:rFonts w:ascii="Times New Roman" w:hAnsi="Times New Roman"/>
          <w:b/>
          <w:bCs/>
          <w:sz w:val="24"/>
          <w:szCs w:val="24"/>
        </w:rPr>
        <w:t xml:space="preserve"> This lawsuit will now proceed to pre-trial discovery on </w:t>
      </w:r>
      <w:proofErr w:type="spellStart"/>
      <w:r>
        <w:rPr>
          <w:rFonts w:ascii="Times New Roman" w:hAnsi="Times New Roman"/>
          <w:b/>
          <w:bCs/>
          <w:sz w:val="24"/>
          <w:szCs w:val="24"/>
        </w:rPr>
        <w:t>thr</w:t>
      </w:r>
      <w:proofErr w:type="spellEnd"/>
      <w:r>
        <w:rPr>
          <w:rFonts w:ascii="Times New Roman" w:hAnsi="Times New Roman"/>
          <w:b/>
          <w:bCs/>
          <w:sz w:val="24"/>
          <w:szCs w:val="24"/>
        </w:rPr>
        <w:t xml:space="preserve"> allegation of “gross negligence.” </w:t>
      </w:r>
    </w:p>
    <w:p w14:paraId="5D27C549" w14:textId="77777777" w:rsidR="00240D3F" w:rsidRPr="009E08A4" w:rsidRDefault="00240D3F" w:rsidP="00240D3F">
      <w:pPr>
        <w:pStyle w:val="Heading1"/>
        <w:ind w:left="720"/>
        <w:rPr>
          <w:b w:val="0"/>
          <w:bCs w:val="0"/>
          <w:sz w:val="24"/>
          <w:szCs w:val="24"/>
        </w:rPr>
      </w:pPr>
      <w:r w:rsidRPr="009E08A4">
        <w:rPr>
          <w:b w:val="0"/>
          <w:bCs w:val="0"/>
          <w:sz w:val="24"/>
          <w:szCs w:val="24"/>
        </w:rPr>
        <w:lastRenderedPageBreak/>
        <w:t xml:space="preserve">Note: </w:t>
      </w:r>
      <w:r>
        <w:rPr>
          <w:b w:val="0"/>
          <w:bCs w:val="0"/>
          <w:sz w:val="24"/>
          <w:szCs w:val="24"/>
        </w:rPr>
        <w:t xml:space="preserve">Some states have “Willful or Wanton Misconduct” standard. </w:t>
      </w:r>
      <w:r w:rsidRPr="009E08A4">
        <w:rPr>
          <w:b w:val="0"/>
          <w:bCs w:val="0"/>
          <w:sz w:val="24"/>
          <w:szCs w:val="24"/>
        </w:rPr>
        <w:t xml:space="preserve">For example, Ohio Revised Code: Section 4765.49 </w:t>
      </w:r>
      <w:r w:rsidRPr="009E08A4">
        <w:rPr>
          <w:rStyle w:val="codes-separator"/>
          <w:b w:val="0"/>
          <w:bCs w:val="0"/>
          <w:sz w:val="24"/>
          <w:szCs w:val="24"/>
        </w:rPr>
        <w:t>|</w:t>
      </w:r>
      <w:r w:rsidRPr="009E08A4">
        <w:rPr>
          <w:b w:val="0"/>
          <w:bCs w:val="0"/>
          <w:sz w:val="24"/>
          <w:szCs w:val="24"/>
        </w:rPr>
        <w:t xml:space="preserve"> Emergency medical personnel and agencies </w:t>
      </w:r>
      <w:r>
        <w:rPr>
          <w:b w:val="0"/>
          <w:bCs w:val="0"/>
          <w:sz w:val="24"/>
          <w:szCs w:val="24"/>
        </w:rPr>
        <w:t>–</w:t>
      </w:r>
      <w:r w:rsidRPr="009E08A4">
        <w:rPr>
          <w:b w:val="0"/>
          <w:bCs w:val="0"/>
          <w:sz w:val="24"/>
          <w:szCs w:val="24"/>
        </w:rPr>
        <w:t xml:space="preserve"> immunity</w:t>
      </w:r>
      <w:r>
        <w:rPr>
          <w:b w:val="0"/>
          <w:bCs w:val="0"/>
          <w:sz w:val="24"/>
          <w:szCs w:val="24"/>
        </w:rPr>
        <w:t>.</w:t>
      </w:r>
      <w:r w:rsidRPr="009E08A4">
        <w:t xml:space="preserve"> </w:t>
      </w:r>
      <w:hyperlink r:id="rId2263" w:history="1">
        <w:r w:rsidRPr="00355029">
          <w:rPr>
            <w:rStyle w:val="Hyperlink"/>
            <w:rFonts w:eastAsiaTheme="majorEastAsia"/>
            <w:b w:val="0"/>
            <w:bCs w:val="0"/>
            <w:sz w:val="24"/>
            <w:szCs w:val="24"/>
          </w:rPr>
          <w:t>https://codes.ohio.gov/ohio-revised-code/section-4765.49</w:t>
        </w:r>
      </w:hyperlink>
      <w:r>
        <w:rPr>
          <w:b w:val="0"/>
          <w:bCs w:val="0"/>
          <w:sz w:val="24"/>
          <w:szCs w:val="24"/>
        </w:rPr>
        <w:t xml:space="preserve">  “</w:t>
      </w:r>
      <w:r w:rsidRPr="009E08A4">
        <w:rPr>
          <w:b w:val="0"/>
          <w:bCs w:val="0"/>
          <w:sz w:val="24"/>
          <w:szCs w:val="24"/>
        </w:rPr>
        <w:t>(A) A first responder, emergency medical technician-basic, emergency medical technician-intermediate, or emergency medical technician-paramedic is not liable in damages in a civil action for injury, death, or loss to person or property resulting from the individual's administration of emergency medical services, unless the services are administered in a manner that constitutes willful or wanton misconduct.</w:t>
      </w:r>
      <w:r>
        <w:rPr>
          <w:b w:val="0"/>
          <w:bCs w:val="0"/>
          <w:sz w:val="24"/>
          <w:szCs w:val="24"/>
        </w:rPr>
        <w:t>”</w:t>
      </w:r>
    </w:p>
    <w:p w14:paraId="2BC1ECF0" w14:textId="77777777" w:rsidR="00240D3F" w:rsidRDefault="00240D3F" w:rsidP="002B1283">
      <w:pPr>
        <w:rPr>
          <w:rFonts w:ascii="Arial Black" w:hAnsi="Arial Black"/>
          <w:b/>
          <w:bCs/>
          <w:sz w:val="28"/>
          <w:szCs w:val="28"/>
        </w:rPr>
      </w:pPr>
    </w:p>
    <w:p w14:paraId="5A7434CA" w14:textId="77777777" w:rsidR="00240D3F" w:rsidRDefault="00240D3F" w:rsidP="002B1283">
      <w:pPr>
        <w:rPr>
          <w:rFonts w:ascii="Arial Black" w:hAnsi="Arial Black"/>
          <w:b/>
          <w:bCs/>
          <w:sz w:val="28"/>
          <w:szCs w:val="28"/>
        </w:rPr>
      </w:pPr>
    </w:p>
    <w:p w14:paraId="4F64E208" w14:textId="105CFD75" w:rsidR="00240D3F" w:rsidRDefault="00240D3F" w:rsidP="002B1283">
      <w:pPr>
        <w:rPr>
          <w:rFonts w:ascii="Arial Black" w:hAnsi="Arial Black"/>
          <w:b/>
          <w:bCs/>
          <w:sz w:val="28"/>
          <w:szCs w:val="28"/>
        </w:rPr>
      </w:pPr>
      <w:r>
        <w:rPr>
          <w:rFonts w:ascii="Arial Black" w:hAnsi="Arial Black"/>
          <w:b/>
          <w:bCs/>
          <w:sz w:val="28"/>
          <w:szCs w:val="28"/>
        </w:rPr>
        <w:t>13-116</w:t>
      </w:r>
    </w:p>
    <w:p w14:paraId="7B9B33EE" w14:textId="77777777" w:rsidR="00240D3F" w:rsidRDefault="00240D3F" w:rsidP="00240D3F">
      <w:pPr>
        <w:spacing w:before="100" w:beforeAutospacing="1" w:after="100" w:afterAutospacing="1" w:line="240" w:lineRule="auto"/>
        <w:rPr>
          <w:rFonts w:ascii="Arial Black" w:hAnsi="Arial Black"/>
          <w:sz w:val="28"/>
          <w:szCs w:val="28"/>
        </w:rPr>
      </w:pPr>
      <w:r>
        <w:rPr>
          <w:rFonts w:ascii="Arial Black" w:hAnsi="Arial Black"/>
          <w:sz w:val="28"/>
          <w:szCs w:val="28"/>
        </w:rPr>
        <w:t>NY: FDNY MEDICS SUSP - AUSTRALIAN TV FILMED ON COVID EMS RUNS – 1</w:t>
      </w:r>
      <w:r w:rsidRPr="00922539">
        <w:rPr>
          <w:rFonts w:ascii="Arial Black" w:hAnsi="Arial Black"/>
          <w:sz w:val="28"/>
          <w:szCs w:val="28"/>
          <w:vertAlign w:val="superscript"/>
        </w:rPr>
        <w:t>st</w:t>
      </w:r>
      <w:r>
        <w:rPr>
          <w:rFonts w:ascii="Arial Black" w:hAnsi="Arial Black"/>
          <w:sz w:val="28"/>
          <w:szCs w:val="28"/>
        </w:rPr>
        <w:t xml:space="preserve"> AMEND. RETALIATION PROCEED</w:t>
      </w:r>
    </w:p>
    <w:p w14:paraId="0C2422FB" w14:textId="77777777" w:rsidR="00240D3F" w:rsidRDefault="00240D3F" w:rsidP="00240D3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July 8, 2022, in </w:t>
      </w:r>
      <w:r w:rsidRPr="00922539">
        <w:rPr>
          <w:rFonts w:ascii="Times New Roman" w:hAnsi="Times New Roman"/>
          <w:sz w:val="24"/>
          <w:szCs w:val="24"/>
          <w:u w:val="single"/>
        </w:rPr>
        <w:t>President Oren Barzilay, President of Uniformed EMTs, Paramedics, and Fire Inspectors, Local 2507, et al. v. City of New York, et al.</w:t>
      </w:r>
      <w:r>
        <w:rPr>
          <w:rFonts w:ascii="Times New Roman" w:hAnsi="Times New Roman"/>
          <w:sz w:val="24"/>
          <w:szCs w:val="24"/>
        </w:rPr>
        <w:t>, U.S. District Court Judge Lewis J. Liman, U.S. District Court for Southern District of New York, held that “</w:t>
      </w:r>
      <w:r w:rsidRPr="00B47805">
        <w:rPr>
          <w:rFonts w:ascii="Times New Roman" w:hAnsi="Times New Roman"/>
          <w:sz w:val="24"/>
          <w:szCs w:val="24"/>
        </w:rPr>
        <w:t>Plaintiffs are entitled to a jury trial on their § 1983 claims for First Amendment retaliation against all Defendants and on their related free-speech claim under the New York State Constitution against the City on a theory of respondeat superior.</w:t>
      </w:r>
      <w:r>
        <w:rPr>
          <w:rFonts w:ascii="Times New Roman" w:hAnsi="Times New Roman"/>
          <w:sz w:val="24"/>
          <w:szCs w:val="24"/>
        </w:rPr>
        <w:t xml:space="preserve"> *** </w:t>
      </w:r>
      <w:r w:rsidRPr="007604D6">
        <w:rPr>
          <w:rFonts w:ascii="Times New Roman" w:hAnsi="Times New Roman"/>
          <w:sz w:val="24"/>
          <w:szCs w:val="24"/>
        </w:rPr>
        <w:t>Here, there is credible evidence that suggests Defendants restricted or suspended the individual Plaintiffs for a permissible reason, but there is also evidence from which a reasonable jury could find that the Defendants did so simply because they were employees who engaged in protected speech. The role of the Court is not to weigh that evidence and determine which is the more likely scenario. That must be left to the jury.</w:t>
      </w:r>
      <w:r>
        <w:rPr>
          <w:rFonts w:ascii="Times New Roman" w:hAnsi="Times New Roman"/>
          <w:sz w:val="24"/>
          <w:szCs w:val="24"/>
        </w:rPr>
        <w:t xml:space="preserve"> *** </w:t>
      </w:r>
      <w:r w:rsidRPr="007604D6">
        <w:rPr>
          <w:rFonts w:ascii="Times New Roman" w:hAnsi="Times New Roman"/>
          <w:sz w:val="24"/>
          <w:szCs w:val="24"/>
        </w:rPr>
        <w:t>On the record before it, the Court cannot conclude as a matter of law that the FDNY was justified by the governmental interest it asserts in taking action against Bonilla, Nunez, or Pfeiffer based on these comments, which are the only parts of their protected speech that could even arguably give rise to a concern about revealing PHI, or based on the mere fact that they interacted with the media to make these comments.</w:t>
      </w:r>
      <w:r>
        <w:rPr>
          <w:rFonts w:ascii="Times New Roman" w:hAnsi="Times New Roman"/>
          <w:sz w:val="24"/>
          <w:szCs w:val="24"/>
        </w:rPr>
        <w:t xml:space="preserve">” </w:t>
      </w:r>
      <w:hyperlink r:id="rId2264" w:history="1">
        <w:r w:rsidRPr="00272AA8">
          <w:rPr>
            <w:rStyle w:val="Hyperlink"/>
            <w:rFonts w:ascii="Times New Roman" w:hAnsi="Times New Roman"/>
            <w:sz w:val="24"/>
            <w:szCs w:val="24"/>
          </w:rPr>
          <w:t>https://law.justia.com/cases/federal/district-courts/new-york/nysdce/1:2020cv04452/538491/83/</w:t>
        </w:r>
      </w:hyperlink>
      <w:r>
        <w:rPr>
          <w:rFonts w:ascii="Times New Roman" w:hAnsi="Times New Roman"/>
          <w:sz w:val="24"/>
          <w:szCs w:val="24"/>
        </w:rPr>
        <w:t xml:space="preserve"> </w:t>
      </w:r>
    </w:p>
    <w:p w14:paraId="28A60612" w14:textId="74BEF811" w:rsidR="00240D3F" w:rsidRPr="00B821BF" w:rsidRDefault="00240D3F" w:rsidP="00240D3F">
      <w:pPr>
        <w:spacing w:before="100" w:beforeAutospacing="1" w:after="100" w:afterAutospacing="1" w:line="240" w:lineRule="auto"/>
        <w:ind w:left="720" w:firstLine="60"/>
        <w:rPr>
          <w:rFonts w:ascii="Times New Roman" w:eastAsia="Times New Roman" w:hAnsi="Times New Roman"/>
          <w:sz w:val="24"/>
          <w:szCs w:val="24"/>
        </w:rPr>
      </w:pPr>
      <w:r w:rsidRPr="00B821BF">
        <w:rPr>
          <w:rFonts w:ascii="Times New Roman" w:hAnsi="Times New Roman"/>
          <w:sz w:val="24"/>
          <w:szCs w:val="24"/>
        </w:rPr>
        <w:t xml:space="preserve">[Watch the video: </w:t>
      </w:r>
      <w:hyperlink r:id="rId2265" w:history="1">
        <w:r w:rsidRPr="00B821BF">
          <w:rPr>
            <w:rStyle w:val="Hyperlink"/>
            <w:rFonts w:ascii="Times New Roman" w:eastAsia="Times New Roman" w:hAnsi="Times New Roman"/>
            <w:sz w:val="24"/>
            <w:szCs w:val="24"/>
          </w:rPr>
          <w:t>https://www.facebook.com/watch/?v=2586016544950280</w:t>
        </w:r>
      </w:hyperlink>
      <w:r w:rsidRPr="00B821BF">
        <w:rPr>
          <w:rFonts w:ascii="Times New Roman" w:eastAsia="Times New Roman" w:hAnsi="Times New Roman"/>
          <w:sz w:val="24"/>
          <w:szCs w:val="24"/>
        </w:rPr>
        <w:t xml:space="preserve"> .]</w:t>
      </w:r>
    </w:p>
    <w:p w14:paraId="2A38FEB2" w14:textId="77777777" w:rsidR="00240D3F" w:rsidRDefault="00240D3F" w:rsidP="00240D3F">
      <w:pPr>
        <w:spacing w:before="100" w:beforeAutospacing="1" w:after="100" w:afterAutospacing="1" w:line="240" w:lineRule="auto"/>
        <w:rPr>
          <w:rFonts w:ascii="Times New Roman" w:hAnsi="Times New Roman"/>
          <w:b/>
          <w:bCs/>
          <w:sz w:val="24"/>
          <w:szCs w:val="24"/>
        </w:rPr>
      </w:pPr>
      <w:r w:rsidRPr="0074449E">
        <w:rPr>
          <w:rFonts w:ascii="Times New Roman" w:hAnsi="Times New Roman"/>
          <w:b/>
          <w:bCs/>
          <w:sz w:val="24"/>
          <w:szCs w:val="24"/>
        </w:rPr>
        <w:t>Legal Lesson Learned:</w:t>
      </w:r>
      <w:r>
        <w:rPr>
          <w:rFonts w:ascii="Times New Roman" w:hAnsi="Times New Roman"/>
          <w:b/>
          <w:bCs/>
          <w:sz w:val="24"/>
          <w:szCs w:val="24"/>
        </w:rPr>
        <w:t xml:space="preserve"> The U.S. Supreme Court’s </w:t>
      </w:r>
      <w:r w:rsidRPr="0074449E">
        <w:rPr>
          <w:rFonts w:ascii="Times New Roman" w:hAnsi="Times New Roman"/>
          <w:b/>
          <w:bCs/>
          <w:i/>
          <w:iCs/>
          <w:sz w:val="24"/>
          <w:szCs w:val="24"/>
        </w:rPr>
        <w:t>Pickering</w:t>
      </w:r>
      <w:r>
        <w:rPr>
          <w:rFonts w:ascii="Times New Roman" w:hAnsi="Times New Roman"/>
          <w:b/>
          <w:bCs/>
          <w:sz w:val="24"/>
          <w:szCs w:val="24"/>
        </w:rPr>
        <w:t xml:space="preserve"> “balancing” decision has led to lots of litigation about right of EMS, fire and police officers to “go public” with concerns. </w:t>
      </w:r>
    </w:p>
    <w:p w14:paraId="678FB62C" w14:textId="77777777" w:rsidR="00240D3F" w:rsidRPr="0074449E" w:rsidRDefault="00240D3F" w:rsidP="00240D3F">
      <w:pPr>
        <w:spacing w:before="100" w:beforeAutospacing="1" w:after="100" w:afterAutospacing="1" w:line="240" w:lineRule="auto"/>
        <w:rPr>
          <w:rFonts w:ascii="Times New Roman" w:hAnsi="Times New Roman"/>
          <w:sz w:val="24"/>
          <w:szCs w:val="24"/>
        </w:rPr>
      </w:pPr>
      <w:r>
        <w:rPr>
          <w:rFonts w:ascii="Times New Roman" w:hAnsi="Times New Roman"/>
          <w:b/>
          <w:bCs/>
          <w:sz w:val="24"/>
          <w:szCs w:val="24"/>
        </w:rPr>
        <w:tab/>
      </w:r>
      <w:r w:rsidRPr="0074449E">
        <w:rPr>
          <w:rFonts w:ascii="Times New Roman" w:hAnsi="Times New Roman"/>
          <w:sz w:val="24"/>
          <w:szCs w:val="24"/>
        </w:rPr>
        <w:t xml:space="preserve">Note: </w:t>
      </w:r>
      <w:r>
        <w:rPr>
          <w:rFonts w:ascii="Times New Roman" w:hAnsi="Times New Roman"/>
          <w:sz w:val="24"/>
          <w:szCs w:val="24"/>
        </w:rPr>
        <w:t>Court discussed this Fire Marshal decision.</w:t>
      </w:r>
    </w:p>
    <w:p w14:paraId="0F4CA914" w14:textId="77777777" w:rsidR="00240D3F" w:rsidRPr="00F07132" w:rsidRDefault="00240D3F" w:rsidP="00240D3F">
      <w:pPr>
        <w:pStyle w:val="Heading1"/>
        <w:ind w:left="720"/>
        <w:rPr>
          <w:b w:val="0"/>
          <w:bCs w:val="0"/>
          <w:sz w:val="24"/>
          <w:szCs w:val="24"/>
        </w:rPr>
      </w:pPr>
      <w:r>
        <w:rPr>
          <w:sz w:val="24"/>
          <w:szCs w:val="24"/>
        </w:rPr>
        <w:t>“</w:t>
      </w:r>
      <w:r w:rsidRPr="008A111F">
        <w:rPr>
          <w:b w:val="0"/>
          <w:bCs w:val="0"/>
          <w:sz w:val="24"/>
          <w:szCs w:val="24"/>
        </w:rPr>
        <w:t xml:space="preserve">In </w:t>
      </w:r>
      <w:r w:rsidRPr="008A111F">
        <w:rPr>
          <w:b w:val="0"/>
          <w:bCs w:val="0"/>
          <w:i/>
          <w:iCs/>
          <w:sz w:val="24"/>
          <w:szCs w:val="24"/>
        </w:rPr>
        <w:t>Specht</w:t>
      </w:r>
      <w:r w:rsidRPr="0074449E">
        <w:rPr>
          <w:b w:val="0"/>
          <w:bCs w:val="0"/>
          <w:i/>
          <w:iCs/>
          <w:sz w:val="24"/>
          <w:szCs w:val="24"/>
        </w:rPr>
        <w:t xml:space="preserve"> [</w:t>
      </w:r>
      <w:r w:rsidRPr="0074449E">
        <w:rPr>
          <w:b w:val="0"/>
          <w:bCs w:val="0"/>
          <w:sz w:val="24"/>
          <w:szCs w:val="24"/>
        </w:rPr>
        <w:t xml:space="preserve">Specht v. City of New York, No. 20-4211 (2d Cir. 2021), </w:t>
      </w:r>
      <w:hyperlink r:id="rId2266" w:history="1">
        <w:r w:rsidRPr="00272AA8">
          <w:rPr>
            <w:rStyle w:val="Hyperlink"/>
            <w:rFonts w:eastAsiaTheme="majorEastAsia"/>
            <w:b w:val="0"/>
            <w:bCs w:val="0"/>
            <w:sz w:val="24"/>
            <w:szCs w:val="24"/>
          </w:rPr>
          <w:t>https://law.justia.com/cases/federal/appellate-courts/ca2/20-4211/20-4211-2021-10-06.html</w:t>
        </w:r>
      </w:hyperlink>
      <w:r>
        <w:rPr>
          <w:b w:val="0"/>
          <w:bCs w:val="0"/>
          <w:sz w:val="24"/>
          <w:szCs w:val="24"/>
        </w:rPr>
        <w:t xml:space="preserve"> ] </w:t>
      </w:r>
      <w:r w:rsidRPr="008A111F">
        <w:rPr>
          <w:sz w:val="24"/>
          <w:szCs w:val="24"/>
        </w:rPr>
        <w:t xml:space="preserve"> </w:t>
      </w:r>
      <w:r w:rsidRPr="008A111F">
        <w:rPr>
          <w:b w:val="0"/>
          <w:bCs w:val="0"/>
          <w:sz w:val="24"/>
          <w:szCs w:val="24"/>
        </w:rPr>
        <w:t xml:space="preserve">the Second Circuit held that a fire marshal's internal email to other fire marshals concerning the course of a fire investigation and pressure from supervisors to prematurely terminate his work and file a false report regarding the cause for the fire constituted “internal workplace grievances, not matters of public concern.” 15 F.4th at 601. However, the Circuit held that the marshal's complaint to the New York City Department of Investigation, his Notice of Claim with the City, his meeting with representatives from the District Attorney's office, and his communications with the local press about his investigation and his supervisors' demands all touched on matters of public concern since his reports “to outside agencies . . . implicate[d] matters of public importance” and “relate to possible governmental malfeasance, public </w:t>
      </w:r>
      <w:r w:rsidRPr="008A111F">
        <w:rPr>
          <w:b w:val="0"/>
          <w:bCs w:val="0"/>
          <w:sz w:val="24"/>
          <w:szCs w:val="24"/>
        </w:rPr>
        <w:lastRenderedPageBreak/>
        <w:t xml:space="preserve">safety, as well as to the public fisc.” </w:t>
      </w:r>
      <w:r w:rsidRPr="008A111F">
        <w:rPr>
          <w:b w:val="0"/>
          <w:bCs w:val="0"/>
          <w:i/>
          <w:iCs/>
          <w:sz w:val="24"/>
          <w:szCs w:val="24"/>
        </w:rPr>
        <w:t>Id.</w:t>
      </w:r>
      <w:r w:rsidRPr="008A111F">
        <w:rPr>
          <w:b w:val="0"/>
          <w:bCs w:val="0"/>
          <w:sz w:val="24"/>
          <w:szCs w:val="24"/>
        </w:rPr>
        <w:t xml:space="preserve"> </w:t>
      </w:r>
      <w:proofErr w:type="gramStart"/>
      <w:r w:rsidRPr="008A111F">
        <w:rPr>
          <w:b w:val="0"/>
          <w:bCs w:val="0"/>
          <w:sz w:val="24"/>
          <w:szCs w:val="24"/>
        </w:rPr>
        <w:t>at</w:t>
      </w:r>
      <w:proofErr w:type="gramEnd"/>
      <w:r w:rsidRPr="008A111F">
        <w:rPr>
          <w:b w:val="0"/>
          <w:bCs w:val="0"/>
          <w:sz w:val="24"/>
          <w:szCs w:val="24"/>
        </w:rPr>
        <w:t xml:space="preserve"> 601-02. Further, the Circuit found that the fire marshal's refusal to file a false report touched on matters of public concern because, just like his reports to outside agencies, the action “pertain[ed] to . . . potentially serious governmental misconduct.” </w:t>
      </w:r>
      <w:r w:rsidRPr="008A111F">
        <w:rPr>
          <w:b w:val="0"/>
          <w:bCs w:val="0"/>
          <w:i/>
          <w:iCs/>
          <w:sz w:val="24"/>
          <w:szCs w:val="24"/>
        </w:rPr>
        <w:t>Id.</w:t>
      </w:r>
      <w:r w:rsidRPr="008A111F">
        <w:rPr>
          <w:b w:val="0"/>
          <w:bCs w:val="0"/>
          <w:sz w:val="24"/>
          <w:szCs w:val="24"/>
        </w:rPr>
        <w:t xml:space="preserve"> at 602. Finally, the Circuit held that the marshal's reports to outside agencies and refusal to file a false report did not occur in his capacity as an employee because neither was “part-and-parcel” of his duties, </w:t>
      </w:r>
      <w:r w:rsidRPr="008A111F">
        <w:rPr>
          <w:b w:val="0"/>
          <w:bCs w:val="0"/>
          <w:i/>
          <w:iCs/>
          <w:sz w:val="24"/>
          <w:szCs w:val="24"/>
        </w:rPr>
        <w:t>Id.</w:t>
      </w:r>
      <w:r w:rsidRPr="008A111F">
        <w:rPr>
          <w:b w:val="0"/>
          <w:bCs w:val="0"/>
          <w:sz w:val="24"/>
          <w:szCs w:val="24"/>
        </w:rPr>
        <w:t xml:space="preserve"> at 604 (internal quotation marks omitted); his actions more accurately described a citizen refusing to violate the law and reporting on government misconduct to the public, </w:t>
      </w:r>
      <w:r w:rsidRPr="008A111F">
        <w:rPr>
          <w:b w:val="0"/>
          <w:bCs w:val="0"/>
          <w:i/>
          <w:iCs/>
          <w:sz w:val="24"/>
          <w:szCs w:val="24"/>
        </w:rPr>
        <w:t>Id.</w:t>
      </w:r>
      <w:r w:rsidRPr="008A111F">
        <w:rPr>
          <w:b w:val="0"/>
          <w:bCs w:val="0"/>
          <w:sz w:val="24"/>
          <w:szCs w:val="24"/>
        </w:rPr>
        <w:t xml:space="preserve"> Thus, the fire marshal's speech constituted protected First Amendment activity.</w:t>
      </w:r>
      <w:r w:rsidRPr="00F07132">
        <w:rPr>
          <w:b w:val="0"/>
          <w:bCs w:val="0"/>
          <w:sz w:val="24"/>
          <w:szCs w:val="24"/>
        </w:rPr>
        <w:t xml:space="preserve">” </w:t>
      </w:r>
    </w:p>
    <w:p w14:paraId="72CAEE30" w14:textId="77777777" w:rsidR="00240D3F" w:rsidRDefault="00240D3F" w:rsidP="002B1283">
      <w:pPr>
        <w:rPr>
          <w:rFonts w:ascii="Arial Black" w:hAnsi="Arial Black"/>
          <w:b/>
          <w:bCs/>
          <w:sz w:val="28"/>
          <w:szCs w:val="28"/>
        </w:rPr>
      </w:pPr>
    </w:p>
    <w:p w14:paraId="73426D8D" w14:textId="77777777" w:rsidR="00240D3F" w:rsidRDefault="00240D3F" w:rsidP="002B1283">
      <w:pPr>
        <w:rPr>
          <w:rFonts w:ascii="Arial Black" w:hAnsi="Arial Black"/>
          <w:b/>
          <w:bCs/>
          <w:sz w:val="28"/>
          <w:szCs w:val="28"/>
        </w:rPr>
      </w:pPr>
    </w:p>
    <w:p w14:paraId="126E6BCE" w14:textId="6E2096B4" w:rsidR="009579EB" w:rsidRDefault="00936792" w:rsidP="002B1283">
      <w:pPr>
        <w:rPr>
          <w:rFonts w:ascii="Arial Black" w:hAnsi="Arial Black"/>
          <w:b/>
          <w:bCs/>
          <w:sz w:val="28"/>
          <w:szCs w:val="28"/>
        </w:rPr>
      </w:pPr>
      <w:r>
        <w:rPr>
          <w:rFonts w:ascii="Arial Black" w:hAnsi="Arial Black"/>
          <w:b/>
          <w:bCs/>
          <w:sz w:val="28"/>
          <w:szCs w:val="28"/>
        </w:rPr>
        <w:t>13-115</w:t>
      </w:r>
    </w:p>
    <w:p w14:paraId="3B64BDD2" w14:textId="77777777" w:rsidR="00936792" w:rsidRDefault="00936792" w:rsidP="00936792">
      <w:pPr>
        <w:spacing w:before="100" w:beforeAutospacing="1" w:after="100" w:afterAutospacing="1" w:line="240" w:lineRule="auto"/>
        <w:rPr>
          <w:rFonts w:ascii="Arial Black" w:hAnsi="Arial Black"/>
          <w:sz w:val="28"/>
          <w:szCs w:val="28"/>
        </w:rPr>
      </w:pPr>
      <w:r>
        <w:rPr>
          <w:rFonts w:ascii="Arial Black" w:hAnsi="Arial Black"/>
          <w:sz w:val="28"/>
          <w:szCs w:val="28"/>
        </w:rPr>
        <w:t>TX: MEDIC VIDEOED KICKING HOMELESS MAN – LAWSUIT PROCEED – ALLEGED FD POLICY NOT TERMINATING EMS</w:t>
      </w:r>
    </w:p>
    <w:p w14:paraId="22D2EBC5" w14:textId="77777777" w:rsidR="00936792" w:rsidRDefault="00936792" w:rsidP="0093679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On June 23, 2022, in</w:t>
      </w:r>
      <w:r>
        <w:t xml:space="preserve"> </w:t>
      </w:r>
      <w:r>
        <w:rPr>
          <w:rFonts w:ascii="Times New Roman" w:hAnsi="Times New Roman"/>
          <w:sz w:val="24"/>
          <w:szCs w:val="24"/>
          <w:u w:val="single"/>
        </w:rPr>
        <w:t>Kyle Vess v. City of Dallas, a municipal corporation, and Brad Alan Cox</w:t>
      </w:r>
      <w:r>
        <w:t xml:space="preserve">, </w:t>
      </w:r>
      <w:r>
        <w:rPr>
          <w:rFonts w:ascii="Times New Roman" w:hAnsi="Times New Roman"/>
          <w:sz w:val="24"/>
          <w:szCs w:val="24"/>
        </w:rPr>
        <w:t xml:space="preserve">U.S. Senior District Court Judge Sidney A. Fitzwater, U.S. District Court for the Northern District of Texas, denied the City’s motion to dismiss, and also declined to dismiss all of claims against the paramedic.  “Taking the facts alleged in the SAC [Second Amended Complaint] as true, the court concludes that Vess has plausibly pleaded that this policy ‘of protection for previously disciplined personnel by refusing to terminate or separate from employment individuals unfit to serve as members of the Dallas Fire Department despite good cause for termination and the risk these individuals pose to the public,’ SAC ¶ 45(d), was the moving force behind Cox's actions.  The Court also noted that Vess alleges that [Dallas Police Investigations Unit] hampered the investigation because it did not turn over exculpatory evidence to Vess's criminal defense attorney until two years after the events in question and not until after this lawsuit was filed. Further, DPIU did not take statements from DFD personnel when it was investigating Vess and Cox's confrontation; it only took statements from police officers who were on the scene.” </w:t>
      </w:r>
      <w:hyperlink r:id="rId2267" w:history="1">
        <w:r>
          <w:rPr>
            <w:rStyle w:val="Hyperlink"/>
            <w:sz w:val="24"/>
            <w:szCs w:val="24"/>
          </w:rPr>
          <w:t>https://public.fastcase.com/waZtJvSA54UAurM2rmIZz2loI3SMK51lisNXjYZKph2xHHDuTcicSNaYOQdhESxu4yBG2%2FvlbYv%2BMp6LYbH6Xh9C0n%2BJCkyXjjUwyrGDKNg%3D</w:t>
        </w:r>
      </w:hyperlink>
      <w:r>
        <w:rPr>
          <w:rFonts w:ascii="Times New Roman" w:hAnsi="Times New Roman"/>
          <w:sz w:val="24"/>
          <w:szCs w:val="24"/>
        </w:rPr>
        <w:t xml:space="preserve"> </w:t>
      </w:r>
    </w:p>
    <w:p w14:paraId="531B5ABA" w14:textId="77777777" w:rsidR="00936792" w:rsidRDefault="00936792" w:rsidP="00936792">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 xml:space="preserve">Legal Lesson Learned: Serious allegations; case will now proceed to pre-trial discovery. </w:t>
      </w:r>
    </w:p>
    <w:p w14:paraId="5B746A5C" w14:textId="77777777" w:rsidR="00936792" w:rsidRDefault="00936792" w:rsidP="00936792">
      <w:pPr>
        <w:pStyle w:val="Heading1"/>
        <w:ind w:left="720"/>
        <w:rPr>
          <w:b w:val="0"/>
          <w:bCs w:val="0"/>
          <w:sz w:val="24"/>
          <w:szCs w:val="24"/>
        </w:rPr>
      </w:pPr>
      <w:r>
        <w:rPr>
          <w:b w:val="0"/>
          <w:bCs w:val="0"/>
          <w:sz w:val="24"/>
          <w:szCs w:val="24"/>
        </w:rPr>
        <w:t>Note: See articles:</w:t>
      </w:r>
    </w:p>
    <w:p w14:paraId="1C212EA1" w14:textId="77777777" w:rsidR="00936792" w:rsidRDefault="00936792" w:rsidP="00936792">
      <w:pPr>
        <w:pStyle w:val="Heading1"/>
        <w:ind w:left="720"/>
        <w:rPr>
          <w:b w:val="0"/>
          <w:bCs w:val="0"/>
          <w:sz w:val="24"/>
          <w:szCs w:val="24"/>
        </w:rPr>
      </w:pPr>
      <w:r>
        <w:rPr>
          <w:b w:val="0"/>
          <w:bCs w:val="0"/>
          <w:sz w:val="24"/>
          <w:szCs w:val="24"/>
        </w:rPr>
        <w:t xml:space="preserve">“Court Shoots Down Dallas' Request to Toss Out Lawsuit Over Paramedic Kicking Man in Head” (June 28, 2022): </w:t>
      </w:r>
      <w:hyperlink r:id="rId2268" w:history="1">
        <w:r>
          <w:rPr>
            <w:rStyle w:val="Hyperlink"/>
            <w:sz w:val="24"/>
            <w:szCs w:val="24"/>
          </w:rPr>
          <w:t>https://www.dallasobserver.com/news/kyle-vess-court-rules-lawsuit-against-city-and-former-paramedic-can-move-forward-14303422</w:t>
        </w:r>
      </w:hyperlink>
      <w:r>
        <w:rPr>
          <w:b w:val="0"/>
          <w:bCs w:val="0"/>
          <w:sz w:val="24"/>
          <w:szCs w:val="24"/>
        </w:rPr>
        <w:t xml:space="preserve"> </w:t>
      </w:r>
    </w:p>
    <w:p w14:paraId="40069CD9" w14:textId="77777777" w:rsidR="00936792" w:rsidRDefault="00936792" w:rsidP="00936792">
      <w:pPr>
        <w:pStyle w:val="Heading1"/>
        <w:ind w:left="720"/>
        <w:rPr>
          <w:b w:val="0"/>
          <w:bCs w:val="0"/>
          <w:sz w:val="24"/>
          <w:szCs w:val="24"/>
        </w:rPr>
      </w:pPr>
      <w:r>
        <w:rPr>
          <w:b w:val="0"/>
          <w:bCs w:val="0"/>
          <w:sz w:val="24"/>
          <w:szCs w:val="24"/>
        </w:rPr>
        <w:t xml:space="preserve">After Police Review, No Charges Filed Against Former Dallas Paramedic Who Kicked Mentally Ill Man (March 7, 2022): </w:t>
      </w:r>
      <w:hyperlink r:id="rId2269" w:history="1">
        <w:r>
          <w:rPr>
            <w:rStyle w:val="Hyperlink"/>
            <w:sz w:val="24"/>
            <w:szCs w:val="24"/>
          </w:rPr>
          <w:t>https://www.dallasobserver.com/news/after-dpd-review-no-charges-filed-against-former-paramedic-who-kicked-mentally-ill-man-13536919</w:t>
        </w:r>
      </w:hyperlink>
      <w:r>
        <w:rPr>
          <w:b w:val="0"/>
          <w:bCs w:val="0"/>
          <w:sz w:val="24"/>
          <w:szCs w:val="24"/>
        </w:rPr>
        <w:t xml:space="preserve"> </w:t>
      </w:r>
    </w:p>
    <w:p w14:paraId="64CD8499" w14:textId="58BBF9D0" w:rsidR="00936792" w:rsidRDefault="00936792" w:rsidP="00936792">
      <w:pPr>
        <w:ind w:left="720"/>
        <w:rPr>
          <w:rFonts w:ascii="Arial Black" w:hAnsi="Arial Black"/>
          <w:b/>
          <w:bCs/>
          <w:sz w:val="28"/>
          <w:szCs w:val="28"/>
        </w:rPr>
      </w:pPr>
      <w:r>
        <w:rPr>
          <w:sz w:val="24"/>
          <w:szCs w:val="24"/>
        </w:rPr>
        <w:t xml:space="preserve">New Video Shows Dallas Paramedic Repeatedly Kicking Mentally Ill Man Before Police Show Up (Oct. 19, 2021): </w:t>
      </w:r>
      <w:hyperlink r:id="rId2270" w:history="1">
        <w:r>
          <w:rPr>
            <w:rStyle w:val="Hyperlink"/>
            <w:sz w:val="24"/>
            <w:szCs w:val="24"/>
          </w:rPr>
          <w:t>https://www.dallasobserver.com/news/watch-dallas-paramedic-kicks-mentally-ill-man-several-times-before-police-arrive-on-scene-12638001</w:t>
        </w:r>
      </w:hyperlink>
    </w:p>
    <w:p w14:paraId="18A989C0" w14:textId="77777777" w:rsidR="00936792" w:rsidRDefault="00936792" w:rsidP="002B1283">
      <w:pPr>
        <w:rPr>
          <w:rFonts w:ascii="Arial Black" w:hAnsi="Arial Black"/>
          <w:b/>
          <w:bCs/>
          <w:sz w:val="28"/>
          <w:szCs w:val="28"/>
        </w:rPr>
      </w:pPr>
    </w:p>
    <w:p w14:paraId="5E41758B" w14:textId="77777777" w:rsidR="00936792" w:rsidRDefault="00936792" w:rsidP="002B1283">
      <w:pPr>
        <w:rPr>
          <w:rFonts w:ascii="Arial Black" w:hAnsi="Arial Black"/>
          <w:b/>
          <w:bCs/>
          <w:sz w:val="28"/>
          <w:szCs w:val="28"/>
        </w:rPr>
      </w:pPr>
    </w:p>
    <w:p w14:paraId="42DCCC29" w14:textId="3B1636CF" w:rsidR="009579EB" w:rsidRDefault="009579EB" w:rsidP="002B1283">
      <w:pPr>
        <w:rPr>
          <w:rFonts w:ascii="Arial Black" w:hAnsi="Arial Black"/>
          <w:b/>
          <w:bCs/>
          <w:sz w:val="28"/>
          <w:szCs w:val="28"/>
        </w:rPr>
      </w:pPr>
      <w:r>
        <w:rPr>
          <w:rFonts w:ascii="Arial Black" w:hAnsi="Arial Black"/>
          <w:b/>
          <w:bCs/>
          <w:sz w:val="28"/>
          <w:szCs w:val="28"/>
        </w:rPr>
        <w:t>13-114</w:t>
      </w:r>
    </w:p>
    <w:p w14:paraId="7F66F2F4" w14:textId="77777777" w:rsidR="009579EB" w:rsidRDefault="009579EB" w:rsidP="009579EB">
      <w:pPr>
        <w:spacing w:before="100" w:beforeAutospacing="1" w:after="100" w:afterAutospacing="1" w:line="240" w:lineRule="auto"/>
        <w:rPr>
          <w:rFonts w:ascii="Arial Black" w:hAnsi="Arial Black"/>
          <w:b/>
          <w:sz w:val="28"/>
          <w:szCs w:val="28"/>
        </w:rPr>
      </w:pPr>
      <w:r>
        <w:rPr>
          <w:rFonts w:ascii="Arial Black" w:hAnsi="Arial Black"/>
          <w:b/>
          <w:sz w:val="28"/>
          <w:szCs w:val="28"/>
        </w:rPr>
        <w:t>MS: EMS ON SCENE 16 MINUTES – VICTIM SHOT 3 TIMES –P’S MD EXPERT - NO EMER. MED. EXP. - DISQUALIFIED</w:t>
      </w:r>
    </w:p>
    <w:p w14:paraId="3EE7BB5C" w14:textId="63D216FC" w:rsidR="009579EB" w:rsidRDefault="009579EB" w:rsidP="009579EB">
      <w:pPr>
        <w:rPr>
          <w:rStyle w:val="Hyperlink"/>
          <w:rFonts w:ascii="Times New Roman" w:hAnsi="Times New Roman"/>
          <w:sz w:val="24"/>
          <w:szCs w:val="24"/>
        </w:rPr>
      </w:pPr>
      <w:r w:rsidRPr="00B60757">
        <w:rPr>
          <w:rFonts w:ascii="Times New Roman" w:hAnsi="Times New Roman"/>
          <w:bCs/>
          <w:sz w:val="24"/>
          <w:szCs w:val="24"/>
        </w:rPr>
        <w:t xml:space="preserve">On May 12, 2022, in </w:t>
      </w:r>
      <w:r w:rsidRPr="005F737D">
        <w:rPr>
          <w:rFonts w:ascii="Times New Roman" w:hAnsi="Times New Roman"/>
          <w:bCs/>
          <w:sz w:val="24"/>
          <w:szCs w:val="24"/>
          <w:u w:val="single"/>
        </w:rPr>
        <w:t xml:space="preserve">Marcus Walker, on behalf of the wrongful death beneficiaries of </w:t>
      </w:r>
      <w:proofErr w:type="spellStart"/>
      <w:r w:rsidRPr="005F737D">
        <w:rPr>
          <w:rFonts w:ascii="Times New Roman" w:hAnsi="Times New Roman"/>
          <w:bCs/>
          <w:sz w:val="24"/>
          <w:szCs w:val="24"/>
          <w:u w:val="single"/>
        </w:rPr>
        <w:t>De’Aubrey</w:t>
      </w:r>
      <w:proofErr w:type="spellEnd"/>
      <w:r w:rsidRPr="005F737D">
        <w:rPr>
          <w:rFonts w:ascii="Times New Roman" w:hAnsi="Times New Roman"/>
          <w:bCs/>
          <w:sz w:val="24"/>
          <w:szCs w:val="24"/>
          <w:u w:val="single"/>
        </w:rPr>
        <w:t xml:space="preserve"> </w:t>
      </w:r>
      <w:proofErr w:type="spellStart"/>
      <w:r w:rsidRPr="005F737D">
        <w:rPr>
          <w:rFonts w:ascii="Times New Roman" w:hAnsi="Times New Roman"/>
          <w:bCs/>
          <w:sz w:val="24"/>
          <w:szCs w:val="24"/>
          <w:u w:val="single"/>
        </w:rPr>
        <w:t>Rajheem</w:t>
      </w:r>
      <w:proofErr w:type="spellEnd"/>
      <w:r w:rsidRPr="005F737D">
        <w:rPr>
          <w:rFonts w:ascii="Times New Roman" w:hAnsi="Times New Roman"/>
          <w:bCs/>
          <w:sz w:val="24"/>
          <w:szCs w:val="24"/>
          <w:u w:val="single"/>
        </w:rPr>
        <w:t xml:space="preserve"> Roscoe v. City of Indianola,</w:t>
      </w:r>
      <w:r>
        <w:rPr>
          <w:rFonts w:ascii="Times New Roman" w:hAnsi="Times New Roman"/>
          <w:bCs/>
          <w:sz w:val="24"/>
          <w:szCs w:val="24"/>
          <w:u w:val="single"/>
        </w:rPr>
        <w:t xml:space="preserve"> </w:t>
      </w:r>
      <w:proofErr w:type="spellStart"/>
      <w:r>
        <w:rPr>
          <w:rFonts w:ascii="Times New Roman" w:hAnsi="Times New Roman"/>
          <w:bCs/>
          <w:sz w:val="24"/>
          <w:szCs w:val="24"/>
          <w:u w:val="single"/>
        </w:rPr>
        <w:t>Medstat</w:t>
      </w:r>
      <w:proofErr w:type="spellEnd"/>
      <w:r>
        <w:rPr>
          <w:rFonts w:ascii="Times New Roman" w:hAnsi="Times New Roman"/>
          <w:bCs/>
          <w:sz w:val="24"/>
          <w:szCs w:val="24"/>
          <w:u w:val="single"/>
        </w:rPr>
        <w:t xml:space="preserve"> EMS, Inc. </w:t>
      </w:r>
      <w:r w:rsidRPr="005F737D">
        <w:rPr>
          <w:rFonts w:ascii="Times New Roman" w:hAnsi="Times New Roman"/>
          <w:bCs/>
          <w:sz w:val="24"/>
          <w:szCs w:val="24"/>
          <w:u w:val="single"/>
        </w:rPr>
        <w:t xml:space="preserve"> et al.</w:t>
      </w:r>
      <w:r>
        <w:rPr>
          <w:rFonts w:ascii="Times New Roman" w:hAnsi="Times New Roman"/>
          <w:bCs/>
          <w:sz w:val="24"/>
          <w:szCs w:val="24"/>
        </w:rPr>
        <w:t xml:space="preserve">, U.S. District Court Judge for the Northern District of Mississippi granted </w:t>
      </w:r>
      <w:proofErr w:type="spellStart"/>
      <w:r>
        <w:rPr>
          <w:rFonts w:ascii="Times New Roman" w:hAnsi="Times New Roman"/>
          <w:bCs/>
          <w:sz w:val="24"/>
          <w:szCs w:val="24"/>
        </w:rPr>
        <w:t>Medstat’s</w:t>
      </w:r>
      <w:proofErr w:type="spellEnd"/>
      <w:r>
        <w:rPr>
          <w:rFonts w:ascii="Times New Roman" w:hAnsi="Times New Roman"/>
          <w:bCs/>
          <w:sz w:val="24"/>
          <w:szCs w:val="24"/>
        </w:rPr>
        <w:t xml:space="preserve"> motion to exclude plaintiff’s expert, Obie McNair, MD. </w:t>
      </w:r>
      <w:r w:rsidRPr="00DB3E42">
        <w:rPr>
          <w:rFonts w:ascii="Times New Roman" w:hAnsi="Times New Roman"/>
          <w:sz w:val="24"/>
          <w:szCs w:val="24"/>
        </w:rPr>
        <w:t>On April 24, 2019,</w:t>
      </w:r>
      <w:r>
        <w:rPr>
          <w:rFonts w:ascii="Times New Roman" w:hAnsi="Times New Roman"/>
          <w:sz w:val="24"/>
          <w:szCs w:val="24"/>
        </w:rPr>
        <w:t xml:space="preserve"> </w:t>
      </w:r>
      <w:r w:rsidRPr="00BF05FA">
        <w:rPr>
          <w:rFonts w:ascii="Times New Roman" w:hAnsi="Times New Roman"/>
          <w:sz w:val="24"/>
          <w:szCs w:val="24"/>
        </w:rPr>
        <w:t>Roscoe had been shot three times, and one of the bullets had perforated the deceased's liver and right lung, thereby causing a collapsed lung (</w:t>
      </w:r>
      <w:r>
        <w:rPr>
          <w:rFonts w:ascii="Times New Roman" w:hAnsi="Times New Roman"/>
          <w:sz w:val="24"/>
          <w:szCs w:val="24"/>
        </w:rPr>
        <w:t>‘</w:t>
      </w:r>
      <w:r w:rsidRPr="00BF05FA">
        <w:rPr>
          <w:rFonts w:ascii="Times New Roman" w:hAnsi="Times New Roman"/>
          <w:sz w:val="24"/>
          <w:szCs w:val="24"/>
        </w:rPr>
        <w:t>pneumothorax</w:t>
      </w:r>
      <w:r>
        <w:rPr>
          <w:rFonts w:ascii="Times New Roman" w:hAnsi="Times New Roman"/>
          <w:sz w:val="24"/>
          <w:szCs w:val="24"/>
        </w:rPr>
        <w:t>’</w:t>
      </w:r>
      <w:r w:rsidRPr="00BF05FA">
        <w:rPr>
          <w:rFonts w:ascii="Times New Roman" w:hAnsi="Times New Roman"/>
          <w:sz w:val="24"/>
          <w:szCs w:val="24"/>
        </w:rPr>
        <w:t xml:space="preserve"> in medical terms) and bleeding in the space between the lung and the chest cavity (a </w:t>
      </w:r>
      <w:r>
        <w:rPr>
          <w:rFonts w:ascii="Times New Roman" w:hAnsi="Times New Roman"/>
          <w:sz w:val="24"/>
          <w:szCs w:val="24"/>
        </w:rPr>
        <w:t>‘</w:t>
      </w:r>
      <w:r w:rsidRPr="00BF05FA">
        <w:rPr>
          <w:rFonts w:ascii="Times New Roman" w:hAnsi="Times New Roman"/>
          <w:sz w:val="24"/>
          <w:szCs w:val="24"/>
        </w:rPr>
        <w:t>hemothorax</w:t>
      </w:r>
      <w:r>
        <w:rPr>
          <w:rFonts w:ascii="Times New Roman" w:hAnsi="Times New Roman"/>
          <w:sz w:val="24"/>
          <w:szCs w:val="24"/>
        </w:rPr>
        <w:t>”</w:t>
      </w:r>
      <w:r w:rsidRPr="00BF05FA">
        <w:rPr>
          <w:rFonts w:ascii="Times New Roman" w:hAnsi="Times New Roman"/>
          <w:sz w:val="24"/>
          <w:szCs w:val="24"/>
        </w:rPr>
        <w:t>)</w:t>
      </w:r>
      <w:r>
        <w:rPr>
          <w:rFonts w:ascii="Times New Roman" w:hAnsi="Times New Roman"/>
          <w:sz w:val="24"/>
          <w:szCs w:val="24"/>
        </w:rPr>
        <w:t xml:space="preserve">. </w:t>
      </w:r>
      <w:r w:rsidRPr="00BF05FA">
        <w:rPr>
          <w:rFonts w:ascii="Times New Roman" w:hAnsi="Times New Roman"/>
          <w:sz w:val="24"/>
          <w:szCs w:val="24"/>
        </w:rPr>
        <w:t xml:space="preserve">Defendant </w:t>
      </w:r>
      <w:proofErr w:type="spellStart"/>
      <w:r w:rsidRPr="00BF05FA">
        <w:rPr>
          <w:rFonts w:ascii="Times New Roman" w:hAnsi="Times New Roman"/>
          <w:sz w:val="24"/>
          <w:szCs w:val="24"/>
        </w:rPr>
        <w:t>MedStat's</w:t>
      </w:r>
      <w:proofErr w:type="spellEnd"/>
      <w:r w:rsidRPr="00BF05FA">
        <w:rPr>
          <w:rFonts w:ascii="Times New Roman" w:hAnsi="Times New Roman"/>
          <w:sz w:val="24"/>
          <w:szCs w:val="24"/>
        </w:rPr>
        <w:t xml:space="preserve"> crew members treated Roscoe for sixteen minutes at the </w:t>
      </w:r>
      <w:proofErr w:type="gramStart"/>
      <w:r w:rsidRPr="00BF05FA">
        <w:rPr>
          <w:rFonts w:ascii="Times New Roman" w:hAnsi="Times New Roman"/>
          <w:sz w:val="24"/>
          <w:szCs w:val="24"/>
        </w:rPr>
        <w:t>scene, and</w:t>
      </w:r>
      <w:proofErr w:type="gramEnd"/>
      <w:r w:rsidRPr="00BF05FA">
        <w:rPr>
          <w:rFonts w:ascii="Times New Roman" w:hAnsi="Times New Roman"/>
          <w:sz w:val="24"/>
          <w:szCs w:val="24"/>
        </w:rPr>
        <w:t xml:space="preserve"> then left the scene in an ambulance heading toward the local hospital</w:t>
      </w:r>
      <w:r>
        <w:rPr>
          <w:rFonts w:ascii="Times New Roman" w:hAnsi="Times New Roman"/>
          <w:sz w:val="24"/>
          <w:szCs w:val="24"/>
        </w:rPr>
        <w:t xml:space="preserve">, where he died.  </w:t>
      </w:r>
      <w:r w:rsidRPr="00133A12">
        <w:rPr>
          <w:rFonts w:ascii="Times New Roman" w:hAnsi="Times New Roman"/>
          <w:sz w:val="24"/>
          <w:szCs w:val="24"/>
        </w:rPr>
        <w:t>Plaintiff’s expert is a physician who is board-certified in internal medicine and pulmonary medicine</w:t>
      </w:r>
      <w:r>
        <w:rPr>
          <w:rFonts w:ascii="Times New Roman" w:hAnsi="Times New Roman"/>
          <w:sz w:val="24"/>
          <w:szCs w:val="24"/>
        </w:rPr>
        <w:t xml:space="preserve">, but has no </w:t>
      </w:r>
      <w:r w:rsidRPr="00133A12">
        <w:rPr>
          <w:rFonts w:ascii="Times New Roman" w:hAnsi="Times New Roman"/>
          <w:sz w:val="24"/>
          <w:szCs w:val="24"/>
        </w:rPr>
        <w:t>experience, education, or background related to emergency medicine or the standards at play when treating patients in the field and on ambulances</w:t>
      </w:r>
      <w:r>
        <w:rPr>
          <w:rFonts w:ascii="Times New Roman" w:hAnsi="Times New Roman"/>
          <w:sz w:val="24"/>
          <w:szCs w:val="24"/>
        </w:rPr>
        <w:t xml:space="preserve">. </w:t>
      </w:r>
      <w:hyperlink r:id="rId2271" w:history="1">
        <w:r w:rsidRPr="00826068">
          <w:rPr>
            <w:rStyle w:val="Hyperlink"/>
            <w:rFonts w:ascii="Times New Roman" w:hAnsi="Times New Roman"/>
            <w:sz w:val="24"/>
            <w:szCs w:val="24"/>
          </w:rPr>
          <w:t>https://public.fastcase.com/waZtJvSA54UAurM2rmIZz3GImxM8vVu83JjC1hitqCF6J52x3NFj71FjQLuzCLQnmvBPUszpB78vzjnxu9to%2Fq0ClMx7mkWBtvY01d0uDxg%3D</w:t>
        </w:r>
      </w:hyperlink>
    </w:p>
    <w:p w14:paraId="68C95F6A" w14:textId="77777777" w:rsidR="009579EB" w:rsidRPr="00B97849" w:rsidRDefault="009579EB" w:rsidP="009579EB">
      <w:pPr>
        <w:spacing w:before="100" w:beforeAutospacing="1" w:after="100" w:afterAutospacing="1" w:line="240" w:lineRule="auto"/>
        <w:rPr>
          <w:rFonts w:ascii="Times New Roman" w:eastAsia="Times New Roman" w:hAnsi="Times New Roman"/>
          <w:b/>
          <w:bCs/>
          <w:sz w:val="24"/>
          <w:szCs w:val="24"/>
        </w:rPr>
      </w:pPr>
      <w:r w:rsidRPr="00133A12">
        <w:rPr>
          <w:rFonts w:ascii="Times New Roman" w:hAnsi="Times New Roman"/>
          <w:b/>
          <w:bCs/>
          <w:sz w:val="24"/>
          <w:szCs w:val="24"/>
        </w:rPr>
        <w:t>Legal Lesson Learned:</w:t>
      </w:r>
      <w:r>
        <w:rPr>
          <w:rFonts w:ascii="Times New Roman" w:hAnsi="Times New Roman"/>
          <w:b/>
          <w:bCs/>
          <w:sz w:val="24"/>
          <w:szCs w:val="24"/>
        </w:rPr>
        <w:t xml:space="preserve"> Plaintiff’s expert witness lacked knowledge of protocol of paramedics. </w:t>
      </w:r>
    </w:p>
    <w:p w14:paraId="0DC8BB62" w14:textId="77777777" w:rsidR="009579EB" w:rsidRDefault="009579EB" w:rsidP="009579EB">
      <w:pPr>
        <w:rPr>
          <w:rFonts w:ascii="Arial Black" w:hAnsi="Arial Black"/>
          <w:b/>
          <w:bCs/>
          <w:sz w:val="28"/>
          <w:szCs w:val="28"/>
        </w:rPr>
      </w:pPr>
    </w:p>
    <w:p w14:paraId="769C2869" w14:textId="77777777" w:rsidR="009579EB" w:rsidRDefault="009579EB" w:rsidP="002B1283">
      <w:pPr>
        <w:rPr>
          <w:rFonts w:ascii="Arial Black" w:hAnsi="Arial Black"/>
          <w:b/>
          <w:bCs/>
          <w:sz w:val="28"/>
          <w:szCs w:val="28"/>
        </w:rPr>
      </w:pPr>
    </w:p>
    <w:p w14:paraId="33A07AB7" w14:textId="2B910C93" w:rsidR="00BA51CC" w:rsidRDefault="00BA51CC" w:rsidP="002B1283">
      <w:pPr>
        <w:rPr>
          <w:rFonts w:ascii="Arial Black" w:hAnsi="Arial Black"/>
          <w:b/>
          <w:bCs/>
          <w:sz w:val="28"/>
          <w:szCs w:val="28"/>
        </w:rPr>
      </w:pPr>
      <w:r>
        <w:rPr>
          <w:rFonts w:ascii="Arial Black" w:hAnsi="Arial Black"/>
          <w:b/>
          <w:bCs/>
          <w:sz w:val="28"/>
          <w:szCs w:val="28"/>
        </w:rPr>
        <w:t>13-113</w:t>
      </w:r>
    </w:p>
    <w:p w14:paraId="77E8980D" w14:textId="77777777" w:rsidR="00BA51CC" w:rsidRDefault="00BA51CC" w:rsidP="00BA51CC">
      <w:pPr>
        <w:spacing w:before="100" w:beforeAutospacing="1" w:after="100" w:afterAutospacing="1" w:line="240" w:lineRule="auto"/>
        <w:rPr>
          <w:rFonts w:ascii="Arial Black" w:hAnsi="Arial Black"/>
          <w:sz w:val="28"/>
          <w:szCs w:val="28"/>
        </w:rPr>
      </w:pPr>
      <w:r w:rsidRPr="00A84EAB">
        <w:rPr>
          <w:rFonts w:ascii="Arial Black" w:hAnsi="Arial Black"/>
          <w:sz w:val="28"/>
          <w:szCs w:val="28"/>
        </w:rPr>
        <w:t xml:space="preserve">OH: </w:t>
      </w:r>
      <w:r>
        <w:rPr>
          <w:rFonts w:ascii="Arial Black" w:hAnsi="Arial Black"/>
          <w:sz w:val="28"/>
          <w:szCs w:val="28"/>
        </w:rPr>
        <w:t>SEVERE ASTHMA ATTACK – EMS WRONG ADDRESS, SLOOPY DISPATCH - “RECKLESSNESS” – CASE PROCEED</w:t>
      </w:r>
    </w:p>
    <w:p w14:paraId="2BB11396" w14:textId="311E1C64" w:rsidR="00BA51CC" w:rsidRDefault="00BA51CC" w:rsidP="00BA51CC">
      <w:pPr>
        <w:rPr>
          <w:rFonts w:ascii="Arial Black" w:hAnsi="Arial Black"/>
          <w:b/>
          <w:bCs/>
          <w:sz w:val="28"/>
          <w:szCs w:val="28"/>
        </w:rPr>
      </w:pPr>
      <w:r>
        <w:rPr>
          <w:rFonts w:ascii="Times New Roman" w:eastAsia="Times New Roman" w:hAnsi="Times New Roman"/>
          <w:sz w:val="24"/>
          <w:szCs w:val="24"/>
        </w:rPr>
        <w:t xml:space="preserve">On May 5, 2022, in </w:t>
      </w:r>
      <w:r w:rsidRPr="0013666F">
        <w:rPr>
          <w:rFonts w:ascii="Times New Roman" w:eastAsia="Times New Roman" w:hAnsi="Times New Roman"/>
          <w:sz w:val="24"/>
          <w:szCs w:val="24"/>
          <w:u w:val="single"/>
        </w:rPr>
        <w:t>Boris Morrison v. City of Warrensville Heights, et al</w:t>
      </w:r>
      <w:r>
        <w:rPr>
          <w:rFonts w:ascii="Times New Roman" w:eastAsia="Times New Roman" w:hAnsi="Times New Roman"/>
          <w:sz w:val="24"/>
          <w:szCs w:val="24"/>
        </w:rPr>
        <w:t xml:space="preserve">., the Court of Appeals of Ohio, Eighth District (Cuyahoga County), held (3 to 0), 2022-Ohio-1489, that the trial court properly denied summary judgment for dispatch and fire / EMS since there appears to be a history of “recklessness” in confirm addresses, and inaccurate arrival times on run reports.  Squad 1 responded to </w:t>
      </w:r>
      <w:r w:rsidRPr="00B93C27">
        <w:rPr>
          <w:rFonts w:ascii="Times New Roman" w:hAnsi="Times New Roman"/>
          <w:sz w:val="24"/>
          <w:szCs w:val="24"/>
        </w:rPr>
        <w:t xml:space="preserve">19419 </w:t>
      </w:r>
      <w:proofErr w:type="spellStart"/>
      <w:r w:rsidRPr="00B93C27">
        <w:rPr>
          <w:rFonts w:ascii="Times New Roman" w:hAnsi="Times New Roman"/>
          <w:sz w:val="24"/>
          <w:szCs w:val="24"/>
        </w:rPr>
        <w:t>Lanbury</w:t>
      </w:r>
      <w:proofErr w:type="spellEnd"/>
      <w:r w:rsidRPr="00B93C27">
        <w:rPr>
          <w:rFonts w:ascii="Times New Roman" w:hAnsi="Times New Roman"/>
          <w:sz w:val="24"/>
          <w:szCs w:val="24"/>
        </w:rPr>
        <w:t xml:space="preserve">, instead of 19219 </w:t>
      </w:r>
      <w:proofErr w:type="spellStart"/>
      <w:r w:rsidRPr="00B93C27">
        <w:rPr>
          <w:rFonts w:ascii="Times New Roman" w:hAnsi="Times New Roman"/>
          <w:sz w:val="24"/>
          <w:szCs w:val="24"/>
        </w:rPr>
        <w:t>Lanbury</w:t>
      </w:r>
      <w:proofErr w:type="spellEnd"/>
      <w:r>
        <w:rPr>
          <w:rFonts w:ascii="Times New Roman" w:hAnsi="Times New Roman"/>
          <w:sz w:val="24"/>
          <w:szCs w:val="24"/>
        </w:rPr>
        <w:t xml:space="preserve">, and when they eventually got the correct </w:t>
      </w:r>
      <w:proofErr w:type="gramStart"/>
      <w:r>
        <w:rPr>
          <w:rFonts w:ascii="Times New Roman" w:hAnsi="Times New Roman"/>
          <w:sz w:val="24"/>
          <w:szCs w:val="24"/>
        </w:rPr>
        <w:t>address</w:t>
      </w:r>
      <w:proofErr w:type="gramEnd"/>
      <w:r>
        <w:rPr>
          <w:rFonts w:ascii="Times New Roman" w:hAnsi="Times New Roman"/>
          <w:sz w:val="24"/>
          <w:szCs w:val="24"/>
        </w:rPr>
        <w:t xml:space="preserve"> the patient was in full cardiac arrest. </w:t>
      </w:r>
      <w:r>
        <w:rPr>
          <w:rFonts w:ascii="Times New Roman" w:eastAsia="Times New Roman" w:hAnsi="Times New Roman"/>
          <w:sz w:val="24"/>
          <w:szCs w:val="24"/>
        </w:rPr>
        <w:t xml:space="preserve">The </w:t>
      </w:r>
      <w:proofErr w:type="gramStart"/>
      <w:r>
        <w:rPr>
          <w:rFonts w:ascii="Times New Roman" w:eastAsia="Times New Roman" w:hAnsi="Times New Roman"/>
          <w:sz w:val="24"/>
          <w:szCs w:val="24"/>
        </w:rPr>
        <w:t>City</w:t>
      </w:r>
      <w:proofErr w:type="gramEnd"/>
      <w:r>
        <w:rPr>
          <w:rFonts w:ascii="Times New Roman" w:eastAsia="Times New Roman" w:hAnsi="Times New Roman"/>
          <w:sz w:val="24"/>
          <w:szCs w:val="24"/>
        </w:rPr>
        <w:t xml:space="preserve"> asked the County Sheriff’s office to investigate and their report reflected a history of sloppy procedures on confirming run addresses and inaccurate run times.  The Court of Appeals noted: </w:t>
      </w:r>
      <w:r>
        <w:rPr>
          <w:rFonts w:ascii="Times New Roman" w:hAnsi="Times New Roman"/>
          <w:sz w:val="24"/>
          <w:szCs w:val="24"/>
        </w:rPr>
        <w:t>“</w:t>
      </w:r>
      <w:r w:rsidRPr="00B4142C">
        <w:rPr>
          <w:rFonts w:ascii="Times New Roman" w:eastAsia="Times New Roman" w:hAnsi="Times New Roman"/>
          <w:sz w:val="24"/>
          <w:szCs w:val="24"/>
        </w:rPr>
        <w:t xml:space="preserve">Both the run report and the dispatch report show that Ms. Morrison's 911 call was received at 9:40 a.m. However, the 911 call was </w:t>
      </w:r>
      <w:proofErr w:type="gramStart"/>
      <w:r w:rsidRPr="00B4142C">
        <w:rPr>
          <w:rFonts w:ascii="Times New Roman" w:eastAsia="Times New Roman" w:hAnsi="Times New Roman"/>
          <w:sz w:val="24"/>
          <w:szCs w:val="24"/>
        </w:rPr>
        <w:t>actually received</w:t>
      </w:r>
      <w:proofErr w:type="gramEnd"/>
      <w:r w:rsidRPr="00B4142C">
        <w:rPr>
          <w:rFonts w:ascii="Times New Roman" w:eastAsia="Times New Roman" w:hAnsi="Times New Roman"/>
          <w:sz w:val="24"/>
          <w:szCs w:val="24"/>
        </w:rPr>
        <w:t xml:space="preserve"> at 9:37 a.m. This change makes it appear that EMS was dispatched as soon as the call was received. They both also show that EMS arrived at Ms. Morrison's home at 9:44 a.m. making it appear that Ms. Morrison received </w:t>
      </w:r>
      <w:r w:rsidRPr="00B4142C">
        <w:rPr>
          <w:rFonts w:ascii="Times New Roman" w:eastAsia="Times New Roman" w:hAnsi="Times New Roman"/>
          <w:sz w:val="24"/>
          <w:szCs w:val="24"/>
        </w:rPr>
        <w:lastRenderedPageBreak/>
        <w:t xml:space="preserve">services three minutes earlier than she </w:t>
      </w:r>
      <w:proofErr w:type="gramStart"/>
      <w:r w:rsidRPr="00B4142C">
        <w:rPr>
          <w:rFonts w:ascii="Times New Roman" w:eastAsia="Times New Roman" w:hAnsi="Times New Roman"/>
          <w:sz w:val="24"/>
          <w:szCs w:val="24"/>
        </w:rPr>
        <w:t>actually did</w:t>
      </w:r>
      <w:proofErr w:type="gramEnd"/>
      <w:r w:rsidRPr="00B4142C">
        <w:rPr>
          <w:rFonts w:ascii="Times New Roman" w:eastAsia="Times New Roman" w:hAnsi="Times New Roman"/>
          <w:sz w:val="24"/>
          <w:szCs w:val="24"/>
        </w:rPr>
        <w:t>.</w:t>
      </w:r>
      <w:r>
        <w:rPr>
          <w:rFonts w:ascii="Times New Roman" w:eastAsia="Times New Roman" w:hAnsi="Times New Roman"/>
          <w:sz w:val="24"/>
          <w:szCs w:val="24"/>
        </w:rPr>
        <w:t xml:space="preserve">” </w:t>
      </w:r>
      <w:hyperlink r:id="rId2272" w:history="1">
        <w:r w:rsidRPr="00B7678D">
          <w:rPr>
            <w:rStyle w:val="Hyperlink"/>
            <w:rFonts w:ascii="Times New Roman" w:eastAsia="Times New Roman" w:hAnsi="Times New Roman"/>
            <w:sz w:val="24"/>
            <w:szCs w:val="24"/>
          </w:rPr>
          <w:t>https://www.supremecourt.ohio.gov/rod/docs/pdf/8/2022/2022-Ohio-1489.pdf</w:t>
        </w:r>
      </w:hyperlink>
    </w:p>
    <w:p w14:paraId="0F377C22" w14:textId="77777777" w:rsidR="00BA51CC" w:rsidRPr="00B4142C" w:rsidRDefault="00BA51CC" w:rsidP="00BA51CC">
      <w:pPr>
        <w:spacing w:before="100" w:beforeAutospacing="1" w:after="100" w:afterAutospacing="1" w:line="240" w:lineRule="auto"/>
        <w:rPr>
          <w:rFonts w:ascii="Times New Roman" w:eastAsia="Times New Roman" w:hAnsi="Times New Roman"/>
          <w:b/>
          <w:bCs/>
          <w:sz w:val="24"/>
          <w:szCs w:val="24"/>
        </w:rPr>
      </w:pPr>
      <w:r w:rsidRPr="00B438A6">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The City would be wise to settle this </w:t>
      </w:r>
      <w:proofErr w:type="gramStart"/>
      <w:r>
        <w:rPr>
          <w:rFonts w:ascii="Times New Roman" w:eastAsia="Times New Roman" w:hAnsi="Times New Roman"/>
          <w:b/>
          <w:bCs/>
          <w:sz w:val="24"/>
          <w:szCs w:val="24"/>
        </w:rPr>
        <w:t>lawsuit, and</w:t>
      </w:r>
      <w:proofErr w:type="gramEnd"/>
      <w:r>
        <w:rPr>
          <w:rFonts w:ascii="Times New Roman" w:eastAsia="Times New Roman" w:hAnsi="Times New Roman"/>
          <w:b/>
          <w:bCs/>
          <w:sz w:val="24"/>
          <w:szCs w:val="24"/>
        </w:rPr>
        <w:t xml:space="preserve"> promptly correct these identified deficiencies in both dispatch and fire/EMS. </w:t>
      </w:r>
    </w:p>
    <w:p w14:paraId="7ABD8424" w14:textId="77777777" w:rsidR="00BA51CC" w:rsidRDefault="00BA51CC" w:rsidP="002B1283">
      <w:pPr>
        <w:rPr>
          <w:rFonts w:ascii="Arial Black" w:hAnsi="Arial Black"/>
          <w:b/>
          <w:bCs/>
          <w:sz w:val="28"/>
          <w:szCs w:val="28"/>
        </w:rPr>
      </w:pPr>
    </w:p>
    <w:p w14:paraId="7021DB0B" w14:textId="77777777" w:rsidR="00BA51CC" w:rsidRDefault="00BA51CC" w:rsidP="002B1283">
      <w:pPr>
        <w:rPr>
          <w:rFonts w:ascii="Arial Black" w:hAnsi="Arial Black"/>
          <w:b/>
          <w:bCs/>
          <w:sz w:val="28"/>
          <w:szCs w:val="28"/>
        </w:rPr>
      </w:pPr>
    </w:p>
    <w:p w14:paraId="3F02350E" w14:textId="5383535C" w:rsidR="00BA51CC" w:rsidRDefault="00BA51CC" w:rsidP="002B1283">
      <w:pPr>
        <w:rPr>
          <w:rFonts w:ascii="Arial Black" w:hAnsi="Arial Black"/>
          <w:b/>
          <w:bCs/>
          <w:sz w:val="28"/>
          <w:szCs w:val="28"/>
        </w:rPr>
      </w:pPr>
      <w:r>
        <w:rPr>
          <w:rFonts w:ascii="Arial Black" w:hAnsi="Arial Black"/>
          <w:b/>
          <w:bCs/>
          <w:sz w:val="28"/>
          <w:szCs w:val="28"/>
        </w:rPr>
        <w:t>13-112</w:t>
      </w:r>
    </w:p>
    <w:p w14:paraId="70567211" w14:textId="77777777" w:rsidR="00BA51CC" w:rsidRPr="00F7080A" w:rsidRDefault="00BA51CC" w:rsidP="00BA51CC">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NY: 350 POUND SEIZURE PATIENT - FLAILING AROUND – VERSED – DIED – PLAINTIFF 3 EXPERTS – CASE PROCEED</w:t>
      </w:r>
    </w:p>
    <w:p w14:paraId="3F62F9AD" w14:textId="77777777" w:rsidR="00BA51CC" w:rsidRDefault="00BA51CC" w:rsidP="00BA51CC">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May 2, 2022, in </w:t>
      </w:r>
      <w:r w:rsidRPr="001710B6">
        <w:rPr>
          <w:rFonts w:ascii="Times New Roman" w:hAnsi="Times New Roman"/>
          <w:sz w:val="24"/>
          <w:szCs w:val="24"/>
          <w:u w:val="single"/>
        </w:rPr>
        <w:t xml:space="preserve">Linda Artemiou, Estate of Peter C. </w:t>
      </w:r>
      <w:proofErr w:type="spellStart"/>
      <w:r w:rsidRPr="001710B6">
        <w:rPr>
          <w:rFonts w:ascii="Times New Roman" w:hAnsi="Times New Roman"/>
          <w:sz w:val="24"/>
          <w:szCs w:val="24"/>
          <w:u w:val="single"/>
        </w:rPr>
        <w:t>Artemiou</w:t>
      </w:r>
      <w:proofErr w:type="spellEnd"/>
      <w:r w:rsidRPr="001710B6">
        <w:rPr>
          <w:rFonts w:ascii="Times New Roman" w:hAnsi="Times New Roman"/>
          <w:sz w:val="24"/>
          <w:szCs w:val="24"/>
          <w:u w:val="single"/>
        </w:rPr>
        <w:t>, Deceased v. City of New York, et al</w:t>
      </w:r>
      <w:r>
        <w:rPr>
          <w:rFonts w:ascii="Times New Roman" w:hAnsi="Times New Roman"/>
          <w:sz w:val="24"/>
          <w:szCs w:val="24"/>
        </w:rPr>
        <w:t xml:space="preserve">., the Supreme Court, New York County, held Justice Judith McMahon held that while the medical doctor on the NYC Telemetry Unit who authorized the Versed enjoys governmental immunity, as does the City of New York, the lawsuit against the medics, employed by New York-Presbyterian Hospital will not dismissed. Co-workers of the patient </w:t>
      </w:r>
      <w:r w:rsidRPr="00DD7BC1">
        <w:rPr>
          <w:rFonts w:ascii="Times New Roman" w:hAnsi="Times New Roman"/>
          <w:sz w:val="24"/>
          <w:szCs w:val="24"/>
        </w:rPr>
        <w:t xml:space="preserve">described the decedent on the morning of the emergency as "foaming at the mouth," speaking incoherently and calling for his mother, standing up, </w:t>
      </w:r>
      <w:proofErr w:type="gramStart"/>
      <w:r w:rsidRPr="00DD7BC1">
        <w:rPr>
          <w:rFonts w:ascii="Times New Roman" w:hAnsi="Times New Roman"/>
          <w:sz w:val="24"/>
          <w:szCs w:val="24"/>
        </w:rPr>
        <w:t>falling down</w:t>
      </w:r>
      <w:proofErr w:type="gramEnd"/>
      <w:r w:rsidRPr="00DD7BC1">
        <w:rPr>
          <w:rFonts w:ascii="Times New Roman" w:hAnsi="Times New Roman"/>
          <w:sz w:val="24"/>
          <w:szCs w:val="24"/>
        </w:rPr>
        <w:t xml:space="preserve">, flailing around the room and appearing </w:t>
      </w:r>
      <w:r>
        <w:rPr>
          <w:rFonts w:ascii="Times New Roman" w:hAnsi="Times New Roman"/>
          <w:sz w:val="24"/>
          <w:szCs w:val="24"/>
        </w:rPr>
        <w:t>‘</w:t>
      </w:r>
      <w:r w:rsidRPr="00DD7BC1">
        <w:rPr>
          <w:rFonts w:ascii="Times New Roman" w:hAnsi="Times New Roman"/>
          <w:sz w:val="24"/>
          <w:szCs w:val="24"/>
        </w:rPr>
        <w:t>very agitated.</w:t>
      </w:r>
      <w:r>
        <w:rPr>
          <w:rFonts w:ascii="Times New Roman" w:hAnsi="Times New Roman"/>
          <w:sz w:val="24"/>
          <w:szCs w:val="24"/>
        </w:rPr>
        <w:t xml:space="preserve"> </w:t>
      </w:r>
      <w:r w:rsidRPr="00DD7BC1">
        <w:rPr>
          <w:rFonts w:ascii="Times New Roman" w:hAnsi="Times New Roman"/>
          <w:sz w:val="24"/>
          <w:szCs w:val="24"/>
        </w:rPr>
        <w:t xml:space="preserve">Dr. Schneitzer, who was physically at an FDNY </w:t>
      </w:r>
      <w:r>
        <w:rPr>
          <w:rFonts w:ascii="Times New Roman" w:hAnsi="Times New Roman"/>
          <w:sz w:val="24"/>
          <w:szCs w:val="24"/>
        </w:rPr>
        <w:t>‘</w:t>
      </w:r>
      <w:r w:rsidRPr="00DD7BC1">
        <w:rPr>
          <w:rFonts w:ascii="Times New Roman" w:hAnsi="Times New Roman"/>
          <w:sz w:val="24"/>
          <w:szCs w:val="24"/>
        </w:rPr>
        <w:t>online medical control</w:t>
      </w:r>
      <w:r>
        <w:rPr>
          <w:rFonts w:ascii="Times New Roman" w:hAnsi="Times New Roman"/>
          <w:sz w:val="24"/>
          <w:szCs w:val="24"/>
        </w:rPr>
        <w:t>’</w:t>
      </w:r>
      <w:r w:rsidRPr="00DD7BC1">
        <w:rPr>
          <w:rFonts w:ascii="Times New Roman" w:hAnsi="Times New Roman"/>
          <w:sz w:val="24"/>
          <w:szCs w:val="24"/>
        </w:rPr>
        <w:t xml:space="preserve"> office in Maspeth, Queens when the paramedic's call was transferred to her, claims that she instructed the paramedics according to the information they provided her (</w:t>
      </w:r>
      <w:r w:rsidRPr="00DD7BC1">
        <w:rPr>
          <w:rStyle w:val="Emphasis"/>
          <w:rFonts w:ascii="Times New Roman" w:hAnsi="Times New Roman"/>
          <w:sz w:val="24"/>
          <w:szCs w:val="24"/>
        </w:rPr>
        <w:t>i.e.,</w:t>
      </w:r>
      <w:r w:rsidRPr="00DD7BC1">
        <w:rPr>
          <w:rFonts w:ascii="Times New Roman" w:hAnsi="Times New Roman"/>
          <w:sz w:val="24"/>
          <w:szCs w:val="24"/>
        </w:rPr>
        <w:t xml:space="preserve"> their inability to get close enough to decedent to obtain his vital signs, inability to ascertain decedent's medical history, </w:t>
      </w:r>
      <w:proofErr w:type="spellStart"/>
      <w:r w:rsidRPr="00DD7BC1">
        <w:rPr>
          <w:rFonts w:ascii="Times New Roman" w:hAnsi="Times New Roman"/>
          <w:sz w:val="24"/>
          <w:szCs w:val="24"/>
        </w:rPr>
        <w:t>etc</w:t>
      </w:r>
      <w:r>
        <w:rPr>
          <w:rFonts w:ascii="Times New Roman" w:hAnsi="Times New Roman"/>
          <w:sz w:val="24"/>
          <w:szCs w:val="24"/>
        </w:rPr>
        <w:t>.Court</w:t>
      </w:r>
      <w:proofErr w:type="spellEnd"/>
      <w:r>
        <w:rPr>
          <w:rFonts w:ascii="Times New Roman" w:hAnsi="Times New Roman"/>
          <w:sz w:val="24"/>
          <w:szCs w:val="24"/>
        </w:rPr>
        <w:t xml:space="preserve"> declined to dismiss the medics from the lawsuit, based on plaintiff’s three medical experts: (1) </w:t>
      </w:r>
      <w:r w:rsidRPr="00075CA3">
        <w:rPr>
          <w:rFonts w:ascii="Times New Roman" w:hAnsi="Times New Roman"/>
          <w:sz w:val="24"/>
          <w:szCs w:val="24"/>
        </w:rPr>
        <w:t>certified paramedic</w:t>
      </w:r>
      <w:r>
        <w:rPr>
          <w:rFonts w:ascii="Times New Roman" w:hAnsi="Times New Roman"/>
          <w:sz w:val="24"/>
          <w:szCs w:val="24"/>
        </w:rPr>
        <w:t xml:space="preserve">; (2) </w:t>
      </w:r>
      <w:r w:rsidRPr="00075CA3">
        <w:rPr>
          <w:rFonts w:ascii="Times New Roman" w:hAnsi="Times New Roman"/>
          <w:sz w:val="24"/>
          <w:szCs w:val="24"/>
        </w:rPr>
        <w:t>a critical care physician</w:t>
      </w:r>
      <w:r>
        <w:rPr>
          <w:rFonts w:ascii="Times New Roman" w:hAnsi="Times New Roman"/>
          <w:sz w:val="24"/>
          <w:szCs w:val="24"/>
        </w:rPr>
        <w:t xml:space="preserve">; and (3) </w:t>
      </w:r>
      <w:r w:rsidRPr="00075CA3">
        <w:rPr>
          <w:rFonts w:ascii="Times New Roman" w:hAnsi="Times New Roman"/>
          <w:sz w:val="24"/>
          <w:szCs w:val="24"/>
        </w:rPr>
        <w:t xml:space="preserve">and an internist with experience in the field of emergency medicine </w:t>
      </w:r>
      <w:r>
        <w:rPr>
          <w:rFonts w:ascii="Times New Roman" w:hAnsi="Times New Roman"/>
          <w:sz w:val="24"/>
          <w:szCs w:val="24"/>
        </w:rPr>
        <w:t xml:space="preserve">who claim the medics </w:t>
      </w:r>
      <w:r w:rsidRPr="00075CA3">
        <w:rPr>
          <w:rFonts w:ascii="Times New Roman" w:hAnsi="Times New Roman"/>
          <w:sz w:val="24"/>
          <w:szCs w:val="24"/>
        </w:rPr>
        <w:t>failed to recognize decedent's postictal state (</w:t>
      </w:r>
      <w:r w:rsidRPr="00075CA3">
        <w:rPr>
          <w:rStyle w:val="Emphasis"/>
          <w:rFonts w:ascii="Times New Roman" w:hAnsi="Times New Roman"/>
          <w:sz w:val="24"/>
          <w:szCs w:val="24"/>
        </w:rPr>
        <w:t>i.e.,</w:t>
      </w:r>
      <w:r w:rsidRPr="00075CA3">
        <w:rPr>
          <w:rFonts w:ascii="Times New Roman" w:hAnsi="Times New Roman"/>
          <w:sz w:val="24"/>
          <w:szCs w:val="24"/>
        </w:rPr>
        <w:t xml:space="preserve"> the state immediately following a seizure), which commonly involves medical risks including an impaired ability to oxygenate</w:t>
      </w:r>
      <w:r>
        <w:rPr>
          <w:rFonts w:ascii="Times New Roman" w:hAnsi="Times New Roman"/>
          <w:sz w:val="24"/>
          <w:szCs w:val="24"/>
        </w:rPr>
        <w:t xml:space="preserve">. </w:t>
      </w:r>
      <w:hyperlink r:id="rId2273" w:history="1">
        <w:r w:rsidRPr="00600142">
          <w:rPr>
            <w:rStyle w:val="Hyperlink"/>
            <w:rFonts w:ascii="Times New Roman" w:hAnsi="Times New Roman"/>
            <w:sz w:val="24"/>
            <w:szCs w:val="24"/>
          </w:rPr>
          <w:t>https://law.justia.com/cases/new-york/other-courts/2022/2022-ny-slip-op-22137.html</w:t>
        </w:r>
      </w:hyperlink>
      <w:r>
        <w:rPr>
          <w:rFonts w:ascii="Times New Roman" w:hAnsi="Times New Roman"/>
          <w:sz w:val="24"/>
          <w:szCs w:val="24"/>
        </w:rPr>
        <w:t xml:space="preserve"> </w:t>
      </w:r>
    </w:p>
    <w:p w14:paraId="49812C7F" w14:textId="77777777" w:rsidR="00BA51CC" w:rsidRPr="00BA4B0D" w:rsidRDefault="00BA51CC" w:rsidP="00BA51CC">
      <w:pPr>
        <w:spacing w:before="100" w:beforeAutospacing="1" w:after="100" w:afterAutospacing="1" w:line="240" w:lineRule="auto"/>
        <w:rPr>
          <w:rFonts w:ascii="Times New Roman" w:hAnsi="Times New Roman"/>
          <w:b/>
          <w:bCs/>
          <w:sz w:val="24"/>
          <w:szCs w:val="24"/>
        </w:rPr>
      </w:pPr>
      <w:r w:rsidRPr="00BA4B0D">
        <w:rPr>
          <w:rFonts w:ascii="Times New Roman" w:hAnsi="Times New Roman"/>
          <w:b/>
          <w:bCs/>
          <w:sz w:val="24"/>
          <w:szCs w:val="24"/>
        </w:rPr>
        <w:t xml:space="preserve">Legal Lesson Learned: </w:t>
      </w:r>
      <w:r>
        <w:rPr>
          <w:rFonts w:ascii="Times New Roman" w:hAnsi="Times New Roman"/>
          <w:b/>
          <w:bCs/>
          <w:sz w:val="24"/>
          <w:szCs w:val="24"/>
        </w:rPr>
        <w:t xml:space="preserve">The trial court judge has referenced three plaintiff experts in ordering the case to trial. </w:t>
      </w:r>
    </w:p>
    <w:p w14:paraId="18C59E4B" w14:textId="77777777" w:rsidR="00BA51CC" w:rsidRDefault="00BA51CC" w:rsidP="002B1283">
      <w:pPr>
        <w:rPr>
          <w:rFonts w:ascii="Arial Black" w:hAnsi="Arial Black"/>
          <w:b/>
          <w:bCs/>
          <w:sz w:val="28"/>
          <w:szCs w:val="28"/>
        </w:rPr>
      </w:pPr>
    </w:p>
    <w:p w14:paraId="4D836FF7" w14:textId="77777777" w:rsidR="00BA51CC" w:rsidRDefault="00BA51CC" w:rsidP="002B1283">
      <w:pPr>
        <w:rPr>
          <w:rFonts w:ascii="Arial Black" w:hAnsi="Arial Black"/>
          <w:b/>
          <w:bCs/>
          <w:sz w:val="28"/>
          <w:szCs w:val="28"/>
        </w:rPr>
      </w:pPr>
    </w:p>
    <w:p w14:paraId="1B3B6B4E" w14:textId="77777777" w:rsidR="00BA51CC" w:rsidRDefault="00BA51CC" w:rsidP="002B1283">
      <w:pPr>
        <w:rPr>
          <w:rFonts w:ascii="Arial Black" w:hAnsi="Arial Black"/>
          <w:b/>
          <w:bCs/>
          <w:sz w:val="28"/>
          <w:szCs w:val="28"/>
        </w:rPr>
      </w:pPr>
    </w:p>
    <w:p w14:paraId="7077C2BF" w14:textId="466B3E22" w:rsidR="00221640" w:rsidRDefault="00221640" w:rsidP="002B1283">
      <w:pPr>
        <w:rPr>
          <w:rFonts w:ascii="Arial Black" w:hAnsi="Arial Black"/>
          <w:b/>
          <w:bCs/>
          <w:sz w:val="28"/>
          <w:szCs w:val="28"/>
        </w:rPr>
      </w:pPr>
      <w:r>
        <w:rPr>
          <w:rFonts w:ascii="Arial Black" w:hAnsi="Arial Black"/>
          <w:b/>
          <w:bCs/>
          <w:sz w:val="28"/>
          <w:szCs w:val="28"/>
        </w:rPr>
        <w:t>13-111</w:t>
      </w:r>
    </w:p>
    <w:p w14:paraId="14B174D5" w14:textId="77777777" w:rsidR="00221640" w:rsidRPr="00877C6E" w:rsidRDefault="00221640" w:rsidP="00221640">
      <w:pPr>
        <w:spacing w:before="100" w:beforeAutospacing="1" w:after="100" w:afterAutospacing="1" w:line="240" w:lineRule="auto"/>
        <w:rPr>
          <w:rStyle w:val="Strong"/>
          <w:rFonts w:ascii="Arial Black" w:hAnsi="Arial Black"/>
          <w:sz w:val="28"/>
          <w:szCs w:val="28"/>
        </w:rPr>
      </w:pPr>
      <w:r>
        <w:rPr>
          <w:rStyle w:val="Strong"/>
          <w:rFonts w:ascii="Arial Black" w:hAnsi="Arial Black"/>
          <w:sz w:val="28"/>
          <w:szCs w:val="28"/>
        </w:rPr>
        <w:t>NC: QUADRIPEDIC – DAUGHTER POWER-OF-ATTORNEY – MEDICS / DEPUTY REFUSED TRANSPORT – NO IMMUNITY</w:t>
      </w:r>
    </w:p>
    <w:p w14:paraId="76DBC5C6" w14:textId="77777777" w:rsidR="00221640" w:rsidRPr="00221640" w:rsidRDefault="00221640" w:rsidP="00221640">
      <w:pPr>
        <w:spacing w:before="100" w:beforeAutospacing="1" w:after="100" w:afterAutospacing="1" w:line="240" w:lineRule="auto"/>
        <w:rPr>
          <w:rFonts w:ascii="Times New Roman" w:hAnsi="Times New Roman"/>
          <w:sz w:val="24"/>
          <w:szCs w:val="24"/>
        </w:rPr>
      </w:pPr>
      <w:r w:rsidRPr="00221640">
        <w:rPr>
          <w:rStyle w:val="Strong"/>
          <w:rFonts w:ascii="Times New Roman" w:hAnsi="Times New Roman"/>
          <w:b w:val="0"/>
          <w:bCs w:val="0"/>
          <w:sz w:val="24"/>
          <w:szCs w:val="24"/>
        </w:rPr>
        <w:lastRenderedPageBreak/>
        <w:t xml:space="preserve">On March 30, 2022, in </w:t>
      </w:r>
      <w:r w:rsidRPr="00221640">
        <w:rPr>
          <w:rStyle w:val="Strong"/>
          <w:rFonts w:ascii="Times New Roman" w:hAnsi="Times New Roman"/>
          <w:b w:val="0"/>
          <w:bCs w:val="0"/>
          <w:sz w:val="24"/>
          <w:szCs w:val="24"/>
          <w:u w:val="single"/>
        </w:rPr>
        <w:t>Justin L. Sutton, personal representative of the Estate of Hartwell Lanier King, Sr., et al. v. Rockingham County, et al</w:t>
      </w:r>
      <w:r w:rsidRPr="00221640">
        <w:rPr>
          <w:rStyle w:val="Strong"/>
          <w:rFonts w:ascii="Times New Roman" w:hAnsi="Times New Roman"/>
          <w:b w:val="0"/>
          <w:bCs w:val="0"/>
          <w:sz w:val="24"/>
          <w:szCs w:val="24"/>
        </w:rPr>
        <w:t xml:space="preserve">., U.S. District Court Judge Loretta C. Briggs, U.S. District Court for Middle District of North Carolina, held that while the County has governmental immunity and is dismissed from the case, the three paramedics and Deputy Sheriff remain defendants in the wrongful death claims for not transporting the elderly patient with </w:t>
      </w:r>
      <w:r w:rsidRPr="00221640">
        <w:rPr>
          <w:rFonts w:ascii="Times New Roman" w:hAnsi="Times New Roman"/>
          <w:sz w:val="24"/>
          <w:szCs w:val="24"/>
        </w:rPr>
        <w:t xml:space="preserve">severe respiratory distress and abnormal breathing, elevated heart rate, high grade fever, severe dehydration, and inability to consume solid foods and liquids.  He died the next morning. </w:t>
      </w:r>
      <w:r w:rsidRPr="00221640">
        <w:rPr>
          <w:rFonts w:ascii="Times New Roman" w:eastAsia="Times New Roman" w:hAnsi="Times New Roman"/>
          <w:sz w:val="24"/>
          <w:szCs w:val="24"/>
        </w:rPr>
        <w:t xml:space="preserve">The medics, despite </w:t>
      </w:r>
      <w:r w:rsidRPr="00221640">
        <w:rPr>
          <w:rStyle w:val="Strong"/>
          <w:rFonts w:ascii="Times New Roman" w:hAnsi="Times New Roman"/>
          <w:b w:val="0"/>
          <w:bCs w:val="0"/>
          <w:sz w:val="24"/>
          <w:szCs w:val="24"/>
        </w:rPr>
        <w:t>the daughter’s Power-Of-Attorney, allegedly</w:t>
      </w:r>
      <w:r w:rsidRPr="00221640">
        <w:rPr>
          <w:rStyle w:val="Strong"/>
          <w:rFonts w:ascii="Times New Roman" w:hAnsi="Times New Roman"/>
          <w:sz w:val="24"/>
          <w:szCs w:val="24"/>
        </w:rPr>
        <w:t xml:space="preserve"> </w:t>
      </w:r>
      <w:r w:rsidRPr="00221640">
        <w:rPr>
          <w:rFonts w:ascii="Times New Roman" w:hAnsi="Times New Roman"/>
          <w:sz w:val="24"/>
          <w:szCs w:val="24"/>
        </w:rPr>
        <w:t xml:space="preserve">“deemed Mr. King's transportation to the emergency room facility that day as tantamount to ‘kidnapping,' and thus refused to transfer Mr. King out of fear and reprisal that such action would result in the termination of their employment with Rockingham County.” </w:t>
      </w:r>
      <w:hyperlink r:id="rId2274" w:history="1">
        <w:r w:rsidRPr="00221640">
          <w:rPr>
            <w:rStyle w:val="Hyperlink"/>
            <w:rFonts w:ascii="Times New Roman" w:hAnsi="Times New Roman"/>
            <w:sz w:val="24"/>
            <w:szCs w:val="24"/>
          </w:rPr>
          <w:t>https://casetext.com/case/sutton-v-rockingham-cnty</w:t>
        </w:r>
      </w:hyperlink>
      <w:r w:rsidRPr="00221640">
        <w:rPr>
          <w:rFonts w:ascii="Times New Roman" w:hAnsi="Times New Roman"/>
          <w:sz w:val="24"/>
          <w:szCs w:val="24"/>
        </w:rPr>
        <w:t xml:space="preserve"> </w:t>
      </w:r>
    </w:p>
    <w:p w14:paraId="683F382F" w14:textId="77777777" w:rsidR="00221640" w:rsidRPr="00DD0155" w:rsidRDefault="00221640" w:rsidP="00221640">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CB569D">
        <w:rPr>
          <w:rFonts w:ascii="Times New Roman" w:hAnsi="Times New Roman"/>
          <w:sz w:val="24"/>
          <w:szCs w:val="24"/>
        </w:rPr>
        <w:t>Here, Plaintiffs do not allege medical malpractice</w:t>
      </w:r>
      <w:r>
        <w:rPr>
          <w:rFonts w:ascii="Times New Roman" w:hAnsi="Times New Roman"/>
          <w:sz w:val="24"/>
          <w:szCs w:val="24"/>
        </w:rPr>
        <w:t xml:space="preserve"> [which would require affidavit from MD that medical standard of care were breached].  </w:t>
      </w:r>
      <w:r w:rsidRPr="00DD0155">
        <w:rPr>
          <w:rFonts w:ascii="Times New Roman" w:hAnsi="Times New Roman"/>
          <w:sz w:val="24"/>
          <w:szCs w:val="24"/>
        </w:rPr>
        <w:t xml:space="preserve">Taking all alleged facts in the light most favorable to Plaintiffs, Defendants' refusal to transport King to the hospital was not a medical decision based on the severity of his condition, but rather a legal decision based on their fear that transporting King would constitute </w:t>
      </w:r>
      <w:r>
        <w:rPr>
          <w:rFonts w:ascii="Times New Roman" w:hAnsi="Times New Roman"/>
          <w:sz w:val="24"/>
          <w:szCs w:val="24"/>
        </w:rPr>
        <w:t>‘</w:t>
      </w:r>
      <w:r w:rsidRPr="00DD0155">
        <w:rPr>
          <w:rFonts w:ascii="Times New Roman" w:hAnsi="Times New Roman"/>
          <w:sz w:val="24"/>
          <w:szCs w:val="24"/>
        </w:rPr>
        <w:t>kidnapping</w:t>
      </w:r>
      <w:r>
        <w:rPr>
          <w:rFonts w:ascii="Times New Roman" w:hAnsi="Times New Roman"/>
          <w:sz w:val="24"/>
          <w:szCs w:val="24"/>
        </w:rPr>
        <w:t>’</w:t>
      </w:r>
      <w:r w:rsidRPr="00DD0155">
        <w:rPr>
          <w:rFonts w:ascii="Times New Roman" w:hAnsi="Times New Roman"/>
          <w:sz w:val="24"/>
          <w:szCs w:val="24"/>
        </w:rPr>
        <w:t xml:space="preserve"> and would cause them to lose their employment</w:t>
      </w:r>
      <w:r>
        <w:rPr>
          <w:rFonts w:ascii="Times New Roman" w:hAnsi="Times New Roman"/>
          <w:sz w:val="24"/>
          <w:szCs w:val="24"/>
        </w:rPr>
        <w:t xml:space="preserve">…. </w:t>
      </w:r>
      <w:r w:rsidRPr="00DD0155">
        <w:rPr>
          <w:rFonts w:ascii="Times New Roman" w:hAnsi="Times New Roman"/>
          <w:sz w:val="24"/>
          <w:szCs w:val="24"/>
        </w:rPr>
        <w:t xml:space="preserve"> Moreover, Plaintiffs allege Defendants refused to recognize Becky Sutton's power of attorney-another administrative decision that required no medical expertise. These decisions are akin to the hospital's administrative policy in </w:t>
      </w:r>
      <w:r w:rsidRPr="00DD0155">
        <w:rPr>
          <w:rStyle w:val="Emphasis"/>
          <w:rFonts w:ascii="Times New Roman" w:hAnsi="Times New Roman"/>
          <w:sz w:val="24"/>
          <w:szCs w:val="24"/>
        </w:rPr>
        <w:t>Muse</w:t>
      </w:r>
      <w:r w:rsidRPr="00DD0155">
        <w:rPr>
          <w:rFonts w:ascii="Times New Roman" w:hAnsi="Times New Roman"/>
          <w:sz w:val="24"/>
          <w:szCs w:val="24"/>
        </w:rPr>
        <w:t xml:space="preserve"> of discharging patients based on the expiration of their insurance rather than their medical needs. </w:t>
      </w:r>
      <w:r w:rsidRPr="00DD0155">
        <w:rPr>
          <w:rStyle w:val="Emphasis"/>
          <w:rFonts w:ascii="Times New Roman" w:hAnsi="Times New Roman"/>
          <w:sz w:val="24"/>
          <w:szCs w:val="24"/>
        </w:rPr>
        <w:t>Muse</w:t>
      </w:r>
      <w:r w:rsidRPr="00DD0155">
        <w:rPr>
          <w:rFonts w:ascii="Times New Roman" w:hAnsi="Times New Roman"/>
          <w:sz w:val="24"/>
          <w:szCs w:val="24"/>
        </w:rPr>
        <w:t>, 452 S.E.2d at 593. In both cases, the allegations that health care providers refused medical treatment based on an administrative, not medical, decision.</w:t>
      </w:r>
      <w:r>
        <w:rPr>
          <w:rFonts w:ascii="Times New Roman" w:hAnsi="Times New Roman"/>
          <w:sz w:val="24"/>
          <w:szCs w:val="24"/>
        </w:rPr>
        <w:t xml:space="preserve">” </w:t>
      </w:r>
      <w:hyperlink r:id="rId2275" w:history="1">
        <w:r w:rsidRPr="00B25BE6">
          <w:rPr>
            <w:rStyle w:val="Hyperlink"/>
            <w:rFonts w:ascii="Times New Roman" w:hAnsi="Times New Roman"/>
            <w:sz w:val="24"/>
            <w:szCs w:val="24"/>
          </w:rPr>
          <w:t>https://casetext.com/case/sutton-v-rockingham-cnty</w:t>
        </w:r>
      </w:hyperlink>
      <w:r>
        <w:rPr>
          <w:rFonts w:ascii="Times New Roman" w:hAnsi="Times New Roman"/>
          <w:sz w:val="24"/>
          <w:szCs w:val="24"/>
        </w:rPr>
        <w:t xml:space="preserve"> </w:t>
      </w:r>
    </w:p>
    <w:p w14:paraId="63C8C2BB" w14:textId="77777777" w:rsidR="00221640" w:rsidRPr="00960536" w:rsidRDefault="00221640" w:rsidP="00221640">
      <w:pPr>
        <w:spacing w:before="100" w:beforeAutospacing="1" w:after="100" w:afterAutospacing="1" w:line="240" w:lineRule="auto"/>
        <w:rPr>
          <w:rFonts w:ascii="Times New Roman" w:eastAsia="Times New Roman" w:hAnsi="Times New Roman"/>
          <w:b/>
          <w:bCs/>
          <w:sz w:val="24"/>
          <w:szCs w:val="24"/>
        </w:rPr>
      </w:pPr>
      <w:r w:rsidRPr="00F4572D">
        <w:rPr>
          <w:rFonts w:ascii="Times New Roman" w:hAnsi="Times New Roman"/>
          <w:b/>
          <w:bCs/>
          <w:sz w:val="24"/>
          <w:szCs w:val="24"/>
        </w:rPr>
        <w:t xml:space="preserve">Legal Lesson Learned: </w:t>
      </w:r>
      <w:r>
        <w:rPr>
          <w:rFonts w:ascii="Times New Roman" w:hAnsi="Times New Roman"/>
          <w:b/>
          <w:bCs/>
          <w:sz w:val="24"/>
          <w:szCs w:val="24"/>
        </w:rPr>
        <w:t xml:space="preserve">If in doubt about Power-Of-Attorney, call Medical Control and discuss the patient’s vitals and get authorization to transport. </w:t>
      </w:r>
    </w:p>
    <w:p w14:paraId="17F1074B" w14:textId="77777777" w:rsidR="00221640" w:rsidRDefault="00221640" w:rsidP="002B1283">
      <w:pPr>
        <w:rPr>
          <w:rFonts w:ascii="Arial Black" w:hAnsi="Arial Black"/>
          <w:b/>
          <w:bCs/>
          <w:sz w:val="28"/>
          <w:szCs w:val="28"/>
        </w:rPr>
      </w:pPr>
    </w:p>
    <w:p w14:paraId="1CB04C85" w14:textId="77777777" w:rsidR="00221640" w:rsidRDefault="00221640" w:rsidP="002B1283">
      <w:pPr>
        <w:rPr>
          <w:rFonts w:ascii="Arial Black" w:hAnsi="Arial Black"/>
          <w:b/>
          <w:bCs/>
          <w:sz w:val="28"/>
          <w:szCs w:val="28"/>
        </w:rPr>
      </w:pPr>
    </w:p>
    <w:p w14:paraId="4384485B" w14:textId="3D7716BE" w:rsidR="00221640" w:rsidRDefault="00221640" w:rsidP="002B1283">
      <w:pPr>
        <w:rPr>
          <w:rFonts w:ascii="Arial Black" w:hAnsi="Arial Black"/>
          <w:b/>
          <w:bCs/>
          <w:sz w:val="28"/>
          <w:szCs w:val="28"/>
        </w:rPr>
      </w:pPr>
      <w:r>
        <w:rPr>
          <w:rFonts w:ascii="Arial Black" w:hAnsi="Arial Black"/>
          <w:b/>
          <w:bCs/>
          <w:sz w:val="28"/>
          <w:szCs w:val="28"/>
        </w:rPr>
        <w:t>13-110</w:t>
      </w:r>
    </w:p>
    <w:p w14:paraId="446FB795" w14:textId="77777777" w:rsidR="00221640" w:rsidRDefault="00221640" w:rsidP="00221640">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IL: PHOTO TAKEN OF PATIENT SHOT IN HEAD – LT. PUT ON  FACEBOOK - PUBLIC LOCATION - NOT CONSTIT. VIOL. </w:t>
      </w:r>
    </w:p>
    <w:p w14:paraId="0CE2B99B" w14:textId="77777777" w:rsidR="00221640" w:rsidRDefault="00221640" w:rsidP="00221640">
      <w:pPr>
        <w:spacing w:before="100" w:beforeAutospacing="1" w:after="100" w:afterAutospacing="1" w:line="240" w:lineRule="auto"/>
        <w:rPr>
          <w:rFonts w:ascii="Times New Roman" w:hAnsi="Times New Roman"/>
          <w:sz w:val="24"/>
          <w:szCs w:val="24"/>
        </w:rPr>
      </w:pPr>
      <w:r w:rsidRPr="00051733">
        <w:rPr>
          <w:rFonts w:ascii="Times New Roman" w:hAnsi="Times New Roman"/>
          <w:sz w:val="24"/>
          <w:szCs w:val="24"/>
        </w:rPr>
        <w:t xml:space="preserve">On March 24, 2022, in </w:t>
      </w:r>
      <w:r w:rsidRPr="00051733">
        <w:rPr>
          <w:rFonts w:ascii="Times New Roman" w:hAnsi="Times New Roman"/>
          <w:sz w:val="24"/>
          <w:szCs w:val="24"/>
          <w:u w:val="single"/>
        </w:rPr>
        <w:t xml:space="preserve">Adrian Cazares, Administrator of estate of Victor M. Cazares, Jr. </w:t>
      </w:r>
      <w:r>
        <w:rPr>
          <w:rFonts w:ascii="Times New Roman" w:hAnsi="Times New Roman"/>
          <w:sz w:val="24"/>
          <w:szCs w:val="24"/>
          <w:u w:val="single"/>
        </w:rPr>
        <w:t xml:space="preserve">and </w:t>
      </w:r>
      <w:r w:rsidRPr="00A573EA">
        <w:rPr>
          <w:rFonts w:ascii="Times New Roman" w:hAnsi="Times New Roman"/>
          <w:sz w:val="24"/>
          <w:szCs w:val="24"/>
          <w:u w:val="single"/>
        </w:rPr>
        <w:t xml:space="preserve">Michelle </w:t>
      </w:r>
      <w:r>
        <w:rPr>
          <w:rFonts w:ascii="Times New Roman" w:hAnsi="Times New Roman"/>
          <w:sz w:val="24"/>
          <w:szCs w:val="24"/>
          <w:u w:val="single"/>
        </w:rPr>
        <w:t xml:space="preserve">Cazares </w:t>
      </w:r>
      <w:r w:rsidRPr="00051733">
        <w:rPr>
          <w:rFonts w:ascii="Times New Roman" w:hAnsi="Times New Roman"/>
          <w:sz w:val="24"/>
          <w:szCs w:val="24"/>
          <w:u w:val="single"/>
        </w:rPr>
        <w:t xml:space="preserve">v. Frank R. Rand, Justin Zheng, Gene </w:t>
      </w:r>
      <w:proofErr w:type="spellStart"/>
      <w:r w:rsidRPr="00051733">
        <w:rPr>
          <w:rFonts w:ascii="Times New Roman" w:hAnsi="Times New Roman"/>
          <w:sz w:val="24"/>
          <w:szCs w:val="24"/>
          <w:u w:val="single"/>
        </w:rPr>
        <w:t>Lacano</w:t>
      </w:r>
      <w:proofErr w:type="spellEnd"/>
      <w:r w:rsidRPr="00051733">
        <w:rPr>
          <w:rFonts w:ascii="Times New Roman" w:hAnsi="Times New Roman"/>
          <w:sz w:val="24"/>
          <w:szCs w:val="24"/>
          <w:u w:val="single"/>
        </w:rPr>
        <w:t xml:space="preserve"> and Town of Cicero, Illinois</w:t>
      </w:r>
      <w:r w:rsidRPr="00051733">
        <w:rPr>
          <w:rFonts w:ascii="Times New Roman" w:hAnsi="Times New Roman"/>
          <w:sz w:val="24"/>
          <w:szCs w:val="24"/>
        </w:rPr>
        <w:t xml:space="preserve">, U.S. District Court Judge Robert M. Dow, Jr., </w:t>
      </w:r>
      <w:r>
        <w:rPr>
          <w:rFonts w:ascii="Times New Roman" w:hAnsi="Times New Roman"/>
          <w:sz w:val="24"/>
          <w:szCs w:val="24"/>
        </w:rPr>
        <w:t xml:space="preserve">Northern District of Illinois [Eastern District] </w:t>
      </w:r>
      <w:r w:rsidRPr="00051733">
        <w:rPr>
          <w:rFonts w:ascii="Times New Roman" w:hAnsi="Times New Roman"/>
          <w:sz w:val="24"/>
          <w:szCs w:val="24"/>
        </w:rPr>
        <w:t>granted the motion of two medics</w:t>
      </w:r>
      <w:r>
        <w:rPr>
          <w:rFonts w:ascii="Times New Roman" w:hAnsi="Times New Roman"/>
          <w:sz w:val="24"/>
          <w:szCs w:val="24"/>
        </w:rPr>
        <w:t xml:space="preserve"> </w:t>
      </w:r>
      <w:r w:rsidRPr="00051733">
        <w:rPr>
          <w:rFonts w:ascii="Times New Roman" w:hAnsi="Times New Roman"/>
          <w:sz w:val="24"/>
          <w:szCs w:val="24"/>
        </w:rPr>
        <w:t>and the Town to dismiss the federal lawsuit</w:t>
      </w:r>
      <w:r>
        <w:rPr>
          <w:rFonts w:ascii="Times New Roman" w:hAnsi="Times New Roman"/>
          <w:sz w:val="24"/>
          <w:szCs w:val="24"/>
        </w:rPr>
        <w:t>.  “</w:t>
      </w:r>
      <w:r w:rsidRPr="0001098C">
        <w:rPr>
          <w:rFonts w:ascii="Times New Roman" w:hAnsi="Times New Roman"/>
          <w:sz w:val="24"/>
          <w:szCs w:val="24"/>
        </w:rPr>
        <w:t xml:space="preserve">In this case, the Court agrees with Defendants that the Complaint does not allege a violation of Plaintiffs' fundamental rights or liberties because Defendants did not publicly disclose </w:t>
      </w:r>
      <w:r w:rsidRPr="0001098C">
        <w:rPr>
          <w:rStyle w:val="Emphasis"/>
          <w:rFonts w:ascii="Times New Roman" w:hAnsi="Times New Roman"/>
          <w:sz w:val="24"/>
          <w:szCs w:val="24"/>
        </w:rPr>
        <w:t>private</w:t>
      </w:r>
      <w:r w:rsidRPr="0001098C">
        <w:rPr>
          <w:rFonts w:ascii="Times New Roman" w:hAnsi="Times New Roman"/>
          <w:sz w:val="24"/>
          <w:szCs w:val="24"/>
        </w:rPr>
        <w:t xml:space="preserve"> medical information. The photo neither captured a private scene, nor medical information that was not already readily accessible to the naked eye.</w:t>
      </w:r>
      <w:r>
        <w:rPr>
          <w:rFonts w:ascii="Times New Roman" w:hAnsi="Times New Roman"/>
          <w:sz w:val="24"/>
          <w:szCs w:val="24"/>
        </w:rPr>
        <w:t xml:space="preserve">”  The lawsuit, however, may be refiled in state court, where a jury may find the comments on </w:t>
      </w:r>
      <w:proofErr w:type="gramStart"/>
      <w:r>
        <w:rPr>
          <w:rFonts w:ascii="Times New Roman" w:hAnsi="Times New Roman"/>
          <w:sz w:val="24"/>
          <w:szCs w:val="24"/>
        </w:rPr>
        <w:t>Facebook by</w:t>
      </w:r>
      <w:proofErr w:type="gramEnd"/>
      <w:r>
        <w:rPr>
          <w:rFonts w:ascii="Times New Roman" w:hAnsi="Times New Roman"/>
          <w:sz w:val="24"/>
          <w:szCs w:val="24"/>
        </w:rPr>
        <w:t xml:space="preserve"> to be particularly offensive. </w:t>
      </w:r>
      <w:hyperlink r:id="rId2276" w:history="1">
        <w:r w:rsidRPr="00641DD7">
          <w:rPr>
            <w:rStyle w:val="Hyperlink"/>
            <w:rFonts w:ascii="Times New Roman" w:hAnsi="Times New Roman"/>
            <w:sz w:val="24"/>
            <w:szCs w:val="24"/>
          </w:rPr>
          <w:t>https://casetext.com/case/cazares-v-rand</w:t>
        </w:r>
      </w:hyperlink>
      <w:r>
        <w:rPr>
          <w:rFonts w:ascii="Times New Roman" w:hAnsi="Times New Roman"/>
          <w:sz w:val="24"/>
          <w:szCs w:val="24"/>
        </w:rPr>
        <w:t xml:space="preserve"> </w:t>
      </w:r>
    </w:p>
    <w:p w14:paraId="6A43C1D3" w14:textId="70F7270D" w:rsidR="00221640" w:rsidRDefault="00221640" w:rsidP="00221640">
      <w:pPr>
        <w:rPr>
          <w:rFonts w:ascii="Arial Black" w:hAnsi="Arial Black"/>
          <w:b/>
          <w:bCs/>
          <w:sz w:val="28"/>
          <w:szCs w:val="28"/>
        </w:rPr>
      </w:pPr>
      <w:r>
        <w:rPr>
          <w:rFonts w:ascii="Times New Roman" w:hAnsi="Times New Roman"/>
          <w:sz w:val="24"/>
          <w:szCs w:val="24"/>
        </w:rPr>
        <w:t>“</w:t>
      </w:r>
      <w:r w:rsidRPr="00F36863">
        <w:rPr>
          <w:rFonts w:ascii="Times New Roman" w:hAnsi="Times New Roman"/>
          <w:sz w:val="24"/>
          <w:szCs w:val="24"/>
        </w:rPr>
        <w:t xml:space="preserve">Another individual, Defendant </w:t>
      </w:r>
      <w:r>
        <w:rPr>
          <w:rFonts w:ascii="Times New Roman" w:hAnsi="Times New Roman"/>
          <w:sz w:val="24"/>
          <w:szCs w:val="24"/>
        </w:rPr>
        <w:t xml:space="preserve">[Lieutenant] </w:t>
      </w:r>
      <w:r w:rsidRPr="00F36863">
        <w:rPr>
          <w:rFonts w:ascii="Times New Roman" w:hAnsi="Times New Roman"/>
          <w:sz w:val="24"/>
          <w:szCs w:val="24"/>
        </w:rPr>
        <w:t xml:space="preserve">Frank R. Rand, posted that photograph of Mr. Cazares to an 8, 000-member Facebook group </w:t>
      </w:r>
      <w:r>
        <w:rPr>
          <w:rFonts w:ascii="Times New Roman" w:hAnsi="Times New Roman"/>
          <w:sz w:val="24"/>
          <w:szCs w:val="24"/>
        </w:rPr>
        <w:t>‘</w:t>
      </w:r>
      <w:r w:rsidRPr="00F36863">
        <w:rPr>
          <w:rFonts w:ascii="Times New Roman" w:hAnsi="Times New Roman"/>
          <w:sz w:val="24"/>
          <w:szCs w:val="24"/>
        </w:rPr>
        <w:t>for people who grew up in Cicero, Illinois</w:t>
      </w:r>
      <w:r>
        <w:rPr>
          <w:rFonts w:ascii="Times New Roman" w:hAnsi="Times New Roman"/>
          <w:sz w:val="24"/>
          <w:szCs w:val="24"/>
        </w:rPr>
        <w:t>’</w:t>
      </w:r>
      <w:r w:rsidRPr="00F36863">
        <w:rPr>
          <w:rFonts w:ascii="Times New Roman" w:hAnsi="Times New Roman"/>
          <w:sz w:val="24"/>
          <w:szCs w:val="24"/>
        </w:rPr>
        <w:t xml:space="preserve"> at 6:25 p.m., </w:t>
      </w:r>
      <w:r w:rsidRPr="00F36863">
        <w:rPr>
          <w:rStyle w:val="Emphasis"/>
          <w:rFonts w:ascii="Times New Roman" w:hAnsi="Times New Roman"/>
          <w:sz w:val="24"/>
          <w:szCs w:val="24"/>
        </w:rPr>
        <w:t>i.e.</w:t>
      </w:r>
      <w:r w:rsidRPr="00F36863">
        <w:rPr>
          <w:rFonts w:ascii="Times New Roman" w:hAnsi="Times New Roman"/>
          <w:sz w:val="24"/>
          <w:szCs w:val="24"/>
        </w:rPr>
        <w:t>, within two minutes of the paramedics' arrival on the scene</w:t>
      </w:r>
      <w:r>
        <w:rPr>
          <w:rFonts w:ascii="Times New Roman" w:hAnsi="Times New Roman"/>
          <w:sz w:val="24"/>
          <w:szCs w:val="24"/>
        </w:rPr>
        <w:t>…</w:t>
      </w:r>
      <w:r w:rsidRPr="00F36863">
        <w:rPr>
          <w:rFonts w:ascii="Times New Roman" w:hAnsi="Times New Roman"/>
          <w:sz w:val="24"/>
          <w:szCs w:val="24"/>
        </w:rPr>
        <w:t xml:space="preserve">. Accompanying the photo is the message, </w:t>
      </w:r>
      <w:r>
        <w:rPr>
          <w:rFonts w:ascii="Times New Roman" w:hAnsi="Times New Roman"/>
          <w:sz w:val="24"/>
          <w:szCs w:val="24"/>
        </w:rPr>
        <w:t>‘</w:t>
      </w:r>
      <w:r w:rsidRPr="00F36863">
        <w:rPr>
          <w:rFonts w:ascii="Times New Roman" w:hAnsi="Times New Roman"/>
          <w:sz w:val="24"/>
          <w:szCs w:val="24"/>
        </w:rPr>
        <w:t>[c]</w:t>
      </w:r>
      <w:proofErr w:type="spellStart"/>
      <w:r w:rsidRPr="00F36863">
        <w:rPr>
          <w:rFonts w:ascii="Times New Roman" w:hAnsi="Times New Roman"/>
          <w:sz w:val="24"/>
          <w:szCs w:val="24"/>
        </w:rPr>
        <w:t>ome</w:t>
      </w:r>
      <w:proofErr w:type="spellEnd"/>
      <w:r w:rsidRPr="00F36863">
        <w:rPr>
          <w:rFonts w:ascii="Times New Roman" w:hAnsi="Times New Roman"/>
          <w:sz w:val="24"/>
          <w:szCs w:val="24"/>
        </w:rPr>
        <w:t xml:space="preserve"> to Cicero to loot and break shit</w:t>
      </w:r>
      <w:proofErr w:type="gramStart"/>
      <w:r w:rsidRPr="00F36863">
        <w:rPr>
          <w:rFonts w:ascii="Times New Roman" w:hAnsi="Times New Roman"/>
          <w:sz w:val="24"/>
          <w:szCs w:val="24"/>
        </w:rPr>
        <w:t>!</w:t>
      </w:r>
      <w:proofErr w:type="gramEnd"/>
      <w:r w:rsidRPr="00F36863">
        <w:rPr>
          <w:rFonts w:ascii="Times New Roman" w:hAnsi="Times New Roman"/>
          <w:sz w:val="24"/>
          <w:szCs w:val="24"/>
        </w:rPr>
        <w:t xml:space="preserve"> Get a free body bag!! Nice head shot!!</w:t>
      </w:r>
      <w:r>
        <w:rPr>
          <w:rFonts w:ascii="Times New Roman" w:hAnsi="Times New Roman"/>
          <w:sz w:val="24"/>
          <w:szCs w:val="24"/>
        </w:rPr>
        <w:t xml:space="preserve">’” </w:t>
      </w:r>
      <w:hyperlink r:id="rId2277" w:history="1">
        <w:r w:rsidRPr="00641DD7">
          <w:rPr>
            <w:rStyle w:val="Hyperlink"/>
            <w:rFonts w:ascii="Times New Roman" w:hAnsi="Times New Roman"/>
            <w:sz w:val="24"/>
            <w:szCs w:val="24"/>
          </w:rPr>
          <w:t>https://casetext.com/case/cazares-v-rand</w:t>
        </w:r>
      </w:hyperlink>
    </w:p>
    <w:p w14:paraId="30084743" w14:textId="77777777" w:rsidR="00221640" w:rsidRDefault="00221640" w:rsidP="00221640">
      <w:pPr>
        <w:spacing w:before="100" w:beforeAutospacing="1" w:after="100" w:afterAutospacing="1" w:line="240" w:lineRule="auto"/>
        <w:rPr>
          <w:rFonts w:ascii="Times New Roman" w:hAnsi="Times New Roman"/>
          <w:b/>
          <w:bCs/>
          <w:sz w:val="24"/>
          <w:szCs w:val="24"/>
        </w:rPr>
      </w:pPr>
      <w:r w:rsidRPr="0001098C">
        <w:rPr>
          <w:rFonts w:ascii="Times New Roman" w:hAnsi="Times New Roman"/>
          <w:b/>
          <w:bCs/>
          <w:sz w:val="24"/>
          <w:szCs w:val="24"/>
        </w:rPr>
        <w:lastRenderedPageBreak/>
        <w:t>Legal Lesson Learned:</w:t>
      </w:r>
      <w:r>
        <w:rPr>
          <w:rFonts w:ascii="Times New Roman" w:hAnsi="Times New Roman"/>
          <w:b/>
          <w:bCs/>
          <w:sz w:val="24"/>
          <w:szCs w:val="24"/>
        </w:rPr>
        <w:t xml:space="preserve"> Do not take photos of patients; don’t post them on Facebook or other social media. </w:t>
      </w:r>
    </w:p>
    <w:p w14:paraId="45970499" w14:textId="77777777" w:rsidR="00221640" w:rsidRDefault="00221640" w:rsidP="002B1283">
      <w:pPr>
        <w:rPr>
          <w:rFonts w:ascii="Arial Black" w:hAnsi="Arial Black"/>
          <w:b/>
          <w:bCs/>
          <w:sz w:val="28"/>
          <w:szCs w:val="28"/>
        </w:rPr>
      </w:pPr>
    </w:p>
    <w:p w14:paraId="6F9130C1" w14:textId="77777777" w:rsidR="00221640" w:rsidRDefault="00221640" w:rsidP="002B1283">
      <w:pPr>
        <w:rPr>
          <w:rFonts w:ascii="Arial Black" w:hAnsi="Arial Black"/>
          <w:b/>
          <w:bCs/>
          <w:sz w:val="28"/>
          <w:szCs w:val="28"/>
        </w:rPr>
      </w:pPr>
    </w:p>
    <w:p w14:paraId="7C76BB79" w14:textId="170D2D57" w:rsidR="00221640" w:rsidRDefault="00221640" w:rsidP="002B1283">
      <w:pPr>
        <w:rPr>
          <w:rFonts w:ascii="Arial Black" w:hAnsi="Arial Black"/>
          <w:b/>
          <w:bCs/>
          <w:sz w:val="28"/>
          <w:szCs w:val="28"/>
        </w:rPr>
      </w:pPr>
      <w:r>
        <w:rPr>
          <w:rFonts w:ascii="Arial Black" w:hAnsi="Arial Black"/>
          <w:b/>
          <w:bCs/>
          <w:sz w:val="28"/>
          <w:szCs w:val="28"/>
        </w:rPr>
        <w:t>13-109</w:t>
      </w:r>
    </w:p>
    <w:p w14:paraId="72B11E00" w14:textId="77777777" w:rsidR="00221640" w:rsidRPr="00D46D8F" w:rsidRDefault="00221640" w:rsidP="00221640">
      <w:pPr>
        <w:spacing w:before="100" w:beforeAutospacing="1" w:after="100" w:afterAutospacing="1" w:line="240" w:lineRule="auto"/>
        <w:rPr>
          <w:rFonts w:ascii="Arial Black" w:hAnsi="Arial Black"/>
          <w:b/>
          <w:bCs/>
          <w:sz w:val="28"/>
          <w:szCs w:val="28"/>
        </w:rPr>
      </w:pPr>
      <w:bookmarkStart w:id="443" w:name="_Hlk99460651"/>
      <w:r>
        <w:rPr>
          <w:rFonts w:ascii="Arial Black" w:hAnsi="Arial Black"/>
          <w:b/>
          <w:bCs/>
          <w:sz w:val="28"/>
          <w:szCs w:val="28"/>
        </w:rPr>
        <w:t>SC: EMS FAILURE TO TRANSPORT NAKED, MENTAL PATIENT HOSPITAL – KILLED I-95 – LAWSUIT TO PROCEED</w:t>
      </w:r>
    </w:p>
    <w:p w14:paraId="0FD8CE9A" w14:textId="77777777" w:rsidR="00221640" w:rsidRDefault="00221640" w:rsidP="00221640">
      <w:pPr>
        <w:spacing w:before="100" w:beforeAutospacing="1" w:after="100" w:afterAutospacing="1" w:line="240" w:lineRule="auto"/>
      </w:pPr>
      <w:r w:rsidRPr="00BA1FD0">
        <w:rPr>
          <w:rFonts w:ascii="Times New Roman" w:hAnsi="Times New Roman"/>
          <w:sz w:val="24"/>
          <w:szCs w:val="24"/>
        </w:rPr>
        <w:t xml:space="preserve">On </w:t>
      </w:r>
      <w:r>
        <w:rPr>
          <w:rFonts w:ascii="Times New Roman" w:hAnsi="Times New Roman"/>
          <w:sz w:val="24"/>
          <w:szCs w:val="24"/>
        </w:rPr>
        <w:t xml:space="preserve">March 23, 2022, in </w:t>
      </w:r>
      <w:r w:rsidRPr="00BA1FD0">
        <w:rPr>
          <w:rFonts w:ascii="Times New Roman" w:hAnsi="Times New Roman"/>
          <w:sz w:val="24"/>
          <w:szCs w:val="24"/>
          <w:u w:val="single"/>
        </w:rPr>
        <w:t>Paul Tarashuk v. Orangeburg County, Orangeburg County Emergency Medical Services, et al.</w:t>
      </w:r>
      <w:r>
        <w:rPr>
          <w:rFonts w:ascii="Times New Roman" w:hAnsi="Times New Roman"/>
          <w:sz w:val="24"/>
          <w:szCs w:val="24"/>
        </w:rPr>
        <w:t xml:space="preserve">, U.S. District Court judge J. Michelle Childs, U.S. District Court of South Carolina (Orangeburg Division) denied the defendants’ motion for summary judgment.   A truck driver called 911 to report that the man, later identified as Paul Tarashuk, was naked and climbed on the tractor trailer at an on-ramp for I-95, rode on the catwalk and detached air lines to the breaks. Police from three agencies responded and requested EMS.  He sat in ambulance for 12 minutes, head down, not responding to questions. A medic “pushed an ammonia inhalant up his nose” and took his vitals: </w:t>
      </w:r>
      <w:r w:rsidRPr="00EA5469">
        <w:rPr>
          <w:rFonts w:ascii="Times New Roman" w:hAnsi="Times New Roman"/>
          <w:sz w:val="24"/>
          <w:szCs w:val="24"/>
        </w:rPr>
        <w:t>blood pressure of 160/82 and pulse of 124</w:t>
      </w:r>
      <w:r>
        <w:rPr>
          <w:rFonts w:ascii="Times New Roman" w:hAnsi="Times New Roman"/>
          <w:sz w:val="24"/>
          <w:szCs w:val="24"/>
        </w:rPr>
        <w:t xml:space="preserve">.  </w:t>
      </w:r>
      <w:r w:rsidRPr="00005F9E">
        <w:rPr>
          <w:rFonts w:ascii="Times New Roman" w:hAnsi="Times New Roman"/>
          <w:sz w:val="24"/>
          <w:szCs w:val="24"/>
        </w:rPr>
        <w:t xml:space="preserve">Law enforcement and </w:t>
      </w:r>
      <w:r>
        <w:rPr>
          <w:rFonts w:ascii="Times New Roman" w:hAnsi="Times New Roman"/>
          <w:sz w:val="24"/>
          <w:szCs w:val="24"/>
        </w:rPr>
        <w:t>EMS w</w:t>
      </w:r>
      <w:r w:rsidRPr="00005F9E">
        <w:rPr>
          <w:rFonts w:ascii="Times New Roman" w:hAnsi="Times New Roman"/>
          <w:sz w:val="24"/>
          <w:szCs w:val="24"/>
        </w:rPr>
        <w:t>ere unaware of Plaintiff's identity throughout their interactions as he refused or was unable to state his full name and carried no identification.</w:t>
      </w:r>
      <w:r>
        <w:rPr>
          <w:rFonts w:ascii="Times New Roman" w:hAnsi="Times New Roman"/>
          <w:sz w:val="24"/>
          <w:szCs w:val="24"/>
        </w:rPr>
        <w:t xml:space="preserve"> A Deputy Sheriff, recording the event, then decided to drop him off at a closed gas station, telling him:</w:t>
      </w:r>
    </w:p>
    <w:p w14:paraId="0B7AB34E" w14:textId="77777777" w:rsidR="00221640" w:rsidRPr="00BB1B9E" w:rsidRDefault="00221640" w:rsidP="00221640">
      <w:pPr>
        <w:spacing w:before="100" w:beforeAutospacing="1" w:after="100" w:afterAutospacing="1" w:line="240" w:lineRule="auto"/>
        <w:ind w:left="720"/>
        <w:rPr>
          <w:rFonts w:ascii="Times New Roman" w:hAnsi="Times New Roman"/>
          <w:sz w:val="24"/>
          <w:szCs w:val="24"/>
        </w:rPr>
      </w:pPr>
      <w:r w:rsidRPr="00BB1B9E">
        <w:rPr>
          <w:rFonts w:ascii="Times New Roman" w:hAnsi="Times New Roman"/>
          <w:sz w:val="24"/>
          <w:szCs w:val="24"/>
        </w:rPr>
        <w:t xml:space="preserve">“You are not under arrest. I'm </w:t>
      </w:r>
      <w:proofErr w:type="spellStart"/>
      <w:r w:rsidRPr="00BB1B9E">
        <w:rPr>
          <w:rFonts w:ascii="Times New Roman" w:hAnsi="Times New Roman"/>
          <w:sz w:val="24"/>
          <w:szCs w:val="24"/>
        </w:rPr>
        <w:t>gonna</w:t>
      </w:r>
      <w:proofErr w:type="spellEnd"/>
      <w:r w:rsidRPr="00BB1B9E">
        <w:rPr>
          <w:rFonts w:ascii="Times New Roman" w:hAnsi="Times New Roman"/>
          <w:sz w:val="24"/>
          <w:szCs w:val="24"/>
        </w:rPr>
        <w:t xml:space="preserve"> give you a ride . . . . You're not going to jail, you're not under arrest, I'm going to give you a ride . . . . I'll figure out where you live. I'll give you a ride to a safe environment. That's all I want</w:t>
      </w:r>
      <w:r>
        <w:rPr>
          <w:rFonts w:ascii="Times New Roman" w:hAnsi="Times New Roman"/>
          <w:sz w:val="24"/>
          <w:szCs w:val="24"/>
        </w:rPr>
        <w:t>….</w:t>
      </w:r>
      <w:r w:rsidRPr="00BB1B9E">
        <w:rPr>
          <w:rFonts w:ascii="Times New Roman" w:hAnsi="Times New Roman"/>
          <w:sz w:val="24"/>
          <w:szCs w:val="24"/>
        </w:rPr>
        <w:t xml:space="preserve">” </w:t>
      </w:r>
      <w:r>
        <w:rPr>
          <w:rFonts w:ascii="Times New Roman" w:hAnsi="Times New Roman"/>
          <w:sz w:val="24"/>
          <w:szCs w:val="24"/>
        </w:rPr>
        <w:t xml:space="preserve">[Deputy] </w:t>
      </w:r>
      <w:r w:rsidRPr="00BB1B9E">
        <w:rPr>
          <w:rFonts w:ascii="Times New Roman" w:hAnsi="Times New Roman"/>
          <w:sz w:val="24"/>
          <w:szCs w:val="24"/>
        </w:rPr>
        <w:t xml:space="preserve">Doroski then told the other on-scene OCSO deputy that he was taking </w:t>
      </w:r>
      <w:proofErr w:type="spellStart"/>
      <w:r w:rsidRPr="00BB1B9E">
        <w:rPr>
          <w:rFonts w:ascii="Times New Roman" w:hAnsi="Times New Roman"/>
          <w:sz w:val="24"/>
          <w:szCs w:val="24"/>
        </w:rPr>
        <w:t>Tarashuk</w:t>
      </w:r>
      <w:proofErr w:type="spellEnd"/>
      <w:r w:rsidRPr="00BB1B9E">
        <w:rPr>
          <w:rFonts w:ascii="Times New Roman" w:hAnsi="Times New Roman"/>
          <w:sz w:val="24"/>
          <w:szCs w:val="24"/>
        </w:rPr>
        <w:t xml:space="preserve"> to Santee and ultimately dropped </w:t>
      </w:r>
      <w:proofErr w:type="spellStart"/>
      <w:r w:rsidRPr="00BB1B9E">
        <w:rPr>
          <w:rFonts w:ascii="Times New Roman" w:hAnsi="Times New Roman"/>
          <w:sz w:val="24"/>
          <w:szCs w:val="24"/>
        </w:rPr>
        <w:t>Tarashuk</w:t>
      </w:r>
      <w:proofErr w:type="spellEnd"/>
      <w:r w:rsidRPr="00BB1B9E">
        <w:rPr>
          <w:rFonts w:ascii="Times New Roman" w:hAnsi="Times New Roman"/>
          <w:sz w:val="24"/>
          <w:szCs w:val="24"/>
        </w:rPr>
        <w:t xml:space="preserve"> off at a closed gas station.</w:t>
      </w:r>
      <w:r>
        <w:rPr>
          <w:rFonts w:ascii="Times New Roman" w:hAnsi="Times New Roman"/>
          <w:sz w:val="24"/>
          <w:szCs w:val="24"/>
        </w:rPr>
        <w:t xml:space="preserve">” </w:t>
      </w:r>
    </w:p>
    <w:p w14:paraId="7D3D6424" w14:textId="77777777" w:rsidR="00221640" w:rsidRPr="008A6F7F" w:rsidRDefault="00221640" w:rsidP="00221640">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After being dopped off at the gas station, Mr. </w:t>
      </w:r>
      <w:proofErr w:type="spellStart"/>
      <w:r>
        <w:rPr>
          <w:rFonts w:ascii="Times New Roman" w:hAnsi="Times New Roman"/>
          <w:sz w:val="24"/>
          <w:szCs w:val="24"/>
        </w:rPr>
        <w:t>Tarashuk</w:t>
      </w:r>
      <w:proofErr w:type="spellEnd"/>
      <w:r>
        <w:rPr>
          <w:rFonts w:ascii="Times New Roman" w:hAnsi="Times New Roman"/>
          <w:sz w:val="24"/>
          <w:szCs w:val="24"/>
        </w:rPr>
        <w:t xml:space="preserve"> walked back to I-95 and was struck and killed a few hours later. Under these unfortunate facts, Judge Childs held that while the deceased’s family cannot sue the County for “failure to train” the Deputy and the medics, they can sue under the ADA [Americans with Disabilities Act] for failure to accommodate the patient by not taking him to the hospital. </w:t>
      </w:r>
      <w:hyperlink r:id="rId2278" w:history="1">
        <w:r w:rsidRPr="00E151A7">
          <w:rPr>
            <w:rStyle w:val="Hyperlink"/>
            <w:rFonts w:ascii="Times New Roman" w:hAnsi="Times New Roman"/>
            <w:sz w:val="24"/>
            <w:szCs w:val="24"/>
          </w:rPr>
          <w:t>https://www.leagle.com/decision/infdco20220324d64</w:t>
        </w:r>
      </w:hyperlink>
      <w:r w:rsidRPr="008A6F7F">
        <w:rPr>
          <w:rFonts w:ascii="Times New Roman" w:hAnsi="Times New Roman"/>
          <w:sz w:val="24"/>
          <w:szCs w:val="24"/>
        </w:rPr>
        <w:t xml:space="preserve"> </w:t>
      </w:r>
    </w:p>
    <w:p w14:paraId="3737AABF" w14:textId="77777777" w:rsidR="00221640" w:rsidRPr="008A6F7F" w:rsidRDefault="00221640" w:rsidP="00221640">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107F61">
        <w:rPr>
          <w:rFonts w:ascii="Times New Roman" w:hAnsi="Times New Roman"/>
          <w:sz w:val="24"/>
          <w:szCs w:val="24"/>
        </w:rPr>
        <w:t xml:space="preserve">Plaintiff has alleged sufficient facts to indicate that two trained paramedics should have been able to gauge the specific accommodation required here and taken </w:t>
      </w:r>
      <w:proofErr w:type="spellStart"/>
      <w:r w:rsidRPr="00107F61">
        <w:rPr>
          <w:rFonts w:ascii="Times New Roman" w:hAnsi="Times New Roman"/>
          <w:sz w:val="24"/>
          <w:szCs w:val="24"/>
        </w:rPr>
        <w:t>Tarashuk</w:t>
      </w:r>
      <w:proofErr w:type="spellEnd"/>
      <w:r w:rsidRPr="00107F61">
        <w:rPr>
          <w:rFonts w:ascii="Times New Roman" w:hAnsi="Times New Roman"/>
          <w:sz w:val="24"/>
          <w:szCs w:val="24"/>
        </w:rPr>
        <w:t xml:space="preserve"> to the hospital. Ultimately, whether the circumstances alleged here are such that responding paramedics knew or should have known </w:t>
      </w:r>
      <w:proofErr w:type="spellStart"/>
      <w:r w:rsidRPr="00107F61">
        <w:rPr>
          <w:rFonts w:ascii="Times New Roman" w:hAnsi="Times New Roman"/>
          <w:sz w:val="24"/>
          <w:szCs w:val="24"/>
        </w:rPr>
        <w:t>Tarashuk</w:t>
      </w:r>
      <w:proofErr w:type="spellEnd"/>
      <w:r w:rsidRPr="00107F61">
        <w:rPr>
          <w:rFonts w:ascii="Times New Roman" w:hAnsi="Times New Roman"/>
          <w:sz w:val="24"/>
          <w:szCs w:val="24"/>
        </w:rPr>
        <w:t xml:space="preserve"> was obviously disabled presents a genuine question of material fact and precludes summary judgment.</w:t>
      </w:r>
      <w:r>
        <w:rPr>
          <w:rFonts w:ascii="Times New Roman" w:hAnsi="Times New Roman"/>
          <w:sz w:val="24"/>
          <w:szCs w:val="24"/>
        </w:rPr>
        <w:t xml:space="preserve">” </w:t>
      </w:r>
      <w:hyperlink r:id="rId2279" w:history="1">
        <w:r w:rsidRPr="00E151A7">
          <w:rPr>
            <w:rStyle w:val="Hyperlink"/>
            <w:rFonts w:ascii="Times New Roman" w:hAnsi="Times New Roman"/>
            <w:sz w:val="24"/>
            <w:szCs w:val="24"/>
          </w:rPr>
          <w:t>https://www.leagle.com/decision/infdco20220324d64</w:t>
        </w:r>
      </w:hyperlink>
      <w:r w:rsidRPr="008A6F7F">
        <w:rPr>
          <w:rFonts w:ascii="Times New Roman" w:hAnsi="Times New Roman"/>
          <w:sz w:val="24"/>
          <w:szCs w:val="24"/>
        </w:rPr>
        <w:t xml:space="preserve"> </w:t>
      </w:r>
    </w:p>
    <w:bookmarkEnd w:id="443"/>
    <w:p w14:paraId="4C7339FD" w14:textId="77777777" w:rsidR="00221640" w:rsidRDefault="00221640" w:rsidP="00221640">
      <w:pPr>
        <w:spacing w:before="100" w:beforeAutospacing="1" w:after="100" w:afterAutospacing="1" w:line="240" w:lineRule="auto"/>
        <w:rPr>
          <w:rFonts w:ascii="Times New Roman" w:eastAsia="Times New Roman" w:hAnsi="Times New Roman"/>
          <w:b/>
          <w:bCs/>
          <w:sz w:val="24"/>
          <w:szCs w:val="24"/>
        </w:rPr>
      </w:pPr>
      <w:r w:rsidRPr="008C4B8D">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EMS should know the law in their state, and local protocols, on when a patient should be taken to hospital for psychiatric evaluation. </w:t>
      </w:r>
    </w:p>
    <w:p w14:paraId="7B848D6D" w14:textId="77777777" w:rsidR="00221640" w:rsidRDefault="00221640" w:rsidP="00221640">
      <w:pPr>
        <w:spacing w:before="100" w:beforeAutospacing="1" w:after="100" w:afterAutospacing="1" w:line="240" w:lineRule="auto"/>
        <w:ind w:left="720"/>
        <w:rPr>
          <w:rFonts w:ascii="Times New Roman" w:eastAsia="Times New Roman" w:hAnsi="Times New Roman"/>
          <w:sz w:val="24"/>
          <w:szCs w:val="24"/>
        </w:rPr>
      </w:pPr>
      <w:r w:rsidRPr="00EB1873">
        <w:rPr>
          <w:rFonts w:ascii="Times New Roman" w:eastAsia="Times New Roman" w:hAnsi="Times New Roman"/>
          <w:sz w:val="24"/>
          <w:szCs w:val="24"/>
        </w:rPr>
        <w:t>Note:</w:t>
      </w:r>
      <w:r>
        <w:rPr>
          <w:rFonts w:ascii="Times New Roman" w:eastAsia="Times New Roman" w:hAnsi="Times New Roman"/>
          <w:sz w:val="24"/>
          <w:szCs w:val="24"/>
        </w:rPr>
        <w:t xml:space="preserve"> One of the medics on this run had a long history of drug addictions, and license suspension, prior to being hired by the County EMS.  The trial judge dismissed the claim of negligent hiring.</w:t>
      </w:r>
    </w:p>
    <w:p w14:paraId="27328BBB" w14:textId="77777777" w:rsidR="00221640" w:rsidRDefault="00221640" w:rsidP="00221640">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EB1873">
        <w:rPr>
          <w:rFonts w:ascii="Times New Roman" w:hAnsi="Times New Roman"/>
          <w:sz w:val="24"/>
          <w:szCs w:val="24"/>
        </w:rPr>
        <w:t xml:space="preserve">Here, Plaintiff concedes Rivers contacted </w:t>
      </w:r>
      <w:r>
        <w:rPr>
          <w:rFonts w:ascii="Times New Roman" w:hAnsi="Times New Roman"/>
          <w:sz w:val="24"/>
          <w:szCs w:val="24"/>
        </w:rPr>
        <w:t xml:space="preserve">[the medic’s] </w:t>
      </w:r>
      <w:r w:rsidRPr="00EB1873">
        <w:rPr>
          <w:rFonts w:ascii="Times New Roman" w:hAnsi="Times New Roman"/>
          <w:sz w:val="24"/>
          <w:szCs w:val="24"/>
        </w:rPr>
        <w:t xml:space="preserve">longest-term employer who affirmed her competence as a paramedic. Rivers knew of </w:t>
      </w:r>
      <w:r>
        <w:rPr>
          <w:rFonts w:ascii="Times New Roman" w:hAnsi="Times New Roman"/>
          <w:sz w:val="24"/>
          <w:szCs w:val="24"/>
        </w:rPr>
        <w:t xml:space="preserve">[the medic’s] </w:t>
      </w:r>
      <w:r w:rsidRPr="00EB1873">
        <w:rPr>
          <w:rFonts w:ascii="Times New Roman" w:hAnsi="Times New Roman"/>
          <w:sz w:val="24"/>
          <w:szCs w:val="24"/>
        </w:rPr>
        <w:t xml:space="preserve">license suspension and contacted DHEC, the regulatory body in charge of her reinstatement, to ensure she had complied with its requirements. While </w:t>
      </w:r>
      <w:r w:rsidRPr="00EB1873">
        <w:rPr>
          <w:rFonts w:ascii="Times New Roman" w:hAnsi="Times New Roman"/>
          <w:sz w:val="24"/>
          <w:szCs w:val="24"/>
        </w:rPr>
        <w:lastRenderedPageBreak/>
        <w:t xml:space="preserve">certain red flags on </w:t>
      </w:r>
      <w:r>
        <w:rPr>
          <w:rFonts w:ascii="Times New Roman" w:hAnsi="Times New Roman"/>
          <w:sz w:val="24"/>
          <w:szCs w:val="24"/>
        </w:rPr>
        <w:t xml:space="preserve">[the medic’s] </w:t>
      </w:r>
      <w:r w:rsidRPr="00EB1873">
        <w:rPr>
          <w:rFonts w:ascii="Times New Roman" w:hAnsi="Times New Roman"/>
          <w:sz w:val="24"/>
          <w:szCs w:val="24"/>
        </w:rPr>
        <w:t xml:space="preserve">application, such as her relatively short tenure with subsequent employers and publicly available facts regarding her license suspension due to opioid addiction may have warranted further scrutiny, Rivers' failure to follow each thread in his investigation constitutes negligence at best. And in this context, negligence-based </w:t>
      </w:r>
      <w:r w:rsidRPr="00EB1873">
        <w:rPr>
          <w:rStyle w:val="Emphasis"/>
          <w:rFonts w:ascii="Times New Roman" w:hAnsi="Times New Roman"/>
          <w:sz w:val="24"/>
          <w:szCs w:val="24"/>
        </w:rPr>
        <w:t>respondeat superior</w:t>
      </w:r>
      <w:r w:rsidRPr="00EB1873">
        <w:rPr>
          <w:rFonts w:ascii="Times New Roman" w:hAnsi="Times New Roman"/>
          <w:sz w:val="24"/>
          <w:szCs w:val="24"/>
        </w:rPr>
        <w:t xml:space="preserve"> liability does not reach the substantial </w:t>
      </w:r>
      <w:r>
        <w:rPr>
          <w:rFonts w:ascii="Times New Roman" w:hAnsi="Times New Roman"/>
          <w:sz w:val="24"/>
          <w:szCs w:val="24"/>
        </w:rPr>
        <w:t>‘</w:t>
      </w:r>
      <w:r w:rsidRPr="00EB1873">
        <w:rPr>
          <w:rFonts w:ascii="Times New Roman" w:hAnsi="Times New Roman"/>
          <w:sz w:val="24"/>
          <w:szCs w:val="24"/>
        </w:rPr>
        <w:t>deliberate indifference</w:t>
      </w:r>
      <w:r>
        <w:rPr>
          <w:rFonts w:ascii="Times New Roman" w:hAnsi="Times New Roman"/>
          <w:sz w:val="24"/>
          <w:szCs w:val="24"/>
        </w:rPr>
        <w:t>’</w:t>
      </w:r>
      <w:r w:rsidRPr="00EB1873">
        <w:rPr>
          <w:rFonts w:ascii="Times New Roman" w:hAnsi="Times New Roman"/>
          <w:sz w:val="24"/>
          <w:szCs w:val="24"/>
        </w:rPr>
        <w:t xml:space="preserve"> </w:t>
      </w:r>
      <w:proofErr w:type="gramStart"/>
      <w:r w:rsidRPr="00EB1873">
        <w:rPr>
          <w:rFonts w:ascii="Times New Roman" w:hAnsi="Times New Roman"/>
          <w:sz w:val="24"/>
          <w:szCs w:val="24"/>
        </w:rPr>
        <w:t>threshold</w:t>
      </w:r>
      <w:r>
        <w:rPr>
          <w:rFonts w:ascii="Times New Roman" w:hAnsi="Times New Roman"/>
          <w:sz w:val="24"/>
          <w:szCs w:val="24"/>
        </w:rPr>
        <w:t>.”</w:t>
      </w:r>
      <w:proofErr w:type="gramEnd"/>
      <w:r>
        <w:rPr>
          <w:rFonts w:ascii="Times New Roman" w:hAnsi="Times New Roman"/>
          <w:sz w:val="24"/>
          <w:szCs w:val="24"/>
        </w:rPr>
        <w:t xml:space="preserve"> </w:t>
      </w:r>
      <w:r w:rsidRPr="008C4B8D">
        <w:rPr>
          <w:rFonts w:ascii="Times New Roman" w:eastAsia="Times New Roman" w:hAnsi="Times New Roman"/>
          <w:sz w:val="24"/>
          <w:szCs w:val="24"/>
        </w:rPr>
        <w:t xml:space="preserve"> </w:t>
      </w:r>
      <w:hyperlink r:id="rId2280" w:history="1">
        <w:r w:rsidRPr="00E151A7">
          <w:rPr>
            <w:rStyle w:val="Hyperlink"/>
            <w:rFonts w:ascii="Times New Roman" w:hAnsi="Times New Roman"/>
            <w:sz w:val="24"/>
            <w:szCs w:val="24"/>
          </w:rPr>
          <w:t>https://www.leagle.com/decision/infdco20220324d64</w:t>
        </w:r>
      </w:hyperlink>
    </w:p>
    <w:p w14:paraId="709985A3" w14:textId="77777777" w:rsidR="00221640" w:rsidRDefault="00221640" w:rsidP="002B1283">
      <w:pPr>
        <w:rPr>
          <w:rFonts w:ascii="Arial Black" w:hAnsi="Arial Black"/>
          <w:b/>
          <w:bCs/>
          <w:sz w:val="28"/>
          <w:szCs w:val="28"/>
        </w:rPr>
      </w:pPr>
    </w:p>
    <w:p w14:paraId="7B349DF3" w14:textId="77777777" w:rsidR="00221640" w:rsidRDefault="00221640" w:rsidP="002B1283">
      <w:pPr>
        <w:rPr>
          <w:rFonts w:ascii="Arial Black" w:hAnsi="Arial Black"/>
          <w:b/>
          <w:bCs/>
          <w:sz w:val="28"/>
          <w:szCs w:val="28"/>
        </w:rPr>
      </w:pPr>
    </w:p>
    <w:p w14:paraId="7047CC77" w14:textId="72031474" w:rsidR="00E3473F" w:rsidRDefault="00E3473F" w:rsidP="002B1283">
      <w:pPr>
        <w:rPr>
          <w:rFonts w:ascii="Arial Black" w:hAnsi="Arial Black"/>
          <w:b/>
          <w:bCs/>
          <w:sz w:val="28"/>
          <w:szCs w:val="28"/>
        </w:rPr>
      </w:pPr>
      <w:r>
        <w:rPr>
          <w:rFonts w:ascii="Arial Black" w:hAnsi="Arial Black"/>
          <w:b/>
          <w:bCs/>
          <w:sz w:val="28"/>
          <w:szCs w:val="28"/>
        </w:rPr>
        <w:t>13-108</w:t>
      </w:r>
    </w:p>
    <w:p w14:paraId="09D93EFC" w14:textId="77777777" w:rsidR="00E3473F" w:rsidRDefault="00E3473F" w:rsidP="00E3473F">
      <w:pPr>
        <w:spacing w:before="100" w:beforeAutospacing="1" w:after="100" w:afterAutospacing="1" w:line="240" w:lineRule="auto"/>
        <w:rPr>
          <w:rFonts w:ascii="Times New Roman" w:eastAsia="Times New Roman" w:hAnsi="Times New Roman"/>
          <w:b/>
          <w:bCs/>
          <w:sz w:val="24"/>
          <w:szCs w:val="24"/>
        </w:rPr>
      </w:pPr>
      <w:r>
        <w:rPr>
          <w:rFonts w:ascii="Arial Black" w:eastAsia="Times New Roman" w:hAnsi="Arial Black"/>
          <w:b/>
          <w:bCs/>
          <w:sz w:val="28"/>
          <w:szCs w:val="28"/>
        </w:rPr>
        <w:t>GA: PATIENT’S PUSH BUTTON DEVICE - ANSWERING SERVICE DIDN’T ASK DOORS LOCKED – FAMILY SUE CO.</w:t>
      </w:r>
    </w:p>
    <w:p w14:paraId="6E521080" w14:textId="77777777" w:rsidR="00E3473F" w:rsidRDefault="00E3473F" w:rsidP="00E3473F">
      <w:pPr>
        <w:spacing w:before="100" w:beforeAutospacing="1" w:after="100" w:afterAutospacing="1" w:line="240" w:lineRule="auto"/>
        <w:rPr>
          <w:rFonts w:ascii="Times New Roman" w:hAnsi="Times New Roman"/>
          <w:sz w:val="24"/>
          <w:szCs w:val="24"/>
        </w:rPr>
      </w:pPr>
      <w:r w:rsidRPr="00D82B8F">
        <w:rPr>
          <w:rFonts w:ascii="Times New Roman" w:eastAsia="Times New Roman" w:hAnsi="Times New Roman"/>
          <w:sz w:val="24"/>
          <w:szCs w:val="24"/>
        </w:rPr>
        <w:t xml:space="preserve">On March 17, 2022, in </w:t>
      </w:r>
      <w:r w:rsidRPr="00D82B8F">
        <w:rPr>
          <w:rFonts w:ascii="Times New Roman" w:eastAsia="Times New Roman" w:hAnsi="Times New Roman"/>
          <w:sz w:val="24"/>
          <w:szCs w:val="24"/>
          <w:u w:val="single"/>
        </w:rPr>
        <w:t xml:space="preserve">Eric Brown, Administrator of the Estate of Loretta Lewis v. </w:t>
      </w:r>
      <w:proofErr w:type="spellStart"/>
      <w:r w:rsidRPr="00D82B8F">
        <w:rPr>
          <w:rFonts w:ascii="Times New Roman" w:eastAsia="Times New Roman" w:hAnsi="Times New Roman"/>
          <w:sz w:val="24"/>
          <w:szCs w:val="24"/>
          <w:u w:val="single"/>
        </w:rPr>
        <w:t>Medscope</w:t>
      </w:r>
      <w:proofErr w:type="spellEnd"/>
      <w:r w:rsidRPr="00D82B8F">
        <w:rPr>
          <w:rFonts w:ascii="Times New Roman" w:eastAsia="Times New Roman" w:hAnsi="Times New Roman"/>
          <w:sz w:val="24"/>
          <w:szCs w:val="24"/>
          <w:u w:val="single"/>
        </w:rPr>
        <w:t xml:space="preserve"> America Corporation and </w:t>
      </w:r>
      <w:proofErr w:type="spellStart"/>
      <w:r w:rsidRPr="00D82B8F">
        <w:rPr>
          <w:rFonts w:ascii="Times New Roman" w:eastAsia="Times New Roman" w:hAnsi="Times New Roman"/>
          <w:sz w:val="24"/>
          <w:szCs w:val="24"/>
          <w:u w:val="single"/>
        </w:rPr>
        <w:t>Avant</w:t>
      </w:r>
      <w:r>
        <w:rPr>
          <w:rFonts w:ascii="Times New Roman" w:eastAsia="Times New Roman" w:hAnsi="Times New Roman"/>
          <w:sz w:val="24"/>
          <w:szCs w:val="24"/>
          <w:u w:val="single"/>
        </w:rPr>
        <w:t>G</w:t>
      </w:r>
      <w:r w:rsidRPr="00D82B8F">
        <w:rPr>
          <w:rFonts w:ascii="Times New Roman" w:eastAsia="Times New Roman" w:hAnsi="Times New Roman"/>
          <w:sz w:val="24"/>
          <w:szCs w:val="24"/>
          <w:u w:val="single"/>
        </w:rPr>
        <w:t>uard</w:t>
      </w:r>
      <w:proofErr w:type="spellEnd"/>
      <w:r w:rsidRPr="00D82B8F">
        <w:rPr>
          <w:rFonts w:ascii="Times New Roman" w:eastAsia="Times New Roman" w:hAnsi="Times New Roman"/>
          <w:sz w:val="24"/>
          <w:szCs w:val="24"/>
          <w:u w:val="single"/>
        </w:rPr>
        <w:t xml:space="preserve"> Monitoring Centers, LLC</w:t>
      </w:r>
      <w:r w:rsidRPr="00D82B8F">
        <w:rPr>
          <w:rFonts w:ascii="Times New Roman" w:eastAsia="Times New Roman" w:hAnsi="Times New Roman"/>
          <w:sz w:val="24"/>
          <w:szCs w:val="24"/>
        </w:rPr>
        <w:t xml:space="preserve">, U.S. District Court Judge Clay D. Land, </w:t>
      </w:r>
      <w:r>
        <w:rPr>
          <w:rFonts w:ascii="Times New Roman" w:eastAsia="Times New Roman" w:hAnsi="Times New Roman"/>
          <w:sz w:val="24"/>
          <w:szCs w:val="24"/>
        </w:rPr>
        <w:t xml:space="preserve">IU.S. District Court for the Middle District of George (Columbus Division), </w:t>
      </w:r>
      <w:r w:rsidRPr="00D82B8F">
        <w:rPr>
          <w:rFonts w:ascii="Times New Roman" w:eastAsia="Times New Roman" w:hAnsi="Times New Roman"/>
          <w:sz w:val="24"/>
          <w:szCs w:val="24"/>
        </w:rPr>
        <w:t>denied the defendants’ motion to dismiss</w:t>
      </w:r>
      <w:r>
        <w:rPr>
          <w:rFonts w:ascii="Times New Roman" w:eastAsia="Times New Roman" w:hAnsi="Times New Roman"/>
          <w:sz w:val="24"/>
          <w:szCs w:val="24"/>
        </w:rPr>
        <w:t xml:space="preserve"> in a lawsuit brought under </w:t>
      </w:r>
      <w:r w:rsidRPr="00C66418">
        <w:rPr>
          <w:rFonts w:ascii="Times New Roman" w:hAnsi="Times New Roman"/>
          <w:sz w:val="24"/>
          <w:szCs w:val="24"/>
        </w:rPr>
        <w:t>Georgia's Fair Business Practices Act and under general tort law.</w:t>
      </w:r>
      <w:r w:rsidRPr="00D82B8F">
        <w:rPr>
          <w:rFonts w:ascii="Times New Roman" w:eastAsia="Times New Roman" w:hAnsi="Times New Roman"/>
          <w:sz w:val="24"/>
          <w:szCs w:val="24"/>
        </w:rPr>
        <w:t xml:space="preserve">  </w:t>
      </w:r>
      <w:r>
        <w:rPr>
          <w:rFonts w:ascii="Times New Roman" w:eastAsia="Times New Roman" w:hAnsi="Times New Roman"/>
          <w:sz w:val="24"/>
          <w:szCs w:val="24"/>
        </w:rPr>
        <w:t xml:space="preserve">The COPD patient activated the push button medallion device she wore around her neck.  The answering service notified </w:t>
      </w:r>
      <w:proofErr w:type="gramStart"/>
      <w:r>
        <w:rPr>
          <w:rFonts w:ascii="Times New Roman" w:eastAsia="Times New Roman" w:hAnsi="Times New Roman"/>
          <w:sz w:val="24"/>
          <w:szCs w:val="24"/>
        </w:rPr>
        <w:t>911, but</w:t>
      </w:r>
      <w:proofErr w:type="gramEnd"/>
      <w:r>
        <w:rPr>
          <w:rFonts w:ascii="Times New Roman" w:eastAsia="Times New Roman" w:hAnsi="Times New Roman"/>
          <w:sz w:val="24"/>
          <w:szCs w:val="24"/>
        </w:rPr>
        <w:t xml:space="preserve"> never asked her if the doors were locked. </w:t>
      </w:r>
      <w:r w:rsidRPr="00D82B8F">
        <w:rPr>
          <w:rFonts w:ascii="Times New Roman" w:eastAsia="Times New Roman" w:hAnsi="Times New Roman"/>
          <w:sz w:val="24"/>
          <w:szCs w:val="24"/>
        </w:rPr>
        <w:t>When EMS arrived at the patient’s home, the doors were locked</w:t>
      </w:r>
      <w:r>
        <w:rPr>
          <w:rFonts w:ascii="Times New Roman" w:eastAsia="Times New Roman" w:hAnsi="Times New Roman"/>
          <w:sz w:val="24"/>
          <w:szCs w:val="24"/>
        </w:rPr>
        <w:t xml:space="preserve"> </w:t>
      </w:r>
      <w:r w:rsidRPr="00D82B8F">
        <w:rPr>
          <w:rFonts w:ascii="Times New Roman" w:eastAsia="Times New Roman" w:hAnsi="Times New Roman"/>
          <w:sz w:val="24"/>
          <w:szCs w:val="24"/>
        </w:rPr>
        <w:t>and they needed to wait for a fire engine to breach the door; patient s</w:t>
      </w:r>
      <w:r w:rsidRPr="00D82B8F">
        <w:rPr>
          <w:rFonts w:ascii="Times New Roman" w:hAnsi="Times New Roman"/>
          <w:sz w:val="24"/>
          <w:szCs w:val="24"/>
        </w:rPr>
        <w:t xml:space="preserve">uffered an extended hypoxic event leading to serious brain injury that </w:t>
      </w:r>
      <w:r>
        <w:rPr>
          <w:rFonts w:ascii="Times New Roman" w:hAnsi="Times New Roman"/>
          <w:sz w:val="24"/>
          <w:szCs w:val="24"/>
        </w:rPr>
        <w:t xml:space="preserve">led to </w:t>
      </w:r>
      <w:r w:rsidRPr="00D82B8F">
        <w:rPr>
          <w:rFonts w:ascii="Times New Roman" w:hAnsi="Times New Roman"/>
          <w:sz w:val="24"/>
          <w:szCs w:val="24"/>
        </w:rPr>
        <w:t>her death three days later while in the hospital.</w:t>
      </w:r>
      <w:r>
        <w:rPr>
          <w:rFonts w:ascii="Times New Roman" w:hAnsi="Times New Roman"/>
          <w:sz w:val="24"/>
          <w:szCs w:val="24"/>
        </w:rPr>
        <w:t xml:space="preserve"> </w:t>
      </w:r>
      <w:hyperlink r:id="rId2281" w:history="1">
        <w:r w:rsidRPr="005A2A16">
          <w:rPr>
            <w:rStyle w:val="Hyperlink"/>
            <w:rFonts w:ascii="Times New Roman" w:hAnsi="Times New Roman"/>
            <w:sz w:val="24"/>
            <w:szCs w:val="24"/>
          </w:rPr>
          <w:t>https://casetext.com/case/brown-v-medscope-am-corp</w:t>
        </w:r>
      </w:hyperlink>
      <w:r>
        <w:rPr>
          <w:rFonts w:ascii="Times New Roman" w:hAnsi="Times New Roman"/>
          <w:sz w:val="24"/>
          <w:szCs w:val="24"/>
        </w:rPr>
        <w:t xml:space="preserve"> </w:t>
      </w:r>
    </w:p>
    <w:p w14:paraId="5D4FFF3A" w14:textId="77777777" w:rsidR="00E3473F" w:rsidRDefault="00E3473F" w:rsidP="00E3473F">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D82B8F">
        <w:rPr>
          <w:rFonts w:ascii="Times New Roman" w:hAnsi="Times New Roman"/>
          <w:sz w:val="24"/>
          <w:szCs w:val="24"/>
        </w:rPr>
        <w:t xml:space="preserve">Specifically, Plaintiff alleges that, if Lewis had called 9-1-1 directly, 9-1-1 would have asked her if her doors were locked and would have sent a fire crew to Lewis's house upon learning that Lewis </w:t>
      </w:r>
      <w:r>
        <w:rPr>
          <w:rFonts w:ascii="Times New Roman" w:hAnsi="Times New Roman"/>
          <w:sz w:val="24"/>
          <w:szCs w:val="24"/>
        </w:rPr>
        <w:t>‘</w:t>
      </w:r>
      <w:r w:rsidRPr="00D82B8F">
        <w:rPr>
          <w:rFonts w:ascii="Times New Roman" w:hAnsi="Times New Roman"/>
          <w:sz w:val="24"/>
          <w:szCs w:val="24"/>
        </w:rPr>
        <w:t>couldn't breathe.</w:t>
      </w:r>
      <w:r>
        <w:rPr>
          <w:rFonts w:ascii="Times New Roman" w:hAnsi="Times New Roman"/>
          <w:sz w:val="24"/>
          <w:szCs w:val="24"/>
        </w:rPr>
        <w:t>’</w:t>
      </w:r>
      <w:r w:rsidRPr="00D82B8F">
        <w:rPr>
          <w:rFonts w:ascii="Times New Roman" w:hAnsi="Times New Roman"/>
          <w:sz w:val="24"/>
          <w:szCs w:val="24"/>
        </w:rPr>
        <w:t xml:space="preserve"> Plaintiff thus adequately alleges that Defendants owed a duty of care to Lewis by assuming responsibility for providing Lewis with necessary emergency services, Lewis relied on Defendants' assumption of that duty, and that Defendants breached that duty and harmed Lewis by negligently failing to act as a reasonable 9-1-1 operator would if Lewis called 9-1-1 directly. Defendants' motions to dismiss Plaintiff's negligence claim are denied.</w:t>
      </w:r>
      <w:r>
        <w:rPr>
          <w:rFonts w:ascii="Times New Roman" w:hAnsi="Times New Roman"/>
          <w:sz w:val="24"/>
          <w:szCs w:val="24"/>
        </w:rPr>
        <w:t xml:space="preserve">”  </w:t>
      </w:r>
      <w:hyperlink r:id="rId2282" w:history="1">
        <w:r w:rsidRPr="005A2A16">
          <w:rPr>
            <w:rStyle w:val="Hyperlink"/>
            <w:rFonts w:ascii="Times New Roman" w:hAnsi="Times New Roman"/>
            <w:sz w:val="24"/>
            <w:szCs w:val="24"/>
          </w:rPr>
          <w:t>https://casetext.com/case/brown-v-medscope-am-corp</w:t>
        </w:r>
      </w:hyperlink>
      <w:r>
        <w:rPr>
          <w:rFonts w:ascii="Times New Roman" w:hAnsi="Times New Roman"/>
          <w:sz w:val="24"/>
          <w:szCs w:val="24"/>
        </w:rPr>
        <w:t xml:space="preserve"> </w:t>
      </w:r>
    </w:p>
    <w:p w14:paraId="5A66A37A" w14:textId="77777777" w:rsidR="00221640" w:rsidRPr="00AF18D5" w:rsidRDefault="00221640" w:rsidP="00221640">
      <w:pPr>
        <w:spacing w:before="100" w:beforeAutospacing="1" w:after="100" w:afterAutospacing="1" w:line="240" w:lineRule="auto"/>
        <w:rPr>
          <w:rFonts w:ascii="Times New Roman" w:eastAsia="Times New Roman" w:hAnsi="Times New Roman"/>
          <w:b/>
          <w:bCs/>
          <w:sz w:val="24"/>
          <w:szCs w:val="24"/>
        </w:rPr>
      </w:pPr>
      <w:r w:rsidRPr="00665122">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Answering services have an obligation to inform 911 of critical facts, including whether patient is alone in her home with the doors locked. </w:t>
      </w:r>
    </w:p>
    <w:p w14:paraId="76B1460C" w14:textId="77777777" w:rsidR="00E3473F" w:rsidRDefault="00E3473F" w:rsidP="002B1283">
      <w:pPr>
        <w:rPr>
          <w:rFonts w:ascii="Arial Black" w:hAnsi="Arial Black"/>
          <w:b/>
          <w:bCs/>
          <w:sz w:val="28"/>
          <w:szCs w:val="28"/>
        </w:rPr>
      </w:pPr>
    </w:p>
    <w:p w14:paraId="62D96FE3" w14:textId="77777777" w:rsidR="00E3473F" w:rsidRDefault="00E3473F" w:rsidP="002B1283">
      <w:pPr>
        <w:rPr>
          <w:rFonts w:ascii="Arial Black" w:hAnsi="Arial Black"/>
          <w:b/>
          <w:bCs/>
          <w:sz w:val="28"/>
          <w:szCs w:val="28"/>
        </w:rPr>
      </w:pPr>
    </w:p>
    <w:p w14:paraId="6511AB41" w14:textId="77777777" w:rsidR="00E3473F" w:rsidRDefault="00E3473F" w:rsidP="002B1283">
      <w:pPr>
        <w:rPr>
          <w:rFonts w:ascii="Arial Black" w:hAnsi="Arial Black"/>
          <w:b/>
          <w:bCs/>
          <w:sz w:val="28"/>
          <w:szCs w:val="28"/>
        </w:rPr>
      </w:pPr>
    </w:p>
    <w:p w14:paraId="0060AD3F" w14:textId="4AA6337A" w:rsidR="00D55139" w:rsidRDefault="00E3473F" w:rsidP="002B1283">
      <w:pPr>
        <w:rPr>
          <w:rFonts w:ascii="Arial Black" w:hAnsi="Arial Black"/>
          <w:b/>
          <w:bCs/>
          <w:sz w:val="28"/>
          <w:szCs w:val="28"/>
        </w:rPr>
      </w:pPr>
      <w:r>
        <w:rPr>
          <w:rFonts w:ascii="Arial Black" w:hAnsi="Arial Black"/>
          <w:b/>
          <w:bCs/>
          <w:sz w:val="28"/>
          <w:szCs w:val="28"/>
        </w:rPr>
        <w:t>13-107</w:t>
      </w:r>
    </w:p>
    <w:p w14:paraId="10553ABD" w14:textId="77777777" w:rsidR="00E3473F" w:rsidRDefault="00E3473F" w:rsidP="00E3473F">
      <w:pPr>
        <w:pStyle w:val="NormalWeb"/>
        <w:rPr>
          <w:rFonts w:ascii="Arial Black" w:hAnsi="Arial Black"/>
          <w:sz w:val="28"/>
          <w:szCs w:val="28"/>
        </w:rPr>
      </w:pPr>
      <w:r w:rsidRPr="004604BC">
        <w:rPr>
          <w:rFonts w:ascii="Arial Black" w:hAnsi="Arial Black"/>
          <w:sz w:val="28"/>
          <w:szCs w:val="28"/>
        </w:rPr>
        <w:t>CA:</w:t>
      </w:r>
      <w:r>
        <w:rPr>
          <w:rFonts w:ascii="Arial Black" w:hAnsi="Arial Black"/>
          <w:sz w:val="28"/>
          <w:szCs w:val="28"/>
        </w:rPr>
        <w:t xml:space="preserve"> ASPHYXIATION - PD MAN FACE DOWN – EMS USED BACKBORD 4 MIN. PRONE – NOT UNCONSTIT. IN 2017</w:t>
      </w:r>
    </w:p>
    <w:p w14:paraId="30BB0CAC" w14:textId="77777777" w:rsidR="00E3473F" w:rsidRDefault="00E3473F" w:rsidP="00E3473F">
      <w:pPr>
        <w:pStyle w:val="NormalWeb"/>
      </w:pPr>
      <w:r>
        <w:lastRenderedPageBreak/>
        <w:t xml:space="preserve">On March 17, 2022, in </w:t>
      </w:r>
      <w:r w:rsidRPr="004604BC">
        <w:rPr>
          <w:u w:val="single"/>
        </w:rPr>
        <w:t>Anthony Perez, et al, v. City of Fresno, et al.</w:t>
      </w:r>
      <w:r>
        <w:t xml:space="preserve">, U.S. Senior District Court Judge Anthony W. Ishii, U.S. District Court for Eastern District of California, granted summary judgment for all the defendants, including the two medics, and the police officers, the </w:t>
      </w:r>
      <w:proofErr w:type="gramStart"/>
      <w:r>
        <w:t>City</w:t>
      </w:r>
      <w:proofErr w:type="gramEnd"/>
      <w:r>
        <w:t xml:space="preserve">, and the County. Based on case law in 2017, a “reasonable paramedic would have known that [paramedic] Anderson's conduct was unconstitutional” under 14 Amendment due process clause. </w:t>
      </w:r>
      <w:hyperlink r:id="rId2283" w:history="1">
        <w:r w:rsidRPr="005A0566">
          <w:rPr>
            <w:rStyle w:val="Hyperlink"/>
            <w:rFonts w:eastAsiaTheme="majorEastAsia"/>
          </w:rPr>
          <w:t>https://public.fastcase.com/waZtJvSA54UAurM2rmIZzwvOxdABv7XvwmmlDXNvdvn51CTV3NslG6Rw0yioxZXL%2BjJOhhNAJF%2FpIN8S52jcKAcJWCdsLYpOkU1PQ4W0%2BbA%3D</w:t>
        </w:r>
      </w:hyperlink>
      <w:r>
        <w:t xml:space="preserve"> </w:t>
      </w:r>
    </w:p>
    <w:p w14:paraId="12E1FC2D" w14:textId="77777777" w:rsidR="00E3473F" w:rsidRDefault="00E3473F" w:rsidP="00E3473F">
      <w:pPr>
        <w:pStyle w:val="NormalWeb"/>
        <w:ind w:left="720"/>
      </w:pPr>
      <w:r>
        <w:t xml:space="preserve">“After the backboard was attached to Perez, Perez was turned over…. [Officer] Martinez estimated that Perez had been under the backboard for about four minutes before being turned over…. Paramedic Dines observed that Perez was unconscious and blueish in the face…. [Paramedic] Anderson stated that it did not appear that Perez was breathing….  </w:t>
      </w:r>
      <w:r>
        <w:rPr>
          <w:rStyle w:val="Emphasis"/>
        </w:rPr>
        <w:t>[O]</w:t>
      </w:r>
      <w:proofErr w:type="spellStart"/>
      <w:r>
        <w:t>nce</w:t>
      </w:r>
      <w:proofErr w:type="spellEnd"/>
      <w:r>
        <w:t xml:space="preserve"> Anderson and Dines saw that Perez was unconscious, they both testified that Anderson checked Perez's pulse and was unable to detect one…. Because Perez was blueish in the face and had no pulse, the paramedics initiated a cardiac arrest protocol….   Perez was placed on a gurney, moved inside the ambulance, and CPR was initiated….  Ortiz hooked Perez up to a heart monitor in the ambulance and he was asystole, i.e. without a heartbeat.   </w:t>
      </w:r>
    </w:p>
    <w:p w14:paraId="02940E16" w14:textId="77777777" w:rsidR="00E3473F" w:rsidRDefault="00E3473F" w:rsidP="00E3473F">
      <w:pPr>
        <w:pStyle w:val="NormalWeb"/>
        <w:ind w:left="720"/>
      </w:pPr>
      <w:r>
        <w:t>***</w:t>
      </w:r>
    </w:p>
    <w:p w14:paraId="04ED1D44" w14:textId="77777777" w:rsidR="00E3473F" w:rsidRDefault="00E3473F" w:rsidP="00E3473F">
      <w:pPr>
        <w:pStyle w:val="NormalWeb"/>
        <w:ind w:left="720"/>
      </w:pPr>
      <w:r>
        <w:t xml:space="preserve">With respect to Plaintiffs' claims that Anderson's conduct was obviously unconstitutional, the Court cannot agree. It is true, as Plaintiffs point out, that none of the AA [American Ambulance] personnel, County Deputies, or City Officers had ever seen a backboard placed on the back of a prone person. It is also true that Anderson himself recognized that placing a backboard on a prone individual is generally not a good idea because one of the possible dangers of that practice appears to have manifested in this case - asphyxiation. Nevertheless, Anderson was confronted with a § 5150 situation in which the call had been elevated from a Code Two (straight § 5150 situation) to a Code Three with combative behavior reported. </w:t>
      </w:r>
    </w:p>
    <w:p w14:paraId="178860D2" w14:textId="77777777" w:rsidR="00E3473F" w:rsidRDefault="00E3473F" w:rsidP="00E3473F">
      <w:pPr>
        <w:pStyle w:val="NormalWeb"/>
        <w:ind w:left="720"/>
      </w:pPr>
      <w:r>
        <w:t>***</w:t>
      </w:r>
    </w:p>
    <w:p w14:paraId="65F71BB7" w14:textId="77777777" w:rsidR="00E3473F" w:rsidRDefault="00E3473F" w:rsidP="00E3473F">
      <w:pPr>
        <w:pStyle w:val="NormalWeb"/>
        <w:ind w:left="720"/>
      </w:pPr>
      <w:r>
        <w:t xml:space="preserve">In sum, particularly in light of [prior court decisions], the law as it existed in May 2017 was not so clear that a reasonable paramedic would have known that Anderson's conduct was unconstitutional, and this is not a rare case in which the Anderson's behavior was obviously unconstitutional….  Therefore, the Court holds that Anderson is entitled to qualified immunity.” </w:t>
      </w:r>
      <w:hyperlink r:id="rId2284" w:history="1">
        <w:r w:rsidRPr="005A0566">
          <w:rPr>
            <w:rStyle w:val="Hyperlink"/>
            <w:rFonts w:eastAsiaTheme="majorEastAsia"/>
          </w:rPr>
          <w:t>https://public.fastcase.com/waZtJvSA54UAurM2rmIZzwvOxdABv7XvwmmlDXNvdvn51CTV3NslG6Rw0yioxZXL%2BjJOhhNAJF%2FpIN8S52jcKAcJWCdsLYpOkU1PQ4W0%2BbA%3D</w:t>
        </w:r>
      </w:hyperlink>
      <w:r>
        <w:t xml:space="preserve"> </w:t>
      </w:r>
    </w:p>
    <w:p w14:paraId="1AE2DC40" w14:textId="77777777" w:rsidR="00E3473F" w:rsidRPr="001635AD" w:rsidRDefault="00E3473F" w:rsidP="00E3473F">
      <w:pPr>
        <w:pStyle w:val="NormalWeb"/>
        <w:rPr>
          <w:b/>
          <w:bCs/>
        </w:rPr>
      </w:pPr>
      <w:r w:rsidRPr="001635AD">
        <w:rPr>
          <w:b/>
          <w:bCs/>
        </w:rPr>
        <w:t>Legal Lesson Learned:</w:t>
      </w:r>
      <w:r>
        <w:rPr>
          <w:b/>
          <w:bCs/>
        </w:rPr>
        <w:t xml:space="preserve"> Asphyxiation from person being held by police face down on the ground is well known concern.  EMS protocol should address avoiding leaving patient prone on a backboard; similar conduct in 2022 may not lead to dismissal of Federal constitutional rights lawsuit. </w:t>
      </w:r>
    </w:p>
    <w:p w14:paraId="143BD369" w14:textId="77777777" w:rsidR="00E3473F" w:rsidRDefault="00E3473F" w:rsidP="002B1283">
      <w:pPr>
        <w:rPr>
          <w:rFonts w:ascii="Arial Black" w:hAnsi="Arial Black"/>
          <w:b/>
          <w:bCs/>
          <w:sz w:val="28"/>
          <w:szCs w:val="28"/>
        </w:rPr>
      </w:pPr>
    </w:p>
    <w:p w14:paraId="4EFA6EEB" w14:textId="77777777" w:rsidR="00E3473F" w:rsidRDefault="00E3473F" w:rsidP="002B1283">
      <w:pPr>
        <w:rPr>
          <w:rFonts w:ascii="Arial Black" w:hAnsi="Arial Black"/>
          <w:b/>
          <w:bCs/>
          <w:sz w:val="28"/>
          <w:szCs w:val="28"/>
        </w:rPr>
      </w:pPr>
    </w:p>
    <w:p w14:paraId="19206F2D" w14:textId="77777777" w:rsidR="00E3473F" w:rsidRDefault="00E3473F" w:rsidP="002B1283">
      <w:pPr>
        <w:rPr>
          <w:rFonts w:ascii="Arial Black" w:hAnsi="Arial Black"/>
          <w:b/>
          <w:bCs/>
          <w:sz w:val="28"/>
          <w:szCs w:val="28"/>
        </w:rPr>
      </w:pPr>
    </w:p>
    <w:p w14:paraId="57F4EAC0" w14:textId="787E1CB6" w:rsidR="00E3473F" w:rsidRDefault="00E3473F" w:rsidP="002B1283">
      <w:pPr>
        <w:rPr>
          <w:rFonts w:ascii="Arial Black" w:hAnsi="Arial Black"/>
          <w:b/>
          <w:bCs/>
          <w:sz w:val="28"/>
          <w:szCs w:val="28"/>
        </w:rPr>
      </w:pPr>
      <w:r>
        <w:rPr>
          <w:rFonts w:ascii="Arial Black" w:hAnsi="Arial Black"/>
          <w:b/>
          <w:bCs/>
          <w:sz w:val="28"/>
          <w:szCs w:val="28"/>
        </w:rPr>
        <w:t>13-106</w:t>
      </w:r>
    </w:p>
    <w:p w14:paraId="1E273322" w14:textId="77777777" w:rsidR="00E3473F" w:rsidRDefault="00E3473F" w:rsidP="00E3473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lastRenderedPageBreak/>
        <w:t>NJ: EMT FIRED AFTER COMPLAINED ABOUT PD FORCING PATIENT AMBULANCE – RETALIATION CASE REINSTATED</w:t>
      </w:r>
    </w:p>
    <w:p w14:paraId="60E14E7B" w14:textId="77777777" w:rsidR="00E3473F" w:rsidRPr="00DA11E3" w:rsidRDefault="00E3473F" w:rsidP="00E3473F">
      <w:pPr>
        <w:spacing w:before="100" w:beforeAutospacing="1" w:after="100" w:afterAutospacing="1" w:line="240" w:lineRule="auto"/>
        <w:rPr>
          <w:rFonts w:ascii="Times New Roman" w:hAnsi="Times New Roman"/>
          <w:sz w:val="24"/>
          <w:szCs w:val="24"/>
        </w:rPr>
      </w:pPr>
      <w:r w:rsidRPr="000A1E15">
        <w:rPr>
          <w:rFonts w:ascii="Times New Roman" w:eastAsia="Times New Roman" w:hAnsi="Times New Roman"/>
          <w:sz w:val="24"/>
          <w:szCs w:val="24"/>
        </w:rPr>
        <w:t xml:space="preserve">On </w:t>
      </w:r>
      <w:r>
        <w:rPr>
          <w:rFonts w:ascii="Times New Roman" w:eastAsia="Times New Roman" w:hAnsi="Times New Roman"/>
          <w:sz w:val="24"/>
          <w:szCs w:val="24"/>
        </w:rPr>
        <w:t xml:space="preserve">March 14, 2022, in </w:t>
      </w:r>
      <w:r w:rsidRPr="008C0733">
        <w:rPr>
          <w:rFonts w:ascii="Times New Roman" w:eastAsia="Times New Roman" w:hAnsi="Times New Roman"/>
          <w:sz w:val="24"/>
          <w:szCs w:val="24"/>
          <w:u w:val="single"/>
        </w:rPr>
        <w:t>Amara Sepulveda and Louis Deleon v, Township of North Bergen and Deputy Chief Prina</w:t>
      </w:r>
      <w:r>
        <w:rPr>
          <w:rFonts w:ascii="Times New Roman" w:eastAsia="Times New Roman" w:hAnsi="Times New Roman"/>
          <w:sz w:val="24"/>
          <w:szCs w:val="24"/>
        </w:rPr>
        <w:t xml:space="preserve">, the Superior Court of New Jersey, Appellate Division, held (3 to 0) in an unpublished decision that EMT Deleon’s complaint that he was fired in retaliation for reporting police misconduct in violation of the </w:t>
      </w:r>
      <w:r w:rsidRPr="008C0733">
        <w:rPr>
          <w:rFonts w:ascii="Times New Roman" w:hAnsi="Times New Roman"/>
          <w:sz w:val="24"/>
          <w:szCs w:val="24"/>
        </w:rPr>
        <w:t>Conscientious Employee Protection Act (CEPA</w:t>
      </w:r>
      <w:r>
        <w:rPr>
          <w:rFonts w:ascii="Times New Roman" w:hAnsi="Times New Roman"/>
          <w:sz w:val="24"/>
          <w:szCs w:val="24"/>
        </w:rPr>
        <w:t xml:space="preserve">) is reinstated.  EMT Sepulveda is dismissed from the lawsuit since she didn’t make </w:t>
      </w:r>
      <w:proofErr w:type="gramStart"/>
      <w:r>
        <w:rPr>
          <w:rFonts w:ascii="Times New Roman" w:hAnsi="Times New Roman"/>
          <w:sz w:val="24"/>
          <w:szCs w:val="24"/>
        </w:rPr>
        <w:t>report</w:t>
      </w:r>
      <w:proofErr w:type="gramEnd"/>
      <w:r>
        <w:rPr>
          <w:rFonts w:ascii="Times New Roman" w:hAnsi="Times New Roman"/>
          <w:sz w:val="24"/>
          <w:szCs w:val="24"/>
        </w:rPr>
        <w:t xml:space="preserve"> of police misconduct and then resigned from the Township EMS Department.  On remand, the trial court must provide EMT Deleon with a hearing. </w:t>
      </w:r>
      <w:hyperlink r:id="rId2285" w:history="1">
        <w:r w:rsidRPr="002477AB">
          <w:rPr>
            <w:rStyle w:val="Hyperlink"/>
            <w:rFonts w:ascii="Times New Roman" w:hAnsi="Times New Roman"/>
            <w:sz w:val="24"/>
            <w:szCs w:val="24"/>
          </w:rPr>
          <w:t>https://public.fastcase.com/waZtJvSA54UAurM2rmIZzwN7i243%2F%2BStZpHYDBkc8sGpJscx%2FQQ27pdU9Jjrp4oC%2BDoaG82WuBlPphdis3f1N3UPtlVqun2jEuCWxYyqQWw%3D</w:t>
        </w:r>
      </w:hyperlink>
      <w:r>
        <w:rPr>
          <w:rFonts w:ascii="Times New Roman" w:hAnsi="Times New Roman"/>
          <w:sz w:val="24"/>
          <w:szCs w:val="24"/>
        </w:rPr>
        <w:t xml:space="preserve"> </w:t>
      </w:r>
    </w:p>
    <w:p w14:paraId="3E8CA830" w14:textId="77777777" w:rsidR="00E3473F" w:rsidRDefault="00E3473F" w:rsidP="00E3473F">
      <w:pPr>
        <w:spacing w:before="100" w:beforeAutospacing="1" w:after="100" w:afterAutospacing="1" w:line="240" w:lineRule="auto"/>
        <w:ind w:left="720"/>
        <w:rPr>
          <w:rFonts w:ascii="Times New Roman" w:hAnsi="Times New Roman"/>
          <w:sz w:val="24"/>
          <w:szCs w:val="24"/>
        </w:rPr>
      </w:pPr>
      <w:r>
        <w:t>“</w:t>
      </w:r>
      <w:r w:rsidRPr="00DE51FF">
        <w:rPr>
          <w:rFonts w:ascii="Times New Roman" w:hAnsi="Times New Roman"/>
          <w:sz w:val="24"/>
          <w:szCs w:val="24"/>
        </w:rPr>
        <w:t xml:space="preserve">The </w:t>
      </w:r>
      <w:r>
        <w:rPr>
          <w:rFonts w:ascii="Times New Roman" w:hAnsi="Times New Roman"/>
          <w:sz w:val="24"/>
          <w:szCs w:val="24"/>
        </w:rPr>
        <w:t xml:space="preserve">[trial] </w:t>
      </w:r>
      <w:r w:rsidRPr="00DE51FF">
        <w:rPr>
          <w:rFonts w:ascii="Times New Roman" w:hAnsi="Times New Roman"/>
          <w:sz w:val="24"/>
          <w:szCs w:val="24"/>
        </w:rPr>
        <w:t xml:space="preserve">court granted defendants' motion without oral argument, despite plaintiffs' request. In a nine-page written opinion, the court explained that the motion record failed to create a genuine issue of material </w:t>
      </w:r>
      <w:proofErr w:type="gramStart"/>
      <w:r w:rsidRPr="00DE51FF">
        <w:rPr>
          <w:rFonts w:ascii="Times New Roman" w:hAnsi="Times New Roman"/>
          <w:sz w:val="24"/>
          <w:szCs w:val="24"/>
        </w:rPr>
        <w:t>fact</w:t>
      </w:r>
      <w:proofErr w:type="gramEnd"/>
      <w:r w:rsidRPr="00DE51FF">
        <w:rPr>
          <w:rFonts w:ascii="Times New Roman" w:hAnsi="Times New Roman"/>
          <w:sz w:val="24"/>
          <w:szCs w:val="24"/>
        </w:rPr>
        <w:t xml:space="preserve"> as to whether plaintiffs engaged in CEPA protected conduct. The court reasoned that the </w:t>
      </w:r>
      <w:r>
        <w:rPr>
          <w:rFonts w:ascii="Times New Roman" w:hAnsi="Times New Roman"/>
          <w:sz w:val="24"/>
          <w:szCs w:val="24"/>
        </w:rPr>
        <w:t>‘</w:t>
      </w:r>
      <w:r w:rsidRPr="00DE51FF">
        <w:rPr>
          <w:rFonts w:ascii="Times New Roman" w:hAnsi="Times New Roman"/>
          <w:sz w:val="24"/>
          <w:szCs w:val="24"/>
        </w:rPr>
        <w:t xml:space="preserve">broad stroke </w:t>
      </w:r>
      <w:proofErr w:type="gramStart"/>
      <w:r w:rsidRPr="00DE51FF">
        <w:rPr>
          <w:rFonts w:ascii="Times New Roman" w:hAnsi="Times New Roman"/>
          <w:sz w:val="24"/>
          <w:szCs w:val="24"/>
        </w:rPr>
        <w:t>claims</w:t>
      </w:r>
      <w:r>
        <w:rPr>
          <w:rFonts w:ascii="Times New Roman" w:hAnsi="Times New Roman"/>
          <w:sz w:val="24"/>
          <w:szCs w:val="24"/>
        </w:rPr>
        <w:t>’</w:t>
      </w:r>
      <w:proofErr w:type="gramEnd"/>
      <w:r w:rsidRPr="00DE51FF">
        <w:rPr>
          <w:rFonts w:ascii="Times New Roman" w:hAnsi="Times New Roman"/>
          <w:sz w:val="24"/>
          <w:szCs w:val="24"/>
        </w:rPr>
        <w:t xml:space="preserve"> of illegal conduct amounted to mere </w:t>
      </w:r>
      <w:r>
        <w:rPr>
          <w:rFonts w:ascii="Times New Roman" w:hAnsi="Times New Roman"/>
          <w:sz w:val="24"/>
          <w:szCs w:val="24"/>
        </w:rPr>
        <w:t>‘</w:t>
      </w:r>
      <w:r w:rsidRPr="00DE51FF">
        <w:rPr>
          <w:rFonts w:ascii="Times New Roman" w:hAnsi="Times New Roman"/>
          <w:sz w:val="24"/>
          <w:szCs w:val="24"/>
        </w:rPr>
        <w:t>disagreements</w:t>
      </w:r>
      <w:r>
        <w:rPr>
          <w:rFonts w:ascii="Times New Roman" w:hAnsi="Times New Roman"/>
          <w:sz w:val="24"/>
          <w:szCs w:val="24"/>
        </w:rPr>
        <w:t>’</w:t>
      </w:r>
      <w:r w:rsidRPr="00DE51FF">
        <w:rPr>
          <w:rFonts w:ascii="Times New Roman" w:hAnsi="Times New Roman"/>
          <w:sz w:val="24"/>
          <w:szCs w:val="24"/>
        </w:rPr>
        <w:t xml:space="preserve"> between the police and the EMTs </w:t>
      </w:r>
      <w:r>
        <w:rPr>
          <w:rFonts w:ascii="Times New Roman" w:hAnsi="Times New Roman"/>
          <w:sz w:val="24"/>
          <w:szCs w:val="24"/>
        </w:rPr>
        <w:t>‘</w:t>
      </w:r>
      <w:r w:rsidRPr="00DE51FF">
        <w:rPr>
          <w:rFonts w:ascii="Times New Roman" w:hAnsi="Times New Roman"/>
          <w:sz w:val="24"/>
          <w:szCs w:val="24"/>
        </w:rPr>
        <w:t>about whether F.A. required medical assistance,</w:t>
      </w:r>
      <w:r>
        <w:rPr>
          <w:rFonts w:ascii="Times New Roman" w:hAnsi="Times New Roman"/>
          <w:sz w:val="24"/>
          <w:szCs w:val="24"/>
        </w:rPr>
        <w:t xml:space="preserve">’ </w:t>
      </w:r>
      <w:r w:rsidRPr="00DE51FF">
        <w:rPr>
          <w:rFonts w:ascii="Times New Roman" w:hAnsi="Times New Roman"/>
          <w:sz w:val="24"/>
          <w:szCs w:val="24"/>
        </w:rPr>
        <w:t>which "is not protected activity within the meaning of CEPA.</w:t>
      </w:r>
      <w:r>
        <w:rPr>
          <w:rFonts w:ascii="Times New Roman" w:hAnsi="Times New Roman"/>
          <w:sz w:val="24"/>
          <w:szCs w:val="24"/>
        </w:rPr>
        <w:t>’</w:t>
      </w:r>
    </w:p>
    <w:p w14:paraId="351D1BAB" w14:textId="77777777" w:rsidR="00E3473F" w:rsidRDefault="00E3473F" w:rsidP="00E3473F">
      <w:pPr>
        <w:spacing w:before="100" w:beforeAutospacing="1" w:after="100" w:afterAutospacing="1" w:line="240" w:lineRule="auto"/>
        <w:ind w:left="720"/>
      </w:pPr>
      <w:r>
        <w:rPr>
          <w:rFonts w:ascii="Times New Roman" w:hAnsi="Times New Roman"/>
          <w:sz w:val="24"/>
          <w:szCs w:val="24"/>
        </w:rPr>
        <w:t>***</w:t>
      </w:r>
    </w:p>
    <w:p w14:paraId="38BB4DFB" w14:textId="77777777" w:rsidR="00E3473F" w:rsidRDefault="00E3473F" w:rsidP="00E3473F">
      <w:pPr>
        <w:spacing w:before="100" w:beforeAutospacing="1" w:after="100" w:afterAutospacing="1" w:line="240" w:lineRule="auto"/>
        <w:ind w:left="720"/>
        <w:rPr>
          <w:rFonts w:ascii="Times New Roman" w:hAnsi="Times New Roman"/>
          <w:sz w:val="24"/>
          <w:szCs w:val="24"/>
        </w:rPr>
      </w:pPr>
      <w:proofErr w:type="gramStart"/>
      <w:r w:rsidRPr="00F867E4">
        <w:rPr>
          <w:rFonts w:ascii="Times New Roman" w:hAnsi="Times New Roman"/>
          <w:sz w:val="24"/>
          <w:szCs w:val="24"/>
        </w:rPr>
        <w:t>For the reasons that</w:t>
      </w:r>
      <w:proofErr w:type="gramEnd"/>
      <w:r w:rsidRPr="00F867E4">
        <w:rPr>
          <w:rFonts w:ascii="Times New Roman" w:hAnsi="Times New Roman"/>
          <w:sz w:val="24"/>
          <w:szCs w:val="24"/>
        </w:rPr>
        <w:t xml:space="preserve"> follow, we are satisfied that the motion record contains disputed issues of material fact sufficient to establish a prima facie case of retaliation under CEPA as it related to DeLeon. We reach a contrary conclusion as to Sepulveda. As to her claim, it was undisputed that she never reported the incident to her superiors. We also note she resigned voluntarily, based upon speculative future conduct by the Township's police department.</w:t>
      </w:r>
    </w:p>
    <w:p w14:paraId="04AB6E61" w14:textId="77777777" w:rsidR="00E3473F" w:rsidRDefault="00E3473F" w:rsidP="00E3473F">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4699224B" w14:textId="3FB62AB2" w:rsidR="00E3473F" w:rsidRDefault="00E3473F" w:rsidP="00E3473F">
      <w:pPr>
        <w:rPr>
          <w:rFonts w:ascii="Arial Black" w:hAnsi="Arial Black"/>
          <w:b/>
          <w:bCs/>
          <w:sz w:val="28"/>
          <w:szCs w:val="28"/>
        </w:rPr>
      </w:pPr>
      <w:r w:rsidRPr="00DA11E3">
        <w:rPr>
          <w:rFonts w:ascii="Times New Roman" w:hAnsi="Times New Roman"/>
          <w:sz w:val="24"/>
          <w:szCs w:val="24"/>
        </w:rPr>
        <w:t xml:space="preserve">Both plaintiffs testified at their depositions that they had learned </w:t>
      </w:r>
      <w:proofErr w:type="gramStart"/>
      <w:r w:rsidRPr="00DA11E3">
        <w:rPr>
          <w:rFonts w:ascii="Times New Roman" w:hAnsi="Times New Roman"/>
          <w:sz w:val="24"/>
          <w:szCs w:val="24"/>
        </w:rPr>
        <w:t>in the course of</w:t>
      </w:r>
      <w:proofErr w:type="gramEnd"/>
      <w:r w:rsidRPr="00DA11E3">
        <w:rPr>
          <w:rFonts w:ascii="Times New Roman" w:hAnsi="Times New Roman"/>
          <w:sz w:val="24"/>
          <w:szCs w:val="24"/>
        </w:rPr>
        <w:t xml:space="preserve"> their formal training that transporting a patient against his or her will is illegal and tantamount to kidnapping and or assault under New Jersey law. When the North Bergen police forced plaintiffs to ferry F.A. to the hospital against his wishes, plaintiffs allege they had a reasonable belief that such actions violated the false imprisonment statute as well as New Jersey's public policy protecting a competent patient's right to refuse medical treatment.</w:t>
      </w:r>
      <w:r>
        <w:rPr>
          <w:rFonts w:ascii="Times New Roman" w:hAnsi="Times New Roman"/>
          <w:sz w:val="24"/>
          <w:szCs w:val="24"/>
        </w:rPr>
        <w:t xml:space="preserve">” </w:t>
      </w:r>
      <w:hyperlink r:id="rId2286" w:history="1">
        <w:r w:rsidRPr="002477AB">
          <w:rPr>
            <w:rStyle w:val="Hyperlink"/>
            <w:rFonts w:ascii="Times New Roman" w:hAnsi="Times New Roman"/>
            <w:sz w:val="24"/>
            <w:szCs w:val="24"/>
          </w:rPr>
          <w:t>https://public.fastcase.com/waZtJvSA54UAurM2rmIZzwN7i243%2F%2BStZpHYDBkc8sGpJscx%2FQQ27pdU9Jjrp4oC%2BDoaG82WuBlPphdis3f1N3UPtlVqun2jEuCWxYyqQWw%3D</w:t>
        </w:r>
      </w:hyperlink>
    </w:p>
    <w:p w14:paraId="2212FCCC" w14:textId="77777777" w:rsidR="00E3473F" w:rsidRDefault="00E3473F" w:rsidP="00E3473F">
      <w:pPr>
        <w:spacing w:before="100" w:beforeAutospacing="1" w:after="100" w:afterAutospacing="1" w:line="240" w:lineRule="auto"/>
        <w:rPr>
          <w:rFonts w:ascii="Times New Roman" w:hAnsi="Times New Roman"/>
          <w:b/>
          <w:bCs/>
          <w:sz w:val="24"/>
          <w:szCs w:val="24"/>
        </w:rPr>
      </w:pPr>
      <w:r w:rsidRPr="0049327E">
        <w:rPr>
          <w:rFonts w:ascii="Times New Roman" w:hAnsi="Times New Roman"/>
          <w:b/>
          <w:bCs/>
          <w:sz w:val="24"/>
          <w:szCs w:val="24"/>
        </w:rPr>
        <w:t>Legal Lesson Learned:</w:t>
      </w:r>
      <w:r>
        <w:rPr>
          <w:rFonts w:ascii="Times New Roman" w:hAnsi="Times New Roman"/>
          <w:b/>
          <w:bCs/>
          <w:sz w:val="24"/>
          <w:szCs w:val="24"/>
        </w:rPr>
        <w:t xml:space="preserve"> Unfortunate dispute at the scene between police and EMS; time for PD and EMS management to jointly review patient transport protocols. </w:t>
      </w:r>
    </w:p>
    <w:p w14:paraId="4D78D8DA" w14:textId="77777777" w:rsidR="00E3473F" w:rsidRDefault="00E3473F" w:rsidP="00E3473F">
      <w:pPr>
        <w:pStyle w:val="Heading1"/>
        <w:ind w:left="720"/>
      </w:pPr>
      <w:r>
        <w:rPr>
          <w:b w:val="0"/>
          <w:bCs w:val="0"/>
          <w:sz w:val="24"/>
          <w:szCs w:val="24"/>
        </w:rPr>
        <w:t xml:space="preserve">Note: See the article when lawsuit </w:t>
      </w:r>
      <w:proofErr w:type="gramStart"/>
      <w:r>
        <w:rPr>
          <w:b w:val="0"/>
          <w:bCs w:val="0"/>
          <w:sz w:val="24"/>
          <w:szCs w:val="24"/>
        </w:rPr>
        <w:t>was</w:t>
      </w:r>
      <w:proofErr w:type="gramEnd"/>
      <w:r>
        <w:rPr>
          <w:b w:val="0"/>
          <w:bCs w:val="0"/>
          <w:sz w:val="24"/>
          <w:szCs w:val="24"/>
        </w:rPr>
        <w:t xml:space="preserve"> filed. Aug. 22, 2018, “</w:t>
      </w:r>
      <w:r w:rsidRPr="00DE51FF">
        <w:rPr>
          <w:b w:val="0"/>
          <w:bCs w:val="0"/>
          <w:sz w:val="24"/>
          <w:szCs w:val="24"/>
        </w:rPr>
        <w:t>2 ex-North Bergen EMS workers file wrongful termination suit against township, deputy EMS chief</w:t>
      </w:r>
      <w:r>
        <w:rPr>
          <w:b w:val="0"/>
          <w:bCs w:val="0"/>
          <w:sz w:val="24"/>
          <w:szCs w:val="24"/>
        </w:rPr>
        <w:t>.”</w:t>
      </w:r>
      <w:r>
        <w:t xml:space="preserve"> </w:t>
      </w:r>
      <w:hyperlink r:id="rId2287" w:history="1">
        <w:r w:rsidRPr="00DE51FF">
          <w:rPr>
            <w:rStyle w:val="Hyperlink"/>
            <w:rFonts w:eastAsiaTheme="majorEastAsia"/>
            <w:b w:val="0"/>
            <w:bCs w:val="0"/>
            <w:sz w:val="24"/>
            <w:szCs w:val="24"/>
          </w:rPr>
          <w:t>https://hudsoncountyview.com/2-ex-north-bergen-ems-workers-file-wrongful-termination-suit-against-township-deputy-ems-chief/</w:t>
        </w:r>
      </w:hyperlink>
      <w:r>
        <w:t xml:space="preserve"> </w:t>
      </w:r>
    </w:p>
    <w:p w14:paraId="1C82742F" w14:textId="77777777" w:rsidR="00E3473F" w:rsidRDefault="00E3473F" w:rsidP="002B1283">
      <w:pPr>
        <w:rPr>
          <w:rFonts w:ascii="Arial Black" w:hAnsi="Arial Black"/>
          <w:b/>
          <w:bCs/>
          <w:sz w:val="28"/>
          <w:szCs w:val="28"/>
        </w:rPr>
      </w:pPr>
    </w:p>
    <w:p w14:paraId="0A70D44A" w14:textId="77777777" w:rsidR="00E3473F" w:rsidRDefault="00E3473F" w:rsidP="002B1283">
      <w:pPr>
        <w:rPr>
          <w:rFonts w:ascii="Arial Black" w:hAnsi="Arial Black"/>
          <w:b/>
          <w:bCs/>
          <w:sz w:val="28"/>
          <w:szCs w:val="28"/>
        </w:rPr>
      </w:pPr>
    </w:p>
    <w:p w14:paraId="253FF7D2" w14:textId="77777777" w:rsidR="00E3473F" w:rsidRDefault="00E3473F" w:rsidP="002B1283">
      <w:pPr>
        <w:rPr>
          <w:rFonts w:ascii="Arial Black" w:hAnsi="Arial Black"/>
          <w:b/>
          <w:bCs/>
          <w:sz w:val="28"/>
          <w:szCs w:val="28"/>
        </w:rPr>
      </w:pPr>
    </w:p>
    <w:p w14:paraId="79D9AD8F" w14:textId="258CCA77" w:rsidR="00D55139" w:rsidRPr="00D55139" w:rsidRDefault="00D55139" w:rsidP="002B1283">
      <w:pPr>
        <w:rPr>
          <w:rFonts w:ascii="Times New Roman" w:hAnsi="Times New Roman"/>
          <w:sz w:val="24"/>
          <w:szCs w:val="24"/>
        </w:rPr>
      </w:pPr>
      <w:r>
        <w:rPr>
          <w:rFonts w:ascii="Arial Black" w:hAnsi="Arial Black"/>
          <w:b/>
          <w:bCs/>
          <w:sz w:val="28"/>
          <w:szCs w:val="28"/>
        </w:rPr>
        <w:t xml:space="preserve">13-105 </w:t>
      </w:r>
      <w:r>
        <w:rPr>
          <w:rFonts w:ascii="Times New Roman" w:hAnsi="Times New Roman"/>
          <w:sz w:val="24"/>
          <w:szCs w:val="24"/>
        </w:rPr>
        <w:t>[also filed Chap. 16]</w:t>
      </w:r>
    </w:p>
    <w:p w14:paraId="692CAE83" w14:textId="77777777" w:rsidR="00D55139" w:rsidRPr="006C2163" w:rsidRDefault="00D55139" w:rsidP="00D55139">
      <w:pPr>
        <w:spacing w:before="100" w:beforeAutospacing="1" w:after="100" w:afterAutospacing="1" w:line="240" w:lineRule="auto"/>
        <w:rPr>
          <w:rFonts w:ascii="Arial Black" w:eastAsia="Times New Roman" w:hAnsi="Arial Black"/>
          <w:b/>
          <w:bCs/>
          <w:sz w:val="28"/>
          <w:szCs w:val="28"/>
        </w:rPr>
      </w:pPr>
      <w:bookmarkStart w:id="444" w:name="_Hlk94625731"/>
      <w:r>
        <w:rPr>
          <w:rFonts w:ascii="Arial Black" w:eastAsia="Times New Roman" w:hAnsi="Arial Black"/>
          <w:b/>
          <w:bCs/>
          <w:sz w:val="28"/>
          <w:szCs w:val="28"/>
        </w:rPr>
        <w:t xml:space="preserve">DE: PARAMEDIC LICENSE SUSPENDED – PLED GUILTY - </w:t>
      </w:r>
      <w:r w:rsidRPr="006C2163">
        <w:rPr>
          <w:rFonts w:ascii="Arial Black" w:eastAsia="Times New Roman" w:hAnsi="Arial Black"/>
          <w:sz w:val="28"/>
          <w:szCs w:val="28"/>
        </w:rPr>
        <w:t>T</w:t>
      </w:r>
      <w:r>
        <w:rPr>
          <w:rFonts w:ascii="Arial Black" w:eastAsia="Times New Roman" w:hAnsi="Arial Black"/>
          <w:sz w:val="28"/>
          <w:szCs w:val="28"/>
        </w:rPr>
        <w:t xml:space="preserve">RESPASS INTENT PEER (PEERING ON SEPERATED WIFE) </w:t>
      </w:r>
    </w:p>
    <w:p w14:paraId="722FC91A" w14:textId="77777777" w:rsidR="00D55139" w:rsidRDefault="00D55139" w:rsidP="00D55139">
      <w:pPr>
        <w:spacing w:before="100" w:beforeAutospacing="1" w:after="100" w:afterAutospacing="1" w:line="240" w:lineRule="auto"/>
        <w:rPr>
          <w:rFonts w:ascii="Times New Roman" w:eastAsia="Times New Roman" w:hAnsi="Times New Roman"/>
          <w:sz w:val="24"/>
          <w:szCs w:val="24"/>
        </w:rPr>
      </w:pPr>
      <w:r w:rsidRPr="00280A60">
        <w:rPr>
          <w:rFonts w:ascii="Times New Roman" w:eastAsia="Times New Roman" w:hAnsi="Times New Roman"/>
          <w:sz w:val="24"/>
          <w:szCs w:val="24"/>
        </w:rPr>
        <w:t xml:space="preserve">On </w:t>
      </w:r>
      <w:r>
        <w:rPr>
          <w:rFonts w:ascii="Times New Roman" w:eastAsia="Times New Roman" w:hAnsi="Times New Roman"/>
          <w:sz w:val="24"/>
          <w:szCs w:val="24"/>
        </w:rPr>
        <w:t xml:space="preserve">Jan. 26, 2022, in </w:t>
      </w:r>
      <w:r w:rsidRPr="00280A60">
        <w:rPr>
          <w:rFonts w:ascii="Times New Roman" w:eastAsia="Times New Roman" w:hAnsi="Times New Roman"/>
          <w:sz w:val="24"/>
          <w:szCs w:val="24"/>
          <w:u w:val="single"/>
        </w:rPr>
        <w:t xml:space="preserve">Kevin Imhoff v. Delaware Board of Medical Licensure </w:t>
      </w:r>
      <w:r>
        <w:rPr>
          <w:rFonts w:ascii="Times New Roman" w:eastAsia="Times New Roman" w:hAnsi="Times New Roman"/>
          <w:sz w:val="24"/>
          <w:szCs w:val="24"/>
          <w:u w:val="single"/>
        </w:rPr>
        <w:t>a</w:t>
      </w:r>
      <w:r w:rsidRPr="00280A60">
        <w:rPr>
          <w:rFonts w:ascii="Times New Roman" w:eastAsia="Times New Roman" w:hAnsi="Times New Roman"/>
          <w:sz w:val="24"/>
          <w:szCs w:val="24"/>
          <w:u w:val="single"/>
        </w:rPr>
        <w:t>nd Discipline</w:t>
      </w:r>
      <w:r>
        <w:rPr>
          <w:rFonts w:ascii="Times New Roman" w:eastAsia="Times New Roman" w:hAnsi="Times New Roman"/>
          <w:sz w:val="24"/>
          <w:szCs w:val="24"/>
        </w:rPr>
        <w:t xml:space="preserve">, Judge Noel Primos of the he Superior Court of Delaware upheld the suspension of the paramedic’s license but remanded to case for Board to possibly reduce the 2-year suspension for failure to timely report his plea of guilty. In September 2019 he pled guilty to Criminal Mischief, Violation of Privacy, and Trespass with Intent to Peer or Peep, but didn’t report this within 30 days to the Board (apparently on bad advice of his criminal defense attorney).  In May 2020, when renewing his license, he reported the convictions. </w:t>
      </w:r>
      <w:hyperlink r:id="rId2288" w:history="1">
        <w:r w:rsidRPr="00A83547">
          <w:rPr>
            <w:rStyle w:val="Hyperlink"/>
            <w:rFonts w:ascii="Times New Roman" w:hAnsi="Times New Roman"/>
            <w:sz w:val="24"/>
            <w:szCs w:val="24"/>
          </w:rPr>
          <w:t>https://casetext.com/case/imhof-v-del-bd-of-med-licensure-discipline</w:t>
        </w:r>
      </w:hyperlink>
    </w:p>
    <w:p w14:paraId="757BE01D" w14:textId="77777777" w:rsidR="00D55139" w:rsidRPr="007B6144" w:rsidRDefault="00D55139" w:rsidP="00D55139">
      <w:pPr>
        <w:spacing w:before="100" w:beforeAutospacing="1" w:after="100" w:afterAutospacing="1" w:line="240" w:lineRule="auto"/>
        <w:jc w:val="both"/>
        <w:rPr>
          <w:rStyle w:val="markedcontent"/>
          <w:rFonts w:ascii="Times New Roman" w:hAnsi="Times New Roman"/>
          <w:b/>
          <w:bCs/>
          <w:sz w:val="24"/>
          <w:szCs w:val="24"/>
        </w:rPr>
      </w:pPr>
      <w:bookmarkStart w:id="445" w:name="_Hlk94625748"/>
      <w:bookmarkEnd w:id="444"/>
      <w:r w:rsidRPr="007B6144">
        <w:rPr>
          <w:rStyle w:val="markedcontent"/>
          <w:rFonts w:ascii="Times New Roman" w:hAnsi="Times New Roman"/>
          <w:b/>
          <w:bCs/>
          <w:sz w:val="24"/>
          <w:szCs w:val="24"/>
        </w:rPr>
        <w:t xml:space="preserve">Legal Lesson Learned: </w:t>
      </w:r>
      <w:r>
        <w:rPr>
          <w:rStyle w:val="markedcontent"/>
          <w:rFonts w:ascii="Times New Roman" w:hAnsi="Times New Roman"/>
          <w:b/>
          <w:bCs/>
          <w:sz w:val="24"/>
          <w:szCs w:val="24"/>
        </w:rPr>
        <w:t>Criminal misconduct can lead to suspension of EMS license.</w:t>
      </w:r>
    </w:p>
    <w:bookmarkEnd w:id="445"/>
    <w:p w14:paraId="063380C6" w14:textId="77777777" w:rsidR="00D55139" w:rsidRDefault="00D55139" w:rsidP="002B1283">
      <w:pPr>
        <w:rPr>
          <w:rFonts w:ascii="Arial Black" w:hAnsi="Arial Black"/>
          <w:b/>
          <w:bCs/>
          <w:sz w:val="28"/>
          <w:szCs w:val="28"/>
        </w:rPr>
      </w:pPr>
    </w:p>
    <w:p w14:paraId="33FC9217" w14:textId="2EE444E3" w:rsidR="009A3D9F" w:rsidRDefault="009A3D9F" w:rsidP="002B1283">
      <w:pPr>
        <w:rPr>
          <w:rFonts w:ascii="Arial Black" w:hAnsi="Arial Black"/>
          <w:b/>
          <w:bCs/>
          <w:sz w:val="28"/>
          <w:szCs w:val="28"/>
        </w:rPr>
      </w:pPr>
      <w:r>
        <w:rPr>
          <w:rFonts w:ascii="Arial Black" w:hAnsi="Arial Black"/>
          <w:b/>
          <w:bCs/>
          <w:sz w:val="28"/>
          <w:szCs w:val="28"/>
        </w:rPr>
        <w:t>13-104</w:t>
      </w:r>
    </w:p>
    <w:p w14:paraId="347378CC" w14:textId="77777777" w:rsidR="00BD3FE4" w:rsidRPr="006122C5" w:rsidRDefault="00BD3FE4" w:rsidP="00BD3FE4">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OH: AMBULANCE AIR HORN MISTAKENLY BLASTED – CIVILIAN HEARING LOSS - EMPLOYER MAY BE SUED</w:t>
      </w:r>
    </w:p>
    <w:p w14:paraId="4CEE036C" w14:textId="77777777" w:rsidR="00BD3FE4" w:rsidRDefault="00BD3FE4" w:rsidP="00BD3FE4">
      <w:pPr>
        <w:spacing w:before="100" w:beforeAutospacing="1" w:after="100" w:afterAutospacing="1" w:line="240" w:lineRule="auto"/>
        <w:rPr>
          <w:rFonts w:ascii="Times New Roman" w:eastAsia="Times New Roman" w:hAnsi="Times New Roman"/>
          <w:sz w:val="24"/>
          <w:szCs w:val="24"/>
        </w:rPr>
      </w:pPr>
      <w:r w:rsidRPr="00B12365">
        <w:rPr>
          <w:rFonts w:ascii="Times New Roman" w:eastAsia="Times New Roman" w:hAnsi="Times New Roman"/>
          <w:sz w:val="24"/>
          <w:szCs w:val="24"/>
        </w:rPr>
        <w:t xml:space="preserve">On </w:t>
      </w:r>
      <w:r>
        <w:rPr>
          <w:rFonts w:ascii="Times New Roman" w:eastAsia="Times New Roman" w:hAnsi="Times New Roman"/>
          <w:sz w:val="24"/>
          <w:szCs w:val="24"/>
        </w:rPr>
        <w:t xml:space="preserve">Jan. 19, 2022, in </w:t>
      </w:r>
      <w:r w:rsidRPr="00B12365">
        <w:rPr>
          <w:rFonts w:ascii="Times New Roman" w:eastAsia="Times New Roman" w:hAnsi="Times New Roman"/>
          <w:sz w:val="24"/>
          <w:szCs w:val="24"/>
          <w:u w:val="single"/>
        </w:rPr>
        <w:t>Stephanie M. King v. Emergency Medical Transport, Inc</w:t>
      </w:r>
      <w:r>
        <w:rPr>
          <w:rFonts w:ascii="Times New Roman" w:eastAsia="Times New Roman" w:hAnsi="Times New Roman"/>
          <w:sz w:val="24"/>
          <w:szCs w:val="24"/>
        </w:rPr>
        <w:t xml:space="preserve">., the Court of Appeals of Ohio, Fifth District (Stark County) held (3 to 0) that the trial court should not have dismissed the ambulance company (EMT Inc.) from this lawsuit. </w:t>
      </w:r>
      <w:r w:rsidRPr="00691012">
        <w:rPr>
          <w:rFonts w:ascii="Times New Roman" w:hAnsi="Times New Roman"/>
          <w:sz w:val="24"/>
          <w:szCs w:val="24"/>
        </w:rPr>
        <w:t>The trial court found the alleged incident did not occur within the scope of employment; therefore, EMT was not vicariously liable for the conduct of its employees</w:t>
      </w:r>
      <w:r>
        <w:rPr>
          <w:rFonts w:ascii="Times New Roman" w:hAnsi="Times New Roman"/>
          <w:sz w:val="24"/>
          <w:szCs w:val="24"/>
        </w:rPr>
        <w:t xml:space="preserve">.  The Court of Appeals disagreed, </w:t>
      </w:r>
      <w:r>
        <w:rPr>
          <w:rFonts w:ascii="Times New Roman" w:eastAsia="Times New Roman" w:hAnsi="Times New Roman"/>
          <w:sz w:val="24"/>
          <w:szCs w:val="24"/>
        </w:rPr>
        <w:t xml:space="preserve">finding that the paramedics worked 24-hour shift and were therefore on duty for the employer when the air horn was mistakenly activated. </w:t>
      </w:r>
      <w:hyperlink r:id="rId2289" w:history="1">
        <w:r w:rsidRPr="00A07B51">
          <w:rPr>
            <w:rStyle w:val="Hyperlink"/>
          </w:rPr>
          <w:t>https://cms7files1.revize.com/starkcountyoh/S21-57.pdf</w:t>
        </w:r>
      </w:hyperlink>
    </w:p>
    <w:p w14:paraId="49C159AE" w14:textId="77777777" w:rsidR="00BD3FE4" w:rsidRDefault="00BD3FE4" w:rsidP="00BD3FE4">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Employers may be liable for injuries caused by EMS personnel, including during their </w:t>
      </w:r>
      <w:proofErr w:type="gramStart"/>
      <w:r>
        <w:rPr>
          <w:rFonts w:ascii="Times New Roman" w:eastAsia="Times New Roman" w:hAnsi="Times New Roman"/>
          <w:b/>
          <w:bCs/>
          <w:sz w:val="24"/>
          <w:szCs w:val="24"/>
        </w:rPr>
        <w:t>on duty</w:t>
      </w:r>
      <w:proofErr w:type="gramEnd"/>
      <w:r>
        <w:rPr>
          <w:rFonts w:ascii="Times New Roman" w:eastAsia="Times New Roman" w:hAnsi="Times New Roman"/>
          <w:b/>
          <w:bCs/>
          <w:sz w:val="24"/>
          <w:szCs w:val="24"/>
        </w:rPr>
        <w:t xml:space="preserve"> lunch time. </w:t>
      </w:r>
    </w:p>
    <w:p w14:paraId="5915779F" w14:textId="77777777" w:rsidR="009A3D9F" w:rsidRDefault="009A3D9F" w:rsidP="002B1283">
      <w:pPr>
        <w:rPr>
          <w:rFonts w:ascii="Arial Black" w:hAnsi="Arial Black"/>
          <w:b/>
          <w:bCs/>
          <w:sz w:val="28"/>
          <w:szCs w:val="28"/>
        </w:rPr>
      </w:pPr>
    </w:p>
    <w:p w14:paraId="0DEE410D" w14:textId="72808258" w:rsidR="009A3D9F" w:rsidRDefault="009A3D9F" w:rsidP="002B1283">
      <w:pPr>
        <w:rPr>
          <w:rFonts w:ascii="Arial Black" w:hAnsi="Arial Black"/>
          <w:b/>
          <w:bCs/>
          <w:sz w:val="28"/>
          <w:szCs w:val="28"/>
        </w:rPr>
      </w:pPr>
      <w:r>
        <w:rPr>
          <w:rFonts w:ascii="Arial Black" w:hAnsi="Arial Black"/>
          <w:b/>
          <w:bCs/>
          <w:sz w:val="28"/>
          <w:szCs w:val="28"/>
        </w:rPr>
        <w:t>13-103</w:t>
      </w:r>
    </w:p>
    <w:p w14:paraId="1C4923B7" w14:textId="77777777" w:rsidR="009A3D9F" w:rsidRPr="000007E3" w:rsidRDefault="009A3D9F" w:rsidP="009A3D9F">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RI: PARAMEDIC FIRED – POOR SKILLS – UNION REFUSED PAY ATTY - NO BREACH DUTY OF FAIR REPRESENTATION</w:t>
      </w:r>
    </w:p>
    <w:p w14:paraId="47156ED1" w14:textId="3CEBEA83" w:rsidR="009A3D9F" w:rsidRDefault="009A3D9F" w:rsidP="009A3D9F">
      <w:pPr>
        <w:rPr>
          <w:rFonts w:ascii="Arial Black" w:hAnsi="Arial Black"/>
          <w:b/>
          <w:bCs/>
          <w:sz w:val="28"/>
          <w:szCs w:val="28"/>
        </w:rPr>
      </w:pPr>
      <w:r>
        <w:rPr>
          <w:rFonts w:ascii="Times New Roman" w:eastAsia="Times New Roman" w:hAnsi="Times New Roman"/>
          <w:sz w:val="24"/>
          <w:szCs w:val="24"/>
        </w:rPr>
        <w:t xml:space="preserve">On Jan. 14, 2022, in </w:t>
      </w:r>
      <w:r w:rsidRPr="009C3E71">
        <w:rPr>
          <w:rFonts w:ascii="Times New Roman" w:eastAsia="Times New Roman" w:hAnsi="Times New Roman"/>
          <w:sz w:val="24"/>
          <w:szCs w:val="24"/>
          <w:u w:val="single"/>
        </w:rPr>
        <w:t xml:space="preserve">Augustine Eddy v. Pascoag Fire District, </w:t>
      </w:r>
      <w:r w:rsidRPr="009C3E71">
        <w:rPr>
          <w:rFonts w:ascii="Times New Roman" w:hAnsi="Times New Roman"/>
          <w:sz w:val="24"/>
          <w:szCs w:val="24"/>
          <w:u w:val="single"/>
        </w:rPr>
        <w:t>Pascoag Fire and Rescue Association, and International Association of Firefighters, Local 4908</w:t>
      </w:r>
      <w:r>
        <w:rPr>
          <w:rFonts w:ascii="Times New Roman" w:hAnsi="Times New Roman"/>
          <w:sz w:val="24"/>
          <w:szCs w:val="24"/>
        </w:rPr>
        <w:t xml:space="preserve">, the Supreme Court of Rhode Island held (4 to 0) that the trial court properly dismissed the lawsuit against the Fire District and the union, since he never pursued arbitration. </w:t>
      </w:r>
      <w:r w:rsidRPr="00C11C1D">
        <w:rPr>
          <w:rFonts w:ascii="Times New Roman" w:hAnsi="Times New Roman"/>
          <w:sz w:val="24"/>
          <w:szCs w:val="24"/>
        </w:rPr>
        <w:t xml:space="preserve">The paramedic in Jan. 2016 was presented with a plan for remedial training to address complaints </w:t>
      </w:r>
      <w:r w:rsidRPr="00C11C1D">
        <w:rPr>
          <w:rFonts w:ascii="Times New Roman" w:hAnsi="Times New Roman"/>
          <w:sz w:val="24"/>
          <w:szCs w:val="24"/>
        </w:rPr>
        <w:lastRenderedPageBreak/>
        <w:t>from his partner regarding his job performance</w:t>
      </w:r>
      <w:r>
        <w:rPr>
          <w:rFonts w:ascii="Times New Roman" w:hAnsi="Times New Roman"/>
          <w:sz w:val="24"/>
          <w:szCs w:val="24"/>
        </w:rPr>
        <w:t xml:space="preserve">, but on a transport March 27, </w:t>
      </w:r>
      <w:proofErr w:type="gramStart"/>
      <w:r>
        <w:rPr>
          <w:rFonts w:ascii="Times New Roman" w:hAnsi="Times New Roman"/>
          <w:sz w:val="24"/>
          <w:szCs w:val="24"/>
        </w:rPr>
        <w:t>2016</w:t>
      </w:r>
      <w:proofErr w:type="gramEnd"/>
      <w:r>
        <w:rPr>
          <w:rFonts w:ascii="Times New Roman" w:hAnsi="Times New Roman"/>
          <w:sz w:val="24"/>
          <w:szCs w:val="24"/>
        </w:rPr>
        <w:t xml:space="preserve"> he failed to start an IV.  He admitted in writing to Chief, “</w:t>
      </w:r>
      <w:r w:rsidRPr="00C11C1D">
        <w:rPr>
          <w:rFonts w:ascii="Times New Roman" w:hAnsi="Times New Roman"/>
          <w:sz w:val="24"/>
          <w:szCs w:val="24"/>
        </w:rPr>
        <w:t>I know, I know, my skills are not what they should be, I should of [</w:t>
      </w:r>
      <w:r w:rsidRPr="00C11C1D">
        <w:rPr>
          <w:rStyle w:val="Emphasis"/>
          <w:rFonts w:ascii="Times New Roman" w:hAnsi="Times New Roman"/>
          <w:sz w:val="24"/>
          <w:szCs w:val="24"/>
        </w:rPr>
        <w:t>sic</w:t>
      </w:r>
      <w:r w:rsidRPr="00C11C1D">
        <w:rPr>
          <w:rFonts w:ascii="Times New Roman" w:hAnsi="Times New Roman"/>
          <w:sz w:val="24"/>
          <w:szCs w:val="24"/>
        </w:rPr>
        <w:t>] started an IV</w:t>
      </w:r>
      <w:r>
        <w:rPr>
          <w:rFonts w:ascii="Times New Roman" w:hAnsi="Times New Roman"/>
          <w:sz w:val="24"/>
          <w:szCs w:val="24"/>
        </w:rPr>
        <w:t>.” The union did not breach its duty. “</w:t>
      </w:r>
      <w:r w:rsidRPr="00A11E8B">
        <w:rPr>
          <w:rFonts w:ascii="Times New Roman" w:hAnsi="Times New Roman"/>
          <w:sz w:val="24"/>
          <w:szCs w:val="24"/>
        </w:rPr>
        <w:t>Specifically, under the union's constitution and by-laws, plaintiff had the ability to appeal the union's decision not to pay for arbitration to the union's general president, but he failed to do so</w:t>
      </w:r>
      <w:r>
        <w:rPr>
          <w:rFonts w:ascii="Times New Roman" w:hAnsi="Times New Roman"/>
          <w:sz w:val="24"/>
          <w:szCs w:val="24"/>
        </w:rPr>
        <w:t xml:space="preserve">.” Lawsuit against Fire District </w:t>
      </w:r>
      <w:proofErr w:type="gramStart"/>
      <w:r>
        <w:rPr>
          <w:rFonts w:ascii="Times New Roman" w:hAnsi="Times New Roman"/>
          <w:sz w:val="24"/>
          <w:szCs w:val="24"/>
        </w:rPr>
        <w:t>properly</w:t>
      </w:r>
      <w:proofErr w:type="gramEnd"/>
      <w:r>
        <w:rPr>
          <w:rFonts w:ascii="Times New Roman" w:hAnsi="Times New Roman"/>
          <w:sz w:val="24"/>
          <w:szCs w:val="24"/>
        </w:rPr>
        <w:t xml:space="preserve"> dismissed since he didn’t pursue arbitration. </w:t>
      </w:r>
      <w:hyperlink r:id="rId2290" w:history="1">
        <w:r w:rsidRPr="00A83547">
          <w:rPr>
            <w:rStyle w:val="Hyperlink"/>
            <w:sz w:val="24"/>
            <w:szCs w:val="24"/>
          </w:rPr>
          <w:t>https://www.courts.ri.gov/Courts/SupremeCourt/SupremeOpinions/19-373.pdf?fbclid=IwAR381gBQH8M88N6_xqsP3bwAIxYvF38ngnKZywLKveA_XCbfEKJg9F5lDvI</w:t>
        </w:r>
      </w:hyperlink>
    </w:p>
    <w:p w14:paraId="15561868" w14:textId="77777777" w:rsidR="009A3D9F" w:rsidRDefault="009A3D9F" w:rsidP="009A3D9F">
      <w:pPr>
        <w:pStyle w:val="NormalWeb"/>
        <w:rPr>
          <w:b/>
          <w:bCs/>
        </w:rPr>
      </w:pPr>
      <w:r w:rsidRPr="00BD018A">
        <w:rPr>
          <w:b/>
          <w:bCs/>
        </w:rPr>
        <w:t>Legal Lesson Learned:</w:t>
      </w:r>
      <w:r>
        <w:rPr>
          <w:b/>
          <w:bCs/>
        </w:rPr>
        <w:t xml:space="preserve">  Under the CBA, the paramedic failed to exhaust his administrative remedy by pursuing arbitration.</w:t>
      </w:r>
    </w:p>
    <w:p w14:paraId="7426AA05" w14:textId="77777777" w:rsidR="009A3D9F" w:rsidRDefault="009A3D9F" w:rsidP="002B1283">
      <w:pPr>
        <w:rPr>
          <w:rFonts w:ascii="Arial Black" w:hAnsi="Arial Black"/>
          <w:b/>
          <w:bCs/>
          <w:sz w:val="28"/>
          <w:szCs w:val="28"/>
        </w:rPr>
      </w:pPr>
    </w:p>
    <w:p w14:paraId="7C15BA2E" w14:textId="476E6E0B" w:rsidR="00FF5FCF" w:rsidRDefault="00FF5FCF" w:rsidP="002B1283">
      <w:pPr>
        <w:rPr>
          <w:rFonts w:ascii="Arial Black" w:hAnsi="Arial Black"/>
          <w:b/>
          <w:bCs/>
          <w:sz w:val="28"/>
          <w:szCs w:val="28"/>
        </w:rPr>
      </w:pPr>
      <w:r>
        <w:rPr>
          <w:rFonts w:ascii="Arial Black" w:hAnsi="Arial Black"/>
          <w:b/>
          <w:bCs/>
          <w:sz w:val="28"/>
          <w:szCs w:val="28"/>
        </w:rPr>
        <w:t>13–102</w:t>
      </w:r>
    </w:p>
    <w:p w14:paraId="14BD5327" w14:textId="77777777" w:rsidR="00FF5FCF" w:rsidRPr="00FD1635" w:rsidRDefault="00FF5FCF" w:rsidP="00FF5FCF">
      <w:pPr>
        <w:spacing w:before="100" w:beforeAutospacing="1" w:after="100" w:afterAutospacing="1" w:line="240" w:lineRule="auto"/>
        <w:rPr>
          <w:rFonts w:ascii="Arial Black" w:hAnsi="Arial Black"/>
          <w:sz w:val="28"/>
          <w:szCs w:val="28"/>
        </w:rPr>
      </w:pPr>
      <w:r>
        <w:rPr>
          <w:rFonts w:ascii="Arial Black" w:hAnsi="Arial Black"/>
          <w:sz w:val="28"/>
          <w:szCs w:val="28"/>
        </w:rPr>
        <w:t>LA: CHILD STRUCK BY CAR – NO PULSE, PASSED LOCAL HOSPITAL TO TRAUMA CENTER – MUST SHOW PROTOCOLS</w:t>
      </w:r>
    </w:p>
    <w:p w14:paraId="3E2BBC03" w14:textId="77777777" w:rsidR="00FF5FCF" w:rsidRDefault="00FF5FCF" w:rsidP="00FF5FCF">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30, 2021, in </w:t>
      </w:r>
      <w:r w:rsidRPr="00484477">
        <w:rPr>
          <w:rFonts w:ascii="Times New Roman" w:hAnsi="Times New Roman"/>
          <w:sz w:val="24"/>
          <w:szCs w:val="24"/>
          <w:u w:val="single"/>
        </w:rPr>
        <w:t>Gauis Horton, individually and on behalf of Mary Horton v. St. Tammany Fire Protection District # 4</w:t>
      </w:r>
      <w:r>
        <w:rPr>
          <w:rFonts w:ascii="Times New Roman" w:hAnsi="Times New Roman"/>
          <w:sz w:val="24"/>
          <w:szCs w:val="24"/>
        </w:rPr>
        <w:t xml:space="preserve">, the Court of Appeals of Louisiana, First Circuit, held (3 to 0) that trial court should not have dismissed this lawsuit alleging gross negligence for </w:t>
      </w:r>
      <w:r>
        <w:rPr>
          <w:rFonts w:ascii="Times New Roman" w:eastAsia="Times New Roman" w:hAnsi="Times New Roman"/>
          <w:sz w:val="24"/>
          <w:szCs w:val="24"/>
        </w:rPr>
        <w:t>f</w:t>
      </w:r>
      <w:r w:rsidRPr="00C40368">
        <w:rPr>
          <w:rFonts w:ascii="Times New Roman" w:eastAsia="Times New Roman" w:hAnsi="Times New Roman"/>
          <w:sz w:val="24"/>
          <w:szCs w:val="24"/>
        </w:rPr>
        <w:t xml:space="preserve">ailing to timely depart the scene of the accident </w:t>
      </w:r>
      <w:r>
        <w:rPr>
          <w:rFonts w:ascii="Times New Roman" w:eastAsia="Times New Roman" w:hAnsi="Times New Roman"/>
          <w:sz w:val="24"/>
          <w:szCs w:val="24"/>
        </w:rPr>
        <w:t xml:space="preserve">(20 minutes on scene) </w:t>
      </w:r>
      <w:r w:rsidRPr="00C40368">
        <w:rPr>
          <w:rFonts w:ascii="Times New Roman" w:eastAsia="Times New Roman" w:hAnsi="Times New Roman"/>
          <w:sz w:val="24"/>
          <w:szCs w:val="24"/>
        </w:rPr>
        <w:t xml:space="preserve">and failing to take </w:t>
      </w:r>
      <w:r>
        <w:rPr>
          <w:rFonts w:ascii="Times New Roman" w:eastAsia="Times New Roman" w:hAnsi="Times New Roman"/>
          <w:sz w:val="24"/>
          <w:szCs w:val="24"/>
        </w:rPr>
        <w:t>patient</w:t>
      </w:r>
      <w:r w:rsidRPr="00C40368">
        <w:rPr>
          <w:rFonts w:ascii="Times New Roman" w:eastAsia="Times New Roman" w:hAnsi="Times New Roman"/>
          <w:sz w:val="24"/>
          <w:szCs w:val="24"/>
        </w:rPr>
        <w:t xml:space="preserve"> to the nearest hospital</w:t>
      </w:r>
      <w:r>
        <w:rPr>
          <w:rFonts w:ascii="Times New Roman" w:eastAsia="Times New Roman" w:hAnsi="Times New Roman"/>
          <w:sz w:val="24"/>
          <w:szCs w:val="24"/>
        </w:rPr>
        <w:t xml:space="preserve"> (directed to Level II Trauma Center)</w:t>
      </w:r>
      <w:r w:rsidRPr="00C40368">
        <w:rPr>
          <w:rFonts w:ascii="Times New Roman" w:eastAsia="Times New Roman" w:hAnsi="Times New Roman"/>
          <w:sz w:val="24"/>
          <w:szCs w:val="24"/>
        </w:rPr>
        <w:t xml:space="preserve">. </w:t>
      </w:r>
      <w:r>
        <w:rPr>
          <w:rFonts w:ascii="Times New Roman" w:eastAsia="Times New Roman" w:hAnsi="Times New Roman"/>
          <w:sz w:val="24"/>
          <w:szCs w:val="24"/>
        </w:rPr>
        <w:t xml:space="preserve"> Court of Appeals remands case since </w:t>
      </w:r>
      <w:r>
        <w:rPr>
          <w:rFonts w:ascii="Times New Roman" w:hAnsi="Times New Roman"/>
          <w:sz w:val="24"/>
          <w:szCs w:val="24"/>
        </w:rPr>
        <w:t xml:space="preserve">the Fire District in its motion for summary judgment on basis of governmental immunity failed to attach current certificates of the paramedics and failed to attach the protocols for transporting patients to a trauma center.  </w:t>
      </w:r>
    </w:p>
    <w:p w14:paraId="523977BB" w14:textId="2ED88573" w:rsidR="00FF5FCF" w:rsidRDefault="00FF5FCF" w:rsidP="00FF5FCF">
      <w:pPr>
        <w:ind w:left="720"/>
        <w:rPr>
          <w:rFonts w:ascii="Arial Black" w:hAnsi="Arial Black"/>
          <w:b/>
          <w:bCs/>
          <w:sz w:val="28"/>
          <w:szCs w:val="28"/>
        </w:rPr>
      </w:pPr>
      <w:r>
        <w:rPr>
          <w:rFonts w:ascii="Times New Roman" w:hAnsi="Times New Roman"/>
          <w:sz w:val="24"/>
          <w:szCs w:val="24"/>
        </w:rPr>
        <w:t>“</w:t>
      </w:r>
      <w:r w:rsidRPr="00A03153">
        <w:rPr>
          <w:rFonts w:ascii="Times New Roman" w:hAnsi="Times New Roman"/>
          <w:sz w:val="24"/>
          <w:szCs w:val="24"/>
        </w:rPr>
        <w:t xml:space="preserve">Because we have found that the </w:t>
      </w:r>
      <w:r>
        <w:rPr>
          <w:rFonts w:ascii="Times New Roman" w:hAnsi="Times New Roman"/>
          <w:sz w:val="24"/>
          <w:szCs w:val="24"/>
        </w:rPr>
        <w:t xml:space="preserve">[Fire Protection] </w:t>
      </w:r>
      <w:r w:rsidRPr="00A03153">
        <w:rPr>
          <w:rFonts w:ascii="Times New Roman" w:hAnsi="Times New Roman"/>
          <w:sz w:val="24"/>
          <w:szCs w:val="24"/>
        </w:rPr>
        <w:t>District failed to establish that Lunn and Becerril were duly licensed or certified or that they acted in accordance with protocols adopted and promulgated by LERN [Louisiana Emergency Response Network]</w:t>
      </w:r>
      <w:r>
        <w:t xml:space="preserve"> </w:t>
      </w:r>
      <w:r w:rsidRPr="00A03153">
        <w:rPr>
          <w:rFonts w:ascii="Times New Roman" w:hAnsi="Times New Roman"/>
          <w:sz w:val="24"/>
          <w:szCs w:val="24"/>
        </w:rPr>
        <w:t>for the transport of trauma and time-sensitive ill patients, we likewise find that the District has failed to meet its burden in establishing that it is entitled to immunity pursuant to La. R.S. 9:2798.5.</w:t>
      </w:r>
      <w:r>
        <w:rPr>
          <w:rFonts w:ascii="Times New Roman" w:hAnsi="Times New Roman"/>
          <w:sz w:val="24"/>
          <w:szCs w:val="24"/>
        </w:rPr>
        <w:t xml:space="preserve">” </w:t>
      </w:r>
      <w:hyperlink r:id="rId2291" w:history="1">
        <w:r w:rsidRPr="00EC5853">
          <w:rPr>
            <w:rStyle w:val="Hyperlink"/>
            <w:rFonts w:ascii="Times New Roman" w:hAnsi="Times New Roman"/>
            <w:sz w:val="24"/>
            <w:szCs w:val="24"/>
          </w:rPr>
          <w:t>https://www.courtlistener.com/opinion/5313531/gauis-horton-individually-and-on-behalf-of-mary-horton-v-st-tammany-fire/</w:t>
        </w:r>
      </w:hyperlink>
    </w:p>
    <w:p w14:paraId="24185DAB" w14:textId="77777777" w:rsidR="00FF5FCF" w:rsidRPr="00EF39AB" w:rsidRDefault="00FF5FCF" w:rsidP="00FF5FCF">
      <w:pPr>
        <w:tabs>
          <w:tab w:val="left" w:pos="2760"/>
        </w:tabs>
        <w:spacing w:before="100" w:beforeAutospacing="1" w:after="100" w:afterAutospacing="1" w:line="240" w:lineRule="auto"/>
        <w:rPr>
          <w:rFonts w:ascii="Times New Roman" w:hAnsi="Times New Roman"/>
          <w:b/>
          <w:bCs/>
          <w:sz w:val="24"/>
          <w:szCs w:val="24"/>
        </w:rPr>
      </w:pPr>
      <w:r w:rsidRPr="00EF39AB">
        <w:rPr>
          <w:rFonts w:ascii="Times New Roman" w:hAnsi="Times New Roman"/>
          <w:b/>
          <w:bCs/>
          <w:sz w:val="24"/>
          <w:szCs w:val="24"/>
        </w:rPr>
        <w:t xml:space="preserve">Legal Lesson Learned: Follow your trauma protocols and submit copies of the protocols and EMS current licenses when filing motion for summary judgment.  </w:t>
      </w:r>
    </w:p>
    <w:p w14:paraId="21B9EB4F" w14:textId="77777777" w:rsidR="00FF5FCF" w:rsidRDefault="00FF5FCF" w:rsidP="002B1283">
      <w:pPr>
        <w:rPr>
          <w:rFonts w:ascii="Arial Black" w:hAnsi="Arial Black"/>
          <w:b/>
          <w:bCs/>
          <w:sz w:val="28"/>
          <w:szCs w:val="28"/>
        </w:rPr>
      </w:pPr>
    </w:p>
    <w:p w14:paraId="76FAAE70" w14:textId="689470D8" w:rsidR="00001D9A" w:rsidRDefault="00001D9A" w:rsidP="002B1283">
      <w:pPr>
        <w:rPr>
          <w:rFonts w:ascii="Arial Black" w:hAnsi="Arial Black"/>
          <w:b/>
          <w:bCs/>
          <w:sz w:val="28"/>
          <w:szCs w:val="28"/>
        </w:rPr>
      </w:pPr>
      <w:r>
        <w:rPr>
          <w:rFonts w:ascii="Arial Black" w:hAnsi="Arial Black"/>
          <w:b/>
          <w:bCs/>
          <w:sz w:val="28"/>
          <w:szCs w:val="28"/>
        </w:rPr>
        <w:t>13-101</w:t>
      </w:r>
    </w:p>
    <w:p w14:paraId="69E664CA" w14:textId="77777777" w:rsidR="00001D9A" w:rsidRPr="00C914C9" w:rsidRDefault="00001D9A" w:rsidP="00001D9A">
      <w:pPr>
        <w:spacing w:before="100" w:beforeAutospacing="1" w:after="100" w:afterAutospacing="1" w:line="240" w:lineRule="auto"/>
        <w:rPr>
          <w:rFonts w:ascii="Times New Roman" w:eastAsia="Times New Roman" w:hAnsi="Times New Roman"/>
          <w:sz w:val="24"/>
          <w:szCs w:val="24"/>
        </w:rPr>
      </w:pPr>
      <w:r>
        <w:rPr>
          <w:rFonts w:ascii="Arial Black" w:eastAsia="Times New Roman" w:hAnsi="Arial Black"/>
          <w:sz w:val="28"/>
          <w:szCs w:val="28"/>
        </w:rPr>
        <w:t>IL: COVID - FF INJUNCTION DENIED – VACCINATION OR WEEKLY NEG TEST - “NATURAL IMMUNITY” NOT ENOUGH</w:t>
      </w:r>
    </w:p>
    <w:p w14:paraId="46B58C8C" w14:textId="77777777" w:rsidR="00001D9A" w:rsidRDefault="00001D9A" w:rsidP="00001D9A">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Dec. 19, 2021, in </w:t>
      </w:r>
      <w:r w:rsidRPr="0000416A">
        <w:rPr>
          <w:rFonts w:ascii="Times New Roman" w:eastAsia="Times New Roman" w:hAnsi="Times New Roman"/>
          <w:sz w:val="24"/>
          <w:szCs w:val="24"/>
          <w:u w:val="single"/>
        </w:rPr>
        <w:t>John Halgren, et al. v. City of Naperville, et al</w:t>
      </w:r>
      <w:r>
        <w:rPr>
          <w:rFonts w:ascii="Times New Roman" w:eastAsia="Times New Roman" w:hAnsi="Times New Roman"/>
          <w:sz w:val="24"/>
          <w:szCs w:val="24"/>
        </w:rPr>
        <w:t xml:space="preserve">., U.S. District Court Judge </w:t>
      </w:r>
      <w:r w:rsidRPr="0073027C">
        <w:rPr>
          <w:rFonts w:ascii="Times New Roman" w:hAnsi="Times New Roman"/>
          <w:sz w:val="24"/>
          <w:szCs w:val="24"/>
        </w:rPr>
        <w:t>John Robert Blakey</w:t>
      </w:r>
      <w:r>
        <w:rPr>
          <w:rFonts w:ascii="Times New Roman" w:hAnsi="Times New Roman"/>
          <w:sz w:val="24"/>
          <w:szCs w:val="24"/>
        </w:rPr>
        <w:t xml:space="preserve"> denied the six Naperville Fire Department firefighters’ motion for preliminary injunction to bar </w:t>
      </w:r>
      <w:r>
        <w:rPr>
          <w:rFonts w:ascii="Times New Roman" w:hAnsi="Times New Roman"/>
          <w:sz w:val="24"/>
          <w:szCs w:val="24"/>
        </w:rPr>
        <w:lastRenderedPageBreak/>
        <w:t xml:space="preserve">enforcement of the State and City mandate, including those firefighters claiming “natural immunity” from a prior infection and recovery. </w:t>
      </w:r>
    </w:p>
    <w:p w14:paraId="6540E32D" w14:textId="3DDDB7AB" w:rsidR="00001D9A" w:rsidRDefault="00001D9A" w:rsidP="00001D9A">
      <w:pPr>
        <w:ind w:left="720"/>
        <w:rPr>
          <w:rFonts w:ascii="Arial Black" w:hAnsi="Arial Black"/>
          <w:b/>
          <w:bCs/>
          <w:sz w:val="28"/>
          <w:szCs w:val="28"/>
        </w:rPr>
      </w:pPr>
      <w:r w:rsidRPr="00E43604">
        <w:rPr>
          <w:rFonts w:ascii="Times New Roman" w:hAnsi="Times New Roman"/>
          <w:sz w:val="24"/>
          <w:szCs w:val="24"/>
        </w:rPr>
        <w:t xml:space="preserve">“Given the preliminary factual record, however, Plaintiffs have failed to show that the statements made by the Governor constitute sufficient evidence of animus and thus, absent more facts, traditional rational basis review governs their equal protection challenge. Cf. </w:t>
      </w:r>
      <w:proofErr w:type="spellStart"/>
      <w:r w:rsidRPr="00E43604">
        <w:rPr>
          <w:rFonts w:ascii="Times New Roman" w:hAnsi="Times New Roman"/>
          <w:sz w:val="24"/>
          <w:szCs w:val="24"/>
        </w:rPr>
        <w:t>Dr.A</w:t>
      </w:r>
      <w:proofErr w:type="spellEnd"/>
      <w:r w:rsidRPr="00E43604">
        <w:rPr>
          <w:rFonts w:ascii="Times New Roman" w:hAnsi="Times New Roman"/>
          <w:sz w:val="24"/>
          <w:szCs w:val="24"/>
        </w:rPr>
        <w:t xml:space="preserve"> v. Hochul, No. 21A145, --- </w:t>
      </w:r>
      <w:proofErr w:type="spellStart"/>
      <w:r w:rsidRPr="00E43604">
        <w:rPr>
          <w:rFonts w:ascii="Times New Roman" w:hAnsi="Times New Roman"/>
          <w:sz w:val="24"/>
          <w:szCs w:val="24"/>
        </w:rPr>
        <w:t>S.Ct</w:t>
      </w:r>
      <w:proofErr w:type="spellEnd"/>
      <w:r w:rsidRPr="00E43604">
        <w:rPr>
          <w:rFonts w:ascii="Times New Roman" w:hAnsi="Times New Roman"/>
          <w:sz w:val="24"/>
          <w:szCs w:val="24"/>
        </w:rPr>
        <w:t xml:space="preserve">. ----, 2021 WL 5873126, at *3 (U.S. Dec. 13, 2021) (Gorsuch, J. and Alito, J., dissenting) (discussing overt proof of a vaccine mandate's ‘animus’ as to those seeking religious exemptions under the first amendment)…. Under the rational basis test and factual record presented, Plaintiffs have also failed to show that the mandate's differential treatment of the vaccinated and unvaccinated violates equal protection. As explained during this Court's substantive due process analysis, a ‘conceivable’ rational basis supports the mandate's vaccine and testing provisions, as to persons with or without natural immunity.” </w:t>
      </w:r>
      <w:hyperlink r:id="rId2292" w:history="1">
        <w:r w:rsidRPr="00EC5853">
          <w:rPr>
            <w:rStyle w:val="Hyperlink"/>
            <w:rFonts w:ascii="Times New Roman" w:hAnsi="Times New Roman"/>
            <w:sz w:val="24"/>
            <w:szCs w:val="24"/>
          </w:rPr>
          <w:t>https://law.justia.com/cases/federal/district-courts/illinois/ilndce/1:2021cv05039/407354/52/</w:t>
        </w:r>
      </w:hyperlink>
    </w:p>
    <w:p w14:paraId="34FA0B1A" w14:textId="77777777" w:rsidR="00FF5FCF" w:rsidRPr="00E43604" w:rsidRDefault="00FF5FCF" w:rsidP="00FF5FCF">
      <w:pPr>
        <w:rPr>
          <w:rFonts w:ascii="Times New Roman" w:hAnsi="Times New Roman"/>
          <w:b/>
          <w:bCs/>
          <w:sz w:val="24"/>
          <w:szCs w:val="24"/>
        </w:rPr>
      </w:pPr>
      <w:r w:rsidRPr="00E43604">
        <w:rPr>
          <w:rFonts w:ascii="Times New Roman" w:hAnsi="Times New Roman"/>
          <w:b/>
          <w:bCs/>
          <w:sz w:val="24"/>
          <w:szCs w:val="24"/>
        </w:rPr>
        <w:t>Legal Lesson Learned:  Several Federal courts have denied injunction against vaccination requirement for Fire &amp; EMS and other health care workers.</w:t>
      </w:r>
    </w:p>
    <w:p w14:paraId="7788AA6D" w14:textId="77777777" w:rsidR="00FF5FCF" w:rsidRPr="00E43604" w:rsidRDefault="00FF5FCF" w:rsidP="00FF5FCF">
      <w:pPr>
        <w:ind w:left="720"/>
        <w:rPr>
          <w:rStyle w:val="markedcontent"/>
          <w:rFonts w:ascii="Times New Roman" w:hAnsi="Times New Roman"/>
          <w:sz w:val="24"/>
          <w:szCs w:val="24"/>
        </w:rPr>
      </w:pPr>
      <w:r w:rsidRPr="00E43604">
        <w:rPr>
          <w:rFonts w:ascii="Times New Roman" w:hAnsi="Times New Roman"/>
          <w:sz w:val="24"/>
          <w:szCs w:val="24"/>
        </w:rPr>
        <w:t xml:space="preserve">Note: </w:t>
      </w:r>
      <w:r w:rsidRPr="00E43604">
        <w:rPr>
          <w:rFonts w:ascii="Times New Roman" w:hAnsi="Times New Roman"/>
          <w:b/>
          <w:bCs/>
          <w:sz w:val="24"/>
          <w:szCs w:val="24"/>
        </w:rPr>
        <w:t xml:space="preserve">  </w:t>
      </w:r>
      <w:r w:rsidRPr="00E43604">
        <w:rPr>
          <w:rStyle w:val="markedcontent"/>
          <w:rFonts w:ascii="Times New Roman" w:hAnsi="Times New Roman"/>
          <w:sz w:val="24"/>
          <w:szCs w:val="24"/>
        </w:rPr>
        <w:t xml:space="preserve">On Jan. 7, 2021, the U.S. Supreme Court will hear oral arguments on the vaccination and mask requirements for both large employers, and for health care workers. </w:t>
      </w:r>
      <w:hyperlink r:id="rId2293" w:history="1">
        <w:r w:rsidRPr="004065C6">
          <w:rPr>
            <w:rStyle w:val="Hyperlink"/>
            <w:rFonts w:ascii="Times New Roman" w:hAnsi="Times New Roman"/>
            <w:sz w:val="24"/>
            <w:szCs w:val="24"/>
          </w:rPr>
          <w:t>https://www.nbcnews.com/news/us-news/u-s-supreme-court-hear-challenges-biden-s-vaccine-mandates-n1286536</w:t>
        </w:r>
      </w:hyperlink>
      <w:r>
        <w:rPr>
          <w:rStyle w:val="markedcontent"/>
          <w:rFonts w:ascii="Times New Roman" w:hAnsi="Times New Roman"/>
          <w:sz w:val="24"/>
          <w:szCs w:val="24"/>
        </w:rPr>
        <w:t xml:space="preserve"> </w:t>
      </w:r>
    </w:p>
    <w:p w14:paraId="50FF0A76" w14:textId="77777777" w:rsidR="00FF5FCF" w:rsidRPr="00E43604" w:rsidRDefault="00FF5FCF" w:rsidP="00FF5FCF">
      <w:pPr>
        <w:ind w:left="720"/>
        <w:rPr>
          <w:rStyle w:val="markedcontent"/>
          <w:rFonts w:ascii="Times New Roman" w:hAnsi="Times New Roman"/>
          <w:sz w:val="24"/>
          <w:szCs w:val="24"/>
        </w:rPr>
      </w:pPr>
      <w:r w:rsidRPr="00E43604">
        <w:rPr>
          <w:rStyle w:val="markedcontent"/>
          <w:rFonts w:ascii="Times New Roman" w:hAnsi="Times New Roman"/>
          <w:sz w:val="24"/>
          <w:szCs w:val="24"/>
        </w:rPr>
        <w:t xml:space="preserve">On Dec 30, 2021, U.S. District Court Judge in Indianapolis denied a preliminary injunction for a physician at Children’s Hospital. </w:t>
      </w:r>
    </w:p>
    <w:p w14:paraId="63413C3D" w14:textId="77777777" w:rsidR="00FF5FCF" w:rsidRPr="00E43604" w:rsidRDefault="00FF5FCF" w:rsidP="00FF5FCF">
      <w:pPr>
        <w:ind w:left="1440"/>
        <w:rPr>
          <w:rFonts w:ascii="Times New Roman" w:hAnsi="Times New Roman"/>
          <w:sz w:val="24"/>
          <w:szCs w:val="24"/>
        </w:rPr>
      </w:pPr>
      <w:r w:rsidRPr="00E43604">
        <w:rPr>
          <w:rFonts w:ascii="Times New Roman" w:hAnsi="Times New Roman"/>
          <w:sz w:val="24"/>
          <w:szCs w:val="24"/>
        </w:rPr>
        <w:t xml:space="preserve">“Under the totality of the circumstances, Dr. </w:t>
      </w:r>
      <w:proofErr w:type="spellStart"/>
      <w:r w:rsidRPr="00E43604">
        <w:rPr>
          <w:rFonts w:ascii="Times New Roman" w:hAnsi="Times New Roman"/>
          <w:sz w:val="24"/>
          <w:szCs w:val="24"/>
        </w:rPr>
        <w:t>Halczenko</w:t>
      </w:r>
      <w:proofErr w:type="spellEnd"/>
      <w:r w:rsidRPr="00E43604">
        <w:rPr>
          <w:rFonts w:ascii="Times New Roman" w:hAnsi="Times New Roman"/>
          <w:sz w:val="24"/>
          <w:szCs w:val="24"/>
        </w:rPr>
        <w:t xml:space="preserve"> has failed to make a ‘substantial showing’ of irreparable injury and insufficiency of remedies that would justify the extraordinary relief he seeks pending the outcome of this litigation-that is, reversing Ascension's decision to deny his exemption request and reinstating him to his position in the Pediatric Intensive Care Unit.” </w:t>
      </w:r>
      <w:hyperlink r:id="rId2294" w:history="1">
        <w:r w:rsidRPr="00EC5853">
          <w:rPr>
            <w:rStyle w:val="Hyperlink"/>
            <w:rFonts w:ascii="Times New Roman" w:hAnsi="Times New Roman"/>
            <w:sz w:val="24"/>
            <w:szCs w:val="24"/>
          </w:rPr>
          <w:t>https://public.fastcase.com/9SKwsfNqTc6OieYDhNMyMwDUrDTC81ScbwpTIsrYww9AFfazNo%2F2HwY6ziqtDhg0Y4a0WNWhiQuswT892BHbSQq1RuZX52VcSFrolfmFpsM%3D</w:t>
        </w:r>
      </w:hyperlink>
      <w:r>
        <w:rPr>
          <w:rFonts w:ascii="Times New Roman" w:hAnsi="Times New Roman"/>
          <w:sz w:val="24"/>
          <w:szCs w:val="24"/>
        </w:rPr>
        <w:t xml:space="preserve"> </w:t>
      </w:r>
    </w:p>
    <w:p w14:paraId="58B0D52A" w14:textId="77777777" w:rsidR="00FF5FCF" w:rsidRPr="00E43604" w:rsidRDefault="00FF5FCF" w:rsidP="00FF5FCF">
      <w:pPr>
        <w:ind w:left="720"/>
        <w:rPr>
          <w:rFonts w:ascii="Times New Roman" w:hAnsi="Times New Roman"/>
          <w:sz w:val="24"/>
          <w:szCs w:val="24"/>
        </w:rPr>
      </w:pPr>
      <w:r w:rsidRPr="00E43604">
        <w:rPr>
          <w:rFonts w:ascii="Times New Roman" w:hAnsi="Times New Roman"/>
          <w:sz w:val="24"/>
          <w:szCs w:val="24"/>
        </w:rPr>
        <w:t>On Dec. 17, 2021, the U.S. Court of Appeals for the 6</w:t>
      </w:r>
      <w:r w:rsidRPr="00E43604">
        <w:rPr>
          <w:rFonts w:ascii="Times New Roman" w:hAnsi="Times New Roman"/>
          <w:sz w:val="24"/>
          <w:szCs w:val="24"/>
          <w:vertAlign w:val="superscript"/>
        </w:rPr>
        <w:t>th</w:t>
      </w:r>
      <w:r w:rsidRPr="00E43604">
        <w:rPr>
          <w:rFonts w:ascii="Times New Roman" w:hAnsi="Times New Roman"/>
          <w:sz w:val="24"/>
          <w:szCs w:val="24"/>
        </w:rPr>
        <w:t xml:space="preserve"> Circuit (Cincinnati) upheld (3 to 0) the OSHA mandate for private employers with 100 or more employees. </w:t>
      </w:r>
    </w:p>
    <w:p w14:paraId="12EE8068" w14:textId="77777777" w:rsidR="00FF5FCF" w:rsidRPr="00E43604" w:rsidRDefault="00FF5FCF" w:rsidP="00FF5FCF">
      <w:pPr>
        <w:ind w:left="1440"/>
        <w:rPr>
          <w:rStyle w:val="markedcontent"/>
          <w:rFonts w:ascii="Times New Roman" w:hAnsi="Times New Roman"/>
          <w:sz w:val="24"/>
          <w:szCs w:val="24"/>
        </w:rPr>
      </w:pPr>
      <w:r w:rsidRPr="00E43604">
        <w:rPr>
          <w:rFonts w:ascii="Times New Roman" w:hAnsi="Times New Roman"/>
          <w:sz w:val="24"/>
          <w:szCs w:val="24"/>
        </w:rPr>
        <w:t>“</w:t>
      </w:r>
      <w:r w:rsidRPr="00E43604">
        <w:rPr>
          <w:rStyle w:val="markedcontent"/>
          <w:rFonts w:ascii="Times New Roman" w:hAnsi="Times New Roman"/>
          <w:sz w:val="24"/>
          <w:szCs w:val="24"/>
        </w:rPr>
        <w:t xml:space="preserve">Employers have the option to require unvaccinated workers to wear a mask on the job and test for COVID-19 weekly. *** Consistent with other OSHA standard penalties, employers who fail to follow the standard may be fined penalties up to $13,653 for each violation and up to $136,532 for each willful violation.” </w:t>
      </w:r>
      <w:hyperlink r:id="rId2295" w:history="1">
        <w:r w:rsidRPr="00EC5853">
          <w:rPr>
            <w:rStyle w:val="Hyperlink"/>
            <w:rFonts w:ascii="Times New Roman" w:hAnsi="Times New Roman"/>
            <w:sz w:val="24"/>
            <w:szCs w:val="24"/>
          </w:rPr>
          <w:t>https://www.opn.ca6.uscourts.gov/opinions.pdf/21a0287p-06.pdf</w:t>
        </w:r>
      </w:hyperlink>
      <w:r>
        <w:rPr>
          <w:rStyle w:val="markedcontent"/>
          <w:rFonts w:ascii="Times New Roman" w:hAnsi="Times New Roman"/>
          <w:sz w:val="24"/>
          <w:szCs w:val="24"/>
        </w:rPr>
        <w:t xml:space="preserve"> </w:t>
      </w:r>
    </w:p>
    <w:p w14:paraId="62C0C895" w14:textId="77777777" w:rsidR="00FF5FCF" w:rsidRPr="00E43604" w:rsidRDefault="00FF5FCF" w:rsidP="00FF5FCF">
      <w:pPr>
        <w:ind w:left="720"/>
        <w:rPr>
          <w:rStyle w:val="markedcontent"/>
          <w:rFonts w:ascii="Times New Roman" w:hAnsi="Times New Roman"/>
          <w:sz w:val="24"/>
          <w:szCs w:val="24"/>
        </w:rPr>
      </w:pPr>
      <w:r w:rsidRPr="00E43604">
        <w:rPr>
          <w:rStyle w:val="markedcontent"/>
          <w:rFonts w:ascii="Times New Roman" w:hAnsi="Times New Roman"/>
          <w:sz w:val="24"/>
          <w:szCs w:val="24"/>
        </w:rPr>
        <w:t xml:space="preserve">On Dec. 13, 2021, the U.S. Supreme Court majority denied an injunction for New York health care workers.  Justice Gorsuch and Justice Alito dissented about lack of an exemption based on sincere religious beliefs. </w:t>
      </w:r>
      <w:hyperlink r:id="rId2296" w:history="1">
        <w:r w:rsidRPr="00EC5853">
          <w:rPr>
            <w:rStyle w:val="Hyperlink"/>
            <w:rFonts w:ascii="Times New Roman" w:hAnsi="Times New Roman"/>
            <w:sz w:val="24"/>
            <w:szCs w:val="24"/>
          </w:rPr>
          <w:t>https://www.supremecourt.gov/opinions/21pdf/21a145_gfbi.pdf</w:t>
        </w:r>
      </w:hyperlink>
      <w:r>
        <w:rPr>
          <w:rStyle w:val="markedcontent"/>
          <w:rFonts w:ascii="Times New Roman" w:hAnsi="Times New Roman"/>
          <w:sz w:val="24"/>
          <w:szCs w:val="24"/>
        </w:rPr>
        <w:t xml:space="preserve"> </w:t>
      </w:r>
    </w:p>
    <w:p w14:paraId="18DBDBD1" w14:textId="77777777" w:rsidR="00FF5FCF" w:rsidRPr="00E43604" w:rsidRDefault="00FF5FCF" w:rsidP="00FF5FCF">
      <w:pPr>
        <w:ind w:left="1440"/>
        <w:rPr>
          <w:rStyle w:val="markedcontent"/>
          <w:rFonts w:ascii="Times New Roman" w:hAnsi="Times New Roman"/>
          <w:sz w:val="24"/>
          <w:szCs w:val="24"/>
        </w:rPr>
      </w:pPr>
      <w:r w:rsidRPr="00E43604">
        <w:rPr>
          <w:rStyle w:val="markedcontent"/>
          <w:rFonts w:ascii="Times New Roman" w:hAnsi="Times New Roman"/>
          <w:sz w:val="24"/>
          <w:szCs w:val="24"/>
        </w:rPr>
        <w:t xml:space="preserve">“New York recently issued a regulation requiring healthcare workers to receive a COVID–19 vaccine. Those who cite medical reasons are exempt. But no comparable exemption exists for </w:t>
      </w:r>
      <w:r w:rsidRPr="00E43604">
        <w:rPr>
          <w:rStyle w:val="markedcontent"/>
          <w:rFonts w:ascii="Times New Roman" w:hAnsi="Times New Roman"/>
          <w:sz w:val="24"/>
          <w:szCs w:val="24"/>
        </w:rPr>
        <w:lastRenderedPageBreak/>
        <w:t>individuals whose sincere religious beliefs prevent them from taking one of the currently available vaccines. It seems New York is one of just three States to have a scheme like this.”</w:t>
      </w:r>
    </w:p>
    <w:p w14:paraId="54AA55BA" w14:textId="0A02F18E" w:rsidR="00001D9A" w:rsidRDefault="00001D9A" w:rsidP="002B1283">
      <w:pPr>
        <w:rPr>
          <w:rFonts w:ascii="Arial Black" w:hAnsi="Arial Black"/>
          <w:b/>
          <w:bCs/>
          <w:sz w:val="28"/>
          <w:szCs w:val="28"/>
        </w:rPr>
      </w:pPr>
      <w:r>
        <w:rPr>
          <w:rFonts w:ascii="Arial Black" w:hAnsi="Arial Black"/>
          <w:b/>
          <w:bCs/>
          <w:sz w:val="28"/>
          <w:szCs w:val="28"/>
        </w:rPr>
        <w:t>13-100</w:t>
      </w:r>
    </w:p>
    <w:p w14:paraId="6D80E8B1" w14:textId="77777777" w:rsidR="00001D9A" w:rsidRDefault="00001D9A" w:rsidP="00001D9A">
      <w:pPr>
        <w:rPr>
          <w:rFonts w:ascii="Arial Black" w:hAnsi="Arial Black"/>
          <w:b/>
          <w:bCs/>
          <w:sz w:val="28"/>
          <w:szCs w:val="28"/>
        </w:rPr>
      </w:pPr>
      <w:r>
        <w:rPr>
          <w:rFonts w:ascii="Arial Black" w:hAnsi="Arial Black"/>
          <w:b/>
          <w:bCs/>
          <w:sz w:val="28"/>
          <w:szCs w:val="28"/>
        </w:rPr>
        <w:t xml:space="preserve">NM:  BLOOD DRAW – EMTs MAY DRAW IF EMPLOYED AT HOSPITAL &amp; TRAINED – NO REQ. BE “LAB TECHNICIAN” </w:t>
      </w:r>
    </w:p>
    <w:p w14:paraId="056BB3E8" w14:textId="77777777" w:rsidR="00001D9A" w:rsidRPr="002F595B" w:rsidRDefault="00001D9A" w:rsidP="00001D9A">
      <w:pPr>
        <w:rPr>
          <w:rFonts w:ascii="Times New Roman" w:hAnsi="Times New Roman"/>
          <w:sz w:val="24"/>
          <w:szCs w:val="24"/>
        </w:rPr>
      </w:pPr>
      <w:r w:rsidRPr="002F595B">
        <w:rPr>
          <w:rFonts w:ascii="Times New Roman" w:hAnsi="Times New Roman"/>
          <w:sz w:val="24"/>
          <w:szCs w:val="24"/>
        </w:rPr>
        <w:t xml:space="preserve">On Dec. 16, 2021, in </w:t>
      </w:r>
      <w:r w:rsidRPr="002F595B">
        <w:rPr>
          <w:rFonts w:ascii="Times New Roman" w:hAnsi="Times New Roman"/>
          <w:sz w:val="24"/>
          <w:szCs w:val="24"/>
          <w:u w:val="single"/>
        </w:rPr>
        <w:t>State of New Mexico v. Brian Adams</w:t>
      </w:r>
      <w:r w:rsidRPr="002F595B">
        <w:rPr>
          <w:rFonts w:ascii="Times New Roman" w:hAnsi="Times New Roman"/>
          <w:sz w:val="24"/>
          <w:szCs w:val="24"/>
        </w:rPr>
        <w:t xml:space="preserve">, the Supreme Court of New Mexico held (4 to 0) that EMTs may conduct blood draws, resolving 6 pending case appeals, but clarifying that the EMT “must be employed by a hospital or physician to perform blood draws, trained to perform legal blood draws, and have on-the-job experience in doing so.” </w:t>
      </w:r>
    </w:p>
    <w:p w14:paraId="0FE18A73" w14:textId="77777777" w:rsidR="00001D9A" w:rsidRPr="002F595B" w:rsidRDefault="00001D9A" w:rsidP="00001D9A">
      <w:pPr>
        <w:ind w:left="720"/>
        <w:rPr>
          <w:rFonts w:ascii="Times New Roman" w:hAnsi="Times New Roman"/>
          <w:sz w:val="24"/>
          <w:szCs w:val="24"/>
        </w:rPr>
      </w:pPr>
      <w:r w:rsidRPr="002F595B">
        <w:rPr>
          <w:rFonts w:ascii="Times New Roman" w:hAnsi="Times New Roman"/>
          <w:sz w:val="24"/>
          <w:szCs w:val="24"/>
        </w:rPr>
        <w:t xml:space="preserve"> “This case is one of six cases arising under very similar fact patterns. In each case, an ‘emergency department technician,’ also licensed as an emergency medical technician (EMT), performed a blood draw test at San Juan Regional Medical Center in Farmington for the purpose of a DWI investigation. The defendants in these cases argue that ‘emergency department </w:t>
      </w:r>
      <w:proofErr w:type="gramStart"/>
      <w:r w:rsidRPr="002F595B">
        <w:rPr>
          <w:rFonts w:ascii="Times New Roman" w:hAnsi="Times New Roman"/>
          <w:sz w:val="24"/>
          <w:szCs w:val="24"/>
        </w:rPr>
        <w:t>technicians’</w:t>
      </w:r>
      <w:proofErr w:type="gramEnd"/>
      <w:r w:rsidRPr="002F595B">
        <w:rPr>
          <w:rFonts w:ascii="Times New Roman" w:hAnsi="Times New Roman"/>
          <w:sz w:val="24"/>
          <w:szCs w:val="24"/>
        </w:rPr>
        <w:t xml:space="preserve"> are not qualified to draw blood under the Implied Consent Act, NMSA 1978, §§ </w:t>
      </w:r>
      <w:hyperlink r:id="rId2297" w:anchor="!b/66-8-105" w:tgtFrame="_parent" w:history="1">
        <w:r w:rsidRPr="002F595B">
          <w:rPr>
            <w:rFonts w:ascii="Times New Roman" w:hAnsi="Times New Roman"/>
            <w:sz w:val="24"/>
            <w:szCs w:val="24"/>
          </w:rPr>
          <w:t>66-8-105</w:t>
        </w:r>
      </w:hyperlink>
      <w:r w:rsidRPr="002F595B">
        <w:rPr>
          <w:rFonts w:ascii="Times New Roman" w:hAnsi="Times New Roman"/>
          <w:sz w:val="24"/>
          <w:szCs w:val="24"/>
        </w:rPr>
        <w:t xml:space="preserve"> to -112 (1978, as amended through 2019). Thus, this case presents an issue of statutory construction. Specifically, whether an emergency department technician, licensed as an EMT, with training and experience in drawing blood is authorized to perform legal blood draw tests as a ‘laboratory technician’ under NMSA 1978, Section </w:t>
      </w:r>
      <w:hyperlink r:id="rId2298" w:anchor="!b/66-8-103" w:tgtFrame="_parent" w:history="1">
        <w:r w:rsidRPr="002F595B">
          <w:rPr>
            <w:rFonts w:ascii="Times New Roman" w:hAnsi="Times New Roman"/>
            <w:sz w:val="24"/>
            <w:szCs w:val="24"/>
          </w:rPr>
          <w:t>66-8-103</w:t>
        </w:r>
      </w:hyperlink>
      <w:r w:rsidRPr="002F595B">
        <w:rPr>
          <w:rFonts w:ascii="Times New Roman" w:hAnsi="Times New Roman"/>
          <w:sz w:val="24"/>
          <w:szCs w:val="24"/>
        </w:rPr>
        <w:t xml:space="preserve"> (1978), which states, ‘[o]</w:t>
      </w:r>
      <w:proofErr w:type="spellStart"/>
      <w:r w:rsidRPr="002F595B">
        <w:rPr>
          <w:rFonts w:ascii="Times New Roman" w:hAnsi="Times New Roman"/>
          <w:sz w:val="24"/>
          <w:szCs w:val="24"/>
        </w:rPr>
        <w:t>nly</w:t>
      </w:r>
      <w:proofErr w:type="spellEnd"/>
      <w:r w:rsidRPr="002F595B">
        <w:rPr>
          <w:rFonts w:ascii="Times New Roman" w:hAnsi="Times New Roman"/>
          <w:sz w:val="24"/>
          <w:szCs w:val="24"/>
        </w:rPr>
        <w:t xml:space="preserve"> a physician, licensed professional or practical nurse or laboratory technician or technologist employed by a hospital or physician shall withdraw blood from any person in the performance of a blood-alcohol test.’ As explained herein, we conclude that such medical professionals are qualified to draw blood under the statute so long as they were employed to do so by a hospital or physician and have adequate training and experience.” </w:t>
      </w:r>
      <w:hyperlink r:id="rId2299" w:history="1">
        <w:r w:rsidRPr="00EC5853">
          <w:rPr>
            <w:rStyle w:val="Hyperlink"/>
            <w:rFonts w:ascii="Times New Roman" w:hAnsi="Times New Roman"/>
            <w:sz w:val="24"/>
            <w:szCs w:val="24"/>
          </w:rPr>
          <w:t>https://nmonesource.com/nmos/nmsc/en/item/517877/index.do</w:t>
        </w:r>
      </w:hyperlink>
      <w:r>
        <w:rPr>
          <w:rFonts w:ascii="Times New Roman" w:hAnsi="Times New Roman"/>
          <w:sz w:val="24"/>
          <w:szCs w:val="24"/>
        </w:rPr>
        <w:t xml:space="preserve"> </w:t>
      </w:r>
    </w:p>
    <w:p w14:paraId="644A9EAD" w14:textId="77777777" w:rsidR="00001D9A" w:rsidRPr="002F595B" w:rsidRDefault="00001D9A" w:rsidP="00001D9A">
      <w:pPr>
        <w:rPr>
          <w:rFonts w:ascii="Times New Roman" w:hAnsi="Times New Roman"/>
          <w:b/>
          <w:bCs/>
          <w:sz w:val="24"/>
          <w:szCs w:val="24"/>
        </w:rPr>
      </w:pPr>
      <w:r w:rsidRPr="002F595B">
        <w:rPr>
          <w:rFonts w:ascii="Times New Roman" w:hAnsi="Times New Roman"/>
          <w:b/>
          <w:bCs/>
          <w:sz w:val="24"/>
          <w:szCs w:val="24"/>
        </w:rPr>
        <w:t xml:space="preserve">Legal Lesson Learned: EMTs not employed at a hospital or medical office cannot draw blood for police. </w:t>
      </w:r>
    </w:p>
    <w:p w14:paraId="1DB63F92" w14:textId="77777777" w:rsidR="00001D9A" w:rsidRPr="002F595B" w:rsidRDefault="00001D9A" w:rsidP="00001D9A">
      <w:pPr>
        <w:ind w:left="720"/>
        <w:rPr>
          <w:rFonts w:ascii="Times New Roman" w:hAnsi="Times New Roman"/>
          <w:sz w:val="24"/>
          <w:szCs w:val="24"/>
        </w:rPr>
      </w:pPr>
      <w:r w:rsidRPr="002F595B">
        <w:rPr>
          <w:rFonts w:ascii="Times New Roman" w:hAnsi="Times New Roman"/>
          <w:sz w:val="24"/>
          <w:szCs w:val="24"/>
        </w:rPr>
        <w:t xml:space="preserve">Note: See New Mexico </w:t>
      </w:r>
      <w:bookmarkStart w:id="446" w:name="_ftn3"/>
      <w:bookmarkStart w:id="447" w:name="66-8-107"/>
      <w:bookmarkEnd w:id="446"/>
      <w:proofErr w:type="gramStart"/>
      <w:r w:rsidRPr="002F595B">
        <w:rPr>
          <w:rFonts w:ascii="Times New Roman" w:hAnsi="Times New Roman"/>
          <w:color w:val="000000"/>
          <w:sz w:val="24"/>
          <w:szCs w:val="24"/>
        </w:rPr>
        <w:t>The</w:t>
      </w:r>
      <w:proofErr w:type="gramEnd"/>
      <w:r w:rsidRPr="002F595B">
        <w:rPr>
          <w:rFonts w:ascii="Times New Roman" w:hAnsi="Times New Roman"/>
          <w:color w:val="000000"/>
          <w:sz w:val="24"/>
          <w:szCs w:val="24"/>
        </w:rPr>
        <w:t xml:space="preserve"> Implied Consent Act: </w:t>
      </w:r>
      <w:bookmarkEnd w:id="447"/>
      <w:r>
        <w:rPr>
          <w:rFonts w:ascii="Times New Roman" w:hAnsi="Times New Roman"/>
          <w:color w:val="000000"/>
          <w:sz w:val="24"/>
          <w:szCs w:val="24"/>
        </w:rPr>
        <w:fldChar w:fldCharType="begin"/>
      </w:r>
      <w:r>
        <w:rPr>
          <w:rFonts w:ascii="Times New Roman" w:hAnsi="Times New Roman"/>
          <w:color w:val="000000"/>
          <w:sz w:val="24"/>
          <w:szCs w:val="24"/>
        </w:rPr>
        <w:instrText xml:space="preserve"> HYPERLINK "</w:instrText>
      </w:r>
      <w:r w:rsidRPr="00B50E0F">
        <w:rPr>
          <w:rFonts w:ascii="Times New Roman" w:hAnsi="Times New Roman"/>
          <w:color w:val="000000"/>
          <w:sz w:val="24"/>
          <w:szCs w:val="24"/>
        </w:rPr>
        <w:instrText>https://law.justia.com/codes/new-mexico/2009/chapter-66/article-8/section-66-8-107/</w:instrText>
      </w:r>
      <w:r>
        <w:rPr>
          <w:rFonts w:ascii="Times New Roman" w:hAnsi="Times New Roman"/>
          <w:color w:val="000000"/>
          <w:sz w:val="24"/>
          <w:szCs w:val="24"/>
        </w:rPr>
        <w:instrText xml:space="preserve">" </w:instrText>
      </w:r>
      <w:r>
        <w:rPr>
          <w:rFonts w:ascii="Times New Roman" w:hAnsi="Times New Roman"/>
          <w:color w:val="000000"/>
          <w:sz w:val="24"/>
          <w:szCs w:val="24"/>
        </w:rPr>
      </w:r>
      <w:r>
        <w:rPr>
          <w:rFonts w:ascii="Times New Roman" w:hAnsi="Times New Roman"/>
          <w:color w:val="000000"/>
          <w:sz w:val="24"/>
          <w:szCs w:val="24"/>
        </w:rPr>
        <w:fldChar w:fldCharType="separate"/>
      </w:r>
      <w:r w:rsidRPr="004065C6">
        <w:rPr>
          <w:rStyle w:val="Hyperlink"/>
          <w:rFonts w:ascii="Times New Roman" w:hAnsi="Times New Roman"/>
          <w:sz w:val="24"/>
          <w:szCs w:val="24"/>
        </w:rPr>
        <w:t>https://law.justia.com/codes/new-mexico/2009/chapter-66/article-8/section-66-8-107/</w:t>
      </w:r>
      <w:r>
        <w:rPr>
          <w:rFonts w:ascii="Times New Roman" w:hAnsi="Times New Roman"/>
          <w:color w:val="000000"/>
          <w:sz w:val="24"/>
          <w:szCs w:val="24"/>
        </w:rPr>
        <w:fldChar w:fldCharType="end"/>
      </w:r>
      <w:r>
        <w:rPr>
          <w:rFonts w:ascii="Times New Roman" w:hAnsi="Times New Roman"/>
          <w:color w:val="000000"/>
          <w:sz w:val="24"/>
          <w:szCs w:val="24"/>
        </w:rPr>
        <w:t xml:space="preserve"> </w:t>
      </w:r>
    </w:p>
    <w:p w14:paraId="73B18D04" w14:textId="77777777" w:rsidR="00001D9A" w:rsidRPr="002F595B" w:rsidRDefault="00001D9A" w:rsidP="00001D9A">
      <w:pPr>
        <w:spacing w:after="0" w:line="240" w:lineRule="auto"/>
        <w:ind w:left="1080" w:right="1080"/>
        <w:rPr>
          <w:rFonts w:ascii="Times New Roman" w:eastAsia="Times New Roman" w:hAnsi="Times New Roman"/>
          <w:sz w:val="24"/>
          <w:szCs w:val="24"/>
        </w:rPr>
      </w:pPr>
      <w:r w:rsidRPr="002F595B">
        <w:rPr>
          <w:rFonts w:ascii="Times New Roman" w:eastAsia="Times New Roman" w:hAnsi="Times New Roman"/>
          <w:sz w:val="24"/>
          <w:szCs w:val="24"/>
        </w:rPr>
        <w:t>“A</w:t>
      </w:r>
      <w:r w:rsidRPr="002F595B">
        <w:rPr>
          <w:rFonts w:ascii="Times New Roman" w:eastAsia="Times New Roman" w:hAnsi="Times New Roman"/>
          <w:color w:val="000000"/>
          <w:sz w:val="24"/>
          <w:szCs w:val="24"/>
        </w:rPr>
        <w:t>ny person who operates a motor vehicle within this state shall be deemed to have given consent, subject to the provisions of the Implied Consent Act . . . to chemical tests of his breath or blood or both . . . as determined by a law enforcement officer, or for the purpose of determining the drug or alcohol content of his blood if arrested for any offense arising out of the acts alleged to have been committed while the person was driving a motor vehicle while under the influence of an intoxicating liquor or drug.”</w:t>
      </w:r>
    </w:p>
    <w:p w14:paraId="7D7BCF81" w14:textId="77777777" w:rsidR="00001D9A" w:rsidRDefault="00001D9A" w:rsidP="00001D9A">
      <w:pPr>
        <w:ind w:left="720"/>
        <w:rPr>
          <w:rFonts w:ascii="Times New Roman" w:hAnsi="Times New Roman"/>
          <w:sz w:val="24"/>
          <w:szCs w:val="24"/>
        </w:rPr>
      </w:pPr>
    </w:p>
    <w:p w14:paraId="11D48E36" w14:textId="77777777" w:rsidR="00001D9A" w:rsidRPr="002F595B" w:rsidRDefault="00001D9A" w:rsidP="00001D9A">
      <w:pPr>
        <w:ind w:left="720"/>
        <w:rPr>
          <w:rFonts w:ascii="Times New Roman" w:hAnsi="Times New Roman"/>
          <w:sz w:val="24"/>
          <w:szCs w:val="24"/>
        </w:rPr>
      </w:pPr>
      <w:r w:rsidRPr="002F595B">
        <w:rPr>
          <w:rFonts w:ascii="Times New Roman" w:hAnsi="Times New Roman"/>
          <w:sz w:val="24"/>
          <w:szCs w:val="24"/>
        </w:rPr>
        <w:t>See Ohio statute, Section 4511.191:</w:t>
      </w:r>
      <w:r w:rsidRPr="009E51C8">
        <w:t xml:space="preserve"> </w:t>
      </w:r>
      <w:hyperlink r:id="rId2300" w:history="1">
        <w:r w:rsidRPr="00EC5853">
          <w:rPr>
            <w:rStyle w:val="Hyperlink"/>
            <w:rFonts w:ascii="Times New Roman" w:hAnsi="Times New Roman"/>
            <w:sz w:val="24"/>
            <w:szCs w:val="24"/>
          </w:rPr>
          <w:t>https://codes.ohio.gov/ohio-revised-code/section-4511.191</w:t>
        </w:r>
      </w:hyperlink>
      <w:r>
        <w:rPr>
          <w:rFonts w:ascii="Times New Roman" w:hAnsi="Times New Roman"/>
          <w:sz w:val="24"/>
          <w:szCs w:val="24"/>
        </w:rPr>
        <w:t xml:space="preserve"> </w:t>
      </w:r>
      <w:r w:rsidRPr="002F595B">
        <w:rPr>
          <w:rFonts w:ascii="Times New Roman" w:hAnsi="Times New Roman"/>
          <w:sz w:val="24"/>
          <w:szCs w:val="24"/>
        </w:rPr>
        <w:t xml:space="preserve">: </w:t>
      </w:r>
    </w:p>
    <w:p w14:paraId="22607B52" w14:textId="77777777" w:rsidR="00001D9A" w:rsidRPr="002F595B" w:rsidRDefault="00001D9A" w:rsidP="00001D9A">
      <w:pPr>
        <w:ind w:left="1080" w:hanging="90"/>
        <w:rPr>
          <w:rFonts w:ascii="Times New Roman" w:hAnsi="Times New Roman"/>
          <w:sz w:val="24"/>
          <w:szCs w:val="24"/>
        </w:rPr>
      </w:pPr>
      <w:r w:rsidRPr="002F595B">
        <w:rPr>
          <w:rFonts w:ascii="Times New Roman" w:hAnsi="Times New Roman"/>
          <w:sz w:val="24"/>
          <w:szCs w:val="24"/>
        </w:rPr>
        <w:t xml:space="preserve"> “(2) Any person who operates a vehicle, streetcar, or trackless trolley upon a highway or any public or private property used by the public for vehicular travel or parking within this state or who is in physical control of a vehicle, streetcar, or trackless trolley shall be deemed to have given consent to a chemical test or tests of the person's whole blood, blood serum or plasma, breath, or urine to determine the alcohol, drug of abuse, controlled substance, metabolite of a controlled substance, or </w:t>
      </w:r>
      <w:r w:rsidRPr="002F595B">
        <w:rPr>
          <w:rFonts w:ascii="Times New Roman" w:hAnsi="Times New Roman"/>
          <w:sz w:val="24"/>
          <w:szCs w:val="24"/>
        </w:rPr>
        <w:lastRenderedPageBreak/>
        <w:t xml:space="preserve">combination content of the person's whole blood, blood serum or plasma, breath, or urine if arrested for a violation of division (A) or (B) of section </w:t>
      </w:r>
      <w:hyperlink r:id="rId2301" w:history="1">
        <w:r w:rsidRPr="002F595B">
          <w:rPr>
            <w:rFonts w:ascii="Times New Roman" w:hAnsi="Times New Roman"/>
            <w:sz w:val="24"/>
            <w:szCs w:val="24"/>
          </w:rPr>
          <w:t>4511.19</w:t>
        </w:r>
      </w:hyperlink>
      <w:r w:rsidRPr="002F595B">
        <w:rPr>
          <w:rFonts w:ascii="Times New Roman" w:hAnsi="Times New Roman"/>
          <w:sz w:val="24"/>
          <w:szCs w:val="24"/>
        </w:rPr>
        <w:t xml:space="preserve"> of the Revised Code, section </w:t>
      </w:r>
      <w:hyperlink r:id="rId2302" w:history="1">
        <w:r w:rsidRPr="002F595B">
          <w:rPr>
            <w:rFonts w:ascii="Times New Roman" w:hAnsi="Times New Roman"/>
            <w:sz w:val="24"/>
            <w:szCs w:val="24"/>
          </w:rPr>
          <w:t>4511.194</w:t>
        </w:r>
      </w:hyperlink>
      <w:r w:rsidRPr="002F595B">
        <w:rPr>
          <w:rFonts w:ascii="Times New Roman" w:hAnsi="Times New Roman"/>
          <w:sz w:val="24"/>
          <w:szCs w:val="24"/>
        </w:rPr>
        <w:t xml:space="preserve"> of the Revised Code or a substantially equivalent municipal ordinance, or a municipal OVI ordinance.”</w:t>
      </w:r>
    </w:p>
    <w:p w14:paraId="5F12C0F2" w14:textId="77777777" w:rsidR="00001D9A" w:rsidRDefault="00001D9A" w:rsidP="002B1283">
      <w:pPr>
        <w:rPr>
          <w:rFonts w:ascii="Arial Black" w:hAnsi="Arial Black"/>
          <w:b/>
          <w:bCs/>
          <w:sz w:val="28"/>
          <w:szCs w:val="28"/>
        </w:rPr>
      </w:pPr>
    </w:p>
    <w:p w14:paraId="2C652297" w14:textId="77777777" w:rsidR="00001D9A" w:rsidRDefault="00001D9A" w:rsidP="002B1283">
      <w:pPr>
        <w:rPr>
          <w:rFonts w:ascii="Arial Black" w:hAnsi="Arial Black"/>
          <w:b/>
          <w:bCs/>
          <w:sz w:val="28"/>
          <w:szCs w:val="28"/>
        </w:rPr>
      </w:pPr>
    </w:p>
    <w:p w14:paraId="1C75E29B" w14:textId="1A08C4AC" w:rsidR="00687C24" w:rsidRDefault="00687C24" w:rsidP="002B1283">
      <w:pPr>
        <w:rPr>
          <w:rFonts w:ascii="Arial Black" w:hAnsi="Arial Black"/>
          <w:b/>
          <w:bCs/>
          <w:sz w:val="28"/>
          <w:szCs w:val="28"/>
        </w:rPr>
      </w:pPr>
      <w:r>
        <w:rPr>
          <w:rFonts w:ascii="Arial Black" w:hAnsi="Arial Black"/>
          <w:b/>
          <w:bCs/>
          <w:sz w:val="28"/>
          <w:szCs w:val="28"/>
        </w:rPr>
        <w:t>13-99</w:t>
      </w:r>
    </w:p>
    <w:p w14:paraId="2BBA0A2B" w14:textId="77777777" w:rsidR="00506EE7" w:rsidRPr="00CE738F" w:rsidRDefault="00506EE7" w:rsidP="00506EE7">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VA: POLICE &amp; PARAMEDICS DENIED “GOOD FAITH IMMUNITY” – MENTAL – FORCE HEAD INTO PILLOW / DIED </w:t>
      </w:r>
    </w:p>
    <w:p w14:paraId="1B24CD9E" w14:textId="77777777" w:rsidR="00506EE7" w:rsidRDefault="00506EE7" w:rsidP="00506EE7">
      <w:pPr>
        <w:spacing w:before="100" w:beforeAutospacing="1" w:after="100" w:afterAutospacing="1" w:line="240" w:lineRule="auto"/>
        <w:rPr>
          <w:rFonts w:ascii="Times New Roman" w:hAnsi="Times New Roman"/>
          <w:sz w:val="24"/>
          <w:szCs w:val="24"/>
        </w:rPr>
      </w:pPr>
      <w:r w:rsidRPr="00CE738F">
        <w:rPr>
          <w:rFonts w:ascii="Times New Roman" w:hAnsi="Times New Roman"/>
          <w:sz w:val="24"/>
          <w:szCs w:val="24"/>
        </w:rPr>
        <w:t xml:space="preserve">On Nov. 15, 2021, </w:t>
      </w:r>
      <w:r>
        <w:rPr>
          <w:rFonts w:ascii="Times New Roman" w:hAnsi="Times New Roman"/>
          <w:sz w:val="24"/>
          <w:szCs w:val="24"/>
        </w:rPr>
        <w:t xml:space="preserve">in </w:t>
      </w:r>
      <w:r w:rsidRPr="003047ED">
        <w:rPr>
          <w:rFonts w:ascii="Times New Roman" w:hAnsi="Times New Roman"/>
          <w:sz w:val="24"/>
          <w:szCs w:val="24"/>
          <w:u w:val="single"/>
        </w:rPr>
        <w:t>Angela L. Lawhorn, Administrator of the Estate of Joshua L. Lawhorn v. Alexander Mayes, et al</w:t>
      </w:r>
      <w:r>
        <w:rPr>
          <w:rFonts w:ascii="Times New Roman" w:hAnsi="Times New Roman"/>
          <w:sz w:val="24"/>
          <w:szCs w:val="24"/>
        </w:rPr>
        <w:t xml:space="preserve">., the U.S. Court of Appeals for the Fourth Circuit (Richmond, VA) held that the paramedics, like the police officers in this case, are not entitled to good faith immunity and the lawsuit will proceed. </w:t>
      </w:r>
      <w:r>
        <w:rPr>
          <w:rFonts w:ascii="Times New Roman" w:hAnsi="Times New Roman"/>
          <w:sz w:val="24"/>
          <w:szCs w:val="24"/>
        </w:rPr>
        <w:tab/>
      </w:r>
    </w:p>
    <w:p w14:paraId="6DF0F080" w14:textId="77777777" w:rsidR="00506EE7" w:rsidRDefault="00506EE7" w:rsidP="00506EE7">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3047ED">
        <w:rPr>
          <w:rFonts w:ascii="Times New Roman" w:hAnsi="Times New Roman"/>
          <w:sz w:val="24"/>
          <w:szCs w:val="24"/>
        </w:rPr>
        <w:t xml:space="preserve">This appeal arises from a tragic incident that led to the death of Joshua Lawhon, an unarmed mentally ill man. Invoking 42 U.S.C. § 1983 and Virginia state law, Lawhon's mother, as administrator of his estate, brought this action against the police officers and paramedics whose assertedly improper actions cost her son his life. Defendants moved to dismiss the case on the grounds of qualified immunity and state law immunity. The district court refused to do so regarding Defendants' conduct after they secured Lawhon in handcuffs and the Defendants now appeal. We affirm </w:t>
      </w:r>
      <w:proofErr w:type="gramStart"/>
      <w:r w:rsidRPr="003047ED">
        <w:rPr>
          <w:rFonts w:ascii="Times New Roman" w:hAnsi="Times New Roman"/>
          <w:sz w:val="24"/>
          <w:szCs w:val="24"/>
        </w:rPr>
        <w:t>on the basis of</w:t>
      </w:r>
      <w:proofErr w:type="gramEnd"/>
      <w:r w:rsidRPr="003047ED">
        <w:rPr>
          <w:rFonts w:ascii="Times New Roman" w:hAnsi="Times New Roman"/>
          <w:sz w:val="24"/>
          <w:szCs w:val="24"/>
        </w:rPr>
        <w:t xml:space="preserve"> its well-reasoned opinion.</w:t>
      </w:r>
    </w:p>
    <w:p w14:paraId="4F4750FD" w14:textId="77777777" w:rsidR="00506EE7" w:rsidRDefault="00506EE7" w:rsidP="00506EE7">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4A727FD4" w14:textId="1504CBF7" w:rsidR="00687C24" w:rsidRDefault="00506EE7" w:rsidP="00506EE7">
      <w:pPr>
        <w:rPr>
          <w:rStyle w:val="Hyperlink"/>
          <w:rFonts w:ascii="Times New Roman" w:eastAsia="Times New Roman" w:hAnsi="Times New Roman"/>
          <w:sz w:val="24"/>
          <w:szCs w:val="24"/>
        </w:rPr>
      </w:pPr>
      <w:r w:rsidRPr="003047ED">
        <w:rPr>
          <w:rFonts w:ascii="Times New Roman" w:eastAsia="Times New Roman" w:hAnsi="Times New Roman"/>
          <w:sz w:val="24"/>
          <w:szCs w:val="24"/>
        </w:rPr>
        <w:t xml:space="preserve">The paramedic-Defendants similarly raise a good faith immunity defense under Virginia's Good Samaritan statute. However, as the district court </w:t>
      </w:r>
      <w:proofErr w:type="gramStart"/>
      <w:r w:rsidRPr="003047ED">
        <w:rPr>
          <w:rFonts w:ascii="Times New Roman" w:eastAsia="Times New Roman" w:hAnsi="Times New Roman"/>
          <w:sz w:val="24"/>
          <w:szCs w:val="24"/>
        </w:rPr>
        <w:t xml:space="preserve">determined, </w:t>
      </w:r>
      <w:r>
        <w:rPr>
          <w:rFonts w:ascii="Times New Roman" w:eastAsia="Times New Roman" w:hAnsi="Times New Roman"/>
          <w:sz w:val="24"/>
          <w:szCs w:val="24"/>
        </w:rPr>
        <w:t>‘</w:t>
      </w:r>
      <w:proofErr w:type="gramEnd"/>
      <w:r w:rsidRPr="003047ED">
        <w:rPr>
          <w:rFonts w:ascii="Times New Roman" w:eastAsia="Times New Roman" w:hAnsi="Times New Roman"/>
          <w:sz w:val="24"/>
          <w:szCs w:val="24"/>
        </w:rPr>
        <w:t>this statute only shields those who</w:t>
      </w:r>
      <w:r>
        <w:rPr>
          <w:rFonts w:ascii="Times New Roman" w:eastAsia="Times New Roman" w:hAnsi="Times New Roman"/>
          <w:sz w:val="24"/>
          <w:szCs w:val="24"/>
        </w:rPr>
        <w:t xml:space="preserve"> ‘</w:t>
      </w:r>
      <w:r w:rsidRPr="003047ED">
        <w:rPr>
          <w:rFonts w:ascii="Times New Roman" w:eastAsia="Times New Roman" w:hAnsi="Times New Roman"/>
          <w:sz w:val="24"/>
          <w:szCs w:val="24"/>
        </w:rPr>
        <w:t>in good faith render[] emergency care or assistance.</w:t>
      </w:r>
      <w:r>
        <w:rPr>
          <w:rFonts w:ascii="Times New Roman" w:eastAsia="Times New Roman" w:hAnsi="Times New Roman"/>
          <w:sz w:val="24"/>
          <w:szCs w:val="24"/>
        </w:rPr>
        <w:t xml:space="preserve">’ </w:t>
      </w:r>
      <w:r w:rsidRPr="003047ED">
        <w:rPr>
          <w:rFonts w:ascii="Times New Roman" w:eastAsia="Times New Roman" w:hAnsi="Times New Roman"/>
          <w:i/>
          <w:iCs/>
          <w:sz w:val="24"/>
          <w:szCs w:val="24"/>
        </w:rPr>
        <w:t>Id</w:t>
      </w:r>
      <w:r w:rsidRPr="003047ED">
        <w:rPr>
          <w:rFonts w:ascii="Times New Roman" w:eastAsia="Times New Roman" w:hAnsi="Times New Roman"/>
          <w:sz w:val="24"/>
          <w:szCs w:val="24"/>
        </w:rPr>
        <w:t xml:space="preserve">. The complaint asserts that the paramedics </w:t>
      </w:r>
      <w:r>
        <w:rPr>
          <w:rFonts w:ascii="Times New Roman" w:eastAsia="Times New Roman" w:hAnsi="Times New Roman"/>
          <w:sz w:val="24"/>
          <w:szCs w:val="24"/>
        </w:rPr>
        <w:t>‘</w:t>
      </w:r>
      <w:r w:rsidRPr="003047ED">
        <w:rPr>
          <w:rFonts w:ascii="Times New Roman" w:eastAsia="Times New Roman" w:hAnsi="Times New Roman"/>
          <w:sz w:val="24"/>
          <w:szCs w:val="24"/>
        </w:rPr>
        <w:t>failed</w:t>
      </w:r>
      <w:r>
        <w:rPr>
          <w:rFonts w:ascii="Times New Roman" w:eastAsia="Times New Roman" w:hAnsi="Times New Roman"/>
          <w:sz w:val="24"/>
          <w:szCs w:val="24"/>
        </w:rPr>
        <w:t>’</w:t>
      </w:r>
      <w:r w:rsidRPr="003047ED">
        <w:rPr>
          <w:rFonts w:ascii="Times New Roman" w:eastAsia="Times New Roman" w:hAnsi="Times New Roman"/>
          <w:sz w:val="24"/>
          <w:szCs w:val="24"/>
        </w:rPr>
        <w:t xml:space="preserve"> to provide Lawhon with emergency care or assistance. Thus, the statute cannot immunize the paramedics at this stage of the litigation. </w:t>
      </w:r>
      <w:r>
        <w:rPr>
          <w:rFonts w:ascii="Times New Roman" w:eastAsia="Times New Roman" w:hAnsi="Times New Roman"/>
          <w:sz w:val="24"/>
          <w:szCs w:val="24"/>
        </w:rPr>
        <w:t>‘</w:t>
      </w:r>
      <w:r w:rsidRPr="003047ED">
        <w:rPr>
          <w:rFonts w:ascii="Times New Roman" w:eastAsia="Times New Roman" w:hAnsi="Times New Roman"/>
          <w:sz w:val="24"/>
          <w:szCs w:val="24"/>
        </w:rPr>
        <w:t>The parallel state law claim[s] of . . . battery [are] subsumed within the federal excessive force claim and so go[] forward as well.</w:t>
      </w:r>
      <w:r>
        <w:rPr>
          <w:rFonts w:ascii="Times New Roman" w:eastAsia="Times New Roman" w:hAnsi="Times New Roman"/>
          <w:sz w:val="24"/>
          <w:szCs w:val="24"/>
        </w:rPr>
        <w:t>’</w:t>
      </w:r>
      <w:r w:rsidRPr="003047ED">
        <w:rPr>
          <w:rFonts w:ascii="Times New Roman" w:eastAsia="Times New Roman" w:hAnsi="Times New Roman"/>
          <w:sz w:val="24"/>
          <w:szCs w:val="24"/>
        </w:rPr>
        <w:t xml:space="preserve"> </w:t>
      </w:r>
      <w:r w:rsidRPr="003047ED">
        <w:rPr>
          <w:rFonts w:ascii="Times New Roman" w:eastAsia="Times New Roman" w:hAnsi="Times New Roman"/>
          <w:i/>
          <w:iCs/>
          <w:sz w:val="24"/>
          <w:szCs w:val="24"/>
        </w:rPr>
        <w:t>Rowland v. Perry</w:t>
      </w:r>
      <w:r w:rsidRPr="003047ED">
        <w:rPr>
          <w:rFonts w:ascii="Times New Roman" w:eastAsia="Times New Roman" w:hAnsi="Times New Roman"/>
          <w:sz w:val="24"/>
          <w:szCs w:val="24"/>
        </w:rPr>
        <w:t>, 41 F.3d 167, 174 (4th Cir. 1994).</w:t>
      </w:r>
      <w:r>
        <w:rPr>
          <w:rFonts w:ascii="Times New Roman" w:eastAsia="Times New Roman" w:hAnsi="Times New Roman"/>
          <w:sz w:val="24"/>
          <w:szCs w:val="24"/>
        </w:rPr>
        <w:t xml:space="preserve">” </w:t>
      </w:r>
      <w:hyperlink r:id="rId2303" w:history="1">
        <w:r w:rsidRPr="00B5148B">
          <w:rPr>
            <w:rStyle w:val="Hyperlink"/>
            <w:rFonts w:ascii="Times New Roman" w:eastAsia="Times New Roman" w:hAnsi="Times New Roman"/>
            <w:sz w:val="24"/>
            <w:szCs w:val="24"/>
          </w:rPr>
          <w:t>https://www.ca4.uscourts.gov/Opinions/201906.U.pdf</w:t>
        </w:r>
      </w:hyperlink>
    </w:p>
    <w:p w14:paraId="415DD84B" w14:textId="77777777" w:rsidR="00506EE7" w:rsidRPr="00CE738F" w:rsidRDefault="00506EE7" w:rsidP="00506EE7">
      <w:pPr>
        <w:spacing w:before="100" w:beforeAutospacing="1" w:after="100" w:afterAutospacing="1" w:line="240" w:lineRule="auto"/>
        <w:rPr>
          <w:rFonts w:ascii="Times New Roman" w:eastAsia="Times New Roman" w:hAnsi="Times New Roman"/>
          <w:b/>
          <w:bCs/>
          <w:sz w:val="24"/>
          <w:szCs w:val="24"/>
        </w:rPr>
      </w:pPr>
      <w:r w:rsidRPr="00FE2276">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When police use force to restrain a patient, it is particularly important that EMS thoroughly document their actions at that scene, including </w:t>
      </w:r>
      <w:proofErr w:type="gramStart"/>
      <w:r>
        <w:rPr>
          <w:rFonts w:ascii="Times New Roman" w:eastAsia="Times New Roman" w:hAnsi="Times New Roman"/>
          <w:b/>
          <w:bCs/>
          <w:sz w:val="24"/>
          <w:szCs w:val="24"/>
        </w:rPr>
        <w:t>both in</w:t>
      </w:r>
      <w:proofErr w:type="gramEnd"/>
      <w:r>
        <w:rPr>
          <w:rFonts w:ascii="Times New Roman" w:eastAsia="Times New Roman" w:hAnsi="Times New Roman"/>
          <w:b/>
          <w:bCs/>
          <w:sz w:val="24"/>
          <w:szCs w:val="24"/>
        </w:rPr>
        <w:t xml:space="preserve"> assisting the patient and the police. </w:t>
      </w:r>
    </w:p>
    <w:p w14:paraId="44F8C806" w14:textId="171E7822" w:rsidR="00506EE7" w:rsidRDefault="00506EE7" w:rsidP="00506EE7">
      <w:pPr>
        <w:rPr>
          <w:rStyle w:val="Hyperlink"/>
          <w:rFonts w:ascii="Times New Roman" w:eastAsia="Times New Roman" w:hAnsi="Times New Roman"/>
          <w:sz w:val="24"/>
          <w:szCs w:val="24"/>
        </w:rPr>
      </w:pPr>
    </w:p>
    <w:p w14:paraId="06F35DB0" w14:textId="77777777" w:rsidR="00506EE7" w:rsidRDefault="00506EE7" w:rsidP="00506EE7">
      <w:pPr>
        <w:rPr>
          <w:rFonts w:ascii="Arial Black" w:hAnsi="Arial Black"/>
          <w:b/>
          <w:bCs/>
          <w:sz w:val="28"/>
          <w:szCs w:val="28"/>
        </w:rPr>
      </w:pPr>
    </w:p>
    <w:p w14:paraId="7DEEEB5C" w14:textId="71830562" w:rsidR="00687C24" w:rsidRDefault="00687C24" w:rsidP="002B1283">
      <w:pPr>
        <w:rPr>
          <w:rFonts w:ascii="Arial Black" w:hAnsi="Arial Black"/>
          <w:b/>
          <w:bCs/>
          <w:sz w:val="28"/>
          <w:szCs w:val="28"/>
        </w:rPr>
      </w:pPr>
      <w:r>
        <w:rPr>
          <w:rFonts w:ascii="Arial Black" w:hAnsi="Arial Black"/>
          <w:b/>
          <w:bCs/>
          <w:sz w:val="28"/>
          <w:szCs w:val="28"/>
        </w:rPr>
        <w:t>13-98</w:t>
      </w:r>
    </w:p>
    <w:p w14:paraId="575BCC8A" w14:textId="77777777" w:rsidR="00687C24" w:rsidRDefault="00687C24" w:rsidP="00687C24">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LA: OIL WELL EMPLOYEE – STROKE – TPA PROPERLY NOT GIVEN – “LAST KNOWN WELL TIME” BEYOND 4.5 HOURS </w:t>
      </w:r>
    </w:p>
    <w:p w14:paraId="77C2B92C" w14:textId="77777777" w:rsidR="00687C24" w:rsidRDefault="00687C24" w:rsidP="00687C24">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lastRenderedPageBreak/>
        <w:t xml:space="preserve">On Nov. 12, 2021, in </w:t>
      </w:r>
      <w:r w:rsidRPr="00B13AD4">
        <w:rPr>
          <w:rFonts w:ascii="Times New Roman" w:eastAsia="Times New Roman" w:hAnsi="Times New Roman"/>
          <w:sz w:val="24"/>
          <w:szCs w:val="24"/>
          <w:u w:val="single"/>
        </w:rPr>
        <w:t>Daniel Ramirez v. Talos Guld Coast Offshore LLC, et al.</w:t>
      </w:r>
      <w:r>
        <w:rPr>
          <w:rFonts w:ascii="Times New Roman" w:eastAsia="Times New Roman" w:hAnsi="Times New Roman"/>
          <w:sz w:val="24"/>
          <w:szCs w:val="24"/>
        </w:rPr>
        <w:t xml:space="preserve">, Chief U.S. District Court Judge Lee H. Rosenthal, U.S. District Court, Southern District of Texas (Houston Division) granted summary judgment to Talos, since there was no negligence by the Offshore Oil Company, the paramedic on the oil rig, the paramedic on the helicopter which flew him to the hospital, or the physicians who treated him.  </w:t>
      </w:r>
    </w:p>
    <w:p w14:paraId="0446D489" w14:textId="77777777" w:rsidR="00687C24" w:rsidRDefault="00687C24" w:rsidP="00687C24">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8C070A">
        <w:rPr>
          <w:rFonts w:ascii="Times New Roman" w:eastAsia="Times New Roman" w:hAnsi="Times New Roman"/>
          <w:sz w:val="24"/>
          <w:szCs w:val="24"/>
        </w:rPr>
        <w:t xml:space="preserve">Ramirez argues that Talos's negligent delay in sending him to the hospital precluded him from getting the tPA treatment, which would have avoided the permanent effects of his stroke. Talos argues that </w:t>
      </w:r>
      <w:r>
        <w:rPr>
          <w:rFonts w:ascii="Times New Roman" w:eastAsia="Times New Roman" w:hAnsi="Times New Roman"/>
          <w:sz w:val="24"/>
          <w:szCs w:val="24"/>
        </w:rPr>
        <w:t>‘</w:t>
      </w:r>
      <w:r w:rsidRPr="008C070A">
        <w:rPr>
          <w:rFonts w:ascii="Times New Roman" w:eastAsia="Times New Roman" w:hAnsi="Times New Roman"/>
          <w:sz w:val="24"/>
          <w:szCs w:val="24"/>
        </w:rPr>
        <w:t>the period to give tPA expired before [Ramirez] even woke up on the [platform]</w:t>
      </w:r>
      <w:r>
        <w:rPr>
          <w:rFonts w:ascii="Times New Roman" w:eastAsia="Times New Roman" w:hAnsi="Times New Roman"/>
          <w:sz w:val="24"/>
          <w:szCs w:val="24"/>
        </w:rPr>
        <w:t>….’ ‘</w:t>
      </w:r>
      <w:r w:rsidRPr="008C070A">
        <w:rPr>
          <w:rFonts w:ascii="Times New Roman" w:eastAsia="Times New Roman" w:hAnsi="Times New Roman"/>
          <w:sz w:val="24"/>
          <w:szCs w:val="24"/>
        </w:rPr>
        <w:t>[T]he treating physicians at WJMC . . . testified that they would never have administered a tPA to [Ramirez]</w:t>
      </w:r>
      <w:r>
        <w:rPr>
          <w:rFonts w:ascii="Times New Roman" w:eastAsia="Times New Roman" w:hAnsi="Times New Roman"/>
          <w:sz w:val="24"/>
          <w:szCs w:val="24"/>
        </w:rPr>
        <w:t>’</w:t>
      </w:r>
      <w:r w:rsidRPr="008C070A">
        <w:rPr>
          <w:rFonts w:ascii="Times New Roman" w:eastAsia="Times New Roman" w:hAnsi="Times New Roman"/>
          <w:sz w:val="24"/>
          <w:szCs w:val="24"/>
        </w:rPr>
        <w:t xml:space="preserve"> even if he somehow could have reached the hospital the </w:t>
      </w:r>
      <w:proofErr w:type="gramStart"/>
      <w:r w:rsidRPr="008C070A">
        <w:rPr>
          <w:rFonts w:ascii="Times New Roman" w:eastAsia="Times New Roman" w:hAnsi="Times New Roman"/>
          <w:sz w:val="24"/>
          <w:szCs w:val="24"/>
        </w:rPr>
        <w:t>minute</w:t>
      </w:r>
      <w:proofErr w:type="gramEnd"/>
      <w:r w:rsidRPr="008C070A">
        <w:rPr>
          <w:rFonts w:ascii="Times New Roman" w:eastAsia="Times New Roman" w:hAnsi="Times New Roman"/>
          <w:sz w:val="24"/>
          <w:szCs w:val="24"/>
        </w:rPr>
        <w:t xml:space="preserve"> he woke up</w:t>
      </w:r>
      <w:r>
        <w:rPr>
          <w:rFonts w:ascii="Times New Roman" w:eastAsia="Times New Roman" w:hAnsi="Times New Roman"/>
          <w:sz w:val="24"/>
          <w:szCs w:val="24"/>
        </w:rPr>
        <w:t xml:space="preserve">…. </w:t>
      </w:r>
      <w:r w:rsidRPr="008C070A">
        <w:rPr>
          <w:rFonts w:ascii="Times New Roman" w:eastAsia="Times New Roman" w:hAnsi="Times New Roman"/>
          <w:sz w:val="24"/>
          <w:szCs w:val="24"/>
        </w:rPr>
        <w:t xml:space="preserve">Talos's conduct had no bearing on whether Ramirez could receive tPA treatment. In short, Talos neither caused nor contributed to the reason Ramirez did not get tPA. </w:t>
      </w:r>
    </w:p>
    <w:p w14:paraId="2C542F83" w14:textId="77777777" w:rsidR="00687C24" w:rsidRDefault="00687C24" w:rsidP="00687C24">
      <w:pPr>
        <w:spacing w:before="100" w:beforeAutospacing="1" w:after="100" w:afterAutospacing="1" w:line="240" w:lineRule="auto"/>
        <w:ind w:firstLine="720"/>
        <w:rPr>
          <w:rFonts w:ascii="Times New Roman" w:eastAsia="Times New Roman" w:hAnsi="Times New Roman"/>
          <w:sz w:val="24"/>
          <w:szCs w:val="24"/>
        </w:rPr>
      </w:pPr>
      <w:r>
        <w:rPr>
          <w:rFonts w:ascii="Times New Roman" w:eastAsia="Times New Roman" w:hAnsi="Times New Roman"/>
          <w:sz w:val="24"/>
          <w:szCs w:val="24"/>
        </w:rPr>
        <w:t>***</w:t>
      </w:r>
    </w:p>
    <w:p w14:paraId="34AF80B8" w14:textId="77777777" w:rsidR="00687C24" w:rsidRDefault="00687C24" w:rsidP="00687C24">
      <w:pPr>
        <w:spacing w:before="100" w:beforeAutospacing="1" w:after="100" w:afterAutospacing="1" w:line="240" w:lineRule="auto"/>
        <w:ind w:left="720"/>
        <w:rPr>
          <w:rFonts w:ascii="Times New Roman" w:hAnsi="Times New Roman"/>
          <w:sz w:val="24"/>
          <w:szCs w:val="24"/>
        </w:rPr>
      </w:pPr>
      <w:r w:rsidRPr="0090643F">
        <w:rPr>
          <w:rFonts w:ascii="Times New Roman" w:hAnsi="Times New Roman"/>
          <w:sz w:val="24"/>
          <w:szCs w:val="24"/>
        </w:rPr>
        <w:t xml:space="preserve">Ramirez was not administered tPA on the helicopter or at the hospital, however, because everyone who treated Ramirez believed that his </w:t>
      </w:r>
      <w:r>
        <w:rPr>
          <w:rFonts w:ascii="Times New Roman" w:hAnsi="Times New Roman"/>
          <w:sz w:val="24"/>
          <w:szCs w:val="24"/>
        </w:rPr>
        <w:t>‘</w:t>
      </w:r>
      <w:r w:rsidRPr="0090643F">
        <w:rPr>
          <w:rFonts w:ascii="Times New Roman" w:hAnsi="Times New Roman"/>
          <w:sz w:val="24"/>
          <w:szCs w:val="24"/>
        </w:rPr>
        <w:t>last known well time</w:t>
      </w:r>
      <w:r>
        <w:rPr>
          <w:rFonts w:ascii="Times New Roman" w:hAnsi="Times New Roman"/>
          <w:sz w:val="24"/>
          <w:szCs w:val="24"/>
        </w:rPr>
        <w:t xml:space="preserve">’ </w:t>
      </w:r>
      <w:r w:rsidRPr="0090643F">
        <w:rPr>
          <w:rFonts w:ascii="Times New Roman" w:hAnsi="Times New Roman"/>
          <w:sz w:val="24"/>
          <w:szCs w:val="24"/>
        </w:rPr>
        <w:t>was around 7:00 p.m. to 7:30 p.m., when Ramirez went to sleep, and not 1:30 a.m., when Ramirez woke up. That put Ramirez over four and a half hours-outside the window to receive tPA.</w:t>
      </w:r>
      <w:r>
        <w:rPr>
          <w:rFonts w:ascii="Times New Roman" w:hAnsi="Times New Roman"/>
          <w:sz w:val="24"/>
          <w:szCs w:val="24"/>
        </w:rPr>
        <w:t xml:space="preserve">” </w:t>
      </w:r>
      <w:hyperlink r:id="rId2304" w:history="1">
        <w:r w:rsidRPr="00316766">
          <w:rPr>
            <w:rStyle w:val="Hyperlink"/>
            <w:rFonts w:ascii="Times New Roman" w:hAnsi="Times New Roman"/>
            <w:sz w:val="24"/>
            <w:szCs w:val="24"/>
          </w:rPr>
          <w:t>https://casetext.com/case/ramirez-v-talos-gulf-coast-offshore-llc</w:t>
        </w:r>
      </w:hyperlink>
      <w:r>
        <w:rPr>
          <w:rFonts w:ascii="Times New Roman" w:hAnsi="Times New Roman"/>
          <w:sz w:val="24"/>
          <w:szCs w:val="24"/>
        </w:rPr>
        <w:t xml:space="preserve"> </w:t>
      </w:r>
    </w:p>
    <w:p w14:paraId="5DBBE3FA" w14:textId="77777777" w:rsidR="00687C24" w:rsidRDefault="00687C24" w:rsidP="00687C24">
      <w:pPr>
        <w:spacing w:before="100" w:beforeAutospacing="1" w:after="100" w:afterAutospacing="1" w:line="240" w:lineRule="auto"/>
        <w:rPr>
          <w:rFonts w:ascii="Times New Roman" w:eastAsia="Times New Roman" w:hAnsi="Times New Roman"/>
          <w:b/>
          <w:bCs/>
          <w:sz w:val="24"/>
          <w:szCs w:val="24"/>
        </w:rPr>
      </w:pPr>
      <w:r w:rsidRPr="004341DD">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There was no negligence by the employer or anyone else in treatment of the patient. </w:t>
      </w:r>
    </w:p>
    <w:p w14:paraId="70D707FB" w14:textId="77777777" w:rsidR="00687C24" w:rsidRDefault="00687C24" w:rsidP="002B1283">
      <w:pPr>
        <w:rPr>
          <w:rFonts w:ascii="Arial Black" w:hAnsi="Arial Black"/>
          <w:b/>
          <w:bCs/>
          <w:sz w:val="28"/>
          <w:szCs w:val="28"/>
        </w:rPr>
      </w:pPr>
    </w:p>
    <w:p w14:paraId="08666175" w14:textId="77777777" w:rsidR="00687C24" w:rsidRDefault="00687C24" w:rsidP="002B1283">
      <w:pPr>
        <w:rPr>
          <w:rFonts w:ascii="Arial Black" w:hAnsi="Arial Black"/>
          <w:b/>
          <w:bCs/>
          <w:sz w:val="28"/>
          <w:szCs w:val="28"/>
        </w:rPr>
      </w:pPr>
    </w:p>
    <w:p w14:paraId="0A9B7F10" w14:textId="51C83357" w:rsidR="00687C24" w:rsidRDefault="00687C24" w:rsidP="002B1283">
      <w:pPr>
        <w:rPr>
          <w:rFonts w:ascii="Arial Black" w:hAnsi="Arial Black"/>
          <w:b/>
          <w:bCs/>
          <w:sz w:val="28"/>
          <w:szCs w:val="28"/>
        </w:rPr>
      </w:pPr>
      <w:r>
        <w:rPr>
          <w:rFonts w:ascii="Arial Black" w:hAnsi="Arial Black"/>
          <w:b/>
          <w:bCs/>
          <w:sz w:val="28"/>
          <w:szCs w:val="28"/>
        </w:rPr>
        <w:t>13-97</w:t>
      </w:r>
    </w:p>
    <w:p w14:paraId="2CB255B9" w14:textId="77777777" w:rsidR="00687C24" w:rsidRDefault="00687C24" w:rsidP="00687C24">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EMS POSTED PHOTOS SNAPCHAT – PATIENT’S SEVERED HAND / ARM - FED. CASE DISMISSED, SUE IN STATE COURT</w:t>
      </w:r>
    </w:p>
    <w:p w14:paraId="508F6955" w14:textId="77777777" w:rsidR="00687C24" w:rsidRDefault="00687C24" w:rsidP="00687C24">
      <w:pPr>
        <w:spacing w:before="100" w:beforeAutospacing="1" w:after="100" w:afterAutospacing="1" w:line="240" w:lineRule="auto"/>
        <w:rPr>
          <w:rFonts w:ascii="Times New Roman" w:eastAsia="Times New Roman" w:hAnsi="Times New Roman"/>
          <w:sz w:val="24"/>
          <w:szCs w:val="24"/>
        </w:rPr>
      </w:pPr>
      <w:r w:rsidRPr="00E057FE">
        <w:rPr>
          <w:rFonts w:ascii="Times New Roman" w:eastAsia="Times New Roman" w:hAnsi="Times New Roman"/>
          <w:sz w:val="24"/>
          <w:szCs w:val="24"/>
        </w:rPr>
        <w:t xml:space="preserve">On </w:t>
      </w:r>
      <w:r>
        <w:rPr>
          <w:rFonts w:ascii="Times New Roman" w:eastAsia="Times New Roman" w:hAnsi="Times New Roman"/>
          <w:sz w:val="24"/>
          <w:szCs w:val="24"/>
        </w:rPr>
        <w:t xml:space="preserve">Nov. 2, 2021, in </w:t>
      </w:r>
      <w:r w:rsidRPr="00E057FE">
        <w:rPr>
          <w:rFonts w:ascii="Times New Roman" w:eastAsia="Times New Roman" w:hAnsi="Times New Roman"/>
          <w:sz w:val="24"/>
          <w:szCs w:val="24"/>
          <w:u w:val="single"/>
        </w:rPr>
        <w:t>Omero Ortiz v. Anthony Renteria, Christopher Calhoun, Town of Cicero, and Metro Paramedic Services, Inc</w:t>
      </w:r>
      <w:r>
        <w:rPr>
          <w:rFonts w:ascii="Times New Roman" w:eastAsia="Times New Roman" w:hAnsi="Times New Roman"/>
          <w:sz w:val="24"/>
          <w:szCs w:val="24"/>
        </w:rPr>
        <w:t>., U.S. District Court Judge Gary Feinerman, U.S. District Court for Northern District of Illinois (Eastern Division) granted the Town of Cicero’s motion to dismiss and also dismissed the paramedics and their employer from the Federal lawsuit.  Plaintiff sued for violation of Due Process under 14</w:t>
      </w:r>
      <w:r w:rsidRPr="00287339">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Amendment, alleging the paramedics </w:t>
      </w:r>
      <w:r w:rsidRPr="00287339">
        <w:rPr>
          <w:rFonts w:ascii="Times New Roman" w:hAnsi="Times New Roman"/>
          <w:sz w:val="24"/>
          <w:szCs w:val="24"/>
        </w:rPr>
        <w:t xml:space="preserve">violated his </w:t>
      </w:r>
      <w:r>
        <w:rPr>
          <w:rFonts w:ascii="Times New Roman" w:hAnsi="Times New Roman"/>
          <w:sz w:val="24"/>
          <w:szCs w:val="24"/>
        </w:rPr>
        <w:t>“</w:t>
      </w:r>
      <w:r w:rsidRPr="00287339">
        <w:rPr>
          <w:rFonts w:ascii="Times New Roman" w:hAnsi="Times New Roman"/>
          <w:sz w:val="24"/>
          <w:szCs w:val="24"/>
        </w:rPr>
        <w:t>right to medical privacy</w:t>
      </w:r>
      <w:r>
        <w:rPr>
          <w:rFonts w:ascii="Times New Roman" w:hAnsi="Times New Roman"/>
          <w:sz w:val="24"/>
          <w:szCs w:val="24"/>
        </w:rPr>
        <w:t xml:space="preserve">,” but they never disclosed the patient’s name.  When </w:t>
      </w:r>
      <w:r>
        <w:rPr>
          <w:rFonts w:ascii="Times New Roman" w:eastAsia="Times New Roman" w:hAnsi="Times New Roman"/>
          <w:sz w:val="24"/>
          <w:szCs w:val="24"/>
        </w:rPr>
        <w:t xml:space="preserve">the paramedics posted photos of the patient’s severed left hand and left arm on Snapchat, they included a comment, “Feeling Blessed” along with </w:t>
      </w:r>
      <w:r w:rsidRPr="00C747D8">
        <w:rPr>
          <w:rFonts w:ascii="Times New Roman" w:hAnsi="Times New Roman"/>
          <w:sz w:val="24"/>
          <w:szCs w:val="24"/>
        </w:rPr>
        <w:t>several emojis</w:t>
      </w:r>
      <w:r>
        <w:rPr>
          <w:rFonts w:ascii="Times New Roman" w:hAnsi="Times New Roman"/>
          <w:sz w:val="24"/>
          <w:szCs w:val="24"/>
        </w:rPr>
        <w:t xml:space="preserve">.  </w:t>
      </w:r>
      <w:r>
        <w:rPr>
          <w:rFonts w:ascii="Times New Roman" w:eastAsia="Times New Roman" w:hAnsi="Times New Roman"/>
          <w:sz w:val="24"/>
          <w:szCs w:val="24"/>
        </w:rPr>
        <w:t xml:space="preserve">The plaintiff now has one year to file lawsuit in State court. </w:t>
      </w:r>
    </w:p>
    <w:p w14:paraId="28C8B487" w14:textId="77777777" w:rsidR="00687C24" w:rsidRDefault="00687C24" w:rsidP="00687C24">
      <w:pPr>
        <w:spacing w:before="100" w:beforeAutospacing="1" w:after="100" w:afterAutospacing="1" w:line="240" w:lineRule="auto"/>
        <w:ind w:left="720"/>
        <w:rPr>
          <w:rFonts w:ascii="Times New Roman" w:hAnsi="Times New Roman"/>
          <w:sz w:val="24"/>
          <w:szCs w:val="24"/>
        </w:rPr>
      </w:pPr>
      <w:r w:rsidRPr="00D561C5">
        <w:rPr>
          <w:rFonts w:ascii="Times New Roman" w:hAnsi="Times New Roman"/>
          <w:sz w:val="24"/>
          <w:szCs w:val="24"/>
        </w:rPr>
        <w:t xml:space="preserve">“Cicero does not argue that the public interest justified Renteria and Calhoun's publication of the photographs of his injuries on Snapchat. Thus, the question whether Ortiz states a due process medical privacy claim turns on whether the photographs disclosed his private medical information. To support his view that they did, Ortiz observes </w:t>
      </w:r>
      <w:r>
        <w:rPr>
          <w:rFonts w:ascii="Times New Roman" w:hAnsi="Times New Roman"/>
          <w:sz w:val="24"/>
          <w:szCs w:val="24"/>
        </w:rPr>
        <w:t>‘</w:t>
      </w:r>
      <w:r w:rsidRPr="00D561C5">
        <w:rPr>
          <w:rFonts w:ascii="Times New Roman" w:hAnsi="Times New Roman"/>
          <w:sz w:val="24"/>
          <w:szCs w:val="24"/>
        </w:rPr>
        <w:t>that he suffered a horrific accident that caused him great bodily harm, in which his arm was amputated from his body,</w:t>
      </w:r>
      <w:r>
        <w:rPr>
          <w:rFonts w:ascii="Times New Roman" w:hAnsi="Times New Roman"/>
          <w:sz w:val="24"/>
          <w:szCs w:val="24"/>
        </w:rPr>
        <w:t xml:space="preserve">’ </w:t>
      </w:r>
      <w:r w:rsidRPr="00D561C5">
        <w:rPr>
          <w:rFonts w:ascii="Times New Roman" w:hAnsi="Times New Roman"/>
          <w:sz w:val="24"/>
          <w:szCs w:val="24"/>
        </w:rPr>
        <w:t xml:space="preserve">and contends that Renteria and Calhoun's posting of the photographs violated </w:t>
      </w:r>
      <w:r>
        <w:rPr>
          <w:rFonts w:ascii="Times New Roman" w:hAnsi="Times New Roman"/>
          <w:sz w:val="24"/>
          <w:szCs w:val="24"/>
        </w:rPr>
        <w:t>‘</w:t>
      </w:r>
      <w:r w:rsidRPr="00D561C5">
        <w:rPr>
          <w:rFonts w:ascii="Times New Roman" w:hAnsi="Times New Roman"/>
          <w:sz w:val="24"/>
          <w:szCs w:val="24"/>
        </w:rPr>
        <w:t>his fundamental right to privacy of his medical condition, i.e.[, ] the unintentional amputation of his arm</w:t>
      </w:r>
      <w:r>
        <w:rPr>
          <w:rFonts w:ascii="Times New Roman" w:hAnsi="Times New Roman"/>
          <w:sz w:val="24"/>
          <w:szCs w:val="24"/>
        </w:rPr>
        <w:t xml:space="preserve">….’ </w:t>
      </w:r>
      <w:r w:rsidRPr="00D561C5">
        <w:rPr>
          <w:rFonts w:ascii="Times New Roman" w:hAnsi="Times New Roman"/>
          <w:sz w:val="24"/>
          <w:szCs w:val="24"/>
        </w:rPr>
        <w:t>Ortiz's submission is unpersuasive.</w:t>
      </w:r>
    </w:p>
    <w:p w14:paraId="36C25FEF" w14:textId="77777777" w:rsidR="00687C24" w:rsidRDefault="00687C24" w:rsidP="00687C24">
      <w:pPr>
        <w:pStyle w:val="paragraph"/>
        <w:ind w:left="720"/>
      </w:pPr>
      <w:r>
        <w:lastRenderedPageBreak/>
        <w:t xml:space="preserve">First, the fact that Ortiz was harmed in a ‘horrific accident’ is not private medical information because it is not </w:t>
      </w:r>
      <w:r>
        <w:rPr>
          <w:i/>
          <w:iCs/>
        </w:rPr>
        <w:t>medical</w:t>
      </w:r>
      <w:r>
        <w:t xml:space="preserve">. Rather, it concerned a traumatic event-akin to a traffic accident, or a shooting-and the consequences of that event-akin to a broken arm caused by a traffic accident, or a bullet wound caused by a shooting. </w:t>
      </w:r>
    </w:p>
    <w:p w14:paraId="59E712D6" w14:textId="77777777" w:rsidR="00687C24" w:rsidRPr="00D561C5" w:rsidRDefault="00687C24" w:rsidP="00687C24">
      <w:pPr>
        <w:spacing w:before="100" w:beforeAutospacing="1" w:after="100" w:afterAutospacing="1" w:line="240" w:lineRule="auto"/>
        <w:ind w:left="720"/>
        <w:rPr>
          <w:rFonts w:ascii="Times New Roman" w:hAnsi="Times New Roman"/>
          <w:sz w:val="24"/>
          <w:szCs w:val="24"/>
        </w:rPr>
      </w:pPr>
      <w:r w:rsidRPr="00D561C5">
        <w:rPr>
          <w:rFonts w:ascii="Times New Roman" w:hAnsi="Times New Roman"/>
          <w:sz w:val="24"/>
          <w:szCs w:val="24"/>
        </w:rPr>
        <w:t xml:space="preserve">Second, at least on the facts alleged, the fact that Ortiz lost his left arm is not private medical information because it is not </w:t>
      </w:r>
      <w:r w:rsidRPr="00D561C5">
        <w:rPr>
          <w:rFonts w:ascii="Times New Roman" w:hAnsi="Times New Roman"/>
          <w:i/>
          <w:iCs/>
          <w:sz w:val="24"/>
          <w:szCs w:val="24"/>
        </w:rPr>
        <w:t>private</w:t>
      </w:r>
      <w:r w:rsidRPr="00D561C5">
        <w:rPr>
          <w:rFonts w:ascii="Times New Roman" w:hAnsi="Times New Roman"/>
          <w:sz w:val="24"/>
          <w:szCs w:val="24"/>
        </w:rPr>
        <w:t>. As the Seventh Circuit has explained, ‘the existence and extent of constitutional protection for confidential information [turns on] the type of information involved and the reasonable expectation that that information would remain confidential,’ and ‘medical information may be a form of protected confidential information because of its intimate and personal nature</w:t>
      </w:r>
      <w:r>
        <w:rPr>
          <w:rFonts w:ascii="Times New Roman" w:hAnsi="Times New Roman"/>
          <w:sz w:val="24"/>
          <w:szCs w:val="24"/>
        </w:rPr>
        <w:t>….’</w:t>
      </w:r>
      <w:r w:rsidRPr="00D561C5">
        <w:rPr>
          <w:rFonts w:ascii="Times New Roman" w:hAnsi="Times New Roman"/>
          <w:i/>
          <w:iCs/>
          <w:sz w:val="24"/>
          <w:szCs w:val="24"/>
        </w:rPr>
        <w:t xml:space="preserve"> </w:t>
      </w:r>
      <w:r w:rsidRPr="00D561C5">
        <w:rPr>
          <w:rFonts w:ascii="Times New Roman" w:hAnsi="Times New Roman"/>
          <w:sz w:val="24"/>
          <w:szCs w:val="24"/>
        </w:rPr>
        <w:t xml:space="preserve">That Ortiz lost his left arm may be medical information, but it is not private medical information, as it is a readily observable condition. Ortiz does not allege that he considers his lost arm </w:t>
      </w:r>
      <w:r w:rsidRPr="00D561C5">
        <w:rPr>
          <w:rFonts w:ascii="Times New Roman" w:hAnsi="Times New Roman"/>
          <w:i/>
          <w:iCs/>
          <w:sz w:val="24"/>
          <w:szCs w:val="24"/>
        </w:rPr>
        <w:t>itself</w:t>
      </w:r>
      <w:r w:rsidRPr="00D561C5">
        <w:rPr>
          <w:rFonts w:ascii="Times New Roman" w:hAnsi="Times New Roman"/>
          <w:sz w:val="24"/>
          <w:szCs w:val="24"/>
        </w:rPr>
        <w:t xml:space="preserve">-as opposed to the fact that he lost his arm in a fireworks accident-to be private, nor does he allege that he </w:t>
      </w:r>
      <w:r w:rsidRPr="00D561C5">
        <w:rPr>
          <w:rFonts w:ascii="Times New Roman" w:hAnsi="Times New Roman"/>
          <w:i/>
          <w:iCs/>
          <w:sz w:val="24"/>
          <w:szCs w:val="24"/>
        </w:rPr>
        <w:t>could</w:t>
      </w:r>
      <w:r w:rsidRPr="00D561C5">
        <w:rPr>
          <w:rFonts w:ascii="Times New Roman" w:hAnsi="Times New Roman"/>
          <w:sz w:val="24"/>
          <w:szCs w:val="24"/>
        </w:rPr>
        <w:t xml:space="preserve"> keep private the fact of his lost arm or even that he has any desire to do so.” </w:t>
      </w:r>
      <w:hyperlink r:id="rId2305" w:history="1">
        <w:r w:rsidRPr="00D561C5">
          <w:rPr>
            <w:rStyle w:val="Hyperlink"/>
            <w:rFonts w:ascii="Times New Roman" w:hAnsi="Times New Roman"/>
            <w:sz w:val="24"/>
            <w:szCs w:val="24"/>
          </w:rPr>
          <w:t>https://casetext.com/case/ortiz-v-renteria</w:t>
        </w:r>
      </w:hyperlink>
      <w:r w:rsidRPr="00D561C5">
        <w:rPr>
          <w:rFonts w:ascii="Times New Roman" w:hAnsi="Times New Roman"/>
          <w:sz w:val="24"/>
          <w:szCs w:val="24"/>
        </w:rPr>
        <w:t xml:space="preserve"> </w:t>
      </w:r>
    </w:p>
    <w:p w14:paraId="527482E2" w14:textId="77777777" w:rsidR="00687C24" w:rsidRDefault="00687C24" w:rsidP="00687C24">
      <w:pPr>
        <w:spacing w:before="100" w:beforeAutospacing="1" w:after="100" w:afterAutospacing="1" w:line="240" w:lineRule="auto"/>
        <w:rPr>
          <w:rFonts w:ascii="Times New Roman" w:eastAsia="Times New Roman" w:hAnsi="Times New Roman"/>
          <w:b/>
          <w:bCs/>
          <w:sz w:val="24"/>
          <w:szCs w:val="24"/>
        </w:rPr>
      </w:pPr>
      <w:r w:rsidRPr="00AE29EB">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EMS departments should have a policy prohibiting photographs of patients except for </w:t>
      </w:r>
      <w:proofErr w:type="gramStart"/>
      <w:r>
        <w:rPr>
          <w:rFonts w:ascii="Times New Roman" w:eastAsia="Times New Roman" w:hAnsi="Times New Roman"/>
          <w:b/>
          <w:bCs/>
          <w:sz w:val="24"/>
          <w:szCs w:val="24"/>
        </w:rPr>
        <w:t>those</w:t>
      </w:r>
      <w:proofErr w:type="gramEnd"/>
      <w:r>
        <w:rPr>
          <w:rFonts w:ascii="Times New Roman" w:eastAsia="Times New Roman" w:hAnsi="Times New Roman"/>
          <w:b/>
          <w:bCs/>
          <w:sz w:val="24"/>
          <w:szCs w:val="24"/>
        </w:rPr>
        <w:t xml:space="preserve"> needed to show </w:t>
      </w:r>
      <w:proofErr w:type="gramStart"/>
      <w:r>
        <w:rPr>
          <w:rFonts w:ascii="Times New Roman" w:eastAsia="Times New Roman" w:hAnsi="Times New Roman"/>
          <w:b/>
          <w:bCs/>
          <w:sz w:val="24"/>
          <w:szCs w:val="24"/>
        </w:rPr>
        <w:t>mechanism of injury</w:t>
      </w:r>
      <w:proofErr w:type="gramEnd"/>
      <w:r>
        <w:rPr>
          <w:rFonts w:ascii="Times New Roman" w:eastAsia="Times New Roman" w:hAnsi="Times New Roman"/>
          <w:b/>
          <w:bCs/>
          <w:sz w:val="24"/>
          <w:szCs w:val="24"/>
        </w:rPr>
        <w:t xml:space="preserve"> or other medical </w:t>
      </w:r>
      <w:proofErr w:type="gramStart"/>
      <w:r>
        <w:rPr>
          <w:rFonts w:ascii="Times New Roman" w:eastAsia="Times New Roman" w:hAnsi="Times New Roman"/>
          <w:b/>
          <w:bCs/>
          <w:sz w:val="24"/>
          <w:szCs w:val="24"/>
        </w:rPr>
        <w:t>reason</w:t>
      </w:r>
      <w:proofErr w:type="gramEnd"/>
      <w:r>
        <w:rPr>
          <w:rFonts w:ascii="Times New Roman" w:eastAsia="Times New Roman" w:hAnsi="Times New Roman"/>
          <w:b/>
          <w:bCs/>
          <w:sz w:val="24"/>
          <w:szCs w:val="24"/>
        </w:rPr>
        <w:t>, with copy only provided to hospital and the department.</w:t>
      </w:r>
    </w:p>
    <w:p w14:paraId="5ACDE68D" w14:textId="77777777" w:rsidR="00687C24" w:rsidRPr="00FD4A5B" w:rsidRDefault="00687C24" w:rsidP="00687C24">
      <w:pPr>
        <w:spacing w:before="100" w:beforeAutospacing="1" w:after="100" w:afterAutospacing="1" w:line="240" w:lineRule="auto"/>
        <w:ind w:left="720"/>
        <w:rPr>
          <w:rFonts w:ascii="Times New Roman" w:eastAsia="Times New Roman" w:hAnsi="Times New Roman"/>
          <w:b/>
          <w:bCs/>
          <w:sz w:val="24"/>
          <w:szCs w:val="24"/>
        </w:rPr>
      </w:pPr>
      <w:r w:rsidRPr="00FD4A5B">
        <w:rPr>
          <w:rFonts w:ascii="Times New Roman" w:hAnsi="Times New Roman"/>
          <w:sz w:val="24"/>
          <w:szCs w:val="24"/>
        </w:rPr>
        <w:t xml:space="preserve">Note: Nov. 2, 2021: “Los Angeles County approves $2.5 million settlement for two families over Kobe Bryant crash photos.” </w:t>
      </w:r>
      <w:hyperlink r:id="rId2306" w:history="1">
        <w:r w:rsidRPr="00FD4A5B">
          <w:rPr>
            <w:rStyle w:val="Hyperlink"/>
            <w:rFonts w:ascii="Times New Roman" w:hAnsi="Times New Roman"/>
            <w:sz w:val="24"/>
            <w:szCs w:val="24"/>
          </w:rPr>
          <w:t>https://www.cbsnews.com/news/los-angeles-settlement-families-photos-kobe-bryant-helicopter-crash/</w:t>
        </w:r>
      </w:hyperlink>
    </w:p>
    <w:p w14:paraId="3B61A98D" w14:textId="77777777" w:rsidR="00687C24" w:rsidRDefault="00687C24" w:rsidP="002B1283">
      <w:pPr>
        <w:rPr>
          <w:rFonts w:ascii="Arial Black" w:hAnsi="Arial Black"/>
          <w:b/>
          <w:bCs/>
          <w:sz w:val="28"/>
          <w:szCs w:val="28"/>
        </w:rPr>
      </w:pPr>
    </w:p>
    <w:p w14:paraId="45B0DB2A" w14:textId="77777777" w:rsidR="00687C24" w:rsidRDefault="00687C24" w:rsidP="002B1283">
      <w:pPr>
        <w:rPr>
          <w:rFonts w:ascii="Arial Black" w:hAnsi="Arial Black"/>
          <w:b/>
          <w:bCs/>
          <w:sz w:val="28"/>
          <w:szCs w:val="28"/>
        </w:rPr>
      </w:pPr>
    </w:p>
    <w:p w14:paraId="119EF7FA" w14:textId="77777777" w:rsidR="00687C24" w:rsidRDefault="00687C24" w:rsidP="002B1283">
      <w:pPr>
        <w:rPr>
          <w:rFonts w:ascii="Arial Black" w:hAnsi="Arial Black"/>
          <w:b/>
          <w:bCs/>
          <w:sz w:val="28"/>
          <w:szCs w:val="28"/>
        </w:rPr>
      </w:pPr>
    </w:p>
    <w:p w14:paraId="272A8D44" w14:textId="121B0A66" w:rsidR="00885321" w:rsidRDefault="00885321" w:rsidP="002B1283">
      <w:pPr>
        <w:rPr>
          <w:rFonts w:ascii="Arial Black" w:hAnsi="Arial Black"/>
          <w:b/>
          <w:bCs/>
          <w:sz w:val="28"/>
          <w:szCs w:val="28"/>
        </w:rPr>
      </w:pPr>
      <w:r>
        <w:rPr>
          <w:rFonts w:ascii="Arial Black" w:hAnsi="Arial Black"/>
          <w:b/>
          <w:bCs/>
          <w:sz w:val="28"/>
          <w:szCs w:val="28"/>
        </w:rPr>
        <w:t>13-9</w:t>
      </w:r>
      <w:r w:rsidR="00687C24">
        <w:rPr>
          <w:rFonts w:ascii="Arial Black" w:hAnsi="Arial Black"/>
          <w:b/>
          <w:bCs/>
          <w:sz w:val="28"/>
          <w:szCs w:val="28"/>
        </w:rPr>
        <w:t>6</w:t>
      </w:r>
    </w:p>
    <w:p w14:paraId="0D8AB1B4" w14:textId="77777777" w:rsidR="00885321" w:rsidRPr="00C04A42" w:rsidRDefault="00885321" w:rsidP="00885321">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CA: PATIENTS CARDIAC / STROKE ISSUES – CANNOT FORCE EMS TAKE TO HOSP. WERE THEIR MDs HAVE PRIVILEGES</w:t>
      </w:r>
    </w:p>
    <w:p w14:paraId="1CD0039C" w14:textId="77777777" w:rsidR="00885321" w:rsidRPr="000D1A3B" w:rsidRDefault="00885321" w:rsidP="00885321">
      <w:pPr>
        <w:spacing w:before="100" w:beforeAutospacing="1" w:after="100" w:afterAutospacing="1" w:line="240" w:lineRule="auto"/>
        <w:rPr>
          <w:rFonts w:ascii="Times New Roman" w:eastAsia="Times New Roman" w:hAnsi="Times New Roman"/>
          <w:sz w:val="24"/>
          <w:szCs w:val="24"/>
        </w:rPr>
      </w:pPr>
      <w:r w:rsidRPr="00C04A42">
        <w:rPr>
          <w:rFonts w:ascii="Times New Roman" w:eastAsia="Times New Roman" w:hAnsi="Times New Roman"/>
          <w:sz w:val="24"/>
          <w:szCs w:val="24"/>
        </w:rPr>
        <w:t xml:space="preserve">On </w:t>
      </w:r>
      <w:r>
        <w:rPr>
          <w:rFonts w:ascii="Times New Roman" w:eastAsia="Times New Roman" w:hAnsi="Times New Roman"/>
          <w:sz w:val="24"/>
          <w:szCs w:val="24"/>
        </w:rPr>
        <w:t xml:space="preserve">Nov. 1, 2021, in </w:t>
      </w:r>
      <w:r w:rsidRPr="000D1A3B">
        <w:rPr>
          <w:rFonts w:ascii="Times New Roman" w:eastAsia="Times New Roman" w:hAnsi="Times New Roman"/>
          <w:sz w:val="24"/>
          <w:szCs w:val="24"/>
          <w:u w:val="single"/>
        </w:rPr>
        <w:t>Davin Warren, et al., v. County of Sacramento</w:t>
      </w:r>
      <w:r>
        <w:rPr>
          <w:rFonts w:ascii="Times New Roman" w:eastAsia="Times New Roman" w:hAnsi="Times New Roman"/>
          <w:sz w:val="24"/>
          <w:szCs w:val="24"/>
        </w:rPr>
        <w:t xml:space="preserve">, the California Court of Appeals, Third District (Sacramento) held (3 to 0; unpublished decision) that the trial court properly granted summary judgment to the County. While sympathetic that they have suffered numerous cardiac </w:t>
      </w:r>
      <w:proofErr w:type="gramStart"/>
      <w:r>
        <w:rPr>
          <w:rFonts w:ascii="Times New Roman" w:eastAsia="Times New Roman" w:hAnsi="Times New Roman"/>
          <w:sz w:val="24"/>
          <w:szCs w:val="24"/>
        </w:rPr>
        <w:t>incident</w:t>
      </w:r>
      <w:proofErr w:type="gramEnd"/>
      <w:r>
        <w:rPr>
          <w:rFonts w:ascii="Times New Roman" w:eastAsia="Times New Roman" w:hAnsi="Times New Roman"/>
          <w:sz w:val="24"/>
          <w:szCs w:val="24"/>
        </w:rPr>
        <w:t xml:space="preserve"> and are at significant risk of stroke, they had no right under California law to force the ambulance to take them only to </w:t>
      </w:r>
      <w:r w:rsidRPr="000D1A3B">
        <w:rPr>
          <w:rFonts w:ascii="Times New Roman" w:hAnsi="Times New Roman"/>
          <w:sz w:val="24"/>
          <w:szCs w:val="24"/>
        </w:rPr>
        <w:t>University of California Davis Medical Center</w:t>
      </w:r>
      <w:r>
        <w:rPr>
          <w:rFonts w:ascii="Times New Roman" w:hAnsi="Times New Roman"/>
          <w:sz w:val="24"/>
          <w:szCs w:val="24"/>
        </w:rPr>
        <w:t xml:space="preserve"> where their treating physicians had medical privileges.  The Medical Director of the County EMS determined that </w:t>
      </w:r>
      <w:r w:rsidRPr="00D7646F">
        <w:rPr>
          <w:rFonts w:ascii="Times New Roman" w:hAnsi="Times New Roman"/>
          <w:sz w:val="24"/>
          <w:szCs w:val="24"/>
        </w:rPr>
        <w:t xml:space="preserve">Mercy San Juan </w:t>
      </w:r>
      <w:r>
        <w:rPr>
          <w:rFonts w:ascii="Times New Roman" w:hAnsi="Times New Roman"/>
          <w:sz w:val="24"/>
          <w:szCs w:val="24"/>
        </w:rPr>
        <w:t xml:space="preserve">Hospital </w:t>
      </w:r>
      <w:r w:rsidRPr="00D7646F">
        <w:rPr>
          <w:rFonts w:ascii="Times New Roman" w:hAnsi="Times New Roman"/>
          <w:sz w:val="24"/>
          <w:szCs w:val="24"/>
        </w:rPr>
        <w:t>had a higher certification for stroke care than UC Davis</w:t>
      </w:r>
      <w:r>
        <w:rPr>
          <w:rFonts w:ascii="Times New Roman" w:hAnsi="Times New Roman"/>
          <w:sz w:val="24"/>
          <w:szCs w:val="24"/>
        </w:rPr>
        <w:t xml:space="preserve">, and they have been properly transported to Mercy San Juan last three emergency transports. They always have right to arrange their own transport to UC Davis. </w:t>
      </w:r>
    </w:p>
    <w:p w14:paraId="73273A81" w14:textId="77777777" w:rsidR="00885321" w:rsidRDefault="00885321" w:rsidP="00885321">
      <w:pPr>
        <w:pStyle w:val="NormalWeb"/>
        <w:ind w:left="720" w:firstLine="60"/>
      </w:pPr>
      <w:r>
        <w:t>“Does the right to privacy include the individual's right to determine which hospital emergency room an ambulance will take the person to during a medical emergency? The trial court in this case found no such right of privacy exists and entered a judgment against plaintiffs and appellants David Warren and Kathryn C. Warren.</w:t>
      </w:r>
    </w:p>
    <w:p w14:paraId="42FC67F7" w14:textId="77777777" w:rsidR="00885321" w:rsidRDefault="00885321" w:rsidP="00885321">
      <w:pPr>
        <w:pStyle w:val="NormalWeb"/>
        <w:ind w:left="720" w:firstLine="60"/>
        <w:rPr>
          <w:b/>
          <w:bCs/>
        </w:rPr>
      </w:pPr>
      <w:r>
        <w:lastRenderedPageBreak/>
        <w:t>***</w:t>
      </w:r>
    </w:p>
    <w:p w14:paraId="682D475E" w14:textId="77777777" w:rsidR="00885321" w:rsidRDefault="00885321" w:rsidP="00885321">
      <w:pPr>
        <w:pStyle w:val="NormalWeb"/>
        <w:ind w:left="720"/>
      </w:pPr>
      <w:r>
        <w:t xml:space="preserve">[W]e </w:t>
      </w:r>
      <w:proofErr w:type="gramStart"/>
      <w:r>
        <w:t>conclude</w:t>
      </w:r>
      <w:proofErr w:type="gramEnd"/>
      <w:r>
        <w:t xml:space="preserve"> that the right to privacy does not encompass </w:t>
      </w:r>
      <w:proofErr w:type="gramStart"/>
      <w:r>
        <w:t>a right</w:t>
      </w:r>
      <w:proofErr w:type="gramEnd"/>
      <w:r>
        <w:t xml:space="preserve"> to direct an ambulance to the emergency room of one's choice during a medical emergency. We shall affirm the judgment.” </w:t>
      </w:r>
      <w:hyperlink r:id="rId2307" w:history="1">
        <w:r w:rsidRPr="00F67801">
          <w:rPr>
            <w:rStyle w:val="Hyperlink"/>
          </w:rPr>
          <w:t>https://casetext.com/case/warren-v-cnty-of-sacramento</w:t>
        </w:r>
      </w:hyperlink>
      <w:r>
        <w:t xml:space="preserve"> </w:t>
      </w:r>
    </w:p>
    <w:p w14:paraId="5ECEFEFD" w14:textId="77777777" w:rsidR="00687C24" w:rsidRPr="00F8175A" w:rsidRDefault="00687C24" w:rsidP="00687C24">
      <w:pPr>
        <w:pStyle w:val="NormalWeb"/>
        <w:rPr>
          <w:b/>
          <w:bCs/>
        </w:rPr>
      </w:pPr>
      <w:r w:rsidRPr="00F8175A">
        <w:rPr>
          <w:b/>
          <w:bCs/>
        </w:rPr>
        <w:t>Legal Lesson Learned:</w:t>
      </w:r>
      <w:r>
        <w:rPr>
          <w:b/>
          <w:bCs/>
        </w:rPr>
        <w:t xml:space="preserve"> In a medical emergency, EMS have right to take a patient to the most appropriate hospital. </w:t>
      </w:r>
    </w:p>
    <w:p w14:paraId="164C70A9" w14:textId="77777777" w:rsidR="00885321" w:rsidRDefault="00885321" w:rsidP="002B1283">
      <w:pPr>
        <w:rPr>
          <w:rFonts w:ascii="Arial Black" w:hAnsi="Arial Black"/>
          <w:b/>
          <w:bCs/>
          <w:sz w:val="28"/>
          <w:szCs w:val="28"/>
        </w:rPr>
      </w:pPr>
    </w:p>
    <w:p w14:paraId="36B85422" w14:textId="77777777" w:rsidR="00885321" w:rsidRDefault="00885321" w:rsidP="002B1283">
      <w:pPr>
        <w:rPr>
          <w:rFonts w:ascii="Arial Black" w:hAnsi="Arial Black"/>
          <w:b/>
          <w:bCs/>
          <w:sz w:val="28"/>
          <w:szCs w:val="28"/>
        </w:rPr>
      </w:pPr>
    </w:p>
    <w:p w14:paraId="58362567" w14:textId="744FC24F" w:rsidR="00774A91" w:rsidRDefault="00774A91" w:rsidP="002B1283">
      <w:pPr>
        <w:rPr>
          <w:rFonts w:ascii="Arial Black" w:hAnsi="Arial Black"/>
          <w:b/>
          <w:bCs/>
          <w:sz w:val="28"/>
          <w:szCs w:val="28"/>
        </w:rPr>
      </w:pPr>
      <w:r>
        <w:rPr>
          <w:rFonts w:ascii="Arial Black" w:hAnsi="Arial Black"/>
          <w:b/>
          <w:bCs/>
          <w:sz w:val="28"/>
          <w:szCs w:val="28"/>
        </w:rPr>
        <w:t>13-9</w:t>
      </w:r>
      <w:r w:rsidR="00687C24">
        <w:rPr>
          <w:rFonts w:ascii="Arial Black" w:hAnsi="Arial Black"/>
          <w:b/>
          <w:bCs/>
          <w:sz w:val="28"/>
          <w:szCs w:val="28"/>
        </w:rPr>
        <w:t>5</w:t>
      </w:r>
    </w:p>
    <w:p w14:paraId="68F7BA5D" w14:textId="77777777" w:rsidR="00774A91" w:rsidRDefault="00774A91" w:rsidP="00774A91">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AL: EMT WITNESS FOR FED. GOVT – WAS CALLED TO COUNTY JAIL - POLICE LIEUTENANT CONVICTED </w:t>
      </w:r>
    </w:p>
    <w:p w14:paraId="02B5794D" w14:textId="77777777" w:rsidR="00774A91" w:rsidRPr="00E01A44" w:rsidRDefault="00774A91" w:rsidP="00774A91">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Oct. 25, 2021, in </w:t>
      </w:r>
      <w:r w:rsidRPr="00092366">
        <w:rPr>
          <w:rFonts w:ascii="Times New Roman" w:eastAsia="Times New Roman" w:hAnsi="Times New Roman"/>
          <w:sz w:val="24"/>
          <w:szCs w:val="24"/>
          <w:u w:val="single"/>
        </w:rPr>
        <w:t>United States of America v. Alex Huntley</w:t>
      </w:r>
      <w:r>
        <w:rPr>
          <w:rFonts w:ascii="Times New Roman" w:eastAsia="Times New Roman" w:hAnsi="Times New Roman"/>
          <w:sz w:val="24"/>
          <w:szCs w:val="24"/>
        </w:rPr>
        <w:t>, the U.S. Court of Appeals for the 11</w:t>
      </w:r>
      <w:r w:rsidRPr="00092366">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(Atlanta, GA) held (3 to 0; unpublished opinion) that federal jury properly convicted former lieutenant of the Tuskegee, Alabama police department of </w:t>
      </w:r>
      <w:r w:rsidRPr="00092366">
        <w:rPr>
          <w:rFonts w:ascii="Times New Roman" w:hAnsi="Times New Roman"/>
          <w:sz w:val="24"/>
          <w:szCs w:val="24"/>
        </w:rPr>
        <w:t>deprivation of rights under color of law resulting in bodily injury, in violation of 18 U.S.C. § 242.</w:t>
      </w:r>
      <w:r>
        <w:rPr>
          <w:rFonts w:ascii="Times New Roman" w:hAnsi="Times New Roman"/>
          <w:sz w:val="24"/>
          <w:szCs w:val="24"/>
        </w:rPr>
        <w:t xml:space="preserve"> </w:t>
      </w:r>
      <w:r w:rsidRPr="00E01A44">
        <w:rPr>
          <w:rStyle w:val="markedcontent"/>
          <w:rFonts w:ascii="Times New Roman" w:hAnsi="Times New Roman"/>
          <w:sz w:val="24"/>
          <w:szCs w:val="24"/>
        </w:rPr>
        <w:t>Huntley was sentenced to 36 months’ imprisonment and three years’ supervised release.</w:t>
      </w:r>
      <w:r w:rsidRPr="00E01A44">
        <w:rPr>
          <w:rFonts w:ascii="Times New Roman" w:eastAsia="Times New Roman" w:hAnsi="Times New Roman"/>
          <w:sz w:val="24"/>
          <w:szCs w:val="24"/>
        </w:rPr>
        <w:tab/>
      </w:r>
      <w:r w:rsidRPr="00E01A44">
        <w:rPr>
          <w:rFonts w:ascii="Times New Roman" w:eastAsia="Times New Roman" w:hAnsi="Times New Roman"/>
          <w:sz w:val="24"/>
          <w:szCs w:val="24"/>
        </w:rPr>
        <w:tab/>
      </w:r>
      <w:r w:rsidRPr="00E01A44">
        <w:rPr>
          <w:rFonts w:ascii="Times New Roman" w:eastAsia="Times New Roman" w:hAnsi="Times New Roman"/>
          <w:sz w:val="24"/>
          <w:szCs w:val="24"/>
        </w:rPr>
        <w:tab/>
      </w:r>
      <w:r w:rsidRPr="00E01A44">
        <w:rPr>
          <w:rFonts w:ascii="Times New Roman" w:eastAsia="Times New Roman" w:hAnsi="Times New Roman"/>
          <w:sz w:val="24"/>
          <w:szCs w:val="24"/>
        </w:rPr>
        <w:tab/>
      </w:r>
    </w:p>
    <w:p w14:paraId="06FB2796" w14:textId="77777777" w:rsidR="00774A91" w:rsidRDefault="00774A91" w:rsidP="00774A9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092366">
        <w:rPr>
          <w:rFonts w:ascii="Times New Roman" w:eastAsia="Times New Roman" w:hAnsi="Times New Roman"/>
          <w:sz w:val="24"/>
          <w:szCs w:val="24"/>
        </w:rPr>
        <w:t>At trial, the government presented evidence of the facts recounted above, including, among other things, (1) testimony from Turk, EMT Peterson, Officer Echols, Officer Craig, and four Tuskegee Police Department trainees who were at the police station on December 24, 2014; (2) the pants Turk wore that day, which had blood stains on them; and (3) pictures of Turk taken by his mother soon after the incident, in which he had chipped teeth, cuts, scratches, swollen wrists, and bruises.</w:t>
      </w:r>
      <w:r>
        <w:rPr>
          <w:rFonts w:ascii="Times New Roman" w:eastAsia="Times New Roman" w:hAnsi="Times New Roman"/>
          <w:sz w:val="24"/>
          <w:szCs w:val="24"/>
        </w:rPr>
        <w:t>”</w:t>
      </w:r>
    </w:p>
    <w:p w14:paraId="6C2A6A34" w14:textId="77777777" w:rsidR="00774A91" w:rsidRDefault="00774A91" w:rsidP="00774A9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4FD2E714" w14:textId="32392D04" w:rsidR="00774A91" w:rsidRDefault="00774A91" w:rsidP="00774A91">
      <w:pPr>
        <w:rPr>
          <w:rFonts w:ascii="Arial Black" w:hAnsi="Arial Black"/>
          <w:b/>
          <w:bCs/>
          <w:sz w:val="28"/>
          <w:szCs w:val="28"/>
        </w:rPr>
      </w:pPr>
      <w:r w:rsidRPr="00E01A44">
        <w:rPr>
          <w:rFonts w:ascii="Times New Roman" w:hAnsi="Times New Roman"/>
          <w:sz w:val="24"/>
          <w:szCs w:val="24"/>
        </w:rPr>
        <w:t xml:space="preserve">Moreover, the trial testimony sufficiently showed that Huntley's actions leading into the police station and inside the building resulted in at least some bodily injury to Turk. Trial witnesses testified that Turk had blood in his mouth and on his face after the briefing room incident, indicating </w:t>
      </w:r>
      <w:proofErr w:type="gramStart"/>
      <w:r w:rsidRPr="00E01A44">
        <w:rPr>
          <w:rFonts w:ascii="Times New Roman" w:hAnsi="Times New Roman"/>
          <w:sz w:val="24"/>
          <w:szCs w:val="24"/>
        </w:rPr>
        <w:t>some kind of cut</w:t>
      </w:r>
      <w:proofErr w:type="gramEnd"/>
      <w:r w:rsidRPr="00E01A44">
        <w:rPr>
          <w:rFonts w:ascii="Times New Roman" w:hAnsi="Times New Roman"/>
          <w:sz w:val="24"/>
          <w:szCs w:val="24"/>
        </w:rPr>
        <w:t xml:space="preserve"> or abrasion occurred in the briefing room. The government </w:t>
      </w:r>
      <w:proofErr w:type="gramStart"/>
      <w:r w:rsidRPr="00E01A44">
        <w:rPr>
          <w:rFonts w:ascii="Times New Roman" w:hAnsi="Times New Roman"/>
          <w:sz w:val="24"/>
          <w:szCs w:val="24"/>
        </w:rPr>
        <w:t>entered into</w:t>
      </w:r>
      <w:proofErr w:type="gramEnd"/>
      <w:r w:rsidRPr="00E01A44">
        <w:rPr>
          <w:rFonts w:ascii="Times New Roman" w:hAnsi="Times New Roman"/>
          <w:sz w:val="24"/>
          <w:szCs w:val="24"/>
        </w:rPr>
        <w:t xml:space="preserve"> </w:t>
      </w:r>
      <w:proofErr w:type="gramStart"/>
      <w:r w:rsidRPr="00E01A44">
        <w:rPr>
          <w:rFonts w:ascii="Times New Roman" w:hAnsi="Times New Roman"/>
          <w:sz w:val="24"/>
          <w:szCs w:val="24"/>
        </w:rPr>
        <w:t>evidence</w:t>
      </w:r>
      <w:proofErr w:type="gramEnd"/>
      <w:r w:rsidRPr="00E01A44">
        <w:rPr>
          <w:rFonts w:ascii="Times New Roman" w:hAnsi="Times New Roman"/>
          <w:sz w:val="24"/>
          <w:szCs w:val="24"/>
        </w:rPr>
        <w:t xml:space="preserve"> a pair of bloodstained pants that Turk testified were stained </w:t>
      </w:r>
      <w:proofErr w:type="gramStart"/>
      <w:r w:rsidRPr="00E01A44">
        <w:rPr>
          <w:rFonts w:ascii="Times New Roman" w:hAnsi="Times New Roman"/>
          <w:sz w:val="24"/>
          <w:szCs w:val="24"/>
        </w:rPr>
        <w:t>as a result of</w:t>
      </w:r>
      <w:proofErr w:type="gramEnd"/>
      <w:r w:rsidRPr="00E01A44">
        <w:rPr>
          <w:rFonts w:ascii="Times New Roman" w:hAnsi="Times New Roman"/>
          <w:sz w:val="24"/>
          <w:szCs w:val="24"/>
        </w:rPr>
        <w:t xml:space="preserve"> his injuries from Huntley and pictures taken of Turk soon after the incident showing him with chipped teeth, cuts, and bruises. Peterson testified that Turk had a bloody lip, abrasions, and red eyes, and that Turk reported feeling pain all over his body. In addition, Turk himself testified that he was in pain because of the mace sprayed in his eyes and</w:t>
      </w:r>
      <w:r>
        <w:rPr>
          <w:rFonts w:ascii="Times New Roman" w:hAnsi="Times New Roman"/>
          <w:sz w:val="24"/>
          <w:szCs w:val="24"/>
        </w:rPr>
        <w:t xml:space="preserve"> </w:t>
      </w:r>
      <w:r w:rsidRPr="00E01A44">
        <w:rPr>
          <w:rFonts w:ascii="Times New Roman" w:hAnsi="Times New Roman"/>
          <w:sz w:val="24"/>
          <w:szCs w:val="24"/>
        </w:rPr>
        <w:t>the physical assaults that occurred inside the holding cell room and the briefing room.</w:t>
      </w:r>
      <w:r>
        <w:rPr>
          <w:rFonts w:ascii="Times New Roman" w:hAnsi="Times New Roman"/>
          <w:sz w:val="24"/>
          <w:szCs w:val="24"/>
        </w:rPr>
        <w:t xml:space="preserve">” </w:t>
      </w:r>
      <w:hyperlink r:id="rId2308" w:history="1">
        <w:r w:rsidRPr="00386EA0">
          <w:rPr>
            <w:rStyle w:val="Hyperlink"/>
            <w:sz w:val="24"/>
            <w:szCs w:val="24"/>
          </w:rPr>
          <w:t>https://media.ca11.uscourts.gov/opinions/unpub/files/201814119.pdf</w:t>
        </w:r>
      </w:hyperlink>
    </w:p>
    <w:p w14:paraId="1F75D683" w14:textId="77777777" w:rsidR="00774A91" w:rsidRDefault="00774A91" w:rsidP="00774A91">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EMS personnel may become witnesses to a police assault; fully document the patient’s injuries and our advice that prisoner be taken to hospital. </w:t>
      </w:r>
    </w:p>
    <w:p w14:paraId="5FB56446" w14:textId="77777777" w:rsidR="00774A91" w:rsidRDefault="00774A91" w:rsidP="002B1283">
      <w:pPr>
        <w:rPr>
          <w:rFonts w:ascii="Arial Black" w:hAnsi="Arial Black"/>
          <w:b/>
          <w:bCs/>
          <w:sz w:val="28"/>
          <w:szCs w:val="28"/>
        </w:rPr>
      </w:pPr>
    </w:p>
    <w:p w14:paraId="7FD612D3" w14:textId="366E40A6" w:rsidR="00774A91" w:rsidRDefault="00774A91" w:rsidP="002B1283">
      <w:pPr>
        <w:rPr>
          <w:rFonts w:ascii="Arial Black" w:hAnsi="Arial Black"/>
          <w:b/>
          <w:bCs/>
          <w:sz w:val="28"/>
          <w:szCs w:val="28"/>
        </w:rPr>
      </w:pPr>
      <w:r>
        <w:rPr>
          <w:rFonts w:ascii="Arial Black" w:hAnsi="Arial Black"/>
          <w:b/>
          <w:bCs/>
          <w:sz w:val="28"/>
          <w:szCs w:val="28"/>
        </w:rPr>
        <w:lastRenderedPageBreak/>
        <w:t>13-9</w:t>
      </w:r>
      <w:r w:rsidR="00687C24">
        <w:rPr>
          <w:rFonts w:ascii="Arial Black" w:hAnsi="Arial Black"/>
          <w:b/>
          <w:bCs/>
          <w:sz w:val="28"/>
          <w:szCs w:val="28"/>
        </w:rPr>
        <w:t>4</w:t>
      </w:r>
    </w:p>
    <w:p w14:paraId="1F3F1DAF" w14:textId="77777777" w:rsidR="00774A91" w:rsidRPr="00D3301A" w:rsidRDefault="00774A91" w:rsidP="00774A91">
      <w:pPr>
        <w:pStyle w:val="Heading1"/>
        <w:rPr>
          <w:rStyle w:val="Strong"/>
          <w:rFonts w:ascii="Arial Black" w:eastAsiaTheme="majorEastAsia" w:hAnsi="Arial Black"/>
          <w:sz w:val="28"/>
          <w:szCs w:val="28"/>
        </w:rPr>
      </w:pPr>
      <w:r>
        <w:rPr>
          <w:rStyle w:val="Strong"/>
          <w:rFonts w:ascii="Arial Black" w:eastAsiaTheme="majorEastAsia" w:hAnsi="Arial Black"/>
          <w:sz w:val="28"/>
          <w:szCs w:val="28"/>
        </w:rPr>
        <w:t>OH: AMBULANCE CO. SUED BY BILLING MGR., BILLER &amp; EMT - “UP CODE” BILLING – U.S. GOV’T HAS INTERVENED</w:t>
      </w:r>
    </w:p>
    <w:p w14:paraId="5362846F" w14:textId="77777777" w:rsidR="00774A91" w:rsidRDefault="00774A91" w:rsidP="00774A91">
      <w:pPr>
        <w:spacing w:before="100" w:beforeAutospacing="1" w:after="100" w:afterAutospacing="1" w:line="240" w:lineRule="auto"/>
        <w:rPr>
          <w:rFonts w:ascii="Times New Roman" w:eastAsia="Times New Roman" w:hAnsi="Times New Roman"/>
          <w:sz w:val="24"/>
          <w:szCs w:val="24"/>
        </w:rPr>
      </w:pPr>
      <w:r w:rsidRPr="005271C0">
        <w:rPr>
          <w:rFonts w:ascii="Times New Roman" w:eastAsia="Times New Roman" w:hAnsi="Times New Roman"/>
          <w:sz w:val="24"/>
          <w:szCs w:val="24"/>
        </w:rPr>
        <w:t xml:space="preserve">On </w:t>
      </w:r>
      <w:r>
        <w:rPr>
          <w:rFonts w:ascii="Times New Roman" w:eastAsia="Times New Roman" w:hAnsi="Times New Roman"/>
          <w:sz w:val="24"/>
          <w:szCs w:val="24"/>
        </w:rPr>
        <w:t xml:space="preserve">Oct. 18, 2021, in </w:t>
      </w:r>
      <w:r w:rsidRPr="005271C0">
        <w:rPr>
          <w:rFonts w:ascii="Times New Roman" w:eastAsia="Times New Roman" w:hAnsi="Times New Roman"/>
          <w:sz w:val="24"/>
          <w:szCs w:val="24"/>
          <w:u w:val="single"/>
        </w:rPr>
        <w:t>United States of America ex rel. Brandee White v. Mobile Care EMS &amp; Transport, Inc. et al.</w:t>
      </w:r>
      <w:r>
        <w:rPr>
          <w:rFonts w:ascii="Times New Roman" w:eastAsia="Times New Roman" w:hAnsi="Times New Roman"/>
          <w:sz w:val="24"/>
          <w:szCs w:val="24"/>
        </w:rPr>
        <w:t xml:space="preserve">, U.S. District Court Judge Douglas R. Cole, U.S. District Court, Southern District of Ohio (Western Division) denied Mobile Care’s motion to dismiss the lawsuit. </w:t>
      </w:r>
    </w:p>
    <w:p w14:paraId="057F8991" w14:textId="77777777" w:rsidR="00774A91" w:rsidRDefault="00774A91" w:rsidP="00774A91">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r w:rsidRPr="005271C0">
        <w:rPr>
          <w:rFonts w:ascii="Times New Roman" w:hAnsi="Times New Roman"/>
          <w:sz w:val="24"/>
          <w:szCs w:val="24"/>
        </w:rPr>
        <w:t>Relator White was a Mobile Care employee</w:t>
      </w:r>
      <w:r>
        <w:rPr>
          <w:rFonts w:ascii="Times New Roman" w:hAnsi="Times New Roman"/>
          <w:sz w:val="24"/>
          <w:szCs w:val="24"/>
        </w:rPr>
        <w:t xml:space="preserve">…. </w:t>
      </w:r>
      <w:r w:rsidRPr="005271C0">
        <w:rPr>
          <w:rFonts w:ascii="Times New Roman" w:hAnsi="Times New Roman"/>
          <w:sz w:val="24"/>
          <w:szCs w:val="24"/>
        </w:rPr>
        <w:t>The company hired her to oversee Mobile Care's billing practices</w:t>
      </w:r>
      <w:r>
        <w:rPr>
          <w:rFonts w:ascii="Times New Roman" w:hAnsi="Times New Roman"/>
          <w:sz w:val="24"/>
          <w:szCs w:val="24"/>
        </w:rPr>
        <w:t xml:space="preserve">…. </w:t>
      </w:r>
      <w:r w:rsidRPr="005271C0">
        <w:rPr>
          <w:rFonts w:ascii="Times New Roman" w:hAnsi="Times New Roman"/>
          <w:sz w:val="24"/>
          <w:szCs w:val="24"/>
        </w:rPr>
        <w:t xml:space="preserve">She claims that, beginning in December of 2009 and continuing at least through the date of the second amended complaint, Mobile Care had </w:t>
      </w:r>
      <w:r>
        <w:rPr>
          <w:rFonts w:ascii="Times New Roman" w:hAnsi="Times New Roman"/>
          <w:sz w:val="24"/>
          <w:szCs w:val="24"/>
        </w:rPr>
        <w:t>‘</w:t>
      </w:r>
      <w:r w:rsidRPr="005271C0">
        <w:rPr>
          <w:rFonts w:ascii="Times New Roman" w:hAnsi="Times New Roman"/>
          <w:sz w:val="24"/>
          <w:szCs w:val="24"/>
        </w:rPr>
        <w:t>knowingly … caused the submission of false or fraudulent claims to Government healthcare programs, and made or caused to be made false records and statements to get claims for ambulance services to Government healthcare programs paid</w:t>
      </w:r>
      <w:r>
        <w:rPr>
          <w:rFonts w:ascii="Times New Roman" w:hAnsi="Times New Roman"/>
          <w:sz w:val="24"/>
          <w:szCs w:val="24"/>
        </w:rPr>
        <w:t>….</w:t>
      </w:r>
      <w:r w:rsidRPr="005271C0">
        <w:rPr>
          <w:rFonts w:ascii="Times New Roman" w:hAnsi="Times New Roman"/>
          <w:sz w:val="24"/>
          <w:szCs w:val="24"/>
        </w:rPr>
        <w:t xml:space="preserve">” In particular, she alleges that Mobile Care was </w:t>
      </w:r>
      <w:r>
        <w:rPr>
          <w:rFonts w:ascii="Times New Roman" w:hAnsi="Times New Roman"/>
          <w:sz w:val="24"/>
          <w:szCs w:val="24"/>
        </w:rPr>
        <w:t>‘</w:t>
      </w:r>
      <w:r w:rsidRPr="005271C0">
        <w:rPr>
          <w:rFonts w:ascii="Times New Roman" w:hAnsi="Times New Roman"/>
          <w:sz w:val="24"/>
          <w:szCs w:val="24"/>
        </w:rPr>
        <w:t>pressuring its employees</w:t>
      </w:r>
      <w:r>
        <w:rPr>
          <w:rFonts w:ascii="Times New Roman" w:hAnsi="Times New Roman"/>
          <w:sz w:val="24"/>
          <w:szCs w:val="24"/>
        </w:rPr>
        <w:t>’</w:t>
      </w:r>
      <w:r w:rsidRPr="005271C0">
        <w:rPr>
          <w:rFonts w:ascii="Times New Roman" w:hAnsi="Times New Roman"/>
          <w:sz w:val="24"/>
          <w:szCs w:val="24"/>
        </w:rPr>
        <w:t xml:space="preserve"> to </w:t>
      </w:r>
      <w:r>
        <w:rPr>
          <w:rFonts w:ascii="Times New Roman" w:hAnsi="Times New Roman"/>
          <w:sz w:val="24"/>
          <w:szCs w:val="24"/>
        </w:rPr>
        <w:t>‘</w:t>
      </w:r>
      <w:proofErr w:type="spellStart"/>
      <w:r w:rsidRPr="005271C0">
        <w:rPr>
          <w:rFonts w:ascii="Times New Roman" w:hAnsi="Times New Roman"/>
          <w:sz w:val="24"/>
          <w:szCs w:val="24"/>
        </w:rPr>
        <w:t>upcode</w:t>
      </w:r>
      <w:proofErr w:type="spellEnd"/>
      <w:r>
        <w:rPr>
          <w:rFonts w:ascii="Times New Roman" w:hAnsi="Times New Roman"/>
          <w:sz w:val="24"/>
          <w:szCs w:val="24"/>
        </w:rPr>
        <w:t>’</w:t>
      </w:r>
      <w:r w:rsidRPr="005271C0">
        <w:rPr>
          <w:rFonts w:ascii="Times New Roman" w:hAnsi="Times New Roman"/>
          <w:sz w:val="24"/>
          <w:szCs w:val="24"/>
        </w:rPr>
        <w:t xml:space="preserve"> medical transport services to higher billing levels. </w:t>
      </w:r>
    </w:p>
    <w:p w14:paraId="08CD4118" w14:textId="77777777" w:rsidR="00774A91" w:rsidRPr="005271C0" w:rsidRDefault="00774A91" w:rsidP="00774A91">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p>
    <w:p w14:paraId="4546D8C9" w14:textId="77777777" w:rsidR="00774A91" w:rsidRDefault="00774A91" w:rsidP="00774A91">
      <w:pPr>
        <w:spacing w:before="100" w:beforeAutospacing="1" w:after="100" w:afterAutospacing="1" w:line="240" w:lineRule="auto"/>
        <w:ind w:left="720"/>
        <w:rPr>
          <w:rFonts w:ascii="Times New Roman" w:eastAsia="Times New Roman" w:hAnsi="Times New Roman"/>
          <w:sz w:val="24"/>
          <w:szCs w:val="24"/>
        </w:rPr>
      </w:pPr>
      <w:r w:rsidRPr="00E74680">
        <w:rPr>
          <w:rFonts w:ascii="Times New Roman" w:eastAsia="Times New Roman" w:hAnsi="Times New Roman"/>
          <w:sz w:val="24"/>
          <w:szCs w:val="24"/>
        </w:rPr>
        <w:t>The other two relators are likewise Mobile Care employees, one a biller and one a licensed EMT</w:t>
      </w:r>
      <w:r>
        <w:rPr>
          <w:rFonts w:ascii="Times New Roman" w:eastAsia="Times New Roman" w:hAnsi="Times New Roman"/>
          <w:sz w:val="24"/>
          <w:szCs w:val="24"/>
        </w:rPr>
        <w:t xml:space="preserve">…. </w:t>
      </w:r>
      <w:r w:rsidRPr="00E74680">
        <w:rPr>
          <w:rFonts w:ascii="Times New Roman" w:eastAsia="Times New Roman" w:hAnsi="Times New Roman"/>
          <w:sz w:val="24"/>
          <w:szCs w:val="24"/>
        </w:rPr>
        <w:t xml:space="preserve"> The former claims she “</w:t>
      </w:r>
      <w:proofErr w:type="spellStart"/>
      <w:r w:rsidRPr="00E74680">
        <w:rPr>
          <w:rFonts w:ascii="Times New Roman" w:eastAsia="Times New Roman" w:hAnsi="Times New Roman"/>
          <w:sz w:val="24"/>
          <w:szCs w:val="24"/>
        </w:rPr>
        <w:t>refus</w:t>
      </w:r>
      <w:proofErr w:type="spellEnd"/>
      <w:r w:rsidRPr="00E74680">
        <w:rPr>
          <w:rFonts w:ascii="Times New Roman" w:eastAsia="Times New Roman" w:hAnsi="Times New Roman"/>
          <w:sz w:val="24"/>
          <w:szCs w:val="24"/>
        </w:rPr>
        <w:t>[ed] to bill for services that were not supported by … records</w:t>
      </w:r>
      <w:r>
        <w:rPr>
          <w:rFonts w:ascii="Times New Roman" w:eastAsia="Times New Roman" w:hAnsi="Times New Roman"/>
          <w:sz w:val="24"/>
          <w:szCs w:val="24"/>
        </w:rPr>
        <w:t>….</w:t>
      </w:r>
      <w:r w:rsidRPr="00E74680">
        <w:rPr>
          <w:rFonts w:ascii="Times New Roman" w:eastAsia="Times New Roman" w:hAnsi="Times New Roman"/>
          <w:sz w:val="24"/>
          <w:szCs w:val="24"/>
        </w:rPr>
        <w:t xml:space="preserve">” The latter claims that he was instructed </w:t>
      </w:r>
      <w:r>
        <w:rPr>
          <w:rFonts w:ascii="Times New Roman" w:eastAsia="Times New Roman" w:hAnsi="Times New Roman"/>
          <w:sz w:val="24"/>
          <w:szCs w:val="24"/>
        </w:rPr>
        <w:t>‘</w:t>
      </w:r>
      <w:r w:rsidRPr="00E74680">
        <w:rPr>
          <w:rFonts w:ascii="Times New Roman" w:eastAsia="Times New Roman" w:hAnsi="Times New Roman"/>
          <w:sz w:val="24"/>
          <w:szCs w:val="24"/>
        </w:rPr>
        <w:t>to add specific statements and words to [his] Patient Care Reports in order to create the impression that the patients had a medically necessary reason requiring them to be transported</w:t>
      </w:r>
      <w:r>
        <w:rPr>
          <w:rFonts w:ascii="Times New Roman" w:eastAsia="Times New Roman" w:hAnsi="Times New Roman"/>
          <w:sz w:val="24"/>
          <w:szCs w:val="24"/>
        </w:rPr>
        <w:t>’</w:t>
      </w:r>
      <w:r w:rsidRPr="00E74680">
        <w:rPr>
          <w:rFonts w:ascii="Times New Roman" w:eastAsia="Times New Roman" w:hAnsi="Times New Roman"/>
          <w:sz w:val="24"/>
          <w:szCs w:val="24"/>
        </w:rPr>
        <w:t xml:space="preserve"> even if that was not the case</w:t>
      </w:r>
      <w:r>
        <w:rPr>
          <w:rFonts w:ascii="Times New Roman" w:eastAsia="Times New Roman" w:hAnsi="Times New Roman"/>
          <w:sz w:val="24"/>
          <w:szCs w:val="24"/>
        </w:rPr>
        <w:t>….</w:t>
      </w:r>
      <w:r w:rsidRPr="00E74680">
        <w:rPr>
          <w:rFonts w:ascii="Times New Roman" w:eastAsia="Times New Roman" w:hAnsi="Times New Roman"/>
          <w:sz w:val="24"/>
          <w:szCs w:val="24"/>
        </w:rPr>
        <w:t xml:space="preserve"> The Complaint also provides examples of meetings and other interactions in which Mobile Care allegedly applied pressure to EMTs and billers to assist in the fraudulent billing scheme. </w:t>
      </w:r>
    </w:p>
    <w:p w14:paraId="49F77128" w14:textId="77777777" w:rsidR="00774A91" w:rsidRDefault="00774A91" w:rsidP="00774A9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34BCF914" w14:textId="77777777" w:rsidR="00774A91" w:rsidRPr="001B3244" w:rsidRDefault="00774A91" w:rsidP="00774A91">
      <w:pPr>
        <w:spacing w:before="100" w:beforeAutospacing="1" w:after="100" w:afterAutospacing="1" w:line="240" w:lineRule="auto"/>
        <w:ind w:left="720"/>
        <w:rPr>
          <w:rFonts w:ascii="Times New Roman" w:eastAsia="Times New Roman" w:hAnsi="Times New Roman"/>
          <w:b/>
          <w:bCs/>
          <w:sz w:val="24"/>
          <w:szCs w:val="24"/>
        </w:rPr>
      </w:pPr>
      <w:r w:rsidRPr="00D3301A">
        <w:rPr>
          <w:rFonts w:ascii="Times New Roman" w:eastAsia="Times New Roman" w:hAnsi="Times New Roman"/>
          <w:sz w:val="24"/>
          <w:szCs w:val="24"/>
        </w:rPr>
        <w:t>If Mobile Care can show that it in fact did not make false claims, either as to the five specified examples, or others identified during discovery, Mobile Care will be entitled to prevail at trial, or perhaps even at summary judgment. But it is not entitled to dismissal of the complaint. Thus, the FCA claims can move forward.</w:t>
      </w:r>
      <w:r>
        <w:rPr>
          <w:rFonts w:ascii="Times New Roman" w:eastAsia="Times New Roman" w:hAnsi="Times New Roman"/>
          <w:sz w:val="24"/>
          <w:szCs w:val="24"/>
        </w:rPr>
        <w:t xml:space="preserve">” </w:t>
      </w:r>
      <w:hyperlink r:id="rId2309" w:history="1">
        <w:r w:rsidRPr="00BD2840">
          <w:rPr>
            <w:rStyle w:val="Hyperlink"/>
            <w:sz w:val="24"/>
            <w:szCs w:val="24"/>
          </w:rPr>
          <w:t>https://public.fastcase.com/9SKwsfNqTc6OieYDhNMyMyh4iKdUdl33yaqybd0RVUT7BGA%2FcA7dSWVys7nK48GqCBRY0Irwv50JDrMJhhTjndqcgsIMADMauCadEl5HS9U%3D</w:t>
        </w:r>
      </w:hyperlink>
    </w:p>
    <w:p w14:paraId="7F1E462D" w14:textId="77777777" w:rsidR="00774A91" w:rsidRPr="001B3244" w:rsidRDefault="00774A91" w:rsidP="00774A91">
      <w:pPr>
        <w:spacing w:before="100" w:beforeAutospacing="1" w:after="100" w:afterAutospacing="1" w:line="240" w:lineRule="auto"/>
        <w:rPr>
          <w:rFonts w:ascii="Times New Roman" w:eastAsia="Times New Roman" w:hAnsi="Times New Roman"/>
          <w:b/>
          <w:bCs/>
          <w:sz w:val="24"/>
          <w:szCs w:val="24"/>
        </w:rPr>
      </w:pPr>
      <w:r w:rsidRPr="001B3244">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 False Claims Act is designed to award whistleblowers who inform the U.S. Government of fraudulent claims. </w:t>
      </w:r>
    </w:p>
    <w:p w14:paraId="4777195E" w14:textId="77777777" w:rsidR="00774A91" w:rsidRPr="00E81972" w:rsidRDefault="00774A91" w:rsidP="00774A91">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Relator’s awards. </w:t>
      </w:r>
      <w:hyperlink r:id="rId2310" w:history="1">
        <w:r w:rsidRPr="00BD2840">
          <w:rPr>
            <w:rStyle w:val="Hyperlink"/>
            <w:sz w:val="24"/>
            <w:szCs w:val="24"/>
          </w:rPr>
          <w:t>https://www.whistleblowerllc.com/resources/whistleblower-laws/the-federal-false-claims-act/</w:t>
        </w:r>
      </w:hyperlink>
      <w:r>
        <w:rPr>
          <w:rFonts w:ascii="Times New Roman" w:hAnsi="Times New Roman"/>
          <w:sz w:val="24"/>
          <w:szCs w:val="24"/>
        </w:rPr>
        <w:t xml:space="preserve"> </w:t>
      </w:r>
    </w:p>
    <w:p w14:paraId="3F151014" w14:textId="77777777" w:rsidR="00774A91" w:rsidRDefault="00774A91" w:rsidP="00774A91">
      <w:pPr>
        <w:spacing w:before="100" w:beforeAutospacing="1" w:after="100" w:afterAutospacing="1" w:line="240" w:lineRule="auto"/>
        <w:ind w:left="720"/>
        <w:rPr>
          <w:rFonts w:ascii="Times New Roman" w:hAnsi="Times New Roman"/>
          <w:sz w:val="24"/>
          <w:szCs w:val="24"/>
        </w:rPr>
      </w:pPr>
      <w:r>
        <w:rPr>
          <w:rStyle w:val="Strong"/>
          <w:rFonts w:ascii="Times New Roman" w:hAnsi="Times New Roman"/>
          <w:sz w:val="24"/>
          <w:szCs w:val="24"/>
        </w:rPr>
        <w:t>“</w:t>
      </w:r>
      <w:r w:rsidRPr="00E81972">
        <w:rPr>
          <w:rStyle w:val="Strong"/>
          <w:rFonts w:ascii="Times New Roman" w:hAnsi="Times New Roman"/>
          <w:sz w:val="24"/>
          <w:szCs w:val="24"/>
        </w:rPr>
        <w:t>Intervention</w:t>
      </w:r>
      <w:r w:rsidRPr="00E81972">
        <w:rPr>
          <w:rFonts w:ascii="Times New Roman" w:hAnsi="Times New Roman"/>
          <w:sz w:val="24"/>
          <w:szCs w:val="24"/>
        </w:rPr>
        <w:t xml:space="preserve">: the FCA provides for a relator share of 15%-25% of the proceeds collected by the United States </w:t>
      </w:r>
      <w:r>
        <w:rPr>
          <w:rFonts w:ascii="Times New Roman" w:hAnsi="Times New Roman"/>
          <w:sz w:val="24"/>
          <w:szCs w:val="24"/>
        </w:rPr>
        <w:t>‘</w:t>
      </w:r>
      <w:r w:rsidRPr="00E81972">
        <w:rPr>
          <w:rFonts w:ascii="Times New Roman" w:hAnsi="Times New Roman"/>
          <w:sz w:val="24"/>
          <w:szCs w:val="24"/>
        </w:rPr>
        <w:t>depending upon the extent to which the person substantially contributed to the prosecution of the action</w:t>
      </w:r>
      <w:r>
        <w:rPr>
          <w:rFonts w:ascii="Times New Roman" w:hAnsi="Times New Roman"/>
          <w:sz w:val="24"/>
          <w:szCs w:val="24"/>
        </w:rPr>
        <w:t>.’</w:t>
      </w:r>
    </w:p>
    <w:p w14:paraId="26169C72" w14:textId="77777777" w:rsidR="00774A91" w:rsidRPr="00E81972" w:rsidRDefault="00774A91" w:rsidP="00774A91">
      <w:pPr>
        <w:spacing w:before="100" w:beforeAutospacing="1" w:after="100" w:afterAutospacing="1" w:line="240" w:lineRule="auto"/>
        <w:ind w:left="720"/>
        <w:rPr>
          <w:rFonts w:ascii="Times New Roman" w:eastAsia="Times New Roman" w:hAnsi="Times New Roman"/>
          <w:sz w:val="24"/>
          <w:szCs w:val="24"/>
        </w:rPr>
      </w:pPr>
      <w:r w:rsidRPr="00E81972">
        <w:rPr>
          <w:rStyle w:val="Strong"/>
          <w:rFonts w:ascii="Times New Roman" w:hAnsi="Times New Roman"/>
          <w:sz w:val="24"/>
          <w:szCs w:val="24"/>
        </w:rPr>
        <w:t>Declination</w:t>
      </w:r>
      <w:r w:rsidRPr="00E81972">
        <w:rPr>
          <w:rFonts w:ascii="Times New Roman" w:hAnsi="Times New Roman"/>
          <w:sz w:val="24"/>
          <w:szCs w:val="24"/>
        </w:rPr>
        <w:t xml:space="preserve">: the FCA provides for a relator share of 25%-30% of the proceeds collected by the United States based on what the court finds </w:t>
      </w:r>
      <w:r>
        <w:rPr>
          <w:rFonts w:ascii="Times New Roman" w:hAnsi="Times New Roman"/>
          <w:sz w:val="24"/>
          <w:szCs w:val="24"/>
        </w:rPr>
        <w:t>‘</w:t>
      </w:r>
      <w:r w:rsidRPr="00E81972">
        <w:rPr>
          <w:rFonts w:ascii="Times New Roman" w:hAnsi="Times New Roman"/>
          <w:sz w:val="24"/>
          <w:szCs w:val="24"/>
        </w:rPr>
        <w:t>reasonable</w:t>
      </w:r>
      <w:r>
        <w:rPr>
          <w:rFonts w:ascii="Times New Roman" w:hAnsi="Times New Roman"/>
          <w:sz w:val="24"/>
          <w:szCs w:val="24"/>
        </w:rPr>
        <w:t>’</w:t>
      </w:r>
      <w:r w:rsidRPr="00E81972">
        <w:rPr>
          <w:rFonts w:ascii="Times New Roman" w:hAnsi="Times New Roman"/>
          <w:sz w:val="24"/>
          <w:szCs w:val="24"/>
        </w:rPr>
        <w:t xml:space="preserve"> for collecting the damages and penalties</w:t>
      </w:r>
      <w:r>
        <w:t>.</w:t>
      </w:r>
      <w:r>
        <w:rPr>
          <w:rFonts w:ascii="Times New Roman" w:hAnsi="Times New Roman"/>
          <w:sz w:val="24"/>
          <w:szCs w:val="24"/>
        </w:rPr>
        <w:t xml:space="preserve">” </w:t>
      </w:r>
    </w:p>
    <w:p w14:paraId="1D5E121B" w14:textId="77777777" w:rsidR="00774A91" w:rsidRDefault="00774A91" w:rsidP="002B1283">
      <w:pPr>
        <w:rPr>
          <w:rFonts w:ascii="Arial Black" w:hAnsi="Arial Black"/>
          <w:b/>
          <w:bCs/>
          <w:sz w:val="28"/>
          <w:szCs w:val="28"/>
        </w:rPr>
      </w:pPr>
    </w:p>
    <w:p w14:paraId="0F22B56B" w14:textId="3942DBE6" w:rsidR="00BD1702" w:rsidRDefault="00BD1702" w:rsidP="002B1283">
      <w:pPr>
        <w:rPr>
          <w:rFonts w:ascii="Arial Black" w:hAnsi="Arial Black"/>
          <w:b/>
          <w:bCs/>
          <w:sz w:val="28"/>
          <w:szCs w:val="28"/>
        </w:rPr>
      </w:pPr>
      <w:r>
        <w:rPr>
          <w:rFonts w:ascii="Arial Black" w:hAnsi="Arial Black"/>
          <w:b/>
          <w:bCs/>
          <w:sz w:val="28"/>
          <w:szCs w:val="28"/>
        </w:rPr>
        <w:t>13-9</w:t>
      </w:r>
      <w:r w:rsidR="00687C24">
        <w:rPr>
          <w:rFonts w:ascii="Arial Black" w:hAnsi="Arial Black"/>
          <w:b/>
          <w:bCs/>
          <w:sz w:val="28"/>
          <w:szCs w:val="28"/>
        </w:rPr>
        <w:t>3</w:t>
      </w:r>
    </w:p>
    <w:p w14:paraId="11AB1C5C" w14:textId="77777777" w:rsidR="00BD1702" w:rsidRDefault="00BD1702" w:rsidP="00BD1702">
      <w:pPr>
        <w:spacing w:before="100" w:beforeAutospacing="1" w:after="100" w:afterAutospacing="1" w:line="240" w:lineRule="auto"/>
        <w:rPr>
          <w:rFonts w:ascii="Arial Black" w:hAnsi="Arial Black"/>
          <w:sz w:val="28"/>
          <w:szCs w:val="28"/>
        </w:rPr>
      </w:pPr>
      <w:r>
        <w:rPr>
          <w:rFonts w:ascii="Arial Black" w:hAnsi="Arial Black"/>
          <w:sz w:val="28"/>
          <w:szCs w:val="28"/>
        </w:rPr>
        <w:t>NY: DEF. STRUCK EMT WITH CLOSED FIST – FELONY PLED DOWN DISORDERLY – DEF. MUST GET COVID VACCINATION</w:t>
      </w:r>
    </w:p>
    <w:p w14:paraId="6C6BA6B9" w14:textId="77777777" w:rsidR="00BD1702" w:rsidRDefault="00BD1702" w:rsidP="00BD1702">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Oct. 6, 2021, in </w:t>
      </w:r>
      <w:r>
        <w:rPr>
          <w:rFonts w:ascii="Times New Roman" w:hAnsi="Times New Roman"/>
          <w:sz w:val="24"/>
          <w:szCs w:val="24"/>
          <w:u w:val="single"/>
        </w:rPr>
        <w:t>The People of State of New York v. D.R.</w:t>
      </w:r>
      <w:r>
        <w:rPr>
          <w:rFonts w:ascii="Times New Roman" w:hAnsi="Times New Roman"/>
          <w:sz w:val="24"/>
          <w:szCs w:val="24"/>
        </w:rPr>
        <w:t>, Criminal Court of the City of New York, Bronx County (Judge Jeffrey M. Zimmerman) issued a written opinion confirming his order that the defendant get a COVID vaccination as a condition of his accepting plea of guilty and conditional discharge from any imprisonment.  Defendant was originally charged with a Class C felony, then offered plea to lesser Class D felony, then offered plea to misdemeanor, and then finally to a non-criminal Disorderly Conduct [which he accepted]. Judge agreed, but only if he produced proof of COVID vaccination.</w:t>
      </w:r>
    </w:p>
    <w:p w14:paraId="78E7F4F9" w14:textId="77777777" w:rsidR="00BD1702" w:rsidRDefault="00BD1702" w:rsidP="00BD1702">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“The defendant was charged with assaulting an EMS worker, thus placing his own interests and aggressions above those of public safety employees and </w:t>
      </w:r>
      <w:proofErr w:type="gramStart"/>
      <w:r>
        <w:rPr>
          <w:rFonts w:ascii="Times New Roman" w:hAnsi="Times New Roman"/>
          <w:sz w:val="24"/>
          <w:szCs w:val="24"/>
        </w:rPr>
        <w:t>society as a whole</w:t>
      </w:r>
      <w:proofErr w:type="gramEnd"/>
      <w:r>
        <w:rPr>
          <w:rFonts w:ascii="Times New Roman" w:hAnsi="Times New Roman"/>
          <w:sz w:val="24"/>
          <w:szCs w:val="24"/>
        </w:rPr>
        <w:t xml:space="preserve">. As this Court made clear at sentencing, by mandating proof of vaccination, it was giving the defendant the opportunity to engage in an activity that would do exactly the opposite, allowing him to experience the sense of community and well-being that comes with doing something that benefits others (tr at 7). There is absolutely nothing punitive about the condition, since the vaccine has been demonstrated to be safe and effective by the FDA, and by the real-life trial of hundreds of millions of doses administered around the world….  Footnote 4: “It goes without saying that the Court would not have imposed this condition had the defendant pointed to any medical conditions he had that made the vaccine unsafe for him. He did not do so.”  </w:t>
      </w:r>
      <w:hyperlink r:id="rId2311" w:history="1">
        <w:r>
          <w:rPr>
            <w:rStyle w:val="Hyperlink"/>
            <w:sz w:val="24"/>
            <w:szCs w:val="24"/>
          </w:rPr>
          <w:t>https://public.fastcase.com/9SKwsfNqTc6OieYDhNMyMzpaZgjHFdPajpMUAUycVEOD1%2FIGYL0bkVi40opLVA3rHt12SE41wYoG8BLshtbo2LNVnd3RJLWIEJH0dBI9oDE%3D</w:t>
        </w:r>
      </w:hyperlink>
      <w:r>
        <w:rPr>
          <w:rFonts w:ascii="Times New Roman" w:hAnsi="Times New Roman"/>
          <w:sz w:val="24"/>
          <w:szCs w:val="24"/>
        </w:rPr>
        <w:t xml:space="preserve"> </w:t>
      </w:r>
    </w:p>
    <w:p w14:paraId="3D643F9D" w14:textId="77777777" w:rsidR="00BD1702" w:rsidRDefault="00BD1702" w:rsidP="00BD1702">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 xml:space="preserve">Legal Lesson Learned: The plea deal offered reflects the reality of how numerous criminal cases are handled in a very busy Bronx court.  Requiring a COVID vaccination is a novel way for a Court to accept a plea deal. </w:t>
      </w:r>
    </w:p>
    <w:p w14:paraId="57F687E4" w14:textId="57102208" w:rsidR="00BD1702" w:rsidRDefault="00BD1702" w:rsidP="002B1283">
      <w:pPr>
        <w:rPr>
          <w:rFonts w:ascii="Arial Black" w:hAnsi="Arial Black"/>
          <w:b/>
          <w:bCs/>
          <w:sz w:val="28"/>
          <w:szCs w:val="28"/>
        </w:rPr>
      </w:pPr>
    </w:p>
    <w:p w14:paraId="20F65E48" w14:textId="58706F71" w:rsidR="00687C24" w:rsidRDefault="00687C24" w:rsidP="002B1283">
      <w:pPr>
        <w:rPr>
          <w:rFonts w:ascii="Arial Black" w:hAnsi="Arial Black"/>
          <w:b/>
          <w:bCs/>
          <w:sz w:val="28"/>
          <w:szCs w:val="28"/>
        </w:rPr>
      </w:pPr>
      <w:r>
        <w:rPr>
          <w:rFonts w:ascii="Arial Black" w:hAnsi="Arial Black"/>
          <w:b/>
          <w:bCs/>
          <w:sz w:val="28"/>
          <w:szCs w:val="28"/>
        </w:rPr>
        <w:t>13-92</w:t>
      </w:r>
    </w:p>
    <w:p w14:paraId="28181B64" w14:textId="77777777" w:rsidR="00687C24" w:rsidRPr="00DC3453" w:rsidRDefault="00687C24" w:rsidP="00687C24">
      <w:pPr>
        <w:spacing w:before="100" w:beforeAutospacing="1" w:after="100" w:afterAutospacing="1" w:line="240" w:lineRule="auto"/>
        <w:rPr>
          <w:rFonts w:ascii="Arial Black" w:eastAsia="Times New Roman" w:hAnsi="Arial Black"/>
          <w:b/>
          <w:bCs/>
          <w:sz w:val="28"/>
          <w:szCs w:val="28"/>
        </w:rPr>
      </w:pPr>
      <w:r w:rsidRPr="00DC3453">
        <w:rPr>
          <w:rFonts w:ascii="Arial Black" w:eastAsia="Times New Roman" w:hAnsi="Arial Black"/>
          <w:b/>
          <w:bCs/>
          <w:sz w:val="28"/>
          <w:szCs w:val="28"/>
        </w:rPr>
        <w:t xml:space="preserve">MN: </w:t>
      </w:r>
      <w:r>
        <w:rPr>
          <w:rFonts w:ascii="Arial Black" w:eastAsia="Times New Roman" w:hAnsi="Arial Black"/>
          <w:b/>
          <w:bCs/>
          <w:sz w:val="28"/>
          <w:szCs w:val="28"/>
        </w:rPr>
        <w:t xml:space="preserve">PATIENT WITH GUN SHOT TO HOSPITAL - </w:t>
      </w:r>
      <w:r w:rsidRPr="00DC3453">
        <w:rPr>
          <w:rFonts w:ascii="Arial Black" w:eastAsia="Times New Roman" w:hAnsi="Arial Black"/>
          <w:b/>
          <w:bCs/>
          <w:sz w:val="28"/>
          <w:szCs w:val="28"/>
        </w:rPr>
        <w:t xml:space="preserve">PAT DOWN REVEALS </w:t>
      </w:r>
      <w:r>
        <w:rPr>
          <w:rFonts w:ascii="Arial Black" w:eastAsia="Times New Roman" w:hAnsi="Arial Black"/>
          <w:b/>
          <w:bCs/>
          <w:sz w:val="28"/>
          <w:szCs w:val="28"/>
        </w:rPr>
        <w:t>FIREARM – SEARCH LAWFUL “ADMIN. ACTION”</w:t>
      </w:r>
    </w:p>
    <w:p w14:paraId="3FDFA65E" w14:textId="77777777" w:rsidR="00687C24" w:rsidRDefault="00687C24" w:rsidP="00687C24">
      <w:pPr>
        <w:spacing w:before="100" w:beforeAutospacing="1" w:after="100" w:afterAutospacing="1" w:line="240" w:lineRule="auto"/>
        <w:rPr>
          <w:rFonts w:ascii="Times New Roman" w:eastAsia="Times New Roman" w:hAnsi="Times New Roman"/>
          <w:sz w:val="24"/>
          <w:szCs w:val="24"/>
        </w:rPr>
      </w:pPr>
      <w:r w:rsidRPr="00943820">
        <w:rPr>
          <w:rFonts w:ascii="Times New Roman" w:eastAsia="Times New Roman" w:hAnsi="Times New Roman"/>
          <w:sz w:val="24"/>
          <w:szCs w:val="24"/>
        </w:rPr>
        <w:t xml:space="preserve">On </w:t>
      </w:r>
      <w:r>
        <w:rPr>
          <w:rFonts w:ascii="Times New Roman" w:eastAsia="Times New Roman" w:hAnsi="Times New Roman"/>
          <w:sz w:val="24"/>
          <w:szCs w:val="24"/>
        </w:rPr>
        <w:t xml:space="preserve">Oct. 1, 2021, in </w:t>
      </w:r>
      <w:r w:rsidRPr="00943820">
        <w:rPr>
          <w:rFonts w:ascii="Times New Roman" w:eastAsia="Times New Roman" w:hAnsi="Times New Roman"/>
          <w:sz w:val="24"/>
          <w:szCs w:val="24"/>
          <w:u w:val="single"/>
        </w:rPr>
        <w:t>United States of America v. Dywan Lamar Conley</w:t>
      </w:r>
      <w:r>
        <w:rPr>
          <w:rFonts w:ascii="Times New Roman" w:eastAsia="Times New Roman" w:hAnsi="Times New Roman"/>
          <w:sz w:val="24"/>
          <w:szCs w:val="24"/>
        </w:rPr>
        <w:t xml:space="preserve">, U.S. Magistrate Judge Beck R. Thorson issued a Report </w:t>
      </w:r>
      <w:proofErr w:type="gramStart"/>
      <w:r>
        <w:rPr>
          <w:rFonts w:ascii="Times New Roman" w:eastAsia="Times New Roman" w:hAnsi="Times New Roman"/>
          <w:sz w:val="24"/>
          <w:szCs w:val="24"/>
        </w:rPr>
        <w:t>And</w:t>
      </w:r>
      <w:proofErr w:type="gramEnd"/>
      <w:r>
        <w:rPr>
          <w:rFonts w:ascii="Times New Roman" w:eastAsia="Times New Roman" w:hAnsi="Times New Roman"/>
          <w:sz w:val="24"/>
          <w:szCs w:val="24"/>
        </w:rPr>
        <w:t xml:space="preserve"> Recommendation to deny the defendant’s motion to suppress the firearm as evidence in his upcoming trial. </w:t>
      </w:r>
    </w:p>
    <w:p w14:paraId="01FE323A" w14:textId="77777777" w:rsidR="00687C24" w:rsidRPr="009719B6" w:rsidRDefault="00687C24" w:rsidP="00687C24">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DC3453">
        <w:rPr>
          <w:rFonts w:ascii="Times New Roman" w:hAnsi="Times New Roman"/>
          <w:sz w:val="24"/>
          <w:szCs w:val="24"/>
        </w:rPr>
        <w:t>Therefore, this Court concludes that because the HCMC protection officers were working with an administrative purpose when they held Defendant down to assist medical personnel in administering treatment and to protect medical personnel, their actions are subject to the Fourth Amendment.</w:t>
      </w:r>
      <w:r>
        <w:rPr>
          <w:rFonts w:ascii="Times New Roman" w:hAnsi="Times New Roman"/>
          <w:sz w:val="24"/>
          <w:szCs w:val="24"/>
        </w:rPr>
        <w:t xml:space="preserve">” </w:t>
      </w:r>
      <w:hyperlink r:id="rId2312" w:history="1">
        <w:r w:rsidRPr="009719B6">
          <w:rPr>
            <w:rStyle w:val="Hyperlink"/>
            <w:rFonts w:ascii="Times New Roman" w:hAnsi="Times New Roman"/>
            <w:sz w:val="24"/>
            <w:szCs w:val="24"/>
          </w:rPr>
          <w:t>https://public.fastcase.com/9SKwsfNqTc6OieYDhNMyMwbSkTth7KSxZerJ72xuPASz0hfrLKBLsSHZ5wSTH5hTHTRhpFz%2FSUPG8m6eckQDfkjqtfnRAdXjc9mLaHWodGM%3D</w:t>
        </w:r>
      </w:hyperlink>
      <w:r w:rsidRPr="009719B6">
        <w:rPr>
          <w:rFonts w:ascii="Times New Roman" w:hAnsi="Times New Roman"/>
          <w:sz w:val="24"/>
          <w:szCs w:val="24"/>
        </w:rPr>
        <w:t xml:space="preserve"> </w:t>
      </w:r>
    </w:p>
    <w:p w14:paraId="29CB10B0" w14:textId="77777777" w:rsidR="00687C24" w:rsidRPr="00B20244" w:rsidRDefault="00687C24" w:rsidP="00687C24">
      <w:pPr>
        <w:pStyle w:val="NormalWeb"/>
        <w:rPr>
          <w:b/>
          <w:bCs/>
        </w:rPr>
      </w:pPr>
      <w:r w:rsidRPr="00B20244">
        <w:rPr>
          <w:b/>
          <w:bCs/>
        </w:rPr>
        <w:lastRenderedPageBreak/>
        <w:t>Legal Lesson Learned:</w:t>
      </w:r>
      <w:r>
        <w:rPr>
          <w:b/>
          <w:bCs/>
        </w:rPr>
        <w:t xml:space="preserve">  Hospital security personnel may search a patient for “administrative purpose.” </w:t>
      </w:r>
    </w:p>
    <w:p w14:paraId="6C7037C3" w14:textId="77777777" w:rsidR="00687C24" w:rsidRDefault="00687C24" w:rsidP="002B1283">
      <w:pPr>
        <w:rPr>
          <w:rFonts w:ascii="Arial Black" w:hAnsi="Arial Black"/>
          <w:b/>
          <w:bCs/>
          <w:sz w:val="28"/>
          <w:szCs w:val="28"/>
        </w:rPr>
      </w:pPr>
    </w:p>
    <w:p w14:paraId="48F6E71A" w14:textId="77777777" w:rsidR="00BD1702" w:rsidRDefault="00BD1702" w:rsidP="002B1283">
      <w:pPr>
        <w:rPr>
          <w:rFonts w:ascii="Arial Black" w:hAnsi="Arial Black"/>
          <w:b/>
          <w:bCs/>
          <w:sz w:val="28"/>
          <w:szCs w:val="28"/>
        </w:rPr>
      </w:pPr>
    </w:p>
    <w:p w14:paraId="75004D39" w14:textId="419695A0" w:rsidR="002F610D" w:rsidRDefault="002F610D" w:rsidP="002B1283">
      <w:pPr>
        <w:rPr>
          <w:rFonts w:ascii="Arial Black" w:hAnsi="Arial Black"/>
          <w:b/>
          <w:bCs/>
          <w:sz w:val="28"/>
          <w:szCs w:val="28"/>
        </w:rPr>
      </w:pPr>
      <w:r>
        <w:rPr>
          <w:rFonts w:ascii="Arial Black" w:hAnsi="Arial Black"/>
          <w:b/>
          <w:bCs/>
          <w:sz w:val="28"/>
          <w:szCs w:val="28"/>
        </w:rPr>
        <w:t>13-91</w:t>
      </w:r>
    </w:p>
    <w:p w14:paraId="71011B97" w14:textId="77777777" w:rsidR="002F610D" w:rsidRDefault="002F610D" w:rsidP="002F610D">
      <w:pPr>
        <w:rPr>
          <w:rFonts w:ascii="Arial Black" w:hAnsi="Arial Black"/>
          <w:sz w:val="28"/>
          <w:szCs w:val="28"/>
        </w:rPr>
      </w:pPr>
      <w:bookmarkStart w:id="448" w:name="_Hlk81842635"/>
      <w:r>
        <w:rPr>
          <w:rFonts w:ascii="Arial Black" w:hAnsi="Arial Black"/>
          <w:sz w:val="28"/>
          <w:szCs w:val="28"/>
        </w:rPr>
        <w:t>CO:  PARAMEDIC INJECTED KETAMINE - POLICE ARREST – PATIENT UNCONSCIOUS 3 DAYS – LAWSUIT PROCEED</w:t>
      </w:r>
    </w:p>
    <w:bookmarkEnd w:id="448"/>
    <w:p w14:paraId="528C59BA" w14:textId="77777777" w:rsidR="002F610D" w:rsidRDefault="002F610D" w:rsidP="002F610D">
      <w:pPr>
        <w:rPr>
          <w:rFonts w:ascii="Times New Roman" w:hAnsi="Times New Roman"/>
          <w:sz w:val="24"/>
          <w:szCs w:val="24"/>
        </w:rPr>
      </w:pPr>
      <w:r>
        <w:rPr>
          <w:rFonts w:ascii="Times New Roman" w:hAnsi="Times New Roman"/>
          <w:sz w:val="24"/>
          <w:szCs w:val="24"/>
        </w:rPr>
        <w:t xml:space="preserve">On Aug. 10, 2021, in </w:t>
      </w:r>
      <w:r w:rsidRPr="00A45113">
        <w:rPr>
          <w:rFonts w:ascii="Times New Roman" w:hAnsi="Times New Roman"/>
          <w:sz w:val="24"/>
          <w:szCs w:val="24"/>
          <w:u w:val="single"/>
        </w:rPr>
        <w:t>Elijah McKnight v. Sheriff Tyler Brown, et al</w:t>
      </w:r>
      <w:r>
        <w:rPr>
          <w:rFonts w:ascii="Times New Roman" w:hAnsi="Times New Roman"/>
          <w:sz w:val="24"/>
          <w:szCs w:val="24"/>
        </w:rPr>
        <w:t xml:space="preserve">., U.S. Magistrate Judge </w:t>
      </w:r>
      <w:r w:rsidRPr="00A45113">
        <w:rPr>
          <w:rFonts w:ascii="Times New Roman" w:hAnsi="Times New Roman"/>
          <w:sz w:val="24"/>
          <w:szCs w:val="24"/>
        </w:rPr>
        <w:t>S. Kato Crews</w:t>
      </w:r>
      <w:r>
        <w:rPr>
          <w:rFonts w:ascii="Times New Roman" w:hAnsi="Times New Roman"/>
          <w:sz w:val="24"/>
          <w:szCs w:val="24"/>
        </w:rPr>
        <w:t xml:space="preserve">, U.S. District Court for the District of Colorado, denied Paramedic Marshall Cloud and other defendants’ motion to stay all discovery, and dismiss the lawsuit </w:t>
      </w:r>
      <w:proofErr w:type="gramStart"/>
      <w:r>
        <w:rPr>
          <w:rFonts w:ascii="Times New Roman" w:hAnsi="Times New Roman"/>
          <w:sz w:val="24"/>
          <w:szCs w:val="24"/>
        </w:rPr>
        <w:t>on the basis of</w:t>
      </w:r>
      <w:proofErr w:type="gramEnd"/>
      <w:r>
        <w:rPr>
          <w:rFonts w:ascii="Times New Roman" w:hAnsi="Times New Roman"/>
          <w:sz w:val="24"/>
          <w:szCs w:val="24"/>
        </w:rPr>
        <w:t xml:space="preserve"> qualified immunity.  </w:t>
      </w:r>
    </w:p>
    <w:p w14:paraId="6D5B27BC" w14:textId="77777777" w:rsidR="002F610D" w:rsidRDefault="002F610D" w:rsidP="002F610D">
      <w:pPr>
        <w:ind w:left="720"/>
        <w:rPr>
          <w:rFonts w:ascii="Times New Roman" w:hAnsi="Times New Roman"/>
          <w:sz w:val="24"/>
          <w:szCs w:val="24"/>
        </w:rPr>
      </w:pPr>
      <w:r>
        <w:rPr>
          <w:rFonts w:ascii="Times New Roman" w:hAnsi="Times New Roman"/>
          <w:sz w:val="24"/>
          <w:szCs w:val="24"/>
        </w:rPr>
        <w:t>The Court wrote: “</w:t>
      </w:r>
      <w:r w:rsidRPr="00A837A2">
        <w:rPr>
          <w:rFonts w:ascii="Times New Roman" w:hAnsi="Times New Roman"/>
          <w:sz w:val="24"/>
          <w:szCs w:val="24"/>
        </w:rPr>
        <w:t xml:space="preserve">The Plaintiff in this case spent three days unconscious and required machine assistance to help him breathe. He </w:t>
      </w:r>
      <w:proofErr w:type="gramStart"/>
      <w:r w:rsidRPr="00A837A2">
        <w:rPr>
          <w:rFonts w:ascii="Times New Roman" w:hAnsi="Times New Roman"/>
          <w:sz w:val="24"/>
          <w:szCs w:val="24"/>
        </w:rPr>
        <w:t>is deserving of</w:t>
      </w:r>
      <w:proofErr w:type="gramEnd"/>
      <w:r w:rsidRPr="00A837A2">
        <w:rPr>
          <w:rFonts w:ascii="Times New Roman" w:hAnsi="Times New Roman"/>
          <w:sz w:val="24"/>
          <w:szCs w:val="24"/>
        </w:rPr>
        <w:t xml:space="preserve"> answers regarding why this happened and whether anyone is to be held responsible.</w:t>
      </w:r>
    </w:p>
    <w:p w14:paraId="5D10381A" w14:textId="77777777" w:rsidR="002F610D" w:rsidRPr="00A837A2" w:rsidRDefault="002F610D" w:rsidP="002F610D">
      <w:pPr>
        <w:ind w:left="720"/>
        <w:rPr>
          <w:rFonts w:ascii="Times New Roman" w:hAnsi="Times New Roman"/>
          <w:sz w:val="24"/>
          <w:szCs w:val="24"/>
        </w:rPr>
      </w:pPr>
      <w:r>
        <w:rPr>
          <w:rFonts w:ascii="Times New Roman" w:hAnsi="Times New Roman"/>
          <w:sz w:val="24"/>
          <w:szCs w:val="24"/>
        </w:rPr>
        <w:t>***</w:t>
      </w:r>
    </w:p>
    <w:p w14:paraId="5245315C" w14:textId="77777777" w:rsidR="002F610D" w:rsidRDefault="002F610D" w:rsidP="002F610D">
      <w:pPr>
        <w:ind w:left="720"/>
        <w:rPr>
          <w:rFonts w:ascii="Times New Roman" w:hAnsi="Times New Roman"/>
          <w:sz w:val="24"/>
          <w:szCs w:val="24"/>
        </w:rPr>
      </w:pPr>
      <w:r w:rsidRPr="00A45113">
        <w:rPr>
          <w:rFonts w:ascii="Times New Roman" w:hAnsi="Times New Roman"/>
          <w:sz w:val="24"/>
          <w:szCs w:val="24"/>
        </w:rPr>
        <w:t xml:space="preserve">Finally, although Defendants are dismissive of the </w:t>
      </w:r>
      <w:r>
        <w:rPr>
          <w:rFonts w:ascii="Times New Roman" w:hAnsi="Times New Roman"/>
          <w:sz w:val="24"/>
          <w:szCs w:val="24"/>
        </w:rPr>
        <w:t>‘</w:t>
      </w:r>
      <w:r w:rsidRPr="00A45113">
        <w:rPr>
          <w:rFonts w:ascii="Times New Roman" w:hAnsi="Times New Roman"/>
          <w:sz w:val="24"/>
          <w:szCs w:val="24"/>
        </w:rPr>
        <w:t>lofty</w:t>
      </w:r>
      <w:r>
        <w:rPr>
          <w:rFonts w:ascii="Times New Roman" w:hAnsi="Times New Roman"/>
          <w:sz w:val="24"/>
          <w:szCs w:val="24"/>
        </w:rPr>
        <w:t>’</w:t>
      </w:r>
      <w:r w:rsidRPr="00A45113">
        <w:rPr>
          <w:rFonts w:ascii="Times New Roman" w:hAnsi="Times New Roman"/>
          <w:sz w:val="24"/>
          <w:szCs w:val="24"/>
        </w:rPr>
        <w:t xml:space="preserve"> public interest in the prompt and efficient handling of litigation, they do not address Plaintiff's argument regarding the public's interest in the use of Ketamine by first responders. The Court takes judicial notice of the local and national attention this issue has garnered. To be sure, this is not the only case in this district (involving the use of Ketamine) to arise during the week of August 18, 2019. The case of </w:t>
      </w:r>
      <w:r w:rsidRPr="00A45113">
        <w:rPr>
          <w:rStyle w:val="Emphasis"/>
          <w:rFonts w:ascii="Times New Roman" w:hAnsi="Times New Roman"/>
          <w:sz w:val="24"/>
          <w:szCs w:val="24"/>
        </w:rPr>
        <w:t>Estate of McClain by and through McClain v. City of Aurora, Colorado</w:t>
      </w:r>
      <w:r w:rsidRPr="00A45113">
        <w:rPr>
          <w:rFonts w:ascii="Times New Roman" w:hAnsi="Times New Roman"/>
          <w:sz w:val="24"/>
          <w:szCs w:val="24"/>
        </w:rPr>
        <w:t xml:space="preserve">, involves a similar fact pattern, albeit with the City of Aurora Police Department. This Court agrees with Magistrate Judge N. Reid </w:t>
      </w:r>
      <w:proofErr w:type="spellStart"/>
      <w:r w:rsidRPr="00A45113">
        <w:rPr>
          <w:rFonts w:ascii="Times New Roman" w:hAnsi="Times New Roman"/>
          <w:sz w:val="24"/>
          <w:szCs w:val="24"/>
        </w:rPr>
        <w:t>Neurieter</w:t>
      </w:r>
      <w:proofErr w:type="spellEnd"/>
      <w:r w:rsidRPr="00A45113">
        <w:rPr>
          <w:rFonts w:ascii="Times New Roman" w:hAnsi="Times New Roman"/>
          <w:sz w:val="24"/>
          <w:szCs w:val="24"/>
        </w:rPr>
        <w:t xml:space="preserve"> </w:t>
      </w:r>
      <w:proofErr w:type="gramStart"/>
      <w:r w:rsidRPr="00A45113">
        <w:rPr>
          <w:rFonts w:ascii="Times New Roman" w:hAnsi="Times New Roman"/>
          <w:sz w:val="24"/>
          <w:szCs w:val="24"/>
        </w:rPr>
        <w:t xml:space="preserve">that, </w:t>
      </w:r>
      <w:r>
        <w:rPr>
          <w:rFonts w:ascii="Times New Roman" w:hAnsi="Times New Roman"/>
          <w:sz w:val="24"/>
          <w:szCs w:val="24"/>
        </w:rPr>
        <w:t>‘</w:t>
      </w:r>
      <w:proofErr w:type="gramEnd"/>
      <w:r w:rsidRPr="00A45113">
        <w:rPr>
          <w:rFonts w:ascii="Times New Roman" w:hAnsi="Times New Roman"/>
          <w:sz w:val="24"/>
          <w:szCs w:val="24"/>
        </w:rPr>
        <w:t xml:space="preserve">it is not in the interest of the public or in the interest of justice to ‘put on the back </w:t>
      </w:r>
      <w:proofErr w:type="gramStart"/>
      <w:r w:rsidRPr="00A45113">
        <w:rPr>
          <w:rFonts w:ascii="Times New Roman" w:hAnsi="Times New Roman"/>
          <w:sz w:val="24"/>
          <w:szCs w:val="24"/>
        </w:rPr>
        <w:t>burner'</w:t>
      </w:r>
      <w:proofErr w:type="gramEnd"/>
      <w:r w:rsidRPr="00A45113">
        <w:rPr>
          <w:rFonts w:ascii="Times New Roman" w:hAnsi="Times New Roman"/>
          <w:sz w:val="24"/>
          <w:szCs w:val="24"/>
        </w:rPr>
        <w:t xml:space="preserve"> discovery in a case that raises significant questions about [Arapahoe County's] policing and paramedic practices.</w:t>
      </w:r>
      <w:r>
        <w:rPr>
          <w:rFonts w:ascii="Times New Roman" w:hAnsi="Times New Roman"/>
          <w:sz w:val="24"/>
          <w:szCs w:val="24"/>
        </w:rPr>
        <w:t>’</w:t>
      </w:r>
      <w:r w:rsidRPr="00A45113">
        <w:rPr>
          <w:rFonts w:ascii="Times New Roman" w:hAnsi="Times New Roman"/>
          <w:sz w:val="24"/>
          <w:szCs w:val="24"/>
        </w:rPr>
        <w:t xml:space="preserve"> </w:t>
      </w:r>
      <w:r w:rsidRPr="00A45113">
        <w:rPr>
          <w:rStyle w:val="Emphasis"/>
          <w:rFonts w:ascii="Times New Roman" w:hAnsi="Times New Roman"/>
          <w:sz w:val="24"/>
          <w:szCs w:val="24"/>
        </w:rPr>
        <w:t>Estate of McClain</w:t>
      </w:r>
      <w:r w:rsidRPr="00A45113">
        <w:rPr>
          <w:rFonts w:ascii="Times New Roman" w:hAnsi="Times New Roman"/>
          <w:sz w:val="24"/>
          <w:szCs w:val="24"/>
        </w:rPr>
        <w:t>, 2021 WL 307505, at *4.</w:t>
      </w:r>
      <w:r>
        <w:rPr>
          <w:rFonts w:ascii="Times New Roman" w:hAnsi="Times New Roman"/>
          <w:sz w:val="24"/>
          <w:szCs w:val="24"/>
        </w:rPr>
        <w:t xml:space="preserve">” </w:t>
      </w:r>
      <w:hyperlink r:id="rId2313" w:history="1">
        <w:r w:rsidRPr="004C287D">
          <w:rPr>
            <w:rStyle w:val="Hyperlink"/>
            <w:rFonts w:ascii="Times New Roman" w:hAnsi="Times New Roman"/>
            <w:sz w:val="24"/>
            <w:szCs w:val="24"/>
          </w:rPr>
          <w:t>https://www.leagle.com/decision/infdco20210811a71</w:t>
        </w:r>
      </w:hyperlink>
      <w:r>
        <w:rPr>
          <w:rFonts w:ascii="Times New Roman" w:hAnsi="Times New Roman"/>
          <w:sz w:val="24"/>
          <w:szCs w:val="24"/>
        </w:rPr>
        <w:t xml:space="preserve"> </w:t>
      </w:r>
    </w:p>
    <w:p w14:paraId="1530B6D8" w14:textId="77777777" w:rsidR="002F610D" w:rsidRDefault="002F610D" w:rsidP="002F610D">
      <w:pPr>
        <w:tabs>
          <w:tab w:val="left" w:pos="3100"/>
        </w:tabs>
        <w:rPr>
          <w:rFonts w:ascii="Times New Roman" w:hAnsi="Times New Roman"/>
          <w:b/>
          <w:bCs/>
          <w:sz w:val="24"/>
          <w:szCs w:val="24"/>
        </w:rPr>
      </w:pPr>
      <w:r w:rsidRPr="00A837A2">
        <w:rPr>
          <w:rFonts w:ascii="Times New Roman" w:hAnsi="Times New Roman"/>
          <w:b/>
          <w:bCs/>
          <w:sz w:val="24"/>
          <w:szCs w:val="24"/>
        </w:rPr>
        <w:t>Legal Lesson Learned:</w:t>
      </w:r>
      <w:r>
        <w:rPr>
          <w:rFonts w:ascii="Times New Roman" w:hAnsi="Times New Roman"/>
          <w:b/>
          <w:bCs/>
          <w:sz w:val="24"/>
          <w:szCs w:val="24"/>
        </w:rPr>
        <w:t xml:space="preserve"> Watch the video of Aug. 20, </w:t>
      </w:r>
      <w:proofErr w:type="gramStart"/>
      <w:r>
        <w:rPr>
          <w:rFonts w:ascii="Times New Roman" w:hAnsi="Times New Roman"/>
          <w:b/>
          <w:bCs/>
          <w:sz w:val="24"/>
          <w:szCs w:val="24"/>
        </w:rPr>
        <w:t>2019</w:t>
      </w:r>
      <w:proofErr w:type="gramEnd"/>
      <w:r>
        <w:rPr>
          <w:rFonts w:ascii="Times New Roman" w:hAnsi="Times New Roman"/>
          <w:b/>
          <w:bCs/>
          <w:sz w:val="24"/>
          <w:szCs w:val="24"/>
        </w:rPr>
        <w:t xml:space="preserve"> arrest of the plaintiff; would your EMS protocol allow Ketamine to be used? </w:t>
      </w:r>
    </w:p>
    <w:p w14:paraId="08E33365" w14:textId="77777777" w:rsidR="002F610D" w:rsidRDefault="002F610D" w:rsidP="002F610D">
      <w:pPr>
        <w:pStyle w:val="NoSpacing"/>
        <w:ind w:left="720"/>
        <w:rPr>
          <w:rStyle w:val="Hyperlink"/>
          <w:sz w:val="24"/>
          <w:szCs w:val="24"/>
        </w:rPr>
      </w:pPr>
      <w:r w:rsidRPr="00A837A2">
        <w:rPr>
          <w:rStyle w:val="style-scope"/>
          <w:rFonts w:ascii="Times New Roman" w:hAnsi="Times New Roman"/>
          <w:sz w:val="24"/>
          <w:szCs w:val="24"/>
        </w:rPr>
        <w:t xml:space="preserve">Note: This is bodycam footage from the Aug. 20, </w:t>
      </w:r>
      <w:proofErr w:type="gramStart"/>
      <w:r w:rsidRPr="00A837A2">
        <w:rPr>
          <w:rStyle w:val="style-scope"/>
          <w:rFonts w:ascii="Times New Roman" w:hAnsi="Times New Roman"/>
          <w:sz w:val="24"/>
          <w:szCs w:val="24"/>
        </w:rPr>
        <w:t>2019</w:t>
      </w:r>
      <w:proofErr w:type="gramEnd"/>
      <w:r w:rsidRPr="00A837A2">
        <w:rPr>
          <w:rStyle w:val="style-scope"/>
          <w:rFonts w:ascii="Times New Roman" w:hAnsi="Times New Roman"/>
          <w:sz w:val="24"/>
          <w:szCs w:val="24"/>
        </w:rPr>
        <w:t xml:space="preserve"> arrest of Elijah McKnight by Arapahoe County deputies, and South Metro Fire. </w:t>
      </w:r>
      <w:hyperlink r:id="rId2314" w:history="1">
        <w:r w:rsidRPr="00A837A2">
          <w:rPr>
            <w:rStyle w:val="Hyperlink"/>
            <w:sz w:val="24"/>
            <w:szCs w:val="24"/>
          </w:rPr>
          <w:t>https://www.youtube.com/watch?v=DDCANExSv1Q</w:t>
        </w:r>
      </w:hyperlink>
    </w:p>
    <w:p w14:paraId="0F3762A4" w14:textId="77777777" w:rsidR="002F610D" w:rsidRDefault="002F610D" w:rsidP="002F610D">
      <w:pPr>
        <w:pStyle w:val="NoSpacing"/>
        <w:ind w:left="720"/>
        <w:rPr>
          <w:rStyle w:val="Hyperlink"/>
          <w:sz w:val="24"/>
          <w:szCs w:val="24"/>
        </w:rPr>
      </w:pPr>
    </w:p>
    <w:p w14:paraId="5ACFE2DA" w14:textId="77777777" w:rsidR="002F610D" w:rsidRPr="00E145B7" w:rsidRDefault="002F610D" w:rsidP="002F610D">
      <w:pPr>
        <w:pStyle w:val="NoSpacing"/>
        <w:ind w:left="720"/>
        <w:rPr>
          <w:rFonts w:ascii="Times New Roman" w:hAnsi="Times New Roman"/>
          <w:b/>
          <w:bCs/>
          <w:sz w:val="24"/>
          <w:szCs w:val="24"/>
        </w:rPr>
      </w:pPr>
      <w:r w:rsidRPr="00E145B7">
        <w:rPr>
          <w:rFonts w:ascii="Times New Roman" w:hAnsi="Times New Roman"/>
          <w:sz w:val="24"/>
          <w:szCs w:val="24"/>
        </w:rPr>
        <w:t xml:space="preserve">See Sept. 2, </w:t>
      </w:r>
      <w:proofErr w:type="gramStart"/>
      <w:r w:rsidRPr="00E145B7">
        <w:rPr>
          <w:rFonts w:ascii="Times New Roman" w:hAnsi="Times New Roman"/>
          <w:sz w:val="24"/>
          <w:szCs w:val="24"/>
        </w:rPr>
        <w:t>2021</w:t>
      </w:r>
      <w:proofErr w:type="gramEnd"/>
      <w:r w:rsidRPr="00E145B7">
        <w:rPr>
          <w:rFonts w:ascii="Times New Roman" w:hAnsi="Times New Roman"/>
          <w:sz w:val="24"/>
          <w:szCs w:val="24"/>
        </w:rPr>
        <w:t xml:space="preserve"> article: “</w:t>
      </w:r>
      <w:r w:rsidRPr="00E145B7">
        <w:rPr>
          <w:rStyle w:val="dfm-title"/>
          <w:rFonts w:ascii="Times New Roman" w:hAnsi="Times New Roman"/>
          <w:sz w:val="24"/>
          <w:szCs w:val="24"/>
        </w:rPr>
        <w:t>Elijah McClain indictment: Case against Aurora police officers and paramedics comes down to intent, experts say.”</w:t>
      </w:r>
      <w:r w:rsidRPr="00E145B7">
        <w:rPr>
          <w:rFonts w:ascii="Times New Roman" w:hAnsi="Times New Roman"/>
          <w:sz w:val="24"/>
          <w:szCs w:val="24"/>
        </w:rPr>
        <w:t xml:space="preserve">  McClain was on his way to a convenience store on Aug. 24, 2019, when someone called 911 to report a suspicious person. When the 23-year-old refused to stop walking after being contacted by three Aurora police officers, they tackled him to the ground, threw on handcuffs and used a now-banned chokehold.</w:t>
      </w:r>
      <w:r>
        <w:rPr>
          <w:rFonts w:ascii="Times New Roman" w:hAnsi="Times New Roman"/>
          <w:sz w:val="24"/>
          <w:szCs w:val="24"/>
        </w:rPr>
        <w:t xml:space="preserve"> </w:t>
      </w:r>
      <w:r w:rsidRPr="00E145B7">
        <w:rPr>
          <w:rFonts w:ascii="Times New Roman" w:eastAsia="Times New Roman" w:hAnsi="Times New Roman"/>
          <w:sz w:val="24"/>
          <w:szCs w:val="24"/>
        </w:rPr>
        <w:t>Paramedics then injected him with far more ketamine than is required for a person of McClain’s size. The Aurora man suffered cardiac arrest on the way to the hospital, where he was later declared brain dead. He died Aug. 30, 2019, after being removed from life support.</w:t>
      </w:r>
      <w:r>
        <w:rPr>
          <w:rFonts w:ascii="Times New Roman" w:eastAsia="Times New Roman" w:hAnsi="Times New Roman"/>
          <w:sz w:val="24"/>
          <w:szCs w:val="24"/>
        </w:rPr>
        <w:t xml:space="preserve">” </w:t>
      </w:r>
      <w:hyperlink r:id="rId2315" w:history="1">
        <w:r w:rsidRPr="00E145B7">
          <w:rPr>
            <w:rStyle w:val="Hyperlink"/>
            <w:sz w:val="24"/>
            <w:szCs w:val="24"/>
          </w:rPr>
          <w:t>https://www.denverpost.com/2021/09/02/elijah-mclain-charges-manslaughter-negligent-homicide/</w:t>
        </w:r>
      </w:hyperlink>
      <w:r w:rsidRPr="00E145B7">
        <w:rPr>
          <w:rStyle w:val="dfm-title"/>
          <w:rFonts w:ascii="Times New Roman" w:hAnsi="Times New Roman"/>
          <w:b/>
          <w:bCs/>
          <w:sz w:val="24"/>
          <w:szCs w:val="24"/>
        </w:rPr>
        <w:t xml:space="preserve">  </w:t>
      </w:r>
    </w:p>
    <w:p w14:paraId="0730AA47" w14:textId="77777777" w:rsidR="002F610D" w:rsidRDefault="002F610D" w:rsidP="002B1283">
      <w:pPr>
        <w:rPr>
          <w:rFonts w:ascii="Arial Black" w:hAnsi="Arial Black"/>
          <w:b/>
          <w:bCs/>
          <w:sz w:val="28"/>
          <w:szCs w:val="28"/>
        </w:rPr>
      </w:pPr>
    </w:p>
    <w:p w14:paraId="2A5598D8" w14:textId="77777777" w:rsidR="002F610D" w:rsidRDefault="002F610D" w:rsidP="002B1283">
      <w:pPr>
        <w:rPr>
          <w:rFonts w:ascii="Arial Black" w:hAnsi="Arial Black"/>
          <w:b/>
          <w:bCs/>
          <w:sz w:val="28"/>
          <w:szCs w:val="28"/>
        </w:rPr>
      </w:pPr>
    </w:p>
    <w:p w14:paraId="02C3F112" w14:textId="279F6E42" w:rsidR="00A82898" w:rsidRDefault="00A82898" w:rsidP="002B1283">
      <w:pPr>
        <w:rPr>
          <w:rFonts w:ascii="Arial Black" w:hAnsi="Arial Black"/>
          <w:b/>
          <w:bCs/>
          <w:sz w:val="28"/>
          <w:szCs w:val="28"/>
        </w:rPr>
      </w:pPr>
      <w:r>
        <w:rPr>
          <w:rFonts w:ascii="Arial Black" w:hAnsi="Arial Black"/>
          <w:b/>
          <w:bCs/>
          <w:sz w:val="28"/>
          <w:szCs w:val="28"/>
        </w:rPr>
        <w:t>13-90</w:t>
      </w:r>
    </w:p>
    <w:p w14:paraId="7AEB7D3B" w14:textId="77777777" w:rsidR="00A82898" w:rsidRPr="00FE7B26" w:rsidRDefault="00A82898" w:rsidP="00A82898">
      <w:pPr>
        <w:pStyle w:val="Heading1"/>
        <w:rPr>
          <w:rFonts w:ascii="Arial Black" w:hAnsi="Arial Black"/>
          <w:sz w:val="28"/>
          <w:szCs w:val="28"/>
        </w:rPr>
      </w:pPr>
      <w:r>
        <w:rPr>
          <w:rFonts w:ascii="Arial Black" w:hAnsi="Arial Black"/>
          <w:sz w:val="28"/>
          <w:szCs w:val="28"/>
        </w:rPr>
        <w:t xml:space="preserve">CA: ENTERING HOME WITHOUT WARRANT – NOT FOR ARREST MINOR OFFENSE – OK FOR EMERGENGY MEDICAL </w:t>
      </w:r>
    </w:p>
    <w:p w14:paraId="37304D13" w14:textId="77777777" w:rsidR="00A82898" w:rsidRPr="00664561" w:rsidRDefault="00A82898" w:rsidP="00A82898">
      <w:pPr>
        <w:pStyle w:val="Heading1"/>
        <w:rPr>
          <w:rStyle w:val="markedcontent"/>
          <w:b w:val="0"/>
          <w:bCs w:val="0"/>
          <w:sz w:val="24"/>
          <w:szCs w:val="24"/>
        </w:rPr>
      </w:pPr>
      <w:r>
        <w:rPr>
          <w:rStyle w:val="markedcontent"/>
          <w:b w:val="0"/>
          <w:bCs w:val="0"/>
          <w:sz w:val="24"/>
          <w:szCs w:val="24"/>
        </w:rPr>
        <w:t xml:space="preserve">On June 23, 2021, in </w:t>
      </w:r>
      <w:r w:rsidRPr="00E64EE8">
        <w:rPr>
          <w:rStyle w:val="markedcontent"/>
          <w:b w:val="0"/>
          <w:bCs w:val="0"/>
          <w:sz w:val="24"/>
          <w:szCs w:val="24"/>
          <w:u w:val="single"/>
        </w:rPr>
        <w:t>Arthur Gregory Lane v. California</w:t>
      </w:r>
      <w:r>
        <w:rPr>
          <w:rStyle w:val="markedcontent"/>
          <w:b w:val="0"/>
          <w:bCs w:val="0"/>
          <w:sz w:val="24"/>
          <w:szCs w:val="24"/>
        </w:rPr>
        <w:t>, the U.S. Supreme Court held (9 to 0) in opinion by Justice Elena Kagan that t</w:t>
      </w:r>
      <w:r w:rsidRPr="00E64EE8">
        <w:rPr>
          <w:rStyle w:val="markedcontent"/>
          <w:b w:val="0"/>
          <w:bCs w:val="0"/>
          <w:sz w:val="24"/>
          <w:szCs w:val="24"/>
        </w:rPr>
        <w:t xml:space="preserve">he Fourth Amendment ordinarily requires that police officers get a warrant before entering a home without permission. But </w:t>
      </w:r>
      <w:r>
        <w:rPr>
          <w:rStyle w:val="markedcontent"/>
          <w:b w:val="0"/>
          <w:bCs w:val="0"/>
          <w:sz w:val="24"/>
          <w:szCs w:val="24"/>
        </w:rPr>
        <w:t xml:space="preserve">important to Fire &amp; EMS, </w:t>
      </w:r>
      <w:r w:rsidRPr="00E64EE8">
        <w:rPr>
          <w:rStyle w:val="markedcontent"/>
          <w:b w:val="0"/>
          <w:bCs w:val="0"/>
          <w:sz w:val="24"/>
          <w:szCs w:val="24"/>
        </w:rPr>
        <w:t>an officer may make a warrantless entry</w:t>
      </w:r>
      <w:r>
        <w:rPr>
          <w:rStyle w:val="markedcontent"/>
          <w:b w:val="0"/>
          <w:bCs w:val="0"/>
          <w:sz w:val="24"/>
          <w:szCs w:val="24"/>
        </w:rPr>
        <w:t xml:space="preserve"> </w:t>
      </w:r>
      <w:r w:rsidRPr="00E64EE8">
        <w:rPr>
          <w:rStyle w:val="markedcontent"/>
          <w:b w:val="0"/>
          <w:bCs w:val="0"/>
          <w:sz w:val="24"/>
          <w:szCs w:val="24"/>
        </w:rPr>
        <w:t>when “the exigencies of the situation” create a compelling law enforcement need.</w:t>
      </w:r>
      <w:r>
        <w:rPr>
          <w:rStyle w:val="markedcontent"/>
          <w:b w:val="0"/>
          <w:bCs w:val="0"/>
          <w:sz w:val="24"/>
          <w:szCs w:val="24"/>
        </w:rPr>
        <w:t xml:space="preserve">  In this case, Mr. Lane was driving his vehicle with loud noise, and when State Patrol tried to pull him over near his home, he drove into his garage – where he was arrested for driving under influence and failure to stop.  The Court rejected the State’s argument that </w:t>
      </w:r>
      <w:r w:rsidRPr="00664561">
        <w:rPr>
          <w:rStyle w:val="markedcontent"/>
          <w:b w:val="0"/>
          <w:bCs w:val="0"/>
          <w:sz w:val="24"/>
          <w:szCs w:val="24"/>
        </w:rPr>
        <w:t>the</w:t>
      </w:r>
      <w:r>
        <w:rPr>
          <w:rStyle w:val="markedcontent"/>
          <w:b w:val="0"/>
          <w:bCs w:val="0"/>
          <w:sz w:val="24"/>
          <w:szCs w:val="24"/>
        </w:rPr>
        <w:t xml:space="preserve"> </w:t>
      </w:r>
      <w:r w:rsidRPr="00664561">
        <w:rPr>
          <w:rStyle w:val="markedcontent"/>
          <w:b w:val="0"/>
          <w:bCs w:val="0"/>
          <w:sz w:val="24"/>
          <w:szCs w:val="24"/>
        </w:rPr>
        <w:t>pursuit of a suspected misdemeanant always qualifies as an</w:t>
      </w:r>
      <w:r>
        <w:rPr>
          <w:rStyle w:val="markedcontent"/>
          <w:b w:val="0"/>
          <w:bCs w:val="0"/>
          <w:sz w:val="24"/>
          <w:szCs w:val="24"/>
        </w:rPr>
        <w:t xml:space="preserve"> </w:t>
      </w:r>
      <w:r w:rsidRPr="00664561">
        <w:rPr>
          <w:rStyle w:val="markedcontent"/>
          <w:b w:val="0"/>
          <w:bCs w:val="0"/>
          <w:sz w:val="24"/>
          <w:szCs w:val="24"/>
        </w:rPr>
        <w:t>exigent circumstance authorizing a warrantless home entry</w:t>
      </w:r>
      <w:r>
        <w:rPr>
          <w:rStyle w:val="markedcontent"/>
          <w:b w:val="0"/>
          <w:bCs w:val="0"/>
          <w:sz w:val="24"/>
          <w:szCs w:val="24"/>
        </w:rPr>
        <w:t xml:space="preserve">.  The state trial court judge had denied defendant’s motion to suppress, and this was upheld by California Court of Appeal; now the case will be sent back to </w:t>
      </w:r>
      <w:proofErr w:type="gramStart"/>
      <w:r>
        <w:rPr>
          <w:rStyle w:val="markedcontent"/>
          <w:b w:val="0"/>
          <w:bCs w:val="0"/>
          <w:sz w:val="24"/>
          <w:szCs w:val="24"/>
        </w:rPr>
        <w:t>California</w:t>
      </w:r>
      <w:proofErr w:type="gramEnd"/>
      <w:r>
        <w:rPr>
          <w:rStyle w:val="markedcontent"/>
          <w:b w:val="0"/>
          <w:bCs w:val="0"/>
          <w:sz w:val="24"/>
          <w:szCs w:val="24"/>
        </w:rPr>
        <w:t xml:space="preserve"> and the prosecutor will likely dismiss all charges.  </w:t>
      </w:r>
    </w:p>
    <w:p w14:paraId="5309A97E" w14:textId="77777777" w:rsidR="00A82898" w:rsidRDefault="00A82898" w:rsidP="00A82898">
      <w:pPr>
        <w:pStyle w:val="Heading1"/>
        <w:ind w:left="720"/>
        <w:rPr>
          <w:rStyle w:val="markedcontent"/>
          <w:b w:val="0"/>
          <w:bCs w:val="0"/>
          <w:sz w:val="24"/>
          <w:szCs w:val="24"/>
        </w:rPr>
      </w:pPr>
      <w:r>
        <w:rPr>
          <w:rStyle w:val="markedcontent"/>
          <w:b w:val="0"/>
          <w:bCs w:val="0"/>
          <w:sz w:val="24"/>
          <w:szCs w:val="24"/>
        </w:rPr>
        <w:t>“</w:t>
      </w:r>
      <w:r w:rsidRPr="00E64EE8">
        <w:rPr>
          <w:rStyle w:val="markedcontent"/>
          <w:b w:val="0"/>
          <w:bCs w:val="0"/>
          <w:sz w:val="24"/>
          <w:szCs w:val="24"/>
        </w:rPr>
        <w:t>The flight of a suspected misdemeanant does not always</w:t>
      </w:r>
      <w:r>
        <w:rPr>
          <w:rStyle w:val="markedcontent"/>
          <w:b w:val="0"/>
          <w:bCs w:val="0"/>
          <w:sz w:val="24"/>
          <w:szCs w:val="24"/>
        </w:rPr>
        <w:t xml:space="preserve"> </w:t>
      </w:r>
      <w:r w:rsidRPr="00E64EE8">
        <w:rPr>
          <w:rStyle w:val="markedcontent"/>
          <w:b w:val="0"/>
          <w:bCs w:val="0"/>
          <w:sz w:val="24"/>
          <w:szCs w:val="24"/>
        </w:rPr>
        <w:t xml:space="preserve">justify a warrantless entry into a home. An officer must consider all the circumstances in a pursuit case to </w:t>
      </w:r>
      <w:proofErr w:type="gramStart"/>
      <w:r w:rsidRPr="00E64EE8">
        <w:rPr>
          <w:rStyle w:val="markedcontent"/>
          <w:b w:val="0"/>
          <w:bCs w:val="0"/>
          <w:sz w:val="24"/>
          <w:szCs w:val="24"/>
        </w:rPr>
        <w:t>deter-mine</w:t>
      </w:r>
      <w:proofErr w:type="gramEnd"/>
      <w:r w:rsidRPr="00E64EE8">
        <w:rPr>
          <w:rStyle w:val="markedcontent"/>
          <w:b w:val="0"/>
          <w:bCs w:val="0"/>
          <w:sz w:val="24"/>
          <w:szCs w:val="24"/>
        </w:rPr>
        <w:t xml:space="preserve"> whether there is a law enforcement emergency. On many occasions, the officer will have good reason to enter—to prevent imminent harms of violence, destruction of evidence, or escape from the home. But when the officer has time to get a warrant, he must do so—even though the misdemeanant fled.</w:t>
      </w:r>
    </w:p>
    <w:p w14:paraId="34B82D93" w14:textId="77777777" w:rsidR="00A82898" w:rsidRPr="00E64EE8" w:rsidRDefault="00A82898" w:rsidP="00A82898">
      <w:pPr>
        <w:pStyle w:val="Heading1"/>
        <w:ind w:firstLine="720"/>
        <w:rPr>
          <w:rStyle w:val="markedcontent"/>
          <w:b w:val="0"/>
          <w:bCs w:val="0"/>
          <w:sz w:val="24"/>
          <w:szCs w:val="24"/>
        </w:rPr>
      </w:pPr>
      <w:r>
        <w:rPr>
          <w:rStyle w:val="markedcontent"/>
          <w:b w:val="0"/>
          <w:bCs w:val="0"/>
          <w:sz w:val="24"/>
          <w:szCs w:val="24"/>
        </w:rPr>
        <w:t>***</w:t>
      </w:r>
    </w:p>
    <w:p w14:paraId="7EEA18EF" w14:textId="18B94256" w:rsidR="00A82898" w:rsidRPr="00A82898" w:rsidRDefault="00A82898" w:rsidP="00A82898">
      <w:pPr>
        <w:rPr>
          <w:rFonts w:ascii="Times New Roman" w:hAnsi="Times New Roman"/>
          <w:sz w:val="24"/>
          <w:szCs w:val="24"/>
        </w:rPr>
      </w:pPr>
      <w:r w:rsidRPr="00A82898">
        <w:rPr>
          <w:rStyle w:val="markedcontent"/>
          <w:rFonts w:ascii="Times New Roman" w:hAnsi="Times New Roman"/>
          <w:sz w:val="24"/>
          <w:szCs w:val="24"/>
        </w:rPr>
        <w:t>One important exception is for exigent circumstances. It applies when ‘the exigencies of the situation make the needs of law enforcement so compelling that [a] warrantless search is objectively reasonable.’ King, 563 U. S., at 460 (internal quotation marks omitted). The exception enables law enforcement officers to handle ‘</w:t>
      </w:r>
      <w:proofErr w:type="spellStart"/>
      <w:r w:rsidRPr="00A82898">
        <w:rPr>
          <w:rStyle w:val="markedcontent"/>
          <w:rFonts w:ascii="Times New Roman" w:hAnsi="Times New Roman"/>
          <w:sz w:val="24"/>
          <w:szCs w:val="24"/>
        </w:rPr>
        <w:t>emergenc</w:t>
      </w:r>
      <w:proofErr w:type="spellEnd"/>
      <w:r w:rsidRPr="00A82898">
        <w:rPr>
          <w:rStyle w:val="markedcontent"/>
          <w:rFonts w:ascii="Times New Roman" w:hAnsi="Times New Roman"/>
          <w:sz w:val="24"/>
          <w:szCs w:val="24"/>
        </w:rPr>
        <w:t>[</w:t>
      </w:r>
      <w:proofErr w:type="spellStart"/>
      <w:r w:rsidRPr="00A82898">
        <w:rPr>
          <w:rStyle w:val="markedcontent"/>
          <w:rFonts w:ascii="Times New Roman" w:hAnsi="Times New Roman"/>
          <w:sz w:val="24"/>
          <w:szCs w:val="24"/>
        </w:rPr>
        <w:t>ies</w:t>
      </w:r>
      <w:proofErr w:type="spellEnd"/>
      <w:r w:rsidRPr="00A82898">
        <w:rPr>
          <w:rStyle w:val="markedcontent"/>
          <w:rFonts w:ascii="Times New Roman" w:hAnsi="Times New Roman"/>
          <w:sz w:val="24"/>
          <w:szCs w:val="24"/>
        </w:rPr>
        <w:t xml:space="preserve">]’—situations presenting a ‘compelling need for official action and no time to secure a warrant.’ Riley, 573 U. S., at 402; Missouri v. McNeely, 569 U. S. 141, 149 (2013). Over the years, this Court has identified several such exigencies. An officer, for example, may ‘enter a home without a warrant to render emergency assistance to an injured occupant[,] to protect an occupant from imminent injury,’ or to ensure his own safety.” </w:t>
      </w:r>
      <w:hyperlink r:id="rId2316" w:history="1">
        <w:r w:rsidRPr="00A82898">
          <w:rPr>
            <w:rStyle w:val="Hyperlink"/>
            <w:rFonts w:ascii="Times New Roman" w:hAnsi="Times New Roman"/>
            <w:sz w:val="24"/>
            <w:szCs w:val="24"/>
          </w:rPr>
          <w:t>https://www.supremecourt.gov/opinions/20pdf/20-18_cb7d.pdf</w:t>
        </w:r>
      </w:hyperlink>
    </w:p>
    <w:p w14:paraId="514B6465" w14:textId="77777777" w:rsidR="00A82898" w:rsidRPr="00B14793" w:rsidRDefault="00A82898" w:rsidP="00A82898">
      <w:pPr>
        <w:rPr>
          <w:rFonts w:ascii="Times New Roman" w:hAnsi="Times New Roman"/>
          <w:b/>
          <w:bCs/>
          <w:sz w:val="24"/>
          <w:szCs w:val="24"/>
        </w:rPr>
      </w:pPr>
      <w:r w:rsidRPr="00B14793">
        <w:rPr>
          <w:rFonts w:ascii="Times New Roman" w:hAnsi="Times New Roman"/>
          <w:b/>
          <w:bCs/>
          <w:sz w:val="24"/>
          <w:szCs w:val="24"/>
        </w:rPr>
        <w:t>Legal Lesson Learned:  Fire &amp; EMS may continue to request police assistance to make a warrantless entry where there is a medical emergency.</w:t>
      </w:r>
    </w:p>
    <w:p w14:paraId="17A28816" w14:textId="77777777" w:rsidR="00A82898" w:rsidRDefault="00A82898" w:rsidP="002B1283">
      <w:pPr>
        <w:rPr>
          <w:rFonts w:ascii="Arial Black" w:hAnsi="Arial Black"/>
          <w:b/>
          <w:bCs/>
          <w:sz w:val="28"/>
          <w:szCs w:val="28"/>
        </w:rPr>
      </w:pPr>
    </w:p>
    <w:p w14:paraId="70C97070" w14:textId="77777777" w:rsidR="00A82898" w:rsidRDefault="00A82898" w:rsidP="002B1283">
      <w:pPr>
        <w:rPr>
          <w:rFonts w:ascii="Arial Black" w:hAnsi="Arial Black"/>
          <w:b/>
          <w:bCs/>
          <w:sz w:val="28"/>
          <w:szCs w:val="28"/>
        </w:rPr>
      </w:pPr>
    </w:p>
    <w:p w14:paraId="7F474C82" w14:textId="09FE97F5" w:rsidR="00A82898" w:rsidRDefault="00A82898" w:rsidP="002B1283">
      <w:pPr>
        <w:rPr>
          <w:rFonts w:ascii="Arial Black" w:hAnsi="Arial Black"/>
          <w:b/>
          <w:bCs/>
          <w:sz w:val="28"/>
          <w:szCs w:val="28"/>
        </w:rPr>
      </w:pPr>
      <w:r>
        <w:rPr>
          <w:rFonts w:ascii="Arial Black" w:hAnsi="Arial Black"/>
          <w:b/>
          <w:bCs/>
          <w:sz w:val="28"/>
          <w:szCs w:val="28"/>
        </w:rPr>
        <w:t>13-89</w:t>
      </w:r>
    </w:p>
    <w:p w14:paraId="6B874C02" w14:textId="77777777" w:rsidR="00A82898" w:rsidRPr="00523D80" w:rsidRDefault="00A82898" w:rsidP="00A82898">
      <w:pPr>
        <w:pStyle w:val="Heading1"/>
        <w:rPr>
          <w:rFonts w:ascii="Arial Black" w:hAnsi="Arial Black"/>
          <w:sz w:val="28"/>
          <w:szCs w:val="28"/>
        </w:rPr>
      </w:pPr>
      <w:r>
        <w:rPr>
          <w:rFonts w:ascii="Arial Black" w:hAnsi="Arial Black"/>
          <w:sz w:val="28"/>
          <w:szCs w:val="28"/>
        </w:rPr>
        <w:lastRenderedPageBreak/>
        <w:t xml:space="preserve">GA: POSSIBLE BID RIGGING - EMS CONTRACT - WIRETAP / SEARCH WARRANT ON ATTY – DA QUALIFIED IMMUNITY </w:t>
      </w:r>
    </w:p>
    <w:p w14:paraId="407BE781" w14:textId="77777777" w:rsidR="00A82898" w:rsidRDefault="00A82898" w:rsidP="00A82898">
      <w:pPr>
        <w:pStyle w:val="Heading1"/>
        <w:rPr>
          <w:b w:val="0"/>
          <w:bCs w:val="0"/>
          <w:sz w:val="24"/>
          <w:szCs w:val="24"/>
        </w:rPr>
      </w:pPr>
      <w:r>
        <w:rPr>
          <w:b w:val="0"/>
          <w:bCs w:val="0"/>
          <w:sz w:val="24"/>
          <w:szCs w:val="24"/>
        </w:rPr>
        <w:t xml:space="preserve">On June 22, 2021, in </w:t>
      </w:r>
      <w:r w:rsidRPr="00523D80">
        <w:rPr>
          <w:b w:val="0"/>
          <w:bCs w:val="0"/>
          <w:sz w:val="24"/>
          <w:szCs w:val="24"/>
          <w:u w:val="single"/>
        </w:rPr>
        <w:t>Kevin A. Ross, Esq.</w:t>
      </w:r>
      <w:r>
        <w:rPr>
          <w:b w:val="0"/>
          <w:bCs w:val="0"/>
          <w:sz w:val="24"/>
          <w:szCs w:val="24"/>
          <w:u w:val="single"/>
        </w:rPr>
        <w:t>, Kevin Ross Public Affairs, LLC, The Law Practice of Kevin . Ross, LLC</w:t>
      </w:r>
      <w:r w:rsidRPr="00523D80">
        <w:rPr>
          <w:b w:val="0"/>
          <w:bCs w:val="0"/>
          <w:sz w:val="24"/>
          <w:szCs w:val="24"/>
          <w:u w:val="single"/>
        </w:rPr>
        <w:t xml:space="preserve"> v. Robert James, Dekalb County District Attorney and William C. Nix</w:t>
      </w:r>
      <w:r>
        <w:rPr>
          <w:b w:val="0"/>
          <w:bCs w:val="0"/>
          <w:sz w:val="24"/>
          <w:szCs w:val="24"/>
        </w:rPr>
        <w:t>, the U.S. Court of Appeals for 11</w:t>
      </w:r>
      <w:r w:rsidRPr="00523D80">
        <w:rPr>
          <w:b w:val="0"/>
          <w:bCs w:val="0"/>
          <w:sz w:val="24"/>
          <w:szCs w:val="24"/>
          <w:vertAlign w:val="superscript"/>
        </w:rPr>
        <w:t>th</w:t>
      </w:r>
      <w:r>
        <w:rPr>
          <w:b w:val="0"/>
          <w:bCs w:val="0"/>
          <w:sz w:val="24"/>
          <w:szCs w:val="24"/>
        </w:rPr>
        <w:t xml:space="preserve"> Circuit (Atlanta), held 3 to 0 (unpublished decision) that the trial court properly granted summary judgment to the DA and the DA’s investigator in lawsuit by Ross alleging violation of his 4</w:t>
      </w:r>
      <w:r w:rsidRPr="007C1575">
        <w:rPr>
          <w:b w:val="0"/>
          <w:bCs w:val="0"/>
          <w:sz w:val="24"/>
          <w:szCs w:val="24"/>
          <w:vertAlign w:val="superscript"/>
        </w:rPr>
        <w:t>th</w:t>
      </w:r>
      <w:r>
        <w:rPr>
          <w:b w:val="0"/>
          <w:bCs w:val="0"/>
          <w:sz w:val="24"/>
          <w:szCs w:val="24"/>
        </w:rPr>
        <w:t xml:space="preserve"> Amendment rights (42 U.S.C. 1983). since they were both entitled to qualified immunity. </w:t>
      </w:r>
    </w:p>
    <w:p w14:paraId="6C6D2696" w14:textId="77777777" w:rsidR="00A82898" w:rsidRDefault="00A82898" w:rsidP="00A82898">
      <w:pPr>
        <w:pStyle w:val="NormalWeb"/>
        <w:ind w:left="720"/>
      </w:pPr>
      <w:r>
        <w:t>“Kevin Ross is an attorney and political consultant who has managed several political campaigns, including Burrell Ellis's 2008 campaign for DeKalb County Chief Executive Office (‘CEO’).</w:t>
      </w:r>
      <w:hyperlink r:id="rId2317" w:anchor="fr2" w:history="1">
        <w:r w:rsidR="00814FB6">
          <w:rPr>
            <w:rStyle w:val="Hyperlink"/>
            <w:rFonts w:ascii="Calibri" w:eastAsia="Calibri" w:hAnsi="Calibri"/>
            <w:sz w:val="22"/>
            <w:szCs w:val="22"/>
          </w:rPr>
          <w:t>https://public.fastcase.com/ - fr2</w:t>
        </w:r>
      </w:hyperlink>
      <w:r>
        <w:rPr>
          <w:sz w:val="20"/>
          <w:szCs w:val="20"/>
          <w:vertAlign w:val="superscript"/>
        </w:rPr>
        <w:t xml:space="preserve"> </w:t>
      </w:r>
      <w:r>
        <w:t xml:space="preserve"> Robert James, then the District Attorney for DeKalb County, Georgia, applied for and obtained a wiretap authorization to intercept and record Ross's telephone communications on the basis that there was probable cause to believe that Ross; Ellis, then CEO for DeKalb County; and others were committing 11 criminal offenses, including extortion, bribery, and ‘[c]</w:t>
      </w:r>
      <w:proofErr w:type="spellStart"/>
      <w:r>
        <w:t>onspiracy</w:t>
      </w:r>
      <w:proofErr w:type="spellEnd"/>
      <w:r>
        <w:t xml:space="preserve"> in restraint of free and open competition in transactions with state or political subdivision," i.e., bid rigging. Doc. 111-1 at 3.</w:t>
      </w:r>
      <w:bookmarkStart w:id="449" w:name="fn4"/>
      <w:r>
        <w:rPr>
          <w:sz w:val="20"/>
          <w:szCs w:val="20"/>
          <w:vertAlign w:val="superscript"/>
        </w:rPr>
        <w:fldChar w:fldCharType="begin"/>
      </w:r>
      <w:r>
        <w:rPr>
          <w:sz w:val="20"/>
          <w:szCs w:val="20"/>
          <w:vertAlign w:val="superscript"/>
        </w:rPr>
        <w:instrText xml:space="preserve"> HYPERLINK "https://public.fastcase.com/" \l "fr4" </w:instrText>
      </w:r>
      <w:r>
        <w:rPr>
          <w:sz w:val="20"/>
          <w:szCs w:val="20"/>
          <w:vertAlign w:val="superscript"/>
        </w:rPr>
      </w:r>
      <w:r>
        <w:rPr>
          <w:sz w:val="20"/>
          <w:szCs w:val="20"/>
          <w:vertAlign w:val="superscript"/>
        </w:rPr>
        <w:fldChar w:fldCharType="separate"/>
      </w:r>
      <w:r w:rsidR="00814FB6">
        <w:rPr>
          <w:rStyle w:val="Hyperlink"/>
          <w:rFonts w:ascii="Calibri" w:eastAsia="Calibri" w:hAnsi="Calibri"/>
          <w:sz w:val="22"/>
          <w:szCs w:val="22"/>
        </w:rPr>
        <w:t>https://public.fastcase.com/ - fr4</w:t>
      </w:r>
      <w:r>
        <w:rPr>
          <w:sz w:val="20"/>
          <w:szCs w:val="20"/>
          <w:vertAlign w:val="superscript"/>
        </w:rPr>
        <w:fldChar w:fldCharType="end"/>
      </w:r>
      <w:bookmarkEnd w:id="449"/>
      <w:r>
        <w:rPr>
          <w:sz w:val="20"/>
          <w:szCs w:val="20"/>
          <w:vertAlign w:val="superscript"/>
        </w:rPr>
        <w:t xml:space="preserve"> </w:t>
      </w:r>
      <w:r>
        <w:t xml:space="preserve">The application included an affidavit by William Nix, an investigator for the DeKalb County District Attorney's </w:t>
      </w:r>
      <w:proofErr w:type="gramStart"/>
      <w:r>
        <w:t>Office (‘</w:t>
      </w:r>
      <w:proofErr w:type="gramEnd"/>
      <w:r>
        <w:t>DA's Office’), setting forth factual allegations supporting the request for a wiretap.</w:t>
      </w:r>
    </w:p>
    <w:p w14:paraId="326E49D2" w14:textId="77777777" w:rsidR="00A82898" w:rsidRDefault="00A82898" w:rsidP="00A82898">
      <w:pPr>
        <w:pStyle w:val="NormalWeb"/>
        <w:ind w:left="720"/>
      </w:pPr>
      <w:r>
        <w:t>***</w:t>
      </w:r>
    </w:p>
    <w:p w14:paraId="4C12C48C" w14:textId="77777777" w:rsidR="00A82898" w:rsidRDefault="00A82898" w:rsidP="00A82898">
      <w:pPr>
        <w:pStyle w:val="Heading1"/>
        <w:ind w:left="720"/>
        <w:rPr>
          <w:b w:val="0"/>
          <w:bCs w:val="0"/>
          <w:sz w:val="24"/>
          <w:szCs w:val="24"/>
        </w:rPr>
      </w:pPr>
      <w:r w:rsidRPr="00523D80">
        <w:rPr>
          <w:b w:val="0"/>
          <w:bCs w:val="0"/>
          <w:sz w:val="24"/>
          <w:szCs w:val="24"/>
        </w:rPr>
        <w:t>About a month after the DA's Office received the wiretap authorization, it applied for and obtained a search warrant for Ross's home and office. The application included a supporting affidavit, also by Nix. The search warrant affidavit was largely identical to the wiretap affidavit, except it also included information obtained from the wiretap.</w:t>
      </w:r>
    </w:p>
    <w:p w14:paraId="070AFEBD" w14:textId="77777777" w:rsidR="00A82898" w:rsidRDefault="00A82898" w:rsidP="00A82898">
      <w:pPr>
        <w:pStyle w:val="Heading1"/>
        <w:ind w:left="720"/>
        <w:rPr>
          <w:b w:val="0"/>
          <w:bCs w:val="0"/>
          <w:sz w:val="24"/>
          <w:szCs w:val="24"/>
        </w:rPr>
      </w:pPr>
      <w:r>
        <w:rPr>
          <w:b w:val="0"/>
          <w:bCs w:val="0"/>
          <w:sz w:val="24"/>
          <w:szCs w:val="24"/>
        </w:rPr>
        <w:t>***</w:t>
      </w:r>
    </w:p>
    <w:p w14:paraId="4BDB3DE6" w14:textId="77777777" w:rsidR="00A82898" w:rsidRDefault="00A82898" w:rsidP="00A82898">
      <w:pPr>
        <w:pStyle w:val="Heading1"/>
        <w:ind w:firstLine="720"/>
        <w:rPr>
          <w:b w:val="0"/>
          <w:bCs w:val="0"/>
          <w:sz w:val="24"/>
          <w:szCs w:val="24"/>
        </w:rPr>
      </w:pPr>
      <w:r w:rsidRPr="00523D80">
        <w:rPr>
          <w:b w:val="0"/>
          <w:bCs w:val="0"/>
          <w:sz w:val="24"/>
          <w:szCs w:val="24"/>
        </w:rPr>
        <w:t>Ultimately, the investigation resulted in no charges against Ross.</w:t>
      </w:r>
    </w:p>
    <w:p w14:paraId="34E284F6" w14:textId="77777777" w:rsidR="00A82898" w:rsidRDefault="00A82898" w:rsidP="00A82898">
      <w:pPr>
        <w:pStyle w:val="Heading1"/>
        <w:ind w:firstLine="720"/>
        <w:rPr>
          <w:b w:val="0"/>
          <w:bCs w:val="0"/>
          <w:sz w:val="24"/>
          <w:szCs w:val="24"/>
        </w:rPr>
      </w:pPr>
      <w:r>
        <w:rPr>
          <w:b w:val="0"/>
          <w:bCs w:val="0"/>
          <w:sz w:val="24"/>
          <w:szCs w:val="24"/>
        </w:rPr>
        <w:t>***</w:t>
      </w:r>
    </w:p>
    <w:p w14:paraId="71139420" w14:textId="77777777" w:rsidR="00A82898" w:rsidRDefault="00A82898" w:rsidP="00A82898">
      <w:pPr>
        <w:spacing w:before="100" w:beforeAutospacing="1" w:after="100" w:afterAutospacing="1" w:line="240" w:lineRule="auto"/>
        <w:ind w:left="720"/>
        <w:rPr>
          <w:rFonts w:ascii="Times New Roman" w:eastAsia="Times New Roman" w:hAnsi="Times New Roman"/>
          <w:sz w:val="24"/>
          <w:szCs w:val="24"/>
        </w:rPr>
      </w:pPr>
      <w:r w:rsidRPr="007C1575">
        <w:rPr>
          <w:rFonts w:ascii="Times New Roman" w:eastAsia="Times New Roman" w:hAnsi="Times New Roman"/>
          <w:sz w:val="24"/>
          <w:szCs w:val="24"/>
        </w:rPr>
        <w:t>A reasonable officer could conclude that these multiple conversations between Ross, Ellis, and Walton, the confidential source, indicated a tacit agreement to influence the bidding process for the EMS and PM Contracts. And Ellis made overt acts to further that goal by attempting to persuade the EMS Contract selection committee to permit exceptions sought by Ross's client and placing two members, Alvarado and Saunders, on the selection committee for the</w:t>
      </w:r>
      <w:r>
        <w:rPr>
          <w:rFonts w:ascii="Times New Roman" w:eastAsia="Times New Roman" w:hAnsi="Times New Roman"/>
          <w:sz w:val="24"/>
          <w:szCs w:val="24"/>
        </w:rPr>
        <w:t xml:space="preserve"> </w:t>
      </w:r>
      <w:r w:rsidRPr="007C1575">
        <w:rPr>
          <w:rFonts w:ascii="Times New Roman" w:eastAsia="Times New Roman" w:hAnsi="Times New Roman"/>
          <w:sz w:val="24"/>
          <w:szCs w:val="24"/>
        </w:rPr>
        <w:t>PM Contract. This, among other information set out in the affidavits, could lead a reasonable officer to believe that Ross was engaged in a conspiracy to restrain free and open competition in violation of Ga. Code Ann. § 16-10-22(b).</w:t>
      </w:r>
    </w:p>
    <w:p w14:paraId="172689C3" w14:textId="77777777" w:rsidR="00A82898" w:rsidRDefault="00A82898" w:rsidP="00A82898">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3C7FB450" w14:textId="77777777" w:rsidR="00A82898" w:rsidRPr="00B14793" w:rsidRDefault="00A82898" w:rsidP="00A82898">
      <w:pPr>
        <w:spacing w:before="100" w:beforeAutospacing="1" w:after="100" w:afterAutospacing="1" w:line="240" w:lineRule="auto"/>
        <w:ind w:left="720"/>
        <w:rPr>
          <w:rFonts w:ascii="Times New Roman" w:eastAsia="Times New Roman" w:hAnsi="Times New Roman"/>
          <w:sz w:val="24"/>
          <w:szCs w:val="24"/>
        </w:rPr>
      </w:pPr>
      <w:r w:rsidRPr="007C1575">
        <w:rPr>
          <w:rFonts w:ascii="Times New Roman" w:hAnsi="Times New Roman"/>
          <w:sz w:val="24"/>
          <w:szCs w:val="24"/>
        </w:rPr>
        <w:t>For the foregoing reasons, we conclude that James and Nix are entitled to qualified immunity from Ross's § 1983 suit. Thus, we affirm the district court's judgment.</w:t>
      </w:r>
      <w:r>
        <w:rPr>
          <w:rFonts w:ascii="Times New Roman" w:hAnsi="Times New Roman"/>
          <w:sz w:val="24"/>
          <w:szCs w:val="24"/>
        </w:rPr>
        <w:t>”</w:t>
      </w:r>
      <w:r w:rsidRPr="007C1575">
        <w:t xml:space="preserve"> </w:t>
      </w:r>
      <w:hyperlink r:id="rId2318" w:history="1">
        <w:r w:rsidRPr="00B14793">
          <w:rPr>
            <w:rStyle w:val="Hyperlink"/>
            <w:sz w:val="24"/>
            <w:szCs w:val="24"/>
          </w:rPr>
          <w:t>https://public.fastcase.com/9SKwsfNqTc6OieYDhNMyM83%2FYLJrcCtVmui0iqpJLDORGkxVmnXPTmwbGH4uC0ci</w:t>
        </w:r>
      </w:hyperlink>
      <w:r w:rsidRPr="00B14793">
        <w:rPr>
          <w:rFonts w:ascii="Times New Roman" w:hAnsi="Times New Roman"/>
          <w:sz w:val="24"/>
          <w:szCs w:val="24"/>
        </w:rPr>
        <w:t xml:space="preserve"> </w:t>
      </w:r>
    </w:p>
    <w:p w14:paraId="0A353CEE" w14:textId="48AA03FB" w:rsidR="00A82898" w:rsidRDefault="00A82898" w:rsidP="00A82898">
      <w:pPr>
        <w:pStyle w:val="Heading1"/>
        <w:rPr>
          <w:sz w:val="24"/>
          <w:szCs w:val="24"/>
        </w:rPr>
      </w:pPr>
      <w:r w:rsidRPr="003B7948">
        <w:rPr>
          <w:sz w:val="24"/>
          <w:szCs w:val="24"/>
        </w:rPr>
        <w:t xml:space="preserve">Legal Lesson Learned: </w:t>
      </w:r>
      <w:r>
        <w:rPr>
          <w:sz w:val="24"/>
          <w:szCs w:val="24"/>
        </w:rPr>
        <w:t xml:space="preserve"> District attorneys and their investigators enjoy “qualified immunity” when </w:t>
      </w:r>
      <w:proofErr w:type="gramStart"/>
      <w:r>
        <w:rPr>
          <w:sz w:val="24"/>
          <w:szCs w:val="24"/>
        </w:rPr>
        <w:t>conducting an investigation</w:t>
      </w:r>
      <w:proofErr w:type="gramEnd"/>
      <w:r>
        <w:rPr>
          <w:sz w:val="24"/>
          <w:szCs w:val="24"/>
        </w:rPr>
        <w:t xml:space="preserve">, even if no criminal charges are brought.  Fire &amp; EMS likewise enjoy </w:t>
      </w:r>
      <w:r>
        <w:rPr>
          <w:sz w:val="24"/>
          <w:szCs w:val="24"/>
        </w:rPr>
        <w:lastRenderedPageBreak/>
        <w:t>qualified immunity when conducting their official duties in most states, unless the</w:t>
      </w:r>
      <w:r w:rsidR="008A0333">
        <w:rPr>
          <w:sz w:val="24"/>
          <w:szCs w:val="24"/>
        </w:rPr>
        <w:t>ir actions constitute willful or wanton misconduct.</w:t>
      </w:r>
      <w:r>
        <w:rPr>
          <w:sz w:val="24"/>
          <w:szCs w:val="24"/>
        </w:rPr>
        <w:t xml:space="preserve"> </w:t>
      </w:r>
    </w:p>
    <w:p w14:paraId="376F1E19" w14:textId="77777777" w:rsidR="00A82898" w:rsidRDefault="00A82898" w:rsidP="00A82898">
      <w:pPr>
        <w:pStyle w:val="Heading1"/>
        <w:ind w:left="720"/>
        <w:rPr>
          <w:b w:val="0"/>
          <w:bCs w:val="0"/>
          <w:sz w:val="24"/>
          <w:szCs w:val="24"/>
        </w:rPr>
      </w:pPr>
      <w:r w:rsidRPr="003B7948">
        <w:rPr>
          <w:b w:val="0"/>
          <w:bCs w:val="0"/>
          <w:sz w:val="24"/>
          <w:szCs w:val="24"/>
        </w:rPr>
        <w:t>For example, see</w:t>
      </w:r>
      <w:r>
        <w:rPr>
          <w:b w:val="0"/>
          <w:bCs w:val="0"/>
          <w:sz w:val="24"/>
          <w:szCs w:val="24"/>
        </w:rPr>
        <w:t xml:space="preserve"> Ohio Revised Code</w:t>
      </w:r>
      <w:r w:rsidRPr="003B7948">
        <w:rPr>
          <w:b w:val="0"/>
          <w:bCs w:val="0"/>
          <w:sz w:val="24"/>
          <w:szCs w:val="24"/>
        </w:rPr>
        <w:t xml:space="preserve">: Section 4765.49 </w:t>
      </w:r>
      <w:r w:rsidRPr="003B7948">
        <w:rPr>
          <w:rStyle w:val="codes-separator"/>
          <w:b w:val="0"/>
          <w:bCs w:val="0"/>
          <w:sz w:val="24"/>
          <w:szCs w:val="24"/>
        </w:rPr>
        <w:t>|</w:t>
      </w:r>
      <w:r w:rsidRPr="003B7948">
        <w:rPr>
          <w:b w:val="0"/>
          <w:bCs w:val="0"/>
          <w:sz w:val="24"/>
          <w:szCs w:val="24"/>
        </w:rPr>
        <w:t xml:space="preserve"> Emergency medical personnel and agencies - immunity.</w:t>
      </w:r>
    </w:p>
    <w:p w14:paraId="3CE2824B" w14:textId="77777777" w:rsidR="00A82898" w:rsidRPr="00B14793" w:rsidRDefault="00A82898" w:rsidP="00A82898">
      <w:pPr>
        <w:pStyle w:val="Heading1"/>
        <w:ind w:left="720"/>
        <w:rPr>
          <w:b w:val="0"/>
          <w:bCs w:val="0"/>
          <w:sz w:val="24"/>
          <w:szCs w:val="24"/>
        </w:rPr>
      </w:pPr>
      <w:r w:rsidRPr="003B7948">
        <w:rPr>
          <w:b w:val="0"/>
          <w:bCs w:val="0"/>
          <w:sz w:val="24"/>
          <w:szCs w:val="24"/>
        </w:rPr>
        <w:t>(A) A first responder, emergency medical technician-basic, emergency medical technician-intermediate, or emergency medical technician-paramedic is not liable in damages in a civil action for injury, death, or loss to person or property resulting from the individual's administration of emergency medical services, unless the services are administered in a manner that constitutes willful or wanton misconduct.</w:t>
      </w:r>
      <w:r>
        <w:rPr>
          <w:b w:val="0"/>
          <w:bCs w:val="0"/>
          <w:sz w:val="24"/>
          <w:szCs w:val="24"/>
        </w:rPr>
        <w:t xml:space="preserve"> </w:t>
      </w:r>
      <w:hyperlink r:id="rId2319" w:history="1">
        <w:r w:rsidRPr="00B14793">
          <w:rPr>
            <w:rStyle w:val="Hyperlink"/>
            <w:sz w:val="24"/>
            <w:szCs w:val="24"/>
          </w:rPr>
          <w:t>https://codes.ohio.gov/ohio-revised-code/section-4765.49</w:t>
        </w:r>
      </w:hyperlink>
      <w:r w:rsidRPr="00B14793">
        <w:rPr>
          <w:b w:val="0"/>
          <w:bCs w:val="0"/>
          <w:sz w:val="24"/>
          <w:szCs w:val="24"/>
        </w:rPr>
        <w:t xml:space="preserve"> </w:t>
      </w:r>
    </w:p>
    <w:p w14:paraId="07184ACE" w14:textId="77777777" w:rsidR="00A82898" w:rsidRDefault="00A82898" w:rsidP="002B1283">
      <w:pPr>
        <w:rPr>
          <w:rFonts w:ascii="Arial Black" w:hAnsi="Arial Black"/>
          <w:b/>
          <w:bCs/>
          <w:sz w:val="28"/>
          <w:szCs w:val="28"/>
        </w:rPr>
      </w:pPr>
    </w:p>
    <w:p w14:paraId="0FAFB85D" w14:textId="77777777" w:rsidR="00A82898" w:rsidRDefault="00A82898" w:rsidP="002B1283">
      <w:pPr>
        <w:rPr>
          <w:rFonts w:ascii="Arial Black" w:hAnsi="Arial Black"/>
          <w:b/>
          <w:bCs/>
          <w:sz w:val="28"/>
          <w:szCs w:val="28"/>
        </w:rPr>
      </w:pPr>
    </w:p>
    <w:p w14:paraId="5F2C8AFD" w14:textId="6D4F20F1" w:rsidR="00A82898" w:rsidRDefault="00A82898" w:rsidP="002B1283">
      <w:pPr>
        <w:rPr>
          <w:rFonts w:ascii="Arial Black" w:hAnsi="Arial Black"/>
          <w:b/>
          <w:bCs/>
          <w:sz w:val="28"/>
          <w:szCs w:val="28"/>
        </w:rPr>
      </w:pPr>
      <w:r>
        <w:rPr>
          <w:rFonts w:ascii="Arial Black" w:hAnsi="Arial Black"/>
          <w:b/>
          <w:bCs/>
          <w:sz w:val="28"/>
          <w:szCs w:val="28"/>
        </w:rPr>
        <w:t>13-88</w:t>
      </w:r>
    </w:p>
    <w:p w14:paraId="5DBE92D6" w14:textId="77777777" w:rsidR="00A82898" w:rsidRDefault="00A82898" w:rsidP="00A82898">
      <w:pPr>
        <w:rPr>
          <w:rFonts w:ascii="Arial Black" w:hAnsi="Arial Black"/>
          <w:bCs/>
          <w:sz w:val="28"/>
          <w:szCs w:val="28"/>
        </w:rPr>
      </w:pPr>
      <w:r>
        <w:rPr>
          <w:rFonts w:ascii="Arial Black" w:hAnsi="Arial Black"/>
          <w:bCs/>
          <w:sz w:val="28"/>
          <w:szCs w:val="28"/>
        </w:rPr>
        <w:t xml:space="preserve">TX: COVID-19 VACCINATION – FEDERAL JUDGE: HOSPITAL NURSES IN TEXAS CAN BE REQUIRED TO GET THE SHOTS  </w:t>
      </w:r>
    </w:p>
    <w:p w14:paraId="7313F43B" w14:textId="77777777" w:rsidR="00A82898" w:rsidRDefault="00A82898" w:rsidP="00A82898">
      <w:pPr>
        <w:pStyle w:val="NoSpacing"/>
        <w:rPr>
          <w:rFonts w:ascii="Times New Roman" w:hAnsi="Times New Roman"/>
          <w:bCs/>
          <w:sz w:val="24"/>
          <w:szCs w:val="24"/>
        </w:rPr>
      </w:pPr>
      <w:r>
        <w:rPr>
          <w:rFonts w:ascii="Times New Roman" w:hAnsi="Times New Roman"/>
          <w:sz w:val="24"/>
          <w:szCs w:val="24"/>
        </w:rPr>
        <w:t xml:space="preserve">On June 12, 2021, in </w:t>
      </w:r>
      <w:r w:rsidRPr="006F29EF">
        <w:rPr>
          <w:rFonts w:ascii="Times New Roman" w:hAnsi="Times New Roman"/>
          <w:sz w:val="24"/>
          <w:szCs w:val="24"/>
          <w:u w:val="single"/>
        </w:rPr>
        <w:t>Jennifer Bridges, et al. v. Houston Methodist Hospital</w:t>
      </w:r>
      <w:r>
        <w:rPr>
          <w:rFonts w:ascii="Times New Roman" w:hAnsi="Times New Roman"/>
          <w:sz w:val="24"/>
          <w:szCs w:val="24"/>
        </w:rPr>
        <w:t xml:space="preserve">, U.S. District Court Judge Lynn N. Hughes, dismissed a lawsuit filed by 100 nurses and others, challenging the </w:t>
      </w:r>
      <w:r w:rsidRPr="009D5173">
        <w:rPr>
          <w:rFonts w:ascii="Times New Roman" w:hAnsi="Times New Roman"/>
          <w:bCs/>
          <w:sz w:val="24"/>
          <w:szCs w:val="24"/>
        </w:rPr>
        <w:t>Texas hospital system</w:t>
      </w:r>
      <w:r>
        <w:rPr>
          <w:rFonts w:ascii="Times New Roman" w:hAnsi="Times New Roman"/>
          <w:bCs/>
          <w:sz w:val="24"/>
          <w:szCs w:val="24"/>
        </w:rPr>
        <w:t xml:space="preserve">’s requirement that </w:t>
      </w:r>
      <w:r w:rsidRPr="009D5173">
        <w:rPr>
          <w:rFonts w:ascii="Times New Roman" w:hAnsi="Times New Roman"/>
          <w:bCs/>
          <w:sz w:val="24"/>
          <w:szCs w:val="24"/>
        </w:rPr>
        <w:t>26,000 employees all needed to receive a COVID-19 vaccine as a condition of staying employed</w:t>
      </w:r>
      <w:r>
        <w:rPr>
          <w:rFonts w:ascii="Times New Roman" w:hAnsi="Times New Roman"/>
          <w:bCs/>
          <w:sz w:val="24"/>
          <w:szCs w:val="24"/>
        </w:rPr>
        <w:t xml:space="preserve">, with only a couple </w:t>
      </w:r>
      <w:r w:rsidRPr="009D5173">
        <w:rPr>
          <w:rFonts w:ascii="Times New Roman" w:hAnsi="Times New Roman"/>
          <w:bCs/>
          <w:sz w:val="24"/>
          <w:szCs w:val="24"/>
        </w:rPr>
        <w:t>of narrow exemptions—based on a medical condition or a sincerely held religious belief</w:t>
      </w:r>
      <w:r>
        <w:rPr>
          <w:rFonts w:ascii="Times New Roman" w:hAnsi="Times New Roman"/>
          <w:bCs/>
          <w:sz w:val="24"/>
          <w:szCs w:val="24"/>
        </w:rPr>
        <w:t xml:space="preserve">. </w:t>
      </w:r>
    </w:p>
    <w:p w14:paraId="5F8D6921" w14:textId="77777777" w:rsidR="00A82898" w:rsidRDefault="00A82898" w:rsidP="00A82898">
      <w:pPr>
        <w:pStyle w:val="NoSpacing"/>
        <w:rPr>
          <w:rFonts w:ascii="Times New Roman" w:hAnsi="Times New Roman"/>
          <w:bCs/>
          <w:sz w:val="24"/>
          <w:szCs w:val="24"/>
        </w:rPr>
      </w:pPr>
    </w:p>
    <w:p w14:paraId="4F06EDD4" w14:textId="77777777" w:rsidR="00A82898" w:rsidRPr="003D5D8C" w:rsidRDefault="00A82898" w:rsidP="00A82898">
      <w:pPr>
        <w:pStyle w:val="NoSpacing"/>
        <w:ind w:left="720"/>
        <w:rPr>
          <w:rFonts w:ascii="Times New Roman" w:hAnsi="Times New Roman"/>
          <w:sz w:val="24"/>
          <w:szCs w:val="24"/>
        </w:rPr>
      </w:pPr>
      <w:r>
        <w:rPr>
          <w:rFonts w:ascii="Times New Roman" w:hAnsi="Times New Roman"/>
          <w:bCs/>
          <w:sz w:val="24"/>
          <w:szCs w:val="24"/>
        </w:rPr>
        <w:t xml:space="preserve">“Texas law only protects employees from being terminated for refusing to commit an act carrying criminal penalties to the worker….  Receiving a COVID-19 vaccination is not an illegal act, and it carries no criminal penalties.  [Bridges] is refusing to accept inoculation that, in the hospital’s judgment, will make it safer for their workers and the patients in Methodist’s care.” </w:t>
      </w:r>
      <w:hyperlink r:id="rId2320" w:history="1">
        <w:r w:rsidRPr="003D5D8C">
          <w:rPr>
            <w:rStyle w:val="Hyperlink"/>
            <w:sz w:val="24"/>
            <w:szCs w:val="24"/>
          </w:rPr>
          <w:t>https://www.documentcloud.org/documents/20860669-houston-methodist-lawsuit-order-of-dismissal</w:t>
        </w:r>
      </w:hyperlink>
      <w:r w:rsidRPr="003D5D8C">
        <w:rPr>
          <w:rFonts w:ascii="Times New Roman" w:hAnsi="Times New Roman"/>
          <w:bCs/>
          <w:sz w:val="24"/>
          <w:szCs w:val="24"/>
        </w:rPr>
        <w:t xml:space="preserve"> </w:t>
      </w:r>
    </w:p>
    <w:p w14:paraId="57DECBDC" w14:textId="77777777" w:rsidR="00A82898" w:rsidRDefault="00A82898" w:rsidP="00A82898">
      <w:pPr>
        <w:rPr>
          <w:rFonts w:ascii="Times New Roman" w:hAnsi="Times New Roman"/>
          <w:bCs/>
          <w:sz w:val="24"/>
          <w:szCs w:val="24"/>
        </w:rPr>
      </w:pPr>
    </w:p>
    <w:p w14:paraId="193F9BB4" w14:textId="77777777" w:rsidR="00A82898" w:rsidRPr="00BC7ABC" w:rsidRDefault="00A82898" w:rsidP="00A82898">
      <w:pPr>
        <w:rPr>
          <w:rFonts w:ascii="Times New Roman" w:hAnsi="Times New Roman"/>
          <w:b/>
          <w:sz w:val="24"/>
          <w:szCs w:val="24"/>
        </w:rPr>
      </w:pPr>
      <w:r w:rsidRPr="00BC7ABC">
        <w:rPr>
          <w:rFonts w:ascii="Times New Roman" w:hAnsi="Times New Roman"/>
          <w:b/>
          <w:sz w:val="24"/>
          <w:szCs w:val="24"/>
        </w:rPr>
        <w:t xml:space="preserve">Legal Lesson Learned: </w:t>
      </w:r>
      <w:r>
        <w:rPr>
          <w:rFonts w:ascii="Times New Roman" w:hAnsi="Times New Roman"/>
          <w:b/>
          <w:sz w:val="24"/>
          <w:szCs w:val="24"/>
        </w:rPr>
        <w:t xml:space="preserve">Fire &amp; EMS departments should consult with legal counsel regarding the law in your state. </w:t>
      </w:r>
    </w:p>
    <w:p w14:paraId="384507A2" w14:textId="77777777" w:rsidR="00A82898" w:rsidRPr="009D5173" w:rsidRDefault="00A82898" w:rsidP="00A82898">
      <w:pPr>
        <w:ind w:left="720"/>
        <w:rPr>
          <w:rFonts w:ascii="Times New Roman" w:hAnsi="Times New Roman"/>
          <w:bCs/>
          <w:sz w:val="24"/>
          <w:szCs w:val="24"/>
        </w:rPr>
      </w:pPr>
      <w:r>
        <w:rPr>
          <w:rFonts w:ascii="Times New Roman" w:hAnsi="Times New Roman"/>
          <w:sz w:val="24"/>
          <w:szCs w:val="24"/>
        </w:rPr>
        <w:t xml:space="preserve">See this June 15, </w:t>
      </w:r>
      <w:proofErr w:type="gramStart"/>
      <w:r>
        <w:rPr>
          <w:rFonts w:ascii="Times New Roman" w:hAnsi="Times New Roman"/>
          <w:sz w:val="24"/>
          <w:szCs w:val="24"/>
        </w:rPr>
        <w:t>2021</w:t>
      </w:r>
      <w:proofErr w:type="gramEnd"/>
      <w:r>
        <w:rPr>
          <w:rFonts w:ascii="Times New Roman" w:hAnsi="Times New Roman"/>
          <w:sz w:val="24"/>
          <w:szCs w:val="24"/>
        </w:rPr>
        <w:t xml:space="preserve"> article, “</w:t>
      </w:r>
      <w:r w:rsidRPr="009D5173">
        <w:rPr>
          <w:rFonts w:ascii="Times New Roman" w:hAnsi="Times New Roman"/>
          <w:bCs/>
          <w:sz w:val="24"/>
          <w:szCs w:val="24"/>
        </w:rPr>
        <w:t>Mandatory Vaccination Policy Lawsuit Update: Nurses Take a Shot Against Hospital, But Judge Jabs Back.</w:t>
      </w:r>
      <w:r>
        <w:rPr>
          <w:rFonts w:ascii="Times New Roman" w:hAnsi="Times New Roman"/>
          <w:bCs/>
          <w:sz w:val="24"/>
          <w:szCs w:val="24"/>
        </w:rPr>
        <w:t>”</w:t>
      </w:r>
      <w:r w:rsidRPr="009D5173">
        <w:rPr>
          <w:rFonts w:ascii="Times New Roman" w:hAnsi="Times New Roman"/>
          <w:bCs/>
          <w:sz w:val="24"/>
          <w:szCs w:val="24"/>
        </w:rPr>
        <w:t xml:space="preserve"> </w:t>
      </w:r>
      <w:r>
        <w:rPr>
          <w:rFonts w:ascii="Times New Roman" w:hAnsi="Times New Roman"/>
          <w:bCs/>
          <w:sz w:val="24"/>
          <w:szCs w:val="24"/>
        </w:rPr>
        <w:t xml:space="preserve"> </w:t>
      </w:r>
      <w:hyperlink r:id="rId2321" w:history="1">
        <w:r w:rsidRPr="00B14793">
          <w:rPr>
            <w:rStyle w:val="Hyperlink"/>
            <w:sz w:val="24"/>
            <w:szCs w:val="24"/>
          </w:rPr>
          <w:t>https://www.natlawreview.com/article/mandatory-vaccination-policy-lawsuit-update-nurses-take-shot-against-hospital-judge</w:t>
        </w:r>
      </w:hyperlink>
      <w:r w:rsidRPr="00B14793">
        <w:rPr>
          <w:rFonts w:ascii="Times New Roman" w:hAnsi="Times New Roman"/>
          <w:bCs/>
          <w:sz w:val="24"/>
          <w:szCs w:val="24"/>
        </w:rPr>
        <w:t xml:space="preserve"> </w:t>
      </w:r>
    </w:p>
    <w:p w14:paraId="4B429104" w14:textId="77777777" w:rsidR="00A82898" w:rsidRPr="00B14793" w:rsidRDefault="00A82898" w:rsidP="00A82898">
      <w:pPr>
        <w:pStyle w:val="NoSpacing"/>
        <w:ind w:left="720"/>
        <w:rPr>
          <w:rFonts w:ascii="Times New Roman" w:hAnsi="Times New Roman"/>
          <w:sz w:val="24"/>
          <w:szCs w:val="24"/>
        </w:rPr>
      </w:pPr>
      <w:r w:rsidRPr="00BC7ABC">
        <w:rPr>
          <w:rFonts w:ascii="Times New Roman" w:hAnsi="Times New Roman"/>
          <w:sz w:val="24"/>
          <w:szCs w:val="24"/>
        </w:rPr>
        <w:t xml:space="preserve">Note: In Ohio, there is a “public policy exception” where an employer can be held liable for terminating an “at will” employee in violation of a clear public policy protected by federal or state law [such as firing employee who contacted OSHA, or for filing a workers comp claim].   </w:t>
      </w:r>
      <w:r>
        <w:rPr>
          <w:rFonts w:ascii="Times New Roman" w:hAnsi="Times New Roman"/>
          <w:sz w:val="24"/>
          <w:szCs w:val="24"/>
        </w:rPr>
        <w:t>On June 22, 2021, a</w:t>
      </w:r>
      <w:r w:rsidRPr="00BC7ABC">
        <w:rPr>
          <w:rFonts w:ascii="Times New Roman" w:hAnsi="Times New Roman"/>
          <w:sz w:val="24"/>
          <w:szCs w:val="24"/>
        </w:rPr>
        <w:t>n Ohio law firm recently wrote: “</w:t>
      </w:r>
      <w:r w:rsidRPr="00BC7ABC">
        <w:rPr>
          <w:rFonts w:ascii="Times New Roman" w:eastAsia="Times New Roman" w:hAnsi="Times New Roman"/>
          <w:sz w:val="24"/>
          <w:szCs w:val="24"/>
        </w:rPr>
        <w:t>It is unlikely based on current law that mandating COVID-19 vaccinations violates public policy in Ohio. But that is only under current law.  As of this newsletter, pending Ohio legislation would ban vaccine requirements not just for COVID-19, but all vaccines</w:t>
      </w:r>
      <w:r w:rsidRPr="00BC7ABC">
        <w:rPr>
          <w:rFonts w:ascii="Times New Roman" w:eastAsia="Times New Roman" w:hAnsi="Times New Roman"/>
          <w:b/>
          <w:sz w:val="24"/>
          <w:szCs w:val="24"/>
        </w:rPr>
        <w:t xml:space="preserve">.” </w:t>
      </w:r>
      <w:hyperlink r:id="rId2322" w:history="1">
        <w:r w:rsidRPr="00B14793">
          <w:rPr>
            <w:rStyle w:val="Hyperlink"/>
            <w:sz w:val="24"/>
            <w:szCs w:val="24"/>
          </w:rPr>
          <w:t>https://fisheldowney.com/texas-federal-court-permits-employer-vaccine-mandates-mean-ohio-employers/</w:t>
        </w:r>
      </w:hyperlink>
    </w:p>
    <w:p w14:paraId="53C22503" w14:textId="77777777" w:rsidR="00A82898" w:rsidRDefault="00A82898" w:rsidP="00A82898">
      <w:pPr>
        <w:pStyle w:val="NoSpacing"/>
        <w:rPr>
          <w:rFonts w:ascii="Times New Roman" w:hAnsi="Times New Roman"/>
          <w:sz w:val="24"/>
          <w:szCs w:val="24"/>
        </w:rPr>
      </w:pPr>
    </w:p>
    <w:p w14:paraId="05D1D3FF" w14:textId="77777777" w:rsidR="00A82898" w:rsidRDefault="00A82898" w:rsidP="002B1283">
      <w:pPr>
        <w:rPr>
          <w:rFonts w:ascii="Arial Black" w:hAnsi="Arial Black"/>
          <w:b/>
          <w:bCs/>
          <w:sz w:val="28"/>
          <w:szCs w:val="28"/>
        </w:rPr>
      </w:pPr>
    </w:p>
    <w:p w14:paraId="1A6925C4" w14:textId="77777777" w:rsidR="00A82898" w:rsidRDefault="00A82898" w:rsidP="002B1283">
      <w:pPr>
        <w:rPr>
          <w:rFonts w:ascii="Arial Black" w:hAnsi="Arial Black"/>
          <w:b/>
          <w:bCs/>
          <w:sz w:val="28"/>
          <w:szCs w:val="28"/>
        </w:rPr>
      </w:pPr>
    </w:p>
    <w:p w14:paraId="438D926C" w14:textId="4ADCF9D4" w:rsidR="00B03268" w:rsidRPr="00BC5936" w:rsidRDefault="00B03268" w:rsidP="002B1283">
      <w:pPr>
        <w:rPr>
          <w:rFonts w:ascii="Times New Roman" w:hAnsi="Times New Roman"/>
          <w:sz w:val="24"/>
          <w:szCs w:val="24"/>
        </w:rPr>
      </w:pPr>
      <w:r>
        <w:rPr>
          <w:rFonts w:ascii="Arial Black" w:hAnsi="Arial Black"/>
          <w:b/>
          <w:bCs/>
          <w:sz w:val="28"/>
          <w:szCs w:val="28"/>
        </w:rPr>
        <w:t>13-87</w:t>
      </w:r>
      <w:r w:rsidR="00BC5936">
        <w:rPr>
          <w:rFonts w:ascii="Arial Black" w:hAnsi="Arial Black"/>
          <w:b/>
          <w:bCs/>
          <w:sz w:val="28"/>
          <w:szCs w:val="28"/>
        </w:rPr>
        <w:t xml:space="preserve"> </w:t>
      </w:r>
      <w:r w:rsidR="00BC5936">
        <w:rPr>
          <w:rFonts w:ascii="Times New Roman" w:hAnsi="Times New Roman"/>
          <w:sz w:val="24"/>
          <w:szCs w:val="24"/>
        </w:rPr>
        <w:t xml:space="preserve">[also filed, Chap. 5] </w:t>
      </w:r>
    </w:p>
    <w:p w14:paraId="1D453DB1" w14:textId="77777777" w:rsidR="00B03268" w:rsidRPr="002F193B" w:rsidRDefault="00B03268" w:rsidP="00B03268">
      <w:pPr>
        <w:pStyle w:val="NoSpacing"/>
        <w:rPr>
          <w:rFonts w:ascii="Arial Black" w:hAnsi="Arial Black"/>
          <w:sz w:val="28"/>
          <w:szCs w:val="28"/>
        </w:rPr>
      </w:pPr>
      <w:r>
        <w:rPr>
          <w:rFonts w:ascii="Arial Black" w:hAnsi="Arial Black"/>
          <w:sz w:val="28"/>
          <w:szCs w:val="28"/>
        </w:rPr>
        <w:t>WV: AMBULANCE ROLL OVER - 2 KILLED, EMT’S LAWSUIT HOSP. DISMISSED – MEDICAL CERT. OF MERIT REQUIRED</w:t>
      </w:r>
    </w:p>
    <w:p w14:paraId="045C8313" w14:textId="77777777" w:rsidR="00B03268" w:rsidRDefault="00B03268" w:rsidP="00B03268">
      <w:pPr>
        <w:pStyle w:val="NoSpacing"/>
      </w:pPr>
    </w:p>
    <w:p w14:paraId="6C1D2639" w14:textId="77777777" w:rsidR="00B03268" w:rsidRDefault="00B03268" w:rsidP="00B03268">
      <w:pPr>
        <w:pStyle w:val="NoSpacing"/>
        <w:rPr>
          <w:rFonts w:ascii="Times New Roman" w:hAnsi="Times New Roman"/>
          <w:sz w:val="24"/>
          <w:szCs w:val="24"/>
        </w:rPr>
      </w:pPr>
      <w:r w:rsidRPr="00397962">
        <w:rPr>
          <w:rFonts w:ascii="Times New Roman" w:hAnsi="Times New Roman"/>
          <w:sz w:val="24"/>
          <w:szCs w:val="24"/>
        </w:rPr>
        <w:t xml:space="preserve">On May 20, 2021, in </w:t>
      </w:r>
      <w:r w:rsidRPr="00397962">
        <w:rPr>
          <w:rFonts w:ascii="Times New Roman" w:hAnsi="Times New Roman"/>
          <w:sz w:val="24"/>
          <w:szCs w:val="24"/>
          <w:u w:val="single"/>
        </w:rPr>
        <w:t>Crystal G. Brown and Tri-State Ambulance, Inc. v. Ohio Valley Health Services &amp; Education Corporation; Ohio Valley Medical Center; et al</w:t>
      </w:r>
      <w:r>
        <w:rPr>
          <w:rFonts w:ascii="Times New Roman" w:hAnsi="Times New Roman"/>
          <w:sz w:val="24"/>
          <w:szCs w:val="24"/>
        </w:rPr>
        <w:t xml:space="preserve">., the State of West Virginia Supreme Court of Appeals, </w:t>
      </w:r>
      <w:r w:rsidRPr="00FD6489">
        <w:rPr>
          <w:rStyle w:val="font-weight-bold"/>
          <w:rFonts w:ascii="Times New Roman" w:hAnsi="Times New Roman"/>
          <w:sz w:val="24"/>
          <w:szCs w:val="24"/>
        </w:rPr>
        <w:t>Brown v. Ohio Valley Health Servs. &amp; Educ. Corp. (W. Va. 202</w:t>
      </w:r>
      <w:r>
        <w:rPr>
          <w:rFonts w:ascii="Times New Roman" w:hAnsi="Times New Roman"/>
          <w:sz w:val="24"/>
          <w:szCs w:val="24"/>
        </w:rPr>
        <w:t xml:space="preserve">1, held (3 to 0) that the lawsuit was properly dismissed since the West Virginia code of medical professional liability requires both patients and others suing a health care provider 30 days </w:t>
      </w:r>
      <w:proofErr w:type="gramStart"/>
      <w:r>
        <w:rPr>
          <w:rFonts w:ascii="Times New Roman" w:hAnsi="Times New Roman"/>
          <w:sz w:val="24"/>
          <w:szCs w:val="24"/>
        </w:rPr>
        <w:t>prior</w:t>
      </w:r>
      <w:proofErr w:type="gramEnd"/>
      <w:r>
        <w:rPr>
          <w:rFonts w:ascii="Times New Roman" w:hAnsi="Times New Roman"/>
          <w:sz w:val="24"/>
          <w:szCs w:val="24"/>
        </w:rPr>
        <w:t xml:space="preserve"> written notice, and a certificate of merit by a qualified health care provider.  The EMT in her lawsuit claimed the hospital knew but failed to disclose that transporting the patient to a Columbus, OH hospital was not medically necessary to save his life and that dangerous weather was approaching; the Ambulance company’s insurance provider sought reimbursement for its settlement costs.</w:t>
      </w:r>
    </w:p>
    <w:p w14:paraId="35504CFF" w14:textId="77777777" w:rsidR="00B03268" w:rsidRPr="00FD6489" w:rsidRDefault="00B03268" w:rsidP="00B03268">
      <w:pPr>
        <w:spacing w:before="100" w:beforeAutospacing="1" w:after="100" w:afterAutospacing="1"/>
        <w:ind w:left="720"/>
        <w:rPr>
          <w:rFonts w:ascii="Times New Roman" w:hAnsi="Times New Roman"/>
          <w:sz w:val="24"/>
          <w:szCs w:val="24"/>
        </w:rPr>
      </w:pPr>
      <w:r>
        <w:rPr>
          <w:rFonts w:ascii="Times New Roman" w:hAnsi="Times New Roman"/>
          <w:sz w:val="24"/>
          <w:szCs w:val="24"/>
        </w:rPr>
        <w:t>“</w:t>
      </w:r>
      <w:r w:rsidRPr="00FD6489">
        <w:rPr>
          <w:rFonts w:ascii="Times New Roman" w:hAnsi="Times New Roman"/>
          <w:sz w:val="24"/>
          <w:szCs w:val="24"/>
        </w:rPr>
        <w:t xml:space="preserve">That Petitioner Brown was not the patient does not preclude application of the MPLA. [Medical Professional Liability Act].  In syllabus point 5 of </w:t>
      </w:r>
      <w:r w:rsidRPr="00FD6489">
        <w:rPr>
          <w:rFonts w:ascii="Times New Roman" w:hAnsi="Times New Roman"/>
          <w:i/>
          <w:iCs/>
          <w:sz w:val="24"/>
          <w:szCs w:val="24"/>
        </w:rPr>
        <w:t>Osbourne v</w:t>
      </w:r>
      <w:r w:rsidRPr="00FD6489">
        <w:rPr>
          <w:rFonts w:ascii="Times New Roman" w:hAnsi="Times New Roman"/>
          <w:sz w:val="24"/>
          <w:szCs w:val="24"/>
        </w:rPr>
        <w:t xml:space="preserve">. </w:t>
      </w:r>
      <w:r w:rsidRPr="00FD6489">
        <w:rPr>
          <w:rFonts w:ascii="Times New Roman" w:hAnsi="Times New Roman"/>
          <w:i/>
          <w:iCs/>
          <w:sz w:val="24"/>
          <w:szCs w:val="24"/>
        </w:rPr>
        <w:t>United States</w:t>
      </w:r>
      <w:r w:rsidRPr="00FD6489">
        <w:rPr>
          <w:rFonts w:ascii="Times New Roman" w:hAnsi="Times New Roman"/>
          <w:sz w:val="24"/>
          <w:szCs w:val="24"/>
        </w:rPr>
        <w:t xml:space="preserve">, 211 W. Va. 667, 567 S.E.2d 677 (2002), we held that the Act </w:t>
      </w:r>
      <w:r>
        <w:rPr>
          <w:rFonts w:ascii="Times New Roman" w:hAnsi="Times New Roman"/>
          <w:sz w:val="24"/>
          <w:szCs w:val="24"/>
        </w:rPr>
        <w:t>‘</w:t>
      </w:r>
      <w:r w:rsidRPr="00FD6489">
        <w:rPr>
          <w:rFonts w:ascii="Times New Roman" w:hAnsi="Times New Roman"/>
          <w:sz w:val="24"/>
          <w:szCs w:val="24"/>
        </w:rPr>
        <w:t>permits a third party to bring a cause of action against a health care provider for foreseeable injuries that were proximately caused by the health care provider's negligent treatment of a tortfeasor patient.</w:t>
      </w:r>
      <w:r>
        <w:rPr>
          <w:rFonts w:ascii="Times New Roman" w:hAnsi="Times New Roman"/>
          <w:sz w:val="24"/>
          <w:szCs w:val="24"/>
        </w:rPr>
        <w:t>’</w:t>
      </w:r>
      <w:r w:rsidRPr="00FD6489">
        <w:rPr>
          <w:rFonts w:ascii="Times New Roman" w:hAnsi="Times New Roman"/>
          <w:sz w:val="24"/>
          <w:szCs w:val="24"/>
        </w:rPr>
        <w:t xml:space="preserve"> In reaching this holding, we observed that, in defining </w:t>
      </w:r>
      <w:r>
        <w:rPr>
          <w:rFonts w:ascii="Times New Roman" w:hAnsi="Times New Roman"/>
          <w:sz w:val="24"/>
          <w:szCs w:val="24"/>
        </w:rPr>
        <w:t>‘</w:t>
      </w:r>
      <w:r w:rsidRPr="00FD6489">
        <w:rPr>
          <w:rFonts w:ascii="Times New Roman" w:hAnsi="Times New Roman"/>
          <w:sz w:val="24"/>
          <w:szCs w:val="24"/>
        </w:rPr>
        <w:t>medical professional liability</w:t>
      </w:r>
      <w:r>
        <w:rPr>
          <w:rFonts w:ascii="Times New Roman" w:hAnsi="Times New Roman"/>
          <w:sz w:val="24"/>
          <w:szCs w:val="24"/>
        </w:rPr>
        <w:t xml:space="preserve">.’” </w:t>
      </w:r>
      <w:hyperlink r:id="rId2323" w:history="1">
        <w:r w:rsidRPr="007344F4">
          <w:rPr>
            <w:rStyle w:val="Hyperlink"/>
            <w:sz w:val="24"/>
            <w:szCs w:val="24"/>
          </w:rPr>
          <w:t>https://casetext.com/case/brown-v-ohio-valley-health-servs-educ-corp</w:t>
        </w:r>
      </w:hyperlink>
      <w:r>
        <w:rPr>
          <w:rFonts w:ascii="Times New Roman" w:hAnsi="Times New Roman"/>
          <w:sz w:val="24"/>
          <w:szCs w:val="24"/>
        </w:rPr>
        <w:t xml:space="preserve"> </w:t>
      </w:r>
    </w:p>
    <w:p w14:paraId="3ADAE79C" w14:textId="77777777" w:rsidR="00B03268" w:rsidRPr="006723F9" w:rsidRDefault="00B03268" w:rsidP="00B03268">
      <w:pPr>
        <w:spacing w:before="100" w:beforeAutospacing="1" w:after="100" w:afterAutospacing="1"/>
        <w:rPr>
          <w:rFonts w:ascii="Times New Roman" w:eastAsia="Times New Roman" w:hAnsi="Times New Roman"/>
          <w:b/>
          <w:bCs/>
          <w:sz w:val="24"/>
          <w:szCs w:val="24"/>
        </w:rPr>
      </w:pPr>
      <w:r w:rsidRPr="006723F9">
        <w:rPr>
          <w:rFonts w:ascii="Times New Roman" w:hAnsi="Times New Roman"/>
          <w:b/>
          <w:bCs/>
          <w:sz w:val="24"/>
          <w:szCs w:val="24"/>
        </w:rPr>
        <w:t xml:space="preserve">Legal Lesson Learned:  </w:t>
      </w:r>
      <w:r>
        <w:rPr>
          <w:rFonts w:ascii="Times New Roman" w:hAnsi="Times New Roman"/>
          <w:b/>
          <w:bCs/>
          <w:sz w:val="24"/>
          <w:szCs w:val="24"/>
        </w:rPr>
        <w:t xml:space="preserve">Lawsuit dismissed since EMT and her attorney </w:t>
      </w:r>
      <w:r w:rsidRPr="006723F9">
        <w:rPr>
          <w:rFonts w:ascii="Times New Roman" w:hAnsi="Times New Roman"/>
          <w:b/>
          <w:bCs/>
          <w:sz w:val="24"/>
          <w:szCs w:val="24"/>
        </w:rPr>
        <w:t xml:space="preserve">didn’t </w:t>
      </w:r>
      <w:r>
        <w:rPr>
          <w:rFonts w:ascii="Times New Roman" w:hAnsi="Times New Roman"/>
          <w:b/>
          <w:bCs/>
          <w:sz w:val="24"/>
          <w:szCs w:val="24"/>
        </w:rPr>
        <w:t xml:space="preserve">provide the Certificate of Merit required by the Medical Professional Liability </w:t>
      </w:r>
      <w:r w:rsidRPr="006723F9">
        <w:rPr>
          <w:rFonts w:ascii="Times New Roman" w:hAnsi="Times New Roman"/>
          <w:b/>
          <w:bCs/>
          <w:sz w:val="24"/>
          <w:szCs w:val="24"/>
        </w:rPr>
        <w:t xml:space="preserve">statute. </w:t>
      </w:r>
      <w:r>
        <w:rPr>
          <w:rFonts w:ascii="Times New Roman" w:hAnsi="Times New Roman"/>
          <w:b/>
          <w:bCs/>
          <w:sz w:val="24"/>
          <w:szCs w:val="24"/>
        </w:rPr>
        <w:t xml:space="preserve"> Similar statutes can be found throughout U.S. </w:t>
      </w:r>
    </w:p>
    <w:p w14:paraId="7AF41074" w14:textId="77777777" w:rsidR="00B03268" w:rsidRDefault="00B03268" w:rsidP="00B03268">
      <w:pPr>
        <w:spacing w:before="100" w:beforeAutospacing="1" w:after="100" w:afterAutospacing="1"/>
        <w:ind w:left="720"/>
        <w:rPr>
          <w:rFonts w:ascii="Times New Roman" w:hAnsi="Times New Roman"/>
          <w:sz w:val="24"/>
          <w:szCs w:val="24"/>
        </w:rPr>
      </w:pPr>
      <w:r>
        <w:rPr>
          <w:rFonts w:ascii="Times New Roman" w:eastAsia="Times New Roman" w:hAnsi="Times New Roman"/>
          <w:sz w:val="24"/>
          <w:szCs w:val="24"/>
        </w:rPr>
        <w:t>Note: See this article on the roll over.</w:t>
      </w:r>
    </w:p>
    <w:p w14:paraId="0028289B" w14:textId="77777777" w:rsidR="00B03268" w:rsidRPr="006C56B5" w:rsidRDefault="00B03268" w:rsidP="00B03268">
      <w:pPr>
        <w:ind w:left="720"/>
        <w:rPr>
          <w:rFonts w:ascii="Times New Roman" w:hAnsi="Times New Roman"/>
          <w:sz w:val="24"/>
          <w:szCs w:val="24"/>
        </w:rPr>
      </w:pPr>
      <w:r w:rsidRPr="006C56B5">
        <w:rPr>
          <w:rFonts w:ascii="Times New Roman" w:hAnsi="Times New Roman"/>
          <w:b/>
          <w:bCs/>
          <w:sz w:val="24"/>
          <w:szCs w:val="24"/>
        </w:rPr>
        <w:t>Two Dead After Ambulance Rollover</w:t>
      </w:r>
      <w:r>
        <w:rPr>
          <w:rFonts w:ascii="Times New Roman" w:hAnsi="Times New Roman"/>
          <w:sz w:val="24"/>
          <w:szCs w:val="24"/>
        </w:rPr>
        <w:t xml:space="preserve"> (Dec. 17, 2016): </w:t>
      </w:r>
      <w:hyperlink r:id="rId2324" w:history="1">
        <w:r w:rsidRPr="006C56B5">
          <w:rPr>
            <w:rStyle w:val="Hyperlink"/>
            <w:sz w:val="24"/>
            <w:szCs w:val="24"/>
          </w:rPr>
          <w:t>https://www.zanesvilletimesrecorder.com/story/news/local/2016/12/17/two-dead-after-ambulance-rollover/95557626/</w:t>
        </w:r>
      </w:hyperlink>
      <w:r w:rsidRPr="006C56B5">
        <w:rPr>
          <w:rFonts w:ascii="Times New Roman" w:hAnsi="Times New Roman"/>
          <w:sz w:val="24"/>
          <w:szCs w:val="24"/>
        </w:rPr>
        <w:t xml:space="preserve"> </w:t>
      </w:r>
    </w:p>
    <w:p w14:paraId="1FAA7C88" w14:textId="77777777" w:rsidR="00B03268" w:rsidRPr="006C56B5" w:rsidRDefault="00B03268" w:rsidP="00B03268">
      <w:pPr>
        <w:ind w:left="1440"/>
        <w:rPr>
          <w:rFonts w:ascii="Times New Roman" w:hAnsi="Times New Roman"/>
          <w:sz w:val="24"/>
          <w:szCs w:val="24"/>
        </w:rPr>
      </w:pPr>
      <w:r w:rsidRPr="006C56B5">
        <w:rPr>
          <w:rFonts w:ascii="Times New Roman" w:hAnsi="Times New Roman"/>
          <w:sz w:val="24"/>
          <w:szCs w:val="24"/>
        </w:rPr>
        <w:t>CAMBRIDGE, OH- Two people died early Saturday morning after an ambulance lost control and overturned several times, according to a release from the Cambridge Post of the Ohio Highway Patrol.</w:t>
      </w:r>
    </w:p>
    <w:p w14:paraId="6A78260D" w14:textId="77777777" w:rsidR="00B03268" w:rsidRDefault="00B03268" w:rsidP="00B03268">
      <w:pPr>
        <w:pStyle w:val="gntarbp"/>
        <w:ind w:left="1440"/>
      </w:pPr>
      <w:r>
        <w:t>According to the release, shortly after 2 a.m. an ambulance, registered to Tri State Ambulance, was transporting a patient on I-70 westbound near milepost 176 when it lost control, drove off the left edge of the interstate and overturned multiple times.</w:t>
      </w:r>
    </w:p>
    <w:p w14:paraId="1E58B53D" w14:textId="77777777" w:rsidR="00B03268" w:rsidRDefault="00B03268" w:rsidP="00B03268">
      <w:pPr>
        <w:pStyle w:val="gntarbp"/>
        <w:ind w:left="1440"/>
      </w:pPr>
      <w:r>
        <w:t xml:space="preserve">At the time of the crash, a patient and four emergency medical personnel were in the ambulance. A patient and one of the emergency personnel, both in the patient care area of the ambulance, </w:t>
      </w:r>
      <w:r>
        <w:lastRenderedPageBreak/>
        <w:t>were killed in the crash. The three other emergency personnel sustained minor injuries, which were treated at Southeastern Medical Center.</w:t>
      </w:r>
    </w:p>
    <w:p w14:paraId="4C2DA9F2" w14:textId="77777777" w:rsidR="00B03268" w:rsidRPr="006C56B5" w:rsidRDefault="00B03268" w:rsidP="00B03268">
      <w:pPr>
        <w:pStyle w:val="gntarbp"/>
        <w:ind w:left="1440"/>
      </w:pPr>
      <w:r>
        <w:t xml:space="preserve">Killed in the crash were the patient, Dennis Calvert, 64, of Wheeling West Virginia, and emergency personnel Charles McMahan, 39, of New Matamoras. Injured in the crash </w:t>
      </w:r>
      <w:proofErr w:type="gramStart"/>
      <w:r>
        <w:t>were the driver,</w:t>
      </w:r>
      <w:proofErr w:type="gramEnd"/>
      <w:r>
        <w:t xml:space="preserve"> Crystal Brown, 33</w:t>
      </w:r>
      <w:proofErr w:type="gramStart"/>
      <w:r>
        <w:t>, of</w:t>
      </w:r>
      <w:proofErr w:type="gramEnd"/>
      <w:r>
        <w:t xml:space="preserve"> Proctor, West Virginia, passengers Jennifer Rothwell, 32, of Wheeling, West Virginia, and Randi Watson, 37, of Glen Easton, West Virginia.</w:t>
      </w:r>
    </w:p>
    <w:p w14:paraId="0EDD7904" w14:textId="77777777" w:rsidR="00B03268" w:rsidRPr="00D1078B" w:rsidRDefault="00B03268" w:rsidP="00B03268">
      <w:pPr>
        <w:spacing w:before="100" w:beforeAutospacing="1" w:after="100" w:afterAutospacing="1"/>
        <w:ind w:left="720"/>
        <w:rPr>
          <w:rFonts w:ascii="Times New Roman" w:hAnsi="Times New Roman"/>
          <w:sz w:val="24"/>
          <w:szCs w:val="24"/>
        </w:rPr>
      </w:pPr>
      <w:r w:rsidRPr="00D1078B">
        <w:rPr>
          <w:rFonts w:ascii="Times New Roman" w:hAnsi="Times New Roman"/>
          <w:sz w:val="24"/>
          <w:szCs w:val="24"/>
        </w:rPr>
        <w:t xml:space="preserve">The West Virginia </w:t>
      </w:r>
      <w:r w:rsidRPr="00FD6489">
        <w:rPr>
          <w:rFonts w:ascii="Times New Roman" w:hAnsi="Times New Roman"/>
          <w:sz w:val="24"/>
          <w:szCs w:val="24"/>
        </w:rPr>
        <w:t>Medical Professional Liability Act</w:t>
      </w:r>
      <w:r>
        <w:rPr>
          <w:rFonts w:ascii="Times New Roman" w:hAnsi="Times New Roman"/>
          <w:sz w:val="24"/>
          <w:szCs w:val="24"/>
        </w:rPr>
        <w:t xml:space="preserve"> provides: </w:t>
      </w:r>
      <w:hyperlink r:id="rId2325" w:history="1">
        <w:r w:rsidRPr="00C15479">
          <w:rPr>
            <w:rStyle w:val="Hyperlink"/>
            <w:sz w:val="24"/>
            <w:szCs w:val="24"/>
          </w:rPr>
          <w:t>https://law.justia.com/codes/west-virginia/2017/chapter-55/article-7b/section-55-7b-6/</w:t>
        </w:r>
      </w:hyperlink>
    </w:p>
    <w:p w14:paraId="61784899" w14:textId="77777777" w:rsidR="00B03268" w:rsidRPr="002F193B" w:rsidRDefault="00B03268" w:rsidP="00B03268">
      <w:pPr>
        <w:spacing w:before="100" w:beforeAutospacing="1" w:after="100" w:afterAutospacing="1"/>
        <w:ind w:left="1440"/>
        <w:rPr>
          <w:rFonts w:ascii="Times New Roman" w:eastAsia="Times New Roman" w:hAnsi="Times New Roman"/>
          <w:sz w:val="24"/>
          <w:szCs w:val="24"/>
        </w:rPr>
      </w:pPr>
      <w:r>
        <w:rPr>
          <w:rFonts w:ascii="Times New Roman" w:hAnsi="Times New Roman"/>
          <w:sz w:val="24"/>
          <w:szCs w:val="24"/>
        </w:rPr>
        <w:t>“</w:t>
      </w:r>
      <w:r w:rsidRPr="00D1078B">
        <w:rPr>
          <w:rFonts w:ascii="Times New Roman" w:hAnsi="Times New Roman"/>
          <w:sz w:val="24"/>
          <w:szCs w:val="24"/>
        </w:rPr>
        <w:t xml:space="preserve">(b) At least thirty days prior to the filing of a medical professional liability action against a health care provider, the claimant shall serve by certified mail, return receipt requested, a notice of claim on each health care provider the claimant will join in litigation. The notice of claim shall include a statement of the theory or theories of liability upon which a cause of action may be based, and a list of all health care providers and health care facilities to whom notices of claim are being sent, together with a screening certificate of merit. The screening certificate of merit shall be executed under oath by a health care provider qualified as an expert under the West Virginia rules of evidence and shall state with particularity: (1) The expert’s familiarity with the applicable standard of care in issue; (2) the expert’s qualifications; (3) the expert’s opinion as to how the applicable standard of care was breached; and (4) the expert’s opinion as to how the breach of the applicable standard of care resulted in injury or death. A separate screening certificate of merit must be provided for each health care provider against whom a claim is asserted. The person signing the screening certificate of merit shall have no financial interest in the underlying </w:t>
      </w:r>
      <w:proofErr w:type="gramStart"/>
      <w:r w:rsidRPr="00D1078B">
        <w:rPr>
          <w:rFonts w:ascii="Times New Roman" w:hAnsi="Times New Roman"/>
          <w:sz w:val="24"/>
          <w:szCs w:val="24"/>
        </w:rPr>
        <w:t>claim, but</w:t>
      </w:r>
      <w:proofErr w:type="gramEnd"/>
      <w:r w:rsidRPr="00D1078B">
        <w:rPr>
          <w:rFonts w:ascii="Times New Roman" w:hAnsi="Times New Roman"/>
          <w:sz w:val="24"/>
          <w:szCs w:val="24"/>
        </w:rPr>
        <w:t xml:space="preserve"> may participate as an expert witness in any judicial proceeding. Nothing in this subsection may be construed to limit the application of Rule 15 of the Rules of Civil Procedure.</w:t>
      </w:r>
    </w:p>
    <w:p w14:paraId="175B1BC6" w14:textId="77777777" w:rsidR="00B03268" w:rsidRDefault="00B03268" w:rsidP="002B1283">
      <w:pPr>
        <w:rPr>
          <w:rFonts w:ascii="Arial Black" w:hAnsi="Arial Black"/>
          <w:b/>
          <w:bCs/>
          <w:sz w:val="28"/>
          <w:szCs w:val="28"/>
        </w:rPr>
      </w:pPr>
    </w:p>
    <w:p w14:paraId="3FDDFD58" w14:textId="77777777" w:rsidR="00B03268" w:rsidRDefault="00B03268" w:rsidP="002B1283">
      <w:pPr>
        <w:rPr>
          <w:rFonts w:ascii="Arial Black" w:hAnsi="Arial Black"/>
          <w:b/>
          <w:bCs/>
          <w:sz w:val="28"/>
          <w:szCs w:val="28"/>
        </w:rPr>
      </w:pPr>
    </w:p>
    <w:p w14:paraId="57C217F0" w14:textId="29370C42" w:rsidR="00274525" w:rsidRDefault="00EC1BFB" w:rsidP="002B1283">
      <w:pPr>
        <w:rPr>
          <w:rFonts w:ascii="Arial Black" w:hAnsi="Arial Black"/>
          <w:b/>
          <w:bCs/>
          <w:sz w:val="28"/>
          <w:szCs w:val="28"/>
        </w:rPr>
      </w:pPr>
      <w:r>
        <w:rPr>
          <w:rFonts w:ascii="Arial Black" w:hAnsi="Arial Black"/>
          <w:b/>
          <w:bCs/>
          <w:sz w:val="28"/>
          <w:szCs w:val="28"/>
        </w:rPr>
        <w:t>13-86</w:t>
      </w:r>
    </w:p>
    <w:p w14:paraId="2278C146" w14:textId="77777777" w:rsidR="00EC1BFB" w:rsidRDefault="00EC1BFB" w:rsidP="00EC1BFB">
      <w:pPr>
        <w:pStyle w:val="NoSpacing"/>
        <w:rPr>
          <w:rFonts w:ascii="Arial Black" w:hAnsi="Arial Black"/>
          <w:sz w:val="28"/>
          <w:szCs w:val="28"/>
        </w:rPr>
      </w:pPr>
      <w:r>
        <w:rPr>
          <w:rFonts w:ascii="Arial Black" w:hAnsi="Arial Black"/>
          <w:sz w:val="28"/>
          <w:szCs w:val="28"/>
        </w:rPr>
        <w:t>OH: BATTALION CHIEF FAILED TO REPORT THAT EMT-B STARTED “IO” ON PATIENT – 60-DAY SUSPENSION UPHELD</w:t>
      </w:r>
    </w:p>
    <w:p w14:paraId="0D9B5C72" w14:textId="77777777" w:rsidR="00EC1BFB" w:rsidRPr="006E0916" w:rsidRDefault="00EC1BFB" w:rsidP="00EC1BFB">
      <w:pPr>
        <w:pStyle w:val="NoSpacing"/>
        <w:rPr>
          <w:rFonts w:ascii="Arial Black" w:hAnsi="Arial Black"/>
          <w:sz w:val="28"/>
          <w:szCs w:val="28"/>
        </w:rPr>
      </w:pPr>
    </w:p>
    <w:p w14:paraId="1C3635DE" w14:textId="77777777" w:rsidR="00EC1BFB" w:rsidRPr="00121F16" w:rsidRDefault="00EC1BFB" w:rsidP="00EC1BFB">
      <w:pPr>
        <w:pStyle w:val="NoSpacing"/>
        <w:rPr>
          <w:rFonts w:ascii="Times New Roman" w:hAnsi="Times New Roman"/>
          <w:sz w:val="24"/>
          <w:szCs w:val="24"/>
        </w:rPr>
      </w:pPr>
      <w:r>
        <w:rPr>
          <w:rFonts w:ascii="Times New Roman" w:hAnsi="Times New Roman"/>
          <w:sz w:val="24"/>
          <w:szCs w:val="24"/>
        </w:rPr>
        <w:t xml:space="preserve">On March 26, 2021, in </w:t>
      </w:r>
      <w:r w:rsidRPr="006E0916">
        <w:rPr>
          <w:rFonts w:ascii="Times New Roman" w:hAnsi="Times New Roman"/>
          <w:sz w:val="24"/>
          <w:szCs w:val="24"/>
          <w:u w:val="single"/>
        </w:rPr>
        <w:t>Mark W. Stahl v. Allen-Clay Joint Fire District</w:t>
      </w:r>
      <w:r>
        <w:rPr>
          <w:rFonts w:ascii="Times New Roman" w:hAnsi="Times New Roman"/>
          <w:sz w:val="24"/>
          <w:szCs w:val="24"/>
        </w:rPr>
        <w:t xml:space="preserve">, the Court of Appeals of Ohio, Sixth Appellate District (Ottawa County), held (3 to 0), </w:t>
      </w:r>
      <w:r w:rsidRPr="00421215">
        <w:rPr>
          <w:rFonts w:ascii="Times New Roman" w:hAnsi="Times New Roman"/>
          <w:sz w:val="24"/>
          <w:szCs w:val="24"/>
        </w:rPr>
        <w:t xml:space="preserve">2021 Ohio 986, </w:t>
      </w:r>
      <w:r>
        <w:rPr>
          <w:rFonts w:ascii="Times New Roman" w:hAnsi="Times New Roman"/>
          <w:sz w:val="24"/>
          <w:szCs w:val="24"/>
        </w:rPr>
        <w:t xml:space="preserve">that the Fire District Board had sufficient evidence to impose the discipline on the Battalion Chief, for not reporting to the FD and </w:t>
      </w:r>
      <w:r w:rsidRPr="00121F16">
        <w:rPr>
          <w:rFonts w:ascii="Times New Roman" w:hAnsi="Times New Roman"/>
          <w:sz w:val="24"/>
          <w:szCs w:val="24"/>
        </w:rPr>
        <w:t xml:space="preserve">the Ohio Division of Emergency Medical Services </w:t>
      </w:r>
      <w:r>
        <w:rPr>
          <w:rFonts w:ascii="Times New Roman" w:hAnsi="Times New Roman"/>
          <w:sz w:val="24"/>
          <w:szCs w:val="24"/>
        </w:rPr>
        <w:t xml:space="preserve">that an EMT-B had exceeded his scope of practice by inserting an </w:t>
      </w:r>
      <w:r w:rsidRPr="00121F16">
        <w:rPr>
          <w:rFonts w:ascii="Times New Roman" w:hAnsi="Times New Roman"/>
          <w:sz w:val="24"/>
          <w:szCs w:val="24"/>
        </w:rPr>
        <w:t>intraosseous infusion ("IO")</w:t>
      </w:r>
      <w:r>
        <w:rPr>
          <w:rFonts w:ascii="Times New Roman" w:hAnsi="Times New Roman"/>
          <w:sz w:val="24"/>
          <w:szCs w:val="24"/>
        </w:rPr>
        <w:t xml:space="preserve"> into tibia bone of a cardiac patient.  Note: The EMS run report was completed by a Medic on the run; she incorrectly listed herself as inserting the IO.  </w:t>
      </w:r>
    </w:p>
    <w:p w14:paraId="66BD3ED1" w14:textId="77777777" w:rsidR="00EC1BFB" w:rsidRDefault="00EC1BFB" w:rsidP="00EC1BFB">
      <w:pPr>
        <w:pStyle w:val="NoSpacing"/>
        <w:rPr>
          <w:rFonts w:ascii="Times New Roman" w:hAnsi="Times New Roman"/>
          <w:sz w:val="24"/>
          <w:szCs w:val="24"/>
        </w:rPr>
      </w:pPr>
    </w:p>
    <w:p w14:paraId="051FC879" w14:textId="77777777" w:rsidR="00EC1BFB" w:rsidRDefault="00EC1BFB" w:rsidP="00EC1BFB">
      <w:pPr>
        <w:pStyle w:val="NoSpacing"/>
        <w:ind w:left="720"/>
        <w:rPr>
          <w:rFonts w:ascii="Times New Roman" w:hAnsi="Times New Roman"/>
          <w:sz w:val="24"/>
          <w:szCs w:val="24"/>
        </w:rPr>
      </w:pPr>
      <w:r>
        <w:rPr>
          <w:rFonts w:ascii="Times New Roman" w:hAnsi="Times New Roman"/>
          <w:sz w:val="24"/>
          <w:szCs w:val="24"/>
        </w:rPr>
        <w:t>“</w:t>
      </w:r>
      <w:r w:rsidRPr="006E0916">
        <w:rPr>
          <w:rFonts w:ascii="Times New Roman" w:hAnsi="Times New Roman"/>
          <w:sz w:val="24"/>
          <w:szCs w:val="24"/>
        </w:rPr>
        <w:t xml:space="preserve">The board had before it evidence that Stahl was obligated to supervise firefighters and EMTs at an emergency scene and that he was required to report improper conduct to his superior and to the State </w:t>
      </w:r>
      <w:r w:rsidRPr="006E0916">
        <w:rPr>
          <w:rFonts w:ascii="Times New Roman" w:hAnsi="Times New Roman"/>
          <w:sz w:val="24"/>
          <w:szCs w:val="24"/>
        </w:rPr>
        <w:lastRenderedPageBreak/>
        <w:t xml:space="preserve">Board of Emergency Medical Services and the Northwest Ohio EMS Consortium. Although contested, there was reliable, probative, and substantial evidence that Stahl knew or should have known that improper conduct took place at the scene of an emergency, and he failed to report that conduct. We affirm the June 1, </w:t>
      </w:r>
      <w:proofErr w:type="gramStart"/>
      <w:r w:rsidRPr="006E0916">
        <w:rPr>
          <w:rFonts w:ascii="Times New Roman" w:hAnsi="Times New Roman"/>
          <w:sz w:val="24"/>
          <w:szCs w:val="24"/>
        </w:rPr>
        <w:t>2020</w:t>
      </w:r>
      <w:proofErr w:type="gramEnd"/>
      <w:r w:rsidRPr="006E0916">
        <w:rPr>
          <w:rFonts w:ascii="Times New Roman" w:hAnsi="Times New Roman"/>
          <w:sz w:val="24"/>
          <w:szCs w:val="24"/>
        </w:rPr>
        <w:t xml:space="preserve"> judgment of the Ottawa County Court of Common Pleas. Stahl is ordered to pay the costs of this appeal under </w:t>
      </w:r>
      <w:proofErr w:type="spellStart"/>
      <w:r w:rsidRPr="006E0916">
        <w:rPr>
          <w:rFonts w:ascii="Times New Roman" w:hAnsi="Times New Roman"/>
          <w:sz w:val="24"/>
          <w:szCs w:val="24"/>
        </w:rPr>
        <w:t>App.R</w:t>
      </w:r>
      <w:proofErr w:type="spellEnd"/>
      <w:r w:rsidRPr="006E0916">
        <w:rPr>
          <w:rFonts w:ascii="Times New Roman" w:hAnsi="Times New Roman"/>
          <w:sz w:val="24"/>
          <w:szCs w:val="24"/>
        </w:rPr>
        <w:t>. 24.</w:t>
      </w:r>
      <w:r>
        <w:rPr>
          <w:rFonts w:ascii="Times New Roman" w:hAnsi="Times New Roman"/>
          <w:sz w:val="24"/>
          <w:szCs w:val="24"/>
        </w:rPr>
        <w:t xml:space="preserve">” </w:t>
      </w:r>
    </w:p>
    <w:p w14:paraId="083A8B54" w14:textId="149D36E6" w:rsidR="00EC1BFB" w:rsidRDefault="00EC1BFB" w:rsidP="00EC1BFB">
      <w:pPr>
        <w:ind w:firstLine="720"/>
        <w:rPr>
          <w:rFonts w:ascii="Times New Roman" w:hAnsi="Times New Roman"/>
          <w:sz w:val="24"/>
          <w:szCs w:val="24"/>
        </w:rPr>
      </w:pPr>
      <w:hyperlink r:id="rId2326" w:history="1">
        <w:r w:rsidRPr="00B568EC">
          <w:rPr>
            <w:rStyle w:val="Hyperlink"/>
            <w:rFonts w:ascii="Times New Roman" w:hAnsi="Times New Roman"/>
            <w:sz w:val="24"/>
            <w:szCs w:val="24"/>
          </w:rPr>
          <w:t>http://lcapps.co.lucas.oh.us/Courts/Appeals/DecisionsPDF/9824.pdf</w:t>
        </w:r>
      </w:hyperlink>
    </w:p>
    <w:p w14:paraId="08302EF1" w14:textId="77777777" w:rsidR="00EC1BFB" w:rsidRDefault="00EC1BFB" w:rsidP="00EC1BFB">
      <w:pPr>
        <w:spacing w:before="100" w:beforeAutospacing="1" w:after="100" w:afterAutospacing="1" w:line="240" w:lineRule="auto"/>
        <w:rPr>
          <w:rFonts w:ascii="Times New Roman" w:hAnsi="Times New Roman"/>
          <w:b/>
          <w:bCs/>
          <w:sz w:val="24"/>
          <w:szCs w:val="24"/>
        </w:rPr>
      </w:pPr>
      <w:r w:rsidRPr="008A7E59">
        <w:rPr>
          <w:rFonts w:ascii="Times New Roman" w:hAnsi="Times New Roman"/>
          <w:b/>
          <w:bCs/>
          <w:sz w:val="24"/>
          <w:szCs w:val="24"/>
        </w:rPr>
        <w:t>Legal Lesson Learned:</w:t>
      </w:r>
      <w:r>
        <w:rPr>
          <w:rFonts w:ascii="Times New Roman" w:hAnsi="Times New Roman"/>
          <w:b/>
          <w:bCs/>
          <w:sz w:val="24"/>
          <w:szCs w:val="24"/>
        </w:rPr>
        <w:t xml:space="preserve"> The Officer-In-Charge on an EMS run should ensure that an apparent violation of EMS certificate of practice has been promptly reported to the FD, and to the State EMS Board.  The EMS Run Report should also be corrected to accurately report who started the IO. </w:t>
      </w:r>
    </w:p>
    <w:p w14:paraId="3B8581A2" w14:textId="77777777" w:rsidR="00EC1BFB" w:rsidRPr="00EC1BFB" w:rsidRDefault="00EC1BFB" w:rsidP="00EC1BFB">
      <w:pPr>
        <w:pStyle w:val="Heading2"/>
        <w:ind w:left="720"/>
        <w:rPr>
          <w:rFonts w:ascii="Times New Roman" w:hAnsi="Times New Roman"/>
          <w:b w:val="0"/>
          <w:bCs w:val="0"/>
          <w:i w:val="0"/>
          <w:iCs w:val="0"/>
          <w:sz w:val="24"/>
          <w:szCs w:val="24"/>
        </w:rPr>
      </w:pPr>
      <w:r w:rsidRPr="00EC1BFB">
        <w:rPr>
          <w:rFonts w:ascii="Times New Roman" w:hAnsi="Times New Roman"/>
          <w:b w:val="0"/>
          <w:bCs w:val="0"/>
          <w:i w:val="0"/>
          <w:iCs w:val="0"/>
          <w:sz w:val="24"/>
          <w:szCs w:val="24"/>
        </w:rPr>
        <w:t>Note: Ohio Administrative Code 4765-9-01, 4765-9-01, Professional standards of conduct for a holder of a certificate to practice.</w:t>
      </w:r>
    </w:p>
    <w:p w14:paraId="0BCAF288" w14:textId="77777777" w:rsidR="00EC1BFB" w:rsidRPr="008A7E59" w:rsidRDefault="00EC1BFB" w:rsidP="00EC1BFB">
      <w:pPr>
        <w:spacing w:before="100" w:beforeAutospacing="1" w:after="100" w:afterAutospacing="1" w:line="240" w:lineRule="auto"/>
        <w:ind w:left="1440"/>
        <w:rPr>
          <w:rFonts w:ascii="Times New Roman" w:eastAsia="Times New Roman" w:hAnsi="Times New Roman"/>
          <w:sz w:val="24"/>
          <w:szCs w:val="24"/>
        </w:rPr>
      </w:pPr>
      <w:r>
        <w:rPr>
          <w:rFonts w:ascii="Times New Roman" w:hAnsi="Times New Roman"/>
          <w:sz w:val="24"/>
          <w:szCs w:val="24"/>
        </w:rPr>
        <w:t>“</w:t>
      </w:r>
      <w:r w:rsidRPr="008A7E59">
        <w:rPr>
          <w:rFonts w:ascii="Times New Roman" w:hAnsi="Times New Roman"/>
          <w:sz w:val="24"/>
          <w:szCs w:val="24"/>
        </w:rPr>
        <w:t>(G) A person issued a certificate to practice shall report to the division as soon as practicable any knowledge of a violation of Chapter 4765. of the Revised Code or Chapters 4765-1 to 4765-10 or 4765-12 to 4765-19 of the Administrative Code.</w:t>
      </w:r>
      <w:r>
        <w:rPr>
          <w:rFonts w:ascii="Times New Roman" w:hAnsi="Times New Roman"/>
          <w:sz w:val="24"/>
          <w:szCs w:val="24"/>
        </w:rPr>
        <w:t>”</w:t>
      </w:r>
      <w:r w:rsidRPr="008A7E59">
        <w:t xml:space="preserve"> </w:t>
      </w:r>
      <w:hyperlink r:id="rId2327" w:history="1">
        <w:r w:rsidRPr="00AB20E4">
          <w:rPr>
            <w:rStyle w:val="Hyperlink"/>
            <w:sz w:val="24"/>
            <w:szCs w:val="24"/>
          </w:rPr>
          <w:t>http://codes.ohio.gov/oac/4765-9-01</w:t>
        </w:r>
      </w:hyperlink>
      <w:r>
        <w:rPr>
          <w:rFonts w:ascii="Times New Roman" w:hAnsi="Times New Roman"/>
          <w:sz w:val="24"/>
          <w:szCs w:val="24"/>
        </w:rPr>
        <w:t xml:space="preserve"> </w:t>
      </w:r>
    </w:p>
    <w:p w14:paraId="6E4FD877" w14:textId="77777777" w:rsidR="00EC1BFB" w:rsidRPr="00EC1BFB" w:rsidRDefault="00EC1BFB" w:rsidP="00EC1BFB">
      <w:pPr>
        <w:ind w:firstLine="720"/>
        <w:rPr>
          <w:rFonts w:ascii="Times New Roman" w:hAnsi="Times New Roman"/>
          <w:b/>
          <w:bCs/>
          <w:sz w:val="24"/>
          <w:szCs w:val="24"/>
        </w:rPr>
      </w:pPr>
    </w:p>
    <w:p w14:paraId="1932F9E9" w14:textId="77777777" w:rsidR="00EC1BFB" w:rsidRDefault="00EC1BFB" w:rsidP="002B1283">
      <w:pPr>
        <w:rPr>
          <w:rFonts w:ascii="Arial Black" w:hAnsi="Arial Black"/>
          <w:b/>
          <w:bCs/>
          <w:sz w:val="28"/>
          <w:szCs w:val="28"/>
        </w:rPr>
      </w:pPr>
    </w:p>
    <w:p w14:paraId="6CF266F3" w14:textId="48FFD248" w:rsidR="00EC1BFB" w:rsidRDefault="00EC1BFB" w:rsidP="002B1283">
      <w:pPr>
        <w:rPr>
          <w:rFonts w:ascii="Arial Black" w:hAnsi="Arial Black"/>
          <w:b/>
          <w:bCs/>
          <w:sz w:val="28"/>
          <w:szCs w:val="28"/>
        </w:rPr>
      </w:pPr>
      <w:r>
        <w:rPr>
          <w:rFonts w:ascii="Arial Black" w:hAnsi="Arial Black"/>
          <w:b/>
          <w:bCs/>
          <w:sz w:val="28"/>
          <w:szCs w:val="28"/>
        </w:rPr>
        <w:t>13-85</w:t>
      </w:r>
    </w:p>
    <w:p w14:paraId="41DCAA9D" w14:textId="6E66F5D1" w:rsidR="00EC1BFB" w:rsidRPr="00755CBD" w:rsidRDefault="00EC1BFB" w:rsidP="00EC1BFB">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WA: DEAD BODY BROUGHT TO FD - INTUBATION 15 TIMES – BROTHER HAS STANDING TO SUE IN FEDERAL COURT [AS DOES WIFE]</w:t>
      </w:r>
    </w:p>
    <w:p w14:paraId="498A251F" w14:textId="77777777" w:rsidR="00EC1BFB" w:rsidRDefault="00EC1BFB" w:rsidP="00EC1BFB">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March 18, 2021, in </w:t>
      </w:r>
      <w:r w:rsidRPr="00C778EF">
        <w:rPr>
          <w:rFonts w:ascii="Times New Roman" w:eastAsia="Times New Roman" w:hAnsi="Times New Roman"/>
          <w:sz w:val="24"/>
          <w:szCs w:val="24"/>
          <w:u w:val="single"/>
        </w:rPr>
        <w:t>Robert Fox v. City of Bellingham</w:t>
      </w:r>
      <w:r>
        <w:rPr>
          <w:rFonts w:ascii="Times New Roman" w:eastAsia="Times New Roman" w:hAnsi="Times New Roman"/>
          <w:sz w:val="24"/>
          <w:szCs w:val="24"/>
        </w:rPr>
        <w:t xml:space="preserve">, the Supreme Court of the State of Washington, held (6 to 3) in response to a question by U.S. District Court judge, that Washington Supreme Court advised the federal judge that under state law the brother of the deceased, who lives in California, does have standing to sue for tortious interference with a corpse.   The </w:t>
      </w:r>
      <w:proofErr w:type="gramStart"/>
      <w:r>
        <w:rPr>
          <w:rFonts w:ascii="Times New Roman" w:eastAsia="Times New Roman" w:hAnsi="Times New Roman"/>
          <w:sz w:val="24"/>
          <w:szCs w:val="24"/>
        </w:rPr>
        <w:t>City</w:t>
      </w:r>
      <w:proofErr w:type="gramEnd"/>
      <w:r>
        <w:rPr>
          <w:rFonts w:ascii="Times New Roman" w:eastAsia="Times New Roman" w:hAnsi="Times New Roman"/>
          <w:sz w:val="24"/>
          <w:szCs w:val="24"/>
        </w:rPr>
        <w:t xml:space="preserve"> has already paid $75,000 to the two adult children of the </w:t>
      </w:r>
      <w:proofErr w:type="gramStart"/>
      <w:r>
        <w:rPr>
          <w:rFonts w:ascii="Times New Roman" w:eastAsia="Times New Roman" w:hAnsi="Times New Roman"/>
          <w:sz w:val="24"/>
          <w:szCs w:val="24"/>
        </w:rPr>
        <w:t>deceased, and</w:t>
      </w:r>
      <w:proofErr w:type="gramEnd"/>
      <w:r>
        <w:rPr>
          <w:rFonts w:ascii="Times New Roman" w:eastAsia="Times New Roman" w:hAnsi="Times New Roman"/>
          <w:sz w:val="24"/>
          <w:szCs w:val="24"/>
        </w:rPr>
        <w:t xml:space="preserve"> is being sued by the wife of the deceased.  The Washington Supreme Court rejected the </w:t>
      </w:r>
      <w:r w:rsidRPr="002C32C5">
        <w:rPr>
          <w:rFonts w:ascii="Times New Roman" w:hAnsi="Times New Roman"/>
          <w:sz w:val="24"/>
          <w:szCs w:val="24"/>
        </w:rPr>
        <w:t>City</w:t>
      </w:r>
      <w:r>
        <w:rPr>
          <w:rFonts w:ascii="Times New Roman" w:hAnsi="Times New Roman"/>
          <w:sz w:val="24"/>
          <w:szCs w:val="24"/>
        </w:rPr>
        <w:t>’s</w:t>
      </w:r>
      <w:r w:rsidRPr="002C32C5">
        <w:rPr>
          <w:rFonts w:ascii="Times New Roman" w:hAnsi="Times New Roman"/>
          <w:sz w:val="24"/>
          <w:szCs w:val="24"/>
        </w:rPr>
        <w:t xml:space="preserve"> moved for summary judgment</w:t>
      </w:r>
      <w:r>
        <w:rPr>
          <w:rFonts w:ascii="Times New Roman" w:hAnsi="Times New Roman"/>
          <w:sz w:val="24"/>
          <w:szCs w:val="24"/>
        </w:rPr>
        <w:t xml:space="preserve"> </w:t>
      </w:r>
      <w:r w:rsidRPr="002C32C5">
        <w:rPr>
          <w:rFonts w:ascii="Times New Roman" w:hAnsi="Times New Roman"/>
          <w:sz w:val="24"/>
          <w:szCs w:val="24"/>
        </w:rPr>
        <w:t xml:space="preserve">asserting that </w:t>
      </w:r>
      <w:r>
        <w:rPr>
          <w:rFonts w:ascii="Times New Roman" w:hAnsi="Times New Roman"/>
          <w:sz w:val="24"/>
          <w:szCs w:val="24"/>
        </w:rPr>
        <w:t>Robert</w:t>
      </w:r>
      <w:r w:rsidRPr="002C32C5">
        <w:rPr>
          <w:rFonts w:ascii="Times New Roman" w:hAnsi="Times New Roman"/>
          <w:sz w:val="24"/>
          <w:szCs w:val="24"/>
        </w:rPr>
        <w:t xml:space="preserve"> Fox lacks standing because he is not the designated custodian of his brother's remains under </w:t>
      </w:r>
      <w:hyperlink r:id="rId2328" w:history="1">
        <w:r w:rsidRPr="002C32C5">
          <w:rPr>
            <w:rStyle w:val="Hyperlink"/>
            <w:sz w:val="24"/>
            <w:szCs w:val="24"/>
          </w:rPr>
          <w:t>RCW 68.50.160</w:t>
        </w:r>
      </w:hyperlink>
      <w:r>
        <w:rPr>
          <w:rStyle w:val="Hyperlink"/>
          <w:sz w:val="24"/>
          <w:szCs w:val="24"/>
        </w:rPr>
        <w:t xml:space="preserve"> </w:t>
      </w:r>
      <w:r>
        <w:rPr>
          <w:rFonts w:ascii="Times New Roman" w:hAnsi="Times New Roman"/>
          <w:sz w:val="24"/>
          <w:szCs w:val="24"/>
        </w:rPr>
        <w:t xml:space="preserve">(the deceased’s wife has </w:t>
      </w:r>
      <w:r w:rsidRPr="002C32C5">
        <w:rPr>
          <w:rFonts w:ascii="Times New Roman" w:hAnsi="Times New Roman"/>
          <w:sz w:val="24"/>
          <w:szCs w:val="24"/>
        </w:rPr>
        <w:t xml:space="preserve">care of </w:t>
      </w:r>
      <w:r>
        <w:rPr>
          <w:rFonts w:ascii="Times New Roman" w:hAnsi="Times New Roman"/>
          <w:sz w:val="24"/>
          <w:szCs w:val="24"/>
        </w:rPr>
        <w:t xml:space="preserve">her husband’s </w:t>
      </w:r>
      <w:r w:rsidRPr="002C32C5">
        <w:rPr>
          <w:rFonts w:ascii="Times New Roman" w:hAnsi="Times New Roman"/>
          <w:sz w:val="24"/>
          <w:szCs w:val="24"/>
        </w:rPr>
        <w:t>remains</w:t>
      </w:r>
      <w:r>
        <w:rPr>
          <w:rFonts w:ascii="Times New Roman" w:hAnsi="Times New Roman"/>
          <w:sz w:val="24"/>
          <w:szCs w:val="24"/>
        </w:rPr>
        <w:t>)</w:t>
      </w:r>
      <w:r w:rsidRPr="002C32C5">
        <w:rPr>
          <w:rFonts w:ascii="Times New Roman" w:hAnsi="Times New Roman"/>
          <w:sz w:val="24"/>
          <w:szCs w:val="24"/>
        </w:rPr>
        <w:t>.</w:t>
      </w:r>
      <w:r>
        <w:rPr>
          <w:rFonts w:ascii="Times New Roman" w:hAnsi="Times New Roman"/>
          <w:sz w:val="24"/>
          <w:szCs w:val="24"/>
        </w:rPr>
        <w:t xml:space="preserve">  </w:t>
      </w:r>
      <w:r>
        <w:rPr>
          <w:rFonts w:ascii="Times New Roman" w:eastAsia="Times New Roman" w:hAnsi="Times New Roman"/>
          <w:sz w:val="24"/>
          <w:szCs w:val="24"/>
        </w:rPr>
        <w:t>[Note: Court didn’t explain why different last names of two brothers.]</w:t>
      </w:r>
    </w:p>
    <w:p w14:paraId="53BEF92B" w14:textId="77777777" w:rsidR="00EC1BFB" w:rsidRDefault="00EC1BFB" w:rsidP="00EC1BFB">
      <w:pPr>
        <w:pStyle w:val="NormalWeb"/>
        <w:ind w:left="720"/>
      </w:pPr>
      <w:r>
        <w:t xml:space="preserve">“Mr. Fox lived with his brother during his adult life, and the two spoke to each other weekly. Mr. Fox took part in preparing his brother's </w:t>
      </w:r>
      <w:proofErr w:type="gramStart"/>
      <w:r>
        <w:t>end of life</w:t>
      </w:r>
      <w:proofErr w:type="gramEnd"/>
      <w:r>
        <w:t xml:space="preserve"> celebration. Based on these facts, Mr. Fox has put forth sufficient evidence that he is a ‘close relative’ of his brother and, therefore, has standing to bring suit.”   </w:t>
      </w:r>
      <w:hyperlink r:id="rId2329" w:history="1">
        <w:r w:rsidRPr="001363A6">
          <w:rPr>
            <w:rStyle w:val="Hyperlink"/>
          </w:rPr>
          <w:t>https://casetext.com/case/certification-from-us-dist-court-for-w-dist-of-wash-v-city-of-bellingham</w:t>
        </w:r>
      </w:hyperlink>
      <w:r>
        <w:t xml:space="preserve"> </w:t>
      </w:r>
    </w:p>
    <w:p w14:paraId="2D53ADF1" w14:textId="77777777" w:rsidR="00EC1BFB" w:rsidRDefault="00EC1BFB" w:rsidP="00EC1BFB">
      <w:pPr>
        <w:pStyle w:val="NormalWeb"/>
        <w:rPr>
          <w:b/>
          <w:bCs/>
        </w:rPr>
      </w:pPr>
      <w:r w:rsidRPr="00321C47">
        <w:rPr>
          <w:b/>
          <w:bCs/>
        </w:rPr>
        <w:t xml:space="preserve">Legal Lesson Learned: </w:t>
      </w:r>
      <w:r>
        <w:rPr>
          <w:b/>
          <w:bCs/>
        </w:rPr>
        <w:t xml:space="preserve">Do not use bodies for training without written permission of spouse or other immediate family members. </w:t>
      </w:r>
    </w:p>
    <w:p w14:paraId="7E44CE23" w14:textId="77777777" w:rsidR="00EC1BFB" w:rsidRDefault="00EC1BFB" w:rsidP="00EC1BFB">
      <w:pPr>
        <w:pStyle w:val="NormalWeb"/>
      </w:pPr>
      <w:r>
        <w:rPr>
          <w:b/>
          <w:bCs/>
        </w:rPr>
        <w:tab/>
      </w:r>
      <w:r w:rsidRPr="00321C47">
        <w:t>Note:</w:t>
      </w:r>
      <w:r>
        <w:t xml:space="preserve">  This incident has been in the press. </w:t>
      </w:r>
    </w:p>
    <w:p w14:paraId="30A521E2" w14:textId="77777777" w:rsidR="00EC1BFB" w:rsidRPr="000318D2" w:rsidRDefault="00EC1BFB" w:rsidP="00EC1BFB">
      <w:pPr>
        <w:pStyle w:val="Heading1"/>
        <w:ind w:left="720"/>
        <w:rPr>
          <w:b w:val="0"/>
          <w:bCs w:val="0"/>
          <w:sz w:val="24"/>
          <w:szCs w:val="24"/>
        </w:rPr>
      </w:pPr>
      <w:r>
        <w:rPr>
          <w:rStyle w:val="field"/>
          <w:b w:val="0"/>
          <w:bCs w:val="0"/>
          <w:sz w:val="24"/>
          <w:szCs w:val="24"/>
        </w:rPr>
        <w:t>“</w:t>
      </w:r>
      <w:r w:rsidRPr="00321C47">
        <w:rPr>
          <w:rStyle w:val="field"/>
          <w:b w:val="0"/>
          <w:bCs w:val="0"/>
          <w:sz w:val="24"/>
          <w:szCs w:val="24"/>
        </w:rPr>
        <w:t>Wash. Fire Dept. Faces Fourth Lawsuit for Intubating Dead Patient</w:t>
      </w:r>
      <w:r>
        <w:rPr>
          <w:rStyle w:val="field"/>
          <w:b w:val="0"/>
          <w:bCs w:val="0"/>
          <w:sz w:val="24"/>
          <w:szCs w:val="24"/>
        </w:rPr>
        <w:t>,” July 17, 2019:</w:t>
      </w:r>
      <w:r w:rsidRPr="00321C47">
        <w:rPr>
          <w:rStyle w:val="field"/>
          <w:b w:val="0"/>
          <w:bCs w:val="0"/>
          <w:sz w:val="24"/>
          <w:szCs w:val="24"/>
        </w:rPr>
        <w:t xml:space="preserve"> </w:t>
      </w:r>
      <w:r>
        <w:rPr>
          <w:b w:val="0"/>
          <w:bCs w:val="0"/>
          <w:sz w:val="24"/>
          <w:szCs w:val="24"/>
        </w:rPr>
        <w:t>“</w:t>
      </w:r>
      <w:r w:rsidRPr="000318D2">
        <w:rPr>
          <w:b w:val="0"/>
          <w:bCs w:val="0"/>
          <w:sz w:val="24"/>
          <w:szCs w:val="24"/>
        </w:rPr>
        <w:t xml:space="preserve">The city already has paid $75,000 each to two adult children of Bradley Ginn </w:t>
      </w:r>
      <w:proofErr w:type="gramStart"/>
      <w:r w:rsidRPr="000318D2">
        <w:rPr>
          <w:b w:val="0"/>
          <w:bCs w:val="0"/>
          <w:sz w:val="24"/>
          <w:szCs w:val="24"/>
        </w:rPr>
        <w:t>Sr., and</w:t>
      </w:r>
      <w:proofErr w:type="gramEnd"/>
      <w:r w:rsidRPr="000318D2">
        <w:rPr>
          <w:b w:val="0"/>
          <w:bCs w:val="0"/>
          <w:sz w:val="24"/>
          <w:szCs w:val="24"/>
        </w:rPr>
        <w:t xml:space="preserve"> is facing a $15 million claim filed </w:t>
      </w:r>
      <w:r w:rsidRPr="000318D2">
        <w:rPr>
          <w:b w:val="0"/>
          <w:bCs w:val="0"/>
          <w:sz w:val="24"/>
          <w:szCs w:val="24"/>
        </w:rPr>
        <w:lastRenderedPageBreak/>
        <w:t xml:space="preserve">by Ginn’s widow, Jai Ginn, according to the city attorney’s office. Now, his brother, Robert Fox, who lives in California, has filed a federal lawsuit against the city alleging </w:t>
      </w:r>
      <w:r>
        <w:rPr>
          <w:b w:val="0"/>
          <w:bCs w:val="0"/>
          <w:sz w:val="24"/>
          <w:szCs w:val="24"/>
        </w:rPr>
        <w:t>‘</w:t>
      </w:r>
      <w:r w:rsidRPr="000318D2">
        <w:rPr>
          <w:b w:val="0"/>
          <w:bCs w:val="0"/>
          <w:sz w:val="24"/>
          <w:szCs w:val="24"/>
        </w:rPr>
        <w:t>tortuous interference with a corpse</w:t>
      </w:r>
      <w:r>
        <w:rPr>
          <w:b w:val="0"/>
          <w:bCs w:val="0"/>
          <w:sz w:val="24"/>
          <w:szCs w:val="24"/>
        </w:rPr>
        <w:t xml:space="preserve">’ </w:t>
      </w:r>
      <w:r w:rsidRPr="000318D2">
        <w:rPr>
          <w:b w:val="0"/>
          <w:bCs w:val="0"/>
          <w:sz w:val="24"/>
          <w:szCs w:val="24"/>
        </w:rPr>
        <w:t>after 11 Bellingham Fire Department employees, including an account manager and an office secretary, practiced inserting endotracheal tubes into the body 15 times after placing Ginn’s corpse in a body bag on the floor of a firehouse.</w:t>
      </w:r>
      <w:r>
        <w:rPr>
          <w:b w:val="0"/>
          <w:bCs w:val="0"/>
          <w:sz w:val="24"/>
          <w:szCs w:val="24"/>
        </w:rPr>
        <w:t xml:space="preserve">” </w:t>
      </w:r>
      <w:hyperlink r:id="rId2330" w:history="1">
        <w:r w:rsidRPr="00321C47">
          <w:rPr>
            <w:rStyle w:val="Hyperlink"/>
            <w:b w:val="0"/>
            <w:bCs w:val="0"/>
            <w:sz w:val="24"/>
            <w:szCs w:val="24"/>
          </w:rPr>
          <w:t>https://www.emsworld.com/news/1223006/wash-fire-dept-faces-fourth-lawsuit-intubating-dead-patient</w:t>
        </w:r>
      </w:hyperlink>
      <w:r>
        <w:rPr>
          <w:rStyle w:val="field"/>
          <w:b w:val="0"/>
          <w:bCs w:val="0"/>
          <w:sz w:val="24"/>
          <w:szCs w:val="24"/>
        </w:rPr>
        <w:t xml:space="preserve"> </w:t>
      </w:r>
    </w:p>
    <w:p w14:paraId="4A1196AB" w14:textId="77777777" w:rsidR="00EC1BFB" w:rsidRPr="000318D2" w:rsidRDefault="00EC1BFB" w:rsidP="00EC1BFB">
      <w:pPr>
        <w:pStyle w:val="Heading1"/>
        <w:ind w:left="720"/>
        <w:rPr>
          <w:b w:val="0"/>
          <w:bCs w:val="0"/>
          <w:sz w:val="24"/>
          <w:szCs w:val="24"/>
        </w:rPr>
      </w:pPr>
      <w:r>
        <w:rPr>
          <w:b w:val="0"/>
          <w:bCs w:val="0"/>
          <w:sz w:val="24"/>
          <w:szCs w:val="24"/>
        </w:rPr>
        <w:t>“</w:t>
      </w:r>
      <w:r w:rsidRPr="000318D2">
        <w:rPr>
          <w:b w:val="0"/>
          <w:bCs w:val="0"/>
          <w:sz w:val="24"/>
          <w:szCs w:val="24"/>
        </w:rPr>
        <w:t>WA 'Intubation' Probe Targets Nine FFs,</w:t>
      </w:r>
      <w:r>
        <w:rPr>
          <w:b w:val="0"/>
          <w:bCs w:val="0"/>
          <w:sz w:val="24"/>
          <w:szCs w:val="24"/>
        </w:rPr>
        <w:t>”</w:t>
      </w:r>
      <w:r w:rsidRPr="000318D2">
        <w:rPr>
          <w:b w:val="0"/>
          <w:bCs w:val="0"/>
          <w:sz w:val="24"/>
          <w:szCs w:val="24"/>
        </w:rPr>
        <w:t xml:space="preserve"> Oct. 4, 2018 </w:t>
      </w:r>
      <w:r>
        <w:rPr>
          <w:b w:val="0"/>
          <w:bCs w:val="0"/>
          <w:sz w:val="24"/>
          <w:szCs w:val="24"/>
        </w:rPr>
        <w:t>–</w:t>
      </w:r>
      <w:r w:rsidRPr="000318D2">
        <w:rPr>
          <w:b w:val="0"/>
          <w:bCs w:val="0"/>
          <w:sz w:val="24"/>
          <w:szCs w:val="24"/>
        </w:rPr>
        <w:t xml:space="preserve"> </w:t>
      </w:r>
      <w:r>
        <w:rPr>
          <w:b w:val="0"/>
          <w:bCs w:val="0"/>
          <w:sz w:val="24"/>
          <w:szCs w:val="24"/>
        </w:rPr>
        <w:t>“</w:t>
      </w:r>
      <w:r w:rsidRPr="000318D2">
        <w:rPr>
          <w:b w:val="0"/>
          <w:bCs w:val="0"/>
          <w:sz w:val="24"/>
          <w:szCs w:val="24"/>
        </w:rPr>
        <w:t xml:space="preserve">Washington's Department of Health is investigating nine Bellingham firefighters after it was revealed that intubations were performed on a dead man. </w:t>
      </w:r>
      <w:hyperlink r:id="rId2331" w:history="1">
        <w:r w:rsidRPr="000318D2">
          <w:rPr>
            <w:rStyle w:val="Hyperlink"/>
            <w:b w:val="0"/>
            <w:bCs w:val="0"/>
            <w:sz w:val="24"/>
            <w:szCs w:val="24"/>
          </w:rPr>
          <w:t>https://www.firehouse.com/ems/news/21025612/bellingham-wa-investigation-probe-firefighters-intubation-dead-body</w:t>
        </w:r>
      </w:hyperlink>
      <w:r w:rsidRPr="000318D2">
        <w:rPr>
          <w:b w:val="0"/>
          <w:bCs w:val="0"/>
          <w:sz w:val="24"/>
          <w:szCs w:val="24"/>
        </w:rPr>
        <w:t xml:space="preserve"> </w:t>
      </w:r>
    </w:p>
    <w:p w14:paraId="1FCE0779" w14:textId="77777777" w:rsidR="00EC1BFB" w:rsidRDefault="00EC1BFB" w:rsidP="00EC1BFB">
      <w:pPr>
        <w:pStyle w:val="NormalWeb"/>
      </w:pPr>
    </w:p>
    <w:p w14:paraId="2DD98662" w14:textId="77777777" w:rsidR="00EC1BFB" w:rsidRDefault="00EC1BFB" w:rsidP="002B1283">
      <w:pPr>
        <w:rPr>
          <w:rFonts w:ascii="Arial Black" w:hAnsi="Arial Black"/>
          <w:b/>
          <w:bCs/>
          <w:sz w:val="28"/>
          <w:szCs w:val="28"/>
        </w:rPr>
      </w:pPr>
    </w:p>
    <w:p w14:paraId="6A7A837F" w14:textId="77777777" w:rsidR="00EC1BFB" w:rsidRDefault="00EC1BFB" w:rsidP="002B1283">
      <w:pPr>
        <w:rPr>
          <w:rFonts w:ascii="Arial Black" w:hAnsi="Arial Black"/>
          <w:b/>
          <w:bCs/>
          <w:sz w:val="28"/>
          <w:szCs w:val="28"/>
        </w:rPr>
      </w:pPr>
    </w:p>
    <w:p w14:paraId="5DF01CFD" w14:textId="2A64721D" w:rsidR="00EC1BFB" w:rsidRDefault="00EC1BFB" w:rsidP="002B1283">
      <w:pPr>
        <w:rPr>
          <w:rFonts w:ascii="Arial Black" w:hAnsi="Arial Black"/>
          <w:b/>
          <w:bCs/>
          <w:sz w:val="28"/>
          <w:szCs w:val="28"/>
        </w:rPr>
      </w:pPr>
      <w:r>
        <w:rPr>
          <w:rFonts w:ascii="Arial Black" w:hAnsi="Arial Black"/>
          <w:b/>
          <w:bCs/>
          <w:sz w:val="28"/>
          <w:szCs w:val="28"/>
        </w:rPr>
        <w:t>13-84</w:t>
      </w:r>
    </w:p>
    <w:p w14:paraId="096F135A" w14:textId="77777777" w:rsidR="00EC1BFB" w:rsidRPr="005C57DC" w:rsidRDefault="00EC1BFB" w:rsidP="00EC1BFB">
      <w:pPr>
        <w:spacing w:before="100" w:beforeAutospacing="1" w:after="100" w:afterAutospacing="1" w:line="240" w:lineRule="auto"/>
        <w:rPr>
          <w:rFonts w:ascii="Arial Black" w:hAnsi="Arial Black"/>
          <w:b/>
          <w:bCs/>
          <w:sz w:val="28"/>
          <w:szCs w:val="28"/>
        </w:rPr>
      </w:pPr>
      <w:r w:rsidRPr="005C57DC">
        <w:rPr>
          <w:rFonts w:ascii="Arial Black" w:hAnsi="Arial Black"/>
          <w:b/>
          <w:bCs/>
          <w:sz w:val="28"/>
          <w:szCs w:val="28"/>
        </w:rPr>
        <w:t>ND: AIR AMBULANCES – FED. STATUTE PROHIBITS STATE FROM REGULATING PRICE</w:t>
      </w:r>
      <w:r>
        <w:rPr>
          <w:rFonts w:ascii="Arial Black" w:hAnsi="Arial Black"/>
          <w:b/>
          <w:bCs/>
          <w:sz w:val="28"/>
          <w:szCs w:val="28"/>
        </w:rPr>
        <w:t>S O</w:t>
      </w:r>
      <w:r w:rsidRPr="005C57DC">
        <w:rPr>
          <w:rFonts w:ascii="Arial Black" w:hAnsi="Arial Black"/>
          <w:b/>
          <w:bCs/>
          <w:sz w:val="28"/>
          <w:szCs w:val="28"/>
        </w:rPr>
        <w:t>R SELLING SUBSCRIPTIONS</w:t>
      </w:r>
    </w:p>
    <w:p w14:paraId="0546202B" w14:textId="77777777" w:rsidR="00EC1BFB" w:rsidRPr="000911B4" w:rsidRDefault="00EC1BFB" w:rsidP="00EC1BFB">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March 17, 2021, in </w:t>
      </w:r>
      <w:r w:rsidRPr="00BB67DD">
        <w:rPr>
          <w:rFonts w:ascii="Times New Roman" w:hAnsi="Times New Roman"/>
          <w:sz w:val="24"/>
          <w:szCs w:val="24"/>
          <w:u w:val="single"/>
        </w:rPr>
        <w:t xml:space="preserve">Guardian Flight LLC v. Jon Godfread, </w:t>
      </w:r>
      <w:r>
        <w:rPr>
          <w:rFonts w:ascii="Times New Roman" w:hAnsi="Times New Roman"/>
          <w:sz w:val="24"/>
          <w:szCs w:val="24"/>
          <w:u w:val="single"/>
        </w:rPr>
        <w:t xml:space="preserve">in his capacity as </w:t>
      </w:r>
      <w:r w:rsidRPr="00BB67DD">
        <w:rPr>
          <w:rFonts w:ascii="Times New Roman" w:hAnsi="Times New Roman"/>
          <w:sz w:val="24"/>
          <w:szCs w:val="24"/>
          <w:u w:val="single"/>
        </w:rPr>
        <w:t xml:space="preserve">North Dakota Insurance Commissioner, </w:t>
      </w:r>
      <w:r>
        <w:rPr>
          <w:rFonts w:ascii="Times New Roman" w:hAnsi="Times New Roman"/>
          <w:sz w:val="24"/>
          <w:szCs w:val="24"/>
          <w:u w:val="single"/>
        </w:rPr>
        <w:t xml:space="preserve">and Wayne Stenehjem, in his capacity as North Dakota Attorney General, </w:t>
      </w:r>
      <w:r w:rsidRPr="00BB67DD">
        <w:rPr>
          <w:rFonts w:ascii="Times New Roman" w:hAnsi="Times New Roman"/>
          <w:sz w:val="24"/>
          <w:szCs w:val="24"/>
          <w:u w:val="single"/>
        </w:rPr>
        <w:t>et al</w:t>
      </w:r>
      <w:r>
        <w:rPr>
          <w:rFonts w:ascii="Times New Roman" w:hAnsi="Times New Roman"/>
          <w:sz w:val="24"/>
          <w:szCs w:val="24"/>
        </w:rPr>
        <w:t>., the U.S. Court of Appeals for the 8</w:t>
      </w:r>
      <w:r w:rsidRPr="00BB67DD">
        <w:rPr>
          <w:rFonts w:ascii="Times New Roman" w:hAnsi="Times New Roman"/>
          <w:sz w:val="24"/>
          <w:szCs w:val="24"/>
          <w:vertAlign w:val="superscript"/>
        </w:rPr>
        <w:t>th</w:t>
      </w:r>
      <w:r>
        <w:rPr>
          <w:rFonts w:ascii="Times New Roman" w:hAnsi="Times New Roman"/>
          <w:sz w:val="24"/>
          <w:szCs w:val="24"/>
        </w:rPr>
        <w:t xml:space="preserve"> Circuit (St. Louis, MO) held (3 to 0) in favor of Guardian Flight, holding that Nebraska’s 2017 statute seeking to control the price of air ambulance transports, and lawsuits to collect those bills, violates Federal Airlines Deregulation Act.  The federal statute preempts the State of </w:t>
      </w:r>
      <w:r w:rsidRPr="000911B4">
        <w:rPr>
          <w:rFonts w:ascii="Times New Roman" w:hAnsi="Times New Roman"/>
          <w:sz w:val="24"/>
          <w:szCs w:val="24"/>
        </w:rPr>
        <w:t>Nebraska</w:t>
      </w:r>
      <w:r>
        <w:rPr>
          <w:rFonts w:ascii="Times New Roman" w:hAnsi="Times New Roman"/>
          <w:sz w:val="24"/>
          <w:szCs w:val="24"/>
        </w:rPr>
        <w:t xml:space="preserve">’s attempt to control pricing, in response to </w:t>
      </w:r>
      <w:r w:rsidRPr="000911B4">
        <w:rPr>
          <w:rFonts w:ascii="Times New Roman" w:hAnsi="Times New Roman"/>
          <w:sz w:val="24"/>
          <w:szCs w:val="24"/>
        </w:rPr>
        <w:t xml:space="preserve">about 40 complaints </w:t>
      </w:r>
      <w:r>
        <w:rPr>
          <w:rFonts w:ascii="Times New Roman" w:hAnsi="Times New Roman"/>
          <w:sz w:val="24"/>
          <w:szCs w:val="24"/>
        </w:rPr>
        <w:t>(</w:t>
      </w:r>
      <w:r w:rsidRPr="000911B4">
        <w:rPr>
          <w:rFonts w:ascii="Times New Roman" w:hAnsi="Times New Roman"/>
          <w:sz w:val="24"/>
          <w:szCs w:val="24"/>
        </w:rPr>
        <w:t>2014 and early 2018</w:t>
      </w:r>
      <w:r>
        <w:rPr>
          <w:rFonts w:ascii="Times New Roman" w:hAnsi="Times New Roman"/>
          <w:sz w:val="24"/>
          <w:szCs w:val="24"/>
        </w:rPr>
        <w:t>)</w:t>
      </w:r>
      <w:r w:rsidRPr="000911B4">
        <w:rPr>
          <w:rFonts w:ascii="Times New Roman" w:hAnsi="Times New Roman"/>
          <w:sz w:val="24"/>
          <w:szCs w:val="24"/>
        </w:rPr>
        <w:t xml:space="preserve">, </w:t>
      </w:r>
      <w:r>
        <w:rPr>
          <w:rFonts w:ascii="Times New Roman" w:hAnsi="Times New Roman"/>
          <w:sz w:val="24"/>
          <w:szCs w:val="24"/>
        </w:rPr>
        <w:t xml:space="preserve">where privately </w:t>
      </w:r>
      <w:r w:rsidRPr="000911B4">
        <w:rPr>
          <w:rFonts w:ascii="Times New Roman" w:hAnsi="Times New Roman"/>
          <w:sz w:val="24"/>
          <w:szCs w:val="24"/>
        </w:rPr>
        <w:t>insured</w:t>
      </w:r>
      <w:r>
        <w:rPr>
          <w:rFonts w:ascii="Times New Roman" w:hAnsi="Times New Roman"/>
          <w:sz w:val="24"/>
          <w:szCs w:val="24"/>
        </w:rPr>
        <w:t xml:space="preserve"> patients</w:t>
      </w:r>
      <w:r w:rsidRPr="000911B4">
        <w:rPr>
          <w:rFonts w:ascii="Times New Roman" w:hAnsi="Times New Roman"/>
          <w:sz w:val="24"/>
          <w:szCs w:val="24"/>
        </w:rPr>
        <w:t xml:space="preserve"> often were billed more than $20,000 for air ambulance transport—and sometimes more than $40,000—which represented the balances remaining after the insurers paid their portions</w:t>
      </w:r>
      <w:r>
        <w:rPr>
          <w:rFonts w:ascii="Times New Roman" w:hAnsi="Times New Roman"/>
          <w:sz w:val="24"/>
          <w:szCs w:val="24"/>
        </w:rPr>
        <w:t xml:space="preserve">. </w:t>
      </w:r>
    </w:p>
    <w:p w14:paraId="6E4CB522" w14:textId="77777777" w:rsidR="00EC1BFB" w:rsidRPr="00BB67DD" w:rsidRDefault="00EC1BFB" w:rsidP="00EC1BFB">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BB67DD">
        <w:rPr>
          <w:rFonts w:ascii="Times New Roman" w:hAnsi="Times New Roman"/>
          <w:sz w:val="24"/>
          <w:szCs w:val="24"/>
        </w:rPr>
        <w:t>The ADA [Airlines Deregulation Act]</w:t>
      </w:r>
      <w:r>
        <w:t xml:space="preserve"> </w:t>
      </w:r>
      <w:r w:rsidRPr="00BB67DD">
        <w:rPr>
          <w:rFonts w:ascii="Times New Roman" w:hAnsi="Times New Roman"/>
          <w:sz w:val="24"/>
          <w:szCs w:val="24"/>
        </w:rPr>
        <w:t xml:space="preserve">expressly preempts states from </w:t>
      </w:r>
      <w:r>
        <w:rPr>
          <w:rFonts w:ascii="Times New Roman" w:hAnsi="Times New Roman"/>
          <w:sz w:val="24"/>
          <w:szCs w:val="24"/>
        </w:rPr>
        <w:t>‘</w:t>
      </w:r>
      <w:r w:rsidRPr="00BB67DD">
        <w:rPr>
          <w:rFonts w:ascii="Times New Roman" w:hAnsi="Times New Roman"/>
          <w:sz w:val="24"/>
          <w:szCs w:val="24"/>
        </w:rPr>
        <w:t>enact[</w:t>
      </w:r>
      <w:proofErr w:type="spellStart"/>
      <w:r w:rsidRPr="00BB67DD">
        <w:rPr>
          <w:rFonts w:ascii="Times New Roman" w:hAnsi="Times New Roman"/>
          <w:sz w:val="24"/>
          <w:szCs w:val="24"/>
        </w:rPr>
        <w:t>ing</w:t>
      </w:r>
      <w:proofErr w:type="spellEnd"/>
      <w:r w:rsidRPr="00BB67DD">
        <w:rPr>
          <w:rFonts w:ascii="Times New Roman" w:hAnsi="Times New Roman"/>
          <w:sz w:val="24"/>
          <w:szCs w:val="24"/>
        </w:rPr>
        <w:t xml:space="preserve">] or </w:t>
      </w:r>
      <w:r>
        <w:rPr>
          <w:rFonts w:ascii="Times New Roman" w:hAnsi="Times New Roman"/>
          <w:sz w:val="24"/>
          <w:szCs w:val="24"/>
        </w:rPr>
        <w:t>enforce[</w:t>
      </w:r>
      <w:proofErr w:type="spellStart"/>
      <w:r w:rsidRPr="00BB67DD">
        <w:rPr>
          <w:rFonts w:ascii="Times New Roman" w:hAnsi="Times New Roman"/>
          <w:sz w:val="24"/>
          <w:szCs w:val="24"/>
        </w:rPr>
        <w:t>ing</w:t>
      </w:r>
      <w:proofErr w:type="spellEnd"/>
      <w:r w:rsidRPr="00BB67DD">
        <w:rPr>
          <w:rFonts w:ascii="Times New Roman" w:hAnsi="Times New Roman"/>
          <w:sz w:val="24"/>
          <w:szCs w:val="24"/>
        </w:rPr>
        <w:t>] a law, regulation, or other provision having the force and effect of law related to a price, route, or service of an air carrier.</w:t>
      </w:r>
      <w:r>
        <w:rPr>
          <w:rFonts w:ascii="Times New Roman" w:hAnsi="Times New Roman"/>
          <w:sz w:val="24"/>
          <w:szCs w:val="24"/>
        </w:rPr>
        <w:t>’</w:t>
      </w:r>
      <w:r w:rsidRPr="00BB67DD">
        <w:rPr>
          <w:rFonts w:ascii="Times New Roman" w:hAnsi="Times New Roman"/>
          <w:sz w:val="24"/>
          <w:szCs w:val="24"/>
        </w:rPr>
        <w:t xml:space="preserve"> 49 U.S.C. § 41713(b).</w:t>
      </w:r>
    </w:p>
    <w:p w14:paraId="0FCDDD4E" w14:textId="77777777" w:rsidR="00EC1BFB" w:rsidRDefault="00EC1BFB" w:rsidP="00EC1BFB">
      <w:pPr>
        <w:pStyle w:val="NormalWeb"/>
        <w:ind w:firstLine="720"/>
      </w:pPr>
      <w:r>
        <w:t>***</w:t>
      </w:r>
    </w:p>
    <w:p w14:paraId="67AFA7DD" w14:textId="77777777" w:rsidR="00EC1BFB" w:rsidRDefault="00EC1BFB" w:rsidP="00EC1BFB">
      <w:pPr>
        <w:pStyle w:val="NormalWeb"/>
        <w:ind w:left="720"/>
      </w:pPr>
      <w:r>
        <w:t xml:space="preserve">We thus conclude that the ADA … preempts both the payment provision and the subscription provision. </w:t>
      </w:r>
      <w:r>
        <w:rPr>
          <w:u w:val="single"/>
        </w:rPr>
        <w:t>See</w:t>
      </w:r>
      <w:r>
        <w:t xml:space="preserve"> </w:t>
      </w:r>
      <w:r>
        <w:rPr>
          <w:u w:val="single"/>
        </w:rPr>
        <w:t>id.</w:t>
      </w:r>
      <w:r>
        <w:t xml:space="preserve"> at 769-70; </w:t>
      </w:r>
      <w:r>
        <w:rPr>
          <w:u w:val="single"/>
        </w:rPr>
        <w:t>Bailey v. Rocky Mountain Holdings, LLC</w:t>
      </w:r>
      <w:r>
        <w:t xml:space="preserve">, 889 F.3d 1259, 1272 (11th Cir. 2018) (holding that the ADA preempts the enforcement of a state statute prohibiting an air ambulance provider's balance billing); </w:t>
      </w:r>
      <w:proofErr w:type="spellStart"/>
      <w:r>
        <w:rPr>
          <w:u w:val="single"/>
        </w:rPr>
        <w:t>EagleMed</w:t>
      </w:r>
      <w:proofErr w:type="spellEnd"/>
      <w:r>
        <w:rPr>
          <w:u w:val="single"/>
        </w:rPr>
        <w:t xml:space="preserve"> LLC v. Cox</w:t>
      </w:r>
      <w:r>
        <w:t>, 868 F.3d 893, 902-04 (10th Cir. 2017) (holding that the ADA preempted a state statute that ‘expressly establish[ed] a mandatory fixed maximum rate that [would] be paid by the State for air-ambulance services provided to injured workers covered by the Worker's Compensation Act’).</w:t>
      </w:r>
    </w:p>
    <w:p w14:paraId="58C7C1C5" w14:textId="77777777" w:rsidR="00EC1BFB" w:rsidRPr="000911B4" w:rsidRDefault="00EC1BFB" w:rsidP="00EC1BFB">
      <w:pPr>
        <w:spacing w:before="100" w:beforeAutospacing="1" w:after="100" w:afterAutospacing="1" w:line="240" w:lineRule="auto"/>
        <w:ind w:left="720"/>
        <w:rPr>
          <w:rFonts w:ascii="Times New Roman" w:hAnsi="Times New Roman"/>
          <w:sz w:val="24"/>
          <w:szCs w:val="24"/>
        </w:rPr>
      </w:pPr>
      <w:r w:rsidRPr="000911B4">
        <w:rPr>
          <w:rFonts w:ascii="Times New Roman" w:hAnsi="Times New Roman"/>
          <w:sz w:val="24"/>
          <w:szCs w:val="24"/>
        </w:rPr>
        <w:t xml:space="preserve">Because North Dakota's subscription provision seeks to regulate the relationship between only a consumer and an air ambulance company, it cannot be said that it was enacted for the purpose of regulating the business of insurance. </w:t>
      </w:r>
      <w:r w:rsidRPr="000911B4">
        <w:rPr>
          <w:rFonts w:ascii="Times New Roman" w:hAnsi="Times New Roman"/>
          <w:sz w:val="24"/>
          <w:szCs w:val="24"/>
          <w:u w:val="single"/>
        </w:rPr>
        <w:t>See</w:t>
      </w:r>
      <w:r w:rsidRPr="000911B4">
        <w:rPr>
          <w:rFonts w:ascii="Times New Roman" w:hAnsi="Times New Roman"/>
          <w:sz w:val="24"/>
          <w:szCs w:val="24"/>
        </w:rPr>
        <w:t xml:space="preserve"> </w:t>
      </w:r>
      <w:proofErr w:type="spellStart"/>
      <w:r w:rsidRPr="000911B4">
        <w:rPr>
          <w:rFonts w:ascii="Times New Roman" w:hAnsi="Times New Roman"/>
          <w:sz w:val="24"/>
          <w:szCs w:val="24"/>
          <w:u w:val="single"/>
        </w:rPr>
        <w:t>Nat'l</w:t>
      </w:r>
      <w:proofErr w:type="spellEnd"/>
      <w:r w:rsidRPr="000911B4">
        <w:rPr>
          <w:rFonts w:ascii="Times New Roman" w:hAnsi="Times New Roman"/>
          <w:sz w:val="24"/>
          <w:szCs w:val="24"/>
          <w:u w:val="single"/>
        </w:rPr>
        <w:t xml:space="preserve"> Sec., Inc.</w:t>
      </w:r>
      <w:r w:rsidRPr="000911B4">
        <w:rPr>
          <w:rFonts w:ascii="Times New Roman" w:hAnsi="Times New Roman"/>
          <w:sz w:val="24"/>
          <w:szCs w:val="24"/>
        </w:rPr>
        <w:t xml:space="preserve">, 393 U.S. at 460; </w:t>
      </w:r>
      <w:r w:rsidRPr="000911B4">
        <w:rPr>
          <w:rFonts w:ascii="Times New Roman" w:hAnsi="Times New Roman"/>
          <w:sz w:val="24"/>
          <w:szCs w:val="24"/>
          <w:u w:val="single"/>
        </w:rPr>
        <w:t>Fabe</w:t>
      </w:r>
      <w:r w:rsidRPr="000911B4">
        <w:rPr>
          <w:rFonts w:ascii="Times New Roman" w:hAnsi="Times New Roman"/>
          <w:sz w:val="24"/>
          <w:szCs w:val="24"/>
        </w:rPr>
        <w:t xml:space="preserve">, 508 U.S. at 505; </w:t>
      </w:r>
      <w:r w:rsidRPr="000911B4">
        <w:rPr>
          <w:rFonts w:ascii="Times New Roman" w:hAnsi="Times New Roman"/>
          <w:sz w:val="24"/>
          <w:szCs w:val="24"/>
          <w:u w:val="single"/>
        </w:rPr>
        <w:t>Taylor</w:t>
      </w:r>
      <w:r w:rsidRPr="000911B4">
        <w:rPr>
          <w:rFonts w:ascii="Times New Roman" w:hAnsi="Times New Roman"/>
          <w:sz w:val="24"/>
          <w:szCs w:val="24"/>
        </w:rPr>
        <w:t xml:space="preserve">, </w:t>
      </w:r>
      <w:r w:rsidRPr="000911B4">
        <w:rPr>
          <w:rFonts w:ascii="Times New Roman" w:hAnsi="Times New Roman"/>
          <w:sz w:val="24"/>
          <w:szCs w:val="24"/>
        </w:rPr>
        <w:lastRenderedPageBreak/>
        <w:t xml:space="preserve">907 F.2d at 779-80. The McCarran-Ferguson Act thus does not save the subscription agreement from ADA preemption.”  </w:t>
      </w:r>
      <w:hyperlink r:id="rId2332" w:history="1">
        <w:r w:rsidRPr="000911B4">
          <w:rPr>
            <w:rStyle w:val="Hyperlink"/>
            <w:sz w:val="24"/>
            <w:szCs w:val="24"/>
          </w:rPr>
          <w:t>https://www.ca8.uscourts.gov/sites/ca8/files/opinions/191343P.pdf</w:t>
        </w:r>
      </w:hyperlink>
      <w:r w:rsidRPr="000911B4">
        <w:rPr>
          <w:rFonts w:ascii="Times New Roman" w:hAnsi="Times New Roman"/>
          <w:sz w:val="24"/>
          <w:szCs w:val="24"/>
        </w:rPr>
        <w:t xml:space="preserve"> </w:t>
      </w:r>
    </w:p>
    <w:p w14:paraId="1BE4DB4D" w14:textId="77777777" w:rsidR="00EC1BFB" w:rsidRPr="00DD7541" w:rsidRDefault="00EC1BFB" w:rsidP="00EC1BFB">
      <w:pPr>
        <w:spacing w:before="100" w:beforeAutospacing="1" w:after="100" w:afterAutospacing="1" w:line="240" w:lineRule="auto"/>
        <w:rPr>
          <w:rFonts w:ascii="Times New Roman" w:eastAsia="Times New Roman" w:hAnsi="Times New Roman"/>
          <w:sz w:val="24"/>
          <w:szCs w:val="24"/>
        </w:rPr>
      </w:pPr>
      <w:r w:rsidRPr="00C11389">
        <w:rPr>
          <w:rFonts w:ascii="Times New Roman" w:hAnsi="Times New Roman"/>
          <w:b/>
          <w:bCs/>
          <w:sz w:val="24"/>
          <w:szCs w:val="24"/>
        </w:rPr>
        <w:t>Legal Lesson Learned:</w:t>
      </w:r>
      <w:r>
        <w:rPr>
          <w:rFonts w:ascii="Times New Roman" w:hAnsi="Times New Roman"/>
          <w:b/>
          <w:bCs/>
          <w:sz w:val="24"/>
          <w:szCs w:val="24"/>
        </w:rPr>
        <w:t xml:space="preserve">  Air care ambulances, and the airline industry, has strong Federal statutory protection from regulation by States </w:t>
      </w:r>
      <w:r w:rsidRPr="00C11389">
        <w:rPr>
          <w:rFonts w:ascii="Times New Roman" w:hAnsi="Times New Roman"/>
          <w:b/>
          <w:bCs/>
          <w:sz w:val="24"/>
          <w:szCs w:val="24"/>
        </w:rPr>
        <w:t xml:space="preserve">concerning </w:t>
      </w:r>
      <w:r>
        <w:rPr>
          <w:rFonts w:ascii="Times New Roman" w:hAnsi="Times New Roman"/>
          <w:b/>
          <w:bCs/>
          <w:sz w:val="24"/>
          <w:szCs w:val="24"/>
        </w:rPr>
        <w:t>“</w:t>
      </w:r>
      <w:r w:rsidRPr="00DD7541">
        <w:rPr>
          <w:rFonts w:ascii="Times New Roman" w:eastAsia="Times New Roman" w:hAnsi="Times New Roman"/>
          <w:b/>
          <w:bCs/>
          <w:sz w:val="24"/>
          <w:szCs w:val="24"/>
        </w:rPr>
        <w:t>price, route, or service</w:t>
      </w:r>
      <w:r>
        <w:rPr>
          <w:rFonts w:ascii="Times New Roman" w:eastAsia="Times New Roman" w:hAnsi="Times New Roman"/>
          <w:b/>
          <w:bCs/>
          <w:sz w:val="24"/>
          <w:szCs w:val="24"/>
        </w:rPr>
        <w:t>.”</w:t>
      </w:r>
      <w:r>
        <w:rPr>
          <w:rFonts w:ascii="Times New Roman" w:hAnsi="Times New Roman"/>
          <w:b/>
          <w:bCs/>
          <w:sz w:val="24"/>
          <w:szCs w:val="24"/>
        </w:rPr>
        <w:t xml:space="preserve"> </w:t>
      </w:r>
    </w:p>
    <w:p w14:paraId="72388287" w14:textId="77777777" w:rsidR="00EC1BFB" w:rsidRDefault="00EC1BFB" w:rsidP="002B1283">
      <w:pPr>
        <w:rPr>
          <w:rFonts w:ascii="Arial Black" w:hAnsi="Arial Black"/>
          <w:b/>
          <w:bCs/>
          <w:sz w:val="28"/>
          <w:szCs w:val="28"/>
        </w:rPr>
      </w:pPr>
    </w:p>
    <w:p w14:paraId="7419B83E" w14:textId="77777777" w:rsidR="00EC1BFB" w:rsidRDefault="00EC1BFB" w:rsidP="002B1283">
      <w:pPr>
        <w:rPr>
          <w:rFonts w:ascii="Arial Black" w:hAnsi="Arial Black"/>
          <w:b/>
          <w:bCs/>
          <w:sz w:val="28"/>
          <w:szCs w:val="28"/>
        </w:rPr>
      </w:pPr>
    </w:p>
    <w:p w14:paraId="1A3C8B88" w14:textId="5F950CD2" w:rsidR="00274525" w:rsidRDefault="00274525" w:rsidP="002B1283">
      <w:pPr>
        <w:rPr>
          <w:rFonts w:ascii="Arial Black" w:hAnsi="Arial Black"/>
          <w:b/>
          <w:bCs/>
          <w:sz w:val="28"/>
          <w:szCs w:val="28"/>
        </w:rPr>
      </w:pPr>
      <w:r>
        <w:rPr>
          <w:rFonts w:ascii="Arial Black" w:hAnsi="Arial Black"/>
          <w:b/>
          <w:bCs/>
          <w:sz w:val="28"/>
          <w:szCs w:val="28"/>
        </w:rPr>
        <w:t>13-83</w:t>
      </w:r>
    </w:p>
    <w:p w14:paraId="63D542B2" w14:textId="77777777" w:rsidR="00EC1BFB" w:rsidRPr="00891C10" w:rsidRDefault="00EC1BFB" w:rsidP="00EC1BFB">
      <w:pPr>
        <w:pStyle w:val="NoSpacing"/>
        <w:rPr>
          <w:rFonts w:ascii="Arial Black" w:hAnsi="Arial Black"/>
          <w:sz w:val="28"/>
          <w:szCs w:val="28"/>
        </w:rPr>
      </w:pPr>
      <w:r>
        <w:rPr>
          <w:rFonts w:ascii="Arial Black" w:hAnsi="Arial Black"/>
          <w:sz w:val="28"/>
          <w:szCs w:val="28"/>
        </w:rPr>
        <w:t xml:space="preserve">NM: PREGNANT / INMATE - 30 HRS IN LABOR, CHILD DIED – JAIL EMS NOT GOV’T EMPLOYEES, NO GOV’T IMMUNITY </w:t>
      </w:r>
    </w:p>
    <w:p w14:paraId="076C9FFA" w14:textId="77777777" w:rsidR="00EC1BFB" w:rsidRDefault="00EC1BFB" w:rsidP="00EC1BFB">
      <w:pPr>
        <w:pStyle w:val="NoSpacing"/>
      </w:pPr>
    </w:p>
    <w:p w14:paraId="6D41F037" w14:textId="77777777" w:rsidR="00EC1BFB" w:rsidRPr="00B0543C" w:rsidRDefault="00EC1BFB" w:rsidP="00EC1BFB">
      <w:pPr>
        <w:pStyle w:val="NoSpacing"/>
        <w:rPr>
          <w:rFonts w:ascii="Times New Roman" w:hAnsi="Times New Roman"/>
          <w:sz w:val="24"/>
          <w:szCs w:val="24"/>
        </w:rPr>
      </w:pPr>
      <w:r>
        <w:rPr>
          <w:rFonts w:ascii="Times New Roman" w:hAnsi="Times New Roman"/>
          <w:sz w:val="24"/>
          <w:szCs w:val="24"/>
        </w:rPr>
        <w:t xml:space="preserve">On March 2, 2021, in </w:t>
      </w:r>
      <w:r w:rsidRPr="00B0543C">
        <w:rPr>
          <w:rFonts w:ascii="Times New Roman" w:hAnsi="Times New Roman"/>
          <w:sz w:val="24"/>
          <w:szCs w:val="24"/>
          <w:u w:val="single"/>
        </w:rPr>
        <w:t>Shawna Tanner, et al., v, Timothy I. McMurray, et al</w:t>
      </w:r>
      <w:r>
        <w:rPr>
          <w:rFonts w:ascii="Times New Roman" w:hAnsi="Times New Roman"/>
          <w:sz w:val="24"/>
          <w:szCs w:val="24"/>
        </w:rPr>
        <w:t>, the U.S. Court of Appeals for the 10</w:t>
      </w:r>
      <w:r w:rsidRPr="00B0543C">
        <w:rPr>
          <w:rFonts w:ascii="Times New Roman" w:hAnsi="Times New Roman"/>
          <w:sz w:val="24"/>
          <w:szCs w:val="24"/>
          <w:vertAlign w:val="superscript"/>
        </w:rPr>
        <w:t>th</w:t>
      </w:r>
      <w:r>
        <w:rPr>
          <w:rFonts w:ascii="Times New Roman" w:hAnsi="Times New Roman"/>
          <w:sz w:val="24"/>
          <w:szCs w:val="24"/>
        </w:rPr>
        <w:t xml:space="preserve"> Circuit (Denver, CO) held (3 to 0) that the Medical Doctor and RNs are employed full time with Correct Care Solutions, LLC, which provides medical care in 200 jails in 38 states, do not enjoy governmental immunity; case remanded to U.S. District Court judge in New Mexico for trial.  </w:t>
      </w:r>
    </w:p>
    <w:p w14:paraId="15A9693E" w14:textId="77777777" w:rsidR="00EC1BFB" w:rsidRPr="00B0543C" w:rsidRDefault="00EC1BFB" w:rsidP="00EC1BFB">
      <w:pPr>
        <w:spacing w:before="100" w:beforeAutospacing="1" w:after="100" w:afterAutospacing="1" w:line="240" w:lineRule="auto"/>
        <w:ind w:left="720"/>
        <w:rPr>
          <w:rFonts w:ascii="Times New Roman" w:hAnsi="Times New Roman"/>
          <w:sz w:val="24"/>
          <w:szCs w:val="24"/>
        </w:rPr>
      </w:pPr>
      <w:r w:rsidRPr="00B0543C">
        <w:rPr>
          <w:rFonts w:ascii="Times New Roman" w:hAnsi="Times New Roman"/>
          <w:sz w:val="24"/>
          <w:szCs w:val="24"/>
        </w:rPr>
        <w:t>“Tanner was approximately 35 weeks pregnant and in custody at the Metropolitan Detention Center in Bernalillo County, New Mexico.</w:t>
      </w:r>
    </w:p>
    <w:p w14:paraId="1F371B5C" w14:textId="77777777" w:rsidR="00EC1BFB" w:rsidRPr="00B0543C" w:rsidRDefault="00EC1BFB" w:rsidP="00EC1BFB">
      <w:pPr>
        <w:spacing w:before="100" w:beforeAutospacing="1" w:after="100" w:afterAutospacing="1" w:line="240" w:lineRule="auto"/>
        <w:ind w:left="720"/>
        <w:rPr>
          <w:rFonts w:ascii="Times New Roman" w:eastAsia="Times New Roman" w:hAnsi="Times New Roman"/>
          <w:kern w:val="36"/>
          <w:sz w:val="24"/>
          <w:szCs w:val="24"/>
        </w:rPr>
      </w:pPr>
      <w:r w:rsidRPr="00B0543C">
        <w:rPr>
          <w:rFonts w:ascii="Times New Roman" w:hAnsi="Times New Roman"/>
          <w:sz w:val="24"/>
          <w:szCs w:val="24"/>
        </w:rPr>
        <w:t>***</w:t>
      </w:r>
    </w:p>
    <w:p w14:paraId="202155DE" w14:textId="77777777" w:rsidR="00EC1BFB" w:rsidRDefault="00EC1BFB" w:rsidP="00EC1BFB">
      <w:pPr>
        <w:spacing w:before="100" w:beforeAutospacing="1" w:after="100" w:afterAutospacing="1" w:line="240" w:lineRule="auto"/>
        <w:ind w:left="720"/>
        <w:rPr>
          <w:rFonts w:ascii="Times New Roman" w:hAnsi="Times New Roman"/>
          <w:sz w:val="24"/>
          <w:szCs w:val="24"/>
        </w:rPr>
      </w:pPr>
      <w:r w:rsidRPr="00B0543C">
        <w:rPr>
          <w:rFonts w:ascii="Times New Roman" w:hAnsi="Times New Roman"/>
          <w:sz w:val="24"/>
          <w:szCs w:val="24"/>
        </w:rPr>
        <w:t xml:space="preserve">When paramedics arrived, they found Tanner in clear pain, </w:t>
      </w:r>
      <w:proofErr w:type="gramStart"/>
      <w:r w:rsidRPr="00B0543C">
        <w:rPr>
          <w:rFonts w:ascii="Times New Roman" w:hAnsi="Times New Roman"/>
          <w:sz w:val="24"/>
          <w:szCs w:val="24"/>
        </w:rPr>
        <w:t>laying</w:t>
      </w:r>
      <w:proofErr w:type="gramEnd"/>
      <w:r w:rsidRPr="00B0543C">
        <w:rPr>
          <w:rFonts w:ascii="Times New Roman" w:hAnsi="Times New Roman"/>
          <w:sz w:val="24"/>
          <w:szCs w:val="24"/>
        </w:rPr>
        <w:t xml:space="preserve"> on a table in the medical unit, appearing to be in labor. Tanner was "obviously having contractions." Several medical personnel were around Tanner when the paramedics arrived. McMurray was standing alone in the back of the room. When it was suggested that it was McMurray's responsibility to deliver the baby, the doctor shook his head in the negative, threw up his hands, and did not move from the corner. Instead, the paramedics delivered Tanner's child. He was born with his umbilical cord wrapped around his neck. There was no pulse. He was not breathing. McMurray remained silent in the back of the room as a paramedic used a bulb syringe to clear the baby's airway. It was too late. The thirty-hour childbirth ordeal was over. The baby was dead.</w:t>
      </w:r>
    </w:p>
    <w:p w14:paraId="39E7D707" w14:textId="77777777" w:rsidR="00EC1BFB" w:rsidRDefault="00EC1BFB" w:rsidP="00EC1BFB">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0E30F5EC" w14:textId="77777777" w:rsidR="00EC1BFB" w:rsidRPr="00B0543C" w:rsidRDefault="00EC1BFB" w:rsidP="00EC1BFB">
      <w:pPr>
        <w:spacing w:before="100" w:beforeAutospacing="1" w:after="100" w:afterAutospacing="1" w:line="240" w:lineRule="auto"/>
        <w:ind w:left="720"/>
        <w:rPr>
          <w:rFonts w:ascii="Times New Roman" w:hAnsi="Times New Roman"/>
          <w:sz w:val="24"/>
          <w:szCs w:val="24"/>
        </w:rPr>
      </w:pPr>
      <w:r w:rsidRPr="00B0543C">
        <w:rPr>
          <w:rFonts w:ascii="Times New Roman" w:hAnsi="Times New Roman"/>
          <w:sz w:val="24"/>
          <w:szCs w:val="24"/>
        </w:rPr>
        <w:t>Neither historical justifications of special government immunity nor modern policy considerations support the extension of a qualified immunity defense to Appellees—private medical professionals employed full-time by a multi-state, for-profit corporation systematically organized to provide medical care in correctional facilities.</w:t>
      </w:r>
      <w:r>
        <w:rPr>
          <w:rFonts w:ascii="Times New Roman" w:hAnsi="Times New Roman"/>
          <w:sz w:val="24"/>
          <w:szCs w:val="24"/>
        </w:rPr>
        <w:t xml:space="preserve">” </w:t>
      </w:r>
      <w:hyperlink r:id="rId2333" w:history="1">
        <w:r w:rsidRPr="00E277E9">
          <w:rPr>
            <w:rStyle w:val="Hyperlink"/>
            <w:sz w:val="24"/>
            <w:szCs w:val="24"/>
          </w:rPr>
          <w:t>https://www.ca10.uscourts.gov/opinions/19/19-2166.pdf</w:t>
        </w:r>
      </w:hyperlink>
      <w:r>
        <w:rPr>
          <w:rFonts w:ascii="Times New Roman" w:hAnsi="Times New Roman"/>
          <w:sz w:val="24"/>
          <w:szCs w:val="24"/>
        </w:rPr>
        <w:t xml:space="preserve"> </w:t>
      </w:r>
    </w:p>
    <w:p w14:paraId="73D1D987" w14:textId="77777777" w:rsidR="00EC1BFB" w:rsidRPr="00F22EDC" w:rsidRDefault="00EC1BFB" w:rsidP="00EC1BFB">
      <w:pPr>
        <w:pStyle w:val="NoSpacing"/>
        <w:rPr>
          <w:rFonts w:ascii="Times New Roman" w:hAnsi="Times New Roman"/>
          <w:b/>
          <w:bCs/>
          <w:sz w:val="24"/>
          <w:szCs w:val="24"/>
        </w:rPr>
      </w:pPr>
      <w:r w:rsidRPr="00F22EDC">
        <w:rPr>
          <w:rFonts w:ascii="Times New Roman" w:hAnsi="Times New Roman"/>
          <w:b/>
          <w:bCs/>
          <w:sz w:val="24"/>
          <w:szCs w:val="24"/>
        </w:rPr>
        <w:t xml:space="preserve">Legal Lesson Learned: </w:t>
      </w:r>
      <w:r>
        <w:rPr>
          <w:rFonts w:ascii="Times New Roman" w:hAnsi="Times New Roman"/>
          <w:b/>
          <w:bCs/>
          <w:sz w:val="24"/>
          <w:szCs w:val="24"/>
        </w:rPr>
        <w:t xml:space="preserve">EMS working for private </w:t>
      </w:r>
      <w:proofErr w:type="gramStart"/>
      <w:r>
        <w:rPr>
          <w:rFonts w:ascii="Times New Roman" w:hAnsi="Times New Roman"/>
          <w:b/>
          <w:bCs/>
          <w:sz w:val="24"/>
          <w:szCs w:val="24"/>
        </w:rPr>
        <w:t>ambulance</w:t>
      </w:r>
      <w:proofErr w:type="gramEnd"/>
      <w:r>
        <w:rPr>
          <w:rFonts w:ascii="Times New Roman" w:hAnsi="Times New Roman"/>
          <w:b/>
          <w:bCs/>
          <w:sz w:val="24"/>
          <w:szCs w:val="24"/>
        </w:rPr>
        <w:t xml:space="preserve"> or other private </w:t>
      </w:r>
      <w:proofErr w:type="gramStart"/>
      <w:r>
        <w:rPr>
          <w:rFonts w:ascii="Times New Roman" w:hAnsi="Times New Roman"/>
          <w:b/>
          <w:bCs/>
          <w:sz w:val="24"/>
          <w:szCs w:val="24"/>
        </w:rPr>
        <w:t>employer</w:t>
      </w:r>
      <w:proofErr w:type="gramEnd"/>
      <w:r>
        <w:rPr>
          <w:rFonts w:ascii="Times New Roman" w:hAnsi="Times New Roman"/>
          <w:b/>
          <w:bCs/>
          <w:sz w:val="24"/>
          <w:szCs w:val="24"/>
        </w:rPr>
        <w:t xml:space="preserve"> must confirm the employer has insurance to defend and indemnify EMS employees.</w:t>
      </w:r>
    </w:p>
    <w:p w14:paraId="54930528" w14:textId="77777777" w:rsidR="00EC1BFB" w:rsidRPr="00C379C5" w:rsidRDefault="00EC1BFB" w:rsidP="00EC1BFB">
      <w:pPr>
        <w:pStyle w:val="NoSpacing"/>
        <w:ind w:left="720"/>
        <w:rPr>
          <w:rFonts w:ascii="Times New Roman" w:hAnsi="Times New Roman"/>
          <w:sz w:val="24"/>
          <w:szCs w:val="24"/>
        </w:rPr>
      </w:pPr>
    </w:p>
    <w:p w14:paraId="2739A5C7" w14:textId="77777777" w:rsidR="00EC1BFB" w:rsidRPr="00CE063B" w:rsidRDefault="00EC1BFB" w:rsidP="00EC1BFB">
      <w:pPr>
        <w:pStyle w:val="NoSpacing"/>
        <w:ind w:left="1440"/>
        <w:rPr>
          <w:rFonts w:ascii="Times New Roman" w:eastAsia="Times New Roman" w:hAnsi="Times New Roman"/>
          <w:b/>
          <w:bCs/>
          <w:sz w:val="24"/>
          <w:szCs w:val="24"/>
        </w:rPr>
      </w:pPr>
      <w:r>
        <w:rPr>
          <w:rFonts w:ascii="Times New Roman" w:hAnsi="Times New Roman"/>
          <w:sz w:val="24"/>
          <w:szCs w:val="24"/>
        </w:rPr>
        <w:t xml:space="preserve">Note:  Part-time or contract personnel performing services for a </w:t>
      </w:r>
      <w:proofErr w:type="gramStart"/>
      <w:r>
        <w:rPr>
          <w:rFonts w:ascii="Times New Roman" w:hAnsi="Times New Roman"/>
          <w:sz w:val="24"/>
          <w:szCs w:val="24"/>
        </w:rPr>
        <w:t>Government</w:t>
      </w:r>
      <w:proofErr w:type="gramEnd"/>
      <w:r>
        <w:rPr>
          <w:rFonts w:ascii="Times New Roman" w:hAnsi="Times New Roman"/>
          <w:sz w:val="24"/>
          <w:szCs w:val="24"/>
        </w:rPr>
        <w:t xml:space="preserve"> employer may enjoy governmental immunity.  The U.S. Supreme Court is </w:t>
      </w:r>
      <w:proofErr w:type="spellStart"/>
      <w:r w:rsidRPr="002934BB">
        <w:rPr>
          <w:rFonts w:ascii="Times New Roman" w:hAnsi="Times New Roman"/>
          <w:sz w:val="24"/>
          <w:szCs w:val="24"/>
          <w:u w:val="single"/>
        </w:rPr>
        <w:t>Filarsky</w:t>
      </w:r>
      <w:proofErr w:type="spellEnd"/>
      <w:r w:rsidRPr="002934BB">
        <w:rPr>
          <w:rFonts w:ascii="Times New Roman" w:hAnsi="Times New Roman"/>
          <w:sz w:val="24"/>
          <w:szCs w:val="24"/>
          <w:u w:val="single"/>
        </w:rPr>
        <w:t xml:space="preserve"> v. Delia</w:t>
      </w:r>
      <w:r w:rsidRPr="002934BB">
        <w:rPr>
          <w:rFonts w:ascii="Times New Roman" w:hAnsi="Times New Roman"/>
          <w:sz w:val="24"/>
          <w:szCs w:val="24"/>
        </w:rPr>
        <w:t>, 566 U.S. 377 (2012</w:t>
      </w:r>
      <w:r>
        <w:rPr>
          <w:rFonts w:ascii="Times New Roman" w:hAnsi="Times New Roman"/>
          <w:sz w:val="24"/>
          <w:szCs w:val="24"/>
        </w:rPr>
        <w:t xml:space="preserve">), held (9 to 0) that an attorney retained by a Fire Department to conduct an investigation of a firefighter off work on injury leave while allegedly doing heavy repairs of on his home [he </w:t>
      </w:r>
      <w:r>
        <w:rPr>
          <w:rFonts w:ascii="Times New Roman" w:hAnsi="Times New Roman"/>
          <w:sz w:val="24"/>
          <w:szCs w:val="24"/>
        </w:rPr>
        <w:lastRenderedPageBreak/>
        <w:t>brought out to his front lawn four rolls of insulation] has governmental immunity.  “[I]</w:t>
      </w:r>
      <w:proofErr w:type="spellStart"/>
      <w:r w:rsidRPr="00CE063B">
        <w:rPr>
          <w:rFonts w:ascii="Times New Roman" w:hAnsi="Times New Roman"/>
          <w:sz w:val="24"/>
          <w:szCs w:val="24"/>
        </w:rPr>
        <w:t>mmunity</w:t>
      </w:r>
      <w:proofErr w:type="spellEnd"/>
      <w:r w:rsidRPr="00CE063B">
        <w:rPr>
          <w:rFonts w:ascii="Times New Roman" w:hAnsi="Times New Roman"/>
          <w:sz w:val="24"/>
          <w:szCs w:val="24"/>
        </w:rPr>
        <w:t xml:space="preserve"> under §1983 should not vary depending on whether an individual working for the government does so as a</w:t>
      </w:r>
      <w:r>
        <w:rPr>
          <w:rFonts w:ascii="Times New Roman" w:hAnsi="Times New Roman"/>
          <w:sz w:val="24"/>
          <w:szCs w:val="24"/>
        </w:rPr>
        <w:t xml:space="preserve"> </w:t>
      </w:r>
      <w:r w:rsidRPr="00CE063B">
        <w:rPr>
          <w:rFonts w:ascii="Times New Roman" w:hAnsi="Times New Roman"/>
          <w:sz w:val="24"/>
          <w:szCs w:val="24"/>
        </w:rPr>
        <w:t>full-time employee, or on some other basis.</w:t>
      </w:r>
      <w:r>
        <w:rPr>
          <w:rFonts w:ascii="Times New Roman" w:hAnsi="Times New Roman"/>
          <w:sz w:val="24"/>
          <w:szCs w:val="24"/>
        </w:rPr>
        <w:t xml:space="preserve">” </w:t>
      </w:r>
      <w:hyperlink r:id="rId2334" w:history="1">
        <w:r w:rsidRPr="00E277E9">
          <w:rPr>
            <w:rStyle w:val="Hyperlink"/>
            <w:sz w:val="24"/>
            <w:szCs w:val="24"/>
          </w:rPr>
          <w:t>https://www.supremecourt.gov/opinions/11pdf/10-1018.pdf</w:t>
        </w:r>
      </w:hyperlink>
      <w:r>
        <w:rPr>
          <w:rFonts w:ascii="Times New Roman" w:hAnsi="Times New Roman"/>
          <w:sz w:val="24"/>
          <w:szCs w:val="24"/>
        </w:rPr>
        <w:t xml:space="preserve"> </w:t>
      </w:r>
    </w:p>
    <w:p w14:paraId="69997964" w14:textId="77777777" w:rsidR="00EC1BFB" w:rsidRDefault="00EC1BFB" w:rsidP="00EC1BFB">
      <w:pPr>
        <w:pStyle w:val="NoSpacing"/>
        <w:ind w:left="720"/>
        <w:rPr>
          <w:rFonts w:ascii="Times New Roman" w:hAnsi="Times New Roman"/>
          <w:sz w:val="24"/>
          <w:szCs w:val="24"/>
        </w:rPr>
      </w:pPr>
    </w:p>
    <w:p w14:paraId="3FD2D0B6" w14:textId="77777777" w:rsidR="00EC1BFB" w:rsidRDefault="00EC1BFB" w:rsidP="00EC1BFB">
      <w:pPr>
        <w:pStyle w:val="NoSpacing"/>
        <w:ind w:left="720" w:firstLine="720"/>
        <w:rPr>
          <w:rFonts w:ascii="Times New Roman" w:hAnsi="Times New Roman"/>
          <w:sz w:val="24"/>
          <w:szCs w:val="24"/>
        </w:rPr>
      </w:pPr>
      <w:r>
        <w:rPr>
          <w:rFonts w:ascii="Times New Roman" w:hAnsi="Times New Roman"/>
          <w:sz w:val="24"/>
          <w:szCs w:val="24"/>
        </w:rPr>
        <w:t>In Ohio, Medical Directors also enjoy immunity:</w:t>
      </w:r>
    </w:p>
    <w:p w14:paraId="159DB8BA" w14:textId="77777777" w:rsidR="00EC1BFB" w:rsidRDefault="00EC1BFB" w:rsidP="00EC1BFB">
      <w:pPr>
        <w:pStyle w:val="NoSpacing"/>
        <w:ind w:left="720" w:firstLine="720"/>
        <w:rPr>
          <w:rFonts w:ascii="Times New Roman" w:hAnsi="Times New Roman"/>
          <w:sz w:val="24"/>
          <w:szCs w:val="24"/>
        </w:rPr>
      </w:pPr>
      <w:hyperlink r:id="rId2335" w:history="1">
        <w:r w:rsidRPr="00D60E44">
          <w:rPr>
            <w:rStyle w:val="Hyperlink"/>
            <w:sz w:val="24"/>
            <w:szCs w:val="24"/>
          </w:rPr>
          <w:t>https://codes.ohio.gov/ohio-revised-code/section-4765.49</w:t>
        </w:r>
      </w:hyperlink>
      <w:r>
        <w:rPr>
          <w:rFonts w:ascii="Times New Roman" w:hAnsi="Times New Roman"/>
          <w:sz w:val="24"/>
          <w:szCs w:val="24"/>
        </w:rPr>
        <w:t xml:space="preserve"> </w:t>
      </w:r>
    </w:p>
    <w:p w14:paraId="5EC46C8B" w14:textId="77777777" w:rsidR="00EC1BFB" w:rsidRDefault="00EC1BFB" w:rsidP="00EC1BFB">
      <w:pPr>
        <w:pStyle w:val="NoSpacing"/>
        <w:ind w:left="1440"/>
        <w:rPr>
          <w:rFonts w:ascii="Times New Roman" w:hAnsi="Times New Roman"/>
          <w:sz w:val="24"/>
          <w:szCs w:val="24"/>
        </w:rPr>
      </w:pPr>
      <w:r>
        <w:rPr>
          <w:rFonts w:ascii="Times New Roman" w:hAnsi="Times New Roman"/>
          <w:sz w:val="24"/>
          <w:szCs w:val="24"/>
        </w:rPr>
        <w:t>4765.49 (A): “</w:t>
      </w:r>
      <w:r w:rsidRPr="00F22EDC">
        <w:rPr>
          <w:rFonts w:ascii="Times New Roman" w:hAnsi="Times New Roman"/>
          <w:sz w:val="24"/>
          <w:szCs w:val="24"/>
        </w:rPr>
        <w:t>Medical directors and members of cooperating physician advisory boards of emergency medical service organizations are not liable in damages in a civil action for injury, death, or loss to person or property resulting from their acts or omissions in the performance of their duties, unless the act or omission constitutes willful or wanton misconduct.</w:t>
      </w:r>
      <w:r>
        <w:rPr>
          <w:rFonts w:ascii="Times New Roman" w:hAnsi="Times New Roman"/>
          <w:sz w:val="24"/>
          <w:szCs w:val="24"/>
        </w:rPr>
        <w:t>”</w:t>
      </w:r>
    </w:p>
    <w:p w14:paraId="3084FA72" w14:textId="77777777" w:rsidR="00EC1BFB" w:rsidRDefault="00EC1BFB" w:rsidP="00EC1BFB">
      <w:pPr>
        <w:pStyle w:val="NoSpacing"/>
        <w:ind w:left="720"/>
        <w:rPr>
          <w:rFonts w:ascii="Times New Roman" w:hAnsi="Times New Roman"/>
          <w:sz w:val="24"/>
          <w:szCs w:val="24"/>
        </w:rPr>
      </w:pPr>
    </w:p>
    <w:p w14:paraId="7888BB1B" w14:textId="77777777" w:rsidR="00EC1BFB" w:rsidRDefault="00EC1BFB" w:rsidP="00EC1BFB">
      <w:pPr>
        <w:pStyle w:val="NoSpacing"/>
        <w:ind w:left="1440"/>
        <w:rPr>
          <w:rFonts w:ascii="Times New Roman" w:hAnsi="Times New Roman"/>
          <w:sz w:val="24"/>
          <w:szCs w:val="24"/>
        </w:rPr>
      </w:pPr>
      <w:r>
        <w:rPr>
          <w:rFonts w:ascii="Times New Roman" w:hAnsi="Times New Roman"/>
          <w:sz w:val="24"/>
          <w:szCs w:val="24"/>
        </w:rPr>
        <w:t xml:space="preserve">In addition, in Ohio a private ambulance company rendering 911 services to the public under a contract with a government enjoy immunity: </w:t>
      </w:r>
      <w:hyperlink r:id="rId2336" w:history="1">
        <w:r w:rsidRPr="00E277E9">
          <w:rPr>
            <w:rStyle w:val="Hyperlink"/>
            <w:sz w:val="24"/>
            <w:szCs w:val="24"/>
          </w:rPr>
          <w:t>https://codes.ohio.gov/ohio-revised-code/section-4765.49</w:t>
        </w:r>
      </w:hyperlink>
      <w:r>
        <w:rPr>
          <w:rFonts w:ascii="Times New Roman" w:hAnsi="Times New Roman"/>
          <w:sz w:val="24"/>
          <w:szCs w:val="24"/>
        </w:rPr>
        <w:t xml:space="preserve"> </w:t>
      </w:r>
    </w:p>
    <w:p w14:paraId="307EF6E4" w14:textId="77777777" w:rsidR="00EC1BFB" w:rsidRPr="00CD0AF1" w:rsidRDefault="00EC1BFB" w:rsidP="00EC1BFB">
      <w:pPr>
        <w:pStyle w:val="NoSpacing"/>
        <w:ind w:left="1440"/>
        <w:rPr>
          <w:rFonts w:ascii="Times New Roman" w:hAnsi="Times New Roman"/>
          <w:sz w:val="24"/>
          <w:szCs w:val="24"/>
        </w:rPr>
      </w:pPr>
      <w:r w:rsidRPr="00CD0AF1">
        <w:rPr>
          <w:rFonts w:ascii="Times New Roman" w:hAnsi="Times New Roman"/>
          <w:sz w:val="24"/>
          <w:szCs w:val="24"/>
        </w:rPr>
        <w:t xml:space="preserve">4765.49(B):  </w:t>
      </w:r>
      <w:r>
        <w:rPr>
          <w:rFonts w:ascii="Times New Roman" w:hAnsi="Times New Roman"/>
          <w:sz w:val="24"/>
          <w:szCs w:val="24"/>
        </w:rPr>
        <w:t>“</w:t>
      </w:r>
      <w:r w:rsidRPr="00CD0AF1">
        <w:rPr>
          <w:rFonts w:ascii="Times New Roman" w:hAnsi="Times New Roman"/>
          <w:sz w:val="24"/>
          <w:szCs w:val="24"/>
        </w:rPr>
        <w:t>A political subdivision, joint ambulance district, joint emergency medical services district, or other public agency, and any officer or employee of a public agency or of a private organization operating under contract or in joint agreement with one or more political subdivisions, that provides emergency medical services, or that enters into a joint agreement or a contract with the state, any political subdivision, joint ambulance district, or joint emergency medical services district for the provision of emergency medical services, is not liable in damages in a civil action for injury, death, or loss to person or property arising out of any actions taken by a first responder, EMT-basic, EMT-I, or paramedic working under the officer's or employee's jurisdiction, or for injury, death, or loss to person or property arising out of any actions of licensed medical personnel advising or assisting the first responder, EMT-basic, EMT-I, or paramedic, unless the services are provided in a manner that constitutes willful or wanton misconduct.</w:t>
      </w:r>
      <w:r>
        <w:rPr>
          <w:rFonts w:ascii="Times New Roman" w:hAnsi="Times New Roman"/>
          <w:sz w:val="24"/>
          <w:szCs w:val="24"/>
        </w:rPr>
        <w:t>”</w:t>
      </w:r>
    </w:p>
    <w:p w14:paraId="11D25AE1" w14:textId="77777777" w:rsidR="00EC1BFB" w:rsidRDefault="00EC1BFB" w:rsidP="00EC1BFB">
      <w:pPr>
        <w:pStyle w:val="NoSpacing"/>
        <w:ind w:left="1440"/>
        <w:rPr>
          <w:rFonts w:ascii="Times New Roman" w:hAnsi="Times New Roman"/>
          <w:sz w:val="24"/>
          <w:szCs w:val="24"/>
        </w:rPr>
      </w:pPr>
    </w:p>
    <w:p w14:paraId="7D77466A" w14:textId="77777777" w:rsidR="00EC1BFB" w:rsidRDefault="00EC1BFB" w:rsidP="002B1283">
      <w:pPr>
        <w:rPr>
          <w:rFonts w:ascii="Arial Black" w:hAnsi="Arial Black"/>
          <w:b/>
          <w:bCs/>
          <w:sz w:val="28"/>
          <w:szCs w:val="28"/>
        </w:rPr>
      </w:pPr>
    </w:p>
    <w:p w14:paraId="6186A8EF" w14:textId="77777777" w:rsidR="00274525" w:rsidRDefault="00274525" w:rsidP="002B1283">
      <w:pPr>
        <w:rPr>
          <w:rFonts w:ascii="Arial Black" w:hAnsi="Arial Black"/>
          <w:b/>
          <w:bCs/>
          <w:sz w:val="28"/>
          <w:szCs w:val="28"/>
        </w:rPr>
      </w:pPr>
    </w:p>
    <w:p w14:paraId="1F70E9CD" w14:textId="1FC19BE7" w:rsidR="00EB2493" w:rsidRDefault="00EB2493" w:rsidP="002B1283">
      <w:pPr>
        <w:rPr>
          <w:rFonts w:ascii="Arial Black" w:hAnsi="Arial Black"/>
          <w:b/>
          <w:bCs/>
          <w:sz w:val="28"/>
          <w:szCs w:val="28"/>
        </w:rPr>
      </w:pPr>
      <w:r>
        <w:rPr>
          <w:rFonts w:ascii="Arial Black" w:hAnsi="Arial Black"/>
          <w:b/>
          <w:bCs/>
          <w:sz w:val="28"/>
          <w:szCs w:val="28"/>
        </w:rPr>
        <w:t>13-82</w:t>
      </w:r>
    </w:p>
    <w:p w14:paraId="4580C346" w14:textId="77777777" w:rsidR="00EB2493" w:rsidRPr="00350A69" w:rsidRDefault="00EB2493" w:rsidP="00EB2493">
      <w:pPr>
        <w:spacing w:after="100" w:line="240" w:lineRule="auto"/>
        <w:rPr>
          <w:rFonts w:ascii="Arial Black" w:hAnsi="Arial Black"/>
          <w:sz w:val="28"/>
          <w:szCs w:val="28"/>
        </w:rPr>
      </w:pPr>
      <w:r>
        <w:rPr>
          <w:rFonts w:ascii="Arial Black" w:hAnsi="Arial Black"/>
          <w:sz w:val="28"/>
          <w:szCs w:val="28"/>
        </w:rPr>
        <w:t xml:space="preserve">MD: GOOD SAMARITAN IMMUNITY – DRUG USERS PASSED OUT IN VEHICLE - 911 CALLED, REFUSED EMS </w:t>
      </w:r>
    </w:p>
    <w:p w14:paraId="77D03C0D" w14:textId="77777777" w:rsidR="00EB2493" w:rsidRDefault="00EB2493" w:rsidP="00EB2493">
      <w:pPr>
        <w:spacing w:after="100" w:line="240" w:lineRule="auto"/>
        <w:rPr>
          <w:rFonts w:ascii="Times New Roman" w:hAnsi="Times New Roman"/>
          <w:sz w:val="24"/>
          <w:szCs w:val="24"/>
        </w:rPr>
      </w:pPr>
      <w:r>
        <w:rPr>
          <w:rFonts w:ascii="Times New Roman" w:hAnsi="Times New Roman"/>
          <w:sz w:val="24"/>
          <w:szCs w:val="24"/>
        </w:rPr>
        <w:t xml:space="preserve">On Feb. 24, 2021, in </w:t>
      </w:r>
      <w:r w:rsidRPr="00350A69">
        <w:rPr>
          <w:rFonts w:ascii="Times New Roman" w:hAnsi="Times New Roman"/>
          <w:sz w:val="24"/>
          <w:szCs w:val="24"/>
          <w:u w:val="single"/>
        </w:rPr>
        <w:t>Damian Gerety and Brian Antkowiak v. State of Maryland</w:t>
      </w:r>
      <w:r>
        <w:rPr>
          <w:rFonts w:ascii="Times New Roman" w:hAnsi="Times New Roman"/>
          <w:sz w:val="24"/>
          <w:szCs w:val="24"/>
        </w:rPr>
        <w:t xml:space="preserve">, the Court of Special Appeals of the State of Maryland, held 3 to 0 that the convictions for possession of heroin are reversed, based on the state’s Good Samaritan immunity statute. </w:t>
      </w:r>
    </w:p>
    <w:p w14:paraId="0A9CC6F2" w14:textId="77777777" w:rsidR="00EB2493" w:rsidRDefault="00EB2493" w:rsidP="00EB2493">
      <w:pPr>
        <w:spacing w:after="100" w:line="240" w:lineRule="auto"/>
        <w:ind w:left="720"/>
        <w:rPr>
          <w:rFonts w:ascii="Times New Roman" w:hAnsi="Times New Roman"/>
          <w:sz w:val="24"/>
          <w:szCs w:val="24"/>
        </w:rPr>
      </w:pPr>
      <w:r w:rsidRPr="0027492D">
        <w:rPr>
          <w:rFonts w:ascii="Times New Roman" w:hAnsi="Times New Roman"/>
          <w:sz w:val="24"/>
          <w:szCs w:val="24"/>
        </w:rPr>
        <w:t>“We hold that because the police were present at the scene and discovered the evidence supporting the charges "solely as a result" of a call for medical assistance, Mr. Gerety and Ms. Antkowiak were immune from prosecution, and we reverse the convictions.</w:t>
      </w:r>
    </w:p>
    <w:p w14:paraId="3B88EE15" w14:textId="77777777" w:rsidR="00EB2493" w:rsidRDefault="00EB2493" w:rsidP="00EB2493">
      <w:pPr>
        <w:spacing w:after="100" w:line="240" w:lineRule="auto"/>
        <w:ind w:left="720"/>
        <w:rPr>
          <w:rFonts w:ascii="Times New Roman" w:hAnsi="Times New Roman"/>
          <w:sz w:val="24"/>
          <w:szCs w:val="24"/>
        </w:rPr>
      </w:pPr>
      <w:r>
        <w:rPr>
          <w:rFonts w:ascii="Times New Roman" w:hAnsi="Times New Roman"/>
          <w:sz w:val="24"/>
          <w:szCs w:val="24"/>
        </w:rPr>
        <w:t>***</w:t>
      </w:r>
    </w:p>
    <w:p w14:paraId="0F227000" w14:textId="77777777" w:rsidR="00EB2493" w:rsidRDefault="00EB2493" w:rsidP="00EB2493">
      <w:pPr>
        <w:spacing w:after="100" w:line="240" w:lineRule="auto"/>
        <w:ind w:left="720"/>
        <w:rPr>
          <w:rFonts w:ascii="Times New Roman" w:hAnsi="Times New Roman"/>
          <w:sz w:val="24"/>
          <w:szCs w:val="24"/>
        </w:rPr>
      </w:pPr>
      <w:r w:rsidRPr="0027492D">
        <w:rPr>
          <w:rFonts w:ascii="Times New Roman" w:hAnsi="Times New Roman"/>
          <w:sz w:val="24"/>
          <w:szCs w:val="24"/>
        </w:rPr>
        <w:t xml:space="preserve">Put another way, § 1-210 asks a different question: why were officers at the scene in the first place? If they were there solely </w:t>
      </w:r>
      <w:proofErr w:type="gramStart"/>
      <w:r w:rsidRPr="0027492D">
        <w:rPr>
          <w:rFonts w:ascii="Times New Roman" w:hAnsi="Times New Roman"/>
          <w:sz w:val="24"/>
          <w:szCs w:val="24"/>
        </w:rPr>
        <w:t>as a result of</w:t>
      </w:r>
      <w:proofErr w:type="gramEnd"/>
      <w:r w:rsidRPr="0027492D">
        <w:rPr>
          <w:rFonts w:ascii="Times New Roman" w:hAnsi="Times New Roman"/>
          <w:sz w:val="24"/>
          <w:szCs w:val="24"/>
        </w:rPr>
        <w:t xml:space="preserve"> a call for emergency medical assistance, the caller and recipient(s) of assistance are immune from prosecution for the listed charges, whatever evidence might properly have been seized.</w:t>
      </w:r>
      <w:r>
        <w:rPr>
          <w:rFonts w:ascii="Times New Roman" w:hAnsi="Times New Roman"/>
          <w:sz w:val="24"/>
          <w:szCs w:val="24"/>
        </w:rPr>
        <w:t xml:space="preserve">”  </w:t>
      </w:r>
      <w:hyperlink r:id="rId2337" w:history="1">
        <w:r w:rsidRPr="00800310">
          <w:rPr>
            <w:rStyle w:val="Hyperlink"/>
            <w:rFonts w:ascii="Times New Roman" w:hAnsi="Times New Roman"/>
            <w:sz w:val="24"/>
            <w:szCs w:val="24"/>
          </w:rPr>
          <w:t>https://law.justia.com/cases/maryland/court-of-special-appeals/2021/2349-19.html</w:t>
        </w:r>
      </w:hyperlink>
      <w:r>
        <w:rPr>
          <w:rFonts w:ascii="Times New Roman" w:hAnsi="Times New Roman"/>
          <w:sz w:val="24"/>
          <w:szCs w:val="24"/>
        </w:rPr>
        <w:t xml:space="preserve"> </w:t>
      </w:r>
    </w:p>
    <w:p w14:paraId="58EDC0ED" w14:textId="77777777" w:rsidR="00EB2493" w:rsidRDefault="00EB2493" w:rsidP="00EB2493">
      <w:pPr>
        <w:pStyle w:val="NormalWeb"/>
        <w:rPr>
          <w:b/>
          <w:bCs/>
        </w:rPr>
      </w:pPr>
      <w:r w:rsidRPr="0023546F">
        <w:rPr>
          <w:b/>
          <w:bCs/>
        </w:rPr>
        <w:lastRenderedPageBreak/>
        <w:t>Legal Lesson Learned:</w:t>
      </w:r>
      <w:r>
        <w:rPr>
          <w:b/>
          <w:bCs/>
        </w:rPr>
        <w:t xml:space="preserve">  Many states have enacted Good Samaritan statutes to encourage drug users and others to call 911.</w:t>
      </w:r>
    </w:p>
    <w:p w14:paraId="340F35B1" w14:textId="77777777" w:rsidR="00EB2493" w:rsidRPr="00B07A9F" w:rsidRDefault="00EB2493" w:rsidP="00EB2493">
      <w:pPr>
        <w:pStyle w:val="NormalWeb"/>
        <w:ind w:left="720"/>
      </w:pPr>
      <w:r w:rsidRPr="00B07A9F">
        <w:t xml:space="preserve">Note: “Although the Minnesota statute was enacted the same year as CP § 1-210 and the Pennsylvania statute followed passage of the Maryland bill, the Illinois and Vermont statutes preceded our Good Samaritan.   Virginia makes explicit in its Good Samaritan statute that if the request for medical assistance is made during the execution of a search warrant or during an arrest, the immunity provisions don't apply. </w:t>
      </w:r>
      <w:r w:rsidRPr="00B07A9F">
        <w:rPr>
          <w:i/>
          <w:iCs/>
        </w:rPr>
        <w:t>See</w:t>
      </w:r>
      <w:r w:rsidRPr="00B07A9F">
        <w:t xml:space="preserve"> Va. Code Ann. § 18.2-251.03.C (immunity protections do not apply ‘to any person who seeks or obtains emergency medical attention for himself or another individual, or to a person experiencing an overdose when another individual seeks or obtains emergency medical attention for him, </w:t>
      </w:r>
      <w:r w:rsidRPr="00B07A9F">
        <w:rPr>
          <w:i/>
          <w:iCs/>
        </w:rPr>
        <w:t>during the execution of a search warrant or during the conduct of a lawful search or a lawful arrest</w:t>
      </w:r>
      <w:r w:rsidRPr="00B07A9F">
        <w:t>) (emphasis added).”</w:t>
      </w:r>
    </w:p>
    <w:p w14:paraId="6D50959C" w14:textId="77777777" w:rsidR="00EB2493" w:rsidRDefault="00EB2493" w:rsidP="002B1283">
      <w:pPr>
        <w:rPr>
          <w:rFonts w:ascii="Arial Black" w:hAnsi="Arial Black"/>
          <w:b/>
          <w:bCs/>
          <w:sz w:val="28"/>
          <w:szCs w:val="28"/>
        </w:rPr>
      </w:pPr>
    </w:p>
    <w:p w14:paraId="12A9A9A8" w14:textId="0D66C61F" w:rsidR="00EB2493" w:rsidRDefault="00EB2493" w:rsidP="002B1283">
      <w:pPr>
        <w:rPr>
          <w:rFonts w:ascii="Arial Black" w:hAnsi="Arial Black"/>
          <w:b/>
          <w:bCs/>
          <w:sz w:val="28"/>
          <w:szCs w:val="28"/>
        </w:rPr>
      </w:pPr>
      <w:r>
        <w:rPr>
          <w:rFonts w:ascii="Arial Black" w:hAnsi="Arial Black"/>
          <w:b/>
          <w:bCs/>
          <w:sz w:val="28"/>
          <w:szCs w:val="28"/>
        </w:rPr>
        <w:t>13-81</w:t>
      </w:r>
    </w:p>
    <w:p w14:paraId="22EFB7A3" w14:textId="77777777" w:rsidR="00EB2493" w:rsidRPr="006B7CE6" w:rsidRDefault="00EB2493" w:rsidP="00EB2493">
      <w:pPr>
        <w:rPr>
          <w:rFonts w:ascii="Arial Black" w:hAnsi="Arial Black"/>
          <w:sz w:val="28"/>
          <w:szCs w:val="28"/>
        </w:rPr>
      </w:pPr>
      <w:bookmarkStart w:id="450" w:name="_Hlk66949400"/>
      <w:r>
        <w:rPr>
          <w:rFonts w:ascii="Arial Black" w:hAnsi="Arial Black"/>
          <w:sz w:val="28"/>
          <w:szCs w:val="28"/>
        </w:rPr>
        <w:t xml:space="preserve">MD: SWAT TRAINING IN POOL – CPR - BAG VALUE MASK MISSING, PD DIED – NOT FED. CASE – DIDN’T “SHOCK CONSCIOUS” </w:t>
      </w:r>
    </w:p>
    <w:p w14:paraId="6164AAC0" w14:textId="77777777" w:rsidR="00EB2493" w:rsidRDefault="00EB2493" w:rsidP="00EB2493">
      <w:pPr>
        <w:spacing w:before="100" w:beforeAutospacing="1" w:after="100" w:afterAutospacing="1" w:line="240" w:lineRule="auto"/>
        <w:rPr>
          <w:rFonts w:ascii="Times New Roman" w:hAnsi="Times New Roman"/>
          <w:sz w:val="24"/>
          <w:szCs w:val="24"/>
        </w:rPr>
      </w:pPr>
      <w:r w:rsidRPr="006B7CE6">
        <w:rPr>
          <w:rFonts w:ascii="Times New Roman" w:hAnsi="Times New Roman"/>
          <w:sz w:val="24"/>
          <w:szCs w:val="24"/>
        </w:rPr>
        <w:t xml:space="preserve">On Feb. 22, 2021, in </w:t>
      </w:r>
      <w:r w:rsidRPr="006B7CE6">
        <w:rPr>
          <w:rFonts w:ascii="Times New Roman" w:hAnsi="Times New Roman"/>
          <w:sz w:val="24"/>
          <w:szCs w:val="24"/>
          <w:u w:val="single"/>
        </w:rPr>
        <w:t>Rebeca Sable v. Baltimore County Government, et al.</w:t>
      </w:r>
      <w:r w:rsidRPr="006B7CE6">
        <w:rPr>
          <w:rFonts w:ascii="Times New Roman" w:hAnsi="Times New Roman"/>
          <w:sz w:val="24"/>
          <w:szCs w:val="24"/>
        </w:rPr>
        <w:t xml:space="preserve">, </w:t>
      </w:r>
      <w:r>
        <w:rPr>
          <w:rFonts w:ascii="Times New Roman" w:hAnsi="Times New Roman"/>
          <w:sz w:val="24"/>
          <w:szCs w:val="24"/>
        </w:rPr>
        <w:t>United States Magistrate Judge J. Mark Coulson granted the defendants’ motion to dismiss the County and two Medics since facts alleged in their complaint, while possibly showing negligence, did not meet the U.S. Supreme Court’s “shock the conscious” test for alleged Federal violations of the Due Process Clause of 14</w:t>
      </w:r>
      <w:r w:rsidRPr="00B32F68">
        <w:rPr>
          <w:rFonts w:ascii="Times New Roman" w:hAnsi="Times New Roman"/>
          <w:sz w:val="24"/>
          <w:szCs w:val="24"/>
          <w:vertAlign w:val="superscript"/>
        </w:rPr>
        <w:t>th</w:t>
      </w:r>
      <w:r>
        <w:rPr>
          <w:rFonts w:ascii="Times New Roman" w:hAnsi="Times New Roman"/>
          <w:sz w:val="24"/>
          <w:szCs w:val="24"/>
        </w:rPr>
        <w:t xml:space="preserve"> Amendment, as required by U.S. Supreme Court in </w:t>
      </w:r>
      <w:r w:rsidRPr="003A213C">
        <w:rPr>
          <w:rFonts w:ascii="Times New Roman" w:hAnsi="Times New Roman"/>
          <w:i/>
          <w:iCs/>
          <w:sz w:val="24"/>
          <w:szCs w:val="24"/>
        </w:rPr>
        <w:t>County of Sacramento v</w:t>
      </w:r>
      <w:r w:rsidRPr="003A213C">
        <w:rPr>
          <w:rFonts w:ascii="Times New Roman" w:hAnsi="Times New Roman"/>
          <w:sz w:val="24"/>
          <w:szCs w:val="24"/>
        </w:rPr>
        <w:t xml:space="preserve">. </w:t>
      </w:r>
      <w:r w:rsidRPr="003A213C">
        <w:rPr>
          <w:rFonts w:ascii="Times New Roman" w:hAnsi="Times New Roman"/>
          <w:i/>
          <w:iCs/>
          <w:sz w:val="24"/>
          <w:szCs w:val="24"/>
        </w:rPr>
        <w:t>Lewis</w:t>
      </w:r>
      <w:r w:rsidRPr="003A213C">
        <w:rPr>
          <w:rFonts w:ascii="Times New Roman" w:hAnsi="Times New Roman"/>
          <w:sz w:val="24"/>
          <w:szCs w:val="24"/>
        </w:rPr>
        <w:t xml:space="preserve">, </w:t>
      </w:r>
      <w:hyperlink r:id="rId2338" w:anchor="p848" w:history="1">
        <w:r w:rsidRPr="003A213C">
          <w:rPr>
            <w:rStyle w:val="Hyperlink"/>
            <w:rFonts w:ascii="Times New Roman" w:hAnsi="Times New Roman"/>
            <w:sz w:val="24"/>
            <w:szCs w:val="24"/>
          </w:rPr>
          <w:t>523 U.S. 833, 848</w:t>
        </w:r>
      </w:hyperlink>
      <w:r w:rsidRPr="003A213C">
        <w:rPr>
          <w:rFonts w:ascii="Times New Roman" w:hAnsi="Times New Roman"/>
          <w:sz w:val="24"/>
          <w:szCs w:val="24"/>
        </w:rPr>
        <w:t xml:space="preserve"> (1998)</w:t>
      </w:r>
      <w:r>
        <w:rPr>
          <w:rFonts w:ascii="Times New Roman" w:hAnsi="Times New Roman"/>
          <w:sz w:val="24"/>
          <w:szCs w:val="24"/>
        </w:rPr>
        <w:t>.</w:t>
      </w:r>
      <w:r w:rsidRPr="003A213C">
        <w:rPr>
          <w:rFonts w:ascii="Times New Roman" w:hAnsi="Times New Roman"/>
          <w:sz w:val="24"/>
          <w:szCs w:val="24"/>
        </w:rPr>
        <w:t xml:space="preserve"> </w:t>
      </w:r>
      <w:r>
        <w:rPr>
          <w:rFonts w:ascii="Times New Roman" w:hAnsi="Times New Roman"/>
          <w:sz w:val="24"/>
          <w:szCs w:val="24"/>
        </w:rPr>
        <w:t xml:space="preserve"> The Magistrate Judge, however, will give plaintiffs one last opportunity to file an amended complaint with additional facts, noting that the Medics enjoy qualified immunity under Maryland statute for mere negligence.    </w:t>
      </w:r>
    </w:p>
    <w:bookmarkEnd w:id="450"/>
    <w:p w14:paraId="0C9486F7" w14:textId="24386584" w:rsidR="00EB2493" w:rsidRDefault="00EB2493" w:rsidP="00EB249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700CC5">
        <w:rPr>
          <w:rFonts w:ascii="Times New Roman" w:hAnsi="Times New Roman"/>
          <w:sz w:val="24"/>
          <w:szCs w:val="24"/>
        </w:rPr>
        <w:t xml:space="preserve">As the training neared its conclusion, program facilitators instructed the participants to tread water for ten minutes. </w:t>
      </w:r>
      <w:r w:rsidRPr="00700CC5">
        <w:rPr>
          <w:rFonts w:ascii="Times New Roman" w:hAnsi="Times New Roman"/>
          <w:i/>
          <w:iCs/>
          <w:sz w:val="24"/>
          <w:szCs w:val="24"/>
        </w:rPr>
        <w:t>Id</w:t>
      </w:r>
      <w:r w:rsidRPr="00700CC5">
        <w:rPr>
          <w:rFonts w:ascii="Times New Roman" w:hAnsi="Times New Roman"/>
          <w:sz w:val="24"/>
          <w:szCs w:val="24"/>
        </w:rPr>
        <w:t xml:space="preserve">. During this exercise, Mr. Sable went underwater and remained there for approximately ten seconds before being removed from the pool. </w:t>
      </w:r>
      <w:r w:rsidRPr="00700CC5">
        <w:rPr>
          <w:rFonts w:ascii="Times New Roman" w:hAnsi="Times New Roman"/>
          <w:i/>
          <w:iCs/>
          <w:sz w:val="24"/>
          <w:szCs w:val="24"/>
        </w:rPr>
        <w:t>Id</w:t>
      </w:r>
      <w:r w:rsidRPr="00700CC5">
        <w:rPr>
          <w:rFonts w:ascii="Times New Roman" w:hAnsi="Times New Roman"/>
          <w:sz w:val="24"/>
          <w:szCs w:val="24"/>
        </w:rPr>
        <w:t xml:space="preserve">. Once on the pool deck, BCPD Officer Sean </w:t>
      </w:r>
      <w:proofErr w:type="gramStart"/>
      <w:r w:rsidRPr="00700CC5">
        <w:rPr>
          <w:rFonts w:ascii="Times New Roman" w:hAnsi="Times New Roman"/>
          <w:sz w:val="24"/>
          <w:szCs w:val="24"/>
        </w:rPr>
        <w:t>Dietz (</w:t>
      </w:r>
      <w:r>
        <w:rPr>
          <w:rFonts w:ascii="Times New Roman" w:hAnsi="Times New Roman"/>
          <w:sz w:val="24"/>
          <w:szCs w:val="24"/>
        </w:rPr>
        <w:t>‘</w:t>
      </w:r>
      <w:proofErr w:type="gramEnd"/>
      <w:r w:rsidRPr="00700CC5">
        <w:rPr>
          <w:rFonts w:ascii="Times New Roman" w:hAnsi="Times New Roman"/>
          <w:sz w:val="24"/>
          <w:szCs w:val="24"/>
        </w:rPr>
        <w:t xml:space="preserve">Officer </w:t>
      </w:r>
      <w:proofErr w:type="gramStart"/>
      <w:r w:rsidRPr="00700CC5">
        <w:rPr>
          <w:rFonts w:ascii="Times New Roman" w:hAnsi="Times New Roman"/>
          <w:sz w:val="24"/>
          <w:szCs w:val="24"/>
        </w:rPr>
        <w:t>Dietz</w:t>
      </w:r>
      <w:r>
        <w:rPr>
          <w:rFonts w:ascii="Times New Roman" w:hAnsi="Times New Roman"/>
          <w:sz w:val="24"/>
          <w:szCs w:val="24"/>
        </w:rPr>
        <w:t>’</w:t>
      </w:r>
      <w:r w:rsidRPr="00700CC5">
        <w:rPr>
          <w:rFonts w:ascii="Times New Roman" w:hAnsi="Times New Roman"/>
          <w:sz w:val="24"/>
          <w:szCs w:val="24"/>
        </w:rPr>
        <w:t>)</w:t>
      </w:r>
      <w:proofErr w:type="gramEnd"/>
      <w:r w:rsidRPr="00700CC5">
        <w:rPr>
          <w:rFonts w:ascii="Times New Roman" w:hAnsi="Times New Roman"/>
          <w:sz w:val="24"/>
          <w:szCs w:val="24"/>
        </w:rPr>
        <w:t xml:space="preserve">, another medic, rendered assistance by patting Mr. Sable on the back and instructing him to </w:t>
      </w:r>
      <w:r>
        <w:rPr>
          <w:rFonts w:ascii="Times New Roman" w:hAnsi="Times New Roman"/>
          <w:sz w:val="24"/>
          <w:szCs w:val="24"/>
        </w:rPr>
        <w:t>‘</w:t>
      </w:r>
      <w:r w:rsidRPr="00700CC5">
        <w:rPr>
          <w:rFonts w:ascii="Times New Roman" w:hAnsi="Times New Roman"/>
          <w:sz w:val="24"/>
          <w:szCs w:val="24"/>
        </w:rPr>
        <w:t>cough it up.</w:t>
      </w:r>
      <w:r>
        <w:rPr>
          <w:rFonts w:ascii="Times New Roman" w:hAnsi="Times New Roman"/>
          <w:sz w:val="24"/>
          <w:szCs w:val="24"/>
        </w:rPr>
        <w:t>’</w:t>
      </w:r>
      <w:r w:rsidRPr="00700CC5">
        <w:rPr>
          <w:rFonts w:ascii="Times New Roman" w:hAnsi="Times New Roman"/>
          <w:sz w:val="24"/>
          <w:szCs w:val="24"/>
        </w:rPr>
        <w:t xml:space="preserve"> </w:t>
      </w:r>
      <w:r w:rsidRPr="00700CC5">
        <w:rPr>
          <w:rFonts w:ascii="Times New Roman" w:hAnsi="Times New Roman"/>
          <w:i/>
          <w:iCs/>
          <w:sz w:val="24"/>
          <w:szCs w:val="24"/>
        </w:rPr>
        <w:t>Id</w:t>
      </w:r>
      <w:r w:rsidRPr="00700CC5">
        <w:rPr>
          <w:rFonts w:ascii="Times New Roman" w:hAnsi="Times New Roman"/>
          <w:sz w:val="24"/>
          <w:szCs w:val="24"/>
        </w:rPr>
        <w:t xml:space="preserve">. Medic Sloman </w:t>
      </w:r>
      <w:r>
        <w:rPr>
          <w:rFonts w:ascii="Times New Roman" w:hAnsi="Times New Roman"/>
          <w:sz w:val="24"/>
          <w:szCs w:val="24"/>
        </w:rPr>
        <w:t>‘</w:t>
      </w:r>
      <w:r w:rsidRPr="00700CC5">
        <w:rPr>
          <w:rFonts w:ascii="Times New Roman" w:hAnsi="Times New Roman"/>
          <w:sz w:val="24"/>
          <w:szCs w:val="24"/>
        </w:rPr>
        <w:t xml:space="preserve">observed Mr. Sable to be cyanotic in the face, with fluid coming from his mouth, without a pulse, and apneic." </w:t>
      </w:r>
      <w:r w:rsidRPr="00700CC5">
        <w:rPr>
          <w:rFonts w:ascii="Times New Roman" w:hAnsi="Times New Roman"/>
          <w:i/>
          <w:iCs/>
          <w:sz w:val="24"/>
          <w:szCs w:val="24"/>
        </w:rPr>
        <w:t>Id</w:t>
      </w:r>
      <w:r w:rsidRPr="00700CC5">
        <w:rPr>
          <w:rFonts w:ascii="Times New Roman" w:hAnsi="Times New Roman"/>
          <w:sz w:val="24"/>
          <w:szCs w:val="24"/>
        </w:rPr>
        <w:t xml:space="preserve">. BCPD medics provided Medic Sloman with a bag valve </w:t>
      </w:r>
      <w:proofErr w:type="gramStart"/>
      <w:r w:rsidRPr="00700CC5">
        <w:rPr>
          <w:rFonts w:ascii="Times New Roman" w:hAnsi="Times New Roman"/>
          <w:sz w:val="24"/>
          <w:szCs w:val="24"/>
        </w:rPr>
        <w:t>mask</w:t>
      </w:r>
      <w:proofErr w:type="gramEnd"/>
      <w:r w:rsidRPr="00700CC5">
        <w:rPr>
          <w:rFonts w:ascii="Times New Roman" w:hAnsi="Times New Roman"/>
          <w:sz w:val="24"/>
          <w:szCs w:val="24"/>
        </w:rPr>
        <w:t xml:space="preserve"> manual resuscitator and O2 bottle to begin treating Mr. Sable, </w:t>
      </w:r>
      <w:r w:rsidRPr="001D0DEE">
        <w:rPr>
          <w:rFonts w:ascii="Times New Roman" w:hAnsi="Times New Roman"/>
          <w:b/>
          <w:bCs/>
          <w:sz w:val="24"/>
          <w:szCs w:val="24"/>
        </w:rPr>
        <w:t>but the mask was missing from the unit</w:t>
      </w:r>
      <w:r w:rsidRPr="00700CC5">
        <w:rPr>
          <w:rFonts w:ascii="Times New Roman" w:hAnsi="Times New Roman"/>
          <w:sz w:val="24"/>
          <w:szCs w:val="24"/>
        </w:rPr>
        <w:t xml:space="preserve">. </w:t>
      </w:r>
      <w:r>
        <w:rPr>
          <w:rFonts w:ascii="Times New Roman" w:hAnsi="Times New Roman"/>
          <w:sz w:val="24"/>
          <w:szCs w:val="24"/>
        </w:rPr>
        <w:t>[Emphasis added.]</w:t>
      </w:r>
    </w:p>
    <w:p w14:paraId="390A7A1D" w14:textId="77777777" w:rsidR="00EB2493" w:rsidRDefault="00EB2493" w:rsidP="00EB2493">
      <w:pPr>
        <w:spacing w:before="100" w:beforeAutospacing="1" w:after="100" w:afterAutospacing="1" w:line="240" w:lineRule="auto"/>
        <w:ind w:left="720"/>
        <w:rPr>
          <w:rFonts w:ascii="Times New Roman" w:hAnsi="Times New Roman"/>
          <w:sz w:val="24"/>
          <w:szCs w:val="24"/>
        </w:rPr>
      </w:pPr>
      <w:r w:rsidRPr="00700CC5">
        <w:rPr>
          <w:rFonts w:ascii="Times New Roman" w:hAnsi="Times New Roman"/>
          <w:sz w:val="24"/>
          <w:szCs w:val="24"/>
        </w:rPr>
        <w:t xml:space="preserve">For this reason, the manual resuscitator was inoperable for several additional minutes while medics searched for, and eventually obtained, a mask. </w:t>
      </w:r>
      <w:r w:rsidRPr="00700CC5">
        <w:rPr>
          <w:rFonts w:ascii="Times New Roman" w:hAnsi="Times New Roman"/>
          <w:i/>
          <w:iCs/>
          <w:sz w:val="24"/>
          <w:szCs w:val="24"/>
        </w:rPr>
        <w:t>Id</w:t>
      </w:r>
      <w:r w:rsidRPr="00700CC5">
        <w:rPr>
          <w:rFonts w:ascii="Times New Roman" w:hAnsi="Times New Roman"/>
          <w:sz w:val="24"/>
          <w:szCs w:val="24"/>
        </w:rPr>
        <w:t xml:space="preserve">. at 5. BCPD medics provided Mr. Sable with additional medical treatment, including the administration of five milligrams of epinephrine. </w:t>
      </w:r>
      <w:r w:rsidRPr="00700CC5">
        <w:rPr>
          <w:rFonts w:ascii="Times New Roman" w:hAnsi="Times New Roman"/>
          <w:i/>
          <w:iCs/>
          <w:sz w:val="24"/>
          <w:szCs w:val="24"/>
        </w:rPr>
        <w:t>Id</w:t>
      </w:r>
      <w:r w:rsidRPr="00700CC5">
        <w:rPr>
          <w:rFonts w:ascii="Times New Roman" w:hAnsi="Times New Roman"/>
          <w:sz w:val="24"/>
          <w:szCs w:val="24"/>
        </w:rPr>
        <w:t>.</w:t>
      </w:r>
    </w:p>
    <w:p w14:paraId="61FB6FD8" w14:textId="77777777" w:rsidR="00EB2493" w:rsidRDefault="00EB2493" w:rsidP="00EB2493">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05FE8BFC" w14:textId="77777777" w:rsidR="00EB2493" w:rsidRPr="00700CC5" w:rsidRDefault="00EB2493" w:rsidP="00EB2493">
      <w:pPr>
        <w:spacing w:before="100" w:beforeAutospacing="1" w:after="100" w:afterAutospacing="1" w:line="240" w:lineRule="auto"/>
        <w:ind w:left="720"/>
        <w:rPr>
          <w:rFonts w:ascii="Times New Roman" w:hAnsi="Times New Roman"/>
          <w:sz w:val="24"/>
          <w:szCs w:val="24"/>
        </w:rPr>
      </w:pPr>
      <w:r w:rsidRPr="00700CC5">
        <w:rPr>
          <w:rFonts w:ascii="Times New Roman" w:hAnsi="Times New Roman"/>
          <w:sz w:val="24"/>
          <w:szCs w:val="24"/>
        </w:rPr>
        <w:t>There is no dispute that Officers Dietz and Luck are public officials</w:t>
      </w:r>
      <w:r>
        <w:rPr>
          <w:rFonts w:ascii="Times New Roman" w:hAnsi="Times New Roman"/>
          <w:sz w:val="24"/>
          <w:szCs w:val="24"/>
        </w:rPr>
        <w:t xml:space="preserve">…. </w:t>
      </w:r>
      <w:r w:rsidRPr="00700CC5">
        <w:rPr>
          <w:rFonts w:ascii="Times New Roman" w:hAnsi="Times New Roman"/>
          <w:sz w:val="24"/>
          <w:szCs w:val="24"/>
        </w:rPr>
        <w:t xml:space="preserve">While Plaintiffs contend </w:t>
      </w:r>
      <w:proofErr w:type="gramStart"/>
      <w:r w:rsidRPr="00700CC5">
        <w:rPr>
          <w:rFonts w:ascii="Times New Roman" w:hAnsi="Times New Roman"/>
          <w:sz w:val="24"/>
          <w:szCs w:val="24"/>
        </w:rPr>
        <w:t>Defendants</w:t>
      </w:r>
      <w:proofErr w:type="gramEnd"/>
      <w:r w:rsidRPr="00700CC5">
        <w:rPr>
          <w:rFonts w:ascii="Times New Roman" w:hAnsi="Times New Roman"/>
          <w:sz w:val="24"/>
          <w:szCs w:val="24"/>
        </w:rPr>
        <w:t xml:space="preserve"> actions constitute ministerial acts, this Court finds that the Officer </w:t>
      </w:r>
      <w:proofErr w:type="gramStart"/>
      <w:r w:rsidRPr="00700CC5">
        <w:rPr>
          <w:rFonts w:ascii="Times New Roman" w:hAnsi="Times New Roman"/>
          <w:sz w:val="24"/>
          <w:szCs w:val="24"/>
        </w:rPr>
        <w:t>Defendants</w:t>
      </w:r>
      <w:proofErr w:type="gramEnd"/>
      <w:r w:rsidRPr="00700CC5">
        <w:rPr>
          <w:rFonts w:ascii="Times New Roman" w:hAnsi="Times New Roman"/>
          <w:sz w:val="24"/>
          <w:szCs w:val="24"/>
        </w:rPr>
        <w:t xml:space="preserve"> actions as alleged are clearly discretionary. The Officer Defendants exercised </w:t>
      </w:r>
      <w:r>
        <w:rPr>
          <w:rFonts w:ascii="Times New Roman" w:hAnsi="Times New Roman"/>
          <w:sz w:val="24"/>
          <w:szCs w:val="24"/>
        </w:rPr>
        <w:t>‘</w:t>
      </w:r>
      <w:r w:rsidRPr="00700CC5">
        <w:rPr>
          <w:rFonts w:ascii="Times New Roman" w:hAnsi="Times New Roman"/>
          <w:sz w:val="24"/>
          <w:szCs w:val="24"/>
        </w:rPr>
        <w:t>judgment in the absence of a hard and fast rule</w:t>
      </w:r>
      <w:r>
        <w:rPr>
          <w:rFonts w:ascii="Times New Roman" w:hAnsi="Times New Roman"/>
          <w:sz w:val="24"/>
          <w:szCs w:val="24"/>
        </w:rPr>
        <w:t>’</w:t>
      </w:r>
      <w:r w:rsidRPr="00700CC5">
        <w:rPr>
          <w:rFonts w:ascii="Times New Roman" w:hAnsi="Times New Roman"/>
          <w:sz w:val="24"/>
          <w:szCs w:val="24"/>
        </w:rPr>
        <w:t xml:space="preserve"> in supervising, implementing, and responding to the events that unfolded at the SWAT aquatic training exercise</w:t>
      </w:r>
      <w:r>
        <w:rPr>
          <w:rFonts w:ascii="Times New Roman" w:hAnsi="Times New Roman"/>
          <w:sz w:val="24"/>
          <w:szCs w:val="24"/>
        </w:rPr>
        <w:t xml:space="preserve">…. </w:t>
      </w:r>
      <w:r w:rsidRPr="00700CC5">
        <w:rPr>
          <w:rFonts w:ascii="Times New Roman" w:hAnsi="Times New Roman"/>
          <w:sz w:val="24"/>
          <w:szCs w:val="24"/>
        </w:rPr>
        <w:t>Accordingly, the Court agrees with the Officer Defendants that they are immune from liability for state common law torts</w:t>
      </w:r>
      <w:r>
        <w:rPr>
          <w:rFonts w:ascii="Times New Roman" w:hAnsi="Times New Roman"/>
          <w:sz w:val="24"/>
          <w:szCs w:val="24"/>
        </w:rPr>
        <w:t xml:space="preserve">.” </w:t>
      </w:r>
      <w:bookmarkStart w:id="451" w:name="_Hlk66949432"/>
      <w:r w:rsidR="00F00958">
        <w:fldChar w:fldCharType="begin"/>
      </w:r>
      <w:r w:rsidR="00F00958">
        <w:instrText xml:space="preserve"> HYPERLINK "https://casetext.com/case/sable-v-balt-cnty-govt" </w:instrText>
      </w:r>
      <w:r w:rsidR="00F00958">
        <w:fldChar w:fldCharType="separate"/>
      </w:r>
      <w:r w:rsidRPr="005672FA">
        <w:rPr>
          <w:rStyle w:val="Hyperlink"/>
          <w:rFonts w:ascii="Times New Roman" w:hAnsi="Times New Roman"/>
          <w:sz w:val="24"/>
          <w:szCs w:val="24"/>
        </w:rPr>
        <w:t>https://casetext.com/case/sable-v-balt-cnty-govt</w:t>
      </w:r>
      <w:r w:rsidR="00F00958">
        <w:rPr>
          <w:rStyle w:val="Hyperlink"/>
          <w:rFonts w:ascii="Times New Roman" w:hAnsi="Times New Roman"/>
          <w:sz w:val="24"/>
          <w:szCs w:val="24"/>
        </w:rPr>
        <w:fldChar w:fldCharType="end"/>
      </w:r>
      <w:r>
        <w:rPr>
          <w:rFonts w:ascii="Times New Roman" w:hAnsi="Times New Roman"/>
          <w:sz w:val="24"/>
          <w:szCs w:val="24"/>
        </w:rPr>
        <w:t xml:space="preserve">   </w:t>
      </w:r>
    </w:p>
    <w:p w14:paraId="0F7E7288" w14:textId="77777777" w:rsidR="00EB2493" w:rsidRDefault="00EB2493" w:rsidP="00EB2493">
      <w:pPr>
        <w:spacing w:before="100" w:beforeAutospacing="1" w:after="100" w:afterAutospacing="1" w:line="240" w:lineRule="auto"/>
        <w:rPr>
          <w:rFonts w:ascii="Times New Roman" w:eastAsia="Times New Roman" w:hAnsi="Times New Roman"/>
          <w:b/>
          <w:bCs/>
          <w:sz w:val="24"/>
          <w:szCs w:val="24"/>
        </w:rPr>
      </w:pPr>
      <w:r w:rsidRPr="00D821D6">
        <w:rPr>
          <w:rFonts w:ascii="Times New Roman" w:eastAsia="Times New Roman" w:hAnsi="Times New Roman"/>
          <w:b/>
          <w:bCs/>
          <w:sz w:val="24"/>
          <w:szCs w:val="24"/>
        </w:rPr>
        <w:lastRenderedPageBreak/>
        <w:t xml:space="preserve">Legal Lesson Learned:  </w:t>
      </w:r>
      <w:r>
        <w:rPr>
          <w:rFonts w:ascii="Times New Roman" w:eastAsia="Times New Roman" w:hAnsi="Times New Roman"/>
          <w:b/>
          <w:bCs/>
          <w:sz w:val="24"/>
          <w:szCs w:val="24"/>
        </w:rPr>
        <w:t>The U.S. Supreme Court’s “shock the conscious” standard for Federal constitutional claims has greatly limited plaintiffs’ attempts to shirt the qualified immunity defense in state courts.</w:t>
      </w:r>
    </w:p>
    <w:p w14:paraId="00FC8C4C" w14:textId="77777777" w:rsidR="00EB2493" w:rsidRDefault="00EB2493" w:rsidP="00EB2493">
      <w:pPr>
        <w:spacing w:before="100" w:beforeAutospacing="1" w:after="100" w:afterAutospacing="1" w:line="240" w:lineRule="auto"/>
        <w:ind w:left="720"/>
        <w:rPr>
          <w:rFonts w:ascii="Times New Roman" w:hAnsi="Times New Roman"/>
          <w:b/>
          <w:bCs/>
          <w:sz w:val="24"/>
          <w:szCs w:val="24"/>
        </w:rPr>
      </w:pPr>
      <w:r w:rsidRPr="003A213C">
        <w:rPr>
          <w:rFonts w:ascii="Times New Roman" w:eastAsia="Times New Roman" w:hAnsi="Times New Roman"/>
          <w:sz w:val="24"/>
          <w:szCs w:val="24"/>
        </w:rPr>
        <w:t xml:space="preserve">Note: Other Federal cases involving training deaths have similarly applied the “shock the conscious” standard. </w:t>
      </w:r>
      <w:r>
        <w:rPr>
          <w:rFonts w:ascii="Times New Roman" w:eastAsia="Times New Roman" w:hAnsi="Times New Roman"/>
          <w:sz w:val="24"/>
          <w:szCs w:val="24"/>
        </w:rPr>
        <w:t xml:space="preserve"> See </w:t>
      </w:r>
      <w:r w:rsidRPr="00784B7D">
        <w:rPr>
          <w:rFonts w:ascii="Times New Roman" w:hAnsi="Times New Roman"/>
          <w:i/>
          <w:iCs/>
          <w:sz w:val="24"/>
          <w:szCs w:val="24"/>
        </w:rPr>
        <w:t>Waybright v. Frederick County</w:t>
      </w:r>
      <w:r w:rsidRPr="003A213C">
        <w:rPr>
          <w:rFonts w:ascii="Times New Roman" w:hAnsi="Times New Roman"/>
          <w:sz w:val="24"/>
          <w:szCs w:val="24"/>
        </w:rPr>
        <w:t>, 528 F.3</w:t>
      </w:r>
      <w:r w:rsidRPr="003A213C">
        <w:rPr>
          <w:rFonts w:ascii="Times New Roman" w:hAnsi="Times New Roman"/>
          <w:sz w:val="24"/>
          <w:szCs w:val="24"/>
          <w:vertAlign w:val="superscript"/>
        </w:rPr>
        <w:t>rd</w:t>
      </w:r>
      <w:r w:rsidRPr="003A213C">
        <w:rPr>
          <w:rFonts w:ascii="Times New Roman" w:hAnsi="Times New Roman"/>
          <w:sz w:val="24"/>
          <w:szCs w:val="24"/>
        </w:rPr>
        <w:t xml:space="preserve"> 199 (4th Cir. 2008), </w:t>
      </w:r>
      <w:hyperlink r:id="rId2339" w:history="1">
        <w:r w:rsidRPr="00784B7D">
          <w:rPr>
            <w:rStyle w:val="Hyperlink"/>
            <w:rFonts w:ascii="Times New Roman" w:hAnsi="Times New Roman"/>
            <w:sz w:val="24"/>
            <w:szCs w:val="24"/>
          </w:rPr>
          <w:t>https://casetext.com/case/waybright-v-frederick-county-2</w:t>
        </w:r>
      </w:hyperlink>
      <w:r w:rsidRPr="00784B7D">
        <w:rPr>
          <w:rFonts w:ascii="Times New Roman" w:hAnsi="Times New Roman"/>
          <w:sz w:val="24"/>
          <w:szCs w:val="24"/>
        </w:rPr>
        <w:t xml:space="preserve"> ,</w:t>
      </w:r>
      <w:r>
        <w:rPr>
          <w:rFonts w:ascii="Times New Roman" w:hAnsi="Times New Roman"/>
          <w:b/>
          <w:bCs/>
          <w:sz w:val="24"/>
          <w:szCs w:val="24"/>
        </w:rPr>
        <w:t xml:space="preserve"> </w:t>
      </w:r>
      <w:r w:rsidRPr="003A213C">
        <w:rPr>
          <w:rFonts w:ascii="Times New Roman" w:hAnsi="Times New Roman"/>
          <w:sz w:val="24"/>
          <w:szCs w:val="24"/>
        </w:rPr>
        <w:t>where recruit died in training on very hot day</w:t>
      </w:r>
      <w:r>
        <w:rPr>
          <w:rFonts w:ascii="Times New Roman" w:hAnsi="Times New Roman"/>
          <w:sz w:val="24"/>
          <w:szCs w:val="24"/>
        </w:rPr>
        <w:t xml:space="preserve"> and call to 911 was delayed. </w:t>
      </w:r>
      <w:r w:rsidRPr="003A213C">
        <w:rPr>
          <w:rFonts w:ascii="Times New Roman" w:hAnsi="Times New Roman"/>
          <w:sz w:val="24"/>
          <w:szCs w:val="24"/>
        </w:rPr>
        <w:t xml:space="preserve"> </w:t>
      </w:r>
      <w:r>
        <w:rPr>
          <w:rFonts w:ascii="Times New Roman" w:hAnsi="Times New Roman"/>
          <w:b/>
          <w:bCs/>
          <w:sz w:val="24"/>
          <w:szCs w:val="24"/>
        </w:rPr>
        <w:t>“</w:t>
      </w:r>
      <w:r w:rsidRPr="00FA2431">
        <w:rPr>
          <w:rFonts w:ascii="Times New Roman" w:hAnsi="Times New Roman"/>
          <w:sz w:val="24"/>
          <w:szCs w:val="24"/>
        </w:rPr>
        <w:t>This conduct is a far cry from shocking the conscience. It was, rather, as the Board of Inquiry concluded, an under-</w:t>
      </w:r>
      <w:proofErr w:type="gramStart"/>
      <w:r w:rsidRPr="00FA2431">
        <w:rPr>
          <w:rFonts w:ascii="Times New Roman" w:hAnsi="Times New Roman"/>
          <w:sz w:val="24"/>
          <w:szCs w:val="24"/>
        </w:rPr>
        <w:t>reaction —</w:t>
      </w:r>
      <w:proofErr w:type="gramEnd"/>
      <w:r w:rsidRPr="00FA2431">
        <w:rPr>
          <w:rFonts w:ascii="Times New Roman" w:hAnsi="Times New Roman"/>
          <w:sz w:val="24"/>
          <w:szCs w:val="24"/>
        </w:rPr>
        <w:t xml:space="preserve"> that is, a misjudgment. Whether it was a negligent misjudgment is not for us to say, but misjudgments such as these are "categorically beneath the threshold of constitutional due process." </w:t>
      </w:r>
      <w:r w:rsidRPr="00FA2431">
        <w:rPr>
          <w:rFonts w:ascii="Times New Roman" w:hAnsi="Times New Roman"/>
          <w:i/>
          <w:iCs/>
          <w:sz w:val="24"/>
          <w:szCs w:val="24"/>
        </w:rPr>
        <w:t>County of Sacramento</w:t>
      </w:r>
      <w:r>
        <w:rPr>
          <w:rFonts w:ascii="Times New Roman" w:hAnsi="Times New Roman"/>
          <w:i/>
          <w:iCs/>
          <w:sz w:val="24"/>
          <w:szCs w:val="24"/>
        </w:rPr>
        <w:t xml:space="preserve"> [v. Lewis]</w:t>
      </w:r>
      <w:r w:rsidRPr="00FA2431">
        <w:rPr>
          <w:rFonts w:ascii="Times New Roman" w:hAnsi="Times New Roman"/>
          <w:sz w:val="24"/>
          <w:szCs w:val="24"/>
        </w:rPr>
        <w:t xml:space="preserve">, </w:t>
      </w:r>
      <w:hyperlink r:id="rId2340" w:anchor="p849" w:history="1">
        <w:r w:rsidRPr="00FA2431">
          <w:rPr>
            <w:rStyle w:val="Hyperlink"/>
            <w:rFonts w:ascii="Times New Roman" w:hAnsi="Times New Roman"/>
            <w:sz w:val="24"/>
            <w:szCs w:val="24"/>
          </w:rPr>
          <w:t>523 U.S. at 849</w:t>
        </w:r>
      </w:hyperlink>
      <w:r w:rsidRPr="00FA2431">
        <w:rPr>
          <w:rFonts w:ascii="Times New Roman" w:hAnsi="Times New Roman"/>
          <w:sz w:val="24"/>
          <w:szCs w:val="24"/>
        </w:rPr>
        <w:t xml:space="preserve">, </w:t>
      </w:r>
      <w:hyperlink r:id="rId2341" w:history="1">
        <w:r w:rsidRPr="00FA2431">
          <w:rPr>
            <w:rStyle w:val="Hyperlink"/>
            <w:rFonts w:ascii="Times New Roman" w:hAnsi="Times New Roman"/>
            <w:sz w:val="24"/>
            <w:szCs w:val="24"/>
          </w:rPr>
          <w:t xml:space="preserve">118 </w:t>
        </w:r>
        <w:proofErr w:type="spellStart"/>
        <w:r w:rsidRPr="00FA2431">
          <w:rPr>
            <w:rStyle w:val="Hyperlink"/>
            <w:rFonts w:ascii="Times New Roman" w:hAnsi="Times New Roman"/>
            <w:sz w:val="24"/>
            <w:szCs w:val="24"/>
          </w:rPr>
          <w:t>S.Ct</w:t>
        </w:r>
        <w:proofErr w:type="spellEnd"/>
        <w:r w:rsidRPr="00FA2431">
          <w:rPr>
            <w:rStyle w:val="Hyperlink"/>
            <w:rFonts w:ascii="Times New Roman" w:hAnsi="Times New Roman"/>
            <w:sz w:val="24"/>
            <w:szCs w:val="24"/>
          </w:rPr>
          <w:t>. 1708</w:t>
        </w:r>
      </w:hyperlink>
      <w:r w:rsidRPr="00FA2431">
        <w:rPr>
          <w:rFonts w:ascii="Times New Roman" w:hAnsi="Times New Roman"/>
          <w:sz w:val="24"/>
          <w:szCs w:val="24"/>
        </w:rPr>
        <w:t>.</w:t>
      </w:r>
      <w:r>
        <w:rPr>
          <w:rFonts w:ascii="Times New Roman" w:hAnsi="Times New Roman"/>
          <w:sz w:val="24"/>
          <w:szCs w:val="24"/>
        </w:rPr>
        <w:t xml:space="preserve"> </w:t>
      </w:r>
    </w:p>
    <w:p w14:paraId="739EFE9F" w14:textId="77777777" w:rsidR="00EB2493" w:rsidRPr="00784B7D" w:rsidRDefault="00EB2493" w:rsidP="00EB2493">
      <w:pPr>
        <w:spacing w:before="100" w:beforeAutospacing="1" w:after="100" w:afterAutospacing="1" w:line="240" w:lineRule="auto"/>
        <w:ind w:left="720"/>
        <w:rPr>
          <w:rFonts w:ascii="Times New Roman" w:hAnsi="Times New Roman"/>
          <w:sz w:val="24"/>
          <w:szCs w:val="24"/>
        </w:rPr>
      </w:pPr>
      <w:r w:rsidRPr="006D1C6E">
        <w:rPr>
          <w:rFonts w:ascii="Times New Roman" w:eastAsia="Times New Roman" w:hAnsi="Times New Roman"/>
          <w:sz w:val="24"/>
          <w:szCs w:val="24"/>
        </w:rPr>
        <w:t xml:space="preserve">See also </w:t>
      </w:r>
      <w:r>
        <w:rPr>
          <w:rFonts w:ascii="Times New Roman" w:eastAsia="Times New Roman" w:hAnsi="Times New Roman"/>
          <w:sz w:val="24"/>
          <w:szCs w:val="24"/>
        </w:rPr>
        <w:t xml:space="preserve">training </w:t>
      </w:r>
      <w:r w:rsidRPr="006D1C6E">
        <w:rPr>
          <w:rFonts w:ascii="Times New Roman" w:eastAsia="Times New Roman" w:hAnsi="Times New Roman"/>
          <w:sz w:val="24"/>
          <w:szCs w:val="24"/>
        </w:rPr>
        <w:t xml:space="preserve">death of Baltimore recruit </w:t>
      </w:r>
      <w:r>
        <w:rPr>
          <w:rFonts w:ascii="Times New Roman" w:eastAsia="Times New Roman" w:hAnsi="Times New Roman"/>
          <w:sz w:val="24"/>
          <w:szCs w:val="24"/>
        </w:rPr>
        <w:t xml:space="preserve">Racheal Wilson </w:t>
      </w:r>
      <w:r w:rsidRPr="006D1C6E">
        <w:rPr>
          <w:rFonts w:ascii="Times New Roman" w:eastAsia="Times New Roman" w:hAnsi="Times New Roman"/>
          <w:sz w:val="24"/>
          <w:szCs w:val="24"/>
        </w:rPr>
        <w:t xml:space="preserve">in a townhouse live burn: </w:t>
      </w:r>
      <w:r w:rsidRPr="006D1C6E">
        <w:rPr>
          <w:rFonts w:ascii="Times New Roman" w:eastAsia="Times New Roman" w:hAnsi="Times New Roman"/>
          <w:sz w:val="24"/>
          <w:szCs w:val="24"/>
          <w:u w:val="single"/>
        </w:rPr>
        <w:t>Virginia Dean Slaughter v. City of Baltimore</w:t>
      </w:r>
      <w:r>
        <w:rPr>
          <w:rFonts w:ascii="Times New Roman" w:eastAsia="Times New Roman" w:hAnsi="Times New Roman"/>
          <w:sz w:val="24"/>
          <w:szCs w:val="24"/>
        </w:rPr>
        <w:t xml:space="preserve"> (4</w:t>
      </w:r>
      <w:r w:rsidRPr="00784B7D">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2012), </w:t>
      </w:r>
      <w:hyperlink r:id="rId2342" w:history="1">
        <w:r w:rsidRPr="002A3A0C">
          <w:rPr>
            <w:rStyle w:val="Hyperlink"/>
            <w:rFonts w:ascii="Times New Roman" w:eastAsia="Times New Roman" w:hAnsi="Times New Roman"/>
            <w:sz w:val="24"/>
            <w:szCs w:val="24"/>
          </w:rPr>
          <w:t>https://caselaw.findlaw.com/us-4th-circuit/1602456.html</w:t>
        </w:r>
      </w:hyperlink>
      <w:r>
        <w:rPr>
          <w:rFonts w:ascii="Times New Roman" w:eastAsia="Times New Roman" w:hAnsi="Times New Roman"/>
          <w:sz w:val="24"/>
          <w:szCs w:val="24"/>
        </w:rPr>
        <w:t xml:space="preserve">. </w:t>
      </w:r>
      <w:r w:rsidRPr="00784B7D">
        <w:rPr>
          <w:rFonts w:ascii="Times New Roman" w:eastAsia="Times New Roman" w:hAnsi="Times New Roman"/>
          <w:sz w:val="24"/>
          <w:szCs w:val="24"/>
        </w:rPr>
        <w:t>“</w:t>
      </w:r>
      <w:r w:rsidRPr="00784B7D">
        <w:rPr>
          <w:rFonts w:ascii="Times New Roman" w:hAnsi="Times New Roman"/>
          <w:sz w:val="24"/>
          <w:szCs w:val="24"/>
        </w:rPr>
        <w:t xml:space="preserve">The facts alleged in this case reveal a sad story that might well support state tort claims or other state law claims. </w:t>
      </w:r>
      <w:r w:rsidRPr="00784B7D">
        <w:rPr>
          <w:rFonts w:ascii="Times New Roman" w:hAnsi="Times New Roman"/>
          <w:sz w:val="24"/>
          <w:szCs w:val="24"/>
        </w:rPr>
        <w:t> </w:t>
      </w:r>
      <w:r w:rsidRPr="00784B7D">
        <w:rPr>
          <w:rFonts w:ascii="Times New Roman" w:hAnsi="Times New Roman"/>
          <w:sz w:val="24"/>
          <w:szCs w:val="24"/>
        </w:rPr>
        <w:t xml:space="preserve"> But </w:t>
      </w:r>
      <w:proofErr w:type="gramStart"/>
      <w:r w:rsidRPr="00784B7D">
        <w:rPr>
          <w:rFonts w:ascii="Times New Roman" w:hAnsi="Times New Roman"/>
          <w:sz w:val="24"/>
          <w:szCs w:val="24"/>
        </w:rPr>
        <w:t>to treat</w:t>
      </w:r>
      <w:proofErr w:type="gramEnd"/>
      <w:r w:rsidRPr="00784B7D">
        <w:rPr>
          <w:rFonts w:ascii="Times New Roman" w:hAnsi="Times New Roman"/>
          <w:sz w:val="24"/>
          <w:szCs w:val="24"/>
        </w:rPr>
        <w:t xml:space="preserve"> the Fire Department's conduct as a substantive due process violation would be to constitutionalize a state tort claim, which must only be done in the rarest of cases. </w:t>
      </w:r>
      <w:r w:rsidRPr="00784B7D">
        <w:rPr>
          <w:rFonts w:ascii="Times New Roman" w:hAnsi="Times New Roman"/>
          <w:sz w:val="24"/>
          <w:szCs w:val="24"/>
        </w:rPr>
        <w:t> </w:t>
      </w:r>
      <w:r w:rsidRPr="00784B7D">
        <w:rPr>
          <w:rFonts w:ascii="Times New Roman" w:hAnsi="Times New Roman"/>
          <w:sz w:val="24"/>
          <w:szCs w:val="24"/>
        </w:rPr>
        <w:t xml:space="preserve"> As we observed in </w:t>
      </w:r>
      <w:proofErr w:type="gramStart"/>
      <w:r w:rsidRPr="00784B7D">
        <w:rPr>
          <w:rFonts w:ascii="Times New Roman" w:hAnsi="Times New Roman"/>
          <w:i/>
          <w:iCs/>
          <w:sz w:val="24"/>
          <w:szCs w:val="24"/>
        </w:rPr>
        <w:t>Waybright</w:t>
      </w:r>
      <w:r w:rsidRPr="00784B7D">
        <w:rPr>
          <w:rFonts w:ascii="Times New Roman" w:hAnsi="Times New Roman"/>
          <w:sz w:val="24"/>
          <w:szCs w:val="24"/>
        </w:rPr>
        <w:t xml:space="preserve">, </w:t>
      </w:r>
      <w:r>
        <w:rPr>
          <w:rFonts w:ascii="Times New Roman" w:hAnsi="Times New Roman"/>
          <w:sz w:val="24"/>
          <w:szCs w:val="24"/>
        </w:rPr>
        <w:t>‘</w:t>
      </w:r>
      <w:proofErr w:type="gramEnd"/>
      <w:r w:rsidRPr="00784B7D">
        <w:rPr>
          <w:rFonts w:ascii="Times New Roman" w:hAnsi="Times New Roman"/>
          <w:sz w:val="24"/>
          <w:szCs w:val="24"/>
        </w:rPr>
        <w:t xml:space="preserve">where a claim sounds both in state tort law and substantive due process, state tort law is the rule and due process </w:t>
      </w:r>
      <w:proofErr w:type="gramStart"/>
      <w:r w:rsidRPr="00784B7D">
        <w:rPr>
          <w:rFonts w:ascii="Times New Roman" w:hAnsi="Times New Roman"/>
          <w:sz w:val="24"/>
          <w:szCs w:val="24"/>
        </w:rPr>
        <w:t>the</w:t>
      </w:r>
      <w:proofErr w:type="gramEnd"/>
      <w:r w:rsidRPr="00784B7D">
        <w:rPr>
          <w:rFonts w:ascii="Times New Roman" w:hAnsi="Times New Roman"/>
          <w:sz w:val="24"/>
          <w:szCs w:val="24"/>
        </w:rPr>
        <w:t xml:space="preserve"> distinct exception.</w:t>
      </w:r>
      <w:r>
        <w:rPr>
          <w:rFonts w:ascii="Times New Roman" w:hAnsi="Times New Roman"/>
          <w:sz w:val="24"/>
          <w:szCs w:val="24"/>
        </w:rPr>
        <w:t>’</w:t>
      </w:r>
      <w:r w:rsidRPr="00784B7D">
        <w:rPr>
          <w:rFonts w:ascii="Times New Roman" w:hAnsi="Times New Roman"/>
          <w:sz w:val="24"/>
          <w:szCs w:val="24"/>
        </w:rPr>
        <w:t xml:space="preserve"> </w:t>
      </w:r>
      <w:r w:rsidRPr="00784B7D">
        <w:rPr>
          <w:rFonts w:ascii="Times New Roman" w:hAnsi="Times New Roman"/>
          <w:sz w:val="24"/>
          <w:szCs w:val="24"/>
        </w:rPr>
        <w:t> </w:t>
      </w:r>
      <w:r w:rsidRPr="00784B7D">
        <w:rPr>
          <w:rFonts w:ascii="Times New Roman" w:hAnsi="Times New Roman"/>
          <w:sz w:val="24"/>
          <w:szCs w:val="24"/>
        </w:rPr>
        <w:t>528 F.3d at 205.</w:t>
      </w:r>
      <w:r>
        <w:rPr>
          <w:rFonts w:ascii="Times New Roman" w:hAnsi="Times New Roman"/>
          <w:sz w:val="24"/>
          <w:szCs w:val="24"/>
        </w:rPr>
        <w:t xml:space="preserve">” </w:t>
      </w:r>
    </w:p>
    <w:p w14:paraId="359B10C0" w14:textId="77777777" w:rsidR="00EB2493" w:rsidRPr="006D1C6E" w:rsidRDefault="00EB2493" w:rsidP="00EB2493">
      <w:pPr>
        <w:pStyle w:val="Heading1"/>
        <w:ind w:left="720"/>
        <w:rPr>
          <w:b w:val="0"/>
          <w:bCs w:val="0"/>
          <w:sz w:val="24"/>
          <w:szCs w:val="24"/>
        </w:rPr>
      </w:pPr>
      <w:bookmarkStart w:id="452" w:name="_Hlk66949488"/>
      <w:bookmarkEnd w:id="451"/>
      <w:r w:rsidRPr="006D1C6E">
        <w:rPr>
          <w:b w:val="0"/>
          <w:bCs w:val="0"/>
          <w:sz w:val="24"/>
          <w:szCs w:val="24"/>
        </w:rPr>
        <w:t>See also NIOSH Fire Fighter Fatality Report F2007-09</w:t>
      </w:r>
      <w:r>
        <w:rPr>
          <w:b w:val="0"/>
          <w:bCs w:val="0"/>
          <w:sz w:val="24"/>
          <w:szCs w:val="24"/>
        </w:rPr>
        <w:t xml:space="preserve"> on death of </w:t>
      </w:r>
      <w:r w:rsidRPr="00784B7D">
        <w:rPr>
          <w:b w:val="0"/>
          <w:bCs w:val="0"/>
          <w:sz w:val="24"/>
          <w:szCs w:val="24"/>
        </w:rPr>
        <w:t>Racheal Wilson:</w:t>
      </w:r>
      <w:r w:rsidRPr="006D1C6E">
        <w:rPr>
          <w:b w:val="0"/>
          <w:bCs w:val="0"/>
          <w:sz w:val="24"/>
          <w:szCs w:val="24"/>
        </w:rPr>
        <w:t xml:space="preserve"> </w:t>
      </w:r>
      <w:r>
        <w:rPr>
          <w:b w:val="0"/>
          <w:bCs w:val="0"/>
          <w:sz w:val="24"/>
          <w:szCs w:val="24"/>
        </w:rPr>
        <w:t>“</w:t>
      </w:r>
      <w:r w:rsidRPr="006D1C6E">
        <w:rPr>
          <w:b w:val="0"/>
          <w:bCs w:val="0"/>
          <w:sz w:val="24"/>
          <w:szCs w:val="24"/>
        </w:rPr>
        <w:t>Career Probationary Fire Fighter Dies While Participating in a Live-Fire Training Evolution at an Acquired Structure – Maryland</w:t>
      </w:r>
      <w:r>
        <w:rPr>
          <w:b w:val="0"/>
          <w:bCs w:val="0"/>
          <w:sz w:val="24"/>
          <w:szCs w:val="24"/>
        </w:rPr>
        <w:t xml:space="preserve">.” </w:t>
      </w:r>
      <w:r w:rsidRPr="006D1C6E">
        <w:rPr>
          <w:b w:val="0"/>
          <w:bCs w:val="0"/>
        </w:rPr>
        <w:t xml:space="preserve"> </w:t>
      </w:r>
      <w:hyperlink r:id="rId2343" w:history="1">
        <w:r w:rsidRPr="006D1C6E">
          <w:rPr>
            <w:rStyle w:val="Hyperlink"/>
            <w:b w:val="0"/>
            <w:bCs w:val="0"/>
            <w:sz w:val="24"/>
            <w:szCs w:val="24"/>
          </w:rPr>
          <w:t>https://www.cdc.gov/niosh/fire/reports/face200709.html</w:t>
        </w:r>
      </w:hyperlink>
      <w:bookmarkEnd w:id="452"/>
      <w:r w:rsidRPr="006D1C6E">
        <w:rPr>
          <w:b w:val="0"/>
          <w:bCs w:val="0"/>
          <w:sz w:val="24"/>
          <w:szCs w:val="24"/>
        </w:rPr>
        <w:t xml:space="preserve"> </w:t>
      </w:r>
    </w:p>
    <w:p w14:paraId="3ACB43AB" w14:textId="77777777" w:rsidR="00EB2493" w:rsidRDefault="00EB2493" w:rsidP="002B1283">
      <w:pPr>
        <w:rPr>
          <w:rFonts w:ascii="Arial Black" w:hAnsi="Arial Black"/>
          <w:b/>
          <w:bCs/>
          <w:sz w:val="28"/>
          <w:szCs w:val="28"/>
        </w:rPr>
      </w:pPr>
    </w:p>
    <w:p w14:paraId="7028E879" w14:textId="4D674C3F" w:rsidR="00EB2493" w:rsidRDefault="00EB2493" w:rsidP="002B1283">
      <w:pPr>
        <w:rPr>
          <w:rFonts w:ascii="Arial Black" w:hAnsi="Arial Black"/>
          <w:b/>
          <w:bCs/>
          <w:sz w:val="28"/>
          <w:szCs w:val="28"/>
        </w:rPr>
      </w:pPr>
      <w:r>
        <w:rPr>
          <w:rFonts w:ascii="Arial Black" w:hAnsi="Arial Black"/>
          <w:b/>
          <w:bCs/>
          <w:sz w:val="28"/>
          <w:szCs w:val="28"/>
        </w:rPr>
        <w:t>13-80</w:t>
      </w:r>
    </w:p>
    <w:p w14:paraId="7FFE0D85" w14:textId="77777777" w:rsidR="00EB2493" w:rsidRDefault="00EB2493" w:rsidP="00EB2493">
      <w:pPr>
        <w:rPr>
          <w:rFonts w:ascii="Arial Black" w:hAnsi="Arial Black"/>
          <w:sz w:val="28"/>
          <w:szCs w:val="28"/>
        </w:rPr>
      </w:pPr>
      <w:bookmarkStart w:id="453" w:name="_Hlk66949641"/>
      <w:r w:rsidRPr="00BC494E">
        <w:rPr>
          <w:rFonts w:ascii="Arial Black" w:hAnsi="Arial Black"/>
          <w:sz w:val="28"/>
          <w:szCs w:val="28"/>
        </w:rPr>
        <w:t>DE</w:t>
      </w:r>
      <w:r>
        <w:rPr>
          <w:rFonts w:ascii="Arial Black" w:hAnsi="Arial Black"/>
          <w:sz w:val="28"/>
          <w:szCs w:val="28"/>
        </w:rPr>
        <w:t xml:space="preserve">: EMT SLIP &amp; FALL IN PARKING LOT – “FIREMAN’S RULE” DOES NOT APPLY - CAN SUE PARKING LOT OWNER  </w:t>
      </w:r>
    </w:p>
    <w:p w14:paraId="5059B1EF" w14:textId="77777777" w:rsidR="00EB2493" w:rsidRDefault="00EB2493" w:rsidP="00EB2493">
      <w:pPr>
        <w:rPr>
          <w:rFonts w:ascii="Times New Roman" w:hAnsi="Times New Roman"/>
          <w:sz w:val="24"/>
          <w:szCs w:val="24"/>
        </w:rPr>
      </w:pPr>
      <w:r>
        <w:rPr>
          <w:rFonts w:ascii="Times New Roman" w:hAnsi="Times New Roman"/>
          <w:sz w:val="24"/>
          <w:szCs w:val="24"/>
        </w:rPr>
        <w:t xml:space="preserve">On Feb. 2, 2021, in </w:t>
      </w:r>
      <w:r w:rsidRPr="00BC494E">
        <w:rPr>
          <w:rFonts w:ascii="Times New Roman" w:hAnsi="Times New Roman"/>
          <w:sz w:val="24"/>
          <w:szCs w:val="24"/>
          <w:u w:val="single"/>
        </w:rPr>
        <w:t xml:space="preserve">Brandilyn Biggs v. </w:t>
      </w:r>
      <w:r w:rsidRPr="00CB5F0E">
        <w:rPr>
          <w:rFonts w:ascii="Times New Roman" w:hAnsi="Times New Roman"/>
          <w:sz w:val="24"/>
          <w:szCs w:val="24"/>
          <w:u w:val="single"/>
        </w:rPr>
        <w:t>Roberta C. Hall and B Merion II 1303 Wilmington, LLC</w:t>
      </w:r>
      <w:r w:rsidRPr="00BC494E">
        <w:rPr>
          <w:rFonts w:ascii="Times New Roman" w:hAnsi="Times New Roman"/>
          <w:sz w:val="24"/>
          <w:szCs w:val="24"/>
        </w:rPr>
        <w:t>,</w:t>
      </w:r>
      <w:r>
        <w:rPr>
          <w:rFonts w:ascii="Times New Roman" w:hAnsi="Times New Roman"/>
          <w:sz w:val="24"/>
          <w:szCs w:val="24"/>
        </w:rPr>
        <w:t xml:space="preserve"> J</w:t>
      </w:r>
      <w:r w:rsidRPr="00BC494E">
        <w:rPr>
          <w:rFonts w:ascii="Times New Roman" w:hAnsi="Times New Roman"/>
          <w:sz w:val="24"/>
          <w:szCs w:val="24"/>
        </w:rPr>
        <w:t>udge</w:t>
      </w:r>
      <w:r>
        <w:rPr>
          <w:rFonts w:ascii="Times New Roman" w:hAnsi="Times New Roman"/>
          <w:sz w:val="24"/>
          <w:szCs w:val="24"/>
        </w:rPr>
        <w:t xml:space="preserve"> Andrea L. Rocanelli, Superior Court of the State of Delaware, denied the defense motion for summary judgment, holding that the Fireman’s Rule does not apply to the EMT and she may sue parking lot owner for damages (including pain &amp; suffering).  </w:t>
      </w:r>
    </w:p>
    <w:p w14:paraId="1C0BF92A" w14:textId="77777777" w:rsidR="00EB2493" w:rsidRDefault="00EB2493" w:rsidP="00EB2493">
      <w:pPr>
        <w:ind w:left="720"/>
        <w:rPr>
          <w:rFonts w:ascii="Times New Roman" w:hAnsi="Times New Roman"/>
          <w:sz w:val="24"/>
          <w:szCs w:val="24"/>
        </w:rPr>
      </w:pPr>
      <w:r>
        <w:rPr>
          <w:rFonts w:ascii="Times New Roman" w:hAnsi="Times New Roman"/>
          <w:sz w:val="24"/>
          <w:szCs w:val="24"/>
        </w:rPr>
        <w:t>“</w:t>
      </w:r>
      <w:r w:rsidRPr="00BC494E">
        <w:rPr>
          <w:rFonts w:ascii="Times New Roman" w:hAnsi="Times New Roman"/>
          <w:sz w:val="24"/>
          <w:szCs w:val="24"/>
        </w:rPr>
        <w:t>The Firefighter's Rule shall not be extended to EMTs under the circumstances of this case. Biggs was owed the duty of reasonable care. Viewing the facts in the light most favorable to Biggs, there is a genuine issue of material fact regarding whether AB Merion was negligent in its duty to maintain the Parking Lot. Therefore, AB Merion is not entitled to summary judgment.</w:t>
      </w:r>
      <w:r>
        <w:rPr>
          <w:rFonts w:ascii="Times New Roman" w:hAnsi="Times New Roman"/>
          <w:sz w:val="24"/>
          <w:szCs w:val="24"/>
        </w:rPr>
        <w:t xml:space="preserve">” </w:t>
      </w:r>
      <w:hyperlink r:id="rId2344" w:history="1">
        <w:r w:rsidRPr="005D199E">
          <w:rPr>
            <w:rStyle w:val="Hyperlink"/>
            <w:rFonts w:ascii="Times New Roman" w:hAnsi="Times New Roman"/>
            <w:sz w:val="24"/>
            <w:szCs w:val="24"/>
          </w:rPr>
          <w:t>https://law.justia.com/cases/delaware/superior-court/2021/n17c-10-149-alr.html</w:t>
        </w:r>
      </w:hyperlink>
      <w:r>
        <w:rPr>
          <w:rFonts w:ascii="Times New Roman" w:hAnsi="Times New Roman"/>
          <w:sz w:val="24"/>
          <w:szCs w:val="24"/>
        </w:rPr>
        <w:t xml:space="preserve"> </w:t>
      </w:r>
    </w:p>
    <w:p w14:paraId="41E4EA4C" w14:textId="77777777" w:rsidR="00EB2493" w:rsidRDefault="00EB2493" w:rsidP="00EB2493">
      <w:pPr>
        <w:pStyle w:val="NormalWeb"/>
        <w:rPr>
          <w:b/>
          <w:bCs/>
        </w:rPr>
      </w:pPr>
      <w:r w:rsidRPr="003F0CA5">
        <w:rPr>
          <w:b/>
          <w:bCs/>
        </w:rPr>
        <w:t xml:space="preserve">Legal Lesson Learned:  In many states, including Ohio, the Fireman’s Rule normally would not allow fire, EMS or police to sue property </w:t>
      </w:r>
      <w:proofErr w:type="gramStart"/>
      <w:r w:rsidRPr="003F0CA5">
        <w:rPr>
          <w:b/>
          <w:bCs/>
        </w:rPr>
        <w:t>owner</w:t>
      </w:r>
      <w:proofErr w:type="gramEnd"/>
      <w:r w:rsidRPr="003F0CA5">
        <w:rPr>
          <w:b/>
          <w:bCs/>
        </w:rPr>
        <w:t xml:space="preserve"> for injuries; their sole remedy is workers comp. </w:t>
      </w:r>
    </w:p>
    <w:p w14:paraId="05FD2C32" w14:textId="77777777" w:rsidR="00EB2493" w:rsidRDefault="00EB2493" w:rsidP="00EB2493">
      <w:pPr>
        <w:pStyle w:val="NormalWeb"/>
        <w:ind w:left="720"/>
        <w:rPr>
          <w:b/>
          <w:bCs/>
        </w:rPr>
      </w:pPr>
      <w:r w:rsidRPr="003F0CA5">
        <w:t xml:space="preserve">Note: The Ohio Supreme Court in </w:t>
      </w:r>
      <w:proofErr w:type="spellStart"/>
      <w:r w:rsidRPr="003F0CA5">
        <w:rPr>
          <w:i/>
          <w:iCs/>
        </w:rPr>
        <w:t>Torchik</w:t>
      </w:r>
      <w:proofErr w:type="spellEnd"/>
      <w:r w:rsidRPr="003F0CA5">
        <w:rPr>
          <w:i/>
          <w:iCs/>
        </w:rPr>
        <w:t xml:space="preserve"> v. Boyce</w:t>
      </w:r>
      <w:r w:rsidRPr="003F0CA5">
        <w:t>, 121 Ohio St.3d 440, 2009-Ohio-1248 (March 25, 2009)</w:t>
      </w:r>
      <w:r>
        <w:t xml:space="preserve"> </w:t>
      </w:r>
      <w:r w:rsidRPr="003F0CA5">
        <w:t xml:space="preserve">did allow a deputy sheriff to sue the contractor who built the deck on a house and the steps collapsed as the deputy investigated a burglar alarm.  “Firefighters and police do not assume a special </w:t>
      </w:r>
      <w:r w:rsidRPr="003F0CA5">
        <w:lastRenderedPageBreak/>
        <w:t>risk of injury from the work of independent contractors when the risk of being injured by the contractor’s negligence applies equally to all. It would be illogical to insulate an independent contractor from a negligence claim simply because the person injured happened to be a police officer or firefighter acting in the scope of his or her official duties.</w:t>
      </w:r>
      <w:r>
        <w:t xml:space="preserve">” </w:t>
      </w:r>
      <w:hyperlink r:id="rId2345" w:history="1">
        <w:r w:rsidRPr="002A3A0C">
          <w:rPr>
            <w:rStyle w:val="Hyperlink"/>
            <w:sz w:val="25"/>
            <w:szCs w:val="25"/>
          </w:rPr>
          <w:t>https://www.supremecourt.ohio.gov/rod/docs/pdf/0/2009/2009-Ohio-1248.pdf</w:t>
        </w:r>
      </w:hyperlink>
      <w:r>
        <w:rPr>
          <w:sz w:val="25"/>
          <w:szCs w:val="25"/>
        </w:rPr>
        <w:t xml:space="preserve">, </w:t>
      </w:r>
    </w:p>
    <w:p w14:paraId="5C9531AF" w14:textId="77777777" w:rsidR="00EB2493" w:rsidRDefault="00EB2493" w:rsidP="00EB2493">
      <w:pPr>
        <w:pStyle w:val="NormalWeb"/>
        <w:ind w:left="720"/>
      </w:pPr>
      <w:r w:rsidRPr="0069017C">
        <w:t xml:space="preserve">Some states have abolished the Fireman’s Rule. </w:t>
      </w:r>
      <w:r>
        <w:t xml:space="preserve">For example, see </w:t>
      </w:r>
      <w:proofErr w:type="spellStart"/>
      <w:r>
        <w:t>Florida:Section</w:t>
      </w:r>
      <w:proofErr w:type="spellEnd"/>
      <w:r>
        <w:t xml:space="preserve"> 112.182 - "Firefighter rule" abolished. </w:t>
      </w:r>
      <w:hyperlink r:id="rId2346" w:history="1">
        <w:r w:rsidRPr="005D199E">
          <w:rPr>
            <w:rStyle w:val="Hyperlink"/>
          </w:rPr>
          <w:t>https://flsenate.gov/Laws/Statutes/2011/112.182</w:t>
        </w:r>
      </w:hyperlink>
      <w:bookmarkEnd w:id="453"/>
      <w:r>
        <w:t xml:space="preserve"> </w:t>
      </w:r>
    </w:p>
    <w:p w14:paraId="629FF744" w14:textId="77777777" w:rsidR="00EB2493" w:rsidRDefault="00EB2493" w:rsidP="00EB2493">
      <w:pPr>
        <w:spacing w:after="0" w:line="240" w:lineRule="auto"/>
        <w:ind w:left="1440"/>
        <w:rPr>
          <w:rFonts w:ascii="Times New Roman" w:eastAsia="Times New Roman" w:hAnsi="Times New Roman"/>
          <w:sz w:val="24"/>
          <w:szCs w:val="24"/>
        </w:rPr>
      </w:pPr>
      <w:r w:rsidRPr="0069017C">
        <w:rPr>
          <w:rFonts w:ascii="Times New Roman" w:eastAsia="Times New Roman" w:hAnsi="Times New Roman"/>
          <w:sz w:val="24"/>
          <w:szCs w:val="24"/>
        </w:rPr>
        <w:t>(1) A firefighter or properly identified law enforcement officer who lawfully enters upon the premises of another in the discharge of his or her duty occupies the status of an invitee. The common-law rule that such a firefighter or law enforcement officer occupies the status of a licensee is hereby abolished.</w:t>
      </w:r>
      <w:r>
        <w:rPr>
          <w:rFonts w:ascii="Times New Roman" w:eastAsia="Times New Roman" w:hAnsi="Times New Roman"/>
          <w:sz w:val="24"/>
          <w:szCs w:val="24"/>
        </w:rPr>
        <w:t xml:space="preserve"> </w:t>
      </w:r>
      <w:r w:rsidRPr="0069017C">
        <w:rPr>
          <w:rFonts w:ascii="Times New Roman" w:eastAsia="Times New Roman" w:hAnsi="Times New Roman"/>
          <w:sz w:val="24"/>
          <w:szCs w:val="24"/>
        </w:rPr>
        <w:t xml:space="preserve">(2) It is not the intent of this section to increase or diminish the duty of care owed by property owners to </w:t>
      </w:r>
      <w:proofErr w:type="gramStart"/>
      <w:r w:rsidRPr="0069017C">
        <w:rPr>
          <w:rFonts w:ascii="Times New Roman" w:eastAsia="Times New Roman" w:hAnsi="Times New Roman"/>
          <w:sz w:val="24"/>
          <w:szCs w:val="24"/>
        </w:rPr>
        <w:t>invitees</w:t>
      </w:r>
      <w:proofErr w:type="gramEnd"/>
      <w:r w:rsidRPr="0069017C">
        <w:rPr>
          <w:rFonts w:ascii="Times New Roman" w:eastAsia="Times New Roman" w:hAnsi="Times New Roman"/>
          <w:sz w:val="24"/>
          <w:szCs w:val="24"/>
        </w:rPr>
        <w:t>. Property owners shall be liable to invitees pursuant to this section only when the property owner negligently fails to maintain the premises in a reasonably safe condition or negligently fails to correct a dangerous condition of which the property owner either knew or should have known by the use of reasonable care or negligently fails to warn the invitee of a dangerous condition about which the property owner had, or should have had, knowledge greater than that of the invitee.</w:t>
      </w:r>
      <w:r>
        <w:rPr>
          <w:rFonts w:ascii="Times New Roman" w:eastAsia="Times New Roman" w:hAnsi="Times New Roman"/>
          <w:sz w:val="24"/>
          <w:szCs w:val="24"/>
        </w:rPr>
        <w:t xml:space="preserve"> </w:t>
      </w:r>
      <w:r w:rsidRPr="0069017C">
        <w:rPr>
          <w:rFonts w:ascii="Times New Roman" w:eastAsia="Times New Roman" w:hAnsi="Times New Roman"/>
          <w:sz w:val="24"/>
          <w:szCs w:val="24"/>
        </w:rPr>
        <w:t>Fla. Stat. § 112.182</w:t>
      </w:r>
    </w:p>
    <w:p w14:paraId="2DDDCCBD" w14:textId="77777777" w:rsidR="00EB2493" w:rsidRDefault="00EB2493" w:rsidP="00EB2493">
      <w:pPr>
        <w:spacing w:before="100" w:beforeAutospacing="1" w:after="100" w:afterAutospacing="1" w:line="240" w:lineRule="auto"/>
        <w:ind w:left="720"/>
      </w:pPr>
      <w:r>
        <w:rPr>
          <w:rFonts w:ascii="Times New Roman" w:eastAsia="Times New Roman" w:hAnsi="Times New Roman"/>
          <w:sz w:val="24"/>
          <w:szCs w:val="24"/>
        </w:rPr>
        <w:t xml:space="preserve">Some states, like New York, have modified the Fireman’s Rule to allow lawsuits for violations of building and fire codes.  See summary of law enforcement cases:  </w:t>
      </w:r>
      <w:hyperlink r:id="rId2347" w:history="1">
        <w:r w:rsidRPr="002A3A0C">
          <w:rPr>
            <w:rStyle w:val="Hyperlink"/>
            <w:rFonts w:ascii="Times New Roman" w:eastAsia="Times New Roman" w:hAnsi="Times New Roman"/>
            <w:sz w:val="24"/>
            <w:szCs w:val="24"/>
          </w:rPr>
          <w:t>https://www.aele.org/law/Digests/civil168b.html</w:t>
        </w:r>
      </w:hyperlink>
      <w:r>
        <w:rPr>
          <w:rFonts w:ascii="Times New Roman" w:eastAsia="Times New Roman" w:hAnsi="Times New Roman"/>
          <w:sz w:val="24"/>
          <w:szCs w:val="24"/>
        </w:rPr>
        <w:t xml:space="preserve"> </w:t>
      </w:r>
    </w:p>
    <w:p w14:paraId="0EE4F0FF" w14:textId="77777777" w:rsidR="00EB2493" w:rsidRDefault="00EB2493" w:rsidP="002B1283">
      <w:pPr>
        <w:rPr>
          <w:rFonts w:ascii="Arial Black" w:hAnsi="Arial Black"/>
          <w:b/>
          <w:bCs/>
          <w:sz w:val="28"/>
          <w:szCs w:val="28"/>
        </w:rPr>
      </w:pPr>
    </w:p>
    <w:p w14:paraId="4E7F4C35" w14:textId="77777777" w:rsidR="00EB2493" w:rsidRDefault="00EB2493" w:rsidP="002B1283">
      <w:pPr>
        <w:rPr>
          <w:rFonts w:ascii="Arial Black" w:hAnsi="Arial Black"/>
          <w:b/>
          <w:bCs/>
          <w:sz w:val="28"/>
          <w:szCs w:val="28"/>
        </w:rPr>
      </w:pPr>
    </w:p>
    <w:p w14:paraId="269A948E" w14:textId="49C610CC" w:rsidR="00AD5461" w:rsidRDefault="00AD5461" w:rsidP="002B1283">
      <w:pPr>
        <w:rPr>
          <w:rFonts w:ascii="Arial Black" w:hAnsi="Arial Black"/>
          <w:b/>
          <w:bCs/>
          <w:sz w:val="28"/>
          <w:szCs w:val="28"/>
        </w:rPr>
      </w:pPr>
      <w:r>
        <w:rPr>
          <w:rFonts w:ascii="Arial Black" w:hAnsi="Arial Black"/>
          <w:b/>
          <w:bCs/>
          <w:sz w:val="28"/>
          <w:szCs w:val="28"/>
        </w:rPr>
        <w:t>13-79</w:t>
      </w:r>
    </w:p>
    <w:p w14:paraId="73E9E960" w14:textId="77777777" w:rsidR="00AD5461" w:rsidRPr="00AA5E13" w:rsidRDefault="00AD5461" w:rsidP="00AD5461">
      <w:pPr>
        <w:rPr>
          <w:rFonts w:ascii="Arial Black" w:hAnsi="Arial Black"/>
          <w:b/>
          <w:bCs/>
          <w:sz w:val="28"/>
          <w:szCs w:val="28"/>
        </w:rPr>
      </w:pPr>
      <w:r>
        <w:rPr>
          <w:rFonts w:ascii="Arial Black" w:hAnsi="Arial Black"/>
          <w:b/>
          <w:bCs/>
          <w:sz w:val="28"/>
          <w:szCs w:val="28"/>
        </w:rPr>
        <w:t xml:space="preserve">CO:  EMS USED KETAMINE - 500 MILLIGRAMS – POLICE PRISONER WHO DIED – LAWSUIT PROCEED – GRAND JURY </w:t>
      </w:r>
    </w:p>
    <w:p w14:paraId="6FAB0EAB" w14:textId="77777777" w:rsidR="00AD5461" w:rsidRDefault="00AD5461" w:rsidP="00AD5461">
      <w:pPr>
        <w:rPr>
          <w:rFonts w:ascii="Times New Roman" w:hAnsi="Times New Roman"/>
          <w:sz w:val="24"/>
          <w:szCs w:val="24"/>
        </w:rPr>
      </w:pPr>
      <w:r w:rsidRPr="00416A48">
        <w:rPr>
          <w:rFonts w:ascii="Times New Roman" w:hAnsi="Times New Roman"/>
          <w:sz w:val="24"/>
          <w:szCs w:val="24"/>
        </w:rPr>
        <w:t xml:space="preserve">On Jan. 29, 2021, </w:t>
      </w:r>
      <w:r>
        <w:rPr>
          <w:rFonts w:ascii="Times New Roman" w:hAnsi="Times New Roman"/>
          <w:sz w:val="24"/>
          <w:szCs w:val="24"/>
        </w:rPr>
        <w:t xml:space="preserve">in </w:t>
      </w:r>
      <w:r w:rsidRPr="00416A48">
        <w:rPr>
          <w:rFonts w:ascii="Times New Roman" w:hAnsi="Times New Roman"/>
          <w:sz w:val="24"/>
          <w:szCs w:val="24"/>
          <w:u w:val="single"/>
        </w:rPr>
        <w:t>Estate of Elijah Javon McClain v. City of Aurora, Colorado</w:t>
      </w:r>
      <w:r>
        <w:rPr>
          <w:rFonts w:ascii="Times New Roman" w:hAnsi="Times New Roman"/>
          <w:sz w:val="24"/>
          <w:szCs w:val="24"/>
        </w:rPr>
        <w:t xml:space="preserve">, U.S. Magistrate Judge N. Reid </w:t>
      </w:r>
      <w:proofErr w:type="spellStart"/>
      <w:r>
        <w:rPr>
          <w:rFonts w:ascii="Times New Roman" w:hAnsi="Times New Roman"/>
          <w:sz w:val="24"/>
          <w:szCs w:val="24"/>
        </w:rPr>
        <w:t>Neureiter</w:t>
      </w:r>
      <w:proofErr w:type="spellEnd"/>
      <w:r>
        <w:rPr>
          <w:rFonts w:ascii="Times New Roman" w:hAnsi="Times New Roman"/>
          <w:sz w:val="24"/>
          <w:szCs w:val="24"/>
        </w:rPr>
        <w:t xml:space="preserve"> denied the defense motion to delay discovery in this civil lawsuit, even though the State Attorney General has publicly announced that he will be presenting evidence to a grand jury regarding possible criminal misconduct of police and EMS involving the death of 23-year old Elijah McClain during an arrest walking home from convenience store, and put into a choke hold.  The Colorado Department of Public Health and Environment has also publicly confirmed they are examining the conduct of the EMS. </w:t>
      </w:r>
    </w:p>
    <w:p w14:paraId="4BD4DF98" w14:textId="19547758" w:rsidR="00AD5461" w:rsidRPr="000410C9" w:rsidRDefault="00AD5461" w:rsidP="00AD5461">
      <w:pPr>
        <w:ind w:left="720"/>
        <w:rPr>
          <w:rFonts w:ascii="Times New Roman" w:hAnsi="Times New Roman"/>
          <w:sz w:val="24"/>
          <w:szCs w:val="24"/>
        </w:rPr>
      </w:pPr>
      <w:r>
        <w:rPr>
          <w:rFonts w:ascii="Times New Roman" w:hAnsi="Times New Roman"/>
          <w:sz w:val="24"/>
          <w:szCs w:val="24"/>
        </w:rPr>
        <w:t>“</w:t>
      </w:r>
      <w:r w:rsidRPr="000410C9">
        <w:rPr>
          <w:rFonts w:ascii="Times New Roman" w:hAnsi="Times New Roman"/>
          <w:sz w:val="24"/>
          <w:szCs w:val="24"/>
        </w:rPr>
        <w:t xml:space="preserve">It is not in the interest of the public or in the interest of justice to </w:t>
      </w:r>
      <w:r>
        <w:rPr>
          <w:rFonts w:ascii="Times New Roman" w:hAnsi="Times New Roman"/>
          <w:sz w:val="24"/>
          <w:szCs w:val="24"/>
        </w:rPr>
        <w:t>‘</w:t>
      </w:r>
      <w:r w:rsidRPr="000410C9">
        <w:rPr>
          <w:rFonts w:ascii="Times New Roman" w:hAnsi="Times New Roman"/>
          <w:sz w:val="24"/>
          <w:szCs w:val="24"/>
        </w:rPr>
        <w:t>put on the back burner</w:t>
      </w:r>
      <w:r>
        <w:rPr>
          <w:rFonts w:ascii="Times New Roman" w:hAnsi="Times New Roman"/>
          <w:sz w:val="24"/>
          <w:szCs w:val="24"/>
        </w:rPr>
        <w:t>’</w:t>
      </w:r>
      <w:r w:rsidRPr="000410C9">
        <w:rPr>
          <w:rFonts w:ascii="Times New Roman" w:hAnsi="Times New Roman"/>
          <w:sz w:val="24"/>
          <w:szCs w:val="24"/>
        </w:rPr>
        <w:t xml:space="preserve"> discovery in a case that raises significant questions about the City of Aurora's policing and paramedic practices. It may be that there is nothing constitutionally wrong with the conduct that eventually led to Mr. McClain's death. If so, then the public will be better served by knowing that hard reality, as fairly determined by the judicial process, sooner rather than later. In short, a stay of discovery is not appropriate in this case.</w:t>
      </w:r>
      <w:r>
        <w:rPr>
          <w:rFonts w:ascii="Times New Roman" w:hAnsi="Times New Roman"/>
          <w:sz w:val="24"/>
          <w:szCs w:val="24"/>
        </w:rPr>
        <w:t xml:space="preserve">” </w:t>
      </w:r>
      <w:hyperlink r:id="rId2348" w:history="1">
        <w:r w:rsidRPr="002D36F9">
          <w:rPr>
            <w:rStyle w:val="Hyperlink"/>
            <w:rFonts w:ascii="Times New Roman" w:hAnsi="Times New Roman"/>
            <w:sz w:val="24"/>
            <w:szCs w:val="24"/>
          </w:rPr>
          <w:t>https://public.fastcase.com/Wl%2B2t%2BeVuI35%2FN70vAMFZhZJi56QhK5aeAu9BSRcXQy3N2tA%2FHS1iSBZTTlZLCgr</w:t>
        </w:r>
      </w:hyperlink>
      <w:r>
        <w:rPr>
          <w:rFonts w:ascii="Times New Roman" w:hAnsi="Times New Roman"/>
          <w:sz w:val="24"/>
          <w:szCs w:val="24"/>
        </w:rPr>
        <w:t xml:space="preserve"> </w:t>
      </w:r>
    </w:p>
    <w:p w14:paraId="5033E1DA" w14:textId="77777777" w:rsidR="00AD5461" w:rsidRPr="000314A1" w:rsidRDefault="00AD5461" w:rsidP="00AD5461">
      <w:pPr>
        <w:pStyle w:val="Heading1"/>
        <w:tabs>
          <w:tab w:val="left" w:pos="2810"/>
        </w:tabs>
        <w:rPr>
          <w:sz w:val="24"/>
          <w:szCs w:val="24"/>
        </w:rPr>
      </w:pPr>
      <w:r w:rsidRPr="000314A1">
        <w:rPr>
          <w:sz w:val="24"/>
          <w:szCs w:val="24"/>
        </w:rPr>
        <w:lastRenderedPageBreak/>
        <w:t>Legal Lesson Learned</w:t>
      </w:r>
      <w:r>
        <w:rPr>
          <w:sz w:val="24"/>
          <w:szCs w:val="24"/>
        </w:rPr>
        <w:t>: Pre-trial discovery in the civil suit may now process, including depositions of police officers and EMS; these emergency responders may decide to refuse to testify under 5</w:t>
      </w:r>
      <w:r w:rsidRPr="000314A1">
        <w:rPr>
          <w:sz w:val="24"/>
          <w:szCs w:val="24"/>
          <w:vertAlign w:val="superscript"/>
        </w:rPr>
        <w:t>th</w:t>
      </w:r>
      <w:r>
        <w:rPr>
          <w:sz w:val="24"/>
          <w:szCs w:val="24"/>
        </w:rPr>
        <w:t xml:space="preserve"> Amendment protection against self-incrimination until the criminal investigation is resolved. </w:t>
      </w:r>
    </w:p>
    <w:p w14:paraId="716C53A4" w14:textId="77777777" w:rsidR="00AD5461" w:rsidRPr="000410C9" w:rsidRDefault="00AD5461" w:rsidP="00AD5461">
      <w:pPr>
        <w:pStyle w:val="Heading1"/>
        <w:ind w:left="720"/>
        <w:rPr>
          <w:b w:val="0"/>
          <w:bCs w:val="0"/>
          <w:sz w:val="24"/>
          <w:szCs w:val="24"/>
        </w:rPr>
      </w:pPr>
      <w:r>
        <w:rPr>
          <w:b w:val="0"/>
          <w:bCs w:val="0"/>
          <w:sz w:val="24"/>
          <w:szCs w:val="24"/>
        </w:rPr>
        <w:t xml:space="preserve">Note: </w:t>
      </w:r>
      <w:r w:rsidRPr="000410C9">
        <w:rPr>
          <w:b w:val="0"/>
          <w:bCs w:val="0"/>
          <w:sz w:val="24"/>
          <w:szCs w:val="24"/>
        </w:rPr>
        <w:t xml:space="preserve">Read this </w:t>
      </w:r>
      <w:r>
        <w:rPr>
          <w:b w:val="0"/>
          <w:bCs w:val="0"/>
          <w:sz w:val="24"/>
          <w:szCs w:val="24"/>
        </w:rPr>
        <w:t>entire A</w:t>
      </w:r>
      <w:r w:rsidRPr="000410C9">
        <w:rPr>
          <w:b w:val="0"/>
          <w:bCs w:val="0"/>
          <w:sz w:val="24"/>
          <w:szCs w:val="24"/>
        </w:rPr>
        <w:t xml:space="preserve">ug. 11, </w:t>
      </w:r>
      <w:proofErr w:type="gramStart"/>
      <w:r w:rsidRPr="000410C9">
        <w:rPr>
          <w:b w:val="0"/>
          <w:bCs w:val="0"/>
          <w:sz w:val="24"/>
          <w:szCs w:val="24"/>
        </w:rPr>
        <w:t>2021</w:t>
      </w:r>
      <w:proofErr w:type="gramEnd"/>
      <w:r w:rsidRPr="000410C9">
        <w:rPr>
          <w:b w:val="0"/>
          <w:bCs w:val="0"/>
          <w:sz w:val="24"/>
          <w:szCs w:val="24"/>
        </w:rPr>
        <w:t xml:space="preserve"> article: </w:t>
      </w:r>
      <w:r>
        <w:rPr>
          <w:b w:val="0"/>
          <w:bCs w:val="0"/>
          <w:sz w:val="24"/>
          <w:szCs w:val="24"/>
        </w:rPr>
        <w:t>“</w:t>
      </w:r>
      <w:r w:rsidRPr="000410C9">
        <w:rPr>
          <w:b w:val="0"/>
          <w:bCs w:val="0"/>
          <w:sz w:val="24"/>
          <w:szCs w:val="24"/>
        </w:rPr>
        <w:t>What We Know About the Killing of Elijah McClain</w:t>
      </w:r>
      <w:r>
        <w:rPr>
          <w:b w:val="0"/>
          <w:bCs w:val="0"/>
          <w:sz w:val="24"/>
          <w:szCs w:val="24"/>
        </w:rPr>
        <w:t xml:space="preserve">.” </w:t>
      </w:r>
      <w:hyperlink r:id="rId2349" w:history="1">
        <w:r w:rsidRPr="002F4AC3">
          <w:rPr>
            <w:rStyle w:val="Hyperlink"/>
            <w:b w:val="0"/>
            <w:bCs w:val="0"/>
            <w:sz w:val="24"/>
            <w:szCs w:val="24"/>
          </w:rPr>
          <w:t>https://www.thecut.com/2020/08/the-killing-of-elijah-mcclain-everything-we-know.html</w:t>
        </w:r>
      </w:hyperlink>
      <w:r>
        <w:rPr>
          <w:b w:val="0"/>
          <w:bCs w:val="0"/>
          <w:sz w:val="24"/>
          <w:szCs w:val="24"/>
        </w:rPr>
        <w:t xml:space="preserve"> </w:t>
      </w:r>
    </w:p>
    <w:p w14:paraId="578A68F8" w14:textId="77777777" w:rsidR="00AD5461" w:rsidRDefault="00AD5461" w:rsidP="002B1283">
      <w:pPr>
        <w:rPr>
          <w:rFonts w:ascii="Arial Black" w:hAnsi="Arial Black"/>
          <w:b/>
          <w:bCs/>
          <w:sz w:val="28"/>
          <w:szCs w:val="28"/>
        </w:rPr>
      </w:pPr>
    </w:p>
    <w:p w14:paraId="61142EE4" w14:textId="77777777" w:rsidR="00AD5461" w:rsidRDefault="00AD5461" w:rsidP="002B1283">
      <w:pPr>
        <w:rPr>
          <w:rFonts w:ascii="Arial Black" w:hAnsi="Arial Black"/>
          <w:b/>
          <w:bCs/>
          <w:sz w:val="28"/>
          <w:szCs w:val="28"/>
        </w:rPr>
      </w:pPr>
    </w:p>
    <w:p w14:paraId="6A206B8B" w14:textId="77777777" w:rsidR="00AD5461" w:rsidRDefault="00AD5461" w:rsidP="002B1283">
      <w:pPr>
        <w:rPr>
          <w:rFonts w:ascii="Arial Black" w:hAnsi="Arial Black"/>
          <w:b/>
          <w:bCs/>
          <w:sz w:val="28"/>
          <w:szCs w:val="28"/>
        </w:rPr>
      </w:pPr>
    </w:p>
    <w:p w14:paraId="230D1CD9" w14:textId="5E57D201" w:rsidR="00F37F48" w:rsidRDefault="00F37F48" w:rsidP="002B1283">
      <w:pPr>
        <w:rPr>
          <w:rFonts w:ascii="Arial Black" w:hAnsi="Arial Black"/>
          <w:b/>
          <w:bCs/>
          <w:sz w:val="28"/>
          <w:szCs w:val="28"/>
        </w:rPr>
      </w:pPr>
      <w:r>
        <w:rPr>
          <w:rFonts w:ascii="Arial Black" w:hAnsi="Arial Black"/>
          <w:b/>
          <w:bCs/>
          <w:sz w:val="28"/>
          <w:szCs w:val="28"/>
        </w:rPr>
        <w:t>13-78</w:t>
      </w:r>
    </w:p>
    <w:p w14:paraId="311238AD" w14:textId="77777777" w:rsidR="00F37F48" w:rsidRDefault="00F37F48" w:rsidP="00F37F48">
      <w:pPr>
        <w:rPr>
          <w:rFonts w:ascii="Arial Black" w:hAnsi="Arial Black" w:cstheme="minorBidi"/>
          <w:sz w:val="28"/>
          <w:szCs w:val="28"/>
        </w:rPr>
      </w:pPr>
      <w:r>
        <w:rPr>
          <w:rFonts w:ascii="Arial Black" w:hAnsi="Arial Black"/>
          <w:sz w:val="28"/>
          <w:szCs w:val="28"/>
        </w:rPr>
        <w:t>MA: EMS RUN REPORT DOCUMENTED VICTIM’S “EXCITED UTTERANCES” – ADMISSIBLE IN HUSBAND’S ASSAULT TRIAL</w:t>
      </w:r>
    </w:p>
    <w:p w14:paraId="2315244F" w14:textId="77777777" w:rsidR="00F37F48" w:rsidRDefault="00F37F48" w:rsidP="00F37F48">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31, 2020, in </w:t>
      </w:r>
      <w:r>
        <w:rPr>
          <w:rFonts w:ascii="Times New Roman" w:eastAsia="Times New Roman" w:hAnsi="Times New Roman"/>
          <w:sz w:val="24"/>
          <w:szCs w:val="24"/>
          <w:u w:val="single"/>
        </w:rPr>
        <w:t>Commonwealth v. Chayanne Toledo</w:t>
      </w:r>
      <w:r>
        <w:rPr>
          <w:rFonts w:ascii="Times New Roman" w:eastAsia="Times New Roman" w:hAnsi="Times New Roman"/>
          <w:sz w:val="24"/>
          <w:szCs w:val="24"/>
        </w:rPr>
        <w:t xml:space="preserve">, the Commonwealth of Massachusetts Appeals Court held (3 to 0) that trial judge properly allowed EMS patient care report, quoting with wife’s comments at scene, allowed in evidence as record of her “excited utterances” even though she refused to testify at trial relying on the husband-wife privilege. </w:t>
      </w:r>
    </w:p>
    <w:p w14:paraId="7D1EADE8" w14:textId="77777777" w:rsidR="00F37F48" w:rsidRDefault="00F37F48" w:rsidP="00F37F48">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“First, in light of the evidence that Sally was crying, agitated, and in pain when she spoke with the EMTs, the judge’s ruling that her statements during the examination qualified as excited utterances was not an abuse of discretion.” </w:t>
      </w:r>
      <w:hyperlink r:id="rId2350" w:history="1">
        <w:r>
          <w:rPr>
            <w:rStyle w:val="Hyperlink"/>
          </w:rPr>
          <w:t>https://public.fastcase.com/Wl%2B2t%2BeVuI35%2FN70vAMFZswpqbyXpWGBMOIhfQ%2Fu%2FM0PzW3B3UkJbasWbumeQ3Ct</w:t>
        </w:r>
      </w:hyperlink>
      <w:r>
        <w:rPr>
          <w:rFonts w:ascii="Times New Roman" w:eastAsia="Times New Roman" w:hAnsi="Times New Roman"/>
          <w:sz w:val="24"/>
          <w:szCs w:val="24"/>
        </w:rPr>
        <w:t xml:space="preserve"> </w:t>
      </w:r>
    </w:p>
    <w:p w14:paraId="5EE839E8" w14:textId="77777777" w:rsidR="00F37F48" w:rsidRDefault="00F37F48" w:rsidP="00F37F48">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Best practice to include in EMS Patient Care Report the actual words of the victim. </w:t>
      </w:r>
    </w:p>
    <w:p w14:paraId="383DAC92" w14:textId="77777777" w:rsidR="00F37F48" w:rsidRDefault="00F37F48" w:rsidP="002B1283">
      <w:pPr>
        <w:rPr>
          <w:rFonts w:ascii="Arial Black" w:hAnsi="Arial Black"/>
          <w:b/>
          <w:bCs/>
          <w:sz w:val="28"/>
          <w:szCs w:val="28"/>
        </w:rPr>
      </w:pPr>
    </w:p>
    <w:p w14:paraId="162EB13D" w14:textId="0A8708BC" w:rsidR="00F37F48" w:rsidRDefault="00F37F48" w:rsidP="002B1283">
      <w:pPr>
        <w:rPr>
          <w:rFonts w:ascii="Arial Black" w:hAnsi="Arial Black"/>
          <w:b/>
          <w:bCs/>
          <w:sz w:val="28"/>
          <w:szCs w:val="28"/>
        </w:rPr>
      </w:pPr>
      <w:r>
        <w:rPr>
          <w:rFonts w:ascii="Arial Black" w:hAnsi="Arial Black"/>
          <w:b/>
          <w:bCs/>
          <w:sz w:val="28"/>
          <w:szCs w:val="28"/>
        </w:rPr>
        <w:t>13-77</w:t>
      </w:r>
    </w:p>
    <w:p w14:paraId="701F0CFF" w14:textId="77777777" w:rsidR="00F37F48" w:rsidRDefault="00F37F48" w:rsidP="00F37F48">
      <w:pPr>
        <w:rPr>
          <w:rFonts w:ascii="Arial Black" w:eastAsia="Times New Roman" w:hAnsi="Arial Black"/>
          <w:b/>
          <w:bCs/>
          <w:sz w:val="28"/>
          <w:szCs w:val="28"/>
        </w:rPr>
      </w:pPr>
      <w:r>
        <w:rPr>
          <w:rFonts w:ascii="Arial Black" w:eastAsia="Times New Roman" w:hAnsi="Arial Black"/>
          <w:b/>
          <w:bCs/>
          <w:sz w:val="28"/>
          <w:szCs w:val="28"/>
        </w:rPr>
        <w:t>IL: ASTHMA PATIENT INTUBATED, BUT IN ESOPHAGUS –EMS FOLLOWED TRAINING ASSESSING PATIENT – CITY IMMUNITY</w:t>
      </w:r>
    </w:p>
    <w:p w14:paraId="7242892C" w14:textId="77777777" w:rsidR="00F37F48" w:rsidRDefault="00F37F48" w:rsidP="00F37F48">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28, 2020, in </w:t>
      </w:r>
      <w:r>
        <w:rPr>
          <w:rFonts w:ascii="Times New Roman" w:eastAsia="Times New Roman" w:hAnsi="Times New Roman"/>
          <w:sz w:val="24"/>
          <w:szCs w:val="24"/>
          <w:u w:val="single"/>
        </w:rPr>
        <w:t>Sally Gray, as Administrator of the Estate of Amanda Gary v. The City of Calumet City</w:t>
      </w:r>
      <w:r>
        <w:rPr>
          <w:rFonts w:ascii="Times New Roman" w:eastAsia="Times New Roman" w:hAnsi="Times New Roman"/>
          <w:b/>
          <w:bCs/>
          <w:sz w:val="24"/>
          <w:szCs w:val="24"/>
        </w:rPr>
        <w:t xml:space="preserve">, </w:t>
      </w:r>
      <w:r>
        <w:rPr>
          <w:rFonts w:ascii="Times New Roman" w:eastAsia="Times New Roman" w:hAnsi="Times New Roman"/>
          <w:sz w:val="24"/>
          <w:szCs w:val="24"/>
        </w:rPr>
        <w:t>the</w:t>
      </w:r>
      <w:r>
        <w:rPr>
          <w:rFonts w:ascii="Times New Roman" w:eastAsia="Times New Roman" w:hAnsi="Times New Roman"/>
          <w:b/>
          <w:bCs/>
          <w:sz w:val="24"/>
          <w:szCs w:val="24"/>
        </w:rPr>
        <w:t xml:space="preserve"> </w:t>
      </w:r>
      <w:r>
        <w:rPr>
          <w:rFonts w:ascii="Times New Roman" w:eastAsia="Times New Roman" w:hAnsi="Times New Roman"/>
          <w:sz w:val="24"/>
          <w:szCs w:val="24"/>
        </w:rPr>
        <w:t>Appellate Court of Illinois, First District (First Division), 2020 IL App (1</w:t>
      </w:r>
      <w:r>
        <w:rPr>
          <w:rFonts w:ascii="Times New Roman" w:eastAsia="Times New Roman" w:hAnsi="Times New Roman"/>
          <w:sz w:val="24"/>
          <w:szCs w:val="24"/>
          <w:vertAlign w:val="superscript"/>
        </w:rPr>
        <w:t>st</w:t>
      </w:r>
      <w:r>
        <w:rPr>
          <w:rFonts w:ascii="Times New Roman" w:eastAsia="Times New Roman" w:hAnsi="Times New Roman"/>
          <w:sz w:val="24"/>
          <w:szCs w:val="24"/>
        </w:rPr>
        <w:t xml:space="preserve">) 191812, held (4 to 0, unreported decision) that the trial court properly granted summary judgment to the City; plaintiff argued that in assessing intubation, medics did not document O2 SAT from pulse ox, but FD training officer confirmed better methods of assessing placement of ET tube.  </w:t>
      </w:r>
    </w:p>
    <w:p w14:paraId="7D95449B" w14:textId="77777777" w:rsidR="00F37F48" w:rsidRDefault="00F37F48" w:rsidP="00F37F48">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“[D]</w:t>
      </w:r>
      <w:proofErr w:type="spellStart"/>
      <w:r>
        <w:rPr>
          <w:rFonts w:ascii="Times New Roman" w:eastAsia="Times New Roman" w:hAnsi="Times New Roman"/>
          <w:sz w:val="24"/>
          <w:szCs w:val="24"/>
        </w:rPr>
        <w:t>eputy</w:t>
      </w:r>
      <w:proofErr w:type="spellEnd"/>
      <w:r>
        <w:rPr>
          <w:rFonts w:ascii="Times New Roman" w:eastAsia="Times New Roman" w:hAnsi="Times New Roman"/>
          <w:sz w:val="24"/>
          <w:szCs w:val="24"/>
        </w:rPr>
        <w:t xml:space="preserve"> fire chief Peter Bendinelli, who </w:t>
      </w:r>
      <w:proofErr w:type="gramStart"/>
      <w:r>
        <w:rPr>
          <w:rFonts w:ascii="Times New Roman" w:eastAsia="Times New Roman" w:hAnsi="Times New Roman"/>
          <w:sz w:val="24"/>
          <w:szCs w:val="24"/>
        </w:rPr>
        <w:t>was in charge of</w:t>
      </w:r>
      <w:proofErr w:type="gramEnd"/>
      <w:r>
        <w:rPr>
          <w:rFonts w:ascii="Times New Roman" w:eastAsia="Times New Roman" w:hAnsi="Times New Roman"/>
          <w:sz w:val="24"/>
          <w:szCs w:val="24"/>
        </w:rPr>
        <w:t xml:space="preserve"> the fire department’s emergency medical services training from 2009 to 2017, opined that pulse oximeter readings were not important in assessing </w:t>
      </w:r>
      <w:r>
        <w:rPr>
          <w:rFonts w:ascii="Times New Roman" w:eastAsia="Times New Roman" w:hAnsi="Times New Roman"/>
          <w:sz w:val="24"/>
          <w:szCs w:val="24"/>
        </w:rPr>
        <w:lastRenderedPageBreak/>
        <w:t xml:space="preserve">an intubation. He gave two reasons: First, the </w:t>
      </w:r>
      <w:proofErr w:type="gramStart"/>
      <w:r>
        <w:rPr>
          <w:rFonts w:ascii="Times New Roman" w:eastAsia="Times New Roman" w:hAnsi="Times New Roman"/>
          <w:sz w:val="24"/>
          <w:szCs w:val="24"/>
        </w:rPr>
        <w:t>readings</w:t>
      </w:r>
      <w:proofErr w:type="gramEnd"/>
      <w:r>
        <w:rPr>
          <w:rFonts w:ascii="Times New Roman" w:eastAsia="Times New Roman" w:hAnsi="Times New Roman"/>
          <w:sz w:val="24"/>
          <w:szCs w:val="24"/>
        </w:rPr>
        <w:t xml:space="preserve"> might be inaccurate. Second, even if accurate, a drop in blood oxygen levels might be caused by patient heart failure rather than an error in intubation. Thus, rather than relying on a pulse oximeter, Bendinelli would consider lung and abdominal sounds, chest rise and fall, CO</w:t>
      </w:r>
      <w:r>
        <w:rPr>
          <w:rFonts w:ascii="Times New Roman" w:eastAsia="Times New Roman" w:hAnsi="Times New Roman"/>
          <w:sz w:val="24"/>
          <w:szCs w:val="24"/>
          <w:vertAlign w:val="subscript"/>
        </w:rPr>
        <w:t>2</w:t>
      </w:r>
      <w:r>
        <w:rPr>
          <w:rFonts w:ascii="Times New Roman" w:eastAsia="Times New Roman" w:hAnsi="Times New Roman"/>
          <w:sz w:val="24"/>
          <w:szCs w:val="24"/>
        </w:rPr>
        <w:t xml:space="preserve"> monitoring, the presence of condensation on the breathing tube, and the color of the patient’s skin. Bendinelli trained ambulance crews in accordance with this protocol.</w:t>
      </w:r>
    </w:p>
    <w:p w14:paraId="6275F69A" w14:textId="77777777" w:rsidR="00F37F48" w:rsidRDefault="00F37F48" w:rsidP="00F37F48">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 xml:space="preserve">To defeat summary judgment, plaintiff would have had to present evidence that the </w:t>
      </w:r>
      <w:proofErr w:type="gramStart"/>
      <w:r>
        <w:rPr>
          <w:rFonts w:ascii="Times New Roman" w:hAnsi="Times New Roman"/>
          <w:sz w:val="24"/>
          <w:szCs w:val="24"/>
        </w:rPr>
        <w:t>City</w:t>
      </w:r>
      <w:proofErr w:type="gramEnd"/>
      <w:r>
        <w:rPr>
          <w:rFonts w:ascii="Times New Roman" w:hAnsi="Times New Roman"/>
          <w:sz w:val="24"/>
          <w:szCs w:val="24"/>
        </w:rPr>
        <w:t xml:space="preserve"> either knew </w:t>
      </w:r>
      <w:r>
        <w:rPr>
          <w:rFonts w:ascii="Times New Roman" w:eastAsia="Times New Roman" w:hAnsi="Times New Roman"/>
          <w:sz w:val="24"/>
          <w:szCs w:val="24"/>
        </w:rPr>
        <w:t xml:space="preserve">[Deputy fire chief] </w:t>
      </w:r>
      <w:r>
        <w:rPr>
          <w:rFonts w:ascii="Times New Roman" w:hAnsi="Times New Roman"/>
          <w:sz w:val="24"/>
          <w:szCs w:val="24"/>
        </w:rPr>
        <w:t xml:space="preserve">Bendinelli’s training imperiled patients or that the </w:t>
      </w:r>
      <w:proofErr w:type="gramStart"/>
      <w:r>
        <w:rPr>
          <w:rFonts w:ascii="Times New Roman" w:hAnsi="Times New Roman"/>
          <w:sz w:val="24"/>
          <w:szCs w:val="24"/>
        </w:rPr>
        <w:t>City</w:t>
      </w:r>
      <w:proofErr w:type="gramEnd"/>
      <w:r>
        <w:rPr>
          <w:rFonts w:ascii="Times New Roman" w:hAnsi="Times New Roman"/>
          <w:sz w:val="24"/>
          <w:szCs w:val="24"/>
        </w:rPr>
        <w:t xml:space="preserve"> failed to recognize this danger through recklessness. </w:t>
      </w:r>
      <w:r>
        <w:rPr>
          <w:rFonts w:ascii="Times New Roman" w:hAnsi="Times New Roman"/>
          <w:i/>
          <w:iCs/>
          <w:sz w:val="24"/>
          <w:szCs w:val="24"/>
        </w:rPr>
        <w:t>Affatato v</w:t>
      </w:r>
      <w:r>
        <w:rPr>
          <w:rFonts w:ascii="Times New Roman" w:hAnsi="Times New Roman"/>
          <w:sz w:val="24"/>
          <w:szCs w:val="24"/>
        </w:rPr>
        <w:t xml:space="preserve">. </w:t>
      </w:r>
      <w:r>
        <w:rPr>
          <w:rFonts w:ascii="Times New Roman" w:hAnsi="Times New Roman"/>
          <w:i/>
          <w:iCs/>
          <w:sz w:val="24"/>
          <w:szCs w:val="24"/>
        </w:rPr>
        <w:t>Jewel Cos</w:t>
      </w:r>
      <w:r>
        <w:rPr>
          <w:rFonts w:ascii="Times New Roman" w:hAnsi="Times New Roman"/>
          <w:sz w:val="24"/>
          <w:szCs w:val="24"/>
        </w:rPr>
        <w:t xml:space="preserve">., 259 Ill. App. 3d 787, 800 (1994). Plaintiff presented no such evidence. On the contrary, all three of Amanda’s treating physicians corroborated Bendinelli’s statement that pulse oximeter readings can be inaccurate. </w:t>
      </w:r>
      <w:proofErr w:type="gramStart"/>
      <w:r>
        <w:rPr>
          <w:rFonts w:ascii="Times New Roman" w:hAnsi="Times New Roman"/>
          <w:sz w:val="24"/>
          <w:szCs w:val="24"/>
        </w:rPr>
        <w:t>In light of</w:t>
      </w:r>
      <w:proofErr w:type="gramEnd"/>
      <w:r>
        <w:rPr>
          <w:rFonts w:ascii="Times New Roman" w:hAnsi="Times New Roman"/>
          <w:sz w:val="24"/>
          <w:szCs w:val="24"/>
        </w:rPr>
        <w:t xml:space="preserve"> their testimony, plaintiff has not presented an issue of fact as to whether Bendinelli’s training reflects an utter indifference to patients’ safety. </w:t>
      </w:r>
      <w:hyperlink r:id="rId2351" w:history="1">
        <w:r>
          <w:rPr>
            <w:rStyle w:val="Hyperlink"/>
          </w:rPr>
          <w:t>https://public.fastcase.com/Wl%2B2t%2BeVuI35%2FN70vAMFZhgQRMSlTmc31zPzZvHhe6G3UFiDUpDiHM1BEG64P0h7</w:t>
        </w:r>
      </w:hyperlink>
      <w:r>
        <w:rPr>
          <w:rFonts w:ascii="Times New Roman" w:hAnsi="Times New Roman"/>
          <w:sz w:val="24"/>
          <w:szCs w:val="24"/>
        </w:rPr>
        <w:t xml:space="preserve"> </w:t>
      </w:r>
    </w:p>
    <w:p w14:paraId="4D7FE6E5" w14:textId="77777777" w:rsidR="00F37F48" w:rsidRDefault="00F37F48" w:rsidP="00F37F48">
      <w:pPr>
        <w:tabs>
          <w:tab w:val="left" w:pos="3060"/>
        </w:tabs>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Follow EMS protocols when confirming intubation was properly placed, and document your confirmation. </w:t>
      </w:r>
    </w:p>
    <w:p w14:paraId="23578892" w14:textId="77777777" w:rsidR="00F37F48" w:rsidRDefault="00F37F48" w:rsidP="002B1283">
      <w:pPr>
        <w:rPr>
          <w:rFonts w:ascii="Arial Black" w:hAnsi="Arial Black"/>
          <w:b/>
          <w:bCs/>
          <w:sz w:val="28"/>
          <w:szCs w:val="28"/>
        </w:rPr>
      </w:pPr>
    </w:p>
    <w:p w14:paraId="38933239" w14:textId="4FBA4D31" w:rsidR="00F37F48" w:rsidRDefault="00F37F48" w:rsidP="002B1283">
      <w:pPr>
        <w:rPr>
          <w:rFonts w:ascii="Arial Black" w:hAnsi="Arial Black"/>
          <w:b/>
          <w:bCs/>
          <w:sz w:val="28"/>
          <w:szCs w:val="28"/>
        </w:rPr>
      </w:pPr>
      <w:r>
        <w:rPr>
          <w:rFonts w:ascii="Arial Black" w:hAnsi="Arial Black"/>
          <w:b/>
          <w:bCs/>
          <w:sz w:val="28"/>
          <w:szCs w:val="28"/>
        </w:rPr>
        <w:t>13-76</w:t>
      </w:r>
    </w:p>
    <w:p w14:paraId="0488F9DA" w14:textId="77777777" w:rsidR="00F37F48" w:rsidRDefault="00F37F48" w:rsidP="00F37F48">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DC: NEW FED. LAW - PATIENTS PROTECTED “SURPRISE MEDICAL BILLS” – INCLUDING AIR CARE, NEGOTIATE WITH INSURER</w:t>
      </w:r>
    </w:p>
    <w:p w14:paraId="15E5D0D4" w14:textId="77777777" w:rsidR="00F37F48" w:rsidRDefault="00F37F48" w:rsidP="00F37F48">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21, 2020, as part of the </w:t>
      </w:r>
      <w:proofErr w:type="gramStart"/>
      <w:r>
        <w:rPr>
          <w:rFonts w:ascii="Times New Roman" w:eastAsia="Times New Roman" w:hAnsi="Times New Roman"/>
          <w:sz w:val="24"/>
          <w:szCs w:val="24"/>
        </w:rPr>
        <w:t>5,500 page</w:t>
      </w:r>
      <w:proofErr w:type="gramEnd"/>
      <w:r>
        <w:rPr>
          <w:rFonts w:ascii="Times New Roman" w:eastAsia="Times New Roman" w:hAnsi="Times New Roman"/>
          <w:sz w:val="24"/>
          <w:szCs w:val="24"/>
        </w:rPr>
        <w:t xml:space="preserve"> COVID-19 relief bill, Congress also enacted a new statute to protect patients from “surprise medical bills.” </w:t>
      </w:r>
    </w:p>
    <w:p w14:paraId="2C890412" w14:textId="77777777" w:rsidR="00F37F48" w:rsidRDefault="00F37F48" w:rsidP="00F37F48">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The House Ways &amp; Means Committee described the protections in the House bill, </w:t>
      </w:r>
      <w:r>
        <w:rPr>
          <w:rFonts w:ascii="Times New Roman" w:hAnsi="Times New Roman"/>
          <w:sz w:val="24"/>
          <w:szCs w:val="24"/>
        </w:rPr>
        <w:t xml:space="preserve">“Consumer Protections Against Surprise Medical Bills Act of 2020 Summary.” </w:t>
      </w:r>
    </w:p>
    <w:p w14:paraId="1F6E0314" w14:textId="77777777" w:rsidR="00F37F48" w:rsidRDefault="00F37F48" w:rsidP="00F37F48">
      <w:pPr>
        <w:spacing w:before="100" w:beforeAutospacing="1" w:after="100" w:afterAutospacing="1" w:line="240" w:lineRule="auto"/>
        <w:ind w:left="360"/>
        <w:rPr>
          <w:rStyle w:val="Hyperlink"/>
          <w:rFonts w:asciiTheme="minorHAnsi" w:eastAsiaTheme="minorHAnsi" w:hAnsiTheme="minorHAnsi" w:cstheme="minorBidi"/>
        </w:rPr>
      </w:pPr>
      <w:r>
        <w:rPr>
          <w:rFonts w:ascii="Times New Roman" w:hAnsi="Times New Roman"/>
          <w:sz w:val="24"/>
          <w:szCs w:val="24"/>
        </w:rPr>
        <w:t xml:space="preserve">“The bill protects patients from surprise medical bills for out-of-network services. Providers (including facilities) will be prohibited from balance billing patients for surprise services. Patients cannot be charged more than the in-network cost-sharing amount.” </w:t>
      </w:r>
      <w:hyperlink r:id="rId2352" w:history="1">
        <w:r>
          <w:rPr>
            <w:rStyle w:val="Hyperlink"/>
          </w:rPr>
          <w:t>https://waysandmeans.house.gov/sites/democrats.waysandmeans.house.gov/files/documents/Ways%20and%20Means%20Surprise%20Billing%20Summary_02%2006%2020%20(final).pdf</w:t>
        </w:r>
      </w:hyperlink>
    </w:p>
    <w:p w14:paraId="5A78D641" w14:textId="77777777" w:rsidR="00F37F48" w:rsidRDefault="00F37F48" w:rsidP="00F37F48">
      <w:pPr>
        <w:pStyle w:val="NoSpacing"/>
        <w:jc w:val="both"/>
        <w:rPr>
          <w:rFonts w:ascii="Times New Roman" w:eastAsia="Times New Roman" w:hAnsi="Times New Roman"/>
          <w:sz w:val="24"/>
          <w:szCs w:val="24"/>
        </w:rPr>
      </w:pPr>
      <w:r>
        <w:rPr>
          <w:rFonts w:ascii="Times New Roman" w:eastAsia="Times New Roman" w:hAnsi="Times New Roman"/>
          <w:sz w:val="24"/>
          <w:szCs w:val="24"/>
        </w:rPr>
        <w:t>The Association of Air Medical Services described the new provisions:</w:t>
      </w:r>
    </w:p>
    <w:p w14:paraId="68C05A18" w14:textId="77777777" w:rsidR="00F37F48" w:rsidRDefault="00F37F48" w:rsidP="00F37F48">
      <w:pPr>
        <w:pStyle w:val="NormalWeb"/>
        <w:ind w:left="360"/>
      </w:pPr>
      <w:r>
        <w:t>“AAMS has learned that the year-end spending and COVID relief package includes the balance billing solution that has been under intense negotiation since Dec. 11</w:t>
      </w:r>
      <w:r>
        <w:rPr>
          <w:vertAlign w:val="superscript"/>
        </w:rPr>
        <w:t>th</w:t>
      </w:r>
      <w:r>
        <w:t xml:space="preserve">. An AAMS Statement on the legislation can be found </w:t>
      </w:r>
      <w:hyperlink r:id="rId2353" w:tgtFrame="_blank" w:history="1">
        <w:r>
          <w:rPr>
            <w:rStyle w:val="Hyperlink"/>
          </w:rPr>
          <w:t>here</w:t>
        </w:r>
      </w:hyperlink>
      <w:r>
        <w:t>. *</w:t>
      </w:r>
      <w:r>
        <w:br/>
      </w:r>
      <w:r>
        <w:br/>
        <w:t xml:space="preserve">The legislation includes air ambulance provisions and is expected to pass both House and Senate as the Congress makes its final votes </w:t>
      </w:r>
      <w:proofErr w:type="gramStart"/>
      <w:r>
        <w:t>of</w:t>
      </w:r>
      <w:proofErr w:type="gramEnd"/>
      <w:r>
        <w:t xml:space="preserve"> 2020. The provisions in the bill </w:t>
      </w:r>
      <w:proofErr w:type="gramStart"/>
      <w:r>
        <w:t>effecting</w:t>
      </w:r>
      <w:proofErr w:type="gramEnd"/>
      <w:r>
        <w:t xml:space="preserve"> air ambulances are as follows:</w:t>
      </w:r>
    </w:p>
    <w:p w14:paraId="364D4CCC" w14:textId="77777777" w:rsidR="00F37F48" w:rsidRPr="00034FEA" w:rsidRDefault="00F37F48" w:rsidP="00F37F48">
      <w:pPr>
        <w:numPr>
          <w:ilvl w:val="0"/>
          <w:numId w:val="9"/>
        </w:numPr>
        <w:spacing w:before="100" w:beforeAutospacing="1" w:after="100" w:afterAutospacing="1" w:line="240" w:lineRule="auto"/>
        <w:rPr>
          <w:rFonts w:ascii="Times New Roman" w:hAnsi="Times New Roman"/>
          <w:sz w:val="24"/>
          <w:szCs w:val="24"/>
        </w:rPr>
      </w:pPr>
      <w:r w:rsidRPr="00034FEA">
        <w:rPr>
          <w:rFonts w:ascii="Times New Roman" w:hAnsi="Times New Roman"/>
          <w:sz w:val="24"/>
          <w:szCs w:val="24"/>
        </w:rPr>
        <w:t>Prohibition on balance billing patients.</w:t>
      </w:r>
    </w:p>
    <w:p w14:paraId="4E87EE2C" w14:textId="77777777" w:rsidR="00F37F48" w:rsidRPr="00034FEA" w:rsidRDefault="00F37F48" w:rsidP="00F37F48">
      <w:pPr>
        <w:numPr>
          <w:ilvl w:val="0"/>
          <w:numId w:val="9"/>
        </w:numPr>
        <w:spacing w:before="100" w:beforeAutospacing="1" w:after="100" w:afterAutospacing="1" w:line="240" w:lineRule="auto"/>
        <w:rPr>
          <w:rFonts w:ascii="Times New Roman" w:hAnsi="Times New Roman"/>
          <w:sz w:val="24"/>
          <w:szCs w:val="24"/>
        </w:rPr>
      </w:pPr>
      <w:r w:rsidRPr="00034FEA">
        <w:rPr>
          <w:rFonts w:ascii="Times New Roman" w:hAnsi="Times New Roman"/>
          <w:sz w:val="24"/>
          <w:szCs w:val="24"/>
        </w:rPr>
        <w:t>Open negotiation process between insurer and provider.</w:t>
      </w:r>
    </w:p>
    <w:p w14:paraId="4FC8F370" w14:textId="77777777" w:rsidR="00F37F48" w:rsidRPr="00034FEA" w:rsidRDefault="00F37F48" w:rsidP="00F37F48">
      <w:pPr>
        <w:numPr>
          <w:ilvl w:val="0"/>
          <w:numId w:val="9"/>
        </w:numPr>
        <w:spacing w:before="100" w:beforeAutospacing="1" w:after="100" w:afterAutospacing="1" w:line="240" w:lineRule="auto"/>
        <w:rPr>
          <w:rFonts w:ascii="Times New Roman" w:hAnsi="Times New Roman"/>
          <w:sz w:val="24"/>
          <w:szCs w:val="24"/>
        </w:rPr>
      </w:pPr>
      <w:r w:rsidRPr="00034FEA">
        <w:rPr>
          <w:rFonts w:ascii="Times New Roman" w:hAnsi="Times New Roman"/>
          <w:sz w:val="24"/>
          <w:szCs w:val="24"/>
        </w:rPr>
        <w:lastRenderedPageBreak/>
        <w:t>Independent Dispute Resolution (IDR) process that still considers the insurers median-in-network rate; however, arbiters cannot consider non-negotiated rates, such as those set by Medicare.  </w:t>
      </w:r>
    </w:p>
    <w:p w14:paraId="6B2FE747" w14:textId="77777777" w:rsidR="00F37F48" w:rsidRPr="00034FEA" w:rsidRDefault="00F37F48" w:rsidP="00F37F48">
      <w:pPr>
        <w:numPr>
          <w:ilvl w:val="0"/>
          <w:numId w:val="9"/>
        </w:numPr>
        <w:spacing w:before="100" w:beforeAutospacing="1" w:after="100" w:afterAutospacing="1" w:line="240" w:lineRule="auto"/>
        <w:rPr>
          <w:rFonts w:ascii="Times New Roman" w:hAnsi="Times New Roman"/>
          <w:sz w:val="24"/>
          <w:szCs w:val="24"/>
        </w:rPr>
      </w:pPr>
      <w:r w:rsidRPr="00034FEA">
        <w:rPr>
          <w:rFonts w:ascii="Times New Roman" w:hAnsi="Times New Roman"/>
          <w:sz w:val="24"/>
          <w:szCs w:val="24"/>
        </w:rPr>
        <w:t>Data collection on the costs or providing air ambulance services as well as on air ambulance quality and claims data submitted by insurers.</w:t>
      </w:r>
    </w:p>
    <w:p w14:paraId="27C87599" w14:textId="77777777" w:rsidR="00F37F48" w:rsidRPr="00034FEA" w:rsidRDefault="00F37F48" w:rsidP="00F37F48">
      <w:pPr>
        <w:numPr>
          <w:ilvl w:val="0"/>
          <w:numId w:val="9"/>
        </w:numPr>
        <w:spacing w:before="100" w:beforeAutospacing="1" w:after="100" w:afterAutospacing="1" w:line="240" w:lineRule="auto"/>
        <w:rPr>
          <w:rFonts w:ascii="Times New Roman" w:hAnsi="Times New Roman"/>
          <w:sz w:val="24"/>
          <w:szCs w:val="24"/>
        </w:rPr>
      </w:pPr>
      <w:r w:rsidRPr="00034FEA">
        <w:rPr>
          <w:rFonts w:ascii="Times New Roman" w:hAnsi="Times New Roman"/>
          <w:sz w:val="24"/>
          <w:szCs w:val="24"/>
        </w:rPr>
        <w:t xml:space="preserve">The establishment of an air ambulance advisory committee through the Department of Health and Human Services and the Department of Transportation </w:t>
      </w:r>
      <w:proofErr w:type="gramStart"/>
      <w:r w:rsidRPr="00034FEA">
        <w:rPr>
          <w:rFonts w:ascii="Times New Roman" w:hAnsi="Times New Roman"/>
          <w:sz w:val="24"/>
          <w:szCs w:val="24"/>
        </w:rPr>
        <w:t>to examine</w:t>
      </w:r>
      <w:proofErr w:type="gramEnd"/>
      <w:r w:rsidRPr="00034FEA">
        <w:rPr>
          <w:rFonts w:ascii="Times New Roman" w:hAnsi="Times New Roman"/>
          <w:sz w:val="24"/>
          <w:szCs w:val="24"/>
        </w:rPr>
        <w:t xml:space="preserve"> issues related to air ambulance clinical capabilities, vehicle types, and triage criteria.</w:t>
      </w:r>
    </w:p>
    <w:p w14:paraId="50542A26" w14:textId="77777777" w:rsidR="00F37F48" w:rsidRPr="007B1325" w:rsidRDefault="00F37F48" w:rsidP="00F37F48">
      <w:pPr>
        <w:pStyle w:val="NormalWeb"/>
        <w:ind w:left="360"/>
        <w:rPr>
          <w:rStyle w:val="Emphasis"/>
        </w:rPr>
      </w:pPr>
      <w:r>
        <w:rPr>
          <w:rStyle w:val="Strong"/>
        </w:rPr>
        <w:t>A Congressional summary of the balance billing section describes it this way:</w:t>
      </w:r>
      <w:r>
        <w:br/>
      </w:r>
      <w:r w:rsidRPr="007B1325">
        <w:rPr>
          <w:rStyle w:val="Emphasis"/>
        </w:rPr>
        <w:t xml:space="preserve">Section 105. Ending surprise air ambulance bills. Section 105 states that patients are held harmless from surprise air ambulance medical bills. Patients are only required to pay the in-network cost-sharing amount for out-of-network air ambulances, and that cost-sharing amount is applied to their in-network deductible. Air ambulances are barred from sending patients surprise bills for more than the in-network cost-sharing amount. It also provides for a 30-day open negotiation period for air ambulance providers and payers to settle out-of-network claims. If the parties are unable to reach a negotiated agreement, they may access the binding arbitration, which is the same as outlined in Section 103, with additional factors to account for the cost of providing air ambulance service in rural and frontier areas.  </w:t>
      </w:r>
    </w:p>
    <w:p w14:paraId="47E1DD27" w14:textId="77777777" w:rsidR="00F37F48" w:rsidRDefault="00F37F48" w:rsidP="00F37F48">
      <w:pPr>
        <w:pStyle w:val="NormalWeb"/>
        <w:ind w:left="360"/>
      </w:pPr>
      <w:hyperlink r:id="rId2354" w:history="1">
        <w:r w:rsidRPr="009A2D81">
          <w:rPr>
            <w:rStyle w:val="Hyperlink"/>
          </w:rPr>
          <w:t>https://aams.org/aams-member-alert-negotiated-balance-billing-solution-included-in-legislation/</w:t>
        </w:r>
      </w:hyperlink>
      <w:r>
        <w:rPr>
          <w:rStyle w:val="Emphasis"/>
        </w:rPr>
        <w:t xml:space="preserve"> </w:t>
      </w:r>
    </w:p>
    <w:p w14:paraId="3EEE09D8" w14:textId="77777777" w:rsidR="00F37F48" w:rsidRDefault="00F37F48" w:rsidP="00F37F48">
      <w:pPr>
        <w:rPr>
          <w:rFonts w:ascii="Times New Roman" w:hAnsi="Times New Roman"/>
          <w:sz w:val="24"/>
          <w:szCs w:val="24"/>
        </w:rPr>
      </w:pPr>
      <w:r>
        <w:rPr>
          <w:rFonts w:ascii="Times New Roman" w:hAnsi="Times New Roman"/>
          <w:sz w:val="24"/>
          <w:szCs w:val="24"/>
        </w:rPr>
        <w:t>*AAMS Statement on Balance Billing Solution</w:t>
      </w:r>
    </w:p>
    <w:p w14:paraId="4CFC73CB" w14:textId="77777777" w:rsidR="00F37F48" w:rsidRDefault="00F37F48" w:rsidP="00F37F48">
      <w:pPr>
        <w:ind w:left="360"/>
        <w:rPr>
          <w:rFonts w:ascii="Times New Roman" w:hAnsi="Times New Roman"/>
          <w:sz w:val="24"/>
          <w:szCs w:val="24"/>
        </w:rPr>
      </w:pPr>
      <w:r>
        <w:rPr>
          <w:rFonts w:ascii="Times New Roman" w:hAnsi="Times New Roman"/>
          <w:sz w:val="24"/>
          <w:szCs w:val="24"/>
        </w:rPr>
        <w:t xml:space="preserve">“The Association of Air Medical Services, on behalf of its over 300 members operating over 1,400 helicopter and fixed-wing air ambulances nationwide, applauds the action taken by Congress today to remove patients from disputes between insurers and air ambulance providers. However, AAMS remains concerned that certain aspects of the independent dispute resolution process may favor </w:t>
      </w:r>
      <w:proofErr w:type="gramStart"/>
      <w:r>
        <w:rPr>
          <w:rFonts w:ascii="Times New Roman" w:hAnsi="Times New Roman"/>
          <w:sz w:val="24"/>
          <w:szCs w:val="24"/>
        </w:rPr>
        <w:t>insurers</w:t>
      </w:r>
      <w:proofErr w:type="gramEnd"/>
      <w:r>
        <w:rPr>
          <w:rFonts w:ascii="Times New Roman" w:hAnsi="Times New Roman"/>
          <w:sz w:val="24"/>
          <w:szCs w:val="24"/>
        </w:rPr>
        <w:t xml:space="preserve"> and we hope to work with Congress and the various federal agencies to implement a fair and equitable process for billing disputes. We also fully support the data collection and analysis requirements of the </w:t>
      </w:r>
      <w:proofErr w:type="gramStart"/>
      <w:r>
        <w:rPr>
          <w:rFonts w:ascii="Times New Roman" w:hAnsi="Times New Roman"/>
          <w:sz w:val="24"/>
          <w:szCs w:val="24"/>
        </w:rPr>
        <w:t>bill, and</w:t>
      </w:r>
      <w:proofErr w:type="gramEnd"/>
      <w:r>
        <w:rPr>
          <w:rFonts w:ascii="Times New Roman" w:hAnsi="Times New Roman"/>
          <w:sz w:val="24"/>
          <w:szCs w:val="24"/>
        </w:rPr>
        <w:t xml:space="preserve"> believe this additional level of transparency will inform future legislative and regulatory efforts as they relate to billing and reimbursement. AAMS will continue to work on behalf of its members and the patients they serve to ensure the best outcomes for both. We also continue to support the work of the Air Ambulance Patient Billing Advisory Committee and hope this process will strongly consider their recommendations.” </w:t>
      </w:r>
    </w:p>
    <w:p w14:paraId="0BF301CD" w14:textId="77777777" w:rsidR="00F37F48" w:rsidRDefault="00F37F48" w:rsidP="00F37F48">
      <w:pPr>
        <w:ind w:left="360"/>
        <w:rPr>
          <w:rFonts w:ascii="Times New Roman" w:hAnsi="Times New Roman"/>
          <w:sz w:val="24"/>
          <w:szCs w:val="24"/>
        </w:rPr>
      </w:pPr>
      <w:r>
        <w:rPr>
          <w:rFonts w:ascii="Times New Roman" w:hAnsi="Times New Roman"/>
          <w:sz w:val="24"/>
          <w:szCs w:val="24"/>
        </w:rPr>
        <w:t>Below is a statement from AAMS President and CEO Cameron Curtis:</w:t>
      </w:r>
    </w:p>
    <w:p w14:paraId="0498BACA" w14:textId="77777777" w:rsidR="00F37F48" w:rsidRDefault="00F37F48" w:rsidP="00F37F48">
      <w:pPr>
        <w:ind w:left="360"/>
        <w:rPr>
          <w:rFonts w:asciiTheme="minorHAnsi" w:hAnsiTheme="minorHAnsi" w:cstheme="minorBidi"/>
        </w:rPr>
      </w:pPr>
      <w:r>
        <w:rPr>
          <w:rFonts w:ascii="Times New Roman" w:hAnsi="Times New Roman"/>
          <w:sz w:val="24"/>
          <w:szCs w:val="24"/>
        </w:rPr>
        <w:t>“Air ambulances offer a lifeline, sometimes the only lifeline, to patients in need of critical care. While we remain concerned about certain aspects of this bill, now is the time to come together as a health care community and support the dedicated EMS professionals, both air and ground, that are serving on the front lines. As Americans face the ever-increasing severity of the COVID-19 pandemic and the ensuing public health emergency, air medical services have provided over 20,000 COVID-19 related transports to the most severely sick and injured patients, often from remote and rural areas to high levels of care.”</w:t>
      </w:r>
      <w:r>
        <w:t xml:space="preserve"> </w:t>
      </w:r>
      <w:hyperlink r:id="rId2355" w:history="1">
        <w:r>
          <w:rPr>
            <w:rStyle w:val="Hyperlink"/>
          </w:rPr>
          <w:t>https://cdn.ymaws.com/aams.site-ym.com/resource/resmgr/website_resources/aams_statements/aams_statementonbalancebilli.pdf</w:t>
        </w:r>
      </w:hyperlink>
      <w:r>
        <w:rPr>
          <w:rFonts w:ascii="Times New Roman" w:hAnsi="Times New Roman"/>
          <w:sz w:val="24"/>
          <w:szCs w:val="24"/>
        </w:rPr>
        <w:t xml:space="preserve"> </w:t>
      </w:r>
    </w:p>
    <w:p w14:paraId="72429C64" w14:textId="77777777" w:rsidR="00F37F48" w:rsidRDefault="00F37F48" w:rsidP="00F37F48">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There has been litigation throughout the United States by patients who were “surprised” by Air Care billing and other “out of network” medical service providers.     Hopefully this new statute will eliminate these surprise bills. </w:t>
      </w:r>
    </w:p>
    <w:p w14:paraId="3DE5252F" w14:textId="77777777" w:rsidR="00F37F48" w:rsidRPr="007B1325" w:rsidRDefault="00F37F48" w:rsidP="00F37F48">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lastRenderedPageBreak/>
        <w:t xml:space="preserve">Note: </w:t>
      </w:r>
      <w:r>
        <w:rPr>
          <w:rFonts w:ascii="Times New Roman" w:hAnsi="Times New Roman"/>
          <w:sz w:val="24"/>
          <w:szCs w:val="24"/>
        </w:rPr>
        <w:t xml:space="preserve">You can read the NO SURPRISE ACT (starting page 1629); Air Ambulance provisions (starting at page 1836).   </w:t>
      </w:r>
      <w:hyperlink r:id="rId2356" w:history="1">
        <w:r w:rsidRPr="007B1325">
          <w:rPr>
            <w:rStyle w:val="Hyperlink"/>
            <w:rFonts w:ascii="Times New Roman" w:hAnsi="Times New Roman"/>
            <w:sz w:val="24"/>
            <w:szCs w:val="24"/>
          </w:rPr>
          <w:t>https://beta.documentcloud.org/documents/20433223-covid-19-relief-bill</w:t>
        </w:r>
      </w:hyperlink>
      <w:r w:rsidRPr="007B1325">
        <w:rPr>
          <w:rFonts w:ascii="Times New Roman" w:eastAsia="Times New Roman" w:hAnsi="Times New Roman"/>
          <w:sz w:val="24"/>
          <w:szCs w:val="24"/>
        </w:rPr>
        <w:t xml:space="preserve"> </w:t>
      </w:r>
    </w:p>
    <w:p w14:paraId="7C953E6E" w14:textId="77777777" w:rsidR="00F37F48" w:rsidRDefault="00F37F48" w:rsidP="002B1283">
      <w:pPr>
        <w:rPr>
          <w:rFonts w:ascii="Arial Black" w:hAnsi="Arial Black"/>
          <w:b/>
          <w:bCs/>
          <w:sz w:val="28"/>
          <w:szCs w:val="28"/>
        </w:rPr>
      </w:pPr>
    </w:p>
    <w:p w14:paraId="0CBA900B" w14:textId="6E9C2379" w:rsidR="00F37F48" w:rsidRDefault="00F37F48" w:rsidP="002B1283">
      <w:pPr>
        <w:rPr>
          <w:rFonts w:ascii="Arial Black" w:hAnsi="Arial Black"/>
          <w:b/>
          <w:bCs/>
          <w:sz w:val="28"/>
          <w:szCs w:val="28"/>
        </w:rPr>
      </w:pPr>
      <w:r>
        <w:rPr>
          <w:rFonts w:ascii="Arial Black" w:hAnsi="Arial Black"/>
          <w:b/>
          <w:bCs/>
          <w:sz w:val="28"/>
          <w:szCs w:val="28"/>
        </w:rPr>
        <w:t>13-75</w:t>
      </w:r>
    </w:p>
    <w:p w14:paraId="4AB639F7" w14:textId="77777777" w:rsidR="00F37F48" w:rsidRDefault="00F37F48" w:rsidP="00F37F48">
      <w:pPr>
        <w:pStyle w:val="NoSpacing"/>
        <w:rPr>
          <w:rFonts w:ascii="Arial Black" w:eastAsiaTheme="minorHAnsi" w:hAnsi="Arial Black" w:cstheme="minorBidi"/>
          <w:sz w:val="28"/>
          <w:szCs w:val="28"/>
        </w:rPr>
      </w:pPr>
      <w:r>
        <w:rPr>
          <w:rFonts w:ascii="Arial Black" w:hAnsi="Arial Black"/>
          <w:sz w:val="28"/>
          <w:szCs w:val="28"/>
        </w:rPr>
        <w:t xml:space="preserve">NY: EMT WINS SUMMARY JUDGMENT - BACK INJURY, SLIPPED ON ICE – RESTAURANT HOSED SIDEWALK COLD WINTER DAY </w:t>
      </w:r>
    </w:p>
    <w:p w14:paraId="4BDA84DB" w14:textId="77777777" w:rsidR="00F37F48" w:rsidRDefault="00F37F48" w:rsidP="00F37F48">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17, 2020, in </w:t>
      </w:r>
      <w:r>
        <w:rPr>
          <w:rFonts w:ascii="Times New Roman" w:hAnsi="Times New Roman"/>
          <w:sz w:val="24"/>
          <w:szCs w:val="24"/>
          <w:u w:val="single"/>
        </w:rPr>
        <w:t>Michael Benny v. Concord Partners 46</w:t>
      </w:r>
      <w:r>
        <w:rPr>
          <w:rFonts w:ascii="Times New Roman" w:hAnsi="Times New Roman"/>
          <w:sz w:val="24"/>
          <w:szCs w:val="24"/>
          <w:u w:val="single"/>
          <w:vertAlign w:val="superscript"/>
        </w:rPr>
        <w:t>th</w:t>
      </w:r>
      <w:r>
        <w:rPr>
          <w:rFonts w:ascii="Times New Roman" w:hAnsi="Times New Roman"/>
          <w:sz w:val="24"/>
          <w:szCs w:val="24"/>
          <w:u w:val="single"/>
        </w:rPr>
        <w:t xml:space="preserve"> Street LLC</w:t>
      </w:r>
      <w:r>
        <w:rPr>
          <w:rFonts w:ascii="Times New Roman" w:hAnsi="Times New Roman"/>
          <w:sz w:val="24"/>
          <w:szCs w:val="24"/>
        </w:rPr>
        <w:t xml:space="preserve">, </w:t>
      </w:r>
      <w:r>
        <w:rPr>
          <w:rFonts w:ascii="Times New Roman" w:eastAsia="Times New Roman" w:hAnsi="Times New Roman"/>
          <w:sz w:val="24"/>
          <w:szCs w:val="24"/>
        </w:rPr>
        <w:t xml:space="preserve">2020 NY Slip Op 07665, </w:t>
      </w:r>
      <w:r>
        <w:rPr>
          <w:rFonts w:ascii="Times New Roman" w:hAnsi="Times New Roman"/>
          <w:sz w:val="24"/>
          <w:szCs w:val="24"/>
        </w:rPr>
        <w:t xml:space="preserve">the Appellate Division of the Supreme Court of the State of New York, held (5 to 0) that the trial court improperly denied plaintiff’s motion for summary judgment.  The Court orders partial summary judgment in favor of the EMT; his degree of negligence in not avoiding the ice must next be determined. </w:t>
      </w:r>
    </w:p>
    <w:p w14:paraId="1927B461" w14:textId="77777777" w:rsidR="00F37F48" w:rsidRDefault="00F37F48" w:rsidP="00F37F48">
      <w:pPr>
        <w:pStyle w:val="NoSpacing"/>
        <w:ind w:left="720"/>
        <w:rPr>
          <w:rFonts w:ascii="Times New Roman" w:hAnsi="Times New Roman"/>
          <w:sz w:val="24"/>
          <w:szCs w:val="24"/>
        </w:rPr>
      </w:pPr>
      <w:r>
        <w:rPr>
          <w:rFonts w:ascii="Times New Roman" w:hAnsi="Times New Roman"/>
          <w:sz w:val="24"/>
          <w:szCs w:val="24"/>
        </w:rPr>
        <w:t xml:space="preserve">“The evidence plaintiff submitted in support of his motion shows that defendants-tenants Havana Central NY 2 LLC d/b/a Havana Central Restaurant &amp; </w:t>
      </w:r>
      <w:proofErr w:type="spellStart"/>
      <w:r>
        <w:rPr>
          <w:rFonts w:ascii="Times New Roman" w:hAnsi="Times New Roman"/>
          <w:sz w:val="24"/>
          <w:szCs w:val="24"/>
        </w:rPr>
        <w:t>CafÉ</w:t>
      </w:r>
      <w:proofErr w:type="spellEnd"/>
      <w:r>
        <w:rPr>
          <w:rFonts w:ascii="Times New Roman" w:hAnsi="Times New Roman"/>
          <w:sz w:val="24"/>
          <w:szCs w:val="24"/>
        </w:rPr>
        <w:t xml:space="preserve"> (Havana) and </w:t>
      </w:r>
      <w:proofErr w:type="spellStart"/>
      <w:r>
        <w:rPr>
          <w:rFonts w:ascii="Times New Roman" w:hAnsi="Times New Roman"/>
          <w:sz w:val="24"/>
          <w:szCs w:val="24"/>
        </w:rPr>
        <w:t>Tintol</w:t>
      </w:r>
      <w:proofErr w:type="spellEnd"/>
      <w:r>
        <w:rPr>
          <w:rFonts w:ascii="Times New Roman" w:hAnsi="Times New Roman"/>
          <w:sz w:val="24"/>
          <w:szCs w:val="24"/>
        </w:rPr>
        <w:t xml:space="preserve"> LLC d/b/a Clubhouse </w:t>
      </w:r>
      <w:proofErr w:type="spellStart"/>
      <w:r>
        <w:rPr>
          <w:rFonts w:ascii="Times New Roman" w:hAnsi="Times New Roman"/>
          <w:sz w:val="24"/>
          <w:szCs w:val="24"/>
        </w:rPr>
        <w:t>CafÉ</w:t>
      </w:r>
      <w:proofErr w:type="spellEnd"/>
      <w:r>
        <w:rPr>
          <w:rFonts w:ascii="Times New Roman" w:hAnsi="Times New Roman"/>
          <w:sz w:val="24"/>
          <w:szCs w:val="24"/>
        </w:rPr>
        <w:t xml:space="preserve"> (</w:t>
      </w:r>
      <w:proofErr w:type="spellStart"/>
      <w:r>
        <w:rPr>
          <w:rFonts w:ascii="Times New Roman" w:hAnsi="Times New Roman"/>
          <w:sz w:val="24"/>
          <w:szCs w:val="24"/>
        </w:rPr>
        <w:t>Tintol</w:t>
      </w:r>
      <w:proofErr w:type="spellEnd"/>
      <w:r>
        <w:rPr>
          <w:rFonts w:ascii="Times New Roman" w:hAnsi="Times New Roman"/>
          <w:sz w:val="24"/>
          <w:szCs w:val="24"/>
        </w:rPr>
        <w:t>) created the dangerous condition when their employees hosed the sidewalk on a cold winter day (</w:t>
      </w:r>
      <w:r>
        <w:rPr>
          <w:rFonts w:ascii="Times New Roman" w:hAnsi="Times New Roman"/>
          <w:i/>
          <w:iCs/>
          <w:sz w:val="24"/>
          <w:szCs w:val="24"/>
        </w:rPr>
        <w:t>see Mercer v City of New York</w:t>
      </w:r>
      <w:r>
        <w:rPr>
          <w:rFonts w:ascii="Times New Roman" w:hAnsi="Times New Roman"/>
          <w:sz w:val="24"/>
          <w:szCs w:val="24"/>
        </w:rPr>
        <w:t>, 88 NY2d 955, 956 [1996]). Defendants-owners Concord Partners 46</w:t>
      </w:r>
      <w:r>
        <w:rPr>
          <w:rFonts w:ascii="Times New Roman" w:hAnsi="Times New Roman"/>
          <w:sz w:val="24"/>
          <w:szCs w:val="24"/>
          <w:vertAlign w:val="superscript"/>
        </w:rPr>
        <w:t>th</w:t>
      </w:r>
      <w:r>
        <w:rPr>
          <w:rFonts w:ascii="Times New Roman" w:hAnsi="Times New Roman"/>
          <w:sz w:val="24"/>
          <w:szCs w:val="24"/>
        </w:rPr>
        <w:t xml:space="preserve"> Street LLC (Concord) and Elo Equity, LLC, had a </w:t>
      </w:r>
      <w:proofErr w:type="spellStart"/>
      <w:r>
        <w:rPr>
          <w:rFonts w:ascii="Times New Roman" w:hAnsi="Times New Roman"/>
          <w:sz w:val="24"/>
          <w:szCs w:val="24"/>
        </w:rPr>
        <w:t>non delegable</w:t>
      </w:r>
      <w:proofErr w:type="spellEnd"/>
      <w:r>
        <w:rPr>
          <w:rFonts w:ascii="Times New Roman" w:hAnsi="Times New Roman"/>
          <w:sz w:val="24"/>
          <w:szCs w:val="24"/>
        </w:rPr>
        <w:t xml:space="preserve"> duty to maintain the sidewalk and had notice that the restaurant employees had created a dangerous condition, because Concord’s property manager and Elo’s superintendent had observed the restaurants’ employees hosing the sidewalk.” </w:t>
      </w:r>
    </w:p>
    <w:p w14:paraId="233FB984" w14:textId="77777777" w:rsidR="00F37F48" w:rsidRDefault="00F37F48" w:rsidP="00F37F48">
      <w:pPr>
        <w:pStyle w:val="NoSpacing"/>
        <w:ind w:left="720"/>
        <w:rPr>
          <w:rFonts w:ascii="Times New Roman" w:hAnsi="Times New Roman"/>
          <w:sz w:val="24"/>
          <w:szCs w:val="24"/>
        </w:rPr>
      </w:pPr>
      <w:hyperlink r:id="rId2357" w:history="1">
        <w:r>
          <w:rPr>
            <w:rStyle w:val="Hyperlink"/>
          </w:rPr>
          <w:t>https://casetext.com/case/benny-v-concord-partners-46th-st-llc-2</w:t>
        </w:r>
      </w:hyperlink>
      <w:r>
        <w:rPr>
          <w:rFonts w:ascii="Times New Roman" w:hAnsi="Times New Roman"/>
          <w:sz w:val="24"/>
          <w:szCs w:val="24"/>
        </w:rPr>
        <w:t xml:space="preserve">  </w:t>
      </w:r>
    </w:p>
    <w:p w14:paraId="40BFCDC4" w14:textId="77777777" w:rsidR="00F37F48" w:rsidRDefault="00F37F48" w:rsidP="00F37F48">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Legal Lesson Learned:  Watering down sidewalk on cold winter day is “inviting litigation.”  Even if EMT is covered by workers comp, he is entitled to sue for pain and suffering.</w:t>
      </w:r>
    </w:p>
    <w:p w14:paraId="0714F98D" w14:textId="77777777" w:rsidR="00F37F48" w:rsidRDefault="00F37F48" w:rsidP="002B1283">
      <w:pPr>
        <w:rPr>
          <w:rFonts w:ascii="Arial Black" w:hAnsi="Arial Black"/>
          <w:b/>
          <w:bCs/>
          <w:sz w:val="28"/>
          <w:szCs w:val="28"/>
        </w:rPr>
      </w:pPr>
    </w:p>
    <w:p w14:paraId="3C44EDE5" w14:textId="77B4BC81" w:rsidR="00F37F48" w:rsidRDefault="00F37F48" w:rsidP="002B1283">
      <w:pPr>
        <w:rPr>
          <w:rFonts w:ascii="Arial Black" w:hAnsi="Arial Black"/>
          <w:b/>
          <w:bCs/>
          <w:sz w:val="28"/>
          <w:szCs w:val="28"/>
        </w:rPr>
      </w:pPr>
      <w:r>
        <w:rPr>
          <w:rFonts w:ascii="Arial Black" w:hAnsi="Arial Black"/>
          <w:b/>
          <w:bCs/>
          <w:sz w:val="28"/>
          <w:szCs w:val="28"/>
        </w:rPr>
        <w:t>13-74</w:t>
      </w:r>
    </w:p>
    <w:p w14:paraId="248C68A3" w14:textId="77777777" w:rsidR="00F37F48" w:rsidRDefault="00F37F48" w:rsidP="00F37F48">
      <w:pPr>
        <w:rPr>
          <w:rFonts w:ascii="Arial Black" w:eastAsiaTheme="minorHAnsi" w:hAnsi="Arial Black" w:cstheme="minorBidi"/>
          <w:sz w:val="28"/>
          <w:szCs w:val="28"/>
        </w:rPr>
      </w:pPr>
      <w:r>
        <w:rPr>
          <w:rFonts w:ascii="Arial Black" w:hAnsi="Arial Black"/>
          <w:sz w:val="28"/>
          <w:szCs w:val="28"/>
        </w:rPr>
        <w:t>PA:  HIPAA VOIOLATION - FD SHARED FF’S WORK. COMP BACK INJURY CLAIM – “PROTECTED HEALTH INFORMATION” (PHI)</w:t>
      </w:r>
    </w:p>
    <w:p w14:paraId="3996E911" w14:textId="77777777" w:rsidR="00F37F48" w:rsidRDefault="00F37F48" w:rsidP="00F37F48">
      <w:pPr>
        <w:rPr>
          <w:rFonts w:ascii="Times New Roman" w:hAnsi="Times New Roman"/>
          <w:sz w:val="24"/>
          <w:szCs w:val="24"/>
        </w:rPr>
      </w:pPr>
      <w:r>
        <w:rPr>
          <w:rFonts w:ascii="Times New Roman" w:hAnsi="Times New Roman"/>
          <w:sz w:val="24"/>
          <w:szCs w:val="24"/>
        </w:rPr>
        <w:t xml:space="preserve">On Dec. 15, 2020, in </w:t>
      </w:r>
      <w:r>
        <w:rPr>
          <w:rFonts w:ascii="Times New Roman" w:hAnsi="Times New Roman"/>
          <w:sz w:val="24"/>
          <w:szCs w:val="24"/>
          <w:u w:val="single"/>
        </w:rPr>
        <w:t>William Maude v. City of Philadelphia</w:t>
      </w:r>
      <w:r>
        <w:rPr>
          <w:rFonts w:ascii="Times New Roman" w:hAnsi="Times New Roman"/>
          <w:sz w:val="24"/>
          <w:szCs w:val="24"/>
        </w:rPr>
        <w:t xml:space="preserve">, U.S. Magistrate Judge Lynne A. Sitarski, U.S. District Court for Eastern District of Pennsylvania, ruled that the firefighter’s Expert [from University of Pittsburg Medical Center] may testify that the information shared meets definition of “protected health information,” but he cannot testify this was an actual violation of HIPAA – that’s up to the jury. </w:t>
      </w:r>
    </w:p>
    <w:p w14:paraId="6D77FF53" w14:textId="77777777" w:rsidR="00F37F48" w:rsidRDefault="00F37F48" w:rsidP="00F37F48">
      <w:pPr>
        <w:ind w:left="720"/>
        <w:rPr>
          <w:rFonts w:ascii="Times New Roman" w:eastAsia="Times New Roman" w:hAnsi="Times New Roman"/>
          <w:sz w:val="24"/>
          <w:szCs w:val="24"/>
        </w:rPr>
      </w:pPr>
      <w:r>
        <w:t>“</w:t>
      </w:r>
      <w:r>
        <w:rPr>
          <w:rFonts w:ascii="Times New Roman" w:eastAsia="Times New Roman" w:hAnsi="Times New Roman"/>
          <w:sz w:val="24"/>
          <w:szCs w:val="24"/>
        </w:rPr>
        <w:t>To allow Andrews to opine that Defendant violated its policies and HIPAA regulations incorporated in his employment agreement usurps the jury’s responsibility to determine whether a breach occurred.</w:t>
      </w:r>
    </w:p>
    <w:p w14:paraId="2F8AFE4D" w14:textId="77777777" w:rsidR="00F37F48" w:rsidRDefault="00F37F48" w:rsidP="00F37F48">
      <w:pPr>
        <w:spacing w:before="100" w:beforeAutospacing="1" w:after="100" w:afterAutospacing="1" w:line="240" w:lineRule="auto"/>
        <w:ind w:left="720" w:firstLine="60"/>
        <w:rPr>
          <w:rFonts w:ascii="Times New Roman" w:eastAsia="Times New Roman" w:hAnsi="Times New Roman"/>
          <w:sz w:val="24"/>
          <w:szCs w:val="24"/>
        </w:rPr>
      </w:pPr>
      <w:r>
        <w:rPr>
          <w:rFonts w:ascii="Times New Roman" w:eastAsia="Times New Roman" w:hAnsi="Times New Roman"/>
          <w:sz w:val="24"/>
          <w:szCs w:val="24"/>
        </w:rPr>
        <w:t xml:space="preserve">Andrews’ other HIPAA conclusions challenged by Defendant are permissible. Andrews opines that the information contained in Plaintiff’s workers’ compensation referral form meets HIPAA’s definition of ‘protected health information’ because it ‘is </w:t>
      </w:r>
      <w:proofErr w:type="gramStart"/>
      <w:r>
        <w:rPr>
          <w:rFonts w:ascii="Times New Roman" w:eastAsia="Times New Roman" w:hAnsi="Times New Roman"/>
          <w:sz w:val="24"/>
          <w:szCs w:val="24"/>
        </w:rPr>
        <w:t>individually-identifiable</w:t>
      </w:r>
      <w:proofErr w:type="gramEnd"/>
      <w:r>
        <w:rPr>
          <w:rFonts w:ascii="Times New Roman" w:eastAsia="Times New Roman" w:hAnsi="Times New Roman"/>
          <w:sz w:val="24"/>
          <w:szCs w:val="24"/>
        </w:rPr>
        <w:t xml:space="preserve"> and relates to </w:t>
      </w:r>
      <w:proofErr w:type="gramStart"/>
      <w:r>
        <w:rPr>
          <w:rFonts w:ascii="Times New Roman" w:eastAsia="Times New Roman" w:hAnsi="Times New Roman"/>
          <w:sz w:val="24"/>
          <w:szCs w:val="24"/>
        </w:rPr>
        <w:t>a medical</w:t>
      </w:r>
      <w:proofErr w:type="gramEnd"/>
      <w:r>
        <w:rPr>
          <w:rFonts w:ascii="Times New Roman" w:eastAsia="Times New Roman" w:hAnsi="Times New Roman"/>
          <w:sz w:val="24"/>
          <w:szCs w:val="24"/>
        </w:rPr>
        <w:t xml:space="preserve"> condition, treatment or payment for healthcare.’ (</w:t>
      </w:r>
      <w:proofErr w:type="spellStart"/>
      <w:r>
        <w:rPr>
          <w:rFonts w:ascii="Times New Roman" w:eastAsia="Times New Roman" w:hAnsi="Times New Roman"/>
          <w:sz w:val="24"/>
          <w:szCs w:val="24"/>
        </w:rPr>
        <w:t>Def.’s</w:t>
      </w:r>
      <w:proofErr w:type="spellEnd"/>
      <w:r>
        <w:rPr>
          <w:rFonts w:ascii="Times New Roman" w:eastAsia="Times New Roman" w:hAnsi="Times New Roman"/>
          <w:sz w:val="24"/>
          <w:szCs w:val="24"/>
        </w:rPr>
        <w:t xml:space="preserve"> Mot. To Exclude Ex. E 12). He notes that HIPAA covers ‘all protected health information,’ regardless of the form in which it is contained, and that at no time did </w:t>
      </w:r>
      <w:r>
        <w:rPr>
          <w:rFonts w:ascii="Times New Roman" w:eastAsia="Times New Roman" w:hAnsi="Times New Roman"/>
          <w:sz w:val="24"/>
          <w:szCs w:val="24"/>
        </w:rPr>
        <w:lastRenderedPageBreak/>
        <w:t>Plaintiff authorize the dissemination of his information outside the necessary chain of command…. He also opines that there was no other basis for disclosure and that ‘HIPAA establish[es] a floor, not a ceiling for the applicable standard of care . . . .’”</w:t>
      </w:r>
      <w:r>
        <w:t xml:space="preserve"> </w:t>
      </w:r>
      <w:hyperlink r:id="rId2358" w:history="1">
        <w:r>
          <w:rPr>
            <w:rStyle w:val="Hyperlink"/>
          </w:rPr>
          <w:t>https://casetext.com/case/maude-v-city-of-phila</w:t>
        </w:r>
      </w:hyperlink>
      <w:r>
        <w:t xml:space="preserve"> </w:t>
      </w:r>
    </w:p>
    <w:p w14:paraId="050DD50F" w14:textId="77777777" w:rsidR="00F37F48" w:rsidRDefault="00F37F48" w:rsidP="00F37F48">
      <w:pPr>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“Protected health information” under HIPAA is a broad term and Fire Departments and municipalities must carefully limit who reviews workers comp and other employee PHI.  </w:t>
      </w:r>
    </w:p>
    <w:p w14:paraId="65E28C98" w14:textId="77777777" w:rsidR="00F37F48" w:rsidRDefault="00F37F48" w:rsidP="002B1283">
      <w:pPr>
        <w:rPr>
          <w:rFonts w:ascii="Arial Black" w:hAnsi="Arial Black"/>
          <w:b/>
          <w:bCs/>
          <w:sz w:val="28"/>
          <w:szCs w:val="28"/>
        </w:rPr>
      </w:pPr>
    </w:p>
    <w:p w14:paraId="2F7131B3" w14:textId="35D5CB3C" w:rsidR="00F37F48" w:rsidRDefault="00F37F48" w:rsidP="002B1283">
      <w:pPr>
        <w:rPr>
          <w:rFonts w:ascii="Arial Black" w:hAnsi="Arial Black"/>
          <w:b/>
          <w:bCs/>
          <w:sz w:val="28"/>
          <w:szCs w:val="28"/>
        </w:rPr>
      </w:pPr>
      <w:r>
        <w:rPr>
          <w:rFonts w:ascii="Arial Black" w:hAnsi="Arial Black"/>
          <w:b/>
          <w:bCs/>
          <w:sz w:val="28"/>
          <w:szCs w:val="28"/>
        </w:rPr>
        <w:t>13-73</w:t>
      </w:r>
    </w:p>
    <w:p w14:paraId="513126CA" w14:textId="77777777" w:rsidR="00F37F48" w:rsidRDefault="00F37F48" w:rsidP="00F37F48">
      <w:pPr>
        <w:rPr>
          <w:rFonts w:ascii="Arial Black" w:hAnsi="Arial Black" w:cstheme="minorBidi"/>
          <w:sz w:val="28"/>
          <w:szCs w:val="28"/>
        </w:rPr>
      </w:pPr>
      <w:r>
        <w:rPr>
          <w:rFonts w:ascii="Arial Black" w:hAnsi="Arial Black"/>
          <w:sz w:val="28"/>
          <w:szCs w:val="28"/>
        </w:rPr>
        <w:t>NJ: 85-YR-OLD PATIENT – EMS LIFTED HER TO STRETCHER – DOC. PATIENT PAIN LEFT ARM – IMMUNITY, “GOOD FAITH”</w:t>
      </w:r>
    </w:p>
    <w:p w14:paraId="65A9EDE5" w14:textId="77777777" w:rsidR="00F37F48" w:rsidRDefault="00F37F48" w:rsidP="00F37F48">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11, 2020, in </w:t>
      </w:r>
      <w:r>
        <w:rPr>
          <w:rFonts w:ascii="Times New Roman" w:eastAsia="Times New Roman" w:hAnsi="Times New Roman"/>
          <w:sz w:val="24"/>
          <w:szCs w:val="24"/>
          <w:u w:val="single"/>
        </w:rPr>
        <w:t>Rose Bengel and Henry Bengel v. Holiday City At Berkley Fire Aid Squad, Inc., et al.</w:t>
      </w:r>
      <w:r>
        <w:rPr>
          <w:rFonts w:ascii="Times New Roman" w:eastAsia="Times New Roman" w:hAnsi="Times New Roman"/>
          <w:sz w:val="24"/>
          <w:szCs w:val="24"/>
        </w:rPr>
        <w:t xml:space="preserve">, the Superior Court of New Jersey, Appellative Division, held (2 to 0; unreported decision) that the trial court properly held the EMS personnel enjoyed immunity under state law, since they acted in “good faith.” </w:t>
      </w:r>
    </w:p>
    <w:p w14:paraId="43185437" w14:textId="77777777" w:rsidR="00F37F48" w:rsidRDefault="00F37F48" w:rsidP="00F37F48">
      <w:pPr>
        <w:pStyle w:val="NoSpacing"/>
        <w:ind w:left="720"/>
        <w:rPr>
          <w:rFonts w:ascii="Times New Roman" w:eastAsiaTheme="minorHAnsi" w:hAnsi="Times New Roman"/>
          <w:sz w:val="24"/>
          <w:szCs w:val="24"/>
        </w:rPr>
      </w:pPr>
      <w:r>
        <w:rPr>
          <w:rFonts w:ascii="Times New Roman" w:hAnsi="Times New Roman"/>
          <w:sz w:val="24"/>
          <w:szCs w:val="24"/>
        </w:rPr>
        <w:t>“Plaintiffs' assertion that defendants' paperwork containing a conflicting account of what occurred at the Bengel home bespeaks falsification and, in turn, the absence of good faith in providing first aid to Rose, constitutes rank speculation.</w:t>
      </w:r>
    </w:p>
    <w:p w14:paraId="17639CA6" w14:textId="77777777" w:rsidR="00F37F48" w:rsidRDefault="00F37F48" w:rsidP="00F37F48">
      <w:pPr>
        <w:pStyle w:val="NoSpacing"/>
        <w:rPr>
          <w:rFonts w:ascii="Times New Roman" w:hAnsi="Times New Roman"/>
          <w:sz w:val="24"/>
          <w:szCs w:val="24"/>
        </w:rPr>
      </w:pPr>
    </w:p>
    <w:p w14:paraId="637D3789" w14:textId="77777777" w:rsidR="00F37F48" w:rsidRDefault="00F37F48" w:rsidP="00F37F48">
      <w:pPr>
        <w:pStyle w:val="NoSpacing"/>
        <w:ind w:firstLine="720"/>
        <w:rPr>
          <w:rFonts w:ascii="Times New Roman" w:hAnsi="Times New Roman"/>
          <w:sz w:val="24"/>
          <w:szCs w:val="24"/>
        </w:rPr>
      </w:pPr>
      <w:r>
        <w:rPr>
          <w:rFonts w:ascii="Times New Roman" w:hAnsi="Times New Roman"/>
          <w:sz w:val="24"/>
          <w:szCs w:val="24"/>
        </w:rPr>
        <w:t>***</w:t>
      </w:r>
    </w:p>
    <w:p w14:paraId="55C87B8E" w14:textId="77777777" w:rsidR="00F37F48" w:rsidRDefault="00F37F48" w:rsidP="00F37F48">
      <w:pPr>
        <w:pStyle w:val="NormalWeb"/>
        <w:ind w:left="720"/>
      </w:pPr>
      <w:r>
        <w:t xml:space="preserve">Notably, contrary to plaintiffs' account, the judge found that in transferring Rose from her wheelchair to the stretcher, ‘Phillips . . . wrapped his arms around [Rose's] mid-section’ and Kobus and Phillips ‘gently placed [Rose] on the stretcher.’” </w:t>
      </w:r>
      <w:hyperlink r:id="rId2359" w:history="1">
        <w:r>
          <w:rPr>
            <w:rStyle w:val="Hyperlink"/>
          </w:rPr>
          <w:t>https://njcourts.gov/attorneys/assets/opinions/appellate/unpublished/a0530-19.pdf</w:t>
        </w:r>
      </w:hyperlink>
      <w:r>
        <w:t xml:space="preserve"> </w:t>
      </w:r>
    </w:p>
    <w:p w14:paraId="2516ACE9" w14:textId="77777777" w:rsidR="00F37F48" w:rsidRDefault="00F37F48" w:rsidP="00F37F48">
      <w:pPr>
        <w:spacing w:after="100"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EMS properly documented in patient care report that patient reported pain in the left arm; showed they were acting in “good faith.” </w:t>
      </w:r>
    </w:p>
    <w:p w14:paraId="61A363A8" w14:textId="54331758" w:rsidR="00F37F48" w:rsidRDefault="00F37F48" w:rsidP="002B1283">
      <w:pPr>
        <w:rPr>
          <w:rFonts w:ascii="Arial Black" w:hAnsi="Arial Black"/>
          <w:b/>
          <w:bCs/>
          <w:sz w:val="28"/>
          <w:szCs w:val="28"/>
        </w:rPr>
      </w:pPr>
    </w:p>
    <w:p w14:paraId="471379B6" w14:textId="77777777" w:rsidR="00F37F48" w:rsidRDefault="00F37F48" w:rsidP="002B1283">
      <w:pPr>
        <w:rPr>
          <w:rFonts w:ascii="Arial Black" w:hAnsi="Arial Black"/>
          <w:b/>
          <w:bCs/>
          <w:sz w:val="28"/>
          <w:szCs w:val="28"/>
        </w:rPr>
      </w:pPr>
    </w:p>
    <w:p w14:paraId="5475C7C1" w14:textId="6C34AFB0" w:rsidR="00663A6A" w:rsidRDefault="00663A6A" w:rsidP="002B1283">
      <w:pPr>
        <w:rPr>
          <w:rFonts w:ascii="Arial Black" w:hAnsi="Arial Black"/>
          <w:b/>
          <w:bCs/>
          <w:sz w:val="28"/>
          <w:szCs w:val="28"/>
        </w:rPr>
      </w:pPr>
      <w:r>
        <w:rPr>
          <w:rFonts w:ascii="Arial Black" w:hAnsi="Arial Black"/>
          <w:b/>
          <w:bCs/>
          <w:sz w:val="28"/>
          <w:szCs w:val="28"/>
        </w:rPr>
        <w:t>13-72</w:t>
      </w:r>
    </w:p>
    <w:p w14:paraId="6393AA01" w14:textId="77777777" w:rsidR="00663A6A" w:rsidRDefault="00663A6A" w:rsidP="00663A6A">
      <w:pPr>
        <w:rPr>
          <w:rFonts w:ascii="Arial Black" w:hAnsi="Arial Black"/>
          <w:sz w:val="28"/>
          <w:szCs w:val="28"/>
        </w:rPr>
      </w:pPr>
      <w:r>
        <w:rPr>
          <w:rFonts w:ascii="Arial Black" w:hAnsi="Arial Black"/>
          <w:sz w:val="28"/>
          <w:szCs w:val="28"/>
        </w:rPr>
        <w:t>NY: COVID-19 – U.S. SUPREME COURT INJUNCTION [5 T0 4] - GOV. CUOMO’S LIMITS ON RELIGIOUS GATHERINGS</w:t>
      </w:r>
    </w:p>
    <w:p w14:paraId="32EDCE1E" w14:textId="77777777" w:rsidR="00663A6A" w:rsidRPr="00D04237" w:rsidRDefault="00663A6A" w:rsidP="00663A6A">
      <w:pPr>
        <w:rPr>
          <w:rFonts w:ascii="Times New Roman" w:hAnsi="Times New Roman"/>
          <w:sz w:val="24"/>
          <w:szCs w:val="24"/>
        </w:rPr>
      </w:pPr>
      <w:r>
        <w:rPr>
          <w:rFonts w:ascii="Times New Roman" w:hAnsi="Times New Roman"/>
          <w:sz w:val="24"/>
          <w:szCs w:val="24"/>
        </w:rPr>
        <w:t xml:space="preserve">On Nov. 25, 2020, in </w:t>
      </w:r>
      <w:r w:rsidRPr="00D04237">
        <w:rPr>
          <w:rFonts w:ascii="Times New Roman" w:hAnsi="Times New Roman"/>
          <w:sz w:val="24"/>
          <w:szCs w:val="24"/>
          <w:u w:val="single"/>
        </w:rPr>
        <w:t>Roman Catholic Diocese of Brooklyn v. Cuomo and Agudath Israel v. Cuomo</w:t>
      </w:r>
      <w:r>
        <w:rPr>
          <w:rFonts w:ascii="Times New Roman" w:hAnsi="Times New Roman"/>
          <w:sz w:val="24"/>
          <w:szCs w:val="24"/>
        </w:rPr>
        <w:t xml:space="preserve">, the U.S. Supreme Court (5 to 4) issued an emergency injunction on the Governor’s 10-person (“Red Zones”) and 25-person (“Orange Zones”) occupancy limits. </w:t>
      </w:r>
    </w:p>
    <w:p w14:paraId="680921FF" w14:textId="77777777" w:rsidR="00663A6A" w:rsidRDefault="00663A6A" w:rsidP="00663A6A">
      <w:pPr>
        <w:pStyle w:val="NoSpacing"/>
        <w:ind w:left="720"/>
        <w:rPr>
          <w:rFonts w:ascii="Times New Roman" w:hAnsi="Times New Roman"/>
          <w:sz w:val="24"/>
          <w:szCs w:val="24"/>
        </w:rPr>
      </w:pPr>
      <w:r>
        <w:rPr>
          <w:rFonts w:ascii="Times New Roman" w:hAnsi="Times New Roman"/>
          <w:sz w:val="24"/>
          <w:szCs w:val="24"/>
        </w:rPr>
        <w:lastRenderedPageBreak/>
        <w:t>“</w:t>
      </w:r>
      <w:r w:rsidRPr="00D04237">
        <w:rPr>
          <w:rFonts w:ascii="Times New Roman" w:hAnsi="Times New Roman"/>
          <w:sz w:val="24"/>
          <w:szCs w:val="24"/>
        </w:rPr>
        <w:t>Respondent is enjoined from enforcing Executive Order 202.68’s 10- and 25-person occupancy limits on applicant pending disposition of the appeal in the United States Court of Appeals for the Second Circuit and disposition of the petition for a writ of certiorari, if such writ is timely sought.</w:t>
      </w:r>
    </w:p>
    <w:p w14:paraId="416A3051" w14:textId="77777777" w:rsidR="00663A6A" w:rsidRDefault="00663A6A" w:rsidP="00663A6A">
      <w:pPr>
        <w:pStyle w:val="NoSpacing"/>
        <w:ind w:left="720"/>
        <w:rPr>
          <w:rFonts w:ascii="Times New Roman" w:hAnsi="Times New Roman"/>
          <w:sz w:val="24"/>
          <w:szCs w:val="24"/>
        </w:rPr>
      </w:pPr>
    </w:p>
    <w:p w14:paraId="21CC76DC" w14:textId="77777777" w:rsidR="00663A6A" w:rsidRDefault="00663A6A" w:rsidP="00663A6A">
      <w:pPr>
        <w:pStyle w:val="NoSpacing"/>
        <w:ind w:left="720"/>
        <w:rPr>
          <w:rFonts w:ascii="Times New Roman" w:hAnsi="Times New Roman"/>
          <w:sz w:val="24"/>
          <w:szCs w:val="24"/>
        </w:rPr>
      </w:pPr>
      <w:r w:rsidRPr="00D04237">
        <w:rPr>
          <w:rFonts w:ascii="Times New Roman" w:hAnsi="Times New Roman"/>
          <w:sz w:val="24"/>
          <w:szCs w:val="24"/>
        </w:rPr>
        <w:t xml:space="preserve">In a red zone, while a synagogue or church may not admit more than 10 persons, businesses categorized as </w:t>
      </w:r>
      <w:r>
        <w:rPr>
          <w:rFonts w:ascii="Times New Roman" w:hAnsi="Times New Roman"/>
          <w:sz w:val="24"/>
          <w:szCs w:val="24"/>
        </w:rPr>
        <w:t>‘</w:t>
      </w:r>
      <w:r w:rsidRPr="00D04237">
        <w:rPr>
          <w:rFonts w:ascii="Times New Roman" w:hAnsi="Times New Roman"/>
          <w:sz w:val="24"/>
          <w:szCs w:val="24"/>
        </w:rPr>
        <w:t>essential</w:t>
      </w:r>
      <w:r>
        <w:rPr>
          <w:rFonts w:ascii="Times New Roman" w:hAnsi="Times New Roman"/>
          <w:sz w:val="24"/>
          <w:szCs w:val="24"/>
        </w:rPr>
        <w:t xml:space="preserve">’ </w:t>
      </w:r>
      <w:r w:rsidRPr="00D04237">
        <w:rPr>
          <w:rFonts w:ascii="Times New Roman" w:hAnsi="Times New Roman"/>
          <w:sz w:val="24"/>
          <w:szCs w:val="24"/>
        </w:rPr>
        <w:t xml:space="preserve">may admit as many people as they wish. And the list of “essential” businesses includes things such as acupuncture facilities, </w:t>
      </w:r>
      <w:proofErr w:type="gramStart"/>
      <w:r w:rsidRPr="00D04237">
        <w:rPr>
          <w:rFonts w:ascii="Times New Roman" w:hAnsi="Times New Roman"/>
          <w:sz w:val="24"/>
          <w:szCs w:val="24"/>
        </w:rPr>
        <w:t>camp grounds</w:t>
      </w:r>
      <w:proofErr w:type="gramEnd"/>
      <w:r w:rsidRPr="00D04237">
        <w:rPr>
          <w:rFonts w:ascii="Times New Roman" w:hAnsi="Times New Roman"/>
          <w:sz w:val="24"/>
          <w:szCs w:val="24"/>
        </w:rPr>
        <w:t>, garages, as well as many whose services are not limited to those that can be regarded as essential, such as all plants manufacturing chemicals and mi</w:t>
      </w:r>
      <w:r>
        <w:rPr>
          <w:rFonts w:ascii="Times New Roman" w:hAnsi="Times New Roman"/>
          <w:sz w:val="24"/>
          <w:szCs w:val="24"/>
        </w:rPr>
        <w:t>c</w:t>
      </w:r>
      <w:r w:rsidRPr="00D04237">
        <w:rPr>
          <w:rFonts w:ascii="Times New Roman" w:hAnsi="Times New Roman"/>
          <w:sz w:val="24"/>
          <w:szCs w:val="24"/>
        </w:rPr>
        <w:t>roelectronics and all transportation facilities.</w:t>
      </w:r>
      <w:r>
        <w:rPr>
          <w:rFonts w:ascii="Times New Roman" w:hAnsi="Times New Roman"/>
          <w:sz w:val="24"/>
          <w:szCs w:val="24"/>
        </w:rPr>
        <w:t>”</w:t>
      </w:r>
    </w:p>
    <w:p w14:paraId="3BF88AD2" w14:textId="77777777" w:rsidR="00663A6A" w:rsidRPr="00D04237" w:rsidRDefault="00663A6A" w:rsidP="00663A6A">
      <w:pPr>
        <w:pStyle w:val="NoSpacing"/>
        <w:ind w:left="720"/>
        <w:rPr>
          <w:rFonts w:ascii="Times New Roman" w:hAnsi="Times New Roman"/>
          <w:sz w:val="24"/>
          <w:szCs w:val="24"/>
        </w:rPr>
      </w:pPr>
      <w:hyperlink r:id="rId2360" w:history="1">
        <w:r w:rsidRPr="003E3134">
          <w:rPr>
            <w:rStyle w:val="Hyperlink"/>
            <w:rFonts w:ascii="Times New Roman" w:hAnsi="Times New Roman"/>
            <w:sz w:val="24"/>
            <w:szCs w:val="24"/>
          </w:rPr>
          <w:t>https://www.supremecourt.gov/opinions/20pdf/20a87_4g15.pdf</w:t>
        </w:r>
      </w:hyperlink>
      <w:r w:rsidRPr="00D04237">
        <w:rPr>
          <w:rFonts w:ascii="Times New Roman" w:hAnsi="Times New Roman"/>
          <w:sz w:val="24"/>
          <w:szCs w:val="24"/>
        </w:rPr>
        <w:t xml:space="preserve"> </w:t>
      </w:r>
    </w:p>
    <w:p w14:paraId="48F27D45" w14:textId="77777777" w:rsidR="00663A6A" w:rsidRDefault="00663A6A" w:rsidP="00663A6A">
      <w:pPr>
        <w:pStyle w:val="NoSpacing"/>
      </w:pPr>
    </w:p>
    <w:p w14:paraId="19BC97E3" w14:textId="77777777" w:rsidR="00663A6A" w:rsidRDefault="00663A6A" w:rsidP="00663A6A">
      <w:pPr>
        <w:pStyle w:val="NoSpacing"/>
        <w:rPr>
          <w:rFonts w:ascii="Times New Roman" w:hAnsi="Times New Roman"/>
          <w:b/>
          <w:bCs/>
          <w:sz w:val="24"/>
          <w:szCs w:val="24"/>
        </w:rPr>
      </w:pPr>
      <w:r w:rsidRPr="007D031B">
        <w:rPr>
          <w:b/>
          <w:bCs/>
        </w:rPr>
        <w:t xml:space="preserve"> </w:t>
      </w:r>
      <w:r w:rsidRPr="007D031B">
        <w:rPr>
          <w:rFonts w:ascii="Times New Roman" w:hAnsi="Times New Roman"/>
          <w:b/>
          <w:bCs/>
          <w:sz w:val="24"/>
          <w:szCs w:val="24"/>
        </w:rPr>
        <w:t xml:space="preserve">Legal Lessons Learned: The 5 “conservative” members of the Court issued the injunction, over the dissent of 4 other Justices.  </w:t>
      </w:r>
    </w:p>
    <w:p w14:paraId="731B8E71" w14:textId="77777777" w:rsidR="00663A6A" w:rsidRDefault="00663A6A" w:rsidP="00663A6A">
      <w:pPr>
        <w:pStyle w:val="NoSpacing"/>
        <w:rPr>
          <w:rFonts w:ascii="Times New Roman" w:hAnsi="Times New Roman"/>
          <w:b/>
          <w:bCs/>
          <w:sz w:val="24"/>
          <w:szCs w:val="24"/>
        </w:rPr>
      </w:pPr>
    </w:p>
    <w:p w14:paraId="033480FC" w14:textId="77777777" w:rsidR="00663A6A" w:rsidRDefault="00663A6A" w:rsidP="00663A6A">
      <w:pPr>
        <w:pStyle w:val="NoSpacing"/>
        <w:ind w:left="720"/>
        <w:rPr>
          <w:rFonts w:ascii="Times New Roman" w:hAnsi="Times New Roman"/>
          <w:sz w:val="24"/>
          <w:szCs w:val="24"/>
        </w:rPr>
      </w:pPr>
      <w:r w:rsidRPr="007D031B">
        <w:rPr>
          <w:rFonts w:ascii="Times New Roman" w:hAnsi="Times New Roman"/>
          <w:sz w:val="24"/>
          <w:szCs w:val="24"/>
        </w:rPr>
        <w:t xml:space="preserve">Note: </w:t>
      </w:r>
      <w:r>
        <w:rPr>
          <w:rFonts w:ascii="Times New Roman" w:hAnsi="Times New Roman"/>
          <w:sz w:val="24"/>
          <w:szCs w:val="24"/>
        </w:rPr>
        <w:t xml:space="preserve"> Majority decision by Justices Samuel Alito; Amy Coney Barrett; Neil Gorsuch; Brett Kavanaugh; Clarence Thomas</w:t>
      </w:r>
    </w:p>
    <w:p w14:paraId="2D8BB461" w14:textId="104507CF" w:rsidR="00663A6A" w:rsidRDefault="00663A6A" w:rsidP="00663A6A">
      <w:pPr>
        <w:rPr>
          <w:rFonts w:ascii="Arial Black" w:hAnsi="Arial Black"/>
          <w:b/>
          <w:bCs/>
          <w:sz w:val="28"/>
          <w:szCs w:val="28"/>
        </w:rPr>
      </w:pPr>
      <w:r>
        <w:rPr>
          <w:rFonts w:ascii="Times New Roman" w:hAnsi="Times New Roman"/>
          <w:sz w:val="24"/>
          <w:szCs w:val="24"/>
        </w:rPr>
        <w:t>Dissenting: Chief Justice John Roberts; Justices Steve Breyer; Elana Kagan; Sonia Sotomayor</w:t>
      </w:r>
    </w:p>
    <w:p w14:paraId="6A8A2C1A" w14:textId="77777777" w:rsidR="00663A6A" w:rsidRDefault="00663A6A" w:rsidP="002B1283">
      <w:pPr>
        <w:rPr>
          <w:rFonts w:ascii="Arial Black" w:hAnsi="Arial Black"/>
          <w:b/>
          <w:bCs/>
          <w:sz w:val="28"/>
          <w:szCs w:val="28"/>
        </w:rPr>
      </w:pPr>
    </w:p>
    <w:p w14:paraId="344AEE7E" w14:textId="457D148D" w:rsidR="00663A6A" w:rsidRDefault="00663A6A" w:rsidP="002B1283">
      <w:pPr>
        <w:rPr>
          <w:rFonts w:ascii="Arial Black" w:hAnsi="Arial Black"/>
          <w:b/>
          <w:bCs/>
          <w:sz w:val="28"/>
          <w:szCs w:val="28"/>
        </w:rPr>
      </w:pPr>
      <w:r>
        <w:rPr>
          <w:rFonts w:ascii="Arial Black" w:hAnsi="Arial Black"/>
          <w:b/>
          <w:bCs/>
          <w:sz w:val="28"/>
          <w:szCs w:val="28"/>
        </w:rPr>
        <w:t>13-71</w:t>
      </w:r>
    </w:p>
    <w:p w14:paraId="5B075897" w14:textId="77777777" w:rsidR="00663A6A" w:rsidRPr="00E85284" w:rsidRDefault="00663A6A" w:rsidP="00663A6A">
      <w:pPr>
        <w:pStyle w:val="NoSpacing"/>
        <w:rPr>
          <w:rFonts w:ascii="Arial Black" w:hAnsi="Arial Black"/>
          <w:sz w:val="28"/>
          <w:szCs w:val="28"/>
        </w:rPr>
      </w:pPr>
      <w:r>
        <w:rPr>
          <w:rFonts w:ascii="Arial Black" w:hAnsi="Arial Black"/>
          <w:sz w:val="28"/>
          <w:szCs w:val="28"/>
        </w:rPr>
        <w:t>GA: ISLAND RESIDENTS SUE COUNTY – POOR EMS SERVICE – EXPERT’S REPORT ADMISSIBLE – RELIABLE / HELPFUL</w:t>
      </w:r>
    </w:p>
    <w:p w14:paraId="43DE7804" w14:textId="77777777" w:rsidR="00663A6A" w:rsidRPr="00E85284" w:rsidRDefault="00663A6A" w:rsidP="00663A6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Nov. 23, 2020, in </w:t>
      </w:r>
      <w:r w:rsidRPr="00E85284">
        <w:rPr>
          <w:rFonts w:ascii="Times New Roman" w:hAnsi="Times New Roman"/>
          <w:sz w:val="24"/>
          <w:szCs w:val="24"/>
          <w:u w:val="single"/>
        </w:rPr>
        <w:t>Melvin Banks, Sr., et al. v. Mc</w:t>
      </w:r>
      <w:r>
        <w:rPr>
          <w:rFonts w:ascii="Times New Roman" w:hAnsi="Times New Roman"/>
          <w:sz w:val="24"/>
          <w:szCs w:val="24"/>
          <w:u w:val="single"/>
        </w:rPr>
        <w:t>I</w:t>
      </w:r>
      <w:r w:rsidRPr="00E85284">
        <w:rPr>
          <w:rFonts w:ascii="Times New Roman" w:hAnsi="Times New Roman"/>
          <w:sz w:val="24"/>
          <w:szCs w:val="24"/>
          <w:u w:val="single"/>
        </w:rPr>
        <w:t>ntosh County</w:t>
      </w:r>
      <w:r>
        <w:rPr>
          <w:rFonts w:ascii="Times New Roman" w:hAnsi="Times New Roman"/>
          <w:sz w:val="24"/>
          <w:szCs w:val="24"/>
        </w:rPr>
        <w:t xml:space="preserve">, U.S. Magistrate Judge Benjamin W. Cheesbro, U.S. District Court for South District of Georgie, denied the County’s motion to exclude </w:t>
      </w:r>
      <w:r w:rsidRPr="00F26776">
        <w:rPr>
          <w:rFonts w:ascii="Times New Roman" w:hAnsi="Times New Roman"/>
          <w:sz w:val="24"/>
          <w:szCs w:val="24"/>
        </w:rPr>
        <w:t xml:space="preserve">the expert testimony </w:t>
      </w:r>
      <w:r>
        <w:rPr>
          <w:rFonts w:ascii="Times New Roman" w:hAnsi="Times New Roman"/>
          <w:sz w:val="24"/>
          <w:szCs w:val="24"/>
        </w:rPr>
        <w:t xml:space="preserve">and report </w:t>
      </w:r>
      <w:r w:rsidRPr="00F26776">
        <w:rPr>
          <w:rFonts w:ascii="Times New Roman" w:hAnsi="Times New Roman"/>
          <w:sz w:val="24"/>
          <w:szCs w:val="24"/>
        </w:rPr>
        <w:t>of Dr. William Fales</w:t>
      </w:r>
      <w:r>
        <w:rPr>
          <w:rFonts w:ascii="Times New Roman" w:hAnsi="Times New Roman"/>
          <w:sz w:val="24"/>
          <w:szCs w:val="24"/>
        </w:rPr>
        <w:t xml:space="preserve">, since he has extensive experience in EMS.  </w:t>
      </w:r>
    </w:p>
    <w:p w14:paraId="48AEFF27" w14:textId="77777777" w:rsidR="00663A6A" w:rsidRDefault="00663A6A" w:rsidP="00663A6A">
      <w:pPr>
        <w:pStyle w:val="NoSpacing"/>
        <w:ind w:left="720"/>
        <w:rPr>
          <w:rFonts w:ascii="Times New Roman" w:hAnsi="Times New Roman"/>
          <w:sz w:val="24"/>
          <w:szCs w:val="24"/>
        </w:rPr>
      </w:pPr>
      <w:r>
        <w:rPr>
          <w:rFonts w:ascii="Times New Roman" w:hAnsi="Times New Roman"/>
          <w:sz w:val="24"/>
          <w:szCs w:val="24"/>
        </w:rPr>
        <w:t>“</w:t>
      </w:r>
      <w:r w:rsidRPr="00F26776">
        <w:rPr>
          <w:rFonts w:ascii="Times New Roman" w:hAnsi="Times New Roman"/>
          <w:sz w:val="24"/>
          <w:szCs w:val="24"/>
        </w:rPr>
        <w:t>In other words, Dr. Fales</w:t>
      </w:r>
      <w:r>
        <w:rPr>
          <w:rFonts w:ascii="Times New Roman" w:hAnsi="Times New Roman"/>
          <w:sz w:val="24"/>
          <w:szCs w:val="24"/>
        </w:rPr>
        <w:t>’</w:t>
      </w:r>
      <w:r w:rsidRPr="00F26776">
        <w:rPr>
          <w:rFonts w:ascii="Times New Roman" w:hAnsi="Times New Roman"/>
          <w:sz w:val="24"/>
          <w:szCs w:val="24"/>
        </w:rPr>
        <w:t xml:space="preserve"> opinions concern how and when various healthcare assets are deployed and utilized on a system-wide basis, not the adequacy of specific forms of medical care or treatment. Dr. Fales</w:t>
      </w:r>
      <w:r>
        <w:rPr>
          <w:rFonts w:ascii="Times New Roman" w:hAnsi="Times New Roman"/>
          <w:sz w:val="24"/>
          <w:szCs w:val="24"/>
        </w:rPr>
        <w:t>’</w:t>
      </w:r>
      <w:r w:rsidRPr="00F26776">
        <w:rPr>
          <w:rFonts w:ascii="Times New Roman" w:hAnsi="Times New Roman"/>
          <w:sz w:val="24"/>
          <w:szCs w:val="24"/>
        </w:rPr>
        <w:t xml:space="preserve"> recommendations highlight this distinction. For example, Dr. Fales recommends Sapelo Island First Responders should have a dedicated vehicle (Recommendation B7) and the fireboat used by McIntosh County EMS should be moved from one location to another (Recommendation C3). Doc. 273-1 at 50.</w:t>
      </w:r>
    </w:p>
    <w:p w14:paraId="7C7F62DE" w14:textId="77777777" w:rsidR="00663A6A" w:rsidRPr="00F26776" w:rsidRDefault="00663A6A" w:rsidP="00663A6A">
      <w:pPr>
        <w:pStyle w:val="NoSpacing"/>
        <w:rPr>
          <w:rFonts w:ascii="Times New Roman" w:hAnsi="Times New Roman"/>
          <w:sz w:val="24"/>
          <w:szCs w:val="24"/>
        </w:rPr>
      </w:pPr>
    </w:p>
    <w:p w14:paraId="3E00C779" w14:textId="77777777" w:rsidR="00663A6A" w:rsidRDefault="00663A6A" w:rsidP="00663A6A">
      <w:pPr>
        <w:pStyle w:val="NoSpacing"/>
        <w:ind w:left="720"/>
        <w:rPr>
          <w:rFonts w:ascii="Times New Roman" w:hAnsi="Times New Roman"/>
          <w:sz w:val="24"/>
          <w:szCs w:val="24"/>
        </w:rPr>
      </w:pPr>
      <w:r w:rsidRPr="00F26776">
        <w:rPr>
          <w:rFonts w:ascii="Times New Roman" w:hAnsi="Times New Roman"/>
          <w:sz w:val="24"/>
          <w:szCs w:val="24"/>
        </w:rPr>
        <w:t xml:space="preserve">Recommendation A3 provides that the McIntosh County EMS should use Wiregrass 911 to adopt a formal 911 system. Doc. 273-1 at 48. Recommendation A4 provides the County should adopt a tiered response plan for the Sapelo Island EMS Response Plan based on patient acuity. </w:t>
      </w:r>
      <w:r w:rsidRPr="00F26776">
        <w:rPr>
          <w:rFonts w:ascii="Times New Roman" w:hAnsi="Times New Roman"/>
          <w:sz w:val="24"/>
          <w:szCs w:val="24"/>
          <w:u w:val="single"/>
        </w:rPr>
        <w:t>Id.</w:t>
      </w:r>
      <w:r w:rsidRPr="00F26776">
        <w:rPr>
          <w:rFonts w:ascii="Times New Roman" w:hAnsi="Times New Roman"/>
          <w:sz w:val="24"/>
          <w:szCs w:val="24"/>
        </w:rPr>
        <w:t xml:space="preserve"> Recommendation C1 provides McIntosh County should develop a form EMS Response Plan for Sapelo Island. </w:t>
      </w:r>
      <w:r w:rsidRPr="00F26776">
        <w:rPr>
          <w:rFonts w:ascii="Times New Roman" w:hAnsi="Times New Roman"/>
          <w:sz w:val="24"/>
          <w:szCs w:val="24"/>
          <w:u w:val="single"/>
        </w:rPr>
        <w:t>Id.</w:t>
      </w:r>
      <w:r w:rsidRPr="00F26776">
        <w:rPr>
          <w:rFonts w:ascii="Times New Roman" w:hAnsi="Times New Roman"/>
          <w:sz w:val="24"/>
          <w:szCs w:val="24"/>
        </w:rPr>
        <w:t xml:space="preserve"> At 49. Recommendation C2 also provides McIntosh County EMS should work in collaboration with Wiregrass 911. </w:t>
      </w:r>
      <w:r w:rsidRPr="00F26776">
        <w:rPr>
          <w:rFonts w:ascii="Times New Roman" w:hAnsi="Times New Roman"/>
          <w:sz w:val="24"/>
          <w:szCs w:val="24"/>
          <w:u w:val="single"/>
        </w:rPr>
        <w:t>Id.</w:t>
      </w:r>
      <w:r w:rsidRPr="00F26776">
        <w:rPr>
          <w:rFonts w:ascii="Times New Roman" w:hAnsi="Times New Roman"/>
          <w:sz w:val="24"/>
          <w:szCs w:val="24"/>
        </w:rPr>
        <w:t xml:space="preserve"> Recommendation C6 provides McIntosh County should develop a training program for first responders serving Sapelo Island to ensure effective EMS. </w:t>
      </w:r>
      <w:r w:rsidRPr="00F26776">
        <w:rPr>
          <w:rFonts w:ascii="Times New Roman" w:hAnsi="Times New Roman"/>
          <w:sz w:val="24"/>
          <w:szCs w:val="24"/>
          <w:u w:val="single"/>
        </w:rPr>
        <w:t>Id.</w:t>
      </w:r>
      <w:r w:rsidRPr="00F26776">
        <w:rPr>
          <w:rFonts w:ascii="Times New Roman" w:hAnsi="Times New Roman"/>
          <w:sz w:val="24"/>
          <w:szCs w:val="24"/>
        </w:rPr>
        <w:t xml:space="preserve"> Recommendation C7 provides McIntosh County EMS should established a quality improvement program. </w:t>
      </w:r>
      <w:r w:rsidRPr="00F26776">
        <w:rPr>
          <w:rFonts w:ascii="Times New Roman" w:hAnsi="Times New Roman"/>
          <w:sz w:val="24"/>
          <w:szCs w:val="24"/>
          <w:u w:val="single"/>
        </w:rPr>
        <w:t>Id.</w:t>
      </w:r>
      <w:r w:rsidRPr="00F26776">
        <w:rPr>
          <w:rFonts w:ascii="Times New Roman" w:hAnsi="Times New Roman"/>
          <w:sz w:val="24"/>
          <w:szCs w:val="24"/>
        </w:rPr>
        <w:t xml:space="preserve"> At 50. Recommendation C9 provides McIntosh County EMS should apply for a federal grant to </w:t>
      </w:r>
      <w:proofErr w:type="gramStart"/>
      <w:r w:rsidRPr="00F26776">
        <w:rPr>
          <w:rFonts w:ascii="Times New Roman" w:hAnsi="Times New Roman"/>
          <w:sz w:val="24"/>
          <w:szCs w:val="24"/>
        </w:rPr>
        <w:t>help better</w:t>
      </w:r>
      <w:proofErr w:type="gramEnd"/>
      <w:r w:rsidRPr="00F26776">
        <w:rPr>
          <w:rFonts w:ascii="Times New Roman" w:hAnsi="Times New Roman"/>
          <w:sz w:val="24"/>
          <w:szCs w:val="24"/>
        </w:rPr>
        <w:t xml:space="preserve"> serve both the County as a whole and the Island. </w:t>
      </w:r>
      <w:r w:rsidRPr="00F26776">
        <w:rPr>
          <w:rFonts w:ascii="Times New Roman" w:hAnsi="Times New Roman"/>
          <w:sz w:val="24"/>
          <w:szCs w:val="24"/>
          <w:u w:val="single"/>
        </w:rPr>
        <w:t>Id</w:t>
      </w:r>
      <w:r>
        <w:rPr>
          <w:rFonts w:ascii="Times New Roman" w:hAnsi="Times New Roman"/>
          <w:sz w:val="24"/>
          <w:szCs w:val="24"/>
        </w:rPr>
        <w:t>.”</w:t>
      </w:r>
    </w:p>
    <w:p w14:paraId="3EF14B4B" w14:textId="77777777" w:rsidR="00663A6A" w:rsidRDefault="00663A6A" w:rsidP="00663A6A">
      <w:pPr>
        <w:pStyle w:val="NoSpacing"/>
        <w:ind w:left="720"/>
      </w:pPr>
      <w:hyperlink r:id="rId2361" w:history="1">
        <w:r w:rsidRPr="00AA126E">
          <w:rPr>
            <w:rStyle w:val="Hyperlink"/>
          </w:rPr>
          <w:t>https://public.fastcase.com/Wl%2B2t%2BeVuI35%2FN70vAMFZu2kCKVGtKJMtqi4A8YrO%2FA1C58cJM7PHa67poZD1rnP</w:t>
        </w:r>
      </w:hyperlink>
      <w:r>
        <w:t xml:space="preserve"> </w:t>
      </w:r>
    </w:p>
    <w:p w14:paraId="49E24A05" w14:textId="77777777" w:rsidR="00663A6A" w:rsidRDefault="00663A6A" w:rsidP="00663A6A">
      <w:pPr>
        <w:pStyle w:val="NoSpacing"/>
        <w:rPr>
          <w:rFonts w:ascii="Times New Roman" w:hAnsi="Times New Roman"/>
          <w:sz w:val="24"/>
          <w:szCs w:val="24"/>
        </w:rPr>
      </w:pPr>
    </w:p>
    <w:p w14:paraId="1C15A1C0" w14:textId="77777777" w:rsidR="00663A6A" w:rsidRPr="00F26776" w:rsidRDefault="00663A6A" w:rsidP="00663A6A">
      <w:pPr>
        <w:spacing w:before="100" w:beforeAutospacing="1" w:after="100" w:afterAutospacing="1" w:line="240" w:lineRule="auto"/>
        <w:rPr>
          <w:rFonts w:ascii="Times New Roman" w:eastAsia="Times New Roman" w:hAnsi="Times New Roman"/>
          <w:b/>
          <w:bCs/>
          <w:sz w:val="24"/>
          <w:szCs w:val="24"/>
        </w:rPr>
      </w:pPr>
      <w:r w:rsidRPr="00295761">
        <w:rPr>
          <w:rFonts w:ascii="Times New Roman" w:hAnsi="Times New Roman"/>
          <w:b/>
          <w:bCs/>
          <w:sz w:val="24"/>
          <w:szCs w:val="24"/>
        </w:rPr>
        <w:lastRenderedPageBreak/>
        <w:t>Legal Lessons Learned:</w:t>
      </w:r>
      <w:r>
        <w:rPr>
          <w:rFonts w:ascii="Times New Roman" w:hAnsi="Times New Roman"/>
          <w:b/>
          <w:bCs/>
          <w:sz w:val="24"/>
          <w:szCs w:val="24"/>
        </w:rPr>
        <w:t xml:space="preserve">  The case may now proceed to trial.   Dr. Fales has apparently never visited </w:t>
      </w:r>
      <w:r w:rsidRPr="00295761">
        <w:rPr>
          <w:rFonts w:ascii="Times New Roman" w:eastAsia="Times New Roman" w:hAnsi="Times New Roman"/>
          <w:b/>
          <w:bCs/>
          <w:sz w:val="24"/>
          <w:szCs w:val="24"/>
        </w:rPr>
        <w:t xml:space="preserve">Sapelo Island; hopefully he will prior to trial. </w:t>
      </w:r>
    </w:p>
    <w:p w14:paraId="04EB0CC8" w14:textId="77777777" w:rsidR="00663A6A" w:rsidRPr="00295761" w:rsidRDefault="00663A6A" w:rsidP="00663A6A">
      <w:pPr>
        <w:pStyle w:val="NormalWeb"/>
        <w:ind w:left="720"/>
      </w:pPr>
      <w:r>
        <w:t xml:space="preserve">Note: Sapelo Island looks like a lovely place. </w:t>
      </w:r>
      <w:hyperlink r:id="rId2362" w:history="1">
        <w:r w:rsidRPr="00AA126E">
          <w:rPr>
            <w:rStyle w:val="Hyperlink"/>
          </w:rPr>
          <w:t>https://www.exploregeorgia.org/city/sapelo-island</w:t>
        </w:r>
      </w:hyperlink>
      <w:r>
        <w:t xml:space="preserve"> </w:t>
      </w:r>
    </w:p>
    <w:p w14:paraId="485619D1" w14:textId="77777777" w:rsidR="00663A6A" w:rsidRPr="00295761" w:rsidRDefault="00663A6A" w:rsidP="00663A6A">
      <w:pPr>
        <w:pStyle w:val="NormalWeb"/>
        <w:ind w:left="1440"/>
      </w:pPr>
      <w:r>
        <w:t>“</w:t>
      </w:r>
      <w:r w:rsidRPr="00295761">
        <w:t xml:space="preserve">Sapelo is a state-managed barrier island, the fourth largest in the chain of coastal Georgia islands between the Savannah and St. </w:t>
      </w:r>
      <w:proofErr w:type="spellStart"/>
      <w:r w:rsidRPr="00295761">
        <w:t>Marys</w:t>
      </w:r>
      <w:proofErr w:type="spellEnd"/>
      <w:r w:rsidRPr="00295761">
        <w:t xml:space="preserve"> rivers. Accessible only by passenger ferry, Sapelo provides </w:t>
      </w:r>
      <w:proofErr w:type="gramStart"/>
      <w:r w:rsidRPr="00295761">
        <w:t>a number of</w:t>
      </w:r>
      <w:proofErr w:type="gramEnd"/>
      <w:r w:rsidRPr="00295761">
        <w:t xml:space="preserve"> public access recreational, educational and lodging opportunities.</w:t>
      </w:r>
      <w:r>
        <w:t xml:space="preserve"> </w:t>
      </w:r>
      <w:r w:rsidRPr="00295761">
        <w:t>The Georgia Department of Natural Resources (DNR) manages the island. DNR operates the ferry service and serves as state liaison for the Sapelo Island National Estuarine Research Reserve, the University of Georgia Marine Institute, and the civilian Hog Hammock community, permanent home to about 70 full-time residents, many of whom are descended from the antebellum slaves of Sapelo</w:t>
      </w:r>
      <w:r>
        <w:t>’</w:t>
      </w:r>
      <w:r w:rsidRPr="00295761">
        <w:t>s plantations.</w:t>
      </w:r>
      <w:r>
        <w:t xml:space="preserve">” </w:t>
      </w:r>
    </w:p>
    <w:p w14:paraId="1ABC4AF5" w14:textId="77777777" w:rsidR="00663A6A" w:rsidRDefault="00663A6A" w:rsidP="002B1283">
      <w:pPr>
        <w:rPr>
          <w:rFonts w:ascii="Arial Black" w:hAnsi="Arial Black"/>
          <w:b/>
          <w:bCs/>
          <w:sz w:val="28"/>
          <w:szCs w:val="28"/>
        </w:rPr>
      </w:pPr>
    </w:p>
    <w:p w14:paraId="07D9A146" w14:textId="77777777" w:rsidR="00663A6A" w:rsidRDefault="00663A6A" w:rsidP="002B1283">
      <w:pPr>
        <w:rPr>
          <w:rFonts w:ascii="Arial Black" w:hAnsi="Arial Black"/>
          <w:b/>
          <w:bCs/>
          <w:sz w:val="28"/>
          <w:szCs w:val="28"/>
        </w:rPr>
      </w:pPr>
    </w:p>
    <w:p w14:paraId="50909CCE" w14:textId="449449A2" w:rsidR="00663A6A" w:rsidRDefault="00663A6A" w:rsidP="002B1283">
      <w:pPr>
        <w:rPr>
          <w:rFonts w:ascii="Arial Black" w:hAnsi="Arial Black"/>
          <w:b/>
          <w:bCs/>
          <w:sz w:val="28"/>
          <w:szCs w:val="28"/>
        </w:rPr>
      </w:pPr>
      <w:r>
        <w:rPr>
          <w:rFonts w:ascii="Arial Black" w:hAnsi="Arial Black"/>
          <w:b/>
          <w:bCs/>
          <w:sz w:val="28"/>
          <w:szCs w:val="28"/>
        </w:rPr>
        <w:t>13-70</w:t>
      </w:r>
    </w:p>
    <w:p w14:paraId="2E0F17CB" w14:textId="77777777" w:rsidR="00663A6A" w:rsidRDefault="00663A6A" w:rsidP="00663A6A">
      <w:pPr>
        <w:rPr>
          <w:rFonts w:ascii="Arial Black" w:hAnsi="Arial Black"/>
          <w:sz w:val="28"/>
          <w:szCs w:val="28"/>
        </w:rPr>
      </w:pPr>
      <w:r>
        <w:rPr>
          <w:rFonts w:ascii="Arial Black" w:hAnsi="Arial Black"/>
          <w:sz w:val="28"/>
          <w:szCs w:val="28"/>
        </w:rPr>
        <w:t>OH:  COVID-19 TEMPORARY STATUTE – EMS AUTHORIZED WORK IN HOSPITAL ED AND IN OTHER HOSPITAL AREAS</w:t>
      </w:r>
    </w:p>
    <w:p w14:paraId="14109486" w14:textId="77777777" w:rsidR="00663A6A" w:rsidRPr="00304944" w:rsidRDefault="00663A6A" w:rsidP="00663A6A">
      <w:pPr>
        <w:rPr>
          <w:rFonts w:ascii="Times New Roman" w:hAnsi="Times New Roman"/>
          <w:sz w:val="24"/>
          <w:szCs w:val="24"/>
        </w:rPr>
      </w:pPr>
      <w:r>
        <w:rPr>
          <w:rFonts w:ascii="Times New Roman" w:hAnsi="Times New Roman"/>
          <w:sz w:val="24"/>
          <w:szCs w:val="24"/>
        </w:rPr>
        <w:t xml:space="preserve">On Nov. 23, 2021, the Governor of Ohio signed </w:t>
      </w:r>
      <w:proofErr w:type="gramStart"/>
      <w:r>
        <w:rPr>
          <w:rFonts w:ascii="Times New Roman" w:hAnsi="Times New Roman"/>
          <w:sz w:val="24"/>
          <w:szCs w:val="24"/>
        </w:rPr>
        <w:t>into law House Bill 151</w:t>
      </w:r>
      <w:proofErr w:type="gramEnd"/>
      <w:r>
        <w:rPr>
          <w:rFonts w:ascii="Times New Roman" w:hAnsi="Times New Roman"/>
          <w:sz w:val="24"/>
          <w:szCs w:val="24"/>
        </w:rPr>
        <w:t>, provides in part:</w:t>
      </w:r>
    </w:p>
    <w:p w14:paraId="5B1EA0FC" w14:textId="77777777" w:rsidR="00663A6A" w:rsidRDefault="00663A6A" w:rsidP="00663A6A">
      <w:pPr>
        <w:ind w:left="720"/>
        <w:rPr>
          <w:rFonts w:ascii="Times New Roman" w:hAnsi="Times New Roman"/>
          <w:sz w:val="24"/>
          <w:szCs w:val="24"/>
        </w:rPr>
      </w:pPr>
      <w:r>
        <w:rPr>
          <w:rFonts w:ascii="Times New Roman" w:hAnsi="Times New Roman"/>
          <w:sz w:val="24"/>
          <w:szCs w:val="24"/>
        </w:rPr>
        <w:t>“</w:t>
      </w:r>
      <w:r w:rsidRPr="00304944">
        <w:rPr>
          <w:rFonts w:ascii="Times New Roman" w:hAnsi="Times New Roman"/>
          <w:sz w:val="24"/>
          <w:szCs w:val="24"/>
        </w:rPr>
        <w:t>(B) Beginning on the effective date of this section and until July 1, 2021, and not</w:t>
      </w:r>
      <w:r>
        <w:rPr>
          <w:rFonts w:ascii="Times New Roman" w:hAnsi="Times New Roman"/>
          <w:sz w:val="24"/>
          <w:szCs w:val="24"/>
        </w:rPr>
        <w:t xml:space="preserve"> </w:t>
      </w:r>
      <w:r w:rsidRPr="00304944">
        <w:rPr>
          <w:rFonts w:ascii="Times New Roman" w:hAnsi="Times New Roman"/>
          <w:sz w:val="24"/>
          <w:szCs w:val="24"/>
        </w:rPr>
        <w:t>withstanding</w:t>
      </w:r>
      <w:r>
        <w:rPr>
          <w:rFonts w:ascii="Times New Roman" w:hAnsi="Times New Roman"/>
          <w:sz w:val="24"/>
          <w:szCs w:val="24"/>
        </w:rPr>
        <w:t xml:space="preserve"> </w:t>
      </w:r>
      <w:r w:rsidRPr="00304944">
        <w:rPr>
          <w:rFonts w:ascii="Times New Roman" w:hAnsi="Times New Roman"/>
          <w:sz w:val="24"/>
          <w:szCs w:val="24"/>
        </w:rPr>
        <w:t>any provision of the Revised Code, a first responder, emergency medical technician-basic,</w:t>
      </w:r>
      <w:r>
        <w:rPr>
          <w:rFonts w:ascii="Times New Roman" w:hAnsi="Times New Roman"/>
          <w:sz w:val="24"/>
          <w:szCs w:val="24"/>
        </w:rPr>
        <w:t xml:space="preserve"> </w:t>
      </w:r>
      <w:r w:rsidRPr="00304944">
        <w:rPr>
          <w:rFonts w:ascii="Times New Roman" w:hAnsi="Times New Roman"/>
          <w:sz w:val="24"/>
          <w:szCs w:val="24"/>
        </w:rPr>
        <w:t>emergency medical technician-intermediate, and emergency medical technician-paramedic may</w:t>
      </w:r>
      <w:r>
        <w:rPr>
          <w:rFonts w:ascii="Times New Roman" w:hAnsi="Times New Roman"/>
          <w:sz w:val="24"/>
          <w:szCs w:val="24"/>
        </w:rPr>
        <w:t xml:space="preserve"> </w:t>
      </w:r>
      <w:r w:rsidRPr="00304944">
        <w:rPr>
          <w:rFonts w:ascii="Times New Roman" w:hAnsi="Times New Roman"/>
          <w:sz w:val="24"/>
          <w:szCs w:val="24"/>
        </w:rPr>
        <w:t>perform emergency medical services in any setting, including in any area of a hospital, if the services</w:t>
      </w:r>
      <w:r>
        <w:rPr>
          <w:rFonts w:ascii="Times New Roman" w:hAnsi="Times New Roman"/>
          <w:sz w:val="24"/>
          <w:szCs w:val="24"/>
        </w:rPr>
        <w:t xml:space="preserve"> </w:t>
      </w:r>
      <w:r w:rsidRPr="00304944">
        <w:rPr>
          <w:rFonts w:ascii="Times New Roman" w:hAnsi="Times New Roman"/>
          <w:sz w:val="24"/>
          <w:szCs w:val="24"/>
        </w:rPr>
        <w:t>are performed under the direction and supervision of one of the following</w:t>
      </w:r>
      <w:r>
        <w:rPr>
          <w:rFonts w:ascii="Times New Roman" w:hAnsi="Times New Roman"/>
          <w:sz w:val="24"/>
          <w:szCs w:val="24"/>
        </w:rPr>
        <w:t>:</w:t>
      </w:r>
      <w:r w:rsidRPr="00304944">
        <w:rPr>
          <w:rFonts w:ascii="Times New Roman" w:hAnsi="Times New Roman"/>
          <w:sz w:val="24"/>
          <w:szCs w:val="24"/>
        </w:rPr>
        <w:t>1) A physician;(2) A physician assistant designated by a physician;(3) An advanced practice registered nurse designated by a physician.(C) A first responder, emergency medical technician-basic, emergency medical technician-intermediate, and emergency medical technician-paramedic is not liable in damages in a civil action</w:t>
      </w:r>
      <w:r>
        <w:rPr>
          <w:rFonts w:ascii="Times New Roman" w:hAnsi="Times New Roman"/>
          <w:sz w:val="24"/>
          <w:szCs w:val="24"/>
        </w:rPr>
        <w:t xml:space="preserve"> </w:t>
      </w:r>
      <w:r w:rsidRPr="00304944">
        <w:rPr>
          <w:rFonts w:ascii="Times New Roman" w:hAnsi="Times New Roman"/>
          <w:sz w:val="24"/>
          <w:szCs w:val="24"/>
        </w:rPr>
        <w:t>for injury, death, or loss to person or property resulting from the individual</w:t>
      </w:r>
      <w:r>
        <w:rPr>
          <w:rFonts w:ascii="Times New Roman" w:hAnsi="Times New Roman"/>
          <w:sz w:val="24"/>
          <w:szCs w:val="24"/>
        </w:rPr>
        <w:t>’</w:t>
      </w:r>
      <w:r w:rsidRPr="00304944">
        <w:rPr>
          <w:rFonts w:ascii="Times New Roman" w:hAnsi="Times New Roman"/>
          <w:sz w:val="24"/>
          <w:szCs w:val="24"/>
        </w:rPr>
        <w:t>s administration of</w:t>
      </w:r>
      <w:r>
        <w:rPr>
          <w:rFonts w:ascii="Times New Roman" w:hAnsi="Times New Roman"/>
          <w:sz w:val="24"/>
          <w:szCs w:val="24"/>
        </w:rPr>
        <w:t xml:space="preserve"> </w:t>
      </w:r>
      <w:r w:rsidRPr="00304944">
        <w:rPr>
          <w:rFonts w:ascii="Times New Roman" w:hAnsi="Times New Roman"/>
          <w:sz w:val="24"/>
          <w:szCs w:val="24"/>
        </w:rPr>
        <w:t>emergency medical services, unless the services are administered in a manner that constitutes willful</w:t>
      </w:r>
      <w:r>
        <w:rPr>
          <w:rFonts w:ascii="Times New Roman" w:hAnsi="Times New Roman"/>
          <w:sz w:val="24"/>
          <w:szCs w:val="24"/>
        </w:rPr>
        <w:t xml:space="preserve"> </w:t>
      </w:r>
      <w:r w:rsidRPr="00304944">
        <w:rPr>
          <w:rFonts w:ascii="Times New Roman" w:hAnsi="Times New Roman"/>
          <w:sz w:val="24"/>
          <w:szCs w:val="24"/>
        </w:rPr>
        <w:t>or wanton misconduct.</w:t>
      </w:r>
      <w:r>
        <w:rPr>
          <w:rFonts w:ascii="Times New Roman" w:hAnsi="Times New Roman"/>
          <w:sz w:val="24"/>
          <w:szCs w:val="24"/>
        </w:rPr>
        <w:t xml:space="preserve">” </w:t>
      </w:r>
      <w:hyperlink r:id="rId2363" w:history="1">
        <w:r w:rsidRPr="00695F3D">
          <w:rPr>
            <w:rStyle w:val="Hyperlink"/>
            <w:rFonts w:ascii="Times New Roman" w:hAnsi="Times New Roman"/>
            <w:sz w:val="24"/>
            <w:szCs w:val="24"/>
          </w:rPr>
          <w:t>file:///C:/Users/lawre/AppData/Local/Temp/hb151_05_EN.pdf</w:t>
        </w:r>
      </w:hyperlink>
      <w:r>
        <w:rPr>
          <w:rFonts w:ascii="Times New Roman" w:hAnsi="Times New Roman"/>
          <w:sz w:val="24"/>
          <w:szCs w:val="24"/>
        </w:rPr>
        <w:t xml:space="preserve"> [page 20].</w:t>
      </w:r>
    </w:p>
    <w:p w14:paraId="79E8B821" w14:textId="77777777" w:rsidR="00663A6A" w:rsidRDefault="00663A6A" w:rsidP="00663A6A">
      <w:pPr>
        <w:rPr>
          <w:rFonts w:ascii="Times New Roman" w:hAnsi="Times New Roman"/>
          <w:b/>
          <w:bCs/>
          <w:sz w:val="24"/>
          <w:szCs w:val="24"/>
        </w:rPr>
      </w:pPr>
      <w:r w:rsidRPr="00304944">
        <w:rPr>
          <w:rFonts w:ascii="Times New Roman" w:hAnsi="Times New Roman"/>
          <w:b/>
          <w:bCs/>
          <w:sz w:val="24"/>
          <w:szCs w:val="24"/>
        </w:rPr>
        <w:t xml:space="preserve">Legal Lesson Learned: </w:t>
      </w:r>
      <w:r>
        <w:rPr>
          <w:rFonts w:ascii="Times New Roman" w:hAnsi="Times New Roman"/>
          <w:b/>
          <w:bCs/>
          <w:sz w:val="24"/>
          <w:szCs w:val="24"/>
        </w:rPr>
        <w:t xml:space="preserve">The new law will be helpful to many hospitals; Ohio EMS should keep their FD Medical Director informed of duties performed outside the ED. </w:t>
      </w:r>
    </w:p>
    <w:p w14:paraId="6FECD26E" w14:textId="77777777" w:rsidR="00663A6A" w:rsidRDefault="00663A6A" w:rsidP="00663A6A">
      <w:pPr>
        <w:ind w:left="720"/>
        <w:rPr>
          <w:rFonts w:ascii="Times New Roman" w:hAnsi="Times New Roman"/>
          <w:sz w:val="24"/>
          <w:szCs w:val="24"/>
        </w:rPr>
      </w:pPr>
      <w:r>
        <w:rPr>
          <w:rFonts w:ascii="Times New Roman" w:hAnsi="Times New Roman"/>
          <w:sz w:val="24"/>
          <w:szCs w:val="24"/>
        </w:rPr>
        <w:t xml:space="preserve">Note:  See memo from State Medical Director: </w:t>
      </w:r>
      <w:hyperlink r:id="rId2364" w:history="1">
        <w:r w:rsidRPr="00D74D0C">
          <w:rPr>
            <w:rStyle w:val="Hyperlink"/>
            <w:rFonts w:ascii="Times New Roman" w:hAnsi="Times New Roman"/>
            <w:sz w:val="24"/>
            <w:szCs w:val="24"/>
          </w:rPr>
          <w:t>https://www.ems.ohio.gov/links/COVID-19/Legislated%20COVID-19%20Contingency%20Measures%20for%20Ohio%20EMS.pdf</w:t>
        </w:r>
      </w:hyperlink>
      <w:r>
        <w:rPr>
          <w:rFonts w:ascii="Times New Roman" w:hAnsi="Times New Roman"/>
          <w:sz w:val="24"/>
          <w:szCs w:val="24"/>
        </w:rPr>
        <w:t xml:space="preserve"> </w:t>
      </w:r>
    </w:p>
    <w:p w14:paraId="6B51BD52" w14:textId="77777777" w:rsidR="00663A6A" w:rsidRDefault="00663A6A" w:rsidP="00663A6A">
      <w:pPr>
        <w:ind w:left="1440"/>
        <w:rPr>
          <w:rFonts w:ascii="Times New Roman" w:hAnsi="Times New Roman"/>
          <w:sz w:val="24"/>
          <w:szCs w:val="24"/>
        </w:rPr>
      </w:pPr>
      <w:r>
        <w:rPr>
          <w:rFonts w:ascii="Times New Roman" w:hAnsi="Times New Roman"/>
          <w:sz w:val="24"/>
          <w:szCs w:val="24"/>
        </w:rPr>
        <w:t>“</w:t>
      </w:r>
      <w:r w:rsidRPr="00881C45">
        <w:rPr>
          <w:rFonts w:ascii="Times New Roman" w:hAnsi="Times New Roman"/>
          <w:sz w:val="24"/>
          <w:szCs w:val="24"/>
        </w:rPr>
        <w:t xml:space="preserve">Typically, EMS medical directors and most emergency physicians are well versed in the parameters within the Ohio EMS scope of practice.  However, this may not be the case with other healthcare providers or physicians who specialize in other medical specialties.  Each Ohio EMS provider is responsible for their individual Ohio EMS certification and to ensure that their actions are within the authorized Ohio EMS scope of practice for their respective level of </w:t>
      </w:r>
      <w:r w:rsidRPr="00881C45">
        <w:rPr>
          <w:rFonts w:ascii="Times New Roman" w:hAnsi="Times New Roman"/>
          <w:sz w:val="24"/>
          <w:szCs w:val="24"/>
        </w:rPr>
        <w:lastRenderedPageBreak/>
        <w:t xml:space="preserve">certification.  </w:t>
      </w:r>
      <w:r w:rsidRPr="00881C45">
        <w:rPr>
          <w:rStyle w:val="Strong"/>
          <w:rFonts w:ascii="Times New Roman" w:hAnsi="Times New Roman"/>
          <w:sz w:val="24"/>
          <w:szCs w:val="24"/>
        </w:rPr>
        <w:t>If any healthcare provider requests the provision of emergency medical services that are beyond the Ohio EMS scope of practice, it is the responsibility of the Ohio EMS provider to decline to perform skills or provide services that are not authorized by the State Board of Emergency Medical, Fire, and Transportation Services.</w:t>
      </w:r>
      <w:r>
        <w:rPr>
          <w:rFonts w:ascii="Times New Roman" w:hAnsi="Times New Roman"/>
          <w:sz w:val="24"/>
          <w:szCs w:val="24"/>
        </w:rPr>
        <w:t>” [Emphasis in original.]</w:t>
      </w:r>
    </w:p>
    <w:p w14:paraId="59B53D66" w14:textId="77777777" w:rsidR="00663A6A" w:rsidRDefault="00663A6A" w:rsidP="002B1283">
      <w:pPr>
        <w:rPr>
          <w:rFonts w:ascii="Arial Black" w:hAnsi="Arial Black"/>
          <w:b/>
          <w:bCs/>
          <w:sz w:val="28"/>
          <w:szCs w:val="28"/>
        </w:rPr>
      </w:pPr>
    </w:p>
    <w:p w14:paraId="5F291CDD" w14:textId="77777777" w:rsidR="00663A6A" w:rsidRDefault="00663A6A" w:rsidP="002B1283">
      <w:pPr>
        <w:rPr>
          <w:rFonts w:ascii="Arial Black" w:hAnsi="Arial Black"/>
          <w:b/>
          <w:bCs/>
          <w:sz w:val="28"/>
          <w:szCs w:val="28"/>
        </w:rPr>
      </w:pPr>
    </w:p>
    <w:p w14:paraId="793864CE" w14:textId="56DC5EAE" w:rsidR="00663A6A" w:rsidRDefault="00663A6A" w:rsidP="002B1283">
      <w:pPr>
        <w:rPr>
          <w:rFonts w:ascii="Arial Black" w:hAnsi="Arial Black"/>
          <w:b/>
          <w:bCs/>
          <w:sz w:val="28"/>
          <w:szCs w:val="28"/>
        </w:rPr>
      </w:pPr>
      <w:r>
        <w:rPr>
          <w:rFonts w:ascii="Arial Black" w:hAnsi="Arial Black"/>
          <w:b/>
          <w:bCs/>
          <w:sz w:val="28"/>
          <w:szCs w:val="28"/>
        </w:rPr>
        <w:t>13-69</w:t>
      </w:r>
    </w:p>
    <w:p w14:paraId="53486EDD" w14:textId="77777777" w:rsidR="00663A6A" w:rsidRDefault="00663A6A" w:rsidP="00663A6A">
      <w:pPr>
        <w:pStyle w:val="NoSpacing"/>
        <w:rPr>
          <w:rFonts w:ascii="Arial Black" w:hAnsi="Arial Black"/>
          <w:sz w:val="28"/>
          <w:szCs w:val="28"/>
        </w:rPr>
      </w:pPr>
      <w:r>
        <w:rPr>
          <w:rFonts w:ascii="Arial Black" w:hAnsi="Arial Black"/>
          <w:sz w:val="28"/>
          <w:szCs w:val="28"/>
        </w:rPr>
        <w:t>NY: PLAINTIFF PASSED OUT AT CONCERT – REFUSES EMS HELP – ORIENTED TIMES 3 - FALLS ON HIS FACE – CASE DISMISSED</w:t>
      </w:r>
    </w:p>
    <w:p w14:paraId="1CD1F2D9" w14:textId="77777777" w:rsidR="00663A6A" w:rsidRDefault="00663A6A" w:rsidP="00663A6A">
      <w:pPr>
        <w:pStyle w:val="NoSpacing"/>
        <w:rPr>
          <w:rFonts w:ascii="Arial Black" w:hAnsi="Arial Black"/>
          <w:sz w:val="28"/>
          <w:szCs w:val="28"/>
        </w:rPr>
      </w:pPr>
    </w:p>
    <w:p w14:paraId="3D5E2B26" w14:textId="77777777" w:rsidR="00663A6A" w:rsidRDefault="00663A6A" w:rsidP="00663A6A">
      <w:pPr>
        <w:pStyle w:val="NoSpacing"/>
        <w:rPr>
          <w:rFonts w:ascii="Times New Roman" w:hAnsi="Times New Roman"/>
          <w:sz w:val="24"/>
          <w:szCs w:val="24"/>
        </w:rPr>
      </w:pPr>
      <w:r>
        <w:rPr>
          <w:rFonts w:ascii="Times New Roman" w:hAnsi="Times New Roman"/>
          <w:sz w:val="24"/>
          <w:szCs w:val="24"/>
        </w:rPr>
        <w:t xml:space="preserve">On Nov. 19, 2020, in </w:t>
      </w:r>
      <w:r w:rsidRPr="00DF070F">
        <w:rPr>
          <w:rFonts w:ascii="Times New Roman" w:hAnsi="Times New Roman"/>
          <w:sz w:val="24"/>
          <w:szCs w:val="24"/>
          <w:u w:val="single"/>
        </w:rPr>
        <w:t>Anthony Fornabaio, et a. v. Beacon Broadway Company, Inc.</w:t>
      </w:r>
      <w:r>
        <w:rPr>
          <w:rFonts w:ascii="Times New Roman" w:hAnsi="Times New Roman"/>
          <w:sz w:val="24"/>
          <w:szCs w:val="24"/>
          <w:u w:val="single"/>
        </w:rPr>
        <w:t xml:space="preserve">; </w:t>
      </w:r>
      <w:proofErr w:type="spellStart"/>
      <w:r>
        <w:rPr>
          <w:rFonts w:ascii="Times New Roman" w:hAnsi="Times New Roman"/>
          <w:sz w:val="24"/>
          <w:szCs w:val="24"/>
          <w:u w:val="single"/>
        </w:rPr>
        <w:t>Transcare</w:t>
      </w:r>
      <w:proofErr w:type="spellEnd"/>
      <w:r>
        <w:rPr>
          <w:rFonts w:ascii="Times New Roman" w:hAnsi="Times New Roman"/>
          <w:sz w:val="24"/>
          <w:szCs w:val="24"/>
          <w:u w:val="single"/>
        </w:rPr>
        <w:t xml:space="preserve"> Corporation,</w:t>
      </w:r>
      <w:r w:rsidRPr="00DF070F">
        <w:rPr>
          <w:rFonts w:ascii="Times New Roman" w:hAnsi="Times New Roman"/>
          <w:sz w:val="24"/>
          <w:szCs w:val="24"/>
          <w:u w:val="single"/>
        </w:rPr>
        <w:t xml:space="preserve"> et al</w:t>
      </w:r>
      <w:r>
        <w:rPr>
          <w:rFonts w:ascii="Times New Roman" w:hAnsi="Times New Roman"/>
          <w:sz w:val="24"/>
          <w:szCs w:val="24"/>
        </w:rPr>
        <w:t xml:space="preserve">., the Appellate Division of the Supreme Court of New York, held (3 to 0) that when a competent adult  patient refuses EMS help, his lawsuit against the concert provider and </w:t>
      </w:r>
      <w:proofErr w:type="spellStart"/>
      <w:r>
        <w:rPr>
          <w:rFonts w:ascii="Times New Roman" w:hAnsi="Times New Roman"/>
          <w:sz w:val="24"/>
          <w:szCs w:val="24"/>
        </w:rPr>
        <w:t>Transcare</w:t>
      </w:r>
      <w:proofErr w:type="spellEnd"/>
      <w:r>
        <w:rPr>
          <w:rFonts w:ascii="Times New Roman" w:hAnsi="Times New Roman"/>
          <w:sz w:val="24"/>
          <w:szCs w:val="24"/>
        </w:rPr>
        <w:t>, the EMS provider should be dismissed.</w:t>
      </w:r>
    </w:p>
    <w:p w14:paraId="60AA331C" w14:textId="77777777" w:rsidR="00663A6A" w:rsidRPr="00765480" w:rsidRDefault="00663A6A" w:rsidP="00663A6A">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w:t>
      </w:r>
      <w:r w:rsidRPr="00765480">
        <w:rPr>
          <w:rFonts w:ascii="Times New Roman" w:hAnsi="Times New Roman"/>
          <w:sz w:val="24"/>
          <w:szCs w:val="24"/>
        </w:rPr>
        <w:t xml:space="preserve">Any duty Beacon or </w:t>
      </w:r>
      <w:proofErr w:type="spellStart"/>
      <w:r w:rsidRPr="00765480">
        <w:rPr>
          <w:rFonts w:ascii="Times New Roman" w:hAnsi="Times New Roman"/>
          <w:sz w:val="24"/>
          <w:szCs w:val="24"/>
        </w:rPr>
        <w:t>Transcare</w:t>
      </w:r>
      <w:proofErr w:type="spellEnd"/>
      <w:r w:rsidRPr="00765480">
        <w:rPr>
          <w:rFonts w:ascii="Times New Roman" w:hAnsi="Times New Roman"/>
          <w:sz w:val="24"/>
          <w:szCs w:val="24"/>
        </w:rPr>
        <w:t xml:space="preserve"> owed to plaintiff to assist him in exiting the theater terminated when he refused such assistance. It is well settled that a competent adult has the right to determine the course of his or her own medical treatment, including declining treatment </w:t>
      </w:r>
      <w:r w:rsidRPr="00765480">
        <w:rPr>
          <w:rFonts w:ascii="Times New Roman" w:hAnsi="Times New Roman"/>
          <w:i/>
          <w:iCs/>
          <w:sz w:val="24"/>
          <w:szCs w:val="24"/>
        </w:rPr>
        <w:t>(Matter of Fosmire v Nicoleau</w:t>
      </w:r>
      <w:r w:rsidRPr="00765480">
        <w:rPr>
          <w:rFonts w:ascii="Times New Roman" w:hAnsi="Times New Roman"/>
          <w:sz w:val="24"/>
          <w:szCs w:val="24"/>
        </w:rPr>
        <w:t xml:space="preserve">, 75 NY2d 218, 226 [1990]). Plaintiff does not dispute that he refused assistance in standing or ambulating. Further, the testimony was that the EMT technician assessed plaintiff as alert and oriented as he left his seat to exit the theater. Given this, the complaint should have been dismissed in its entirety as to defendants Beacon and </w:t>
      </w:r>
      <w:proofErr w:type="spellStart"/>
      <w:r w:rsidRPr="00765480">
        <w:rPr>
          <w:rFonts w:ascii="Times New Roman" w:hAnsi="Times New Roman"/>
          <w:sz w:val="24"/>
          <w:szCs w:val="24"/>
        </w:rPr>
        <w:t>Transcare</w:t>
      </w:r>
      <w:proofErr w:type="spellEnd"/>
      <w:r w:rsidRPr="00765480">
        <w:rPr>
          <w:rFonts w:ascii="Times New Roman" w:hAnsi="Times New Roman"/>
          <w:sz w:val="24"/>
          <w:szCs w:val="24"/>
        </w:rPr>
        <w:t xml:space="preserve"> (</w:t>
      </w:r>
      <w:r w:rsidRPr="00765480">
        <w:rPr>
          <w:rFonts w:ascii="Times New Roman" w:hAnsi="Times New Roman"/>
          <w:i/>
          <w:iCs/>
          <w:sz w:val="24"/>
          <w:szCs w:val="24"/>
        </w:rPr>
        <w:t>see Branda v MV Pub</w:t>
      </w:r>
      <w:r w:rsidRPr="00765480">
        <w:rPr>
          <w:rFonts w:ascii="Times New Roman" w:hAnsi="Times New Roman"/>
          <w:sz w:val="24"/>
          <w:szCs w:val="24"/>
        </w:rPr>
        <w:t xml:space="preserve">. </w:t>
      </w:r>
      <w:r w:rsidRPr="00765480">
        <w:rPr>
          <w:rFonts w:ascii="Times New Roman" w:hAnsi="Times New Roman"/>
          <w:i/>
          <w:iCs/>
          <w:sz w:val="24"/>
          <w:szCs w:val="24"/>
        </w:rPr>
        <w:t>Transp</w:t>
      </w:r>
      <w:r w:rsidRPr="00765480">
        <w:rPr>
          <w:rFonts w:ascii="Times New Roman" w:hAnsi="Times New Roman"/>
          <w:sz w:val="24"/>
          <w:szCs w:val="24"/>
        </w:rPr>
        <w:t xml:space="preserve">., </w:t>
      </w:r>
      <w:r w:rsidRPr="00765480">
        <w:rPr>
          <w:rFonts w:ascii="Times New Roman" w:hAnsi="Times New Roman"/>
          <w:i/>
          <w:iCs/>
          <w:sz w:val="24"/>
          <w:szCs w:val="24"/>
        </w:rPr>
        <w:t>Inc</w:t>
      </w:r>
      <w:r w:rsidRPr="00765480">
        <w:rPr>
          <w:rFonts w:ascii="Times New Roman" w:hAnsi="Times New Roman"/>
          <w:sz w:val="24"/>
          <w:szCs w:val="24"/>
        </w:rPr>
        <w:t>., 139 AD3d 636, 637 [1</w:t>
      </w:r>
      <w:r w:rsidRPr="00753DA9">
        <w:rPr>
          <w:rFonts w:ascii="Times New Roman" w:hAnsi="Times New Roman"/>
          <w:sz w:val="24"/>
          <w:szCs w:val="24"/>
          <w:vertAlign w:val="superscript"/>
        </w:rPr>
        <w:t>st</w:t>
      </w:r>
      <w:r w:rsidRPr="00765480">
        <w:rPr>
          <w:rFonts w:ascii="Times New Roman" w:hAnsi="Times New Roman"/>
          <w:sz w:val="24"/>
          <w:szCs w:val="24"/>
        </w:rPr>
        <w:t xml:space="preserve"> Dept 2016]).</w:t>
      </w:r>
      <w:r>
        <w:rPr>
          <w:rFonts w:ascii="Times New Roman" w:hAnsi="Times New Roman"/>
          <w:sz w:val="24"/>
          <w:szCs w:val="24"/>
        </w:rPr>
        <w:t xml:space="preserve">”  </w:t>
      </w:r>
      <w:hyperlink r:id="rId2365" w:history="1">
        <w:r w:rsidRPr="00D35A04">
          <w:rPr>
            <w:rStyle w:val="Hyperlink"/>
            <w:rFonts w:ascii="Times New Roman" w:hAnsi="Times New Roman"/>
            <w:sz w:val="24"/>
            <w:szCs w:val="24"/>
          </w:rPr>
          <w:t>https://public.fastcase.com/Wl%2B2t%2BeVuI35%2FN70vAMFZkrYpDR4hQ33Ax6oS1aJkCwq%2BUGCyTcW0uJ1XV2sRjwT</w:t>
        </w:r>
      </w:hyperlink>
      <w:r>
        <w:rPr>
          <w:rFonts w:ascii="Times New Roman" w:hAnsi="Times New Roman"/>
          <w:sz w:val="24"/>
          <w:szCs w:val="24"/>
        </w:rPr>
        <w:t xml:space="preserve"> </w:t>
      </w:r>
    </w:p>
    <w:p w14:paraId="736C0107" w14:textId="77777777" w:rsidR="00663A6A" w:rsidRPr="00765480" w:rsidRDefault="00663A6A" w:rsidP="00663A6A">
      <w:pPr>
        <w:pStyle w:val="NoSpacing"/>
        <w:rPr>
          <w:rFonts w:ascii="Times New Roman" w:hAnsi="Times New Roman"/>
          <w:b/>
          <w:bCs/>
          <w:sz w:val="24"/>
          <w:szCs w:val="24"/>
        </w:rPr>
      </w:pPr>
      <w:r w:rsidRPr="00765480">
        <w:rPr>
          <w:rFonts w:ascii="Times New Roman" w:hAnsi="Times New Roman"/>
          <w:b/>
          <w:bCs/>
          <w:sz w:val="24"/>
          <w:szCs w:val="24"/>
        </w:rPr>
        <w:t>Legal Lesson Learned:</w:t>
      </w:r>
      <w:r>
        <w:rPr>
          <w:rFonts w:ascii="Times New Roman" w:hAnsi="Times New Roman"/>
          <w:b/>
          <w:bCs/>
          <w:sz w:val="24"/>
          <w:szCs w:val="24"/>
        </w:rPr>
        <w:t xml:space="preserve">  Key facts – person was “alert” and “oriented times three” – led to dismissal of this case. </w:t>
      </w:r>
    </w:p>
    <w:p w14:paraId="1D3787DF" w14:textId="76643925" w:rsidR="00663A6A" w:rsidRDefault="00663A6A" w:rsidP="002B1283">
      <w:pPr>
        <w:rPr>
          <w:rFonts w:ascii="Arial Black" w:hAnsi="Arial Black"/>
          <w:b/>
          <w:bCs/>
          <w:sz w:val="28"/>
          <w:szCs w:val="28"/>
        </w:rPr>
      </w:pPr>
    </w:p>
    <w:p w14:paraId="7DF1370D" w14:textId="77777777" w:rsidR="00663A6A" w:rsidRDefault="00663A6A" w:rsidP="002B1283">
      <w:pPr>
        <w:rPr>
          <w:rFonts w:ascii="Arial Black" w:hAnsi="Arial Black"/>
          <w:b/>
          <w:bCs/>
          <w:sz w:val="28"/>
          <w:szCs w:val="28"/>
        </w:rPr>
      </w:pPr>
    </w:p>
    <w:p w14:paraId="67C87D3D" w14:textId="3A3A7E95" w:rsidR="00663A6A" w:rsidRDefault="00663A6A" w:rsidP="002B1283">
      <w:pPr>
        <w:rPr>
          <w:rFonts w:ascii="Arial Black" w:hAnsi="Arial Black"/>
          <w:b/>
          <w:bCs/>
          <w:sz w:val="28"/>
          <w:szCs w:val="28"/>
        </w:rPr>
      </w:pPr>
      <w:r>
        <w:rPr>
          <w:rFonts w:ascii="Arial Black" w:hAnsi="Arial Black"/>
          <w:b/>
          <w:bCs/>
          <w:sz w:val="28"/>
          <w:szCs w:val="28"/>
        </w:rPr>
        <w:t>13-68</w:t>
      </w:r>
    </w:p>
    <w:p w14:paraId="1A355046" w14:textId="77777777" w:rsidR="00663A6A" w:rsidRPr="005166FA" w:rsidRDefault="00663A6A" w:rsidP="00663A6A">
      <w:pPr>
        <w:pStyle w:val="NoSpacing"/>
        <w:rPr>
          <w:rFonts w:ascii="Arial Black" w:hAnsi="Arial Black"/>
          <w:sz w:val="28"/>
          <w:szCs w:val="28"/>
        </w:rPr>
      </w:pPr>
      <w:r>
        <w:rPr>
          <w:rFonts w:ascii="Arial Black" w:hAnsi="Arial Black"/>
          <w:sz w:val="28"/>
          <w:szCs w:val="28"/>
        </w:rPr>
        <w:t>MA: “EXCITED UTERANCE” - EMT ALLOWED TO TESTIFY IN CRIMINAL CASE ABOUT VICTIM’S COMMENTS IN AMBULANCE</w:t>
      </w:r>
    </w:p>
    <w:p w14:paraId="0A555909" w14:textId="77777777" w:rsidR="00663A6A" w:rsidRDefault="00663A6A" w:rsidP="00663A6A">
      <w:pPr>
        <w:spacing w:before="100" w:beforeAutospacing="1" w:after="100" w:afterAutospacing="1" w:line="240" w:lineRule="auto"/>
        <w:rPr>
          <w:rFonts w:ascii="Times New Roman" w:hAnsi="Times New Roman"/>
          <w:sz w:val="24"/>
          <w:szCs w:val="24"/>
        </w:rPr>
      </w:pPr>
      <w:r w:rsidRPr="005166FA">
        <w:rPr>
          <w:rFonts w:ascii="Times New Roman" w:eastAsia="Times New Roman" w:hAnsi="Times New Roman"/>
          <w:sz w:val="24"/>
          <w:szCs w:val="24"/>
        </w:rPr>
        <w:t xml:space="preserve">On </w:t>
      </w:r>
      <w:r>
        <w:rPr>
          <w:rFonts w:ascii="Times New Roman" w:eastAsia="Times New Roman" w:hAnsi="Times New Roman"/>
          <w:sz w:val="24"/>
          <w:szCs w:val="24"/>
        </w:rPr>
        <w:t xml:space="preserve">Oct. 29, 2020, in </w:t>
      </w:r>
      <w:r w:rsidRPr="005166FA">
        <w:rPr>
          <w:rFonts w:ascii="Times New Roman" w:eastAsia="Times New Roman" w:hAnsi="Times New Roman"/>
          <w:sz w:val="24"/>
          <w:szCs w:val="24"/>
          <w:u w:val="single"/>
        </w:rPr>
        <w:t>Commonwealth v. Antonio Marrero-Mipanda</w:t>
      </w:r>
      <w:r>
        <w:rPr>
          <w:rFonts w:ascii="Times New Roman" w:eastAsia="Times New Roman" w:hAnsi="Times New Roman"/>
          <w:sz w:val="24"/>
          <w:szCs w:val="24"/>
        </w:rPr>
        <w:t xml:space="preserve">, the Commonwealth of Massachusetts Appeals Court, held that the trial court properly allowed the EMT to testify at the defendant’s trial, along with the victim. Defendant’s conviction by jury was affirmed for </w:t>
      </w:r>
      <w:r w:rsidRPr="00F476E6">
        <w:rPr>
          <w:rFonts w:ascii="Times New Roman" w:hAnsi="Times New Roman"/>
          <w:sz w:val="24"/>
          <w:szCs w:val="24"/>
        </w:rPr>
        <w:t>assault with intent to rape and indecent assault and battery on a person fourteen years of age or older</w:t>
      </w:r>
      <w:r>
        <w:rPr>
          <w:rFonts w:ascii="Times New Roman" w:hAnsi="Times New Roman"/>
          <w:sz w:val="24"/>
          <w:szCs w:val="24"/>
        </w:rPr>
        <w:t xml:space="preserve">. </w:t>
      </w:r>
    </w:p>
    <w:p w14:paraId="07456C50" w14:textId="77777777" w:rsidR="00663A6A" w:rsidRDefault="00663A6A" w:rsidP="00663A6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lastRenderedPageBreak/>
        <w:t>“</w:t>
      </w:r>
      <w:r w:rsidRPr="005166FA">
        <w:rPr>
          <w:rFonts w:ascii="Times New Roman" w:eastAsia="Times New Roman" w:hAnsi="Times New Roman"/>
          <w:sz w:val="24"/>
          <w:szCs w:val="24"/>
        </w:rPr>
        <w:t xml:space="preserve">Under the excited utterance (or spontaneous utterance) exception to the rule against hearsay, </w:t>
      </w:r>
      <w:r>
        <w:rPr>
          <w:rFonts w:ascii="Times New Roman" w:eastAsia="Times New Roman" w:hAnsi="Times New Roman"/>
          <w:sz w:val="24"/>
          <w:szCs w:val="24"/>
        </w:rPr>
        <w:t>‘</w:t>
      </w:r>
      <w:r w:rsidRPr="005166FA">
        <w:rPr>
          <w:rFonts w:ascii="Times New Roman" w:eastAsia="Times New Roman" w:hAnsi="Times New Roman"/>
          <w:sz w:val="24"/>
          <w:szCs w:val="24"/>
        </w:rPr>
        <w:t>[a] spontaneous utterance will be admitted in evidence if (1) there is an occurrence or event 'sufficiently startling to render inoperative the normal reflective thought processes of the observer,' and (2) if the declarant's statement was a 'spontaneous reaction to the occurrence or event and not</w:t>
      </w:r>
      <w:r>
        <w:rPr>
          <w:rFonts w:ascii="Times New Roman" w:eastAsia="Times New Roman" w:hAnsi="Times New Roman"/>
          <w:sz w:val="24"/>
          <w:szCs w:val="24"/>
        </w:rPr>
        <w:t xml:space="preserve"> </w:t>
      </w:r>
      <w:r w:rsidRPr="005166FA">
        <w:rPr>
          <w:rFonts w:ascii="Times New Roman" w:eastAsia="Times New Roman" w:hAnsi="Times New Roman"/>
          <w:sz w:val="24"/>
          <w:szCs w:val="24"/>
        </w:rPr>
        <w:t xml:space="preserve">the result of reflective thought' (citation omitted). </w:t>
      </w:r>
      <w:r w:rsidRPr="005166FA">
        <w:rPr>
          <w:rFonts w:ascii="Times New Roman" w:eastAsia="Times New Roman" w:hAnsi="Times New Roman"/>
          <w:sz w:val="24"/>
          <w:szCs w:val="24"/>
          <w:u w:val="single"/>
        </w:rPr>
        <w:t>Commonwealth</w:t>
      </w:r>
      <w:r w:rsidRPr="005166FA">
        <w:rPr>
          <w:rFonts w:ascii="Times New Roman" w:eastAsia="Times New Roman" w:hAnsi="Times New Roman"/>
          <w:sz w:val="24"/>
          <w:szCs w:val="24"/>
        </w:rPr>
        <w:t xml:space="preserve"> v. </w:t>
      </w:r>
      <w:r w:rsidRPr="005166FA">
        <w:rPr>
          <w:rFonts w:ascii="Times New Roman" w:eastAsia="Times New Roman" w:hAnsi="Times New Roman"/>
          <w:sz w:val="24"/>
          <w:szCs w:val="24"/>
          <w:u w:val="single"/>
        </w:rPr>
        <w:t>Santiago</w:t>
      </w:r>
      <w:r w:rsidRPr="005166FA">
        <w:rPr>
          <w:rFonts w:ascii="Times New Roman" w:eastAsia="Times New Roman" w:hAnsi="Times New Roman"/>
          <w:sz w:val="24"/>
          <w:szCs w:val="24"/>
        </w:rPr>
        <w:t>, 437 Mass. 620, 623 (2002).</w:t>
      </w:r>
    </w:p>
    <w:p w14:paraId="0D58FBD4" w14:textId="77777777" w:rsidR="00663A6A" w:rsidRDefault="00663A6A" w:rsidP="00663A6A">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29C1A16D" w14:textId="77777777" w:rsidR="00663A6A" w:rsidRPr="00F476E6" w:rsidRDefault="00663A6A" w:rsidP="00663A6A">
      <w:pPr>
        <w:spacing w:before="100" w:beforeAutospacing="1" w:after="100" w:afterAutospacing="1" w:line="240" w:lineRule="auto"/>
        <w:ind w:left="720"/>
        <w:rPr>
          <w:rFonts w:ascii="Times New Roman" w:eastAsia="Times New Roman" w:hAnsi="Times New Roman"/>
          <w:sz w:val="24"/>
          <w:szCs w:val="24"/>
        </w:rPr>
      </w:pPr>
      <w:r w:rsidRPr="00F476E6">
        <w:rPr>
          <w:rFonts w:ascii="Times New Roman" w:eastAsia="Times New Roman" w:hAnsi="Times New Roman"/>
          <w:sz w:val="24"/>
          <w:szCs w:val="24"/>
        </w:rPr>
        <w:t>Here, we have no difficulty concluding that the primary purpose of the victim's statement to the EMT was to assist the</w:t>
      </w:r>
      <w:r>
        <w:rPr>
          <w:rFonts w:ascii="Times New Roman" w:eastAsia="Times New Roman" w:hAnsi="Times New Roman"/>
          <w:sz w:val="24"/>
          <w:szCs w:val="24"/>
        </w:rPr>
        <w:t xml:space="preserve"> </w:t>
      </w:r>
      <w:r w:rsidRPr="00F476E6">
        <w:rPr>
          <w:rFonts w:ascii="Times New Roman" w:eastAsia="Times New Roman" w:hAnsi="Times New Roman"/>
          <w:sz w:val="24"/>
          <w:szCs w:val="24"/>
        </w:rPr>
        <w:t xml:space="preserve">EMT in assessing the victim's need for medical care. Each of the three parts of the victim's statement -- that she had been </w:t>
      </w:r>
      <w:r>
        <w:rPr>
          <w:rFonts w:ascii="Times New Roman" w:eastAsia="Times New Roman" w:hAnsi="Times New Roman"/>
          <w:sz w:val="24"/>
          <w:szCs w:val="24"/>
        </w:rPr>
        <w:t>‘</w:t>
      </w:r>
      <w:r w:rsidRPr="00F476E6">
        <w:rPr>
          <w:rFonts w:ascii="Times New Roman" w:eastAsia="Times New Roman" w:hAnsi="Times New Roman"/>
          <w:sz w:val="24"/>
          <w:szCs w:val="24"/>
        </w:rPr>
        <w:t>forced up against a wall,</w:t>
      </w:r>
      <w:r>
        <w:rPr>
          <w:rFonts w:ascii="Times New Roman" w:eastAsia="Times New Roman" w:hAnsi="Times New Roman"/>
          <w:sz w:val="24"/>
          <w:szCs w:val="24"/>
        </w:rPr>
        <w:t>’</w:t>
      </w:r>
      <w:r w:rsidRPr="00F476E6">
        <w:rPr>
          <w:rFonts w:ascii="Times New Roman" w:eastAsia="Times New Roman" w:hAnsi="Times New Roman"/>
          <w:sz w:val="24"/>
          <w:szCs w:val="24"/>
        </w:rPr>
        <w:t xml:space="preserve"> </w:t>
      </w:r>
      <w:r>
        <w:rPr>
          <w:rFonts w:ascii="Times New Roman" w:eastAsia="Times New Roman" w:hAnsi="Times New Roman"/>
          <w:sz w:val="24"/>
          <w:szCs w:val="24"/>
        </w:rPr>
        <w:t>‘</w:t>
      </w:r>
      <w:r w:rsidRPr="00F476E6">
        <w:rPr>
          <w:rFonts w:ascii="Times New Roman" w:eastAsia="Times New Roman" w:hAnsi="Times New Roman"/>
          <w:sz w:val="24"/>
          <w:szCs w:val="24"/>
        </w:rPr>
        <w:t>thrown to the ground,</w:t>
      </w:r>
      <w:r>
        <w:rPr>
          <w:rFonts w:ascii="Times New Roman" w:eastAsia="Times New Roman" w:hAnsi="Times New Roman"/>
          <w:sz w:val="24"/>
          <w:szCs w:val="24"/>
        </w:rPr>
        <w:t>’</w:t>
      </w:r>
      <w:r w:rsidRPr="00F476E6">
        <w:rPr>
          <w:rFonts w:ascii="Times New Roman" w:eastAsia="Times New Roman" w:hAnsi="Times New Roman"/>
          <w:sz w:val="24"/>
          <w:szCs w:val="24"/>
        </w:rPr>
        <w:t xml:space="preserve"> and </w:t>
      </w:r>
      <w:r>
        <w:rPr>
          <w:rFonts w:ascii="Times New Roman" w:eastAsia="Times New Roman" w:hAnsi="Times New Roman"/>
          <w:sz w:val="24"/>
          <w:szCs w:val="24"/>
        </w:rPr>
        <w:t>‘</w:t>
      </w:r>
      <w:r w:rsidRPr="00F476E6">
        <w:rPr>
          <w:rFonts w:ascii="Times New Roman" w:eastAsia="Times New Roman" w:hAnsi="Times New Roman"/>
          <w:sz w:val="24"/>
          <w:szCs w:val="24"/>
        </w:rPr>
        <w:t>the male's fingers penetrated her vagina</w:t>
      </w:r>
      <w:r>
        <w:rPr>
          <w:rFonts w:ascii="Times New Roman" w:eastAsia="Times New Roman" w:hAnsi="Times New Roman"/>
          <w:sz w:val="24"/>
          <w:szCs w:val="24"/>
        </w:rPr>
        <w:t>’</w:t>
      </w:r>
      <w:r w:rsidRPr="00F476E6">
        <w:rPr>
          <w:rFonts w:ascii="Times New Roman" w:eastAsia="Times New Roman" w:hAnsi="Times New Roman"/>
          <w:sz w:val="24"/>
          <w:szCs w:val="24"/>
        </w:rPr>
        <w:t xml:space="preserve"> -- described the application of force to her body in a manner that could have resulted in a need for medical treatment. That the victim herself had not reported or shown signs of vaginal pain or discomfort was beside the point. The EMT asked an open-ended question for the purpose of evaluating what the victim's medical needs might be, and the victim's answer was directly responsive to that question. That the victim might have observed the police handcuffing the defendant and placing him in a cruiser, and that she made the statement to the EMT while the police were still on the scene, did not require the conclusion that she made the statement for the primary purpose of creating an out-of-court substitute for trial testimony, or of otherwise aiding a police investigation</w:t>
      </w:r>
      <w:r>
        <w:rPr>
          <w:rFonts w:ascii="Times New Roman" w:eastAsia="Times New Roman" w:hAnsi="Times New Roman"/>
          <w:sz w:val="24"/>
          <w:szCs w:val="24"/>
        </w:rPr>
        <w:t xml:space="preserve">.” </w:t>
      </w:r>
      <w:hyperlink r:id="rId2366" w:history="1">
        <w:r w:rsidRPr="00BA14DC">
          <w:rPr>
            <w:rStyle w:val="Hyperlink"/>
            <w:rFonts w:ascii="Times New Roman" w:hAnsi="Times New Roman"/>
            <w:sz w:val="24"/>
            <w:szCs w:val="24"/>
          </w:rPr>
          <w:t>file:///C:/Users/lawre/AppData/Local/Temp/19P0716.pdf</w:t>
        </w:r>
      </w:hyperlink>
      <w:r>
        <w:rPr>
          <w:rFonts w:ascii="Times New Roman" w:eastAsia="Times New Roman" w:hAnsi="Times New Roman"/>
          <w:sz w:val="24"/>
          <w:szCs w:val="24"/>
        </w:rPr>
        <w:t xml:space="preserve"> </w:t>
      </w:r>
    </w:p>
    <w:p w14:paraId="7116FEAE" w14:textId="15E8FCA3" w:rsidR="00663A6A" w:rsidRDefault="00663A6A" w:rsidP="002B1283">
      <w:pPr>
        <w:rPr>
          <w:rFonts w:ascii="Arial Black" w:hAnsi="Arial Black"/>
          <w:b/>
          <w:bCs/>
          <w:sz w:val="28"/>
          <w:szCs w:val="28"/>
        </w:rPr>
      </w:pPr>
      <w:r w:rsidRPr="00F365E9">
        <w:rPr>
          <w:rFonts w:ascii="Times New Roman" w:eastAsia="Times New Roman" w:hAnsi="Times New Roman"/>
          <w:b/>
          <w:bCs/>
          <w:sz w:val="24"/>
          <w:szCs w:val="24"/>
        </w:rPr>
        <w:t>Legal Lesson Learned</w:t>
      </w:r>
      <w:r>
        <w:rPr>
          <w:rFonts w:ascii="Times New Roman" w:eastAsia="Times New Roman" w:hAnsi="Times New Roman"/>
          <w:b/>
          <w:bCs/>
          <w:sz w:val="24"/>
          <w:szCs w:val="24"/>
        </w:rPr>
        <w:t>: “Excited utterances” are admissible in trial; EMS should document on the EMS report the victim’s comments.</w:t>
      </w:r>
    </w:p>
    <w:p w14:paraId="7B514712" w14:textId="77777777" w:rsidR="00663A6A" w:rsidRDefault="00663A6A" w:rsidP="002B1283">
      <w:pPr>
        <w:rPr>
          <w:rFonts w:ascii="Arial Black" w:hAnsi="Arial Black"/>
          <w:b/>
          <w:bCs/>
          <w:sz w:val="28"/>
          <w:szCs w:val="28"/>
        </w:rPr>
      </w:pPr>
    </w:p>
    <w:p w14:paraId="1E1C6FC2" w14:textId="11797384" w:rsidR="00102FD0" w:rsidRDefault="00102FD0" w:rsidP="002B1283">
      <w:pPr>
        <w:rPr>
          <w:rFonts w:ascii="Arial Black" w:hAnsi="Arial Black"/>
          <w:b/>
          <w:bCs/>
          <w:sz w:val="28"/>
          <w:szCs w:val="28"/>
        </w:rPr>
      </w:pPr>
      <w:r>
        <w:rPr>
          <w:rFonts w:ascii="Arial Black" w:hAnsi="Arial Black"/>
          <w:b/>
          <w:bCs/>
          <w:sz w:val="28"/>
          <w:szCs w:val="28"/>
        </w:rPr>
        <w:t>13-67</w:t>
      </w:r>
    </w:p>
    <w:p w14:paraId="48223C97" w14:textId="77777777" w:rsidR="00102FD0" w:rsidRDefault="00102FD0" w:rsidP="00102FD0">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ET TUBE IN ESOPHAGUS – PATIENT MONITORED DURING TRANSPORT, BUT NO PULSE OX – CASE DISMISSED</w:t>
      </w:r>
    </w:p>
    <w:p w14:paraId="647B577A" w14:textId="77777777" w:rsidR="00102FD0" w:rsidRDefault="00102FD0" w:rsidP="00102FD0">
      <w:pPr>
        <w:pStyle w:val="NoSpacing"/>
        <w:rPr>
          <w:rFonts w:ascii="Times New Roman" w:hAnsi="Times New Roman"/>
          <w:sz w:val="24"/>
          <w:szCs w:val="24"/>
        </w:rPr>
      </w:pPr>
      <w:r>
        <w:rPr>
          <w:rFonts w:ascii="Times New Roman" w:hAnsi="Times New Roman"/>
          <w:sz w:val="24"/>
          <w:szCs w:val="24"/>
        </w:rPr>
        <w:t xml:space="preserve">On Oct. 26, 2020, in Sally Grant, as </w:t>
      </w:r>
      <w:r w:rsidRPr="000A1B69">
        <w:rPr>
          <w:rFonts w:ascii="Times New Roman" w:hAnsi="Times New Roman"/>
          <w:sz w:val="24"/>
          <w:szCs w:val="24"/>
          <w:u w:val="single"/>
        </w:rPr>
        <w:t>Administrator of the Estate of Amanda Gary v. City of Calumet City</w:t>
      </w:r>
      <w:r>
        <w:rPr>
          <w:rFonts w:ascii="Times New Roman" w:hAnsi="Times New Roman"/>
          <w:sz w:val="24"/>
          <w:szCs w:val="24"/>
        </w:rPr>
        <w:t>, the Appellate Court of Illinois (First Judicial District / First Division), 2020 IL App (1</w:t>
      </w:r>
      <w:r w:rsidRPr="005B6AF8">
        <w:rPr>
          <w:rFonts w:ascii="Times New Roman" w:hAnsi="Times New Roman"/>
          <w:sz w:val="24"/>
          <w:szCs w:val="24"/>
          <w:vertAlign w:val="superscript"/>
        </w:rPr>
        <w:t>st</w:t>
      </w:r>
      <w:r>
        <w:rPr>
          <w:rFonts w:ascii="Times New Roman" w:hAnsi="Times New Roman"/>
          <w:sz w:val="24"/>
          <w:szCs w:val="24"/>
        </w:rPr>
        <w:t xml:space="preserve">) 191812-U,  held (3 to 0) that the trial court properly granted summary judgment to the </w:t>
      </w:r>
      <w:proofErr w:type="gramStart"/>
      <w:r>
        <w:rPr>
          <w:rFonts w:ascii="Times New Roman" w:hAnsi="Times New Roman"/>
          <w:sz w:val="24"/>
          <w:szCs w:val="24"/>
        </w:rPr>
        <w:t>City</w:t>
      </w:r>
      <w:proofErr w:type="gramEnd"/>
      <w:r>
        <w:rPr>
          <w:rFonts w:ascii="Times New Roman" w:hAnsi="Times New Roman"/>
          <w:sz w:val="24"/>
          <w:szCs w:val="24"/>
        </w:rPr>
        <w:t xml:space="preserve">.  Plaintiff alleged that the medics did not use a pulse oximeter to continuously monitor the patient’s blood oxygen levels after she was intubated, but their Training Officer testified this was not a required action. </w:t>
      </w:r>
    </w:p>
    <w:p w14:paraId="6AD7CF5D" w14:textId="77777777" w:rsidR="00102FD0" w:rsidRDefault="00102FD0" w:rsidP="00102FD0">
      <w:pPr>
        <w:pStyle w:val="NoSpacing"/>
        <w:rPr>
          <w:rFonts w:ascii="Times New Roman" w:hAnsi="Times New Roman"/>
          <w:sz w:val="24"/>
          <w:szCs w:val="24"/>
        </w:rPr>
      </w:pPr>
    </w:p>
    <w:p w14:paraId="743B2023" w14:textId="77777777" w:rsidR="00102FD0" w:rsidRDefault="00102FD0" w:rsidP="00102FD0">
      <w:pPr>
        <w:pStyle w:val="NoSpacing"/>
        <w:ind w:left="720"/>
        <w:rPr>
          <w:rFonts w:ascii="Times New Roman" w:hAnsi="Times New Roman"/>
          <w:sz w:val="24"/>
          <w:szCs w:val="24"/>
        </w:rPr>
      </w:pPr>
      <w:r>
        <w:rPr>
          <w:rFonts w:ascii="Times New Roman" w:hAnsi="Times New Roman"/>
          <w:sz w:val="24"/>
          <w:szCs w:val="24"/>
        </w:rPr>
        <w:t>“</w:t>
      </w:r>
      <w:r w:rsidRPr="005B6AF8">
        <w:rPr>
          <w:rFonts w:ascii="Times New Roman" w:hAnsi="Times New Roman"/>
          <w:sz w:val="24"/>
          <w:szCs w:val="24"/>
        </w:rPr>
        <w:t>Construing the record liberally in favor of plaintiff (</w:t>
      </w:r>
      <w:r w:rsidRPr="005B6AF8">
        <w:rPr>
          <w:rFonts w:ascii="Times New Roman" w:hAnsi="Times New Roman"/>
          <w:i/>
          <w:iCs/>
          <w:sz w:val="24"/>
          <w:szCs w:val="24"/>
        </w:rPr>
        <w:t>Williams</w:t>
      </w:r>
      <w:r w:rsidRPr="005B6AF8">
        <w:rPr>
          <w:rFonts w:ascii="Times New Roman" w:hAnsi="Times New Roman"/>
          <w:sz w:val="24"/>
          <w:szCs w:val="24"/>
        </w:rPr>
        <w:t xml:space="preserve">, 228 Ill. 2d at 417), a reasonable finder of fact could conclude that Pierce performed the intubation incorrectly by inserting the tube into Amanda's esophagus rather than her trachea. A </w:t>
      </w:r>
      <w:proofErr w:type="gramStart"/>
      <w:r w:rsidRPr="005B6AF8">
        <w:rPr>
          <w:rFonts w:ascii="Times New Roman" w:hAnsi="Times New Roman"/>
          <w:sz w:val="24"/>
          <w:szCs w:val="24"/>
        </w:rPr>
        <w:t>finder of fact</w:t>
      </w:r>
      <w:proofErr w:type="gramEnd"/>
      <w:r w:rsidRPr="005B6AF8">
        <w:rPr>
          <w:rFonts w:ascii="Times New Roman" w:hAnsi="Times New Roman"/>
          <w:sz w:val="24"/>
          <w:szCs w:val="24"/>
        </w:rPr>
        <w:t xml:space="preserve"> could also reasonably conclude that this error might have been discovered and fixed prior to Amanda's arrival at the hospital if the paramedics had used a pulse oximeter to continuously monitor Amanda's blood oxygen levels. But even taking these things as true, such errors do not reflect </w:t>
      </w:r>
      <w:r>
        <w:rPr>
          <w:rFonts w:ascii="Times New Roman" w:hAnsi="Times New Roman"/>
          <w:sz w:val="24"/>
          <w:szCs w:val="24"/>
        </w:rPr>
        <w:t>‘</w:t>
      </w:r>
      <w:r w:rsidRPr="005B6AF8">
        <w:rPr>
          <w:rFonts w:ascii="Times New Roman" w:hAnsi="Times New Roman"/>
          <w:sz w:val="24"/>
          <w:szCs w:val="24"/>
        </w:rPr>
        <w:t>an utter indifference to the decedent's safety</w:t>
      </w:r>
      <w:r>
        <w:rPr>
          <w:rFonts w:ascii="Times New Roman" w:hAnsi="Times New Roman"/>
          <w:sz w:val="24"/>
          <w:szCs w:val="24"/>
        </w:rPr>
        <w:t>’</w:t>
      </w:r>
      <w:r w:rsidRPr="005B6AF8">
        <w:rPr>
          <w:rFonts w:ascii="Times New Roman" w:hAnsi="Times New Roman"/>
          <w:sz w:val="24"/>
          <w:szCs w:val="24"/>
        </w:rPr>
        <w:t xml:space="preserve"> (</w:t>
      </w:r>
      <w:r w:rsidRPr="005B6AF8">
        <w:rPr>
          <w:rFonts w:ascii="Times New Roman" w:hAnsi="Times New Roman"/>
          <w:i/>
          <w:iCs/>
          <w:sz w:val="24"/>
          <w:szCs w:val="24"/>
        </w:rPr>
        <w:t>Bowden</w:t>
      </w:r>
      <w:r w:rsidRPr="005B6AF8">
        <w:rPr>
          <w:rFonts w:ascii="Times New Roman" w:hAnsi="Times New Roman"/>
          <w:sz w:val="24"/>
          <w:szCs w:val="24"/>
        </w:rPr>
        <w:t xml:space="preserve">, 304 Ill. App. 3d at 282) as required for a finding of willful and wanton misconduct. This is particularly true where, as here, the paramedics utilized multiple other methods to assess the intubation in a tense and time-sensitive </w:t>
      </w:r>
      <w:proofErr w:type="gramStart"/>
      <w:r w:rsidRPr="005B6AF8">
        <w:rPr>
          <w:rFonts w:ascii="Times New Roman" w:hAnsi="Times New Roman"/>
          <w:sz w:val="24"/>
          <w:szCs w:val="24"/>
        </w:rPr>
        <w:t>emergency situation</w:t>
      </w:r>
      <w:proofErr w:type="gramEnd"/>
      <w:r>
        <w:rPr>
          <w:rFonts w:ascii="Times New Roman" w:hAnsi="Times New Roman"/>
          <w:sz w:val="24"/>
          <w:szCs w:val="24"/>
        </w:rPr>
        <w:t>.</w:t>
      </w:r>
    </w:p>
    <w:p w14:paraId="1B4CDA93" w14:textId="77777777" w:rsidR="00102FD0" w:rsidRDefault="00102FD0" w:rsidP="00102FD0">
      <w:pPr>
        <w:pStyle w:val="NoSpacing"/>
        <w:ind w:left="720"/>
        <w:rPr>
          <w:rFonts w:ascii="Times New Roman" w:hAnsi="Times New Roman"/>
          <w:sz w:val="24"/>
          <w:szCs w:val="24"/>
        </w:rPr>
      </w:pPr>
    </w:p>
    <w:p w14:paraId="6E69F69E" w14:textId="77777777" w:rsidR="00102FD0" w:rsidRPr="005B6AF8" w:rsidRDefault="00102FD0" w:rsidP="00102FD0">
      <w:pPr>
        <w:pStyle w:val="NoSpacing"/>
        <w:ind w:left="720"/>
        <w:rPr>
          <w:rFonts w:ascii="Times New Roman" w:hAnsi="Times New Roman"/>
          <w:sz w:val="24"/>
          <w:szCs w:val="24"/>
        </w:rPr>
      </w:pPr>
      <w:r>
        <w:rPr>
          <w:rFonts w:ascii="Times New Roman" w:hAnsi="Times New Roman"/>
          <w:sz w:val="24"/>
          <w:szCs w:val="24"/>
        </w:rPr>
        <w:t>***</w:t>
      </w:r>
    </w:p>
    <w:p w14:paraId="74B98E7E" w14:textId="656D773A" w:rsidR="00102FD0" w:rsidRDefault="00102FD0" w:rsidP="00102FD0">
      <w:pPr>
        <w:rPr>
          <w:rStyle w:val="Hyperlink"/>
          <w:rFonts w:ascii="Times New Roman" w:hAnsi="Times New Roman"/>
          <w:sz w:val="24"/>
          <w:szCs w:val="24"/>
        </w:rPr>
      </w:pPr>
      <w:r w:rsidRPr="005B6AF8">
        <w:rPr>
          <w:rFonts w:ascii="Times New Roman" w:hAnsi="Times New Roman"/>
          <w:sz w:val="24"/>
          <w:szCs w:val="24"/>
        </w:rPr>
        <w:t xml:space="preserve">To defeat summary judgment, plaintiff would have had to present evidence that the </w:t>
      </w:r>
      <w:proofErr w:type="gramStart"/>
      <w:r w:rsidRPr="005B6AF8">
        <w:rPr>
          <w:rFonts w:ascii="Times New Roman" w:hAnsi="Times New Roman"/>
          <w:sz w:val="24"/>
          <w:szCs w:val="24"/>
        </w:rPr>
        <w:t>City</w:t>
      </w:r>
      <w:proofErr w:type="gramEnd"/>
      <w:r w:rsidRPr="005B6AF8">
        <w:rPr>
          <w:rFonts w:ascii="Times New Roman" w:hAnsi="Times New Roman"/>
          <w:sz w:val="24"/>
          <w:szCs w:val="24"/>
        </w:rPr>
        <w:t xml:space="preserve"> either knew </w:t>
      </w:r>
      <w:r>
        <w:rPr>
          <w:rFonts w:ascii="Times New Roman" w:hAnsi="Times New Roman"/>
          <w:sz w:val="24"/>
          <w:szCs w:val="24"/>
        </w:rPr>
        <w:t xml:space="preserve">[Deputy Fire Chief / EMS Training Officer Peter] </w:t>
      </w:r>
      <w:r w:rsidRPr="005B6AF8">
        <w:rPr>
          <w:rFonts w:ascii="Times New Roman" w:hAnsi="Times New Roman"/>
          <w:sz w:val="24"/>
          <w:szCs w:val="24"/>
        </w:rPr>
        <w:t xml:space="preserve">Bendinelli's training imperiled patients, or that the </w:t>
      </w:r>
      <w:proofErr w:type="gramStart"/>
      <w:r w:rsidRPr="005B6AF8">
        <w:rPr>
          <w:rFonts w:ascii="Times New Roman" w:hAnsi="Times New Roman"/>
          <w:sz w:val="24"/>
          <w:szCs w:val="24"/>
        </w:rPr>
        <w:t>City</w:t>
      </w:r>
      <w:proofErr w:type="gramEnd"/>
      <w:r w:rsidRPr="005B6AF8">
        <w:rPr>
          <w:rFonts w:ascii="Times New Roman" w:hAnsi="Times New Roman"/>
          <w:sz w:val="24"/>
          <w:szCs w:val="24"/>
        </w:rPr>
        <w:t xml:space="preserve"> failed to </w:t>
      </w:r>
      <w:r w:rsidRPr="005B6AF8">
        <w:rPr>
          <w:rFonts w:ascii="Times New Roman" w:hAnsi="Times New Roman"/>
          <w:sz w:val="24"/>
          <w:szCs w:val="24"/>
        </w:rPr>
        <w:lastRenderedPageBreak/>
        <w:t xml:space="preserve">recognize this danger through recklessness. </w:t>
      </w:r>
      <w:r w:rsidRPr="005B6AF8">
        <w:rPr>
          <w:rFonts w:ascii="Times New Roman" w:hAnsi="Times New Roman"/>
          <w:i/>
          <w:iCs/>
          <w:sz w:val="24"/>
          <w:szCs w:val="24"/>
        </w:rPr>
        <w:t>Affatato v</w:t>
      </w:r>
      <w:r w:rsidRPr="005B6AF8">
        <w:rPr>
          <w:rFonts w:ascii="Times New Roman" w:hAnsi="Times New Roman"/>
          <w:sz w:val="24"/>
          <w:szCs w:val="24"/>
        </w:rPr>
        <w:t xml:space="preserve">. </w:t>
      </w:r>
      <w:r w:rsidRPr="005B6AF8">
        <w:rPr>
          <w:rFonts w:ascii="Times New Roman" w:hAnsi="Times New Roman"/>
          <w:i/>
          <w:iCs/>
          <w:sz w:val="24"/>
          <w:szCs w:val="24"/>
        </w:rPr>
        <w:t>Jewel Companies</w:t>
      </w:r>
      <w:r w:rsidRPr="005B6AF8">
        <w:rPr>
          <w:rFonts w:ascii="Times New Roman" w:hAnsi="Times New Roman"/>
          <w:sz w:val="24"/>
          <w:szCs w:val="24"/>
        </w:rPr>
        <w:t xml:space="preserve">, </w:t>
      </w:r>
      <w:r w:rsidRPr="005B6AF8">
        <w:rPr>
          <w:rFonts w:ascii="Times New Roman" w:hAnsi="Times New Roman"/>
          <w:i/>
          <w:iCs/>
          <w:sz w:val="24"/>
          <w:szCs w:val="24"/>
        </w:rPr>
        <w:t>Inc</w:t>
      </w:r>
      <w:r w:rsidRPr="005B6AF8">
        <w:rPr>
          <w:rFonts w:ascii="Times New Roman" w:hAnsi="Times New Roman"/>
          <w:sz w:val="24"/>
          <w:szCs w:val="24"/>
        </w:rPr>
        <w:t xml:space="preserve">., 259 Ill. App. 3d 787, 800 (1994). Plaintiff presented no such evidence. On the contrary, all three of Amanda's treating physicians corroborated Bendinelli's statement that pulse oximeter readings can be inaccurate. </w:t>
      </w:r>
      <w:proofErr w:type="gramStart"/>
      <w:r w:rsidRPr="005B6AF8">
        <w:rPr>
          <w:rFonts w:ascii="Times New Roman" w:hAnsi="Times New Roman"/>
          <w:sz w:val="24"/>
          <w:szCs w:val="24"/>
        </w:rPr>
        <w:t>In light of</w:t>
      </w:r>
      <w:proofErr w:type="gramEnd"/>
      <w:r w:rsidRPr="005B6AF8">
        <w:rPr>
          <w:rFonts w:ascii="Times New Roman" w:hAnsi="Times New Roman"/>
          <w:sz w:val="24"/>
          <w:szCs w:val="24"/>
        </w:rPr>
        <w:t xml:space="preserve"> their testimony, plaintiff has not presented an issue of fact as to whether Bendinelli's training reflects an utter indifference to patients' safety.</w:t>
      </w:r>
      <w:r>
        <w:rPr>
          <w:rFonts w:ascii="Times New Roman" w:hAnsi="Times New Roman"/>
          <w:sz w:val="24"/>
          <w:szCs w:val="24"/>
        </w:rPr>
        <w:t xml:space="preserve">” </w:t>
      </w:r>
      <w:hyperlink r:id="rId2367" w:history="1">
        <w:r w:rsidRPr="00EF3739">
          <w:rPr>
            <w:rStyle w:val="Hyperlink"/>
            <w:rFonts w:ascii="Times New Roman" w:hAnsi="Times New Roman"/>
            <w:sz w:val="24"/>
            <w:szCs w:val="24"/>
          </w:rPr>
          <w:t>https://public.fastcase.com/Wl%2B2t%2BeVuI35%2FN70vAMFZv50h%2Fykh7FShFoRYs3ZTa26w8rY%2BXvT1%2B6dqL4OkZlK</w:t>
        </w:r>
      </w:hyperlink>
    </w:p>
    <w:p w14:paraId="7F528A8C" w14:textId="77777777" w:rsidR="00102FD0" w:rsidRPr="00716D0B" w:rsidRDefault="00102FD0" w:rsidP="00102FD0">
      <w:pPr>
        <w:spacing w:before="100" w:beforeAutospacing="1" w:after="100" w:afterAutospacing="1" w:line="240" w:lineRule="auto"/>
        <w:rPr>
          <w:rFonts w:ascii="Times New Roman" w:hAnsi="Times New Roman"/>
          <w:b/>
          <w:bCs/>
          <w:sz w:val="24"/>
          <w:szCs w:val="24"/>
        </w:rPr>
      </w:pPr>
      <w:r w:rsidRPr="00716D0B">
        <w:rPr>
          <w:rFonts w:ascii="Times New Roman" w:hAnsi="Times New Roman"/>
          <w:b/>
          <w:bCs/>
          <w:sz w:val="24"/>
          <w:szCs w:val="24"/>
        </w:rPr>
        <w:t>Legal Lesson Learned:</w:t>
      </w:r>
      <w:r>
        <w:rPr>
          <w:rFonts w:ascii="Times New Roman" w:hAnsi="Times New Roman"/>
          <w:b/>
          <w:bCs/>
          <w:sz w:val="24"/>
          <w:szCs w:val="24"/>
        </w:rPr>
        <w:t xml:space="preserve"> Carefully follow your protocol after placement of ET Tube. </w:t>
      </w:r>
    </w:p>
    <w:p w14:paraId="3383E109" w14:textId="77777777" w:rsidR="00102FD0" w:rsidRDefault="00102FD0" w:rsidP="00102FD0">
      <w:pPr>
        <w:rPr>
          <w:rFonts w:ascii="Arial Black" w:hAnsi="Arial Black"/>
          <w:b/>
          <w:bCs/>
          <w:sz w:val="28"/>
          <w:szCs w:val="28"/>
        </w:rPr>
      </w:pPr>
    </w:p>
    <w:p w14:paraId="20FEAD83" w14:textId="15279DC2" w:rsidR="00102FD0" w:rsidRDefault="00102FD0" w:rsidP="002B1283">
      <w:pPr>
        <w:rPr>
          <w:rFonts w:ascii="Arial Black" w:hAnsi="Arial Black"/>
          <w:b/>
          <w:bCs/>
          <w:sz w:val="28"/>
          <w:szCs w:val="28"/>
        </w:rPr>
      </w:pPr>
      <w:r>
        <w:rPr>
          <w:rFonts w:ascii="Arial Black" w:hAnsi="Arial Black"/>
          <w:b/>
          <w:bCs/>
          <w:sz w:val="28"/>
          <w:szCs w:val="28"/>
        </w:rPr>
        <w:t>13-66</w:t>
      </w:r>
    </w:p>
    <w:p w14:paraId="4FBF2B97" w14:textId="77777777" w:rsidR="00102FD0" w:rsidRPr="00B85AFB" w:rsidRDefault="00102FD0" w:rsidP="00102FD0">
      <w:pPr>
        <w:pStyle w:val="NormalWeb"/>
        <w:rPr>
          <w:rFonts w:ascii="Arial Black" w:hAnsi="Arial Black"/>
          <w:b/>
          <w:bCs/>
          <w:sz w:val="28"/>
          <w:szCs w:val="28"/>
        </w:rPr>
      </w:pPr>
      <w:r>
        <w:rPr>
          <w:rFonts w:ascii="Arial Black" w:hAnsi="Arial Black"/>
          <w:b/>
          <w:bCs/>
          <w:sz w:val="28"/>
          <w:szCs w:val="28"/>
        </w:rPr>
        <w:t>OH: MVA - MEDIC FOUND NO PULSE – 1-HR LATER PATIENT COVERED BLANKET MOVED – NO PROOF “FAILURE TO TRAIN” - CASE DISMISSED</w:t>
      </w:r>
    </w:p>
    <w:p w14:paraId="73F817BE" w14:textId="77777777" w:rsidR="00102FD0" w:rsidRDefault="00102FD0" w:rsidP="00102FD0">
      <w:pPr>
        <w:pStyle w:val="NormalWeb"/>
      </w:pPr>
      <w:r>
        <w:t xml:space="preserve">On Oct. 20, 2020, in </w:t>
      </w:r>
      <w:r w:rsidRPr="00B85AFB">
        <w:rPr>
          <w:u w:val="single"/>
        </w:rPr>
        <w:t>Lynne Gooden, Individually and as Guardia of Terrell D. Gooden v. Chris Batz, Butler Township, et al.</w:t>
      </w:r>
      <w:r>
        <w:t xml:space="preserve">, Sharon L. Ovington, United States Magistrate Judge, U. S. District Court for Southern District of Ohio, issued a Report &amp; Recommendation to Federal District Judge that the lawsuit against Butler Township, and against City of Vandalia should be dismissed for alleged “failure to train.” There was no allegation that the Medic who first checked on the patient and found no pulse had a history of similar issues.  After an hour at the scene, the same Medic </w:t>
      </w:r>
      <w:r w:rsidRPr="00BA71B3">
        <w:t>saw Mr. Gooden spontaneously move and</w:t>
      </w:r>
      <w:r>
        <w:t xml:space="preserve"> </w:t>
      </w:r>
      <w:r w:rsidRPr="00BA71B3">
        <w:t>discovered he had a weak pulse</w:t>
      </w:r>
      <w:r>
        <w:t xml:space="preserve">; he survived with permanent brain damage and other long-term disabling health problems. </w:t>
      </w:r>
    </w:p>
    <w:p w14:paraId="0FB3D6B4" w14:textId="77777777" w:rsidR="00102FD0" w:rsidRDefault="00102FD0" w:rsidP="00102FD0">
      <w:pPr>
        <w:pStyle w:val="NormalWeb"/>
        <w:ind w:left="720"/>
      </w:pPr>
      <w:r>
        <w:t>“Life-threatening accidents are heartbreaking. Such an accident occurred to Plaintiff Terrell D. Gooden in 2016 when his vehicle collided with a tractor-trailer on Interstate 75. Plaintiffs allege that when Paramedic Chris Batz checked Mr. Gooden's pulse and respiration, he incorrectly concluded that Mr. Gooden had not survived the accident. Batz told other first responders that Mr. Gooden was not alive. And neither Batz nor other first responders immediately attempted to resuscitate Mr. Gooden or provide him with any emergency medical care.</w:t>
      </w:r>
    </w:p>
    <w:p w14:paraId="0140627B" w14:textId="77777777" w:rsidR="00102FD0" w:rsidRDefault="00102FD0" w:rsidP="00102FD0">
      <w:pPr>
        <w:pStyle w:val="NormalWeb"/>
        <w:ind w:left="720"/>
      </w:pPr>
      <w:r>
        <w:t>***</w:t>
      </w:r>
    </w:p>
    <w:p w14:paraId="45235C71" w14:textId="70774DAF" w:rsidR="00102FD0" w:rsidRDefault="00102FD0" w:rsidP="00102FD0">
      <w:pPr>
        <w:rPr>
          <w:rStyle w:val="Hyperlink"/>
          <w:rFonts w:ascii="Times New Roman" w:eastAsia="Times New Roman" w:hAnsi="Times New Roman"/>
          <w:sz w:val="24"/>
          <w:szCs w:val="24"/>
        </w:rPr>
      </w:pPr>
      <w:r w:rsidRPr="00B85AFB">
        <w:rPr>
          <w:rFonts w:ascii="Times New Roman" w:eastAsia="Times New Roman" w:hAnsi="Times New Roman"/>
          <w:sz w:val="24"/>
          <w:szCs w:val="24"/>
        </w:rPr>
        <w:t>The Complaint, for instance, does not allege that Batz made serious mistakes</w:t>
      </w:r>
      <w:r>
        <w:rPr>
          <w:rFonts w:ascii="Times New Roman" w:eastAsia="Times New Roman" w:hAnsi="Times New Roman"/>
          <w:sz w:val="24"/>
          <w:szCs w:val="24"/>
        </w:rPr>
        <w:t xml:space="preserve"> </w:t>
      </w:r>
      <w:r w:rsidRPr="00B85AFB">
        <w:rPr>
          <w:rFonts w:ascii="Times New Roman" w:eastAsia="Times New Roman" w:hAnsi="Times New Roman"/>
          <w:sz w:val="24"/>
          <w:szCs w:val="24"/>
        </w:rPr>
        <w:t xml:space="preserve">when examining victims of previous accidents that should have alerted Butler Township officials that his training was inadequate and likely to cause harm to </w:t>
      </w:r>
      <w:proofErr w:type="gramStart"/>
      <w:r w:rsidRPr="00B85AFB">
        <w:rPr>
          <w:rFonts w:ascii="Times New Roman" w:eastAsia="Times New Roman" w:hAnsi="Times New Roman"/>
          <w:sz w:val="24"/>
          <w:szCs w:val="24"/>
        </w:rPr>
        <w:t>accidents victims</w:t>
      </w:r>
      <w:proofErr w:type="gramEnd"/>
      <w:r w:rsidRPr="00B85AFB">
        <w:rPr>
          <w:rFonts w:ascii="Times New Roman" w:eastAsia="Times New Roman" w:hAnsi="Times New Roman"/>
          <w:sz w:val="24"/>
          <w:szCs w:val="24"/>
        </w:rPr>
        <w:t xml:space="preserve"> like Mr. Gooden. And, as to Defendants Gallup and Miller, Plaintiffs' Complaint contains no non-conclusory allegation indicating that they received inadequate training and that such training resulted in a violation of Mr. Gooden's constitutional rights.</w:t>
      </w:r>
      <w:r>
        <w:rPr>
          <w:rFonts w:ascii="Times New Roman" w:eastAsia="Times New Roman" w:hAnsi="Times New Roman"/>
          <w:sz w:val="24"/>
          <w:szCs w:val="24"/>
        </w:rPr>
        <w:t xml:space="preserve">” </w:t>
      </w:r>
      <w:hyperlink r:id="rId2368" w:history="1">
        <w:r w:rsidRPr="003B2E68">
          <w:rPr>
            <w:rStyle w:val="Hyperlink"/>
            <w:rFonts w:ascii="Times New Roman" w:eastAsia="Times New Roman" w:hAnsi="Times New Roman"/>
            <w:sz w:val="24"/>
            <w:szCs w:val="24"/>
          </w:rPr>
          <w:t>https://public.fastcase.com/Wl%2B2t%2BeVuI35%2FN70vAMFZoN7mlr4hHNtCTnayGEBC4RCM4jvijs5LLDyckRiAx%2Bw</w:t>
        </w:r>
      </w:hyperlink>
    </w:p>
    <w:p w14:paraId="2BEC2451" w14:textId="477F0E22" w:rsidR="00102FD0" w:rsidRDefault="00102FD0" w:rsidP="00102FD0">
      <w:pPr>
        <w:rPr>
          <w:rStyle w:val="Hyperlink"/>
          <w:rFonts w:ascii="Times New Roman" w:eastAsia="Times New Roman" w:hAnsi="Times New Roman"/>
          <w:sz w:val="24"/>
          <w:szCs w:val="24"/>
        </w:rPr>
      </w:pPr>
      <w:r w:rsidRPr="00545DAD">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Follow your protocols concerning determination of death; ask for a second opinion at the scene.</w:t>
      </w:r>
    </w:p>
    <w:p w14:paraId="562E40F6" w14:textId="77777777" w:rsidR="00102FD0" w:rsidRDefault="00102FD0" w:rsidP="00102FD0">
      <w:pPr>
        <w:rPr>
          <w:rFonts w:ascii="Arial Black" w:hAnsi="Arial Black"/>
          <w:b/>
          <w:bCs/>
          <w:sz w:val="28"/>
          <w:szCs w:val="28"/>
        </w:rPr>
      </w:pPr>
    </w:p>
    <w:p w14:paraId="6931AED6" w14:textId="7FF5FA3E" w:rsidR="00102FD0" w:rsidRDefault="00102FD0" w:rsidP="001C563D">
      <w:pPr>
        <w:rPr>
          <w:rFonts w:ascii="Arial Black" w:hAnsi="Arial Black"/>
          <w:b/>
          <w:bCs/>
          <w:sz w:val="28"/>
          <w:szCs w:val="28"/>
        </w:rPr>
      </w:pPr>
      <w:r>
        <w:rPr>
          <w:rFonts w:ascii="Arial Black" w:hAnsi="Arial Black"/>
          <w:b/>
          <w:bCs/>
          <w:sz w:val="28"/>
          <w:szCs w:val="28"/>
        </w:rPr>
        <w:lastRenderedPageBreak/>
        <w:t>13-65</w:t>
      </w:r>
    </w:p>
    <w:p w14:paraId="58E27E0A" w14:textId="77777777" w:rsidR="00102FD0" w:rsidRPr="00195883" w:rsidRDefault="00102FD0" w:rsidP="00102FD0">
      <w:pPr>
        <w:spacing w:before="100" w:beforeAutospacing="1" w:after="100" w:afterAutospacing="1" w:line="240" w:lineRule="auto"/>
        <w:rPr>
          <w:rFonts w:ascii="Arial Black" w:eastAsia="Times New Roman" w:hAnsi="Arial Black"/>
          <w:b/>
          <w:bCs/>
          <w:sz w:val="28"/>
          <w:szCs w:val="28"/>
        </w:rPr>
      </w:pPr>
      <w:r w:rsidRPr="00195883">
        <w:rPr>
          <w:rFonts w:ascii="Arial Black" w:eastAsia="Times New Roman" w:hAnsi="Arial Black"/>
          <w:b/>
          <w:bCs/>
          <w:sz w:val="28"/>
          <w:szCs w:val="28"/>
        </w:rPr>
        <w:t>MD:</w:t>
      </w:r>
      <w:r>
        <w:rPr>
          <w:rFonts w:ascii="Arial Black" w:eastAsia="Times New Roman" w:hAnsi="Arial Black"/>
          <w:b/>
          <w:bCs/>
          <w:sz w:val="28"/>
          <w:szCs w:val="28"/>
        </w:rPr>
        <w:t xml:space="preserve"> 21-YR OLD PATIENT IN BASEMENT, DIFFICULTY BREATHING – ARRIVED 6 MIN – ADMINISTERED NARCAN - IMMUNITY</w:t>
      </w:r>
    </w:p>
    <w:p w14:paraId="040A1B34" w14:textId="77777777" w:rsidR="00102FD0" w:rsidRDefault="00102FD0" w:rsidP="00102FD0">
      <w:pPr>
        <w:spacing w:before="100" w:beforeAutospacing="1" w:after="100" w:afterAutospacing="1" w:line="240" w:lineRule="auto"/>
        <w:rPr>
          <w:rFonts w:ascii="Times New Roman" w:eastAsia="Times New Roman" w:hAnsi="Times New Roman"/>
          <w:sz w:val="24"/>
          <w:szCs w:val="24"/>
        </w:rPr>
      </w:pPr>
      <w:r w:rsidRPr="00C43B83">
        <w:rPr>
          <w:rFonts w:ascii="Times New Roman" w:eastAsia="Times New Roman" w:hAnsi="Times New Roman"/>
          <w:sz w:val="24"/>
          <w:szCs w:val="24"/>
        </w:rPr>
        <w:t xml:space="preserve">On Oct. 1, 2020, in </w:t>
      </w:r>
      <w:r w:rsidRPr="00C43B83">
        <w:rPr>
          <w:rFonts w:ascii="Times New Roman" w:eastAsia="Times New Roman" w:hAnsi="Times New Roman"/>
          <w:sz w:val="24"/>
          <w:szCs w:val="24"/>
          <w:u w:val="single"/>
        </w:rPr>
        <w:t>Octavia T. Coit, et al. v. Nicole Nappi, et al</w:t>
      </w:r>
      <w:r>
        <w:rPr>
          <w:rFonts w:ascii="Times New Roman" w:eastAsia="Times New Roman" w:hAnsi="Times New Roman"/>
          <w:sz w:val="24"/>
          <w:szCs w:val="24"/>
        </w:rPr>
        <w:t xml:space="preserve">., the Court of Special Appeals of Maryland, held (4 to 0) that trial court properly dismissed the lawsuit.  The </w:t>
      </w:r>
      <w:proofErr w:type="gramStart"/>
      <w:r>
        <w:rPr>
          <w:rFonts w:ascii="Times New Roman" w:eastAsia="Times New Roman" w:hAnsi="Times New Roman"/>
          <w:sz w:val="24"/>
          <w:szCs w:val="24"/>
        </w:rPr>
        <w:t>21-year old</w:t>
      </w:r>
      <w:proofErr w:type="gramEnd"/>
      <w:r>
        <w:rPr>
          <w:rFonts w:ascii="Times New Roman" w:eastAsia="Times New Roman" w:hAnsi="Times New Roman"/>
          <w:sz w:val="24"/>
          <w:szCs w:val="24"/>
        </w:rPr>
        <w:t xml:space="preserve"> patient was at a friend’s house and was in the basement having difficulty breathing; history of asthma, died of cardiac arrest.  Administration of Narcan was not harmful and did not contribute to the patient’s death.  Plaintiffs also complained of a delayed response, but the CAD records show they arrived at scene within 6 minutes and 44 seconds of the 911 call. </w:t>
      </w:r>
    </w:p>
    <w:p w14:paraId="12C25E01" w14:textId="77777777" w:rsidR="00102FD0" w:rsidRDefault="00102FD0" w:rsidP="00102FD0">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“In</w:t>
      </w:r>
      <w:r w:rsidRPr="001E057A">
        <w:rPr>
          <w:rFonts w:ascii="Times New Roman" w:hAnsi="Times New Roman"/>
          <w:sz w:val="24"/>
          <w:szCs w:val="24"/>
        </w:rPr>
        <w:t xml:space="preserve"> the absence of willful or grossly negligent conduct, emergency responders covered under the Good Samaritan Act and/or the Fire &amp; Rescue Companies Act are immune from civil liability for any acts or omissions in </w:t>
      </w:r>
      <w:proofErr w:type="gramStart"/>
      <w:r w:rsidRPr="001E057A">
        <w:rPr>
          <w:rFonts w:ascii="Times New Roman" w:hAnsi="Times New Roman"/>
          <w:sz w:val="24"/>
          <w:szCs w:val="24"/>
        </w:rPr>
        <w:t>providing assistance</w:t>
      </w:r>
      <w:proofErr w:type="gramEnd"/>
      <w:r w:rsidRPr="001E057A">
        <w:rPr>
          <w:rFonts w:ascii="Times New Roman" w:hAnsi="Times New Roman"/>
          <w:sz w:val="24"/>
          <w:szCs w:val="24"/>
        </w:rPr>
        <w:t xml:space="preserve"> or in the performance of their duties.</w:t>
      </w:r>
    </w:p>
    <w:p w14:paraId="459D041C" w14:textId="77777777" w:rsidR="00102FD0" w:rsidRPr="001E057A" w:rsidRDefault="00102FD0" w:rsidP="00102FD0">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p>
    <w:p w14:paraId="33B38568" w14:textId="77777777" w:rsidR="00102FD0" w:rsidRDefault="00102FD0" w:rsidP="00102FD0">
      <w:pPr>
        <w:spacing w:after="100" w:line="240" w:lineRule="auto"/>
        <w:ind w:left="720"/>
        <w:rPr>
          <w:rFonts w:ascii="Times New Roman" w:eastAsia="Times New Roman" w:hAnsi="Times New Roman"/>
          <w:b/>
          <w:bCs/>
          <w:sz w:val="24"/>
          <w:szCs w:val="24"/>
        </w:rPr>
      </w:pPr>
      <w:r>
        <w:rPr>
          <w:rFonts w:ascii="Times New Roman" w:eastAsia="Times New Roman" w:hAnsi="Times New Roman"/>
          <w:sz w:val="24"/>
          <w:szCs w:val="24"/>
        </w:rPr>
        <w:t>[</w:t>
      </w:r>
      <w:r w:rsidRPr="00195883">
        <w:rPr>
          <w:rFonts w:ascii="Times New Roman" w:eastAsia="Times New Roman" w:hAnsi="Times New Roman"/>
          <w:sz w:val="24"/>
          <w:szCs w:val="24"/>
        </w:rPr>
        <w:t>Appellants] contend that the administration of Narcan was unnecessary because there was no specific indication that Mr. Coit was experiencing an opioid overdose. The Court understands and appreciates Mr. Coit's family's concern over a misperception that he was using drugs. The evidence demonstrates, however, that, regardless of how unnecessary the administration of Narcan may have been, there are no applicable contraindications for someone who did not overdose on opioids, and that</w:t>
      </w:r>
      <w:r>
        <w:rPr>
          <w:rFonts w:ascii="Times New Roman" w:eastAsia="Times New Roman" w:hAnsi="Times New Roman"/>
          <w:sz w:val="24"/>
          <w:szCs w:val="24"/>
        </w:rPr>
        <w:t xml:space="preserve"> </w:t>
      </w:r>
      <w:r w:rsidRPr="00195883">
        <w:rPr>
          <w:rFonts w:ascii="Times New Roman" w:eastAsia="Times New Roman" w:hAnsi="Times New Roman"/>
          <w:sz w:val="24"/>
          <w:szCs w:val="24"/>
        </w:rPr>
        <w:t>Narcan does not otherwise harm someone to whom it is administered. Even if Paramedic Nappi and EMT Jackson were, in some way, negligent in their assessment and treatment of Mr. Coit, which the Court is not suggesting, there is not sufficient evidence of gross negligence regarding their post-arrival conduct</w:t>
      </w:r>
      <w:r w:rsidRPr="001E057A">
        <w:rPr>
          <w:rFonts w:ascii="Times New Roman" w:eastAsia="Times New Roman" w:hAnsi="Times New Roman"/>
          <w:sz w:val="24"/>
          <w:szCs w:val="24"/>
        </w:rPr>
        <w:t xml:space="preserve">.”  </w:t>
      </w:r>
      <w:hyperlink r:id="rId2369" w:history="1">
        <w:r w:rsidRPr="001E057A">
          <w:rPr>
            <w:rStyle w:val="Hyperlink"/>
            <w:rFonts w:ascii="Times New Roman" w:eastAsia="Times New Roman" w:hAnsi="Times New Roman"/>
            <w:sz w:val="24"/>
            <w:szCs w:val="24"/>
          </w:rPr>
          <w:t>https://mdcourts.gov/data/opinions/cosa/2020/0318s19.pdf</w:t>
        </w:r>
      </w:hyperlink>
      <w:r>
        <w:rPr>
          <w:rFonts w:ascii="Times New Roman" w:eastAsia="Times New Roman" w:hAnsi="Times New Roman"/>
          <w:b/>
          <w:bCs/>
          <w:sz w:val="24"/>
          <w:szCs w:val="24"/>
        </w:rPr>
        <w:t xml:space="preserve"> </w:t>
      </w:r>
    </w:p>
    <w:p w14:paraId="357D98B7" w14:textId="77777777" w:rsidR="00102FD0" w:rsidRPr="0093728B" w:rsidRDefault="00102FD0" w:rsidP="00102FD0">
      <w:pPr>
        <w:spacing w:after="100" w:line="240" w:lineRule="auto"/>
        <w:rPr>
          <w:rFonts w:ascii="Times New Roman" w:hAnsi="Times New Roman"/>
          <w:b/>
          <w:bCs/>
          <w:sz w:val="24"/>
          <w:szCs w:val="24"/>
        </w:rPr>
      </w:pPr>
      <w:r w:rsidRPr="0093728B">
        <w:rPr>
          <w:rFonts w:ascii="Times New Roman" w:hAnsi="Times New Roman"/>
          <w:b/>
          <w:bCs/>
          <w:sz w:val="24"/>
          <w:szCs w:val="24"/>
        </w:rPr>
        <w:t>Legal Lesson Learned:</w:t>
      </w:r>
      <w:r>
        <w:rPr>
          <w:rFonts w:ascii="Times New Roman" w:hAnsi="Times New Roman"/>
          <w:b/>
          <w:bCs/>
          <w:sz w:val="24"/>
          <w:szCs w:val="24"/>
        </w:rPr>
        <w:t xml:space="preserve"> Immunity statutes like the Maryland statutes are designed to protect EMS and other emergency responders from civil liability; it is frankly hard to understand why this lawsuit </w:t>
      </w:r>
      <w:proofErr w:type="gramStart"/>
      <w:r>
        <w:rPr>
          <w:rFonts w:ascii="Times New Roman" w:hAnsi="Times New Roman"/>
          <w:b/>
          <w:bCs/>
          <w:sz w:val="24"/>
          <w:szCs w:val="24"/>
        </w:rPr>
        <w:t>were</w:t>
      </w:r>
      <w:proofErr w:type="gramEnd"/>
      <w:r>
        <w:rPr>
          <w:rFonts w:ascii="Times New Roman" w:hAnsi="Times New Roman"/>
          <w:b/>
          <w:bCs/>
          <w:sz w:val="24"/>
          <w:szCs w:val="24"/>
        </w:rPr>
        <w:t xml:space="preserve"> ever filed. </w:t>
      </w:r>
    </w:p>
    <w:p w14:paraId="1A8E1C5B" w14:textId="77777777" w:rsidR="00102FD0" w:rsidRDefault="00102FD0" w:rsidP="001C563D">
      <w:pPr>
        <w:rPr>
          <w:rFonts w:ascii="Arial Black" w:hAnsi="Arial Black"/>
          <w:b/>
          <w:bCs/>
          <w:sz w:val="28"/>
          <w:szCs w:val="28"/>
        </w:rPr>
      </w:pPr>
    </w:p>
    <w:p w14:paraId="3DBCB811" w14:textId="77777777" w:rsidR="00102FD0" w:rsidRDefault="00102FD0" w:rsidP="001C563D">
      <w:pPr>
        <w:rPr>
          <w:rFonts w:ascii="Arial Black" w:hAnsi="Arial Black"/>
          <w:b/>
          <w:bCs/>
          <w:sz w:val="28"/>
          <w:szCs w:val="28"/>
        </w:rPr>
      </w:pPr>
    </w:p>
    <w:p w14:paraId="55DC682F" w14:textId="320D27CD" w:rsidR="00B532F6" w:rsidRDefault="00B532F6" w:rsidP="001C563D">
      <w:pPr>
        <w:rPr>
          <w:rFonts w:ascii="Arial Black" w:hAnsi="Arial Black"/>
          <w:b/>
          <w:bCs/>
          <w:sz w:val="28"/>
          <w:szCs w:val="28"/>
        </w:rPr>
      </w:pPr>
      <w:r>
        <w:rPr>
          <w:rFonts w:ascii="Arial Black" w:hAnsi="Arial Black"/>
          <w:b/>
          <w:bCs/>
          <w:sz w:val="28"/>
          <w:szCs w:val="28"/>
        </w:rPr>
        <w:t>13-64</w:t>
      </w:r>
    </w:p>
    <w:p w14:paraId="46ED1E2D" w14:textId="77777777" w:rsidR="00B532F6" w:rsidRDefault="00B532F6" w:rsidP="00B532F6">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NY:  LAWSUIT AGAINST EMS – COURT OF APPEALS HOLDS “SPECIAL RELATIONSHIP” – NO GOV’T IMMUNITY </w:t>
      </w:r>
    </w:p>
    <w:p w14:paraId="11AB7892" w14:textId="77777777" w:rsidR="00B532F6" w:rsidRPr="006B5620" w:rsidRDefault="00B532F6" w:rsidP="00B532F6">
      <w:pPr>
        <w:rPr>
          <w:rFonts w:ascii="Times New Roman" w:hAnsi="Times New Roman"/>
          <w:sz w:val="24"/>
          <w:szCs w:val="24"/>
        </w:rPr>
      </w:pPr>
      <w:r w:rsidRPr="006B5620">
        <w:rPr>
          <w:rFonts w:ascii="Times New Roman" w:hAnsi="Times New Roman"/>
          <w:sz w:val="24"/>
          <w:szCs w:val="24"/>
        </w:rPr>
        <w:t xml:space="preserve">On Sept. 23, 2020, in </w:t>
      </w:r>
      <w:r w:rsidRPr="006B5620">
        <w:rPr>
          <w:rFonts w:ascii="Times New Roman" w:hAnsi="Times New Roman"/>
          <w:sz w:val="24"/>
          <w:szCs w:val="24"/>
          <w:u w:val="single"/>
        </w:rPr>
        <w:t>Rashawn Watts, et. al, v, City of New York</w:t>
      </w:r>
      <w:r w:rsidRPr="006B5620">
        <w:rPr>
          <w:rFonts w:ascii="Times New Roman" w:hAnsi="Times New Roman"/>
          <w:sz w:val="24"/>
          <w:szCs w:val="24"/>
        </w:rPr>
        <w:t xml:space="preserve">, 2020 NY Slip Op 05084, the Supreme Court of the State of New York, Appellate Division (Second Judicial Department) held (4 to 0) that the trial court judge properly denied the City’s motion to dismiss the case, taking the legal position that when EMS provides services to a patient, governmental immunity no longer applies since the City now has established a “special relationship.”  </w:t>
      </w:r>
      <w:r>
        <w:rPr>
          <w:rFonts w:ascii="Times New Roman" w:hAnsi="Times New Roman"/>
          <w:sz w:val="24"/>
          <w:szCs w:val="24"/>
        </w:rPr>
        <w:t>[Note: Courts in some other jurisdictions require proof of gross negligence for case to proceed.]</w:t>
      </w:r>
      <w:r w:rsidRPr="006B5620">
        <w:rPr>
          <w:rFonts w:ascii="Times New Roman" w:hAnsi="Times New Roman"/>
          <w:sz w:val="24"/>
          <w:szCs w:val="24"/>
        </w:rPr>
        <w:t xml:space="preserve"> </w:t>
      </w:r>
    </w:p>
    <w:p w14:paraId="7A3D32CE" w14:textId="77777777" w:rsidR="00B532F6" w:rsidRDefault="00B532F6" w:rsidP="00B532F6">
      <w:pPr>
        <w:ind w:left="720"/>
        <w:rPr>
          <w:rFonts w:ascii="Times New Roman" w:hAnsi="Times New Roman"/>
          <w:sz w:val="24"/>
          <w:szCs w:val="24"/>
        </w:rPr>
      </w:pPr>
      <w:r>
        <w:rPr>
          <w:rFonts w:ascii="Times New Roman" w:hAnsi="Times New Roman"/>
          <w:sz w:val="24"/>
          <w:szCs w:val="24"/>
        </w:rPr>
        <w:t>“</w:t>
      </w:r>
      <w:r w:rsidRPr="004C542C">
        <w:rPr>
          <w:rFonts w:ascii="Times New Roman" w:hAnsi="Times New Roman"/>
          <w:sz w:val="24"/>
          <w:szCs w:val="24"/>
        </w:rPr>
        <w:t>A municipality will be held to have voluntarily assumed a duty or special</w:t>
      </w:r>
      <w:r>
        <w:rPr>
          <w:rFonts w:ascii="Times New Roman" w:hAnsi="Times New Roman"/>
          <w:sz w:val="24"/>
          <w:szCs w:val="24"/>
        </w:rPr>
        <w:t xml:space="preserve"> </w:t>
      </w:r>
      <w:r w:rsidRPr="004C542C">
        <w:rPr>
          <w:rFonts w:ascii="Times New Roman" w:hAnsi="Times New Roman"/>
          <w:sz w:val="24"/>
          <w:szCs w:val="24"/>
        </w:rPr>
        <w:t xml:space="preserve">relationship with the plaintiff where there is: </w:t>
      </w:r>
      <w:r>
        <w:rPr>
          <w:rFonts w:ascii="Times New Roman" w:hAnsi="Times New Roman"/>
          <w:sz w:val="24"/>
          <w:szCs w:val="24"/>
        </w:rPr>
        <w:t>‘</w:t>
      </w:r>
      <w:r w:rsidRPr="004C542C">
        <w:rPr>
          <w:rFonts w:ascii="Times New Roman" w:hAnsi="Times New Roman"/>
          <w:sz w:val="24"/>
          <w:szCs w:val="24"/>
        </w:rPr>
        <w:t xml:space="preserve">(1) an assumption by the municipality, through promises or actions, of an affirmative </w:t>
      </w:r>
      <w:r w:rsidRPr="004C542C">
        <w:rPr>
          <w:rFonts w:ascii="Times New Roman" w:hAnsi="Times New Roman"/>
          <w:sz w:val="24"/>
          <w:szCs w:val="24"/>
        </w:rPr>
        <w:lastRenderedPageBreak/>
        <w:t>duty to act on behalf of the party who was injured; (2) knowledge on the part of the municipality's agents that inaction could lead to harm; (3) some form of direct contact between the municipality's agents and the injured party; and (4) that party's justifiable reliance on the municipality's affirmative undertaking</w:t>
      </w:r>
      <w:r>
        <w:rPr>
          <w:rFonts w:ascii="Times New Roman" w:hAnsi="Times New Roman"/>
          <w:sz w:val="24"/>
          <w:szCs w:val="24"/>
        </w:rPr>
        <w:t>’</w:t>
      </w:r>
      <w:r w:rsidRPr="004C542C">
        <w:rPr>
          <w:rFonts w:ascii="Times New Roman" w:hAnsi="Times New Roman"/>
          <w:sz w:val="24"/>
          <w:szCs w:val="24"/>
        </w:rPr>
        <w:t xml:space="preserve"> (</w:t>
      </w:r>
      <w:r w:rsidRPr="004C542C">
        <w:rPr>
          <w:rFonts w:ascii="Times New Roman" w:hAnsi="Times New Roman"/>
          <w:i/>
          <w:iCs/>
          <w:sz w:val="24"/>
          <w:szCs w:val="24"/>
        </w:rPr>
        <w:t xml:space="preserve">Applewhite v </w:t>
      </w:r>
      <w:proofErr w:type="spellStart"/>
      <w:r w:rsidRPr="004C542C">
        <w:rPr>
          <w:rFonts w:ascii="Times New Roman" w:hAnsi="Times New Roman"/>
          <w:i/>
          <w:iCs/>
          <w:sz w:val="24"/>
          <w:szCs w:val="24"/>
        </w:rPr>
        <w:t>Accuhealth</w:t>
      </w:r>
      <w:proofErr w:type="spellEnd"/>
      <w:r w:rsidRPr="004C542C">
        <w:rPr>
          <w:rFonts w:ascii="Times New Roman" w:hAnsi="Times New Roman"/>
          <w:sz w:val="24"/>
          <w:szCs w:val="24"/>
        </w:rPr>
        <w:t xml:space="preserve">, </w:t>
      </w:r>
      <w:r w:rsidRPr="004C542C">
        <w:rPr>
          <w:rFonts w:ascii="Times New Roman" w:hAnsi="Times New Roman"/>
          <w:i/>
          <w:iCs/>
          <w:sz w:val="24"/>
          <w:szCs w:val="24"/>
        </w:rPr>
        <w:t>Inc</w:t>
      </w:r>
      <w:r w:rsidRPr="004C542C">
        <w:rPr>
          <w:rFonts w:ascii="Times New Roman" w:hAnsi="Times New Roman"/>
          <w:sz w:val="24"/>
          <w:szCs w:val="24"/>
        </w:rPr>
        <w:t xml:space="preserve">., 21 NY3d at 430-431; </w:t>
      </w:r>
      <w:r w:rsidRPr="004C542C">
        <w:rPr>
          <w:rFonts w:ascii="Times New Roman" w:hAnsi="Times New Roman"/>
          <w:i/>
          <w:iCs/>
          <w:sz w:val="24"/>
          <w:szCs w:val="24"/>
        </w:rPr>
        <w:t xml:space="preserve">see </w:t>
      </w:r>
      <w:proofErr w:type="spellStart"/>
      <w:r w:rsidRPr="004C542C">
        <w:rPr>
          <w:rFonts w:ascii="Times New Roman" w:hAnsi="Times New Roman"/>
          <w:i/>
          <w:iCs/>
          <w:sz w:val="24"/>
          <w:szCs w:val="24"/>
        </w:rPr>
        <w:t>Laratro</w:t>
      </w:r>
      <w:proofErr w:type="spellEnd"/>
      <w:r w:rsidRPr="004C542C">
        <w:rPr>
          <w:rFonts w:ascii="Times New Roman" w:hAnsi="Times New Roman"/>
          <w:i/>
          <w:iCs/>
          <w:sz w:val="24"/>
          <w:szCs w:val="24"/>
        </w:rPr>
        <w:t xml:space="preserve"> v City of New York</w:t>
      </w:r>
      <w:r w:rsidRPr="004C542C">
        <w:rPr>
          <w:rFonts w:ascii="Times New Roman" w:hAnsi="Times New Roman"/>
          <w:sz w:val="24"/>
          <w:szCs w:val="24"/>
        </w:rPr>
        <w:t xml:space="preserve">, 8 NY3d at 83; </w:t>
      </w:r>
      <w:r w:rsidRPr="004C542C">
        <w:rPr>
          <w:rFonts w:ascii="Times New Roman" w:hAnsi="Times New Roman"/>
          <w:i/>
          <w:iCs/>
          <w:sz w:val="24"/>
          <w:szCs w:val="24"/>
        </w:rPr>
        <w:t>Cuffy v City of New York</w:t>
      </w:r>
      <w:r w:rsidRPr="004C542C">
        <w:rPr>
          <w:rFonts w:ascii="Times New Roman" w:hAnsi="Times New Roman"/>
          <w:sz w:val="24"/>
          <w:szCs w:val="24"/>
        </w:rPr>
        <w:t>, 69 NY2d 255, 260).</w:t>
      </w:r>
      <w:r>
        <w:rPr>
          <w:rFonts w:ascii="Times New Roman" w:hAnsi="Times New Roman"/>
          <w:sz w:val="24"/>
          <w:szCs w:val="24"/>
        </w:rPr>
        <w:t>’</w:t>
      </w:r>
    </w:p>
    <w:p w14:paraId="18D30AC4" w14:textId="77777777" w:rsidR="00B532F6" w:rsidRDefault="00B532F6" w:rsidP="00B532F6">
      <w:pPr>
        <w:ind w:left="720"/>
        <w:rPr>
          <w:rFonts w:ascii="Times New Roman" w:hAnsi="Times New Roman"/>
          <w:sz w:val="24"/>
          <w:szCs w:val="24"/>
        </w:rPr>
      </w:pPr>
      <w:r>
        <w:rPr>
          <w:rFonts w:ascii="Times New Roman" w:hAnsi="Times New Roman"/>
          <w:sz w:val="24"/>
          <w:szCs w:val="24"/>
        </w:rPr>
        <w:t>***</w:t>
      </w:r>
    </w:p>
    <w:p w14:paraId="7350B37A" w14:textId="77777777" w:rsidR="00B532F6" w:rsidRPr="004C542C" w:rsidRDefault="00B532F6" w:rsidP="00B532F6">
      <w:pPr>
        <w:ind w:left="720"/>
        <w:rPr>
          <w:rFonts w:ascii="Times New Roman" w:eastAsia="Times New Roman" w:hAnsi="Times New Roman"/>
          <w:b/>
          <w:bCs/>
          <w:sz w:val="24"/>
          <w:szCs w:val="24"/>
        </w:rPr>
      </w:pPr>
      <w:r w:rsidRPr="004C542C">
        <w:rPr>
          <w:rFonts w:ascii="Times New Roman" w:hAnsi="Times New Roman"/>
          <w:sz w:val="24"/>
          <w:szCs w:val="24"/>
        </w:rPr>
        <w:t>The prehospital care report summaries and computerized automated dispatch report submitted in support of the City defendants' motion did not constitute documentary evidence within the intendment of CPLR 3211(a)(1) (</w:t>
      </w:r>
      <w:r w:rsidRPr="004C542C">
        <w:rPr>
          <w:rFonts w:ascii="Times New Roman" w:hAnsi="Times New Roman"/>
          <w:i/>
          <w:iCs/>
          <w:sz w:val="24"/>
          <w:szCs w:val="24"/>
        </w:rPr>
        <w:t xml:space="preserve">see </w:t>
      </w:r>
      <w:proofErr w:type="spellStart"/>
      <w:r w:rsidRPr="004C542C">
        <w:rPr>
          <w:rFonts w:ascii="Times New Roman" w:hAnsi="Times New Roman"/>
          <w:i/>
          <w:iCs/>
          <w:sz w:val="24"/>
          <w:szCs w:val="24"/>
        </w:rPr>
        <w:t>Santaiti</w:t>
      </w:r>
      <w:proofErr w:type="spellEnd"/>
      <w:r w:rsidRPr="004C542C">
        <w:rPr>
          <w:rFonts w:ascii="Times New Roman" w:hAnsi="Times New Roman"/>
          <w:i/>
          <w:iCs/>
          <w:sz w:val="24"/>
          <w:szCs w:val="24"/>
        </w:rPr>
        <w:t xml:space="preserve"> v Town of Ramapo</w:t>
      </w:r>
      <w:r w:rsidRPr="004C542C">
        <w:rPr>
          <w:rFonts w:ascii="Times New Roman" w:hAnsi="Times New Roman"/>
          <w:sz w:val="24"/>
          <w:szCs w:val="24"/>
        </w:rPr>
        <w:t xml:space="preserve">, 162 AD3d at 926; </w:t>
      </w:r>
      <w:r w:rsidRPr="004C542C">
        <w:rPr>
          <w:rFonts w:ascii="Times New Roman" w:hAnsi="Times New Roman"/>
          <w:i/>
          <w:iCs/>
          <w:sz w:val="24"/>
          <w:szCs w:val="24"/>
        </w:rPr>
        <w:t>Fontanetta v John Doe 1</w:t>
      </w:r>
      <w:r w:rsidRPr="004C542C">
        <w:rPr>
          <w:rFonts w:ascii="Times New Roman" w:hAnsi="Times New Roman"/>
          <w:sz w:val="24"/>
          <w:szCs w:val="24"/>
        </w:rPr>
        <w:t>, 73 AD3d 78, 87).</w:t>
      </w:r>
      <w:r>
        <w:rPr>
          <w:rFonts w:ascii="Times New Roman" w:hAnsi="Times New Roman"/>
          <w:sz w:val="24"/>
          <w:szCs w:val="24"/>
        </w:rPr>
        <w:t xml:space="preserve"> </w:t>
      </w:r>
      <w:hyperlink r:id="rId2370" w:history="1">
        <w:r w:rsidRPr="000929D2">
          <w:rPr>
            <w:rStyle w:val="Hyperlink"/>
            <w:rFonts w:ascii="Times New Roman" w:hAnsi="Times New Roman"/>
            <w:sz w:val="24"/>
            <w:szCs w:val="24"/>
          </w:rPr>
          <w:t>https://law.justia.com/cases/new-york/appellate-division-second-department/2020/2018-14386.html</w:t>
        </w:r>
      </w:hyperlink>
      <w:r>
        <w:rPr>
          <w:rFonts w:ascii="Times New Roman" w:hAnsi="Times New Roman"/>
          <w:sz w:val="24"/>
          <w:szCs w:val="24"/>
        </w:rPr>
        <w:t xml:space="preserve"> </w:t>
      </w:r>
    </w:p>
    <w:p w14:paraId="019BE7FC" w14:textId="77777777" w:rsidR="00B532F6" w:rsidRDefault="00B532F6" w:rsidP="00B532F6">
      <w:pPr>
        <w:rPr>
          <w:rFonts w:ascii="Times New Roman" w:hAnsi="Times New Roman"/>
          <w:b/>
          <w:bCs/>
          <w:sz w:val="24"/>
          <w:szCs w:val="24"/>
        </w:rPr>
      </w:pPr>
      <w:r w:rsidRPr="004C542C">
        <w:rPr>
          <w:rFonts w:ascii="Times New Roman" w:hAnsi="Times New Roman"/>
          <w:b/>
          <w:bCs/>
          <w:sz w:val="24"/>
          <w:szCs w:val="24"/>
        </w:rPr>
        <w:t xml:space="preserve">Legal Lessons Learned: </w:t>
      </w:r>
      <w:r>
        <w:rPr>
          <w:rFonts w:ascii="Times New Roman" w:hAnsi="Times New Roman"/>
          <w:b/>
          <w:bCs/>
          <w:sz w:val="24"/>
          <w:szCs w:val="24"/>
        </w:rPr>
        <w:t xml:space="preserve"> Governmental immunity normally protects the municipality from EMS liability unless proof of gross negligence or willful or wanton misconduct.  The case will now proceed to pre-trial discovery.  </w:t>
      </w:r>
    </w:p>
    <w:p w14:paraId="551F6971" w14:textId="77777777" w:rsidR="00B532F6" w:rsidRPr="000B00E6" w:rsidRDefault="00B532F6" w:rsidP="00B532F6">
      <w:pPr>
        <w:pStyle w:val="Heading2"/>
        <w:ind w:left="720"/>
        <w:rPr>
          <w:rFonts w:ascii="Times New Roman" w:hAnsi="Times New Roman"/>
          <w:b w:val="0"/>
          <w:bCs w:val="0"/>
          <w:i w:val="0"/>
          <w:iCs w:val="0"/>
          <w:sz w:val="24"/>
          <w:szCs w:val="24"/>
        </w:rPr>
      </w:pPr>
      <w:r w:rsidRPr="000B00E6">
        <w:rPr>
          <w:rFonts w:ascii="Times New Roman" w:hAnsi="Times New Roman"/>
          <w:b w:val="0"/>
          <w:bCs w:val="0"/>
          <w:i w:val="0"/>
          <w:iCs w:val="0"/>
          <w:sz w:val="24"/>
          <w:szCs w:val="24"/>
        </w:rPr>
        <w:t xml:space="preserve">Note: See Ohio Revised Code 4765.49, Emergency medical personnel and agencies - immunity. </w:t>
      </w:r>
      <w:hyperlink r:id="rId2371" w:history="1">
        <w:r w:rsidRPr="000B00E6">
          <w:rPr>
            <w:rStyle w:val="Hyperlink"/>
            <w:rFonts w:ascii="Times New Roman" w:hAnsi="Times New Roman"/>
            <w:b w:val="0"/>
            <w:bCs w:val="0"/>
            <w:i w:val="0"/>
            <w:iCs w:val="0"/>
            <w:sz w:val="24"/>
            <w:szCs w:val="24"/>
          </w:rPr>
          <w:t>https://codes.ohio.gov/orc/4765.49v1</w:t>
        </w:r>
      </w:hyperlink>
      <w:r w:rsidRPr="000B00E6">
        <w:rPr>
          <w:rFonts w:ascii="Times New Roman" w:hAnsi="Times New Roman"/>
          <w:b w:val="0"/>
          <w:bCs w:val="0"/>
          <w:i w:val="0"/>
          <w:iCs w:val="0"/>
          <w:sz w:val="24"/>
          <w:szCs w:val="24"/>
        </w:rPr>
        <w:t xml:space="preserve"> </w:t>
      </w:r>
    </w:p>
    <w:p w14:paraId="311CE50D" w14:textId="77777777" w:rsidR="00B532F6" w:rsidRDefault="00B532F6" w:rsidP="00B532F6">
      <w:pPr>
        <w:pStyle w:val="NormalWeb"/>
        <w:ind w:left="1440"/>
      </w:pPr>
      <w:r>
        <w:t xml:space="preserve">“(A) A first responder, emergency medical technician-basic, emergency medical technician-intermediate, or emergency medical technician-paramedic is not liable in damages in a civil action for injury, death, or loss to person or property resulting from the individual's administration of emergency medical services, unless the services are administered in a manner that constitutes willful or wanton misconduct. A physician, physician assistant designated by a physician, or registered nurse designated by a physician, any of whom is advising or assisting in the emergency medical services by means of any communication device or telemetering system, is not liable in damages in a civil action for injury, death, or loss to person or property resulting from the individual's advisory communication or assistance, unless the advisory communication or assistance is provided in a manner that constitutes willful or wanton misconduct. Medical directors and members of cooperating physician advisory boards of emergency medical service organizations are not liable in damages in a civil action for injury, death, or loss to person or property resulting from their acts or omissions in the performance of their duties, unless the act or omission constitutes willful or wanton misconduct. </w:t>
      </w:r>
    </w:p>
    <w:p w14:paraId="3C8BF03A" w14:textId="77777777" w:rsidR="00B532F6" w:rsidRDefault="00B532F6" w:rsidP="00B532F6">
      <w:pPr>
        <w:pStyle w:val="NormalWeb"/>
        <w:ind w:left="1440"/>
      </w:pPr>
      <w:r>
        <w:t>(B) A political subdivision, joint ambulance district, joint emergency medical services district, or other public agency, and any officer or employee of a public agency or of a private organization operating under contract or in joint agreement with one or more political subdivisions, that provides emergency medical services, or that enters into a joint agreement or a contract with the state, any political subdivision, joint ambulance district, or joint emergency medical services district for the provision of emergency medical services, is not liable in damages in a civil action for injury, death, or loss to person or property arising out of any actions taken by a first responder, EMT-basic, EMT-I, or paramedic working under the officer's or employee's jurisdiction, or for injury, death, or loss to person or property arising out of any actions of licensed medical personnel advising or assisting the first responder, EMT-basic, EMT-I, or paramedic, unless the services are provided in a manner that constitutes willful or wanton misconduct.”</w:t>
      </w:r>
    </w:p>
    <w:p w14:paraId="3664E206" w14:textId="77777777" w:rsidR="00B532F6" w:rsidRDefault="00B532F6" w:rsidP="001C563D">
      <w:pPr>
        <w:rPr>
          <w:rFonts w:ascii="Arial Black" w:hAnsi="Arial Black"/>
          <w:b/>
          <w:bCs/>
          <w:sz w:val="28"/>
          <w:szCs w:val="28"/>
        </w:rPr>
      </w:pPr>
    </w:p>
    <w:p w14:paraId="2386F71C" w14:textId="441FD9AC" w:rsidR="00B532F6" w:rsidRPr="00B532F6" w:rsidRDefault="00B532F6" w:rsidP="001C563D">
      <w:pPr>
        <w:rPr>
          <w:rFonts w:ascii="Times New Roman" w:hAnsi="Times New Roman"/>
          <w:sz w:val="24"/>
          <w:szCs w:val="24"/>
        </w:rPr>
      </w:pPr>
      <w:r>
        <w:rPr>
          <w:rFonts w:ascii="Arial Black" w:hAnsi="Arial Black"/>
          <w:b/>
          <w:bCs/>
          <w:sz w:val="28"/>
          <w:szCs w:val="28"/>
        </w:rPr>
        <w:lastRenderedPageBreak/>
        <w:t xml:space="preserve">13-63 </w:t>
      </w:r>
      <w:r w:rsidRPr="00B532F6">
        <w:rPr>
          <w:rFonts w:ascii="Times New Roman" w:hAnsi="Times New Roman"/>
          <w:sz w:val="24"/>
          <w:szCs w:val="24"/>
        </w:rPr>
        <w:t>[also filed, Chap. 18]</w:t>
      </w:r>
    </w:p>
    <w:p w14:paraId="2AF5AC26" w14:textId="77777777" w:rsidR="00B532F6" w:rsidRPr="004D5BFC" w:rsidRDefault="00B532F6" w:rsidP="00B532F6">
      <w:pPr>
        <w:rPr>
          <w:rFonts w:ascii="Arial Black" w:hAnsi="Arial Black"/>
          <w:sz w:val="28"/>
          <w:szCs w:val="28"/>
        </w:rPr>
      </w:pPr>
      <w:r>
        <w:rPr>
          <w:rFonts w:ascii="Arial Black" w:hAnsi="Arial Black"/>
          <w:sz w:val="28"/>
          <w:szCs w:val="28"/>
        </w:rPr>
        <w:t xml:space="preserve">OH:  TEMPORARY IMMUNITY DURING COVID-19 PANDEMIC – EMERGENCY RESPONDERS, SCHOOLS PROTECTED TORT LIABILITY  </w:t>
      </w:r>
    </w:p>
    <w:p w14:paraId="2DD9ED7F" w14:textId="77777777" w:rsidR="00B532F6" w:rsidRPr="00820E9C" w:rsidRDefault="00B532F6" w:rsidP="00B532F6">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Sept. 14, 2020, Ohio Governor Mike DeWine signed House Bill 606 into law.  </w:t>
      </w:r>
      <w:r w:rsidRPr="00820E9C">
        <w:rPr>
          <w:rFonts w:ascii="Times New Roman" w:hAnsi="Times New Roman"/>
          <w:sz w:val="24"/>
          <w:szCs w:val="24"/>
        </w:rPr>
        <w:t xml:space="preserve">“The bill ensures civil immunity to individuals, schools, health care providers, businesses and other entities from lawsuits arising from exposure, transmission or contraction of COVID-19, or any mutation of the virus, </w:t>
      </w:r>
      <w:proofErr w:type="gramStart"/>
      <w:r w:rsidRPr="00820E9C">
        <w:rPr>
          <w:rFonts w:ascii="Times New Roman" w:hAnsi="Times New Roman"/>
          <w:sz w:val="24"/>
          <w:szCs w:val="24"/>
        </w:rPr>
        <w:t>as long as</w:t>
      </w:r>
      <w:proofErr w:type="gramEnd"/>
      <w:r w:rsidRPr="00820E9C">
        <w:rPr>
          <w:rFonts w:ascii="Times New Roman" w:hAnsi="Times New Roman"/>
          <w:sz w:val="24"/>
          <w:szCs w:val="24"/>
        </w:rPr>
        <w:t xml:space="preserve"> they were not showing reckless, intentional or willful misconduct. It also shields health care providers from liability in tort actions regarding the care and services they provide during this pandemic unless they were acting recklessly or displaying intentional </w:t>
      </w:r>
      <w:proofErr w:type="gramStart"/>
      <w:r w:rsidRPr="00820E9C">
        <w:rPr>
          <w:rFonts w:ascii="Times New Roman" w:hAnsi="Times New Roman"/>
          <w:sz w:val="24"/>
          <w:szCs w:val="24"/>
        </w:rPr>
        <w:t>misconduct.</w:t>
      </w:r>
      <w:r>
        <w:rPr>
          <w:rFonts w:ascii="Times New Roman" w:hAnsi="Times New Roman"/>
          <w:sz w:val="24"/>
          <w:szCs w:val="24"/>
        </w:rPr>
        <w:t>”</w:t>
      </w:r>
      <w:proofErr w:type="gramEnd"/>
      <w:r w:rsidRPr="00820E9C">
        <w:rPr>
          <w:rFonts w:ascii="Times New Roman" w:hAnsi="Times New Roman"/>
          <w:sz w:val="24"/>
          <w:szCs w:val="24"/>
        </w:rPr>
        <w:t xml:space="preserve"> </w:t>
      </w:r>
      <w:hyperlink r:id="rId2372" w:history="1">
        <w:r w:rsidRPr="00EA25E1">
          <w:rPr>
            <w:rStyle w:val="Hyperlink"/>
            <w:rFonts w:ascii="Times New Roman" w:hAnsi="Times New Roman"/>
            <w:sz w:val="24"/>
            <w:szCs w:val="24"/>
          </w:rPr>
          <w:t>https://www.wkbn.com/news/coronavirus/dewine-signs-law-giving-covid-19-lawsuit-immunity/</w:t>
        </w:r>
      </w:hyperlink>
      <w:r>
        <w:rPr>
          <w:rFonts w:ascii="Times New Roman" w:hAnsi="Times New Roman"/>
          <w:sz w:val="24"/>
          <w:szCs w:val="24"/>
        </w:rPr>
        <w:t xml:space="preserve">  This will be particularly helpful to FDs that host paramedic and EMS students needing “ride time” for their certifications. See the statute: </w:t>
      </w:r>
      <w:hyperlink r:id="rId2373" w:history="1">
        <w:r w:rsidRPr="00EA25E1">
          <w:rPr>
            <w:rStyle w:val="Hyperlink"/>
            <w:rFonts w:ascii="Times New Roman" w:hAnsi="Times New Roman"/>
            <w:sz w:val="24"/>
            <w:szCs w:val="24"/>
          </w:rPr>
          <w:t>https://www.hannah.com/ShowDocument.aspx?BTextID=219206</w:t>
        </w:r>
      </w:hyperlink>
      <w:r>
        <w:rPr>
          <w:rFonts w:ascii="Times New Roman" w:hAnsi="Times New Roman"/>
          <w:sz w:val="24"/>
          <w:szCs w:val="24"/>
        </w:rPr>
        <w:t xml:space="preserve"> </w:t>
      </w:r>
    </w:p>
    <w:p w14:paraId="7D943446" w14:textId="77777777" w:rsidR="00B532F6" w:rsidRDefault="00B532F6" w:rsidP="00B532F6">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The statute is an excellent example of legislation providing immunity from tort liability during the pandemic for those serving others, including emergency responders.  </w:t>
      </w:r>
    </w:p>
    <w:p w14:paraId="39A64FF3" w14:textId="77777777" w:rsidR="00B532F6" w:rsidRPr="00E85202" w:rsidRDefault="00B532F6" w:rsidP="00B532F6">
      <w:pPr>
        <w:spacing w:before="100" w:beforeAutospacing="1" w:after="100" w:afterAutospacing="1" w:line="240" w:lineRule="auto"/>
        <w:ind w:left="720"/>
        <w:rPr>
          <w:rFonts w:ascii="Times New Roman" w:eastAsia="Times New Roman" w:hAnsi="Times New Roman"/>
          <w:sz w:val="24"/>
          <w:szCs w:val="24"/>
        </w:rPr>
      </w:pPr>
      <w:r w:rsidRPr="00E85202">
        <w:rPr>
          <w:rFonts w:ascii="Times New Roman" w:eastAsia="Times New Roman" w:hAnsi="Times New Roman"/>
          <w:sz w:val="24"/>
          <w:szCs w:val="24"/>
        </w:rPr>
        <w:t xml:space="preserve">Note: See legislative history: </w:t>
      </w:r>
      <w:hyperlink r:id="rId2374" w:history="1">
        <w:r w:rsidRPr="00EA25E1">
          <w:rPr>
            <w:rStyle w:val="Hyperlink"/>
            <w:rFonts w:ascii="Times New Roman" w:eastAsia="Times New Roman" w:hAnsi="Times New Roman"/>
            <w:sz w:val="24"/>
            <w:szCs w:val="24"/>
          </w:rPr>
          <w:t>https://www.legislature.ohio.gov/legislation/legislation-documents?id=GA133-HB-606</w:t>
        </w:r>
      </w:hyperlink>
      <w:r w:rsidRPr="00E85202">
        <w:rPr>
          <w:rFonts w:ascii="Times New Roman" w:eastAsia="Times New Roman" w:hAnsi="Times New Roman"/>
          <w:sz w:val="24"/>
          <w:szCs w:val="24"/>
        </w:rPr>
        <w:t xml:space="preserve"> </w:t>
      </w:r>
    </w:p>
    <w:p w14:paraId="347C9890" w14:textId="77777777" w:rsidR="00B532F6" w:rsidRDefault="00B532F6" w:rsidP="001C563D">
      <w:pPr>
        <w:rPr>
          <w:rFonts w:ascii="Arial Black" w:hAnsi="Arial Black"/>
          <w:b/>
          <w:bCs/>
          <w:sz w:val="28"/>
          <w:szCs w:val="28"/>
        </w:rPr>
      </w:pPr>
    </w:p>
    <w:p w14:paraId="45464A38" w14:textId="77777777" w:rsidR="00B532F6" w:rsidRDefault="00B532F6" w:rsidP="001C563D">
      <w:pPr>
        <w:rPr>
          <w:rFonts w:ascii="Arial Black" w:hAnsi="Arial Black"/>
          <w:b/>
          <w:bCs/>
          <w:sz w:val="28"/>
          <w:szCs w:val="28"/>
        </w:rPr>
      </w:pPr>
    </w:p>
    <w:p w14:paraId="6D00479F" w14:textId="0BC2A526" w:rsidR="00557CA2" w:rsidRDefault="00557CA2" w:rsidP="001C563D">
      <w:pPr>
        <w:rPr>
          <w:rFonts w:ascii="Arial Black" w:hAnsi="Arial Black"/>
          <w:b/>
          <w:bCs/>
          <w:sz w:val="28"/>
          <w:szCs w:val="28"/>
        </w:rPr>
      </w:pPr>
      <w:r>
        <w:rPr>
          <w:rFonts w:ascii="Arial Black" w:hAnsi="Arial Black"/>
          <w:b/>
          <w:bCs/>
          <w:sz w:val="28"/>
          <w:szCs w:val="28"/>
        </w:rPr>
        <w:t>13-62</w:t>
      </w:r>
    </w:p>
    <w:p w14:paraId="4016C6AA" w14:textId="77777777" w:rsidR="00557CA2" w:rsidRDefault="00557CA2" w:rsidP="00557CA2">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TX: “UNRESTRAINED” PATIENT DROPPED FROM STRETCHER – UNEVEN DRIVEWAY – NO EXPERT REPORT</w:t>
      </w:r>
    </w:p>
    <w:p w14:paraId="44D036CF" w14:textId="77777777" w:rsidR="00557CA2" w:rsidRDefault="00557CA2" w:rsidP="00557CA2">
      <w:pPr>
        <w:pStyle w:val="Heading1"/>
        <w:rPr>
          <w:b w:val="0"/>
          <w:bCs w:val="0"/>
          <w:sz w:val="24"/>
          <w:szCs w:val="24"/>
        </w:rPr>
      </w:pPr>
      <w:r>
        <w:rPr>
          <w:sz w:val="24"/>
          <w:szCs w:val="24"/>
        </w:rPr>
        <w:t xml:space="preserve"> </w:t>
      </w:r>
      <w:r>
        <w:rPr>
          <w:b w:val="0"/>
          <w:bCs w:val="0"/>
          <w:sz w:val="24"/>
          <w:szCs w:val="24"/>
        </w:rPr>
        <w:t xml:space="preserve">On Aug. 25, 2020, in City of </w:t>
      </w:r>
      <w:r>
        <w:rPr>
          <w:b w:val="0"/>
          <w:bCs w:val="0"/>
          <w:sz w:val="24"/>
          <w:szCs w:val="24"/>
          <w:u w:val="single"/>
        </w:rPr>
        <w:t>Houston v. Shirley Houston</w:t>
      </w:r>
      <w:r>
        <w:rPr>
          <w:b w:val="0"/>
          <w:bCs w:val="0"/>
          <w:sz w:val="24"/>
          <w:szCs w:val="24"/>
        </w:rPr>
        <w:t xml:space="preserve">, the Court of Appeals for the First District of Texas held (3 to 0) that the lawsuit should be dismissed, reversing a trial judge’s denial of City’s motion to dismiss. </w:t>
      </w:r>
    </w:p>
    <w:p w14:paraId="02D36EE1" w14:textId="77777777" w:rsidR="00557CA2" w:rsidRDefault="00557CA2" w:rsidP="00557CA2">
      <w:pPr>
        <w:pStyle w:val="Heading1"/>
        <w:ind w:left="720"/>
        <w:rPr>
          <w:b w:val="0"/>
          <w:bCs w:val="0"/>
          <w:sz w:val="24"/>
          <w:szCs w:val="24"/>
        </w:rPr>
      </w:pPr>
      <w:r>
        <w:rPr>
          <w:b w:val="0"/>
          <w:bCs w:val="0"/>
          <w:sz w:val="24"/>
          <w:szCs w:val="24"/>
        </w:rPr>
        <w:t>“In its sole issue, the City contends that the trial court erred in denying its motion to dismiss because Houston's claim constitutes a health care liability claim</w:t>
      </w:r>
      <w:bookmarkStart w:id="454" w:name="fn2"/>
      <w:r>
        <w:rPr>
          <w:b w:val="0"/>
          <w:bCs w:val="0"/>
          <w:sz w:val="24"/>
          <w:szCs w:val="24"/>
        </w:rPr>
        <w:fldChar w:fldCharType="begin"/>
      </w:r>
      <w:r>
        <w:rPr>
          <w:b w:val="0"/>
          <w:bCs w:val="0"/>
          <w:sz w:val="24"/>
          <w:szCs w:val="24"/>
        </w:rPr>
        <w:instrText xml:space="preserve"> HYPERLINK "https://public.fastcase.com/" \l "fr2" </w:instrText>
      </w:r>
      <w:r>
        <w:rPr>
          <w:b w:val="0"/>
          <w:bCs w:val="0"/>
          <w:sz w:val="24"/>
          <w:szCs w:val="24"/>
        </w:rPr>
      </w:r>
      <w:r>
        <w:rPr>
          <w:b w:val="0"/>
          <w:bCs w:val="0"/>
          <w:sz w:val="24"/>
          <w:szCs w:val="24"/>
        </w:rPr>
        <w:fldChar w:fldCharType="separate"/>
      </w:r>
      <w:r>
        <w:rPr>
          <w:rStyle w:val="Hyperlink"/>
          <w:rFonts w:eastAsiaTheme="majorEastAsia"/>
          <w:b w:val="0"/>
          <w:bCs w:val="0"/>
          <w:sz w:val="24"/>
          <w:szCs w:val="24"/>
          <w:vertAlign w:val="superscript"/>
        </w:rPr>
        <w:t>2</w:t>
      </w:r>
      <w:r>
        <w:rPr>
          <w:b w:val="0"/>
          <w:bCs w:val="0"/>
          <w:sz w:val="24"/>
          <w:szCs w:val="24"/>
        </w:rPr>
        <w:fldChar w:fldCharType="end"/>
      </w:r>
      <w:bookmarkEnd w:id="454"/>
      <w:r>
        <w:rPr>
          <w:b w:val="0"/>
          <w:bCs w:val="0"/>
          <w:sz w:val="24"/>
          <w:szCs w:val="24"/>
        </w:rPr>
        <w:t xml:space="preserve"> and she failed to serve it with a </w:t>
      </w:r>
      <w:proofErr w:type="gramStart"/>
      <w:r>
        <w:rPr>
          <w:b w:val="0"/>
          <w:bCs w:val="0"/>
          <w:sz w:val="24"/>
          <w:szCs w:val="24"/>
        </w:rPr>
        <w:t>statutorily-required</w:t>
      </w:r>
      <w:proofErr w:type="gramEnd"/>
      <w:r>
        <w:rPr>
          <w:b w:val="0"/>
          <w:bCs w:val="0"/>
          <w:sz w:val="24"/>
          <w:szCs w:val="24"/>
        </w:rPr>
        <w:t xml:space="preserve"> expert report.</w:t>
      </w:r>
      <w:r>
        <w:rPr>
          <w:b w:val="0"/>
          <w:bCs w:val="0"/>
          <w:sz w:val="24"/>
          <w:szCs w:val="24"/>
          <w:vertAlign w:val="superscript"/>
        </w:rPr>
        <w:t xml:space="preserve"> *** </w:t>
      </w:r>
      <w:r>
        <w:rPr>
          <w:b w:val="0"/>
          <w:bCs w:val="0"/>
          <w:sz w:val="24"/>
          <w:szCs w:val="24"/>
        </w:rPr>
        <w:t xml:space="preserve">Here, the allegations in Houston's first amended petition show that her claim is against a health care provider and is based on facts that implicate the defendant's conduct </w:t>
      </w:r>
      <w:proofErr w:type="gramStart"/>
      <w:r>
        <w:rPr>
          <w:b w:val="0"/>
          <w:bCs w:val="0"/>
          <w:sz w:val="24"/>
          <w:szCs w:val="24"/>
        </w:rPr>
        <w:t>during the course of</w:t>
      </w:r>
      <w:proofErr w:type="gramEnd"/>
      <w:r>
        <w:rPr>
          <w:b w:val="0"/>
          <w:bCs w:val="0"/>
          <w:sz w:val="24"/>
          <w:szCs w:val="24"/>
        </w:rPr>
        <w:t xml:space="preserve"> a patient's care, treatment, or confinement….  Thus, [the Plaintiff] bore the burden of rebutting the presumption that her claim against the City was a health care liability claim…. She has not done so.” </w:t>
      </w:r>
      <w:hyperlink r:id="rId2375" w:history="1">
        <w:r>
          <w:rPr>
            <w:rStyle w:val="Hyperlink"/>
            <w:rFonts w:eastAsiaTheme="majorEastAsia"/>
            <w:b w:val="0"/>
            <w:bCs w:val="0"/>
            <w:sz w:val="24"/>
            <w:szCs w:val="24"/>
          </w:rPr>
          <w:t>https://law.justia.com/cases/texas/first-court-of-appeals/2020/01-19-00255-cv.html</w:t>
        </w:r>
      </w:hyperlink>
      <w:r>
        <w:rPr>
          <w:b w:val="0"/>
          <w:bCs w:val="0"/>
          <w:sz w:val="24"/>
          <w:szCs w:val="24"/>
        </w:rPr>
        <w:t xml:space="preserve"> </w:t>
      </w:r>
    </w:p>
    <w:p w14:paraId="0E5BE7E5" w14:textId="77777777" w:rsidR="00CD02AE" w:rsidRDefault="00CD02AE" w:rsidP="00CD02AE">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When moving a patient on a stretcher from her home the patient must be “secured” to the stretcher and extreme caution must be exercised.  </w:t>
      </w:r>
    </w:p>
    <w:p w14:paraId="43A8DC43" w14:textId="77777777" w:rsidR="00557CA2" w:rsidRDefault="00557CA2" w:rsidP="001C563D">
      <w:pPr>
        <w:rPr>
          <w:rFonts w:ascii="Arial Black" w:hAnsi="Arial Black"/>
          <w:b/>
          <w:bCs/>
          <w:sz w:val="28"/>
          <w:szCs w:val="28"/>
        </w:rPr>
      </w:pPr>
    </w:p>
    <w:p w14:paraId="2ECCBAD4" w14:textId="77777777" w:rsidR="00557CA2" w:rsidRDefault="00557CA2" w:rsidP="001C563D">
      <w:pPr>
        <w:rPr>
          <w:rFonts w:ascii="Arial Black" w:hAnsi="Arial Black"/>
          <w:b/>
          <w:bCs/>
          <w:sz w:val="28"/>
          <w:szCs w:val="28"/>
        </w:rPr>
      </w:pPr>
    </w:p>
    <w:p w14:paraId="0497B739" w14:textId="3EC88CC2" w:rsidR="001C563D" w:rsidRPr="007105B3" w:rsidRDefault="007105B3" w:rsidP="001C563D">
      <w:pPr>
        <w:rPr>
          <w:rFonts w:ascii="Times New Roman" w:hAnsi="Times New Roman"/>
          <w:bCs/>
          <w:sz w:val="24"/>
          <w:szCs w:val="24"/>
        </w:rPr>
      </w:pPr>
      <w:r>
        <w:rPr>
          <w:rFonts w:ascii="Arial Black" w:hAnsi="Arial Black"/>
          <w:b/>
          <w:bCs/>
          <w:sz w:val="28"/>
          <w:szCs w:val="28"/>
        </w:rPr>
        <w:lastRenderedPageBreak/>
        <w:t>13-</w:t>
      </w:r>
      <w:r w:rsidR="001C563D">
        <w:rPr>
          <w:rFonts w:ascii="Arial Black" w:hAnsi="Arial Black"/>
          <w:b/>
          <w:bCs/>
          <w:sz w:val="28"/>
          <w:szCs w:val="28"/>
        </w:rPr>
        <w:t>6</w:t>
      </w:r>
      <w:r w:rsidR="001A653A">
        <w:rPr>
          <w:rFonts w:ascii="Arial Black" w:hAnsi="Arial Black"/>
          <w:b/>
          <w:bCs/>
          <w:sz w:val="28"/>
          <w:szCs w:val="28"/>
        </w:rPr>
        <w:t>1</w:t>
      </w:r>
      <w:r w:rsidR="001C563D">
        <w:rPr>
          <w:rFonts w:ascii="Arial Black" w:hAnsi="Arial Black"/>
          <w:b/>
          <w:bCs/>
          <w:sz w:val="28"/>
          <w:szCs w:val="28"/>
        </w:rPr>
        <w:t xml:space="preserve"> </w:t>
      </w:r>
      <w:r w:rsidR="001C563D" w:rsidRPr="007105B3">
        <w:rPr>
          <w:rFonts w:ascii="Times New Roman" w:hAnsi="Times New Roman"/>
          <w:bCs/>
          <w:sz w:val="24"/>
          <w:szCs w:val="24"/>
        </w:rPr>
        <w:t xml:space="preserve">[Also filed, Chap. </w:t>
      </w:r>
      <w:r w:rsidR="001C563D">
        <w:rPr>
          <w:rFonts w:ascii="Times New Roman" w:hAnsi="Times New Roman"/>
          <w:bCs/>
          <w:sz w:val="24"/>
          <w:szCs w:val="24"/>
        </w:rPr>
        <w:t>5</w:t>
      </w:r>
      <w:r w:rsidR="001C563D" w:rsidRPr="007105B3">
        <w:rPr>
          <w:rFonts w:ascii="Times New Roman" w:hAnsi="Times New Roman"/>
          <w:bCs/>
          <w:sz w:val="24"/>
          <w:szCs w:val="24"/>
        </w:rPr>
        <w:t>]</w:t>
      </w:r>
    </w:p>
    <w:p w14:paraId="7DE34904" w14:textId="77777777" w:rsidR="007105B3" w:rsidRDefault="007105B3" w:rsidP="007105B3">
      <w:pPr>
        <w:pStyle w:val="NoSpacing"/>
        <w:rPr>
          <w:rFonts w:ascii="Arial Black" w:hAnsi="Arial Black"/>
          <w:sz w:val="28"/>
          <w:szCs w:val="28"/>
        </w:rPr>
      </w:pPr>
      <w:r w:rsidRPr="00284D4F">
        <w:rPr>
          <w:rFonts w:ascii="Arial Black" w:hAnsi="Arial Black"/>
          <w:sz w:val="28"/>
          <w:szCs w:val="28"/>
        </w:rPr>
        <w:t xml:space="preserve">IL: </w:t>
      </w:r>
      <w:r>
        <w:rPr>
          <w:rFonts w:ascii="Arial Black" w:hAnsi="Arial Black"/>
          <w:sz w:val="28"/>
          <w:szCs w:val="28"/>
        </w:rPr>
        <w:t>PRIVATE AMBULANCE – RAN RED LIGHT WHEN DRIVING TO NON-EMERGENCY TRANSPORT - NO IMMUNITY</w:t>
      </w:r>
    </w:p>
    <w:p w14:paraId="1375197D" w14:textId="77777777" w:rsidR="007105B3" w:rsidRDefault="007105B3" w:rsidP="007105B3">
      <w:pPr>
        <w:pStyle w:val="NoSpacing"/>
        <w:rPr>
          <w:rFonts w:ascii="Arial Black" w:hAnsi="Arial Black"/>
          <w:sz w:val="28"/>
          <w:szCs w:val="28"/>
        </w:rPr>
      </w:pPr>
    </w:p>
    <w:p w14:paraId="0E5F8DC8" w14:textId="77777777" w:rsidR="007105B3" w:rsidRPr="00700A10" w:rsidRDefault="007105B3" w:rsidP="007105B3">
      <w:pPr>
        <w:pStyle w:val="NoSpacing"/>
        <w:rPr>
          <w:rFonts w:ascii="Times New Roman" w:hAnsi="Times New Roman"/>
          <w:sz w:val="24"/>
          <w:szCs w:val="24"/>
        </w:rPr>
      </w:pPr>
      <w:r w:rsidRPr="00284D4F">
        <w:rPr>
          <w:rFonts w:ascii="Times New Roman" w:hAnsi="Times New Roman"/>
          <w:sz w:val="24"/>
          <w:szCs w:val="24"/>
        </w:rPr>
        <w:t xml:space="preserve">On </w:t>
      </w:r>
      <w:r>
        <w:rPr>
          <w:rFonts w:ascii="Times New Roman" w:hAnsi="Times New Roman"/>
          <w:sz w:val="24"/>
          <w:szCs w:val="24"/>
        </w:rPr>
        <w:t xml:space="preserve">June 18, 2020, in </w:t>
      </w:r>
      <w:r w:rsidRPr="00284D4F">
        <w:rPr>
          <w:rFonts w:ascii="Times New Roman" w:hAnsi="Times New Roman"/>
          <w:sz w:val="24"/>
          <w:szCs w:val="24"/>
          <w:u w:val="single"/>
        </w:rPr>
        <w:t>Roberto Hernandez v. Lifeline Ambulance, LLC, et al</w:t>
      </w:r>
      <w:r>
        <w:rPr>
          <w:rFonts w:ascii="Times New Roman" w:hAnsi="Times New Roman"/>
          <w:sz w:val="24"/>
          <w:szCs w:val="24"/>
        </w:rPr>
        <w:t xml:space="preserve">., the Supreme Court of State of Illinois, held (4 to 3) that the private ambulance driver and his employer are not protected under the state’s EMS immunity statute when the ambulance driver, on a non-emergency run without lights or siren, ran a red light and injured the driver of another vehicle. The ambulance had been dispatched </w:t>
      </w:r>
      <w:r w:rsidRPr="00700A10">
        <w:rPr>
          <w:rFonts w:ascii="Times New Roman" w:hAnsi="Times New Roman"/>
          <w:sz w:val="24"/>
          <w:szCs w:val="24"/>
        </w:rPr>
        <w:t>to pick up a patient for nonemergency medical transport from Symphony at Aria Post Acute Care in Hillside to Villa Park Home Dialysis in Villa Park</w:t>
      </w:r>
      <w:r>
        <w:rPr>
          <w:rFonts w:ascii="Times New Roman" w:hAnsi="Times New Roman"/>
          <w:sz w:val="24"/>
          <w:szCs w:val="24"/>
        </w:rPr>
        <w:t>. The Court’s majority held: “</w:t>
      </w:r>
      <w:r w:rsidRPr="00700A10">
        <w:rPr>
          <w:rFonts w:ascii="Times New Roman" w:hAnsi="Times New Roman"/>
          <w:sz w:val="24"/>
          <w:szCs w:val="24"/>
        </w:rPr>
        <w:t xml:space="preserve">The issue presented is whether section 3.150 of the Emergency Medical Services Systems Act (EMS Act) (210 ILCS 50/3.150 (West 2016)) provides immunity from liability—to an ambulance owner and its driver—stemming from a motor-vehicle accident caused by the negligent operation of the ambulance while </w:t>
      </w:r>
      <w:proofErr w:type="spellStart"/>
      <w:r w:rsidRPr="00700A10">
        <w:rPr>
          <w:rFonts w:ascii="Times New Roman" w:hAnsi="Times New Roman"/>
          <w:sz w:val="24"/>
          <w:szCs w:val="24"/>
        </w:rPr>
        <w:t>en</w:t>
      </w:r>
      <w:proofErr w:type="spellEnd"/>
      <w:r w:rsidRPr="00700A10">
        <w:rPr>
          <w:rFonts w:ascii="Times New Roman" w:hAnsi="Times New Roman"/>
          <w:sz w:val="24"/>
          <w:szCs w:val="24"/>
        </w:rPr>
        <w:t xml:space="preserve"> route to pick up a patient for nonemergency transportation. We answer this question in the negative, holding that defendants are not immune from liability under the circumstances of this case.</w:t>
      </w:r>
      <w:r>
        <w:rPr>
          <w:rFonts w:ascii="Times New Roman" w:hAnsi="Times New Roman"/>
          <w:sz w:val="24"/>
          <w:szCs w:val="24"/>
        </w:rPr>
        <w:t xml:space="preserve">” </w:t>
      </w:r>
      <w:hyperlink r:id="rId2376" w:history="1">
        <w:r w:rsidRPr="005B0C9C">
          <w:rPr>
            <w:rStyle w:val="Hyperlink"/>
            <w:rFonts w:ascii="Times New Roman" w:hAnsi="Times New Roman"/>
            <w:sz w:val="24"/>
            <w:szCs w:val="24"/>
          </w:rPr>
          <w:t>https://courts.illinois.gov/Opinions/SupremeCourt/2020/124610.pdf</w:t>
        </w:r>
      </w:hyperlink>
      <w:r>
        <w:rPr>
          <w:rFonts w:ascii="Times New Roman" w:hAnsi="Times New Roman"/>
          <w:sz w:val="24"/>
          <w:szCs w:val="24"/>
        </w:rPr>
        <w:t xml:space="preserve"> </w:t>
      </w:r>
    </w:p>
    <w:p w14:paraId="02CEDC12" w14:textId="77777777" w:rsidR="007105B3" w:rsidRPr="00700A10" w:rsidRDefault="007105B3" w:rsidP="007105B3">
      <w:pPr>
        <w:pStyle w:val="NoSpacing"/>
        <w:rPr>
          <w:rFonts w:ascii="Times New Roman" w:hAnsi="Times New Roman"/>
          <w:sz w:val="24"/>
          <w:szCs w:val="24"/>
        </w:rPr>
      </w:pPr>
    </w:p>
    <w:p w14:paraId="54DD4AAC" w14:textId="77777777" w:rsidR="007105B3" w:rsidRPr="00700A10" w:rsidRDefault="007105B3" w:rsidP="007105B3">
      <w:pPr>
        <w:pStyle w:val="NoSpacing"/>
        <w:rPr>
          <w:rFonts w:ascii="Times New Roman" w:hAnsi="Times New Roman"/>
          <w:b/>
          <w:bCs/>
          <w:sz w:val="24"/>
          <w:szCs w:val="24"/>
        </w:rPr>
      </w:pPr>
      <w:r w:rsidRPr="00700A10">
        <w:rPr>
          <w:rFonts w:ascii="Times New Roman" w:hAnsi="Times New Roman"/>
          <w:b/>
          <w:bCs/>
          <w:sz w:val="24"/>
          <w:szCs w:val="24"/>
        </w:rPr>
        <w:t>Legal Lessons Learned:</w:t>
      </w:r>
      <w:r>
        <w:rPr>
          <w:rFonts w:ascii="Times New Roman" w:hAnsi="Times New Roman"/>
          <w:b/>
          <w:bCs/>
          <w:sz w:val="24"/>
          <w:szCs w:val="24"/>
        </w:rPr>
        <w:t xml:space="preserve"> EMS driving running a red light for a non-emergency transport should be held responsible, along with his company, for his negligent conduct. </w:t>
      </w:r>
    </w:p>
    <w:p w14:paraId="488681CD" w14:textId="77777777" w:rsidR="007105B3" w:rsidRDefault="007105B3" w:rsidP="007105B3">
      <w:pPr>
        <w:pStyle w:val="NoSpacing"/>
        <w:rPr>
          <w:rFonts w:ascii="Times New Roman" w:hAnsi="Times New Roman"/>
          <w:sz w:val="24"/>
          <w:szCs w:val="24"/>
        </w:rPr>
      </w:pPr>
    </w:p>
    <w:p w14:paraId="6B2E73BB" w14:textId="77777777" w:rsidR="007105B3" w:rsidRPr="005262A7" w:rsidRDefault="007105B3" w:rsidP="007105B3">
      <w:pPr>
        <w:pStyle w:val="NoSpacing"/>
        <w:ind w:firstLine="720"/>
        <w:rPr>
          <w:rFonts w:ascii="Times New Roman" w:hAnsi="Times New Roman"/>
          <w:sz w:val="24"/>
          <w:szCs w:val="24"/>
        </w:rPr>
      </w:pPr>
      <w:r w:rsidRPr="005262A7">
        <w:rPr>
          <w:rFonts w:ascii="Times New Roman" w:hAnsi="Times New Roman"/>
          <w:sz w:val="24"/>
          <w:szCs w:val="24"/>
        </w:rPr>
        <w:t xml:space="preserve">Note: Three dissenting Justices </w:t>
      </w:r>
      <w:r>
        <w:rPr>
          <w:rFonts w:ascii="Times New Roman" w:hAnsi="Times New Roman"/>
          <w:sz w:val="24"/>
          <w:szCs w:val="24"/>
        </w:rPr>
        <w:t>disagreed:</w:t>
      </w:r>
    </w:p>
    <w:p w14:paraId="701ABA1A" w14:textId="77777777" w:rsidR="007105B3" w:rsidRDefault="007105B3" w:rsidP="007105B3">
      <w:pPr>
        <w:pStyle w:val="NoSpacing"/>
        <w:ind w:left="720"/>
        <w:rPr>
          <w:rFonts w:ascii="Times New Roman" w:hAnsi="Times New Roman"/>
          <w:sz w:val="24"/>
          <w:szCs w:val="24"/>
        </w:rPr>
      </w:pPr>
    </w:p>
    <w:p w14:paraId="4C626A4F" w14:textId="77777777" w:rsidR="007105B3" w:rsidRDefault="007105B3" w:rsidP="007105B3">
      <w:pPr>
        <w:pStyle w:val="NoSpacing"/>
        <w:ind w:left="720"/>
      </w:pPr>
      <w:r>
        <w:rPr>
          <w:rFonts w:ascii="Times New Roman" w:hAnsi="Times New Roman"/>
          <w:sz w:val="24"/>
          <w:szCs w:val="24"/>
        </w:rPr>
        <w:t>“</w:t>
      </w:r>
      <w:r w:rsidRPr="005262A7">
        <w:rPr>
          <w:rFonts w:ascii="Times New Roman" w:hAnsi="Times New Roman"/>
          <w:sz w:val="24"/>
          <w:szCs w:val="24"/>
        </w:rPr>
        <w:t xml:space="preserve">In the case at bar, at the time of the accident, Nicholas was rendering nonemergency medical services in the normal course of conducting his duties. Nicholas was in the process of responding to a dispatch to transport a patient to a health care facility. Driving to the patient was preparatory for and integral to delivering the medical service. Further, the accident occurred before transporting the patient to a health care facility and during defendant’s driving in response to the dispatch. Therefore, absent willful and wanton misconduct, section 3.150(a) of the EMS Act immunizes defendants for their alleged negligent acts or omissions while providing nonemergency medical </w:t>
      </w:r>
      <w:proofErr w:type="gramStart"/>
      <w:r w:rsidRPr="005262A7">
        <w:rPr>
          <w:rFonts w:ascii="Times New Roman" w:hAnsi="Times New Roman"/>
          <w:sz w:val="24"/>
          <w:szCs w:val="24"/>
        </w:rPr>
        <w:t>services</w:t>
      </w:r>
      <w:r>
        <w:t>.”</w:t>
      </w:r>
      <w:proofErr w:type="gramEnd"/>
    </w:p>
    <w:p w14:paraId="76954412" w14:textId="77777777" w:rsidR="007105B3" w:rsidRDefault="007105B3" w:rsidP="007105B3">
      <w:pPr>
        <w:pStyle w:val="NoSpacing"/>
        <w:ind w:left="720"/>
      </w:pPr>
    </w:p>
    <w:p w14:paraId="5ACF48C8" w14:textId="0412504F" w:rsidR="001C563D" w:rsidRDefault="001C563D" w:rsidP="002B1283">
      <w:pPr>
        <w:rPr>
          <w:rFonts w:ascii="Arial Black" w:hAnsi="Arial Black"/>
          <w:b/>
          <w:bCs/>
          <w:sz w:val="28"/>
          <w:szCs w:val="28"/>
        </w:rPr>
      </w:pPr>
      <w:r>
        <w:rPr>
          <w:rFonts w:ascii="Arial Black" w:hAnsi="Arial Black"/>
          <w:b/>
          <w:bCs/>
          <w:sz w:val="28"/>
          <w:szCs w:val="28"/>
        </w:rPr>
        <w:t>13-</w:t>
      </w:r>
      <w:r w:rsidR="001A653A">
        <w:rPr>
          <w:rFonts w:ascii="Arial Black" w:hAnsi="Arial Black"/>
          <w:b/>
          <w:bCs/>
          <w:sz w:val="28"/>
          <w:szCs w:val="28"/>
        </w:rPr>
        <w:t>60</w:t>
      </w:r>
    </w:p>
    <w:p w14:paraId="24AED9DB" w14:textId="77777777" w:rsidR="001C563D" w:rsidRDefault="001C563D" w:rsidP="001C563D">
      <w:pPr>
        <w:pStyle w:val="NoSpacing"/>
        <w:rPr>
          <w:rFonts w:ascii="Arial Black" w:hAnsi="Arial Black"/>
          <w:sz w:val="28"/>
          <w:szCs w:val="28"/>
        </w:rPr>
      </w:pPr>
      <w:r w:rsidRPr="00371841">
        <w:rPr>
          <w:rFonts w:ascii="Arial Black" w:hAnsi="Arial Black"/>
          <w:sz w:val="28"/>
          <w:szCs w:val="28"/>
        </w:rPr>
        <w:t xml:space="preserve">MD: </w:t>
      </w:r>
      <w:r>
        <w:rPr>
          <w:rFonts w:ascii="Arial Black" w:hAnsi="Arial Black"/>
          <w:sz w:val="28"/>
          <w:szCs w:val="28"/>
        </w:rPr>
        <w:t xml:space="preserve"> EMS GAVE NARCAN TO UNCONSCIOUS 21-YR-OLD –STAUTORY IMMUNITY, NO GROSS NEGLIGENCE – NO HARM</w:t>
      </w:r>
    </w:p>
    <w:p w14:paraId="62E863C6" w14:textId="77777777" w:rsidR="001C563D" w:rsidRDefault="001C563D" w:rsidP="001C563D">
      <w:pPr>
        <w:pStyle w:val="NoSpacing"/>
        <w:rPr>
          <w:rFonts w:ascii="Times New Roman" w:hAnsi="Times New Roman"/>
          <w:sz w:val="24"/>
          <w:szCs w:val="24"/>
        </w:rPr>
      </w:pPr>
    </w:p>
    <w:p w14:paraId="1939C023" w14:textId="20D05FBD" w:rsidR="001C563D" w:rsidRDefault="001C563D" w:rsidP="001C563D">
      <w:pPr>
        <w:pStyle w:val="NoSpacing"/>
        <w:rPr>
          <w:rFonts w:ascii="Times New Roman" w:hAnsi="Times New Roman"/>
          <w:sz w:val="24"/>
          <w:szCs w:val="24"/>
        </w:rPr>
      </w:pPr>
      <w:r w:rsidRPr="00E03396">
        <w:rPr>
          <w:rFonts w:ascii="Times New Roman" w:hAnsi="Times New Roman"/>
          <w:sz w:val="24"/>
          <w:szCs w:val="24"/>
        </w:rPr>
        <w:t xml:space="preserve">On </w:t>
      </w:r>
      <w:r>
        <w:rPr>
          <w:rFonts w:ascii="Times New Roman" w:hAnsi="Times New Roman"/>
          <w:sz w:val="24"/>
          <w:szCs w:val="24"/>
        </w:rPr>
        <w:t xml:space="preserve">June 16, 2020, in </w:t>
      </w:r>
      <w:r w:rsidRPr="00E03396">
        <w:rPr>
          <w:rFonts w:ascii="Times New Roman" w:hAnsi="Times New Roman"/>
          <w:sz w:val="24"/>
          <w:szCs w:val="24"/>
          <w:u w:val="single"/>
        </w:rPr>
        <w:t>Octavia T. Coit v. Nicole Nappi, et al</w:t>
      </w:r>
      <w:r>
        <w:rPr>
          <w:rFonts w:ascii="Times New Roman" w:hAnsi="Times New Roman"/>
          <w:sz w:val="24"/>
          <w:szCs w:val="24"/>
        </w:rPr>
        <w:t>., the Court of Special Appeals of Maryland (unreported decision), held that the Paramedic, the EMT, and Baltimore County were all properly dismissed from this lawsuit by the trial judge.  The Court ruled: “</w:t>
      </w:r>
      <w:r w:rsidRPr="00E03396">
        <w:rPr>
          <w:rFonts w:ascii="Times New Roman" w:hAnsi="Times New Roman"/>
          <w:sz w:val="24"/>
          <w:szCs w:val="24"/>
        </w:rPr>
        <w:t>Paramedic Nappi and EMT Jackson are entitled to statutory immunity based on</w:t>
      </w:r>
    </w:p>
    <w:p w14:paraId="578CCD04" w14:textId="77777777" w:rsidR="001C563D" w:rsidRPr="00E03396" w:rsidRDefault="001C563D" w:rsidP="001C563D">
      <w:pPr>
        <w:pStyle w:val="NoSpacing"/>
        <w:rPr>
          <w:rFonts w:ascii="Times New Roman" w:eastAsia="Times New Roman" w:hAnsi="Times New Roman"/>
          <w:b/>
          <w:bCs/>
          <w:sz w:val="24"/>
          <w:szCs w:val="24"/>
        </w:rPr>
      </w:pPr>
      <w:r w:rsidRPr="00E03396">
        <w:rPr>
          <w:rFonts w:ascii="Times New Roman" w:hAnsi="Times New Roman"/>
          <w:sz w:val="24"/>
          <w:szCs w:val="24"/>
        </w:rPr>
        <w:t>the Good Samaritan Act and the Fire &amp; Rescue Companies Act because their conduct was neither willful nor grossly negligent. Baltimore County is entitled to governmental immunity under the [LGTCA]because there is no basis for any direct claims against it.</w:t>
      </w:r>
      <w:r>
        <w:t xml:space="preserve"> *** </w:t>
      </w:r>
      <w:r w:rsidRPr="00E03396">
        <w:rPr>
          <w:rFonts w:ascii="Times New Roman" w:hAnsi="Times New Roman"/>
          <w:sz w:val="24"/>
          <w:szCs w:val="24"/>
        </w:rPr>
        <w:t>[</w:t>
      </w:r>
      <w:r>
        <w:rPr>
          <w:rFonts w:ascii="Times New Roman" w:hAnsi="Times New Roman"/>
          <w:sz w:val="24"/>
          <w:szCs w:val="24"/>
        </w:rPr>
        <w:t>Plaintiffs] c</w:t>
      </w:r>
      <w:r w:rsidRPr="00E03396">
        <w:rPr>
          <w:rFonts w:ascii="Times New Roman" w:hAnsi="Times New Roman"/>
          <w:sz w:val="24"/>
          <w:szCs w:val="24"/>
        </w:rPr>
        <w:t>ontend that the administration of Narcan was unnecessary because there was no specific indication that Mr. Coit was experiencing an opioid overdose. The Court understands and appreciates Mr. Coit’s family’s concern over a misperception that he was using drugs. The evidence demonstrates, however, that, regardless of how unnecessary the administration of Narcan may have been, there are no applicable contraindications for someone who did not overdose on opioids, and that Narcan does not otherwise harm someone to whom it is administered. Even if Paramedic Nappi and EMT Jackson were, in some way, negligent in their assessment and treatment of Mr. Coit, which the Court is not suggesting, there is not sufficient evidence of gross negligence regarding their post-arrival conduct.</w:t>
      </w:r>
      <w:r>
        <w:rPr>
          <w:rFonts w:ascii="Times New Roman" w:hAnsi="Times New Roman"/>
          <w:sz w:val="24"/>
          <w:szCs w:val="24"/>
        </w:rPr>
        <w:t>”</w:t>
      </w:r>
    </w:p>
    <w:p w14:paraId="4FA1E52C" w14:textId="77777777" w:rsidR="001C563D" w:rsidRPr="00E03396" w:rsidRDefault="001C563D" w:rsidP="001C563D">
      <w:pPr>
        <w:pStyle w:val="NoSpacing"/>
        <w:rPr>
          <w:rFonts w:ascii="Times New Roman" w:hAnsi="Times New Roman"/>
          <w:sz w:val="24"/>
          <w:szCs w:val="24"/>
        </w:rPr>
      </w:pPr>
      <w:r>
        <w:lastRenderedPageBreak/>
        <w:t xml:space="preserve"> </w:t>
      </w:r>
      <w:hyperlink r:id="rId2377" w:history="1">
        <w:r w:rsidRPr="00E03396">
          <w:rPr>
            <w:rStyle w:val="Hyperlink"/>
            <w:rFonts w:ascii="Times New Roman" w:hAnsi="Times New Roman"/>
            <w:sz w:val="24"/>
            <w:szCs w:val="24"/>
          </w:rPr>
          <w:t>https://www.courts.state.md.us/sites/default/files/unreported-opinions/0318s19.pdf</w:t>
        </w:r>
      </w:hyperlink>
      <w:r w:rsidRPr="00E03396">
        <w:rPr>
          <w:rFonts w:ascii="Times New Roman" w:hAnsi="Times New Roman"/>
          <w:sz w:val="24"/>
          <w:szCs w:val="24"/>
        </w:rPr>
        <w:t xml:space="preserve"> </w:t>
      </w:r>
      <w:hyperlink r:id="rId2378" w:history="1">
        <w:r w:rsidR="00814FB6">
          <w:rPr>
            <w:rStyle w:val="Hyperlink"/>
          </w:rPr>
          <w:t>https://www.courts.state.md.us/sites/default/files/unreported-opinions/0318s19.pdf</w:t>
        </w:r>
      </w:hyperlink>
      <w:r w:rsidRPr="00E03396">
        <w:rPr>
          <w:rFonts w:ascii="Times New Roman" w:hAnsi="Times New Roman"/>
          <w:sz w:val="24"/>
          <w:szCs w:val="24"/>
        </w:rPr>
        <w:t xml:space="preserve">  </w:t>
      </w:r>
    </w:p>
    <w:p w14:paraId="16D25F05" w14:textId="77777777" w:rsidR="001C563D" w:rsidRDefault="001C563D" w:rsidP="001C563D">
      <w:pPr>
        <w:pStyle w:val="NoSpacing"/>
        <w:rPr>
          <w:rFonts w:ascii="Times New Roman" w:hAnsi="Times New Roman"/>
          <w:b/>
          <w:bCs/>
          <w:sz w:val="24"/>
          <w:szCs w:val="24"/>
        </w:rPr>
      </w:pPr>
    </w:p>
    <w:p w14:paraId="5CE3BCE5" w14:textId="78635C21" w:rsidR="001C563D" w:rsidRPr="00E03396" w:rsidRDefault="001C563D" w:rsidP="001C563D">
      <w:pPr>
        <w:pStyle w:val="NoSpacing"/>
        <w:rPr>
          <w:rFonts w:ascii="Times New Roman" w:hAnsi="Times New Roman"/>
          <w:b/>
          <w:bCs/>
          <w:sz w:val="24"/>
          <w:szCs w:val="24"/>
        </w:rPr>
      </w:pPr>
      <w:r w:rsidRPr="00E03396">
        <w:rPr>
          <w:rFonts w:ascii="Times New Roman" w:hAnsi="Times New Roman"/>
          <w:b/>
          <w:bCs/>
          <w:sz w:val="24"/>
          <w:szCs w:val="24"/>
        </w:rPr>
        <w:t>Legal Lessons Learned:</w:t>
      </w:r>
      <w:r>
        <w:rPr>
          <w:rFonts w:ascii="Times New Roman" w:hAnsi="Times New Roman"/>
          <w:b/>
          <w:bCs/>
          <w:sz w:val="24"/>
          <w:szCs w:val="24"/>
        </w:rPr>
        <w:t xml:space="preserve"> Finding unconscious 21-year-old in basement, one can understand why EMS used Narcan. </w:t>
      </w:r>
    </w:p>
    <w:p w14:paraId="47D1F654" w14:textId="77777777" w:rsidR="001C563D" w:rsidRDefault="001C563D" w:rsidP="002B1283">
      <w:pPr>
        <w:rPr>
          <w:rFonts w:ascii="Arial Black" w:hAnsi="Arial Black"/>
          <w:b/>
          <w:bCs/>
          <w:sz w:val="28"/>
          <w:szCs w:val="28"/>
        </w:rPr>
      </w:pPr>
    </w:p>
    <w:p w14:paraId="6C68C17A" w14:textId="77777777" w:rsidR="001A653A" w:rsidRDefault="001A653A" w:rsidP="002B1283">
      <w:pPr>
        <w:rPr>
          <w:rFonts w:ascii="Arial Black" w:hAnsi="Arial Black"/>
          <w:b/>
          <w:bCs/>
          <w:sz w:val="28"/>
          <w:szCs w:val="28"/>
        </w:rPr>
      </w:pPr>
    </w:p>
    <w:p w14:paraId="0D71DCDD" w14:textId="0C2DDC67" w:rsidR="001A653A" w:rsidRDefault="001A653A" w:rsidP="002B1283">
      <w:pPr>
        <w:rPr>
          <w:rFonts w:ascii="Arial Black" w:hAnsi="Arial Black"/>
          <w:b/>
          <w:bCs/>
          <w:sz w:val="28"/>
          <w:szCs w:val="28"/>
        </w:rPr>
      </w:pPr>
      <w:r>
        <w:rPr>
          <w:rFonts w:ascii="Arial Black" w:hAnsi="Arial Black"/>
          <w:b/>
          <w:bCs/>
          <w:sz w:val="28"/>
          <w:szCs w:val="28"/>
        </w:rPr>
        <w:t>13-59</w:t>
      </w:r>
    </w:p>
    <w:p w14:paraId="3353DCAC" w14:textId="77777777" w:rsidR="001A653A" w:rsidRPr="00A32D63" w:rsidRDefault="001A653A" w:rsidP="001A653A">
      <w:pPr>
        <w:spacing w:before="100" w:beforeAutospacing="1" w:after="100" w:afterAutospacing="1" w:line="240" w:lineRule="auto"/>
        <w:rPr>
          <w:rFonts w:ascii="Arial Black" w:hAnsi="Arial Black" w:cs="Arial"/>
          <w:sz w:val="28"/>
          <w:szCs w:val="28"/>
        </w:rPr>
      </w:pPr>
      <w:r w:rsidRPr="00A32D63">
        <w:rPr>
          <w:rFonts w:ascii="Arial Black" w:hAnsi="Arial Black" w:cs="Arial"/>
          <w:sz w:val="28"/>
          <w:szCs w:val="28"/>
        </w:rPr>
        <w:t xml:space="preserve">TX: PARAMEDIC </w:t>
      </w:r>
      <w:r>
        <w:rPr>
          <w:rFonts w:ascii="Arial Black" w:hAnsi="Arial Black" w:cs="Arial"/>
          <w:sz w:val="28"/>
          <w:szCs w:val="28"/>
        </w:rPr>
        <w:t xml:space="preserve">IN </w:t>
      </w:r>
      <w:r w:rsidRPr="00A32D63">
        <w:rPr>
          <w:rFonts w:ascii="Arial Black" w:hAnsi="Arial Black" w:cs="Arial"/>
          <w:sz w:val="28"/>
          <w:szCs w:val="28"/>
        </w:rPr>
        <w:t xml:space="preserve">BACK </w:t>
      </w:r>
      <w:r>
        <w:rPr>
          <w:rFonts w:ascii="Arial Black" w:hAnsi="Arial Black" w:cs="Arial"/>
          <w:sz w:val="28"/>
          <w:szCs w:val="28"/>
        </w:rPr>
        <w:t xml:space="preserve">OF </w:t>
      </w:r>
      <w:r w:rsidRPr="00A32D63">
        <w:rPr>
          <w:rFonts w:ascii="Arial Black" w:hAnsi="Arial Black" w:cs="Arial"/>
          <w:sz w:val="28"/>
          <w:szCs w:val="28"/>
        </w:rPr>
        <w:t>AMBULANCE –</w:t>
      </w:r>
      <w:r>
        <w:rPr>
          <w:rFonts w:ascii="Arial Black" w:hAnsi="Arial Black" w:cs="Arial"/>
          <w:sz w:val="28"/>
          <w:szCs w:val="28"/>
        </w:rPr>
        <w:t xml:space="preserve"> SEVERELY INJURED - </w:t>
      </w:r>
      <w:r w:rsidRPr="00A32D63">
        <w:rPr>
          <w:rFonts w:ascii="Arial Black" w:hAnsi="Arial Black" w:cs="Arial"/>
          <w:sz w:val="28"/>
          <w:szCs w:val="28"/>
        </w:rPr>
        <w:t xml:space="preserve">OVERWEIGHT </w:t>
      </w:r>
      <w:r>
        <w:rPr>
          <w:rFonts w:ascii="Arial Black" w:hAnsi="Arial Black" w:cs="Arial"/>
          <w:sz w:val="28"/>
          <w:szCs w:val="28"/>
        </w:rPr>
        <w:t xml:space="preserve">TRUCK DUMPED LOAD </w:t>
      </w:r>
      <w:r w:rsidRPr="00A32D63">
        <w:rPr>
          <w:rFonts w:ascii="Arial Black" w:hAnsi="Arial Black" w:cs="Arial"/>
          <w:sz w:val="28"/>
          <w:szCs w:val="28"/>
        </w:rPr>
        <w:t>– MENTAL ANGUISH</w:t>
      </w:r>
    </w:p>
    <w:p w14:paraId="33457BD7" w14:textId="77777777" w:rsidR="001A653A" w:rsidRPr="00344E23" w:rsidRDefault="001A653A" w:rsidP="001A653A">
      <w:pPr>
        <w:spacing w:before="100" w:beforeAutospacing="1" w:after="100" w:afterAutospacing="1" w:line="240" w:lineRule="auto"/>
        <w:rPr>
          <w:rFonts w:ascii="Times New Roman" w:hAnsi="Times New Roman"/>
          <w:sz w:val="24"/>
          <w:szCs w:val="24"/>
        </w:rPr>
      </w:pPr>
      <w:r w:rsidRPr="00A32D63">
        <w:rPr>
          <w:rFonts w:ascii="Times New Roman" w:hAnsi="Times New Roman"/>
          <w:sz w:val="24"/>
          <w:szCs w:val="24"/>
        </w:rPr>
        <w:t xml:space="preserve">On </w:t>
      </w:r>
      <w:r>
        <w:rPr>
          <w:rFonts w:ascii="Times New Roman" w:hAnsi="Times New Roman"/>
          <w:sz w:val="24"/>
          <w:szCs w:val="24"/>
        </w:rPr>
        <w:t xml:space="preserve">June 4, 2020, in </w:t>
      </w:r>
      <w:r w:rsidRPr="00A32D63">
        <w:rPr>
          <w:rFonts w:ascii="Times New Roman" w:hAnsi="Times New Roman"/>
          <w:sz w:val="24"/>
          <w:szCs w:val="24"/>
          <w:u w:val="single"/>
        </w:rPr>
        <w:t>Julio Edwin Martinez; Lone Star Disposal (Texas), LLC; and Lone Star Disposal, L.P. v. Jennifer Kwas</w:t>
      </w:r>
      <w:r>
        <w:rPr>
          <w:rFonts w:ascii="Times New Roman" w:hAnsi="Times New Roman"/>
          <w:sz w:val="24"/>
          <w:szCs w:val="24"/>
        </w:rPr>
        <w:t xml:space="preserve">, the Court of Appeals for the First District of Texas held (3 to 0) that the civil jury verdict in favor of Paramedic Kwas is affirmed: $1.1 million, including $700,000 for future pain and mental anguish, and $250,000 in punitive damages for gross negligence of Lone Star.  A paramedic for 26 </w:t>
      </w:r>
      <w:proofErr w:type="gramStart"/>
      <w:r>
        <w:rPr>
          <w:rFonts w:ascii="Times New Roman" w:hAnsi="Times New Roman"/>
          <w:sz w:val="24"/>
          <w:szCs w:val="24"/>
        </w:rPr>
        <w:t>year</w:t>
      </w:r>
      <w:proofErr w:type="gramEnd"/>
      <w:r>
        <w:rPr>
          <w:rFonts w:ascii="Times New Roman" w:hAnsi="Times New Roman"/>
          <w:sz w:val="24"/>
          <w:szCs w:val="24"/>
        </w:rPr>
        <w:t xml:space="preserve">, the mental anguish led her to resign as a medic. The Court wrote: </w:t>
      </w:r>
      <w:r w:rsidRPr="00344E23">
        <w:rPr>
          <w:rFonts w:ascii="Times New Roman" w:hAnsi="Times New Roman"/>
          <w:sz w:val="24"/>
          <w:szCs w:val="24"/>
        </w:rPr>
        <w:t>We conclude that the evidence presented at trial supports a conclusion that the jury could have formed a firm belief or conviction that Lone Star was grossly negligent in its training and supervision of its drivers, including Martinez.</w:t>
      </w:r>
      <w:r>
        <w:rPr>
          <w:rFonts w:ascii="Times New Roman" w:hAnsi="Times New Roman"/>
          <w:sz w:val="24"/>
          <w:szCs w:val="24"/>
        </w:rPr>
        <w:t xml:space="preserve">”  </w:t>
      </w:r>
      <w:hyperlink r:id="rId2379" w:history="1">
        <w:r w:rsidRPr="000603D4">
          <w:rPr>
            <w:rStyle w:val="Hyperlink"/>
            <w:rFonts w:ascii="Times New Roman" w:hAnsi="Times New Roman"/>
            <w:sz w:val="24"/>
            <w:szCs w:val="24"/>
          </w:rPr>
          <w:t>https://www.txcourts.gov/media/1447243/181085f-1.pdf</w:t>
        </w:r>
      </w:hyperlink>
      <w:r>
        <w:rPr>
          <w:rFonts w:ascii="Times New Roman" w:hAnsi="Times New Roman"/>
          <w:sz w:val="24"/>
          <w:szCs w:val="24"/>
        </w:rPr>
        <w:t xml:space="preserve"> </w:t>
      </w:r>
    </w:p>
    <w:p w14:paraId="77F9B221" w14:textId="77777777" w:rsidR="001A653A" w:rsidRDefault="001A653A" w:rsidP="001A653A">
      <w:pPr>
        <w:pStyle w:val="NoSpacing"/>
        <w:rPr>
          <w:rFonts w:ascii="Times New Roman" w:hAnsi="Times New Roman"/>
          <w:b/>
          <w:bCs/>
          <w:sz w:val="24"/>
          <w:szCs w:val="24"/>
        </w:rPr>
      </w:pPr>
      <w:r w:rsidRPr="00384185">
        <w:rPr>
          <w:rFonts w:ascii="Times New Roman" w:hAnsi="Times New Roman"/>
          <w:b/>
          <w:bCs/>
          <w:sz w:val="24"/>
          <w:szCs w:val="24"/>
        </w:rPr>
        <w:t xml:space="preserve">Legal Lesson Learned: The unrestrained paramedic suffered terrible physical and mental injury; see article on restraint systems for EMS in the back of the box. </w:t>
      </w:r>
    </w:p>
    <w:p w14:paraId="4133911A" w14:textId="77777777" w:rsidR="001A653A" w:rsidRDefault="001A653A" w:rsidP="001A653A">
      <w:pPr>
        <w:pStyle w:val="NoSpacing"/>
        <w:rPr>
          <w:rFonts w:ascii="Times New Roman" w:hAnsi="Times New Roman"/>
          <w:b/>
          <w:bCs/>
          <w:sz w:val="24"/>
          <w:szCs w:val="24"/>
        </w:rPr>
      </w:pPr>
    </w:p>
    <w:p w14:paraId="725268AF" w14:textId="77777777" w:rsidR="001A653A" w:rsidRPr="00384185" w:rsidRDefault="001A653A" w:rsidP="001A653A">
      <w:pPr>
        <w:pStyle w:val="NoSpacing"/>
        <w:ind w:left="720"/>
        <w:rPr>
          <w:rFonts w:ascii="Times New Roman" w:hAnsi="Times New Roman"/>
          <w:sz w:val="24"/>
          <w:szCs w:val="24"/>
        </w:rPr>
      </w:pPr>
      <w:r w:rsidRPr="00384185">
        <w:rPr>
          <w:rFonts w:ascii="Times New Roman" w:hAnsi="Times New Roman"/>
          <w:sz w:val="24"/>
          <w:szCs w:val="24"/>
        </w:rPr>
        <w:t xml:space="preserve">Note:  </w:t>
      </w:r>
      <w:r>
        <w:rPr>
          <w:rFonts w:ascii="Times New Roman" w:hAnsi="Times New Roman"/>
          <w:sz w:val="24"/>
          <w:szCs w:val="24"/>
        </w:rPr>
        <w:t xml:space="preserve">Several new restraint products </w:t>
      </w:r>
      <w:proofErr w:type="gramStart"/>
      <w:r>
        <w:rPr>
          <w:rFonts w:ascii="Times New Roman" w:hAnsi="Times New Roman"/>
          <w:sz w:val="24"/>
          <w:szCs w:val="24"/>
        </w:rPr>
        <w:t>now</w:t>
      </w:r>
      <w:proofErr w:type="gramEnd"/>
      <w:r>
        <w:rPr>
          <w:rFonts w:ascii="Times New Roman" w:hAnsi="Times New Roman"/>
          <w:sz w:val="24"/>
          <w:szCs w:val="24"/>
        </w:rPr>
        <w:t xml:space="preserve"> on the market.  For example, see this: “</w:t>
      </w:r>
      <w:r w:rsidRPr="00384185">
        <w:rPr>
          <w:rStyle w:val="field"/>
          <w:rFonts w:ascii="Times New Roman" w:hAnsi="Times New Roman"/>
          <w:sz w:val="24"/>
          <w:szCs w:val="24"/>
        </w:rPr>
        <w:t xml:space="preserve">IMMI Launches Per4Max Restraint for EMS Providers (May 3, 2019): </w:t>
      </w:r>
      <w:r w:rsidRPr="00384185">
        <w:rPr>
          <w:rFonts w:ascii="Times New Roman" w:hAnsi="Times New Roman"/>
          <w:sz w:val="24"/>
          <w:szCs w:val="24"/>
        </w:rPr>
        <w:t xml:space="preserve">An estimated 4,500 ambulances are involved in accidents every year, but 84% of emergency medical technicians do not wear their seat belts because they restrict movement while treating a patient.* IMMI’s Per4Max allows them to reach, stretch, and even stand up in their restraint if necessary. Patient safety is also improved when EMTs buckle up. They remain restrained in an accident and not thrown around the interior of the vehicle, possibly injuring the patient further.” </w:t>
      </w:r>
      <w:hyperlink r:id="rId2380" w:history="1">
        <w:r w:rsidRPr="00384185">
          <w:rPr>
            <w:rStyle w:val="Hyperlink"/>
            <w:rFonts w:ascii="Times New Roman" w:hAnsi="Times New Roman"/>
            <w:sz w:val="24"/>
            <w:szCs w:val="24"/>
          </w:rPr>
          <w:t>https://www.emsworld.com/press-release/1222611/immi-launches-per4max-restraint-ems-providers</w:t>
        </w:r>
      </w:hyperlink>
      <w:r w:rsidRPr="00384185">
        <w:rPr>
          <w:rFonts w:ascii="Times New Roman" w:hAnsi="Times New Roman"/>
          <w:sz w:val="24"/>
          <w:szCs w:val="24"/>
        </w:rPr>
        <w:t xml:space="preserve"> </w:t>
      </w:r>
    </w:p>
    <w:p w14:paraId="5E870466" w14:textId="77777777" w:rsidR="001A653A" w:rsidRPr="00384185" w:rsidRDefault="001A653A" w:rsidP="001A653A">
      <w:pPr>
        <w:spacing w:before="100" w:beforeAutospacing="1" w:after="100" w:afterAutospacing="1" w:line="240" w:lineRule="auto"/>
        <w:rPr>
          <w:rFonts w:ascii="Times New Roman" w:hAnsi="Times New Roman"/>
          <w:sz w:val="24"/>
          <w:szCs w:val="24"/>
        </w:rPr>
      </w:pPr>
    </w:p>
    <w:p w14:paraId="566D1F3A" w14:textId="77777777" w:rsidR="001A653A" w:rsidRDefault="001A653A" w:rsidP="002B1283">
      <w:pPr>
        <w:rPr>
          <w:rFonts w:ascii="Arial Black" w:hAnsi="Arial Black"/>
          <w:b/>
          <w:bCs/>
          <w:sz w:val="28"/>
          <w:szCs w:val="28"/>
        </w:rPr>
      </w:pPr>
    </w:p>
    <w:p w14:paraId="07D22898" w14:textId="77777777" w:rsidR="001A653A" w:rsidRDefault="001A653A" w:rsidP="002B1283">
      <w:pPr>
        <w:rPr>
          <w:rFonts w:ascii="Arial Black" w:hAnsi="Arial Black"/>
          <w:b/>
          <w:bCs/>
          <w:sz w:val="28"/>
          <w:szCs w:val="28"/>
        </w:rPr>
      </w:pPr>
    </w:p>
    <w:p w14:paraId="552EC25D" w14:textId="6432B18C" w:rsidR="007105B3" w:rsidRDefault="001C563D" w:rsidP="002B1283">
      <w:pPr>
        <w:rPr>
          <w:rFonts w:ascii="Arial Black" w:hAnsi="Arial Black"/>
          <w:b/>
          <w:bCs/>
          <w:sz w:val="28"/>
          <w:szCs w:val="28"/>
        </w:rPr>
      </w:pPr>
      <w:r>
        <w:rPr>
          <w:rFonts w:ascii="Arial Black" w:hAnsi="Arial Black"/>
          <w:b/>
          <w:bCs/>
          <w:sz w:val="28"/>
          <w:szCs w:val="28"/>
        </w:rPr>
        <w:t>13-58</w:t>
      </w:r>
    </w:p>
    <w:p w14:paraId="426DF34E" w14:textId="77777777" w:rsidR="001C563D" w:rsidRPr="00D67C96" w:rsidRDefault="001C563D" w:rsidP="001C563D">
      <w:pPr>
        <w:pStyle w:val="NormalWeb"/>
        <w:rPr>
          <w:rFonts w:ascii="Arial Black" w:hAnsi="Arial Black"/>
          <w:sz w:val="28"/>
          <w:szCs w:val="28"/>
        </w:rPr>
      </w:pPr>
      <w:r w:rsidRPr="00D67C96">
        <w:rPr>
          <w:rFonts w:ascii="Arial Black" w:hAnsi="Arial Black"/>
          <w:sz w:val="28"/>
          <w:szCs w:val="28"/>
        </w:rPr>
        <w:t xml:space="preserve">NY: </w:t>
      </w:r>
      <w:r>
        <w:rPr>
          <w:rFonts w:ascii="Arial Black" w:hAnsi="Arial Black"/>
          <w:sz w:val="28"/>
          <w:szCs w:val="28"/>
        </w:rPr>
        <w:t>PROB. EMT FIRED BY HOSPITAL – POOR AMBUL. CHECKS, COMPLAINTS – APPENDICITIS NOT A “DISABILITY”</w:t>
      </w:r>
    </w:p>
    <w:p w14:paraId="0F1BC33E" w14:textId="4A76B4CD" w:rsidR="001C563D" w:rsidRPr="008E15F3" w:rsidRDefault="001C563D" w:rsidP="001C563D">
      <w:pPr>
        <w:pStyle w:val="NoSpacing"/>
        <w:rPr>
          <w:rFonts w:ascii="Times New Roman" w:eastAsia="Times New Roman" w:hAnsi="Times New Roman"/>
          <w:sz w:val="24"/>
          <w:szCs w:val="24"/>
        </w:rPr>
      </w:pPr>
      <w:r w:rsidRPr="008E15F3">
        <w:rPr>
          <w:rFonts w:ascii="Times New Roman" w:hAnsi="Times New Roman"/>
          <w:sz w:val="24"/>
          <w:szCs w:val="24"/>
        </w:rPr>
        <w:lastRenderedPageBreak/>
        <w:t xml:space="preserve">On June 1, 2020, in </w:t>
      </w:r>
      <w:r w:rsidRPr="008E15F3">
        <w:rPr>
          <w:rFonts w:ascii="Times New Roman" w:hAnsi="Times New Roman"/>
          <w:sz w:val="24"/>
          <w:szCs w:val="24"/>
          <w:u w:val="single"/>
        </w:rPr>
        <w:t>Christopher Vargas v. The St. Luke’s-Roosevelt Hospital Center</w:t>
      </w:r>
      <w:r w:rsidRPr="008E15F3">
        <w:rPr>
          <w:rFonts w:ascii="Times New Roman" w:hAnsi="Times New Roman"/>
          <w:sz w:val="24"/>
          <w:szCs w:val="24"/>
        </w:rPr>
        <w:t xml:space="preserve">, U.S. District Court Judge J. Pail Oetken, U.S. District Court for Southern District of New York, granted the Hospital’s motion for summary judgment; the hospital had fired the probationary </w:t>
      </w:r>
      <w:r>
        <w:rPr>
          <w:rFonts w:ascii="Times New Roman" w:hAnsi="Times New Roman"/>
          <w:sz w:val="24"/>
          <w:szCs w:val="24"/>
        </w:rPr>
        <w:t xml:space="preserve">part-time </w:t>
      </w:r>
      <w:r w:rsidRPr="008E15F3">
        <w:rPr>
          <w:rFonts w:ascii="Times New Roman" w:hAnsi="Times New Roman"/>
          <w:sz w:val="24"/>
          <w:szCs w:val="24"/>
        </w:rPr>
        <w:t xml:space="preserve">EMT for </w:t>
      </w:r>
      <w:r>
        <w:rPr>
          <w:rFonts w:ascii="Times New Roman" w:hAnsi="Times New Roman"/>
          <w:sz w:val="24"/>
          <w:szCs w:val="24"/>
        </w:rPr>
        <w:t xml:space="preserve">not completing ambulance equipment checks, and </w:t>
      </w:r>
      <w:r w:rsidRPr="008E15F3">
        <w:rPr>
          <w:rFonts w:ascii="Times New Roman" w:hAnsi="Times New Roman"/>
          <w:sz w:val="24"/>
          <w:szCs w:val="24"/>
        </w:rPr>
        <w:t>complaints from co-workers</w:t>
      </w:r>
      <w:r>
        <w:rPr>
          <w:rFonts w:ascii="Times New Roman" w:hAnsi="Times New Roman"/>
          <w:sz w:val="24"/>
          <w:szCs w:val="24"/>
        </w:rPr>
        <w:t xml:space="preserve">.  Prior to being fired to </w:t>
      </w:r>
      <w:proofErr w:type="gramStart"/>
      <w:r>
        <w:rPr>
          <w:rFonts w:ascii="Times New Roman" w:hAnsi="Times New Roman"/>
          <w:sz w:val="24"/>
          <w:szCs w:val="24"/>
        </w:rPr>
        <w:t>told</w:t>
      </w:r>
      <w:proofErr w:type="gramEnd"/>
      <w:r>
        <w:rPr>
          <w:rFonts w:ascii="Times New Roman" w:hAnsi="Times New Roman"/>
          <w:sz w:val="24"/>
          <w:szCs w:val="24"/>
        </w:rPr>
        <w:t xml:space="preserve"> his manager</w:t>
      </w:r>
      <w:r w:rsidRPr="008E15F3">
        <w:rPr>
          <w:rFonts w:ascii="Times New Roman" w:hAnsi="Times New Roman"/>
          <w:sz w:val="24"/>
          <w:szCs w:val="24"/>
        </w:rPr>
        <w:t xml:space="preserve"> </w:t>
      </w:r>
      <w:r>
        <w:rPr>
          <w:rFonts w:ascii="Times New Roman" w:hAnsi="Times New Roman"/>
          <w:sz w:val="24"/>
          <w:szCs w:val="24"/>
        </w:rPr>
        <w:t xml:space="preserve">he had recently had appendix removed; hospital had already </w:t>
      </w:r>
      <w:r w:rsidRPr="008E15F3">
        <w:rPr>
          <w:rFonts w:ascii="Times New Roman" w:hAnsi="Times New Roman"/>
          <w:sz w:val="24"/>
          <w:szCs w:val="24"/>
        </w:rPr>
        <w:t>made t</w:t>
      </w:r>
      <w:r>
        <w:rPr>
          <w:rFonts w:ascii="Times New Roman" w:hAnsi="Times New Roman"/>
          <w:sz w:val="24"/>
          <w:szCs w:val="24"/>
        </w:rPr>
        <w:t xml:space="preserve">ermination </w:t>
      </w:r>
      <w:r w:rsidRPr="008E15F3">
        <w:rPr>
          <w:rFonts w:ascii="Times New Roman" w:hAnsi="Times New Roman"/>
          <w:sz w:val="24"/>
          <w:szCs w:val="24"/>
        </w:rPr>
        <w:t>decision</w:t>
      </w:r>
      <w:r>
        <w:rPr>
          <w:rFonts w:ascii="Times New Roman" w:hAnsi="Times New Roman"/>
          <w:sz w:val="24"/>
          <w:szCs w:val="24"/>
        </w:rPr>
        <w:t>.</w:t>
      </w:r>
      <w:r w:rsidRPr="008E15F3">
        <w:rPr>
          <w:rFonts w:ascii="Times New Roman" w:hAnsi="Times New Roman"/>
          <w:sz w:val="24"/>
          <w:szCs w:val="24"/>
        </w:rPr>
        <w:t xml:space="preserve"> The Judge wrote: “Here, the parties agree that ‘[a]s a result of his appendicitis, [Vargas] was hospitalized for only one day, able to return to work after one week, and able to work at ‘full physical activity’ after two months.’ … Vargas's doctor further instructed him he could not engage in heavy lifting during the period in which he was to refrain from ‘full physical activity.’ … Such a short-term impairment, absent long-term impact, is insufficient to qualify as substantially limiting a major life activity, as required to qualify as a disability under the ADA. *** </w:t>
      </w:r>
      <w:r w:rsidRPr="008E15F3">
        <w:rPr>
          <w:rFonts w:ascii="Times New Roman" w:eastAsia="Times New Roman" w:hAnsi="Times New Roman"/>
          <w:sz w:val="24"/>
          <w:szCs w:val="24"/>
        </w:rPr>
        <w:t xml:space="preserve">Summary judgment is also warranted on </w:t>
      </w:r>
      <w:proofErr w:type="gramStart"/>
      <w:r w:rsidRPr="008E15F3">
        <w:rPr>
          <w:rFonts w:ascii="Times New Roman" w:eastAsia="Times New Roman" w:hAnsi="Times New Roman"/>
          <w:sz w:val="24"/>
          <w:szCs w:val="24"/>
        </w:rPr>
        <w:t>an independent ground</w:t>
      </w:r>
      <w:proofErr w:type="gramEnd"/>
      <w:r w:rsidRPr="008E15F3">
        <w:rPr>
          <w:rFonts w:ascii="Times New Roman" w:eastAsia="Times New Roman" w:hAnsi="Times New Roman"/>
          <w:sz w:val="24"/>
          <w:szCs w:val="24"/>
        </w:rPr>
        <w:t xml:space="preserve">: there is no genuine dispute that the decision to terminate Vargas was made before his employer was aware of his appendectomy. The parties agree that Mendoza decided to terminate Vargas in late May or the first few days of June due to his co-workers' complaints and his performance problems. Pl. 56.1 ¶ 59 (citing RM Tr. 27) ("At some point in late May or the first </w:t>
      </w:r>
      <w:proofErr w:type="gramStart"/>
      <w:r w:rsidRPr="008E15F3">
        <w:rPr>
          <w:rFonts w:ascii="Times New Roman" w:eastAsia="Times New Roman" w:hAnsi="Times New Roman"/>
          <w:sz w:val="24"/>
          <w:szCs w:val="24"/>
        </w:rPr>
        <w:t>few of</w:t>
      </w:r>
      <w:proofErr w:type="gramEnd"/>
      <w:r w:rsidRPr="008E15F3">
        <w:rPr>
          <w:rFonts w:ascii="Times New Roman" w:eastAsia="Times New Roman" w:hAnsi="Times New Roman"/>
          <w:sz w:val="24"/>
          <w:szCs w:val="24"/>
        </w:rPr>
        <w:t xml:space="preserve"> days of June 2015, Mendoza decided that Vargas should not pass probation and that he should be terminated because of the co-worker complaints and Vargas's poor performance."). The parties also agree that Defendants did not become aware of Vargas's appendectomy until June 5, 2015. </w:t>
      </w:r>
      <w:r w:rsidRPr="008E15F3">
        <w:rPr>
          <w:rFonts w:ascii="Times New Roman" w:eastAsia="Times New Roman" w:hAnsi="Times New Roman"/>
          <w:i/>
          <w:iCs/>
          <w:sz w:val="24"/>
          <w:szCs w:val="24"/>
        </w:rPr>
        <w:t>Id</w:t>
      </w:r>
      <w:r w:rsidRPr="008E15F3">
        <w:rPr>
          <w:rFonts w:ascii="Times New Roman" w:eastAsia="Times New Roman" w:hAnsi="Times New Roman"/>
          <w:sz w:val="24"/>
          <w:szCs w:val="24"/>
        </w:rPr>
        <w:t>. ¶ 68 (citing RM Tr. 27; Mendoza I Decl. ¶ 2(a)). Because the decision to terminate Vargas was made before Defendants were aware of his appendectomy, the evidence fails to support a causal relationship necessary to prevail on either a failure to accommodate or discrimination claim under the ADA.</w:t>
      </w:r>
    </w:p>
    <w:p w14:paraId="371DD513" w14:textId="77777777" w:rsidR="001C563D" w:rsidRPr="008E15F3" w:rsidRDefault="001C563D" w:rsidP="001C563D">
      <w:pPr>
        <w:pStyle w:val="NoSpacing"/>
        <w:rPr>
          <w:rFonts w:ascii="Times New Roman" w:hAnsi="Times New Roman"/>
          <w:sz w:val="24"/>
          <w:szCs w:val="24"/>
        </w:rPr>
      </w:pPr>
      <w:hyperlink r:id="rId2381" w:history="1">
        <w:r w:rsidRPr="008E15F3">
          <w:rPr>
            <w:rStyle w:val="Hyperlink"/>
            <w:rFonts w:ascii="Times New Roman" w:hAnsi="Times New Roman"/>
            <w:sz w:val="24"/>
            <w:szCs w:val="24"/>
          </w:rPr>
          <w:t>https://public.fastcase.com/Wl%2B2t%2BeVuI35%2FN70vAMFZpHUgoz3hp5Nx0V5b99AFirO%2BO19k2h0p4CgWny%2Fxn0a</w:t>
        </w:r>
      </w:hyperlink>
      <w:r w:rsidRPr="008E15F3">
        <w:rPr>
          <w:rFonts w:ascii="Times New Roman" w:hAnsi="Times New Roman"/>
          <w:sz w:val="24"/>
          <w:szCs w:val="24"/>
        </w:rPr>
        <w:t xml:space="preserve"> </w:t>
      </w:r>
    </w:p>
    <w:p w14:paraId="6356C0FF" w14:textId="77777777" w:rsidR="001C563D" w:rsidRDefault="001C563D" w:rsidP="001C563D">
      <w:pPr>
        <w:spacing w:before="100" w:beforeAutospacing="1" w:after="100" w:afterAutospacing="1" w:line="240" w:lineRule="auto"/>
        <w:rPr>
          <w:rFonts w:ascii="Times New Roman" w:eastAsia="Times New Roman" w:hAnsi="Times New Roman"/>
          <w:b/>
          <w:bCs/>
          <w:sz w:val="24"/>
          <w:szCs w:val="24"/>
        </w:rPr>
      </w:pPr>
      <w:r w:rsidRPr="00CD3D78">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Probationary employee not covered under the Collective Bargaining Agreement; ADA does not apply to short-term </w:t>
      </w:r>
      <w:proofErr w:type="gramStart"/>
      <w:r>
        <w:rPr>
          <w:rFonts w:ascii="Times New Roman" w:eastAsia="Times New Roman" w:hAnsi="Times New Roman"/>
          <w:b/>
          <w:bCs/>
          <w:sz w:val="24"/>
          <w:szCs w:val="24"/>
        </w:rPr>
        <w:t>illness</w:t>
      </w:r>
      <w:proofErr w:type="gramEnd"/>
      <w:r>
        <w:rPr>
          <w:rFonts w:ascii="Times New Roman" w:eastAsia="Times New Roman" w:hAnsi="Times New Roman"/>
          <w:b/>
          <w:bCs/>
          <w:sz w:val="24"/>
          <w:szCs w:val="24"/>
        </w:rPr>
        <w:t xml:space="preserve"> such as appendicitis. </w:t>
      </w:r>
    </w:p>
    <w:p w14:paraId="1236DA98" w14:textId="77777777" w:rsidR="001C563D" w:rsidRPr="008E15F3" w:rsidRDefault="001C563D" w:rsidP="001C563D">
      <w:pPr>
        <w:spacing w:before="100" w:beforeAutospacing="1" w:after="100" w:afterAutospacing="1" w:line="240" w:lineRule="auto"/>
        <w:ind w:left="720"/>
        <w:rPr>
          <w:rFonts w:ascii="Times New Roman" w:eastAsia="Times New Roman" w:hAnsi="Times New Roman"/>
          <w:sz w:val="24"/>
          <w:szCs w:val="24"/>
        </w:rPr>
      </w:pPr>
      <w:r w:rsidRPr="00CD3D78">
        <w:rPr>
          <w:rFonts w:ascii="Times New Roman" w:eastAsia="Times New Roman" w:hAnsi="Times New Roman"/>
          <w:sz w:val="24"/>
          <w:szCs w:val="24"/>
        </w:rPr>
        <w:t xml:space="preserve">Note: </w:t>
      </w:r>
      <w:r>
        <w:rPr>
          <w:rFonts w:ascii="Times New Roman" w:eastAsia="Times New Roman" w:hAnsi="Times New Roman"/>
          <w:sz w:val="24"/>
          <w:szCs w:val="24"/>
        </w:rPr>
        <w:t xml:space="preserve">Congress in 2008 broadened the coverage under Americans </w:t>
      </w:r>
      <w:proofErr w:type="gramStart"/>
      <w:r>
        <w:rPr>
          <w:rFonts w:ascii="Times New Roman" w:eastAsia="Times New Roman" w:hAnsi="Times New Roman"/>
          <w:sz w:val="24"/>
          <w:szCs w:val="24"/>
        </w:rPr>
        <w:t>With</w:t>
      </w:r>
      <w:proofErr w:type="gramEnd"/>
      <w:r>
        <w:rPr>
          <w:rFonts w:ascii="Times New Roman" w:eastAsia="Times New Roman" w:hAnsi="Times New Roman"/>
          <w:sz w:val="24"/>
          <w:szCs w:val="24"/>
        </w:rPr>
        <w:t xml:space="preserve"> Disabilities Act, overturning two U.S. Supreme Court decisions, </w:t>
      </w:r>
      <w:r w:rsidRPr="005C4230">
        <w:rPr>
          <w:rFonts w:ascii="Times New Roman" w:eastAsia="Times New Roman" w:hAnsi="Times New Roman"/>
          <w:sz w:val="24"/>
          <w:szCs w:val="24"/>
          <w:u w:val="single"/>
        </w:rPr>
        <w:t>Sutton v. United Air Lines, Inc</w:t>
      </w:r>
      <w:r>
        <w:rPr>
          <w:rFonts w:ascii="Times New Roman" w:eastAsia="Times New Roman" w:hAnsi="Times New Roman"/>
          <w:sz w:val="24"/>
          <w:szCs w:val="24"/>
        </w:rPr>
        <w:t xml:space="preserve">., 527 U.S. 471 (1999), and </w:t>
      </w:r>
      <w:r w:rsidRPr="005C4230">
        <w:rPr>
          <w:rFonts w:ascii="Times New Roman" w:eastAsia="Times New Roman" w:hAnsi="Times New Roman"/>
          <w:sz w:val="24"/>
          <w:szCs w:val="24"/>
          <w:u w:val="single"/>
        </w:rPr>
        <w:t>Toyota Motor Manufacturing, Kentucky, Inc. v. Williams</w:t>
      </w:r>
      <w:r>
        <w:rPr>
          <w:rFonts w:ascii="Times New Roman" w:eastAsia="Times New Roman" w:hAnsi="Times New Roman"/>
          <w:sz w:val="24"/>
          <w:szCs w:val="24"/>
        </w:rPr>
        <w:t xml:space="preserve">, 534 U.S. 184 (2002).  </w:t>
      </w:r>
      <w:r w:rsidRPr="005C4230">
        <w:rPr>
          <w:rFonts w:ascii="Times New Roman" w:hAnsi="Times New Roman"/>
          <w:sz w:val="24"/>
          <w:szCs w:val="24"/>
        </w:rPr>
        <w:t xml:space="preserve">The EEOC has promulgated administrative rules that guide the analysis of whether </w:t>
      </w:r>
      <w:proofErr w:type="gramStart"/>
      <w:r w:rsidRPr="005C4230">
        <w:rPr>
          <w:rFonts w:ascii="Times New Roman" w:hAnsi="Times New Roman"/>
          <w:sz w:val="24"/>
          <w:szCs w:val="24"/>
        </w:rPr>
        <w:t>a temporary</w:t>
      </w:r>
      <w:proofErr w:type="gramEnd"/>
      <w:r w:rsidRPr="005C4230">
        <w:rPr>
          <w:rFonts w:ascii="Times New Roman" w:hAnsi="Times New Roman"/>
          <w:sz w:val="24"/>
          <w:szCs w:val="24"/>
        </w:rPr>
        <w:t xml:space="preserve"> impairment is sufficiently severe to qualify as a disability under the ADA. 29 C.F.R. § 1630.2(j)(1)(ix) (app.). Those regulations state that </w:t>
      </w:r>
      <w:r>
        <w:rPr>
          <w:rFonts w:ascii="Times New Roman" w:hAnsi="Times New Roman"/>
          <w:sz w:val="24"/>
          <w:szCs w:val="24"/>
        </w:rPr>
        <w:t>“</w:t>
      </w:r>
      <w:r w:rsidRPr="005C4230">
        <w:rPr>
          <w:rFonts w:ascii="Times New Roman" w:hAnsi="Times New Roman"/>
          <w:sz w:val="24"/>
          <w:szCs w:val="24"/>
        </w:rPr>
        <w:t xml:space="preserve">if an individual has a back impairment that results in a 20-pound lifting restriction that lasts for several months, he is substantially limited in the major life activity of </w:t>
      </w:r>
      <w:proofErr w:type="gramStart"/>
      <w:r w:rsidRPr="005C4230">
        <w:rPr>
          <w:rFonts w:ascii="Times New Roman" w:hAnsi="Times New Roman"/>
          <w:sz w:val="24"/>
          <w:szCs w:val="24"/>
        </w:rPr>
        <w:t>lifting, and</w:t>
      </w:r>
      <w:proofErr w:type="gramEnd"/>
      <w:r w:rsidRPr="005C4230">
        <w:rPr>
          <w:rFonts w:ascii="Times New Roman" w:hAnsi="Times New Roman"/>
          <w:sz w:val="24"/>
          <w:szCs w:val="24"/>
        </w:rPr>
        <w:t xml:space="preserve"> therefore covered under the first prong of the definition of disability.</w:t>
      </w:r>
      <w:r>
        <w:rPr>
          <w:rFonts w:ascii="Times New Roman" w:hAnsi="Times New Roman"/>
          <w:sz w:val="24"/>
          <w:szCs w:val="24"/>
        </w:rPr>
        <w:t>”</w:t>
      </w:r>
    </w:p>
    <w:p w14:paraId="72FB9C46" w14:textId="77777777" w:rsidR="007105B3" w:rsidRDefault="007105B3" w:rsidP="002B1283">
      <w:pPr>
        <w:rPr>
          <w:rFonts w:ascii="Arial Black" w:hAnsi="Arial Black"/>
          <w:b/>
          <w:bCs/>
          <w:sz w:val="28"/>
          <w:szCs w:val="28"/>
        </w:rPr>
      </w:pPr>
    </w:p>
    <w:p w14:paraId="339F9EB2" w14:textId="09288825" w:rsidR="00FA7B26" w:rsidRDefault="00FA7B26" w:rsidP="002B1283">
      <w:pPr>
        <w:rPr>
          <w:rFonts w:ascii="Arial Black" w:hAnsi="Arial Black"/>
          <w:b/>
          <w:bCs/>
          <w:sz w:val="28"/>
          <w:szCs w:val="28"/>
        </w:rPr>
      </w:pPr>
      <w:r>
        <w:rPr>
          <w:rFonts w:ascii="Arial Black" w:hAnsi="Arial Black"/>
          <w:b/>
          <w:bCs/>
          <w:sz w:val="28"/>
          <w:szCs w:val="28"/>
        </w:rPr>
        <w:t>13-57</w:t>
      </w:r>
    </w:p>
    <w:p w14:paraId="6EBC5A96" w14:textId="77777777" w:rsidR="00FA7B26" w:rsidRDefault="00FA7B26" w:rsidP="00FA7B2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U.S. SUPREME COURT – CARONA VIRUS – UPHOLDS CALIFORNIA RESTRICTIONS ON RELIGIOUS GATHERINGS</w:t>
      </w:r>
    </w:p>
    <w:p w14:paraId="4AEC2713" w14:textId="77777777" w:rsidR="00FA7B26" w:rsidRDefault="00FA7B26" w:rsidP="00FA7B26">
      <w:pPr>
        <w:spacing w:before="100" w:beforeAutospacing="1" w:after="100" w:afterAutospacing="1" w:line="240" w:lineRule="auto"/>
        <w:rPr>
          <w:rFonts w:ascii="Times New Roman" w:hAnsi="Times New Roman"/>
          <w:sz w:val="24"/>
          <w:szCs w:val="24"/>
        </w:rPr>
      </w:pPr>
      <w:r w:rsidRPr="00165D3F">
        <w:rPr>
          <w:rFonts w:ascii="Times New Roman" w:eastAsia="Times New Roman" w:hAnsi="Times New Roman"/>
          <w:sz w:val="24"/>
          <w:szCs w:val="24"/>
        </w:rPr>
        <w:t xml:space="preserve">On May 29, 2020, in </w:t>
      </w:r>
      <w:r w:rsidRPr="00165D3F">
        <w:rPr>
          <w:rFonts w:ascii="Times New Roman" w:eastAsia="Times New Roman" w:hAnsi="Times New Roman"/>
          <w:sz w:val="24"/>
          <w:szCs w:val="24"/>
          <w:u w:val="single"/>
        </w:rPr>
        <w:t>South Bay United Pentecostal Church, et a. v. Gavin Newsom, Governor of California,</w:t>
      </w:r>
      <w:r w:rsidRPr="00165D3F">
        <w:rPr>
          <w:rFonts w:ascii="Times New Roman" w:eastAsia="Times New Roman" w:hAnsi="Times New Roman"/>
          <w:sz w:val="24"/>
          <w:szCs w:val="24"/>
        </w:rPr>
        <w:t xml:space="preserve"> </w:t>
      </w:r>
      <w:r>
        <w:rPr>
          <w:rFonts w:ascii="Times New Roman" w:eastAsia="Times New Roman" w:hAnsi="Times New Roman"/>
          <w:sz w:val="24"/>
          <w:szCs w:val="24"/>
        </w:rPr>
        <w:t xml:space="preserve">the Court (5 to 4) denied the church’s request for an injunction, in a rare late-night ruling, and upheld the California restriction of attendance at places of worship to 25% of building capacity, or a maximum of 100 attendees.  The San Diego area church had lost before a U.S. District Court judge, </w:t>
      </w:r>
      <w:proofErr w:type="gramStart"/>
      <w:r>
        <w:rPr>
          <w:rFonts w:ascii="Times New Roman" w:eastAsia="Times New Roman" w:hAnsi="Times New Roman"/>
          <w:sz w:val="24"/>
          <w:szCs w:val="24"/>
        </w:rPr>
        <w:t>and also</w:t>
      </w:r>
      <w:proofErr w:type="gramEnd"/>
      <w:r>
        <w:rPr>
          <w:rFonts w:ascii="Times New Roman" w:eastAsia="Times New Roman" w:hAnsi="Times New Roman"/>
          <w:sz w:val="24"/>
          <w:szCs w:val="24"/>
        </w:rPr>
        <w:t xml:space="preserve"> the 9</w:t>
      </w:r>
      <w:r w:rsidRPr="0046707A">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w:t>
      </w:r>
      <w:hyperlink r:id="rId2382" w:history="1">
        <w:r w:rsidRPr="003826A8">
          <w:rPr>
            <w:rStyle w:val="Hyperlink"/>
            <w:sz w:val="24"/>
            <w:szCs w:val="24"/>
          </w:rPr>
          <w:t>https://www.supremecourt.gov/opinions/19pdf/19a1044_pok0.pdf</w:t>
        </w:r>
      </w:hyperlink>
      <w:r>
        <w:rPr>
          <w:rFonts w:ascii="Times New Roman" w:hAnsi="Times New Roman"/>
          <w:sz w:val="24"/>
          <w:szCs w:val="24"/>
        </w:rPr>
        <w:t xml:space="preserve"> </w:t>
      </w:r>
    </w:p>
    <w:p w14:paraId="07DA73D0" w14:textId="77777777" w:rsidR="00FA7B26" w:rsidRPr="00575185" w:rsidRDefault="00FA7B26" w:rsidP="00FA7B26">
      <w:pPr>
        <w:pStyle w:val="Heading1"/>
        <w:jc w:val="both"/>
        <w:rPr>
          <w:sz w:val="24"/>
          <w:szCs w:val="24"/>
        </w:rPr>
      </w:pPr>
      <w:r w:rsidRPr="00575185">
        <w:rPr>
          <w:sz w:val="24"/>
          <w:szCs w:val="24"/>
        </w:rPr>
        <w:t xml:space="preserve">Legal Lessons Learned:  There has been litigation throughout the nation challenging corona virus restrictions; this is the first case to reach the U.S. Supreme Court.  </w:t>
      </w:r>
    </w:p>
    <w:p w14:paraId="2D6DF77E" w14:textId="6299BA1E" w:rsidR="00FA7B26" w:rsidRPr="00FA7B26" w:rsidRDefault="00FA7B26" w:rsidP="00FA7B26">
      <w:pPr>
        <w:ind w:left="720"/>
        <w:rPr>
          <w:rFonts w:ascii="Times New Roman" w:hAnsi="Times New Roman"/>
          <w:sz w:val="24"/>
          <w:szCs w:val="24"/>
        </w:rPr>
      </w:pPr>
      <w:r w:rsidRPr="00FA7B26">
        <w:rPr>
          <w:rFonts w:ascii="Times New Roman" w:hAnsi="Times New Roman"/>
          <w:sz w:val="24"/>
          <w:szCs w:val="24"/>
        </w:rPr>
        <w:lastRenderedPageBreak/>
        <w:t xml:space="preserve">Note: On May 6, 2020, the U.S. Supreme Court declined to hear an appeal by PA businesses seeking an injunction.  The Court will not hear an appeal unless at least 4 Justices agree to hear case.  See article: “U.S. Supreme Court rejects request to end Pennsylvania's coronavirus lockdown.” </w:t>
      </w:r>
      <w:hyperlink r:id="rId2383" w:history="1">
        <w:r w:rsidRPr="00FA7B26">
          <w:rPr>
            <w:rStyle w:val="Hyperlink"/>
            <w:rFonts w:ascii="Times New Roman" w:hAnsi="Times New Roman"/>
            <w:sz w:val="24"/>
            <w:szCs w:val="24"/>
          </w:rPr>
          <w:t>https://www.phillyvoice.com/us-supreme-court-denies-overturn-pennsylvania-non-essential-businesses-coronavirus-gov-wolf/</w:t>
        </w:r>
      </w:hyperlink>
    </w:p>
    <w:p w14:paraId="156AA44B" w14:textId="77777777" w:rsidR="00FA7B26" w:rsidRDefault="00FA7B26" w:rsidP="002B1283">
      <w:pPr>
        <w:rPr>
          <w:rFonts w:ascii="Arial Black" w:hAnsi="Arial Black"/>
          <w:b/>
          <w:bCs/>
          <w:sz w:val="28"/>
          <w:szCs w:val="28"/>
        </w:rPr>
      </w:pPr>
    </w:p>
    <w:p w14:paraId="4D710F36" w14:textId="0D97D8F3" w:rsidR="00FA7B26" w:rsidRDefault="00FA7B26" w:rsidP="002B1283">
      <w:pPr>
        <w:rPr>
          <w:rFonts w:ascii="Arial Black" w:hAnsi="Arial Black"/>
          <w:b/>
          <w:bCs/>
          <w:sz w:val="28"/>
          <w:szCs w:val="28"/>
        </w:rPr>
      </w:pPr>
      <w:r>
        <w:rPr>
          <w:rFonts w:ascii="Arial Black" w:hAnsi="Arial Black"/>
          <w:b/>
          <w:bCs/>
          <w:sz w:val="28"/>
          <w:szCs w:val="28"/>
        </w:rPr>
        <w:t>13-56</w:t>
      </w:r>
    </w:p>
    <w:p w14:paraId="7F8D274B" w14:textId="77777777" w:rsidR="00FA7B26" w:rsidRPr="00B46B8F" w:rsidRDefault="00FA7B26" w:rsidP="00FA7B26">
      <w:pPr>
        <w:spacing w:before="100" w:beforeAutospacing="1" w:after="100" w:afterAutospacing="1" w:line="240" w:lineRule="auto"/>
        <w:jc w:val="both"/>
        <w:rPr>
          <w:rFonts w:ascii="Arial Black" w:eastAsia="Times New Roman" w:hAnsi="Arial Black"/>
          <w:b/>
          <w:bCs/>
          <w:sz w:val="28"/>
          <w:szCs w:val="28"/>
        </w:rPr>
      </w:pPr>
      <w:r w:rsidRPr="00B46B8F">
        <w:rPr>
          <w:rFonts w:ascii="Arial Black" w:eastAsia="Times New Roman" w:hAnsi="Arial Black"/>
          <w:b/>
          <w:bCs/>
          <w:sz w:val="28"/>
          <w:szCs w:val="28"/>
        </w:rPr>
        <w:t>NJ:</w:t>
      </w:r>
      <w:r>
        <w:rPr>
          <w:rFonts w:ascii="Arial Black" w:eastAsia="Times New Roman" w:hAnsi="Arial Black"/>
          <w:b/>
          <w:bCs/>
          <w:sz w:val="28"/>
          <w:szCs w:val="28"/>
        </w:rPr>
        <w:t xml:space="preserve"> MAINTENANCE ISSUES OF EMS VEHICLES – STATE SUSPENDS LICENSE – INSTEAD OF ADMIN. APPEAL, WENT TO COURT – COURT OF APPEALS UPHOLDS SUSPENSION</w:t>
      </w:r>
    </w:p>
    <w:p w14:paraId="65296453" w14:textId="77777777" w:rsidR="00FA7B26" w:rsidRPr="00290F9C" w:rsidRDefault="00FA7B26" w:rsidP="00FA7B26">
      <w:pPr>
        <w:spacing w:before="100" w:beforeAutospacing="1" w:after="100" w:afterAutospacing="1" w:line="240" w:lineRule="auto"/>
        <w:rPr>
          <w:rFonts w:ascii="Times New Roman" w:hAnsi="Times New Roman"/>
          <w:sz w:val="24"/>
          <w:szCs w:val="24"/>
        </w:rPr>
      </w:pPr>
      <w:r w:rsidRPr="00290F9C">
        <w:rPr>
          <w:rFonts w:ascii="Times New Roman" w:hAnsi="Times New Roman"/>
          <w:sz w:val="24"/>
          <w:szCs w:val="24"/>
        </w:rPr>
        <w:t xml:space="preserve">On May 27, 2020, in </w:t>
      </w:r>
      <w:proofErr w:type="spellStart"/>
      <w:r w:rsidRPr="00290F9C">
        <w:rPr>
          <w:rFonts w:ascii="Times New Roman" w:hAnsi="Times New Roman"/>
          <w:sz w:val="24"/>
          <w:szCs w:val="24"/>
          <w:u w:val="single"/>
        </w:rPr>
        <w:t>Americare</w:t>
      </w:r>
      <w:proofErr w:type="spellEnd"/>
      <w:r w:rsidRPr="00290F9C">
        <w:rPr>
          <w:rFonts w:ascii="Times New Roman" w:hAnsi="Times New Roman"/>
          <w:sz w:val="24"/>
          <w:szCs w:val="24"/>
          <w:u w:val="single"/>
        </w:rPr>
        <w:t xml:space="preserve"> Emergency Medical Service, Inc. v. City of Orange Township; State of New Jersey Department of Health, Office of EMS, et al.</w:t>
      </w:r>
      <w:r w:rsidRPr="00290F9C">
        <w:rPr>
          <w:rFonts w:ascii="Times New Roman" w:hAnsi="Times New Roman"/>
          <w:sz w:val="24"/>
          <w:szCs w:val="24"/>
        </w:rPr>
        <w:t>, the Superior Court of New Jersey Appellate Division, held (3 to 0) in unpublished decision that the State’s suspension is reinstated</w:t>
      </w:r>
      <w:r>
        <w:rPr>
          <w:rFonts w:ascii="Times New Roman" w:hAnsi="Times New Roman"/>
          <w:sz w:val="24"/>
          <w:szCs w:val="24"/>
        </w:rPr>
        <w:t>; they must exhaust administrative appeal to Commissioner of Dept. of Health</w:t>
      </w:r>
      <w:r w:rsidRPr="00290F9C">
        <w:rPr>
          <w:rFonts w:ascii="Times New Roman" w:hAnsi="Times New Roman"/>
          <w:sz w:val="24"/>
          <w:szCs w:val="24"/>
        </w:rPr>
        <w:t xml:space="preserve">.  </w:t>
      </w:r>
      <w:hyperlink r:id="rId2384" w:history="1">
        <w:r w:rsidRPr="00290F9C">
          <w:rPr>
            <w:rStyle w:val="Hyperlink"/>
            <w:sz w:val="24"/>
            <w:szCs w:val="24"/>
          </w:rPr>
          <w:t>https://njcourts.gov/attorneys/assets/opinions/appellate/published/a0117-19.pdf?c=WwB</w:t>
        </w:r>
      </w:hyperlink>
      <w:r w:rsidRPr="00290F9C">
        <w:rPr>
          <w:rFonts w:ascii="Times New Roman" w:hAnsi="Times New Roman"/>
          <w:sz w:val="24"/>
          <w:szCs w:val="24"/>
        </w:rPr>
        <w:t xml:space="preserve"> </w:t>
      </w:r>
    </w:p>
    <w:p w14:paraId="6D248F8B" w14:textId="77777777" w:rsidR="00FA7B26" w:rsidRPr="00290F9C" w:rsidRDefault="00FA7B26" w:rsidP="00FA7B26">
      <w:pPr>
        <w:spacing w:after="0" w:line="240" w:lineRule="auto"/>
        <w:jc w:val="both"/>
        <w:rPr>
          <w:rFonts w:ascii="Times New Roman" w:hAnsi="Times New Roman"/>
          <w:b/>
          <w:bCs/>
          <w:sz w:val="24"/>
          <w:szCs w:val="24"/>
        </w:rPr>
      </w:pPr>
      <w:r w:rsidRPr="00290F9C">
        <w:rPr>
          <w:rFonts w:ascii="Times New Roman" w:hAnsi="Times New Roman"/>
          <w:b/>
          <w:bCs/>
          <w:sz w:val="24"/>
          <w:szCs w:val="24"/>
        </w:rPr>
        <w:t>Legal Lessons Learned:</w:t>
      </w:r>
      <w:r>
        <w:rPr>
          <w:rFonts w:ascii="Times New Roman" w:hAnsi="Times New Roman"/>
          <w:b/>
          <w:bCs/>
          <w:sz w:val="24"/>
          <w:szCs w:val="24"/>
        </w:rPr>
        <w:t xml:space="preserve"> Proper maintenance of EMS transport vehicles is extremely important; it is generally best to exhaust administrative appeals before going to Court.</w:t>
      </w:r>
    </w:p>
    <w:p w14:paraId="2EA3C321" w14:textId="77777777" w:rsidR="00FA7B26" w:rsidRDefault="00FA7B26" w:rsidP="00FA7B26">
      <w:pPr>
        <w:spacing w:before="100" w:beforeAutospacing="1" w:after="100" w:afterAutospacing="1" w:line="240" w:lineRule="auto"/>
        <w:rPr>
          <w:rFonts w:ascii="Times New Roman" w:eastAsia="Times New Roman" w:hAnsi="Times New Roman"/>
          <w:sz w:val="24"/>
          <w:szCs w:val="24"/>
        </w:rPr>
      </w:pPr>
    </w:p>
    <w:p w14:paraId="5F55F461" w14:textId="77777777" w:rsidR="00FA7B26" w:rsidRDefault="00FA7B26" w:rsidP="002B1283">
      <w:pPr>
        <w:rPr>
          <w:rFonts w:ascii="Arial Black" w:hAnsi="Arial Black"/>
          <w:b/>
          <w:bCs/>
          <w:sz w:val="28"/>
          <w:szCs w:val="28"/>
        </w:rPr>
      </w:pPr>
    </w:p>
    <w:p w14:paraId="036ED8A8" w14:textId="77777777" w:rsidR="00FA7B26" w:rsidRDefault="00FA7B26" w:rsidP="002B1283">
      <w:pPr>
        <w:rPr>
          <w:rFonts w:ascii="Arial Black" w:hAnsi="Arial Black"/>
          <w:b/>
          <w:bCs/>
          <w:sz w:val="28"/>
          <w:szCs w:val="28"/>
        </w:rPr>
      </w:pPr>
    </w:p>
    <w:p w14:paraId="00C93788" w14:textId="05615E64" w:rsidR="00FA7B26" w:rsidRDefault="00FA7B26" w:rsidP="002B1283">
      <w:pPr>
        <w:rPr>
          <w:rFonts w:ascii="Arial Black" w:hAnsi="Arial Black"/>
          <w:b/>
          <w:bCs/>
          <w:sz w:val="28"/>
          <w:szCs w:val="28"/>
        </w:rPr>
      </w:pPr>
      <w:r>
        <w:rPr>
          <w:rFonts w:ascii="Arial Black" w:hAnsi="Arial Black"/>
          <w:b/>
          <w:bCs/>
          <w:sz w:val="28"/>
          <w:szCs w:val="28"/>
        </w:rPr>
        <w:t>13-55</w:t>
      </w:r>
    </w:p>
    <w:p w14:paraId="44F0F00C" w14:textId="2E48C118" w:rsidR="00FA7B26" w:rsidRPr="00C42FC3" w:rsidRDefault="00FA7B26" w:rsidP="00FA7B26">
      <w:pPr>
        <w:spacing w:before="100" w:beforeAutospacing="1" w:after="100" w:afterAutospacing="1" w:line="240" w:lineRule="auto"/>
        <w:rPr>
          <w:rFonts w:ascii="Arial Black" w:eastAsia="Times New Roman" w:hAnsi="Arial Black"/>
          <w:sz w:val="24"/>
          <w:szCs w:val="24"/>
        </w:rPr>
      </w:pPr>
      <w:bookmarkStart w:id="455" w:name="_Hlk42171981"/>
      <w:r w:rsidRPr="000B01EB">
        <w:rPr>
          <w:rFonts w:ascii="Arial Black" w:eastAsia="Times New Roman" w:hAnsi="Arial Black"/>
          <w:sz w:val="28"/>
          <w:szCs w:val="28"/>
        </w:rPr>
        <w:t>NY:</w:t>
      </w:r>
      <w:r>
        <w:rPr>
          <w:rFonts w:ascii="Arial Black" w:eastAsia="Times New Roman" w:hAnsi="Arial Black"/>
          <w:sz w:val="28"/>
          <w:szCs w:val="28"/>
        </w:rPr>
        <w:t xml:space="preserve"> DIF</w:t>
      </w:r>
      <w:r w:rsidR="00DC0660">
        <w:rPr>
          <w:rFonts w:ascii="Arial Black" w:eastAsia="Times New Roman" w:hAnsi="Arial Black"/>
          <w:sz w:val="28"/>
          <w:szCs w:val="28"/>
        </w:rPr>
        <w:t>F</w:t>
      </w:r>
      <w:r>
        <w:rPr>
          <w:rFonts w:ascii="Arial Black" w:eastAsia="Times New Roman" w:hAnsi="Arial Black"/>
          <w:sz w:val="28"/>
          <w:szCs w:val="28"/>
        </w:rPr>
        <w:t xml:space="preserve">ICULTY BREATHING CALL - RAPID PD RESPONSE, BUT 20 MINUTES </w:t>
      </w:r>
      <w:r w:rsidRPr="00C42FC3">
        <w:rPr>
          <w:rFonts w:ascii="Arial Black" w:eastAsia="Times New Roman" w:hAnsi="Arial Black"/>
          <w:sz w:val="28"/>
          <w:szCs w:val="28"/>
        </w:rPr>
        <w:t>MUTUAL</w:t>
      </w:r>
      <w:r>
        <w:rPr>
          <w:rFonts w:ascii="Arial Black" w:eastAsia="Times New Roman" w:hAnsi="Arial Black"/>
          <w:sz w:val="28"/>
          <w:szCs w:val="28"/>
        </w:rPr>
        <w:t xml:space="preserve"> AID</w:t>
      </w:r>
      <w:r w:rsidRPr="00C42FC3">
        <w:rPr>
          <w:rFonts w:ascii="Arial Black" w:eastAsia="Times New Roman" w:hAnsi="Arial Black"/>
          <w:sz w:val="28"/>
          <w:szCs w:val="28"/>
        </w:rPr>
        <w:t xml:space="preserve"> AMBULANCE - GOVERNMENTAL IMMUNITY</w:t>
      </w:r>
      <w:r>
        <w:rPr>
          <w:rFonts w:ascii="Arial Black" w:eastAsia="Times New Roman" w:hAnsi="Arial Black"/>
          <w:sz w:val="28"/>
          <w:szCs w:val="28"/>
        </w:rPr>
        <w:t xml:space="preserve"> - NO</w:t>
      </w:r>
      <w:r w:rsidRPr="00C42FC3">
        <w:rPr>
          <w:rFonts w:ascii="Arial Black" w:eastAsia="Times New Roman" w:hAnsi="Arial Black"/>
          <w:sz w:val="28"/>
          <w:szCs w:val="28"/>
        </w:rPr>
        <w:t xml:space="preserve"> “SPECIAL DUTY” </w:t>
      </w:r>
      <w:r>
        <w:rPr>
          <w:rFonts w:ascii="Arial Black" w:eastAsia="Times New Roman" w:hAnsi="Arial Black"/>
          <w:sz w:val="28"/>
          <w:szCs w:val="28"/>
        </w:rPr>
        <w:t>OWED</w:t>
      </w:r>
    </w:p>
    <w:bookmarkEnd w:id="455"/>
    <w:p w14:paraId="45901E8D" w14:textId="6A35DA9E" w:rsidR="00FA7B26" w:rsidRDefault="00FA7B26" w:rsidP="00FA7B26">
      <w:pPr>
        <w:rPr>
          <w:rFonts w:ascii="Arial Black" w:hAnsi="Arial Black"/>
          <w:b/>
          <w:bCs/>
          <w:sz w:val="28"/>
          <w:szCs w:val="28"/>
        </w:rPr>
      </w:pPr>
      <w:r w:rsidRPr="00C42FC3">
        <w:rPr>
          <w:rFonts w:ascii="Times New Roman" w:eastAsia="Times New Roman" w:hAnsi="Times New Roman"/>
          <w:sz w:val="24"/>
          <w:szCs w:val="24"/>
        </w:rPr>
        <w:t xml:space="preserve">On May 27, 2020, in </w:t>
      </w:r>
      <w:r w:rsidRPr="00C42FC3">
        <w:rPr>
          <w:rFonts w:ascii="Times New Roman" w:eastAsia="Times New Roman" w:hAnsi="Times New Roman"/>
          <w:sz w:val="24"/>
          <w:szCs w:val="24"/>
          <w:u w:val="single"/>
        </w:rPr>
        <w:t>Kathlene Marks-Barcia v. Village of Sleepy Hollow Ambulance Corps, et al.</w:t>
      </w:r>
      <w:r w:rsidRPr="00C42FC3">
        <w:rPr>
          <w:rFonts w:ascii="Times New Roman" w:eastAsia="Times New Roman" w:hAnsi="Times New Roman"/>
          <w:sz w:val="24"/>
          <w:szCs w:val="24"/>
        </w:rPr>
        <w:t xml:space="preserve">, </w:t>
      </w:r>
      <w:r>
        <w:rPr>
          <w:rFonts w:ascii="Times New Roman" w:eastAsia="Times New Roman" w:hAnsi="Times New Roman"/>
          <w:sz w:val="24"/>
          <w:szCs w:val="24"/>
        </w:rPr>
        <w:t xml:space="preserve">the Supreme Court of New York, Appellate Division (Second Judicial Department), held (3 to 0) that the trial judge properly granted summary judgment to the Village since they owed no “special duty” to the 911 caller or her husband.  </w:t>
      </w:r>
      <w:hyperlink r:id="rId2385" w:history="1">
        <w:r w:rsidRPr="00082B39">
          <w:rPr>
            <w:rStyle w:val="Hyperlink"/>
            <w:sz w:val="24"/>
            <w:szCs w:val="24"/>
          </w:rPr>
          <w:t>https://iapps.courts.state.ny.us/search/wicket/page?2-IResourceListener-pnlResultContainer-pnlResult-2-lnkDocument</w:t>
        </w:r>
      </w:hyperlink>
    </w:p>
    <w:p w14:paraId="1365AC58" w14:textId="77777777" w:rsidR="00FA7B26" w:rsidRPr="00FA61E9" w:rsidRDefault="00FA7B26" w:rsidP="00FA7B26">
      <w:pPr>
        <w:spacing w:before="100" w:beforeAutospacing="1" w:after="100" w:afterAutospacing="1" w:line="240" w:lineRule="auto"/>
        <w:jc w:val="both"/>
        <w:rPr>
          <w:rFonts w:ascii="Times New Roman" w:eastAsia="Times New Roman" w:hAnsi="Times New Roman"/>
          <w:b/>
          <w:bCs/>
          <w:sz w:val="24"/>
          <w:szCs w:val="24"/>
        </w:rPr>
      </w:pPr>
      <w:r w:rsidRPr="00FA61E9">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Governmental immunity is an important protection against liability for EMS.</w:t>
      </w:r>
    </w:p>
    <w:p w14:paraId="128E909E" w14:textId="3E91570E" w:rsidR="00FA7B26" w:rsidRPr="00FA7B26" w:rsidRDefault="00FA7B26" w:rsidP="00FA7B26">
      <w:pPr>
        <w:ind w:left="720"/>
        <w:rPr>
          <w:rFonts w:ascii="Times New Roman" w:hAnsi="Times New Roman"/>
          <w:sz w:val="24"/>
          <w:szCs w:val="24"/>
        </w:rPr>
      </w:pPr>
      <w:r w:rsidRPr="00FA7B26">
        <w:rPr>
          <w:rFonts w:ascii="Times New Roman" w:hAnsi="Times New Roman"/>
          <w:sz w:val="24"/>
          <w:szCs w:val="24"/>
        </w:rPr>
        <w:t xml:space="preserve">Note:  Some states, such as Florida, have by statute abolished the “Professional Rescuer Rule” [also known as “Fireman’s Rule”]. See Florida 2019 statute: </w:t>
      </w:r>
      <w:hyperlink r:id="rId2386" w:history="1">
        <w:r w:rsidRPr="00FA7B26">
          <w:rPr>
            <w:rStyle w:val="Hyperlink"/>
            <w:rFonts w:ascii="Times New Roman" w:hAnsi="Times New Roman"/>
            <w:sz w:val="24"/>
            <w:szCs w:val="24"/>
          </w:rPr>
          <w:t>http://www.leg.state.fl.us/statutes/index.cfm?App_mode=Display_Statute&amp;Search_String=&amp;URL=0100-0199/0112/Sections/0112.182.html</w:t>
        </w:r>
      </w:hyperlink>
    </w:p>
    <w:p w14:paraId="42778FA6" w14:textId="426407DD" w:rsidR="00FA7B26" w:rsidRDefault="00FA7B26" w:rsidP="002B1283">
      <w:pPr>
        <w:rPr>
          <w:rFonts w:ascii="Arial Black" w:hAnsi="Arial Black"/>
          <w:b/>
          <w:bCs/>
          <w:sz w:val="28"/>
          <w:szCs w:val="28"/>
        </w:rPr>
      </w:pPr>
      <w:r>
        <w:rPr>
          <w:rFonts w:ascii="Arial Black" w:hAnsi="Arial Black"/>
          <w:b/>
          <w:bCs/>
          <w:sz w:val="28"/>
          <w:szCs w:val="28"/>
        </w:rPr>
        <w:t>13-54</w:t>
      </w:r>
    </w:p>
    <w:p w14:paraId="0D4867B0" w14:textId="77777777" w:rsidR="00FA7B26" w:rsidRPr="003E7024" w:rsidRDefault="00FA7B26" w:rsidP="00FA7B26">
      <w:pPr>
        <w:tabs>
          <w:tab w:val="left" w:pos="820"/>
        </w:tabs>
        <w:spacing w:before="100" w:beforeAutospacing="1" w:after="100" w:afterAutospacing="1" w:line="240" w:lineRule="auto"/>
        <w:rPr>
          <w:rFonts w:ascii="Arial Black" w:eastAsia="Times New Roman" w:hAnsi="Arial Black"/>
          <w:b/>
          <w:bCs/>
          <w:sz w:val="28"/>
          <w:szCs w:val="28"/>
        </w:rPr>
      </w:pPr>
      <w:bookmarkStart w:id="456" w:name="_Hlk42171919"/>
      <w:r w:rsidRPr="003E7024">
        <w:rPr>
          <w:rFonts w:ascii="Arial Black" w:eastAsia="Times New Roman" w:hAnsi="Arial Black"/>
          <w:b/>
          <w:bCs/>
          <w:sz w:val="28"/>
          <w:szCs w:val="28"/>
        </w:rPr>
        <w:t xml:space="preserve">IL: </w:t>
      </w:r>
      <w:r>
        <w:rPr>
          <w:rFonts w:ascii="Arial Black" w:eastAsia="Times New Roman" w:hAnsi="Arial Black"/>
          <w:b/>
          <w:bCs/>
          <w:sz w:val="28"/>
          <w:szCs w:val="28"/>
        </w:rPr>
        <w:t xml:space="preserve">TRANSP. FEMALE FROM PD TO HOSPITAL - KICKED PARAMEDIC IN NECK – CONVICTED BY JURY AGGRAVATED BATTERY – VIDEO FROM HOSPITAL / PHOTO OF MEDIC’S BRUISED NECK – SENTENCED </w:t>
      </w:r>
      <w:r w:rsidRPr="003E7024">
        <w:rPr>
          <w:rFonts w:ascii="Arial Black" w:eastAsia="Times New Roman" w:hAnsi="Arial Black"/>
          <w:b/>
          <w:bCs/>
          <w:sz w:val="28"/>
          <w:szCs w:val="28"/>
        </w:rPr>
        <w:t xml:space="preserve">2 YEARS </w:t>
      </w:r>
      <w:r>
        <w:rPr>
          <w:rFonts w:ascii="Arial Black" w:eastAsia="Times New Roman" w:hAnsi="Arial Black"/>
          <w:b/>
          <w:bCs/>
          <w:sz w:val="28"/>
          <w:szCs w:val="28"/>
        </w:rPr>
        <w:t xml:space="preserve">IN </w:t>
      </w:r>
      <w:r w:rsidRPr="003E7024">
        <w:rPr>
          <w:rFonts w:ascii="Arial Black" w:eastAsia="Times New Roman" w:hAnsi="Arial Black"/>
          <w:b/>
          <w:bCs/>
          <w:sz w:val="28"/>
          <w:szCs w:val="28"/>
        </w:rPr>
        <w:t>PRISON</w:t>
      </w:r>
    </w:p>
    <w:p w14:paraId="2DBE90D9" w14:textId="77777777" w:rsidR="00FA7B26" w:rsidRDefault="00FA7B26" w:rsidP="00FA7B26">
      <w:pPr>
        <w:spacing w:before="100" w:beforeAutospacing="1" w:after="100" w:afterAutospacing="1" w:line="240" w:lineRule="auto"/>
        <w:rPr>
          <w:rFonts w:ascii="Times New Roman" w:hAnsi="Times New Roman"/>
          <w:sz w:val="24"/>
          <w:szCs w:val="24"/>
        </w:rPr>
      </w:pPr>
      <w:r w:rsidRPr="003E7024">
        <w:rPr>
          <w:rFonts w:ascii="Times New Roman" w:hAnsi="Times New Roman"/>
          <w:sz w:val="24"/>
          <w:szCs w:val="24"/>
        </w:rPr>
        <w:t xml:space="preserve">On May 13, 2020, in </w:t>
      </w:r>
      <w:r w:rsidRPr="003E7024">
        <w:rPr>
          <w:rFonts w:ascii="Times New Roman" w:hAnsi="Times New Roman"/>
          <w:sz w:val="24"/>
          <w:szCs w:val="24"/>
          <w:u w:val="single"/>
        </w:rPr>
        <w:t>The People of State of Illinois v. Krystina Stoch</w:t>
      </w:r>
      <w:r>
        <w:rPr>
          <w:rFonts w:ascii="Times New Roman" w:hAnsi="Times New Roman"/>
          <w:sz w:val="24"/>
          <w:szCs w:val="24"/>
        </w:rPr>
        <w:t xml:space="preserve">, the Appellate Court of Illinois, First District, held (3 to 0) that conviction of aggravated battery was affirmed, and rejected the defense that she didn’t intend to hurt the paramedic when she kicked out at him when being moved from stretcher to a wheel chair at the hospital. </w:t>
      </w:r>
      <w:hyperlink r:id="rId2387" w:history="1">
        <w:r w:rsidRPr="00C46C1D">
          <w:rPr>
            <w:rStyle w:val="Hyperlink"/>
            <w:sz w:val="24"/>
            <w:szCs w:val="24"/>
          </w:rPr>
          <w:t>https://courts.illinois.gov/R23_Orders/AppellateCourt/2020/1stDistrict/1172189_R23.pdf</w:t>
        </w:r>
      </w:hyperlink>
      <w:r>
        <w:rPr>
          <w:rFonts w:ascii="Times New Roman" w:hAnsi="Times New Roman"/>
          <w:sz w:val="24"/>
          <w:szCs w:val="24"/>
        </w:rPr>
        <w:t xml:space="preserve"> </w:t>
      </w:r>
    </w:p>
    <w:p w14:paraId="6E853503" w14:textId="77777777" w:rsidR="00FA7B26" w:rsidRPr="005E414E" w:rsidRDefault="00FA7B26" w:rsidP="00FA7B26">
      <w:pPr>
        <w:spacing w:before="100" w:beforeAutospacing="1" w:after="100" w:afterAutospacing="1" w:line="240" w:lineRule="auto"/>
        <w:jc w:val="both"/>
        <w:rPr>
          <w:rFonts w:ascii="Times New Roman" w:eastAsia="Times New Roman" w:hAnsi="Times New Roman"/>
          <w:b/>
          <w:bCs/>
          <w:sz w:val="24"/>
          <w:szCs w:val="24"/>
        </w:rPr>
      </w:pPr>
      <w:r w:rsidRPr="005E414E">
        <w:rPr>
          <w:rFonts w:ascii="Times New Roman" w:hAnsi="Times New Roman"/>
          <w:b/>
          <w:bCs/>
          <w:sz w:val="24"/>
          <w:szCs w:val="24"/>
        </w:rPr>
        <w:t>Legal Lessons Learned:</w:t>
      </w:r>
      <w:r>
        <w:rPr>
          <w:rFonts w:ascii="Times New Roman" w:hAnsi="Times New Roman"/>
          <w:b/>
          <w:bCs/>
          <w:sz w:val="24"/>
          <w:szCs w:val="24"/>
        </w:rPr>
        <w:t xml:space="preserve"> The hospital video, and photo of the paramedic’s bruised neck, were shown to the jury. </w:t>
      </w:r>
    </w:p>
    <w:bookmarkEnd w:id="456"/>
    <w:p w14:paraId="4676AD53" w14:textId="77777777" w:rsidR="00FA7B26" w:rsidRDefault="00FA7B26" w:rsidP="002B1283">
      <w:pPr>
        <w:rPr>
          <w:rFonts w:ascii="Arial Black" w:hAnsi="Arial Black"/>
          <w:b/>
          <w:bCs/>
          <w:sz w:val="28"/>
          <w:szCs w:val="28"/>
        </w:rPr>
      </w:pPr>
    </w:p>
    <w:p w14:paraId="02620294" w14:textId="6F4508FC" w:rsidR="00FA7B26" w:rsidRDefault="00FA7B26" w:rsidP="002B1283">
      <w:pPr>
        <w:rPr>
          <w:rFonts w:ascii="Arial Black" w:hAnsi="Arial Black"/>
          <w:b/>
          <w:bCs/>
          <w:sz w:val="28"/>
          <w:szCs w:val="28"/>
        </w:rPr>
      </w:pPr>
      <w:r>
        <w:rPr>
          <w:rFonts w:ascii="Arial Black" w:hAnsi="Arial Black"/>
          <w:b/>
          <w:bCs/>
          <w:sz w:val="28"/>
          <w:szCs w:val="28"/>
        </w:rPr>
        <w:t>13-53</w:t>
      </w:r>
    </w:p>
    <w:p w14:paraId="69459F1D" w14:textId="77777777" w:rsidR="00FA7B26" w:rsidRDefault="00FA7B26" w:rsidP="00FA7B26">
      <w:pPr>
        <w:spacing w:before="100" w:beforeAutospacing="1" w:after="100" w:afterAutospacing="1" w:line="240" w:lineRule="auto"/>
        <w:rPr>
          <w:rFonts w:ascii="Arial Black" w:hAnsi="Arial Black"/>
          <w:sz w:val="28"/>
          <w:szCs w:val="28"/>
        </w:rPr>
      </w:pPr>
      <w:r w:rsidRPr="008324B8">
        <w:rPr>
          <w:rFonts w:ascii="Arial Black" w:hAnsi="Arial Black"/>
          <w:sz w:val="28"/>
          <w:szCs w:val="28"/>
        </w:rPr>
        <w:t xml:space="preserve">NY:  </w:t>
      </w:r>
      <w:r>
        <w:rPr>
          <w:rFonts w:ascii="Arial Black" w:hAnsi="Arial Black"/>
          <w:sz w:val="28"/>
          <w:szCs w:val="28"/>
        </w:rPr>
        <w:t xml:space="preserve">PATIENT LEG PAIN, FLUID – EMS ADVISED SEE HER DOCTOR IN MORNING – SIGNED “RMA” REFUSAL MEDICAL ASSISTANCE – DIED 6 DAYS LATER - IMMUNITY </w:t>
      </w:r>
    </w:p>
    <w:p w14:paraId="5E0B0EDA" w14:textId="2EF60BEE" w:rsidR="00FA7B26" w:rsidRDefault="00FA7B26" w:rsidP="00FA7B26">
      <w:pPr>
        <w:rPr>
          <w:rFonts w:ascii="Arial Black" w:hAnsi="Arial Black"/>
          <w:b/>
          <w:bCs/>
          <w:sz w:val="28"/>
          <w:szCs w:val="28"/>
        </w:rPr>
      </w:pPr>
      <w:r w:rsidRPr="008324B8">
        <w:rPr>
          <w:rFonts w:ascii="Times New Roman" w:hAnsi="Times New Roman"/>
          <w:sz w:val="24"/>
          <w:szCs w:val="24"/>
        </w:rPr>
        <w:t xml:space="preserve">On May 5, 2020, </w:t>
      </w:r>
      <w:r>
        <w:rPr>
          <w:rFonts w:ascii="Times New Roman" w:hAnsi="Times New Roman"/>
          <w:sz w:val="24"/>
          <w:szCs w:val="24"/>
        </w:rPr>
        <w:t xml:space="preserve">in </w:t>
      </w:r>
      <w:r w:rsidRPr="008324B8">
        <w:rPr>
          <w:rFonts w:ascii="Times New Roman" w:hAnsi="Times New Roman"/>
          <w:sz w:val="24"/>
          <w:szCs w:val="24"/>
          <w:u w:val="single"/>
        </w:rPr>
        <w:t>Anthony L. Pioli, Administrator Estate of Anna Pioli v. New York City Fire Department et al</w:t>
      </w:r>
      <w:r>
        <w:rPr>
          <w:rFonts w:ascii="Times New Roman" w:hAnsi="Times New Roman"/>
          <w:sz w:val="24"/>
          <w:szCs w:val="24"/>
        </w:rPr>
        <w:t>., Judge Rosemarie Montalbano, Supreme Court of the State of New York, County of Kings: Part 22, dismissed the lawsuit since the EMTs did not owe a “Special Duty” to the patient. In addition, “</w:t>
      </w:r>
      <w:r w:rsidRPr="008324B8">
        <w:rPr>
          <w:rFonts w:ascii="Times New Roman" w:hAnsi="Times New Roman"/>
          <w:sz w:val="24"/>
          <w:szCs w:val="24"/>
        </w:rPr>
        <w:t xml:space="preserve">The decedent signed the RMA </w:t>
      </w:r>
      <w:r>
        <w:rPr>
          <w:rFonts w:ascii="Times New Roman" w:hAnsi="Times New Roman"/>
          <w:sz w:val="24"/>
          <w:szCs w:val="24"/>
        </w:rPr>
        <w:t xml:space="preserve">[Refusal of Medical Assistance] </w:t>
      </w:r>
      <w:r w:rsidRPr="008324B8">
        <w:rPr>
          <w:rFonts w:ascii="Times New Roman" w:hAnsi="Times New Roman"/>
          <w:sz w:val="24"/>
          <w:szCs w:val="24"/>
        </w:rPr>
        <w:t>expressly stating that she did not want to be transported to the hospital.</w:t>
      </w:r>
      <w:r>
        <w:rPr>
          <w:rFonts w:ascii="Times New Roman" w:hAnsi="Times New Roman"/>
          <w:sz w:val="24"/>
          <w:szCs w:val="24"/>
        </w:rPr>
        <w:t xml:space="preserve">” </w:t>
      </w:r>
      <w:hyperlink r:id="rId2388" w:history="1">
        <w:r w:rsidRPr="00B56DB8">
          <w:rPr>
            <w:rStyle w:val="Hyperlink"/>
            <w:sz w:val="24"/>
            <w:szCs w:val="24"/>
          </w:rPr>
          <w:t>https://public.fastcase.com/Wl%2B2t%2BeVuI35%2FN70vAMFZmo%2BcULZ%2FcXakIqGXvRrcFYkKri8LBojVsP%2FOvCVPfk0</w:t>
        </w:r>
      </w:hyperlink>
    </w:p>
    <w:p w14:paraId="3EBF49B8" w14:textId="77777777" w:rsidR="00FA7B26" w:rsidRDefault="00FA7B26" w:rsidP="00FA7B26">
      <w:pPr>
        <w:spacing w:before="100" w:beforeAutospacing="1" w:after="100" w:afterAutospacing="1" w:line="240" w:lineRule="auto"/>
        <w:rPr>
          <w:b/>
          <w:bCs/>
        </w:rPr>
      </w:pPr>
      <w:r w:rsidRPr="0045403E">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The Special Duty doctrine helps protect EMS and their employers from liability.  If patient is complaining of leg pain and using fluid, consider a call to Medical Control at the hospital. </w:t>
      </w:r>
    </w:p>
    <w:p w14:paraId="5D72C13D" w14:textId="77777777" w:rsidR="00FA7B26" w:rsidRDefault="00FA7B26" w:rsidP="002B1283">
      <w:pPr>
        <w:rPr>
          <w:rFonts w:ascii="Arial Black" w:hAnsi="Arial Black"/>
          <w:b/>
          <w:bCs/>
          <w:sz w:val="28"/>
          <w:szCs w:val="28"/>
        </w:rPr>
      </w:pPr>
    </w:p>
    <w:p w14:paraId="2B5C6EF8" w14:textId="0509A104" w:rsidR="0012517E" w:rsidRDefault="0012517E" w:rsidP="002B1283">
      <w:pPr>
        <w:rPr>
          <w:rFonts w:ascii="Arial Black" w:hAnsi="Arial Black"/>
          <w:b/>
          <w:bCs/>
          <w:sz w:val="28"/>
          <w:szCs w:val="28"/>
        </w:rPr>
      </w:pPr>
      <w:r>
        <w:rPr>
          <w:rFonts w:ascii="Arial Black" w:hAnsi="Arial Black"/>
          <w:b/>
          <w:bCs/>
          <w:sz w:val="28"/>
          <w:szCs w:val="28"/>
        </w:rPr>
        <w:t>13-52</w:t>
      </w:r>
    </w:p>
    <w:p w14:paraId="423AADCC" w14:textId="77777777" w:rsidR="0012517E" w:rsidRDefault="0012517E" w:rsidP="0012517E">
      <w:pPr>
        <w:pStyle w:val="NoSpacing"/>
        <w:rPr>
          <w:rFonts w:ascii="Arial Black" w:hAnsi="Arial Black"/>
          <w:sz w:val="28"/>
          <w:szCs w:val="28"/>
        </w:rPr>
      </w:pPr>
      <w:bookmarkStart w:id="457" w:name="_Hlk38437817"/>
      <w:r>
        <w:rPr>
          <w:rFonts w:ascii="Arial Black" w:hAnsi="Arial Black"/>
          <w:sz w:val="28"/>
          <w:szCs w:val="28"/>
        </w:rPr>
        <w:t>NM: CORONA VIRUS – MEGA CHURCH CHALLENGED LIMIT OF 5 PEOPLE – DENIED TEMPORARY RESTRAINING ORDER</w:t>
      </w:r>
    </w:p>
    <w:p w14:paraId="602A3390" w14:textId="77777777" w:rsidR="0012517E" w:rsidRPr="00AE3A49" w:rsidRDefault="0012517E" w:rsidP="0012517E">
      <w:pPr>
        <w:pStyle w:val="NormalWeb"/>
      </w:pPr>
      <w:r w:rsidRPr="00AE3A49">
        <w:lastRenderedPageBreak/>
        <w:t xml:space="preserve">On </w:t>
      </w:r>
      <w:bookmarkStart w:id="458" w:name="_Hlk39849351"/>
      <w:r w:rsidRPr="00AE3A49">
        <w:t xml:space="preserve">April 17, 2020, </w:t>
      </w:r>
      <w:r w:rsidRPr="00AE3A49">
        <w:rPr>
          <w:u w:val="single"/>
        </w:rPr>
        <w:t>in Legacy Church, Inc. v. Kathyleen M. Kunkel and State of New Mexico</w:t>
      </w:r>
      <w:bookmarkEnd w:id="458"/>
      <w:r w:rsidRPr="00AE3A49">
        <w:t xml:space="preserve">, U.S. District Court Judge James O/ Browning denied the church’s motion for temporary restraining order. Legacy Church has nearly 20,000 members, with church services held in four locations in Albuquerque.  Kathyleen M. Kunkel is New Mexico’s Secretary of Health Department; on March 24, 2020, Secretary Kunkel issued the Public Health Order, which ordered all non-essential businesses to close, ordered all of the state's non-essential workforce to work from home, and ordered New Mexico citizens to ‘stay at home and undertake only those outings absolutely necessary for their health, safety, or welfare.’ </w:t>
      </w:r>
    </w:p>
    <w:bookmarkEnd w:id="457"/>
    <w:p w14:paraId="4E090DF4" w14:textId="77777777" w:rsidR="0012517E" w:rsidRDefault="0012517E" w:rsidP="0012517E">
      <w:pPr>
        <w:pStyle w:val="NoSpacing"/>
        <w:ind w:left="720"/>
        <w:rPr>
          <w:rFonts w:ascii="Times New Roman" w:hAnsi="Times New Roman"/>
          <w:bCs/>
          <w:sz w:val="24"/>
          <w:szCs w:val="24"/>
        </w:rPr>
      </w:pPr>
      <w:r w:rsidRPr="00AE3A49">
        <w:rPr>
          <w:rFonts w:ascii="Times New Roman" w:hAnsi="Times New Roman"/>
          <w:bCs/>
          <w:sz w:val="24"/>
          <w:szCs w:val="24"/>
        </w:rPr>
        <w:t xml:space="preserve">“The Court denies the Motion. The Court concludes, first, that the Eleventh Amendment prohibits Legacy Church's suit insofar as it seeks relief against the state of New Mexico. Second, the Court concludes that Legacy Church is not substantially likely to succeed on the merits of its Free Exercise claim. Specifically, the April 11 Order is both neutral and generally applicable, and there is no evidence of animus against Christianity </w:t>
      </w:r>
      <w:proofErr w:type="gramStart"/>
      <w:r w:rsidRPr="00AE3A49">
        <w:rPr>
          <w:rFonts w:ascii="Times New Roman" w:hAnsi="Times New Roman"/>
          <w:bCs/>
          <w:sz w:val="24"/>
          <w:szCs w:val="24"/>
        </w:rPr>
        <w:t>in particular or</w:t>
      </w:r>
      <w:proofErr w:type="gramEnd"/>
      <w:r w:rsidRPr="00AE3A49">
        <w:rPr>
          <w:rFonts w:ascii="Times New Roman" w:hAnsi="Times New Roman"/>
          <w:bCs/>
          <w:sz w:val="24"/>
          <w:szCs w:val="24"/>
        </w:rPr>
        <w:t xml:space="preserve"> against religion in general. Accordingly, the April 11 Order is subject to rational basis review, which it satisfies. Third, the Court concludes that Legacy Church is not likely to succeed on its assembly claim, because the April 11 Order </w:t>
      </w:r>
      <w:proofErr w:type="gramStart"/>
      <w:r w:rsidRPr="00AE3A49">
        <w:rPr>
          <w:rFonts w:ascii="Times New Roman" w:hAnsi="Times New Roman"/>
          <w:bCs/>
          <w:sz w:val="24"/>
          <w:szCs w:val="24"/>
        </w:rPr>
        <w:t>not only is</w:t>
      </w:r>
      <w:proofErr w:type="gramEnd"/>
      <w:r w:rsidRPr="00AE3A49">
        <w:rPr>
          <w:rFonts w:ascii="Times New Roman" w:hAnsi="Times New Roman"/>
          <w:bCs/>
          <w:sz w:val="24"/>
          <w:szCs w:val="24"/>
        </w:rPr>
        <w:t xml:space="preserve"> narrowly tailored with sufficient alternatives for Legacy Church to assemble and mitigating a state pandemic is a compelling interest. Fourth, the Court concludes that Legacy Church has not demonstrated that it will suffer irreparable harm in a TRO's absence, it has not demonstrated that the equities weigh in a TRO's favor, and it has not demonstrated that a TRO is in the public interest. Accordingly, the Court denies the TRO.</w:t>
      </w:r>
      <w:bookmarkStart w:id="459" w:name="_Hlk38437842"/>
      <w:r w:rsidRPr="00AE3A49">
        <w:rPr>
          <w:rFonts w:ascii="Times New Roman" w:hAnsi="Times New Roman"/>
          <w:bCs/>
          <w:sz w:val="24"/>
          <w:szCs w:val="24"/>
        </w:rPr>
        <w:t xml:space="preserve"> … </w:t>
      </w:r>
      <w:r w:rsidRPr="00AE3A49">
        <w:rPr>
          <w:rFonts w:ascii="Times New Roman" w:eastAsia="Times New Roman" w:hAnsi="Times New Roman"/>
          <w:bCs/>
          <w:sz w:val="24"/>
          <w:szCs w:val="24"/>
        </w:rPr>
        <w:t>Footnote 16:</w:t>
      </w:r>
      <w:r w:rsidRPr="00AE3A49">
        <w:rPr>
          <w:rFonts w:ascii="Times New Roman" w:hAnsi="Times New Roman"/>
          <w:bCs/>
          <w:sz w:val="24"/>
          <w:szCs w:val="24"/>
        </w:rPr>
        <w:t xml:space="preserve"> The Court does not want its Memorandum Opinion to be read to minimize the importance of faith in people's lives. </w:t>
      </w:r>
      <w:proofErr w:type="gramStart"/>
      <w:r w:rsidRPr="00AE3A49">
        <w:rPr>
          <w:rFonts w:ascii="Times New Roman" w:hAnsi="Times New Roman"/>
          <w:bCs/>
          <w:sz w:val="24"/>
          <w:szCs w:val="24"/>
        </w:rPr>
        <w:t>Certainly</w:t>
      </w:r>
      <w:proofErr w:type="gramEnd"/>
      <w:r w:rsidRPr="00AE3A49">
        <w:rPr>
          <w:rFonts w:ascii="Times New Roman" w:hAnsi="Times New Roman"/>
          <w:bCs/>
          <w:sz w:val="24"/>
          <w:szCs w:val="24"/>
        </w:rPr>
        <w:t xml:space="preserve"> religion is the centerpiece of many people's lives, and many individuals may feel as if religion saved their life. But </w:t>
      </w:r>
    </w:p>
    <w:p w14:paraId="4C692008" w14:textId="77777777" w:rsidR="0012517E" w:rsidRDefault="0012517E" w:rsidP="0012517E">
      <w:pPr>
        <w:pStyle w:val="NoSpacing"/>
        <w:ind w:left="720"/>
        <w:rPr>
          <w:rFonts w:ascii="Times New Roman" w:hAnsi="Times New Roman"/>
          <w:bCs/>
          <w:sz w:val="24"/>
          <w:szCs w:val="24"/>
        </w:rPr>
      </w:pPr>
    </w:p>
    <w:p w14:paraId="77FEBD4D" w14:textId="77777777" w:rsidR="0012517E" w:rsidRPr="00AE3A49" w:rsidRDefault="0012517E" w:rsidP="0012517E">
      <w:pPr>
        <w:pStyle w:val="NoSpacing"/>
        <w:ind w:left="720"/>
        <w:rPr>
          <w:rFonts w:ascii="Times New Roman" w:eastAsia="Times New Roman" w:hAnsi="Times New Roman"/>
          <w:b/>
          <w:bCs/>
          <w:sz w:val="24"/>
          <w:szCs w:val="24"/>
        </w:rPr>
      </w:pPr>
      <w:r w:rsidRPr="00AE3A49">
        <w:rPr>
          <w:rFonts w:ascii="Times New Roman" w:hAnsi="Times New Roman"/>
          <w:bCs/>
          <w:sz w:val="24"/>
          <w:szCs w:val="24"/>
        </w:rPr>
        <w:t xml:space="preserve">essential services focus on the public as a whole -- essential businesses are essential for the lives of everyone, because they are necessary to ensure public health and welfare.” </w:t>
      </w:r>
      <w:bookmarkStart w:id="460" w:name="_Hlk39849371"/>
      <w:bookmarkStart w:id="461" w:name="_Hlk42172466"/>
      <w:r w:rsidR="00BC38B6">
        <w:fldChar w:fldCharType="begin"/>
      </w:r>
      <w:r w:rsidR="00BC38B6">
        <w:instrText xml:space="preserve"> HYPERLINK "https://public.fastcase.com/Wl%2B2t%2BeVuI35%2FN70vAMFZh8%2BLXJi%2BseM2%2Fc2jHlkq%2FfbJ38UuR%2FQUxRgZcrAfdvd" </w:instrText>
      </w:r>
      <w:r w:rsidR="00BC38B6">
        <w:fldChar w:fldCharType="separate"/>
      </w:r>
      <w:r w:rsidRPr="00AE3A49">
        <w:rPr>
          <w:rStyle w:val="Hyperlink"/>
          <w:rFonts w:ascii="Times New Roman" w:hAnsi="Times New Roman"/>
          <w:b/>
          <w:sz w:val="24"/>
          <w:szCs w:val="24"/>
        </w:rPr>
        <w:t>https://public.fastcase.com/Wl%2B2t%2BeVuI35%2FN70vAMFZh8%2BLXJi%2BseM2%2Fc2jHlkq%2FfbJ38UuR%2FQUxRgZcrAfdvd</w:t>
      </w:r>
      <w:r w:rsidR="00BC38B6">
        <w:rPr>
          <w:rStyle w:val="Hyperlink"/>
          <w:rFonts w:ascii="Times New Roman" w:hAnsi="Times New Roman"/>
          <w:b/>
          <w:sz w:val="24"/>
          <w:szCs w:val="24"/>
        </w:rPr>
        <w:fldChar w:fldCharType="end"/>
      </w:r>
      <w:bookmarkEnd w:id="460"/>
      <w:r w:rsidRPr="00AE3A49">
        <w:rPr>
          <w:rFonts w:ascii="Times New Roman" w:hAnsi="Times New Roman"/>
          <w:bCs/>
          <w:sz w:val="24"/>
          <w:szCs w:val="24"/>
        </w:rPr>
        <w:t xml:space="preserve"> </w:t>
      </w:r>
    </w:p>
    <w:bookmarkEnd w:id="459"/>
    <w:p w14:paraId="02B1307B" w14:textId="77777777" w:rsidR="0012517E" w:rsidRPr="00AE3A49" w:rsidRDefault="0012517E" w:rsidP="0012517E">
      <w:pPr>
        <w:spacing w:before="100" w:beforeAutospacing="1" w:after="100" w:afterAutospacing="1" w:line="240" w:lineRule="auto"/>
        <w:rPr>
          <w:rFonts w:ascii="Times New Roman" w:eastAsia="Times New Roman" w:hAnsi="Times New Roman"/>
          <w:b/>
          <w:bCs/>
          <w:sz w:val="24"/>
          <w:szCs w:val="24"/>
        </w:rPr>
      </w:pPr>
      <w:r w:rsidRPr="00AE3A49">
        <w:rPr>
          <w:rFonts w:ascii="Times New Roman" w:eastAsia="Times New Roman" w:hAnsi="Times New Roman"/>
          <w:b/>
          <w:bCs/>
          <w:sz w:val="24"/>
          <w:szCs w:val="24"/>
        </w:rPr>
        <w:t xml:space="preserve">Legal Lessons Learned: Public health and welfare </w:t>
      </w:r>
      <w:proofErr w:type="gramStart"/>
      <w:r w:rsidRPr="00AE3A49">
        <w:rPr>
          <w:rFonts w:ascii="Times New Roman" w:eastAsia="Times New Roman" w:hAnsi="Times New Roman"/>
          <w:b/>
          <w:bCs/>
          <w:sz w:val="24"/>
          <w:szCs w:val="24"/>
        </w:rPr>
        <w:t>prevails</w:t>
      </w:r>
      <w:proofErr w:type="gramEnd"/>
      <w:r w:rsidRPr="00AE3A49">
        <w:rPr>
          <w:rFonts w:ascii="Times New Roman" w:eastAsia="Times New Roman" w:hAnsi="Times New Roman"/>
          <w:b/>
          <w:bCs/>
          <w:sz w:val="24"/>
          <w:szCs w:val="24"/>
        </w:rPr>
        <w:t xml:space="preserve"> over a church’s desire to hold large gatherings.   </w:t>
      </w:r>
    </w:p>
    <w:p w14:paraId="629D9BC0" w14:textId="77777777" w:rsidR="0012517E" w:rsidRPr="00AE3A49" w:rsidRDefault="0012517E" w:rsidP="0012517E">
      <w:pPr>
        <w:pStyle w:val="Heading2"/>
        <w:ind w:left="720"/>
        <w:rPr>
          <w:rFonts w:ascii="Times New Roman" w:hAnsi="Times New Roman"/>
          <w:sz w:val="24"/>
          <w:szCs w:val="24"/>
        </w:rPr>
      </w:pPr>
      <w:r w:rsidRPr="00AE3A49">
        <w:rPr>
          <w:rFonts w:ascii="Times New Roman" w:hAnsi="Times New Roman"/>
          <w:b w:val="0"/>
          <w:bCs w:val="0"/>
          <w:i w:val="0"/>
          <w:iCs w:val="0"/>
          <w:sz w:val="24"/>
          <w:szCs w:val="24"/>
        </w:rPr>
        <w:t xml:space="preserve">Note: See this April 26, </w:t>
      </w:r>
      <w:proofErr w:type="gramStart"/>
      <w:r w:rsidRPr="00AE3A49">
        <w:rPr>
          <w:rFonts w:ascii="Times New Roman" w:hAnsi="Times New Roman"/>
          <w:b w:val="0"/>
          <w:bCs w:val="0"/>
          <w:i w:val="0"/>
          <w:iCs w:val="0"/>
          <w:sz w:val="24"/>
          <w:szCs w:val="24"/>
        </w:rPr>
        <w:t>2020</w:t>
      </w:r>
      <w:proofErr w:type="gramEnd"/>
      <w:r w:rsidRPr="00AE3A49">
        <w:rPr>
          <w:rFonts w:ascii="Times New Roman" w:hAnsi="Times New Roman"/>
          <w:b w:val="0"/>
          <w:bCs w:val="0"/>
          <w:i w:val="0"/>
          <w:iCs w:val="0"/>
          <w:sz w:val="24"/>
          <w:szCs w:val="24"/>
        </w:rPr>
        <w:t xml:space="preserve"> article, “Breaking: Church, Louisville, KY Mayor Reach Agreement in Dispute Over Drive-in Church Services,” </w:t>
      </w:r>
      <w:hyperlink r:id="rId2389" w:history="1">
        <w:r w:rsidRPr="00AE3A49">
          <w:rPr>
            <w:rStyle w:val="Hyperlink"/>
            <w:rFonts w:ascii="Times New Roman" w:hAnsi="Times New Roman"/>
            <w:b w:val="0"/>
            <w:bCs w:val="0"/>
            <w:i w:val="0"/>
            <w:iCs w:val="0"/>
            <w:sz w:val="24"/>
            <w:szCs w:val="24"/>
          </w:rPr>
          <w:t>https://firstliberty.org/media/breaking-church-louisville-ky-mayor-reach-agreement-in-dispute-over-drive-in-church-services/</w:t>
        </w:r>
      </w:hyperlink>
      <w:r w:rsidRPr="00AE3A49">
        <w:rPr>
          <w:rFonts w:ascii="Times New Roman" w:hAnsi="Times New Roman"/>
          <w:sz w:val="24"/>
          <w:szCs w:val="24"/>
        </w:rPr>
        <w:t xml:space="preserve"> </w:t>
      </w:r>
    </w:p>
    <w:bookmarkEnd w:id="461"/>
    <w:p w14:paraId="536CF004" w14:textId="77777777" w:rsidR="0012517E" w:rsidRPr="00AE3A49" w:rsidRDefault="0012517E" w:rsidP="0012517E">
      <w:pPr>
        <w:pStyle w:val="NoSpacing"/>
        <w:rPr>
          <w:rStyle w:val="citation"/>
          <w:rFonts w:ascii="Times New Roman" w:hAnsi="Times New Roman"/>
          <w:b/>
          <w:bCs/>
          <w:sz w:val="24"/>
          <w:szCs w:val="24"/>
        </w:rPr>
      </w:pPr>
    </w:p>
    <w:p w14:paraId="40EFB604" w14:textId="77777777" w:rsidR="0012517E" w:rsidRDefault="0012517E" w:rsidP="002B1283">
      <w:pPr>
        <w:rPr>
          <w:rFonts w:ascii="Arial Black" w:hAnsi="Arial Black"/>
          <w:b/>
          <w:bCs/>
          <w:sz w:val="28"/>
          <w:szCs w:val="28"/>
        </w:rPr>
      </w:pPr>
    </w:p>
    <w:p w14:paraId="0EDEF8B8" w14:textId="1419E841" w:rsidR="0012517E" w:rsidRDefault="0012517E" w:rsidP="002B1283">
      <w:pPr>
        <w:rPr>
          <w:rFonts w:ascii="Arial Black" w:hAnsi="Arial Black"/>
          <w:b/>
          <w:bCs/>
          <w:sz w:val="28"/>
          <w:szCs w:val="28"/>
        </w:rPr>
      </w:pPr>
      <w:r>
        <w:rPr>
          <w:rFonts w:ascii="Arial Black" w:hAnsi="Arial Black"/>
          <w:b/>
          <w:bCs/>
          <w:sz w:val="28"/>
          <w:szCs w:val="28"/>
        </w:rPr>
        <w:t>13-51</w:t>
      </w:r>
    </w:p>
    <w:p w14:paraId="29C69799" w14:textId="77777777" w:rsidR="0012517E" w:rsidRDefault="0012517E" w:rsidP="0012517E">
      <w:pPr>
        <w:pStyle w:val="NoSpacing"/>
        <w:rPr>
          <w:rFonts w:ascii="Arial Black" w:hAnsi="Arial Black"/>
          <w:b/>
          <w:bCs/>
          <w:sz w:val="28"/>
          <w:szCs w:val="28"/>
        </w:rPr>
      </w:pPr>
      <w:bookmarkStart w:id="462" w:name="_Hlk39772248"/>
      <w:r w:rsidRPr="005635B3">
        <w:rPr>
          <w:rFonts w:ascii="Arial Black" w:hAnsi="Arial Black"/>
          <w:bCs/>
          <w:sz w:val="28"/>
          <w:szCs w:val="28"/>
        </w:rPr>
        <w:t xml:space="preserve">NJ: </w:t>
      </w:r>
      <w:r>
        <w:rPr>
          <w:rFonts w:ascii="Arial Black" w:hAnsi="Arial Black"/>
          <w:bCs/>
          <w:sz w:val="28"/>
          <w:szCs w:val="28"/>
        </w:rPr>
        <w:t xml:space="preserve">RETALIATION - EMS SUPERVISOR FIRED – WOULD NOT GIVE FALSE INFO ON EMT SUING HOSP. FOR SEX HAR.  </w:t>
      </w:r>
    </w:p>
    <w:p w14:paraId="42B29921" w14:textId="77777777" w:rsidR="0012517E" w:rsidRDefault="0012517E" w:rsidP="0012517E">
      <w:pPr>
        <w:pStyle w:val="NoSpacing"/>
        <w:rPr>
          <w:rFonts w:ascii="Arial Black" w:hAnsi="Arial Black"/>
          <w:b/>
          <w:bCs/>
          <w:sz w:val="28"/>
          <w:szCs w:val="28"/>
        </w:rPr>
      </w:pPr>
    </w:p>
    <w:p w14:paraId="58A96AF1" w14:textId="04B44F44" w:rsidR="0012517E" w:rsidRPr="00AE3A49" w:rsidRDefault="0012517E" w:rsidP="0012517E">
      <w:pPr>
        <w:pStyle w:val="NoSpacing"/>
        <w:rPr>
          <w:rFonts w:ascii="Times New Roman" w:hAnsi="Times New Roman"/>
          <w:b/>
          <w:bCs/>
          <w:sz w:val="24"/>
          <w:szCs w:val="24"/>
        </w:rPr>
      </w:pPr>
      <w:r w:rsidRPr="00AE3A49">
        <w:rPr>
          <w:rFonts w:ascii="Times New Roman" w:hAnsi="Times New Roman"/>
          <w:bCs/>
          <w:sz w:val="24"/>
          <w:szCs w:val="24"/>
        </w:rPr>
        <w:t xml:space="preserve">On April 14, 2020, in </w:t>
      </w:r>
      <w:r w:rsidRPr="00AE3A49">
        <w:rPr>
          <w:rFonts w:ascii="Times New Roman" w:hAnsi="Times New Roman"/>
          <w:bCs/>
          <w:sz w:val="24"/>
          <w:szCs w:val="24"/>
          <w:u w:val="single"/>
        </w:rPr>
        <w:t>Emiliano Rio v. Meadowlands Hospital Medical Center</w:t>
      </w:r>
      <w:r w:rsidRPr="00AE3A49">
        <w:rPr>
          <w:rFonts w:ascii="Times New Roman" w:hAnsi="Times New Roman"/>
          <w:bCs/>
          <w:sz w:val="24"/>
          <w:szCs w:val="24"/>
        </w:rPr>
        <w:t xml:space="preserve">, the Superior Court of New Jersey, Appellative Division, held (3 to 0) that the trial court judge improperly granted the hospital’s motion for summary judgement;  the EMS Supervisor’s retaliation lawsuit may now proceed to trial.  </w:t>
      </w:r>
    </w:p>
    <w:p w14:paraId="7678853A" w14:textId="77777777" w:rsidR="0012517E" w:rsidRPr="00AE3A49" w:rsidRDefault="0012517E" w:rsidP="0012517E">
      <w:pPr>
        <w:pStyle w:val="NoSpacing"/>
        <w:rPr>
          <w:rFonts w:ascii="Times New Roman" w:hAnsi="Times New Roman"/>
          <w:b/>
          <w:bCs/>
          <w:sz w:val="24"/>
          <w:szCs w:val="24"/>
        </w:rPr>
      </w:pPr>
    </w:p>
    <w:p w14:paraId="089BEE92" w14:textId="77777777" w:rsidR="0012517E" w:rsidRPr="00AE3A49" w:rsidRDefault="0012517E" w:rsidP="0012517E">
      <w:pPr>
        <w:pStyle w:val="NoSpacing"/>
        <w:ind w:left="720"/>
        <w:rPr>
          <w:rFonts w:ascii="Times New Roman" w:hAnsi="Times New Roman"/>
          <w:b/>
          <w:bCs/>
          <w:sz w:val="24"/>
          <w:szCs w:val="24"/>
        </w:rPr>
      </w:pPr>
      <w:r w:rsidRPr="00AE3A49">
        <w:rPr>
          <w:rFonts w:ascii="Times New Roman" w:hAnsi="Times New Roman"/>
          <w:bCs/>
          <w:sz w:val="24"/>
          <w:szCs w:val="24"/>
        </w:rPr>
        <w:t xml:space="preserve">“Based on our review of the record, we are convinced the motion court erred in its determination plaintiff did not present sufficient evidence establishing the good faith and reasonable basis prerequisite for a LAD retaliatory discharge claim established by our Supreme Court in Carmona v. Resorts </w:t>
      </w:r>
      <w:r w:rsidRPr="00AE3A49">
        <w:rPr>
          <w:rFonts w:ascii="Times New Roman" w:hAnsi="Times New Roman"/>
          <w:bCs/>
          <w:sz w:val="24"/>
          <w:szCs w:val="24"/>
        </w:rPr>
        <w:lastRenderedPageBreak/>
        <w:t xml:space="preserve">International Hotel, Inc., 189 N.J. 354, 372 (2007), and we reverse and remand for further proceedings….The facts proffered by plaintiff, which we accept as true for our analysis of the court's disposition of the summary judgment motion, show defendant attempted to retaliate against Bailey for the filing of her LAD complaint. Following the filing of [Ms.] Bailey's [sexual harassment] complaint, defendant requested plaintiff file a baseless complaint for a restraining order against Bailey; conjure up false complaints about Bailey; and make false statements about her. Those requests constitute an attempt by defendant to commit ‘an unlawful employment practice’ in violation of N.J.S.A. 10:5-12(d)—retaliation against Bailey for her filing of a sexual harassment complaint.” </w:t>
      </w:r>
      <w:hyperlink r:id="rId2390" w:history="1">
        <w:r w:rsidRPr="00AE3A49">
          <w:rPr>
            <w:rStyle w:val="Hyperlink"/>
            <w:rFonts w:ascii="Times New Roman" w:hAnsi="Times New Roman"/>
            <w:b/>
            <w:sz w:val="24"/>
            <w:szCs w:val="24"/>
          </w:rPr>
          <w:t>https://njcourts.gov/attorneys/assets/opinions/appellate/published/a3846-18.pdf?c=Npo</w:t>
        </w:r>
      </w:hyperlink>
      <w:r w:rsidRPr="00AE3A49">
        <w:rPr>
          <w:rFonts w:ascii="Times New Roman" w:hAnsi="Times New Roman"/>
          <w:bCs/>
          <w:sz w:val="24"/>
          <w:szCs w:val="24"/>
        </w:rPr>
        <w:t xml:space="preserve"> </w:t>
      </w:r>
    </w:p>
    <w:p w14:paraId="611C0B1D" w14:textId="77777777" w:rsidR="0012517E" w:rsidRPr="00AE3A49" w:rsidRDefault="0012517E" w:rsidP="0012517E">
      <w:pPr>
        <w:pStyle w:val="NoSpacing"/>
        <w:ind w:left="720"/>
        <w:rPr>
          <w:rFonts w:ascii="Times New Roman" w:hAnsi="Times New Roman"/>
          <w:b/>
          <w:bCs/>
          <w:sz w:val="24"/>
          <w:szCs w:val="24"/>
        </w:rPr>
      </w:pPr>
    </w:p>
    <w:bookmarkEnd w:id="462"/>
    <w:p w14:paraId="1057EFD3" w14:textId="77777777" w:rsidR="0012517E" w:rsidRPr="00AE3A49" w:rsidRDefault="0012517E" w:rsidP="0012517E">
      <w:pPr>
        <w:pStyle w:val="NoSpacing"/>
        <w:rPr>
          <w:rFonts w:ascii="Times New Roman" w:hAnsi="Times New Roman"/>
          <w:b/>
          <w:bCs/>
          <w:sz w:val="24"/>
          <w:szCs w:val="24"/>
        </w:rPr>
      </w:pPr>
      <w:r w:rsidRPr="00AE3A49">
        <w:rPr>
          <w:rFonts w:ascii="Times New Roman" w:hAnsi="Times New Roman"/>
          <w:b/>
          <w:bCs/>
          <w:sz w:val="24"/>
          <w:szCs w:val="24"/>
        </w:rPr>
        <w:t xml:space="preserve">Legal Lessons Learned: Employers sued for sexual harassment must be extremely careful in discussions with employees about their dealings with the plaintiff.   It is often best to leave this to legal counsel. </w:t>
      </w:r>
    </w:p>
    <w:p w14:paraId="18983AEF" w14:textId="77777777" w:rsidR="0012517E" w:rsidRPr="00AE3A49" w:rsidRDefault="0012517E" w:rsidP="0012517E">
      <w:pPr>
        <w:pStyle w:val="NoSpacing"/>
        <w:ind w:left="720"/>
        <w:rPr>
          <w:rFonts w:ascii="Times New Roman" w:hAnsi="Times New Roman"/>
          <w:b/>
          <w:bCs/>
          <w:sz w:val="24"/>
          <w:szCs w:val="24"/>
        </w:rPr>
      </w:pPr>
    </w:p>
    <w:p w14:paraId="43D19246" w14:textId="77777777" w:rsidR="0012517E" w:rsidRDefault="0012517E" w:rsidP="002B1283">
      <w:pPr>
        <w:rPr>
          <w:rFonts w:ascii="Arial Black" w:hAnsi="Arial Black"/>
          <w:b/>
          <w:bCs/>
          <w:sz w:val="28"/>
          <w:szCs w:val="28"/>
        </w:rPr>
      </w:pPr>
    </w:p>
    <w:p w14:paraId="4D6EBAAE" w14:textId="1AF85495" w:rsidR="0012517E" w:rsidRDefault="0012517E" w:rsidP="002B1283">
      <w:pPr>
        <w:rPr>
          <w:rFonts w:ascii="Arial Black" w:hAnsi="Arial Black"/>
          <w:b/>
          <w:bCs/>
          <w:sz w:val="28"/>
          <w:szCs w:val="28"/>
        </w:rPr>
      </w:pPr>
      <w:r>
        <w:rPr>
          <w:rFonts w:ascii="Arial Black" w:hAnsi="Arial Black"/>
          <w:b/>
          <w:bCs/>
          <w:sz w:val="28"/>
          <w:szCs w:val="28"/>
        </w:rPr>
        <w:t>13-50</w:t>
      </w:r>
    </w:p>
    <w:p w14:paraId="41A015E7" w14:textId="77777777" w:rsidR="0012517E" w:rsidRPr="009F24CE" w:rsidRDefault="0012517E" w:rsidP="0012517E">
      <w:pPr>
        <w:pStyle w:val="NoSpacing"/>
        <w:rPr>
          <w:rFonts w:ascii="Arial Black" w:hAnsi="Arial Black"/>
          <w:sz w:val="28"/>
          <w:szCs w:val="28"/>
        </w:rPr>
      </w:pPr>
      <w:bookmarkStart w:id="463" w:name="_Hlk39772341"/>
      <w:r w:rsidRPr="009F24CE">
        <w:rPr>
          <w:rFonts w:ascii="Arial Black" w:hAnsi="Arial Black"/>
          <w:sz w:val="28"/>
          <w:szCs w:val="28"/>
        </w:rPr>
        <w:t xml:space="preserve">PA: </w:t>
      </w:r>
      <w:r>
        <w:rPr>
          <w:rFonts w:ascii="Arial Black" w:hAnsi="Arial Black"/>
          <w:sz w:val="28"/>
          <w:szCs w:val="28"/>
        </w:rPr>
        <w:t xml:space="preserve">CORONA VIRUS – POL. CANDIDATE, </w:t>
      </w:r>
      <w:r w:rsidRPr="009F24CE">
        <w:rPr>
          <w:rFonts w:ascii="Arial Black" w:hAnsi="Arial Black"/>
          <w:sz w:val="28"/>
          <w:szCs w:val="28"/>
        </w:rPr>
        <w:t>REAL ESTATE</w:t>
      </w:r>
      <w:r>
        <w:rPr>
          <w:rFonts w:ascii="Arial Black" w:hAnsi="Arial Black"/>
          <w:sz w:val="28"/>
          <w:szCs w:val="28"/>
        </w:rPr>
        <w:t xml:space="preserve"> AGENT</w:t>
      </w:r>
      <w:r w:rsidRPr="009F24CE">
        <w:rPr>
          <w:rFonts w:ascii="Arial Black" w:hAnsi="Arial Black"/>
          <w:sz w:val="28"/>
          <w:szCs w:val="28"/>
        </w:rPr>
        <w:t>, GOLF COURSE</w:t>
      </w:r>
      <w:r>
        <w:rPr>
          <w:rFonts w:ascii="Arial Black" w:hAnsi="Arial Black"/>
          <w:sz w:val="28"/>
          <w:szCs w:val="28"/>
        </w:rPr>
        <w:t xml:space="preserve"> SHUT DOWN - TRO DENIED</w:t>
      </w:r>
    </w:p>
    <w:p w14:paraId="35751ADB" w14:textId="77777777" w:rsidR="0012517E" w:rsidRDefault="0012517E" w:rsidP="0012517E">
      <w:pPr>
        <w:pStyle w:val="NoSpacing"/>
        <w:rPr>
          <w:b/>
          <w:bCs/>
          <w:sz w:val="24"/>
          <w:szCs w:val="24"/>
        </w:rPr>
      </w:pPr>
    </w:p>
    <w:p w14:paraId="68941886" w14:textId="77777777" w:rsidR="0012517E" w:rsidRPr="00AE3A49" w:rsidRDefault="0012517E" w:rsidP="0012517E">
      <w:pPr>
        <w:pStyle w:val="NoSpacing"/>
        <w:rPr>
          <w:rFonts w:ascii="Times New Roman" w:hAnsi="Times New Roman"/>
          <w:b/>
          <w:bCs/>
          <w:sz w:val="24"/>
          <w:szCs w:val="24"/>
        </w:rPr>
      </w:pPr>
      <w:r w:rsidRPr="00AE3A49">
        <w:rPr>
          <w:rFonts w:ascii="Times New Roman" w:hAnsi="Times New Roman"/>
          <w:bCs/>
          <w:sz w:val="24"/>
          <w:szCs w:val="24"/>
        </w:rPr>
        <w:t xml:space="preserve">On April 13, 2020, in </w:t>
      </w:r>
      <w:r w:rsidRPr="00AE3A49">
        <w:rPr>
          <w:rFonts w:ascii="Times New Roman" w:hAnsi="Times New Roman"/>
          <w:bCs/>
          <w:sz w:val="24"/>
          <w:szCs w:val="24"/>
          <w:u w:val="single"/>
        </w:rPr>
        <w:t>Friends of Danny Devito, et al. v. Tom Wolf, Governor</w:t>
      </w:r>
      <w:r w:rsidRPr="00AE3A49">
        <w:rPr>
          <w:rFonts w:ascii="Times New Roman" w:hAnsi="Times New Roman"/>
          <w:bCs/>
          <w:sz w:val="24"/>
          <w:szCs w:val="24"/>
        </w:rPr>
        <w:t xml:space="preserve">, Supreme Court of Pennsylvania, Middle District, the Court held (4 to 3), that Governor lawfully declared an Emergency, and he could shut down their businesses: Candidate for PA House of Representatives; real estate agent; public golf course and restaurant. </w:t>
      </w:r>
    </w:p>
    <w:p w14:paraId="147DCC23" w14:textId="77777777" w:rsidR="0012517E" w:rsidRPr="00AE3A49" w:rsidRDefault="0012517E" w:rsidP="0012517E">
      <w:pPr>
        <w:pStyle w:val="NoSpacing"/>
        <w:rPr>
          <w:rFonts w:ascii="Times New Roman" w:hAnsi="Times New Roman"/>
          <w:b/>
          <w:bCs/>
          <w:sz w:val="24"/>
          <w:szCs w:val="24"/>
        </w:rPr>
      </w:pPr>
    </w:p>
    <w:p w14:paraId="44BB216A" w14:textId="14519AEE" w:rsidR="0012517E" w:rsidRDefault="0012517E" w:rsidP="0012517E">
      <w:pPr>
        <w:pStyle w:val="NoSpacing"/>
        <w:ind w:left="720"/>
        <w:rPr>
          <w:rFonts w:ascii="Times New Roman" w:hAnsi="Times New Roman"/>
          <w:bCs/>
          <w:sz w:val="24"/>
          <w:szCs w:val="24"/>
        </w:rPr>
      </w:pPr>
      <w:r w:rsidRPr="00AE3A49">
        <w:rPr>
          <w:rFonts w:ascii="Times New Roman" w:hAnsi="Times New Roman"/>
          <w:bCs/>
          <w:sz w:val="24"/>
          <w:szCs w:val="24"/>
        </w:rPr>
        <w:t xml:space="preserve">“Petitioners are four Pennsylvania businesses and one individual seeking extraordinary relief from Governor Wolf’s March 19, 2020 order (the ‘Executive Order’) compelling the closure of the physical operations of all non-life-sustaining business to reduce the spread of the novel coronavirus disease (‘COVID-19’).The businesses of the Petitioners were classified as non-life-sustaining…. Petitioners suggest that the public </w:t>
      </w:r>
    </w:p>
    <w:p w14:paraId="59FDA9FC" w14:textId="77777777" w:rsidR="0012517E" w:rsidRPr="00AE3A49" w:rsidRDefault="0012517E" w:rsidP="0012517E">
      <w:pPr>
        <w:pStyle w:val="NoSpacing"/>
        <w:ind w:left="720"/>
        <w:rPr>
          <w:rFonts w:ascii="Times New Roman" w:hAnsi="Times New Roman"/>
          <w:b/>
          <w:bCs/>
          <w:sz w:val="24"/>
          <w:szCs w:val="24"/>
        </w:rPr>
      </w:pPr>
      <w:r w:rsidRPr="00AE3A49">
        <w:rPr>
          <w:rFonts w:ascii="Times New Roman" w:hAnsi="Times New Roman"/>
          <w:bCs/>
          <w:sz w:val="24"/>
          <w:szCs w:val="24"/>
        </w:rPr>
        <w:t xml:space="preserve">interest would best be served by keeping businesses open to maintain the free flow of business. Although they cite to none, we are certain that there are some economists and social scientists who support that policy position. But the policy choice in this emergency was for the Governor and the Secretary to make and so long as the means chosen to meet the emergency are reasonably necessary for the purpose of combating the ravages of COVID-19, it is supported by the police power. The choice made by the Respondents was tailored to the nature of the emergency and utilized a recognized tool, business closures, to enforce social distancing to mitigate and suppress the continued spread of COVID-19. </w:t>
      </w:r>
      <w:hyperlink r:id="rId2391" w:history="1">
        <w:r w:rsidRPr="00AE3A49">
          <w:rPr>
            <w:rStyle w:val="Hyperlink"/>
            <w:rFonts w:ascii="Times New Roman" w:hAnsi="Times New Roman"/>
            <w:b/>
            <w:sz w:val="24"/>
            <w:szCs w:val="24"/>
          </w:rPr>
          <w:t>http://www.pacourts.us/assets/opinions/Supreme/out/68MM2020mo%20-%2010439399799476700.pdf?cb=1</w:t>
        </w:r>
      </w:hyperlink>
      <w:r w:rsidRPr="00AE3A49">
        <w:rPr>
          <w:rFonts w:ascii="Times New Roman" w:hAnsi="Times New Roman"/>
          <w:bCs/>
          <w:sz w:val="24"/>
          <w:szCs w:val="24"/>
        </w:rPr>
        <w:t xml:space="preserve"> </w:t>
      </w:r>
    </w:p>
    <w:bookmarkEnd w:id="463"/>
    <w:p w14:paraId="736F1783" w14:textId="77777777" w:rsidR="0012517E" w:rsidRPr="00AE3A49" w:rsidRDefault="0012517E" w:rsidP="0012517E">
      <w:pPr>
        <w:pStyle w:val="Heading1"/>
        <w:rPr>
          <w:bCs w:val="0"/>
          <w:sz w:val="24"/>
          <w:szCs w:val="24"/>
        </w:rPr>
      </w:pPr>
      <w:r w:rsidRPr="00AE3A49">
        <w:rPr>
          <w:bCs w:val="0"/>
          <w:sz w:val="24"/>
          <w:szCs w:val="24"/>
        </w:rPr>
        <w:t xml:space="preserve">Legal Lessons Learned:  Governor has broad emergency powers under State statutes. </w:t>
      </w:r>
    </w:p>
    <w:p w14:paraId="07E5FD2C" w14:textId="77777777" w:rsidR="0012517E" w:rsidRPr="00AE3A49" w:rsidRDefault="0012517E" w:rsidP="0012517E">
      <w:pPr>
        <w:pStyle w:val="Heading1"/>
        <w:ind w:left="720"/>
        <w:rPr>
          <w:b w:val="0"/>
          <w:bCs w:val="0"/>
          <w:sz w:val="24"/>
          <w:szCs w:val="24"/>
        </w:rPr>
      </w:pPr>
      <w:r w:rsidRPr="00AE3A49">
        <w:rPr>
          <w:b w:val="0"/>
          <w:sz w:val="24"/>
          <w:szCs w:val="24"/>
        </w:rPr>
        <w:t xml:space="preserve">Note: See newspaper article on the decision: “Split Pa. Supreme Court rejects latest challenge to Gov. Wolf’s coronavirus business shutdown order,” </w:t>
      </w:r>
      <w:hyperlink r:id="rId2392" w:history="1">
        <w:r w:rsidRPr="00AE3A49">
          <w:rPr>
            <w:rStyle w:val="Hyperlink"/>
            <w:sz w:val="24"/>
            <w:szCs w:val="24"/>
          </w:rPr>
          <w:t>https://www.pennlive.com/news/2020/04/split-pa-supreme-court-rejects-latest-challenge-to-gov-wolfs-coronavirus-business-shutdown-order.html</w:t>
        </w:r>
      </w:hyperlink>
      <w:r w:rsidRPr="00AE3A49">
        <w:rPr>
          <w:b w:val="0"/>
          <w:bCs w:val="0"/>
          <w:sz w:val="24"/>
          <w:szCs w:val="24"/>
        </w:rPr>
        <w:t xml:space="preserve"> </w:t>
      </w:r>
    </w:p>
    <w:p w14:paraId="12C7EEB2" w14:textId="77777777" w:rsidR="0012517E" w:rsidRDefault="0012517E" w:rsidP="002B1283">
      <w:pPr>
        <w:rPr>
          <w:rFonts w:ascii="Arial Black" w:hAnsi="Arial Black"/>
          <w:b/>
          <w:bCs/>
          <w:sz w:val="28"/>
          <w:szCs w:val="28"/>
        </w:rPr>
      </w:pPr>
    </w:p>
    <w:p w14:paraId="3BF8FAE3" w14:textId="2BFC8D5D" w:rsidR="0012517E" w:rsidRDefault="0012517E" w:rsidP="002B1283">
      <w:pPr>
        <w:rPr>
          <w:rFonts w:ascii="Arial Black" w:hAnsi="Arial Black"/>
          <w:b/>
          <w:bCs/>
          <w:sz w:val="28"/>
          <w:szCs w:val="28"/>
        </w:rPr>
      </w:pPr>
      <w:r>
        <w:rPr>
          <w:rFonts w:ascii="Arial Black" w:hAnsi="Arial Black"/>
          <w:b/>
          <w:bCs/>
          <w:sz w:val="28"/>
          <w:szCs w:val="28"/>
        </w:rPr>
        <w:t>13-49</w:t>
      </w:r>
    </w:p>
    <w:p w14:paraId="14C2C218" w14:textId="77777777" w:rsidR="0012517E" w:rsidRPr="009F24CE" w:rsidRDefault="0012517E" w:rsidP="0012517E">
      <w:pPr>
        <w:pStyle w:val="NoSpacing"/>
        <w:rPr>
          <w:rFonts w:ascii="Arial Black" w:hAnsi="Arial Black"/>
          <w:b/>
          <w:bCs/>
          <w:sz w:val="28"/>
          <w:szCs w:val="28"/>
        </w:rPr>
      </w:pPr>
      <w:bookmarkStart w:id="464" w:name="_Hlk38437864"/>
      <w:bookmarkStart w:id="465" w:name="_Hlk39772406"/>
      <w:r w:rsidRPr="009F24CE">
        <w:rPr>
          <w:rFonts w:ascii="Arial Black" w:hAnsi="Arial Black"/>
          <w:bCs/>
          <w:sz w:val="28"/>
          <w:szCs w:val="28"/>
        </w:rPr>
        <w:lastRenderedPageBreak/>
        <w:t xml:space="preserve">KS: </w:t>
      </w:r>
      <w:r>
        <w:rPr>
          <w:rFonts w:ascii="Arial Black" w:hAnsi="Arial Black"/>
          <w:bCs/>
          <w:sz w:val="28"/>
          <w:szCs w:val="28"/>
        </w:rPr>
        <w:t xml:space="preserve">CORONA VIRUS – STATE LEGISLATIVE COMMITTEE CAN’T OVERRULE GOVERNOR’S LIMITS 10 PEOPLE </w:t>
      </w:r>
    </w:p>
    <w:p w14:paraId="0E9CCFDD" w14:textId="77777777" w:rsidR="0012517E" w:rsidRDefault="0012517E" w:rsidP="0012517E">
      <w:pPr>
        <w:pStyle w:val="NoSpacing"/>
        <w:ind w:left="720"/>
        <w:rPr>
          <w:b/>
          <w:bCs/>
          <w:sz w:val="24"/>
          <w:szCs w:val="24"/>
        </w:rPr>
      </w:pPr>
    </w:p>
    <w:p w14:paraId="30DF0D27" w14:textId="77777777" w:rsidR="0012517E" w:rsidRPr="00D61723" w:rsidRDefault="0012517E" w:rsidP="0012517E">
      <w:pPr>
        <w:pStyle w:val="NoSpacing"/>
        <w:rPr>
          <w:rFonts w:ascii="Times New Roman" w:hAnsi="Times New Roman"/>
          <w:b/>
          <w:bCs/>
          <w:sz w:val="24"/>
          <w:szCs w:val="24"/>
        </w:rPr>
      </w:pPr>
      <w:r w:rsidRPr="00D61723">
        <w:rPr>
          <w:rFonts w:ascii="Times New Roman" w:hAnsi="Times New Roman"/>
          <w:bCs/>
          <w:sz w:val="24"/>
          <w:szCs w:val="24"/>
        </w:rPr>
        <w:t xml:space="preserve">On April 11, 2020, in </w:t>
      </w:r>
      <w:r w:rsidRPr="00D61723">
        <w:rPr>
          <w:rFonts w:ascii="Times New Roman" w:hAnsi="Times New Roman"/>
          <w:bCs/>
          <w:sz w:val="24"/>
          <w:szCs w:val="24"/>
          <w:u w:val="single"/>
        </w:rPr>
        <w:t>Governor Laura Kelly v. Legislative Coordinating Council, Kansas House of Representatives, and Kansas Senate</w:t>
      </w:r>
      <w:r w:rsidRPr="00D61723">
        <w:rPr>
          <w:rFonts w:ascii="Times New Roman" w:hAnsi="Times New Roman"/>
          <w:bCs/>
          <w:sz w:val="24"/>
          <w:szCs w:val="24"/>
        </w:rPr>
        <w:t>, the Kansas Supreme Court held (7 to 0) that the Legislative Council cannot revoke an Executive Order of the Governor.  On April 8, the LCC convened pursuant to HCR5025. By 5-to-2vote, it revoked Executive Order 20-18.</w:t>
      </w:r>
    </w:p>
    <w:bookmarkEnd w:id="464"/>
    <w:p w14:paraId="78087006" w14:textId="77777777" w:rsidR="0012517E" w:rsidRPr="00D61723" w:rsidRDefault="0012517E" w:rsidP="0012517E">
      <w:pPr>
        <w:pStyle w:val="NoSpacing"/>
        <w:ind w:left="720"/>
        <w:rPr>
          <w:rFonts w:ascii="Times New Roman" w:hAnsi="Times New Roman"/>
          <w:b/>
          <w:bCs/>
          <w:sz w:val="24"/>
          <w:szCs w:val="24"/>
        </w:rPr>
      </w:pPr>
    </w:p>
    <w:p w14:paraId="76BE94BB" w14:textId="77777777" w:rsidR="0012517E" w:rsidRPr="00D61723" w:rsidRDefault="0012517E" w:rsidP="0012517E">
      <w:pPr>
        <w:pStyle w:val="NoSpacing"/>
        <w:ind w:left="720"/>
        <w:rPr>
          <w:rFonts w:ascii="Times New Roman" w:hAnsi="Times New Roman"/>
          <w:b/>
          <w:bCs/>
          <w:sz w:val="24"/>
          <w:szCs w:val="24"/>
        </w:rPr>
      </w:pPr>
      <w:r w:rsidRPr="00D61723">
        <w:rPr>
          <w:rFonts w:ascii="Times New Roman" w:hAnsi="Times New Roman"/>
          <w:bCs/>
          <w:sz w:val="24"/>
          <w:szCs w:val="24"/>
        </w:rPr>
        <w:t>“On April 7, Governor Kelly used her K.S.A. 2019 Supp. 48-925(b) powers to issue Executive Order 20-18, relating to her March 12 emergency proclamation. Among other things, it temporarily prohibited, subject to several exemptions, ‘mass gatherings,’ defined as ‘any planned or spontaneous, public or private event[s] or convening[s] that will bring together or [are] likely to bring together more than 10 people in a confined or enclosed space at the same time.’ Executive Order 20-18 rescinded and replaced an earlier, substantially similar executive order. But Executive Order 20-18 differed in that it removed ‘[r]</w:t>
      </w:r>
      <w:proofErr w:type="spellStart"/>
      <w:r w:rsidRPr="00D61723">
        <w:rPr>
          <w:rFonts w:ascii="Times New Roman" w:hAnsi="Times New Roman"/>
          <w:bCs/>
          <w:sz w:val="24"/>
          <w:szCs w:val="24"/>
        </w:rPr>
        <w:t>eligious</w:t>
      </w:r>
      <w:proofErr w:type="spellEnd"/>
      <w:r w:rsidRPr="00D61723">
        <w:rPr>
          <w:rFonts w:ascii="Times New Roman" w:hAnsi="Times New Roman"/>
          <w:bCs/>
          <w:sz w:val="24"/>
          <w:szCs w:val="24"/>
        </w:rPr>
        <w:t xml:space="preserve"> gatherings’ and ‘[f]unreal or memorial services or ceremonies’ from the list of ‘activities or facilities’ exempt from the temporary prohibition of mass gatherings…. The Court has considered and grants in part the Governor's Petition in Quo Warranto. The LCC's purported revocation of Executive Order20-18 on April 8 was a nullity, because the LCC lacked authority do so under HCR5025's terms.” </w:t>
      </w:r>
      <w:bookmarkStart w:id="466" w:name="_Hlk38437889"/>
      <w:r w:rsidRPr="00D61723">
        <w:fldChar w:fldCharType="begin"/>
      </w:r>
      <w:r w:rsidRPr="00D61723">
        <w:rPr>
          <w:rFonts w:ascii="Times New Roman" w:hAnsi="Times New Roman"/>
          <w:sz w:val="24"/>
          <w:szCs w:val="24"/>
        </w:rPr>
        <w:instrText xml:space="preserve"> HYPERLINK "https://www.kscourts.org/KSCourts/media/KsCourts/Opinions/122765.pdf" </w:instrText>
      </w:r>
      <w:r w:rsidRPr="00D61723">
        <w:fldChar w:fldCharType="separate"/>
      </w:r>
      <w:r w:rsidRPr="00D61723">
        <w:rPr>
          <w:rStyle w:val="Hyperlink"/>
          <w:rFonts w:ascii="Times New Roman" w:hAnsi="Times New Roman"/>
          <w:b/>
          <w:sz w:val="24"/>
          <w:szCs w:val="24"/>
        </w:rPr>
        <w:t>https://www.kscourts.org/KSCourts/media/KsCourts/Opinions/122765.pdf</w:t>
      </w:r>
      <w:r w:rsidRPr="00D61723">
        <w:rPr>
          <w:rStyle w:val="Hyperlink"/>
          <w:rFonts w:ascii="Times New Roman" w:hAnsi="Times New Roman"/>
          <w:b/>
          <w:bCs/>
          <w:sz w:val="24"/>
          <w:szCs w:val="24"/>
        </w:rPr>
        <w:fldChar w:fldCharType="end"/>
      </w:r>
      <w:r w:rsidRPr="00D61723">
        <w:rPr>
          <w:rFonts w:ascii="Times New Roman" w:hAnsi="Times New Roman"/>
          <w:bCs/>
          <w:sz w:val="24"/>
          <w:szCs w:val="24"/>
        </w:rPr>
        <w:t xml:space="preserve"> </w:t>
      </w:r>
    </w:p>
    <w:bookmarkEnd w:id="465"/>
    <w:bookmarkEnd w:id="466"/>
    <w:p w14:paraId="085CC232" w14:textId="77777777" w:rsidR="0012517E" w:rsidRPr="00D61723" w:rsidRDefault="0012517E" w:rsidP="0012517E">
      <w:pPr>
        <w:spacing w:before="100" w:beforeAutospacing="1" w:after="100" w:afterAutospacing="1" w:line="240" w:lineRule="auto"/>
        <w:rPr>
          <w:rFonts w:ascii="Times New Roman" w:hAnsi="Times New Roman"/>
          <w:b/>
          <w:bCs/>
          <w:sz w:val="24"/>
          <w:szCs w:val="24"/>
        </w:rPr>
      </w:pPr>
      <w:r w:rsidRPr="00D61723">
        <w:rPr>
          <w:rFonts w:ascii="Times New Roman" w:hAnsi="Times New Roman"/>
          <w:b/>
          <w:bCs/>
          <w:sz w:val="24"/>
          <w:szCs w:val="24"/>
        </w:rPr>
        <w:t xml:space="preserve">Legal Lessons Learned:  A Legislative Committee does not have power to overturn Governor. </w:t>
      </w:r>
    </w:p>
    <w:p w14:paraId="6992C02B" w14:textId="77777777" w:rsidR="0012517E" w:rsidRPr="00D61723" w:rsidRDefault="0012517E" w:rsidP="0012517E">
      <w:pPr>
        <w:spacing w:before="100" w:beforeAutospacing="1" w:after="100" w:afterAutospacing="1" w:line="240" w:lineRule="auto"/>
        <w:ind w:left="720"/>
        <w:rPr>
          <w:rFonts w:ascii="Times New Roman" w:eastAsia="Times New Roman" w:hAnsi="Times New Roman"/>
          <w:sz w:val="24"/>
          <w:szCs w:val="24"/>
        </w:rPr>
      </w:pPr>
      <w:r w:rsidRPr="00D61723">
        <w:rPr>
          <w:rFonts w:ascii="Times New Roman" w:hAnsi="Times New Roman"/>
          <w:sz w:val="24"/>
          <w:szCs w:val="24"/>
        </w:rPr>
        <w:t>Note:</w:t>
      </w:r>
      <w:r w:rsidRPr="00D61723">
        <w:rPr>
          <w:rFonts w:ascii="Times New Roman" w:hAnsi="Times New Roman"/>
          <w:b/>
          <w:bCs/>
          <w:sz w:val="24"/>
          <w:szCs w:val="24"/>
        </w:rPr>
        <w:t xml:space="preserve"> </w:t>
      </w:r>
      <w:r w:rsidRPr="00D61723">
        <w:rPr>
          <w:rFonts w:ascii="Times New Roman" w:hAnsi="Times New Roman"/>
          <w:sz w:val="24"/>
          <w:szCs w:val="24"/>
        </w:rPr>
        <w:t xml:space="preserve">See the April 12, </w:t>
      </w:r>
      <w:proofErr w:type="gramStart"/>
      <w:r w:rsidRPr="00D61723">
        <w:rPr>
          <w:rFonts w:ascii="Times New Roman" w:hAnsi="Times New Roman"/>
          <w:sz w:val="24"/>
          <w:szCs w:val="24"/>
        </w:rPr>
        <w:t>2020</w:t>
      </w:r>
      <w:proofErr w:type="gramEnd"/>
      <w:r w:rsidRPr="00D61723">
        <w:rPr>
          <w:rFonts w:ascii="Times New Roman" w:hAnsi="Times New Roman"/>
          <w:sz w:val="24"/>
          <w:szCs w:val="24"/>
        </w:rPr>
        <w:t xml:space="preserve"> article about this decision:</w:t>
      </w:r>
      <w:r w:rsidRPr="00D61723">
        <w:rPr>
          <w:rFonts w:ascii="Times New Roman" w:hAnsi="Times New Roman"/>
          <w:b/>
          <w:bCs/>
          <w:sz w:val="24"/>
          <w:szCs w:val="24"/>
        </w:rPr>
        <w:t xml:space="preserve"> “</w:t>
      </w:r>
      <w:r w:rsidRPr="00D61723">
        <w:rPr>
          <w:rFonts w:ascii="Times New Roman" w:eastAsia="Times New Roman" w:hAnsi="Times New Roman"/>
          <w:kern w:val="36"/>
          <w:sz w:val="24"/>
          <w:szCs w:val="24"/>
        </w:rPr>
        <w:t xml:space="preserve">Kansas Supreme Court Upholds Governor's Order Limiting </w:t>
      </w:r>
      <w:proofErr w:type="gramStart"/>
      <w:r w:rsidRPr="00D61723">
        <w:rPr>
          <w:rFonts w:ascii="Times New Roman" w:eastAsia="Times New Roman" w:hAnsi="Times New Roman"/>
          <w:kern w:val="36"/>
          <w:sz w:val="24"/>
          <w:szCs w:val="24"/>
        </w:rPr>
        <w:t>The</w:t>
      </w:r>
      <w:proofErr w:type="gramEnd"/>
      <w:r w:rsidRPr="00D61723">
        <w:rPr>
          <w:rFonts w:ascii="Times New Roman" w:eastAsia="Times New Roman" w:hAnsi="Times New Roman"/>
          <w:kern w:val="36"/>
          <w:sz w:val="24"/>
          <w:szCs w:val="24"/>
        </w:rPr>
        <w:t xml:space="preserve"> Size </w:t>
      </w:r>
      <w:proofErr w:type="gramStart"/>
      <w:r w:rsidRPr="00D61723">
        <w:rPr>
          <w:rFonts w:ascii="Times New Roman" w:eastAsia="Times New Roman" w:hAnsi="Times New Roman"/>
          <w:kern w:val="36"/>
          <w:sz w:val="24"/>
          <w:szCs w:val="24"/>
        </w:rPr>
        <w:t>Of</w:t>
      </w:r>
      <w:proofErr w:type="gramEnd"/>
      <w:r w:rsidRPr="00D61723">
        <w:rPr>
          <w:rFonts w:ascii="Times New Roman" w:eastAsia="Times New Roman" w:hAnsi="Times New Roman"/>
          <w:kern w:val="36"/>
          <w:sz w:val="24"/>
          <w:szCs w:val="24"/>
        </w:rPr>
        <w:t xml:space="preserve"> Easter Services,”  </w:t>
      </w:r>
      <w:hyperlink r:id="rId2393" w:history="1">
        <w:r w:rsidRPr="00D61723">
          <w:rPr>
            <w:rStyle w:val="Hyperlink"/>
            <w:rFonts w:ascii="Times New Roman" w:hAnsi="Times New Roman"/>
            <w:sz w:val="24"/>
            <w:szCs w:val="24"/>
          </w:rPr>
          <w:t>https://www.npr.org/sections/coronavirus-live-updates/2020/04/12/832644243/kansas-supreme-court-upholds-governors-order-limiting-the-size-of-easter-service</w:t>
        </w:r>
      </w:hyperlink>
      <w:r w:rsidRPr="00D61723">
        <w:rPr>
          <w:rFonts w:ascii="Times New Roman" w:eastAsia="Times New Roman" w:hAnsi="Times New Roman"/>
          <w:sz w:val="24"/>
          <w:szCs w:val="24"/>
        </w:rPr>
        <w:t xml:space="preserve"> </w:t>
      </w:r>
    </w:p>
    <w:p w14:paraId="6A51E4A8" w14:textId="77777777" w:rsidR="0012517E" w:rsidRDefault="0012517E" w:rsidP="002B1283">
      <w:pPr>
        <w:rPr>
          <w:rFonts w:ascii="Arial Black" w:hAnsi="Arial Black"/>
          <w:b/>
          <w:bCs/>
          <w:sz w:val="28"/>
          <w:szCs w:val="28"/>
        </w:rPr>
      </w:pPr>
    </w:p>
    <w:p w14:paraId="02BAA80F" w14:textId="30E285CA" w:rsidR="0012517E" w:rsidRDefault="0012517E" w:rsidP="002B1283">
      <w:pPr>
        <w:rPr>
          <w:rFonts w:ascii="Arial Black" w:hAnsi="Arial Black"/>
          <w:b/>
          <w:bCs/>
          <w:sz w:val="28"/>
          <w:szCs w:val="28"/>
        </w:rPr>
      </w:pPr>
      <w:r>
        <w:rPr>
          <w:rFonts w:ascii="Arial Black" w:hAnsi="Arial Black"/>
          <w:b/>
          <w:bCs/>
          <w:sz w:val="28"/>
          <w:szCs w:val="28"/>
        </w:rPr>
        <w:t>13-48</w:t>
      </w:r>
    </w:p>
    <w:p w14:paraId="4E9F5E3B" w14:textId="77777777" w:rsidR="0012517E" w:rsidRDefault="0012517E" w:rsidP="0012517E">
      <w:pPr>
        <w:pStyle w:val="NoSpacing"/>
      </w:pPr>
      <w:bookmarkStart w:id="467" w:name="_Hlk39819679"/>
      <w:r>
        <w:rPr>
          <w:rFonts w:ascii="Arial Black" w:hAnsi="Arial Black"/>
          <w:sz w:val="28"/>
          <w:szCs w:val="28"/>
        </w:rPr>
        <w:t>TX: EMS CHECKED OUT OVERDOSE PATIENT AT SCENE – HIT HIS HEAD 40+ POLICE CRUISER GOING JAIL – DIED - EMS IMMUNITY, NOT PD</w:t>
      </w:r>
    </w:p>
    <w:p w14:paraId="52EED673" w14:textId="77777777" w:rsidR="0012517E" w:rsidRDefault="0012517E" w:rsidP="0012517E">
      <w:pPr>
        <w:pStyle w:val="NoSpacing"/>
        <w:rPr>
          <w:b/>
          <w:bCs/>
          <w:sz w:val="24"/>
          <w:szCs w:val="24"/>
        </w:rPr>
      </w:pPr>
    </w:p>
    <w:p w14:paraId="2FA5CB87" w14:textId="740F405A" w:rsidR="0012517E" w:rsidRPr="00D61723" w:rsidRDefault="0012517E" w:rsidP="0012517E">
      <w:pPr>
        <w:pStyle w:val="NoSpacing"/>
        <w:rPr>
          <w:rFonts w:ascii="Times New Roman" w:hAnsi="Times New Roman"/>
          <w:b/>
          <w:bCs/>
          <w:sz w:val="24"/>
          <w:szCs w:val="24"/>
        </w:rPr>
      </w:pPr>
      <w:r w:rsidRPr="00D61723">
        <w:rPr>
          <w:rFonts w:ascii="Times New Roman" w:hAnsi="Times New Roman"/>
          <w:bCs/>
          <w:sz w:val="24"/>
          <w:szCs w:val="24"/>
        </w:rPr>
        <w:t xml:space="preserve">On April 9, 2020, in </w:t>
      </w:r>
      <w:r w:rsidRPr="00D61723">
        <w:rPr>
          <w:rFonts w:ascii="Times New Roman" w:hAnsi="Times New Roman"/>
          <w:bCs/>
          <w:sz w:val="24"/>
          <w:szCs w:val="24"/>
          <w:u w:val="single"/>
        </w:rPr>
        <w:t>Kathy Dyer &amp; Robert Dyer  v. Richard Houston, et al.</w:t>
      </w:r>
      <w:r w:rsidRPr="00D61723">
        <w:rPr>
          <w:rFonts w:ascii="Times New Roman" w:hAnsi="Times New Roman"/>
          <w:bCs/>
          <w:sz w:val="24"/>
          <w:szCs w:val="24"/>
        </w:rPr>
        <w:t>, the U.S. Court of Appeals for the 5</w:t>
      </w:r>
      <w:r w:rsidRPr="00D61723">
        <w:rPr>
          <w:rFonts w:ascii="Times New Roman" w:hAnsi="Times New Roman"/>
          <w:bCs/>
          <w:sz w:val="24"/>
          <w:szCs w:val="24"/>
          <w:vertAlign w:val="superscript"/>
        </w:rPr>
        <w:t>th</w:t>
      </w:r>
      <w:r w:rsidRPr="00D61723">
        <w:rPr>
          <w:rFonts w:ascii="Times New Roman" w:hAnsi="Times New Roman"/>
          <w:bCs/>
          <w:sz w:val="24"/>
          <w:szCs w:val="24"/>
        </w:rPr>
        <w:t xml:space="preserve"> Circuit (New Orleans), held (3 to 0) that the U.S. District Court judge properly granted the paramedics’ motion to dismiss on the basis of qualified immunity; there was no proof of “deliberate indifference.”  Court, however, reinstated the lawsuit against the police officers since patient hit his head over 40 times in </w:t>
      </w:r>
      <w:r w:rsidR="0013686B">
        <w:rPr>
          <w:rFonts w:ascii="Times New Roman" w:hAnsi="Times New Roman"/>
          <w:bCs/>
          <w:sz w:val="24"/>
          <w:szCs w:val="24"/>
        </w:rPr>
        <w:t xml:space="preserve">the </w:t>
      </w:r>
      <w:r w:rsidRPr="00D61723">
        <w:rPr>
          <w:rFonts w:ascii="Times New Roman" w:hAnsi="Times New Roman"/>
          <w:bCs/>
          <w:sz w:val="24"/>
          <w:szCs w:val="24"/>
        </w:rPr>
        <w:t>back</w:t>
      </w:r>
      <w:r w:rsidR="0013686B">
        <w:rPr>
          <w:rFonts w:ascii="Times New Roman" w:hAnsi="Times New Roman"/>
          <w:bCs/>
          <w:sz w:val="24"/>
          <w:szCs w:val="24"/>
        </w:rPr>
        <w:t xml:space="preserve"> seat</w:t>
      </w:r>
      <w:r w:rsidRPr="00D61723">
        <w:rPr>
          <w:rFonts w:ascii="Times New Roman" w:hAnsi="Times New Roman"/>
          <w:bCs/>
          <w:sz w:val="24"/>
          <w:szCs w:val="24"/>
        </w:rPr>
        <w:t xml:space="preserve"> of </w:t>
      </w:r>
      <w:r w:rsidR="0013686B">
        <w:rPr>
          <w:rFonts w:ascii="Times New Roman" w:hAnsi="Times New Roman"/>
          <w:bCs/>
          <w:sz w:val="24"/>
          <w:szCs w:val="24"/>
        </w:rPr>
        <w:t xml:space="preserve">a </w:t>
      </w:r>
      <w:r w:rsidRPr="00D61723">
        <w:rPr>
          <w:rFonts w:ascii="Times New Roman" w:hAnsi="Times New Roman"/>
          <w:bCs/>
          <w:sz w:val="24"/>
          <w:szCs w:val="24"/>
        </w:rPr>
        <w:t xml:space="preserve">police cruiser. </w:t>
      </w:r>
    </w:p>
    <w:p w14:paraId="067DB40B" w14:textId="77777777" w:rsidR="0012517E" w:rsidRPr="00D61723" w:rsidRDefault="0012517E" w:rsidP="0012517E">
      <w:pPr>
        <w:pStyle w:val="NoSpacing"/>
        <w:rPr>
          <w:rFonts w:ascii="Times New Roman" w:hAnsi="Times New Roman"/>
          <w:b/>
          <w:bCs/>
          <w:sz w:val="24"/>
          <w:szCs w:val="24"/>
        </w:rPr>
      </w:pPr>
    </w:p>
    <w:p w14:paraId="7D336CD9" w14:textId="1F70ADBD" w:rsidR="0012517E" w:rsidRDefault="0012517E" w:rsidP="0012517E">
      <w:pPr>
        <w:ind w:left="720"/>
        <w:rPr>
          <w:rFonts w:ascii="Arial Black" w:hAnsi="Arial Black"/>
          <w:b/>
          <w:bCs/>
          <w:sz w:val="28"/>
          <w:szCs w:val="28"/>
        </w:rPr>
      </w:pPr>
      <w:r w:rsidRPr="00D61723">
        <w:rPr>
          <w:rFonts w:ascii="Times New Roman" w:hAnsi="Times New Roman"/>
          <w:bCs/>
          <w:sz w:val="24"/>
          <w:szCs w:val="24"/>
        </w:rPr>
        <w:t xml:space="preserve">“We agree with the district court that the Dyers’ complaint fails to allege facts that plausibly show the Paramedics’ deliberate indifference. The thrust of the complaint is that, after examining Graham [Dyer] and observing his head injury and drug-induced behavior, the Paramedics should have provided additional care—such as sending Graham to the hospital, accompanying him to jail, providing ‘further assessment or monitoring,’ or sedating him. At most, these are allegations that the Paramedics acted with negligence in not taking further steps to treat Graham after examining him. Our cases have consistently recognized, however, that ‘deliberate indifference cannot be inferred merely from a </w:t>
      </w:r>
      <w:r w:rsidRPr="00D61723">
        <w:rPr>
          <w:rFonts w:ascii="Times New Roman" w:hAnsi="Times New Roman"/>
          <w:bCs/>
          <w:sz w:val="24"/>
          <w:szCs w:val="24"/>
        </w:rPr>
        <w:lastRenderedPageBreak/>
        <w:t>negligent or even a grossly negligent response to a substantial risk of serious harm.’”</w:t>
      </w:r>
      <w:r w:rsidRPr="00D61723">
        <w:rPr>
          <w:rFonts w:ascii="Times New Roman" w:hAnsi="Times New Roman"/>
          <w:sz w:val="24"/>
          <w:szCs w:val="24"/>
        </w:rPr>
        <w:t xml:space="preserve"> </w:t>
      </w:r>
      <w:hyperlink r:id="rId2394" w:history="1">
        <w:r w:rsidRPr="00D61723">
          <w:rPr>
            <w:rStyle w:val="Hyperlink"/>
            <w:rFonts w:ascii="Times New Roman" w:hAnsi="Times New Roman"/>
            <w:b/>
            <w:sz w:val="24"/>
            <w:szCs w:val="24"/>
          </w:rPr>
          <w:t>http://www.ca5.uscourts.gov/opinions/pub/19/19-10280-CV0.pdf</w:t>
        </w:r>
      </w:hyperlink>
    </w:p>
    <w:p w14:paraId="3C9F38A0" w14:textId="77777777" w:rsidR="0012517E" w:rsidRPr="00D61723" w:rsidRDefault="0012517E" w:rsidP="0012517E">
      <w:pPr>
        <w:pStyle w:val="NoSpacing"/>
        <w:rPr>
          <w:rFonts w:ascii="Times New Roman" w:hAnsi="Times New Roman"/>
          <w:b/>
          <w:bCs/>
          <w:sz w:val="24"/>
          <w:szCs w:val="24"/>
        </w:rPr>
      </w:pPr>
      <w:bookmarkStart w:id="468" w:name="_Hlk40514363"/>
      <w:bookmarkEnd w:id="467"/>
      <w:r w:rsidRPr="00D61723">
        <w:rPr>
          <w:rFonts w:ascii="Times New Roman" w:hAnsi="Times New Roman"/>
          <w:b/>
          <w:bCs/>
          <w:sz w:val="24"/>
          <w:szCs w:val="24"/>
        </w:rPr>
        <w:t>Legal Lessons Learned:  Qualified immunity is an important legal protection for emergency responders, but it is not “absolute” immunity.</w:t>
      </w:r>
    </w:p>
    <w:p w14:paraId="434C357B" w14:textId="77777777" w:rsidR="0012517E" w:rsidRPr="00D61723" w:rsidRDefault="0012517E" w:rsidP="0012517E">
      <w:pPr>
        <w:pStyle w:val="NoSpacing"/>
        <w:rPr>
          <w:rFonts w:ascii="Times New Roman" w:hAnsi="Times New Roman"/>
          <w:sz w:val="24"/>
          <w:szCs w:val="24"/>
        </w:rPr>
      </w:pPr>
    </w:p>
    <w:p w14:paraId="5DAC83FA" w14:textId="77777777" w:rsidR="0012517E" w:rsidRPr="00D61723" w:rsidRDefault="0012517E" w:rsidP="0012517E">
      <w:pPr>
        <w:pStyle w:val="NoSpacing"/>
        <w:ind w:left="720"/>
        <w:rPr>
          <w:rFonts w:ascii="Times New Roman" w:hAnsi="Times New Roman"/>
          <w:b/>
          <w:bCs/>
          <w:sz w:val="24"/>
          <w:szCs w:val="24"/>
        </w:rPr>
      </w:pPr>
      <w:r w:rsidRPr="00D61723">
        <w:rPr>
          <w:rFonts w:ascii="Times New Roman" w:hAnsi="Times New Roman"/>
          <w:bCs/>
          <w:sz w:val="24"/>
          <w:szCs w:val="24"/>
        </w:rPr>
        <w:t xml:space="preserve">Note: Lawsuit against police officers will proceed. </w:t>
      </w:r>
      <w:bookmarkEnd w:id="468"/>
      <w:r w:rsidRPr="00D61723">
        <w:rPr>
          <w:rFonts w:ascii="Times New Roman" w:hAnsi="Times New Roman"/>
          <w:bCs/>
          <w:sz w:val="24"/>
          <w:szCs w:val="24"/>
        </w:rPr>
        <w:t xml:space="preserve"> Court wrote: “By contrast, in this case a reasonable jury could find that (1) Graham violently bashed his head against the interior of Officer Heidelburg’s patrol car over 40 times while </w:t>
      </w:r>
      <w:proofErr w:type="spellStart"/>
      <w:r w:rsidRPr="00D61723">
        <w:rPr>
          <w:rFonts w:ascii="Times New Roman" w:hAnsi="Times New Roman"/>
          <w:bCs/>
          <w:sz w:val="24"/>
          <w:szCs w:val="24"/>
        </w:rPr>
        <w:t>en</w:t>
      </w:r>
      <w:proofErr w:type="spellEnd"/>
      <w:r w:rsidRPr="00D61723">
        <w:rPr>
          <w:rFonts w:ascii="Times New Roman" w:hAnsi="Times New Roman"/>
          <w:bCs/>
          <w:sz w:val="24"/>
          <w:szCs w:val="24"/>
        </w:rPr>
        <w:t xml:space="preserve"> route to jail; (2) Officers Heidelburg, Gafford, and Scott were fully aware of Graham’s actions and of their serious danger; (3) the Officers sought no medical attention for Graham; and (4) upon arriving at jail, the Officers failed to inform jail officials what Graham had done to himself, telling them only that Graham had been ‘medically cleared’ at the scene. From this evidence, a reasonable jury could conclude that the Officers ‘were either aware or should have been aware, because it was so obvious, of an unjustifiably high risk to [Graham’s] health,’ did nothing to seek medical attention, and even misstated the severity of Graham’s condition to those who could have sought help.”</w:t>
      </w:r>
    </w:p>
    <w:p w14:paraId="3E4FF4EC" w14:textId="77777777" w:rsidR="0012517E" w:rsidRPr="00D61723" w:rsidRDefault="0012517E" w:rsidP="0012517E">
      <w:pPr>
        <w:pStyle w:val="NoSpacing"/>
        <w:rPr>
          <w:rFonts w:ascii="Times New Roman" w:hAnsi="Times New Roman"/>
          <w:sz w:val="24"/>
          <w:szCs w:val="24"/>
        </w:rPr>
      </w:pPr>
    </w:p>
    <w:p w14:paraId="73735882" w14:textId="77777777" w:rsidR="0012517E" w:rsidRDefault="0012517E" w:rsidP="002B1283">
      <w:pPr>
        <w:rPr>
          <w:rFonts w:ascii="Arial Black" w:hAnsi="Arial Black"/>
          <w:b/>
          <w:bCs/>
          <w:sz w:val="28"/>
          <w:szCs w:val="28"/>
        </w:rPr>
      </w:pPr>
    </w:p>
    <w:p w14:paraId="5B07EA31" w14:textId="774431A3" w:rsidR="0012517E" w:rsidRDefault="0012517E" w:rsidP="002B1283">
      <w:pPr>
        <w:rPr>
          <w:rFonts w:ascii="Arial Black" w:hAnsi="Arial Black"/>
          <w:b/>
          <w:bCs/>
          <w:sz w:val="28"/>
          <w:szCs w:val="28"/>
        </w:rPr>
      </w:pPr>
      <w:r>
        <w:rPr>
          <w:rFonts w:ascii="Arial Black" w:hAnsi="Arial Black"/>
          <w:b/>
          <w:bCs/>
          <w:sz w:val="28"/>
          <w:szCs w:val="28"/>
        </w:rPr>
        <w:t>13-47</w:t>
      </w:r>
    </w:p>
    <w:p w14:paraId="20CD7806" w14:textId="77777777" w:rsidR="0012517E" w:rsidRDefault="0012517E" w:rsidP="0012517E">
      <w:pPr>
        <w:rPr>
          <w:rFonts w:ascii="Arial Black" w:hAnsi="Arial Black"/>
          <w:sz w:val="28"/>
          <w:szCs w:val="28"/>
        </w:rPr>
      </w:pPr>
      <w:r w:rsidRPr="009F24CE">
        <w:rPr>
          <w:rFonts w:ascii="Arial Black" w:hAnsi="Arial Black"/>
          <w:sz w:val="28"/>
          <w:szCs w:val="28"/>
        </w:rPr>
        <w:t xml:space="preserve">CA: </w:t>
      </w:r>
      <w:r>
        <w:rPr>
          <w:rFonts w:ascii="Arial Black" w:hAnsi="Arial Black"/>
          <w:b/>
          <w:bCs/>
          <w:sz w:val="28"/>
          <w:szCs w:val="28"/>
        </w:rPr>
        <w:t xml:space="preserve">CORONA VIRUS – </w:t>
      </w:r>
      <w:r>
        <w:rPr>
          <w:rFonts w:ascii="Arial Black" w:hAnsi="Arial Black"/>
          <w:sz w:val="28"/>
          <w:szCs w:val="28"/>
        </w:rPr>
        <w:t>LOS ANGELES MAYOR SHUTS DOWN GUN SHOPS – GOVERNOR / SHERIFF HAD NOT - TRO DENIED</w:t>
      </w:r>
    </w:p>
    <w:p w14:paraId="05824870" w14:textId="77777777" w:rsidR="0012517E" w:rsidRDefault="0012517E" w:rsidP="0012517E">
      <w:pPr>
        <w:rPr>
          <w:rFonts w:ascii="Times New Roman" w:hAnsi="Times New Roman"/>
          <w:sz w:val="24"/>
          <w:szCs w:val="24"/>
        </w:rPr>
      </w:pPr>
      <w:r w:rsidRPr="009F24CE">
        <w:rPr>
          <w:rFonts w:ascii="Times New Roman" w:hAnsi="Times New Roman"/>
          <w:sz w:val="24"/>
          <w:szCs w:val="24"/>
        </w:rPr>
        <w:t xml:space="preserve">On </w:t>
      </w:r>
      <w:bookmarkStart w:id="469" w:name="_Hlk39849537"/>
      <w:r>
        <w:rPr>
          <w:rFonts w:ascii="Times New Roman" w:hAnsi="Times New Roman"/>
          <w:sz w:val="24"/>
          <w:szCs w:val="24"/>
        </w:rPr>
        <w:t xml:space="preserve">April 6, 2020, in </w:t>
      </w:r>
      <w:r w:rsidRPr="009F24CE">
        <w:rPr>
          <w:rFonts w:ascii="Times New Roman" w:hAnsi="Times New Roman"/>
          <w:sz w:val="24"/>
          <w:szCs w:val="24"/>
          <w:u w:val="single"/>
        </w:rPr>
        <w:t>Adam Brandy v. Alex Villanueva</w:t>
      </w:r>
      <w:r>
        <w:rPr>
          <w:rFonts w:ascii="Times New Roman" w:hAnsi="Times New Roman"/>
          <w:sz w:val="24"/>
          <w:szCs w:val="24"/>
        </w:rPr>
        <w:t xml:space="preserve">, </w:t>
      </w:r>
      <w:r w:rsidRPr="00951840">
        <w:rPr>
          <w:rFonts w:ascii="Times New Roman" w:hAnsi="Times New Roman"/>
          <w:sz w:val="24"/>
          <w:szCs w:val="24"/>
          <w:u w:val="single"/>
        </w:rPr>
        <w:t>et al.,</w:t>
      </w:r>
      <w:r>
        <w:rPr>
          <w:rFonts w:ascii="Times New Roman" w:hAnsi="Times New Roman"/>
          <w:sz w:val="24"/>
          <w:szCs w:val="24"/>
        </w:rPr>
        <w:t xml:space="preserve">  </w:t>
      </w:r>
      <w:bookmarkEnd w:id="469"/>
      <w:r>
        <w:rPr>
          <w:rFonts w:ascii="Times New Roman" w:hAnsi="Times New Roman"/>
          <w:sz w:val="24"/>
          <w:szCs w:val="24"/>
        </w:rPr>
        <w:t xml:space="preserve">U.S. District Court Judge Andrew Birotte, Jr. held that Los Angeles Mayor Eric Garcetti has the power to shut down gun stores as non-essential businesses in the city. The Governor on March 19, </w:t>
      </w:r>
      <w:proofErr w:type="gramStart"/>
      <w:r>
        <w:rPr>
          <w:rFonts w:ascii="Times New Roman" w:hAnsi="Times New Roman"/>
          <w:sz w:val="24"/>
          <w:szCs w:val="24"/>
        </w:rPr>
        <w:t>2020</w:t>
      </w:r>
      <w:proofErr w:type="gramEnd"/>
      <w:r>
        <w:rPr>
          <w:rFonts w:ascii="Times New Roman" w:hAnsi="Times New Roman"/>
          <w:sz w:val="24"/>
          <w:szCs w:val="24"/>
        </w:rPr>
        <w:t xml:space="preserve"> had issued an order that left the decision on gun shops to County Sheriffs.  On March 24, 2020, Sheriff Villanueva of LA County ordered all gun shops closed, but he later changed his opinion and declared them an essential business. Federal judge denied gun shop owners’ motion for a Temporary Restraining Order.</w:t>
      </w:r>
    </w:p>
    <w:p w14:paraId="7221A463" w14:textId="77777777" w:rsidR="0012517E" w:rsidRDefault="0012517E" w:rsidP="0012517E">
      <w:pPr>
        <w:ind w:left="720"/>
        <w:rPr>
          <w:rStyle w:val="Hyperlink"/>
          <w:sz w:val="24"/>
          <w:szCs w:val="24"/>
        </w:rPr>
      </w:pPr>
      <w:r>
        <w:rPr>
          <w:rFonts w:ascii="Times New Roman" w:hAnsi="Times New Roman"/>
          <w:sz w:val="24"/>
          <w:szCs w:val="24"/>
        </w:rPr>
        <w:t xml:space="preserve">“Moreover, because this disease spreads ‘[a]n affects person coughs, sneezes or otherwise  expels aerosolized droplets containing the virus,’… the closure on non-essential businesses, including firearms and ammunition retailers, reasonably fits the City’s and County’s stated objective of reducing the spread of this disease.  Plaintiffs fail to demonstrate a likelihood of success on the merits of the Second Amendment claim against the County and City </w:t>
      </w:r>
      <w:proofErr w:type="gramStart"/>
      <w:r>
        <w:rPr>
          <w:rFonts w:ascii="Times New Roman" w:hAnsi="Times New Roman"/>
          <w:sz w:val="24"/>
          <w:szCs w:val="24"/>
        </w:rPr>
        <w:t>orders</w:t>
      </w:r>
      <w:bookmarkStart w:id="470" w:name="_Hlk39849553"/>
      <w:r>
        <w:rPr>
          <w:rFonts w:ascii="Times New Roman" w:hAnsi="Times New Roman"/>
          <w:sz w:val="24"/>
          <w:szCs w:val="24"/>
        </w:rPr>
        <w:t>.”</w:t>
      </w:r>
      <w:proofErr w:type="gramEnd"/>
      <w:r>
        <w:rPr>
          <w:rFonts w:ascii="Times New Roman" w:hAnsi="Times New Roman"/>
          <w:sz w:val="24"/>
          <w:szCs w:val="24"/>
        </w:rPr>
        <w:t xml:space="preserve"> </w:t>
      </w:r>
      <w:hyperlink r:id="rId2395" w:history="1">
        <w:r w:rsidRPr="00DE231C">
          <w:rPr>
            <w:rStyle w:val="Hyperlink"/>
            <w:sz w:val="24"/>
            <w:szCs w:val="24"/>
          </w:rPr>
          <w:t>https://brady-static.s3.amazonaws.com/2020-04-06-29-Order-Denying-TRO-App.pdf</w:t>
        </w:r>
      </w:hyperlink>
      <w:r>
        <w:rPr>
          <w:rStyle w:val="Hyperlink"/>
          <w:sz w:val="24"/>
          <w:szCs w:val="24"/>
        </w:rPr>
        <w:t xml:space="preserve"> </w:t>
      </w:r>
    </w:p>
    <w:bookmarkEnd w:id="470"/>
    <w:p w14:paraId="0FAC508C" w14:textId="77777777" w:rsidR="0012517E" w:rsidRDefault="0012517E" w:rsidP="0012517E">
      <w:pPr>
        <w:pStyle w:val="NoSpacing"/>
        <w:rPr>
          <w:sz w:val="24"/>
          <w:szCs w:val="24"/>
        </w:rPr>
      </w:pPr>
    </w:p>
    <w:p w14:paraId="609AB198" w14:textId="77777777" w:rsidR="0012517E" w:rsidRPr="0012517E" w:rsidRDefault="0012517E" w:rsidP="0012517E">
      <w:pPr>
        <w:pStyle w:val="NoSpacing"/>
        <w:rPr>
          <w:rFonts w:ascii="Times New Roman" w:hAnsi="Times New Roman"/>
          <w:b/>
          <w:bCs/>
          <w:sz w:val="24"/>
          <w:szCs w:val="24"/>
        </w:rPr>
      </w:pPr>
      <w:r w:rsidRPr="0012517E">
        <w:rPr>
          <w:rFonts w:ascii="Times New Roman" w:hAnsi="Times New Roman"/>
          <w:b/>
          <w:bCs/>
          <w:sz w:val="24"/>
          <w:szCs w:val="24"/>
        </w:rPr>
        <w:t xml:space="preserve">Legal Lessons Learned: TRO denied since Mayor’s orders are based on emergency.   </w:t>
      </w:r>
    </w:p>
    <w:p w14:paraId="299C10E7" w14:textId="77777777" w:rsidR="0012517E" w:rsidRPr="0012517E" w:rsidRDefault="0012517E" w:rsidP="0012517E">
      <w:pPr>
        <w:pStyle w:val="NoSpacing"/>
        <w:rPr>
          <w:rFonts w:ascii="Times New Roman" w:hAnsi="Times New Roman"/>
          <w:sz w:val="24"/>
          <w:szCs w:val="24"/>
        </w:rPr>
      </w:pPr>
    </w:p>
    <w:p w14:paraId="63412AFC" w14:textId="77777777" w:rsidR="0012517E" w:rsidRPr="002F12AE" w:rsidRDefault="0012517E" w:rsidP="0012517E">
      <w:pPr>
        <w:pStyle w:val="NoSpacing"/>
        <w:ind w:left="720"/>
        <w:rPr>
          <w:b/>
          <w:sz w:val="24"/>
          <w:szCs w:val="24"/>
        </w:rPr>
      </w:pPr>
      <w:r w:rsidRPr="0012517E">
        <w:rPr>
          <w:rFonts w:ascii="Times New Roman" w:hAnsi="Times New Roman"/>
          <w:bCs/>
          <w:sz w:val="24"/>
          <w:szCs w:val="24"/>
        </w:rPr>
        <w:t>Note:</w:t>
      </w:r>
      <w:r w:rsidRPr="0012517E">
        <w:rPr>
          <w:rFonts w:ascii="Times New Roman" w:hAnsi="Times New Roman"/>
          <w:sz w:val="24"/>
          <w:szCs w:val="24"/>
        </w:rPr>
        <w:t xml:space="preserve"> See </w:t>
      </w:r>
      <w:bookmarkStart w:id="471" w:name="_Hlk39849460"/>
      <w:r w:rsidRPr="0012517E">
        <w:rPr>
          <w:rFonts w:ascii="Times New Roman" w:hAnsi="Times New Roman"/>
          <w:sz w:val="24"/>
          <w:szCs w:val="24"/>
        </w:rPr>
        <w:t xml:space="preserve">April 14, </w:t>
      </w:r>
      <w:proofErr w:type="gramStart"/>
      <w:r w:rsidRPr="0012517E">
        <w:rPr>
          <w:rFonts w:ascii="Times New Roman" w:hAnsi="Times New Roman"/>
          <w:sz w:val="24"/>
          <w:szCs w:val="24"/>
        </w:rPr>
        <w:t>2020</w:t>
      </w:r>
      <w:proofErr w:type="gramEnd"/>
      <w:r w:rsidRPr="0012517E">
        <w:rPr>
          <w:rFonts w:ascii="Times New Roman" w:hAnsi="Times New Roman"/>
          <w:sz w:val="24"/>
          <w:szCs w:val="24"/>
        </w:rPr>
        <w:t xml:space="preserve"> article on LA Superior Court judge’s decision, forcing gun stores to remain closed, “</w:t>
      </w:r>
      <w:r w:rsidRPr="0012517E">
        <w:rPr>
          <w:rStyle w:val="dfm-title"/>
          <w:rFonts w:ascii="Times New Roman" w:hAnsi="Times New Roman"/>
          <w:sz w:val="24"/>
          <w:szCs w:val="24"/>
        </w:rPr>
        <w:t xml:space="preserve">Coronavirus: Judge upholds LA city order to close gun stores,” </w:t>
      </w:r>
      <w:hyperlink r:id="rId2396" w:history="1">
        <w:r w:rsidRPr="0012517E">
          <w:rPr>
            <w:rStyle w:val="Hyperlink"/>
            <w:rFonts w:ascii="Times New Roman" w:hAnsi="Times New Roman"/>
            <w:b/>
            <w:sz w:val="24"/>
            <w:szCs w:val="24"/>
          </w:rPr>
          <w:t>https://www.dailynews.com/2020/04/14/coronavirus-judge-upholds-l-a-city-order-to-close-gun-stores/</w:t>
        </w:r>
      </w:hyperlink>
      <w:bookmarkEnd w:id="471"/>
      <w:r w:rsidRPr="002F12AE">
        <w:rPr>
          <w:sz w:val="24"/>
          <w:szCs w:val="24"/>
        </w:rPr>
        <w:t xml:space="preserve"> </w:t>
      </w:r>
    </w:p>
    <w:p w14:paraId="561AE0CF" w14:textId="77777777" w:rsidR="0012517E" w:rsidRDefault="0012517E" w:rsidP="0012517E">
      <w:pPr>
        <w:pStyle w:val="NoSpacing"/>
        <w:rPr>
          <w:b/>
          <w:bCs/>
          <w:sz w:val="24"/>
          <w:szCs w:val="24"/>
        </w:rPr>
      </w:pPr>
      <w:r>
        <w:rPr>
          <w:bCs/>
          <w:sz w:val="24"/>
          <w:szCs w:val="24"/>
        </w:rPr>
        <w:t xml:space="preserve"> </w:t>
      </w:r>
    </w:p>
    <w:p w14:paraId="0E314117" w14:textId="77777777" w:rsidR="0012517E" w:rsidRDefault="0012517E" w:rsidP="002B1283">
      <w:pPr>
        <w:rPr>
          <w:rFonts w:ascii="Arial Black" w:hAnsi="Arial Black"/>
          <w:b/>
          <w:bCs/>
          <w:sz w:val="28"/>
          <w:szCs w:val="28"/>
        </w:rPr>
      </w:pPr>
    </w:p>
    <w:p w14:paraId="582A0735" w14:textId="77777777" w:rsidR="0012517E" w:rsidRDefault="0012517E" w:rsidP="002B1283">
      <w:pPr>
        <w:rPr>
          <w:rFonts w:ascii="Arial Black" w:hAnsi="Arial Black"/>
          <w:b/>
          <w:bCs/>
          <w:sz w:val="28"/>
          <w:szCs w:val="28"/>
        </w:rPr>
      </w:pPr>
    </w:p>
    <w:p w14:paraId="427194AE" w14:textId="59B03690" w:rsidR="0066298F" w:rsidRDefault="0066298F" w:rsidP="002B1283">
      <w:pPr>
        <w:rPr>
          <w:rFonts w:ascii="Arial Black" w:hAnsi="Arial Black"/>
          <w:b/>
          <w:bCs/>
          <w:sz w:val="28"/>
          <w:szCs w:val="28"/>
        </w:rPr>
      </w:pPr>
      <w:r>
        <w:rPr>
          <w:rFonts w:ascii="Arial Black" w:hAnsi="Arial Black"/>
          <w:b/>
          <w:bCs/>
          <w:sz w:val="28"/>
          <w:szCs w:val="28"/>
        </w:rPr>
        <w:t>13-46</w:t>
      </w:r>
    </w:p>
    <w:p w14:paraId="09B71252" w14:textId="0FB07371" w:rsidR="0066298F" w:rsidRPr="00F05611" w:rsidRDefault="0066298F" w:rsidP="0066298F">
      <w:pPr>
        <w:spacing w:before="100" w:beforeAutospacing="1" w:after="100" w:afterAutospacing="1" w:line="240" w:lineRule="auto"/>
        <w:rPr>
          <w:rFonts w:ascii="Arial Black" w:hAnsi="Arial Black"/>
          <w:b/>
          <w:bCs/>
          <w:sz w:val="28"/>
          <w:szCs w:val="28"/>
        </w:rPr>
      </w:pPr>
      <w:bookmarkStart w:id="472" w:name="_Hlk39819842"/>
      <w:r w:rsidRPr="00F05611">
        <w:rPr>
          <w:rFonts w:ascii="Arial Black" w:hAnsi="Arial Black"/>
          <w:b/>
          <w:bCs/>
          <w:sz w:val="28"/>
          <w:szCs w:val="28"/>
        </w:rPr>
        <w:t xml:space="preserve">FL: </w:t>
      </w:r>
      <w:r>
        <w:rPr>
          <w:rFonts w:ascii="Arial Black" w:hAnsi="Arial Black"/>
          <w:b/>
          <w:bCs/>
          <w:sz w:val="28"/>
          <w:szCs w:val="28"/>
        </w:rPr>
        <w:t xml:space="preserve"> </w:t>
      </w:r>
      <w:r w:rsidR="00F81147">
        <w:rPr>
          <w:rFonts w:ascii="Arial Black" w:hAnsi="Arial Black"/>
          <w:b/>
          <w:bCs/>
          <w:sz w:val="28"/>
          <w:szCs w:val="28"/>
        </w:rPr>
        <w:t xml:space="preserve">DEPUTY SHERIFF ORDERED CPR STOPPED – HANGING - LAWSUIT TO CONTINUE, NO QUALIFIED IMMUNITY                                                                                          </w:t>
      </w:r>
    </w:p>
    <w:p w14:paraId="4F46870A" w14:textId="77777777" w:rsidR="0066298F" w:rsidRDefault="0066298F" w:rsidP="0066298F">
      <w:pPr>
        <w:spacing w:before="100" w:beforeAutospacing="1" w:after="100" w:afterAutospacing="1" w:line="240" w:lineRule="auto"/>
        <w:rPr>
          <w:rFonts w:ascii="Times New Roman" w:hAnsi="Times New Roman"/>
          <w:sz w:val="24"/>
          <w:szCs w:val="24"/>
        </w:rPr>
      </w:pPr>
      <w:r w:rsidRPr="00F05611">
        <w:rPr>
          <w:rFonts w:ascii="Times New Roman" w:hAnsi="Times New Roman"/>
          <w:sz w:val="24"/>
          <w:szCs w:val="24"/>
        </w:rPr>
        <w:t xml:space="preserve">On </w:t>
      </w:r>
      <w:bookmarkStart w:id="473" w:name="_Hlk39849752"/>
      <w:r>
        <w:rPr>
          <w:rFonts w:ascii="Times New Roman" w:hAnsi="Times New Roman"/>
          <w:sz w:val="24"/>
          <w:szCs w:val="24"/>
        </w:rPr>
        <w:t xml:space="preserve">March 25, 2020, in </w:t>
      </w:r>
      <w:r w:rsidRPr="00F05611">
        <w:rPr>
          <w:rFonts w:ascii="Times New Roman" w:hAnsi="Times New Roman"/>
          <w:sz w:val="24"/>
          <w:szCs w:val="24"/>
          <w:u w:val="single"/>
        </w:rPr>
        <w:t>Jolene Waldron v. Gregory Spicher, Deputy</w:t>
      </w:r>
      <w:bookmarkEnd w:id="473"/>
      <w:r>
        <w:rPr>
          <w:rFonts w:ascii="Times New Roman" w:hAnsi="Times New Roman"/>
          <w:sz w:val="24"/>
          <w:szCs w:val="24"/>
        </w:rPr>
        <w:t xml:space="preserve">, the U.S. Court of Appeals for Eleventh Circuit (Atlanta), held (3 to 0) that the trial court properly denied Deputy Sheriff’s motion to dismiss the case based on qualified immunity.   The lawsuit may proceed, but mother of the deceased has very difficult burden to proving to a jury that the Deputy was not only reckless, but that he intended to cause death of her son.  </w:t>
      </w:r>
    </w:p>
    <w:p w14:paraId="5FB76DC3"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 xml:space="preserve">“Several minutes later, a fire truck and an ambulance arrived. Three paramedics—later identified as David Warren, Christensen, and Grisales—attempted to attend to Ybarra, but Spicher only allowed Warren to do so to ‘confirm the patient’s status.’ Warren testified that Spicher told him </w:t>
      </w:r>
      <w:proofErr w:type="gramStart"/>
      <w:r w:rsidRPr="00665BD0">
        <w:rPr>
          <w:rFonts w:ascii="Times New Roman" w:hAnsi="Times New Roman"/>
          <w:bCs/>
          <w:sz w:val="24"/>
          <w:szCs w:val="24"/>
        </w:rPr>
        <w:t>to ‘not</w:t>
      </w:r>
      <w:proofErr w:type="gramEnd"/>
      <w:r w:rsidRPr="00665BD0">
        <w:rPr>
          <w:rFonts w:ascii="Times New Roman" w:hAnsi="Times New Roman"/>
          <w:bCs/>
          <w:sz w:val="24"/>
          <w:szCs w:val="24"/>
        </w:rPr>
        <w:t xml:space="preserve"> touch the patient very much because this was . . . a crime </w:t>
      </w:r>
      <w:proofErr w:type="gramStart"/>
      <w:r w:rsidRPr="00665BD0">
        <w:rPr>
          <w:rFonts w:ascii="Times New Roman" w:hAnsi="Times New Roman"/>
          <w:bCs/>
          <w:sz w:val="24"/>
          <w:szCs w:val="24"/>
        </w:rPr>
        <w:t>scene.’</w:t>
      </w:r>
      <w:proofErr w:type="gramEnd"/>
      <w:r w:rsidRPr="00665BD0">
        <w:rPr>
          <w:rFonts w:ascii="Times New Roman" w:hAnsi="Times New Roman"/>
          <w:bCs/>
          <w:sz w:val="24"/>
          <w:szCs w:val="24"/>
        </w:rPr>
        <w:t xml:space="preserve">  Warren noted that Ybarra was ‘severely cyanotic and unresponsive’ and his neck was elongated. He assessed Ybarra with a Glasgow Coma Score of one in eyes, verbal, and motor, which was consistent with a deceased person’s score. Warren hooked up Ybarra to a heart monitor and noted a heart rate of 24 beats per minute, which he testified indicated organized electrical activity in the heart inconsistent with death. Warren called for Spicher to retrieve Lieutenant Christensen, but Spicher was on the phone and did not hear him, so Warren shouted louder, which finally brought Christiansen over. The two immediately recontinued CPR and began ‘manual C-spine immobilization,’ which was meant to hold Ybarra’s spine in line. Ybarra was then transported to the hospital, where he died a week later.</w:t>
      </w:r>
    </w:p>
    <w:p w14:paraId="1AFAB798" w14:textId="77777777" w:rsidR="0066298F" w:rsidRPr="00665BD0" w:rsidRDefault="0066298F" w:rsidP="0066298F">
      <w:pPr>
        <w:pStyle w:val="NoSpacing"/>
        <w:ind w:left="720"/>
        <w:rPr>
          <w:rFonts w:ascii="Times New Roman" w:hAnsi="Times New Roman"/>
          <w:b/>
          <w:bCs/>
          <w:sz w:val="24"/>
          <w:szCs w:val="24"/>
        </w:rPr>
      </w:pPr>
    </w:p>
    <w:p w14:paraId="1F620F53"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w:t>
      </w:r>
    </w:p>
    <w:p w14:paraId="0FF2931C" w14:textId="77777777" w:rsidR="0066298F" w:rsidRPr="00665BD0" w:rsidRDefault="0066298F" w:rsidP="0066298F">
      <w:pPr>
        <w:spacing w:before="100" w:beforeAutospacing="1" w:after="100" w:afterAutospacing="1" w:line="240" w:lineRule="auto"/>
        <w:ind w:left="720"/>
        <w:rPr>
          <w:rFonts w:ascii="Times New Roman" w:hAnsi="Times New Roman"/>
          <w:sz w:val="24"/>
          <w:szCs w:val="24"/>
        </w:rPr>
      </w:pPr>
      <w:r w:rsidRPr="00665BD0">
        <w:rPr>
          <w:rFonts w:ascii="Times New Roman" w:hAnsi="Times New Roman"/>
          <w:sz w:val="24"/>
          <w:szCs w:val="24"/>
        </w:rPr>
        <w:t xml:space="preserve">In this opinion, we have held that…Waldron cannot demonstrate that Spicher violated clearly established substantive due process rights without proving more than that Spicher acted with deliberate indifference or recklessness. But we have also held that, if the jury should find that Spicher acted for the purpose of causing harm to Ybarra, Waldron would have proved a violation of clearly established substantive due process rights.” </w:t>
      </w:r>
      <w:bookmarkStart w:id="474" w:name="_Hlk39849774"/>
      <w:r w:rsidR="00BC38B6">
        <w:fldChar w:fldCharType="begin"/>
      </w:r>
      <w:r w:rsidR="00BC38B6">
        <w:instrText xml:space="preserve"> HYPERLINK "http://media.ca11.uscourts.gov/opinions/pub/files/201814536.pdf" </w:instrText>
      </w:r>
      <w:r w:rsidR="00BC38B6">
        <w:fldChar w:fldCharType="separate"/>
      </w:r>
      <w:r w:rsidRPr="00665BD0">
        <w:rPr>
          <w:rStyle w:val="Hyperlink"/>
          <w:rFonts w:ascii="Times New Roman" w:hAnsi="Times New Roman"/>
          <w:sz w:val="24"/>
          <w:szCs w:val="24"/>
        </w:rPr>
        <w:t>http://media.ca11.uscourts.gov/opinions/pub/files/201814536.pdf</w:t>
      </w:r>
      <w:r w:rsidR="00BC38B6">
        <w:rPr>
          <w:rStyle w:val="Hyperlink"/>
          <w:rFonts w:ascii="Times New Roman" w:hAnsi="Times New Roman"/>
          <w:sz w:val="24"/>
          <w:szCs w:val="24"/>
        </w:rPr>
        <w:fldChar w:fldCharType="end"/>
      </w:r>
      <w:r w:rsidRPr="00665BD0">
        <w:rPr>
          <w:rFonts w:ascii="Times New Roman" w:hAnsi="Times New Roman"/>
          <w:sz w:val="24"/>
          <w:szCs w:val="24"/>
        </w:rPr>
        <w:t xml:space="preserve"> </w:t>
      </w:r>
    </w:p>
    <w:p w14:paraId="3CB33D6C" w14:textId="77777777" w:rsidR="0066298F" w:rsidRPr="00665BD0" w:rsidRDefault="0066298F" w:rsidP="0066298F">
      <w:pPr>
        <w:spacing w:before="100" w:beforeAutospacing="1" w:after="100" w:afterAutospacing="1" w:line="240" w:lineRule="auto"/>
        <w:rPr>
          <w:rFonts w:ascii="Times New Roman" w:hAnsi="Times New Roman"/>
          <w:b/>
          <w:bCs/>
          <w:sz w:val="24"/>
          <w:szCs w:val="24"/>
        </w:rPr>
      </w:pPr>
      <w:bookmarkStart w:id="475" w:name="_Hlk40514407"/>
      <w:bookmarkEnd w:id="472"/>
      <w:bookmarkEnd w:id="474"/>
      <w:r w:rsidRPr="00665BD0">
        <w:rPr>
          <w:rFonts w:ascii="Times New Roman" w:hAnsi="Times New Roman"/>
          <w:b/>
          <w:bCs/>
          <w:sz w:val="24"/>
          <w:szCs w:val="24"/>
        </w:rPr>
        <w:t xml:space="preserve">Legal Lessons Learned:  </w:t>
      </w:r>
      <w:r>
        <w:rPr>
          <w:rFonts w:ascii="Times New Roman" w:hAnsi="Times New Roman"/>
          <w:b/>
          <w:bCs/>
          <w:sz w:val="24"/>
          <w:szCs w:val="24"/>
        </w:rPr>
        <w:t xml:space="preserve">Terrible conduct by Deputy Sheriff, but </w:t>
      </w:r>
      <w:r w:rsidRPr="00665BD0">
        <w:rPr>
          <w:rFonts w:ascii="Times New Roman" w:hAnsi="Times New Roman"/>
          <w:b/>
          <w:bCs/>
          <w:sz w:val="24"/>
          <w:szCs w:val="24"/>
        </w:rPr>
        <w:t xml:space="preserve">plaintiff must </w:t>
      </w:r>
      <w:r>
        <w:rPr>
          <w:rFonts w:ascii="Times New Roman" w:hAnsi="Times New Roman"/>
          <w:b/>
          <w:bCs/>
          <w:sz w:val="24"/>
          <w:szCs w:val="24"/>
        </w:rPr>
        <w:t xml:space="preserve">now </w:t>
      </w:r>
      <w:r w:rsidRPr="00665BD0">
        <w:rPr>
          <w:rFonts w:ascii="Times New Roman" w:hAnsi="Times New Roman"/>
          <w:b/>
          <w:bCs/>
          <w:sz w:val="24"/>
          <w:szCs w:val="24"/>
        </w:rPr>
        <w:t xml:space="preserve">prove </w:t>
      </w:r>
      <w:r>
        <w:rPr>
          <w:rFonts w:ascii="Times New Roman" w:hAnsi="Times New Roman"/>
          <w:b/>
          <w:bCs/>
          <w:sz w:val="24"/>
          <w:szCs w:val="24"/>
        </w:rPr>
        <w:t xml:space="preserve">Deputy intended to harm the victim.  Hopefully this case settles prior to jury trial. </w:t>
      </w:r>
    </w:p>
    <w:bookmarkEnd w:id="475"/>
    <w:p w14:paraId="0D9D32BB" w14:textId="77777777" w:rsidR="0031119E" w:rsidRDefault="0031119E" w:rsidP="002B1283">
      <w:pPr>
        <w:rPr>
          <w:rFonts w:ascii="Arial Black" w:hAnsi="Arial Black"/>
          <w:b/>
          <w:bCs/>
          <w:sz w:val="28"/>
          <w:szCs w:val="28"/>
        </w:rPr>
      </w:pPr>
    </w:p>
    <w:p w14:paraId="6F780014" w14:textId="74F59D37" w:rsidR="007A1E7A" w:rsidRDefault="007A1E7A" w:rsidP="002B1283">
      <w:pPr>
        <w:rPr>
          <w:rFonts w:ascii="Arial Black" w:hAnsi="Arial Black"/>
          <w:b/>
          <w:bCs/>
          <w:sz w:val="28"/>
          <w:szCs w:val="28"/>
        </w:rPr>
      </w:pPr>
      <w:r>
        <w:rPr>
          <w:rFonts w:ascii="Arial Black" w:hAnsi="Arial Black"/>
          <w:b/>
          <w:bCs/>
          <w:sz w:val="28"/>
          <w:szCs w:val="28"/>
        </w:rPr>
        <w:t>13-45</w:t>
      </w:r>
    </w:p>
    <w:p w14:paraId="01BD9FEC" w14:textId="77777777" w:rsidR="007A1E7A" w:rsidRPr="00A514DF" w:rsidRDefault="007A1E7A" w:rsidP="007A1E7A">
      <w:pPr>
        <w:spacing w:before="100" w:beforeAutospacing="1" w:after="100" w:afterAutospacing="1" w:line="240" w:lineRule="auto"/>
        <w:rPr>
          <w:rFonts w:ascii="Arial Black" w:eastAsia="Times New Roman" w:hAnsi="Arial Black"/>
          <w:b/>
          <w:bCs/>
          <w:sz w:val="28"/>
          <w:szCs w:val="28"/>
        </w:rPr>
      </w:pPr>
      <w:r w:rsidRPr="00A514DF">
        <w:rPr>
          <w:rFonts w:ascii="Arial Black" w:eastAsia="Times New Roman" w:hAnsi="Arial Black"/>
          <w:b/>
          <w:bCs/>
          <w:sz w:val="28"/>
          <w:szCs w:val="28"/>
        </w:rPr>
        <w:t>IL</w:t>
      </w:r>
      <w:r>
        <w:rPr>
          <w:rFonts w:ascii="Arial Black" w:eastAsia="Times New Roman" w:hAnsi="Arial Black"/>
          <w:b/>
          <w:bCs/>
          <w:sz w:val="28"/>
          <w:szCs w:val="28"/>
        </w:rPr>
        <w:t>: OFF-DUTY PARAMEDIC - IN HOT TUB WITH FEMALE - SHE INJURED HEAD WHEN SLIPPED BATHROOM – CANNOT SUE CITY</w:t>
      </w:r>
    </w:p>
    <w:p w14:paraId="62ACCA3E" w14:textId="77777777" w:rsidR="007A1E7A" w:rsidRPr="00465FB3" w:rsidRDefault="007A1E7A" w:rsidP="007A1E7A">
      <w:pPr>
        <w:spacing w:before="100" w:beforeAutospacing="1" w:after="100" w:afterAutospacing="1" w:line="240" w:lineRule="auto"/>
        <w:rPr>
          <w:rFonts w:ascii="Times New Roman" w:hAnsi="Times New Roman"/>
          <w:sz w:val="24"/>
          <w:szCs w:val="24"/>
        </w:rPr>
      </w:pPr>
      <w:r w:rsidRPr="00465FB3">
        <w:rPr>
          <w:rFonts w:ascii="Times New Roman" w:eastAsia="Times New Roman" w:hAnsi="Times New Roman"/>
          <w:sz w:val="24"/>
          <w:szCs w:val="24"/>
        </w:rPr>
        <w:t xml:space="preserve">On Feb. 28, 2020, in </w:t>
      </w:r>
      <w:r w:rsidRPr="00465FB3">
        <w:rPr>
          <w:rFonts w:ascii="Times New Roman" w:eastAsia="Times New Roman" w:hAnsi="Times New Roman"/>
          <w:sz w:val="24"/>
          <w:szCs w:val="24"/>
          <w:u w:val="single"/>
        </w:rPr>
        <w:t xml:space="preserve">Kylie </w:t>
      </w:r>
      <w:proofErr w:type="spellStart"/>
      <w:r w:rsidRPr="00465FB3">
        <w:rPr>
          <w:rFonts w:ascii="Times New Roman" w:eastAsia="Times New Roman" w:hAnsi="Times New Roman"/>
          <w:sz w:val="24"/>
          <w:szCs w:val="24"/>
          <w:u w:val="single"/>
        </w:rPr>
        <w:t>Didonato</w:t>
      </w:r>
      <w:proofErr w:type="spellEnd"/>
      <w:r w:rsidRPr="00465FB3">
        <w:rPr>
          <w:rFonts w:ascii="Times New Roman" w:eastAsia="Times New Roman" w:hAnsi="Times New Roman"/>
          <w:sz w:val="24"/>
          <w:szCs w:val="24"/>
          <w:u w:val="single"/>
        </w:rPr>
        <w:t xml:space="preserve"> v. Tim Panatera and City of Chicago</w:t>
      </w:r>
      <w:r w:rsidRPr="00465FB3">
        <w:rPr>
          <w:rFonts w:ascii="Times New Roman" w:eastAsia="Times New Roman" w:hAnsi="Times New Roman"/>
          <w:sz w:val="24"/>
          <w:szCs w:val="24"/>
        </w:rPr>
        <w:t>, U.S. District Court Judge V</w:t>
      </w:r>
      <w:r w:rsidRPr="00465FB3">
        <w:rPr>
          <w:rFonts w:ascii="Times New Roman" w:hAnsi="Times New Roman"/>
          <w:sz w:val="24"/>
          <w:szCs w:val="24"/>
        </w:rPr>
        <w:t>irginia M. Kendall, Northern District of Illinois (Eastern Division), granted the motions to dismiss by the paramedic and the city.</w:t>
      </w:r>
    </w:p>
    <w:p w14:paraId="19D79E7F" w14:textId="77777777" w:rsidR="007A1E7A" w:rsidRPr="00465FB3" w:rsidRDefault="007A1E7A" w:rsidP="007A1E7A">
      <w:pPr>
        <w:spacing w:before="100" w:beforeAutospacing="1" w:after="100" w:afterAutospacing="1" w:line="240" w:lineRule="auto"/>
        <w:ind w:left="720"/>
        <w:rPr>
          <w:rFonts w:ascii="Times New Roman" w:hAnsi="Times New Roman"/>
          <w:sz w:val="24"/>
          <w:szCs w:val="24"/>
        </w:rPr>
      </w:pPr>
      <w:r w:rsidRPr="00465FB3">
        <w:rPr>
          <w:rFonts w:ascii="Times New Roman" w:hAnsi="Times New Roman"/>
          <w:sz w:val="24"/>
          <w:szCs w:val="24"/>
        </w:rPr>
        <w:lastRenderedPageBreak/>
        <w:t xml:space="preserve">“As this Court noted before, DiDonato's claim is that </w:t>
      </w:r>
      <w:proofErr w:type="spellStart"/>
      <w:r w:rsidRPr="00465FB3">
        <w:rPr>
          <w:rFonts w:ascii="Times New Roman" w:hAnsi="Times New Roman"/>
          <w:sz w:val="24"/>
          <w:szCs w:val="24"/>
        </w:rPr>
        <w:t>Panatera</w:t>
      </w:r>
      <w:proofErr w:type="spellEnd"/>
      <w:r w:rsidRPr="00465FB3">
        <w:rPr>
          <w:rFonts w:ascii="Times New Roman" w:hAnsi="Times New Roman"/>
          <w:sz w:val="24"/>
          <w:szCs w:val="24"/>
        </w:rPr>
        <w:t xml:space="preserve"> failed to do anything more than wrap her head in a towel and that he denied her proper medical care by failing to call 911 or taking her to a hospital for emergency care. (</w:t>
      </w:r>
      <w:proofErr w:type="spellStart"/>
      <w:r w:rsidRPr="00465FB3">
        <w:rPr>
          <w:rFonts w:ascii="Times New Roman" w:hAnsi="Times New Roman"/>
          <w:sz w:val="24"/>
          <w:szCs w:val="24"/>
        </w:rPr>
        <w:t>Dkt</w:t>
      </w:r>
      <w:proofErr w:type="spellEnd"/>
      <w:r w:rsidRPr="00465FB3">
        <w:rPr>
          <w:rFonts w:ascii="Times New Roman" w:hAnsi="Times New Roman"/>
          <w:sz w:val="24"/>
          <w:szCs w:val="24"/>
        </w:rPr>
        <w:t xml:space="preserve">. 37 at 10; </w:t>
      </w:r>
      <w:proofErr w:type="spellStart"/>
      <w:r w:rsidRPr="00465FB3">
        <w:rPr>
          <w:rFonts w:ascii="Times New Roman" w:hAnsi="Times New Roman"/>
          <w:sz w:val="24"/>
          <w:szCs w:val="24"/>
        </w:rPr>
        <w:t>Dkt</w:t>
      </w:r>
      <w:proofErr w:type="spellEnd"/>
      <w:r w:rsidRPr="00465FB3">
        <w:rPr>
          <w:rFonts w:ascii="Times New Roman" w:hAnsi="Times New Roman"/>
          <w:sz w:val="24"/>
          <w:szCs w:val="24"/>
        </w:rPr>
        <w:t xml:space="preserve">. 51 at 4; </w:t>
      </w:r>
      <w:proofErr w:type="spellStart"/>
      <w:r w:rsidRPr="00465FB3">
        <w:rPr>
          <w:rFonts w:ascii="Times New Roman" w:hAnsi="Times New Roman"/>
          <w:sz w:val="24"/>
          <w:szCs w:val="24"/>
        </w:rPr>
        <w:t>Dkt</w:t>
      </w:r>
      <w:proofErr w:type="spellEnd"/>
      <w:r w:rsidRPr="00465FB3">
        <w:rPr>
          <w:rFonts w:ascii="Times New Roman" w:hAnsi="Times New Roman"/>
          <w:sz w:val="24"/>
          <w:szCs w:val="24"/>
        </w:rPr>
        <w:t xml:space="preserve">. 52 at 3). This inaction, as DiDonato has alleged it, relates more to </w:t>
      </w:r>
      <w:proofErr w:type="spellStart"/>
      <w:r w:rsidRPr="00465FB3">
        <w:rPr>
          <w:rFonts w:ascii="Times New Roman" w:hAnsi="Times New Roman"/>
          <w:sz w:val="24"/>
          <w:szCs w:val="24"/>
        </w:rPr>
        <w:t>Panatera's</w:t>
      </w:r>
      <w:proofErr w:type="spellEnd"/>
      <w:r w:rsidRPr="00465FB3">
        <w:rPr>
          <w:rFonts w:ascii="Times New Roman" w:hAnsi="Times New Roman"/>
          <w:sz w:val="24"/>
          <w:szCs w:val="24"/>
        </w:rPr>
        <w:t xml:space="preserve"> role as a bystander than a paramedic, and actions unrelated to a state actor's official duties are not taken under color of </w:t>
      </w:r>
      <w:proofErr w:type="gramStart"/>
      <w:r w:rsidRPr="00465FB3">
        <w:rPr>
          <w:rFonts w:ascii="Times New Roman" w:hAnsi="Times New Roman"/>
          <w:sz w:val="24"/>
          <w:szCs w:val="24"/>
        </w:rPr>
        <w:t>law.”</w:t>
      </w:r>
      <w:proofErr w:type="gramEnd"/>
      <w:r w:rsidRPr="00465FB3">
        <w:rPr>
          <w:rFonts w:ascii="Times New Roman" w:hAnsi="Times New Roman"/>
          <w:sz w:val="24"/>
          <w:szCs w:val="24"/>
        </w:rPr>
        <w:t xml:space="preserve">  </w:t>
      </w:r>
      <w:hyperlink r:id="rId2397" w:history="1">
        <w:r w:rsidRPr="00465FB3">
          <w:rPr>
            <w:rStyle w:val="Hyperlink"/>
            <w:rFonts w:ascii="Times New Roman" w:hAnsi="Times New Roman"/>
            <w:sz w:val="24"/>
            <w:szCs w:val="24"/>
          </w:rPr>
          <w:t>https://public.fastcase.com/Wl%2B2t%2BeVuI35%2FN70vAMFZqKFItzKKJAOGXNCbwUcRCkzx%2FKqq12PgRkvPC2fj024</w:t>
        </w:r>
      </w:hyperlink>
      <w:r w:rsidRPr="00465FB3">
        <w:rPr>
          <w:rFonts w:ascii="Times New Roman" w:hAnsi="Times New Roman"/>
          <w:sz w:val="24"/>
          <w:szCs w:val="24"/>
        </w:rPr>
        <w:t xml:space="preserve"> </w:t>
      </w:r>
    </w:p>
    <w:p w14:paraId="06A65DFD" w14:textId="77777777" w:rsidR="007A1E7A" w:rsidRPr="00465FB3" w:rsidRDefault="007A1E7A" w:rsidP="007A1E7A">
      <w:pPr>
        <w:spacing w:before="100" w:beforeAutospacing="1" w:after="100" w:afterAutospacing="1" w:line="240" w:lineRule="auto"/>
        <w:rPr>
          <w:rFonts w:ascii="Times New Roman" w:hAnsi="Times New Roman"/>
          <w:b/>
          <w:bCs/>
          <w:sz w:val="24"/>
          <w:szCs w:val="24"/>
        </w:rPr>
      </w:pPr>
      <w:r w:rsidRPr="00465FB3">
        <w:rPr>
          <w:rFonts w:ascii="Times New Roman" w:eastAsia="Times New Roman" w:hAnsi="Times New Roman"/>
          <w:b/>
          <w:bCs/>
          <w:sz w:val="24"/>
          <w:szCs w:val="24"/>
        </w:rPr>
        <w:t xml:space="preserve">Legal Lessons Learned:  </w:t>
      </w:r>
      <w:r w:rsidRPr="00465FB3">
        <w:rPr>
          <w:rFonts w:ascii="Times New Roman" w:hAnsi="Times New Roman"/>
          <w:b/>
          <w:bCs/>
          <w:sz w:val="24"/>
          <w:szCs w:val="24"/>
        </w:rPr>
        <w:t xml:space="preserve">The Court had previously given plaintiff and opportunity to file an amended complaint: Aug. 20, 2019: </w:t>
      </w:r>
      <w:hyperlink r:id="rId2398" w:history="1">
        <w:r w:rsidRPr="00465FB3">
          <w:rPr>
            <w:rStyle w:val="Hyperlink"/>
            <w:rFonts w:ascii="Times New Roman" w:hAnsi="Times New Roman"/>
            <w:b/>
            <w:bCs/>
            <w:sz w:val="24"/>
            <w:szCs w:val="24"/>
          </w:rPr>
          <w:t>https://casetext.com/case/didonato-v-panatera</w:t>
        </w:r>
      </w:hyperlink>
      <w:r w:rsidRPr="00465FB3">
        <w:rPr>
          <w:rFonts w:ascii="Times New Roman" w:hAnsi="Times New Roman"/>
          <w:b/>
          <w:bCs/>
          <w:sz w:val="24"/>
          <w:szCs w:val="24"/>
        </w:rPr>
        <w:t xml:space="preserve"> . The case may now go back to State court on her claims against the paramedic (not the city) for negligence, assault, battery, and willful and wanton misconduct.</w:t>
      </w:r>
    </w:p>
    <w:p w14:paraId="29D23EBD" w14:textId="77777777" w:rsidR="007A1E7A" w:rsidRDefault="007A1E7A" w:rsidP="002B1283">
      <w:pPr>
        <w:rPr>
          <w:rFonts w:ascii="Arial Black" w:hAnsi="Arial Black"/>
          <w:b/>
          <w:bCs/>
          <w:sz w:val="28"/>
          <w:szCs w:val="28"/>
        </w:rPr>
      </w:pPr>
    </w:p>
    <w:p w14:paraId="2ECBFAAB" w14:textId="2BAC90B5" w:rsidR="007A1E7A" w:rsidRDefault="007A1E7A" w:rsidP="002B1283">
      <w:pPr>
        <w:rPr>
          <w:rFonts w:ascii="Arial Black" w:hAnsi="Arial Black"/>
          <w:b/>
          <w:bCs/>
          <w:sz w:val="28"/>
          <w:szCs w:val="28"/>
        </w:rPr>
      </w:pPr>
      <w:r>
        <w:rPr>
          <w:rFonts w:ascii="Arial Black" w:hAnsi="Arial Black"/>
          <w:b/>
          <w:bCs/>
          <w:sz w:val="28"/>
          <w:szCs w:val="28"/>
        </w:rPr>
        <w:t>13-44</w:t>
      </w:r>
    </w:p>
    <w:p w14:paraId="1C96A44A" w14:textId="77777777" w:rsidR="007A1E7A" w:rsidRPr="002C021D" w:rsidRDefault="007A1E7A" w:rsidP="007A1E7A">
      <w:pPr>
        <w:pStyle w:val="NoSpacing"/>
        <w:rPr>
          <w:rFonts w:ascii="Arial Black" w:hAnsi="Arial Black"/>
          <w:sz w:val="28"/>
          <w:szCs w:val="28"/>
        </w:rPr>
      </w:pPr>
      <w:r w:rsidRPr="002C021D">
        <w:rPr>
          <w:rFonts w:ascii="Arial Black" w:hAnsi="Arial Black"/>
          <w:sz w:val="28"/>
          <w:szCs w:val="28"/>
        </w:rPr>
        <w:t>NC</w:t>
      </w:r>
      <w:r>
        <w:rPr>
          <w:rFonts w:ascii="Arial Black" w:hAnsi="Arial Black"/>
          <w:sz w:val="28"/>
          <w:szCs w:val="28"/>
        </w:rPr>
        <w:t>: PARAMEDIC FIRED – ET TUBE PLACEMENT, MEDS – EMS BOARD REDUCED TO EMT-B – NOT RACE DISCRIMINATION</w:t>
      </w:r>
    </w:p>
    <w:p w14:paraId="5A2962DA" w14:textId="77777777" w:rsidR="007A1E7A" w:rsidRDefault="007A1E7A" w:rsidP="007A1E7A">
      <w:pPr>
        <w:pStyle w:val="NoSpacing"/>
        <w:rPr>
          <w:b/>
          <w:bCs/>
          <w:sz w:val="24"/>
          <w:szCs w:val="24"/>
        </w:rPr>
      </w:pPr>
    </w:p>
    <w:p w14:paraId="00C23957" w14:textId="77777777" w:rsidR="007A1E7A" w:rsidRPr="00465FB3" w:rsidRDefault="007A1E7A" w:rsidP="007A1E7A">
      <w:pPr>
        <w:pStyle w:val="NoSpacing"/>
        <w:rPr>
          <w:rFonts w:ascii="Times New Roman" w:hAnsi="Times New Roman"/>
          <w:b/>
          <w:bCs/>
          <w:sz w:val="24"/>
          <w:szCs w:val="24"/>
        </w:rPr>
      </w:pPr>
      <w:r w:rsidRPr="00465FB3">
        <w:rPr>
          <w:rFonts w:ascii="Times New Roman" w:hAnsi="Times New Roman"/>
          <w:bCs/>
          <w:sz w:val="24"/>
          <w:szCs w:val="24"/>
        </w:rPr>
        <w:t xml:space="preserve">On Feb. 11, 2020, in </w:t>
      </w:r>
      <w:r w:rsidRPr="00465FB3">
        <w:rPr>
          <w:rFonts w:ascii="Times New Roman" w:hAnsi="Times New Roman"/>
          <w:bCs/>
          <w:sz w:val="24"/>
          <w:szCs w:val="24"/>
          <w:u w:val="single"/>
        </w:rPr>
        <w:t>Danny Cade v. County of Bladen</w:t>
      </w:r>
      <w:r w:rsidRPr="00465FB3">
        <w:rPr>
          <w:rFonts w:ascii="Times New Roman" w:hAnsi="Times New Roman"/>
          <w:bCs/>
          <w:sz w:val="24"/>
          <w:szCs w:val="24"/>
        </w:rPr>
        <w:t xml:space="preserve">, U.S. District Court Judge Louise W. Flannigan, Eastern District of North Carolina (Western Division), granted the County’s motion for summary judgment, dismissing the race-discrimination lawsuit. </w:t>
      </w:r>
    </w:p>
    <w:p w14:paraId="361E608D" w14:textId="77777777" w:rsidR="007A1E7A" w:rsidRPr="00465FB3" w:rsidRDefault="007A1E7A" w:rsidP="007A1E7A">
      <w:pPr>
        <w:pStyle w:val="NoSpacing"/>
        <w:ind w:left="720"/>
        <w:rPr>
          <w:rFonts w:ascii="Times New Roman" w:hAnsi="Times New Roman"/>
          <w:b/>
          <w:bCs/>
          <w:sz w:val="24"/>
          <w:szCs w:val="24"/>
        </w:rPr>
      </w:pPr>
    </w:p>
    <w:p w14:paraId="466ABF90" w14:textId="77777777" w:rsidR="007A1E7A" w:rsidRDefault="007A1E7A" w:rsidP="007A1E7A">
      <w:pPr>
        <w:pStyle w:val="NoSpacing"/>
        <w:ind w:left="720"/>
        <w:rPr>
          <w:rFonts w:ascii="Times New Roman" w:hAnsi="Times New Roman"/>
          <w:bCs/>
          <w:sz w:val="24"/>
          <w:szCs w:val="24"/>
        </w:rPr>
      </w:pPr>
      <w:r w:rsidRPr="00465FB3">
        <w:rPr>
          <w:rFonts w:ascii="Times New Roman" w:hAnsi="Times New Roman"/>
          <w:bCs/>
          <w:sz w:val="24"/>
          <w:szCs w:val="24"/>
        </w:rPr>
        <w:t xml:space="preserve">“Defendant meets its burden by coming forward with legitimate nondiscriminatory reasons for plaintiff's suspension and termination. Bowman testified that, on January 27, 2017, plaintiff failed properly to use an endotracheal tube to help the patient breathe. (Bowman Dep. (DE 40-3, 43-3) 41:5-43:15, 48:16-49:10, 52:6-25). Bowman asked if any medication had been given, plaintiff responded he had administered two epinephrine pills, though all the epinephrine pills were still in the bag. (Bowman Dep. (DE 40-3, 43-3) </w:t>
      </w:r>
    </w:p>
    <w:p w14:paraId="0843E16A" w14:textId="77777777" w:rsidR="007A1E7A" w:rsidRDefault="007A1E7A" w:rsidP="007A1E7A">
      <w:pPr>
        <w:pStyle w:val="NoSpacing"/>
        <w:ind w:left="720"/>
        <w:rPr>
          <w:rFonts w:ascii="Times New Roman" w:hAnsi="Times New Roman"/>
          <w:bCs/>
          <w:sz w:val="24"/>
          <w:szCs w:val="24"/>
        </w:rPr>
      </w:pPr>
    </w:p>
    <w:p w14:paraId="2F2B5AC7" w14:textId="77777777" w:rsidR="007A1E7A" w:rsidRDefault="007A1E7A" w:rsidP="007A1E7A">
      <w:pPr>
        <w:pStyle w:val="NoSpacing"/>
        <w:ind w:left="720"/>
        <w:rPr>
          <w:rFonts w:ascii="Times New Roman" w:hAnsi="Times New Roman"/>
          <w:bCs/>
          <w:sz w:val="24"/>
          <w:szCs w:val="24"/>
        </w:rPr>
      </w:pPr>
    </w:p>
    <w:p w14:paraId="2D4651C5" w14:textId="77777777" w:rsidR="007A1E7A" w:rsidRPr="00465FB3" w:rsidRDefault="007A1E7A" w:rsidP="007A1E7A">
      <w:pPr>
        <w:pStyle w:val="NoSpacing"/>
        <w:ind w:left="720"/>
        <w:rPr>
          <w:rFonts w:ascii="Times New Roman" w:hAnsi="Times New Roman"/>
          <w:sz w:val="24"/>
          <w:szCs w:val="24"/>
        </w:rPr>
      </w:pPr>
      <w:r w:rsidRPr="00465FB3">
        <w:rPr>
          <w:rFonts w:ascii="Times New Roman" w:hAnsi="Times New Roman"/>
          <w:bCs/>
          <w:sz w:val="24"/>
          <w:szCs w:val="24"/>
        </w:rPr>
        <w:t xml:space="preserve">43:16-44:4, 48:9-15). Bowman testified that plaintiff failed properly to take a diagnostic of the patient's heart. (Bowman Dep. (DE 40-3, 43-3) 46:14-22, 59:1-11). Singletary, who was also on the call with plaintiff, and Bowman both filed reports identifying deficiencies in the care administered by plaintiff to the patient. (Cade Dep. (DE 40-2) Ex. 12, 13). *** A peer review committee was convened to review the call and determined that a state investigation was necessary regarding whether plaintiff failed to follow proper treatment protocol, negligently performed his duties, and falsified patient records. (Cade Dep. (DE 40-2) Ex. 15). Defendant suspended plaintiff without pay pending investigation of these issues by the state, and it explained that plaintiff's continued </w:t>
      </w:r>
      <w:proofErr w:type="gramStart"/>
      <w:r w:rsidRPr="00465FB3">
        <w:rPr>
          <w:rFonts w:ascii="Times New Roman" w:hAnsi="Times New Roman"/>
          <w:bCs/>
          <w:sz w:val="24"/>
          <w:szCs w:val="24"/>
        </w:rPr>
        <w:t>employed</w:t>
      </w:r>
      <w:proofErr w:type="gramEnd"/>
      <w:r w:rsidRPr="00465FB3">
        <w:rPr>
          <w:rFonts w:ascii="Times New Roman" w:hAnsi="Times New Roman"/>
          <w:bCs/>
          <w:sz w:val="24"/>
          <w:szCs w:val="24"/>
        </w:rPr>
        <w:t xml:space="preserve"> with the state would be contingent on the state findings of investigation. (Cade Dep. (DE 40-2) Ex. 15, 16). The state investigation </w:t>
      </w:r>
      <w:r w:rsidRPr="00465FB3">
        <w:rPr>
          <w:rFonts w:ascii="Times New Roman" w:eastAsia="Times New Roman" w:hAnsi="Times New Roman"/>
          <w:bCs/>
          <w:sz w:val="24"/>
          <w:szCs w:val="24"/>
        </w:rPr>
        <w:t xml:space="preserve">[by </w:t>
      </w:r>
      <w:r w:rsidRPr="00465FB3">
        <w:rPr>
          <w:rFonts w:ascii="Times New Roman" w:hAnsi="Times New Roman"/>
          <w:bCs/>
          <w:sz w:val="24"/>
          <w:szCs w:val="24"/>
        </w:rPr>
        <w:t>North Carolina Office of Emergency Medical Services]</w:t>
      </w:r>
      <w:r w:rsidRPr="00465FB3">
        <w:rPr>
          <w:rFonts w:ascii="Times New Roman" w:hAnsi="Times New Roman"/>
          <w:sz w:val="24"/>
          <w:szCs w:val="24"/>
        </w:rPr>
        <w:t xml:space="preserve"> </w:t>
      </w:r>
      <w:r w:rsidRPr="00465FB3">
        <w:rPr>
          <w:rFonts w:ascii="Times New Roman" w:hAnsi="Times New Roman"/>
          <w:bCs/>
          <w:sz w:val="24"/>
          <w:szCs w:val="24"/>
        </w:rPr>
        <w:t xml:space="preserve">found numerous deficiencies in plaintiff's performance on the job, determined that plaintiff falsified details of the call, and revoked plaintiff's EMT-P credential. (Cade Dep. (DE 40-2) Ex. 20). Relying on the same factual findings as the state, </w:t>
      </w:r>
      <w:proofErr w:type="gramStart"/>
      <w:r w:rsidRPr="00465FB3">
        <w:rPr>
          <w:rFonts w:ascii="Times New Roman" w:hAnsi="Times New Roman"/>
          <w:bCs/>
          <w:sz w:val="24"/>
          <w:szCs w:val="24"/>
        </w:rPr>
        <w:t>defendant</w:t>
      </w:r>
      <w:proofErr w:type="gramEnd"/>
      <w:r w:rsidRPr="00465FB3">
        <w:rPr>
          <w:rFonts w:ascii="Times New Roman" w:hAnsi="Times New Roman"/>
          <w:bCs/>
          <w:sz w:val="24"/>
          <w:szCs w:val="24"/>
        </w:rPr>
        <w:t xml:space="preserve"> terminated plaintiff's employment for violating county policy. (Cade Dep. (DE 40-2) Ex. 21, 22).”</w:t>
      </w:r>
      <w:r w:rsidRPr="00465FB3">
        <w:rPr>
          <w:rFonts w:ascii="Times New Roman" w:hAnsi="Times New Roman"/>
          <w:sz w:val="24"/>
          <w:szCs w:val="24"/>
        </w:rPr>
        <w:t xml:space="preserve"> </w:t>
      </w:r>
      <w:hyperlink r:id="rId2399" w:history="1">
        <w:r w:rsidRPr="00465FB3">
          <w:rPr>
            <w:rStyle w:val="Hyperlink"/>
            <w:rFonts w:ascii="Times New Roman" w:hAnsi="Times New Roman"/>
            <w:bCs/>
            <w:sz w:val="24"/>
            <w:szCs w:val="24"/>
          </w:rPr>
          <w:t>https://public.fastcase.com/Wl%2B2t%2BeVuI35%2FN70vAMFZiXFpIhEfmm%2F8CTY%2Fzzj67xZNFbM2CzcHQjFO%2Fg%2BhpjG</w:t>
        </w:r>
      </w:hyperlink>
      <w:r w:rsidRPr="00465FB3">
        <w:rPr>
          <w:rFonts w:ascii="Times New Roman" w:hAnsi="Times New Roman"/>
          <w:bCs/>
          <w:sz w:val="24"/>
          <w:szCs w:val="24"/>
        </w:rPr>
        <w:t xml:space="preserve"> </w:t>
      </w:r>
    </w:p>
    <w:p w14:paraId="263C0693" w14:textId="77777777" w:rsidR="007A1E7A" w:rsidRPr="00465FB3" w:rsidRDefault="007A1E7A" w:rsidP="007A1E7A">
      <w:pPr>
        <w:spacing w:before="100" w:beforeAutospacing="1" w:after="100" w:afterAutospacing="1" w:line="240" w:lineRule="auto"/>
        <w:rPr>
          <w:rFonts w:ascii="Times New Roman" w:eastAsia="Times New Roman" w:hAnsi="Times New Roman"/>
          <w:b/>
          <w:bCs/>
          <w:sz w:val="24"/>
          <w:szCs w:val="24"/>
        </w:rPr>
      </w:pPr>
      <w:r w:rsidRPr="00465FB3">
        <w:rPr>
          <w:rFonts w:ascii="Times New Roman" w:eastAsia="Times New Roman" w:hAnsi="Times New Roman"/>
          <w:b/>
          <w:bCs/>
          <w:sz w:val="24"/>
          <w:szCs w:val="24"/>
        </w:rPr>
        <w:t xml:space="preserve">Legal Lessons Learned: The EMS Department properly notified State EMS Board of serious violations of protocol; suspended Medic and awaited state investigation before terminating the Medic. </w:t>
      </w:r>
    </w:p>
    <w:p w14:paraId="659D2EA1" w14:textId="77777777" w:rsidR="007A1E7A" w:rsidRDefault="007A1E7A" w:rsidP="002B1283">
      <w:pPr>
        <w:rPr>
          <w:rFonts w:ascii="Arial Black" w:hAnsi="Arial Black"/>
          <w:b/>
          <w:bCs/>
          <w:sz w:val="28"/>
          <w:szCs w:val="28"/>
        </w:rPr>
      </w:pPr>
    </w:p>
    <w:p w14:paraId="5C29A0F3" w14:textId="11E6FDA4" w:rsidR="00021E64" w:rsidRDefault="00021E64" w:rsidP="002B1283">
      <w:pPr>
        <w:rPr>
          <w:rFonts w:ascii="Arial Black" w:hAnsi="Arial Black"/>
          <w:b/>
          <w:bCs/>
          <w:sz w:val="28"/>
          <w:szCs w:val="28"/>
        </w:rPr>
      </w:pPr>
      <w:r>
        <w:rPr>
          <w:rFonts w:ascii="Arial Black" w:hAnsi="Arial Black"/>
          <w:b/>
          <w:bCs/>
          <w:sz w:val="28"/>
          <w:szCs w:val="28"/>
        </w:rPr>
        <w:t>13-4</w:t>
      </w:r>
      <w:r w:rsidR="007A1E7A">
        <w:rPr>
          <w:rFonts w:ascii="Arial Black" w:hAnsi="Arial Black"/>
          <w:b/>
          <w:bCs/>
          <w:sz w:val="28"/>
          <w:szCs w:val="28"/>
        </w:rPr>
        <w:t>3</w:t>
      </w:r>
    </w:p>
    <w:p w14:paraId="20BAA0F2" w14:textId="77777777" w:rsidR="00021E64" w:rsidRPr="00E72B44" w:rsidRDefault="00021E64" w:rsidP="00021E64">
      <w:pPr>
        <w:pStyle w:val="NoSpacing"/>
        <w:rPr>
          <w:rFonts w:ascii="Arial Black" w:hAnsi="Arial Black"/>
          <w:b/>
          <w:bCs/>
          <w:sz w:val="28"/>
          <w:szCs w:val="28"/>
        </w:rPr>
      </w:pPr>
      <w:bookmarkStart w:id="476" w:name="_Hlk39819998"/>
      <w:r w:rsidRPr="00E72B44">
        <w:rPr>
          <w:rFonts w:ascii="Arial Black" w:hAnsi="Arial Black"/>
          <w:bCs/>
          <w:sz w:val="28"/>
          <w:szCs w:val="28"/>
        </w:rPr>
        <w:t xml:space="preserve">TN: </w:t>
      </w:r>
      <w:r>
        <w:rPr>
          <w:rFonts w:ascii="Arial Black" w:hAnsi="Arial Black"/>
          <w:bCs/>
          <w:sz w:val="28"/>
          <w:szCs w:val="28"/>
        </w:rPr>
        <w:t>COMBATIVE PATIENT – PD RESTRAINED PATIENT - EMS USED SUCCINYLCHOLINE – QUALIFIED IMMUNITY, FOLLOWED PROTOCOL</w:t>
      </w:r>
    </w:p>
    <w:p w14:paraId="32BD2361" w14:textId="77777777" w:rsidR="00021E64" w:rsidRDefault="00021E64" w:rsidP="00021E64">
      <w:pPr>
        <w:pStyle w:val="NoSpacing"/>
        <w:ind w:left="720"/>
        <w:rPr>
          <w:b/>
          <w:bCs/>
          <w:sz w:val="24"/>
          <w:szCs w:val="24"/>
        </w:rPr>
      </w:pPr>
    </w:p>
    <w:p w14:paraId="1D03144F" w14:textId="77777777" w:rsidR="00021E64" w:rsidRPr="004236BE" w:rsidRDefault="00021E64" w:rsidP="00021E64">
      <w:pPr>
        <w:pStyle w:val="NoSpacing"/>
        <w:rPr>
          <w:rFonts w:ascii="Times New Roman" w:hAnsi="Times New Roman"/>
          <w:b/>
          <w:bCs/>
          <w:sz w:val="24"/>
          <w:szCs w:val="24"/>
        </w:rPr>
      </w:pPr>
      <w:r w:rsidRPr="004236BE">
        <w:rPr>
          <w:rFonts w:ascii="Times New Roman" w:hAnsi="Times New Roman"/>
          <w:bCs/>
          <w:sz w:val="24"/>
          <w:szCs w:val="24"/>
        </w:rPr>
        <w:t xml:space="preserve">On Jan. 21, 2020, in </w:t>
      </w:r>
      <w:r w:rsidRPr="004236BE">
        <w:rPr>
          <w:rFonts w:ascii="Times New Roman" w:hAnsi="Times New Roman"/>
          <w:bCs/>
          <w:sz w:val="24"/>
          <w:szCs w:val="24"/>
          <w:u w:val="single"/>
        </w:rPr>
        <w:t>Estate of Dustin Barnwell v. Mitchell Grigsby, et al</w:t>
      </w:r>
      <w:r w:rsidRPr="004236BE">
        <w:rPr>
          <w:rFonts w:ascii="Times New Roman" w:hAnsi="Times New Roman"/>
          <w:bCs/>
          <w:sz w:val="24"/>
          <w:szCs w:val="24"/>
        </w:rPr>
        <w:t xml:space="preserve">., the U.S. Court of Appeals for the Sixth Circuit (Cincinnati, OH) held 3 to 0 that the U.S. District Court judge, after three days of trial before a jury, properly dismissed the lawsuit against police and paramedics. </w:t>
      </w:r>
    </w:p>
    <w:p w14:paraId="1A2EECE6" w14:textId="77777777" w:rsidR="00021E64" w:rsidRPr="004236BE" w:rsidRDefault="00021E64" w:rsidP="00021E64">
      <w:pPr>
        <w:pStyle w:val="NoSpacing"/>
        <w:ind w:left="720"/>
        <w:rPr>
          <w:rFonts w:ascii="Times New Roman" w:hAnsi="Times New Roman"/>
          <w:b/>
          <w:bCs/>
          <w:sz w:val="24"/>
          <w:szCs w:val="24"/>
        </w:rPr>
      </w:pPr>
    </w:p>
    <w:p w14:paraId="1542F100" w14:textId="77777777" w:rsidR="00021E64" w:rsidRPr="004236BE" w:rsidRDefault="00021E64" w:rsidP="00021E64">
      <w:pPr>
        <w:pStyle w:val="NoSpacing"/>
        <w:ind w:left="720"/>
        <w:rPr>
          <w:rFonts w:ascii="Times New Roman" w:hAnsi="Times New Roman"/>
          <w:b/>
          <w:bCs/>
          <w:sz w:val="24"/>
          <w:szCs w:val="24"/>
        </w:rPr>
      </w:pPr>
      <w:r w:rsidRPr="004236BE">
        <w:rPr>
          <w:rFonts w:ascii="Times New Roman" w:hAnsi="Times New Roman"/>
          <w:bCs/>
          <w:sz w:val="24"/>
          <w:szCs w:val="24"/>
        </w:rPr>
        <w:t xml:space="preserve">“After three days of trial, the district court found that the defendants’ entitlement to qualified immunity resolved the ultimate issue in the case: whether administration of succinylcholine to Barnwell constituted </w:t>
      </w:r>
      <w:proofErr w:type="gramStart"/>
      <w:r w:rsidRPr="004236BE">
        <w:rPr>
          <w:rFonts w:ascii="Times New Roman" w:hAnsi="Times New Roman"/>
          <w:bCs/>
          <w:sz w:val="24"/>
          <w:szCs w:val="24"/>
        </w:rPr>
        <w:t>constitutionally-impermissible</w:t>
      </w:r>
      <w:proofErr w:type="gramEnd"/>
      <w:r w:rsidRPr="004236BE">
        <w:rPr>
          <w:rFonts w:ascii="Times New Roman" w:hAnsi="Times New Roman"/>
          <w:bCs/>
          <w:sz w:val="24"/>
          <w:szCs w:val="24"/>
        </w:rPr>
        <w:t xml:space="preserve"> excessive force. The district court properly viewed the evidence in the light most favorable to Gilmore and found that there was no legally sufficient basis fora reasonable jury to find for Gilmore on the ultimate issue in the case.”</w:t>
      </w:r>
      <w:r w:rsidRPr="004236BE">
        <w:rPr>
          <w:rFonts w:ascii="Times New Roman" w:hAnsi="Times New Roman"/>
          <w:sz w:val="24"/>
          <w:szCs w:val="24"/>
        </w:rPr>
        <w:t xml:space="preserve"> </w:t>
      </w:r>
      <w:hyperlink r:id="rId2400" w:history="1">
        <w:r w:rsidRPr="004236BE">
          <w:rPr>
            <w:rStyle w:val="Hyperlink"/>
            <w:rFonts w:ascii="Times New Roman" w:hAnsi="Times New Roman"/>
            <w:b/>
            <w:sz w:val="24"/>
            <w:szCs w:val="24"/>
          </w:rPr>
          <w:t>https://cases.justia.com/federal/appellate-courts/ca6/18-5480/18-5480-2020-01-21.pdf?ts=1579627818</w:t>
        </w:r>
      </w:hyperlink>
      <w:r w:rsidRPr="004236BE">
        <w:rPr>
          <w:rFonts w:ascii="Times New Roman" w:hAnsi="Times New Roman"/>
          <w:bCs/>
          <w:sz w:val="24"/>
          <w:szCs w:val="24"/>
        </w:rPr>
        <w:t xml:space="preserve"> </w:t>
      </w:r>
    </w:p>
    <w:bookmarkEnd w:id="476"/>
    <w:p w14:paraId="7D77084D" w14:textId="77777777" w:rsidR="00021E64" w:rsidRDefault="00021E64" w:rsidP="00021E64">
      <w:pPr>
        <w:pStyle w:val="NoSpacing"/>
        <w:rPr>
          <w:rFonts w:ascii="Times New Roman" w:hAnsi="Times New Roman"/>
          <w:b/>
          <w:bCs/>
          <w:sz w:val="24"/>
          <w:szCs w:val="24"/>
        </w:rPr>
      </w:pPr>
    </w:p>
    <w:p w14:paraId="3D79DD9D" w14:textId="0737A9BA" w:rsidR="00021E64" w:rsidRPr="004236BE" w:rsidRDefault="00021E64" w:rsidP="00021E64">
      <w:pPr>
        <w:pStyle w:val="NoSpacing"/>
        <w:rPr>
          <w:rFonts w:ascii="Times New Roman" w:eastAsia="Times New Roman" w:hAnsi="Times New Roman"/>
          <w:b/>
          <w:bCs/>
          <w:sz w:val="24"/>
          <w:szCs w:val="24"/>
        </w:rPr>
      </w:pPr>
      <w:bookmarkStart w:id="477" w:name="_Hlk40514480"/>
      <w:r w:rsidRPr="004236BE">
        <w:rPr>
          <w:rFonts w:ascii="Times New Roman" w:hAnsi="Times New Roman"/>
          <w:b/>
          <w:bCs/>
          <w:sz w:val="24"/>
          <w:szCs w:val="24"/>
        </w:rPr>
        <w:t xml:space="preserve">Legal Lessons Learned: Thoroughly document details about the combative patient, and </w:t>
      </w:r>
      <w:r>
        <w:rPr>
          <w:rFonts w:ascii="Times New Roman" w:hAnsi="Times New Roman"/>
          <w:b/>
          <w:bCs/>
          <w:sz w:val="24"/>
          <w:szCs w:val="24"/>
        </w:rPr>
        <w:t xml:space="preserve">protocol on </w:t>
      </w:r>
      <w:r w:rsidRPr="004236BE">
        <w:rPr>
          <w:rFonts w:ascii="Times New Roman" w:hAnsi="Times New Roman"/>
          <w:b/>
          <w:bCs/>
          <w:sz w:val="24"/>
          <w:szCs w:val="24"/>
        </w:rPr>
        <w:t xml:space="preserve">meds administered </w:t>
      </w:r>
      <w:r>
        <w:rPr>
          <w:rFonts w:ascii="Times New Roman" w:hAnsi="Times New Roman"/>
          <w:b/>
          <w:bCs/>
          <w:sz w:val="24"/>
          <w:szCs w:val="24"/>
        </w:rPr>
        <w:t xml:space="preserve">was followed. </w:t>
      </w:r>
    </w:p>
    <w:p w14:paraId="531D28FF" w14:textId="77777777" w:rsidR="00021E64" w:rsidRDefault="00021E64" w:rsidP="002B1283">
      <w:pPr>
        <w:rPr>
          <w:rFonts w:ascii="Arial Black" w:hAnsi="Arial Black"/>
          <w:b/>
          <w:bCs/>
          <w:sz w:val="28"/>
          <w:szCs w:val="28"/>
        </w:rPr>
      </w:pPr>
    </w:p>
    <w:bookmarkEnd w:id="477"/>
    <w:p w14:paraId="305E8D18" w14:textId="77777777" w:rsidR="00021E64" w:rsidRDefault="00021E64" w:rsidP="00DE0F03">
      <w:pPr>
        <w:pStyle w:val="NoSpacing"/>
        <w:rPr>
          <w:rFonts w:ascii="Arial Black" w:hAnsi="Arial Black"/>
          <w:sz w:val="24"/>
          <w:szCs w:val="24"/>
        </w:rPr>
      </w:pPr>
    </w:p>
    <w:p w14:paraId="5269B26C" w14:textId="5A8944E7" w:rsidR="00420322" w:rsidRDefault="00420322" w:rsidP="00DE0F03">
      <w:pPr>
        <w:pStyle w:val="NoSpacing"/>
        <w:rPr>
          <w:rFonts w:ascii="Arial Black" w:hAnsi="Arial Black"/>
          <w:sz w:val="24"/>
          <w:szCs w:val="24"/>
        </w:rPr>
      </w:pPr>
      <w:r>
        <w:rPr>
          <w:rFonts w:ascii="Arial Black" w:hAnsi="Arial Black"/>
          <w:sz w:val="24"/>
          <w:szCs w:val="24"/>
        </w:rPr>
        <w:t>13-4</w:t>
      </w:r>
      <w:r w:rsidR="007A1E7A">
        <w:rPr>
          <w:rFonts w:ascii="Arial Black" w:hAnsi="Arial Black"/>
          <w:sz w:val="24"/>
          <w:szCs w:val="24"/>
        </w:rPr>
        <w:t>2</w:t>
      </w:r>
    </w:p>
    <w:p w14:paraId="03855AE1" w14:textId="2DFC2981" w:rsidR="00420322" w:rsidRDefault="00420322" w:rsidP="00DE0F03">
      <w:pPr>
        <w:pStyle w:val="NoSpacing"/>
        <w:rPr>
          <w:rFonts w:ascii="Arial Black" w:hAnsi="Arial Black"/>
          <w:sz w:val="24"/>
          <w:szCs w:val="24"/>
        </w:rPr>
      </w:pPr>
    </w:p>
    <w:p w14:paraId="5C0F8BD1" w14:textId="6EF9963B" w:rsidR="00420322" w:rsidRPr="00F81147" w:rsidRDefault="00420322" w:rsidP="00420322">
      <w:pPr>
        <w:rPr>
          <w:rFonts w:ascii="Arial Black" w:hAnsi="Arial Black"/>
          <w:sz w:val="28"/>
          <w:szCs w:val="28"/>
        </w:rPr>
      </w:pPr>
      <w:bookmarkStart w:id="478" w:name="_Hlk39820349"/>
      <w:bookmarkStart w:id="479" w:name="_Hlk41297971"/>
      <w:r w:rsidRPr="00AF53CE">
        <w:rPr>
          <w:rFonts w:ascii="Arial Black" w:hAnsi="Arial Black"/>
          <w:sz w:val="28"/>
          <w:szCs w:val="28"/>
        </w:rPr>
        <w:t xml:space="preserve">GA: </w:t>
      </w:r>
      <w:r>
        <w:rPr>
          <w:rFonts w:ascii="Arial Black" w:hAnsi="Arial Black"/>
          <w:sz w:val="28"/>
          <w:szCs w:val="28"/>
        </w:rPr>
        <w:t>EMT – OBJECTED WHEN TOLD TO FALSIFY PATIENTS CAN’T WALK – LATER FIRED, DIDN’T INFORM DIR. 2</w:t>
      </w:r>
      <w:r w:rsidRPr="00AC5D85">
        <w:rPr>
          <w:rFonts w:ascii="Arial Black" w:hAnsi="Arial Black"/>
          <w:sz w:val="28"/>
          <w:szCs w:val="28"/>
          <w:vertAlign w:val="superscript"/>
        </w:rPr>
        <w:t>nd</w:t>
      </w:r>
      <w:r>
        <w:rPr>
          <w:rFonts w:ascii="Arial Black" w:hAnsi="Arial Black"/>
          <w:sz w:val="28"/>
          <w:szCs w:val="28"/>
        </w:rPr>
        <w:t xml:space="preserve"> EMS JOB – NO RETALIATION </w:t>
      </w:r>
      <w:r w:rsidR="00F81147">
        <w:rPr>
          <w:rFonts w:ascii="Arial Black" w:hAnsi="Arial Black"/>
          <w:sz w:val="28"/>
          <w:szCs w:val="28"/>
        </w:rPr>
        <w:t xml:space="preserve">                                                                                              </w:t>
      </w:r>
      <w:r>
        <w:rPr>
          <w:rFonts w:ascii="Times New Roman" w:hAnsi="Times New Roman"/>
          <w:sz w:val="24"/>
          <w:szCs w:val="24"/>
        </w:rPr>
        <w:t xml:space="preserve">On Jan. 3, 2020, in </w:t>
      </w:r>
      <w:r w:rsidRPr="00AF53CE">
        <w:rPr>
          <w:rFonts w:ascii="Times New Roman" w:hAnsi="Times New Roman"/>
          <w:sz w:val="24"/>
          <w:szCs w:val="24"/>
          <w:u w:val="single"/>
        </w:rPr>
        <w:t>Jamie Nesbitt v. Chandler County, GA, d.b.a. Chandler County Ambulance Service</w:t>
      </w:r>
      <w:r>
        <w:rPr>
          <w:rFonts w:ascii="Times New Roman" w:hAnsi="Times New Roman"/>
          <w:sz w:val="24"/>
          <w:szCs w:val="24"/>
        </w:rPr>
        <w:t>, the U.S. Court of Appeals for the 11</w:t>
      </w:r>
      <w:r w:rsidRPr="00AF53CE">
        <w:rPr>
          <w:rFonts w:ascii="Times New Roman" w:hAnsi="Times New Roman"/>
          <w:sz w:val="24"/>
          <w:szCs w:val="24"/>
          <w:vertAlign w:val="superscript"/>
        </w:rPr>
        <w:t>th</w:t>
      </w:r>
      <w:r>
        <w:rPr>
          <w:rFonts w:ascii="Times New Roman" w:hAnsi="Times New Roman"/>
          <w:sz w:val="24"/>
          <w:szCs w:val="24"/>
        </w:rPr>
        <w:t xml:space="preserve"> Circuit (Atlanta) held 3 to 0 that the U.S. District Court judge properly dismissed the EMT’s False Claims Act lawsuit claiming retaliation.  He was fired for having an undisclosed second job working for a private ambulance company; no proof that “but for” his being a whistleblower he would have been fired. </w:t>
      </w:r>
    </w:p>
    <w:p w14:paraId="5B73BD32" w14:textId="77777777" w:rsidR="00420322" w:rsidRPr="00127858" w:rsidRDefault="00420322" w:rsidP="00420322">
      <w:pPr>
        <w:ind w:left="720"/>
        <w:rPr>
          <w:rFonts w:ascii="Times New Roman" w:hAnsi="Times New Roman"/>
          <w:sz w:val="24"/>
          <w:szCs w:val="24"/>
        </w:rPr>
      </w:pPr>
      <w:r>
        <w:rPr>
          <w:rFonts w:ascii="Times New Roman" w:hAnsi="Times New Roman"/>
          <w:sz w:val="24"/>
          <w:szCs w:val="24"/>
        </w:rPr>
        <w:t>“</w:t>
      </w:r>
      <w:r w:rsidRPr="00127858">
        <w:rPr>
          <w:rFonts w:ascii="Times New Roman" w:hAnsi="Times New Roman"/>
          <w:sz w:val="24"/>
          <w:szCs w:val="24"/>
        </w:rPr>
        <w:t xml:space="preserve">According to Nesbitt, when Greer became the deputy </w:t>
      </w:r>
      <w:proofErr w:type="gramStart"/>
      <w:r w:rsidRPr="00127858">
        <w:rPr>
          <w:rFonts w:ascii="Times New Roman" w:hAnsi="Times New Roman"/>
          <w:sz w:val="24"/>
          <w:szCs w:val="24"/>
        </w:rPr>
        <w:t>director</w:t>
      </w:r>
      <w:proofErr w:type="gramEnd"/>
      <w:r w:rsidRPr="00127858">
        <w:rPr>
          <w:rFonts w:ascii="Times New Roman" w:hAnsi="Times New Roman"/>
          <w:sz w:val="24"/>
          <w:szCs w:val="24"/>
        </w:rPr>
        <w:t xml:space="preserve"> he started pressuring the EMTs to write in their report narratives that patients were unable to walk, even if they could. That </w:t>
      </w:r>
      <w:proofErr w:type="gramStart"/>
      <w:r w:rsidRPr="00127858">
        <w:rPr>
          <w:rFonts w:ascii="Times New Roman" w:hAnsi="Times New Roman"/>
          <w:sz w:val="24"/>
          <w:szCs w:val="24"/>
        </w:rPr>
        <w:t>way</w:t>
      </w:r>
      <w:proofErr w:type="gramEnd"/>
      <w:r w:rsidRPr="00127858">
        <w:rPr>
          <w:rFonts w:ascii="Times New Roman" w:hAnsi="Times New Roman"/>
          <w:sz w:val="24"/>
          <w:szCs w:val="24"/>
        </w:rPr>
        <w:t xml:space="preserve"> Medicare would pay for more trips. Nesbitt believed that Greer was asking him to commit fraud, so he began complaining to Greer himself and other County officials.  *** The County had a policy prohibiting EMTs from working side jobs without the approval of the ambulance service director. Greer was not the director, David Moore was. Nesbitt assumed that Moore somehow knew about his other job, but there’s no evidence that Moore did know about it, much less that he approved it.</w:t>
      </w:r>
      <w:r>
        <w:rPr>
          <w:rFonts w:ascii="Times New Roman" w:hAnsi="Times New Roman"/>
          <w:sz w:val="24"/>
          <w:szCs w:val="24"/>
        </w:rPr>
        <w:t xml:space="preserve">” </w:t>
      </w:r>
      <w:bookmarkStart w:id="480" w:name="_Hlk41151938"/>
      <w:r w:rsidR="00F37A4B">
        <w:fldChar w:fldCharType="begin"/>
      </w:r>
      <w:r w:rsidR="00F37A4B">
        <w:instrText xml:space="preserve"> HYPERLINK "http://media.ca11.uscourts.gov/opinions/pub/files/201814484.pdf" </w:instrText>
      </w:r>
      <w:r w:rsidR="00F37A4B">
        <w:fldChar w:fldCharType="separate"/>
      </w:r>
      <w:r w:rsidRPr="00631896">
        <w:rPr>
          <w:rStyle w:val="Hyperlink"/>
          <w:rFonts w:ascii="Times New Roman" w:hAnsi="Times New Roman"/>
          <w:sz w:val="24"/>
          <w:szCs w:val="24"/>
        </w:rPr>
        <w:t>http://media.ca11.uscourts.gov/opinions/pub/files/201814484.pdf</w:t>
      </w:r>
      <w:r w:rsidR="00F37A4B">
        <w:rPr>
          <w:rStyle w:val="Hyperlink"/>
          <w:rFonts w:ascii="Times New Roman" w:hAnsi="Times New Roman"/>
          <w:sz w:val="24"/>
          <w:szCs w:val="24"/>
        </w:rPr>
        <w:fldChar w:fldCharType="end"/>
      </w:r>
      <w:r>
        <w:rPr>
          <w:rFonts w:ascii="Times New Roman" w:hAnsi="Times New Roman"/>
          <w:sz w:val="24"/>
          <w:szCs w:val="24"/>
        </w:rPr>
        <w:t xml:space="preserve"> </w:t>
      </w:r>
    </w:p>
    <w:bookmarkEnd w:id="478"/>
    <w:p w14:paraId="3DD10371" w14:textId="4B44F376" w:rsidR="00420322" w:rsidRPr="00F37A4B" w:rsidRDefault="00F37A4B" w:rsidP="00DE0F03">
      <w:pPr>
        <w:pStyle w:val="NoSpacing"/>
        <w:rPr>
          <w:rFonts w:ascii="Times New Roman" w:hAnsi="Times New Roman"/>
          <w:b/>
          <w:bCs/>
          <w:sz w:val="24"/>
          <w:szCs w:val="24"/>
        </w:rPr>
      </w:pPr>
      <w:r w:rsidRPr="00F37A4B">
        <w:rPr>
          <w:rFonts w:ascii="Times New Roman" w:hAnsi="Times New Roman"/>
          <w:b/>
          <w:bCs/>
          <w:sz w:val="24"/>
          <w:szCs w:val="24"/>
        </w:rPr>
        <w:t xml:space="preserve">Legal Lessons Learned: </w:t>
      </w:r>
      <w:r>
        <w:rPr>
          <w:rFonts w:ascii="Times New Roman" w:hAnsi="Times New Roman"/>
          <w:b/>
          <w:bCs/>
          <w:sz w:val="24"/>
          <w:szCs w:val="24"/>
        </w:rPr>
        <w:t xml:space="preserve"> Employer had basis for termination. </w:t>
      </w:r>
    </w:p>
    <w:bookmarkEnd w:id="480"/>
    <w:p w14:paraId="51A03752" w14:textId="77777777" w:rsidR="00420322" w:rsidRDefault="00420322" w:rsidP="00DE0F03">
      <w:pPr>
        <w:pStyle w:val="NoSpacing"/>
        <w:rPr>
          <w:rFonts w:ascii="Arial Black" w:hAnsi="Arial Black"/>
          <w:sz w:val="24"/>
          <w:szCs w:val="24"/>
        </w:rPr>
      </w:pPr>
    </w:p>
    <w:bookmarkEnd w:id="479"/>
    <w:p w14:paraId="17EA2C23" w14:textId="77777777" w:rsidR="00420322" w:rsidRDefault="00420322" w:rsidP="00DE0F03">
      <w:pPr>
        <w:pStyle w:val="NoSpacing"/>
        <w:rPr>
          <w:rFonts w:ascii="Arial Black" w:hAnsi="Arial Black"/>
          <w:sz w:val="24"/>
          <w:szCs w:val="24"/>
        </w:rPr>
      </w:pPr>
    </w:p>
    <w:p w14:paraId="373A5411" w14:textId="3FF15815" w:rsidR="00420322" w:rsidRDefault="00420322" w:rsidP="00DE0F03">
      <w:pPr>
        <w:pStyle w:val="NoSpacing"/>
        <w:rPr>
          <w:rFonts w:ascii="Arial Black" w:hAnsi="Arial Black"/>
          <w:sz w:val="24"/>
          <w:szCs w:val="24"/>
        </w:rPr>
      </w:pPr>
      <w:r>
        <w:rPr>
          <w:rFonts w:ascii="Arial Black" w:hAnsi="Arial Black"/>
          <w:sz w:val="24"/>
          <w:szCs w:val="24"/>
        </w:rPr>
        <w:t>13-4</w:t>
      </w:r>
      <w:r w:rsidR="007A1E7A">
        <w:rPr>
          <w:rFonts w:ascii="Arial Black" w:hAnsi="Arial Black"/>
          <w:sz w:val="24"/>
          <w:szCs w:val="24"/>
        </w:rPr>
        <w:t>1</w:t>
      </w:r>
    </w:p>
    <w:p w14:paraId="4AFBD5AD" w14:textId="7252AC36" w:rsidR="00420322" w:rsidRDefault="00420322" w:rsidP="00DE0F03">
      <w:pPr>
        <w:pStyle w:val="NoSpacing"/>
        <w:rPr>
          <w:rFonts w:ascii="Arial Black" w:hAnsi="Arial Black"/>
          <w:sz w:val="24"/>
          <w:szCs w:val="24"/>
        </w:rPr>
      </w:pPr>
    </w:p>
    <w:p w14:paraId="319522F0" w14:textId="77777777" w:rsidR="00420322" w:rsidRPr="00F02676" w:rsidRDefault="00420322" w:rsidP="00420322">
      <w:pPr>
        <w:rPr>
          <w:rFonts w:ascii="Arial Black" w:hAnsi="Arial Black"/>
          <w:sz w:val="28"/>
          <w:szCs w:val="28"/>
        </w:rPr>
      </w:pPr>
      <w:bookmarkStart w:id="481" w:name="_Hlk41152123"/>
      <w:r w:rsidRPr="00F02676">
        <w:rPr>
          <w:rFonts w:ascii="Arial Black" w:hAnsi="Arial Black"/>
          <w:sz w:val="28"/>
          <w:szCs w:val="28"/>
        </w:rPr>
        <w:t xml:space="preserve">FL: </w:t>
      </w:r>
      <w:r>
        <w:rPr>
          <w:rFonts w:ascii="Arial Black" w:hAnsi="Arial Black"/>
          <w:sz w:val="28"/>
          <w:szCs w:val="28"/>
        </w:rPr>
        <w:t>HIGH SCHOOL FOOTBALL – HEAT EXHAUSTION / DIED - COACH DELAYED CALLING 911 – NO LIABILITY, LACK REQUISITE CONTROL</w:t>
      </w:r>
    </w:p>
    <w:p w14:paraId="416A27F4" w14:textId="77777777" w:rsidR="00420322" w:rsidRDefault="00420322" w:rsidP="00420322">
      <w:pPr>
        <w:rPr>
          <w:rFonts w:ascii="Times New Roman" w:hAnsi="Times New Roman"/>
          <w:sz w:val="24"/>
          <w:szCs w:val="24"/>
        </w:rPr>
      </w:pPr>
      <w:r w:rsidRPr="00F02676">
        <w:rPr>
          <w:rFonts w:ascii="Times New Roman" w:hAnsi="Times New Roman"/>
          <w:sz w:val="24"/>
          <w:szCs w:val="24"/>
        </w:rPr>
        <w:t xml:space="preserve">On Jan. 2, 2019, in </w:t>
      </w:r>
      <w:r w:rsidRPr="00F02676">
        <w:rPr>
          <w:rFonts w:ascii="Times New Roman" w:hAnsi="Times New Roman"/>
          <w:sz w:val="24"/>
          <w:szCs w:val="24"/>
          <w:u w:val="single"/>
        </w:rPr>
        <w:t>Laurie Alice Giordano v. The School Board of Lee County, Florida and James Delgado</w:t>
      </w:r>
      <w:r>
        <w:rPr>
          <w:rFonts w:ascii="Times New Roman" w:hAnsi="Times New Roman"/>
          <w:sz w:val="24"/>
          <w:szCs w:val="24"/>
        </w:rPr>
        <w:t xml:space="preserve">, U.S. District Court Judge John E. Steele, U.S. District Court, Middle District of Florida (Fort Myers Division), granted defendants motion to dismiss. </w:t>
      </w:r>
    </w:p>
    <w:p w14:paraId="208BA285" w14:textId="77777777" w:rsidR="00420322" w:rsidRPr="00F02676" w:rsidRDefault="00420322" w:rsidP="00420322">
      <w:pPr>
        <w:ind w:left="720"/>
        <w:rPr>
          <w:rFonts w:ascii="Times New Roman" w:hAnsi="Times New Roman"/>
          <w:sz w:val="24"/>
          <w:szCs w:val="24"/>
        </w:rPr>
      </w:pPr>
      <w:r>
        <w:rPr>
          <w:rFonts w:ascii="Times New Roman" w:hAnsi="Times New Roman"/>
          <w:sz w:val="24"/>
          <w:szCs w:val="24"/>
        </w:rPr>
        <w:t>“</w:t>
      </w:r>
      <w:r w:rsidRPr="00F02676">
        <w:rPr>
          <w:rFonts w:ascii="Times New Roman" w:hAnsi="Times New Roman"/>
          <w:sz w:val="24"/>
          <w:szCs w:val="24"/>
        </w:rPr>
        <w:t>Mere compulsory attendance at a public school does not give rise to a constitutional duty of protection under the Due Process Clause because public schools generally lack the requisite control over children to impose such a duty of care upon these institutions.</w:t>
      </w:r>
      <w:r>
        <w:rPr>
          <w:rFonts w:ascii="Times New Roman" w:hAnsi="Times New Roman"/>
          <w:sz w:val="24"/>
          <w:szCs w:val="24"/>
        </w:rPr>
        <w:t xml:space="preserve">” </w:t>
      </w:r>
      <w:hyperlink r:id="rId2401" w:history="1">
        <w:r w:rsidRPr="006C1964">
          <w:rPr>
            <w:rStyle w:val="Hyperlink"/>
            <w:rFonts w:ascii="Times New Roman" w:hAnsi="Times New Roman"/>
            <w:sz w:val="24"/>
            <w:szCs w:val="24"/>
          </w:rPr>
          <w:t>https://ecf.flmd.uscourts.gov/cgi-bin/show_public_doc?2019-00439-60-2-cv</w:t>
        </w:r>
      </w:hyperlink>
      <w:r>
        <w:rPr>
          <w:rFonts w:ascii="Times New Roman" w:hAnsi="Times New Roman"/>
          <w:sz w:val="24"/>
          <w:szCs w:val="24"/>
        </w:rPr>
        <w:t xml:space="preserve"> </w:t>
      </w:r>
    </w:p>
    <w:p w14:paraId="68A58967" w14:textId="10725851" w:rsidR="00420322" w:rsidRPr="00E658E1" w:rsidRDefault="00E658E1" w:rsidP="00DE0F03">
      <w:pPr>
        <w:pStyle w:val="NoSpacing"/>
        <w:rPr>
          <w:rFonts w:ascii="Times New Roman" w:hAnsi="Times New Roman"/>
          <w:b/>
          <w:bCs/>
          <w:sz w:val="24"/>
          <w:szCs w:val="24"/>
        </w:rPr>
      </w:pPr>
      <w:r w:rsidRPr="00E658E1">
        <w:rPr>
          <w:rFonts w:ascii="Times New Roman" w:hAnsi="Times New Roman"/>
          <w:b/>
          <w:bCs/>
          <w:sz w:val="24"/>
          <w:szCs w:val="24"/>
        </w:rPr>
        <w:t>Legal Lesson Learned:</w:t>
      </w:r>
      <w:r>
        <w:rPr>
          <w:rFonts w:ascii="Times New Roman" w:hAnsi="Times New Roman"/>
          <w:b/>
          <w:bCs/>
          <w:sz w:val="24"/>
          <w:szCs w:val="24"/>
        </w:rPr>
        <w:t xml:space="preserve"> </w:t>
      </w:r>
      <w:r w:rsidRPr="00E658E1">
        <w:rPr>
          <w:rFonts w:ascii="Times New Roman" w:hAnsi="Times New Roman"/>
          <w:b/>
          <w:bCs/>
          <w:sz w:val="24"/>
          <w:szCs w:val="24"/>
        </w:rPr>
        <w:t xml:space="preserve">Football and other athletic coaches need training in signs of serious </w:t>
      </w:r>
      <w:proofErr w:type="gramStart"/>
      <w:r w:rsidRPr="00E658E1">
        <w:rPr>
          <w:rFonts w:ascii="Times New Roman" w:hAnsi="Times New Roman"/>
          <w:b/>
          <w:bCs/>
          <w:sz w:val="24"/>
          <w:szCs w:val="24"/>
        </w:rPr>
        <w:t>illness, and</w:t>
      </w:r>
      <w:proofErr w:type="gramEnd"/>
      <w:r w:rsidRPr="00E658E1">
        <w:rPr>
          <w:rFonts w:ascii="Times New Roman" w:hAnsi="Times New Roman"/>
          <w:b/>
          <w:bCs/>
          <w:sz w:val="24"/>
          <w:szCs w:val="24"/>
        </w:rPr>
        <w:t xml:space="preserve"> need to promptly call 911.</w:t>
      </w:r>
    </w:p>
    <w:bookmarkEnd w:id="481"/>
    <w:p w14:paraId="4DE7B7AC" w14:textId="77777777" w:rsidR="00420322" w:rsidRDefault="00420322" w:rsidP="00DE0F03">
      <w:pPr>
        <w:pStyle w:val="NoSpacing"/>
        <w:rPr>
          <w:rFonts w:ascii="Arial Black" w:hAnsi="Arial Black"/>
          <w:sz w:val="24"/>
          <w:szCs w:val="24"/>
        </w:rPr>
      </w:pPr>
    </w:p>
    <w:p w14:paraId="7BD0DAF7" w14:textId="77777777" w:rsidR="00420322" w:rsidRDefault="00420322" w:rsidP="00DE0F03">
      <w:pPr>
        <w:pStyle w:val="NoSpacing"/>
        <w:rPr>
          <w:rFonts w:ascii="Arial Black" w:hAnsi="Arial Black"/>
          <w:sz w:val="24"/>
          <w:szCs w:val="24"/>
        </w:rPr>
      </w:pPr>
    </w:p>
    <w:p w14:paraId="3CFF2485" w14:textId="47B5ECA6" w:rsidR="00420322" w:rsidRDefault="00420322" w:rsidP="00DE0F03">
      <w:pPr>
        <w:pStyle w:val="NoSpacing"/>
        <w:rPr>
          <w:rFonts w:ascii="Arial Black" w:hAnsi="Arial Black"/>
          <w:sz w:val="24"/>
          <w:szCs w:val="24"/>
        </w:rPr>
      </w:pPr>
      <w:r>
        <w:rPr>
          <w:rFonts w:ascii="Arial Black" w:hAnsi="Arial Black"/>
          <w:sz w:val="24"/>
          <w:szCs w:val="24"/>
        </w:rPr>
        <w:t>13-</w:t>
      </w:r>
      <w:r w:rsidR="007A1E7A">
        <w:rPr>
          <w:rFonts w:ascii="Arial Black" w:hAnsi="Arial Black"/>
          <w:sz w:val="24"/>
          <w:szCs w:val="24"/>
        </w:rPr>
        <w:t>40</w:t>
      </w:r>
    </w:p>
    <w:p w14:paraId="2543D7E4" w14:textId="36BE05AB" w:rsidR="00420322" w:rsidRDefault="00420322" w:rsidP="00DE0F03">
      <w:pPr>
        <w:pStyle w:val="NoSpacing"/>
        <w:rPr>
          <w:rFonts w:ascii="Arial Black" w:hAnsi="Arial Black"/>
          <w:sz w:val="24"/>
          <w:szCs w:val="24"/>
        </w:rPr>
      </w:pPr>
    </w:p>
    <w:p w14:paraId="60D59A59" w14:textId="77777777" w:rsidR="00420322" w:rsidRDefault="00420322" w:rsidP="00420322">
      <w:pPr>
        <w:rPr>
          <w:rFonts w:ascii="Arial Black" w:hAnsi="Arial Black"/>
          <w:sz w:val="28"/>
          <w:szCs w:val="28"/>
        </w:rPr>
      </w:pPr>
      <w:bookmarkStart w:id="482" w:name="_Hlk41152157"/>
      <w:r w:rsidRPr="00C44FF6">
        <w:rPr>
          <w:rFonts w:ascii="Arial Black" w:hAnsi="Arial Black"/>
          <w:sz w:val="28"/>
          <w:szCs w:val="28"/>
        </w:rPr>
        <w:t xml:space="preserve">TX: </w:t>
      </w:r>
      <w:r>
        <w:rPr>
          <w:rFonts w:ascii="Arial Black" w:hAnsi="Arial Black"/>
          <w:sz w:val="28"/>
          <w:szCs w:val="28"/>
        </w:rPr>
        <w:t>POTHOLE - MOTORCYCLIST INJURED – DIDN’T INFORM CITY OF POTHOLE - EMS RUN RPT. NOT “ACTUAL NOTICE” – CASE DISMISSED</w:t>
      </w:r>
    </w:p>
    <w:p w14:paraId="7D8F2743" w14:textId="77777777" w:rsidR="00420322" w:rsidRPr="00C44FF6" w:rsidRDefault="00420322" w:rsidP="00420322">
      <w:pPr>
        <w:rPr>
          <w:rFonts w:ascii="Times New Roman" w:hAnsi="Times New Roman"/>
          <w:sz w:val="24"/>
          <w:szCs w:val="24"/>
        </w:rPr>
      </w:pPr>
      <w:r w:rsidRPr="00C44FF6">
        <w:rPr>
          <w:rFonts w:ascii="Times New Roman" w:hAnsi="Times New Roman"/>
          <w:sz w:val="24"/>
          <w:szCs w:val="24"/>
        </w:rPr>
        <w:t xml:space="preserve">On </w:t>
      </w:r>
      <w:r>
        <w:rPr>
          <w:rFonts w:ascii="Times New Roman" w:hAnsi="Times New Roman"/>
          <w:sz w:val="24"/>
          <w:szCs w:val="24"/>
        </w:rPr>
        <w:t xml:space="preserve">Dec. 31, 2019, in </w:t>
      </w:r>
      <w:r w:rsidRPr="00C44FF6">
        <w:rPr>
          <w:rFonts w:ascii="Times New Roman" w:hAnsi="Times New Roman"/>
          <w:sz w:val="24"/>
          <w:szCs w:val="24"/>
          <w:u w:val="single"/>
        </w:rPr>
        <w:t>City of Houston v. Elvin D. Miller</w:t>
      </w:r>
      <w:r>
        <w:rPr>
          <w:rFonts w:ascii="Times New Roman" w:hAnsi="Times New Roman"/>
          <w:sz w:val="24"/>
          <w:szCs w:val="24"/>
        </w:rPr>
        <w:t xml:space="preserve">, the Court of Appeals for the First District of Texas, held (3 to 0) that the trial judge should have dismissed this lawsuit. </w:t>
      </w:r>
    </w:p>
    <w:p w14:paraId="77E23ADC" w14:textId="27A3D0C8" w:rsidR="00420322" w:rsidRDefault="00420322" w:rsidP="00420322">
      <w:pPr>
        <w:ind w:left="720"/>
        <w:rPr>
          <w:rFonts w:ascii="Times New Roman" w:hAnsi="Times New Roman"/>
          <w:sz w:val="24"/>
          <w:szCs w:val="24"/>
        </w:rPr>
      </w:pPr>
      <w:r>
        <w:rPr>
          <w:rFonts w:ascii="Times New Roman" w:hAnsi="Times New Roman"/>
          <w:sz w:val="24"/>
          <w:szCs w:val="24"/>
        </w:rPr>
        <w:t>“</w:t>
      </w:r>
      <w:r w:rsidRPr="00C44FF6">
        <w:rPr>
          <w:rFonts w:ascii="Times New Roman" w:hAnsi="Times New Roman"/>
          <w:sz w:val="24"/>
          <w:szCs w:val="24"/>
        </w:rPr>
        <w:t>Accordingly, we hold</w:t>
      </w:r>
      <w:r>
        <w:rPr>
          <w:rFonts w:ascii="Times New Roman" w:hAnsi="Times New Roman"/>
          <w:sz w:val="24"/>
          <w:szCs w:val="24"/>
        </w:rPr>
        <w:t xml:space="preserve"> </w:t>
      </w:r>
      <w:r w:rsidRPr="00C44FF6">
        <w:rPr>
          <w:rFonts w:ascii="Times New Roman" w:hAnsi="Times New Roman"/>
          <w:sz w:val="24"/>
          <w:szCs w:val="24"/>
        </w:rPr>
        <w:t>that Miller</w:t>
      </w:r>
      <w:r>
        <w:rPr>
          <w:rFonts w:ascii="Times New Roman" w:hAnsi="Times New Roman"/>
          <w:sz w:val="24"/>
          <w:szCs w:val="24"/>
        </w:rPr>
        <w:t xml:space="preserve"> </w:t>
      </w:r>
      <w:r w:rsidRPr="00C44FF6">
        <w:rPr>
          <w:rFonts w:ascii="Times New Roman" w:hAnsi="Times New Roman"/>
          <w:sz w:val="24"/>
          <w:szCs w:val="24"/>
        </w:rPr>
        <w:t>has not demonstrated</w:t>
      </w:r>
      <w:r>
        <w:rPr>
          <w:rFonts w:ascii="Times New Roman" w:hAnsi="Times New Roman"/>
          <w:sz w:val="24"/>
          <w:szCs w:val="24"/>
        </w:rPr>
        <w:t xml:space="preserve"> </w:t>
      </w:r>
      <w:r w:rsidRPr="00C44FF6">
        <w:rPr>
          <w:rFonts w:ascii="Times New Roman" w:hAnsi="Times New Roman"/>
          <w:sz w:val="24"/>
          <w:szCs w:val="24"/>
        </w:rPr>
        <w:t>that the City was subjectively aware</w:t>
      </w:r>
      <w:r>
        <w:rPr>
          <w:rFonts w:ascii="Times New Roman" w:hAnsi="Times New Roman"/>
          <w:sz w:val="24"/>
          <w:szCs w:val="24"/>
        </w:rPr>
        <w:t xml:space="preserve"> </w:t>
      </w:r>
      <w:r w:rsidRPr="00C44FF6">
        <w:rPr>
          <w:rFonts w:ascii="Times New Roman" w:hAnsi="Times New Roman"/>
          <w:sz w:val="24"/>
          <w:szCs w:val="24"/>
        </w:rPr>
        <w:t>of its fault in producing</w:t>
      </w:r>
      <w:r>
        <w:rPr>
          <w:rFonts w:ascii="Times New Roman" w:hAnsi="Times New Roman"/>
          <w:sz w:val="24"/>
          <w:szCs w:val="24"/>
        </w:rPr>
        <w:t xml:space="preserve"> </w:t>
      </w:r>
      <w:r w:rsidRPr="00C44FF6">
        <w:rPr>
          <w:rFonts w:ascii="Times New Roman" w:hAnsi="Times New Roman"/>
          <w:sz w:val="24"/>
          <w:szCs w:val="24"/>
        </w:rPr>
        <w:t>or causing his</w:t>
      </w:r>
      <w:r>
        <w:rPr>
          <w:rFonts w:ascii="Times New Roman" w:hAnsi="Times New Roman"/>
          <w:sz w:val="24"/>
          <w:szCs w:val="24"/>
        </w:rPr>
        <w:t xml:space="preserve"> </w:t>
      </w:r>
      <w:r w:rsidRPr="00C44FF6">
        <w:rPr>
          <w:rFonts w:ascii="Times New Roman" w:hAnsi="Times New Roman"/>
          <w:sz w:val="24"/>
          <w:szCs w:val="24"/>
        </w:rPr>
        <w:t>injuries</w:t>
      </w:r>
      <w:r>
        <w:rPr>
          <w:rFonts w:ascii="Times New Roman" w:hAnsi="Times New Roman"/>
          <w:sz w:val="24"/>
          <w:szCs w:val="24"/>
        </w:rPr>
        <w:t xml:space="preserve"> </w:t>
      </w:r>
      <w:r w:rsidRPr="00C44FF6">
        <w:rPr>
          <w:rFonts w:ascii="Times New Roman" w:hAnsi="Times New Roman"/>
          <w:sz w:val="24"/>
          <w:szCs w:val="24"/>
        </w:rPr>
        <w:t>such that it had actual notice of his claims</w:t>
      </w:r>
      <w:r>
        <w:rPr>
          <w:rFonts w:ascii="Times New Roman" w:hAnsi="Times New Roman"/>
          <w:sz w:val="24"/>
          <w:szCs w:val="24"/>
        </w:rPr>
        <w:t xml:space="preserve"> </w:t>
      </w:r>
      <w:r w:rsidRPr="00C44FF6">
        <w:rPr>
          <w:rFonts w:ascii="Times New Roman" w:hAnsi="Times New Roman"/>
          <w:sz w:val="24"/>
          <w:szCs w:val="24"/>
        </w:rPr>
        <w:t>prior to the jurisdictional deadline for giving notice of</w:t>
      </w:r>
      <w:r>
        <w:rPr>
          <w:rFonts w:ascii="Times New Roman" w:hAnsi="Times New Roman"/>
          <w:sz w:val="24"/>
          <w:szCs w:val="24"/>
        </w:rPr>
        <w:t xml:space="preserve"> </w:t>
      </w:r>
      <w:r w:rsidRPr="00C44FF6">
        <w:rPr>
          <w:rFonts w:ascii="Times New Roman" w:hAnsi="Times New Roman"/>
          <w:sz w:val="24"/>
          <w:szCs w:val="24"/>
        </w:rPr>
        <w:t>his claims.</w:t>
      </w:r>
      <w:r>
        <w:rPr>
          <w:rFonts w:ascii="Times New Roman" w:hAnsi="Times New Roman"/>
          <w:sz w:val="24"/>
          <w:szCs w:val="24"/>
        </w:rPr>
        <w:t xml:space="preserve">” </w:t>
      </w:r>
      <w:hyperlink r:id="rId2402" w:history="1">
        <w:r w:rsidRPr="006C1964">
          <w:rPr>
            <w:rStyle w:val="Hyperlink"/>
            <w:rFonts w:ascii="Times New Roman" w:hAnsi="Times New Roman"/>
            <w:sz w:val="24"/>
            <w:szCs w:val="24"/>
          </w:rPr>
          <w:t>https://cases.justia.com/texas/first-court-of-appeals/2019-01-19-00450-cv.pdf?ts=1577798110</w:t>
        </w:r>
      </w:hyperlink>
      <w:r>
        <w:rPr>
          <w:rFonts w:ascii="Times New Roman" w:hAnsi="Times New Roman"/>
          <w:sz w:val="24"/>
          <w:szCs w:val="24"/>
        </w:rPr>
        <w:t xml:space="preserve"> </w:t>
      </w:r>
    </w:p>
    <w:p w14:paraId="47935559" w14:textId="3D25BCD3" w:rsidR="00E658E1" w:rsidRPr="00E658E1" w:rsidRDefault="00E658E1" w:rsidP="00E658E1">
      <w:pPr>
        <w:rPr>
          <w:rFonts w:ascii="Times New Roman" w:hAnsi="Times New Roman"/>
          <w:b/>
          <w:bCs/>
          <w:sz w:val="24"/>
          <w:szCs w:val="24"/>
        </w:rPr>
      </w:pPr>
      <w:r w:rsidRPr="00E658E1">
        <w:rPr>
          <w:rFonts w:ascii="Times New Roman" w:hAnsi="Times New Roman"/>
          <w:b/>
          <w:bCs/>
          <w:sz w:val="24"/>
          <w:szCs w:val="24"/>
        </w:rPr>
        <w:t xml:space="preserve">Legal Lessons Learned: If EMS respond to serious </w:t>
      </w:r>
      <w:proofErr w:type="gramStart"/>
      <w:r w:rsidRPr="00E658E1">
        <w:rPr>
          <w:rFonts w:ascii="Times New Roman" w:hAnsi="Times New Roman"/>
          <w:b/>
          <w:bCs/>
          <w:sz w:val="24"/>
          <w:szCs w:val="24"/>
        </w:rPr>
        <w:t>accident</w:t>
      </w:r>
      <w:proofErr w:type="gramEnd"/>
      <w:r w:rsidRPr="00E658E1">
        <w:rPr>
          <w:rFonts w:ascii="Times New Roman" w:hAnsi="Times New Roman"/>
          <w:b/>
          <w:bCs/>
          <w:sz w:val="24"/>
          <w:szCs w:val="24"/>
        </w:rPr>
        <w:t xml:space="preserve"> and patient advises it was caused by pothole, notify the city immediately of the pothole so it can be filled and similar injuries avoided.</w:t>
      </w:r>
    </w:p>
    <w:bookmarkEnd w:id="482"/>
    <w:p w14:paraId="6FE38F99" w14:textId="77777777" w:rsidR="00420322" w:rsidRDefault="00420322" w:rsidP="00DE0F03">
      <w:pPr>
        <w:pStyle w:val="NoSpacing"/>
        <w:rPr>
          <w:rFonts w:ascii="Arial Black" w:hAnsi="Arial Black"/>
          <w:sz w:val="24"/>
          <w:szCs w:val="24"/>
        </w:rPr>
      </w:pPr>
    </w:p>
    <w:p w14:paraId="5839CA0A" w14:textId="31EE5DD4" w:rsidR="00420322" w:rsidRDefault="00420322" w:rsidP="00DE0F03">
      <w:pPr>
        <w:pStyle w:val="NoSpacing"/>
        <w:rPr>
          <w:rFonts w:ascii="Arial Black" w:hAnsi="Arial Black"/>
          <w:sz w:val="24"/>
          <w:szCs w:val="24"/>
        </w:rPr>
      </w:pPr>
      <w:r>
        <w:rPr>
          <w:rFonts w:ascii="Arial Black" w:hAnsi="Arial Black"/>
          <w:sz w:val="24"/>
          <w:szCs w:val="24"/>
        </w:rPr>
        <w:t>13-3</w:t>
      </w:r>
      <w:r w:rsidR="007A1E7A">
        <w:rPr>
          <w:rFonts w:ascii="Arial Black" w:hAnsi="Arial Black"/>
          <w:sz w:val="24"/>
          <w:szCs w:val="24"/>
        </w:rPr>
        <w:t>9</w:t>
      </w:r>
    </w:p>
    <w:p w14:paraId="39685BF6" w14:textId="77777777" w:rsidR="00420322" w:rsidRDefault="00420322" w:rsidP="00DE0F03">
      <w:pPr>
        <w:pStyle w:val="NoSpacing"/>
        <w:rPr>
          <w:rFonts w:ascii="Arial Black" w:hAnsi="Arial Black"/>
          <w:sz w:val="24"/>
          <w:szCs w:val="24"/>
        </w:rPr>
      </w:pPr>
    </w:p>
    <w:p w14:paraId="2C758E7E" w14:textId="77777777" w:rsidR="00420322" w:rsidRPr="00327BE0" w:rsidRDefault="00420322" w:rsidP="00420322">
      <w:pPr>
        <w:rPr>
          <w:rFonts w:ascii="Arial Black" w:hAnsi="Arial Black"/>
          <w:sz w:val="28"/>
          <w:szCs w:val="28"/>
        </w:rPr>
      </w:pPr>
      <w:bookmarkStart w:id="483" w:name="_Hlk41152252"/>
      <w:r>
        <w:rPr>
          <w:rFonts w:ascii="Arial Black" w:hAnsi="Arial Black"/>
          <w:sz w:val="28"/>
          <w:szCs w:val="28"/>
        </w:rPr>
        <w:t>L</w:t>
      </w:r>
      <w:r w:rsidRPr="00327BE0">
        <w:rPr>
          <w:rFonts w:ascii="Arial Black" w:hAnsi="Arial Black"/>
          <w:sz w:val="28"/>
          <w:szCs w:val="28"/>
        </w:rPr>
        <w:t>A</w:t>
      </w:r>
      <w:r>
        <w:rPr>
          <w:rFonts w:ascii="Arial Black" w:hAnsi="Arial Black"/>
          <w:sz w:val="28"/>
          <w:szCs w:val="28"/>
        </w:rPr>
        <w:t>: PARAMEDIC LETTER TO BOARD – NEED POLICY CHANGES – FIRED 19 MOS. LATER – FALSIFYING TRAINING RECORDS – NO RETALIATION</w:t>
      </w:r>
    </w:p>
    <w:p w14:paraId="34E848D9" w14:textId="37C2F112" w:rsidR="00420322" w:rsidRDefault="00420322" w:rsidP="00420322">
      <w:pPr>
        <w:pStyle w:val="NoSpacing"/>
        <w:rPr>
          <w:rFonts w:ascii="In" w:hAnsi="In"/>
          <w:sz w:val="24"/>
          <w:szCs w:val="24"/>
        </w:rPr>
      </w:pPr>
      <w:r>
        <w:rPr>
          <w:rFonts w:ascii="In" w:hAnsi="In"/>
          <w:sz w:val="24"/>
          <w:szCs w:val="24"/>
        </w:rPr>
        <w:t xml:space="preserve">On Dec. 17, 2019, in </w:t>
      </w:r>
      <w:r w:rsidRPr="009F6F16">
        <w:rPr>
          <w:rFonts w:ascii="Times New Roman" w:hAnsi="Times New Roman"/>
          <w:sz w:val="24"/>
          <w:szCs w:val="24"/>
          <w:u w:val="single"/>
        </w:rPr>
        <w:t>Patrick A. Benefield; Brian Scott Warren v. Joe D. Magee</w:t>
      </w:r>
      <w:r>
        <w:rPr>
          <w:rFonts w:ascii="In" w:hAnsi="In"/>
          <w:sz w:val="24"/>
          <w:szCs w:val="24"/>
        </w:rPr>
        <w:t>, the U.S. Court of Appeals for the 5</w:t>
      </w:r>
      <w:r w:rsidRPr="009F6F16">
        <w:rPr>
          <w:rFonts w:ascii="In" w:hAnsi="In"/>
          <w:sz w:val="24"/>
          <w:szCs w:val="24"/>
          <w:vertAlign w:val="superscript"/>
        </w:rPr>
        <w:t>th</w:t>
      </w:r>
      <w:r>
        <w:rPr>
          <w:rFonts w:ascii="In" w:hAnsi="In"/>
          <w:sz w:val="24"/>
          <w:szCs w:val="24"/>
        </w:rPr>
        <w:t xml:space="preserve"> Circuit (New Orleans) held (3 to 0) that </w:t>
      </w:r>
      <w:r w:rsidR="00BD7C29">
        <w:rPr>
          <w:rFonts w:ascii="In" w:hAnsi="In"/>
          <w:sz w:val="24"/>
          <w:szCs w:val="24"/>
        </w:rPr>
        <w:t xml:space="preserve">19-month gap too long; no retaliation. </w:t>
      </w:r>
    </w:p>
    <w:p w14:paraId="4E3F74D6" w14:textId="77777777" w:rsidR="00420322" w:rsidRDefault="00420322" w:rsidP="00420322">
      <w:pPr>
        <w:pStyle w:val="NoSpacing"/>
        <w:rPr>
          <w:rFonts w:ascii="In" w:hAnsi="In"/>
          <w:sz w:val="24"/>
          <w:szCs w:val="24"/>
        </w:rPr>
      </w:pPr>
    </w:p>
    <w:p w14:paraId="737224EF" w14:textId="77777777" w:rsidR="00420322" w:rsidRPr="00D16E0D" w:rsidRDefault="00420322" w:rsidP="00420322">
      <w:pPr>
        <w:pStyle w:val="NoSpacing"/>
        <w:ind w:left="720"/>
        <w:rPr>
          <w:rFonts w:ascii="Times New Roman" w:hAnsi="Times New Roman"/>
          <w:sz w:val="24"/>
          <w:szCs w:val="24"/>
        </w:rPr>
      </w:pPr>
      <w:r>
        <w:rPr>
          <w:rFonts w:ascii="Times New Roman" w:hAnsi="Times New Roman"/>
          <w:sz w:val="24"/>
          <w:szCs w:val="24"/>
        </w:rPr>
        <w:t>“</w:t>
      </w:r>
      <w:r w:rsidRPr="00D16E0D">
        <w:rPr>
          <w:rFonts w:ascii="Times New Roman" w:hAnsi="Times New Roman"/>
          <w:sz w:val="24"/>
          <w:szCs w:val="24"/>
        </w:rPr>
        <w:t xml:space="preserve">The issues, therefore, are (1) whether Warren’s speech was on a matter of public concern and (2) whether his June 2015 letter was a substantial or motivating factor for his firing. We agree with Magee </w:t>
      </w:r>
      <w:r>
        <w:rPr>
          <w:rFonts w:ascii="Times New Roman" w:hAnsi="Times New Roman"/>
          <w:sz w:val="24"/>
          <w:szCs w:val="24"/>
        </w:rPr>
        <w:t xml:space="preserve">[EMS Manager] </w:t>
      </w:r>
      <w:r w:rsidRPr="00D16E0D">
        <w:rPr>
          <w:rFonts w:ascii="Times New Roman" w:hAnsi="Times New Roman"/>
          <w:sz w:val="24"/>
          <w:szCs w:val="24"/>
        </w:rPr>
        <w:t>that Warren failed to allege a sufficient causal connection between his letter and his firing</w:t>
      </w:r>
      <w:r>
        <w:rPr>
          <w:rFonts w:ascii="Times New Roman" w:hAnsi="Times New Roman"/>
          <w:sz w:val="24"/>
          <w:szCs w:val="24"/>
        </w:rPr>
        <w:t xml:space="preserve">…. </w:t>
      </w:r>
      <w:r w:rsidRPr="00D16E0D">
        <w:rPr>
          <w:rFonts w:ascii="Times New Roman" w:hAnsi="Times New Roman"/>
          <w:sz w:val="24"/>
          <w:szCs w:val="24"/>
        </w:rPr>
        <w:t>Warren sent his letter in June 2015 and was fired in January 2017—a 19-month gap</w:t>
      </w:r>
      <w:r>
        <w:rPr>
          <w:rFonts w:ascii="Times New Roman" w:hAnsi="Times New Roman"/>
          <w:sz w:val="24"/>
          <w:szCs w:val="24"/>
        </w:rPr>
        <w:t xml:space="preserve">…. </w:t>
      </w:r>
      <w:r w:rsidRPr="00D16E0D">
        <w:rPr>
          <w:rFonts w:ascii="Times New Roman" w:hAnsi="Times New Roman"/>
          <w:sz w:val="24"/>
          <w:szCs w:val="24"/>
        </w:rPr>
        <w:t xml:space="preserve">Thus, the timing, by itself, between Warren’s speech and his firing is not close enough to permit a plausible inference that Warren’s firing was causally connected to his </w:t>
      </w:r>
      <w:proofErr w:type="gramStart"/>
      <w:r w:rsidRPr="00D16E0D">
        <w:rPr>
          <w:rFonts w:ascii="Times New Roman" w:hAnsi="Times New Roman"/>
          <w:sz w:val="24"/>
          <w:szCs w:val="24"/>
        </w:rPr>
        <w:t>speech.</w:t>
      </w:r>
      <w:r>
        <w:rPr>
          <w:rFonts w:ascii="Times New Roman" w:hAnsi="Times New Roman"/>
          <w:sz w:val="24"/>
          <w:szCs w:val="24"/>
        </w:rPr>
        <w:t>”</w:t>
      </w:r>
      <w:proofErr w:type="gramEnd"/>
    </w:p>
    <w:p w14:paraId="5FAC1997" w14:textId="2045E93B" w:rsidR="00420322" w:rsidRDefault="006114FF" w:rsidP="00E658E1">
      <w:pPr>
        <w:pStyle w:val="NoSpacing"/>
        <w:ind w:firstLine="720"/>
        <w:rPr>
          <w:rFonts w:ascii="Arial Black" w:hAnsi="Arial Black"/>
          <w:sz w:val="24"/>
          <w:szCs w:val="24"/>
        </w:rPr>
      </w:pPr>
      <w:hyperlink r:id="rId2403" w:history="1">
        <w:r w:rsidRPr="002F304C">
          <w:rPr>
            <w:rStyle w:val="Hyperlink"/>
            <w:rFonts w:ascii="Times New Roman" w:hAnsi="Times New Roman"/>
            <w:sz w:val="24"/>
            <w:szCs w:val="24"/>
          </w:rPr>
          <w:t>https://cases.justia.com/federal/appellate-courts/ca5/18-30932/18-30932-2019-12-17.pdf?ts=1576629071</w:t>
        </w:r>
      </w:hyperlink>
    </w:p>
    <w:p w14:paraId="0FCF64ED" w14:textId="35033C62" w:rsidR="00420322" w:rsidRDefault="00420322" w:rsidP="00DE0F03">
      <w:pPr>
        <w:pStyle w:val="NoSpacing"/>
        <w:rPr>
          <w:rFonts w:ascii="Arial Black" w:hAnsi="Arial Black"/>
          <w:sz w:val="24"/>
          <w:szCs w:val="24"/>
        </w:rPr>
      </w:pPr>
    </w:p>
    <w:p w14:paraId="58305BBC" w14:textId="4EA3755B" w:rsidR="003464C5" w:rsidRPr="006114FF" w:rsidRDefault="006114FF" w:rsidP="00DE0F03">
      <w:pPr>
        <w:pStyle w:val="NoSpacing"/>
        <w:rPr>
          <w:rFonts w:ascii="Times New Roman" w:hAnsi="Times New Roman"/>
          <w:b/>
          <w:bCs/>
          <w:sz w:val="24"/>
          <w:szCs w:val="24"/>
        </w:rPr>
      </w:pPr>
      <w:r w:rsidRPr="006114FF">
        <w:rPr>
          <w:rFonts w:ascii="Times New Roman" w:hAnsi="Times New Roman"/>
          <w:b/>
          <w:bCs/>
          <w:sz w:val="24"/>
          <w:szCs w:val="24"/>
        </w:rPr>
        <w:t>Legal Lessons Learned:</w:t>
      </w:r>
      <w:r>
        <w:rPr>
          <w:rFonts w:ascii="Times New Roman" w:hAnsi="Times New Roman"/>
          <w:b/>
          <w:bCs/>
          <w:sz w:val="24"/>
          <w:szCs w:val="24"/>
        </w:rPr>
        <w:t xml:space="preserve"> </w:t>
      </w:r>
      <w:r w:rsidR="00BD7C29">
        <w:rPr>
          <w:rFonts w:ascii="Times New Roman" w:hAnsi="Times New Roman"/>
          <w:b/>
          <w:bCs/>
          <w:sz w:val="24"/>
          <w:szCs w:val="24"/>
        </w:rPr>
        <w:t xml:space="preserve">The </w:t>
      </w:r>
      <w:r w:rsidRPr="006114FF">
        <w:rPr>
          <w:rFonts w:ascii="Times New Roman" w:hAnsi="Times New Roman"/>
          <w:b/>
          <w:bCs/>
          <w:sz w:val="24"/>
          <w:szCs w:val="24"/>
        </w:rPr>
        <w:t xml:space="preserve">EMS Manager won </w:t>
      </w:r>
      <w:proofErr w:type="gramStart"/>
      <w:r w:rsidRPr="006114FF">
        <w:rPr>
          <w:rFonts w:ascii="Times New Roman" w:hAnsi="Times New Roman"/>
          <w:b/>
          <w:bCs/>
          <w:sz w:val="24"/>
          <w:szCs w:val="24"/>
        </w:rPr>
        <w:t xml:space="preserve">his </w:t>
      </w:r>
      <w:r w:rsidR="00BD7C29">
        <w:rPr>
          <w:rFonts w:ascii="Times New Roman" w:hAnsi="Times New Roman"/>
          <w:b/>
          <w:bCs/>
          <w:sz w:val="24"/>
          <w:szCs w:val="24"/>
        </w:rPr>
        <w:t>interlocutory</w:t>
      </w:r>
      <w:proofErr w:type="gramEnd"/>
      <w:r w:rsidR="00BD7C29">
        <w:rPr>
          <w:rFonts w:ascii="Times New Roman" w:hAnsi="Times New Roman"/>
          <w:b/>
          <w:bCs/>
          <w:sz w:val="24"/>
          <w:szCs w:val="24"/>
        </w:rPr>
        <w:t xml:space="preserve"> </w:t>
      </w:r>
      <w:proofErr w:type="gramStart"/>
      <w:r w:rsidRPr="006114FF">
        <w:rPr>
          <w:rFonts w:ascii="Times New Roman" w:hAnsi="Times New Roman"/>
          <w:b/>
          <w:bCs/>
          <w:sz w:val="24"/>
          <w:szCs w:val="24"/>
        </w:rPr>
        <w:t>appeal</w:t>
      </w:r>
      <w:proofErr w:type="gramEnd"/>
      <w:r w:rsidRPr="006114FF">
        <w:rPr>
          <w:rFonts w:ascii="Times New Roman" w:hAnsi="Times New Roman"/>
          <w:b/>
          <w:bCs/>
          <w:sz w:val="24"/>
          <w:szCs w:val="24"/>
        </w:rPr>
        <w:t xml:space="preserve"> and he is now dismissed from the lawsuit.</w:t>
      </w:r>
    </w:p>
    <w:bookmarkEnd w:id="483"/>
    <w:p w14:paraId="449D2D8B" w14:textId="77777777" w:rsidR="00420322" w:rsidRDefault="00420322" w:rsidP="00DE0F03">
      <w:pPr>
        <w:pStyle w:val="NoSpacing"/>
        <w:rPr>
          <w:rFonts w:ascii="Arial Black" w:hAnsi="Arial Black"/>
          <w:sz w:val="24"/>
          <w:szCs w:val="24"/>
        </w:rPr>
      </w:pPr>
    </w:p>
    <w:p w14:paraId="1F0C7FD8" w14:textId="77777777" w:rsidR="003464C5" w:rsidRDefault="003464C5" w:rsidP="00DE0F03">
      <w:pPr>
        <w:pStyle w:val="NoSpacing"/>
        <w:rPr>
          <w:rFonts w:ascii="Arial Black" w:hAnsi="Arial Black"/>
          <w:sz w:val="24"/>
          <w:szCs w:val="24"/>
        </w:rPr>
      </w:pPr>
    </w:p>
    <w:p w14:paraId="0635FEC3" w14:textId="77777777" w:rsidR="003464C5" w:rsidRDefault="003464C5" w:rsidP="00DE0F03">
      <w:pPr>
        <w:pStyle w:val="NoSpacing"/>
        <w:rPr>
          <w:rFonts w:ascii="Arial Black" w:hAnsi="Arial Black"/>
          <w:sz w:val="24"/>
          <w:szCs w:val="24"/>
        </w:rPr>
      </w:pPr>
    </w:p>
    <w:p w14:paraId="1442EB00" w14:textId="45395C9D" w:rsidR="00420322" w:rsidRDefault="00420322" w:rsidP="00DE0F03">
      <w:pPr>
        <w:pStyle w:val="NoSpacing"/>
        <w:rPr>
          <w:rFonts w:ascii="Arial Black" w:hAnsi="Arial Black"/>
          <w:sz w:val="24"/>
          <w:szCs w:val="24"/>
        </w:rPr>
      </w:pPr>
      <w:r>
        <w:rPr>
          <w:rFonts w:ascii="Arial Black" w:hAnsi="Arial Black"/>
          <w:sz w:val="24"/>
          <w:szCs w:val="24"/>
        </w:rPr>
        <w:t>13-3</w:t>
      </w:r>
      <w:r w:rsidR="007A1E7A">
        <w:rPr>
          <w:rFonts w:ascii="Arial Black" w:hAnsi="Arial Black"/>
          <w:sz w:val="24"/>
          <w:szCs w:val="24"/>
        </w:rPr>
        <w:t>8</w:t>
      </w:r>
    </w:p>
    <w:p w14:paraId="45FDBC89" w14:textId="3236AB36" w:rsidR="00420322" w:rsidRDefault="00420322" w:rsidP="00DE0F03">
      <w:pPr>
        <w:pStyle w:val="NoSpacing"/>
        <w:rPr>
          <w:rFonts w:ascii="Arial Black" w:hAnsi="Arial Black"/>
          <w:sz w:val="24"/>
          <w:szCs w:val="24"/>
        </w:rPr>
      </w:pPr>
    </w:p>
    <w:p w14:paraId="49F7194F" w14:textId="77777777" w:rsidR="00420322" w:rsidRPr="00201158" w:rsidRDefault="00420322" w:rsidP="00420322">
      <w:pPr>
        <w:pStyle w:val="NormalWeb"/>
        <w:rPr>
          <w:rFonts w:ascii="Arial Black" w:hAnsi="Arial Black"/>
          <w:sz w:val="28"/>
          <w:szCs w:val="28"/>
        </w:rPr>
      </w:pPr>
      <w:bookmarkStart w:id="484" w:name="_Hlk41152380"/>
      <w:r w:rsidRPr="00201158">
        <w:rPr>
          <w:rFonts w:ascii="Arial Black" w:hAnsi="Arial Black"/>
          <w:sz w:val="28"/>
          <w:szCs w:val="28"/>
        </w:rPr>
        <w:t xml:space="preserve">WV: </w:t>
      </w:r>
      <w:r>
        <w:rPr>
          <w:rFonts w:ascii="Arial Black" w:hAnsi="Arial Black"/>
          <w:sz w:val="28"/>
          <w:szCs w:val="28"/>
        </w:rPr>
        <w:t xml:space="preserve"> DRAG RACING / SON EJECTED – MOTHER RN / FLIGHT NURSE - PD STOPS HER CARE SON; MEDICS DIDN’T TAKE PULSE – CASE PROCEED</w:t>
      </w:r>
    </w:p>
    <w:p w14:paraId="2792D427" w14:textId="77777777" w:rsidR="00420322" w:rsidRDefault="00420322" w:rsidP="00420322">
      <w:pPr>
        <w:pStyle w:val="NormalWeb"/>
      </w:pPr>
      <w:r>
        <w:t xml:space="preserve">On Dec. 5, 2019, in </w:t>
      </w:r>
      <w:r w:rsidRPr="00403915">
        <w:rPr>
          <w:u w:val="single"/>
        </w:rPr>
        <w:t>Amy Brown, individually and Administratrix of the Estate of James Brady Leonard v. Mason County Commission, Gallia County Board of Commissioners, et al.</w:t>
      </w:r>
      <w:r>
        <w:t xml:space="preserve">, U.S. District Court Judge Robert Chambers, Southern District of West Virginia (Huntington Division), the lawsuit against the Deputy Sheriff may proceed. </w:t>
      </w:r>
    </w:p>
    <w:bookmarkEnd w:id="484"/>
    <w:p w14:paraId="46E19796" w14:textId="77777777" w:rsidR="00420322" w:rsidRDefault="00420322" w:rsidP="00420322">
      <w:pPr>
        <w:pStyle w:val="NormalWeb"/>
        <w:ind w:left="720"/>
      </w:pPr>
      <w:r>
        <w:t xml:space="preserve">“Taken as true, the conduct [by County Deputy Sheriff] alleged here is certainly more than ‘merely annoying’ or ‘uncivil.’ A jury could very well determine that physically restraining a mother attempting to provide medical assistance to her son is utterly intolerable in a civilized community. </w:t>
      </w:r>
      <w:r>
        <w:rPr>
          <w:i/>
          <w:iCs/>
        </w:rPr>
        <w:t>See Travis</w:t>
      </w:r>
      <w:r>
        <w:t xml:space="preserve">, 504 S.E.2d at 425. It would be similarly reasonable for a jury to determine that Bryant acted recklessly, that his actions caused Plaintiff to suffer emotional distress, and that her distress was so severe that no reasonable person could be expected to endure it. It follows that Plaintiff has pleaded sufficient facts to state a claim for relief under </w:t>
      </w:r>
      <w:r w:rsidRPr="00F03088">
        <w:t>an [Intentional Infliction of Emotional Distress] theory.</w:t>
      </w:r>
    </w:p>
    <w:p w14:paraId="578130E7" w14:textId="77777777" w:rsidR="00420322" w:rsidRDefault="00420322" w:rsidP="00420322">
      <w:pPr>
        <w:pStyle w:val="NormalWeb"/>
        <w:ind w:left="720"/>
      </w:pPr>
      <w:r>
        <w:t>***</w:t>
      </w:r>
    </w:p>
    <w:p w14:paraId="123DFED7" w14:textId="77777777" w:rsidR="00420322" w:rsidRPr="000F68B0" w:rsidRDefault="00420322" w:rsidP="00420322">
      <w:pPr>
        <w:spacing w:before="100" w:beforeAutospacing="1" w:after="100" w:afterAutospacing="1" w:line="240" w:lineRule="auto"/>
        <w:ind w:left="720"/>
      </w:pPr>
      <w:r w:rsidRPr="00970678">
        <w:rPr>
          <w:rFonts w:ascii="Times New Roman" w:eastAsia="Times New Roman" w:hAnsi="Times New Roman"/>
          <w:sz w:val="24"/>
          <w:szCs w:val="24"/>
        </w:rPr>
        <w:t>Gallia County EMS is not entitled to dismissal. As discussed in the preceding section, Plaintiff alleges that Elliott and Turner—both Gallia County EMS responders—did not check Leonard's pulse, his breathing, or his body for injuries, and that they pronounced him dead without following proper procedures.</w:t>
      </w:r>
      <w:r>
        <w:rPr>
          <w:rFonts w:ascii="Times New Roman" w:eastAsia="Times New Roman" w:hAnsi="Times New Roman"/>
          <w:sz w:val="24"/>
          <w:szCs w:val="24"/>
        </w:rPr>
        <w:t xml:space="preserve">” </w:t>
      </w:r>
      <w:bookmarkStart w:id="485" w:name="_Hlk41152402"/>
      <w:r w:rsidR="00F37A4B">
        <w:fldChar w:fldCharType="begin"/>
      </w:r>
      <w:r w:rsidR="00F37A4B">
        <w:instrText xml:space="preserve"> HYPERLINK "https://public.fastcase.com/Wl%2B2t%2BeVuI35%2FN70vAMFZg2lBBReDY5nF88uy08v8DAnqlL%2F2Z9bDGzSJQpTYHOu" </w:instrText>
      </w:r>
      <w:r w:rsidR="00F37A4B">
        <w:fldChar w:fldCharType="separate"/>
      </w:r>
      <w:r w:rsidRPr="007A71AD">
        <w:rPr>
          <w:rStyle w:val="Hyperlink"/>
        </w:rPr>
        <w:t>https://public.fastcase.com/Wl%2B2t%2BeVuI35%2FN70vAMFZg2lBBReDY5nF88uy08v8DAnqlL%2F2Z9bDGzSJQpTYHOu</w:t>
      </w:r>
      <w:r w:rsidR="00F37A4B">
        <w:rPr>
          <w:rStyle w:val="Hyperlink"/>
        </w:rPr>
        <w:fldChar w:fldCharType="end"/>
      </w:r>
      <w:r>
        <w:t xml:space="preserve"> </w:t>
      </w:r>
    </w:p>
    <w:p w14:paraId="76530F7B" w14:textId="4E3CB12E" w:rsidR="00420322" w:rsidRPr="006114FF" w:rsidRDefault="006114FF" w:rsidP="00DE0F03">
      <w:pPr>
        <w:pStyle w:val="NoSpacing"/>
        <w:rPr>
          <w:rFonts w:ascii="Times New Roman" w:hAnsi="Times New Roman"/>
          <w:b/>
          <w:bCs/>
          <w:sz w:val="24"/>
          <w:szCs w:val="24"/>
        </w:rPr>
      </w:pPr>
      <w:r w:rsidRPr="006114FF">
        <w:rPr>
          <w:rFonts w:ascii="Times New Roman" w:hAnsi="Times New Roman"/>
          <w:b/>
          <w:bCs/>
          <w:sz w:val="24"/>
          <w:szCs w:val="24"/>
        </w:rPr>
        <w:t>Legal Lessons Learned:</w:t>
      </w:r>
      <w:r>
        <w:rPr>
          <w:rFonts w:ascii="Times New Roman" w:hAnsi="Times New Roman"/>
          <w:b/>
          <w:bCs/>
          <w:sz w:val="24"/>
          <w:szCs w:val="24"/>
        </w:rPr>
        <w:t xml:space="preserve"> </w:t>
      </w:r>
      <w:r w:rsidRPr="006114FF">
        <w:rPr>
          <w:rFonts w:ascii="Times New Roman" w:hAnsi="Times New Roman"/>
          <w:b/>
          <w:bCs/>
          <w:sz w:val="24"/>
          <w:szCs w:val="24"/>
        </w:rPr>
        <w:t>The</w:t>
      </w:r>
      <w:r>
        <w:rPr>
          <w:rFonts w:ascii="Times New Roman" w:hAnsi="Times New Roman"/>
          <w:b/>
          <w:bCs/>
          <w:sz w:val="24"/>
          <w:szCs w:val="24"/>
        </w:rPr>
        <w:t xml:space="preserve"> </w:t>
      </w:r>
      <w:r w:rsidRPr="006114FF">
        <w:rPr>
          <w:rFonts w:ascii="Times New Roman" w:hAnsi="Times New Roman"/>
          <w:b/>
          <w:bCs/>
          <w:sz w:val="24"/>
          <w:szCs w:val="24"/>
        </w:rPr>
        <w:t>lawsuit will now proceed; hopefully the EMS run report by</w:t>
      </w:r>
      <w:r>
        <w:rPr>
          <w:rFonts w:ascii="Times New Roman" w:hAnsi="Times New Roman"/>
          <w:b/>
          <w:bCs/>
          <w:sz w:val="24"/>
          <w:szCs w:val="24"/>
        </w:rPr>
        <w:t xml:space="preserve"> </w:t>
      </w:r>
      <w:r w:rsidRPr="006114FF">
        <w:rPr>
          <w:rFonts w:ascii="Times New Roman" w:hAnsi="Times New Roman"/>
          <w:b/>
          <w:bCs/>
          <w:sz w:val="24"/>
          <w:szCs w:val="24"/>
        </w:rPr>
        <w:t>the two Gallia County EMS reflects they followed their protocol prior to deciding the victim was dead at the scene</w:t>
      </w:r>
      <w:bookmarkEnd w:id="485"/>
      <w:r w:rsidRPr="006114FF">
        <w:rPr>
          <w:rFonts w:ascii="Times New Roman" w:hAnsi="Times New Roman"/>
          <w:b/>
          <w:bCs/>
          <w:sz w:val="24"/>
          <w:szCs w:val="24"/>
        </w:rPr>
        <w:t>.</w:t>
      </w:r>
    </w:p>
    <w:p w14:paraId="7A6B150B" w14:textId="77777777" w:rsidR="00420322" w:rsidRDefault="00420322" w:rsidP="00DE0F03">
      <w:pPr>
        <w:pStyle w:val="NoSpacing"/>
        <w:rPr>
          <w:rFonts w:ascii="Arial Black" w:hAnsi="Arial Black"/>
          <w:sz w:val="24"/>
          <w:szCs w:val="24"/>
        </w:rPr>
      </w:pPr>
    </w:p>
    <w:p w14:paraId="7396A196" w14:textId="77777777" w:rsidR="00420322" w:rsidRDefault="00420322" w:rsidP="00DE0F03">
      <w:pPr>
        <w:pStyle w:val="NoSpacing"/>
        <w:rPr>
          <w:rFonts w:ascii="Arial Black" w:hAnsi="Arial Black"/>
          <w:sz w:val="24"/>
          <w:szCs w:val="24"/>
        </w:rPr>
      </w:pPr>
    </w:p>
    <w:p w14:paraId="616E9133" w14:textId="32138EFF" w:rsidR="00297434" w:rsidRDefault="00297434" w:rsidP="00DE0F03">
      <w:pPr>
        <w:pStyle w:val="NoSpacing"/>
        <w:rPr>
          <w:rFonts w:ascii="Arial Black" w:hAnsi="Arial Black"/>
          <w:sz w:val="24"/>
          <w:szCs w:val="24"/>
        </w:rPr>
      </w:pPr>
      <w:r>
        <w:rPr>
          <w:rFonts w:ascii="Arial Black" w:hAnsi="Arial Black"/>
          <w:sz w:val="24"/>
          <w:szCs w:val="24"/>
        </w:rPr>
        <w:lastRenderedPageBreak/>
        <w:t>13-3</w:t>
      </w:r>
      <w:r w:rsidR="007A1E7A">
        <w:rPr>
          <w:rFonts w:ascii="Arial Black" w:hAnsi="Arial Black"/>
          <w:sz w:val="24"/>
          <w:szCs w:val="24"/>
        </w:rPr>
        <w:t>7</w:t>
      </w:r>
    </w:p>
    <w:p w14:paraId="27ACE6B3" w14:textId="77777777" w:rsidR="00297434" w:rsidRDefault="00297434" w:rsidP="00297434">
      <w:pPr>
        <w:spacing w:before="100" w:beforeAutospacing="1" w:after="100" w:afterAutospacing="1" w:line="240" w:lineRule="auto"/>
        <w:jc w:val="both"/>
        <w:rPr>
          <w:rFonts w:ascii="Arial Black" w:hAnsi="Arial Black"/>
          <w:sz w:val="28"/>
          <w:szCs w:val="28"/>
        </w:rPr>
      </w:pPr>
      <w:bookmarkStart w:id="486" w:name="_Hlk41152441"/>
      <w:r>
        <w:rPr>
          <w:rFonts w:ascii="Arial Black" w:hAnsi="Arial Black"/>
          <w:sz w:val="28"/>
          <w:szCs w:val="28"/>
        </w:rPr>
        <w:t>OH: EMS RUN REPORT – DRIVER ADMITTED DRINKING WINE – TWO MEDICS TESTIFIED IN VEHICULAR HOMICIDE TRIAL</w:t>
      </w:r>
    </w:p>
    <w:p w14:paraId="2F1B2237" w14:textId="77777777" w:rsidR="00297434" w:rsidRDefault="00297434" w:rsidP="00297434">
      <w:pPr>
        <w:pStyle w:val="NoSpacing"/>
        <w:rPr>
          <w:rFonts w:ascii="Times New Roman" w:hAnsi="Times New Roman"/>
          <w:sz w:val="24"/>
          <w:szCs w:val="24"/>
        </w:rPr>
      </w:pPr>
      <w:r>
        <w:rPr>
          <w:rFonts w:ascii="Times New Roman" w:hAnsi="Times New Roman"/>
          <w:sz w:val="24"/>
          <w:szCs w:val="24"/>
        </w:rPr>
        <w:t xml:space="preserve">On Nov. 15, 2019, in State of </w:t>
      </w:r>
      <w:r>
        <w:rPr>
          <w:rFonts w:ascii="Times New Roman" w:hAnsi="Times New Roman"/>
          <w:sz w:val="24"/>
          <w:szCs w:val="24"/>
          <w:u w:val="single"/>
        </w:rPr>
        <w:t>Ohio v. Kathy J. Smith</w:t>
      </w:r>
      <w:r>
        <w:rPr>
          <w:rFonts w:ascii="Times New Roman" w:hAnsi="Times New Roman"/>
          <w:sz w:val="24"/>
          <w:szCs w:val="24"/>
        </w:rPr>
        <w:t>, the Court of Appeals of Ohio, Second Appellate District (Greene County) held (3 to 0) that defendant’s appeal is denied, and she must continue to serve her seven-year sentence for aggravated vehicular homicide.</w:t>
      </w:r>
    </w:p>
    <w:p w14:paraId="3EFC72DE" w14:textId="77777777" w:rsidR="00297434" w:rsidRDefault="00297434" w:rsidP="00297434">
      <w:pPr>
        <w:pStyle w:val="NoSpacing"/>
        <w:rPr>
          <w:rFonts w:ascii="Times New Roman" w:hAnsi="Times New Roman"/>
          <w:sz w:val="24"/>
          <w:szCs w:val="24"/>
        </w:rPr>
      </w:pPr>
    </w:p>
    <w:p w14:paraId="75CF9526" w14:textId="77777777" w:rsidR="00297434" w:rsidRDefault="00297434" w:rsidP="00297434">
      <w:pPr>
        <w:pStyle w:val="NoSpacing"/>
        <w:ind w:left="720"/>
        <w:rPr>
          <w:rFonts w:ascii="Times New Roman" w:hAnsi="Times New Roman"/>
          <w:sz w:val="24"/>
          <w:szCs w:val="24"/>
        </w:rPr>
      </w:pPr>
      <w:r>
        <w:rPr>
          <w:rFonts w:ascii="Times New Roman" w:hAnsi="Times New Roman"/>
          <w:sz w:val="24"/>
          <w:szCs w:val="24"/>
        </w:rPr>
        <w:t xml:space="preserve">“On appeal, Smith argues that her statements to the paramedics about drinking were analogous to the written record of those statements in the EMS run sheet. But regardless of whether the run sheet itself might or might not qualify by statute as a ‘medical record,’ we are unpersuaded that the Fourth Amendment precluded Meadows from speaking to the paramedics without a </w:t>
      </w:r>
      <w:proofErr w:type="gramStart"/>
      <w:r>
        <w:rPr>
          <w:rFonts w:ascii="Times New Roman" w:hAnsi="Times New Roman"/>
          <w:sz w:val="24"/>
          <w:szCs w:val="24"/>
        </w:rPr>
        <w:t>warrant</w:t>
      </w:r>
      <w:proofErr w:type="gramEnd"/>
      <w:r>
        <w:rPr>
          <w:rFonts w:ascii="Times New Roman" w:hAnsi="Times New Roman"/>
          <w:sz w:val="24"/>
          <w:szCs w:val="24"/>
        </w:rPr>
        <w:t xml:space="preserve"> and hearing what Smith told them about consuming alcohol. The trial court correctly found that Smith was not in law-enforcement custody when she made her voluntary statements in response to the paramedics' questions. We note too that Smith's statements were not entitled to a statutory privilege.” </w:t>
      </w:r>
      <w:hyperlink r:id="rId2404" w:history="1">
        <w:r>
          <w:rPr>
            <w:rStyle w:val="Hyperlink"/>
            <w:rFonts w:ascii="Times New Roman" w:hAnsi="Times New Roman"/>
            <w:sz w:val="24"/>
            <w:szCs w:val="24"/>
          </w:rPr>
          <w:t>https://public.fastcase.com/Wl%2B2t%2BeVuI35%2FN70vAMFZmE2ukal8IvDC5BUTFBRpPNG0o0%2FGYOYjoFH9I91Iplb</w:t>
        </w:r>
      </w:hyperlink>
      <w:r>
        <w:rPr>
          <w:rFonts w:ascii="Times New Roman" w:hAnsi="Times New Roman"/>
          <w:sz w:val="24"/>
          <w:szCs w:val="24"/>
        </w:rPr>
        <w:t xml:space="preserve"> </w:t>
      </w:r>
    </w:p>
    <w:p w14:paraId="23419F00" w14:textId="77777777" w:rsidR="00297434" w:rsidRDefault="00297434" w:rsidP="00297434">
      <w:pPr>
        <w:spacing w:after="100" w:line="240" w:lineRule="auto"/>
        <w:rPr>
          <w:rFonts w:ascii="Times New Roman" w:eastAsia="Times New Roman" w:hAnsi="Times New Roman"/>
          <w:b/>
          <w:bCs/>
          <w:sz w:val="24"/>
          <w:szCs w:val="24"/>
        </w:rPr>
      </w:pPr>
    </w:p>
    <w:p w14:paraId="2049E79E" w14:textId="277D981F" w:rsidR="00297434" w:rsidRDefault="00297434" w:rsidP="00297434">
      <w:pPr>
        <w:spacing w:after="10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EMS should record on EMS Run Report comments by patients about drinking alcohol prior to the accident, and other culpable admissions. </w:t>
      </w:r>
    </w:p>
    <w:bookmarkEnd w:id="486"/>
    <w:p w14:paraId="47968706" w14:textId="096603FC" w:rsidR="00297434" w:rsidRPr="00297434" w:rsidRDefault="00297434" w:rsidP="00297434">
      <w:pPr>
        <w:spacing w:after="100" w:line="240" w:lineRule="auto"/>
        <w:rPr>
          <w:rFonts w:ascii="Times New Roman" w:eastAsia="Times New Roman" w:hAnsi="Times New Roman"/>
          <w:sz w:val="24"/>
          <w:szCs w:val="24"/>
        </w:rPr>
      </w:pPr>
    </w:p>
    <w:p w14:paraId="29972D2D" w14:textId="77777777" w:rsidR="00297434" w:rsidRDefault="00297434" w:rsidP="00DE0F03">
      <w:pPr>
        <w:pStyle w:val="NoSpacing"/>
        <w:rPr>
          <w:rFonts w:ascii="Arial Black" w:hAnsi="Arial Black"/>
          <w:sz w:val="24"/>
          <w:szCs w:val="24"/>
        </w:rPr>
      </w:pPr>
    </w:p>
    <w:p w14:paraId="4BECA905" w14:textId="77777777" w:rsidR="00297434" w:rsidRDefault="00297434" w:rsidP="00DE0F03">
      <w:pPr>
        <w:pStyle w:val="NoSpacing"/>
        <w:rPr>
          <w:rFonts w:ascii="Arial Black" w:hAnsi="Arial Black"/>
          <w:sz w:val="24"/>
          <w:szCs w:val="24"/>
        </w:rPr>
      </w:pPr>
    </w:p>
    <w:p w14:paraId="3E6A5B86" w14:textId="6AD45D7C" w:rsidR="00297434" w:rsidRDefault="00297434" w:rsidP="00DE0F03">
      <w:pPr>
        <w:pStyle w:val="NoSpacing"/>
        <w:rPr>
          <w:rFonts w:ascii="Arial Black" w:hAnsi="Arial Black"/>
          <w:sz w:val="24"/>
          <w:szCs w:val="24"/>
        </w:rPr>
      </w:pPr>
      <w:r>
        <w:rPr>
          <w:rFonts w:ascii="Arial Black" w:hAnsi="Arial Black"/>
          <w:sz w:val="24"/>
          <w:szCs w:val="24"/>
        </w:rPr>
        <w:t>13-3</w:t>
      </w:r>
      <w:r w:rsidR="007A1E7A">
        <w:rPr>
          <w:rFonts w:ascii="Arial Black" w:hAnsi="Arial Black"/>
          <w:sz w:val="24"/>
          <w:szCs w:val="24"/>
        </w:rPr>
        <w:t>6</w:t>
      </w:r>
    </w:p>
    <w:p w14:paraId="3F680522" w14:textId="1499BF39" w:rsidR="00297434" w:rsidRDefault="00297434" w:rsidP="00DE0F03">
      <w:pPr>
        <w:pStyle w:val="NoSpacing"/>
        <w:rPr>
          <w:rFonts w:ascii="Arial Black" w:hAnsi="Arial Black"/>
          <w:sz w:val="24"/>
          <w:szCs w:val="24"/>
        </w:rPr>
      </w:pPr>
    </w:p>
    <w:p w14:paraId="49A50F24" w14:textId="77777777" w:rsidR="00297434" w:rsidRDefault="00297434" w:rsidP="00297434">
      <w:pPr>
        <w:pStyle w:val="NoSpacing"/>
        <w:rPr>
          <w:rFonts w:ascii="Arial Black" w:eastAsiaTheme="minorHAnsi" w:hAnsi="Arial Black" w:cstheme="minorBidi"/>
          <w:sz w:val="28"/>
          <w:szCs w:val="28"/>
        </w:rPr>
      </w:pPr>
      <w:bookmarkStart w:id="487" w:name="_Hlk41152474"/>
      <w:r>
        <w:rPr>
          <w:rFonts w:ascii="Arial Black" w:hAnsi="Arial Black"/>
          <w:sz w:val="28"/>
          <w:szCs w:val="28"/>
        </w:rPr>
        <w:t xml:space="preserve">IN: OPERATOR PRIVATE AMBUL. CO. INDICTED – DIALYSIS PATIENT TRANSPORTS – IMPROPERLY BILLED MEDICARE </w:t>
      </w:r>
    </w:p>
    <w:p w14:paraId="5C42B8CF" w14:textId="77777777" w:rsidR="00297434" w:rsidRDefault="00297434" w:rsidP="00297434">
      <w:pPr>
        <w:pStyle w:val="NoSpacing"/>
        <w:rPr>
          <w:rFonts w:ascii="Arial Black" w:hAnsi="Arial Black"/>
          <w:sz w:val="28"/>
          <w:szCs w:val="28"/>
        </w:rPr>
      </w:pPr>
    </w:p>
    <w:p w14:paraId="16981FD9" w14:textId="6AE5F09F" w:rsidR="00297434" w:rsidRDefault="00297434" w:rsidP="006114FF">
      <w:pPr>
        <w:pStyle w:val="NoSpacing"/>
        <w:rPr>
          <w:rFonts w:ascii="Times New Roman" w:eastAsia="Times New Roman" w:hAnsi="Times New Roman"/>
          <w:sz w:val="24"/>
          <w:szCs w:val="24"/>
        </w:rPr>
      </w:pPr>
      <w:r>
        <w:rPr>
          <w:rFonts w:ascii="On Times New Roman" w:hAnsi="On Times New Roman"/>
          <w:sz w:val="24"/>
          <w:szCs w:val="24"/>
        </w:rPr>
        <w:t xml:space="preserve">On Nov. 15, 2019, in </w:t>
      </w:r>
      <w:r>
        <w:rPr>
          <w:rFonts w:ascii="On Times New Roman" w:hAnsi="On Times New Roman"/>
          <w:sz w:val="24"/>
          <w:szCs w:val="24"/>
          <w:u w:val="single"/>
        </w:rPr>
        <w:t>United States v. Basil Ubanwa</w:t>
      </w:r>
      <w:r>
        <w:rPr>
          <w:rFonts w:ascii="On Times New Roman" w:hAnsi="On Times New Roman"/>
          <w:sz w:val="24"/>
          <w:szCs w:val="24"/>
        </w:rPr>
        <w:t xml:space="preserve">, U.S. District Court of Northern District of Indiana,  Chief Judge Theresa L. Springmann denied defense motion to dismiss the indictment.  </w:t>
      </w:r>
    </w:p>
    <w:bookmarkEnd w:id="487"/>
    <w:p w14:paraId="650A8280" w14:textId="77777777" w:rsidR="00297434" w:rsidRDefault="00297434" w:rsidP="00297434">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 xml:space="preserve">“[FBI] Agent Pawelko testified as follows: Based on—based on the people we had spoken to and the things we've reviewed, it does appear that, number one, the majority of people that Northwest was transporting during the time of our investigation were patients being transported to and from dialysis, which is a form of - it's a nonemergency transportation. And so far, what we've seen does support the allegation that they are transporting patients who do not qualify for this type </w:t>
      </w:r>
      <w:r>
        <w:rPr>
          <w:rFonts w:ascii="Times New Roman" w:hAnsi="Times New Roman"/>
          <w:sz w:val="24"/>
          <w:szCs w:val="24"/>
        </w:rPr>
        <w:t xml:space="preserve">of transportation. </w:t>
      </w:r>
      <w:proofErr w:type="gramStart"/>
      <w:r>
        <w:rPr>
          <w:rFonts w:ascii="Times New Roman" w:hAnsi="Times New Roman"/>
          <w:sz w:val="24"/>
          <w:szCs w:val="24"/>
        </w:rPr>
        <w:t>There's</w:t>
      </w:r>
      <w:proofErr w:type="gramEnd"/>
      <w:r>
        <w:rPr>
          <w:rFonts w:ascii="Times New Roman" w:hAnsi="Times New Roman"/>
          <w:sz w:val="24"/>
          <w:szCs w:val="24"/>
        </w:rPr>
        <w:t xml:space="preserve"> many indicators that these patients are capable of being transported to dialysis and other places by different means.</w:t>
      </w:r>
    </w:p>
    <w:p w14:paraId="5F3D4AF4" w14:textId="77777777" w:rsidR="00297434" w:rsidRDefault="00297434" w:rsidP="00297434">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4D716668" w14:textId="77777777" w:rsidR="00297434" w:rsidRDefault="00297434" w:rsidP="00297434">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Carlos Trevino, an Emergency Medical Technician and employee of Northwest Ambulance, was then called to testify before the Grand Jury. Ex. C, pp. 2, 5-6, ECF No. 25-3. In essence, Trevino testified that the Defendant directed his employees to alter and fabricate documents so that Medicare would reimburse Northwest Ambulance for transporting patients who did not qualify for ambulance transportation. </w:t>
      </w:r>
      <w:r>
        <w:rPr>
          <w:rFonts w:ascii="Times New Roman" w:hAnsi="Times New Roman"/>
          <w:i/>
          <w:iCs/>
          <w:sz w:val="24"/>
          <w:szCs w:val="24"/>
        </w:rPr>
        <w:t>See</w:t>
      </w:r>
      <w:r>
        <w:rPr>
          <w:rFonts w:ascii="Times New Roman" w:hAnsi="Times New Roman"/>
          <w:sz w:val="24"/>
          <w:szCs w:val="24"/>
        </w:rPr>
        <w:t xml:space="preserve">, </w:t>
      </w:r>
      <w:r>
        <w:rPr>
          <w:rFonts w:ascii="Times New Roman" w:hAnsi="Times New Roman"/>
          <w:i/>
          <w:iCs/>
          <w:sz w:val="24"/>
          <w:szCs w:val="24"/>
        </w:rPr>
        <w:t>e</w:t>
      </w:r>
      <w:r>
        <w:rPr>
          <w:rFonts w:ascii="Times New Roman" w:hAnsi="Times New Roman"/>
          <w:sz w:val="24"/>
          <w:szCs w:val="24"/>
        </w:rPr>
        <w:t>.</w:t>
      </w:r>
      <w:r>
        <w:rPr>
          <w:rFonts w:ascii="Times New Roman" w:hAnsi="Times New Roman"/>
          <w:i/>
          <w:iCs/>
          <w:sz w:val="24"/>
          <w:szCs w:val="24"/>
        </w:rPr>
        <w:t>g</w:t>
      </w:r>
      <w:r>
        <w:rPr>
          <w:rFonts w:ascii="Times New Roman" w:hAnsi="Times New Roman"/>
          <w:sz w:val="24"/>
          <w:szCs w:val="24"/>
        </w:rPr>
        <w:t xml:space="preserve">., </w:t>
      </w:r>
      <w:r>
        <w:rPr>
          <w:rFonts w:ascii="Times New Roman" w:hAnsi="Times New Roman"/>
          <w:i/>
          <w:iCs/>
          <w:sz w:val="24"/>
          <w:szCs w:val="24"/>
        </w:rPr>
        <w:t>id</w:t>
      </w:r>
      <w:r>
        <w:rPr>
          <w:rFonts w:ascii="Times New Roman" w:hAnsi="Times New Roman"/>
          <w:sz w:val="24"/>
          <w:szCs w:val="24"/>
        </w:rPr>
        <w:t xml:space="preserve">. </w:t>
      </w:r>
      <w:proofErr w:type="gramStart"/>
      <w:r>
        <w:rPr>
          <w:rFonts w:ascii="Times New Roman" w:hAnsi="Times New Roman"/>
          <w:sz w:val="24"/>
          <w:szCs w:val="24"/>
        </w:rPr>
        <w:t>at</w:t>
      </w:r>
      <w:proofErr w:type="gramEnd"/>
      <w:r>
        <w:rPr>
          <w:rFonts w:ascii="Times New Roman" w:hAnsi="Times New Roman"/>
          <w:sz w:val="24"/>
          <w:szCs w:val="24"/>
        </w:rPr>
        <w:t xml:space="preserve"> 12, 24-27, 44-45, 52. The Prosecutor also discussed various patients that </w:t>
      </w:r>
      <w:r>
        <w:rPr>
          <w:rFonts w:ascii="Times New Roman" w:hAnsi="Times New Roman"/>
          <w:sz w:val="24"/>
          <w:szCs w:val="24"/>
        </w:rPr>
        <w:lastRenderedPageBreak/>
        <w:t xml:space="preserve">Northwest Ambulance had transported, and Trevino offered his opinion on whether those patients qualified for transport under the applicable Medicare regulations. </w:t>
      </w:r>
      <w:r>
        <w:rPr>
          <w:rFonts w:ascii="Times New Roman" w:hAnsi="Times New Roman"/>
          <w:i/>
          <w:iCs/>
          <w:sz w:val="24"/>
          <w:szCs w:val="24"/>
        </w:rPr>
        <w:t>Id</w:t>
      </w:r>
      <w:r>
        <w:rPr>
          <w:rFonts w:ascii="Times New Roman" w:hAnsi="Times New Roman"/>
          <w:sz w:val="24"/>
          <w:szCs w:val="24"/>
        </w:rPr>
        <w:t xml:space="preserve">. </w:t>
      </w:r>
      <w:proofErr w:type="gramStart"/>
      <w:r>
        <w:rPr>
          <w:rFonts w:ascii="Times New Roman" w:hAnsi="Times New Roman"/>
          <w:sz w:val="24"/>
          <w:szCs w:val="24"/>
        </w:rPr>
        <w:t>at</w:t>
      </w:r>
      <w:proofErr w:type="gramEnd"/>
      <w:r>
        <w:rPr>
          <w:rFonts w:ascii="Times New Roman" w:hAnsi="Times New Roman"/>
          <w:sz w:val="24"/>
          <w:szCs w:val="24"/>
        </w:rPr>
        <w:t xml:space="preserve"> 29, 31, 34. The Prosecutor also asked Trevino the following question: "how many millions of dollars was paid out by Medicaid for the transportation of [the] patients?" </w:t>
      </w:r>
      <w:r>
        <w:rPr>
          <w:rFonts w:ascii="Times New Roman" w:hAnsi="Times New Roman"/>
          <w:i/>
          <w:iCs/>
          <w:sz w:val="24"/>
          <w:szCs w:val="24"/>
        </w:rPr>
        <w:t>Id</w:t>
      </w:r>
      <w:r>
        <w:rPr>
          <w:rFonts w:ascii="Times New Roman" w:hAnsi="Times New Roman"/>
          <w:sz w:val="24"/>
          <w:szCs w:val="24"/>
        </w:rPr>
        <w:t xml:space="preserve">. at 54. Trevino responded that he did not know. </w:t>
      </w:r>
      <w:r>
        <w:rPr>
          <w:rFonts w:ascii="Times New Roman" w:hAnsi="Times New Roman"/>
          <w:i/>
          <w:iCs/>
          <w:sz w:val="24"/>
          <w:szCs w:val="24"/>
        </w:rPr>
        <w:t>Id</w:t>
      </w:r>
      <w:r>
        <w:rPr>
          <w:rFonts w:ascii="Times New Roman" w:hAnsi="Times New Roman"/>
          <w:sz w:val="24"/>
          <w:szCs w:val="24"/>
        </w:rPr>
        <w:t xml:space="preserve">. The Prosecutor then asked a follow up question: "Would it surprise you to know it's 3 or 4 million dollars?" </w:t>
      </w:r>
      <w:r>
        <w:rPr>
          <w:rFonts w:ascii="Times New Roman" w:hAnsi="Times New Roman"/>
          <w:i/>
          <w:iCs/>
          <w:sz w:val="24"/>
          <w:szCs w:val="24"/>
        </w:rPr>
        <w:t>Id</w:t>
      </w:r>
      <w:r>
        <w:rPr>
          <w:rFonts w:ascii="Times New Roman" w:hAnsi="Times New Roman"/>
          <w:sz w:val="24"/>
          <w:szCs w:val="24"/>
        </w:rPr>
        <w:t xml:space="preserve">. Trevino answered, "That is surprising, yes." </w:t>
      </w:r>
      <w:r>
        <w:rPr>
          <w:rFonts w:ascii="Times New Roman" w:hAnsi="Times New Roman"/>
          <w:i/>
          <w:iCs/>
          <w:sz w:val="24"/>
          <w:szCs w:val="24"/>
        </w:rPr>
        <w:t>Id</w:t>
      </w:r>
      <w:r>
        <w:rPr>
          <w:rFonts w:ascii="Times New Roman" w:hAnsi="Times New Roman"/>
          <w:sz w:val="24"/>
          <w:szCs w:val="24"/>
        </w:rPr>
        <w:t xml:space="preserve">. </w:t>
      </w:r>
      <w:bookmarkStart w:id="488" w:name="_Hlk41152492"/>
      <w:r w:rsidR="00F37A4B">
        <w:fldChar w:fldCharType="begin"/>
      </w:r>
      <w:r w:rsidR="00F37A4B">
        <w:instrText xml:space="preserve"> HYPERLINK "https://public.fastcase.com/Wl%2B2t%2BeVuI35%2FN70vAMFZlf8DDiJ0IlZyenM%2FaRiHEaOXnxs5YVKmrc22QWJLh0q" </w:instrText>
      </w:r>
      <w:r w:rsidR="00F37A4B">
        <w:fldChar w:fldCharType="separate"/>
      </w:r>
      <w:r>
        <w:rPr>
          <w:rStyle w:val="Hyperlink"/>
          <w:rFonts w:ascii="Times New Roman" w:hAnsi="Times New Roman"/>
          <w:sz w:val="24"/>
          <w:szCs w:val="24"/>
        </w:rPr>
        <w:t>https://public.fastcase.com/Wl%2B2t%2BeVuI35%2FN70vAMFZlf8DDiJ0IlZyenM%2FaRiHEaOXnxs5YVKmrc22QWJLh0q</w:t>
      </w:r>
      <w:r w:rsidR="00F37A4B">
        <w:rPr>
          <w:rStyle w:val="Hyperlink"/>
          <w:rFonts w:ascii="Times New Roman" w:hAnsi="Times New Roman"/>
          <w:sz w:val="24"/>
          <w:szCs w:val="24"/>
        </w:rPr>
        <w:fldChar w:fldCharType="end"/>
      </w:r>
      <w:r>
        <w:rPr>
          <w:rFonts w:ascii="Times New Roman" w:hAnsi="Times New Roman"/>
          <w:sz w:val="24"/>
          <w:szCs w:val="24"/>
        </w:rPr>
        <w:t xml:space="preserve"> </w:t>
      </w:r>
    </w:p>
    <w:p w14:paraId="4B30869E" w14:textId="77777777" w:rsidR="00297434" w:rsidRDefault="00297434" w:rsidP="00297434">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 xml:space="preserve">Legal Lessons Learned: Federal government continues widespread investigation of Medicare fraud.  </w:t>
      </w:r>
      <w:hyperlink r:id="rId2405" w:history="1">
        <w:r>
          <w:rPr>
            <w:rStyle w:val="Hyperlink"/>
            <w:rFonts w:ascii="Times New Roman" w:hAnsi="Times New Roman"/>
            <w:b/>
            <w:bCs/>
            <w:sz w:val="24"/>
            <w:szCs w:val="24"/>
          </w:rPr>
          <w:t>https://oig.hhs.gov/fraud/strike-force/</w:t>
        </w:r>
      </w:hyperlink>
      <w:r>
        <w:rPr>
          <w:rFonts w:ascii="Times New Roman" w:hAnsi="Times New Roman"/>
          <w:b/>
          <w:bCs/>
          <w:sz w:val="24"/>
          <w:szCs w:val="24"/>
        </w:rPr>
        <w:t xml:space="preserve">  “First established in March 2007, Strike Force teams currently operate in the following areas: Miami, Florida; Los Angeles, California; Detroit, Michigan; Houston, Texas; Brooklyn, New York; Baton Rouge and New Orleans, Louisiana; Tampa and Orlando, Florida; Chicago, Illinois; Dallas, Texas; Washington, D.C.; Newark, New Jersey/Philadelphia, Pennsylvania; and the Appalachian Region.”</w:t>
      </w:r>
    </w:p>
    <w:bookmarkEnd w:id="488"/>
    <w:p w14:paraId="446F30BF" w14:textId="77777777" w:rsidR="00297434" w:rsidRDefault="00297434" w:rsidP="00DE0F03">
      <w:pPr>
        <w:pStyle w:val="NoSpacing"/>
        <w:rPr>
          <w:rFonts w:ascii="Arial Black" w:hAnsi="Arial Black"/>
          <w:sz w:val="24"/>
          <w:szCs w:val="24"/>
        </w:rPr>
      </w:pPr>
    </w:p>
    <w:p w14:paraId="3A7641FC" w14:textId="280F6F56" w:rsidR="00297434" w:rsidRDefault="00297434" w:rsidP="00DE0F03">
      <w:pPr>
        <w:pStyle w:val="NoSpacing"/>
        <w:rPr>
          <w:rFonts w:ascii="Arial Black" w:hAnsi="Arial Black"/>
          <w:sz w:val="24"/>
          <w:szCs w:val="24"/>
        </w:rPr>
      </w:pPr>
      <w:r>
        <w:rPr>
          <w:rFonts w:ascii="Arial Black" w:hAnsi="Arial Black"/>
          <w:sz w:val="24"/>
          <w:szCs w:val="24"/>
        </w:rPr>
        <w:t>13-3</w:t>
      </w:r>
      <w:r w:rsidR="007A1E7A">
        <w:rPr>
          <w:rFonts w:ascii="Arial Black" w:hAnsi="Arial Black"/>
          <w:sz w:val="24"/>
          <w:szCs w:val="24"/>
        </w:rPr>
        <w:t>5</w:t>
      </w:r>
    </w:p>
    <w:p w14:paraId="51CFF4A9" w14:textId="77777777" w:rsidR="00297434" w:rsidRDefault="00297434" w:rsidP="00297434">
      <w:pPr>
        <w:spacing w:before="100" w:beforeAutospacing="1" w:after="100" w:afterAutospacing="1" w:line="240" w:lineRule="auto"/>
        <w:rPr>
          <w:rFonts w:ascii="Arial Black" w:eastAsia="Times New Roman" w:hAnsi="Arial Black"/>
          <w:b/>
          <w:bCs/>
          <w:sz w:val="28"/>
          <w:szCs w:val="28"/>
        </w:rPr>
      </w:pPr>
      <w:bookmarkStart w:id="489" w:name="_Hlk41152552"/>
      <w:bookmarkStart w:id="490" w:name="_Hlk41293717"/>
      <w:r>
        <w:rPr>
          <w:rFonts w:ascii="Arial Black" w:hAnsi="Arial Black"/>
          <w:b/>
          <w:bCs/>
          <w:sz w:val="28"/>
          <w:szCs w:val="28"/>
        </w:rPr>
        <w:t>NY:  UNCONSCIOUS PATIENT – 37 MIN. DELAY - PD RE-DIRECTED TO ANOTHER PATIENT – PATIENT DIED - LAWSUIT MAY PROCEED</w:t>
      </w:r>
    </w:p>
    <w:p w14:paraId="31E9D7E7" w14:textId="77777777" w:rsidR="00297434" w:rsidRPr="00E265AB" w:rsidRDefault="00297434" w:rsidP="00297434">
      <w:pPr>
        <w:pStyle w:val="NoSpacing"/>
        <w:rPr>
          <w:rFonts w:ascii="Times New Roman" w:eastAsiaTheme="minorHAnsi" w:hAnsi="Times New Roman"/>
          <w:sz w:val="24"/>
          <w:szCs w:val="24"/>
        </w:rPr>
      </w:pPr>
      <w:r w:rsidRPr="00E265AB">
        <w:rPr>
          <w:rFonts w:ascii="Times New Roman" w:hAnsi="Times New Roman"/>
          <w:sz w:val="24"/>
          <w:szCs w:val="24"/>
        </w:rPr>
        <w:t xml:space="preserve">On Nov. 7, 2019, in </w:t>
      </w:r>
      <w:r w:rsidRPr="00E265AB">
        <w:rPr>
          <w:rFonts w:ascii="Times New Roman" w:hAnsi="Times New Roman"/>
          <w:sz w:val="24"/>
          <w:szCs w:val="24"/>
          <w:u w:val="single"/>
        </w:rPr>
        <w:t>Michael Mannino, as Administrator of the Estate of Carmen Mannino v. The City of New York</w:t>
      </w:r>
      <w:r w:rsidRPr="00E265AB">
        <w:rPr>
          <w:rFonts w:ascii="Times New Roman" w:hAnsi="Times New Roman"/>
          <w:sz w:val="24"/>
          <w:szCs w:val="24"/>
        </w:rPr>
        <w:t xml:space="preserve">, Supreme Court of New York, New York County (Part 5), Justice Verna L. Saunders, denied the City’s motion for summary judgment. </w:t>
      </w:r>
    </w:p>
    <w:p w14:paraId="730C90F5" w14:textId="77777777" w:rsidR="00297434" w:rsidRDefault="00297434" w:rsidP="00297434">
      <w:pPr>
        <w:pStyle w:val="NoSpacing"/>
        <w:rPr>
          <w:rFonts w:ascii="On Times New Roman" w:hAnsi="On Times New Roman"/>
          <w:sz w:val="24"/>
          <w:szCs w:val="24"/>
        </w:rPr>
      </w:pPr>
    </w:p>
    <w:bookmarkEnd w:id="489"/>
    <w:p w14:paraId="653113F7" w14:textId="0E2FE895" w:rsidR="00297434" w:rsidRDefault="00297434" w:rsidP="00297434">
      <w:pPr>
        <w:pStyle w:val="NoSpacing"/>
        <w:ind w:left="720"/>
        <w:rPr>
          <w:rFonts w:ascii="Times New Roman" w:hAnsi="Times New Roman"/>
          <w:sz w:val="24"/>
          <w:szCs w:val="24"/>
        </w:rPr>
      </w:pPr>
      <w:r>
        <w:rPr>
          <w:rFonts w:ascii="Times New Roman" w:hAnsi="Times New Roman"/>
          <w:sz w:val="24"/>
          <w:szCs w:val="24"/>
        </w:rPr>
        <w:t xml:space="preserve">“Moreover, it is clear from the facts presented that reasonable minds may differ as to whether the dispatcher made the appropriate inquires in order to dispatch the most suitable unit to plaintiff's home; whether the thirty-seven minutes that elapsed between Mr. Mannino's first 911 call and FDNY's ultimate arrival to his home constitutes a breach of duty where Mr. Mannino called 911 three times and was never informed that </w:t>
      </w:r>
    </w:p>
    <w:p w14:paraId="26D7E444" w14:textId="77777777" w:rsidR="00297434" w:rsidRDefault="00297434" w:rsidP="00297434">
      <w:pPr>
        <w:pStyle w:val="NoSpacing"/>
        <w:ind w:left="720"/>
        <w:rPr>
          <w:rFonts w:ascii="Times New Roman" w:hAnsi="Times New Roman"/>
          <w:sz w:val="24"/>
          <w:szCs w:val="24"/>
        </w:rPr>
      </w:pPr>
      <w:r>
        <w:rPr>
          <w:rFonts w:ascii="Times New Roman" w:hAnsi="Times New Roman"/>
          <w:sz w:val="24"/>
          <w:szCs w:val="24"/>
        </w:rPr>
        <w:t xml:space="preserve">there was a delay due to the initial ambulance being stopped by NYPD; and finally, whether plaintiff's reliance on the statements of the dispatcher was reasonable where on three separate occasions he informed the 911 of dispatch of his wife's condition and each time was told that ‘they will take care of it.’ The City's assertion in reply, that plaintiff did not report to the dispatcher his wife's "deteriorating" condition is without merit as it is the dispatcher who elicits relevant information through questioning. Furthermore, the information provided to the dispatcher over the course of the multiple 911 calls resulted in plaintiff's priority increasing with each call, with the final call being given top priority and an ALS unit assignment. </w:t>
      </w:r>
      <w:bookmarkStart w:id="491" w:name="_Hlk41152572"/>
      <w:r w:rsidR="00F37A4B">
        <w:fldChar w:fldCharType="begin"/>
      </w:r>
      <w:r w:rsidR="00F37A4B">
        <w:instrText xml:space="preserve"> HYPERLINK "https://public.fastcase.com/Wl%2B2t%2BeVuI35%2FN70vAMFZi1T3lhea37qRbZrbVg21pm1BEJfSmxcdX46bLXGGvU2" </w:instrText>
      </w:r>
      <w:r w:rsidR="00F37A4B">
        <w:fldChar w:fldCharType="separate"/>
      </w:r>
      <w:r>
        <w:rPr>
          <w:rStyle w:val="Hyperlink"/>
          <w:rFonts w:ascii="Times New Roman" w:hAnsi="Times New Roman"/>
          <w:sz w:val="24"/>
          <w:szCs w:val="24"/>
        </w:rPr>
        <w:t>https://public.fastcase.com/Wl%2B2t%2BeVuI35%2FN70vAMFZi1T3lhea37qRbZrbVg21pm1BEJfSmxcdX46bLXGGvU2</w:t>
      </w:r>
      <w:r w:rsidR="00F37A4B">
        <w:rPr>
          <w:rStyle w:val="Hyperlink"/>
          <w:rFonts w:ascii="Times New Roman" w:hAnsi="Times New Roman"/>
          <w:sz w:val="24"/>
          <w:szCs w:val="24"/>
        </w:rPr>
        <w:fldChar w:fldCharType="end"/>
      </w:r>
      <w:r>
        <w:rPr>
          <w:rFonts w:ascii="Times New Roman" w:hAnsi="Times New Roman"/>
          <w:sz w:val="24"/>
          <w:szCs w:val="24"/>
        </w:rPr>
        <w:t xml:space="preserve"> </w:t>
      </w:r>
    </w:p>
    <w:p w14:paraId="435CD002" w14:textId="77777777" w:rsidR="00297434" w:rsidRDefault="00297434" w:rsidP="00297434">
      <w:pPr>
        <w:pStyle w:val="NoSpacing"/>
        <w:ind w:left="720"/>
        <w:rPr>
          <w:rFonts w:ascii="Times New Roman" w:hAnsi="Times New Roman"/>
          <w:sz w:val="24"/>
          <w:szCs w:val="24"/>
        </w:rPr>
      </w:pPr>
    </w:p>
    <w:p w14:paraId="7964A838" w14:textId="77777777" w:rsidR="00297434" w:rsidRDefault="00297434" w:rsidP="00297434">
      <w:pPr>
        <w:pStyle w:val="NoSpacing"/>
        <w:rPr>
          <w:rFonts w:ascii="Times New Roman" w:hAnsi="Times New Roman"/>
          <w:b/>
          <w:bCs/>
          <w:sz w:val="24"/>
          <w:szCs w:val="24"/>
        </w:rPr>
      </w:pPr>
      <w:r>
        <w:rPr>
          <w:rFonts w:ascii="Times New Roman" w:hAnsi="Times New Roman"/>
          <w:b/>
          <w:bCs/>
          <w:sz w:val="24"/>
          <w:szCs w:val="24"/>
        </w:rPr>
        <w:t xml:space="preserve">Legal Lessons Learned: If an ambulance is re-directed on another run, dispatch should inform the 911 caller of the delay. </w:t>
      </w:r>
    </w:p>
    <w:bookmarkEnd w:id="490"/>
    <w:bookmarkEnd w:id="491"/>
    <w:p w14:paraId="31E24DD0" w14:textId="259664FB" w:rsidR="00297434" w:rsidRDefault="00297434" w:rsidP="00DE0F03">
      <w:pPr>
        <w:pStyle w:val="NoSpacing"/>
        <w:rPr>
          <w:rFonts w:ascii="Arial Black" w:hAnsi="Arial Black"/>
          <w:sz w:val="24"/>
          <w:szCs w:val="24"/>
        </w:rPr>
      </w:pPr>
    </w:p>
    <w:p w14:paraId="2DF47F9E" w14:textId="77777777" w:rsidR="006114FF" w:rsidRDefault="006114FF" w:rsidP="00DE0F03">
      <w:pPr>
        <w:pStyle w:val="NoSpacing"/>
        <w:rPr>
          <w:rFonts w:ascii="Arial Black" w:hAnsi="Arial Black"/>
          <w:sz w:val="24"/>
          <w:szCs w:val="24"/>
        </w:rPr>
      </w:pPr>
    </w:p>
    <w:p w14:paraId="3B84534E" w14:textId="77777777" w:rsidR="006114FF" w:rsidRDefault="006114FF" w:rsidP="00DE0F03">
      <w:pPr>
        <w:pStyle w:val="NoSpacing"/>
        <w:rPr>
          <w:rFonts w:ascii="Arial Black" w:hAnsi="Arial Black"/>
          <w:sz w:val="24"/>
          <w:szCs w:val="24"/>
        </w:rPr>
      </w:pPr>
    </w:p>
    <w:p w14:paraId="5129AE77" w14:textId="17D0ACDD" w:rsidR="007A1E7A" w:rsidRDefault="005C30A4" w:rsidP="00DE0F03">
      <w:pPr>
        <w:pStyle w:val="NoSpacing"/>
        <w:rPr>
          <w:rFonts w:ascii="Arial Black" w:hAnsi="Arial Black"/>
          <w:sz w:val="24"/>
          <w:szCs w:val="24"/>
        </w:rPr>
      </w:pPr>
      <w:r>
        <w:rPr>
          <w:rFonts w:ascii="Arial Black" w:hAnsi="Arial Black"/>
          <w:sz w:val="24"/>
          <w:szCs w:val="24"/>
        </w:rPr>
        <w:t>13-34</w:t>
      </w:r>
    </w:p>
    <w:p w14:paraId="1AB13479" w14:textId="77777777" w:rsidR="007A1E7A" w:rsidRPr="007D1530" w:rsidRDefault="007A1E7A" w:rsidP="007A1E7A">
      <w:pPr>
        <w:spacing w:before="100" w:beforeAutospacing="1" w:after="100" w:afterAutospacing="1" w:line="240" w:lineRule="auto"/>
        <w:rPr>
          <w:rFonts w:ascii="Arial Black" w:eastAsia="Times New Roman" w:hAnsi="Arial Black"/>
          <w:b/>
          <w:bCs/>
          <w:sz w:val="28"/>
          <w:szCs w:val="28"/>
        </w:rPr>
      </w:pPr>
      <w:bookmarkStart w:id="492" w:name="_Hlk34226456"/>
      <w:bookmarkStart w:id="493" w:name="_Hlk41152597"/>
      <w:r w:rsidRPr="007D1530">
        <w:rPr>
          <w:rFonts w:ascii="Arial Black" w:eastAsia="Times New Roman" w:hAnsi="Arial Black"/>
          <w:b/>
          <w:bCs/>
          <w:sz w:val="28"/>
          <w:szCs w:val="28"/>
        </w:rPr>
        <w:lastRenderedPageBreak/>
        <w:t>MD:</w:t>
      </w:r>
      <w:r>
        <w:rPr>
          <w:rFonts w:ascii="Arial Black" w:eastAsia="Times New Roman" w:hAnsi="Arial Black"/>
          <w:b/>
          <w:bCs/>
          <w:sz w:val="28"/>
          <w:szCs w:val="28"/>
        </w:rPr>
        <w:t xml:space="preserve">  CARDIAC RUN - PATIENT WALKED TO AMBULANCE, TO WHEELCHAIR - $3.7M JURY REVERSED - NOT “GROSS NEGLIENCE” </w:t>
      </w:r>
    </w:p>
    <w:bookmarkEnd w:id="492"/>
    <w:p w14:paraId="1B36C2A7" w14:textId="77777777" w:rsidR="007A1E7A" w:rsidRPr="004B30C8" w:rsidRDefault="007A1E7A" w:rsidP="007A1E7A">
      <w:pPr>
        <w:pStyle w:val="NoSpacing"/>
        <w:rPr>
          <w:rFonts w:ascii="Times New Roman" w:hAnsi="Times New Roman"/>
          <w:b/>
          <w:bCs/>
          <w:sz w:val="24"/>
          <w:szCs w:val="24"/>
        </w:rPr>
      </w:pPr>
      <w:r w:rsidRPr="004B30C8">
        <w:rPr>
          <w:rFonts w:ascii="Times New Roman" w:eastAsia="Times New Roman" w:hAnsi="Times New Roman"/>
          <w:bCs/>
          <w:sz w:val="24"/>
          <w:szCs w:val="24"/>
        </w:rPr>
        <w:t xml:space="preserve">On Aug. 16, 2019, in </w:t>
      </w:r>
      <w:r w:rsidRPr="004B30C8">
        <w:rPr>
          <w:rFonts w:ascii="Times New Roman" w:eastAsia="Times New Roman" w:hAnsi="Times New Roman"/>
          <w:bCs/>
          <w:sz w:val="24"/>
          <w:szCs w:val="24"/>
          <w:u w:val="single"/>
        </w:rPr>
        <w:t>Joseph Strackle, et al. v. Estate of Kerry Butler, Jr</w:t>
      </w:r>
      <w:r w:rsidRPr="004B30C8">
        <w:rPr>
          <w:rFonts w:ascii="Times New Roman" w:eastAsia="Times New Roman" w:hAnsi="Times New Roman"/>
          <w:bCs/>
          <w:sz w:val="24"/>
          <w:szCs w:val="24"/>
        </w:rPr>
        <w:t xml:space="preserve">., the Maryland Court of Appeals (4 to 3), reversed the Court of Special Appeals, and agreed with the trial judge that the paramedics were not grossly negligent.  Plaintiff alleged breach of City of Baltimore FD protocol when the patient walked from his home to the ambulance, and upon arrival at hospital walked from ambulance to wheelchair.  The jury verdict of </w:t>
      </w:r>
      <w:r w:rsidRPr="004B30C8">
        <w:rPr>
          <w:rFonts w:ascii="Times New Roman" w:hAnsi="Times New Roman"/>
          <w:bCs/>
          <w:sz w:val="24"/>
          <w:szCs w:val="24"/>
        </w:rPr>
        <w:t xml:space="preserve">$3,707,000 was set aside by the trial </w:t>
      </w:r>
      <w:proofErr w:type="gramStart"/>
      <w:r w:rsidRPr="004B30C8">
        <w:rPr>
          <w:rFonts w:ascii="Times New Roman" w:hAnsi="Times New Roman"/>
          <w:bCs/>
          <w:sz w:val="24"/>
          <w:szCs w:val="24"/>
        </w:rPr>
        <w:t>judge, but</w:t>
      </w:r>
      <w:proofErr w:type="gramEnd"/>
      <w:r w:rsidRPr="004B30C8">
        <w:rPr>
          <w:rFonts w:ascii="Times New Roman" w:hAnsi="Times New Roman"/>
          <w:bCs/>
          <w:sz w:val="24"/>
          <w:szCs w:val="24"/>
        </w:rPr>
        <w:t xml:space="preserve"> reinstated by the Special Court of Appeals; the paramedics appealed to Maryland Court of Appeals, which set aside the jury verdict. </w:t>
      </w:r>
    </w:p>
    <w:bookmarkEnd w:id="493"/>
    <w:p w14:paraId="1ED63917" w14:textId="77777777" w:rsidR="007A1E7A" w:rsidRPr="004B30C8" w:rsidRDefault="007A1E7A" w:rsidP="007A1E7A">
      <w:pPr>
        <w:pStyle w:val="NoSpacing"/>
        <w:rPr>
          <w:rFonts w:ascii="Times New Roman" w:hAnsi="Times New Roman"/>
          <w:b/>
          <w:bCs/>
          <w:sz w:val="24"/>
          <w:szCs w:val="24"/>
        </w:rPr>
      </w:pPr>
    </w:p>
    <w:p w14:paraId="1B58F895" w14:textId="77777777" w:rsidR="007A1E7A" w:rsidRPr="004B30C8" w:rsidRDefault="007A1E7A" w:rsidP="007A1E7A">
      <w:pPr>
        <w:pStyle w:val="NoSpacing"/>
        <w:ind w:left="720"/>
        <w:rPr>
          <w:rFonts w:ascii="Times New Roman" w:hAnsi="Times New Roman"/>
          <w:b/>
          <w:bCs/>
          <w:sz w:val="24"/>
          <w:szCs w:val="24"/>
        </w:rPr>
      </w:pPr>
      <w:r w:rsidRPr="004B30C8">
        <w:rPr>
          <w:rFonts w:ascii="Times New Roman" w:hAnsi="Times New Roman"/>
          <w:bCs/>
          <w:sz w:val="24"/>
          <w:szCs w:val="24"/>
        </w:rPr>
        <w:t xml:space="preserve">“Petitioners [paramedics] assessed the patient, took his vitals, and promptly transported him to the nearest hospital within approximately seven minutes of first arriving on the scene. Based on the evidence presented at trial, the jury could not have found that Petitioners were grossly negligent by a preponderance of the evidence. We further conclude that </w:t>
      </w:r>
      <w:proofErr w:type="spellStart"/>
      <w:r w:rsidRPr="004B30C8">
        <w:rPr>
          <w:rFonts w:ascii="Times New Roman" w:hAnsi="Times New Roman"/>
          <w:bCs/>
          <w:sz w:val="24"/>
          <w:szCs w:val="24"/>
        </w:rPr>
        <w:t>Cts</w:t>
      </w:r>
      <w:proofErr w:type="spellEnd"/>
      <w:r w:rsidRPr="004B30C8">
        <w:rPr>
          <w:rFonts w:ascii="Times New Roman" w:hAnsi="Times New Roman"/>
          <w:bCs/>
          <w:sz w:val="24"/>
          <w:szCs w:val="24"/>
        </w:rPr>
        <w:t xml:space="preserve">. &amp; Jud. Proc. § 5-604(a) unambiguously confers immunity upon municipal fire departments in simple negligence claims. *** Finally, the practical implications of holding otherwise cannot be overstated. Concluding that Petitioners were grossly negligent would have a negative impact on not only the number of individuals who seek employment as first responders in the </w:t>
      </w:r>
      <w:proofErr w:type="gramStart"/>
      <w:r w:rsidRPr="004B30C8">
        <w:rPr>
          <w:rFonts w:ascii="Times New Roman" w:hAnsi="Times New Roman"/>
          <w:bCs/>
          <w:sz w:val="24"/>
          <w:szCs w:val="24"/>
        </w:rPr>
        <w:t>future, but</w:t>
      </w:r>
      <w:proofErr w:type="gramEnd"/>
      <w:r w:rsidRPr="004B30C8">
        <w:rPr>
          <w:rFonts w:ascii="Times New Roman" w:hAnsi="Times New Roman"/>
          <w:bCs/>
          <w:sz w:val="24"/>
          <w:szCs w:val="24"/>
        </w:rPr>
        <w:t xml:space="preserve"> would create a chilling effect on their conduct. First responders must have broad discretion to proceed in their assessment and treatment of patients without the fear of liability. *** We conclude that there was not sufficient evidence to establish that Petitioners [paramedics] committed gross negligence. The mere fact that Petitioners inaccurately diagnosed and treated their patient does not elevate their conduct to gross negligence.</w:t>
      </w:r>
    </w:p>
    <w:bookmarkStart w:id="494" w:name="_Hlk41152616"/>
    <w:p w14:paraId="3F451BB5" w14:textId="77777777" w:rsidR="007A1E7A" w:rsidRPr="004B30C8" w:rsidRDefault="00F37A4B" w:rsidP="007A1E7A">
      <w:pPr>
        <w:pStyle w:val="NoSpacing"/>
        <w:ind w:left="720"/>
        <w:rPr>
          <w:rFonts w:ascii="Times New Roman" w:hAnsi="Times New Roman"/>
          <w:b/>
          <w:bCs/>
          <w:sz w:val="24"/>
          <w:szCs w:val="24"/>
        </w:rPr>
      </w:pPr>
      <w:r>
        <w:fldChar w:fldCharType="begin"/>
      </w:r>
      <w:r>
        <w:instrText xml:space="preserve"> HYPERLINK "https://mdcourts.gov/data/opinions/coa/2019/64a18.pdf" </w:instrText>
      </w:r>
      <w:r>
        <w:fldChar w:fldCharType="separate"/>
      </w:r>
      <w:r w:rsidR="007A1E7A" w:rsidRPr="004B30C8">
        <w:rPr>
          <w:rStyle w:val="Hyperlink"/>
          <w:rFonts w:ascii="Times New Roman" w:hAnsi="Times New Roman"/>
          <w:bCs/>
          <w:sz w:val="24"/>
          <w:szCs w:val="24"/>
        </w:rPr>
        <w:t>https://mdcourts.gov/data/opinions/coa/2019/64a18.pdf</w:t>
      </w:r>
      <w:r>
        <w:rPr>
          <w:rStyle w:val="Hyperlink"/>
          <w:rFonts w:ascii="Times New Roman" w:hAnsi="Times New Roman"/>
          <w:bCs/>
          <w:sz w:val="24"/>
          <w:szCs w:val="24"/>
        </w:rPr>
        <w:fldChar w:fldCharType="end"/>
      </w:r>
      <w:r w:rsidR="007A1E7A" w:rsidRPr="004B30C8">
        <w:rPr>
          <w:rFonts w:ascii="Times New Roman" w:hAnsi="Times New Roman"/>
          <w:bCs/>
          <w:sz w:val="24"/>
          <w:szCs w:val="24"/>
        </w:rPr>
        <w:t xml:space="preserve"> </w:t>
      </w:r>
    </w:p>
    <w:p w14:paraId="55222C6A" w14:textId="40C74A42" w:rsidR="007A1E7A" w:rsidRDefault="007A1E7A" w:rsidP="00DE0F03">
      <w:pPr>
        <w:pStyle w:val="NoSpacing"/>
        <w:rPr>
          <w:rFonts w:ascii="Arial Black" w:hAnsi="Arial Black"/>
          <w:sz w:val="24"/>
          <w:szCs w:val="24"/>
        </w:rPr>
      </w:pPr>
    </w:p>
    <w:p w14:paraId="72910659" w14:textId="77777777" w:rsidR="007A1E7A" w:rsidRDefault="007A1E7A" w:rsidP="007A1E7A">
      <w:pPr>
        <w:pStyle w:val="NoSpacing"/>
        <w:rPr>
          <w:rFonts w:ascii="Times New Roman" w:hAnsi="Times New Roman"/>
          <w:b/>
          <w:bCs/>
          <w:sz w:val="24"/>
          <w:szCs w:val="24"/>
        </w:rPr>
      </w:pPr>
    </w:p>
    <w:p w14:paraId="5A32BF6B" w14:textId="77777777" w:rsidR="007A1E7A" w:rsidRDefault="007A1E7A" w:rsidP="007A1E7A">
      <w:pPr>
        <w:pStyle w:val="NoSpacing"/>
        <w:rPr>
          <w:rFonts w:ascii="Times New Roman" w:hAnsi="Times New Roman"/>
          <w:b/>
          <w:bCs/>
          <w:sz w:val="24"/>
          <w:szCs w:val="24"/>
        </w:rPr>
      </w:pPr>
    </w:p>
    <w:p w14:paraId="07974E18" w14:textId="77777777" w:rsidR="007A1E7A" w:rsidRDefault="007A1E7A" w:rsidP="007A1E7A">
      <w:pPr>
        <w:pStyle w:val="NoSpacing"/>
        <w:rPr>
          <w:rFonts w:ascii="Times New Roman" w:hAnsi="Times New Roman"/>
          <w:b/>
          <w:bCs/>
          <w:sz w:val="24"/>
          <w:szCs w:val="24"/>
        </w:rPr>
      </w:pPr>
    </w:p>
    <w:p w14:paraId="07AEBA0F" w14:textId="67E642A3" w:rsidR="007A1E7A" w:rsidRPr="004B30C8" w:rsidRDefault="007A1E7A" w:rsidP="007A1E7A">
      <w:pPr>
        <w:pStyle w:val="NoSpacing"/>
        <w:rPr>
          <w:rFonts w:ascii="Times New Roman" w:hAnsi="Times New Roman"/>
          <w:b/>
          <w:bCs/>
          <w:sz w:val="24"/>
          <w:szCs w:val="24"/>
        </w:rPr>
      </w:pPr>
      <w:r w:rsidRPr="004B30C8">
        <w:rPr>
          <w:rFonts w:ascii="Times New Roman" w:hAnsi="Times New Roman"/>
          <w:b/>
          <w:bCs/>
          <w:sz w:val="24"/>
          <w:szCs w:val="24"/>
        </w:rPr>
        <w:t xml:space="preserve">Legal Lessons Learned: Follow your Protocols, and on cardiac run if the patient will not wait to get on the cot, or upon arrival at hospital insists on walking out of the ambulance to the wheelchair, thoroughly document the facts. </w:t>
      </w:r>
    </w:p>
    <w:bookmarkEnd w:id="494"/>
    <w:p w14:paraId="3878A716" w14:textId="77777777" w:rsidR="007A1E7A" w:rsidRDefault="007A1E7A" w:rsidP="00DE0F03">
      <w:pPr>
        <w:pStyle w:val="NoSpacing"/>
        <w:rPr>
          <w:rFonts w:ascii="Arial Black" w:hAnsi="Arial Black"/>
          <w:sz w:val="24"/>
          <w:szCs w:val="24"/>
        </w:rPr>
      </w:pPr>
    </w:p>
    <w:p w14:paraId="39482879" w14:textId="77777777" w:rsidR="005C30A4" w:rsidRDefault="005C30A4" w:rsidP="00DE0F03">
      <w:pPr>
        <w:pStyle w:val="NoSpacing"/>
        <w:rPr>
          <w:rFonts w:ascii="Arial Black" w:hAnsi="Arial Black"/>
          <w:sz w:val="24"/>
          <w:szCs w:val="24"/>
        </w:rPr>
      </w:pPr>
    </w:p>
    <w:p w14:paraId="23B333BE" w14:textId="77777777" w:rsidR="005C30A4" w:rsidRDefault="005C30A4" w:rsidP="00DE0F03">
      <w:pPr>
        <w:pStyle w:val="NoSpacing"/>
        <w:rPr>
          <w:rFonts w:ascii="Arial Black" w:hAnsi="Arial Black"/>
          <w:sz w:val="24"/>
          <w:szCs w:val="24"/>
        </w:rPr>
      </w:pPr>
    </w:p>
    <w:p w14:paraId="7B1BB773" w14:textId="77777777" w:rsidR="005C30A4" w:rsidRDefault="005C30A4" w:rsidP="00DE0F03">
      <w:pPr>
        <w:pStyle w:val="NoSpacing"/>
        <w:rPr>
          <w:rFonts w:ascii="Arial Black" w:hAnsi="Arial Black"/>
          <w:sz w:val="24"/>
          <w:szCs w:val="24"/>
        </w:rPr>
      </w:pPr>
    </w:p>
    <w:p w14:paraId="395E863D" w14:textId="2CD4CF26" w:rsidR="00853142" w:rsidRDefault="00853142" w:rsidP="00DE0F03">
      <w:pPr>
        <w:pStyle w:val="NoSpacing"/>
        <w:rPr>
          <w:rFonts w:ascii="Arial Black" w:hAnsi="Arial Black"/>
          <w:sz w:val="24"/>
          <w:szCs w:val="24"/>
        </w:rPr>
      </w:pPr>
      <w:r>
        <w:rPr>
          <w:rFonts w:ascii="Arial Black" w:hAnsi="Arial Black"/>
          <w:sz w:val="24"/>
          <w:szCs w:val="24"/>
        </w:rPr>
        <w:t>13-3</w:t>
      </w:r>
      <w:r w:rsidR="00C95AF6">
        <w:rPr>
          <w:rFonts w:ascii="Arial Black" w:hAnsi="Arial Black"/>
          <w:sz w:val="24"/>
          <w:szCs w:val="24"/>
        </w:rPr>
        <w:t>3</w:t>
      </w:r>
      <w:r w:rsidR="006508FC">
        <w:rPr>
          <w:rFonts w:ascii="Arial Black" w:hAnsi="Arial Black"/>
          <w:sz w:val="24"/>
          <w:szCs w:val="24"/>
        </w:rPr>
        <w:t xml:space="preserve"> </w:t>
      </w:r>
    </w:p>
    <w:p w14:paraId="51B9659A" w14:textId="507B96B1" w:rsidR="00853142" w:rsidRDefault="00853142" w:rsidP="00DE0F03">
      <w:pPr>
        <w:pStyle w:val="NoSpacing"/>
        <w:rPr>
          <w:rFonts w:ascii="Arial Black" w:hAnsi="Arial Black"/>
          <w:sz w:val="24"/>
          <w:szCs w:val="24"/>
        </w:rPr>
      </w:pPr>
    </w:p>
    <w:p w14:paraId="2A60F180" w14:textId="77777777" w:rsidR="00853142" w:rsidRDefault="00853142" w:rsidP="00853142">
      <w:pPr>
        <w:pStyle w:val="NoSpacing"/>
        <w:rPr>
          <w:rFonts w:ascii="Arial Black" w:hAnsi="Arial Black"/>
          <w:sz w:val="28"/>
          <w:szCs w:val="28"/>
        </w:rPr>
      </w:pPr>
      <w:bookmarkStart w:id="495" w:name="_Hlk41299121"/>
      <w:bookmarkStart w:id="496" w:name="_Hlk41152673"/>
      <w:r>
        <w:rPr>
          <w:rFonts w:ascii="Arial Black" w:hAnsi="Arial Black"/>
          <w:sz w:val="28"/>
          <w:szCs w:val="28"/>
        </w:rPr>
        <w:t xml:space="preserve">LA: BLACK EMS CAPT. – NITROGLYCERIN WAS FOR MOUTH, NOT CHEST – SUSPENSION / REMEDIATION PROPER - NOT RACE / GENDER </w:t>
      </w:r>
    </w:p>
    <w:p w14:paraId="641D87A0" w14:textId="77777777" w:rsidR="00853142" w:rsidRDefault="00853142" w:rsidP="00853142">
      <w:pPr>
        <w:pStyle w:val="NoSpacing"/>
      </w:pPr>
    </w:p>
    <w:p w14:paraId="5BE8F3F1" w14:textId="77777777" w:rsidR="00853142" w:rsidRDefault="00853142" w:rsidP="00853142">
      <w:pPr>
        <w:pStyle w:val="NoSpacing"/>
        <w:rPr>
          <w:rFonts w:ascii="Times New Roman" w:hAnsi="Times New Roman"/>
          <w:sz w:val="24"/>
          <w:szCs w:val="24"/>
        </w:rPr>
      </w:pPr>
      <w:r w:rsidRPr="008F2205">
        <w:rPr>
          <w:rFonts w:ascii="Times New Roman" w:hAnsi="Times New Roman"/>
          <w:sz w:val="24"/>
          <w:szCs w:val="24"/>
        </w:rPr>
        <w:t xml:space="preserve">On Sept. 17, 2019, in </w:t>
      </w:r>
      <w:r w:rsidRPr="008F2205">
        <w:rPr>
          <w:rFonts w:ascii="Times New Roman" w:hAnsi="Times New Roman"/>
          <w:sz w:val="24"/>
          <w:szCs w:val="24"/>
          <w:u w:val="single"/>
        </w:rPr>
        <w:t>Deborah Mills v. City of Shreveport</w:t>
      </w:r>
      <w:r w:rsidRPr="008F2205">
        <w:rPr>
          <w:rFonts w:ascii="Times New Roman" w:hAnsi="Times New Roman"/>
          <w:sz w:val="24"/>
          <w:szCs w:val="24"/>
        </w:rPr>
        <w:t xml:space="preserve">, </w:t>
      </w:r>
      <w:r>
        <w:rPr>
          <w:rFonts w:ascii="Times New Roman" w:hAnsi="Times New Roman"/>
          <w:sz w:val="24"/>
          <w:szCs w:val="24"/>
        </w:rPr>
        <w:t>U.S. District Court Judge Terry A. Doughty, U.S. District Court of Louisiana,  Western District</w:t>
      </w:r>
      <w:r w:rsidRPr="00D91FDE">
        <w:rPr>
          <w:rFonts w:ascii="Times New Roman" w:hAnsi="Times New Roman"/>
          <w:sz w:val="24"/>
          <w:szCs w:val="24"/>
        </w:rPr>
        <w:t>, Shreveport Division,</w:t>
      </w:r>
      <w:r>
        <w:rPr>
          <w:b/>
          <w:bCs/>
        </w:rPr>
        <w:t xml:space="preserve"> </w:t>
      </w:r>
      <w:r>
        <w:rPr>
          <w:rFonts w:ascii="Times New Roman" w:hAnsi="Times New Roman"/>
          <w:sz w:val="24"/>
          <w:szCs w:val="24"/>
        </w:rPr>
        <w:t xml:space="preserve">dismissed her claim of “hostile work atmosphere.”  He had previously dismissed her race and gender discrimination claims. </w:t>
      </w:r>
      <w:hyperlink r:id="rId2406" w:history="1">
        <w:r w:rsidRPr="00DB571D">
          <w:rPr>
            <w:rStyle w:val="Hyperlink"/>
            <w:rFonts w:ascii="Times New Roman" w:hAnsi="Times New Roman"/>
            <w:sz w:val="24"/>
            <w:szCs w:val="24"/>
          </w:rPr>
          <w:t>https://scholar.google.com/scholar_case?case=2959279778538737103&amp;hl=en&amp;as_sdt=6,36</w:t>
        </w:r>
      </w:hyperlink>
      <w:r>
        <w:rPr>
          <w:rFonts w:ascii="Times New Roman" w:hAnsi="Times New Roman"/>
          <w:sz w:val="24"/>
          <w:szCs w:val="24"/>
        </w:rPr>
        <w:t xml:space="preserve"> </w:t>
      </w:r>
    </w:p>
    <w:p w14:paraId="12E35732" w14:textId="77777777" w:rsidR="00853142" w:rsidRPr="008F2205" w:rsidRDefault="00853142" w:rsidP="00853142">
      <w:pPr>
        <w:pStyle w:val="NoSpacing"/>
        <w:rPr>
          <w:rFonts w:ascii="Times New Roman" w:hAnsi="Times New Roman"/>
          <w:sz w:val="24"/>
          <w:szCs w:val="24"/>
        </w:rPr>
      </w:pPr>
      <w:r>
        <w:rPr>
          <w:rFonts w:ascii="Times New Roman" w:hAnsi="Times New Roman"/>
          <w:sz w:val="24"/>
          <w:szCs w:val="24"/>
        </w:rPr>
        <w:t xml:space="preserve"> </w:t>
      </w:r>
    </w:p>
    <w:p w14:paraId="3694C932" w14:textId="77777777" w:rsidR="00853142" w:rsidRDefault="00853142" w:rsidP="00853142">
      <w:pPr>
        <w:pStyle w:val="NoSpacing"/>
        <w:ind w:left="720"/>
        <w:rPr>
          <w:rFonts w:ascii="Times New Roman" w:hAnsi="Times New Roman"/>
          <w:sz w:val="24"/>
          <w:szCs w:val="24"/>
        </w:rPr>
      </w:pPr>
      <w:r>
        <w:rPr>
          <w:rFonts w:ascii="Times New Roman" w:hAnsi="Times New Roman"/>
          <w:sz w:val="24"/>
          <w:szCs w:val="24"/>
        </w:rPr>
        <w:t>“</w:t>
      </w:r>
      <w:r w:rsidRPr="008F2205">
        <w:rPr>
          <w:rFonts w:ascii="Times New Roman" w:hAnsi="Times New Roman"/>
          <w:sz w:val="24"/>
          <w:szCs w:val="24"/>
        </w:rPr>
        <w:t xml:space="preserve">While Mills may subjectively believe that she has been treated differently and more harshly because of her race and/or gender, neither her subjective belief </w:t>
      </w:r>
      <w:proofErr w:type="gramStart"/>
      <w:r w:rsidRPr="008F2205">
        <w:rPr>
          <w:rFonts w:ascii="Times New Roman" w:hAnsi="Times New Roman"/>
          <w:sz w:val="24"/>
          <w:szCs w:val="24"/>
        </w:rPr>
        <w:t>or</w:t>
      </w:r>
      <w:proofErr w:type="gramEnd"/>
      <w:r w:rsidRPr="008F2205">
        <w:rPr>
          <w:rFonts w:ascii="Times New Roman" w:hAnsi="Times New Roman"/>
          <w:sz w:val="24"/>
          <w:szCs w:val="24"/>
        </w:rPr>
        <w:t xml:space="preserve"> that of others is enough to present this case to a jury. The Court finds that Mills has presented no genuine issue of material fact regarding whether she was subjected to harassment based on race or gender, and therefore she has failed to present a </w:t>
      </w:r>
      <w:r w:rsidRPr="008F2205">
        <w:rPr>
          <w:rFonts w:ascii="Times New Roman" w:hAnsi="Times New Roman"/>
          <w:i/>
          <w:iCs/>
          <w:sz w:val="24"/>
          <w:szCs w:val="24"/>
        </w:rPr>
        <w:t xml:space="preserve">prima </w:t>
      </w:r>
      <w:r w:rsidRPr="008F2205">
        <w:rPr>
          <w:rFonts w:ascii="Times New Roman" w:hAnsi="Times New Roman"/>
          <w:i/>
          <w:iCs/>
          <w:sz w:val="24"/>
          <w:szCs w:val="24"/>
        </w:rPr>
        <w:lastRenderedPageBreak/>
        <w:t>facie</w:t>
      </w:r>
      <w:r w:rsidRPr="008F2205">
        <w:rPr>
          <w:rFonts w:ascii="Times New Roman" w:hAnsi="Times New Roman"/>
          <w:sz w:val="24"/>
          <w:szCs w:val="24"/>
        </w:rPr>
        <w:t xml:space="preserve"> case for a hostile work environment under Title VII. Therefore, the Court GRANTS the City's Motion for Summary Judgment on this remaining claim.</w:t>
      </w:r>
      <w:r>
        <w:rPr>
          <w:rFonts w:ascii="Times New Roman" w:hAnsi="Times New Roman"/>
          <w:sz w:val="24"/>
          <w:szCs w:val="24"/>
        </w:rPr>
        <w:t>”</w:t>
      </w:r>
    </w:p>
    <w:p w14:paraId="04F74734" w14:textId="77777777" w:rsidR="00853142" w:rsidRDefault="00853142" w:rsidP="00853142">
      <w:pPr>
        <w:pStyle w:val="NoSpacing"/>
        <w:ind w:left="720"/>
        <w:rPr>
          <w:rFonts w:ascii="Times New Roman" w:hAnsi="Times New Roman"/>
          <w:sz w:val="24"/>
          <w:szCs w:val="24"/>
        </w:rPr>
      </w:pPr>
    </w:p>
    <w:p w14:paraId="1D7346AC" w14:textId="77777777" w:rsidR="00853142" w:rsidRDefault="00853142" w:rsidP="00853142">
      <w:pPr>
        <w:pStyle w:val="NoSpacing"/>
      </w:pPr>
      <w:r>
        <w:rPr>
          <w:rFonts w:ascii="Times New Roman" w:hAnsi="Times New Roman"/>
          <w:sz w:val="24"/>
          <w:szCs w:val="24"/>
        </w:rPr>
        <w:t xml:space="preserve">On June 21, 2019, here other claims of race and gender discrimination were dismissed: </w:t>
      </w:r>
      <w:hyperlink r:id="rId2407" w:history="1">
        <w:r w:rsidRPr="00062632">
          <w:rPr>
            <w:rStyle w:val="Hyperlink"/>
            <w:rFonts w:ascii="Times New Roman" w:hAnsi="Times New Roman"/>
            <w:sz w:val="24"/>
            <w:szCs w:val="24"/>
          </w:rPr>
          <w:t>https://www.leagle.com/decision/infdco20190624a02</w:t>
        </w:r>
      </w:hyperlink>
      <w:r>
        <w:rPr>
          <w:rFonts w:ascii="Times New Roman" w:hAnsi="Times New Roman"/>
          <w:sz w:val="24"/>
          <w:szCs w:val="24"/>
        </w:rPr>
        <w:t xml:space="preserve">  </w:t>
      </w:r>
    </w:p>
    <w:p w14:paraId="6A6AF179" w14:textId="77777777" w:rsidR="00853142" w:rsidRDefault="00853142" w:rsidP="00853142">
      <w:pPr>
        <w:pStyle w:val="NoSpacing"/>
        <w:rPr>
          <w:rFonts w:ascii="Times New Roman" w:hAnsi="Times New Roman"/>
          <w:sz w:val="24"/>
          <w:szCs w:val="24"/>
        </w:rPr>
      </w:pPr>
    </w:p>
    <w:p w14:paraId="23BEA99E" w14:textId="1356E665" w:rsidR="00853142" w:rsidRDefault="00853142" w:rsidP="00853142">
      <w:pPr>
        <w:pStyle w:val="NoSpacing"/>
        <w:rPr>
          <w:rFonts w:ascii="Times New Roman" w:hAnsi="Times New Roman"/>
          <w:b/>
          <w:bCs/>
          <w:sz w:val="24"/>
          <w:szCs w:val="24"/>
        </w:rPr>
      </w:pPr>
      <w:r w:rsidRPr="009871EA">
        <w:rPr>
          <w:rFonts w:ascii="Times New Roman" w:hAnsi="Times New Roman"/>
          <w:b/>
          <w:bCs/>
          <w:sz w:val="24"/>
          <w:szCs w:val="24"/>
        </w:rPr>
        <w:t xml:space="preserve">Legal Lessons Learned:  </w:t>
      </w:r>
      <w:r>
        <w:rPr>
          <w:rFonts w:ascii="Times New Roman" w:hAnsi="Times New Roman"/>
          <w:b/>
          <w:bCs/>
          <w:sz w:val="24"/>
          <w:szCs w:val="24"/>
        </w:rPr>
        <w:t xml:space="preserve">EMS protocols must be followed, and suspension / remediation training is an appropriate corrective action.  </w:t>
      </w:r>
      <w:bookmarkEnd w:id="495"/>
      <w:r>
        <w:rPr>
          <w:rFonts w:ascii="Times New Roman" w:hAnsi="Times New Roman"/>
          <w:b/>
          <w:bCs/>
          <w:sz w:val="24"/>
          <w:szCs w:val="24"/>
        </w:rPr>
        <w:t xml:space="preserve">  </w:t>
      </w:r>
      <w:bookmarkEnd w:id="496"/>
      <w:r>
        <w:rPr>
          <w:rFonts w:ascii="Times New Roman" w:hAnsi="Times New Roman"/>
          <w:b/>
          <w:bCs/>
          <w:sz w:val="24"/>
          <w:szCs w:val="24"/>
        </w:rPr>
        <w:t>[Also filed, Chap. 8, Race Discrimination.]</w:t>
      </w:r>
    </w:p>
    <w:p w14:paraId="3050E4A9" w14:textId="77777777" w:rsidR="00853142" w:rsidRDefault="00853142" w:rsidP="00DE0F03">
      <w:pPr>
        <w:pStyle w:val="NoSpacing"/>
        <w:rPr>
          <w:rFonts w:ascii="Arial Black" w:hAnsi="Arial Black"/>
          <w:sz w:val="24"/>
          <w:szCs w:val="24"/>
        </w:rPr>
      </w:pPr>
    </w:p>
    <w:p w14:paraId="00F22F8F" w14:textId="77777777" w:rsidR="00853142" w:rsidRDefault="00853142" w:rsidP="00DE0F03">
      <w:pPr>
        <w:pStyle w:val="NoSpacing"/>
        <w:rPr>
          <w:rFonts w:ascii="Arial Black" w:hAnsi="Arial Black"/>
          <w:sz w:val="24"/>
          <w:szCs w:val="24"/>
        </w:rPr>
      </w:pPr>
    </w:p>
    <w:p w14:paraId="2406827B" w14:textId="77777777" w:rsidR="00853142" w:rsidRDefault="00853142" w:rsidP="00DE0F03">
      <w:pPr>
        <w:pStyle w:val="NoSpacing"/>
        <w:rPr>
          <w:rFonts w:ascii="Arial Black" w:hAnsi="Arial Black"/>
          <w:sz w:val="24"/>
          <w:szCs w:val="24"/>
        </w:rPr>
      </w:pPr>
    </w:p>
    <w:p w14:paraId="32CEF3DC" w14:textId="27E2754E" w:rsidR="009F0F05" w:rsidRDefault="00EE0562" w:rsidP="00DE0F03">
      <w:pPr>
        <w:pStyle w:val="NoSpacing"/>
        <w:rPr>
          <w:rFonts w:ascii="Arial Black" w:hAnsi="Arial Black"/>
          <w:sz w:val="24"/>
          <w:szCs w:val="24"/>
        </w:rPr>
      </w:pPr>
      <w:r>
        <w:rPr>
          <w:rFonts w:ascii="Arial Black" w:hAnsi="Arial Black"/>
          <w:sz w:val="24"/>
          <w:szCs w:val="24"/>
        </w:rPr>
        <w:t>13-3</w:t>
      </w:r>
      <w:r w:rsidR="00C95AF6">
        <w:rPr>
          <w:rFonts w:ascii="Arial Black" w:hAnsi="Arial Black"/>
          <w:sz w:val="24"/>
          <w:szCs w:val="24"/>
        </w:rPr>
        <w:t>2</w:t>
      </w:r>
      <w:r>
        <w:rPr>
          <w:rFonts w:ascii="Arial Black" w:hAnsi="Arial Black"/>
          <w:sz w:val="24"/>
          <w:szCs w:val="24"/>
        </w:rPr>
        <w:t xml:space="preserve"> </w:t>
      </w:r>
    </w:p>
    <w:p w14:paraId="5A6B044E" w14:textId="77777777" w:rsidR="00EE0562" w:rsidRDefault="00EE0562" w:rsidP="00DE0F03">
      <w:pPr>
        <w:pStyle w:val="NoSpacing"/>
        <w:rPr>
          <w:rFonts w:ascii="Arial Black" w:hAnsi="Arial Black"/>
          <w:sz w:val="24"/>
          <w:szCs w:val="24"/>
        </w:rPr>
      </w:pPr>
    </w:p>
    <w:p w14:paraId="2DAFD27D" w14:textId="77777777" w:rsidR="009F0F05" w:rsidRPr="003561BE" w:rsidRDefault="009F0F05" w:rsidP="009F0F05">
      <w:pPr>
        <w:rPr>
          <w:rFonts w:ascii="Arial Black" w:hAnsi="Arial Black"/>
          <w:sz w:val="28"/>
          <w:szCs w:val="28"/>
        </w:rPr>
      </w:pPr>
      <w:bookmarkStart w:id="497" w:name="_Hlk41152875"/>
      <w:bookmarkStart w:id="498" w:name="_Hlk41297020"/>
      <w:r w:rsidRPr="003561BE">
        <w:rPr>
          <w:rFonts w:ascii="Arial Black" w:hAnsi="Arial Black"/>
          <w:sz w:val="28"/>
          <w:szCs w:val="28"/>
        </w:rPr>
        <w:t xml:space="preserve">OK: </w:t>
      </w:r>
      <w:r>
        <w:rPr>
          <w:rFonts w:ascii="Arial Black" w:hAnsi="Arial Black"/>
          <w:sz w:val="28"/>
          <w:szCs w:val="28"/>
        </w:rPr>
        <w:t>EMS HELD BACK FROM PD SHOOTING FOR 12 MINUTES – CONFIRM SCENE SECURE - QUALIFIED IMMUNITY</w:t>
      </w:r>
    </w:p>
    <w:p w14:paraId="4D2AC446" w14:textId="77777777" w:rsidR="009F0F05" w:rsidRDefault="009F0F05" w:rsidP="009F0F05">
      <w:r w:rsidRPr="0025287C">
        <w:rPr>
          <w:rFonts w:ascii="Times New Roman" w:hAnsi="Times New Roman"/>
          <w:sz w:val="24"/>
          <w:szCs w:val="24"/>
        </w:rPr>
        <w:t xml:space="preserve">On Sept. 6, 2019, </w:t>
      </w:r>
      <w:r>
        <w:rPr>
          <w:rFonts w:ascii="Times New Roman" w:hAnsi="Times New Roman"/>
          <w:sz w:val="24"/>
          <w:szCs w:val="24"/>
        </w:rPr>
        <w:t xml:space="preserve">in </w:t>
      </w:r>
      <w:r w:rsidRPr="0088321C">
        <w:rPr>
          <w:rFonts w:ascii="Times New Roman" w:hAnsi="Times New Roman"/>
          <w:sz w:val="24"/>
          <w:szCs w:val="24"/>
          <w:u w:val="single"/>
        </w:rPr>
        <w:t>Briena Crittenden, as personal representative of estate of Joshua</w:t>
      </w:r>
      <w:r w:rsidRPr="005B29CF">
        <w:rPr>
          <w:rFonts w:ascii="Times New Roman" w:hAnsi="Times New Roman"/>
          <w:sz w:val="24"/>
          <w:szCs w:val="24"/>
          <w:u w:val="single"/>
        </w:rPr>
        <w:t xml:space="preserve"> P. Crittenden v. City of Tahlequah, Officer Randy Tanner, et al</w:t>
      </w:r>
      <w:r>
        <w:rPr>
          <w:rFonts w:ascii="Times New Roman" w:hAnsi="Times New Roman"/>
          <w:sz w:val="24"/>
          <w:szCs w:val="24"/>
        </w:rPr>
        <w:t>., the U.S. Court of Appeals for the 10</w:t>
      </w:r>
      <w:r w:rsidRPr="005B29CF">
        <w:rPr>
          <w:rFonts w:ascii="Times New Roman" w:hAnsi="Times New Roman"/>
          <w:sz w:val="24"/>
          <w:szCs w:val="24"/>
          <w:vertAlign w:val="superscript"/>
        </w:rPr>
        <w:t>th</w:t>
      </w:r>
      <w:r>
        <w:rPr>
          <w:rFonts w:ascii="Times New Roman" w:hAnsi="Times New Roman"/>
          <w:sz w:val="24"/>
          <w:szCs w:val="24"/>
        </w:rPr>
        <w:t xml:space="preserve"> District (Denver) held (3 to 0) that U.S. District Court judge properly granted summary judgment to the police officers and the City.  </w:t>
      </w:r>
      <w:hyperlink r:id="rId2408" w:history="1">
        <w:r w:rsidRPr="00586529">
          <w:rPr>
            <w:rStyle w:val="Hyperlink"/>
          </w:rPr>
          <w:t>https://law.justia.com/cases/federal/appellate-courts/ca10/18-7036/18-7036-2019-09-06.html</w:t>
        </w:r>
      </w:hyperlink>
      <w:r>
        <w:t xml:space="preserve"> </w:t>
      </w:r>
    </w:p>
    <w:bookmarkEnd w:id="497"/>
    <w:p w14:paraId="7CB89A7A" w14:textId="77777777" w:rsidR="009F0F05" w:rsidRPr="0025287C" w:rsidRDefault="009F0F05" w:rsidP="009F0F05">
      <w:pPr>
        <w:rPr>
          <w:rFonts w:ascii="Times New Roman" w:hAnsi="Times New Roman"/>
          <w:sz w:val="24"/>
          <w:szCs w:val="24"/>
        </w:rPr>
      </w:pPr>
      <w:r>
        <w:rPr>
          <w:rFonts w:ascii="Times New Roman" w:hAnsi="Times New Roman"/>
          <w:sz w:val="24"/>
          <w:szCs w:val="24"/>
        </w:rPr>
        <w:t xml:space="preserve"> Circuit Judge Michael R, Murphy wrote:</w:t>
      </w:r>
    </w:p>
    <w:p w14:paraId="510B2D7C" w14:textId="77777777" w:rsidR="009F0F05" w:rsidRPr="00DA74F4" w:rsidRDefault="009F0F05" w:rsidP="009F0F05">
      <w:pPr>
        <w:ind w:left="720"/>
        <w:rPr>
          <w:rFonts w:ascii="Times New Roman" w:hAnsi="Times New Roman"/>
          <w:sz w:val="24"/>
          <w:szCs w:val="24"/>
        </w:rPr>
      </w:pPr>
      <w:r>
        <w:rPr>
          <w:rFonts w:ascii="Times New Roman" w:hAnsi="Times New Roman"/>
          <w:sz w:val="24"/>
          <w:szCs w:val="24"/>
        </w:rPr>
        <w:t>“</w:t>
      </w:r>
      <w:r w:rsidRPr="00682A63">
        <w:rPr>
          <w:rFonts w:ascii="Times New Roman" w:hAnsi="Times New Roman"/>
          <w:sz w:val="24"/>
          <w:szCs w:val="24"/>
        </w:rPr>
        <w:t xml:space="preserve">There is no precedent supporting the notion that police officers have an affirmative duty to provide immediate medical care in situations such as the instant case. </w:t>
      </w:r>
      <w:r w:rsidRPr="00DA74F4">
        <w:rPr>
          <w:rFonts w:ascii="Times New Roman" w:hAnsi="Times New Roman"/>
          <w:sz w:val="24"/>
          <w:szCs w:val="24"/>
        </w:rPr>
        <w:t>See Wilson v.</w:t>
      </w:r>
      <w:r>
        <w:rPr>
          <w:rFonts w:ascii="Times New Roman" w:hAnsi="Times New Roman"/>
          <w:sz w:val="24"/>
          <w:szCs w:val="24"/>
        </w:rPr>
        <w:t xml:space="preserve"> </w:t>
      </w:r>
      <w:r w:rsidRPr="00DA74F4">
        <w:rPr>
          <w:rFonts w:ascii="Times New Roman" w:hAnsi="Times New Roman"/>
          <w:sz w:val="24"/>
          <w:szCs w:val="24"/>
        </w:rPr>
        <w:t>Meeks, 52</w:t>
      </w:r>
      <w:r>
        <w:rPr>
          <w:rFonts w:ascii="Times New Roman" w:hAnsi="Times New Roman"/>
          <w:sz w:val="24"/>
          <w:szCs w:val="24"/>
        </w:rPr>
        <w:t xml:space="preserve"> </w:t>
      </w:r>
      <w:r w:rsidRPr="00DA74F4">
        <w:rPr>
          <w:rFonts w:ascii="Times New Roman" w:hAnsi="Times New Roman"/>
          <w:sz w:val="24"/>
          <w:szCs w:val="24"/>
        </w:rPr>
        <w:t>F.3d1547, 1556</w:t>
      </w:r>
      <w:r>
        <w:rPr>
          <w:rFonts w:ascii="Times New Roman" w:hAnsi="Times New Roman"/>
          <w:sz w:val="24"/>
          <w:szCs w:val="24"/>
        </w:rPr>
        <w:t xml:space="preserve"> </w:t>
      </w:r>
      <w:r w:rsidRPr="00DA74F4">
        <w:rPr>
          <w:rFonts w:ascii="Times New Roman" w:hAnsi="Times New Roman"/>
          <w:sz w:val="24"/>
          <w:szCs w:val="24"/>
        </w:rPr>
        <w:t>(10thCir.1995), abrogated on other grounds by Saucier</w:t>
      </w:r>
      <w:r>
        <w:rPr>
          <w:rFonts w:ascii="Times New Roman" w:hAnsi="Times New Roman"/>
          <w:sz w:val="24"/>
          <w:szCs w:val="24"/>
        </w:rPr>
        <w:t xml:space="preserve"> </w:t>
      </w:r>
      <w:r w:rsidRPr="00DA74F4">
        <w:rPr>
          <w:rFonts w:ascii="Times New Roman" w:hAnsi="Times New Roman"/>
          <w:sz w:val="24"/>
          <w:szCs w:val="24"/>
        </w:rPr>
        <w:t>v.</w:t>
      </w:r>
      <w:r>
        <w:rPr>
          <w:rFonts w:ascii="Times New Roman" w:hAnsi="Times New Roman"/>
          <w:sz w:val="24"/>
          <w:szCs w:val="24"/>
        </w:rPr>
        <w:t xml:space="preserve"> </w:t>
      </w:r>
      <w:r w:rsidRPr="00DA74F4">
        <w:rPr>
          <w:rFonts w:ascii="Times New Roman" w:hAnsi="Times New Roman"/>
          <w:sz w:val="24"/>
          <w:szCs w:val="24"/>
        </w:rPr>
        <w:t>Katz,</w:t>
      </w:r>
      <w:r>
        <w:rPr>
          <w:rFonts w:ascii="Times New Roman" w:hAnsi="Times New Roman"/>
          <w:sz w:val="24"/>
          <w:szCs w:val="24"/>
        </w:rPr>
        <w:t xml:space="preserve"> </w:t>
      </w:r>
      <w:r w:rsidRPr="00DA74F4">
        <w:rPr>
          <w:rFonts w:ascii="Times New Roman" w:hAnsi="Times New Roman"/>
          <w:sz w:val="24"/>
          <w:szCs w:val="24"/>
        </w:rPr>
        <w:t>533</w:t>
      </w:r>
      <w:r>
        <w:rPr>
          <w:rFonts w:ascii="Times New Roman" w:hAnsi="Times New Roman"/>
          <w:sz w:val="24"/>
          <w:szCs w:val="24"/>
        </w:rPr>
        <w:t xml:space="preserve"> </w:t>
      </w:r>
      <w:r w:rsidRPr="00DA74F4">
        <w:rPr>
          <w:rFonts w:ascii="Times New Roman" w:hAnsi="Times New Roman"/>
          <w:sz w:val="24"/>
          <w:szCs w:val="24"/>
        </w:rPr>
        <w:t>U.S.194</w:t>
      </w:r>
      <w:r>
        <w:rPr>
          <w:rFonts w:ascii="Times New Roman" w:hAnsi="Times New Roman"/>
          <w:sz w:val="24"/>
          <w:szCs w:val="24"/>
        </w:rPr>
        <w:t xml:space="preserve"> </w:t>
      </w:r>
      <w:r w:rsidRPr="00DA74F4">
        <w:rPr>
          <w:rFonts w:ascii="Times New Roman" w:hAnsi="Times New Roman"/>
          <w:sz w:val="24"/>
          <w:szCs w:val="24"/>
        </w:rPr>
        <w:t>(2001).</w:t>
      </w:r>
      <w:r>
        <w:rPr>
          <w:rFonts w:ascii="Times New Roman" w:hAnsi="Times New Roman"/>
          <w:sz w:val="24"/>
          <w:szCs w:val="24"/>
        </w:rPr>
        <w:t xml:space="preserve"> I</w:t>
      </w:r>
      <w:r w:rsidRPr="00DA74F4">
        <w:rPr>
          <w:rFonts w:ascii="Times New Roman" w:hAnsi="Times New Roman"/>
          <w:sz w:val="24"/>
          <w:szCs w:val="24"/>
        </w:rPr>
        <w:t>n</w:t>
      </w:r>
      <w:r>
        <w:rPr>
          <w:rFonts w:ascii="Times New Roman" w:hAnsi="Times New Roman"/>
          <w:sz w:val="24"/>
          <w:szCs w:val="24"/>
        </w:rPr>
        <w:t xml:space="preserve"> </w:t>
      </w:r>
      <w:r w:rsidRPr="00DA74F4">
        <w:rPr>
          <w:rFonts w:ascii="Times New Roman" w:hAnsi="Times New Roman"/>
          <w:sz w:val="24"/>
          <w:szCs w:val="24"/>
        </w:rPr>
        <w:t>Wilson,</w:t>
      </w:r>
      <w:r>
        <w:rPr>
          <w:rFonts w:ascii="Times New Roman" w:hAnsi="Times New Roman"/>
          <w:sz w:val="24"/>
          <w:szCs w:val="24"/>
        </w:rPr>
        <w:t xml:space="preserve"> </w:t>
      </w:r>
      <w:r w:rsidRPr="00DA74F4">
        <w:rPr>
          <w:rFonts w:ascii="Times New Roman" w:hAnsi="Times New Roman"/>
          <w:sz w:val="24"/>
          <w:szCs w:val="24"/>
        </w:rPr>
        <w:t>after</w:t>
      </w:r>
      <w:r>
        <w:rPr>
          <w:rFonts w:ascii="Times New Roman" w:hAnsi="Times New Roman"/>
          <w:sz w:val="24"/>
          <w:szCs w:val="24"/>
        </w:rPr>
        <w:t xml:space="preserve"> </w:t>
      </w:r>
      <w:r w:rsidRPr="00DA74F4">
        <w:rPr>
          <w:rFonts w:ascii="Times New Roman" w:hAnsi="Times New Roman"/>
          <w:sz w:val="24"/>
          <w:szCs w:val="24"/>
        </w:rPr>
        <w:t>a</w:t>
      </w:r>
      <w:r>
        <w:rPr>
          <w:rFonts w:ascii="Times New Roman" w:hAnsi="Times New Roman"/>
          <w:sz w:val="24"/>
          <w:szCs w:val="24"/>
        </w:rPr>
        <w:t xml:space="preserve"> </w:t>
      </w:r>
      <w:r w:rsidRPr="00DA74F4">
        <w:rPr>
          <w:rFonts w:ascii="Times New Roman" w:hAnsi="Times New Roman"/>
          <w:sz w:val="24"/>
          <w:szCs w:val="24"/>
        </w:rPr>
        <w:t>police</w:t>
      </w:r>
      <w:r>
        <w:rPr>
          <w:rFonts w:ascii="Times New Roman" w:hAnsi="Times New Roman"/>
          <w:sz w:val="24"/>
          <w:szCs w:val="24"/>
        </w:rPr>
        <w:t xml:space="preserve"> </w:t>
      </w:r>
      <w:r w:rsidRPr="00DA74F4">
        <w:rPr>
          <w:rFonts w:ascii="Times New Roman" w:hAnsi="Times New Roman"/>
          <w:sz w:val="24"/>
          <w:szCs w:val="24"/>
        </w:rPr>
        <w:t>officer</w:t>
      </w:r>
      <w:r>
        <w:rPr>
          <w:rFonts w:ascii="Times New Roman" w:hAnsi="Times New Roman"/>
          <w:sz w:val="24"/>
          <w:szCs w:val="24"/>
        </w:rPr>
        <w:t xml:space="preserve"> </w:t>
      </w:r>
      <w:r w:rsidRPr="00DA74F4">
        <w:rPr>
          <w:rFonts w:ascii="Times New Roman" w:hAnsi="Times New Roman"/>
          <w:sz w:val="24"/>
          <w:szCs w:val="24"/>
        </w:rPr>
        <w:t>shot</w:t>
      </w:r>
      <w:r>
        <w:rPr>
          <w:rFonts w:ascii="Times New Roman" w:hAnsi="Times New Roman"/>
          <w:sz w:val="24"/>
          <w:szCs w:val="24"/>
        </w:rPr>
        <w:t xml:space="preserve"> </w:t>
      </w:r>
      <w:r w:rsidRPr="00DA74F4">
        <w:rPr>
          <w:rFonts w:ascii="Times New Roman" w:hAnsi="Times New Roman"/>
          <w:sz w:val="24"/>
          <w:szCs w:val="24"/>
        </w:rPr>
        <w:t>a</w:t>
      </w:r>
      <w:r>
        <w:rPr>
          <w:rFonts w:ascii="Times New Roman" w:hAnsi="Times New Roman"/>
          <w:sz w:val="24"/>
          <w:szCs w:val="24"/>
        </w:rPr>
        <w:t xml:space="preserve"> </w:t>
      </w:r>
      <w:r w:rsidRPr="00DA74F4">
        <w:rPr>
          <w:rFonts w:ascii="Times New Roman" w:hAnsi="Times New Roman"/>
          <w:sz w:val="24"/>
          <w:szCs w:val="24"/>
        </w:rPr>
        <w:t>man</w:t>
      </w:r>
      <w:r>
        <w:rPr>
          <w:rFonts w:ascii="Times New Roman" w:hAnsi="Times New Roman"/>
          <w:sz w:val="24"/>
          <w:szCs w:val="24"/>
        </w:rPr>
        <w:t xml:space="preserve"> </w:t>
      </w:r>
      <w:r w:rsidRPr="00DA74F4">
        <w:rPr>
          <w:rFonts w:ascii="Times New Roman" w:hAnsi="Times New Roman"/>
          <w:sz w:val="24"/>
          <w:szCs w:val="24"/>
        </w:rPr>
        <w:t>holding</w:t>
      </w:r>
      <w:r>
        <w:rPr>
          <w:rFonts w:ascii="Times New Roman" w:hAnsi="Times New Roman"/>
          <w:sz w:val="24"/>
          <w:szCs w:val="24"/>
        </w:rPr>
        <w:t xml:space="preserve"> </w:t>
      </w:r>
      <w:r w:rsidRPr="00DA74F4">
        <w:rPr>
          <w:rFonts w:ascii="Times New Roman" w:hAnsi="Times New Roman"/>
          <w:sz w:val="24"/>
          <w:szCs w:val="24"/>
        </w:rPr>
        <w:t>a</w:t>
      </w:r>
      <w:r>
        <w:rPr>
          <w:rFonts w:ascii="Times New Roman" w:hAnsi="Times New Roman"/>
          <w:sz w:val="24"/>
          <w:szCs w:val="24"/>
        </w:rPr>
        <w:t xml:space="preserve"> </w:t>
      </w:r>
      <w:r w:rsidRPr="00DA74F4">
        <w:rPr>
          <w:rFonts w:ascii="Times New Roman" w:hAnsi="Times New Roman"/>
          <w:sz w:val="24"/>
          <w:szCs w:val="24"/>
        </w:rPr>
        <w:t>gun,</w:t>
      </w:r>
      <w:r>
        <w:rPr>
          <w:rFonts w:ascii="Times New Roman" w:hAnsi="Times New Roman"/>
          <w:sz w:val="24"/>
          <w:szCs w:val="24"/>
        </w:rPr>
        <w:t xml:space="preserve"> </w:t>
      </w:r>
      <w:r w:rsidRPr="00DA74F4">
        <w:rPr>
          <w:rFonts w:ascii="Times New Roman" w:hAnsi="Times New Roman"/>
          <w:sz w:val="24"/>
          <w:szCs w:val="24"/>
        </w:rPr>
        <w:t>other</w:t>
      </w:r>
      <w:r>
        <w:rPr>
          <w:rFonts w:ascii="Times New Roman" w:hAnsi="Times New Roman"/>
          <w:sz w:val="24"/>
          <w:szCs w:val="24"/>
        </w:rPr>
        <w:t xml:space="preserve"> </w:t>
      </w:r>
      <w:r w:rsidRPr="00DA74F4">
        <w:rPr>
          <w:rFonts w:ascii="Times New Roman" w:hAnsi="Times New Roman"/>
          <w:sz w:val="24"/>
          <w:szCs w:val="24"/>
        </w:rPr>
        <w:t>officers</w:t>
      </w:r>
      <w:r>
        <w:rPr>
          <w:rFonts w:ascii="Times New Roman" w:hAnsi="Times New Roman"/>
          <w:sz w:val="24"/>
          <w:szCs w:val="24"/>
        </w:rPr>
        <w:t xml:space="preserve"> </w:t>
      </w:r>
      <w:r w:rsidRPr="00DA74F4">
        <w:rPr>
          <w:rFonts w:ascii="Times New Roman" w:hAnsi="Times New Roman"/>
          <w:sz w:val="24"/>
          <w:szCs w:val="24"/>
        </w:rPr>
        <w:t>handcuffed</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victim</w:t>
      </w:r>
      <w:r>
        <w:rPr>
          <w:rFonts w:ascii="Times New Roman" w:hAnsi="Times New Roman"/>
          <w:sz w:val="24"/>
          <w:szCs w:val="24"/>
        </w:rPr>
        <w:t xml:space="preserve"> </w:t>
      </w:r>
      <w:r w:rsidRPr="00DA74F4">
        <w:rPr>
          <w:rFonts w:ascii="Times New Roman" w:hAnsi="Times New Roman"/>
          <w:sz w:val="24"/>
          <w:szCs w:val="24"/>
        </w:rPr>
        <w:t>before</w:t>
      </w:r>
      <w:r>
        <w:rPr>
          <w:rFonts w:ascii="Times New Roman" w:hAnsi="Times New Roman"/>
          <w:sz w:val="24"/>
          <w:szCs w:val="24"/>
        </w:rPr>
        <w:t xml:space="preserve"> </w:t>
      </w:r>
      <w:r w:rsidRPr="00DA74F4">
        <w:rPr>
          <w:rFonts w:ascii="Times New Roman" w:hAnsi="Times New Roman"/>
          <w:sz w:val="24"/>
          <w:szCs w:val="24"/>
        </w:rPr>
        <w:t>medical</w:t>
      </w:r>
      <w:r>
        <w:rPr>
          <w:rFonts w:ascii="Times New Roman" w:hAnsi="Times New Roman"/>
          <w:sz w:val="24"/>
          <w:szCs w:val="24"/>
        </w:rPr>
        <w:t xml:space="preserve"> </w:t>
      </w:r>
      <w:r w:rsidRPr="00DA74F4">
        <w:rPr>
          <w:rFonts w:ascii="Times New Roman" w:hAnsi="Times New Roman"/>
          <w:sz w:val="24"/>
          <w:szCs w:val="24"/>
        </w:rPr>
        <w:t>help</w:t>
      </w:r>
      <w:r>
        <w:rPr>
          <w:rFonts w:ascii="Times New Roman" w:hAnsi="Times New Roman"/>
          <w:sz w:val="24"/>
          <w:szCs w:val="24"/>
        </w:rPr>
        <w:t xml:space="preserve"> </w:t>
      </w:r>
      <w:r w:rsidRPr="00DA74F4">
        <w:rPr>
          <w:rFonts w:ascii="Times New Roman" w:hAnsi="Times New Roman"/>
          <w:sz w:val="24"/>
          <w:szCs w:val="24"/>
        </w:rPr>
        <w:t>arrived.</w:t>
      </w:r>
      <w:r>
        <w:rPr>
          <w:rFonts w:ascii="Times New Roman" w:hAnsi="Times New Roman"/>
          <w:sz w:val="24"/>
          <w:szCs w:val="24"/>
        </w:rPr>
        <w:t xml:space="preserve"> </w:t>
      </w:r>
      <w:r w:rsidRPr="00DA74F4">
        <w:rPr>
          <w:rFonts w:ascii="Times New Roman" w:hAnsi="Times New Roman"/>
          <w:sz w:val="24"/>
          <w:szCs w:val="24"/>
        </w:rPr>
        <w:t>Id.</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officers</w:t>
      </w:r>
      <w:r>
        <w:rPr>
          <w:rFonts w:ascii="Times New Roman" w:hAnsi="Times New Roman"/>
          <w:sz w:val="24"/>
          <w:szCs w:val="24"/>
        </w:rPr>
        <w:t xml:space="preserve"> </w:t>
      </w:r>
      <w:r w:rsidRPr="00DA74F4">
        <w:rPr>
          <w:rFonts w:ascii="Times New Roman" w:hAnsi="Times New Roman"/>
          <w:sz w:val="24"/>
          <w:szCs w:val="24"/>
        </w:rPr>
        <w:t>did</w:t>
      </w:r>
      <w:r>
        <w:rPr>
          <w:rFonts w:ascii="Times New Roman" w:hAnsi="Times New Roman"/>
          <w:sz w:val="24"/>
          <w:szCs w:val="24"/>
        </w:rPr>
        <w:t xml:space="preserve"> </w:t>
      </w:r>
      <w:r w:rsidRPr="00DA74F4">
        <w:rPr>
          <w:rFonts w:ascii="Times New Roman" w:hAnsi="Times New Roman"/>
          <w:sz w:val="24"/>
          <w:szCs w:val="24"/>
        </w:rPr>
        <w:t>not</w:t>
      </w:r>
      <w:r>
        <w:rPr>
          <w:rFonts w:ascii="Times New Roman" w:hAnsi="Times New Roman"/>
          <w:sz w:val="24"/>
          <w:szCs w:val="24"/>
        </w:rPr>
        <w:t xml:space="preserve"> </w:t>
      </w:r>
      <w:r w:rsidRPr="00DA74F4">
        <w:rPr>
          <w:rFonts w:ascii="Times New Roman" w:hAnsi="Times New Roman"/>
          <w:sz w:val="24"/>
          <w:szCs w:val="24"/>
        </w:rPr>
        <w:t>provide</w:t>
      </w:r>
      <w:r>
        <w:rPr>
          <w:rFonts w:ascii="Times New Roman" w:hAnsi="Times New Roman"/>
          <w:sz w:val="24"/>
          <w:szCs w:val="24"/>
        </w:rPr>
        <w:t xml:space="preserve"> </w:t>
      </w:r>
      <w:r w:rsidRPr="00DA74F4">
        <w:rPr>
          <w:rFonts w:ascii="Times New Roman" w:hAnsi="Times New Roman"/>
          <w:sz w:val="24"/>
          <w:szCs w:val="24"/>
        </w:rPr>
        <w:t>medical</w:t>
      </w:r>
      <w:r>
        <w:rPr>
          <w:rFonts w:ascii="Times New Roman" w:hAnsi="Times New Roman"/>
          <w:sz w:val="24"/>
          <w:szCs w:val="24"/>
        </w:rPr>
        <w:t xml:space="preserve"> </w:t>
      </w:r>
      <w:r w:rsidRPr="00DA74F4">
        <w:rPr>
          <w:rFonts w:ascii="Times New Roman" w:hAnsi="Times New Roman"/>
          <w:sz w:val="24"/>
          <w:szCs w:val="24"/>
        </w:rPr>
        <w:t>care</w:t>
      </w:r>
      <w:r>
        <w:rPr>
          <w:rFonts w:ascii="Times New Roman" w:hAnsi="Times New Roman"/>
          <w:sz w:val="24"/>
          <w:szCs w:val="24"/>
        </w:rPr>
        <w:t xml:space="preserve"> </w:t>
      </w:r>
      <w:r w:rsidRPr="00DA74F4">
        <w:rPr>
          <w:rFonts w:ascii="Times New Roman" w:hAnsi="Times New Roman"/>
          <w:sz w:val="24"/>
          <w:szCs w:val="24"/>
        </w:rPr>
        <w:t>or</w:t>
      </w:r>
      <w:r>
        <w:rPr>
          <w:rFonts w:ascii="Times New Roman" w:hAnsi="Times New Roman"/>
          <w:sz w:val="24"/>
          <w:szCs w:val="24"/>
        </w:rPr>
        <w:t xml:space="preserve"> </w:t>
      </w:r>
      <w:r w:rsidRPr="00DA74F4">
        <w:rPr>
          <w:rFonts w:ascii="Times New Roman" w:hAnsi="Times New Roman"/>
          <w:sz w:val="24"/>
          <w:szCs w:val="24"/>
        </w:rPr>
        <w:t>first</w:t>
      </w:r>
      <w:r>
        <w:rPr>
          <w:rFonts w:ascii="Times New Roman" w:hAnsi="Times New Roman"/>
          <w:sz w:val="24"/>
          <w:szCs w:val="24"/>
        </w:rPr>
        <w:t xml:space="preserve"> </w:t>
      </w:r>
      <w:r w:rsidRPr="00DA74F4">
        <w:rPr>
          <w:rFonts w:ascii="Times New Roman" w:hAnsi="Times New Roman"/>
          <w:sz w:val="24"/>
          <w:szCs w:val="24"/>
        </w:rPr>
        <w:t>aid</w:t>
      </w:r>
      <w:r>
        <w:rPr>
          <w:rFonts w:ascii="Times New Roman" w:hAnsi="Times New Roman"/>
          <w:sz w:val="24"/>
          <w:szCs w:val="24"/>
        </w:rPr>
        <w:t xml:space="preserve"> </w:t>
      </w:r>
      <w:r w:rsidRPr="00DA74F4">
        <w:rPr>
          <w:rFonts w:ascii="Times New Roman" w:hAnsi="Times New Roman"/>
          <w:sz w:val="24"/>
          <w:szCs w:val="24"/>
        </w:rPr>
        <w:t>before</w:t>
      </w:r>
      <w:r>
        <w:rPr>
          <w:rFonts w:ascii="Times New Roman" w:hAnsi="Times New Roman"/>
          <w:sz w:val="24"/>
          <w:szCs w:val="24"/>
        </w:rPr>
        <w:t xml:space="preserve"> </w:t>
      </w:r>
      <w:r w:rsidRPr="00DA74F4">
        <w:rPr>
          <w:rFonts w:ascii="Times New Roman" w:hAnsi="Times New Roman"/>
          <w:sz w:val="24"/>
          <w:szCs w:val="24"/>
        </w:rPr>
        <w:t>EMS</w:t>
      </w:r>
      <w:r>
        <w:rPr>
          <w:rFonts w:ascii="Times New Roman" w:hAnsi="Times New Roman"/>
          <w:sz w:val="24"/>
          <w:szCs w:val="24"/>
        </w:rPr>
        <w:t xml:space="preserve"> </w:t>
      </w:r>
      <w:r w:rsidRPr="00DA74F4">
        <w:rPr>
          <w:rFonts w:ascii="Times New Roman" w:hAnsi="Times New Roman"/>
          <w:sz w:val="24"/>
          <w:szCs w:val="24"/>
        </w:rPr>
        <w:t>arrived.</w:t>
      </w:r>
      <w:r>
        <w:rPr>
          <w:rFonts w:ascii="Times New Roman" w:hAnsi="Times New Roman"/>
          <w:sz w:val="24"/>
          <w:szCs w:val="24"/>
        </w:rPr>
        <w:t xml:space="preserve"> </w:t>
      </w:r>
      <w:r w:rsidRPr="00DA74F4">
        <w:rPr>
          <w:rFonts w:ascii="Times New Roman" w:hAnsi="Times New Roman"/>
          <w:sz w:val="24"/>
          <w:szCs w:val="24"/>
        </w:rPr>
        <w:t>Id.</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victim’s</w:t>
      </w:r>
      <w:r>
        <w:rPr>
          <w:rFonts w:ascii="Times New Roman" w:hAnsi="Times New Roman"/>
          <w:sz w:val="24"/>
          <w:szCs w:val="24"/>
        </w:rPr>
        <w:t xml:space="preserve"> </w:t>
      </w:r>
      <w:r w:rsidRPr="00DA74F4">
        <w:rPr>
          <w:rFonts w:ascii="Times New Roman" w:hAnsi="Times New Roman"/>
          <w:sz w:val="24"/>
          <w:szCs w:val="24"/>
        </w:rPr>
        <w:t>estate</w:t>
      </w:r>
      <w:r>
        <w:rPr>
          <w:rFonts w:ascii="Times New Roman" w:hAnsi="Times New Roman"/>
          <w:sz w:val="24"/>
          <w:szCs w:val="24"/>
        </w:rPr>
        <w:t xml:space="preserve"> </w:t>
      </w:r>
      <w:r w:rsidRPr="00DA74F4">
        <w:rPr>
          <w:rFonts w:ascii="Times New Roman" w:hAnsi="Times New Roman"/>
          <w:sz w:val="24"/>
          <w:szCs w:val="24"/>
        </w:rPr>
        <w:t>alleged</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officers</w:t>
      </w:r>
      <w:r>
        <w:rPr>
          <w:rFonts w:ascii="Times New Roman" w:hAnsi="Times New Roman"/>
          <w:sz w:val="24"/>
          <w:szCs w:val="24"/>
        </w:rPr>
        <w:t xml:space="preserve"> </w:t>
      </w:r>
      <w:r w:rsidRPr="00DA74F4">
        <w:rPr>
          <w:rFonts w:ascii="Times New Roman" w:hAnsi="Times New Roman"/>
          <w:sz w:val="24"/>
          <w:szCs w:val="24"/>
        </w:rPr>
        <w:t>interfered</w:t>
      </w:r>
      <w:r>
        <w:rPr>
          <w:rFonts w:ascii="Times New Roman" w:hAnsi="Times New Roman"/>
          <w:sz w:val="24"/>
          <w:szCs w:val="24"/>
        </w:rPr>
        <w:t xml:space="preserve"> </w:t>
      </w:r>
      <w:r w:rsidRPr="00DA74F4">
        <w:rPr>
          <w:rFonts w:ascii="Times New Roman" w:hAnsi="Times New Roman"/>
          <w:sz w:val="24"/>
          <w:szCs w:val="24"/>
        </w:rPr>
        <w:t>with</w:t>
      </w:r>
      <w:r>
        <w:rPr>
          <w:rFonts w:ascii="Times New Roman" w:hAnsi="Times New Roman"/>
          <w:sz w:val="24"/>
          <w:szCs w:val="24"/>
        </w:rPr>
        <w:t xml:space="preserve"> </w:t>
      </w:r>
      <w:r w:rsidRPr="00DA74F4">
        <w:rPr>
          <w:rFonts w:ascii="Times New Roman" w:hAnsi="Times New Roman"/>
          <w:sz w:val="24"/>
          <w:szCs w:val="24"/>
        </w:rPr>
        <w:t>EMS</w:t>
      </w:r>
      <w:r>
        <w:rPr>
          <w:rFonts w:ascii="Times New Roman" w:hAnsi="Times New Roman"/>
          <w:sz w:val="24"/>
          <w:szCs w:val="24"/>
        </w:rPr>
        <w:t xml:space="preserve"> </w:t>
      </w:r>
      <w:r w:rsidRPr="00DA74F4">
        <w:rPr>
          <w:rFonts w:ascii="Times New Roman" w:hAnsi="Times New Roman"/>
          <w:sz w:val="24"/>
          <w:szCs w:val="24"/>
        </w:rPr>
        <w:t>by</w:t>
      </w:r>
      <w:r>
        <w:rPr>
          <w:rFonts w:ascii="Times New Roman" w:hAnsi="Times New Roman"/>
          <w:sz w:val="24"/>
          <w:szCs w:val="24"/>
        </w:rPr>
        <w:t xml:space="preserve"> </w:t>
      </w:r>
      <w:r w:rsidRPr="00DA74F4">
        <w:rPr>
          <w:rFonts w:ascii="Times New Roman" w:hAnsi="Times New Roman"/>
          <w:sz w:val="24"/>
          <w:szCs w:val="24"/>
        </w:rPr>
        <w:t>refusing</w:t>
      </w:r>
      <w:r>
        <w:rPr>
          <w:rFonts w:ascii="Times New Roman" w:hAnsi="Times New Roman"/>
          <w:sz w:val="24"/>
          <w:szCs w:val="24"/>
        </w:rPr>
        <w:t xml:space="preserve"> </w:t>
      </w:r>
      <w:r w:rsidRPr="00DA74F4">
        <w:rPr>
          <w:rFonts w:ascii="Times New Roman" w:hAnsi="Times New Roman"/>
          <w:sz w:val="24"/>
          <w:szCs w:val="24"/>
        </w:rPr>
        <w:t>to</w:t>
      </w:r>
      <w:r>
        <w:rPr>
          <w:rFonts w:ascii="Times New Roman" w:hAnsi="Times New Roman"/>
          <w:sz w:val="24"/>
          <w:szCs w:val="24"/>
        </w:rPr>
        <w:t xml:space="preserve"> </w:t>
      </w:r>
      <w:r w:rsidRPr="00DA74F4">
        <w:rPr>
          <w:rFonts w:ascii="Times New Roman" w:hAnsi="Times New Roman"/>
          <w:sz w:val="24"/>
          <w:szCs w:val="24"/>
        </w:rPr>
        <w:t>remove</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handcuffs</w:t>
      </w:r>
      <w:r>
        <w:rPr>
          <w:rFonts w:ascii="Times New Roman" w:hAnsi="Times New Roman"/>
          <w:sz w:val="24"/>
          <w:szCs w:val="24"/>
        </w:rPr>
        <w:t xml:space="preserve"> </w:t>
      </w:r>
      <w:r w:rsidRPr="00DA74F4">
        <w:rPr>
          <w:rFonts w:ascii="Times New Roman" w:hAnsi="Times New Roman"/>
          <w:sz w:val="24"/>
          <w:szCs w:val="24"/>
        </w:rPr>
        <w:t>upon</w:t>
      </w:r>
      <w:r>
        <w:rPr>
          <w:rFonts w:ascii="Times New Roman" w:hAnsi="Times New Roman"/>
          <w:sz w:val="24"/>
          <w:szCs w:val="24"/>
        </w:rPr>
        <w:t xml:space="preserve"> </w:t>
      </w:r>
      <w:proofErr w:type="spellStart"/>
      <w:r w:rsidRPr="00DA74F4">
        <w:rPr>
          <w:rFonts w:ascii="Times New Roman" w:hAnsi="Times New Roman"/>
          <w:sz w:val="24"/>
          <w:szCs w:val="24"/>
        </w:rPr>
        <w:t>request.Id</w:t>
      </w:r>
      <w:proofErr w:type="spellEnd"/>
      <w:r w:rsidRPr="00DA74F4">
        <w:rPr>
          <w:rFonts w:ascii="Times New Roman" w:hAnsi="Times New Roman"/>
          <w:sz w:val="24"/>
          <w:szCs w:val="24"/>
        </w:rPr>
        <w:t>.</w:t>
      </w:r>
      <w:r>
        <w:rPr>
          <w:rFonts w:ascii="Times New Roman" w:hAnsi="Times New Roman"/>
          <w:sz w:val="24"/>
          <w:szCs w:val="24"/>
        </w:rPr>
        <w:t xml:space="preserve"> </w:t>
      </w:r>
      <w:r w:rsidRPr="00DA74F4">
        <w:rPr>
          <w:rFonts w:ascii="Times New Roman" w:hAnsi="Times New Roman"/>
          <w:sz w:val="24"/>
          <w:szCs w:val="24"/>
        </w:rPr>
        <w:t>This</w:t>
      </w:r>
      <w:r>
        <w:rPr>
          <w:rFonts w:ascii="Times New Roman" w:hAnsi="Times New Roman"/>
          <w:sz w:val="24"/>
          <w:szCs w:val="24"/>
        </w:rPr>
        <w:t xml:space="preserve"> </w:t>
      </w:r>
      <w:r w:rsidRPr="00DA74F4">
        <w:rPr>
          <w:rFonts w:ascii="Times New Roman" w:hAnsi="Times New Roman"/>
          <w:sz w:val="24"/>
          <w:szCs w:val="24"/>
        </w:rPr>
        <w:t>court,</w:t>
      </w:r>
      <w:r>
        <w:rPr>
          <w:rFonts w:ascii="Times New Roman" w:hAnsi="Times New Roman"/>
          <w:sz w:val="24"/>
          <w:szCs w:val="24"/>
        </w:rPr>
        <w:t xml:space="preserve"> </w:t>
      </w:r>
      <w:r w:rsidRPr="00DA74F4">
        <w:rPr>
          <w:rFonts w:ascii="Times New Roman" w:hAnsi="Times New Roman"/>
          <w:sz w:val="24"/>
          <w:szCs w:val="24"/>
        </w:rPr>
        <w:t>applying</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Fourteenth</w:t>
      </w:r>
      <w:r>
        <w:rPr>
          <w:rFonts w:ascii="Times New Roman" w:hAnsi="Times New Roman"/>
          <w:sz w:val="24"/>
          <w:szCs w:val="24"/>
        </w:rPr>
        <w:t xml:space="preserve"> </w:t>
      </w:r>
      <w:r w:rsidRPr="00DA74F4">
        <w:rPr>
          <w:rFonts w:ascii="Times New Roman" w:hAnsi="Times New Roman"/>
          <w:sz w:val="24"/>
          <w:szCs w:val="24"/>
        </w:rPr>
        <w:t>Amendment</w:t>
      </w:r>
      <w:r>
        <w:rPr>
          <w:rFonts w:ascii="Times New Roman" w:hAnsi="Times New Roman"/>
          <w:sz w:val="24"/>
          <w:szCs w:val="24"/>
        </w:rPr>
        <w:t xml:space="preserve"> </w:t>
      </w:r>
      <w:r w:rsidRPr="00DA74F4">
        <w:rPr>
          <w:rFonts w:ascii="Times New Roman" w:hAnsi="Times New Roman"/>
          <w:sz w:val="24"/>
          <w:szCs w:val="24"/>
        </w:rPr>
        <w:t>deliberate</w:t>
      </w:r>
      <w:r>
        <w:rPr>
          <w:rFonts w:ascii="Times New Roman" w:hAnsi="Times New Roman"/>
          <w:sz w:val="24"/>
          <w:szCs w:val="24"/>
        </w:rPr>
        <w:t xml:space="preserve"> </w:t>
      </w:r>
      <w:r w:rsidRPr="00DA74F4">
        <w:rPr>
          <w:rFonts w:ascii="Times New Roman" w:hAnsi="Times New Roman"/>
          <w:sz w:val="24"/>
          <w:szCs w:val="24"/>
        </w:rPr>
        <w:t>indifference</w:t>
      </w:r>
      <w:r>
        <w:rPr>
          <w:rFonts w:ascii="Times New Roman" w:hAnsi="Times New Roman"/>
          <w:sz w:val="24"/>
          <w:szCs w:val="24"/>
        </w:rPr>
        <w:t xml:space="preserve"> </w:t>
      </w:r>
      <w:r w:rsidRPr="00DA74F4">
        <w:rPr>
          <w:rFonts w:ascii="Times New Roman" w:hAnsi="Times New Roman"/>
          <w:sz w:val="24"/>
          <w:szCs w:val="24"/>
        </w:rPr>
        <w:t>standard,</w:t>
      </w:r>
      <w:r>
        <w:rPr>
          <w:rFonts w:ascii="Times New Roman" w:hAnsi="Times New Roman"/>
          <w:sz w:val="24"/>
          <w:szCs w:val="24"/>
        </w:rPr>
        <w:t xml:space="preserve"> </w:t>
      </w:r>
      <w:r w:rsidRPr="00DA74F4">
        <w:rPr>
          <w:rFonts w:ascii="Times New Roman" w:hAnsi="Times New Roman"/>
          <w:sz w:val="24"/>
          <w:szCs w:val="24"/>
        </w:rPr>
        <w:t>held</w:t>
      </w:r>
      <w:r>
        <w:rPr>
          <w:rFonts w:ascii="Times New Roman" w:hAnsi="Times New Roman"/>
          <w:sz w:val="24"/>
          <w:szCs w:val="24"/>
        </w:rPr>
        <w:t xml:space="preserve"> </w:t>
      </w:r>
      <w:r w:rsidRPr="00DA74F4">
        <w:rPr>
          <w:rFonts w:ascii="Times New Roman" w:hAnsi="Times New Roman"/>
          <w:sz w:val="24"/>
          <w:szCs w:val="24"/>
        </w:rPr>
        <w:t>that</w:t>
      </w:r>
      <w:r>
        <w:rPr>
          <w:rFonts w:ascii="Times New Roman" w:hAnsi="Times New Roman"/>
          <w:sz w:val="24"/>
          <w:szCs w:val="24"/>
        </w:rPr>
        <w:t xml:space="preserve"> </w:t>
      </w:r>
      <w:r w:rsidRPr="00DA74F4">
        <w:rPr>
          <w:rFonts w:ascii="Times New Roman" w:hAnsi="Times New Roman"/>
          <w:sz w:val="24"/>
          <w:szCs w:val="24"/>
        </w:rPr>
        <w:t>neither</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handcuffing</w:t>
      </w:r>
      <w:r>
        <w:rPr>
          <w:rFonts w:ascii="Times New Roman" w:hAnsi="Times New Roman"/>
          <w:sz w:val="24"/>
          <w:szCs w:val="24"/>
        </w:rPr>
        <w:t xml:space="preserve"> </w:t>
      </w:r>
      <w:r w:rsidRPr="00DA74F4">
        <w:rPr>
          <w:rFonts w:ascii="Times New Roman" w:hAnsi="Times New Roman"/>
          <w:sz w:val="24"/>
          <w:szCs w:val="24"/>
        </w:rPr>
        <w:t>nor</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refusal</w:t>
      </w:r>
      <w:r>
        <w:rPr>
          <w:rFonts w:ascii="Times New Roman" w:hAnsi="Times New Roman"/>
          <w:sz w:val="24"/>
          <w:szCs w:val="24"/>
        </w:rPr>
        <w:t xml:space="preserve"> </w:t>
      </w:r>
      <w:r w:rsidRPr="00DA74F4">
        <w:rPr>
          <w:rFonts w:ascii="Times New Roman" w:hAnsi="Times New Roman"/>
          <w:sz w:val="24"/>
          <w:szCs w:val="24"/>
        </w:rPr>
        <w:t>to</w:t>
      </w:r>
      <w:r>
        <w:rPr>
          <w:rFonts w:ascii="Times New Roman" w:hAnsi="Times New Roman"/>
          <w:sz w:val="24"/>
          <w:szCs w:val="24"/>
        </w:rPr>
        <w:t xml:space="preserve"> </w:t>
      </w:r>
      <w:r w:rsidRPr="00DA74F4">
        <w:rPr>
          <w:rFonts w:ascii="Times New Roman" w:hAnsi="Times New Roman"/>
          <w:sz w:val="24"/>
          <w:szCs w:val="24"/>
        </w:rPr>
        <w:t>remove</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handcuffs</w:t>
      </w:r>
      <w:r>
        <w:rPr>
          <w:rFonts w:ascii="Times New Roman" w:hAnsi="Times New Roman"/>
          <w:sz w:val="24"/>
          <w:szCs w:val="24"/>
        </w:rPr>
        <w:t xml:space="preserve"> </w:t>
      </w:r>
      <w:r w:rsidRPr="00DA74F4">
        <w:rPr>
          <w:rFonts w:ascii="Times New Roman" w:hAnsi="Times New Roman"/>
          <w:sz w:val="24"/>
          <w:szCs w:val="24"/>
        </w:rPr>
        <w:t>amounted</w:t>
      </w:r>
      <w:r>
        <w:rPr>
          <w:rFonts w:ascii="Times New Roman" w:hAnsi="Times New Roman"/>
          <w:sz w:val="24"/>
          <w:szCs w:val="24"/>
        </w:rPr>
        <w:t xml:space="preserve"> </w:t>
      </w:r>
      <w:r w:rsidRPr="00DA74F4">
        <w:rPr>
          <w:rFonts w:ascii="Times New Roman" w:hAnsi="Times New Roman"/>
          <w:sz w:val="24"/>
          <w:szCs w:val="24"/>
        </w:rPr>
        <w:t>to</w:t>
      </w:r>
      <w:r>
        <w:rPr>
          <w:rFonts w:ascii="Times New Roman" w:hAnsi="Times New Roman"/>
          <w:sz w:val="24"/>
          <w:szCs w:val="24"/>
        </w:rPr>
        <w:t xml:space="preserve"> </w:t>
      </w:r>
      <w:r w:rsidRPr="00DA74F4">
        <w:rPr>
          <w:rFonts w:ascii="Times New Roman" w:hAnsi="Times New Roman"/>
          <w:sz w:val="24"/>
          <w:szCs w:val="24"/>
        </w:rPr>
        <w:t>a</w:t>
      </w:r>
      <w:r>
        <w:rPr>
          <w:rFonts w:ascii="Times New Roman" w:hAnsi="Times New Roman"/>
          <w:sz w:val="24"/>
          <w:szCs w:val="24"/>
        </w:rPr>
        <w:t xml:space="preserve"> </w:t>
      </w:r>
      <w:r w:rsidRPr="00DA74F4">
        <w:rPr>
          <w:rFonts w:ascii="Times New Roman" w:hAnsi="Times New Roman"/>
          <w:sz w:val="24"/>
          <w:szCs w:val="24"/>
        </w:rPr>
        <w:t>constitutional</w:t>
      </w:r>
      <w:r>
        <w:rPr>
          <w:rFonts w:ascii="Times New Roman" w:hAnsi="Times New Roman"/>
          <w:sz w:val="24"/>
          <w:szCs w:val="24"/>
        </w:rPr>
        <w:t xml:space="preserve"> </w:t>
      </w:r>
      <w:r w:rsidRPr="00DA74F4">
        <w:rPr>
          <w:rFonts w:ascii="Times New Roman" w:hAnsi="Times New Roman"/>
          <w:sz w:val="24"/>
          <w:szCs w:val="24"/>
        </w:rPr>
        <w:t>violation.</w:t>
      </w:r>
      <w:r>
        <w:rPr>
          <w:rFonts w:ascii="Times New Roman" w:hAnsi="Times New Roman"/>
          <w:sz w:val="24"/>
          <w:szCs w:val="24"/>
        </w:rPr>
        <w:t xml:space="preserve"> </w:t>
      </w:r>
      <w:r w:rsidRPr="00DA74F4">
        <w:rPr>
          <w:rFonts w:ascii="Times New Roman" w:hAnsi="Times New Roman"/>
          <w:sz w:val="24"/>
          <w:szCs w:val="24"/>
        </w:rPr>
        <w:t>Id.</w:t>
      </w:r>
      <w:r>
        <w:rPr>
          <w:rFonts w:ascii="Times New Roman" w:hAnsi="Times New Roman"/>
          <w:sz w:val="24"/>
          <w:szCs w:val="24"/>
        </w:rPr>
        <w:t xml:space="preserve"> </w:t>
      </w:r>
      <w:r w:rsidRPr="00DA74F4">
        <w:rPr>
          <w:rFonts w:ascii="Times New Roman" w:hAnsi="Times New Roman"/>
          <w:sz w:val="24"/>
          <w:szCs w:val="24"/>
        </w:rPr>
        <w:t>Further,</w:t>
      </w:r>
      <w:r>
        <w:rPr>
          <w:rFonts w:ascii="Times New Roman" w:hAnsi="Times New Roman"/>
          <w:sz w:val="24"/>
          <w:szCs w:val="24"/>
        </w:rPr>
        <w:t xml:space="preserve"> </w:t>
      </w:r>
      <w:r w:rsidRPr="00DA74F4">
        <w:rPr>
          <w:rFonts w:ascii="Times New Roman" w:hAnsi="Times New Roman"/>
          <w:sz w:val="24"/>
          <w:szCs w:val="24"/>
        </w:rPr>
        <w:t>Wilson</w:t>
      </w:r>
      <w:r>
        <w:rPr>
          <w:rFonts w:ascii="Times New Roman" w:hAnsi="Times New Roman"/>
          <w:sz w:val="24"/>
          <w:szCs w:val="24"/>
        </w:rPr>
        <w:t xml:space="preserve"> </w:t>
      </w:r>
      <w:r w:rsidRPr="00DA74F4">
        <w:rPr>
          <w:rFonts w:ascii="Times New Roman" w:hAnsi="Times New Roman"/>
          <w:sz w:val="24"/>
          <w:szCs w:val="24"/>
        </w:rPr>
        <w:t>refused</w:t>
      </w:r>
      <w:r>
        <w:rPr>
          <w:rFonts w:ascii="Times New Roman" w:hAnsi="Times New Roman"/>
          <w:sz w:val="24"/>
          <w:szCs w:val="24"/>
        </w:rPr>
        <w:t xml:space="preserve"> </w:t>
      </w:r>
      <w:r w:rsidRPr="00DA74F4">
        <w:rPr>
          <w:rFonts w:ascii="Times New Roman" w:hAnsi="Times New Roman"/>
          <w:sz w:val="24"/>
          <w:szCs w:val="24"/>
        </w:rPr>
        <w:t>to</w:t>
      </w:r>
      <w:r>
        <w:rPr>
          <w:rFonts w:ascii="Times New Roman" w:hAnsi="Times New Roman"/>
          <w:sz w:val="24"/>
          <w:szCs w:val="24"/>
        </w:rPr>
        <w:t xml:space="preserve"> </w:t>
      </w:r>
      <w:r w:rsidRPr="00DA74F4">
        <w:rPr>
          <w:rFonts w:ascii="Times New Roman" w:hAnsi="Times New Roman"/>
          <w:sz w:val="24"/>
          <w:szCs w:val="24"/>
        </w:rPr>
        <w:t>hold</w:t>
      </w:r>
      <w:r>
        <w:rPr>
          <w:rFonts w:ascii="Times New Roman" w:hAnsi="Times New Roman"/>
          <w:sz w:val="24"/>
          <w:szCs w:val="24"/>
        </w:rPr>
        <w:t xml:space="preserve"> </w:t>
      </w:r>
      <w:r w:rsidRPr="00DA74F4">
        <w:rPr>
          <w:rFonts w:ascii="Times New Roman" w:hAnsi="Times New Roman"/>
          <w:sz w:val="24"/>
          <w:szCs w:val="24"/>
        </w:rPr>
        <w:t>that</w:t>
      </w:r>
      <w:r>
        <w:rPr>
          <w:rFonts w:ascii="Times New Roman" w:hAnsi="Times New Roman"/>
          <w:sz w:val="24"/>
          <w:szCs w:val="24"/>
        </w:rPr>
        <w:t xml:space="preserve"> </w:t>
      </w:r>
      <w:r w:rsidRPr="00DA74F4">
        <w:rPr>
          <w:rFonts w:ascii="Times New Roman" w:hAnsi="Times New Roman"/>
          <w:sz w:val="24"/>
          <w:szCs w:val="24"/>
        </w:rPr>
        <w:t>the</w:t>
      </w:r>
      <w:r>
        <w:rPr>
          <w:rFonts w:ascii="Times New Roman" w:hAnsi="Times New Roman"/>
          <w:sz w:val="24"/>
          <w:szCs w:val="24"/>
        </w:rPr>
        <w:t xml:space="preserve"> </w:t>
      </w:r>
      <w:r w:rsidRPr="00DA74F4">
        <w:rPr>
          <w:rFonts w:ascii="Times New Roman" w:hAnsi="Times New Roman"/>
          <w:sz w:val="24"/>
          <w:szCs w:val="24"/>
        </w:rPr>
        <w:t>Due</w:t>
      </w:r>
      <w:r>
        <w:rPr>
          <w:rFonts w:ascii="Times New Roman" w:hAnsi="Times New Roman"/>
          <w:sz w:val="24"/>
          <w:szCs w:val="24"/>
        </w:rPr>
        <w:t xml:space="preserve"> </w:t>
      </w:r>
      <w:r w:rsidRPr="00DA74F4">
        <w:rPr>
          <w:rFonts w:ascii="Times New Roman" w:hAnsi="Times New Roman"/>
          <w:sz w:val="24"/>
          <w:szCs w:val="24"/>
        </w:rPr>
        <w:t>Process</w:t>
      </w:r>
      <w:r>
        <w:rPr>
          <w:rFonts w:ascii="Times New Roman" w:hAnsi="Times New Roman"/>
          <w:sz w:val="24"/>
          <w:szCs w:val="24"/>
        </w:rPr>
        <w:t xml:space="preserve"> </w:t>
      </w:r>
      <w:r w:rsidRPr="00DA74F4">
        <w:rPr>
          <w:rFonts w:ascii="Times New Roman" w:hAnsi="Times New Roman"/>
          <w:sz w:val="24"/>
          <w:szCs w:val="24"/>
        </w:rPr>
        <w:t>Clause</w:t>
      </w:r>
      <w:r>
        <w:rPr>
          <w:rFonts w:ascii="Times New Roman" w:hAnsi="Times New Roman"/>
          <w:sz w:val="24"/>
          <w:szCs w:val="24"/>
        </w:rPr>
        <w:t xml:space="preserve"> </w:t>
      </w:r>
      <w:r w:rsidRPr="00DA74F4">
        <w:rPr>
          <w:rFonts w:ascii="Times New Roman" w:hAnsi="Times New Roman"/>
          <w:sz w:val="24"/>
          <w:szCs w:val="24"/>
        </w:rPr>
        <w:t>establishes</w:t>
      </w:r>
      <w:r>
        <w:rPr>
          <w:rFonts w:ascii="Times New Roman" w:hAnsi="Times New Roman"/>
          <w:sz w:val="24"/>
          <w:szCs w:val="24"/>
        </w:rPr>
        <w:t xml:space="preserve"> </w:t>
      </w:r>
      <w:r w:rsidRPr="00DA74F4">
        <w:rPr>
          <w:rFonts w:ascii="Times New Roman" w:hAnsi="Times New Roman"/>
          <w:sz w:val="24"/>
          <w:szCs w:val="24"/>
        </w:rPr>
        <w:t>an</w:t>
      </w:r>
      <w:r>
        <w:rPr>
          <w:rFonts w:ascii="Times New Roman" w:hAnsi="Times New Roman"/>
          <w:sz w:val="24"/>
          <w:szCs w:val="24"/>
        </w:rPr>
        <w:t xml:space="preserve"> </w:t>
      </w:r>
      <w:r w:rsidRPr="00DA74F4">
        <w:rPr>
          <w:rFonts w:ascii="Times New Roman" w:hAnsi="Times New Roman"/>
          <w:sz w:val="24"/>
          <w:szCs w:val="24"/>
        </w:rPr>
        <w:t>affirmative</w:t>
      </w:r>
      <w:r>
        <w:rPr>
          <w:rFonts w:ascii="Times New Roman" w:hAnsi="Times New Roman"/>
          <w:sz w:val="24"/>
          <w:szCs w:val="24"/>
        </w:rPr>
        <w:t xml:space="preserve"> </w:t>
      </w:r>
      <w:r w:rsidRPr="00DA74F4">
        <w:rPr>
          <w:rFonts w:ascii="Times New Roman" w:hAnsi="Times New Roman"/>
          <w:sz w:val="24"/>
          <w:szCs w:val="24"/>
        </w:rPr>
        <w:t>duty</w:t>
      </w:r>
      <w:r>
        <w:rPr>
          <w:rFonts w:ascii="Times New Roman" w:hAnsi="Times New Roman"/>
          <w:sz w:val="24"/>
          <w:szCs w:val="24"/>
        </w:rPr>
        <w:t xml:space="preserve"> </w:t>
      </w:r>
      <w:r w:rsidRPr="00DA74F4">
        <w:rPr>
          <w:rFonts w:ascii="Times New Roman" w:hAnsi="Times New Roman"/>
          <w:sz w:val="24"/>
          <w:szCs w:val="24"/>
        </w:rPr>
        <w:t>on</w:t>
      </w:r>
      <w:r>
        <w:rPr>
          <w:rFonts w:ascii="Times New Roman" w:hAnsi="Times New Roman"/>
          <w:sz w:val="24"/>
          <w:szCs w:val="24"/>
        </w:rPr>
        <w:t xml:space="preserve"> </w:t>
      </w:r>
      <w:r w:rsidRPr="00DA74F4">
        <w:rPr>
          <w:rFonts w:ascii="Times New Roman" w:hAnsi="Times New Roman"/>
          <w:sz w:val="24"/>
          <w:szCs w:val="24"/>
        </w:rPr>
        <w:t>police</w:t>
      </w:r>
      <w:r>
        <w:rPr>
          <w:rFonts w:ascii="Times New Roman" w:hAnsi="Times New Roman"/>
          <w:sz w:val="24"/>
          <w:szCs w:val="24"/>
        </w:rPr>
        <w:t xml:space="preserve"> </w:t>
      </w:r>
      <w:r w:rsidRPr="00DA74F4">
        <w:rPr>
          <w:rFonts w:ascii="Times New Roman" w:hAnsi="Times New Roman"/>
          <w:sz w:val="24"/>
          <w:szCs w:val="24"/>
        </w:rPr>
        <w:t>officers</w:t>
      </w:r>
      <w:r>
        <w:rPr>
          <w:rFonts w:ascii="Times New Roman" w:hAnsi="Times New Roman"/>
          <w:sz w:val="24"/>
          <w:szCs w:val="24"/>
        </w:rPr>
        <w:t xml:space="preserve"> </w:t>
      </w:r>
      <w:r w:rsidRPr="00DA74F4">
        <w:rPr>
          <w:rFonts w:ascii="Times New Roman" w:hAnsi="Times New Roman"/>
          <w:sz w:val="24"/>
          <w:szCs w:val="24"/>
        </w:rPr>
        <w:t>to</w:t>
      </w:r>
      <w:r>
        <w:rPr>
          <w:rFonts w:ascii="Times New Roman" w:hAnsi="Times New Roman"/>
          <w:sz w:val="24"/>
          <w:szCs w:val="24"/>
        </w:rPr>
        <w:t xml:space="preserve"> </w:t>
      </w:r>
      <w:r w:rsidRPr="00DA74F4">
        <w:rPr>
          <w:rFonts w:ascii="Times New Roman" w:hAnsi="Times New Roman"/>
          <w:sz w:val="24"/>
          <w:szCs w:val="24"/>
        </w:rPr>
        <w:t>provide</w:t>
      </w:r>
      <w:r>
        <w:rPr>
          <w:rFonts w:ascii="Times New Roman" w:hAnsi="Times New Roman"/>
          <w:sz w:val="24"/>
          <w:szCs w:val="24"/>
        </w:rPr>
        <w:t xml:space="preserve"> </w:t>
      </w:r>
      <w:r w:rsidRPr="00DA74F4">
        <w:rPr>
          <w:rFonts w:ascii="Times New Roman" w:hAnsi="Times New Roman"/>
          <w:sz w:val="24"/>
          <w:szCs w:val="24"/>
        </w:rPr>
        <w:t>medical</w:t>
      </w:r>
      <w:r>
        <w:rPr>
          <w:rFonts w:ascii="Times New Roman" w:hAnsi="Times New Roman"/>
          <w:sz w:val="24"/>
          <w:szCs w:val="24"/>
        </w:rPr>
        <w:t xml:space="preserve"> </w:t>
      </w:r>
      <w:r w:rsidRPr="00DA74F4">
        <w:rPr>
          <w:rFonts w:ascii="Times New Roman" w:hAnsi="Times New Roman"/>
          <w:sz w:val="24"/>
          <w:szCs w:val="24"/>
        </w:rPr>
        <w:t>care</w:t>
      </w:r>
      <w:r>
        <w:rPr>
          <w:rFonts w:ascii="Times New Roman" w:hAnsi="Times New Roman"/>
          <w:sz w:val="24"/>
          <w:szCs w:val="24"/>
        </w:rPr>
        <w:t xml:space="preserve"> </w:t>
      </w:r>
      <w:r w:rsidRPr="00DA74F4">
        <w:rPr>
          <w:rFonts w:ascii="Times New Roman" w:hAnsi="Times New Roman"/>
          <w:sz w:val="24"/>
          <w:szCs w:val="24"/>
        </w:rPr>
        <w:t>(even</w:t>
      </w:r>
      <w:r>
        <w:rPr>
          <w:rFonts w:ascii="Times New Roman" w:hAnsi="Times New Roman"/>
          <w:sz w:val="24"/>
          <w:szCs w:val="24"/>
        </w:rPr>
        <w:t xml:space="preserve"> </w:t>
      </w:r>
      <w:r w:rsidRPr="00DA74F4">
        <w:rPr>
          <w:rFonts w:ascii="Times New Roman" w:hAnsi="Times New Roman"/>
          <w:sz w:val="24"/>
          <w:szCs w:val="24"/>
        </w:rPr>
        <w:t>something</w:t>
      </w:r>
      <w:r>
        <w:rPr>
          <w:rFonts w:ascii="Times New Roman" w:hAnsi="Times New Roman"/>
          <w:sz w:val="24"/>
          <w:szCs w:val="24"/>
        </w:rPr>
        <w:t xml:space="preserve"> </w:t>
      </w:r>
      <w:r w:rsidRPr="00DA74F4">
        <w:rPr>
          <w:rFonts w:ascii="Times New Roman" w:hAnsi="Times New Roman"/>
          <w:sz w:val="24"/>
          <w:szCs w:val="24"/>
        </w:rPr>
        <w:t>as</w:t>
      </w:r>
      <w:r>
        <w:rPr>
          <w:rFonts w:ascii="Times New Roman" w:hAnsi="Times New Roman"/>
          <w:sz w:val="24"/>
          <w:szCs w:val="24"/>
        </w:rPr>
        <w:t xml:space="preserve"> </w:t>
      </w:r>
      <w:r w:rsidRPr="00DA74F4">
        <w:rPr>
          <w:rFonts w:ascii="Times New Roman" w:hAnsi="Times New Roman"/>
          <w:sz w:val="24"/>
          <w:szCs w:val="24"/>
        </w:rPr>
        <w:t>basic</w:t>
      </w:r>
      <w:r>
        <w:rPr>
          <w:rFonts w:ascii="Times New Roman" w:hAnsi="Times New Roman"/>
          <w:sz w:val="24"/>
          <w:szCs w:val="24"/>
        </w:rPr>
        <w:t xml:space="preserve"> </w:t>
      </w:r>
      <w:r w:rsidRPr="00DA74F4">
        <w:rPr>
          <w:rFonts w:ascii="Times New Roman" w:hAnsi="Times New Roman"/>
          <w:sz w:val="24"/>
          <w:szCs w:val="24"/>
        </w:rPr>
        <w:t>as</w:t>
      </w:r>
      <w:r>
        <w:rPr>
          <w:rFonts w:ascii="Times New Roman" w:hAnsi="Times New Roman"/>
          <w:sz w:val="24"/>
          <w:szCs w:val="24"/>
        </w:rPr>
        <w:t xml:space="preserve"> </w:t>
      </w:r>
      <w:r w:rsidRPr="00DA74F4">
        <w:rPr>
          <w:rFonts w:ascii="Times New Roman" w:hAnsi="Times New Roman"/>
          <w:sz w:val="24"/>
          <w:szCs w:val="24"/>
        </w:rPr>
        <w:t>CPR),</w:t>
      </w:r>
      <w:r>
        <w:rPr>
          <w:rFonts w:ascii="Times New Roman" w:hAnsi="Times New Roman"/>
          <w:sz w:val="24"/>
          <w:szCs w:val="24"/>
        </w:rPr>
        <w:t xml:space="preserve"> i</w:t>
      </w:r>
      <w:r w:rsidRPr="00DA74F4">
        <w:rPr>
          <w:rFonts w:ascii="Times New Roman" w:hAnsi="Times New Roman"/>
          <w:sz w:val="24"/>
          <w:szCs w:val="24"/>
        </w:rPr>
        <w:t>n</w:t>
      </w:r>
      <w:r>
        <w:rPr>
          <w:rFonts w:ascii="Times New Roman" w:hAnsi="Times New Roman"/>
          <w:sz w:val="24"/>
          <w:szCs w:val="24"/>
        </w:rPr>
        <w:t xml:space="preserve"> </w:t>
      </w:r>
      <w:proofErr w:type="gramStart"/>
      <w:r w:rsidRPr="00DA74F4">
        <w:rPr>
          <w:rFonts w:ascii="Times New Roman" w:hAnsi="Times New Roman"/>
          <w:sz w:val="24"/>
          <w:szCs w:val="24"/>
        </w:rPr>
        <w:t>any</w:t>
      </w:r>
      <w:r>
        <w:rPr>
          <w:rFonts w:ascii="Times New Roman" w:hAnsi="Times New Roman"/>
          <w:sz w:val="24"/>
          <w:szCs w:val="24"/>
        </w:rPr>
        <w:t xml:space="preserve"> </w:t>
      </w:r>
      <w:r w:rsidRPr="00DA74F4">
        <w:rPr>
          <w:rFonts w:ascii="Times New Roman" w:hAnsi="Times New Roman"/>
          <w:sz w:val="24"/>
          <w:szCs w:val="24"/>
        </w:rPr>
        <w:t>and</w:t>
      </w:r>
      <w:r>
        <w:rPr>
          <w:rFonts w:ascii="Times New Roman" w:hAnsi="Times New Roman"/>
          <w:sz w:val="24"/>
          <w:szCs w:val="24"/>
        </w:rPr>
        <w:t xml:space="preserve"> </w:t>
      </w:r>
      <w:r w:rsidRPr="00DA74F4">
        <w:rPr>
          <w:rFonts w:ascii="Times New Roman" w:hAnsi="Times New Roman"/>
          <w:sz w:val="24"/>
          <w:szCs w:val="24"/>
        </w:rPr>
        <w:t>all</w:t>
      </w:r>
      <w:proofErr w:type="gramEnd"/>
      <w:r>
        <w:rPr>
          <w:rFonts w:ascii="Times New Roman" w:hAnsi="Times New Roman"/>
          <w:sz w:val="24"/>
          <w:szCs w:val="24"/>
        </w:rPr>
        <w:t xml:space="preserve"> </w:t>
      </w:r>
      <w:r w:rsidRPr="00DA74F4">
        <w:rPr>
          <w:rFonts w:ascii="Times New Roman" w:hAnsi="Times New Roman"/>
          <w:sz w:val="24"/>
          <w:szCs w:val="24"/>
        </w:rPr>
        <w:t>circumstances,</w:t>
      </w:r>
      <w:r>
        <w:rPr>
          <w:rFonts w:ascii="Times New Roman" w:hAnsi="Times New Roman"/>
          <w:sz w:val="24"/>
          <w:szCs w:val="24"/>
        </w:rPr>
        <w:t xml:space="preserve"> </w:t>
      </w:r>
      <w:r w:rsidRPr="00DA74F4">
        <w:rPr>
          <w:rFonts w:ascii="Times New Roman" w:hAnsi="Times New Roman"/>
          <w:sz w:val="24"/>
          <w:szCs w:val="24"/>
        </w:rPr>
        <w:t>or</w:t>
      </w:r>
      <w:r>
        <w:rPr>
          <w:rFonts w:ascii="Times New Roman" w:hAnsi="Times New Roman"/>
          <w:sz w:val="24"/>
          <w:szCs w:val="24"/>
        </w:rPr>
        <w:t xml:space="preserve"> </w:t>
      </w:r>
      <w:r w:rsidRPr="00DA74F4">
        <w:rPr>
          <w:rFonts w:ascii="Times New Roman" w:hAnsi="Times New Roman"/>
          <w:sz w:val="24"/>
          <w:szCs w:val="24"/>
        </w:rPr>
        <w:t>to</w:t>
      </w:r>
      <w:r>
        <w:rPr>
          <w:rFonts w:ascii="Times New Roman" w:hAnsi="Times New Roman"/>
          <w:sz w:val="24"/>
          <w:szCs w:val="24"/>
        </w:rPr>
        <w:t xml:space="preserve"> </w:t>
      </w:r>
      <w:r w:rsidRPr="00DA74F4">
        <w:rPr>
          <w:rFonts w:ascii="Times New Roman" w:hAnsi="Times New Roman"/>
          <w:sz w:val="24"/>
          <w:szCs w:val="24"/>
        </w:rPr>
        <w:t>render</w:t>
      </w:r>
      <w:r>
        <w:rPr>
          <w:rFonts w:ascii="Times New Roman" w:hAnsi="Times New Roman"/>
          <w:sz w:val="24"/>
          <w:szCs w:val="24"/>
        </w:rPr>
        <w:t xml:space="preserve"> </w:t>
      </w:r>
      <w:r w:rsidRPr="00DA74F4">
        <w:rPr>
          <w:rFonts w:ascii="Times New Roman" w:hAnsi="Times New Roman"/>
          <w:sz w:val="24"/>
          <w:szCs w:val="24"/>
        </w:rPr>
        <w:t>first</w:t>
      </w:r>
      <w:r>
        <w:rPr>
          <w:rFonts w:ascii="Times New Roman" w:hAnsi="Times New Roman"/>
          <w:sz w:val="24"/>
          <w:szCs w:val="24"/>
        </w:rPr>
        <w:t xml:space="preserve"> </w:t>
      </w:r>
      <w:r w:rsidRPr="00DA74F4">
        <w:rPr>
          <w:rFonts w:ascii="Times New Roman" w:hAnsi="Times New Roman"/>
          <w:sz w:val="24"/>
          <w:szCs w:val="24"/>
        </w:rPr>
        <w:t>aid.</w:t>
      </w:r>
      <w:r>
        <w:rPr>
          <w:rFonts w:ascii="Times New Roman" w:hAnsi="Times New Roman"/>
          <w:sz w:val="24"/>
          <w:szCs w:val="24"/>
        </w:rPr>
        <w:t>”</w:t>
      </w:r>
    </w:p>
    <w:p w14:paraId="265B6BCE" w14:textId="77777777" w:rsidR="00EE0562" w:rsidRPr="0088321C" w:rsidRDefault="00EE0562" w:rsidP="00EE0562">
      <w:pPr>
        <w:pStyle w:val="NoSpacing"/>
        <w:rPr>
          <w:rFonts w:ascii="Arial Black" w:hAnsi="Arial Black"/>
          <w:sz w:val="24"/>
          <w:szCs w:val="24"/>
        </w:rPr>
      </w:pPr>
      <w:bookmarkStart w:id="499" w:name="_Hlk41152902"/>
      <w:r w:rsidRPr="0088321C">
        <w:rPr>
          <w:rFonts w:ascii="Arial Black" w:hAnsi="Arial Black"/>
          <w:sz w:val="24"/>
          <w:szCs w:val="24"/>
        </w:rPr>
        <w:t xml:space="preserve">Legal Lessons Learned: </w:t>
      </w:r>
      <w:r>
        <w:rPr>
          <w:rFonts w:ascii="Arial Black" w:hAnsi="Arial Black"/>
          <w:sz w:val="24"/>
          <w:szCs w:val="24"/>
        </w:rPr>
        <w:t xml:space="preserve">Police enjoy qualified immunity, particularly where EMS is held back while scene is secured.  EMS should document reasons for delay, and subsequent medical care provided. </w:t>
      </w:r>
    </w:p>
    <w:bookmarkEnd w:id="499"/>
    <w:p w14:paraId="6CFFCF31" w14:textId="0BA64685" w:rsidR="009F0F05" w:rsidRDefault="009F0F05" w:rsidP="00DE0F03">
      <w:pPr>
        <w:pStyle w:val="NoSpacing"/>
        <w:rPr>
          <w:rFonts w:ascii="Arial Black" w:hAnsi="Arial Black"/>
          <w:sz w:val="24"/>
          <w:szCs w:val="24"/>
        </w:rPr>
      </w:pPr>
    </w:p>
    <w:p w14:paraId="5A0E3FB1" w14:textId="77777777" w:rsidR="00E26EA8" w:rsidRDefault="00E26EA8" w:rsidP="00DE0F03">
      <w:pPr>
        <w:pStyle w:val="NoSpacing"/>
        <w:rPr>
          <w:rFonts w:ascii="Arial Black" w:hAnsi="Arial Black"/>
          <w:sz w:val="24"/>
          <w:szCs w:val="24"/>
        </w:rPr>
      </w:pPr>
    </w:p>
    <w:bookmarkEnd w:id="498"/>
    <w:p w14:paraId="200426E1" w14:textId="380443FE" w:rsidR="00EE0562" w:rsidRDefault="00EE0562" w:rsidP="00DE0F03">
      <w:pPr>
        <w:pStyle w:val="NoSpacing"/>
        <w:rPr>
          <w:rFonts w:ascii="Arial Black" w:hAnsi="Arial Black"/>
          <w:sz w:val="24"/>
          <w:szCs w:val="24"/>
        </w:rPr>
      </w:pPr>
      <w:r>
        <w:rPr>
          <w:rFonts w:ascii="Arial Black" w:hAnsi="Arial Black"/>
          <w:sz w:val="24"/>
          <w:szCs w:val="24"/>
        </w:rPr>
        <w:t>13-</w:t>
      </w:r>
      <w:r w:rsidR="009C7552">
        <w:rPr>
          <w:rFonts w:ascii="Arial Black" w:hAnsi="Arial Black"/>
          <w:sz w:val="24"/>
          <w:szCs w:val="24"/>
        </w:rPr>
        <w:t>3</w:t>
      </w:r>
      <w:r w:rsidR="00C95AF6">
        <w:rPr>
          <w:rFonts w:ascii="Arial Black" w:hAnsi="Arial Black"/>
          <w:sz w:val="24"/>
          <w:szCs w:val="24"/>
        </w:rPr>
        <w:t>1</w:t>
      </w:r>
    </w:p>
    <w:p w14:paraId="5252359C" w14:textId="77777777" w:rsidR="00EE0562" w:rsidRDefault="00EE0562" w:rsidP="00DE0F03">
      <w:pPr>
        <w:pStyle w:val="NoSpacing"/>
        <w:rPr>
          <w:rFonts w:ascii="Arial Black" w:hAnsi="Arial Black"/>
          <w:sz w:val="24"/>
          <w:szCs w:val="24"/>
        </w:rPr>
      </w:pPr>
    </w:p>
    <w:p w14:paraId="621898A8" w14:textId="77777777" w:rsidR="00EE0562" w:rsidRDefault="00EE0562" w:rsidP="00EE0562">
      <w:pPr>
        <w:rPr>
          <w:rFonts w:ascii="Arial Black" w:hAnsi="Arial Black"/>
          <w:sz w:val="28"/>
          <w:szCs w:val="28"/>
        </w:rPr>
      </w:pPr>
      <w:bookmarkStart w:id="500" w:name="_Hlk41152970"/>
      <w:bookmarkStart w:id="501" w:name="_Hlk41297079"/>
      <w:r w:rsidRPr="00576E46">
        <w:rPr>
          <w:rFonts w:ascii="Arial Black" w:hAnsi="Arial Black"/>
          <w:sz w:val="28"/>
          <w:szCs w:val="28"/>
        </w:rPr>
        <w:t xml:space="preserve">GA: </w:t>
      </w:r>
      <w:r>
        <w:rPr>
          <w:rFonts w:ascii="Arial Black" w:hAnsi="Arial Black"/>
          <w:sz w:val="28"/>
          <w:szCs w:val="28"/>
        </w:rPr>
        <w:t>SOFT RESTRAINTS - MANIC EPISODE - POLICE VIDEOS SHOW NEED FOR RESTRAINTS - QUALIFIED IMMUNITY</w:t>
      </w:r>
    </w:p>
    <w:p w14:paraId="64A55D24" w14:textId="77777777" w:rsidR="00EE0562" w:rsidRPr="008028C7" w:rsidRDefault="00EE0562" w:rsidP="00EE0562">
      <w:pPr>
        <w:rPr>
          <w:rFonts w:ascii="Times New Roman" w:hAnsi="Times New Roman"/>
          <w:sz w:val="24"/>
          <w:szCs w:val="24"/>
        </w:rPr>
      </w:pPr>
      <w:r w:rsidRPr="008028C7">
        <w:rPr>
          <w:rFonts w:ascii="Times New Roman" w:hAnsi="Times New Roman"/>
          <w:sz w:val="24"/>
          <w:szCs w:val="24"/>
        </w:rPr>
        <w:lastRenderedPageBreak/>
        <w:t xml:space="preserve">On Aug. 29, 2019, in </w:t>
      </w:r>
      <w:r w:rsidRPr="008028C7">
        <w:rPr>
          <w:rFonts w:ascii="Times New Roman" w:hAnsi="Times New Roman"/>
          <w:sz w:val="24"/>
          <w:szCs w:val="24"/>
          <w:u w:val="single"/>
        </w:rPr>
        <w:t>Kimberly Ellison v. Kenneth Hobbs, et al</w:t>
      </w:r>
      <w:r w:rsidRPr="008028C7">
        <w:rPr>
          <w:rFonts w:ascii="Times New Roman" w:hAnsi="Times New Roman"/>
          <w:sz w:val="24"/>
          <w:szCs w:val="24"/>
        </w:rPr>
        <w:t>., the U.S. Court of Appeals for the 11</w:t>
      </w:r>
      <w:r w:rsidRPr="008028C7">
        <w:rPr>
          <w:rFonts w:ascii="Times New Roman" w:hAnsi="Times New Roman"/>
          <w:sz w:val="24"/>
          <w:szCs w:val="24"/>
          <w:vertAlign w:val="superscript"/>
        </w:rPr>
        <w:t>th</w:t>
      </w:r>
      <w:r w:rsidRPr="008028C7">
        <w:rPr>
          <w:rFonts w:ascii="Times New Roman" w:hAnsi="Times New Roman"/>
          <w:sz w:val="24"/>
          <w:szCs w:val="24"/>
        </w:rPr>
        <w:t xml:space="preserve"> District (Atlanta), held (3 to 0) in an unpublished decision, that U.S. District Court judge had properly granted summary judgment to all EMS and Police.  </w:t>
      </w:r>
      <w:hyperlink r:id="rId2409" w:history="1">
        <w:r w:rsidRPr="008028C7">
          <w:rPr>
            <w:rStyle w:val="Hyperlink"/>
            <w:rFonts w:ascii="Times New Roman" w:hAnsi="Times New Roman"/>
            <w:sz w:val="24"/>
            <w:szCs w:val="24"/>
          </w:rPr>
          <w:t>http://media.ca11.uscourts.gov/opinions/unpub/files/201814142.pdf</w:t>
        </w:r>
      </w:hyperlink>
      <w:r w:rsidRPr="008028C7">
        <w:rPr>
          <w:rFonts w:ascii="Times New Roman" w:hAnsi="Times New Roman"/>
          <w:sz w:val="24"/>
          <w:szCs w:val="24"/>
        </w:rPr>
        <w:t xml:space="preserve"> </w:t>
      </w:r>
    </w:p>
    <w:bookmarkEnd w:id="500"/>
    <w:p w14:paraId="36F30E70" w14:textId="77777777" w:rsidR="00EE0562" w:rsidRDefault="00EE0562" w:rsidP="00EE0562">
      <w:pPr>
        <w:rPr>
          <w:rFonts w:ascii="On On" w:hAnsi="On On"/>
          <w:sz w:val="24"/>
          <w:szCs w:val="24"/>
        </w:rPr>
      </w:pPr>
      <w:r>
        <w:rPr>
          <w:rFonts w:ascii="On On" w:hAnsi="On On"/>
          <w:sz w:val="24"/>
          <w:szCs w:val="24"/>
        </w:rPr>
        <w:tab/>
        <w:t xml:space="preserve">The court held: </w:t>
      </w:r>
    </w:p>
    <w:p w14:paraId="257DA8CB" w14:textId="77777777" w:rsidR="00EE0562" w:rsidRDefault="00EE0562" w:rsidP="00EE0562">
      <w:pPr>
        <w:pStyle w:val="NoSpacing"/>
        <w:ind w:left="720"/>
        <w:rPr>
          <w:rFonts w:ascii="Times New Roman" w:hAnsi="Times New Roman"/>
          <w:sz w:val="24"/>
          <w:szCs w:val="24"/>
        </w:rPr>
      </w:pPr>
      <w:r>
        <w:rPr>
          <w:rFonts w:ascii="Times New Roman" w:hAnsi="Times New Roman"/>
          <w:sz w:val="24"/>
          <w:szCs w:val="24"/>
        </w:rPr>
        <w:t>“[C]</w:t>
      </w:r>
      <w:proofErr w:type="spellStart"/>
      <w:r w:rsidRPr="00741E0D">
        <w:rPr>
          <w:rFonts w:ascii="Times New Roman" w:hAnsi="Times New Roman"/>
          <w:sz w:val="24"/>
          <w:szCs w:val="24"/>
        </w:rPr>
        <w:t>ontrary</w:t>
      </w:r>
      <w:proofErr w:type="spellEnd"/>
      <w:r w:rsidRPr="00741E0D">
        <w:rPr>
          <w:rFonts w:ascii="Times New Roman" w:hAnsi="Times New Roman"/>
          <w:sz w:val="24"/>
          <w:szCs w:val="24"/>
        </w:rPr>
        <w:t xml:space="preserve"> to Ellison’s contentions, the use of soft restraints is a tool available to Paramedic Gasaway and EMT Howard in performing their job-related functions. See Davenport, 906 F.3d at 940. Thus, because Paramedic Gasaway’s and EMT Howard’s actions were not outside their </w:t>
      </w:r>
      <w:r>
        <w:rPr>
          <w:rFonts w:ascii="Times New Roman" w:hAnsi="Times New Roman"/>
          <w:sz w:val="24"/>
          <w:szCs w:val="24"/>
        </w:rPr>
        <w:t>‘</w:t>
      </w:r>
      <w:r w:rsidRPr="00741E0D">
        <w:rPr>
          <w:rFonts w:ascii="Times New Roman" w:hAnsi="Times New Roman"/>
          <w:sz w:val="24"/>
          <w:szCs w:val="24"/>
        </w:rPr>
        <w:t>arsenal</w:t>
      </w:r>
      <w:r>
        <w:rPr>
          <w:rFonts w:ascii="Times New Roman" w:hAnsi="Times New Roman"/>
          <w:sz w:val="24"/>
          <w:szCs w:val="24"/>
        </w:rPr>
        <w:t>’</w:t>
      </w:r>
      <w:r w:rsidRPr="00741E0D">
        <w:rPr>
          <w:rFonts w:ascii="Times New Roman" w:hAnsi="Times New Roman"/>
          <w:sz w:val="24"/>
          <w:szCs w:val="24"/>
        </w:rPr>
        <w:t xml:space="preserve"> of powers, they acted within their discretionary authority.</w:t>
      </w:r>
      <w:r>
        <w:rPr>
          <w:rFonts w:ascii="Times New Roman" w:hAnsi="Times New Roman"/>
          <w:sz w:val="24"/>
          <w:szCs w:val="24"/>
        </w:rPr>
        <w:t>”</w:t>
      </w:r>
    </w:p>
    <w:p w14:paraId="52B1FC3D" w14:textId="77777777" w:rsidR="00EE0562" w:rsidRDefault="00EE0562" w:rsidP="00EE0562">
      <w:pPr>
        <w:pStyle w:val="NoSpacing"/>
        <w:rPr>
          <w:rFonts w:ascii="Times New Roman" w:hAnsi="Times New Roman"/>
          <w:b/>
          <w:bCs/>
          <w:sz w:val="24"/>
          <w:szCs w:val="24"/>
        </w:rPr>
      </w:pPr>
    </w:p>
    <w:p w14:paraId="007683A9" w14:textId="11A1AD04" w:rsidR="00EE0562" w:rsidRPr="00E052A6" w:rsidRDefault="00EE0562" w:rsidP="00EE0562">
      <w:pPr>
        <w:pStyle w:val="NoSpacing"/>
        <w:rPr>
          <w:rFonts w:ascii="Times New Roman" w:hAnsi="Times New Roman"/>
          <w:b/>
          <w:bCs/>
          <w:sz w:val="24"/>
          <w:szCs w:val="24"/>
        </w:rPr>
      </w:pPr>
      <w:bookmarkStart w:id="502" w:name="_Hlk41152984"/>
      <w:r w:rsidRPr="00E052A6">
        <w:rPr>
          <w:rFonts w:ascii="Times New Roman" w:hAnsi="Times New Roman"/>
          <w:b/>
          <w:bCs/>
          <w:sz w:val="24"/>
          <w:szCs w:val="24"/>
        </w:rPr>
        <w:t xml:space="preserve">Legal Lessons Learned:  Thanks to officer’s video cameras, both the U.S. District Court judge, and the Court of Appeals, had a “minute by minute” view of what occurred in getting this patient [who is a practicing attorney] out of her apartment and to the hospital. </w:t>
      </w:r>
    </w:p>
    <w:bookmarkEnd w:id="501"/>
    <w:bookmarkEnd w:id="502"/>
    <w:p w14:paraId="027732E5" w14:textId="338EEE5F" w:rsidR="00EE0562" w:rsidRDefault="00EE0562" w:rsidP="00EE0562">
      <w:pPr>
        <w:pStyle w:val="NoSpacing"/>
        <w:rPr>
          <w:rFonts w:ascii="Arial Black" w:hAnsi="Arial Black"/>
          <w:b/>
          <w:bCs/>
          <w:sz w:val="24"/>
          <w:szCs w:val="24"/>
        </w:rPr>
      </w:pPr>
    </w:p>
    <w:p w14:paraId="0D5B8948" w14:textId="0C2D03ED" w:rsidR="00EE0562" w:rsidRDefault="00EE0562" w:rsidP="00EE0562">
      <w:pPr>
        <w:pStyle w:val="NoSpacing"/>
        <w:rPr>
          <w:rFonts w:ascii="Arial Black" w:hAnsi="Arial Black"/>
          <w:b/>
          <w:bCs/>
          <w:sz w:val="24"/>
          <w:szCs w:val="24"/>
        </w:rPr>
      </w:pPr>
    </w:p>
    <w:p w14:paraId="15695EEB" w14:textId="066B0AA2" w:rsidR="00E26EA8" w:rsidRDefault="00E26EA8" w:rsidP="00EE0562">
      <w:pPr>
        <w:pStyle w:val="NoSpacing"/>
        <w:rPr>
          <w:rFonts w:ascii="Arial Black" w:hAnsi="Arial Black"/>
          <w:b/>
          <w:bCs/>
          <w:sz w:val="24"/>
          <w:szCs w:val="24"/>
        </w:rPr>
      </w:pPr>
    </w:p>
    <w:p w14:paraId="5383913D" w14:textId="77777777" w:rsidR="00E26EA8" w:rsidRPr="00EE0562" w:rsidRDefault="00E26EA8" w:rsidP="00EE0562">
      <w:pPr>
        <w:pStyle w:val="NoSpacing"/>
        <w:rPr>
          <w:rFonts w:ascii="Arial Black" w:hAnsi="Arial Black"/>
          <w:b/>
          <w:bCs/>
          <w:sz w:val="24"/>
          <w:szCs w:val="24"/>
        </w:rPr>
      </w:pPr>
    </w:p>
    <w:p w14:paraId="348999D4" w14:textId="6BF8BE8E" w:rsidR="00EE0562" w:rsidRPr="00EE0562" w:rsidRDefault="00EE0562" w:rsidP="00EE0562">
      <w:pPr>
        <w:pStyle w:val="NoSpacing"/>
        <w:rPr>
          <w:rFonts w:ascii="Arial Black" w:hAnsi="Arial Black"/>
          <w:b/>
          <w:bCs/>
          <w:sz w:val="24"/>
          <w:szCs w:val="24"/>
        </w:rPr>
      </w:pPr>
      <w:r w:rsidRPr="00EE0562">
        <w:rPr>
          <w:rFonts w:ascii="Arial Black" w:hAnsi="Arial Black"/>
          <w:b/>
          <w:bCs/>
          <w:sz w:val="24"/>
          <w:szCs w:val="24"/>
        </w:rPr>
        <w:t>13-</w:t>
      </w:r>
      <w:r w:rsidR="00C95AF6">
        <w:rPr>
          <w:rFonts w:ascii="Arial Black" w:hAnsi="Arial Black"/>
          <w:b/>
          <w:bCs/>
          <w:sz w:val="24"/>
          <w:szCs w:val="24"/>
        </w:rPr>
        <w:t>30</w:t>
      </w:r>
    </w:p>
    <w:p w14:paraId="627225B0" w14:textId="77777777" w:rsidR="00EE0562" w:rsidRDefault="00EE0562" w:rsidP="00EE0562">
      <w:pPr>
        <w:pStyle w:val="NoSpacing"/>
        <w:rPr>
          <w:rFonts w:ascii="Times New Roman" w:hAnsi="Times New Roman"/>
          <w:b/>
          <w:bCs/>
          <w:sz w:val="24"/>
          <w:szCs w:val="24"/>
        </w:rPr>
      </w:pPr>
    </w:p>
    <w:p w14:paraId="06D50D98" w14:textId="77777777" w:rsidR="00EE0562" w:rsidRPr="00DC1D9B" w:rsidRDefault="00EE0562" w:rsidP="00EE0562">
      <w:pPr>
        <w:rPr>
          <w:rFonts w:ascii="Arial Black" w:hAnsi="Arial Black"/>
          <w:b/>
          <w:bCs/>
          <w:sz w:val="28"/>
          <w:szCs w:val="28"/>
        </w:rPr>
      </w:pPr>
      <w:bookmarkStart w:id="503" w:name="_Hlk41153061"/>
      <w:bookmarkStart w:id="504" w:name="_Hlk41296305"/>
      <w:r w:rsidRPr="00DC1D9B">
        <w:rPr>
          <w:rFonts w:ascii="Arial Black" w:hAnsi="Arial Black"/>
          <w:b/>
          <w:bCs/>
          <w:sz w:val="28"/>
          <w:szCs w:val="28"/>
        </w:rPr>
        <w:t xml:space="preserve">IL:  STROKE PATIENT </w:t>
      </w:r>
      <w:r>
        <w:rPr>
          <w:rFonts w:ascii="Arial Black" w:hAnsi="Arial Black"/>
          <w:b/>
          <w:bCs/>
          <w:sz w:val="28"/>
          <w:szCs w:val="28"/>
        </w:rPr>
        <w:t xml:space="preserve">WHO RAN OUT </w:t>
      </w:r>
      <w:r w:rsidRPr="00DC1D9B">
        <w:rPr>
          <w:rFonts w:ascii="Arial Black" w:hAnsi="Arial Black"/>
          <w:b/>
          <w:bCs/>
          <w:sz w:val="28"/>
          <w:szCs w:val="28"/>
        </w:rPr>
        <w:t xml:space="preserve">HOME – </w:t>
      </w:r>
      <w:r>
        <w:rPr>
          <w:rFonts w:ascii="Arial Black" w:hAnsi="Arial Black"/>
          <w:b/>
          <w:bCs/>
          <w:sz w:val="28"/>
          <w:szCs w:val="28"/>
        </w:rPr>
        <w:t>EMS TACKLED ON DRIVEWAY - LAWSUIT PROCEED, FACTS IN DISPUTE</w:t>
      </w:r>
    </w:p>
    <w:p w14:paraId="36772576" w14:textId="77777777" w:rsidR="00EE0562" w:rsidRDefault="00EE0562" w:rsidP="00EE0562">
      <w:pPr>
        <w:rPr>
          <w:rFonts w:ascii="Times New Roman" w:hAnsi="Times New Roman"/>
          <w:sz w:val="24"/>
          <w:szCs w:val="24"/>
        </w:rPr>
      </w:pPr>
      <w:r w:rsidRPr="004E2C24">
        <w:rPr>
          <w:rFonts w:ascii="Times New Roman" w:hAnsi="Times New Roman"/>
          <w:sz w:val="24"/>
          <w:szCs w:val="24"/>
        </w:rPr>
        <w:t xml:space="preserve">On Aug. 28, 2019, in </w:t>
      </w:r>
      <w:r w:rsidRPr="004E2C24">
        <w:rPr>
          <w:rFonts w:ascii="Times New Roman" w:hAnsi="Times New Roman"/>
          <w:sz w:val="24"/>
          <w:szCs w:val="24"/>
          <w:u w:val="single"/>
        </w:rPr>
        <w:t>Douglas Johnson v. City of East Peoria, et al</w:t>
      </w:r>
      <w:r w:rsidRPr="004E2C24">
        <w:rPr>
          <w:rFonts w:ascii="Times New Roman" w:hAnsi="Times New Roman"/>
          <w:sz w:val="24"/>
          <w:szCs w:val="24"/>
        </w:rPr>
        <w:t xml:space="preserve">., </w:t>
      </w:r>
      <w:r>
        <w:rPr>
          <w:rFonts w:ascii="Times New Roman" w:hAnsi="Times New Roman"/>
          <w:sz w:val="24"/>
          <w:szCs w:val="24"/>
        </w:rPr>
        <w:t xml:space="preserve">U.S. District Court </w:t>
      </w:r>
      <w:r w:rsidRPr="004E2C24">
        <w:rPr>
          <w:rFonts w:ascii="Times New Roman" w:hAnsi="Times New Roman"/>
          <w:sz w:val="24"/>
          <w:szCs w:val="24"/>
        </w:rPr>
        <w:t>judge James E. Shadid</w:t>
      </w:r>
      <w:r>
        <w:rPr>
          <w:rFonts w:ascii="Times New Roman" w:hAnsi="Times New Roman"/>
          <w:sz w:val="24"/>
          <w:szCs w:val="24"/>
        </w:rPr>
        <w:t xml:space="preserve">, </w:t>
      </w:r>
      <w:r w:rsidRPr="004E2C24">
        <w:rPr>
          <w:rFonts w:ascii="Times New Roman" w:hAnsi="Times New Roman"/>
          <w:sz w:val="24"/>
          <w:szCs w:val="24"/>
        </w:rPr>
        <w:t>Central District of Illinois, Case No. 17-cv-1212-JES-JEH,</w:t>
      </w:r>
      <w:r>
        <w:rPr>
          <w:rFonts w:ascii="Times New Roman" w:hAnsi="Times New Roman"/>
          <w:sz w:val="24"/>
          <w:szCs w:val="24"/>
        </w:rPr>
        <w:t xml:space="preserve"> denied motion for summary judgment by the City and several paramedics; pre-trial discovery may now proceed unless they take an immediate appeal.  </w:t>
      </w:r>
      <w:hyperlink r:id="rId2410" w:history="1">
        <w:r w:rsidRPr="0075063D">
          <w:rPr>
            <w:rStyle w:val="Hyperlink"/>
            <w:rFonts w:ascii="Times New Roman" w:hAnsi="Times New Roman"/>
            <w:sz w:val="24"/>
            <w:szCs w:val="24"/>
          </w:rPr>
          <w:t>https://cases.justia.com/federal/district-courts/illinois/ilcdce/1:2017cv01212/69571/44/0.pdf?ts=1567070402</w:t>
        </w:r>
      </w:hyperlink>
      <w:bookmarkEnd w:id="503"/>
      <w:r>
        <w:rPr>
          <w:rFonts w:ascii="Times New Roman" w:hAnsi="Times New Roman"/>
          <w:sz w:val="24"/>
          <w:szCs w:val="24"/>
        </w:rPr>
        <w:t xml:space="preserve"> </w:t>
      </w:r>
    </w:p>
    <w:p w14:paraId="215248E9" w14:textId="77777777" w:rsidR="00EE0562" w:rsidRDefault="00EE0562" w:rsidP="00EE0562">
      <w:pPr>
        <w:ind w:firstLine="720"/>
        <w:rPr>
          <w:rFonts w:ascii="Times New Roman" w:hAnsi="Times New Roman"/>
          <w:sz w:val="24"/>
          <w:szCs w:val="24"/>
        </w:rPr>
      </w:pPr>
      <w:r>
        <w:rPr>
          <w:rFonts w:ascii="Times New Roman" w:hAnsi="Times New Roman"/>
          <w:sz w:val="24"/>
          <w:szCs w:val="24"/>
        </w:rPr>
        <w:t xml:space="preserve">Judge Shadid wrote: </w:t>
      </w:r>
    </w:p>
    <w:p w14:paraId="6CC3E091" w14:textId="77777777" w:rsidR="00EE0562" w:rsidRDefault="00EE0562" w:rsidP="00EE0562">
      <w:pPr>
        <w:ind w:left="1440"/>
        <w:rPr>
          <w:rFonts w:ascii="Times New Roman" w:hAnsi="Times New Roman"/>
          <w:sz w:val="24"/>
          <w:szCs w:val="24"/>
        </w:rPr>
      </w:pPr>
      <w:r>
        <w:rPr>
          <w:rFonts w:ascii="Times New Roman" w:hAnsi="Times New Roman"/>
          <w:sz w:val="24"/>
          <w:szCs w:val="24"/>
        </w:rPr>
        <w:t>“</w:t>
      </w:r>
      <w:r w:rsidRPr="00282EEF">
        <w:rPr>
          <w:rFonts w:ascii="Times New Roman" w:hAnsi="Times New Roman"/>
          <w:sz w:val="24"/>
          <w:szCs w:val="24"/>
        </w:rPr>
        <w:t xml:space="preserve">Between the bottom of the stairs and the front door, Plaintiff’s pants began to fall </w:t>
      </w:r>
      <w:proofErr w:type="gramStart"/>
      <w:r w:rsidRPr="00282EEF">
        <w:rPr>
          <w:rFonts w:ascii="Times New Roman" w:hAnsi="Times New Roman"/>
          <w:sz w:val="24"/>
          <w:szCs w:val="24"/>
        </w:rPr>
        <w:t>down</w:t>
      </w:r>
      <w:proofErr w:type="gramEnd"/>
      <w:r w:rsidRPr="00282EEF">
        <w:rPr>
          <w:rFonts w:ascii="Times New Roman" w:hAnsi="Times New Roman"/>
          <w:sz w:val="24"/>
          <w:szCs w:val="24"/>
        </w:rPr>
        <w:t xml:space="preserve"> and Defendant Sauder attempted to pull them up. (Docs. 37 at 8, 42 at 10). Plaintiff turned at least the top half of his body in a manner Defendants Riggenbach and Sauder state they found aggressive. (Docs. 37 at 8, 42 at 10). He then ran out the front door, down the front steps, and into the driveway, falling three times as he ran.</w:t>
      </w:r>
      <w:r>
        <w:rPr>
          <w:rFonts w:ascii="Times New Roman" w:hAnsi="Times New Roman"/>
          <w:sz w:val="24"/>
          <w:szCs w:val="24"/>
        </w:rPr>
        <w:t xml:space="preserve"> </w:t>
      </w:r>
      <w:r w:rsidRPr="001272AF">
        <w:rPr>
          <w:rFonts w:ascii="Times New Roman" w:hAnsi="Times New Roman"/>
          <w:sz w:val="24"/>
          <w:szCs w:val="24"/>
        </w:rPr>
        <w:t>*** What happened next is disputed in large part, but the parties agree that Defendant Sauder bear-hugged Plaintiff, both Defendant Sauder and Plaintiff ended up on the ground, and Defendants Duckworth, Riggenbach,</w:t>
      </w:r>
      <w:r>
        <w:rPr>
          <w:rFonts w:ascii="Times New Roman" w:hAnsi="Times New Roman"/>
          <w:sz w:val="24"/>
          <w:szCs w:val="24"/>
        </w:rPr>
        <w:t xml:space="preserve"> </w:t>
      </w:r>
      <w:r w:rsidRPr="001272AF">
        <w:rPr>
          <w:rFonts w:ascii="Times New Roman" w:hAnsi="Times New Roman"/>
          <w:sz w:val="24"/>
          <w:szCs w:val="24"/>
        </w:rPr>
        <w:t xml:space="preserve">and Sauder, along with Knaus, restrained Plaintiff on the ground. </w:t>
      </w:r>
    </w:p>
    <w:p w14:paraId="318B1748" w14:textId="77777777" w:rsidR="00EE0562" w:rsidRDefault="00EE0562" w:rsidP="00EE0562">
      <w:pPr>
        <w:ind w:left="1440"/>
        <w:rPr>
          <w:rFonts w:ascii="Times New Roman" w:hAnsi="Times New Roman"/>
          <w:sz w:val="24"/>
          <w:szCs w:val="24"/>
        </w:rPr>
      </w:pPr>
      <w:r w:rsidRPr="001272AF">
        <w:rPr>
          <w:rFonts w:ascii="Times New Roman" w:hAnsi="Times New Roman"/>
          <w:sz w:val="24"/>
          <w:szCs w:val="24"/>
        </w:rPr>
        <w:t xml:space="preserve">*** </w:t>
      </w:r>
    </w:p>
    <w:p w14:paraId="400901B1" w14:textId="77777777" w:rsidR="00EE0562" w:rsidRPr="00D82446" w:rsidRDefault="00EE0562" w:rsidP="00EE0562">
      <w:pPr>
        <w:pStyle w:val="NoSpacing"/>
        <w:ind w:left="1440"/>
        <w:rPr>
          <w:rFonts w:ascii="Times New Roman" w:hAnsi="Times New Roman"/>
          <w:sz w:val="24"/>
          <w:szCs w:val="24"/>
        </w:rPr>
      </w:pPr>
      <w:r w:rsidRPr="00D82446">
        <w:rPr>
          <w:rFonts w:ascii="Times New Roman" w:hAnsi="Times New Roman"/>
          <w:sz w:val="24"/>
          <w:szCs w:val="24"/>
        </w:rPr>
        <w:t>However, Plaintiff is correct that the state-created danger theory is not duplicative of his other claims. See Monfils v. Taylor, 165 F.3d 511, 515–517 (7th Cir. 1998) (recognizing the existence of a substantive due process claim for a state-created danger)</w:t>
      </w:r>
      <w:r>
        <w:rPr>
          <w:rFonts w:ascii="Times New Roman" w:hAnsi="Times New Roman"/>
          <w:sz w:val="24"/>
          <w:szCs w:val="24"/>
        </w:rPr>
        <w:t>….</w:t>
      </w:r>
      <w:r w:rsidRPr="00D82446">
        <w:rPr>
          <w:rFonts w:ascii="Times New Roman" w:hAnsi="Times New Roman"/>
          <w:sz w:val="24"/>
          <w:szCs w:val="24"/>
        </w:rPr>
        <w:t>Therefore, Plaintiff’s due process claim survives summary judgment on the state-created danger theory alone.</w:t>
      </w:r>
      <w:r>
        <w:rPr>
          <w:rFonts w:ascii="Times New Roman" w:hAnsi="Times New Roman"/>
          <w:sz w:val="24"/>
          <w:szCs w:val="24"/>
        </w:rPr>
        <w:t>”</w:t>
      </w:r>
    </w:p>
    <w:p w14:paraId="16C10B23" w14:textId="77777777" w:rsidR="00EE0562" w:rsidRPr="005E68F9" w:rsidRDefault="00EE0562" w:rsidP="00EE0562">
      <w:pPr>
        <w:pStyle w:val="NoSpacing"/>
        <w:rPr>
          <w:rFonts w:ascii="Times New Roman" w:hAnsi="Times New Roman"/>
          <w:b/>
          <w:bCs/>
          <w:sz w:val="24"/>
          <w:szCs w:val="24"/>
        </w:rPr>
      </w:pPr>
    </w:p>
    <w:p w14:paraId="7E4EEA26" w14:textId="3479B5E2" w:rsidR="00EE0562" w:rsidRDefault="00EE0562" w:rsidP="00EE0562">
      <w:pPr>
        <w:rPr>
          <w:rFonts w:ascii="Times New Roman" w:hAnsi="Times New Roman"/>
          <w:b/>
          <w:bCs/>
          <w:sz w:val="24"/>
          <w:szCs w:val="24"/>
        </w:rPr>
      </w:pPr>
      <w:bookmarkStart w:id="505" w:name="_Hlk41153080"/>
      <w:r w:rsidRPr="00995498">
        <w:rPr>
          <w:rFonts w:ascii="Times New Roman" w:hAnsi="Times New Roman"/>
          <w:b/>
          <w:bCs/>
          <w:sz w:val="24"/>
          <w:szCs w:val="24"/>
        </w:rPr>
        <w:lastRenderedPageBreak/>
        <w:t xml:space="preserve">Legal Lessons Learned: </w:t>
      </w:r>
      <w:r>
        <w:rPr>
          <w:rFonts w:ascii="Times New Roman" w:hAnsi="Times New Roman"/>
          <w:b/>
          <w:bCs/>
          <w:sz w:val="24"/>
          <w:szCs w:val="24"/>
        </w:rPr>
        <w:t>On an EMS run where there is a struggle with the patient, thoroughly documents on EMS run report the actions taken by each medic.   This will help avoid “facts in dispute” in any subsequent civil lawsuit, and any prosecution for assault.</w:t>
      </w:r>
    </w:p>
    <w:bookmarkEnd w:id="504"/>
    <w:bookmarkEnd w:id="505"/>
    <w:p w14:paraId="49E1905B" w14:textId="5E7CB9F1" w:rsidR="00E052A6" w:rsidRPr="00715CF2" w:rsidRDefault="00E052A6" w:rsidP="00E052A6">
      <w:pPr>
        <w:rPr>
          <w:rFonts w:ascii="Times New Roman" w:hAnsi="Times New Roman"/>
          <w:bCs/>
          <w:sz w:val="24"/>
          <w:szCs w:val="24"/>
        </w:rPr>
      </w:pPr>
    </w:p>
    <w:p w14:paraId="2AFE8B4F" w14:textId="0FBCDDD5" w:rsidR="00E26EA8" w:rsidRDefault="00E26EA8" w:rsidP="00EE0562">
      <w:pPr>
        <w:rPr>
          <w:rFonts w:ascii="Arial Black" w:hAnsi="Arial Black"/>
          <w:b/>
          <w:bCs/>
          <w:sz w:val="24"/>
          <w:szCs w:val="24"/>
        </w:rPr>
      </w:pPr>
    </w:p>
    <w:p w14:paraId="5B96F929" w14:textId="77777777" w:rsidR="00E052A6" w:rsidRPr="00EE0562" w:rsidRDefault="00E052A6" w:rsidP="00EE0562">
      <w:pPr>
        <w:rPr>
          <w:rFonts w:ascii="Arial Black" w:hAnsi="Arial Black"/>
          <w:b/>
          <w:bCs/>
          <w:sz w:val="24"/>
          <w:szCs w:val="24"/>
        </w:rPr>
      </w:pPr>
    </w:p>
    <w:p w14:paraId="3C435F2A" w14:textId="3D823A2F" w:rsidR="00EE0562" w:rsidRPr="00EE0562" w:rsidRDefault="00EE0562" w:rsidP="00EE0562">
      <w:pPr>
        <w:rPr>
          <w:rFonts w:ascii="Arial Black" w:hAnsi="Arial Black"/>
          <w:b/>
          <w:bCs/>
          <w:sz w:val="24"/>
          <w:szCs w:val="24"/>
        </w:rPr>
      </w:pPr>
      <w:r w:rsidRPr="00EE0562">
        <w:rPr>
          <w:rFonts w:ascii="Arial Black" w:hAnsi="Arial Black"/>
          <w:b/>
          <w:bCs/>
          <w:sz w:val="24"/>
          <w:szCs w:val="24"/>
        </w:rPr>
        <w:t>13-2</w:t>
      </w:r>
      <w:r w:rsidR="00C95AF6">
        <w:rPr>
          <w:rFonts w:ascii="Arial Black" w:hAnsi="Arial Black"/>
          <w:b/>
          <w:bCs/>
          <w:sz w:val="24"/>
          <w:szCs w:val="24"/>
        </w:rPr>
        <w:t>9</w:t>
      </w:r>
    </w:p>
    <w:p w14:paraId="06B476F8" w14:textId="77777777" w:rsidR="00EE0562" w:rsidRPr="00812C5F" w:rsidRDefault="00EE0562" w:rsidP="00EE0562">
      <w:pPr>
        <w:rPr>
          <w:rFonts w:ascii="Arial Black" w:hAnsi="Arial Black"/>
          <w:sz w:val="28"/>
          <w:szCs w:val="28"/>
        </w:rPr>
      </w:pPr>
      <w:bookmarkStart w:id="506" w:name="_Hlk41153139"/>
      <w:r w:rsidRPr="00812C5F">
        <w:rPr>
          <w:rFonts w:ascii="Arial Black" w:hAnsi="Arial Black"/>
          <w:sz w:val="28"/>
          <w:szCs w:val="28"/>
        </w:rPr>
        <w:t xml:space="preserve">MI: </w:t>
      </w:r>
      <w:r>
        <w:rPr>
          <w:rFonts w:ascii="Arial Black" w:hAnsi="Arial Black"/>
          <w:sz w:val="28"/>
          <w:szCs w:val="28"/>
        </w:rPr>
        <w:t>GURNEY TIPPED – LAWSUIT TO PROCEED - EMS DIDN’T TELL HOSPITAL OR DOCUMENT – X-RAYS SHOWED NECK FRACTURES</w:t>
      </w:r>
    </w:p>
    <w:p w14:paraId="5444BB7E" w14:textId="77777777" w:rsidR="00EE0562" w:rsidRDefault="00EE0562" w:rsidP="00EE0562">
      <w:pPr>
        <w:rPr>
          <w:rFonts w:ascii="Times New Roman" w:hAnsi="Times New Roman"/>
          <w:sz w:val="24"/>
          <w:szCs w:val="24"/>
        </w:rPr>
      </w:pPr>
      <w:r w:rsidRPr="003C36A2">
        <w:rPr>
          <w:rFonts w:ascii="Times New Roman" w:hAnsi="Times New Roman"/>
          <w:sz w:val="24"/>
          <w:szCs w:val="24"/>
        </w:rPr>
        <w:t xml:space="preserve">On Aug. 27, 2019, in </w:t>
      </w:r>
      <w:r w:rsidRPr="00235BC8">
        <w:rPr>
          <w:rFonts w:ascii="Times New Roman" w:hAnsi="Times New Roman"/>
          <w:sz w:val="24"/>
          <w:szCs w:val="24"/>
          <w:u w:val="single"/>
        </w:rPr>
        <w:t>Estate of Ralph Brown, by Victoria Brown, Personal Representative v. Sean Wolan and Jeffrey Vescio</w:t>
      </w:r>
      <w:r>
        <w:rPr>
          <w:rFonts w:ascii="Times New Roman" w:hAnsi="Times New Roman"/>
          <w:sz w:val="24"/>
          <w:szCs w:val="24"/>
        </w:rPr>
        <w:t xml:space="preserve">, the Michigan Court of Appeals, held (2 to 1) in an unpublished opinion, that the trial court judge properly denied the two paramedics’ governmental immunity motion to dismiss. </w:t>
      </w:r>
    </w:p>
    <w:bookmarkEnd w:id="506"/>
    <w:p w14:paraId="6BD9C1D6" w14:textId="77777777" w:rsidR="00EE0562" w:rsidRDefault="00EE0562" w:rsidP="00EE0562">
      <w:pPr>
        <w:rPr>
          <w:rFonts w:ascii="Times New Roman" w:hAnsi="Times New Roman"/>
          <w:sz w:val="24"/>
          <w:szCs w:val="24"/>
        </w:rPr>
      </w:pPr>
      <w:r>
        <w:rPr>
          <w:rFonts w:ascii="Times New Roman" w:hAnsi="Times New Roman"/>
          <w:sz w:val="24"/>
          <w:szCs w:val="24"/>
        </w:rPr>
        <w:tab/>
        <w:t xml:space="preserve">The 2-judge majority held: </w:t>
      </w:r>
    </w:p>
    <w:p w14:paraId="78885785" w14:textId="67A8BE8A" w:rsidR="00EE0562" w:rsidRDefault="00EE0562" w:rsidP="00EE0562">
      <w:pPr>
        <w:ind w:left="720"/>
        <w:rPr>
          <w:rFonts w:ascii="Times New Roman" w:hAnsi="Times New Roman"/>
          <w:sz w:val="24"/>
          <w:szCs w:val="24"/>
        </w:rPr>
      </w:pPr>
      <w:r>
        <w:rPr>
          <w:rFonts w:ascii="Times New Roman" w:hAnsi="Times New Roman"/>
          <w:sz w:val="24"/>
          <w:szCs w:val="24"/>
        </w:rPr>
        <w:t>“</w:t>
      </w:r>
      <w:r w:rsidRPr="00AC20EB">
        <w:rPr>
          <w:rFonts w:ascii="Times New Roman" w:hAnsi="Times New Roman"/>
          <w:sz w:val="24"/>
          <w:szCs w:val="24"/>
        </w:rPr>
        <w:t>The failure to report the incident has additional import on the issue of whether the conduct of the defendants was grossly negligent. They had an undisputed duty to make such a report. Indeed, Vescio acknowledged in his deposition that the incident should have been reported. Vescio testified that Wolan was responsible for documenting the ambulance run and communicating information to the ER staff. Wolan explained that he did not report or document the incident because he did not believe the decedent had</w:t>
      </w:r>
      <w:r>
        <w:rPr>
          <w:rFonts w:ascii="Times New Roman" w:hAnsi="Times New Roman"/>
          <w:sz w:val="24"/>
          <w:szCs w:val="24"/>
        </w:rPr>
        <w:t xml:space="preserve"> </w:t>
      </w:r>
      <w:r w:rsidRPr="00AC20EB">
        <w:rPr>
          <w:rFonts w:ascii="Times New Roman" w:hAnsi="Times New Roman"/>
          <w:sz w:val="24"/>
          <w:szCs w:val="24"/>
        </w:rPr>
        <w:t xml:space="preserve">been injured. </w:t>
      </w:r>
      <w:proofErr w:type="gramStart"/>
      <w:r w:rsidRPr="00AC20EB">
        <w:rPr>
          <w:rFonts w:ascii="Times New Roman" w:hAnsi="Times New Roman"/>
          <w:sz w:val="24"/>
          <w:szCs w:val="24"/>
        </w:rPr>
        <w:t>To</w:t>
      </w:r>
      <w:proofErr w:type="gramEnd"/>
      <w:r w:rsidRPr="00AC20EB">
        <w:rPr>
          <w:rFonts w:ascii="Times New Roman" w:hAnsi="Times New Roman"/>
          <w:sz w:val="24"/>
          <w:szCs w:val="24"/>
        </w:rPr>
        <w:t xml:space="preserve"> the contrary, </w:t>
      </w:r>
      <w:proofErr w:type="spellStart"/>
      <w:r w:rsidRPr="00AC20EB">
        <w:rPr>
          <w:rFonts w:ascii="Times New Roman" w:hAnsi="Times New Roman"/>
          <w:sz w:val="24"/>
          <w:szCs w:val="24"/>
        </w:rPr>
        <w:t>Everlove</w:t>
      </w:r>
      <w:proofErr w:type="spellEnd"/>
      <w:r>
        <w:rPr>
          <w:rFonts w:ascii="Times New Roman" w:hAnsi="Times New Roman"/>
          <w:sz w:val="24"/>
          <w:szCs w:val="24"/>
        </w:rPr>
        <w:t xml:space="preserve"> [expert witness]</w:t>
      </w:r>
      <w:r w:rsidRPr="00AC20EB">
        <w:rPr>
          <w:rFonts w:ascii="Times New Roman" w:hAnsi="Times New Roman"/>
          <w:sz w:val="24"/>
          <w:szCs w:val="24"/>
        </w:rPr>
        <w:t xml:space="preserve"> testified that the reporting of the incident,</w:t>
      </w:r>
      <w:r>
        <w:rPr>
          <w:rFonts w:ascii="Times New Roman" w:hAnsi="Times New Roman"/>
          <w:sz w:val="24"/>
          <w:szCs w:val="24"/>
        </w:rPr>
        <w:t xml:space="preserve"> </w:t>
      </w:r>
      <w:r w:rsidRPr="00AC20EB">
        <w:rPr>
          <w:rFonts w:ascii="Times New Roman" w:hAnsi="Times New Roman"/>
          <w:sz w:val="24"/>
          <w:szCs w:val="24"/>
        </w:rPr>
        <w:t>regardless of the paramedics’</w:t>
      </w:r>
      <w:r>
        <w:rPr>
          <w:rFonts w:ascii="Times New Roman" w:hAnsi="Times New Roman"/>
          <w:sz w:val="24"/>
          <w:szCs w:val="24"/>
        </w:rPr>
        <w:t xml:space="preserve"> </w:t>
      </w:r>
      <w:r w:rsidRPr="00AC20EB">
        <w:rPr>
          <w:rFonts w:ascii="Times New Roman" w:hAnsi="Times New Roman"/>
          <w:sz w:val="24"/>
          <w:szCs w:val="24"/>
        </w:rPr>
        <w:t>assessment of injury,</w:t>
      </w:r>
      <w:r>
        <w:rPr>
          <w:rFonts w:ascii="Times New Roman" w:hAnsi="Times New Roman"/>
          <w:sz w:val="24"/>
          <w:szCs w:val="24"/>
        </w:rPr>
        <w:t xml:space="preserve"> </w:t>
      </w:r>
      <w:r w:rsidRPr="00AC20EB">
        <w:rPr>
          <w:rFonts w:ascii="Times New Roman" w:hAnsi="Times New Roman"/>
          <w:sz w:val="24"/>
          <w:szCs w:val="24"/>
        </w:rPr>
        <w:t>was crucial to patient care at the hospital. Additionally,</w:t>
      </w:r>
      <w:r>
        <w:rPr>
          <w:rFonts w:ascii="Times New Roman" w:hAnsi="Times New Roman"/>
          <w:sz w:val="24"/>
          <w:szCs w:val="24"/>
        </w:rPr>
        <w:t xml:space="preserve"> </w:t>
      </w:r>
      <w:r w:rsidRPr="00AC20EB">
        <w:rPr>
          <w:rFonts w:ascii="Times New Roman" w:hAnsi="Times New Roman"/>
          <w:sz w:val="24"/>
          <w:szCs w:val="24"/>
        </w:rPr>
        <w:t>the veracity of Wolan’s testimony regarding his belief that there was no injury is</w:t>
      </w:r>
      <w:r>
        <w:rPr>
          <w:rFonts w:ascii="Times New Roman" w:hAnsi="Times New Roman"/>
          <w:sz w:val="24"/>
          <w:szCs w:val="24"/>
        </w:rPr>
        <w:t xml:space="preserve"> </w:t>
      </w:r>
      <w:r w:rsidRPr="00AC20EB">
        <w:rPr>
          <w:rFonts w:ascii="Times New Roman" w:hAnsi="Times New Roman"/>
          <w:sz w:val="24"/>
          <w:szCs w:val="24"/>
        </w:rPr>
        <w:t xml:space="preserve">belied by his partner Vescio’s description of the incident in his e-mail to his supervisors where he reported </w:t>
      </w:r>
      <w:proofErr w:type="gramStart"/>
      <w:r w:rsidRPr="00AC20EB">
        <w:rPr>
          <w:rFonts w:ascii="Times New Roman" w:hAnsi="Times New Roman"/>
          <w:sz w:val="24"/>
          <w:szCs w:val="24"/>
        </w:rPr>
        <w:t>that,</w:t>
      </w:r>
      <w:r>
        <w:rPr>
          <w:rFonts w:ascii="Times New Roman" w:hAnsi="Times New Roman"/>
          <w:sz w:val="24"/>
          <w:szCs w:val="24"/>
        </w:rPr>
        <w:t xml:space="preserve"> ‘</w:t>
      </w:r>
      <w:proofErr w:type="gramEnd"/>
      <w:r w:rsidRPr="00AC20EB">
        <w:rPr>
          <w:rFonts w:ascii="Times New Roman" w:hAnsi="Times New Roman"/>
          <w:sz w:val="24"/>
          <w:szCs w:val="24"/>
        </w:rPr>
        <w:t>the patient [was] hanging sideways reaching out while remaining belted onto the stretcher.</w:t>
      </w:r>
      <w:r>
        <w:rPr>
          <w:rFonts w:ascii="Times New Roman" w:hAnsi="Times New Roman"/>
          <w:sz w:val="24"/>
          <w:szCs w:val="24"/>
        </w:rPr>
        <w:t>’</w:t>
      </w:r>
      <w:r w:rsidRPr="00AC20EB">
        <w:rPr>
          <w:rFonts w:ascii="Times New Roman" w:hAnsi="Times New Roman"/>
          <w:sz w:val="24"/>
          <w:szCs w:val="24"/>
        </w:rPr>
        <w:t xml:space="preserve"> A rational juror thus could believe that the EMTs did not assess the patient and failed to even report the indecent to those charged with the patient’s medical care or record the incident in the transport record that</w:t>
      </w:r>
      <w:r>
        <w:rPr>
          <w:rFonts w:ascii="Times New Roman" w:hAnsi="Times New Roman"/>
          <w:sz w:val="24"/>
          <w:szCs w:val="24"/>
        </w:rPr>
        <w:t xml:space="preserve"> </w:t>
      </w:r>
      <w:r w:rsidRPr="00AC20EB">
        <w:rPr>
          <w:rFonts w:ascii="Times New Roman" w:hAnsi="Times New Roman"/>
          <w:sz w:val="24"/>
          <w:szCs w:val="24"/>
        </w:rPr>
        <w:t>would have been used by the hospital staff to inform patient care decisions. On this record,</w:t>
      </w:r>
      <w:r>
        <w:rPr>
          <w:rFonts w:ascii="Times New Roman" w:hAnsi="Times New Roman"/>
          <w:sz w:val="24"/>
          <w:szCs w:val="24"/>
        </w:rPr>
        <w:t xml:space="preserve"> </w:t>
      </w:r>
      <w:r w:rsidRPr="00AC20EB">
        <w:rPr>
          <w:rFonts w:ascii="Times New Roman" w:hAnsi="Times New Roman"/>
          <w:sz w:val="24"/>
          <w:szCs w:val="24"/>
        </w:rPr>
        <w:t xml:space="preserve">a reasonable juror could determine that the EMTs showed </w:t>
      </w:r>
      <w:r>
        <w:rPr>
          <w:rFonts w:ascii="Times New Roman" w:hAnsi="Times New Roman"/>
          <w:sz w:val="24"/>
          <w:szCs w:val="24"/>
        </w:rPr>
        <w:t>‘</w:t>
      </w:r>
      <w:r w:rsidRPr="00AC20EB">
        <w:rPr>
          <w:rFonts w:ascii="Times New Roman" w:hAnsi="Times New Roman"/>
          <w:sz w:val="24"/>
          <w:szCs w:val="24"/>
        </w:rPr>
        <w:t>a substantial lack of concern for whether an injury results.</w:t>
      </w:r>
      <w:r>
        <w:rPr>
          <w:rFonts w:ascii="Times New Roman" w:hAnsi="Times New Roman"/>
          <w:sz w:val="24"/>
          <w:szCs w:val="24"/>
        </w:rPr>
        <w:t>’</w:t>
      </w:r>
      <w:r w:rsidRPr="00AC20EB">
        <w:rPr>
          <w:rFonts w:ascii="Times New Roman" w:hAnsi="Times New Roman"/>
          <w:sz w:val="24"/>
          <w:szCs w:val="24"/>
        </w:rPr>
        <w:t xml:space="preserve"> Defendants’ failure </w:t>
      </w:r>
      <w:proofErr w:type="gramStart"/>
      <w:r w:rsidRPr="00AC20EB">
        <w:rPr>
          <w:rFonts w:ascii="Times New Roman" w:hAnsi="Times New Roman"/>
          <w:sz w:val="24"/>
          <w:szCs w:val="24"/>
        </w:rPr>
        <w:t>in</w:t>
      </w:r>
      <w:r>
        <w:rPr>
          <w:rFonts w:ascii="Times New Roman" w:hAnsi="Times New Roman"/>
          <w:sz w:val="24"/>
          <w:szCs w:val="24"/>
        </w:rPr>
        <w:t xml:space="preserve"> </w:t>
      </w:r>
      <w:r w:rsidRPr="00AC20EB">
        <w:rPr>
          <w:rFonts w:ascii="Times New Roman" w:hAnsi="Times New Roman"/>
          <w:sz w:val="24"/>
          <w:szCs w:val="24"/>
        </w:rPr>
        <w:t>regards</w:t>
      </w:r>
      <w:r>
        <w:rPr>
          <w:rFonts w:ascii="Times New Roman" w:hAnsi="Times New Roman"/>
          <w:sz w:val="24"/>
          <w:szCs w:val="24"/>
        </w:rPr>
        <w:t xml:space="preserve"> </w:t>
      </w:r>
      <w:r w:rsidRPr="00AC20EB">
        <w:rPr>
          <w:rFonts w:ascii="Times New Roman" w:hAnsi="Times New Roman"/>
          <w:sz w:val="24"/>
          <w:szCs w:val="24"/>
        </w:rPr>
        <w:t>to</w:t>
      </w:r>
      <w:proofErr w:type="gramEnd"/>
      <w:r w:rsidRPr="00AC20EB">
        <w:rPr>
          <w:rFonts w:ascii="Times New Roman" w:hAnsi="Times New Roman"/>
          <w:sz w:val="24"/>
          <w:szCs w:val="24"/>
        </w:rPr>
        <w:t xml:space="preserve"> reporting cannot be considered accidental.</w:t>
      </w:r>
      <w:r>
        <w:rPr>
          <w:rFonts w:ascii="Times New Roman" w:hAnsi="Times New Roman"/>
          <w:sz w:val="24"/>
          <w:szCs w:val="24"/>
        </w:rPr>
        <w:t>”</w:t>
      </w:r>
      <w:r w:rsidR="006114FF">
        <w:rPr>
          <w:rFonts w:ascii="Times New Roman" w:hAnsi="Times New Roman"/>
          <w:sz w:val="24"/>
          <w:szCs w:val="24"/>
        </w:rPr>
        <w:t xml:space="preserve"> </w:t>
      </w:r>
      <w:bookmarkStart w:id="507" w:name="_Hlk41153167"/>
      <w:r w:rsidR="00F37A4B">
        <w:fldChar w:fldCharType="begin"/>
      </w:r>
      <w:r w:rsidR="00F37A4B">
        <w:instrText xml:space="preserve"> HYPERLINK "https://casetext.com/case/estate-of-brown-v-wolan-1" </w:instrText>
      </w:r>
      <w:r w:rsidR="00F37A4B">
        <w:fldChar w:fldCharType="separate"/>
      </w:r>
      <w:r w:rsidR="006114FF" w:rsidRPr="002F304C">
        <w:rPr>
          <w:rStyle w:val="Hyperlink"/>
          <w:rFonts w:ascii="Times New Roman" w:hAnsi="Times New Roman"/>
          <w:sz w:val="24"/>
          <w:szCs w:val="24"/>
        </w:rPr>
        <w:t>https://casetext.com/case/estate-of-brown-v-wolan-1</w:t>
      </w:r>
      <w:r w:rsidR="00F37A4B">
        <w:rPr>
          <w:rStyle w:val="Hyperlink"/>
          <w:rFonts w:ascii="Times New Roman" w:hAnsi="Times New Roman"/>
          <w:sz w:val="24"/>
          <w:szCs w:val="24"/>
        </w:rPr>
        <w:fldChar w:fldCharType="end"/>
      </w:r>
      <w:r w:rsidR="006114FF">
        <w:rPr>
          <w:rFonts w:ascii="Times New Roman" w:hAnsi="Times New Roman"/>
          <w:sz w:val="24"/>
          <w:szCs w:val="24"/>
        </w:rPr>
        <w:t xml:space="preserve"> </w:t>
      </w:r>
    </w:p>
    <w:p w14:paraId="0EB5396D" w14:textId="77777777" w:rsidR="00EE0562" w:rsidRPr="00B922AC" w:rsidRDefault="00EE0562" w:rsidP="00EE0562">
      <w:pPr>
        <w:rPr>
          <w:rFonts w:ascii="Times New Roman" w:hAnsi="Times New Roman"/>
          <w:b/>
          <w:bCs/>
          <w:sz w:val="24"/>
          <w:szCs w:val="24"/>
        </w:rPr>
      </w:pPr>
      <w:r w:rsidRPr="00B922AC">
        <w:rPr>
          <w:rStyle w:val="Hyperlink"/>
          <w:rFonts w:ascii="Times New Roman" w:hAnsi="Times New Roman"/>
          <w:b/>
          <w:bCs/>
          <w:color w:val="auto"/>
          <w:sz w:val="24"/>
          <w:szCs w:val="24"/>
          <w:u w:val="none"/>
        </w:rPr>
        <w:t xml:space="preserve">Legal Lessons Learned: </w:t>
      </w:r>
      <w:r w:rsidRPr="00B922AC">
        <w:rPr>
          <w:rFonts w:ascii="Times New Roman" w:hAnsi="Times New Roman"/>
          <w:b/>
          <w:bCs/>
          <w:sz w:val="24"/>
          <w:szCs w:val="24"/>
        </w:rPr>
        <w:t xml:space="preserve"> When “things go bad” on a run, inform hospital and supervisors and document on EMS run report.  </w:t>
      </w:r>
    </w:p>
    <w:bookmarkEnd w:id="507"/>
    <w:p w14:paraId="30B86A34" w14:textId="4FA29876" w:rsidR="00E052A6" w:rsidRPr="00715CF2" w:rsidRDefault="00E052A6" w:rsidP="00E052A6">
      <w:pPr>
        <w:rPr>
          <w:rFonts w:ascii="Times New Roman" w:hAnsi="Times New Roman"/>
          <w:bCs/>
          <w:sz w:val="24"/>
          <w:szCs w:val="24"/>
        </w:rPr>
      </w:pPr>
    </w:p>
    <w:p w14:paraId="56BD87AA" w14:textId="400A5B86" w:rsidR="009F0F05" w:rsidRDefault="009F0F05" w:rsidP="00DE0F03">
      <w:pPr>
        <w:pStyle w:val="NoSpacing"/>
        <w:rPr>
          <w:rFonts w:ascii="Arial Black" w:hAnsi="Arial Black"/>
          <w:sz w:val="24"/>
          <w:szCs w:val="24"/>
        </w:rPr>
      </w:pPr>
    </w:p>
    <w:p w14:paraId="5CA039B7" w14:textId="77777777" w:rsidR="00E052A6" w:rsidRDefault="00E052A6" w:rsidP="00DE0F03">
      <w:pPr>
        <w:pStyle w:val="NoSpacing"/>
        <w:rPr>
          <w:rFonts w:ascii="Arial Black" w:hAnsi="Arial Black"/>
          <w:sz w:val="24"/>
          <w:szCs w:val="24"/>
        </w:rPr>
      </w:pPr>
    </w:p>
    <w:p w14:paraId="0078AE03" w14:textId="77777777" w:rsidR="00E052A6" w:rsidRDefault="00E052A6" w:rsidP="00DE0F03">
      <w:pPr>
        <w:pStyle w:val="NoSpacing"/>
        <w:rPr>
          <w:rFonts w:ascii="Arial Black" w:hAnsi="Arial Black"/>
          <w:sz w:val="24"/>
          <w:szCs w:val="24"/>
        </w:rPr>
      </w:pPr>
    </w:p>
    <w:p w14:paraId="162195F8" w14:textId="09D30BCF" w:rsidR="00DE0F03" w:rsidRDefault="00DE0F03" w:rsidP="00DE0F03">
      <w:pPr>
        <w:pStyle w:val="NoSpacing"/>
        <w:rPr>
          <w:rFonts w:ascii="Arial Black" w:hAnsi="Arial Black"/>
          <w:sz w:val="24"/>
          <w:szCs w:val="24"/>
        </w:rPr>
      </w:pPr>
      <w:r>
        <w:rPr>
          <w:rFonts w:ascii="Arial Black" w:hAnsi="Arial Black"/>
          <w:sz w:val="24"/>
          <w:szCs w:val="24"/>
        </w:rPr>
        <w:t>13-2</w:t>
      </w:r>
      <w:r w:rsidR="00C95AF6">
        <w:rPr>
          <w:rFonts w:ascii="Arial Black" w:hAnsi="Arial Black"/>
          <w:sz w:val="24"/>
          <w:szCs w:val="24"/>
        </w:rPr>
        <w:t>8</w:t>
      </w:r>
    </w:p>
    <w:p w14:paraId="4380E4F3" w14:textId="77777777" w:rsidR="00DE0F03" w:rsidRDefault="00DE0F03" w:rsidP="00DE0F03">
      <w:pPr>
        <w:pStyle w:val="NoSpacing"/>
        <w:rPr>
          <w:rFonts w:ascii="Arial Black" w:hAnsi="Arial Black"/>
          <w:b/>
          <w:bCs/>
          <w:sz w:val="28"/>
          <w:szCs w:val="28"/>
        </w:rPr>
      </w:pPr>
    </w:p>
    <w:p w14:paraId="389C0B17" w14:textId="25AA6CED" w:rsidR="002B1283" w:rsidRPr="00D5555E" w:rsidRDefault="002B1283" w:rsidP="002B1283">
      <w:pPr>
        <w:rPr>
          <w:rFonts w:ascii="Arial Black" w:hAnsi="Arial Black"/>
          <w:b/>
          <w:bCs/>
          <w:sz w:val="28"/>
          <w:szCs w:val="28"/>
        </w:rPr>
      </w:pPr>
      <w:bookmarkStart w:id="508" w:name="_Hlk41153261"/>
      <w:r w:rsidRPr="00D5555E">
        <w:rPr>
          <w:rFonts w:ascii="Arial Black" w:hAnsi="Arial Black"/>
          <w:b/>
          <w:bCs/>
          <w:sz w:val="28"/>
          <w:szCs w:val="28"/>
        </w:rPr>
        <w:t xml:space="preserve">IN: </w:t>
      </w:r>
      <w:r>
        <w:rPr>
          <w:rFonts w:ascii="Arial Black" w:hAnsi="Arial Black"/>
          <w:b/>
          <w:bCs/>
          <w:sz w:val="28"/>
          <w:szCs w:val="28"/>
        </w:rPr>
        <w:t>UNRESP. DRIVER – DRIVES OFF WHEN MEDIC SEES REVOLVER – CONV. WITHOUT GUN FOUND – MEDIC’S FIREARM KNOWLEDGE</w:t>
      </w:r>
    </w:p>
    <w:p w14:paraId="55625648" w14:textId="77777777" w:rsidR="002B1283" w:rsidRDefault="002B1283" w:rsidP="002B1283">
      <w:pPr>
        <w:rPr>
          <w:rFonts w:ascii="Times New Roman" w:hAnsi="Times New Roman"/>
          <w:sz w:val="24"/>
          <w:szCs w:val="24"/>
        </w:rPr>
      </w:pPr>
      <w:r w:rsidRPr="00D5555E">
        <w:rPr>
          <w:rFonts w:ascii="Times New Roman" w:hAnsi="Times New Roman"/>
          <w:sz w:val="24"/>
          <w:szCs w:val="24"/>
        </w:rPr>
        <w:t xml:space="preserve">On July 15, 2019, in </w:t>
      </w:r>
      <w:r w:rsidRPr="00D5555E">
        <w:rPr>
          <w:rFonts w:ascii="Times New Roman" w:hAnsi="Times New Roman"/>
          <w:sz w:val="24"/>
          <w:szCs w:val="24"/>
          <w:u w:val="single"/>
        </w:rPr>
        <w:t>Evan Michael Sapp v. State of Indiana</w:t>
      </w:r>
      <w:r w:rsidRPr="00D5555E">
        <w:rPr>
          <w:rFonts w:ascii="Times New Roman" w:hAnsi="Times New Roman"/>
          <w:sz w:val="24"/>
          <w:szCs w:val="24"/>
        </w:rPr>
        <w:t xml:space="preserve">, </w:t>
      </w:r>
      <w:r>
        <w:rPr>
          <w:rFonts w:ascii="Times New Roman" w:hAnsi="Times New Roman"/>
          <w:sz w:val="24"/>
          <w:szCs w:val="24"/>
        </w:rPr>
        <w:t xml:space="preserve">the Court of Appeals (3 to 0) upheld the jury’s conviction, even though no firearm was ever recovered.  He received 12-year sentence as a serious violent felon, based on prior burglary conviction.  </w:t>
      </w:r>
    </w:p>
    <w:p w14:paraId="3894FBB2" w14:textId="77777777" w:rsidR="002B1283" w:rsidRPr="005A0B47" w:rsidRDefault="002B1283" w:rsidP="002B1283">
      <w:pPr>
        <w:pStyle w:val="NoSpacing"/>
        <w:ind w:left="720"/>
        <w:rPr>
          <w:rFonts w:ascii="Times New Roman" w:hAnsi="Times New Roman"/>
          <w:sz w:val="24"/>
          <w:szCs w:val="24"/>
        </w:rPr>
      </w:pPr>
      <w:r>
        <w:rPr>
          <w:rFonts w:ascii="Times New Roman" w:hAnsi="Times New Roman"/>
          <w:sz w:val="24"/>
          <w:szCs w:val="24"/>
        </w:rPr>
        <w:t>“</w:t>
      </w:r>
      <w:r w:rsidRPr="005A0B47">
        <w:rPr>
          <w:rFonts w:ascii="Times New Roman" w:hAnsi="Times New Roman"/>
          <w:sz w:val="24"/>
          <w:szCs w:val="24"/>
        </w:rPr>
        <w:t>We likewise reject Sapp’s broader argument that no reasonable trier of fact could have found from the evidence presented that what Osborne saw was a firearm (i.e., not a toy).</w:t>
      </w:r>
    </w:p>
    <w:p w14:paraId="4688B8F3" w14:textId="77777777" w:rsidR="002B1283" w:rsidRDefault="002B1283" w:rsidP="002B1283">
      <w:pPr>
        <w:pStyle w:val="NoSpacing"/>
        <w:ind w:left="720"/>
        <w:rPr>
          <w:rFonts w:ascii="Times New Roman" w:hAnsi="Times New Roman"/>
          <w:sz w:val="24"/>
          <w:szCs w:val="24"/>
        </w:rPr>
      </w:pPr>
      <w:r w:rsidRPr="005A0B47">
        <w:rPr>
          <w:rFonts w:ascii="Times New Roman" w:hAnsi="Times New Roman"/>
          <w:sz w:val="24"/>
          <w:szCs w:val="24"/>
        </w:rPr>
        <w:t>Osborne, who had decades of experience with guns,</w:t>
      </w:r>
      <w:r>
        <w:rPr>
          <w:rFonts w:ascii="Times New Roman" w:hAnsi="Times New Roman"/>
          <w:sz w:val="24"/>
          <w:szCs w:val="24"/>
        </w:rPr>
        <w:t xml:space="preserve"> </w:t>
      </w:r>
      <w:r w:rsidRPr="005A0B47">
        <w:rPr>
          <w:rFonts w:ascii="Times New Roman" w:hAnsi="Times New Roman"/>
          <w:sz w:val="24"/>
          <w:szCs w:val="24"/>
        </w:rPr>
        <w:t xml:space="preserve">testified in considerable detail about the gun that he saw, including its color, that it was a revolver, </w:t>
      </w:r>
      <w:proofErr w:type="gramStart"/>
      <w:r w:rsidRPr="005A0B47">
        <w:rPr>
          <w:rFonts w:ascii="Times New Roman" w:hAnsi="Times New Roman"/>
          <w:sz w:val="24"/>
          <w:szCs w:val="24"/>
        </w:rPr>
        <w:t>similar to</w:t>
      </w:r>
      <w:proofErr w:type="gramEnd"/>
      <w:r w:rsidRPr="005A0B47">
        <w:rPr>
          <w:rFonts w:ascii="Times New Roman" w:hAnsi="Times New Roman"/>
          <w:sz w:val="24"/>
          <w:szCs w:val="24"/>
        </w:rPr>
        <w:t xml:space="preserve"> one he owned, and had a </w:t>
      </w:r>
      <w:r>
        <w:rPr>
          <w:rFonts w:ascii="Times New Roman" w:hAnsi="Times New Roman"/>
          <w:sz w:val="24"/>
          <w:szCs w:val="24"/>
        </w:rPr>
        <w:t>‘</w:t>
      </w:r>
      <w:r w:rsidRPr="005A0B47">
        <w:rPr>
          <w:rFonts w:ascii="Times New Roman" w:hAnsi="Times New Roman"/>
          <w:sz w:val="24"/>
          <w:szCs w:val="24"/>
        </w:rPr>
        <w:t xml:space="preserve">trap </w:t>
      </w:r>
      <w:proofErr w:type="gramStart"/>
      <w:r w:rsidRPr="005A0B47">
        <w:rPr>
          <w:rFonts w:ascii="Times New Roman" w:hAnsi="Times New Roman"/>
          <w:sz w:val="24"/>
          <w:szCs w:val="24"/>
        </w:rPr>
        <w:t>door</w:t>
      </w:r>
      <w:r>
        <w:rPr>
          <w:rFonts w:ascii="Times New Roman" w:hAnsi="Times New Roman"/>
          <w:sz w:val="24"/>
          <w:szCs w:val="24"/>
        </w:rPr>
        <w:t>’</w:t>
      </w:r>
      <w:proofErr w:type="gramEnd"/>
      <w:r>
        <w:rPr>
          <w:rFonts w:ascii="Times New Roman" w:hAnsi="Times New Roman"/>
          <w:sz w:val="24"/>
          <w:szCs w:val="24"/>
        </w:rPr>
        <w:t xml:space="preserve"> </w:t>
      </w:r>
      <w:r w:rsidRPr="005A0B47">
        <w:rPr>
          <w:rFonts w:ascii="Times New Roman" w:hAnsi="Times New Roman"/>
          <w:sz w:val="24"/>
          <w:szCs w:val="24"/>
        </w:rPr>
        <w:t>feature consistent with small caliber pistols. Transcript Vol. II at 232, 235. He also said that, when he saw it, he did not think it was a toy and, in fact, was afraid for his safety when Sapp appeared to be reaching for it</w:t>
      </w:r>
      <w:r>
        <w:rPr>
          <w:rFonts w:ascii="Times New Roman" w:hAnsi="Times New Roman"/>
          <w:sz w:val="24"/>
          <w:szCs w:val="24"/>
        </w:rPr>
        <w:t>.”</w:t>
      </w:r>
    </w:p>
    <w:p w14:paraId="062C2197" w14:textId="77777777" w:rsidR="002B1283" w:rsidRPr="004F6070" w:rsidRDefault="002B1283" w:rsidP="002B1283">
      <w:pPr>
        <w:ind w:firstLine="720"/>
        <w:rPr>
          <w:rFonts w:ascii="Times New Roman" w:hAnsi="Times New Roman"/>
          <w:sz w:val="24"/>
          <w:szCs w:val="24"/>
        </w:rPr>
      </w:pPr>
      <w:hyperlink r:id="rId2411" w:history="1">
        <w:r w:rsidRPr="004F6070">
          <w:rPr>
            <w:rStyle w:val="Hyperlink"/>
            <w:rFonts w:ascii="Times New Roman" w:hAnsi="Times New Roman"/>
            <w:sz w:val="24"/>
            <w:szCs w:val="24"/>
          </w:rPr>
          <w:t>https://www.in.gov/judiciary/opinions/pdf/07151902rra.pdf</w:t>
        </w:r>
      </w:hyperlink>
      <w:r w:rsidRPr="004F6070">
        <w:rPr>
          <w:rFonts w:ascii="Times New Roman" w:hAnsi="Times New Roman"/>
          <w:sz w:val="24"/>
          <w:szCs w:val="24"/>
        </w:rPr>
        <w:t xml:space="preserve"> </w:t>
      </w:r>
    </w:p>
    <w:p w14:paraId="5ABAD75F" w14:textId="77777777" w:rsidR="002B1283" w:rsidRPr="00755833" w:rsidRDefault="002B1283" w:rsidP="002B1283">
      <w:pPr>
        <w:pStyle w:val="NoSpacing"/>
        <w:rPr>
          <w:rFonts w:ascii="Times New Roman" w:hAnsi="Times New Roman"/>
          <w:sz w:val="24"/>
          <w:szCs w:val="24"/>
        </w:rPr>
      </w:pPr>
    </w:p>
    <w:p w14:paraId="4CE535FF" w14:textId="77777777" w:rsidR="002B1283" w:rsidRDefault="002B1283" w:rsidP="002B1283">
      <w:pPr>
        <w:pStyle w:val="NoSpacing"/>
        <w:rPr>
          <w:rFonts w:ascii="Times New Roman" w:hAnsi="Times New Roman"/>
          <w:b/>
          <w:bCs/>
          <w:sz w:val="24"/>
          <w:szCs w:val="24"/>
        </w:rPr>
      </w:pPr>
      <w:r w:rsidRPr="00755833">
        <w:rPr>
          <w:rFonts w:ascii="Times New Roman" w:hAnsi="Times New Roman"/>
          <w:b/>
          <w:bCs/>
          <w:sz w:val="24"/>
          <w:szCs w:val="24"/>
        </w:rPr>
        <w:t xml:space="preserve">Legal Lessons Learned: </w:t>
      </w:r>
      <w:r>
        <w:rPr>
          <w:rFonts w:ascii="Times New Roman" w:hAnsi="Times New Roman"/>
          <w:b/>
          <w:bCs/>
          <w:sz w:val="24"/>
          <w:szCs w:val="24"/>
        </w:rPr>
        <w:t xml:space="preserve"> Paramedic’s long experience with firearms, and his written report to police shortly after the EMS run, were powerful evidence.</w:t>
      </w:r>
    </w:p>
    <w:p w14:paraId="1055535A" w14:textId="77777777" w:rsidR="002B1283" w:rsidRDefault="002B1283" w:rsidP="002B1283">
      <w:pPr>
        <w:pStyle w:val="NoSpacing"/>
        <w:rPr>
          <w:rFonts w:ascii="Times New Roman" w:hAnsi="Times New Roman"/>
          <w:b/>
          <w:bCs/>
          <w:sz w:val="24"/>
          <w:szCs w:val="24"/>
        </w:rPr>
      </w:pPr>
    </w:p>
    <w:p w14:paraId="346B63C3" w14:textId="77777777" w:rsidR="002B1283" w:rsidRDefault="002B1283" w:rsidP="002B1283">
      <w:pPr>
        <w:pStyle w:val="NoSpacing"/>
        <w:ind w:left="720"/>
        <w:rPr>
          <w:rFonts w:ascii="Times New Roman" w:hAnsi="Times New Roman"/>
          <w:sz w:val="24"/>
          <w:szCs w:val="24"/>
        </w:rPr>
      </w:pPr>
      <w:r w:rsidRPr="00F30DAD">
        <w:rPr>
          <w:rFonts w:ascii="Times New Roman" w:hAnsi="Times New Roman"/>
          <w:sz w:val="24"/>
          <w:szCs w:val="24"/>
        </w:rPr>
        <w:t>Note: Under prior Indiana case law, a firearm does not need to be recovered</w:t>
      </w:r>
      <w:r>
        <w:rPr>
          <w:rFonts w:ascii="Times New Roman" w:hAnsi="Times New Roman"/>
          <w:sz w:val="24"/>
          <w:szCs w:val="24"/>
        </w:rPr>
        <w:t xml:space="preserve"> to convict for unlawful possession</w:t>
      </w:r>
      <w:r w:rsidRPr="00F30DAD">
        <w:rPr>
          <w:rFonts w:ascii="Times New Roman" w:hAnsi="Times New Roman"/>
          <w:sz w:val="24"/>
          <w:szCs w:val="24"/>
        </w:rPr>
        <w:t xml:space="preserve">.  </w:t>
      </w:r>
    </w:p>
    <w:p w14:paraId="16DEEEEF" w14:textId="77777777" w:rsidR="002B1283" w:rsidRDefault="002B1283" w:rsidP="002B1283">
      <w:pPr>
        <w:pStyle w:val="NoSpacing"/>
        <w:ind w:left="720"/>
        <w:rPr>
          <w:rFonts w:ascii="Times New Roman" w:hAnsi="Times New Roman"/>
          <w:sz w:val="24"/>
          <w:szCs w:val="24"/>
        </w:rPr>
      </w:pPr>
    </w:p>
    <w:p w14:paraId="0180F80E" w14:textId="77777777" w:rsidR="002B1283" w:rsidRDefault="002B1283" w:rsidP="002B1283">
      <w:pPr>
        <w:pStyle w:val="NoSpacing"/>
        <w:ind w:left="1440"/>
        <w:rPr>
          <w:rFonts w:ascii="Times New Roman" w:hAnsi="Times New Roman"/>
          <w:sz w:val="24"/>
          <w:szCs w:val="24"/>
        </w:rPr>
      </w:pPr>
      <w:bookmarkStart w:id="509" w:name="_Hlk41153282"/>
      <w:bookmarkEnd w:id="508"/>
      <w:r>
        <w:rPr>
          <w:rFonts w:ascii="Times New Roman" w:hAnsi="Times New Roman"/>
          <w:sz w:val="24"/>
          <w:szCs w:val="24"/>
        </w:rPr>
        <w:t>“</w:t>
      </w:r>
      <w:r w:rsidRPr="005A0B47">
        <w:rPr>
          <w:rFonts w:ascii="Times New Roman" w:hAnsi="Times New Roman"/>
          <w:sz w:val="24"/>
          <w:szCs w:val="24"/>
        </w:rPr>
        <w:t>Sapp acknowledges that our courts have sustained a conviction in circumstances when the firearm was not located after the defendant’s arrest</w:t>
      </w:r>
      <w:r>
        <w:rPr>
          <w:rFonts w:ascii="Times New Roman" w:hAnsi="Times New Roman"/>
          <w:sz w:val="24"/>
          <w:szCs w:val="24"/>
        </w:rPr>
        <w:t xml:space="preserve"> </w:t>
      </w:r>
      <w:r w:rsidRPr="005A0B47">
        <w:rPr>
          <w:rFonts w:ascii="Times New Roman" w:hAnsi="Times New Roman"/>
          <w:sz w:val="24"/>
          <w:szCs w:val="24"/>
        </w:rPr>
        <w:t>but urges that, unlike where a defendant displayed or used a weapon, he did nothing “to signify or imply that the item [in his truck]was a ‘firearm.’” Id. at 5. We disagree</w:t>
      </w:r>
      <w:r>
        <w:rPr>
          <w:rFonts w:ascii="Times New Roman" w:hAnsi="Times New Roman"/>
          <w:sz w:val="24"/>
          <w:szCs w:val="24"/>
        </w:rPr>
        <w:t xml:space="preserve">… </w:t>
      </w:r>
      <w:r w:rsidRPr="005A0B47">
        <w:rPr>
          <w:rFonts w:ascii="Times New Roman" w:hAnsi="Times New Roman"/>
          <w:sz w:val="24"/>
          <w:szCs w:val="24"/>
        </w:rPr>
        <w:t xml:space="preserve">Footnote 1:  See e.g., </w:t>
      </w:r>
      <w:proofErr w:type="gramStart"/>
      <w:r w:rsidRPr="005A0B47">
        <w:rPr>
          <w:rFonts w:ascii="Times New Roman" w:hAnsi="Times New Roman"/>
          <w:sz w:val="24"/>
          <w:szCs w:val="24"/>
        </w:rPr>
        <w:t>Gray</w:t>
      </w:r>
      <w:proofErr w:type="gramEnd"/>
      <w:r w:rsidRPr="005A0B47">
        <w:rPr>
          <w:rFonts w:ascii="Times New Roman" w:hAnsi="Times New Roman"/>
          <w:sz w:val="24"/>
          <w:szCs w:val="24"/>
        </w:rPr>
        <w:t xml:space="preserve"> v. State, 903 N.E.2d 940, 943 (Ind. 2009)</w:t>
      </w:r>
      <w:r>
        <w:rPr>
          <w:rFonts w:ascii="Times New Roman" w:hAnsi="Times New Roman"/>
          <w:sz w:val="24"/>
          <w:szCs w:val="24"/>
        </w:rPr>
        <w:t xml:space="preserve">. </w:t>
      </w:r>
    </w:p>
    <w:p w14:paraId="0CA56E6E" w14:textId="77777777" w:rsidR="00AE0ACC" w:rsidRDefault="00AE0ACC" w:rsidP="00AE0ACC">
      <w:pPr>
        <w:pStyle w:val="NoSpacing"/>
        <w:rPr>
          <w:sz w:val="24"/>
          <w:szCs w:val="24"/>
        </w:rPr>
      </w:pPr>
    </w:p>
    <w:bookmarkEnd w:id="509"/>
    <w:p w14:paraId="58E5DFF2" w14:textId="77777777" w:rsidR="002B1283" w:rsidRDefault="002B1283" w:rsidP="00527EDF">
      <w:pPr>
        <w:pStyle w:val="NoSpacing"/>
        <w:rPr>
          <w:sz w:val="24"/>
          <w:szCs w:val="24"/>
        </w:rPr>
      </w:pPr>
    </w:p>
    <w:p w14:paraId="6DD9D18B" w14:textId="77777777" w:rsidR="002B1283" w:rsidRDefault="002B1283" w:rsidP="00527EDF">
      <w:pPr>
        <w:pStyle w:val="NoSpacing"/>
        <w:rPr>
          <w:sz w:val="24"/>
          <w:szCs w:val="24"/>
        </w:rPr>
      </w:pPr>
    </w:p>
    <w:p w14:paraId="4BFCFE08" w14:textId="2408E0FA" w:rsidR="00DE0F03" w:rsidRDefault="00DE0F03" w:rsidP="00DE0F03">
      <w:pPr>
        <w:pStyle w:val="NoSpacing"/>
        <w:rPr>
          <w:rFonts w:ascii="Arial Black" w:hAnsi="Arial Black"/>
          <w:sz w:val="24"/>
          <w:szCs w:val="24"/>
        </w:rPr>
      </w:pPr>
      <w:r>
        <w:rPr>
          <w:rFonts w:ascii="Arial Black" w:hAnsi="Arial Black"/>
          <w:sz w:val="24"/>
          <w:szCs w:val="24"/>
        </w:rPr>
        <w:t>13-2</w:t>
      </w:r>
      <w:r w:rsidR="00C95AF6">
        <w:rPr>
          <w:rFonts w:ascii="Arial Black" w:hAnsi="Arial Black"/>
          <w:sz w:val="24"/>
          <w:szCs w:val="24"/>
        </w:rPr>
        <w:t>7</w:t>
      </w:r>
    </w:p>
    <w:p w14:paraId="7795604B" w14:textId="77777777" w:rsidR="002B1283" w:rsidRDefault="002B1283" w:rsidP="00527EDF">
      <w:pPr>
        <w:pStyle w:val="NoSpacing"/>
        <w:rPr>
          <w:sz w:val="24"/>
          <w:szCs w:val="24"/>
        </w:rPr>
      </w:pPr>
    </w:p>
    <w:p w14:paraId="1E4A0418" w14:textId="5848B004" w:rsidR="00527EDF" w:rsidRDefault="00527EDF" w:rsidP="00527EDF">
      <w:pPr>
        <w:pStyle w:val="NoSpacing"/>
        <w:rPr>
          <w:rFonts w:ascii="Arial Black" w:hAnsi="Arial Black" w:cs="Arial"/>
          <w:sz w:val="28"/>
          <w:szCs w:val="28"/>
        </w:rPr>
      </w:pPr>
      <w:bookmarkStart w:id="510" w:name="_Hlk41153336"/>
      <w:r w:rsidRPr="00AF5E92">
        <w:rPr>
          <w:rFonts w:ascii="Arial Black" w:hAnsi="Arial Black" w:cs="Arial"/>
          <w:sz w:val="28"/>
          <w:szCs w:val="28"/>
        </w:rPr>
        <w:t>CA:</w:t>
      </w:r>
      <w:r>
        <w:rPr>
          <w:rFonts w:ascii="Arial Black" w:hAnsi="Arial Black" w:cs="Arial"/>
          <w:sz w:val="28"/>
          <w:szCs w:val="28"/>
        </w:rPr>
        <w:t xml:space="preserve"> FLIGHT PARAM. KILLED HELICOPTER CRASH – ONLY WORKERS COMP - CAN’T SUE HELICOPTER CO. - “SPECIAL EMPLOYEE”</w:t>
      </w:r>
    </w:p>
    <w:p w14:paraId="74502AEE" w14:textId="77777777" w:rsidR="00527EDF" w:rsidRDefault="00527EDF" w:rsidP="00527EDF">
      <w:pPr>
        <w:pStyle w:val="NoSpacing"/>
        <w:rPr>
          <w:rFonts w:ascii="Arial Black" w:hAnsi="Arial Black" w:cs="Arial"/>
          <w:sz w:val="28"/>
          <w:szCs w:val="28"/>
        </w:rPr>
      </w:pPr>
    </w:p>
    <w:p w14:paraId="456FE34B" w14:textId="1E210882" w:rsidR="00527EDF" w:rsidRDefault="00527EDF" w:rsidP="00527EDF">
      <w:pPr>
        <w:pStyle w:val="NoSpacing"/>
        <w:rPr>
          <w:rFonts w:ascii="Times New Roman" w:hAnsi="Times New Roman"/>
          <w:sz w:val="24"/>
          <w:szCs w:val="24"/>
        </w:rPr>
      </w:pPr>
      <w:r w:rsidRPr="003316F4">
        <w:rPr>
          <w:rFonts w:ascii="Times New Roman" w:hAnsi="Times New Roman"/>
          <w:sz w:val="24"/>
          <w:szCs w:val="24"/>
        </w:rPr>
        <w:t xml:space="preserve">On May 24, 2019, in </w:t>
      </w:r>
      <w:r w:rsidRPr="003316F4">
        <w:rPr>
          <w:rFonts w:ascii="Times New Roman" w:hAnsi="Times New Roman"/>
          <w:sz w:val="24"/>
          <w:szCs w:val="24"/>
          <w:u w:val="single"/>
        </w:rPr>
        <w:t>Brooke Juarez v. Rogers Helicopters, Inc.</w:t>
      </w:r>
      <w:r>
        <w:rPr>
          <w:rFonts w:ascii="Times New Roman" w:hAnsi="Times New Roman"/>
          <w:sz w:val="24"/>
          <w:szCs w:val="24"/>
          <w:u w:val="single"/>
        </w:rPr>
        <w:t>, et al.</w:t>
      </w:r>
      <w:r>
        <w:rPr>
          <w:rFonts w:ascii="Times New Roman" w:hAnsi="Times New Roman"/>
          <w:sz w:val="24"/>
          <w:szCs w:val="24"/>
        </w:rPr>
        <w:t xml:space="preserve">, the Court of Appeals for California, Fifth Appellate District, held (3 to 0) in an unpublished decision, the trial court properly granted summary judgment to the helicopter company; the deceased paramedic was a “general employee” of American Airborne company, and a “special employee” of Rogers Helicopter, and therefore workers compensation was the sole remedy for the wife of the deceased paramedic. </w:t>
      </w:r>
    </w:p>
    <w:p w14:paraId="706F7D86" w14:textId="77777777" w:rsidR="00527EDF" w:rsidRPr="003316F4" w:rsidRDefault="00527EDF" w:rsidP="00527EDF">
      <w:pPr>
        <w:pStyle w:val="NoSpacing"/>
        <w:rPr>
          <w:rFonts w:ascii="Times New Roman" w:hAnsi="Times New Roman"/>
          <w:sz w:val="24"/>
          <w:szCs w:val="24"/>
        </w:rPr>
      </w:pPr>
    </w:p>
    <w:p w14:paraId="60BEB463" w14:textId="77777777" w:rsidR="00527EDF" w:rsidRDefault="00527EDF" w:rsidP="00527EDF">
      <w:pPr>
        <w:pStyle w:val="NoSpacing"/>
        <w:ind w:left="720"/>
        <w:rPr>
          <w:rFonts w:ascii="Times New Roman" w:hAnsi="Times New Roman"/>
          <w:sz w:val="24"/>
          <w:szCs w:val="24"/>
        </w:rPr>
      </w:pPr>
      <w:r>
        <w:rPr>
          <w:rFonts w:ascii="Times New Roman" w:hAnsi="Times New Roman"/>
          <w:sz w:val="24"/>
          <w:szCs w:val="24"/>
        </w:rPr>
        <w:t>“</w:t>
      </w:r>
      <w:r w:rsidRPr="003316F4">
        <w:rPr>
          <w:rFonts w:ascii="Times New Roman" w:hAnsi="Times New Roman"/>
          <w:sz w:val="24"/>
          <w:szCs w:val="24"/>
        </w:rPr>
        <w:t xml:space="preserve">In sum, based on the facts and circumstances of this case, since </w:t>
      </w:r>
      <w:proofErr w:type="spellStart"/>
      <w:r w:rsidRPr="003316F4">
        <w:rPr>
          <w:rFonts w:ascii="Times New Roman" w:hAnsi="Times New Roman"/>
          <w:sz w:val="24"/>
          <w:szCs w:val="24"/>
        </w:rPr>
        <w:t>SkyLife</w:t>
      </w:r>
      <w:proofErr w:type="spellEnd"/>
      <w:r>
        <w:rPr>
          <w:rFonts w:ascii="Times New Roman" w:hAnsi="Times New Roman"/>
          <w:sz w:val="24"/>
          <w:szCs w:val="24"/>
        </w:rPr>
        <w:t xml:space="preserve"> </w:t>
      </w:r>
      <w:r w:rsidRPr="003316F4">
        <w:rPr>
          <w:rFonts w:ascii="Times New Roman" w:hAnsi="Times New Roman"/>
          <w:sz w:val="24"/>
          <w:szCs w:val="24"/>
        </w:rPr>
        <w:t xml:space="preserve">was Juarez’s special employer, </w:t>
      </w:r>
      <w:proofErr w:type="spellStart"/>
      <w:r w:rsidRPr="003316F4">
        <w:rPr>
          <w:rFonts w:ascii="Times New Roman" w:hAnsi="Times New Roman"/>
          <w:sz w:val="24"/>
          <w:szCs w:val="24"/>
        </w:rPr>
        <w:t>SkyLife’s</w:t>
      </w:r>
      <w:proofErr w:type="spellEnd"/>
      <w:r w:rsidRPr="003316F4">
        <w:rPr>
          <w:rFonts w:ascii="Times New Roman" w:hAnsi="Times New Roman"/>
          <w:sz w:val="24"/>
          <w:szCs w:val="24"/>
        </w:rPr>
        <w:t xml:space="preserve"> general partners, American Airborne and Rogers Helicopters, are also Juarez’s special employers. As such, respondents are all immune from tort </w:t>
      </w:r>
      <w:proofErr w:type="gramStart"/>
      <w:r w:rsidRPr="003316F4">
        <w:rPr>
          <w:rFonts w:ascii="Times New Roman" w:hAnsi="Times New Roman"/>
          <w:sz w:val="24"/>
          <w:szCs w:val="24"/>
        </w:rPr>
        <w:t>liability</w:t>
      </w:r>
      <w:proofErr w:type="gramEnd"/>
      <w:r w:rsidRPr="003316F4">
        <w:rPr>
          <w:rFonts w:ascii="Times New Roman" w:hAnsi="Times New Roman"/>
          <w:sz w:val="24"/>
          <w:szCs w:val="24"/>
        </w:rPr>
        <w:t xml:space="preserve"> and the trial court properly granted summary judgment in their favor</w:t>
      </w:r>
      <w:r>
        <w:rPr>
          <w:rFonts w:ascii="Times New Roman" w:hAnsi="Times New Roman"/>
          <w:sz w:val="24"/>
          <w:szCs w:val="24"/>
        </w:rPr>
        <w:t>.”</w:t>
      </w:r>
    </w:p>
    <w:p w14:paraId="0F1B1C80" w14:textId="41BCC0DA" w:rsidR="00527EDF" w:rsidRDefault="00527EDF" w:rsidP="00527EDF">
      <w:pPr>
        <w:pStyle w:val="NoSpacing"/>
        <w:ind w:left="720"/>
        <w:rPr>
          <w:rFonts w:ascii="Times New Roman" w:hAnsi="Times New Roman"/>
          <w:sz w:val="24"/>
          <w:szCs w:val="24"/>
        </w:rPr>
      </w:pPr>
      <w:hyperlink r:id="rId2412" w:history="1">
        <w:r w:rsidRPr="00821231">
          <w:rPr>
            <w:rStyle w:val="Hyperlink"/>
            <w:rFonts w:ascii="Times New Roman" w:hAnsi="Times New Roman"/>
            <w:sz w:val="24"/>
            <w:szCs w:val="24"/>
          </w:rPr>
          <w:t>https://www.courts.ca.gov/opinions/nonpub/F076225.PDF</w:t>
        </w:r>
      </w:hyperlink>
      <w:r>
        <w:rPr>
          <w:rFonts w:ascii="Times New Roman" w:hAnsi="Times New Roman"/>
          <w:sz w:val="24"/>
          <w:szCs w:val="24"/>
        </w:rPr>
        <w:t xml:space="preserve"> </w:t>
      </w:r>
    </w:p>
    <w:p w14:paraId="013F37C7" w14:textId="714B72D4" w:rsidR="00527EDF" w:rsidRDefault="00527EDF" w:rsidP="00527EDF">
      <w:pPr>
        <w:pStyle w:val="NoSpacing"/>
        <w:ind w:left="720"/>
        <w:rPr>
          <w:rFonts w:ascii="Times New Roman" w:hAnsi="Times New Roman"/>
          <w:sz w:val="24"/>
          <w:szCs w:val="24"/>
        </w:rPr>
      </w:pPr>
    </w:p>
    <w:p w14:paraId="5500346D" w14:textId="77777777" w:rsidR="00527EDF" w:rsidRPr="00842296" w:rsidRDefault="00527EDF" w:rsidP="00527EDF">
      <w:pPr>
        <w:pStyle w:val="NoSpacing"/>
        <w:rPr>
          <w:rFonts w:ascii="Times New Roman" w:hAnsi="Times New Roman"/>
          <w:b/>
          <w:sz w:val="24"/>
          <w:szCs w:val="24"/>
        </w:rPr>
      </w:pPr>
      <w:r w:rsidRPr="00842296">
        <w:rPr>
          <w:rFonts w:ascii="Times New Roman" w:hAnsi="Times New Roman"/>
          <w:b/>
          <w:sz w:val="24"/>
          <w:szCs w:val="24"/>
        </w:rPr>
        <w:t xml:space="preserve">Legal Lessons Learned: </w:t>
      </w:r>
      <w:r>
        <w:rPr>
          <w:rFonts w:ascii="Times New Roman" w:hAnsi="Times New Roman"/>
          <w:b/>
          <w:sz w:val="24"/>
          <w:szCs w:val="24"/>
        </w:rPr>
        <w:t xml:space="preserve"> Flight paramedics may be considered “dual employees” in many states; and workers comp. is their sole remedy for injury or death in those states.  </w:t>
      </w:r>
    </w:p>
    <w:p w14:paraId="03E80DE5" w14:textId="77777777" w:rsidR="00527EDF" w:rsidRPr="00842296" w:rsidRDefault="00527EDF" w:rsidP="00527EDF">
      <w:pPr>
        <w:pStyle w:val="NoSpacing"/>
        <w:ind w:firstLine="720"/>
        <w:rPr>
          <w:rFonts w:ascii="Times New Roman" w:hAnsi="Times New Roman"/>
          <w:sz w:val="24"/>
          <w:szCs w:val="24"/>
        </w:rPr>
      </w:pPr>
      <w:r w:rsidRPr="00842296">
        <w:rPr>
          <w:rFonts w:ascii="Times New Roman" w:hAnsi="Times New Roman"/>
          <w:sz w:val="24"/>
          <w:szCs w:val="24"/>
        </w:rPr>
        <w:t>See article on the crash:</w:t>
      </w:r>
    </w:p>
    <w:p w14:paraId="7869CAED" w14:textId="77777777" w:rsidR="00527EDF" w:rsidRDefault="00527EDF" w:rsidP="00527EDF">
      <w:pPr>
        <w:pStyle w:val="NoSpacing"/>
        <w:ind w:firstLine="720"/>
      </w:pPr>
      <w:hyperlink r:id="rId2413" w:history="1">
        <w:r w:rsidRPr="005B46AA">
          <w:rPr>
            <w:rStyle w:val="Hyperlink"/>
          </w:rPr>
          <w:t>https://www.fresnobee.com/news/local/article167656267.html</w:t>
        </w:r>
      </w:hyperlink>
      <w:r>
        <w:t xml:space="preserve"> </w:t>
      </w:r>
    </w:p>
    <w:p w14:paraId="0D9AE3E8" w14:textId="77777777" w:rsidR="00527EDF" w:rsidRPr="00DE64B9" w:rsidRDefault="00527EDF" w:rsidP="00527EDF">
      <w:pPr>
        <w:pStyle w:val="NoSpacing"/>
        <w:ind w:left="720"/>
        <w:rPr>
          <w:rFonts w:ascii="Times New Roman" w:hAnsi="Times New Roman"/>
          <w:sz w:val="24"/>
          <w:szCs w:val="24"/>
        </w:rPr>
      </w:pPr>
      <w:r w:rsidRPr="00DE64B9">
        <w:rPr>
          <w:rFonts w:ascii="Times New Roman" w:hAnsi="Times New Roman"/>
          <w:sz w:val="24"/>
          <w:szCs w:val="24"/>
        </w:rPr>
        <w:t xml:space="preserve">See trial court’s summary judgment decision: </w:t>
      </w:r>
      <w:hyperlink r:id="rId2414" w:history="1">
        <w:r w:rsidRPr="005B46AA">
          <w:rPr>
            <w:rStyle w:val="Hyperlink"/>
            <w:rFonts w:ascii="Times New Roman" w:hAnsi="Times New Roman"/>
            <w:sz w:val="24"/>
            <w:szCs w:val="24"/>
          </w:rPr>
          <w:t>https://assets.documentcloud.org/documents/3933644/Order-Granting-Summary-Judgment.pdf</w:t>
        </w:r>
      </w:hyperlink>
      <w:r w:rsidRPr="00DE64B9">
        <w:rPr>
          <w:rFonts w:ascii="Times New Roman" w:hAnsi="Times New Roman"/>
          <w:sz w:val="24"/>
          <w:szCs w:val="24"/>
        </w:rPr>
        <w:t xml:space="preserve"> </w:t>
      </w:r>
    </w:p>
    <w:p w14:paraId="0A25EDDD" w14:textId="77777777" w:rsidR="00527EDF" w:rsidRPr="00DE64B9" w:rsidRDefault="00527EDF" w:rsidP="00527EDF">
      <w:pPr>
        <w:pStyle w:val="NoSpacing"/>
        <w:ind w:left="720"/>
        <w:rPr>
          <w:rFonts w:ascii="Times New Roman" w:hAnsi="Times New Roman"/>
          <w:sz w:val="24"/>
          <w:szCs w:val="24"/>
        </w:rPr>
      </w:pPr>
      <w:r w:rsidRPr="00DE64B9">
        <w:rPr>
          <w:rFonts w:ascii="Times New Roman" w:hAnsi="Times New Roman"/>
          <w:sz w:val="24"/>
          <w:szCs w:val="24"/>
        </w:rPr>
        <w:t>See this article about air</w:t>
      </w:r>
      <w:r>
        <w:rPr>
          <w:rFonts w:ascii="Times New Roman" w:hAnsi="Times New Roman"/>
          <w:sz w:val="24"/>
          <w:szCs w:val="24"/>
        </w:rPr>
        <w:t xml:space="preserve"> </w:t>
      </w:r>
      <w:r w:rsidRPr="00DE64B9">
        <w:rPr>
          <w:rFonts w:ascii="Times New Roman" w:hAnsi="Times New Roman"/>
          <w:sz w:val="24"/>
          <w:szCs w:val="24"/>
        </w:rPr>
        <w:t xml:space="preserve">care helicopter crashes: </w:t>
      </w:r>
      <w:hyperlink r:id="rId2415" w:history="1">
        <w:r w:rsidRPr="005B46AA">
          <w:rPr>
            <w:rStyle w:val="Hyperlink"/>
            <w:rFonts w:ascii="Times New Roman" w:hAnsi="Times New Roman"/>
            <w:sz w:val="24"/>
            <w:szCs w:val="24"/>
          </w:rPr>
          <w:t>https://www.plaintiffmagazine.com/recent-issues/item/ems-helicopter-crashes-raise-complex-liability-issues</w:t>
        </w:r>
      </w:hyperlink>
      <w:r w:rsidRPr="00DE64B9">
        <w:rPr>
          <w:rFonts w:ascii="Times New Roman" w:hAnsi="Times New Roman"/>
          <w:sz w:val="24"/>
          <w:szCs w:val="24"/>
        </w:rPr>
        <w:t xml:space="preserve"> </w:t>
      </w:r>
    </w:p>
    <w:p w14:paraId="6C22DBB3" w14:textId="77777777" w:rsidR="00527EDF" w:rsidRPr="00DE64B9" w:rsidRDefault="00527EDF" w:rsidP="00527EDF">
      <w:pPr>
        <w:pStyle w:val="NoSpacing"/>
        <w:ind w:left="1440"/>
        <w:rPr>
          <w:rFonts w:ascii="Times New Roman" w:hAnsi="Times New Roman"/>
          <w:sz w:val="24"/>
          <w:szCs w:val="24"/>
        </w:rPr>
      </w:pPr>
      <w:r w:rsidRPr="00DE64B9">
        <w:rPr>
          <w:rFonts w:ascii="Times New Roman" w:hAnsi="Times New Roman"/>
          <w:sz w:val="24"/>
          <w:szCs w:val="24"/>
        </w:rPr>
        <w:t xml:space="preserve">“Of course, if the crash was caused by a defect in the helicopter, the crew case may proceed against the helicopter manufacturer. But there are legal challenges to be overcome there as well. A federal statute of repose known as the General Aviation Revitalization Act, or GARA, bars </w:t>
      </w:r>
      <w:proofErr w:type="gramStart"/>
      <w:r w:rsidRPr="00DE64B9">
        <w:rPr>
          <w:rFonts w:ascii="Times New Roman" w:hAnsi="Times New Roman"/>
          <w:sz w:val="24"/>
          <w:szCs w:val="24"/>
        </w:rPr>
        <w:t>claims</w:t>
      </w:r>
      <w:proofErr w:type="gramEnd"/>
      <w:r w:rsidRPr="00DE64B9">
        <w:rPr>
          <w:rFonts w:ascii="Times New Roman" w:hAnsi="Times New Roman"/>
          <w:sz w:val="24"/>
          <w:szCs w:val="24"/>
        </w:rPr>
        <w:t xml:space="preserve"> against the manufacturer if the helicopter is older than 18 years. And beneath their shiny paint, most of the helicopters now in service date back to the 1970s. (In case you’re wondering, GARA protects not just US helicopter manufacturers, but foreign helicopter manufacturers too.)”</w:t>
      </w:r>
    </w:p>
    <w:bookmarkEnd w:id="510"/>
    <w:p w14:paraId="76812F4B" w14:textId="74D719C3" w:rsidR="00527EDF" w:rsidRDefault="00527EDF" w:rsidP="00527EDF">
      <w:pPr>
        <w:pStyle w:val="NoSpacing"/>
        <w:ind w:left="720"/>
        <w:rPr>
          <w:rFonts w:ascii="Times New Roman" w:hAnsi="Times New Roman"/>
          <w:sz w:val="24"/>
          <w:szCs w:val="24"/>
        </w:rPr>
      </w:pPr>
    </w:p>
    <w:p w14:paraId="7B0443D9" w14:textId="6DABDF54" w:rsidR="00527EDF" w:rsidRDefault="00527EDF" w:rsidP="00527EDF">
      <w:pPr>
        <w:pStyle w:val="NoSpacing"/>
        <w:ind w:left="720"/>
        <w:rPr>
          <w:rFonts w:ascii="Times New Roman" w:hAnsi="Times New Roman"/>
          <w:sz w:val="24"/>
          <w:szCs w:val="24"/>
        </w:rPr>
      </w:pPr>
    </w:p>
    <w:p w14:paraId="7808354A" w14:textId="77777777" w:rsidR="0097592D" w:rsidRDefault="0097592D" w:rsidP="00DE0F03">
      <w:pPr>
        <w:pStyle w:val="NoSpacing"/>
        <w:rPr>
          <w:rFonts w:ascii="Arial Black" w:hAnsi="Arial Black"/>
          <w:sz w:val="24"/>
          <w:szCs w:val="24"/>
        </w:rPr>
      </w:pPr>
    </w:p>
    <w:p w14:paraId="5F00D369" w14:textId="77777777" w:rsidR="0097592D" w:rsidRDefault="0097592D" w:rsidP="00DE0F03">
      <w:pPr>
        <w:pStyle w:val="NoSpacing"/>
        <w:rPr>
          <w:rFonts w:ascii="Arial Black" w:hAnsi="Arial Black"/>
          <w:sz w:val="24"/>
          <w:szCs w:val="24"/>
        </w:rPr>
      </w:pPr>
    </w:p>
    <w:p w14:paraId="761B919D" w14:textId="6DF1596E" w:rsidR="00DE0F03" w:rsidRDefault="00DE0F03" w:rsidP="00DE0F03">
      <w:pPr>
        <w:pStyle w:val="NoSpacing"/>
        <w:rPr>
          <w:rFonts w:ascii="Arial Black" w:hAnsi="Arial Black"/>
          <w:sz w:val="24"/>
          <w:szCs w:val="24"/>
        </w:rPr>
      </w:pPr>
      <w:r>
        <w:rPr>
          <w:rFonts w:ascii="Arial Black" w:hAnsi="Arial Black"/>
          <w:sz w:val="24"/>
          <w:szCs w:val="24"/>
        </w:rPr>
        <w:t>13-2</w:t>
      </w:r>
      <w:r w:rsidR="00C95AF6">
        <w:rPr>
          <w:rFonts w:ascii="Arial Black" w:hAnsi="Arial Black"/>
          <w:sz w:val="24"/>
          <w:szCs w:val="24"/>
        </w:rPr>
        <w:t>6</w:t>
      </w:r>
    </w:p>
    <w:p w14:paraId="0C0D5250" w14:textId="77777777" w:rsidR="00DE0F03" w:rsidRDefault="00DE0F03" w:rsidP="00527EDF">
      <w:pPr>
        <w:pStyle w:val="NoSpacing"/>
        <w:rPr>
          <w:rFonts w:ascii="Arial Black" w:hAnsi="Arial Black"/>
          <w:sz w:val="28"/>
          <w:szCs w:val="28"/>
        </w:rPr>
      </w:pPr>
    </w:p>
    <w:p w14:paraId="09D32D39" w14:textId="56381EAD" w:rsidR="00527EDF" w:rsidRPr="00842470" w:rsidRDefault="00527EDF" w:rsidP="00527EDF">
      <w:pPr>
        <w:pStyle w:val="NoSpacing"/>
        <w:rPr>
          <w:rFonts w:ascii="Arial Black" w:hAnsi="Arial Black"/>
          <w:sz w:val="28"/>
          <w:szCs w:val="28"/>
        </w:rPr>
      </w:pPr>
      <w:bookmarkStart w:id="511" w:name="_Hlk41153395"/>
      <w:r w:rsidRPr="00842470">
        <w:rPr>
          <w:rFonts w:ascii="Arial Black" w:hAnsi="Arial Black"/>
          <w:sz w:val="28"/>
          <w:szCs w:val="28"/>
        </w:rPr>
        <w:t xml:space="preserve">KY: </w:t>
      </w:r>
      <w:r>
        <w:rPr>
          <w:rFonts w:ascii="Arial Black" w:hAnsi="Arial Black"/>
          <w:sz w:val="28"/>
          <w:szCs w:val="28"/>
        </w:rPr>
        <w:t xml:space="preserve">DRIVER / POSS. STROKE - REFUSED TREATMENT - PD TOOK </w:t>
      </w:r>
      <w:r w:rsidR="009C7552">
        <w:rPr>
          <w:rFonts w:ascii="Arial Black" w:hAnsi="Arial Black"/>
          <w:sz w:val="28"/>
          <w:szCs w:val="28"/>
        </w:rPr>
        <w:t>HIM TO McDonalds</w:t>
      </w:r>
      <w:r>
        <w:rPr>
          <w:rFonts w:ascii="Arial Black" w:hAnsi="Arial Black"/>
          <w:sz w:val="28"/>
          <w:szCs w:val="28"/>
        </w:rPr>
        <w:t xml:space="preserve"> – KILLED WALKING HWY – QUALIF. IMMUNITY</w:t>
      </w:r>
    </w:p>
    <w:p w14:paraId="057A9610" w14:textId="77777777" w:rsidR="00527EDF" w:rsidRPr="00842470" w:rsidRDefault="00527EDF" w:rsidP="00527EDF">
      <w:pPr>
        <w:pStyle w:val="NoSpacing"/>
        <w:rPr>
          <w:rFonts w:ascii="Times New Roman" w:hAnsi="Times New Roman"/>
          <w:sz w:val="24"/>
          <w:szCs w:val="24"/>
        </w:rPr>
      </w:pPr>
    </w:p>
    <w:p w14:paraId="4ADB99B0" w14:textId="77777777" w:rsidR="00527EDF" w:rsidRDefault="00527EDF" w:rsidP="00527EDF">
      <w:pPr>
        <w:pStyle w:val="NoSpacing"/>
        <w:rPr>
          <w:rFonts w:ascii="Times New Roman" w:hAnsi="Times New Roman"/>
          <w:sz w:val="24"/>
          <w:szCs w:val="24"/>
        </w:rPr>
      </w:pPr>
      <w:r>
        <w:rPr>
          <w:rFonts w:ascii="Times New Roman" w:hAnsi="Times New Roman"/>
          <w:sz w:val="24"/>
          <w:szCs w:val="24"/>
        </w:rPr>
        <w:t xml:space="preserve">On May 24, 2019, in </w:t>
      </w:r>
      <w:r w:rsidRPr="00842470">
        <w:rPr>
          <w:rFonts w:ascii="Times New Roman" w:hAnsi="Times New Roman"/>
          <w:sz w:val="24"/>
          <w:szCs w:val="24"/>
          <w:u w:val="single"/>
        </w:rPr>
        <w:t>Lisa K. Williams v. City of Georgetown, KY, et al</w:t>
      </w:r>
      <w:r>
        <w:rPr>
          <w:rFonts w:ascii="Times New Roman" w:hAnsi="Times New Roman"/>
          <w:sz w:val="24"/>
          <w:szCs w:val="24"/>
        </w:rPr>
        <w:t>., the U.S. Court of Appeals for 6</w:t>
      </w:r>
      <w:r w:rsidRPr="00842470">
        <w:rPr>
          <w:rFonts w:ascii="Times New Roman" w:hAnsi="Times New Roman"/>
          <w:sz w:val="24"/>
          <w:szCs w:val="24"/>
          <w:vertAlign w:val="superscript"/>
        </w:rPr>
        <w:t>th</w:t>
      </w:r>
      <w:r>
        <w:rPr>
          <w:rFonts w:ascii="Times New Roman" w:hAnsi="Times New Roman"/>
          <w:sz w:val="24"/>
          <w:szCs w:val="24"/>
        </w:rPr>
        <w:t xml:space="preserve"> Circuit, in an unpublished opinion, held (2 to 1). </w:t>
      </w:r>
    </w:p>
    <w:p w14:paraId="65A3BF6A" w14:textId="77777777" w:rsidR="00527EDF" w:rsidRDefault="00527EDF" w:rsidP="00527EDF">
      <w:pPr>
        <w:pStyle w:val="NoSpacing"/>
        <w:rPr>
          <w:rFonts w:ascii="Times New Roman" w:hAnsi="Times New Roman"/>
          <w:sz w:val="24"/>
          <w:szCs w:val="24"/>
        </w:rPr>
      </w:pPr>
    </w:p>
    <w:p w14:paraId="55F3347A" w14:textId="77777777" w:rsidR="00527EDF" w:rsidRPr="008D3A7A" w:rsidRDefault="00527EDF" w:rsidP="00527EDF">
      <w:pPr>
        <w:pStyle w:val="NoSpacing"/>
        <w:ind w:left="720"/>
        <w:rPr>
          <w:rFonts w:ascii="Times New Roman" w:hAnsi="Times New Roman"/>
          <w:sz w:val="24"/>
          <w:szCs w:val="24"/>
        </w:rPr>
      </w:pPr>
      <w:r w:rsidRPr="00BD2A4C">
        <w:rPr>
          <w:rFonts w:ascii="Times New Roman" w:hAnsi="Times New Roman"/>
          <w:sz w:val="24"/>
          <w:szCs w:val="24"/>
        </w:rPr>
        <w:t>“This case presents tragic facts without a legal remedy. ***</w:t>
      </w:r>
      <w:r>
        <w:rPr>
          <w:rFonts w:ascii="Times New Roman" w:hAnsi="Times New Roman"/>
          <w:sz w:val="24"/>
          <w:szCs w:val="24"/>
        </w:rPr>
        <w:t xml:space="preserve"> </w:t>
      </w:r>
      <w:r w:rsidRPr="008D3A7A">
        <w:rPr>
          <w:rFonts w:ascii="Times New Roman" w:hAnsi="Times New Roman"/>
          <w:sz w:val="24"/>
          <w:szCs w:val="24"/>
        </w:rPr>
        <w:t xml:space="preserve">Although it is true that </w:t>
      </w:r>
      <w:r>
        <w:rPr>
          <w:rFonts w:ascii="Times New Roman" w:hAnsi="Times New Roman"/>
          <w:sz w:val="24"/>
          <w:szCs w:val="24"/>
        </w:rPr>
        <w:t>‘</w:t>
      </w:r>
      <w:r w:rsidRPr="008D3A7A">
        <w:rPr>
          <w:rFonts w:ascii="Times New Roman" w:hAnsi="Times New Roman"/>
          <w:sz w:val="24"/>
          <w:szCs w:val="24"/>
        </w:rPr>
        <w:t>an officer’s duty exists even after the custodial relationship has ended,</w:t>
      </w:r>
      <w:r>
        <w:rPr>
          <w:rFonts w:ascii="Times New Roman" w:hAnsi="Times New Roman"/>
          <w:sz w:val="24"/>
          <w:szCs w:val="24"/>
        </w:rPr>
        <w:t>’</w:t>
      </w:r>
      <w:r w:rsidRPr="008D3A7A">
        <w:rPr>
          <w:rFonts w:ascii="Times New Roman" w:hAnsi="Times New Roman"/>
          <w:sz w:val="24"/>
          <w:szCs w:val="24"/>
        </w:rPr>
        <w:t xml:space="preserve"> Davis, 143 F.3d at1025, it does not extend in perpetuity. Plaintiff admits that the officers concluded Burns was not a danger to himself or others. Calling an ambulance and giving Burns a ride to McDonald’s does not strike us as the deliberate indifference described in Davis. 143 F.3d at1027; see also Salyers, 534 F. </w:t>
      </w:r>
      <w:proofErr w:type="spellStart"/>
      <w:r w:rsidRPr="008D3A7A">
        <w:rPr>
          <w:rFonts w:ascii="Times New Roman" w:hAnsi="Times New Roman"/>
          <w:sz w:val="24"/>
          <w:szCs w:val="24"/>
        </w:rPr>
        <w:t>App’x</w:t>
      </w:r>
      <w:proofErr w:type="spellEnd"/>
      <w:r w:rsidRPr="008D3A7A">
        <w:rPr>
          <w:rFonts w:ascii="Times New Roman" w:hAnsi="Times New Roman"/>
          <w:sz w:val="24"/>
          <w:szCs w:val="24"/>
        </w:rPr>
        <w:t xml:space="preserve"> at 460. There was no constitutional violation.</w:t>
      </w:r>
      <w:r>
        <w:rPr>
          <w:rFonts w:ascii="Times New Roman" w:hAnsi="Times New Roman"/>
          <w:sz w:val="24"/>
          <w:szCs w:val="24"/>
        </w:rPr>
        <w:t xml:space="preserve">” </w:t>
      </w:r>
      <w:hyperlink r:id="rId2416" w:history="1">
        <w:r w:rsidRPr="00821231">
          <w:rPr>
            <w:rStyle w:val="Hyperlink"/>
            <w:rFonts w:ascii="Times New Roman" w:hAnsi="Times New Roman"/>
            <w:sz w:val="24"/>
            <w:szCs w:val="24"/>
          </w:rPr>
          <w:t>http://www.opn.ca6.uscourts.gov/opinions.pdf/19a0272n-06.pdf</w:t>
        </w:r>
      </w:hyperlink>
      <w:r>
        <w:rPr>
          <w:rFonts w:ascii="Times New Roman" w:hAnsi="Times New Roman"/>
          <w:sz w:val="24"/>
          <w:szCs w:val="24"/>
        </w:rPr>
        <w:t xml:space="preserve"> </w:t>
      </w:r>
    </w:p>
    <w:p w14:paraId="6E310688" w14:textId="77777777" w:rsidR="00527EDF" w:rsidRDefault="00527EDF" w:rsidP="00527EDF">
      <w:pPr>
        <w:pStyle w:val="NoSpacing"/>
        <w:rPr>
          <w:rFonts w:ascii="Times New Roman" w:hAnsi="Times New Roman"/>
          <w:sz w:val="24"/>
          <w:szCs w:val="24"/>
        </w:rPr>
      </w:pPr>
    </w:p>
    <w:p w14:paraId="676E63B2" w14:textId="77777777" w:rsidR="00527EDF" w:rsidRDefault="00527EDF" w:rsidP="00527EDF">
      <w:pPr>
        <w:pStyle w:val="NoSpacing"/>
        <w:rPr>
          <w:rFonts w:ascii="Times New Roman" w:hAnsi="Times New Roman"/>
          <w:b/>
          <w:sz w:val="24"/>
          <w:szCs w:val="24"/>
        </w:rPr>
      </w:pPr>
      <w:r w:rsidRPr="00BD2A4C">
        <w:rPr>
          <w:rFonts w:ascii="Times New Roman" w:hAnsi="Times New Roman"/>
          <w:b/>
          <w:sz w:val="24"/>
          <w:szCs w:val="24"/>
        </w:rPr>
        <w:t xml:space="preserve">Legal Lessons Learned: </w:t>
      </w:r>
      <w:r>
        <w:rPr>
          <w:rFonts w:ascii="Times New Roman" w:hAnsi="Times New Roman"/>
          <w:b/>
          <w:sz w:val="24"/>
          <w:szCs w:val="24"/>
        </w:rPr>
        <w:t xml:space="preserve"> Fire &amp; EMS Departments should have a written policy about patient refusals that includes handling situations where the individual </w:t>
      </w:r>
      <w:proofErr w:type="spellStart"/>
      <w:proofErr w:type="gramStart"/>
      <w:r>
        <w:rPr>
          <w:rFonts w:ascii="Times New Roman" w:hAnsi="Times New Roman"/>
          <w:b/>
          <w:sz w:val="24"/>
          <w:szCs w:val="24"/>
        </w:rPr>
        <w:t>can not</w:t>
      </w:r>
      <w:proofErr w:type="spellEnd"/>
      <w:proofErr w:type="gramEnd"/>
      <w:r>
        <w:rPr>
          <w:rFonts w:ascii="Times New Roman" w:hAnsi="Times New Roman"/>
          <w:b/>
          <w:sz w:val="24"/>
          <w:szCs w:val="24"/>
        </w:rPr>
        <w:t xml:space="preserve"> be safely left at the scene (such as MVA, with no ride home).</w:t>
      </w:r>
    </w:p>
    <w:p w14:paraId="10F38A65" w14:textId="77777777" w:rsidR="00527EDF" w:rsidRDefault="00527EDF" w:rsidP="00527EDF">
      <w:pPr>
        <w:pStyle w:val="NoSpacing"/>
        <w:rPr>
          <w:rFonts w:ascii="Times New Roman" w:hAnsi="Times New Roman"/>
          <w:b/>
          <w:sz w:val="24"/>
          <w:szCs w:val="24"/>
        </w:rPr>
      </w:pPr>
    </w:p>
    <w:p w14:paraId="6A10F94A" w14:textId="77777777" w:rsidR="00527EDF" w:rsidRPr="000E62D4" w:rsidRDefault="00527EDF" w:rsidP="00527EDF">
      <w:pPr>
        <w:pStyle w:val="NoSpacing"/>
        <w:ind w:left="720"/>
        <w:rPr>
          <w:rFonts w:ascii="Times New Roman" w:hAnsi="Times New Roman"/>
          <w:sz w:val="24"/>
          <w:szCs w:val="24"/>
        </w:rPr>
      </w:pPr>
      <w:r w:rsidRPr="000E62D4">
        <w:rPr>
          <w:rFonts w:ascii="Times New Roman" w:hAnsi="Times New Roman"/>
          <w:sz w:val="24"/>
          <w:szCs w:val="24"/>
        </w:rPr>
        <w:t xml:space="preserve">See attached Policy on “High Risk” and “Low Risk” refusals. </w:t>
      </w:r>
      <w:hyperlink r:id="rId2417" w:history="1">
        <w:r w:rsidRPr="00D10EF5">
          <w:rPr>
            <w:rStyle w:val="Hyperlink"/>
            <w:rFonts w:ascii="Times New Roman" w:hAnsi="Times New Roman"/>
            <w:sz w:val="24"/>
            <w:szCs w:val="24"/>
          </w:rPr>
          <w:t>https://www.unitypoint.org/peoria/filesimages/Documents/EMS%20Documents/EMS%20Policies/PROCTOR%20Policy%20Dr.%20Huff%2032%20Patient%20Right%20of%20Refusal.pdf</w:t>
        </w:r>
      </w:hyperlink>
      <w:r>
        <w:rPr>
          <w:rFonts w:ascii="Times New Roman" w:hAnsi="Times New Roman"/>
          <w:sz w:val="24"/>
          <w:szCs w:val="24"/>
        </w:rPr>
        <w:t xml:space="preserve"> </w:t>
      </w:r>
    </w:p>
    <w:bookmarkEnd w:id="511"/>
    <w:p w14:paraId="2838795B" w14:textId="77777777" w:rsidR="00527EDF" w:rsidRDefault="00527EDF" w:rsidP="00527EDF">
      <w:pPr>
        <w:pStyle w:val="NoSpacing"/>
        <w:rPr>
          <w:rFonts w:ascii="Times New Roman" w:hAnsi="Times New Roman"/>
          <w:sz w:val="24"/>
          <w:szCs w:val="24"/>
        </w:rPr>
      </w:pPr>
    </w:p>
    <w:p w14:paraId="50C6F0D8" w14:textId="77777777" w:rsidR="00DE0F03" w:rsidRDefault="00DE0F03" w:rsidP="00DE0F03">
      <w:pPr>
        <w:pStyle w:val="NoSpacing"/>
        <w:rPr>
          <w:rFonts w:ascii="Arial Black" w:hAnsi="Arial Black"/>
          <w:sz w:val="24"/>
          <w:szCs w:val="24"/>
        </w:rPr>
      </w:pPr>
    </w:p>
    <w:p w14:paraId="036FF166" w14:textId="77777777" w:rsidR="0097592D" w:rsidRDefault="0097592D" w:rsidP="00DE0F03">
      <w:pPr>
        <w:pStyle w:val="NoSpacing"/>
        <w:rPr>
          <w:rFonts w:ascii="Arial Black" w:hAnsi="Arial Black"/>
          <w:sz w:val="24"/>
          <w:szCs w:val="24"/>
        </w:rPr>
      </w:pPr>
    </w:p>
    <w:p w14:paraId="41E11F73" w14:textId="77777777" w:rsidR="0097592D" w:rsidRDefault="0097592D" w:rsidP="00DE0F03">
      <w:pPr>
        <w:pStyle w:val="NoSpacing"/>
        <w:rPr>
          <w:rFonts w:ascii="Arial Black" w:hAnsi="Arial Black"/>
          <w:sz w:val="24"/>
          <w:szCs w:val="24"/>
        </w:rPr>
      </w:pPr>
    </w:p>
    <w:p w14:paraId="7B7B2F91" w14:textId="77777777" w:rsidR="0097592D" w:rsidRDefault="0097592D" w:rsidP="00DE0F03">
      <w:pPr>
        <w:pStyle w:val="NoSpacing"/>
        <w:rPr>
          <w:rFonts w:ascii="Arial Black" w:hAnsi="Arial Black"/>
          <w:sz w:val="24"/>
          <w:szCs w:val="24"/>
        </w:rPr>
      </w:pPr>
    </w:p>
    <w:p w14:paraId="74FCC083" w14:textId="74805CF6" w:rsidR="00DE0F03" w:rsidRDefault="00DE0F03" w:rsidP="00DE0F03">
      <w:pPr>
        <w:pStyle w:val="NoSpacing"/>
        <w:rPr>
          <w:rFonts w:ascii="Arial Black" w:hAnsi="Arial Black"/>
          <w:sz w:val="24"/>
          <w:szCs w:val="24"/>
        </w:rPr>
      </w:pPr>
      <w:r>
        <w:rPr>
          <w:rFonts w:ascii="Arial Black" w:hAnsi="Arial Black"/>
          <w:sz w:val="24"/>
          <w:szCs w:val="24"/>
        </w:rPr>
        <w:t>13-2</w:t>
      </w:r>
      <w:r w:rsidR="00C95AF6">
        <w:rPr>
          <w:rFonts w:ascii="Arial Black" w:hAnsi="Arial Black"/>
          <w:sz w:val="24"/>
          <w:szCs w:val="24"/>
        </w:rPr>
        <w:t>5</w:t>
      </w:r>
    </w:p>
    <w:p w14:paraId="75A39153" w14:textId="5E700095" w:rsidR="00527EDF" w:rsidRDefault="00527EDF" w:rsidP="00527EDF">
      <w:pPr>
        <w:pStyle w:val="NoSpacing"/>
        <w:ind w:left="720"/>
        <w:rPr>
          <w:rFonts w:ascii="Times New Roman" w:hAnsi="Times New Roman"/>
          <w:sz w:val="24"/>
          <w:szCs w:val="24"/>
        </w:rPr>
      </w:pPr>
    </w:p>
    <w:p w14:paraId="1444BE9E" w14:textId="3245901A" w:rsidR="00527EDF" w:rsidRDefault="00527EDF" w:rsidP="00F326E5">
      <w:pPr>
        <w:pStyle w:val="NoSpacing"/>
        <w:rPr>
          <w:sz w:val="24"/>
          <w:szCs w:val="24"/>
        </w:rPr>
      </w:pPr>
    </w:p>
    <w:p w14:paraId="5C916AF6" w14:textId="2F2A2FAC" w:rsidR="00527EDF" w:rsidRPr="00A67D90" w:rsidRDefault="00527EDF" w:rsidP="00527EDF">
      <w:pPr>
        <w:pStyle w:val="NoSpacing"/>
        <w:rPr>
          <w:rFonts w:ascii="Arial Black" w:hAnsi="Arial Black" w:cs="Arial"/>
          <w:sz w:val="28"/>
          <w:szCs w:val="28"/>
        </w:rPr>
      </w:pPr>
      <w:bookmarkStart w:id="512" w:name="_Hlk41153585"/>
      <w:r>
        <w:rPr>
          <w:rFonts w:ascii="Arial Black" w:hAnsi="Arial Black" w:cs="Arial"/>
          <w:sz w:val="28"/>
          <w:szCs w:val="28"/>
        </w:rPr>
        <w:lastRenderedPageBreak/>
        <w:t>CA:  CHILD CHOKING, MOTHER CALLED 911 - ONLY SPOKE SPANISH – IMMUNITY - NO REQ. THAT DISPATCHERS MUST SPEAK SPANISH</w:t>
      </w:r>
    </w:p>
    <w:p w14:paraId="51C14738" w14:textId="77777777" w:rsidR="00527EDF" w:rsidRDefault="00527EDF" w:rsidP="00527EDF">
      <w:pPr>
        <w:pStyle w:val="NoSpacing"/>
        <w:rPr>
          <w:rFonts w:ascii="Arial" w:hAnsi="Arial" w:cs="Arial"/>
          <w:sz w:val="32"/>
          <w:szCs w:val="32"/>
        </w:rPr>
      </w:pPr>
    </w:p>
    <w:p w14:paraId="7ED5FFBD" w14:textId="77777777" w:rsidR="00527EDF" w:rsidRDefault="00527EDF" w:rsidP="00527EDF">
      <w:pPr>
        <w:pStyle w:val="NoSpacing"/>
        <w:rPr>
          <w:rFonts w:ascii="Times New Roman" w:hAnsi="Times New Roman"/>
          <w:sz w:val="24"/>
          <w:szCs w:val="24"/>
        </w:rPr>
      </w:pPr>
      <w:r w:rsidRPr="00EC12DB">
        <w:rPr>
          <w:rFonts w:ascii="Times New Roman" w:hAnsi="Times New Roman"/>
          <w:sz w:val="24"/>
          <w:szCs w:val="24"/>
        </w:rPr>
        <w:t>On May 20, 2019</w:t>
      </w:r>
      <w:r>
        <w:rPr>
          <w:rFonts w:ascii="Times New Roman" w:hAnsi="Times New Roman"/>
          <w:sz w:val="24"/>
          <w:szCs w:val="24"/>
        </w:rPr>
        <w:t xml:space="preserve">, in </w:t>
      </w:r>
      <w:r w:rsidRPr="00EC12DB">
        <w:rPr>
          <w:rFonts w:ascii="Times New Roman" w:hAnsi="Times New Roman"/>
          <w:sz w:val="24"/>
          <w:szCs w:val="24"/>
          <w:u w:val="single"/>
        </w:rPr>
        <w:t>Dylan Tellez v. City of Pomona</w:t>
      </w:r>
      <w:r>
        <w:rPr>
          <w:rFonts w:ascii="Times New Roman" w:hAnsi="Times New Roman"/>
          <w:sz w:val="24"/>
          <w:szCs w:val="24"/>
        </w:rPr>
        <w:t xml:space="preserve">, the Court </w:t>
      </w:r>
      <w:proofErr w:type="gramStart"/>
      <w:r>
        <w:rPr>
          <w:rFonts w:ascii="Times New Roman" w:hAnsi="Times New Roman"/>
          <w:sz w:val="24"/>
          <w:szCs w:val="24"/>
        </w:rPr>
        <w:t>Of</w:t>
      </w:r>
      <w:proofErr w:type="gramEnd"/>
      <w:r>
        <w:rPr>
          <w:rFonts w:ascii="Times New Roman" w:hAnsi="Times New Roman"/>
          <w:sz w:val="24"/>
          <w:szCs w:val="24"/>
        </w:rPr>
        <w:t xml:space="preserve"> Appeal of California, Second Appellate District / Division One held (3 to 0) in an unpublished decision, that the lawsuit against the City of Pomona was properly dismissed by the trial court.</w:t>
      </w:r>
    </w:p>
    <w:p w14:paraId="72C0F20A" w14:textId="77777777" w:rsidR="00527EDF" w:rsidRPr="00EC12DB" w:rsidRDefault="00527EDF" w:rsidP="00527EDF">
      <w:pPr>
        <w:pStyle w:val="NoSpacing"/>
        <w:rPr>
          <w:rFonts w:ascii="Times New Roman" w:hAnsi="Times New Roman"/>
          <w:sz w:val="24"/>
          <w:szCs w:val="24"/>
        </w:rPr>
      </w:pPr>
    </w:p>
    <w:p w14:paraId="6F12578D" w14:textId="77777777" w:rsidR="00527EDF" w:rsidRDefault="00527EDF" w:rsidP="00527EDF">
      <w:pPr>
        <w:pStyle w:val="NoSpacing"/>
        <w:ind w:left="720"/>
        <w:rPr>
          <w:rFonts w:ascii="Times New Roman" w:hAnsi="Times New Roman"/>
          <w:sz w:val="24"/>
          <w:szCs w:val="24"/>
        </w:rPr>
      </w:pPr>
      <w:r>
        <w:rPr>
          <w:rFonts w:ascii="Times New Roman" w:hAnsi="Times New Roman"/>
          <w:sz w:val="24"/>
          <w:szCs w:val="24"/>
        </w:rPr>
        <w:t>“</w:t>
      </w:r>
      <w:r w:rsidRPr="00EC12DB">
        <w:rPr>
          <w:rFonts w:ascii="Times New Roman" w:hAnsi="Times New Roman"/>
          <w:sz w:val="24"/>
          <w:szCs w:val="24"/>
        </w:rPr>
        <w:t>That one person fails on an occasion to understand another is</w:t>
      </w:r>
      <w:r>
        <w:rPr>
          <w:rFonts w:ascii="Times New Roman" w:hAnsi="Times New Roman"/>
          <w:sz w:val="24"/>
          <w:szCs w:val="24"/>
        </w:rPr>
        <w:t xml:space="preserve"> </w:t>
      </w:r>
      <w:r w:rsidRPr="00EC12DB">
        <w:rPr>
          <w:rFonts w:ascii="Times New Roman" w:hAnsi="Times New Roman"/>
          <w:sz w:val="24"/>
          <w:szCs w:val="24"/>
        </w:rPr>
        <w:t>an everyday occurrence</w:t>
      </w:r>
      <w:r>
        <w:rPr>
          <w:rFonts w:ascii="Times New Roman" w:hAnsi="Times New Roman"/>
          <w:sz w:val="24"/>
          <w:szCs w:val="24"/>
        </w:rPr>
        <w:t xml:space="preserve"> </w:t>
      </w:r>
      <w:r w:rsidRPr="00EC12DB">
        <w:rPr>
          <w:rFonts w:ascii="Times New Roman" w:hAnsi="Times New Roman"/>
          <w:sz w:val="24"/>
          <w:szCs w:val="24"/>
        </w:rPr>
        <w:t>between</w:t>
      </w:r>
      <w:r>
        <w:rPr>
          <w:rFonts w:ascii="Times New Roman" w:hAnsi="Times New Roman"/>
          <w:sz w:val="24"/>
          <w:szCs w:val="24"/>
        </w:rPr>
        <w:t xml:space="preserve"> </w:t>
      </w:r>
      <w:r w:rsidRPr="00EC12DB">
        <w:rPr>
          <w:rFonts w:ascii="Times New Roman" w:hAnsi="Times New Roman"/>
          <w:sz w:val="24"/>
          <w:szCs w:val="24"/>
        </w:rPr>
        <w:t>even the best intentioned. And it appears from Dylan’s allegations that the police officers’ decision not to wait for an ambulance</w:t>
      </w:r>
      <w:r>
        <w:rPr>
          <w:rFonts w:ascii="Times New Roman" w:hAnsi="Times New Roman"/>
          <w:sz w:val="24"/>
          <w:szCs w:val="24"/>
        </w:rPr>
        <w:t xml:space="preserve"> </w:t>
      </w:r>
      <w:r w:rsidRPr="00EC12DB">
        <w:rPr>
          <w:rFonts w:ascii="Times New Roman" w:hAnsi="Times New Roman"/>
          <w:sz w:val="24"/>
          <w:szCs w:val="24"/>
        </w:rPr>
        <w:t>saved his life.</w:t>
      </w:r>
      <w:r>
        <w:rPr>
          <w:rFonts w:ascii="Times New Roman" w:hAnsi="Times New Roman"/>
          <w:sz w:val="24"/>
          <w:szCs w:val="24"/>
        </w:rPr>
        <w:t xml:space="preserve"> </w:t>
      </w:r>
      <w:r w:rsidRPr="00EC12DB">
        <w:rPr>
          <w:rFonts w:ascii="Times New Roman" w:hAnsi="Times New Roman"/>
          <w:sz w:val="24"/>
          <w:szCs w:val="24"/>
        </w:rPr>
        <w:t>A city</w:t>
      </w:r>
      <w:r>
        <w:rPr>
          <w:rFonts w:ascii="Times New Roman" w:hAnsi="Times New Roman"/>
          <w:sz w:val="24"/>
          <w:szCs w:val="24"/>
        </w:rPr>
        <w:t xml:space="preserve"> </w:t>
      </w:r>
      <w:r w:rsidRPr="00EC12DB">
        <w:rPr>
          <w:rFonts w:ascii="Times New Roman" w:hAnsi="Times New Roman"/>
          <w:sz w:val="24"/>
          <w:szCs w:val="24"/>
        </w:rPr>
        <w:t>cannot be held liable simply for failure to provide translators in its 911 call centers</w:t>
      </w:r>
      <w:r>
        <w:rPr>
          <w:rFonts w:ascii="Times New Roman" w:hAnsi="Times New Roman"/>
          <w:sz w:val="24"/>
          <w:szCs w:val="24"/>
        </w:rPr>
        <w:t>….”</w:t>
      </w:r>
    </w:p>
    <w:p w14:paraId="2DB5A80C" w14:textId="77777777" w:rsidR="00527EDF" w:rsidRDefault="00527EDF" w:rsidP="00527EDF">
      <w:pPr>
        <w:pStyle w:val="NoSpacing"/>
        <w:ind w:left="720"/>
        <w:rPr>
          <w:rFonts w:ascii="Times New Roman" w:hAnsi="Times New Roman"/>
          <w:sz w:val="24"/>
          <w:szCs w:val="24"/>
        </w:rPr>
      </w:pPr>
      <w:hyperlink r:id="rId2418" w:history="1">
        <w:r w:rsidRPr="000A6245">
          <w:rPr>
            <w:rStyle w:val="Hyperlink"/>
            <w:rFonts w:ascii="Times New Roman" w:hAnsi="Times New Roman"/>
            <w:sz w:val="24"/>
            <w:szCs w:val="24"/>
          </w:rPr>
          <w:t>https://www.courts.ca.gov/opinions/nonpub/B284099.PDF</w:t>
        </w:r>
      </w:hyperlink>
      <w:r>
        <w:rPr>
          <w:rFonts w:ascii="Times New Roman" w:hAnsi="Times New Roman"/>
          <w:sz w:val="24"/>
          <w:szCs w:val="24"/>
        </w:rPr>
        <w:t xml:space="preserve"> </w:t>
      </w:r>
    </w:p>
    <w:p w14:paraId="4CAE3F0D" w14:textId="77777777" w:rsidR="00527EDF" w:rsidRDefault="00527EDF" w:rsidP="00527EDF">
      <w:pPr>
        <w:pStyle w:val="NoSpacing"/>
        <w:rPr>
          <w:rFonts w:ascii="Times New Roman" w:hAnsi="Times New Roman"/>
          <w:b/>
          <w:sz w:val="24"/>
          <w:szCs w:val="24"/>
        </w:rPr>
      </w:pPr>
    </w:p>
    <w:p w14:paraId="7E0E1299" w14:textId="28367835" w:rsidR="00527EDF" w:rsidRDefault="00527EDF" w:rsidP="00527EDF">
      <w:pPr>
        <w:pStyle w:val="NoSpacing"/>
        <w:rPr>
          <w:rFonts w:ascii="Times New Roman" w:hAnsi="Times New Roman"/>
          <w:b/>
          <w:sz w:val="24"/>
          <w:szCs w:val="24"/>
        </w:rPr>
      </w:pPr>
      <w:r w:rsidRPr="00A301B0">
        <w:rPr>
          <w:rFonts w:ascii="Times New Roman" w:hAnsi="Times New Roman"/>
          <w:b/>
          <w:sz w:val="24"/>
          <w:szCs w:val="24"/>
        </w:rPr>
        <w:t xml:space="preserve">Legal Lessons Learned: </w:t>
      </w:r>
      <w:r>
        <w:rPr>
          <w:rFonts w:ascii="Times New Roman" w:hAnsi="Times New Roman"/>
          <w:b/>
          <w:sz w:val="24"/>
          <w:szCs w:val="24"/>
        </w:rPr>
        <w:t>911 Centers do not have to employee Spanish-speaking dispatchers.  There are translation services available for dispatch centers.</w:t>
      </w:r>
    </w:p>
    <w:p w14:paraId="7CEC81AC" w14:textId="46B7A107" w:rsidR="00527EDF" w:rsidRPr="00DE64B9" w:rsidRDefault="00527EDF" w:rsidP="00527EDF">
      <w:pPr>
        <w:pStyle w:val="Heading1"/>
        <w:ind w:left="720"/>
        <w:rPr>
          <w:b w:val="0"/>
          <w:sz w:val="24"/>
          <w:szCs w:val="24"/>
        </w:rPr>
      </w:pPr>
      <w:r w:rsidRPr="00DE64B9">
        <w:rPr>
          <w:b w:val="0"/>
          <w:sz w:val="24"/>
          <w:szCs w:val="24"/>
        </w:rPr>
        <w:t>Se</w:t>
      </w:r>
      <w:r>
        <w:rPr>
          <w:b w:val="0"/>
          <w:sz w:val="24"/>
          <w:szCs w:val="24"/>
        </w:rPr>
        <w:t xml:space="preserve">e </w:t>
      </w:r>
      <w:r w:rsidRPr="00DE64B9">
        <w:rPr>
          <w:b w:val="0"/>
          <w:sz w:val="24"/>
          <w:szCs w:val="24"/>
        </w:rPr>
        <w:t>for example:  “</w:t>
      </w:r>
      <w:r w:rsidRPr="00DE64B9">
        <w:rPr>
          <w:rStyle w:val="field"/>
          <w:b w:val="0"/>
          <w:sz w:val="24"/>
          <w:szCs w:val="24"/>
        </w:rPr>
        <w:t xml:space="preserve">How to Break the 9-1-1 Language Barrier,” </w:t>
      </w:r>
      <w:hyperlink r:id="rId2419" w:history="1">
        <w:r w:rsidRPr="00DE64B9">
          <w:rPr>
            <w:rStyle w:val="Hyperlink"/>
            <w:b w:val="0"/>
            <w:sz w:val="24"/>
            <w:szCs w:val="24"/>
          </w:rPr>
          <w:t>https://www.emsworld.com/article/12091816/language-translation-in-emergencies</w:t>
        </w:r>
      </w:hyperlink>
      <w:r w:rsidRPr="00DE64B9">
        <w:rPr>
          <w:rStyle w:val="field"/>
          <w:b w:val="0"/>
          <w:sz w:val="24"/>
          <w:szCs w:val="24"/>
        </w:rPr>
        <w:t xml:space="preserve"> “</w:t>
      </w:r>
      <w:r w:rsidRPr="00DE64B9">
        <w:rPr>
          <w:b w:val="0"/>
          <w:sz w:val="24"/>
          <w:szCs w:val="24"/>
        </w:rPr>
        <w:t xml:space="preserve">According to Gallegos, the </w:t>
      </w:r>
      <w:proofErr w:type="spellStart"/>
      <w:r w:rsidRPr="00DE64B9">
        <w:rPr>
          <w:b w:val="0"/>
          <w:sz w:val="24"/>
          <w:szCs w:val="24"/>
        </w:rPr>
        <w:t>LanguageLine</w:t>
      </w:r>
      <w:proofErr w:type="spellEnd"/>
      <w:r w:rsidRPr="00DE64B9">
        <w:rPr>
          <w:b w:val="0"/>
          <w:sz w:val="24"/>
          <w:szCs w:val="24"/>
        </w:rPr>
        <w:t xml:space="preserve"> system is built into the CAD system, so the ECO just </w:t>
      </w:r>
      <w:proofErr w:type="gramStart"/>
      <w:r w:rsidRPr="00DE64B9">
        <w:rPr>
          <w:b w:val="0"/>
          <w:sz w:val="24"/>
          <w:szCs w:val="24"/>
        </w:rPr>
        <w:t>has to</w:t>
      </w:r>
      <w:proofErr w:type="gramEnd"/>
      <w:r w:rsidRPr="00DE64B9">
        <w:rPr>
          <w:b w:val="0"/>
          <w:sz w:val="24"/>
          <w:szCs w:val="24"/>
        </w:rPr>
        <w:t xml:space="preserve"> push a button to be connected. The </w:t>
      </w:r>
      <w:proofErr w:type="spellStart"/>
      <w:r w:rsidRPr="00DE64B9">
        <w:rPr>
          <w:b w:val="0"/>
          <w:sz w:val="24"/>
          <w:szCs w:val="24"/>
        </w:rPr>
        <w:t>Language</w:t>
      </w:r>
      <w:r w:rsidR="00195FD1">
        <w:rPr>
          <w:b w:val="0"/>
          <w:sz w:val="24"/>
          <w:szCs w:val="24"/>
        </w:rPr>
        <w:t>L</w:t>
      </w:r>
      <w:r w:rsidRPr="00DE64B9">
        <w:rPr>
          <w:b w:val="0"/>
          <w:sz w:val="24"/>
          <w:szCs w:val="24"/>
        </w:rPr>
        <w:t>ine</w:t>
      </w:r>
      <w:proofErr w:type="spellEnd"/>
      <w:r w:rsidRPr="00DE64B9">
        <w:rPr>
          <w:b w:val="0"/>
          <w:sz w:val="24"/>
          <w:szCs w:val="24"/>
        </w:rPr>
        <w:t xml:space="preserve"> is used in call centers statewide and falls under the New Mexico Department of Finance and Administration.”</w:t>
      </w:r>
    </w:p>
    <w:bookmarkEnd w:id="512"/>
    <w:p w14:paraId="18379AB3" w14:textId="77777777" w:rsidR="00527EDF" w:rsidRDefault="00527EDF" w:rsidP="00527EDF">
      <w:pPr>
        <w:pStyle w:val="NoSpacing"/>
        <w:rPr>
          <w:rFonts w:ascii="Times New Roman" w:hAnsi="Times New Roman"/>
          <w:sz w:val="24"/>
          <w:szCs w:val="24"/>
        </w:rPr>
      </w:pPr>
    </w:p>
    <w:p w14:paraId="40D9D147" w14:textId="77777777" w:rsidR="00C95AF6" w:rsidRDefault="00C95AF6" w:rsidP="00DE0F03">
      <w:pPr>
        <w:pStyle w:val="NoSpacing"/>
        <w:rPr>
          <w:rFonts w:ascii="Arial Black" w:hAnsi="Arial Black"/>
          <w:sz w:val="24"/>
          <w:szCs w:val="24"/>
        </w:rPr>
      </w:pPr>
    </w:p>
    <w:p w14:paraId="17236AD2" w14:textId="156B5CF2" w:rsidR="00C95AF6" w:rsidRDefault="00C95AF6" w:rsidP="00DE0F03">
      <w:pPr>
        <w:pStyle w:val="NoSpacing"/>
        <w:rPr>
          <w:rFonts w:ascii="Arial Black" w:hAnsi="Arial Black"/>
          <w:sz w:val="24"/>
          <w:szCs w:val="24"/>
        </w:rPr>
      </w:pPr>
      <w:r>
        <w:rPr>
          <w:rFonts w:ascii="Arial Black" w:hAnsi="Arial Black"/>
          <w:sz w:val="24"/>
          <w:szCs w:val="24"/>
        </w:rPr>
        <w:t>13-24</w:t>
      </w:r>
    </w:p>
    <w:p w14:paraId="52D976CC" w14:textId="7BAF4380" w:rsidR="00C95AF6" w:rsidRDefault="00C95AF6" w:rsidP="00DE0F03">
      <w:pPr>
        <w:pStyle w:val="NoSpacing"/>
        <w:rPr>
          <w:rFonts w:ascii="Arial Black" w:hAnsi="Arial Black"/>
          <w:sz w:val="24"/>
          <w:szCs w:val="24"/>
        </w:rPr>
      </w:pPr>
    </w:p>
    <w:p w14:paraId="3528A4E2" w14:textId="77777777" w:rsidR="00C95AF6" w:rsidRPr="00C95AF6" w:rsidRDefault="00C95AF6" w:rsidP="00DE0F03">
      <w:pPr>
        <w:pStyle w:val="NoSpacing"/>
        <w:rPr>
          <w:rFonts w:ascii="Arial Black" w:hAnsi="Arial Black" w:cs="Arial"/>
          <w:sz w:val="28"/>
          <w:szCs w:val="28"/>
        </w:rPr>
      </w:pPr>
      <w:bookmarkStart w:id="513" w:name="_Hlk41153633"/>
      <w:r w:rsidRPr="00C95AF6">
        <w:rPr>
          <w:rFonts w:ascii="Arial Black" w:hAnsi="Arial Black" w:cs="Arial"/>
          <w:sz w:val="28"/>
          <w:szCs w:val="28"/>
        </w:rPr>
        <w:t xml:space="preserve">NY: EMT SUING RESTAURANT - SLIP &amp; FALL ICY SIDEWALK, HELPING PATIENT WHO FELL – MUST PROVE RESTAURANT KNEW ABOUT ICE </w:t>
      </w:r>
    </w:p>
    <w:p w14:paraId="04392F43" w14:textId="77777777" w:rsidR="00C95AF6" w:rsidRDefault="00C95AF6" w:rsidP="00DE0F03">
      <w:pPr>
        <w:pStyle w:val="NoSpacing"/>
        <w:rPr>
          <w:rFonts w:ascii="Arial" w:hAnsi="Arial" w:cs="Arial"/>
          <w:sz w:val="35"/>
          <w:szCs w:val="35"/>
        </w:rPr>
      </w:pPr>
    </w:p>
    <w:p w14:paraId="0DBD8C13" w14:textId="702ABB03" w:rsidR="00C95AF6" w:rsidRPr="0036327D" w:rsidRDefault="00C95AF6" w:rsidP="00DE0F03">
      <w:pPr>
        <w:pStyle w:val="NoSpacing"/>
        <w:rPr>
          <w:rFonts w:ascii="Times New Roman" w:hAnsi="Times New Roman"/>
          <w:sz w:val="24"/>
          <w:szCs w:val="24"/>
        </w:rPr>
      </w:pPr>
      <w:r w:rsidRPr="0036327D">
        <w:rPr>
          <w:rFonts w:ascii="Times New Roman" w:hAnsi="Times New Roman"/>
          <w:sz w:val="24"/>
          <w:szCs w:val="24"/>
        </w:rPr>
        <w:t xml:space="preserve">On April 5, 2019, in Michael Benny v. Concord Partners 46Stree LLC, Supreme Court of New York, Part 63, 2019 NY Slip Op 30983(U), Judge Tanya R. Kennedy denied the EMT’s motion for summary judgment. “Here, the testimony raises factual issues as to the length of time the alleged condition existed and whether the defendants knew about the condition in enough time to remedy the situation. Plaintiff testified that he did not observe any ice prior to his accident, and it is unknown whether the condition was visible and apparent to the defendants.” </w:t>
      </w:r>
      <w:hyperlink r:id="rId2420" w:history="1">
        <w:r w:rsidRPr="0036327D">
          <w:rPr>
            <w:rStyle w:val="Hyperlink"/>
            <w:rFonts w:ascii="Times New Roman" w:hAnsi="Times New Roman"/>
            <w:sz w:val="24"/>
            <w:szCs w:val="24"/>
          </w:rPr>
          <w:t>https://law.justia.com/cases/new-york/other-courts/2019/2019-ny-slip-op-30983-u.html</w:t>
        </w:r>
      </w:hyperlink>
      <w:r w:rsidRPr="0036327D">
        <w:rPr>
          <w:rFonts w:ascii="Times New Roman" w:hAnsi="Times New Roman"/>
          <w:sz w:val="24"/>
          <w:szCs w:val="24"/>
        </w:rPr>
        <w:t xml:space="preserve"> </w:t>
      </w:r>
    </w:p>
    <w:p w14:paraId="3255631E" w14:textId="10C847A6" w:rsidR="00C95AF6" w:rsidRPr="0036327D" w:rsidRDefault="00C95AF6" w:rsidP="00DE0F03">
      <w:pPr>
        <w:pStyle w:val="NoSpacing"/>
        <w:rPr>
          <w:rFonts w:ascii="Times New Roman" w:hAnsi="Times New Roman"/>
          <w:sz w:val="24"/>
          <w:szCs w:val="24"/>
        </w:rPr>
      </w:pPr>
    </w:p>
    <w:p w14:paraId="6E71654C" w14:textId="142270D1" w:rsidR="00C95AF6" w:rsidRPr="0036327D" w:rsidRDefault="00C95AF6" w:rsidP="00DE0F03">
      <w:pPr>
        <w:pStyle w:val="NoSpacing"/>
        <w:rPr>
          <w:rFonts w:ascii="Times New Roman" w:hAnsi="Times New Roman"/>
          <w:b/>
          <w:bCs/>
          <w:sz w:val="24"/>
          <w:szCs w:val="24"/>
        </w:rPr>
      </w:pPr>
      <w:r w:rsidRPr="0036327D">
        <w:rPr>
          <w:rFonts w:ascii="Times New Roman" w:hAnsi="Times New Roman"/>
          <w:b/>
          <w:bCs/>
          <w:sz w:val="24"/>
          <w:szCs w:val="24"/>
        </w:rPr>
        <w:t>Legal Lessons Learned: Lawsuit will now be tried. The “danger invites rescue” doctrine is applicable only in extreme emergency, helping another avoid serious injury or death.</w:t>
      </w:r>
    </w:p>
    <w:bookmarkEnd w:id="513"/>
    <w:p w14:paraId="71AA6737" w14:textId="77777777" w:rsidR="00C95AF6" w:rsidRPr="0036327D" w:rsidRDefault="00C95AF6" w:rsidP="00DE0F03">
      <w:pPr>
        <w:pStyle w:val="NoSpacing"/>
        <w:rPr>
          <w:rFonts w:ascii="Times New Roman" w:hAnsi="Times New Roman"/>
          <w:sz w:val="24"/>
          <w:szCs w:val="24"/>
        </w:rPr>
      </w:pPr>
    </w:p>
    <w:p w14:paraId="102279ED" w14:textId="2BBFC906" w:rsidR="00C95AF6" w:rsidRPr="0036327D" w:rsidRDefault="00C95AF6" w:rsidP="00DE0F03">
      <w:pPr>
        <w:pStyle w:val="NoSpacing"/>
        <w:rPr>
          <w:rFonts w:ascii="Times New Roman" w:hAnsi="Times New Roman"/>
          <w:sz w:val="24"/>
          <w:szCs w:val="24"/>
        </w:rPr>
      </w:pPr>
    </w:p>
    <w:p w14:paraId="08FA77CB" w14:textId="77777777" w:rsidR="00C95AF6" w:rsidRPr="0036327D" w:rsidRDefault="00C95AF6" w:rsidP="00DE0F03">
      <w:pPr>
        <w:pStyle w:val="NoSpacing"/>
        <w:rPr>
          <w:rFonts w:ascii="Times New Roman" w:hAnsi="Times New Roman"/>
          <w:sz w:val="24"/>
          <w:szCs w:val="24"/>
        </w:rPr>
      </w:pPr>
    </w:p>
    <w:p w14:paraId="3D9EAE1A" w14:textId="77777777" w:rsidR="0036327D" w:rsidRDefault="0036327D" w:rsidP="00DE0F03">
      <w:pPr>
        <w:pStyle w:val="NoSpacing"/>
        <w:rPr>
          <w:rFonts w:ascii="Arial Black" w:hAnsi="Arial Black"/>
          <w:sz w:val="24"/>
          <w:szCs w:val="24"/>
        </w:rPr>
      </w:pPr>
    </w:p>
    <w:p w14:paraId="4748DB0B" w14:textId="77777777" w:rsidR="0036327D" w:rsidRDefault="0036327D" w:rsidP="00DE0F03">
      <w:pPr>
        <w:pStyle w:val="NoSpacing"/>
        <w:rPr>
          <w:rFonts w:ascii="Arial Black" w:hAnsi="Arial Black"/>
          <w:sz w:val="24"/>
          <w:szCs w:val="24"/>
        </w:rPr>
      </w:pPr>
    </w:p>
    <w:p w14:paraId="690884DB" w14:textId="0B89FA02" w:rsidR="009C7552" w:rsidRDefault="009C7552" w:rsidP="00DE0F03">
      <w:pPr>
        <w:pStyle w:val="NoSpacing"/>
        <w:rPr>
          <w:rFonts w:ascii="Arial Black" w:hAnsi="Arial Black"/>
          <w:sz w:val="24"/>
          <w:szCs w:val="24"/>
        </w:rPr>
      </w:pPr>
      <w:r>
        <w:rPr>
          <w:rFonts w:ascii="Arial Black" w:hAnsi="Arial Black"/>
          <w:sz w:val="24"/>
          <w:szCs w:val="24"/>
        </w:rPr>
        <w:t>13-23</w:t>
      </w:r>
    </w:p>
    <w:p w14:paraId="451E750B" w14:textId="3C7CEE7A" w:rsidR="0036327D" w:rsidRDefault="0036327D" w:rsidP="00DE0F03">
      <w:pPr>
        <w:pStyle w:val="NoSpacing"/>
        <w:rPr>
          <w:rFonts w:ascii="Arial Black" w:hAnsi="Arial Black"/>
          <w:sz w:val="24"/>
          <w:szCs w:val="24"/>
        </w:rPr>
      </w:pPr>
    </w:p>
    <w:p w14:paraId="1FD5A31A" w14:textId="77777777" w:rsidR="0036327D" w:rsidRDefault="0036327D" w:rsidP="00DE0F03">
      <w:pPr>
        <w:pStyle w:val="NoSpacing"/>
        <w:rPr>
          <w:rFonts w:ascii="Arial Black" w:hAnsi="Arial Black"/>
          <w:sz w:val="24"/>
          <w:szCs w:val="24"/>
        </w:rPr>
      </w:pPr>
    </w:p>
    <w:p w14:paraId="0D199C5B" w14:textId="77777777" w:rsidR="009C7552" w:rsidRPr="009C7552" w:rsidRDefault="009C7552" w:rsidP="00DE0F03">
      <w:pPr>
        <w:pStyle w:val="NoSpacing"/>
        <w:rPr>
          <w:rFonts w:ascii="Arial Black" w:hAnsi="Arial Black" w:cs="Arial"/>
          <w:sz w:val="28"/>
          <w:szCs w:val="28"/>
        </w:rPr>
      </w:pPr>
      <w:bookmarkStart w:id="514" w:name="_Hlk41295871"/>
      <w:bookmarkStart w:id="515" w:name="_Hlk41153674"/>
      <w:r w:rsidRPr="009C7552">
        <w:rPr>
          <w:rFonts w:ascii="Arial Black" w:hAnsi="Arial Black" w:cs="Arial"/>
          <w:sz w:val="28"/>
          <w:szCs w:val="28"/>
        </w:rPr>
        <w:lastRenderedPageBreak/>
        <w:t>MI: PRIVATE AMBULANCES – COUNTY ORDINANCE THAT CO. MUST GET THEIR APPROVAL – FED. JUDGE WILL NOT DECLARE THIS LAWFUL</w:t>
      </w:r>
    </w:p>
    <w:p w14:paraId="19EACD07" w14:textId="3E75932B" w:rsidR="009C7552" w:rsidRPr="0036327D" w:rsidRDefault="009C7552" w:rsidP="00DE0F03">
      <w:pPr>
        <w:pStyle w:val="NoSpacing"/>
        <w:rPr>
          <w:rFonts w:ascii="Times New Roman" w:hAnsi="Times New Roman"/>
          <w:sz w:val="24"/>
          <w:szCs w:val="24"/>
        </w:rPr>
      </w:pPr>
      <w:r w:rsidRPr="0036327D">
        <w:rPr>
          <w:rFonts w:ascii="Times New Roman" w:hAnsi="Times New Roman"/>
          <w:sz w:val="24"/>
          <w:szCs w:val="24"/>
        </w:rPr>
        <w:t xml:space="preserve">On March 25, 2019, in Saginaw County v. State Emergency Medical Service, Inc., U.S. District Court Judge Terrence B. Berg, again denied the County’s request for a declaratory judgment that its ordinance is lawful and not a restraint of trade under Sherman Antitrust Act. “Plaintiff sought a declaration that their ambulance plan was legal and not in violation of the Sherman Act, among other statutes. But they did not plead adequate facts to show that this is true. The Court made no finding whatever on the question of whether Saginaw County’s plan ran afoul of the Sherman Act, it simply concluded that, on the facts as alleged, the Court could not declare as a matter of law that the plan does not violate the Act.” </w:t>
      </w:r>
      <w:hyperlink r:id="rId2421" w:history="1">
        <w:r w:rsidRPr="0036327D">
          <w:rPr>
            <w:rStyle w:val="Hyperlink"/>
            <w:rFonts w:ascii="Times New Roman" w:hAnsi="Times New Roman"/>
            <w:sz w:val="24"/>
            <w:szCs w:val="24"/>
          </w:rPr>
          <w:t>http://business.cch.com/ald/saginawVstat03262019.pdf</w:t>
        </w:r>
      </w:hyperlink>
      <w:r w:rsidRPr="0036327D">
        <w:rPr>
          <w:rFonts w:ascii="Times New Roman" w:hAnsi="Times New Roman"/>
          <w:sz w:val="24"/>
          <w:szCs w:val="24"/>
        </w:rPr>
        <w:t xml:space="preserve"> </w:t>
      </w:r>
    </w:p>
    <w:p w14:paraId="0A4032CA" w14:textId="77777777" w:rsidR="009C7552" w:rsidRPr="0036327D" w:rsidRDefault="009C7552" w:rsidP="00DE0F03">
      <w:pPr>
        <w:pStyle w:val="NoSpacing"/>
        <w:rPr>
          <w:rFonts w:ascii="Times New Roman" w:hAnsi="Times New Roman"/>
          <w:sz w:val="24"/>
          <w:szCs w:val="24"/>
        </w:rPr>
      </w:pPr>
    </w:p>
    <w:p w14:paraId="37BA3F7F" w14:textId="52118775" w:rsidR="009C7552" w:rsidRPr="0036327D" w:rsidRDefault="009C7552" w:rsidP="009C7552">
      <w:pPr>
        <w:pStyle w:val="NoSpacing"/>
        <w:ind w:left="720"/>
        <w:rPr>
          <w:rFonts w:ascii="Times New Roman" w:hAnsi="Times New Roman"/>
          <w:b/>
          <w:bCs/>
          <w:sz w:val="24"/>
          <w:szCs w:val="24"/>
        </w:rPr>
      </w:pPr>
      <w:r w:rsidRPr="0036327D">
        <w:rPr>
          <w:rFonts w:ascii="Times New Roman" w:hAnsi="Times New Roman"/>
          <w:sz w:val="24"/>
          <w:szCs w:val="24"/>
        </w:rPr>
        <w:t xml:space="preserve">See also article on this decision in Antitrust News: </w:t>
      </w:r>
      <w:hyperlink r:id="rId2422" w:history="1">
        <w:r w:rsidRPr="0036327D">
          <w:rPr>
            <w:rStyle w:val="Hyperlink"/>
            <w:rFonts w:ascii="Times New Roman" w:hAnsi="Times New Roman"/>
            <w:sz w:val="24"/>
            <w:szCs w:val="24"/>
          </w:rPr>
          <w:t>https://lrus.wolterskluwer.com/store/daily-reporting-suite/antitrust-law-daily/</w:t>
        </w:r>
      </w:hyperlink>
      <w:r w:rsidRPr="0036327D">
        <w:rPr>
          <w:rFonts w:ascii="Times New Roman" w:hAnsi="Times New Roman"/>
          <w:sz w:val="24"/>
          <w:szCs w:val="24"/>
        </w:rPr>
        <w:t xml:space="preserve"> </w:t>
      </w:r>
    </w:p>
    <w:p w14:paraId="708A436B" w14:textId="77777777" w:rsidR="009C7552" w:rsidRPr="0036327D" w:rsidRDefault="009C7552" w:rsidP="00DE0F03">
      <w:pPr>
        <w:pStyle w:val="NoSpacing"/>
        <w:rPr>
          <w:rFonts w:ascii="Times New Roman" w:hAnsi="Times New Roman"/>
          <w:b/>
          <w:bCs/>
          <w:sz w:val="24"/>
          <w:szCs w:val="24"/>
        </w:rPr>
      </w:pPr>
    </w:p>
    <w:p w14:paraId="3F9BBA7A" w14:textId="7F22AE6B" w:rsidR="009C7552" w:rsidRPr="0036327D" w:rsidRDefault="009C7552" w:rsidP="00DE0F03">
      <w:pPr>
        <w:pStyle w:val="NoSpacing"/>
        <w:rPr>
          <w:rFonts w:ascii="Times New Roman" w:hAnsi="Times New Roman"/>
          <w:b/>
          <w:bCs/>
          <w:sz w:val="24"/>
          <w:szCs w:val="24"/>
        </w:rPr>
      </w:pPr>
      <w:r w:rsidRPr="0036327D">
        <w:rPr>
          <w:rFonts w:ascii="Times New Roman" w:hAnsi="Times New Roman"/>
          <w:b/>
          <w:bCs/>
          <w:sz w:val="24"/>
          <w:szCs w:val="24"/>
        </w:rPr>
        <w:t xml:space="preserve">Legal Lessons Learned: Competition among private ambulance companies is generally good for patients. </w:t>
      </w:r>
    </w:p>
    <w:bookmarkEnd w:id="514"/>
    <w:p w14:paraId="04F5BBA5" w14:textId="77777777" w:rsidR="009C7552" w:rsidRPr="0036327D" w:rsidRDefault="009C7552" w:rsidP="00DE0F03">
      <w:pPr>
        <w:pStyle w:val="NoSpacing"/>
        <w:rPr>
          <w:rFonts w:ascii="Times New Roman" w:hAnsi="Times New Roman"/>
          <w:sz w:val="24"/>
          <w:szCs w:val="24"/>
        </w:rPr>
      </w:pPr>
    </w:p>
    <w:bookmarkEnd w:id="515"/>
    <w:p w14:paraId="5B6F2034" w14:textId="778FC311" w:rsidR="009C7552" w:rsidRPr="0036327D" w:rsidRDefault="009C7552" w:rsidP="00DE0F03">
      <w:pPr>
        <w:pStyle w:val="NoSpacing"/>
        <w:rPr>
          <w:rFonts w:ascii="Times New Roman" w:hAnsi="Times New Roman"/>
          <w:sz w:val="24"/>
          <w:szCs w:val="24"/>
        </w:rPr>
      </w:pPr>
    </w:p>
    <w:p w14:paraId="3B0AFBA0" w14:textId="77777777" w:rsidR="009C7552" w:rsidRPr="0036327D" w:rsidRDefault="009C7552" w:rsidP="00DE0F03">
      <w:pPr>
        <w:pStyle w:val="NoSpacing"/>
        <w:rPr>
          <w:rFonts w:ascii="Times New Roman" w:hAnsi="Times New Roman"/>
          <w:sz w:val="24"/>
          <w:szCs w:val="24"/>
        </w:rPr>
      </w:pPr>
    </w:p>
    <w:p w14:paraId="34BF321D" w14:textId="51336087" w:rsidR="00DE0F03" w:rsidRDefault="00DE0F03" w:rsidP="00DE0F03">
      <w:pPr>
        <w:pStyle w:val="NoSpacing"/>
        <w:rPr>
          <w:rFonts w:ascii="Arial Black" w:hAnsi="Arial Black"/>
          <w:sz w:val="24"/>
          <w:szCs w:val="24"/>
        </w:rPr>
      </w:pPr>
      <w:r>
        <w:rPr>
          <w:rFonts w:ascii="Arial Black" w:hAnsi="Arial Black"/>
          <w:sz w:val="24"/>
          <w:szCs w:val="24"/>
        </w:rPr>
        <w:t>13-22</w:t>
      </w:r>
    </w:p>
    <w:p w14:paraId="48C7DDDA" w14:textId="66E439FC" w:rsidR="00527EDF" w:rsidRDefault="00527EDF" w:rsidP="00F326E5">
      <w:pPr>
        <w:pStyle w:val="NoSpacing"/>
        <w:rPr>
          <w:sz w:val="24"/>
          <w:szCs w:val="24"/>
        </w:rPr>
      </w:pPr>
    </w:p>
    <w:p w14:paraId="504039E7" w14:textId="77777777" w:rsidR="00527EDF" w:rsidRDefault="00527EDF" w:rsidP="00F326E5">
      <w:pPr>
        <w:pStyle w:val="NoSpacing"/>
        <w:rPr>
          <w:sz w:val="24"/>
          <w:szCs w:val="24"/>
        </w:rPr>
      </w:pPr>
    </w:p>
    <w:p w14:paraId="040AAAA1" w14:textId="0073AC6F" w:rsidR="00F326E5" w:rsidRDefault="00F326E5" w:rsidP="00F326E5">
      <w:pPr>
        <w:pStyle w:val="NoSpacing"/>
        <w:rPr>
          <w:sz w:val="32"/>
        </w:rPr>
      </w:pPr>
      <w:bookmarkStart w:id="516" w:name="_Hlk41153721"/>
      <w:r>
        <w:rPr>
          <w:rFonts w:ascii="Arial Black" w:hAnsi="Arial Black"/>
          <w:sz w:val="28"/>
          <w:szCs w:val="28"/>
        </w:rPr>
        <w:t>HHS OPINION: CLINIC PROVIDE FREE HOME VISITS – CHF / COPD PATIENTS – NOT FED. ANTI-KICKBACK</w:t>
      </w:r>
    </w:p>
    <w:p w14:paraId="284093B8" w14:textId="77777777" w:rsidR="00F326E5" w:rsidRPr="006114FF" w:rsidRDefault="00F326E5" w:rsidP="00F326E5">
      <w:pPr>
        <w:pStyle w:val="NoSpacing"/>
        <w:rPr>
          <w:rFonts w:ascii="Times New Roman" w:hAnsi="Times New Roman"/>
          <w:sz w:val="24"/>
          <w:szCs w:val="24"/>
        </w:rPr>
      </w:pPr>
      <w:r w:rsidRPr="006114FF">
        <w:rPr>
          <w:rFonts w:ascii="Times New Roman" w:hAnsi="Times New Roman"/>
          <w:sz w:val="24"/>
          <w:szCs w:val="24"/>
        </w:rPr>
        <w:t xml:space="preserve">On March 6, 2019, the HHS Office of Inspector General issued Advisory Opinion No. 19-03. </w:t>
      </w:r>
      <w:hyperlink r:id="rId2423" w:history="1">
        <w:r w:rsidRPr="006114FF">
          <w:rPr>
            <w:rStyle w:val="Hyperlink"/>
            <w:rFonts w:ascii="Times New Roman" w:hAnsi="Times New Roman"/>
            <w:sz w:val="24"/>
            <w:szCs w:val="24"/>
          </w:rPr>
          <w:t>https://oig.hhs.gov/fraud/docs/advisoryopinions/2019/AdvOpn19-03.pdf</w:t>
        </w:r>
      </w:hyperlink>
      <w:r w:rsidRPr="006114FF">
        <w:rPr>
          <w:rFonts w:ascii="Times New Roman" w:hAnsi="Times New Roman"/>
          <w:sz w:val="24"/>
          <w:szCs w:val="24"/>
        </w:rPr>
        <w:t xml:space="preserve"> </w:t>
      </w:r>
    </w:p>
    <w:p w14:paraId="506FBA48" w14:textId="77777777" w:rsidR="00F326E5" w:rsidRPr="006114FF" w:rsidRDefault="00F326E5" w:rsidP="00F326E5">
      <w:pPr>
        <w:pStyle w:val="NoSpacing"/>
        <w:rPr>
          <w:rFonts w:ascii="Times New Roman" w:hAnsi="Times New Roman"/>
          <w:sz w:val="24"/>
          <w:szCs w:val="24"/>
        </w:rPr>
      </w:pPr>
    </w:p>
    <w:p w14:paraId="694A3E16" w14:textId="77777777" w:rsidR="00F326E5" w:rsidRPr="006114FF" w:rsidRDefault="00F326E5" w:rsidP="00F326E5">
      <w:pPr>
        <w:pStyle w:val="NoSpacing"/>
        <w:ind w:left="720"/>
        <w:rPr>
          <w:rFonts w:ascii="Times New Roman" w:hAnsi="Times New Roman"/>
          <w:sz w:val="24"/>
          <w:szCs w:val="24"/>
        </w:rPr>
      </w:pPr>
      <w:r w:rsidRPr="006114FF">
        <w:rPr>
          <w:rFonts w:ascii="Times New Roman" w:hAnsi="Times New Roman"/>
          <w:sz w:val="24"/>
          <w:szCs w:val="24"/>
        </w:rPr>
        <w:t xml:space="preserve">“Requestor [clinic] has developed a program to provide free, in-home follow-up care to certain patients who it certifies are at higher risk of admission or readmission to a hospital. Under the Current Arrangement, Requestor offers in-home care to patients with congestive heart </w:t>
      </w:r>
      <w:proofErr w:type="gramStart"/>
      <w:r w:rsidRPr="006114FF">
        <w:rPr>
          <w:rFonts w:ascii="Times New Roman" w:hAnsi="Times New Roman"/>
          <w:sz w:val="24"/>
          <w:szCs w:val="24"/>
        </w:rPr>
        <w:t>failure (‘</w:t>
      </w:r>
      <w:proofErr w:type="gramEnd"/>
      <w:r w:rsidRPr="006114FF">
        <w:rPr>
          <w:rFonts w:ascii="Times New Roman" w:hAnsi="Times New Roman"/>
          <w:sz w:val="24"/>
          <w:szCs w:val="24"/>
        </w:rPr>
        <w:t xml:space="preserve">CHF’) who qualify for participation, and under the Proposed Arrangement, Requestor would expand the program to qualifying patients with chronic obstructive pulmonary </w:t>
      </w:r>
      <w:proofErr w:type="gramStart"/>
      <w:r w:rsidRPr="006114FF">
        <w:rPr>
          <w:rFonts w:ascii="Times New Roman" w:hAnsi="Times New Roman"/>
          <w:sz w:val="24"/>
          <w:szCs w:val="24"/>
        </w:rPr>
        <w:t>disease (‘</w:t>
      </w:r>
      <w:proofErr w:type="gramEnd"/>
      <w:r w:rsidRPr="006114FF">
        <w:rPr>
          <w:rFonts w:ascii="Times New Roman" w:hAnsi="Times New Roman"/>
          <w:sz w:val="24"/>
          <w:szCs w:val="24"/>
        </w:rPr>
        <w:t>COPD’). According to Requestor, the goals of both Arrangements are to increase patient compliance with discharge plans, improve patient health, and reduce hospital inpatient admissions and readmissions.</w:t>
      </w:r>
    </w:p>
    <w:p w14:paraId="580B3669" w14:textId="77777777" w:rsidR="006114FF" w:rsidRDefault="006114FF" w:rsidP="00F326E5">
      <w:pPr>
        <w:pStyle w:val="NoSpacing"/>
        <w:rPr>
          <w:rFonts w:ascii="Times New Roman" w:hAnsi="Times New Roman"/>
          <w:b/>
          <w:sz w:val="24"/>
          <w:szCs w:val="24"/>
        </w:rPr>
      </w:pPr>
      <w:bookmarkStart w:id="517" w:name="_Hlk6756145"/>
    </w:p>
    <w:p w14:paraId="603CBB57" w14:textId="5B5E9F1E" w:rsidR="00F326E5" w:rsidRPr="006114FF" w:rsidRDefault="00F326E5" w:rsidP="00F326E5">
      <w:pPr>
        <w:pStyle w:val="NoSpacing"/>
        <w:rPr>
          <w:rFonts w:ascii="Times New Roman" w:hAnsi="Times New Roman"/>
          <w:b/>
          <w:sz w:val="24"/>
          <w:szCs w:val="24"/>
        </w:rPr>
      </w:pPr>
      <w:r w:rsidRPr="006114FF">
        <w:rPr>
          <w:rFonts w:ascii="Times New Roman" w:hAnsi="Times New Roman"/>
          <w:b/>
          <w:sz w:val="24"/>
          <w:szCs w:val="24"/>
        </w:rPr>
        <w:t xml:space="preserve">Legal Lessons Learned: Community Paramedicine programs are rapidly expanding throughout the Nation. </w:t>
      </w:r>
    </w:p>
    <w:bookmarkEnd w:id="433"/>
    <w:bookmarkEnd w:id="517"/>
    <w:p w14:paraId="2DC65B07" w14:textId="77777777" w:rsidR="00DE0F03" w:rsidRPr="006114FF" w:rsidRDefault="00DE0F03" w:rsidP="00DE0F03">
      <w:pPr>
        <w:pStyle w:val="NoSpacing"/>
        <w:rPr>
          <w:rFonts w:ascii="Times New Roman" w:hAnsi="Times New Roman"/>
          <w:sz w:val="24"/>
          <w:szCs w:val="24"/>
        </w:rPr>
      </w:pPr>
    </w:p>
    <w:bookmarkEnd w:id="516"/>
    <w:p w14:paraId="06C9AFBC" w14:textId="026779F8" w:rsidR="005F7D6B" w:rsidRPr="005F7D6B" w:rsidRDefault="005F7D6B" w:rsidP="00DE0F03">
      <w:pPr>
        <w:pStyle w:val="NoSpacing"/>
        <w:rPr>
          <w:rFonts w:ascii="Times New Roman" w:hAnsi="Times New Roman"/>
          <w:sz w:val="24"/>
          <w:szCs w:val="24"/>
        </w:rPr>
      </w:pPr>
    </w:p>
    <w:p w14:paraId="56BEDB2F" w14:textId="77777777" w:rsidR="005F7D6B" w:rsidRDefault="005F7D6B" w:rsidP="00DE0F03">
      <w:pPr>
        <w:pStyle w:val="NoSpacing"/>
        <w:rPr>
          <w:rFonts w:ascii="Arial Black" w:hAnsi="Arial Black"/>
          <w:sz w:val="24"/>
          <w:szCs w:val="24"/>
        </w:rPr>
      </w:pPr>
    </w:p>
    <w:p w14:paraId="482C3816" w14:textId="2D9EF36F" w:rsidR="00DE0F03" w:rsidRDefault="00DE0F03" w:rsidP="00DE0F03">
      <w:pPr>
        <w:pStyle w:val="NoSpacing"/>
        <w:rPr>
          <w:rFonts w:ascii="Arial Black" w:hAnsi="Arial Black"/>
          <w:sz w:val="24"/>
          <w:szCs w:val="24"/>
        </w:rPr>
      </w:pPr>
      <w:r>
        <w:rPr>
          <w:rFonts w:ascii="Arial Black" w:hAnsi="Arial Black"/>
          <w:sz w:val="24"/>
          <w:szCs w:val="24"/>
        </w:rPr>
        <w:t>13-21</w:t>
      </w:r>
    </w:p>
    <w:p w14:paraId="6C02713D" w14:textId="77777777" w:rsidR="00DE0F03" w:rsidRDefault="00DE0F03" w:rsidP="00F326E5">
      <w:pPr>
        <w:pStyle w:val="NoSpacing"/>
        <w:rPr>
          <w:rFonts w:ascii="Arial Black" w:hAnsi="Arial Black"/>
          <w:sz w:val="28"/>
          <w:szCs w:val="28"/>
        </w:rPr>
      </w:pPr>
      <w:bookmarkStart w:id="518" w:name="_Hlk7346249"/>
    </w:p>
    <w:p w14:paraId="542D6FF9" w14:textId="4DC3CFA9" w:rsidR="00F326E5" w:rsidRDefault="00F326E5" w:rsidP="00F326E5">
      <w:pPr>
        <w:pStyle w:val="NoSpacing"/>
        <w:rPr>
          <w:rFonts w:ascii="Arial Black" w:hAnsi="Arial Black"/>
          <w:sz w:val="28"/>
          <w:szCs w:val="28"/>
        </w:rPr>
      </w:pPr>
      <w:bookmarkStart w:id="519" w:name="_Hlk41295020"/>
      <w:bookmarkStart w:id="520" w:name="_Hlk41153758"/>
      <w:r>
        <w:rPr>
          <w:rFonts w:ascii="Arial Black" w:hAnsi="Arial Black"/>
          <w:sz w:val="28"/>
          <w:szCs w:val="28"/>
        </w:rPr>
        <w:t xml:space="preserve">PA: ATTEMPTED MURDER CONV. UPHELD - EMT TESTIFIED ABOUT VICTIM’S </w:t>
      </w:r>
      <w:r w:rsidR="000F0910">
        <w:rPr>
          <w:rFonts w:ascii="Arial Black" w:hAnsi="Arial Black"/>
          <w:sz w:val="28"/>
          <w:szCs w:val="28"/>
        </w:rPr>
        <w:t xml:space="preserve">COMMENTS ABOUT </w:t>
      </w:r>
      <w:r>
        <w:rPr>
          <w:rFonts w:ascii="Arial Black" w:hAnsi="Arial Black"/>
          <w:sz w:val="28"/>
          <w:szCs w:val="28"/>
        </w:rPr>
        <w:t xml:space="preserve">WHO SHOT HIM </w:t>
      </w:r>
    </w:p>
    <w:p w14:paraId="6E2D8ED4" w14:textId="77777777" w:rsidR="00F326E5" w:rsidRPr="006114FF" w:rsidRDefault="00F326E5" w:rsidP="006114FF">
      <w:pPr>
        <w:pStyle w:val="NoSpacing"/>
        <w:rPr>
          <w:rFonts w:ascii="Times New Roman" w:hAnsi="Times New Roman"/>
          <w:sz w:val="24"/>
          <w:szCs w:val="24"/>
        </w:rPr>
      </w:pPr>
      <w:r w:rsidRPr="006114FF">
        <w:rPr>
          <w:rFonts w:ascii="Times New Roman" w:hAnsi="Times New Roman"/>
          <w:sz w:val="24"/>
          <w:szCs w:val="24"/>
        </w:rPr>
        <w:t xml:space="preserve">On Feb. 22, 2019, in </w:t>
      </w:r>
      <w:r w:rsidRPr="006114FF">
        <w:rPr>
          <w:rFonts w:ascii="Times New Roman" w:hAnsi="Times New Roman"/>
          <w:sz w:val="24"/>
          <w:szCs w:val="24"/>
          <w:u w:val="single"/>
        </w:rPr>
        <w:t>Commonwealth of Pennsylvania v. Gregory Mack</w:t>
      </w:r>
      <w:r w:rsidRPr="006114FF">
        <w:rPr>
          <w:rFonts w:ascii="Times New Roman" w:hAnsi="Times New Roman"/>
          <w:sz w:val="24"/>
          <w:szCs w:val="24"/>
        </w:rPr>
        <w:t xml:space="preserve">, the Superior Court of PA held (3 to 0) that the jury conviction is affirmed.  One of the issues on appeal was veracity of the EMT who testified at the criminal trial: </w:t>
      </w:r>
    </w:p>
    <w:p w14:paraId="64CD4004" w14:textId="77777777" w:rsidR="00F326E5" w:rsidRPr="006114FF" w:rsidRDefault="00F326E5" w:rsidP="006114FF">
      <w:pPr>
        <w:pStyle w:val="NoSpacing"/>
        <w:ind w:left="720"/>
        <w:rPr>
          <w:rFonts w:ascii="Times New Roman" w:hAnsi="Times New Roman"/>
          <w:sz w:val="24"/>
          <w:szCs w:val="24"/>
        </w:rPr>
      </w:pPr>
      <w:r w:rsidRPr="006114FF">
        <w:rPr>
          <w:rFonts w:ascii="Times New Roman" w:hAnsi="Times New Roman"/>
          <w:sz w:val="24"/>
          <w:szCs w:val="24"/>
        </w:rPr>
        <w:lastRenderedPageBreak/>
        <w:t>“Moreover, at trial, the emergency medical technician (EMT) who transported the victim to the hospital testified that the victim told him that his friend shot him; on appeal, Appellant claims the testimony was invalid and lacked veracity because the EMT did not make a record of the conversation or subsequently inform the police of it.”</w:t>
      </w:r>
    </w:p>
    <w:p w14:paraId="311DD3F6" w14:textId="4497C144" w:rsidR="00F326E5" w:rsidRPr="006114FF" w:rsidRDefault="006114FF" w:rsidP="006114FF">
      <w:pPr>
        <w:pStyle w:val="NoSpacing"/>
        <w:ind w:left="720"/>
        <w:rPr>
          <w:rFonts w:ascii="Times New Roman" w:hAnsi="Times New Roman"/>
          <w:sz w:val="24"/>
          <w:szCs w:val="24"/>
        </w:rPr>
      </w:pPr>
      <w:hyperlink r:id="rId2424" w:anchor="search=%22GREGORY%20MACK%20%27Superior%2bCourt%27%22" w:history="1">
        <w:r w:rsidRPr="002F304C">
          <w:rPr>
            <w:rStyle w:val="Hyperlink"/>
            <w:rFonts w:ascii="Times New Roman" w:hAnsi="Times New Roman"/>
            <w:sz w:val="24"/>
            <w:szCs w:val="24"/>
          </w:rPr>
          <w:t>http://www.pacourts.us/assets/opinions/Superior/out/memorandum%20%20affirmed%20%2010388943251531544.pdf#search=%22GREGORY%20MACK%20%27Superior%2bCourt%27%22</w:t>
        </w:r>
      </w:hyperlink>
      <w:r w:rsidR="00F326E5" w:rsidRPr="006114FF">
        <w:rPr>
          <w:rFonts w:ascii="Times New Roman" w:hAnsi="Times New Roman"/>
          <w:sz w:val="24"/>
          <w:szCs w:val="24"/>
        </w:rPr>
        <w:t xml:space="preserve"> </w:t>
      </w:r>
    </w:p>
    <w:p w14:paraId="41E1EE32" w14:textId="77777777" w:rsidR="006114FF" w:rsidRDefault="006114FF" w:rsidP="006114FF">
      <w:pPr>
        <w:pStyle w:val="NoSpacing"/>
        <w:rPr>
          <w:rFonts w:ascii="Times New Roman" w:hAnsi="Times New Roman"/>
          <w:b/>
          <w:sz w:val="24"/>
          <w:szCs w:val="24"/>
        </w:rPr>
      </w:pPr>
    </w:p>
    <w:p w14:paraId="60595D88" w14:textId="0CDE2945" w:rsidR="00F326E5" w:rsidRPr="006114FF" w:rsidRDefault="00F326E5" w:rsidP="006114FF">
      <w:pPr>
        <w:pStyle w:val="NoSpacing"/>
        <w:rPr>
          <w:rFonts w:ascii="Times New Roman" w:hAnsi="Times New Roman"/>
          <w:b/>
          <w:sz w:val="24"/>
          <w:szCs w:val="24"/>
        </w:rPr>
      </w:pPr>
      <w:r w:rsidRPr="006114FF">
        <w:rPr>
          <w:rFonts w:ascii="Times New Roman" w:hAnsi="Times New Roman"/>
          <w:b/>
          <w:sz w:val="24"/>
          <w:szCs w:val="24"/>
        </w:rPr>
        <w:t>Legal Lessons Learned: EMS should document a victim’s statement concerning who shot him, either on the EMS run report or on a supplemental report. This helps avoid issues on appeal</w:t>
      </w:r>
      <w:bookmarkEnd w:id="519"/>
      <w:r w:rsidRPr="006114FF">
        <w:rPr>
          <w:rFonts w:ascii="Times New Roman" w:hAnsi="Times New Roman"/>
          <w:b/>
          <w:sz w:val="24"/>
          <w:szCs w:val="24"/>
        </w:rPr>
        <w:t xml:space="preserve">.  </w:t>
      </w:r>
    </w:p>
    <w:bookmarkEnd w:id="518"/>
    <w:bookmarkEnd w:id="520"/>
    <w:p w14:paraId="689DEC78" w14:textId="77777777" w:rsidR="00F326E5" w:rsidRDefault="00F326E5" w:rsidP="00F326E5">
      <w:pPr>
        <w:pStyle w:val="NoSpacing"/>
        <w:rPr>
          <w:b/>
          <w:sz w:val="24"/>
          <w:szCs w:val="24"/>
        </w:rPr>
      </w:pPr>
    </w:p>
    <w:p w14:paraId="0CD4CDFB" w14:textId="77777777" w:rsidR="006114FF" w:rsidRDefault="006114FF" w:rsidP="00F326E5">
      <w:pPr>
        <w:pStyle w:val="NoSpacing"/>
        <w:rPr>
          <w:rFonts w:ascii="Arial Black" w:hAnsi="Arial Black"/>
          <w:sz w:val="24"/>
          <w:szCs w:val="24"/>
        </w:rPr>
      </w:pPr>
    </w:p>
    <w:p w14:paraId="0D85A8D0" w14:textId="137BBB80" w:rsidR="00F326E5" w:rsidRDefault="00DE0F03" w:rsidP="00F326E5">
      <w:pPr>
        <w:pStyle w:val="NoSpacing"/>
        <w:rPr>
          <w:b/>
          <w:sz w:val="24"/>
          <w:szCs w:val="24"/>
        </w:rPr>
      </w:pPr>
      <w:r>
        <w:rPr>
          <w:rFonts w:ascii="Arial Black" w:hAnsi="Arial Black"/>
          <w:sz w:val="24"/>
          <w:szCs w:val="24"/>
        </w:rPr>
        <w:t>13-20</w:t>
      </w:r>
    </w:p>
    <w:p w14:paraId="3E74FF6C" w14:textId="77777777" w:rsidR="00DE0F03" w:rsidRDefault="00DE0F03" w:rsidP="00F326E5">
      <w:pPr>
        <w:pStyle w:val="NoSpacing"/>
        <w:rPr>
          <w:b/>
          <w:sz w:val="24"/>
          <w:szCs w:val="24"/>
        </w:rPr>
      </w:pPr>
    </w:p>
    <w:p w14:paraId="5BA9F8A5" w14:textId="64AF921A" w:rsidR="00F326E5" w:rsidRDefault="00F326E5" w:rsidP="00F326E5">
      <w:pPr>
        <w:pStyle w:val="NoSpacing"/>
        <w:rPr>
          <w:rFonts w:ascii="Arial Black" w:hAnsi="Arial Black"/>
          <w:sz w:val="28"/>
          <w:szCs w:val="28"/>
        </w:rPr>
      </w:pPr>
      <w:bookmarkStart w:id="521" w:name="_Hlk41153820"/>
      <w:bookmarkStart w:id="522" w:name="_Hlk7346323"/>
      <w:r w:rsidRPr="009D44BC">
        <w:rPr>
          <w:rFonts w:ascii="Arial Black" w:hAnsi="Arial Black"/>
          <w:sz w:val="28"/>
          <w:szCs w:val="28"/>
        </w:rPr>
        <w:t>OH</w:t>
      </w:r>
      <w:r>
        <w:rPr>
          <w:rFonts w:ascii="Arial Black" w:hAnsi="Arial Black"/>
          <w:sz w:val="28"/>
          <w:szCs w:val="28"/>
        </w:rPr>
        <w:t xml:space="preserve">: DUI - BLOOD DRAW BY NURSE UNCONSCIOUS DRIVER LAWFUL - PD NO TIME FOR SEARCH WARRANT </w:t>
      </w:r>
    </w:p>
    <w:p w14:paraId="334DFF26" w14:textId="77777777" w:rsidR="006114FF" w:rsidRDefault="00F326E5" w:rsidP="00F326E5">
      <w:pPr>
        <w:pStyle w:val="NoSpacing"/>
        <w:rPr>
          <w:rFonts w:ascii="Times New Roman" w:hAnsi="Times New Roman"/>
          <w:sz w:val="24"/>
          <w:szCs w:val="24"/>
        </w:rPr>
      </w:pPr>
      <w:r w:rsidRPr="006114FF">
        <w:rPr>
          <w:rFonts w:ascii="Times New Roman" w:hAnsi="Times New Roman"/>
          <w:sz w:val="24"/>
          <w:szCs w:val="24"/>
        </w:rPr>
        <w:t xml:space="preserve">On Feb. 12, </w:t>
      </w:r>
      <w:proofErr w:type="gramStart"/>
      <w:r w:rsidRPr="006114FF">
        <w:rPr>
          <w:rFonts w:ascii="Times New Roman" w:hAnsi="Times New Roman"/>
          <w:sz w:val="24"/>
          <w:szCs w:val="24"/>
        </w:rPr>
        <w:t>2019</w:t>
      </w:r>
      <w:proofErr w:type="gramEnd"/>
      <w:r w:rsidRPr="006114FF">
        <w:rPr>
          <w:rFonts w:ascii="Times New Roman" w:hAnsi="Times New Roman"/>
          <w:sz w:val="24"/>
          <w:szCs w:val="24"/>
        </w:rPr>
        <w:t xml:space="preserve"> in </w:t>
      </w:r>
      <w:r w:rsidRPr="006114FF">
        <w:rPr>
          <w:rFonts w:ascii="Times New Roman" w:hAnsi="Times New Roman"/>
          <w:sz w:val="24"/>
          <w:szCs w:val="24"/>
          <w:u w:val="single"/>
        </w:rPr>
        <w:t>State of Ohio v. Richard Barnhart, Jr.</w:t>
      </w:r>
      <w:r w:rsidRPr="006114FF">
        <w:rPr>
          <w:rFonts w:ascii="Times New Roman" w:hAnsi="Times New Roman"/>
          <w:sz w:val="24"/>
          <w:szCs w:val="24"/>
        </w:rPr>
        <w:t xml:space="preserve">, Court of Appeals of Ohio, Fourth Appellate District – Meigs County, held (3 to 0) that trial court properly allowed into evidence the results of the blood draw.  The Court </w:t>
      </w:r>
      <w:proofErr w:type="gramStart"/>
      <w:r w:rsidRPr="006114FF">
        <w:rPr>
          <w:rFonts w:ascii="Times New Roman" w:hAnsi="Times New Roman"/>
          <w:sz w:val="24"/>
          <w:szCs w:val="24"/>
        </w:rPr>
        <w:t>write</w:t>
      </w:r>
      <w:proofErr w:type="gramEnd"/>
      <w:r w:rsidRPr="006114FF">
        <w:rPr>
          <w:rFonts w:ascii="Times New Roman" w:hAnsi="Times New Roman"/>
          <w:sz w:val="24"/>
          <w:szCs w:val="24"/>
        </w:rPr>
        <w:t xml:space="preserve">: </w:t>
      </w:r>
    </w:p>
    <w:p w14:paraId="4DAE5C83" w14:textId="77777777" w:rsidR="006114FF" w:rsidRDefault="006114FF" w:rsidP="00F326E5">
      <w:pPr>
        <w:pStyle w:val="NoSpacing"/>
        <w:rPr>
          <w:rFonts w:ascii="Times New Roman" w:hAnsi="Times New Roman"/>
          <w:sz w:val="24"/>
          <w:szCs w:val="24"/>
        </w:rPr>
      </w:pPr>
    </w:p>
    <w:p w14:paraId="22B4BDEA" w14:textId="52421F0F" w:rsidR="00F326E5" w:rsidRPr="006114FF" w:rsidRDefault="00F326E5" w:rsidP="006114FF">
      <w:pPr>
        <w:pStyle w:val="NoSpacing"/>
        <w:ind w:left="720"/>
        <w:rPr>
          <w:rFonts w:ascii="Times New Roman" w:hAnsi="Times New Roman"/>
          <w:sz w:val="24"/>
          <w:szCs w:val="24"/>
        </w:rPr>
      </w:pPr>
      <w:r w:rsidRPr="006114FF">
        <w:rPr>
          <w:rFonts w:ascii="Times New Roman" w:hAnsi="Times New Roman"/>
          <w:sz w:val="24"/>
          <w:szCs w:val="24"/>
        </w:rPr>
        <w:t>“[B]</w:t>
      </w:r>
      <w:proofErr w:type="spellStart"/>
      <w:r w:rsidRPr="006114FF">
        <w:rPr>
          <w:rFonts w:ascii="Times New Roman" w:hAnsi="Times New Roman"/>
          <w:sz w:val="24"/>
          <w:szCs w:val="24"/>
        </w:rPr>
        <w:t>ased</w:t>
      </w:r>
      <w:proofErr w:type="spellEnd"/>
      <w:r w:rsidRPr="006114FF">
        <w:rPr>
          <w:rFonts w:ascii="Times New Roman" w:hAnsi="Times New Roman"/>
          <w:sz w:val="24"/>
          <w:szCs w:val="24"/>
        </w:rPr>
        <w:t xml:space="preserve"> upon the totality of the circumstances, we conclude that the blood sample obtained from Appellant, which was taken while he was unconscious at the hospital and being prepared for transfer to another facility, was both lawful and constitutionally valid pursuant to Ohio’s Implied Consent statute, as well as both the consent and exigent circumstances exceptions to the warrant requirement.”   </w:t>
      </w:r>
    </w:p>
    <w:p w14:paraId="0AE68A09" w14:textId="19998A49" w:rsidR="00F326E5" w:rsidRPr="006114FF" w:rsidRDefault="006114FF" w:rsidP="006114FF">
      <w:pPr>
        <w:pStyle w:val="NoSpacing"/>
        <w:ind w:firstLine="720"/>
        <w:rPr>
          <w:rFonts w:ascii="Times New Roman" w:hAnsi="Times New Roman"/>
          <w:sz w:val="24"/>
          <w:szCs w:val="24"/>
        </w:rPr>
      </w:pPr>
      <w:hyperlink r:id="rId2425" w:history="1">
        <w:r w:rsidRPr="002F304C">
          <w:rPr>
            <w:rStyle w:val="Hyperlink"/>
            <w:rFonts w:ascii="Times New Roman" w:hAnsi="Times New Roman"/>
            <w:sz w:val="24"/>
            <w:szCs w:val="24"/>
          </w:rPr>
          <w:t>https://cases.justia.com/ohio/fourth-district-court-of-appeals/2019-18ca8-5.pdf?ts=1553894129</w:t>
        </w:r>
      </w:hyperlink>
      <w:r w:rsidR="00F326E5" w:rsidRPr="006114FF">
        <w:rPr>
          <w:rFonts w:ascii="Times New Roman" w:hAnsi="Times New Roman"/>
          <w:sz w:val="24"/>
          <w:szCs w:val="24"/>
        </w:rPr>
        <w:t xml:space="preserve"> </w:t>
      </w:r>
    </w:p>
    <w:p w14:paraId="1C3F419C" w14:textId="77777777" w:rsidR="006114FF" w:rsidRDefault="006114FF" w:rsidP="00F326E5">
      <w:pPr>
        <w:pStyle w:val="NoSpacing"/>
        <w:rPr>
          <w:rFonts w:ascii="Times New Roman" w:hAnsi="Times New Roman"/>
          <w:b/>
          <w:sz w:val="24"/>
          <w:szCs w:val="24"/>
        </w:rPr>
      </w:pPr>
      <w:bookmarkStart w:id="523" w:name="_Hlk7182059"/>
    </w:p>
    <w:p w14:paraId="494A2E72" w14:textId="48E5356C" w:rsidR="00F326E5" w:rsidRPr="006114FF" w:rsidRDefault="00F326E5" w:rsidP="00F326E5">
      <w:pPr>
        <w:pStyle w:val="NoSpacing"/>
        <w:rPr>
          <w:rFonts w:ascii="Times New Roman" w:hAnsi="Times New Roman"/>
          <w:b/>
          <w:sz w:val="24"/>
          <w:szCs w:val="24"/>
        </w:rPr>
      </w:pPr>
      <w:r w:rsidRPr="006114FF">
        <w:rPr>
          <w:rFonts w:ascii="Times New Roman" w:hAnsi="Times New Roman"/>
          <w:b/>
          <w:sz w:val="24"/>
          <w:szCs w:val="24"/>
        </w:rPr>
        <w:t xml:space="preserve">Legal Lessons Learned: Implied consent statutes are an important part of highway safety. </w:t>
      </w:r>
    </w:p>
    <w:p w14:paraId="47C1FCA3" w14:textId="6E020BB8" w:rsidR="009C7552" w:rsidRDefault="009C7552" w:rsidP="00F326E5">
      <w:pPr>
        <w:pStyle w:val="NoSpacing"/>
        <w:rPr>
          <w:b/>
          <w:sz w:val="24"/>
          <w:szCs w:val="24"/>
        </w:rPr>
      </w:pPr>
    </w:p>
    <w:bookmarkEnd w:id="521"/>
    <w:p w14:paraId="5F8888E7" w14:textId="77777777" w:rsidR="009C7552" w:rsidRPr="00747A23" w:rsidRDefault="009C7552" w:rsidP="00F326E5">
      <w:pPr>
        <w:pStyle w:val="NoSpacing"/>
        <w:rPr>
          <w:b/>
          <w:sz w:val="24"/>
          <w:szCs w:val="24"/>
        </w:rPr>
      </w:pPr>
    </w:p>
    <w:bookmarkEnd w:id="522"/>
    <w:bookmarkEnd w:id="523"/>
    <w:p w14:paraId="27611C85" w14:textId="77777777" w:rsidR="00F326E5" w:rsidRDefault="00F326E5" w:rsidP="00F326E5">
      <w:pPr>
        <w:rPr>
          <w:rFonts w:ascii="Arial Black" w:hAnsi="Arial Black"/>
          <w:sz w:val="40"/>
          <w:szCs w:val="40"/>
        </w:rPr>
      </w:pPr>
    </w:p>
    <w:p w14:paraId="22A0E706" w14:textId="2F51C807" w:rsidR="00DE0F03" w:rsidRDefault="00DE0F03" w:rsidP="00F326E5">
      <w:pPr>
        <w:pStyle w:val="NoSpacing"/>
        <w:rPr>
          <w:rFonts w:ascii="Arial Black" w:hAnsi="Arial Black"/>
          <w:b/>
          <w:sz w:val="28"/>
          <w:szCs w:val="28"/>
        </w:rPr>
      </w:pPr>
      <w:bookmarkStart w:id="524" w:name="_Hlk7346439"/>
      <w:r>
        <w:rPr>
          <w:rFonts w:ascii="Arial Black" w:hAnsi="Arial Black"/>
          <w:sz w:val="24"/>
          <w:szCs w:val="24"/>
        </w:rPr>
        <w:t>13-19</w:t>
      </w:r>
    </w:p>
    <w:p w14:paraId="4D27B397" w14:textId="77777777" w:rsidR="00DE0F03" w:rsidRDefault="00DE0F03" w:rsidP="00F326E5">
      <w:pPr>
        <w:pStyle w:val="NoSpacing"/>
        <w:rPr>
          <w:rFonts w:ascii="Arial Black" w:hAnsi="Arial Black"/>
          <w:b/>
          <w:sz w:val="28"/>
          <w:szCs w:val="28"/>
        </w:rPr>
      </w:pPr>
    </w:p>
    <w:p w14:paraId="538FF428" w14:textId="11CBA939" w:rsidR="00F326E5" w:rsidRDefault="00F326E5" w:rsidP="00F326E5">
      <w:pPr>
        <w:pStyle w:val="NoSpacing"/>
        <w:rPr>
          <w:rFonts w:ascii="Arial Black" w:hAnsi="Arial Black"/>
          <w:b/>
          <w:sz w:val="28"/>
          <w:szCs w:val="28"/>
        </w:rPr>
      </w:pPr>
      <w:bookmarkStart w:id="525" w:name="_Hlk41294907"/>
      <w:bookmarkStart w:id="526" w:name="_Hlk41153975"/>
      <w:r w:rsidRPr="00EA2DAF">
        <w:rPr>
          <w:rFonts w:ascii="Arial Black" w:hAnsi="Arial Black"/>
          <w:b/>
          <w:sz w:val="28"/>
          <w:szCs w:val="28"/>
        </w:rPr>
        <w:t>WA</w:t>
      </w:r>
      <w:r>
        <w:rPr>
          <w:rFonts w:ascii="Arial Black" w:hAnsi="Arial Black"/>
          <w:b/>
          <w:sz w:val="28"/>
          <w:szCs w:val="28"/>
        </w:rPr>
        <w:t xml:space="preserve">: </w:t>
      </w:r>
      <w:r w:rsidRPr="00EA2DAF">
        <w:rPr>
          <w:rFonts w:ascii="Arial Black" w:hAnsi="Arial Black"/>
          <w:b/>
          <w:sz w:val="28"/>
          <w:szCs w:val="28"/>
        </w:rPr>
        <w:t xml:space="preserve">PATIENT WITH CHEST PAIN </w:t>
      </w:r>
      <w:r>
        <w:rPr>
          <w:rFonts w:ascii="Arial Black" w:hAnsi="Arial Black"/>
          <w:b/>
          <w:sz w:val="28"/>
          <w:szCs w:val="28"/>
        </w:rPr>
        <w:t xml:space="preserve">REFUSED TRANSPORT - </w:t>
      </w:r>
      <w:r w:rsidRPr="00EA2DAF">
        <w:rPr>
          <w:rFonts w:ascii="Arial Black" w:hAnsi="Arial Black"/>
          <w:b/>
          <w:sz w:val="28"/>
          <w:szCs w:val="28"/>
        </w:rPr>
        <w:t xml:space="preserve">FORCIBLY TAKEN TO HOSPITAL </w:t>
      </w:r>
      <w:r w:rsidR="000F0910">
        <w:rPr>
          <w:rFonts w:ascii="Arial Black" w:hAnsi="Arial Black"/>
          <w:b/>
          <w:sz w:val="28"/>
          <w:szCs w:val="28"/>
        </w:rPr>
        <w:t>– NO QUALIFIED IMMUNITY</w:t>
      </w:r>
    </w:p>
    <w:p w14:paraId="54967434" w14:textId="77777777" w:rsidR="00F326E5" w:rsidRPr="006114FF" w:rsidRDefault="00F326E5" w:rsidP="006114FF">
      <w:pPr>
        <w:pStyle w:val="NoSpacing"/>
        <w:rPr>
          <w:rFonts w:ascii="Times New Roman" w:hAnsi="Times New Roman"/>
          <w:sz w:val="24"/>
          <w:szCs w:val="24"/>
        </w:rPr>
      </w:pPr>
      <w:r w:rsidRPr="006114FF">
        <w:rPr>
          <w:rFonts w:ascii="Times New Roman" w:hAnsi="Times New Roman"/>
          <w:sz w:val="24"/>
          <w:szCs w:val="24"/>
        </w:rPr>
        <w:t xml:space="preserve">On Jan. 11, 2019, in </w:t>
      </w:r>
      <w:r w:rsidRPr="006114FF">
        <w:rPr>
          <w:rFonts w:ascii="Times New Roman" w:hAnsi="Times New Roman"/>
          <w:sz w:val="24"/>
          <w:szCs w:val="24"/>
          <w:u w:val="single"/>
        </w:rPr>
        <w:t>El-Fatih P. Nowell v. Trimmed Ambulance, LLLC, et al</w:t>
      </w:r>
      <w:r w:rsidRPr="006114FF">
        <w:rPr>
          <w:rFonts w:ascii="Times New Roman" w:hAnsi="Times New Roman"/>
          <w:sz w:val="24"/>
          <w:szCs w:val="24"/>
        </w:rPr>
        <w:t xml:space="preserve">, U.S. District Court Judge Robert S. </w:t>
      </w:r>
      <w:proofErr w:type="spellStart"/>
      <w:r w:rsidRPr="006114FF">
        <w:rPr>
          <w:rFonts w:ascii="Times New Roman" w:hAnsi="Times New Roman"/>
          <w:sz w:val="24"/>
          <w:szCs w:val="24"/>
        </w:rPr>
        <w:t>Lasnik</w:t>
      </w:r>
      <w:proofErr w:type="spellEnd"/>
      <w:r w:rsidRPr="006114FF">
        <w:rPr>
          <w:rFonts w:ascii="Times New Roman" w:hAnsi="Times New Roman"/>
          <w:sz w:val="24"/>
          <w:szCs w:val="24"/>
        </w:rPr>
        <w:t xml:space="preserve"> (Seattle, WA), denied EMS defendants’ motion for summary judgments on most of the allegations of “involuntary detention and transport to a medical facility.” </w:t>
      </w:r>
      <w:hyperlink r:id="rId2426" w:history="1">
        <w:r w:rsidRPr="006114FF">
          <w:rPr>
            <w:rStyle w:val="Hyperlink"/>
            <w:rFonts w:ascii="Times New Roman" w:hAnsi="Times New Roman"/>
            <w:sz w:val="24"/>
            <w:szCs w:val="24"/>
          </w:rPr>
          <w:t>https://docs.justia.com/cases/federal/district-courts/washington/wawdce/2:2017cv01133/248111/33</w:t>
        </w:r>
      </w:hyperlink>
      <w:r w:rsidRPr="006114FF">
        <w:rPr>
          <w:rFonts w:ascii="Times New Roman" w:hAnsi="Times New Roman"/>
          <w:sz w:val="24"/>
          <w:szCs w:val="24"/>
        </w:rPr>
        <w:t xml:space="preserve"> </w:t>
      </w:r>
    </w:p>
    <w:p w14:paraId="7C381CFB" w14:textId="77777777" w:rsidR="006114FF" w:rsidRDefault="006114FF" w:rsidP="006114FF">
      <w:pPr>
        <w:pStyle w:val="NoSpacing"/>
        <w:rPr>
          <w:rFonts w:ascii="Times New Roman" w:eastAsia="Times New Roman" w:hAnsi="Times New Roman"/>
          <w:b/>
          <w:sz w:val="24"/>
          <w:szCs w:val="24"/>
        </w:rPr>
      </w:pPr>
    </w:p>
    <w:p w14:paraId="2AF4C848" w14:textId="4772050A" w:rsidR="00F326E5" w:rsidRPr="006114FF" w:rsidRDefault="00F326E5" w:rsidP="006114FF">
      <w:pPr>
        <w:pStyle w:val="NoSpacing"/>
        <w:rPr>
          <w:rFonts w:ascii="Times New Roman" w:eastAsia="Times New Roman" w:hAnsi="Times New Roman"/>
          <w:b/>
          <w:sz w:val="24"/>
          <w:szCs w:val="24"/>
        </w:rPr>
      </w:pPr>
      <w:r w:rsidRPr="006114FF">
        <w:rPr>
          <w:rFonts w:ascii="Times New Roman" w:eastAsia="Times New Roman" w:hAnsi="Times New Roman"/>
          <w:b/>
          <w:sz w:val="24"/>
          <w:szCs w:val="24"/>
        </w:rPr>
        <w:t>Legal Lessons Learned:  When EMS are faced with the difficult decision on whether to forcibly transport a patient, consider first calling the hospital emergency department and getting medical clearance to transport</w:t>
      </w:r>
      <w:bookmarkEnd w:id="525"/>
      <w:r w:rsidRPr="006114FF">
        <w:rPr>
          <w:rFonts w:ascii="Times New Roman" w:eastAsia="Times New Roman" w:hAnsi="Times New Roman"/>
          <w:b/>
          <w:sz w:val="24"/>
          <w:szCs w:val="24"/>
        </w:rPr>
        <w:t xml:space="preserve">. </w:t>
      </w:r>
    </w:p>
    <w:p w14:paraId="590DC6B5" w14:textId="77777777" w:rsidR="006114FF" w:rsidRDefault="006114FF" w:rsidP="00F326E5">
      <w:pPr>
        <w:pStyle w:val="NoSpacing"/>
        <w:rPr>
          <w:rFonts w:ascii="Arial Black" w:hAnsi="Arial Black"/>
          <w:sz w:val="24"/>
          <w:szCs w:val="24"/>
        </w:rPr>
      </w:pPr>
      <w:bookmarkStart w:id="527" w:name="_Hlk7346486"/>
      <w:bookmarkEnd w:id="524"/>
      <w:bookmarkEnd w:id="526"/>
    </w:p>
    <w:p w14:paraId="3A5B0FD9" w14:textId="77777777" w:rsidR="006114FF" w:rsidRDefault="006114FF" w:rsidP="00F326E5">
      <w:pPr>
        <w:pStyle w:val="NoSpacing"/>
        <w:rPr>
          <w:rFonts w:ascii="Arial Black" w:hAnsi="Arial Black"/>
          <w:sz w:val="24"/>
          <w:szCs w:val="24"/>
        </w:rPr>
      </w:pPr>
    </w:p>
    <w:p w14:paraId="579DAE40" w14:textId="008CF336" w:rsidR="00DE0F03" w:rsidRDefault="00DE0F03" w:rsidP="00F326E5">
      <w:pPr>
        <w:pStyle w:val="NoSpacing"/>
        <w:rPr>
          <w:rFonts w:ascii="Arial Black" w:hAnsi="Arial Black"/>
          <w:b/>
          <w:sz w:val="28"/>
          <w:szCs w:val="28"/>
        </w:rPr>
      </w:pPr>
      <w:r>
        <w:rPr>
          <w:rFonts w:ascii="Arial Black" w:hAnsi="Arial Black"/>
          <w:sz w:val="24"/>
          <w:szCs w:val="24"/>
        </w:rPr>
        <w:t>13-18</w:t>
      </w:r>
    </w:p>
    <w:p w14:paraId="4F5796F9" w14:textId="77777777" w:rsidR="00DE0F03" w:rsidRDefault="00DE0F03" w:rsidP="00F326E5">
      <w:pPr>
        <w:pStyle w:val="NoSpacing"/>
        <w:rPr>
          <w:rFonts w:ascii="Arial Black" w:hAnsi="Arial Black"/>
          <w:b/>
          <w:sz w:val="28"/>
          <w:szCs w:val="28"/>
        </w:rPr>
      </w:pPr>
    </w:p>
    <w:p w14:paraId="0C1E5E0A" w14:textId="57EF8A4A" w:rsidR="00F326E5" w:rsidRDefault="00F326E5" w:rsidP="00F326E5">
      <w:pPr>
        <w:pStyle w:val="NoSpacing"/>
        <w:rPr>
          <w:rFonts w:ascii="Arial Black" w:hAnsi="Arial Black"/>
          <w:b/>
          <w:sz w:val="28"/>
          <w:szCs w:val="28"/>
        </w:rPr>
      </w:pPr>
      <w:bookmarkStart w:id="528" w:name="_Hlk41154042"/>
      <w:r w:rsidRPr="00EA2DAF">
        <w:rPr>
          <w:rFonts w:ascii="Arial Black" w:hAnsi="Arial Black"/>
          <w:b/>
          <w:sz w:val="28"/>
          <w:szCs w:val="28"/>
        </w:rPr>
        <w:lastRenderedPageBreak/>
        <w:t>OH:  911 DISPATCHES FOR DRUG OVERDOSES –</w:t>
      </w:r>
      <w:r w:rsidR="00195FD1">
        <w:rPr>
          <w:rFonts w:ascii="Arial Black" w:hAnsi="Arial Black"/>
          <w:b/>
          <w:sz w:val="28"/>
          <w:szCs w:val="28"/>
        </w:rPr>
        <w:t xml:space="preserve"> </w:t>
      </w:r>
      <w:r w:rsidRPr="00EA2DAF">
        <w:rPr>
          <w:rFonts w:ascii="Arial Black" w:hAnsi="Arial Black"/>
          <w:b/>
          <w:sz w:val="28"/>
          <w:szCs w:val="28"/>
        </w:rPr>
        <w:t>NOT HIPPA PROTECTED UNLESS DISCLOSES PHI</w:t>
      </w:r>
      <w:r>
        <w:rPr>
          <w:rFonts w:ascii="Arial Black" w:hAnsi="Arial Black"/>
          <w:b/>
          <w:sz w:val="28"/>
          <w:szCs w:val="28"/>
        </w:rPr>
        <w:t xml:space="preserve"> </w:t>
      </w:r>
    </w:p>
    <w:p w14:paraId="040A6028" w14:textId="77777777" w:rsidR="00F326E5" w:rsidRPr="006114FF" w:rsidRDefault="00F326E5" w:rsidP="00F326E5">
      <w:pPr>
        <w:pStyle w:val="NoSpacing"/>
        <w:rPr>
          <w:rFonts w:ascii="Times New Roman" w:eastAsia="Times New Roman" w:hAnsi="Times New Roman"/>
          <w:sz w:val="24"/>
          <w:szCs w:val="24"/>
        </w:rPr>
      </w:pPr>
      <w:r w:rsidRPr="006114FF">
        <w:rPr>
          <w:rFonts w:ascii="Times New Roman" w:hAnsi="Times New Roman"/>
          <w:sz w:val="24"/>
          <w:szCs w:val="24"/>
        </w:rPr>
        <w:t xml:space="preserve">On Dec. 14, 2018, in </w:t>
      </w:r>
      <w:r w:rsidRPr="006114FF">
        <w:rPr>
          <w:rFonts w:ascii="Times New Roman" w:hAnsi="Times New Roman"/>
          <w:sz w:val="24"/>
          <w:szCs w:val="24"/>
          <w:u w:val="single"/>
        </w:rPr>
        <w:t>Rachel L. Dissell v. City of Cleveland</w:t>
      </w:r>
      <w:r w:rsidRPr="006114FF">
        <w:rPr>
          <w:rFonts w:ascii="Times New Roman" w:hAnsi="Times New Roman"/>
          <w:sz w:val="24"/>
          <w:szCs w:val="24"/>
        </w:rPr>
        <w:t xml:space="preserve">, the Ohio Court of Claims appointed a Special Master to advise the Court on request for records by a reporter for the </w:t>
      </w:r>
      <w:proofErr w:type="spellStart"/>
      <w:r w:rsidRPr="006114FF">
        <w:rPr>
          <w:rFonts w:ascii="Times New Roman" w:hAnsi="Times New Roman"/>
          <w:sz w:val="24"/>
          <w:szCs w:val="24"/>
        </w:rPr>
        <w:t>The</w:t>
      </w:r>
      <w:proofErr w:type="spellEnd"/>
      <w:r w:rsidRPr="006114FF">
        <w:rPr>
          <w:rFonts w:ascii="Times New Roman" w:hAnsi="Times New Roman"/>
          <w:sz w:val="24"/>
          <w:szCs w:val="24"/>
        </w:rPr>
        <w:t xml:space="preserve"> Plain Dealer newspaper.  The Special Master concluded that Computer Aided Dispatch records, including addresses where EMS responded, be released under Ohio Public Records Act.  “Upon consideration of the pleadings and attachments, I recommend that the court order respondent to provide requester with a copy of the EMS/Fire CAD event summary records, as submitted under seal.” </w:t>
      </w:r>
      <w:hyperlink r:id="rId2427" w:history="1">
        <w:r w:rsidRPr="006114FF">
          <w:rPr>
            <w:rStyle w:val="Hyperlink"/>
            <w:rFonts w:ascii="Times New Roman" w:hAnsi="Times New Roman"/>
            <w:sz w:val="24"/>
            <w:szCs w:val="24"/>
          </w:rPr>
          <w:t>https://scholar.google.com/scholar_case?case=16398402888190855228&amp;q=Dissell+v.+Cleveland&amp;hl=en&amp;as_sdt=6,36&amp;as_vis=1</w:t>
        </w:r>
      </w:hyperlink>
      <w:r w:rsidRPr="006114FF">
        <w:rPr>
          <w:rFonts w:ascii="Times New Roman" w:hAnsi="Times New Roman"/>
          <w:sz w:val="24"/>
          <w:szCs w:val="24"/>
        </w:rPr>
        <w:t xml:space="preserve"> </w:t>
      </w:r>
    </w:p>
    <w:p w14:paraId="4B35A819" w14:textId="77777777" w:rsidR="006114FF" w:rsidRDefault="006114FF" w:rsidP="00F326E5">
      <w:pPr>
        <w:rPr>
          <w:rFonts w:ascii="Times New Roman" w:hAnsi="Times New Roman"/>
          <w:b/>
          <w:sz w:val="24"/>
          <w:szCs w:val="24"/>
        </w:rPr>
      </w:pPr>
    </w:p>
    <w:p w14:paraId="1D178CB1" w14:textId="53750460" w:rsidR="00F326E5" w:rsidRPr="006114FF" w:rsidRDefault="00F326E5" w:rsidP="00F326E5">
      <w:pPr>
        <w:rPr>
          <w:rFonts w:ascii="Times New Roman" w:hAnsi="Times New Roman"/>
          <w:b/>
          <w:sz w:val="24"/>
          <w:szCs w:val="24"/>
        </w:rPr>
      </w:pPr>
      <w:r w:rsidRPr="006114FF">
        <w:rPr>
          <w:rFonts w:ascii="Times New Roman" w:hAnsi="Times New Roman"/>
          <w:b/>
          <w:sz w:val="24"/>
          <w:szCs w:val="24"/>
        </w:rPr>
        <w:t xml:space="preserve">Legal Lessons Learned:  In producing CAD or other records on EMS calls, be very careful to exclude any “Protected Health Information.”  If in doubt, advise requester that info is HIPAA protected and will only be revealed to Court under seal.   </w:t>
      </w:r>
    </w:p>
    <w:bookmarkEnd w:id="528"/>
    <w:p w14:paraId="3629CE52" w14:textId="77777777" w:rsidR="00DE0F03" w:rsidRDefault="00DE0F03" w:rsidP="00DE0F03">
      <w:pPr>
        <w:pStyle w:val="NoSpacing"/>
        <w:rPr>
          <w:rFonts w:ascii="Arial Black" w:hAnsi="Arial Black"/>
          <w:sz w:val="24"/>
          <w:szCs w:val="24"/>
        </w:rPr>
      </w:pPr>
    </w:p>
    <w:p w14:paraId="4330B4DE" w14:textId="77777777" w:rsidR="00DE0F03" w:rsidRDefault="00DE0F03" w:rsidP="00DE0F03">
      <w:pPr>
        <w:pStyle w:val="NoSpacing"/>
        <w:rPr>
          <w:rFonts w:ascii="Arial Black" w:hAnsi="Arial Black"/>
          <w:sz w:val="24"/>
          <w:szCs w:val="24"/>
        </w:rPr>
      </w:pPr>
    </w:p>
    <w:p w14:paraId="4017311B" w14:textId="7CDCF1AF" w:rsidR="00DE0F03" w:rsidRDefault="00DE0F03" w:rsidP="00DE0F03">
      <w:pPr>
        <w:pStyle w:val="NoSpacing"/>
        <w:rPr>
          <w:rFonts w:ascii="Arial Black" w:hAnsi="Arial Black"/>
          <w:sz w:val="24"/>
          <w:szCs w:val="24"/>
        </w:rPr>
      </w:pPr>
      <w:r>
        <w:rPr>
          <w:rFonts w:ascii="Arial Black" w:hAnsi="Arial Black"/>
          <w:sz w:val="24"/>
          <w:szCs w:val="24"/>
        </w:rPr>
        <w:t>13-17</w:t>
      </w:r>
    </w:p>
    <w:p w14:paraId="78184C34" w14:textId="77777777" w:rsidR="00F326E5" w:rsidRDefault="00F326E5" w:rsidP="00F326E5">
      <w:pPr>
        <w:pStyle w:val="NoSpacing"/>
        <w:rPr>
          <w:b/>
          <w:sz w:val="24"/>
          <w:szCs w:val="24"/>
        </w:rPr>
      </w:pPr>
    </w:p>
    <w:bookmarkEnd w:id="527"/>
    <w:p w14:paraId="5730673E" w14:textId="77777777" w:rsidR="00F326E5" w:rsidRDefault="00F326E5" w:rsidP="00F326E5">
      <w:pPr>
        <w:pStyle w:val="NoSpacing"/>
        <w:rPr>
          <w:b/>
          <w:sz w:val="24"/>
          <w:szCs w:val="24"/>
        </w:rPr>
      </w:pPr>
    </w:p>
    <w:p w14:paraId="76F59534" w14:textId="7575FE80" w:rsidR="00F326E5" w:rsidRPr="00CA3D6F" w:rsidRDefault="00F326E5" w:rsidP="00F326E5">
      <w:pPr>
        <w:pStyle w:val="NoSpacing"/>
        <w:rPr>
          <w:rStyle w:val="dfm-title"/>
          <w:b/>
          <w:sz w:val="24"/>
          <w:szCs w:val="24"/>
        </w:rPr>
      </w:pPr>
      <w:bookmarkStart w:id="529" w:name="_Hlk7346521"/>
      <w:r w:rsidRPr="00877AA6">
        <w:rPr>
          <w:rStyle w:val="dfm-title"/>
          <w:rFonts w:ascii="Arial Black" w:hAnsi="Arial Black"/>
          <w:b/>
          <w:sz w:val="28"/>
          <w:szCs w:val="28"/>
        </w:rPr>
        <w:t>PA: HOSPITAL EMPLOYEE RECORDS HACKED; EMPLOYEES MAY SUE HOSPITAL</w:t>
      </w:r>
      <w:r>
        <w:rPr>
          <w:rStyle w:val="dfm-title"/>
          <w:rFonts w:ascii="Arial Black" w:hAnsi="Arial Black"/>
          <w:b/>
          <w:sz w:val="24"/>
          <w:szCs w:val="24"/>
        </w:rPr>
        <w:t xml:space="preserve"> </w:t>
      </w:r>
      <w:r w:rsidRPr="00877AA6">
        <w:rPr>
          <w:rStyle w:val="dfm-title"/>
          <w:sz w:val="24"/>
          <w:szCs w:val="24"/>
        </w:rPr>
        <w:t>[also filed, Chap. 6]</w:t>
      </w:r>
    </w:p>
    <w:p w14:paraId="4669EA5F" w14:textId="227509D0" w:rsidR="00F326E5" w:rsidRPr="006114FF" w:rsidRDefault="00F326E5" w:rsidP="00F326E5">
      <w:pPr>
        <w:rPr>
          <w:rFonts w:ascii="Times New Roman" w:hAnsi="Times New Roman"/>
          <w:sz w:val="24"/>
          <w:szCs w:val="24"/>
        </w:rPr>
      </w:pPr>
      <w:r w:rsidRPr="006114FF">
        <w:rPr>
          <w:rFonts w:ascii="Times New Roman" w:hAnsi="Times New Roman"/>
          <w:sz w:val="24"/>
          <w:szCs w:val="24"/>
        </w:rPr>
        <w:t xml:space="preserve">On Nov. 21, 2018, in </w:t>
      </w:r>
      <w:r w:rsidRPr="006114FF">
        <w:rPr>
          <w:rFonts w:ascii="Times New Roman" w:hAnsi="Times New Roman"/>
          <w:sz w:val="24"/>
          <w:szCs w:val="24"/>
          <w:u w:val="single"/>
        </w:rPr>
        <w:t>Barbara A. Dittman, et al. v.</w:t>
      </w:r>
      <w:r w:rsidRPr="006114FF">
        <w:rPr>
          <w:rFonts w:ascii="Times New Roman" w:hAnsi="Times New Roman"/>
          <w:sz w:val="24"/>
          <w:szCs w:val="24"/>
        </w:rPr>
        <w:t xml:space="preserve"> </w:t>
      </w:r>
      <w:r w:rsidRPr="006114FF">
        <w:rPr>
          <w:rFonts w:ascii="Times New Roman" w:eastAsia="Times New Roman" w:hAnsi="Times New Roman"/>
          <w:sz w:val="24"/>
          <w:szCs w:val="24"/>
          <w:u w:val="single"/>
        </w:rPr>
        <w:t>UPMC d/b/a The University of Pittsburgh Medical Center, et al.</w:t>
      </w:r>
      <w:r w:rsidRPr="006114FF">
        <w:rPr>
          <w:rFonts w:ascii="Times New Roman" w:eastAsia="Times New Roman" w:hAnsi="Times New Roman"/>
          <w:sz w:val="24"/>
          <w:szCs w:val="24"/>
        </w:rPr>
        <w:t>, the PA Supreme Court ruled (4 to 3), the lawsuit was reinstated against the hospital. “We hold that an employer has a legal duty to exercise reasonable care to safeguard its employees’ sensitive personal information stored by the employer on an internet-</w:t>
      </w:r>
      <w:r w:rsidRPr="006114FF">
        <w:rPr>
          <w:rFonts w:ascii="Times New Roman" w:hAnsi="Times New Roman"/>
          <w:sz w:val="24"/>
          <w:szCs w:val="24"/>
        </w:rPr>
        <w:t xml:space="preserve">accessible computer system.” </w:t>
      </w:r>
      <w:hyperlink r:id="rId2428" w:history="1">
        <w:r w:rsidRPr="006114FF">
          <w:rPr>
            <w:rStyle w:val="Hyperlink"/>
            <w:rFonts w:ascii="Times New Roman" w:hAnsi="Times New Roman"/>
            <w:sz w:val="24"/>
            <w:szCs w:val="24"/>
          </w:rPr>
          <w:t>http://www.pacourts.us/assets/opinions/Supreme/out/Majority%20Opinion%20%20VacatedRemanded%20%2010378165044604409.pdf?cb=1</w:t>
        </w:r>
      </w:hyperlink>
      <w:r w:rsidRPr="006114FF">
        <w:rPr>
          <w:rFonts w:ascii="Times New Roman" w:hAnsi="Times New Roman"/>
          <w:sz w:val="24"/>
          <w:szCs w:val="24"/>
        </w:rPr>
        <w:t xml:space="preserve"> </w:t>
      </w:r>
    </w:p>
    <w:p w14:paraId="6851095D" w14:textId="77777777" w:rsidR="00F326E5" w:rsidRPr="006114FF" w:rsidRDefault="00F326E5" w:rsidP="00F326E5">
      <w:pPr>
        <w:pStyle w:val="Heading1"/>
        <w:rPr>
          <w:b w:val="0"/>
          <w:sz w:val="24"/>
          <w:szCs w:val="24"/>
        </w:rPr>
      </w:pPr>
      <w:r w:rsidRPr="006114FF">
        <w:rPr>
          <w:sz w:val="24"/>
          <w:szCs w:val="24"/>
        </w:rPr>
        <w:t xml:space="preserve">Legal Lessons Learned:  This is an important decision that will now proceed to trial or settlement. Hopefully this decision will prompt employers in PA, and other states, including Fire &amp; EMS agencies, to review their electronic data safeguards with IT experts.  </w:t>
      </w:r>
    </w:p>
    <w:p w14:paraId="07E1203C" w14:textId="77777777" w:rsidR="00F326E5" w:rsidRPr="006114FF" w:rsidRDefault="00F326E5" w:rsidP="00F326E5">
      <w:pPr>
        <w:pStyle w:val="NoSpacing"/>
        <w:ind w:left="720"/>
        <w:rPr>
          <w:rFonts w:ascii="Times New Roman" w:hAnsi="Times New Roman"/>
          <w:sz w:val="24"/>
          <w:szCs w:val="24"/>
        </w:rPr>
      </w:pPr>
      <w:r w:rsidRPr="006114FF">
        <w:rPr>
          <w:rFonts w:ascii="Times New Roman" w:hAnsi="Times New Roman"/>
          <w:sz w:val="24"/>
          <w:szCs w:val="24"/>
        </w:rPr>
        <w:t xml:space="preserve">Note:  Ohio has enacted the Ohio Data Protection Act, effective Nov. 2, 2018 (to be in Ohio Revised Code 1354.01-05), which provides companies with an affirmative defense to lawsuits involving release of personal information, if the company has a written cybersecurity program that conforms to the NIST Cybersecurity Framework. </w:t>
      </w:r>
      <w:hyperlink r:id="rId2429" w:history="1">
        <w:r w:rsidRPr="006114FF">
          <w:rPr>
            <w:rStyle w:val="Hyperlink"/>
            <w:rFonts w:ascii="Times New Roman" w:hAnsi="Times New Roman"/>
            <w:sz w:val="24"/>
            <w:szCs w:val="24"/>
          </w:rPr>
          <w:t>https://www.legislature.ohio.gov/legislation/legislation-summary?id=GA132-SB-220</w:t>
        </w:r>
      </w:hyperlink>
      <w:r w:rsidRPr="006114FF">
        <w:rPr>
          <w:rFonts w:ascii="Times New Roman" w:hAnsi="Times New Roman"/>
          <w:sz w:val="24"/>
          <w:szCs w:val="24"/>
        </w:rPr>
        <w:t xml:space="preserve">.  See Sept. 20, </w:t>
      </w:r>
      <w:proofErr w:type="gramStart"/>
      <w:r w:rsidRPr="006114FF">
        <w:rPr>
          <w:rFonts w:ascii="Times New Roman" w:hAnsi="Times New Roman"/>
          <w:sz w:val="24"/>
          <w:szCs w:val="24"/>
        </w:rPr>
        <w:t>2018</w:t>
      </w:r>
      <w:proofErr w:type="gramEnd"/>
      <w:r w:rsidRPr="006114FF">
        <w:rPr>
          <w:rFonts w:ascii="Times New Roman" w:hAnsi="Times New Roman"/>
          <w:sz w:val="24"/>
          <w:szCs w:val="24"/>
        </w:rPr>
        <w:t xml:space="preserve"> article, “New Ohio law incentivizes businesses that comply with cybersecurity programs,” </w:t>
      </w:r>
      <w:hyperlink r:id="rId2430" w:history="1">
        <w:r w:rsidRPr="006114FF">
          <w:rPr>
            <w:rStyle w:val="Hyperlink"/>
            <w:rFonts w:ascii="Times New Roman" w:hAnsi="Times New Roman"/>
            <w:sz w:val="24"/>
            <w:szCs w:val="24"/>
          </w:rPr>
          <w:t>https://www.bizjournals.com/columbus/news/2018/09/20/new-ohio-law-incentivizes-businesses-that-comply.html</w:t>
        </w:r>
      </w:hyperlink>
    </w:p>
    <w:bookmarkEnd w:id="529"/>
    <w:p w14:paraId="629E6367" w14:textId="77777777" w:rsidR="00F326E5" w:rsidRDefault="00F326E5" w:rsidP="00F326E5">
      <w:pPr>
        <w:pStyle w:val="NoSpacing"/>
        <w:rPr>
          <w:b/>
          <w:sz w:val="24"/>
          <w:szCs w:val="24"/>
        </w:rPr>
      </w:pPr>
    </w:p>
    <w:p w14:paraId="71585CCD" w14:textId="77777777" w:rsidR="00F326E5" w:rsidRDefault="00F326E5" w:rsidP="00F326E5">
      <w:pPr>
        <w:pStyle w:val="NoSpacing"/>
        <w:rPr>
          <w:b/>
          <w:sz w:val="24"/>
          <w:szCs w:val="24"/>
        </w:rPr>
      </w:pPr>
    </w:p>
    <w:p w14:paraId="2CFD1049" w14:textId="6992CEDF" w:rsidR="00DE0F03" w:rsidRDefault="00DE0F03" w:rsidP="00F326E5">
      <w:pPr>
        <w:pStyle w:val="NoSpacing"/>
        <w:rPr>
          <w:rFonts w:ascii="Arial Black" w:hAnsi="Arial Black"/>
          <w:b/>
          <w:sz w:val="28"/>
          <w:szCs w:val="28"/>
        </w:rPr>
      </w:pPr>
      <w:bookmarkStart w:id="530" w:name="_Hlk7346609"/>
      <w:r>
        <w:rPr>
          <w:rFonts w:ascii="Arial Black" w:hAnsi="Arial Black"/>
          <w:sz w:val="24"/>
          <w:szCs w:val="24"/>
        </w:rPr>
        <w:t>13-16</w:t>
      </w:r>
    </w:p>
    <w:p w14:paraId="11569771" w14:textId="77777777" w:rsidR="00DE0F03" w:rsidRDefault="00DE0F03" w:rsidP="00F326E5">
      <w:pPr>
        <w:pStyle w:val="NoSpacing"/>
        <w:rPr>
          <w:rFonts w:ascii="Arial Black" w:hAnsi="Arial Black"/>
          <w:b/>
          <w:sz w:val="28"/>
          <w:szCs w:val="28"/>
        </w:rPr>
      </w:pPr>
    </w:p>
    <w:p w14:paraId="65ED2460" w14:textId="0366945E" w:rsidR="00F326E5" w:rsidRPr="00877AA6" w:rsidRDefault="00F326E5" w:rsidP="00F326E5">
      <w:pPr>
        <w:pStyle w:val="NoSpacing"/>
        <w:rPr>
          <w:rFonts w:ascii="Arial Black" w:hAnsi="Arial Black"/>
          <w:b/>
          <w:sz w:val="28"/>
          <w:szCs w:val="28"/>
        </w:rPr>
      </w:pPr>
      <w:bookmarkStart w:id="531" w:name="_Hlk41154132"/>
      <w:r w:rsidRPr="00877AA6">
        <w:rPr>
          <w:rFonts w:ascii="Arial Black" w:hAnsi="Arial Black"/>
          <w:b/>
          <w:sz w:val="28"/>
          <w:szCs w:val="28"/>
        </w:rPr>
        <w:t xml:space="preserve">OH: </w:t>
      </w:r>
      <w:r>
        <w:rPr>
          <w:rFonts w:ascii="Arial Black" w:hAnsi="Arial Black"/>
          <w:b/>
          <w:sz w:val="28"/>
          <w:szCs w:val="28"/>
        </w:rPr>
        <w:t>PUBLIC RECORDS</w:t>
      </w:r>
      <w:r w:rsidR="00DA4990">
        <w:rPr>
          <w:rFonts w:ascii="Arial Black" w:hAnsi="Arial Black"/>
          <w:b/>
          <w:sz w:val="28"/>
          <w:szCs w:val="28"/>
        </w:rPr>
        <w:t xml:space="preserve"> REQUEST – INCLUDING </w:t>
      </w:r>
      <w:r>
        <w:rPr>
          <w:rFonts w:ascii="Arial Black" w:hAnsi="Arial Black"/>
          <w:b/>
          <w:sz w:val="28"/>
          <w:szCs w:val="28"/>
        </w:rPr>
        <w:t>EMS INJUR</w:t>
      </w:r>
      <w:r w:rsidR="00DA4990">
        <w:rPr>
          <w:rFonts w:ascii="Arial Black" w:hAnsi="Arial Black"/>
          <w:b/>
          <w:sz w:val="28"/>
          <w:szCs w:val="28"/>
        </w:rPr>
        <w:t xml:space="preserve">ED ON JOB </w:t>
      </w:r>
      <w:r>
        <w:rPr>
          <w:rFonts w:ascii="Arial Black" w:hAnsi="Arial Black"/>
          <w:b/>
          <w:sz w:val="28"/>
          <w:szCs w:val="28"/>
        </w:rPr>
        <w:t>– CITY’S DELAY UNREASONABLE, PAY $8,812 ATTORNEY FEES</w:t>
      </w:r>
    </w:p>
    <w:p w14:paraId="24E677F8" w14:textId="77777777" w:rsidR="006114FF" w:rsidRDefault="00F326E5" w:rsidP="00F326E5">
      <w:pPr>
        <w:rPr>
          <w:rFonts w:ascii="Times New Roman" w:eastAsia="Times New Roman" w:hAnsi="Times New Roman"/>
          <w:sz w:val="24"/>
          <w:szCs w:val="24"/>
        </w:rPr>
      </w:pPr>
      <w:r w:rsidRPr="006114FF">
        <w:rPr>
          <w:rFonts w:ascii="Times New Roman" w:eastAsia="Times New Roman" w:hAnsi="Times New Roman"/>
          <w:sz w:val="24"/>
          <w:szCs w:val="24"/>
        </w:rPr>
        <w:lastRenderedPageBreak/>
        <w:t xml:space="preserve">On Nov. 14, 2018, in </w:t>
      </w:r>
      <w:r w:rsidRPr="006114FF">
        <w:rPr>
          <w:rFonts w:ascii="Times New Roman" w:eastAsia="Times New Roman" w:hAnsi="Times New Roman"/>
          <w:sz w:val="24"/>
          <w:szCs w:val="24"/>
          <w:u w:val="single"/>
        </w:rPr>
        <w:t xml:space="preserve">Cleveland Association </w:t>
      </w:r>
      <w:proofErr w:type="gramStart"/>
      <w:r w:rsidRPr="006114FF">
        <w:rPr>
          <w:rFonts w:ascii="Times New Roman" w:eastAsia="Times New Roman" w:hAnsi="Times New Roman"/>
          <w:sz w:val="24"/>
          <w:szCs w:val="24"/>
          <w:u w:val="single"/>
        </w:rPr>
        <w:t>Of</w:t>
      </w:r>
      <w:proofErr w:type="gramEnd"/>
      <w:r w:rsidRPr="006114FF">
        <w:rPr>
          <w:rFonts w:ascii="Times New Roman" w:eastAsia="Times New Roman" w:hAnsi="Times New Roman"/>
          <w:sz w:val="24"/>
          <w:szCs w:val="24"/>
          <w:u w:val="single"/>
        </w:rPr>
        <w:t xml:space="preserve"> Rescue Employees – Local 1975 v. City of Cleveland</w:t>
      </w:r>
      <w:r w:rsidRPr="006114FF">
        <w:rPr>
          <w:rFonts w:ascii="Times New Roman" w:eastAsia="Times New Roman" w:hAnsi="Times New Roman"/>
          <w:sz w:val="24"/>
          <w:szCs w:val="24"/>
        </w:rPr>
        <w:t xml:space="preserve">, the Ohio Court of Appeals for Cuyahoga County, held (3 to 0) held that the City must reimburse CARE $8,812.50 in attorney fees.  </w:t>
      </w:r>
    </w:p>
    <w:p w14:paraId="76164A03" w14:textId="6ED60E10" w:rsidR="00F326E5" w:rsidRPr="006114FF" w:rsidRDefault="00F326E5" w:rsidP="006114FF">
      <w:pPr>
        <w:ind w:left="720"/>
        <w:rPr>
          <w:rStyle w:val="Hyperlink"/>
          <w:rFonts w:ascii="Times New Roman" w:hAnsi="Times New Roman"/>
          <w:sz w:val="24"/>
          <w:szCs w:val="24"/>
        </w:rPr>
      </w:pPr>
      <w:r w:rsidRPr="006114FF">
        <w:rPr>
          <w:rFonts w:ascii="Times New Roman" w:eastAsia="Times New Roman" w:hAnsi="Times New Roman"/>
          <w:sz w:val="24"/>
          <w:szCs w:val="24"/>
        </w:rPr>
        <w:t>“This court finds that the city’s failure to respond to the records request by releasing the requested records in this case was unreasonable. The city’s two-month delay in producing some of the records and more than five-month delay in producing all the requested records constitutes a failure to respond within a reasonable time.”</w:t>
      </w:r>
      <w:r w:rsidR="006114FF">
        <w:rPr>
          <w:rFonts w:ascii="Times New Roman" w:eastAsia="Times New Roman" w:hAnsi="Times New Roman"/>
          <w:sz w:val="24"/>
          <w:szCs w:val="24"/>
        </w:rPr>
        <w:t xml:space="preserve"> </w:t>
      </w:r>
      <w:hyperlink r:id="rId2431" w:history="1">
        <w:r w:rsidRPr="006114FF">
          <w:rPr>
            <w:rStyle w:val="Hyperlink"/>
            <w:rFonts w:ascii="Times New Roman" w:hAnsi="Times New Roman"/>
            <w:sz w:val="24"/>
            <w:szCs w:val="24"/>
          </w:rPr>
          <w:t>https://www.supremecourt.ohio.gov/rod/docs/pdf/8/2018/2018-Ohio-4602.pdf</w:t>
        </w:r>
      </w:hyperlink>
    </w:p>
    <w:p w14:paraId="5022440F" w14:textId="77777777" w:rsidR="00F326E5" w:rsidRPr="006114FF" w:rsidRDefault="00F326E5" w:rsidP="00F326E5">
      <w:pPr>
        <w:rPr>
          <w:rFonts w:ascii="Times New Roman" w:eastAsia="Times New Roman" w:hAnsi="Times New Roman"/>
          <w:b/>
          <w:sz w:val="24"/>
          <w:szCs w:val="24"/>
        </w:rPr>
      </w:pPr>
      <w:r w:rsidRPr="006114FF">
        <w:rPr>
          <w:rFonts w:ascii="Times New Roman" w:eastAsia="Times New Roman" w:hAnsi="Times New Roman"/>
          <w:b/>
          <w:sz w:val="24"/>
          <w:szCs w:val="24"/>
        </w:rPr>
        <w:t xml:space="preserve">Legal Lessons Learned:  Public records act statutes require prompt response; political subdivision should promptly produce readily available records, such Fire &amp; EMS job descriptions and certifications. </w:t>
      </w:r>
    </w:p>
    <w:bookmarkEnd w:id="530"/>
    <w:bookmarkEnd w:id="531"/>
    <w:p w14:paraId="2076A0C8" w14:textId="77777777" w:rsidR="00F326E5" w:rsidRPr="006114FF" w:rsidRDefault="00F326E5" w:rsidP="00F326E5">
      <w:pPr>
        <w:rPr>
          <w:rFonts w:ascii="Times New Roman" w:eastAsia="Times New Roman" w:hAnsi="Times New Roman"/>
          <w:sz w:val="24"/>
          <w:szCs w:val="24"/>
        </w:rPr>
      </w:pPr>
    </w:p>
    <w:p w14:paraId="3C1C841A" w14:textId="281F5A45" w:rsidR="00DE0F03" w:rsidRDefault="00DE0F03" w:rsidP="00DE0F03">
      <w:pPr>
        <w:pStyle w:val="NoSpacing"/>
        <w:rPr>
          <w:rFonts w:ascii="Arial Black" w:hAnsi="Arial Black"/>
          <w:sz w:val="24"/>
          <w:szCs w:val="24"/>
        </w:rPr>
      </w:pPr>
      <w:bookmarkStart w:id="532" w:name="_Hlk7346666"/>
      <w:r>
        <w:rPr>
          <w:rFonts w:ascii="Arial Black" w:hAnsi="Arial Black"/>
          <w:sz w:val="24"/>
          <w:szCs w:val="24"/>
        </w:rPr>
        <w:t>13-15</w:t>
      </w:r>
    </w:p>
    <w:p w14:paraId="649B7D23" w14:textId="77777777" w:rsidR="00DE0F03" w:rsidRDefault="00DE0F03" w:rsidP="00F326E5">
      <w:pPr>
        <w:pStyle w:val="NoSpacing"/>
        <w:rPr>
          <w:rFonts w:ascii="Arial Black" w:hAnsi="Arial Black"/>
          <w:sz w:val="28"/>
          <w:szCs w:val="28"/>
        </w:rPr>
      </w:pPr>
    </w:p>
    <w:p w14:paraId="0202D953" w14:textId="56B4793A" w:rsidR="00F326E5" w:rsidRDefault="00F326E5" w:rsidP="00F326E5">
      <w:pPr>
        <w:pStyle w:val="NoSpacing"/>
        <w:rPr>
          <w:rFonts w:ascii="Arial Black" w:hAnsi="Arial Black"/>
          <w:sz w:val="28"/>
          <w:szCs w:val="28"/>
        </w:rPr>
      </w:pPr>
      <w:bookmarkStart w:id="533" w:name="_Hlk41154233"/>
      <w:r>
        <w:rPr>
          <w:rFonts w:ascii="Arial Black" w:hAnsi="Arial Black"/>
          <w:sz w:val="28"/>
          <w:szCs w:val="28"/>
        </w:rPr>
        <w:t xml:space="preserve">KY:  STERNUM RUB ON PATIENT WHO HAD BECOME UNRESPONSIVE – CAN’T SUE </w:t>
      </w:r>
      <w:r w:rsidR="00DA4990">
        <w:rPr>
          <w:rFonts w:ascii="Arial Black" w:hAnsi="Arial Black"/>
          <w:sz w:val="28"/>
          <w:szCs w:val="28"/>
        </w:rPr>
        <w:t xml:space="preserve">EMS </w:t>
      </w:r>
      <w:r>
        <w:rPr>
          <w:rFonts w:ascii="Arial Black" w:hAnsi="Arial Black"/>
          <w:sz w:val="28"/>
          <w:szCs w:val="28"/>
        </w:rPr>
        <w:t>FOR ASSAULT</w:t>
      </w:r>
    </w:p>
    <w:p w14:paraId="6162907F" w14:textId="77777777" w:rsidR="006114FF" w:rsidRDefault="00F326E5" w:rsidP="006114FF">
      <w:pPr>
        <w:pStyle w:val="NoSpacing"/>
        <w:rPr>
          <w:rFonts w:ascii="Times New Roman" w:hAnsi="Times New Roman"/>
          <w:sz w:val="24"/>
          <w:szCs w:val="24"/>
        </w:rPr>
      </w:pPr>
      <w:r w:rsidRPr="006114FF">
        <w:rPr>
          <w:rFonts w:ascii="Times New Roman" w:hAnsi="Times New Roman"/>
          <w:sz w:val="24"/>
          <w:szCs w:val="24"/>
        </w:rPr>
        <w:t xml:space="preserve">On Oct. 9, 2018, in </w:t>
      </w:r>
      <w:r w:rsidRPr="006114FF">
        <w:rPr>
          <w:rFonts w:ascii="Times New Roman" w:hAnsi="Times New Roman"/>
          <w:sz w:val="24"/>
          <w:szCs w:val="24"/>
          <w:u w:val="single"/>
        </w:rPr>
        <w:t>Troy K. Scheffler v. Alex Lee, et al.</w:t>
      </w:r>
      <w:r w:rsidRPr="006114FF">
        <w:rPr>
          <w:rFonts w:ascii="Times New Roman" w:hAnsi="Times New Roman"/>
          <w:sz w:val="24"/>
          <w:szCs w:val="24"/>
        </w:rPr>
        <w:t xml:space="preserve">, the U.S. Court of Appeals </w:t>
      </w:r>
      <w:proofErr w:type="spellStart"/>
      <w:r w:rsidRPr="006114FF">
        <w:rPr>
          <w:rFonts w:ascii="Times New Roman" w:hAnsi="Times New Roman"/>
          <w:sz w:val="24"/>
          <w:szCs w:val="24"/>
        </w:rPr>
        <w:t>flor</w:t>
      </w:r>
      <w:proofErr w:type="spellEnd"/>
      <w:r w:rsidRPr="006114FF">
        <w:rPr>
          <w:rFonts w:ascii="Times New Roman" w:hAnsi="Times New Roman"/>
          <w:sz w:val="24"/>
          <w:szCs w:val="24"/>
        </w:rPr>
        <w:t xml:space="preserve"> 6</w:t>
      </w:r>
      <w:r w:rsidRPr="006114FF">
        <w:rPr>
          <w:rFonts w:ascii="Times New Roman" w:hAnsi="Times New Roman"/>
          <w:sz w:val="24"/>
          <w:szCs w:val="24"/>
          <w:vertAlign w:val="superscript"/>
        </w:rPr>
        <w:t>th</w:t>
      </w:r>
      <w:r w:rsidRPr="006114FF">
        <w:rPr>
          <w:rFonts w:ascii="Times New Roman" w:hAnsi="Times New Roman"/>
          <w:sz w:val="24"/>
          <w:szCs w:val="24"/>
        </w:rPr>
        <w:t xml:space="preserve"> Circuit (Cincinnati, OH) held (3 to 0) that the U.S. District Court had properly granted summary judgment and dismissed the lawsuit against EMT Michael Carroll.  </w:t>
      </w:r>
    </w:p>
    <w:p w14:paraId="5F584D87" w14:textId="77777777" w:rsidR="006114FF" w:rsidRDefault="006114FF" w:rsidP="006114FF">
      <w:pPr>
        <w:pStyle w:val="NoSpacing"/>
        <w:rPr>
          <w:rFonts w:ascii="Times New Roman" w:hAnsi="Times New Roman"/>
          <w:sz w:val="24"/>
          <w:szCs w:val="24"/>
        </w:rPr>
      </w:pPr>
    </w:p>
    <w:p w14:paraId="4257EF43" w14:textId="1D4E4922" w:rsidR="00F326E5" w:rsidRPr="006114FF" w:rsidRDefault="00F326E5" w:rsidP="006114FF">
      <w:pPr>
        <w:pStyle w:val="NoSpacing"/>
        <w:ind w:left="720"/>
        <w:rPr>
          <w:rFonts w:ascii="Times New Roman" w:eastAsia="Times New Roman" w:hAnsi="Times New Roman"/>
          <w:sz w:val="24"/>
          <w:szCs w:val="24"/>
        </w:rPr>
      </w:pPr>
      <w:r w:rsidRPr="006114FF">
        <w:rPr>
          <w:rFonts w:ascii="Times New Roman" w:hAnsi="Times New Roman"/>
          <w:sz w:val="24"/>
          <w:szCs w:val="24"/>
        </w:rPr>
        <w:t>“</w:t>
      </w:r>
      <w:r w:rsidRPr="006114FF">
        <w:rPr>
          <w:rFonts w:ascii="Times New Roman" w:eastAsia="Times New Roman" w:hAnsi="Times New Roman"/>
          <w:sz w:val="24"/>
          <w:szCs w:val="24"/>
        </w:rPr>
        <w:t xml:space="preserve">Scheffler consented to medical care by asking to be taken to the hospital and by willingly entering the ambulance with the EMTs, and there is no indication that Scheffler withdrew or limited that consent. Carroll performed the sternum rub as part of that care.” </w:t>
      </w:r>
      <w:hyperlink r:id="rId2432" w:history="1">
        <w:r w:rsidRPr="006114FF">
          <w:rPr>
            <w:rStyle w:val="Hyperlink"/>
            <w:rFonts w:ascii="Times New Roman" w:hAnsi="Times New Roman"/>
            <w:sz w:val="24"/>
            <w:szCs w:val="24"/>
          </w:rPr>
          <w:t>http://www.opn.ca6.uscourts.gov/opinions.pdf/18a0499n-06.pdf</w:t>
        </w:r>
      </w:hyperlink>
      <w:r w:rsidRPr="006114FF">
        <w:rPr>
          <w:rFonts w:ascii="Times New Roman" w:eastAsia="Times New Roman" w:hAnsi="Times New Roman"/>
          <w:sz w:val="24"/>
          <w:szCs w:val="24"/>
        </w:rPr>
        <w:t xml:space="preserve"> </w:t>
      </w:r>
    </w:p>
    <w:p w14:paraId="0D0CB075" w14:textId="77777777" w:rsidR="006114FF" w:rsidRDefault="006114FF" w:rsidP="006114FF">
      <w:pPr>
        <w:pStyle w:val="NoSpacing"/>
        <w:rPr>
          <w:rFonts w:ascii="Times New Roman" w:hAnsi="Times New Roman"/>
          <w:b/>
          <w:sz w:val="24"/>
          <w:szCs w:val="24"/>
        </w:rPr>
      </w:pPr>
    </w:p>
    <w:p w14:paraId="4282BA54" w14:textId="242726EA" w:rsidR="00F326E5" w:rsidRPr="006114FF" w:rsidRDefault="00F326E5" w:rsidP="006114FF">
      <w:pPr>
        <w:pStyle w:val="NoSpacing"/>
        <w:rPr>
          <w:rFonts w:ascii="Times New Roman" w:hAnsi="Times New Roman"/>
          <w:b/>
          <w:sz w:val="24"/>
          <w:szCs w:val="24"/>
        </w:rPr>
      </w:pPr>
      <w:r w:rsidRPr="006114FF">
        <w:rPr>
          <w:rFonts w:ascii="Times New Roman" w:hAnsi="Times New Roman"/>
          <w:b/>
          <w:sz w:val="24"/>
          <w:szCs w:val="24"/>
        </w:rPr>
        <w:t xml:space="preserve">Legal Lessons Learned:  Thoroughly document reasons for a sternum rub, or other medical procedures.  </w:t>
      </w:r>
    </w:p>
    <w:bookmarkEnd w:id="533"/>
    <w:p w14:paraId="2C3302F5" w14:textId="77777777" w:rsidR="00F326E5" w:rsidRPr="006114FF" w:rsidRDefault="00F326E5" w:rsidP="006114FF">
      <w:pPr>
        <w:pStyle w:val="NoSpacing"/>
        <w:rPr>
          <w:rFonts w:ascii="Times New Roman" w:eastAsia="Times New Roman" w:hAnsi="Times New Roman"/>
          <w:b/>
          <w:sz w:val="24"/>
          <w:szCs w:val="24"/>
        </w:rPr>
      </w:pPr>
    </w:p>
    <w:bookmarkEnd w:id="532"/>
    <w:p w14:paraId="3C052DB2" w14:textId="77777777" w:rsidR="00F326E5" w:rsidRDefault="00F326E5" w:rsidP="00F326E5">
      <w:pPr>
        <w:pStyle w:val="NoSpacing"/>
        <w:rPr>
          <w:rFonts w:ascii="Arial Black" w:hAnsi="Arial Black"/>
          <w:b/>
          <w:sz w:val="24"/>
          <w:szCs w:val="24"/>
        </w:rPr>
      </w:pPr>
    </w:p>
    <w:p w14:paraId="0CC0E30B" w14:textId="5ED2C3F5" w:rsidR="00DE0F03" w:rsidRDefault="00DE0F03" w:rsidP="00DE0F03">
      <w:pPr>
        <w:pStyle w:val="NoSpacing"/>
        <w:rPr>
          <w:rFonts w:ascii="Arial Black" w:hAnsi="Arial Black"/>
          <w:sz w:val="24"/>
          <w:szCs w:val="24"/>
        </w:rPr>
      </w:pPr>
      <w:r>
        <w:rPr>
          <w:rFonts w:ascii="Arial Black" w:hAnsi="Arial Black"/>
          <w:sz w:val="24"/>
          <w:szCs w:val="24"/>
        </w:rPr>
        <w:t>13-14</w:t>
      </w:r>
    </w:p>
    <w:p w14:paraId="2DB6E473" w14:textId="77777777" w:rsidR="00F326E5" w:rsidRDefault="00F326E5" w:rsidP="00F326E5">
      <w:pPr>
        <w:pStyle w:val="NoSpacing"/>
        <w:rPr>
          <w:b/>
          <w:sz w:val="24"/>
          <w:szCs w:val="24"/>
        </w:rPr>
      </w:pPr>
    </w:p>
    <w:p w14:paraId="71D292F1" w14:textId="538A478D" w:rsidR="00F326E5" w:rsidRPr="00877AA6" w:rsidRDefault="00F326E5" w:rsidP="00F326E5">
      <w:pPr>
        <w:rPr>
          <w:rFonts w:ascii="Times New Roman" w:hAnsi="Times New Roman"/>
          <w:sz w:val="24"/>
          <w:szCs w:val="24"/>
        </w:rPr>
      </w:pPr>
      <w:bookmarkStart w:id="534" w:name="_Hlk7346706"/>
      <w:r w:rsidRPr="00877AA6">
        <w:rPr>
          <w:rFonts w:ascii="Arial Black" w:hAnsi="Arial Black"/>
          <w:sz w:val="28"/>
          <w:szCs w:val="28"/>
        </w:rPr>
        <w:t xml:space="preserve">NY: FF </w:t>
      </w:r>
      <w:r>
        <w:rPr>
          <w:rFonts w:ascii="Arial Black" w:hAnsi="Arial Black"/>
          <w:sz w:val="28"/>
          <w:szCs w:val="28"/>
        </w:rPr>
        <w:t xml:space="preserve">FELL WHEN AMBUL. BACK STEP NOT LOWERED – ACCIDENTAL DISAB. CLAIM UPHELD </w:t>
      </w:r>
      <w:r w:rsidRPr="00877AA6">
        <w:rPr>
          <w:rFonts w:ascii="Times New Roman" w:hAnsi="Times New Roman"/>
          <w:sz w:val="24"/>
          <w:szCs w:val="24"/>
        </w:rPr>
        <w:t xml:space="preserve">[also filed, Chap. 6] </w:t>
      </w:r>
    </w:p>
    <w:p w14:paraId="365C0E81" w14:textId="77777777" w:rsidR="00F326E5" w:rsidRPr="006114FF" w:rsidRDefault="00F326E5" w:rsidP="00F326E5">
      <w:pPr>
        <w:rPr>
          <w:rFonts w:ascii="Times New Roman" w:hAnsi="Times New Roman"/>
          <w:b/>
          <w:sz w:val="24"/>
          <w:szCs w:val="24"/>
        </w:rPr>
      </w:pPr>
      <w:r w:rsidRPr="006114FF">
        <w:rPr>
          <w:rFonts w:ascii="Times New Roman" w:eastAsia="Times New Roman" w:hAnsi="Times New Roman"/>
          <w:sz w:val="24"/>
          <w:szCs w:val="24"/>
        </w:rPr>
        <w:t xml:space="preserve">On Sept. 6, 2018, </w:t>
      </w:r>
      <w:r w:rsidRPr="006114FF">
        <w:rPr>
          <w:rFonts w:ascii="Times New Roman" w:eastAsia="Times New Roman" w:hAnsi="Times New Roman"/>
          <w:sz w:val="24"/>
          <w:szCs w:val="24"/>
          <w:u w:val="single"/>
        </w:rPr>
        <w:t>In The Matter Of Gregg A. Loia v. Thomas P. Di Napoli, State Comptroller</w:t>
      </w:r>
      <w:r w:rsidRPr="006114FF">
        <w:rPr>
          <w:rFonts w:ascii="Times New Roman" w:eastAsia="Times New Roman" w:hAnsi="Times New Roman"/>
          <w:sz w:val="24"/>
          <w:szCs w:val="24"/>
        </w:rPr>
        <w:t xml:space="preserve">,  the NY Supreme Court, Appellate Division (Third Judicial Department) held (3 to 0) the injured firefighter is entitled to accidental retirement benefits since the back step of the ambulance had not been lowered by EMS personnel, and he suffered an “accident” on the “malfunctioning piece of equipment that was designed, under normal circumstances, to promote safety.” </w:t>
      </w:r>
      <w:hyperlink r:id="rId2433" w:history="1">
        <w:r w:rsidRPr="006114FF">
          <w:rPr>
            <w:rStyle w:val="Hyperlink"/>
            <w:rFonts w:ascii="Times New Roman" w:hAnsi="Times New Roman"/>
            <w:sz w:val="24"/>
            <w:szCs w:val="24"/>
          </w:rPr>
          <w:t>http://decisions.courts.state.ny.us/ad3/Decisions/2018/526165.pdf</w:t>
        </w:r>
      </w:hyperlink>
      <w:r w:rsidRPr="006114FF">
        <w:rPr>
          <w:rFonts w:ascii="Times New Roman" w:eastAsia="Times New Roman" w:hAnsi="Times New Roman"/>
          <w:sz w:val="24"/>
          <w:szCs w:val="24"/>
        </w:rPr>
        <w:t xml:space="preserve"> </w:t>
      </w:r>
    </w:p>
    <w:p w14:paraId="04A53486" w14:textId="77777777" w:rsidR="00F326E5" w:rsidRPr="006114FF" w:rsidRDefault="00F326E5" w:rsidP="00F326E5">
      <w:pPr>
        <w:rPr>
          <w:rFonts w:ascii="Times New Roman" w:eastAsia="Times New Roman" w:hAnsi="Times New Roman"/>
          <w:b/>
          <w:sz w:val="24"/>
          <w:szCs w:val="24"/>
        </w:rPr>
      </w:pPr>
      <w:r w:rsidRPr="006114FF">
        <w:rPr>
          <w:rFonts w:ascii="Times New Roman" w:eastAsia="Times New Roman" w:hAnsi="Times New Roman"/>
          <w:b/>
          <w:sz w:val="24"/>
          <w:szCs w:val="24"/>
        </w:rPr>
        <w:t xml:space="preserve">Legal Lessons Learned:  Fire &amp; EMS personnel should document any on the job injury (including, in this case, photos of the ambulance step) and obtain statements from others on the scene.  It is unfortunate that a dispute over disability retirement benefits has been in litigation since 2012.  </w:t>
      </w:r>
    </w:p>
    <w:bookmarkEnd w:id="534"/>
    <w:p w14:paraId="50DC9AFF" w14:textId="77777777" w:rsidR="00F326E5" w:rsidRDefault="00F326E5" w:rsidP="00F326E5">
      <w:pPr>
        <w:rPr>
          <w:rFonts w:eastAsia="Times New Roman"/>
          <w:b/>
          <w:sz w:val="24"/>
          <w:szCs w:val="24"/>
        </w:rPr>
      </w:pPr>
    </w:p>
    <w:p w14:paraId="50C60981" w14:textId="64903EAA" w:rsidR="00DE0F03" w:rsidRDefault="00DE0F03" w:rsidP="00DE0F03">
      <w:pPr>
        <w:pStyle w:val="NoSpacing"/>
        <w:rPr>
          <w:rFonts w:ascii="Arial Black" w:hAnsi="Arial Black"/>
          <w:sz w:val="24"/>
          <w:szCs w:val="24"/>
        </w:rPr>
      </w:pPr>
      <w:r>
        <w:rPr>
          <w:rFonts w:ascii="Arial Black" w:hAnsi="Arial Black"/>
          <w:sz w:val="24"/>
          <w:szCs w:val="24"/>
        </w:rPr>
        <w:lastRenderedPageBreak/>
        <w:t>13-13</w:t>
      </w:r>
    </w:p>
    <w:p w14:paraId="62EEFCB4" w14:textId="77777777" w:rsidR="00DA4990" w:rsidRDefault="00DA4990" w:rsidP="00F326E5">
      <w:pPr>
        <w:rPr>
          <w:sz w:val="24"/>
          <w:szCs w:val="24"/>
        </w:rPr>
      </w:pPr>
    </w:p>
    <w:p w14:paraId="3A3309D2" w14:textId="7AE7C010" w:rsidR="00F326E5" w:rsidRPr="00877AA6" w:rsidRDefault="00F326E5" w:rsidP="00F326E5">
      <w:pPr>
        <w:rPr>
          <w:rFonts w:ascii="Arial Black" w:hAnsi="Arial Black"/>
          <w:sz w:val="28"/>
          <w:szCs w:val="28"/>
        </w:rPr>
      </w:pPr>
      <w:bookmarkStart w:id="535" w:name="_Hlk7346756"/>
      <w:bookmarkStart w:id="536" w:name="_Hlk41154421"/>
      <w:r w:rsidRPr="00877AA6">
        <w:rPr>
          <w:rFonts w:ascii="Arial Black" w:hAnsi="Arial Black"/>
          <w:sz w:val="28"/>
          <w:szCs w:val="28"/>
        </w:rPr>
        <w:t>NJ: P</w:t>
      </w:r>
      <w:r>
        <w:rPr>
          <w:rFonts w:ascii="Arial Black" w:hAnsi="Arial Black"/>
          <w:sz w:val="28"/>
          <w:szCs w:val="28"/>
        </w:rPr>
        <w:t xml:space="preserve">ARAMEDIC STUDENT </w:t>
      </w:r>
      <w:r w:rsidR="00DA4990">
        <w:rPr>
          <w:rFonts w:ascii="Arial Black" w:hAnsi="Arial Black"/>
          <w:sz w:val="28"/>
          <w:szCs w:val="28"/>
        </w:rPr>
        <w:t xml:space="preserve">WAS </w:t>
      </w:r>
      <w:r>
        <w:rPr>
          <w:rFonts w:ascii="Arial Black" w:hAnsi="Arial Black"/>
          <w:sz w:val="28"/>
          <w:szCs w:val="28"/>
        </w:rPr>
        <w:t>GIVEN 6-MONTH EXTENSION TO COMPLETE CLINICALS – NO FURTHER</w:t>
      </w:r>
      <w:r w:rsidR="00DA4990">
        <w:rPr>
          <w:rFonts w:ascii="Arial Black" w:hAnsi="Arial Black"/>
          <w:sz w:val="28"/>
          <w:szCs w:val="28"/>
        </w:rPr>
        <w:t xml:space="preserve"> EXTENSIONS</w:t>
      </w:r>
    </w:p>
    <w:p w14:paraId="530C8751" w14:textId="77777777" w:rsidR="00F326E5" w:rsidRPr="006114FF" w:rsidRDefault="00F326E5" w:rsidP="006114FF">
      <w:pPr>
        <w:pStyle w:val="NoSpacing"/>
        <w:rPr>
          <w:rFonts w:ascii="Times New Roman" w:hAnsi="Times New Roman"/>
          <w:sz w:val="24"/>
          <w:szCs w:val="24"/>
        </w:rPr>
      </w:pPr>
      <w:r w:rsidRPr="006114FF">
        <w:rPr>
          <w:rFonts w:ascii="Times New Roman" w:hAnsi="Times New Roman"/>
          <w:sz w:val="24"/>
          <w:szCs w:val="24"/>
        </w:rPr>
        <w:t>On Sept. 4, 2018, in</w:t>
      </w:r>
      <w:r w:rsidRPr="006114FF">
        <w:rPr>
          <w:rFonts w:ascii="Times New Roman" w:hAnsi="Times New Roman"/>
          <w:sz w:val="24"/>
          <w:szCs w:val="24"/>
          <w:u w:val="single"/>
        </w:rPr>
        <w:t xml:space="preserve"> The Matter </w:t>
      </w:r>
      <w:proofErr w:type="gramStart"/>
      <w:r w:rsidRPr="006114FF">
        <w:rPr>
          <w:rFonts w:ascii="Times New Roman" w:hAnsi="Times New Roman"/>
          <w:sz w:val="24"/>
          <w:szCs w:val="24"/>
          <w:u w:val="single"/>
        </w:rPr>
        <w:t>Of</w:t>
      </w:r>
      <w:proofErr w:type="gramEnd"/>
      <w:r w:rsidRPr="006114FF">
        <w:rPr>
          <w:rFonts w:ascii="Times New Roman" w:hAnsi="Times New Roman"/>
          <w:sz w:val="24"/>
          <w:szCs w:val="24"/>
          <w:u w:val="single"/>
        </w:rPr>
        <w:t xml:space="preserve"> Denial </w:t>
      </w:r>
      <w:proofErr w:type="gramStart"/>
      <w:r w:rsidRPr="006114FF">
        <w:rPr>
          <w:rFonts w:ascii="Times New Roman" w:hAnsi="Times New Roman"/>
          <w:sz w:val="24"/>
          <w:szCs w:val="24"/>
          <w:u w:val="single"/>
        </w:rPr>
        <w:t>Of</w:t>
      </w:r>
      <w:proofErr w:type="gramEnd"/>
      <w:r w:rsidRPr="006114FF">
        <w:rPr>
          <w:rFonts w:ascii="Times New Roman" w:hAnsi="Times New Roman"/>
          <w:sz w:val="24"/>
          <w:szCs w:val="24"/>
          <w:u w:val="single"/>
        </w:rPr>
        <w:t xml:space="preserve"> Waiver </w:t>
      </w:r>
      <w:proofErr w:type="gramStart"/>
      <w:r w:rsidRPr="006114FF">
        <w:rPr>
          <w:rFonts w:ascii="Times New Roman" w:hAnsi="Times New Roman"/>
          <w:sz w:val="24"/>
          <w:szCs w:val="24"/>
          <w:u w:val="single"/>
        </w:rPr>
        <w:t>For</w:t>
      </w:r>
      <w:proofErr w:type="gramEnd"/>
      <w:r w:rsidRPr="006114FF">
        <w:rPr>
          <w:rFonts w:ascii="Times New Roman" w:hAnsi="Times New Roman"/>
          <w:sz w:val="24"/>
          <w:szCs w:val="24"/>
          <w:u w:val="single"/>
        </w:rPr>
        <w:t xml:space="preserve"> Alberto Sanchez</w:t>
      </w:r>
      <w:r w:rsidRPr="006114FF">
        <w:rPr>
          <w:rFonts w:ascii="Times New Roman" w:hAnsi="Times New Roman"/>
          <w:sz w:val="24"/>
          <w:szCs w:val="24"/>
        </w:rPr>
        <w:t xml:space="preserve">, the Superior Court of New Jersey, Appellate Division, held (2 to 0 in unpublished opinion) that State EMS Board properly refused to grant an extension of total training time. “Despite obtaining an extension [of six months to complete clinicals], Sanchez failed to timely complete his clinical training by not participating in at least five cardiac arrest resuscitations and not successfully performing at least five defibrillations and synchronized cardioversions. N.J.A.C. 8:41A-2.6(a)(9) and (10). He only participated in three cardiac </w:t>
      </w:r>
      <w:proofErr w:type="gramStart"/>
      <w:r w:rsidRPr="006114FF">
        <w:rPr>
          <w:rFonts w:ascii="Times New Roman" w:hAnsi="Times New Roman"/>
          <w:sz w:val="24"/>
          <w:szCs w:val="24"/>
        </w:rPr>
        <w:t>arrests, and</w:t>
      </w:r>
      <w:proofErr w:type="gramEnd"/>
      <w:r w:rsidRPr="006114FF">
        <w:rPr>
          <w:rFonts w:ascii="Times New Roman" w:hAnsi="Times New Roman"/>
          <w:sz w:val="24"/>
          <w:szCs w:val="24"/>
        </w:rPr>
        <w:t xml:space="preserve"> failed to complete any defibrillations or cardioversions. *** The OEMS denied the waiver [of 36-month total training time] request on March 6, 2017, because under N.J.A.C. 8:41A -2.4, his training could not be extended beyond February 6, 2017– thirty-six months of his starting date – and there were public health concerns if he was allowed more time.”</w:t>
      </w:r>
    </w:p>
    <w:p w14:paraId="22B019F3" w14:textId="77777777" w:rsidR="00F326E5" w:rsidRPr="006114FF" w:rsidRDefault="00F326E5" w:rsidP="006114FF">
      <w:pPr>
        <w:pStyle w:val="NoSpacing"/>
        <w:rPr>
          <w:rStyle w:val="Hyperlink"/>
          <w:rFonts w:ascii="Times New Roman" w:hAnsi="Times New Roman"/>
          <w:b/>
          <w:sz w:val="24"/>
          <w:szCs w:val="24"/>
        </w:rPr>
      </w:pPr>
      <w:hyperlink r:id="rId2434" w:history="1">
        <w:r w:rsidRPr="006114FF">
          <w:rPr>
            <w:rStyle w:val="Hyperlink"/>
            <w:rFonts w:ascii="Times New Roman" w:hAnsi="Times New Roman"/>
            <w:sz w:val="24"/>
            <w:szCs w:val="24"/>
          </w:rPr>
          <w:t>https://www.njcourts.gov/attorneys/assets/opinions/appellate/unpublished/a4258-16.pdf?cacheID=HAxjRbJ</w:t>
        </w:r>
      </w:hyperlink>
    </w:p>
    <w:p w14:paraId="60B2DA04" w14:textId="77777777" w:rsidR="006114FF" w:rsidRDefault="006114FF" w:rsidP="006114FF">
      <w:pPr>
        <w:pStyle w:val="NoSpacing"/>
        <w:rPr>
          <w:rFonts w:ascii="Times New Roman" w:hAnsi="Times New Roman"/>
          <w:b/>
          <w:sz w:val="24"/>
          <w:szCs w:val="24"/>
        </w:rPr>
      </w:pPr>
    </w:p>
    <w:p w14:paraId="58E04BDA" w14:textId="2AA03F8D" w:rsidR="00F326E5" w:rsidRPr="006114FF" w:rsidRDefault="00F326E5" w:rsidP="006114FF">
      <w:pPr>
        <w:pStyle w:val="NoSpacing"/>
        <w:rPr>
          <w:rFonts w:ascii="Times New Roman" w:hAnsi="Times New Roman"/>
          <w:b/>
          <w:sz w:val="24"/>
          <w:szCs w:val="24"/>
        </w:rPr>
      </w:pPr>
      <w:r w:rsidRPr="006114FF">
        <w:rPr>
          <w:rFonts w:ascii="Times New Roman" w:hAnsi="Times New Roman"/>
          <w:b/>
          <w:sz w:val="24"/>
          <w:szCs w:val="24"/>
        </w:rPr>
        <w:t>Legal Lesson Learned:  Courts are generally very reluctant to overturn decisions of State agencies, such as EMS Boards, regarding the protection of health of the public.</w:t>
      </w:r>
    </w:p>
    <w:p w14:paraId="2FCADC76" w14:textId="77777777" w:rsidR="00F326E5" w:rsidRPr="006114FF" w:rsidRDefault="00F326E5" w:rsidP="006114FF">
      <w:pPr>
        <w:pStyle w:val="NoSpacing"/>
        <w:rPr>
          <w:rFonts w:ascii="Times New Roman" w:hAnsi="Times New Roman"/>
          <w:b/>
          <w:sz w:val="24"/>
          <w:szCs w:val="24"/>
        </w:rPr>
      </w:pPr>
    </w:p>
    <w:bookmarkEnd w:id="535"/>
    <w:p w14:paraId="147874C9" w14:textId="77777777" w:rsidR="00F326E5" w:rsidRPr="006114FF" w:rsidRDefault="00F326E5" w:rsidP="006114FF">
      <w:pPr>
        <w:pStyle w:val="NoSpacing"/>
        <w:rPr>
          <w:rFonts w:ascii="Times New Roman" w:hAnsi="Times New Roman"/>
          <w:b/>
          <w:sz w:val="24"/>
          <w:szCs w:val="24"/>
        </w:rPr>
      </w:pPr>
    </w:p>
    <w:bookmarkEnd w:id="536"/>
    <w:p w14:paraId="6C24F54B" w14:textId="77777777" w:rsidR="00F326E5" w:rsidRDefault="00F326E5" w:rsidP="00F326E5">
      <w:pPr>
        <w:pStyle w:val="NoSpacing"/>
        <w:rPr>
          <w:rFonts w:eastAsia="Times New Roman"/>
          <w:b/>
          <w:sz w:val="24"/>
          <w:szCs w:val="24"/>
        </w:rPr>
      </w:pPr>
    </w:p>
    <w:p w14:paraId="6555DF9F" w14:textId="77777777" w:rsidR="0036327D" w:rsidRDefault="0036327D" w:rsidP="00DE0F03">
      <w:pPr>
        <w:pStyle w:val="NoSpacing"/>
        <w:rPr>
          <w:rFonts w:ascii="Arial Black" w:hAnsi="Arial Black"/>
          <w:sz w:val="24"/>
          <w:szCs w:val="24"/>
        </w:rPr>
      </w:pPr>
    </w:p>
    <w:p w14:paraId="40509453" w14:textId="77777777" w:rsidR="0036327D" w:rsidRDefault="0036327D" w:rsidP="00DE0F03">
      <w:pPr>
        <w:pStyle w:val="NoSpacing"/>
        <w:rPr>
          <w:rFonts w:ascii="Arial Black" w:hAnsi="Arial Black"/>
          <w:sz w:val="24"/>
          <w:szCs w:val="24"/>
        </w:rPr>
      </w:pPr>
    </w:p>
    <w:p w14:paraId="1C4220A3" w14:textId="77777777" w:rsidR="0036327D" w:rsidRDefault="0036327D" w:rsidP="00DE0F03">
      <w:pPr>
        <w:pStyle w:val="NoSpacing"/>
        <w:rPr>
          <w:rFonts w:ascii="Arial Black" w:hAnsi="Arial Black"/>
          <w:sz w:val="24"/>
          <w:szCs w:val="24"/>
        </w:rPr>
      </w:pPr>
    </w:p>
    <w:p w14:paraId="482BD327" w14:textId="6E570AB1" w:rsidR="00DE0F03" w:rsidRDefault="00DE0F03" w:rsidP="00DE0F03">
      <w:pPr>
        <w:pStyle w:val="NoSpacing"/>
        <w:rPr>
          <w:rFonts w:ascii="Arial Black" w:hAnsi="Arial Black"/>
          <w:sz w:val="24"/>
          <w:szCs w:val="24"/>
        </w:rPr>
      </w:pPr>
      <w:r>
        <w:rPr>
          <w:rFonts w:ascii="Arial Black" w:hAnsi="Arial Black"/>
          <w:sz w:val="24"/>
          <w:szCs w:val="24"/>
        </w:rPr>
        <w:t>13-12</w:t>
      </w:r>
    </w:p>
    <w:p w14:paraId="60E339E0" w14:textId="77777777" w:rsidR="00F326E5" w:rsidRDefault="00F326E5" w:rsidP="00F326E5">
      <w:pPr>
        <w:rPr>
          <w:sz w:val="24"/>
          <w:szCs w:val="24"/>
        </w:rPr>
      </w:pPr>
    </w:p>
    <w:p w14:paraId="08303B7E" w14:textId="27C02FD5" w:rsidR="00F326E5" w:rsidRPr="00877AA6" w:rsidRDefault="00F326E5" w:rsidP="00F326E5">
      <w:pPr>
        <w:rPr>
          <w:rFonts w:ascii="Arial Black" w:hAnsi="Arial Black"/>
          <w:sz w:val="28"/>
          <w:szCs w:val="28"/>
        </w:rPr>
      </w:pPr>
      <w:bookmarkStart w:id="537" w:name="_Hlk41154467"/>
      <w:bookmarkStart w:id="538" w:name="_Hlk7346790"/>
      <w:r w:rsidRPr="00877AA6">
        <w:rPr>
          <w:rFonts w:ascii="Arial Black" w:hAnsi="Arial Black"/>
          <w:sz w:val="28"/>
          <w:szCs w:val="28"/>
        </w:rPr>
        <w:t xml:space="preserve">OK: </w:t>
      </w:r>
      <w:r>
        <w:rPr>
          <w:rFonts w:ascii="Arial Black" w:hAnsi="Arial Black"/>
          <w:sz w:val="28"/>
          <w:szCs w:val="28"/>
        </w:rPr>
        <w:t>VERY EXPENSIVE TRANSPORT BY HELICOPTER – PATIENTS CAN’T SUE, FED. STATUTE</w:t>
      </w:r>
    </w:p>
    <w:p w14:paraId="795D8B48" w14:textId="77777777" w:rsidR="006114FF" w:rsidRDefault="00F326E5" w:rsidP="00F326E5">
      <w:pPr>
        <w:rPr>
          <w:rFonts w:ascii="Times New Roman" w:hAnsi="Times New Roman"/>
          <w:sz w:val="24"/>
          <w:szCs w:val="24"/>
        </w:rPr>
      </w:pPr>
      <w:r w:rsidRPr="006114FF">
        <w:rPr>
          <w:rFonts w:ascii="Times New Roman" w:hAnsi="Times New Roman"/>
          <w:sz w:val="24"/>
          <w:szCs w:val="24"/>
        </w:rPr>
        <w:t xml:space="preserve">On Aug. 31, 2018, in </w:t>
      </w:r>
      <w:r w:rsidRPr="006114FF">
        <w:rPr>
          <w:rFonts w:ascii="Times New Roman" w:hAnsi="Times New Roman"/>
          <w:sz w:val="24"/>
          <w:szCs w:val="24"/>
          <w:u w:val="single"/>
        </w:rPr>
        <w:t xml:space="preserve">Susan Schenberger, Lacy Stidman and Johnny Trent v. Air Evac EMS, </w:t>
      </w:r>
      <w:proofErr w:type="spellStart"/>
      <w:r w:rsidRPr="006114FF">
        <w:rPr>
          <w:rFonts w:ascii="Times New Roman" w:hAnsi="Times New Roman"/>
          <w:sz w:val="24"/>
          <w:szCs w:val="24"/>
          <w:u w:val="single"/>
        </w:rPr>
        <w:t>Inc.and</w:t>
      </w:r>
      <w:proofErr w:type="spellEnd"/>
      <w:r w:rsidRPr="006114FF">
        <w:rPr>
          <w:rFonts w:ascii="Times New Roman" w:hAnsi="Times New Roman"/>
          <w:sz w:val="24"/>
          <w:szCs w:val="24"/>
          <w:u w:val="single"/>
        </w:rPr>
        <w:t xml:space="preserve"> Air Evac EMS, Inc.</w:t>
      </w:r>
      <w:r w:rsidRPr="006114FF">
        <w:rPr>
          <w:rFonts w:ascii="Times New Roman" w:hAnsi="Times New Roman"/>
          <w:sz w:val="24"/>
          <w:szCs w:val="24"/>
        </w:rPr>
        <w:t>, the U.S. Court of Appeals for the 10</w:t>
      </w:r>
      <w:r w:rsidRPr="006114FF">
        <w:rPr>
          <w:rFonts w:ascii="Times New Roman" w:hAnsi="Times New Roman"/>
          <w:sz w:val="24"/>
          <w:szCs w:val="24"/>
          <w:vertAlign w:val="superscript"/>
        </w:rPr>
        <w:t>th</w:t>
      </w:r>
      <w:r w:rsidRPr="006114FF">
        <w:rPr>
          <w:rFonts w:ascii="Times New Roman" w:hAnsi="Times New Roman"/>
          <w:sz w:val="24"/>
          <w:szCs w:val="24"/>
        </w:rPr>
        <w:t xml:space="preserve"> Circuit, held (3 to 0) that the lawsuit was properly dismissed: </w:t>
      </w:r>
    </w:p>
    <w:p w14:paraId="3D670094" w14:textId="1C656843" w:rsidR="00F326E5" w:rsidRPr="006114FF" w:rsidRDefault="00F326E5" w:rsidP="006114FF">
      <w:pPr>
        <w:ind w:left="720"/>
        <w:rPr>
          <w:rFonts w:ascii="Times New Roman" w:hAnsi="Times New Roman"/>
          <w:sz w:val="24"/>
          <w:szCs w:val="24"/>
        </w:rPr>
      </w:pPr>
      <w:r w:rsidRPr="006114FF">
        <w:rPr>
          <w:rFonts w:ascii="Times New Roman" w:hAnsi="Times New Roman"/>
          <w:sz w:val="24"/>
          <w:szCs w:val="24"/>
        </w:rPr>
        <w:t xml:space="preserve">“Like the district court in this case, we have previously recognized that [Airline Deregulation Act] preemption may sometimes produce harsh results for potential plaintiffs seeking redress for perceived unfair treatment by air-ambulance carriers. </w:t>
      </w:r>
      <w:r w:rsidRPr="006114FF">
        <w:rPr>
          <w:rFonts w:ascii="Times New Roman" w:hAnsi="Times New Roman"/>
          <w:i/>
          <w:iCs/>
          <w:sz w:val="24"/>
          <w:szCs w:val="24"/>
        </w:rPr>
        <w:t>See Cox,</w:t>
      </w:r>
      <w:r w:rsidRPr="006114FF">
        <w:rPr>
          <w:rFonts w:ascii="Times New Roman" w:hAnsi="Times New Roman"/>
          <w:sz w:val="24"/>
          <w:szCs w:val="24"/>
        </w:rPr>
        <w:t xml:space="preserve"> 868 F.3d at 906-07. Yet, we felt constrained to observe that ‘[s]</w:t>
      </w:r>
      <w:proofErr w:type="spellStart"/>
      <w:r w:rsidRPr="006114FF">
        <w:rPr>
          <w:rFonts w:ascii="Times New Roman" w:hAnsi="Times New Roman"/>
          <w:sz w:val="24"/>
          <w:szCs w:val="24"/>
        </w:rPr>
        <w:t>uch</w:t>
      </w:r>
      <w:proofErr w:type="spellEnd"/>
      <w:r w:rsidRPr="006114FF">
        <w:rPr>
          <w:rFonts w:ascii="Times New Roman" w:hAnsi="Times New Roman"/>
          <w:sz w:val="24"/>
          <w:szCs w:val="24"/>
        </w:rPr>
        <w:t xml:space="preserve"> policy considerations . . . are beyond the purview of [the courts]’ and ‘must be addressed to Congress.’ </w:t>
      </w:r>
      <w:r w:rsidRPr="006114FF">
        <w:rPr>
          <w:rFonts w:ascii="Times New Roman" w:hAnsi="Times New Roman"/>
          <w:i/>
          <w:iCs/>
          <w:sz w:val="24"/>
          <w:szCs w:val="24"/>
        </w:rPr>
        <w:t>Id.</w:t>
      </w:r>
      <w:r w:rsidRPr="006114FF">
        <w:rPr>
          <w:rFonts w:ascii="Times New Roman" w:hAnsi="Times New Roman"/>
          <w:sz w:val="24"/>
          <w:szCs w:val="24"/>
        </w:rPr>
        <w:t xml:space="preserve">; </w:t>
      </w:r>
      <w:r w:rsidRPr="006114FF">
        <w:rPr>
          <w:rFonts w:ascii="Times New Roman" w:hAnsi="Times New Roman"/>
          <w:i/>
          <w:iCs/>
          <w:sz w:val="24"/>
          <w:szCs w:val="24"/>
        </w:rPr>
        <w:t>see also Ferrell v. Air EVAC EMS, Inc.,</w:t>
      </w:r>
      <w:r w:rsidRPr="006114FF">
        <w:rPr>
          <w:rFonts w:ascii="Times New Roman" w:hAnsi="Times New Roman"/>
          <w:sz w:val="24"/>
          <w:szCs w:val="24"/>
        </w:rPr>
        <w:t xml:space="preserve"> ___ F.3d ___, No. 17-2554, 2018 WL 3886688, at *3 (8th Cir. Aug. 16, 2018) (‘We may not refuse to apply ADA preemption merely because we do not believe it would be sound public policy to enforce the statute Congress enacted.’).” </w:t>
      </w:r>
      <w:hyperlink r:id="rId2435" w:history="1">
        <w:r w:rsidRPr="006114FF">
          <w:rPr>
            <w:rStyle w:val="Hyperlink"/>
            <w:rFonts w:ascii="Times New Roman" w:hAnsi="Times New Roman"/>
            <w:sz w:val="24"/>
            <w:szCs w:val="24"/>
          </w:rPr>
          <w:t>https://www.leagle.com/decision/infco20180831084</w:t>
        </w:r>
      </w:hyperlink>
      <w:r w:rsidRPr="006114FF">
        <w:rPr>
          <w:rFonts w:ascii="Times New Roman" w:hAnsi="Times New Roman"/>
          <w:sz w:val="24"/>
          <w:szCs w:val="24"/>
        </w:rPr>
        <w:t xml:space="preserve"> </w:t>
      </w:r>
    </w:p>
    <w:p w14:paraId="338E0343" w14:textId="77777777" w:rsidR="00F326E5" w:rsidRPr="006114FF" w:rsidRDefault="00F326E5" w:rsidP="00F326E5">
      <w:pPr>
        <w:rPr>
          <w:rFonts w:ascii="Times New Roman" w:hAnsi="Times New Roman"/>
          <w:b/>
          <w:sz w:val="24"/>
          <w:szCs w:val="24"/>
        </w:rPr>
      </w:pPr>
      <w:r w:rsidRPr="006114FF">
        <w:rPr>
          <w:rFonts w:ascii="Times New Roman" w:hAnsi="Times New Roman"/>
          <w:b/>
          <w:sz w:val="24"/>
          <w:szCs w:val="24"/>
        </w:rPr>
        <w:t xml:space="preserve">Legal Lessons Learned:  Air ambulance rates, like many other medical charges, can indeed be very expensive, but the remedy is with Congress.    </w:t>
      </w:r>
    </w:p>
    <w:bookmarkEnd w:id="537"/>
    <w:p w14:paraId="6A1FDE7B" w14:textId="77777777" w:rsidR="00F326E5" w:rsidRDefault="00F326E5" w:rsidP="00F326E5">
      <w:pPr>
        <w:rPr>
          <w:b/>
          <w:sz w:val="24"/>
          <w:szCs w:val="24"/>
        </w:rPr>
      </w:pPr>
    </w:p>
    <w:p w14:paraId="626EAFDF" w14:textId="0E86104B" w:rsidR="00DE0F03" w:rsidRDefault="00DE0F03" w:rsidP="00DE0F03">
      <w:pPr>
        <w:pStyle w:val="NoSpacing"/>
        <w:rPr>
          <w:rFonts w:ascii="Arial Black" w:hAnsi="Arial Black"/>
          <w:sz w:val="24"/>
          <w:szCs w:val="24"/>
        </w:rPr>
      </w:pPr>
      <w:r>
        <w:rPr>
          <w:rFonts w:ascii="Arial Black" w:hAnsi="Arial Black"/>
          <w:sz w:val="24"/>
          <w:szCs w:val="24"/>
        </w:rPr>
        <w:lastRenderedPageBreak/>
        <w:t>13-11</w:t>
      </w:r>
    </w:p>
    <w:p w14:paraId="63A6F6EA" w14:textId="77777777" w:rsidR="00F326E5" w:rsidRDefault="00F326E5" w:rsidP="00F326E5">
      <w:pPr>
        <w:rPr>
          <w:b/>
          <w:sz w:val="24"/>
          <w:szCs w:val="24"/>
        </w:rPr>
      </w:pPr>
    </w:p>
    <w:p w14:paraId="175B4DDF" w14:textId="036E2781" w:rsidR="00F326E5" w:rsidRPr="00C17E65" w:rsidRDefault="00F326E5" w:rsidP="00F326E5">
      <w:pPr>
        <w:rPr>
          <w:rFonts w:ascii="Arial Black" w:hAnsi="Arial Black"/>
          <w:sz w:val="28"/>
          <w:szCs w:val="28"/>
        </w:rPr>
      </w:pPr>
      <w:bookmarkStart w:id="539" w:name="_Hlk7346857"/>
      <w:bookmarkEnd w:id="538"/>
      <w:r>
        <w:rPr>
          <w:b/>
          <w:sz w:val="24"/>
          <w:szCs w:val="24"/>
        </w:rPr>
        <w:t xml:space="preserve"> </w:t>
      </w:r>
      <w:bookmarkStart w:id="540" w:name="_Hlk41154546"/>
      <w:r w:rsidRPr="00C17E65">
        <w:rPr>
          <w:rFonts w:ascii="Arial Black" w:hAnsi="Arial Black"/>
          <w:sz w:val="28"/>
          <w:szCs w:val="28"/>
        </w:rPr>
        <w:t xml:space="preserve">NY: ALLERGIC REACTION TO DOG BITE – PATIENT DIED – </w:t>
      </w:r>
      <w:r w:rsidR="00DA4990">
        <w:rPr>
          <w:rFonts w:ascii="Arial Black" w:hAnsi="Arial Black"/>
          <w:sz w:val="28"/>
          <w:szCs w:val="28"/>
        </w:rPr>
        <w:t>EM</w:t>
      </w:r>
      <w:r w:rsidR="00572A91">
        <w:rPr>
          <w:rFonts w:ascii="Arial Black" w:hAnsi="Arial Black"/>
          <w:sz w:val="28"/>
          <w:szCs w:val="28"/>
        </w:rPr>
        <w:t>S</w:t>
      </w:r>
      <w:r w:rsidR="00DA4990">
        <w:rPr>
          <w:rFonts w:ascii="Arial Black" w:hAnsi="Arial Black"/>
          <w:sz w:val="28"/>
          <w:szCs w:val="28"/>
        </w:rPr>
        <w:t xml:space="preserve"> </w:t>
      </w:r>
      <w:r>
        <w:rPr>
          <w:rFonts w:ascii="Arial Black" w:hAnsi="Arial Black"/>
          <w:sz w:val="28"/>
          <w:szCs w:val="28"/>
        </w:rPr>
        <w:t xml:space="preserve">PROTOCOL </w:t>
      </w:r>
      <w:r w:rsidR="00DA4990">
        <w:rPr>
          <w:rFonts w:ascii="Arial Black" w:hAnsi="Arial Black"/>
          <w:sz w:val="28"/>
          <w:szCs w:val="28"/>
        </w:rPr>
        <w:t xml:space="preserve">WAS </w:t>
      </w:r>
      <w:r>
        <w:rPr>
          <w:rFonts w:ascii="Arial Black" w:hAnsi="Arial Black"/>
          <w:sz w:val="28"/>
          <w:szCs w:val="28"/>
        </w:rPr>
        <w:t xml:space="preserve">NOT FOLLOWED, NO GOV’T </w:t>
      </w:r>
      <w:r w:rsidRPr="00C17E65">
        <w:rPr>
          <w:rFonts w:ascii="Arial Black" w:hAnsi="Arial Black"/>
          <w:sz w:val="28"/>
          <w:szCs w:val="28"/>
        </w:rPr>
        <w:t>IMMUNITY</w:t>
      </w:r>
      <w:r>
        <w:rPr>
          <w:rFonts w:ascii="Arial Black" w:hAnsi="Arial Black"/>
          <w:sz w:val="28"/>
          <w:szCs w:val="28"/>
        </w:rPr>
        <w:t xml:space="preserve"> </w:t>
      </w:r>
    </w:p>
    <w:p w14:paraId="6CB2C79E" w14:textId="77777777" w:rsidR="006114FF" w:rsidRDefault="00F326E5" w:rsidP="00F326E5">
      <w:pPr>
        <w:rPr>
          <w:rFonts w:ascii="Times New Roman" w:hAnsi="Times New Roman"/>
          <w:sz w:val="24"/>
          <w:szCs w:val="24"/>
        </w:rPr>
      </w:pPr>
      <w:r w:rsidRPr="006114FF">
        <w:rPr>
          <w:rFonts w:ascii="Times New Roman" w:hAnsi="Times New Roman"/>
          <w:sz w:val="24"/>
          <w:szCs w:val="24"/>
        </w:rPr>
        <w:t xml:space="preserve">On August 16, 2018, in </w:t>
      </w:r>
      <w:r w:rsidRPr="006114FF">
        <w:rPr>
          <w:rFonts w:ascii="Times New Roman" w:hAnsi="Times New Roman"/>
          <w:sz w:val="24"/>
          <w:szCs w:val="24"/>
          <w:u w:val="single"/>
        </w:rPr>
        <w:t>Christine Lynch v. Town of Greenburg and Greenburg Police Department Emergency Medical Service</w:t>
      </w:r>
      <w:r w:rsidRPr="006114FF">
        <w:rPr>
          <w:rFonts w:ascii="Times New Roman" w:hAnsi="Times New Roman"/>
          <w:sz w:val="24"/>
          <w:szCs w:val="24"/>
        </w:rPr>
        <w:t xml:space="preserve">, the NY Supreme Court, County of Westchester (Judge Lawrence E. Ecker), denied the defendants’ motion for summary judgment.  “In fact, despite being told that the decedent was having an allergic reaction to the dog, Marcello acknowledged that he did not consider whether the attack was an allergic attack, verses another form of asthma incident. He also specifically stated that he never considered giving the decedent any medication to address an allergic reaction.”   </w:t>
      </w:r>
      <w:bookmarkEnd w:id="540"/>
      <w:r w:rsidRPr="006114FF">
        <w:rPr>
          <w:rFonts w:ascii="Times New Roman" w:hAnsi="Times New Roman"/>
          <w:sz w:val="24"/>
          <w:szCs w:val="24"/>
        </w:rPr>
        <w:t xml:space="preserve">The Court also noted poor affidavit from EMS Supervisor: </w:t>
      </w:r>
    </w:p>
    <w:p w14:paraId="24C715D7" w14:textId="530E7531" w:rsidR="00F326E5" w:rsidRPr="006114FF" w:rsidRDefault="00F326E5" w:rsidP="006114FF">
      <w:pPr>
        <w:ind w:left="720"/>
        <w:rPr>
          <w:rFonts w:ascii="Times New Roman" w:hAnsi="Times New Roman"/>
          <w:sz w:val="24"/>
          <w:szCs w:val="24"/>
        </w:rPr>
      </w:pPr>
      <w:r w:rsidRPr="006114FF">
        <w:rPr>
          <w:rFonts w:ascii="Times New Roman" w:hAnsi="Times New Roman"/>
          <w:sz w:val="24"/>
          <w:szCs w:val="24"/>
        </w:rPr>
        <w:t xml:space="preserve">“Despite acknowledging that ‘this action sounds in medical malpractice’ …, defendants do not submit a physician's or EMT expert affirmation specifically addressing the precise medical treatment rendered to the decedent. Instead, defendants rely upon the affidavit of an EMT Supervisor who offers generalized, conclusory statements to the effect that EMS protocols permit EMTs to exercise discretion, without ever addressing any of the specifics of defendants' actions in this case. In fact, the specific protocols are not discussed or explained, the actual medical actions taken by the first responders are not delineated or compared to protocols, specific examples of acts of discretion by the first responders are not provided, and there is no express support for the medical care that was given.” </w:t>
      </w:r>
      <w:bookmarkStart w:id="541" w:name="_Hlk41154578"/>
      <w:r w:rsidR="00F37A4B">
        <w:fldChar w:fldCharType="begin"/>
      </w:r>
      <w:r w:rsidR="00F37A4B">
        <w:instrText xml:space="preserve"> HYPERLINK "https://law.justia.com/cases/new-york/other-courts/2018/2018-ny-slip-op-28264.html" </w:instrText>
      </w:r>
      <w:r w:rsidR="00F37A4B">
        <w:fldChar w:fldCharType="separate"/>
      </w:r>
      <w:r w:rsidRPr="006114FF">
        <w:rPr>
          <w:rStyle w:val="Hyperlink"/>
          <w:rFonts w:ascii="Times New Roman" w:hAnsi="Times New Roman"/>
          <w:sz w:val="24"/>
          <w:szCs w:val="24"/>
        </w:rPr>
        <w:t>https://law.justia.com/cases/new-york/other-courts/2018/2018-ny-slip-op-28264.html</w:t>
      </w:r>
      <w:r w:rsidR="00F37A4B">
        <w:rPr>
          <w:rStyle w:val="Hyperlink"/>
          <w:rFonts w:ascii="Times New Roman" w:hAnsi="Times New Roman"/>
          <w:sz w:val="24"/>
          <w:szCs w:val="24"/>
        </w:rPr>
        <w:fldChar w:fldCharType="end"/>
      </w:r>
      <w:r w:rsidRPr="006114FF">
        <w:rPr>
          <w:rFonts w:ascii="Times New Roman" w:hAnsi="Times New Roman"/>
          <w:sz w:val="24"/>
          <w:szCs w:val="24"/>
        </w:rPr>
        <w:t xml:space="preserve"> </w:t>
      </w:r>
    </w:p>
    <w:p w14:paraId="049DAAEE" w14:textId="77777777" w:rsidR="00F326E5" w:rsidRPr="006114FF" w:rsidRDefault="00F326E5" w:rsidP="00F326E5">
      <w:pPr>
        <w:pStyle w:val="Heading1"/>
        <w:rPr>
          <w:b w:val="0"/>
          <w:sz w:val="24"/>
          <w:szCs w:val="24"/>
        </w:rPr>
      </w:pPr>
      <w:r w:rsidRPr="006114FF">
        <w:rPr>
          <w:sz w:val="24"/>
          <w:szCs w:val="24"/>
        </w:rPr>
        <w:t xml:space="preserve">Legal Lessons Learned: Follow EMS </w:t>
      </w:r>
      <w:proofErr w:type="gramStart"/>
      <w:r w:rsidRPr="006114FF">
        <w:rPr>
          <w:sz w:val="24"/>
          <w:szCs w:val="24"/>
        </w:rPr>
        <w:t>protocol, or</w:t>
      </w:r>
      <w:proofErr w:type="gramEnd"/>
      <w:r w:rsidRPr="006114FF">
        <w:rPr>
          <w:sz w:val="24"/>
          <w:szCs w:val="24"/>
        </w:rPr>
        <w:t xml:space="preserve"> explain on EMS run report why the protocol was not followed. </w:t>
      </w:r>
    </w:p>
    <w:bookmarkEnd w:id="539"/>
    <w:bookmarkEnd w:id="541"/>
    <w:p w14:paraId="2FB32D6D" w14:textId="77777777" w:rsidR="00F326E5" w:rsidRDefault="00F326E5" w:rsidP="00F326E5">
      <w:pPr>
        <w:pStyle w:val="NoSpacing"/>
        <w:rPr>
          <w:rFonts w:ascii="Arial Black" w:hAnsi="Arial Black"/>
          <w:b/>
          <w:sz w:val="24"/>
          <w:szCs w:val="24"/>
        </w:rPr>
      </w:pPr>
    </w:p>
    <w:p w14:paraId="07E27496" w14:textId="77777777" w:rsidR="00F326E5" w:rsidRPr="00BE5483" w:rsidRDefault="00F326E5" w:rsidP="00F326E5">
      <w:pPr>
        <w:rPr>
          <w:b/>
          <w:sz w:val="24"/>
          <w:szCs w:val="24"/>
        </w:rPr>
      </w:pPr>
    </w:p>
    <w:p w14:paraId="2055BCF2" w14:textId="71659E16" w:rsidR="00DE0F03" w:rsidRDefault="00DE0F03" w:rsidP="00DE0F03">
      <w:pPr>
        <w:pStyle w:val="NoSpacing"/>
        <w:rPr>
          <w:rFonts w:ascii="Arial Black" w:hAnsi="Arial Black"/>
          <w:sz w:val="24"/>
          <w:szCs w:val="24"/>
        </w:rPr>
      </w:pPr>
      <w:r>
        <w:rPr>
          <w:rFonts w:ascii="Arial Black" w:hAnsi="Arial Black"/>
          <w:sz w:val="24"/>
          <w:szCs w:val="24"/>
        </w:rPr>
        <w:t>13-10</w:t>
      </w:r>
    </w:p>
    <w:p w14:paraId="159F44A2" w14:textId="77777777" w:rsidR="00F326E5" w:rsidRDefault="00F326E5" w:rsidP="00F326E5">
      <w:pPr>
        <w:pStyle w:val="NoSpacing"/>
        <w:rPr>
          <w:rFonts w:ascii="Arial Black" w:hAnsi="Arial Black"/>
          <w:b/>
          <w:sz w:val="24"/>
          <w:szCs w:val="24"/>
        </w:rPr>
      </w:pPr>
    </w:p>
    <w:p w14:paraId="1A18BFCA" w14:textId="77777777" w:rsidR="00F326E5" w:rsidRPr="00BE5483" w:rsidRDefault="00F326E5" w:rsidP="00F326E5">
      <w:pPr>
        <w:pStyle w:val="NoSpacing"/>
        <w:rPr>
          <w:rFonts w:ascii="Arial Black" w:hAnsi="Arial Black"/>
          <w:b/>
          <w:sz w:val="24"/>
          <w:szCs w:val="24"/>
        </w:rPr>
      </w:pPr>
    </w:p>
    <w:p w14:paraId="4282600E" w14:textId="4C86F806" w:rsidR="00F326E5" w:rsidRPr="00CA2809" w:rsidRDefault="00F326E5" w:rsidP="00F326E5">
      <w:pPr>
        <w:rPr>
          <w:rFonts w:eastAsia="Times New Roman"/>
          <w:b/>
          <w:sz w:val="24"/>
          <w:szCs w:val="24"/>
        </w:rPr>
      </w:pPr>
      <w:bookmarkStart w:id="542" w:name="_Hlk41154622"/>
      <w:bookmarkStart w:id="543" w:name="_Hlk7346894"/>
      <w:r w:rsidRPr="00BE5483">
        <w:rPr>
          <w:rFonts w:ascii="Arial Black" w:eastAsia="Times New Roman" w:hAnsi="Arial Black"/>
          <w:b/>
          <w:sz w:val="28"/>
          <w:szCs w:val="28"/>
        </w:rPr>
        <w:t>IN:</w:t>
      </w:r>
      <w:r>
        <w:rPr>
          <w:rFonts w:eastAsia="Times New Roman"/>
          <w:b/>
          <w:sz w:val="24"/>
          <w:szCs w:val="24"/>
        </w:rPr>
        <w:t xml:space="preserve"> </w:t>
      </w:r>
      <w:r>
        <w:rPr>
          <w:rFonts w:ascii="Arial Black" w:eastAsia="Times New Roman" w:hAnsi="Arial Black"/>
          <w:b/>
          <w:sz w:val="28"/>
          <w:szCs w:val="28"/>
        </w:rPr>
        <w:t>SEDATIVE FOR NAKED PATIENT RUNNING IN STREET – DIED -QUALIFIED IMMUNITY FOR EMS</w:t>
      </w:r>
    </w:p>
    <w:p w14:paraId="3FB1D2F8" w14:textId="0048CABA" w:rsidR="006114FF" w:rsidRDefault="00F326E5" w:rsidP="00F326E5">
      <w:pPr>
        <w:rPr>
          <w:rFonts w:ascii="Times New Roman" w:eastAsia="Times New Roman" w:hAnsi="Times New Roman"/>
          <w:sz w:val="24"/>
          <w:szCs w:val="24"/>
        </w:rPr>
      </w:pPr>
      <w:r w:rsidRPr="006114FF">
        <w:rPr>
          <w:rFonts w:ascii="Times New Roman" w:eastAsia="Times New Roman" w:hAnsi="Times New Roman"/>
          <w:sz w:val="24"/>
          <w:szCs w:val="24"/>
        </w:rPr>
        <w:t xml:space="preserve">On Aug. 14, 2018, in </w:t>
      </w:r>
      <w:r w:rsidRPr="006114FF">
        <w:rPr>
          <w:rFonts w:ascii="Times New Roman" w:eastAsia="Times New Roman" w:hAnsi="Times New Roman"/>
          <w:sz w:val="24"/>
          <w:szCs w:val="24"/>
          <w:u w:val="single"/>
        </w:rPr>
        <w:t>Billie Thompson v. Lance Cope</w:t>
      </w:r>
      <w:r w:rsidRPr="006114FF">
        <w:rPr>
          <w:rFonts w:ascii="Times New Roman" w:eastAsia="Times New Roman" w:hAnsi="Times New Roman"/>
          <w:sz w:val="24"/>
          <w:szCs w:val="24"/>
        </w:rPr>
        <w:t xml:space="preserve"> , 7</w:t>
      </w:r>
      <w:r w:rsidRPr="006114FF">
        <w:rPr>
          <w:rFonts w:ascii="Times New Roman" w:eastAsia="Times New Roman" w:hAnsi="Times New Roman"/>
          <w:sz w:val="24"/>
          <w:szCs w:val="24"/>
          <w:vertAlign w:val="superscript"/>
        </w:rPr>
        <w:t>th</w:t>
      </w:r>
      <w:r w:rsidRPr="006114FF">
        <w:rPr>
          <w:rFonts w:ascii="Times New Roman" w:eastAsia="Times New Roman" w:hAnsi="Times New Roman"/>
          <w:sz w:val="24"/>
          <w:szCs w:val="24"/>
        </w:rPr>
        <w:t xml:space="preserve"> Circuit, the Court </w:t>
      </w:r>
      <w:proofErr w:type="gramStart"/>
      <w:r w:rsidRPr="006114FF">
        <w:rPr>
          <w:rFonts w:ascii="Times New Roman" w:eastAsia="Times New Roman" w:hAnsi="Times New Roman"/>
          <w:sz w:val="24"/>
          <w:szCs w:val="24"/>
        </w:rPr>
        <w:t>held</w:t>
      </w:r>
      <w:proofErr w:type="gramEnd"/>
      <w:r w:rsidRPr="006114FF">
        <w:rPr>
          <w:rFonts w:ascii="Times New Roman" w:eastAsia="Times New Roman" w:hAnsi="Times New Roman"/>
          <w:sz w:val="24"/>
          <w:szCs w:val="24"/>
        </w:rPr>
        <w:t xml:space="preserve"> (3 to 0), </w:t>
      </w:r>
    </w:p>
    <w:p w14:paraId="408B427C" w14:textId="51B59F6C" w:rsidR="00F326E5" w:rsidRPr="006114FF" w:rsidRDefault="00F326E5" w:rsidP="006114FF">
      <w:pPr>
        <w:ind w:left="720"/>
        <w:rPr>
          <w:rFonts w:ascii="Times New Roman" w:eastAsia="Times New Roman" w:hAnsi="Times New Roman"/>
          <w:b/>
          <w:sz w:val="24"/>
          <w:szCs w:val="24"/>
        </w:rPr>
      </w:pPr>
      <w:r w:rsidRPr="006114FF">
        <w:rPr>
          <w:rFonts w:ascii="Times New Roman" w:eastAsia="Times New Roman" w:hAnsi="Times New Roman"/>
          <w:sz w:val="24"/>
          <w:szCs w:val="24"/>
        </w:rPr>
        <w:t xml:space="preserve">“The paramedic is entitled to qualified immunity on the excessive force claim. Case law did not (and does not) clearly establish that a paramedic can violate a patient-arrestee’s Fourth Amendment rights by exercising medical judgment to administer a sedative in a medical </w:t>
      </w:r>
      <w:proofErr w:type="gramStart"/>
      <w:r w:rsidRPr="006114FF">
        <w:rPr>
          <w:rFonts w:ascii="Times New Roman" w:eastAsia="Times New Roman" w:hAnsi="Times New Roman"/>
          <w:sz w:val="24"/>
          <w:szCs w:val="24"/>
        </w:rPr>
        <w:t>emergency.”</w:t>
      </w:r>
      <w:proofErr w:type="gramEnd"/>
      <w:r w:rsidRPr="006114FF">
        <w:rPr>
          <w:rFonts w:ascii="Times New Roman" w:eastAsia="Times New Roman" w:hAnsi="Times New Roman"/>
          <w:sz w:val="24"/>
          <w:szCs w:val="24"/>
        </w:rPr>
        <w:t xml:space="preserve">  Indianapolis police called EMS to help with person found naked, running in street, high on amphetamines, and combative.  EMS administered a sedative; patient died 8-days later.  </w:t>
      </w:r>
      <w:hyperlink r:id="rId2436" w:history="1">
        <w:r w:rsidRPr="006114FF">
          <w:rPr>
            <w:rStyle w:val="Hyperlink"/>
            <w:rFonts w:ascii="Times New Roman" w:hAnsi="Times New Roman"/>
            <w:sz w:val="24"/>
            <w:szCs w:val="24"/>
          </w:rPr>
          <w:t>https://cases.justia.com/federal/appellate-courts/ca7/17-3060/17-3060-2018-08-14.pdf?ts=1534262420</w:t>
        </w:r>
      </w:hyperlink>
      <w:r w:rsidRPr="006114FF">
        <w:rPr>
          <w:rFonts w:ascii="Times New Roman" w:eastAsia="Times New Roman" w:hAnsi="Times New Roman"/>
          <w:b/>
          <w:sz w:val="24"/>
          <w:szCs w:val="24"/>
        </w:rPr>
        <w:t xml:space="preserve"> </w:t>
      </w:r>
    </w:p>
    <w:p w14:paraId="39827241" w14:textId="77777777" w:rsidR="00F326E5" w:rsidRPr="006114FF" w:rsidRDefault="00F326E5" w:rsidP="00F326E5">
      <w:pPr>
        <w:rPr>
          <w:rFonts w:ascii="Times New Roman" w:eastAsia="Times New Roman" w:hAnsi="Times New Roman"/>
          <w:b/>
          <w:sz w:val="24"/>
          <w:szCs w:val="24"/>
        </w:rPr>
      </w:pPr>
      <w:r w:rsidRPr="006114FF">
        <w:rPr>
          <w:rFonts w:ascii="Times New Roman" w:eastAsia="Times New Roman" w:hAnsi="Times New Roman"/>
          <w:b/>
          <w:sz w:val="24"/>
          <w:szCs w:val="24"/>
        </w:rPr>
        <w:t xml:space="preserve">Legal Lessons Learned: Qualified Immunity protects police, fire, EMS personnel from personal liability.   </w:t>
      </w:r>
    </w:p>
    <w:p w14:paraId="4D673270" w14:textId="66734710" w:rsidR="00F326E5" w:rsidRPr="006114FF" w:rsidRDefault="00F326E5" w:rsidP="00F326E5">
      <w:pPr>
        <w:ind w:left="720"/>
        <w:rPr>
          <w:rFonts w:ascii="Times New Roman" w:eastAsia="Times New Roman" w:hAnsi="Times New Roman"/>
          <w:sz w:val="24"/>
          <w:szCs w:val="24"/>
        </w:rPr>
      </w:pPr>
      <w:r w:rsidRPr="006114FF">
        <w:rPr>
          <w:rFonts w:ascii="Times New Roman" w:eastAsia="Times New Roman" w:hAnsi="Times New Roman"/>
          <w:sz w:val="24"/>
          <w:szCs w:val="24"/>
        </w:rPr>
        <w:lastRenderedPageBreak/>
        <w:t xml:space="preserve">See also U.S. Supreme Court’s </w:t>
      </w:r>
      <w:r w:rsidRPr="006114FF">
        <w:rPr>
          <w:rFonts w:ascii="Times New Roman" w:hAnsi="Times New Roman"/>
          <w:sz w:val="24"/>
          <w:szCs w:val="24"/>
        </w:rPr>
        <w:t xml:space="preserve">Jan. 7, </w:t>
      </w:r>
      <w:proofErr w:type="gramStart"/>
      <w:r w:rsidRPr="006114FF">
        <w:rPr>
          <w:rFonts w:ascii="Times New Roman" w:hAnsi="Times New Roman"/>
          <w:sz w:val="24"/>
          <w:szCs w:val="24"/>
        </w:rPr>
        <w:t>2019</w:t>
      </w:r>
      <w:proofErr w:type="gramEnd"/>
      <w:r w:rsidRPr="006114FF">
        <w:rPr>
          <w:rFonts w:ascii="Times New Roman" w:hAnsi="Times New Roman"/>
          <w:sz w:val="24"/>
          <w:szCs w:val="24"/>
        </w:rPr>
        <w:t xml:space="preserve"> decision, in </w:t>
      </w:r>
      <w:r w:rsidRPr="006114FF">
        <w:rPr>
          <w:rFonts w:ascii="Times New Roman" w:hAnsi="Times New Roman"/>
          <w:sz w:val="24"/>
          <w:szCs w:val="24"/>
          <w:u w:val="single"/>
        </w:rPr>
        <w:t>City of Escondido, California v. Mart Emmons</w:t>
      </w:r>
      <w:r w:rsidRPr="006114FF">
        <w:rPr>
          <w:rFonts w:ascii="Times New Roman" w:hAnsi="Times New Roman"/>
          <w:sz w:val="24"/>
          <w:szCs w:val="24"/>
        </w:rPr>
        <w:t>, (9 to 0), in a per curiam decision [not authored by a specific Justice], reversed the 9</w:t>
      </w:r>
      <w:r w:rsidRPr="006114FF">
        <w:rPr>
          <w:rFonts w:ascii="Times New Roman" w:hAnsi="Times New Roman"/>
          <w:sz w:val="24"/>
          <w:szCs w:val="24"/>
          <w:vertAlign w:val="superscript"/>
        </w:rPr>
        <w:t>th</w:t>
      </w:r>
      <w:r w:rsidRPr="006114FF">
        <w:rPr>
          <w:rFonts w:ascii="Times New Roman" w:hAnsi="Times New Roman"/>
          <w:sz w:val="24"/>
          <w:szCs w:val="24"/>
        </w:rPr>
        <w:t xml:space="preserve"> Circuit without the need to even hear oral argument.  The Court held: “</w:t>
      </w:r>
      <w:r w:rsidRPr="006114FF">
        <w:rPr>
          <w:rFonts w:ascii="Times New Roman" w:eastAsia="Times New Roman" w:hAnsi="Times New Roman"/>
          <w:sz w:val="24"/>
          <w:szCs w:val="24"/>
        </w:rPr>
        <w:t xml:space="preserve">As to Officer Craig, the Ninth Circuit also erred. As we have explained many times: ‘Qualified immunity attaches when an official’s conduct does not violate clearly established statutory or constitutional rights of which a reasonable person would have known.’” </w:t>
      </w:r>
      <w:hyperlink r:id="rId2437" w:history="1">
        <w:r w:rsidRPr="006114FF">
          <w:rPr>
            <w:rStyle w:val="Hyperlink"/>
            <w:rFonts w:ascii="Times New Roman" w:hAnsi="Times New Roman"/>
            <w:sz w:val="24"/>
            <w:szCs w:val="24"/>
          </w:rPr>
          <w:t>https://www.supremecourt.gov/opinions/18pdf/17-1660_5ifl.pdf</w:t>
        </w:r>
      </w:hyperlink>
      <w:r w:rsidRPr="006114FF">
        <w:rPr>
          <w:rFonts w:ascii="Times New Roman" w:eastAsia="Times New Roman" w:hAnsi="Times New Roman"/>
          <w:sz w:val="24"/>
          <w:szCs w:val="24"/>
        </w:rPr>
        <w:t xml:space="preserve"> </w:t>
      </w:r>
    </w:p>
    <w:bookmarkEnd w:id="542"/>
    <w:p w14:paraId="6F7A1A89" w14:textId="77777777" w:rsidR="00536545" w:rsidRPr="00BE5483" w:rsidRDefault="00536545" w:rsidP="00F326E5">
      <w:pPr>
        <w:ind w:left="720"/>
        <w:rPr>
          <w:rFonts w:eastAsia="Times New Roman"/>
          <w:sz w:val="24"/>
          <w:szCs w:val="24"/>
        </w:rPr>
      </w:pPr>
    </w:p>
    <w:p w14:paraId="0B06C962" w14:textId="77777777" w:rsidR="00F326E5" w:rsidRPr="00CA2809" w:rsidRDefault="00F326E5" w:rsidP="00F326E5">
      <w:pPr>
        <w:rPr>
          <w:b/>
          <w:sz w:val="24"/>
          <w:szCs w:val="24"/>
        </w:rPr>
      </w:pPr>
    </w:p>
    <w:bookmarkEnd w:id="543"/>
    <w:p w14:paraId="4C3FFA8B" w14:textId="15E8D590" w:rsidR="00DE0F03" w:rsidRDefault="00DE0F03" w:rsidP="00DE0F03">
      <w:pPr>
        <w:pStyle w:val="NoSpacing"/>
        <w:rPr>
          <w:rFonts w:ascii="Arial Black" w:hAnsi="Arial Black"/>
          <w:sz w:val="24"/>
          <w:szCs w:val="24"/>
        </w:rPr>
      </w:pPr>
      <w:r>
        <w:rPr>
          <w:rFonts w:ascii="Arial Black" w:hAnsi="Arial Black"/>
          <w:sz w:val="24"/>
          <w:szCs w:val="24"/>
        </w:rPr>
        <w:t>13-9</w:t>
      </w:r>
    </w:p>
    <w:p w14:paraId="1E686E26" w14:textId="77777777" w:rsidR="00F326E5" w:rsidRDefault="00F326E5" w:rsidP="00F326E5">
      <w:pPr>
        <w:pStyle w:val="NoSpacing"/>
        <w:rPr>
          <w:b/>
          <w:sz w:val="24"/>
          <w:szCs w:val="24"/>
        </w:rPr>
      </w:pPr>
    </w:p>
    <w:p w14:paraId="27566E77" w14:textId="70E5C9B4" w:rsidR="00F326E5" w:rsidRPr="0002048B" w:rsidRDefault="00F326E5" w:rsidP="00F326E5">
      <w:pPr>
        <w:pStyle w:val="NoSpacing"/>
        <w:rPr>
          <w:b/>
          <w:sz w:val="24"/>
          <w:szCs w:val="24"/>
        </w:rPr>
      </w:pPr>
      <w:bookmarkStart w:id="544" w:name="_Hlk41154698"/>
      <w:bookmarkStart w:id="545" w:name="_Hlk7346941"/>
      <w:r w:rsidRPr="00C17E65">
        <w:rPr>
          <w:rFonts w:ascii="Arial Black" w:hAnsi="Arial Black"/>
          <w:b/>
          <w:sz w:val="28"/>
          <w:szCs w:val="28"/>
        </w:rPr>
        <w:t xml:space="preserve">OH: DYING DECLARATION </w:t>
      </w:r>
      <w:r>
        <w:rPr>
          <w:rFonts w:ascii="Arial Black" w:hAnsi="Arial Black"/>
          <w:b/>
          <w:sz w:val="28"/>
          <w:szCs w:val="28"/>
        </w:rPr>
        <w:t xml:space="preserve">BY VICTIM </w:t>
      </w:r>
      <w:r w:rsidRPr="00C17E65">
        <w:rPr>
          <w:rFonts w:ascii="Arial Black" w:hAnsi="Arial Black"/>
          <w:b/>
          <w:sz w:val="28"/>
          <w:szCs w:val="28"/>
        </w:rPr>
        <w:t>IN BACK OF AMBULANCE ADMISSIBLE IN MURDER TRIAL</w:t>
      </w:r>
      <w:r>
        <w:rPr>
          <w:rFonts w:ascii="Arial Black" w:hAnsi="Arial Black"/>
          <w:b/>
          <w:sz w:val="24"/>
          <w:szCs w:val="24"/>
        </w:rPr>
        <w:t xml:space="preserve"> </w:t>
      </w:r>
      <w:r w:rsidRPr="00C17E65">
        <w:rPr>
          <w:sz w:val="24"/>
          <w:szCs w:val="24"/>
        </w:rPr>
        <w:t>[also filed Chap. 1]</w:t>
      </w:r>
    </w:p>
    <w:p w14:paraId="39D889B9" w14:textId="77777777" w:rsidR="00F326E5" w:rsidRPr="006114FF" w:rsidRDefault="00F326E5" w:rsidP="00F326E5">
      <w:pPr>
        <w:rPr>
          <w:rFonts w:ascii="Times New Roman" w:eastAsia="Times New Roman" w:hAnsi="Times New Roman"/>
          <w:sz w:val="24"/>
          <w:szCs w:val="24"/>
        </w:rPr>
      </w:pPr>
      <w:r w:rsidRPr="006114FF">
        <w:rPr>
          <w:rFonts w:ascii="Times New Roman" w:hAnsi="Times New Roman"/>
          <w:sz w:val="24"/>
          <w:szCs w:val="24"/>
        </w:rPr>
        <w:t xml:space="preserve">On July 25, 2018, in </w:t>
      </w:r>
      <w:r w:rsidRPr="006114FF">
        <w:rPr>
          <w:rFonts w:ascii="Times New Roman" w:eastAsia="Times New Roman" w:hAnsi="Times New Roman"/>
          <w:sz w:val="24"/>
          <w:szCs w:val="24"/>
          <w:u w:val="single"/>
        </w:rPr>
        <w:t>State v. Fred Taylor</w:t>
      </w:r>
      <w:r w:rsidRPr="006114FF">
        <w:rPr>
          <w:rFonts w:ascii="Times New Roman" w:eastAsia="Times New Roman" w:hAnsi="Times New Roman"/>
          <w:sz w:val="24"/>
          <w:szCs w:val="24"/>
        </w:rPr>
        <w:t xml:space="preserve">, 2018-Ohio-2921, the Ohio Court of Appeals for Summit County, upheld (3 to 0) his conviction of felony murder of Javon Knaff.   </w:t>
      </w:r>
    </w:p>
    <w:p w14:paraId="7AD577E9" w14:textId="648FE652" w:rsidR="00F326E5" w:rsidRPr="006114FF" w:rsidRDefault="00F326E5" w:rsidP="006114FF">
      <w:pPr>
        <w:ind w:left="720"/>
        <w:rPr>
          <w:rFonts w:ascii="Times New Roman" w:eastAsia="Times New Roman" w:hAnsi="Times New Roman"/>
          <w:sz w:val="24"/>
          <w:szCs w:val="24"/>
        </w:rPr>
      </w:pPr>
      <w:r w:rsidRPr="006114FF">
        <w:rPr>
          <w:rFonts w:ascii="Times New Roman" w:eastAsia="Times New Roman" w:hAnsi="Times New Roman"/>
          <w:sz w:val="24"/>
          <w:szCs w:val="24"/>
        </w:rPr>
        <w:t>“Mr. Knaff’s repeated statements concerning the fact that he was dying, coupled with the severity of his condition, demonstrate his awareness of his impending death at the time that he stated, ‘Fred shot [me].’ Consequently, this statement was admissible as a dying declaration.”</w:t>
      </w:r>
      <w:r w:rsidR="006114FF">
        <w:rPr>
          <w:rFonts w:ascii="Times New Roman" w:eastAsia="Times New Roman" w:hAnsi="Times New Roman"/>
          <w:sz w:val="24"/>
          <w:szCs w:val="24"/>
        </w:rPr>
        <w:t xml:space="preserve"> </w:t>
      </w:r>
      <w:hyperlink r:id="rId2438" w:history="1">
        <w:r w:rsidRPr="006114FF">
          <w:rPr>
            <w:rStyle w:val="Hyperlink"/>
            <w:rFonts w:ascii="Times New Roman" w:hAnsi="Times New Roman"/>
            <w:sz w:val="24"/>
            <w:szCs w:val="24"/>
          </w:rPr>
          <w:t>https://cases.justia.com/ohio/ninth-district-court-of-appeals/2018-28746.pdf?ts=1532525904</w:t>
        </w:r>
      </w:hyperlink>
      <w:r w:rsidRPr="006114FF">
        <w:rPr>
          <w:rFonts w:ascii="Times New Roman" w:eastAsia="Times New Roman" w:hAnsi="Times New Roman"/>
          <w:sz w:val="24"/>
          <w:szCs w:val="24"/>
        </w:rPr>
        <w:t xml:space="preserve"> </w:t>
      </w:r>
    </w:p>
    <w:p w14:paraId="6A662AF1" w14:textId="77777777" w:rsidR="00F326E5" w:rsidRPr="006114FF" w:rsidRDefault="00F326E5" w:rsidP="00F326E5">
      <w:pPr>
        <w:rPr>
          <w:rFonts w:ascii="Times New Roman" w:hAnsi="Times New Roman"/>
          <w:b/>
          <w:sz w:val="24"/>
          <w:szCs w:val="24"/>
        </w:rPr>
      </w:pPr>
      <w:r w:rsidRPr="006114FF">
        <w:rPr>
          <w:rFonts w:ascii="Times New Roman" w:hAnsi="Times New Roman"/>
          <w:b/>
          <w:sz w:val="24"/>
          <w:szCs w:val="24"/>
        </w:rPr>
        <w:t xml:space="preserve">Legal Lessons Learned:  Document on your EMS run report the actual words spoken by the patient; a “dying declaration” is admissible in evidence.   Recording the comments on your run report can help prosecution reach a plea agreement. </w:t>
      </w:r>
    </w:p>
    <w:bookmarkEnd w:id="544"/>
    <w:p w14:paraId="039DECD5" w14:textId="77777777" w:rsidR="00DE0F03" w:rsidRDefault="00DE0F03" w:rsidP="00DE0F03">
      <w:pPr>
        <w:pStyle w:val="NoSpacing"/>
        <w:rPr>
          <w:rFonts w:ascii="Arial Black" w:hAnsi="Arial Black"/>
          <w:sz w:val="24"/>
          <w:szCs w:val="24"/>
        </w:rPr>
      </w:pPr>
    </w:p>
    <w:p w14:paraId="1C67915A" w14:textId="77777777" w:rsidR="00DE0F03" w:rsidRDefault="00DE0F03" w:rsidP="00DE0F03">
      <w:pPr>
        <w:pStyle w:val="NoSpacing"/>
        <w:rPr>
          <w:rFonts w:ascii="Arial Black" w:hAnsi="Arial Black"/>
          <w:sz w:val="24"/>
          <w:szCs w:val="24"/>
        </w:rPr>
      </w:pPr>
    </w:p>
    <w:p w14:paraId="6C8A3EC8" w14:textId="5C935D1A" w:rsidR="00F326E5" w:rsidRDefault="00DE0F03" w:rsidP="00DE0F03">
      <w:pPr>
        <w:pStyle w:val="NoSpacing"/>
        <w:rPr>
          <w:rFonts w:ascii="Arial Black" w:hAnsi="Arial Black"/>
          <w:sz w:val="24"/>
          <w:szCs w:val="24"/>
        </w:rPr>
      </w:pPr>
      <w:r>
        <w:rPr>
          <w:rFonts w:ascii="Arial Black" w:hAnsi="Arial Black"/>
          <w:sz w:val="24"/>
          <w:szCs w:val="24"/>
        </w:rPr>
        <w:t>13-8</w:t>
      </w:r>
    </w:p>
    <w:p w14:paraId="42FCE522" w14:textId="77777777" w:rsidR="00DE0F03" w:rsidRDefault="00DE0F03" w:rsidP="00DE0F03">
      <w:pPr>
        <w:pStyle w:val="NoSpacing"/>
        <w:rPr>
          <w:rFonts w:eastAsia="Times New Roman"/>
          <w:sz w:val="25"/>
          <w:szCs w:val="25"/>
        </w:rPr>
      </w:pPr>
    </w:p>
    <w:p w14:paraId="56A2135A" w14:textId="3A780231" w:rsidR="00DA4990" w:rsidRPr="008A5B80" w:rsidRDefault="00DA4990" w:rsidP="00DA4990">
      <w:pPr>
        <w:pStyle w:val="NoSpacing"/>
        <w:rPr>
          <w:rFonts w:ascii="Arial Black" w:hAnsi="Arial Black"/>
          <w:sz w:val="24"/>
          <w:szCs w:val="24"/>
        </w:rPr>
      </w:pPr>
      <w:bookmarkStart w:id="546" w:name="_Hlk7347158"/>
      <w:bookmarkEnd w:id="545"/>
      <w:r w:rsidRPr="00732C84">
        <w:rPr>
          <w:rFonts w:ascii="Arial Black" w:hAnsi="Arial Black"/>
          <w:b/>
          <w:sz w:val="28"/>
          <w:szCs w:val="28"/>
        </w:rPr>
        <w:t xml:space="preserve">LA: </w:t>
      </w:r>
      <w:r>
        <w:rPr>
          <w:rFonts w:ascii="Arial Black" w:hAnsi="Arial Black"/>
          <w:b/>
          <w:sz w:val="28"/>
          <w:szCs w:val="28"/>
        </w:rPr>
        <w:t xml:space="preserve">FREE SPEECH CASE NOT DISMISSED - TWO PARAMEDICS FIRED AFTER LETTER TO BOARD ABOUT MGT </w:t>
      </w:r>
      <w:r w:rsidRPr="008A5B80">
        <w:rPr>
          <w:sz w:val="24"/>
          <w:szCs w:val="24"/>
        </w:rPr>
        <w:t xml:space="preserve">[also filed, Chap. </w:t>
      </w:r>
      <w:r>
        <w:rPr>
          <w:sz w:val="24"/>
          <w:szCs w:val="24"/>
        </w:rPr>
        <w:t>6</w:t>
      </w:r>
      <w:r w:rsidRPr="008A5B80">
        <w:rPr>
          <w:sz w:val="24"/>
          <w:szCs w:val="24"/>
        </w:rPr>
        <w:t>]</w:t>
      </w:r>
    </w:p>
    <w:p w14:paraId="22CD49E7" w14:textId="77777777" w:rsidR="00DA4990" w:rsidRDefault="00DA4990" w:rsidP="00DA4990">
      <w:pPr>
        <w:pStyle w:val="NoSpacing"/>
        <w:rPr>
          <w:b/>
          <w:sz w:val="24"/>
          <w:szCs w:val="24"/>
        </w:rPr>
      </w:pPr>
    </w:p>
    <w:p w14:paraId="1A052ED3" w14:textId="77777777" w:rsidR="006114FF" w:rsidRDefault="00DA4990" w:rsidP="006114FF">
      <w:pPr>
        <w:rPr>
          <w:rFonts w:ascii="Times New Roman" w:hAnsi="Times New Roman"/>
          <w:sz w:val="24"/>
          <w:szCs w:val="24"/>
        </w:rPr>
      </w:pPr>
      <w:r w:rsidRPr="006114FF">
        <w:rPr>
          <w:rFonts w:ascii="Times New Roman" w:hAnsi="Times New Roman"/>
          <w:sz w:val="24"/>
          <w:szCs w:val="24"/>
        </w:rPr>
        <w:t xml:space="preserve">On July 18, 2018, in </w:t>
      </w:r>
      <w:r w:rsidRPr="006114FF">
        <w:rPr>
          <w:rFonts w:ascii="Times New Roman" w:hAnsi="Times New Roman"/>
          <w:sz w:val="24"/>
          <w:szCs w:val="24"/>
          <w:u w:val="single"/>
        </w:rPr>
        <w:t>Patrick Alan Benfield &amp; Brian Warren v. Joe Magee, et al</w:t>
      </w:r>
      <w:r w:rsidRPr="006114FF">
        <w:rPr>
          <w:rFonts w:ascii="Times New Roman" w:hAnsi="Times New Roman"/>
          <w:sz w:val="24"/>
          <w:szCs w:val="24"/>
        </w:rPr>
        <w:t xml:space="preserve">., U.S. District Court Judge Elizabeth Foote, Western District of Louisiana, held that a lawsuit by two paramedics fired by Desoto Parish EMS may proceed to trial.  They were fired after Warren wrote a letter to a member of the Desoto Parish Police Jury (they </w:t>
      </w:r>
      <w:proofErr w:type="gramStart"/>
      <w:r w:rsidRPr="006114FF">
        <w:rPr>
          <w:rFonts w:ascii="Times New Roman" w:hAnsi="Times New Roman"/>
          <w:sz w:val="24"/>
          <w:szCs w:val="24"/>
        </w:rPr>
        <w:t>appoint</w:t>
      </w:r>
      <w:proofErr w:type="gramEnd"/>
      <w:r w:rsidRPr="006114FF">
        <w:rPr>
          <w:rFonts w:ascii="Times New Roman" w:hAnsi="Times New Roman"/>
          <w:sz w:val="24"/>
          <w:szCs w:val="24"/>
        </w:rPr>
        <w:t xml:space="preserve"> the Board of Commissioners of the Desoto Parish EMS).   The Judge ruled: </w:t>
      </w:r>
    </w:p>
    <w:p w14:paraId="08727202" w14:textId="00DA1F5E" w:rsidR="00DA4990" w:rsidRPr="006114FF" w:rsidRDefault="00DA4990" w:rsidP="00BC17B3">
      <w:pPr>
        <w:ind w:left="720"/>
        <w:rPr>
          <w:rFonts w:ascii="Times New Roman" w:hAnsi="Times New Roman"/>
          <w:sz w:val="24"/>
          <w:szCs w:val="24"/>
        </w:rPr>
      </w:pPr>
      <w:r w:rsidRPr="006114FF">
        <w:rPr>
          <w:rFonts w:ascii="Times New Roman" w:hAnsi="Times New Roman"/>
          <w:sz w:val="24"/>
          <w:szCs w:val="24"/>
        </w:rPr>
        <w:t xml:space="preserve">“The motion [to dismiss] is DENIED as to Warren’s free speech claim because the facts alleged establish that his letter was protected speech.”  </w:t>
      </w:r>
      <w:hyperlink r:id="rId2439" w:history="1">
        <w:r w:rsidRPr="006114FF">
          <w:rPr>
            <w:rStyle w:val="Hyperlink"/>
            <w:rFonts w:ascii="Times New Roman" w:hAnsi="Times New Roman"/>
            <w:sz w:val="24"/>
            <w:szCs w:val="24"/>
          </w:rPr>
          <w:t>https://cases.justia.com/federal/district-courts/louisiana/lawdce/5:2018cv00034/160852/18/0.pdf?ts=1532079100</w:t>
        </w:r>
      </w:hyperlink>
    </w:p>
    <w:p w14:paraId="298C6974" w14:textId="77777777" w:rsidR="00DA4990" w:rsidRPr="006114FF" w:rsidRDefault="00DA4990" w:rsidP="00DA4990">
      <w:pPr>
        <w:rPr>
          <w:rFonts w:ascii="Times New Roman" w:hAnsi="Times New Roman"/>
          <w:b/>
          <w:sz w:val="24"/>
          <w:szCs w:val="24"/>
        </w:rPr>
      </w:pPr>
      <w:r w:rsidRPr="006114FF">
        <w:rPr>
          <w:rFonts w:ascii="Times New Roman" w:hAnsi="Times New Roman"/>
          <w:b/>
          <w:sz w:val="24"/>
          <w:szCs w:val="24"/>
        </w:rPr>
        <w:t xml:space="preserve">Legal Lessons Learned: First Amendment </w:t>
      </w:r>
      <w:proofErr w:type="gramStart"/>
      <w:r w:rsidRPr="006114FF">
        <w:rPr>
          <w:rFonts w:ascii="Times New Roman" w:hAnsi="Times New Roman"/>
          <w:b/>
          <w:sz w:val="24"/>
          <w:szCs w:val="24"/>
        </w:rPr>
        <w:t>free speech</w:t>
      </w:r>
      <w:proofErr w:type="gramEnd"/>
      <w:r w:rsidRPr="006114FF">
        <w:rPr>
          <w:rFonts w:ascii="Times New Roman" w:hAnsi="Times New Roman"/>
          <w:b/>
          <w:sz w:val="24"/>
          <w:szCs w:val="24"/>
        </w:rPr>
        <w:t xml:space="preserve"> cases are </w:t>
      </w:r>
      <w:proofErr w:type="gramStart"/>
      <w:r w:rsidRPr="006114FF">
        <w:rPr>
          <w:rFonts w:ascii="Times New Roman" w:hAnsi="Times New Roman"/>
          <w:b/>
          <w:sz w:val="24"/>
          <w:szCs w:val="24"/>
        </w:rPr>
        <w:t>increasing</w:t>
      </w:r>
      <w:proofErr w:type="gramEnd"/>
      <w:r w:rsidRPr="006114FF">
        <w:rPr>
          <w:rFonts w:ascii="Times New Roman" w:hAnsi="Times New Roman"/>
          <w:b/>
          <w:sz w:val="24"/>
          <w:szCs w:val="24"/>
        </w:rPr>
        <w:t xml:space="preserve"> </w:t>
      </w:r>
      <w:proofErr w:type="gramStart"/>
      <w:r w:rsidRPr="006114FF">
        <w:rPr>
          <w:rFonts w:ascii="Times New Roman" w:hAnsi="Times New Roman"/>
          <w:b/>
          <w:sz w:val="24"/>
          <w:szCs w:val="24"/>
        </w:rPr>
        <w:t>being permitted</w:t>
      </w:r>
      <w:proofErr w:type="gramEnd"/>
      <w:r w:rsidRPr="006114FF">
        <w:rPr>
          <w:rFonts w:ascii="Times New Roman" w:hAnsi="Times New Roman"/>
          <w:b/>
          <w:sz w:val="24"/>
          <w:szCs w:val="24"/>
        </w:rPr>
        <w:t xml:space="preserve"> to go to the jury.  Fire &amp; EMS Departments should thoroughly document reasons for termination, including employees who serve “at will.”</w:t>
      </w:r>
    </w:p>
    <w:bookmarkEnd w:id="546"/>
    <w:p w14:paraId="04D8F5AE" w14:textId="77777777" w:rsidR="00BC17B3" w:rsidRDefault="00BC17B3" w:rsidP="00DE0F03">
      <w:pPr>
        <w:pStyle w:val="NoSpacing"/>
        <w:rPr>
          <w:rFonts w:ascii="Arial Black" w:hAnsi="Arial Black"/>
          <w:sz w:val="24"/>
          <w:szCs w:val="24"/>
        </w:rPr>
      </w:pPr>
    </w:p>
    <w:p w14:paraId="746CA2B1" w14:textId="4A60F662" w:rsidR="00DE0F03" w:rsidRDefault="00DE0F03" w:rsidP="00DE0F03">
      <w:pPr>
        <w:pStyle w:val="NoSpacing"/>
        <w:rPr>
          <w:rFonts w:ascii="Arial Black" w:hAnsi="Arial Black"/>
          <w:sz w:val="24"/>
          <w:szCs w:val="24"/>
        </w:rPr>
      </w:pPr>
      <w:r>
        <w:rPr>
          <w:rFonts w:ascii="Arial Black" w:hAnsi="Arial Black"/>
          <w:sz w:val="24"/>
          <w:szCs w:val="24"/>
        </w:rPr>
        <w:t>13-7</w:t>
      </w:r>
    </w:p>
    <w:p w14:paraId="3FDB1CEF" w14:textId="77777777" w:rsidR="00DA4990" w:rsidRDefault="00DA4990" w:rsidP="00F326E5">
      <w:pPr>
        <w:pStyle w:val="NoSpacing"/>
        <w:rPr>
          <w:sz w:val="24"/>
          <w:szCs w:val="24"/>
        </w:rPr>
      </w:pPr>
    </w:p>
    <w:p w14:paraId="31735E12" w14:textId="28F8D8C2" w:rsidR="00F326E5" w:rsidRDefault="00F326E5" w:rsidP="00F326E5">
      <w:pPr>
        <w:pStyle w:val="NoSpacing"/>
        <w:rPr>
          <w:rFonts w:ascii="Arial Black" w:hAnsi="Arial Black"/>
          <w:b/>
          <w:sz w:val="24"/>
          <w:szCs w:val="24"/>
        </w:rPr>
      </w:pPr>
      <w:bookmarkStart w:id="547" w:name="_Hlk7347202"/>
      <w:r w:rsidRPr="00C17E65">
        <w:rPr>
          <w:rFonts w:ascii="Arial Black" w:hAnsi="Arial Black"/>
          <w:b/>
          <w:sz w:val="28"/>
          <w:szCs w:val="28"/>
        </w:rPr>
        <w:t>KY: EMT WHISTLEBLOWER</w:t>
      </w:r>
      <w:r w:rsidR="00DA4990">
        <w:rPr>
          <w:rFonts w:ascii="Arial Black" w:hAnsi="Arial Black"/>
          <w:b/>
          <w:sz w:val="28"/>
          <w:szCs w:val="28"/>
        </w:rPr>
        <w:t xml:space="preserve"> – ALLEGED </w:t>
      </w:r>
      <w:r>
        <w:rPr>
          <w:rFonts w:ascii="Arial Black" w:hAnsi="Arial Black"/>
          <w:b/>
          <w:sz w:val="28"/>
          <w:szCs w:val="28"/>
        </w:rPr>
        <w:t xml:space="preserve">TRANSPORTS NOT MEDICALLY NECESSARY – BUT </w:t>
      </w:r>
      <w:r w:rsidR="00DA4990">
        <w:rPr>
          <w:rFonts w:ascii="Arial Black" w:hAnsi="Arial Black"/>
          <w:b/>
          <w:sz w:val="28"/>
          <w:szCs w:val="28"/>
        </w:rPr>
        <w:t xml:space="preserve">FAILED TO PROVIDE </w:t>
      </w:r>
      <w:r>
        <w:rPr>
          <w:rFonts w:ascii="Arial Black" w:hAnsi="Arial Black"/>
          <w:b/>
          <w:sz w:val="28"/>
          <w:szCs w:val="28"/>
        </w:rPr>
        <w:t>SPECIFIC</w:t>
      </w:r>
      <w:r w:rsidR="00DA4990">
        <w:rPr>
          <w:rFonts w:ascii="Arial Black" w:hAnsi="Arial Black"/>
          <w:b/>
          <w:sz w:val="28"/>
          <w:szCs w:val="28"/>
        </w:rPr>
        <w:t>S</w:t>
      </w:r>
      <w:r>
        <w:rPr>
          <w:rFonts w:ascii="Arial Black" w:hAnsi="Arial Black"/>
          <w:b/>
          <w:sz w:val="28"/>
          <w:szCs w:val="28"/>
        </w:rPr>
        <w:t xml:space="preserve"> </w:t>
      </w:r>
    </w:p>
    <w:p w14:paraId="31EC9695" w14:textId="77777777" w:rsidR="00F326E5" w:rsidRPr="00BC17B3" w:rsidRDefault="00F326E5" w:rsidP="00F326E5">
      <w:pPr>
        <w:rPr>
          <w:rFonts w:ascii="Times New Roman" w:eastAsia="Times New Roman" w:hAnsi="Times New Roman"/>
          <w:sz w:val="24"/>
          <w:szCs w:val="24"/>
        </w:rPr>
      </w:pPr>
      <w:r w:rsidRPr="00BC17B3">
        <w:rPr>
          <w:rFonts w:ascii="Times New Roman" w:eastAsia="Times New Roman" w:hAnsi="Times New Roman"/>
          <w:sz w:val="24"/>
          <w:szCs w:val="24"/>
        </w:rPr>
        <w:t xml:space="preserve">On June 21, </w:t>
      </w:r>
      <w:proofErr w:type="gramStart"/>
      <w:r w:rsidRPr="00BC17B3">
        <w:rPr>
          <w:rFonts w:ascii="Times New Roman" w:eastAsia="Times New Roman" w:hAnsi="Times New Roman"/>
          <w:sz w:val="24"/>
          <w:szCs w:val="24"/>
        </w:rPr>
        <w:t>2018</w:t>
      </w:r>
      <w:proofErr w:type="gramEnd"/>
      <w:r w:rsidRPr="00BC17B3">
        <w:rPr>
          <w:rFonts w:ascii="Times New Roman" w:eastAsia="Times New Roman" w:hAnsi="Times New Roman"/>
          <w:sz w:val="24"/>
          <w:szCs w:val="24"/>
        </w:rPr>
        <w:t xml:space="preserve"> in </w:t>
      </w:r>
      <w:r w:rsidRPr="00BC17B3">
        <w:rPr>
          <w:rFonts w:ascii="Times New Roman" w:eastAsia="Times New Roman" w:hAnsi="Times New Roman"/>
          <w:sz w:val="24"/>
          <w:szCs w:val="24"/>
          <w:u w:val="single"/>
        </w:rPr>
        <w:t>United States of America ex rel. Jessica N. Stripe v. Powell County Fiscal Court</w:t>
      </w:r>
      <w:r w:rsidRPr="00BC17B3">
        <w:rPr>
          <w:rFonts w:ascii="Times New Roman" w:eastAsia="Times New Roman" w:hAnsi="Times New Roman"/>
          <w:sz w:val="24"/>
          <w:szCs w:val="24"/>
        </w:rPr>
        <w:t xml:space="preserve">, U.S. District Court Judge Karen Caldwell, Lexington, Kentucky, dismissed a “whistleblower” lawsuit by an EMS employee.    </w:t>
      </w:r>
    </w:p>
    <w:p w14:paraId="5C5994E3" w14:textId="77777777" w:rsidR="00F326E5" w:rsidRPr="00BC17B3" w:rsidRDefault="00F326E5" w:rsidP="00F326E5">
      <w:pPr>
        <w:ind w:left="720"/>
        <w:rPr>
          <w:rFonts w:ascii="Times New Roman" w:eastAsia="Times New Roman" w:hAnsi="Times New Roman"/>
          <w:sz w:val="24"/>
          <w:szCs w:val="24"/>
        </w:rPr>
      </w:pPr>
      <w:r w:rsidRPr="00BC17B3">
        <w:rPr>
          <w:rFonts w:ascii="Times New Roman" w:eastAsia="Times New Roman" w:hAnsi="Times New Roman"/>
          <w:sz w:val="24"/>
          <w:szCs w:val="24"/>
        </w:rPr>
        <w:t xml:space="preserve">“Stipe was employed in a care provider role as an </w:t>
      </w:r>
      <w:proofErr w:type="gramStart"/>
      <w:r w:rsidRPr="00BC17B3">
        <w:rPr>
          <w:rFonts w:ascii="Times New Roman" w:eastAsia="Times New Roman" w:hAnsi="Times New Roman"/>
          <w:sz w:val="24"/>
          <w:szCs w:val="24"/>
        </w:rPr>
        <w:t>EMT</w:t>
      </w:r>
      <w:proofErr w:type="gramEnd"/>
      <w:r w:rsidRPr="00BC17B3">
        <w:rPr>
          <w:rFonts w:ascii="Times New Roman" w:eastAsia="Times New Roman" w:hAnsi="Times New Roman"/>
          <w:sz w:val="24"/>
          <w:szCs w:val="24"/>
        </w:rPr>
        <w:t xml:space="preserve"> and she does not allege that her job involved any work related to billing or that it gave her detailed or specialized knowledge of PCFC's billing practices…. Accordingly, Stipe lacks the specialized knowledge necessary to invoke the exception to Rule 9(b).”</w:t>
      </w:r>
    </w:p>
    <w:p w14:paraId="73B1C298" w14:textId="77777777" w:rsidR="00F326E5" w:rsidRPr="00BC17B3" w:rsidRDefault="00F326E5" w:rsidP="00F326E5">
      <w:pPr>
        <w:ind w:left="720"/>
        <w:rPr>
          <w:rFonts w:ascii="Times New Roman" w:eastAsia="Times New Roman" w:hAnsi="Times New Roman"/>
          <w:sz w:val="24"/>
          <w:szCs w:val="24"/>
        </w:rPr>
      </w:pPr>
      <w:hyperlink r:id="rId2440" w:history="1">
        <w:r w:rsidRPr="00BC17B3">
          <w:rPr>
            <w:rStyle w:val="Hyperlink"/>
            <w:rFonts w:ascii="Times New Roman" w:hAnsi="Times New Roman"/>
            <w:sz w:val="24"/>
            <w:szCs w:val="24"/>
          </w:rPr>
          <w:t>https://cases.justia.com/federal/district-courts/kentucky/kyedce/5:2016cv00446/81785/59/0.pdf?ts=1529661227</w:t>
        </w:r>
      </w:hyperlink>
      <w:r w:rsidRPr="00BC17B3">
        <w:rPr>
          <w:rFonts w:ascii="Times New Roman" w:eastAsia="Times New Roman" w:hAnsi="Times New Roman"/>
          <w:sz w:val="24"/>
          <w:szCs w:val="24"/>
        </w:rPr>
        <w:t xml:space="preserve"> </w:t>
      </w:r>
    </w:p>
    <w:p w14:paraId="05834446" w14:textId="77777777" w:rsidR="00F326E5" w:rsidRPr="00BC17B3" w:rsidRDefault="00F326E5" w:rsidP="00F326E5">
      <w:pPr>
        <w:pStyle w:val="NoSpacing"/>
        <w:rPr>
          <w:rFonts w:ascii="Times New Roman" w:hAnsi="Times New Roman"/>
          <w:b/>
          <w:sz w:val="24"/>
          <w:szCs w:val="24"/>
        </w:rPr>
      </w:pPr>
      <w:r w:rsidRPr="00BC17B3">
        <w:rPr>
          <w:rFonts w:ascii="Times New Roman" w:hAnsi="Times New Roman"/>
          <w:b/>
          <w:sz w:val="24"/>
          <w:szCs w:val="24"/>
        </w:rPr>
        <w:t xml:space="preserve">Legal Lessons Learned:  Whistleblowers alleging fraudulent “up charging” must include in their complaint specific information about </w:t>
      </w:r>
      <w:proofErr w:type="gramStart"/>
      <w:r w:rsidRPr="00BC17B3">
        <w:rPr>
          <w:rFonts w:ascii="Times New Roman" w:hAnsi="Times New Roman"/>
          <w:b/>
          <w:sz w:val="24"/>
          <w:szCs w:val="24"/>
        </w:rPr>
        <w:t>particular EMS</w:t>
      </w:r>
      <w:proofErr w:type="gramEnd"/>
      <w:r w:rsidRPr="00BC17B3">
        <w:rPr>
          <w:rFonts w:ascii="Times New Roman" w:hAnsi="Times New Roman"/>
          <w:b/>
          <w:sz w:val="24"/>
          <w:szCs w:val="24"/>
        </w:rPr>
        <w:t xml:space="preserve"> runs where Medicare was overbilled.  With specifics, the U.S. Attorney can launch an investigation of the complaint that has been filed under seal.  </w:t>
      </w:r>
    </w:p>
    <w:p w14:paraId="17DED912" w14:textId="77777777" w:rsidR="00F326E5" w:rsidRPr="00BC17B3" w:rsidRDefault="00F326E5" w:rsidP="00F326E5">
      <w:pPr>
        <w:pStyle w:val="NoSpacing"/>
        <w:ind w:left="720"/>
        <w:rPr>
          <w:rFonts w:ascii="Times New Roman" w:eastAsia="Times New Roman" w:hAnsi="Times New Roman"/>
          <w:sz w:val="24"/>
          <w:szCs w:val="24"/>
        </w:rPr>
      </w:pPr>
      <w:r w:rsidRPr="00BC17B3">
        <w:rPr>
          <w:rFonts w:ascii="Times New Roman" w:hAnsi="Times New Roman"/>
          <w:sz w:val="24"/>
          <w:szCs w:val="24"/>
        </w:rPr>
        <w:t xml:space="preserve">See U.S. Department of Justice report: </w:t>
      </w:r>
      <w:r w:rsidRPr="00BC17B3">
        <w:rPr>
          <w:rFonts w:ascii="Times New Roman" w:eastAsia="Times New Roman" w:hAnsi="Times New Roman"/>
          <w:sz w:val="24"/>
          <w:szCs w:val="24"/>
        </w:rPr>
        <w:t xml:space="preserve">“Of the $3.7 billion in settlements and judgments reported by the government in fiscal year 2017, $3.4 billion related to lawsuits filed under the qui tam provisions of the False Claims Act.  During the same period, the government paid out $392 million to the individuals who exposed fraud and false claims by filing a qui tam complaint.” </w:t>
      </w:r>
      <w:hyperlink r:id="rId2441" w:history="1">
        <w:r w:rsidRPr="00BC17B3">
          <w:rPr>
            <w:rStyle w:val="Hyperlink"/>
            <w:rFonts w:ascii="Times New Roman" w:hAnsi="Times New Roman"/>
            <w:sz w:val="24"/>
            <w:szCs w:val="24"/>
          </w:rPr>
          <w:t>https://www.justice.gov/opa/pr/justice-department-recovers-over-37-billion-false-claims-act-cases-fiscal-year-2017</w:t>
        </w:r>
      </w:hyperlink>
      <w:r w:rsidRPr="00BC17B3">
        <w:rPr>
          <w:rFonts w:ascii="Times New Roman" w:eastAsia="Times New Roman" w:hAnsi="Times New Roman"/>
          <w:sz w:val="24"/>
          <w:szCs w:val="24"/>
        </w:rPr>
        <w:t xml:space="preserve"> </w:t>
      </w:r>
    </w:p>
    <w:bookmarkEnd w:id="547"/>
    <w:p w14:paraId="5B3A3E63" w14:textId="77777777" w:rsidR="00F326E5" w:rsidRPr="00BC17B3" w:rsidRDefault="00F326E5" w:rsidP="00F326E5">
      <w:pPr>
        <w:ind w:left="720"/>
        <w:rPr>
          <w:rFonts w:ascii="Times New Roman" w:eastAsia="Times New Roman" w:hAnsi="Times New Roman"/>
          <w:sz w:val="24"/>
          <w:szCs w:val="24"/>
        </w:rPr>
      </w:pPr>
    </w:p>
    <w:p w14:paraId="1C21654E" w14:textId="2C4F2C8B" w:rsidR="00DE0F03" w:rsidRDefault="00DE0F03" w:rsidP="00DE0F03">
      <w:pPr>
        <w:pStyle w:val="NoSpacing"/>
        <w:rPr>
          <w:rFonts w:ascii="Arial Black" w:hAnsi="Arial Black"/>
          <w:sz w:val="24"/>
          <w:szCs w:val="24"/>
        </w:rPr>
      </w:pPr>
      <w:r>
        <w:rPr>
          <w:rFonts w:ascii="Arial Black" w:hAnsi="Arial Black"/>
          <w:sz w:val="24"/>
          <w:szCs w:val="24"/>
        </w:rPr>
        <w:t>13-6</w:t>
      </w:r>
    </w:p>
    <w:p w14:paraId="727B7417" w14:textId="77777777" w:rsidR="00F326E5" w:rsidRDefault="00F326E5" w:rsidP="00F326E5">
      <w:pPr>
        <w:pStyle w:val="NoSpacing"/>
        <w:rPr>
          <w:b/>
          <w:sz w:val="24"/>
          <w:szCs w:val="24"/>
        </w:rPr>
      </w:pPr>
    </w:p>
    <w:p w14:paraId="05219BCF" w14:textId="6DF89A59" w:rsidR="00F326E5" w:rsidRPr="00F65F37" w:rsidRDefault="00F326E5" w:rsidP="00F326E5">
      <w:pPr>
        <w:pStyle w:val="NoSpacing"/>
        <w:rPr>
          <w:b/>
          <w:sz w:val="28"/>
          <w:szCs w:val="28"/>
        </w:rPr>
      </w:pPr>
      <w:bookmarkStart w:id="548" w:name="_Hlk7347344"/>
      <w:r w:rsidRPr="00F65F37">
        <w:rPr>
          <w:rFonts w:ascii="Arial Black" w:hAnsi="Arial Black"/>
          <w:b/>
          <w:sz w:val="28"/>
          <w:szCs w:val="28"/>
        </w:rPr>
        <w:t xml:space="preserve">VA: </w:t>
      </w:r>
      <w:r>
        <w:rPr>
          <w:rFonts w:ascii="Arial Black" w:hAnsi="Arial Black"/>
          <w:b/>
          <w:sz w:val="28"/>
          <w:szCs w:val="28"/>
        </w:rPr>
        <w:t xml:space="preserve">AMMONIA CAPSULES FOUND IN NOSE OF </w:t>
      </w:r>
      <w:r w:rsidR="0048537E">
        <w:rPr>
          <w:rFonts w:ascii="Arial Black" w:hAnsi="Arial Black"/>
          <w:b/>
          <w:sz w:val="28"/>
          <w:szCs w:val="28"/>
        </w:rPr>
        <w:t xml:space="preserve">DECEASED </w:t>
      </w:r>
      <w:r>
        <w:rPr>
          <w:rFonts w:ascii="Arial Black" w:hAnsi="Arial Black"/>
          <w:b/>
          <w:sz w:val="28"/>
          <w:szCs w:val="28"/>
        </w:rPr>
        <w:t xml:space="preserve">JAIL INMATE - LAWSUIT AGAINST NURSE, OTHERS </w:t>
      </w:r>
      <w:r w:rsidR="0048537E">
        <w:rPr>
          <w:rFonts w:ascii="Arial Black" w:hAnsi="Arial Black"/>
          <w:b/>
          <w:sz w:val="28"/>
          <w:szCs w:val="28"/>
        </w:rPr>
        <w:t xml:space="preserve">MAY </w:t>
      </w:r>
      <w:r>
        <w:rPr>
          <w:rFonts w:ascii="Arial Black" w:hAnsi="Arial Black"/>
          <w:b/>
          <w:sz w:val="28"/>
          <w:szCs w:val="28"/>
        </w:rPr>
        <w:t>PROCEED</w:t>
      </w:r>
    </w:p>
    <w:p w14:paraId="7562F4A4" w14:textId="77777777" w:rsidR="00F326E5" w:rsidRPr="00BC17B3" w:rsidRDefault="00F326E5" w:rsidP="00F326E5">
      <w:pPr>
        <w:rPr>
          <w:rFonts w:ascii="Times New Roman" w:eastAsia="Times New Roman" w:hAnsi="Times New Roman"/>
          <w:sz w:val="24"/>
          <w:szCs w:val="24"/>
        </w:rPr>
      </w:pPr>
      <w:r w:rsidRPr="00BC17B3">
        <w:rPr>
          <w:rFonts w:ascii="Times New Roman" w:eastAsia="Times New Roman" w:hAnsi="Times New Roman"/>
          <w:sz w:val="24"/>
          <w:szCs w:val="24"/>
        </w:rPr>
        <w:t xml:space="preserve">On May 31, 2018, in </w:t>
      </w:r>
      <w:r w:rsidRPr="00BC17B3">
        <w:rPr>
          <w:rFonts w:ascii="Times New Roman" w:eastAsia="Times New Roman" w:hAnsi="Times New Roman"/>
          <w:sz w:val="24"/>
          <w:szCs w:val="24"/>
          <w:u w:val="single"/>
        </w:rPr>
        <w:t>Benjamin M. Andrews, Administrator of Estate of Zachary Tuggle v. Sheriff C.T. Woody, et al.</w:t>
      </w:r>
      <w:r w:rsidRPr="00BC17B3">
        <w:rPr>
          <w:rFonts w:ascii="Times New Roman" w:eastAsia="Times New Roman" w:hAnsi="Times New Roman"/>
          <w:sz w:val="24"/>
          <w:szCs w:val="24"/>
        </w:rPr>
        <w:t>, a U.S. District Court Judge for Eastern District of Virginia (Richmond Division), issued two memorandum, holding (1) jail nurse and other jail personnel will not be granted summary judgment; and (2) that defense expert report of Dr. William J. Brady will not be admitted.</w:t>
      </w:r>
    </w:p>
    <w:p w14:paraId="70502A5E" w14:textId="77777777" w:rsidR="00F326E5" w:rsidRPr="00BC17B3" w:rsidRDefault="00F326E5" w:rsidP="00F326E5">
      <w:pPr>
        <w:pStyle w:val="ListParagraph"/>
        <w:rPr>
          <w:rFonts w:ascii="Times New Roman" w:eastAsia="Times New Roman" w:hAnsi="Times New Roman" w:cs="Times New Roman"/>
          <w:sz w:val="24"/>
          <w:szCs w:val="24"/>
        </w:rPr>
      </w:pPr>
      <w:hyperlink r:id="rId2442" w:history="1">
        <w:r w:rsidRPr="00BC17B3">
          <w:rPr>
            <w:rStyle w:val="Hyperlink"/>
            <w:rFonts w:ascii="Times New Roman" w:hAnsi="Times New Roman" w:cs="Times New Roman"/>
            <w:sz w:val="24"/>
            <w:szCs w:val="24"/>
          </w:rPr>
          <w:t>https://cases.justia.com/federal/district-courts/virginia/vaedce/3:2017cv00167/360316/92/0.pdf?ts=1527856286</w:t>
        </w:r>
      </w:hyperlink>
      <w:r w:rsidRPr="00BC17B3">
        <w:rPr>
          <w:rFonts w:ascii="Times New Roman" w:eastAsia="Times New Roman" w:hAnsi="Times New Roman" w:cs="Times New Roman"/>
          <w:sz w:val="24"/>
          <w:szCs w:val="24"/>
        </w:rPr>
        <w:t xml:space="preserve"> </w:t>
      </w:r>
    </w:p>
    <w:p w14:paraId="28FAF68E" w14:textId="77777777" w:rsidR="00F326E5" w:rsidRPr="00BC17B3" w:rsidRDefault="00F326E5" w:rsidP="00F326E5">
      <w:pPr>
        <w:spacing w:before="100" w:beforeAutospacing="1" w:after="100" w:afterAutospacing="1"/>
        <w:rPr>
          <w:rFonts w:ascii="Times New Roman" w:eastAsia="Times New Roman" w:hAnsi="Times New Roman"/>
          <w:b/>
          <w:sz w:val="24"/>
          <w:szCs w:val="24"/>
        </w:rPr>
      </w:pPr>
      <w:r w:rsidRPr="00BC17B3">
        <w:rPr>
          <w:rFonts w:ascii="Times New Roman" w:eastAsia="Times New Roman" w:hAnsi="Times New Roman"/>
          <w:b/>
          <w:sz w:val="24"/>
          <w:szCs w:val="24"/>
        </w:rPr>
        <w:t xml:space="preserve">Legal Lessons Learned: EMS in this case properly documented to unusual conditions they observed.  </w:t>
      </w:r>
    </w:p>
    <w:p w14:paraId="3ED15E15" w14:textId="77777777" w:rsidR="00F326E5" w:rsidRPr="00BC17B3" w:rsidRDefault="00F326E5" w:rsidP="00F326E5">
      <w:pPr>
        <w:spacing w:before="100" w:beforeAutospacing="1" w:after="100" w:afterAutospacing="1"/>
        <w:ind w:left="720"/>
        <w:rPr>
          <w:rFonts w:ascii="Times New Roman" w:eastAsia="Times New Roman" w:hAnsi="Times New Roman"/>
          <w:b/>
          <w:sz w:val="24"/>
          <w:szCs w:val="24"/>
        </w:rPr>
      </w:pPr>
      <w:r w:rsidRPr="00BC17B3">
        <w:rPr>
          <w:rFonts w:ascii="Times New Roman" w:eastAsia="Times New Roman" w:hAnsi="Times New Roman"/>
          <w:sz w:val="24"/>
          <w:szCs w:val="24"/>
        </w:rPr>
        <w:t xml:space="preserve">The U.S. Supreme Court has instructed judges to carefully screen reports of proposed “experts.”  Daubert v. Merrell Dow Pharms., Inc., 509 U.S. 579 (1993); Kumho Tire Co. v. Carmichael, 526 U.S. 137 (1999).  Federal Rules of Evidence were adopted to further clarify review of proposed expert written reports: </w:t>
      </w:r>
      <w:hyperlink r:id="rId2443" w:history="1">
        <w:r w:rsidRPr="00BC17B3">
          <w:rPr>
            <w:rStyle w:val="Hyperlink"/>
            <w:rFonts w:ascii="Times New Roman" w:hAnsi="Times New Roman"/>
            <w:sz w:val="24"/>
            <w:szCs w:val="24"/>
          </w:rPr>
          <w:t>https://www.law.cornell.edu/rules/frcp/rule_26</w:t>
        </w:r>
      </w:hyperlink>
      <w:r w:rsidRPr="00BC17B3">
        <w:rPr>
          <w:rFonts w:ascii="Times New Roman" w:eastAsia="Times New Roman" w:hAnsi="Times New Roman"/>
          <w:sz w:val="24"/>
          <w:szCs w:val="24"/>
        </w:rPr>
        <w:t xml:space="preserve"> </w:t>
      </w:r>
    </w:p>
    <w:p w14:paraId="011323D3" w14:textId="77777777" w:rsidR="00F326E5" w:rsidRPr="00BC17B3" w:rsidRDefault="00F326E5" w:rsidP="00F326E5">
      <w:pPr>
        <w:pStyle w:val="statutory-body-2em"/>
        <w:ind w:left="720"/>
      </w:pPr>
      <w:r w:rsidRPr="00BC17B3">
        <w:lastRenderedPageBreak/>
        <w:t xml:space="preserve">(B) </w:t>
      </w:r>
      <w:r w:rsidRPr="00BC17B3">
        <w:rPr>
          <w:rStyle w:val="Emphasis"/>
        </w:rPr>
        <w:t>Witnesses Who Must Provide a</w:t>
      </w:r>
      <w:r w:rsidRPr="00BC17B3">
        <w:t xml:space="preserve"> </w:t>
      </w:r>
      <w:r w:rsidRPr="00BC17B3">
        <w:rPr>
          <w:rStyle w:val="Emphasis"/>
        </w:rPr>
        <w:t>Written Report.</w:t>
      </w:r>
      <w:r w:rsidRPr="00BC17B3">
        <w:t xml:space="preserve"> Unless otherwise stipulated or ordered by the court, this disclosure must be accompanied by a written report—prepared and signed by the witness—if the witness is one retained or specially employed to provide expert testimony in the case or one whose duties as the party's employee regularly involve giving expert testimony. The report must contain:</w:t>
      </w:r>
    </w:p>
    <w:p w14:paraId="5652011C" w14:textId="77777777" w:rsidR="00F326E5" w:rsidRPr="00BC17B3" w:rsidRDefault="00F326E5" w:rsidP="00F326E5">
      <w:pPr>
        <w:pStyle w:val="statutory-body-3em"/>
        <w:ind w:left="720"/>
      </w:pPr>
      <w:r w:rsidRPr="00BC17B3">
        <w:t>(</w:t>
      </w:r>
      <w:proofErr w:type="spellStart"/>
      <w:r w:rsidRPr="00BC17B3">
        <w:t>i</w:t>
      </w:r>
      <w:proofErr w:type="spellEnd"/>
      <w:r w:rsidRPr="00BC17B3">
        <w:t>) a complete statement of all opinions the witness will express and the basis and reasons for them;</w:t>
      </w:r>
    </w:p>
    <w:p w14:paraId="23017680" w14:textId="77777777" w:rsidR="00F326E5" w:rsidRPr="00BC17B3" w:rsidRDefault="00F326E5" w:rsidP="00F326E5">
      <w:pPr>
        <w:pStyle w:val="statutory-body-3em"/>
        <w:ind w:firstLine="720"/>
      </w:pPr>
      <w:r w:rsidRPr="00BC17B3">
        <w:t>(ii) the facts or data considered by the witness in forming them;</w:t>
      </w:r>
    </w:p>
    <w:p w14:paraId="0A2BDDF3" w14:textId="77777777" w:rsidR="00F326E5" w:rsidRPr="00BC17B3" w:rsidRDefault="00F326E5" w:rsidP="00F326E5">
      <w:pPr>
        <w:pStyle w:val="statutory-body-3em"/>
        <w:ind w:left="720"/>
      </w:pPr>
      <w:r w:rsidRPr="00BC17B3">
        <w:t>(iii) any exhibits that will be used to summarize or support them;(iv) the witness's qualifications, including a list of all publications authored in the previous 10 years;</w:t>
      </w:r>
    </w:p>
    <w:p w14:paraId="4FEE77C3" w14:textId="77777777" w:rsidR="00F326E5" w:rsidRPr="00BC17B3" w:rsidRDefault="00F326E5" w:rsidP="00F326E5">
      <w:pPr>
        <w:pStyle w:val="statutory-body-3em"/>
        <w:ind w:left="720"/>
      </w:pPr>
      <w:r w:rsidRPr="00BC17B3">
        <w:t>(v) a list of all other cases in which, during the previous 4 years, the witness testified as an expert at trial or by deposition; and</w:t>
      </w:r>
    </w:p>
    <w:p w14:paraId="0A754E6F" w14:textId="77777777" w:rsidR="00F326E5" w:rsidRPr="00BC17B3" w:rsidRDefault="00F326E5" w:rsidP="00F326E5">
      <w:pPr>
        <w:pStyle w:val="statutory-body-3em"/>
        <w:ind w:firstLine="720"/>
      </w:pPr>
      <w:r w:rsidRPr="00BC17B3">
        <w:t xml:space="preserve">(vi) a statement of </w:t>
      </w:r>
      <w:proofErr w:type="gramStart"/>
      <w:r w:rsidRPr="00BC17B3">
        <w:t>the compensation</w:t>
      </w:r>
      <w:proofErr w:type="gramEnd"/>
      <w:r w:rsidRPr="00BC17B3">
        <w:t xml:space="preserve"> to be paid for the study and testimony in the case.</w:t>
      </w:r>
    </w:p>
    <w:bookmarkEnd w:id="548"/>
    <w:p w14:paraId="514E9C97" w14:textId="77777777" w:rsidR="00F326E5" w:rsidRPr="00BE5483" w:rsidRDefault="00F326E5" w:rsidP="00F326E5">
      <w:pPr>
        <w:ind w:left="720"/>
        <w:rPr>
          <w:rFonts w:eastAsia="Times New Roman"/>
          <w:sz w:val="24"/>
          <w:szCs w:val="24"/>
        </w:rPr>
      </w:pPr>
    </w:p>
    <w:p w14:paraId="6B70332B" w14:textId="0CD6810C" w:rsidR="00DE0F03" w:rsidRDefault="00DE0F03" w:rsidP="00DE0F03">
      <w:pPr>
        <w:pStyle w:val="NoSpacing"/>
        <w:rPr>
          <w:rFonts w:ascii="Arial Black" w:hAnsi="Arial Black"/>
          <w:sz w:val="24"/>
          <w:szCs w:val="24"/>
        </w:rPr>
      </w:pPr>
      <w:r>
        <w:rPr>
          <w:rFonts w:ascii="Arial Black" w:hAnsi="Arial Black"/>
          <w:sz w:val="24"/>
          <w:szCs w:val="24"/>
        </w:rPr>
        <w:t>13-5</w:t>
      </w:r>
    </w:p>
    <w:p w14:paraId="34A0A897" w14:textId="77777777" w:rsidR="0048537E" w:rsidRDefault="0048537E" w:rsidP="00F326E5">
      <w:pPr>
        <w:rPr>
          <w:sz w:val="24"/>
          <w:szCs w:val="24"/>
        </w:rPr>
      </w:pPr>
    </w:p>
    <w:p w14:paraId="4FDA2366" w14:textId="3D496831" w:rsidR="00F326E5" w:rsidRPr="00F65F37" w:rsidRDefault="00F326E5" w:rsidP="00F326E5">
      <w:pPr>
        <w:rPr>
          <w:rFonts w:ascii="Arial Black" w:hAnsi="Arial Black"/>
          <w:sz w:val="24"/>
          <w:szCs w:val="24"/>
        </w:rPr>
      </w:pPr>
      <w:bookmarkStart w:id="549" w:name="_Hlk41154942"/>
      <w:bookmarkStart w:id="550" w:name="_Hlk7347398"/>
      <w:r w:rsidRPr="00F65F37">
        <w:rPr>
          <w:rFonts w:ascii="Arial Black" w:hAnsi="Arial Black"/>
          <w:sz w:val="28"/>
          <w:szCs w:val="28"/>
        </w:rPr>
        <w:t xml:space="preserve">OH: 911 </w:t>
      </w:r>
      <w:r>
        <w:rPr>
          <w:rFonts w:ascii="Arial Black" w:hAnsi="Arial Black"/>
          <w:sz w:val="28"/>
          <w:szCs w:val="28"/>
        </w:rPr>
        <w:t>“</w:t>
      </w:r>
      <w:r w:rsidRPr="00F65F37">
        <w:rPr>
          <w:rFonts w:ascii="Arial Black" w:hAnsi="Arial Black"/>
          <w:sz w:val="28"/>
          <w:szCs w:val="28"/>
        </w:rPr>
        <w:t>G</w:t>
      </w:r>
      <w:r>
        <w:rPr>
          <w:rFonts w:ascii="Arial Black" w:hAnsi="Arial Black"/>
          <w:sz w:val="28"/>
          <w:szCs w:val="28"/>
        </w:rPr>
        <w:t>OOD SAMARITAN” LAW – DRUG OVERDOSE, CAN AVOID PROSECUTION IF CALL 911</w:t>
      </w:r>
      <w:r w:rsidR="0048537E">
        <w:rPr>
          <w:rFonts w:ascii="Arial Black" w:hAnsi="Arial Black"/>
          <w:sz w:val="28"/>
          <w:szCs w:val="28"/>
        </w:rPr>
        <w:t>, GET TREATMENT</w:t>
      </w:r>
      <w:r>
        <w:rPr>
          <w:rFonts w:ascii="Arial Black" w:hAnsi="Arial Black"/>
          <w:sz w:val="28"/>
          <w:szCs w:val="28"/>
        </w:rPr>
        <w:t xml:space="preserve"> </w:t>
      </w:r>
      <w:r w:rsidRPr="00F65F37">
        <w:rPr>
          <w:sz w:val="24"/>
          <w:szCs w:val="24"/>
        </w:rPr>
        <w:t>[also filed, Chap. 18]</w:t>
      </w:r>
    </w:p>
    <w:p w14:paraId="7E8CD206" w14:textId="77777777" w:rsidR="00F326E5" w:rsidRPr="00BC17B3" w:rsidRDefault="00F326E5" w:rsidP="00F326E5">
      <w:pPr>
        <w:rPr>
          <w:rFonts w:ascii="Times New Roman" w:eastAsia="Times New Roman" w:hAnsi="Times New Roman"/>
          <w:sz w:val="24"/>
          <w:szCs w:val="24"/>
        </w:rPr>
      </w:pPr>
      <w:r w:rsidRPr="00BC17B3">
        <w:rPr>
          <w:rFonts w:ascii="Times New Roman" w:eastAsia="Times New Roman" w:hAnsi="Times New Roman"/>
          <w:sz w:val="24"/>
          <w:szCs w:val="24"/>
        </w:rPr>
        <w:t xml:space="preserve">On May 18, 2018, in </w:t>
      </w:r>
      <w:r w:rsidRPr="00BC17B3">
        <w:rPr>
          <w:rFonts w:ascii="Times New Roman" w:eastAsia="Times New Roman" w:hAnsi="Times New Roman"/>
          <w:sz w:val="24"/>
          <w:szCs w:val="24"/>
          <w:u w:val="single"/>
        </w:rPr>
        <w:t>State of Ohio v. Andrew Melms</w:t>
      </w:r>
      <w:r w:rsidRPr="00BC17B3">
        <w:rPr>
          <w:rFonts w:ascii="Times New Roman" w:eastAsia="Times New Roman" w:hAnsi="Times New Roman"/>
          <w:sz w:val="24"/>
          <w:szCs w:val="24"/>
        </w:rPr>
        <w:t xml:space="preserve">, the Court of Appeals For Second District (Montgomery County), held (3 to 0) that an overdose victim, arrested with </w:t>
      </w:r>
      <w:r w:rsidRPr="00BC17B3">
        <w:rPr>
          <w:rFonts w:ascii="Times New Roman" w:hAnsi="Times New Roman"/>
          <w:sz w:val="24"/>
          <w:szCs w:val="24"/>
        </w:rPr>
        <w:t>six gel caps of fentanyl, was not eligible for immunity; he was in jail and did not enroll in treatment within the 30-day limit set under the new Ohio statute enacted in 2016.  The Court urged the Ohio General Assembly to modify the law: “</w:t>
      </w:r>
      <w:r w:rsidRPr="00BC17B3">
        <w:rPr>
          <w:rFonts w:ascii="Times New Roman" w:eastAsia="Times New Roman" w:hAnsi="Times New Roman"/>
          <w:sz w:val="24"/>
          <w:szCs w:val="24"/>
        </w:rPr>
        <w:t xml:space="preserve">Granted Melms seemingly was an ideal candidate for immunity, but for the clear and unambiguous 30-day window set forth by the legislature. The remedy lies with the </w:t>
      </w:r>
      <w:proofErr w:type="gramStart"/>
      <w:r w:rsidRPr="00BC17B3">
        <w:rPr>
          <w:rFonts w:ascii="Times New Roman" w:eastAsia="Times New Roman" w:hAnsi="Times New Roman"/>
          <w:sz w:val="24"/>
          <w:szCs w:val="24"/>
        </w:rPr>
        <w:t>legislature to</w:t>
      </w:r>
      <w:proofErr w:type="gramEnd"/>
      <w:r w:rsidRPr="00BC17B3">
        <w:rPr>
          <w:rFonts w:ascii="Times New Roman" w:eastAsia="Times New Roman" w:hAnsi="Times New Roman"/>
          <w:sz w:val="24"/>
          <w:szCs w:val="24"/>
        </w:rPr>
        <w:t xml:space="preserve"> either eliminate the 30-day restriction or </w:t>
      </w:r>
      <w:proofErr w:type="gramStart"/>
      <w:r w:rsidRPr="00BC17B3">
        <w:rPr>
          <w:rFonts w:ascii="Times New Roman" w:eastAsia="Times New Roman" w:hAnsi="Times New Roman"/>
          <w:sz w:val="24"/>
          <w:szCs w:val="24"/>
        </w:rPr>
        <w:t>to provide</w:t>
      </w:r>
      <w:proofErr w:type="gramEnd"/>
      <w:r w:rsidRPr="00BC17B3">
        <w:rPr>
          <w:rFonts w:ascii="Times New Roman" w:eastAsia="Times New Roman" w:hAnsi="Times New Roman"/>
          <w:sz w:val="24"/>
          <w:szCs w:val="24"/>
        </w:rPr>
        <w:t xml:space="preserve"> for the exercise of judicial discretion, particularly in those cases of the most vulnerable, often indigent, incarcerated individuals who are unaware of the time limit until after counsel is appointed on the drug offense. In our view, an immediate legislative fix is warranted so that this legislation achieves its laudable </w:t>
      </w:r>
      <w:proofErr w:type="gramStart"/>
      <w:r w:rsidRPr="00BC17B3">
        <w:rPr>
          <w:rFonts w:ascii="Times New Roman" w:eastAsia="Times New Roman" w:hAnsi="Times New Roman"/>
          <w:sz w:val="24"/>
          <w:szCs w:val="24"/>
        </w:rPr>
        <w:t>goals.”</w:t>
      </w:r>
      <w:proofErr w:type="gramEnd"/>
    </w:p>
    <w:p w14:paraId="7B622570" w14:textId="77777777" w:rsidR="00F326E5" w:rsidRPr="00BC17B3" w:rsidRDefault="00F326E5" w:rsidP="00F326E5">
      <w:pPr>
        <w:rPr>
          <w:rStyle w:val="Hyperlink"/>
          <w:rFonts w:ascii="Times New Roman" w:hAnsi="Times New Roman"/>
          <w:b/>
          <w:sz w:val="24"/>
          <w:szCs w:val="24"/>
        </w:rPr>
      </w:pPr>
      <w:hyperlink r:id="rId2444" w:history="1">
        <w:r w:rsidRPr="00BC17B3">
          <w:rPr>
            <w:rStyle w:val="Hyperlink"/>
            <w:rFonts w:ascii="Times New Roman" w:hAnsi="Times New Roman"/>
            <w:sz w:val="24"/>
            <w:szCs w:val="24"/>
          </w:rPr>
          <w:t>https://cases.justia.com/ohio/second-district-court-of-appeals/2018-27685.pdf?ts=1526679598</w:t>
        </w:r>
      </w:hyperlink>
    </w:p>
    <w:p w14:paraId="7F43443A" w14:textId="77777777" w:rsidR="00F326E5" w:rsidRPr="00BC17B3" w:rsidRDefault="00F326E5" w:rsidP="00F326E5">
      <w:pPr>
        <w:rPr>
          <w:rFonts w:ascii="Times New Roman" w:eastAsia="Times New Roman" w:hAnsi="Times New Roman"/>
          <w:b/>
          <w:sz w:val="24"/>
          <w:szCs w:val="24"/>
        </w:rPr>
      </w:pPr>
      <w:r w:rsidRPr="00BC17B3">
        <w:rPr>
          <w:rFonts w:ascii="Times New Roman" w:eastAsia="Times New Roman" w:hAnsi="Times New Roman"/>
          <w:b/>
          <w:sz w:val="24"/>
          <w:szCs w:val="24"/>
        </w:rPr>
        <w:t xml:space="preserve">Legal Lessons Learned:  The “911 Good Samaritan” immunity statute is to encourage drug users and their associates to call 911 for an overdose, and to promptly seek treatment (can receive immunity only twice). </w:t>
      </w:r>
    </w:p>
    <w:p w14:paraId="529D5FBA" w14:textId="77777777" w:rsidR="00F326E5" w:rsidRPr="00BC17B3" w:rsidRDefault="00F326E5" w:rsidP="00F326E5">
      <w:pPr>
        <w:ind w:firstLine="720"/>
        <w:rPr>
          <w:rFonts w:ascii="Times New Roman" w:eastAsia="Times New Roman" w:hAnsi="Times New Roman"/>
          <w:sz w:val="24"/>
          <w:szCs w:val="24"/>
        </w:rPr>
      </w:pPr>
      <w:r w:rsidRPr="00BC17B3">
        <w:rPr>
          <w:rFonts w:ascii="Times New Roman" w:eastAsia="Times New Roman" w:hAnsi="Times New Roman"/>
          <w:sz w:val="24"/>
          <w:szCs w:val="24"/>
        </w:rPr>
        <w:t>Note: 911 Dispatchers ae required to inform overdose patients about the new law:</w:t>
      </w:r>
    </w:p>
    <w:p w14:paraId="7A6E49BE" w14:textId="77777777" w:rsidR="00F326E5" w:rsidRPr="00BC17B3" w:rsidRDefault="00F326E5" w:rsidP="00F326E5">
      <w:pPr>
        <w:pStyle w:val="NoSpacing"/>
        <w:ind w:firstLine="720"/>
        <w:rPr>
          <w:rFonts w:ascii="Times New Roman" w:hAnsi="Times New Roman"/>
          <w:sz w:val="24"/>
          <w:szCs w:val="24"/>
        </w:rPr>
      </w:pPr>
      <w:r w:rsidRPr="00BC17B3">
        <w:rPr>
          <w:rFonts w:ascii="Times New Roman" w:hAnsi="Times New Roman"/>
          <w:sz w:val="24"/>
          <w:szCs w:val="24"/>
        </w:rPr>
        <w:t xml:space="preserve">R.C. 128.04 provides as follows: </w:t>
      </w:r>
    </w:p>
    <w:p w14:paraId="741002CB" w14:textId="77777777" w:rsidR="00F326E5" w:rsidRPr="00BC17B3" w:rsidRDefault="00F326E5" w:rsidP="00F326E5">
      <w:pPr>
        <w:pStyle w:val="NoSpacing"/>
        <w:ind w:firstLine="720"/>
        <w:rPr>
          <w:rFonts w:ascii="Times New Roman" w:hAnsi="Times New Roman"/>
          <w:sz w:val="24"/>
          <w:szCs w:val="24"/>
        </w:rPr>
      </w:pPr>
      <w:r w:rsidRPr="00BC17B3">
        <w:rPr>
          <w:rFonts w:ascii="Times New Roman" w:hAnsi="Times New Roman"/>
          <w:sz w:val="24"/>
          <w:szCs w:val="24"/>
        </w:rPr>
        <w:t xml:space="preserve">(A) Public safety answering point personnel who are certified as emergency service </w:t>
      </w:r>
    </w:p>
    <w:p w14:paraId="254820DB" w14:textId="77777777" w:rsidR="00F326E5" w:rsidRPr="00BC17B3" w:rsidRDefault="00F326E5" w:rsidP="00F326E5">
      <w:pPr>
        <w:pStyle w:val="NoSpacing"/>
        <w:ind w:firstLine="720"/>
        <w:rPr>
          <w:rFonts w:ascii="Times New Roman" w:hAnsi="Times New Roman"/>
          <w:sz w:val="24"/>
          <w:szCs w:val="24"/>
        </w:rPr>
      </w:pPr>
      <w:r w:rsidRPr="00BC17B3">
        <w:rPr>
          <w:rFonts w:ascii="Times New Roman" w:hAnsi="Times New Roman"/>
          <w:sz w:val="24"/>
          <w:szCs w:val="24"/>
        </w:rPr>
        <w:t xml:space="preserve">telecommunicators under section 4742.03 of the Revised Code shall receive training in </w:t>
      </w:r>
    </w:p>
    <w:p w14:paraId="5B2135D1" w14:textId="77777777" w:rsidR="00F326E5" w:rsidRPr="00BC17B3" w:rsidRDefault="00F326E5" w:rsidP="00F326E5">
      <w:pPr>
        <w:pStyle w:val="NoSpacing"/>
        <w:ind w:left="720"/>
        <w:rPr>
          <w:rFonts w:ascii="Times New Roman" w:hAnsi="Times New Roman"/>
          <w:sz w:val="24"/>
          <w:szCs w:val="24"/>
        </w:rPr>
      </w:pPr>
      <w:proofErr w:type="gramStart"/>
      <w:r w:rsidRPr="00BC17B3">
        <w:rPr>
          <w:rFonts w:ascii="Times New Roman" w:hAnsi="Times New Roman"/>
          <w:sz w:val="24"/>
          <w:szCs w:val="24"/>
        </w:rPr>
        <w:t>informing</w:t>
      </w:r>
      <w:proofErr w:type="gramEnd"/>
      <w:r w:rsidRPr="00BC17B3">
        <w:rPr>
          <w:rFonts w:ascii="Times New Roman" w:hAnsi="Times New Roman"/>
          <w:sz w:val="24"/>
          <w:szCs w:val="24"/>
        </w:rPr>
        <w:t xml:space="preserve"> individuals who call about an apparent drug overdose about the immunity from prosecution for a minor drug possession offense created by section 2925.11 of the Revised Code. </w:t>
      </w:r>
    </w:p>
    <w:p w14:paraId="241A7EF9" w14:textId="77777777" w:rsidR="00F326E5" w:rsidRPr="00BC17B3" w:rsidRDefault="00F326E5" w:rsidP="00F326E5">
      <w:pPr>
        <w:pStyle w:val="NoSpacing"/>
        <w:ind w:firstLine="720"/>
        <w:rPr>
          <w:rFonts w:ascii="Times New Roman" w:hAnsi="Times New Roman"/>
          <w:sz w:val="24"/>
          <w:szCs w:val="24"/>
        </w:rPr>
      </w:pPr>
      <w:r w:rsidRPr="00BC17B3">
        <w:rPr>
          <w:rFonts w:ascii="Times New Roman" w:hAnsi="Times New Roman"/>
          <w:sz w:val="24"/>
          <w:szCs w:val="24"/>
        </w:rPr>
        <w:t xml:space="preserve">(B) Public safety answering point personnel who receive a call about an apparent drug </w:t>
      </w:r>
    </w:p>
    <w:p w14:paraId="2785ED73" w14:textId="77777777" w:rsidR="00F326E5" w:rsidRPr="00BC17B3" w:rsidRDefault="00F326E5" w:rsidP="00F326E5">
      <w:pPr>
        <w:pStyle w:val="NoSpacing"/>
        <w:ind w:firstLine="720"/>
        <w:rPr>
          <w:rFonts w:ascii="Times New Roman" w:hAnsi="Times New Roman"/>
          <w:sz w:val="24"/>
          <w:szCs w:val="24"/>
        </w:rPr>
      </w:pPr>
      <w:r w:rsidRPr="00BC17B3">
        <w:rPr>
          <w:rFonts w:ascii="Times New Roman" w:hAnsi="Times New Roman"/>
          <w:sz w:val="24"/>
          <w:szCs w:val="24"/>
        </w:rPr>
        <w:lastRenderedPageBreak/>
        <w:t xml:space="preserve">overdose shall make reasonable efforts, upon the caller's inquiry, to inform the caller </w:t>
      </w:r>
    </w:p>
    <w:p w14:paraId="57F32A32" w14:textId="77777777" w:rsidR="00F326E5" w:rsidRPr="00BC17B3" w:rsidRDefault="00F326E5" w:rsidP="00F326E5">
      <w:pPr>
        <w:pStyle w:val="NoSpacing"/>
        <w:ind w:firstLine="720"/>
        <w:rPr>
          <w:rFonts w:ascii="Times New Roman" w:hAnsi="Times New Roman"/>
          <w:sz w:val="24"/>
          <w:szCs w:val="24"/>
        </w:rPr>
      </w:pPr>
      <w:r w:rsidRPr="00BC17B3">
        <w:rPr>
          <w:rFonts w:ascii="Times New Roman" w:hAnsi="Times New Roman"/>
          <w:sz w:val="24"/>
          <w:szCs w:val="24"/>
        </w:rPr>
        <w:t xml:space="preserve">about the immunity from prosecution for a minor drug possession offense created </w:t>
      </w:r>
    </w:p>
    <w:p w14:paraId="26A69CB4" w14:textId="77777777" w:rsidR="00F326E5" w:rsidRPr="00BC17B3" w:rsidRDefault="00F326E5" w:rsidP="00F326E5">
      <w:pPr>
        <w:pStyle w:val="NoSpacing"/>
        <w:ind w:firstLine="720"/>
        <w:rPr>
          <w:rFonts w:ascii="Times New Roman" w:hAnsi="Times New Roman"/>
          <w:sz w:val="24"/>
          <w:szCs w:val="24"/>
        </w:rPr>
      </w:pPr>
      <w:r w:rsidRPr="00BC17B3">
        <w:rPr>
          <w:rFonts w:ascii="Times New Roman" w:hAnsi="Times New Roman"/>
          <w:sz w:val="24"/>
          <w:szCs w:val="24"/>
        </w:rPr>
        <w:t xml:space="preserve">by section 2925.11 of the Revised Code. </w:t>
      </w:r>
    </w:p>
    <w:p w14:paraId="60D66561" w14:textId="77777777" w:rsidR="00F326E5" w:rsidRPr="00BC17B3" w:rsidRDefault="00F326E5" w:rsidP="00F326E5">
      <w:pPr>
        <w:pStyle w:val="NoSpacing"/>
        <w:rPr>
          <w:rFonts w:ascii="Times New Roman" w:hAnsi="Times New Roman"/>
          <w:sz w:val="24"/>
          <w:szCs w:val="24"/>
        </w:rPr>
      </w:pPr>
    </w:p>
    <w:bookmarkEnd w:id="549"/>
    <w:p w14:paraId="00581AC2" w14:textId="77777777" w:rsidR="00BC17B3" w:rsidRDefault="00BC17B3" w:rsidP="00F326E5">
      <w:pPr>
        <w:pStyle w:val="NoSpacing"/>
        <w:rPr>
          <w:rFonts w:ascii="Arial Black" w:hAnsi="Arial Black"/>
          <w:sz w:val="24"/>
          <w:szCs w:val="24"/>
        </w:rPr>
      </w:pPr>
    </w:p>
    <w:p w14:paraId="1BFC18BA" w14:textId="5AC63124" w:rsidR="00F326E5" w:rsidRDefault="00DE0F03" w:rsidP="00F326E5">
      <w:pPr>
        <w:pStyle w:val="NoSpacing"/>
        <w:rPr>
          <w:rFonts w:ascii="Arial Black" w:hAnsi="Arial Black"/>
          <w:sz w:val="24"/>
          <w:szCs w:val="24"/>
        </w:rPr>
      </w:pPr>
      <w:r>
        <w:rPr>
          <w:rFonts w:ascii="Arial Black" w:hAnsi="Arial Black"/>
          <w:sz w:val="24"/>
          <w:szCs w:val="24"/>
        </w:rPr>
        <w:t>13-4</w:t>
      </w:r>
    </w:p>
    <w:p w14:paraId="4FF1041C" w14:textId="77777777" w:rsidR="00DE0F03" w:rsidRPr="00BE5483" w:rsidRDefault="00DE0F03" w:rsidP="00F326E5">
      <w:pPr>
        <w:pStyle w:val="NoSpacing"/>
        <w:rPr>
          <w:rFonts w:ascii="Arial Black" w:hAnsi="Arial Black"/>
          <w:sz w:val="24"/>
          <w:szCs w:val="24"/>
        </w:rPr>
      </w:pPr>
    </w:p>
    <w:p w14:paraId="314D4CEC" w14:textId="442F02C8" w:rsidR="00F326E5" w:rsidRPr="00F65F37" w:rsidRDefault="00F326E5" w:rsidP="00F326E5">
      <w:pPr>
        <w:pStyle w:val="NoSpacing"/>
        <w:rPr>
          <w:rFonts w:ascii="Arial Black" w:eastAsia="Times New Roman" w:hAnsi="Arial Black"/>
          <w:sz w:val="28"/>
          <w:szCs w:val="28"/>
        </w:rPr>
      </w:pPr>
      <w:bookmarkStart w:id="551" w:name="_Hlk515212934"/>
      <w:bookmarkStart w:id="552" w:name="_Hlk7347462"/>
      <w:bookmarkEnd w:id="550"/>
      <w:r w:rsidRPr="00F65F37">
        <w:rPr>
          <w:rFonts w:ascii="Arial Black" w:eastAsia="Times New Roman" w:hAnsi="Arial Black"/>
          <w:sz w:val="28"/>
          <w:szCs w:val="28"/>
        </w:rPr>
        <w:t xml:space="preserve">MI: DYING DECLARATION </w:t>
      </w:r>
      <w:r>
        <w:rPr>
          <w:rFonts w:ascii="Arial Black" w:eastAsia="Times New Roman" w:hAnsi="Arial Black"/>
          <w:sz w:val="28"/>
          <w:szCs w:val="28"/>
        </w:rPr>
        <w:t xml:space="preserve">BY VICTIM </w:t>
      </w:r>
      <w:r w:rsidRPr="00F65F37">
        <w:rPr>
          <w:rFonts w:ascii="Arial Black" w:eastAsia="Times New Roman" w:hAnsi="Arial Black"/>
          <w:sz w:val="28"/>
          <w:szCs w:val="28"/>
        </w:rPr>
        <w:t>TO PARAMEDIC – ADMISSIBLE IN MURDER TRIAL</w:t>
      </w:r>
    </w:p>
    <w:bookmarkEnd w:id="551"/>
    <w:p w14:paraId="7D8CB9CB" w14:textId="77777777" w:rsidR="00F326E5" w:rsidRPr="00BC17B3" w:rsidRDefault="00F326E5" w:rsidP="00F326E5">
      <w:pPr>
        <w:rPr>
          <w:rFonts w:ascii="Times New Roman" w:eastAsia="Times New Roman" w:hAnsi="Times New Roman"/>
          <w:sz w:val="24"/>
          <w:szCs w:val="24"/>
        </w:rPr>
      </w:pPr>
      <w:r w:rsidRPr="00BC17B3">
        <w:rPr>
          <w:rFonts w:ascii="Times New Roman" w:eastAsia="Times New Roman" w:hAnsi="Times New Roman"/>
          <w:sz w:val="24"/>
          <w:szCs w:val="24"/>
        </w:rPr>
        <w:t xml:space="preserve">On April 19, 2018, in </w:t>
      </w:r>
      <w:r w:rsidRPr="00BC17B3">
        <w:rPr>
          <w:rFonts w:ascii="Times New Roman" w:eastAsia="Times New Roman" w:hAnsi="Times New Roman"/>
          <w:sz w:val="24"/>
          <w:szCs w:val="24"/>
          <w:u w:val="single"/>
        </w:rPr>
        <w:t>State of Michigan v. Christopher Tank</w:t>
      </w:r>
      <w:r w:rsidRPr="00BC17B3">
        <w:rPr>
          <w:rFonts w:ascii="Times New Roman" w:eastAsia="Times New Roman" w:hAnsi="Times New Roman"/>
          <w:sz w:val="24"/>
          <w:szCs w:val="24"/>
        </w:rPr>
        <w:t xml:space="preserve">, the State of Michigan Court of Appeals, upheld the jury conviction (3 to 0), holding “there was no plain error in admitting the victim’s dying declaration identifying defendant as his assailant.”  </w:t>
      </w:r>
      <w:hyperlink r:id="rId2445" w:history="1">
        <w:r w:rsidRPr="00BC17B3">
          <w:rPr>
            <w:rStyle w:val="Hyperlink"/>
            <w:rFonts w:ascii="Times New Roman" w:hAnsi="Times New Roman"/>
            <w:sz w:val="24"/>
            <w:szCs w:val="24"/>
          </w:rPr>
          <w:t>https://cases.justia.com/michigan/court-of-appeals-unpublished/2018-335366.pdf?ts=1524229247</w:t>
        </w:r>
      </w:hyperlink>
      <w:r w:rsidRPr="00BC17B3">
        <w:rPr>
          <w:rFonts w:ascii="Times New Roman" w:eastAsia="Times New Roman" w:hAnsi="Times New Roman"/>
          <w:sz w:val="24"/>
          <w:szCs w:val="24"/>
        </w:rPr>
        <w:t xml:space="preserve"> </w:t>
      </w:r>
    </w:p>
    <w:p w14:paraId="1AC0AC91" w14:textId="77777777" w:rsidR="00F326E5" w:rsidRPr="00BC17B3" w:rsidRDefault="00F326E5" w:rsidP="00F326E5">
      <w:pPr>
        <w:rPr>
          <w:rFonts w:ascii="Times New Roman" w:eastAsia="Times New Roman" w:hAnsi="Times New Roman"/>
          <w:b/>
          <w:sz w:val="24"/>
          <w:szCs w:val="24"/>
        </w:rPr>
      </w:pPr>
      <w:r w:rsidRPr="00BC17B3">
        <w:rPr>
          <w:rFonts w:ascii="Times New Roman" w:eastAsia="Times New Roman" w:hAnsi="Times New Roman"/>
          <w:b/>
          <w:sz w:val="24"/>
          <w:szCs w:val="24"/>
        </w:rPr>
        <w:t>Legal Lessons Learned: Dying declarations are admissible; include victim’s exact words in “quotes” in the EMS run report.</w:t>
      </w:r>
    </w:p>
    <w:bookmarkEnd w:id="552"/>
    <w:p w14:paraId="6CA8E80D" w14:textId="77777777" w:rsidR="00F326E5" w:rsidRDefault="00F326E5" w:rsidP="00F326E5">
      <w:pPr>
        <w:rPr>
          <w:rFonts w:eastAsia="Times New Roman"/>
          <w:sz w:val="24"/>
          <w:szCs w:val="24"/>
        </w:rPr>
      </w:pPr>
    </w:p>
    <w:p w14:paraId="014DEED9" w14:textId="5179C159" w:rsidR="00DE0F03" w:rsidRDefault="00DE0F03" w:rsidP="00DE0F03">
      <w:pPr>
        <w:rPr>
          <w:b/>
          <w:szCs w:val="24"/>
        </w:rPr>
      </w:pPr>
      <w:bookmarkStart w:id="553" w:name="_Hlk7347500"/>
      <w:r>
        <w:rPr>
          <w:rFonts w:ascii="Arial Black" w:hAnsi="Arial Black"/>
          <w:b/>
          <w:sz w:val="24"/>
          <w:szCs w:val="24"/>
        </w:rPr>
        <w:t>13-3</w:t>
      </w:r>
    </w:p>
    <w:p w14:paraId="26DB2F76" w14:textId="4134DF2F" w:rsidR="00F326E5" w:rsidRPr="00F65F37" w:rsidRDefault="00F326E5" w:rsidP="00F326E5">
      <w:pPr>
        <w:rPr>
          <w:rFonts w:eastAsia="Times New Roman"/>
          <w:sz w:val="28"/>
          <w:szCs w:val="28"/>
        </w:rPr>
      </w:pPr>
      <w:bookmarkStart w:id="554" w:name="_Hlk41155031"/>
      <w:r w:rsidRPr="00F65F37">
        <w:rPr>
          <w:rFonts w:ascii="Arial Black" w:eastAsia="Times New Roman" w:hAnsi="Arial Black"/>
          <w:sz w:val="28"/>
          <w:szCs w:val="28"/>
        </w:rPr>
        <w:t xml:space="preserve">MI:  CPR – NO NEED TO PERFORM WHEN </w:t>
      </w:r>
      <w:r>
        <w:rPr>
          <w:rFonts w:ascii="Arial Black" w:eastAsia="Times New Roman" w:hAnsi="Arial Black"/>
          <w:sz w:val="28"/>
          <w:szCs w:val="28"/>
        </w:rPr>
        <w:t xml:space="preserve">PATIENT CLEARLY DEAD - </w:t>
      </w:r>
      <w:r w:rsidRPr="00F65F37">
        <w:rPr>
          <w:rFonts w:ascii="Arial Black" w:eastAsia="Times New Roman" w:hAnsi="Arial Black"/>
          <w:sz w:val="28"/>
          <w:szCs w:val="28"/>
        </w:rPr>
        <w:t>LIVIDITY, NO PULSE</w:t>
      </w:r>
    </w:p>
    <w:p w14:paraId="41B89BB5" w14:textId="77777777" w:rsidR="00F326E5" w:rsidRPr="00BC17B3" w:rsidRDefault="00F326E5" w:rsidP="00F326E5">
      <w:pPr>
        <w:rPr>
          <w:rFonts w:ascii="Times New Roman" w:hAnsi="Times New Roman"/>
          <w:sz w:val="24"/>
          <w:szCs w:val="24"/>
        </w:rPr>
      </w:pPr>
      <w:r w:rsidRPr="00BC17B3">
        <w:rPr>
          <w:rFonts w:ascii="Times New Roman" w:eastAsia="Times New Roman" w:hAnsi="Times New Roman"/>
          <w:sz w:val="24"/>
          <w:szCs w:val="24"/>
        </w:rPr>
        <w:t xml:space="preserve">On April 12, 2018, in </w:t>
      </w:r>
      <w:r w:rsidRPr="00BC17B3">
        <w:rPr>
          <w:rFonts w:ascii="Times New Roman" w:eastAsia="Times New Roman" w:hAnsi="Times New Roman"/>
          <w:sz w:val="24"/>
          <w:szCs w:val="24"/>
          <w:u w:val="single"/>
        </w:rPr>
        <w:t>Eusebio Saldana v. Nathan Smith and Sanilac County Sheriff’s Office</w:t>
      </w:r>
      <w:r w:rsidRPr="00BC17B3">
        <w:rPr>
          <w:rFonts w:ascii="Times New Roman" w:eastAsia="Times New Roman" w:hAnsi="Times New Roman"/>
          <w:sz w:val="24"/>
          <w:szCs w:val="24"/>
        </w:rPr>
        <w:t>, the State of Michigan Court of Appeals held (3 to 0; unpublished decision) that the police officer “</w:t>
      </w:r>
      <w:r w:rsidRPr="00BC17B3">
        <w:rPr>
          <w:rFonts w:ascii="Times New Roman" w:hAnsi="Times New Roman"/>
          <w:sz w:val="24"/>
          <w:szCs w:val="24"/>
        </w:rPr>
        <w:t xml:space="preserve">exercised his discretion based on his experience and training in identifying Michael's condition and acting according to those conclusions.”  </w:t>
      </w:r>
      <w:hyperlink r:id="rId2446" w:history="1">
        <w:r w:rsidRPr="00BC17B3">
          <w:rPr>
            <w:rStyle w:val="Hyperlink"/>
            <w:rFonts w:ascii="Times New Roman" w:hAnsi="Times New Roman"/>
            <w:sz w:val="24"/>
            <w:szCs w:val="24"/>
          </w:rPr>
          <w:t>https://scholar.google.com/scholar_case?case=10284773024569378667&amp;hl=en&amp;as_sdt=6&amp;as_vis=1&amp;oi=scholarr</w:t>
        </w:r>
      </w:hyperlink>
      <w:r w:rsidRPr="00BC17B3">
        <w:rPr>
          <w:rFonts w:ascii="Times New Roman" w:hAnsi="Times New Roman"/>
          <w:sz w:val="24"/>
          <w:szCs w:val="24"/>
        </w:rPr>
        <w:t xml:space="preserve"> </w:t>
      </w:r>
    </w:p>
    <w:p w14:paraId="623A406D" w14:textId="77777777" w:rsidR="00F326E5" w:rsidRPr="00BC17B3" w:rsidRDefault="00F326E5" w:rsidP="00F326E5">
      <w:pPr>
        <w:rPr>
          <w:rFonts w:ascii="Times New Roman" w:hAnsi="Times New Roman"/>
          <w:b/>
          <w:sz w:val="24"/>
          <w:szCs w:val="24"/>
        </w:rPr>
      </w:pPr>
      <w:r w:rsidRPr="00BC17B3">
        <w:rPr>
          <w:rFonts w:ascii="Times New Roman" w:hAnsi="Times New Roman"/>
          <w:b/>
          <w:sz w:val="24"/>
          <w:szCs w:val="24"/>
        </w:rPr>
        <w:t>Legal Lessons Learned:  Michigan statues protect police &amp; EMS from liability, unless proof of gross negligence.</w:t>
      </w:r>
    </w:p>
    <w:bookmarkEnd w:id="553"/>
    <w:bookmarkEnd w:id="554"/>
    <w:p w14:paraId="6FC66EFC" w14:textId="77777777" w:rsidR="00F326E5" w:rsidRDefault="00F326E5" w:rsidP="00F326E5">
      <w:pPr>
        <w:rPr>
          <w:rFonts w:eastAsia="Times New Roman"/>
          <w:sz w:val="24"/>
          <w:szCs w:val="24"/>
        </w:rPr>
      </w:pPr>
    </w:p>
    <w:p w14:paraId="30B2109F" w14:textId="07A43293" w:rsidR="00DE0F03" w:rsidRDefault="00DE0F03" w:rsidP="00DE0F03">
      <w:pPr>
        <w:rPr>
          <w:b/>
          <w:szCs w:val="24"/>
        </w:rPr>
      </w:pPr>
      <w:bookmarkStart w:id="555" w:name="_Hlk515213164"/>
      <w:r>
        <w:rPr>
          <w:rFonts w:ascii="Arial Black" w:hAnsi="Arial Black"/>
          <w:b/>
          <w:sz w:val="24"/>
          <w:szCs w:val="24"/>
        </w:rPr>
        <w:t>13-2</w:t>
      </w:r>
    </w:p>
    <w:p w14:paraId="57D14077" w14:textId="77777777" w:rsidR="00F326E5" w:rsidRDefault="00F326E5" w:rsidP="00F326E5">
      <w:pPr>
        <w:pStyle w:val="NoSpacing"/>
        <w:rPr>
          <w:sz w:val="24"/>
          <w:szCs w:val="24"/>
        </w:rPr>
      </w:pPr>
    </w:p>
    <w:p w14:paraId="11A30793" w14:textId="0FEF194E" w:rsidR="00F326E5" w:rsidRDefault="00F326E5" w:rsidP="00F326E5">
      <w:pPr>
        <w:pStyle w:val="NoSpacing"/>
        <w:rPr>
          <w:rFonts w:ascii="Arial Black" w:hAnsi="Arial Black"/>
          <w:b/>
          <w:sz w:val="28"/>
          <w:szCs w:val="28"/>
        </w:rPr>
      </w:pPr>
      <w:bookmarkStart w:id="556" w:name="_Hlk7347620"/>
      <w:r w:rsidRPr="00B018B0">
        <w:rPr>
          <w:rFonts w:ascii="Arial Black" w:hAnsi="Arial Black"/>
          <w:b/>
          <w:sz w:val="28"/>
          <w:szCs w:val="28"/>
        </w:rPr>
        <w:t>OH</w:t>
      </w:r>
      <w:r>
        <w:rPr>
          <w:rFonts w:ascii="Arial Black" w:hAnsi="Arial Black"/>
          <w:b/>
          <w:sz w:val="28"/>
          <w:szCs w:val="28"/>
        </w:rPr>
        <w:t xml:space="preserve">: </w:t>
      </w:r>
      <w:r w:rsidRPr="00B018B0">
        <w:rPr>
          <w:rFonts w:ascii="Arial Black" w:hAnsi="Arial Black"/>
          <w:b/>
          <w:sz w:val="28"/>
          <w:szCs w:val="28"/>
        </w:rPr>
        <w:t xml:space="preserve"> DRUNK DRIVER </w:t>
      </w:r>
      <w:r>
        <w:rPr>
          <w:rFonts w:ascii="Arial Black" w:hAnsi="Arial Black"/>
          <w:b/>
          <w:sz w:val="28"/>
          <w:szCs w:val="28"/>
        </w:rPr>
        <w:t xml:space="preserve">- </w:t>
      </w:r>
      <w:r w:rsidRPr="00B018B0">
        <w:rPr>
          <w:rFonts w:ascii="Arial Black" w:hAnsi="Arial Black"/>
          <w:b/>
          <w:sz w:val="28"/>
          <w:szCs w:val="28"/>
        </w:rPr>
        <w:t xml:space="preserve">URINE </w:t>
      </w:r>
      <w:r>
        <w:rPr>
          <w:rFonts w:ascii="Arial Black" w:hAnsi="Arial Black"/>
          <w:b/>
          <w:sz w:val="28"/>
          <w:szCs w:val="28"/>
        </w:rPr>
        <w:t xml:space="preserve">/ </w:t>
      </w:r>
      <w:r w:rsidRPr="00B018B0">
        <w:rPr>
          <w:rFonts w:ascii="Arial Black" w:hAnsi="Arial Black"/>
          <w:b/>
          <w:sz w:val="28"/>
          <w:szCs w:val="28"/>
        </w:rPr>
        <w:t xml:space="preserve">BLOOD TESTS </w:t>
      </w:r>
      <w:r>
        <w:rPr>
          <w:rFonts w:ascii="Arial Black" w:hAnsi="Arial Black"/>
          <w:b/>
          <w:sz w:val="28"/>
          <w:szCs w:val="28"/>
        </w:rPr>
        <w:t>IN E</w:t>
      </w:r>
      <w:r w:rsidR="0048537E">
        <w:rPr>
          <w:rFonts w:ascii="Arial Black" w:hAnsi="Arial Black"/>
          <w:b/>
          <w:sz w:val="28"/>
          <w:szCs w:val="28"/>
        </w:rPr>
        <w:t>MERGENCY ROOM BY ORDERS OF PHYSICIAN</w:t>
      </w:r>
      <w:r>
        <w:rPr>
          <w:rFonts w:ascii="Arial Black" w:hAnsi="Arial Black"/>
          <w:b/>
          <w:sz w:val="28"/>
          <w:szCs w:val="28"/>
        </w:rPr>
        <w:t xml:space="preserve"> - </w:t>
      </w:r>
      <w:r w:rsidRPr="00B018B0">
        <w:rPr>
          <w:rFonts w:ascii="Arial Black" w:hAnsi="Arial Black"/>
          <w:b/>
          <w:sz w:val="28"/>
          <w:szCs w:val="28"/>
        </w:rPr>
        <w:t>NO 4</w:t>
      </w:r>
      <w:r w:rsidRPr="00B018B0">
        <w:rPr>
          <w:rFonts w:ascii="Arial Black" w:hAnsi="Arial Black"/>
          <w:b/>
          <w:sz w:val="28"/>
          <w:szCs w:val="28"/>
          <w:vertAlign w:val="superscript"/>
        </w:rPr>
        <w:t>TH</w:t>
      </w:r>
      <w:r w:rsidRPr="00B018B0">
        <w:rPr>
          <w:rFonts w:ascii="Arial Black" w:hAnsi="Arial Black"/>
          <w:b/>
          <w:sz w:val="28"/>
          <w:szCs w:val="28"/>
        </w:rPr>
        <w:t xml:space="preserve"> AMENDMENT VIOL</w:t>
      </w:r>
      <w:r w:rsidR="0048537E">
        <w:rPr>
          <w:rFonts w:ascii="Arial Black" w:hAnsi="Arial Black"/>
          <w:b/>
          <w:sz w:val="28"/>
          <w:szCs w:val="28"/>
        </w:rPr>
        <w:t xml:space="preserve">. BY PD </w:t>
      </w:r>
    </w:p>
    <w:bookmarkEnd w:id="555"/>
    <w:p w14:paraId="36664CEC" w14:textId="77777777" w:rsidR="00F326E5" w:rsidRPr="00BC17B3" w:rsidRDefault="00F326E5" w:rsidP="00F326E5">
      <w:pPr>
        <w:rPr>
          <w:rFonts w:ascii="Times New Roman" w:hAnsi="Times New Roman"/>
          <w:b/>
          <w:sz w:val="24"/>
          <w:szCs w:val="24"/>
        </w:rPr>
      </w:pPr>
      <w:r w:rsidRPr="00BC17B3">
        <w:rPr>
          <w:rFonts w:ascii="Times New Roman" w:hAnsi="Times New Roman"/>
          <w:sz w:val="24"/>
          <w:szCs w:val="24"/>
        </w:rPr>
        <w:t xml:space="preserve">On March 26, 2018, in </w:t>
      </w:r>
      <w:r w:rsidRPr="00BC17B3">
        <w:rPr>
          <w:rFonts w:ascii="Times New Roman" w:hAnsi="Times New Roman"/>
          <w:sz w:val="24"/>
          <w:szCs w:val="24"/>
          <w:u w:val="single"/>
        </w:rPr>
        <w:t>John W. Gold v. City of Sandusky, et al</w:t>
      </w:r>
      <w:r w:rsidRPr="00BC17B3">
        <w:rPr>
          <w:rFonts w:ascii="Times New Roman" w:hAnsi="Times New Roman"/>
          <w:sz w:val="24"/>
          <w:szCs w:val="24"/>
        </w:rPr>
        <w:t xml:space="preserve">., U.S. Magistrate Judge for the U.S. District Court, Northern, OH, issued a Memorandum Opinion and Order dismissing the civil rights lawsuit filed against the City, police officers, and ER medical staff, holding: “To the extent Plaintiff argues the officers violated his Fourth Amendment rights in the insertion of the catheter or in taking his blood, such a claim fails for the reasons stated above. That is, there is no </w:t>
      </w:r>
      <w:proofErr w:type="gramStart"/>
      <w:r w:rsidRPr="00BC17B3">
        <w:rPr>
          <w:rFonts w:ascii="Times New Roman" w:hAnsi="Times New Roman"/>
          <w:sz w:val="24"/>
          <w:szCs w:val="24"/>
        </w:rPr>
        <w:t>evidence</w:t>
      </w:r>
      <w:proofErr w:type="gramEnd"/>
      <w:r w:rsidRPr="00BC17B3">
        <w:rPr>
          <w:rFonts w:ascii="Times New Roman" w:hAnsi="Times New Roman"/>
          <w:sz w:val="24"/>
          <w:szCs w:val="24"/>
        </w:rPr>
        <w:t xml:space="preserve"> the catheter was placed, or blood drawn, at the request of the </w:t>
      </w:r>
      <w:r w:rsidRPr="00BC17B3">
        <w:rPr>
          <w:rFonts w:ascii="Times New Roman" w:hAnsi="Times New Roman"/>
          <w:sz w:val="24"/>
          <w:szCs w:val="24"/>
        </w:rPr>
        <w:lastRenderedPageBreak/>
        <w:t>police. Rather, it was medical personnel who made the decision and performed the action.”</w:t>
      </w:r>
      <w:r w:rsidRPr="00BC17B3">
        <w:rPr>
          <w:rFonts w:ascii="Times New Roman" w:hAnsi="Times New Roman"/>
          <w:b/>
          <w:sz w:val="24"/>
          <w:szCs w:val="24"/>
        </w:rPr>
        <w:t xml:space="preserve"> </w:t>
      </w:r>
      <w:hyperlink r:id="rId2447" w:history="1">
        <w:r w:rsidRPr="00BC17B3">
          <w:rPr>
            <w:rStyle w:val="Hyperlink"/>
            <w:rFonts w:ascii="Times New Roman" w:hAnsi="Times New Roman"/>
            <w:sz w:val="24"/>
            <w:szCs w:val="24"/>
          </w:rPr>
          <w:t>http://courtweb.pamd.uscourts.gov/courtwebsearch/ndoh/AlKFf0ZU_k.pdf</w:t>
        </w:r>
      </w:hyperlink>
      <w:r w:rsidRPr="00BC17B3">
        <w:rPr>
          <w:rFonts w:ascii="Times New Roman" w:hAnsi="Times New Roman"/>
          <w:b/>
          <w:sz w:val="24"/>
          <w:szCs w:val="24"/>
        </w:rPr>
        <w:t xml:space="preserve"> </w:t>
      </w:r>
    </w:p>
    <w:p w14:paraId="0DA1CE42" w14:textId="77777777" w:rsidR="00F326E5" w:rsidRPr="00BC17B3" w:rsidRDefault="00F326E5" w:rsidP="00F326E5">
      <w:pPr>
        <w:rPr>
          <w:rFonts w:ascii="Times New Roman" w:hAnsi="Times New Roman"/>
          <w:b/>
          <w:sz w:val="24"/>
          <w:szCs w:val="24"/>
        </w:rPr>
      </w:pPr>
      <w:r w:rsidRPr="00BC17B3">
        <w:rPr>
          <w:rFonts w:ascii="Times New Roman" w:hAnsi="Times New Roman"/>
          <w:b/>
          <w:sz w:val="24"/>
          <w:szCs w:val="24"/>
        </w:rPr>
        <w:t xml:space="preserve">LEGAL LESSONS LEARNED:  Blood and urine may be obtained in ER for medical reasons, without patient consent; police may obtain a search warrant for use in criminal </w:t>
      </w:r>
      <w:proofErr w:type="gramStart"/>
      <w:r w:rsidRPr="00BC17B3">
        <w:rPr>
          <w:rFonts w:ascii="Times New Roman" w:hAnsi="Times New Roman"/>
          <w:b/>
          <w:sz w:val="24"/>
          <w:szCs w:val="24"/>
        </w:rPr>
        <w:t>case</w:t>
      </w:r>
      <w:proofErr w:type="gramEnd"/>
      <w:r w:rsidRPr="00BC17B3">
        <w:rPr>
          <w:rFonts w:ascii="Times New Roman" w:hAnsi="Times New Roman"/>
          <w:b/>
          <w:sz w:val="24"/>
          <w:szCs w:val="24"/>
        </w:rPr>
        <w:t>.</w:t>
      </w:r>
    </w:p>
    <w:bookmarkEnd w:id="556"/>
    <w:p w14:paraId="51B12EA0" w14:textId="77777777" w:rsidR="0036327D" w:rsidRDefault="0036327D" w:rsidP="00DE0F03">
      <w:pPr>
        <w:rPr>
          <w:rFonts w:ascii="Arial Black" w:hAnsi="Arial Black"/>
          <w:b/>
          <w:sz w:val="24"/>
          <w:szCs w:val="24"/>
        </w:rPr>
      </w:pPr>
    </w:p>
    <w:p w14:paraId="639FF713" w14:textId="2C18E25F" w:rsidR="00F326E5" w:rsidRDefault="00DE0F03" w:rsidP="00DE0F03">
      <w:pPr>
        <w:rPr>
          <w:b/>
          <w:szCs w:val="24"/>
        </w:rPr>
      </w:pPr>
      <w:r>
        <w:rPr>
          <w:rFonts w:ascii="Arial Black" w:hAnsi="Arial Black"/>
          <w:b/>
          <w:sz w:val="24"/>
          <w:szCs w:val="24"/>
        </w:rPr>
        <w:t>13-1</w:t>
      </w:r>
    </w:p>
    <w:p w14:paraId="0AD67384" w14:textId="77777777" w:rsidR="00F326E5" w:rsidRDefault="00F326E5" w:rsidP="00F326E5">
      <w:pPr>
        <w:pStyle w:val="NoSpacing"/>
        <w:rPr>
          <w:b/>
          <w:szCs w:val="24"/>
        </w:rPr>
      </w:pPr>
    </w:p>
    <w:p w14:paraId="601A39BC" w14:textId="62AA748A" w:rsidR="00F326E5" w:rsidRPr="008D7D88" w:rsidRDefault="00F326E5" w:rsidP="00F326E5">
      <w:pPr>
        <w:pStyle w:val="NoSpacing"/>
        <w:rPr>
          <w:b/>
          <w:sz w:val="24"/>
          <w:szCs w:val="24"/>
        </w:rPr>
      </w:pPr>
      <w:bookmarkStart w:id="557" w:name="_Hlk7347790"/>
      <w:r w:rsidRPr="0066326F">
        <w:rPr>
          <w:rFonts w:ascii="Arial Black" w:hAnsi="Arial Black"/>
          <w:sz w:val="28"/>
          <w:szCs w:val="28"/>
        </w:rPr>
        <w:t xml:space="preserve">OH: </w:t>
      </w:r>
      <w:r w:rsidR="0048537E">
        <w:rPr>
          <w:rFonts w:ascii="Arial Black" w:hAnsi="Arial Black"/>
          <w:sz w:val="28"/>
          <w:szCs w:val="28"/>
        </w:rPr>
        <w:t xml:space="preserve">AMBULANCE IN MVA </w:t>
      </w:r>
      <w:r w:rsidR="00247719">
        <w:rPr>
          <w:rFonts w:ascii="Arial Black" w:hAnsi="Arial Black"/>
          <w:sz w:val="28"/>
          <w:szCs w:val="28"/>
        </w:rPr>
        <w:t>–</w:t>
      </w:r>
      <w:r w:rsidR="0048537E">
        <w:rPr>
          <w:rFonts w:ascii="Arial Black" w:hAnsi="Arial Black"/>
          <w:sz w:val="28"/>
          <w:szCs w:val="28"/>
        </w:rPr>
        <w:t xml:space="preserve"> </w:t>
      </w:r>
      <w:r w:rsidR="00247719">
        <w:rPr>
          <w:rFonts w:ascii="Arial Black" w:hAnsi="Arial Black"/>
          <w:sz w:val="28"/>
          <w:szCs w:val="28"/>
        </w:rPr>
        <w:t xml:space="preserve">EMT </w:t>
      </w:r>
      <w:r w:rsidRPr="0066326F">
        <w:rPr>
          <w:rFonts w:ascii="Arial Black" w:hAnsi="Arial Black"/>
          <w:sz w:val="28"/>
          <w:szCs w:val="28"/>
        </w:rPr>
        <w:t xml:space="preserve">DRIVER SPEEDING, </w:t>
      </w:r>
      <w:r w:rsidR="00247719">
        <w:rPr>
          <w:rFonts w:ascii="Arial Black" w:hAnsi="Arial Black"/>
          <w:sz w:val="28"/>
          <w:szCs w:val="28"/>
        </w:rPr>
        <w:t xml:space="preserve">PASSING </w:t>
      </w:r>
      <w:r w:rsidRPr="0066326F">
        <w:rPr>
          <w:rFonts w:ascii="Arial Black" w:hAnsi="Arial Black"/>
          <w:sz w:val="28"/>
          <w:szCs w:val="28"/>
        </w:rPr>
        <w:t>IN NO PASSING ZONE, NO LIGHTS &amp; SIREN</w:t>
      </w:r>
      <w:r>
        <w:rPr>
          <w:rFonts w:ascii="Arial Black" w:hAnsi="Arial Black"/>
          <w:sz w:val="28"/>
          <w:szCs w:val="28"/>
        </w:rPr>
        <w:t xml:space="preserve"> </w:t>
      </w:r>
      <w:r w:rsidRPr="008D7D88">
        <w:rPr>
          <w:b/>
          <w:sz w:val="24"/>
          <w:szCs w:val="24"/>
        </w:rPr>
        <w:t>[also filed, Chap. 5]</w:t>
      </w:r>
    </w:p>
    <w:p w14:paraId="492C1AF9" w14:textId="77777777" w:rsidR="0048537E" w:rsidRPr="00BC17B3" w:rsidRDefault="00F326E5" w:rsidP="00F326E5">
      <w:pPr>
        <w:pStyle w:val="NoSpacing"/>
        <w:rPr>
          <w:rFonts w:ascii="Times New Roman" w:hAnsi="Times New Roman"/>
          <w:b/>
          <w:sz w:val="24"/>
          <w:szCs w:val="24"/>
        </w:rPr>
      </w:pPr>
      <w:r w:rsidRPr="00BC17B3">
        <w:rPr>
          <w:rFonts w:ascii="Times New Roman" w:hAnsi="Times New Roman"/>
          <w:sz w:val="24"/>
          <w:szCs w:val="24"/>
        </w:rPr>
        <w:t xml:space="preserve">On Jan. 2, 2018, in </w:t>
      </w:r>
      <w:r w:rsidRPr="00BC17B3">
        <w:rPr>
          <w:rFonts w:ascii="Times New Roman" w:hAnsi="Times New Roman"/>
          <w:sz w:val="24"/>
          <w:szCs w:val="24"/>
          <w:u w:val="single"/>
        </w:rPr>
        <w:t>Folmer v. Meigs County Commissioners, et al.,</w:t>
      </w:r>
      <w:r w:rsidRPr="00BC17B3">
        <w:rPr>
          <w:rFonts w:ascii="Times New Roman" w:hAnsi="Times New Roman"/>
          <w:sz w:val="24"/>
          <w:szCs w:val="24"/>
        </w:rPr>
        <w:t xml:space="preserve"> 2018-Ohio- 31, 4th Appellate District (Meigs County), the Court held that the EMS driver may have been negligent when transporting a patient traveling over 20 mph above posted speed limit, with no lights or siren, and attempted to pass vehicle in no passing lane, hitting oncoming vehicle. While the lawsuit may proceed against Meigs County EMS, the EMS driver enjoys immunity from personal liability since plaintiff did not </w:t>
      </w:r>
      <w:proofErr w:type="gramStart"/>
      <w:r w:rsidRPr="00BC17B3">
        <w:rPr>
          <w:rFonts w:ascii="Times New Roman" w:hAnsi="Times New Roman"/>
          <w:sz w:val="24"/>
          <w:szCs w:val="24"/>
        </w:rPr>
        <w:t>alleged</w:t>
      </w:r>
      <w:proofErr w:type="gramEnd"/>
      <w:r w:rsidRPr="00BC17B3">
        <w:rPr>
          <w:rFonts w:ascii="Times New Roman" w:hAnsi="Times New Roman"/>
          <w:sz w:val="24"/>
          <w:szCs w:val="24"/>
        </w:rPr>
        <w:t xml:space="preserve"> he “acted with malicious purpose, bad faith, or recklessness under R.C. 2744.03(A)(6)(b).”</w:t>
      </w:r>
      <w:r w:rsidRPr="00BC17B3">
        <w:rPr>
          <w:rFonts w:ascii="Times New Roman" w:hAnsi="Times New Roman"/>
          <w:b/>
          <w:sz w:val="24"/>
          <w:szCs w:val="24"/>
        </w:rPr>
        <w:t xml:space="preserve"> </w:t>
      </w:r>
    </w:p>
    <w:p w14:paraId="6925D6A2" w14:textId="6D0861F7" w:rsidR="00F326E5" w:rsidRPr="00BC17B3" w:rsidRDefault="0048537E" w:rsidP="00F326E5">
      <w:pPr>
        <w:pStyle w:val="NoSpacing"/>
        <w:rPr>
          <w:rFonts w:ascii="Times New Roman" w:hAnsi="Times New Roman"/>
          <w:b/>
          <w:sz w:val="24"/>
          <w:szCs w:val="24"/>
        </w:rPr>
      </w:pPr>
      <w:hyperlink r:id="rId2448" w:history="1">
        <w:r w:rsidRPr="00BC17B3">
          <w:rPr>
            <w:rStyle w:val="Hyperlink"/>
            <w:rFonts w:ascii="Times New Roman" w:hAnsi="Times New Roman"/>
            <w:sz w:val="24"/>
            <w:szCs w:val="24"/>
          </w:rPr>
          <w:t>https://www.supremecourt.ohio.gov/rod/docs/pdf/4/2018/2018-Ohio-31.pdf</w:t>
        </w:r>
      </w:hyperlink>
      <w:r w:rsidR="00F326E5" w:rsidRPr="00BC17B3">
        <w:rPr>
          <w:rFonts w:ascii="Times New Roman" w:hAnsi="Times New Roman"/>
          <w:b/>
          <w:sz w:val="24"/>
          <w:szCs w:val="24"/>
        </w:rPr>
        <w:t xml:space="preserve"> </w:t>
      </w:r>
    </w:p>
    <w:p w14:paraId="093FD0A7" w14:textId="77777777" w:rsidR="00BC17B3" w:rsidRDefault="00BC17B3" w:rsidP="00F326E5">
      <w:pPr>
        <w:pStyle w:val="NoSpacing"/>
        <w:rPr>
          <w:rFonts w:ascii="Times New Roman" w:hAnsi="Times New Roman"/>
          <w:b/>
          <w:sz w:val="24"/>
          <w:szCs w:val="24"/>
        </w:rPr>
      </w:pPr>
    </w:p>
    <w:p w14:paraId="6BA7EFEC" w14:textId="79428D9E" w:rsidR="00F326E5" w:rsidRPr="00BC17B3" w:rsidRDefault="00F326E5" w:rsidP="00F326E5">
      <w:pPr>
        <w:pStyle w:val="NoSpacing"/>
        <w:rPr>
          <w:rFonts w:ascii="Times New Roman" w:hAnsi="Times New Roman"/>
          <w:b/>
          <w:sz w:val="24"/>
          <w:szCs w:val="24"/>
        </w:rPr>
      </w:pPr>
      <w:r w:rsidRPr="00BC17B3">
        <w:rPr>
          <w:rFonts w:ascii="Times New Roman" w:hAnsi="Times New Roman"/>
          <w:b/>
          <w:sz w:val="24"/>
          <w:szCs w:val="24"/>
        </w:rPr>
        <w:t>Legal Lessons Learned: If transporting without lights and siren, then EMS driver must obey speed limit and no passing zone. The EMS driver was fortunate the plaintiff did not allege he was driving in “wanton or reckless manner.</w:t>
      </w:r>
    </w:p>
    <w:bookmarkEnd w:id="557"/>
    <w:p w14:paraId="24AC203B" w14:textId="77777777" w:rsidR="00F326E5" w:rsidRPr="00952ED4" w:rsidRDefault="00F326E5" w:rsidP="00F326E5">
      <w:pPr>
        <w:rPr>
          <w:rFonts w:eastAsia="Times New Roman"/>
          <w:b/>
          <w:sz w:val="24"/>
          <w:szCs w:val="24"/>
        </w:rPr>
      </w:pPr>
    </w:p>
    <w:p w14:paraId="7A5D35B2" w14:textId="66A9C55B" w:rsidR="00247719" w:rsidRDefault="00247719">
      <w:pPr>
        <w:spacing w:after="0" w:line="240" w:lineRule="auto"/>
        <w:rPr>
          <w:b/>
          <w:sz w:val="24"/>
          <w:szCs w:val="24"/>
        </w:rPr>
      </w:pPr>
      <w:r>
        <w:rPr>
          <w:b/>
          <w:sz w:val="24"/>
          <w:szCs w:val="24"/>
        </w:rPr>
        <w:br w:type="page"/>
      </w:r>
    </w:p>
    <w:p w14:paraId="11C44DFC" w14:textId="77777777" w:rsidR="00F326E5" w:rsidRPr="00CA2809" w:rsidRDefault="00F326E5" w:rsidP="00F326E5">
      <w:pPr>
        <w:pStyle w:val="NoSpacing"/>
        <w:rPr>
          <w:b/>
          <w:sz w:val="24"/>
          <w:szCs w:val="24"/>
        </w:rPr>
      </w:pPr>
    </w:p>
    <w:p w14:paraId="4CA8BBA7" w14:textId="63043C04" w:rsidR="00F86334" w:rsidRDefault="00F86334">
      <w:pPr>
        <w:spacing w:after="0" w:line="240" w:lineRule="auto"/>
        <w:rPr>
          <w:rFonts w:ascii="Arial Black" w:hAnsi="Arial Black"/>
          <w:sz w:val="40"/>
          <w:szCs w:val="40"/>
        </w:rPr>
      </w:pPr>
      <w:r>
        <w:rPr>
          <w:rFonts w:ascii="Arial Black" w:hAnsi="Arial Black"/>
          <w:sz w:val="40"/>
          <w:szCs w:val="40"/>
        </w:rPr>
        <w:br w:type="page"/>
      </w:r>
    </w:p>
    <w:p w14:paraId="61F3DA22" w14:textId="77777777" w:rsidR="00F86334" w:rsidRDefault="00F86334" w:rsidP="00F326E5">
      <w:pPr>
        <w:pStyle w:val="NoSpacing"/>
        <w:rPr>
          <w:rFonts w:ascii="Arial Black" w:hAnsi="Arial Black"/>
          <w:sz w:val="40"/>
          <w:szCs w:val="40"/>
        </w:rPr>
      </w:pPr>
    </w:p>
    <w:p w14:paraId="32F06443" w14:textId="33D5CE78" w:rsidR="00F326E5" w:rsidRDefault="00F326E5" w:rsidP="00F326E5">
      <w:pPr>
        <w:pStyle w:val="NoSpacing"/>
        <w:rPr>
          <w:rFonts w:ascii="Arial Black" w:hAnsi="Arial Black"/>
          <w:sz w:val="40"/>
          <w:szCs w:val="40"/>
        </w:rPr>
      </w:pPr>
      <w:r w:rsidRPr="007732FA">
        <w:rPr>
          <w:rFonts w:ascii="Arial Black" w:hAnsi="Arial Black"/>
          <w:sz w:val="40"/>
          <w:szCs w:val="40"/>
        </w:rPr>
        <w:t>Chap. 14</w:t>
      </w:r>
      <w:r w:rsidRPr="007732FA">
        <w:rPr>
          <w:rFonts w:ascii="Arial Black" w:hAnsi="Arial Black"/>
          <w:sz w:val="40"/>
          <w:szCs w:val="40"/>
        </w:rPr>
        <w:tab/>
      </w:r>
      <w:r w:rsidRPr="007732FA">
        <w:rPr>
          <w:rFonts w:ascii="Arial Black" w:hAnsi="Arial Black"/>
          <w:sz w:val="40"/>
          <w:szCs w:val="40"/>
        </w:rPr>
        <w:tab/>
        <w:t>Physical Fitness</w:t>
      </w:r>
      <w:r w:rsidR="00344E40">
        <w:rPr>
          <w:rFonts w:ascii="Arial Black" w:hAnsi="Arial Black"/>
          <w:sz w:val="40"/>
          <w:szCs w:val="40"/>
        </w:rPr>
        <w:t xml:space="preserve"> and </w:t>
      </w:r>
      <w:r w:rsidR="00D5755F">
        <w:rPr>
          <w:rFonts w:ascii="Arial Black" w:hAnsi="Arial Black"/>
          <w:sz w:val="40"/>
          <w:szCs w:val="40"/>
        </w:rPr>
        <w:t xml:space="preserve">Light Duty </w:t>
      </w:r>
      <w:r w:rsidR="00344E40">
        <w:rPr>
          <w:rFonts w:ascii="Arial Black" w:hAnsi="Arial Black"/>
          <w:sz w:val="40"/>
          <w:szCs w:val="40"/>
        </w:rPr>
        <w:t xml:space="preserve"> </w:t>
      </w:r>
      <w:r w:rsidRPr="007732FA">
        <w:rPr>
          <w:rFonts w:ascii="Arial Black" w:hAnsi="Arial Black"/>
          <w:sz w:val="40"/>
          <w:szCs w:val="40"/>
        </w:rPr>
        <w:tab/>
      </w:r>
    </w:p>
    <w:p w14:paraId="3EC3C8EF" w14:textId="77777777" w:rsidR="00BC5936" w:rsidRDefault="00BC5936" w:rsidP="00F326E5">
      <w:pPr>
        <w:pStyle w:val="NoSpacing"/>
        <w:rPr>
          <w:rFonts w:ascii="Arial Black" w:hAnsi="Arial Black"/>
          <w:sz w:val="28"/>
          <w:szCs w:val="28"/>
        </w:rPr>
      </w:pPr>
    </w:p>
    <w:p w14:paraId="30569EC3" w14:textId="2115270B" w:rsidR="003C2AA4" w:rsidRDefault="00ED5F90" w:rsidP="003C2AA4">
      <w:pPr>
        <w:pStyle w:val="NoSpacing"/>
        <w:rPr>
          <w:rFonts w:ascii="Arial Black" w:hAnsi="Arial Black"/>
          <w:sz w:val="28"/>
          <w:szCs w:val="28"/>
        </w:rPr>
      </w:pPr>
      <w:r>
        <w:rPr>
          <w:rFonts w:ascii="Arial Black" w:hAnsi="Arial Black"/>
          <w:sz w:val="28"/>
          <w:szCs w:val="28"/>
        </w:rPr>
        <w:t>14-9 [also filed, Chap. 2]</w:t>
      </w:r>
    </w:p>
    <w:p w14:paraId="4C93EB84" w14:textId="77777777" w:rsidR="00ED5F90" w:rsidRDefault="00ED5F90" w:rsidP="003C2AA4">
      <w:pPr>
        <w:pStyle w:val="NoSpacing"/>
        <w:rPr>
          <w:rFonts w:ascii="Arial Black" w:hAnsi="Arial Black"/>
          <w:sz w:val="28"/>
          <w:szCs w:val="28"/>
        </w:rPr>
      </w:pPr>
    </w:p>
    <w:p w14:paraId="06156E0B" w14:textId="77777777" w:rsidR="003C2AA4" w:rsidRPr="00DF126F" w:rsidRDefault="003C2AA4" w:rsidP="003C2AA4">
      <w:pPr>
        <w:pStyle w:val="NoSpacing"/>
        <w:rPr>
          <w:rFonts w:ascii="Arial Black" w:hAnsi="Arial Black"/>
          <w:sz w:val="28"/>
          <w:szCs w:val="28"/>
        </w:rPr>
      </w:pPr>
      <w:r>
        <w:rPr>
          <w:rFonts w:ascii="Arial Black" w:hAnsi="Arial Black"/>
          <w:sz w:val="28"/>
          <w:szCs w:val="28"/>
        </w:rPr>
        <w:t>VA: RECRUIT DEATH – HEAT INDEX 116 / HIGH HEART RATE</w:t>
      </w:r>
    </w:p>
    <w:p w14:paraId="7F2B4F3E" w14:textId="77777777" w:rsidR="003C2AA4" w:rsidRDefault="003C2AA4" w:rsidP="003C2AA4">
      <w:pPr>
        <w:pStyle w:val="NoSpacing"/>
      </w:pPr>
    </w:p>
    <w:p w14:paraId="3B8C0704" w14:textId="77777777" w:rsidR="003C2AA4" w:rsidRDefault="003C2AA4" w:rsidP="003C2AA4">
      <w:pPr>
        <w:rPr>
          <w:b/>
        </w:rPr>
      </w:pPr>
      <w:r>
        <w:t xml:space="preserve">On July 30, 2026, in </w:t>
      </w:r>
      <w:r w:rsidRPr="008E7FF3">
        <w:rPr>
          <w:u w:val="single"/>
        </w:rPr>
        <w:t>Estate of Ian Strickler, by Stephanie Fiandaca-Strickler, Administrator of Estate v. Frederick County, et al.</w:t>
      </w:r>
      <w:r w:rsidRPr="003C778B">
        <w:t xml:space="preserve">, </w:t>
      </w:r>
      <w:r>
        <w:t>U.S. District Court Judge Jasmine H. Yoon, United States District Court for Western District of Virginia, Harrisonburg Division,  denied the defense motion to dismiss.  Ian Stricker, a 35-year-old recruit died during first day of fitness training of Recruit Class 14 on July 5, 2023.  By</w:t>
      </w:r>
      <w:r w:rsidRPr="00D435A3">
        <w:t xml:space="preserve"> 8:34 a.m., the heat index reached approximately 110°F.</w:t>
      </w:r>
      <w:r>
        <w:t xml:space="preserve">; Lead instructor, Lt. </w:t>
      </w:r>
      <w:r w:rsidRPr="00847EFF">
        <w:t xml:space="preserve">Kyle Ritter, a former United States Marine, </w:t>
      </w:r>
      <w:r>
        <w:t xml:space="preserve">allegedly dismissed the concern of fellow instructor that </w:t>
      </w:r>
      <w:r w:rsidRPr="00D435A3">
        <w:t>Strickler's heart was beating above 100 percent of his maximum rate</w:t>
      </w:r>
      <w:r>
        <w:t xml:space="preserve">.  </w:t>
      </w:r>
      <w:r w:rsidRPr="00CE4828">
        <w:t>At approximately 9:12 a.m.</w:t>
      </w:r>
      <w:r>
        <w:t xml:space="preserve"> t</w:t>
      </w:r>
      <w:r w:rsidRPr="00585449">
        <w:t xml:space="preserve">he heat index </w:t>
      </w:r>
      <w:r>
        <w:t xml:space="preserve">was </w:t>
      </w:r>
      <w:r w:rsidRPr="00585449">
        <w:t>now between 116°F and 124°F</w:t>
      </w:r>
      <w:r>
        <w:t>, Stricker collapsed.  “He</w:t>
      </w:r>
      <w:r w:rsidRPr="00372DCE">
        <w:t xml:space="preserve"> was transported to Winchester Medical Center at 9:30 a.m. and suffered cardiac arrest </w:t>
      </w:r>
      <w:proofErr w:type="spellStart"/>
      <w:r w:rsidRPr="00372DCE">
        <w:rPr>
          <w:i/>
          <w:iCs/>
        </w:rPr>
        <w:t>en</w:t>
      </w:r>
      <w:proofErr w:type="spellEnd"/>
      <w:r w:rsidRPr="00372DCE">
        <w:rPr>
          <w:i/>
          <w:iCs/>
        </w:rPr>
        <w:t xml:space="preserve"> route</w:t>
      </w:r>
      <w:r>
        <w:t xml:space="preserve">…. </w:t>
      </w:r>
      <w:r w:rsidRPr="00372DCE">
        <w:t>His body temperature was recorded at 104°F</w:t>
      </w:r>
      <w:r>
        <w:t xml:space="preserve">…. </w:t>
      </w:r>
      <w:r w:rsidRPr="00372DCE">
        <w:t xml:space="preserve">Resuscitation was terminated at 9:52 a.m., and Strickler was pronounced dead. </w:t>
      </w:r>
      <w:r>
        <w:t>“</w:t>
      </w:r>
      <w:r w:rsidRPr="00CE3819">
        <w:t>Plaintiff adequately pleaded failure to train liability for Frederick County.</w:t>
      </w:r>
      <w:r>
        <w:t>”  The Court held: “</w:t>
      </w:r>
      <w:r w:rsidRPr="00D60077">
        <w:t xml:space="preserve">Defendants argue that Plaintiff alleges only </w:t>
      </w:r>
      <w:r>
        <w:t>‘</w:t>
      </w:r>
      <w:r w:rsidRPr="00D60077">
        <w:t>negligently inflicted harm on Strickler during the new recruit program,</w:t>
      </w:r>
      <w:r>
        <w:t>’</w:t>
      </w:r>
      <w:r w:rsidRPr="00D60077">
        <w:t xml:space="preserve"> and therefore fails to allege a constitutional violation by Ritter that </w:t>
      </w:r>
      <w:r>
        <w:t>‘</w:t>
      </w:r>
      <w:r w:rsidRPr="00D60077">
        <w:t>shocks the conscience.</w:t>
      </w:r>
      <w:r>
        <w:t xml:space="preserve">’ … </w:t>
      </w:r>
      <w:r w:rsidRPr="00D60077">
        <w:t xml:space="preserve"> But the court is not persuaded by Defendants' argument. Plaintiff plausibly alleges that Ritter intended to injure Strickler and other recruits through his training </w:t>
      </w:r>
      <w:proofErr w:type="gramStart"/>
      <w:r w:rsidRPr="00D60077">
        <w:t>program.</w:t>
      </w:r>
      <w:r>
        <w:t>”</w:t>
      </w:r>
      <w:proofErr w:type="gramEnd"/>
      <w:r>
        <w:t xml:space="preserve"> </w:t>
      </w:r>
      <w:hyperlink r:id="rId2449" w:history="1">
        <w:r w:rsidRPr="009E02D9">
          <w:rPr>
            <w:rStyle w:val="Hyperlink"/>
            <w:b/>
          </w:rPr>
          <w:t>https://cases.justia.com/federal/district-courts/virginia/vawdce/5:2025cv00063/135495/23/0.pdf?ts=1785772612</w:t>
        </w:r>
      </w:hyperlink>
      <w:r>
        <w:rPr>
          <w:b/>
        </w:rPr>
        <w:t xml:space="preserve"> </w:t>
      </w:r>
    </w:p>
    <w:p w14:paraId="05F60A49" w14:textId="77777777" w:rsidR="003C2AA4" w:rsidRDefault="003C2AA4" w:rsidP="003C2AA4">
      <w:pPr>
        <w:pStyle w:val="NoSpacing"/>
      </w:pPr>
    </w:p>
    <w:p w14:paraId="4AF5403A" w14:textId="77777777" w:rsidR="003C2AA4" w:rsidRDefault="003C2AA4" w:rsidP="003C2AA4">
      <w:pPr>
        <w:pStyle w:val="NoSpacing"/>
      </w:pPr>
      <w:r>
        <w:t>THE COURT WROTE:</w:t>
      </w:r>
    </w:p>
    <w:p w14:paraId="3DADC344" w14:textId="77777777" w:rsidR="003C2AA4" w:rsidRDefault="003C2AA4" w:rsidP="003C2AA4">
      <w:pPr>
        <w:pStyle w:val="NoSpacing"/>
      </w:pPr>
    </w:p>
    <w:p w14:paraId="4E28EB82" w14:textId="77777777" w:rsidR="003C2AA4" w:rsidRDefault="003C2AA4" w:rsidP="003C2AA4">
      <w:pPr>
        <w:pStyle w:val="NoSpacing"/>
        <w:ind w:left="720"/>
      </w:pPr>
      <w:r>
        <w:t>“</w:t>
      </w:r>
      <w:r w:rsidRPr="00FF44FB">
        <w:t xml:space="preserve">Sometime prior to 2016, then-Fire Chief Dennis Linaburg and Deputy Chief Keith Jenkins devised a plan to turn FCFR's recruit school into a </w:t>
      </w:r>
      <w:r>
        <w:t>‘</w:t>
      </w:r>
      <w:r w:rsidRPr="00FF44FB">
        <w:t>paramilitary</w:t>
      </w:r>
      <w:r>
        <w:t>’</w:t>
      </w:r>
      <w:r w:rsidRPr="00FF44FB">
        <w:t xml:space="preserve"> school, </w:t>
      </w:r>
      <w:r>
        <w:t>‘</w:t>
      </w:r>
      <w:r w:rsidRPr="00FF44FB">
        <w:t>designed to transform firefighters into soldiers when deployed to the field.</w:t>
      </w:r>
      <w:r>
        <w:t xml:space="preserve">’ … </w:t>
      </w:r>
      <w:r w:rsidRPr="00FF44FB">
        <w:t>To do so, Deputy Chief Jenkins recruited Lieutenant Kyle Ritter, a former United States Marine, as a training instructor</w:t>
      </w:r>
      <w:r>
        <w:t xml:space="preserve">…. </w:t>
      </w:r>
      <w:r w:rsidRPr="00FF44FB">
        <w:t xml:space="preserve">Ritter was selected solely </w:t>
      </w:r>
      <w:r>
        <w:t>‘</w:t>
      </w:r>
      <w:r w:rsidRPr="00FF44FB">
        <w:t>because of his prior military service,</w:t>
      </w:r>
      <w:r>
        <w:t xml:space="preserve">’… </w:t>
      </w:r>
      <w:r w:rsidRPr="00FF44FB">
        <w:t>and was not certified to lead physical training</w:t>
      </w:r>
      <w:r>
        <w:t>.”</w:t>
      </w:r>
    </w:p>
    <w:p w14:paraId="12DFB1F8" w14:textId="77777777" w:rsidR="003C2AA4" w:rsidRDefault="003C2AA4" w:rsidP="003C2AA4">
      <w:pPr>
        <w:pStyle w:val="NoSpacing"/>
        <w:ind w:left="720"/>
      </w:pPr>
    </w:p>
    <w:p w14:paraId="2ABB4578" w14:textId="77777777" w:rsidR="003C2AA4" w:rsidRDefault="003C2AA4" w:rsidP="003C2AA4">
      <w:pPr>
        <w:pStyle w:val="NoSpacing"/>
        <w:ind w:left="720"/>
      </w:pPr>
      <w:r>
        <w:t>***</w:t>
      </w:r>
    </w:p>
    <w:p w14:paraId="6D64E648" w14:textId="77777777" w:rsidR="003C2AA4" w:rsidRDefault="003C2AA4" w:rsidP="003C2AA4">
      <w:pPr>
        <w:pStyle w:val="NoSpacing"/>
        <w:ind w:left="720"/>
      </w:pPr>
    </w:p>
    <w:p w14:paraId="52E34241" w14:textId="77777777" w:rsidR="003C2AA4" w:rsidRDefault="003C2AA4" w:rsidP="003C2AA4">
      <w:pPr>
        <w:pStyle w:val="NoSpacing"/>
        <w:ind w:left="720"/>
      </w:pPr>
    </w:p>
    <w:p w14:paraId="7371993E" w14:textId="77777777" w:rsidR="003C2AA4" w:rsidRDefault="003C2AA4" w:rsidP="003C2AA4">
      <w:pPr>
        <w:pStyle w:val="NoSpacing"/>
        <w:ind w:left="720"/>
      </w:pPr>
      <w:r>
        <w:t xml:space="preserve">[On Jul5, 2023 at] </w:t>
      </w:r>
      <w:r w:rsidRPr="007F3C18">
        <w:t xml:space="preserve">approximately 8:30 a.m., the recruits were bused to FCFR's Public Safety Building, and Ritter directed the recruits to put on heart rate sensors, which linked their heart rates to an iPad monitored by </w:t>
      </w:r>
      <w:r>
        <w:t xml:space="preserve">[Instructor] </w:t>
      </w:r>
      <w:r w:rsidRPr="007F3C18">
        <w:t>Toler</w:t>
      </w:r>
      <w:r>
        <w:t xml:space="preserve">…. </w:t>
      </w:r>
      <w:r w:rsidRPr="007F3C18">
        <w:t>When Strickler strapped his sensor on at 8:34 a.m., his heart rate already registered at or slightly above 184 beats per minute</w:t>
      </w:r>
      <w:r>
        <w:t xml:space="preserve">…. </w:t>
      </w:r>
      <w:r w:rsidRPr="007F3C18">
        <w:t>This was virtually Strickler's maximum heart rate, exceeding his recommended ceiling of 167 beats per minute</w:t>
      </w:r>
      <w:r>
        <w:t xml:space="preserve">…. </w:t>
      </w:r>
      <w:r w:rsidRPr="00E3391C">
        <w:t> During the break, Toler informed Strickler about his heart rate, which had not dropped below 195 beats per minute</w:t>
      </w:r>
      <w:r>
        <w:t xml:space="preserve">…. </w:t>
      </w:r>
      <w:r w:rsidRPr="00E3391C">
        <w:t>She did not tell Strickler that his readings were dangerous, but asked only whether he felt lightheaded, nauseated, or in pain</w:t>
      </w:r>
      <w:r>
        <w:t xml:space="preserve">…. </w:t>
      </w:r>
      <w:r w:rsidRPr="00E3391C">
        <w:t>Strickler said he did not</w:t>
      </w:r>
      <w:r>
        <w:t xml:space="preserve">…. </w:t>
      </w:r>
      <w:r w:rsidRPr="00E3391C">
        <w:t>Toler then showed the readings to Ritter and told him Strickler's heart was beating above 100 percent of his maximum rate</w:t>
      </w:r>
      <w:r>
        <w:t xml:space="preserve">…. </w:t>
      </w:r>
      <w:r w:rsidRPr="00E3391C">
        <w:t xml:space="preserve">Ritter dismissed her concerns and lined the recruits up </w:t>
      </w:r>
      <w:proofErr w:type="gramStart"/>
      <w:r w:rsidRPr="00E3391C">
        <w:t>for</w:t>
      </w:r>
      <w:proofErr w:type="gramEnd"/>
      <w:r w:rsidRPr="00E3391C">
        <w:t xml:space="preserve"> bear crawls, despite having witnessed at least two cardiac events in prior </w:t>
      </w:r>
      <w:proofErr w:type="gramStart"/>
      <w:r w:rsidRPr="00E3391C">
        <w:t>trainings</w:t>
      </w:r>
      <w:proofErr w:type="gramEnd"/>
      <w:r w:rsidRPr="00E3391C">
        <w:t xml:space="preserve">. </w:t>
      </w:r>
    </w:p>
    <w:p w14:paraId="6810D35C" w14:textId="77777777" w:rsidR="003C2AA4" w:rsidRDefault="003C2AA4" w:rsidP="003C2AA4">
      <w:pPr>
        <w:pStyle w:val="NoSpacing"/>
        <w:ind w:left="720"/>
      </w:pPr>
    </w:p>
    <w:p w14:paraId="688969BB" w14:textId="77777777" w:rsidR="003C2AA4" w:rsidRDefault="003C2AA4" w:rsidP="003C2AA4">
      <w:pPr>
        <w:pStyle w:val="NoSpacing"/>
        <w:ind w:left="720"/>
      </w:pPr>
      <w:r>
        <w:t>***</w:t>
      </w:r>
    </w:p>
    <w:p w14:paraId="7AAA07B1" w14:textId="77777777" w:rsidR="003C2AA4" w:rsidRDefault="003C2AA4" w:rsidP="003C2AA4">
      <w:pPr>
        <w:pStyle w:val="NoSpacing"/>
        <w:ind w:left="720"/>
      </w:pPr>
      <w:r w:rsidRPr="00CE3819">
        <w:lastRenderedPageBreak/>
        <w:t xml:space="preserve">First, as discussed above, Plaintiff plausibly alleged that Ritter violated Strickler's constitutional rights. Second, Plaintiff alleges </w:t>
      </w:r>
      <w:r>
        <w:t>‘</w:t>
      </w:r>
      <w:r w:rsidRPr="00CE3819">
        <w:t>that policymakers were aware of, and acquiesced in, a pattern of constitutional violations.</w:t>
      </w:r>
      <w:r>
        <w:t xml:space="preserve">’… </w:t>
      </w:r>
      <w:r w:rsidRPr="00CE3819">
        <w:t xml:space="preserve">The complaint includes allegations that Ritter </w:t>
      </w:r>
      <w:r>
        <w:t>[</w:t>
      </w:r>
      <w:r w:rsidRPr="006F4C97">
        <w:t xml:space="preserve">Lieutenant Kyle Ritter, a former United States Marine, </w:t>
      </w:r>
      <w:r>
        <w:t>w</w:t>
      </w:r>
      <w:r w:rsidRPr="006F4C97">
        <w:t xml:space="preserve">as </w:t>
      </w:r>
      <w:r>
        <w:t xml:space="preserve">recruited in 2016 as </w:t>
      </w:r>
      <w:r w:rsidRPr="006F4C97">
        <w:t>a training instructor</w:t>
      </w:r>
      <w:r>
        <w:t xml:space="preserve">] </w:t>
      </w:r>
      <w:r w:rsidRPr="00CE3819">
        <w:t>intentionally caused over a dozen injuries, including two cardiac emergencies</w:t>
      </w:r>
      <w:r>
        <w:t xml:space="preserve"> …</w:t>
      </w:r>
      <w:r w:rsidRPr="00CE3819">
        <w:t>; that Ritter methodically hazed recruits</w:t>
      </w:r>
      <w:r>
        <w:t xml:space="preserve"> … </w:t>
      </w:r>
      <w:r w:rsidRPr="00CE3819">
        <w:t>; that a female recruit sustained so many injuries that Ritter was warned to stop documenting injuries or lose his position</w:t>
      </w:r>
      <w:r>
        <w:t xml:space="preserve"> … </w:t>
      </w:r>
      <w:r w:rsidRPr="00CE3819">
        <w:t xml:space="preserve">; that Ritter threatened to </w:t>
      </w:r>
      <w:r>
        <w:t>‘</w:t>
      </w:r>
      <w:r w:rsidRPr="00CE3819">
        <w:t>fuck [a recruit] up,</w:t>
      </w:r>
      <w:r>
        <w:t>’ …</w:t>
      </w:r>
      <w:r w:rsidRPr="00CE3819">
        <w:t>; and that a lieutenant warned Ritter that he was endangering recruits' lives</w:t>
      </w:r>
      <w:r>
        <w:t xml:space="preserve">…. </w:t>
      </w:r>
      <w:r w:rsidRPr="00CE3819">
        <w:t xml:space="preserve"> Plaintiff also alleges that Fire Chief Majchrzak witnessed and approved of Ritter's physical training methods, despite these injuries</w:t>
      </w:r>
      <w:r>
        <w:t xml:space="preserve"> …. </w:t>
      </w:r>
      <w:r w:rsidRPr="00CE3819">
        <w:t xml:space="preserve">; that the Deputy Fire Chief, when told that recruits' lives were at risk, stated that he </w:t>
      </w:r>
      <w:r>
        <w:t>‘</w:t>
      </w:r>
      <w:r w:rsidRPr="00CE3819">
        <w:t>stood by [his] marine,</w:t>
      </w:r>
      <w:r>
        <w:t xml:space="preserve">’ … </w:t>
      </w:r>
      <w:r w:rsidRPr="00CE3819">
        <w:t>and that senior leadership encouraged Ritter to stop generating a paper trail of injuries</w:t>
      </w:r>
      <w:r>
        <w:t xml:space="preserve"> …. </w:t>
      </w:r>
      <w:r w:rsidRPr="00CE3819">
        <w:t xml:space="preserve"> At the pleading stage, this sufficiently alleges </w:t>
      </w:r>
      <w:r>
        <w:t>‘</w:t>
      </w:r>
      <w:r w:rsidRPr="00CE3819">
        <w:t>deliberate indifference</w:t>
      </w:r>
      <w:r>
        <w:t>’</w:t>
      </w:r>
      <w:r w:rsidRPr="00CE3819">
        <w:t xml:space="preserve"> to the individuals that Ritter trained. </w:t>
      </w:r>
      <w:r w:rsidRPr="00CE3819">
        <w:rPr>
          <w:i/>
          <w:iCs/>
        </w:rPr>
        <w:t>See Brown v. Mitchell,</w:t>
      </w:r>
      <w:r w:rsidRPr="00CE3819">
        <w:t xml:space="preserve"> 308 F.Supp.2d 682, 703 (E.D. Va. 2004) (collecting cases showing that </w:t>
      </w:r>
      <w:r>
        <w:t>‘</w:t>
      </w:r>
      <w:r w:rsidRPr="00CE3819">
        <w:t>if the supervisory power is actually aware of the fact that its subordinates are regularly violating constitutional or statutory rights, and the supervisory power fails to implement a training program to quell this pattern, deliberate indifference exists.</w:t>
      </w:r>
      <w:r>
        <w:t>’</w:t>
      </w:r>
      <w:r w:rsidRPr="00CE3819">
        <w:t>).</w:t>
      </w:r>
      <w:r>
        <w:t>”</w:t>
      </w:r>
    </w:p>
    <w:p w14:paraId="67F60C8E" w14:textId="77777777" w:rsidR="003C2AA4" w:rsidRDefault="003C2AA4" w:rsidP="003C2AA4">
      <w:pPr>
        <w:pStyle w:val="NoSpacing"/>
        <w:ind w:left="720"/>
      </w:pPr>
    </w:p>
    <w:p w14:paraId="654C9C25" w14:textId="77777777" w:rsidR="003C2AA4" w:rsidRDefault="003C2AA4" w:rsidP="003C2AA4">
      <w:pPr>
        <w:pStyle w:val="NoSpacing"/>
        <w:ind w:left="720"/>
      </w:pPr>
    </w:p>
    <w:p w14:paraId="470F1B3F" w14:textId="77777777" w:rsidR="003C2AA4" w:rsidRPr="00B00C32" w:rsidRDefault="003C2AA4" w:rsidP="003C2AA4">
      <w:pPr>
        <w:pStyle w:val="NoSpacing"/>
        <w:rPr>
          <w:b/>
          <w:bCs/>
        </w:rPr>
      </w:pPr>
      <w:r w:rsidRPr="00B00C32">
        <w:rPr>
          <w:b/>
        </w:rPr>
        <w:t xml:space="preserve">Legal lesson learned: </w:t>
      </w:r>
      <w:r>
        <w:rPr>
          <w:b/>
        </w:rPr>
        <w:t>Strenuous r</w:t>
      </w:r>
      <w:r w:rsidRPr="00B00C32">
        <w:rPr>
          <w:b/>
        </w:rPr>
        <w:t>ecruit training with heat index between 116°F and 124°F can lead to tragic results; case will now proceed to pre-trial discovery.</w:t>
      </w:r>
    </w:p>
    <w:p w14:paraId="299517A1" w14:textId="77777777" w:rsidR="003C2AA4" w:rsidRDefault="003C2AA4" w:rsidP="003C2AA4">
      <w:pPr>
        <w:pStyle w:val="NoSpacing"/>
      </w:pPr>
    </w:p>
    <w:p w14:paraId="65154C3D" w14:textId="77777777" w:rsidR="003C2AA4" w:rsidRDefault="003C2AA4" w:rsidP="00116265">
      <w:pPr>
        <w:pStyle w:val="NoSpacing"/>
        <w:rPr>
          <w:rFonts w:ascii="Arial Black" w:hAnsi="Arial Black"/>
          <w:sz w:val="28"/>
          <w:szCs w:val="28"/>
        </w:rPr>
      </w:pPr>
    </w:p>
    <w:p w14:paraId="058C2A62" w14:textId="77777777" w:rsidR="003C2AA4" w:rsidRDefault="003C2AA4" w:rsidP="00116265">
      <w:pPr>
        <w:pStyle w:val="NoSpacing"/>
        <w:rPr>
          <w:rFonts w:ascii="Arial Black" w:hAnsi="Arial Black"/>
          <w:sz w:val="28"/>
          <w:szCs w:val="28"/>
        </w:rPr>
      </w:pPr>
    </w:p>
    <w:p w14:paraId="3313E74C" w14:textId="77777777" w:rsidR="003C2AA4" w:rsidRDefault="003C2AA4" w:rsidP="00116265">
      <w:pPr>
        <w:pStyle w:val="NoSpacing"/>
        <w:rPr>
          <w:rFonts w:ascii="Arial Black" w:hAnsi="Arial Black"/>
          <w:sz w:val="28"/>
          <w:szCs w:val="28"/>
        </w:rPr>
      </w:pPr>
    </w:p>
    <w:p w14:paraId="728415D3" w14:textId="6D42B483" w:rsidR="00116265" w:rsidRDefault="00116265" w:rsidP="00116265">
      <w:pPr>
        <w:pStyle w:val="NoSpacing"/>
        <w:rPr>
          <w:rFonts w:ascii="Arial Black" w:hAnsi="Arial Black"/>
          <w:sz w:val="28"/>
          <w:szCs w:val="28"/>
        </w:rPr>
      </w:pPr>
      <w:r>
        <w:rPr>
          <w:rFonts w:ascii="Arial Black" w:hAnsi="Arial Black"/>
          <w:sz w:val="28"/>
          <w:szCs w:val="28"/>
        </w:rPr>
        <w:t>14-9</w:t>
      </w:r>
      <w:r w:rsidR="008C7243">
        <w:rPr>
          <w:rFonts w:ascii="Arial Black" w:hAnsi="Arial Black"/>
          <w:sz w:val="28"/>
          <w:szCs w:val="28"/>
        </w:rPr>
        <w:t xml:space="preserve"> [also filed, Chap. 9, ADA]</w:t>
      </w:r>
    </w:p>
    <w:p w14:paraId="67278772" w14:textId="77777777" w:rsidR="00116265" w:rsidRDefault="00116265" w:rsidP="00116265">
      <w:pPr>
        <w:pStyle w:val="NoSpacing"/>
        <w:rPr>
          <w:rFonts w:ascii="Arial Black" w:hAnsi="Arial Black"/>
          <w:sz w:val="28"/>
          <w:szCs w:val="28"/>
        </w:rPr>
      </w:pPr>
    </w:p>
    <w:p w14:paraId="1D69FC85" w14:textId="7273FFC1" w:rsidR="00116265" w:rsidRDefault="00116265" w:rsidP="00116265">
      <w:pPr>
        <w:pStyle w:val="NoSpacing"/>
        <w:rPr>
          <w:rFonts w:ascii="Arial Black" w:hAnsi="Arial Black"/>
          <w:bCs/>
          <w:sz w:val="28"/>
          <w:szCs w:val="28"/>
        </w:rPr>
      </w:pPr>
      <w:r>
        <w:rPr>
          <w:rFonts w:ascii="Arial Black" w:hAnsi="Arial Black"/>
          <w:sz w:val="28"/>
          <w:szCs w:val="28"/>
        </w:rPr>
        <w:t>MD: DEPRESSION – SLOWER STATION – CASE PROCEED</w:t>
      </w:r>
    </w:p>
    <w:p w14:paraId="06092CBF" w14:textId="77777777" w:rsidR="00116265" w:rsidRDefault="00116265" w:rsidP="00116265">
      <w:pPr>
        <w:pStyle w:val="NoSpacing"/>
        <w:rPr>
          <w:rFonts w:ascii="Arial Black" w:hAnsi="Arial Black"/>
          <w:bCs/>
          <w:sz w:val="28"/>
          <w:szCs w:val="28"/>
        </w:rPr>
      </w:pPr>
    </w:p>
    <w:p w14:paraId="2906583B" w14:textId="77777777" w:rsidR="00116265" w:rsidRDefault="00116265" w:rsidP="00116265">
      <w:pPr>
        <w:pStyle w:val="NoSpacing"/>
      </w:pPr>
      <w:r>
        <w:t xml:space="preserve">On April 28, 2025, in </w:t>
      </w:r>
      <w:r w:rsidRPr="00636B1D">
        <w:rPr>
          <w:u w:val="single"/>
        </w:rPr>
        <w:t xml:space="preserve">Mark R. Levy v. Howard County, Maryland and Howard County Fire </w:t>
      </w:r>
      <w:proofErr w:type="gramStart"/>
      <w:r w:rsidRPr="00636B1D">
        <w:rPr>
          <w:u w:val="single"/>
        </w:rPr>
        <w:t>And</w:t>
      </w:r>
      <w:proofErr w:type="gramEnd"/>
      <w:r w:rsidRPr="00636B1D">
        <w:rPr>
          <w:u w:val="single"/>
        </w:rPr>
        <w:t xml:space="preserve"> Rescue,</w:t>
      </w:r>
      <w:r>
        <w:t xml:space="preserve"> U.S. Senior District Court Judge </w:t>
      </w:r>
      <w:r w:rsidRPr="000725BC">
        <w:t>Richard D. Bennett</w:t>
      </w:r>
      <w:r>
        <w:t xml:space="preserve">, United States District Court for the District of Maryland, denied plaintiff’s motion for pre-trial </w:t>
      </w:r>
      <w:r w:rsidRPr="00467BB4">
        <w:t>declaratory</w:t>
      </w:r>
      <w:r>
        <w:t xml:space="preserve"> judgement; case will proceed with pre-trial discovery. The firefighter / paramedic has </w:t>
      </w:r>
      <w:r w:rsidRPr="004765D7">
        <w:t>been diagnosed with anxiety and depression since 2002</w:t>
      </w:r>
      <w:r>
        <w:t>; the case will proceed with pre-trial discovery.  The Court wrote: “</w:t>
      </w:r>
      <w:r w:rsidRPr="00832DBD">
        <w:t>To be clear, it is Levy's burden in this case of proving that he is a qualified individual with a disability and that, with a reasonable accommodation, he would be able to properly do the job of a Fire Fighter/Paramedic at Station 3.</w:t>
      </w:r>
      <w:r>
        <w:t xml:space="preserve">”  </w:t>
      </w:r>
      <w:hyperlink r:id="rId2450" w:history="1">
        <w:r w:rsidRPr="003A1948">
          <w:rPr>
            <w:rStyle w:val="Hyperlink"/>
          </w:rPr>
          <w:t>https://cases.justia.com/federal/district-courts/maryland/mddce/1:2024cv03580/573207/56/0.pdf?ts=1777474810</w:t>
        </w:r>
      </w:hyperlink>
      <w:r>
        <w:t xml:space="preserve"> </w:t>
      </w:r>
    </w:p>
    <w:p w14:paraId="737395CA" w14:textId="77777777" w:rsidR="00116265" w:rsidRDefault="00116265" w:rsidP="00116265">
      <w:pPr>
        <w:pStyle w:val="NoSpacing"/>
      </w:pPr>
    </w:p>
    <w:p w14:paraId="344655BA" w14:textId="77777777" w:rsidR="00116265" w:rsidRDefault="00116265" w:rsidP="00116265">
      <w:pPr>
        <w:pStyle w:val="NoSpacing"/>
      </w:pPr>
      <w:r>
        <w:t xml:space="preserve">THE COURT HELD: </w:t>
      </w:r>
    </w:p>
    <w:p w14:paraId="0953976A" w14:textId="77777777" w:rsidR="00116265" w:rsidRDefault="00116265" w:rsidP="00116265">
      <w:pPr>
        <w:pStyle w:val="NoSpacing"/>
      </w:pPr>
    </w:p>
    <w:p w14:paraId="66E484FD" w14:textId="77777777" w:rsidR="00116265" w:rsidRDefault="00116265" w:rsidP="00116265">
      <w:pPr>
        <w:pStyle w:val="NoSpacing"/>
        <w:ind w:left="720"/>
      </w:pPr>
      <w:r>
        <w:t>“</w:t>
      </w:r>
      <w:r w:rsidRPr="004765D7">
        <w:t>Plaintiff Mark R. Levy has been employed as a Fire Fighter/Paramedic with Defendant Howard County Department of Fire and Rescue Services since October 31, 2016</w:t>
      </w:r>
      <w:r>
        <w:t xml:space="preserve">…. </w:t>
      </w:r>
      <w:r w:rsidRPr="004765D7">
        <w:t>Levy alleges that he has been diagnosed with anxiety and depression since 2002</w:t>
      </w:r>
      <w:r>
        <w:t xml:space="preserve">…. </w:t>
      </w:r>
      <w:r w:rsidRPr="004765D7">
        <w:t>As of December 8, 2025, the date Levy filed his First Amended Complaint in this Court, he was assigned to B Shift at Station 3, which is within Battalion 3 of the Howard County Department of Fire and Rescue Services</w:t>
      </w:r>
      <w:r>
        <w:t xml:space="preserve">…. </w:t>
      </w:r>
      <w:r w:rsidRPr="0026656C">
        <w:t>Station 3 is located at 12535 Old Frederick Road in Sykesville, Maryland</w:t>
      </w:r>
      <w:r>
        <w:t xml:space="preserve">…. </w:t>
      </w:r>
      <w:r w:rsidRPr="004765D7">
        <w:t>He asserts that Station 3 has a lower call volume in comparison to other stations within the battalion</w:t>
      </w:r>
      <w:r>
        <w:t xml:space="preserve">…. </w:t>
      </w:r>
      <w:r w:rsidRPr="004765D7">
        <w:t xml:space="preserve">He claims that this lower call volume is the optimal assignment for him to be able to manage his mental health. </w:t>
      </w:r>
    </w:p>
    <w:p w14:paraId="67CEC2B0" w14:textId="77777777" w:rsidR="00116265" w:rsidRDefault="00116265" w:rsidP="00116265">
      <w:pPr>
        <w:pStyle w:val="NoSpacing"/>
        <w:ind w:left="720"/>
      </w:pPr>
    </w:p>
    <w:p w14:paraId="020FBF8B" w14:textId="77777777" w:rsidR="00116265" w:rsidRDefault="00116265" w:rsidP="00116265">
      <w:pPr>
        <w:pStyle w:val="NoSpacing"/>
        <w:ind w:left="720"/>
      </w:pPr>
      <w:r>
        <w:t>***</w:t>
      </w:r>
    </w:p>
    <w:p w14:paraId="3133F6A9" w14:textId="77777777" w:rsidR="00116265" w:rsidRDefault="00116265" w:rsidP="00116265">
      <w:pPr>
        <w:pStyle w:val="NoSpacing"/>
        <w:ind w:left="720"/>
      </w:pPr>
      <w:r w:rsidRPr="00A26479">
        <w:t>Levy alleges that, on multiple different occasions in 2022, he was reassigned from Station 3 to other stations within Battalion 3</w:t>
      </w:r>
      <w:r>
        <w:t xml:space="preserve">…. </w:t>
      </w:r>
      <w:r w:rsidRPr="00A26479">
        <w:t>Each time, the Department apparently denied his requests to remain at Station 3</w:t>
      </w:r>
      <w:r>
        <w:t xml:space="preserve">…. </w:t>
      </w:r>
      <w:r w:rsidRPr="00A26479">
        <w:t>Levy claims that the Department determined, without engaging in any interactive process, that he did not need a reasonable accommodation</w:t>
      </w:r>
      <w:r>
        <w:t>….</w:t>
      </w:r>
      <w:r w:rsidRPr="00A26479">
        <w:t xml:space="preserve"> Ultimately, after multiple reassignments, Levy was placed at Station 3 under a Temporary Hardship Request</w:t>
      </w:r>
      <w:r>
        <w:t xml:space="preserve">…. </w:t>
      </w:r>
      <w:r w:rsidRPr="00A26479">
        <w:t xml:space="preserve">He contends that the Temporary Hardship Request was </w:t>
      </w:r>
      <w:r>
        <w:t>‘</w:t>
      </w:r>
      <w:r w:rsidRPr="00A26479">
        <w:t xml:space="preserve">wholly improper and </w:t>
      </w:r>
      <w:r w:rsidRPr="00A26479">
        <w:lastRenderedPageBreak/>
        <w:t>simply an attempt by Defendants to circumvent</w:t>
      </w:r>
      <w:r>
        <w:t xml:space="preserve">’ </w:t>
      </w:r>
      <w:r w:rsidRPr="00A26479">
        <w:t xml:space="preserve"> the ADA's accommodation obligations</w:t>
      </w:r>
      <w:r>
        <w:t xml:space="preserve">…. </w:t>
      </w:r>
      <w:r w:rsidRPr="00A26479">
        <w:t>From the face of the First Amended Complaint, Levy continues to work as a Fire Fighter/Paramedic for the Department.</w:t>
      </w:r>
    </w:p>
    <w:p w14:paraId="318A8FF5" w14:textId="77777777" w:rsidR="00116265" w:rsidRDefault="00116265" w:rsidP="00116265">
      <w:pPr>
        <w:pStyle w:val="NoSpacing"/>
        <w:ind w:left="720"/>
      </w:pPr>
    </w:p>
    <w:p w14:paraId="2BC17D53" w14:textId="77777777" w:rsidR="00116265" w:rsidRDefault="00116265" w:rsidP="00116265">
      <w:pPr>
        <w:pStyle w:val="NoSpacing"/>
        <w:ind w:left="720"/>
      </w:pPr>
      <w:r>
        <w:t>***</w:t>
      </w:r>
    </w:p>
    <w:p w14:paraId="38F1B265" w14:textId="77777777" w:rsidR="00116265" w:rsidRDefault="00116265" w:rsidP="00116265">
      <w:pPr>
        <w:pStyle w:val="NoSpacing"/>
        <w:ind w:left="720"/>
      </w:pPr>
      <w:r w:rsidRPr="00BA13D8">
        <w:t xml:space="preserve">As noted above, Levy seeks declarations in Count Four that (1) he is a qualified individual with a disability; (2) that he can perform the essential functions of his job with a reasonable accommodation; (3) that Defendants have an obligation to engage in the ADA's interactive process with him and explore reasonable alternatives; and (4) that Defendants have an obligation to grant him a reasonable accommodation. </w:t>
      </w:r>
    </w:p>
    <w:p w14:paraId="2B558CFB" w14:textId="77777777" w:rsidR="00116265" w:rsidRDefault="00116265" w:rsidP="00116265">
      <w:pPr>
        <w:pStyle w:val="NoSpacing"/>
        <w:ind w:left="720"/>
      </w:pPr>
    </w:p>
    <w:p w14:paraId="0C0E4D2F" w14:textId="77777777" w:rsidR="00116265" w:rsidRDefault="00116265" w:rsidP="00116265">
      <w:pPr>
        <w:pStyle w:val="NoSpacing"/>
        <w:ind w:left="720"/>
      </w:pPr>
      <w:r>
        <w:t>***</w:t>
      </w:r>
    </w:p>
    <w:p w14:paraId="1BB3A8F1" w14:textId="77777777" w:rsidR="00116265" w:rsidRDefault="00116265" w:rsidP="00116265">
      <w:pPr>
        <w:pStyle w:val="NoSpacing"/>
        <w:ind w:left="720"/>
      </w:pPr>
      <w:r w:rsidRPr="004A2357">
        <w:t xml:space="preserve">Again, it is Levy's burden to prove that he was entitled to the ADA's interactive process and, ultimately, </w:t>
      </w:r>
      <w:proofErr w:type="gramStart"/>
      <w:r w:rsidRPr="004A2357">
        <w:t>a reasonable</w:t>
      </w:r>
      <w:proofErr w:type="gramEnd"/>
      <w:r w:rsidRPr="004A2357">
        <w:t xml:space="preserve"> accommodation.</w:t>
      </w:r>
      <w:r>
        <w:rPr>
          <w:vertAlign w:val="superscript"/>
        </w:rPr>
        <w:t xml:space="preserve"> </w:t>
      </w:r>
      <w:r w:rsidRPr="004A2357">
        <w:t xml:space="preserve"> In sum, the four declarations that Levy requests in Count Four render that claim duplicative of Count One.</w:t>
      </w:r>
      <w:r>
        <w:t>”</w:t>
      </w:r>
    </w:p>
    <w:p w14:paraId="5664E71D" w14:textId="77777777" w:rsidR="00116265" w:rsidRDefault="00116265" w:rsidP="00116265">
      <w:pPr>
        <w:pStyle w:val="NoSpacing"/>
        <w:ind w:left="720"/>
      </w:pPr>
    </w:p>
    <w:p w14:paraId="78031AE6" w14:textId="77777777" w:rsidR="00116265" w:rsidRPr="004A2357" w:rsidRDefault="00116265" w:rsidP="00116265">
      <w:pPr>
        <w:rPr>
          <w:b/>
          <w:bCs/>
        </w:rPr>
      </w:pPr>
      <w:r>
        <w:rPr>
          <w:b/>
        </w:rPr>
        <w:t>Legal lesson learned: The firefighter has burden of proof in this ADA case; permanent assignment to a slower station is a unique request for “reasonable accommodation.”</w:t>
      </w:r>
    </w:p>
    <w:p w14:paraId="5891AC5A" w14:textId="77777777" w:rsidR="0091755D" w:rsidRDefault="0091755D" w:rsidP="00F326E5">
      <w:pPr>
        <w:pStyle w:val="NoSpacing"/>
        <w:rPr>
          <w:rFonts w:ascii="Arial Black" w:hAnsi="Arial Black"/>
          <w:sz w:val="28"/>
          <w:szCs w:val="28"/>
        </w:rPr>
      </w:pPr>
    </w:p>
    <w:p w14:paraId="4B42105B" w14:textId="77777777" w:rsidR="0091755D" w:rsidRDefault="0091755D" w:rsidP="00F326E5">
      <w:pPr>
        <w:pStyle w:val="NoSpacing"/>
        <w:rPr>
          <w:rFonts w:ascii="Arial Black" w:hAnsi="Arial Black"/>
          <w:sz w:val="28"/>
          <w:szCs w:val="28"/>
        </w:rPr>
      </w:pPr>
    </w:p>
    <w:p w14:paraId="3218205F" w14:textId="77777777" w:rsidR="0091755D" w:rsidRDefault="0091755D" w:rsidP="00F326E5">
      <w:pPr>
        <w:pStyle w:val="NoSpacing"/>
        <w:rPr>
          <w:rFonts w:ascii="Arial Black" w:hAnsi="Arial Black"/>
          <w:sz w:val="28"/>
          <w:szCs w:val="28"/>
        </w:rPr>
      </w:pPr>
    </w:p>
    <w:p w14:paraId="40116357" w14:textId="407A6241" w:rsidR="0026368F" w:rsidRDefault="0026368F" w:rsidP="00F326E5">
      <w:pPr>
        <w:pStyle w:val="NoSpacing"/>
        <w:rPr>
          <w:rFonts w:ascii="Arial Black" w:hAnsi="Arial Black"/>
          <w:sz w:val="28"/>
          <w:szCs w:val="28"/>
        </w:rPr>
      </w:pPr>
      <w:r>
        <w:rPr>
          <w:rFonts w:ascii="Arial Black" w:hAnsi="Arial Black"/>
          <w:sz w:val="28"/>
          <w:szCs w:val="28"/>
        </w:rPr>
        <w:t>14-9</w:t>
      </w:r>
    </w:p>
    <w:p w14:paraId="5AA0CFDE" w14:textId="77777777" w:rsidR="008F1833" w:rsidRDefault="008F1833" w:rsidP="0026368F">
      <w:pPr>
        <w:pStyle w:val="NoSpacing"/>
        <w:rPr>
          <w:rFonts w:ascii="Arial Black" w:hAnsi="Arial Black"/>
          <w:b/>
          <w:sz w:val="28"/>
          <w:szCs w:val="28"/>
        </w:rPr>
      </w:pPr>
    </w:p>
    <w:p w14:paraId="4791AD03" w14:textId="0F44BA03" w:rsidR="0026368F" w:rsidRPr="008F1833" w:rsidRDefault="0026368F" w:rsidP="0026368F">
      <w:pPr>
        <w:pStyle w:val="NoSpacing"/>
        <w:rPr>
          <w:rFonts w:ascii="Times New Roman" w:hAnsi="Times New Roman"/>
          <w:b/>
          <w:sz w:val="24"/>
          <w:szCs w:val="24"/>
        </w:rPr>
      </w:pPr>
      <w:r>
        <w:rPr>
          <w:rFonts w:ascii="Arial Black" w:hAnsi="Arial Black"/>
          <w:b/>
          <w:sz w:val="28"/>
          <w:szCs w:val="28"/>
        </w:rPr>
        <w:t>FL: FF FIRED – ANNUAL PHYSICAL – TRIED AVOID TB TEST</w:t>
      </w:r>
      <w:r w:rsidR="008F1833">
        <w:rPr>
          <w:rFonts w:ascii="Arial Black" w:hAnsi="Arial Black"/>
          <w:b/>
          <w:sz w:val="28"/>
          <w:szCs w:val="28"/>
        </w:rPr>
        <w:t xml:space="preserve"> </w:t>
      </w:r>
      <w:r w:rsidR="008F1833" w:rsidRPr="008F1833">
        <w:rPr>
          <w:rFonts w:ascii="Times New Roman" w:hAnsi="Times New Roman"/>
          <w:b/>
          <w:sz w:val="24"/>
          <w:szCs w:val="24"/>
        </w:rPr>
        <w:t>[also filed, Chap. 16]</w:t>
      </w:r>
    </w:p>
    <w:p w14:paraId="3AA73271" w14:textId="77777777" w:rsidR="0026368F" w:rsidRDefault="0026368F" w:rsidP="0026368F">
      <w:pPr>
        <w:pStyle w:val="NoSpacing"/>
        <w:rPr>
          <w:b/>
        </w:rPr>
      </w:pPr>
    </w:p>
    <w:p w14:paraId="3B46F789" w14:textId="77777777" w:rsidR="0026368F" w:rsidRPr="00FF0E3F" w:rsidRDefault="0026368F" w:rsidP="0026368F">
      <w:pPr>
        <w:pStyle w:val="NoSpacing"/>
        <w:rPr>
          <w:bCs/>
        </w:rPr>
      </w:pPr>
      <w:r w:rsidRPr="001D2253">
        <w:t xml:space="preserve">On February 6, 2026, in </w:t>
      </w:r>
      <w:r w:rsidRPr="001D2253">
        <w:rPr>
          <w:u w:val="single"/>
        </w:rPr>
        <w:t>Nathaniel Griffin v. City of South Pasadena and The St. Petersburg International Association of Fire Fighters, Local 747</w:t>
      </w:r>
      <w:r w:rsidRPr="001D2253">
        <w:t xml:space="preserve">, </w:t>
      </w:r>
      <w:r>
        <w:t xml:space="preserve">U.S. District Court Judge William F. Jung, </w:t>
      </w:r>
      <w:r w:rsidRPr="00FF0E3F">
        <w:t>United States District Court for the Middle District of Florida, Tampa Division</w:t>
      </w:r>
      <w:r>
        <w:t xml:space="preserve">, dismissed the lawsuit against both the </w:t>
      </w:r>
      <w:proofErr w:type="gramStart"/>
      <w:r>
        <w:t>City</w:t>
      </w:r>
      <w:proofErr w:type="gramEnd"/>
      <w:r>
        <w:t xml:space="preserve"> and the Local.  Firefighter, paramedic Griffin, on </w:t>
      </w:r>
      <w:r w:rsidRPr="00F470E1">
        <w:t xml:space="preserve">August 12, </w:t>
      </w:r>
      <w:proofErr w:type="gramStart"/>
      <w:r w:rsidRPr="00F470E1">
        <w:t>2022</w:t>
      </w:r>
      <w:proofErr w:type="gramEnd"/>
      <w:r w:rsidRPr="00F470E1">
        <w:t xml:space="preserve"> underwent his annual physical examination at Life Scan Wellness Center</w:t>
      </w:r>
      <w:r>
        <w:t xml:space="preserve">; he </w:t>
      </w:r>
      <w:r w:rsidRPr="00F470E1">
        <w:t>completed most of the medical examination without issue, except for the TB test</w:t>
      </w:r>
      <w:r>
        <w:t xml:space="preserve">, when asked </w:t>
      </w:r>
      <w:r w:rsidRPr="00F470E1">
        <w:t>the Life Scan technician to skip the TB test but fraudulently report that a test had been done.</w:t>
      </w:r>
      <w:r>
        <w:t xml:space="preserve">  The Fire Chief gave the plaintiff an opportunity to </w:t>
      </w:r>
      <w:proofErr w:type="gramStart"/>
      <w:r>
        <w:t>resigned</w:t>
      </w:r>
      <w:proofErr w:type="gramEnd"/>
      <w:r>
        <w:t xml:space="preserve">; he refused and was fired on September 13, 2022. </w:t>
      </w:r>
      <w:hyperlink r:id="rId2451" w:history="1">
        <w:r w:rsidRPr="00C72C21">
          <w:rPr>
            <w:rStyle w:val="Hyperlink"/>
          </w:rPr>
          <w:t>https://cases.justia.com/federal/district-courts/florida/flmdce/8:2025cv02787/448658/35/0.pdf</w:t>
        </w:r>
      </w:hyperlink>
      <w:r>
        <w:t xml:space="preserve"> </w:t>
      </w:r>
    </w:p>
    <w:p w14:paraId="2C931E7C" w14:textId="77777777" w:rsidR="0026368F" w:rsidRDefault="0026368F" w:rsidP="0026368F">
      <w:pPr>
        <w:pStyle w:val="NoSpacing"/>
        <w:rPr>
          <w:bCs/>
        </w:rPr>
      </w:pPr>
    </w:p>
    <w:p w14:paraId="23053B1D" w14:textId="77777777" w:rsidR="0026368F" w:rsidRDefault="0026368F" w:rsidP="0026368F">
      <w:pPr>
        <w:pStyle w:val="NoSpacing"/>
      </w:pPr>
      <w:r>
        <w:t>THE COURT HELD: “</w:t>
      </w:r>
      <w:r w:rsidRPr="005C306F">
        <w:t>When evaluating the results of the physical examination, the CBA requires the physician to follow the national guidelines set forth in the National Fire Protection Association (</w:t>
      </w:r>
      <w:r>
        <w:t>‘</w:t>
      </w:r>
      <w:r w:rsidRPr="005C306F">
        <w:t>NFPA</w:t>
      </w:r>
      <w:r>
        <w:t>’</w:t>
      </w:r>
      <w:r w:rsidRPr="005C306F">
        <w:t>) 1582, Chapter 9</w:t>
      </w:r>
      <w:r>
        <w:t xml:space="preserve">…. </w:t>
      </w:r>
      <w:r w:rsidRPr="005C306F">
        <w:t xml:space="preserve"> As relevant to this lawsuit, the annual physical examination includes tuberculosis (</w:t>
      </w:r>
      <w:r>
        <w:t>‘</w:t>
      </w:r>
      <w:r w:rsidRPr="005C306F">
        <w:t>TB</w:t>
      </w:r>
      <w:r>
        <w:t>’</w:t>
      </w:r>
      <w:r w:rsidRPr="005C306F">
        <w:t>) testing, which may require an additional chest X-ray if the TB test comes back positive</w:t>
      </w:r>
      <w:r>
        <w:t xml:space="preserve">…. </w:t>
      </w:r>
      <w:r w:rsidRPr="005C306F">
        <w:t xml:space="preserve">Plaintiff alleges that at some unspecified point during the CBA negotiations, he objected to the CBA agreement due </w:t>
      </w:r>
      <w:r>
        <w:t>‘</w:t>
      </w:r>
      <w:r w:rsidRPr="005C306F">
        <w:t>to the breath [sic] and intrusive nature of the mandatory medical examinations.</w:t>
      </w:r>
      <w:r>
        <w:t xml:space="preserve">’ … </w:t>
      </w:r>
      <w:r w:rsidRPr="005C306F">
        <w:t xml:space="preserve">Plaintiff further alleges that he continually voiced his objection to the CBA, even after the agreement was adopted on August 28, 2019. </w:t>
      </w:r>
      <w:r>
        <w:t xml:space="preserve">***  </w:t>
      </w:r>
      <w:r w:rsidRPr="00901B14">
        <w:t>Based on a careful review of the pleadings, the Court grants the City's motion to dismiss. As discussed below, Plaintiff has failed to state a claim under the ADA, GINA, Title VII, and Section 1983</w:t>
      </w:r>
      <w:r>
        <w:t xml:space="preserve">…. </w:t>
      </w:r>
      <w:r w:rsidRPr="003E7359">
        <w:t xml:space="preserve">Here, even when accepting the meager factual allegations as true, Plaintiff fails to allege any Fourth Amendment violation since the Complaint fails to allege that any private interests outweigh the City's interest in public safety. The Complaint vaguely asserts that the August 2022 physical examination violated </w:t>
      </w:r>
      <w:r>
        <w:t>‘</w:t>
      </w:r>
      <w:r w:rsidRPr="003E7359">
        <w:t xml:space="preserve">Plaintiff's personal privacy </w:t>
      </w:r>
      <w:proofErr w:type="gramStart"/>
      <w:r w:rsidRPr="003E7359">
        <w:t>rights</w:t>
      </w:r>
      <w:r>
        <w:t>’</w:t>
      </w:r>
      <w:proofErr w:type="gramEnd"/>
      <w:r w:rsidRPr="003E7359">
        <w:t xml:space="preserve"> due to the exam's </w:t>
      </w:r>
      <w:r>
        <w:t>‘</w:t>
      </w:r>
      <w:r w:rsidRPr="003E7359">
        <w:t>breadth and intrusive nature.</w:t>
      </w:r>
      <w:r>
        <w:t xml:space="preserve">’ … </w:t>
      </w:r>
      <w:r w:rsidRPr="003E7359">
        <w:t xml:space="preserve">But Plaintiff never specifies what aspect of the physical examination was so </w:t>
      </w:r>
      <w:r>
        <w:t>‘</w:t>
      </w:r>
      <w:proofErr w:type="spellStart"/>
      <w:r w:rsidRPr="003E7359">
        <w:t>intrusiv</w:t>
      </w:r>
      <w:proofErr w:type="spellEnd"/>
      <w:r>
        <w:t>’</w:t>
      </w:r>
      <w:r w:rsidRPr="003E7359">
        <w:t xml:space="preserve"> and overbroad that it violated Plaintiff's diminished expectation of privacy due to his job as a firefighter and paramedic. </w:t>
      </w:r>
      <w:r w:rsidRPr="003E7359">
        <w:rPr>
          <w:i/>
          <w:iCs/>
        </w:rPr>
        <w:t xml:space="preserve">See </w:t>
      </w:r>
      <w:proofErr w:type="spellStart"/>
      <w:r w:rsidRPr="003E7359">
        <w:rPr>
          <w:i/>
          <w:iCs/>
        </w:rPr>
        <w:t>Nat'l</w:t>
      </w:r>
      <w:proofErr w:type="spellEnd"/>
      <w:r w:rsidRPr="003E7359">
        <w:rPr>
          <w:i/>
          <w:iCs/>
        </w:rPr>
        <w:t xml:space="preserve"> Treasury Emps. Union v. Von Raab</w:t>
      </w:r>
      <w:r w:rsidRPr="003E7359">
        <w:t>, 489 U.S. 656, 671 (1989) (</w:t>
      </w:r>
      <w:r>
        <w:t>‘</w:t>
      </w:r>
      <w:r w:rsidRPr="003E7359">
        <w:t>[I]t is plain that certain forms of public employment may diminish privacy expectations even with respect to . . . personal searches.</w:t>
      </w:r>
      <w:r>
        <w:t>’</w:t>
      </w:r>
      <w:r w:rsidRPr="003E7359">
        <w:t xml:space="preserve">); </w:t>
      </w:r>
      <w:r w:rsidRPr="003E7359">
        <w:rPr>
          <w:i/>
          <w:iCs/>
        </w:rPr>
        <w:t>Scott</w:t>
      </w:r>
      <w:r w:rsidRPr="003E7359">
        <w:t>, 717 F.3d at 869 (</w:t>
      </w:r>
      <w:r>
        <w:t>‘</w:t>
      </w:r>
      <w:r w:rsidRPr="003E7359">
        <w:t xml:space="preserve">Another category-a natural extension of the Supreme Court's holding in </w:t>
      </w:r>
      <w:r w:rsidRPr="003E7359">
        <w:rPr>
          <w:i/>
          <w:iCs/>
        </w:rPr>
        <w:t>Von Raab</w:t>
      </w:r>
      <w:r w:rsidRPr="003E7359">
        <w:t>-encompasses . . . firefighters.</w:t>
      </w:r>
      <w:r>
        <w:t>’</w:t>
      </w:r>
      <w:r w:rsidRPr="003E7359">
        <w:t xml:space="preserve">); </w:t>
      </w:r>
      <w:r w:rsidRPr="003E7359">
        <w:rPr>
          <w:i/>
          <w:iCs/>
        </w:rPr>
        <w:t xml:space="preserve">Williams v. Bd. </w:t>
      </w:r>
      <w:r w:rsidRPr="003E7359">
        <w:rPr>
          <w:i/>
          <w:iCs/>
        </w:rPr>
        <w:lastRenderedPageBreak/>
        <w:t>of Regents of Univ. Sys. of Georgia</w:t>
      </w:r>
      <w:r w:rsidRPr="003E7359">
        <w:t>, No. CV 120-100, 2021 WL 2827293, at *7 (S.D. Ga. July 7, 2021) (dismissing the plaintiff's Fourth Amendment search and seizure claim, as her employer's drug test fell under the special needs exception).</w:t>
      </w:r>
      <w:r>
        <w:t xml:space="preserve"> ***  Local 747’s motion seeks dismissal of the single ADA discrimination claim</w:t>
      </w:r>
    </w:p>
    <w:p w14:paraId="1AB986A1" w14:textId="77777777" w:rsidR="0026368F" w:rsidRDefault="0026368F" w:rsidP="0026368F">
      <w:pPr>
        <w:pStyle w:val="NoSpacing"/>
      </w:pPr>
      <w:r>
        <w:t xml:space="preserve">in Count IX. Local 747 asserts that the ADA claim is time-barred since Plaintiff ‘failed to file a charge against the Local challenging the medical exam requirement at issue within 300 days after Local 747 entered into the CBA on August 28, 2019.’ … Plaintiff’s discrimination charge must have been filed with the FCHR or the EEOC within 300 days—i.e., by June 23, 2020.” </w:t>
      </w:r>
    </w:p>
    <w:p w14:paraId="5A6E7FB7" w14:textId="77777777" w:rsidR="0026368F" w:rsidRDefault="0026368F" w:rsidP="0026368F">
      <w:pPr>
        <w:pStyle w:val="NoSpacing"/>
      </w:pPr>
    </w:p>
    <w:p w14:paraId="5C267648" w14:textId="77777777" w:rsidR="0026368F" w:rsidRDefault="0026368F" w:rsidP="0026368F">
      <w:pPr>
        <w:pStyle w:val="NoSpacing"/>
        <w:rPr>
          <w:b/>
          <w:bCs/>
        </w:rPr>
      </w:pPr>
      <w:r w:rsidRPr="00C65E3A">
        <w:rPr>
          <w:b/>
        </w:rPr>
        <w:t xml:space="preserve">Legal lesson learned: </w:t>
      </w:r>
      <w:r>
        <w:rPr>
          <w:b/>
        </w:rPr>
        <w:t xml:space="preserve">Very unusual to have a firefighter complain about annual physical. </w:t>
      </w:r>
    </w:p>
    <w:p w14:paraId="4A948A16" w14:textId="77777777" w:rsidR="0026368F" w:rsidRDefault="0026368F" w:rsidP="0026368F">
      <w:pPr>
        <w:pStyle w:val="NoSpacing"/>
        <w:rPr>
          <w:b/>
          <w:bCs/>
        </w:rPr>
      </w:pPr>
      <w:r>
        <w:rPr>
          <w:b/>
        </w:rPr>
        <w:tab/>
      </w:r>
      <w:r w:rsidRPr="00EA4E78">
        <w:t>Note: In Footnote 7, the Court wrote</w:t>
      </w:r>
      <w:r>
        <w:rPr>
          <w:b/>
        </w:rPr>
        <w:t xml:space="preserve">: </w:t>
      </w:r>
    </w:p>
    <w:p w14:paraId="3F825757" w14:textId="77777777" w:rsidR="0026368F" w:rsidRDefault="0026368F" w:rsidP="0026368F">
      <w:pPr>
        <w:pStyle w:val="NoSpacing"/>
        <w:ind w:left="720"/>
      </w:pPr>
      <w:r>
        <w:rPr>
          <w:b/>
        </w:rPr>
        <w:t>“</w:t>
      </w:r>
      <w:r w:rsidRPr="00975937">
        <w:t xml:space="preserve">Firefighters reside in close quarters. They must be strong and hale. They must be able to provide emergency lifesaving techniques in difficult circumstances to people of varying health. </w:t>
      </w:r>
      <w:r w:rsidRPr="00975937">
        <w:rPr>
          <w:i/>
          <w:iCs/>
        </w:rPr>
        <w:t>See Cremeens v. City of Montgomery, Ala.</w:t>
      </w:r>
      <w:r w:rsidRPr="00975937">
        <w:t xml:space="preserve">, 427 </w:t>
      </w:r>
      <w:proofErr w:type="spellStart"/>
      <w:r w:rsidRPr="00975937">
        <w:t>Fed.Appx</w:t>
      </w:r>
      <w:proofErr w:type="spellEnd"/>
      <w:r w:rsidRPr="00975937">
        <w:t>. 855, 858 (11th Cir. 2011) (</w:t>
      </w:r>
      <w:r>
        <w:t>‘</w:t>
      </w:r>
      <w:r w:rsidRPr="00975937">
        <w:t>The physical fitness requirements are directly related to a Fire Investigator's duty to fight fires, and they are necessary to ensure that Fire Investigators are able to perform that function when called upon to do so.).</w:t>
      </w:r>
      <w:r>
        <w:t>”</w:t>
      </w:r>
    </w:p>
    <w:p w14:paraId="065D8D49" w14:textId="77777777" w:rsidR="0026368F" w:rsidRPr="003E7359" w:rsidRDefault="0026368F" w:rsidP="0026368F">
      <w:pPr>
        <w:pStyle w:val="NoSpacing"/>
        <w:rPr>
          <w:b/>
          <w:bCs/>
        </w:rPr>
      </w:pPr>
    </w:p>
    <w:p w14:paraId="0C4ED6C3" w14:textId="77777777" w:rsidR="0026368F" w:rsidRDefault="0026368F" w:rsidP="00F326E5">
      <w:pPr>
        <w:pStyle w:val="NoSpacing"/>
        <w:rPr>
          <w:rFonts w:ascii="Arial Black" w:hAnsi="Arial Black"/>
          <w:sz w:val="28"/>
          <w:szCs w:val="28"/>
        </w:rPr>
      </w:pPr>
    </w:p>
    <w:p w14:paraId="4C3FD5B9" w14:textId="77777777" w:rsidR="0026368F" w:rsidRDefault="0026368F" w:rsidP="00F326E5">
      <w:pPr>
        <w:pStyle w:val="NoSpacing"/>
        <w:rPr>
          <w:rFonts w:ascii="Arial Black" w:hAnsi="Arial Black"/>
          <w:sz w:val="28"/>
          <w:szCs w:val="28"/>
        </w:rPr>
      </w:pPr>
    </w:p>
    <w:p w14:paraId="5F20C882" w14:textId="761CDC64" w:rsidR="006A02A4" w:rsidRDefault="009002CD" w:rsidP="00F326E5">
      <w:pPr>
        <w:pStyle w:val="NoSpacing"/>
        <w:rPr>
          <w:rFonts w:ascii="Arial Black" w:hAnsi="Arial Black"/>
          <w:sz w:val="28"/>
          <w:szCs w:val="28"/>
        </w:rPr>
      </w:pPr>
      <w:r>
        <w:rPr>
          <w:rFonts w:ascii="Arial Black" w:hAnsi="Arial Black"/>
          <w:sz w:val="28"/>
          <w:szCs w:val="28"/>
        </w:rPr>
        <w:t>14-8</w:t>
      </w:r>
    </w:p>
    <w:p w14:paraId="53F016D7" w14:textId="77777777" w:rsidR="0026368F" w:rsidRDefault="0026368F" w:rsidP="009002CD">
      <w:pPr>
        <w:rPr>
          <w:rFonts w:ascii="Arial Black" w:hAnsi="Arial Black"/>
          <w:sz w:val="28"/>
          <w:szCs w:val="28"/>
        </w:rPr>
      </w:pPr>
    </w:p>
    <w:p w14:paraId="0725B673" w14:textId="422D039B" w:rsidR="009002CD" w:rsidRDefault="009002CD" w:rsidP="009002CD">
      <w:pPr>
        <w:rPr>
          <w:rFonts w:ascii="Arial Black" w:hAnsi="Arial Black"/>
          <w:bCs/>
          <w:sz w:val="28"/>
          <w:szCs w:val="28"/>
        </w:rPr>
      </w:pPr>
      <w:r>
        <w:rPr>
          <w:rFonts w:ascii="Arial Black" w:hAnsi="Arial Black"/>
          <w:sz w:val="28"/>
          <w:szCs w:val="28"/>
        </w:rPr>
        <w:t>NY: VOL. FF - “PARTIALLY DISABLED” – DIDN’T TELL FD</w:t>
      </w:r>
    </w:p>
    <w:p w14:paraId="4CD507DC" w14:textId="77777777" w:rsidR="009002CD" w:rsidRPr="009002CD" w:rsidRDefault="009002CD" w:rsidP="009002CD">
      <w:pPr>
        <w:rPr>
          <w:rFonts w:ascii="Times New Roman" w:hAnsi="Times New Roman"/>
          <w:bCs/>
          <w:sz w:val="24"/>
          <w:szCs w:val="24"/>
        </w:rPr>
      </w:pPr>
      <w:r w:rsidRPr="009002CD">
        <w:rPr>
          <w:rFonts w:ascii="Times New Roman" w:hAnsi="Times New Roman"/>
          <w:sz w:val="24"/>
          <w:szCs w:val="24"/>
        </w:rPr>
        <w:t xml:space="preserve">On April 30, 2025, </w:t>
      </w:r>
      <w:r w:rsidRPr="009002CD">
        <w:rPr>
          <w:rFonts w:ascii="Times New Roman" w:hAnsi="Times New Roman"/>
          <w:sz w:val="24"/>
          <w:szCs w:val="24"/>
          <w:u w:val="single"/>
        </w:rPr>
        <w:t>In the Matter of Robert Correra v. Millwood Fire District, et al</w:t>
      </w:r>
      <w:r w:rsidRPr="009002CD">
        <w:rPr>
          <w:rFonts w:ascii="Times New Roman" w:hAnsi="Times New Roman"/>
          <w:sz w:val="24"/>
          <w:szCs w:val="24"/>
        </w:rPr>
        <w:t xml:space="preserve">., the Supreme Court of New York, Second Department, held (4 to 0) that the trial court properly adopted the report and recommendation of the Hearing Officer, which found the volunteer firefighter (volunteer since 2003; terminated Jan. 17, 2022) guilty of two charges: (1) provided false information regarding his failure to disclose his designation by the Workers' Compensation Board as ‘permanently, partially disabled’ on a form in connection with the 2020 physical examination; and (2) misconduct and insubordination, for improperly obtaining a physical examination while his operational privileges were suspended and for failing to provide a medical provider with the current job performance requirements for a firefighter. </w:t>
      </w:r>
      <w:hyperlink r:id="rId2452" w:history="1">
        <w:r w:rsidRPr="009002CD">
          <w:rPr>
            <w:rStyle w:val="Hyperlink"/>
            <w:rFonts w:ascii="Times New Roman" w:hAnsi="Times New Roman"/>
            <w:sz w:val="24"/>
            <w:szCs w:val="24"/>
          </w:rPr>
          <w:t>https://cdn.ca9.uscourts.gov/datastore/memoranda/2025/04/30/24-3195.pdf</w:t>
        </w:r>
      </w:hyperlink>
      <w:r w:rsidRPr="009002CD">
        <w:rPr>
          <w:rFonts w:ascii="Times New Roman" w:hAnsi="Times New Roman"/>
          <w:sz w:val="24"/>
          <w:szCs w:val="24"/>
        </w:rPr>
        <w:t xml:space="preserve"> </w:t>
      </w:r>
    </w:p>
    <w:p w14:paraId="41FF3899" w14:textId="77777777" w:rsidR="00AA11C3" w:rsidRPr="00AA11C3" w:rsidRDefault="00AA11C3" w:rsidP="00AA11C3">
      <w:pPr>
        <w:rPr>
          <w:rFonts w:ascii="Times New Roman" w:hAnsi="Times New Roman"/>
          <w:b/>
          <w:sz w:val="24"/>
          <w:szCs w:val="24"/>
        </w:rPr>
      </w:pPr>
      <w:r w:rsidRPr="00AA11C3">
        <w:rPr>
          <w:rFonts w:ascii="Times New Roman" w:hAnsi="Times New Roman"/>
          <w:b/>
          <w:sz w:val="24"/>
          <w:szCs w:val="24"/>
        </w:rPr>
        <w:t>Legal Lesson Learned: A firefighter’s failure to disclose that he is “permanently, partially disabled’ is threat to fellow firefighters and the public.</w:t>
      </w:r>
    </w:p>
    <w:p w14:paraId="2487C1E2" w14:textId="77777777" w:rsidR="009002CD" w:rsidRDefault="009002CD" w:rsidP="00F326E5">
      <w:pPr>
        <w:pStyle w:val="NoSpacing"/>
        <w:rPr>
          <w:rFonts w:ascii="Arial Black" w:hAnsi="Arial Black"/>
          <w:sz w:val="28"/>
          <w:szCs w:val="28"/>
        </w:rPr>
      </w:pPr>
    </w:p>
    <w:p w14:paraId="1E94C294" w14:textId="77777777" w:rsidR="009002CD" w:rsidRDefault="009002CD" w:rsidP="00F326E5">
      <w:pPr>
        <w:pStyle w:val="NoSpacing"/>
        <w:rPr>
          <w:rFonts w:ascii="Arial Black" w:hAnsi="Arial Black"/>
          <w:sz w:val="28"/>
          <w:szCs w:val="28"/>
        </w:rPr>
      </w:pPr>
    </w:p>
    <w:p w14:paraId="38E902CA" w14:textId="77777777" w:rsidR="009002CD" w:rsidRDefault="009002CD" w:rsidP="00F326E5">
      <w:pPr>
        <w:pStyle w:val="NoSpacing"/>
        <w:rPr>
          <w:rFonts w:ascii="Arial Black" w:hAnsi="Arial Black"/>
          <w:sz w:val="28"/>
          <w:szCs w:val="28"/>
        </w:rPr>
      </w:pPr>
    </w:p>
    <w:p w14:paraId="684E347A" w14:textId="4BF9601C" w:rsidR="004A59EC" w:rsidRDefault="004A59EC" w:rsidP="00F326E5">
      <w:pPr>
        <w:pStyle w:val="NoSpacing"/>
        <w:rPr>
          <w:rFonts w:ascii="Arial Black" w:hAnsi="Arial Black"/>
          <w:sz w:val="28"/>
          <w:szCs w:val="28"/>
        </w:rPr>
      </w:pPr>
      <w:r>
        <w:rPr>
          <w:rFonts w:ascii="Arial Black" w:hAnsi="Arial Black"/>
          <w:sz w:val="28"/>
          <w:szCs w:val="28"/>
        </w:rPr>
        <w:t>14-7</w:t>
      </w:r>
    </w:p>
    <w:p w14:paraId="30D15665" w14:textId="77777777" w:rsidR="004A59EC" w:rsidRDefault="004A59EC" w:rsidP="00F326E5">
      <w:pPr>
        <w:pStyle w:val="NoSpacing"/>
        <w:rPr>
          <w:rFonts w:ascii="Arial Black" w:hAnsi="Arial Black"/>
          <w:sz w:val="28"/>
          <w:szCs w:val="28"/>
        </w:rPr>
      </w:pPr>
    </w:p>
    <w:p w14:paraId="5B3DDF47" w14:textId="573E5642" w:rsidR="004A59EC" w:rsidRPr="00085C8F" w:rsidRDefault="004A59EC" w:rsidP="004A59EC">
      <w:pPr>
        <w:pStyle w:val="NoSpacing"/>
        <w:rPr>
          <w:rFonts w:ascii="Arial Black" w:hAnsi="Arial Black"/>
          <w:b/>
          <w:sz w:val="28"/>
          <w:szCs w:val="28"/>
        </w:rPr>
      </w:pPr>
      <w:r>
        <w:rPr>
          <w:rFonts w:ascii="Arial Black" w:hAnsi="Arial Black"/>
          <w:b/>
          <w:sz w:val="28"/>
          <w:szCs w:val="28"/>
        </w:rPr>
        <w:t xml:space="preserve">AR:  </w:t>
      </w:r>
      <w:r w:rsidR="00D87B7D">
        <w:rPr>
          <w:rFonts w:ascii="Arial Black" w:hAnsi="Arial Black"/>
          <w:b/>
          <w:sz w:val="28"/>
          <w:szCs w:val="28"/>
        </w:rPr>
        <w:t xml:space="preserve">WORKING OUT - </w:t>
      </w:r>
      <w:r>
        <w:rPr>
          <w:rFonts w:ascii="Arial Black" w:hAnsi="Arial Black"/>
          <w:b/>
          <w:sz w:val="28"/>
          <w:szCs w:val="28"/>
        </w:rPr>
        <w:t xml:space="preserve">INJURED LUMBAR – WORK COMP </w:t>
      </w:r>
    </w:p>
    <w:p w14:paraId="6FAB9F5A" w14:textId="77777777" w:rsidR="004A59EC" w:rsidRDefault="004A59EC" w:rsidP="004A59EC">
      <w:pPr>
        <w:pStyle w:val="NoSpacing"/>
        <w:rPr>
          <w:b/>
        </w:rPr>
      </w:pPr>
    </w:p>
    <w:p w14:paraId="0B65BC26" w14:textId="77777777" w:rsidR="00E077F6" w:rsidRPr="00932110" w:rsidRDefault="00E077F6" w:rsidP="00932110">
      <w:pPr>
        <w:pStyle w:val="NoSpacing"/>
        <w:rPr>
          <w:rFonts w:ascii="Times New Roman" w:hAnsi="Times New Roman"/>
          <w:bCs/>
          <w:sz w:val="24"/>
          <w:szCs w:val="24"/>
        </w:rPr>
      </w:pPr>
      <w:r w:rsidRPr="00932110">
        <w:rPr>
          <w:rFonts w:ascii="Times New Roman" w:hAnsi="Times New Roman"/>
          <w:sz w:val="24"/>
          <w:szCs w:val="24"/>
        </w:rPr>
        <w:t xml:space="preserve">On Dec. 13, 2024, in </w:t>
      </w:r>
      <w:r w:rsidRPr="00932110">
        <w:rPr>
          <w:rFonts w:ascii="Times New Roman" w:hAnsi="Times New Roman"/>
          <w:sz w:val="24"/>
          <w:szCs w:val="24"/>
          <w:u w:val="single"/>
        </w:rPr>
        <w:t>City of Tucson v. The Indus. Comm'n of Ariz</w:t>
      </w:r>
      <w:r w:rsidRPr="00932110">
        <w:rPr>
          <w:rFonts w:ascii="Times New Roman" w:hAnsi="Times New Roman"/>
          <w:sz w:val="24"/>
          <w:szCs w:val="24"/>
        </w:rPr>
        <w:t xml:space="preserve">., Court of Appeals of Arizona, Second Division held (3 to 0) that ALJ properly found Spitzer's lumbar surgery claim compensable.  The Court held: “The City contends Dr. Jeong's testimony was ‘foundationally deficient’ and should not have been used as </w:t>
      </w:r>
      <w:r w:rsidRPr="00932110">
        <w:rPr>
          <w:rFonts w:ascii="Times New Roman" w:hAnsi="Times New Roman"/>
          <w:sz w:val="24"/>
          <w:szCs w:val="24"/>
        </w:rPr>
        <w:lastRenderedPageBreak/>
        <w:t xml:space="preserve">competent medical evidence to support the ALJ's award of a compensable claim. We conclude otherwise. Jeong, Spitzer's surgeon, testified that the ‘deadlift episode’ was ‘more likely than not’ the cause of Spitzer's lumbar disk herniation. Dr. Eskay-Auerbach, the City's expert, opined that Spitzer's workout resulted in a 'lumbar sprain’ and noted that deadlifting is ‘not an activity that causes disk herniations.’ Eskay-Auerbach attributed Spitzer's disk herniation to ‘age related degenerative changes.’"  </w:t>
      </w:r>
      <w:hyperlink r:id="rId2453" w:history="1">
        <w:r w:rsidRPr="00932110">
          <w:rPr>
            <w:rStyle w:val="Hyperlink"/>
            <w:rFonts w:ascii="Times New Roman" w:hAnsi="Times New Roman"/>
            <w:sz w:val="24"/>
            <w:szCs w:val="24"/>
          </w:rPr>
          <w:t>https://casetext.com/case/city-of-tucson-v-the-indus-commn-of-ariz</w:t>
        </w:r>
      </w:hyperlink>
    </w:p>
    <w:p w14:paraId="58EFB061" w14:textId="77777777" w:rsidR="00E077F6" w:rsidRDefault="00E077F6" w:rsidP="00E077F6">
      <w:pPr>
        <w:ind w:left="720"/>
      </w:pPr>
    </w:p>
    <w:p w14:paraId="260D2380" w14:textId="38D0F8A9" w:rsidR="004A59EC" w:rsidRPr="004A59EC" w:rsidRDefault="004A59EC" w:rsidP="004A59EC">
      <w:pPr>
        <w:pStyle w:val="NoSpacing"/>
        <w:rPr>
          <w:rFonts w:ascii="Times New Roman" w:hAnsi="Times New Roman"/>
          <w:bCs/>
          <w:sz w:val="24"/>
          <w:szCs w:val="24"/>
        </w:rPr>
      </w:pPr>
      <w:r w:rsidRPr="004A59EC">
        <w:rPr>
          <w:rFonts w:ascii="Times New Roman" w:hAnsi="Times New Roman"/>
          <w:sz w:val="24"/>
          <w:szCs w:val="24"/>
        </w:rPr>
        <w:t>The Court held:</w:t>
      </w:r>
    </w:p>
    <w:p w14:paraId="6117BD3D" w14:textId="77777777" w:rsidR="004A59EC" w:rsidRPr="004A59EC" w:rsidRDefault="004A59EC" w:rsidP="004A59EC">
      <w:pPr>
        <w:pStyle w:val="NoSpacing"/>
        <w:ind w:left="720"/>
        <w:rPr>
          <w:rFonts w:ascii="Times New Roman" w:hAnsi="Times New Roman"/>
          <w:bCs/>
          <w:sz w:val="24"/>
          <w:szCs w:val="24"/>
        </w:rPr>
      </w:pPr>
    </w:p>
    <w:p w14:paraId="66C3C1E5" w14:textId="77777777" w:rsidR="004A59EC" w:rsidRPr="004A59EC" w:rsidRDefault="004A59EC" w:rsidP="004A59EC">
      <w:pPr>
        <w:pStyle w:val="NoSpacing"/>
        <w:ind w:left="720"/>
        <w:rPr>
          <w:rFonts w:ascii="Times New Roman" w:hAnsi="Times New Roman"/>
          <w:bCs/>
          <w:sz w:val="24"/>
          <w:szCs w:val="24"/>
        </w:rPr>
      </w:pPr>
      <w:r w:rsidRPr="004A59EC">
        <w:rPr>
          <w:rFonts w:ascii="Times New Roman" w:hAnsi="Times New Roman"/>
          <w:sz w:val="24"/>
          <w:szCs w:val="24"/>
        </w:rPr>
        <w:t xml:space="preserve">“The </w:t>
      </w:r>
      <w:proofErr w:type="gramStart"/>
      <w:r w:rsidRPr="004A59EC">
        <w:rPr>
          <w:rFonts w:ascii="Times New Roman" w:hAnsi="Times New Roman"/>
          <w:sz w:val="24"/>
          <w:szCs w:val="24"/>
        </w:rPr>
        <w:t>City</w:t>
      </w:r>
      <w:proofErr w:type="gramEnd"/>
      <w:r w:rsidRPr="004A59EC">
        <w:rPr>
          <w:rFonts w:ascii="Times New Roman" w:hAnsi="Times New Roman"/>
          <w:sz w:val="24"/>
          <w:szCs w:val="24"/>
        </w:rPr>
        <w:t xml:space="preserve"> contends Dr. Jeong's testimony was ‘foundationally deficient’ and should not have been used as competent medical evidence to support the ALJ's award of a compensable claim. We conclude otherwise. Jeong, Spitzer's surgeon, testified that the ‘deadlift episode’ was ‘more likely than not’ the cause of Spitzer's lumbar disk herniation. Dr. Eskay-Auerbach, the City's expert, opined that Spitzer's workout resulted in a 'lumbar sprain’ and noted that deadlifting is ‘not an activity that causes disk herniations.’ Eskay-Auerbach attributed Spitzer's disk herniation to ‘age related degenerative changes.’"  </w:t>
      </w:r>
      <w:hyperlink r:id="rId2454" w:history="1">
        <w:r w:rsidRPr="004A59EC">
          <w:rPr>
            <w:rStyle w:val="Hyperlink"/>
            <w:rFonts w:ascii="Times New Roman" w:hAnsi="Times New Roman"/>
            <w:sz w:val="24"/>
            <w:szCs w:val="24"/>
          </w:rPr>
          <w:t>https://casetext.com/case/city-of-tucson-v-the-indus-commn-of-ariz</w:t>
        </w:r>
      </w:hyperlink>
      <w:r w:rsidRPr="004A59EC">
        <w:rPr>
          <w:rFonts w:ascii="Times New Roman" w:hAnsi="Times New Roman"/>
          <w:sz w:val="24"/>
          <w:szCs w:val="24"/>
        </w:rPr>
        <w:t xml:space="preserve"> </w:t>
      </w:r>
    </w:p>
    <w:p w14:paraId="7EF26E3E" w14:textId="77777777" w:rsidR="004A59EC" w:rsidRPr="002A425F" w:rsidRDefault="004A59EC" w:rsidP="004A59EC">
      <w:pPr>
        <w:pStyle w:val="NoSpacing"/>
        <w:rPr>
          <w:bCs/>
        </w:rPr>
      </w:pPr>
    </w:p>
    <w:p w14:paraId="6113C16E" w14:textId="77777777" w:rsidR="00C0038F" w:rsidRPr="001B383B" w:rsidRDefault="00C0038F" w:rsidP="00C0038F">
      <w:pPr>
        <w:pStyle w:val="NoSpacing"/>
        <w:rPr>
          <w:rFonts w:ascii="Times New Roman" w:hAnsi="Times New Roman"/>
          <w:bCs/>
          <w:sz w:val="24"/>
          <w:szCs w:val="24"/>
        </w:rPr>
      </w:pPr>
      <w:r w:rsidRPr="001B383B">
        <w:rPr>
          <w:rFonts w:ascii="Times New Roman" w:hAnsi="Times New Roman"/>
          <w:sz w:val="24"/>
          <w:szCs w:val="24"/>
        </w:rPr>
        <w:t>HOLDING:</w:t>
      </w:r>
    </w:p>
    <w:p w14:paraId="4DF09664" w14:textId="77777777" w:rsidR="00C0038F" w:rsidRPr="001B383B" w:rsidRDefault="00C0038F" w:rsidP="00C0038F">
      <w:pPr>
        <w:pStyle w:val="NoSpacing"/>
        <w:rPr>
          <w:rFonts w:ascii="Times New Roman" w:hAnsi="Times New Roman"/>
          <w:bCs/>
          <w:sz w:val="24"/>
          <w:szCs w:val="24"/>
        </w:rPr>
      </w:pPr>
    </w:p>
    <w:p w14:paraId="21C656B8" w14:textId="77777777" w:rsidR="00C0038F" w:rsidRPr="001B383B" w:rsidRDefault="00C0038F" w:rsidP="00C0038F">
      <w:pPr>
        <w:pStyle w:val="NoSpacing"/>
        <w:ind w:left="720"/>
        <w:rPr>
          <w:rFonts w:ascii="Times New Roman" w:hAnsi="Times New Roman"/>
          <w:sz w:val="24"/>
          <w:szCs w:val="24"/>
        </w:rPr>
      </w:pPr>
      <w:r w:rsidRPr="001B383B">
        <w:rPr>
          <w:rFonts w:ascii="Times New Roman" w:hAnsi="Times New Roman"/>
          <w:sz w:val="24"/>
          <w:szCs w:val="24"/>
        </w:rPr>
        <w:t>“However, Spitzer consistently testified that his back was ‘sore’ leading up to January 27 and differentiated that soreness from it being painful or hurting. For example, Spitzer explained that he did not report his back injury on the date it occurred because it was ‘sore and not hurt’ and that the ‘soreness lined up with having done a workout.’ Therefore, the ALJ's follow-up accurately reflected the record. The ALJ did not err in finding Dr. Jeong's medical opinion more probably correct. Consequently, we conclude substantial evidence supports the ALJ's findings and award.”</w:t>
      </w:r>
    </w:p>
    <w:p w14:paraId="50F982E5" w14:textId="77777777" w:rsidR="00C0038F" w:rsidRPr="001B383B" w:rsidRDefault="00C0038F" w:rsidP="00C0038F">
      <w:pPr>
        <w:pStyle w:val="NoSpacing"/>
        <w:ind w:left="720"/>
        <w:rPr>
          <w:rFonts w:ascii="Times New Roman" w:hAnsi="Times New Roman"/>
          <w:sz w:val="24"/>
          <w:szCs w:val="24"/>
        </w:rPr>
      </w:pPr>
    </w:p>
    <w:p w14:paraId="0F1F71EC" w14:textId="77777777" w:rsidR="00C0038F" w:rsidRPr="001B383B" w:rsidRDefault="00C0038F" w:rsidP="00C0038F">
      <w:pPr>
        <w:pStyle w:val="NoSpacing"/>
        <w:rPr>
          <w:rFonts w:ascii="Times New Roman" w:hAnsi="Times New Roman"/>
          <w:b/>
          <w:bCs/>
          <w:sz w:val="24"/>
          <w:szCs w:val="24"/>
        </w:rPr>
      </w:pPr>
      <w:r w:rsidRPr="001B383B">
        <w:rPr>
          <w:rFonts w:ascii="Times New Roman" w:hAnsi="Times New Roman"/>
          <w:b/>
          <w:sz w:val="24"/>
          <w:szCs w:val="24"/>
        </w:rPr>
        <w:t xml:space="preserve">Legal Lesson Learned:  The firefighter presented expert testimony that persuaded the Administrative Law Judge. </w:t>
      </w:r>
    </w:p>
    <w:p w14:paraId="44621F56" w14:textId="77777777" w:rsidR="00C0038F" w:rsidRPr="001B383B" w:rsidRDefault="00C0038F" w:rsidP="00C0038F">
      <w:pPr>
        <w:pStyle w:val="NoSpacing"/>
        <w:rPr>
          <w:rFonts w:ascii="Times New Roman" w:hAnsi="Times New Roman"/>
          <w:b/>
          <w:bCs/>
          <w:sz w:val="24"/>
          <w:szCs w:val="24"/>
        </w:rPr>
      </w:pPr>
    </w:p>
    <w:p w14:paraId="221358AE" w14:textId="77777777" w:rsidR="004A59EC" w:rsidRDefault="004A59EC" w:rsidP="00F326E5">
      <w:pPr>
        <w:pStyle w:val="NoSpacing"/>
        <w:rPr>
          <w:rFonts w:ascii="Arial Black" w:hAnsi="Arial Black"/>
          <w:sz w:val="28"/>
          <w:szCs w:val="28"/>
        </w:rPr>
      </w:pPr>
    </w:p>
    <w:p w14:paraId="0532E24D" w14:textId="77777777" w:rsidR="004A59EC" w:rsidRDefault="004A59EC" w:rsidP="00F326E5">
      <w:pPr>
        <w:pStyle w:val="NoSpacing"/>
        <w:rPr>
          <w:rFonts w:ascii="Arial Black" w:hAnsi="Arial Black"/>
          <w:sz w:val="28"/>
          <w:szCs w:val="28"/>
        </w:rPr>
      </w:pPr>
    </w:p>
    <w:p w14:paraId="4423A638" w14:textId="1B401A05" w:rsidR="006C4BDE" w:rsidRDefault="006C4BDE" w:rsidP="00F326E5">
      <w:pPr>
        <w:pStyle w:val="NoSpacing"/>
        <w:rPr>
          <w:rFonts w:ascii="Arial Black" w:hAnsi="Arial Black"/>
          <w:sz w:val="28"/>
          <w:szCs w:val="28"/>
        </w:rPr>
      </w:pPr>
      <w:r>
        <w:rPr>
          <w:rFonts w:ascii="Arial Black" w:hAnsi="Arial Black"/>
          <w:sz w:val="28"/>
          <w:szCs w:val="28"/>
        </w:rPr>
        <w:t>14-6 [Also filed, Chap. 7]</w:t>
      </w:r>
    </w:p>
    <w:p w14:paraId="1D0DA59C" w14:textId="2488F8A5" w:rsidR="006C4BDE" w:rsidRPr="00F315B4" w:rsidRDefault="006C4BDE" w:rsidP="006C4BDE">
      <w:pPr>
        <w:spacing w:before="100" w:beforeAutospacing="1" w:after="100" w:afterAutospacing="1" w:line="240" w:lineRule="auto"/>
        <w:rPr>
          <w:rFonts w:ascii="Arial Black" w:hAnsi="Arial Black"/>
          <w:sz w:val="28"/>
          <w:szCs w:val="28"/>
        </w:rPr>
      </w:pPr>
      <w:r>
        <w:rPr>
          <w:rFonts w:ascii="Arial Black" w:hAnsi="Arial Black"/>
          <w:sz w:val="28"/>
          <w:szCs w:val="28"/>
        </w:rPr>
        <w:t>WI: FEMALE FAILS APPLICANT PHYSICAL FITNESS TEST –</w:t>
      </w:r>
      <w:r w:rsidR="006B7287">
        <w:rPr>
          <w:rFonts w:ascii="Arial Black" w:hAnsi="Arial Black"/>
          <w:sz w:val="28"/>
          <w:szCs w:val="28"/>
        </w:rPr>
        <w:t xml:space="preserve"> </w:t>
      </w:r>
      <w:r>
        <w:rPr>
          <w:rFonts w:ascii="Arial Black" w:hAnsi="Arial Black"/>
          <w:sz w:val="28"/>
          <w:szCs w:val="28"/>
        </w:rPr>
        <w:t>NOT CPAT, BUT MEETS EEOC GUIDELINES – TEST UPHELD</w:t>
      </w:r>
    </w:p>
    <w:p w14:paraId="6F425D2A" w14:textId="77777777" w:rsidR="00744AE5" w:rsidRDefault="006C4BDE" w:rsidP="006C4BDE">
      <w:pPr>
        <w:spacing w:before="100" w:beforeAutospacing="1" w:after="100" w:afterAutospacing="1" w:line="240" w:lineRule="auto"/>
        <w:rPr>
          <w:rFonts w:ascii="Times New Roman" w:eastAsia="Times New Roman" w:hAnsi="Times New Roman"/>
          <w:sz w:val="24"/>
          <w:szCs w:val="24"/>
        </w:rPr>
      </w:pPr>
      <w:r w:rsidRPr="00A4532F">
        <w:rPr>
          <w:rFonts w:ascii="Times New Roman" w:hAnsi="Times New Roman"/>
          <w:sz w:val="24"/>
          <w:szCs w:val="24"/>
        </w:rPr>
        <w:t xml:space="preserve">On July 20, 2022, in </w:t>
      </w:r>
      <w:r w:rsidRPr="00A4532F">
        <w:rPr>
          <w:rFonts w:ascii="Times New Roman" w:hAnsi="Times New Roman"/>
          <w:sz w:val="24"/>
          <w:szCs w:val="24"/>
          <w:u w:val="single"/>
        </w:rPr>
        <w:t>Catherine Erdman v. City of Madison</w:t>
      </w:r>
      <w:r>
        <w:rPr>
          <w:rFonts w:ascii="Times New Roman" w:hAnsi="Times New Roman"/>
          <w:sz w:val="24"/>
          <w:szCs w:val="24"/>
        </w:rPr>
        <w:t xml:space="preserve">, U.S. District Court Judge William M. Conley dismissed the lawsuit, findings that the Madison Fire Department in their 2014 applicant testing did not violate Title VII of the Civil Rights Act of 1964, even if more female failed compared to fire departments using the CPAT, since the tests were developed by consultants to assess actual job duties and meet the EEOC’s </w:t>
      </w:r>
      <w:r w:rsidRPr="005403E6">
        <w:rPr>
          <w:rFonts w:ascii="Times New Roman" w:eastAsia="Times New Roman" w:hAnsi="Times New Roman"/>
          <w:sz w:val="24"/>
          <w:szCs w:val="24"/>
        </w:rPr>
        <w:t>Uniform Guidelines on Employee Selection Procedures</w:t>
      </w:r>
      <w:r>
        <w:rPr>
          <w:rFonts w:ascii="Times New Roman" w:eastAsia="Times New Roman" w:hAnsi="Times New Roman"/>
          <w:sz w:val="24"/>
          <w:szCs w:val="24"/>
        </w:rPr>
        <w:t xml:space="preserve">. </w:t>
      </w:r>
    </w:p>
    <w:p w14:paraId="023A36A0" w14:textId="77777777" w:rsidR="00744AE5" w:rsidRPr="004C0299" w:rsidRDefault="00744AE5" w:rsidP="00744AE5">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2F972285" w14:textId="5FFD10C9" w:rsidR="006C4BDE" w:rsidRPr="005403E6" w:rsidRDefault="006C4BDE" w:rsidP="006C4BDE">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Plaintiff’s lawsuit claimed that she would have passed CPAT [Madison FD’s pass rate for women was 14%; the pass rate for women taking CPAT at Austin, Teas FD was 48%].  </w:t>
      </w:r>
      <w:r>
        <w:rPr>
          <w:rFonts w:ascii="Times New Roman" w:hAnsi="Times New Roman"/>
          <w:sz w:val="24"/>
          <w:szCs w:val="24"/>
        </w:rPr>
        <w:t xml:space="preserve">Plaintiff failed the “pike pole” which required </w:t>
      </w:r>
      <w:r w:rsidRPr="005403E6">
        <w:rPr>
          <w:rFonts w:ascii="Times New Roman" w:eastAsia="Times New Roman" w:hAnsi="Times New Roman"/>
          <w:sz w:val="24"/>
          <w:szCs w:val="24"/>
        </w:rPr>
        <w:t>applicants to stand at least 18 inches back from the ceiling being pulled down with a pike pole to account for safety concerns with</w:t>
      </w:r>
      <w:r>
        <w:rPr>
          <w:rFonts w:ascii="Times New Roman" w:eastAsia="Times New Roman" w:hAnsi="Times New Roman"/>
          <w:sz w:val="24"/>
          <w:szCs w:val="24"/>
        </w:rPr>
        <w:t xml:space="preserve"> test takers </w:t>
      </w:r>
      <w:r w:rsidRPr="005403E6">
        <w:rPr>
          <w:rFonts w:ascii="Times New Roman" w:eastAsia="Times New Roman" w:hAnsi="Times New Roman"/>
          <w:sz w:val="24"/>
          <w:szCs w:val="24"/>
        </w:rPr>
        <w:t>standing directly under the ceiling</w:t>
      </w:r>
      <w:r>
        <w:rPr>
          <w:rFonts w:ascii="Times New Roman" w:eastAsia="Times New Roman" w:hAnsi="Times New Roman"/>
          <w:sz w:val="24"/>
          <w:szCs w:val="24"/>
        </w:rPr>
        <w:t xml:space="preserve">; </w:t>
      </w:r>
      <w:r w:rsidRPr="005403E6">
        <w:rPr>
          <w:rFonts w:ascii="Times New Roman" w:eastAsia="Times New Roman" w:hAnsi="Times New Roman"/>
          <w:sz w:val="24"/>
          <w:szCs w:val="24"/>
        </w:rPr>
        <w:t>the pole was long enough to allow applicants of different heights to adjust the hold to account for that differential.</w:t>
      </w:r>
      <w:r>
        <w:rPr>
          <w:rFonts w:ascii="Times New Roman" w:eastAsia="Times New Roman" w:hAnsi="Times New Roman"/>
          <w:sz w:val="24"/>
          <w:szCs w:val="24"/>
        </w:rPr>
        <w:t xml:space="preserve"> </w:t>
      </w:r>
      <w:hyperlink r:id="rId2455" w:history="1">
        <w:r w:rsidRPr="00355029">
          <w:rPr>
            <w:rStyle w:val="Hyperlink"/>
            <w:rFonts w:ascii="Times New Roman" w:hAnsi="Times New Roman"/>
            <w:sz w:val="24"/>
            <w:szCs w:val="24"/>
          </w:rPr>
          <w:t>https://public.fastcase.com/J%2FJP6pdidelsXxEE4k%2BLMiptlpkB0gZD0zq9ZoOKNJuhacmaRfGRvhQDw8Dzjp093sUgUkI4CwYYkhqoix%2B0P6g4YOgoDnx2kMnRYwj%2FWdA%3D</w:t>
        </w:r>
      </w:hyperlink>
      <w:r>
        <w:rPr>
          <w:rFonts w:ascii="Times New Roman" w:hAnsi="Times New Roman"/>
          <w:sz w:val="24"/>
          <w:szCs w:val="24"/>
        </w:rPr>
        <w:t xml:space="preserve"> </w:t>
      </w:r>
    </w:p>
    <w:p w14:paraId="7245A580" w14:textId="77777777" w:rsidR="006C4BDE" w:rsidRPr="006E479D" w:rsidRDefault="006C4BDE" w:rsidP="006C4BDE">
      <w:pPr>
        <w:spacing w:before="100" w:beforeAutospacing="1" w:after="100" w:afterAutospacing="1" w:line="240" w:lineRule="auto"/>
        <w:rPr>
          <w:rFonts w:ascii="Times New Roman" w:hAnsi="Times New Roman"/>
          <w:b/>
          <w:bCs/>
          <w:sz w:val="24"/>
          <w:szCs w:val="24"/>
        </w:rPr>
      </w:pPr>
      <w:r w:rsidRPr="00604285">
        <w:rPr>
          <w:rFonts w:ascii="Times New Roman" w:hAnsi="Times New Roman"/>
          <w:b/>
          <w:bCs/>
          <w:sz w:val="24"/>
          <w:szCs w:val="24"/>
        </w:rPr>
        <w:t>Legal Lesson Learned:</w:t>
      </w:r>
      <w:r>
        <w:rPr>
          <w:rFonts w:ascii="Times New Roman" w:hAnsi="Times New Roman"/>
          <w:b/>
          <w:bCs/>
          <w:sz w:val="24"/>
          <w:szCs w:val="24"/>
        </w:rPr>
        <w:t xml:space="preserve"> </w:t>
      </w:r>
      <w:r w:rsidRPr="006E479D">
        <w:rPr>
          <w:rFonts w:ascii="Times New Roman" w:hAnsi="Times New Roman"/>
          <w:b/>
          <w:bCs/>
          <w:sz w:val="24"/>
          <w:szCs w:val="24"/>
        </w:rPr>
        <w:t xml:space="preserve">This alternative test passed EEOC “Uniform Guidelines </w:t>
      </w:r>
      <w:r w:rsidRPr="006E479D">
        <w:rPr>
          <w:rFonts w:ascii="Times New Roman" w:eastAsia="Times New Roman" w:hAnsi="Times New Roman"/>
          <w:b/>
          <w:bCs/>
          <w:sz w:val="24"/>
          <w:szCs w:val="24"/>
        </w:rPr>
        <w:t xml:space="preserve">on Employee Selection Procedures (1978), 29 C.F.R. § 1607, </w:t>
      </w:r>
      <w:r w:rsidRPr="006E479D">
        <w:rPr>
          <w:rFonts w:ascii="Times New Roman" w:eastAsia="Times New Roman" w:hAnsi="Times New Roman"/>
          <w:b/>
          <w:bCs/>
          <w:i/>
          <w:iCs/>
          <w:sz w:val="24"/>
          <w:szCs w:val="24"/>
        </w:rPr>
        <w:t xml:space="preserve">et seq.” </w:t>
      </w:r>
      <w:r w:rsidRPr="006E479D">
        <w:rPr>
          <w:rFonts w:ascii="Times New Roman" w:hAnsi="Times New Roman"/>
          <w:b/>
          <w:bCs/>
          <w:sz w:val="24"/>
          <w:szCs w:val="24"/>
        </w:rPr>
        <w:t xml:space="preserve">  </w:t>
      </w:r>
    </w:p>
    <w:p w14:paraId="6BD9C955" w14:textId="77777777" w:rsidR="006C4BDE" w:rsidRDefault="006C4BDE" w:rsidP="00F326E5">
      <w:pPr>
        <w:pStyle w:val="NoSpacing"/>
        <w:rPr>
          <w:rFonts w:ascii="Arial Black" w:hAnsi="Arial Black"/>
          <w:sz w:val="28"/>
          <w:szCs w:val="28"/>
        </w:rPr>
      </w:pPr>
    </w:p>
    <w:p w14:paraId="42575218" w14:textId="77777777" w:rsidR="006C4BDE" w:rsidRDefault="006C4BDE" w:rsidP="00F326E5">
      <w:pPr>
        <w:pStyle w:val="NoSpacing"/>
        <w:rPr>
          <w:rFonts w:ascii="Arial Black" w:hAnsi="Arial Black"/>
          <w:sz w:val="28"/>
          <w:szCs w:val="28"/>
        </w:rPr>
      </w:pPr>
    </w:p>
    <w:p w14:paraId="3C49D17B" w14:textId="26AC7D80" w:rsidR="00506EE7" w:rsidRDefault="00506EE7" w:rsidP="00F326E5">
      <w:pPr>
        <w:pStyle w:val="NoSpacing"/>
        <w:rPr>
          <w:rFonts w:ascii="Arial Black" w:hAnsi="Arial Black"/>
          <w:sz w:val="28"/>
          <w:szCs w:val="28"/>
        </w:rPr>
      </w:pPr>
      <w:r>
        <w:rPr>
          <w:rFonts w:ascii="Arial Black" w:hAnsi="Arial Black"/>
          <w:sz w:val="28"/>
          <w:szCs w:val="28"/>
        </w:rPr>
        <w:t>14-5</w:t>
      </w:r>
    </w:p>
    <w:p w14:paraId="4F26E956" w14:textId="77777777" w:rsidR="00506EE7" w:rsidRPr="002D2746" w:rsidRDefault="00506EE7" w:rsidP="00506EE7">
      <w:pPr>
        <w:spacing w:before="100" w:beforeAutospacing="1" w:after="100" w:afterAutospacing="1" w:line="240" w:lineRule="auto"/>
        <w:rPr>
          <w:rFonts w:ascii="Arial Black" w:eastAsia="Times New Roman" w:hAnsi="Arial Black"/>
          <w:b/>
          <w:bCs/>
          <w:sz w:val="28"/>
          <w:szCs w:val="28"/>
        </w:rPr>
      </w:pPr>
      <w:bookmarkStart w:id="558" w:name="_Hlk89148163"/>
      <w:r w:rsidRPr="002D2746">
        <w:rPr>
          <w:rFonts w:ascii="Arial Black" w:eastAsia="Times New Roman" w:hAnsi="Arial Black"/>
          <w:b/>
          <w:bCs/>
          <w:sz w:val="28"/>
          <w:szCs w:val="28"/>
        </w:rPr>
        <w:t>VA: PSYCHIA</w:t>
      </w:r>
      <w:r>
        <w:rPr>
          <w:rFonts w:ascii="Arial Black" w:eastAsia="Times New Roman" w:hAnsi="Arial Black"/>
          <w:b/>
          <w:bCs/>
          <w:sz w:val="28"/>
          <w:szCs w:val="28"/>
        </w:rPr>
        <w:t>T</w:t>
      </w:r>
      <w:r w:rsidRPr="002D2746">
        <w:rPr>
          <w:rFonts w:ascii="Arial Black" w:eastAsia="Times New Roman" w:hAnsi="Arial Black"/>
          <w:b/>
          <w:bCs/>
          <w:sz w:val="28"/>
          <w:szCs w:val="28"/>
        </w:rPr>
        <w:t>RIST</w:t>
      </w:r>
      <w:r>
        <w:rPr>
          <w:rFonts w:ascii="Arial Black" w:eastAsia="Times New Roman" w:hAnsi="Arial Black"/>
          <w:b/>
          <w:bCs/>
          <w:sz w:val="28"/>
          <w:szCs w:val="28"/>
        </w:rPr>
        <w:t xml:space="preserve"> (AGE 67) COULD NOT PASS PHYSICAL AGILITY TEST - JOB IN FED. PRISON – CASE TO PROCEED</w:t>
      </w:r>
    </w:p>
    <w:p w14:paraId="22D26C6C" w14:textId="77777777" w:rsidR="00506EE7" w:rsidRDefault="00506EE7" w:rsidP="00506EE7">
      <w:pPr>
        <w:spacing w:before="100" w:beforeAutospacing="1" w:after="100" w:afterAutospacing="1" w:line="240" w:lineRule="auto"/>
        <w:rPr>
          <w:rFonts w:ascii="Times New Roman" w:hAnsi="Times New Roman"/>
          <w:sz w:val="24"/>
          <w:szCs w:val="24"/>
        </w:rPr>
      </w:pPr>
      <w:r w:rsidRPr="009366B6">
        <w:rPr>
          <w:rFonts w:ascii="Times New Roman" w:eastAsia="Times New Roman" w:hAnsi="Times New Roman"/>
          <w:sz w:val="24"/>
          <w:szCs w:val="24"/>
        </w:rPr>
        <w:t xml:space="preserve">On </w:t>
      </w:r>
      <w:r>
        <w:rPr>
          <w:rFonts w:ascii="Times New Roman" w:eastAsia="Times New Roman" w:hAnsi="Times New Roman"/>
          <w:sz w:val="24"/>
          <w:szCs w:val="24"/>
        </w:rPr>
        <w:t xml:space="preserve">Nov. 17, 2021, in </w:t>
      </w:r>
      <w:r w:rsidRPr="009366B6">
        <w:rPr>
          <w:rFonts w:ascii="Times New Roman" w:eastAsia="Times New Roman" w:hAnsi="Times New Roman"/>
          <w:sz w:val="24"/>
          <w:szCs w:val="24"/>
          <w:u w:val="single"/>
        </w:rPr>
        <w:t>Jane D. Dicocco, MD v. Merick B. Garland, Attorney General, U.S. Department of Justice</w:t>
      </w:r>
      <w:r>
        <w:rPr>
          <w:rFonts w:ascii="Times New Roman" w:eastAsia="Times New Roman" w:hAnsi="Times New Roman"/>
          <w:sz w:val="24"/>
          <w:szCs w:val="24"/>
        </w:rPr>
        <w:t>, the U.S. Court of Appeals for the 4</w:t>
      </w:r>
      <w:r w:rsidRPr="009366B6">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(Richmond, VA) holds (2 to 1) that the psychiatrist may proceed with her case under Title VII of the Civil Rights Act, but </w:t>
      </w:r>
      <w:r>
        <w:rPr>
          <w:rStyle w:val="markedcontent"/>
          <w:rFonts w:ascii="Times New Roman" w:hAnsi="Times New Roman"/>
          <w:sz w:val="24"/>
          <w:szCs w:val="24"/>
        </w:rPr>
        <w:t>cannot sue Federal government under the A</w:t>
      </w:r>
      <w:r w:rsidRPr="00E84A85">
        <w:rPr>
          <w:rStyle w:val="markedcontent"/>
          <w:rFonts w:ascii="Times New Roman" w:hAnsi="Times New Roman"/>
          <w:sz w:val="24"/>
          <w:szCs w:val="24"/>
        </w:rPr>
        <w:t>ge Discrimination in Employment Act of 1967 (ADEA)</w:t>
      </w:r>
      <w:r>
        <w:rPr>
          <w:rStyle w:val="markedcontent"/>
          <w:rFonts w:ascii="Times New Roman" w:hAnsi="Times New Roman"/>
          <w:sz w:val="24"/>
          <w:szCs w:val="24"/>
        </w:rPr>
        <w:t xml:space="preserve">, because Congress never authorized Federal government to be sued for “adverse impact” on employees age 40 or older.  </w:t>
      </w:r>
      <w:r>
        <w:rPr>
          <w:rFonts w:ascii="Times New Roman" w:hAnsi="Times New Roman"/>
          <w:sz w:val="24"/>
          <w:szCs w:val="24"/>
        </w:rPr>
        <w:t xml:space="preserve">Note: </w:t>
      </w:r>
      <w:r>
        <w:rPr>
          <w:rFonts w:ascii="Times New Roman" w:eastAsia="Times New Roman" w:hAnsi="Times New Roman"/>
          <w:sz w:val="24"/>
          <w:szCs w:val="24"/>
        </w:rPr>
        <w:t>The Bureau of Prisons “Physical Abilities Test” includes: “</w:t>
      </w:r>
      <w:r w:rsidRPr="00CF5EED">
        <w:rPr>
          <w:rFonts w:ascii="Times New Roman" w:hAnsi="Times New Roman"/>
          <w:sz w:val="24"/>
          <w:szCs w:val="24"/>
        </w:rPr>
        <w:t>Employees taking the test must drag a seventy-five-pound dummy at least 694 feet for three minutes, climb a ladder to retrieve an object within seven seconds, complete an obstacle course in fifty-eight seconds, run a quarter mile and handcuff someone within two minutes and thirty-five seconds, and climb three flights of stairs in forty-five seconds while wearing a twenty-pound weight belt. Employees receive scores for the five components, which are aggregated and measured against a passing composite score.</w:t>
      </w:r>
      <w:r>
        <w:rPr>
          <w:rFonts w:ascii="Times New Roman" w:hAnsi="Times New Roman"/>
          <w:sz w:val="24"/>
          <w:szCs w:val="24"/>
        </w:rPr>
        <w:t xml:space="preserve">” </w:t>
      </w:r>
    </w:p>
    <w:p w14:paraId="7D963F73" w14:textId="77777777" w:rsidR="00506EE7" w:rsidRPr="001C3BEE" w:rsidRDefault="00506EE7" w:rsidP="00506EE7">
      <w:pPr>
        <w:spacing w:before="100" w:beforeAutospacing="1" w:after="100" w:afterAutospacing="1" w:line="240" w:lineRule="auto"/>
        <w:ind w:left="720"/>
        <w:rPr>
          <w:rStyle w:val="markedcontent"/>
          <w:rFonts w:ascii="Times New Roman" w:hAnsi="Times New Roman"/>
          <w:sz w:val="24"/>
          <w:szCs w:val="24"/>
        </w:rPr>
      </w:pPr>
      <w:r>
        <w:rPr>
          <w:rStyle w:val="markedcontent"/>
          <w:rFonts w:ascii="Times New Roman" w:hAnsi="Times New Roman"/>
          <w:sz w:val="24"/>
          <w:szCs w:val="24"/>
        </w:rPr>
        <w:t>“</w:t>
      </w:r>
      <w:r w:rsidRPr="001C3BEE">
        <w:rPr>
          <w:rStyle w:val="markedcontent"/>
          <w:rFonts w:ascii="Times New Roman" w:hAnsi="Times New Roman"/>
          <w:sz w:val="24"/>
          <w:szCs w:val="24"/>
        </w:rPr>
        <w:t xml:space="preserve">Dr. DiCocco alleged that she suffered financial and job-related injuries in fact that are </w:t>
      </w:r>
      <w:proofErr w:type="gramStart"/>
      <w:r w:rsidRPr="001C3BEE">
        <w:rPr>
          <w:rStyle w:val="markedcontent"/>
          <w:rFonts w:ascii="Times New Roman" w:hAnsi="Times New Roman"/>
          <w:sz w:val="24"/>
          <w:szCs w:val="24"/>
        </w:rPr>
        <w:t>fairly traceable</w:t>
      </w:r>
      <w:proofErr w:type="gramEnd"/>
      <w:r w:rsidRPr="001C3BEE">
        <w:rPr>
          <w:rStyle w:val="markedcontent"/>
          <w:rFonts w:ascii="Times New Roman" w:hAnsi="Times New Roman"/>
          <w:sz w:val="24"/>
          <w:szCs w:val="24"/>
        </w:rPr>
        <w:t xml:space="preserve"> to the government’s action and likely to be redressed by a favorable ruling</w:t>
      </w:r>
      <w:r>
        <w:rPr>
          <w:rStyle w:val="markedcontent"/>
          <w:rFonts w:ascii="Times New Roman" w:hAnsi="Times New Roman"/>
          <w:sz w:val="24"/>
          <w:szCs w:val="24"/>
        </w:rPr>
        <w:t xml:space="preserve">…. </w:t>
      </w:r>
      <w:r w:rsidRPr="001C3BEE">
        <w:rPr>
          <w:rStyle w:val="markedcontent"/>
          <w:rFonts w:ascii="Times New Roman" w:hAnsi="Times New Roman"/>
          <w:sz w:val="24"/>
          <w:szCs w:val="24"/>
        </w:rPr>
        <w:t xml:space="preserve"> </w:t>
      </w:r>
      <w:proofErr w:type="gramStart"/>
      <w:r w:rsidRPr="001C3BEE">
        <w:rPr>
          <w:rStyle w:val="markedcontent"/>
          <w:rFonts w:ascii="Times New Roman" w:hAnsi="Times New Roman"/>
          <w:sz w:val="24"/>
          <w:szCs w:val="24"/>
        </w:rPr>
        <w:t>So</w:t>
      </w:r>
      <w:proofErr w:type="gramEnd"/>
      <w:r w:rsidRPr="001C3BEE">
        <w:rPr>
          <w:rStyle w:val="markedcontent"/>
          <w:rFonts w:ascii="Times New Roman" w:hAnsi="Times New Roman"/>
          <w:sz w:val="24"/>
          <w:szCs w:val="24"/>
        </w:rPr>
        <w:t xml:space="preserve"> she has Article III standing. But we must still dismiss her ADEA claim because the ADEA provision applicable to federal-sector employees does not provide a disparate-impact cause of action. </w:t>
      </w:r>
      <w:proofErr w:type="gramStart"/>
      <w:r w:rsidRPr="001C3BEE">
        <w:rPr>
          <w:rStyle w:val="markedcontent"/>
          <w:rFonts w:ascii="Times New Roman" w:hAnsi="Times New Roman"/>
          <w:sz w:val="24"/>
          <w:szCs w:val="24"/>
        </w:rPr>
        <w:t>So</w:t>
      </w:r>
      <w:proofErr w:type="gramEnd"/>
      <w:r w:rsidRPr="001C3BEE">
        <w:rPr>
          <w:rStyle w:val="markedcontent"/>
          <w:rFonts w:ascii="Times New Roman" w:hAnsi="Times New Roman"/>
          <w:sz w:val="24"/>
          <w:szCs w:val="24"/>
        </w:rPr>
        <w:t xml:space="preserve"> her claim does not fall within the government’s waiver of sovereign immunity. We decline, however, to address arguments for rejecting her remaining Title VII claim under Rule 12(b)(6). We therefore affirm the district court’s dismissal of the ADEA claim but remand the Title VII claim for further proceedings.</w:t>
      </w:r>
      <w:r>
        <w:rPr>
          <w:rStyle w:val="markedcontent"/>
          <w:rFonts w:ascii="Times New Roman" w:hAnsi="Times New Roman"/>
          <w:sz w:val="24"/>
          <w:szCs w:val="24"/>
        </w:rPr>
        <w:t xml:space="preserve">” </w:t>
      </w:r>
      <w:hyperlink r:id="rId2456" w:history="1">
        <w:r w:rsidRPr="00C13A89">
          <w:rPr>
            <w:rStyle w:val="Hyperlink"/>
            <w:rFonts w:ascii="Times New Roman" w:hAnsi="Times New Roman"/>
            <w:sz w:val="24"/>
            <w:szCs w:val="24"/>
          </w:rPr>
          <w:t>https://www.ca4.uscourts.gov/Opinions/201342.P.pdf</w:t>
        </w:r>
      </w:hyperlink>
      <w:r>
        <w:rPr>
          <w:rStyle w:val="markedcontent"/>
          <w:rFonts w:ascii="Times New Roman" w:hAnsi="Times New Roman"/>
          <w:sz w:val="24"/>
          <w:szCs w:val="24"/>
        </w:rPr>
        <w:t xml:space="preserve"> </w:t>
      </w:r>
    </w:p>
    <w:p w14:paraId="0ED4A994" w14:textId="77777777" w:rsidR="00506EE7" w:rsidRDefault="00506EE7" w:rsidP="00506EE7">
      <w:pPr>
        <w:pStyle w:val="NormalWeb"/>
        <w:rPr>
          <w:b/>
          <w:bCs/>
        </w:rPr>
      </w:pPr>
      <w:r w:rsidRPr="006C5BC9">
        <w:rPr>
          <w:b/>
          <w:bCs/>
        </w:rPr>
        <w:t>Legal Lesson Learned:</w:t>
      </w:r>
      <w:r>
        <w:rPr>
          <w:b/>
          <w:bCs/>
        </w:rPr>
        <w:t xml:space="preserve">  Fire &amp; EMS Departments may impose physical fitness requirements as a condition of hire of emergency responders, such as passing CPAT test.  But requiring all employees, including secretaries and mechanics, to pass such a test would be a violation of Title VII. </w:t>
      </w:r>
    </w:p>
    <w:bookmarkEnd w:id="558"/>
    <w:p w14:paraId="1567EE1F" w14:textId="77777777" w:rsidR="00506EE7" w:rsidRDefault="00506EE7" w:rsidP="00F326E5">
      <w:pPr>
        <w:pStyle w:val="NoSpacing"/>
        <w:rPr>
          <w:rFonts w:ascii="Arial Black" w:hAnsi="Arial Black"/>
          <w:sz w:val="28"/>
          <w:szCs w:val="28"/>
        </w:rPr>
      </w:pPr>
    </w:p>
    <w:p w14:paraId="5E33CA11" w14:textId="77777777" w:rsidR="00506EE7" w:rsidRDefault="00506EE7" w:rsidP="00F326E5">
      <w:pPr>
        <w:pStyle w:val="NoSpacing"/>
        <w:rPr>
          <w:rFonts w:ascii="Arial Black" w:hAnsi="Arial Black"/>
          <w:sz w:val="28"/>
          <w:szCs w:val="28"/>
        </w:rPr>
      </w:pPr>
    </w:p>
    <w:p w14:paraId="4B431C28" w14:textId="76F633F2" w:rsidR="00F326E5" w:rsidRPr="00102FD0" w:rsidRDefault="00102FD0" w:rsidP="00F326E5">
      <w:pPr>
        <w:pStyle w:val="NoSpacing"/>
        <w:rPr>
          <w:rFonts w:ascii="Arial Black" w:hAnsi="Arial Black"/>
          <w:sz w:val="28"/>
          <w:szCs w:val="28"/>
        </w:rPr>
      </w:pPr>
      <w:r w:rsidRPr="00102FD0">
        <w:rPr>
          <w:rFonts w:ascii="Arial Black" w:hAnsi="Arial Black"/>
          <w:sz w:val="28"/>
          <w:szCs w:val="28"/>
        </w:rPr>
        <w:t>14-4</w:t>
      </w:r>
    </w:p>
    <w:p w14:paraId="3A655A75" w14:textId="77777777" w:rsidR="00102FD0" w:rsidRPr="00493410" w:rsidRDefault="00102FD0" w:rsidP="00102FD0">
      <w:pPr>
        <w:spacing w:before="100" w:beforeAutospacing="1" w:after="100" w:afterAutospacing="1" w:line="240" w:lineRule="auto"/>
        <w:rPr>
          <w:rFonts w:ascii="Arial Black" w:eastAsia="Times New Roman" w:hAnsi="Arial Black"/>
          <w:b/>
          <w:bCs/>
          <w:sz w:val="28"/>
          <w:szCs w:val="28"/>
        </w:rPr>
      </w:pPr>
      <w:bookmarkStart w:id="559" w:name="_Hlk66949804"/>
      <w:r w:rsidRPr="00493410">
        <w:rPr>
          <w:rFonts w:ascii="Arial Black" w:eastAsia="Times New Roman" w:hAnsi="Arial Black"/>
          <w:b/>
          <w:bCs/>
          <w:sz w:val="28"/>
          <w:szCs w:val="28"/>
        </w:rPr>
        <w:t xml:space="preserve">TX: </w:t>
      </w:r>
      <w:r>
        <w:rPr>
          <w:rFonts w:ascii="Arial Black" w:eastAsia="Times New Roman" w:hAnsi="Arial Black"/>
          <w:b/>
          <w:bCs/>
          <w:sz w:val="28"/>
          <w:szCs w:val="28"/>
        </w:rPr>
        <w:t>RECRUIT BROKE ANKLE TRAINING RUN, RESIGNED - CLAIMS HARASSED BY LIEUTENANT – AN “ISOLATED INCIDENT” - DISMISSED</w:t>
      </w:r>
    </w:p>
    <w:p w14:paraId="5D4BFDA3" w14:textId="77777777" w:rsidR="00102FD0" w:rsidRDefault="00102FD0" w:rsidP="00102FD0">
      <w:pPr>
        <w:spacing w:before="100" w:beforeAutospacing="1" w:after="100" w:afterAutospacing="1" w:line="240" w:lineRule="auto"/>
        <w:rPr>
          <w:rFonts w:ascii="Times New Roman" w:eastAsia="Times New Roman" w:hAnsi="Times New Roman"/>
          <w:sz w:val="24"/>
          <w:szCs w:val="24"/>
        </w:rPr>
      </w:pPr>
      <w:r w:rsidRPr="00493410">
        <w:rPr>
          <w:rFonts w:ascii="Times New Roman" w:eastAsia="Times New Roman" w:hAnsi="Times New Roman"/>
          <w:sz w:val="24"/>
          <w:szCs w:val="24"/>
        </w:rPr>
        <w:t xml:space="preserve">On Oct. 14, 2020, in </w:t>
      </w:r>
      <w:r w:rsidRPr="00493410">
        <w:rPr>
          <w:rFonts w:ascii="Times New Roman" w:eastAsia="Times New Roman" w:hAnsi="Times New Roman"/>
          <w:sz w:val="24"/>
          <w:szCs w:val="24"/>
          <w:u w:val="single"/>
        </w:rPr>
        <w:t>Bryce Baker v. City of Arlington</w:t>
      </w:r>
      <w:r>
        <w:rPr>
          <w:rFonts w:ascii="Times New Roman" w:eastAsia="Times New Roman" w:hAnsi="Times New Roman"/>
          <w:sz w:val="24"/>
          <w:szCs w:val="24"/>
        </w:rPr>
        <w:t xml:space="preserve">, U.S. District Court Judge Mark T. Pittman, Northern District of Texas, granted the City’s motion to dismiss.  The recruit broke his ankle during a training run and resigned; he claims that prior to injury, Training Lieutenant harassed him in front of recruit class about having </w:t>
      </w:r>
      <w:r>
        <w:rPr>
          <w:rFonts w:ascii="Times New Roman" w:eastAsia="Times New Roman" w:hAnsi="Times New Roman"/>
          <w:sz w:val="24"/>
          <w:szCs w:val="24"/>
        </w:rPr>
        <w:lastRenderedPageBreak/>
        <w:t xml:space="preserve">joined in a class action lawsuit against </w:t>
      </w:r>
      <w:proofErr w:type="gramStart"/>
      <w:r>
        <w:rPr>
          <w:rFonts w:ascii="Times New Roman" w:eastAsia="Times New Roman" w:hAnsi="Times New Roman"/>
          <w:sz w:val="24"/>
          <w:szCs w:val="24"/>
        </w:rPr>
        <w:t>City, and</w:t>
      </w:r>
      <w:proofErr w:type="gramEnd"/>
      <w:r>
        <w:rPr>
          <w:rFonts w:ascii="Times New Roman" w:eastAsia="Times New Roman" w:hAnsi="Times New Roman"/>
          <w:sz w:val="24"/>
          <w:szCs w:val="24"/>
        </w:rPr>
        <w:t xml:space="preserve"> following the injury urging him to resign.  Case dismissed; isolated acts by training officer does not prove City endorses such conduct.   </w:t>
      </w:r>
    </w:p>
    <w:bookmarkEnd w:id="559"/>
    <w:p w14:paraId="474E4CD4" w14:textId="77777777" w:rsidR="00102FD0" w:rsidRDefault="00102FD0" w:rsidP="00102FD0">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E40DB8">
        <w:rPr>
          <w:rFonts w:ascii="Times New Roman" w:hAnsi="Times New Roman"/>
          <w:sz w:val="24"/>
          <w:szCs w:val="24"/>
        </w:rPr>
        <w:t xml:space="preserve">Baker asserts a single claim against Arlington for First Amendment retaliation under 42 U.S.C. § 1983. </w:t>
      </w:r>
      <w:proofErr w:type="spellStart"/>
      <w:r w:rsidRPr="00E40DB8">
        <w:rPr>
          <w:rFonts w:ascii="Times New Roman" w:hAnsi="Times New Roman"/>
          <w:sz w:val="24"/>
          <w:szCs w:val="24"/>
        </w:rPr>
        <w:t>Compl</w:t>
      </w:r>
      <w:proofErr w:type="spellEnd"/>
      <w:r w:rsidRPr="00E40DB8">
        <w:rPr>
          <w:rFonts w:ascii="Times New Roman" w:hAnsi="Times New Roman"/>
          <w:sz w:val="24"/>
          <w:szCs w:val="24"/>
        </w:rPr>
        <w:t xml:space="preserve">. </w:t>
      </w:r>
      <w:proofErr w:type="gramStart"/>
      <w:r w:rsidRPr="00E40DB8">
        <w:rPr>
          <w:rFonts w:ascii="Times New Roman" w:hAnsi="Times New Roman"/>
          <w:sz w:val="24"/>
          <w:szCs w:val="24"/>
        </w:rPr>
        <w:t>at ¶¶</w:t>
      </w:r>
      <w:proofErr w:type="gramEnd"/>
      <w:r w:rsidRPr="00E40DB8">
        <w:rPr>
          <w:rFonts w:ascii="Times New Roman" w:hAnsi="Times New Roman"/>
          <w:sz w:val="24"/>
          <w:szCs w:val="24"/>
        </w:rPr>
        <w:t xml:space="preserve"> 20-24. However, as explained below, Arlington cannot be held liable under </w:t>
      </w:r>
      <w:r w:rsidRPr="00E40DB8">
        <w:rPr>
          <w:rFonts w:ascii="Times New Roman" w:hAnsi="Times New Roman"/>
          <w:i/>
          <w:iCs/>
          <w:sz w:val="24"/>
          <w:szCs w:val="24"/>
        </w:rPr>
        <w:t>Monell</w:t>
      </w:r>
      <w:r w:rsidRPr="00E40DB8">
        <w:rPr>
          <w:rFonts w:ascii="Times New Roman" w:hAnsi="Times New Roman"/>
          <w:sz w:val="24"/>
          <w:szCs w:val="24"/>
        </w:rPr>
        <w:t xml:space="preserve"> because Baker </w:t>
      </w:r>
      <w:proofErr w:type="gramStart"/>
      <w:r w:rsidRPr="00E40DB8">
        <w:rPr>
          <w:rFonts w:ascii="Times New Roman" w:hAnsi="Times New Roman"/>
          <w:sz w:val="24"/>
          <w:szCs w:val="24"/>
        </w:rPr>
        <w:t>actually pleaded</w:t>
      </w:r>
      <w:proofErr w:type="gramEnd"/>
      <w:r w:rsidRPr="00E40DB8">
        <w:rPr>
          <w:rFonts w:ascii="Times New Roman" w:hAnsi="Times New Roman"/>
          <w:sz w:val="24"/>
          <w:szCs w:val="24"/>
        </w:rPr>
        <w:t xml:space="preserve"> a policy </w:t>
      </w:r>
      <w:r w:rsidRPr="00E40DB8">
        <w:rPr>
          <w:rFonts w:ascii="Times New Roman" w:hAnsi="Times New Roman"/>
          <w:b/>
          <w:bCs/>
          <w:i/>
          <w:iCs/>
          <w:sz w:val="24"/>
          <w:szCs w:val="24"/>
        </w:rPr>
        <w:t>against</w:t>
      </w:r>
      <w:r w:rsidRPr="00E40DB8">
        <w:rPr>
          <w:rFonts w:ascii="Times New Roman" w:hAnsi="Times New Roman"/>
          <w:sz w:val="24"/>
          <w:szCs w:val="24"/>
        </w:rPr>
        <w:t xml:space="preserve"> the harassment Baker alleges. </w:t>
      </w:r>
      <w:r w:rsidRPr="00E40DB8">
        <w:rPr>
          <w:rFonts w:ascii="Times New Roman" w:hAnsi="Times New Roman"/>
          <w:i/>
          <w:iCs/>
          <w:sz w:val="24"/>
          <w:szCs w:val="24"/>
        </w:rPr>
        <w:t>Id</w:t>
      </w:r>
      <w:r w:rsidRPr="00E40DB8">
        <w:rPr>
          <w:rFonts w:ascii="Times New Roman" w:hAnsi="Times New Roman"/>
          <w:sz w:val="24"/>
          <w:szCs w:val="24"/>
        </w:rPr>
        <w:t>. at ¶ 18. Further, Baker's bare allegation that Lt. Price is a policymaker is conclusory and, as such, is insufficient to state a claim.</w:t>
      </w:r>
    </w:p>
    <w:p w14:paraId="21E62919" w14:textId="77777777" w:rsidR="00102FD0" w:rsidRPr="00E40DB8" w:rsidRDefault="00102FD0" w:rsidP="00102FD0">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w:t>
      </w:r>
    </w:p>
    <w:p w14:paraId="30329BAB" w14:textId="15C373E2" w:rsidR="00102FD0" w:rsidRDefault="00102FD0" w:rsidP="00102FD0">
      <w:pPr>
        <w:pStyle w:val="NoSpacing"/>
        <w:rPr>
          <w:sz w:val="24"/>
          <w:szCs w:val="24"/>
        </w:rPr>
      </w:pPr>
      <w:r w:rsidRPr="0037516D">
        <w:rPr>
          <w:rFonts w:ascii="Times New Roman" w:eastAsia="Times New Roman" w:hAnsi="Times New Roman"/>
          <w:sz w:val="24"/>
          <w:szCs w:val="24"/>
        </w:rPr>
        <w:t xml:space="preserve">Further, Arlington cannot be held liable under § 1983 for an isolated incident involving one of its employees. Under § 1983, "isolated unconstitutional actions by municipal employees will almost never trigger liability." </w:t>
      </w:r>
      <w:r w:rsidRPr="0037516D">
        <w:rPr>
          <w:rFonts w:ascii="Times New Roman" w:eastAsia="Times New Roman" w:hAnsi="Times New Roman"/>
          <w:i/>
          <w:iCs/>
          <w:sz w:val="24"/>
          <w:szCs w:val="24"/>
        </w:rPr>
        <w:t>Piotrowski</w:t>
      </w:r>
      <w:r w:rsidRPr="0037516D">
        <w:rPr>
          <w:rFonts w:ascii="Times New Roman" w:eastAsia="Times New Roman" w:hAnsi="Times New Roman"/>
          <w:sz w:val="24"/>
          <w:szCs w:val="24"/>
        </w:rPr>
        <w:t xml:space="preserve">, 237 F.3d at 578. Arlington makes this argument in its Motion to Dismiss when it states that Baker's claims are </w:t>
      </w:r>
      <w:r>
        <w:rPr>
          <w:rFonts w:ascii="Times New Roman" w:eastAsia="Times New Roman" w:hAnsi="Times New Roman"/>
          <w:sz w:val="24"/>
          <w:szCs w:val="24"/>
        </w:rPr>
        <w:t>‘</w:t>
      </w:r>
      <w:r w:rsidRPr="0037516D">
        <w:rPr>
          <w:rFonts w:ascii="Times New Roman" w:eastAsia="Times New Roman" w:hAnsi="Times New Roman"/>
          <w:sz w:val="24"/>
          <w:szCs w:val="24"/>
        </w:rPr>
        <w:t>directed at a single former Arlington employee—a fire department trainer.</w:t>
      </w:r>
      <w:r>
        <w:rPr>
          <w:rFonts w:ascii="Times New Roman" w:eastAsia="Times New Roman" w:hAnsi="Times New Roman"/>
          <w:sz w:val="24"/>
          <w:szCs w:val="24"/>
        </w:rPr>
        <w:t>’</w:t>
      </w:r>
      <w:r w:rsidRPr="0037516D">
        <w:rPr>
          <w:rFonts w:ascii="Times New Roman" w:eastAsia="Times New Roman" w:hAnsi="Times New Roman"/>
          <w:sz w:val="24"/>
          <w:szCs w:val="24"/>
        </w:rPr>
        <w:t xml:space="preserve"> MTD at ¶ 2.01. Baker fails to plead any facts that the alleged harassment and badgering were</w:t>
      </w:r>
      <w:r w:rsidRPr="00E911C8">
        <w:rPr>
          <w:rFonts w:ascii="Times New Roman" w:eastAsia="Times New Roman" w:hAnsi="Times New Roman"/>
          <w:sz w:val="24"/>
          <w:szCs w:val="24"/>
        </w:rPr>
        <w:t xml:space="preserve"> </w:t>
      </w:r>
      <w:r w:rsidRPr="0037516D">
        <w:rPr>
          <w:rFonts w:ascii="Times New Roman" w:eastAsia="Times New Roman" w:hAnsi="Times New Roman"/>
          <w:sz w:val="24"/>
          <w:szCs w:val="24"/>
        </w:rPr>
        <w:t xml:space="preserve">anything more than an isolated situation between one trainer and one employee. These isolated acts of one employee do not constitute </w:t>
      </w:r>
      <w:r>
        <w:rPr>
          <w:rFonts w:ascii="Times New Roman" w:eastAsia="Times New Roman" w:hAnsi="Times New Roman"/>
          <w:sz w:val="24"/>
          <w:szCs w:val="24"/>
        </w:rPr>
        <w:t>‘</w:t>
      </w:r>
      <w:r w:rsidRPr="0037516D">
        <w:rPr>
          <w:rFonts w:ascii="Times New Roman" w:eastAsia="Times New Roman" w:hAnsi="Times New Roman"/>
          <w:sz w:val="24"/>
          <w:szCs w:val="24"/>
        </w:rPr>
        <w:t>widespread practice</w:t>
      </w:r>
      <w:r>
        <w:rPr>
          <w:rFonts w:ascii="Times New Roman" w:eastAsia="Times New Roman" w:hAnsi="Times New Roman"/>
          <w:sz w:val="24"/>
          <w:szCs w:val="24"/>
        </w:rPr>
        <w:t>’</w:t>
      </w:r>
      <w:r w:rsidRPr="0037516D">
        <w:rPr>
          <w:rFonts w:ascii="Times New Roman" w:eastAsia="Times New Roman" w:hAnsi="Times New Roman"/>
          <w:sz w:val="24"/>
          <w:szCs w:val="24"/>
        </w:rPr>
        <w:t xml:space="preserve"> and thus cannot be said to qualify as a custom under </w:t>
      </w:r>
      <w:r w:rsidRPr="0037516D">
        <w:rPr>
          <w:rFonts w:ascii="Times New Roman" w:eastAsia="Times New Roman" w:hAnsi="Times New Roman"/>
          <w:i/>
          <w:iCs/>
          <w:sz w:val="24"/>
          <w:szCs w:val="24"/>
        </w:rPr>
        <w:t>Monell</w:t>
      </w:r>
      <w:r w:rsidRPr="0037516D">
        <w:rPr>
          <w:rFonts w:ascii="Times New Roman" w:eastAsia="Times New Roman" w:hAnsi="Times New Roman"/>
          <w:sz w:val="24"/>
          <w:szCs w:val="24"/>
        </w:rPr>
        <w:t xml:space="preserve">. </w:t>
      </w:r>
      <w:r w:rsidRPr="0037516D">
        <w:rPr>
          <w:rFonts w:ascii="Times New Roman" w:eastAsia="Times New Roman" w:hAnsi="Times New Roman"/>
          <w:i/>
          <w:iCs/>
          <w:sz w:val="24"/>
          <w:szCs w:val="24"/>
        </w:rPr>
        <w:t>See Peterson</w:t>
      </w:r>
      <w:r w:rsidRPr="0037516D">
        <w:rPr>
          <w:rFonts w:ascii="Times New Roman" w:eastAsia="Times New Roman" w:hAnsi="Times New Roman"/>
          <w:sz w:val="24"/>
          <w:szCs w:val="24"/>
        </w:rPr>
        <w:t xml:space="preserve">, 588 F.3d at 847. Therefore, the Court finds that Baker did not plead sufficient facts to identify any official Arlington policies or customs actionable under § 1983. Arlington's Motion to Dismiss should be and hereby is </w:t>
      </w:r>
      <w:r w:rsidRPr="0037516D">
        <w:rPr>
          <w:rFonts w:ascii="Times New Roman" w:eastAsia="Times New Roman" w:hAnsi="Times New Roman"/>
          <w:b/>
          <w:bCs/>
          <w:sz w:val="24"/>
          <w:szCs w:val="24"/>
        </w:rPr>
        <w:t>GRANTED.</w:t>
      </w:r>
      <w:r>
        <w:rPr>
          <w:rFonts w:ascii="Times New Roman" w:eastAsia="Times New Roman" w:hAnsi="Times New Roman"/>
          <w:b/>
          <w:bCs/>
          <w:sz w:val="24"/>
          <w:szCs w:val="24"/>
        </w:rPr>
        <w:t xml:space="preserve">” </w:t>
      </w:r>
      <w:bookmarkStart w:id="560" w:name="_Hlk66949840"/>
      <w:r w:rsidR="00F00958">
        <w:fldChar w:fldCharType="begin"/>
      </w:r>
      <w:r w:rsidR="00F00958">
        <w:instrText xml:space="preserve"> HYPERLINK "https://public.fastcase.com/Wl%2B2t%2BeVuI35%2FN70vAMFZnHSF8BEUL1CjKubfF2B3NrqkfafOcq09oBO0aW1DE51" </w:instrText>
      </w:r>
      <w:r w:rsidR="00F00958">
        <w:fldChar w:fldCharType="separate"/>
      </w:r>
      <w:r w:rsidRPr="00E911C8">
        <w:rPr>
          <w:rStyle w:val="Hyperlink"/>
          <w:rFonts w:ascii="Times New Roman" w:eastAsia="Times New Roman" w:hAnsi="Times New Roman"/>
          <w:sz w:val="24"/>
          <w:szCs w:val="24"/>
        </w:rPr>
        <w:t>https://public.fastcase.com/Wl%2B2t%2BeVuI35%2FN70vAMFZnHSF8BEUL1CjKubfF2B3NrqkfafOcq09oBO0aW1DE51</w:t>
      </w:r>
      <w:r w:rsidR="00F00958">
        <w:rPr>
          <w:rStyle w:val="Hyperlink"/>
          <w:rFonts w:ascii="Times New Roman" w:eastAsia="Times New Roman" w:hAnsi="Times New Roman"/>
          <w:sz w:val="24"/>
          <w:szCs w:val="24"/>
        </w:rPr>
        <w:fldChar w:fldCharType="end"/>
      </w:r>
    </w:p>
    <w:p w14:paraId="5F9BD153" w14:textId="77777777" w:rsidR="00102FD0" w:rsidRPr="00E40DB8" w:rsidRDefault="00102FD0" w:rsidP="00102FD0">
      <w:pPr>
        <w:spacing w:before="100" w:beforeAutospacing="1" w:after="100" w:afterAutospacing="1" w:line="240" w:lineRule="auto"/>
        <w:rPr>
          <w:rFonts w:ascii="Times New Roman" w:eastAsia="Times New Roman" w:hAnsi="Times New Roman"/>
          <w:b/>
          <w:bCs/>
          <w:sz w:val="24"/>
          <w:szCs w:val="24"/>
        </w:rPr>
      </w:pPr>
      <w:bookmarkStart w:id="561" w:name="_Hlk7348114"/>
      <w:r w:rsidRPr="00E40DB8">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Isolated acts by training lieutenant, while unfortunate, do not establish a basis for liability of the City.  </w:t>
      </w:r>
    </w:p>
    <w:bookmarkEnd w:id="560"/>
    <w:p w14:paraId="52238CA7" w14:textId="07C27398" w:rsidR="00102FD0" w:rsidRDefault="00102FD0" w:rsidP="00F326E5">
      <w:pPr>
        <w:pStyle w:val="NoSpacing"/>
        <w:rPr>
          <w:rFonts w:ascii="Arial Black" w:hAnsi="Arial Black"/>
          <w:sz w:val="24"/>
          <w:szCs w:val="24"/>
        </w:rPr>
      </w:pPr>
    </w:p>
    <w:p w14:paraId="49D933D5" w14:textId="77777777" w:rsidR="00102FD0" w:rsidRDefault="00102FD0" w:rsidP="00F326E5">
      <w:pPr>
        <w:pStyle w:val="NoSpacing"/>
        <w:rPr>
          <w:rFonts w:ascii="Arial Black" w:hAnsi="Arial Black"/>
          <w:sz w:val="24"/>
          <w:szCs w:val="24"/>
        </w:rPr>
      </w:pPr>
    </w:p>
    <w:p w14:paraId="48BDA982" w14:textId="77777777" w:rsidR="00102FD0" w:rsidRDefault="00102FD0" w:rsidP="00F326E5">
      <w:pPr>
        <w:pStyle w:val="NoSpacing"/>
        <w:rPr>
          <w:rFonts w:ascii="Arial Black" w:hAnsi="Arial Black"/>
          <w:sz w:val="24"/>
          <w:szCs w:val="24"/>
        </w:rPr>
      </w:pPr>
    </w:p>
    <w:p w14:paraId="1220EFA7" w14:textId="38D7C56D" w:rsidR="002147DA" w:rsidRDefault="002147DA" w:rsidP="00F326E5">
      <w:pPr>
        <w:pStyle w:val="NoSpacing"/>
        <w:rPr>
          <w:rFonts w:ascii="Arial Black" w:hAnsi="Arial Black"/>
          <w:sz w:val="24"/>
          <w:szCs w:val="24"/>
        </w:rPr>
      </w:pPr>
      <w:r>
        <w:rPr>
          <w:rFonts w:ascii="Arial Black" w:hAnsi="Arial Black"/>
          <w:sz w:val="24"/>
          <w:szCs w:val="24"/>
        </w:rPr>
        <w:t>14-3 [Also posted, Chap. 7]</w:t>
      </w:r>
    </w:p>
    <w:p w14:paraId="2FD32C62" w14:textId="535A793A" w:rsidR="002147DA" w:rsidRDefault="002147DA" w:rsidP="00F326E5">
      <w:pPr>
        <w:pStyle w:val="NoSpacing"/>
        <w:rPr>
          <w:rFonts w:ascii="Arial Black" w:hAnsi="Arial Black"/>
          <w:sz w:val="24"/>
          <w:szCs w:val="24"/>
        </w:rPr>
      </w:pPr>
    </w:p>
    <w:p w14:paraId="29E5536C" w14:textId="77777777" w:rsidR="002147DA" w:rsidRDefault="002147DA" w:rsidP="002147DA">
      <w:pPr>
        <w:pStyle w:val="NoSpacing"/>
        <w:rPr>
          <w:rFonts w:ascii="Arial Black" w:hAnsi="Arial Black"/>
          <w:sz w:val="28"/>
          <w:szCs w:val="28"/>
        </w:rPr>
      </w:pPr>
      <w:bookmarkStart w:id="562" w:name="_Hlk39772505"/>
      <w:r>
        <w:rPr>
          <w:rFonts w:ascii="Arial Black" w:hAnsi="Arial Black"/>
          <w:sz w:val="28"/>
          <w:szCs w:val="28"/>
        </w:rPr>
        <w:t xml:space="preserve">AL:  PREGNANT EMT – DENIED LIGHT DUTY – AMR CO. PROVIDES ONLY INJURED ON JOB - LAWSUIT REINSTATED </w:t>
      </w:r>
    </w:p>
    <w:p w14:paraId="5DBE0DC1" w14:textId="77777777" w:rsidR="002147DA" w:rsidRDefault="002147DA" w:rsidP="002147DA">
      <w:pPr>
        <w:pStyle w:val="NoSpacing"/>
        <w:rPr>
          <w:b/>
          <w:bCs/>
          <w:sz w:val="24"/>
          <w:szCs w:val="24"/>
        </w:rPr>
      </w:pPr>
    </w:p>
    <w:p w14:paraId="5F2295CE" w14:textId="77777777" w:rsidR="002147DA" w:rsidRPr="00AE3A49" w:rsidRDefault="002147DA" w:rsidP="002147DA">
      <w:pPr>
        <w:pStyle w:val="NoSpacing"/>
        <w:rPr>
          <w:rFonts w:ascii="Times New Roman" w:hAnsi="Times New Roman"/>
          <w:b/>
          <w:bCs/>
          <w:sz w:val="24"/>
          <w:szCs w:val="24"/>
        </w:rPr>
      </w:pPr>
      <w:r w:rsidRPr="00AE3A49">
        <w:rPr>
          <w:rFonts w:ascii="Times New Roman" w:hAnsi="Times New Roman"/>
          <w:bCs/>
          <w:sz w:val="24"/>
          <w:szCs w:val="24"/>
        </w:rPr>
        <w:t xml:space="preserve">On April 17, 2020, in </w:t>
      </w:r>
      <w:r w:rsidRPr="00AE3A49">
        <w:rPr>
          <w:rFonts w:ascii="Times New Roman" w:hAnsi="Times New Roman"/>
          <w:bCs/>
          <w:sz w:val="24"/>
          <w:szCs w:val="24"/>
          <w:u w:val="single"/>
        </w:rPr>
        <w:t>Kimberlie Michelle Durham v. Rural/Metro Corporation</w:t>
      </w:r>
      <w:r w:rsidRPr="00AE3A49">
        <w:rPr>
          <w:rFonts w:ascii="Times New Roman" w:hAnsi="Times New Roman"/>
          <w:bCs/>
          <w:sz w:val="24"/>
          <w:szCs w:val="24"/>
        </w:rPr>
        <w:t>, the U.S. Court of Appeals for the 11</w:t>
      </w:r>
      <w:r w:rsidRPr="00AE3A49">
        <w:rPr>
          <w:rFonts w:ascii="Times New Roman" w:hAnsi="Times New Roman"/>
          <w:bCs/>
          <w:sz w:val="24"/>
          <w:szCs w:val="24"/>
          <w:vertAlign w:val="superscript"/>
        </w:rPr>
        <w:t>th</w:t>
      </w:r>
      <w:r w:rsidRPr="00AE3A49">
        <w:rPr>
          <w:rFonts w:ascii="Times New Roman" w:hAnsi="Times New Roman"/>
          <w:bCs/>
          <w:sz w:val="24"/>
          <w:szCs w:val="24"/>
        </w:rPr>
        <w:t xml:space="preserve"> Circuit (Atlanta) held (3 to 0) that the U.S. District Court judge had improperly granted summary judgment to AMR.  </w:t>
      </w:r>
    </w:p>
    <w:p w14:paraId="4CD9E0DE" w14:textId="77777777" w:rsidR="002147DA" w:rsidRDefault="002147DA" w:rsidP="002147DA">
      <w:pPr>
        <w:pStyle w:val="NoSpacing"/>
        <w:ind w:left="720"/>
        <w:rPr>
          <w:rFonts w:ascii="Times New Roman" w:hAnsi="Times New Roman"/>
          <w:bCs/>
          <w:sz w:val="24"/>
          <w:szCs w:val="24"/>
        </w:rPr>
      </w:pPr>
    </w:p>
    <w:p w14:paraId="5D94871A" w14:textId="77777777" w:rsidR="002147DA" w:rsidRPr="00AE3A49" w:rsidRDefault="002147DA" w:rsidP="002147DA">
      <w:pPr>
        <w:pStyle w:val="NoSpacing"/>
        <w:ind w:left="720"/>
        <w:rPr>
          <w:rFonts w:ascii="Times New Roman" w:hAnsi="Times New Roman"/>
          <w:sz w:val="24"/>
          <w:szCs w:val="24"/>
        </w:rPr>
      </w:pPr>
      <w:r w:rsidRPr="00AE3A49">
        <w:rPr>
          <w:rFonts w:ascii="Times New Roman" w:hAnsi="Times New Roman"/>
          <w:bCs/>
          <w:sz w:val="24"/>
          <w:szCs w:val="24"/>
        </w:rPr>
        <w:t>“We therefore vacate the grant of summary judgment. Neither a non-pregnant EMT who is limited to lifting 10 or 20 pounds nor a pregnant EMT who is restricted to lifting 50 pounds or less can lift the required 100 pounds to serve as an EMT. Since neither can meet the lifting requirement, they are the same in their ‘inability to work’ as an EMT. And that satisfies the plaintiff’s prima facie requirement to establish that she was ‘similar [to other employees] in their ability or inability to work.’</w:t>
      </w:r>
      <w:r w:rsidRPr="00AE3A49">
        <w:rPr>
          <w:rFonts w:ascii="Times New Roman" w:hAnsi="Times New Roman"/>
          <w:sz w:val="24"/>
          <w:szCs w:val="24"/>
        </w:rPr>
        <w:t xml:space="preserve">” </w:t>
      </w:r>
      <w:hyperlink r:id="rId2457" w:history="1">
        <w:r w:rsidRPr="00AE3A49">
          <w:rPr>
            <w:rStyle w:val="Hyperlink"/>
            <w:rFonts w:ascii="Times New Roman" w:hAnsi="Times New Roman"/>
            <w:b/>
            <w:sz w:val="24"/>
            <w:szCs w:val="24"/>
          </w:rPr>
          <w:t>http://media.ca11.uscourts.gov/opinions/pub/files/201814687.pdf</w:t>
        </w:r>
      </w:hyperlink>
      <w:r w:rsidRPr="00AE3A49">
        <w:rPr>
          <w:rFonts w:ascii="Times New Roman" w:hAnsi="Times New Roman"/>
          <w:sz w:val="24"/>
          <w:szCs w:val="24"/>
        </w:rPr>
        <w:t xml:space="preserve"> </w:t>
      </w:r>
    </w:p>
    <w:bookmarkEnd w:id="562"/>
    <w:p w14:paraId="260FE436" w14:textId="77777777" w:rsidR="002147DA" w:rsidRDefault="002147DA" w:rsidP="002147DA">
      <w:pPr>
        <w:pStyle w:val="NoSpacing"/>
        <w:rPr>
          <w:rFonts w:ascii="Times New Roman" w:hAnsi="Times New Roman"/>
          <w:b/>
          <w:bCs/>
          <w:sz w:val="24"/>
          <w:szCs w:val="24"/>
        </w:rPr>
      </w:pPr>
    </w:p>
    <w:p w14:paraId="4AB2B772" w14:textId="77777777" w:rsidR="002147DA" w:rsidRPr="00AE3A49" w:rsidRDefault="002147DA" w:rsidP="002147DA">
      <w:pPr>
        <w:pStyle w:val="NoSpacing"/>
        <w:rPr>
          <w:rFonts w:ascii="Times New Roman" w:hAnsi="Times New Roman"/>
          <w:b/>
          <w:bCs/>
          <w:sz w:val="24"/>
          <w:szCs w:val="24"/>
        </w:rPr>
      </w:pPr>
      <w:r w:rsidRPr="00AE3A49">
        <w:rPr>
          <w:rFonts w:ascii="Times New Roman" w:hAnsi="Times New Roman"/>
          <w:b/>
          <w:bCs/>
          <w:sz w:val="24"/>
          <w:szCs w:val="24"/>
        </w:rPr>
        <w:t xml:space="preserve">Legal Lessons Learned: Congress in enacting the Pregnancy Discrimination Act did not specifically address the issue of light-duty; hopefully the U.S. Supreme Court will ultimately give clear direction on this issue.  </w:t>
      </w:r>
    </w:p>
    <w:p w14:paraId="4534635C" w14:textId="77777777" w:rsidR="002147DA" w:rsidRDefault="002147DA" w:rsidP="002147DA">
      <w:pPr>
        <w:rPr>
          <w:rFonts w:ascii="Arial Black" w:hAnsi="Arial Black"/>
          <w:b/>
          <w:sz w:val="24"/>
          <w:szCs w:val="24"/>
        </w:rPr>
      </w:pPr>
    </w:p>
    <w:p w14:paraId="50E986CD" w14:textId="77777777" w:rsidR="002147DA" w:rsidRDefault="002147DA" w:rsidP="00F326E5">
      <w:pPr>
        <w:pStyle w:val="NoSpacing"/>
        <w:rPr>
          <w:rFonts w:ascii="Arial Black" w:hAnsi="Arial Black"/>
          <w:sz w:val="24"/>
          <w:szCs w:val="24"/>
        </w:rPr>
      </w:pPr>
    </w:p>
    <w:p w14:paraId="6F163196" w14:textId="77777777" w:rsidR="002147DA" w:rsidRDefault="002147DA" w:rsidP="00F326E5">
      <w:pPr>
        <w:pStyle w:val="NoSpacing"/>
        <w:rPr>
          <w:rFonts w:ascii="Arial Black" w:hAnsi="Arial Black"/>
          <w:sz w:val="24"/>
          <w:szCs w:val="24"/>
        </w:rPr>
      </w:pPr>
    </w:p>
    <w:p w14:paraId="6050DC6B" w14:textId="77777777" w:rsidR="002147DA" w:rsidRDefault="002147DA" w:rsidP="00F326E5">
      <w:pPr>
        <w:pStyle w:val="NoSpacing"/>
        <w:rPr>
          <w:rFonts w:ascii="Arial Black" w:hAnsi="Arial Black"/>
          <w:sz w:val="24"/>
          <w:szCs w:val="24"/>
        </w:rPr>
      </w:pPr>
    </w:p>
    <w:p w14:paraId="4E9E9E58" w14:textId="41792A19" w:rsidR="00DE0F03" w:rsidRDefault="00DE0F03" w:rsidP="00F326E5">
      <w:pPr>
        <w:pStyle w:val="NoSpacing"/>
        <w:rPr>
          <w:rFonts w:ascii="Arial Black" w:hAnsi="Arial Black"/>
          <w:sz w:val="28"/>
          <w:szCs w:val="28"/>
        </w:rPr>
      </w:pPr>
      <w:r>
        <w:rPr>
          <w:rFonts w:ascii="Arial Black" w:hAnsi="Arial Black"/>
          <w:sz w:val="24"/>
          <w:szCs w:val="24"/>
        </w:rPr>
        <w:t>14-2</w:t>
      </w:r>
    </w:p>
    <w:p w14:paraId="0A3AF1F3" w14:textId="77777777" w:rsidR="00DE0F03" w:rsidRDefault="00DE0F03" w:rsidP="00F326E5">
      <w:pPr>
        <w:pStyle w:val="NoSpacing"/>
        <w:rPr>
          <w:rFonts w:ascii="Arial Black" w:hAnsi="Arial Black"/>
          <w:sz w:val="28"/>
          <w:szCs w:val="28"/>
        </w:rPr>
      </w:pPr>
    </w:p>
    <w:p w14:paraId="689BFEC0" w14:textId="6A722DB6" w:rsidR="00F326E5" w:rsidRDefault="00F326E5" w:rsidP="00F326E5">
      <w:pPr>
        <w:pStyle w:val="NoSpacing"/>
        <w:rPr>
          <w:rFonts w:ascii="Arial Black" w:hAnsi="Arial Black"/>
          <w:b/>
          <w:sz w:val="24"/>
          <w:szCs w:val="24"/>
        </w:rPr>
      </w:pPr>
      <w:bookmarkStart w:id="563" w:name="_Hlk39772584"/>
      <w:bookmarkStart w:id="564" w:name="_Hlk66949967"/>
      <w:r w:rsidRPr="0010462B">
        <w:rPr>
          <w:rFonts w:ascii="Arial Black" w:hAnsi="Arial Black"/>
          <w:sz w:val="28"/>
          <w:szCs w:val="28"/>
        </w:rPr>
        <w:t>NY</w:t>
      </w:r>
      <w:r>
        <w:rPr>
          <w:rFonts w:ascii="Arial Black" w:hAnsi="Arial Black"/>
          <w:sz w:val="28"/>
          <w:szCs w:val="28"/>
        </w:rPr>
        <w:t xml:space="preserve">: </w:t>
      </w:r>
      <w:r w:rsidRPr="0010462B">
        <w:rPr>
          <w:rFonts w:ascii="Arial Black" w:hAnsi="Arial Black"/>
          <w:sz w:val="28"/>
          <w:szCs w:val="28"/>
        </w:rPr>
        <w:t>FDNY RECRUIT DIED DURING PHYSICAL EXERCISES –</w:t>
      </w:r>
      <w:r>
        <w:rPr>
          <w:rFonts w:ascii="Arial Black" w:hAnsi="Arial Black"/>
          <w:sz w:val="28"/>
          <w:szCs w:val="28"/>
        </w:rPr>
        <w:t xml:space="preserve"> </w:t>
      </w:r>
      <w:r w:rsidRPr="0010462B">
        <w:rPr>
          <w:rFonts w:ascii="Arial Black" w:hAnsi="Arial Black"/>
          <w:sz w:val="28"/>
          <w:szCs w:val="28"/>
        </w:rPr>
        <w:t>HEART CONDITION</w:t>
      </w:r>
      <w:r w:rsidR="0016102B">
        <w:rPr>
          <w:rFonts w:ascii="Arial Black" w:hAnsi="Arial Black"/>
          <w:sz w:val="28"/>
          <w:szCs w:val="28"/>
        </w:rPr>
        <w:t xml:space="preserve"> – DEATH CLAIM DENIED </w:t>
      </w:r>
      <w:r w:rsidRPr="0010462B">
        <w:rPr>
          <w:rFonts w:ascii="Arial Black" w:hAnsi="Arial Black"/>
          <w:sz w:val="28"/>
          <w:szCs w:val="28"/>
        </w:rPr>
        <w:t xml:space="preserve"> </w:t>
      </w:r>
      <w:r w:rsidRPr="0010462B">
        <w:rPr>
          <w:b/>
          <w:sz w:val="24"/>
          <w:szCs w:val="24"/>
        </w:rPr>
        <w:t>[also filed, Chap. 2]</w:t>
      </w:r>
      <w:r>
        <w:rPr>
          <w:b/>
          <w:sz w:val="24"/>
          <w:szCs w:val="24"/>
        </w:rPr>
        <w:t xml:space="preserve">  </w:t>
      </w:r>
    </w:p>
    <w:p w14:paraId="47AFA6A8" w14:textId="77777777" w:rsidR="00BC17B3" w:rsidRDefault="00F326E5" w:rsidP="00F326E5">
      <w:pPr>
        <w:pStyle w:val="NoSpacing"/>
        <w:rPr>
          <w:rFonts w:ascii="Times New Roman" w:hAnsi="Times New Roman"/>
          <w:sz w:val="24"/>
          <w:szCs w:val="24"/>
        </w:rPr>
      </w:pPr>
      <w:r w:rsidRPr="00BC17B3">
        <w:rPr>
          <w:rFonts w:ascii="Times New Roman" w:hAnsi="Times New Roman"/>
          <w:sz w:val="24"/>
          <w:szCs w:val="24"/>
        </w:rPr>
        <w:t xml:space="preserve">On April 10, 2018, in </w:t>
      </w:r>
      <w:r w:rsidRPr="00BC17B3">
        <w:rPr>
          <w:rFonts w:ascii="Times New Roman" w:hAnsi="Times New Roman"/>
          <w:sz w:val="24"/>
          <w:szCs w:val="24"/>
          <w:u w:val="single"/>
        </w:rPr>
        <w:t>Sherita Sears v. The City of New York</w:t>
      </w:r>
      <w:r w:rsidRPr="00BC17B3">
        <w:rPr>
          <w:rFonts w:ascii="Times New Roman" w:hAnsi="Times New Roman"/>
          <w:sz w:val="24"/>
          <w:szCs w:val="24"/>
        </w:rPr>
        <w:t>, the Appellate Division of the Supreme Court of State of New York (5 to 0) denied the death claim, holding:</w:t>
      </w:r>
    </w:p>
    <w:p w14:paraId="6CB8C7EC" w14:textId="77777777" w:rsidR="00BC17B3" w:rsidRDefault="00BC17B3" w:rsidP="00F326E5">
      <w:pPr>
        <w:pStyle w:val="NoSpacing"/>
        <w:rPr>
          <w:rFonts w:ascii="Times New Roman" w:hAnsi="Times New Roman"/>
          <w:sz w:val="24"/>
          <w:szCs w:val="24"/>
        </w:rPr>
      </w:pPr>
    </w:p>
    <w:p w14:paraId="4388EBE2" w14:textId="07DAA917" w:rsidR="00F326E5" w:rsidRPr="00BC17B3" w:rsidRDefault="00F326E5" w:rsidP="00BC17B3">
      <w:pPr>
        <w:pStyle w:val="NoSpacing"/>
        <w:ind w:left="720"/>
        <w:rPr>
          <w:rFonts w:ascii="Times New Roman" w:hAnsi="Times New Roman"/>
          <w:sz w:val="24"/>
          <w:szCs w:val="24"/>
        </w:rPr>
      </w:pPr>
      <w:r w:rsidRPr="00BC17B3">
        <w:rPr>
          <w:rFonts w:ascii="Times New Roman" w:hAnsi="Times New Roman"/>
          <w:sz w:val="24"/>
          <w:szCs w:val="24"/>
        </w:rPr>
        <w:t>“Plaintiff is not entitled to recover under GML §</w:t>
      </w:r>
      <w:r w:rsidRPr="00BC17B3">
        <w:rPr>
          <w:rFonts w:ascii="Times New Roman" w:hAnsi="Times New Roman"/>
          <w:sz w:val="24"/>
          <w:szCs w:val="24"/>
        </w:rPr>
        <w:t> </w:t>
      </w:r>
      <w:r w:rsidRPr="00BC17B3">
        <w:rPr>
          <w:rFonts w:ascii="Times New Roman" w:hAnsi="Times New Roman"/>
          <w:sz w:val="24"/>
          <w:szCs w:val="24"/>
        </w:rPr>
        <w:t>205–a, as the injuries decedent sustained were not the type of occupational injury that Labor Law §</w:t>
      </w:r>
      <w:r w:rsidRPr="00BC17B3">
        <w:rPr>
          <w:rFonts w:ascii="Times New Roman" w:hAnsi="Times New Roman"/>
          <w:sz w:val="24"/>
          <w:szCs w:val="24"/>
        </w:rPr>
        <w:t> </w:t>
      </w:r>
      <w:r w:rsidRPr="00BC17B3">
        <w:rPr>
          <w:rFonts w:ascii="Times New Roman" w:hAnsi="Times New Roman"/>
          <w:sz w:val="24"/>
          <w:szCs w:val="24"/>
        </w:rPr>
        <w:t xml:space="preserve">27–a was designed to protect, but rather, arose from risks unique to firefighting work (Williams v. City of New York, 2 N.Y.3d 352, 368, 779 N.Y.S.2d 449, 811 N.E.2d 1103 [2004] ).”  </w:t>
      </w:r>
      <w:hyperlink r:id="rId2458" w:history="1">
        <w:r w:rsidRPr="00BC17B3">
          <w:rPr>
            <w:rStyle w:val="Hyperlink"/>
            <w:rFonts w:ascii="Times New Roman" w:hAnsi="Times New Roman"/>
            <w:sz w:val="24"/>
            <w:szCs w:val="24"/>
          </w:rPr>
          <w:t>https://caselaw.findlaw.com/ny-supreme-court-appellate-division/1893546.html</w:t>
        </w:r>
      </w:hyperlink>
      <w:bookmarkEnd w:id="563"/>
      <w:r w:rsidRPr="00BC17B3">
        <w:rPr>
          <w:rFonts w:ascii="Times New Roman" w:hAnsi="Times New Roman"/>
          <w:sz w:val="24"/>
          <w:szCs w:val="24"/>
        </w:rPr>
        <w:t xml:space="preserve"> </w:t>
      </w:r>
    </w:p>
    <w:bookmarkEnd w:id="564"/>
    <w:p w14:paraId="51234441" w14:textId="77777777" w:rsidR="00BC17B3" w:rsidRDefault="00BC17B3" w:rsidP="00F326E5">
      <w:pPr>
        <w:pStyle w:val="NoSpacing"/>
        <w:rPr>
          <w:rFonts w:ascii="Times New Roman" w:hAnsi="Times New Roman"/>
          <w:b/>
          <w:sz w:val="24"/>
          <w:szCs w:val="24"/>
        </w:rPr>
      </w:pPr>
    </w:p>
    <w:p w14:paraId="76CE18A9" w14:textId="64BD66F2" w:rsidR="00F326E5" w:rsidRPr="00BC17B3" w:rsidRDefault="00F326E5" w:rsidP="00F326E5">
      <w:pPr>
        <w:pStyle w:val="NoSpacing"/>
        <w:rPr>
          <w:rFonts w:ascii="Times New Roman" w:hAnsi="Times New Roman"/>
          <w:sz w:val="24"/>
          <w:szCs w:val="24"/>
        </w:rPr>
      </w:pPr>
      <w:bookmarkStart w:id="565" w:name="_Hlk66950038"/>
      <w:r w:rsidRPr="00BC17B3">
        <w:rPr>
          <w:rFonts w:ascii="Times New Roman" w:hAnsi="Times New Roman"/>
          <w:b/>
          <w:sz w:val="24"/>
          <w:szCs w:val="24"/>
        </w:rPr>
        <w:t>Legal Lessons Learned: The New York statute requires proof of “neglect, omission, willful or culpable negligence.”</w:t>
      </w:r>
      <w:r w:rsidRPr="00BC17B3">
        <w:rPr>
          <w:rFonts w:ascii="Times New Roman" w:hAnsi="Times New Roman"/>
          <w:sz w:val="24"/>
          <w:szCs w:val="24"/>
        </w:rPr>
        <w:t xml:space="preserve"> </w:t>
      </w:r>
    </w:p>
    <w:bookmarkEnd w:id="565"/>
    <w:p w14:paraId="058519D2" w14:textId="77777777" w:rsidR="0016102B" w:rsidRDefault="0016102B" w:rsidP="00F326E5">
      <w:pPr>
        <w:pStyle w:val="NoSpacing"/>
        <w:ind w:firstLine="720"/>
      </w:pPr>
    </w:p>
    <w:p w14:paraId="5B950A3F" w14:textId="4AF10FA7" w:rsidR="00F326E5" w:rsidRPr="00BC17B3" w:rsidRDefault="0016102B" w:rsidP="00F326E5">
      <w:pPr>
        <w:pStyle w:val="NoSpacing"/>
        <w:ind w:firstLine="720"/>
        <w:rPr>
          <w:rFonts w:ascii="Times New Roman" w:hAnsi="Times New Roman"/>
          <w:b/>
          <w:bCs/>
          <w:kern w:val="36"/>
          <w:sz w:val="24"/>
          <w:szCs w:val="24"/>
        </w:rPr>
      </w:pPr>
      <w:r w:rsidRPr="0016102B">
        <w:rPr>
          <w:rFonts w:ascii="Times New Roman" w:hAnsi="Times New Roman"/>
          <w:sz w:val="24"/>
          <w:szCs w:val="24"/>
        </w:rPr>
        <w:t>Note:</w:t>
      </w:r>
      <w:r>
        <w:t xml:space="preserve"> </w:t>
      </w:r>
      <w:hyperlink r:id="rId2459" w:history="1">
        <w:r w:rsidRPr="00AC42F8">
          <w:rPr>
            <w:rStyle w:val="Hyperlink"/>
            <w:rFonts w:ascii="Times New Roman" w:hAnsi="Times New Roman"/>
            <w:sz w:val="24"/>
            <w:szCs w:val="24"/>
          </w:rPr>
          <w:t>https://codes.findlaw.com/ny/general-municipal-law/gmu-sect-205-a.html</w:t>
        </w:r>
      </w:hyperlink>
      <w:r w:rsidR="00F326E5" w:rsidRPr="00BC17B3">
        <w:rPr>
          <w:rFonts w:ascii="Times New Roman" w:hAnsi="Times New Roman"/>
          <w:b/>
          <w:bCs/>
          <w:kern w:val="36"/>
          <w:sz w:val="24"/>
          <w:szCs w:val="24"/>
        </w:rPr>
        <w:t xml:space="preserve"> </w:t>
      </w:r>
    </w:p>
    <w:p w14:paraId="7FB700A7" w14:textId="77777777" w:rsidR="00F326E5" w:rsidRPr="00BC17B3" w:rsidRDefault="00F326E5" w:rsidP="00F326E5">
      <w:pPr>
        <w:pStyle w:val="NoSpacing"/>
        <w:ind w:left="720"/>
        <w:rPr>
          <w:rFonts w:ascii="Times New Roman" w:hAnsi="Times New Roman"/>
          <w:sz w:val="24"/>
          <w:szCs w:val="24"/>
        </w:rPr>
      </w:pPr>
      <w:r w:rsidRPr="00BC17B3">
        <w:rPr>
          <w:rFonts w:ascii="Times New Roman" w:eastAsia="Times New Roman" w:hAnsi="Times New Roman"/>
          <w:bCs/>
          <w:kern w:val="36"/>
          <w:sz w:val="24"/>
          <w:szCs w:val="24"/>
        </w:rPr>
        <w:t xml:space="preserve">New York Consolidated Laws, General Municipal Law - GMU § 205-a. Additional right of action to certain injured or representatives of certain deceased firefighters </w:t>
      </w:r>
      <w:r w:rsidRPr="00BC17B3">
        <w:rPr>
          <w:rFonts w:ascii="Times New Roman" w:hAnsi="Times New Roman"/>
          <w:sz w:val="24"/>
          <w:szCs w:val="24"/>
        </w:rPr>
        <w:t>“In addition to any other right of action or recovery under any other provision of law, in the event any accident, causing injury, death or a disease which results in death, occurs directly or indirectly as a result of any neglect, omission, willful or culpable negligence of any person or persons in failing to comply with the requirements of any of the statutes, ordinances, rules, orders and requirements of the federal, state, county, village, town or city governments or of any and all their departments, divisions and bureaus, the person or persons guilty of said neglect, omission, willful or culpable negligence at the time of such injury or death shall be liable to pay any officer, member, agent or employee of any fire department injured, or whose life may be lost while in the discharge or performance at any time or place of any duty imposed by the fire commissioner, fire chief or other superior officer of the fire department, or to pay to the wife and children, or to pay to the parents, or to pay to the brothers and sisters, being the surviving heirs-at-law of any deceased person thus having lost his life, a sum of money, in case of injury to person, not less than ten thousand dollars, and in case of death not less than forty thousand dollars, such liability to be determined and such sums recovered in an action to be instituted by any person injured or the family or relatives of any person killed as aforesaid.”</w:t>
      </w:r>
    </w:p>
    <w:bookmarkEnd w:id="561"/>
    <w:p w14:paraId="2AA10AD8" w14:textId="77777777" w:rsidR="00F326E5" w:rsidRPr="00BC17B3" w:rsidRDefault="00F326E5" w:rsidP="00F326E5">
      <w:pPr>
        <w:pStyle w:val="NoSpacing"/>
        <w:rPr>
          <w:rFonts w:ascii="Times New Roman" w:hAnsi="Times New Roman"/>
          <w:sz w:val="24"/>
          <w:szCs w:val="24"/>
        </w:rPr>
      </w:pPr>
    </w:p>
    <w:p w14:paraId="7F29C3D3" w14:textId="77777777" w:rsidR="00F326E5" w:rsidRDefault="00F326E5" w:rsidP="00F326E5">
      <w:pPr>
        <w:pStyle w:val="NoSpacing"/>
        <w:rPr>
          <w:sz w:val="24"/>
          <w:szCs w:val="24"/>
        </w:rPr>
      </w:pPr>
    </w:p>
    <w:p w14:paraId="3F3556C3" w14:textId="18997406" w:rsidR="00DE0F03" w:rsidRDefault="00DE0F03" w:rsidP="00DE0F03">
      <w:pPr>
        <w:pStyle w:val="NoSpacing"/>
        <w:rPr>
          <w:rFonts w:ascii="Arial Black" w:hAnsi="Arial Black"/>
          <w:sz w:val="24"/>
          <w:szCs w:val="24"/>
        </w:rPr>
      </w:pPr>
      <w:bookmarkStart w:id="566" w:name="_Hlk7348210"/>
      <w:r>
        <w:rPr>
          <w:rFonts w:ascii="Arial Black" w:hAnsi="Arial Black"/>
          <w:sz w:val="24"/>
          <w:szCs w:val="24"/>
        </w:rPr>
        <w:t>14-1</w:t>
      </w:r>
    </w:p>
    <w:p w14:paraId="11FD5868" w14:textId="77777777" w:rsidR="00DE0F03" w:rsidRDefault="00DE0F03" w:rsidP="00F326E5">
      <w:pPr>
        <w:pStyle w:val="NoSpacing"/>
        <w:rPr>
          <w:rFonts w:ascii="Arial Black" w:hAnsi="Arial Black"/>
          <w:sz w:val="28"/>
          <w:szCs w:val="28"/>
        </w:rPr>
      </w:pPr>
    </w:p>
    <w:p w14:paraId="004A812C" w14:textId="42DC217C" w:rsidR="00F326E5" w:rsidRPr="00247719" w:rsidRDefault="00F326E5" w:rsidP="00F326E5">
      <w:pPr>
        <w:pStyle w:val="NoSpacing"/>
        <w:rPr>
          <w:rFonts w:ascii="[Times New Roman" w:hAnsi="[Times New Roman"/>
          <w:b/>
          <w:sz w:val="24"/>
          <w:szCs w:val="24"/>
        </w:rPr>
      </w:pPr>
      <w:bookmarkStart w:id="567" w:name="_Hlk39772641"/>
      <w:r>
        <w:rPr>
          <w:rFonts w:ascii="Arial Black" w:hAnsi="Arial Black"/>
          <w:sz w:val="28"/>
          <w:szCs w:val="28"/>
        </w:rPr>
        <w:t xml:space="preserve">OH: DAYTON FD RECRUIT – REMOVED FROM CLASS AFTER KNEE INJURY </w:t>
      </w:r>
      <w:r w:rsidR="00247719">
        <w:rPr>
          <w:rFonts w:ascii="Arial Black" w:hAnsi="Arial Black"/>
          <w:sz w:val="28"/>
          <w:szCs w:val="28"/>
        </w:rPr>
        <w:t xml:space="preserve">– NO FMLA VIOLATION </w:t>
      </w:r>
      <w:r w:rsidR="00247719">
        <w:rPr>
          <w:rFonts w:ascii="[Times New Roman" w:hAnsi="[Times New Roman"/>
          <w:sz w:val="24"/>
          <w:szCs w:val="24"/>
        </w:rPr>
        <w:t>[also filed, Chap. 10]</w:t>
      </w:r>
    </w:p>
    <w:p w14:paraId="6D7A83C8" w14:textId="77777777" w:rsidR="00BC17B3" w:rsidRDefault="00F326E5" w:rsidP="00F326E5">
      <w:pPr>
        <w:rPr>
          <w:rFonts w:ascii="Times New Roman" w:hAnsi="Times New Roman"/>
          <w:sz w:val="24"/>
          <w:szCs w:val="24"/>
        </w:rPr>
      </w:pPr>
      <w:r w:rsidRPr="00BC17B3">
        <w:rPr>
          <w:rFonts w:ascii="Times New Roman" w:hAnsi="Times New Roman"/>
          <w:sz w:val="24"/>
          <w:szCs w:val="24"/>
        </w:rPr>
        <w:t xml:space="preserve">On Feb. 9, </w:t>
      </w:r>
      <w:proofErr w:type="gramStart"/>
      <w:r w:rsidRPr="00BC17B3">
        <w:rPr>
          <w:rFonts w:ascii="Times New Roman" w:hAnsi="Times New Roman"/>
          <w:sz w:val="24"/>
          <w:szCs w:val="24"/>
        </w:rPr>
        <w:t>2018</w:t>
      </w:r>
      <w:proofErr w:type="gramEnd"/>
      <w:r w:rsidRPr="00BC17B3">
        <w:rPr>
          <w:rFonts w:ascii="Times New Roman" w:hAnsi="Times New Roman"/>
          <w:sz w:val="24"/>
          <w:szCs w:val="24"/>
        </w:rPr>
        <w:t xml:space="preserve"> in </w:t>
      </w:r>
      <w:r w:rsidRPr="00BC17B3">
        <w:rPr>
          <w:rFonts w:ascii="Times New Roman" w:hAnsi="Times New Roman"/>
          <w:sz w:val="24"/>
          <w:szCs w:val="24"/>
          <w:u w:val="single"/>
        </w:rPr>
        <w:t>Shawn N. Geisel v. City of Dayton, et al</w:t>
      </w:r>
      <w:r w:rsidRPr="00BC17B3">
        <w:rPr>
          <w:rFonts w:ascii="Times New Roman" w:hAnsi="Times New Roman"/>
          <w:sz w:val="24"/>
          <w:szCs w:val="24"/>
        </w:rPr>
        <w:t xml:space="preserve">., Ohio Court of Appeals for Second Circuit (Montgomery County) held (3 to 0) that the FD had the authority to remove him from the recruit class and ‘demote’ him back to EMT.   </w:t>
      </w:r>
    </w:p>
    <w:p w14:paraId="454A30DA" w14:textId="3AF1E8BE" w:rsidR="00F326E5" w:rsidRPr="00BC17B3" w:rsidRDefault="00F326E5" w:rsidP="00BC17B3">
      <w:pPr>
        <w:ind w:left="720"/>
        <w:rPr>
          <w:rFonts w:ascii="Times New Roman" w:hAnsi="Times New Roman"/>
          <w:sz w:val="24"/>
          <w:szCs w:val="24"/>
        </w:rPr>
      </w:pPr>
      <w:r w:rsidRPr="00BC17B3">
        <w:rPr>
          <w:rFonts w:ascii="Times New Roman" w:hAnsi="Times New Roman"/>
          <w:sz w:val="24"/>
          <w:szCs w:val="24"/>
        </w:rPr>
        <w:t xml:space="preserve">“We do not mean to imply that Geisel could not reapply for the position, but only that his appointment to Firefighter Recruit was a self-contained opportunity that did not entail a right to be reappointed or to </w:t>
      </w:r>
      <w:r w:rsidRPr="00BC17B3">
        <w:rPr>
          <w:rFonts w:ascii="Times New Roman" w:hAnsi="Times New Roman"/>
          <w:sz w:val="24"/>
          <w:szCs w:val="24"/>
        </w:rPr>
        <w:lastRenderedPageBreak/>
        <w:t xml:space="preserve">continue as a recruit until he could complete the training program.”  </w:t>
      </w:r>
      <w:hyperlink r:id="rId2460" w:history="1">
        <w:r w:rsidRPr="00BC17B3">
          <w:rPr>
            <w:rStyle w:val="Hyperlink"/>
            <w:rFonts w:ascii="Times New Roman" w:hAnsi="Times New Roman"/>
            <w:sz w:val="24"/>
            <w:szCs w:val="24"/>
          </w:rPr>
          <w:t>http://www.supremecourt.ohio.gov/rod/docs/pdf/2/2018/2018-ohio-512.pdf</w:t>
        </w:r>
      </w:hyperlink>
      <w:r w:rsidRPr="00BC17B3">
        <w:rPr>
          <w:rFonts w:ascii="Times New Roman" w:hAnsi="Times New Roman"/>
          <w:sz w:val="24"/>
          <w:szCs w:val="24"/>
        </w:rPr>
        <w:t xml:space="preserve"> </w:t>
      </w:r>
    </w:p>
    <w:p w14:paraId="4A40FA0E" w14:textId="5DA50009" w:rsidR="00F326E5" w:rsidRPr="00BC17B3" w:rsidRDefault="00F326E5" w:rsidP="00F326E5">
      <w:pPr>
        <w:rPr>
          <w:rFonts w:ascii="Times New Roman" w:hAnsi="Times New Roman"/>
          <w:b/>
          <w:sz w:val="24"/>
          <w:szCs w:val="24"/>
        </w:rPr>
      </w:pPr>
      <w:bookmarkStart w:id="568" w:name="_Hlk1066962"/>
      <w:bookmarkEnd w:id="567"/>
      <w:r w:rsidRPr="00BC17B3">
        <w:rPr>
          <w:rFonts w:ascii="Times New Roman" w:hAnsi="Times New Roman"/>
          <w:b/>
          <w:sz w:val="24"/>
          <w:szCs w:val="24"/>
        </w:rPr>
        <w:t xml:space="preserve">Legal Lessons Learned:  Dayton Civil Services rules treat </w:t>
      </w:r>
      <w:proofErr w:type="gramStart"/>
      <w:r w:rsidRPr="00BC17B3">
        <w:rPr>
          <w:rFonts w:ascii="Times New Roman" w:hAnsi="Times New Roman"/>
          <w:b/>
          <w:sz w:val="24"/>
          <w:szCs w:val="24"/>
        </w:rPr>
        <w:t>a</w:t>
      </w:r>
      <w:proofErr w:type="gramEnd"/>
      <w:r w:rsidRPr="00BC17B3">
        <w:rPr>
          <w:rFonts w:ascii="Times New Roman" w:hAnsi="Times New Roman"/>
          <w:b/>
          <w:sz w:val="24"/>
          <w:szCs w:val="24"/>
        </w:rPr>
        <w:t xml:space="preserve"> FF recruit as a probationary employee; when injured in recruit school, can be “demoted” back to EMT-B and placed on light duty.</w:t>
      </w:r>
    </w:p>
    <w:p w14:paraId="1DFF312A" w14:textId="78F4250F" w:rsidR="000C4DF5" w:rsidRDefault="000C4DF5">
      <w:pPr>
        <w:spacing w:after="0" w:line="240" w:lineRule="auto"/>
        <w:rPr>
          <w:b/>
          <w:sz w:val="24"/>
          <w:szCs w:val="24"/>
        </w:rPr>
      </w:pPr>
      <w:r>
        <w:rPr>
          <w:b/>
          <w:sz w:val="24"/>
          <w:szCs w:val="24"/>
        </w:rPr>
        <w:br w:type="page"/>
      </w:r>
    </w:p>
    <w:bookmarkEnd w:id="566"/>
    <w:bookmarkEnd w:id="568"/>
    <w:p w14:paraId="16EB49F9" w14:textId="77777777" w:rsidR="004378B8" w:rsidRDefault="004378B8" w:rsidP="00F326E5">
      <w:pPr>
        <w:rPr>
          <w:rFonts w:ascii="Arial Black" w:hAnsi="Arial Black"/>
          <w:sz w:val="40"/>
          <w:szCs w:val="40"/>
        </w:rPr>
      </w:pPr>
    </w:p>
    <w:p w14:paraId="178B1B2A" w14:textId="77777777" w:rsidR="004378B8" w:rsidRDefault="004378B8" w:rsidP="00F326E5">
      <w:pPr>
        <w:rPr>
          <w:rFonts w:ascii="Arial Black" w:hAnsi="Arial Black"/>
          <w:sz w:val="40"/>
          <w:szCs w:val="40"/>
        </w:rPr>
      </w:pPr>
    </w:p>
    <w:p w14:paraId="1AC74A7C" w14:textId="77777777" w:rsidR="004378B8" w:rsidRDefault="004378B8" w:rsidP="00F326E5">
      <w:pPr>
        <w:rPr>
          <w:rFonts w:ascii="Arial Black" w:hAnsi="Arial Black"/>
          <w:sz w:val="40"/>
          <w:szCs w:val="40"/>
        </w:rPr>
      </w:pPr>
    </w:p>
    <w:p w14:paraId="787CE605" w14:textId="77777777" w:rsidR="004378B8" w:rsidRDefault="004378B8" w:rsidP="00F326E5">
      <w:pPr>
        <w:rPr>
          <w:rFonts w:ascii="Arial Black" w:hAnsi="Arial Black"/>
          <w:sz w:val="40"/>
          <w:szCs w:val="40"/>
        </w:rPr>
      </w:pPr>
    </w:p>
    <w:p w14:paraId="63BB63F1" w14:textId="77777777" w:rsidR="004378B8" w:rsidRDefault="004378B8" w:rsidP="00F326E5">
      <w:pPr>
        <w:rPr>
          <w:rFonts w:ascii="Arial Black" w:hAnsi="Arial Black"/>
          <w:sz w:val="40"/>
          <w:szCs w:val="40"/>
        </w:rPr>
      </w:pPr>
    </w:p>
    <w:p w14:paraId="44B5D944" w14:textId="77777777" w:rsidR="004378B8" w:rsidRDefault="004378B8" w:rsidP="00F326E5">
      <w:pPr>
        <w:rPr>
          <w:rFonts w:ascii="Arial Black" w:hAnsi="Arial Black"/>
          <w:sz w:val="40"/>
          <w:szCs w:val="40"/>
        </w:rPr>
      </w:pPr>
    </w:p>
    <w:p w14:paraId="79630461" w14:textId="77777777" w:rsidR="004378B8" w:rsidRDefault="004378B8" w:rsidP="00F326E5">
      <w:pPr>
        <w:rPr>
          <w:rFonts w:ascii="Arial Black" w:hAnsi="Arial Black"/>
          <w:sz w:val="40"/>
          <w:szCs w:val="40"/>
        </w:rPr>
      </w:pPr>
    </w:p>
    <w:p w14:paraId="6F3AC8F7" w14:textId="77777777" w:rsidR="004378B8" w:rsidRDefault="004378B8" w:rsidP="00F326E5">
      <w:pPr>
        <w:rPr>
          <w:rFonts w:ascii="Arial Black" w:hAnsi="Arial Black"/>
          <w:sz w:val="40"/>
          <w:szCs w:val="40"/>
        </w:rPr>
      </w:pPr>
    </w:p>
    <w:p w14:paraId="594F7C28" w14:textId="77777777" w:rsidR="004378B8" w:rsidRDefault="004378B8" w:rsidP="00F326E5">
      <w:pPr>
        <w:rPr>
          <w:rFonts w:ascii="Arial Black" w:hAnsi="Arial Black"/>
          <w:sz w:val="40"/>
          <w:szCs w:val="40"/>
        </w:rPr>
      </w:pPr>
    </w:p>
    <w:p w14:paraId="111CE97C" w14:textId="77777777" w:rsidR="004378B8" w:rsidRDefault="004378B8" w:rsidP="00F326E5">
      <w:pPr>
        <w:rPr>
          <w:rFonts w:ascii="Arial Black" w:hAnsi="Arial Black"/>
          <w:sz w:val="40"/>
          <w:szCs w:val="40"/>
        </w:rPr>
      </w:pPr>
    </w:p>
    <w:p w14:paraId="3B9AC02F" w14:textId="77777777" w:rsidR="004378B8" w:rsidRDefault="004378B8" w:rsidP="00F326E5">
      <w:pPr>
        <w:rPr>
          <w:rFonts w:ascii="Arial Black" w:hAnsi="Arial Black"/>
          <w:sz w:val="40"/>
          <w:szCs w:val="40"/>
        </w:rPr>
      </w:pPr>
    </w:p>
    <w:p w14:paraId="32151016" w14:textId="77777777" w:rsidR="004378B8" w:rsidRDefault="004378B8" w:rsidP="00F326E5">
      <w:pPr>
        <w:rPr>
          <w:rFonts w:ascii="Arial Black" w:hAnsi="Arial Black"/>
          <w:sz w:val="40"/>
          <w:szCs w:val="40"/>
        </w:rPr>
      </w:pPr>
    </w:p>
    <w:p w14:paraId="22103E84" w14:textId="77777777" w:rsidR="004378B8" w:rsidRDefault="004378B8" w:rsidP="00F326E5">
      <w:pPr>
        <w:rPr>
          <w:rFonts w:ascii="Arial Black" w:hAnsi="Arial Black"/>
          <w:sz w:val="40"/>
          <w:szCs w:val="40"/>
        </w:rPr>
      </w:pPr>
    </w:p>
    <w:p w14:paraId="466DADBD" w14:textId="77777777" w:rsidR="004378B8" w:rsidRDefault="004378B8" w:rsidP="00F326E5">
      <w:pPr>
        <w:rPr>
          <w:rFonts w:ascii="Arial Black" w:hAnsi="Arial Black"/>
          <w:sz w:val="40"/>
          <w:szCs w:val="40"/>
        </w:rPr>
      </w:pPr>
    </w:p>
    <w:p w14:paraId="6AF4ADE1" w14:textId="77777777" w:rsidR="004378B8" w:rsidRDefault="004378B8" w:rsidP="00F326E5">
      <w:pPr>
        <w:rPr>
          <w:rFonts w:ascii="Arial Black" w:hAnsi="Arial Black"/>
          <w:sz w:val="40"/>
          <w:szCs w:val="40"/>
        </w:rPr>
      </w:pPr>
    </w:p>
    <w:p w14:paraId="1A36CA2A" w14:textId="77777777" w:rsidR="004378B8" w:rsidRDefault="004378B8" w:rsidP="00F326E5">
      <w:pPr>
        <w:rPr>
          <w:rFonts w:ascii="Arial Black" w:hAnsi="Arial Black"/>
          <w:sz w:val="40"/>
          <w:szCs w:val="40"/>
        </w:rPr>
      </w:pPr>
    </w:p>
    <w:p w14:paraId="0206712B" w14:textId="77777777" w:rsidR="004378B8" w:rsidRDefault="004378B8" w:rsidP="00F326E5">
      <w:pPr>
        <w:rPr>
          <w:rFonts w:ascii="Arial Black" w:hAnsi="Arial Black"/>
          <w:sz w:val="40"/>
          <w:szCs w:val="40"/>
        </w:rPr>
      </w:pPr>
    </w:p>
    <w:p w14:paraId="1E590846" w14:textId="05B8579E" w:rsidR="00F326E5" w:rsidRDefault="00F326E5" w:rsidP="00F326E5">
      <w:pPr>
        <w:rPr>
          <w:rFonts w:ascii="Arial Black" w:hAnsi="Arial Black"/>
          <w:sz w:val="40"/>
          <w:szCs w:val="40"/>
        </w:rPr>
      </w:pPr>
      <w:r w:rsidRPr="007732FA">
        <w:rPr>
          <w:rFonts w:ascii="Arial Black" w:hAnsi="Arial Black"/>
          <w:sz w:val="40"/>
          <w:szCs w:val="40"/>
        </w:rPr>
        <w:lastRenderedPageBreak/>
        <w:t>Chap. 15</w:t>
      </w:r>
      <w:r>
        <w:rPr>
          <w:rFonts w:ascii="Arial Black" w:hAnsi="Arial Black"/>
          <w:sz w:val="40"/>
          <w:szCs w:val="40"/>
        </w:rPr>
        <w:t xml:space="preserve"> </w:t>
      </w:r>
      <w:r w:rsidR="00CA57F1">
        <w:rPr>
          <w:rFonts w:ascii="Arial Black" w:hAnsi="Arial Black"/>
          <w:sz w:val="40"/>
          <w:szCs w:val="40"/>
        </w:rPr>
        <w:t xml:space="preserve"> </w:t>
      </w:r>
      <w:r w:rsidR="00EC5D4A">
        <w:rPr>
          <w:rFonts w:ascii="Arial Black" w:hAnsi="Arial Black"/>
          <w:sz w:val="40"/>
          <w:szCs w:val="40"/>
        </w:rPr>
        <w:t>Mental Health, incl.</w:t>
      </w:r>
      <w:r w:rsidR="00CA57F1">
        <w:rPr>
          <w:rFonts w:ascii="Arial Black" w:hAnsi="Arial Black"/>
          <w:sz w:val="40"/>
          <w:szCs w:val="40"/>
        </w:rPr>
        <w:t xml:space="preserve"> </w:t>
      </w:r>
      <w:r w:rsidRPr="007732FA">
        <w:rPr>
          <w:rFonts w:ascii="Arial Black" w:hAnsi="Arial Black"/>
          <w:sz w:val="40"/>
          <w:szCs w:val="40"/>
        </w:rPr>
        <w:t>C</w:t>
      </w:r>
      <w:r w:rsidR="006D5E9F">
        <w:rPr>
          <w:rFonts w:ascii="Arial Black" w:hAnsi="Arial Black"/>
          <w:sz w:val="40"/>
          <w:szCs w:val="40"/>
        </w:rPr>
        <w:t xml:space="preserve">ISM / </w:t>
      </w:r>
      <w:r w:rsidR="00636395">
        <w:rPr>
          <w:rFonts w:ascii="Arial Black" w:hAnsi="Arial Black"/>
          <w:sz w:val="40"/>
          <w:szCs w:val="40"/>
        </w:rPr>
        <w:t>Peer Support</w:t>
      </w:r>
      <w:r w:rsidR="006D5E9F">
        <w:rPr>
          <w:rFonts w:ascii="Arial Black" w:hAnsi="Arial Black"/>
          <w:sz w:val="40"/>
          <w:szCs w:val="40"/>
        </w:rPr>
        <w:t xml:space="preserve"> </w:t>
      </w:r>
    </w:p>
    <w:p w14:paraId="6890636C" w14:textId="361A6BD2" w:rsidR="00A971EA" w:rsidRDefault="005611CE" w:rsidP="004D70DC">
      <w:pPr>
        <w:pStyle w:val="NoSpacing"/>
        <w:rPr>
          <w:rFonts w:ascii="Arial Black" w:hAnsi="Arial Black"/>
          <w:sz w:val="24"/>
          <w:szCs w:val="24"/>
        </w:rPr>
      </w:pPr>
      <w:r>
        <w:rPr>
          <w:rFonts w:ascii="Arial Black" w:hAnsi="Arial Black"/>
          <w:sz w:val="24"/>
          <w:szCs w:val="24"/>
        </w:rPr>
        <w:t>15-55</w:t>
      </w:r>
    </w:p>
    <w:p w14:paraId="5F930AF8" w14:textId="77777777" w:rsidR="005611CE" w:rsidRDefault="005611CE" w:rsidP="004D70DC">
      <w:pPr>
        <w:pStyle w:val="NoSpacing"/>
        <w:rPr>
          <w:rFonts w:ascii="Arial Black" w:hAnsi="Arial Black"/>
          <w:sz w:val="24"/>
          <w:szCs w:val="24"/>
        </w:rPr>
      </w:pPr>
    </w:p>
    <w:p w14:paraId="3753DEB9" w14:textId="77777777" w:rsidR="005611CE" w:rsidRPr="0012386E" w:rsidRDefault="005611CE" w:rsidP="005611CE">
      <w:pPr>
        <w:pStyle w:val="NoSpacing"/>
        <w:rPr>
          <w:rFonts w:ascii="Arial Black" w:hAnsi="Arial Black"/>
          <w:sz w:val="28"/>
          <w:szCs w:val="28"/>
        </w:rPr>
      </w:pPr>
      <w:r w:rsidRPr="0012386E">
        <w:rPr>
          <w:rFonts w:ascii="Arial Black" w:hAnsi="Arial Black"/>
          <w:sz w:val="28"/>
          <w:szCs w:val="28"/>
        </w:rPr>
        <w:t xml:space="preserve">TX: PTSD – </w:t>
      </w:r>
      <w:r>
        <w:rPr>
          <w:rFonts w:ascii="Arial Black" w:hAnsi="Arial Black"/>
          <w:sz w:val="28"/>
          <w:szCs w:val="28"/>
        </w:rPr>
        <w:t xml:space="preserve">EXPLOSION - </w:t>
      </w:r>
      <w:r w:rsidRPr="0012386E">
        <w:rPr>
          <w:rFonts w:ascii="Arial Black" w:hAnsi="Arial Black"/>
          <w:sz w:val="28"/>
          <w:szCs w:val="28"/>
        </w:rPr>
        <w:t>OSHA REPORTING REG. SET ASIDE</w:t>
      </w:r>
    </w:p>
    <w:p w14:paraId="27941F7F" w14:textId="77777777" w:rsidR="005611CE" w:rsidRPr="0012386E" w:rsidRDefault="005611CE" w:rsidP="005611CE">
      <w:pPr>
        <w:pStyle w:val="NoSpacing"/>
      </w:pPr>
    </w:p>
    <w:p w14:paraId="78891F21" w14:textId="77777777" w:rsidR="005611CE" w:rsidRPr="0012386E" w:rsidRDefault="005611CE" w:rsidP="005611CE">
      <w:pPr>
        <w:pStyle w:val="NoSpacing"/>
        <w:rPr>
          <w:bCs/>
        </w:rPr>
      </w:pPr>
      <w:r w:rsidRPr="0012386E">
        <w:t xml:space="preserve">On July 21, 2026, in </w:t>
      </w:r>
      <w:r w:rsidRPr="0012386E">
        <w:rPr>
          <w:u w:val="single"/>
        </w:rPr>
        <w:t xml:space="preserve">Exxon Mobil Corporation v. Occupational Safety </w:t>
      </w:r>
      <w:proofErr w:type="gramStart"/>
      <w:r w:rsidRPr="0012386E">
        <w:rPr>
          <w:u w:val="single"/>
        </w:rPr>
        <w:t>And</w:t>
      </w:r>
      <w:proofErr w:type="gramEnd"/>
      <w:r w:rsidRPr="0012386E">
        <w:rPr>
          <w:u w:val="single"/>
        </w:rPr>
        <w:t xml:space="preserve"> Health Review Commission</w:t>
      </w:r>
      <w:r w:rsidRPr="0012386E">
        <w:t xml:space="preserve">, the United States Court of Appeals for the Fifth Circuit (New Orleans) held (3 to 0) that Exxon properly did not report on OSHE 300 /301 forms that an employee suffered PTSD after helping firefighters turn off fuel valves after massive explosion, setting aside the $691 citation.  “OSHA exceeded its statutory authority in promulgating 29 C.F.R. § 1904.5(b)(2)(ix) to require employers to record employee-reported work-related mental illnesses.” </w:t>
      </w:r>
    </w:p>
    <w:p w14:paraId="3F7C2694" w14:textId="77777777" w:rsidR="005611CE" w:rsidRPr="0012386E" w:rsidRDefault="005611CE" w:rsidP="005611CE">
      <w:pPr>
        <w:pStyle w:val="NoSpacing"/>
        <w:rPr>
          <w:bCs/>
        </w:rPr>
      </w:pPr>
      <w:hyperlink r:id="rId2461" w:history="1">
        <w:r w:rsidRPr="0012386E">
          <w:rPr>
            <w:rStyle w:val="Hyperlink"/>
            <w:b/>
          </w:rPr>
          <w:t>https://cases.justia.com/federal/appellate-courts/ca5/25-60108/25-60108-2026-07-21.pdf?ts=1784680232</w:t>
        </w:r>
      </w:hyperlink>
      <w:r w:rsidRPr="0012386E">
        <w:t xml:space="preserve"> </w:t>
      </w:r>
    </w:p>
    <w:p w14:paraId="18E0E3B2" w14:textId="77777777" w:rsidR="005611CE" w:rsidRPr="0012386E" w:rsidRDefault="005611CE" w:rsidP="005611CE">
      <w:pPr>
        <w:pStyle w:val="NoSpacing"/>
        <w:rPr>
          <w:bCs/>
        </w:rPr>
      </w:pPr>
    </w:p>
    <w:p w14:paraId="068BD4AC" w14:textId="77777777" w:rsidR="005611CE" w:rsidRPr="0012386E" w:rsidRDefault="005611CE" w:rsidP="005611CE">
      <w:pPr>
        <w:pStyle w:val="NoSpacing"/>
        <w:rPr>
          <w:bCs/>
        </w:rPr>
      </w:pPr>
      <w:r w:rsidRPr="0012386E">
        <w:t xml:space="preserve">OSHA Regulation. “You are not required to record injuries and illnesses if . . . </w:t>
      </w:r>
    </w:p>
    <w:p w14:paraId="3D6A7605" w14:textId="77777777" w:rsidR="005611CE" w:rsidRPr="0012386E" w:rsidRDefault="005611CE" w:rsidP="005611CE">
      <w:pPr>
        <w:pStyle w:val="NoSpacing"/>
        <w:rPr>
          <w:bCs/>
        </w:rPr>
      </w:pPr>
      <w:r w:rsidRPr="0012386E">
        <w:t xml:space="preserve">(ix) The illness is a mental illness. Mental illness will not be considered work-related unless the employee voluntarily provides the employer with an opinion from a physician or other licensed health care professional with appropriate training and experience (psychiatrist, psychologist, psychiatric nurse practitioner, etc.) stating that the employee has a mental illness that is work-related.” </w:t>
      </w:r>
      <w:hyperlink r:id="rId2462" w:history="1">
        <w:r w:rsidRPr="0012386E">
          <w:rPr>
            <w:rStyle w:val="Hyperlink"/>
            <w:b/>
          </w:rPr>
          <w:t>https://www.customsmobile.com/regulations/expand/title29_chapterXVII_part1904_subpartC_section1904.5</w:t>
        </w:r>
      </w:hyperlink>
      <w:r w:rsidRPr="0012386E">
        <w:t xml:space="preserve"> </w:t>
      </w:r>
    </w:p>
    <w:p w14:paraId="383E65C0" w14:textId="77777777" w:rsidR="005611CE" w:rsidRPr="0012386E" w:rsidRDefault="005611CE" w:rsidP="005611CE">
      <w:pPr>
        <w:pStyle w:val="NoSpacing"/>
        <w:rPr>
          <w:bCs/>
        </w:rPr>
      </w:pPr>
    </w:p>
    <w:p w14:paraId="4CD2389D" w14:textId="77777777" w:rsidR="005611CE" w:rsidRPr="0012386E" w:rsidRDefault="005611CE" w:rsidP="005611CE">
      <w:pPr>
        <w:pStyle w:val="NoSpacing"/>
        <w:rPr>
          <w:bCs/>
        </w:rPr>
      </w:pPr>
    </w:p>
    <w:p w14:paraId="37D2ABEA" w14:textId="77777777" w:rsidR="005611CE" w:rsidRPr="0012386E" w:rsidRDefault="005611CE" w:rsidP="005611CE">
      <w:pPr>
        <w:pStyle w:val="NoSpacing"/>
        <w:rPr>
          <w:bCs/>
        </w:rPr>
      </w:pPr>
      <w:r w:rsidRPr="0012386E">
        <w:t>THE COURT WROTE:</w:t>
      </w:r>
    </w:p>
    <w:p w14:paraId="2819F16C" w14:textId="77777777" w:rsidR="005611CE" w:rsidRPr="0012386E" w:rsidRDefault="005611CE" w:rsidP="005611CE">
      <w:pPr>
        <w:pStyle w:val="NoSpacing"/>
        <w:rPr>
          <w:bCs/>
        </w:rPr>
      </w:pPr>
    </w:p>
    <w:p w14:paraId="064F85AB" w14:textId="77777777" w:rsidR="005611CE" w:rsidRPr="0012386E" w:rsidRDefault="005611CE" w:rsidP="005611CE">
      <w:pPr>
        <w:pStyle w:val="NoSpacing"/>
        <w:rPr>
          <w:bCs/>
        </w:rPr>
      </w:pPr>
      <w:r w:rsidRPr="0012386E">
        <w:t>“ExxonMobil (Exxon) operates a large petroleum refinery in Baytown, Texas. The facility contains ‘27 distinct units, including the hydro-desulfurization unit (HDU), which mixes hydrogen, sulfur, and naphtha.’ During repairs to the HDU in December 2021, one of its component pipes ruptured. The subsequent hydrocarbon release caused a large explosion and</w:t>
      </w:r>
    </w:p>
    <w:p w14:paraId="33C7A4E6" w14:textId="77777777" w:rsidR="005611CE" w:rsidRPr="0012386E" w:rsidRDefault="005611CE" w:rsidP="005611CE">
      <w:pPr>
        <w:pStyle w:val="NoSpacing"/>
        <w:rPr>
          <w:bCs/>
        </w:rPr>
      </w:pPr>
      <w:r w:rsidRPr="0012386E">
        <w:t>major fire, which burned for eight hours. Multiple workers who were working on the HDU at the time of the explosion were injured. A significant emergency response was required to evacuate the injured, combat the blaze, and shut off fuel to the HDU. The destruction caused by the incident took Exxon five months to remediate….  Employee 2 was an Exxon process technician1 who responded to the explosion and ensuing fire to assist emergency response efforts…. Once there, though not a member of the facility’s emergency response team, Employee 2 volunteered to enter the burning HDU alongside Exxon firefighters and guide them to several valves which needed to be closed to shut off fuel to the fire. The firefighters helped Employee 2 don firefighting gear, and they entered the HDU. Inside, Employee 2 led the firefighters to</w:t>
      </w:r>
    </w:p>
    <w:p w14:paraId="0D0DD2BD" w14:textId="77777777" w:rsidR="005611CE" w:rsidRPr="0012386E" w:rsidRDefault="005611CE" w:rsidP="005611CE">
      <w:pPr>
        <w:pStyle w:val="NoSpacing"/>
        <w:rPr>
          <w:bCs/>
        </w:rPr>
      </w:pPr>
      <w:r w:rsidRPr="0012386E">
        <w:t>multiple valves, which they closed before exiting the inferno. While Employee 2 was recovering from this harrowing ordeal in the back of an ambulance, the emergency team was told that there was still at least one bypass open and feeding the fire. Employee 2 was asked to suit back up and</w:t>
      </w:r>
    </w:p>
    <w:p w14:paraId="665A6590" w14:textId="77777777" w:rsidR="005611CE" w:rsidRPr="0012386E" w:rsidRDefault="005611CE" w:rsidP="005611CE">
      <w:pPr>
        <w:pStyle w:val="NoSpacing"/>
        <w:rPr>
          <w:bCs/>
        </w:rPr>
      </w:pPr>
      <w:proofErr w:type="gramStart"/>
      <w:r w:rsidRPr="0012386E">
        <w:t>again</w:t>
      </w:r>
      <w:proofErr w:type="gramEnd"/>
      <w:r w:rsidRPr="0012386E">
        <w:t xml:space="preserve"> accompany the firefighters into the burning HDU to ‘ensure no bypasses were open or valves were open or leaking.’ He did so and helped the firefighters close several more valves. After surviving this second hellish trip into the HDU, Employee 2 left the facility, though the fire would continue to burn for hours. </w:t>
      </w:r>
    </w:p>
    <w:p w14:paraId="34F73B67" w14:textId="77777777" w:rsidR="005611CE" w:rsidRPr="0012386E" w:rsidRDefault="005611CE" w:rsidP="005611CE">
      <w:pPr>
        <w:pStyle w:val="NoSpacing"/>
        <w:rPr>
          <w:bCs/>
        </w:rPr>
      </w:pPr>
    </w:p>
    <w:p w14:paraId="0BAE9C16" w14:textId="77777777" w:rsidR="005611CE" w:rsidRPr="0012386E" w:rsidRDefault="005611CE" w:rsidP="005611CE">
      <w:pPr>
        <w:pStyle w:val="NoSpacing"/>
        <w:rPr>
          <w:bCs/>
        </w:rPr>
      </w:pPr>
      <w:r w:rsidRPr="0012386E">
        <w:t>***</w:t>
      </w:r>
    </w:p>
    <w:p w14:paraId="44A6BE46" w14:textId="77777777" w:rsidR="005611CE" w:rsidRPr="0012386E" w:rsidRDefault="005611CE" w:rsidP="005611CE">
      <w:pPr>
        <w:pStyle w:val="NoSpacing"/>
        <w:rPr>
          <w:bCs/>
        </w:rPr>
      </w:pPr>
      <w:r w:rsidRPr="0012386E">
        <w:t xml:space="preserve">Based on </w:t>
      </w:r>
      <w:proofErr w:type="spellStart"/>
      <w:r w:rsidRPr="0012386E">
        <w:t>Joppich’s</w:t>
      </w:r>
      <w:proofErr w:type="spellEnd"/>
      <w:r w:rsidRPr="0012386E">
        <w:t xml:space="preserve"> opinion [Dr. Heather Joppich, psychiatrist], Exxon concluded that Employee 2 did not have a recordable work-related mental </w:t>
      </w:r>
      <w:proofErr w:type="spellStart"/>
      <w:r w:rsidRPr="0012386E">
        <w:t>illness.The</w:t>
      </w:r>
      <w:proofErr w:type="spellEnd"/>
      <w:r w:rsidRPr="0012386E">
        <w:t xml:space="preserve"> union representing Exxon’s Baytown employees informed OSHA of Exxon’s decision. Following an investigation, OSHA issued a</w:t>
      </w:r>
    </w:p>
    <w:p w14:paraId="4BDE6BCE" w14:textId="77777777" w:rsidR="005611CE" w:rsidRPr="0012386E" w:rsidRDefault="005611CE" w:rsidP="005611CE">
      <w:pPr>
        <w:pStyle w:val="NoSpacing"/>
        <w:rPr>
          <w:bCs/>
        </w:rPr>
      </w:pPr>
      <w:r w:rsidRPr="0012386E">
        <w:t xml:space="preserve">Citation and Notification of Penalty to Exxon in June 2022. The citation ($691) alleged an ‘other-than-serious </w:t>
      </w:r>
      <w:r>
        <w:t>‘ v</w:t>
      </w:r>
      <w:r w:rsidRPr="0012386E">
        <w:t xml:space="preserve">iolation of the Act’s recordkeeping standard for failing to record Employee 2’s PTSD diagnosis as a work-related mental illness on Forms 300 and 301.” </w:t>
      </w:r>
    </w:p>
    <w:p w14:paraId="2EDA98A7" w14:textId="77777777" w:rsidR="005611CE" w:rsidRPr="00AB3A93" w:rsidRDefault="005611CE" w:rsidP="005611CE">
      <w:pPr>
        <w:pStyle w:val="NoSpacing"/>
        <w:rPr>
          <w:b/>
          <w:bCs/>
        </w:rPr>
      </w:pPr>
    </w:p>
    <w:p w14:paraId="131EF7D7" w14:textId="77777777" w:rsidR="005611CE" w:rsidRPr="00AB3A93" w:rsidRDefault="005611CE" w:rsidP="005611CE">
      <w:pPr>
        <w:pStyle w:val="NoSpacing"/>
        <w:rPr>
          <w:b/>
          <w:bCs/>
        </w:rPr>
      </w:pPr>
      <w:r w:rsidRPr="00AB3A93">
        <w:rPr>
          <w:b/>
        </w:rPr>
        <w:t>Legal lesson learned: Employer reporting on mental health of its employees needs clear regulations.</w:t>
      </w:r>
    </w:p>
    <w:p w14:paraId="2616BD49" w14:textId="77777777" w:rsidR="005611CE" w:rsidRPr="0012386E" w:rsidRDefault="005611CE" w:rsidP="005611CE">
      <w:pPr>
        <w:pStyle w:val="NoSpacing"/>
        <w:rPr>
          <w:bCs/>
        </w:rPr>
      </w:pPr>
      <w:r>
        <w:rPr>
          <w:rFonts w:ascii="Arial Black" w:hAnsi="Arial Black"/>
          <w:b/>
          <w:sz w:val="28"/>
          <w:szCs w:val="28"/>
        </w:rPr>
        <w:tab/>
      </w:r>
      <w:r w:rsidRPr="00E363A9">
        <w:t>Note:</w:t>
      </w:r>
      <w:r>
        <w:rPr>
          <w:rFonts w:ascii="Arial Black" w:hAnsi="Arial Black"/>
          <w:b/>
          <w:sz w:val="28"/>
          <w:szCs w:val="28"/>
        </w:rPr>
        <w:t xml:space="preserve"> </w:t>
      </w:r>
      <w:r w:rsidRPr="0012386E">
        <w:t xml:space="preserve">OSHA Regulation. “You are not required to record injuries and illnesses if . . . </w:t>
      </w:r>
    </w:p>
    <w:p w14:paraId="51686C9D" w14:textId="77777777" w:rsidR="005611CE" w:rsidRPr="0012386E" w:rsidRDefault="005611CE" w:rsidP="005611CE">
      <w:pPr>
        <w:pStyle w:val="NoSpacing"/>
        <w:ind w:left="720"/>
        <w:rPr>
          <w:bCs/>
        </w:rPr>
      </w:pPr>
      <w:r w:rsidRPr="0012386E">
        <w:t xml:space="preserve">(ix) The illness is a mental illness. Mental illness will not be considered work-related unless the employee voluntarily provides the employer with an opinion from a physician or other licensed health care professional with appropriate training and experience (psychiatrist, psychologist, psychiatric nurse practitioner, etc.) stating that the employee has a mental illness that is work-related.” </w:t>
      </w:r>
      <w:hyperlink r:id="rId2463" w:history="1">
        <w:r w:rsidRPr="0012386E">
          <w:rPr>
            <w:rStyle w:val="Hyperlink"/>
            <w:b/>
          </w:rPr>
          <w:t>https://www.customsmobile.com/regulations/expand/title29_chapterXVII_part1904_subpartC_section1904.5</w:t>
        </w:r>
      </w:hyperlink>
      <w:r w:rsidRPr="0012386E">
        <w:t xml:space="preserve"> </w:t>
      </w:r>
    </w:p>
    <w:p w14:paraId="2E1BADBC" w14:textId="77777777" w:rsidR="005611CE" w:rsidRPr="0088501B" w:rsidRDefault="005611CE" w:rsidP="005611CE">
      <w:pPr>
        <w:pStyle w:val="NoSpacing"/>
      </w:pPr>
    </w:p>
    <w:p w14:paraId="01F8C9C0" w14:textId="43263EB2" w:rsidR="005611CE" w:rsidRPr="005611CE" w:rsidRDefault="005611CE" w:rsidP="005611CE">
      <w:pPr>
        <w:pStyle w:val="NoSpacing"/>
        <w:rPr>
          <w:rFonts w:ascii="Arial Black" w:hAnsi="Arial Black"/>
          <w:b/>
          <w:sz w:val="24"/>
          <w:szCs w:val="24"/>
        </w:rPr>
      </w:pPr>
      <w:r w:rsidRPr="005611CE">
        <w:rPr>
          <w:rFonts w:ascii="Arial Black" w:hAnsi="Arial Black"/>
          <w:b/>
          <w:sz w:val="24"/>
          <w:szCs w:val="24"/>
        </w:rPr>
        <w:t>15-54</w:t>
      </w:r>
    </w:p>
    <w:p w14:paraId="0C970943" w14:textId="77777777" w:rsidR="005611CE" w:rsidRDefault="005611CE" w:rsidP="005611CE">
      <w:pPr>
        <w:pStyle w:val="NoSpacing"/>
        <w:rPr>
          <w:b/>
        </w:rPr>
      </w:pPr>
    </w:p>
    <w:p w14:paraId="40608B57" w14:textId="77777777" w:rsidR="005611CE" w:rsidRDefault="005611CE" w:rsidP="005611CE">
      <w:pPr>
        <w:pStyle w:val="NoSpacing"/>
        <w:rPr>
          <w:rFonts w:ascii="Arial Black" w:hAnsi="Arial Black"/>
          <w:b/>
          <w:sz w:val="28"/>
          <w:szCs w:val="28"/>
        </w:rPr>
      </w:pPr>
      <w:r>
        <w:rPr>
          <w:rFonts w:ascii="Arial Black" w:hAnsi="Arial Black"/>
          <w:b/>
          <w:sz w:val="28"/>
          <w:szCs w:val="28"/>
        </w:rPr>
        <w:t xml:space="preserve">NJ: PSYCH EXAM / ADHD - FAILED 1, PASSED 2 - APPROVED </w:t>
      </w:r>
    </w:p>
    <w:p w14:paraId="52CE521D" w14:textId="77777777" w:rsidR="005611CE" w:rsidRDefault="005611CE" w:rsidP="005611CE">
      <w:pPr>
        <w:pStyle w:val="NoSpacing"/>
        <w:rPr>
          <w:rFonts w:ascii="Arial Black" w:hAnsi="Arial Black"/>
          <w:b/>
          <w:sz w:val="28"/>
          <w:szCs w:val="28"/>
        </w:rPr>
      </w:pPr>
    </w:p>
    <w:p w14:paraId="5030F448" w14:textId="77777777" w:rsidR="005611CE" w:rsidRDefault="005611CE" w:rsidP="005611CE">
      <w:pPr>
        <w:pStyle w:val="NoSpacing"/>
      </w:pPr>
      <w:r>
        <w:t xml:space="preserve">On July 6, 2026, </w:t>
      </w:r>
      <w:r w:rsidRPr="00951593">
        <w:rPr>
          <w:u w:val="single"/>
        </w:rPr>
        <w:t xml:space="preserve">In </w:t>
      </w:r>
      <w:proofErr w:type="gramStart"/>
      <w:r w:rsidRPr="00951593">
        <w:rPr>
          <w:u w:val="single"/>
        </w:rPr>
        <w:t>The</w:t>
      </w:r>
      <w:proofErr w:type="gramEnd"/>
      <w:r w:rsidRPr="00951593">
        <w:rPr>
          <w:u w:val="single"/>
        </w:rPr>
        <w:t xml:space="preserve"> Matter </w:t>
      </w:r>
      <w:proofErr w:type="gramStart"/>
      <w:r w:rsidRPr="00951593">
        <w:rPr>
          <w:u w:val="single"/>
        </w:rPr>
        <w:t>Of</w:t>
      </w:r>
      <w:proofErr w:type="gramEnd"/>
      <w:r w:rsidRPr="00951593">
        <w:rPr>
          <w:u w:val="single"/>
        </w:rPr>
        <w:t xml:space="preserve"> T.T., Fire Fighter</w:t>
      </w:r>
      <w:r>
        <w:t xml:space="preserve">, the </w:t>
      </w:r>
      <w:r w:rsidRPr="00951593">
        <w:t>Superior Court of New Jersey, Appellate Division</w:t>
      </w:r>
      <w:r>
        <w:t xml:space="preserve"> held (2 to 0) that the </w:t>
      </w:r>
      <w:r w:rsidRPr="005A339F">
        <w:t>New Jersey Civil Service Commission</w:t>
      </w:r>
      <w:r>
        <w:t xml:space="preserve"> properly reinstated T.T. to the firefighter eligibility list, following a protracted dispute. The Court </w:t>
      </w:r>
      <w:r w:rsidRPr="007F6B5A">
        <w:t>use</w:t>
      </w:r>
      <w:r>
        <w:t xml:space="preserve">d his </w:t>
      </w:r>
      <w:r w:rsidRPr="007F6B5A">
        <w:t>initials to protect the confidentiality of the proceedings and the privacy interests of the party.</w:t>
      </w:r>
      <w:r>
        <w:t xml:space="preserve"> He undertook three psychiatric reviews – passing 2</w:t>
      </w:r>
      <w:r w:rsidRPr="00AB2647">
        <w:rPr>
          <w:vertAlign w:val="superscript"/>
        </w:rPr>
        <w:t>nd</w:t>
      </w:r>
      <w:r>
        <w:t xml:space="preserve"> and 3</w:t>
      </w:r>
      <w:r w:rsidRPr="00AB2647">
        <w:rPr>
          <w:vertAlign w:val="superscript"/>
        </w:rPr>
        <w:t>rd</w:t>
      </w:r>
      <w:r>
        <w:t xml:space="preserve"> after the first found him unsuited for fire service including ADHD history and “</w:t>
      </w:r>
      <w:r w:rsidRPr="00853CD0">
        <w:t>negative legal interactions, his motor vehicle accidents</w:t>
      </w:r>
      <w:r>
        <w:t xml:space="preserve"> [‘</w:t>
      </w:r>
      <w:r w:rsidRPr="00735E57">
        <w:t>several motor vehicle accidents</w:t>
      </w:r>
      <w:r>
        <w:t xml:space="preserve"> …</w:t>
      </w:r>
      <w:r w:rsidRPr="00735E57">
        <w:t xml:space="preserve"> two of which were his fault</w:t>
      </w:r>
      <w:r>
        <w:t>’]</w:t>
      </w:r>
      <w:r w:rsidRPr="00853CD0">
        <w:t xml:space="preserve"> as well as the negative background recommendations</w:t>
      </w:r>
      <w:r>
        <w:t xml:space="preserve"> [including ‘</w:t>
      </w:r>
      <w:r w:rsidRPr="00E56BD0">
        <w:t>past resignation in lieu of termination</w:t>
      </w:r>
      <w:r>
        <w:t xml:space="preserve">’].”  </w:t>
      </w:r>
      <w:hyperlink r:id="rId2464" w:history="1">
        <w:r w:rsidRPr="000F5D15">
          <w:rPr>
            <w:rStyle w:val="Hyperlink"/>
            <w:b/>
          </w:rPr>
          <w:t>https://www.njcourts.gov/system/files/court-opinions/2026/a0161-24.pdf</w:t>
        </w:r>
      </w:hyperlink>
    </w:p>
    <w:p w14:paraId="01184E85" w14:textId="77777777" w:rsidR="005611CE" w:rsidRDefault="005611CE" w:rsidP="005611CE">
      <w:pPr>
        <w:pStyle w:val="NoSpacing"/>
      </w:pPr>
    </w:p>
    <w:p w14:paraId="1C88E80F" w14:textId="77777777" w:rsidR="005611CE" w:rsidRDefault="005611CE" w:rsidP="005611CE">
      <w:pPr>
        <w:pStyle w:val="NoSpacing"/>
      </w:pPr>
      <w:r>
        <w:t>THE COURT WROTE:</w:t>
      </w:r>
    </w:p>
    <w:p w14:paraId="4B3B5394" w14:textId="77777777" w:rsidR="005611CE" w:rsidRDefault="005611CE" w:rsidP="005611CE">
      <w:pPr>
        <w:pStyle w:val="NoSpacing"/>
      </w:pPr>
    </w:p>
    <w:p w14:paraId="3E0228B9" w14:textId="77777777" w:rsidR="005611CE" w:rsidRPr="000A31CD" w:rsidRDefault="005611CE" w:rsidP="005611CE">
      <w:pPr>
        <w:pStyle w:val="NoSpacing"/>
      </w:pPr>
      <w:r>
        <w:t>‘</w:t>
      </w:r>
      <w:r w:rsidRPr="00D878F6">
        <w:t xml:space="preserve">T.T. applied to be a firefighter in the Township. In July 2022, T.T.'s name was included on the list of eligible candidates for the title of firefighter. After the list was certified, the Township extended a conditional offer of employment to T.T., subject to completion of medical and psychological evaluations and a background check. In December 2022, the Township </w:t>
      </w:r>
      <w:proofErr w:type="gramStart"/>
      <w:r w:rsidRPr="00D878F6">
        <w:t>referred</w:t>
      </w:r>
      <w:proofErr w:type="gramEnd"/>
      <w:r w:rsidRPr="00D878F6">
        <w:t xml:space="preserve"> T.T. for a psychological evaluation with Han Zhang Liang, Ph.D. Dr. Liang did not recommend T.T. for the firefighter position. He concluded that T.T. was not psychologically suited for the position and recommended that he be removed from the certified list of candidates.</w:t>
      </w:r>
      <w:r>
        <w:t xml:space="preserve"> </w:t>
      </w:r>
      <w:r w:rsidRPr="0010303D">
        <w:t xml:space="preserve">On March 16, 2023, the Township sent a notice to T.T. advising that he had been removed from the firefighter eligibility list for failing to meet psychological standards. T.T. requested an appeal before the Medical Review Panel (MRP) pursuant to N.J.A.C. 4A:4-6.5, which </w:t>
      </w:r>
      <w:proofErr w:type="gramStart"/>
      <w:r w:rsidRPr="0010303D">
        <w:t>the CSC</w:t>
      </w:r>
      <w:proofErr w:type="gramEnd"/>
      <w:r w:rsidRPr="0010303D">
        <w:t xml:space="preserve"> granted. He also requested the opportunity to undergo another psychological evaluation with </w:t>
      </w:r>
      <w:r>
        <w:t>‘</w:t>
      </w:r>
      <w:r w:rsidRPr="0010303D">
        <w:t>a different psychiatrist.</w:t>
      </w:r>
      <w:r>
        <w:t>’</w:t>
      </w:r>
      <w:r w:rsidRPr="0010303D">
        <w:t xml:space="preserve"> The CSC advised T.T. to provide any additional information he wished to have considered. On June 28, T.T. submitted to the MRP a psychological evaluation by Karin Gepp, Psy.D., who recommended him for the appointment of a firefighter</w:t>
      </w:r>
      <w:r>
        <w:t xml:space="preserve">…. </w:t>
      </w:r>
      <w:r w:rsidRPr="000A31CD">
        <w:t xml:space="preserve">The MRP concluded: </w:t>
      </w:r>
    </w:p>
    <w:p w14:paraId="73E11C2B" w14:textId="77777777" w:rsidR="005611CE" w:rsidRDefault="005611CE" w:rsidP="005611CE">
      <w:pPr>
        <w:pStyle w:val="NoSpacing"/>
      </w:pPr>
      <w:r w:rsidRPr="000A31CD">
        <w:t xml:space="preserve">Taking into consideration Dr. Liang's and Dr. </w:t>
      </w:r>
      <w:proofErr w:type="spellStart"/>
      <w:r w:rsidRPr="000A31CD">
        <w:t>Gepp's</w:t>
      </w:r>
      <w:proofErr w:type="spellEnd"/>
      <w:r w:rsidRPr="000A31CD">
        <w:t xml:space="preserve"> evaluations, [T.T.'s] presentation, the psychological test results, and the behavioral record when viewed in consideration of the job specifications for Fire Fighter it indicates that [T.T.] should have an independent evaluation to further explore the issues noted above by the MRP</w:t>
      </w:r>
      <w:r>
        <w:t xml:space="preserve">…. </w:t>
      </w:r>
      <w:r w:rsidRPr="00B37D7B">
        <w:t>T.T. and the Township objected to a third evaluation. On January 17, 2024, the CSC issued a decision, accepting the MRP's recommendation and ordering T.T. to undergo an independent psychological evaluation with Robert Kanen, Psy. D</w:t>
      </w:r>
      <w:r>
        <w:t xml:space="preserve">…. </w:t>
      </w:r>
      <w:r w:rsidRPr="00676822">
        <w:t xml:space="preserve">On February 12, 2024, Dr. Kanen issued a written report, finding T.T. to be </w:t>
      </w:r>
      <w:r>
        <w:t>‘</w:t>
      </w:r>
      <w:r w:rsidRPr="00676822">
        <w:t>functioning within normal ranges,</w:t>
      </w:r>
      <w:r>
        <w:t>’</w:t>
      </w:r>
      <w:r w:rsidRPr="00676822">
        <w:t xml:space="preserve"> and that </w:t>
      </w:r>
      <w:r>
        <w:t>‘</w:t>
      </w:r>
      <w:r w:rsidRPr="00676822">
        <w:t>no psychopathology or personality problems that would interfere with [his] work performance.</w:t>
      </w:r>
      <w:r>
        <w:t>’</w:t>
      </w:r>
      <w:r w:rsidRPr="00676822">
        <w:t xml:space="preserve"> According to the personality testing administered by Dr. Kanen, T.T. </w:t>
      </w:r>
      <w:r>
        <w:t>‘</w:t>
      </w:r>
      <w:r w:rsidRPr="00676822">
        <w:t>scored in the category of likely to be recommended for employment in a public safety/security position,</w:t>
      </w:r>
      <w:r>
        <w:t>’</w:t>
      </w:r>
      <w:r w:rsidRPr="00676822">
        <w:t xml:space="preserve"> and </w:t>
      </w:r>
      <w:r>
        <w:t>‘</w:t>
      </w:r>
      <w:r w:rsidRPr="00676822">
        <w:t>likely to meet expectations.</w:t>
      </w:r>
      <w:r>
        <w:t>’</w:t>
      </w:r>
      <w:r w:rsidRPr="00676822">
        <w:t xml:space="preserve"> Thus, Dr. Kanen concluded that T.</w:t>
      </w:r>
      <w:proofErr w:type="gramStart"/>
      <w:r w:rsidRPr="00676822">
        <w:t xml:space="preserve">T. </w:t>
      </w:r>
      <w:r>
        <w:t>‘</w:t>
      </w:r>
      <w:proofErr w:type="gramEnd"/>
      <w:r w:rsidRPr="00676822">
        <w:t>is psychologically suitable for employment as a firefighter for the Town[ship].</w:t>
      </w:r>
      <w:r>
        <w:t xml:space="preserve">’ </w:t>
      </w:r>
    </w:p>
    <w:p w14:paraId="1E028B18" w14:textId="77777777" w:rsidR="005611CE" w:rsidRDefault="005611CE" w:rsidP="005611CE">
      <w:pPr>
        <w:pStyle w:val="NoSpacing"/>
      </w:pPr>
    </w:p>
    <w:p w14:paraId="629ED9BB" w14:textId="77777777" w:rsidR="005611CE" w:rsidRDefault="005611CE" w:rsidP="005611CE">
      <w:pPr>
        <w:pStyle w:val="NoSpacing"/>
      </w:pPr>
      <w:r>
        <w:t>***</w:t>
      </w:r>
    </w:p>
    <w:p w14:paraId="0313B5C0" w14:textId="77777777" w:rsidR="005611CE" w:rsidRPr="00853CD0" w:rsidRDefault="005611CE" w:rsidP="005611CE">
      <w:pPr>
        <w:pStyle w:val="NoSpacing"/>
      </w:pPr>
      <w:r w:rsidRPr="00853CD0">
        <w:t xml:space="preserve">We reject the Township's assertion that Dr. Liang's report was adequate and that the CSC gave </w:t>
      </w:r>
      <w:r>
        <w:t>‘</w:t>
      </w:r>
      <w:r w:rsidRPr="00853CD0">
        <w:t>short shrift</w:t>
      </w:r>
      <w:r>
        <w:t>’</w:t>
      </w:r>
      <w:r w:rsidRPr="00853CD0">
        <w:t xml:space="preserve"> to the disqualifying factors noted in his report. The MRP recognized T.T.'s negative factors, including his negative legal interactions, his motor vehicle accidents as well as the negative background recommendations. The MRP considered all relevant factors and other relevant information, and concluded: </w:t>
      </w:r>
    </w:p>
    <w:p w14:paraId="26303FEC" w14:textId="77777777" w:rsidR="005611CE" w:rsidRDefault="005611CE" w:rsidP="005611CE">
      <w:pPr>
        <w:pStyle w:val="NoSpacing"/>
      </w:pPr>
    </w:p>
    <w:p w14:paraId="24110AEB" w14:textId="77777777" w:rsidR="005611CE" w:rsidRPr="00853CD0" w:rsidRDefault="005611CE" w:rsidP="005611CE">
      <w:pPr>
        <w:pStyle w:val="NoSpacing"/>
        <w:ind w:left="720"/>
      </w:pPr>
      <w:r w:rsidRPr="00853CD0">
        <w:lastRenderedPageBreak/>
        <w:t xml:space="preserve">Taking into consideration Dr. Liang's and Dr. </w:t>
      </w:r>
      <w:proofErr w:type="spellStart"/>
      <w:r w:rsidRPr="00853CD0">
        <w:t>Gepp's</w:t>
      </w:r>
      <w:proofErr w:type="spellEnd"/>
      <w:r w:rsidRPr="00853CD0">
        <w:t xml:space="preserve"> evaluations, [T.T.]'s presentation, the psychological test results, and the behavioral record when viewed in consideration of the jobs specifications for Fire Fighter, it indicates that the applicant should have an independent evaluation to further explore the issues noted above by the MRP. </w:t>
      </w:r>
    </w:p>
    <w:p w14:paraId="3CDC9D1B" w14:textId="77777777" w:rsidR="005611CE" w:rsidRPr="0010303D" w:rsidRDefault="005611CE" w:rsidP="005611CE">
      <w:pPr>
        <w:pStyle w:val="NoSpacing"/>
      </w:pPr>
    </w:p>
    <w:p w14:paraId="7683F670" w14:textId="77777777" w:rsidR="005611CE" w:rsidRPr="00E56BD0" w:rsidRDefault="005611CE" w:rsidP="005611CE">
      <w:pPr>
        <w:pStyle w:val="NoSpacing"/>
      </w:pPr>
      <w:r w:rsidRPr="00E56BD0">
        <w:t xml:space="preserve">Contrary to the Township's assertions, Dr. Kanen noted that T.T. had </w:t>
      </w:r>
      <w:r>
        <w:t>‘</w:t>
      </w:r>
      <w:r w:rsidRPr="00E56BD0">
        <w:t xml:space="preserve">been involved in several motor vehicle </w:t>
      </w:r>
      <w:proofErr w:type="gramStart"/>
      <w:r w:rsidRPr="00E56BD0">
        <w:t>accidents[,]</w:t>
      </w:r>
      <w:r>
        <w:t>’</w:t>
      </w:r>
      <w:proofErr w:type="gramEnd"/>
      <w:r w:rsidRPr="00E56BD0">
        <w:t xml:space="preserve"> two of which were his fault. He also noted that</w:t>
      </w:r>
      <w:r>
        <w:t xml:space="preserve"> ‘</w:t>
      </w:r>
      <w:r w:rsidRPr="00E56BD0">
        <w:t>[a]t present, there are no points on his license.</w:t>
      </w:r>
      <w:r>
        <w:t>’</w:t>
      </w:r>
      <w:r w:rsidRPr="00E56BD0">
        <w:t xml:space="preserve"> He also took note of T.T.'s ADHD history but concluded that T.T. had improved: his </w:t>
      </w:r>
      <w:r>
        <w:t>‘</w:t>
      </w:r>
      <w:r w:rsidRPr="00E56BD0">
        <w:t>[t]</w:t>
      </w:r>
      <w:proofErr w:type="spellStart"/>
      <w:r w:rsidRPr="00E56BD0">
        <w:t>hought</w:t>
      </w:r>
      <w:proofErr w:type="spellEnd"/>
      <w:r w:rsidRPr="00E56BD0">
        <w:t xml:space="preserve"> processes were logical and coherent. There was no evidence of </w:t>
      </w:r>
    </w:p>
    <w:p w14:paraId="3F921A87" w14:textId="77777777" w:rsidR="005611CE" w:rsidRDefault="005611CE" w:rsidP="005611CE">
      <w:pPr>
        <w:pStyle w:val="NoSpacing"/>
      </w:pPr>
      <w:r w:rsidRPr="00E56BD0">
        <w:t>mental illness[,] . . . [and] [h]e is not currently taking medication for mental health problems.</w:t>
      </w:r>
      <w:r>
        <w:t>’</w:t>
      </w:r>
      <w:r w:rsidRPr="00E56BD0">
        <w:t xml:space="preserve"> Dr. Kanen considered T.T.'s prior employment history, including his past resignation in lieu of termination, and his prior evaluations, noting that he "failed [a prior] psychological evaluation" in 2021. The Township's assertion that Dr. Kanen failed to address the </w:t>
      </w:r>
      <w:proofErr w:type="gramStart"/>
      <w:r w:rsidRPr="00E56BD0">
        <w:t>concerning factual issues</w:t>
      </w:r>
      <w:proofErr w:type="gramEnd"/>
      <w:r w:rsidRPr="00E56BD0">
        <w:t xml:space="preserve"> is not supported by the record.</w:t>
      </w:r>
      <w:r>
        <w:t>’</w:t>
      </w:r>
    </w:p>
    <w:p w14:paraId="63107FFD" w14:textId="77777777" w:rsidR="005611CE" w:rsidRDefault="005611CE" w:rsidP="005611CE">
      <w:pPr>
        <w:pStyle w:val="NoSpacing"/>
      </w:pPr>
    </w:p>
    <w:p w14:paraId="0B0AE9AD" w14:textId="77777777" w:rsidR="005611CE" w:rsidRPr="0002184A" w:rsidRDefault="005611CE" w:rsidP="005611CE">
      <w:pPr>
        <w:pStyle w:val="NoSpacing"/>
        <w:rPr>
          <w:b/>
          <w:bCs/>
        </w:rPr>
      </w:pPr>
      <w:r>
        <w:rPr>
          <w:b/>
        </w:rPr>
        <w:t xml:space="preserve">Legal lesson learned:  The applicants passed two </w:t>
      </w:r>
      <w:proofErr w:type="gramStart"/>
      <w:r>
        <w:rPr>
          <w:b/>
        </w:rPr>
        <w:t>out</w:t>
      </w:r>
      <w:proofErr w:type="gramEnd"/>
      <w:r>
        <w:rPr>
          <w:b/>
        </w:rPr>
        <w:t xml:space="preserve"> three psychological exams. </w:t>
      </w:r>
    </w:p>
    <w:p w14:paraId="3CB34061" w14:textId="77777777" w:rsidR="005611CE" w:rsidRDefault="005611CE" w:rsidP="005611CE">
      <w:pPr>
        <w:pStyle w:val="NoSpacing"/>
      </w:pPr>
    </w:p>
    <w:p w14:paraId="43B99B5C" w14:textId="77777777" w:rsidR="005611CE" w:rsidRDefault="005611CE" w:rsidP="005611CE">
      <w:pPr>
        <w:pStyle w:val="NoSpacing"/>
        <w:rPr>
          <w:b/>
          <w:sz w:val="20"/>
          <w:szCs w:val="20"/>
        </w:rPr>
      </w:pPr>
    </w:p>
    <w:p w14:paraId="4289F542" w14:textId="77777777" w:rsidR="005611CE" w:rsidRDefault="005611CE" w:rsidP="005611CE">
      <w:pPr>
        <w:pStyle w:val="NoSpacing"/>
        <w:rPr>
          <w:b/>
          <w:sz w:val="20"/>
          <w:szCs w:val="20"/>
        </w:rPr>
      </w:pPr>
    </w:p>
    <w:p w14:paraId="4192C0D7" w14:textId="77777777" w:rsidR="005611CE" w:rsidRDefault="005611CE" w:rsidP="005611CE">
      <w:pPr>
        <w:pStyle w:val="NoSpacing"/>
        <w:rPr>
          <w:b/>
          <w:sz w:val="20"/>
          <w:szCs w:val="20"/>
        </w:rPr>
      </w:pPr>
    </w:p>
    <w:p w14:paraId="592C2819" w14:textId="77777777" w:rsidR="00A971EA" w:rsidRDefault="00A971EA" w:rsidP="004D70DC">
      <w:pPr>
        <w:pStyle w:val="NoSpacing"/>
        <w:rPr>
          <w:rFonts w:ascii="Arial Black" w:hAnsi="Arial Black"/>
          <w:sz w:val="24"/>
          <w:szCs w:val="24"/>
        </w:rPr>
      </w:pPr>
    </w:p>
    <w:p w14:paraId="606D1C31" w14:textId="77777777" w:rsidR="00A971EA" w:rsidRDefault="00A971EA" w:rsidP="004D70DC">
      <w:pPr>
        <w:pStyle w:val="NoSpacing"/>
        <w:rPr>
          <w:rFonts w:ascii="Arial Black" w:hAnsi="Arial Black"/>
          <w:sz w:val="24"/>
          <w:szCs w:val="24"/>
        </w:rPr>
      </w:pPr>
    </w:p>
    <w:p w14:paraId="1AAD5082" w14:textId="77777777" w:rsidR="00A971EA" w:rsidRDefault="00A971EA" w:rsidP="004D70DC">
      <w:pPr>
        <w:pStyle w:val="NoSpacing"/>
        <w:rPr>
          <w:rFonts w:ascii="Arial Black" w:hAnsi="Arial Black"/>
          <w:sz w:val="24"/>
          <w:szCs w:val="24"/>
        </w:rPr>
      </w:pPr>
    </w:p>
    <w:p w14:paraId="624B6688" w14:textId="54DF6EDF" w:rsidR="009330C5" w:rsidRDefault="00AD7E21" w:rsidP="004D70DC">
      <w:pPr>
        <w:pStyle w:val="NoSpacing"/>
        <w:rPr>
          <w:rFonts w:ascii="Arial Black" w:hAnsi="Arial Black"/>
          <w:sz w:val="24"/>
          <w:szCs w:val="24"/>
        </w:rPr>
      </w:pPr>
      <w:r>
        <w:rPr>
          <w:rFonts w:ascii="Arial Black" w:hAnsi="Arial Black"/>
          <w:sz w:val="24"/>
          <w:szCs w:val="24"/>
        </w:rPr>
        <w:t>15-53</w:t>
      </w:r>
      <w:r w:rsidR="001C15DD">
        <w:rPr>
          <w:rFonts w:ascii="Arial Black" w:hAnsi="Arial Black"/>
          <w:sz w:val="24"/>
          <w:szCs w:val="24"/>
        </w:rPr>
        <w:t xml:space="preserve"> [also filed, Chap. 9, ADA]</w:t>
      </w:r>
    </w:p>
    <w:p w14:paraId="262428C6" w14:textId="77777777" w:rsidR="001C15DD" w:rsidRDefault="001C15DD" w:rsidP="004D70DC">
      <w:pPr>
        <w:pStyle w:val="NoSpacing"/>
        <w:rPr>
          <w:rFonts w:ascii="Arial Black" w:hAnsi="Arial Black"/>
          <w:sz w:val="24"/>
          <w:szCs w:val="24"/>
        </w:rPr>
      </w:pPr>
    </w:p>
    <w:p w14:paraId="053DF54B" w14:textId="77777777" w:rsidR="00AD7E21" w:rsidRPr="00E60E4B" w:rsidRDefault="00AD7E21" w:rsidP="00AD7E21">
      <w:pPr>
        <w:rPr>
          <w:rFonts w:ascii="Arial Black" w:hAnsi="Arial Black"/>
          <w:b/>
          <w:sz w:val="28"/>
          <w:szCs w:val="28"/>
        </w:rPr>
      </w:pPr>
      <w:r>
        <w:rPr>
          <w:rFonts w:ascii="Arial Black" w:hAnsi="Arial Black"/>
          <w:b/>
          <w:sz w:val="28"/>
          <w:szCs w:val="28"/>
        </w:rPr>
        <w:t xml:space="preserve">KY: FIRE MARSHAL – NO MJ - SUICIDE ATTEMPT ADDERALL </w:t>
      </w:r>
    </w:p>
    <w:p w14:paraId="34F7FC5D" w14:textId="77777777" w:rsidR="00AD7E21" w:rsidRDefault="00AD7E21" w:rsidP="00AD7E21">
      <w:pPr>
        <w:pStyle w:val="NoSpacing"/>
      </w:pPr>
      <w:r>
        <w:t xml:space="preserve">On May 5, 2026, in </w:t>
      </w:r>
      <w:r w:rsidRPr="00BE6F41">
        <w:rPr>
          <w:u w:val="single"/>
        </w:rPr>
        <w:t>Joseph Wheeling v. City of Winchester</w:t>
      </w:r>
      <w:r>
        <w:t xml:space="preserve">, U.S. District Court Judge </w:t>
      </w:r>
      <w:r w:rsidRPr="003F4A5C">
        <w:t>Karen K. Caldwel</w:t>
      </w:r>
      <w:r>
        <w:t xml:space="preserve">, United States District Court for Eastern District of Kentucky, Central Division, Lexington, granted the City’s motion for summary judgment on his May 16, </w:t>
      </w:r>
      <w:proofErr w:type="gramStart"/>
      <w:r>
        <w:t>2023</w:t>
      </w:r>
      <w:proofErr w:type="gramEnd"/>
      <w:r>
        <w:t xml:space="preserve"> termination for breach of city’s drug policy - abuse of proscribed medication.  The Fire Marshal had taken FMLA leave </w:t>
      </w:r>
      <w:r w:rsidRPr="00D73A56">
        <w:t>June 22</w:t>
      </w:r>
      <w:r>
        <w:t>-</w:t>
      </w:r>
      <w:r w:rsidRPr="00D73A56">
        <w:t xml:space="preserve">25, 2022, </w:t>
      </w:r>
      <w:r>
        <w:t xml:space="preserve">for </w:t>
      </w:r>
      <w:r w:rsidRPr="00D73A56">
        <w:t>in-patient treatment at the International Association of Fire Fighters Center for Excellence</w:t>
      </w:r>
      <w:r>
        <w:t xml:space="preserve">, and upon return he was receiving treatment </w:t>
      </w:r>
      <w:r w:rsidRPr="00216F9E">
        <w:t>Bluegrass Behavioral Health and Consulting Services</w:t>
      </w:r>
      <w:r>
        <w:t xml:space="preserve">.  After a second FMLA, the </w:t>
      </w:r>
      <w:proofErr w:type="gramStart"/>
      <w:r>
        <w:t>City</w:t>
      </w:r>
      <w:proofErr w:type="gramEnd"/>
      <w:r>
        <w:t xml:space="preserve"> declined his return to work using proscribed marijuana, so he was proscribed Adderall.  He r</w:t>
      </w:r>
      <w:r w:rsidRPr="00724F86">
        <w:t>eturned to work on March 14, 2023</w:t>
      </w:r>
      <w:r>
        <w:t xml:space="preserve">; but on </w:t>
      </w:r>
      <w:r w:rsidRPr="00147A46">
        <w:t xml:space="preserve">March 31, 2023, Wheeling attempted suicide while at work by </w:t>
      </w:r>
      <w:r w:rsidRPr="00D600CD">
        <w:t>ingesting about 9 or 11 Adderall pills.</w:t>
      </w:r>
      <w:r>
        <w:t xml:space="preserve"> THE COURT WROTE: “</w:t>
      </w:r>
      <w:r w:rsidRPr="00835EAE">
        <w:t xml:space="preserve">Because the record conclusively reveals a nondiscriminatory reason for the termination, the </w:t>
      </w:r>
      <w:proofErr w:type="gramStart"/>
      <w:r w:rsidRPr="00835EAE">
        <w:t>City</w:t>
      </w:r>
      <w:proofErr w:type="gramEnd"/>
      <w:r w:rsidRPr="00835EAE">
        <w:t xml:space="preserve"> is entitled to summary judgment on the disability discrimination claim</w:t>
      </w:r>
      <w:r>
        <w:t xml:space="preserve">…. </w:t>
      </w:r>
      <w:r w:rsidRPr="00E60E4B">
        <w:t xml:space="preserve"> Here, the written job requirements, the undisputed testimony from Wheeling and his supervisors, and the duties inherent in being a first responder indicate that field inspections and fire prevention </w:t>
      </w:r>
      <w:proofErr w:type="gramStart"/>
      <w:r w:rsidRPr="00E60E4B">
        <w:t>is</w:t>
      </w:r>
      <w:proofErr w:type="gramEnd"/>
      <w:r w:rsidRPr="00E60E4B">
        <w:t xml:space="preserve"> essential to performing the Fire Marshal role. The </w:t>
      </w:r>
      <w:proofErr w:type="gramStart"/>
      <w:r w:rsidRPr="00E60E4B">
        <w:t>City</w:t>
      </w:r>
      <w:proofErr w:type="gramEnd"/>
      <w:r w:rsidRPr="00E60E4B">
        <w:t xml:space="preserve"> was not required to reassign Wheeling's fire inspection and prevention responsibilities to other employees</w:t>
      </w:r>
      <w:r>
        <w:t xml:space="preserve">…. </w:t>
      </w:r>
      <w:r w:rsidRPr="00E60E4B">
        <w:t xml:space="preserve">Therefore, based on the record, Wheeling's request to have other employees help with </w:t>
      </w:r>
      <w:r>
        <w:t>‘</w:t>
      </w:r>
      <w:r w:rsidRPr="00E60E4B">
        <w:t xml:space="preserve">fire </w:t>
      </w:r>
      <w:proofErr w:type="gramStart"/>
      <w:r w:rsidRPr="00E60E4B">
        <w:t>inspections</w:t>
      </w:r>
      <w:r>
        <w:t>’</w:t>
      </w:r>
      <w:r w:rsidRPr="00E60E4B">
        <w:t xml:space="preserve"> and </w:t>
      </w:r>
      <w:r>
        <w:t>‘</w:t>
      </w:r>
      <w:proofErr w:type="gramEnd"/>
      <w:r w:rsidRPr="00E60E4B">
        <w:t>fire prevention</w:t>
      </w:r>
      <w:r>
        <w:t xml:space="preserve">’ </w:t>
      </w:r>
      <w:r w:rsidRPr="00E60E4B">
        <w:t xml:space="preserve">seeks </w:t>
      </w:r>
      <w:proofErr w:type="gramStart"/>
      <w:r w:rsidRPr="00E60E4B">
        <w:t>an accommodation</w:t>
      </w:r>
      <w:proofErr w:type="gramEnd"/>
      <w:r w:rsidRPr="00E60E4B">
        <w:t xml:space="preserve"> relating to the most fundamental aspects of the job. On this evidence, no reasonable jury could conclude that Wheeling's accommodation request would not eliminate or reallocate the most essential functions of his job</w:t>
      </w:r>
      <w:r>
        <w:t xml:space="preserve">…. </w:t>
      </w:r>
      <w:r w:rsidRPr="00E60E4B">
        <w:t xml:space="preserve">Because Wheeling failed to provide a reasonable accommodation request, his failure to accommodate claim fails as a matter of </w:t>
      </w:r>
      <w:proofErr w:type="gramStart"/>
      <w:r w:rsidRPr="00E60E4B">
        <w:t>law.</w:t>
      </w:r>
      <w:r>
        <w:t>”</w:t>
      </w:r>
      <w:proofErr w:type="gramEnd"/>
      <w:r>
        <w:t xml:space="preserve"> </w:t>
      </w:r>
      <w:hyperlink r:id="rId2465" w:history="1">
        <w:r w:rsidRPr="00BC462E">
          <w:rPr>
            <w:rStyle w:val="Hyperlink"/>
          </w:rPr>
          <w:t>https://cases.justia.com/federal/district-courts/kentucky/kyedce/5:2024cv00129/104855/29/0.pdf?ts=1778093974</w:t>
        </w:r>
      </w:hyperlink>
      <w:r>
        <w:t xml:space="preserve"> </w:t>
      </w:r>
    </w:p>
    <w:p w14:paraId="28994584" w14:textId="77777777" w:rsidR="00AD7E21" w:rsidRDefault="00AD7E21" w:rsidP="00AD7E21">
      <w:pPr>
        <w:pStyle w:val="NoSpacing"/>
      </w:pPr>
    </w:p>
    <w:p w14:paraId="1B0CA89B" w14:textId="77777777" w:rsidR="00AD7E21" w:rsidRDefault="00AD7E21" w:rsidP="00AD7E21">
      <w:pPr>
        <w:pStyle w:val="NoSpacing"/>
      </w:pPr>
      <w:r>
        <w:t xml:space="preserve">THE COURT HELD: </w:t>
      </w:r>
    </w:p>
    <w:p w14:paraId="4FACF901" w14:textId="77777777" w:rsidR="00AD7E21" w:rsidRDefault="00AD7E21" w:rsidP="00AD7E21">
      <w:pPr>
        <w:pStyle w:val="NoSpacing"/>
      </w:pPr>
    </w:p>
    <w:p w14:paraId="39D98C22" w14:textId="77777777" w:rsidR="00AD7E21" w:rsidRDefault="00AD7E21" w:rsidP="00AD7E21">
      <w:pPr>
        <w:pStyle w:val="NoSpacing"/>
        <w:ind w:left="720"/>
      </w:pPr>
      <w:r>
        <w:t>“</w:t>
      </w:r>
      <w:r w:rsidRPr="00CF2083">
        <w:t>Wheeling identifies two potential accommodations that could have aided him in his employment: using medical marijuana and additional personnel to assist him in the office</w:t>
      </w:r>
      <w:r>
        <w:t xml:space="preserve">…. </w:t>
      </w:r>
      <w:r w:rsidRPr="006A2B36">
        <w:t xml:space="preserve">The City's letter explained </w:t>
      </w:r>
      <w:proofErr w:type="gramStart"/>
      <w:r w:rsidRPr="006A2B36">
        <w:t>that,</w:t>
      </w:r>
      <w:proofErr w:type="gramEnd"/>
      <w:r w:rsidRPr="006A2B36">
        <w:t xml:space="preserve"> </w:t>
      </w:r>
      <w:r>
        <w:t>‘</w:t>
      </w:r>
      <w:r w:rsidRPr="006A2B36">
        <w:t xml:space="preserve">[Wheeling's] position of employment with the </w:t>
      </w:r>
      <w:proofErr w:type="gramStart"/>
      <w:r w:rsidRPr="006A2B36">
        <w:t>City</w:t>
      </w:r>
      <w:proofErr w:type="gramEnd"/>
      <w:r w:rsidRPr="006A2B36">
        <w:t xml:space="preserve"> is a heightened safety awareness level position (HSAL) that involves exceptional duties to the community citizens in the area of public safety.</w:t>
      </w:r>
      <w:r>
        <w:t xml:space="preserve">’ …. </w:t>
      </w:r>
      <w:r w:rsidRPr="006A2B36">
        <w:t xml:space="preserve">Because of the heightened safety level required of his position, the </w:t>
      </w:r>
      <w:proofErr w:type="gramStart"/>
      <w:r w:rsidRPr="006A2B36">
        <w:t>City</w:t>
      </w:r>
      <w:proofErr w:type="gramEnd"/>
      <w:r w:rsidRPr="006A2B36">
        <w:t xml:space="preserve"> explicitly prohibited his use of medical marijuana. </w:t>
      </w:r>
    </w:p>
    <w:p w14:paraId="69E1B5FD" w14:textId="77777777" w:rsidR="00AD7E21" w:rsidRDefault="00AD7E21" w:rsidP="00AD7E21">
      <w:pPr>
        <w:pStyle w:val="NoSpacing"/>
        <w:ind w:left="720"/>
      </w:pPr>
    </w:p>
    <w:p w14:paraId="130F893F" w14:textId="77777777" w:rsidR="00AD7E21" w:rsidRDefault="00AD7E21" w:rsidP="00AD7E21">
      <w:pPr>
        <w:pStyle w:val="NoSpacing"/>
        <w:ind w:left="720"/>
      </w:pPr>
      <w:r>
        <w:t>***</w:t>
      </w:r>
    </w:p>
    <w:p w14:paraId="561103A9" w14:textId="77777777" w:rsidR="00AD7E21" w:rsidRDefault="00AD7E21" w:rsidP="00AD7E21">
      <w:pPr>
        <w:pStyle w:val="NoSpacing"/>
        <w:ind w:left="720"/>
      </w:pPr>
    </w:p>
    <w:p w14:paraId="65C65910" w14:textId="77777777" w:rsidR="00AD7E21" w:rsidRPr="00A43D41" w:rsidRDefault="00AD7E21" w:rsidP="00AD7E21">
      <w:pPr>
        <w:pStyle w:val="NoSpacing"/>
        <w:ind w:left="720"/>
      </w:pPr>
      <w:r w:rsidRPr="00A43D41">
        <w:t xml:space="preserve">Wheeling's healthcare provider responded with a March 1, </w:t>
      </w:r>
      <w:proofErr w:type="gramStart"/>
      <w:r w:rsidRPr="00A43D41">
        <w:t>2023, letter</w:t>
      </w:r>
      <w:proofErr w:type="gramEnd"/>
      <w:r w:rsidRPr="00A43D41">
        <w:t xml:space="preserve">: </w:t>
      </w:r>
    </w:p>
    <w:p w14:paraId="05539F85" w14:textId="77777777" w:rsidR="00AD7E21" w:rsidRDefault="00AD7E21" w:rsidP="00AD7E21">
      <w:pPr>
        <w:pStyle w:val="NoSpacing"/>
        <w:ind w:left="720" w:firstLine="720"/>
      </w:pPr>
    </w:p>
    <w:p w14:paraId="741B6996" w14:textId="77777777" w:rsidR="00AD7E21" w:rsidRPr="00A43D41" w:rsidRDefault="00AD7E21" w:rsidP="00AD7E21">
      <w:pPr>
        <w:pStyle w:val="NoSpacing"/>
        <w:ind w:left="1440"/>
      </w:pPr>
      <w:r w:rsidRPr="00A43D41">
        <w:t xml:space="preserve">This letter is to certify that Joseph Wheeling has been released to return to work effective immediately with the following accommodation(s): </w:t>
      </w:r>
    </w:p>
    <w:p w14:paraId="5AAE8924" w14:textId="77777777" w:rsidR="00AD7E21" w:rsidRPr="00A43D41" w:rsidRDefault="00AD7E21" w:rsidP="00AD7E21">
      <w:pPr>
        <w:pStyle w:val="NoSpacing"/>
        <w:ind w:left="1440"/>
      </w:pPr>
      <w:r w:rsidRPr="00A43D41">
        <w:t xml:space="preserve">• Scheduling flexibility to allow him to continue his medical treatment which includes weekly </w:t>
      </w:r>
      <w:proofErr w:type="spellStart"/>
      <w:r w:rsidRPr="00A43D41">
        <w:t>Spravato</w:t>
      </w:r>
      <w:proofErr w:type="spellEnd"/>
      <w:r w:rsidRPr="00A43D41">
        <w:t xml:space="preserve"> treatment and therapy. </w:t>
      </w:r>
    </w:p>
    <w:p w14:paraId="74D00869" w14:textId="77777777" w:rsidR="00AD7E21" w:rsidRPr="00A43D41" w:rsidRDefault="00AD7E21" w:rsidP="00AD7E21">
      <w:pPr>
        <w:pStyle w:val="NoSpacing"/>
        <w:ind w:left="1440"/>
      </w:pPr>
      <w:r w:rsidRPr="00A43D41">
        <w:t xml:space="preserve">Please note that additional </w:t>
      </w:r>
      <w:proofErr w:type="gramStart"/>
      <w:r w:rsidRPr="00A43D41">
        <w:t>accommodations</w:t>
      </w:r>
      <w:proofErr w:type="gramEnd"/>
      <w:r w:rsidRPr="00A43D41">
        <w:t xml:space="preserve"> may be required in the future and are dependent on progress/status. </w:t>
      </w:r>
    </w:p>
    <w:p w14:paraId="6BDF9848" w14:textId="77777777" w:rsidR="00AD7E21" w:rsidRPr="00A43D41" w:rsidRDefault="00AD7E21" w:rsidP="00AD7E21">
      <w:pPr>
        <w:pStyle w:val="NoSpacing"/>
        <w:ind w:left="1440"/>
      </w:pPr>
      <w:r w:rsidRPr="00A43D41">
        <w:t xml:space="preserve">Please note that it is felt that the </w:t>
      </w:r>
      <w:proofErr w:type="gramStart"/>
      <w:r w:rsidRPr="00A43D41">
        <w:t>above mentioned</w:t>
      </w:r>
      <w:proofErr w:type="gramEnd"/>
      <w:r w:rsidRPr="00A43D41">
        <w:t xml:space="preserve"> is capable of safely performing the required functions of his job while taking his current prescribed medications: </w:t>
      </w:r>
      <w:proofErr w:type="spellStart"/>
      <w:r w:rsidRPr="00A43D41">
        <w:t>Spravato</w:t>
      </w:r>
      <w:proofErr w:type="spellEnd"/>
      <w:r w:rsidRPr="00A43D41">
        <w:t xml:space="preserve"> (administered in office, once weekly, and Clonazepam 0.5mg twice daily as needed. </w:t>
      </w:r>
    </w:p>
    <w:p w14:paraId="7BE1F0F9" w14:textId="77777777" w:rsidR="00AD7E21" w:rsidRDefault="00AD7E21" w:rsidP="00AD7E21">
      <w:pPr>
        <w:pStyle w:val="NoSpacing"/>
        <w:ind w:left="720"/>
      </w:pPr>
    </w:p>
    <w:p w14:paraId="25E6732D" w14:textId="77777777" w:rsidR="00AD7E21" w:rsidRDefault="00AD7E21" w:rsidP="00AD7E21">
      <w:pPr>
        <w:pStyle w:val="NoSpacing"/>
        <w:ind w:left="720"/>
      </w:pPr>
      <w:r w:rsidRPr="00077FEA">
        <w:t xml:space="preserve">After </w:t>
      </w:r>
      <w:proofErr w:type="gramStart"/>
      <w:r w:rsidRPr="00077FEA">
        <w:t>receipt of</w:t>
      </w:r>
      <w:proofErr w:type="gramEnd"/>
      <w:r w:rsidRPr="00077FEA">
        <w:t xml:space="preserve"> the letter, the City confirmed that the proposed treatment plan complied with its policies.</w:t>
      </w:r>
    </w:p>
    <w:p w14:paraId="14DD3C6C" w14:textId="77777777" w:rsidR="00AD7E21" w:rsidRDefault="00AD7E21" w:rsidP="00AD7E21">
      <w:pPr>
        <w:pStyle w:val="NoSpacing"/>
        <w:ind w:left="720"/>
      </w:pPr>
    </w:p>
    <w:p w14:paraId="0663C21F" w14:textId="77777777" w:rsidR="00AD7E21" w:rsidRDefault="00AD7E21" w:rsidP="00AD7E21">
      <w:pPr>
        <w:pStyle w:val="NoSpacing"/>
        <w:ind w:left="720"/>
      </w:pPr>
      <w:r>
        <w:t>***</w:t>
      </w:r>
    </w:p>
    <w:p w14:paraId="3C1ACC4B" w14:textId="77777777" w:rsidR="00AD7E21" w:rsidRDefault="00AD7E21" w:rsidP="00AD7E21">
      <w:pPr>
        <w:pStyle w:val="NoSpacing"/>
        <w:ind w:left="720"/>
      </w:pPr>
      <w:r w:rsidRPr="00746CE2">
        <w:t xml:space="preserve">The </w:t>
      </w:r>
      <w:proofErr w:type="gramStart"/>
      <w:r w:rsidRPr="00746CE2">
        <w:t>City</w:t>
      </w:r>
      <w:proofErr w:type="gramEnd"/>
      <w:r w:rsidRPr="00746CE2">
        <w:t xml:space="preserve"> was not required to reassign Wheeling's fire inspection and prevention responsibilities to other employees</w:t>
      </w:r>
      <w:r>
        <w:t xml:space="preserve">…. </w:t>
      </w:r>
      <w:r w:rsidRPr="00746CE2">
        <w:t xml:space="preserve">Therefore, based on the record, Wheeling's request to have other employees help with </w:t>
      </w:r>
      <w:r>
        <w:t>‘</w:t>
      </w:r>
      <w:r w:rsidRPr="00746CE2">
        <w:t xml:space="preserve">fire </w:t>
      </w:r>
      <w:proofErr w:type="gramStart"/>
      <w:r w:rsidRPr="00746CE2">
        <w:t>inspections</w:t>
      </w:r>
      <w:r>
        <w:t>’</w:t>
      </w:r>
      <w:r w:rsidRPr="00746CE2">
        <w:t xml:space="preserve"> and </w:t>
      </w:r>
      <w:r>
        <w:t>‘</w:t>
      </w:r>
      <w:proofErr w:type="gramEnd"/>
      <w:r w:rsidRPr="00746CE2">
        <w:t>fire prevention</w:t>
      </w:r>
      <w:r>
        <w:t>’</w:t>
      </w:r>
      <w:r w:rsidRPr="00746CE2">
        <w:t xml:space="preserve"> seeks </w:t>
      </w:r>
      <w:proofErr w:type="gramStart"/>
      <w:r w:rsidRPr="00746CE2">
        <w:t>an accommodation</w:t>
      </w:r>
      <w:proofErr w:type="gramEnd"/>
      <w:r w:rsidRPr="00746CE2">
        <w:t xml:space="preserve"> relating to the most fundamental aspects of the job. On this evidence, no reasonable jury could conclude that Wheeling's accommodation request would not eliminate or reallocate the most essential functions of his job</w:t>
      </w:r>
      <w:r>
        <w:t xml:space="preserve">…. </w:t>
      </w:r>
      <w:r w:rsidRPr="00746CE2">
        <w:t xml:space="preserve">Because Wheeling failed to provide a reasonable accommodation request, his failure to accommodate claim fails as a matter of </w:t>
      </w:r>
      <w:proofErr w:type="gramStart"/>
      <w:r w:rsidRPr="00746CE2">
        <w:t>law.</w:t>
      </w:r>
      <w:r>
        <w:t>”</w:t>
      </w:r>
      <w:proofErr w:type="gramEnd"/>
    </w:p>
    <w:p w14:paraId="6B1C3974" w14:textId="77777777" w:rsidR="00AD7E21" w:rsidRDefault="00AD7E21" w:rsidP="00AD7E21">
      <w:pPr>
        <w:pStyle w:val="NoSpacing"/>
        <w:ind w:left="720"/>
      </w:pPr>
    </w:p>
    <w:p w14:paraId="34D4F9AC" w14:textId="77777777" w:rsidR="00AD7E21" w:rsidRDefault="00AD7E21" w:rsidP="00AD7E21">
      <w:pPr>
        <w:pStyle w:val="NoSpacing"/>
        <w:rPr>
          <w:b/>
          <w:bCs/>
        </w:rPr>
      </w:pPr>
      <w:r>
        <w:rPr>
          <w:b/>
        </w:rPr>
        <w:t xml:space="preserve">Legal lesson learned: The ADA does not require an employer to allow use of proscribed marijuana for an emergency responder. </w:t>
      </w:r>
    </w:p>
    <w:p w14:paraId="697B0FED" w14:textId="77777777" w:rsidR="00AD7E21" w:rsidRDefault="00AD7E21" w:rsidP="00AD7E21">
      <w:pPr>
        <w:pStyle w:val="NoSpacing"/>
        <w:rPr>
          <w:b/>
          <w:bCs/>
        </w:rPr>
      </w:pPr>
    </w:p>
    <w:p w14:paraId="311EEC23" w14:textId="77777777" w:rsidR="00AD7E21" w:rsidRPr="00CC791A" w:rsidRDefault="00AD7E21" w:rsidP="00AD7E21">
      <w:pPr>
        <w:pStyle w:val="NoSpacing"/>
        <w:ind w:left="720"/>
      </w:pPr>
      <w:r w:rsidRPr="00CC791A">
        <w:t>Note: Good news. The Court wrote that “Wheeling is currently employed at the Clark County Fire Department, which is also where he began his career as a firefighter in 2008.”</w:t>
      </w:r>
    </w:p>
    <w:p w14:paraId="68E3C65E" w14:textId="77777777" w:rsidR="00AD7E21" w:rsidRDefault="00AD7E21" w:rsidP="004D70DC">
      <w:pPr>
        <w:pStyle w:val="NoSpacing"/>
        <w:rPr>
          <w:rFonts w:ascii="Arial Black" w:hAnsi="Arial Black"/>
          <w:sz w:val="24"/>
          <w:szCs w:val="24"/>
        </w:rPr>
      </w:pPr>
    </w:p>
    <w:p w14:paraId="58A20E15" w14:textId="77777777" w:rsidR="009330C5" w:rsidRDefault="009330C5" w:rsidP="004D70DC">
      <w:pPr>
        <w:pStyle w:val="NoSpacing"/>
        <w:rPr>
          <w:rFonts w:ascii="Arial Black" w:hAnsi="Arial Black"/>
          <w:sz w:val="24"/>
          <w:szCs w:val="24"/>
        </w:rPr>
      </w:pPr>
    </w:p>
    <w:p w14:paraId="7C5BA53C" w14:textId="77777777" w:rsidR="009330C5" w:rsidRDefault="009330C5" w:rsidP="004D70DC">
      <w:pPr>
        <w:pStyle w:val="NoSpacing"/>
        <w:rPr>
          <w:rFonts w:ascii="Arial Black" w:hAnsi="Arial Black"/>
          <w:sz w:val="24"/>
          <w:szCs w:val="24"/>
        </w:rPr>
      </w:pPr>
    </w:p>
    <w:p w14:paraId="164A4EB6" w14:textId="5C030ECD" w:rsidR="004D70DC" w:rsidRDefault="004D70DC" w:rsidP="004D70DC">
      <w:pPr>
        <w:pStyle w:val="NoSpacing"/>
        <w:rPr>
          <w:rFonts w:ascii="Arial Black" w:hAnsi="Arial Black"/>
          <w:sz w:val="24"/>
          <w:szCs w:val="24"/>
        </w:rPr>
      </w:pPr>
      <w:r>
        <w:rPr>
          <w:rFonts w:ascii="Arial Black" w:hAnsi="Arial Black"/>
          <w:sz w:val="24"/>
          <w:szCs w:val="24"/>
        </w:rPr>
        <w:t>15-52</w:t>
      </w:r>
      <w:r w:rsidR="003E35D8">
        <w:rPr>
          <w:rFonts w:ascii="Arial Black" w:hAnsi="Arial Black"/>
          <w:sz w:val="24"/>
          <w:szCs w:val="24"/>
        </w:rPr>
        <w:t xml:space="preserve"> [also filed, Chap. 9 – ADA]</w:t>
      </w:r>
    </w:p>
    <w:p w14:paraId="5566CD44" w14:textId="77777777" w:rsidR="004D70DC" w:rsidRDefault="004D70DC" w:rsidP="00073CC7">
      <w:pPr>
        <w:pStyle w:val="NoSpacing"/>
        <w:rPr>
          <w:rFonts w:ascii="Arial Black" w:hAnsi="Arial Black"/>
          <w:sz w:val="28"/>
          <w:szCs w:val="28"/>
        </w:rPr>
      </w:pPr>
    </w:p>
    <w:p w14:paraId="2F7BA50A" w14:textId="63DD979F" w:rsidR="00073CC7" w:rsidRDefault="00073CC7" w:rsidP="00073CC7">
      <w:pPr>
        <w:pStyle w:val="NoSpacing"/>
        <w:rPr>
          <w:rFonts w:ascii="Arial Black" w:hAnsi="Arial Black"/>
          <w:bCs/>
          <w:sz w:val="28"/>
          <w:szCs w:val="28"/>
        </w:rPr>
      </w:pPr>
      <w:r>
        <w:rPr>
          <w:rFonts w:ascii="Arial Black" w:hAnsi="Arial Black"/>
          <w:sz w:val="28"/>
          <w:szCs w:val="28"/>
        </w:rPr>
        <w:t>MD: DEPRESSION – SLOWER STATION – CASE PROCEED</w:t>
      </w:r>
    </w:p>
    <w:p w14:paraId="35772BD4" w14:textId="77777777" w:rsidR="00073CC7" w:rsidRDefault="00073CC7" w:rsidP="00073CC7">
      <w:pPr>
        <w:pStyle w:val="NoSpacing"/>
        <w:rPr>
          <w:rFonts w:ascii="Arial Black" w:hAnsi="Arial Black"/>
          <w:bCs/>
          <w:sz w:val="28"/>
          <w:szCs w:val="28"/>
        </w:rPr>
      </w:pPr>
    </w:p>
    <w:p w14:paraId="37D92A86" w14:textId="77777777" w:rsidR="00073CC7" w:rsidRDefault="00073CC7" w:rsidP="00073CC7">
      <w:pPr>
        <w:pStyle w:val="NoSpacing"/>
      </w:pPr>
      <w:r>
        <w:t xml:space="preserve">On April 28, 2025, in </w:t>
      </w:r>
      <w:r w:rsidRPr="00636B1D">
        <w:rPr>
          <w:u w:val="single"/>
        </w:rPr>
        <w:t xml:space="preserve">Mark R. Levy v. Howard County, Maryland and Howard County Fire </w:t>
      </w:r>
      <w:proofErr w:type="gramStart"/>
      <w:r w:rsidRPr="00636B1D">
        <w:rPr>
          <w:u w:val="single"/>
        </w:rPr>
        <w:t>And</w:t>
      </w:r>
      <w:proofErr w:type="gramEnd"/>
      <w:r w:rsidRPr="00636B1D">
        <w:rPr>
          <w:u w:val="single"/>
        </w:rPr>
        <w:t xml:space="preserve"> Rescue,</w:t>
      </w:r>
      <w:r>
        <w:t xml:space="preserve"> U.S. Senior District Court Judge </w:t>
      </w:r>
      <w:r w:rsidRPr="000725BC">
        <w:t>Richard D. Bennett</w:t>
      </w:r>
      <w:r>
        <w:t xml:space="preserve">, United States District Court for the District of Maryland, denied plaintiff’s motion for pre-trial </w:t>
      </w:r>
      <w:r w:rsidRPr="00467BB4">
        <w:t>declaratory</w:t>
      </w:r>
      <w:r>
        <w:t xml:space="preserve"> judgement; case will proceed with pre-trial discovery. The firefighter / paramedic has </w:t>
      </w:r>
      <w:r w:rsidRPr="004765D7">
        <w:t>been diagnosed with anxiety and depression since 2002</w:t>
      </w:r>
      <w:r>
        <w:t>; the case will proceed with pre-trial discovery.  The Court wrote: “</w:t>
      </w:r>
      <w:r w:rsidRPr="00832DBD">
        <w:t>To be clear, it is Levy's burden in this case of proving that he is a qualified individual with a disability and that, with a reasonable accommodation, he would be able to properly do the job of a Fire Fighter/Paramedic at Station 3.</w:t>
      </w:r>
      <w:r>
        <w:t xml:space="preserve">”  </w:t>
      </w:r>
      <w:hyperlink r:id="rId2466" w:history="1">
        <w:r w:rsidRPr="003A1948">
          <w:rPr>
            <w:rStyle w:val="Hyperlink"/>
          </w:rPr>
          <w:t>https://cases.justia.com/federal/district-courts/maryland/mddce/1:2024cv03580/573207/56/0.pdf?ts=1777474810</w:t>
        </w:r>
      </w:hyperlink>
      <w:r>
        <w:t xml:space="preserve"> </w:t>
      </w:r>
    </w:p>
    <w:p w14:paraId="21412D99" w14:textId="77777777" w:rsidR="00073CC7" w:rsidRDefault="00073CC7" w:rsidP="00073CC7">
      <w:pPr>
        <w:pStyle w:val="NoSpacing"/>
      </w:pPr>
    </w:p>
    <w:p w14:paraId="5C7F1508" w14:textId="77777777" w:rsidR="00073CC7" w:rsidRDefault="00073CC7" w:rsidP="00073CC7">
      <w:pPr>
        <w:pStyle w:val="NoSpacing"/>
      </w:pPr>
      <w:r>
        <w:t xml:space="preserve">THE COURT HELD: </w:t>
      </w:r>
    </w:p>
    <w:p w14:paraId="1256B491" w14:textId="77777777" w:rsidR="00073CC7" w:rsidRDefault="00073CC7" w:rsidP="00073CC7">
      <w:pPr>
        <w:pStyle w:val="NoSpacing"/>
      </w:pPr>
    </w:p>
    <w:p w14:paraId="2359DE4B" w14:textId="77777777" w:rsidR="00073CC7" w:rsidRDefault="00073CC7" w:rsidP="00073CC7">
      <w:pPr>
        <w:pStyle w:val="NoSpacing"/>
        <w:ind w:left="720"/>
      </w:pPr>
      <w:r>
        <w:t>“</w:t>
      </w:r>
      <w:r w:rsidRPr="004765D7">
        <w:t>Plaintiff Mark R. Levy has been employed as a Fire Fighter/Paramedic with Defendant Howard County Department of Fire and Rescue Services since October 31, 2016</w:t>
      </w:r>
      <w:r>
        <w:t xml:space="preserve">…. </w:t>
      </w:r>
      <w:r w:rsidRPr="004765D7">
        <w:t>Levy alleges that he has been diagnosed with anxiety and depression since 2002</w:t>
      </w:r>
      <w:r>
        <w:t xml:space="preserve">…. </w:t>
      </w:r>
      <w:r w:rsidRPr="004765D7">
        <w:t xml:space="preserve">As of December 8, 2025, the date Levy filed his First Amended Complaint in this Court, he was assigned to B Shift at Station 3, which is within Battalion 3 of the Howard County Department </w:t>
      </w:r>
      <w:r w:rsidRPr="004765D7">
        <w:lastRenderedPageBreak/>
        <w:t>of Fire and Rescue Services</w:t>
      </w:r>
      <w:r>
        <w:t xml:space="preserve">…. </w:t>
      </w:r>
      <w:r w:rsidRPr="0026656C">
        <w:t>Station 3 is located at 12535 Old Frederick Road in Sykesville, Maryland</w:t>
      </w:r>
      <w:r>
        <w:t xml:space="preserve">…. </w:t>
      </w:r>
      <w:r w:rsidRPr="004765D7">
        <w:t>He asserts that Station 3 has a lower call volume in comparison to other stations within the battalion</w:t>
      </w:r>
      <w:r>
        <w:t xml:space="preserve">…. </w:t>
      </w:r>
      <w:r w:rsidRPr="004765D7">
        <w:t xml:space="preserve">He claims that this lower call volume is the optimal assignment for him to be able to manage his mental health. </w:t>
      </w:r>
    </w:p>
    <w:p w14:paraId="49B19EE4" w14:textId="77777777" w:rsidR="00073CC7" w:rsidRDefault="00073CC7" w:rsidP="00073CC7">
      <w:pPr>
        <w:pStyle w:val="NoSpacing"/>
        <w:ind w:left="720"/>
      </w:pPr>
    </w:p>
    <w:p w14:paraId="3E295AC8" w14:textId="77777777" w:rsidR="00073CC7" w:rsidRDefault="00073CC7" w:rsidP="00073CC7">
      <w:pPr>
        <w:pStyle w:val="NoSpacing"/>
        <w:ind w:left="720"/>
      </w:pPr>
      <w:r>
        <w:t>***</w:t>
      </w:r>
    </w:p>
    <w:p w14:paraId="538C8F36" w14:textId="77777777" w:rsidR="00073CC7" w:rsidRDefault="00073CC7" w:rsidP="00073CC7">
      <w:pPr>
        <w:pStyle w:val="NoSpacing"/>
        <w:ind w:left="720"/>
      </w:pPr>
      <w:r w:rsidRPr="00A26479">
        <w:t>Levy alleges that, on multiple different occasions in 2022, he was reassigned from Station 3 to other stations within Battalion 3</w:t>
      </w:r>
      <w:r>
        <w:t xml:space="preserve">…. </w:t>
      </w:r>
      <w:r w:rsidRPr="00A26479">
        <w:t>Each time, the Department apparently denied his requests to remain at Station 3</w:t>
      </w:r>
      <w:r>
        <w:t xml:space="preserve">…. </w:t>
      </w:r>
      <w:r w:rsidRPr="00A26479">
        <w:t>Levy claims that the Department determined, without engaging in any interactive process, that he did not need a reasonable accommodation</w:t>
      </w:r>
      <w:r>
        <w:t>….</w:t>
      </w:r>
      <w:r w:rsidRPr="00A26479">
        <w:t xml:space="preserve"> Ultimately, after multiple reassignments, Levy was placed at Station 3 under a Temporary Hardship Request</w:t>
      </w:r>
      <w:r>
        <w:t xml:space="preserve">…. </w:t>
      </w:r>
      <w:r w:rsidRPr="00A26479">
        <w:t xml:space="preserve">He contends that the Temporary Hardship Request was </w:t>
      </w:r>
      <w:r>
        <w:t>‘</w:t>
      </w:r>
      <w:r w:rsidRPr="00A26479">
        <w:t>wholly improper and simply an attempt by Defendants to circumvent</w:t>
      </w:r>
      <w:r>
        <w:t xml:space="preserve">’ </w:t>
      </w:r>
      <w:r w:rsidRPr="00A26479">
        <w:t xml:space="preserve"> the ADA's accommodation obligations</w:t>
      </w:r>
      <w:r>
        <w:t xml:space="preserve">…. </w:t>
      </w:r>
      <w:r w:rsidRPr="00A26479">
        <w:t>From the face of the First Amended Complaint, Levy continues to work as a Fire Fighter/Paramedic for the Department.</w:t>
      </w:r>
    </w:p>
    <w:p w14:paraId="525EDB50" w14:textId="77777777" w:rsidR="00073CC7" w:rsidRDefault="00073CC7" w:rsidP="00073CC7">
      <w:pPr>
        <w:pStyle w:val="NoSpacing"/>
        <w:ind w:left="720"/>
      </w:pPr>
    </w:p>
    <w:p w14:paraId="1C107DF5" w14:textId="77777777" w:rsidR="00073CC7" w:rsidRDefault="00073CC7" w:rsidP="00073CC7">
      <w:pPr>
        <w:pStyle w:val="NoSpacing"/>
        <w:ind w:left="720"/>
      </w:pPr>
      <w:r>
        <w:t>***</w:t>
      </w:r>
    </w:p>
    <w:p w14:paraId="3FBCD714" w14:textId="77777777" w:rsidR="00073CC7" w:rsidRDefault="00073CC7" w:rsidP="00073CC7">
      <w:pPr>
        <w:pStyle w:val="NoSpacing"/>
        <w:ind w:left="720"/>
      </w:pPr>
      <w:r w:rsidRPr="00BA13D8">
        <w:t xml:space="preserve">As noted above, Levy seeks declarations in Count Four that (1) he is a qualified individual with a disability; (2) that he can perform the essential functions of his job with a reasonable accommodation; (3) that Defendants have an obligation to engage in the ADA's interactive process with him and explore reasonable alternatives; and (4) that Defendants have an obligation to grant him a reasonable accommodation. </w:t>
      </w:r>
    </w:p>
    <w:p w14:paraId="4A93E126" w14:textId="77777777" w:rsidR="00073CC7" w:rsidRDefault="00073CC7" w:rsidP="00073CC7">
      <w:pPr>
        <w:pStyle w:val="NoSpacing"/>
        <w:ind w:left="720"/>
      </w:pPr>
    </w:p>
    <w:p w14:paraId="26314234" w14:textId="77777777" w:rsidR="00073CC7" w:rsidRDefault="00073CC7" w:rsidP="00073CC7">
      <w:pPr>
        <w:pStyle w:val="NoSpacing"/>
        <w:ind w:left="720"/>
      </w:pPr>
      <w:r>
        <w:t>***</w:t>
      </w:r>
    </w:p>
    <w:p w14:paraId="4AC57EBC" w14:textId="77777777" w:rsidR="00073CC7" w:rsidRDefault="00073CC7" w:rsidP="00073CC7">
      <w:pPr>
        <w:pStyle w:val="NoSpacing"/>
        <w:ind w:left="720"/>
      </w:pPr>
      <w:r w:rsidRPr="004A2357">
        <w:t xml:space="preserve">Again, it is Levy's burden to prove that he was entitled to the ADA's interactive process and, ultimately, </w:t>
      </w:r>
      <w:proofErr w:type="gramStart"/>
      <w:r w:rsidRPr="004A2357">
        <w:t>a reasonable</w:t>
      </w:r>
      <w:proofErr w:type="gramEnd"/>
      <w:r w:rsidRPr="004A2357">
        <w:t xml:space="preserve"> accommodation.</w:t>
      </w:r>
      <w:r>
        <w:rPr>
          <w:vertAlign w:val="superscript"/>
        </w:rPr>
        <w:t xml:space="preserve"> </w:t>
      </w:r>
      <w:r w:rsidRPr="004A2357">
        <w:t xml:space="preserve"> In sum, the four declarations that Levy requests in Count Four render that claim duplicative of Count One.</w:t>
      </w:r>
      <w:r>
        <w:t>”</w:t>
      </w:r>
    </w:p>
    <w:p w14:paraId="159BD4D5" w14:textId="77777777" w:rsidR="00073CC7" w:rsidRDefault="00073CC7" w:rsidP="00073CC7">
      <w:pPr>
        <w:pStyle w:val="NoSpacing"/>
        <w:ind w:left="720"/>
      </w:pPr>
    </w:p>
    <w:p w14:paraId="16409D63" w14:textId="77777777" w:rsidR="00073CC7" w:rsidRPr="004A2357" w:rsidRDefault="00073CC7" w:rsidP="00073CC7">
      <w:pPr>
        <w:rPr>
          <w:b/>
          <w:bCs/>
        </w:rPr>
      </w:pPr>
      <w:r>
        <w:rPr>
          <w:b/>
        </w:rPr>
        <w:t>Legal lesson learned: The firefighter has burden of proof in this ADA case; permanent assignment to a slower station is a unique request for “reasonable accommodation.”</w:t>
      </w:r>
    </w:p>
    <w:p w14:paraId="00192D29" w14:textId="77777777" w:rsidR="00116265" w:rsidRDefault="00116265" w:rsidP="000C4DF5">
      <w:pPr>
        <w:pStyle w:val="NoSpacing"/>
        <w:rPr>
          <w:rFonts w:ascii="Arial Black" w:hAnsi="Arial Black"/>
          <w:sz w:val="24"/>
          <w:szCs w:val="24"/>
        </w:rPr>
      </w:pPr>
    </w:p>
    <w:p w14:paraId="614A862A" w14:textId="77777777" w:rsidR="00073CC7" w:rsidRDefault="00073CC7" w:rsidP="00C143F8">
      <w:pPr>
        <w:pStyle w:val="NoSpacing"/>
        <w:rPr>
          <w:rFonts w:ascii="Arial Black" w:hAnsi="Arial Black"/>
          <w:b/>
          <w:sz w:val="28"/>
          <w:szCs w:val="28"/>
        </w:rPr>
      </w:pPr>
    </w:p>
    <w:p w14:paraId="32235DA2" w14:textId="77777777" w:rsidR="004D70DC" w:rsidRDefault="004D70DC" w:rsidP="004D70DC">
      <w:pPr>
        <w:pStyle w:val="NoSpacing"/>
        <w:rPr>
          <w:rFonts w:ascii="Arial Black" w:hAnsi="Arial Black"/>
          <w:sz w:val="24"/>
          <w:szCs w:val="24"/>
        </w:rPr>
      </w:pPr>
    </w:p>
    <w:p w14:paraId="67DF0229" w14:textId="026BE2FD" w:rsidR="004D70DC" w:rsidRDefault="004D70DC" w:rsidP="004D70DC">
      <w:pPr>
        <w:pStyle w:val="NoSpacing"/>
        <w:rPr>
          <w:rFonts w:ascii="Arial Black" w:hAnsi="Arial Black"/>
          <w:sz w:val="24"/>
          <w:szCs w:val="24"/>
        </w:rPr>
      </w:pPr>
      <w:r>
        <w:rPr>
          <w:rFonts w:ascii="Arial Black" w:hAnsi="Arial Black"/>
          <w:sz w:val="24"/>
          <w:szCs w:val="24"/>
        </w:rPr>
        <w:t>15-51</w:t>
      </w:r>
      <w:r w:rsidR="00BC4752">
        <w:rPr>
          <w:rFonts w:ascii="Arial Black" w:hAnsi="Arial Black"/>
          <w:sz w:val="24"/>
          <w:szCs w:val="24"/>
        </w:rPr>
        <w:t xml:space="preserve">  [also filed, Chap. 9, ADA]</w:t>
      </w:r>
    </w:p>
    <w:p w14:paraId="3015DCA7" w14:textId="77777777" w:rsidR="00073CC7" w:rsidRDefault="00073CC7" w:rsidP="00C143F8">
      <w:pPr>
        <w:pStyle w:val="NoSpacing"/>
        <w:rPr>
          <w:rFonts w:ascii="Arial Black" w:hAnsi="Arial Black"/>
          <w:b/>
          <w:sz w:val="28"/>
          <w:szCs w:val="28"/>
        </w:rPr>
      </w:pPr>
    </w:p>
    <w:p w14:paraId="1F2026C2" w14:textId="77777777" w:rsidR="00073CC7" w:rsidRDefault="00073CC7" w:rsidP="00C143F8">
      <w:pPr>
        <w:pStyle w:val="NoSpacing"/>
        <w:rPr>
          <w:rFonts w:ascii="Arial Black" w:hAnsi="Arial Black"/>
          <w:b/>
          <w:sz w:val="28"/>
          <w:szCs w:val="28"/>
        </w:rPr>
      </w:pPr>
    </w:p>
    <w:p w14:paraId="3964AC7F" w14:textId="51BEC88A" w:rsidR="00C143F8" w:rsidRDefault="00C143F8" w:rsidP="00C143F8">
      <w:pPr>
        <w:pStyle w:val="NoSpacing"/>
        <w:rPr>
          <w:rFonts w:ascii="Arial Black" w:hAnsi="Arial Black"/>
          <w:b/>
          <w:sz w:val="28"/>
          <w:szCs w:val="28"/>
        </w:rPr>
      </w:pPr>
      <w:r>
        <w:rPr>
          <w:rFonts w:ascii="Arial Black" w:hAnsi="Arial Black"/>
          <w:b/>
          <w:sz w:val="28"/>
          <w:szCs w:val="28"/>
        </w:rPr>
        <w:t xml:space="preserve">TX: ASSISTANT CHIEF – PTSD – NOT RIGHT INDEF. LEAVE </w:t>
      </w:r>
    </w:p>
    <w:p w14:paraId="663A5AE7" w14:textId="77777777" w:rsidR="00C143F8" w:rsidRDefault="00C143F8" w:rsidP="00C143F8">
      <w:pPr>
        <w:pStyle w:val="NoSpacing"/>
        <w:rPr>
          <w:rFonts w:ascii="Arial Black" w:hAnsi="Arial Black"/>
          <w:b/>
          <w:sz w:val="28"/>
          <w:szCs w:val="28"/>
        </w:rPr>
      </w:pPr>
    </w:p>
    <w:p w14:paraId="67BE36CB" w14:textId="77777777" w:rsidR="00C143F8" w:rsidRDefault="00C143F8" w:rsidP="00C143F8">
      <w:pPr>
        <w:pStyle w:val="NoSpacing"/>
        <w:rPr>
          <w:b/>
        </w:rPr>
      </w:pPr>
      <w:r>
        <w:t xml:space="preserve">On April 8, 2026, in </w:t>
      </w:r>
      <w:r w:rsidRPr="003A1915">
        <w:rPr>
          <w:u w:val="single"/>
        </w:rPr>
        <w:t>Cameron Kramer v. City of Frisco, Texas</w:t>
      </w:r>
      <w:r>
        <w:t xml:space="preserve">, the </w:t>
      </w:r>
      <w:r w:rsidRPr="003A1915">
        <w:t>Court of Appeals of Texas, Twelfth District, Tyler</w:t>
      </w:r>
      <w:r>
        <w:t xml:space="preserve"> held (3 to 0) that trial court properly granted summary judgment to the City since the Assistant Chief never able to provide a </w:t>
      </w:r>
      <w:r w:rsidRPr="006D408F">
        <w:t xml:space="preserve">psychological </w:t>
      </w:r>
      <w:r w:rsidRPr="008C5C09">
        <w:t>clearance</w:t>
      </w:r>
      <w:r>
        <w:t xml:space="preserve"> to return to work and indefinite leave is not a reasonable accommodation.   </w:t>
      </w:r>
      <w:r w:rsidRPr="00AA4727">
        <w:t>On August 15, 2022</w:t>
      </w:r>
      <w:r>
        <w:t xml:space="preserve"> he took Family Medical Leave Act leave for PTSD until November 1, 2022; took another 90 days of leave under City’s policy; in January 31, 2023 the city approved additional unpaid leave until March 31 as an accommodation for his PTSD; o</w:t>
      </w:r>
      <w:r w:rsidRPr="00E87171">
        <w:t>n March 31, Kraemer requested additional unpaid leave through April 30, stating at the</w:t>
      </w:r>
      <w:r>
        <w:t xml:space="preserve"> </w:t>
      </w:r>
      <w:r w:rsidRPr="00E87171">
        <w:t xml:space="preserve">end of the leave period, he would </w:t>
      </w:r>
      <w:r>
        <w:t>‘</w:t>
      </w:r>
      <w:r w:rsidRPr="00E87171">
        <w:t>be re-evaluated</w:t>
      </w:r>
      <w:r>
        <w:t xml:space="preserve">” by his treating physician.  </w:t>
      </w:r>
      <w:r w:rsidRPr="00C4058E">
        <w:t>The City viewed this as a request for</w:t>
      </w:r>
      <w:r>
        <w:t xml:space="preserve"> </w:t>
      </w:r>
      <w:r w:rsidRPr="00C4058E">
        <w:t>indefinite unpaid leave and the City’s human resources director, Lauren Safranek, initially</w:t>
      </w:r>
      <w:r>
        <w:t xml:space="preserve"> </w:t>
      </w:r>
      <w:r w:rsidRPr="00C4058E">
        <w:t xml:space="preserve">informed Kraemer that the City could not grant such a </w:t>
      </w:r>
      <w:proofErr w:type="gramStart"/>
      <w:r w:rsidRPr="00C4058E">
        <w:t>reques</w:t>
      </w:r>
      <w:r>
        <w:t>t, but</w:t>
      </w:r>
      <w:proofErr w:type="gramEnd"/>
      <w:r>
        <w:t xml:space="preserve"> gave him until </w:t>
      </w:r>
      <w:r w:rsidRPr="008C5C09">
        <w:t>April 30 to allow him to</w:t>
      </w:r>
      <w:r>
        <w:t xml:space="preserve"> </w:t>
      </w:r>
      <w:r w:rsidRPr="008C5C09">
        <w:t xml:space="preserve">obtain the required </w:t>
      </w:r>
      <w:r w:rsidRPr="006D408F">
        <w:t xml:space="preserve">psychological </w:t>
      </w:r>
      <w:r w:rsidRPr="008C5C09">
        <w:t>clearance, which Kraemer did not submit.</w:t>
      </w:r>
      <w:r>
        <w:t xml:space="preserve"> </w:t>
      </w:r>
      <w:r w:rsidRPr="00FB0730">
        <w:t xml:space="preserve">On May 1, 2023, the </w:t>
      </w:r>
      <w:proofErr w:type="gramStart"/>
      <w:r w:rsidRPr="00FB0730">
        <w:t>City</w:t>
      </w:r>
      <w:proofErr w:type="gramEnd"/>
      <w:r w:rsidRPr="00FB0730">
        <w:t xml:space="preserve"> informed Kraemer via letter that his employment was</w:t>
      </w:r>
      <w:r>
        <w:t xml:space="preserve"> </w:t>
      </w:r>
      <w:r w:rsidRPr="00FB0730">
        <w:t>terminated because of his inability to return to work “with or without reasonable</w:t>
      </w:r>
      <w:r>
        <w:t xml:space="preserve"> </w:t>
      </w:r>
      <w:r w:rsidRPr="00FB0730">
        <w:t>accommodations” following the end of his leave period</w:t>
      </w:r>
      <w:r>
        <w:t xml:space="preserve">. The letter stated, in relevant part, that “the vacancy in the position of Assistant Fire Chief is compromising the operations of the City of Frisco Fire Department and granting continued accommodations of additional leave would cause an undue burden and hardship for the department and the City, placing the safety of the community and the department at risk.” </w:t>
      </w:r>
      <w:hyperlink r:id="rId2467" w:history="1">
        <w:r w:rsidRPr="00941A72">
          <w:rPr>
            <w:rStyle w:val="Hyperlink"/>
            <w:b/>
          </w:rPr>
          <w:t>https://cases.justia.com/texas/twelfth-court-of-appeals/2026-12-25-00273-cv.pdf?ts=1775749638</w:t>
        </w:r>
      </w:hyperlink>
      <w:r>
        <w:rPr>
          <w:b/>
        </w:rPr>
        <w:t xml:space="preserve"> </w:t>
      </w:r>
    </w:p>
    <w:p w14:paraId="0748F2A6" w14:textId="77777777" w:rsidR="00C143F8" w:rsidRDefault="00C143F8" w:rsidP="00C143F8">
      <w:pPr>
        <w:pStyle w:val="NoSpacing"/>
      </w:pPr>
      <w:r>
        <w:lastRenderedPageBreak/>
        <w:t xml:space="preserve"> </w:t>
      </w:r>
    </w:p>
    <w:p w14:paraId="1491892C" w14:textId="77777777" w:rsidR="00C143F8" w:rsidRDefault="00C143F8" w:rsidP="00C143F8">
      <w:pPr>
        <w:pStyle w:val="NoSpacing"/>
        <w:rPr>
          <w:bCs/>
        </w:rPr>
      </w:pPr>
      <w:r>
        <w:t>THE COURT HELD:</w:t>
      </w:r>
    </w:p>
    <w:p w14:paraId="2E481FAC" w14:textId="77777777" w:rsidR="00C143F8" w:rsidRDefault="00C143F8" w:rsidP="00C143F8">
      <w:pPr>
        <w:pStyle w:val="NoSpacing"/>
        <w:rPr>
          <w:bCs/>
        </w:rPr>
      </w:pPr>
    </w:p>
    <w:p w14:paraId="1FF3D64A" w14:textId="77777777" w:rsidR="00C143F8" w:rsidRDefault="00C143F8" w:rsidP="00C143F8">
      <w:pPr>
        <w:pStyle w:val="NoSpacing"/>
        <w:ind w:left="720"/>
      </w:pPr>
      <w:r>
        <w:t>“Although taking leave that is limited in duration may be a reasonable accommodation to enable an employee to perform the essential functions of the job upon return, taking leave without a specified date to return is not a reasonable accommodation.</w:t>
      </w:r>
    </w:p>
    <w:p w14:paraId="68708F53" w14:textId="77777777" w:rsidR="00C143F8" w:rsidRDefault="00C143F8" w:rsidP="00C143F8">
      <w:pPr>
        <w:pStyle w:val="NoSpacing"/>
        <w:ind w:left="720"/>
      </w:pPr>
    </w:p>
    <w:p w14:paraId="41375711" w14:textId="77777777" w:rsidR="00C143F8" w:rsidRDefault="00C143F8" w:rsidP="00C143F8">
      <w:pPr>
        <w:pStyle w:val="NoSpacing"/>
        <w:ind w:left="720"/>
      </w:pPr>
      <w:r>
        <w:t>***</w:t>
      </w:r>
    </w:p>
    <w:p w14:paraId="031400F2" w14:textId="77777777" w:rsidR="00C143F8" w:rsidRDefault="00C143F8" w:rsidP="00C143F8">
      <w:pPr>
        <w:pStyle w:val="NoSpacing"/>
      </w:pPr>
    </w:p>
    <w:p w14:paraId="3174E841" w14:textId="77777777" w:rsidR="00C143F8" w:rsidRDefault="00C143F8" w:rsidP="00C143F8">
      <w:pPr>
        <w:pStyle w:val="NoSpacing"/>
        <w:ind w:firstLine="720"/>
      </w:pPr>
      <w:r>
        <w:t>The evidence shows that Kraemer discussed with Safranek whether he might be capable</w:t>
      </w:r>
    </w:p>
    <w:p w14:paraId="6CFEE320" w14:textId="77777777" w:rsidR="00C143F8" w:rsidRDefault="00C143F8" w:rsidP="00C143F8">
      <w:pPr>
        <w:pStyle w:val="NoSpacing"/>
        <w:ind w:left="720"/>
      </w:pPr>
      <w:r>
        <w:t xml:space="preserve">of returning to work on a reduced schedule, but nothing showing that he, or any of his doctors, ever concluded that, despite his disability, he </w:t>
      </w:r>
      <w:proofErr w:type="gramStart"/>
      <w:r>
        <w:t>was capable of performing</w:t>
      </w:r>
      <w:proofErr w:type="gramEnd"/>
      <w:r>
        <w:t xml:space="preserve"> the functions of the assistant fire chief position at all, even on a part-time basis…. In April of 2024, Dr. </w:t>
      </w:r>
      <w:proofErr w:type="spellStart"/>
      <w:r>
        <w:t>Tedwell</w:t>
      </w:r>
      <w:proofErr w:type="spellEnd"/>
      <w:r>
        <w:t xml:space="preserve"> testified before an administrative law judge that throughout her treatment relationship with Kraemer, her opinion has ‘always been that he has not been ready to go back to Frisco Fire Department[,]” an opinion which persisted until the time of her testimony.”</w:t>
      </w:r>
    </w:p>
    <w:p w14:paraId="095C277B" w14:textId="77777777" w:rsidR="00C143F8" w:rsidRDefault="00C143F8" w:rsidP="00C143F8">
      <w:pPr>
        <w:pStyle w:val="NoSpacing"/>
        <w:ind w:left="720"/>
      </w:pPr>
    </w:p>
    <w:p w14:paraId="2F63600B" w14:textId="77777777" w:rsidR="00C143F8" w:rsidRDefault="00C143F8" w:rsidP="00C143F8">
      <w:pPr>
        <w:pStyle w:val="NoSpacing"/>
      </w:pPr>
      <w:r>
        <w:rPr>
          <w:b/>
        </w:rPr>
        <w:t xml:space="preserve">Legal lesson learned: Indefinite leave is not reasonable accommodation. </w:t>
      </w:r>
    </w:p>
    <w:p w14:paraId="12684EFB" w14:textId="77777777" w:rsidR="00C143F8" w:rsidRDefault="00C143F8" w:rsidP="00C143F8">
      <w:pPr>
        <w:pStyle w:val="NoSpacing"/>
        <w:rPr>
          <w:b/>
        </w:rPr>
      </w:pPr>
    </w:p>
    <w:p w14:paraId="46AAA383" w14:textId="77777777" w:rsidR="00C143F8" w:rsidRDefault="00C143F8" w:rsidP="00C143F8">
      <w:pPr>
        <w:pStyle w:val="NoSpacing"/>
        <w:rPr>
          <w:bCs/>
        </w:rPr>
      </w:pPr>
    </w:p>
    <w:p w14:paraId="27C5B9FA" w14:textId="77777777" w:rsidR="00C143F8" w:rsidRDefault="00C143F8" w:rsidP="000C4DF5">
      <w:pPr>
        <w:pStyle w:val="NoSpacing"/>
        <w:rPr>
          <w:rFonts w:ascii="Arial Black" w:hAnsi="Arial Black"/>
          <w:sz w:val="24"/>
          <w:szCs w:val="24"/>
        </w:rPr>
      </w:pPr>
    </w:p>
    <w:p w14:paraId="2BB69D62" w14:textId="77777777" w:rsidR="00C143F8" w:rsidRDefault="00C143F8" w:rsidP="000C4DF5">
      <w:pPr>
        <w:pStyle w:val="NoSpacing"/>
        <w:rPr>
          <w:rFonts w:ascii="Arial Black" w:hAnsi="Arial Black"/>
          <w:sz w:val="24"/>
          <w:szCs w:val="24"/>
        </w:rPr>
      </w:pPr>
    </w:p>
    <w:p w14:paraId="4FB3A242" w14:textId="77777777" w:rsidR="00C143F8" w:rsidRDefault="00C143F8" w:rsidP="000C4DF5">
      <w:pPr>
        <w:pStyle w:val="NoSpacing"/>
        <w:rPr>
          <w:rFonts w:ascii="Arial Black" w:hAnsi="Arial Black"/>
          <w:sz w:val="24"/>
          <w:szCs w:val="24"/>
        </w:rPr>
      </w:pPr>
    </w:p>
    <w:p w14:paraId="79D2DD40" w14:textId="77777777" w:rsidR="00116265" w:rsidRDefault="00116265" w:rsidP="000C4DF5">
      <w:pPr>
        <w:pStyle w:val="NoSpacing"/>
        <w:rPr>
          <w:rFonts w:ascii="Arial Black" w:hAnsi="Arial Black"/>
          <w:sz w:val="24"/>
          <w:szCs w:val="24"/>
        </w:rPr>
      </w:pPr>
    </w:p>
    <w:p w14:paraId="39BCE9BA" w14:textId="60E6302B" w:rsidR="009256C3" w:rsidRDefault="009256C3" w:rsidP="000C4DF5">
      <w:pPr>
        <w:pStyle w:val="NoSpacing"/>
        <w:rPr>
          <w:rFonts w:ascii="Arial Black" w:hAnsi="Arial Black"/>
          <w:sz w:val="24"/>
          <w:szCs w:val="24"/>
        </w:rPr>
      </w:pPr>
      <w:r>
        <w:rPr>
          <w:rFonts w:ascii="Arial Black" w:hAnsi="Arial Black"/>
          <w:sz w:val="24"/>
          <w:szCs w:val="24"/>
        </w:rPr>
        <w:t>15-50</w:t>
      </w:r>
    </w:p>
    <w:p w14:paraId="313520FC" w14:textId="77777777" w:rsidR="009256C3" w:rsidRDefault="009256C3" w:rsidP="000C4DF5">
      <w:pPr>
        <w:pStyle w:val="NoSpacing"/>
        <w:rPr>
          <w:rFonts w:ascii="Arial Black" w:hAnsi="Arial Black"/>
          <w:sz w:val="24"/>
          <w:szCs w:val="24"/>
        </w:rPr>
      </w:pPr>
    </w:p>
    <w:p w14:paraId="5AB78115" w14:textId="77777777" w:rsidR="0075332D" w:rsidRPr="00745672" w:rsidRDefault="0075332D" w:rsidP="0075332D">
      <w:pPr>
        <w:pStyle w:val="NoSpacing"/>
        <w:rPr>
          <w:rFonts w:ascii="Arial Black" w:hAnsi="Arial Black"/>
          <w:b/>
          <w:sz w:val="28"/>
          <w:szCs w:val="28"/>
        </w:rPr>
      </w:pPr>
      <w:r>
        <w:rPr>
          <w:rFonts w:ascii="Arial Black" w:hAnsi="Arial Black"/>
          <w:b/>
          <w:sz w:val="28"/>
          <w:szCs w:val="28"/>
        </w:rPr>
        <w:t xml:space="preserve">MI: PSYCH EXAM – UNFIT DUTY / FF NO FOLLOW UP - FIRED </w:t>
      </w:r>
    </w:p>
    <w:p w14:paraId="4CDFDF17" w14:textId="77777777" w:rsidR="0075332D" w:rsidRDefault="0075332D" w:rsidP="0075332D">
      <w:pPr>
        <w:pStyle w:val="NoSpacing"/>
      </w:pPr>
    </w:p>
    <w:p w14:paraId="437E54BD" w14:textId="77777777" w:rsidR="0075332D" w:rsidRPr="000713CE" w:rsidRDefault="0075332D" w:rsidP="0075332D">
      <w:pPr>
        <w:pStyle w:val="NoSpacing"/>
        <w:rPr>
          <w:b/>
        </w:rPr>
      </w:pPr>
      <w:r>
        <w:t xml:space="preserve">On March 17, </w:t>
      </w:r>
      <w:proofErr w:type="gramStart"/>
      <w:r>
        <w:t>2026</w:t>
      </w:r>
      <w:proofErr w:type="gramEnd"/>
      <w:r>
        <w:t xml:space="preserve"> in </w:t>
      </w:r>
      <w:r w:rsidRPr="004C658C">
        <w:rPr>
          <w:u w:val="single"/>
        </w:rPr>
        <w:t>Dan Martin v. City of Flat Rock Fire Department and City of Flat Rock</w:t>
      </w:r>
      <w:r>
        <w:t xml:space="preserve">, the </w:t>
      </w:r>
      <w:r w:rsidRPr="004C658C">
        <w:t>Court of Appeals of Michigan</w:t>
      </w:r>
      <w:r>
        <w:t xml:space="preserve"> held (3 to 0; unpublished decision) that trial court properly granted summary judgment to the defense after pre-trial discovery was completed.  Plaintiff </w:t>
      </w:r>
      <w:proofErr w:type="gramStart"/>
      <w:r>
        <w:t>clamed</w:t>
      </w:r>
      <w:proofErr w:type="gramEnd"/>
      <w:r>
        <w:t xml:space="preserve"> retaliation for being a whistleblower about hostile conduct towards him by another firefighter and his support for a discrimination claim by another firefighter. The Court held that  the Fire Chief had a legitimate basis to order him on May 8, 2029 to undergo a psychological examination, to continue him on administrative leave when he was determined to currently be unfit for duty, and to terminate him in December 2019 for failure to the undertake the recommended </w:t>
      </w:r>
      <w:r w:rsidRPr="001C3227">
        <w:t>neuropsychological testing</w:t>
      </w:r>
      <w:r>
        <w:t xml:space="preserve">, and </w:t>
      </w:r>
      <w:r w:rsidRPr="001C3227">
        <w:t>12 psychotherapy sessions with a therapist</w:t>
      </w:r>
      <w:r>
        <w:t xml:space="preserve">, and </w:t>
      </w:r>
      <w:r w:rsidRPr="001C3227">
        <w:t>consultation with his physician regarding antidepression medication</w:t>
      </w:r>
      <w:r>
        <w:t xml:space="preserve">. </w:t>
      </w:r>
      <w:hyperlink r:id="rId2468" w:history="1">
        <w:r w:rsidRPr="004D13CD">
          <w:rPr>
            <w:rStyle w:val="Hyperlink"/>
          </w:rPr>
          <w:t>https://www.courts.michigan.gov/494b62/siteassets/case-documents/uploads/opinions/final/coa/20260317_c372830_50_372830.opn.pdf</w:t>
        </w:r>
      </w:hyperlink>
      <w:r>
        <w:t xml:space="preserve">  </w:t>
      </w:r>
    </w:p>
    <w:p w14:paraId="6085B944" w14:textId="77777777" w:rsidR="0075332D" w:rsidRDefault="0075332D" w:rsidP="0075332D">
      <w:pPr>
        <w:pStyle w:val="NoSpacing"/>
      </w:pPr>
    </w:p>
    <w:p w14:paraId="0521410B" w14:textId="77777777" w:rsidR="0075332D" w:rsidRDefault="0075332D" w:rsidP="0075332D">
      <w:pPr>
        <w:pStyle w:val="NoSpacing"/>
      </w:pPr>
    </w:p>
    <w:p w14:paraId="67C90694" w14:textId="77777777" w:rsidR="0075332D" w:rsidRDefault="0075332D" w:rsidP="0075332D">
      <w:pPr>
        <w:pStyle w:val="NoSpacing"/>
      </w:pPr>
      <w:r>
        <w:t xml:space="preserve">THE COURT HELD: “Plaintiff has failed to present sufficient evidence from which a </w:t>
      </w:r>
      <w:proofErr w:type="gramStart"/>
      <w:r>
        <w:t>fact-finder</w:t>
      </w:r>
      <w:proofErr w:type="gramEnd"/>
      <w:r>
        <w:t xml:space="preserve"> could reasonably infer that defendants’ decisions to place plaintiff on administrative leave and to continue his leave had a retaliatory basis.</w:t>
      </w:r>
    </w:p>
    <w:p w14:paraId="260E55D3" w14:textId="77777777" w:rsidR="0075332D" w:rsidRDefault="0075332D" w:rsidP="0075332D">
      <w:pPr>
        <w:pStyle w:val="NoSpacing"/>
      </w:pPr>
    </w:p>
    <w:p w14:paraId="0EFF5560" w14:textId="77777777" w:rsidR="0075332D" w:rsidRDefault="0075332D" w:rsidP="0075332D">
      <w:pPr>
        <w:pStyle w:val="NoSpacing"/>
      </w:pPr>
      <w:r>
        <w:t>***</w:t>
      </w:r>
    </w:p>
    <w:p w14:paraId="747AEF8E" w14:textId="77777777" w:rsidR="0075332D" w:rsidRPr="009E0DEA" w:rsidRDefault="0075332D" w:rsidP="0075332D">
      <w:pPr>
        <w:pStyle w:val="NoSpacing"/>
      </w:pPr>
      <w:r w:rsidRPr="009E0DEA">
        <w:t>Fire Chief Vack recommended that plaintiff undergo physical and psychological</w:t>
      </w:r>
    </w:p>
    <w:p w14:paraId="2B4516D2" w14:textId="77777777" w:rsidR="0075332D" w:rsidRPr="009E0DEA" w:rsidRDefault="0075332D" w:rsidP="0075332D">
      <w:pPr>
        <w:pStyle w:val="NoSpacing"/>
      </w:pPr>
      <w:r w:rsidRPr="009E0DEA">
        <w:t xml:space="preserve">evaluations </w:t>
      </w:r>
      <w:proofErr w:type="gramStart"/>
      <w:r w:rsidRPr="009E0DEA">
        <w:t>on the basis of</w:t>
      </w:r>
      <w:proofErr w:type="gramEnd"/>
      <w:r w:rsidRPr="009E0DEA">
        <w:t xml:space="preserve"> his own observations as well as concerns reported to him by Sergeant</w:t>
      </w:r>
    </w:p>
    <w:p w14:paraId="14893010" w14:textId="77777777" w:rsidR="0075332D" w:rsidRPr="009E0DEA" w:rsidRDefault="0075332D" w:rsidP="0075332D">
      <w:pPr>
        <w:pStyle w:val="NoSpacing"/>
      </w:pPr>
      <w:r w:rsidRPr="009E0DEA">
        <w:t>John Rose, Sergeant Rich, Metzger, and other firefighters. These concerns included: plaintiff</w:t>
      </w:r>
    </w:p>
    <w:p w14:paraId="6E058B02" w14:textId="77777777" w:rsidR="0075332D" w:rsidRPr="009E0DEA" w:rsidRDefault="0075332D" w:rsidP="0075332D">
      <w:pPr>
        <w:pStyle w:val="NoSpacing"/>
      </w:pPr>
      <w:r w:rsidRPr="009E0DEA">
        <w:t>failed to pay attention to details, acted strangely, had slurred/mumbled speech, had issues</w:t>
      </w:r>
    </w:p>
    <w:p w14:paraId="65B2CA94" w14:textId="77777777" w:rsidR="0075332D" w:rsidRPr="009E0DEA" w:rsidRDefault="0075332D" w:rsidP="0075332D">
      <w:pPr>
        <w:pStyle w:val="NoSpacing"/>
      </w:pPr>
      <w:r w:rsidRPr="009E0DEA">
        <w:t>maintaining his train of thought during a conversation, was taking numerous medications that</w:t>
      </w:r>
    </w:p>
    <w:p w14:paraId="17127D8A" w14:textId="77777777" w:rsidR="0075332D" w:rsidRPr="009E0DEA" w:rsidRDefault="0075332D" w:rsidP="0075332D">
      <w:pPr>
        <w:pStyle w:val="NoSpacing"/>
      </w:pPr>
      <w:r w:rsidRPr="009E0DEA">
        <w:t>appeared to alter his mental status, embellished stories, authored reports that did not make sense,</w:t>
      </w:r>
    </w:p>
    <w:p w14:paraId="3B66CE95" w14:textId="77777777" w:rsidR="0075332D" w:rsidRPr="009E0DEA" w:rsidRDefault="0075332D" w:rsidP="0075332D">
      <w:pPr>
        <w:pStyle w:val="NoSpacing"/>
      </w:pPr>
      <w:r w:rsidRPr="009E0DEA">
        <w:t xml:space="preserve">had driving issues, </w:t>
      </w:r>
      <w:proofErr w:type="gramStart"/>
      <w:r w:rsidRPr="009E0DEA">
        <w:t>provided</w:t>
      </w:r>
      <w:proofErr w:type="gramEnd"/>
      <w:r w:rsidRPr="009E0DEA">
        <w:t xml:space="preserve"> inaccurate patient histories, and behaved erratically. Fire Chief Vack</w:t>
      </w:r>
    </w:p>
    <w:p w14:paraId="720FED7D" w14:textId="77777777" w:rsidR="0075332D" w:rsidRPr="009E0DEA" w:rsidRDefault="0075332D" w:rsidP="0075332D">
      <w:pPr>
        <w:pStyle w:val="NoSpacing"/>
      </w:pPr>
      <w:r w:rsidRPr="009E0DEA">
        <w:t>expressed that he was concerned about plaintiff’s physical and mental health as well at the city’s</w:t>
      </w:r>
    </w:p>
    <w:p w14:paraId="6816B990" w14:textId="77777777" w:rsidR="0075332D" w:rsidRDefault="0075332D" w:rsidP="0075332D">
      <w:pPr>
        <w:pStyle w:val="NoSpacing"/>
      </w:pPr>
      <w:r w:rsidRPr="009E0DEA">
        <w:lastRenderedPageBreak/>
        <w:t>and fire department’s liability exposure.</w:t>
      </w:r>
      <w:r>
        <w:t>”</w:t>
      </w:r>
    </w:p>
    <w:p w14:paraId="4AD9AB8B" w14:textId="77777777" w:rsidR="0075332D" w:rsidRDefault="0075332D" w:rsidP="0075332D">
      <w:pPr>
        <w:pStyle w:val="NoSpacing"/>
      </w:pPr>
    </w:p>
    <w:p w14:paraId="1B96D25C" w14:textId="77777777" w:rsidR="0075332D" w:rsidRPr="003852D1" w:rsidRDefault="0075332D" w:rsidP="0075332D">
      <w:pPr>
        <w:pStyle w:val="NoSpacing"/>
        <w:rPr>
          <w:b/>
          <w:bCs/>
        </w:rPr>
      </w:pPr>
      <w:r w:rsidRPr="003852D1">
        <w:rPr>
          <w:b/>
        </w:rPr>
        <w:t>Legal lesson learned:</w:t>
      </w:r>
      <w:r>
        <w:rPr>
          <w:b/>
        </w:rPr>
        <w:t xml:space="preserve"> There was a legitimate basis to order psychological exam of the firefighter. </w:t>
      </w:r>
    </w:p>
    <w:p w14:paraId="0410C541" w14:textId="77777777" w:rsidR="0075332D" w:rsidRDefault="0075332D" w:rsidP="0075332D">
      <w:pPr>
        <w:pStyle w:val="NoSpacing"/>
      </w:pPr>
    </w:p>
    <w:p w14:paraId="1FC81AC3" w14:textId="77777777" w:rsidR="0075332D" w:rsidRDefault="0075332D" w:rsidP="000C4DF5">
      <w:pPr>
        <w:pStyle w:val="NoSpacing"/>
        <w:rPr>
          <w:rFonts w:ascii="Arial Black" w:hAnsi="Arial Black"/>
          <w:sz w:val="24"/>
          <w:szCs w:val="24"/>
        </w:rPr>
      </w:pPr>
    </w:p>
    <w:p w14:paraId="26123236" w14:textId="77777777" w:rsidR="009256C3" w:rsidRDefault="009256C3" w:rsidP="000C4DF5">
      <w:pPr>
        <w:pStyle w:val="NoSpacing"/>
        <w:rPr>
          <w:rFonts w:ascii="Arial Black" w:hAnsi="Arial Black"/>
          <w:sz w:val="24"/>
          <w:szCs w:val="24"/>
        </w:rPr>
      </w:pPr>
    </w:p>
    <w:p w14:paraId="2A497C01" w14:textId="77777777" w:rsidR="009256C3" w:rsidRDefault="009256C3" w:rsidP="000C4DF5">
      <w:pPr>
        <w:pStyle w:val="NoSpacing"/>
        <w:rPr>
          <w:rFonts w:ascii="Arial Black" w:hAnsi="Arial Black"/>
          <w:sz w:val="24"/>
          <w:szCs w:val="24"/>
        </w:rPr>
      </w:pPr>
    </w:p>
    <w:p w14:paraId="7154C7CA" w14:textId="231CFE03" w:rsidR="00816988" w:rsidRDefault="00610D0A" w:rsidP="000C4DF5">
      <w:pPr>
        <w:pStyle w:val="NoSpacing"/>
        <w:rPr>
          <w:rFonts w:ascii="Arial Black" w:hAnsi="Arial Black"/>
          <w:sz w:val="24"/>
          <w:szCs w:val="24"/>
        </w:rPr>
      </w:pPr>
      <w:r>
        <w:rPr>
          <w:rFonts w:ascii="Arial Black" w:hAnsi="Arial Black"/>
          <w:sz w:val="24"/>
          <w:szCs w:val="24"/>
        </w:rPr>
        <w:t>15-</w:t>
      </w:r>
      <w:r w:rsidR="001F6F71">
        <w:rPr>
          <w:rFonts w:ascii="Arial Black" w:hAnsi="Arial Black"/>
          <w:sz w:val="24"/>
          <w:szCs w:val="24"/>
        </w:rPr>
        <w:t>49</w:t>
      </w:r>
    </w:p>
    <w:p w14:paraId="507A0D33" w14:textId="77777777" w:rsidR="009256C3" w:rsidRDefault="009256C3" w:rsidP="000C4DF5">
      <w:pPr>
        <w:pStyle w:val="NoSpacing"/>
        <w:rPr>
          <w:rFonts w:ascii="Arial Black" w:hAnsi="Arial Black"/>
          <w:sz w:val="24"/>
          <w:szCs w:val="24"/>
        </w:rPr>
      </w:pPr>
    </w:p>
    <w:p w14:paraId="1A1F67C3" w14:textId="77777777" w:rsidR="001F6F71" w:rsidRPr="00D32581" w:rsidRDefault="001F6F71" w:rsidP="001F6F71">
      <w:pPr>
        <w:pStyle w:val="NoSpacing"/>
        <w:rPr>
          <w:rFonts w:ascii="Arial Black" w:hAnsi="Arial Black"/>
          <w:sz w:val="28"/>
          <w:szCs w:val="28"/>
        </w:rPr>
      </w:pPr>
      <w:r>
        <w:rPr>
          <w:rFonts w:ascii="Arial Black" w:hAnsi="Arial Black"/>
          <w:sz w:val="28"/>
          <w:szCs w:val="28"/>
        </w:rPr>
        <w:t>TX: MEDIC SUICIDE – COUNTY SUBPOENA PSYCH RECORDS</w:t>
      </w:r>
    </w:p>
    <w:p w14:paraId="41DC524C" w14:textId="77777777" w:rsidR="001F6F71" w:rsidRDefault="001F6F71" w:rsidP="001F6F71">
      <w:pPr>
        <w:pStyle w:val="NoSpacing"/>
      </w:pPr>
    </w:p>
    <w:p w14:paraId="3C4DF8C3" w14:textId="77777777" w:rsidR="001F6F71" w:rsidRDefault="001F6F71" w:rsidP="001F6F71">
      <w:pPr>
        <w:pStyle w:val="NoSpacing"/>
      </w:pPr>
      <w:r>
        <w:t xml:space="preserve">On February 24, 2026, in </w:t>
      </w:r>
      <w:r w:rsidRPr="00DD524A">
        <w:rPr>
          <w:u w:val="single"/>
        </w:rPr>
        <w:t>In Re Fort Bend County, et al. v. Joshua Heiliger, individually and</w:t>
      </w:r>
      <w:r>
        <w:rPr>
          <w:u w:val="single"/>
        </w:rPr>
        <w:t xml:space="preserve"> </w:t>
      </w:r>
      <w:r w:rsidRPr="00DD524A">
        <w:rPr>
          <w:u w:val="single"/>
        </w:rPr>
        <w:t>on behalf</w:t>
      </w:r>
      <w:r>
        <w:rPr>
          <w:u w:val="single"/>
        </w:rPr>
        <w:t xml:space="preserve"> </w:t>
      </w:r>
      <w:r w:rsidRPr="00DD524A">
        <w:rPr>
          <w:u w:val="single"/>
        </w:rPr>
        <w:t xml:space="preserve"> o</w:t>
      </w:r>
      <w:r>
        <w:rPr>
          <w:u w:val="single"/>
        </w:rPr>
        <w:t>f</w:t>
      </w:r>
      <w:r w:rsidRPr="00DD524A">
        <w:rPr>
          <w:u w:val="single"/>
        </w:rPr>
        <w:t xml:space="preserve"> the estate of Lauren Smith, deceased, et al</w:t>
      </w:r>
      <w:r>
        <w:t xml:space="preserve">., the </w:t>
      </w:r>
      <w:r w:rsidRPr="00DD524A">
        <w:t>Court of Appeals of Texas, Fifteenth District</w:t>
      </w:r>
      <w:r>
        <w:t xml:space="preserve"> held (3 to 0) that the trial court had no jurisdiction in this contested worker’s compensation case about dispute of Lauren’s medical records. The worker’s comp Administrative Law Judge should decide of the County’s subpoena can be enforced for the medical records from </w:t>
      </w:r>
      <w:r w:rsidRPr="00D245C9">
        <w:t>Dr. John Marcellus, the doctor who prescribed Lauren's ADHD medication</w:t>
      </w:r>
      <w:r>
        <w:t xml:space="preserve">, her </w:t>
      </w:r>
      <w:r w:rsidRPr="00D245C9">
        <w:t>hypertension along with her complaints about stress.</w:t>
      </w:r>
      <w:r>
        <w:t xml:space="preserve"> His lawsuit is therefore ordered dismissed.   </w:t>
      </w:r>
    </w:p>
    <w:p w14:paraId="164D31CD" w14:textId="77777777" w:rsidR="001F6F71" w:rsidRDefault="001F6F71" w:rsidP="001F6F71">
      <w:pPr>
        <w:pStyle w:val="NoSpacing"/>
      </w:pPr>
      <w:hyperlink r:id="rId2469" w:history="1">
        <w:r w:rsidRPr="00CB2F3F">
          <w:rPr>
            <w:rStyle w:val="Hyperlink"/>
          </w:rPr>
          <w:t>https://cases.justia.com/texas/fifteenth-court-of-appeals/2026-15-25-00102-cv.pdf?ts=1771951104</w:t>
        </w:r>
      </w:hyperlink>
      <w:r>
        <w:t xml:space="preserve"> </w:t>
      </w:r>
    </w:p>
    <w:p w14:paraId="2A7C3A99" w14:textId="77777777" w:rsidR="001F6F71" w:rsidRDefault="001F6F71" w:rsidP="001F6F71">
      <w:pPr>
        <w:pStyle w:val="NoSpacing"/>
      </w:pPr>
    </w:p>
    <w:p w14:paraId="7AE0D11A" w14:textId="77777777" w:rsidR="001F6F71" w:rsidRDefault="001F6F71" w:rsidP="001F6F71">
      <w:pPr>
        <w:pStyle w:val="NoSpacing"/>
        <w:rPr>
          <w:bCs/>
        </w:rPr>
      </w:pPr>
      <w:r>
        <w:t>THE COURT HELD:  “</w:t>
      </w:r>
      <w:r w:rsidRPr="00766FC4">
        <w:t>Heiliger</w:t>
      </w:r>
      <w:r>
        <w:t xml:space="preserve"> … </w:t>
      </w:r>
      <w:r w:rsidRPr="00766FC4">
        <w:t>filed his claim with the Division</w:t>
      </w:r>
      <w:r>
        <w:t xml:space="preserve"> [of Worker’s Compensation]</w:t>
      </w:r>
      <w:r w:rsidRPr="00766FC4">
        <w:t xml:space="preserve">, seeking a finding that he and his daughter are entitled to workers' compensation benefits because his wife died </w:t>
      </w:r>
      <w:proofErr w:type="gramStart"/>
      <w:r w:rsidRPr="00766FC4">
        <w:t>as a result of</w:t>
      </w:r>
      <w:proofErr w:type="gramEnd"/>
      <w:r w:rsidRPr="00766FC4">
        <w:t xml:space="preserve"> her work, a contention her employer contests</w:t>
      </w:r>
      <w:r>
        <w:t>…. I</w:t>
      </w:r>
      <w:r w:rsidRPr="00E11DDE">
        <w:t>n this case, that means if Heiliger objected to the amended subpoena or the subpoenaed party did not comply, then the ALJ or Fort Bend County</w:t>
      </w:r>
      <w:r>
        <w:t xml:space="preserve"> </w:t>
      </w:r>
      <w:r w:rsidRPr="00E11DDE">
        <w:t>-</w:t>
      </w:r>
      <w:r>
        <w:t xml:space="preserve"> </w:t>
      </w:r>
      <w:r w:rsidRPr="00E11DDE">
        <w:t>not Heiliger-</w:t>
      </w:r>
      <w:r>
        <w:t xml:space="preserve"> </w:t>
      </w:r>
      <w:r w:rsidRPr="00E11DDE">
        <w:t>would have the option to seek an order compelling compliance from a district court in Travis County or Harris County. Instead, Heiliger took matters into his own hands and filed a suit in Harris County to enjoin the subpoena instead of waiting for the administrative process to play out</w:t>
      </w:r>
      <w:r>
        <w:t xml:space="preserve">…. </w:t>
      </w:r>
      <w:r w:rsidRPr="00A22D34">
        <w:t xml:space="preserve">We first address whether the trial court has jurisdiction over Heiliger's suit and conclude it does not. "The Division of Workers' Compensation administers the [workers' compensation] system and has exclusive jurisdiction to determine </w:t>
      </w:r>
      <w:r>
        <w:t xml:space="preserve"> </w:t>
      </w:r>
      <w:r w:rsidRPr="00A22D34">
        <w:t xml:space="preserve">compensation entitlement and to award any benefits." </w:t>
      </w:r>
      <w:r w:rsidRPr="00A22D34">
        <w:rPr>
          <w:i/>
          <w:iCs/>
        </w:rPr>
        <w:t>University of Tex. Rio Grande Valley v. Oteka</w:t>
      </w:r>
      <w:r w:rsidRPr="00A22D34">
        <w:t xml:space="preserve">, 715 S.W.3d 734, 736 (Tex. 2025). </w:t>
      </w:r>
    </w:p>
    <w:p w14:paraId="1DC2C444" w14:textId="77777777" w:rsidR="001F6F71" w:rsidRDefault="001F6F71" w:rsidP="001F6F71">
      <w:pPr>
        <w:pStyle w:val="NoSpacing"/>
        <w:rPr>
          <w:bCs/>
        </w:rPr>
      </w:pPr>
    </w:p>
    <w:p w14:paraId="53F014E2" w14:textId="77777777" w:rsidR="001F6F71" w:rsidRPr="00445625" w:rsidRDefault="001F6F71" w:rsidP="001F6F71">
      <w:pPr>
        <w:pStyle w:val="NoSpacing"/>
        <w:rPr>
          <w:b/>
        </w:rPr>
      </w:pPr>
      <w:r>
        <w:rPr>
          <w:b/>
        </w:rPr>
        <w:t xml:space="preserve">Legal lesson learned: The worker’s comp. Hearing Officer will now decide if the deceased’s medical records must be disclosed and then hold a hearing on the worker’s comp claim. </w:t>
      </w:r>
    </w:p>
    <w:p w14:paraId="3C5DF413" w14:textId="77777777" w:rsidR="001F6F71" w:rsidRDefault="001F6F71" w:rsidP="001F6F71">
      <w:pPr>
        <w:pStyle w:val="NoSpacing"/>
        <w:rPr>
          <w:bCs/>
        </w:rPr>
      </w:pPr>
    </w:p>
    <w:p w14:paraId="4EA13948" w14:textId="77777777" w:rsidR="001F6F71" w:rsidRDefault="001F6F71" w:rsidP="000C4DF5">
      <w:pPr>
        <w:pStyle w:val="NoSpacing"/>
        <w:rPr>
          <w:rFonts w:ascii="Arial Black" w:hAnsi="Arial Black"/>
          <w:sz w:val="24"/>
          <w:szCs w:val="24"/>
        </w:rPr>
      </w:pPr>
    </w:p>
    <w:p w14:paraId="6075AF63" w14:textId="77777777" w:rsidR="00683602" w:rsidRDefault="00683602" w:rsidP="00683602">
      <w:pPr>
        <w:pStyle w:val="NoSpacing"/>
        <w:rPr>
          <w:rFonts w:ascii="Arial Black" w:hAnsi="Arial Black"/>
          <w:b/>
          <w:sz w:val="28"/>
          <w:szCs w:val="28"/>
        </w:rPr>
      </w:pPr>
      <w:r>
        <w:rPr>
          <w:rFonts w:ascii="Arial Black" w:hAnsi="Arial Black"/>
          <w:b/>
          <w:sz w:val="28"/>
          <w:szCs w:val="28"/>
        </w:rPr>
        <w:t>OR: DISPATCHER – 20 YRS – 2 MDs / NO PTSD - NO WK COMP</w:t>
      </w:r>
    </w:p>
    <w:p w14:paraId="1DD65FCE" w14:textId="77777777" w:rsidR="00683602" w:rsidRDefault="00683602" w:rsidP="00683602">
      <w:pPr>
        <w:pStyle w:val="NoSpacing"/>
        <w:rPr>
          <w:b/>
        </w:rPr>
      </w:pPr>
    </w:p>
    <w:p w14:paraId="44261875" w14:textId="77777777" w:rsidR="00683602" w:rsidRPr="00BD3E91" w:rsidRDefault="00683602" w:rsidP="00683602">
      <w:pPr>
        <w:pStyle w:val="NoSpacing"/>
        <w:rPr>
          <w:bCs/>
        </w:rPr>
      </w:pPr>
      <w:r>
        <w:t xml:space="preserve">On Feb. 11, 2026, in </w:t>
      </w:r>
      <w:r w:rsidRPr="00817C08">
        <w:rPr>
          <w:u w:val="single"/>
        </w:rPr>
        <w:t>In The Matter Of The Compensation Of Camille Smicz v. Deschutes County 911 Service District</w:t>
      </w:r>
      <w:r>
        <w:t xml:space="preserve">, the </w:t>
      </w:r>
      <w:r w:rsidRPr="00817C08">
        <w:t>Court of Appeals of Oregon</w:t>
      </w:r>
      <w:r>
        <w:t xml:space="preserve"> held (3 to 0) that the </w:t>
      </w:r>
      <w:r w:rsidRPr="00FB066E">
        <w:t>Workers' Compensation Board</w:t>
      </w:r>
      <w:r>
        <w:t xml:space="preserve">’s </w:t>
      </w:r>
      <w:r w:rsidRPr="00BD3E91">
        <w:t>determination</w:t>
      </w:r>
      <w:r>
        <w:t xml:space="preserve"> was s</w:t>
      </w:r>
      <w:r w:rsidRPr="00BD3E91">
        <w:t>upported by substantial evidence</w:t>
      </w:r>
      <w:r>
        <w:t>; the   c</w:t>
      </w:r>
      <w:r w:rsidRPr="00BD3E91">
        <w:t xml:space="preserve">laimant </w:t>
      </w:r>
      <w:r>
        <w:t xml:space="preserve">failed to </w:t>
      </w:r>
      <w:r w:rsidRPr="00BD3E91">
        <w:t xml:space="preserve">establish by a preponderance of persuasive medical evidence that </w:t>
      </w:r>
      <w:r>
        <w:t xml:space="preserve">she </w:t>
      </w:r>
      <w:r w:rsidRPr="00BD3E91">
        <w:t>met the criteria for PTSD.</w:t>
      </w:r>
      <w:r>
        <w:t xml:space="preserve"> </w:t>
      </w:r>
      <w:r w:rsidRPr="00225020">
        <w:t xml:space="preserve">The </w:t>
      </w:r>
      <w:r>
        <w:t xml:space="preserve">Administrative Law Judge after a hearing denied her claim, and </w:t>
      </w:r>
      <w:r w:rsidRPr="00225020">
        <w:t xml:space="preserve">Board found that </w:t>
      </w:r>
      <w:r>
        <w:t>the opinion of Dr. Barran (psychologist who interviewed her for 3 hours)</w:t>
      </w:r>
      <w:r w:rsidRPr="00225020">
        <w:t xml:space="preserve"> "was not based on a complete or accurate history" because he did not review the reports of the </w:t>
      </w:r>
      <w:r>
        <w:t xml:space="preserve">two </w:t>
      </w:r>
      <w:r w:rsidRPr="00225020">
        <w:t>other diagnosing medical doctors</w:t>
      </w:r>
      <w:r>
        <w:t xml:space="preserve"> (psychiatrist and a psychologist) who concluded she does suffer from PTSD. </w:t>
      </w:r>
      <w:hyperlink r:id="rId2470" w:history="1">
        <w:r w:rsidRPr="002B0907">
          <w:rPr>
            <w:rStyle w:val="Hyperlink"/>
          </w:rPr>
          <w:t>https://www.casemine.com/judgement/us/698dd4328a508cf645e20167</w:t>
        </w:r>
      </w:hyperlink>
      <w:r>
        <w:t xml:space="preserve"> </w:t>
      </w:r>
    </w:p>
    <w:p w14:paraId="04852A4E" w14:textId="77777777" w:rsidR="00683602" w:rsidRPr="00817C08" w:rsidRDefault="00683602" w:rsidP="00683602">
      <w:pPr>
        <w:pStyle w:val="NoSpacing"/>
        <w:rPr>
          <w:bCs/>
        </w:rPr>
      </w:pPr>
    </w:p>
    <w:p w14:paraId="03B4B819" w14:textId="77777777" w:rsidR="00683602" w:rsidRDefault="00683602" w:rsidP="00683602">
      <w:pPr>
        <w:pStyle w:val="NoSpacing"/>
      </w:pPr>
      <w:r>
        <w:t>THE COURT HELD: “</w:t>
      </w:r>
      <w:r w:rsidRPr="00A972C2">
        <w:t xml:space="preserve">Claimant worked as a 9-1-1 dispatcher for 20 years. Over her 20 years as a dispatcher, claimant assisted by phone with many alarming and disturbing situations, and she eventually asserted that the </w:t>
      </w:r>
      <w:r>
        <w:t>‘</w:t>
      </w:r>
      <w:r w:rsidRPr="00A972C2">
        <w:t>continued exposure to trauma and critical incidents</w:t>
      </w:r>
      <w:r>
        <w:t>’</w:t>
      </w:r>
      <w:r w:rsidRPr="00A972C2">
        <w:t xml:space="preserve"> led to an occupational disease of </w:t>
      </w:r>
      <w:r>
        <w:t>‘</w:t>
      </w:r>
      <w:r w:rsidRPr="00A972C2">
        <w:t>PTSD, secondary trauma, [and] cumulative stress disorder.</w:t>
      </w:r>
      <w:r>
        <w:t>’</w:t>
      </w:r>
      <w:r w:rsidRPr="00A972C2">
        <w:t xml:space="preserve"> However, the combined medical history that all three testifying experts relied upon also indicated significant non-work-related stressors that claimant experienced and that had led to her receiving other mental health diagnoses in the past—including that claimant's son had been in residential facilities due to developmental disabilities and violence toward claimant, such as holding a belt across claim- ant's neck while she was sleeping; that claimant </w:t>
      </w:r>
      <w:r w:rsidRPr="00A972C2">
        <w:lastRenderedPageBreak/>
        <w:t>recently went through a divorce that required a restraining order; and that claimant had severe health complications from an unsuccessful surgery.</w:t>
      </w:r>
      <w:r>
        <w:t xml:space="preserve"> *** </w:t>
      </w:r>
      <w:r w:rsidRPr="00C54522">
        <w:t xml:space="preserve">The three experts differed in their assessment of claimant. Drs. Wicher (a psychologist) and </w:t>
      </w:r>
      <w:proofErr w:type="spellStart"/>
      <w:r w:rsidRPr="00C54522">
        <w:t>Telew</w:t>
      </w:r>
      <w:proofErr w:type="spellEnd"/>
      <w:r w:rsidRPr="00C54522">
        <w:t xml:space="preserve"> (a psychiatrist) conducted medical evaluations at the request of claimant's employer and could not determine that claimant suffered from PTSD. Wicher concluded that her symptoms better fit the criteria for an adjustment disorder, and upon reviewing her previous diagnoses, concluded that her major depressive disorder and unspecified anxiety disorder developed </w:t>
      </w:r>
      <w:proofErr w:type="gramStart"/>
      <w:r w:rsidRPr="00C54522">
        <w:t>during the course of</w:t>
      </w:r>
      <w:proofErr w:type="gramEnd"/>
      <w:r w:rsidRPr="00C54522">
        <w:t xml:space="preserve"> her </w:t>
      </w:r>
      <w:proofErr w:type="gramStart"/>
      <w:r w:rsidRPr="00C54522">
        <w:t xml:space="preserve">work, </w:t>
      </w:r>
      <w:r>
        <w:t>‘</w:t>
      </w:r>
      <w:proofErr w:type="gramEnd"/>
      <w:r w:rsidRPr="00C54522">
        <w:t>but not largely due to the experiences at work.</w:t>
      </w:r>
      <w:r>
        <w:t>’</w:t>
      </w:r>
      <w:r w:rsidRPr="00C54522">
        <w:t xml:space="preserve"> </w:t>
      </w:r>
      <w:proofErr w:type="spellStart"/>
      <w:r w:rsidRPr="00C54522">
        <w:t>Telew</w:t>
      </w:r>
      <w:proofErr w:type="spellEnd"/>
      <w:r w:rsidRPr="00C54522">
        <w:t xml:space="preserve"> similarly opined that </w:t>
      </w:r>
      <w:r>
        <w:t>‘</w:t>
      </w:r>
      <w:r w:rsidRPr="00C54522">
        <w:t>[</w:t>
      </w:r>
      <w:proofErr w:type="spellStart"/>
      <w:r w:rsidRPr="00C54522">
        <w:t>i</w:t>
      </w:r>
      <w:proofErr w:type="spellEnd"/>
      <w:r w:rsidRPr="00C54522">
        <w:t>]t is evident that she does not have sufficient symptomatology to make a diagnosis of PTSD.</w:t>
      </w:r>
      <w:r>
        <w:t>’</w:t>
      </w:r>
      <w:r w:rsidRPr="00C54522">
        <w:t xml:space="preserve"> His analysis included indications that she was exaggerating symptoms, did not have a problem discussing events she identified as traumatic, and did not avoid or even evi</w:t>
      </w:r>
      <w:r>
        <w:t>de</w:t>
      </w:r>
      <w:r w:rsidRPr="00C54522">
        <w:t xml:space="preserve">nce a reaction to stimuli that she had identified as causing panic </w:t>
      </w:r>
      <w:proofErr w:type="gramStart"/>
      <w:r w:rsidRPr="00C54522">
        <w:t>attacks.</w:t>
      </w:r>
      <w:r>
        <w:t>”</w:t>
      </w:r>
      <w:proofErr w:type="gramEnd"/>
    </w:p>
    <w:p w14:paraId="47074EAE" w14:textId="77777777" w:rsidR="00683602" w:rsidRDefault="00683602" w:rsidP="00683602">
      <w:pPr>
        <w:pStyle w:val="NoSpacing"/>
      </w:pPr>
    </w:p>
    <w:p w14:paraId="7E623A81" w14:textId="77777777" w:rsidR="00683602" w:rsidRPr="00B71524" w:rsidRDefault="00683602" w:rsidP="00683602">
      <w:pPr>
        <w:pStyle w:val="NoSpacing"/>
      </w:pPr>
      <w:r w:rsidRPr="00AA6A27">
        <w:rPr>
          <w:b/>
        </w:rPr>
        <w:t xml:space="preserve">Legal lesson learned: </w:t>
      </w:r>
      <w:r>
        <w:rPr>
          <w:b/>
        </w:rPr>
        <w:t xml:space="preserve">Battle of the experts; two experts found no work created PTSD. </w:t>
      </w:r>
    </w:p>
    <w:p w14:paraId="22FD0A02" w14:textId="77777777" w:rsidR="00683602" w:rsidRDefault="00683602" w:rsidP="000C4DF5">
      <w:pPr>
        <w:pStyle w:val="NoSpacing"/>
        <w:rPr>
          <w:rFonts w:ascii="Arial Black" w:hAnsi="Arial Black"/>
          <w:sz w:val="24"/>
          <w:szCs w:val="24"/>
        </w:rPr>
      </w:pPr>
    </w:p>
    <w:p w14:paraId="111CEE87" w14:textId="77777777" w:rsidR="00610D0A" w:rsidRDefault="00610D0A" w:rsidP="00491756">
      <w:pPr>
        <w:pStyle w:val="NoSpacing"/>
        <w:rPr>
          <w:rFonts w:ascii="Arial Black" w:hAnsi="Arial Black"/>
          <w:sz w:val="24"/>
          <w:szCs w:val="24"/>
        </w:rPr>
      </w:pPr>
    </w:p>
    <w:p w14:paraId="3A086F43" w14:textId="77777777" w:rsidR="00610D0A" w:rsidRDefault="00610D0A" w:rsidP="00491756">
      <w:pPr>
        <w:pStyle w:val="NoSpacing"/>
        <w:rPr>
          <w:rFonts w:ascii="Arial Black" w:hAnsi="Arial Black"/>
          <w:sz w:val="24"/>
          <w:szCs w:val="24"/>
        </w:rPr>
      </w:pPr>
    </w:p>
    <w:p w14:paraId="70D213C8" w14:textId="77777777" w:rsidR="00610D0A" w:rsidRDefault="00610D0A" w:rsidP="00491756">
      <w:pPr>
        <w:pStyle w:val="NoSpacing"/>
        <w:rPr>
          <w:rFonts w:ascii="Arial Black" w:hAnsi="Arial Black"/>
          <w:sz w:val="24"/>
          <w:szCs w:val="24"/>
        </w:rPr>
      </w:pPr>
    </w:p>
    <w:p w14:paraId="4AB005F8" w14:textId="70A1233F" w:rsidR="00CD6C01" w:rsidRPr="00977F30" w:rsidRDefault="00CD6C01" w:rsidP="00491756">
      <w:pPr>
        <w:pStyle w:val="NoSpacing"/>
        <w:rPr>
          <w:rFonts w:ascii="Times New Roman" w:hAnsi="Times New Roman"/>
          <w:sz w:val="24"/>
          <w:szCs w:val="24"/>
        </w:rPr>
      </w:pPr>
      <w:r>
        <w:rPr>
          <w:rFonts w:ascii="Arial Black" w:hAnsi="Arial Black"/>
          <w:sz w:val="24"/>
          <w:szCs w:val="24"/>
        </w:rPr>
        <w:t>15-4</w:t>
      </w:r>
      <w:r w:rsidR="003D2AAD">
        <w:rPr>
          <w:rFonts w:ascii="Arial Black" w:hAnsi="Arial Black"/>
          <w:sz w:val="24"/>
          <w:szCs w:val="24"/>
        </w:rPr>
        <w:t xml:space="preserve">7 </w:t>
      </w:r>
      <w:r w:rsidR="003D2AAD" w:rsidRPr="003D2AAD">
        <w:rPr>
          <w:rFonts w:ascii="Times New Roman" w:hAnsi="Times New Roman"/>
          <w:sz w:val="24"/>
          <w:szCs w:val="24"/>
        </w:rPr>
        <w:t>[also filed,</w:t>
      </w:r>
      <w:r w:rsidR="003D2AAD">
        <w:rPr>
          <w:rFonts w:ascii="Arial Black" w:hAnsi="Arial Black"/>
          <w:sz w:val="24"/>
          <w:szCs w:val="24"/>
        </w:rPr>
        <w:t xml:space="preserve"> </w:t>
      </w:r>
      <w:r w:rsidR="00977F30" w:rsidRPr="00977F30">
        <w:rPr>
          <w:rFonts w:ascii="Times New Roman" w:hAnsi="Times New Roman"/>
          <w:sz w:val="24"/>
          <w:szCs w:val="24"/>
        </w:rPr>
        <w:t xml:space="preserve">Chap. 9, ADA] </w:t>
      </w:r>
    </w:p>
    <w:p w14:paraId="60E43917" w14:textId="77777777" w:rsidR="003D2AAD" w:rsidRDefault="003D2AAD" w:rsidP="00491756">
      <w:pPr>
        <w:pStyle w:val="NoSpacing"/>
        <w:rPr>
          <w:rFonts w:ascii="Arial Black" w:hAnsi="Arial Black"/>
          <w:sz w:val="24"/>
          <w:szCs w:val="24"/>
        </w:rPr>
      </w:pPr>
    </w:p>
    <w:p w14:paraId="5A32F3ED" w14:textId="77777777" w:rsidR="003D2AAD" w:rsidRPr="00FC582A" w:rsidRDefault="003D2AAD" w:rsidP="003D2AAD">
      <w:pPr>
        <w:pStyle w:val="NoSpacing"/>
        <w:rPr>
          <w:rFonts w:ascii="Arial Black" w:hAnsi="Arial Black"/>
          <w:sz w:val="28"/>
          <w:szCs w:val="28"/>
        </w:rPr>
      </w:pPr>
      <w:r>
        <w:rPr>
          <w:rFonts w:ascii="Arial Black" w:hAnsi="Arial Black"/>
          <w:sz w:val="28"/>
          <w:szCs w:val="28"/>
        </w:rPr>
        <w:t>SC: MEDIC PTSD – DIDN’T INTERVIEW FOR BILLING JOB</w:t>
      </w:r>
    </w:p>
    <w:p w14:paraId="6FC4C3CE" w14:textId="77777777" w:rsidR="003D2AAD" w:rsidRDefault="003D2AAD" w:rsidP="003D2AAD">
      <w:pPr>
        <w:pStyle w:val="NoSpacing"/>
        <w:ind w:left="720"/>
      </w:pPr>
    </w:p>
    <w:p w14:paraId="6A98A793" w14:textId="77777777" w:rsidR="003D2AAD" w:rsidRDefault="003D2AAD" w:rsidP="003D2AAD">
      <w:pPr>
        <w:pStyle w:val="NoSpacing"/>
      </w:pPr>
      <w:r>
        <w:t xml:space="preserve">On December 18, 2025, in </w:t>
      </w:r>
      <w:r w:rsidRPr="00AF68E6">
        <w:rPr>
          <w:u w:val="single"/>
        </w:rPr>
        <w:t>William D. Shugart v. Chester County</w:t>
      </w:r>
      <w:r>
        <w:t xml:space="preserve">, Senior U.S. District Court Judge Cameron McGowan Currie, </w:t>
      </w:r>
      <w:r w:rsidRPr="00AF68E6">
        <w:t>United States District Court, D. South Carolina, Rock Hill Division</w:t>
      </w:r>
      <w:r>
        <w:t xml:space="preserve">, granted defense motion for summary judgment; no proof of ADA discrimination or retaliation for taking FMLA leave.  Plaintiff was a Senior Medic with Chest County EMS, and on September 8, </w:t>
      </w:r>
      <w:proofErr w:type="gramStart"/>
      <w:r>
        <w:t>2021</w:t>
      </w:r>
      <w:proofErr w:type="gramEnd"/>
      <w:r>
        <w:t xml:space="preserve"> there was incident where a gun shot came from a house.  He sought treatment for PTSD and history of depression and went on 12-weeks of FMLA leave.  On January 1, </w:t>
      </w:r>
      <w:proofErr w:type="gramStart"/>
      <w:r>
        <w:t>2023</w:t>
      </w:r>
      <w:proofErr w:type="gramEnd"/>
      <w:r>
        <w:t xml:space="preserve"> he was terminated when he was medically cleared to return to work as a paramedic but did not return. His supervisor encouraged him to apply for billing position that opened with a recent retirement, but he cancelled the January 30 (1 pm) in-person interview the day </w:t>
      </w:r>
      <w:proofErr w:type="gramStart"/>
      <w:r>
        <w:t>prior, and</w:t>
      </w:r>
      <w:proofErr w:type="gramEnd"/>
      <w:r>
        <w:t xml:space="preserve"> did not respond to offer of ZOOM interview.  </w:t>
      </w:r>
      <w:hyperlink r:id="rId2471" w:history="1">
        <w:r w:rsidRPr="007B3445">
          <w:rPr>
            <w:rStyle w:val="Hyperlink"/>
          </w:rPr>
          <w:t>https://cases.justia.com/federal/district-courts/south-carolina/scdce/0:2024cv00826/288831/46/0.pdf</w:t>
        </w:r>
      </w:hyperlink>
      <w:r>
        <w:t xml:space="preserve"> </w:t>
      </w:r>
    </w:p>
    <w:p w14:paraId="7D61A869" w14:textId="77777777" w:rsidR="003D2AAD" w:rsidRDefault="003D2AAD" w:rsidP="003D2AAD">
      <w:pPr>
        <w:pStyle w:val="NoSpacing"/>
        <w:rPr>
          <w:bCs/>
        </w:rPr>
      </w:pPr>
    </w:p>
    <w:p w14:paraId="2686C792" w14:textId="77777777" w:rsidR="003D2AAD" w:rsidRDefault="003D2AAD" w:rsidP="003D2AAD">
      <w:pPr>
        <w:pStyle w:val="NoSpacing"/>
        <w:rPr>
          <w:bCs/>
        </w:rPr>
      </w:pPr>
      <w:r>
        <w:t xml:space="preserve">THE COURT HELD: </w:t>
      </w:r>
    </w:p>
    <w:p w14:paraId="1BA2F698" w14:textId="77777777" w:rsidR="003D2AAD" w:rsidRDefault="003D2AAD" w:rsidP="003D2AAD">
      <w:pPr>
        <w:pStyle w:val="NoSpacing"/>
        <w:rPr>
          <w:bCs/>
        </w:rPr>
      </w:pPr>
    </w:p>
    <w:p w14:paraId="55DAF4CB" w14:textId="77777777" w:rsidR="003D2AAD" w:rsidRDefault="003D2AAD" w:rsidP="003D2AAD">
      <w:pPr>
        <w:pStyle w:val="NoSpacing"/>
        <w:ind w:firstLine="720"/>
      </w:pPr>
      <w:r>
        <w:t>“Plaintiff was employed by Chester County in its Emergency Medical Services (‘EMS’)</w:t>
      </w:r>
    </w:p>
    <w:p w14:paraId="4BEDE5D7" w14:textId="77777777" w:rsidR="003D2AAD" w:rsidRDefault="003D2AAD" w:rsidP="003D2AAD">
      <w:pPr>
        <w:pStyle w:val="NoSpacing"/>
        <w:ind w:left="720"/>
      </w:pPr>
      <w:r>
        <w:t xml:space="preserve">department from May 2016 until January 2023….He was promoted to Senior Paramedic on December 4, 2021…. An essential function of the Senior Paramedic was operation of an ambulance. </w:t>
      </w:r>
    </w:p>
    <w:p w14:paraId="009737A2" w14:textId="77777777" w:rsidR="003D2AAD" w:rsidRDefault="003D2AAD" w:rsidP="003D2AAD">
      <w:pPr>
        <w:pStyle w:val="NoSpacing"/>
        <w:ind w:left="720"/>
      </w:pPr>
    </w:p>
    <w:p w14:paraId="443E031D" w14:textId="77777777" w:rsidR="003D2AAD" w:rsidRDefault="003D2AAD" w:rsidP="003D2AAD">
      <w:pPr>
        <w:pStyle w:val="NoSpacing"/>
        <w:ind w:left="720"/>
      </w:pPr>
      <w:r>
        <w:t>***</w:t>
      </w:r>
    </w:p>
    <w:p w14:paraId="1A0A5165" w14:textId="77777777" w:rsidR="003D2AAD" w:rsidRDefault="003D2AAD" w:rsidP="003D2AAD">
      <w:pPr>
        <w:pStyle w:val="NoSpacing"/>
      </w:pPr>
    </w:p>
    <w:p w14:paraId="18E1572D" w14:textId="77777777" w:rsidR="003D2AAD" w:rsidRDefault="003D2AAD" w:rsidP="003D2AAD">
      <w:pPr>
        <w:pStyle w:val="NoSpacing"/>
        <w:ind w:firstLine="720"/>
      </w:pPr>
      <w:r>
        <w:t xml:space="preserve">Plaintiff was </w:t>
      </w:r>
      <w:proofErr w:type="gramStart"/>
      <w:r>
        <w:t>provided</w:t>
      </w:r>
      <w:proofErr w:type="gramEnd"/>
      <w:r>
        <w:t xml:space="preserve"> the opportunity to apply and interview for the billing specialist</w:t>
      </w:r>
    </w:p>
    <w:p w14:paraId="17DA17C4" w14:textId="77777777" w:rsidR="003D2AAD" w:rsidRDefault="003D2AAD" w:rsidP="003D2AAD">
      <w:pPr>
        <w:pStyle w:val="NoSpacing"/>
        <w:ind w:left="720"/>
      </w:pPr>
      <w:r>
        <w:t>position when it was posted, but cancelled the interview the day before, and did not respond to inquiries about another option for the interview. The job was filled by a person with finance or accounting experience. For the reasons above, the court finds summary judgment is appropriate for Defendant on Plaintiff’s claims of ADA discrimination and retaliation.</w:t>
      </w:r>
    </w:p>
    <w:p w14:paraId="24CE7972" w14:textId="77777777" w:rsidR="003D2AAD" w:rsidRDefault="003D2AAD" w:rsidP="003D2AAD">
      <w:pPr>
        <w:pStyle w:val="NoSpacing"/>
        <w:ind w:left="720"/>
      </w:pPr>
    </w:p>
    <w:p w14:paraId="2015C995" w14:textId="77777777" w:rsidR="003D2AAD" w:rsidRDefault="003D2AAD" w:rsidP="003D2AAD">
      <w:pPr>
        <w:pStyle w:val="NoSpacing"/>
        <w:ind w:left="720"/>
      </w:pPr>
      <w:r>
        <w:t>***</w:t>
      </w:r>
    </w:p>
    <w:p w14:paraId="7EE31152" w14:textId="77777777" w:rsidR="003D2AAD" w:rsidRDefault="003D2AAD" w:rsidP="003D2AAD">
      <w:pPr>
        <w:pStyle w:val="NoSpacing"/>
      </w:pPr>
    </w:p>
    <w:p w14:paraId="681C7FD5" w14:textId="77777777" w:rsidR="003D2AAD" w:rsidRDefault="003D2AAD" w:rsidP="003D2AAD">
      <w:pPr>
        <w:pStyle w:val="NoSpacing"/>
        <w:ind w:firstLine="720"/>
      </w:pPr>
      <w:r>
        <w:t>To make out an FMLA interference claim, an employee must demonstrate he was entitled</w:t>
      </w:r>
    </w:p>
    <w:p w14:paraId="2860F0C3" w14:textId="77777777" w:rsidR="003D2AAD" w:rsidRDefault="003D2AAD" w:rsidP="003D2AAD">
      <w:pPr>
        <w:pStyle w:val="NoSpacing"/>
        <w:ind w:left="720"/>
      </w:pPr>
      <w:r>
        <w:t xml:space="preserve">to an FMLA benefit, his employer interfered with the provision of that benefit, and the interference caused him harm. Adkins v. CSX Transp., Inc., 70 F.4th 785, 796 (4th Cir. 2023). The court agrees with the Magistrate Judge Defendant has produced evidence Plaintiff was provided his twelve-week statutorily mandated FMLA leave, his position was protected during that time, and there is no evidence his use of FMLA leave was a factor in his </w:t>
      </w:r>
      <w:r>
        <w:lastRenderedPageBreak/>
        <w:t xml:space="preserve">termination. Plaintiff has failed to refute this evidence. In fact, the record shows Defendant went out of its way to assist Plaintiff in obtaining the appropriate paperwork when Plaintiff indicated he was ready to come back to work, even though he indicated he would not be going back on an </w:t>
      </w:r>
      <w:proofErr w:type="gramStart"/>
      <w:r>
        <w:t>ambulance.”</w:t>
      </w:r>
      <w:proofErr w:type="gramEnd"/>
    </w:p>
    <w:p w14:paraId="2A012F46" w14:textId="77777777" w:rsidR="003D2AAD" w:rsidRDefault="003D2AAD" w:rsidP="003D2AAD">
      <w:pPr>
        <w:pStyle w:val="NoSpacing"/>
        <w:ind w:left="720"/>
      </w:pPr>
    </w:p>
    <w:p w14:paraId="0A7F6062" w14:textId="77777777" w:rsidR="003D2AAD" w:rsidRPr="00E35214" w:rsidRDefault="003D2AAD" w:rsidP="003D2AAD">
      <w:pPr>
        <w:pStyle w:val="NoSpacing"/>
        <w:rPr>
          <w:b/>
          <w:bCs/>
        </w:rPr>
      </w:pPr>
      <w:r>
        <w:rPr>
          <w:b/>
        </w:rPr>
        <w:t xml:space="preserve">Legal lesson learned:  Plaintiff’s supervisors went out of their way to assist the paramedic. </w:t>
      </w:r>
    </w:p>
    <w:p w14:paraId="53A13BCF" w14:textId="77777777" w:rsidR="003D2AAD" w:rsidRDefault="003D2AAD" w:rsidP="003D2AAD">
      <w:pPr>
        <w:pStyle w:val="NoSpacing"/>
      </w:pPr>
    </w:p>
    <w:p w14:paraId="73AD4B69" w14:textId="77777777" w:rsidR="003D2AAD" w:rsidRDefault="003D2AAD" w:rsidP="00491756">
      <w:pPr>
        <w:pStyle w:val="NoSpacing"/>
        <w:rPr>
          <w:rFonts w:ascii="Arial Black" w:hAnsi="Arial Black"/>
          <w:sz w:val="24"/>
          <w:szCs w:val="24"/>
        </w:rPr>
      </w:pPr>
    </w:p>
    <w:p w14:paraId="3B708979" w14:textId="77777777" w:rsidR="00CD6C01" w:rsidRDefault="00CD6C01" w:rsidP="00491756">
      <w:pPr>
        <w:pStyle w:val="NoSpacing"/>
        <w:rPr>
          <w:rFonts w:ascii="Arial Black" w:hAnsi="Arial Black"/>
          <w:sz w:val="24"/>
          <w:szCs w:val="24"/>
        </w:rPr>
      </w:pPr>
    </w:p>
    <w:p w14:paraId="0312E79C" w14:textId="77777777" w:rsidR="00CD6C01" w:rsidRDefault="00CD6C01" w:rsidP="00491756">
      <w:pPr>
        <w:pStyle w:val="NoSpacing"/>
        <w:rPr>
          <w:rFonts w:ascii="Arial Black" w:hAnsi="Arial Black"/>
          <w:sz w:val="24"/>
          <w:szCs w:val="24"/>
        </w:rPr>
      </w:pPr>
    </w:p>
    <w:p w14:paraId="0E6D54FF" w14:textId="6756AC0A" w:rsidR="004B6753" w:rsidRDefault="0000182B" w:rsidP="00491756">
      <w:pPr>
        <w:pStyle w:val="NoSpacing"/>
        <w:rPr>
          <w:rFonts w:ascii="Arial Black" w:hAnsi="Arial Black"/>
          <w:sz w:val="24"/>
          <w:szCs w:val="24"/>
        </w:rPr>
      </w:pPr>
      <w:r>
        <w:rPr>
          <w:rFonts w:ascii="Arial Black" w:hAnsi="Arial Black"/>
          <w:sz w:val="24"/>
          <w:szCs w:val="24"/>
        </w:rPr>
        <w:t>15-46</w:t>
      </w:r>
    </w:p>
    <w:p w14:paraId="5AEB231A" w14:textId="77777777" w:rsidR="0000182B" w:rsidRDefault="0000182B" w:rsidP="00491756">
      <w:pPr>
        <w:pStyle w:val="NoSpacing"/>
        <w:rPr>
          <w:rFonts w:ascii="Arial Black" w:hAnsi="Arial Black"/>
          <w:sz w:val="24"/>
          <w:szCs w:val="24"/>
        </w:rPr>
      </w:pPr>
    </w:p>
    <w:p w14:paraId="7825D952" w14:textId="77777777" w:rsidR="00594C0D" w:rsidRPr="0082689F" w:rsidRDefault="00594C0D" w:rsidP="00594C0D">
      <w:pPr>
        <w:rPr>
          <w:rFonts w:ascii="Arial Black" w:hAnsi="Arial Black"/>
          <w:b/>
          <w:sz w:val="28"/>
          <w:szCs w:val="28"/>
        </w:rPr>
      </w:pPr>
      <w:r>
        <w:rPr>
          <w:rFonts w:ascii="Arial Black" w:hAnsi="Arial Black"/>
          <w:b/>
          <w:sz w:val="28"/>
          <w:szCs w:val="28"/>
        </w:rPr>
        <w:t xml:space="preserve">IL: CHICAGO FD – PASSED MENTAL FITNESS FOR DUTY </w:t>
      </w:r>
    </w:p>
    <w:p w14:paraId="5F0F0E81" w14:textId="77777777" w:rsidR="00594C0D" w:rsidRDefault="00594C0D" w:rsidP="00594C0D">
      <w:pPr>
        <w:rPr>
          <w:bCs/>
        </w:rPr>
      </w:pPr>
      <w:r>
        <w:t xml:space="preserve">On December 3, 2025, in </w:t>
      </w:r>
      <w:r w:rsidRPr="00CE42F8">
        <w:rPr>
          <w:u w:val="single"/>
        </w:rPr>
        <w:t>Lee Ann McKay v. Nicole Patino, et al</w:t>
      </w:r>
      <w:r>
        <w:t xml:space="preserve">., U.S. District Court Judge Jorge L. Alonso, </w:t>
      </w:r>
      <w:r w:rsidRPr="007D31A0">
        <w:t>United States District Court, N.D. Illinois, Eastern Division</w:t>
      </w:r>
      <w:r>
        <w:t xml:space="preserve">, dismissed the plaintiff’s pro se [no attorney] lawsuit.  There were no constitutional rights violated when in May 2024 two Office of Inspector General investigators came to her home, unannounced, to interview her about her January 2024 complain of inferior </w:t>
      </w:r>
      <w:r w:rsidRPr="005A21BE">
        <w:t>bathroom facilities available to women in certain firehouses</w:t>
      </w:r>
      <w:r>
        <w:t xml:space="preserve">.   Likewise, there was no violation of her constitutional rights when </w:t>
      </w:r>
      <w:r w:rsidRPr="00793C90">
        <w:t>Dr. Nicole Patino, Chief Medical Director for the City of Chicago</w:t>
      </w:r>
      <w:r>
        <w:t>,</w:t>
      </w:r>
      <w:r w:rsidRPr="00793C90">
        <w:t xml:space="preserve"> Office of Public Safety Administration</w:t>
      </w:r>
      <w:r>
        <w:t xml:space="preserve"> on July 11, 2024 took her blood pressure, or when she was ordered by Dr. Patino to take a </w:t>
      </w:r>
      <w:r w:rsidRPr="009D0ED5">
        <w:t>mental capacity examination</w:t>
      </w:r>
      <w:r>
        <w:t xml:space="preserve"> with a </w:t>
      </w:r>
      <w:r w:rsidRPr="009D0ED5">
        <w:t>psychologist</w:t>
      </w:r>
      <w:r>
        <w:t xml:space="preserve"> (July 15 tests, and </w:t>
      </w:r>
      <w:r w:rsidRPr="0078051A">
        <w:t>August 2024, psychologist found her fit for duty</w:t>
      </w:r>
      <w:r>
        <w:t xml:space="preserve">); or to take pulmonary function test on </w:t>
      </w:r>
      <w:r w:rsidRPr="00792A7A">
        <w:t>December 31, 2024</w:t>
      </w:r>
      <w:r>
        <w:t xml:space="preserve">. </w:t>
      </w:r>
      <w:hyperlink r:id="rId2472" w:history="1">
        <w:r w:rsidRPr="00B64AD8">
          <w:rPr>
            <w:rStyle w:val="Hyperlink"/>
          </w:rPr>
          <w:t>https://public.fastcase.com/Jhe1Qn%2BmJndQYQU6z%2FeNm%2BcFVCy5tJw2gy1zfbpkLaze9U67QqLJTV5FE2cJQCoqnSyWDfbWSo3ic5o1p0zHzyDw8vgxY%2BBok5izm2ejH6U%3D?utm_medium=email&amp;_hsenc=p2ANqtz--bkYiy1pyPlPSsVe74xwULcEQroRrEa3UI3GrVMXxBGgBl78iSBqXQuZMV2NG07-VaF6HXpA1gGzG-xJKwbOenCq2wOg&amp;_hsmi=226712652&amp;utm_content=226712652&amp;utm_source=hs_email</w:t>
        </w:r>
      </w:hyperlink>
      <w:r>
        <w:t xml:space="preserve">   </w:t>
      </w:r>
    </w:p>
    <w:p w14:paraId="5FAC6478" w14:textId="77777777" w:rsidR="00594C0D" w:rsidRPr="008E10FD" w:rsidRDefault="00594C0D" w:rsidP="00594C0D">
      <w:pPr>
        <w:rPr>
          <w:bCs/>
        </w:rPr>
      </w:pPr>
      <w:r w:rsidRPr="008E10FD">
        <w:t xml:space="preserve">THE COURT HELD:  </w:t>
      </w:r>
    </w:p>
    <w:p w14:paraId="7397483A" w14:textId="77777777" w:rsidR="00594C0D" w:rsidRDefault="00594C0D" w:rsidP="00594C0D">
      <w:pPr>
        <w:pStyle w:val="NoSpacing"/>
        <w:ind w:left="720"/>
      </w:pPr>
      <w:r>
        <w:t>“</w:t>
      </w:r>
      <w:r w:rsidRPr="00D61F0C">
        <w:t xml:space="preserve">To the extent Plaintiff complains of </w:t>
      </w:r>
      <w:r>
        <w:t xml:space="preserve">[OIG investigators] </w:t>
      </w:r>
      <w:r w:rsidRPr="00D61F0C">
        <w:t>Lauder and Arellano showing up to her house or of any psychological test she was given, she fails to state a claim of a constitutional violation.</w:t>
      </w:r>
    </w:p>
    <w:p w14:paraId="0DBAC3D9" w14:textId="77777777" w:rsidR="00594C0D" w:rsidRDefault="00594C0D" w:rsidP="00594C0D">
      <w:pPr>
        <w:pStyle w:val="NoSpacing"/>
        <w:ind w:left="720"/>
      </w:pPr>
    </w:p>
    <w:p w14:paraId="50F8092A" w14:textId="77777777" w:rsidR="00594C0D" w:rsidRDefault="00594C0D" w:rsidP="00594C0D">
      <w:pPr>
        <w:pStyle w:val="NoSpacing"/>
        <w:ind w:left="720"/>
      </w:pPr>
      <w:r>
        <w:t>***</w:t>
      </w:r>
    </w:p>
    <w:p w14:paraId="568465FA" w14:textId="77777777" w:rsidR="00594C0D" w:rsidRDefault="00594C0D" w:rsidP="00594C0D">
      <w:pPr>
        <w:pStyle w:val="NoSpacing"/>
      </w:pPr>
    </w:p>
    <w:p w14:paraId="3048F9DE" w14:textId="77777777" w:rsidR="00594C0D" w:rsidRDefault="00594C0D" w:rsidP="00594C0D">
      <w:pPr>
        <w:pStyle w:val="NoSpacing"/>
        <w:ind w:left="720"/>
      </w:pPr>
      <w:r w:rsidRPr="00B16BE9">
        <w:t>Dr. Patino is entitled to qualified immunity on the issue of whether the pulmonary function testing violated the Fourth Amendment.</w:t>
      </w:r>
    </w:p>
    <w:p w14:paraId="7AA68F83" w14:textId="77777777" w:rsidR="00594C0D" w:rsidRDefault="00594C0D" w:rsidP="00594C0D">
      <w:pPr>
        <w:pStyle w:val="NoSpacing"/>
        <w:ind w:left="720"/>
      </w:pPr>
    </w:p>
    <w:p w14:paraId="62DC9AEF" w14:textId="77777777" w:rsidR="00594C0D" w:rsidRDefault="00594C0D" w:rsidP="00594C0D">
      <w:pPr>
        <w:pStyle w:val="NoSpacing"/>
        <w:ind w:left="720"/>
      </w:pPr>
      <w:r>
        <w:t>***</w:t>
      </w:r>
    </w:p>
    <w:p w14:paraId="4430B6E3" w14:textId="77777777" w:rsidR="00594C0D" w:rsidRDefault="00594C0D" w:rsidP="00594C0D">
      <w:pPr>
        <w:pStyle w:val="NoSpacing"/>
      </w:pPr>
    </w:p>
    <w:p w14:paraId="1BE50A2B" w14:textId="77777777" w:rsidR="00594C0D" w:rsidRDefault="00594C0D" w:rsidP="00594C0D">
      <w:pPr>
        <w:pStyle w:val="NoSpacing"/>
        <w:ind w:left="720" w:firstLine="60"/>
      </w:pPr>
      <w:r w:rsidRPr="008D2049">
        <w:t>It follows that Dr. Marder</w:t>
      </w:r>
      <w:r>
        <w:t xml:space="preserve"> [pulmonary function test] </w:t>
      </w:r>
      <w:r w:rsidRPr="008D2049">
        <w:t>and any other defendant alleged to have participated in the testing is likewise protected by qualified immunity from any Fourth Amendment claim</w:t>
      </w:r>
      <w:r>
        <w:t>.</w:t>
      </w:r>
    </w:p>
    <w:p w14:paraId="3CC3D615" w14:textId="77777777" w:rsidR="00594C0D" w:rsidRDefault="00594C0D" w:rsidP="00594C0D">
      <w:pPr>
        <w:pStyle w:val="NoSpacing"/>
        <w:ind w:left="720" w:firstLine="60"/>
      </w:pPr>
    </w:p>
    <w:p w14:paraId="3FF8C1E4" w14:textId="77777777" w:rsidR="00594C0D" w:rsidRDefault="00594C0D" w:rsidP="00594C0D">
      <w:pPr>
        <w:pStyle w:val="NoSpacing"/>
        <w:ind w:left="720" w:firstLine="60"/>
      </w:pPr>
      <w:r>
        <w:t>***</w:t>
      </w:r>
    </w:p>
    <w:p w14:paraId="45330EA3" w14:textId="77777777" w:rsidR="00594C0D" w:rsidRDefault="00594C0D" w:rsidP="00594C0D">
      <w:pPr>
        <w:pStyle w:val="NoSpacing"/>
      </w:pPr>
    </w:p>
    <w:p w14:paraId="52C54FA4" w14:textId="77777777" w:rsidR="00594C0D" w:rsidRDefault="00594C0D" w:rsidP="00594C0D">
      <w:pPr>
        <w:pStyle w:val="NoSpacing"/>
        <w:ind w:left="720"/>
      </w:pPr>
      <w:r w:rsidRPr="00AD6383">
        <w:t xml:space="preserve">Plaintiff's </w:t>
      </w:r>
      <w:r w:rsidRPr="00AD6383">
        <w:rPr>
          <w:i/>
          <w:iCs/>
        </w:rPr>
        <w:t>pro se</w:t>
      </w:r>
      <w:r w:rsidRPr="00AD6383">
        <w:t xml:space="preserve"> status and the surplusage in Plaintiff's complaint counsel against dismissal with prejudice at this point. As the Court has taken pains to recount in some detail above, Plaintiff's allegations go far beyond what is necessary to assert a Fourth Amendment claim. Although she does not rely on any other legal theory in her response briefs, the Court cannot say for certain whether there is not some potentially viable claim within the scope of the events described in her complaint that she might be able to plausibly state in an amended complaint. Therefore, the Court will grant Plaintiff leave to file an amended complaint, if she can do so in compliance with the principles set forth in this Order and the Federal Rules of Civil Procedure.</w:t>
      </w:r>
      <w:r>
        <w:t>”</w:t>
      </w:r>
    </w:p>
    <w:p w14:paraId="768D2AE7" w14:textId="77777777" w:rsidR="00594C0D" w:rsidRDefault="00594C0D" w:rsidP="00594C0D">
      <w:pPr>
        <w:pStyle w:val="NoSpacing"/>
        <w:ind w:left="720"/>
      </w:pPr>
    </w:p>
    <w:p w14:paraId="20B3E871" w14:textId="77777777" w:rsidR="00594C0D" w:rsidRPr="0015463F" w:rsidRDefault="00594C0D" w:rsidP="00594C0D">
      <w:pPr>
        <w:pStyle w:val="NoSpacing"/>
        <w:rPr>
          <w:b/>
          <w:bCs/>
        </w:rPr>
      </w:pPr>
      <w:r>
        <w:rPr>
          <w:b/>
        </w:rPr>
        <w:t xml:space="preserve">Legal lesson learned: Qualified immunity protects Fire Department’s physicians conducting fitness for duty exams. </w:t>
      </w:r>
    </w:p>
    <w:p w14:paraId="30E8E8BB" w14:textId="77777777" w:rsidR="00594C0D" w:rsidRDefault="00594C0D" w:rsidP="00594C0D">
      <w:pPr>
        <w:pStyle w:val="NoSpacing"/>
      </w:pPr>
    </w:p>
    <w:p w14:paraId="2E47160E" w14:textId="77777777" w:rsidR="00594C0D" w:rsidRDefault="00594C0D" w:rsidP="00491756">
      <w:pPr>
        <w:pStyle w:val="NoSpacing"/>
        <w:rPr>
          <w:rFonts w:ascii="Arial Black" w:hAnsi="Arial Black"/>
          <w:sz w:val="24"/>
          <w:szCs w:val="24"/>
        </w:rPr>
      </w:pPr>
    </w:p>
    <w:p w14:paraId="5F537BAE" w14:textId="77777777" w:rsidR="0000182B" w:rsidRDefault="0000182B" w:rsidP="00491756">
      <w:pPr>
        <w:pStyle w:val="NoSpacing"/>
        <w:rPr>
          <w:rFonts w:ascii="Arial Black" w:hAnsi="Arial Black"/>
          <w:sz w:val="24"/>
          <w:szCs w:val="24"/>
        </w:rPr>
      </w:pPr>
    </w:p>
    <w:p w14:paraId="01BAEDDE" w14:textId="77777777" w:rsidR="0000182B" w:rsidRDefault="0000182B" w:rsidP="00491756">
      <w:pPr>
        <w:pStyle w:val="NoSpacing"/>
        <w:rPr>
          <w:rFonts w:ascii="Arial Black" w:hAnsi="Arial Black"/>
          <w:sz w:val="24"/>
          <w:szCs w:val="24"/>
        </w:rPr>
      </w:pPr>
    </w:p>
    <w:p w14:paraId="408932D5" w14:textId="20BCB00F" w:rsidR="004B6753" w:rsidRDefault="00F02AD2" w:rsidP="00491756">
      <w:pPr>
        <w:pStyle w:val="NoSpacing"/>
        <w:rPr>
          <w:rFonts w:ascii="Arial Black" w:hAnsi="Arial Black"/>
          <w:sz w:val="24"/>
          <w:szCs w:val="24"/>
        </w:rPr>
      </w:pPr>
      <w:r>
        <w:rPr>
          <w:rFonts w:ascii="Arial Black" w:hAnsi="Arial Black"/>
          <w:sz w:val="24"/>
          <w:szCs w:val="24"/>
        </w:rPr>
        <w:t>15-4</w:t>
      </w:r>
      <w:r w:rsidR="00D92FBD">
        <w:rPr>
          <w:rFonts w:ascii="Arial Black" w:hAnsi="Arial Black"/>
          <w:sz w:val="24"/>
          <w:szCs w:val="24"/>
        </w:rPr>
        <w:t>5</w:t>
      </w:r>
    </w:p>
    <w:p w14:paraId="242B23BA" w14:textId="77777777" w:rsidR="00F02AD2" w:rsidRDefault="00F02AD2" w:rsidP="00491756">
      <w:pPr>
        <w:pStyle w:val="NoSpacing"/>
        <w:rPr>
          <w:rFonts w:ascii="Arial Black" w:hAnsi="Arial Black"/>
          <w:sz w:val="24"/>
          <w:szCs w:val="24"/>
        </w:rPr>
      </w:pPr>
    </w:p>
    <w:p w14:paraId="38D66C82" w14:textId="499C2990" w:rsidR="001C617A" w:rsidRPr="00F75C74" w:rsidRDefault="001C617A" w:rsidP="001C617A">
      <w:pPr>
        <w:pStyle w:val="NoSpacing"/>
        <w:rPr>
          <w:rFonts w:ascii="Arial Black" w:hAnsi="Arial Black"/>
          <w:sz w:val="28"/>
          <w:szCs w:val="28"/>
        </w:rPr>
      </w:pPr>
      <w:r>
        <w:rPr>
          <w:rFonts w:ascii="Arial Black" w:hAnsi="Arial Black"/>
          <w:sz w:val="28"/>
          <w:szCs w:val="28"/>
        </w:rPr>
        <w:t xml:space="preserve">PA: PTSD – 2 INFANT CPR </w:t>
      </w:r>
      <w:r w:rsidR="00771197">
        <w:rPr>
          <w:rFonts w:ascii="Arial Black" w:hAnsi="Arial Black"/>
          <w:sz w:val="28"/>
          <w:szCs w:val="28"/>
        </w:rPr>
        <w:t xml:space="preserve">- </w:t>
      </w:r>
      <w:r>
        <w:rPr>
          <w:rFonts w:ascii="Arial Black" w:hAnsi="Arial Black"/>
          <w:sz w:val="28"/>
          <w:szCs w:val="28"/>
        </w:rPr>
        <w:t>“ABNORMAL”</w:t>
      </w:r>
      <w:r w:rsidR="00771197">
        <w:rPr>
          <w:rFonts w:ascii="Arial Black" w:hAnsi="Arial Black"/>
          <w:sz w:val="28"/>
          <w:szCs w:val="28"/>
        </w:rPr>
        <w:t xml:space="preserve"> RUNS</w:t>
      </w:r>
      <w:r>
        <w:rPr>
          <w:rFonts w:ascii="Arial Black" w:hAnsi="Arial Black"/>
          <w:sz w:val="28"/>
          <w:szCs w:val="28"/>
        </w:rPr>
        <w:t xml:space="preserve"> –- GETS WORK COMP</w:t>
      </w:r>
    </w:p>
    <w:p w14:paraId="150D77D1" w14:textId="77777777" w:rsidR="001C617A" w:rsidRDefault="001C617A" w:rsidP="001C617A">
      <w:pPr>
        <w:pStyle w:val="NoSpacing"/>
      </w:pPr>
    </w:p>
    <w:p w14:paraId="40BA566E" w14:textId="77777777" w:rsidR="001C617A" w:rsidRDefault="001C617A" w:rsidP="001C617A">
      <w:pPr>
        <w:pStyle w:val="NoSpacing"/>
        <w:rPr>
          <w:bCs/>
        </w:rPr>
      </w:pPr>
      <w:r>
        <w:t xml:space="preserve">On Oct. 22, 2025, in </w:t>
      </w:r>
      <w:r w:rsidRPr="006259EC">
        <w:rPr>
          <w:u w:val="single"/>
        </w:rPr>
        <w:t>Brian Ganley v. Upper Darby Township (Workers Compensation Appeal Board)</w:t>
      </w:r>
      <w:r>
        <w:t>, the</w:t>
      </w:r>
      <w:r w:rsidRPr="00A72D5F">
        <w:rPr>
          <w:b/>
        </w:rPr>
        <w:t xml:space="preserve"> </w:t>
      </w:r>
      <w:r w:rsidRPr="00A72D5F">
        <w:t>Commonwealth Court of Pennsylvania</w:t>
      </w:r>
      <w:r>
        <w:t xml:space="preserve"> held (3 to 0) that a career firefighter with 33 years’ experience should be awarded worker’s comp after performing two separate CPRs on infants within 16 months (Nov. 2018; May 2021).  The Court reversed the Workers Comp Law Judge and the Appeal Board – holding that the two incidents met the requirement of “abnormal” event. </w:t>
      </w:r>
      <w:hyperlink r:id="rId2473" w:history="1">
        <w:r w:rsidRPr="00410A8E">
          <w:rPr>
            <w:rStyle w:val="Hyperlink"/>
          </w:rPr>
          <w:t>https://www.pacourts.us/assets/opinions/Commonwealth/out/770CD24_10-22-25.pdf?cb=1</w:t>
        </w:r>
      </w:hyperlink>
      <w:r>
        <w:t xml:space="preserve"> </w:t>
      </w:r>
    </w:p>
    <w:p w14:paraId="47929B11" w14:textId="77777777" w:rsidR="001C617A" w:rsidRDefault="001C617A" w:rsidP="001C617A">
      <w:pPr>
        <w:pStyle w:val="NoSpacing"/>
        <w:rPr>
          <w:bCs/>
        </w:rPr>
      </w:pPr>
    </w:p>
    <w:p w14:paraId="5E53C499" w14:textId="77777777" w:rsidR="001C617A" w:rsidRPr="003424B4" w:rsidRDefault="001C617A" w:rsidP="001C617A">
      <w:pPr>
        <w:pStyle w:val="NoSpacing"/>
        <w:rPr>
          <w:b/>
        </w:rPr>
      </w:pPr>
      <w:r>
        <w:t xml:space="preserve">THE COURT HELD: </w:t>
      </w:r>
    </w:p>
    <w:p w14:paraId="4EAA113A" w14:textId="77777777" w:rsidR="001C617A" w:rsidRDefault="001C617A" w:rsidP="001C617A">
      <w:pPr>
        <w:pStyle w:val="NoSpacing"/>
      </w:pPr>
    </w:p>
    <w:p w14:paraId="6D63AA45" w14:textId="77777777" w:rsidR="001C617A" w:rsidRDefault="001C617A" w:rsidP="001C617A">
      <w:pPr>
        <w:pStyle w:val="NoSpacing"/>
        <w:ind w:left="720"/>
      </w:pPr>
      <w:r>
        <w:t>“Consequently, the [PA] Supreme Court held that claimants seeking benefits</w:t>
      </w:r>
    </w:p>
    <w:p w14:paraId="23880EDB" w14:textId="77777777" w:rsidR="001C617A" w:rsidRDefault="001C617A" w:rsidP="001C617A">
      <w:pPr>
        <w:pStyle w:val="NoSpacing"/>
        <w:ind w:left="720"/>
      </w:pPr>
      <w:r>
        <w:t>for psychological injuries must meet a higher burden for causation by proving a</w:t>
      </w:r>
    </w:p>
    <w:p w14:paraId="35AEAFB7" w14:textId="77777777" w:rsidR="001C617A" w:rsidRDefault="001C617A" w:rsidP="001C617A">
      <w:pPr>
        <w:pStyle w:val="NoSpacing"/>
        <w:ind w:left="720"/>
      </w:pPr>
      <w:proofErr w:type="gramStart"/>
      <w:r>
        <w:t>psychological</w:t>
      </w:r>
      <w:proofErr w:type="gramEnd"/>
      <w:r>
        <w:t xml:space="preserve"> injury is more than a subjective reaction to normal working</w:t>
      </w:r>
    </w:p>
    <w:p w14:paraId="0997D640" w14:textId="77777777" w:rsidR="001C617A" w:rsidRDefault="001C617A" w:rsidP="001C617A">
      <w:pPr>
        <w:pStyle w:val="NoSpacing"/>
        <w:ind w:left="720"/>
      </w:pPr>
      <w:r>
        <w:t>conditions, in other words, that the psychological injury was caused by ‘abnormal</w:t>
      </w:r>
    </w:p>
    <w:p w14:paraId="210315C4" w14:textId="77777777" w:rsidR="001C617A" w:rsidRDefault="001C617A" w:rsidP="001C617A">
      <w:pPr>
        <w:pStyle w:val="NoSpacing"/>
        <w:ind w:left="720"/>
      </w:pPr>
      <w:r>
        <w:t xml:space="preserve">working conditions.’ </w:t>
      </w:r>
    </w:p>
    <w:p w14:paraId="0E66C2BE" w14:textId="77777777" w:rsidR="001C617A" w:rsidRDefault="001C617A" w:rsidP="001C617A">
      <w:pPr>
        <w:pStyle w:val="NoSpacing"/>
        <w:ind w:left="720"/>
      </w:pPr>
    </w:p>
    <w:p w14:paraId="1749B1E4" w14:textId="77777777" w:rsidR="001C617A" w:rsidRDefault="001C617A" w:rsidP="001C617A">
      <w:pPr>
        <w:pStyle w:val="NoSpacing"/>
        <w:ind w:left="720"/>
      </w:pPr>
      <w:r>
        <w:t>***</w:t>
      </w:r>
    </w:p>
    <w:p w14:paraId="013A3A85" w14:textId="77777777" w:rsidR="001C617A" w:rsidRDefault="001C617A" w:rsidP="001C617A">
      <w:pPr>
        <w:pStyle w:val="NoSpacing"/>
        <w:ind w:left="720"/>
      </w:pPr>
    </w:p>
    <w:p w14:paraId="31E3A6C1" w14:textId="77777777" w:rsidR="001C617A" w:rsidRDefault="001C617A" w:rsidP="001C617A">
      <w:pPr>
        <w:pStyle w:val="NoSpacing"/>
        <w:ind w:left="720"/>
      </w:pPr>
      <w:r w:rsidRPr="00873946">
        <w:t>The reality of Claimant’s situation was that he performed CPR on and</w:t>
      </w:r>
      <w:r>
        <w:t xml:space="preserve"> </w:t>
      </w:r>
      <w:r w:rsidRPr="00873946">
        <w:t>witnessed the deaths of two infant children within a 16-month period. It was the compounded effect of these two incidents that caused Claimant’s disabling PTSD.</w:t>
      </w:r>
      <w:r>
        <w:t xml:space="preserve"> </w:t>
      </w:r>
      <w:r w:rsidRPr="00873946">
        <w:t>There can be little doubt that firefighters experience a high amount of stress in their</w:t>
      </w:r>
      <w:r>
        <w:t xml:space="preserve"> </w:t>
      </w:r>
      <w:r w:rsidRPr="00873946">
        <w:t>jobs. Nonetheless, we must recognize that certain events, even in high-stress</w:t>
      </w:r>
      <w:r>
        <w:t xml:space="preserve"> </w:t>
      </w:r>
      <w:r w:rsidRPr="00873946">
        <w:t>professions, may rise to the level of abnormal working conditions. Claimant did not</w:t>
      </w:r>
      <w:r>
        <w:t xml:space="preserve"> </w:t>
      </w:r>
      <w:r w:rsidRPr="00873946">
        <w:t>simply witness death at a usual call involving a fire or a motor vehicle crash.</w:t>
      </w:r>
    </w:p>
    <w:p w14:paraId="05811AED" w14:textId="77777777" w:rsidR="001C617A" w:rsidRDefault="001C617A" w:rsidP="001C617A">
      <w:pPr>
        <w:pStyle w:val="NoSpacing"/>
        <w:ind w:left="720"/>
      </w:pPr>
    </w:p>
    <w:p w14:paraId="44F2A8C9" w14:textId="77777777" w:rsidR="001C617A" w:rsidRPr="00873946" w:rsidRDefault="001C617A" w:rsidP="001C617A">
      <w:pPr>
        <w:pStyle w:val="NoSpacing"/>
        <w:ind w:left="720"/>
      </w:pPr>
      <w:r>
        <w:t>***</w:t>
      </w:r>
    </w:p>
    <w:p w14:paraId="2C420F6F" w14:textId="77777777" w:rsidR="001C617A" w:rsidRDefault="001C617A" w:rsidP="001C617A">
      <w:pPr>
        <w:pStyle w:val="NoSpacing"/>
        <w:ind w:left="720"/>
      </w:pPr>
      <w:r w:rsidRPr="00873946">
        <w:t>Claimant was actively involved in attempting to resuscitate two separate</w:t>
      </w:r>
      <w:r>
        <w:t xml:space="preserve"> </w:t>
      </w:r>
      <w:r w:rsidRPr="00873946">
        <w:t>unresponsive babies and witnessing each of their deaths. We cannot agree that</w:t>
      </w:r>
      <w:r>
        <w:t xml:space="preserve"> </w:t>
      </w:r>
      <w:r w:rsidRPr="00873946">
        <w:t xml:space="preserve">Claimant’s experience in this regard was a </w:t>
      </w:r>
      <w:r>
        <w:t>‘</w:t>
      </w:r>
      <w:r w:rsidRPr="00873946">
        <w:t>normal</w:t>
      </w:r>
      <w:r>
        <w:t xml:space="preserve">’ </w:t>
      </w:r>
      <w:r w:rsidRPr="00873946">
        <w:t xml:space="preserve">or </w:t>
      </w:r>
      <w:r>
        <w:t>‘</w:t>
      </w:r>
      <w:r w:rsidRPr="00873946">
        <w:t>expected</w:t>
      </w:r>
      <w:r>
        <w:t xml:space="preserve">’ </w:t>
      </w:r>
      <w:r w:rsidRPr="00873946">
        <w:t xml:space="preserve"> consequence of</w:t>
      </w:r>
      <w:r>
        <w:t xml:space="preserve"> </w:t>
      </w:r>
      <w:r w:rsidRPr="00873946">
        <w:t>being a firefighter.</w:t>
      </w:r>
      <w:r>
        <w:t xml:space="preserve"> Indeed, in Claimant’s 20 years’ experience in firefighting service before the first event, Claimant had </w:t>
      </w:r>
      <w:proofErr w:type="gramStart"/>
      <w:r>
        <w:t>never before</w:t>
      </w:r>
      <w:proofErr w:type="gramEnd"/>
      <w:r>
        <w:t xml:space="preserve"> had to perform CPR on an infant. There is no evidence in the record that suggests firefighters in Upper Darby or even in Pennsylvania routinely or normally perform CPR on infant children or witness the deaths of infant children. Furthermore, it is noteworthy that of the three instances in which Employer called upon the county’s Critical Incident Stress [Management] Team between 2018 and 2022, two of those calls were in response to these two incidents involving Claimant and the infants. Id. </w:t>
      </w:r>
      <w:proofErr w:type="gramStart"/>
      <w:r>
        <w:t>at</w:t>
      </w:r>
      <w:proofErr w:type="gramEnd"/>
      <w:r>
        <w:t xml:space="preserve"> 251-52. Certainly, this highlights both the rarity of these events and the potential for substantial</w:t>
      </w:r>
    </w:p>
    <w:p w14:paraId="7D56E066" w14:textId="77777777" w:rsidR="001C617A" w:rsidRDefault="001C617A" w:rsidP="001C617A">
      <w:pPr>
        <w:pStyle w:val="NoSpacing"/>
        <w:ind w:firstLine="720"/>
      </w:pPr>
      <w:r>
        <w:t xml:space="preserve">psychological impact </w:t>
      </w:r>
      <w:proofErr w:type="gramStart"/>
      <w:r>
        <w:t>to</w:t>
      </w:r>
      <w:proofErr w:type="gramEnd"/>
      <w:r>
        <w:t xml:space="preserve"> the participants, which is further magnified by the fact that</w:t>
      </w:r>
    </w:p>
    <w:p w14:paraId="08EBA969" w14:textId="77777777" w:rsidR="001C617A" w:rsidRDefault="001C617A" w:rsidP="001C617A">
      <w:pPr>
        <w:pStyle w:val="NoSpacing"/>
        <w:ind w:firstLine="720"/>
      </w:pPr>
      <w:r>
        <w:t>the same person, Claimant, administered CPR on infants on each occasion.</w:t>
      </w:r>
    </w:p>
    <w:p w14:paraId="53CEDA77" w14:textId="77777777" w:rsidR="001C617A" w:rsidRDefault="001C617A" w:rsidP="001C617A">
      <w:pPr>
        <w:pStyle w:val="NoSpacing"/>
        <w:ind w:firstLine="720"/>
      </w:pPr>
    </w:p>
    <w:p w14:paraId="419FDF59" w14:textId="77777777" w:rsidR="001C617A" w:rsidRPr="00873946" w:rsidRDefault="001C617A" w:rsidP="001C617A">
      <w:pPr>
        <w:pStyle w:val="NoSpacing"/>
        <w:ind w:firstLine="720"/>
      </w:pPr>
      <w:r>
        <w:t>***</w:t>
      </w:r>
    </w:p>
    <w:p w14:paraId="2D482430" w14:textId="77777777" w:rsidR="001C617A" w:rsidRDefault="001C617A" w:rsidP="001C617A">
      <w:pPr>
        <w:pStyle w:val="NoSpacing"/>
      </w:pPr>
    </w:p>
    <w:p w14:paraId="43A10A86" w14:textId="77777777" w:rsidR="001C617A" w:rsidRDefault="001C617A" w:rsidP="001C617A">
      <w:pPr>
        <w:pStyle w:val="NoSpacing"/>
        <w:ind w:left="720"/>
      </w:pPr>
      <w:r>
        <w:t xml:space="preserve">During the first event, in November 2018, Claimant responded to a report of cardiac arrest for a two-week-old infant. Claimant performed CPR on the infant, assisted by paramedics. Despite Claimant’s efforts, he was unable </w:t>
      </w:r>
      <w:r>
        <w:lastRenderedPageBreak/>
        <w:t>to bring the baby back. Claimant continued to work for Employer but suffered from mental issues related to the first incident.</w:t>
      </w:r>
    </w:p>
    <w:p w14:paraId="141D7C4B" w14:textId="77777777" w:rsidR="001C617A" w:rsidRDefault="001C617A" w:rsidP="001C617A">
      <w:pPr>
        <w:pStyle w:val="NoSpacing"/>
      </w:pPr>
    </w:p>
    <w:p w14:paraId="4A35F2E8" w14:textId="77777777" w:rsidR="001C617A" w:rsidRDefault="001C617A" w:rsidP="001C617A">
      <w:pPr>
        <w:pStyle w:val="NoSpacing"/>
        <w:ind w:left="720"/>
      </w:pPr>
      <w:r>
        <w:t xml:space="preserve">During the second event, in May 2021, a father brought a nine-month-old infant who was not breathing into the fire station. Claimant and co-workers performed CPR on the nine-month-old baby, who was not revived. After the second incident, Claimant’s mental health symptoms intensified, and he left his duties as a </w:t>
      </w:r>
      <w:proofErr w:type="gramStart"/>
      <w:r>
        <w:t>firefighter.”</w:t>
      </w:r>
      <w:proofErr w:type="gramEnd"/>
    </w:p>
    <w:p w14:paraId="12B487D3" w14:textId="77777777" w:rsidR="001C617A" w:rsidRDefault="001C617A" w:rsidP="001C617A">
      <w:pPr>
        <w:pStyle w:val="NoSpacing"/>
        <w:ind w:left="720"/>
      </w:pPr>
    </w:p>
    <w:p w14:paraId="32CB5F74" w14:textId="7B1E5972" w:rsidR="001C617A" w:rsidRPr="00237F1C" w:rsidRDefault="001C617A" w:rsidP="001C617A">
      <w:pPr>
        <w:pStyle w:val="NoSpacing"/>
        <w:rPr>
          <w:b/>
          <w:bCs/>
        </w:rPr>
      </w:pPr>
      <w:r w:rsidRPr="00237F1C">
        <w:rPr>
          <w:b/>
        </w:rPr>
        <w:t xml:space="preserve">Lesson learned: </w:t>
      </w:r>
      <w:r>
        <w:rPr>
          <w:b/>
        </w:rPr>
        <w:t xml:space="preserve"> The firefighter proved the two infant CPR incidents were “abnormal” for his fire department.</w:t>
      </w:r>
    </w:p>
    <w:p w14:paraId="3F19A8A7" w14:textId="77777777" w:rsidR="001C617A" w:rsidRPr="00873946" w:rsidRDefault="001C617A" w:rsidP="001C617A">
      <w:pPr>
        <w:pStyle w:val="NoSpacing"/>
      </w:pPr>
    </w:p>
    <w:p w14:paraId="5667DB65" w14:textId="77777777" w:rsidR="001C617A" w:rsidRDefault="001C617A" w:rsidP="001C617A">
      <w:pPr>
        <w:spacing w:after="0"/>
        <w:rPr>
          <w:sz w:val="20"/>
          <w:szCs w:val="20"/>
        </w:rPr>
      </w:pPr>
    </w:p>
    <w:p w14:paraId="69588B87" w14:textId="77777777" w:rsidR="001C617A" w:rsidRDefault="001C617A" w:rsidP="001C617A">
      <w:pPr>
        <w:spacing w:after="0"/>
        <w:rPr>
          <w:sz w:val="20"/>
          <w:szCs w:val="20"/>
        </w:rPr>
      </w:pPr>
    </w:p>
    <w:p w14:paraId="0D7767D1" w14:textId="68EF738F" w:rsidR="001C617A" w:rsidRDefault="00D92FBD" w:rsidP="00491756">
      <w:pPr>
        <w:pStyle w:val="NoSpacing"/>
        <w:rPr>
          <w:rFonts w:ascii="Arial Black" w:hAnsi="Arial Black"/>
          <w:sz w:val="24"/>
          <w:szCs w:val="24"/>
        </w:rPr>
      </w:pPr>
      <w:r>
        <w:rPr>
          <w:rFonts w:ascii="Arial Black" w:hAnsi="Arial Black"/>
          <w:sz w:val="24"/>
          <w:szCs w:val="24"/>
        </w:rPr>
        <w:t>15-44</w:t>
      </w:r>
    </w:p>
    <w:p w14:paraId="078C9BFD" w14:textId="77777777" w:rsidR="00D92FBD" w:rsidRDefault="00D92FBD" w:rsidP="00491756">
      <w:pPr>
        <w:pStyle w:val="NoSpacing"/>
        <w:rPr>
          <w:rFonts w:ascii="Arial Black" w:hAnsi="Arial Black"/>
          <w:sz w:val="24"/>
          <w:szCs w:val="24"/>
        </w:rPr>
      </w:pPr>
    </w:p>
    <w:p w14:paraId="47908250" w14:textId="66C55835" w:rsidR="008F05D1" w:rsidRDefault="008F05D1" w:rsidP="008F05D1">
      <w:pPr>
        <w:pStyle w:val="NoSpacing"/>
        <w:rPr>
          <w:rFonts w:ascii="Arial Black" w:hAnsi="Arial Black"/>
          <w:b/>
          <w:sz w:val="28"/>
          <w:szCs w:val="28"/>
        </w:rPr>
      </w:pPr>
      <w:r>
        <w:rPr>
          <w:rFonts w:ascii="Arial Black" w:hAnsi="Arial Black"/>
          <w:b/>
          <w:sz w:val="28"/>
          <w:szCs w:val="28"/>
        </w:rPr>
        <w:t xml:space="preserve">TN: PTSD – </w:t>
      </w:r>
      <w:r w:rsidR="00902336">
        <w:rPr>
          <w:rFonts w:ascii="Arial Black" w:hAnsi="Arial Black"/>
          <w:b/>
          <w:sz w:val="28"/>
          <w:szCs w:val="28"/>
        </w:rPr>
        <w:t>DENIED “</w:t>
      </w:r>
      <w:r w:rsidR="00973D14">
        <w:rPr>
          <w:rFonts w:ascii="Arial Black" w:hAnsi="Arial Black"/>
          <w:b/>
          <w:sz w:val="28"/>
          <w:szCs w:val="28"/>
        </w:rPr>
        <w:t>DISAB</w:t>
      </w:r>
      <w:r w:rsidR="00284724">
        <w:rPr>
          <w:rFonts w:ascii="Arial Black" w:hAnsi="Arial Black"/>
          <w:b/>
          <w:sz w:val="28"/>
          <w:szCs w:val="28"/>
        </w:rPr>
        <w:t xml:space="preserve">ILITY” </w:t>
      </w:r>
      <w:r>
        <w:rPr>
          <w:rFonts w:ascii="Arial Black" w:hAnsi="Arial Black"/>
          <w:b/>
          <w:sz w:val="28"/>
          <w:szCs w:val="28"/>
        </w:rPr>
        <w:t xml:space="preserve">PENSION / TRAUMA NOT “UNEXPECTED” </w:t>
      </w:r>
    </w:p>
    <w:p w14:paraId="025345A9" w14:textId="77777777" w:rsidR="00AE5515" w:rsidRDefault="00AE5515" w:rsidP="008F05D1">
      <w:pPr>
        <w:pStyle w:val="NoSpacing"/>
      </w:pPr>
    </w:p>
    <w:p w14:paraId="7F585762" w14:textId="06B5AA4F" w:rsidR="008F05D1" w:rsidRDefault="008F05D1" w:rsidP="008F05D1">
      <w:pPr>
        <w:pStyle w:val="NoSpacing"/>
      </w:pPr>
      <w:r>
        <w:t xml:space="preserve">On Oct. 13, 2025, in </w:t>
      </w:r>
      <w:r w:rsidRPr="005A20C3">
        <w:rPr>
          <w:u w:val="single"/>
        </w:rPr>
        <w:t xml:space="preserve">Matthew Long v. Chattanooga Fire </w:t>
      </w:r>
      <w:proofErr w:type="gramStart"/>
      <w:r w:rsidRPr="005A20C3">
        <w:rPr>
          <w:u w:val="single"/>
        </w:rPr>
        <w:t>And</w:t>
      </w:r>
      <w:proofErr w:type="gramEnd"/>
      <w:r w:rsidRPr="005A20C3">
        <w:rPr>
          <w:u w:val="single"/>
        </w:rPr>
        <w:t xml:space="preserve"> Police Pension</w:t>
      </w:r>
      <w:r>
        <w:t xml:space="preserve">, the Supreme Court of Tennessee a Knoxville held (5 to 0) that Board correctly denied </w:t>
      </w:r>
      <w:r w:rsidRPr="00B022C6">
        <w:t>disability pension benefit</w:t>
      </w:r>
      <w:r>
        <w:t>s to a 15-year firefighter after a hearing, since his PTSD did not arise from “unexpected” traumatic runs.  The Board consists of eight members: three active members of the police department, three active members of the fire department, the mayor or the mayor’s appointee, and a member appointed by the City Council. In February 2020, Mr. Long completed treatment at the Center</w:t>
      </w:r>
    </w:p>
    <w:p w14:paraId="7B1D415C" w14:textId="77777777" w:rsidR="008F05D1" w:rsidRDefault="008F05D1" w:rsidP="008F05D1">
      <w:pPr>
        <w:pStyle w:val="NoSpacing"/>
      </w:pPr>
      <w:r>
        <w:t>for Excellence in Maryland and then returned home. Mr. Long continued receiving care</w:t>
      </w:r>
    </w:p>
    <w:p w14:paraId="2C6162E1" w14:textId="77777777" w:rsidR="008F05D1" w:rsidRDefault="008F05D1" w:rsidP="008F05D1">
      <w:pPr>
        <w:pStyle w:val="NoSpacing"/>
      </w:pPr>
      <w:r>
        <w:t>from primary care providers but reported difficulty finding satisfactory follow-up mental</w:t>
      </w:r>
    </w:p>
    <w:p w14:paraId="2F1B2057" w14:textId="77777777" w:rsidR="008F05D1" w:rsidRDefault="008F05D1" w:rsidP="008F05D1">
      <w:pPr>
        <w:pStyle w:val="NoSpacing"/>
      </w:pPr>
      <w:r>
        <w:t xml:space="preserve">health care. In June 2020, FD had psychiatrist Dr. Keith Caruso again </w:t>
      </w:r>
      <w:proofErr w:type="gramStart"/>
      <w:r>
        <w:t>evaluate</w:t>
      </w:r>
      <w:proofErr w:type="gramEnd"/>
      <w:r>
        <w:t xml:space="preserve"> Mr. Long’s fitness for duty and he determined that Mr. Long was “permanently and totally disabled as a firefighter.”  The Court reversed both the trial court and the Court of Appeals, which had found Board term ambiguous, </w:t>
      </w:r>
      <w:proofErr w:type="gramStart"/>
      <w:r>
        <w:t>an</w:t>
      </w:r>
      <w:proofErr w:type="gramEnd"/>
      <w:r>
        <w:t xml:space="preserve"> applied the liberal construction doctrine to award benefits. </w:t>
      </w:r>
      <w:hyperlink r:id="rId2474" w:history="1">
        <w:r w:rsidRPr="002D5C71">
          <w:rPr>
            <w:rStyle w:val="Hyperlink"/>
          </w:rPr>
          <w:t>https://www.tncourts.gov/sites/default/files/OpinionsPDFVersion/Majority%20Opinion%20-%20E2022-01151-SC-R11-CV.pdf</w:t>
        </w:r>
      </w:hyperlink>
      <w:r>
        <w:t xml:space="preserve"> </w:t>
      </w:r>
    </w:p>
    <w:p w14:paraId="3EB471D6" w14:textId="77777777" w:rsidR="008F05D1" w:rsidRDefault="008F05D1" w:rsidP="008F05D1">
      <w:pPr>
        <w:pStyle w:val="NoSpacing"/>
      </w:pPr>
    </w:p>
    <w:p w14:paraId="2B7FFC7B" w14:textId="77777777" w:rsidR="008F05D1" w:rsidRDefault="008F05D1" w:rsidP="008F05D1">
      <w:pPr>
        <w:pStyle w:val="NoSpacing"/>
      </w:pPr>
      <w:r>
        <w:t>THE COURT HELD:</w:t>
      </w:r>
    </w:p>
    <w:p w14:paraId="6805B713" w14:textId="77777777" w:rsidR="008F05D1" w:rsidRDefault="008F05D1" w:rsidP="008F05D1">
      <w:pPr>
        <w:pStyle w:val="NoSpacing"/>
      </w:pPr>
    </w:p>
    <w:p w14:paraId="3E4D3D2D" w14:textId="77777777" w:rsidR="008F05D1" w:rsidRDefault="008F05D1" w:rsidP="008F05D1">
      <w:pPr>
        <w:pStyle w:val="NoSpacing"/>
        <w:ind w:left="720"/>
      </w:pPr>
      <w:r>
        <w:t>“At the heart of this dispute is the Policy requirement that, to be eligible for benefits, a mental health ‘disability [must be] a direct result of a traumatic event that is . . . unexpected.’ Specifically, what does it mean for a traumatic event to be “unexpected” as required by the Policy?</w:t>
      </w:r>
    </w:p>
    <w:p w14:paraId="3430C90E" w14:textId="77777777" w:rsidR="008F05D1" w:rsidRDefault="008F05D1" w:rsidP="008F05D1">
      <w:pPr>
        <w:pStyle w:val="NoSpacing"/>
      </w:pPr>
    </w:p>
    <w:p w14:paraId="4E9DF288" w14:textId="77777777" w:rsidR="008F05D1" w:rsidRDefault="008F05D1" w:rsidP="008F05D1">
      <w:pPr>
        <w:pStyle w:val="NoSpacing"/>
        <w:ind w:firstLine="720"/>
      </w:pPr>
      <w:r>
        <w:t>The Court of Appeals found the term ambiguous, applied the liberal construction</w:t>
      </w:r>
    </w:p>
    <w:p w14:paraId="1C6E1A15" w14:textId="77777777" w:rsidR="008F05D1" w:rsidRDefault="008F05D1" w:rsidP="008F05D1">
      <w:pPr>
        <w:pStyle w:val="NoSpacing"/>
        <w:ind w:firstLine="720"/>
      </w:pPr>
      <w:r>
        <w:t>doctrine, and then construed the Policy in favor of Mr. Long. Long, 2023 WL 8716539, at</w:t>
      </w:r>
    </w:p>
    <w:p w14:paraId="46EB66D4" w14:textId="77777777" w:rsidR="008F05D1" w:rsidRDefault="008F05D1" w:rsidP="008F05D1">
      <w:pPr>
        <w:pStyle w:val="NoSpacing"/>
        <w:ind w:firstLine="720"/>
      </w:pPr>
      <w:r>
        <w:t xml:space="preserve">*9–11. The Fund disputes the finding of ambiguity </w:t>
      </w:r>
      <w:proofErr w:type="gramStart"/>
      <w:r>
        <w:t>and also</w:t>
      </w:r>
      <w:proofErr w:type="gramEnd"/>
      <w:r>
        <w:t xml:space="preserve"> argues that the Court should</w:t>
      </w:r>
    </w:p>
    <w:p w14:paraId="4FD4ACA1" w14:textId="77777777" w:rsidR="008F05D1" w:rsidRPr="0081000D" w:rsidRDefault="008F05D1" w:rsidP="008F05D1">
      <w:pPr>
        <w:pStyle w:val="NoSpacing"/>
        <w:ind w:left="720"/>
      </w:pPr>
      <w:proofErr w:type="gramStart"/>
      <w:r>
        <w:t>defer</w:t>
      </w:r>
      <w:proofErr w:type="gramEnd"/>
      <w:r>
        <w:t xml:space="preserve"> to the Board’s interpretation of the Policy. We hold that the Policy is not ambiguous, and we interpret it according to its unambiguous plain meaning. </w:t>
      </w:r>
    </w:p>
    <w:p w14:paraId="2CEF7F9F" w14:textId="77777777" w:rsidR="008F05D1" w:rsidRDefault="008F05D1" w:rsidP="008F05D1">
      <w:pPr>
        <w:pStyle w:val="NoSpacing"/>
        <w:ind w:left="720"/>
      </w:pPr>
    </w:p>
    <w:p w14:paraId="7AFFB626" w14:textId="77777777" w:rsidR="008F05D1" w:rsidRDefault="008F05D1" w:rsidP="008F05D1">
      <w:pPr>
        <w:pStyle w:val="NoSpacing"/>
        <w:ind w:left="720"/>
      </w:pPr>
      <w:r>
        <w:t>***</w:t>
      </w:r>
    </w:p>
    <w:p w14:paraId="3EFBC345" w14:textId="77777777" w:rsidR="008F05D1" w:rsidRDefault="008F05D1" w:rsidP="008F05D1">
      <w:pPr>
        <w:pStyle w:val="NoSpacing"/>
        <w:ind w:left="720"/>
      </w:pPr>
      <w:r>
        <w:t xml:space="preserve">Matthew Long was employed as a firefighter with the Chattanooga Fire Department for fifteen years before he applied to the Chattanooga Fire and Police Pension </w:t>
      </w:r>
      <w:proofErr w:type="gramStart"/>
      <w:r>
        <w:t>Fund (‘</w:t>
      </w:r>
      <w:proofErr w:type="gramEnd"/>
      <w:r>
        <w:t xml:space="preserve">Fund’) </w:t>
      </w:r>
      <w:proofErr w:type="gramStart"/>
      <w:r>
        <w:t>for disability</w:t>
      </w:r>
      <w:proofErr w:type="gramEnd"/>
      <w:r>
        <w:t xml:space="preserve"> pension benefits. The denial of Mr. Long’s application is the subject of this appeal.</w:t>
      </w:r>
    </w:p>
    <w:p w14:paraId="5B7F0475" w14:textId="77777777" w:rsidR="008F05D1" w:rsidRDefault="008F05D1" w:rsidP="008F05D1">
      <w:pPr>
        <w:pStyle w:val="NoSpacing"/>
        <w:ind w:left="720"/>
      </w:pPr>
    </w:p>
    <w:p w14:paraId="32DAE6E7" w14:textId="77777777" w:rsidR="008F05D1" w:rsidRPr="00614036" w:rsidRDefault="008F05D1" w:rsidP="008F05D1">
      <w:pPr>
        <w:pStyle w:val="NoSpacing"/>
        <w:ind w:left="720"/>
      </w:pPr>
      <w:r>
        <w:t>***</w:t>
      </w:r>
    </w:p>
    <w:p w14:paraId="12D90310" w14:textId="77777777" w:rsidR="008F05D1" w:rsidRDefault="008F05D1" w:rsidP="008F05D1">
      <w:pPr>
        <w:pStyle w:val="NoSpacing"/>
        <w:ind w:firstLine="720"/>
      </w:pPr>
      <w:r>
        <w:t xml:space="preserve">Mr. Long responded to many </w:t>
      </w:r>
      <w:proofErr w:type="gramStart"/>
      <w:r>
        <w:t>emergency</w:t>
      </w:r>
      <w:proofErr w:type="gramEnd"/>
      <w:r>
        <w:t xml:space="preserve"> calls over the course of his career. This</w:t>
      </w:r>
    </w:p>
    <w:p w14:paraId="2A5739CE" w14:textId="77777777" w:rsidR="008F05D1" w:rsidRDefault="008F05D1" w:rsidP="008F05D1">
      <w:pPr>
        <w:pStyle w:val="NoSpacing"/>
        <w:ind w:firstLine="720"/>
      </w:pPr>
      <w:r>
        <w:t>case focuses on four traumatic events that Mr. Long identifies as contributing to his</w:t>
      </w:r>
    </w:p>
    <w:p w14:paraId="6F516821" w14:textId="77777777" w:rsidR="008F05D1" w:rsidRDefault="008F05D1" w:rsidP="008F05D1">
      <w:pPr>
        <w:pStyle w:val="NoSpacing"/>
        <w:ind w:firstLine="720"/>
      </w:pPr>
      <w:r>
        <w:t>disability.1 We will discuss them in the order they occurred.</w:t>
      </w:r>
    </w:p>
    <w:p w14:paraId="2114A118" w14:textId="77777777" w:rsidR="008F05D1" w:rsidRDefault="008F05D1" w:rsidP="008F05D1">
      <w:pPr>
        <w:pStyle w:val="NoSpacing"/>
      </w:pPr>
    </w:p>
    <w:p w14:paraId="2F74C6CC" w14:textId="77777777" w:rsidR="008F05D1" w:rsidRDefault="008F05D1" w:rsidP="008F05D1">
      <w:pPr>
        <w:pStyle w:val="NoSpacing"/>
        <w:ind w:firstLine="720"/>
      </w:pPr>
      <w:r>
        <w:t>The first event Mr. Long identified was a car accident near the Bailey-Willow</w:t>
      </w:r>
    </w:p>
    <w:p w14:paraId="2DFB58FA" w14:textId="77777777" w:rsidR="008F05D1" w:rsidRDefault="008F05D1" w:rsidP="008F05D1">
      <w:pPr>
        <w:pStyle w:val="NoSpacing"/>
        <w:ind w:left="720"/>
      </w:pPr>
      <w:r>
        <w:lastRenderedPageBreak/>
        <w:t>intersection in 2008. Mr. Long was called to the scene of a car wreck involving a mother and three children. Mr. Long testified that the mother had run a red-light and been T-boned by an SUV. The children, including an infant in a car seat, were not buckled in when the wreck occurred. Mr. Long rendered aid to the infant whose skull had been crushed after the car seat bounced around the car as well as to a young girl who had been thrown out of the car. Two of the three children died from their injuries. Mr. Long noted that this incident was deeply troubling to all the firefighters who were on the call and that it was particularly hard for him because his children were about the same age as the children in the wreck.</w:t>
      </w:r>
    </w:p>
    <w:p w14:paraId="1E9132A2" w14:textId="77777777" w:rsidR="008F05D1" w:rsidRDefault="008F05D1" w:rsidP="008F05D1">
      <w:pPr>
        <w:pStyle w:val="NoSpacing"/>
      </w:pPr>
    </w:p>
    <w:p w14:paraId="43503317" w14:textId="77777777" w:rsidR="008F05D1" w:rsidRDefault="008F05D1" w:rsidP="008F05D1">
      <w:pPr>
        <w:pStyle w:val="NoSpacing"/>
        <w:ind w:firstLine="720"/>
      </w:pPr>
      <w:r>
        <w:t>The second event Mr. Long identified was the Highland Park fire in 2013. Mr. Long</w:t>
      </w:r>
    </w:p>
    <w:p w14:paraId="76C4C2B5" w14:textId="77777777" w:rsidR="008F05D1" w:rsidRDefault="008F05D1" w:rsidP="008F05D1">
      <w:pPr>
        <w:pStyle w:val="NoSpacing"/>
        <w:ind w:firstLine="720"/>
      </w:pPr>
      <w:r>
        <w:t>was called to a fire at an apartment where two children were trapped in the burning</w:t>
      </w:r>
    </w:p>
    <w:p w14:paraId="756E9349" w14:textId="77777777" w:rsidR="008F05D1" w:rsidRDefault="008F05D1" w:rsidP="008F05D1">
      <w:pPr>
        <w:pStyle w:val="NoSpacing"/>
        <w:ind w:firstLine="720"/>
      </w:pPr>
      <w:r>
        <w:t>building. Mr. Long rendered aid to one of the children and remembered that the child’s</w:t>
      </w:r>
    </w:p>
    <w:p w14:paraId="2E154956" w14:textId="77777777" w:rsidR="008F05D1" w:rsidRDefault="008F05D1" w:rsidP="008F05D1">
      <w:pPr>
        <w:pStyle w:val="NoSpacing"/>
        <w:ind w:firstLine="720"/>
      </w:pPr>
      <w:r>
        <w:t>hair was ‘sloughing off,’ his ‘skin was hanging,’ and he was ‘covered in soot.’ Mr. Long</w:t>
      </w:r>
    </w:p>
    <w:p w14:paraId="01AB3ECA" w14:textId="77777777" w:rsidR="008F05D1" w:rsidRDefault="008F05D1" w:rsidP="008F05D1">
      <w:pPr>
        <w:pStyle w:val="NoSpacing"/>
        <w:ind w:firstLine="720"/>
      </w:pPr>
      <w:r>
        <w:t>and the other firefighters revived the child and then sent him in an ambulance for further</w:t>
      </w:r>
    </w:p>
    <w:p w14:paraId="219476FE" w14:textId="77777777" w:rsidR="008F05D1" w:rsidRDefault="008F05D1" w:rsidP="008F05D1">
      <w:pPr>
        <w:pStyle w:val="NoSpacing"/>
        <w:ind w:left="720"/>
      </w:pPr>
      <w:r>
        <w:t>treatment. Unfortunately, the other child died at the scene. Mr. Long also discussed the aftermath of the Highland Park fire. More than a year after the fire, the surviving child came to visit the fire station to thank Mr. Long and the other firefighters. Mr. Long did not know in advance that the child was coming to visit, and the child was “so disfigured that . . . it was something that stuck with [Mr. Long].” Mr. Long also testified that he rarely learned anything about the people he helped and the child “was one of the few” he ever saw again.</w:t>
      </w:r>
    </w:p>
    <w:p w14:paraId="57A5BD2D" w14:textId="77777777" w:rsidR="008F05D1" w:rsidRDefault="008F05D1" w:rsidP="008F05D1">
      <w:pPr>
        <w:pStyle w:val="NoSpacing"/>
      </w:pPr>
    </w:p>
    <w:p w14:paraId="0C573C18" w14:textId="77777777" w:rsidR="008F05D1" w:rsidRDefault="008F05D1" w:rsidP="008F05D1">
      <w:pPr>
        <w:pStyle w:val="NoSpacing"/>
        <w:ind w:firstLine="720"/>
      </w:pPr>
      <w:r>
        <w:t>The third event was a pedestrian being struck by a car.2 Mr. Long was one of the</w:t>
      </w:r>
    </w:p>
    <w:p w14:paraId="09A928E8" w14:textId="77777777" w:rsidR="008F05D1" w:rsidRDefault="008F05D1" w:rsidP="008F05D1">
      <w:pPr>
        <w:pStyle w:val="NoSpacing"/>
        <w:ind w:firstLine="720"/>
      </w:pPr>
      <w:r>
        <w:t>responders to an accident where a man was hit by a car while pushing his girlfriend out of</w:t>
      </w:r>
    </w:p>
    <w:p w14:paraId="39930AFF" w14:textId="77777777" w:rsidR="008F05D1" w:rsidRDefault="008F05D1" w:rsidP="008F05D1">
      <w:pPr>
        <w:pStyle w:val="NoSpacing"/>
        <w:ind w:firstLine="720"/>
      </w:pPr>
      <w:r>
        <w:t>the way. The man died on the scene after “spitting out pieces of his lungs.” Mr. Long</w:t>
      </w:r>
    </w:p>
    <w:p w14:paraId="5919B3C0" w14:textId="77777777" w:rsidR="008F05D1" w:rsidRDefault="008F05D1" w:rsidP="008F05D1">
      <w:pPr>
        <w:pStyle w:val="NoSpacing"/>
        <w:ind w:firstLine="720"/>
      </w:pPr>
      <w:r>
        <w:t>found this particularly troubling because the man’s friends and girlfriend were asking Mr.</w:t>
      </w:r>
    </w:p>
    <w:p w14:paraId="4A11A1CB" w14:textId="77777777" w:rsidR="008F05D1" w:rsidRDefault="008F05D1" w:rsidP="008F05D1">
      <w:pPr>
        <w:pStyle w:val="NoSpacing"/>
        <w:ind w:firstLine="720"/>
      </w:pPr>
      <w:r>
        <w:t>Long if the man would be okay.</w:t>
      </w:r>
    </w:p>
    <w:p w14:paraId="2178C8CE" w14:textId="77777777" w:rsidR="008F05D1" w:rsidRDefault="008F05D1" w:rsidP="008F05D1">
      <w:pPr>
        <w:pStyle w:val="NoSpacing"/>
      </w:pPr>
    </w:p>
    <w:p w14:paraId="31BC5B6E" w14:textId="77777777" w:rsidR="008F05D1" w:rsidRDefault="008F05D1" w:rsidP="008F05D1">
      <w:pPr>
        <w:pStyle w:val="NoSpacing"/>
        <w:ind w:firstLine="720"/>
      </w:pPr>
      <w:r>
        <w:t>The fourth event was an encounter with an armed man in July 2019. Mr. Long and</w:t>
      </w:r>
    </w:p>
    <w:p w14:paraId="220C6793" w14:textId="77777777" w:rsidR="008F05D1" w:rsidRDefault="008F05D1" w:rsidP="008F05D1">
      <w:pPr>
        <w:pStyle w:val="NoSpacing"/>
        <w:ind w:left="720"/>
      </w:pPr>
      <w:r>
        <w:t>other firefighters responded to a call that an elderly woman had fallen. When they arrived, Mr. Long came upon a man cutting pills. The man had a handgun out on the table and looked at Mr. Long in a way that made him feel threatened, particularly because the call was without police backup. Mr. Long testified of this encounter, “I’ve seen people with guns and different things, but at this moment I was done.” This event occurred around the time that Mr. Long began mental health treatment.</w:t>
      </w:r>
    </w:p>
    <w:p w14:paraId="50EE395C" w14:textId="77777777" w:rsidR="008F05D1" w:rsidRDefault="008F05D1" w:rsidP="008F05D1">
      <w:pPr>
        <w:pStyle w:val="NoSpacing"/>
      </w:pPr>
    </w:p>
    <w:p w14:paraId="5E1B58C9" w14:textId="77777777" w:rsidR="008F05D1" w:rsidRDefault="008F05D1" w:rsidP="008F05D1">
      <w:pPr>
        <w:pStyle w:val="NoSpacing"/>
      </w:pPr>
      <w:r>
        <w:tab/>
        <w:t>***</w:t>
      </w:r>
    </w:p>
    <w:p w14:paraId="5A29F31B" w14:textId="77777777" w:rsidR="008F05D1" w:rsidRDefault="008F05D1" w:rsidP="008F05D1">
      <w:pPr>
        <w:pStyle w:val="NoSpacing"/>
      </w:pPr>
    </w:p>
    <w:p w14:paraId="166035B8" w14:textId="77777777" w:rsidR="008F05D1" w:rsidRDefault="008F05D1" w:rsidP="008F05D1">
      <w:pPr>
        <w:pStyle w:val="NoSpacing"/>
        <w:ind w:left="720"/>
      </w:pPr>
      <w:r>
        <w:t xml:space="preserve">There is little evidence that the events causing Mr. Long’s PTSD were ‘unexpected,’ and there is significant evidence that the events were expected. There is certainly ‘more than a scintilla of evidence’  to support the Board’s decision. The Policy placed the burden of proof on Mr. Long to show that the events causing his PTSD were unexpected, and our review of the record yields little evidence that he met that burden. Accordingly, we find that the Board’s decision is supported by substantial and material evidence in the record and there is ample basis for a reasonable person to reach the same </w:t>
      </w:r>
      <w:proofErr w:type="gramStart"/>
      <w:r>
        <w:t>conclusion.”</w:t>
      </w:r>
      <w:proofErr w:type="gramEnd"/>
    </w:p>
    <w:p w14:paraId="03F97E55" w14:textId="77777777" w:rsidR="008F05D1" w:rsidRDefault="008F05D1" w:rsidP="008F05D1">
      <w:pPr>
        <w:pStyle w:val="NoSpacing"/>
        <w:ind w:left="720"/>
      </w:pPr>
    </w:p>
    <w:p w14:paraId="157035FC" w14:textId="0E41A0F2" w:rsidR="008F05D1" w:rsidRPr="006A66F3" w:rsidRDefault="008F05D1" w:rsidP="008F05D1">
      <w:pPr>
        <w:pStyle w:val="NoSpacing"/>
        <w:rPr>
          <w:b/>
          <w:bCs/>
        </w:rPr>
      </w:pPr>
      <w:r>
        <w:rPr>
          <w:b/>
        </w:rPr>
        <w:t xml:space="preserve">Lesson learned:  </w:t>
      </w:r>
      <w:r w:rsidR="0002141E">
        <w:rPr>
          <w:b/>
        </w:rPr>
        <w:t xml:space="preserve">The </w:t>
      </w:r>
      <w:r>
        <w:rPr>
          <w:b/>
        </w:rPr>
        <w:t xml:space="preserve">claimant failed to prove </w:t>
      </w:r>
      <w:r w:rsidR="0002141E">
        <w:rPr>
          <w:b/>
        </w:rPr>
        <w:t xml:space="preserve">his </w:t>
      </w:r>
      <w:r>
        <w:rPr>
          <w:b/>
        </w:rPr>
        <w:t xml:space="preserve">mental health </w:t>
      </w:r>
      <w:r w:rsidRPr="006A66F3">
        <w:rPr>
          <w:b/>
        </w:rPr>
        <w:t xml:space="preserve">disability </w:t>
      </w:r>
      <w:r w:rsidR="0002141E">
        <w:rPr>
          <w:b/>
        </w:rPr>
        <w:t xml:space="preserve"> was “</w:t>
      </w:r>
      <w:r w:rsidRPr="006A66F3">
        <w:rPr>
          <w:b/>
        </w:rPr>
        <w:t>a direct result of a traumatic event that is . . . unexpected.”</w:t>
      </w:r>
    </w:p>
    <w:p w14:paraId="0CD3B361" w14:textId="77777777" w:rsidR="008F05D1" w:rsidRPr="006A66F3" w:rsidRDefault="008F05D1" w:rsidP="008F05D1">
      <w:pPr>
        <w:pStyle w:val="NoSpacing"/>
        <w:ind w:left="720"/>
        <w:rPr>
          <w:b/>
          <w:bCs/>
        </w:rPr>
      </w:pPr>
    </w:p>
    <w:p w14:paraId="309557DF" w14:textId="77777777" w:rsidR="008F05D1" w:rsidRDefault="008F05D1" w:rsidP="008F05D1">
      <w:pPr>
        <w:pStyle w:val="NoSpacing"/>
        <w:ind w:left="720"/>
      </w:pPr>
      <w:r w:rsidRPr="00496071">
        <w:t xml:space="preserve"> Note: See Oct. 15, </w:t>
      </w:r>
      <w:proofErr w:type="gramStart"/>
      <w:r w:rsidRPr="00496071">
        <w:t>2025</w:t>
      </w:r>
      <w:proofErr w:type="gramEnd"/>
      <w:r w:rsidRPr="00496071">
        <w:t xml:space="preserve"> article, “Tenn. Supreme Court reinstates denial of PTSD benefits for former firefighter. “ </w:t>
      </w:r>
      <w:hyperlink r:id="rId2475" w:history="1">
        <w:r w:rsidRPr="00496071">
          <w:rPr>
            <w:rStyle w:val="Hyperlink"/>
          </w:rPr>
          <w:t>https://www.firerescue1.com/legal/tenn-supreme-court-reinstates-denial-of-ptsd-benefits-for-former-firefighter?utm_source=delivra&amp;utm_medium=email&amp;utm_campaign=FR1-Daily-10-15-25&amp;utm_id=9641961&amp;dlv-emuid=fed355b8-46a2-4fa4-b55c-4d602dde33c4&amp;dlv-mlid=964196</w:t>
        </w:r>
      </w:hyperlink>
      <w:r w:rsidRPr="00496071">
        <w:t xml:space="preserve"> </w:t>
      </w:r>
    </w:p>
    <w:p w14:paraId="386BF20C" w14:textId="77777777" w:rsidR="00F02AD2" w:rsidRDefault="00F02AD2" w:rsidP="00491756">
      <w:pPr>
        <w:pStyle w:val="NoSpacing"/>
        <w:rPr>
          <w:rFonts w:ascii="Arial Black" w:hAnsi="Arial Black"/>
          <w:sz w:val="24"/>
          <w:szCs w:val="24"/>
        </w:rPr>
      </w:pPr>
    </w:p>
    <w:p w14:paraId="2889E54C" w14:textId="77777777" w:rsidR="00F02AD2" w:rsidRDefault="00F02AD2" w:rsidP="00491756">
      <w:pPr>
        <w:pStyle w:val="NoSpacing"/>
        <w:rPr>
          <w:rFonts w:ascii="Arial Black" w:hAnsi="Arial Black"/>
          <w:sz w:val="24"/>
          <w:szCs w:val="24"/>
        </w:rPr>
      </w:pPr>
    </w:p>
    <w:p w14:paraId="04EC1605" w14:textId="77777777" w:rsidR="00F02AD2" w:rsidRDefault="00F02AD2" w:rsidP="00491756">
      <w:pPr>
        <w:pStyle w:val="NoSpacing"/>
        <w:rPr>
          <w:rFonts w:ascii="Arial Black" w:hAnsi="Arial Black"/>
          <w:sz w:val="24"/>
          <w:szCs w:val="24"/>
        </w:rPr>
      </w:pPr>
    </w:p>
    <w:p w14:paraId="5F3BA784" w14:textId="776368B7" w:rsidR="00F02AD2" w:rsidRDefault="00F02AD2" w:rsidP="00491756">
      <w:pPr>
        <w:pStyle w:val="NoSpacing"/>
        <w:rPr>
          <w:rFonts w:ascii="Arial Black" w:hAnsi="Arial Black"/>
          <w:sz w:val="24"/>
          <w:szCs w:val="24"/>
        </w:rPr>
      </w:pPr>
      <w:r>
        <w:rPr>
          <w:rFonts w:ascii="Arial Black" w:hAnsi="Arial Black"/>
          <w:sz w:val="24"/>
          <w:szCs w:val="24"/>
        </w:rPr>
        <w:t>15-4</w:t>
      </w:r>
      <w:r w:rsidR="00CF6AB5">
        <w:rPr>
          <w:rFonts w:ascii="Arial Black" w:hAnsi="Arial Black"/>
          <w:sz w:val="24"/>
          <w:szCs w:val="24"/>
        </w:rPr>
        <w:t>3</w:t>
      </w:r>
    </w:p>
    <w:p w14:paraId="374EF672" w14:textId="77777777" w:rsidR="00F02AD2" w:rsidRDefault="00F02AD2" w:rsidP="00491756">
      <w:pPr>
        <w:pStyle w:val="NoSpacing"/>
        <w:rPr>
          <w:rFonts w:ascii="Arial Black" w:hAnsi="Arial Black"/>
          <w:sz w:val="24"/>
          <w:szCs w:val="24"/>
        </w:rPr>
      </w:pPr>
    </w:p>
    <w:p w14:paraId="5E21C88E" w14:textId="77777777" w:rsidR="00876E96" w:rsidRDefault="00876E96" w:rsidP="00491756">
      <w:pPr>
        <w:pStyle w:val="NoSpacing"/>
        <w:rPr>
          <w:rFonts w:ascii="Arial Black" w:hAnsi="Arial Black"/>
          <w:sz w:val="24"/>
          <w:szCs w:val="24"/>
        </w:rPr>
      </w:pPr>
    </w:p>
    <w:p w14:paraId="60F6CBE0" w14:textId="77777777" w:rsidR="00876E96" w:rsidRDefault="00876E96" w:rsidP="00876E96">
      <w:pPr>
        <w:spacing w:after="0"/>
        <w:rPr>
          <w:rFonts w:ascii="Arial Black" w:hAnsi="Arial Black"/>
          <w:b/>
          <w:sz w:val="28"/>
          <w:szCs w:val="28"/>
        </w:rPr>
      </w:pPr>
      <w:bookmarkStart w:id="569" w:name="_Hlk212805120"/>
      <w:r>
        <w:rPr>
          <w:rFonts w:ascii="Arial Black" w:hAnsi="Arial Black"/>
          <w:b/>
          <w:sz w:val="28"/>
          <w:szCs w:val="28"/>
        </w:rPr>
        <w:t>NY: PTSD – GET “ORDINARY” DISAB – NOT “ACCIDENTAL”</w:t>
      </w:r>
    </w:p>
    <w:p w14:paraId="76F84017" w14:textId="77777777" w:rsidR="00876E96" w:rsidRDefault="00876E96" w:rsidP="00876E96">
      <w:pPr>
        <w:spacing w:after="0"/>
        <w:rPr>
          <w:bCs/>
        </w:rPr>
      </w:pPr>
    </w:p>
    <w:p w14:paraId="2CBFABE4" w14:textId="77777777" w:rsidR="00876E96" w:rsidRPr="005153BB" w:rsidRDefault="00876E96" w:rsidP="00876E96">
      <w:pPr>
        <w:spacing w:after="0"/>
        <w:rPr>
          <w:b/>
        </w:rPr>
      </w:pPr>
      <w:r w:rsidRPr="00CA4B2B">
        <w:t xml:space="preserve">On October 10, 2025, in </w:t>
      </w:r>
      <w:r w:rsidRPr="009C2E71">
        <w:rPr>
          <w:u w:val="single"/>
        </w:rPr>
        <w:t>Gordon Springs v. The New York City Fire Pension Fund</w:t>
      </w:r>
      <w:r>
        <w:rPr>
          <w:u w:val="single"/>
        </w:rPr>
        <w:t>, et al.</w:t>
      </w:r>
      <w:r>
        <w:t xml:space="preserve">, Judge  </w:t>
      </w:r>
      <w:r w:rsidRPr="00230706">
        <w:t>Lyle E. Frank</w:t>
      </w:r>
      <w:r>
        <w:t xml:space="preserve">, </w:t>
      </w:r>
      <w:r w:rsidRPr="000452AD">
        <w:t>Supreme Court, New York County</w:t>
      </w:r>
      <w:r>
        <w:t xml:space="preserve"> (unpublished decision) held that the Pension Board, while granting the retired firefighter ordinary disability benefits, properly denied him Accidental Disability Retirement (ADR). The case was first </w:t>
      </w:r>
      <w:proofErr w:type="gramStart"/>
      <w:r>
        <w:t>remanded</w:t>
      </w:r>
      <w:proofErr w:type="gramEnd"/>
      <w:r>
        <w:t xml:space="preserve"> to the Board, which reconfirmed its </w:t>
      </w:r>
      <w:proofErr w:type="gramStart"/>
      <w:r>
        <w:t>decision</w:t>
      </w:r>
      <w:proofErr w:type="gramEnd"/>
      <w:r>
        <w:t xml:space="preserve"> denying ADR.  </w:t>
      </w:r>
      <w:hyperlink r:id="rId2476" w:history="1">
        <w:r w:rsidRPr="00C117F2">
          <w:rPr>
            <w:rStyle w:val="Hyperlink"/>
          </w:rPr>
          <w:t>https://cases.justia.com/new-york/other-courts/2025-2025-ny-slip-op-33910-u.pdf?ts=1761341305</w:t>
        </w:r>
      </w:hyperlink>
      <w:bookmarkEnd w:id="569"/>
      <w:r w:rsidRPr="00C117F2">
        <w:t xml:space="preserve"> </w:t>
      </w:r>
    </w:p>
    <w:p w14:paraId="50321548" w14:textId="77777777" w:rsidR="00876E96" w:rsidRDefault="00876E96" w:rsidP="00876E96">
      <w:pPr>
        <w:spacing w:after="0"/>
        <w:rPr>
          <w:b/>
        </w:rPr>
      </w:pPr>
    </w:p>
    <w:p w14:paraId="2C6741A0" w14:textId="77777777" w:rsidR="00876E96" w:rsidRDefault="00876E96" w:rsidP="00876E96">
      <w:pPr>
        <w:spacing w:after="0"/>
        <w:rPr>
          <w:bCs/>
        </w:rPr>
      </w:pPr>
      <w:r>
        <w:t>THE COURT HELD:</w:t>
      </w:r>
    </w:p>
    <w:p w14:paraId="104D6222" w14:textId="77777777" w:rsidR="00876E96" w:rsidRDefault="00876E96" w:rsidP="00876E96">
      <w:pPr>
        <w:spacing w:after="0"/>
        <w:ind w:firstLine="720"/>
        <w:rPr>
          <w:bCs/>
        </w:rPr>
      </w:pPr>
    </w:p>
    <w:p w14:paraId="03BA5F03" w14:textId="77777777" w:rsidR="00876E96" w:rsidRPr="008A0293" w:rsidRDefault="00876E96" w:rsidP="00876E96">
      <w:pPr>
        <w:spacing w:after="0"/>
        <w:ind w:firstLine="720"/>
        <w:rPr>
          <w:bCs/>
        </w:rPr>
      </w:pPr>
      <w:r>
        <w:t>“</w:t>
      </w:r>
      <w:r w:rsidRPr="008A0293">
        <w:t xml:space="preserve">To receive ADR, a member must establish that they are </w:t>
      </w:r>
      <w:r>
        <w:t>‘</w:t>
      </w:r>
      <w:r w:rsidRPr="008A0293">
        <w:t>physically or mentally</w:t>
      </w:r>
    </w:p>
    <w:p w14:paraId="1FDBB375" w14:textId="77777777" w:rsidR="00876E96" w:rsidRPr="008A0293" w:rsidRDefault="00876E96" w:rsidP="00876E96">
      <w:pPr>
        <w:spacing w:after="0"/>
        <w:ind w:firstLine="720"/>
        <w:rPr>
          <w:bCs/>
        </w:rPr>
      </w:pPr>
      <w:r w:rsidRPr="008A0293">
        <w:t>incapacitated for the performance of city-service, as a natural and proximate result</w:t>
      </w:r>
      <w:r>
        <w:t>’</w:t>
      </w:r>
      <w:r w:rsidRPr="008A0293">
        <w:t xml:space="preserve"> of an</w:t>
      </w:r>
    </w:p>
    <w:p w14:paraId="4A806047" w14:textId="77777777" w:rsidR="00876E96" w:rsidRDefault="00876E96" w:rsidP="00876E96">
      <w:pPr>
        <w:spacing w:after="0"/>
        <w:ind w:firstLine="720"/>
        <w:rPr>
          <w:bCs/>
        </w:rPr>
      </w:pPr>
      <w:r w:rsidRPr="008A0293">
        <w:t>accidental injury received in such city-service. Administrative Code §13-353.</w:t>
      </w:r>
    </w:p>
    <w:p w14:paraId="39FA564A" w14:textId="77777777" w:rsidR="00876E96" w:rsidRDefault="00876E96" w:rsidP="00876E96">
      <w:pPr>
        <w:spacing w:after="0"/>
        <w:ind w:firstLine="720"/>
        <w:rPr>
          <w:bCs/>
        </w:rPr>
      </w:pPr>
    </w:p>
    <w:p w14:paraId="53CD2E32" w14:textId="77777777" w:rsidR="00876E96" w:rsidRDefault="00876E96" w:rsidP="00876E96">
      <w:pPr>
        <w:spacing w:after="0"/>
        <w:ind w:firstLine="720"/>
        <w:rPr>
          <w:bCs/>
        </w:rPr>
      </w:pPr>
      <w:r>
        <w:t>***</w:t>
      </w:r>
    </w:p>
    <w:p w14:paraId="017221CA" w14:textId="77777777" w:rsidR="00876E96" w:rsidRPr="00E529FB" w:rsidRDefault="00876E96" w:rsidP="00876E96">
      <w:pPr>
        <w:spacing w:after="0"/>
        <w:ind w:firstLine="720"/>
        <w:rPr>
          <w:bCs/>
        </w:rPr>
      </w:pPr>
      <w:r w:rsidRPr="00E529FB">
        <w:t>With respect to petitioner’s psychological disability, the Court similarly finds that</w:t>
      </w:r>
    </w:p>
    <w:p w14:paraId="1286EBE5" w14:textId="77777777" w:rsidR="00876E96" w:rsidRDefault="00876E96" w:rsidP="00876E96">
      <w:pPr>
        <w:spacing w:after="0"/>
        <w:ind w:left="720"/>
        <w:rPr>
          <w:bCs/>
        </w:rPr>
      </w:pPr>
      <w:r w:rsidRPr="00E529FB">
        <w:t>respondents, consistent with binding precedent, reasonably determined that it was not causally</w:t>
      </w:r>
      <w:r>
        <w:t xml:space="preserve"> </w:t>
      </w:r>
      <w:r w:rsidRPr="00E529FB">
        <w:t>related to his duties as a firefighter. See Smith v City of N.Y., 208 AD3d 1335 [2d Dept 2022]</w:t>
      </w:r>
      <w:r>
        <w:t xml:space="preserve"> </w:t>
      </w:r>
      <w:r w:rsidRPr="00E529FB">
        <w:t>(firefighter physically and sexually assaulted by two fellow firefighters and subsequently</w:t>
      </w:r>
      <w:r>
        <w:t xml:space="preserve"> </w:t>
      </w:r>
      <w:r w:rsidRPr="00E529FB">
        <w:t xml:space="preserve">developed PTSD in connection with </w:t>
      </w:r>
      <w:proofErr w:type="spellStart"/>
      <w:r w:rsidRPr="00E529FB">
        <w:t>assualt</w:t>
      </w:r>
      <w:proofErr w:type="spellEnd"/>
      <w:r w:rsidRPr="00E529FB">
        <w:t xml:space="preserve">); Picciurro v. Bd. of </w:t>
      </w:r>
      <w:proofErr w:type="spellStart"/>
      <w:r w:rsidRPr="00E529FB">
        <w:t>Trs</w:t>
      </w:r>
      <w:proofErr w:type="spellEnd"/>
      <w:r w:rsidRPr="00E529FB">
        <w:t>. of the N.Y.C. Police</w:t>
      </w:r>
      <w:r>
        <w:t xml:space="preserve"> </w:t>
      </w:r>
      <w:r w:rsidRPr="00E529FB">
        <w:t>Pension Fund, 46 AD3d 346, 348-49 [1st Dept 2007] (police officer suffered PTSD and</w:t>
      </w:r>
      <w:r>
        <w:t xml:space="preserve"> </w:t>
      </w:r>
      <w:r w:rsidRPr="00E529FB">
        <w:t>depression after humiliation, harassment and taunting by coworkers); Baird v Kelly, 25 AD3d</w:t>
      </w:r>
      <w:r>
        <w:t xml:space="preserve"> </w:t>
      </w:r>
      <w:r w:rsidRPr="00E529FB">
        <w:t>311, 313 [1st Dept 2006] (</w:t>
      </w:r>
      <w:r>
        <w:t>‘</w:t>
      </w:r>
      <w:r w:rsidRPr="00E529FB">
        <w:t>campaign of harassment does not constitute an accident</w:t>
      </w:r>
      <w:r>
        <w:t>’</w:t>
      </w:r>
      <w:r w:rsidRPr="00E529FB">
        <w:t>).</w:t>
      </w:r>
    </w:p>
    <w:p w14:paraId="5D147BCB" w14:textId="77777777" w:rsidR="00876E96" w:rsidRDefault="00876E96" w:rsidP="00876E96">
      <w:pPr>
        <w:spacing w:after="0"/>
        <w:ind w:left="720"/>
        <w:rPr>
          <w:bCs/>
        </w:rPr>
      </w:pPr>
    </w:p>
    <w:p w14:paraId="75DE0AA6" w14:textId="727777D4" w:rsidR="00876E96" w:rsidRDefault="00876E96" w:rsidP="00876E96">
      <w:pPr>
        <w:spacing w:after="0"/>
        <w:rPr>
          <w:b/>
        </w:rPr>
      </w:pPr>
      <w:r>
        <w:rPr>
          <w:b/>
        </w:rPr>
        <w:t xml:space="preserve">Lesson Learned: Under New York precedent, harassment does not constitute an accident. </w:t>
      </w:r>
    </w:p>
    <w:p w14:paraId="624B7A0A" w14:textId="77777777" w:rsidR="00876E96" w:rsidRDefault="00876E96" w:rsidP="00876E96">
      <w:pPr>
        <w:spacing w:after="0"/>
        <w:rPr>
          <w:b/>
        </w:rPr>
      </w:pPr>
    </w:p>
    <w:p w14:paraId="0495B5AB" w14:textId="77777777" w:rsidR="00876E96" w:rsidRDefault="00876E96" w:rsidP="00876E96">
      <w:pPr>
        <w:pStyle w:val="NoSpacing"/>
        <w:ind w:left="720"/>
      </w:pPr>
      <w:r w:rsidRPr="0065117A">
        <w:t xml:space="preserve">Note: </w:t>
      </w:r>
      <w:r>
        <w:t xml:space="preserve"> See plaintiff’s Feb. 8, </w:t>
      </w:r>
      <w:proofErr w:type="gramStart"/>
      <w:r>
        <w:t>2000</w:t>
      </w:r>
      <w:proofErr w:type="gramEnd"/>
      <w:r>
        <w:t xml:space="preserve"> Complaint where he alleged harassment as a Black, Muslim firefighter. </w:t>
      </w:r>
      <w:hyperlink r:id="rId2477" w:history="1">
        <w:r w:rsidRPr="00E52E8B">
          <w:rPr>
            <w:rStyle w:val="Hyperlink"/>
            <w:b/>
          </w:rPr>
          <w:t>file:///C:/Users/lawre/Downloads/US_DIS_NYSD_1_19cv11555_COMPLAINT_against_City_of_New_York_City_of_New_Yor.pdf</w:t>
        </w:r>
      </w:hyperlink>
      <w:r>
        <w:t xml:space="preserve"> </w:t>
      </w:r>
    </w:p>
    <w:p w14:paraId="7E670109" w14:textId="77777777" w:rsidR="00876E96" w:rsidRPr="0065117A" w:rsidRDefault="00876E96" w:rsidP="00876E96">
      <w:pPr>
        <w:spacing w:after="0"/>
        <w:ind w:left="720"/>
        <w:rPr>
          <w:bCs/>
        </w:rPr>
      </w:pPr>
      <w:r>
        <w:t xml:space="preserve"> </w:t>
      </w:r>
    </w:p>
    <w:p w14:paraId="509FC502" w14:textId="77777777" w:rsidR="00876E96" w:rsidRPr="000452AD" w:rsidRDefault="00876E96" w:rsidP="00876E96">
      <w:pPr>
        <w:spacing w:after="0"/>
        <w:rPr>
          <w:bCs/>
        </w:rPr>
      </w:pPr>
    </w:p>
    <w:p w14:paraId="04F92309" w14:textId="1B2B9424" w:rsidR="00491756" w:rsidRDefault="00491756" w:rsidP="000C4DF5">
      <w:pPr>
        <w:pStyle w:val="NoSpacing"/>
        <w:rPr>
          <w:rFonts w:ascii="Arial Black" w:hAnsi="Arial Black"/>
          <w:sz w:val="24"/>
          <w:szCs w:val="24"/>
        </w:rPr>
      </w:pPr>
    </w:p>
    <w:p w14:paraId="76320291" w14:textId="77777777" w:rsidR="00491756" w:rsidRDefault="00491756" w:rsidP="000C4DF5">
      <w:pPr>
        <w:pStyle w:val="NoSpacing"/>
        <w:rPr>
          <w:rFonts w:ascii="Arial Black" w:hAnsi="Arial Black"/>
          <w:sz w:val="24"/>
          <w:szCs w:val="24"/>
        </w:rPr>
      </w:pPr>
    </w:p>
    <w:p w14:paraId="6A909376" w14:textId="64C1B462" w:rsidR="00A93EB6" w:rsidRDefault="00A93EB6" w:rsidP="000C4DF5">
      <w:pPr>
        <w:pStyle w:val="NoSpacing"/>
        <w:rPr>
          <w:rFonts w:ascii="Arial Black" w:hAnsi="Arial Black"/>
          <w:sz w:val="24"/>
          <w:szCs w:val="24"/>
        </w:rPr>
      </w:pPr>
      <w:r>
        <w:rPr>
          <w:rFonts w:ascii="Arial Black" w:hAnsi="Arial Black"/>
          <w:sz w:val="24"/>
          <w:szCs w:val="24"/>
        </w:rPr>
        <w:t>15-42</w:t>
      </w:r>
    </w:p>
    <w:p w14:paraId="7531E8F3" w14:textId="77777777" w:rsidR="00A93EB6" w:rsidRDefault="00A93EB6" w:rsidP="000C4DF5">
      <w:pPr>
        <w:pStyle w:val="NoSpacing"/>
        <w:rPr>
          <w:rFonts w:ascii="Arial Black" w:hAnsi="Arial Black"/>
          <w:sz w:val="24"/>
          <w:szCs w:val="24"/>
        </w:rPr>
      </w:pPr>
    </w:p>
    <w:p w14:paraId="71EC53F1" w14:textId="77777777" w:rsidR="00A93EB6" w:rsidRPr="004D227C" w:rsidRDefault="00A93EB6" w:rsidP="00A93EB6">
      <w:pPr>
        <w:rPr>
          <w:rFonts w:ascii="Arial Black" w:hAnsi="Arial Black"/>
          <w:sz w:val="28"/>
          <w:szCs w:val="28"/>
        </w:rPr>
      </w:pPr>
      <w:r>
        <w:rPr>
          <w:rFonts w:ascii="Arial Black" w:hAnsi="Arial Black"/>
          <w:sz w:val="28"/>
          <w:szCs w:val="28"/>
        </w:rPr>
        <w:t>IL: CHICAGO – PSYCHOLOGICAL “SUITABILITY SCREENING”</w:t>
      </w:r>
    </w:p>
    <w:p w14:paraId="5A11A4CE" w14:textId="125D2DFA" w:rsidR="00A93EB6" w:rsidRPr="000449B4" w:rsidRDefault="00A93EB6" w:rsidP="00A93EB6">
      <w:pPr>
        <w:pStyle w:val="NoSpacing"/>
        <w:rPr>
          <w:rFonts w:ascii="Times New Roman" w:hAnsi="Times New Roman"/>
          <w:sz w:val="24"/>
          <w:szCs w:val="24"/>
        </w:rPr>
      </w:pPr>
      <w:r w:rsidRPr="000449B4">
        <w:rPr>
          <w:rFonts w:ascii="Times New Roman" w:hAnsi="Times New Roman"/>
          <w:sz w:val="24"/>
          <w:szCs w:val="24"/>
        </w:rPr>
        <w:t xml:space="preserve">On July 1, 2025, in </w:t>
      </w:r>
      <w:r w:rsidRPr="000449B4">
        <w:rPr>
          <w:rFonts w:ascii="Times New Roman" w:hAnsi="Times New Roman"/>
          <w:sz w:val="24"/>
          <w:szCs w:val="24"/>
          <w:u w:val="single"/>
        </w:rPr>
        <w:t>Nicholas Sintos v. City of Chicago</w:t>
      </w:r>
      <w:r w:rsidRPr="000449B4">
        <w:rPr>
          <w:rFonts w:ascii="Times New Roman" w:hAnsi="Times New Roman"/>
          <w:sz w:val="24"/>
          <w:szCs w:val="24"/>
        </w:rPr>
        <w:t xml:space="preserve">, U.S. District Court Judge Sara L. Ellis, United States District Court for Northern District of Illinois (Eastern Divion) held that plaintiff, who in February 2019 was rejected by the Chicago Fire Department’s Medical Director after undergoing a “psychological suitability screening” may proceed with his ADA lawsuit.  In 2020, the </w:t>
      </w:r>
      <w:proofErr w:type="gramStart"/>
      <w:r w:rsidRPr="000449B4">
        <w:rPr>
          <w:rFonts w:ascii="Times New Roman" w:hAnsi="Times New Roman"/>
          <w:sz w:val="24"/>
          <w:szCs w:val="24"/>
        </w:rPr>
        <w:t>City</w:t>
      </w:r>
      <w:proofErr w:type="gramEnd"/>
      <w:r w:rsidRPr="000449B4">
        <w:rPr>
          <w:rFonts w:ascii="Times New Roman" w:hAnsi="Times New Roman"/>
          <w:sz w:val="24"/>
          <w:szCs w:val="24"/>
        </w:rPr>
        <w:t xml:space="preserve"> stopped using this screening for applicants with mental health history.  THE COUT HELD:  “Dr. Wong also referred </w:t>
      </w:r>
      <w:proofErr w:type="spellStart"/>
      <w:r w:rsidRPr="000449B4">
        <w:rPr>
          <w:rFonts w:ascii="Times New Roman" w:hAnsi="Times New Roman"/>
          <w:sz w:val="24"/>
          <w:szCs w:val="24"/>
        </w:rPr>
        <w:t>Sintos</w:t>
      </w:r>
      <w:proofErr w:type="spellEnd"/>
      <w:r w:rsidRPr="000449B4">
        <w:rPr>
          <w:rFonts w:ascii="Times New Roman" w:hAnsi="Times New Roman"/>
          <w:sz w:val="24"/>
          <w:szCs w:val="24"/>
        </w:rPr>
        <w:t xml:space="preserve"> for a psychological suitability screening administered by Dr. Diana Goldstein of the Isaac Ray Forensic Group. The screening consisted of a twenty-three-page biographical questionnaire, two psychometric exams (the Minnesota Multiphasic Personality Inventory, revised (“MMPI-2”): Public Safety Module, and the Personality Assessment Inventory: Law </w:t>
      </w:r>
      <w:r w:rsidRPr="000449B4">
        <w:rPr>
          <w:rFonts w:ascii="Times New Roman" w:hAnsi="Times New Roman"/>
          <w:sz w:val="24"/>
          <w:szCs w:val="24"/>
        </w:rPr>
        <w:lastRenderedPageBreak/>
        <w:t xml:space="preserve">Enforcement, Corrections and Public Safety Selection Report (“PAI”)), and an interview…. Dr. Goldstein rated individuals as acceptable, acceptable with reservations, or unacceptable. An unacceptable finding [rating she gave to plaintiff] on the screening meant that the candidate's results did not look like those of a sample group of individuals who completed the probationary period…. The parties agree that the second [ADA] element, whether </w:t>
      </w:r>
      <w:proofErr w:type="spellStart"/>
      <w:r w:rsidRPr="000449B4">
        <w:rPr>
          <w:rFonts w:ascii="Times New Roman" w:hAnsi="Times New Roman"/>
          <w:sz w:val="24"/>
          <w:szCs w:val="24"/>
        </w:rPr>
        <w:t>Sintos</w:t>
      </w:r>
      <w:proofErr w:type="spellEnd"/>
      <w:r w:rsidRPr="000449B4">
        <w:rPr>
          <w:rFonts w:ascii="Times New Roman" w:hAnsi="Times New Roman"/>
          <w:sz w:val="24"/>
          <w:szCs w:val="24"/>
        </w:rPr>
        <w:t xml:space="preserve"> was qualified to perform the essential functions of a firefighter/EMT with or without a reasonable accommodation, remains a question for the jury.”  </w:t>
      </w:r>
      <w:hyperlink r:id="rId2478" w:history="1">
        <w:r w:rsidRPr="000449B4">
          <w:rPr>
            <w:rStyle w:val="Hyperlink"/>
            <w:rFonts w:ascii="Times New Roman" w:hAnsi="Times New Roman"/>
            <w:sz w:val="24"/>
            <w:szCs w:val="24"/>
          </w:rPr>
          <w:t>https://cases.justia.com/federal/district-courts/illinois/ilndce/1:2021cv05327/407800/161/0.pdf?ts=1751450196</w:t>
        </w:r>
      </w:hyperlink>
    </w:p>
    <w:p w14:paraId="765E9D30" w14:textId="77777777" w:rsidR="000449B4" w:rsidRPr="000449B4" w:rsidRDefault="000449B4" w:rsidP="000449B4">
      <w:pPr>
        <w:rPr>
          <w:rFonts w:ascii="Times New Roman" w:hAnsi="Times New Roman"/>
          <w:b/>
          <w:bCs/>
          <w:sz w:val="24"/>
          <w:szCs w:val="24"/>
        </w:rPr>
      </w:pPr>
      <w:r w:rsidRPr="000449B4">
        <w:rPr>
          <w:rFonts w:ascii="Times New Roman" w:hAnsi="Times New Roman"/>
          <w:b/>
          <w:sz w:val="24"/>
          <w:szCs w:val="24"/>
        </w:rPr>
        <w:t xml:space="preserve">Legal lesson learned: The case will now go to a jury trial unless the parties settle.  </w:t>
      </w:r>
    </w:p>
    <w:p w14:paraId="1A2E1EC1" w14:textId="77777777" w:rsidR="000449B4" w:rsidRDefault="000449B4" w:rsidP="00A93EB6">
      <w:pPr>
        <w:pStyle w:val="NoSpacing"/>
        <w:rPr>
          <w:rFonts w:ascii="Arial Black" w:hAnsi="Arial Black"/>
          <w:sz w:val="24"/>
          <w:szCs w:val="24"/>
        </w:rPr>
      </w:pPr>
    </w:p>
    <w:p w14:paraId="140C3253" w14:textId="77777777" w:rsidR="00A93EB6" w:rsidRDefault="00A93EB6" w:rsidP="000C4DF5">
      <w:pPr>
        <w:pStyle w:val="NoSpacing"/>
        <w:rPr>
          <w:rFonts w:ascii="Arial Black" w:hAnsi="Arial Black"/>
          <w:sz w:val="24"/>
          <w:szCs w:val="24"/>
        </w:rPr>
      </w:pPr>
    </w:p>
    <w:p w14:paraId="719D3BEC" w14:textId="4775FA32" w:rsidR="00816988" w:rsidRDefault="00816988" w:rsidP="000C4DF5">
      <w:pPr>
        <w:pStyle w:val="NoSpacing"/>
        <w:rPr>
          <w:rFonts w:ascii="Arial Black" w:hAnsi="Arial Black"/>
          <w:sz w:val="24"/>
          <w:szCs w:val="24"/>
        </w:rPr>
      </w:pPr>
      <w:r>
        <w:rPr>
          <w:rFonts w:ascii="Arial Black" w:hAnsi="Arial Black"/>
          <w:sz w:val="24"/>
          <w:szCs w:val="24"/>
        </w:rPr>
        <w:t>15-41</w:t>
      </w:r>
    </w:p>
    <w:p w14:paraId="41537DFD" w14:textId="77777777" w:rsidR="00816988" w:rsidRDefault="00816988" w:rsidP="000C4DF5">
      <w:pPr>
        <w:pStyle w:val="NoSpacing"/>
        <w:rPr>
          <w:rFonts w:ascii="Arial Black" w:hAnsi="Arial Black"/>
          <w:sz w:val="24"/>
          <w:szCs w:val="24"/>
        </w:rPr>
      </w:pPr>
    </w:p>
    <w:p w14:paraId="78A3F431" w14:textId="77777777" w:rsidR="00E67DEA" w:rsidRPr="006F2B87" w:rsidRDefault="00E67DEA" w:rsidP="00E67DEA">
      <w:pPr>
        <w:pStyle w:val="NoSpacing"/>
        <w:rPr>
          <w:rFonts w:ascii="Arial Black" w:hAnsi="Arial Black"/>
          <w:bCs/>
          <w:sz w:val="28"/>
          <w:szCs w:val="28"/>
        </w:rPr>
      </w:pPr>
      <w:r w:rsidRPr="006F2B87">
        <w:rPr>
          <w:rFonts w:ascii="Arial Black" w:hAnsi="Arial Black"/>
          <w:sz w:val="28"/>
          <w:szCs w:val="28"/>
        </w:rPr>
        <w:t xml:space="preserve">WA: MECHANIC – ANXIETY – </w:t>
      </w:r>
      <w:r>
        <w:rPr>
          <w:rFonts w:ascii="Arial Black" w:hAnsi="Arial Black"/>
          <w:sz w:val="28"/>
          <w:szCs w:val="28"/>
        </w:rPr>
        <w:t xml:space="preserve">NO ADA / DIDN’T </w:t>
      </w:r>
      <w:r w:rsidRPr="006F2B87">
        <w:rPr>
          <w:rFonts w:ascii="Arial Black" w:hAnsi="Arial Black"/>
          <w:sz w:val="28"/>
          <w:szCs w:val="28"/>
        </w:rPr>
        <w:t>COOPERATE</w:t>
      </w:r>
    </w:p>
    <w:p w14:paraId="44DC000D" w14:textId="77777777" w:rsidR="00E67DEA" w:rsidRPr="006F2B87" w:rsidRDefault="00E67DEA" w:rsidP="00E67DEA">
      <w:pPr>
        <w:pStyle w:val="NoSpacing"/>
        <w:rPr>
          <w:bCs/>
        </w:rPr>
      </w:pPr>
    </w:p>
    <w:p w14:paraId="46FABD20" w14:textId="77777777" w:rsidR="00E67DEA" w:rsidRPr="00E67DEA" w:rsidRDefault="00E67DEA" w:rsidP="00E67DEA">
      <w:pPr>
        <w:pStyle w:val="NoSpacing"/>
        <w:rPr>
          <w:rFonts w:ascii="Times New Roman" w:hAnsi="Times New Roman"/>
          <w:bCs/>
          <w:sz w:val="24"/>
          <w:szCs w:val="24"/>
        </w:rPr>
      </w:pPr>
      <w:r w:rsidRPr="00E67DEA">
        <w:rPr>
          <w:rFonts w:ascii="Times New Roman" w:hAnsi="Times New Roman"/>
          <w:sz w:val="24"/>
          <w:szCs w:val="24"/>
        </w:rPr>
        <w:t xml:space="preserve">On May 20, 2025, in </w:t>
      </w:r>
      <w:r w:rsidRPr="00E67DEA">
        <w:rPr>
          <w:rFonts w:ascii="Times New Roman" w:hAnsi="Times New Roman"/>
          <w:sz w:val="24"/>
          <w:szCs w:val="24"/>
          <w:u w:val="single"/>
        </w:rPr>
        <w:t>Liam Riley v. City of Tacoma; Tacoma Fire Department</w:t>
      </w:r>
      <w:r w:rsidRPr="00E67DEA">
        <w:rPr>
          <w:rFonts w:ascii="Times New Roman" w:hAnsi="Times New Roman"/>
          <w:sz w:val="24"/>
          <w:szCs w:val="24"/>
        </w:rPr>
        <w:t xml:space="preserve">, the Court of Appeals of Washington, Division 2, held (3 to 0; unpublished decision) that trial court properly dismissed his ADA claim.  </w:t>
      </w:r>
    </w:p>
    <w:p w14:paraId="1C365CA1" w14:textId="77777777" w:rsidR="00E67DEA" w:rsidRPr="00E67DEA" w:rsidRDefault="00E67DEA" w:rsidP="00E67DEA">
      <w:pPr>
        <w:pStyle w:val="NoSpacing"/>
        <w:rPr>
          <w:rFonts w:ascii="Times New Roman" w:hAnsi="Times New Roman"/>
          <w:bCs/>
          <w:sz w:val="24"/>
          <w:szCs w:val="24"/>
        </w:rPr>
      </w:pPr>
    </w:p>
    <w:p w14:paraId="6C8C4475" w14:textId="77777777" w:rsidR="00E67DEA" w:rsidRPr="00E67DEA" w:rsidRDefault="00E67DEA" w:rsidP="00E67DEA">
      <w:pPr>
        <w:pStyle w:val="NoSpacing"/>
        <w:rPr>
          <w:rFonts w:ascii="Times New Roman" w:hAnsi="Times New Roman"/>
          <w:bCs/>
          <w:sz w:val="24"/>
          <w:szCs w:val="24"/>
        </w:rPr>
      </w:pPr>
      <w:r w:rsidRPr="00E67DEA">
        <w:rPr>
          <w:rFonts w:ascii="Times New Roman" w:hAnsi="Times New Roman"/>
          <w:sz w:val="24"/>
          <w:szCs w:val="24"/>
        </w:rPr>
        <w:t xml:space="preserve">The Court wrote: “The trial court properly dismissed the failure to accommodate claim because the undisputed evidence established that Riley failed to cooperate with the City during the interactive process for evaluating Riley’s need for accommodation. Despite several clear requests from the </w:t>
      </w:r>
      <w:proofErr w:type="gramStart"/>
      <w:r w:rsidRPr="00E67DEA">
        <w:rPr>
          <w:rFonts w:ascii="Times New Roman" w:hAnsi="Times New Roman"/>
          <w:sz w:val="24"/>
          <w:szCs w:val="24"/>
        </w:rPr>
        <w:t>City</w:t>
      </w:r>
      <w:proofErr w:type="gramEnd"/>
      <w:r w:rsidRPr="00E67DEA">
        <w:rPr>
          <w:rFonts w:ascii="Times New Roman" w:hAnsi="Times New Roman"/>
          <w:sz w:val="24"/>
          <w:szCs w:val="24"/>
        </w:rPr>
        <w:t xml:space="preserve">, Riley failed to provide requested medical documentation addressing the nexus between his disability and his ability to perform the essential functions of his job. Riley’s lack of cooperation was fatal to his claim. The trial court also properly dismissed the hostile work environment claim because Riley failed to establish more than isolated incidents of hostility and he did not offer any evidence they were a result of his disability. We affirm.” </w:t>
      </w:r>
      <w:hyperlink r:id="rId2479" w:history="1">
        <w:r w:rsidRPr="00E67DEA">
          <w:rPr>
            <w:rStyle w:val="Hyperlink"/>
            <w:rFonts w:ascii="Times New Roman" w:hAnsi="Times New Roman"/>
            <w:sz w:val="24"/>
            <w:szCs w:val="24"/>
          </w:rPr>
          <w:t>https://www.courts.wa.gov/opinions/pdf/D2%2058295-3-II%20Unpublished%20Opinion.pdf</w:t>
        </w:r>
      </w:hyperlink>
      <w:r w:rsidRPr="00E67DEA">
        <w:rPr>
          <w:rFonts w:ascii="Times New Roman" w:hAnsi="Times New Roman"/>
          <w:sz w:val="24"/>
          <w:szCs w:val="24"/>
        </w:rPr>
        <w:t xml:space="preserve"> </w:t>
      </w:r>
    </w:p>
    <w:p w14:paraId="5C2B30A4" w14:textId="77777777" w:rsidR="00E67DEA" w:rsidRPr="00E67DEA" w:rsidRDefault="00E67DEA" w:rsidP="00E67DEA">
      <w:pPr>
        <w:pStyle w:val="NoSpacing"/>
        <w:rPr>
          <w:rFonts w:ascii="Times New Roman" w:hAnsi="Times New Roman"/>
          <w:b/>
          <w:bCs/>
          <w:sz w:val="24"/>
          <w:szCs w:val="24"/>
        </w:rPr>
      </w:pPr>
    </w:p>
    <w:p w14:paraId="2E976304" w14:textId="77777777" w:rsidR="009701FE" w:rsidRPr="009701FE" w:rsidRDefault="009701FE" w:rsidP="009701FE">
      <w:pPr>
        <w:pStyle w:val="NoSpacing"/>
        <w:rPr>
          <w:rFonts w:ascii="Times New Roman" w:hAnsi="Times New Roman"/>
          <w:b/>
          <w:bCs/>
          <w:sz w:val="24"/>
          <w:szCs w:val="24"/>
        </w:rPr>
      </w:pPr>
      <w:r w:rsidRPr="009701FE">
        <w:rPr>
          <w:rFonts w:ascii="Times New Roman" w:hAnsi="Times New Roman"/>
          <w:b/>
          <w:sz w:val="24"/>
          <w:szCs w:val="24"/>
        </w:rPr>
        <w:t xml:space="preserve">Legal Lesson Learned: The City promptly conducted a “Climate Assessment” of the garage workplace; plaintiff failed to cooperate with the city, including refusing to provide city access to his medical records. </w:t>
      </w:r>
    </w:p>
    <w:p w14:paraId="7FF5F265" w14:textId="77777777" w:rsidR="00E67DEA" w:rsidRPr="009701FE" w:rsidRDefault="00E67DEA" w:rsidP="00E67DEA">
      <w:pPr>
        <w:pStyle w:val="NoSpacing"/>
        <w:rPr>
          <w:rFonts w:ascii="Times New Roman" w:hAnsi="Times New Roman"/>
          <w:bCs/>
          <w:sz w:val="24"/>
          <w:szCs w:val="24"/>
        </w:rPr>
      </w:pPr>
    </w:p>
    <w:p w14:paraId="081947BE" w14:textId="77777777" w:rsidR="00E67DEA" w:rsidRPr="009701FE" w:rsidRDefault="00E67DEA" w:rsidP="000C4DF5">
      <w:pPr>
        <w:pStyle w:val="NoSpacing"/>
        <w:rPr>
          <w:rFonts w:ascii="Times New Roman" w:hAnsi="Times New Roman"/>
          <w:sz w:val="24"/>
          <w:szCs w:val="24"/>
        </w:rPr>
      </w:pPr>
    </w:p>
    <w:p w14:paraId="120C3041" w14:textId="77777777" w:rsidR="00E67DEA" w:rsidRDefault="00E67DEA" w:rsidP="000C4DF5">
      <w:pPr>
        <w:pStyle w:val="NoSpacing"/>
        <w:rPr>
          <w:rFonts w:ascii="Arial Black" w:hAnsi="Arial Black"/>
          <w:sz w:val="24"/>
          <w:szCs w:val="24"/>
        </w:rPr>
      </w:pPr>
    </w:p>
    <w:p w14:paraId="77BE0311" w14:textId="77777777" w:rsidR="00816988" w:rsidRDefault="00816988" w:rsidP="000C4DF5">
      <w:pPr>
        <w:pStyle w:val="NoSpacing"/>
        <w:rPr>
          <w:rFonts w:ascii="Arial Black" w:hAnsi="Arial Black"/>
          <w:sz w:val="24"/>
          <w:szCs w:val="24"/>
        </w:rPr>
      </w:pPr>
    </w:p>
    <w:p w14:paraId="49472C61" w14:textId="3810CE10" w:rsidR="00F37D60" w:rsidRDefault="00F37D60" w:rsidP="000C4DF5">
      <w:pPr>
        <w:pStyle w:val="NoSpacing"/>
        <w:rPr>
          <w:rFonts w:ascii="Arial Black" w:hAnsi="Arial Black"/>
          <w:sz w:val="24"/>
          <w:szCs w:val="24"/>
        </w:rPr>
      </w:pPr>
      <w:r>
        <w:rPr>
          <w:rFonts w:ascii="Arial Black" w:hAnsi="Arial Black"/>
          <w:sz w:val="24"/>
          <w:szCs w:val="24"/>
        </w:rPr>
        <w:t>15-</w:t>
      </w:r>
      <w:r w:rsidR="00C96532">
        <w:rPr>
          <w:rFonts w:ascii="Arial Black" w:hAnsi="Arial Black"/>
          <w:sz w:val="24"/>
          <w:szCs w:val="24"/>
        </w:rPr>
        <w:t>40</w:t>
      </w:r>
    </w:p>
    <w:p w14:paraId="26F2F651" w14:textId="77777777" w:rsidR="00F37D60" w:rsidRDefault="00F37D60" w:rsidP="000C4DF5">
      <w:pPr>
        <w:pStyle w:val="NoSpacing"/>
        <w:rPr>
          <w:rFonts w:ascii="Arial Black" w:hAnsi="Arial Black"/>
          <w:sz w:val="24"/>
          <w:szCs w:val="24"/>
        </w:rPr>
      </w:pPr>
    </w:p>
    <w:p w14:paraId="51ABB297" w14:textId="77777777" w:rsidR="00F37D60" w:rsidRDefault="00F37D60" w:rsidP="00F37D60">
      <w:pPr>
        <w:rPr>
          <w:rFonts w:ascii="Arial Black" w:hAnsi="Arial Black"/>
          <w:bCs/>
          <w:sz w:val="28"/>
          <w:szCs w:val="28"/>
        </w:rPr>
      </w:pPr>
      <w:r>
        <w:rPr>
          <w:rFonts w:ascii="Arial Black" w:hAnsi="Arial Black"/>
          <w:sz w:val="28"/>
          <w:szCs w:val="28"/>
        </w:rPr>
        <w:t xml:space="preserve">AR:  FF PTSD – RESPONDED 2 SHOOTINGS - NO WORK COMP </w:t>
      </w:r>
    </w:p>
    <w:p w14:paraId="42EF2658" w14:textId="77777777" w:rsidR="00F37D60" w:rsidRPr="006F79FB" w:rsidRDefault="00F37D60" w:rsidP="00F37D60">
      <w:pPr>
        <w:pStyle w:val="NoSpacing"/>
        <w:rPr>
          <w:rFonts w:ascii="Times New Roman" w:hAnsi="Times New Roman"/>
          <w:sz w:val="24"/>
          <w:szCs w:val="24"/>
        </w:rPr>
      </w:pPr>
      <w:r w:rsidRPr="006F79FB">
        <w:rPr>
          <w:rFonts w:ascii="Times New Roman" w:hAnsi="Times New Roman"/>
          <w:sz w:val="24"/>
          <w:szCs w:val="24"/>
        </w:rPr>
        <w:t xml:space="preserve">On April 29, 2025, in </w:t>
      </w:r>
      <w:r w:rsidRPr="006F79FB">
        <w:rPr>
          <w:rFonts w:ascii="Times New Roman" w:hAnsi="Times New Roman"/>
          <w:sz w:val="24"/>
          <w:szCs w:val="24"/>
          <w:u w:val="single"/>
        </w:rPr>
        <w:t>Shawn Lawless v. The Industrial Commission of Arizona, and the Northern AZ Consolidated Fire District</w:t>
      </w:r>
      <w:r w:rsidRPr="006F79FB">
        <w:rPr>
          <w:rFonts w:ascii="Times New Roman" w:hAnsi="Times New Roman"/>
          <w:sz w:val="24"/>
          <w:szCs w:val="24"/>
        </w:rPr>
        <w:t xml:space="preserve">, the Court of Appeals of Arizona, First Division, held (3 to 0) that a firefighter </w:t>
      </w:r>
      <w:r w:rsidRPr="006F79FB">
        <w:rPr>
          <w:rFonts w:ascii="Times New Roman" w:hAnsi="Times New Roman"/>
          <w:bCs/>
          <w:sz w:val="24"/>
          <w:szCs w:val="24"/>
        </w:rPr>
        <w:t xml:space="preserve">was properly denied workers comp since responding to shooting is </w:t>
      </w:r>
      <w:r w:rsidRPr="006F79FB">
        <w:rPr>
          <w:rFonts w:ascii="Times New Roman" w:hAnsi="Times New Roman"/>
          <w:sz w:val="24"/>
          <w:szCs w:val="24"/>
        </w:rPr>
        <w:t xml:space="preserve">not “unexpected, unusual, or extraordinary.”  Shawn Lewis has had PTSD since 2017 when working for another Lake Havasu City FD when he responded to a fatal watercraft.   In April 2020, while working for Northern AZ Consolidated Fire District [NAFD] he responded to two shootings.  April 1, 2020: he and firefighter / EMT Dillon Haskell were dispatched to Mohave Community College, where police had shot ‘one of the subjects’ involved in the shooting of the DPS officer earlier that day. On April 7, 2020, he and Haskell were dispatched to a scene of a random shooting that happened at a stop sign.  When they arrived, they saw that the driver of a car was dead from “multiple” gun shots “in the chest.” In both incidents, the hearing officer concluded they were not “unexpected, unusual or extraordinary.” A.R.S. § 23-1043.01(B). </w:t>
      </w:r>
      <w:hyperlink r:id="rId2480" w:history="1">
        <w:r w:rsidRPr="006F79FB">
          <w:rPr>
            <w:rStyle w:val="Hyperlink"/>
            <w:rFonts w:ascii="Times New Roman" w:hAnsi="Times New Roman"/>
            <w:sz w:val="24"/>
            <w:szCs w:val="24"/>
          </w:rPr>
          <w:t>https://cases.justia.com/arizona/court-of-appeals-division-one-published/2025-1-ca-ic-24-0009.pdf?ts=1745946035</w:t>
        </w:r>
      </w:hyperlink>
      <w:r w:rsidRPr="006F79FB">
        <w:rPr>
          <w:rFonts w:ascii="Times New Roman" w:hAnsi="Times New Roman"/>
          <w:sz w:val="24"/>
          <w:szCs w:val="24"/>
        </w:rPr>
        <w:t xml:space="preserve"> </w:t>
      </w:r>
    </w:p>
    <w:p w14:paraId="6B9ECF7D" w14:textId="77777777" w:rsidR="00F37D60" w:rsidRDefault="00F37D60" w:rsidP="00F37D60">
      <w:pPr>
        <w:pStyle w:val="NoSpacing"/>
        <w:rPr>
          <w:rFonts w:ascii="Times New Roman" w:hAnsi="Times New Roman"/>
          <w:sz w:val="24"/>
          <w:szCs w:val="24"/>
        </w:rPr>
      </w:pPr>
    </w:p>
    <w:p w14:paraId="7FFF24EC" w14:textId="77777777" w:rsidR="00325997" w:rsidRDefault="00325997" w:rsidP="00325997">
      <w:pPr>
        <w:pStyle w:val="NoSpacing"/>
        <w:rPr>
          <w:rFonts w:ascii="Times New Roman" w:hAnsi="Times New Roman"/>
          <w:b/>
          <w:sz w:val="24"/>
          <w:szCs w:val="24"/>
        </w:rPr>
      </w:pPr>
      <w:r w:rsidRPr="00290C93">
        <w:rPr>
          <w:rFonts w:ascii="Times New Roman" w:hAnsi="Times New Roman"/>
          <w:b/>
          <w:sz w:val="24"/>
          <w:szCs w:val="24"/>
        </w:rPr>
        <w:t xml:space="preserve">Legal Lesson Learned: It is very difficult to prove that </w:t>
      </w:r>
      <w:r w:rsidRPr="00290C93">
        <w:rPr>
          <w:rFonts w:ascii="Times New Roman" w:hAnsi="Times New Roman"/>
          <w:b/>
          <w:bCs/>
          <w:sz w:val="24"/>
          <w:szCs w:val="24"/>
        </w:rPr>
        <w:t xml:space="preserve">responding to a shooting </w:t>
      </w:r>
      <w:r w:rsidRPr="00290C93">
        <w:rPr>
          <w:rFonts w:ascii="Times New Roman" w:hAnsi="Times New Roman"/>
          <w:b/>
          <w:sz w:val="24"/>
          <w:szCs w:val="24"/>
        </w:rPr>
        <w:t>was “unexpected, unusual, or extraordinary.”</w:t>
      </w:r>
    </w:p>
    <w:p w14:paraId="12CCFB0A" w14:textId="77777777" w:rsidR="00C96532" w:rsidRDefault="00C96532" w:rsidP="00325997">
      <w:pPr>
        <w:pStyle w:val="NoSpacing"/>
        <w:rPr>
          <w:rFonts w:ascii="Times New Roman" w:hAnsi="Times New Roman"/>
          <w:b/>
          <w:sz w:val="24"/>
          <w:szCs w:val="24"/>
        </w:rPr>
      </w:pPr>
    </w:p>
    <w:p w14:paraId="315C23A2" w14:textId="77777777" w:rsidR="00C96532" w:rsidRDefault="00C96532" w:rsidP="00325997">
      <w:pPr>
        <w:pStyle w:val="NoSpacing"/>
        <w:rPr>
          <w:rFonts w:ascii="Arial Black" w:hAnsi="Arial Black"/>
          <w:b/>
          <w:sz w:val="28"/>
          <w:szCs w:val="28"/>
        </w:rPr>
      </w:pPr>
    </w:p>
    <w:p w14:paraId="6C0AEFCD" w14:textId="40C71ACE" w:rsidR="00C96532" w:rsidRPr="00C96532" w:rsidRDefault="00C96532" w:rsidP="00325997">
      <w:pPr>
        <w:pStyle w:val="NoSpacing"/>
        <w:rPr>
          <w:rFonts w:ascii="Arial Black" w:hAnsi="Arial Black"/>
          <w:b/>
          <w:sz w:val="24"/>
          <w:szCs w:val="24"/>
        </w:rPr>
      </w:pPr>
      <w:r w:rsidRPr="00C96532">
        <w:rPr>
          <w:rFonts w:ascii="Arial Black" w:hAnsi="Arial Black"/>
          <w:b/>
          <w:sz w:val="24"/>
          <w:szCs w:val="24"/>
        </w:rPr>
        <w:t>15-39</w:t>
      </w:r>
    </w:p>
    <w:p w14:paraId="3229C256" w14:textId="77777777" w:rsidR="00C96532" w:rsidRDefault="00C96532" w:rsidP="00325997">
      <w:pPr>
        <w:pStyle w:val="NoSpacing"/>
        <w:rPr>
          <w:rFonts w:ascii="Times New Roman" w:hAnsi="Times New Roman"/>
          <w:b/>
          <w:sz w:val="24"/>
          <w:szCs w:val="24"/>
        </w:rPr>
      </w:pPr>
    </w:p>
    <w:p w14:paraId="13BB66F6" w14:textId="77777777" w:rsidR="00C96532" w:rsidRPr="00CD07A8" w:rsidRDefault="00C96532" w:rsidP="00C96532">
      <w:pPr>
        <w:rPr>
          <w:rFonts w:ascii="Arial Black" w:hAnsi="Arial Black"/>
          <w:sz w:val="28"/>
          <w:szCs w:val="28"/>
        </w:rPr>
      </w:pPr>
      <w:r>
        <w:rPr>
          <w:rFonts w:ascii="Arial Black" w:hAnsi="Arial Black"/>
          <w:sz w:val="28"/>
          <w:szCs w:val="28"/>
        </w:rPr>
        <w:t>MI: FF WITH PTSD – NO RIGHT TO BRING HIS DOG TO WORK</w:t>
      </w:r>
    </w:p>
    <w:p w14:paraId="3ABA2F75" w14:textId="17699B79" w:rsidR="00C96532" w:rsidRPr="00C96532" w:rsidRDefault="00C96532" w:rsidP="00C96532">
      <w:pPr>
        <w:pStyle w:val="NoSpacing"/>
        <w:rPr>
          <w:rFonts w:ascii="Times New Roman" w:hAnsi="Times New Roman"/>
          <w:b/>
          <w:bCs/>
          <w:sz w:val="24"/>
          <w:szCs w:val="24"/>
        </w:rPr>
      </w:pPr>
      <w:r w:rsidRPr="00C96532">
        <w:rPr>
          <w:rFonts w:ascii="Times New Roman" w:hAnsi="Times New Roman"/>
          <w:sz w:val="24"/>
          <w:szCs w:val="24"/>
        </w:rPr>
        <w:t xml:space="preserve">On April 29, 2025, in </w:t>
      </w:r>
      <w:r w:rsidRPr="00C96532">
        <w:rPr>
          <w:rFonts w:ascii="Times New Roman" w:hAnsi="Times New Roman"/>
          <w:sz w:val="24"/>
          <w:szCs w:val="24"/>
          <w:u w:val="single"/>
        </w:rPr>
        <w:t>Aaron Fisher v. City of Lansing</w:t>
      </w:r>
      <w:r w:rsidRPr="00C96532">
        <w:rPr>
          <w:rFonts w:ascii="Times New Roman" w:hAnsi="Times New Roman"/>
          <w:sz w:val="24"/>
          <w:szCs w:val="24"/>
        </w:rPr>
        <w:t xml:space="preserve">, U.S. District Court Judge Paul L. Maloney, United States District Court for Western District of Michigan, Southern Division, granted the City’s motion for summary judgment, since the City established that Plaintiff could perform his duties at the fire station without a service animal.  The firefighter / engineer joined the FD in 2004; he started suffering from PTSD around 2010. In March 2020 he asked his Battalion Chief if he could bring his personal dog, “Chet” to work.  This was unofficially authorized, and he did this for four months.  On July 30, 2020, the City issued a notice to all fire department employees stating that employees were not allowed to bring pets of any kind to work.  In mid-August 2020, Plaintiff submitted his request for “service animal” using the City's approved form, and submitted a letter from Dr. Ronald Fandrick, a licensed clinical psychologist, who concluded that Plaintiff needed an “emotional support animal” during work hours at the fire station….  Around August 26, 2020, Kathy Woodman, the City's Health and Wellness Director, met with Plaintiff for over an hour to discuss his request; near the end of September, Defendant denied Plaintiff's request for accommodation. </w:t>
      </w:r>
      <w:hyperlink r:id="rId2481" w:history="1">
        <w:r w:rsidRPr="00C96532">
          <w:rPr>
            <w:rStyle w:val="Hyperlink"/>
            <w:rFonts w:ascii="Times New Roman" w:hAnsi="Times New Roman"/>
            <w:sz w:val="24"/>
            <w:szCs w:val="24"/>
          </w:rPr>
          <w:t>https://hr.cch.com/ELD/FisherLansing042925.pdf</w:t>
        </w:r>
      </w:hyperlink>
    </w:p>
    <w:p w14:paraId="33272690" w14:textId="77777777" w:rsidR="00325997" w:rsidRPr="00C96532" w:rsidRDefault="00325997" w:rsidP="00F37D60">
      <w:pPr>
        <w:pStyle w:val="NoSpacing"/>
        <w:rPr>
          <w:rFonts w:ascii="Times New Roman" w:hAnsi="Times New Roman"/>
          <w:sz w:val="24"/>
          <w:szCs w:val="24"/>
        </w:rPr>
      </w:pPr>
    </w:p>
    <w:p w14:paraId="220DA4E6" w14:textId="77777777" w:rsidR="00153742" w:rsidRPr="00D55B6E" w:rsidRDefault="00153742" w:rsidP="00153742">
      <w:pPr>
        <w:pStyle w:val="NoSpacing"/>
        <w:rPr>
          <w:rFonts w:ascii="Times New Roman" w:hAnsi="Times New Roman"/>
          <w:b/>
          <w:bCs/>
          <w:sz w:val="24"/>
          <w:szCs w:val="24"/>
        </w:rPr>
      </w:pPr>
      <w:r w:rsidRPr="00D55B6E">
        <w:rPr>
          <w:rFonts w:ascii="Times New Roman" w:hAnsi="Times New Roman"/>
          <w:b/>
          <w:sz w:val="24"/>
          <w:szCs w:val="24"/>
        </w:rPr>
        <w:t xml:space="preserve">Legal Lesson Learned: The ADA </w:t>
      </w:r>
      <w:r w:rsidRPr="00D55B6E">
        <w:rPr>
          <w:rFonts w:ascii="Times New Roman" w:hAnsi="Times New Roman"/>
          <w:b/>
          <w:bCs/>
          <w:sz w:val="24"/>
          <w:szCs w:val="24"/>
        </w:rPr>
        <w:t>applies to employees who need a “service animal” to perform work duties,  not “</w:t>
      </w:r>
      <w:r w:rsidRPr="00D55B6E">
        <w:rPr>
          <w:rFonts w:ascii="Times New Roman" w:hAnsi="Times New Roman"/>
          <w:b/>
          <w:sz w:val="24"/>
          <w:szCs w:val="24"/>
        </w:rPr>
        <w:t>emotional support animals</w:t>
      </w:r>
      <w:r w:rsidRPr="00D55B6E">
        <w:rPr>
          <w:rFonts w:ascii="Times New Roman" w:hAnsi="Times New Roman"/>
          <w:b/>
          <w:bCs/>
          <w:sz w:val="24"/>
          <w:szCs w:val="24"/>
        </w:rPr>
        <w:t xml:space="preserve">.” </w:t>
      </w:r>
      <w:r w:rsidRPr="00D55B6E">
        <w:rPr>
          <w:rFonts w:ascii="Times New Roman" w:hAnsi="Times New Roman"/>
          <w:b/>
          <w:sz w:val="24"/>
          <w:szCs w:val="24"/>
        </w:rPr>
        <w:t xml:space="preserve"> </w:t>
      </w:r>
    </w:p>
    <w:p w14:paraId="26597A0B" w14:textId="7CACCB8D" w:rsidR="00F37D60" w:rsidRPr="00D55B6E" w:rsidRDefault="00153742" w:rsidP="00D55B6E">
      <w:pPr>
        <w:pStyle w:val="NoSpacing"/>
        <w:ind w:left="720"/>
        <w:rPr>
          <w:rFonts w:ascii="Times New Roman" w:hAnsi="Times New Roman"/>
          <w:sz w:val="24"/>
          <w:szCs w:val="24"/>
        </w:rPr>
      </w:pPr>
      <w:r w:rsidRPr="00D55B6E">
        <w:rPr>
          <w:rFonts w:ascii="Times New Roman" w:hAnsi="Times New Roman"/>
          <w:sz w:val="24"/>
          <w:szCs w:val="24"/>
        </w:rPr>
        <w:t xml:space="preserve">Note: See article on this case. </w:t>
      </w:r>
      <w:hyperlink r:id="rId2482" w:history="1">
        <w:r w:rsidR="00D55B6E" w:rsidRPr="00D55B6E">
          <w:rPr>
            <w:rStyle w:val="Hyperlink"/>
            <w:rFonts w:ascii="Times New Roman" w:hAnsi="Times New Roman"/>
            <w:sz w:val="24"/>
            <w:szCs w:val="24"/>
          </w:rPr>
          <w:t>https://www.vitallaw.com/news/discrimination-disability-w-d-mich-firefighter-with-ptsd-fails-to-show-firehouse-dog-was-reasonable-accommodation/eld0112d25548de2942ffb5b58765cda11301</w:t>
        </w:r>
      </w:hyperlink>
    </w:p>
    <w:p w14:paraId="6C3ABDA2" w14:textId="77777777" w:rsidR="00F37D60" w:rsidRDefault="00F37D60" w:rsidP="000C4DF5">
      <w:pPr>
        <w:pStyle w:val="NoSpacing"/>
        <w:rPr>
          <w:rFonts w:ascii="Arial Black" w:hAnsi="Arial Black"/>
          <w:sz w:val="24"/>
          <w:szCs w:val="24"/>
        </w:rPr>
      </w:pPr>
    </w:p>
    <w:p w14:paraId="5B0D37EF" w14:textId="77777777" w:rsidR="00F37D60" w:rsidRDefault="00F37D60" w:rsidP="000C4DF5">
      <w:pPr>
        <w:pStyle w:val="NoSpacing"/>
        <w:rPr>
          <w:rFonts w:ascii="Arial Black" w:hAnsi="Arial Black"/>
          <w:sz w:val="24"/>
          <w:szCs w:val="24"/>
        </w:rPr>
      </w:pPr>
    </w:p>
    <w:p w14:paraId="674A8451" w14:textId="2489F1C7" w:rsidR="006F1059" w:rsidRDefault="00A84B8B" w:rsidP="000C4DF5">
      <w:pPr>
        <w:pStyle w:val="NoSpacing"/>
        <w:rPr>
          <w:rFonts w:ascii="Arial Black" w:hAnsi="Arial Black"/>
          <w:sz w:val="24"/>
          <w:szCs w:val="24"/>
        </w:rPr>
      </w:pPr>
      <w:r>
        <w:rPr>
          <w:rFonts w:ascii="Arial Black" w:hAnsi="Arial Black"/>
          <w:sz w:val="24"/>
          <w:szCs w:val="24"/>
        </w:rPr>
        <w:t>15-38</w:t>
      </w:r>
    </w:p>
    <w:p w14:paraId="56B6329E" w14:textId="77777777" w:rsidR="00A84B8B" w:rsidRDefault="00A84B8B" w:rsidP="000C4DF5">
      <w:pPr>
        <w:pStyle w:val="NoSpacing"/>
        <w:rPr>
          <w:rFonts w:ascii="Arial Black" w:hAnsi="Arial Black"/>
          <w:sz w:val="24"/>
          <w:szCs w:val="24"/>
        </w:rPr>
      </w:pPr>
    </w:p>
    <w:p w14:paraId="45AD527B" w14:textId="25375FE5" w:rsidR="00A84B8B" w:rsidRPr="00EB63ED" w:rsidRDefault="00A84B8B" w:rsidP="00A84B8B">
      <w:pPr>
        <w:pStyle w:val="NoSpacing"/>
        <w:rPr>
          <w:rFonts w:ascii="Arial Black" w:hAnsi="Arial Black"/>
          <w:sz w:val="28"/>
          <w:szCs w:val="28"/>
        </w:rPr>
      </w:pPr>
      <w:r w:rsidRPr="00EB63ED">
        <w:rPr>
          <w:rFonts w:ascii="Arial Black" w:hAnsi="Arial Black"/>
          <w:sz w:val="28"/>
          <w:szCs w:val="28"/>
        </w:rPr>
        <w:t xml:space="preserve">NY: NYPD RESONSE </w:t>
      </w:r>
      <w:r w:rsidR="0061722F">
        <w:rPr>
          <w:rFonts w:ascii="Arial Black" w:hAnsi="Arial Black"/>
          <w:sz w:val="28"/>
          <w:szCs w:val="28"/>
        </w:rPr>
        <w:t xml:space="preserve">TO </w:t>
      </w:r>
      <w:r w:rsidRPr="00EB63ED">
        <w:rPr>
          <w:rFonts w:ascii="Arial Black" w:hAnsi="Arial Black"/>
          <w:sz w:val="28"/>
          <w:szCs w:val="28"/>
        </w:rPr>
        <w:t xml:space="preserve">MENTAL RUNS - PROP. CLASS ACTION </w:t>
      </w:r>
    </w:p>
    <w:p w14:paraId="254221F6" w14:textId="77777777" w:rsidR="00A84B8B" w:rsidRPr="00D11443" w:rsidRDefault="00A84B8B" w:rsidP="00A84B8B">
      <w:pPr>
        <w:pStyle w:val="NoSpacing"/>
        <w:rPr>
          <w:rFonts w:ascii="Times New Roman" w:hAnsi="Times New Roman"/>
          <w:sz w:val="24"/>
          <w:szCs w:val="24"/>
        </w:rPr>
      </w:pPr>
    </w:p>
    <w:p w14:paraId="4C787F02" w14:textId="751D95B5" w:rsidR="00A84B8B" w:rsidRPr="00D11443" w:rsidRDefault="00A84B8B" w:rsidP="00A84B8B">
      <w:pPr>
        <w:pStyle w:val="NoSpacing"/>
        <w:rPr>
          <w:rFonts w:ascii="Times New Roman" w:hAnsi="Times New Roman"/>
          <w:sz w:val="24"/>
          <w:szCs w:val="24"/>
        </w:rPr>
      </w:pPr>
      <w:r w:rsidRPr="00D11443">
        <w:rPr>
          <w:rFonts w:ascii="Times New Roman" w:hAnsi="Times New Roman"/>
          <w:sz w:val="24"/>
          <w:szCs w:val="24"/>
        </w:rPr>
        <w:t xml:space="preserve">On March 28, 2025, in </w:t>
      </w:r>
      <w:r w:rsidRPr="00D11443">
        <w:rPr>
          <w:rFonts w:ascii="Times New Roman" w:hAnsi="Times New Roman"/>
          <w:sz w:val="24"/>
          <w:szCs w:val="24"/>
          <w:u w:val="single"/>
        </w:rPr>
        <w:t>Steve Greene, et al. v. City of New York, et al</w:t>
      </w:r>
      <w:r w:rsidRPr="00D11443">
        <w:rPr>
          <w:rFonts w:ascii="Times New Roman" w:hAnsi="Times New Roman"/>
          <w:sz w:val="24"/>
          <w:szCs w:val="24"/>
        </w:rPr>
        <w:t xml:space="preserve">., Senior U.S. District Court Judge Loretta A. Preska, U.S. District Court for Southern District of New York, in proposed class action lawsuit by several community action groups, including Community Access, Inc, National Alliance of Mental Illness of New York City, Inc., the federal judge denied the City’s motion to strike the class action from the complaint at this early stage of litigation, and held that the case may proceed on the City’s current practice of sending police to mental health calls (instead of a mental health crisis team, such as the City’s limited “B-Heard” program).  “Defendants' motion to dismiss the disability claims regarding the on-site response pursuant to Title II of the ADA, Section 504 of the Rehabilitation Act, and the NYCHRL is DENIED.” </w:t>
      </w:r>
      <w:hyperlink r:id="rId2483" w:history="1">
        <w:r w:rsidRPr="00D11443">
          <w:rPr>
            <w:rStyle w:val="Hyperlink"/>
            <w:rFonts w:ascii="Times New Roman" w:hAnsi="Times New Roman"/>
            <w:sz w:val="24"/>
            <w:szCs w:val="24"/>
          </w:rPr>
          <w:t>https://public.fastcase.com/jaEE2PXzRXmZ99jOLMt1IgF1yYEhvQDwrp3nUQiGNB%2BGSciFeLM%2FmBTuULLxAVc6AJd7N%2FBSzM%2BwBsHVa7Iixu%2BNwJWRs9nDd4Lbk0%2BZyEc%3D?utm_medium=email&amp;_hsenc=p2ANqtz-_AJp8PZettrdOWllyvjduuYkYNLjKGvTo7FG_iUypW4feeCV7HNQpd9yy59szCksxig4Y61bV5hSQSKDqcsmFU4r11KQ&amp;_hsmi=226712652&amp;utm_content=226712652&amp;utm_source=hs_email</w:t>
        </w:r>
      </w:hyperlink>
    </w:p>
    <w:p w14:paraId="2C86C4AA" w14:textId="77777777" w:rsidR="00D11443" w:rsidRPr="00D11443" w:rsidRDefault="00D11443" w:rsidP="00D11443">
      <w:pPr>
        <w:pStyle w:val="NoSpacing"/>
        <w:rPr>
          <w:rFonts w:ascii="Times New Roman" w:hAnsi="Times New Roman"/>
          <w:b/>
          <w:sz w:val="24"/>
          <w:szCs w:val="24"/>
        </w:rPr>
      </w:pPr>
    </w:p>
    <w:p w14:paraId="6B785B13" w14:textId="77777777" w:rsidR="006361FE" w:rsidRPr="008A731F" w:rsidRDefault="006361FE" w:rsidP="006361FE">
      <w:pPr>
        <w:pStyle w:val="NoSpacing"/>
        <w:rPr>
          <w:rFonts w:ascii="Times New Roman" w:hAnsi="Times New Roman"/>
          <w:b/>
          <w:bCs/>
          <w:sz w:val="24"/>
          <w:szCs w:val="24"/>
        </w:rPr>
      </w:pPr>
      <w:r w:rsidRPr="008A731F">
        <w:rPr>
          <w:rFonts w:ascii="Times New Roman" w:hAnsi="Times New Roman"/>
          <w:b/>
          <w:sz w:val="24"/>
          <w:szCs w:val="24"/>
        </w:rPr>
        <w:t xml:space="preserve">Legal Lessons Learned:  Litigation will proceed on NYPD response to mental health patients. </w:t>
      </w:r>
    </w:p>
    <w:p w14:paraId="77BB0503" w14:textId="77777777" w:rsidR="00A84B8B" w:rsidRDefault="00A84B8B" w:rsidP="000C4DF5">
      <w:pPr>
        <w:pStyle w:val="NoSpacing"/>
        <w:rPr>
          <w:rFonts w:ascii="Arial Black" w:hAnsi="Arial Black"/>
          <w:sz w:val="24"/>
          <w:szCs w:val="24"/>
        </w:rPr>
      </w:pPr>
    </w:p>
    <w:p w14:paraId="3AF70134" w14:textId="77777777" w:rsidR="00A84B8B" w:rsidRDefault="00A84B8B" w:rsidP="000C4DF5">
      <w:pPr>
        <w:pStyle w:val="NoSpacing"/>
        <w:rPr>
          <w:rFonts w:ascii="Arial Black" w:hAnsi="Arial Black"/>
          <w:sz w:val="24"/>
          <w:szCs w:val="24"/>
        </w:rPr>
      </w:pPr>
    </w:p>
    <w:p w14:paraId="1A8B2B93" w14:textId="5CBC32D5" w:rsidR="004D6FB2" w:rsidRDefault="004D6FB2" w:rsidP="000C4DF5">
      <w:pPr>
        <w:pStyle w:val="NoSpacing"/>
        <w:rPr>
          <w:rFonts w:ascii="Arial Black" w:hAnsi="Arial Black"/>
          <w:sz w:val="24"/>
          <w:szCs w:val="24"/>
        </w:rPr>
      </w:pPr>
      <w:r>
        <w:rPr>
          <w:rFonts w:ascii="Arial Black" w:hAnsi="Arial Black"/>
          <w:sz w:val="24"/>
          <w:szCs w:val="24"/>
        </w:rPr>
        <w:t>15-</w:t>
      </w:r>
      <w:r w:rsidR="00062DA4">
        <w:rPr>
          <w:rFonts w:ascii="Arial Black" w:hAnsi="Arial Black"/>
          <w:sz w:val="24"/>
          <w:szCs w:val="24"/>
        </w:rPr>
        <w:t>3</w:t>
      </w:r>
      <w:r w:rsidR="001A4CAA">
        <w:rPr>
          <w:rFonts w:ascii="Arial Black" w:hAnsi="Arial Black"/>
          <w:sz w:val="24"/>
          <w:szCs w:val="24"/>
        </w:rPr>
        <w:t>7</w:t>
      </w:r>
      <w:r w:rsidR="00062DA4">
        <w:rPr>
          <w:rFonts w:ascii="Arial Black" w:hAnsi="Arial Black"/>
          <w:sz w:val="24"/>
          <w:szCs w:val="24"/>
        </w:rPr>
        <w:t xml:space="preserve"> [also filed, Chap. 13]</w:t>
      </w:r>
    </w:p>
    <w:p w14:paraId="47B8B26C" w14:textId="77777777" w:rsidR="00062DA4" w:rsidRDefault="00062DA4" w:rsidP="000C4DF5">
      <w:pPr>
        <w:pStyle w:val="NoSpacing"/>
        <w:rPr>
          <w:rFonts w:ascii="Arial Black" w:hAnsi="Arial Black"/>
          <w:sz w:val="24"/>
          <w:szCs w:val="24"/>
        </w:rPr>
      </w:pPr>
    </w:p>
    <w:p w14:paraId="1EDAD8D1" w14:textId="77777777" w:rsidR="00062DA4" w:rsidRPr="000B7F2C" w:rsidRDefault="00062DA4" w:rsidP="00062DA4">
      <w:pPr>
        <w:rPr>
          <w:rFonts w:ascii="Arial Black" w:hAnsi="Arial Black"/>
          <w:sz w:val="28"/>
          <w:szCs w:val="28"/>
        </w:rPr>
      </w:pPr>
      <w:r w:rsidRPr="000B7F2C">
        <w:rPr>
          <w:rFonts w:ascii="Arial Black" w:hAnsi="Arial Black"/>
          <w:sz w:val="28"/>
          <w:szCs w:val="28"/>
        </w:rPr>
        <w:t>CO: PARAMEDIC TACKLED MENTAL - PT DIED – NO CASE</w:t>
      </w:r>
    </w:p>
    <w:p w14:paraId="4CBC7EC0" w14:textId="77777777" w:rsidR="00062DA4" w:rsidRPr="00CA2B3F" w:rsidRDefault="00062DA4" w:rsidP="00062DA4">
      <w:pPr>
        <w:rPr>
          <w:rFonts w:ascii="Times New Roman" w:hAnsi="Times New Roman"/>
          <w:sz w:val="24"/>
          <w:szCs w:val="24"/>
        </w:rPr>
      </w:pPr>
      <w:r w:rsidRPr="00CA2B3F">
        <w:rPr>
          <w:rFonts w:ascii="Times New Roman" w:hAnsi="Times New Roman"/>
          <w:sz w:val="24"/>
          <w:szCs w:val="24"/>
        </w:rPr>
        <w:t xml:space="preserve">On Feb. 28, 2025, in </w:t>
      </w:r>
      <w:r w:rsidRPr="00CA2B3F">
        <w:rPr>
          <w:rFonts w:ascii="Times New Roman" w:hAnsi="Times New Roman"/>
          <w:sz w:val="24"/>
          <w:szCs w:val="24"/>
          <w:u w:val="single"/>
        </w:rPr>
        <w:t>Estate of Kevin Dizmang v. Sean Reed, a Colorado Springs Police Officer and Nick Fischer, a Colorado Springs Paramedic</w:t>
      </w:r>
      <w:r w:rsidRPr="00CA2B3F">
        <w:rPr>
          <w:rFonts w:ascii="Times New Roman" w:hAnsi="Times New Roman"/>
          <w:sz w:val="24"/>
          <w:szCs w:val="24"/>
        </w:rPr>
        <w:t xml:space="preserve">, United States District Court Judge Charlotte N. Sweeney, U.S. District Court for District of Colorado, granted motions to dismiss the paramedic and the police officer.  The paramedic was on a three-person crisis response team (CRT) with a police officer and a licensed clinician.  The paramedic tackled the mental patient to prevent him walking back into the street and then render care. Both the paramedic and the police officer have qualified immunity.  </w:t>
      </w:r>
      <w:hyperlink r:id="rId2484" w:history="1">
        <w:r w:rsidRPr="00CA2B3F">
          <w:rPr>
            <w:rStyle w:val="Hyperlink"/>
            <w:rFonts w:ascii="Times New Roman" w:hAnsi="Times New Roman"/>
            <w:sz w:val="24"/>
            <w:szCs w:val="24"/>
          </w:rPr>
          <w:t>https://storage.courtlistener.com/recap/gov.uscourts.cod.231472/gov.uscourts.cod.231472.63.0.pdf</w:t>
        </w:r>
      </w:hyperlink>
      <w:r w:rsidRPr="00CA2B3F">
        <w:rPr>
          <w:rFonts w:ascii="Times New Roman" w:hAnsi="Times New Roman"/>
          <w:sz w:val="24"/>
          <w:szCs w:val="24"/>
        </w:rPr>
        <w:t xml:space="preserve"> </w:t>
      </w:r>
    </w:p>
    <w:p w14:paraId="765767C2" w14:textId="77777777" w:rsidR="00062DA4" w:rsidRPr="00CA2B3F" w:rsidRDefault="00062DA4" w:rsidP="00062DA4">
      <w:pPr>
        <w:pStyle w:val="NoSpacing"/>
        <w:rPr>
          <w:rFonts w:ascii="Times New Roman" w:hAnsi="Times New Roman"/>
          <w:sz w:val="24"/>
          <w:szCs w:val="24"/>
        </w:rPr>
      </w:pPr>
      <w:r w:rsidRPr="00CA2B3F">
        <w:rPr>
          <w:rFonts w:ascii="Times New Roman" w:hAnsi="Times New Roman"/>
          <w:sz w:val="24"/>
          <w:szCs w:val="24"/>
        </w:rPr>
        <w:t xml:space="preserve">The Court described facts:  </w:t>
      </w:r>
    </w:p>
    <w:p w14:paraId="12347FC8" w14:textId="77777777" w:rsidR="00062DA4" w:rsidRPr="00CA2B3F" w:rsidRDefault="00062DA4" w:rsidP="00062DA4">
      <w:pPr>
        <w:pStyle w:val="NoSpacing"/>
        <w:rPr>
          <w:rFonts w:ascii="Times New Roman" w:hAnsi="Times New Roman"/>
          <w:sz w:val="24"/>
          <w:szCs w:val="24"/>
        </w:rPr>
      </w:pPr>
    </w:p>
    <w:p w14:paraId="0316CA57" w14:textId="6E055EF3"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“[Officer]</w:t>
      </w:r>
      <w:r w:rsidR="00387756">
        <w:rPr>
          <w:rFonts w:ascii="Times New Roman" w:hAnsi="Times New Roman"/>
          <w:sz w:val="24"/>
          <w:szCs w:val="24"/>
        </w:rPr>
        <w:t xml:space="preserve"> </w:t>
      </w:r>
      <w:r w:rsidRPr="00CA2B3F">
        <w:rPr>
          <w:rFonts w:ascii="Times New Roman" w:hAnsi="Times New Roman"/>
          <w:sz w:val="24"/>
          <w:szCs w:val="24"/>
        </w:rPr>
        <w:t xml:space="preserve">Reed approached Mr. Dizmang, who walked back into traffic and bent over with his hands on his knees, displaying respiratory distress. Id. Mr. Dizmang said, ‘HELP me,’ then walked farther into the road…. Mr. Dizmang repeatedly </w:t>
      </w:r>
      <w:proofErr w:type="gramStart"/>
      <w:r w:rsidRPr="00CA2B3F">
        <w:rPr>
          <w:rFonts w:ascii="Times New Roman" w:hAnsi="Times New Roman"/>
          <w:sz w:val="24"/>
          <w:szCs w:val="24"/>
        </w:rPr>
        <w:t>said ‘please’</w:t>
      </w:r>
      <w:proofErr w:type="gramEnd"/>
      <w:r w:rsidRPr="00CA2B3F">
        <w:rPr>
          <w:rFonts w:ascii="Times New Roman" w:hAnsi="Times New Roman"/>
          <w:sz w:val="24"/>
          <w:szCs w:val="24"/>
        </w:rPr>
        <w:t xml:space="preserve"> and walked in circles in a ‘clearly </w:t>
      </w:r>
      <w:proofErr w:type="gramStart"/>
      <w:r w:rsidRPr="00CA2B3F">
        <w:rPr>
          <w:rFonts w:ascii="Times New Roman" w:hAnsi="Times New Roman"/>
          <w:sz w:val="24"/>
          <w:szCs w:val="24"/>
        </w:rPr>
        <w:t>confused</w:t>
      </w:r>
      <w:proofErr w:type="gramEnd"/>
      <w:r w:rsidRPr="00CA2B3F">
        <w:rPr>
          <w:rFonts w:ascii="Times New Roman" w:hAnsi="Times New Roman"/>
          <w:sz w:val="24"/>
          <w:szCs w:val="24"/>
        </w:rPr>
        <w:t xml:space="preserve"> and panicked state.’ … Defendant Reed then told Mr. Dizmang, </w:t>
      </w:r>
      <w:proofErr w:type="gramStart"/>
      <w:r w:rsidRPr="00CA2B3F">
        <w:rPr>
          <w:rFonts w:ascii="Times New Roman" w:hAnsi="Times New Roman"/>
          <w:sz w:val="24"/>
          <w:szCs w:val="24"/>
        </w:rPr>
        <w:t>‘sit</w:t>
      </w:r>
      <w:proofErr w:type="gramEnd"/>
      <w:r w:rsidRPr="00CA2B3F">
        <w:rPr>
          <w:rFonts w:ascii="Times New Roman" w:hAnsi="Times New Roman"/>
          <w:sz w:val="24"/>
          <w:szCs w:val="24"/>
        </w:rPr>
        <w:t xml:space="preserve"> down or put your hands behind your back.’</w:t>
      </w:r>
    </w:p>
    <w:p w14:paraId="1C5D254E" w14:textId="77777777" w:rsidR="00062DA4" w:rsidRPr="00CA2B3F" w:rsidRDefault="00062DA4" w:rsidP="00062DA4">
      <w:pPr>
        <w:pStyle w:val="NoSpacing"/>
        <w:rPr>
          <w:rFonts w:ascii="Times New Roman" w:hAnsi="Times New Roman"/>
          <w:sz w:val="24"/>
          <w:szCs w:val="24"/>
        </w:rPr>
      </w:pPr>
    </w:p>
    <w:p w14:paraId="3C6CCF92"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w:t>
      </w:r>
    </w:p>
    <w:p w14:paraId="3563E14B"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The parties </w:t>
      </w:r>
      <w:proofErr w:type="gramStart"/>
      <w:r w:rsidRPr="00CA2B3F">
        <w:rPr>
          <w:rFonts w:ascii="Times New Roman" w:hAnsi="Times New Roman"/>
          <w:sz w:val="24"/>
          <w:szCs w:val="24"/>
        </w:rPr>
        <w:t>dispute</w:t>
      </w:r>
      <w:proofErr w:type="gramEnd"/>
      <w:r w:rsidRPr="00CA2B3F">
        <w:rPr>
          <w:rFonts w:ascii="Times New Roman" w:hAnsi="Times New Roman"/>
          <w:sz w:val="24"/>
          <w:szCs w:val="24"/>
        </w:rPr>
        <w:t xml:space="preserve"> what happened next. [Court now references the plaintiff’s complaint.] Plaintiff alleges that, as Mr. Dizmang stood in the tree line approximately 20 feet from the road, [Paramedic] Fischer ‘suddenly and violently tackled’ him to the ground…. As alleged, Defendant Fischer put Mr. Dizmang into a chokehold by wrapping his arms around his neck while Defendant Reed handcuffed Mr. Dizmang’s hands behind his back….  Defendant Fischer maintained this hold for approximately 30 seconds…. Mr. Dizmang stopped moving.</w:t>
      </w:r>
    </w:p>
    <w:p w14:paraId="53C6B823" w14:textId="77777777" w:rsidR="00062DA4" w:rsidRPr="00CA2B3F" w:rsidRDefault="00062DA4" w:rsidP="00062DA4">
      <w:pPr>
        <w:pStyle w:val="NoSpacing"/>
        <w:rPr>
          <w:rFonts w:ascii="Times New Roman" w:hAnsi="Times New Roman"/>
          <w:sz w:val="24"/>
          <w:szCs w:val="24"/>
        </w:rPr>
      </w:pPr>
    </w:p>
    <w:p w14:paraId="0992F1E8"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Defendant Fischer then rolled Mr. Dizmang face down on the ground, with his</w:t>
      </w:r>
    </w:p>
    <w:p w14:paraId="655706EE"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hands on the back of Mr. Dizmang’s neck and ‘driving his body weight downward, [Mr. Dizmang’s] neck and face into the ground. … Plaintiff alleges that Defendant Fischer stayed in that position, ‘with his body weight on [Mr. Dizmang’s] neck and back,’ for approximately forty-five seconds….Defendants Fischer and Reed then rolled Mr. Dizmang into a seated position….  At that point, Mr. Dizmang still had a faint pulse, but he was struggling to breathe and was unresponsive to questions and commands…. A bystander repeatedly told Mr. Dizmang, </w:t>
      </w:r>
      <w:proofErr w:type="gramStart"/>
      <w:r w:rsidRPr="00CA2B3F">
        <w:rPr>
          <w:rFonts w:ascii="Times New Roman" w:hAnsi="Times New Roman"/>
          <w:sz w:val="24"/>
          <w:szCs w:val="24"/>
        </w:rPr>
        <w:t>‘talk</w:t>
      </w:r>
      <w:proofErr w:type="gramEnd"/>
      <w:r w:rsidRPr="00CA2B3F">
        <w:rPr>
          <w:rFonts w:ascii="Times New Roman" w:hAnsi="Times New Roman"/>
          <w:sz w:val="24"/>
          <w:szCs w:val="24"/>
        </w:rPr>
        <w:t xml:space="preserve"> to me,’ but he never responded…. Defendant Reed called for an ambulance…. Defendants Reed and Fischer left Mr. Dizmang in handcuffs…. He remained handcuffed for nearly seven minutes before he was loaded onto a stretcher and moved into an ambulance…. As alleged,</w:t>
      </w:r>
    </w:p>
    <w:p w14:paraId="56B1B466"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Defendant Fischer took no actions to provide medical care or resuscitate Mr. Dizmang….</w:t>
      </w:r>
    </w:p>
    <w:p w14:paraId="7A628205"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Defendant Fischer commented, ‘He’s not aspirating’ and ‘I want to attempt a</w:t>
      </w:r>
    </w:p>
    <w:p w14:paraId="3022F945"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nasal airway.’ …Medical staff attempted resuscitation measures once Mr. Dizmang was</w:t>
      </w:r>
    </w:p>
    <w:p w14:paraId="48C1A4DB"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transferred to the ambulance…. Once at the hospital, emergency room staff also attempted life-saving measures, but Mr. Dizmang was pronounced dead at 6:16 p.m.”</w:t>
      </w:r>
    </w:p>
    <w:p w14:paraId="47DE48C3" w14:textId="77777777" w:rsidR="00062DA4" w:rsidRPr="00CA2B3F" w:rsidRDefault="00062DA4" w:rsidP="00062DA4">
      <w:pPr>
        <w:pStyle w:val="NoSpacing"/>
        <w:rPr>
          <w:rFonts w:ascii="Times New Roman" w:hAnsi="Times New Roman"/>
          <w:sz w:val="24"/>
          <w:szCs w:val="24"/>
        </w:rPr>
      </w:pPr>
    </w:p>
    <w:p w14:paraId="359A4D90" w14:textId="77777777" w:rsidR="00062DA4" w:rsidRPr="00CA2B3F" w:rsidRDefault="00062DA4" w:rsidP="00062DA4">
      <w:pPr>
        <w:pStyle w:val="NoSpacing"/>
        <w:rPr>
          <w:rFonts w:ascii="Times New Roman" w:hAnsi="Times New Roman"/>
          <w:sz w:val="24"/>
          <w:szCs w:val="24"/>
        </w:rPr>
      </w:pPr>
      <w:r w:rsidRPr="00CA2B3F">
        <w:rPr>
          <w:rFonts w:ascii="Times New Roman" w:hAnsi="Times New Roman"/>
          <w:sz w:val="24"/>
          <w:szCs w:val="24"/>
        </w:rPr>
        <w:t>The Court held:</w:t>
      </w:r>
    </w:p>
    <w:p w14:paraId="7B9E564A" w14:textId="77777777" w:rsidR="00062DA4" w:rsidRPr="00CA2B3F" w:rsidRDefault="00062DA4" w:rsidP="00062DA4">
      <w:pPr>
        <w:pStyle w:val="NoSpacing"/>
        <w:rPr>
          <w:rFonts w:ascii="Times New Roman" w:hAnsi="Times New Roman"/>
          <w:sz w:val="24"/>
          <w:szCs w:val="24"/>
        </w:rPr>
      </w:pPr>
    </w:p>
    <w:p w14:paraId="046151F1"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“Here, based on the allegations in the complaint, it appears that [Paramedic] Fischer</w:t>
      </w:r>
    </w:p>
    <w:p w14:paraId="2491442C"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was not attempting to arrest Mr. Dizmang or otherwise enforce the law; he was trying to</w:t>
      </w:r>
    </w:p>
    <w:p w14:paraId="73F1199B"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subdue him so that he could be properly treated…. </w:t>
      </w:r>
      <w:proofErr w:type="gramStart"/>
      <w:r w:rsidRPr="00CA2B3F">
        <w:rPr>
          <w:rFonts w:ascii="Times New Roman" w:hAnsi="Times New Roman"/>
          <w:sz w:val="24"/>
          <w:szCs w:val="24"/>
        </w:rPr>
        <w:t>It is clear that Mr. Dizmang</w:t>
      </w:r>
      <w:proofErr w:type="gramEnd"/>
      <w:r w:rsidRPr="00CA2B3F">
        <w:rPr>
          <w:rFonts w:ascii="Times New Roman" w:hAnsi="Times New Roman"/>
          <w:sz w:val="24"/>
          <w:szCs w:val="24"/>
        </w:rPr>
        <w:t xml:space="preserve"> needed </w:t>
      </w:r>
    </w:p>
    <w:p w14:paraId="03705669"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lastRenderedPageBreak/>
        <w:t>treatment and that Defendant Fischer was attempting to fulfill his role as a treatment provider.</w:t>
      </w:r>
    </w:p>
    <w:p w14:paraId="07AF9A71" w14:textId="77777777" w:rsidR="00062DA4" w:rsidRPr="00CA2B3F" w:rsidRDefault="00062DA4" w:rsidP="00062DA4">
      <w:pPr>
        <w:pStyle w:val="NoSpacing"/>
        <w:rPr>
          <w:rFonts w:ascii="Times New Roman" w:hAnsi="Times New Roman"/>
          <w:sz w:val="24"/>
          <w:szCs w:val="24"/>
        </w:rPr>
      </w:pPr>
    </w:p>
    <w:p w14:paraId="76C49F8A"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w:t>
      </w:r>
    </w:p>
    <w:p w14:paraId="70295DB4"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Even if a paramedic’s attempt to provide treatment amounts to a violation of a constitutional right to be free from </w:t>
      </w:r>
      <w:proofErr w:type="gramStart"/>
      <w:r w:rsidRPr="00CA2B3F">
        <w:rPr>
          <w:rFonts w:ascii="Times New Roman" w:hAnsi="Times New Roman"/>
          <w:sz w:val="24"/>
          <w:szCs w:val="24"/>
        </w:rPr>
        <w:t>an unlawful</w:t>
      </w:r>
      <w:proofErr w:type="gramEnd"/>
      <w:r w:rsidRPr="00CA2B3F">
        <w:rPr>
          <w:rFonts w:ascii="Times New Roman" w:hAnsi="Times New Roman"/>
          <w:sz w:val="24"/>
          <w:szCs w:val="24"/>
        </w:rPr>
        <w:t xml:space="preserve"> seizure, the right was not clearly established. The Tenth Circuit has not opined on whether or in what circumstances a paramedic can effectuate a Fourth Amendment seizure…. Thus, the Court grants Defendant Fischer’s motion to dismiss and declines to exercise supplemental jurisdiction over state law claims brought here.</w:t>
      </w:r>
    </w:p>
    <w:p w14:paraId="7DFCA3DE" w14:textId="77777777" w:rsidR="00062DA4" w:rsidRPr="00CA2B3F" w:rsidRDefault="00062DA4" w:rsidP="00062DA4">
      <w:pPr>
        <w:pStyle w:val="NoSpacing"/>
        <w:rPr>
          <w:rFonts w:ascii="Times New Roman" w:hAnsi="Times New Roman"/>
          <w:sz w:val="24"/>
          <w:szCs w:val="24"/>
        </w:rPr>
      </w:pPr>
    </w:p>
    <w:p w14:paraId="602787FD" w14:textId="77777777" w:rsidR="00062DA4" w:rsidRPr="00CA2B3F" w:rsidRDefault="00062DA4" w:rsidP="00062DA4">
      <w:pPr>
        <w:pStyle w:val="NoSpacing"/>
        <w:ind w:firstLine="720"/>
        <w:rPr>
          <w:rFonts w:ascii="Times New Roman" w:hAnsi="Times New Roman"/>
          <w:sz w:val="24"/>
          <w:szCs w:val="24"/>
        </w:rPr>
      </w:pPr>
      <w:r w:rsidRPr="00CA2B3F">
        <w:rPr>
          <w:rFonts w:ascii="Times New Roman" w:hAnsi="Times New Roman"/>
          <w:sz w:val="24"/>
          <w:szCs w:val="24"/>
        </w:rPr>
        <w:t>***</w:t>
      </w:r>
    </w:p>
    <w:p w14:paraId="6798D6FD" w14:textId="77777777" w:rsidR="00062DA4" w:rsidRPr="00CA2B3F" w:rsidRDefault="00062DA4" w:rsidP="00062DA4">
      <w:pPr>
        <w:pStyle w:val="NoSpacing"/>
        <w:rPr>
          <w:rFonts w:ascii="Times New Roman" w:hAnsi="Times New Roman"/>
          <w:sz w:val="24"/>
          <w:szCs w:val="24"/>
        </w:rPr>
      </w:pPr>
    </w:p>
    <w:p w14:paraId="6D7C9F32" w14:textId="77777777" w:rsidR="00062DA4" w:rsidRPr="00CA2B3F" w:rsidRDefault="00062DA4" w:rsidP="00062DA4">
      <w:pPr>
        <w:pStyle w:val="NoSpacing"/>
        <w:ind w:left="720"/>
        <w:rPr>
          <w:rFonts w:ascii="Times New Roman" w:hAnsi="Times New Roman"/>
          <w:sz w:val="24"/>
          <w:szCs w:val="24"/>
        </w:rPr>
      </w:pPr>
      <w:r w:rsidRPr="00CA2B3F">
        <w:rPr>
          <w:rFonts w:ascii="Times New Roman" w:hAnsi="Times New Roman"/>
          <w:sz w:val="24"/>
          <w:szCs w:val="24"/>
        </w:rPr>
        <w:t xml:space="preserve">[Police Officer] Reed is also entitled to qualified immunity based on the second prong. Plaintiff has not pointed to any Tenth Circuit precedent establishing a Fourth Amendment claim based on a failure to intervene in a paramedic’s alleged use of excessive </w:t>
      </w:r>
      <w:proofErr w:type="gramStart"/>
      <w:r w:rsidRPr="00CA2B3F">
        <w:rPr>
          <w:rFonts w:ascii="Times New Roman" w:hAnsi="Times New Roman"/>
          <w:sz w:val="24"/>
          <w:szCs w:val="24"/>
        </w:rPr>
        <w:t>force.”</w:t>
      </w:r>
      <w:proofErr w:type="gramEnd"/>
    </w:p>
    <w:p w14:paraId="60F42198" w14:textId="77777777" w:rsidR="00062DA4" w:rsidRPr="00CA2B3F" w:rsidRDefault="00062DA4" w:rsidP="00062DA4">
      <w:pPr>
        <w:pStyle w:val="NoSpacing"/>
        <w:rPr>
          <w:rFonts w:ascii="Times New Roman" w:hAnsi="Times New Roman"/>
          <w:sz w:val="24"/>
          <w:szCs w:val="24"/>
        </w:rPr>
      </w:pPr>
    </w:p>
    <w:p w14:paraId="10B9BBBC" w14:textId="77777777" w:rsidR="00062DA4" w:rsidRPr="00CA2B3F" w:rsidRDefault="00062DA4" w:rsidP="00062DA4">
      <w:pPr>
        <w:rPr>
          <w:rFonts w:ascii="Times New Roman" w:hAnsi="Times New Roman"/>
          <w:b/>
          <w:bCs/>
          <w:sz w:val="24"/>
          <w:szCs w:val="24"/>
        </w:rPr>
      </w:pPr>
      <w:r w:rsidRPr="00CA2B3F">
        <w:rPr>
          <w:rFonts w:ascii="Times New Roman" w:hAnsi="Times New Roman"/>
          <w:b/>
          <w:sz w:val="24"/>
          <w:szCs w:val="24"/>
        </w:rPr>
        <w:t xml:space="preserve">Legal Lesson Learned:  Critical Response Teams are a wonderful community asset; when subduing a mental </w:t>
      </w:r>
      <w:proofErr w:type="gramStart"/>
      <w:r w:rsidRPr="00CA2B3F">
        <w:rPr>
          <w:rFonts w:ascii="Times New Roman" w:hAnsi="Times New Roman"/>
          <w:b/>
          <w:sz w:val="24"/>
          <w:szCs w:val="24"/>
        </w:rPr>
        <w:t>patient</w:t>
      </w:r>
      <w:proofErr w:type="gramEnd"/>
      <w:r w:rsidRPr="00CA2B3F">
        <w:rPr>
          <w:rFonts w:ascii="Times New Roman" w:hAnsi="Times New Roman"/>
          <w:b/>
          <w:sz w:val="24"/>
          <w:szCs w:val="24"/>
        </w:rPr>
        <w:t xml:space="preserve"> it is helpful to have a member of the team videotape the conduct</w:t>
      </w:r>
    </w:p>
    <w:p w14:paraId="4063C3E9" w14:textId="77777777" w:rsidR="00062DA4" w:rsidRPr="00CA2B3F" w:rsidRDefault="00062DA4" w:rsidP="00062DA4">
      <w:pPr>
        <w:rPr>
          <w:rFonts w:ascii="Times New Roman" w:hAnsi="Times New Roman"/>
          <w:b/>
          <w:bCs/>
          <w:sz w:val="24"/>
          <w:szCs w:val="24"/>
        </w:rPr>
      </w:pPr>
    </w:p>
    <w:p w14:paraId="3EE97FDB" w14:textId="7695F3BE" w:rsidR="00062DA4" w:rsidRDefault="001A4CAA" w:rsidP="000C4DF5">
      <w:pPr>
        <w:pStyle w:val="NoSpacing"/>
        <w:rPr>
          <w:rFonts w:ascii="Arial Black" w:hAnsi="Arial Black"/>
          <w:sz w:val="24"/>
          <w:szCs w:val="24"/>
        </w:rPr>
      </w:pPr>
      <w:r>
        <w:rPr>
          <w:rFonts w:ascii="Arial Black" w:hAnsi="Arial Black"/>
          <w:sz w:val="24"/>
          <w:szCs w:val="24"/>
        </w:rPr>
        <w:t>15-36</w:t>
      </w:r>
      <w:r w:rsidR="00144037">
        <w:rPr>
          <w:rFonts w:ascii="Arial Black" w:hAnsi="Arial Black"/>
          <w:sz w:val="24"/>
          <w:szCs w:val="24"/>
        </w:rPr>
        <w:t xml:space="preserve"> [also filed, Chap. 6]</w:t>
      </w:r>
    </w:p>
    <w:p w14:paraId="3EE8DB43" w14:textId="77777777" w:rsidR="00144037" w:rsidRDefault="00144037" w:rsidP="000C4DF5">
      <w:pPr>
        <w:pStyle w:val="NoSpacing"/>
        <w:rPr>
          <w:rFonts w:ascii="Arial Black" w:hAnsi="Arial Black"/>
          <w:sz w:val="24"/>
          <w:szCs w:val="24"/>
        </w:rPr>
      </w:pPr>
    </w:p>
    <w:p w14:paraId="02D321ED" w14:textId="77777777" w:rsidR="001A4CAA" w:rsidRPr="000B7F2C" w:rsidRDefault="001A4CAA" w:rsidP="001A4CAA">
      <w:pPr>
        <w:rPr>
          <w:rFonts w:ascii="Arial Black" w:hAnsi="Arial Black"/>
          <w:sz w:val="28"/>
          <w:szCs w:val="28"/>
        </w:rPr>
      </w:pPr>
      <w:r w:rsidRPr="000B7F2C">
        <w:rPr>
          <w:rFonts w:ascii="Arial Black" w:hAnsi="Arial Black"/>
          <w:sz w:val="28"/>
          <w:szCs w:val="28"/>
        </w:rPr>
        <w:t>AR: PTSD –1 YR OF “DIAGNOSIS” TO FILE WORK COMP</w:t>
      </w:r>
    </w:p>
    <w:p w14:paraId="78C93492" w14:textId="77777777" w:rsidR="001A4CAA" w:rsidRPr="00144037" w:rsidRDefault="001A4CAA" w:rsidP="001A4CAA">
      <w:pPr>
        <w:rPr>
          <w:rFonts w:ascii="Times New Roman" w:hAnsi="Times New Roman"/>
          <w:sz w:val="24"/>
          <w:szCs w:val="24"/>
        </w:rPr>
      </w:pPr>
      <w:r w:rsidRPr="00144037">
        <w:rPr>
          <w:rFonts w:ascii="Times New Roman" w:hAnsi="Times New Roman"/>
          <w:sz w:val="24"/>
          <w:szCs w:val="24"/>
        </w:rPr>
        <w:t xml:space="preserve">On January 27, 2025, in </w:t>
      </w:r>
      <w:r w:rsidRPr="00144037">
        <w:rPr>
          <w:rFonts w:ascii="Times New Roman" w:hAnsi="Times New Roman"/>
          <w:sz w:val="24"/>
          <w:szCs w:val="24"/>
          <w:u w:val="single"/>
        </w:rPr>
        <w:t>City of Tucson v. The Industrial Commission of Arizona; Christopher Mercer, Respondent Employee</w:t>
      </w:r>
      <w:r w:rsidRPr="00144037">
        <w:rPr>
          <w:rFonts w:ascii="Times New Roman" w:hAnsi="Times New Roman"/>
          <w:sz w:val="24"/>
          <w:szCs w:val="24"/>
        </w:rPr>
        <w:t xml:space="preserve">, the Court of Appeals of Arizona, Second Division, (3 to 0; unpublished decision) upheld the Administrative Law Judge who ruled the 1-Year statute of limitations to file worker’s comp claim starts when the official diagnosis of PTSD has been made, not when employee has sought help for mental issues.  Time line: In 2017, with anger issues, his Captain suggested he see a psychiatrist; met six times between 2017 and 2021; in 2020 moved to slower station; April 2022 attended music festival off duty and helped female patient who feel 15 feet; that night at home threatened suicide including pulling trigger of 9 mil firearm (presumably unloaded); hospitalized 28 days at facility for first responders where for first time was diagnosed with PTSD; filed works comp claim July 30, 2022.  </w:t>
      </w:r>
      <w:hyperlink r:id="rId2485" w:history="1">
        <w:r w:rsidRPr="00144037">
          <w:rPr>
            <w:rStyle w:val="Hyperlink"/>
            <w:rFonts w:ascii="Times New Roman" w:hAnsi="Times New Roman"/>
            <w:sz w:val="24"/>
            <w:szCs w:val="24"/>
          </w:rPr>
          <w:t>https://cases.justia.com/arizona/court-of-appeals-division-two-unpublished/2025-2-ca-ic-2024-0003.pdf?ts=1738026580</w:t>
        </w:r>
      </w:hyperlink>
      <w:r w:rsidRPr="00144037">
        <w:rPr>
          <w:rFonts w:ascii="Times New Roman" w:hAnsi="Times New Roman"/>
          <w:sz w:val="24"/>
          <w:szCs w:val="24"/>
        </w:rPr>
        <w:t xml:space="preserve"> </w:t>
      </w:r>
    </w:p>
    <w:p w14:paraId="59F2BD13" w14:textId="77777777" w:rsidR="001A4CAA" w:rsidRPr="00144037" w:rsidRDefault="001A4CAA" w:rsidP="001A4CAA">
      <w:pPr>
        <w:rPr>
          <w:rFonts w:ascii="Times New Roman" w:hAnsi="Times New Roman"/>
          <w:sz w:val="24"/>
          <w:szCs w:val="24"/>
        </w:rPr>
      </w:pPr>
    </w:p>
    <w:p w14:paraId="504C725E" w14:textId="77777777" w:rsidR="001A4CAA" w:rsidRPr="00144037" w:rsidRDefault="001A4CAA" w:rsidP="001A4CAA">
      <w:pPr>
        <w:pStyle w:val="NoSpacing"/>
        <w:rPr>
          <w:rFonts w:ascii="Times New Roman" w:hAnsi="Times New Roman"/>
          <w:sz w:val="24"/>
          <w:szCs w:val="24"/>
        </w:rPr>
      </w:pPr>
      <w:r w:rsidRPr="00144037">
        <w:rPr>
          <w:rFonts w:ascii="Times New Roman" w:hAnsi="Times New Roman"/>
          <w:sz w:val="24"/>
          <w:szCs w:val="24"/>
        </w:rPr>
        <w:t xml:space="preserve">The Court wrote: </w:t>
      </w:r>
    </w:p>
    <w:p w14:paraId="1FCC72A4" w14:textId="77777777" w:rsidR="001A4CAA" w:rsidRPr="00144037" w:rsidRDefault="001A4CAA" w:rsidP="001A4CAA">
      <w:pPr>
        <w:pStyle w:val="NoSpacing"/>
        <w:rPr>
          <w:rFonts w:ascii="Times New Roman" w:hAnsi="Times New Roman"/>
          <w:sz w:val="24"/>
          <w:szCs w:val="24"/>
        </w:rPr>
      </w:pPr>
    </w:p>
    <w:p w14:paraId="0156C60A" w14:textId="77777777" w:rsidR="001A4CAA" w:rsidRPr="00144037" w:rsidRDefault="001A4CAA" w:rsidP="001A4CAA">
      <w:pPr>
        <w:pStyle w:val="NoSpacing"/>
        <w:ind w:left="720"/>
        <w:rPr>
          <w:rFonts w:ascii="Times New Roman" w:hAnsi="Times New Roman"/>
          <w:sz w:val="24"/>
          <w:szCs w:val="24"/>
        </w:rPr>
      </w:pPr>
      <w:r w:rsidRPr="00144037">
        <w:rPr>
          <w:rFonts w:ascii="Times New Roman" w:hAnsi="Times New Roman"/>
          <w:sz w:val="24"/>
          <w:szCs w:val="24"/>
        </w:rPr>
        <w:t>“The ALJ determined that he was never ‘officially diagnosed with PTSD’ until April 2022, and there was ‘insufficient evidence to find that his symptoms had become serious and acute enough to meet the diagnosis for PTSD’ before then. The ALJ further explained that April 2022 was also the point at which Mercer first required inpatient psychiatric treatment and first became unable to return to work. Accordingly, the ALJ determined that Mercer’s July 2022 ICA claim was timely.</w:t>
      </w:r>
    </w:p>
    <w:p w14:paraId="78F8138B" w14:textId="77777777" w:rsidR="001A4CAA" w:rsidRPr="00144037" w:rsidRDefault="001A4CAA" w:rsidP="001A4CAA">
      <w:pPr>
        <w:pStyle w:val="NoSpacing"/>
        <w:rPr>
          <w:rFonts w:ascii="Times New Roman" w:hAnsi="Times New Roman"/>
          <w:sz w:val="24"/>
          <w:szCs w:val="24"/>
        </w:rPr>
      </w:pPr>
    </w:p>
    <w:p w14:paraId="6012B840" w14:textId="77777777" w:rsidR="001A4CAA" w:rsidRPr="00144037" w:rsidRDefault="001A4CAA" w:rsidP="001A4CAA">
      <w:pPr>
        <w:pStyle w:val="NoSpacing"/>
        <w:ind w:firstLine="720"/>
        <w:rPr>
          <w:rFonts w:ascii="Times New Roman" w:hAnsi="Times New Roman"/>
          <w:sz w:val="24"/>
          <w:szCs w:val="24"/>
        </w:rPr>
      </w:pPr>
      <w:r w:rsidRPr="00144037">
        <w:rPr>
          <w:rFonts w:ascii="Times New Roman" w:hAnsi="Times New Roman"/>
          <w:sz w:val="24"/>
          <w:szCs w:val="24"/>
        </w:rPr>
        <w:t>***</w:t>
      </w:r>
    </w:p>
    <w:p w14:paraId="49336543" w14:textId="77777777" w:rsidR="001A4CAA" w:rsidRPr="00144037" w:rsidRDefault="001A4CAA" w:rsidP="001A4CAA">
      <w:pPr>
        <w:pStyle w:val="NoSpacing"/>
        <w:rPr>
          <w:rFonts w:ascii="Times New Roman" w:hAnsi="Times New Roman"/>
          <w:sz w:val="24"/>
          <w:szCs w:val="24"/>
        </w:rPr>
      </w:pPr>
    </w:p>
    <w:p w14:paraId="53C09866" w14:textId="77777777" w:rsidR="001A4CAA" w:rsidRPr="00144037" w:rsidRDefault="001A4CAA" w:rsidP="001A4CAA">
      <w:pPr>
        <w:pStyle w:val="NoSpacing"/>
        <w:ind w:left="720"/>
        <w:rPr>
          <w:rFonts w:ascii="Times New Roman" w:hAnsi="Times New Roman"/>
          <w:sz w:val="24"/>
          <w:szCs w:val="24"/>
        </w:rPr>
      </w:pPr>
      <w:r w:rsidRPr="00144037">
        <w:rPr>
          <w:rFonts w:ascii="Times New Roman" w:hAnsi="Times New Roman"/>
          <w:sz w:val="24"/>
          <w:szCs w:val="24"/>
        </w:rPr>
        <w:t>[T]</w:t>
      </w:r>
      <w:proofErr w:type="gramStart"/>
      <w:r w:rsidRPr="00144037">
        <w:rPr>
          <w:rFonts w:ascii="Times New Roman" w:hAnsi="Times New Roman"/>
          <w:sz w:val="24"/>
          <w:szCs w:val="24"/>
        </w:rPr>
        <w:t>he</w:t>
      </w:r>
      <w:proofErr w:type="gramEnd"/>
      <w:r w:rsidRPr="00144037">
        <w:rPr>
          <w:rFonts w:ascii="Times New Roman" w:hAnsi="Times New Roman"/>
          <w:sz w:val="24"/>
          <w:szCs w:val="24"/>
        </w:rPr>
        <w:t xml:space="preserve"> City contends it produced expert testimony that Mercer’s PTSD was diagnosable prior to July 2021, it has satisfied some portion of the test for the accrual of mental injuries. Not so.” </w:t>
      </w:r>
    </w:p>
    <w:p w14:paraId="1EA371D3" w14:textId="77777777" w:rsidR="001A4CAA" w:rsidRPr="00144037" w:rsidRDefault="001A4CAA" w:rsidP="001A4CAA">
      <w:pPr>
        <w:pStyle w:val="NoSpacing"/>
        <w:rPr>
          <w:rFonts w:ascii="Times New Roman" w:hAnsi="Times New Roman"/>
          <w:b/>
          <w:bCs/>
          <w:sz w:val="24"/>
          <w:szCs w:val="24"/>
        </w:rPr>
      </w:pPr>
    </w:p>
    <w:p w14:paraId="7F526D49" w14:textId="77777777" w:rsidR="001A4CAA" w:rsidRPr="00144037" w:rsidRDefault="001A4CAA" w:rsidP="001A4CAA">
      <w:pPr>
        <w:pStyle w:val="NoSpacing"/>
        <w:rPr>
          <w:rFonts w:ascii="Times New Roman" w:hAnsi="Times New Roman"/>
          <w:b/>
          <w:bCs/>
          <w:sz w:val="24"/>
          <w:szCs w:val="24"/>
        </w:rPr>
      </w:pPr>
      <w:r w:rsidRPr="00144037">
        <w:rPr>
          <w:rFonts w:ascii="Times New Roman" w:hAnsi="Times New Roman"/>
          <w:b/>
          <w:sz w:val="24"/>
          <w:szCs w:val="24"/>
        </w:rPr>
        <w:lastRenderedPageBreak/>
        <w:t xml:space="preserve">Legal Lesson Learned: Excellent decision; city can’t force employees to file workers comp claim when they are merely seeking assistance. </w:t>
      </w:r>
    </w:p>
    <w:p w14:paraId="18378E38" w14:textId="77777777" w:rsidR="001A4CAA" w:rsidRPr="00144037" w:rsidRDefault="001A4CAA" w:rsidP="001A4CAA">
      <w:pPr>
        <w:pStyle w:val="NoSpacing"/>
        <w:rPr>
          <w:rFonts w:ascii="Times New Roman" w:hAnsi="Times New Roman"/>
          <w:sz w:val="24"/>
          <w:szCs w:val="24"/>
        </w:rPr>
      </w:pPr>
    </w:p>
    <w:p w14:paraId="7C23C1EA" w14:textId="77777777" w:rsidR="001A4CAA" w:rsidRPr="00144037" w:rsidRDefault="001A4CAA" w:rsidP="000C4DF5">
      <w:pPr>
        <w:pStyle w:val="NoSpacing"/>
        <w:rPr>
          <w:rFonts w:ascii="Times New Roman" w:hAnsi="Times New Roman"/>
          <w:sz w:val="24"/>
          <w:szCs w:val="24"/>
        </w:rPr>
      </w:pPr>
    </w:p>
    <w:p w14:paraId="49D9197F" w14:textId="77777777" w:rsidR="004D6FB2" w:rsidRDefault="004D6FB2" w:rsidP="000C4DF5">
      <w:pPr>
        <w:pStyle w:val="NoSpacing"/>
        <w:rPr>
          <w:rFonts w:ascii="Arial Black" w:hAnsi="Arial Black"/>
          <w:sz w:val="24"/>
          <w:szCs w:val="24"/>
        </w:rPr>
      </w:pPr>
    </w:p>
    <w:p w14:paraId="1A8CACB4" w14:textId="77777777" w:rsidR="004D6FB2" w:rsidRDefault="004D6FB2" w:rsidP="000C4DF5">
      <w:pPr>
        <w:pStyle w:val="NoSpacing"/>
        <w:rPr>
          <w:rFonts w:ascii="Arial Black" w:hAnsi="Arial Black"/>
          <w:sz w:val="24"/>
          <w:szCs w:val="24"/>
        </w:rPr>
      </w:pPr>
    </w:p>
    <w:p w14:paraId="2031D947" w14:textId="28B3F362" w:rsidR="00503691" w:rsidRDefault="00503691" w:rsidP="000C4DF5">
      <w:pPr>
        <w:pStyle w:val="NoSpacing"/>
        <w:rPr>
          <w:rFonts w:ascii="Arial Black" w:hAnsi="Arial Black"/>
          <w:sz w:val="24"/>
          <w:szCs w:val="24"/>
        </w:rPr>
      </w:pPr>
      <w:r>
        <w:rPr>
          <w:rFonts w:ascii="Arial Black" w:hAnsi="Arial Black"/>
          <w:sz w:val="24"/>
          <w:szCs w:val="24"/>
        </w:rPr>
        <w:t>15-35</w:t>
      </w:r>
    </w:p>
    <w:p w14:paraId="7D8A8A4B" w14:textId="77777777" w:rsidR="00503691" w:rsidRDefault="00503691" w:rsidP="000C4DF5">
      <w:pPr>
        <w:pStyle w:val="NoSpacing"/>
        <w:rPr>
          <w:rFonts w:ascii="Arial Black" w:hAnsi="Arial Black"/>
          <w:sz w:val="24"/>
          <w:szCs w:val="24"/>
        </w:rPr>
      </w:pPr>
    </w:p>
    <w:p w14:paraId="091FA3E1" w14:textId="23260C29" w:rsidR="008619DE" w:rsidRPr="00A34AEC" w:rsidRDefault="008619DE" w:rsidP="008619DE">
      <w:pPr>
        <w:pStyle w:val="NoSpacing"/>
        <w:rPr>
          <w:rFonts w:ascii="Arial Black" w:hAnsi="Arial Black"/>
          <w:b/>
          <w:sz w:val="28"/>
          <w:szCs w:val="28"/>
        </w:rPr>
      </w:pPr>
      <w:r>
        <w:rPr>
          <w:rFonts w:ascii="Arial Black" w:hAnsi="Arial Black"/>
          <w:b/>
          <w:sz w:val="28"/>
          <w:szCs w:val="28"/>
        </w:rPr>
        <w:t xml:space="preserve">TX: SUICIDE ATT. – DORM FIRE – </w:t>
      </w:r>
      <w:r w:rsidR="00441F95">
        <w:rPr>
          <w:rFonts w:ascii="Arial Black" w:hAnsi="Arial Black"/>
          <w:b/>
          <w:sz w:val="28"/>
          <w:szCs w:val="28"/>
        </w:rPr>
        <w:t>AIR FORCE DISCHARGE</w:t>
      </w:r>
      <w:r>
        <w:rPr>
          <w:rFonts w:ascii="Arial Black" w:hAnsi="Arial Black"/>
          <w:b/>
          <w:sz w:val="28"/>
          <w:szCs w:val="28"/>
        </w:rPr>
        <w:t xml:space="preserve"> </w:t>
      </w:r>
    </w:p>
    <w:p w14:paraId="1DDEA12B" w14:textId="77777777" w:rsidR="008619DE" w:rsidRDefault="008619DE" w:rsidP="008619DE">
      <w:pPr>
        <w:pStyle w:val="NoSpacing"/>
        <w:rPr>
          <w:b/>
        </w:rPr>
      </w:pPr>
    </w:p>
    <w:p w14:paraId="00D9AB78" w14:textId="77777777" w:rsidR="008619DE" w:rsidRPr="008619DE" w:rsidRDefault="008619DE" w:rsidP="008619DE">
      <w:pPr>
        <w:pStyle w:val="NoSpacing"/>
        <w:rPr>
          <w:rFonts w:ascii="Times New Roman" w:hAnsi="Times New Roman"/>
          <w:bCs/>
          <w:sz w:val="24"/>
          <w:szCs w:val="24"/>
        </w:rPr>
      </w:pPr>
      <w:r w:rsidRPr="008619DE">
        <w:rPr>
          <w:rFonts w:ascii="Times New Roman" w:hAnsi="Times New Roman"/>
          <w:sz w:val="24"/>
          <w:szCs w:val="24"/>
        </w:rPr>
        <w:t xml:space="preserve">On Dec. 23, 2024, in </w:t>
      </w:r>
      <w:r w:rsidRPr="008619DE">
        <w:rPr>
          <w:rFonts w:ascii="Times New Roman" w:hAnsi="Times New Roman"/>
          <w:sz w:val="24"/>
          <w:szCs w:val="24"/>
          <w:u w:val="single"/>
        </w:rPr>
        <w:t>United States v. Randy B. Giles, Jr., Airman Basic (E-1), U.S. Air Force</w:t>
      </w:r>
      <w:r w:rsidRPr="008619DE">
        <w:rPr>
          <w:rFonts w:ascii="Times New Roman" w:hAnsi="Times New Roman"/>
          <w:sz w:val="24"/>
          <w:szCs w:val="24"/>
        </w:rPr>
        <w:t>, the United States Air Force Court of Criminal Appeals, held (3 to 0) that the bad-conduct discharge, confinement for 30 days, and forfeiture of $1,917.00 pay for one month was appropriate penalty, given the attempted suicide by starting a fire on Aug. 16, 2022 in his dormitory room at Sheppard Air Force Base (AFB), Wichita Falls, Texas.  Instructors had sent him to be evaluated by Air Force mental, which allowed him to return to his dorm. The Court wrote:</w:t>
      </w:r>
    </w:p>
    <w:p w14:paraId="3993BA97" w14:textId="77777777" w:rsidR="008619DE" w:rsidRPr="008619DE" w:rsidRDefault="008619DE" w:rsidP="008619DE">
      <w:pPr>
        <w:pStyle w:val="NoSpacing"/>
        <w:rPr>
          <w:rFonts w:ascii="Times New Roman" w:hAnsi="Times New Roman"/>
          <w:bCs/>
          <w:sz w:val="24"/>
          <w:szCs w:val="24"/>
        </w:rPr>
      </w:pPr>
    </w:p>
    <w:p w14:paraId="7369FBD5" w14:textId="77777777" w:rsidR="008619DE" w:rsidRPr="008619DE" w:rsidRDefault="008619DE" w:rsidP="008619DE">
      <w:pPr>
        <w:pStyle w:val="NoSpacing"/>
        <w:ind w:left="720"/>
        <w:rPr>
          <w:rFonts w:ascii="Times New Roman" w:hAnsi="Times New Roman"/>
          <w:b/>
          <w:sz w:val="24"/>
          <w:szCs w:val="24"/>
        </w:rPr>
      </w:pPr>
      <w:r w:rsidRPr="008619DE">
        <w:rPr>
          <w:rFonts w:ascii="Times New Roman" w:hAnsi="Times New Roman"/>
          <w:sz w:val="24"/>
          <w:szCs w:val="24"/>
        </w:rPr>
        <w:t xml:space="preserve">“We are not persuaded Appellant’s bad-conduct discharge is inappropriately severe. Contrary to Appellant’s argument, he was not prosecuted for attempting suicide; he was prosecuted for the serious offense of aggravated arson and related offenses, which created a risk to the health and safety to many of his fellow Airmen as well as himself. Appellant pleaded guilty to the charges, unconditionally admitting his criminal responsibility. Based on his guilty pleas, Appellant faced a maximum punishment that included a dishonorable discharge and confinement for 25 years, among other penalties. Through the  admitted evidence and Appellant’s unsworn statements, the court members were well-informed of the nature of his mental health problems and the progress of his inpatient treatment. The court members likely took these factors into account when they adjudged a relatively lenient sentence including only 30 days of confinement and one month of forfeitures—entirely nullified by the sentence credit the military judge awarded—in addition to the bad-conduct discharge. Having </w:t>
      </w:r>
      <w:proofErr w:type="gramStart"/>
      <w:r w:rsidRPr="008619DE">
        <w:rPr>
          <w:rFonts w:ascii="Times New Roman" w:hAnsi="Times New Roman"/>
          <w:sz w:val="24"/>
          <w:szCs w:val="24"/>
        </w:rPr>
        <w:t>given individualized consideration to</w:t>
      </w:r>
      <w:proofErr w:type="gramEnd"/>
      <w:r w:rsidRPr="008619DE">
        <w:rPr>
          <w:rFonts w:ascii="Times New Roman" w:hAnsi="Times New Roman"/>
          <w:sz w:val="24"/>
          <w:szCs w:val="24"/>
        </w:rPr>
        <w:t xml:space="preserve"> Appellant, the nature and seriousness of the offenses, Appellant’s record of service, and all other matters contained in the record of trial, we conclude Appellant’s sentence is not inappropriately severe.” </w:t>
      </w:r>
      <w:hyperlink r:id="rId2486" w:history="1">
        <w:r w:rsidRPr="008619DE">
          <w:rPr>
            <w:rStyle w:val="Hyperlink"/>
            <w:rFonts w:ascii="Times New Roman" w:hAnsi="Times New Roman"/>
            <w:b/>
            <w:sz w:val="24"/>
            <w:szCs w:val="24"/>
          </w:rPr>
          <w:t>https://afcca.law.af.mil/afcca_opinions/cp/giles_-_40482_u_2091447.pdf</w:t>
        </w:r>
      </w:hyperlink>
      <w:r w:rsidRPr="008619DE">
        <w:rPr>
          <w:rFonts w:ascii="Times New Roman" w:hAnsi="Times New Roman"/>
          <w:b/>
          <w:sz w:val="24"/>
          <w:szCs w:val="24"/>
        </w:rPr>
        <w:t xml:space="preserve"> </w:t>
      </w:r>
    </w:p>
    <w:p w14:paraId="43EF22E6" w14:textId="77777777" w:rsidR="008619DE" w:rsidRDefault="008619DE" w:rsidP="008619DE">
      <w:pPr>
        <w:pStyle w:val="NoSpacing"/>
        <w:ind w:left="720"/>
        <w:rPr>
          <w:bCs/>
        </w:rPr>
      </w:pPr>
      <w:r>
        <w:t xml:space="preserve"> </w:t>
      </w:r>
    </w:p>
    <w:p w14:paraId="4172A425" w14:textId="77777777" w:rsidR="009A3152" w:rsidRPr="00441F95" w:rsidRDefault="009A3152" w:rsidP="009A3152">
      <w:pPr>
        <w:pStyle w:val="NoSpacing"/>
        <w:rPr>
          <w:rFonts w:ascii="Times New Roman" w:hAnsi="Times New Roman"/>
          <w:bCs/>
          <w:sz w:val="24"/>
          <w:szCs w:val="24"/>
        </w:rPr>
      </w:pPr>
      <w:r w:rsidRPr="00441F95">
        <w:rPr>
          <w:rFonts w:ascii="Times New Roman" w:hAnsi="Times New Roman"/>
          <w:sz w:val="24"/>
          <w:szCs w:val="24"/>
        </w:rPr>
        <w:t xml:space="preserve">HOLDING:  </w:t>
      </w:r>
    </w:p>
    <w:p w14:paraId="660FE5A6" w14:textId="77777777" w:rsidR="009A3152" w:rsidRPr="00441F95" w:rsidRDefault="009A3152" w:rsidP="009A3152">
      <w:pPr>
        <w:pStyle w:val="NoSpacing"/>
        <w:rPr>
          <w:rFonts w:ascii="Times New Roman" w:hAnsi="Times New Roman"/>
          <w:bCs/>
          <w:sz w:val="24"/>
          <w:szCs w:val="24"/>
        </w:rPr>
      </w:pPr>
    </w:p>
    <w:p w14:paraId="0AE9F2B7" w14:textId="77777777" w:rsidR="009A3152" w:rsidRPr="00441F95" w:rsidRDefault="009A3152" w:rsidP="009A3152">
      <w:pPr>
        <w:pStyle w:val="NoSpacing"/>
        <w:ind w:left="720"/>
        <w:rPr>
          <w:rFonts w:ascii="Times New Roman" w:hAnsi="Times New Roman"/>
          <w:bCs/>
          <w:sz w:val="24"/>
          <w:szCs w:val="24"/>
        </w:rPr>
      </w:pPr>
      <w:r w:rsidRPr="00441F95">
        <w:rPr>
          <w:rFonts w:ascii="Times New Roman" w:hAnsi="Times New Roman"/>
          <w:sz w:val="24"/>
          <w:szCs w:val="24"/>
        </w:rPr>
        <w:t>“The findings as entered are correct in law, the sentence as entered is correct in law and fact, and no error materially prejudicial to the substantial rights of Appellant occurred. Articles 59(a) and 66(d), UCMJ, 10 U.S.C. §§ 859(a), 866(d). Accordingly, the findings and sentence are AFFIRMED.”</w:t>
      </w:r>
    </w:p>
    <w:p w14:paraId="4C110F0D" w14:textId="77777777" w:rsidR="009A3152" w:rsidRPr="00441F95" w:rsidRDefault="009A3152" w:rsidP="009A3152">
      <w:pPr>
        <w:pStyle w:val="NoSpacing"/>
        <w:ind w:left="720"/>
        <w:rPr>
          <w:rFonts w:ascii="Times New Roman" w:hAnsi="Times New Roman"/>
          <w:bCs/>
          <w:sz w:val="24"/>
          <w:szCs w:val="24"/>
        </w:rPr>
      </w:pPr>
    </w:p>
    <w:p w14:paraId="457B44E2" w14:textId="77777777" w:rsidR="009A3152" w:rsidRPr="00441F95" w:rsidRDefault="009A3152" w:rsidP="009A3152">
      <w:pPr>
        <w:pStyle w:val="NoSpacing"/>
        <w:rPr>
          <w:rFonts w:ascii="Times New Roman" w:hAnsi="Times New Roman"/>
          <w:b/>
          <w:sz w:val="24"/>
          <w:szCs w:val="24"/>
        </w:rPr>
      </w:pPr>
      <w:r w:rsidRPr="00441F95">
        <w:rPr>
          <w:rFonts w:ascii="Times New Roman" w:hAnsi="Times New Roman"/>
          <w:b/>
          <w:sz w:val="24"/>
          <w:szCs w:val="24"/>
        </w:rPr>
        <w:t xml:space="preserve">Legal Lesson Learned:  A fellow airman properly reported the arson threat to Instructors, who promptly referred him for mental evaluation.  It is unfortunate that the evaluation did not immediately lead to inpatient treatment. </w:t>
      </w:r>
    </w:p>
    <w:p w14:paraId="593B6C33" w14:textId="77777777" w:rsidR="00503691" w:rsidRPr="00441F95" w:rsidRDefault="00503691" w:rsidP="000C4DF5">
      <w:pPr>
        <w:pStyle w:val="NoSpacing"/>
        <w:rPr>
          <w:rFonts w:ascii="Times New Roman" w:hAnsi="Times New Roman"/>
          <w:sz w:val="24"/>
          <w:szCs w:val="24"/>
        </w:rPr>
      </w:pPr>
    </w:p>
    <w:p w14:paraId="0327D0AA" w14:textId="77777777" w:rsidR="00503691" w:rsidRDefault="00503691" w:rsidP="000C4DF5">
      <w:pPr>
        <w:pStyle w:val="NoSpacing"/>
        <w:rPr>
          <w:rFonts w:ascii="Arial Black" w:hAnsi="Arial Black"/>
          <w:sz w:val="24"/>
          <w:szCs w:val="24"/>
        </w:rPr>
      </w:pPr>
    </w:p>
    <w:p w14:paraId="57C0408D" w14:textId="77777777" w:rsidR="00955FF9" w:rsidRDefault="006547A0" w:rsidP="000C4DF5">
      <w:pPr>
        <w:pStyle w:val="NoSpacing"/>
        <w:rPr>
          <w:rFonts w:ascii="Arial Black" w:hAnsi="Arial Black"/>
          <w:sz w:val="24"/>
          <w:szCs w:val="24"/>
        </w:rPr>
      </w:pPr>
      <w:r>
        <w:rPr>
          <w:rFonts w:ascii="Arial Black" w:hAnsi="Arial Black"/>
          <w:sz w:val="24"/>
          <w:szCs w:val="24"/>
        </w:rPr>
        <w:t>15-34</w:t>
      </w:r>
      <w:r w:rsidR="00955FF9">
        <w:rPr>
          <w:rFonts w:ascii="Arial Black" w:hAnsi="Arial Black"/>
          <w:sz w:val="24"/>
          <w:szCs w:val="24"/>
        </w:rPr>
        <w:t xml:space="preserve">  </w:t>
      </w:r>
    </w:p>
    <w:p w14:paraId="1693C9B8" w14:textId="77777777" w:rsidR="00955FF9" w:rsidRDefault="00955FF9" w:rsidP="000C4DF5">
      <w:pPr>
        <w:pStyle w:val="NoSpacing"/>
        <w:rPr>
          <w:rFonts w:ascii="Arial Black" w:hAnsi="Arial Black"/>
          <w:sz w:val="24"/>
          <w:szCs w:val="24"/>
        </w:rPr>
      </w:pPr>
    </w:p>
    <w:p w14:paraId="01C62B28" w14:textId="342D26F5" w:rsidR="006547A0" w:rsidRDefault="008A552F" w:rsidP="000C4DF5">
      <w:pPr>
        <w:pStyle w:val="NoSpacing"/>
        <w:rPr>
          <w:rFonts w:ascii="Arial Black" w:hAnsi="Arial Black"/>
          <w:sz w:val="24"/>
          <w:szCs w:val="24"/>
        </w:rPr>
      </w:pPr>
      <w:r>
        <w:rPr>
          <w:rFonts w:ascii="Arial Black" w:hAnsi="Arial Black"/>
          <w:sz w:val="24"/>
          <w:szCs w:val="24"/>
        </w:rPr>
        <w:t xml:space="preserve">AR: </w:t>
      </w:r>
      <w:r w:rsidR="00955FF9">
        <w:rPr>
          <w:rFonts w:ascii="Arial Black" w:hAnsi="Arial Black"/>
          <w:sz w:val="24"/>
          <w:szCs w:val="24"/>
        </w:rPr>
        <w:t>FF DENIED WORKERS COMP – LACK PROOF PTSD CAUSED BY JOB</w:t>
      </w:r>
    </w:p>
    <w:p w14:paraId="59401C46" w14:textId="77777777" w:rsidR="006547A0" w:rsidRPr="005D4D24" w:rsidRDefault="006547A0" w:rsidP="000C4DF5">
      <w:pPr>
        <w:pStyle w:val="NoSpacing"/>
        <w:rPr>
          <w:rFonts w:ascii="Times New Roman" w:hAnsi="Times New Roman"/>
          <w:sz w:val="24"/>
          <w:szCs w:val="24"/>
        </w:rPr>
      </w:pPr>
    </w:p>
    <w:p w14:paraId="2BCEF997" w14:textId="671A12BA" w:rsidR="005D4D24" w:rsidRPr="005D4D24" w:rsidRDefault="005D4D24" w:rsidP="005D4D24">
      <w:pPr>
        <w:pStyle w:val="NoSpacing"/>
        <w:rPr>
          <w:rFonts w:ascii="Times New Roman" w:hAnsi="Times New Roman"/>
          <w:sz w:val="24"/>
          <w:szCs w:val="24"/>
        </w:rPr>
      </w:pPr>
      <w:r w:rsidRPr="005D4D24">
        <w:rPr>
          <w:rFonts w:ascii="Times New Roman" w:hAnsi="Times New Roman"/>
          <w:sz w:val="24"/>
          <w:szCs w:val="24"/>
        </w:rPr>
        <w:t xml:space="preserve">On September 26, 2024, in </w:t>
      </w:r>
      <w:r w:rsidRPr="005D4D24">
        <w:rPr>
          <w:rFonts w:ascii="Times New Roman" w:hAnsi="Times New Roman"/>
          <w:sz w:val="24"/>
          <w:szCs w:val="24"/>
          <w:u w:val="single"/>
        </w:rPr>
        <w:t>Jerald Franzmeier v. Industrial Commission of Arizona; City of Tolleson</w:t>
      </w:r>
      <w:r w:rsidRPr="005D4D24">
        <w:rPr>
          <w:rFonts w:ascii="Times New Roman" w:hAnsi="Times New Roman"/>
          <w:sz w:val="24"/>
          <w:szCs w:val="24"/>
        </w:rPr>
        <w:t xml:space="preserve">, the Court of Appeals of Arizona, First Division, held (3 to 0) that the firefighter was properly denied workers comp.  While fighting a fire in November 2021, Franzmeier experienced a “sudden alteration in [his] mental status” </w:t>
      </w:r>
      <w:r w:rsidRPr="005D4D24">
        <w:rPr>
          <w:rFonts w:ascii="Times New Roman" w:hAnsi="Times New Roman"/>
          <w:sz w:val="24"/>
          <w:szCs w:val="24"/>
        </w:rPr>
        <w:lastRenderedPageBreak/>
        <w:t xml:space="preserve">that left him confused and disorientated, and caused him to hallucinate; he was diagnosed by a psychiatrist with PTSD. In </w:t>
      </w:r>
      <w:proofErr w:type="gramStart"/>
      <w:r w:rsidRPr="005D4D24">
        <w:rPr>
          <w:rFonts w:ascii="Times New Roman" w:hAnsi="Times New Roman"/>
          <w:sz w:val="24"/>
          <w:szCs w:val="24"/>
        </w:rPr>
        <w:t>May</w:t>
      </w:r>
      <w:r w:rsidR="00955FF9">
        <w:rPr>
          <w:rFonts w:ascii="Times New Roman" w:hAnsi="Times New Roman"/>
          <w:sz w:val="24"/>
          <w:szCs w:val="24"/>
        </w:rPr>
        <w:t>,</w:t>
      </w:r>
      <w:proofErr w:type="gramEnd"/>
      <w:r w:rsidRPr="005D4D24">
        <w:rPr>
          <w:rFonts w:ascii="Times New Roman" w:hAnsi="Times New Roman"/>
          <w:sz w:val="24"/>
          <w:szCs w:val="24"/>
        </w:rPr>
        <w:t xml:space="preserve"> 2022 he filed a worker’s comp claim that alleged he got COVID from fellow firefighter on Aug. 21, 2020 [a week after he had flow to Maryland wearing mask and gloves on the plane] and that “long COVID” was the cause of his PTSD. The Court wrote: “However, Franzmeier offered no competent evidence showing, with a reasonable degree of medical probability, that his COVID-19 infection contributed to his mental injury.”  </w:t>
      </w:r>
      <w:hyperlink r:id="rId2487" w:history="1">
        <w:r w:rsidRPr="005D4D24">
          <w:rPr>
            <w:rStyle w:val="Hyperlink"/>
            <w:rFonts w:ascii="Times New Roman" w:hAnsi="Times New Roman"/>
            <w:sz w:val="24"/>
            <w:szCs w:val="24"/>
          </w:rPr>
          <w:t>https://cases.justia.com/arizona/court-of-appeals-division-one-unpublished/2024-1-ca-ic-23-0013.pdf?ts=1727375455</w:t>
        </w:r>
      </w:hyperlink>
    </w:p>
    <w:p w14:paraId="3E49EECC" w14:textId="77777777" w:rsidR="005D4D24" w:rsidRPr="005D4D24" w:rsidRDefault="005D4D24" w:rsidP="005D4D24">
      <w:pPr>
        <w:pStyle w:val="NoSpacing"/>
        <w:rPr>
          <w:rFonts w:ascii="Times New Roman" w:hAnsi="Times New Roman"/>
          <w:sz w:val="24"/>
          <w:szCs w:val="24"/>
        </w:rPr>
      </w:pPr>
    </w:p>
    <w:p w14:paraId="355AD2E4" w14:textId="77777777" w:rsidR="005D4D24" w:rsidRPr="005D4D24" w:rsidRDefault="005D4D24" w:rsidP="005D4D24">
      <w:pPr>
        <w:pStyle w:val="NoSpacing"/>
        <w:rPr>
          <w:rFonts w:ascii="Times New Roman" w:hAnsi="Times New Roman"/>
          <w:sz w:val="24"/>
          <w:szCs w:val="24"/>
        </w:rPr>
      </w:pPr>
      <w:r w:rsidRPr="005D4D24">
        <w:rPr>
          <w:rFonts w:ascii="Times New Roman" w:hAnsi="Times New Roman"/>
          <w:sz w:val="24"/>
          <w:szCs w:val="24"/>
        </w:rPr>
        <w:t>THE COURT HELD:</w:t>
      </w:r>
    </w:p>
    <w:p w14:paraId="785932F1" w14:textId="77777777" w:rsidR="005D4D24" w:rsidRPr="005D4D24" w:rsidRDefault="005D4D24" w:rsidP="005D4D24">
      <w:pPr>
        <w:pStyle w:val="NoSpacing"/>
        <w:rPr>
          <w:rFonts w:ascii="Times New Roman" w:hAnsi="Times New Roman"/>
          <w:sz w:val="24"/>
          <w:szCs w:val="24"/>
        </w:rPr>
      </w:pPr>
      <w:r w:rsidRPr="005D4D24">
        <w:rPr>
          <w:rFonts w:ascii="Times New Roman" w:hAnsi="Times New Roman"/>
          <w:sz w:val="24"/>
          <w:szCs w:val="24"/>
        </w:rPr>
        <w:t xml:space="preserve"> </w:t>
      </w:r>
    </w:p>
    <w:p w14:paraId="110437A6"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“Thus, Franzmeier needed to offer medical expert opinion evidence linking his mental injury to his employment, but he offered none. Instead, he testified to what his doctors told him, that there was ‘the possibility of a COVID claim,’ but his testimony made clear that these opinions were speculative. The Respondents presented the only competent medical evidence on causation through Dr. Lee, who opined that Franzmeier was probably infected during his cross-country trip.</w:t>
      </w:r>
    </w:p>
    <w:p w14:paraId="69D78497" w14:textId="77777777" w:rsidR="005D4D24" w:rsidRPr="005D4D24" w:rsidRDefault="005D4D24" w:rsidP="005D4D24">
      <w:pPr>
        <w:pStyle w:val="NoSpacing"/>
        <w:ind w:left="720"/>
        <w:rPr>
          <w:rFonts w:ascii="Times New Roman" w:hAnsi="Times New Roman"/>
          <w:sz w:val="24"/>
          <w:szCs w:val="24"/>
        </w:rPr>
      </w:pPr>
    </w:p>
    <w:p w14:paraId="0C0671EB"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w:t>
      </w:r>
    </w:p>
    <w:p w14:paraId="6E4D0EC6" w14:textId="77777777" w:rsidR="005D4D24" w:rsidRPr="005D4D24" w:rsidRDefault="005D4D24" w:rsidP="005D4D24">
      <w:pPr>
        <w:pStyle w:val="NoSpacing"/>
        <w:ind w:left="720"/>
        <w:rPr>
          <w:rFonts w:ascii="Times New Roman" w:hAnsi="Times New Roman"/>
          <w:sz w:val="24"/>
          <w:szCs w:val="24"/>
        </w:rPr>
      </w:pPr>
    </w:p>
    <w:p w14:paraId="1D3CA9EF"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Meanwhile, in preparation for the February 2023 hearing [before Worker’s Comp. Administrative Law Judge] , neurologist Dr. Leo Kahn performed an independent medical examination of Franzmeier at the Respondents’ request. Dr. Kahn physically examined Franzmeier and reviewed the available records, including medical records.</w:t>
      </w:r>
    </w:p>
    <w:p w14:paraId="3B4FEDCC"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Dr. Kahn acknowledged Franzmeier’s underlying psychological condition but concluded that no objective evidence supported Franzmeier’s claim that he sustained a neurological injury from contracting COVID-19 in 2020.”</w:t>
      </w:r>
    </w:p>
    <w:p w14:paraId="046278E4" w14:textId="77777777" w:rsidR="005D4D24" w:rsidRPr="005D4D24" w:rsidRDefault="005D4D24" w:rsidP="005D4D24">
      <w:pPr>
        <w:pStyle w:val="NoSpacing"/>
        <w:ind w:left="720"/>
        <w:rPr>
          <w:rFonts w:ascii="Times New Roman" w:hAnsi="Times New Roman"/>
          <w:sz w:val="24"/>
          <w:szCs w:val="24"/>
        </w:rPr>
      </w:pPr>
    </w:p>
    <w:p w14:paraId="50C464C5" w14:textId="77777777" w:rsidR="005D4D24" w:rsidRPr="005D4D24" w:rsidRDefault="005D4D24" w:rsidP="005D4D24">
      <w:pPr>
        <w:pStyle w:val="NoSpacing"/>
        <w:rPr>
          <w:rFonts w:ascii="Times New Roman" w:hAnsi="Times New Roman"/>
          <w:sz w:val="24"/>
          <w:szCs w:val="24"/>
        </w:rPr>
      </w:pPr>
      <w:r w:rsidRPr="005D4D24">
        <w:rPr>
          <w:rFonts w:ascii="Times New Roman" w:hAnsi="Times New Roman"/>
          <w:sz w:val="24"/>
          <w:szCs w:val="24"/>
        </w:rPr>
        <w:t>FACTS:</w:t>
      </w:r>
    </w:p>
    <w:p w14:paraId="195ABE46" w14:textId="77777777" w:rsidR="005D4D24" w:rsidRPr="005D4D24" w:rsidRDefault="005D4D24" w:rsidP="005D4D24">
      <w:pPr>
        <w:pStyle w:val="NoSpacing"/>
        <w:rPr>
          <w:rFonts w:ascii="Times New Roman" w:hAnsi="Times New Roman"/>
          <w:sz w:val="24"/>
          <w:szCs w:val="24"/>
        </w:rPr>
      </w:pPr>
    </w:p>
    <w:p w14:paraId="49423BB3"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“For nearly two decades, Franzmeier worked as a paramedic and firefighter for the City of Tolleson (‘City’). On August 18, 2020, he flew home to Arizona after visiting family in Maryland. The next day, he returned to work for a 48-hour shift, working closely with others at the fire station. On August 21, a co-worker tested positive for COVID-19. Five days later, Franzmeier tested positive. For the next ten days, Franzmeier quarantined at home before returning to work without incident. He experienced mild symptoms but never sought medical attention.</w:t>
      </w:r>
    </w:p>
    <w:p w14:paraId="0CF92BAE" w14:textId="77777777" w:rsidR="005D4D24" w:rsidRPr="005D4D24" w:rsidRDefault="005D4D24" w:rsidP="005D4D24">
      <w:pPr>
        <w:pStyle w:val="NoSpacing"/>
        <w:ind w:left="720"/>
        <w:rPr>
          <w:rFonts w:ascii="Times New Roman" w:hAnsi="Times New Roman"/>
          <w:sz w:val="24"/>
          <w:szCs w:val="24"/>
        </w:rPr>
      </w:pPr>
    </w:p>
    <w:p w14:paraId="4E0D6A08"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w:t>
      </w:r>
    </w:p>
    <w:p w14:paraId="73A99B1B" w14:textId="77777777" w:rsidR="005D4D24" w:rsidRPr="005D4D24" w:rsidRDefault="005D4D24" w:rsidP="005D4D24">
      <w:pPr>
        <w:pStyle w:val="NoSpacing"/>
        <w:rPr>
          <w:rFonts w:ascii="Times New Roman" w:hAnsi="Times New Roman"/>
          <w:sz w:val="24"/>
          <w:szCs w:val="24"/>
        </w:rPr>
      </w:pPr>
    </w:p>
    <w:p w14:paraId="4CB051B8"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 xml:space="preserve">More than a year later, while fighting a fire in November 2021, Franzmeier experienced a “sudden alteration in [his] mental status” that left him confused and disorientated, and caused him to hallucinate. He was taken off duty and evaluated by a psychiatrist, who diagnosed him with post-traumatic stress </w:t>
      </w:r>
      <w:proofErr w:type="gramStart"/>
      <w:r w:rsidRPr="005D4D24">
        <w:rPr>
          <w:rFonts w:ascii="Times New Roman" w:hAnsi="Times New Roman"/>
          <w:sz w:val="24"/>
          <w:szCs w:val="24"/>
        </w:rPr>
        <w:t>disorder (‘</w:t>
      </w:r>
      <w:proofErr w:type="gramEnd"/>
      <w:r w:rsidRPr="005D4D24">
        <w:rPr>
          <w:rFonts w:ascii="Times New Roman" w:hAnsi="Times New Roman"/>
          <w:sz w:val="24"/>
          <w:szCs w:val="24"/>
        </w:rPr>
        <w:t xml:space="preserve">PTSD’). Franzmeier believed his PTSD and other mental health symptoms resulted from ‘long COVID’ or </w:t>
      </w:r>
      <w:proofErr w:type="gramStart"/>
      <w:r w:rsidRPr="005D4D24">
        <w:rPr>
          <w:rFonts w:ascii="Times New Roman" w:hAnsi="Times New Roman"/>
          <w:sz w:val="24"/>
          <w:szCs w:val="24"/>
        </w:rPr>
        <w:t>a post-</w:t>
      </w:r>
      <w:proofErr w:type="gramEnd"/>
    </w:p>
    <w:p w14:paraId="233BE3E0"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COVID condition. He also believed he contracted the COVID-19 virus in August 2020 while at work and not during his earlier travels to and from Maryland.</w:t>
      </w:r>
    </w:p>
    <w:p w14:paraId="4BA1CEA8" w14:textId="77777777" w:rsidR="005D4D24" w:rsidRPr="005D4D24" w:rsidRDefault="005D4D24" w:rsidP="005D4D24">
      <w:pPr>
        <w:pStyle w:val="NoSpacing"/>
        <w:ind w:left="720"/>
        <w:rPr>
          <w:rFonts w:ascii="Times New Roman" w:hAnsi="Times New Roman"/>
          <w:sz w:val="24"/>
          <w:szCs w:val="24"/>
        </w:rPr>
      </w:pPr>
    </w:p>
    <w:p w14:paraId="1981EB69"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w:t>
      </w:r>
    </w:p>
    <w:p w14:paraId="2830CF99" w14:textId="77777777" w:rsidR="005D4D24" w:rsidRPr="005D4D24" w:rsidRDefault="005D4D24" w:rsidP="005D4D24">
      <w:pPr>
        <w:pStyle w:val="NoSpacing"/>
        <w:ind w:left="720"/>
        <w:rPr>
          <w:rFonts w:ascii="Times New Roman" w:hAnsi="Times New Roman"/>
          <w:sz w:val="24"/>
          <w:szCs w:val="24"/>
        </w:rPr>
      </w:pPr>
    </w:p>
    <w:p w14:paraId="7398D9C0"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The week before the scheduled hearing (Nov. 2022), Franzmeier’s wife checked him into an inpatient care facility for PTSD. Consequently, the ICA hearing was postponed to February 2023.</w:t>
      </w:r>
    </w:p>
    <w:p w14:paraId="49E68B4B" w14:textId="77777777" w:rsidR="005D4D24" w:rsidRPr="005D4D24" w:rsidRDefault="005D4D24" w:rsidP="005D4D24">
      <w:pPr>
        <w:pStyle w:val="NoSpacing"/>
        <w:ind w:left="720"/>
        <w:rPr>
          <w:rFonts w:ascii="Times New Roman" w:hAnsi="Times New Roman"/>
          <w:sz w:val="24"/>
          <w:szCs w:val="24"/>
        </w:rPr>
      </w:pPr>
    </w:p>
    <w:p w14:paraId="2C7A8F7E"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w:t>
      </w:r>
    </w:p>
    <w:p w14:paraId="74DFA70B"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lastRenderedPageBreak/>
        <w:t xml:space="preserve">Franzmeier represented himself and, outside of his own testimony, called no witnesses. When asked why he had not requested a medical expert to testify on his behalf, Franzmeier responded, ‘I believe that the -- </w:t>
      </w:r>
      <w:proofErr w:type="spellStart"/>
      <w:r w:rsidRPr="005D4D24">
        <w:rPr>
          <w:rFonts w:ascii="Times New Roman" w:hAnsi="Times New Roman"/>
          <w:sz w:val="24"/>
          <w:szCs w:val="24"/>
        </w:rPr>
        <w:t>the</w:t>
      </w:r>
      <w:proofErr w:type="spellEnd"/>
      <w:r w:rsidRPr="005D4D24">
        <w:rPr>
          <w:rFonts w:ascii="Times New Roman" w:hAnsi="Times New Roman"/>
          <w:sz w:val="24"/>
          <w:szCs w:val="24"/>
        </w:rPr>
        <w:t xml:space="preserve"> incident speaks for itself as -- </w:t>
      </w:r>
      <w:proofErr w:type="spellStart"/>
      <w:r w:rsidRPr="005D4D24">
        <w:rPr>
          <w:rFonts w:ascii="Times New Roman" w:hAnsi="Times New Roman"/>
          <w:sz w:val="24"/>
          <w:szCs w:val="24"/>
        </w:rPr>
        <w:t>as</w:t>
      </w:r>
      <w:proofErr w:type="spellEnd"/>
      <w:r w:rsidRPr="005D4D24">
        <w:rPr>
          <w:rFonts w:ascii="Times New Roman" w:hAnsi="Times New Roman"/>
          <w:sz w:val="24"/>
          <w:szCs w:val="24"/>
        </w:rPr>
        <w:t xml:space="preserve"> far as -- </w:t>
      </w:r>
      <w:proofErr w:type="spellStart"/>
      <w:r w:rsidRPr="005D4D24">
        <w:rPr>
          <w:rFonts w:ascii="Times New Roman" w:hAnsi="Times New Roman"/>
          <w:sz w:val="24"/>
          <w:szCs w:val="24"/>
        </w:rPr>
        <w:t>as</w:t>
      </w:r>
      <w:proofErr w:type="spellEnd"/>
      <w:r w:rsidRPr="005D4D24">
        <w:rPr>
          <w:rFonts w:ascii="Times New Roman" w:hAnsi="Times New Roman"/>
          <w:sz w:val="24"/>
          <w:szCs w:val="24"/>
        </w:rPr>
        <w:t xml:space="preserve"> mathematical possibilities.’ Franzmeier then testified that he believed he contracted the</w:t>
      </w:r>
    </w:p>
    <w:p w14:paraId="43183BC5" w14:textId="77777777" w:rsidR="005D4D24" w:rsidRPr="005D4D24" w:rsidRDefault="005D4D24" w:rsidP="005D4D24">
      <w:pPr>
        <w:pStyle w:val="NoSpacing"/>
        <w:ind w:left="720"/>
        <w:rPr>
          <w:rFonts w:ascii="Times New Roman" w:hAnsi="Times New Roman"/>
          <w:sz w:val="24"/>
          <w:szCs w:val="24"/>
        </w:rPr>
      </w:pPr>
      <w:r w:rsidRPr="005D4D24">
        <w:rPr>
          <w:rFonts w:ascii="Times New Roman" w:hAnsi="Times New Roman"/>
          <w:sz w:val="24"/>
          <w:szCs w:val="24"/>
        </w:rPr>
        <w:t>virus in August 2020 while at work, not while traveling to or from Maryland. In describing the injury he suffered, he recounted his PTSD symptoms and other cognitive events experienced in November 2021 and the months that followed. The ALJ asked Franzmeier whether he was asserting a claim that COVID-19 caused his mental health issues. Franzmeier testified that he had undergone an MRI that suggested ‘the possibility of a COVID claim because of COVID exposures,’ and further stated that the flashback he experienced in November 2021 ‘could be an exacerbation of COVID.’ But when the ALJ pressed whether any doctor had opined that COVID-19 caused his PTSD symptoms, Franzmeier admitted that none had. Franzmeier concluded his testimony by asserting that during the relevant ‘14-day incubation period,’ he had worked and slept for 304 hours (out of the 336 total hours), which he claimed established only a 10% probability that he became infected outside of work.”</w:t>
      </w:r>
    </w:p>
    <w:p w14:paraId="13B9C844" w14:textId="77777777" w:rsidR="005D4D24" w:rsidRPr="005D4D24" w:rsidRDefault="005D4D24" w:rsidP="005D4D24">
      <w:pPr>
        <w:pStyle w:val="NoSpacing"/>
        <w:ind w:left="720"/>
        <w:rPr>
          <w:rFonts w:ascii="Times New Roman" w:hAnsi="Times New Roman"/>
          <w:sz w:val="24"/>
          <w:szCs w:val="24"/>
        </w:rPr>
      </w:pPr>
    </w:p>
    <w:p w14:paraId="5944880E" w14:textId="77777777" w:rsidR="005D4D24" w:rsidRPr="005D4D24" w:rsidRDefault="005D4D24" w:rsidP="005D4D24">
      <w:pPr>
        <w:pStyle w:val="NoSpacing"/>
        <w:rPr>
          <w:rFonts w:ascii="Times New Roman" w:hAnsi="Times New Roman"/>
          <w:b/>
          <w:bCs/>
          <w:sz w:val="24"/>
          <w:szCs w:val="24"/>
        </w:rPr>
      </w:pPr>
      <w:r w:rsidRPr="005D4D24">
        <w:rPr>
          <w:rFonts w:ascii="Times New Roman" w:hAnsi="Times New Roman"/>
          <w:b/>
          <w:bCs/>
          <w:sz w:val="24"/>
          <w:szCs w:val="24"/>
        </w:rPr>
        <w:t>Legal Lesson Learned: The firefighter never offered any expert testimony or other proof that his PTSD was caused by exposure to COVID-19.</w:t>
      </w:r>
    </w:p>
    <w:p w14:paraId="36133904" w14:textId="77777777" w:rsidR="006547A0" w:rsidRDefault="006547A0" w:rsidP="000C4DF5">
      <w:pPr>
        <w:pStyle w:val="NoSpacing"/>
        <w:rPr>
          <w:rFonts w:ascii="Arial Black" w:hAnsi="Arial Black"/>
          <w:sz w:val="24"/>
          <w:szCs w:val="24"/>
        </w:rPr>
      </w:pPr>
    </w:p>
    <w:p w14:paraId="7E2A7071" w14:textId="77777777" w:rsidR="006547A0" w:rsidRDefault="006547A0" w:rsidP="000C4DF5">
      <w:pPr>
        <w:pStyle w:val="NoSpacing"/>
        <w:rPr>
          <w:rFonts w:ascii="Arial Black" w:hAnsi="Arial Black"/>
          <w:sz w:val="24"/>
          <w:szCs w:val="24"/>
        </w:rPr>
      </w:pPr>
    </w:p>
    <w:p w14:paraId="592AA11A" w14:textId="77777777" w:rsidR="006547A0" w:rsidRDefault="006547A0" w:rsidP="000C4DF5">
      <w:pPr>
        <w:pStyle w:val="NoSpacing"/>
        <w:rPr>
          <w:rFonts w:ascii="Arial Black" w:hAnsi="Arial Black"/>
          <w:sz w:val="24"/>
          <w:szCs w:val="24"/>
        </w:rPr>
      </w:pPr>
    </w:p>
    <w:p w14:paraId="2EFC7D46" w14:textId="3D2896B6" w:rsidR="003F2037" w:rsidRDefault="003F2037" w:rsidP="000C4DF5">
      <w:pPr>
        <w:pStyle w:val="NoSpacing"/>
        <w:rPr>
          <w:rFonts w:ascii="Arial Black" w:hAnsi="Arial Black"/>
          <w:sz w:val="24"/>
          <w:szCs w:val="24"/>
        </w:rPr>
      </w:pPr>
      <w:r>
        <w:rPr>
          <w:rFonts w:ascii="Arial Black" w:hAnsi="Arial Black"/>
          <w:sz w:val="24"/>
          <w:szCs w:val="24"/>
        </w:rPr>
        <w:t>15-33</w:t>
      </w:r>
    </w:p>
    <w:p w14:paraId="6498C0D0" w14:textId="4B45EBAE" w:rsidR="003F2037" w:rsidRPr="004A2F1A" w:rsidRDefault="003F2037" w:rsidP="003F2037">
      <w:pPr>
        <w:rPr>
          <w:rFonts w:ascii="Arial Black" w:hAnsi="Arial Black"/>
          <w:b/>
          <w:bCs/>
          <w:sz w:val="28"/>
        </w:rPr>
      </w:pPr>
      <w:r>
        <w:rPr>
          <w:rFonts w:ascii="Arial Black" w:hAnsi="Arial Black"/>
          <w:b/>
          <w:bCs/>
          <w:sz w:val="28"/>
        </w:rPr>
        <w:t xml:space="preserve">IL: FEMALE FF / MEDIC – PTSD AFTER FATHER’S DEATH – NO “LINE-OF-DUTY” PENSION – RECEIVES NON-DUTY PENSION </w:t>
      </w:r>
    </w:p>
    <w:p w14:paraId="5329C806" w14:textId="77777777" w:rsidR="003F2037" w:rsidRPr="006547A0" w:rsidRDefault="003F2037" w:rsidP="003F2037">
      <w:pPr>
        <w:pStyle w:val="NoSpacing"/>
        <w:rPr>
          <w:rFonts w:ascii="Times New Roman" w:hAnsi="Times New Roman"/>
          <w:sz w:val="24"/>
          <w:szCs w:val="24"/>
        </w:rPr>
      </w:pPr>
      <w:r w:rsidRPr="006547A0">
        <w:rPr>
          <w:rFonts w:ascii="Times New Roman" w:hAnsi="Times New Roman"/>
          <w:sz w:val="24"/>
          <w:szCs w:val="24"/>
        </w:rPr>
        <w:t xml:space="preserve">On September 25, 2024, in </w:t>
      </w:r>
      <w:r w:rsidRPr="006547A0">
        <w:rPr>
          <w:rFonts w:ascii="Times New Roman" w:hAnsi="Times New Roman"/>
          <w:sz w:val="24"/>
          <w:szCs w:val="24"/>
          <w:u w:val="single"/>
        </w:rPr>
        <w:t>Cheryl Mayer v. The Board of Trustees of the Calumet City Firefighters Pension</w:t>
      </w:r>
      <w:r w:rsidRPr="006547A0">
        <w:rPr>
          <w:rFonts w:ascii="Times New Roman" w:hAnsi="Times New Roman"/>
          <w:sz w:val="24"/>
          <w:szCs w:val="24"/>
        </w:rPr>
        <w:t>, the Court of Appeals of Illinois, First District, Third Division, held (3 to 0) that the Board correctly denied her a “line-of-duty” pension based on findings of four independent medical evaluators, and the fact that prior to her father’s death in April, 2020, she could handle difficult EMS and other runs, including 2015 (active shooter scene), 2018 (suicide</w:t>
      </w:r>
    </w:p>
    <w:p w14:paraId="04EB6D91" w14:textId="77777777" w:rsidR="003F2037" w:rsidRPr="006547A0" w:rsidRDefault="003F2037" w:rsidP="003F2037">
      <w:pPr>
        <w:pStyle w:val="NoSpacing"/>
        <w:rPr>
          <w:rFonts w:ascii="Times New Roman" w:hAnsi="Times New Roman"/>
          <w:sz w:val="24"/>
          <w:szCs w:val="24"/>
        </w:rPr>
      </w:pPr>
      <w:r w:rsidRPr="006547A0">
        <w:rPr>
          <w:rFonts w:ascii="Times New Roman" w:hAnsi="Times New Roman"/>
          <w:sz w:val="24"/>
          <w:szCs w:val="24"/>
        </w:rPr>
        <w:t xml:space="preserve">by hanging), and 2019 (suicide by self-inflicted gunshot wound).  The Court wrote: “Contrary to plaintiff’s contentions, the record reveals that the Board did not solely rely on the independent medical evaluators’ opinions as to the cause of her medical condition. The Board also relied on plaintiff’s own testimony, where she acknowledged that she did not abuse alcohol or suffer from depression or PTSD, until after her father’s death.” </w:t>
      </w:r>
      <w:hyperlink r:id="rId2488" w:history="1">
        <w:r w:rsidRPr="006547A0">
          <w:rPr>
            <w:rStyle w:val="Hyperlink"/>
            <w:rFonts w:ascii="Times New Roman" w:hAnsi="Times New Roman"/>
            <w:sz w:val="24"/>
            <w:szCs w:val="24"/>
          </w:rPr>
          <w:t>https://ilcourtsaudio.blob.core.windows.net/antilles-resources/resources/519d3cc5-abe9-4494-b624-73bca90ee228/Mayer%20v.%20%20Calumet%20Firefighters%20Pension%20Fund,%202024%20IL%20App%20(1st)%20232059-U.pdf</w:t>
        </w:r>
      </w:hyperlink>
      <w:r w:rsidRPr="006547A0">
        <w:rPr>
          <w:rFonts w:ascii="Times New Roman" w:hAnsi="Times New Roman"/>
          <w:sz w:val="24"/>
          <w:szCs w:val="24"/>
        </w:rPr>
        <w:t xml:space="preserve"> </w:t>
      </w:r>
    </w:p>
    <w:p w14:paraId="56D70FEB" w14:textId="77777777" w:rsidR="003F2037" w:rsidRPr="006547A0" w:rsidRDefault="003F2037" w:rsidP="003F2037">
      <w:pPr>
        <w:pStyle w:val="NoSpacing"/>
        <w:rPr>
          <w:rFonts w:ascii="Times New Roman" w:hAnsi="Times New Roman"/>
          <w:sz w:val="24"/>
          <w:szCs w:val="24"/>
        </w:rPr>
      </w:pPr>
    </w:p>
    <w:p w14:paraId="138A85B6" w14:textId="77777777" w:rsidR="003F2037" w:rsidRPr="006547A0" w:rsidRDefault="003F2037" w:rsidP="003F2037">
      <w:pPr>
        <w:pStyle w:val="NoSpacing"/>
        <w:rPr>
          <w:rFonts w:ascii="Times New Roman" w:hAnsi="Times New Roman"/>
          <w:sz w:val="24"/>
          <w:szCs w:val="24"/>
        </w:rPr>
      </w:pPr>
      <w:r w:rsidRPr="006547A0">
        <w:rPr>
          <w:rFonts w:ascii="Times New Roman" w:hAnsi="Times New Roman"/>
          <w:sz w:val="24"/>
          <w:szCs w:val="24"/>
        </w:rPr>
        <w:t>THE COURT HELD:</w:t>
      </w:r>
    </w:p>
    <w:p w14:paraId="44385AB4" w14:textId="77777777" w:rsidR="003F2037" w:rsidRPr="006547A0" w:rsidRDefault="003F2037" w:rsidP="003F2037">
      <w:pPr>
        <w:pStyle w:val="NoSpacing"/>
        <w:rPr>
          <w:rFonts w:ascii="Times New Roman" w:hAnsi="Times New Roman"/>
          <w:sz w:val="24"/>
          <w:szCs w:val="24"/>
        </w:rPr>
      </w:pPr>
    </w:p>
    <w:p w14:paraId="40FC7F16" w14:textId="77777777" w:rsidR="003F2037" w:rsidRPr="006547A0" w:rsidRDefault="003F2037" w:rsidP="003F2037">
      <w:pPr>
        <w:pStyle w:val="NoSpacing"/>
        <w:rPr>
          <w:rFonts w:ascii="Times New Roman" w:hAnsi="Times New Roman"/>
          <w:sz w:val="24"/>
          <w:szCs w:val="24"/>
        </w:rPr>
      </w:pPr>
      <w:r w:rsidRPr="006547A0">
        <w:rPr>
          <w:rFonts w:ascii="Times New Roman" w:hAnsi="Times New Roman"/>
          <w:sz w:val="24"/>
          <w:szCs w:val="24"/>
        </w:rPr>
        <w:tab/>
        <w:t>“To be entitled to a line-of-duty disability pension, a claimant is required to establish a</w:t>
      </w:r>
    </w:p>
    <w:p w14:paraId="31A444B6" w14:textId="77777777" w:rsidR="003F2037" w:rsidRPr="006547A0" w:rsidRDefault="003F2037" w:rsidP="003F2037">
      <w:pPr>
        <w:pStyle w:val="NoSpacing"/>
        <w:ind w:firstLine="720"/>
        <w:rPr>
          <w:rFonts w:ascii="Times New Roman" w:hAnsi="Times New Roman"/>
          <w:sz w:val="24"/>
          <w:szCs w:val="24"/>
        </w:rPr>
      </w:pPr>
      <w:r w:rsidRPr="006547A0">
        <w:rPr>
          <w:rFonts w:ascii="Times New Roman" w:hAnsi="Times New Roman"/>
          <w:sz w:val="24"/>
          <w:szCs w:val="24"/>
        </w:rPr>
        <w:t>causal connection between the claimant’s disability and an act of duty.</w:t>
      </w:r>
    </w:p>
    <w:p w14:paraId="05ECCC2B" w14:textId="77777777" w:rsidR="003F2037" w:rsidRPr="006547A0" w:rsidRDefault="003F2037" w:rsidP="003F2037">
      <w:pPr>
        <w:pStyle w:val="NoSpacing"/>
        <w:ind w:firstLine="720"/>
        <w:rPr>
          <w:rFonts w:ascii="Times New Roman" w:hAnsi="Times New Roman"/>
          <w:sz w:val="24"/>
          <w:szCs w:val="24"/>
        </w:rPr>
      </w:pPr>
    </w:p>
    <w:p w14:paraId="68613D20" w14:textId="77777777" w:rsidR="003F2037" w:rsidRPr="006547A0" w:rsidRDefault="003F2037" w:rsidP="003F2037">
      <w:pPr>
        <w:pStyle w:val="NoSpacing"/>
        <w:ind w:firstLine="720"/>
        <w:rPr>
          <w:rFonts w:ascii="Times New Roman" w:hAnsi="Times New Roman"/>
          <w:sz w:val="24"/>
          <w:szCs w:val="24"/>
        </w:rPr>
      </w:pPr>
      <w:r w:rsidRPr="006547A0">
        <w:rPr>
          <w:rFonts w:ascii="Times New Roman" w:hAnsi="Times New Roman"/>
          <w:sz w:val="24"/>
          <w:szCs w:val="24"/>
        </w:rPr>
        <w:t>***</w:t>
      </w:r>
    </w:p>
    <w:p w14:paraId="7572D49B"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Here, the independent medical evaluators all agreed that plaintiff suffered from preexisting mental and emotional issues that contributed to her disability, namely, depression, anxiety disorder, and PTSD. The issue is whether plaintiff’s preexisting conditions were aggravated by her duties as a firefighter/paramedic, thereby establishing a causal connection between her disability and service as a firefighter/paramedic.</w:t>
      </w:r>
    </w:p>
    <w:p w14:paraId="5153324C" w14:textId="77777777" w:rsidR="003F2037" w:rsidRPr="006547A0" w:rsidRDefault="003F2037" w:rsidP="003F2037">
      <w:pPr>
        <w:pStyle w:val="NoSpacing"/>
        <w:ind w:left="720"/>
        <w:rPr>
          <w:rFonts w:ascii="Times New Roman" w:hAnsi="Times New Roman"/>
          <w:sz w:val="24"/>
          <w:szCs w:val="24"/>
        </w:rPr>
      </w:pPr>
    </w:p>
    <w:p w14:paraId="7FBD6E57"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w:t>
      </w:r>
    </w:p>
    <w:p w14:paraId="213EEC8E" w14:textId="77777777" w:rsidR="003F2037" w:rsidRPr="006547A0" w:rsidRDefault="003F2037" w:rsidP="003F2037">
      <w:pPr>
        <w:pStyle w:val="NoSpacing"/>
        <w:rPr>
          <w:rFonts w:ascii="Times New Roman" w:hAnsi="Times New Roman"/>
          <w:sz w:val="24"/>
          <w:szCs w:val="24"/>
        </w:rPr>
      </w:pPr>
    </w:p>
    <w:p w14:paraId="0605BB43" w14:textId="77777777" w:rsidR="003F2037" w:rsidRPr="006547A0" w:rsidRDefault="003F2037" w:rsidP="003F2037">
      <w:pPr>
        <w:pStyle w:val="NoSpacing"/>
        <w:ind w:firstLine="720"/>
        <w:rPr>
          <w:rFonts w:ascii="Times New Roman" w:hAnsi="Times New Roman"/>
          <w:sz w:val="24"/>
          <w:szCs w:val="24"/>
        </w:rPr>
      </w:pPr>
      <w:r w:rsidRPr="006547A0">
        <w:rPr>
          <w:rFonts w:ascii="Times New Roman" w:hAnsi="Times New Roman"/>
          <w:sz w:val="24"/>
          <w:szCs w:val="24"/>
        </w:rPr>
        <w:t>Contrary to plaintiff’s contentions, the record reveals that the Board did not solely rely on</w:t>
      </w:r>
    </w:p>
    <w:p w14:paraId="24EDAB3E"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the independent medical evaluators’ opinions as to the cause of her medical condition. The Board also relied on plaintiff’s own testimony, where she acknowledged that she did not abuse alcohol or suffer from depression or PTSD, until after her father’s death. The documentary evidence and testimony presented at the administrative hearing gave rise to a factual issue concerning whether plaintiff’s preexisting conditions were aggravated by her duties as a firefighter/paramedic.</w:t>
      </w:r>
    </w:p>
    <w:p w14:paraId="4CCF4250" w14:textId="77777777" w:rsidR="003F2037" w:rsidRPr="006547A0" w:rsidRDefault="003F2037" w:rsidP="003F2037">
      <w:pPr>
        <w:pStyle w:val="NoSpacing"/>
        <w:ind w:left="720"/>
        <w:rPr>
          <w:rFonts w:ascii="Times New Roman" w:hAnsi="Times New Roman"/>
          <w:sz w:val="24"/>
          <w:szCs w:val="24"/>
        </w:rPr>
      </w:pPr>
    </w:p>
    <w:p w14:paraId="462FDA44"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w:t>
      </w:r>
    </w:p>
    <w:p w14:paraId="34D54F6D"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The Board made a factual finding that plaintiff failed to meet her burden of establishing a</w:t>
      </w:r>
    </w:p>
    <w:p w14:paraId="7654D193"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 xml:space="preserve">causal connection between her preexisting conditions and her duties as a firefighter/paramedic. </w:t>
      </w:r>
      <w:proofErr w:type="gramStart"/>
      <w:r w:rsidRPr="006547A0">
        <w:rPr>
          <w:rFonts w:ascii="Times New Roman" w:hAnsi="Times New Roman"/>
          <w:sz w:val="24"/>
          <w:szCs w:val="24"/>
        </w:rPr>
        <w:t>In light of</w:t>
      </w:r>
      <w:proofErr w:type="gramEnd"/>
      <w:r w:rsidRPr="006547A0">
        <w:rPr>
          <w:rFonts w:ascii="Times New Roman" w:hAnsi="Times New Roman"/>
          <w:sz w:val="24"/>
          <w:szCs w:val="24"/>
        </w:rPr>
        <w:t xml:space="preserve"> the record before us, and the deference we must afford to a board’s credibility determinations and factual findings, we cannot say that the Board’s finding that plaintiff failed to meet her burden of proof was against the manifest weight of the evidence. We find that the Board’s </w:t>
      </w:r>
      <w:proofErr w:type="gramStart"/>
      <w:r w:rsidRPr="006547A0">
        <w:rPr>
          <w:rFonts w:ascii="Times New Roman" w:hAnsi="Times New Roman"/>
          <w:sz w:val="24"/>
          <w:szCs w:val="24"/>
        </w:rPr>
        <w:t>finding was</w:t>
      </w:r>
      <w:proofErr w:type="gramEnd"/>
      <w:r w:rsidRPr="006547A0">
        <w:rPr>
          <w:rFonts w:ascii="Times New Roman" w:hAnsi="Times New Roman"/>
          <w:sz w:val="24"/>
          <w:szCs w:val="24"/>
        </w:rPr>
        <w:t xml:space="preserve"> supported by competent </w:t>
      </w:r>
      <w:proofErr w:type="gramStart"/>
      <w:r w:rsidRPr="006547A0">
        <w:rPr>
          <w:rFonts w:ascii="Times New Roman" w:hAnsi="Times New Roman"/>
          <w:sz w:val="24"/>
          <w:szCs w:val="24"/>
        </w:rPr>
        <w:t>evidence.”</w:t>
      </w:r>
      <w:proofErr w:type="gramEnd"/>
    </w:p>
    <w:p w14:paraId="2EF8F176" w14:textId="77777777" w:rsidR="003F2037" w:rsidRPr="006547A0" w:rsidRDefault="003F2037" w:rsidP="003F2037">
      <w:pPr>
        <w:pStyle w:val="NoSpacing"/>
        <w:ind w:left="720"/>
        <w:rPr>
          <w:rFonts w:ascii="Times New Roman" w:hAnsi="Times New Roman"/>
          <w:sz w:val="24"/>
          <w:szCs w:val="24"/>
        </w:rPr>
      </w:pPr>
    </w:p>
    <w:p w14:paraId="1F53F57D" w14:textId="77777777" w:rsidR="003F2037" w:rsidRPr="006547A0" w:rsidRDefault="003F2037" w:rsidP="003F2037">
      <w:pPr>
        <w:pStyle w:val="NoSpacing"/>
        <w:rPr>
          <w:rFonts w:ascii="Times New Roman" w:hAnsi="Times New Roman"/>
          <w:sz w:val="24"/>
          <w:szCs w:val="24"/>
        </w:rPr>
      </w:pPr>
      <w:r w:rsidRPr="006547A0">
        <w:rPr>
          <w:rFonts w:ascii="Times New Roman" w:hAnsi="Times New Roman"/>
          <w:sz w:val="24"/>
          <w:szCs w:val="24"/>
        </w:rPr>
        <w:t>FACTS:</w:t>
      </w:r>
    </w:p>
    <w:p w14:paraId="72FD8A08" w14:textId="77777777" w:rsidR="003F2037" w:rsidRPr="006547A0" w:rsidRDefault="003F2037" w:rsidP="003F2037">
      <w:pPr>
        <w:pStyle w:val="NoSpacing"/>
        <w:rPr>
          <w:rFonts w:ascii="Times New Roman" w:hAnsi="Times New Roman"/>
          <w:sz w:val="24"/>
          <w:szCs w:val="24"/>
        </w:rPr>
      </w:pPr>
    </w:p>
    <w:p w14:paraId="03A55C02" w14:textId="77777777" w:rsidR="003F2037" w:rsidRPr="006547A0" w:rsidRDefault="003F2037" w:rsidP="003F2037">
      <w:pPr>
        <w:pStyle w:val="NoSpacing"/>
        <w:ind w:firstLine="720"/>
        <w:rPr>
          <w:rFonts w:ascii="Times New Roman" w:hAnsi="Times New Roman"/>
          <w:sz w:val="24"/>
          <w:szCs w:val="24"/>
        </w:rPr>
      </w:pPr>
      <w:r w:rsidRPr="006547A0">
        <w:rPr>
          <w:rFonts w:ascii="Times New Roman" w:hAnsi="Times New Roman"/>
          <w:sz w:val="24"/>
          <w:szCs w:val="24"/>
        </w:rPr>
        <w:t>“Plaintiff was 46 years old at the time of the hearing and the married mother of two sons,</w:t>
      </w:r>
    </w:p>
    <w:p w14:paraId="79C75904" w14:textId="77777777" w:rsidR="003F2037" w:rsidRPr="006547A0" w:rsidRDefault="003F2037" w:rsidP="003F2037">
      <w:pPr>
        <w:pStyle w:val="NoSpacing"/>
        <w:ind w:left="720"/>
        <w:rPr>
          <w:rFonts w:ascii="Times New Roman" w:hAnsi="Times New Roman"/>
          <w:sz w:val="24"/>
          <w:szCs w:val="24"/>
        </w:rPr>
      </w:pPr>
      <w:proofErr w:type="gramStart"/>
      <w:r w:rsidRPr="006547A0">
        <w:rPr>
          <w:rFonts w:ascii="Times New Roman" w:hAnsi="Times New Roman"/>
          <w:sz w:val="24"/>
          <w:szCs w:val="24"/>
        </w:rPr>
        <w:t>both over</w:t>
      </w:r>
      <w:proofErr w:type="gramEnd"/>
      <w:r w:rsidRPr="006547A0">
        <w:rPr>
          <w:rFonts w:ascii="Times New Roman" w:hAnsi="Times New Roman"/>
          <w:sz w:val="24"/>
          <w:szCs w:val="24"/>
        </w:rPr>
        <w:t xml:space="preserve"> twenty-one years of age. Plaintiff’s background included instances of domestic conflict between her mother and father; the murder of her older brother when she was nine years old; sexual molestation by a neighbor’s teenaged son when she was ten and eleven years old; and verbal and physical abuse by her mother, until she left home at eighteen. In 1998, plaintiff was successfully treated with Zoloft for post-partum depression after the birth of her second son.</w:t>
      </w:r>
    </w:p>
    <w:p w14:paraId="6FAEF9AB" w14:textId="77777777" w:rsidR="003F2037" w:rsidRPr="006547A0" w:rsidRDefault="003F2037" w:rsidP="003F2037">
      <w:pPr>
        <w:pStyle w:val="NoSpacing"/>
        <w:rPr>
          <w:rFonts w:ascii="Times New Roman" w:hAnsi="Times New Roman"/>
          <w:sz w:val="24"/>
          <w:szCs w:val="24"/>
        </w:rPr>
      </w:pPr>
    </w:p>
    <w:p w14:paraId="26AD01D8" w14:textId="77777777" w:rsidR="003F2037" w:rsidRPr="006547A0" w:rsidRDefault="003F2037" w:rsidP="003F2037">
      <w:pPr>
        <w:pStyle w:val="NoSpacing"/>
        <w:rPr>
          <w:rFonts w:ascii="Times New Roman" w:hAnsi="Times New Roman"/>
          <w:sz w:val="24"/>
          <w:szCs w:val="24"/>
        </w:rPr>
      </w:pPr>
      <w:r w:rsidRPr="006547A0">
        <w:rPr>
          <w:rFonts w:ascii="Times New Roman" w:hAnsi="Times New Roman"/>
          <w:sz w:val="24"/>
          <w:szCs w:val="24"/>
        </w:rPr>
        <w:tab/>
        <w:t>***</w:t>
      </w:r>
    </w:p>
    <w:p w14:paraId="562C8486" w14:textId="77777777" w:rsidR="003F2037" w:rsidRPr="006547A0" w:rsidRDefault="003F2037" w:rsidP="003F2037">
      <w:pPr>
        <w:pStyle w:val="NoSpacing"/>
        <w:rPr>
          <w:rFonts w:ascii="Times New Roman" w:hAnsi="Times New Roman"/>
          <w:sz w:val="24"/>
          <w:szCs w:val="24"/>
        </w:rPr>
      </w:pPr>
    </w:p>
    <w:p w14:paraId="04E4E658"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Plaintiff joined the Calumet Fire Department as a firefighter/paramedic on March 1, 2009. Before she was hired, plaintiff underwent and passed physical and psychological examinations. She was neither diagnosed with nor receiving treatment for any psychiatric conditions.</w:t>
      </w:r>
    </w:p>
    <w:p w14:paraId="5C657364" w14:textId="77777777" w:rsidR="003F2037" w:rsidRPr="006547A0" w:rsidRDefault="003F2037" w:rsidP="003F2037">
      <w:pPr>
        <w:pStyle w:val="NoSpacing"/>
        <w:ind w:left="720"/>
        <w:rPr>
          <w:rFonts w:ascii="Times New Roman" w:hAnsi="Times New Roman"/>
          <w:sz w:val="24"/>
          <w:szCs w:val="24"/>
        </w:rPr>
      </w:pPr>
    </w:p>
    <w:p w14:paraId="3B08B0B9"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w:t>
      </w:r>
    </w:p>
    <w:p w14:paraId="57708A8A" w14:textId="77777777" w:rsidR="003F2037" w:rsidRPr="006547A0" w:rsidRDefault="003F2037" w:rsidP="003F2037">
      <w:pPr>
        <w:pStyle w:val="NoSpacing"/>
        <w:rPr>
          <w:rFonts w:ascii="Times New Roman" w:hAnsi="Times New Roman"/>
          <w:sz w:val="24"/>
          <w:szCs w:val="24"/>
        </w:rPr>
      </w:pPr>
    </w:p>
    <w:p w14:paraId="137FA81A" w14:textId="77777777" w:rsidR="003F2037" w:rsidRPr="006547A0" w:rsidRDefault="003F2037" w:rsidP="003F2037">
      <w:pPr>
        <w:pStyle w:val="NoSpacing"/>
        <w:ind w:firstLine="720"/>
        <w:rPr>
          <w:rFonts w:ascii="Times New Roman" w:hAnsi="Times New Roman"/>
          <w:sz w:val="24"/>
          <w:szCs w:val="24"/>
        </w:rPr>
      </w:pPr>
      <w:r w:rsidRPr="006547A0">
        <w:rPr>
          <w:rFonts w:ascii="Times New Roman" w:hAnsi="Times New Roman"/>
          <w:sz w:val="24"/>
          <w:szCs w:val="24"/>
        </w:rPr>
        <w:t>In July 2020, plaintiff began receiving psychological counseling from Dr. Katie Johnson,</w:t>
      </w:r>
    </w:p>
    <w:p w14:paraId="2360AA5D"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 xml:space="preserve">a licensed clinical professional counselor. On August 14, 2020, plaintiff reported to Johnson that she had suicidal ideations and had posted to Facebook that she put a firearm </w:t>
      </w:r>
      <w:proofErr w:type="gramStart"/>
      <w:r w:rsidRPr="006547A0">
        <w:rPr>
          <w:rFonts w:ascii="Times New Roman" w:hAnsi="Times New Roman"/>
          <w:sz w:val="24"/>
          <w:szCs w:val="24"/>
        </w:rPr>
        <w:t>to</w:t>
      </w:r>
      <w:proofErr w:type="gramEnd"/>
      <w:r w:rsidRPr="006547A0">
        <w:rPr>
          <w:rFonts w:ascii="Times New Roman" w:hAnsi="Times New Roman"/>
          <w:sz w:val="24"/>
          <w:szCs w:val="24"/>
        </w:rPr>
        <w:t xml:space="preserve"> her head and contemplated committing suicide. Plaintiff was eventually referred to Dr. Kelsey Oster, for a neuropsychological evaluation. She was admitted into a 28-day inpatient substance-abuse program at Advanced Recovery Systems in Orlando, Florida. Plaintiff testified that the program helped her stop drinking. After her discharge from the program, plaintiff continued working full duty without restrictions. At the time of the hearing, plaintiff was still seeing Dr. Johnson ‘every week to two weeks.’</w:t>
      </w:r>
    </w:p>
    <w:p w14:paraId="4E747F1C" w14:textId="77777777" w:rsidR="003F2037" w:rsidRPr="006547A0" w:rsidRDefault="003F2037" w:rsidP="003F2037">
      <w:pPr>
        <w:pStyle w:val="NoSpacing"/>
        <w:ind w:left="720"/>
        <w:rPr>
          <w:rFonts w:ascii="Times New Roman" w:hAnsi="Times New Roman"/>
          <w:sz w:val="24"/>
          <w:szCs w:val="24"/>
        </w:rPr>
      </w:pPr>
    </w:p>
    <w:p w14:paraId="663D4064"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w:t>
      </w:r>
    </w:p>
    <w:p w14:paraId="56DC39C2" w14:textId="77777777" w:rsidR="003F2037" w:rsidRPr="006547A0" w:rsidRDefault="003F2037" w:rsidP="003F2037">
      <w:pPr>
        <w:pStyle w:val="NoSpacing"/>
        <w:rPr>
          <w:rFonts w:ascii="Times New Roman" w:hAnsi="Times New Roman"/>
          <w:sz w:val="24"/>
          <w:szCs w:val="24"/>
        </w:rPr>
      </w:pPr>
    </w:p>
    <w:p w14:paraId="59A0A3DD" w14:textId="77777777" w:rsidR="003F2037" w:rsidRPr="006547A0" w:rsidRDefault="003F2037" w:rsidP="003F2037">
      <w:pPr>
        <w:pStyle w:val="NoSpacing"/>
        <w:ind w:firstLine="720"/>
        <w:rPr>
          <w:rFonts w:ascii="Times New Roman" w:hAnsi="Times New Roman"/>
          <w:sz w:val="24"/>
          <w:szCs w:val="24"/>
        </w:rPr>
      </w:pPr>
      <w:r w:rsidRPr="006547A0">
        <w:rPr>
          <w:rFonts w:ascii="Times New Roman" w:hAnsi="Times New Roman"/>
          <w:sz w:val="24"/>
          <w:szCs w:val="24"/>
        </w:rPr>
        <w:t>On February 12, 2021, plaintiff responded to a call involving a man in full cardiac arrest.</w:t>
      </w:r>
    </w:p>
    <w:p w14:paraId="02BB2DB4"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As plaintiff was attempting resuscitation efforts, a female family member, who did not have a ‘do-not-resuscitate’ order or a power of attorney, started yelling not to touch him. When plaintiff’s supervisor instructed emergency personnel to honor the woman’s wishes, plaintiff became upset and asked why they were not following the pandemic protocols. Plaintiff left the house and began complaining and swearing to a nearby police officer. Plaintiff returned to the station, but did not finish her shift, claiming she was sick and needed to go home. That was the last day plaintiff worked in a full and unrestricted capacity as a firefighter/paramedic for the Calumet Fire Department.”</w:t>
      </w:r>
    </w:p>
    <w:p w14:paraId="61D512C1" w14:textId="77777777" w:rsidR="003F2037" w:rsidRPr="006547A0" w:rsidRDefault="003F2037" w:rsidP="003F2037">
      <w:pPr>
        <w:pStyle w:val="NoSpacing"/>
        <w:ind w:left="720"/>
        <w:rPr>
          <w:rFonts w:ascii="Times New Roman" w:hAnsi="Times New Roman"/>
          <w:sz w:val="24"/>
          <w:szCs w:val="24"/>
        </w:rPr>
      </w:pPr>
    </w:p>
    <w:p w14:paraId="463D5114" w14:textId="77777777" w:rsidR="003F2037" w:rsidRPr="006547A0" w:rsidRDefault="003F2037" w:rsidP="003F2037">
      <w:pPr>
        <w:pStyle w:val="NoSpacing"/>
        <w:rPr>
          <w:rFonts w:ascii="Times New Roman" w:hAnsi="Times New Roman"/>
          <w:b/>
          <w:bCs/>
          <w:sz w:val="24"/>
          <w:szCs w:val="24"/>
        </w:rPr>
      </w:pPr>
      <w:r w:rsidRPr="006547A0">
        <w:rPr>
          <w:rFonts w:ascii="Times New Roman" w:hAnsi="Times New Roman"/>
          <w:b/>
          <w:bCs/>
          <w:sz w:val="24"/>
          <w:szCs w:val="24"/>
        </w:rPr>
        <w:t xml:space="preserve">Legal Lesson Learned: The Board’s independent medical experts found that she could perform her duties as firefighter / medic, despite her anxiety and depression, until death of her father.   </w:t>
      </w:r>
    </w:p>
    <w:p w14:paraId="395C4A60" w14:textId="77777777" w:rsidR="003F2037" w:rsidRPr="006547A0" w:rsidRDefault="003F2037" w:rsidP="003F2037">
      <w:pPr>
        <w:pStyle w:val="NoSpacing"/>
        <w:rPr>
          <w:rFonts w:ascii="Times New Roman" w:hAnsi="Times New Roman"/>
          <w:sz w:val="24"/>
          <w:szCs w:val="24"/>
        </w:rPr>
      </w:pPr>
    </w:p>
    <w:p w14:paraId="249E241C"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 xml:space="preserve">Note:  Dr. </w:t>
      </w:r>
      <w:proofErr w:type="spellStart"/>
      <w:r w:rsidRPr="006547A0">
        <w:rPr>
          <w:rFonts w:ascii="Times New Roman" w:hAnsi="Times New Roman"/>
          <w:sz w:val="24"/>
          <w:szCs w:val="24"/>
        </w:rPr>
        <w:t>Ganellen</w:t>
      </w:r>
      <w:proofErr w:type="spellEnd"/>
      <w:r w:rsidRPr="006547A0">
        <w:rPr>
          <w:rFonts w:ascii="Times New Roman" w:hAnsi="Times New Roman"/>
          <w:sz w:val="24"/>
          <w:szCs w:val="24"/>
        </w:rPr>
        <w:t xml:space="preserve"> noted that plaintiff’s medical records revealed she was being treated for anxiety and depression as early as 2018, but that these conditions “markedly” worsened after the death of her father in April 2020.</w:t>
      </w:r>
    </w:p>
    <w:p w14:paraId="61DC1AD7" w14:textId="77777777" w:rsidR="003F2037" w:rsidRPr="006547A0" w:rsidRDefault="003F2037" w:rsidP="003F2037">
      <w:pPr>
        <w:pStyle w:val="NoSpacing"/>
        <w:ind w:left="720"/>
        <w:rPr>
          <w:rFonts w:ascii="Times New Roman" w:hAnsi="Times New Roman"/>
          <w:sz w:val="24"/>
          <w:szCs w:val="24"/>
        </w:rPr>
      </w:pPr>
    </w:p>
    <w:p w14:paraId="53FE8DAF"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w:t>
      </w:r>
    </w:p>
    <w:p w14:paraId="678E5BC5" w14:textId="77777777" w:rsidR="003F2037" w:rsidRPr="006547A0" w:rsidRDefault="003F2037" w:rsidP="003F2037">
      <w:pPr>
        <w:pStyle w:val="NoSpacing"/>
        <w:rPr>
          <w:rFonts w:ascii="Times New Roman" w:hAnsi="Times New Roman"/>
          <w:sz w:val="24"/>
          <w:szCs w:val="24"/>
        </w:rPr>
      </w:pPr>
    </w:p>
    <w:p w14:paraId="5B6395AB" w14:textId="77777777" w:rsidR="003F2037" w:rsidRPr="006547A0" w:rsidRDefault="003F2037" w:rsidP="003F2037">
      <w:pPr>
        <w:pStyle w:val="NoSpacing"/>
        <w:ind w:left="720"/>
        <w:rPr>
          <w:rFonts w:ascii="Times New Roman" w:hAnsi="Times New Roman"/>
          <w:sz w:val="24"/>
          <w:szCs w:val="24"/>
        </w:rPr>
      </w:pPr>
      <w:r w:rsidRPr="006547A0">
        <w:rPr>
          <w:rFonts w:ascii="Times New Roman" w:hAnsi="Times New Roman"/>
          <w:sz w:val="24"/>
          <w:szCs w:val="24"/>
        </w:rPr>
        <w:t>Dr. Conroe noted that plaintiff exhibited symptoms of anxiety and depression prior to her father’s death, but that ‘they were moderate and did not interfere with her functioning at work.’ According to the doctor, the death of plaintiff’s father ‘lessened her stress tolerance and affected her ability to respond appropriately to similar subsequent emergencies.’ Dr. Conroe determined that work events ‘were not the cause of [plaintiff’s] disability, but rather her father’s death and the surrounding circumstances fueled her emotional reactions to these demanding situations.’”</w:t>
      </w:r>
    </w:p>
    <w:p w14:paraId="4D44D47E" w14:textId="77777777" w:rsidR="003F2037" w:rsidRDefault="003F2037" w:rsidP="000C4DF5">
      <w:pPr>
        <w:pStyle w:val="NoSpacing"/>
        <w:rPr>
          <w:rFonts w:ascii="Arial Black" w:hAnsi="Arial Black"/>
          <w:sz w:val="24"/>
          <w:szCs w:val="24"/>
        </w:rPr>
      </w:pPr>
    </w:p>
    <w:p w14:paraId="7725BE34" w14:textId="77777777" w:rsidR="003F2037" w:rsidRDefault="003F2037" w:rsidP="000C4DF5">
      <w:pPr>
        <w:pStyle w:val="NoSpacing"/>
        <w:rPr>
          <w:rFonts w:ascii="Arial Black" w:hAnsi="Arial Black"/>
          <w:sz w:val="24"/>
          <w:szCs w:val="24"/>
        </w:rPr>
      </w:pPr>
    </w:p>
    <w:p w14:paraId="329FE35D" w14:textId="77777777" w:rsidR="003F2037" w:rsidRDefault="003F2037" w:rsidP="000C4DF5">
      <w:pPr>
        <w:pStyle w:val="NoSpacing"/>
        <w:rPr>
          <w:rFonts w:ascii="Arial Black" w:hAnsi="Arial Black"/>
          <w:sz w:val="24"/>
          <w:szCs w:val="24"/>
        </w:rPr>
      </w:pPr>
    </w:p>
    <w:p w14:paraId="425F8798" w14:textId="7DFECA32" w:rsidR="00AB3777" w:rsidRDefault="00AB3777" w:rsidP="000C4DF5">
      <w:pPr>
        <w:pStyle w:val="NoSpacing"/>
        <w:rPr>
          <w:rFonts w:ascii="Arial Black" w:hAnsi="Arial Black"/>
          <w:sz w:val="24"/>
          <w:szCs w:val="24"/>
        </w:rPr>
      </w:pPr>
      <w:r>
        <w:rPr>
          <w:rFonts w:ascii="Arial Black" w:hAnsi="Arial Black"/>
          <w:sz w:val="24"/>
          <w:szCs w:val="24"/>
        </w:rPr>
        <w:t>15-32</w:t>
      </w:r>
    </w:p>
    <w:p w14:paraId="1B018D5B" w14:textId="77777777" w:rsidR="00AB3777" w:rsidRDefault="00AB3777" w:rsidP="000C4DF5">
      <w:pPr>
        <w:pStyle w:val="NoSpacing"/>
        <w:rPr>
          <w:rFonts w:ascii="Arial Black" w:hAnsi="Arial Black"/>
          <w:sz w:val="24"/>
          <w:szCs w:val="24"/>
        </w:rPr>
      </w:pPr>
    </w:p>
    <w:p w14:paraId="5676A8E1" w14:textId="78952469" w:rsidR="009622FF" w:rsidRPr="003066C5" w:rsidRDefault="009622FF" w:rsidP="009622FF">
      <w:pPr>
        <w:rPr>
          <w:rFonts w:ascii="Arial Black" w:hAnsi="Arial Black"/>
          <w:b/>
          <w:bCs/>
          <w:sz w:val="28"/>
          <w:szCs w:val="28"/>
        </w:rPr>
      </w:pPr>
      <w:r>
        <w:rPr>
          <w:rFonts w:ascii="Arial Black" w:hAnsi="Arial Black"/>
          <w:b/>
          <w:bCs/>
          <w:sz w:val="28"/>
          <w:szCs w:val="28"/>
        </w:rPr>
        <w:t>ME: DROWNING / PSYCH - FF SHOUTED: “GONNA KICK HIS ASS IF HE GETS OUT OF THAT WATER” – CASE DISMISSED</w:t>
      </w:r>
    </w:p>
    <w:p w14:paraId="2139B35B" w14:textId="77777777" w:rsidR="009622FF" w:rsidRDefault="009622FF" w:rsidP="009622FF">
      <w:pPr>
        <w:jc w:val="both"/>
        <w:rPr>
          <w:rFonts w:ascii="Times New Roman" w:hAnsi="Times New Roman"/>
          <w:sz w:val="24"/>
          <w:szCs w:val="24"/>
        </w:rPr>
      </w:pPr>
      <w:r>
        <w:rPr>
          <w:rFonts w:ascii="Times New Roman" w:hAnsi="Times New Roman"/>
          <w:sz w:val="24"/>
          <w:szCs w:val="24"/>
        </w:rPr>
        <w:t xml:space="preserve">On Aug. 1, 2024, in </w:t>
      </w:r>
      <w:r w:rsidRPr="002D27CC">
        <w:rPr>
          <w:rFonts w:ascii="Times New Roman" w:hAnsi="Times New Roman"/>
          <w:sz w:val="24"/>
          <w:szCs w:val="24"/>
          <w:u w:val="single"/>
        </w:rPr>
        <w:t>John Cohen v. City of Portland, et al.</w:t>
      </w:r>
      <w:r>
        <w:rPr>
          <w:rFonts w:ascii="Times New Roman" w:hAnsi="Times New Roman"/>
          <w:sz w:val="24"/>
          <w:szCs w:val="24"/>
        </w:rPr>
        <w:t>, the U.S. Court of Appeals for 1</w:t>
      </w:r>
      <w:r w:rsidRPr="002D27CC">
        <w:rPr>
          <w:rFonts w:ascii="Times New Roman" w:hAnsi="Times New Roman"/>
          <w:sz w:val="24"/>
          <w:szCs w:val="24"/>
          <w:vertAlign w:val="superscript"/>
        </w:rPr>
        <w:t>st</w:t>
      </w:r>
      <w:r>
        <w:rPr>
          <w:rFonts w:ascii="Times New Roman" w:hAnsi="Times New Roman"/>
          <w:sz w:val="24"/>
          <w:szCs w:val="24"/>
        </w:rPr>
        <w:t xml:space="preserve"> Circuit (Boston), held (3 to 0) that Federal District Court judge properly granted summary judgment to City, police officers and the firefighter who made the “kick ass” comments.  </w:t>
      </w:r>
      <w:proofErr w:type="spellStart"/>
      <w:r>
        <w:rPr>
          <w:rFonts w:ascii="Times New Roman" w:hAnsi="Times New Roman"/>
          <w:sz w:val="24"/>
          <w:szCs w:val="24"/>
        </w:rPr>
        <w:t>Regardling</w:t>
      </w:r>
      <w:proofErr w:type="spellEnd"/>
      <w:r>
        <w:rPr>
          <w:rFonts w:ascii="Times New Roman" w:hAnsi="Times New Roman"/>
          <w:sz w:val="24"/>
          <w:szCs w:val="24"/>
        </w:rPr>
        <w:t xml:space="preserve"> the claim against the firefighter, on appeal “</w:t>
      </w:r>
      <w:r w:rsidRPr="00A85C9C">
        <w:rPr>
          <w:rFonts w:ascii="Times New Roman" w:hAnsi="Times New Roman"/>
          <w:sz w:val="24"/>
          <w:szCs w:val="24"/>
        </w:rPr>
        <w:t xml:space="preserve">the estate simply asserts that Cohen was in shallow water, and therefore </w:t>
      </w:r>
      <w:r>
        <w:rPr>
          <w:rFonts w:ascii="Times New Roman" w:hAnsi="Times New Roman"/>
          <w:sz w:val="24"/>
          <w:szCs w:val="24"/>
        </w:rPr>
        <w:t>‘</w:t>
      </w:r>
      <w:r w:rsidRPr="00A85C9C">
        <w:rPr>
          <w:rFonts w:ascii="Times New Roman" w:hAnsi="Times New Roman"/>
          <w:sz w:val="24"/>
          <w:szCs w:val="24"/>
        </w:rPr>
        <w:t>may have been able to come out of the water</w:t>
      </w:r>
      <w:r>
        <w:rPr>
          <w:rFonts w:ascii="Times New Roman" w:hAnsi="Times New Roman"/>
          <w:sz w:val="24"/>
          <w:szCs w:val="24"/>
        </w:rPr>
        <w:t>’</w:t>
      </w:r>
      <w:r w:rsidRPr="00A85C9C">
        <w:rPr>
          <w:rFonts w:ascii="Times New Roman" w:hAnsi="Times New Roman"/>
          <w:sz w:val="24"/>
          <w:szCs w:val="24"/>
        </w:rPr>
        <w:t xml:space="preserve"> absent </w:t>
      </w:r>
      <w:r>
        <w:rPr>
          <w:rFonts w:ascii="Times New Roman" w:hAnsi="Times New Roman"/>
          <w:sz w:val="24"/>
          <w:szCs w:val="24"/>
        </w:rPr>
        <w:t xml:space="preserve">[firefighter Ronald] </w:t>
      </w:r>
      <w:r w:rsidRPr="00A85C9C">
        <w:rPr>
          <w:rFonts w:ascii="Times New Roman" w:hAnsi="Times New Roman"/>
          <w:sz w:val="24"/>
          <w:szCs w:val="24"/>
        </w:rPr>
        <w:t>Giroux's threat. Even if we assume that Cohen could have come out of the water in defiance of Giroux's bellowed threat, this assumption would not justify finding that (1) he would have done so, (2) he would have done so before the rescue boat arrived, or (3) doing so would have prevented his eventual death.</w:t>
      </w:r>
      <w:r>
        <w:rPr>
          <w:rFonts w:ascii="Times New Roman" w:hAnsi="Times New Roman"/>
          <w:sz w:val="24"/>
          <w:szCs w:val="24"/>
        </w:rPr>
        <w:t xml:space="preserve">” </w:t>
      </w:r>
      <w:hyperlink r:id="rId2489" w:history="1">
        <w:r w:rsidRPr="005A083B">
          <w:rPr>
            <w:rStyle w:val="Hyperlink"/>
            <w:rFonts w:ascii="Times New Roman" w:hAnsi="Times New Roman"/>
            <w:sz w:val="24"/>
            <w:szCs w:val="24"/>
          </w:rPr>
          <w:t>https://caselaw.findlaw.com/court/us-1st-circuit/116442772.html</w:t>
        </w:r>
      </w:hyperlink>
      <w:r>
        <w:rPr>
          <w:rFonts w:ascii="Times New Roman" w:hAnsi="Times New Roman"/>
          <w:sz w:val="24"/>
          <w:szCs w:val="24"/>
        </w:rPr>
        <w:t xml:space="preserve"> </w:t>
      </w:r>
    </w:p>
    <w:p w14:paraId="3DA267F3" w14:textId="77777777" w:rsidR="009622FF" w:rsidRDefault="009622FF" w:rsidP="009622FF">
      <w:pPr>
        <w:rPr>
          <w:rFonts w:ascii="Times New Roman" w:hAnsi="Times New Roman"/>
          <w:sz w:val="24"/>
          <w:szCs w:val="24"/>
        </w:rPr>
      </w:pPr>
      <w:r>
        <w:rPr>
          <w:rFonts w:ascii="Times New Roman" w:hAnsi="Times New Roman"/>
          <w:sz w:val="24"/>
          <w:szCs w:val="24"/>
        </w:rPr>
        <w:t>THE COURT HELD:</w:t>
      </w:r>
    </w:p>
    <w:p w14:paraId="1A7AB078" w14:textId="77777777" w:rsidR="009622FF" w:rsidRPr="0039533E" w:rsidRDefault="009622FF" w:rsidP="009622FF">
      <w:pPr>
        <w:ind w:left="720"/>
        <w:rPr>
          <w:rFonts w:ascii="Times New Roman" w:hAnsi="Times New Roman"/>
          <w:sz w:val="24"/>
          <w:szCs w:val="24"/>
        </w:rPr>
      </w:pPr>
      <w:r w:rsidRPr="0039533E">
        <w:rPr>
          <w:rFonts w:ascii="Times New Roman" w:hAnsi="Times New Roman"/>
          <w:sz w:val="24"/>
          <w:szCs w:val="24"/>
        </w:rPr>
        <w:t xml:space="preserve">“We first consider the state-created danger claim against Giroux. Giroux arrived at the Back Cove at 1:42 p.m. Cohen had already been in the water for around twenty minutes. Giroux did not know that Cohen was </w:t>
      </w:r>
      <w:proofErr w:type="gramStart"/>
      <w:r w:rsidRPr="0039533E">
        <w:rPr>
          <w:rFonts w:ascii="Times New Roman" w:hAnsi="Times New Roman"/>
          <w:sz w:val="24"/>
          <w:szCs w:val="24"/>
        </w:rPr>
        <w:t>in the midst of</w:t>
      </w:r>
      <w:proofErr w:type="gramEnd"/>
      <w:r w:rsidRPr="0039533E">
        <w:rPr>
          <w:rFonts w:ascii="Times New Roman" w:hAnsi="Times New Roman"/>
          <w:sz w:val="24"/>
          <w:szCs w:val="24"/>
        </w:rPr>
        <w:t xml:space="preserve"> a psychotic episode. He knew only that Cohen had assaulted his girlfriend before fleeing into the water. At 1:43 p.m., Giroux called out: “Tell him we're </w:t>
      </w:r>
      <w:proofErr w:type="spellStart"/>
      <w:r w:rsidRPr="0039533E">
        <w:rPr>
          <w:rFonts w:ascii="Times New Roman" w:hAnsi="Times New Roman"/>
          <w:sz w:val="24"/>
          <w:szCs w:val="24"/>
        </w:rPr>
        <w:t>gonna</w:t>
      </w:r>
      <w:proofErr w:type="spellEnd"/>
      <w:r w:rsidRPr="0039533E">
        <w:rPr>
          <w:rFonts w:ascii="Times New Roman" w:hAnsi="Times New Roman"/>
          <w:sz w:val="24"/>
          <w:szCs w:val="24"/>
        </w:rPr>
        <w:t xml:space="preserve"> kick his ass if he gets out of that water.” Giroux's only other involvement at the scene was to hand</w:t>
      </w:r>
      <w:r>
        <w:rPr>
          <w:rFonts w:ascii="Times New Roman" w:hAnsi="Times New Roman"/>
          <w:sz w:val="24"/>
          <w:szCs w:val="24"/>
        </w:rPr>
        <w:t xml:space="preserve"> [Police Sergeant Michael]</w:t>
      </w:r>
      <w:r w:rsidRPr="0039533E">
        <w:rPr>
          <w:rFonts w:ascii="Times New Roman" w:hAnsi="Times New Roman"/>
          <w:sz w:val="24"/>
          <w:szCs w:val="24"/>
        </w:rPr>
        <w:t xml:space="preserve"> Rand a life jacket for </w:t>
      </w:r>
      <w:r>
        <w:rPr>
          <w:rFonts w:ascii="Times New Roman" w:hAnsi="Times New Roman"/>
          <w:sz w:val="24"/>
          <w:szCs w:val="24"/>
        </w:rPr>
        <w:t xml:space="preserve">[police officer Blake] </w:t>
      </w:r>
      <w:r w:rsidRPr="0039533E">
        <w:rPr>
          <w:rFonts w:ascii="Times New Roman" w:hAnsi="Times New Roman"/>
          <w:sz w:val="24"/>
          <w:szCs w:val="24"/>
        </w:rPr>
        <w:t>Cunningham</w:t>
      </w:r>
      <w:r>
        <w:rPr>
          <w:rFonts w:ascii="Times New Roman" w:hAnsi="Times New Roman"/>
          <w:sz w:val="24"/>
          <w:szCs w:val="24"/>
        </w:rPr>
        <w:t xml:space="preserve"> [a former U.S. Coast Guard rescue swimmer]</w:t>
      </w:r>
      <w:r w:rsidRPr="00A1474A">
        <w:rPr>
          <w:rFonts w:ascii="Times New Roman" w:hAnsi="Times New Roman"/>
          <w:sz w:val="24"/>
          <w:szCs w:val="24"/>
        </w:rPr>
        <w:t>.</w:t>
      </w:r>
    </w:p>
    <w:p w14:paraId="6FD0A13D" w14:textId="77777777" w:rsidR="009622FF" w:rsidRDefault="009622FF" w:rsidP="009622FF">
      <w:pPr>
        <w:ind w:left="720"/>
        <w:rPr>
          <w:rFonts w:ascii="Times New Roman" w:hAnsi="Times New Roman"/>
          <w:sz w:val="24"/>
          <w:szCs w:val="24"/>
        </w:rPr>
      </w:pPr>
      <w:r>
        <w:rPr>
          <w:rFonts w:ascii="Times New Roman" w:hAnsi="Times New Roman"/>
          <w:sz w:val="24"/>
          <w:szCs w:val="24"/>
        </w:rPr>
        <w:t>***</w:t>
      </w:r>
    </w:p>
    <w:p w14:paraId="31C6A376" w14:textId="77777777" w:rsidR="009622FF" w:rsidRPr="0039533E" w:rsidRDefault="009622FF" w:rsidP="009622FF">
      <w:pPr>
        <w:ind w:left="720"/>
        <w:rPr>
          <w:rFonts w:ascii="Times New Roman" w:hAnsi="Times New Roman"/>
          <w:sz w:val="24"/>
          <w:szCs w:val="24"/>
        </w:rPr>
      </w:pPr>
      <w:r w:rsidRPr="0039533E">
        <w:rPr>
          <w:rFonts w:ascii="Times New Roman" w:hAnsi="Times New Roman"/>
          <w:sz w:val="24"/>
          <w:szCs w:val="24"/>
        </w:rPr>
        <w:t>Here, the district court found that no reasonable jury could conclude that Giroux's threat factually or legally caused Cohen's death. See Cohen ex rel. Est. of Cohen v. City of Portland, No. 2:21-CV-00267-</w:t>
      </w:r>
      <w:r w:rsidRPr="0039533E">
        <w:rPr>
          <w:rFonts w:ascii="Times New Roman" w:hAnsi="Times New Roman"/>
          <w:sz w:val="24"/>
          <w:szCs w:val="24"/>
        </w:rPr>
        <w:lastRenderedPageBreak/>
        <w:t>NT, 2023 WL 8187213, at *10 (D. Me. Nov. 27, 2023). Specifically, the court found that a jury could only find causation via a series of increasingly speculative inferences:</w:t>
      </w:r>
    </w:p>
    <w:p w14:paraId="2C79BAEA" w14:textId="77777777" w:rsidR="009622FF" w:rsidRDefault="009622FF" w:rsidP="009622FF">
      <w:pPr>
        <w:ind w:left="1440"/>
        <w:rPr>
          <w:rFonts w:ascii="Times New Roman" w:hAnsi="Times New Roman"/>
          <w:sz w:val="24"/>
          <w:szCs w:val="24"/>
        </w:rPr>
      </w:pPr>
      <w:r w:rsidRPr="0039533E">
        <w:rPr>
          <w:rFonts w:ascii="Times New Roman" w:hAnsi="Times New Roman"/>
          <w:sz w:val="24"/>
          <w:szCs w:val="24"/>
        </w:rPr>
        <w:t>[The jury] would have to find that Cohen could have made the deliberate choice to come to shore while in a state of alleged psychosis, would have been able to get himself to shore after having been in the cold water for twenty minutes already, could have done so faster than the rescue boat ultimately did, and would not have died of hypothermia or drowning if he had started for the shore at the time the comment was made.</w:t>
      </w:r>
      <w:r>
        <w:rPr>
          <w:rFonts w:ascii="Times New Roman" w:hAnsi="Times New Roman"/>
          <w:sz w:val="24"/>
          <w:szCs w:val="24"/>
        </w:rPr>
        <w:t>”</w:t>
      </w:r>
    </w:p>
    <w:p w14:paraId="0A43522F" w14:textId="77777777" w:rsidR="00713EF6" w:rsidRDefault="00713EF6" w:rsidP="00713EF6">
      <w:pPr>
        <w:rPr>
          <w:rFonts w:ascii="Times New Roman" w:hAnsi="Times New Roman"/>
          <w:b/>
          <w:bCs/>
          <w:sz w:val="24"/>
          <w:szCs w:val="24"/>
        </w:rPr>
      </w:pPr>
      <w:r w:rsidRPr="00CB3ACA">
        <w:rPr>
          <w:rFonts w:ascii="Times New Roman" w:hAnsi="Times New Roman"/>
          <w:b/>
          <w:bCs/>
          <w:sz w:val="24"/>
          <w:szCs w:val="24"/>
        </w:rPr>
        <w:t>Legal Lesson Learned: No liability</w:t>
      </w:r>
      <w:r>
        <w:rPr>
          <w:rFonts w:ascii="Times New Roman" w:hAnsi="Times New Roman"/>
          <w:b/>
          <w:bCs/>
          <w:sz w:val="24"/>
          <w:szCs w:val="24"/>
        </w:rPr>
        <w:t xml:space="preserve"> </w:t>
      </w:r>
      <w:r w:rsidRPr="00CB3ACA">
        <w:rPr>
          <w:rFonts w:ascii="Times New Roman" w:hAnsi="Times New Roman"/>
          <w:b/>
          <w:bCs/>
          <w:sz w:val="24"/>
          <w:szCs w:val="24"/>
        </w:rPr>
        <w:t>but avoid making threatening remarks at an emergency scene</w:t>
      </w:r>
      <w:r>
        <w:rPr>
          <w:rFonts w:ascii="Times New Roman" w:hAnsi="Times New Roman"/>
          <w:b/>
          <w:bCs/>
          <w:sz w:val="24"/>
          <w:szCs w:val="24"/>
        </w:rPr>
        <w:t xml:space="preserve">; particularly dealing with psycho patient. </w:t>
      </w:r>
      <w:r w:rsidRPr="00CB3ACA">
        <w:rPr>
          <w:rFonts w:ascii="Times New Roman" w:hAnsi="Times New Roman"/>
          <w:b/>
          <w:bCs/>
          <w:sz w:val="24"/>
          <w:szCs w:val="24"/>
        </w:rPr>
        <w:t xml:space="preserve"> </w:t>
      </w:r>
    </w:p>
    <w:p w14:paraId="53B49057" w14:textId="77777777" w:rsidR="00713EF6" w:rsidRDefault="00713EF6" w:rsidP="00713EF6">
      <w:pPr>
        <w:rPr>
          <w:rFonts w:ascii="Times New Roman" w:hAnsi="Times New Roman"/>
          <w:sz w:val="24"/>
          <w:szCs w:val="24"/>
        </w:rPr>
      </w:pPr>
      <w:r>
        <w:rPr>
          <w:rFonts w:ascii="Times New Roman" w:hAnsi="Times New Roman"/>
          <w:b/>
          <w:bCs/>
          <w:sz w:val="24"/>
          <w:szCs w:val="24"/>
        </w:rPr>
        <w:tab/>
      </w:r>
      <w:r w:rsidRPr="000B0B4D">
        <w:rPr>
          <w:rFonts w:ascii="Times New Roman" w:hAnsi="Times New Roman"/>
          <w:sz w:val="24"/>
          <w:szCs w:val="24"/>
        </w:rPr>
        <w:t xml:space="preserve">Note: Court remarked about </w:t>
      </w:r>
      <w:r>
        <w:rPr>
          <w:rFonts w:ascii="Times New Roman" w:hAnsi="Times New Roman"/>
          <w:sz w:val="24"/>
          <w:szCs w:val="24"/>
        </w:rPr>
        <w:t xml:space="preserve">Police Department’s rescue efforts </w:t>
      </w:r>
      <w:r w:rsidRPr="000B0B4D">
        <w:rPr>
          <w:rFonts w:ascii="Times New Roman" w:hAnsi="Times New Roman"/>
          <w:sz w:val="24"/>
          <w:szCs w:val="24"/>
        </w:rPr>
        <w:t xml:space="preserve">at the scene. </w:t>
      </w:r>
    </w:p>
    <w:p w14:paraId="51124D72" w14:textId="77777777" w:rsidR="00713EF6" w:rsidRPr="00A155F3" w:rsidRDefault="00713EF6" w:rsidP="00713EF6">
      <w:pPr>
        <w:ind w:left="1440"/>
        <w:rPr>
          <w:rFonts w:ascii="Times New Roman" w:hAnsi="Times New Roman"/>
          <w:sz w:val="24"/>
          <w:szCs w:val="24"/>
        </w:rPr>
      </w:pPr>
      <w:r>
        <w:rPr>
          <w:rFonts w:ascii="Times New Roman" w:hAnsi="Times New Roman"/>
          <w:sz w:val="24"/>
          <w:szCs w:val="24"/>
        </w:rPr>
        <w:t>“’</w:t>
      </w:r>
      <w:r w:rsidRPr="00F57035">
        <w:rPr>
          <w:rFonts w:ascii="Times New Roman" w:hAnsi="Times New Roman"/>
          <w:sz w:val="24"/>
          <w:szCs w:val="24"/>
        </w:rPr>
        <w:t>Protect and serve</w:t>
      </w:r>
      <w:r>
        <w:rPr>
          <w:rFonts w:ascii="Times New Roman" w:hAnsi="Times New Roman"/>
          <w:sz w:val="24"/>
          <w:szCs w:val="24"/>
        </w:rPr>
        <w:t>’</w:t>
      </w:r>
      <w:r w:rsidRPr="00F57035">
        <w:rPr>
          <w:rFonts w:ascii="Times New Roman" w:hAnsi="Times New Roman"/>
          <w:sz w:val="24"/>
          <w:szCs w:val="24"/>
        </w:rPr>
        <w:t xml:space="preserve"> is the motto of the Portland Police Department. Even acknowledging the challenge posed by Cohen's behavior, the efforts of the responding officers likely fell short of the aspirations behind that motto. </w:t>
      </w:r>
      <w:proofErr w:type="gramStart"/>
      <w:r w:rsidRPr="00F57035">
        <w:rPr>
          <w:rFonts w:ascii="Times New Roman" w:hAnsi="Times New Roman"/>
          <w:sz w:val="24"/>
          <w:szCs w:val="24"/>
        </w:rPr>
        <w:t>That being said, this</w:t>
      </w:r>
      <w:proofErr w:type="gramEnd"/>
      <w:r w:rsidRPr="00F57035">
        <w:rPr>
          <w:rFonts w:ascii="Times New Roman" w:hAnsi="Times New Roman"/>
          <w:sz w:val="24"/>
          <w:szCs w:val="24"/>
        </w:rPr>
        <w:t xml:space="preserve"> appeal turns on whether any defendant violated Cohen's constitutional rights. And for the foregoing reasons, the answer is clearly no. The district court's dismissal and summary judgment orders are therefore affirmed.</w:t>
      </w:r>
      <w:r>
        <w:rPr>
          <w:rFonts w:ascii="Times New Roman" w:hAnsi="Times New Roman"/>
          <w:sz w:val="24"/>
          <w:szCs w:val="24"/>
        </w:rPr>
        <w:t>”</w:t>
      </w:r>
    </w:p>
    <w:p w14:paraId="6B25D127" w14:textId="77777777" w:rsidR="00AB3777" w:rsidRDefault="00AB3777" w:rsidP="000C4DF5">
      <w:pPr>
        <w:pStyle w:val="NoSpacing"/>
        <w:rPr>
          <w:rFonts w:ascii="Arial Black" w:hAnsi="Arial Black"/>
          <w:sz w:val="24"/>
          <w:szCs w:val="24"/>
        </w:rPr>
      </w:pPr>
    </w:p>
    <w:p w14:paraId="1C0B9EB6" w14:textId="77777777" w:rsidR="00AB3777" w:rsidRDefault="00AB3777" w:rsidP="000C4DF5">
      <w:pPr>
        <w:pStyle w:val="NoSpacing"/>
        <w:rPr>
          <w:rFonts w:ascii="Arial Black" w:hAnsi="Arial Black"/>
          <w:sz w:val="24"/>
          <w:szCs w:val="24"/>
        </w:rPr>
      </w:pPr>
    </w:p>
    <w:p w14:paraId="38BA5786" w14:textId="65E1A1DE" w:rsidR="00C825BD" w:rsidRDefault="00C825BD" w:rsidP="000C4DF5">
      <w:pPr>
        <w:pStyle w:val="NoSpacing"/>
        <w:rPr>
          <w:rFonts w:ascii="Arial Black" w:hAnsi="Arial Black"/>
          <w:sz w:val="24"/>
          <w:szCs w:val="24"/>
        </w:rPr>
      </w:pPr>
      <w:r>
        <w:rPr>
          <w:rFonts w:ascii="Arial Black" w:hAnsi="Arial Black"/>
          <w:sz w:val="24"/>
          <w:szCs w:val="24"/>
        </w:rPr>
        <w:t>15-31</w:t>
      </w:r>
    </w:p>
    <w:p w14:paraId="1D93AEC6" w14:textId="77777777" w:rsidR="00AE4AE1" w:rsidRPr="009B0477" w:rsidRDefault="00AE4AE1" w:rsidP="00AE4AE1">
      <w:pPr>
        <w:pStyle w:val="NormalWeb"/>
        <w:rPr>
          <w:rFonts w:ascii="Arial Black" w:hAnsi="Arial Black"/>
          <w:sz w:val="28"/>
          <w:szCs w:val="28"/>
        </w:rPr>
      </w:pPr>
      <w:r>
        <w:rPr>
          <w:rFonts w:ascii="Arial Black" w:hAnsi="Arial Black"/>
          <w:sz w:val="28"/>
          <w:szCs w:val="28"/>
        </w:rPr>
        <w:t>WA: FF WITH PTSD IN 2010 – NO INJURY / NO WORKERS COMP – LAW CHANGED 2018 BUT LAW NOT RETROACTIVE</w:t>
      </w:r>
    </w:p>
    <w:p w14:paraId="45A4AEBB" w14:textId="77777777" w:rsidR="00AE4AE1" w:rsidRPr="00AE4AE1" w:rsidRDefault="00AE4AE1" w:rsidP="00AE4AE1">
      <w:pPr>
        <w:pStyle w:val="NormalWeb"/>
      </w:pPr>
      <w:r w:rsidRPr="00AE4AE1">
        <w:t xml:space="preserve">On May 2, 2024, in </w:t>
      </w:r>
      <w:r w:rsidRPr="00AE4AE1">
        <w:rPr>
          <w:u w:val="single"/>
        </w:rPr>
        <w:t>Frank Shaw v. Kittitas Valley Fire and Rescue, et al.</w:t>
      </w:r>
      <w:r w:rsidRPr="00AE4AE1">
        <w:t xml:space="preserve">, the Court of Appeals of Washington, Division 3, held (3 to 1; unpublished opinion), that the firefighter paramedic (1989 – 2007) was not entitled to workers’ compensation since he suffered no physical injury. On June 7, 2018, the laws in Washington changed, to allow for occupational disease claims resulting from PTSD for certain firefighters, in an amendment to the Industrial Insurance Act, Title 51 RCW. </w:t>
      </w:r>
      <w:r w:rsidRPr="00AE4AE1">
        <w:rPr>
          <w:rStyle w:val="Emphasis"/>
          <w:rFonts w:eastAsiaTheme="majorEastAsia"/>
        </w:rPr>
        <w:t>See</w:t>
      </w:r>
      <w:r w:rsidRPr="00AE4AE1">
        <w:t xml:space="preserve"> former RCW 51.08.142 (2018); Laws of 2018, ch. 264. The Court held:</w:t>
      </w:r>
    </w:p>
    <w:p w14:paraId="0D6D8B56" w14:textId="59D01CBD" w:rsidR="00C825BD" w:rsidRDefault="00AE4AE1" w:rsidP="00AE4AE1">
      <w:pPr>
        <w:pStyle w:val="NoSpacing"/>
        <w:ind w:left="720"/>
        <w:rPr>
          <w:rStyle w:val="Hyperlink"/>
          <w:rFonts w:ascii="Times New Roman" w:hAnsi="Times New Roman"/>
          <w:sz w:val="24"/>
          <w:szCs w:val="24"/>
        </w:rPr>
      </w:pPr>
      <w:r w:rsidRPr="00AE4AE1">
        <w:rPr>
          <w:rFonts w:ascii="Times New Roman" w:hAnsi="Times New Roman"/>
          <w:sz w:val="24"/>
          <w:szCs w:val="24"/>
        </w:rPr>
        <w:t xml:space="preserve">“Looking first to the retroactivity test, the legislature did not adopt any language explicitly providing for retroactivity. Mr. Shaw argues that the legislature's choice of various adjectives and verbs </w:t>
      </w:r>
      <w:proofErr w:type="gramStart"/>
      <w:r w:rsidRPr="00AE4AE1">
        <w:rPr>
          <w:rFonts w:ascii="Times New Roman" w:hAnsi="Times New Roman"/>
          <w:sz w:val="24"/>
          <w:szCs w:val="24"/>
        </w:rPr>
        <w:t>reveal</w:t>
      </w:r>
      <w:proofErr w:type="gramEnd"/>
      <w:r w:rsidRPr="00AE4AE1">
        <w:rPr>
          <w:rFonts w:ascii="Times New Roman" w:hAnsi="Times New Roman"/>
          <w:sz w:val="24"/>
          <w:szCs w:val="24"/>
        </w:rPr>
        <w:t xml:space="preserve"> retroactive intent. We reject this reasoning. An explicit choice as to retroactivity is not one that turns on analyzing subtle textual clues. The legislature </w:t>
      </w:r>
      <w:proofErr w:type="gramStart"/>
      <w:r w:rsidRPr="00AE4AE1">
        <w:rPr>
          <w:rFonts w:ascii="Times New Roman" w:hAnsi="Times New Roman"/>
          <w:sz w:val="24"/>
          <w:szCs w:val="24"/>
        </w:rPr>
        <w:t>is well aware that</w:t>
      </w:r>
      <w:proofErr w:type="gramEnd"/>
      <w:r w:rsidRPr="00AE4AE1">
        <w:rPr>
          <w:rFonts w:ascii="Times New Roman" w:hAnsi="Times New Roman"/>
          <w:sz w:val="24"/>
          <w:szCs w:val="24"/>
        </w:rPr>
        <w:t xml:space="preserve"> it must make an explicit declaration if it intends a statute to have retroactive effect. It is accustomed to passing statutes with clear and explicit statements as to retroactivity. </w:t>
      </w:r>
      <w:r w:rsidRPr="00AE4AE1">
        <w:rPr>
          <w:rStyle w:val="Emphasis"/>
          <w:rFonts w:ascii="Times New Roman" w:eastAsiaTheme="majorEastAsia" w:hAnsi="Times New Roman"/>
          <w:sz w:val="24"/>
          <w:szCs w:val="24"/>
        </w:rPr>
        <w:t>See, e.g.</w:t>
      </w:r>
      <w:r w:rsidRPr="00AE4AE1">
        <w:rPr>
          <w:rFonts w:ascii="Times New Roman" w:hAnsi="Times New Roman"/>
          <w:sz w:val="24"/>
          <w:szCs w:val="24"/>
        </w:rPr>
        <w:t xml:space="preserve">, RCW 51.32.187(5)(c); RCW 67.16.300; Laws of 2023, ch. 171 § 13; Laws of 2019, ch. 159 § 6; Laws of 2007, ch. 317, § 3. But no explicit statement was made here. Mr. Shaw's arguments to the contrary </w:t>
      </w:r>
      <w:proofErr w:type="gramStart"/>
      <w:r w:rsidRPr="00AE4AE1">
        <w:rPr>
          <w:rFonts w:ascii="Times New Roman" w:hAnsi="Times New Roman"/>
          <w:sz w:val="24"/>
          <w:szCs w:val="24"/>
        </w:rPr>
        <w:t>fail</w:t>
      </w:r>
      <w:proofErr w:type="gramEnd"/>
      <w:r w:rsidRPr="00AE4AE1">
        <w:rPr>
          <w:rFonts w:ascii="Times New Roman" w:hAnsi="Times New Roman"/>
          <w:sz w:val="24"/>
          <w:szCs w:val="24"/>
        </w:rPr>
        <w:t xml:space="preserve">.” </w:t>
      </w:r>
      <w:hyperlink r:id="rId2490" w:history="1">
        <w:r w:rsidRPr="00AE4AE1">
          <w:rPr>
            <w:rStyle w:val="Hyperlink"/>
            <w:rFonts w:ascii="Times New Roman" w:hAnsi="Times New Roman"/>
            <w:sz w:val="24"/>
            <w:szCs w:val="24"/>
          </w:rPr>
          <w:t>https://casetext.com/case/shaw-v-kittitas-valley-fire-rescue</w:t>
        </w:r>
      </w:hyperlink>
    </w:p>
    <w:p w14:paraId="2BAA0A7A" w14:textId="77777777" w:rsidR="000E1441" w:rsidRDefault="000E1441" w:rsidP="00AE4AE1">
      <w:pPr>
        <w:pStyle w:val="NoSpacing"/>
        <w:ind w:left="720"/>
        <w:rPr>
          <w:rStyle w:val="Hyperlink"/>
          <w:rFonts w:ascii="Times New Roman" w:hAnsi="Times New Roman"/>
          <w:sz w:val="24"/>
          <w:szCs w:val="24"/>
        </w:rPr>
      </w:pPr>
    </w:p>
    <w:p w14:paraId="518329DF" w14:textId="77777777" w:rsidR="000E1441" w:rsidRDefault="000E1441" w:rsidP="000E1441">
      <w:pPr>
        <w:pStyle w:val="NormalWeb"/>
        <w:rPr>
          <w:b/>
          <w:bCs/>
        </w:rPr>
      </w:pPr>
      <w:r w:rsidRPr="00551B71">
        <w:rPr>
          <w:b/>
          <w:bCs/>
        </w:rPr>
        <w:t>Legal Lesson Learned:</w:t>
      </w:r>
      <w:r>
        <w:rPr>
          <w:b/>
          <w:bCs/>
        </w:rPr>
        <w:t xml:space="preserve"> PTSD statute was not retroactive. </w:t>
      </w:r>
    </w:p>
    <w:p w14:paraId="2FEA4281" w14:textId="77777777" w:rsidR="000E1441" w:rsidRDefault="000E1441" w:rsidP="000E1441">
      <w:pPr>
        <w:pStyle w:val="NormalWeb"/>
        <w:ind w:left="720"/>
      </w:pPr>
      <w:r w:rsidRPr="00145389">
        <w:t>Note: See this law f</w:t>
      </w:r>
      <w:r>
        <w:t>i</w:t>
      </w:r>
      <w:r w:rsidRPr="00145389">
        <w:t xml:space="preserve">rm review of new WA law. </w:t>
      </w:r>
      <w:hyperlink r:id="rId2491" w:history="1">
        <w:r w:rsidRPr="00145389">
          <w:rPr>
            <w:rStyle w:val="Hyperlink"/>
          </w:rPr>
          <w:t>https://www.firstresponderptsdclaims.com/faq/</w:t>
        </w:r>
      </w:hyperlink>
      <w:r w:rsidRPr="00145389">
        <w:t xml:space="preserve"> </w:t>
      </w:r>
    </w:p>
    <w:p w14:paraId="49061752" w14:textId="77777777" w:rsidR="000E1441" w:rsidRDefault="000E1441" w:rsidP="000E1441">
      <w:pPr>
        <w:pStyle w:val="NormalWeb"/>
        <w:ind w:left="720"/>
      </w:pPr>
      <w:r>
        <w:lastRenderedPageBreak/>
        <w:t>“Eligible ‘</w:t>
      </w:r>
      <w:proofErr w:type="gramStart"/>
      <w:r>
        <w:t>firefighters’</w:t>
      </w:r>
      <w:proofErr w:type="gramEnd"/>
      <w:r>
        <w:t xml:space="preserve"> must meet at least one of the definitions set forth in </w:t>
      </w:r>
      <w:hyperlink r:id="rId2492" w:tgtFrame="_blank" w:history="1">
        <w:r>
          <w:rPr>
            <w:rStyle w:val="Hyperlink"/>
            <w:rFonts w:eastAsiaTheme="majorEastAsia"/>
          </w:rPr>
          <w:t>RCW 41.26.030(17)(a)(b)(c) and (h)</w:t>
        </w:r>
      </w:hyperlink>
      <w:r>
        <w:t>, which include:</w:t>
      </w:r>
    </w:p>
    <w:p w14:paraId="09B97112" w14:textId="77777777" w:rsidR="000E1441" w:rsidRPr="00A8246F" w:rsidRDefault="000E1441" w:rsidP="000E1441">
      <w:pPr>
        <w:numPr>
          <w:ilvl w:val="0"/>
          <w:numId w:val="21"/>
        </w:numPr>
        <w:spacing w:before="100" w:beforeAutospacing="1" w:after="100" w:afterAutospacing="1" w:line="240" w:lineRule="auto"/>
        <w:rPr>
          <w:rFonts w:ascii="Times New Roman" w:hAnsi="Times New Roman"/>
          <w:sz w:val="24"/>
          <w:szCs w:val="24"/>
        </w:rPr>
      </w:pPr>
      <w:r w:rsidRPr="00A8246F">
        <w:rPr>
          <w:rFonts w:ascii="Times New Roman" w:hAnsi="Times New Roman"/>
          <w:sz w:val="24"/>
          <w:szCs w:val="24"/>
        </w:rPr>
        <w:t>Any person who is serving on a full time, fully compensated basis as a member of a fire department of an employer and who is serving in a position which requires passing a civil service examination for firefighter, and who is actively employed as such;</w:t>
      </w:r>
    </w:p>
    <w:p w14:paraId="2A336F92" w14:textId="77777777" w:rsidR="000E1441" w:rsidRPr="00A8246F" w:rsidRDefault="000E1441" w:rsidP="000E1441">
      <w:pPr>
        <w:numPr>
          <w:ilvl w:val="0"/>
          <w:numId w:val="21"/>
        </w:numPr>
        <w:spacing w:before="100" w:beforeAutospacing="1" w:after="100" w:afterAutospacing="1" w:line="240" w:lineRule="auto"/>
        <w:rPr>
          <w:rFonts w:ascii="Times New Roman" w:hAnsi="Times New Roman"/>
          <w:sz w:val="24"/>
          <w:szCs w:val="24"/>
        </w:rPr>
      </w:pPr>
      <w:r w:rsidRPr="00A8246F">
        <w:rPr>
          <w:rFonts w:ascii="Times New Roman" w:hAnsi="Times New Roman"/>
          <w:sz w:val="24"/>
          <w:szCs w:val="24"/>
        </w:rPr>
        <w:t xml:space="preserve">Anyone who is actively employed as a </w:t>
      </w:r>
      <w:proofErr w:type="gramStart"/>
      <w:r w:rsidRPr="00A8246F">
        <w:rPr>
          <w:rFonts w:ascii="Times New Roman" w:hAnsi="Times New Roman"/>
          <w:sz w:val="24"/>
          <w:szCs w:val="24"/>
        </w:rPr>
        <w:t>full time</w:t>
      </w:r>
      <w:proofErr w:type="gramEnd"/>
      <w:r w:rsidRPr="00A8246F">
        <w:rPr>
          <w:rFonts w:ascii="Times New Roman" w:hAnsi="Times New Roman"/>
          <w:sz w:val="24"/>
          <w:szCs w:val="24"/>
        </w:rPr>
        <w:t xml:space="preserve"> firefighter where the fire department does not have a civil service examination;</w:t>
      </w:r>
    </w:p>
    <w:p w14:paraId="124BF814" w14:textId="77777777" w:rsidR="000E1441" w:rsidRPr="00A8246F" w:rsidRDefault="000E1441" w:rsidP="000E1441">
      <w:pPr>
        <w:numPr>
          <w:ilvl w:val="0"/>
          <w:numId w:val="21"/>
        </w:numPr>
        <w:spacing w:before="100" w:beforeAutospacing="1" w:after="100" w:afterAutospacing="1" w:line="240" w:lineRule="auto"/>
        <w:rPr>
          <w:rFonts w:ascii="Times New Roman" w:hAnsi="Times New Roman"/>
          <w:sz w:val="24"/>
          <w:szCs w:val="24"/>
        </w:rPr>
      </w:pPr>
      <w:r w:rsidRPr="00A8246F">
        <w:rPr>
          <w:rFonts w:ascii="Times New Roman" w:hAnsi="Times New Roman"/>
          <w:sz w:val="24"/>
          <w:szCs w:val="24"/>
        </w:rPr>
        <w:t>Supervisory firefighter personnel; and,</w:t>
      </w:r>
    </w:p>
    <w:p w14:paraId="0778C80C" w14:textId="77777777" w:rsidR="000E1441" w:rsidRPr="00A8246F" w:rsidRDefault="000E1441" w:rsidP="000E1441">
      <w:pPr>
        <w:numPr>
          <w:ilvl w:val="0"/>
          <w:numId w:val="21"/>
        </w:numPr>
        <w:spacing w:before="100" w:beforeAutospacing="1" w:after="100" w:afterAutospacing="1" w:line="240" w:lineRule="auto"/>
        <w:rPr>
          <w:rFonts w:ascii="Times New Roman" w:hAnsi="Times New Roman"/>
          <w:sz w:val="24"/>
          <w:szCs w:val="24"/>
        </w:rPr>
      </w:pPr>
      <w:r w:rsidRPr="00A8246F">
        <w:rPr>
          <w:rFonts w:ascii="Times New Roman" w:hAnsi="Times New Roman"/>
          <w:sz w:val="24"/>
          <w:szCs w:val="24"/>
        </w:rPr>
        <w:t xml:space="preserve">Any person who is employed on a full-time, fully compensated basis by an employer as an emergency medical technician that meets the requirements of </w:t>
      </w:r>
      <w:hyperlink r:id="rId2493" w:tgtFrame="_blank" w:history="1">
        <w:r w:rsidRPr="00A8246F">
          <w:rPr>
            <w:rStyle w:val="Hyperlink"/>
            <w:rFonts w:ascii="Times New Roman" w:hAnsi="Times New Roman"/>
            <w:sz w:val="24"/>
            <w:szCs w:val="24"/>
          </w:rPr>
          <w:t>RCW 18.71.200</w:t>
        </w:r>
      </w:hyperlink>
      <w:r w:rsidRPr="00A8246F">
        <w:rPr>
          <w:rFonts w:ascii="Times New Roman" w:hAnsi="Times New Roman"/>
          <w:sz w:val="24"/>
          <w:szCs w:val="24"/>
        </w:rPr>
        <w:t> or </w:t>
      </w:r>
      <w:hyperlink r:id="rId2494" w:tgtFrame="_blank" w:history="1">
        <w:r w:rsidRPr="00A8246F">
          <w:rPr>
            <w:rStyle w:val="Hyperlink"/>
            <w:rFonts w:ascii="Times New Roman" w:hAnsi="Times New Roman"/>
            <w:sz w:val="24"/>
            <w:szCs w:val="24"/>
          </w:rPr>
          <w:t>18.73.030(12)</w:t>
        </w:r>
      </w:hyperlink>
      <w:r w:rsidRPr="00A8246F">
        <w:rPr>
          <w:rFonts w:ascii="Times New Roman" w:hAnsi="Times New Roman"/>
          <w:sz w:val="24"/>
          <w:szCs w:val="24"/>
        </w:rPr>
        <w:t xml:space="preserve">, and whose duties include providing emergency medical services as defined in </w:t>
      </w:r>
      <w:hyperlink r:id="rId2495" w:tgtFrame="_blank" w:history="1">
        <w:r w:rsidRPr="00A8246F">
          <w:rPr>
            <w:rStyle w:val="Hyperlink"/>
            <w:rFonts w:ascii="Times New Roman" w:hAnsi="Times New Roman"/>
            <w:sz w:val="24"/>
            <w:szCs w:val="24"/>
          </w:rPr>
          <w:t>RCW 18.73.030</w:t>
        </w:r>
      </w:hyperlink>
      <w:r w:rsidRPr="00A8246F">
        <w:rPr>
          <w:rFonts w:ascii="Times New Roman" w:hAnsi="Times New Roman"/>
          <w:sz w:val="24"/>
          <w:szCs w:val="24"/>
        </w:rPr>
        <w:t>.</w:t>
      </w:r>
    </w:p>
    <w:p w14:paraId="3F9F315A" w14:textId="77777777" w:rsidR="000E1441" w:rsidRPr="00145389" w:rsidRDefault="000E1441" w:rsidP="000E1441">
      <w:pPr>
        <w:spacing w:before="100" w:beforeAutospacing="1" w:after="100" w:afterAutospacing="1" w:line="240" w:lineRule="auto"/>
        <w:ind w:left="720"/>
      </w:pPr>
      <w:r>
        <w:t>***</w:t>
      </w:r>
    </w:p>
    <w:p w14:paraId="59351DFD" w14:textId="77777777" w:rsidR="000E1441" w:rsidRPr="00551B71" w:rsidRDefault="000E1441" w:rsidP="000E1441">
      <w:pPr>
        <w:pStyle w:val="NormalWeb"/>
        <w:ind w:left="720"/>
        <w:rPr>
          <w:b/>
          <w:bCs/>
        </w:rPr>
      </w:pPr>
      <w:r>
        <w:t>Washington State is taking steps to help our firefighters, paramedics, and police officers suffering from PTSD due to their inherently stressful jobs. More work remains to be done as the new law does not apply to volunteer firefighters, reserve police officers or other professional first responders depending upon their membership in certain state retirement plans.”</w:t>
      </w:r>
    </w:p>
    <w:p w14:paraId="5B1BB888" w14:textId="77777777" w:rsidR="000E1441" w:rsidRPr="00AE4AE1" w:rsidRDefault="000E1441" w:rsidP="00AE4AE1">
      <w:pPr>
        <w:pStyle w:val="NoSpacing"/>
        <w:ind w:left="720"/>
        <w:rPr>
          <w:rFonts w:ascii="Times New Roman" w:hAnsi="Times New Roman"/>
          <w:sz w:val="24"/>
          <w:szCs w:val="24"/>
        </w:rPr>
      </w:pPr>
    </w:p>
    <w:p w14:paraId="6067544E" w14:textId="77777777" w:rsidR="00C825BD" w:rsidRDefault="00C825BD" w:rsidP="000C4DF5">
      <w:pPr>
        <w:pStyle w:val="NoSpacing"/>
        <w:rPr>
          <w:rFonts w:ascii="Arial Black" w:hAnsi="Arial Black"/>
          <w:sz w:val="24"/>
          <w:szCs w:val="24"/>
        </w:rPr>
      </w:pPr>
    </w:p>
    <w:p w14:paraId="21EAC371" w14:textId="5FBC932F" w:rsidR="00725A91" w:rsidRDefault="00725A91" w:rsidP="000C4DF5">
      <w:pPr>
        <w:pStyle w:val="NoSpacing"/>
        <w:rPr>
          <w:rFonts w:ascii="Arial Black" w:hAnsi="Arial Black"/>
          <w:sz w:val="24"/>
          <w:szCs w:val="24"/>
        </w:rPr>
      </w:pPr>
      <w:r>
        <w:rPr>
          <w:rFonts w:ascii="Arial Black" w:hAnsi="Arial Black"/>
          <w:sz w:val="24"/>
          <w:szCs w:val="24"/>
        </w:rPr>
        <w:t>15-30</w:t>
      </w:r>
    </w:p>
    <w:p w14:paraId="43EFE65C" w14:textId="77777777" w:rsidR="00725A91" w:rsidRDefault="00725A91" w:rsidP="00725A91">
      <w:pPr>
        <w:pStyle w:val="NormalWeb"/>
        <w:rPr>
          <w:rFonts w:ascii="Arial Black" w:hAnsi="Arial Black"/>
          <w:sz w:val="28"/>
          <w:szCs w:val="28"/>
        </w:rPr>
      </w:pPr>
      <w:r>
        <w:rPr>
          <w:rFonts w:ascii="Arial Black" w:hAnsi="Arial Black"/>
          <w:sz w:val="28"/>
          <w:szCs w:val="28"/>
        </w:rPr>
        <w:t>AR: PTSD – CAREER FF DISABILITY RETIREMENT – BUT STILL VOL. FF – NOT ELIGIBLE DUTY- RELATED DISABILITY</w:t>
      </w:r>
    </w:p>
    <w:p w14:paraId="656533CE" w14:textId="77777777" w:rsidR="00725A91" w:rsidRDefault="00725A91" w:rsidP="00725A91">
      <w:pPr>
        <w:pStyle w:val="NoSpacing"/>
        <w:rPr>
          <w:rFonts w:ascii="Times New Roman" w:hAnsi="Times New Roman"/>
          <w:sz w:val="24"/>
          <w:szCs w:val="24"/>
        </w:rPr>
      </w:pPr>
      <w:r w:rsidRPr="006C40B3">
        <w:rPr>
          <w:rFonts w:ascii="Times New Roman" w:hAnsi="Times New Roman"/>
          <w:sz w:val="24"/>
          <w:szCs w:val="24"/>
        </w:rPr>
        <w:t xml:space="preserve">On April 24, 2024, in </w:t>
      </w:r>
      <w:r w:rsidRPr="006C40B3">
        <w:rPr>
          <w:rFonts w:ascii="Times New Roman" w:hAnsi="Times New Roman"/>
          <w:sz w:val="24"/>
          <w:szCs w:val="24"/>
          <w:u w:val="single"/>
        </w:rPr>
        <w:t xml:space="preserve">Gregory Mills v. Arkansas Local Police </w:t>
      </w:r>
      <w:proofErr w:type="gramStart"/>
      <w:r w:rsidRPr="006C40B3">
        <w:rPr>
          <w:rFonts w:ascii="Times New Roman" w:hAnsi="Times New Roman"/>
          <w:sz w:val="24"/>
          <w:szCs w:val="24"/>
          <w:u w:val="single"/>
        </w:rPr>
        <w:t>And</w:t>
      </w:r>
      <w:proofErr w:type="gramEnd"/>
      <w:r w:rsidRPr="006C40B3">
        <w:rPr>
          <w:rFonts w:ascii="Times New Roman" w:hAnsi="Times New Roman"/>
          <w:sz w:val="24"/>
          <w:szCs w:val="24"/>
          <w:u w:val="single"/>
        </w:rPr>
        <w:t xml:space="preserve"> Fire Retirement System</w:t>
      </w:r>
      <w:r w:rsidRPr="006C40B3">
        <w:rPr>
          <w:rFonts w:ascii="Times New Roman" w:hAnsi="Times New Roman"/>
          <w:sz w:val="24"/>
          <w:szCs w:val="24"/>
        </w:rPr>
        <w:t xml:space="preserve">, the Arkansas Court of Appeals held (3 to 0) the retirement Board decision was supported by substantial evidence. </w:t>
      </w:r>
      <w:r>
        <w:rPr>
          <w:rFonts w:ascii="Times New Roman" w:hAnsi="Times New Roman"/>
          <w:sz w:val="24"/>
          <w:szCs w:val="24"/>
        </w:rPr>
        <w:t xml:space="preserve"> Oct. 2019 FD placed him on medical leave when informed by his doctor needed to avoid trauma events; terminated April 4, </w:t>
      </w:r>
      <w:proofErr w:type="gramStart"/>
      <w:r>
        <w:rPr>
          <w:rFonts w:ascii="Times New Roman" w:hAnsi="Times New Roman"/>
          <w:sz w:val="24"/>
          <w:szCs w:val="24"/>
        </w:rPr>
        <w:t>2020</w:t>
      </w:r>
      <w:proofErr w:type="gramEnd"/>
      <w:r>
        <w:rPr>
          <w:rFonts w:ascii="Times New Roman" w:hAnsi="Times New Roman"/>
          <w:sz w:val="24"/>
          <w:szCs w:val="24"/>
        </w:rPr>
        <w:t xml:space="preserve"> when he was </w:t>
      </w:r>
      <w:proofErr w:type="gramStart"/>
      <w:r>
        <w:rPr>
          <w:rFonts w:ascii="Times New Roman" w:hAnsi="Times New Roman"/>
          <w:sz w:val="24"/>
          <w:szCs w:val="24"/>
        </w:rPr>
        <w:t>approved</w:t>
      </w:r>
      <w:proofErr w:type="gramEnd"/>
      <w:r>
        <w:rPr>
          <w:rFonts w:ascii="Times New Roman" w:hAnsi="Times New Roman"/>
          <w:sz w:val="24"/>
          <w:szCs w:val="24"/>
        </w:rPr>
        <w:t xml:space="preserve"> long-term disability.  Retirement board rejected his claim for duty-related disability retirement benefits since he is still running as a volunteer at another FD; trial court agreed.   State statute:  </w:t>
      </w:r>
    </w:p>
    <w:p w14:paraId="7681649D" w14:textId="77777777" w:rsidR="00725A91" w:rsidRDefault="00725A91" w:rsidP="00725A91">
      <w:pPr>
        <w:pStyle w:val="NoSpacing"/>
        <w:rPr>
          <w:rFonts w:ascii="Times New Roman" w:hAnsi="Times New Roman"/>
          <w:sz w:val="24"/>
          <w:szCs w:val="24"/>
        </w:rPr>
      </w:pPr>
    </w:p>
    <w:p w14:paraId="5CFDC1C3" w14:textId="77777777" w:rsidR="00725A91" w:rsidRPr="00ED333B" w:rsidRDefault="00725A91" w:rsidP="00725A91">
      <w:pPr>
        <w:pStyle w:val="NoSpacing"/>
        <w:ind w:firstLine="720"/>
        <w:rPr>
          <w:rFonts w:ascii="Times New Roman" w:hAnsi="Times New Roman"/>
          <w:sz w:val="24"/>
          <w:szCs w:val="24"/>
        </w:rPr>
      </w:pPr>
      <w:r>
        <w:rPr>
          <w:rFonts w:ascii="Times New Roman" w:hAnsi="Times New Roman"/>
          <w:sz w:val="24"/>
          <w:szCs w:val="24"/>
        </w:rPr>
        <w:t>“</w:t>
      </w:r>
      <w:r w:rsidRPr="00ED333B">
        <w:rPr>
          <w:rFonts w:ascii="Times New Roman" w:hAnsi="Times New Roman"/>
          <w:sz w:val="24"/>
          <w:szCs w:val="24"/>
        </w:rPr>
        <w:t>Any active member who while an active member becomes totally and</w:t>
      </w:r>
    </w:p>
    <w:p w14:paraId="0DFF30E2" w14:textId="77777777" w:rsidR="00725A91" w:rsidRPr="00ED333B" w:rsidRDefault="00725A91" w:rsidP="00725A91">
      <w:pPr>
        <w:pStyle w:val="NoSpacing"/>
        <w:ind w:firstLine="720"/>
        <w:rPr>
          <w:rFonts w:ascii="Times New Roman" w:hAnsi="Times New Roman"/>
          <w:sz w:val="24"/>
          <w:szCs w:val="24"/>
        </w:rPr>
      </w:pPr>
      <w:r w:rsidRPr="00ED333B">
        <w:rPr>
          <w:rFonts w:ascii="Times New Roman" w:hAnsi="Times New Roman"/>
          <w:sz w:val="24"/>
          <w:szCs w:val="24"/>
        </w:rPr>
        <w:t>permanently physically or mentally incapacitated for any suitable duty as an employee</w:t>
      </w:r>
    </w:p>
    <w:p w14:paraId="1202F5D1" w14:textId="77777777" w:rsidR="00725A91" w:rsidRPr="00ED333B" w:rsidRDefault="00725A91" w:rsidP="00725A91">
      <w:pPr>
        <w:pStyle w:val="NoSpacing"/>
        <w:ind w:firstLine="720"/>
        <w:rPr>
          <w:rFonts w:ascii="Times New Roman" w:hAnsi="Times New Roman"/>
          <w:sz w:val="24"/>
          <w:szCs w:val="24"/>
        </w:rPr>
      </w:pPr>
      <w:r w:rsidRPr="00ED333B">
        <w:rPr>
          <w:rFonts w:ascii="Times New Roman" w:hAnsi="Times New Roman"/>
          <w:sz w:val="24"/>
          <w:szCs w:val="24"/>
        </w:rPr>
        <w:t>as the result of a personal injury or disease that the board finds to have arisen out of</w:t>
      </w:r>
    </w:p>
    <w:p w14:paraId="169D10BF" w14:textId="77777777" w:rsidR="00725A91" w:rsidRPr="006C7C3B" w:rsidRDefault="00725A91" w:rsidP="00725A91">
      <w:pPr>
        <w:pStyle w:val="NoSpacing"/>
        <w:ind w:firstLine="720"/>
        <w:rPr>
          <w:rFonts w:ascii="Times New Roman" w:hAnsi="Times New Roman"/>
          <w:sz w:val="24"/>
          <w:szCs w:val="24"/>
        </w:rPr>
      </w:pPr>
      <w:r w:rsidRPr="00ED333B">
        <w:rPr>
          <w:rFonts w:ascii="Times New Roman" w:hAnsi="Times New Roman"/>
          <w:sz w:val="24"/>
          <w:szCs w:val="24"/>
        </w:rPr>
        <w:t xml:space="preserve">and </w:t>
      </w:r>
      <w:proofErr w:type="gramStart"/>
      <w:r w:rsidRPr="00ED333B">
        <w:rPr>
          <w:rFonts w:ascii="Times New Roman" w:hAnsi="Times New Roman"/>
          <w:sz w:val="24"/>
          <w:szCs w:val="24"/>
        </w:rPr>
        <w:t>in the course of</w:t>
      </w:r>
      <w:proofErr w:type="gramEnd"/>
      <w:r w:rsidRPr="00ED333B">
        <w:rPr>
          <w:rFonts w:ascii="Times New Roman" w:hAnsi="Times New Roman"/>
          <w:sz w:val="24"/>
          <w:szCs w:val="24"/>
        </w:rPr>
        <w:t xml:space="preserve"> his or her actual performance of duty as an employee may be</w:t>
      </w:r>
      <w:r>
        <w:rPr>
          <w:rFonts w:ascii="Times New Roman" w:hAnsi="Times New Roman"/>
          <w:sz w:val="24"/>
          <w:szCs w:val="24"/>
        </w:rPr>
        <w:t xml:space="preserve"> </w:t>
      </w:r>
      <w:r w:rsidRPr="006C7C3B">
        <w:rPr>
          <w:rFonts w:ascii="Times New Roman" w:hAnsi="Times New Roman"/>
          <w:sz w:val="24"/>
          <w:szCs w:val="24"/>
        </w:rPr>
        <w:t>3</w:t>
      </w:r>
    </w:p>
    <w:p w14:paraId="22981D3F" w14:textId="77777777" w:rsidR="00725A91" w:rsidRPr="006C7C3B" w:rsidRDefault="00725A91" w:rsidP="00725A91">
      <w:pPr>
        <w:pStyle w:val="NoSpacing"/>
        <w:ind w:firstLine="720"/>
        <w:rPr>
          <w:rFonts w:ascii="Times New Roman" w:hAnsi="Times New Roman"/>
          <w:sz w:val="24"/>
          <w:szCs w:val="24"/>
        </w:rPr>
      </w:pPr>
      <w:r w:rsidRPr="006C7C3B">
        <w:rPr>
          <w:rFonts w:ascii="Times New Roman" w:hAnsi="Times New Roman"/>
          <w:sz w:val="24"/>
          <w:szCs w:val="24"/>
        </w:rPr>
        <w:t>retired by the board upon proper application filed with the board by or on behalf of</w:t>
      </w:r>
    </w:p>
    <w:p w14:paraId="40A6B3A8" w14:textId="77777777" w:rsidR="00725A91" w:rsidRDefault="00725A91" w:rsidP="00725A91">
      <w:pPr>
        <w:pStyle w:val="NoSpacing"/>
        <w:ind w:firstLine="720"/>
        <w:rPr>
          <w:rFonts w:ascii="Times New Roman" w:hAnsi="Times New Roman"/>
          <w:sz w:val="24"/>
          <w:szCs w:val="24"/>
        </w:rPr>
      </w:pPr>
      <w:r w:rsidRPr="006C7C3B">
        <w:rPr>
          <w:rFonts w:ascii="Times New Roman" w:hAnsi="Times New Roman"/>
          <w:sz w:val="24"/>
          <w:szCs w:val="24"/>
        </w:rPr>
        <w:t>the member or former member.</w:t>
      </w:r>
      <w:r>
        <w:rPr>
          <w:rFonts w:ascii="Times New Roman" w:hAnsi="Times New Roman"/>
          <w:sz w:val="24"/>
          <w:szCs w:val="24"/>
        </w:rPr>
        <w:t>”</w:t>
      </w:r>
    </w:p>
    <w:p w14:paraId="56470F98" w14:textId="77777777" w:rsidR="00725A91" w:rsidRDefault="00725A91" w:rsidP="00725A91">
      <w:pPr>
        <w:pStyle w:val="NoSpacing"/>
        <w:rPr>
          <w:rFonts w:ascii="Times New Roman" w:hAnsi="Times New Roman"/>
          <w:sz w:val="24"/>
          <w:szCs w:val="24"/>
        </w:rPr>
      </w:pPr>
    </w:p>
    <w:p w14:paraId="7F2E12B5" w14:textId="77777777" w:rsidR="00725A91" w:rsidRPr="006C40B3" w:rsidRDefault="00725A91" w:rsidP="00725A91">
      <w:pPr>
        <w:pStyle w:val="NoSpacing"/>
        <w:rPr>
          <w:rFonts w:ascii="Times New Roman" w:hAnsi="Times New Roman"/>
          <w:sz w:val="24"/>
          <w:szCs w:val="24"/>
        </w:rPr>
      </w:pPr>
      <w:hyperlink r:id="rId2496" w:history="1">
        <w:r w:rsidRPr="0005504F">
          <w:rPr>
            <w:rStyle w:val="Hyperlink"/>
            <w:rFonts w:ascii="Times New Roman" w:hAnsi="Times New Roman"/>
            <w:sz w:val="24"/>
            <w:szCs w:val="24"/>
          </w:rPr>
          <w:t>https://cases.justia.com/arkansas/court-of-appeals/2024-cv-22-650.pdf?ts=1713971302</w:t>
        </w:r>
      </w:hyperlink>
      <w:r>
        <w:rPr>
          <w:rFonts w:ascii="Times New Roman" w:hAnsi="Times New Roman"/>
          <w:sz w:val="24"/>
          <w:szCs w:val="24"/>
        </w:rPr>
        <w:t xml:space="preserve"> </w:t>
      </w:r>
    </w:p>
    <w:p w14:paraId="25909773" w14:textId="77777777" w:rsidR="00725A91" w:rsidRDefault="00725A91" w:rsidP="00725A91">
      <w:pPr>
        <w:pStyle w:val="NoSpacing"/>
        <w:rPr>
          <w:rFonts w:ascii="Times New Roman" w:hAnsi="Times New Roman"/>
          <w:sz w:val="24"/>
          <w:szCs w:val="24"/>
        </w:rPr>
      </w:pPr>
    </w:p>
    <w:p w14:paraId="370EED9F" w14:textId="77777777" w:rsidR="00725A91" w:rsidRDefault="00725A91" w:rsidP="00725A91">
      <w:pPr>
        <w:pStyle w:val="NormalWeb"/>
      </w:pPr>
      <w:r>
        <w:t>COURT HELD:</w:t>
      </w:r>
    </w:p>
    <w:p w14:paraId="52BEB43E" w14:textId="77777777" w:rsidR="00725A91" w:rsidRDefault="00725A91" w:rsidP="00725A91">
      <w:pPr>
        <w:pStyle w:val="NormalWeb"/>
        <w:ind w:left="720"/>
      </w:pPr>
      <w:r>
        <w:t>“On April 4, 2020, the Bella Vista Fire Department terminated his employment because Mills was notified that he had been approved for a long-term disability policy.</w:t>
      </w:r>
    </w:p>
    <w:p w14:paraId="7915934D" w14:textId="77777777" w:rsidR="00725A91" w:rsidRDefault="00725A91" w:rsidP="00725A91">
      <w:pPr>
        <w:pStyle w:val="NormalWeb"/>
        <w:ind w:left="720"/>
      </w:pPr>
      <w:r>
        <w:t>***</w:t>
      </w:r>
    </w:p>
    <w:p w14:paraId="4BC0D693" w14:textId="77777777" w:rsidR="00725A91" w:rsidRPr="00A271C9" w:rsidRDefault="00725A91" w:rsidP="00725A91">
      <w:pPr>
        <w:pStyle w:val="NoSpacing"/>
        <w:ind w:firstLine="720"/>
        <w:rPr>
          <w:rFonts w:ascii="Times New Roman" w:hAnsi="Times New Roman"/>
          <w:sz w:val="24"/>
          <w:szCs w:val="24"/>
        </w:rPr>
      </w:pPr>
      <w:r w:rsidRPr="00A271C9">
        <w:rPr>
          <w:rFonts w:ascii="Times New Roman" w:hAnsi="Times New Roman"/>
          <w:sz w:val="24"/>
          <w:szCs w:val="24"/>
        </w:rPr>
        <w:lastRenderedPageBreak/>
        <w:t xml:space="preserve">The Board’s designated physician, Dr. </w:t>
      </w:r>
      <w:proofErr w:type="spellStart"/>
      <w:r w:rsidRPr="00A271C9">
        <w:rPr>
          <w:rFonts w:ascii="Times New Roman" w:hAnsi="Times New Roman"/>
          <w:sz w:val="24"/>
          <w:szCs w:val="24"/>
        </w:rPr>
        <w:t>Podkova</w:t>
      </w:r>
      <w:proofErr w:type="spellEnd"/>
      <w:r w:rsidRPr="00A271C9">
        <w:rPr>
          <w:rFonts w:ascii="Times New Roman" w:hAnsi="Times New Roman"/>
          <w:sz w:val="24"/>
          <w:szCs w:val="24"/>
        </w:rPr>
        <w:t>, examined Mills and reviewed his</w:t>
      </w:r>
    </w:p>
    <w:p w14:paraId="3FF4AAEE" w14:textId="77777777" w:rsidR="00725A91" w:rsidRPr="00A271C9" w:rsidRDefault="00725A91" w:rsidP="00725A91">
      <w:pPr>
        <w:pStyle w:val="NoSpacing"/>
        <w:ind w:firstLine="720"/>
        <w:rPr>
          <w:rFonts w:ascii="Times New Roman" w:hAnsi="Times New Roman"/>
          <w:sz w:val="24"/>
          <w:szCs w:val="24"/>
        </w:rPr>
      </w:pPr>
      <w:r w:rsidRPr="00A271C9">
        <w:rPr>
          <w:rFonts w:ascii="Times New Roman" w:hAnsi="Times New Roman"/>
          <w:sz w:val="24"/>
          <w:szCs w:val="24"/>
        </w:rPr>
        <w:t xml:space="preserve">medical records submitted to LOPFI. On June 29, 2020, Dr. </w:t>
      </w:r>
      <w:proofErr w:type="spellStart"/>
      <w:r w:rsidRPr="00A271C9">
        <w:rPr>
          <w:rFonts w:ascii="Times New Roman" w:hAnsi="Times New Roman"/>
          <w:sz w:val="24"/>
          <w:szCs w:val="24"/>
        </w:rPr>
        <w:t>Podkova</w:t>
      </w:r>
      <w:proofErr w:type="spellEnd"/>
      <w:r w:rsidRPr="00A271C9">
        <w:rPr>
          <w:rFonts w:ascii="Times New Roman" w:hAnsi="Times New Roman"/>
          <w:sz w:val="24"/>
          <w:szCs w:val="24"/>
        </w:rPr>
        <w:t xml:space="preserve"> issued a detailed</w:t>
      </w:r>
    </w:p>
    <w:p w14:paraId="284E4B06" w14:textId="77777777" w:rsidR="00725A91" w:rsidRPr="00A271C9" w:rsidRDefault="00725A91" w:rsidP="00725A91">
      <w:pPr>
        <w:pStyle w:val="NoSpacing"/>
        <w:ind w:firstLine="720"/>
        <w:rPr>
          <w:rFonts w:ascii="Times New Roman" w:hAnsi="Times New Roman"/>
          <w:sz w:val="24"/>
          <w:szCs w:val="24"/>
        </w:rPr>
      </w:pPr>
      <w:r w:rsidRPr="00A271C9">
        <w:rPr>
          <w:rFonts w:ascii="Times New Roman" w:hAnsi="Times New Roman"/>
          <w:sz w:val="24"/>
          <w:szCs w:val="24"/>
        </w:rPr>
        <w:t>report and determined that Mills was not totally and permanently disabled from his</w:t>
      </w:r>
    </w:p>
    <w:p w14:paraId="5EA0E17F" w14:textId="77777777" w:rsidR="00725A91" w:rsidRPr="00A271C9" w:rsidRDefault="00725A91" w:rsidP="00725A91">
      <w:pPr>
        <w:pStyle w:val="NoSpacing"/>
        <w:ind w:left="720"/>
        <w:rPr>
          <w:rFonts w:ascii="Times New Roman" w:hAnsi="Times New Roman"/>
          <w:sz w:val="24"/>
          <w:szCs w:val="24"/>
        </w:rPr>
      </w:pPr>
      <w:r w:rsidRPr="00A271C9">
        <w:rPr>
          <w:rFonts w:ascii="Times New Roman" w:hAnsi="Times New Roman"/>
          <w:sz w:val="24"/>
          <w:szCs w:val="24"/>
        </w:rPr>
        <w:t xml:space="preserve">firefighting activity. Dr. </w:t>
      </w:r>
      <w:proofErr w:type="spellStart"/>
      <w:r w:rsidRPr="00A271C9">
        <w:rPr>
          <w:rFonts w:ascii="Times New Roman" w:hAnsi="Times New Roman"/>
          <w:sz w:val="24"/>
          <w:szCs w:val="24"/>
        </w:rPr>
        <w:t>Podkova</w:t>
      </w:r>
      <w:proofErr w:type="spellEnd"/>
      <w:r w:rsidRPr="00A271C9">
        <w:rPr>
          <w:rFonts w:ascii="Times New Roman" w:hAnsi="Times New Roman"/>
          <w:sz w:val="24"/>
          <w:szCs w:val="24"/>
        </w:rPr>
        <w:t xml:space="preserve"> concluded that Mills met the criteria for PTSD and that it</w:t>
      </w:r>
      <w:r>
        <w:rPr>
          <w:rFonts w:ascii="Times New Roman" w:hAnsi="Times New Roman"/>
          <w:sz w:val="24"/>
          <w:szCs w:val="24"/>
        </w:rPr>
        <w:t xml:space="preserve"> </w:t>
      </w:r>
      <w:r w:rsidRPr="00A271C9">
        <w:rPr>
          <w:rFonts w:ascii="Times New Roman" w:hAnsi="Times New Roman"/>
          <w:sz w:val="24"/>
          <w:szCs w:val="24"/>
        </w:rPr>
        <w:t>was more likely than not that Mills’s PTSD arose from his employment. However, she opined</w:t>
      </w:r>
      <w:r>
        <w:rPr>
          <w:rFonts w:ascii="Times New Roman" w:hAnsi="Times New Roman"/>
          <w:sz w:val="24"/>
          <w:szCs w:val="24"/>
        </w:rPr>
        <w:t xml:space="preserve"> </w:t>
      </w:r>
      <w:r w:rsidRPr="00A271C9">
        <w:rPr>
          <w:rFonts w:ascii="Times New Roman" w:hAnsi="Times New Roman"/>
          <w:sz w:val="24"/>
          <w:szCs w:val="24"/>
        </w:rPr>
        <w:t>that the disability was not total and permanent due, among other things, to Mills’s mental</w:t>
      </w:r>
      <w:r>
        <w:rPr>
          <w:rFonts w:ascii="Times New Roman" w:hAnsi="Times New Roman"/>
          <w:sz w:val="24"/>
          <w:szCs w:val="24"/>
        </w:rPr>
        <w:t xml:space="preserve"> </w:t>
      </w:r>
      <w:r w:rsidRPr="00A271C9">
        <w:rPr>
          <w:rFonts w:ascii="Times New Roman" w:hAnsi="Times New Roman"/>
          <w:sz w:val="24"/>
          <w:szCs w:val="24"/>
        </w:rPr>
        <w:t>status, the severity of his impairment, his noted improvement in symptoms with treatment,</w:t>
      </w:r>
      <w:r>
        <w:rPr>
          <w:rFonts w:ascii="Times New Roman" w:hAnsi="Times New Roman"/>
          <w:sz w:val="24"/>
          <w:szCs w:val="24"/>
        </w:rPr>
        <w:t xml:space="preserve"> </w:t>
      </w:r>
      <w:r w:rsidRPr="00A271C9">
        <w:rPr>
          <w:rFonts w:ascii="Times New Roman" w:hAnsi="Times New Roman"/>
          <w:sz w:val="24"/>
          <w:szCs w:val="24"/>
        </w:rPr>
        <w:t>his presentation, and the fact that he continued to volunteer with the Little Flock Fire</w:t>
      </w:r>
      <w:r>
        <w:rPr>
          <w:rFonts w:ascii="Times New Roman" w:hAnsi="Times New Roman"/>
          <w:sz w:val="24"/>
          <w:szCs w:val="24"/>
        </w:rPr>
        <w:t xml:space="preserve"> </w:t>
      </w:r>
      <w:r w:rsidRPr="00A271C9">
        <w:rPr>
          <w:rFonts w:ascii="Times New Roman" w:hAnsi="Times New Roman"/>
          <w:sz w:val="24"/>
          <w:szCs w:val="24"/>
        </w:rPr>
        <w:t>Department in addition to his full-time employment with the Bella Vista Fire Department</w:t>
      </w:r>
      <w:r>
        <w:rPr>
          <w:rFonts w:ascii="Times New Roman" w:hAnsi="Times New Roman"/>
          <w:sz w:val="24"/>
          <w:szCs w:val="24"/>
        </w:rPr>
        <w:t xml:space="preserve"> </w:t>
      </w:r>
      <w:r w:rsidRPr="00A271C9">
        <w:rPr>
          <w:rFonts w:ascii="Times New Roman" w:hAnsi="Times New Roman"/>
          <w:sz w:val="24"/>
          <w:szCs w:val="24"/>
        </w:rPr>
        <w:t>for a period of years after he started seeking help for his PTSD symptoms.</w:t>
      </w:r>
      <w:r>
        <w:rPr>
          <w:rFonts w:ascii="Times New Roman" w:hAnsi="Times New Roman"/>
          <w:sz w:val="24"/>
          <w:szCs w:val="24"/>
        </w:rPr>
        <w:t>”</w:t>
      </w:r>
    </w:p>
    <w:p w14:paraId="5CF7A771" w14:textId="77777777" w:rsidR="00725A91" w:rsidRDefault="00725A91" w:rsidP="00725A91">
      <w:pPr>
        <w:pStyle w:val="NormalWeb"/>
        <w:spacing w:before="0" w:beforeAutospacing="0"/>
        <w:rPr>
          <w:b/>
          <w:bCs/>
          <w:color w:val="454545"/>
          <w:shd w:val="clear" w:color="auto" w:fill="FFFFFF"/>
        </w:rPr>
      </w:pPr>
    </w:p>
    <w:p w14:paraId="72351711" w14:textId="77777777" w:rsidR="00725A91" w:rsidRDefault="00725A91" w:rsidP="00725A91">
      <w:pPr>
        <w:pStyle w:val="NoSpacing"/>
        <w:ind w:left="720"/>
        <w:rPr>
          <w:rFonts w:ascii="Times New Roman" w:hAnsi="Times New Roman"/>
          <w:sz w:val="24"/>
          <w:szCs w:val="24"/>
          <w:shd w:val="clear" w:color="auto" w:fill="FFFFFF"/>
        </w:rPr>
      </w:pPr>
    </w:p>
    <w:p w14:paraId="79C2E055" w14:textId="77777777" w:rsidR="00725A91" w:rsidRPr="00A961ED" w:rsidRDefault="00725A91" w:rsidP="00725A91">
      <w:pPr>
        <w:pStyle w:val="NoSpacing"/>
        <w:rPr>
          <w:rFonts w:ascii="Times New Roman" w:hAnsi="Times New Roman"/>
          <w:b/>
          <w:bCs/>
          <w:sz w:val="24"/>
          <w:szCs w:val="24"/>
          <w:shd w:val="clear" w:color="auto" w:fill="FFFFFF"/>
        </w:rPr>
      </w:pPr>
      <w:r w:rsidRPr="00A961ED">
        <w:rPr>
          <w:rFonts w:ascii="Times New Roman" w:hAnsi="Times New Roman"/>
          <w:b/>
          <w:bCs/>
          <w:sz w:val="24"/>
          <w:szCs w:val="24"/>
          <w:shd w:val="clear" w:color="auto" w:fill="FFFFFF"/>
        </w:rPr>
        <w:t>Legal Lesson Learned:</w:t>
      </w:r>
      <w:r>
        <w:rPr>
          <w:rFonts w:ascii="Times New Roman" w:hAnsi="Times New Roman"/>
          <w:b/>
          <w:bCs/>
          <w:sz w:val="24"/>
          <w:szCs w:val="24"/>
          <w:shd w:val="clear" w:color="auto" w:fill="FFFFFF"/>
        </w:rPr>
        <w:t xml:space="preserve"> Firefighter failed to prove he was “</w:t>
      </w:r>
      <w:r w:rsidRPr="00CC13B5">
        <w:rPr>
          <w:rFonts w:ascii="Times New Roman" w:hAnsi="Times New Roman"/>
          <w:b/>
          <w:bCs/>
          <w:sz w:val="24"/>
          <w:szCs w:val="24"/>
          <w:shd w:val="clear" w:color="auto" w:fill="FFFFFF"/>
        </w:rPr>
        <w:t>totally and</w:t>
      </w:r>
      <w:r>
        <w:rPr>
          <w:rFonts w:ascii="Times New Roman" w:hAnsi="Times New Roman"/>
          <w:b/>
          <w:bCs/>
          <w:sz w:val="24"/>
          <w:szCs w:val="24"/>
          <w:shd w:val="clear" w:color="auto" w:fill="FFFFFF"/>
        </w:rPr>
        <w:t xml:space="preserve"> </w:t>
      </w:r>
      <w:r w:rsidRPr="00CC13B5">
        <w:rPr>
          <w:rFonts w:ascii="Times New Roman" w:hAnsi="Times New Roman"/>
          <w:b/>
          <w:bCs/>
          <w:sz w:val="24"/>
          <w:szCs w:val="24"/>
          <w:shd w:val="clear" w:color="auto" w:fill="FFFFFF"/>
        </w:rPr>
        <w:t>permanently physically or mentally incapacitated for any suitable duty as an employee</w:t>
      </w:r>
      <w:r>
        <w:rPr>
          <w:rFonts w:ascii="Times New Roman" w:hAnsi="Times New Roman"/>
          <w:b/>
          <w:bCs/>
          <w:sz w:val="24"/>
          <w:szCs w:val="24"/>
          <w:shd w:val="clear" w:color="auto" w:fill="FFFFFF"/>
        </w:rPr>
        <w:t>.”</w:t>
      </w:r>
    </w:p>
    <w:p w14:paraId="44251224" w14:textId="77777777" w:rsidR="00725A91" w:rsidRDefault="00725A91" w:rsidP="00725A91">
      <w:pPr>
        <w:pStyle w:val="NormalWeb"/>
        <w:spacing w:before="0" w:beforeAutospacing="0"/>
        <w:jc w:val="center"/>
        <w:rPr>
          <w:b/>
          <w:bCs/>
          <w:color w:val="454545"/>
          <w:shd w:val="clear" w:color="auto" w:fill="FFFFFF"/>
        </w:rPr>
      </w:pPr>
    </w:p>
    <w:p w14:paraId="5D35D341" w14:textId="77777777" w:rsidR="00725A91" w:rsidRPr="000E0B66" w:rsidRDefault="00725A91" w:rsidP="00725A91">
      <w:pPr>
        <w:pStyle w:val="NormalWeb"/>
        <w:spacing w:before="0" w:beforeAutospacing="0"/>
      </w:pPr>
    </w:p>
    <w:p w14:paraId="3D830BE7" w14:textId="77777777" w:rsidR="00725A91" w:rsidRDefault="00725A91" w:rsidP="000C4DF5">
      <w:pPr>
        <w:pStyle w:val="NoSpacing"/>
        <w:rPr>
          <w:rFonts w:ascii="Arial Black" w:hAnsi="Arial Black"/>
          <w:sz w:val="24"/>
          <w:szCs w:val="24"/>
        </w:rPr>
      </w:pPr>
    </w:p>
    <w:p w14:paraId="4CAAF129" w14:textId="77777777" w:rsidR="00725A91" w:rsidRDefault="00725A91" w:rsidP="000C4DF5">
      <w:pPr>
        <w:pStyle w:val="NoSpacing"/>
        <w:rPr>
          <w:rFonts w:ascii="Arial Black" w:hAnsi="Arial Black"/>
          <w:sz w:val="24"/>
          <w:szCs w:val="24"/>
        </w:rPr>
      </w:pPr>
    </w:p>
    <w:p w14:paraId="4623BC08" w14:textId="4658831E" w:rsidR="006F1059" w:rsidRDefault="006F1059" w:rsidP="000C4DF5">
      <w:pPr>
        <w:pStyle w:val="NoSpacing"/>
        <w:rPr>
          <w:rFonts w:ascii="Arial Black" w:hAnsi="Arial Black"/>
          <w:sz w:val="24"/>
          <w:szCs w:val="24"/>
        </w:rPr>
      </w:pPr>
      <w:r>
        <w:rPr>
          <w:rFonts w:ascii="Arial Black" w:hAnsi="Arial Black"/>
          <w:sz w:val="24"/>
          <w:szCs w:val="24"/>
        </w:rPr>
        <w:t>15-29</w:t>
      </w:r>
    </w:p>
    <w:p w14:paraId="4EFCCE20" w14:textId="77777777" w:rsidR="00776614" w:rsidRPr="00801B4D" w:rsidRDefault="00776614" w:rsidP="00776614">
      <w:pPr>
        <w:pStyle w:val="Heading1"/>
        <w:rPr>
          <w:rFonts w:ascii="Arial Black" w:hAnsi="Arial Black"/>
          <w:b w:val="0"/>
          <w:bCs w:val="0"/>
          <w:sz w:val="28"/>
          <w:szCs w:val="28"/>
        </w:rPr>
      </w:pPr>
      <w:r>
        <w:rPr>
          <w:rFonts w:ascii="Arial Black" w:hAnsi="Arial Black"/>
          <w:b w:val="0"/>
          <w:bCs w:val="0"/>
          <w:sz w:val="28"/>
          <w:szCs w:val="28"/>
        </w:rPr>
        <w:t>NY: PTSD - PERUVIAN FDNY FF – HAZING – HOSTILE WORK ATMOSPHERE – 2015-2021 – FIRED - CASE PROCEED</w:t>
      </w:r>
    </w:p>
    <w:p w14:paraId="537C7193" w14:textId="77777777" w:rsidR="00776614" w:rsidRDefault="00776614" w:rsidP="00776614">
      <w:pPr>
        <w:pStyle w:val="Heading1"/>
        <w:rPr>
          <w:b w:val="0"/>
          <w:bCs w:val="0"/>
          <w:sz w:val="24"/>
          <w:szCs w:val="24"/>
        </w:rPr>
      </w:pPr>
      <w:r>
        <w:rPr>
          <w:b w:val="0"/>
          <w:bCs w:val="0"/>
          <w:sz w:val="24"/>
          <w:szCs w:val="24"/>
        </w:rPr>
        <w:t xml:space="preserve">Jan. 5, 2024, Court granted FDNY motion for protective order (pre-trial discovery extended to March 15, 2024).  On March 31, 2023, in </w:t>
      </w:r>
      <w:r w:rsidRPr="00A65A6D">
        <w:rPr>
          <w:b w:val="0"/>
          <w:bCs w:val="0"/>
          <w:sz w:val="24"/>
          <w:szCs w:val="24"/>
          <w:u w:val="single"/>
        </w:rPr>
        <w:t>Joseph Mendoza v. City of New York, et al</w:t>
      </w:r>
      <w:r>
        <w:rPr>
          <w:b w:val="0"/>
          <w:bCs w:val="0"/>
          <w:sz w:val="24"/>
          <w:szCs w:val="24"/>
        </w:rPr>
        <w:t xml:space="preserve">., U.S. District Court Judge Lashann Dearcy Hall, U.S. District Court for Eastern District of New York, dismissed most of the plaintiff’s claims, but denied the defense motion to dismiss Section 1983 hostile work environment claim. </w:t>
      </w:r>
    </w:p>
    <w:p w14:paraId="681DE6F9" w14:textId="77777777" w:rsidR="00776614" w:rsidRDefault="00776614" w:rsidP="00776614">
      <w:pPr>
        <w:pStyle w:val="paragraph"/>
      </w:pPr>
      <w:r>
        <w:t xml:space="preserve">The Court held: </w:t>
      </w:r>
    </w:p>
    <w:p w14:paraId="5E32BEBD" w14:textId="77777777" w:rsidR="00776614" w:rsidRDefault="00776614" w:rsidP="00776614">
      <w:pPr>
        <w:pStyle w:val="paragraph"/>
        <w:ind w:left="720"/>
      </w:pPr>
      <w:r>
        <w:t xml:space="preserve">“Plaintiff's hostile work environment claims warrant different treatment. “A charge alleging a hostile work environment claim . . . will not be time barred so long as all acts which constitute the claim are part of the same unlawful employment practice and at least one act falls within the time period.” </w:t>
      </w:r>
      <w:r>
        <w:rPr>
          <w:i/>
          <w:iCs/>
        </w:rPr>
        <w:t>Sotomayor v. City of New York</w:t>
      </w:r>
      <w:r>
        <w:t xml:space="preserve">, </w:t>
      </w:r>
      <w:hyperlink r:id="rId2497" w:anchor="p250" w:history="1">
        <w:r>
          <w:rPr>
            <w:rStyle w:val="Hyperlink"/>
          </w:rPr>
          <w:t>862 F.Supp.2d 226, 250</w:t>
        </w:r>
      </w:hyperlink>
      <w:r>
        <w:t xml:space="preserve"> (E.D.N.Y. 2012) (quoting </w:t>
      </w:r>
      <w:r>
        <w:rPr>
          <w:i/>
          <w:iCs/>
        </w:rPr>
        <w:t>Morgan</w:t>
      </w:r>
      <w:r>
        <w:t>, 536 U.S. at 122). As Plaintiff correctly argues, the amended complaint alleges a continuous and ongoing period of racial harassment that began in 2015 and continued through at least May 2019, when he alleges he received a racially offensive text message in the group chat. (</w:t>
      </w:r>
      <w:r>
        <w:rPr>
          <w:i/>
          <w:iCs/>
        </w:rPr>
        <w:t>See</w:t>
      </w:r>
      <w:r>
        <w:t xml:space="preserve"> Pl's </w:t>
      </w:r>
      <w:proofErr w:type="spellStart"/>
      <w:r>
        <w:t>Opp'n</w:t>
      </w:r>
      <w:proofErr w:type="spellEnd"/>
      <w:r>
        <w:t xml:space="preserve"> at 6-7; </w:t>
      </w:r>
      <w:r>
        <w:rPr>
          <w:i/>
          <w:iCs/>
        </w:rPr>
        <w:t>see also</w:t>
      </w:r>
      <w:r>
        <w:t xml:space="preserve"> Am. </w:t>
      </w:r>
      <w:proofErr w:type="spellStart"/>
      <w:r>
        <w:t>Compl</w:t>
      </w:r>
      <w:proofErr w:type="spellEnd"/>
      <w:r>
        <w:t xml:space="preserve">. ¶¶ 23, 38, 56.) Plaintiff alleges he was subjected to racially demeaning conduct throughout this </w:t>
      </w:r>
      <w:proofErr w:type="gramStart"/>
      <w:r>
        <w:t>time period</w:t>
      </w:r>
      <w:proofErr w:type="gramEnd"/>
      <w:r>
        <w:t>, and none of those individual comments or racial incidents could constitute a discrete act or be considered unrelated to the racial incidents he experienced within the limitations period.”</w:t>
      </w:r>
      <w:r w:rsidRPr="00D36ABB">
        <w:t xml:space="preserve"> </w:t>
      </w:r>
      <w:hyperlink r:id="rId2498" w:history="1">
        <w:r w:rsidRPr="00E007C4">
          <w:rPr>
            <w:rStyle w:val="Hyperlink"/>
          </w:rPr>
          <w:t>https://casetext.com/case/mendoza-v-the-city-of-new-york-3</w:t>
        </w:r>
      </w:hyperlink>
      <w:r>
        <w:t xml:space="preserve"> </w:t>
      </w:r>
    </w:p>
    <w:p w14:paraId="6D11FED5" w14:textId="77777777" w:rsidR="00776614" w:rsidRPr="00EB6336" w:rsidRDefault="00776614" w:rsidP="00776614">
      <w:pPr>
        <w:pStyle w:val="paragraph"/>
        <w:rPr>
          <w:b/>
          <w:bCs/>
        </w:rPr>
      </w:pPr>
      <w:r w:rsidRPr="00EB6336">
        <w:rPr>
          <w:b/>
          <w:bCs/>
        </w:rPr>
        <w:t xml:space="preserve">Legal Lesson Learned: </w:t>
      </w:r>
      <w:r>
        <w:rPr>
          <w:b/>
          <w:bCs/>
        </w:rPr>
        <w:t xml:space="preserve">Continuous hazing can lead to hostile work atmosphere litigation. </w:t>
      </w:r>
    </w:p>
    <w:p w14:paraId="66A64024" w14:textId="77777777" w:rsidR="006F1059" w:rsidRDefault="006F1059" w:rsidP="000C4DF5">
      <w:pPr>
        <w:pStyle w:val="NoSpacing"/>
        <w:rPr>
          <w:rFonts w:ascii="Arial Black" w:hAnsi="Arial Black"/>
          <w:sz w:val="24"/>
          <w:szCs w:val="24"/>
        </w:rPr>
      </w:pPr>
    </w:p>
    <w:p w14:paraId="3EDD726D" w14:textId="77777777" w:rsidR="006F1059" w:rsidRDefault="006F1059" w:rsidP="000C4DF5">
      <w:pPr>
        <w:pStyle w:val="NoSpacing"/>
        <w:rPr>
          <w:rFonts w:ascii="Arial Black" w:hAnsi="Arial Black"/>
          <w:sz w:val="24"/>
          <w:szCs w:val="24"/>
        </w:rPr>
      </w:pPr>
    </w:p>
    <w:p w14:paraId="065E298F" w14:textId="63F165DB" w:rsidR="003A2816" w:rsidRDefault="003A2816" w:rsidP="000C4DF5">
      <w:pPr>
        <w:pStyle w:val="NoSpacing"/>
        <w:rPr>
          <w:rFonts w:ascii="Arial Black" w:hAnsi="Arial Black"/>
          <w:sz w:val="24"/>
          <w:szCs w:val="24"/>
        </w:rPr>
      </w:pPr>
      <w:r>
        <w:rPr>
          <w:rFonts w:ascii="Arial Black" w:hAnsi="Arial Black"/>
          <w:sz w:val="24"/>
          <w:szCs w:val="24"/>
        </w:rPr>
        <w:lastRenderedPageBreak/>
        <w:t>15-28</w:t>
      </w:r>
    </w:p>
    <w:p w14:paraId="719B7E88" w14:textId="77777777" w:rsidR="00787369" w:rsidRDefault="00787369" w:rsidP="00787369">
      <w:pPr>
        <w:pStyle w:val="NormalWeb"/>
        <w:rPr>
          <w:rFonts w:ascii="Arial Black" w:hAnsi="Arial Black"/>
          <w:b/>
          <w:bCs/>
          <w:sz w:val="28"/>
          <w:szCs w:val="28"/>
        </w:rPr>
      </w:pPr>
      <w:r>
        <w:rPr>
          <w:rFonts w:ascii="Arial Black" w:hAnsi="Arial Black"/>
          <w:b/>
          <w:bCs/>
          <w:sz w:val="28"/>
          <w:szCs w:val="28"/>
        </w:rPr>
        <w:t xml:space="preserve">OH: MENTAL CALL / SUICIDE GUNSHOT – DEPUTIES NOT RECKLESS - CALLED MOBILE CRISIS - NOT LIABLE </w:t>
      </w:r>
    </w:p>
    <w:p w14:paraId="75520E94" w14:textId="77777777" w:rsidR="00787369" w:rsidRDefault="00787369" w:rsidP="00787369">
      <w:pPr>
        <w:pStyle w:val="NormalWeb"/>
      </w:pPr>
      <w:r>
        <w:t xml:space="preserve">On Dec. 28, 2023, in </w:t>
      </w:r>
      <w:r w:rsidRPr="00DF2081">
        <w:rPr>
          <w:u w:val="single"/>
        </w:rPr>
        <w:t>Sarah Wilson, Administrator of the Estate of Jack Huelsman, et al. v. Eric Gregory, et al.</w:t>
      </w:r>
      <w:r>
        <w:t>, the Court of Appeals of Ohio, Twelfth District, held (3 to 0) that lawsuit against two Deputy Sheriff’s for not taking the patient to mental health facility was properly dismissed, since patient at that time did not appear to be a risk to himself or others.  The Court held:  “We find that the Deputies did not engage in reckless conduct because there is no evidence in the record that they consciously disregarded or were indifferent to a known or obvious risk of harm to Jack [Huelsmann].”.</w:t>
      </w:r>
      <w:hyperlink r:id="rId2499" w:history="1">
        <w:r w:rsidRPr="0044657D">
          <w:rPr>
            <w:rStyle w:val="Hyperlink"/>
          </w:rPr>
          <w:t>https://cases.justia.com/ohio/twelfth-district-court-of-appeals/2023-ca2023-06-039.pdf?ts=1703791198</w:t>
        </w:r>
      </w:hyperlink>
    </w:p>
    <w:p w14:paraId="4FA17AAC" w14:textId="77777777" w:rsidR="004C2189" w:rsidRDefault="004C2189" w:rsidP="004C2189">
      <w:pPr>
        <w:pStyle w:val="NormalWeb"/>
        <w:rPr>
          <w:b/>
          <w:bCs/>
        </w:rPr>
      </w:pPr>
      <w:r w:rsidRPr="00190E94">
        <w:rPr>
          <w:b/>
          <w:bCs/>
        </w:rPr>
        <w:t>Legal Lesson Learned:</w:t>
      </w:r>
      <w:r>
        <w:rPr>
          <w:b/>
          <w:bCs/>
        </w:rPr>
        <w:t xml:space="preserve"> A tragic outcome to a mental health run; lengthy litigation, if the Deputies had not cancelled EMS there would have been four witnesses to testify about patient’s condition.  </w:t>
      </w:r>
    </w:p>
    <w:p w14:paraId="00EBF9F8" w14:textId="77777777" w:rsidR="004C2189" w:rsidRDefault="004C2189" w:rsidP="004C2189">
      <w:pPr>
        <w:pStyle w:val="NormalWeb"/>
        <w:ind w:left="720"/>
      </w:pPr>
      <w:r>
        <w:t xml:space="preserve">Note: FEDERAL LAWSUIT. Plaintiff  had originally filed a lawsuit against the Deputies in Federal court. On Sept. 30, 2020, U.S. District Court granted summary judgment to the Deputies. </w:t>
      </w:r>
      <w:hyperlink r:id="rId2500" w:history="1">
        <w:r w:rsidRPr="003C00DD">
          <w:rPr>
            <w:rStyle w:val="Hyperlink"/>
          </w:rPr>
          <w:t>https://caselaw.findlaw.com/court/us-dis-crt-s-d-ohi-wes-div/2089388.html</w:t>
        </w:r>
      </w:hyperlink>
      <w:r>
        <w:t>. On July 1, 2021, the 6</w:t>
      </w:r>
      <w:r w:rsidRPr="0021237F">
        <w:rPr>
          <w:vertAlign w:val="superscript"/>
        </w:rPr>
        <w:t>th</w:t>
      </w:r>
      <w:r>
        <w:t xml:space="preserve"> Circuit Court of Appeals directed District Court judge “to determine whether to exercise supplemental jurisdiction” over the state law claims that remain.”</w:t>
      </w:r>
      <w:r>
        <w:tab/>
        <w:t xml:space="preserve"> </w:t>
      </w:r>
      <w:hyperlink r:id="rId2501" w:history="1">
        <w:r w:rsidRPr="003C00DD">
          <w:rPr>
            <w:rStyle w:val="Hyperlink"/>
          </w:rPr>
          <w:t>https://www.opn.ca6.uscourts.gov/opinions.pdf/21a0151p-06.pdf</w:t>
        </w:r>
      </w:hyperlink>
      <w:r>
        <w:t>.] On Aug. 18, 2021, the U.S. District Court judge declined to exercise supplemental jurisdiction and dismisses all remaining claims without prejudice.</w:t>
      </w:r>
      <w:r w:rsidRPr="00D83569">
        <w:t xml:space="preserve"> </w:t>
      </w:r>
      <w:hyperlink r:id="rId2502" w:history="1">
        <w:r w:rsidRPr="003C00DD">
          <w:rPr>
            <w:rStyle w:val="Hyperlink"/>
          </w:rPr>
          <w:t>https://casetext.com/case/wilson-v-gregory-4</w:t>
        </w:r>
      </w:hyperlink>
    </w:p>
    <w:p w14:paraId="77E15EA1" w14:textId="77777777" w:rsidR="004C2189" w:rsidRDefault="004C2189" w:rsidP="004C2189">
      <w:pPr>
        <w:pStyle w:val="NoSpacing"/>
        <w:ind w:firstLine="720"/>
        <w:rPr>
          <w:rFonts w:ascii="Times New Roman" w:hAnsi="Times New Roman"/>
          <w:sz w:val="24"/>
          <w:szCs w:val="24"/>
        </w:rPr>
      </w:pPr>
      <w:r>
        <w:rPr>
          <w:rFonts w:ascii="Times New Roman" w:hAnsi="Times New Roman"/>
          <w:sz w:val="24"/>
          <w:szCs w:val="24"/>
        </w:rPr>
        <w:t>6</w:t>
      </w:r>
      <w:r w:rsidRPr="00102E41">
        <w:rPr>
          <w:rFonts w:ascii="Times New Roman" w:hAnsi="Times New Roman"/>
          <w:sz w:val="24"/>
          <w:szCs w:val="24"/>
          <w:vertAlign w:val="superscript"/>
        </w:rPr>
        <w:t>th</w:t>
      </w:r>
      <w:r>
        <w:rPr>
          <w:rFonts w:ascii="Times New Roman" w:hAnsi="Times New Roman"/>
          <w:sz w:val="24"/>
          <w:szCs w:val="24"/>
        </w:rPr>
        <w:t xml:space="preserve"> Circuit focused on EMS being cancelled. </w:t>
      </w:r>
    </w:p>
    <w:p w14:paraId="1BF847E5" w14:textId="77777777" w:rsidR="004C2189" w:rsidRDefault="004C2189" w:rsidP="004C2189">
      <w:pPr>
        <w:pStyle w:val="NoSpacing"/>
        <w:ind w:left="1440"/>
        <w:rPr>
          <w:rFonts w:ascii="Times New Roman" w:hAnsi="Times New Roman"/>
          <w:sz w:val="24"/>
          <w:szCs w:val="24"/>
        </w:rPr>
      </w:pPr>
    </w:p>
    <w:p w14:paraId="1EEACF85" w14:textId="77777777" w:rsidR="004C2189" w:rsidRDefault="004C2189" w:rsidP="004C2189">
      <w:pPr>
        <w:pStyle w:val="NoSpacing"/>
        <w:ind w:left="720"/>
        <w:rPr>
          <w:rFonts w:ascii="Times New Roman" w:hAnsi="Times New Roman"/>
          <w:sz w:val="24"/>
          <w:szCs w:val="24"/>
        </w:rPr>
      </w:pPr>
      <w:r w:rsidRPr="00692EF2">
        <w:rPr>
          <w:rFonts w:ascii="Times New Roman" w:hAnsi="Times New Roman"/>
          <w:sz w:val="24"/>
          <w:szCs w:val="24"/>
        </w:rPr>
        <w:t>In the meantime, emergency medical services (EMS) personnel had arrived and were</w:t>
      </w:r>
      <w:r>
        <w:rPr>
          <w:rFonts w:ascii="Times New Roman" w:hAnsi="Times New Roman"/>
          <w:sz w:val="24"/>
          <w:szCs w:val="24"/>
        </w:rPr>
        <w:t xml:space="preserve"> </w:t>
      </w:r>
      <w:r w:rsidRPr="00692EF2">
        <w:rPr>
          <w:rFonts w:ascii="Times New Roman" w:hAnsi="Times New Roman"/>
          <w:sz w:val="24"/>
          <w:szCs w:val="24"/>
        </w:rPr>
        <w:t>waiting for the Deputies’ go-ahead. Though EMS personnel’s ability to provide mental health</w:t>
      </w:r>
      <w:r>
        <w:rPr>
          <w:rFonts w:ascii="Times New Roman" w:hAnsi="Times New Roman"/>
          <w:sz w:val="24"/>
          <w:szCs w:val="24"/>
        </w:rPr>
        <w:t xml:space="preserve"> </w:t>
      </w:r>
      <w:r w:rsidRPr="00692EF2">
        <w:rPr>
          <w:rFonts w:ascii="Times New Roman" w:hAnsi="Times New Roman"/>
          <w:sz w:val="24"/>
          <w:szCs w:val="24"/>
        </w:rPr>
        <w:t>services was limited to asking basic questions to test a person’s mental acuity, their training and</w:t>
      </w:r>
      <w:r>
        <w:rPr>
          <w:rFonts w:ascii="Times New Roman" w:hAnsi="Times New Roman"/>
          <w:sz w:val="24"/>
          <w:szCs w:val="24"/>
        </w:rPr>
        <w:t xml:space="preserve"> </w:t>
      </w:r>
      <w:r w:rsidRPr="00692EF2">
        <w:rPr>
          <w:rFonts w:ascii="Times New Roman" w:hAnsi="Times New Roman"/>
          <w:sz w:val="24"/>
          <w:szCs w:val="24"/>
        </w:rPr>
        <w:t>policy permitted them to assess a person’s mental condition and make a recommendation to a</w:t>
      </w:r>
      <w:r>
        <w:rPr>
          <w:rFonts w:ascii="Times New Roman" w:hAnsi="Times New Roman"/>
          <w:sz w:val="24"/>
          <w:szCs w:val="24"/>
        </w:rPr>
        <w:t xml:space="preserve"> </w:t>
      </w:r>
      <w:r w:rsidRPr="00692EF2">
        <w:rPr>
          <w:rFonts w:ascii="Times New Roman" w:hAnsi="Times New Roman"/>
          <w:sz w:val="24"/>
          <w:szCs w:val="24"/>
        </w:rPr>
        <w:t>deputy that the person should or should not be detained. Within four minutes of his arrival at the</w:t>
      </w:r>
      <w:r>
        <w:rPr>
          <w:rFonts w:ascii="Times New Roman" w:hAnsi="Times New Roman"/>
          <w:sz w:val="24"/>
          <w:szCs w:val="24"/>
        </w:rPr>
        <w:t xml:space="preserve"> </w:t>
      </w:r>
      <w:proofErr w:type="spellStart"/>
      <w:r w:rsidRPr="00692EF2">
        <w:rPr>
          <w:rFonts w:ascii="Times New Roman" w:hAnsi="Times New Roman"/>
          <w:sz w:val="24"/>
          <w:szCs w:val="24"/>
        </w:rPr>
        <w:t>Huelsmans</w:t>
      </w:r>
      <w:proofErr w:type="spellEnd"/>
      <w:r w:rsidRPr="00692EF2">
        <w:rPr>
          <w:rFonts w:ascii="Times New Roman" w:hAnsi="Times New Roman"/>
          <w:sz w:val="24"/>
          <w:szCs w:val="24"/>
        </w:rPr>
        <w:t>’ home, Deputy Gregory called off EMS.</w:t>
      </w:r>
    </w:p>
    <w:p w14:paraId="3127E50E" w14:textId="77777777" w:rsidR="004C2189" w:rsidRDefault="004C2189" w:rsidP="004C2189">
      <w:pPr>
        <w:pStyle w:val="NoSpacing"/>
        <w:rPr>
          <w:rFonts w:ascii="Times New Roman" w:hAnsi="Times New Roman"/>
          <w:sz w:val="24"/>
          <w:szCs w:val="24"/>
        </w:rPr>
      </w:pPr>
    </w:p>
    <w:p w14:paraId="628B055A" w14:textId="77777777" w:rsidR="004C2189" w:rsidRDefault="004C2189" w:rsidP="004C2189">
      <w:pPr>
        <w:pStyle w:val="NoSpacing"/>
        <w:ind w:firstLine="720"/>
        <w:rPr>
          <w:rFonts w:ascii="Times New Roman" w:hAnsi="Times New Roman"/>
          <w:sz w:val="24"/>
          <w:szCs w:val="24"/>
        </w:rPr>
      </w:pPr>
      <w:r>
        <w:rPr>
          <w:rFonts w:ascii="Times New Roman" w:hAnsi="Times New Roman"/>
          <w:sz w:val="24"/>
          <w:szCs w:val="24"/>
        </w:rPr>
        <w:t>***</w:t>
      </w:r>
    </w:p>
    <w:p w14:paraId="0A59418A" w14:textId="77777777" w:rsidR="004C2189" w:rsidRDefault="004C2189" w:rsidP="004C2189">
      <w:pPr>
        <w:pStyle w:val="NoSpacing"/>
        <w:ind w:left="720"/>
        <w:rPr>
          <w:rFonts w:ascii="Times New Roman" w:hAnsi="Times New Roman"/>
          <w:sz w:val="24"/>
          <w:szCs w:val="24"/>
        </w:rPr>
      </w:pPr>
      <w:r w:rsidRPr="003C7982">
        <w:rPr>
          <w:rFonts w:ascii="Times New Roman" w:hAnsi="Times New Roman"/>
          <w:sz w:val="24"/>
          <w:szCs w:val="24"/>
        </w:rPr>
        <w:t>A reasonable juror could conclude from some combination of these indicia that</w:t>
      </w:r>
      <w:r>
        <w:rPr>
          <w:rFonts w:ascii="Times New Roman" w:hAnsi="Times New Roman"/>
          <w:sz w:val="24"/>
          <w:szCs w:val="24"/>
        </w:rPr>
        <w:t xml:space="preserve"> </w:t>
      </w:r>
      <w:r w:rsidRPr="003C7982">
        <w:rPr>
          <w:rFonts w:ascii="Times New Roman" w:hAnsi="Times New Roman"/>
          <w:sz w:val="24"/>
          <w:szCs w:val="24"/>
        </w:rPr>
        <w:t>the risk of Mr. Huelsman’s suicide was indeed obvious and that Deputies Gregory and/or Walsh</w:t>
      </w:r>
      <w:r>
        <w:rPr>
          <w:rFonts w:ascii="Times New Roman" w:hAnsi="Times New Roman"/>
          <w:sz w:val="24"/>
          <w:szCs w:val="24"/>
        </w:rPr>
        <w:t xml:space="preserve"> </w:t>
      </w:r>
      <w:r w:rsidRPr="003C7982">
        <w:rPr>
          <w:rFonts w:ascii="Times New Roman" w:hAnsi="Times New Roman"/>
          <w:sz w:val="24"/>
          <w:szCs w:val="24"/>
        </w:rPr>
        <w:t>acted recklessly as a result. It may well be that when presented with this case, a jury would</w:t>
      </w:r>
      <w:r>
        <w:rPr>
          <w:rFonts w:ascii="Times New Roman" w:hAnsi="Times New Roman"/>
          <w:sz w:val="24"/>
          <w:szCs w:val="24"/>
        </w:rPr>
        <w:t xml:space="preserve"> </w:t>
      </w:r>
      <w:r w:rsidRPr="003C7982">
        <w:rPr>
          <w:rFonts w:ascii="Times New Roman" w:hAnsi="Times New Roman"/>
          <w:sz w:val="24"/>
          <w:szCs w:val="24"/>
        </w:rPr>
        <w:t>conclude Deputies Gregory and/or Walsh did not act recklessly on the rationales that the separate</w:t>
      </w:r>
      <w:r>
        <w:rPr>
          <w:rFonts w:ascii="Times New Roman" w:hAnsi="Times New Roman"/>
          <w:sz w:val="24"/>
          <w:szCs w:val="24"/>
        </w:rPr>
        <w:t xml:space="preserve"> </w:t>
      </w:r>
      <w:r w:rsidRPr="003C7982">
        <w:rPr>
          <w:rFonts w:ascii="Times New Roman" w:hAnsi="Times New Roman"/>
          <w:sz w:val="24"/>
          <w:szCs w:val="24"/>
        </w:rPr>
        <w:t>writing discusses. But on this record and given Ohio courts’ strong preference for a jury to</w:t>
      </w:r>
      <w:r>
        <w:rPr>
          <w:rFonts w:ascii="Times New Roman" w:hAnsi="Times New Roman"/>
          <w:sz w:val="24"/>
          <w:szCs w:val="24"/>
        </w:rPr>
        <w:t xml:space="preserve"> </w:t>
      </w:r>
      <w:r w:rsidRPr="003C7982">
        <w:rPr>
          <w:rFonts w:ascii="Times New Roman" w:hAnsi="Times New Roman"/>
          <w:sz w:val="24"/>
          <w:szCs w:val="24"/>
        </w:rPr>
        <w:t xml:space="preserve">determine whether </w:t>
      </w:r>
      <w:proofErr w:type="gramStart"/>
      <w:r w:rsidRPr="003C7982">
        <w:rPr>
          <w:rFonts w:ascii="Times New Roman" w:hAnsi="Times New Roman"/>
          <w:sz w:val="24"/>
          <w:szCs w:val="24"/>
        </w:rPr>
        <w:t>particular acts</w:t>
      </w:r>
      <w:proofErr w:type="gramEnd"/>
      <w:r w:rsidRPr="003C7982">
        <w:rPr>
          <w:rFonts w:ascii="Times New Roman" w:hAnsi="Times New Roman"/>
          <w:sz w:val="24"/>
          <w:szCs w:val="24"/>
        </w:rPr>
        <w:t xml:space="preserve"> or decisions demonstrate recklessness, the grant of statutory</w:t>
      </w:r>
      <w:r>
        <w:rPr>
          <w:rFonts w:ascii="Times New Roman" w:hAnsi="Times New Roman"/>
          <w:sz w:val="24"/>
          <w:szCs w:val="24"/>
        </w:rPr>
        <w:t xml:space="preserve"> </w:t>
      </w:r>
      <w:r w:rsidRPr="003C7982">
        <w:rPr>
          <w:rFonts w:ascii="Times New Roman" w:hAnsi="Times New Roman"/>
          <w:sz w:val="24"/>
          <w:szCs w:val="24"/>
        </w:rPr>
        <w:t>immunity to Deputies Gregory and Walsh, and therefore the grant of summary judgment in their</w:t>
      </w:r>
      <w:r>
        <w:rPr>
          <w:rFonts w:ascii="Times New Roman" w:hAnsi="Times New Roman"/>
          <w:sz w:val="24"/>
          <w:szCs w:val="24"/>
        </w:rPr>
        <w:t xml:space="preserve"> </w:t>
      </w:r>
      <w:r w:rsidRPr="003C7982">
        <w:rPr>
          <w:rFonts w:ascii="Times New Roman" w:hAnsi="Times New Roman"/>
          <w:sz w:val="24"/>
          <w:szCs w:val="24"/>
        </w:rPr>
        <w:t xml:space="preserve">favor on the </w:t>
      </w:r>
      <w:proofErr w:type="spellStart"/>
      <w:r w:rsidRPr="003C7982">
        <w:rPr>
          <w:rFonts w:ascii="Times New Roman" w:hAnsi="Times New Roman"/>
          <w:sz w:val="24"/>
          <w:szCs w:val="24"/>
        </w:rPr>
        <w:t>Huelsmans</w:t>
      </w:r>
      <w:proofErr w:type="spellEnd"/>
      <w:r w:rsidRPr="003C7982">
        <w:rPr>
          <w:rFonts w:ascii="Times New Roman" w:hAnsi="Times New Roman"/>
          <w:sz w:val="24"/>
          <w:szCs w:val="24"/>
        </w:rPr>
        <w:t>’ state law claims, was also error.</w:t>
      </w:r>
    </w:p>
    <w:p w14:paraId="1D33F791" w14:textId="77777777" w:rsidR="004C2189" w:rsidRDefault="004C2189" w:rsidP="004C2189">
      <w:pPr>
        <w:pStyle w:val="NormalWeb"/>
        <w:ind w:left="720"/>
      </w:pPr>
      <w:r w:rsidRPr="00784817">
        <w:t>Note</w:t>
      </w:r>
      <w:r>
        <w:t xml:space="preserve"> – Pink Slip</w:t>
      </w:r>
    </w:p>
    <w:p w14:paraId="6DAD447F" w14:textId="77777777" w:rsidR="004C2189" w:rsidRDefault="004C2189" w:rsidP="004C2189">
      <w:pPr>
        <w:pStyle w:val="NormalWeb"/>
        <w:ind w:left="720"/>
      </w:pPr>
      <w:r w:rsidRPr="00784817">
        <w:t xml:space="preserve">In Ohio, police officers have authority to “pink slip” an individual for </w:t>
      </w:r>
      <w:proofErr w:type="gramStart"/>
      <w:r w:rsidRPr="00784817">
        <w:t>72 hour</w:t>
      </w:r>
      <w:proofErr w:type="gramEnd"/>
      <w:r w:rsidRPr="00784817">
        <w:t xml:space="preserve"> mental health hold, under Ohio Rev. Code 5122.10</w:t>
      </w:r>
      <w:r>
        <w:t xml:space="preserve">: “substantial risk of physical harm to self or others.”  </w:t>
      </w:r>
      <w:hyperlink r:id="rId2503" w:history="1">
        <w:r w:rsidRPr="003C00DD">
          <w:rPr>
            <w:rStyle w:val="Hyperlink"/>
          </w:rPr>
          <w:t>https://codes.ohio.gov/ohio-revised-code/section-5122.10/9-17-2014</w:t>
        </w:r>
      </w:hyperlink>
      <w:r>
        <w:t xml:space="preserve"> </w:t>
      </w:r>
    </w:p>
    <w:p w14:paraId="2B29BFA3" w14:textId="77777777" w:rsidR="004C2189" w:rsidRPr="00784817" w:rsidRDefault="004C2189" w:rsidP="004C2189">
      <w:pPr>
        <w:pStyle w:val="NormalWeb"/>
        <w:ind w:left="720"/>
      </w:pPr>
      <w:r w:rsidRPr="00784817">
        <w:lastRenderedPageBreak/>
        <w:t>See</w:t>
      </w:r>
      <w:r>
        <w:t xml:space="preserve"> also</w:t>
      </w:r>
      <w:r w:rsidRPr="00784817">
        <w:t xml:space="preserve"> this research publication by Legislative </w:t>
      </w:r>
      <w:r>
        <w:t xml:space="preserve">Service Commission for </w:t>
      </w:r>
      <w:r w:rsidRPr="00784817">
        <w:t xml:space="preserve">Ohio General Assembly, “Involuntary Treatment for Mental Illness.” </w:t>
      </w:r>
      <w:hyperlink r:id="rId2504" w:history="1">
        <w:r w:rsidRPr="00784817">
          <w:rPr>
            <w:rStyle w:val="Hyperlink"/>
          </w:rPr>
          <w:t>https://www.lsc.ohio.gov/assets/organizations/legislative-service-commission/files/involuntary-treatment-for-mental-illness.pdf</w:t>
        </w:r>
      </w:hyperlink>
      <w:r w:rsidRPr="00784817">
        <w:t xml:space="preserve"> </w:t>
      </w:r>
    </w:p>
    <w:p w14:paraId="6E590CC7" w14:textId="77777777" w:rsidR="003A2816" w:rsidRDefault="003A2816" w:rsidP="000C4DF5">
      <w:pPr>
        <w:pStyle w:val="NoSpacing"/>
        <w:rPr>
          <w:rFonts w:ascii="Arial Black" w:hAnsi="Arial Black"/>
          <w:sz w:val="24"/>
          <w:szCs w:val="24"/>
        </w:rPr>
      </w:pPr>
    </w:p>
    <w:p w14:paraId="24B8BCF5" w14:textId="77777777" w:rsidR="003A2816" w:rsidRDefault="003A2816" w:rsidP="000C4DF5">
      <w:pPr>
        <w:pStyle w:val="NoSpacing"/>
        <w:rPr>
          <w:rFonts w:ascii="Arial Black" w:hAnsi="Arial Black"/>
          <w:sz w:val="24"/>
          <w:szCs w:val="24"/>
        </w:rPr>
      </w:pPr>
    </w:p>
    <w:p w14:paraId="523569D9" w14:textId="77777777" w:rsidR="003A2816" w:rsidRDefault="003A2816" w:rsidP="000C4DF5">
      <w:pPr>
        <w:pStyle w:val="NoSpacing"/>
        <w:rPr>
          <w:rFonts w:ascii="Arial Black" w:hAnsi="Arial Black"/>
          <w:sz w:val="24"/>
          <w:szCs w:val="24"/>
        </w:rPr>
      </w:pPr>
    </w:p>
    <w:p w14:paraId="5344F339" w14:textId="5E35D4E6" w:rsidR="00EC5D4A" w:rsidRDefault="00EC5D4A" w:rsidP="000C4DF5">
      <w:pPr>
        <w:pStyle w:val="NoSpacing"/>
        <w:rPr>
          <w:rFonts w:ascii="Arial Black" w:hAnsi="Arial Black"/>
          <w:sz w:val="24"/>
          <w:szCs w:val="24"/>
        </w:rPr>
      </w:pPr>
      <w:r>
        <w:rPr>
          <w:rFonts w:ascii="Arial Black" w:hAnsi="Arial Black"/>
          <w:sz w:val="24"/>
          <w:szCs w:val="24"/>
        </w:rPr>
        <w:t>15-27</w:t>
      </w:r>
    </w:p>
    <w:p w14:paraId="395AC890" w14:textId="77777777" w:rsidR="00EC5D4A" w:rsidRDefault="00EC5D4A" w:rsidP="00EC5D4A">
      <w:pPr>
        <w:pStyle w:val="NormalWeb"/>
        <w:rPr>
          <w:rFonts w:ascii="Arial Black" w:hAnsi="Arial Black"/>
          <w:b/>
          <w:bCs/>
          <w:sz w:val="28"/>
          <w:szCs w:val="28"/>
        </w:rPr>
      </w:pPr>
      <w:r>
        <w:rPr>
          <w:rFonts w:ascii="Arial Black" w:hAnsi="Arial Black"/>
          <w:b/>
          <w:bCs/>
          <w:sz w:val="28"/>
          <w:szCs w:val="28"/>
        </w:rPr>
        <w:t>WV: MENTAL CALL / SUICIDE – LAWUIT PROCEED SHERIFF POLICY “NO SUNDAY” RESPONSES – EMS / PD IMMUNITY</w:t>
      </w:r>
    </w:p>
    <w:p w14:paraId="27105A09" w14:textId="6ACD061D" w:rsidR="00EC5D4A" w:rsidRDefault="00EC5D4A" w:rsidP="00EC5D4A">
      <w:pPr>
        <w:pStyle w:val="NoSpacing"/>
        <w:rPr>
          <w:rStyle w:val="Hyperlink"/>
          <w:rFonts w:ascii="Times New Roman" w:hAnsi="Times New Roman"/>
          <w:sz w:val="24"/>
          <w:szCs w:val="24"/>
        </w:rPr>
      </w:pPr>
      <w:r w:rsidRPr="00EC5D4A">
        <w:rPr>
          <w:rFonts w:ascii="Times New Roman" w:hAnsi="Times New Roman"/>
          <w:sz w:val="24"/>
          <w:szCs w:val="24"/>
        </w:rPr>
        <w:t xml:space="preserve">On Dec. 21, 2023, in </w:t>
      </w:r>
      <w:r w:rsidRPr="00EC5D4A">
        <w:rPr>
          <w:rFonts w:ascii="Times New Roman" w:hAnsi="Times New Roman"/>
          <w:sz w:val="24"/>
          <w:szCs w:val="24"/>
          <w:u w:val="single"/>
        </w:rPr>
        <w:t>Rex Eagon and Diane Egon, individually as co-administrators of the Estate of Darien M. Eagon v. Cambell County Emergency Medical Service, et al</w:t>
      </w:r>
      <w:r w:rsidRPr="00EC5D4A">
        <w:rPr>
          <w:rFonts w:ascii="Times New Roman" w:hAnsi="Times New Roman"/>
          <w:sz w:val="24"/>
          <w:szCs w:val="24"/>
        </w:rPr>
        <w:t xml:space="preserve">., U.S. District Court Judge Robert C. Chambers, United States District Court, S.D. West Virginia, Huntington Division, held that City of Huntington police officers and County EMS are immune from liability, but plaintiffs may proceed with pre-trial discovery on allegations that County Sheriff.  The Court wrote: “Certainly, there are no allegations that Sheriff Zerkle or any employee of the Sheriff's Department were at the scene, had any knowledge of Ms. Eagon's situation, or ever had any contact with her. Without any of these connections with Ms. Eagon, the Court agrees with the County Defendants that Plaintiffs have not plausibly alleged Sheriff Zerkle acted with direct ‘intent’ to inflict emotional distress upon Ms. Eagon or her parents. However, for purposes of a motion to dismiss, the Court must assume the truthfulness of Plaintiffs' allegation that Sheriff Zerkle adopted, enforced, and made known to EMS and HPD that his Department had a custom, practice, or policy of not dispatching deputies to respond to any mental health crises on a Sunday, regardless of how urgent or dire the situation presents. From this vantage, the Court finds this allegation is sufficient to plausibly allege Sheriff Zerkle intentionally acted so recklessly that it was substantially certain that someone like Plaintiffs would suffer emotional distress. Additionally, it is plausible that such custom, practice, or policy could be found to be ‘atrocious, intolerable, and so extreme and outrageous as to exceed the bounds of decency[.]’ </w:t>
      </w:r>
      <w:r w:rsidRPr="00EC5D4A">
        <w:rPr>
          <w:rStyle w:val="Emphasis"/>
          <w:rFonts w:ascii="Times New Roman" w:hAnsi="Times New Roman"/>
          <w:sz w:val="24"/>
          <w:szCs w:val="24"/>
        </w:rPr>
        <w:t>Hoops</w:t>
      </w:r>
      <w:r w:rsidRPr="00EC5D4A">
        <w:rPr>
          <w:rFonts w:ascii="Times New Roman" w:hAnsi="Times New Roman"/>
          <w:sz w:val="24"/>
          <w:szCs w:val="24"/>
        </w:rPr>
        <w:t xml:space="preserve">, 2022 WL 2400039, at *7 (internal quotation marks and citation omitted). Therefore, the Court finds Count IV is sufficient as to Sheriff Zerkle and </w:t>
      </w:r>
      <w:r w:rsidRPr="00EC5D4A">
        <w:rPr>
          <w:rStyle w:val="Strong"/>
          <w:rFonts w:ascii="Times New Roman" w:hAnsi="Times New Roman"/>
          <w:b w:val="0"/>
          <w:bCs w:val="0"/>
          <w:sz w:val="24"/>
          <w:szCs w:val="24"/>
        </w:rPr>
        <w:t>DENIES</w:t>
      </w:r>
      <w:r w:rsidRPr="00EC5D4A">
        <w:rPr>
          <w:rFonts w:ascii="Times New Roman" w:hAnsi="Times New Roman"/>
          <w:sz w:val="24"/>
          <w:szCs w:val="24"/>
        </w:rPr>
        <w:t xml:space="preserve"> the County Defendants' motion to have this Count dismissed against him.</w:t>
      </w:r>
      <w:r w:rsidRPr="00EC5D4A">
        <w:rPr>
          <w:rFonts w:ascii="Times New Roman" w:hAnsi="Times New Roman"/>
          <w:sz w:val="24"/>
          <w:szCs w:val="24"/>
          <w:vertAlign w:val="superscript"/>
        </w:rPr>
        <w:t xml:space="preserve">” </w:t>
      </w:r>
      <w:hyperlink r:id="rId2505" w:history="1">
        <w:r w:rsidRPr="00EC5D4A">
          <w:rPr>
            <w:rStyle w:val="Hyperlink"/>
            <w:rFonts w:ascii="Times New Roman" w:hAnsi="Times New Roman"/>
            <w:sz w:val="24"/>
            <w:szCs w:val="24"/>
          </w:rPr>
          <w:t>https://public.fastcase.com/ZZhmr5v9wN%2FXOe5IsQ%2FqD7d2ApzwrZCQvAZQlM%2B4VVcvgALpNi2VKyyjI%2Bz22f3P?utm_medium=email&amp;_hsmi=226712652&amp;_hsenc=p2ANqtz-9QV0nznODHw4_m_j0AE4K8p0b7Wes2e9d7AzOOyb86IGbeyJ8jbpovdpcqHFVtvrmWyxti44YX_ZuNCNTYmJshWS7Dxw&amp;utm_content=226712652&amp;utm_source=hs_email</w:t>
        </w:r>
      </w:hyperlink>
    </w:p>
    <w:p w14:paraId="1AB70322" w14:textId="77777777" w:rsidR="003A2816" w:rsidRDefault="003A2816" w:rsidP="00EC5D4A">
      <w:pPr>
        <w:pStyle w:val="NoSpacing"/>
        <w:rPr>
          <w:rStyle w:val="Hyperlink"/>
          <w:rFonts w:ascii="Times New Roman" w:hAnsi="Times New Roman"/>
          <w:sz w:val="24"/>
          <w:szCs w:val="24"/>
        </w:rPr>
      </w:pPr>
    </w:p>
    <w:p w14:paraId="0EFF8B1F" w14:textId="77777777" w:rsidR="003A2816" w:rsidRDefault="003A2816" w:rsidP="003A2816">
      <w:pPr>
        <w:pStyle w:val="NormalWeb"/>
        <w:rPr>
          <w:b/>
          <w:bCs/>
        </w:rPr>
      </w:pPr>
      <w:r w:rsidRPr="00E57983">
        <w:rPr>
          <w:b/>
          <w:bCs/>
        </w:rPr>
        <w:t xml:space="preserve">Legal Lesson Learned: </w:t>
      </w:r>
      <w:r>
        <w:rPr>
          <w:b/>
          <w:bCs/>
        </w:rPr>
        <w:t xml:space="preserve">Police body camera footage of interaction with </w:t>
      </w:r>
      <w:proofErr w:type="gramStart"/>
      <w:r>
        <w:rPr>
          <w:b/>
          <w:bCs/>
        </w:rPr>
        <w:t>patient</w:t>
      </w:r>
      <w:proofErr w:type="gramEnd"/>
      <w:r>
        <w:rPr>
          <w:b/>
          <w:bCs/>
        </w:rPr>
        <w:t xml:space="preserve"> very helpful; EMS should likewise consider using body cameras on mental health and other patient refusals. </w:t>
      </w:r>
    </w:p>
    <w:p w14:paraId="7C88DF87" w14:textId="77777777" w:rsidR="003A2816" w:rsidRPr="006E25D9" w:rsidRDefault="003A2816" w:rsidP="003A2816">
      <w:pPr>
        <w:pStyle w:val="NormalWeb"/>
        <w:ind w:left="720"/>
      </w:pPr>
      <w:r w:rsidRPr="006E25D9">
        <w:t xml:space="preserve">Note:  The Court referenced </w:t>
      </w:r>
      <w:proofErr w:type="gramStart"/>
      <w:r>
        <w:t>in its decision (Footnote 3) this interview</w:t>
      </w:r>
      <w:proofErr w:type="gramEnd"/>
      <w:r>
        <w:t xml:space="preserve">. </w:t>
      </w:r>
      <w:r w:rsidRPr="006E25D9">
        <w:t xml:space="preserve">West Virginia Public Broadcasting, Cabell Sheriff Says System Broken As 20 Percent </w:t>
      </w:r>
      <w:proofErr w:type="gramStart"/>
      <w:r w:rsidRPr="006E25D9">
        <w:t>Of</w:t>
      </w:r>
      <w:proofErr w:type="gramEnd"/>
      <w:r w:rsidRPr="006E25D9">
        <w:t xml:space="preserve"> Mental Safety Pickups Go Unanswered </w:t>
      </w:r>
      <w:proofErr w:type="gramStart"/>
      <w:r w:rsidRPr="006E25D9">
        <w:t>In</w:t>
      </w:r>
      <w:proofErr w:type="gramEnd"/>
      <w:r w:rsidRPr="006E25D9">
        <w:t xml:space="preserve"> County (Apr. 5, 2021) </w:t>
      </w:r>
      <w:r w:rsidRPr="006E25D9">
        <w:rPr>
          <w:rStyle w:val="Emphasis"/>
        </w:rPr>
        <w:t>https://perma.cc/4EPP-E4TC</w:t>
      </w:r>
      <w:r w:rsidRPr="006E25D9">
        <w:t>.</w:t>
      </w:r>
    </w:p>
    <w:p w14:paraId="29F431E2" w14:textId="77777777" w:rsidR="003A2816" w:rsidRPr="006B4455" w:rsidRDefault="003A2816" w:rsidP="003A2816">
      <w:pPr>
        <w:pStyle w:val="NormalWeb"/>
        <w:ind w:left="720"/>
      </w:pPr>
      <w:r w:rsidRPr="006B4455">
        <w:t xml:space="preserve">“Cabell Sheriff Says System Broken As 20 Percent </w:t>
      </w:r>
      <w:proofErr w:type="gramStart"/>
      <w:r w:rsidRPr="006B4455">
        <w:t>Of</w:t>
      </w:r>
      <w:proofErr w:type="gramEnd"/>
      <w:r w:rsidRPr="006B4455">
        <w:t xml:space="preserve"> Mental Safety Pickups Go Unanswered </w:t>
      </w:r>
      <w:proofErr w:type="gramStart"/>
      <w:r w:rsidRPr="006B4455">
        <w:t>In</w:t>
      </w:r>
      <w:proofErr w:type="gramEnd"/>
      <w:r w:rsidRPr="006B4455">
        <w:t xml:space="preserve"> County,” April 5, 2021.  </w:t>
      </w:r>
      <w:hyperlink r:id="rId2506" w:history="1">
        <w:r w:rsidRPr="006B4455">
          <w:rPr>
            <w:rStyle w:val="Hyperlink"/>
          </w:rPr>
          <w:t>https://perma.cc/4EPP-E4TC</w:t>
        </w:r>
      </w:hyperlink>
      <w:r w:rsidRPr="006B4455">
        <w:t xml:space="preserve"> </w:t>
      </w:r>
    </w:p>
    <w:p w14:paraId="182A7E0D" w14:textId="77777777" w:rsidR="003A2816" w:rsidRPr="002A3F08" w:rsidRDefault="003A2816" w:rsidP="003A2816">
      <w:pPr>
        <w:pStyle w:val="NormalWeb"/>
        <w:ind w:left="720"/>
      </w:pPr>
      <w:r>
        <w:t>“</w:t>
      </w:r>
      <w:r w:rsidRPr="002A3F08">
        <w:t xml:space="preserve">In West Virginia, when a person is thought to be a threat to themselves or others, they can be involuntarily committed to a mental health facility through a process known as a </w:t>
      </w:r>
      <w:r>
        <w:t>‘</w:t>
      </w:r>
      <w:r w:rsidRPr="002A3F08">
        <w:t>mental hygiene petition.</w:t>
      </w:r>
      <w:r>
        <w:t>’</w:t>
      </w:r>
      <w:r w:rsidRPr="002A3F08">
        <w:t xml:space="preserve"> These petitions, usually taken out by a family member or outreach worker, </w:t>
      </w:r>
      <w:proofErr w:type="gramStart"/>
      <w:r w:rsidRPr="002A3F08">
        <w:t>have to</w:t>
      </w:r>
      <w:proofErr w:type="gramEnd"/>
      <w:r w:rsidRPr="002A3F08">
        <w:t xml:space="preserve"> be approved by a county court and require a sheriff’s deputy to help transport the person being committed.</w:t>
      </w:r>
    </w:p>
    <w:p w14:paraId="31326F1F" w14:textId="77777777" w:rsidR="003A2816" w:rsidRDefault="003A2816" w:rsidP="003A2816">
      <w:pPr>
        <w:pStyle w:val="NormalWeb"/>
        <w:ind w:left="720"/>
      </w:pPr>
      <w:r w:rsidRPr="002A3F08">
        <w:lastRenderedPageBreak/>
        <w:t>But in Cabell County, data from a mental health facility show at least 75 mental hygiene orders went unanswered by the Cabell County Sheriff’s Department in 2020. The sheriff says his department is overwhelmed.</w:t>
      </w:r>
    </w:p>
    <w:p w14:paraId="76DDCD27" w14:textId="77777777" w:rsidR="003A2816" w:rsidRDefault="003A2816" w:rsidP="003A2816">
      <w:pPr>
        <w:pStyle w:val="NormalWeb"/>
        <w:ind w:left="720"/>
      </w:pPr>
      <w:r>
        <w:t>***</w:t>
      </w:r>
    </w:p>
    <w:p w14:paraId="361449A7" w14:textId="77777777" w:rsidR="003A2816" w:rsidRDefault="003A2816" w:rsidP="003A2816">
      <w:pPr>
        <w:pStyle w:val="NormalWeb"/>
        <w:ind w:left="720"/>
      </w:pPr>
      <w:r>
        <w:t>Cabell County Sheriff Chuck Zerkle explains the mental hygiene process at his office in Huntington, West Virginia, on Wednesday, March 31, 2021.</w:t>
      </w:r>
    </w:p>
    <w:p w14:paraId="435A6881" w14:textId="77777777" w:rsidR="003A2816" w:rsidRDefault="003A2816" w:rsidP="003A2816">
      <w:pPr>
        <w:pStyle w:val="NormalWeb"/>
        <w:ind w:left="720"/>
      </w:pPr>
      <w:r>
        <w:t xml:space="preserve">Zerkle added that in 2020 alone, his office received approximately one mental hygiene order </w:t>
      </w:r>
      <w:r>
        <w:rPr>
          <w:i/>
          <w:iCs/>
        </w:rPr>
        <w:t>a day</w:t>
      </w:r>
      <w:r>
        <w:t xml:space="preserve"> from the courts. And per the WV State Code, only sheriffs and their deputies are approved to execute mental hygiene. He says his office can’t keep up.</w:t>
      </w:r>
    </w:p>
    <w:p w14:paraId="7E67F8B9" w14:textId="77777777" w:rsidR="003A2816" w:rsidRDefault="003A2816" w:rsidP="003A2816">
      <w:pPr>
        <w:pStyle w:val="NormalWeb"/>
        <w:ind w:left="1440"/>
      </w:pPr>
      <w:r>
        <w:rPr>
          <w:b/>
          <w:bCs/>
        </w:rPr>
        <w:t>“</w:t>
      </w:r>
      <w:r>
        <w:t>We all want to agree that we’re all wanting to help ourselves dig out of this opioid issue and the mental health issue. But you’ve got a small minority of law enforcement that is saddled with doing this.</w:t>
      </w:r>
    </w:p>
    <w:p w14:paraId="75BDC591" w14:textId="77777777" w:rsidR="003A2816" w:rsidRDefault="003A2816" w:rsidP="003A2816">
      <w:pPr>
        <w:pStyle w:val="NormalWeb"/>
        <w:ind w:left="720"/>
      </w:pPr>
      <w:r>
        <w:t>For Zerkle, the only way to fix the problem is to change the law regarding mental hygiene orders. He doesn’t see why lawmakers can’t approve all law enforcement agencies to do these pickups.</w:t>
      </w:r>
    </w:p>
    <w:p w14:paraId="0C514F54" w14:textId="77777777" w:rsidR="003A2816" w:rsidRDefault="003A2816" w:rsidP="003A2816">
      <w:pPr>
        <w:pStyle w:val="NormalWeb"/>
        <w:ind w:left="1440"/>
      </w:pPr>
      <w:r>
        <w:t>“My perfect world would be law enforcement would secure them, get them to the facility, get the stuff started, and then we leave and turn it over to someone else that’s medically trained to take care of these people,” he said.</w:t>
      </w:r>
    </w:p>
    <w:p w14:paraId="265D028A" w14:textId="77777777" w:rsidR="003A2816" w:rsidRDefault="003A2816" w:rsidP="003A2816">
      <w:pPr>
        <w:pStyle w:val="NormalWeb"/>
        <w:ind w:left="720"/>
      </w:pPr>
      <w:r>
        <w:t xml:space="preserve">Currently, two bills have been introduced by Sen. Charles Trump, a Republican from Morgan County, that would address mental hygiene orders in the state. The new bills would expand the window deputies have to pick people up from 10 to 20 days and remove the need for deputies to first take people to the hospital prior to transporting them to a mental health facility. </w:t>
      </w:r>
      <w:proofErr w:type="gramStart"/>
      <w:r>
        <w:t>Both of these</w:t>
      </w:r>
      <w:proofErr w:type="gramEnd"/>
      <w:r>
        <w:t xml:space="preserve"> bills have made it out of the senate and are currently being heard by the House Health and Human Resources Committee.”</w:t>
      </w:r>
    </w:p>
    <w:p w14:paraId="59372460" w14:textId="77777777" w:rsidR="003A2816" w:rsidRDefault="003A2816" w:rsidP="003A2816">
      <w:pPr>
        <w:pStyle w:val="NoSpacing"/>
        <w:ind w:left="720"/>
        <w:rPr>
          <w:rFonts w:ascii="Times New Roman" w:hAnsi="Times New Roman"/>
          <w:sz w:val="24"/>
          <w:szCs w:val="24"/>
        </w:rPr>
      </w:pPr>
    </w:p>
    <w:p w14:paraId="6D7079DA" w14:textId="77777777" w:rsidR="003A2816" w:rsidRPr="00EC5D4A" w:rsidRDefault="003A2816" w:rsidP="00EC5D4A">
      <w:pPr>
        <w:pStyle w:val="NoSpacing"/>
        <w:rPr>
          <w:rFonts w:ascii="Times New Roman" w:hAnsi="Times New Roman"/>
          <w:sz w:val="24"/>
          <w:szCs w:val="24"/>
        </w:rPr>
      </w:pPr>
    </w:p>
    <w:p w14:paraId="35B31B3D" w14:textId="77777777" w:rsidR="00EC5D4A" w:rsidRDefault="00EC5D4A" w:rsidP="000C4DF5">
      <w:pPr>
        <w:pStyle w:val="NoSpacing"/>
        <w:rPr>
          <w:rFonts w:ascii="Arial Black" w:hAnsi="Arial Black"/>
          <w:sz w:val="24"/>
          <w:szCs w:val="24"/>
        </w:rPr>
      </w:pPr>
    </w:p>
    <w:p w14:paraId="6F0DB125" w14:textId="1733B4FD" w:rsidR="00832745" w:rsidRDefault="00832745" w:rsidP="000C4DF5">
      <w:pPr>
        <w:pStyle w:val="NoSpacing"/>
        <w:rPr>
          <w:rFonts w:ascii="Arial Black" w:hAnsi="Arial Black"/>
          <w:sz w:val="24"/>
          <w:szCs w:val="24"/>
        </w:rPr>
      </w:pPr>
      <w:r>
        <w:rPr>
          <w:rFonts w:ascii="Arial Black" w:hAnsi="Arial Black"/>
          <w:sz w:val="24"/>
          <w:szCs w:val="24"/>
        </w:rPr>
        <w:t>15-26</w:t>
      </w:r>
    </w:p>
    <w:p w14:paraId="58D4A639" w14:textId="77777777" w:rsidR="00832745" w:rsidRDefault="00832745" w:rsidP="00832745">
      <w:pPr>
        <w:pStyle w:val="NormalWeb"/>
        <w:rPr>
          <w:rFonts w:ascii="Arial Black" w:hAnsi="Arial Black"/>
          <w:sz w:val="28"/>
          <w:szCs w:val="28"/>
        </w:rPr>
      </w:pPr>
      <w:r>
        <w:rPr>
          <w:rFonts w:ascii="Arial Black" w:hAnsi="Arial Black"/>
          <w:sz w:val="28"/>
          <w:szCs w:val="28"/>
        </w:rPr>
        <w:t xml:space="preserve">WA: NEW PTSD LAW NOT RETROACTIVE – FF HAD EXHIBITED PTSD PRIOR EFFECTIVE DATE – NOT COVERED </w:t>
      </w:r>
    </w:p>
    <w:p w14:paraId="70F9BF95" w14:textId="77777777" w:rsidR="00832745" w:rsidRDefault="00832745" w:rsidP="00832745">
      <w:pPr>
        <w:pStyle w:val="NormalWeb"/>
      </w:pPr>
      <w:r>
        <w:t xml:space="preserve">On Oct. 2, 2023, in </w:t>
      </w:r>
      <w:r>
        <w:rPr>
          <w:u w:val="single"/>
        </w:rPr>
        <w:t>Frank DeYoung v. The City of Mount Vernon and the Department of Labor and Industries</w:t>
      </w:r>
      <w:r>
        <w:t xml:space="preserve">, the Court of Appeals of the State of Washington, held (3 to 0) that the new PTSD statute for police and fire, making PTSD </w:t>
      </w:r>
      <w:proofErr w:type="spellStart"/>
      <w:proofErr w:type="gramStart"/>
      <w:r>
        <w:t>a</w:t>
      </w:r>
      <w:proofErr w:type="spellEnd"/>
      <w:proofErr w:type="gramEnd"/>
      <w:r>
        <w:t xml:space="preserve"> occupational disease, is not retroactive.  The Court held that the firefighter’s claim on Oct. 24, </w:t>
      </w:r>
      <w:proofErr w:type="gramStart"/>
      <w:r>
        <w:t>2019</w:t>
      </w:r>
      <w:proofErr w:type="gramEnd"/>
      <w:r>
        <w:t xml:space="preserve"> is not covered by the statute. “DeYoung also asserts that the requirement in RCW 51.32.185(5) that a firefighter must have served at least ten years before they are eligible to make a claim indicates the legislature’s intent to apply the statute retroactively. According to DeYoung, applying the statute prospectively would mean that no firefighter will be eligible to file a claim for occupational disease benefits for PTSD until 2028. Id. The plain language of the statute does not support such an interpretation. The statute establishes that only firefighters who have served the minimum number of years may file a claim for occupational disease benefits for PTSD. Nothing about the provision is indicative of retroactivity.” </w:t>
      </w:r>
      <w:hyperlink r:id="rId2507" w:history="1">
        <w:r>
          <w:rPr>
            <w:rStyle w:val="Hyperlink"/>
          </w:rPr>
          <w:t>https://cases.justia.com/washington/court-of-appeals-division-i/2023-84561-6-0.pdf?ts=1696273779</w:t>
        </w:r>
      </w:hyperlink>
      <w:r>
        <w:t xml:space="preserve"> </w:t>
      </w:r>
    </w:p>
    <w:p w14:paraId="49B95CAC" w14:textId="77777777" w:rsidR="000518BE" w:rsidRDefault="000518BE" w:rsidP="000518BE">
      <w:pPr>
        <w:pStyle w:val="Heading1"/>
        <w:rPr>
          <w:sz w:val="24"/>
          <w:szCs w:val="24"/>
        </w:rPr>
      </w:pPr>
      <w:r>
        <w:rPr>
          <w:sz w:val="24"/>
          <w:szCs w:val="24"/>
        </w:rPr>
        <w:lastRenderedPageBreak/>
        <w:t xml:space="preserve">Legal Lesson Learned: Legislatures when drafting new benefits for firefighters should in the statute or the legislative history make clear whether the law is retroactive. </w:t>
      </w:r>
    </w:p>
    <w:p w14:paraId="63268BF8" w14:textId="77777777" w:rsidR="00832745" w:rsidRDefault="00832745" w:rsidP="000C4DF5">
      <w:pPr>
        <w:pStyle w:val="NoSpacing"/>
        <w:rPr>
          <w:rFonts w:ascii="Arial Black" w:hAnsi="Arial Black"/>
          <w:sz w:val="24"/>
          <w:szCs w:val="24"/>
        </w:rPr>
      </w:pPr>
    </w:p>
    <w:p w14:paraId="0D52EABB" w14:textId="77777777" w:rsidR="00832745" w:rsidRDefault="00832745" w:rsidP="000C4DF5">
      <w:pPr>
        <w:pStyle w:val="NoSpacing"/>
        <w:rPr>
          <w:rFonts w:ascii="Arial Black" w:hAnsi="Arial Black"/>
          <w:sz w:val="24"/>
          <w:szCs w:val="24"/>
        </w:rPr>
      </w:pPr>
    </w:p>
    <w:p w14:paraId="302C51AA" w14:textId="7B51D485" w:rsidR="00D66BAA" w:rsidRDefault="00D66BAA" w:rsidP="000C4DF5">
      <w:pPr>
        <w:pStyle w:val="NoSpacing"/>
        <w:rPr>
          <w:rFonts w:ascii="Arial Black" w:hAnsi="Arial Black"/>
          <w:sz w:val="24"/>
          <w:szCs w:val="24"/>
        </w:rPr>
      </w:pPr>
      <w:r>
        <w:rPr>
          <w:rFonts w:ascii="Arial Black" w:hAnsi="Arial Black"/>
          <w:sz w:val="24"/>
          <w:szCs w:val="24"/>
        </w:rPr>
        <w:t>15-25</w:t>
      </w:r>
    </w:p>
    <w:p w14:paraId="7A84A0DA" w14:textId="6B2DAF80" w:rsidR="00D66BAA" w:rsidRDefault="00D66BAA" w:rsidP="00D66BAA">
      <w:pPr>
        <w:pStyle w:val="NormalWeb"/>
        <w:rPr>
          <w:rFonts w:ascii="Arial Black" w:hAnsi="Arial Black"/>
          <w:sz w:val="28"/>
          <w:szCs w:val="28"/>
        </w:rPr>
      </w:pPr>
      <w:r>
        <w:rPr>
          <w:rFonts w:ascii="Arial Black" w:hAnsi="Arial Black"/>
          <w:sz w:val="28"/>
          <w:szCs w:val="28"/>
        </w:rPr>
        <w:t xml:space="preserve">IL: PTSD - DENIED LINE-OF-DUTY DISABILITY PENSION – FELL OFF LADDER 2007 – STRESS FROM DEMOTION 2019 </w:t>
      </w:r>
    </w:p>
    <w:p w14:paraId="4D1BB1D9" w14:textId="77777777" w:rsidR="00D66BAA" w:rsidRDefault="00D66BAA" w:rsidP="00D66BAA">
      <w:pPr>
        <w:pStyle w:val="NormalWeb"/>
      </w:pPr>
      <w:r>
        <w:t xml:space="preserve">On March 24, 2023, in </w:t>
      </w:r>
      <w:r>
        <w:rPr>
          <w:u w:val="single"/>
        </w:rPr>
        <w:t>Arthur Szymala v, Romeoville Firefighters’ Pension Fund, et al</w:t>
      </w:r>
      <w:r>
        <w:t xml:space="preserve">., the Court of Appeals of Illinois, Third District, held (3 to 0) that the Pension Board, and the trial court judge, each properly held that the firefighter was not entitled to Line-Of-Duty disability; the firefighter claimed he was disabled due to his posttraumatic stress disorder (PTSD) and major depressive disorder. </w:t>
      </w:r>
    </w:p>
    <w:p w14:paraId="3A82A5FA" w14:textId="77777777" w:rsidR="00D66BAA" w:rsidRDefault="00D66BAA" w:rsidP="00D66BAA">
      <w:pPr>
        <w:pStyle w:val="NormalWeb"/>
        <w:ind w:left="720"/>
      </w:pPr>
      <w:r>
        <w:t xml:space="preserve">The Court of Appeals referenced Board decision, which was made after the firefighter was examined by three independent medical experts (IMEs): “The Board concluded that the plaintiff did not prove a disability, noting: (1) the minor injuries reported after the fall that he fully recovered from, (2) Dr. Eschbach's opinion linking the fall and his condition was based on incomplete and inaccurate information, (3) the plaintiff succeeded in his career for many years following the fall and was promoted after a competitive test, (4) the plaintiff reported a change in work conditions when the department brought in a new battalion chief who frequently challenged the plaintiff's work performance (evidencing a personal dispute rather than a deficit in brain functioning from a fall seven to eight years prior), and (5) the plaintiff only ever reported the claimed conditions immediately following his demotion.” </w:t>
      </w:r>
      <w:hyperlink r:id="rId2508" w:history="1">
        <w:r>
          <w:rPr>
            <w:rStyle w:val="Hyperlink"/>
          </w:rPr>
          <w:t>https://ilcourtsaudio.blob.core.windows.net/antilles-resources/resources/92cdfb54-2dda-4342-acee-d86ea11493ea/Szymala%20v.%20Romeoville%20Firefighters%27%20Pension%20Fund,%202023%20IL%20App%20(3d)%20220093-U.pdf</w:t>
        </w:r>
      </w:hyperlink>
      <w:r>
        <w:t xml:space="preserve"> </w:t>
      </w:r>
    </w:p>
    <w:p w14:paraId="412640FC" w14:textId="77777777" w:rsidR="00D66BAA" w:rsidRDefault="00D66BAA" w:rsidP="00D66BAA">
      <w:pPr>
        <w:pStyle w:val="NormalWeb"/>
        <w:ind w:left="720"/>
      </w:pPr>
      <w:r>
        <w:t xml:space="preserve">“In 2013, the plaintiff was promoted to lieutenant following a competitive promotional testing process. However, he testified that management decided that his performance as lieutenant was inadequate between 2015 and 2018. Around May 2017, the plaintiff was placed on a ‘Performance Improvement Plan’, which included an evaluation of his work performance as lieutenant from May 24, 2017, through February 28, 2018. He </w:t>
      </w:r>
      <w:proofErr w:type="gramStart"/>
      <w:r>
        <w:t>entered into</w:t>
      </w:r>
      <w:proofErr w:type="gramEnd"/>
      <w:r>
        <w:t xml:space="preserve"> a ‘Last Chance Agreement’ in April 2018, where he acknowledged deficiencies in his work performance and agreed to improve these areas during a period of 60 work shifts or risk </w:t>
      </w:r>
      <w:proofErr w:type="gramStart"/>
      <w:r>
        <w:t>a demotion</w:t>
      </w:r>
      <w:proofErr w:type="gramEnd"/>
      <w:r>
        <w:t xml:space="preserve">. The agreement </w:t>
      </w:r>
      <w:proofErr w:type="gramStart"/>
      <w:r>
        <w:t>provided that</w:t>
      </w:r>
      <w:proofErr w:type="gramEnd"/>
      <w:r>
        <w:t xml:space="preserve"> he failed to meet various guidelines, such as working as a team, leading personnel, communicating effectively, and working calmly in stressful situations.</w:t>
      </w:r>
    </w:p>
    <w:p w14:paraId="7397E33A" w14:textId="77777777" w:rsidR="00D66BAA" w:rsidRDefault="00D66BAA" w:rsidP="00D66BAA">
      <w:pPr>
        <w:pStyle w:val="NormalWeb"/>
        <w:ind w:left="720"/>
      </w:pPr>
      <w:r>
        <w:t>***</w:t>
      </w:r>
    </w:p>
    <w:p w14:paraId="24F5268D" w14:textId="77777777" w:rsidR="00D66BAA" w:rsidRDefault="00D66BAA" w:rsidP="00D66BAA">
      <w:pPr>
        <w:pStyle w:val="NormalWeb"/>
        <w:ind w:left="720"/>
      </w:pPr>
      <w:r>
        <w:t>On January 29, 2019, the plaintiff attended a meeting with Chief Kent Adams, other fire department officials, and the Union Executive Board. During the meeting, Chief Adams informed the plaintiff that he failed to satisfactorily complete the Performance Improvement Plan and terms of the Last Chance Agreement and that his performance as lieutenant remained inadequate. The plaintiff was also informed that he was being demoted from lieutenant to firefighter/paramedic effectively immediately.”</w:t>
      </w:r>
    </w:p>
    <w:p w14:paraId="6BD4BA13" w14:textId="77777777" w:rsidR="00D66BAA" w:rsidRDefault="00D66BAA" w:rsidP="00D66BAA">
      <w:pPr>
        <w:pStyle w:val="NormalWeb"/>
        <w:rPr>
          <w:b/>
          <w:bCs/>
        </w:rPr>
      </w:pPr>
      <w:r>
        <w:rPr>
          <w:b/>
          <w:bCs/>
        </w:rPr>
        <w:t xml:space="preserve">Legal Lesson Learned: Working for a “difficult” Battalion Chief may </w:t>
      </w:r>
      <w:proofErr w:type="gramStart"/>
      <w:r>
        <w:rPr>
          <w:b/>
          <w:bCs/>
        </w:rPr>
        <w:t>definitely cause</w:t>
      </w:r>
      <w:proofErr w:type="gramEnd"/>
      <w:r>
        <w:rPr>
          <w:b/>
          <w:bCs/>
        </w:rPr>
        <w:t xml:space="preserve"> stress, but it is not proof of a line-of-duty disability.</w:t>
      </w:r>
    </w:p>
    <w:p w14:paraId="5AF35659" w14:textId="77777777" w:rsidR="00D66BAA" w:rsidRDefault="00D66BAA" w:rsidP="00D66BAA">
      <w:pPr>
        <w:pStyle w:val="NormalWeb"/>
        <w:rPr>
          <w:b/>
          <w:bCs/>
        </w:rPr>
      </w:pPr>
    </w:p>
    <w:p w14:paraId="1CF19242" w14:textId="77777777" w:rsidR="00D66BAA" w:rsidRDefault="00D66BAA" w:rsidP="000C4DF5">
      <w:pPr>
        <w:pStyle w:val="NoSpacing"/>
        <w:rPr>
          <w:rFonts w:ascii="Arial Black" w:hAnsi="Arial Black"/>
          <w:sz w:val="24"/>
          <w:szCs w:val="24"/>
        </w:rPr>
      </w:pPr>
    </w:p>
    <w:p w14:paraId="1D7CB2FD" w14:textId="77777777" w:rsidR="00D66BAA" w:rsidRDefault="00D66BAA" w:rsidP="000C4DF5">
      <w:pPr>
        <w:pStyle w:val="NoSpacing"/>
        <w:rPr>
          <w:rFonts w:ascii="Arial Black" w:hAnsi="Arial Black"/>
          <w:sz w:val="24"/>
          <w:szCs w:val="24"/>
        </w:rPr>
      </w:pPr>
    </w:p>
    <w:p w14:paraId="03DF357C" w14:textId="77777777" w:rsidR="00D66BAA" w:rsidRDefault="00D66BAA" w:rsidP="000C4DF5">
      <w:pPr>
        <w:pStyle w:val="NoSpacing"/>
        <w:rPr>
          <w:rFonts w:ascii="Arial Black" w:hAnsi="Arial Black"/>
          <w:sz w:val="24"/>
          <w:szCs w:val="24"/>
        </w:rPr>
      </w:pPr>
    </w:p>
    <w:p w14:paraId="0593526A" w14:textId="53EB45BD" w:rsidR="00F55395" w:rsidRDefault="00F55395" w:rsidP="000C4DF5">
      <w:pPr>
        <w:pStyle w:val="NoSpacing"/>
        <w:rPr>
          <w:rFonts w:ascii="Arial Black" w:hAnsi="Arial Black"/>
          <w:sz w:val="24"/>
          <w:szCs w:val="24"/>
        </w:rPr>
      </w:pPr>
      <w:r>
        <w:rPr>
          <w:rFonts w:ascii="Arial Black" w:hAnsi="Arial Black"/>
          <w:sz w:val="24"/>
          <w:szCs w:val="24"/>
        </w:rPr>
        <w:t>15-24</w:t>
      </w:r>
    </w:p>
    <w:p w14:paraId="0B98FCC8" w14:textId="77777777" w:rsidR="00F55395" w:rsidRPr="00AD7734" w:rsidRDefault="00F55395" w:rsidP="00F55395">
      <w:pPr>
        <w:pStyle w:val="NormalWeb"/>
        <w:rPr>
          <w:rFonts w:ascii="Arial Black" w:hAnsi="Arial Black"/>
          <w:b/>
          <w:bCs/>
          <w:sz w:val="28"/>
          <w:szCs w:val="28"/>
        </w:rPr>
      </w:pPr>
      <w:r>
        <w:rPr>
          <w:rFonts w:ascii="Arial Black" w:hAnsi="Arial Black"/>
          <w:b/>
          <w:bCs/>
          <w:sz w:val="28"/>
          <w:szCs w:val="28"/>
        </w:rPr>
        <w:t>LA: FD FINANCE MGR. – EAP COUNSELING SESSIONS ONLY AFTER WORK – RESIGNED - NO CONSTRUCTIVE DISCHARGE</w:t>
      </w:r>
    </w:p>
    <w:p w14:paraId="07262CBF" w14:textId="77777777" w:rsidR="00F55395" w:rsidRDefault="00F55395" w:rsidP="00F55395">
      <w:pPr>
        <w:pStyle w:val="NormalWeb"/>
      </w:pPr>
      <w:r>
        <w:t xml:space="preserve">On March 1, 2023, in </w:t>
      </w:r>
      <w:r w:rsidRPr="00AD7734">
        <w:rPr>
          <w:u w:val="single"/>
        </w:rPr>
        <w:t>Sherita Ann Cooks v. The City of Shreveport, et al</w:t>
      </w:r>
      <w:r>
        <w:t xml:space="preserve">., the Court of Appeals of Louisiana, Second Circuit, held (3 to 0) that the trial court properly dismissed her claim of that workplace was so hostile that she was forced to quit.  The Court wrote: “The plaintiff's summary judgment evidence falls far short of prima facie proof of constructive termination. The entirety of the evidence that she cites in support of that claim consists of an April 2016 email exchange between her and Chief Tolliver wherein the plaintiff requested an explanation as to why she could not attend an EAP session during her lunch hour, even though it would take more than one hour when including travel time. The plaintiff offered to compensate the </w:t>
      </w:r>
      <w:proofErr w:type="gramStart"/>
      <w:r>
        <w:t>City</w:t>
      </w:r>
      <w:proofErr w:type="gramEnd"/>
      <w:r>
        <w:t xml:space="preserve"> for the time the session required </w:t>
      </w:r>
      <w:proofErr w:type="gramStart"/>
      <w:r>
        <w:t>in excess of</w:t>
      </w:r>
      <w:proofErr w:type="gramEnd"/>
      <w:r>
        <w:t xml:space="preserve"> the allotted one-hour lunch by taking sick leave. In response, Chief Tolliver granted the plaintiff permission to attend one session during her lunch hour, but stated that, thereafter, the plaintiff would have to adhere to the fire department's policy of requiring that EAP sessions take place after work hours.” </w:t>
      </w:r>
      <w:hyperlink r:id="rId2509" w:history="1">
        <w:r w:rsidRPr="003F256B">
          <w:rPr>
            <w:rStyle w:val="Hyperlink"/>
            <w:rFonts w:eastAsiaTheme="majorEastAsia"/>
          </w:rPr>
          <w:t>https://law.justia.com/cases/louisiana/second-circuit-court-of-appeal/2023/54-841-ca.html</w:t>
        </w:r>
      </w:hyperlink>
      <w:r>
        <w:t xml:space="preserve"> </w:t>
      </w:r>
    </w:p>
    <w:p w14:paraId="5E8F55AE" w14:textId="77777777" w:rsidR="00F55395" w:rsidRDefault="00F55395" w:rsidP="00F55395">
      <w:pPr>
        <w:pStyle w:val="NormalWeb"/>
        <w:ind w:left="720"/>
      </w:pPr>
      <w:r>
        <w:t>“This case stems from the plaintiff's employment as a financial accreditation manager with the Shreveport Fire Department, which began in June 2014. In or around December 2014, the plaintiff's immediate supervisor, Chief of Communications, Kathy Rushworth (‘Chief Rushworth’), allegedly ordered the plaintiff to spend her personal money on official fire department business and indicated that plaintiff would be reimbursed from an "off the books" bank account known as the International CAD Consortium fund (‘ICC fund’). It contained money that was to fund a consortium event; the event was later canceled, but the money was not refunded. The plaintiff alleged that her assistant, Ashley Wiggins (‘Wiggins’), and Chief Rushworth, used the ICC fund as a ‘slush fund,’ and that Chief Rushworth instructed her to not open the ICC bank statements or mention the ICC fund to the finance auditor or Violet Anderson, the Assistant Chief of Communications.</w:t>
      </w:r>
    </w:p>
    <w:p w14:paraId="3BD6DA30" w14:textId="77777777" w:rsidR="00F55395" w:rsidRDefault="00F55395" w:rsidP="00F55395">
      <w:pPr>
        <w:pStyle w:val="NormalWeb"/>
        <w:ind w:left="720"/>
      </w:pPr>
      <w:r>
        <w:t>***</w:t>
      </w:r>
    </w:p>
    <w:p w14:paraId="3C7D4572" w14:textId="77777777" w:rsidR="00F55395" w:rsidRDefault="00F55395" w:rsidP="00F55395">
      <w:pPr>
        <w:pStyle w:val="NormalWeb"/>
        <w:ind w:left="720"/>
      </w:pPr>
      <w:r>
        <w:t xml:space="preserve">Also, in April 2016, because of the stress that the hostile work environment and the slush fund matter allegedly </w:t>
      </w:r>
      <w:proofErr w:type="gramStart"/>
      <w:r>
        <w:t>caused her</w:t>
      </w:r>
      <w:proofErr w:type="gramEnd"/>
      <w:r>
        <w:t xml:space="preserve">, the plaintiff voluntarily began counseling or psychiatry sessions pursuant to the city's employee assistance </w:t>
      </w:r>
      <w:proofErr w:type="gramStart"/>
      <w:r>
        <w:t>program (‘</w:t>
      </w:r>
      <w:proofErr w:type="gramEnd"/>
      <w:r>
        <w:t>EAP’). However, with only one exception, she was not allowed to use her sick leave to attend these sessions during the workday. Furthermore, as previously stated, the plaintiff took a two-month sabbatical beginning in April 2016. It bears repeating that when the plaintiff returned to work in June 2016, both Chief Rushworth and Wiggins were no longer employed with the Shreveport Fire Department. The plaintiff did not quit her job until November 2016.”</w:t>
      </w:r>
    </w:p>
    <w:p w14:paraId="2CDDF05F" w14:textId="77777777" w:rsidR="00F55395" w:rsidRPr="00927A58" w:rsidRDefault="00F55395" w:rsidP="00F55395">
      <w:pPr>
        <w:pStyle w:val="NormalWeb"/>
        <w:rPr>
          <w:b/>
          <w:bCs/>
        </w:rPr>
      </w:pPr>
      <w:r w:rsidRPr="00927A58">
        <w:rPr>
          <w:b/>
          <w:bCs/>
        </w:rPr>
        <w:t>Legal Lesson Learned:</w:t>
      </w:r>
      <w:r>
        <w:rPr>
          <w:b/>
          <w:bCs/>
        </w:rPr>
        <w:t xml:space="preserve">  Employee Assistance Programs (EAP) can be very beneficial.  Consider adding a provision in employee handbook allowing sick leave to be used.  </w:t>
      </w:r>
    </w:p>
    <w:p w14:paraId="4D2B278C" w14:textId="757CC001" w:rsidR="00F55395" w:rsidRDefault="00F55395" w:rsidP="000C4DF5">
      <w:pPr>
        <w:pStyle w:val="NoSpacing"/>
        <w:rPr>
          <w:rFonts w:ascii="Arial Black" w:hAnsi="Arial Black"/>
          <w:sz w:val="24"/>
          <w:szCs w:val="24"/>
        </w:rPr>
      </w:pPr>
    </w:p>
    <w:p w14:paraId="79593F02" w14:textId="77777777" w:rsidR="00F55395" w:rsidRDefault="00F55395" w:rsidP="000C4DF5">
      <w:pPr>
        <w:pStyle w:val="NoSpacing"/>
        <w:rPr>
          <w:rFonts w:ascii="Arial Black" w:hAnsi="Arial Black"/>
          <w:sz w:val="24"/>
          <w:szCs w:val="24"/>
        </w:rPr>
      </w:pPr>
    </w:p>
    <w:p w14:paraId="1239225A" w14:textId="77777777" w:rsidR="00F55395" w:rsidRDefault="00F55395" w:rsidP="000C4DF5">
      <w:pPr>
        <w:pStyle w:val="NoSpacing"/>
        <w:rPr>
          <w:rFonts w:ascii="Arial Black" w:hAnsi="Arial Black"/>
          <w:sz w:val="24"/>
          <w:szCs w:val="24"/>
        </w:rPr>
      </w:pPr>
    </w:p>
    <w:p w14:paraId="4DDEDF4C" w14:textId="6FD324D6" w:rsidR="00F55395" w:rsidRDefault="00F55395" w:rsidP="000C4DF5">
      <w:pPr>
        <w:pStyle w:val="NoSpacing"/>
        <w:rPr>
          <w:rFonts w:ascii="Arial Black" w:hAnsi="Arial Black"/>
          <w:sz w:val="24"/>
          <w:szCs w:val="24"/>
        </w:rPr>
      </w:pPr>
      <w:r>
        <w:rPr>
          <w:rFonts w:ascii="Arial Black" w:hAnsi="Arial Black"/>
          <w:sz w:val="24"/>
          <w:szCs w:val="24"/>
        </w:rPr>
        <w:t>15-23</w:t>
      </w:r>
    </w:p>
    <w:p w14:paraId="41E250C5" w14:textId="77777777" w:rsidR="00F55395" w:rsidRDefault="00F55395" w:rsidP="00F55395">
      <w:pPr>
        <w:pStyle w:val="NormalWeb"/>
        <w:rPr>
          <w:rFonts w:ascii="Arial Black" w:hAnsi="Arial Black"/>
          <w:b/>
          <w:bCs/>
          <w:sz w:val="28"/>
          <w:szCs w:val="28"/>
        </w:rPr>
      </w:pPr>
      <w:r>
        <w:rPr>
          <w:rFonts w:ascii="Arial Black" w:hAnsi="Arial Black"/>
          <w:b/>
          <w:bCs/>
          <w:sz w:val="28"/>
          <w:szCs w:val="28"/>
        </w:rPr>
        <w:lastRenderedPageBreak/>
        <w:t xml:space="preserve">FL: BAT. CHIEF “EXTREMELY ANXIOUS” MAKING EMER. RUNS – DENIED OFFICE WORK ONLY - PIP - FIRED </w:t>
      </w:r>
    </w:p>
    <w:p w14:paraId="22417CBF" w14:textId="77777777" w:rsidR="00F55395" w:rsidRDefault="00F55395" w:rsidP="00F55395">
      <w:pPr>
        <w:pStyle w:val="NormalWeb"/>
      </w:pPr>
      <w:r w:rsidRPr="00930FD8">
        <w:t xml:space="preserve">On Feb. 14, 2023, in </w:t>
      </w:r>
      <w:r w:rsidRPr="00930FD8">
        <w:rPr>
          <w:u w:val="single"/>
        </w:rPr>
        <w:t>William Valencia v. Haines City, Florida,</w:t>
      </w:r>
      <w:r w:rsidRPr="00930FD8">
        <w:t xml:space="preserve"> </w:t>
      </w:r>
      <w:r>
        <w:t xml:space="preserve">U.S. District Court Judge Tom Barber granted City’s motion for summary judgment.  The Battalion Chief suffered from high blood pressure and anxiety, and in 2018 the Fire Chief allowed him to do administrative work and not make emergency runs. In February 2019, Jeffrey Davidson became the new Fire Chief. Plaintiff asked Davidson to excuse him from running calls. Davidson did not agree, and he asked Plaintiff to provide medical documentation to support the request, which Plaintiff never did. He was placed on a 90-day Performance Improvement Plan [PIPO|] in </w:t>
      </w:r>
      <w:proofErr w:type="gramStart"/>
      <w:r>
        <w:t>Nov. 2019, and</w:t>
      </w:r>
      <w:proofErr w:type="gramEnd"/>
      <w:r>
        <w:t xml:space="preserve"> ultimately fired after a pre-disciplinary hearing on April 10, 2020.  The Court held: “In short, Defendant has pointed to legitimate reasons that would motivate a reasonable employer to take the actions it did, and Plaintiff has not shown that the reasons were pretextual under the standards set forth above. Defendant may have been high-handed, unfair, or wrong, but Plaintiff has pointed to no evidence that its stated reasons were not the real reasons. Accordingly, Defendant's motion for summary judgment is granted.” </w:t>
      </w:r>
      <w:hyperlink r:id="rId2510" w:history="1">
        <w:r w:rsidRPr="00933DFB">
          <w:rPr>
            <w:rStyle w:val="Hyperlink"/>
            <w:rFonts w:eastAsiaTheme="majorEastAsia"/>
          </w:rPr>
          <w:t>https://storage.courtlistener.com/recap/gov.uscourts.flmd.392068/gov.uscourts.flmd.392068.43.0.pdf</w:t>
        </w:r>
      </w:hyperlink>
      <w:r>
        <w:t xml:space="preserve"> </w:t>
      </w:r>
    </w:p>
    <w:p w14:paraId="455B636F" w14:textId="77777777" w:rsidR="00F55395" w:rsidRPr="00930FD8" w:rsidRDefault="00F55395" w:rsidP="00F55395">
      <w:pPr>
        <w:pStyle w:val="NormalWeb"/>
        <w:ind w:left="720"/>
        <w:rPr>
          <w:rFonts w:ascii="Arial Black" w:hAnsi="Arial Black"/>
          <w:b/>
          <w:bCs/>
          <w:sz w:val="28"/>
          <w:szCs w:val="28"/>
        </w:rPr>
      </w:pPr>
      <w:r>
        <w:t xml:space="preserve">“Defendant [Fire Department] has offered legitimate non-discriminatory and non-retaliatory reasons for Plaintiff's discipline and termination, identifying numerous specific incidents and problems with Plaintiff's performance as Battalion Chief in 2019. Chief Davidson supported his recommendation that Plaintiff be terminated by citing the following issues, among others: multiple instances of improper use of a department purchasing card for supplies without using a tax exemption as required by department policy, failure to turn in an assignment in time for Davidson to use at a meeting, failure to send part of another assignment until reminded to do so by Davidson, turning in a report that was due in October on November 1, 2019, failing to attend a training class as directed, failing to prepare a draft purchasing procedure as directed, and coming to a meeting without a list of specific job responsibilities as directed.” </w:t>
      </w:r>
    </w:p>
    <w:p w14:paraId="5E026E11" w14:textId="77777777" w:rsidR="00F55395" w:rsidRDefault="00F55395" w:rsidP="00F55395">
      <w:pPr>
        <w:pStyle w:val="NormalWeb"/>
        <w:rPr>
          <w:b/>
          <w:bCs/>
        </w:rPr>
      </w:pPr>
      <w:r w:rsidRPr="006C0460">
        <w:rPr>
          <w:b/>
          <w:bCs/>
        </w:rPr>
        <w:t>Legal Lesson Learned:</w:t>
      </w:r>
      <w:r>
        <w:rPr>
          <w:b/>
          <w:bCs/>
        </w:rPr>
        <w:t xml:space="preserve">  A “PIP” can be an effective management tool.    </w:t>
      </w:r>
    </w:p>
    <w:p w14:paraId="1E456CBA" w14:textId="77777777" w:rsidR="00F55395" w:rsidRPr="006C0460" w:rsidRDefault="00F55395" w:rsidP="00F55395">
      <w:pPr>
        <w:pStyle w:val="NormalWeb"/>
        <w:ind w:left="720"/>
        <w:rPr>
          <w:b/>
          <w:bCs/>
        </w:rPr>
      </w:pPr>
      <w:r w:rsidRPr="00FE0DD3">
        <w:t xml:space="preserve">Note: See EEOC description of “reasonable </w:t>
      </w:r>
      <w:r>
        <w:t>a</w:t>
      </w:r>
      <w:r w:rsidRPr="00FE0DD3">
        <w:t>ccommodations” obligations under ADA</w:t>
      </w:r>
      <w:r>
        <w:t>.</w:t>
      </w:r>
      <w:r w:rsidRPr="00FE0DD3">
        <w:t xml:space="preserve"> “</w:t>
      </w:r>
      <w:r>
        <w:t xml:space="preserve">An employer doesn't have to provide an accommodation if doing so would cause undue hardship to the business.  Undue hardship means that the accommodation would be too difficult or too expensive to provide, </w:t>
      </w:r>
      <w:proofErr w:type="gramStart"/>
      <w:r>
        <w:t>in light of</w:t>
      </w:r>
      <w:proofErr w:type="gramEnd"/>
      <w:r>
        <w:t xml:space="preserve"> the employer's size, financial resources, and the needs of the business.” </w:t>
      </w:r>
      <w:hyperlink r:id="rId2511" w:history="1">
        <w:r w:rsidRPr="00557FA1">
          <w:rPr>
            <w:rStyle w:val="Hyperlink"/>
            <w:rFonts w:eastAsiaTheme="majorEastAsia"/>
          </w:rPr>
          <w:t>https://www.eeoc.gov/disability-discrimination-and-employment-decisions</w:t>
        </w:r>
      </w:hyperlink>
      <w:r>
        <w:t xml:space="preserve"> </w:t>
      </w:r>
    </w:p>
    <w:p w14:paraId="0F2963B2" w14:textId="77777777" w:rsidR="00F55395" w:rsidRDefault="00F55395" w:rsidP="000C4DF5">
      <w:pPr>
        <w:pStyle w:val="NoSpacing"/>
        <w:rPr>
          <w:rFonts w:ascii="Arial Black" w:hAnsi="Arial Black"/>
          <w:sz w:val="24"/>
          <w:szCs w:val="24"/>
        </w:rPr>
      </w:pPr>
    </w:p>
    <w:p w14:paraId="02A65238" w14:textId="77777777" w:rsidR="00F55395" w:rsidRDefault="00F55395" w:rsidP="000C4DF5">
      <w:pPr>
        <w:pStyle w:val="NoSpacing"/>
        <w:rPr>
          <w:rFonts w:ascii="Arial Black" w:hAnsi="Arial Black"/>
          <w:sz w:val="24"/>
          <w:szCs w:val="24"/>
        </w:rPr>
      </w:pPr>
    </w:p>
    <w:p w14:paraId="1DF8E2A4" w14:textId="77777777" w:rsidR="00F55395" w:rsidRDefault="00F55395" w:rsidP="000C4DF5">
      <w:pPr>
        <w:pStyle w:val="NoSpacing"/>
        <w:rPr>
          <w:rFonts w:ascii="Arial Black" w:hAnsi="Arial Black"/>
          <w:sz w:val="24"/>
          <w:szCs w:val="24"/>
        </w:rPr>
      </w:pPr>
    </w:p>
    <w:p w14:paraId="2346BD04" w14:textId="41ACD1C9" w:rsidR="00BA3CDE" w:rsidRDefault="00BA3CDE" w:rsidP="000C4DF5">
      <w:pPr>
        <w:pStyle w:val="NoSpacing"/>
        <w:rPr>
          <w:rFonts w:ascii="Arial Black" w:hAnsi="Arial Black"/>
          <w:sz w:val="24"/>
          <w:szCs w:val="24"/>
        </w:rPr>
      </w:pPr>
      <w:r>
        <w:rPr>
          <w:rFonts w:ascii="Arial Black" w:hAnsi="Arial Black"/>
          <w:sz w:val="24"/>
          <w:szCs w:val="24"/>
        </w:rPr>
        <w:t>15-22</w:t>
      </w:r>
    </w:p>
    <w:p w14:paraId="27E01CB9" w14:textId="77777777" w:rsidR="00BA3CDE" w:rsidRPr="009024DC" w:rsidRDefault="00BA3CDE" w:rsidP="00BA3CDE">
      <w:pPr>
        <w:pStyle w:val="NormalWeb"/>
        <w:rPr>
          <w:rFonts w:ascii="Arial Black" w:hAnsi="Arial Black"/>
          <w:sz w:val="28"/>
          <w:szCs w:val="28"/>
        </w:rPr>
      </w:pPr>
      <w:r>
        <w:rPr>
          <w:rFonts w:ascii="Arial Black" w:hAnsi="Arial Black"/>
          <w:sz w:val="28"/>
          <w:szCs w:val="28"/>
        </w:rPr>
        <w:t xml:space="preserve">MN: PTSD STATUTORY PRESUMPTION - DEPUTY GET WORKER COMP – COUNTY PSYCH IME NOT FOR 10 MONTHS </w:t>
      </w:r>
    </w:p>
    <w:p w14:paraId="5BBAA844" w14:textId="77777777" w:rsidR="00BA3CDE" w:rsidRDefault="00BA3CDE" w:rsidP="00BA3CDE">
      <w:pPr>
        <w:pStyle w:val="NormalWeb"/>
      </w:pPr>
      <w:r>
        <w:t xml:space="preserve">On Dec. 21, 2022, in </w:t>
      </w:r>
      <w:r w:rsidRPr="00DB4210">
        <w:t>Douglas Juntunen v. Carlton County, et al.,</w:t>
      </w:r>
      <w:r>
        <w:t xml:space="preserve"> the Supreme Court of Minnesota held (7 to 0; including 2 concurring opinions) that Deputy Juntunen is entitled to workers compensation. The Deputy’s psychiatrist concluded he suffered from PTSD on the date of the exam, Aug. 20, 2019. The County took 10 months to arrange for their psychiatrist to conduct an independent medical exam (July 20, 2020), who concluded that the Deputy now suffers from major depression but not PTSD. The County therefore failed to rebut the Minnesota statutory presumption for emergency responders.  The Deputy also submitted proof of seeking mental help after the suicide of a former partner in 2016.  He contacted County EAP who referred him </w:t>
      </w:r>
      <w:r>
        <w:lastRenderedPageBreak/>
        <w:t xml:space="preserve">to Beth Jordan, a licensed mental health clinician, who he saw four our times during next 3 months. Then in Dec. 2018, he renewed meeting with the Beth Jordan when he found it </w:t>
      </w:r>
      <w:proofErr w:type="gramStart"/>
      <w:r>
        <w:t>more and more</w:t>
      </w:r>
      <w:proofErr w:type="gramEnd"/>
      <w:r>
        <w:t xml:space="preserve"> difficult to report to duty.  Over the next few months, he met with Jordan a few times a month, and he received eye movement desensitization and reprocessing (EMDR) therapy to process the pursuit and suicide, his partner's suicide, his mother's death, and the death of a 16-year-old boy in MVA who had just received his driver’s license. The Workers Comp administrative law judge denied coverage based on the County’s psychiatrist’s report.  On appeal, the Workers' Compensation Court of Appeals reversed since that report was 10 months after the Deputy’s report of PTSD (Aug. 20, 2019).  The Minnesota statutory presumption law became effective for claims made on or after Jan. 1, 2019.</w:t>
      </w:r>
    </w:p>
    <w:p w14:paraId="22D62859" w14:textId="77777777" w:rsidR="00BA3CDE" w:rsidRPr="00B57D9A" w:rsidRDefault="00BA3CDE" w:rsidP="00BA3CDE">
      <w:pPr>
        <w:pStyle w:val="NormalWeb"/>
        <w:ind w:left="720"/>
      </w:pPr>
      <w:r>
        <w:t>“</w:t>
      </w:r>
      <w:r w:rsidRPr="00B57D9A">
        <w:t xml:space="preserve">The employer argues that Dr. Arbisi's opinion from July 2020 was sufficient to rebut the presumption. We disagree. The WCCA determined that the County did not rebut the presumption for the following reason: </w:t>
      </w:r>
    </w:p>
    <w:p w14:paraId="0CD6AA8A" w14:textId="77777777" w:rsidR="00BA3CDE" w:rsidRDefault="00BA3CDE" w:rsidP="00BA3CDE">
      <w:pPr>
        <w:spacing w:after="100" w:line="240" w:lineRule="auto"/>
        <w:ind w:left="1440"/>
        <w:rPr>
          <w:rFonts w:ascii="Times New Roman" w:eastAsia="Times New Roman" w:hAnsi="Times New Roman"/>
          <w:sz w:val="24"/>
          <w:szCs w:val="24"/>
        </w:rPr>
      </w:pPr>
      <w:r w:rsidRPr="00B57D9A">
        <w:rPr>
          <w:rFonts w:ascii="Times New Roman" w:eastAsia="Times New Roman" w:hAnsi="Times New Roman"/>
          <w:sz w:val="24"/>
          <w:szCs w:val="24"/>
        </w:rPr>
        <w:t>The presumption [based on Dr. Keller's diagnosis in September 2019] established that at the time of his disablement from work, the employee had compensable PTSD. To rebut, the employer needed to offer evidence that at the time of the employee's disablement, he did not have a PTSD diagnosis. The employer failed to do so as Dr. Arbisi's opinion was, at the time of his July 2020 evaluation and for the 30 days preceding that evaluation, that the employee did not have a PTSD diagnosis. His opinion, in both his report and his deposition testimony, failed to address the issue surrounding the statutory presumption, specifically whether the employee had a diagnosis of PTSD in September 2019.</w:t>
      </w:r>
      <w:r>
        <w:rPr>
          <w:rFonts w:ascii="Times New Roman" w:eastAsia="Times New Roman" w:hAnsi="Times New Roman"/>
          <w:sz w:val="24"/>
          <w:szCs w:val="24"/>
        </w:rPr>
        <w:t>”</w:t>
      </w:r>
    </w:p>
    <w:p w14:paraId="22591932" w14:textId="77777777" w:rsidR="00BA3CDE" w:rsidRPr="00B57D9A" w:rsidRDefault="00BA3CDE" w:rsidP="00BA3CDE">
      <w:pPr>
        <w:spacing w:after="100" w:line="240" w:lineRule="auto"/>
        <w:ind w:left="720"/>
        <w:rPr>
          <w:rFonts w:ascii="Times New Roman" w:eastAsia="Times New Roman" w:hAnsi="Times New Roman"/>
          <w:sz w:val="24"/>
          <w:szCs w:val="24"/>
        </w:rPr>
      </w:pPr>
      <w:hyperlink r:id="rId2512" w:history="1">
        <w:r w:rsidRPr="006B595F">
          <w:rPr>
            <w:rStyle w:val="Hyperlink"/>
            <w:rFonts w:ascii="Times New Roman" w:eastAsia="Times New Roman" w:hAnsi="Times New Roman"/>
            <w:sz w:val="24"/>
            <w:szCs w:val="24"/>
          </w:rPr>
          <w:t>https://mn.gov/workcomp-stat/2021/Juntunen%20-%2012-28-21.html</w:t>
        </w:r>
      </w:hyperlink>
      <w:r>
        <w:rPr>
          <w:rFonts w:ascii="Times New Roman" w:eastAsia="Times New Roman" w:hAnsi="Times New Roman"/>
          <w:sz w:val="24"/>
          <w:szCs w:val="24"/>
        </w:rPr>
        <w:t xml:space="preserve"> </w:t>
      </w:r>
    </w:p>
    <w:p w14:paraId="4F285B52" w14:textId="77777777" w:rsidR="00BA3CDE" w:rsidRPr="00B57D9A" w:rsidRDefault="00BA3CDE" w:rsidP="00BA3CDE">
      <w:pPr>
        <w:pStyle w:val="NormalWeb"/>
        <w:rPr>
          <w:b/>
          <w:bCs/>
        </w:rPr>
      </w:pPr>
      <w:r w:rsidRPr="00B57D9A">
        <w:rPr>
          <w:b/>
          <w:bCs/>
        </w:rPr>
        <w:t xml:space="preserve">Legal Lesson Learned: </w:t>
      </w:r>
      <w:r>
        <w:rPr>
          <w:b/>
          <w:bCs/>
        </w:rPr>
        <w:t xml:space="preserve"> Statutory presumption for emergency responders </w:t>
      </w:r>
      <w:proofErr w:type="gramStart"/>
      <w:r>
        <w:rPr>
          <w:b/>
          <w:bCs/>
        </w:rPr>
        <w:t>are</w:t>
      </w:r>
      <w:proofErr w:type="gramEnd"/>
      <w:r>
        <w:rPr>
          <w:b/>
          <w:bCs/>
        </w:rPr>
        <w:t xml:space="preserve"> extremely helpful for those seeking workers comp for PTSD,</w:t>
      </w:r>
    </w:p>
    <w:p w14:paraId="5A442F8E" w14:textId="77777777" w:rsidR="00BA3CDE" w:rsidRDefault="00BA3CDE" w:rsidP="00BA3CDE">
      <w:pPr>
        <w:pStyle w:val="NormalWeb"/>
        <w:ind w:left="720"/>
      </w:pPr>
      <w:r>
        <w:t>Note: Two of the seven Minnesota Supreme Court Justices issued a concurring opinion. Justice Anderson wrote:</w:t>
      </w:r>
    </w:p>
    <w:p w14:paraId="04E14177" w14:textId="77777777" w:rsidR="00BA3CDE" w:rsidRPr="00C02792" w:rsidRDefault="00BA3CDE" w:rsidP="00BA3CDE">
      <w:pPr>
        <w:pStyle w:val="NormalWeb"/>
        <w:ind w:left="720"/>
      </w:pPr>
      <w:r>
        <w:t xml:space="preserve">“This [opinion] leaves local government units, and by extension, taxpayers, potentially required to pay disability compensation to any covered employee who is diagnosed with PTSD from the time the employee files the claim until the employer can schedule an independent medical examination, regardless of the validity of the initial diagnosis. *** What amendments, if any, are necessary to clarify the operation of Minn. Stat. § 176.011, subd. 15(e), are within the purview of the Legislative and Executive branches of our government. I write separately only to highlight some potential issues that may, or may not, require further action by those branches.” </w:t>
      </w:r>
      <w:hyperlink r:id="rId2513" w:history="1">
        <w:r w:rsidRPr="00037B1A">
          <w:rPr>
            <w:rStyle w:val="Hyperlink"/>
            <w:rFonts w:eastAsiaTheme="majorEastAsia"/>
          </w:rPr>
          <w:t>https://public.fastcase.com/J%2FJP6pdidelsXxEE4k%2BLMrxVcam7rKBSdRgmN0M2d%2BrW9J8HXjyMcs%2BCJsDK%2Fusk%2B2E9D%2F1BAqASOG07gYFsTW16dm6lb%2FBgwI52A7gDyzw%3D?utm_medium=email&amp;_hsmi=226712652&amp;_hsenc=p2ANqtz-9PBrRsgZ6dWHR_pYoIAB1lqWQVVefDA3UXzg06QZf9i4O0NAY5ywCEjL-xcfOhIm7moLGvuFP1IQS4Gks-qJ07TvkP3Q&amp;utm_content=226712652&amp;utm_source=hs_email</w:t>
        </w:r>
      </w:hyperlink>
    </w:p>
    <w:p w14:paraId="6C9B9641" w14:textId="77777777" w:rsidR="00BA3CDE" w:rsidRDefault="00BA3CDE" w:rsidP="000C4DF5">
      <w:pPr>
        <w:pStyle w:val="NoSpacing"/>
        <w:rPr>
          <w:rFonts w:ascii="Arial Black" w:hAnsi="Arial Black"/>
          <w:sz w:val="24"/>
          <w:szCs w:val="24"/>
        </w:rPr>
      </w:pPr>
    </w:p>
    <w:p w14:paraId="5B8AED27" w14:textId="77777777" w:rsidR="00BA3CDE" w:rsidRDefault="00BA3CDE" w:rsidP="000C4DF5">
      <w:pPr>
        <w:pStyle w:val="NoSpacing"/>
        <w:rPr>
          <w:rFonts w:ascii="Arial Black" w:hAnsi="Arial Black"/>
          <w:sz w:val="24"/>
          <w:szCs w:val="24"/>
        </w:rPr>
      </w:pPr>
    </w:p>
    <w:p w14:paraId="7C1A1458" w14:textId="77777777" w:rsidR="00BA3CDE" w:rsidRDefault="00BA3CDE" w:rsidP="000C4DF5">
      <w:pPr>
        <w:pStyle w:val="NoSpacing"/>
        <w:rPr>
          <w:rFonts w:ascii="Arial Black" w:hAnsi="Arial Black"/>
          <w:sz w:val="24"/>
          <w:szCs w:val="24"/>
        </w:rPr>
      </w:pPr>
    </w:p>
    <w:p w14:paraId="167E6E98" w14:textId="7BB8D040" w:rsidR="00BA3CDE" w:rsidRDefault="00BA3CDE" w:rsidP="000C4DF5">
      <w:pPr>
        <w:pStyle w:val="NoSpacing"/>
        <w:rPr>
          <w:rFonts w:ascii="Arial Black" w:hAnsi="Arial Black"/>
          <w:sz w:val="24"/>
          <w:szCs w:val="24"/>
        </w:rPr>
      </w:pPr>
      <w:r>
        <w:rPr>
          <w:rFonts w:ascii="Arial Black" w:hAnsi="Arial Black"/>
          <w:sz w:val="24"/>
          <w:szCs w:val="24"/>
        </w:rPr>
        <w:t>15-21</w:t>
      </w:r>
    </w:p>
    <w:p w14:paraId="3810AAC9" w14:textId="77777777" w:rsidR="00BA3CDE" w:rsidRDefault="00BA3CDE" w:rsidP="00BA3CDE">
      <w:pPr>
        <w:pStyle w:val="NormalWeb"/>
        <w:rPr>
          <w:rFonts w:ascii="Arial Black" w:hAnsi="Arial Black"/>
          <w:sz w:val="28"/>
          <w:szCs w:val="28"/>
        </w:rPr>
      </w:pPr>
      <w:r>
        <w:rPr>
          <w:rFonts w:ascii="Arial Black" w:hAnsi="Arial Black"/>
          <w:sz w:val="28"/>
          <w:szCs w:val="28"/>
        </w:rPr>
        <w:lastRenderedPageBreak/>
        <w:t>MN: DEPUTY SHERIFF SUICIDE – “KILLED IN LINE-OF-DUTY” PENSION AWARDED TO WIFE – COURT OVERTURNS ALJ</w:t>
      </w:r>
    </w:p>
    <w:p w14:paraId="72749FA8" w14:textId="77777777" w:rsidR="00BA3CDE" w:rsidRDefault="00BA3CDE" w:rsidP="00BA3CDE">
      <w:pPr>
        <w:pStyle w:val="NormalWeb"/>
      </w:pPr>
      <w:r>
        <w:t xml:space="preserve">On Dec. 19, 2022, in </w:t>
      </w:r>
      <w:r w:rsidRPr="00036152">
        <w:rPr>
          <w:u w:val="single"/>
        </w:rPr>
        <w:t xml:space="preserve">In </w:t>
      </w:r>
      <w:proofErr w:type="gramStart"/>
      <w:r w:rsidRPr="00036152">
        <w:rPr>
          <w:u w:val="single"/>
        </w:rPr>
        <w:t>The</w:t>
      </w:r>
      <w:proofErr w:type="gramEnd"/>
      <w:r w:rsidRPr="00036152">
        <w:rPr>
          <w:u w:val="single"/>
        </w:rPr>
        <w:t xml:space="preserve"> Matter </w:t>
      </w:r>
      <w:proofErr w:type="gramStart"/>
      <w:r w:rsidRPr="00036152">
        <w:rPr>
          <w:u w:val="single"/>
        </w:rPr>
        <w:t>Of</w:t>
      </w:r>
      <w:proofErr w:type="gramEnd"/>
      <w:r w:rsidRPr="00036152">
        <w:rPr>
          <w:u w:val="single"/>
        </w:rPr>
        <w:t xml:space="preserve"> </w:t>
      </w:r>
      <w:proofErr w:type="gramStart"/>
      <w:r w:rsidRPr="00036152">
        <w:rPr>
          <w:u w:val="single"/>
        </w:rPr>
        <w:t>A</w:t>
      </w:r>
      <w:proofErr w:type="gramEnd"/>
      <w:r w:rsidRPr="00036152">
        <w:rPr>
          <w:u w:val="single"/>
        </w:rPr>
        <w:t xml:space="preserve"> Public Safety Officer Death Benefit </w:t>
      </w:r>
      <w:proofErr w:type="gramStart"/>
      <w:r w:rsidRPr="00036152">
        <w:rPr>
          <w:u w:val="single"/>
        </w:rPr>
        <w:t>For</w:t>
      </w:r>
      <w:proofErr w:type="gramEnd"/>
      <w:r w:rsidRPr="00036152">
        <w:rPr>
          <w:u w:val="single"/>
        </w:rPr>
        <w:t xml:space="preserve"> Jerome Ri</w:t>
      </w:r>
      <w:r>
        <w:rPr>
          <w:u w:val="single"/>
        </w:rPr>
        <w:t>h</w:t>
      </w:r>
      <w:r w:rsidRPr="00036152">
        <w:rPr>
          <w:u w:val="single"/>
        </w:rPr>
        <w:t>card Lannon (deceased)</w:t>
      </w:r>
      <w:r>
        <w:t>, the Court of Appeals on Minnesota, held (3 to 0) that Administrative Law Judge incorrectly ruled that a deputy’s suicide cannot be considered a “line of duty death.” Deputy Lannon committed suicide in 2018; he had been employed by Washington County Sheriff’s Office since 1999 and had responded to numerous critical incidents including a double murder, multiple suicides, a child's sexual assault, and fatal vehicle crashes. He was also involved in high-stress situations like apprehending a suspect in a domestic dispute who had fired a weapon in the home. Inn 2015, Deputy Lannon was diagnosed with anxiety and depression. In 2016, he began attending therapy to address symptoms of anxiety and depression. In September 2018, he was further injured in a serious car accident and in Nov. 2018 a supervisor brought him to a hospital because he was experiencing suicidal ideations; after his release he committed suicide on Nov. 26, 2018.</w:t>
      </w:r>
    </w:p>
    <w:p w14:paraId="7F1DEA89" w14:textId="77777777" w:rsidR="00BA3CDE" w:rsidRDefault="00BA3CDE" w:rsidP="00BA3CDE">
      <w:pPr>
        <w:pStyle w:val="NormalWeb"/>
        <w:ind w:left="720"/>
      </w:pPr>
      <w:r>
        <w:t xml:space="preserve">“The primary question before us is whether a public safety officer who dies by suicide </w:t>
      </w:r>
      <w:proofErr w:type="gramStart"/>
      <w:r>
        <w:t>as a result of</w:t>
      </w:r>
      <w:proofErr w:type="gramEnd"/>
      <w:r>
        <w:t xml:space="preserve"> job-related PTSD</w:t>
      </w:r>
      <w:r>
        <w:rPr>
          <w:vertAlign w:val="superscript"/>
        </w:rPr>
        <w:t xml:space="preserve"> </w:t>
      </w:r>
      <w:r>
        <w:t xml:space="preserve">is ‘killed in the line of duty’ within the meaning of the death-benefit statute, Minn. Stat. § 299A.44…. We conclude that ‘killed in the line of duty,’ as used in Minn. Stat. § 299A.44, includes a death by suicide resulting from PTSD caused by performing duties peculiar to a public safety officer. Accordingly, survivors of such an officer may qualify for the death benefit provided by Minn. Stat. § 299A.44. We further conclude that relator has presented sufficient evidence to raise a genuine issue of material fact as to whether Deputy Lannon's death by suicide meets that qualification. We therefore reverse and remand to the Office of Administrative Hearings for further proceedings consistent with this </w:t>
      </w:r>
      <w:proofErr w:type="gramStart"/>
      <w:r>
        <w:t>opinion.”</w:t>
      </w:r>
      <w:proofErr w:type="gramEnd"/>
      <w:r>
        <w:t xml:space="preserve"> </w:t>
      </w:r>
      <w:hyperlink r:id="rId2514" w:history="1">
        <w:r w:rsidRPr="00212B30">
          <w:rPr>
            <w:rStyle w:val="Hyperlink"/>
            <w:rFonts w:eastAsiaTheme="majorEastAsia"/>
          </w:rPr>
          <w:t>https://law.justia.com/cases/minnesota/court-of-appeals/2022/a22-0507.html</w:t>
        </w:r>
      </w:hyperlink>
      <w:r>
        <w:t xml:space="preserve"> </w:t>
      </w:r>
    </w:p>
    <w:p w14:paraId="39BB8960" w14:textId="77777777" w:rsidR="00BA3CDE" w:rsidRDefault="00BA3CDE" w:rsidP="00BA3CDE">
      <w:pPr>
        <w:pStyle w:val="NormalWeb"/>
        <w:rPr>
          <w:b/>
          <w:bCs/>
        </w:rPr>
      </w:pPr>
      <w:r w:rsidRPr="003E7459">
        <w:rPr>
          <w:b/>
          <w:bCs/>
        </w:rPr>
        <w:t>Legal Lesson Learned:</w:t>
      </w:r>
      <w:r>
        <w:rPr>
          <w:b/>
          <w:bCs/>
        </w:rPr>
        <w:t xml:space="preserve"> Suicide by public safety officers is a nationwide issue. I hope the widow receives LODD benefits. </w:t>
      </w:r>
    </w:p>
    <w:p w14:paraId="0D6689E0" w14:textId="77777777" w:rsidR="00BA3CDE" w:rsidRDefault="00BA3CDE" w:rsidP="000C4DF5">
      <w:pPr>
        <w:pStyle w:val="NoSpacing"/>
        <w:rPr>
          <w:rFonts w:ascii="Arial Black" w:hAnsi="Arial Black"/>
          <w:sz w:val="24"/>
          <w:szCs w:val="24"/>
        </w:rPr>
      </w:pPr>
    </w:p>
    <w:p w14:paraId="4F8138BD" w14:textId="77777777" w:rsidR="00BA3CDE" w:rsidRDefault="00BA3CDE" w:rsidP="000C4DF5">
      <w:pPr>
        <w:pStyle w:val="NoSpacing"/>
        <w:rPr>
          <w:rFonts w:ascii="Arial Black" w:hAnsi="Arial Black"/>
          <w:sz w:val="24"/>
          <w:szCs w:val="24"/>
        </w:rPr>
      </w:pPr>
    </w:p>
    <w:p w14:paraId="30B1D0F1" w14:textId="77777777" w:rsidR="00BA3CDE" w:rsidRDefault="00BA3CDE" w:rsidP="000C4DF5">
      <w:pPr>
        <w:pStyle w:val="NoSpacing"/>
        <w:rPr>
          <w:rFonts w:ascii="Arial Black" w:hAnsi="Arial Black"/>
          <w:sz w:val="24"/>
          <w:szCs w:val="24"/>
        </w:rPr>
      </w:pPr>
    </w:p>
    <w:p w14:paraId="44243A38" w14:textId="2B6A8660" w:rsidR="00F31C1B" w:rsidRDefault="00F31C1B" w:rsidP="000C4DF5">
      <w:pPr>
        <w:pStyle w:val="NoSpacing"/>
        <w:rPr>
          <w:rFonts w:ascii="Arial Black" w:hAnsi="Arial Black"/>
          <w:sz w:val="24"/>
          <w:szCs w:val="24"/>
        </w:rPr>
      </w:pPr>
      <w:r>
        <w:rPr>
          <w:rFonts w:ascii="Arial Black" w:hAnsi="Arial Black"/>
          <w:sz w:val="24"/>
          <w:szCs w:val="24"/>
        </w:rPr>
        <w:t>15-20</w:t>
      </w:r>
    </w:p>
    <w:p w14:paraId="7A442755" w14:textId="77777777" w:rsidR="00F31C1B" w:rsidRDefault="00F31C1B" w:rsidP="00F31C1B">
      <w:pPr>
        <w:spacing w:before="100" w:beforeAutospacing="1" w:after="100" w:afterAutospacing="1" w:line="240" w:lineRule="auto"/>
        <w:outlineLvl w:val="0"/>
        <w:rPr>
          <w:rFonts w:ascii="Times New Roman" w:eastAsia="Times New Roman" w:hAnsi="Times New Roman"/>
          <w:b/>
          <w:bCs/>
          <w:kern w:val="36"/>
          <w:sz w:val="48"/>
          <w:szCs w:val="48"/>
        </w:rPr>
      </w:pPr>
      <w:bookmarkStart w:id="570" w:name="_Hlk120872340"/>
      <w:r>
        <w:rPr>
          <w:rFonts w:ascii="Arial Black" w:eastAsia="Times New Roman" w:hAnsi="Arial Black"/>
          <w:b/>
          <w:bCs/>
          <w:kern w:val="36"/>
          <w:sz w:val="28"/>
          <w:szCs w:val="28"/>
        </w:rPr>
        <w:t>FL: PTSD – MEDIC WINS WORKERS’ COMP – WHILE TRAUMA RUNS PRIOR NEW STATUTE, LOSS WAGES AFTER 2018 LAW</w:t>
      </w:r>
    </w:p>
    <w:tbl>
      <w:tblPr>
        <w:tblpPr w:leftFromText="180" w:rightFromText="180" w:vertAnchor="text" w:tblpY="1"/>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10800"/>
      </w:tblGrid>
      <w:tr w:rsidR="00F31C1B" w:rsidRPr="004879C2" w14:paraId="71B79F3C" w14:textId="77777777" w:rsidTr="00317ED5">
        <w:trPr>
          <w:tblCellSpacing w:w="15" w:type="dxa"/>
        </w:trPr>
        <w:tc>
          <w:tcPr>
            <w:tcW w:w="0" w:type="auto"/>
            <w:vAlign w:val="center"/>
          </w:tcPr>
          <w:p w14:paraId="23A5ECE1" w14:textId="77777777" w:rsidR="00F31C1B" w:rsidRDefault="00F31C1B" w:rsidP="00317ED5">
            <w:pPr>
              <w:spacing w:after="0" w:line="240" w:lineRule="auto"/>
              <w:rPr>
                <w:rFonts w:ascii="Times New Roman" w:eastAsia="Times New Roman" w:hAnsi="Times New Roman"/>
                <w:kern w:val="36"/>
                <w:sz w:val="24"/>
                <w:szCs w:val="24"/>
              </w:rPr>
            </w:pPr>
            <w:r>
              <w:rPr>
                <w:rFonts w:ascii="Times New Roman" w:eastAsia="Times New Roman" w:hAnsi="Times New Roman"/>
                <w:kern w:val="36"/>
                <w:sz w:val="24"/>
                <w:szCs w:val="24"/>
              </w:rPr>
              <w:t xml:space="preserve">On Nov. 2, 2022, in </w:t>
            </w:r>
            <w:r w:rsidRPr="004879C2">
              <w:rPr>
                <w:rFonts w:ascii="Times New Roman" w:eastAsia="Times New Roman" w:hAnsi="Times New Roman"/>
                <w:kern w:val="36"/>
                <w:sz w:val="24"/>
                <w:szCs w:val="24"/>
                <w:u w:val="single"/>
              </w:rPr>
              <w:t>Mandy Lynn Wyatt v. Polk County Board of Commissioners, et al</w:t>
            </w:r>
            <w:r>
              <w:rPr>
                <w:rFonts w:ascii="Times New Roman" w:eastAsia="Times New Roman" w:hAnsi="Times New Roman"/>
                <w:kern w:val="36"/>
                <w:sz w:val="24"/>
                <w:szCs w:val="24"/>
              </w:rPr>
              <w:t xml:space="preserve">., the Florida Court of Appeals, First District, held (3 to 0) that the firefighter is entitled to workers comp coverage for PTSD.  She first began experiencing nightmares in 2016; began seeing a therapist in 2017; after trauma runs involving children in 2017 and 2018, she left the Department on Nov. 27. 2018.   Statute no longer requires proof of physical injury for workers comp. claim for mental stress. The new Florida statute expanding coverage for emergency responders with PTSD, without need to prove physical injury, was effective Oct. 1, 2018. She lost wages </w:t>
            </w:r>
            <w:proofErr w:type="gramStart"/>
            <w:r>
              <w:rPr>
                <w:rFonts w:ascii="Times New Roman" w:eastAsia="Times New Roman" w:hAnsi="Times New Roman"/>
                <w:kern w:val="36"/>
                <w:sz w:val="24"/>
                <w:szCs w:val="24"/>
              </w:rPr>
              <w:t>because</w:t>
            </w:r>
            <w:proofErr w:type="gramEnd"/>
            <w:r>
              <w:rPr>
                <w:rFonts w:ascii="Times New Roman" w:eastAsia="Times New Roman" w:hAnsi="Times New Roman"/>
                <w:kern w:val="36"/>
                <w:sz w:val="24"/>
                <w:szCs w:val="24"/>
              </w:rPr>
              <w:t xml:space="preserve"> her PTSD after the effective date of the statute and is therefore entitled to workers’ comp for her prior traumatic incidents. </w:t>
            </w:r>
          </w:p>
          <w:p w14:paraId="2F7D371A" w14:textId="77777777" w:rsidR="00F31C1B" w:rsidRPr="006158E8" w:rsidRDefault="00F31C1B" w:rsidP="00317ED5">
            <w:pPr>
              <w:spacing w:after="0" w:line="240" w:lineRule="auto"/>
              <w:rPr>
                <w:rFonts w:ascii="Times New Roman" w:eastAsia="Times New Roman" w:hAnsi="Times New Roman"/>
                <w:sz w:val="24"/>
                <w:szCs w:val="24"/>
              </w:rPr>
            </w:pPr>
          </w:p>
        </w:tc>
      </w:tr>
    </w:tbl>
    <w:bookmarkEnd w:id="570"/>
    <w:p w14:paraId="2C64A2E1" w14:textId="77777777" w:rsidR="00F31C1B" w:rsidRDefault="00F31C1B" w:rsidP="00F31C1B">
      <w:pPr>
        <w:pStyle w:val="NoSpacing"/>
        <w:ind w:left="720"/>
        <w:rPr>
          <w:rStyle w:val="markedcontent"/>
          <w:rFonts w:ascii="Times New Roman" w:hAnsi="Times New Roman"/>
          <w:sz w:val="24"/>
          <w:szCs w:val="24"/>
        </w:rPr>
      </w:pPr>
      <w:r>
        <w:rPr>
          <w:rStyle w:val="markedcontent"/>
          <w:rFonts w:ascii="Times New Roman" w:hAnsi="Times New Roman"/>
          <w:sz w:val="24"/>
          <w:szCs w:val="24"/>
        </w:rPr>
        <w:t>“</w:t>
      </w:r>
      <w:r w:rsidRPr="00806239">
        <w:rPr>
          <w:rStyle w:val="markedcontent"/>
          <w:rFonts w:ascii="Times New Roman" w:hAnsi="Times New Roman"/>
          <w:sz w:val="24"/>
          <w:szCs w:val="24"/>
        </w:rPr>
        <w:t>Application of section 112.1815 makes a difference in the</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determination of a claim like Wyatt’s. For example, Wyatt does not</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claim to have suffered a physical injury at work, and the Workers’</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Compensation Law generally places strict limits on</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compensability for a mental or nervous work injury. A</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compensable physical injury must be the major contributing cause</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of the mental or nervous injury, and temporary benefits may not</w:t>
      </w:r>
      <w:r w:rsidRPr="00806239">
        <w:br/>
      </w:r>
      <w:r w:rsidRPr="00806239">
        <w:rPr>
          <w:rStyle w:val="markedcontent"/>
          <w:rFonts w:ascii="Times New Roman" w:hAnsi="Times New Roman"/>
          <w:sz w:val="24"/>
          <w:szCs w:val="24"/>
        </w:rPr>
        <w:lastRenderedPageBreak/>
        <w:t>be paid for more than six months following the date of maximum</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medical improvement for the physical injury. See § 440.093, Fla.</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Stat. (2018). Under this provision (considered alone), Wyatt’s</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claimed injury would not be compensable at all. Since its original</w:t>
      </w:r>
      <w:r>
        <w:rPr>
          <w:rStyle w:val="markedcontent"/>
          <w:rFonts w:ascii="Times New Roman" w:hAnsi="Times New Roman"/>
          <w:sz w:val="24"/>
          <w:szCs w:val="24"/>
        </w:rPr>
        <w:t xml:space="preserve"> e</w:t>
      </w:r>
      <w:r w:rsidRPr="00806239">
        <w:rPr>
          <w:rStyle w:val="markedcontent"/>
          <w:rFonts w:ascii="Times New Roman" w:hAnsi="Times New Roman"/>
          <w:sz w:val="24"/>
          <w:szCs w:val="24"/>
        </w:rPr>
        <w:t>nactment in 2007, however, section 112.1815 has eased this</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limitation for first responders like Wyatt by allowing for medical</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benefits under section 440.13 to treat a mental or nervous injury</w:t>
      </w:r>
      <w:r>
        <w:rPr>
          <w:rStyle w:val="markedcontent"/>
          <w:rFonts w:ascii="Times New Roman" w:hAnsi="Times New Roman"/>
          <w:sz w:val="24"/>
          <w:szCs w:val="24"/>
        </w:rPr>
        <w:t xml:space="preserve"> </w:t>
      </w:r>
      <w:r w:rsidRPr="00806239">
        <w:rPr>
          <w:rStyle w:val="markedcontent"/>
          <w:rFonts w:ascii="Times New Roman" w:hAnsi="Times New Roman"/>
          <w:sz w:val="24"/>
          <w:szCs w:val="24"/>
        </w:rPr>
        <w:t xml:space="preserve">suffered at work, even if it was </w:t>
      </w:r>
      <w:r>
        <w:rPr>
          <w:rStyle w:val="markedcontent"/>
          <w:rFonts w:ascii="Times New Roman" w:hAnsi="Times New Roman"/>
          <w:sz w:val="24"/>
          <w:szCs w:val="24"/>
        </w:rPr>
        <w:t>‘</w:t>
      </w:r>
      <w:r w:rsidRPr="00806239">
        <w:rPr>
          <w:rStyle w:val="markedcontent"/>
          <w:rFonts w:ascii="Times New Roman" w:hAnsi="Times New Roman"/>
          <w:sz w:val="24"/>
          <w:szCs w:val="24"/>
        </w:rPr>
        <w:t>unaccompanied by a physical</w:t>
      </w:r>
      <w:r w:rsidRPr="00806239">
        <w:br/>
      </w:r>
      <w:r w:rsidRPr="00806239">
        <w:rPr>
          <w:rStyle w:val="markedcontent"/>
          <w:rFonts w:ascii="Times New Roman" w:hAnsi="Times New Roman"/>
          <w:sz w:val="24"/>
          <w:szCs w:val="24"/>
        </w:rPr>
        <w:t>injury.</w:t>
      </w:r>
      <w:r>
        <w:rPr>
          <w:rStyle w:val="markedcontent"/>
          <w:rFonts w:ascii="Times New Roman" w:hAnsi="Times New Roman"/>
          <w:sz w:val="24"/>
          <w:szCs w:val="24"/>
        </w:rPr>
        <w:t>’</w:t>
      </w:r>
      <w:r w:rsidRPr="00806239">
        <w:rPr>
          <w:rStyle w:val="markedcontent"/>
          <w:rFonts w:ascii="Times New Roman" w:hAnsi="Times New Roman"/>
          <w:sz w:val="24"/>
          <w:szCs w:val="24"/>
        </w:rPr>
        <w:t xml:space="preserve"> § 112.1815(2)(a)3., Fla. Stat. (2018)</w:t>
      </w:r>
      <w:r>
        <w:rPr>
          <w:rStyle w:val="markedcontent"/>
          <w:rFonts w:ascii="Times New Roman" w:hAnsi="Times New Roman"/>
          <w:sz w:val="24"/>
          <w:szCs w:val="24"/>
        </w:rPr>
        <w:t>.</w:t>
      </w:r>
    </w:p>
    <w:p w14:paraId="2BC962BD" w14:textId="77777777" w:rsidR="00F31C1B" w:rsidRDefault="00F31C1B" w:rsidP="00F31C1B">
      <w:pPr>
        <w:pStyle w:val="NoSpacing"/>
        <w:ind w:left="720"/>
        <w:rPr>
          <w:rStyle w:val="markedcontent"/>
          <w:rFonts w:ascii="Times New Roman" w:hAnsi="Times New Roman"/>
          <w:sz w:val="24"/>
          <w:szCs w:val="24"/>
        </w:rPr>
      </w:pPr>
    </w:p>
    <w:p w14:paraId="67DDADB2" w14:textId="77777777" w:rsidR="00F31C1B" w:rsidRDefault="00F31C1B" w:rsidP="00F31C1B">
      <w:pPr>
        <w:pStyle w:val="NoSpacing"/>
        <w:ind w:left="720"/>
        <w:rPr>
          <w:rStyle w:val="markedcontent"/>
          <w:rFonts w:ascii="Times New Roman" w:hAnsi="Times New Roman"/>
          <w:sz w:val="24"/>
          <w:szCs w:val="24"/>
        </w:rPr>
      </w:pPr>
      <w:r>
        <w:rPr>
          <w:rStyle w:val="markedcontent"/>
          <w:rFonts w:ascii="Times New Roman" w:hAnsi="Times New Roman"/>
          <w:sz w:val="24"/>
          <w:szCs w:val="24"/>
        </w:rPr>
        <w:t>***</w:t>
      </w:r>
    </w:p>
    <w:p w14:paraId="3E5D78FB" w14:textId="77777777" w:rsidR="00F31C1B" w:rsidRPr="004879C2" w:rsidRDefault="00F31C1B" w:rsidP="00F31C1B">
      <w:pPr>
        <w:pStyle w:val="NoSpacing"/>
        <w:ind w:left="720"/>
        <w:rPr>
          <w:rFonts w:ascii="Times New Roman" w:eastAsia="Times New Roman" w:hAnsi="Times New Roman"/>
          <w:b/>
          <w:bCs/>
          <w:kern w:val="36"/>
          <w:sz w:val="24"/>
          <w:szCs w:val="24"/>
        </w:rPr>
      </w:pPr>
      <w:r>
        <w:rPr>
          <w:rFonts w:ascii="Times New Roman" w:hAnsi="Times New Roman"/>
          <w:sz w:val="24"/>
          <w:szCs w:val="24"/>
        </w:rPr>
        <w:t xml:space="preserve">In </w:t>
      </w:r>
      <w:r w:rsidRPr="004879C2">
        <w:rPr>
          <w:rFonts w:ascii="Times New Roman" w:hAnsi="Times New Roman"/>
          <w:sz w:val="24"/>
          <w:szCs w:val="24"/>
        </w:rPr>
        <w:t xml:space="preserve">2018, the Legislature added </w:t>
      </w:r>
      <w:proofErr w:type="gramStart"/>
      <w:r w:rsidRPr="004879C2">
        <w:rPr>
          <w:rFonts w:ascii="Times New Roman" w:hAnsi="Times New Roman"/>
          <w:sz w:val="24"/>
          <w:szCs w:val="24"/>
        </w:rPr>
        <w:t>a subsection</w:t>
      </w:r>
      <w:proofErr w:type="gramEnd"/>
      <w:r w:rsidRPr="004879C2">
        <w:rPr>
          <w:rFonts w:ascii="Times New Roman" w:hAnsi="Times New Roman"/>
          <w:sz w:val="24"/>
          <w:szCs w:val="24"/>
        </w:rPr>
        <w:t xml:space="preserve"> five to section 112.1815. </w:t>
      </w:r>
      <w:r w:rsidRPr="004879C2">
        <w:rPr>
          <w:rStyle w:val="Emphasis"/>
          <w:rFonts w:ascii="Times New Roman" w:hAnsi="Times New Roman"/>
          <w:sz w:val="24"/>
          <w:szCs w:val="24"/>
        </w:rPr>
        <w:t>See</w:t>
      </w:r>
      <w:r w:rsidRPr="004879C2">
        <w:rPr>
          <w:rFonts w:ascii="Times New Roman" w:hAnsi="Times New Roman"/>
          <w:sz w:val="24"/>
          <w:szCs w:val="24"/>
        </w:rPr>
        <w:t xml:space="preserve"> ch. 2018-124, § 1, at 1655-57, Laws of Fla. The law took effect October 1, 2018, which was after Wyatt's exposure to the various traumas that we identified above, but before Wyatt suffered lost wages </w:t>
      </w:r>
      <w:proofErr w:type="gramStart"/>
      <w:r w:rsidRPr="004879C2">
        <w:rPr>
          <w:rFonts w:ascii="Times New Roman" w:hAnsi="Times New Roman"/>
          <w:sz w:val="24"/>
          <w:szCs w:val="24"/>
        </w:rPr>
        <w:t>as a result of</w:t>
      </w:r>
      <w:proofErr w:type="gramEnd"/>
      <w:r w:rsidRPr="004879C2">
        <w:rPr>
          <w:rFonts w:ascii="Times New Roman" w:hAnsi="Times New Roman"/>
          <w:sz w:val="24"/>
          <w:szCs w:val="24"/>
        </w:rPr>
        <w:t xml:space="preserve"> going out of work for her PTSD. </w:t>
      </w:r>
      <w:r w:rsidRPr="004879C2">
        <w:rPr>
          <w:rStyle w:val="Emphasis"/>
          <w:rFonts w:ascii="Times New Roman" w:hAnsi="Times New Roman"/>
          <w:sz w:val="24"/>
          <w:szCs w:val="24"/>
        </w:rPr>
        <w:t>See id.</w:t>
      </w:r>
      <w:r w:rsidRPr="004879C2">
        <w:rPr>
          <w:rFonts w:ascii="Times New Roman" w:hAnsi="Times New Roman"/>
          <w:sz w:val="24"/>
          <w:szCs w:val="24"/>
        </w:rPr>
        <w:t xml:space="preserve"> § 3, at 1657. The new provision expands compensability for first responders who suffer specifically from PTSD, a particular type of mental injury that ordinarily would have to be addressed under subparagraph (2)(a)3., which we just discussed. Subsection five now directs that PTSD suffered by a first responder be considered a </w:t>
      </w:r>
      <w:r>
        <w:rPr>
          <w:rFonts w:ascii="Times New Roman" w:hAnsi="Times New Roman"/>
          <w:sz w:val="24"/>
          <w:szCs w:val="24"/>
        </w:rPr>
        <w:t>‘</w:t>
      </w:r>
      <w:r w:rsidRPr="004879C2">
        <w:rPr>
          <w:rFonts w:ascii="Times New Roman" w:hAnsi="Times New Roman"/>
          <w:sz w:val="24"/>
          <w:szCs w:val="24"/>
        </w:rPr>
        <w:t>compensable occupational disease</w:t>
      </w:r>
      <w:r>
        <w:rPr>
          <w:rFonts w:ascii="Times New Roman" w:hAnsi="Times New Roman"/>
          <w:sz w:val="24"/>
          <w:szCs w:val="24"/>
        </w:rPr>
        <w:t>’</w:t>
      </w:r>
      <w:r w:rsidRPr="004879C2">
        <w:rPr>
          <w:rFonts w:ascii="Times New Roman" w:hAnsi="Times New Roman"/>
          <w:sz w:val="24"/>
          <w:szCs w:val="24"/>
        </w:rPr>
        <w:t xml:space="preserve"> as provided in section 440.151. § 112.1815(5)(a), (c)1, Fla. Stat. (2018); </w:t>
      </w:r>
      <w:r w:rsidRPr="004879C2">
        <w:rPr>
          <w:rStyle w:val="Emphasis"/>
          <w:rFonts w:ascii="Times New Roman" w:hAnsi="Times New Roman"/>
          <w:sz w:val="24"/>
          <w:szCs w:val="24"/>
        </w:rPr>
        <w:t>see Wilkes</w:t>
      </w:r>
      <w:r w:rsidRPr="004879C2">
        <w:rPr>
          <w:rFonts w:ascii="Times New Roman" w:hAnsi="Times New Roman"/>
          <w:sz w:val="24"/>
          <w:szCs w:val="24"/>
        </w:rPr>
        <w:t xml:space="preserve">, 309 So.3d at 688. Under section 440.151, then, a first responder who cannot work because of PTSD is entitled to not just medical benefits but also indemnity for lost wages stemming from the disability-even without any accompanying physical injury. </w:t>
      </w:r>
      <w:r w:rsidRPr="004879C2">
        <w:rPr>
          <w:rStyle w:val="Emphasis"/>
          <w:rFonts w:ascii="Times New Roman" w:hAnsi="Times New Roman"/>
          <w:sz w:val="24"/>
          <w:szCs w:val="24"/>
        </w:rPr>
        <w:t>Cf.</w:t>
      </w:r>
      <w:r w:rsidRPr="004879C2">
        <w:rPr>
          <w:rFonts w:ascii="Times New Roman" w:hAnsi="Times New Roman"/>
          <w:sz w:val="24"/>
          <w:szCs w:val="24"/>
        </w:rPr>
        <w:t xml:space="preserve"> § 440.151(1), Fla. Stat. (providing that an employee </w:t>
      </w:r>
      <w:r>
        <w:rPr>
          <w:rFonts w:ascii="Times New Roman" w:hAnsi="Times New Roman"/>
          <w:sz w:val="24"/>
          <w:szCs w:val="24"/>
        </w:rPr>
        <w:t>‘</w:t>
      </w:r>
      <w:r w:rsidRPr="004879C2">
        <w:rPr>
          <w:rFonts w:ascii="Times New Roman" w:hAnsi="Times New Roman"/>
          <w:sz w:val="24"/>
          <w:szCs w:val="24"/>
        </w:rPr>
        <w:t>shall be entitled to compensation as provided by this chapter</w:t>
      </w:r>
      <w:r>
        <w:rPr>
          <w:rFonts w:ascii="Times New Roman" w:hAnsi="Times New Roman"/>
          <w:sz w:val="24"/>
          <w:szCs w:val="24"/>
        </w:rPr>
        <w:t>’</w:t>
      </w:r>
      <w:r w:rsidRPr="004879C2">
        <w:rPr>
          <w:rFonts w:ascii="Times New Roman" w:hAnsi="Times New Roman"/>
          <w:sz w:val="24"/>
          <w:szCs w:val="24"/>
        </w:rPr>
        <w:t xml:space="preserve"> if the employee becomes disabled </w:t>
      </w:r>
      <w:proofErr w:type="gramStart"/>
      <w:r w:rsidRPr="004879C2">
        <w:rPr>
          <w:rFonts w:ascii="Times New Roman" w:hAnsi="Times New Roman"/>
          <w:sz w:val="24"/>
          <w:szCs w:val="24"/>
        </w:rPr>
        <w:t>as a result of</w:t>
      </w:r>
      <w:proofErr w:type="gramEnd"/>
      <w:r w:rsidRPr="004879C2">
        <w:rPr>
          <w:rFonts w:ascii="Times New Roman" w:hAnsi="Times New Roman"/>
          <w:sz w:val="24"/>
          <w:szCs w:val="24"/>
        </w:rPr>
        <w:t xml:space="preserve"> </w:t>
      </w:r>
      <w:r>
        <w:rPr>
          <w:rFonts w:ascii="Times New Roman" w:hAnsi="Times New Roman"/>
          <w:sz w:val="24"/>
          <w:szCs w:val="24"/>
        </w:rPr>
        <w:t>‘</w:t>
      </w:r>
      <w:r w:rsidRPr="004879C2">
        <w:rPr>
          <w:rFonts w:ascii="Times New Roman" w:hAnsi="Times New Roman"/>
          <w:sz w:val="24"/>
          <w:szCs w:val="24"/>
        </w:rPr>
        <w:t>an occupational disease</w:t>
      </w:r>
      <w:r>
        <w:rPr>
          <w:rFonts w:ascii="Times New Roman" w:hAnsi="Times New Roman"/>
          <w:sz w:val="24"/>
          <w:szCs w:val="24"/>
        </w:rPr>
        <w:t>’</w:t>
      </w:r>
      <w:r w:rsidRPr="004879C2">
        <w:rPr>
          <w:rFonts w:ascii="Times New Roman" w:hAnsi="Times New Roman"/>
          <w:sz w:val="24"/>
          <w:szCs w:val="24"/>
        </w:rPr>
        <w:t>).</w:t>
      </w:r>
      <w:r>
        <w:rPr>
          <w:rFonts w:ascii="Times New Roman" w:hAnsi="Times New Roman"/>
          <w:sz w:val="24"/>
          <w:szCs w:val="24"/>
        </w:rPr>
        <w:t xml:space="preserve"> </w:t>
      </w:r>
      <w:hyperlink r:id="rId2515" w:history="1">
        <w:r w:rsidRPr="00E8516D">
          <w:rPr>
            <w:rStyle w:val="Hyperlink"/>
            <w:rFonts w:ascii="Times New Roman" w:hAnsi="Times New Roman"/>
            <w:sz w:val="24"/>
            <w:szCs w:val="24"/>
          </w:rPr>
          <w:t>https://law.justia.com/cases/florida/first-district-court-of-appeal/2022/19-4601.html</w:t>
        </w:r>
      </w:hyperlink>
      <w:r>
        <w:rPr>
          <w:rFonts w:ascii="Times New Roman" w:hAnsi="Times New Roman"/>
          <w:sz w:val="24"/>
          <w:szCs w:val="24"/>
        </w:rPr>
        <w:t xml:space="preserve"> </w:t>
      </w:r>
    </w:p>
    <w:p w14:paraId="6ACA9F0A" w14:textId="0B489CE4" w:rsidR="00F31C1B" w:rsidRDefault="00F31C1B" w:rsidP="000C4DF5">
      <w:pPr>
        <w:pStyle w:val="NoSpacing"/>
        <w:rPr>
          <w:rFonts w:ascii="Arial Black" w:hAnsi="Arial Black"/>
          <w:sz w:val="24"/>
          <w:szCs w:val="24"/>
        </w:rPr>
      </w:pPr>
    </w:p>
    <w:p w14:paraId="4AD468EC" w14:textId="77777777" w:rsidR="00F31C1B" w:rsidRPr="0084660B" w:rsidRDefault="00F31C1B" w:rsidP="00F31C1B">
      <w:pPr>
        <w:pStyle w:val="NormalWeb"/>
        <w:rPr>
          <w:b/>
          <w:bCs/>
        </w:rPr>
      </w:pPr>
      <w:r w:rsidRPr="0084660B">
        <w:rPr>
          <w:b/>
          <w:bCs/>
        </w:rPr>
        <w:t>Legal Lesson Learned:</w:t>
      </w:r>
      <w:r>
        <w:rPr>
          <w:b/>
          <w:bCs/>
        </w:rPr>
        <w:t xml:space="preserve"> The new PTSD statute covers </w:t>
      </w:r>
      <w:proofErr w:type="gramStart"/>
      <w:r>
        <w:rPr>
          <w:b/>
          <w:bCs/>
        </w:rPr>
        <w:t>loses</w:t>
      </w:r>
      <w:proofErr w:type="gramEnd"/>
      <w:r>
        <w:rPr>
          <w:b/>
          <w:bCs/>
        </w:rPr>
        <w:t xml:space="preserve"> of income incurred after its effective date. </w:t>
      </w:r>
    </w:p>
    <w:p w14:paraId="7BB78774" w14:textId="77777777" w:rsidR="00F31C1B" w:rsidRDefault="00F31C1B" w:rsidP="000C4DF5">
      <w:pPr>
        <w:pStyle w:val="NoSpacing"/>
        <w:rPr>
          <w:rFonts w:ascii="Arial Black" w:hAnsi="Arial Black"/>
          <w:sz w:val="24"/>
          <w:szCs w:val="24"/>
        </w:rPr>
      </w:pPr>
    </w:p>
    <w:p w14:paraId="1E206E4D" w14:textId="77777777" w:rsidR="00F31C1B" w:rsidRDefault="00F31C1B" w:rsidP="000C4DF5">
      <w:pPr>
        <w:pStyle w:val="NoSpacing"/>
        <w:rPr>
          <w:rFonts w:ascii="Arial Black" w:hAnsi="Arial Black"/>
          <w:sz w:val="24"/>
          <w:szCs w:val="24"/>
        </w:rPr>
      </w:pPr>
    </w:p>
    <w:p w14:paraId="1984BEA9" w14:textId="3CDA4F49" w:rsidR="00936792" w:rsidRDefault="00936792" w:rsidP="000C4DF5">
      <w:pPr>
        <w:pStyle w:val="NoSpacing"/>
        <w:rPr>
          <w:rFonts w:ascii="Arial Black" w:hAnsi="Arial Black"/>
          <w:sz w:val="24"/>
          <w:szCs w:val="24"/>
        </w:rPr>
      </w:pPr>
      <w:r>
        <w:rPr>
          <w:rFonts w:ascii="Arial Black" w:hAnsi="Arial Black"/>
          <w:sz w:val="24"/>
          <w:szCs w:val="24"/>
        </w:rPr>
        <w:t>15-19</w:t>
      </w:r>
    </w:p>
    <w:p w14:paraId="032E18E6" w14:textId="77777777" w:rsidR="00FC62FF" w:rsidRDefault="00FC62FF" w:rsidP="00FC62FF">
      <w:pPr>
        <w:spacing w:before="100" w:beforeAutospacing="1" w:after="100" w:afterAutospacing="1" w:line="240" w:lineRule="auto"/>
        <w:rPr>
          <w:rFonts w:ascii="Arial Black" w:hAnsi="Arial Black"/>
          <w:sz w:val="28"/>
          <w:szCs w:val="28"/>
        </w:rPr>
      </w:pPr>
      <w:bookmarkStart w:id="571" w:name="_Hlk107816326"/>
      <w:r>
        <w:rPr>
          <w:rFonts w:ascii="Arial Black" w:hAnsi="Arial Black"/>
          <w:sz w:val="28"/>
          <w:szCs w:val="28"/>
        </w:rPr>
        <w:t>IL: PTSD - CAPTAIN RESPONDED TO DOG ATTACK ON CHILD -  LINE OF DUTY PENSION, AND WORKERS COMP PPD</w:t>
      </w:r>
    </w:p>
    <w:p w14:paraId="6E7D542F" w14:textId="16AFBA2F" w:rsidR="00501BDD" w:rsidRDefault="00FC62FF" w:rsidP="00FC62FF">
      <w:pPr>
        <w:pStyle w:val="NoSpacing"/>
        <w:rPr>
          <w:rStyle w:val="Hyperlink"/>
          <w:sz w:val="24"/>
          <w:szCs w:val="24"/>
        </w:rPr>
      </w:pPr>
      <w:r>
        <w:rPr>
          <w:rFonts w:ascii="Times New Roman" w:hAnsi="Times New Roman"/>
          <w:sz w:val="24"/>
          <w:szCs w:val="24"/>
        </w:rPr>
        <w:t xml:space="preserve">On June 27, 2022, in </w:t>
      </w:r>
      <w:r>
        <w:rPr>
          <w:rFonts w:ascii="Times New Roman" w:hAnsi="Times New Roman"/>
          <w:sz w:val="24"/>
          <w:szCs w:val="24"/>
          <w:u w:val="single"/>
        </w:rPr>
        <w:t>City of Springfield v. The Illinois Workers’ Compensation Commission (Robert Talbott)</w:t>
      </w:r>
      <w:r>
        <w:rPr>
          <w:rFonts w:ascii="Times New Roman" w:hAnsi="Times New Roman"/>
          <w:sz w:val="24"/>
          <w:szCs w:val="24"/>
        </w:rPr>
        <w:t xml:space="preserve">, the Court of Appeals of Illinois, Fourth District (Workers’ Compensation Commission Division), held (5 to 0), </w:t>
      </w:r>
      <w:r>
        <w:rPr>
          <w:rFonts w:ascii="Times New Roman" w:eastAsia="Times New Roman" w:hAnsi="Times New Roman"/>
          <w:sz w:val="24"/>
          <w:szCs w:val="24"/>
        </w:rPr>
        <w:t xml:space="preserve">2022 IL App (4th) 210338WC-U, that the Commission properly held that Captain Robert Talbott, who </w:t>
      </w:r>
      <w:r w:rsidRPr="00F95159">
        <w:rPr>
          <w:rFonts w:ascii="Times New Roman" w:hAnsi="Times New Roman"/>
          <w:sz w:val="24"/>
          <w:szCs w:val="24"/>
        </w:rPr>
        <w:t>was awarded a line-of-duty disability pension on June 30, 2017</w:t>
      </w:r>
      <w:r>
        <w:rPr>
          <w:rFonts w:ascii="Times New Roman" w:hAnsi="Times New Roman"/>
          <w:sz w:val="24"/>
          <w:szCs w:val="24"/>
        </w:rPr>
        <w:t xml:space="preserve">, was also eligible to receive workers comp PPD [permanent partial disability] award </w:t>
      </w:r>
      <w:r w:rsidRPr="0058484A">
        <w:rPr>
          <w:rFonts w:ascii="Times New Roman" w:hAnsi="Times New Roman"/>
          <w:sz w:val="24"/>
          <w:szCs w:val="24"/>
        </w:rPr>
        <w:t>$721.66 per week for 250 weeks</w:t>
      </w:r>
      <w:r>
        <w:rPr>
          <w:rFonts w:ascii="Times New Roman" w:hAnsi="Times New Roman"/>
          <w:sz w:val="24"/>
          <w:szCs w:val="24"/>
        </w:rPr>
        <w:t xml:space="preserve">; case remanded to Commission to re-calculate award. The </w:t>
      </w:r>
      <w:r w:rsidRPr="00FC1C3B">
        <w:rPr>
          <w:rFonts w:ascii="Times New Roman" w:hAnsi="Times New Roman"/>
          <w:sz w:val="24"/>
          <w:szCs w:val="24"/>
        </w:rPr>
        <w:t>claimant developed PTSD following the dog-attack incident and it was causing emotional symptoms that were preventing him from returning to work.</w:t>
      </w:r>
      <w:r>
        <w:rPr>
          <w:rFonts w:ascii="Times New Roman" w:hAnsi="Times New Roman"/>
          <w:sz w:val="24"/>
          <w:szCs w:val="24"/>
        </w:rPr>
        <w:t xml:space="preserve"> Captain Robert Talbott on April 11, </w:t>
      </w:r>
      <w:proofErr w:type="gramStart"/>
      <w:r>
        <w:rPr>
          <w:rFonts w:ascii="Times New Roman" w:hAnsi="Times New Roman"/>
          <w:sz w:val="24"/>
          <w:szCs w:val="24"/>
        </w:rPr>
        <w:t>2015</w:t>
      </w:r>
      <w:proofErr w:type="gramEnd"/>
      <w:r>
        <w:rPr>
          <w:rFonts w:ascii="Times New Roman" w:hAnsi="Times New Roman"/>
          <w:sz w:val="24"/>
          <w:szCs w:val="24"/>
        </w:rPr>
        <w:t xml:space="preserve"> responded to a terrible dog bite scene, that contributed with subsequent diagnosis of PTSD.   Claimant was awarded a line-of-duty disability pension on June 30, 2017. The </w:t>
      </w:r>
      <w:proofErr w:type="gramStart"/>
      <w:r>
        <w:rPr>
          <w:rFonts w:ascii="Times New Roman" w:hAnsi="Times New Roman"/>
          <w:sz w:val="24"/>
          <w:szCs w:val="24"/>
        </w:rPr>
        <w:t>City</w:t>
      </w:r>
      <w:proofErr w:type="gramEnd"/>
      <w:r>
        <w:rPr>
          <w:rFonts w:ascii="Times New Roman" w:hAnsi="Times New Roman"/>
          <w:sz w:val="24"/>
          <w:szCs w:val="24"/>
        </w:rPr>
        <w:t xml:space="preserve"> challenged an award of “permanent partial disability” arguing he could work in other professions, such as his 14 years parttime work at a funeral home. </w:t>
      </w:r>
      <w:hyperlink r:id="rId2516" w:history="1">
        <w:r>
          <w:rPr>
            <w:rStyle w:val="Hyperlink"/>
            <w:sz w:val="24"/>
            <w:szCs w:val="24"/>
          </w:rPr>
          <w:t>https://public.fastcase.com/J%2FJP6pdidelsXxEE4k%2BLMmppr1xeX1%2Bm2bW38%2FPoc%2BjXR15UXAVR8dC2RoWWa4H5Xq9pVObZCpSmCaBhyWr74I1EN1To2hIbHKD6%2F8UayPI%3D</w:t>
        </w:r>
      </w:hyperlink>
      <w:bookmarkEnd w:id="571"/>
    </w:p>
    <w:p w14:paraId="6E865B0A" w14:textId="335F70CA" w:rsidR="00FC62FF" w:rsidRDefault="00FC62FF" w:rsidP="00FC62FF">
      <w:pPr>
        <w:pStyle w:val="NoSpacing"/>
        <w:rPr>
          <w:rStyle w:val="Hyperlink"/>
          <w:sz w:val="24"/>
          <w:szCs w:val="24"/>
        </w:rPr>
      </w:pPr>
    </w:p>
    <w:p w14:paraId="62551E09" w14:textId="77777777" w:rsidR="00FC62FF" w:rsidRDefault="00FC62FF" w:rsidP="00FC62FF">
      <w:pPr>
        <w:spacing w:before="100" w:beforeAutospacing="1" w:after="100" w:afterAutospacing="1" w:line="240" w:lineRule="auto"/>
        <w:rPr>
          <w:rFonts w:ascii="Times New Roman" w:eastAsia="Times New Roman" w:hAnsi="Times New Roman"/>
          <w:b/>
          <w:bCs/>
          <w:sz w:val="24"/>
          <w:szCs w:val="24"/>
        </w:rPr>
      </w:pPr>
      <w:bookmarkStart w:id="572" w:name="_Hlk107816439"/>
      <w:r>
        <w:rPr>
          <w:rFonts w:ascii="Times New Roman" w:eastAsia="Times New Roman" w:hAnsi="Times New Roman"/>
          <w:b/>
          <w:bCs/>
          <w:sz w:val="24"/>
          <w:szCs w:val="24"/>
        </w:rPr>
        <w:t xml:space="preserve">Legal Lesson Learned: PTSD can lead to a line-of-duty disability retirement and a  permanent partial disability award.   </w:t>
      </w:r>
    </w:p>
    <w:bookmarkEnd w:id="572"/>
    <w:p w14:paraId="73076866" w14:textId="7E3D0A96" w:rsidR="00FC62FF" w:rsidRDefault="00FC62FF" w:rsidP="00FC62FF">
      <w:pPr>
        <w:pStyle w:val="NoSpacing"/>
        <w:rPr>
          <w:rStyle w:val="Hyperlink"/>
          <w:sz w:val="24"/>
          <w:szCs w:val="24"/>
        </w:rPr>
      </w:pPr>
    </w:p>
    <w:p w14:paraId="06CC0E50" w14:textId="5D4DC33D" w:rsidR="00FC62FF" w:rsidRDefault="00FC62FF" w:rsidP="00FC62FF">
      <w:pPr>
        <w:pStyle w:val="NoSpacing"/>
        <w:rPr>
          <w:rStyle w:val="Hyperlink"/>
          <w:sz w:val="24"/>
          <w:szCs w:val="24"/>
        </w:rPr>
      </w:pPr>
    </w:p>
    <w:p w14:paraId="0B47F380" w14:textId="77777777" w:rsidR="00FC62FF" w:rsidRDefault="00FC62FF" w:rsidP="00FC62FF">
      <w:pPr>
        <w:pStyle w:val="NoSpacing"/>
        <w:rPr>
          <w:rFonts w:ascii="Arial Black" w:hAnsi="Arial Black"/>
          <w:sz w:val="24"/>
          <w:szCs w:val="24"/>
        </w:rPr>
      </w:pPr>
    </w:p>
    <w:p w14:paraId="6C8648F6" w14:textId="77777777" w:rsidR="00936792" w:rsidRDefault="00936792" w:rsidP="000C4DF5">
      <w:pPr>
        <w:pStyle w:val="NoSpacing"/>
        <w:rPr>
          <w:rFonts w:ascii="Arial Black" w:hAnsi="Arial Black"/>
          <w:sz w:val="24"/>
          <w:szCs w:val="24"/>
        </w:rPr>
      </w:pPr>
    </w:p>
    <w:p w14:paraId="28423E59" w14:textId="14932886" w:rsidR="009453FA" w:rsidRDefault="009453FA" w:rsidP="000C4DF5">
      <w:pPr>
        <w:pStyle w:val="NoSpacing"/>
        <w:rPr>
          <w:rFonts w:ascii="Arial Black" w:hAnsi="Arial Black"/>
          <w:sz w:val="24"/>
          <w:szCs w:val="24"/>
        </w:rPr>
      </w:pPr>
      <w:r>
        <w:rPr>
          <w:rFonts w:ascii="Arial Black" w:hAnsi="Arial Black"/>
          <w:sz w:val="24"/>
          <w:szCs w:val="24"/>
        </w:rPr>
        <w:t>15-18</w:t>
      </w:r>
    </w:p>
    <w:p w14:paraId="6E82213A" w14:textId="77777777" w:rsidR="009453FA" w:rsidRDefault="009453FA" w:rsidP="009453FA">
      <w:pPr>
        <w:spacing w:before="100" w:beforeAutospacing="1" w:after="100" w:afterAutospacing="1" w:line="240" w:lineRule="auto"/>
        <w:rPr>
          <w:rFonts w:ascii="Arial Black" w:hAnsi="Arial Black"/>
          <w:sz w:val="28"/>
          <w:szCs w:val="28"/>
        </w:rPr>
      </w:pPr>
      <w:bookmarkStart w:id="573" w:name="_Hlk99871263"/>
      <w:r>
        <w:rPr>
          <w:rFonts w:ascii="Arial Black" w:hAnsi="Arial Black"/>
          <w:sz w:val="28"/>
          <w:szCs w:val="28"/>
        </w:rPr>
        <w:t xml:space="preserve">NJ: PTSD - OFFICER CALLED TO FF’S SUICIDE WITH SHOTGUN – NOT CLOSE FRIENDS - NO ACCIDENTAL DISAB. </w:t>
      </w:r>
    </w:p>
    <w:p w14:paraId="1141A8BB" w14:textId="77777777" w:rsidR="009453FA" w:rsidRDefault="009453FA" w:rsidP="009453F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March 30, 2022, in </w:t>
      </w:r>
      <w:r w:rsidRPr="00483D1D">
        <w:rPr>
          <w:rFonts w:ascii="Times New Roman" w:hAnsi="Times New Roman"/>
          <w:sz w:val="24"/>
          <w:szCs w:val="24"/>
          <w:u w:val="single"/>
        </w:rPr>
        <w:t>Barry Mesmer v. Board of Trustee, Police And Firemen’s Retirement System</w:t>
      </w:r>
      <w:r>
        <w:rPr>
          <w:rFonts w:ascii="Times New Roman" w:hAnsi="Times New Roman"/>
          <w:sz w:val="24"/>
          <w:szCs w:val="24"/>
        </w:rPr>
        <w:t xml:space="preserve">, the Superior Court of New Jersey, Appellate Division, held (3 to 0), unpublished decision, the Board properly denied the application for accidental disability retirement; the deceased firefighter was someone he casually knew, but not close friends; under New Jersey case law the traumatic event must be “undesigned and unexpected” in job duties of a police officer.  </w:t>
      </w:r>
      <w:hyperlink r:id="rId2517" w:history="1">
        <w:r w:rsidRPr="002477AB">
          <w:rPr>
            <w:rStyle w:val="Hyperlink"/>
            <w:rFonts w:ascii="Times New Roman" w:eastAsia="Times New Roman" w:hAnsi="Times New Roman"/>
            <w:sz w:val="24"/>
            <w:szCs w:val="24"/>
          </w:rPr>
          <w:t>https://www.njcourts.gov/attorneys/assets/opinions/appellate/unpublished/a3633-19.pdf</w:t>
        </w:r>
      </w:hyperlink>
    </w:p>
    <w:bookmarkEnd w:id="573"/>
    <w:p w14:paraId="1EF2CEC0" w14:textId="77777777" w:rsidR="009453FA" w:rsidRDefault="009453FA" w:rsidP="009453FA">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t>“</w:t>
      </w:r>
      <w:r w:rsidRPr="00A63115">
        <w:rPr>
          <w:rFonts w:ascii="Times New Roman" w:eastAsia="Times New Roman" w:hAnsi="Times New Roman"/>
          <w:sz w:val="24"/>
          <w:szCs w:val="24"/>
        </w:rPr>
        <w:t xml:space="preserve">Mesmer received training, both at the police academy and through the course of his career in law enforcement, in responding to situations involving graphic and gruesome deaths. Mesmer was not a rookie officer and, during his career in law enforcement, he responded to at least ten calls involving gruesome and disfigured dead bodies or serious injuries. Mesmer conceded he did not experience any disabling mental injury after responding to those deaths and he returned to work without incident after each of those events. </w:t>
      </w:r>
    </w:p>
    <w:p w14:paraId="63F253CB" w14:textId="77777777" w:rsidR="009453FA" w:rsidRPr="00A63115" w:rsidRDefault="009453FA" w:rsidP="009453FA">
      <w:pPr>
        <w:spacing w:before="100" w:beforeAutospacing="1" w:after="100" w:afterAutospacing="1" w:line="240" w:lineRule="auto"/>
        <w:ind w:left="720"/>
        <w:rPr>
          <w:rFonts w:ascii="Times New Roman" w:hAnsi="Times New Roman"/>
          <w:sz w:val="24"/>
          <w:szCs w:val="24"/>
        </w:rPr>
      </w:pPr>
      <w:r w:rsidRPr="00A63115">
        <w:rPr>
          <w:rFonts w:ascii="Times New Roman" w:hAnsi="Times New Roman"/>
          <w:sz w:val="24"/>
          <w:szCs w:val="24"/>
        </w:rPr>
        <w:t xml:space="preserve">Additionally, while Mesmer knew M.H., the two men were not even casual friends. Mesmer provided no evidence of any close, personal relationship with the deceased that might have satisfied the undesigned and unexpected requirement under </w:t>
      </w:r>
      <w:r w:rsidRPr="00A63115">
        <w:rPr>
          <w:rStyle w:val="Emphasis"/>
          <w:rFonts w:ascii="Times New Roman" w:hAnsi="Times New Roman"/>
          <w:sz w:val="24"/>
          <w:szCs w:val="24"/>
        </w:rPr>
        <w:t>Richardson</w:t>
      </w:r>
      <w:r w:rsidRPr="00A63115">
        <w:rPr>
          <w:rFonts w:ascii="Times New Roman" w:hAnsi="Times New Roman"/>
          <w:sz w:val="24"/>
          <w:szCs w:val="24"/>
        </w:rPr>
        <w:t xml:space="preserve">. </w:t>
      </w:r>
    </w:p>
    <w:p w14:paraId="62858DDA" w14:textId="77777777" w:rsidR="009453FA" w:rsidRPr="00A63115" w:rsidRDefault="009453FA" w:rsidP="009453FA">
      <w:pPr>
        <w:spacing w:before="100" w:beforeAutospacing="1" w:after="100" w:afterAutospacing="1" w:line="240" w:lineRule="auto"/>
        <w:ind w:left="720"/>
        <w:rPr>
          <w:rFonts w:ascii="Times New Roman" w:eastAsia="Times New Roman" w:hAnsi="Times New Roman"/>
          <w:sz w:val="24"/>
          <w:szCs w:val="24"/>
        </w:rPr>
      </w:pPr>
      <w:r w:rsidRPr="00A63115">
        <w:rPr>
          <w:rFonts w:ascii="Times New Roman" w:eastAsia="Times New Roman" w:hAnsi="Times New Roman"/>
          <w:sz w:val="24"/>
          <w:szCs w:val="24"/>
        </w:rPr>
        <w:t xml:space="preserve">Mesmer knew he was responding to a suicide at an address where he knew the homeowner. On this record, nothing about the events of February 14, 2016, fell outside the scope of Mesmer's general duties as a police officer. Given the totality of the circumstances, it was not unreasonable for Mesmer to anticipate the aftermath of M.H.'s suicide. </w:t>
      </w:r>
    </w:p>
    <w:p w14:paraId="389FCEBE" w14:textId="77777777" w:rsidR="009453FA" w:rsidRDefault="009453FA" w:rsidP="009453FA">
      <w:pPr>
        <w:spacing w:before="100" w:beforeAutospacing="1" w:after="100" w:afterAutospacing="1" w:line="240" w:lineRule="auto"/>
        <w:ind w:left="720"/>
        <w:rPr>
          <w:rFonts w:ascii="Times New Roman" w:eastAsia="Times New Roman" w:hAnsi="Times New Roman"/>
          <w:sz w:val="24"/>
          <w:szCs w:val="24"/>
        </w:rPr>
      </w:pPr>
      <w:r w:rsidRPr="00A63115">
        <w:rPr>
          <w:rFonts w:ascii="Times New Roman" w:eastAsia="Times New Roman" w:hAnsi="Times New Roman"/>
          <w:sz w:val="24"/>
          <w:szCs w:val="24"/>
        </w:rPr>
        <w:t>On this record, we are satisfied there is ample credible evidence supporting the denial of Mesmer's application for ADR benefits and the Board's decision was not arbitrary, capricious, or unreasonable.</w:t>
      </w:r>
      <w:r>
        <w:rPr>
          <w:rFonts w:ascii="Times New Roman" w:eastAsia="Times New Roman" w:hAnsi="Times New Roman"/>
          <w:sz w:val="24"/>
          <w:szCs w:val="24"/>
        </w:rPr>
        <w:t xml:space="preserve">” </w:t>
      </w:r>
      <w:hyperlink r:id="rId2518" w:history="1">
        <w:r w:rsidRPr="002477AB">
          <w:rPr>
            <w:rStyle w:val="Hyperlink"/>
            <w:rFonts w:ascii="Times New Roman" w:eastAsia="Times New Roman" w:hAnsi="Times New Roman"/>
            <w:sz w:val="24"/>
            <w:szCs w:val="24"/>
          </w:rPr>
          <w:t>https://www.njcourts.gov/attorneys/assets/opinions/appellate/unpublished/a3633-19.pdf</w:t>
        </w:r>
      </w:hyperlink>
      <w:r>
        <w:rPr>
          <w:rFonts w:ascii="Times New Roman" w:eastAsia="Times New Roman" w:hAnsi="Times New Roman"/>
          <w:sz w:val="24"/>
          <w:szCs w:val="24"/>
        </w:rPr>
        <w:t xml:space="preserve"> </w:t>
      </w:r>
    </w:p>
    <w:p w14:paraId="54BC8C61" w14:textId="77777777" w:rsidR="009453FA" w:rsidRPr="005F0249" w:rsidRDefault="009453FA" w:rsidP="009453FA">
      <w:pPr>
        <w:spacing w:before="100" w:beforeAutospacing="1" w:after="100" w:afterAutospacing="1" w:line="240" w:lineRule="auto"/>
        <w:rPr>
          <w:rFonts w:ascii="Times New Roman" w:eastAsia="Times New Roman" w:hAnsi="Times New Roman"/>
          <w:b/>
          <w:bCs/>
          <w:sz w:val="24"/>
          <w:szCs w:val="24"/>
        </w:rPr>
      </w:pPr>
      <w:r w:rsidRPr="005F0249">
        <w:rPr>
          <w:rFonts w:ascii="Times New Roman" w:hAnsi="Times New Roman"/>
          <w:b/>
          <w:bCs/>
          <w:sz w:val="24"/>
          <w:szCs w:val="24"/>
        </w:rPr>
        <w:t>Legal Lesson Learned:</w:t>
      </w:r>
      <w:r>
        <w:rPr>
          <w:rFonts w:ascii="Times New Roman" w:hAnsi="Times New Roman"/>
          <w:b/>
          <w:bCs/>
          <w:sz w:val="24"/>
          <w:szCs w:val="24"/>
        </w:rPr>
        <w:t xml:space="preserve"> Under N.J. case law, this single traumatic event leading to PTSD did not qualify for added retirement benefits. </w:t>
      </w:r>
    </w:p>
    <w:p w14:paraId="1D7F54EC" w14:textId="77777777" w:rsidR="009453FA" w:rsidRDefault="009453FA" w:rsidP="000C4DF5">
      <w:pPr>
        <w:pStyle w:val="NoSpacing"/>
        <w:rPr>
          <w:rFonts w:ascii="Arial Black" w:hAnsi="Arial Black"/>
          <w:sz w:val="24"/>
          <w:szCs w:val="24"/>
        </w:rPr>
      </w:pPr>
    </w:p>
    <w:p w14:paraId="19EA6567" w14:textId="77777777" w:rsidR="009453FA" w:rsidRDefault="009453FA" w:rsidP="000C4DF5">
      <w:pPr>
        <w:pStyle w:val="NoSpacing"/>
        <w:rPr>
          <w:rFonts w:ascii="Arial Black" w:hAnsi="Arial Black"/>
          <w:sz w:val="24"/>
          <w:szCs w:val="24"/>
        </w:rPr>
      </w:pPr>
    </w:p>
    <w:p w14:paraId="660D1BD2" w14:textId="77777777" w:rsidR="009453FA" w:rsidRDefault="009453FA" w:rsidP="000C4DF5">
      <w:pPr>
        <w:pStyle w:val="NoSpacing"/>
        <w:rPr>
          <w:rFonts w:ascii="Arial Black" w:hAnsi="Arial Black"/>
          <w:sz w:val="24"/>
          <w:szCs w:val="24"/>
        </w:rPr>
      </w:pPr>
    </w:p>
    <w:p w14:paraId="5A7859D0" w14:textId="5040EE91" w:rsidR="009453FA" w:rsidRDefault="009453FA" w:rsidP="000C4DF5">
      <w:pPr>
        <w:pStyle w:val="NoSpacing"/>
        <w:rPr>
          <w:rFonts w:ascii="Arial Black" w:hAnsi="Arial Black"/>
          <w:sz w:val="24"/>
          <w:szCs w:val="24"/>
        </w:rPr>
      </w:pPr>
      <w:r>
        <w:rPr>
          <w:rFonts w:ascii="Arial Black" w:hAnsi="Arial Black"/>
          <w:sz w:val="24"/>
          <w:szCs w:val="24"/>
        </w:rPr>
        <w:t>15-17</w:t>
      </w:r>
    </w:p>
    <w:p w14:paraId="7971465A" w14:textId="77777777" w:rsidR="009453FA" w:rsidRPr="00C130F0" w:rsidRDefault="009453FA" w:rsidP="009453FA">
      <w:pPr>
        <w:spacing w:before="100" w:beforeAutospacing="1" w:after="100" w:afterAutospacing="1" w:line="240" w:lineRule="auto"/>
        <w:rPr>
          <w:rFonts w:ascii="Arial Black" w:eastAsia="Times New Roman" w:hAnsi="Arial Black"/>
          <w:b/>
          <w:bCs/>
          <w:sz w:val="28"/>
          <w:szCs w:val="28"/>
        </w:rPr>
      </w:pPr>
      <w:bookmarkStart w:id="574" w:name="_Hlk99871308"/>
      <w:r>
        <w:rPr>
          <w:rFonts w:ascii="Arial Black" w:eastAsia="Times New Roman" w:hAnsi="Arial Black"/>
          <w:b/>
          <w:bCs/>
          <w:sz w:val="28"/>
          <w:szCs w:val="28"/>
        </w:rPr>
        <w:t>MD: PTSD - MEDICAL LEAVE 1-YR – OFFERED TAKE DEMOTION TO FF - CAN’T PERFORM DUTIES - NO FED. VIOL.</w:t>
      </w:r>
    </w:p>
    <w:p w14:paraId="09A4D8D8" w14:textId="77777777" w:rsidR="009453FA" w:rsidRDefault="009453FA" w:rsidP="009453FA">
      <w:pPr>
        <w:spacing w:before="100" w:beforeAutospacing="1" w:after="100" w:afterAutospacing="1" w:line="240" w:lineRule="auto"/>
        <w:rPr>
          <w:rFonts w:ascii="Times New Roman" w:hAnsi="Times New Roman"/>
          <w:sz w:val="24"/>
          <w:szCs w:val="24"/>
        </w:rPr>
      </w:pPr>
      <w:r w:rsidRPr="00632C03">
        <w:rPr>
          <w:rFonts w:ascii="Times New Roman" w:eastAsia="Times New Roman" w:hAnsi="Times New Roman"/>
          <w:sz w:val="24"/>
          <w:szCs w:val="24"/>
        </w:rPr>
        <w:t xml:space="preserve">On </w:t>
      </w:r>
      <w:r>
        <w:rPr>
          <w:rFonts w:ascii="Times New Roman" w:eastAsia="Times New Roman" w:hAnsi="Times New Roman"/>
          <w:sz w:val="24"/>
          <w:szCs w:val="24"/>
        </w:rPr>
        <w:t xml:space="preserve">March 18, 2022, in </w:t>
      </w:r>
      <w:r w:rsidRPr="00632C03">
        <w:rPr>
          <w:rFonts w:ascii="Times New Roman" w:eastAsia="Times New Roman" w:hAnsi="Times New Roman"/>
          <w:sz w:val="24"/>
          <w:szCs w:val="24"/>
          <w:u w:val="single"/>
        </w:rPr>
        <w:t>Stanley Abler v. Mayor and City Council of Baltimore</w:t>
      </w:r>
      <w:r>
        <w:rPr>
          <w:rFonts w:ascii="Times New Roman" w:eastAsia="Times New Roman" w:hAnsi="Times New Roman"/>
          <w:sz w:val="24"/>
          <w:szCs w:val="24"/>
        </w:rPr>
        <w:t xml:space="preserve">, Beth P. Gesner, Chief U.S. Magistrate Judge, U.S. District Court for District of Maryland, granted the defense motion for summary </w:t>
      </w:r>
      <w:r>
        <w:rPr>
          <w:rFonts w:ascii="Times New Roman" w:eastAsia="Times New Roman" w:hAnsi="Times New Roman"/>
          <w:sz w:val="24"/>
          <w:szCs w:val="24"/>
        </w:rPr>
        <w:lastRenderedPageBreak/>
        <w:t xml:space="preserve">judgment, finding no violation of the federal Rehabilitation Act since he could no longer perform the duties of a medic or a firefighter.  Paramedic Abler </w:t>
      </w:r>
      <w:r w:rsidRPr="00C130F0">
        <w:rPr>
          <w:rFonts w:ascii="Times New Roman" w:hAnsi="Times New Roman"/>
          <w:sz w:val="24"/>
          <w:szCs w:val="24"/>
        </w:rPr>
        <w:t>suffered from PTSD stemming from an incident in April 2015</w:t>
      </w:r>
      <w:r>
        <w:rPr>
          <w:rFonts w:ascii="Times New Roman" w:hAnsi="Times New Roman"/>
          <w:sz w:val="24"/>
          <w:szCs w:val="24"/>
        </w:rPr>
        <w:t xml:space="preserve"> [no details about the incident in Court’s opinion].  “</w:t>
      </w:r>
      <w:r w:rsidRPr="00632C03">
        <w:rPr>
          <w:rFonts w:ascii="Times New Roman" w:hAnsi="Times New Roman"/>
          <w:sz w:val="24"/>
          <w:szCs w:val="24"/>
        </w:rPr>
        <w:t>After reporting to the Baltimore City Public Safety Infirmary (</w:t>
      </w:r>
      <w:r>
        <w:rPr>
          <w:rFonts w:ascii="Times New Roman" w:hAnsi="Times New Roman"/>
          <w:sz w:val="24"/>
          <w:szCs w:val="24"/>
        </w:rPr>
        <w:t>‘</w:t>
      </w:r>
      <w:r w:rsidRPr="00632C03">
        <w:rPr>
          <w:rFonts w:ascii="Times New Roman" w:hAnsi="Times New Roman"/>
          <w:sz w:val="24"/>
          <w:szCs w:val="24"/>
        </w:rPr>
        <w:t>PSI</w:t>
      </w:r>
      <w:r>
        <w:rPr>
          <w:rFonts w:ascii="Times New Roman" w:hAnsi="Times New Roman"/>
          <w:sz w:val="24"/>
          <w:szCs w:val="24"/>
        </w:rPr>
        <w:t>’</w:t>
      </w:r>
      <w:r w:rsidRPr="00632C03">
        <w:rPr>
          <w:rFonts w:ascii="Times New Roman" w:hAnsi="Times New Roman"/>
          <w:sz w:val="24"/>
          <w:szCs w:val="24"/>
        </w:rPr>
        <w:t>) for a medical evaluation, plaintiff was placed on medical leave effective June 7, 2015</w:t>
      </w:r>
      <w:r>
        <w:rPr>
          <w:rFonts w:ascii="Times New Roman" w:hAnsi="Times New Roman"/>
          <w:sz w:val="24"/>
          <w:szCs w:val="24"/>
        </w:rPr>
        <w:t xml:space="preserve">…. </w:t>
      </w:r>
      <w:r w:rsidRPr="00632C03">
        <w:rPr>
          <w:rFonts w:ascii="Times New Roman" w:hAnsi="Times New Roman"/>
          <w:sz w:val="24"/>
          <w:szCs w:val="24"/>
        </w:rPr>
        <w:t xml:space="preserve">Plaintiff remained on medical leave </w:t>
      </w:r>
      <w:r>
        <w:rPr>
          <w:rFonts w:ascii="Times New Roman" w:hAnsi="Times New Roman"/>
          <w:sz w:val="24"/>
          <w:szCs w:val="24"/>
        </w:rPr>
        <w:t xml:space="preserve">for a year, and his clinician noted he was “disabled from all work.” He requested a reduction in rank to return to work as a firefighter, but this was not granted and was forced to retire on </w:t>
      </w:r>
      <w:r w:rsidRPr="00332157">
        <w:rPr>
          <w:rFonts w:ascii="Times New Roman" w:hAnsi="Times New Roman"/>
          <w:sz w:val="24"/>
          <w:szCs w:val="24"/>
        </w:rPr>
        <w:t>November 22, 2016</w:t>
      </w:r>
      <w:r>
        <w:rPr>
          <w:rFonts w:ascii="Times New Roman" w:hAnsi="Times New Roman"/>
          <w:sz w:val="24"/>
          <w:szCs w:val="24"/>
        </w:rPr>
        <w:t xml:space="preserve">. </w:t>
      </w:r>
      <w:hyperlink r:id="rId2519" w:history="1">
        <w:r w:rsidRPr="002477AB">
          <w:rPr>
            <w:rStyle w:val="Hyperlink"/>
            <w:rFonts w:ascii="Times New Roman" w:hAnsi="Times New Roman"/>
            <w:sz w:val="24"/>
            <w:szCs w:val="24"/>
          </w:rPr>
          <w:t>https://casetext.com/case/abler-v-mayor-of-balt</w:t>
        </w:r>
      </w:hyperlink>
      <w:r>
        <w:rPr>
          <w:rFonts w:ascii="Times New Roman" w:hAnsi="Times New Roman"/>
          <w:sz w:val="24"/>
          <w:szCs w:val="24"/>
        </w:rPr>
        <w:t xml:space="preserve"> </w:t>
      </w:r>
    </w:p>
    <w:bookmarkEnd w:id="574"/>
    <w:p w14:paraId="141F8A8C" w14:textId="77777777" w:rsidR="009453FA" w:rsidRDefault="009453FA" w:rsidP="009453F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AB0831">
        <w:rPr>
          <w:rFonts w:ascii="Times New Roman" w:eastAsia="Times New Roman" w:hAnsi="Times New Roman"/>
          <w:sz w:val="24"/>
          <w:szCs w:val="24"/>
        </w:rPr>
        <w:t>Here, plaintiff argues that he and his clinician believed he could perform the essential functions of a firefighter</w:t>
      </w:r>
      <w:r>
        <w:rPr>
          <w:rFonts w:ascii="Times New Roman" w:eastAsia="Times New Roman" w:hAnsi="Times New Roman"/>
          <w:sz w:val="24"/>
          <w:szCs w:val="24"/>
        </w:rPr>
        <w:t xml:space="preserve">…. </w:t>
      </w:r>
      <w:r w:rsidRPr="00AB0831">
        <w:rPr>
          <w:rFonts w:ascii="Times New Roman" w:eastAsia="Times New Roman" w:hAnsi="Times New Roman"/>
          <w:sz w:val="24"/>
          <w:szCs w:val="24"/>
        </w:rPr>
        <w:t xml:space="preserve">Plaintiff, however, provides no evidence to support his claim. Instead, plaintiff references documents indicating that the BCFD engaged in the interactive process with other disabled employees, but these documents do not provide evidence of </w:t>
      </w:r>
      <w:r w:rsidRPr="00AB0831">
        <w:rPr>
          <w:rFonts w:ascii="Times New Roman" w:eastAsia="Times New Roman" w:hAnsi="Times New Roman"/>
          <w:i/>
          <w:iCs/>
          <w:sz w:val="24"/>
          <w:szCs w:val="24"/>
        </w:rPr>
        <w:t>plaintiff's</w:t>
      </w:r>
      <w:r w:rsidRPr="00AB0831">
        <w:rPr>
          <w:rFonts w:ascii="Times New Roman" w:eastAsia="Times New Roman" w:hAnsi="Times New Roman"/>
          <w:sz w:val="24"/>
          <w:szCs w:val="24"/>
        </w:rPr>
        <w:t xml:space="preserve"> ability to perform the essential functions of a firefighter or some other position within the BCFD</w:t>
      </w:r>
      <w:r>
        <w:rPr>
          <w:rFonts w:ascii="Times New Roman" w:eastAsia="Times New Roman" w:hAnsi="Times New Roman"/>
          <w:sz w:val="24"/>
          <w:szCs w:val="24"/>
        </w:rPr>
        <w:t xml:space="preserve">…. </w:t>
      </w:r>
      <w:r w:rsidRPr="00AB0831">
        <w:rPr>
          <w:rFonts w:ascii="Times New Roman" w:eastAsia="Times New Roman" w:hAnsi="Times New Roman"/>
          <w:sz w:val="24"/>
          <w:szCs w:val="24"/>
        </w:rPr>
        <w:t xml:space="preserve">Further, plaintiff contends that while his medical providers noted that he </w:t>
      </w:r>
      <w:proofErr w:type="gramStart"/>
      <w:r w:rsidRPr="00AB0831">
        <w:rPr>
          <w:rFonts w:ascii="Times New Roman" w:eastAsia="Times New Roman" w:hAnsi="Times New Roman"/>
          <w:sz w:val="24"/>
          <w:szCs w:val="24"/>
        </w:rPr>
        <w:t>was not able to</w:t>
      </w:r>
      <w:proofErr w:type="gramEnd"/>
      <w:r w:rsidRPr="00AB0831">
        <w:rPr>
          <w:rFonts w:ascii="Times New Roman" w:eastAsia="Times New Roman" w:hAnsi="Times New Roman"/>
          <w:sz w:val="24"/>
          <w:szCs w:val="24"/>
        </w:rPr>
        <w:t xml:space="preserve"> work as a paramedic, they did not otherwise indicate that he was unable to perform as a firefighter or in a variety of other positions</w:t>
      </w:r>
      <w:r>
        <w:rPr>
          <w:rFonts w:ascii="Times New Roman" w:eastAsia="Times New Roman" w:hAnsi="Times New Roman"/>
          <w:sz w:val="24"/>
          <w:szCs w:val="24"/>
        </w:rPr>
        <w:t xml:space="preserve">…. </w:t>
      </w:r>
      <w:r w:rsidRPr="00AB0831">
        <w:rPr>
          <w:rFonts w:ascii="Times New Roman" w:eastAsia="Times New Roman" w:hAnsi="Times New Roman"/>
          <w:sz w:val="24"/>
          <w:szCs w:val="24"/>
        </w:rPr>
        <w:t xml:space="preserve">Plaintiff's argument, however, is not supported by the record. For example, while plaintiff's clinician opined that plaintiff was </w:t>
      </w:r>
      <w:r>
        <w:rPr>
          <w:rFonts w:ascii="Times New Roman" w:eastAsia="Times New Roman" w:hAnsi="Times New Roman"/>
          <w:sz w:val="24"/>
          <w:szCs w:val="24"/>
        </w:rPr>
        <w:t>‘</w:t>
      </w:r>
      <w:r w:rsidRPr="00AB0831">
        <w:rPr>
          <w:rFonts w:ascii="Times New Roman" w:eastAsia="Times New Roman" w:hAnsi="Times New Roman"/>
          <w:sz w:val="24"/>
          <w:szCs w:val="24"/>
        </w:rPr>
        <w:t>permanently disabled from returning to the BCFD as a Paramedic,</w:t>
      </w:r>
      <w:r>
        <w:rPr>
          <w:rFonts w:ascii="Times New Roman" w:eastAsia="Times New Roman" w:hAnsi="Times New Roman"/>
          <w:sz w:val="24"/>
          <w:szCs w:val="24"/>
        </w:rPr>
        <w:t xml:space="preserve">’ </w:t>
      </w:r>
      <w:r w:rsidRPr="00AB0831">
        <w:rPr>
          <w:rFonts w:ascii="Times New Roman" w:eastAsia="Times New Roman" w:hAnsi="Times New Roman"/>
          <w:sz w:val="24"/>
          <w:szCs w:val="24"/>
        </w:rPr>
        <w:t xml:space="preserve">she also noted, two days before plaintiff retired, that plaintiff was </w:t>
      </w:r>
      <w:r>
        <w:rPr>
          <w:rFonts w:ascii="Times New Roman" w:eastAsia="Times New Roman" w:hAnsi="Times New Roman"/>
          <w:sz w:val="24"/>
          <w:szCs w:val="24"/>
        </w:rPr>
        <w:t>‘</w:t>
      </w:r>
      <w:r w:rsidRPr="00AB0831">
        <w:rPr>
          <w:rFonts w:ascii="Times New Roman" w:eastAsia="Times New Roman" w:hAnsi="Times New Roman"/>
          <w:sz w:val="24"/>
          <w:szCs w:val="24"/>
        </w:rPr>
        <w:t xml:space="preserve">disabled from </w:t>
      </w:r>
      <w:r w:rsidRPr="00AB0831">
        <w:rPr>
          <w:rFonts w:ascii="Times New Roman" w:eastAsia="Times New Roman" w:hAnsi="Times New Roman"/>
          <w:i/>
          <w:iCs/>
          <w:sz w:val="24"/>
          <w:szCs w:val="24"/>
        </w:rPr>
        <w:t>all work</w:t>
      </w:r>
      <w:r w:rsidRPr="00AB0831">
        <w:rPr>
          <w:rFonts w:ascii="Times New Roman" w:eastAsia="Times New Roman" w:hAnsi="Times New Roman"/>
          <w:sz w:val="24"/>
          <w:szCs w:val="24"/>
        </w:rPr>
        <w:t xml:space="preserve"> at this time</w:t>
      </w:r>
      <w:r>
        <w:rPr>
          <w:rFonts w:ascii="Times New Roman" w:eastAsia="Times New Roman" w:hAnsi="Times New Roman"/>
          <w:sz w:val="24"/>
          <w:szCs w:val="24"/>
        </w:rPr>
        <w:t>’</w:t>
      </w:r>
      <w:r w:rsidRPr="00AB0831">
        <w:rPr>
          <w:rFonts w:ascii="Times New Roman" w:eastAsia="Times New Roman" w:hAnsi="Times New Roman"/>
          <w:sz w:val="24"/>
          <w:szCs w:val="24"/>
        </w:rPr>
        <w:t xml:space="preserve"> and that she would </w:t>
      </w:r>
      <w:r>
        <w:rPr>
          <w:rFonts w:ascii="Times New Roman" w:eastAsia="Times New Roman" w:hAnsi="Times New Roman"/>
          <w:sz w:val="24"/>
          <w:szCs w:val="24"/>
        </w:rPr>
        <w:t>‘</w:t>
      </w:r>
      <w:r w:rsidRPr="00AB0831">
        <w:rPr>
          <w:rFonts w:ascii="Times New Roman" w:eastAsia="Times New Roman" w:hAnsi="Times New Roman"/>
          <w:sz w:val="24"/>
          <w:szCs w:val="24"/>
        </w:rPr>
        <w:t>re-evaluate his condition in two months to see if he is prepared to try to enter the job force in a different position.</w:t>
      </w:r>
      <w:r>
        <w:rPr>
          <w:rFonts w:ascii="Times New Roman" w:eastAsia="Times New Roman" w:hAnsi="Times New Roman"/>
          <w:sz w:val="24"/>
          <w:szCs w:val="24"/>
        </w:rPr>
        <w:t>’</w:t>
      </w:r>
      <w:r w:rsidRPr="00AB0831">
        <w:rPr>
          <w:rFonts w:ascii="Times New Roman" w:eastAsia="Times New Roman" w:hAnsi="Times New Roman"/>
          <w:sz w:val="24"/>
          <w:szCs w:val="24"/>
        </w:rPr>
        <w:t xml:space="preserve"> (emphasis added). </w:t>
      </w:r>
    </w:p>
    <w:p w14:paraId="1912D98E" w14:textId="77777777" w:rsidR="009453FA" w:rsidRDefault="009453FA" w:rsidP="009453FA">
      <w:pPr>
        <w:spacing w:before="100" w:beforeAutospacing="1" w:after="100" w:afterAutospacing="1" w:line="240" w:lineRule="auto"/>
        <w:ind w:left="720"/>
        <w:rPr>
          <w:rFonts w:ascii="Times New Roman" w:hAnsi="Times New Roman"/>
          <w:sz w:val="24"/>
          <w:szCs w:val="24"/>
        </w:rPr>
      </w:pPr>
      <w:r w:rsidRPr="00C130F0">
        <w:rPr>
          <w:rFonts w:ascii="Times New Roman" w:hAnsi="Times New Roman"/>
          <w:sz w:val="24"/>
          <w:szCs w:val="24"/>
        </w:rPr>
        <w:t>In addition, plaintiff admits that he “was not able to do any job functions, for the entire year [he] was off injured</w:t>
      </w:r>
      <w:r>
        <w:rPr>
          <w:rFonts w:ascii="Times New Roman" w:hAnsi="Times New Roman"/>
          <w:sz w:val="24"/>
          <w:szCs w:val="24"/>
        </w:rPr>
        <w:t>….</w:t>
      </w:r>
      <w:r w:rsidRPr="00C130F0">
        <w:rPr>
          <w:rFonts w:ascii="Times New Roman" w:hAnsi="Times New Roman"/>
          <w:sz w:val="24"/>
          <w:szCs w:val="24"/>
        </w:rPr>
        <w:t>”</w:t>
      </w:r>
      <w:r>
        <w:rPr>
          <w:rFonts w:ascii="Times New Roman" w:hAnsi="Times New Roman"/>
          <w:sz w:val="24"/>
          <w:szCs w:val="24"/>
        </w:rPr>
        <w:t xml:space="preserve"> </w:t>
      </w:r>
      <w:r w:rsidRPr="00C130F0">
        <w:rPr>
          <w:rFonts w:ascii="Times New Roman" w:hAnsi="Times New Roman"/>
          <w:sz w:val="24"/>
          <w:szCs w:val="24"/>
        </w:rPr>
        <w:t xml:space="preserve"> Further, plaintiff indicated in his answers to defendant's interrogatories that he suffered from PTSD stemming from an incident in April 2015, and he struggled with </w:t>
      </w:r>
      <w:r>
        <w:rPr>
          <w:rFonts w:ascii="Times New Roman" w:hAnsi="Times New Roman"/>
          <w:sz w:val="24"/>
          <w:szCs w:val="24"/>
        </w:rPr>
        <w:t>‘</w:t>
      </w:r>
      <w:r w:rsidRPr="00C130F0">
        <w:rPr>
          <w:rFonts w:ascii="Times New Roman" w:hAnsi="Times New Roman"/>
          <w:sz w:val="24"/>
          <w:szCs w:val="24"/>
        </w:rPr>
        <w:t>depression, anxiety, insomnia, flashback [sic], [and] cognitive issues that make it hard to focus, at times it is extremely debilitating where daily activities of living are difficult</w:t>
      </w:r>
      <w:r>
        <w:rPr>
          <w:rFonts w:ascii="Times New Roman" w:hAnsi="Times New Roman"/>
          <w:sz w:val="24"/>
          <w:szCs w:val="24"/>
        </w:rPr>
        <w:t xml:space="preserve">….’ </w:t>
      </w:r>
      <w:r w:rsidRPr="00C130F0">
        <w:rPr>
          <w:rFonts w:ascii="Times New Roman" w:hAnsi="Times New Roman"/>
          <w:sz w:val="24"/>
          <w:szCs w:val="24"/>
        </w:rPr>
        <w:t xml:space="preserve">Plaintiff, however, fails to provide any evidence of how, despite his PTSD and </w:t>
      </w:r>
      <w:r>
        <w:rPr>
          <w:rFonts w:ascii="Times New Roman" w:hAnsi="Times New Roman"/>
          <w:sz w:val="24"/>
          <w:szCs w:val="24"/>
        </w:rPr>
        <w:t>‘</w:t>
      </w:r>
      <w:r w:rsidRPr="00C130F0">
        <w:rPr>
          <w:rFonts w:ascii="Times New Roman" w:hAnsi="Times New Roman"/>
          <w:sz w:val="24"/>
          <w:szCs w:val="24"/>
        </w:rPr>
        <w:t>extremely debilitating</w:t>
      </w:r>
      <w:r>
        <w:rPr>
          <w:rFonts w:ascii="Times New Roman" w:hAnsi="Times New Roman"/>
          <w:sz w:val="24"/>
          <w:szCs w:val="24"/>
        </w:rPr>
        <w:t>’</w:t>
      </w:r>
      <w:r w:rsidRPr="00C130F0">
        <w:rPr>
          <w:rFonts w:ascii="Times New Roman" w:hAnsi="Times New Roman"/>
          <w:sz w:val="24"/>
          <w:szCs w:val="24"/>
        </w:rPr>
        <w:t xml:space="preserve"> medical conditions, he was able to perform the essential functions of a firefighter, such as extinguishing fires and rescuing emergency victims</w:t>
      </w:r>
      <w:r>
        <w:rPr>
          <w:rFonts w:ascii="Times New Roman" w:hAnsi="Times New Roman"/>
          <w:sz w:val="24"/>
          <w:szCs w:val="24"/>
        </w:rPr>
        <w:t xml:space="preserve">…. </w:t>
      </w:r>
      <w:r w:rsidRPr="00C130F0">
        <w:rPr>
          <w:rFonts w:ascii="Times New Roman" w:hAnsi="Times New Roman"/>
          <w:sz w:val="24"/>
          <w:szCs w:val="24"/>
        </w:rPr>
        <w:t xml:space="preserve"> The court, therefore, concludes that plaintiff has failed to offer evidence that he was able to perform the essential functions of a firefighter or some other position within the BCFD</w:t>
      </w:r>
      <w:r>
        <w:rPr>
          <w:rFonts w:ascii="Times New Roman" w:hAnsi="Times New Roman"/>
          <w:sz w:val="24"/>
          <w:szCs w:val="24"/>
        </w:rPr>
        <w:t xml:space="preserve">…. </w:t>
      </w:r>
      <w:r w:rsidRPr="00C130F0">
        <w:rPr>
          <w:rFonts w:ascii="Times New Roman" w:hAnsi="Times New Roman"/>
          <w:sz w:val="24"/>
          <w:szCs w:val="24"/>
        </w:rPr>
        <w:t>Accordingly, plaintiff fails to satisfy the third element of his prima facie claim of failure to accommodate under the Rehabilitation Act.</w:t>
      </w:r>
      <w:r>
        <w:rPr>
          <w:rFonts w:ascii="Times New Roman" w:hAnsi="Times New Roman"/>
          <w:sz w:val="24"/>
          <w:szCs w:val="24"/>
        </w:rPr>
        <w:t xml:space="preserve">” </w:t>
      </w:r>
      <w:hyperlink r:id="rId2520" w:history="1">
        <w:r w:rsidRPr="002477AB">
          <w:rPr>
            <w:rStyle w:val="Hyperlink"/>
            <w:rFonts w:ascii="Times New Roman" w:hAnsi="Times New Roman"/>
            <w:sz w:val="24"/>
            <w:szCs w:val="24"/>
          </w:rPr>
          <w:t>https://casetext.com/case/abler-v-mayor-of-balt</w:t>
        </w:r>
      </w:hyperlink>
      <w:r>
        <w:rPr>
          <w:rFonts w:ascii="Times New Roman" w:hAnsi="Times New Roman"/>
          <w:sz w:val="24"/>
          <w:szCs w:val="24"/>
        </w:rPr>
        <w:t xml:space="preserve"> </w:t>
      </w:r>
    </w:p>
    <w:p w14:paraId="50B1BB29" w14:textId="77777777" w:rsidR="009453FA" w:rsidRDefault="009453FA" w:rsidP="009453FA">
      <w:pPr>
        <w:spacing w:before="100" w:beforeAutospacing="1" w:after="100" w:afterAutospacing="1" w:line="240" w:lineRule="auto"/>
        <w:rPr>
          <w:rFonts w:ascii="Times New Roman" w:eastAsia="Times New Roman" w:hAnsi="Times New Roman"/>
          <w:b/>
          <w:bCs/>
          <w:sz w:val="24"/>
          <w:szCs w:val="24"/>
        </w:rPr>
      </w:pPr>
      <w:r w:rsidRPr="00E94438">
        <w:rPr>
          <w:rFonts w:ascii="Times New Roman" w:hAnsi="Times New Roman"/>
          <w:b/>
          <w:bCs/>
          <w:sz w:val="24"/>
          <w:szCs w:val="24"/>
        </w:rPr>
        <w:t>Legal Lesson Learned:</w:t>
      </w:r>
      <w:r>
        <w:rPr>
          <w:rFonts w:ascii="Times New Roman" w:hAnsi="Times New Roman"/>
          <w:b/>
          <w:bCs/>
          <w:sz w:val="24"/>
          <w:szCs w:val="24"/>
        </w:rPr>
        <w:t xml:space="preserve"> The clinician’s determination that he was disabled “from all work” meant FD did not need to try find an accommodation. </w:t>
      </w:r>
    </w:p>
    <w:p w14:paraId="4CFC683A" w14:textId="77777777" w:rsidR="009453FA" w:rsidRDefault="009453FA" w:rsidP="000C4DF5">
      <w:pPr>
        <w:pStyle w:val="NoSpacing"/>
        <w:rPr>
          <w:rFonts w:ascii="Arial Black" w:hAnsi="Arial Black"/>
          <w:sz w:val="24"/>
          <w:szCs w:val="24"/>
        </w:rPr>
      </w:pPr>
    </w:p>
    <w:p w14:paraId="0740C8A6" w14:textId="77777777" w:rsidR="009453FA" w:rsidRDefault="009453FA" w:rsidP="000C4DF5">
      <w:pPr>
        <w:pStyle w:val="NoSpacing"/>
        <w:rPr>
          <w:rFonts w:ascii="Arial Black" w:hAnsi="Arial Black"/>
          <w:sz w:val="24"/>
          <w:szCs w:val="24"/>
        </w:rPr>
      </w:pPr>
    </w:p>
    <w:p w14:paraId="48B53E80" w14:textId="77777777" w:rsidR="009453FA" w:rsidRDefault="009453FA" w:rsidP="000C4DF5">
      <w:pPr>
        <w:pStyle w:val="NoSpacing"/>
        <w:rPr>
          <w:rFonts w:ascii="Arial Black" w:hAnsi="Arial Black"/>
          <w:sz w:val="24"/>
          <w:szCs w:val="24"/>
        </w:rPr>
      </w:pPr>
    </w:p>
    <w:p w14:paraId="140F5CEE" w14:textId="032E6A42" w:rsidR="009453FA" w:rsidRDefault="009453FA" w:rsidP="000C4DF5">
      <w:pPr>
        <w:pStyle w:val="NoSpacing"/>
        <w:rPr>
          <w:rFonts w:ascii="Arial Black" w:hAnsi="Arial Black"/>
          <w:sz w:val="24"/>
          <w:szCs w:val="24"/>
        </w:rPr>
      </w:pPr>
      <w:r>
        <w:rPr>
          <w:rFonts w:ascii="Arial Black" w:hAnsi="Arial Black"/>
          <w:sz w:val="24"/>
          <w:szCs w:val="24"/>
        </w:rPr>
        <w:t>15-16 [also filed, Chap. 7]</w:t>
      </w:r>
    </w:p>
    <w:p w14:paraId="63389D1E" w14:textId="4ADC5C59" w:rsidR="009453FA" w:rsidRDefault="009453FA" w:rsidP="000C4DF5">
      <w:pPr>
        <w:pStyle w:val="NoSpacing"/>
        <w:rPr>
          <w:rFonts w:ascii="Arial Black" w:hAnsi="Arial Black"/>
          <w:sz w:val="24"/>
          <w:szCs w:val="24"/>
        </w:rPr>
      </w:pPr>
    </w:p>
    <w:p w14:paraId="74DD3C21" w14:textId="77777777" w:rsidR="009453FA" w:rsidRDefault="009453FA" w:rsidP="009453FA">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TX: PTSD - FEMALE FF NUDE VIDEO FOR HER HUSBAND (FF) – LEARNED 9 YRS LATER FF WATCHED IT – MAY SUE FD </w:t>
      </w:r>
    </w:p>
    <w:p w14:paraId="6658C05D" w14:textId="77777777" w:rsidR="009453FA" w:rsidRPr="004D78BE" w:rsidRDefault="009453FA" w:rsidP="009453FA">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March 11, 2022, in </w:t>
      </w:r>
      <w:r w:rsidRPr="004C0507">
        <w:rPr>
          <w:rFonts w:ascii="Times New Roman" w:eastAsia="Times New Roman" w:hAnsi="Times New Roman"/>
          <w:sz w:val="24"/>
          <w:szCs w:val="24"/>
          <w:u w:val="single"/>
        </w:rPr>
        <w:t xml:space="preserve">Melinda </w:t>
      </w:r>
      <w:proofErr w:type="spellStart"/>
      <w:r w:rsidRPr="004C0507">
        <w:rPr>
          <w:rFonts w:ascii="Times New Roman" w:eastAsia="Times New Roman" w:hAnsi="Times New Roman"/>
          <w:sz w:val="24"/>
          <w:szCs w:val="24"/>
          <w:u w:val="single"/>
        </w:rPr>
        <w:t>Abbt</w:t>
      </w:r>
      <w:proofErr w:type="spellEnd"/>
      <w:r w:rsidRPr="004C0507">
        <w:rPr>
          <w:rFonts w:ascii="Times New Roman" w:eastAsia="Times New Roman" w:hAnsi="Times New Roman"/>
          <w:sz w:val="24"/>
          <w:szCs w:val="24"/>
          <w:u w:val="single"/>
        </w:rPr>
        <w:t xml:space="preserve"> v. City of Houston, John Chris Barrientes</w:t>
      </w:r>
      <w:r>
        <w:rPr>
          <w:rFonts w:ascii="Times New Roman" w:eastAsia="Times New Roman" w:hAnsi="Times New Roman"/>
          <w:sz w:val="24"/>
          <w:szCs w:val="24"/>
        </w:rPr>
        <w:t>, the U.S. Court of Appeals for 5</w:t>
      </w:r>
      <w:r w:rsidRPr="004C0507">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Circuit (New Orleans) held (3 to 0) that the lawsuit against the City of Houston and Captain Barrientes should be reinstated. </w:t>
      </w:r>
      <w:r w:rsidRPr="003170E5">
        <w:rPr>
          <w:rFonts w:ascii="Times New Roman" w:hAnsi="Times New Roman"/>
          <w:sz w:val="24"/>
          <w:szCs w:val="24"/>
        </w:rPr>
        <w:t>“</w:t>
      </w:r>
      <w:proofErr w:type="spellStart"/>
      <w:r w:rsidRPr="003170E5">
        <w:rPr>
          <w:rFonts w:ascii="Times New Roman" w:hAnsi="Times New Roman"/>
          <w:sz w:val="24"/>
          <w:szCs w:val="24"/>
        </w:rPr>
        <w:t>Abbt</w:t>
      </w:r>
      <w:proofErr w:type="spellEnd"/>
      <w:r w:rsidRPr="003170E5">
        <w:rPr>
          <w:rFonts w:ascii="Times New Roman" w:hAnsi="Times New Roman"/>
          <w:sz w:val="24"/>
          <w:szCs w:val="24"/>
        </w:rPr>
        <w:t xml:space="preserve"> has presented sufficient evidence to create a genuine dispute as to whether the City knew or should have known about the </w:t>
      </w:r>
      <w:proofErr w:type="gramStart"/>
      <w:r w:rsidRPr="003170E5">
        <w:rPr>
          <w:rFonts w:ascii="Times New Roman" w:hAnsi="Times New Roman"/>
          <w:sz w:val="24"/>
          <w:szCs w:val="24"/>
        </w:rPr>
        <w:t>harassment, and</w:t>
      </w:r>
      <w:proofErr w:type="gramEnd"/>
      <w:r w:rsidRPr="003170E5">
        <w:rPr>
          <w:rFonts w:ascii="Times New Roman" w:hAnsi="Times New Roman"/>
          <w:sz w:val="24"/>
          <w:szCs w:val="24"/>
        </w:rPr>
        <w:t xml:space="preserve"> thus can be held liable.”</w:t>
      </w:r>
      <w:r>
        <w:rPr>
          <w:rFonts w:ascii="Times New Roman" w:hAnsi="Times New Roman"/>
          <w:sz w:val="24"/>
          <w:szCs w:val="24"/>
        </w:rPr>
        <w:t xml:space="preserve"> </w:t>
      </w:r>
      <w:hyperlink r:id="rId2521" w:history="1">
        <w:r w:rsidRPr="000247F2">
          <w:rPr>
            <w:rStyle w:val="Hyperlink"/>
            <w:rFonts w:ascii="Times New Roman" w:eastAsia="Times New Roman" w:hAnsi="Times New Roman"/>
            <w:sz w:val="24"/>
            <w:szCs w:val="24"/>
          </w:rPr>
          <w:t>https://www.ca5.uscourts.gov/opinions/pub/21/21-20085-CV0.pdf</w:t>
        </w:r>
      </w:hyperlink>
      <w:r>
        <w:rPr>
          <w:rFonts w:ascii="Times New Roman" w:eastAsia="Times New Roman" w:hAnsi="Times New Roman"/>
          <w:sz w:val="24"/>
          <w:szCs w:val="24"/>
        </w:rPr>
        <w:t xml:space="preserve"> </w:t>
      </w:r>
    </w:p>
    <w:p w14:paraId="75D8A2CC" w14:textId="77777777" w:rsidR="009453FA" w:rsidRDefault="009453FA" w:rsidP="009453FA">
      <w:pPr>
        <w:spacing w:before="100" w:beforeAutospacing="1" w:after="100" w:afterAutospacing="1" w:line="240" w:lineRule="auto"/>
        <w:rPr>
          <w:rFonts w:ascii="Times New Roman" w:hAnsi="Times New Roman"/>
          <w:sz w:val="24"/>
          <w:szCs w:val="24"/>
        </w:rPr>
      </w:pPr>
      <w:r>
        <w:rPr>
          <w:rFonts w:ascii="Times New Roman" w:hAnsi="Times New Roman"/>
          <w:sz w:val="24"/>
          <w:szCs w:val="24"/>
        </w:rPr>
        <w:lastRenderedPageBreak/>
        <w:t xml:space="preserve">In a Concurring Opinion, Justice James C. Ho wrote: </w:t>
      </w:r>
    </w:p>
    <w:p w14:paraId="12EA6559" w14:textId="77777777" w:rsidR="009453FA" w:rsidRPr="004D78BE" w:rsidRDefault="009453FA" w:rsidP="009453F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4D78BE">
        <w:rPr>
          <w:rFonts w:ascii="Times New Roman" w:eastAsia="Times New Roman" w:hAnsi="Times New Roman"/>
          <w:sz w:val="24"/>
          <w:szCs w:val="24"/>
        </w:rPr>
        <w:t xml:space="preserve">Melinda </w:t>
      </w:r>
      <w:proofErr w:type="spellStart"/>
      <w:r w:rsidRPr="004D78BE">
        <w:rPr>
          <w:rFonts w:ascii="Times New Roman" w:eastAsia="Times New Roman" w:hAnsi="Times New Roman"/>
          <w:sz w:val="24"/>
          <w:szCs w:val="24"/>
        </w:rPr>
        <w:t>Abbt</w:t>
      </w:r>
      <w:proofErr w:type="spellEnd"/>
      <w:r w:rsidRPr="004D78BE">
        <w:rPr>
          <w:rFonts w:ascii="Times New Roman" w:eastAsia="Times New Roman" w:hAnsi="Times New Roman"/>
          <w:sz w:val="24"/>
          <w:szCs w:val="24"/>
        </w:rPr>
        <w:t xml:space="preserve"> is a firefighter. But at least two of her male superiors at the Houston Fire Department-Chris Barrientes and David Elliott-and perhaps countless others treated her as nothing more than a sexual object. They accessed a private, intimate, nude video that </w:t>
      </w:r>
      <w:proofErr w:type="spellStart"/>
      <w:r w:rsidRPr="004D78BE">
        <w:rPr>
          <w:rFonts w:ascii="Times New Roman" w:eastAsia="Times New Roman" w:hAnsi="Times New Roman"/>
          <w:sz w:val="24"/>
          <w:szCs w:val="24"/>
        </w:rPr>
        <w:t>Abbt</w:t>
      </w:r>
      <w:proofErr w:type="spellEnd"/>
      <w:r w:rsidRPr="004D78BE">
        <w:rPr>
          <w:rFonts w:ascii="Times New Roman" w:eastAsia="Times New Roman" w:hAnsi="Times New Roman"/>
          <w:sz w:val="24"/>
          <w:szCs w:val="24"/>
        </w:rPr>
        <w:t xml:space="preserve"> had obviously made exclusively for her husband. They did so without her knowledge or permission. And they watched it repeatedly, both on and off-duty, alone and in front of co-workers, </w:t>
      </w:r>
      <w:r w:rsidRPr="004D78BE">
        <w:rPr>
          <w:rFonts w:ascii="Times New Roman" w:eastAsia="Times New Roman" w:hAnsi="Times New Roman"/>
          <w:i/>
          <w:iCs/>
          <w:sz w:val="24"/>
          <w:szCs w:val="24"/>
        </w:rPr>
        <w:t>for over nine years</w:t>
      </w:r>
      <w:r w:rsidRPr="004D78BE">
        <w:rPr>
          <w:rFonts w:ascii="Times New Roman" w:eastAsia="Times New Roman" w:hAnsi="Times New Roman"/>
          <w:sz w:val="24"/>
          <w:szCs w:val="24"/>
        </w:rPr>
        <w:t xml:space="preserve">. The only reason </w:t>
      </w:r>
      <w:proofErr w:type="spellStart"/>
      <w:r w:rsidRPr="004D78BE">
        <w:rPr>
          <w:rFonts w:ascii="Times New Roman" w:eastAsia="Times New Roman" w:hAnsi="Times New Roman"/>
          <w:sz w:val="24"/>
          <w:szCs w:val="24"/>
        </w:rPr>
        <w:t>Abbt</w:t>
      </w:r>
      <w:proofErr w:type="spellEnd"/>
      <w:r w:rsidRPr="004D78BE">
        <w:rPr>
          <w:rFonts w:ascii="Times New Roman" w:eastAsia="Times New Roman" w:hAnsi="Times New Roman"/>
          <w:sz w:val="24"/>
          <w:szCs w:val="24"/>
        </w:rPr>
        <w:t xml:space="preserve"> ever discovered this most invasive violation of privacy was because Elliott finally confessed to her husband. Even to this day, </w:t>
      </w:r>
      <w:proofErr w:type="spellStart"/>
      <w:r w:rsidRPr="004D78BE">
        <w:rPr>
          <w:rFonts w:ascii="Times New Roman" w:eastAsia="Times New Roman" w:hAnsi="Times New Roman"/>
          <w:sz w:val="24"/>
          <w:szCs w:val="24"/>
        </w:rPr>
        <w:t>Abbt</w:t>
      </w:r>
      <w:proofErr w:type="spellEnd"/>
      <w:r w:rsidRPr="004D78BE">
        <w:rPr>
          <w:rFonts w:ascii="Times New Roman" w:eastAsia="Times New Roman" w:hAnsi="Times New Roman"/>
          <w:sz w:val="24"/>
          <w:szCs w:val="24"/>
        </w:rPr>
        <w:t xml:space="preserve"> cannot be sure whether anyone else at the Department has already seen the video-or may watch it in the future.</w:t>
      </w:r>
      <w:r>
        <w:rPr>
          <w:rFonts w:ascii="Times New Roman" w:eastAsia="Times New Roman" w:hAnsi="Times New Roman"/>
          <w:sz w:val="24"/>
          <w:szCs w:val="24"/>
        </w:rPr>
        <w:t xml:space="preserve">”  </w:t>
      </w:r>
      <w:hyperlink r:id="rId2522" w:history="1">
        <w:r w:rsidRPr="000247F2">
          <w:rPr>
            <w:rStyle w:val="Hyperlink"/>
            <w:rFonts w:ascii="Times New Roman" w:eastAsia="Times New Roman" w:hAnsi="Times New Roman"/>
            <w:sz w:val="24"/>
            <w:szCs w:val="24"/>
          </w:rPr>
          <w:t>https://www.ca5.uscourts.gov/opinions/pub/21/21-20085-CV0.pdf</w:t>
        </w:r>
      </w:hyperlink>
      <w:r>
        <w:rPr>
          <w:rFonts w:ascii="Times New Roman" w:eastAsia="Times New Roman" w:hAnsi="Times New Roman"/>
          <w:sz w:val="24"/>
          <w:szCs w:val="24"/>
        </w:rPr>
        <w:t xml:space="preserve"> </w:t>
      </w:r>
    </w:p>
    <w:p w14:paraId="7C1D7575" w14:textId="77777777" w:rsidR="009453FA" w:rsidRDefault="009453FA" w:rsidP="009453FA">
      <w:pPr>
        <w:pStyle w:val="NormalWeb"/>
        <w:rPr>
          <w:b/>
          <w:bCs/>
        </w:rPr>
      </w:pPr>
      <w:r w:rsidRPr="00DA6A29">
        <w:rPr>
          <w:b/>
          <w:bCs/>
        </w:rPr>
        <w:t>Legal Lesson Learned:</w:t>
      </w:r>
      <w:r>
        <w:rPr>
          <w:b/>
          <w:bCs/>
        </w:rPr>
        <w:t xml:space="preserve"> Terrible facts; City would be wise to quickly settle this case. </w:t>
      </w:r>
    </w:p>
    <w:p w14:paraId="02CFB19B" w14:textId="77777777" w:rsidR="009453FA" w:rsidRDefault="009453FA" w:rsidP="000C4DF5">
      <w:pPr>
        <w:pStyle w:val="NoSpacing"/>
        <w:rPr>
          <w:rFonts w:ascii="Arial Black" w:hAnsi="Arial Black"/>
          <w:sz w:val="24"/>
          <w:szCs w:val="24"/>
        </w:rPr>
      </w:pPr>
    </w:p>
    <w:p w14:paraId="5DB3B55C" w14:textId="77777777" w:rsidR="009453FA" w:rsidRDefault="009453FA" w:rsidP="000C4DF5">
      <w:pPr>
        <w:pStyle w:val="NoSpacing"/>
        <w:rPr>
          <w:rFonts w:ascii="Arial Black" w:hAnsi="Arial Black"/>
          <w:sz w:val="24"/>
          <w:szCs w:val="24"/>
        </w:rPr>
      </w:pPr>
    </w:p>
    <w:p w14:paraId="19612664" w14:textId="0DF07B37" w:rsidR="00221640" w:rsidRDefault="00221640" w:rsidP="000C4DF5">
      <w:pPr>
        <w:pStyle w:val="NoSpacing"/>
        <w:rPr>
          <w:rFonts w:ascii="Arial Black" w:hAnsi="Arial Black"/>
          <w:sz w:val="24"/>
          <w:szCs w:val="24"/>
        </w:rPr>
      </w:pPr>
      <w:r>
        <w:rPr>
          <w:rFonts w:ascii="Arial Black" w:hAnsi="Arial Black"/>
          <w:sz w:val="24"/>
          <w:szCs w:val="24"/>
        </w:rPr>
        <w:t>15-15</w:t>
      </w:r>
    </w:p>
    <w:p w14:paraId="0A03C679" w14:textId="77777777" w:rsidR="00221640" w:rsidRPr="003A47ED" w:rsidRDefault="00221640" w:rsidP="00221640">
      <w:pPr>
        <w:spacing w:before="100" w:beforeAutospacing="1" w:after="100" w:afterAutospacing="1" w:line="240" w:lineRule="auto"/>
        <w:rPr>
          <w:rFonts w:ascii="Arial Black" w:eastAsia="Times New Roman" w:hAnsi="Arial Black"/>
          <w:b/>
          <w:bCs/>
          <w:sz w:val="28"/>
          <w:szCs w:val="28"/>
        </w:rPr>
      </w:pPr>
      <w:bookmarkStart w:id="575" w:name="_Hlk99871184"/>
      <w:r>
        <w:rPr>
          <w:rFonts w:ascii="Arial Black" w:eastAsia="Times New Roman" w:hAnsi="Arial Black"/>
          <w:b/>
          <w:bCs/>
          <w:sz w:val="28"/>
          <w:szCs w:val="28"/>
        </w:rPr>
        <w:t>CA: PTSD – CHP TROOPER – FIREARM RETURNED – KILLED WIFE – SHOT HER BOYFRIEND, SUICIDE – NO IMMUNITY</w:t>
      </w:r>
    </w:p>
    <w:p w14:paraId="4DE1CAA0" w14:textId="77777777" w:rsidR="00221640" w:rsidRDefault="00221640" w:rsidP="00221640">
      <w:pPr>
        <w:spacing w:before="100" w:beforeAutospacing="1" w:after="100" w:afterAutospacing="1" w:line="240" w:lineRule="auto"/>
        <w:rPr>
          <w:rFonts w:ascii="Times New Roman" w:hAnsi="Times New Roman"/>
          <w:sz w:val="24"/>
          <w:szCs w:val="24"/>
        </w:rPr>
      </w:pPr>
      <w:r w:rsidRPr="00021501">
        <w:rPr>
          <w:rFonts w:ascii="Times New Roman" w:eastAsia="Times New Roman" w:hAnsi="Times New Roman"/>
          <w:sz w:val="24"/>
          <w:szCs w:val="24"/>
        </w:rPr>
        <w:t xml:space="preserve">On Feb. 25, 2022, in </w:t>
      </w:r>
      <w:r w:rsidRPr="00021501">
        <w:rPr>
          <w:rFonts w:ascii="Times New Roman" w:eastAsia="Times New Roman" w:hAnsi="Times New Roman"/>
          <w:sz w:val="24"/>
          <w:szCs w:val="24"/>
          <w:u w:val="single"/>
        </w:rPr>
        <w:t>Phil</w:t>
      </w:r>
      <w:r>
        <w:rPr>
          <w:rFonts w:ascii="Times New Roman" w:eastAsia="Times New Roman" w:hAnsi="Times New Roman"/>
          <w:sz w:val="24"/>
          <w:szCs w:val="24"/>
          <w:u w:val="single"/>
        </w:rPr>
        <w:t xml:space="preserve"> </w:t>
      </w:r>
      <w:proofErr w:type="spellStart"/>
      <w:r w:rsidRPr="00021501">
        <w:rPr>
          <w:rFonts w:ascii="Times New Roman" w:eastAsia="Times New Roman" w:hAnsi="Times New Roman"/>
          <w:sz w:val="24"/>
          <w:szCs w:val="24"/>
          <w:u w:val="single"/>
        </w:rPr>
        <w:t>Debeaubien</w:t>
      </w:r>
      <w:proofErr w:type="spellEnd"/>
      <w:r w:rsidRPr="00021501">
        <w:rPr>
          <w:rFonts w:ascii="Times New Roman" w:eastAsia="Times New Roman" w:hAnsi="Times New Roman"/>
          <w:sz w:val="24"/>
          <w:szCs w:val="24"/>
          <w:u w:val="single"/>
        </w:rPr>
        <w:t xml:space="preserve"> v. State of California, California Highway Patrol, Todd Brown, et al.</w:t>
      </w:r>
      <w:r w:rsidRPr="00021501">
        <w:rPr>
          <w:rFonts w:ascii="Times New Roman" w:eastAsia="Times New Roman" w:hAnsi="Times New Roman"/>
          <w:sz w:val="24"/>
          <w:szCs w:val="24"/>
        </w:rPr>
        <w:t xml:space="preserve">, U.S. District Court Judge William B. </w:t>
      </w:r>
      <w:proofErr w:type="spellStart"/>
      <w:r w:rsidRPr="00021501">
        <w:rPr>
          <w:rFonts w:ascii="Times New Roman" w:eastAsia="Times New Roman" w:hAnsi="Times New Roman"/>
          <w:sz w:val="24"/>
          <w:szCs w:val="24"/>
        </w:rPr>
        <w:t>Shubb</w:t>
      </w:r>
      <w:proofErr w:type="spellEnd"/>
      <w:r w:rsidRPr="00021501">
        <w:rPr>
          <w:rFonts w:ascii="Times New Roman" w:eastAsia="Times New Roman" w:hAnsi="Times New Roman"/>
          <w:sz w:val="24"/>
          <w:szCs w:val="24"/>
        </w:rPr>
        <w:t xml:space="preserve">, U.S. District Court for Eastern District of California, in a lawsuit filed by </w:t>
      </w:r>
      <w:r>
        <w:rPr>
          <w:rFonts w:ascii="Times New Roman" w:eastAsia="Times New Roman" w:hAnsi="Times New Roman"/>
          <w:sz w:val="24"/>
          <w:szCs w:val="24"/>
        </w:rPr>
        <w:t xml:space="preserve">estranged wife’s boyfriend who was shot in arm, </w:t>
      </w:r>
      <w:r w:rsidRPr="00021501">
        <w:rPr>
          <w:rFonts w:ascii="Times New Roman" w:eastAsia="Times New Roman" w:hAnsi="Times New Roman"/>
          <w:sz w:val="24"/>
          <w:szCs w:val="24"/>
        </w:rPr>
        <w:t>denied the State of California and the CHP supervisors’ motion for summary judgment</w:t>
      </w:r>
      <w:r>
        <w:rPr>
          <w:rFonts w:ascii="Times New Roman" w:eastAsia="Times New Roman" w:hAnsi="Times New Roman"/>
          <w:sz w:val="24"/>
          <w:szCs w:val="24"/>
        </w:rPr>
        <w:t xml:space="preserve">. The service weapon had been returned after EAP counselors advised CHP he could return to work. </w:t>
      </w:r>
      <w:hyperlink r:id="rId2523" w:history="1">
        <w:r w:rsidRPr="002477AB">
          <w:rPr>
            <w:rStyle w:val="Hyperlink"/>
            <w:rFonts w:ascii="Times New Roman" w:eastAsia="Times New Roman" w:hAnsi="Times New Roman"/>
            <w:sz w:val="24"/>
            <w:szCs w:val="24"/>
          </w:rPr>
          <w:t>https://public.fastcase.com/waZtJvSA54UAurM2rmIZz6DHvxBXKDNOBT4bWQ9B2C2XMExqnhPDmJ4RTlgjq%2FCO3g5z%2BjC1yjBDqKCmneuiR5bS8Q3ELHfgftRpjN8MXvk%3D</w:t>
        </w:r>
      </w:hyperlink>
      <w:bookmarkEnd w:id="575"/>
      <w:r>
        <w:rPr>
          <w:rFonts w:ascii="Times New Roman" w:eastAsia="Times New Roman" w:hAnsi="Times New Roman"/>
          <w:sz w:val="24"/>
          <w:szCs w:val="24"/>
        </w:rPr>
        <w:t xml:space="preserve"> </w:t>
      </w:r>
    </w:p>
    <w:p w14:paraId="6A273E94" w14:textId="77777777" w:rsidR="00221640" w:rsidRDefault="00221640" w:rsidP="00221640">
      <w:pPr>
        <w:pStyle w:val="NormalWeb"/>
        <w:ind w:left="720" w:firstLine="60"/>
      </w:pPr>
      <w:r>
        <w:t xml:space="preserve">“Plaintiff Philip </w:t>
      </w:r>
      <w:proofErr w:type="spellStart"/>
      <w:r>
        <w:t>Debeaubien</w:t>
      </w:r>
      <w:proofErr w:type="spellEnd"/>
      <w:r>
        <w:t xml:space="preserve"> (‘plaintiff’) brought this section 1983 action against the State of California; the California Highway Patrol (‘CHP’); CHP officers Todd Brown, Reggie Whitehead, Ryan Stonebraker, Brent Newman, and Jeremy Dobler (collectively the ‘CHP defendants’); Joy Graf; and Sabrena Swain; for various alleged constitutional and state tort offenses…</w:t>
      </w:r>
      <w:r>
        <w:rPr>
          <w:vertAlign w:val="superscript"/>
        </w:rPr>
        <w:t xml:space="preserve">. </w:t>
      </w:r>
      <w:r>
        <w:t xml:space="preserve"> The case arises out of events on September 3, 2018, wherein CHP officer Brad Wheat (‘Wheat’) shot plaintiff before fatally shooting Wheat's wife and himself.</w:t>
      </w:r>
    </w:p>
    <w:p w14:paraId="7E98A787" w14:textId="77777777" w:rsidR="00221640" w:rsidRDefault="00221640" w:rsidP="00221640">
      <w:pPr>
        <w:pStyle w:val="NormalWeb"/>
        <w:ind w:left="720" w:firstLine="60"/>
      </w:pPr>
      <w:r>
        <w:t>***</w:t>
      </w:r>
    </w:p>
    <w:p w14:paraId="415FD83C" w14:textId="77777777" w:rsidR="00221640" w:rsidRDefault="00221640" w:rsidP="00221640">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[Motion to dismiss is] </w:t>
      </w:r>
      <w:r w:rsidRPr="007E70C2">
        <w:rPr>
          <w:rFonts w:ascii="Times New Roman" w:hAnsi="Times New Roman"/>
          <w:sz w:val="24"/>
          <w:szCs w:val="24"/>
        </w:rPr>
        <w:t>DENIED as to defendants Dobler, Brown, Stonebraker, State of California, and California Highway Patrol on the issue of whether these defendants owed plaintiff a duty not to entrust Wheat with a firearm</w:t>
      </w:r>
      <w:r>
        <w:rPr>
          <w:rFonts w:ascii="Times New Roman" w:hAnsi="Times New Roman"/>
          <w:sz w:val="24"/>
          <w:szCs w:val="24"/>
        </w:rPr>
        <w:t xml:space="preserve">.” </w:t>
      </w:r>
    </w:p>
    <w:p w14:paraId="14F748BF" w14:textId="77777777" w:rsidR="00221640" w:rsidRPr="00021501" w:rsidRDefault="00221640" w:rsidP="00221640">
      <w:pPr>
        <w:pStyle w:val="Heading1"/>
        <w:rPr>
          <w:sz w:val="24"/>
          <w:szCs w:val="24"/>
        </w:rPr>
      </w:pPr>
      <w:r>
        <w:rPr>
          <w:b w:val="0"/>
          <w:bCs w:val="0"/>
          <w:sz w:val="24"/>
          <w:szCs w:val="24"/>
        </w:rPr>
        <w:t xml:space="preserve">Watch the Jan. 26, </w:t>
      </w:r>
      <w:proofErr w:type="gramStart"/>
      <w:r>
        <w:rPr>
          <w:b w:val="0"/>
          <w:bCs w:val="0"/>
          <w:sz w:val="24"/>
          <w:szCs w:val="24"/>
        </w:rPr>
        <w:t>2022</w:t>
      </w:r>
      <w:proofErr w:type="gramEnd"/>
      <w:r>
        <w:rPr>
          <w:b w:val="0"/>
          <w:bCs w:val="0"/>
          <w:sz w:val="24"/>
          <w:szCs w:val="24"/>
        </w:rPr>
        <w:t xml:space="preserve"> TV interview with Plaintiff - includes bystander video of scene on </w:t>
      </w:r>
      <w:proofErr w:type="gramStart"/>
      <w:r>
        <w:rPr>
          <w:b w:val="0"/>
          <w:bCs w:val="0"/>
          <w:sz w:val="24"/>
          <w:szCs w:val="24"/>
        </w:rPr>
        <w:t>Sept,</w:t>
      </w:r>
      <w:proofErr w:type="gramEnd"/>
      <w:r>
        <w:rPr>
          <w:b w:val="0"/>
          <w:bCs w:val="0"/>
          <w:sz w:val="24"/>
          <w:szCs w:val="24"/>
        </w:rPr>
        <w:t xml:space="preserve"> 3, 2018 where you can hear shots being fired. </w:t>
      </w:r>
    </w:p>
    <w:p w14:paraId="6DAE7DC8" w14:textId="77777777" w:rsidR="00221640" w:rsidRDefault="00221640" w:rsidP="00221640">
      <w:pPr>
        <w:pStyle w:val="ListParagraph"/>
        <w:spacing w:before="100" w:beforeAutospacing="1" w:after="100" w:afterAutospacing="1" w:line="240" w:lineRule="auto"/>
        <w:ind w:left="1440"/>
        <w:rPr>
          <w:rStyle w:val="Hyperlink"/>
          <w:rFonts w:ascii="Times New Roman" w:hAnsi="Times New Roman" w:cs="Times New Roman"/>
          <w:sz w:val="24"/>
          <w:szCs w:val="24"/>
        </w:rPr>
      </w:pPr>
      <w:r w:rsidRPr="00021501">
        <w:rPr>
          <w:rFonts w:ascii="Times New Roman" w:hAnsi="Times New Roman" w:cs="Times New Roman"/>
          <w:sz w:val="24"/>
          <w:szCs w:val="24"/>
        </w:rPr>
        <w:t xml:space="preserve">“He’s suing the CHP after an off-duty officer shot him. Here’s what he hopes to change.  Bystander video shows part of the 2018 murder-suicide incident involving CHP Lt. Brad Wheat and his estranged wife, Mary. Trae </w:t>
      </w:r>
      <w:proofErr w:type="spellStart"/>
      <w:r w:rsidRPr="00021501">
        <w:rPr>
          <w:rFonts w:ascii="Times New Roman" w:hAnsi="Times New Roman" w:cs="Times New Roman"/>
          <w:sz w:val="24"/>
          <w:szCs w:val="24"/>
        </w:rPr>
        <w:t>deBeaubien</w:t>
      </w:r>
      <w:proofErr w:type="spellEnd"/>
      <w:r w:rsidRPr="00021501">
        <w:rPr>
          <w:rFonts w:ascii="Times New Roman" w:hAnsi="Times New Roman" w:cs="Times New Roman"/>
          <w:sz w:val="24"/>
          <w:szCs w:val="24"/>
        </w:rPr>
        <w:t xml:space="preserve">, who was dating Mary, was also shot and is suing the agency for returning Wheat's gun after he made threats.” </w:t>
      </w:r>
      <w:hyperlink r:id="rId2524" w:history="1">
        <w:r w:rsidRPr="00021501">
          <w:rPr>
            <w:rStyle w:val="Hyperlink"/>
            <w:rFonts w:ascii="Times New Roman" w:hAnsi="Times New Roman" w:cs="Times New Roman"/>
            <w:sz w:val="24"/>
            <w:szCs w:val="24"/>
          </w:rPr>
          <w:t>https://www.sacbee.com/news/local/article257698263.html</w:t>
        </w:r>
      </w:hyperlink>
    </w:p>
    <w:p w14:paraId="5A1C5CE9" w14:textId="77777777" w:rsidR="00221640" w:rsidRDefault="00221640" w:rsidP="00221640">
      <w:pPr>
        <w:spacing w:before="100" w:beforeAutospacing="1" w:after="100" w:afterAutospacing="1" w:line="240" w:lineRule="auto"/>
        <w:rPr>
          <w:rStyle w:val="Hyperlink"/>
          <w:rFonts w:ascii="Times New Roman" w:hAnsi="Times New Roman"/>
          <w:sz w:val="24"/>
          <w:szCs w:val="24"/>
        </w:rPr>
      </w:pPr>
      <w:r w:rsidRPr="0050050C">
        <w:rPr>
          <w:rFonts w:ascii="Times New Roman" w:hAnsi="Times New Roman"/>
          <w:sz w:val="24"/>
          <w:szCs w:val="24"/>
        </w:rPr>
        <w:lastRenderedPageBreak/>
        <w:t xml:space="preserve">Feb. 25, 2022: “An Off-Duty Cop Murdered His Ex-Girlfriend. The California Highway Patrol Ignored the Red Flags.” </w:t>
      </w:r>
      <w:hyperlink r:id="rId2525" w:history="1">
        <w:r w:rsidRPr="0050050C">
          <w:rPr>
            <w:rStyle w:val="Hyperlink"/>
            <w:rFonts w:ascii="Times New Roman" w:hAnsi="Times New Roman"/>
            <w:sz w:val="24"/>
            <w:szCs w:val="24"/>
          </w:rPr>
          <w:t>https://gemm.site/2022/02/25/an-off-duty-cop-murdered-his-ex-girlfriend-the-california-highway-patrol-ignored-the-red-flags/</w:t>
        </w:r>
      </w:hyperlink>
    </w:p>
    <w:p w14:paraId="65052A0E" w14:textId="77777777" w:rsidR="009453FA" w:rsidRPr="004B6F15" w:rsidRDefault="009453FA" w:rsidP="009453FA">
      <w:pPr>
        <w:pStyle w:val="NormalWeb"/>
        <w:rPr>
          <w:b/>
          <w:bCs/>
        </w:rPr>
      </w:pPr>
      <w:r w:rsidRPr="004B6F15">
        <w:rPr>
          <w:b/>
          <w:bCs/>
        </w:rPr>
        <w:t xml:space="preserve">Legal Lesson Learned: Returning a service weapon to a police officer suffering </w:t>
      </w:r>
      <w:r>
        <w:rPr>
          <w:b/>
          <w:bCs/>
        </w:rPr>
        <w:t xml:space="preserve">from PTSD or other serious </w:t>
      </w:r>
      <w:r w:rsidRPr="004B6F15">
        <w:rPr>
          <w:b/>
          <w:bCs/>
        </w:rPr>
        <w:t>mental should only be done after a Fitness for Duty</w:t>
      </w:r>
      <w:r>
        <w:rPr>
          <w:b/>
          <w:bCs/>
        </w:rPr>
        <w:t xml:space="preserve"> (FFDE)</w:t>
      </w:r>
      <w:r w:rsidRPr="004B6F15">
        <w:rPr>
          <w:b/>
          <w:bCs/>
        </w:rPr>
        <w:t xml:space="preserve"> psychological evaluation (FFDE) by an appropriately trained and competent licensed mental health professional.</w:t>
      </w:r>
    </w:p>
    <w:p w14:paraId="122B53A6" w14:textId="7F0701A2" w:rsidR="009453FA" w:rsidRPr="00B572BA" w:rsidRDefault="009453FA" w:rsidP="009453FA">
      <w:pPr>
        <w:spacing w:before="100" w:beforeAutospacing="1" w:after="100" w:afterAutospacing="1" w:line="240" w:lineRule="auto"/>
        <w:ind w:left="720"/>
        <w:rPr>
          <w:rFonts w:ascii="Times New Roman" w:eastAsia="Times New Roman" w:hAnsi="Times New Roman"/>
          <w:sz w:val="24"/>
          <w:szCs w:val="24"/>
        </w:rPr>
      </w:pPr>
      <w:r w:rsidRPr="00B572BA">
        <w:rPr>
          <w:rFonts w:ascii="Times New Roman" w:eastAsia="Times New Roman" w:hAnsi="Times New Roman"/>
          <w:sz w:val="24"/>
          <w:szCs w:val="24"/>
        </w:rPr>
        <w:t xml:space="preserve">Note: Dr. Eric Birkley, Psychologist, has kindly provided this info on Fitness </w:t>
      </w:r>
      <w:proofErr w:type="gramStart"/>
      <w:r w:rsidRPr="00B572BA">
        <w:rPr>
          <w:rFonts w:ascii="Times New Roman" w:eastAsia="Times New Roman" w:hAnsi="Times New Roman"/>
          <w:sz w:val="24"/>
          <w:szCs w:val="24"/>
        </w:rPr>
        <w:t>For</w:t>
      </w:r>
      <w:proofErr w:type="gramEnd"/>
      <w:r w:rsidRPr="00B572BA">
        <w:rPr>
          <w:rFonts w:ascii="Times New Roman" w:eastAsia="Times New Roman" w:hAnsi="Times New Roman"/>
          <w:sz w:val="24"/>
          <w:szCs w:val="24"/>
        </w:rPr>
        <w:t xml:space="preserve"> Duty Evaluations </w:t>
      </w:r>
      <w:bookmarkStart w:id="576" w:name="_Hlk99975468"/>
      <w:r w:rsidRPr="00B572BA">
        <w:rPr>
          <w:rFonts w:ascii="Times New Roman" w:eastAsia="Times New Roman" w:hAnsi="Times New Roman"/>
          <w:sz w:val="24"/>
          <w:szCs w:val="24"/>
        </w:rPr>
        <w:t xml:space="preserve">[posted with her permission]. </w:t>
      </w:r>
      <w:bookmarkEnd w:id="576"/>
      <w:r w:rsidRPr="00B572BA">
        <w:rPr>
          <w:rFonts w:ascii="Times New Roman" w:eastAsia="Times New Roman" w:hAnsi="Times New Roman"/>
          <w:sz w:val="24"/>
          <w:szCs w:val="24"/>
        </w:rPr>
        <w:t xml:space="preserve">On May 26, 2022, Dr. Birley and the author of this </w:t>
      </w:r>
      <w:proofErr w:type="gramStart"/>
      <w:r w:rsidRPr="00B572BA">
        <w:rPr>
          <w:rFonts w:ascii="Times New Roman" w:eastAsia="Times New Roman" w:hAnsi="Times New Roman"/>
          <w:sz w:val="24"/>
          <w:szCs w:val="24"/>
        </w:rPr>
        <w:t>newsletter,</w:t>
      </w:r>
      <w:proofErr w:type="gramEnd"/>
      <w:r w:rsidRPr="00B572BA">
        <w:rPr>
          <w:rFonts w:ascii="Times New Roman" w:eastAsia="Times New Roman" w:hAnsi="Times New Roman"/>
          <w:sz w:val="24"/>
          <w:szCs w:val="24"/>
        </w:rPr>
        <w:t xml:space="preserve"> will both be on a panel for First Responder Mental Health Symposium. </w:t>
      </w:r>
      <w:hyperlink r:id="rId2526" w:history="1">
        <w:r w:rsidRPr="00B572BA">
          <w:rPr>
            <w:rStyle w:val="Hyperlink"/>
            <w:rFonts w:ascii="Times New Roman" w:eastAsia="Times New Roman" w:hAnsi="Times New Roman"/>
            <w:sz w:val="24"/>
            <w:szCs w:val="24"/>
          </w:rPr>
          <w:t>https://ceas.uc.edu/academics/departments/aerospace-engineering-mechanics/fire-science/news.html</w:t>
        </w:r>
      </w:hyperlink>
      <w:r w:rsidRPr="00B572BA">
        <w:rPr>
          <w:rFonts w:ascii="Times New Roman" w:eastAsia="Times New Roman" w:hAnsi="Times New Roman"/>
          <w:sz w:val="24"/>
          <w:szCs w:val="24"/>
        </w:rPr>
        <w:t xml:space="preserve"> </w:t>
      </w:r>
    </w:p>
    <w:p w14:paraId="2334C4BF" w14:textId="77777777" w:rsidR="009453FA" w:rsidRPr="00B572BA" w:rsidRDefault="009453FA" w:rsidP="009453FA">
      <w:pPr>
        <w:ind w:firstLine="720"/>
        <w:rPr>
          <w:rFonts w:ascii="Times New Roman" w:hAnsi="Times New Roman"/>
          <w:sz w:val="24"/>
          <w:szCs w:val="24"/>
        </w:rPr>
      </w:pPr>
      <w:r w:rsidRPr="00B572BA">
        <w:rPr>
          <w:rFonts w:ascii="Times New Roman" w:hAnsi="Times New Roman"/>
          <w:sz w:val="24"/>
          <w:szCs w:val="24"/>
        </w:rPr>
        <w:t>3/25/2022</w:t>
      </w:r>
    </w:p>
    <w:p w14:paraId="3A6CAB21" w14:textId="77777777" w:rsidR="009453FA" w:rsidRPr="00B572BA" w:rsidRDefault="009453FA" w:rsidP="009453FA">
      <w:pPr>
        <w:ind w:firstLine="720"/>
        <w:rPr>
          <w:rFonts w:ascii="Times New Roman" w:hAnsi="Times New Roman"/>
          <w:sz w:val="24"/>
          <w:szCs w:val="24"/>
        </w:rPr>
      </w:pPr>
      <w:r w:rsidRPr="00B572BA">
        <w:rPr>
          <w:rFonts w:ascii="Times New Roman" w:hAnsi="Times New Roman"/>
          <w:sz w:val="24"/>
          <w:szCs w:val="24"/>
        </w:rPr>
        <w:t>Hi Larry,</w:t>
      </w:r>
    </w:p>
    <w:p w14:paraId="75EDDF5C" w14:textId="77777777" w:rsidR="009453FA" w:rsidRPr="00B572BA" w:rsidRDefault="009453FA" w:rsidP="009453FA">
      <w:pPr>
        <w:ind w:left="720"/>
        <w:rPr>
          <w:rFonts w:ascii="Times New Roman" w:hAnsi="Times New Roman"/>
          <w:sz w:val="24"/>
          <w:szCs w:val="24"/>
        </w:rPr>
      </w:pPr>
      <w:r w:rsidRPr="00B572BA">
        <w:rPr>
          <w:rFonts w:ascii="Times New Roman" w:hAnsi="Times New Roman"/>
          <w:sz w:val="24"/>
          <w:szCs w:val="24"/>
        </w:rPr>
        <w:t xml:space="preserve">I would specify that when an employed officer makes specific threats of violence that the criterion standard is (under all circumstances I can think of) met to order a Fitness for Duty psychological evaluation (FFDE) by an appropriately trained and competent licensed mental health professional.  Part of that professional’s job is to provide feedback to the first responder agency on whether the criterion standard for a FFDE is met given the facts of the case. As mental health professionals, we expect that if a person is </w:t>
      </w:r>
      <w:proofErr w:type="gramStart"/>
      <w:r w:rsidRPr="00B572BA">
        <w:rPr>
          <w:rFonts w:ascii="Times New Roman" w:hAnsi="Times New Roman"/>
          <w:sz w:val="24"/>
          <w:szCs w:val="24"/>
        </w:rPr>
        <w:t>referred</w:t>
      </w:r>
      <w:proofErr w:type="gramEnd"/>
      <w:r w:rsidRPr="00B572BA">
        <w:rPr>
          <w:rFonts w:ascii="Times New Roman" w:hAnsi="Times New Roman"/>
          <w:sz w:val="24"/>
          <w:szCs w:val="24"/>
        </w:rPr>
        <w:t xml:space="preserve"> for a Fitness for Duty evaluation that they will most likely be placed on administrative leave, and/or other actions have been taken by the agency to limit their duties appropriately. </w:t>
      </w:r>
    </w:p>
    <w:p w14:paraId="419ECC79" w14:textId="77777777" w:rsidR="009453FA" w:rsidRPr="00B572BA" w:rsidRDefault="009453FA" w:rsidP="009453FA">
      <w:pPr>
        <w:rPr>
          <w:rFonts w:ascii="Times New Roman" w:hAnsi="Times New Roman"/>
          <w:sz w:val="24"/>
          <w:szCs w:val="24"/>
        </w:rPr>
      </w:pPr>
    </w:p>
    <w:p w14:paraId="04172822" w14:textId="77777777" w:rsidR="009453FA" w:rsidRPr="00B572BA" w:rsidRDefault="009453FA" w:rsidP="009453FA">
      <w:pPr>
        <w:ind w:left="720"/>
        <w:rPr>
          <w:rFonts w:ascii="Times New Roman" w:hAnsi="Times New Roman"/>
          <w:sz w:val="24"/>
          <w:szCs w:val="24"/>
        </w:rPr>
      </w:pPr>
      <w:r w:rsidRPr="00B572BA">
        <w:rPr>
          <w:rFonts w:ascii="Times New Roman" w:hAnsi="Times New Roman"/>
          <w:sz w:val="24"/>
          <w:szCs w:val="24"/>
        </w:rPr>
        <w:t>This is the criterion standard for a fitness for duty evaluation: “According to the Americans with Disabilities Act (ADA), when an employer has a reasonable belief, based on objective evidence, that a police officer may have a psychological condition that impairs his or her ability to perform essential job functions or poses a direct threat, an FFDE is “job-related and consistent with business necessity” (42 U.S.C. §12112[d][4][A]; 29 C.F.R. §1630.14[c]). Case law has established that an employer need not wait for objective evidence of impaired performance before justifying an FFDE when the employee is engaged in dangerous work.”</w:t>
      </w:r>
    </w:p>
    <w:p w14:paraId="076B6298" w14:textId="77777777" w:rsidR="009453FA" w:rsidRPr="00B572BA" w:rsidRDefault="009453FA" w:rsidP="009453FA">
      <w:pPr>
        <w:rPr>
          <w:rFonts w:ascii="Times New Roman" w:hAnsi="Times New Roman"/>
          <w:sz w:val="24"/>
          <w:szCs w:val="24"/>
        </w:rPr>
      </w:pPr>
    </w:p>
    <w:p w14:paraId="3DB20436" w14:textId="77777777" w:rsidR="009453FA" w:rsidRPr="00B572BA" w:rsidRDefault="009453FA" w:rsidP="009453FA">
      <w:pPr>
        <w:ind w:left="720"/>
        <w:rPr>
          <w:rFonts w:ascii="Times New Roman" w:hAnsi="Times New Roman"/>
          <w:sz w:val="24"/>
          <w:szCs w:val="24"/>
        </w:rPr>
      </w:pPr>
      <w:r w:rsidRPr="00B572BA">
        <w:rPr>
          <w:rFonts w:ascii="Times New Roman" w:hAnsi="Times New Roman"/>
          <w:sz w:val="24"/>
          <w:szCs w:val="24"/>
        </w:rPr>
        <w:t xml:space="preserve">I perform FFDE for LEOs and most often agencies aren’t abreast of the criterion standard for ordering an FFDE and order one too prematurely (when someone is an “asshole” but does not have an identifiable mental health impairment) or wait too long as in this case as they may be unaware of their options. FFDEs are designed to safeguard the public and the agency and save departments/taxpayers millions – they cost around $3500 for a psychologist to </w:t>
      </w:r>
      <w:proofErr w:type="gramStart"/>
      <w:r w:rsidRPr="00B572BA">
        <w:rPr>
          <w:rFonts w:ascii="Times New Roman" w:hAnsi="Times New Roman"/>
          <w:sz w:val="24"/>
          <w:szCs w:val="24"/>
        </w:rPr>
        <w:t>perform</w:t>
      </w:r>
      <w:proofErr w:type="gramEnd"/>
      <w:r w:rsidRPr="00B572BA">
        <w:rPr>
          <w:rFonts w:ascii="Times New Roman" w:hAnsi="Times New Roman"/>
          <w:sz w:val="24"/>
          <w:szCs w:val="24"/>
        </w:rPr>
        <w:t xml:space="preserve"> and some departments don’t consider the alternative cost of a lawsuit. </w:t>
      </w:r>
    </w:p>
    <w:p w14:paraId="663936AF" w14:textId="77777777" w:rsidR="009453FA" w:rsidRPr="00B572BA" w:rsidRDefault="009453FA" w:rsidP="009453FA">
      <w:pPr>
        <w:ind w:left="720"/>
        <w:rPr>
          <w:rFonts w:ascii="Times New Roman" w:hAnsi="Times New Roman"/>
          <w:sz w:val="24"/>
          <w:szCs w:val="24"/>
        </w:rPr>
      </w:pPr>
      <w:r w:rsidRPr="00B572BA">
        <w:rPr>
          <w:rFonts w:ascii="Times New Roman" w:hAnsi="Times New Roman"/>
          <w:sz w:val="24"/>
          <w:szCs w:val="24"/>
        </w:rPr>
        <w:t xml:space="preserve">Hope this is helpful! I attached a key article written by two leading police psychologists who literally wrote the book on FFDEs for LEO with several case law examples included. </w:t>
      </w:r>
    </w:p>
    <w:p w14:paraId="3BF3C68B" w14:textId="77777777" w:rsidR="009453FA" w:rsidRPr="00B572BA" w:rsidRDefault="009453FA" w:rsidP="001E264B">
      <w:pPr>
        <w:pStyle w:val="NoSpacing"/>
        <w:ind w:left="720"/>
        <w:rPr>
          <w:rFonts w:ascii="Times New Roman" w:hAnsi="Times New Roman"/>
          <w:sz w:val="24"/>
          <w:szCs w:val="24"/>
        </w:rPr>
      </w:pPr>
      <w:r w:rsidRPr="00B572BA">
        <w:rPr>
          <w:rFonts w:ascii="Times New Roman" w:hAnsi="Times New Roman"/>
          <w:sz w:val="24"/>
          <w:szCs w:val="24"/>
        </w:rPr>
        <w:t xml:space="preserve">Current Issues in Psychological Fitness-for-Duty Evaluations of Law Enforcement Officers: Legal and Practice Implications (2016): </w:t>
      </w:r>
      <w:hyperlink r:id="rId2527" w:history="1">
        <w:r w:rsidRPr="00B572BA">
          <w:rPr>
            <w:rStyle w:val="Hyperlink"/>
            <w:rFonts w:ascii="Times New Roman" w:hAnsi="Times New Roman"/>
            <w:sz w:val="24"/>
            <w:szCs w:val="24"/>
          </w:rPr>
          <w:t>Mayer ^0 Corey 2016 Current Issues in FFD evaluations of LEOs.pdf</w:t>
        </w:r>
      </w:hyperlink>
      <w:r w:rsidRPr="00B572BA">
        <w:rPr>
          <w:rFonts w:ascii="Times New Roman" w:hAnsi="Times New Roman"/>
          <w:sz w:val="24"/>
          <w:szCs w:val="24"/>
        </w:rPr>
        <w:t xml:space="preserve"> </w:t>
      </w:r>
    </w:p>
    <w:p w14:paraId="12149CB6" w14:textId="77777777" w:rsidR="009453FA" w:rsidRPr="00B572BA" w:rsidRDefault="009453FA" w:rsidP="009453FA">
      <w:pPr>
        <w:ind w:left="720"/>
        <w:rPr>
          <w:rFonts w:ascii="Times New Roman" w:hAnsi="Times New Roman"/>
          <w:sz w:val="24"/>
          <w:szCs w:val="24"/>
        </w:rPr>
      </w:pPr>
    </w:p>
    <w:p w14:paraId="3BCCC045" w14:textId="77777777" w:rsidR="009453FA" w:rsidRPr="00B572BA" w:rsidRDefault="009453FA" w:rsidP="009453FA">
      <w:pPr>
        <w:ind w:firstLine="720"/>
        <w:rPr>
          <w:rFonts w:ascii="Times New Roman" w:hAnsi="Times New Roman"/>
          <w:sz w:val="24"/>
          <w:szCs w:val="24"/>
        </w:rPr>
      </w:pPr>
      <w:r w:rsidRPr="00B572BA">
        <w:rPr>
          <w:rFonts w:ascii="Times New Roman" w:hAnsi="Times New Roman"/>
          <w:sz w:val="24"/>
          <w:szCs w:val="24"/>
        </w:rPr>
        <w:t>Erica</w:t>
      </w:r>
    </w:p>
    <w:p w14:paraId="3E170A4B" w14:textId="77777777" w:rsidR="009453FA" w:rsidRPr="00B572BA" w:rsidRDefault="009453FA" w:rsidP="009453FA">
      <w:pPr>
        <w:pStyle w:val="NoSpacing"/>
        <w:ind w:firstLine="720"/>
        <w:rPr>
          <w:rFonts w:ascii="Times New Roman" w:hAnsi="Times New Roman"/>
          <w:sz w:val="24"/>
          <w:szCs w:val="24"/>
        </w:rPr>
      </w:pPr>
      <w:r w:rsidRPr="00B572BA">
        <w:rPr>
          <w:rFonts w:ascii="Times New Roman" w:hAnsi="Times New Roman"/>
          <w:sz w:val="24"/>
          <w:szCs w:val="24"/>
        </w:rPr>
        <w:t>Erica Birkley, PhD</w:t>
      </w:r>
    </w:p>
    <w:p w14:paraId="14F2BFC2" w14:textId="77777777" w:rsidR="009453FA" w:rsidRPr="00B572BA" w:rsidRDefault="009453FA" w:rsidP="009453FA">
      <w:pPr>
        <w:pStyle w:val="NoSpacing"/>
        <w:ind w:firstLine="720"/>
        <w:rPr>
          <w:rFonts w:ascii="Times New Roman" w:hAnsi="Times New Roman"/>
          <w:sz w:val="24"/>
          <w:szCs w:val="24"/>
        </w:rPr>
      </w:pPr>
      <w:r w:rsidRPr="00B572BA">
        <w:rPr>
          <w:rFonts w:ascii="Times New Roman" w:hAnsi="Times New Roman"/>
          <w:sz w:val="24"/>
          <w:szCs w:val="24"/>
        </w:rPr>
        <w:t>Associate Professor</w:t>
      </w:r>
    </w:p>
    <w:p w14:paraId="3FB32728" w14:textId="77777777" w:rsidR="009453FA" w:rsidRPr="00B572BA" w:rsidRDefault="009453FA" w:rsidP="009453FA">
      <w:pPr>
        <w:pStyle w:val="NoSpacing"/>
        <w:ind w:firstLine="720"/>
        <w:rPr>
          <w:rFonts w:ascii="Times New Roman" w:hAnsi="Times New Roman"/>
          <w:sz w:val="24"/>
          <w:szCs w:val="24"/>
        </w:rPr>
      </w:pPr>
      <w:r w:rsidRPr="00B572BA">
        <w:rPr>
          <w:rFonts w:ascii="Times New Roman" w:hAnsi="Times New Roman"/>
          <w:sz w:val="24"/>
          <w:szCs w:val="24"/>
        </w:rPr>
        <w:t>Psychologist</w:t>
      </w:r>
    </w:p>
    <w:p w14:paraId="56F1ED6A" w14:textId="77777777" w:rsidR="009453FA" w:rsidRPr="00B572BA" w:rsidRDefault="009453FA" w:rsidP="009453FA">
      <w:pPr>
        <w:pStyle w:val="NoSpacing"/>
        <w:ind w:firstLine="720"/>
        <w:rPr>
          <w:rFonts w:ascii="Times New Roman" w:hAnsi="Times New Roman"/>
          <w:sz w:val="24"/>
          <w:szCs w:val="24"/>
        </w:rPr>
      </w:pPr>
      <w:r w:rsidRPr="00B572BA">
        <w:rPr>
          <w:rFonts w:ascii="Times New Roman" w:hAnsi="Times New Roman"/>
          <w:sz w:val="24"/>
          <w:szCs w:val="24"/>
        </w:rPr>
        <w:t>UC Department of Psychiatry and Behavioral Neuroscience</w:t>
      </w:r>
    </w:p>
    <w:p w14:paraId="1A2DEB14" w14:textId="77777777" w:rsidR="009453FA" w:rsidRPr="00B572BA" w:rsidRDefault="009453FA" w:rsidP="009453FA">
      <w:pPr>
        <w:pStyle w:val="NoSpacing"/>
        <w:ind w:firstLine="720"/>
        <w:rPr>
          <w:rFonts w:ascii="Times New Roman" w:hAnsi="Times New Roman"/>
          <w:sz w:val="24"/>
          <w:szCs w:val="24"/>
        </w:rPr>
      </w:pPr>
      <w:r w:rsidRPr="00B572BA">
        <w:rPr>
          <w:rFonts w:ascii="Times New Roman" w:hAnsi="Times New Roman"/>
          <w:sz w:val="24"/>
          <w:szCs w:val="24"/>
        </w:rPr>
        <w:t>513-585-7742 (direct office)</w:t>
      </w:r>
    </w:p>
    <w:p w14:paraId="6EA0237F" w14:textId="77777777" w:rsidR="009453FA" w:rsidRPr="00B572BA" w:rsidRDefault="009453FA" w:rsidP="009453FA">
      <w:pPr>
        <w:pStyle w:val="NoSpacing"/>
        <w:ind w:firstLine="720"/>
        <w:rPr>
          <w:rFonts w:ascii="Times New Roman" w:hAnsi="Times New Roman"/>
          <w:sz w:val="24"/>
          <w:szCs w:val="24"/>
        </w:rPr>
      </w:pPr>
      <w:r w:rsidRPr="00B572BA">
        <w:rPr>
          <w:rFonts w:ascii="Times New Roman" w:hAnsi="Times New Roman"/>
          <w:sz w:val="24"/>
          <w:szCs w:val="24"/>
        </w:rPr>
        <w:t>513-585-7700 (scheduling desk)</w:t>
      </w:r>
    </w:p>
    <w:p w14:paraId="107EB90C" w14:textId="77777777" w:rsidR="009453FA" w:rsidRPr="00B572BA" w:rsidRDefault="009453FA" w:rsidP="009453FA">
      <w:pPr>
        <w:pStyle w:val="NoSpacing"/>
        <w:ind w:firstLine="720"/>
        <w:rPr>
          <w:rFonts w:ascii="Times New Roman" w:hAnsi="Times New Roman"/>
          <w:sz w:val="24"/>
          <w:szCs w:val="24"/>
        </w:rPr>
      </w:pPr>
      <w:r w:rsidRPr="00B572BA">
        <w:rPr>
          <w:rFonts w:ascii="Times New Roman" w:hAnsi="Times New Roman"/>
          <w:sz w:val="24"/>
          <w:szCs w:val="24"/>
        </w:rPr>
        <w:t>513-585-7778 (fax)</w:t>
      </w:r>
    </w:p>
    <w:p w14:paraId="688DC937" w14:textId="77777777" w:rsidR="009453FA" w:rsidRPr="00B572BA" w:rsidRDefault="009453FA" w:rsidP="009453FA">
      <w:pPr>
        <w:pStyle w:val="NoSpacing"/>
        <w:ind w:firstLine="720"/>
        <w:rPr>
          <w:rFonts w:ascii="Times New Roman" w:hAnsi="Times New Roman"/>
          <w:sz w:val="24"/>
          <w:szCs w:val="24"/>
        </w:rPr>
      </w:pPr>
      <w:hyperlink r:id="rId2528" w:history="1">
        <w:r w:rsidRPr="00B572BA">
          <w:rPr>
            <w:rStyle w:val="Hyperlink"/>
            <w:rFonts w:ascii="Times New Roman" w:hAnsi="Times New Roman"/>
            <w:sz w:val="24"/>
            <w:szCs w:val="24"/>
          </w:rPr>
          <w:t>Birkleea@ucmail.uc.edu</w:t>
        </w:r>
      </w:hyperlink>
    </w:p>
    <w:p w14:paraId="226D243D" w14:textId="77777777" w:rsidR="009453FA" w:rsidRPr="00B572BA" w:rsidRDefault="009453FA" w:rsidP="009453FA">
      <w:pPr>
        <w:pStyle w:val="NoSpacing"/>
        <w:ind w:firstLine="720"/>
        <w:rPr>
          <w:rFonts w:ascii="Times New Roman" w:hAnsi="Times New Roman"/>
          <w:sz w:val="24"/>
          <w:szCs w:val="24"/>
        </w:rPr>
      </w:pPr>
    </w:p>
    <w:p w14:paraId="31AE6274" w14:textId="77777777" w:rsidR="00221640" w:rsidRPr="00B572BA" w:rsidRDefault="00221640" w:rsidP="000C4DF5">
      <w:pPr>
        <w:pStyle w:val="NoSpacing"/>
        <w:rPr>
          <w:rFonts w:ascii="Times New Roman" w:hAnsi="Times New Roman"/>
          <w:sz w:val="24"/>
          <w:szCs w:val="24"/>
        </w:rPr>
      </w:pPr>
    </w:p>
    <w:p w14:paraId="10C296ED" w14:textId="77777777" w:rsidR="00221640" w:rsidRDefault="00221640" w:rsidP="000C4DF5">
      <w:pPr>
        <w:pStyle w:val="NoSpacing"/>
        <w:rPr>
          <w:rFonts w:ascii="Arial Black" w:hAnsi="Arial Black"/>
          <w:sz w:val="24"/>
          <w:szCs w:val="24"/>
        </w:rPr>
      </w:pPr>
    </w:p>
    <w:p w14:paraId="5E6AE4AD" w14:textId="77777777" w:rsidR="00221640" w:rsidRDefault="00221640" w:rsidP="000C4DF5">
      <w:pPr>
        <w:pStyle w:val="NoSpacing"/>
        <w:rPr>
          <w:rFonts w:ascii="Arial Black" w:hAnsi="Arial Black"/>
          <w:sz w:val="24"/>
          <w:szCs w:val="24"/>
        </w:rPr>
      </w:pPr>
    </w:p>
    <w:p w14:paraId="7DF0D82F" w14:textId="1424AF6F" w:rsidR="00FF5FCF" w:rsidRDefault="00BD3FE4" w:rsidP="000C4DF5">
      <w:pPr>
        <w:pStyle w:val="NoSpacing"/>
        <w:rPr>
          <w:rFonts w:ascii="Arial Black" w:hAnsi="Arial Black"/>
          <w:sz w:val="24"/>
          <w:szCs w:val="24"/>
        </w:rPr>
      </w:pPr>
      <w:r>
        <w:rPr>
          <w:rFonts w:ascii="Arial Black" w:hAnsi="Arial Black"/>
          <w:sz w:val="24"/>
          <w:szCs w:val="24"/>
        </w:rPr>
        <w:t>15-14</w:t>
      </w:r>
      <w:r w:rsidR="00680939">
        <w:rPr>
          <w:rFonts w:ascii="Arial Black" w:hAnsi="Arial Black"/>
          <w:sz w:val="24"/>
          <w:szCs w:val="24"/>
        </w:rPr>
        <w:t xml:space="preserve"> [also filed Chap. 10]</w:t>
      </w:r>
    </w:p>
    <w:p w14:paraId="65841AB0" w14:textId="77777777" w:rsidR="00BD3FE4" w:rsidRDefault="00BD3FE4" w:rsidP="00BD3FE4">
      <w:pPr>
        <w:pStyle w:val="NormalWeb"/>
        <w:rPr>
          <w:rFonts w:ascii="Arial Black" w:hAnsi="Arial Black"/>
          <w:b/>
          <w:bCs/>
          <w:sz w:val="28"/>
          <w:szCs w:val="28"/>
        </w:rPr>
      </w:pPr>
      <w:r>
        <w:rPr>
          <w:rFonts w:ascii="Arial Black" w:hAnsi="Arial Black"/>
          <w:b/>
          <w:bCs/>
          <w:sz w:val="28"/>
          <w:szCs w:val="28"/>
        </w:rPr>
        <w:t xml:space="preserve">MA: CAPTAIN PSYCHIATRICT EXAM – FIRE CHIEF DENIED IMMUNITY – ALLEGED RETALIATION / BREACH OF FMLA </w:t>
      </w:r>
    </w:p>
    <w:p w14:paraId="1800C362" w14:textId="77777777" w:rsidR="00BD3FE4" w:rsidRDefault="00BD3FE4" w:rsidP="00BD3FE4">
      <w:pPr>
        <w:pStyle w:val="NormalWeb"/>
      </w:pPr>
      <w:r w:rsidRPr="00944162">
        <w:t xml:space="preserve">On </w:t>
      </w:r>
      <w:r>
        <w:t xml:space="preserve">Jan. 26, 2022, in </w:t>
      </w:r>
      <w:r w:rsidRPr="00944162">
        <w:rPr>
          <w:u w:val="single"/>
        </w:rPr>
        <w:t>Andrew Brennan v. City of Everett and Anthony Carli</w:t>
      </w:r>
      <w:r>
        <w:t>, the Appeals Court of Massachusetts held (3 to 0; unpublished decision) that trial judge properly denied the Fire Chief Anthony Carli’s  motion to be dismissed from lawsuit based on qualified immunity.  “</w:t>
      </w:r>
      <w:r w:rsidRPr="00DE5CFC">
        <w:t>Here, Brennan alleged that Carli placed him on leave and provided false information to medical evaluators under the false belief that Brennan was mentally unfit.</w:t>
      </w:r>
      <w:r>
        <w:t xml:space="preserve">” </w:t>
      </w:r>
      <w:hyperlink r:id="rId2529" w:history="1">
        <w:r w:rsidRPr="003B2357">
          <w:rPr>
            <w:rStyle w:val="Hyperlink"/>
            <w:rFonts w:eastAsiaTheme="majorEastAsia"/>
          </w:rPr>
          <w:t>https://public.fastcase.com/9SKwsfNqTc6OieYDhNMyM%2BsbSTu241pOZ38l1fL3GtOxRE1iLhH6RZm0FIyTdVeF1XRK6Ebg7B5equTDg4ZQiMxFMDQEZko4UYsaxrmOuYk%3D</w:t>
        </w:r>
      </w:hyperlink>
      <w:r>
        <w:t xml:space="preserve"> </w:t>
      </w:r>
      <w:r w:rsidRPr="00266965">
        <w:t xml:space="preserve"> </w:t>
      </w:r>
      <w:r>
        <w:t xml:space="preserve"> </w:t>
      </w:r>
    </w:p>
    <w:p w14:paraId="2A469E66" w14:textId="7EC0D23D" w:rsidR="00BD3FE4" w:rsidRDefault="00BD3FE4" w:rsidP="00BD3FE4">
      <w:pPr>
        <w:spacing w:before="100" w:beforeAutospacing="1" w:after="100" w:afterAutospacing="1" w:line="240" w:lineRule="auto"/>
        <w:rPr>
          <w:rFonts w:ascii="Times New Roman" w:hAnsi="Times New Roman"/>
          <w:b/>
          <w:bCs/>
          <w:sz w:val="24"/>
          <w:szCs w:val="24"/>
        </w:rPr>
      </w:pPr>
      <w:r w:rsidRPr="003B747D">
        <w:rPr>
          <w:rFonts w:ascii="Times New Roman" w:hAnsi="Times New Roman"/>
          <w:b/>
          <w:bCs/>
          <w:sz w:val="24"/>
          <w:szCs w:val="24"/>
        </w:rPr>
        <w:t>Legal Lesson Learned:</w:t>
      </w:r>
      <w:r>
        <w:rPr>
          <w:rFonts w:ascii="Times New Roman" w:hAnsi="Times New Roman"/>
          <w:b/>
          <w:bCs/>
          <w:sz w:val="24"/>
          <w:szCs w:val="24"/>
        </w:rPr>
        <w:t xml:space="preserve">  If employee may need psychiatric evaluation, provide specific information to the medical evaluators; and if employee asks about FMLA, provide form to request leave.  </w:t>
      </w:r>
    </w:p>
    <w:p w14:paraId="06CE7F4D" w14:textId="77777777" w:rsidR="00FB73E3" w:rsidRDefault="00FB73E3" w:rsidP="00BD3FE4">
      <w:pPr>
        <w:spacing w:before="100" w:beforeAutospacing="1" w:after="100" w:afterAutospacing="1" w:line="240" w:lineRule="auto"/>
        <w:rPr>
          <w:rFonts w:ascii="Times New Roman" w:hAnsi="Times New Roman"/>
          <w:sz w:val="24"/>
          <w:szCs w:val="24"/>
        </w:rPr>
      </w:pPr>
      <w:r>
        <w:rPr>
          <w:rFonts w:ascii="Times New Roman" w:hAnsi="Times New Roman"/>
          <w:b/>
          <w:bCs/>
          <w:sz w:val="24"/>
          <w:szCs w:val="24"/>
        </w:rPr>
        <w:tab/>
      </w:r>
      <w:r w:rsidRPr="00FB73E3">
        <w:rPr>
          <w:rFonts w:ascii="Times New Roman" w:hAnsi="Times New Roman"/>
          <w:sz w:val="24"/>
          <w:szCs w:val="24"/>
        </w:rPr>
        <w:t>Note:</w:t>
      </w:r>
      <w:r>
        <w:rPr>
          <w:rFonts w:ascii="Times New Roman" w:hAnsi="Times New Roman"/>
          <w:sz w:val="24"/>
          <w:szCs w:val="24"/>
        </w:rPr>
        <w:t xml:space="preserve"> The Court wrote:</w:t>
      </w:r>
    </w:p>
    <w:p w14:paraId="464E7BC6" w14:textId="3AF66325" w:rsidR="00FB73E3" w:rsidRPr="003B747D" w:rsidRDefault="00FB73E3" w:rsidP="00FB73E3">
      <w:pPr>
        <w:spacing w:before="100" w:beforeAutospacing="1" w:after="100" w:afterAutospacing="1" w:line="240" w:lineRule="auto"/>
        <w:ind w:left="720"/>
        <w:rPr>
          <w:rFonts w:ascii="Times New Roman" w:hAnsi="Times New Roman"/>
          <w:b/>
          <w:bCs/>
          <w:sz w:val="24"/>
          <w:szCs w:val="24"/>
        </w:rPr>
      </w:pPr>
      <w:r w:rsidRPr="00DE5CFC">
        <w:rPr>
          <w:rFonts w:ascii="Times New Roman" w:eastAsia="Times New Roman" w:hAnsi="Times New Roman"/>
          <w:i/>
          <w:iCs/>
          <w:sz w:val="24"/>
          <w:szCs w:val="24"/>
        </w:rPr>
        <w:t>FMLA interference claim</w:t>
      </w:r>
      <w:r w:rsidRPr="00DE5CFC">
        <w:rPr>
          <w:rFonts w:ascii="Times New Roman" w:eastAsia="Times New Roman" w:hAnsi="Times New Roman"/>
          <w:sz w:val="24"/>
          <w:szCs w:val="24"/>
        </w:rPr>
        <w:t xml:space="preserve">. Employers are required to notify employees of their FMLA rights and to respond promptly to employee questions about the applicability and procedures for FMLA leave. See 29 C.F.R. §§ 825.300 (c)(1), (d) (2019). More specifically, an employer must provide an employee who requests FMLA leave with notice of eligibility within five business days absent extenuating circumstances. See 29 C.F.R. § 825.300(b)(1) (2019). Here, Brennan claimed that Carli interfered with his FMLA rights by refusing to provide him with information about these rights upon </w:t>
      </w:r>
      <w:proofErr w:type="gramStart"/>
      <w:r w:rsidRPr="00DE5CFC">
        <w:rPr>
          <w:rFonts w:ascii="Times New Roman" w:eastAsia="Times New Roman" w:hAnsi="Times New Roman"/>
          <w:sz w:val="24"/>
          <w:szCs w:val="24"/>
        </w:rPr>
        <w:t>request</w:t>
      </w:r>
      <w:proofErr w:type="gramEnd"/>
      <w:r w:rsidRPr="00DE5CFC">
        <w:rPr>
          <w:rFonts w:ascii="Times New Roman" w:eastAsia="Times New Roman" w:hAnsi="Times New Roman"/>
          <w:sz w:val="24"/>
          <w:szCs w:val="24"/>
        </w:rPr>
        <w:t xml:space="preserve"> thereby causing </w:t>
      </w:r>
      <w:proofErr w:type="gramStart"/>
      <w:r w:rsidRPr="00DE5CFC">
        <w:rPr>
          <w:rFonts w:ascii="Times New Roman" w:eastAsia="Times New Roman" w:hAnsi="Times New Roman"/>
          <w:sz w:val="24"/>
          <w:szCs w:val="24"/>
        </w:rPr>
        <w:t>damages</w:t>
      </w:r>
      <w:proofErr w:type="gramEnd"/>
      <w:r w:rsidRPr="00DE5CFC">
        <w:rPr>
          <w:rFonts w:ascii="Times New Roman" w:eastAsia="Times New Roman" w:hAnsi="Times New Roman"/>
          <w:sz w:val="24"/>
          <w:szCs w:val="24"/>
        </w:rPr>
        <w:t xml:space="preserve">. On these facts, the complaint alleged violations of clearly established law of which a reasonable fire chief would be aware. Cf. </w:t>
      </w:r>
      <w:r w:rsidRPr="00DE5CFC">
        <w:rPr>
          <w:rFonts w:ascii="Times New Roman" w:eastAsia="Times New Roman" w:hAnsi="Times New Roman"/>
          <w:i/>
          <w:iCs/>
          <w:sz w:val="24"/>
          <w:szCs w:val="24"/>
        </w:rPr>
        <w:t>Crevier</w:t>
      </w:r>
      <w:r w:rsidRPr="00DE5CFC">
        <w:rPr>
          <w:rFonts w:ascii="Times New Roman" w:eastAsia="Times New Roman" w:hAnsi="Times New Roman"/>
          <w:sz w:val="24"/>
          <w:szCs w:val="24"/>
        </w:rPr>
        <w:t xml:space="preserve"> </w:t>
      </w:r>
      <w:r w:rsidRPr="00DE5CFC">
        <w:rPr>
          <w:rFonts w:ascii="Times New Roman" w:eastAsia="Times New Roman" w:hAnsi="Times New Roman"/>
          <w:i/>
          <w:iCs/>
          <w:sz w:val="24"/>
          <w:szCs w:val="24"/>
        </w:rPr>
        <w:t>v. Spencer</w:t>
      </w:r>
      <w:r w:rsidRPr="00DE5CFC">
        <w:rPr>
          <w:rFonts w:ascii="Times New Roman" w:eastAsia="Times New Roman" w:hAnsi="Times New Roman"/>
          <w:sz w:val="24"/>
          <w:szCs w:val="24"/>
        </w:rPr>
        <w:t>, 600 F.Supp.2d 242, 257 (D. Mass. 2008) (</w:t>
      </w:r>
      <w:r>
        <w:rPr>
          <w:rFonts w:ascii="Times New Roman" w:eastAsia="Times New Roman" w:hAnsi="Times New Roman"/>
          <w:sz w:val="24"/>
          <w:szCs w:val="24"/>
        </w:rPr>
        <w:t>‘</w:t>
      </w:r>
      <w:r w:rsidRPr="00DE5CFC">
        <w:rPr>
          <w:rFonts w:ascii="Times New Roman" w:eastAsia="Times New Roman" w:hAnsi="Times New Roman"/>
          <w:sz w:val="24"/>
          <w:szCs w:val="24"/>
        </w:rPr>
        <w:t>employer's failure to explain FMLA procedures can constitute interference with employee's FMLA rights</w:t>
      </w:r>
      <w:r>
        <w:rPr>
          <w:rFonts w:ascii="Times New Roman" w:eastAsia="Times New Roman" w:hAnsi="Times New Roman"/>
          <w:sz w:val="24"/>
          <w:szCs w:val="24"/>
        </w:rPr>
        <w:t>’</w:t>
      </w:r>
      <w:r w:rsidRPr="00DE5CFC">
        <w:rPr>
          <w:rFonts w:ascii="Times New Roman" w:eastAsia="Times New Roman" w:hAnsi="Times New Roman"/>
          <w:sz w:val="24"/>
          <w:szCs w:val="24"/>
        </w:rPr>
        <w:t xml:space="preserve"> [quotation and citation omitted]).</w:t>
      </w:r>
      <w:r>
        <w:rPr>
          <w:rFonts w:ascii="Times New Roman" w:eastAsia="Times New Roman" w:hAnsi="Times New Roman"/>
          <w:sz w:val="24"/>
          <w:szCs w:val="24"/>
        </w:rPr>
        <w:t xml:space="preserve">” </w:t>
      </w:r>
      <w:hyperlink r:id="rId2530" w:history="1">
        <w:r w:rsidRPr="003B2357">
          <w:rPr>
            <w:rStyle w:val="Hyperlink"/>
            <w:rFonts w:ascii="Times New Roman" w:eastAsia="Times New Roman" w:hAnsi="Times New Roman"/>
            <w:sz w:val="24"/>
            <w:szCs w:val="24"/>
          </w:rPr>
          <w:t>https://public.fastcase.com/9SKwsfNqTc6OieYDhNMyM%2BsbSTu241pOZ38l1fL3GtOxRE1iLhH6RZm0FIyTdVeF1XRK6Ebg7B5equTDg4ZQiMxFMDQEZko4UYsaxrmOuYk%3D</w:t>
        </w:r>
      </w:hyperlink>
    </w:p>
    <w:p w14:paraId="4E4C707C" w14:textId="77777777" w:rsidR="00BD3FE4" w:rsidRDefault="00BD3FE4" w:rsidP="000C4DF5">
      <w:pPr>
        <w:pStyle w:val="NoSpacing"/>
        <w:rPr>
          <w:rFonts w:ascii="Arial Black" w:hAnsi="Arial Black"/>
          <w:sz w:val="24"/>
          <w:szCs w:val="24"/>
        </w:rPr>
      </w:pPr>
    </w:p>
    <w:p w14:paraId="25D50362" w14:textId="77777777" w:rsidR="00BD3FE4" w:rsidRDefault="00BD3FE4" w:rsidP="000C4DF5">
      <w:pPr>
        <w:pStyle w:val="NoSpacing"/>
        <w:rPr>
          <w:rFonts w:ascii="Arial Black" w:hAnsi="Arial Black"/>
          <w:sz w:val="24"/>
          <w:szCs w:val="24"/>
        </w:rPr>
      </w:pPr>
    </w:p>
    <w:p w14:paraId="3975DF93" w14:textId="77777777" w:rsidR="00BD3FE4" w:rsidRDefault="00BD3FE4" w:rsidP="000C4DF5">
      <w:pPr>
        <w:pStyle w:val="NoSpacing"/>
        <w:rPr>
          <w:rFonts w:ascii="Arial Black" w:hAnsi="Arial Black"/>
          <w:sz w:val="24"/>
          <w:szCs w:val="24"/>
        </w:rPr>
      </w:pPr>
    </w:p>
    <w:p w14:paraId="4484AD43" w14:textId="77EF7C06" w:rsidR="00FF5FCF" w:rsidRDefault="00FF5FCF" w:rsidP="000C4DF5">
      <w:pPr>
        <w:pStyle w:val="NoSpacing"/>
        <w:rPr>
          <w:rFonts w:ascii="Arial Black" w:hAnsi="Arial Black"/>
          <w:sz w:val="24"/>
          <w:szCs w:val="24"/>
        </w:rPr>
      </w:pPr>
      <w:r>
        <w:rPr>
          <w:rFonts w:ascii="Arial Black" w:hAnsi="Arial Black"/>
          <w:sz w:val="24"/>
          <w:szCs w:val="24"/>
        </w:rPr>
        <w:lastRenderedPageBreak/>
        <w:t>15-13</w:t>
      </w:r>
    </w:p>
    <w:p w14:paraId="2B2759EB" w14:textId="77777777" w:rsidR="00FF5FCF" w:rsidRPr="00CD0CC5" w:rsidRDefault="00FF5FCF" w:rsidP="00FF5FCF">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b/>
          <w:bCs/>
          <w:sz w:val="28"/>
          <w:szCs w:val="28"/>
        </w:rPr>
        <w:t xml:space="preserve">NY:  PTSD - </w:t>
      </w:r>
      <w:r>
        <w:rPr>
          <w:rFonts w:ascii="Arial Black" w:eastAsia="Times New Roman" w:hAnsi="Arial Black"/>
          <w:sz w:val="28"/>
          <w:szCs w:val="28"/>
        </w:rPr>
        <w:t>BASED ON SEVERAL INCIDENTS 26 YRS ON FD –</w:t>
      </w:r>
      <w:r>
        <w:rPr>
          <w:rFonts w:ascii="Arial Black" w:eastAsia="Times New Roman" w:hAnsi="Arial Black"/>
          <w:b/>
          <w:bCs/>
          <w:sz w:val="28"/>
          <w:szCs w:val="28"/>
        </w:rPr>
        <w:t>WOR</w:t>
      </w:r>
      <w:r>
        <w:rPr>
          <w:rFonts w:ascii="Arial Black" w:eastAsia="Times New Roman" w:hAnsi="Arial Black"/>
          <w:sz w:val="28"/>
          <w:szCs w:val="28"/>
        </w:rPr>
        <w:t>KER’S COMP – DON’T NEED “EXTRAORDINARY” EVENT</w:t>
      </w:r>
    </w:p>
    <w:p w14:paraId="1FB14744" w14:textId="77777777" w:rsidR="00FF5FCF" w:rsidRPr="002D426A" w:rsidRDefault="00FF5FCF" w:rsidP="00FF5FCF">
      <w:pPr>
        <w:spacing w:before="100" w:beforeAutospacing="1" w:after="100" w:afterAutospacing="1" w:line="240" w:lineRule="auto"/>
        <w:rPr>
          <w:rFonts w:ascii="Times New Roman" w:eastAsia="Times New Roman" w:hAnsi="Times New Roman"/>
          <w:sz w:val="24"/>
          <w:szCs w:val="24"/>
        </w:rPr>
      </w:pPr>
      <w:r w:rsidRPr="00CD0CC5">
        <w:rPr>
          <w:rFonts w:ascii="Times New Roman" w:eastAsia="Times New Roman" w:hAnsi="Times New Roman"/>
          <w:sz w:val="24"/>
          <w:szCs w:val="24"/>
        </w:rPr>
        <w:t xml:space="preserve">On Dec. </w:t>
      </w:r>
      <w:r>
        <w:rPr>
          <w:rFonts w:ascii="Times New Roman" w:eastAsia="Times New Roman" w:hAnsi="Times New Roman"/>
          <w:sz w:val="24"/>
          <w:szCs w:val="24"/>
        </w:rPr>
        <w:t xml:space="preserve">23, 2021, </w:t>
      </w:r>
      <w:r w:rsidRPr="00CD0CC5">
        <w:rPr>
          <w:rFonts w:ascii="Times New Roman" w:eastAsia="Times New Roman" w:hAnsi="Times New Roman"/>
          <w:sz w:val="24"/>
          <w:szCs w:val="24"/>
          <w:u w:val="single"/>
        </w:rPr>
        <w:t>In the Matter of the Claim of Brian C. Reith v. City of Albany, and Workers. Compensation Board</w:t>
      </w:r>
      <w:r>
        <w:rPr>
          <w:rFonts w:ascii="Times New Roman" w:eastAsia="Times New Roman" w:hAnsi="Times New Roman"/>
          <w:sz w:val="24"/>
          <w:szCs w:val="24"/>
        </w:rPr>
        <w:t xml:space="preserve">, the Supreme Court of New York (Third Department, held (4 to 0) that the Workers Compensation Board is reversed and the firefighter is entitled to workers comp since he </w:t>
      </w:r>
      <w:r w:rsidRPr="00C46511">
        <w:rPr>
          <w:rFonts w:ascii="Times New Roman" w:eastAsia="Times New Roman" w:hAnsi="Times New Roman"/>
          <w:sz w:val="24"/>
          <w:szCs w:val="24"/>
        </w:rPr>
        <w:t>did “</w:t>
      </w:r>
      <w:r w:rsidRPr="00C46511">
        <w:rPr>
          <w:rFonts w:ascii="Times New Roman" w:hAnsi="Times New Roman"/>
          <w:sz w:val="24"/>
          <w:szCs w:val="24"/>
        </w:rPr>
        <w:t xml:space="preserve">sustain a </w:t>
      </w:r>
      <w:proofErr w:type="gramStart"/>
      <w:r w:rsidRPr="002D426A">
        <w:rPr>
          <w:rFonts w:ascii="Times New Roman" w:hAnsi="Times New Roman"/>
          <w:sz w:val="24"/>
          <w:szCs w:val="24"/>
        </w:rPr>
        <w:t>causally-related</w:t>
      </w:r>
      <w:proofErr w:type="gramEnd"/>
      <w:r w:rsidRPr="002D426A">
        <w:rPr>
          <w:rFonts w:ascii="Times New Roman" w:hAnsi="Times New Roman"/>
          <w:sz w:val="24"/>
          <w:szCs w:val="24"/>
        </w:rPr>
        <w:t xml:space="preserve"> psychological injury” based on several incidents. </w:t>
      </w:r>
      <w:r>
        <w:rPr>
          <w:rFonts w:ascii="Times New Roman" w:hAnsi="Times New Roman"/>
          <w:sz w:val="24"/>
          <w:szCs w:val="24"/>
        </w:rPr>
        <w:t xml:space="preserve"> New York in 2017 amended statute so no longer must prove stressful incident was “greater than that which other similarly situated workers experienced in the normal work environment.”</w:t>
      </w:r>
    </w:p>
    <w:p w14:paraId="6F07CCB3" w14:textId="77777777" w:rsidR="00FF5FCF" w:rsidRPr="00C46511" w:rsidRDefault="00FF5FCF" w:rsidP="00FF5FCF">
      <w:pPr>
        <w:spacing w:before="100" w:beforeAutospacing="1" w:after="100" w:afterAutospacing="1" w:line="240" w:lineRule="auto"/>
        <w:ind w:left="720"/>
        <w:rPr>
          <w:rFonts w:ascii="Times New Roman" w:eastAsia="Times New Roman" w:hAnsi="Times New Roman"/>
          <w:b/>
          <w:bCs/>
          <w:sz w:val="24"/>
          <w:szCs w:val="24"/>
        </w:rPr>
      </w:pPr>
      <w:r>
        <w:rPr>
          <w:rFonts w:ascii="Times New Roman" w:hAnsi="Times New Roman"/>
          <w:sz w:val="24"/>
          <w:szCs w:val="24"/>
        </w:rPr>
        <w:t>“</w:t>
      </w:r>
      <w:r w:rsidRPr="00C46511">
        <w:rPr>
          <w:rFonts w:ascii="Times New Roman" w:hAnsi="Times New Roman"/>
          <w:sz w:val="24"/>
          <w:szCs w:val="24"/>
        </w:rPr>
        <w:t xml:space="preserve">During the hearing, claimant explained that he had witnessed several traumatic incidents during his nearly 26-year career as a firefighter, including a suicide, a triple homicide of children, car accidents with fatalities and individuals who had been "dead for days stuck to the floor." He also recounted spraining his ankle after he slipped on brain matter while rendering aid to a victim, experiencing CPR regurgitation while attempting to resuscitate a fellow firefighter and dragging a woman out of a fire, which resulted in </w:t>
      </w:r>
      <w:r>
        <w:rPr>
          <w:rFonts w:ascii="Times New Roman" w:hAnsi="Times New Roman"/>
          <w:sz w:val="24"/>
          <w:szCs w:val="24"/>
        </w:rPr>
        <w:t>‘</w:t>
      </w:r>
      <w:proofErr w:type="spellStart"/>
      <w:r w:rsidRPr="00C46511">
        <w:rPr>
          <w:rFonts w:ascii="Times New Roman" w:hAnsi="Times New Roman"/>
          <w:sz w:val="24"/>
          <w:szCs w:val="24"/>
        </w:rPr>
        <w:t>deglov</w:t>
      </w:r>
      <w:proofErr w:type="spellEnd"/>
      <w:r w:rsidRPr="00C46511">
        <w:rPr>
          <w:rFonts w:ascii="Times New Roman" w:hAnsi="Times New Roman"/>
          <w:sz w:val="24"/>
          <w:szCs w:val="24"/>
        </w:rPr>
        <w:t>[</w:t>
      </w:r>
      <w:proofErr w:type="spellStart"/>
      <w:r w:rsidRPr="00C46511">
        <w:rPr>
          <w:rFonts w:ascii="Times New Roman" w:hAnsi="Times New Roman"/>
          <w:sz w:val="24"/>
          <w:szCs w:val="24"/>
        </w:rPr>
        <w:t>ing</w:t>
      </w:r>
      <w:proofErr w:type="spellEnd"/>
      <w:r w:rsidRPr="00C46511">
        <w:rPr>
          <w:rFonts w:ascii="Times New Roman" w:hAnsi="Times New Roman"/>
          <w:sz w:val="24"/>
          <w:szCs w:val="24"/>
        </w:rPr>
        <w:t>] her.</w:t>
      </w:r>
      <w:r>
        <w:rPr>
          <w:rFonts w:ascii="Times New Roman" w:hAnsi="Times New Roman"/>
          <w:sz w:val="24"/>
          <w:szCs w:val="24"/>
        </w:rPr>
        <w:t xml:space="preserve">’ *** We reverse. </w:t>
      </w:r>
      <w:r w:rsidRPr="002D426A">
        <w:rPr>
          <w:rFonts w:ascii="Times New Roman" w:hAnsi="Times New Roman"/>
          <w:sz w:val="24"/>
          <w:szCs w:val="24"/>
        </w:rPr>
        <w:t xml:space="preserve">Prior to the enactment of Workers' Compensation Law § 10 (3) (b) in April 2017 (see L 2017, ch 59, part NNN, subpart I, § 1), a claimant seeking to recover for a psychological injury was required to </w:t>
      </w:r>
      <w:r>
        <w:rPr>
          <w:rFonts w:ascii="Times New Roman" w:hAnsi="Times New Roman"/>
          <w:sz w:val="24"/>
          <w:szCs w:val="24"/>
        </w:rPr>
        <w:t>‘</w:t>
      </w:r>
      <w:r w:rsidRPr="002D426A">
        <w:rPr>
          <w:rFonts w:ascii="Times New Roman" w:hAnsi="Times New Roman"/>
          <w:sz w:val="24"/>
          <w:szCs w:val="24"/>
        </w:rPr>
        <w:t>demonstrate that the stress that caused the claimed mental injury was greater than that which other similarly situated workers experienced in the normal work environment</w:t>
      </w:r>
      <w:r>
        <w:rPr>
          <w:rFonts w:ascii="Times New Roman" w:hAnsi="Times New Roman"/>
          <w:sz w:val="24"/>
          <w:szCs w:val="24"/>
        </w:rPr>
        <w:t xml:space="preserve">’ … </w:t>
      </w:r>
      <w:r w:rsidRPr="002D426A">
        <w:rPr>
          <w:rFonts w:ascii="Times New Roman" w:hAnsi="Times New Roman"/>
          <w:sz w:val="24"/>
          <w:szCs w:val="24"/>
        </w:rPr>
        <w:t xml:space="preserve">The statutory amendment, however, effectively removed that hurdle for certain first responders by providing, as relevant here, that where a firefighter </w:t>
      </w:r>
      <w:r>
        <w:rPr>
          <w:rFonts w:ascii="Times New Roman" w:hAnsi="Times New Roman"/>
          <w:sz w:val="24"/>
          <w:szCs w:val="24"/>
        </w:rPr>
        <w:t>‘</w:t>
      </w:r>
      <w:r w:rsidRPr="002D426A">
        <w:rPr>
          <w:rFonts w:ascii="Times New Roman" w:hAnsi="Times New Roman"/>
          <w:sz w:val="24"/>
          <w:szCs w:val="24"/>
        </w:rPr>
        <w:t>files a claim for mental injury premised upon extraordinary work-related stress incurred in a work-related emergency, the [B]</w:t>
      </w:r>
      <w:proofErr w:type="spellStart"/>
      <w:r w:rsidRPr="002D426A">
        <w:rPr>
          <w:rFonts w:ascii="Times New Roman" w:hAnsi="Times New Roman"/>
          <w:sz w:val="24"/>
          <w:szCs w:val="24"/>
        </w:rPr>
        <w:t>oard</w:t>
      </w:r>
      <w:proofErr w:type="spellEnd"/>
      <w:r w:rsidRPr="002D426A">
        <w:rPr>
          <w:rFonts w:ascii="Times New Roman" w:hAnsi="Times New Roman"/>
          <w:sz w:val="24"/>
          <w:szCs w:val="24"/>
        </w:rPr>
        <w:t xml:space="preserve"> may not disallow the claim, upon a factual finding that the stress was not greater than that which usually occurs in the normal work environment</w:t>
      </w:r>
      <w:r>
        <w:rPr>
          <w:rFonts w:ascii="Times New Roman" w:hAnsi="Times New Roman"/>
          <w:sz w:val="24"/>
          <w:szCs w:val="24"/>
        </w:rPr>
        <w:t>’</w:t>
      </w:r>
      <w:r w:rsidRPr="002D426A">
        <w:rPr>
          <w:rFonts w:ascii="Times New Roman" w:hAnsi="Times New Roman"/>
          <w:sz w:val="24"/>
          <w:szCs w:val="24"/>
        </w:rPr>
        <w:t xml:space="preserve"> (Workers' Compensation Law § 10 [3] [b]; see Matter of McMillan v Town of New Castle, 162 A.D.3d 1425, 1426 [2018]).</w:t>
      </w:r>
      <w:r>
        <w:rPr>
          <w:rFonts w:ascii="Times New Roman" w:hAnsi="Times New Roman"/>
          <w:sz w:val="24"/>
          <w:szCs w:val="24"/>
        </w:rPr>
        <w:t xml:space="preserve">” </w:t>
      </w:r>
      <w:hyperlink r:id="rId2531" w:history="1">
        <w:r w:rsidRPr="00EC5853">
          <w:rPr>
            <w:rStyle w:val="Hyperlink"/>
            <w:rFonts w:ascii="Times New Roman" w:hAnsi="Times New Roman"/>
            <w:sz w:val="24"/>
            <w:szCs w:val="24"/>
          </w:rPr>
          <w:t>https://law.justia.com/cases/new-york/appellate-division-third-department/2021/532779.html</w:t>
        </w:r>
      </w:hyperlink>
      <w:r>
        <w:rPr>
          <w:rFonts w:ascii="Times New Roman" w:hAnsi="Times New Roman"/>
          <w:sz w:val="24"/>
          <w:szCs w:val="24"/>
        </w:rPr>
        <w:t xml:space="preserve"> </w:t>
      </w:r>
    </w:p>
    <w:p w14:paraId="277BA0BB" w14:textId="77777777" w:rsidR="00AC5DED" w:rsidRPr="00E21469" w:rsidRDefault="00AC5DED" w:rsidP="00AC5DED">
      <w:pPr>
        <w:spacing w:before="100" w:beforeAutospacing="1" w:after="100" w:afterAutospacing="1" w:line="240" w:lineRule="auto"/>
        <w:rPr>
          <w:rFonts w:ascii="Times New Roman" w:eastAsia="Times New Roman" w:hAnsi="Times New Roman"/>
          <w:b/>
          <w:bCs/>
          <w:sz w:val="24"/>
          <w:szCs w:val="24"/>
        </w:rPr>
      </w:pPr>
      <w:r w:rsidRPr="00E21469">
        <w:rPr>
          <w:rFonts w:ascii="Times New Roman" w:hAnsi="Times New Roman"/>
          <w:b/>
          <w:bCs/>
          <w:sz w:val="24"/>
          <w:szCs w:val="24"/>
        </w:rPr>
        <w:t>Legal Lesson Learned:</w:t>
      </w:r>
      <w:r>
        <w:rPr>
          <w:rFonts w:ascii="Times New Roman" w:hAnsi="Times New Roman"/>
          <w:b/>
          <w:bCs/>
          <w:sz w:val="24"/>
          <w:szCs w:val="24"/>
        </w:rPr>
        <w:t xml:space="preserve"> Great decision, and helpful statute, recognizing that PTSD can arise from multiple incidents. </w:t>
      </w:r>
    </w:p>
    <w:p w14:paraId="4CD1FAD4" w14:textId="77777777" w:rsidR="00AC5DED" w:rsidRDefault="00AC5DED" w:rsidP="00AC5DED">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Note: The Workers Comp. Board wisely recognized the 2017 statutory amendment applied to multiple incidents, not just a singular event. </w:t>
      </w:r>
    </w:p>
    <w:p w14:paraId="2E906923" w14:textId="77777777" w:rsidR="00AC5DED" w:rsidRDefault="00AC5DED" w:rsidP="00AC5DED">
      <w:pPr>
        <w:spacing w:before="100" w:beforeAutospacing="1" w:after="100" w:afterAutospacing="1" w:line="240" w:lineRule="auto"/>
        <w:ind w:left="1440"/>
        <w:rPr>
          <w:rFonts w:ascii="Times New Roman" w:hAnsi="Times New Roman"/>
          <w:sz w:val="24"/>
          <w:szCs w:val="24"/>
        </w:rPr>
      </w:pPr>
      <w:r>
        <w:rPr>
          <w:rFonts w:ascii="Times New Roman" w:hAnsi="Times New Roman"/>
          <w:sz w:val="24"/>
          <w:szCs w:val="24"/>
        </w:rPr>
        <w:t>Footnote 1: “</w:t>
      </w:r>
      <w:r w:rsidRPr="00E21469">
        <w:rPr>
          <w:rFonts w:ascii="Times New Roman" w:hAnsi="Times New Roman"/>
          <w:sz w:val="24"/>
          <w:szCs w:val="24"/>
        </w:rPr>
        <w:t xml:space="preserve">The Board initially ruled - citing the singular form of the phrase </w:t>
      </w:r>
      <w:r>
        <w:rPr>
          <w:rFonts w:ascii="Times New Roman" w:hAnsi="Times New Roman"/>
          <w:sz w:val="24"/>
          <w:szCs w:val="24"/>
        </w:rPr>
        <w:t>‘</w:t>
      </w:r>
      <w:r w:rsidRPr="00E21469">
        <w:rPr>
          <w:rFonts w:ascii="Times New Roman" w:hAnsi="Times New Roman"/>
          <w:sz w:val="24"/>
          <w:szCs w:val="24"/>
        </w:rPr>
        <w:t>in a work-related emergency</w:t>
      </w:r>
      <w:r>
        <w:rPr>
          <w:rFonts w:ascii="Times New Roman" w:hAnsi="Times New Roman"/>
          <w:sz w:val="24"/>
          <w:szCs w:val="24"/>
        </w:rPr>
        <w:t>’</w:t>
      </w:r>
      <w:r w:rsidRPr="00E21469">
        <w:rPr>
          <w:rFonts w:ascii="Times New Roman" w:hAnsi="Times New Roman"/>
          <w:sz w:val="24"/>
          <w:szCs w:val="24"/>
        </w:rPr>
        <w:t xml:space="preserve"> - that the statutory amendment did not apply where the injury sustained was the product of stress-inducing events incurred over </w:t>
      </w:r>
      <w:proofErr w:type="gramStart"/>
      <w:r w:rsidRPr="00E21469">
        <w:rPr>
          <w:rFonts w:ascii="Times New Roman" w:hAnsi="Times New Roman"/>
          <w:sz w:val="24"/>
          <w:szCs w:val="24"/>
        </w:rPr>
        <w:t>a period of time</w:t>
      </w:r>
      <w:proofErr w:type="gramEnd"/>
      <w:r w:rsidRPr="00E21469">
        <w:rPr>
          <w:rFonts w:ascii="Times New Roman" w:hAnsi="Times New Roman"/>
          <w:sz w:val="24"/>
          <w:szCs w:val="24"/>
        </w:rPr>
        <w:t xml:space="preserve">. Upon reconsideration, the Board effectively reversed course, ruling that the amendment could apply where, as here, a claimant </w:t>
      </w:r>
      <w:r>
        <w:rPr>
          <w:rFonts w:ascii="Times New Roman" w:hAnsi="Times New Roman"/>
          <w:sz w:val="24"/>
          <w:szCs w:val="24"/>
        </w:rPr>
        <w:t>‘</w:t>
      </w:r>
      <w:r w:rsidRPr="00E21469">
        <w:rPr>
          <w:rFonts w:ascii="Times New Roman" w:hAnsi="Times New Roman"/>
          <w:sz w:val="24"/>
          <w:szCs w:val="24"/>
        </w:rPr>
        <w:t>alleges multiple incidents of exposure rather than one singular event</w:t>
      </w:r>
      <w:r>
        <w:rPr>
          <w:rFonts w:ascii="Times New Roman" w:hAnsi="Times New Roman"/>
          <w:sz w:val="24"/>
          <w:szCs w:val="24"/>
        </w:rPr>
        <w:t>’</w:t>
      </w:r>
      <w:r w:rsidRPr="00E21469">
        <w:rPr>
          <w:rFonts w:ascii="Times New Roman" w:hAnsi="Times New Roman"/>
          <w:sz w:val="24"/>
          <w:szCs w:val="24"/>
        </w:rPr>
        <w:t xml:space="preserve"> (citing Employer: Town of New Castle, 2018 WL 6132752, *4, 2018 NY Wrk Comp LEXIS 11628, *10 [WCB No. G140 4105, Nov. 16, 2018]).</w:t>
      </w:r>
      <w:r>
        <w:rPr>
          <w:rFonts w:ascii="Times New Roman" w:hAnsi="Times New Roman"/>
          <w:sz w:val="24"/>
          <w:szCs w:val="24"/>
        </w:rPr>
        <w:t>”</w:t>
      </w:r>
    </w:p>
    <w:p w14:paraId="751E408C" w14:textId="77777777" w:rsidR="00AC5DED" w:rsidRDefault="00AC5DED" w:rsidP="00AC5DED">
      <w:pPr>
        <w:ind w:left="720"/>
      </w:pPr>
      <w:r>
        <w:rPr>
          <w:rFonts w:ascii="Times New Roman" w:hAnsi="Times New Roman"/>
          <w:sz w:val="24"/>
          <w:szCs w:val="24"/>
        </w:rPr>
        <w:t xml:space="preserve">In Ohio, Governor DeWine on Jan. 9, </w:t>
      </w:r>
      <w:proofErr w:type="gramStart"/>
      <w:r>
        <w:rPr>
          <w:rFonts w:ascii="Times New Roman" w:hAnsi="Times New Roman"/>
          <w:sz w:val="24"/>
          <w:szCs w:val="24"/>
        </w:rPr>
        <w:t>2021</w:t>
      </w:r>
      <w:proofErr w:type="gramEnd"/>
      <w:r>
        <w:rPr>
          <w:rFonts w:ascii="Times New Roman" w:hAnsi="Times New Roman"/>
          <w:sz w:val="24"/>
          <w:szCs w:val="24"/>
        </w:rPr>
        <w:t xml:space="preserve"> signed into law House Bill 308, which created a fund for first responders who become disabled from PTSD, without any need to also have physical injury. See statutory language: </w:t>
      </w:r>
      <w:hyperlink r:id="rId2532" w:history="1">
        <w:r w:rsidRPr="00EC5853">
          <w:rPr>
            <w:rStyle w:val="Hyperlink"/>
            <w:rFonts w:ascii="Times New Roman" w:hAnsi="Times New Roman"/>
            <w:sz w:val="24"/>
            <w:szCs w:val="24"/>
          </w:rPr>
          <w:t>https://search-prod.lis.state.oh.us/solarapi/v1/general_assembly_133/bills/hb308/EN/06?format=pdf</w:t>
        </w:r>
      </w:hyperlink>
      <w:r>
        <w:rPr>
          <w:rFonts w:ascii="Times New Roman" w:hAnsi="Times New Roman"/>
          <w:sz w:val="24"/>
          <w:szCs w:val="24"/>
        </w:rPr>
        <w:t xml:space="preserve"> </w:t>
      </w:r>
    </w:p>
    <w:p w14:paraId="249F3D16" w14:textId="77777777" w:rsidR="00AC5DED" w:rsidRPr="00BF5169" w:rsidRDefault="00AC5DED" w:rsidP="00AC5DED">
      <w:pPr>
        <w:spacing w:before="100" w:beforeAutospacing="1" w:after="100" w:afterAutospacing="1" w:line="240" w:lineRule="auto"/>
        <w:ind w:left="1440"/>
        <w:rPr>
          <w:rFonts w:ascii="Times New Roman" w:hAnsi="Times New Roman"/>
          <w:sz w:val="24"/>
          <w:szCs w:val="24"/>
        </w:rPr>
      </w:pPr>
      <w:r w:rsidRPr="00BF5169">
        <w:rPr>
          <w:rFonts w:ascii="Times New Roman" w:hAnsi="Times New Roman"/>
          <w:sz w:val="24"/>
          <w:szCs w:val="24"/>
        </w:rPr>
        <w:t>Sec. 126.65. (A) The state post-traumatic stress fund is created in the state treasury. The</w:t>
      </w:r>
      <w:r>
        <w:rPr>
          <w:rFonts w:ascii="Times New Roman" w:hAnsi="Times New Roman"/>
          <w:sz w:val="24"/>
          <w:szCs w:val="24"/>
        </w:rPr>
        <w:t xml:space="preserve"> </w:t>
      </w:r>
      <w:r w:rsidRPr="00BF5169">
        <w:rPr>
          <w:rFonts w:ascii="Times New Roman" w:hAnsi="Times New Roman"/>
          <w:sz w:val="24"/>
          <w:szCs w:val="24"/>
        </w:rPr>
        <w:t>director of budget and management shall be the trustee of the fund.</w:t>
      </w:r>
      <w:r w:rsidRPr="00BF5169">
        <w:rPr>
          <w:rFonts w:ascii="Times New Roman" w:hAnsi="Times New Roman"/>
          <w:sz w:val="24"/>
          <w:szCs w:val="24"/>
        </w:rPr>
        <w:br/>
      </w:r>
      <w:r w:rsidRPr="00BF5169">
        <w:rPr>
          <w:rFonts w:ascii="Times New Roman" w:hAnsi="Times New Roman"/>
          <w:sz w:val="24"/>
          <w:szCs w:val="24"/>
        </w:rPr>
        <w:lastRenderedPageBreak/>
        <w:t>(B) The state post-traumatic stress fund shall be used for the following purposes:</w:t>
      </w:r>
      <w:r w:rsidRPr="00BF5169">
        <w:rPr>
          <w:rFonts w:ascii="Times New Roman" w:hAnsi="Times New Roman"/>
          <w:sz w:val="24"/>
          <w:szCs w:val="24"/>
        </w:rPr>
        <w:br/>
        <w:t>(1) Payment of compensation for lost wages that result from a public safety officer being</w:t>
      </w:r>
      <w:r>
        <w:rPr>
          <w:rFonts w:ascii="Times New Roman" w:hAnsi="Times New Roman"/>
          <w:sz w:val="24"/>
          <w:szCs w:val="24"/>
        </w:rPr>
        <w:t xml:space="preserve"> </w:t>
      </w:r>
      <w:r w:rsidRPr="00BF5169">
        <w:rPr>
          <w:rFonts w:ascii="Times New Roman" w:hAnsi="Times New Roman"/>
          <w:sz w:val="24"/>
          <w:szCs w:val="24"/>
        </w:rPr>
        <w:t>disabled by post-traumatic stress disorder received in the course of, and arising</w:t>
      </w:r>
      <w:r>
        <w:rPr>
          <w:rFonts w:ascii="Times New Roman" w:hAnsi="Times New Roman"/>
          <w:sz w:val="24"/>
          <w:szCs w:val="24"/>
        </w:rPr>
        <w:t xml:space="preserve"> </w:t>
      </w:r>
      <w:r w:rsidRPr="00BF5169">
        <w:rPr>
          <w:rFonts w:ascii="Times New Roman" w:hAnsi="Times New Roman"/>
          <w:sz w:val="24"/>
          <w:szCs w:val="24"/>
        </w:rPr>
        <w:t>out of, employment</w:t>
      </w:r>
      <w:r>
        <w:rPr>
          <w:rFonts w:ascii="Times New Roman" w:hAnsi="Times New Roman"/>
          <w:sz w:val="24"/>
          <w:szCs w:val="24"/>
        </w:rPr>
        <w:t xml:space="preserve"> </w:t>
      </w:r>
      <w:r w:rsidRPr="00BF5169">
        <w:rPr>
          <w:rFonts w:ascii="Times New Roman" w:hAnsi="Times New Roman"/>
          <w:sz w:val="24"/>
          <w:szCs w:val="24"/>
        </w:rPr>
        <w:t>as a public safety officer but without an accompanying physical injury.</w:t>
      </w:r>
      <w:r>
        <w:rPr>
          <w:rFonts w:ascii="Times New Roman" w:hAnsi="Times New Roman"/>
          <w:sz w:val="24"/>
          <w:szCs w:val="24"/>
        </w:rPr>
        <w:t>”</w:t>
      </w:r>
    </w:p>
    <w:p w14:paraId="15B3BB5B" w14:textId="77777777" w:rsidR="00FF5FCF" w:rsidRDefault="00FF5FCF" w:rsidP="000C4DF5">
      <w:pPr>
        <w:pStyle w:val="NoSpacing"/>
        <w:rPr>
          <w:rFonts w:ascii="Arial Black" w:hAnsi="Arial Black"/>
          <w:sz w:val="24"/>
          <w:szCs w:val="24"/>
        </w:rPr>
      </w:pPr>
    </w:p>
    <w:p w14:paraId="2A7D86C2" w14:textId="77777777" w:rsidR="00FF5FCF" w:rsidRDefault="00FF5FCF" w:rsidP="000C4DF5">
      <w:pPr>
        <w:pStyle w:val="NoSpacing"/>
        <w:rPr>
          <w:rFonts w:ascii="Arial Black" w:hAnsi="Arial Black"/>
          <w:sz w:val="24"/>
          <w:szCs w:val="24"/>
        </w:rPr>
      </w:pPr>
    </w:p>
    <w:p w14:paraId="3A709F00" w14:textId="30F7B8E9" w:rsidR="00663A6A" w:rsidRDefault="00BD1702" w:rsidP="000C4DF5">
      <w:pPr>
        <w:pStyle w:val="NoSpacing"/>
        <w:rPr>
          <w:rFonts w:ascii="Arial Black" w:hAnsi="Arial Black"/>
          <w:sz w:val="24"/>
          <w:szCs w:val="24"/>
        </w:rPr>
      </w:pPr>
      <w:r>
        <w:rPr>
          <w:rFonts w:ascii="Arial Black" w:hAnsi="Arial Black"/>
          <w:sz w:val="24"/>
          <w:szCs w:val="24"/>
        </w:rPr>
        <w:t>15-12</w:t>
      </w:r>
    </w:p>
    <w:p w14:paraId="3B86D474" w14:textId="77777777" w:rsidR="00BD1702" w:rsidRDefault="00BD1702" w:rsidP="00BD1702">
      <w:pPr>
        <w:pStyle w:val="NormalWeb"/>
        <w:rPr>
          <w:rFonts w:ascii="Arial Black" w:hAnsi="Arial Black"/>
          <w:b/>
          <w:bCs/>
          <w:sz w:val="28"/>
          <w:szCs w:val="28"/>
        </w:rPr>
      </w:pPr>
      <w:r>
        <w:rPr>
          <w:rFonts w:ascii="Arial Black" w:hAnsi="Arial Black"/>
          <w:b/>
          <w:bCs/>
          <w:sz w:val="28"/>
          <w:szCs w:val="28"/>
        </w:rPr>
        <w:t xml:space="preserve">PA: PET THERAPY DOG – IN COURT TO COMFORT 13-YEAR- OLD AUSTIC CHILD – WITNESS TO A MURDER </w:t>
      </w:r>
    </w:p>
    <w:p w14:paraId="3E914B38" w14:textId="77777777" w:rsidR="00BD1702" w:rsidRDefault="00BD1702" w:rsidP="00BD1702">
      <w:pPr>
        <w:pStyle w:val="NormalWeb"/>
      </w:pPr>
      <w:r>
        <w:t xml:space="preserve">On September 22, 2021, in </w:t>
      </w:r>
      <w:r>
        <w:rPr>
          <w:u w:val="single"/>
        </w:rPr>
        <w:t>Commonwealth of Pennsylvania v. Sheron Jalen Purnell</w:t>
      </w:r>
      <w:r>
        <w:t xml:space="preserve">, the Supreme Court of Pennsylvania (Middle District) held (7 to 0) that judge properly allowed the comfort dog in the courtroom, and upheld jury verdict of guilty of third-degree murder and sentence of 20.5 to 47 years of imprisonment. </w:t>
      </w:r>
    </w:p>
    <w:p w14:paraId="66FF7E74" w14:textId="77777777" w:rsidR="00BD1702" w:rsidRDefault="00BD1702" w:rsidP="00BD1702">
      <w:pPr>
        <w:pStyle w:val="NormalWeb"/>
        <w:ind w:left="720"/>
      </w:pPr>
      <w:r>
        <w:t xml:space="preserve">“We granted allowance of appeal in this matter to consider the appropriate test to apply to a trial court’s determination concerning whether a witness in a criminal case may utilize a ‘comfort dog’ for support during his or her trial testimony. We hold that a trial court should balance the degree to which the accommodation will assist the witness in testifying in a truthful manner against any possible prejudice </w:t>
      </w:r>
      <w:proofErr w:type="gramStart"/>
      <w:r>
        <w:t>to</w:t>
      </w:r>
      <w:proofErr w:type="gramEnd"/>
      <w:r>
        <w:t xml:space="preserve"> the defendant’s right to a fair trial. Here, the trial court allowed a witness to testify with the assistance of a comfort dog, and the Superior Court concluded that the trial court did not abuse its discretion in this regard. For the reasons stated below, we agree with the Superior Court and, therefore, affirm that court’s judgment.</w:t>
      </w:r>
    </w:p>
    <w:p w14:paraId="72A3238B" w14:textId="77777777" w:rsidR="00BD1702" w:rsidRDefault="00BD1702" w:rsidP="00BD1702">
      <w:pPr>
        <w:pStyle w:val="NormalWeb"/>
        <w:ind w:left="720"/>
      </w:pPr>
      <w:r>
        <w:t>***</w:t>
      </w:r>
    </w:p>
    <w:p w14:paraId="779791EA" w14:textId="77777777" w:rsidR="00BD1702" w:rsidRDefault="00BD1702" w:rsidP="00BD1702">
      <w:pPr>
        <w:pStyle w:val="NormalWeb"/>
        <w:ind w:left="720"/>
      </w:pPr>
      <w:r>
        <w:t xml:space="preserve">The court noted that: (1) its legal reasoning for allowing the dog to be present could be found on the record; (2) the dog was situated under the witness box prior to the jury entering the courtroom and could not be seen by the jury, and (3) it provided instructions to the jury concerning the presence of the dog.”  </w:t>
      </w:r>
      <w:hyperlink r:id="rId2533" w:history="1">
        <w:r>
          <w:rPr>
            <w:rStyle w:val="Hyperlink"/>
          </w:rPr>
          <w:t>https://casetext.com/case/commonwealth-v-purnell-10</w:t>
        </w:r>
      </w:hyperlink>
      <w:r>
        <w:t xml:space="preserve"> </w:t>
      </w:r>
    </w:p>
    <w:p w14:paraId="4F9F6DE5" w14:textId="77777777" w:rsidR="00BD1702" w:rsidRDefault="00BD1702" w:rsidP="00BD1702">
      <w:pPr>
        <w:pStyle w:val="Heading1"/>
        <w:rPr>
          <w:sz w:val="24"/>
          <w:szCs w:val="24"/>
        </w:rPr>
      </w:pPr>
      <w:r>
        <w:rPr>
          <w:sz w:val="24"/>
          <w:szCs w:val="24"/>
        </w:rPr>
        <w:t xml:space="preserve">Legal Lesson Learned: Great decision! Dogs can also comfort emergency responders. </w:t>
      </w:r>
    </w:p>
    <w:p w14:paraId="59782E83" w14:textId="31639F4C" w:rsidR="00BD1702" w:rsidRDefault="00BD1702" w:rsidP="00BD1702">
      <w:pPr>
        <w:pStyle w:val="NoSpacing"/>
        <w:ind w:left="720"/>
        <w:rPr>
          <w:rFonts w:ascii="Arial Black" w:hAnsi="Arial Black"/>
          <w:sz w:val="24"/>
          <w:szCs w:val="24"/>
        </w:rPr>
      </w:pPr>
      <w:r>
        <w:rPr>
          <w:sz w:val="24"/>
          <w:szCs w:val="24"/>
        </w:rPr>
        <w:t xml:space="preserve">See article: “Comfort Dogs Allowed </w:t>
      </w:r>
      <w:proofErr w:type="gramStart"/>
      <w:r>
        <w:rPr>
          <w:sz w:val="24"/>
          <w:szCs w:val="24"/>
        </w:rPr>
        <w:t>For</w:t>
      </w:r>
      <w:proofErr w:type="gramEnd"/>
      <w:r>
        <w:rPr>
          <w:sz w:val="24"/>
          <w:szCs w:val="24"/>
        </w:rPr>
        <w:t xml:space="preserve"> Some During Criminal Trials, PA Supreme Court Rules (9/22/2021).” </w:t>
      </w:r>
      <w:hyperlink r:id="rId2534" w:history="1">
        <w:r w:rsidRPr="00936B2D">
          <w:rPr>
            <w:rStyle w:val="Hyperlink"/>
            <w:b/>
            <w:bCs/>
            <w:sz w:val="24"/>
            <w:szCs w:val="24"/>
          </w:rPr>
          <w:t>https://dailyvoice.com/pennsylvania/chester/news/comfort-dogs-allowed-for-some-during-criminal-trials-pa-supreme-court-rules/816798/</w:t>
        </w:r>
      </w:hyperlink>
    </w:p>
    <w:p w14:paraId="2DFEE32E" w14:textId="77777777" w:rsidR="00BD1702" w:rsidRDefault="00BD1702" w:rsidP="000C4DF5">
      <w:pPr>
        <w:pStyle w:val="NoSpacing"/>
        <w:rPr>
          <w:rFonts w:ascii="Arial Black" w:hAnsi="Arial Black"/>
          <w:sz w:val="24"/>
          <w:szCs w:val="24"/>
        </w:rPr>
      </w:pPr>
      <w:bookmarkStart w:id="577" w:name="_Hlk66950092"/>
    </w:p>
    <w:p w14:paraId="041FD798" w14:textId="77777777" w:rsidR="00BD1702" w:rsidRDefault="00BD1702" w:rsidP="000C4DF5">
      <w:pPr>
        <w:pStyle w:val="NoSpacing"/>
        <w:rPr>
          <w:rFonts w:ascii="Arial Black" w:hAnsi="Arial Black"/>
          <w:sz w:val="24"/>
          <w:szCs w:val="24"/>
        </w:rPr>
      </w:pPr>
    </w:p>
    <w:p w14:paraId="694FA015" w14:textId="265E20DF" w:rsidR="00F37F48" w:rsidRDefault="00F37F48" w:rsidP="000C4DF5">
      <w:pPr>
        <w:pStyle w:val="NoSpacing"/>
        <w:rPr>
          <w:rFonts w:ascii="Arial Black" w:hAnsi="Arial Black"/>
          <w:sz w:val="24"/>
          <w:szCs w:val="24"/>
        </w:rPr>
      </w:pPr>
      <w:r>
        <w:rPr>
          <w:rFonts w:ascii="Arial Black" w:hAnsi="Arial Black"/>
          <w:sz w:val="24"/>
          <w:szCs w:val="24"/>
        </w:rPr>
        <w:t>15-11</w:t>
      </w:r>
    </w:p>
    <w:p w14:paraId="67BD830B" w14:textId="6C591B07" w:rsidR="00F37F48" w:rsidRDefault="00F37F48" w:rsidP="000C4DF5">
      <w:pPr>
        <w:pStyle w:val="NoSpacing"/>
        <w:rPr>
          <w:rFonts w:ascii="Arial Black" w:hAnsi="Arial Black"/>
          <w:sz w:val="24"/>
          <w:szCs w:val="24"/>
        </w:rPr>
      </w:pPr>
    </w:p>
    <w:p w14:paraId="04B4A2EE" w14:textId="77777777" w:rsidR="00F37F48" w:rsidRDefault="00F37F48" w:rsidP="00F37F48">
      <w:pPr>
        <w:rPr>
          <w:rFonts w:asciiTheme="minorHAnsi" w:hAnsiTheme="minorHAnsi" w:cstheme="minorBidi"/>
        </w:rPr>
      </w:pPr>
      <w:r>
        <w:rPr>
          <w:rFonts w:ascii="Arial Black" w:hAnsi="Arial Black"/>
          <w:sz w:val="28"/>
          <w:szCs w:val="28"/>
        </w:rPr>
        <w:t xml:space="preserve">WV: FF WITH PTSD – 20 YRS ON THE JOB – DENIED WORKERS COMP – STATE LAW REQUIRES THERE BE PHYSICAL INJURY </w:t>
      </w:r>
    </w:p>
    <w:p w14:paraId="20DB28E1" w14:textId="77777777" w:rsidR="00F37F48" w:rsidRDefault="00F37F48" w:rsidP="00F37F48">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11, 2020, in </w:t>
      </w:r>
      <w:r>
        <w:rPr>
          <w:rFonts w:ascii="Times New Roman" w:eastAsia="Times New Roman" w:hAnsi="Times New Roman"/>
          <w:sz w:val="24"/>
          <w:szCs w:val="24"/>
          <w:u w:val="single"/>
        </w:rPr>
        <w:t>John Angle v. City of Huntington</w:t>
      </w:r>
      <w:r>
        <w:rPr>
          <w:rFonts w:ascii="Times New Roman" w:eastAsia="Times New Roman" w:hAnsi="Times New Roman"/>
          <w:sz w:val="24"/>
          <w:szCs w:val="24"/>
        </w:rPr>
        <w:t xml:space="preserve">, the State of West Virginia Supreme Court of Appeals, held (5 to 0) that under state statute he was not entitled to workers comp for his PTSD.  </w:t>
      </w:r>
    </w:p>
    <w:bookmarkEnd w:id="577"/>
    <w:p w14:paraId="12BBFDDB" w14:textId="77777777" w:rsidR="00F37F48" w:rsidRDefault="00F37F48" w:rsidP="00F37F48">
      <w:pPr>
        <w:ind w:left="720"/>
        <w:rPr>
          <w:rFonts w:ascii="Times New Roman" w:eastAsiaTheme="minorHAnsi" w:hAnsi="Times New Roman"/>
          <w:sz w:val="24"/>
          <w:szCs w:val="24"/>
        </w:rPr>
      </w:pPr>
      <w:r>
        <w:rPr>
          <w:rFonts w:ascii="Times New Roman" w:hAnsi="Times New Roman"/>
          <w:sz w:val="24"/>
          <w:szCs w:val="24"/>
        </w:rPr>
        <w:lastRenderedPageBreak/>
        <w:t>“All of Mr. Angle's symptoms, and the requested diagnoses, were caused by nonphysical means and did not result in any physical injury or disease. Pursuant to West Virginia Code § 23-4-1F, the claim was properly denied.</w:t>
      </w:r>
    </w:p>
    <w:p w14:paraId="5106844A" w14:textId="77777777" w:rsidR="00F37F48" w:rsidRDefault="00F37F48" w:rsidP="00F37F48">
      <w:pPr>
        <w:ind w:left="720"/>
        <w:rPr>
          <w:rFonts w:ascii="Times New Roman" w:hAnsi="Times New Roman"/>
          <w:sz w:val="24"/>
          <w:szCs w:val="24"/>
        </w:rPr>
      </w:pPr>
      <w:r>
        <w:rPr>
          <w:rFonts w:ascii="Times New Roman" w:hAnsi="Times New Roman"/>
          <w:sz w:val="24"/>
          <w:szCs w:val="24"/>
        </w:rPr>
        <w:t>***</w:t>
      </w:r>
    </w:p>
    <w:p w14:paraId="020DDA89" w14:textId="77777777" w:rsidR="00F37F48" w:rsidRDefault="00F37F48" w:rsidP="00F37F48">
      <w:pPr>
        <w:spacing w:before="100" w:beforeAutospacing="1" w:after="100" w:afterAutospacing="1" w:line="24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West Virginia Code § 23-4-1F provides that: </w:t>
      </w:r>
    </w:p>
    <w:p w14:paraId="68857077" w14:textId="77777777" w:rsidR="00F37F48" w:rsidRDefault="00F37F48" w:rsidP="00F37F48">
      <w:pPr>
        <w:spacing w:after="100" w:line="240" w:lineRule="auto"/>
        <w:ind w:left="1440"/>
        <w:rPr>
          <w:rFonts w:ascii="Times New Roman" w:eastAsia="Times New Roman" w:hAnsi="Times New Roman"/>
          <w:sz w:val="24"/>
          <w:szCs w:val="24"/>
        </w:rPr>
      </w:pPr>
      <w:r>
        <w:rPr>
          <w:rFonts w:ascii="Times New Roman" w:eastAsia="Times New Roman" w:hAnsi="Times New Roman"/>
          <w:sz w:val="24"/>
          <w:szCs w:val="24"/>
        </w:rPr>
        <w:t xml:space="preserve">no alleged injury or disease shall be recognized as a compensable injury or disease which was solely caused by nonphysical </w:t>
      </w:r>
      <w:proofErr w:type="gramStart"/>
      <w:r>
        <w:rPr>
          <w:rFonts w:ascii="Times New Roman" w:eastAsia="Times New Roman" w:hAnsi="Times New Roman"/>
          <w:sz w:val="24"/>
          <w:szCs w:val="24"/>
        </w:rPr>
        <w:t>means</w:t>
      </w:r>
      <w:proofErr w:type="gramEnd"/>
      <w:r>
        <w:rPr>
          <w:rFonts w:ascii="Times New Roman" w:eastAsia="Times New Roman" w:hAnsi="Times New Roman"/>
          <w:sz w:val="24"/>
          <w:szCs w:val="24"/>
        </w:rPr>
        <w:t xml:space="preserve"> and which did not result in any physical injury or disease to the person claiming benefits. It is the purpose of this section to clarify that so-called mental-mental claims are not compensable under this chapter.” </w:t>
      </w:r>
      <w:bookmarkStart w:id="578" w:name="_Hlk66950115"/>
      <w:r w:rsidR="00F00958">
        <w:fldChar w:fldCharType="begin"/>
      </w:r>
      <w:r w:rsidR="00F00958">
        <w:instrText xml:space="preserve"> HYPERLINK "https://law.justia.com/cases/west-virginia/supreme-court/2020/19-0970.html" </w:instrText>
      </w:r>
      <w:r w:rsidR="00F00958">
        <w:fldChar w:fldCharType="separate"/>
      </w:r>
      <w:r>
        <w:rPr>
          <w:rStyle w:val="Hyperlink"/>
        </w:rPr>
        <w:t>https://law.justia.com/cases/west-virginia/supreme-court/2020/19-0970.html</w:t>
      </w:r>
      <w:r w:rsidR="00F00958">
        <w:rPr>
          <w:rStyle w:val="Hyperlink"/>
        </w:rPr>
        <w:fldChar w:fldCharType="end"/>
      </w:r>
      <w:r>
        <w:rPr>
          <w:rFonts w:ascii="Times New Roman" w:eastAsia="Times New Roman" w:hAnsi="Times New Roman"/>
          <w:sz w:val="24"/>
          <w:szCs w:val="24"/>
        </w:rPr>
        <w:t xml:space="preserve"> </w:t>
      </w:r>
    </w:p>
    <w:p w14:paraId="73D221EE" w14:textId="77777777" w:rsidR="00F37F48" w:rsidRDefault="00F37F48" w:rsidP="00F37F48">
      <w:pPr>
        <w:pStyle w:val="NormalWeb"/>
        <w:rPr>
          <w:b/>
          <w:bCs/>
        </w:rPr>
      </w:pPr>
      <w:r>
        <w:rPr>
          <w:b/>
          <w:bCs/>
        </w:rPr>
        <w:t>Legal Lesson Learned: Some states have now enacted statutes allowing PTSD coverage without physical injury.</w:t>
      </w:r>
    </w:p>
    <w:p w14:paraId="5F6C98D3" w14:textId="77777777" w:rsidR="00F37F48" w:rsidRPr="00500548" w:rsidRDefault="00F37F48" w:rsidP="00F37F48">
      <w:pPr>
        <w:pStyle w:val="Heading1"/>
        <w:ind w:left="720"/>
        <w:rPr>
          <w:b w:val="0"/>
          <w:bCs w:val="0"/>
          <w:sz w:val="24"/>
          <w:szCs w:val="24"/>
        </w:rPr>
      </w:pPr>
      <w:bookmarkStart w:id="579" w:name="_Hlk66950170"/>
      <w:r>
        <w:rPr>
          <w:b w:val="0"/>
          <w:bCs w:val="0"/>
          <w:sz w:val="24"/>
          <w:szCs w:val="24"/>
        </w:rPr>
        <w:t>Note:</w:t>
      </w:r>
      <w:r>
        <w:t xml:space="preserve">  </w:t>
      </w:r>
      <w:r>
        <w:rPr>
          <w:b w:val="0"/>
          <w:bCs w:val="0"/>
          <w:sz w:val="24"/>
          <w:szCs w:val="24"/>
        </w:rPr>
        <w:t xml:space="preserve">Feb. 13, 2020: “Ohio House passes bill expanding first </w:t>
      </w:r>
      <w:proofErr w:type="gramStart"/>
      <w:r>
        <w:rPr>
          <w:b w:val="0"/>
          <w:bCs w:val="0"/>
          <w:sz w:val="24"/>
          <w:szCs w:val="24"/>
        </w:rPr>
        <w:t>responders</w:t>
      </w:r>
      <w:proofErr w:type="gramEnd"/>
      <w:r>
        <w:rPr>
          <w:b w:val="0"/>
          <w:bCs w:val="0"/>
          <w:sz w:val="24"/>
          <w:szCs w:val="24"/>
        </w:rPr>
        <w:t xml:space="preserve"> workers' compensation for PTSD. The legislation would allow first responders to seek workers' compensation even if they don't have a physical condition that led to PTSD.” </w:t>
      </w:r>
      <w:hyperlink r:id="rId2535" w:history="1">
        <w:r w:rsidRPr="00500548">
          <w:rPr>
            <w:rStyle w:val="Hyperlink"/>
            <w:b w:val="0"/>
            <w:bCs w:val="0"/>
            <w:sz w:val="24"/>
            <w:szCs w:val="24"/>
          </w:rPr>
          <w:t>https://www.firerescue1.com/ptsd/articles/ohio-house-passes-bill-expanding-first-responders-workers-compensation-for-ptsd-QXXQPU6H47rb9Z8o/</w:t>
        </w:r>
      </w:hyperlink>
      <w:r w:rsidRPr="00500548">
        <w:rPr>
          <w:b w:val="0"/>
          <w:bCs w:val="0"/>
          <w:sz w:val="24"/>
          <w:szCs w:val="24"/>
        </w:rPr>
        <w:t xml:space="preserve"> </w:t>
      </w:r>
    </w:p>
    <w:p w14:paraId="316EDA2C" w14:textId="642FD01C" w:rsidR="00F37F48" w:rsidRPr="00F37F48" w:rsidRDefault="00F37F48" w:rsidP="00F37F48">
      <w:pPr>
        <w:pStyle w:val="NoSpacing"/>
        <w:ind w:left="720"/>
        <w:rPr>
          <w:rFonts w:ascii="Times New Roman" w:hAnsi="Times New Roman"/>
          <w:sz w:val="24"/>
          <w:szCs w:val="24"/>
        </w:rPr>
      </w:pPr>
      <w:r w:rsidRPr="00F37F48">
        <w:rPr>
          <w:rFonts w:ascii="Times New Roman" w:hAnsi="Times New Roman"/>
          <w:sz w:val="24"/>
          <w:szCs w:val="24"/>
        </w:rPr>
        <w:t xml:space="preserve">See also: “Nine states (California, Connecticut, Idaho, Louisiana, Nevada, New Hampshire, New Mexico, Oregon, and Texas) have passed legislation addressing benefits for first responders with PTSD in 2019. In 2018, 2 states (Florida and Washington) passed legislation expanding benefits for first responders with </w:t>
      </w:r>
      <w:proofErr w:type="gramStart"/>
      <w:r w:rsidRPr="00F37F48">
        <w:rPr>
          <w:rFonts w:ascii="Times New Roman" w:hAnsi="Times New Roman"/>
          <w:sz w:val="24"/>
          <w:szCs w:val="24"/>
        </w:rPr>
        <w:t>PTSD.”</w:t>
      </w:r>
      <w:proofErr w:type="gramEnd"/>
      <w:r w:rsidRPr="00F37F48">
        <w:rPr>
          <w:rFonts w:ascii="Times New Roman" w:hAnsi="Times New Roman"/>
          <w:sz w:val="24"/>
          <w:szCs w:val="24"/>
        </w:rPr>
        <w:t xml:space="preserve"> </w:t>
      </w:r>
      <w:hyperlink r:id="rId2536" w:history="1">
        <w:r w:rsidRPr="00F37F48">
          <w:rPr>
            <w:rStyle w:val="Hyperlink"/>
            <w:rFonts w:ascii="Times New Roman" w:hAnsi="Times New Roman"/>
            <w:sz w:val="24"/>
            <w:szCs w:val="24"/>
          </w:rPr>
          <w:t>https://www.gerberholderlaw.com/workers-comp-ptsd-by-state/</w:t>
        </w:r>
      </w:hyperlink>
    </w:p>
    <w:bookmarkEnd w:id="578"/>
    <w:bookmarkEnd w:id="579"/>
    <w:p w14:paraId="2ABA6CC2" w14:textId="77777777" w:rsidR="00F37F48" w:rsidRDefault="00F37F48" w:rsidP="000C4DF5">
      <w:pPr>
        <w:pStyle w:val="NoSpacing"/>
        <w:rPr>
          <w:rFonts w:ascii="Arial Black" w:hAnsi="Arial Black"/>
          <w:sz w:val="24"/>
          <w:szCs w:val="24"/>
        </w:rPr>
      </w:pPr>
    </w:p>
    <w:p w14:paraId="7F791A4D" w14:textId="2EBD2ED5" w:rsidR="00663A6A" w:rsidRDefault="00663A6A" w:rsidP="000C4DF5">
      <w:pPr>
        <w:pStyle w:val="NoSpacing"/>
        <w:rPr>
          <w:rFonts w:ascii="Arial Black" w:hAnsi="Arial Black"/>
          <w:sz w:val="24"/>
          <w:szCs w:val="24"/>
        </w:rPr>
      </w:pPr>
      <w:r>
        <w:rPr>
          <w:rFonts w:ascii="Arial Black" w:hAnsi="Arial Black"/>
          <w:sz w:val="24"/>
          <w:szCs w:val="24"/>
        </w:rPr>
        <w:t>15-10</w:t>
      </w:r>
    </w:p>
    <w:p w14:paraId="4F1BA4A6" w14:textId="72885F60" w:rsidR="00663A6A" w:rsidRDefault="00663A6A" w:rsidP="000C4DF5">
      <w:pPr>
        <w:pStyle w:val="NoSpacing"/>
        <w:rPr>
          <w:rFonts w:ascii="Arial Black" w:hAnsi="Arial Black"/>
          <w:sz w:val="24"/>
          <w:szCs w:val="24"/>
        </w:rPr>
      </w:pPr>
    </w:p>
    <w:p w14:paraId="7E695BC6" w14:textId="77777777" w:rsidR="00663A6A" w:rsidRDefault="00663A6A" w:rsidP="00663A6A">
      <w:pPr>
        <w:pStyle w:val="NoSpacing"/>
        <w:rPr>
          <w:rFonts w:ascii="Arial Black" w:hAnsi="Arial Black"/>
          <w:sz w:val="28"/>
          <w:szCs w:val="28"/>
        </w:rPr>
      </w:pPr>
      <w:r>
        <w:rPr>
          <w:rFonts w:ascii="Arial Black" w:hAnsi="Arial Black"/>
          <w:sz w:val="28"/>
          <w:szCs w:val="28"/>
        </w:rPr>
        <w:t xml:space="preserve">TX: PARAMEDIC WITH PTSD – DENIED “ON-DUTY” DISABILITY PENSION – 75% Of SALARY - CONFLICING PSYCHOLOGISTS </w:t>
      </w:r>
    </w:p>
    <w:p w14:paraId="2AF2B909" w14:textId="77777777" w:rsidR="00663A6A" w:rsidRDefault="00663A6A" w:rsidP="00663A6A">
      <w:pPr>
        <w:pStyle w:val="NoSpacing"/>
        <w:rPr>
          <w:rFonts w:ascii="Arial Black" w:hAnsi="Arial Black"/>
          <w:sz w:val="28"/>
          <w:szCs w:val="28"/>
        </w:rPr>
      </w:pPr>
    </w:p>
    <w:p w14:paraId="3CB15CB8" w14:textId="77777777" w:rsidR="00663A6A" w:rsidRDefault="00663A6A" w:rsidP="00663A6A">
      <w:pPr>
        <w:pStyle w:val="NoSpacing"/>
        <w:rPr>
          <w:rFonts w:ascii="Times New Roman" w:hAnsi="Times New Roman"/>
          <w:sz w:val="24"/>
          <w:szCs w:val="24"/>
        </w:rPr>
      </w:pPr>
      <w:r>
        <w:rPr>
          <w:rFonts w:ascii="Times New Roman" w:hAnsi="Times New Roman"/>
          <w:sz w:val="24"/>
          <w:szCs w:val="24"/>
        </w:rPr>
        <w:t xml:space="preserve">On Nov. 17, 2020, in </w:t>
      </w:r>
      <w:r w:rsidRPr="008B5E95">
        <w:rPr>
          <w:rFonts w:ascii="Times New Roman" w:hAnsi="Times New Roman"/>
          <w:sz w:val="24"/>
          <w:szCs w:val="24"/>
          <w:u w:val="single"/>
        </w:rPr>
        <w:t xml:space="preserve">Gregory Green v. Houston Firefighters’ Relief </w:t>
      </w:r>
      <w:proofErr w:type="gramStart"/>
      <w:r w:rsidRPr="008B5E95">
        <w:rPr>
          <w:rFonts w:ascii="Times New Roman" w:hAnsi="Times New Roman"/>
          <w:sz w:val="24"/>
          <w:szCs w:val="24"/>
          <w:u w:val="single"/>
        </w:rPr>
        <w:t>And</w:t>
      </w:r>
      <w:proofErr w:type="gramEnd"/>
      <w:r w:rsidRPr="008B5E95">
        <w:rPr>
          <w:rFonts w:ascii="Times New Roman" w:hAnsi="Times New Roman"/>
          <w:sz w:val="24"/>
          <w:szCs w:val="24"/>
          <w:u w:val="single"/>
        </w:rPr>
        <w:t xml:space="preserve"> Retirement Fund</w:t>
      </w:r>
      <w:r>
        <w:rPr>
          <w:rFonts w:ascii="Times New Roman" w:hAnsi="Times New Roman"/>
          <w:sz w:val="24"/>
          <w:szCs w:val="24"/>
        </w:rPr>
        <w:t xml:space="preserve">, the State of Texas in the Fourteenth Court of Appeals, held (3 to 0) that trial court correctly upheld the Board to deny on-duty disability pension for paramedic with 17-years of experience,  given conflicting opinions of two mental health professionals.  Plaintiff may be eligible for a non-duty disability pension; on-duty disability pensions are 75% of average salary if not capable of any gainful future employment; or 50% if can’t perform firefighter duties. </w:t>
      </w:r>
    </w:p>
    <w:p w14:paraId="7B3EDF7F" w14:textId="77777777" w:rsidR="00663A6A" w:rsidRDefault="00663A6A" w:rsidP="00663A6A">
      <w:pPr>
        <w:pStyle w:val="NoSpacing"/>
        <w:rPr>
          <w:rFonts w:ascii="Times New Roman" w:hAnsi="Times New Roman"/>
          <w:sz w:val="24"/>
          <w:szCs w:val="24"/>
        </w:rPr>
      </w:pPr>
    </w:p>
    <w:p w14:paraId="74BFD55E" w14:textId="564A8A7B" w:rsidR="00663A6A" w:rsidRDefault="00663A6A" w:rsidP="00663A6A">
      <w:pPr>
        <w:pStyle w:val="NoSpacing"/>
        <w:rPr>
          <w:rStyle w:val="Hyperlink"/>
          <w:rFonts w:ascii="Times New Roman" w:hAnsi="Times New Roman"/>
          <w:sz w:val="24"/>
          <w:szCs w:val="24"/>
        </w:rPr>
      </w:pPr>
      <w:r>
        <w:rPr>
          <w:rFonts w:ascii="Times New Roman" w:hAnsi="Times New Roman"/>
          <w:sz w:val="24"/>
          <w:szCs w:val="24"/>
        </w:rPr>
        <w:t>“</w:t>
      </w:r>
      <w:r w:rsidRPr="008B5E95">
        <w:rPr>
          <w:rFonts w:ascii="Times New Roman" w:hAnsi="Times New Roman"/>
          <w:sz w:val="24"/>
          <w:szCs w:val="24"/>
        </w:rPr>
        <w:t xml:space="preserve">The evidence before the Board and subsequently before the trial court was in direct conflict. </w:t>
      </w:r>
      <w:r>
        <w:rPr>
          <w:rFonts w:ascii="Times New Roman" w:hAnsi="Times New Roman"/>
          <w:sz w:val="24"/>
          <w:szCs w:val="24"/>
        </w:rPr>
        <w:t xml:space="preserve">[Dr. Ashley] </w:t>
      </w:r>
      <w:r w:rsidRPr="008B5E95">
        <w:rPr>
          <w:rFonts w:ascii="Times New Roman" w:hAnsi="Times New Roman"/>
          <w:sz w:val="24"/>
          <w:szCs w:val="24"/>
        </w:rPr>
        <w:t xml:space="preserve">Woolbert opined that Green experienced disability to the degree that he could not perform any full-time work. </w:t>
      </w:r>
      <w:r>
        <w:rPr>
          <w:rFonts w:ascii="Times New Roman" w:hAnsi="Times New Roman"/>
          <w:sz w:val="24"/>
          <w:szCs w:val="24"/>
        </w:rPr>
        <w:t xml:space="preserve">[Dr. Edwin] </w:t>
      </w:r>
      <w:r w:rsidRPr="008B5E95">
        <w:rPr>
          <w:rFonts w:ascii="Times New Roman" w:hAnsi="Times New Roman"/>
          <w:sz w:val="24"/>
          <w:szCs w:val="24"/>
        </w:rPr>
        <w:t>Johnstone, on the other hand, opined that Green</w:t>
      </w:r>
      <w:r>
        <w:rPr>
          <w:rFonts w:ascii="Times New Roman" w:hAnsi="Times New Roman"/>
          <w:sz w:val="24"/>
          <w:szCs w:val="24"/>
        </w:rPr>
        <w:t>’</w:t>
      </w:r>
      <w:r w:rsidRPr="008B5E95">
        <w:rPr>
          <w:rFonts w:ascii="Times New Roman" w:hAnsi="Times New Roman"/>
          <w:sz w:val="24"/>
          <w:szCs w:val="24"/>
        </w:rPr>
        <w:t>s only limitation in performing full-time work was the physical limitation of his shoulder. In a substantial evidence review the agency</w:t>
      </w:r>
      <w:r>
        <w:rPr>
          <w:rFonts w:ascii="Times New Roman" w:hAnsi="Times New Roman"/>
          <w:sz w:val="24"/>
          <w:szCs w:val="24"/>
        </w:rPr>
        <w:t>’</w:t>
      </w:r>
      <w:r w:rsidRPr="008B5E95">
        <w:rPr>
          <w:rFonts w:ascii="Times New Roman" w:hAnsi="Times New Roman"/>
          <w:sz w:val="24"/>
          <w:szCs w:val="24"/>
        </w:rPr>
        <w:t xml:space="preserve">s action will be sustained if the evidence is such that reasonable minds could have reached the conclusion that the agency must have reached to justify its actions. </w:t>
      </w:r>
      <w:r w:rsidRPr="008B5E95">
        <w:rPr>
          <w:rFonts w:ascii="Times New Roman" w:hAnsi="Times New Roman"/>
          <w:i/>
          <w:iCs/>
          <w:sz w:val="24"/>
          <w:szCs w:val="24"/>
        </w:rPr>
        <w:t xml:space="preserve">Texas Health Facilities </w:t>
      </w:r>
      <w:proofErr w:type="spellStart"/>
      <w:r w:rsidRPr="008B5E95">
        <w:rPr>
          <w:rFonts w:ascii="Times New Roman" w:hAnsi="Times New Roman"/>
          <w:i/>
          <w:iCs/>
          <w:sz w:val="24"/>
          <w:szCs w:val="24"/>
        </w:rPr>
        <w:t>Com</w:t>
      </w:r>
      <w:r>
        <w:rPr>
          <w:rFonts w:ascii="Times New Roman" w:hAnsi="Times New Roman"/>
          <w:i/>
          <w:iCs/>
          <w:sz w:val="24"/>
          <w:szCs w:val="24"/>
        </w:rPr>
        <w:t>’</w:t>
      </w:r>
      <w:r w:rsidRPr="008B5E95">
        <w:rPr>
          <w:rFonts w:ascii="Times New Roman" w:hAnsi="Times New Roman"/>
          <w:i/>
          <w:iCs/>
          <w:sz w:val="24"/>
          <w:szCs w:val="24"/>
        </w:rPr>
        <w:t>n</w:t>
      </w:r>
      <w:proofErr w:type="spellEnd"/>
      <w:r w:rsidRPr="008B5E95">
        <w:rPr>
          <w:rFonts w:ascii="Times New Roman" w:hAnsi="Times New Roman"/>
          <w:sz w:val="24"/>
          <w:szCs w:val="24"/>
        </w:rPr>
        <w:t>, 665 S.W.2d at 453. Because the evidence was conflicting, the Board could have determined after reviewing Johnstone</w:t>
      </w:r>
      <w:r>
        <w:rPr>
          <w:rFonts w:ascii="Times New Roman" w:hAnsi="Times New Roman"/>
          <w:sz w:val="24"/>
          <w:szCs w:val="24"/>
        </w:rPr>
        <w:t>’</w:t>
      </w:r>
      <w:r w:rsidRPr="008B5E95">
        <w:rPr>
          <w:rFonts w:ascii="Times New Roman" w:hAnsi="Times New Roman"/>
          <w:sz w:val="24"/>
          <w:szCs w:val="24"/>
        </w:rPr>
        <w:t xml:space="preserve">s reports that Green did not qualify under the Act for on-duty disability. </w:t>
      </w:r>
      <w:r w:rsidRPr="008B5E95">
        <w:rPr>
          <w:rFonts w:ascii="Times New Roman" w:hAnsi="Times New Roman"/>
          <w:i/>
          <w:iCs/>
          <w:sz w:val="24"/>
          <w:szCs w:val="24"/>
        </w:rPr>
        <w:t>See id</w:t>
      </w:r>
      <w:r w:rsidRPr="008B5E95">
        <w:rPr>
          <w:rFonts w:ascii="Times New Roman" w:hAnsi="Times New Roman"/>
          <w:sz w:val="24"/>
          <w:szCs w:val="24"/>
        </w:rPr>
        <w:t>. (If there is evidence to support either affirmative or negative findings on a specific matter, the decision of the agency must be upheld).</w:t>
      </w:r>
      <w:r>
        <w:rPr>
          <w:rFonts w:ascii="Times New Roman" w:hAnsi="Times New Roman"/>
          <w:sz w:val="24"/>
          <w:szCs w:val="24"/>
        </w:rPr>
        <w:t>”</w:t>
      </w:r>
      <w:r w:rsidRPr="008B5E95">
        <w:t xml:space="preserve"> </w:t>
      </w:r>
      <w:hyperlink r:id="rId2537" w:history="1">
        <w:r w:rsidRPr="00804FA5">
          <w:rPr>
            <w:rStyle w:val="Hyperlink"/>
            <w:rFonts w:ascii="Times New Roman" w:hAnsi="Times New Roman"/>
            <w:sz w:val="24"/>
            <w:szCs w:val="24"/>
          </w:rPr>
          <w:t>https://public.fastcase.com/Wl%2B2t%2BeVuI35%2FN70vAMFZlfrbL2Iv9t8X190JkA%2BKSgGR212V5tgaR0%2FcTyilOxc</w:t>
        </w:r>
      </w:hyperlink>
    </w:p>
    <w:p w14:paraId="04AF6728" w14:textId="58150E2C" w:rsidR="00663A6A" w:rsidRDefault="00663A6A" w:rsidP="00663A6A">
      <w:pPr>
        <w:pStyle w:val="NoSpacing"/>
        <w:rPr>
          <w:rStyle w:val="Hyperlink"/>
          <w:rFonts w:ascii="Times New Roman" w:hAnsi="Times New Roman"/>
          <w:sz w:val="24"/>
          <w:szCs w:val="24"/>
        </w:rPr>
      </w:pPr>
    </w:p>
    <w:p w14:paraId="78DAE717" w14:textId="77777777" w:rsidR="00663A6A" w:rsidRPr="00D22C73" w:rsidRDefault="00663A6A" w:rsidP="00663A6A">
      <w:pPr>
        <w:pStyle w:val="NormalWeb"/>
        <w:rPr>
          <w:b/>
          <w:bCs/>
        </w:rPr>
      </w:pPr>
      <w:r w:rsidRPr="00D22C73">
        <w:rPr>
          <w:b/>
          <w:bCs/>
        </w:rPr>
        <w:t>Legal Lesson Learned:</w:t>
      </w:r>
      <w:r>
        <w:rPr>
          <w:b/>
          <w:bCs/>
        </w:rPr>
        <w:t xml:space="preserve"> Given the conflicting experts’ reports, Courts will uphold decisions of Boards. </w:t>
      </w:r>
    </w:p>
    <w:p w14:paraId="3ACD8101" w14:textId="77777777" w:rsidR="00663A6A" w:rsidRDefault="00663A6A" w:rsidP="00663A6A">
      <w:pPr>
        <w:pStyle w:val="NoSpacing"/>
        <w:rPr>
          <w:rFonts w:ascii="Arial Black" w:hAnsi="Arial Black"/>
          <w:sz w:val="24"/>
          <w:szCs w:val="24"/>
        </w:rPr>
      </w:pPr>
    </w:p>
    <w:p w14:paraId="7A4E4CD9" w14:textId="77777777" w:rsidR="00663A6A" w:rsidRDefault="00663A6A" w:rsidP="000C4DF5">
      <w:pPr>
        <w:pStyle w:val="NoSpacing"/>
        <w:rPr>
          <w:rFonts w:ascii="Arial Black" w:hAnsi="Arial Black"/>
          <w:sz w:val="24"/>
          <w:szCs w:val="24"/>
        </w:rPr>
      </w:pPr>
    </w:p>
    <w:p w14:paraId="375271BB" w14:textId="63F2F282" w:rsidR="000F18B0" w:rsidRDefault="001C563D" w:rsidP="000C4DF5">
      <w:pPr>
        <w:pStyle w:val="NoSpacing"/>
        <w:rPr>
          <w:rFonts w:ascii="Arial Black" w:hAnsi="Arial Black"/>
          <w:sz w:val="24"/>
          <w:szCs w:val="24"/>
        </w:rPr>
      </w:pPr>
      <w:r>
        <w:rPr>
          <w:rFonts w:ascii="Arial Black" w:hAnsi="Arial Black"/>
          <w:sz w:val="24"/>
          <w:szCs w:val="24"/>
        </w:rPr>
        <w:t>15-</w:t>
      </w:r>
      <w:r w:rsidR="001A653A">
        <w:rPr>
          <w:rFonts w:ascii="Arial Black" w:hAnsi="Arial Black"/>
          <w:sz w:val="24"/>
          <w:szCs w:val="24"/>
        </w:rPr>
        <w:t>9</w:t>
      </w:r>
    </w:p>
    <w:p w14:paraId="23FC37D0" w14:textId="1DF5E8CD" w:rsidR="001C563D" w:rsidRDefault="001C563D" w:rsidP="000C4DF5">
      <w:pPr>
        <w:pStyle w:val="NoSpacing"/>
        <w:rPr>
          <w:rFonts w:ascii="Arial Black" w:hAnsi="Arial Black"/>
          <w:sz w:val="24"/>
          <w:szCs w:val="24"/>
        </w:rPr>
      </w:pPr>
    </w:p>
    <w:p w14:paraId="50D0D24B" w14:textId="77777777" w:rsidR="001C563D" w:rsidRPr="00BF19C3" w:rsidRDefault="001C563D" w:rsidP="001C563D">
      <w:pPr>
        <w:pStyle w:val="NoSpacing"/>
        <w:rPr>
          <w:rFonts w:ascii="Arial Black" w:hAnsi="Arial Black"/>
          <w:sz w:val="28"/>
          <w:szCs w:val="28"/>
        </w:rPr>
      </w:pPr>
      <w:r w:rsidRPr="00BF19C3">
        <w:rPr>
          <w:rFonts w:ascii="Arial Black" w:hAnsi="Arial Black"/>
          <w:sz w:val="28"/>
          <w:szCs w:val="28"/>
        </w:rPr>
        <w:t xml:space="preserve">SC: </w:t>
      </w:r>
      <w:r>
        <w:rPr>
          <w:rFonts w:ascii="Arial Black" w:hAnsi="Arial Black"/>
          <w:sz w:val="28"/>
          <w:szCs w:val="28"/>
        </w:rPr>
        <w:t>PARAMEDIC ON BAD MVA RUN – PTSD / PANIC ATTACKS – TOLD HOSP. CAN NO LONGER DO JOB, TERMINATED</w:t>
      </w:r>
    </w:p>
    <w:p w14:paraId="264B2C36" w14:textId="77777777" w:rsidR="006E50D9" w:rsidRDefault="006E50D9" w:rsidP="001C563D">
      <w:pPr>
        <w:pStyle w:val="NoSpacing"/>
        <w:rPr>
          <w:rFonts w:ascii="Times New Roman" w:hAnsi="Times New Roman"/>
          <w:sz w:val="24"/>
          <w:szCs w:val="24"/>
        </w:rPr>
      </w:pPr>
    </w:p>
    <w:p w14:paraId="7DF0C9D3" w14:textId="36F313CB" w:rsidR="001C563D" w:rsidRDefault="001C563D" w:rsidP="001C563D">
      <w:pPr>
        <w:pStyle w:val="NoSpacing"/>
        <w:rPr>
          <w:rStyle w:val="Hyperlink"/>
          <w:rFonts w:ascii="Times New Roman" w:hAnsi="Times New Roman"/>
          <w:sz w:val="24"/>
          <w:szCs w:val="24"/>
        </w:rPr>
      </w:pPr>
      <w:r w:rsidRPr="00633872">
        <w:rPr>
          <w:rFonts w:ascii="Times New Roman" w:hAnsi="Times New Roman"/>
          <w:sz w:val="24"/>
          <w:szCs w:val="24"/>
        </w:rPr>
        <w:t xml:space="preserve">On </w:t>
      </w:r>
      <w:r>
        <w:rPr>
          <w:rFonts w:ascii="Times New Roman" w:hAnsi="Times New Roman"/>
          <w:sz w:val="24"/>
          <w:szCs w:val="24"/>
        </w:rPr>
        <w:t xml:space="preserve">June 25, 2020, in </w:t>
      </w:r>
      <w:r w:rsidRPr="00633872">
        <w:rPr>
          <w:rFonts w:ascii="Times New Roman" w:hAnsi="Times New Roman"/>
          <w:sz w:val="24"/>
          <w:szCs w:val="24"/>
          <w:u w:val="single"/>
        </w:rPr>
        <w:t>Stephen E. Sanders v. McLeod Health</w:t>
      </w:r>
      <w:r>
        <w:rPr>
          <w:rFonts w:ascii="Times New Roman" w:hAnsi="Times New Roman"/>
          <w:sz w:val="24"/>
          <w:szCs w:val="24"/>
          <w:u w:val="single"/>
        </w:rPr>
        <w:t xml:space="preserve"> </w:t>
      </w:r>
      <w:proofErr w:type="spellStart"/>
      <w:r w:rsidRPr="00633872">
        <w:rPr>
          <w:rFonts w:ascii="Times New Roman" w:hAnsi="Times New Roman"/>
          <w:sz w:val="24"/>
          <w:szCs w:val="24"/>
          <w:u w:val="single"/>
        </w:rPr>
        <w:t>Claredon</w:t>
      </w:r>
      <w:proofErr w:type="spellEnd"/>
      <w:r>
        <w:rPr>
          <w:rFonts w:ascii="Times New Roman" w:hAnsi="Times New Roman"/>
          <w:sz w:val="24"/>
          <w:szCs w:val="24"/>
        </w:rPr>
        <w:t>, U.S. District Court Judge David C. Norton, U.S. District Court of South Carolina, Charleston Division, granted the hospital’s motion for summary judgment; on A</w:t>
      </w:r>
      <w:r w:rsidRPr="001B71D1">
        <w:rPr>
          <w:rFonts w:ascii="Times New Roman" w:eastAsia="Times New Roman" w:hAnsi="Times New Roman"/>
          <w:sz w:val="24"/>
          <w:szCs w:val="24"/>
        </w:rPr>
        <w:t xml:space="preserve">ugust 10, 2017, </w:t>
      </w:r>
      <w:r>
        <w:rPr>
          <w:rFonts w:ascii="Times New Roman" w:eastAsia="Times New Roman" w:hAnsi="Times New Roman"/>
          <w:sz w:val="24"/>
          <w:szCs w:val="24"/>
        </w:rPr>
        <w:t xml:space="preserve">he responded MVA involving </w:t>
      </w:r>
      <w:r w:rsidRPr="001B71D1">
        <w:rPr>
          <w:rFonts w:ascii="Times New Roman" w:eastAsia="Times New Roman" w:hAnsi="Times New Roman"/>
          <w:sz w:val="24"/>
          <w:szCs w:val="24"/>
        </w:rPr>
        <w:t>logging truck and an SUV</w:t>
      </w:r>
      <w:r>
        <w:rPr>
          <w:rFonts w:ascii="Times New Roman" w:eastAsia="Times New Roman" w:hAnsi="Times New Roman"/>
          <w:sz w:val="24"/>
          <w:szCs w:val="24"/>
        </w:rPr>
        <w:t xml:space="preserve">, where SUV driver was trapped by logs and died. </w:t>
      </w:r>
      <w:r>
        <w:rPr>
          <w:rFonts w:ascii="Times New Roman" w:hAnsi="Times New Roman"/>
          <w:sz w:val="24"/>
          <w:szCs w:val="24"/>
        </w:rPr>
        <w:t>Court wrote: “</w:t>
      </w:r>
      <w:r>
        <w:rPr>
          <w:rFonts w:ascii="Times New Roman" w:eastAsia="Times New Roman" w:hAnsi="Times New Roman"/>
          <w:sz w:val="24"/>
          <w:szCs w:val="24"/>
        </w:rPr>
        <w:t xml:space="preserve">[T]here </w:t>
      </w:r>
      <w:r w:rsidRPr="00BF19C3">
        <w:rPr>
          <w:rFonts w:ascii="Times New Roman" w:eastAsia="Times New Roman" w:hAnsi="Times New Roman"/>
          <w:sz w:val="24"/>
          <w:szCs w:val="24"/>
        </w:rPr>
        <w:t xml:space="preserve">is evidence in the record that Sanders could not perform the essential functions of his job at the time of his August 18, </w:t>
      </w:r>
      <w:proofErr w:type="gramStart"/>
      <w:r w:rsidRPr="00BF19C3">
        <w:rPr>
          <w:rFonts w:ascii="Times New Roman" w:eastAsia="Times New Roman" w:hAnsi="Times New Roman"/>
          <w:sz w:val="24"/>
          <w:szCs w:val="24"/>
        </w:rPr>
        <w:t>2017</w:t>
      </w:r>
      <w:proofErr w:type="gramEnd"/>
      <w:r w:rsidRPr="00BF19C3">
        <w:rPr>
          <w:rFonts w:ascii="Times New Roman" w:eastAsia="Times New Roman" w:hAnsi="Times New Roman"/>
          <w:sz w:val="24"/>
          <w:szCs w:val="24"/>
        </w:rPr>
        <w:t xml:space="preserve"> discharge. Sanders testified in his deposition that shortly after the August 10th accident, he began experiencing </w:t>
      </w:r>
      <w:r>
        <w:rPr>
          <w:rFonts w:ascii="Times New Roman" w:eastAsia="Times New Roman" w:hAnsi="Times New Roman"/>
          <w:sz w:val="24"/>
          <w:szCs w:val="24"/>
        </w:rPr>
        <w:t>‘</w:t>
      </w:r>
      <w:r w:rsidRPr="00BF19C3">
        <w:rPr>
          <w:rFonts w:ascii="Times New Roman" w:eastAsia="Times New Roman" w:hAnsi="Times New Roman"/>
          <w:sz w:val="24"/>
          <w:szCs w:val="24"/>
        </w:rPr>
        <w:t>severe . . . emotional problems</w:t>
      </w:r>
      <w:r>
        <w:rPr>
          <w:rFonts w:ascii="Times New Roman" w:eastAsia="Times New Roman" w:hAnsi="Times New Roman"/>
          <w:sz w:val="24"/>
          <w:szCs w:val="24"/>
        </w:rPr>
        <w:t>’</w:t>
      </w:r>
      <w:r w:rsidRPr="00BF19C3">
        <w:rPr>
          <w:rFonts w:ascii="Times New Roman" w:eastAsia="Times New Roman" w:hAnsi="Times New Roman"/>
          <w:sz w:val="24"/>
          <w:szCs w:val="24"/>
        </w:rPr>
        <w:t>, including "anxiety, depression [and] panic attacks</w:t>
      </w:r>
      <w:r>
        <w:rPr>
          <w:rFonts w:ascii="Times New Roman" w:eastAsia="Times New Roman" w:hAnsi="Times New Roman"/>
          <w:sz w:val="24"/>
          <w:szCs w:val="24"/>
        </w:rPr>
        <w:t xml:space="preserve"> …. </w:t>
      </w:r>
      <w:r w:rsidRPr="00BF19C3">
        <w:rPr>
          <w:rFonts w:ascii="Times New Roman" w:eastAsia="Times New Roman" w:hAnsi="Times New Roman"/>
          <w:sz w:val="24"/>
          <w:szCs w:val="24"/>
        </w:rPr>
        <w:t xml:space="preserve">As a result, Sanders noted that he </w:t>
      </w:r>
      <w:r>
        <w:rPr>
          <w:rFonts w:ascii="Times New Roman" w:eastAsia="Times New Roman" w:hAnsi="Times New Roman"/>
          <w:sz w:val="24"/>
          <w:szCs w:val="24"/>
        </w:rPr>
        <w:t>‘</w:t>
      </w:r>
      <w:r w:rsidRPr="00BF19C3">
        <w:rPr>
          <w:rFonts w:ascii="Times New Roman" w:eastAsia="Times New Roman" w:hAnsi="Times New Roman"/>
          <w:sz w:val="24"/>
          <w:szCs w:val="24"/>
        </w:rPr>
        <w:t>couldn't stay around</w:t>
      </w:r>
      <w:r>
        <w:rPr>
          <w:rFonts w:ascii="Times New Roman" w:eastAsia="Times New Roman" w:hAnsi="Times New Roman"/>
          <w:sz w:val="24"/>
          <w:szCs w:val="24"/>
        </w:rPr>
        <w:t>’</w:t>
      </w:r>
      <w:r w:rsidRPr="00BF19C3">
        <w:rPr>
          <w:rFonts w:ascii="Times New Roman" w:eastAsia="Times New Roman" w:hAnsi="Times New Roman"/>
          <w:sz w:val="24"/>
          <w:szCs w:val="24"/>
        </w:rPr>
        <w:t xml:space="preserve"> his place of work</w:t>
      </w:r>
      <w:r>
        <w:rPr>
          <w:rFonts w:ascii="Times New Roman" w:eastAsia="Times New Roman" w:hAnsi="Times New Roman"/>
          <w:sz w:val="24"/>
          <w:szCs w:val="24"/>
        </w:rPr>
        <w:t>… A</w:t>
      </w:r>
      <w:r w:rsidRPr="008D16D6">
        <w:rPr>
          <w:rFonts w:ascii="Times New Roman" w:hAnsi="Times New Roman"/>
          <w:sz w:val="24"/>
          <w:szCs w:val="24"/>
        </w:rPr>
        <w:t>s the first element of a prima facie case of disability discrimination, Sanders must show that he was a qualified individual with a disability at the time of his firing. There is no dispute that Sanders suffered from PTSD, a disability under the ADA, at the time of his discharge. The court's inquiry thus focuses on whether Sanders was a "qualified individual." Under the ADA, "the term 'qualified individual' means an individual who, with or without reasonable accommodation, can perform the essential functions of the employment position that such individual holds or desires." 42 U.S.C. § 12111(8). The court agrees with the R&amp;R that summary judgment is warranted on this basis because there is no evidence in the record that Sanders could perform the essential functions of his job at the time of his firing.</w:t>
      </w:r>
      <w:r>
        <w:rPr>
          <w:rFonts w:ascii="Times New Roman" w:hAnsi="Times New Roman"/>
          <w:sz w:val="24"/>
          <w:szCs w:val="24"/>
        </w:rPr>
        <w:t xml:space="preserve"> </w:t>
      </w:r>
      <w:hyperlink r:id="rId2538" w:history="1">
        <w:r w:rsidRPr="006B0F65">
          <w:rPr>
            <w:rStyle w:val="Hyperlink"/>
            <w:rFonts w:ascii="Times New Roman" w:hAnsi="Times New Roman"/>
            <w:sz w:val="24"/>
            <w:szCs w:val="24"/>
          </w:rPr>
          <w:t>https://public.fastcase.com/Wl%2B2t%2BeVuI35%2FN70vAMFZkQk422sTW9%2BWIlpk%2BnE1B7e7DrNn16tDd9SfmLDmtL4</w:t>
        </w:r>
      </w:hyperlink>
    </w:p>
    <w:p w14:paraId="73C013E4" w14:textId="2AC80811" w:rsidR="001C563D" w:rsidRDefault="001C563D" w:rsidP="001C563D">
      <w:pPr>
        <w:pStyle w:val="NoSpacing"/>
        <w:rPr>
          <w:rStyle w:val="Hyperlink"/>
          <w:rFonts w:ascii="Times New Roman" w:hAnsi="Times New Roman"/>
          <w:sz w:val="24"/>
          <w:szCs w:val="24"/>
        </w:rPr>
      </w:pPr>
    </w:p>
    <w:p w14:paraId="73A3596F" w14:textId="77777777" w:rsidR="001C563D" w:rsidRDefault="001C563D" w:rsidP="001C563D">
      <w:pPr>
        <w:pStyle w:val="NoSpacing"/>
        <w:tabs>
          <w:tab w:val="left" w:pos="3040"/>
        </w:tabs>
        <w:rPr>
          <w:rFonts w:ascii="Times New Roman" w:hAnsi="Times New Roman"/>
          <w:b/>
          <w:bCs/>
          <w:sz w:val="24"/>
          <w:szCs w:val="24"/>
        </w:rPr>
      </w:pPr>
      <w:r w:rsidRPr="008D16D6">
        <w:rPr>
          <w:rFonts w:ascii="Times New Roman" w:hAnsi="Times New Roman"/>
          <w:b/>
          <w:bCs/>
          <w:sz w:val="24"/>
          <w:szCs w:val="24"/>
        </w:rPr>
        <w:t>Legal Lessons Learned</w:t>
      </w:r>
      <w:r>
        <w:rPr>
          <w:rFonts w:ascii="Times New Roman" w:hAnsi="Times New Roman"/>
          <w:b/>
          <w:bCs/>
          <w:sz w:val="24"/>
          <w:szCs w:val="24"/>
        </w:rPr>
        <w:t xml:space="preserve">:  If the paramedic had asked the hospital for a leave of absence or other reasonable accommodation, and the hospital refused, this lawsuit might not have been dismissed. </w:t>
      </w:r>
    </w:p>
    <w:p w14:paraId="56EA3FED" w14:textId="77777777" w:rsidR="001C563D" w:rsidRDefault="001C563D" w:rsidP="001C563D">
      <w:pPr>
        <w:pStyle w:val="NoSpacing"/>
        <w:rPr>
          <w:rFonts w:ascii="Arial Black" w:hAnsi="Arial Black"/>
          <w:sz w:val="24"/>
          <w:szCs w:val="24"/>
        </w:rPr>
      </w:pPr>
    </w:p>
    <w:p w14:paraId="4598F4E3" w14:textId="62952EA5" w:rsidR="001C563D" w:rsidRDefault="001A653A" w:rsidP="000C4DF5">
      <w:pPr>
        <w:pStyle w:val="NoSpacing"/>
        <w:rPr>
          <w:rFonts w:ascii="Arial Black" w:hAnsi="Arial Black"/>
          <w:sz w:val="24"/>
          <w:szCs w:val="24"/>
        </w:rPr>
      </w:pPr>
      <w:r>
        <w:rPr>
          <w:rFonts w:ascii="Arial Black" w:hAnsi="Arial Black"/>
          <w:sz w:val="24"/>
          <w:szCs w:val="24"/>
        </w:rPr>
        <w:t>15-8</w:t>
      </w:r>
    </w:p>
    <w:p w14:paraId="102B4DAE" w14:textId="684FC89A" w:rsidR="001A653A" w:rsidRDefault="001A653A" w:rsidP="000C4DF5">
      <w:pPr>
        <w:pStyle w:val="NoSpacing"/>
        <w:rPr>
          <w:rFonts w:ascii="Arial Black" w:hAnsi="Arial Black"/>
          <w:sz w:val="24"/>
          <w:szCs w:val="24"/>
        </w:rPr>
      </w:pPr>
    </w:p>
    <w:p w14:paraId="5402370D" w14:textId="77777777" w:rsidR="001A653A" w:rsidRPr="00B64EBC" w:rsidRDefault="001A653A" w:rsidP="001A653A">
      <w:pPr>
        <w:pStyle w:val="NoSpacing"/>
        <w:rPr>
          <w:rFonts w:ascii="Arial Black" w:hAnsi="Arial Black"/>
          <w:b/>
          <w:bCs/>
          <w:sz w:val="28"/>
          <w:szCs w:val="28"/>
        </w:rPr>
      </w:pPr>
      <w:bookmarkStart w:id="580" w:name="_Hlk66950286"/>
      <w:r w:rsidRPr="00B64EBC">
        <w:rPr>
          <w:rFonts w:ascii="Arial Black" w:hAnsi="Arial Black"/>
          <w:b/>
          <w:bCs/>
          <w:sz w:val="28"/>
          <w:szCs w:val="28"/>
        </w:rPr>
        <w:t>NJ:</w:t>
      </w:r>
      <w:r>
        <w:rPr>
          <w:rFonts w:ascii="Arial Black" w:hAnsi="Arial Black"/>
          <w:b/>
          <w:bCs/>
          <w:sz w:val="28"/>
          <w:szCs w:val="28"/>
        </w:rPr>
        <w:t xml:space="preserve">  FF FAILED PSYCHOLOGICAL EXAM FOR CAREER POSITION – FORMER MARINE – MEDICAL DISCHARGE WITH PTSD – APPEAL DENIED</w:t>
      </w:r>
    </w:p>
    <w:p w14:paraId="7406C22A" w14:textId="77777777" w:rsidR="001A653A" w:rsidRDefault="001A653A" w:rsidP="001A653A">
      <w:pPr>
        <w:pStyle w:val="NoSpacing"/>
        <w:rPr>
          <w:rFonts w:ascii="Times New Roman" w:hAnsi="Times New Roman"/>
          <w:sz w:val="24"/>
          <w:szCs w:val="24"/>
        </w:rPr>
      </w:pPr>
    </w:p>
    <w:p w14:paraId="4253BA4C" w14:textId="77777777" w:rsidR="001A653A" w:rsidRPr="00C32347" w:rsidRDefault="001A653A" w:rsidP="001A653A">
      <w:pPr>
        <w:pStyle w:val="NoSpacing"/>
        <w:rPr>
          <w:rFonts w:ascii="Times New Roman" w:eastAsia="Times New Roman" w:hAnsi="Times New Roman"/>
          <w:b/>
          <w:bCs/>
          <w:sz w:val="24"/>
          <w:szCs w:val="24"/>
        </w:rPr>
      </w:pPr>
      <w:r w:rsidRPr="00B64EBC">
        <w:rPr>
          <w:rFonts w:ascii="Times New Roman" w:hAnsi="Times New Roman"/>
          <w:sz w:val="24"/>
          <w:szCs w:val="24"/>
        </w:rPr>
        <w:t xml:space="preserve">On </w:t>
      </w:r>
      <w:r>
        <w:rPr>
          <w:rFonts w:ascii="Times New Roman" w:hAnsi="Times New Roman"/>
          <w:sz w:val="24"/>
          <w:szCs w:val="24"/>
        </w:rPr>
        <w:t xml:space="preserve">June 12, 2020, in </w:t>
      </w:r>
      <w:r w:rsidRPr="00B64EBC">
        <w:rPr>
          <w:rFonts w:ascii="Times New Roman" w:hAnsi="Times New Roman"/>
          <w:sz w:val="24"/>
          <w:szCs w:val="24"/>
          <w:u w:val="single"/>
        </w:rPr>
        <w:t>Frank Rivera v. Township of Cranford</w:t>
      </w:r>
      <w:r>
        <w:rPr>
          <w:rFonts w:ascii="Times New Roman" w:hAnsi="Times New Roman"/>
          <w:sz w:val="24"/>
          <w:szCs w:val="24"/>
        </w:rPr>
        <w:t>, the Superior Court of New Jersey, Appellate Division, held (unpublished opinion) that the jury’s decision in favor of the Township is affirmed. The Court wrote: “P</w:t>
      </w:r>
      <w:r w:rsidRPr="00C32347">
        <w:rPr>
          <w:rFonts w:ascii="Times New Roman" w:hAnsi="Times New Roman"/>
          <w:sz w:val="24"/>
          <w:szCs w:val="24"/>
        </w:rPr>
        <w:t>laintiff's</w:t>
      </w:r>
      <w:r>
        <w:rPr>
          <w:rFonts w:ascii="Times New Roman" w:hAnsi="Times New Roman"/>
          <w:sz w:val="24"/>
          <w:szCs w:val="24"/>
        </w:rPr>
        <w:t xml:space="preserve"> </w:t>
      </w:r>
      <w:r w:rsidRPr="00C32347">
        <w:rPr>
          <w:rFonts w:ascii="Times New Roman" w:hAnsi="Times New Roman"/>
          <w:sz w:val="24"/>
          <w:szCs w:val="24"/>
        </w:rPr>
        <w:t>superiors</w:t>
      </w:r>
      <w:r>
        <w:rPr>
          <w:rFonts w:ascii="Times New Roman" w:hAnsi="Times New Roman"/>
          <w:sz w:val="24"/>
          <w:szCs w:val="24"/>
        </w:rPr>
        <w:t xml:space="preserve"> </w:t>
      </w:r>
      <w:r w:rsidRPr="00C32347">
        <w:rPr>
          <w:rFonts w:ascii="Times New Roman" w:hAnsi="Times New Roman"/>
          <w:sz w:val="24"/>
          <w:szCs w:val="24"/>
        </w:rPr>
        <w:t>denied ever hearing about any issues stemming from plaintiff's military service or any medical diagnoses or treatment.</w:t>
      </w:r>
      <w:r>
        <w:rPr>
          <w:rFonts w:ascii="Times New Roman" w:hAnsi="Times New Roman"/>
          <w:sz w:val="24"/>
          <w:szCs w:val="24"/>
        </w:rPr>
        <w:t xml:space="preserve"> </w:t>
      </w:r>
      <w:r w:rsidRPr="00C32347">
        <w:rPr>
          <w:rFonts w:ascii="Times New Roman" w:hAnsi="Times New Roman"/>
          <w:sz w:val="24"/>
          <w:szCs w:val="24"/>
        </w:rPr>
        <w:t>There is no evidence to support the conclusion that the persons responsible for deciding whether to appoint plaintiff as a career firefighter–Dolan and the Township Committee–had either engaged in making or had heard the negative comments</w:t>
      </w:r>
      <w:r>
        <w:rPr>
          <w:rFonts w:ascii="Times New Roman" w:hAnsi="Times New Roman"/>
          <w:sz w:val="24"/>
          <w:szCs w:val="24"/>
        </w:rPr>
        <w:t xml:space="preserve">.”  </w:t>
      </w:r>
      <w:hyperlink r:id="rId2539" w:history="1">
        <w:r w:rsidRPr="00F9258E">
          <w:rPr>
            <w:rStyle w:val="Hyperlink"/>
            <w:rFonts w:ascii="Times New Roman" w:hAnsi="Times New Roman"/>
            <w:sz w:val="24"/>
            <w:szCs w:val="24"/>
          </w:rPr>
          <w:t>https://images.law.com/contrib/content/uploads/documents/399/44956/psych.pdf</w:t>
        </w:r>
      </w:hyperlink>
      <w:r>
        <w:rPr>
          <w:rFonts w:ascii="Times New Roman" w:hAnsi="Times New Roman"/>
          <w:sz w:val="24"/>
          <w:szCs w:val="24"/>
        </w:rPr>
        <w:t xml:space="preserve"> </w:t>
      </w:r>
    </w:p>
    <w:p w14:paraId="57CFA538" w14:textId="0BC8A4DB" w:rsidR="001A653A" w:rsidRDefault="001A653A" w:rsidP="000C4DF5">
      <w:pPr>
        <w:pStyle w:val="NoSpacing"/>
        <w:rPr>
          <w:rFonts w:ascii="Arial Black" w:hAnsi="Arial Black"/>
          <w:sz w:val="24"/>
          <w:szCs w:val="24"/>
        </w:rPr>
      </w:pPr>
    </w:p>
    <w:p w14:paraId="7AA1980D" w14:textId="77777777" w:rsidR="001A653A" w:rsidRDefault="001A653A" w:rsidP="001A653A">
      <w:pPr>
        <w:pStyle w:val="NoSpacing"/>
        <w:rPr>
          <w:rFonts w:ascii="Times New Roman" w:hAnsi="Times New Roman"/>
          <w:b/>
          <w:bCs/>
          <w:sz w:val="24"/>
          <w:szCs w:val="24"/>
        </w:rPr>
      </w:pPr>
      <w:r w:rsidRPr="00EA7DA2">
        <w:rPr>
          <w:rFonts w:ascii="Times New Roman" w:hAnsi="Times New Roman"/>
          <w:b/>
          <w:bCs/>
          <w:sz w:val="24"/>
          <w:szCs w:val="24"/>
        </w:rPr>
        <w:t xml:space="preserve">Legal Lessons Learned: </w:t>
      </w:r>
      <w:r>
        <w:rPr>
          <w:rFonts w:ascii="Times New Roman" w:hAnsi="Times New Roman"/>
          <w:b/>
          <w:bCs/>
          <w:sz w:val="24"/>
          <w:szCs w:val="24"/>
        </w:rPr>
        <w:t>PTSD is a difficult burden.  Question: Would you allow the firefighter in this case to later take another psychological exam?</w:t>
      </w:r>
    </w:p>
    <w:p w14:paraId="24531546" w14:textId="77777777" w:rsidR="001A653A" w:rsidRDefault="001A653A" w:rsidP="001A653A">
      <w:pPr>
        <w:pStyle w:val="NoSpacing"/>
        <w:rPr>
          <w:rFonts w:ascii="Times New Roman" w:hAnsi="Times New Roman"/>
          <w:b/>
          <w:bCs/>
          <w:sz w:val="24"/>
          <w:szCs w:val="24"/>
        </w:rPr>
      </w:pPr>
    </w:p>
    <w:p w14:paraId="2263DD4C" w14:textId="77777777" w:rsidR="001A653A" w:rsidRPr="00EA7DA2" w:rsidRDefault="001A653A" w:rsidP="001A653A">
      <w:pPr>
        <w:pStyle w:val="NoSpacing"/>
        <w:ind w:left="720"/>
        <w:rPr>
          <w:rFonts w:ascii="Times New Roman" w:hAnsi="Times New Roman"/>
          <w:sz w:val="24"/>
          <w:szCs w:val="24"/>
        </w:rPr>
      </w:pPr>
      <w:r w:rsidRPr="00EA7DA2">
        <w:rPr>
          <w:rFonts w:ascii="Times New Roman" w:hAnsi="Times New Roman"/>
          <w:sz w:val="24"/>
          <w:szCs w:val="24"/>
        </w:rPr>
        <w:t xml:space="preserve">Note: </w:t>
      </w:r>
      <w:r>
        <w:rPr>
          <w:rFonts w:ascii="Times New Roman" w:hAnsi="Times New Roman"/>
          <w:sz w:val="24"/>
          <w:szCs w:val="24"/>
        </w:rPr>
        <w:t xml:space="preserve">See this article: </w:t>
      </w:r>
      <w:r w:rsidRPr="00EA7DA2">
        <w:rPr>
          <w:rFonts w:ascii="Times New Roman" w:hAnsi="Times New Roman"/>
          <w:sz w:val="24"/>
          <w:szCs w:val="24"/>
          <w:u w:val="single"/>
        </w:rPr>
        <w:t>Tips on how to pass your Firefighter Psychological Test</w:t>
      </w:r>
      <w:r w:rsidRPr="00EA7DA2">
        <w:rPr>
          <w:rFonts w:ascii="Times New Roman" w:hAnsi="Times New Roman"/>
          <w:sz w:val="24"/>
          <w:szCs w:val="24"/>
        </w:rPr>
        <w:t xml:space="preserve"> (June 24, 2019):</w:t>
      </w:r>
      <w:r>
        <w:rPr>
          <w:rFonts w:ascii="Times New Roman" w:hAnsi="Times New Roman"/>
          <w:sz w:val="24"/>
          <w:szCs w:val="24"/>
        </w:rPr>
        <w:t xml:space="preserve"> </w:t>
      </w:r>
      <w:r w:rsidRPr="00EA7DA2">
        <w:rPr>
          <w:rFonts w:ascii="Times New Roman" w:hAnsi="Times New Roman"/>
          <w:sz w:val="24"/>
          <w:szCs w:val="24"/>
        </w:rPr>
        <w:t xml:space="preserve">First, consider answering the questions briefly and honestly with the best of your ability. Secondly, before you answer any questions from the interviewer, take time to think and come up with the correct answer. Thirdly, don’t rush with your answers, be calm consider the questions for some time, take a deep breath and offer your solutions. </w:t>
      </w:r>
      <w:hyperlink r:id="rId2540" w:history="1">
        <w:r w:rsidRPr="00EA7DA2">
          <w:rPr>
            <w:rStyle w:val="Hyperlink"/>
            <w:rFonts w:ascii="Times New Roman" w:hAnsi="Times New Roman"/>
            <w:sz w:val="24"/>
            <w:szCs w:val="24"/>
          </w:rPr>
          <w:t>http://www.firefighters-exam.com/2019/06/24/tips-on-how-to-pass-your-firefighter-psychological-test/</w:t>
        </w:r>
      </w:hyperlink>
      <w:r w:rsidRPr="00EA7DA2">
        <w:rPr>
          <w:rFonts w:ascii="Times New Roman" w:hAnsi="Times New Roman"/>
          <w:sz w:val="24"/>
          <w:szCs w:val="24"/>
        </w:rPr>
        <w:t xml:space="preserve"> </w:t>
      </w:r>
    </w:p>
    <w:bookmarkEnd w:id="580"/>
    <w:p w14:paraId="6C2D6F4B" w14:textId="77777777" w:rsidR="001A653A" w:rsidRDefault="001A653A" w:rsidP="001A653A">
      <w:pPr>
        <w:pStyle w:val="NoSpacing"/>
        <w:rPr>
          <w:rFonts w:ascii="Times New Roman" w:hAnsi="Times New Roman"/>
          <w:sz w:val="24"/>
          <w:szCs w:val="24"/>
        </w:rPr>
      </w:pPr>
    </w:p>
    <w:p w14:paraId="2B691D9B" w14:textId="77777777" w:rsidR="001A653A" w:rsidRDefault="001A653A" w:rsidP="000C4DF5">
      <w:pPr>
        <w:pStyle w:val="NoSpacing"/>
        <w:rPr>
          <w:rFonts w:ascii="Arial Black" w:hAnsi="Arial Black"/>
          <w:sz w:val="24"/>
          <w:szCs w:val="24"/>
        </w:rPr>
      </w:pPr>
    </w:p>
    <w:p w14:paraId="0FC9FF6E" w14:textId="77777777" w:rsidR="001C563D" w:rsidRDefault="001C563D" w:rsidP="000C4DF5">
      <w:pPr>
        <w:pStyle w:val="NoSpacing"/>
        <w:rPr>
          <w:rFonts w:ascii="Arial Black" w:hAnsi="Arial Black"/>
          <w:sz w:val="24"/>
          <w:szCs w:val="24"/>
        </w:rPr>
      </w:pPr>
    </w:p>
    <w:p w14:paraId="05856C7B" w14:textId="17F792DE" w:rsidR="00FA7B26" w:rsidRDefault="00FA7B26" w:rsidP="000C4DF5">
      <w:pPr>
        <w:pStyle w:val="NoSpacing"/>
        <w:rPr>
          <w:rFonts w:ascii="Arial Black" w:hAnsi="Arial Black"/>
          <w:sz w:val="24"/>
          <w:szCs w:val="24"/>
        </w:rPr>
      </w:pPr>
      <w:r>
        <w:rPr>
          <w:rFonts w:ascii="Arial Black" w:hAnsi="Arial Black"/>
          <w:sz w:val="24"/>
          <w:szCs w:val="24"/>
        </w:rPr>
        <w:t>15-7</w:t>
      </w:r>
    </w:p>
    <w:p w14:paraId="5321AC53" w14:textId="77777777" w:rsidR="00FA7B26" w:rsidRDefault="00FA7B26" w:rsidP="00FA7B26">
      <w:pPr>
        <w:spacing w:before="100" w:beforeAutospacing="1" w:after="100" w:afterAutospacing="1" w:line="240" w:lineRule="auto"/>
        <w:jc w:val="both"/>
        <w:rPr>
          <w:rFonts w:ascii="Arial Black" w:eastAsia="Times New Roman" w:hAnsi="Arial Black"/>
          <w:b/>
          <w:bCs/>
          <w:sz w:val="28"/>
          <w:szCs w:val="28"/>
        </w:rPr>
      </w:pPr>
      <w:r w:rsidRPr="00EF0D90">
        <w:rPr>
          <w:rFonts w:ascii="Arial Black" w:eastAsia="Times New Roman" w:hAnsi="Arial Black"/>
          <w:b/>
          <w:bCs/>
          <w:sz w:val="28"/>
          <w:szCs w:val="28"/>
        </w:rPr>
        <w:t xml:space="preserve">NY: </w:t>
      </w:r>
      <w:r>
        <w:rPr>
          <w:rFonts w:ascii="Arial Black" w:eastAsia="Times New Roman" w:hAnsi="Arial Black"/>
          <w:b/>
          <w:bCs/>
          <w:sz w:val="28"/>
          <w:szCs w:val="28"/>
        </w:rPr>
        <w:t>FORMER FDNY EMT WITH PTSD – U.S. SOCIAL SECURITY DENIED BECAUSE SHE CAN PERFORM OTHER JOBS – COURT ORDERS SOCIAL SECURITY TO MAKE FUTHER REVIEW</w:t>
      </w:r>
    </w:p>
    <w:p w14:paraId="7D0C1229" w14:textId="195A357B" w:rsidR="00FA7B26" w:rsidRDefault="00FA7B26" w:rsidP="00FA7B26">
      <w:pPr>
        <w:pStyle w:val="NoSpacing"/>
        <w:rPr>
          <w:rStyle w:val="Hyperlink"/>
          <w:sz w:val="24"/>
          <w:szCs w:val="24"/>
        </w:rPr>
      </w:pPr>
      <w:r w:rsidRPr="002C5236">
        <w:rPr>
          <w:rFonts w:ascii="Times New Roman" w:eastAsia="Times New Roman" w:hAnsi="Times New Roman"/>
          <w:sz w:val="24"/>
          <w:szCs w:val="24"/>
        </w:rPr>
        <w:t xml:space="preserve">On May 18, 2020, in </w:t>
      </w:r>
      <w:r w:rsidRPr="002C5236">
        <w:rPr>
          <w:rFonts w:ascii="Times New Roman" w:eastAsia="Times New Roman" w:hAnsi="Times New Roman"/>
          <w:sz w:val="24"/>
          <w:szCs w:val="24"/>
          <w:u w:val="single"/>
        </w:rPr>
        <w:t xml:space="preserve">Eileen </w:t>
      </w:r>
      <w:proofErr w:type="spellStart"/>
      <w:r w:rsidRPr="002C5236">
        <w:rPr>
          <w:rFonts w:ascii="Times New Roman" w:eastAsia="Times New Roman" w:hAnsi="Times New Roman"/>
          <w:sz w:val="24"/>
          <w:szCs w:val="24"/>
          <w:u w:val="single"/>
        </w:rPr>
        <w:t>Dechberry</w:t>
      </w:r>
      <w:proofErr w:type="spellEnd"/>
      <w:r w:rsidRPr="002C5236">
        <w:rPr>
          <w:rFonts w:ascii="Times New Roman" w:eastAsia="Times New Roman" w:hAnsi="Times New Roman"/>
          <w:sz w:val="24"/>
          <w:szCs w:val="24"/>
          <w:u w:val="single"/>
        </w:rPr>
        <w:t xml:space="preserve"> v. Nancy A. Berryhill, Acting Commissioner of Social Security</w:t>
      </w:r>
      <w:r>
        <w:rPr>
          <w:rFonts w:ascii="Times New Roman" w:eastAsia="Times New Roman" w:hAnsi="Times New Roman"/>
          <w:sz w:val="24"/>
          <w:szCs w:val="24"/>
        </w:rPr>
        <w:t xml:space="preserve">, Chief U.S. District Court Judge Roslynn R. Mauskopf, Eastern District of New York (Brooklyn) granted the EMT’s motion to remand to Social Security for further review. </w:t>
      </w:r>
      <w:hyperlink r:id="rId2541" w:history="1">
        <w:r w:rsidRPr="00502F08">
          <w:rPr>
            <w:rStyle w:val="Hyperlink"/>
            <w:sz w:val="24"/>
            <w:szCs w:val="24"/>
          </w:rPr>
          <w:t>https://public.fastcase.com/Wl%2B2t%2BeVuI35%2FN70vAMFZhAr68AdbratCNmy2dcHSKg4lqOPhLPvbyL5oFysv%2FPr</w:t>
        </w:r>
      </w:hyperlink>
    </w:p>
    <w:p w14:paraId="375C20C4" w14:textId="77777777" w:rsidR="00FA7B26" w:rsidRPr="002C5236" w:rsidRDefault="00FA7B26" w:rsidP="00FA7B26">
      <w:pPr>
        <w:spacing w:before="100" w:beforeAutospacing="1" w:after="100" w:afterAutospacing="1" w:line="240" w:lineRule="auto"/>
        <w:rPr>
          <w:rFonts w:ascii="Times New Roman" w:eastAsia="Times New Roman" w:hAnsi="Times New Roman"/>
          <w:b/>
          <w:bCs/>
          <w:sz w:val="24"/>
          <w:szCs w:val="24"/>
        </w:rPr>
      </w:pPr>
      <w:r w:rsidRPr="00EA4371">
        <w:rPr>
          <w:rFonts w:ascii="Times New Roman" w:eastAsia="Times New Roman" w:hAnsi="Times New Roman"/>
          <w:b/>
          <w:bCs/>
          <w:sz w:val="24"/>
          <w:szCs w:val="24"/>
        </w:rPr>
        <w:t xml:space="preserve">Legal Lessons Learned: Mental health for emergency responders is thankfully now an item of great attention in </w:t>
      </w:r>
      <w:proofErr w:type="gramStart"/>
      <w:r w:rsidRPr="00EA4371">
        <w:rPr>
          <w:rFonts w:ascii="Times New Roman" w:eastAsia="Times New Roman" w:hAnsi="Times New Roman"/>
          <w:b/>
          <w:bCs/>
          <w:sz w:val="24"/>
          <w:szCs w:val="24"/>
        </w:rPr>
        <w:t>the Fire</w:t>
      </w:r>
      <w:proofErr w:type="gramEnd"/>
      <w:r w:rsidRPr="00EA4371">
        <w:rPr>
          <w:rFonts w:ascii="Times New Roman" w:eastAsia="Times New Roman" w:hAnsi="Times New Roman"/>
          <w:b/>
          <w:bCs/>
          <w:sz w:val="24"/>
          <w:szCs w:val="24"/>
        </w:rPr>
        <w:t xml:space="preserve">, EMS and Law Enforcement, including Peer Support Teams. </w:t>
      </w:r>
    </w:p>
    <w:p w14:paraId="74AD4C7C" w14:textId="77777777" w:rsidR="00FA7B26" w:rsidRDefault="00FA7B26" w:rsidP="00FA7B26">
      <w:pPr>
        <w:pStyle w:val="NoSpacing"/>
        <w:rPr>
          <w:rFonts w:ascii="Arial Black" w:hAnsi="Arial Black"/>
          <w:sz w:val="24"/>
          <w:szCs w:val="24"/>
        </w:rPr>
      </w:pPr>
    </w:p>
    <w:p w14:paraId="572BB697" w14:textId="77777777" w:rsidR="00FA7B26" w:rsidRDefault="00FA7B26" w:rsidP="000C4DF5">
      <w:pPr>
        <w:pStyle w:val="NoSpacing"/>
        <w:rPr>
          <w:rFonts w:ascii="Arial Black" w:hAnsi="Arial Black"/>
          <w:sz w:val="24"/>
          <w:szCs w:val="24"/>
        </w:rPr>
      </w:pPr>
    </w:p>
    <w:p w14:paraId="3E8B772B" w14:textId="77777777" w:rsidR="00FA7B26" w:rsidRDefault="00FA7B26" w:rsidP="000C4DF5">
      <w:pPr>
        <w:pStyle w:val="NoSpacing"/>
        <w:rPr>
          <w:rFonts w:ascii="Arial Black" w:hAnsi="Arial Black"/>
          <w:sz w:val="24"/>
          <w:szCs w:val="24"/>
        </w:rPr>
      </w:pPr>
    </w:p>
    <w:p w14:paraId="610B8C77" w14:textId="4308AAC1" w:rsidR="00366CDD" w:rsidRPr="00D8433A" w:rsidRDefault="00366CDD" w:rsidP="000C4DF5">
      <w:pPr>
        <w:pStyle w:val="NoSpacing"/>
        <w:rPr>
          <w:rFonts w:ascii="Times New Roman" w:hAnsi="Times New Roman"/>
          <w:sz w:val="24"/>
          <w:szCs w:val="24"/>
        </w:rPr>
      </w:pPr>
      <w:r>
        <w:rPr>
          <w:rFonts w:ascii="Arial Black" w:hAnsi="Arial Black"/>
          <w:sz w:val="24"/>
          <w:szCs w:val="24"/>
        </w:rPr>
        <w:t>15-</w:t>
      </w:r>
      <w:r w:rsidR="000F18B0">
        <w:rPr>
          <w:rFonts w:ascii="Arial Black" w:hAnsi="Arial Black"/>
          <w:sz w:val="24"/>
          <w:szCs w:val="24"/>
        </w:rPr>
        <w:t>6</w:t>
      </w:r>
      <w:r>
        <w:rPr>
          <w:rFonts w:ascii="Arial Black" w:hAnsi="Arial Black"/>
          <w:sz w:val="24"/>
          <w:szCs w:val="24"/>
        </w:rPr>
        <w:t xml:space="preserve"> </w:t>
      </w:r>
      <w:r w:rsidRPr="00D8433A">
        <w:rPr>
          <w:rFonts w:ascii="Times New Roman" w:hAnsi="Times New Roman"/>
          <w:sz w:val="24"/>
          <w:szCs w:val="24"/>
        </w:rPr>
        <w:t>[Also filed, Chap. 9 &amp; Chap. 10]</w:t>
      </w:r>
    </w:p>
    <w:p w14:paraId="60B2594B" w14:textId="77777777" w:rsidR="00366CDD" w:rsidRPr="00A670C3" w:rsidRDefault="00366CDD" w:rsidP="00366CDD">
      <w:pPr>
        <w:spacing w:before="100" w:beforeAutospacing="1" w:after="100" w:afterAutospacing="1" w:line="240" w:lineRule="auto"/>
        <w:rPr>
          <w:rFonts w:ascii="Arial Black" w:eastAsia="Times New Roman" w:hAnsi="Arial Black"/>
          <w:sz w:val="28"/>
          <w:szCs w:val="28"/>
        </w:rPr>
      </w:pPr>
      <w:r w:rsidRPr="00A670C3">
        <w:rPr>
          <w:rFonts w:ascii="Arial Black" w:eastAsia="Times New Roman" w:hAnsi="Arial Black"/>
          <w:sz w:val="28"/>
          <w:szCs w:val="28"/>
        </w:rPr>
        <w:t xml:space="preserve">PA: </w:t>
      </w:r>
      <w:r>
        <w:rPr>
          <w:rFonts w:ascii="Arial Black" w:eastAsia="Times New Roman" w:hAnsi="Arial Black"/>
          <w:sz w:val="28"/>
          <w:szCs w:val="28"/>
        </w:rPr>
        <w:t>FF PANIC ATTACK ON DUTY – PTSD, MEDICATION – NO LONGER QUALIFIED AS FF – TERMINATION NOT VIOL. ADA</w:t>
      </w:r>
    </w:p>
    <w:p w14:paraId="35186AF6" w14:textId="77777777" w:rsidR="00366CDD" w:rsidRPr="008561E5" w:rsidRDefault="00366CDD" w:rsidP="00366CDD">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April 17, 2020, in </w:t>
      </w:r>
      <w:r w:rsidRPr="008561E5">
        <w:rPr>
          <w:rFonts w:ascii="Times New Roman" w:eastAsia="Times New Roman" w:hAnsi="Times New Roman"/>
          <w:sz w:val="24"/>
          <w:szCs w:val="24"/>
          <w:u w:val="single"/>
        </w:rPr>
        <w:t xml:space="preserve">Robert Carpenter v. York Area United Fire </w:t>
      </w:r>
      <w:proofErr w:type="gramStart"/>
      <w:r w:rsidRPr="008561E5">
        <w:rPr>
          <w:rFonts w:ascii="Times New Roman" w:eastAsia="Times New Roman" w:hAnsi="Times New Roman"/>
          <w:sz w:val="24"/>
          <w:szCs w:val="24"/>
          <w:u w:val="single"/>
        </w:rPr>
        <w:t>And</w:t>
      </w:r>
      <w:proofErr w:type="gramEnd"/>
      <w:r w:rsidRPr="008561E5">
        <w:rPr>
          <w:rFonts w:ascii="Times New Roman" w:eastAsia="Times New Roman" w:hAnsi="Times New Roman"/>
          <w:sz w:val="24"/>
          <w:szCs w:val="24"/>
          <w:u w:val="single"/>
        </w:rPr>
        <w:t xml:space="preserve"> Rescue</w:t>
      </w:r>
      <w:r>
        <w:rPr>
          <w:rFonts w:ascii="Times New Roman" w:eastAsia="Times New Roman" w:hAnsi="Times New Roman"/>
          <w:sz w:val="24"/>
          <w:szCs w:val="24"/>
        </w:rPr>
        <w:t>, U.S. District Court Judge Christopher C. Conner, Chief Judge, Middle District of Pennsylvania, granted the FD’s motion for summary judgment.  The Court held that the firefighter was not a “</w:t>
      </w:r>
      <w:r w:rsidRPr="00A670C3">
        <w:rPr>
          <w:rFonts w:ascii="Times New Roman" w:eastAsia="Times New Roman" w:hAnsi="Times New Roman"/>
          <w:sz w:val="24"/>
          <w:szCs w:val="24"/>
        </w:rPr>
        <w:t>qualified individual for ADA purposes because he could not perform the essential functions of his job with or without reasonable accommodation</w:t>
      </w:r>
      <w:r>
        <w:rPr>
          <w:rFonts w:ascii="Times New Roman" w:eastAsia="Times New Roman" w:hAnsi="Times New Roman"/>
          <w:sz w:val="24"/>
          <w:szCs w:val="24"/>
        </w:rPr>
        <w:t>,” and indefinite leave of absence was not a reasonable accommodation; “</w:t>
      </w:r>
      <w:r w:rsidRPr="008561E5">
        <w:rPr>
          <w:rFonts w:ascii="Times New Roman" w:hAnsi="Times New Roman"/>
          <w:sz w:val="24"/>
          <w:szCs w:val="24"/>
        </w:rPr>
        <w:t xml:space="preserve">there must be some expectation that the employee could perform his essential job functions in the </w:t>
      </w:r>
      <w:r>
        <w:rPr>
          <w:rFonts w:ascii="Times New Roman" w:hAnsi="Times New Roman"/>
          <w:sz w:val="24"/>
          <w:szCs w:val="24"/>
        </w:rPr>
        <w:t>‘</w:t>
      </w:r>
      <w:r w:rsidRPr="008561E5">
        <w:rPr>
          <w:rFonts w:ascii="Times New Roman" w:hAnsi="Times New Roman"/>
          <w:sz w:val="24"/>
          <w:szCs w:val="24"/>
        </w:rPr>
        <w:t>near future</w:t>
      </w:r>
      <w:r>
        <w:rPr>
          <w:rFonts w:ascii="Times New Roman" w:hAnsi="Times New Roman"/>
          <w:sz w:val="24"/>
          <w:szCs w:val="24"/>
        </w:rPr>
        <w:t>’</w:t>
      </w:r>
      <w:r w:rsidRPr="008561E5">
        <w:rPr>
          <w:rFonts w:ascii="Times New Roman" w:hAnsi="Times New Roman"/>
          <w:sz w:val="24"/>
          <w:szCs w:val="24"/>
        </w:rPr>
        <w:t xml:space="preserve"> following the requested leave.</w:t>
      </w:r>
      <w:r>
        <w:rPr>
          <w:rFonts w:ascii="Times New Roman" w:hAnsi="Times New Roman"/>
          <w:sz w:val="24"/>
          <w:szCs w:val="24"/>
        </w:rPr>
        <w:t xml:space="preserve">   </w:t>
      </w:r>
    </w:p>
    <w:p w14:paraId="04CC3B9C" w14:textId="77777777" w:rsidR="00366CDD" w:rsidRDefault="00366CDD" w:rsidP="00366CDD">
      <w:pPr>
        <w:pStyle w:val="NormalWeb"/>
        <w:ind w:left="720"/>
      </w:pPr>
      <w:r>
        <w:t xml:space="preserve">“[Fire Department] </w:t>
      </w:r>
      <w:r w:rsidRPr="00A670C3">
        <w:t>argues that Carpenter is not a qualified individual for ADA purposes because he could not perform the essential functions of his job with or without reasonable accommodation. We agree.</w:t>
      </w:r>
      <w:r>
        <w:t xml:space="preserve">” </w:t>
      </w:r>
      <w:hyperlink r:id="rId2542" w:history="1">
        <w:r w:rsidRPr="00377614">
          <w:rPr>
            <w:rStyle w:val="Hyperlink"/>
          </w:rPr>
          <w:t>https://public.fastcase.com/Wl%2B2t%2BeVuI35%2FN70vAMFZkkc03nKI8qkpSJ%2FzmzLggswfoR1RvbDETmM60pPGUhc</w:t>
        </w:r>
      </w:hyperlink>
      <w:r>
        <w:t xml:space="preserve"> </w:t>
      </w:r>
    </w:p>
    <w:p w14:paraId="2A1773CA" w14:textId="77777777" w:rsidR="00366CDD" w:rsidRPr="00DE2E06" w:rsidRDefault="00366CDD" w:rsidP="00366CDD">
      <w:pPr>
        <w:rPr>
          <w:rFonts w:ascii="Times New Roman" w:hAnsi="Times New Roman"/>
          <w:b/>
          <w:bCs/>
          <w:sz w:val="24"/>
          <w:szCs w:val="24"/>
        </w:rPr>
      </w:pPr>
      <w:r w:rsidRPr="00DE2E06">
        <w:rPr>
          <w:rFonts w:ascii="Times New Roman" w:hAnsi="Times New Roman"/>
          <w:b/>
          <w:bCs/>
          <w:sz w:val="24"/>
          <w:szCs w:val="24"/>
        </w:rPr>
        <w:t>Legal Lessons Learned:  FF on leave and undergoing treatment, who desires to get back to the job, needs to stay in communication with FD.</w:t>
      </w:r>
      <w:r>
        <w:rPr>
          <w:rFonts w:ascii="Times New Roman" w:hAnsi="Times New Roman"/>
          <w:b/>
          <w:bCs/>
          <w:sz w:val="24"/>
          <w:szCs w:val="24"/>
        </w:rPr>
        <w:t xml:space="preserve">   FMLA also addressed (see below).</w:t>
      </w:r>
    </w:p>
    <w:p w14:paraId="60C1D4FD" w14:textId="77777777" w:rsidR="00366CDD" w:rsidRPr="00063DF6" w:rsidRDefault="00366CDD" w:rsidP="00366CDD">
      <w:pPr>
        <w:pStyle w:val="NormalWeb"/>
        <w:ind w:left="720"/>
        <w:rPr>
          <w:b/>
          <w:bCs/>
        </w:rPr>
      </w:pPr>
      <w:r w:rsidRPr="00063DF6">
        <w:lastRenderedPageBreak/>
        <w:t xml:space="preserve">Note:  </w:t>
      </w:r>
      <w:r>
        <w:t xml:space="preserve">Court also held that the FF was not </w:t>
      </w:r>
      <w:proofErr w:type="gramStart"/>
      <w:r>
        <w:t>entitle</w:t>
      </w:r>
      <w:proofErr w:type="gramEnd"/>
      <w:r>
        <w:t xml:space="preserve"> the FMLA leave. </w:t>
      </w:r>
      <w:r>
        <w:rPr>
          <w:bCs/>
        </w:rPr>
        <w:t>“</w:t>
      </w:r>
      <w:r w:rsidRPr="00A670C3">
        <w:rPr>
          <w:bCs/>
        </w:rPr>
        <w:t>In a letter dated October 11, 2017, YAUFR denied Carpenter's FMLA leave request</w:t>
      </w:r>
      <w:r>
        <w:rPr>
          <w:bCs/>
        </w:rPr>
        <w:t xml:space="preserve">…. </w:t>
      </w:r>
      <w:r w:rsidRPr="00A670C3">
        <w:rPr>
          <w:bCs/>
        </w:rPr>
        <w:t xml:space="preserve"> </w:t>
      </w:r>
      <w:r>
        <w:rPr>
          <w:bCs/>
        </w:rPr>
        <w:tab/>
      </w:r>
      <w:r w:rsidRPr="00A670C3">
        <w:rPr>
          <w:bCs/>
        </w:rPr>
        <w:t xml:space="preserve"> YAUFR explained that, although it was a covered employer under the FMLA, it did not employ the requisite number of people for Carpenter to be considered an </w:t>
      </w:r>
      <w:r>
        <w:rPr>
          <w:bCs/>
        </w:rPr>
        <w:t>‘</w:t>
      </w:r>
      <w:r w:rsidRPr="00A670C3">
        <w:rPr>
          <w:bCs/>
        </w:rPr>
        <w:t>eligible employee</w:t>
      </w:r>
      <w:r>
        <w:rPr>
          <w:bCs/>
        </w:rPr>
        <w:t>’</w:t>
      </w:r>
      <w:r w:rsidRPr="00A670C3">
        <w:rPr>
          <w:bCs/>
        </w:rPr>
        <w:t xml:space="preserve"> under FMLA regulations.</w:t>
      </w:r>
      <w:r>
        <w:rPr>
          <w:bCs/>
        </w:rPr>
        <w:t xml:space="preserve"> *** </w:t>
      </w:r>
      <w:r w:rsidRPr="00063DF6">
        <w:rPr>
          <w:bCs/>
        </w:rPr>
        <w:t xml:space="preserve">To qualify as an </w:t>
      </w:r>
      <w:r>
        <w:rPr>
          <w:bCs/>
        </w:rPr>
        <w:t>‘</w:t>
      </w:r>
      <w:r w:rsidRPr="00063DF6">
        <w:rPr>
          <w:bCs/>
        </w:rPr>
        <w:t>eligible employee,</w:t>
      </w:r>
      <w:r>
        <w:rPr>
          <w:bCs/>
        </w:rPr>
        <w:t>’</w:t>
      </w:r>
      <w:r w:rsidRPr="00063DF6">
        <w:rPr>
          <w:bCs/>
        </w:rPr>
        <w:t xml:space="preserve"> the employee must be </w:t>
      </w:r>
      <w:r>
        <w:rPr>
          <w:bCs/>
        </w:rPr>
        <w:t>‘</w:t>
      </w:r>
      <w:r w:rsidRPr="00063DF6">
        <w:rPr>
          <w:bCs/>
        </w:rPr>
        <w:t>employed at a worksite where 50 or more employees are employed by the employer within 75 miles of that worksite.</w:t>
      </w:r>
      <w:r>
        <w:rPr>
          <w:bCs/>
        </w:rPr>
        <w:t>’</w:t>
      </w:r>
      <w:r w:rsidRPr="00063DF6">
        <w:rPr>
          <w:bCs/>
        </w:rPr>
        <w:t xml:space="preserve"> 29 C.F.R. § 825.110(a)(3); see 29 U.S.C. § 2611(2)(B)(ii). YAUFR avers, and Carpenter concedes, that YAUFR has never employed 50 or more people.</w:t>
      </w:r>
      <w:r>
        <w:rPr>
          <w:bCs/>
        </w:rPr>
        <w:t>”</w:t>
      </w:r>
    </w:p>
    <w:p w14:paraId="10C495C5" w14:textId="77777777" w:rsidR="00366CDD" w:rsidRDefault="00366CDD" w:rsidP="000C4DF5">
      <w:pPr>
        <w:pStyle w:val="NoSpacing"/>
        <w:rPr>
          <w:rFonts w:ascii="Arial Black" w:hAnsi="Arial Black"/>
          <w:sz w:val="24"/>
          <w:szCs w:val="24"/>
        </w:rPr>
      </w:pPr>
    </w:p>
    <w:p w14:paraId="27E214B3" w14:textId="0DAB946C" w:rsidR="00366CDD" w:rsidRDefault="0012517E" w:rsidP="000C4DF5">
      <w:pPr>
        <w:pStyle w:val="NoSpacing"/>
        <w:rPr>
          <w:rFonts w:ascii="Arial Black" w:hAnsi="Arial Black"/>
          <w:sz w:val="24"/>
          <w:szCs w:val="24"/>
        </w:rPr>
      </w:pPr>
      <w:r>
        <w:rPr>
          <w:rFonts w:ascii="Arial Black" w:hAnsi="Arial Black"/>
          <w:sz w:val="24"/>
          <w:szCs w:val="24"/>
        </w:rPr>
        <w:t>15-5</w:t>
      </w:r>
    </w:p>
    <w:p w14:paraId="3EA60D97" w14:textId="7ACBA758" w:rsidR="0012517E" w:rsidRDefault="0012517E" w:rsidP="000C4DF5">
      <w:pPr>
        <w:pStyle w:val="NoSpacing"/>
        <w:rPr>
          <w:rFonts w:ascii="Arial Black" w:hAnsi="Arial Black"/>
          <w:sz w:val="24"/>
          <w:szCs w:val="24"/>
        </w:rPr>
      </w:pPr>
    </w:p>
    <w:p w14:paraId="31EE0F7E" w14:textId="77777777" w:rsidR="0012517E" w:rsidRPr="00C6323F" w:rsidRDefault="0012517E" w:rsidP="0012517E">
      <w:pPr>
        <w:pStyle w:val="NoSpacing"/>
        <w:rPr>
          <w:rFonts w:ascii="Arial Black" w:hAnsi="Arial Black"/>
          <w:sz w:val="28"/>
          <w:szCs w:val="28"/>
        </w:rPr>
      </w:pPr>
      <w:r w:rsidRPr="00C6323F">
        <w:rPr>
          <w:rFonts w:ascii="Arial Black" w:hAnsi="Arial Black"/>
          <w:sz w:val="28"/>
          <w:szCs w:val="28"/>
        </w:rPr>
        <w:t>MA:</w:t>
      </w:r>
      <w:r>
        <w:rPr>
          <w:rFonts w:ascii="Arial Black" w:hAnsi="Arial Black"/>
          <w:sz w:val="28"/>
          <w:szCs w:val="28"/>
        </w:rPr>
        <w:t xml:space="preserve"> ANGER MGT, THREATS TO “GO POSTAL” – PAID LEAVE 1-YR - DIDN’T COMPLY RETURN-TO-WORK REQUIREMENTS - FIRED</w:t>
      </w:r>
    </w:p>
    <w:p w14:paraId="14D5319D" w14:textId="77777777" w:rsidR="0012517E" w:rsidRDefault="0012517E" w:rsidP="0012517E">
      <w:pPr>
        <w:pStyle w:val="NoSpacing"/>
        <w:rPr>
          <w:b/>
          <w:bCs/>
          <w:sz w:val="24"/>
          <w:szCs w:val="24"/>
        </w:rPr>
      </w:pPr>
    </w:p>
    <w:p w14:paraId="51DD0988" w14:textId="77777777" w:rsidR="0012517E" w:rsidRPr="00D61723" w:rsidRDefault="0012517E" w:rsidP="0012517E">
      <w:pPr>
        <w:pStyle w:val="NoSpacing"/>
        <w:rPr>
          <w:rFonts w:ascii="Times New Roman" w:hAnsi="Times New Roman"/>
          <w:b/>
          <w:bCs/>
          <w:sz w:val="24"/>
          <w:szCs w:val="24"/>
        </w:rPr>
      </w:pPr>
      <w:r w:rsidRPr="00D61723">
        <w:rPr>
          <w:rFonts w:ascii="Times New Roman" w:hAnsi="Times New Roman"/>
          <w:bCs/>
          <w:sz w:val="24"/>
          <w:szCs w:val="24"/>
        </w:rPr>
        <w:t xml:space="preserve">On April 2, 2020, in </w:t>
      </w:r>
      <w:r w:rsidRPr="00D61723">
        <w:rPr>
          <w:rFonts w:ascii="Times New Roman" w:hAnsi="Times New Roman"/>
          <w:bCs/>
          <w:sz w:val="24"/>
          <w:szCs w:val="24"/>
          <w:u w:val="single"/>
        </w:rPr>
        <w:t>Gerald Alston v. Town of Brookline, Massachusetts</w:t>
      </w:r>
      <w:r w:rsidRPr="00D61723">
        <w:rPr>
          <w:rFonts w:ascii="Times New Roman" w:hAnsi="Times New Roman"/>
          <w:bCs/>
          <w:sz w:val="24"/>
          <w:szCs w:val="24"/>
        </w:rPr>
        <w:t xml:space="preserve">, Senior U.S. District Court Judge George A. O’Toole, Jr., District of Massachusetts, granted summary judgment for the Town, finding that he failed to meet the Fire Chiefs return to work requirements, including completing an anger management course, and passing a fitness for duty evaluation, and drug test.  </w:t>
      </w:r>
    </w:p>
    <w:p w14:paraId="27C39AC6" w14:textId="77777777" w:rsidR="0012517E" w:rsidRPr="00D61723" w:rsidRDefault="0012517E" w:rsidP="0012517E">
      <w:pPr>
        <w:pStyle w:val="NoSpacing"/>
        <w:rPr>
          <w:rFonts w:ascii="Times New Roman" w:hAnsi="Times New Roman"/>
          <w:sz w:val="24"/>
          <w:szCs w:val="24"/>
        </w:rPr>
      </w:pPr>
    </w:p>
    <w:p w14:paraId="362B84D2" w14:textId="2E4D1637" w:rsidR="0012517E" w:rsidRDefault="0012517E" w:rsidP="000C4DF5">
      <w:pPr>
        <w:pStyle w:val="NoSpacing"/>
        <w:rPr>
          <w:rFonts w:ascii="Arial Black" w:hAnsi="Arial Black"/>
          <w:sz w:val="24"/>
          <w:szCs w:val="24"/>
        </w:rPr>
      </w:pPr>
      <w:r w:rsidRPr="00D61723">
        <w:rPr>
          <w:rFonts w:ascii="Times New Roman" w:hAnsi="Times New Roman"/>
          <w:bCs/>
          <w:sz w:val="24"/>
          <w:szCs w:val="24"/>
        </w:rPr>
        <w:t xml:space="preserve">“Alston was evaluated both by a psychiatrist chosen by the Town and, after his request for evaluation by a different doctor, an evaluation by a psychiatrist from the Massachusetts General Hospital was arranged. Both psychiatrists recommended essentially the same return-to-work conditions for Alston, and it is undisputed that Alston never complied with those conditions. Nor did he provide any conflicting opinion from another psychiatrist.” </w:t>
      </w:r>
      <w:hyperlink r:id="rId2543" w:history="1">
        <w:r w:rsidRPr="00D61723">
          <w:rPr>
            <w:rStyle w:val="Hyperlink"/>
            <w:rFonts w:ascii="Times New Roman" w:hAnsi="Times New Roman"/>
            <w:b/>
            <w:sz w:val="24"/>
            <w:szCs w:val="24"/>
          </w:rPr>
          <w:t>https://jgpr.net/wp-content/uploads/2020/04/433-MSJ-Order.pdf</w:t>
        </w:r>
      </w:hyperlink>
    </w:p>
    <w:p w14:paraId="7E877980" w14:textId="77777777" w:rsidR="0012517E" w:rsidRPr="00D61723" w:rsidRDefault="0012517E" w:rsidP="0012517E">
      <w:pPr>
        <w:spacing w:before="100" w:beforeAutospacing="1" w:after="100" w:afterAutospacing="1" w:line="240" w:lineRule="auto"/>
        <w:rPr>
          <w:rFonts w:ascii="Times New Roman" w:hAnsi="Times New Roman"/>
          <w:b/>
          <w:bCs/>
          <w:sz w:val="24"/>
          <w:szCs w:val="24"/>
        </w:rPr>
      </w:pPr>
      <w:r w:rsidRPr="00D61723">
        <w:rPr>
          <w:rFonts w:ascii="Times New Roman" w:hAnsi="Times New Roman"/>
          <w:b/>
          <w:bCs/>
          <w:sz w:val="24"/>
          <w:szCs w:val="24"/>
        </w:rPr>
        <w:t xml:space="preserve">Legal Lessons Learned: The Town wisely proposed a return-to-work plan and provided adequate time for completion of the plan. </w:t>
      </w:r>
    </w:p>
    <w:p w14:paraId="06C27836" w14:textId="77777777" w:rsidR="0012517E" w:rsidRDefault="0012517E" w:rsidP="000C4DF5">
      <w:pPr>
        <w:pStyle w:val="NoSpacing"/>
        <w:rPr>
          <w:rFonts w:ascii="Arial Black" w:hAnsi="Arial Black"/>
          <w:sz w:val="24"/>
          <w:szCs w:val="24"/>
        </w:rPr>
      </w:pPr>
    </w:p>
    <w:p w14:paraId="73BA4259" w14:textId="77777777" w:rsidR="0012517E" w:rsidRDefault="0012517E" w:rsidP="000C4DF5">
      <w:pPr>
        <w:pStyle w:val="NoSpacing"/>
        <w:rPr>
          <w:rFonts w:ascii="Arial Black" w:hAnsi="Arial Black"/>
          <w:sz w:val="24"/>
          <w:szCs w:val="24"/>
        </w:rPr>
      </w:pPr>
    </w:p>
    <w:p w14:paraId="7BA4DB8C" w14:textId="77777777" w:rsidR="0012517E" w:rsidRDefault="0012517E" w:rsidP="000C4DF5">
      <w:pPr>
        <w:pStyle w:val="NoSpacing"/>
        <w:rPr>
          <w:rFonts w:ascii="Arial Black" w:hAnsi="Arial Black"/>
          <w:sz w:val="24"/>
          <w:szCs w:val="24"/>
        </w:rPr>
      </w:pPr>
    </w:p>
    <w:p w14:paraId="23429A29" w14:textId="4B9058A0" w:rsidR="006508FC" w:rsidRDefault="006508FC" w:rsidP="000C4DF5">
      <w:pPr>
        <w:pStyle w:val="NoSpacing"/>
        <w:rPr>
          <w:rFonts w:ascii="Arial Black" w:hAnsi="Arial Black"/>
          <w:sz w:val="24"/>
          <w:szCs w:val="24"/>
        </w:rPr>
      </w:pPr>
      <w:r>
        <w:rPr>
          <w:rFonts w:ascii="Arial Black" w:hAnsi="Arial Black"/>
          <w:sz w:val="24"/>
          <w:szCs w:val="24"/>
        </w:rPr>
        <w:t>15-4</w:t>
      </w:r>
    </w:p>
    <w:p w14:paraId="124103C3" w14:textId="633A0915" w:rsidR="006508FC" w:rsidRDefault="006508FC" w:rsidP="000C4DF5">
      <w:pPr>
        <w:pStyle w:val="NoSpacing"/>
        <w:rPr>
          <w:rFonts w:ascii="Arial Black" w:hAnsi="Arial Black"/>
          <w:sz w:val="24"/>
          <w:szCs w:val="24"/>
        </w:rPr>
      </w:pPr>
    </w:p>
    <w:p w14:paraId="3342711F" w14:textId="77777777" w:rsidR="006508FC" w:rsidRPr="006508FC" w:rsidRDefault="006508FC" w:rsidP="000C4DF5">
      <w:pPr>
        <w:pStyle w:val="NoSpacing"/>
        <w:rPr>
          <w:rFonts w:ascii="Arial Black" w:hAnsi="Arial Black" w:cs="Arial"/>
          <w:sz w:val="28"/>
          <w:szCs w:val="28"/>
        </w:rPr>
      </w:pPr>
      <w:bookmarkStart w:id="581" w:name="_Hlk39772708"/>
      <w:r w:rsidRPr="006508FC">
        <w:rPr>
          <w:rFonts w:ascii="Arial Black" w:hAnsi="Arial Black" w:cs="Arial"/>
          <w:sz w:val="28"/>
          <w:szCs w:val="28"/>
        </w:rPr>
        <w:t>NY: PTSD - CAR FIRE / MASK DISLODGED BY SNOW - PSYCHIATRIST’S NOTES FF INTERVIEW - ACCIDENTAL DISAB. RETIREMENT DENIED</w:t>
      </w:r>
    </w:p>
    <w:p w14:paraId="7E98E737" w14:textId="77777777" w:rsidR="00BC17B3" w:rsidRDefault="006508FC" w:rsidP="000C4DF5">
      <w:pPr>
        <w:pStyle w:val="NoSpacing"/>
        <w:rPr>
          <w:rFonts w:ascii="Times New Roman" w:hAnsi="Times New Roman"/>
          <w:sz w:val="24"/>
          <w:szCs w:val="24"/>
        </w:rPr>
      </w:pPr>
      <w:r w:rsidRPr="0036327D">
        <w:rPr>
          <w:rFonts w:ascii="Times New Roman" w:hAnsi="Times New Roman"/>
          <w:sz w:val="24"/>
          <w:szCs w:val="24"/>
        </w:rPr>
        <w:t xml:space="preserve">On April 25, 2019, In </w:t>
      </w:r>
      <w:proofErr w:type="gramStart"/>
      <w:r w:rsidRPr="0036327D">
        <w:rPr>
          <w:rFonts w:ascii="Times New Roman" w:hAnsi="Times New Roman"/>
          <w:sz w:val="24"/>
          <w:szCs w:val="24"/>
        </w:rPr>
        <w:t>The</w:t>
      </w:r>
      <w:proofErr w:type="gramEnd"/>
      <w:r w:rsidRPr="0036327D">
        <w:rPr>
          <w:rFonts w:ascii="Times New Roman" w:hAnsi="Times New Roman"/>
          <w:sz w:val="24"/>
          <w:szCs w:val="24"/>
        </w:rPr>
        <w:t xml:space="preserve"> Matter of Alexander Hanon v. Thomas P. </w:t>
      </w:r>
      <w:proofErr w:type="spellStart"/>
      <w:r w:rsidRPr="0036327D">
        <w:rPr>
          <w:rFonts w:ascii="Times New Roman" w:hAnsi="Times New Roman"/>
          <w:sz w:val="24"/>
          <w:szCs w:val="24"/>
        </w:rPr>
        <w:t>PiNapoli</w:t>
      </w:r>
      <w:proofErr w:type="spellEnd"/>
      <w:r w:rsidRPr="0036327D">
        <w:rPr>
          <w:rFonts w:ascii="Times New Roman" w:hAnsi="Times New Roman"/>
          <w:sz w:val="24"/>
          <w:szCs w:val="24"/>
        </w:rPr>
        <w:t xml:space="preserve">, State Comptroller, the New York Appellate Division, Third Department, (5 to 0), upheld the denial of his claim. </w:t>
      </w:r>
    </w:p>
    <w:p w14:paraId="3AE55E68" w14:textId="77777777" w:rsidR="00BC17B3" w:rsidRDefault="00BC17B3" w:rsidP="000C4DF5">
      <w:pPr>
        <w:pStyle w:val="NoSpacing"/>
        <w:rPr>
          <w:rFonts w:ascii="Times New Roman" w:hAnsi="Times New Roman"/>
          <w:sz w:val="24"/>
          <w:szCs w:val="24"/>
        </w:rPr>
      </w:pPr>
    </w:p>
    <w:p w14:paraId="447B6224" w14:textId="4AEB2B35" w:rsidR="006508FC" w:rsidRPr="0036327D" w:rsidRDefault="006508FC" w:rsidP="00BC17B3">
      <w:pPr>
        <w:pStyle w:val="NoSpacing"/>
        <w:ind w:left="720"/>
        <w:rPr>
          <w:rFonts w:ascii="Times New Roman" w:hAnsi="Times New Roman"/>
          <w:sz w:val="24"/>
          <w:szCs w:val="24"/>
        </w:rPr>
      </w:pPr>
      <w:r w:rsidRPr="0036327D">
        <w:rPr>
          <w:rFonts w:ascii="Times New Roman" w:hAnsi="Times New Roman"/>
          <w:sz w:val="24"/>
          <w:szCs w:val="24"/>
        </w:rPr>
        <w:t>“Leslie Citrome, the psychiatrist who conducted an independent medical examination of petitioner on behalf of the Retirement System, opined that petitioner's PTSD and depressive disorder were causally related to [his off duty] June 2010 motor vehicle accident. He stated that the February 2010 accident [car fire run, snow from garage roof] was incidental to his psychiatric assessment as petitioner only mentioned this incident briefly, indicating that he suffered cardiac problems from inhaling smoke, and focused primarily on the June 2010 motor vehicle accident in discussing his history of psychiatric problems and symptoms.</w:t>
      </w:r>
      <w:r w:rsidR="00F4486C" w:rsidRPr="0036327D">
        <w:rPr>
          <w:rFonts w:ascii="Times New Roman" w:hAnsi="Times New Roman"/>
          <w:sz w:val="24"/>
          <w:szCs w:val="24"/>
        </w:rPr>
        <w:t xml:space="preserve"> </w:t>
      </w:r>
      <w:hyperlink r:id="rId2544" w:history="1">
        <w:r w:rsidR="00F4486C" w:rsidRPr="0036327D">
          <w:rPr>
            <w:rStyle w:val="Hyperlink"/>
            <w:rFonts w:ascii="Times New Roman" w:hAnsi="Times New Roman"/>
            <w:sz w:val="24"/>
            <w:szCs w:val="24"/>
          </w:rPr>
          <w:t>https://law.justia.com/cases/new-york/appellate-division-third-department/2019/527240.html</w:t>
        </w:r>
      </w:hyperlink>
      <w:r w:rsidR="00F4486C" w:rsidRPr="0036327D">
        <w:rPr>
          <w:rFonts w:ascii="Times New Roman" w:hAnsi="Times New Roman"/>
          <w:sz w:val="24"/>
          <w:szCs w:val="24"/>
        </w:rPr>
        <w:t xml:space="preserve"> </w:t>
      </w:r>
    </w:p>
    <w:bookmarkEnd w:id="581"/>
    <w:p w14:paraId="5A659DE9" w14:textId="0767D8A7" w:rsidR="00F4486C" w:rsidRPr="0036327D" w:rsidRDefault="00F4486C" w:rsidP="000C4DF5">
      <w:pPr>
        <w:pStyle w:val="NoSpacing"/>
        <w:rPr>
          <w:rFonts w:ascii="Times New Roman" w:hAnsi="Times New Roman"/>
          <w:sz w:val="24"/>
          <w:szCs w:val="24"/>
        </w:rPr>
      </w:pPr>
    </w:p>
    <w:p w14:paraId="35EF2C73" w14:textId="76F511DB" w:rsidR="00F4486C" w:rsidRPr="0036327D" w:rsidRDefault="00F4486C" w:rsidP="000C4DF5">
      <w:pPr>
        <w:pStyle w:val="NoSpacing"/>
        <w:rPr>
          <w:rFonts w:ascii="Times New Roman" w:hAnsi="Times New Roman"/>
          <w:b/>
          <w:bCs/>
          <w:sz w:val="24"/>
          <w:szCs w:val="24"/>
        </w:rPr>
      </w:pPr>
      <w:bookmarkStart w:id="582" w:name="_Hlk40516405"/>
      <w:r w:rsidRPr="0036327D">
        <w:rPr>
          <w:rFonts w:ascii="Times New Roman" w:hAnsi="Times New Roman"/>
          <w:b/>
          <w:bCs/>
          <w:sz w:val="24"/>
          <w:szCs w:val="24"/>
        </w:rPr>
        <w:lastRenderedPageBreak/>
        <w:t>Legal Lessons Learned: Courts rely on the expert testimony of independent medical examiners. Psychiatrist’s notes from interview with firefighter become part of the “psychiatric history” of patient.</w:t>
      </w:r>
    </w:p>
    <w:p w14:paraId="32BAED14" w14:textId="4825EF1B" w:rsidR="00F4486C" w:rsidRPr="0036327D" w:rsidRDefault="00F4486C" w:rsidP="000C4DF5">
      <w:pPr>
        <w:pStyle w:val="NoSpacing"/>
        <w:rPr>
          <w:rFonts w:ascii="Times New Roman" w:hAnsi="Times New Roman"/>
          <w:b/>
          <w:bCs/>
          <w:sz w:val="24"/>
          <w:szCs w:val="24"/>
        </w:rPr>
      </w:pPr>
    </w:p>
    <w:bookmarkEnd w:id="582"/>
    <w:p w14:paraId="6D7D57FC" w14:textId="77777777" w:rsidR="0012517E" w:rsidRDefault="0012517E" w:rsidP="000C4DF5">
      <w:pPr>
        <w:pStyle w:val="NoSpacing"/>
        <w:rPr>
          <w:rFonts w:ascii="Arial Black" w:hAnsi="Arial Black"/>
          <w:sz w:val="24"/>
          <w:szCs w:val="24"/>
        </w:rPr>
      </w:pPr>
    </w:p>
    <w:p w14:paraId="0B7DC144" w14:textId="6C8CB80A" w:rsidR="000C4DF5" w:rsidRDefault="000C4DF5" w:rsidP="000C4DF5">
      <w:pPr>
        <w:pStyle w:val="NoSpacing"/>
        <w:rPr>
          <w:rFonts w:ascii="Arial Black" w:hAnsi="Arial Black"/>
          <w:sz w:val="24"/>
          <w:szCs w:val="24"/>
        </w:rPr>
      </w:pPr>
      <w:r>
        <w:rPr>
          <w:rFonts w:ascii="Arial Black" w:hAnsi="Arial Black"/>
          <w:sz w:val="24"/>
          <w:szCs w:val="24"/>
        </w:rPr>
        <w:t>15-3</w:t>
      </w:r>
    </w:p>
    <w:p w14:paraId="589F27BD" w14:textId="77777777" w:rsidR="00F326E5" w:rsidRDefault="00F326E5" w:rsidP="00F326E5">
      <w:pPr>
        <w:pStyle w:val="NoSpacing"/>
        <w:rPr>
          <w:rFonts w:ascii="FeTimes New Roman" w:hAnsi="FeTimes New Roman"/>
          <w:sz w:val="24"/>
          <w:szCs w:val="24"/>
        </w:rPr>
      </w:pPr>
    </w:p>
    <w:p w14:paraId="6CC47458" w14:textId="08A9F7D7" w:rsidR="00F326E5" w:rsidRDefault="00F326E5" w:rsidP="00F326E5">
      <w:pPr>
        <w:pStyle w:val="NoSpacing"/>
        <w:rPr>
          <w:rFonts w:ascii="Arial Black" w:hAnsi="Arial Black"/>
          <w:sz w:val="28"/>
          <w:szCs w:val="28"/>
        </w:rPr>
      </w:pPr>
      <w:bookmarkStart w:id="583" w:name="_Hlk39772756"/>
      <w:bookmarkStart w:id="584" w:name="_Hlk41155654"/>
      <w:bookmarkStart w:id="585" w:name="_Hlk7348353"/>
      <w:r w:rsidRPr="0091233E">
        <w:rPr>
          <w:rFonts w:ascii="Arial Black" w:hAnsi="Arial Black"/>
          <w:sz w:val="28"/>
          <w:szCs w:val="28"/>
        </w:rPr>
        <w:t xml:space="preserve">IL: </w:t>
      </w:r>
      <w:r>
        <w:rPr>
          <w:rFonts w:ascii="Arial Black" w:hAnsi="Arial Black"/>
          <w:sz w:val="28"/>
          <w:szCs w:val="28"/>
        </w:rPr>
        <w:t>PTSD –</w:t>
      </w:r>
      <w:r w:rsidR="000F18B0">
        <w:rPr>
          <w:rFonts w:ascii="Arial Black" w:hAnsi="Arial Black"/>
          <w:sz w:val="28"/>
          <w:szCs w:val="28"/>
        </w:rPr>
        <w:t xml:space="preserve"> </w:t>
      </w:r>
      <w:r>
        <w:rPr>
          <w:rFonts w:ascii="Arial Black" w:hAnsi="Arial Black"/>
          <w:sz w:val="28"/>
          <w:szCs w:val="28"/>
        </w:rPr>
        <w:t>COURT ORDERS DISABILITY PENSION - CHICAGO PARAMEDIC’S TRAUMATIC WORK EXPERIENCES</w:t>
      </w:r>
    </w:p>
    <w:p w14:paraId="3FDC7CBB" w14:textId="77777777" w:rsidR="000F18B0" w:rsidRDefault="000F18B0" w:rsidP="00F326E5">
      <w:pPr>
        <w:rPr>
          <w:rFonts w:ascii="Times New Roman" w:hAnsi="Times New Roman"/>
          <w:sz w:val="24"/>
          <w:szCs w:val="24"/>
        </w:rPr>
      </w:pPr>
    </w:p>
    <w:p w14:paraId="1F71FDEB" w14:textId="26F5D441" w:rsidR="00BC17B3" w:rsidRDefault="00F326E5" w:rsidP="00F326E5">
      <w:pPr>
        <w:rPr>
          <w:rFonts w:ascii="Times New Roman" w:hAnsi="Times New Roman"/>
          <w:sz w:val="24"/>
          <w:szCs w:val="24"/>
        </w:rPr>
      </w:pPr>
      <w:r w:rsidRPr="00BC17B3">
        <w:rPr>
          <w:rFonts w:ascii="Times New Roman" w:hAnsi="Times New Roman"/>
          <w:sz w:val="24"/>
          <w:szCs w:val="24"/>
        </w:rPr>
        <w:t xml:space="preserve">On Feb. 1, 2019, in </w:t>
      </w:r>
      <w:r w:rsidRPr="00BC17B3">
        <w:rPr>
          <w:rFonts w:ascii="Times New Roman" w:hAnsi="Times New Roman"/>
          <w:sz w:val="24"/>
          <w:szCs w:val="24"/>
          <w:u w:val="single"/>
        </w:rPr>
        <w:t>Leah Siwinski v. The Retirement Board of the Fireman’s Annuity and Benefit Fund of the City of Chicago</w:t>
      </w:r>
      <w:r w:rsidRPr="00BC17B3">
        <w:rPr>
          <w:rFonts w:ascii="Times New Roman" w:hAnsi="Times New Roman"/>
          <w:sz w:val="24"/>
          <w:szCs w:val="24"/>
        </w:rPr>
        <w:t xml:space="preserve">, the Appellate Court of Illinois (First District) held (3 to 0), </w:t>
      </w:r>
    </w:p>
    <w:p w14:paraId="47B04962" w14:textId="09AF26D9" w:rsidR="00F326E5" w:rsidRPr="00BC17B3" w:rsidRDefault="00F326E5" w:rsidP="00BC17B3">
      <w:pPr>
        <w:ind w:left="720"/>
        <w:rPr>
          <w:rFonts w:ascii="Times New Roman" w:eastAsia="Times New Roman" w:hAnsi="Times New Roman"/>
          <w:bCs/>
          <w:sz w:val="24"/>
          <w:szCs w:val="24"/>
        </w:rPr>
      </w:pPr>
      <w:r w:rsidRPr="00BC17B3">
        <w:rPr>
          <w:rFonts w:ascii="Times New Roman" w:hAnsi="Times New Roman"/>
          <w:sz w:val="24"/>
          <w:szCs w:val="24"/>
        </w:rPr>
        <w:t xml:space="preserve">“In summary, because the manifest weight of the evidence showed that the plaintiff sustained PTSD arising from an act or acts of duty while working for CFD, and as a result, was disabled from performing any of her assigned duties, we reverse the decision of the Board that denied her a duty disability pension, and reverse the decision of the circuit court, which confirmed the Board’s decision." </w:t>
      </w:r>
      <w:hyperlink r:id="rId2545" w:history="1">
        <w:r w:rsidRPr="00BC17B3">
          <w:rPr>
            <w:rStyle w:val="Hyperlink"/>
            <w:rFonts w:ascii="Times New Roman" w:hAnsi="Times New Roman"/>
            <w:sz w:val="24"/>
            <w:szCs w:val="24"/>
          </w:rPr>
          <w:t>https://law.justia.com/cases/illinois/court-of-appeals-first-appellate-district/2019/1-18-0388.html</w:t>
        </w:r>
      </w:hyperlink>
      <w:r w:rsidRPr="00BC17B3">
        <w:rPr>
          <w:rFonts w:ascii="Times New Roman" w:eastAsia="Times New Roman" w:hAnsi="Times New Roman"/>
          <w:bCs/>
          <w:sz w:val="24"/>
          <w:szCs w:val="24"/>
        </w:rPr>
        <w:t xml:space="preserve"> </w:t>
      </w:r>
    </w:p>
    <w:p w14:paraId="50FC005A" w14:textId="77777777" w:rsidR="00F326E5" w:rsidRPr="00BC17B3" w:rsidRDefault="00F326E5" w:rsidP="00F326E5">
      <w:pPr>
        <w:rPr>
          <w:rFonts w:ascii="Times New Roman" w:hAnsi="Times New Roman"/>
          <w:b/>
          <w:sz w:val="24"/>
          <w:szCs w:val="24"/>
        </w:rPr>
      </w:pPr>
      <w:bookmarkStart w:id="586" w:name="_Hlk40516463"/>
      <w:bookmarkEnd w:id="583"/>
      <w:r w:rsidRPr="00BC17B3">
        <w:rPr>
          <w:rFonts w:ascii="Times New Roman" w:hAnsi="Times New Roman"/>
          <w:b/>
          <w:sz w:val="24"/>
          <w:szCs w:val="24"/>
        </w:rPr>
        <w:t xml:space="preserve">Legal Lesson Learned:  PTSD is a recognized disability issue in </w:t>
      </w:r>
      <w:proofErr w:type="gramStart"/>
      <w:r w:rsidRPr="00BC17B3">
        <w:rPr>
          <w:rFonts w:ascii="Times New Roman" w:hAnsi="Times New Roman"/>
          <w:b/>
          <w:sz w:val="24"/>
          <w:szCs w:val="24"/>
        </w:rPr>
        <w:t>the emergency</w:t>
      </w:r>
      <w:proofErr w:type="gramEnd"/>
      <w:r w:rsidRPr="00BC17B3">
        <w:rPr>
          <w:rFonts w:ascii="Times New Roman" w:hAnsi="Times New Roman"/>
          <w:b/>
          <w:sz w:val="24"/>
          <w:szCs w:val="24"/>
        </w:rPr>
        <w:t xml:space="preserve"> services. </w:t>
      </w:r>
    </w:p>
    <w:p w14:paraId="6EA66F09" w14:textId="33AC367F" w:rsidR="00F326E5" w:rsidRPr="00BC17B3" w:rsidRDefault="000164B1" w:rsidP="00F326E5">
      <w:pPr>
        <w:pStyle w:val="NoSpacing"/>
        <w:ind w:left="720"/>
        <w:rPr>
          <w:rFonts w:ascii="Times New Roman" w:hAnsi="Times New Roman"/>
          <w:sz w:val="24"/>
          <w:szCs w:val="24"/>
        </w:rPr>
      </w:pPr>
      <w:r>
        <w:rPr>
          <w:rFonts w:ascii="Times New Roman" w:eastAsia="Times New Roman" w:hAnsi="Times New Roman"/>
          <w:bCs/>
          <w:sz w:val="24"/>
          <w:szCs w:val="24"/>
        </w:rPr>
        <w:t xml:space="preserve">Note: </w:t>
      </w:r>
      <w:r w:rsidR="00F326E5" w:rsidRPr="00BC17B3">
        <w:rPr>
          <w:rFonts w:ascii="Times New Roman" w:eastAsia="Times New Roman" w:hAnsi="Times New Roman"/>
          <w:bCs/>
          <w:sz w:val="24"/>
          <w:szCs w:val="24"/>
        </w:rPr>
        <w:t xml:space="preserve">See April 13, </w:t>
      </w:r>
      <w:proofErr w:type="gramStart"/>
      <w:r w:rsidR="00F326E5" w:rsidRPr="00BC17B3">
        <w:rPr>
          <w:rFonts w:ascii="Times New Roman" w:eastAsia="Times New Roman" w:hAnsi="Times New Roman"/>
          <w:bCs/>
          <w:sz w:val="24"/>
          <w:szCs w:val="24"/>
        </w:rPr>
        <w:t>2018</w:t>
      </w:r>
      <w:proofErr w:type="gramEnd"/>
      <w:r w:rsidR="00F326E5" w:rsidRPr="00BC17B3">
        <w:rPr>
          <w:rFonts w:ascii="Times New Roman" w:eastAsia="Times New Roman" w:hAnsi="Times New Roman"/>
          <w:bCs/>
          <w:sz w:val="24"/>
          <w:szCs w:val="24"/>
        </w:rPr>
        <w:t xml:space="preserve"> article: </w:t>
      </w:r>
      <w:r w:rsidR="00F326E5" w:rsidRPr="00BC17B3">
        <w:rPr>
          <w:rFonts w:ascii="Times New Roman" w:hAnsi="Times New Roman"/>
          <w:sz w:val="24"/>
          <w:szCs w:val="24"/>
        </w:rPr>
        <w:t xml:space="preserve">Study: More firefighters died by suicide than in the line of duty in 2017 - A study found that 103 firefighters and 140 police officers died by suicide in 2017. </w:t>
      </w:r>
      <w:hyperlink r:id="rId2546" w:history="1">
        <w:r w:rsidR="00F326E5" w:rsidRPr="00BC17B3">
          <w:rPr>
            <w:rStyle w:val="Hyperlink"/>
            <w:rFonts w:ascii="Times New Roman" w:hAnsi="Times New Roman"/>
            <w:sz w:val="24"/>
            <w:szCs w:val="24"/>
          </w:rPr>
          <w:t>https://www.firerescue1.com/fallen-firefighters/articles/379994018-Study-More-firefighters-died-by-suicide-than-in-the-line-of-duty-in-2017/</w:t>
        </w:r>
      </w:hyperlink>
      <w:r w:rsidR="00F326E5" w:rsidRPr="00BC17B3">
        <w:rPr>
          <w:rFonts w:ascii="Times New Roman" w:hAnsi="Times New Roman"/>
          <w:sz w:val="24"/>
          <w:szCs w:val="24"/>
        </w:rPr>
        <w:t xml:space="preserve"> </w:t>
      </w:r>
      <w:bookmarkEnd w:id="584"/>
      <w:r w:rsidR="00F326E5" w:rsidRPr="00BC17B3">
        <w:rPr>
          <w:rFonts w:ascii="Times New Roman" w:hAnsi="Times New Roman"/>
          <w:sz w:val="24"/>
          <w:szCs w:val="24"/>
        </w:rPr>
        <w:br/>
      </w:r>
    </w:p>
    <w:bookmarkEnd w:id="585"/>
    <w:bookmarkEnd w:id="586"/>
    <w:p w14:paraId="4269EABC" w14:textId="77777777" w:rsidR="000C4DF5" w:rsidRDefault="000C4DF5" w:rsidP="000C4DF5">
      <w:pPr>
        <w:pStyle w:val="NoSpacing"/>
        <w:rPr>
          <w:sz w:val="24"/>
          <w:szCs w:val="24"/>
        </w:rPr>
      </w:pPr>
    </w:p>
    <w:p w14:paraId="485914DD" w14:textId="77777777" w:rsidR="00BC17B3" w:rsidRDefault="00BC17B3" w:rsidP="000C4DF5">
      <w:pPr>
        <w:pStyle w:val="NoSpacing"/>
        <w:rPr>
          <w:rFonts w:ascii="Arial Black" w:hAnsi="Arial Black"/>
          <w:sz w:val="24"/>
          <w:szCs w:val="24"/>
        </w:rPr>
      </w:pPr>
    </w:p>
    <w:p w14:paraId="0E28ACF9" w14:textId="50C8F483" w:rsidR="000C4DF5" w:rsidRDefault="000C4DF5" w:rsidP="000C4DF5">
      <w:pPr>
        <w:pStyle w:val="NoSpacing"/>
        <w:rPr>
          <w:rFonts w:ascii="Arial Black" w:hAnsi="Arial Black"/>
          <w:sz w:val="24"/>
          <w:szCs w:val="24"/>
        </w:rPr>
      </w:pPr>
      <w:r>
        <w:rPr>
          <w:rFonts w:ascii="Arial Black" w:hAnsi="Arial Black"/>
          <w:sz w:val="24"/>
          <w:szCs w:val="24"/>
        </w:rPr>
        <w:t>15-2</w:t>
      </w:r>
    </w:p>
    <w:p w14:paraId="7ED320D9" w14:textId="77777777" w:rsidR="000C4DF5" w:rsidRDefault="000C4DF5" w:rsidP="00F326E5">
      <w:pPr>
        <w:pStyle w:val="NoSpacing"/>
        <w:rPr>
          <w:rFonts w:ascii="Arial Black" w:eastAsia="Times New Roman" w:hAnsi="Arial Black" w:cs="Arial"/>
          <w:sz w:val="28"/>
          <w:szCs w:val="28"/>
        </w:rPr>
      </w:pPr>
      <w:bookmarkStart w:id="587" w:name="_Hlk7184137"/>
    </w:p>
    <w:p w14:paraId="364BAE1A" w14:textId="745F15C5" w:rsidR="00F326E5" w:rsidRDefault="00F326E5" w:rsidP="00F326E5">
      <w:pPr>
        <w:pStyle w:val="NoSpacing"/>
        <w:rPr>
          <w:rFonts w:ascii="Arial Black" w:eastAsia="Times New Roman" w:hAnsi="Arial Black" w:cs="Arial"/>
          <w:sz w:val="28"/>
          <w:szCs w:val="28"/>
        </w:rPr>
      </w:pPr>
      <w:bookmarkStart w:id="588" w:name="_Hlk39820545"/>
      <w:r w:rsidRPr="00A15120">
        <w:rPr>
          <w:rFonts w:ascii="Arial Black" w:eastAsia="Times New Roman" w:hAnsi="Arial Black" w:cs="Arial"/>
          <w:sz w:val="28"/>
          <w:szCs w:val="28"/>
        </w:rPr>
        <w:t>MN</w:t>
      </w:r>
      <w:r>
        <w:rPr>
          <w:rFonts w:ascii="Arial Black" w:eastAsia="Times New Roman" w:hAnsi="Arial Black" w:cs="Arial"/>
          <w:sz w:val="28"/>
          <w:szCs w:val="28"/>
        </w:rPr>
        <w:t xml:space="preserve">: </w:t>
      </w:r>
      <w:r w:rsidRPr="00A15120">
        <w:rPr>
          <w:rFonts w:ascii="Arial Black" w:eastAsia="Times New Roman" w:hAnsi="Arial Black" w:cs="Arial"/>
          <w:sz w:val="28"/>
          <w:szCs w:val="28"/>
        </w:rPr>
        <w:t>PTSD – NEW STATUT</w:t>
      </w:r>
      <w:r>
        <w:rPr>
          <w:rFonts w:ascii="Arial Black" w:eastAsia="Times New Roman" w:hAnsi="Arial Black" w:cs="Arial"/>
          <w:sz w:val="28"/>
          <w:szCs w:val="28"/>
        </w:rPr>
        <w:t xml:space="preserve">ORY </w:t>
      </w:r>
      <w:r w:rsidRPr="00A15120">
        <w:rPr>
          <w:rFonts w:ascii="Arial Black" w:eastAsia="Times New Roman" w:hAnsi="Arial Black" w:cs="Arial"/>
          <w:sz w:val="28"/>
          <w:szCs w:val="28"/>
        </w:rPr>
        <w:t xml:space="preserve">PRESUMPTION </w:t>
      </w:r>
      <w:r>
        <w:rPr>
          <w:rFonts w:ascii="Arial Black" w:eastAsia="Times New Roman" w:hAnsi="Arial Black" w:cs="Arial"/>
          <w:sz w:val="28"/>
          <w:szCs w:val="28"/>
        </w:rPr>
        <w:t xml:space="preserve">THAT PTSD IS WORKPLACE </w:t>
      </w:r>
    </w:p>
    <w:p w14:paraId="476D646C" w14:textId="77777777" w:rsidR="00BC17B3" w:rsidRDefault="00F326E5" w:rsidP="00F326E5">
      <w:pPr>
        <w:rPr>
          <w:rFonts w:ascii="Times New Roman" w:hAnsi="Times New Roman"/>
          <w:sz w:val="24"/>
          <w:szCs w:val="24"/>
        </w:rPr>
      </w:pPr>
      <w:r w:rsidRPr="00BC17B3">
        <w:rPr>
          <w:rFonts w:ascii="Times New Roman" w:hAnsi="Times New Roman"/>
          <w:sz w:val="24"/>
          <w:szCs w:val="24"/>
        </w:rPr>
        <w:t xml:space="preserve">Effective Jan. 1, 2019, the new state statute, </w:t>
      </w:r>
    </w:p>
    <w:p w14:paraId="1062ECBF" w14:textId="08307E64" w:rsidR="00F326E5" w:rsidRPr="00BC17B3" w:rsidRDefault="00F326E5" w:rsidP="00BC17B3">
      <w:pPr>
        <w:ind w:left="720"/>
        <w:rPr>
          <w:rFonts w:ascii="Times New Roman" w:eastAsia="Times New Roman" w:hAnsi="Times New Roman"/>
          <w:sz w:val="24"/>
          <w:szCs w:val="24"/>
        </w:rPr>
      </w:pPr>
      <w:proofErr w:type="gramStart"/>
      <w:r w:rsidRPr="00BC17B3">
        <w:rPr>
          <w:rFonts w:ascii="Times New Roman" w:hAnsi="Times New Roman"/>
          <w:sz w:val="24"/>
          <w:szCs w:val="24"/>
        </w:rPr>
        <w:t>“post</w:t>
      </w:r>
      <w:proofErr w:type="gramEnd"/>
      <w:r w:rsidRPr="00BC17B3">
        <w:rPr>
          <w:rFonts w:ascii="Times New Roman" w:hAnsi="Times New Roman"/>
          <w:sz w:val="24"/>
          <w:szCs w:val="24"/>
        </w:rPr>
        <w:t xml:space="preserve">-traumatic stress disorder was reclassified as an occupational disease for first responders. That includes police officers, firefighters, paramedics, emergency medical technicians, and nurses who provide emergency medical services outside of a medical facility.” </w:t>
      </w:r>
      <w:hyperlink r:id="rId2547" w:history="1">
        <w:r w:rsidRPr="00BC17B3">
          <w:rPr>
            <w:rStyle w:val="Hyperlink"/>
            <w:rFonts w:ascii="Times New Roman" w:hAnsi="Times New Roman"/>
            <w:sz w:val="24"/>
            <w:szCs w:val="24"/>
          </w:rPr>
          <w:t>https://www.postbulletin.com/news/public_safety/ptsd-now-an-occupational-disease-for-first-responders/article_27a2353c-15d3-11e9-a864-cb74a37ce7f1.html</w:t>
        </w:r>
      </w:hyperlink>
      <w:bookmarkEnd w:id="588"/>
      <w:r w:rsidRPr="00BC17B3">
        <w:rPr>
          <w:rFonts w:ascii="Times New Roman" w:hAnsi="Times New Roman"/>
          <w:b/>
          <w:sz w:val="24"/>
          <w:szCs w:val="24"/>
        </w:rPr>
        <w:t xml:space="preserve"> </w:t>
      </w:r>
    </w:p>
    <w:p w14:paraId="3E2111EF" w14:textId="77777777" w:rsidR="00F326E5" w:rsidRPr="00BC17B3" w:rsidRDefault="00F326E5" w:rsidP="00F326E5">
      <w:pPr>
        <w:pStyle w:val="Heading1"/>
        <w:rPr>
          <w:sz w:val="24"/>
          <w:szCs w:val="24"/>
        </w:rPr>
      </w:pPr>
      <w:r w:rsidRPr="00BC17B3">
        <w:rPr>
          <w:sz w:val="24"/>
          <w:szCs w:val="24"/>
        </w:rPr>
        <w:t xml:space="preserve">Legal Lessons Learned: Several states have enacted similar statutes.  See “Update: Workers’ Comp Coverage for Firefighters,” </w:t>
      </w:r>
      <w:hyperlink r:id="rId2548" w:history="1">
        <w:r w:rsidRPr="00BC17B3">
          <w:rPr>
            <w:rStyle w:val="Hyperlink"/>
            <w:b w:val="0"/>
            <w:sz w:val="24"/>
            <w:szCs w:val="24"/>
          </w:rPr>
          <w:t>https://www.wci360.com/update-workers-comp-coverage-for-firefighters/</w:t>
        </w:r>
      </w:hyperlink>
      <w:r w:rsidRPr="00BC17B3">
        <w:rPr>
          <w:sz w:val="24"/>
          <w:szCs w:val="24"/>
        </w:rPr>
        <w:t xml:space="preserve">.  </w:t>
      </w:r>
    </w:p>
    <w:p w14:paraId="15B9E0A8" w14:textId="77777777" w:rsidR="00F326E5" w:rsidRPr="00BC17B3" w:rsidRDefault="00F326E5" w:rsidP="00F326E5">
      <w:pPr>
        <w:spacing w:before="100" w:beforeAutospacing="1" w:after="100" w:afterAutospacing="1"/>
        <w:ind w:left="360"/>
        <w:rPr>
          <w:rFonts w:ascii="Times New Roman" w:hAnsi="Times New Roman"/>
          <w:sz w:val="24"/>
          <w:szCs w:val="24"/>
        </w:rPr>
      </w:pPr>
      <w:r w:rsidRPr="00BC17B3">
        <w:rPr>
          <w:rFonts w:ascii="Times New Roman" w:hAnsi="Times New Roman"/>
          <w:sz w:val="24"/>
          <w:szCs w:val="24"/>
        </w:rPr>
        <w:t xml:space="preserve">See also this report: </w:t>
      </w:r>
      <w:hyperlink r:id="rId2549" w:history="1">
        <w:r w:rsidRPr="00BC17B3">
          <w:rPr>
            <w:rStyle w:val="Hyperlink"/>
            <w:rFonts w:ascii="Times New Roman" w:hAnsi="Times New Roman"/>
            <w:sz w:val="24"/>
            <w:szCs w:val="24"/>
          </w:rPr>
          <w:t>https://www.minnesotacomp.com/blog/2018/11/post-traumatic-stress-disorder-may-become-a-presumptive-condition-for-first-responders/</w:t>
        </w:r>
      </w:hyperlink>
      <w:r w:rsidRPr="00BC17B3">
        <w:rPr>
          <w:rFonts w:ascii="Times New Roman" w:eastAsia="Times New Roman" w:hAnsi="Times New Roman"/>
          <w:sz w:val="24"/>
          <w:szCs w:val="24"/>
        </w:rPr>
        <w:t xml:space="preserve">  </w:t>
      </w:r>
    </w:p>
    <w:p w14:paraId="16EC56EA" w14:textId="77777777" w:rsidR="00F326E5" w:rsidRPr="00BC17B3" w:rsidRDefault="00F326E5" w:rsidP="00F326E5">
      <w:pPr>
        <w:numPr>
          <w:ilvl w:val="0"/>
          <w:numId w:val="2"/>
        </w:numPr>
        <w:spacing w:before="100" w:beforeAutospacing="1" w:after="100" w:afterAutospacing="1" w:line="240" w:lineRule="auto"/>
        <w:rPr>
          <w:rFonts w:ascii="Times New Roman" w:hAnsi="Times New Roman"/>
          <w:sz w:val="24"/>
          <w:szCs w:val="24"/>
        </w:rPr>
      </w:pPr>
      <w:r w:rsidRPr="00BC17B3">
        <w:rPr>
          <w:rFonts w:ascii="Times New Roman" w:hAnsi="Times New Roman"/>
          <w:sz w:val="24"/>
          <w:szCs w:val="24"/>
        </w:rPr>
        <w:lastRenderedPageBreak/>
        <w:t xml:space="preserve">So far in 2018, of 103 state bills dealt with workers compensation provisions for first responders and only 6 bills past passed “true occupational presumption for PTSD.”  </w:t>
      </w:r>
      <w:hyperlink r:id="rId2550" w:tgtFrame="_blank" w:history="1">
        <w:r w:rsidRPr="00BC17B3">
          <w:rPr>
            <w:rStyle w:val="Hyperlink"/>
            <w:rFonts w:ascii="Times New Roman" w:hAnsi="Times New Roman"/>
            <w:sz w:val="24"/>
            <w:szCs w:val="24"/>
          </w:rPr>
          <w:t>Washington State</w:t>
        </w:r>
      </w:hyperlink>
      <w:r w:rsidRPr="00BC17B3">
        <w:rPr>
          <w:rFonts w:ascii="Times New Roman" w:hAnsi="Times New Roman"/>
          <w:sz w:val="24"/>
          <w:szCs w:val="24"/>
        </w:rPr>
        <w:t>, Florida, Vermont, Hawaii, New Jersey, and New Hampshire enacted inclusion of the PTSD presumption into their workers’ compensation legislation.</w:t>
      </w:r>
    </w:p>
    <w:p w14:paraId="03CF063C" w14:textId="77777777" w:rsidR="00F326E5" w:rsidRPr="00BC17B3" w:rsidRDefault="00F326E5" w:rsidP="00F326E5">
      <w:pPr>
        <w:numPr>
          <w:ilvl w:val="0"/>
          <w:numId w:val="2"/>
        </w:numPr>
        <w:spacing w:before="100" w:beforeAutospacing="1" w:after="100" w:afterAutospacing="1" w:line="240" w:lineRule="auto"/>
        <w:rPr>
          <w:rFonts w:ascii="Times New Roman" w:hAnsi="Times New Roman"/>
          <w:sz w:val="24"/>
          <w:szCs w:val="24"/>
        </w:rPr>
      </w:pPr>
      <w:r w:rsidRPr="00BC17B3">
        <w:rPr>
          <w:rFonts w:ascii="Times New Roman" w:hAnsi="Times New Roman"/>
          <w:sz w:val="24"/>
          <w:szCs w:val="24"/>
        </w:rPr>
        <w:t>In 2017, Colorado passed a bill recognizing PTSD as compensable under workers compensation. Then the state passed a bill allowing the treatment of PTSD using medical marijuana.</w:t>
      </w:r>
    </w:p>
    <w:p w14:paraId="382EDA41" w14:textId="77777777" w:rsidR="00F326E5" w:rsidRPr="00BC17B3" w:rsidRDefault="00F326E5" w:rsidP="00F326E5">
      <w:pPr>
        <w:numPr>
          <w:ilvl w:val="0"/>
          <w:numId w:val="2"/>
        </w:numPr>
        <w:spacing w:before="100" w:beforeAutospacing="1" w:after="100" w:afterAutospacing="1" w:line="240" w:lineRule="auto"/>
        <w:rPr>
          <w:rFonts w:ascii="Times New Roman" w:hAnsi="Times New Roman"/>
          <w:sz w:val="24"/>
          <w:szCs w:val="24"/>
        </w:rPr>
      </w:pPr>
      <w:r w:rsidRPr="00BC17B3">
        <w:rPr>
          <w:rFonts w:ascii="Times New Roman" w:hAnsi="Times New Roman"/>
          <w:sz w:val="24"/>
          <w:szCs w:val="24"/>
        </w:rPr>
        <w:t>South Carolina created a $500,000 fund to help fund first responders out of pocket medical costs related to the treatment of PTSD.</w:t>
      </w:r>
    </w:p>
    <w:p w14:paraId="7877BAC3" w14:textId="77777777" w:rsidR="00F326E5" w:rsidRPr="00BC17B3" w:rsidRDefault="00F326E5" w:rsidP="00F326E5">
      <w:pPr>
        <w:numPr>
          <w:ilvl w:val="0"/>
          <w:numId w:val="2"/>
        </w:numPr>
        <w:spacing w:before="100" w:beforeAutospacing="1" w:after="100" w:afterAutospacing="1" w:line="240" w:lineRule="auto"/>
        <w:rPr>
          <w:rFonts w:ascii="Times New Roman" w:hAnsi="Times New Roman"/>
          <w:sz w:val="24"/>
          <w:szCs w:val="24"/>
        </w:rPr>
      </w:pPr>
      <w:r w:rsidRPr="00BC17B3">
        <w:rPr>
          <w:rFonts w:ascii="Times New Roman" w:hAnsi="Times New Roman"/>
          <w:sz w:val="24"/>
          <w:szCs w:val="24"/>
        </w:rPr>
        <w:t>Texas passed an act that eases the burden for first responders filing PTSD claims, requiring the lower standard of proof: “preponderance of evidence” and without the need to declare medical impairment.</w:t>
      </w:r>
    </w:p>
    <w:p w14:paraId="2444D22A" w14:textId="77777777" w:rsidR="00F326E5" w:rsidRPr="00BC17B3" w:rsidRDefault="00F326E5" w:rsidP="00F326E5">
      <w:pPr>
        <w:numPr>
          <w:ilvl w:val="0"/>
          <w:numId w:val="2"/>
        </w:numPr>
        <w:spacing w:before="100" w:beforeAutospacing="1" w:after="100" w:afterAutospacing="1" w:line="240" w:lineRule="auto"/>
        <w:rPr>
          <w:rFonts w:ascii="Times New Roman" w:eastAsia="Times New Roman" w:hAnsi="Times New Roman"/>
          <w:sz w:val="24"/>
          <w:szCs w:val="24"/>
        </w:rPr>
      </w:pPr>
      <w:r w:rsidRPr="00BC17B3">
        <w:rPr>
          <w:rFonts w:ascii="Times New Roman" w:hAnsi="Times New Roman"/>
          <w:sz w:val="24"/>
          <w:szCs w:val="24"/>
        </w:rPr>
        <w:t xml:space="preserve">New York included PTSD references in the 2018 budget that would allow first responders to claim personal injury based on “extraordinary work-related stress” [Hanson &amp; Watson, “Addressing the Emergence of PTSD Presumption: Issues and Solutions” pdf]. </w:t>
      </w:r>
    </w:p>
    <w:p w14:paraId="7F3F4A87" w14:textId="77777777" w:rsidR="00F326E5" w:rsidRPr="00BC17B3" w:rsidRDefault="00F326E5" w:rsidP="00F326E5">
      <w:pPr>
        <w:pStyle w:val="Heading1"/>
        <w:ind w:left="720"/>
        <w:rPr>
          <w:sz w:val="24"/>
          <w:szCs w:val="24"/>
        </w:rPr>
      </w:pPr>
      <w:r w:rsidRPr="00BC17B3">
        <w:rPr>
          <w:sz w:val="24"/>
          <w:szCs w:val="24"/>
        </w:rPr>
        <w:t xml:space="preserve">See also Jan. 17, </w:t>
      </w:r>
      <w:proofErr w:type="gramStart"/>
      <w:r w:rsidRPr="00BC17B3">
        <w:rPr>
          <w:sz w:val="24"/>
          <w:szCs w:val="24"/>
        </w:rPr>
        <w:t>2019</w:t>
      </w:r>
      <w:proofErr w:type="gramEnd"/>
      <w:r w:rsidRPr="00BC17B3">
        <w:rPr>
          <w:sz w:val="24"/>
          <w:szCs w:val="24"/>
        </w:rPr>
        <w:t xml:space="preserve"> article from Massachusetts: “Critical incident intervention for first responders bill signed into law.” </w:t>
      </w:r>
      <w:hyperlink r:id="rId2551" w:history="1">
        <w:r w:rsidRPr="00BC17B3">
          <w:rPr>
            <w:rStyle w:val="Hyperlink"/>
            <w:sz w:val="24"/>
            <w:szCs w:val="24"/>
          </w:rPr>
          <w:t>https://www.wwlp.com/news/massachusetts/critical-incident-intervention-for-first-responders-bill-signed-into-law/1706453191</w:t>
        </w:r>
      </w:hyperlink>
      <w:r w:rsidRPr="00BC17B3">
        <w:rPr>
          <w:sz w:val="24"/>
          <w:szCs w:val="24"/>
        </w:rPr>
        <w:t xml:space="preserve"> </w:t>
      </w:r>
    </w:p>
    <w:bookmarkEnd w:id="587"/>
    <w:p w14:paraId="5FAAE6C5" w14:textId="77777777" w:rsidR="00536545" w:rsidRDefault="00536545" w:rsidP="000C4DF5">
      <w:pPr>
        <w:pStyle w:val="NoSpacing"/>
        <w:rPr>
          <w:rFonts w:ascii="Arial Black" w:hAnsi="Arial Black"/>
          <w:sz w:val="24"/>
          <w:szCs w:val="24"/>
        </w:rPr>
      </w:pPr>
    </w:p>
    <w:p w14:paraId="34B2A7A8" w14:textId="2D16D30A" w:rsidR="000C4DF5" w:rsidRDefault="000C4DF5" w:rsidP="000C4DF5">
      <w:pPr>
        <w:pStyle w:val="NoSpacing"/>
        <w:rPr>
          <w:rFonts w:ascii="Arial Black" w:hAnsi="Arial Black"/>
          <w:sz w:val="24"/>
          <w:szCs w:val="24"/>
        </w:rPr>
      </w:pPr>
      <w:r>
        <w:rPr>
          <w:rFonts w:ascii="Arial Black" w:hAnsi="Arial Black"/>
          <w:sz w:val="24"/>
          <w:szCs w:val="24"/>
        </w:rPr>
        <w:t>15-1</w:t>
      </w:r>
    </w:p>
    <w:p w14:paraId="0A6358D3" w14:textId="77777777" w:rsidR="00F326E5" w:rsidRDefault="00F326E5" w:rsidP="00F326E5">
      <w:pPr>
        <w:pStyle w:val="NoSpacing"/>
        <w:rPr>
          <w:sz w:val="24"/>
          <w:szCs w:val="24"/>
        </w:rPr>
      </w:pPr>
    </w:p>
    <w:p w14:paraId="34F9950D" w14:textId="0EB6C5DB" w:rsidR="00F326E5" w:rsidRDefault="00F326E5" w:rsidP="00F326E5">
      <w:pPr>
        <w:pStyle w:val="NoSpacing"/>
        <w:rPr>
          <w:rFonts w:ascii="Arial Black" w:hAnsi="Arial Black"/>
          <w:b/>
          <w:sz w:val="28"/>
          <w:szCs w:val="28"/>
        </w:rPr>
      </w:pPr>
      <w:bookmarkStart w:id="589" w:name="_Hlk39772846"/>
      <w:bookmarkStart w:id="590" w:name="_Hlk7348476"/>
      <w:r w:rsidRPr="008C56F7">
        <w:rPr>
          <w:rFonts w:ascii="Arial Black" w:hAnsi="Arial Black"/>
          <w:b/>
          <w:sz w:val="28"/>
          <w:szCs w:val="28"/>
        </w:rPr>
        <w:t>NJ</w:t>
      </w:r>
      <w:r>
        <w:rPr>
          <w:rFonts w:ascii="Arial Black" w:hAnsi="Arial Black"/>
          <w:b/>
          <w:sz w:val="28"/>
          <w:szCs w:val="28"/>
        </w:rPr>
        <w:t xml:space="preserve">: </w:t>
      </w:r>
      <w:r w:rsidRPr="008C56F7">
        <w:rPr>
          <w:rFonts w:ascii="Arial Black" w:hAnsi="Arial Black"/>
          <w:b/>
          <w:sz w:val="28"/>
          <w:szCs w:val="28"/>
        </w:rPr>
        <w:t xml:space="preserve">PTSD – </w:t>
      </w:r>
      <w:r>
        <w:rPr>
          <w:rFonts w:ascii="Arial Black" w:hAnsi="Arial Black"/>
          <w:b/>
          <w:sz w:val="28"/>
          <w:szCs w:val="28"/>
        </w:rPr>
        <w:t xml:space="preserve">POLICE OFFICERS MUST PROVE EXPERIENCED “TERRIFYING” &amp; “UNEXPECTED” EVENT </w:t>
      </w:r>
    </w:p>
    <w:p w14:paraId="3E2AA062" w14:textId="77777777" w:rsidR="005B7BBD" w:rsidRDefault="00F326E5" w:rsidP="00F326E5">
      <w:pPr>
        <w:pStyle w:val="NoSpacing"/>
        <w:rPr>
          <w:rFonts w:ascii="Times New Roman" w:eastAsia="Times New Roman" w:hAnsi="Times New Roman"/>
          <w:sz w:val="24"/>
          <w:szCs w:val="24"/>
        </w:rPr>
      </w:pPr>
      <w:r w:rsidRPr="00BC17B3">
        <w:rPr>
          <w:rFonts w:ascii="Times New Roman" w:eastAsia="Times New Roman" w:hAnsi="Times New Roman"/>
          <w:sz w:val="24"/>
          <w:szCs w:val="24"/>
        </w:rPr>
        <w:t xml:space="preserve">On June 5, 2018, in </w:t>
      </w:r>
      <w:r w:rsidRPr="00BC17B3">
        <w:rPr>
          <w:rFonts w:ascii="Times New Roman" w:eastAsia="Times New Roman" w:hAnsi="Times New Roman"/>
          <w:sz w:val="24"/>
          <w:szCs w:val="24"/>
          <w:u w:val="single"/>
        </w:rPr>
        <w:t>Christopher Mount v. Board of Trustees, Police and Fireman’s Retirement System</w:t>
      </w:r>
      <w:r w:rsidRPr="00BC17B3">
        <w:rPr>
          <w:rFonts w:ascii="Times New Roman" w:eastAsia="Times New Roman" w:hAnsi="Times New Roman"/>
          <w:sz w:val="24"/>
          <w:szCs w:val="24"/>
        </w:rPr>
        <w:t xml:space="preserve">, the New Jersey Supreme Court (7 to 0) held in two cases (1) that police officer who observed three teenagers burned to death in MVA may have a claim; but (2) police hostage negotiator has no claim when SWAT Team killed the assailant.  </w:t>
      </w:r>
    </w:p>
    <w:p w14:paraId="2F23A738" w14:textId="77777777" w:rsidR="005B7BBD" w:rsidRDefault="005B7BBD" w:rsidP="00F326E5">
      <w:pPr>
        <w:pStyle w:val="NoSpacing"/>
        <w:rPr>
          <w:rFonts w:ascii="Times New Roman" w:eastAsia="Times New Roman" w:hAnsi="Times New Roman"/>
          <w:sz w:val="24"/>
          <w:szCs w:val="24"/>
        </w:rPr>
      </w:pPr>
    </w:p>
    <w:p w14:paraId="65D7E4CB" w14:textId="0457960A" w:rsidR="00F326E5" w:rsidRPr="00BC17B3" w:rsidRDefault="00F326E5" w:rsidP="005B7BBD">
      <w:pPr>
        <w:pStyle w:val="NoSpacing"/>
        <w:ind w:left="720"/>
        <w:rPr>
          <w:rFonts w:ascii="Times New Roman" w:eastAsia="Times New Roman" w:hAnsi="Times New Roman"/>
          <w:sz w:val="24"/>
          <w:szCs w:val="24"/>
        </w:rPr>
      </w:pPr>
      <w:r w:rsidRPr="00BC17B3">
        <w:rPr>
          <w:rFonts w:ascii="Times New Roman" w:eastAsia="Times New Roman" w:hAnsi="Times New Roman"/>
          <w:sz w:val="24"/>
          <w:szCs w:val="24"/>
        </w:rPr>
        <w:t xml:space="preserve">“Although the shooting was clearly devastating to Martinez -- an officer exemplary for his professionalism and compassion in highly stressful circumstances -- it was not “unexpected….” </w:t>
      </w:r>
    </w:p>
    <w:p w14:paraId="26712E1E" w14:textId="61523A8C" w:rsidR="00F326E5" w:rsidRPr="00BC17B3" w:rsidRDefault="005B7BBD" w:rsidP="005B7BBD">
      <w:pPr>
        <w:ind w:firstLine="720"/>
        <w:rPr>
          <w:rFonts w:ascii="Times New Roman" w:eastAsia="Times New Roman" w:hAnsi="Times New Roman"/>
          <w:sz w:val="24"/>
          <w:szCs w:val="24"/>
        </w:rPr>
      </w:pPr>
      <w:hyperlink r:id="rId2552" w:history="1">
        <w:r w:rsidRPr="00D07486">
          <w:rPr>
            <w:rStyle w:val="Hyperlink"/>
            <w:rFonts w:ascii="Times New Roman" w:hAnsi="Times New Roman"/>
            <w:sz w:val="24"/>
            <w:szCs w:val="24"/>
          </w:rPr>
          <w:t>https://law.justia.com/cases/new-jersey/supreme-court/2018/a-9-16.html</w:t>
        </w:r>
      </w:hyperlink>
      <w:bookmarkEnd w:id="589"/>
      <w:r w:rsidR="00F326E5" w:rsidRPr="00BC17B3">
        <w:rPr>
          <w:rFonts w:ascii="Times New Roman" w:eastAsia="Times New Roman" w:hAnsi="Times New Roman"/>
          <w:sz w:val="24"/>
          <w:szCs w:val="24"/>
        </w:rPr>
        <w:t xml:space="preserve"> </w:t>
      </w:r>
    </w:p>
    <w:p w14:paraId="5F02FDBA" w14:textId="336E5178" w:rsidR="00F326E5" w:rsidRPr="00BC17B3" w:rsidRDefault="00F326E5" w:rsidP="00F326E5">
      <w:pPr>
        <w:pStyle w:val="HTMLPreformatted"/>
        <w:rPr>
          <w:rFonts w:ascii="Times New Roman" w:hAnsi="Times New Roman" w:cs="Times New Roman"/>
          <w:b/>
          <w:sz w:val="24"/>
          <w:szCs w:val="24"/>
        </w:rPr>
      </w:pPr>
      <w:bookmarkStart w:id="591" w:name="_Hlk40516566"/>
      <w:r w:rsidRPr="00BC17B3">
        <w:rPr>
          <w:rFonts w:ascii="Times New Roman" w:hAnsi="Times New Roman" w:cs="Times New Roman"/>
          <w:b/>
          <w:sz w:val="24"/>
          <w:szCs w:val="24"/>
        </w:rPr>
        <w:t xml:space="preserve">Legal Lessons Learned:  PTSD accidental disbenefit ability claims, with no physical injury, are particularly difficult </w:t>
      </w:r>
      <w:r w:rsidR="000164B1">
        <w:rPr>
          <w:rFonts w:ascii="Times New Roman" w:hAnsi="Times New Roman" w:cs="Times New Roman"/>
          <w:b/>
          <w:sz w:val="24"/>
          <w:szCs w:val="24"/>
        </w:rPr>
        <w:t>to prove.</w:t>
      </w:r>
    </w:p>
    <w:bookmarkEnd w:id="591"/>
    <w:p w14:paraId="10CCB7B1" w14:textId="77777777" w:rsidR="00F326E5" w:rsidRDefault="00F326E5" w:rsidP="00F326E5">
      <w:pPr>
        <w:rPr>
          <w:rFonts w:ascii="Arial Black" w:hAnsi="Arial Black"/>
          <w:sz w:val="40"/>
          <w:szCs w:val="40"/>
        </w:rPr>
      </w:pPr>
      <w:r>
        <w:rPr>
          <w:rFonts w:ascii="Arial Black" w:hAnsi="Arial Black"/>
          <w:sz w:val="40"/>
          <w:szCs w:val="40"/>
        </w:rPr>
        <w:br w:type="page"/>
      </w:r>
    </w:p>
    <w:bookmarkEnd w:id="590"/>
    <w:p w14:paraId="18AFC317" w14:textId="77777777" w:rsidR="00F326E5" w:rsidRPr="007732FA" w:rsidRDefault="00F326E5" w:rsidP="00F326E5">
      <w:pPr>
        <w:pStyle w:val="NoSpacing"/>
        <w:rPr>
          <w:rFonts w:ascii="Arial Black" w:hAnsi="Arial Black"/>
          <w:sz w:val="40"/>
          <w:szCs w:val="40"/>
        </w:rPr>
      </w:pPr>
    </w:p>
    <w:p w14:paraId="1C364A7F" w14:textId="77777777" w:rsidR="00635D7C" w:rsidRDefault="00635D7C" w:rsidP="00F326E5">
      <w:pPr>
        <w:pStyle w:val="NoSpacing"/>
        <w:rPr>
          <w:rFonts w:ascii="Arial Black" w:hAnsi="Arial Black"/>
          <w:sz w:val="40"/>
          <w:szCs w:val="40"/>
        </w:rPr>
      </w:pPr>
    </w:p>
    <w:p w14:paraId="1EF127B7" w14:textId="77777777" w:rsidR="00635D7C" w:rsidRDefault="00635D7C" w:rsidP="00F326E5">
      <w:pPr>
        <w:pStyle w:val="NoSpacing"/>
        <w:rPr>
          <w:rFonts w:ascii="Arial Black" w:hAnsi="Arial Black"/>
          <w:sz w:val="40"/>
          <w:szCs w:val="40"/>
        </w:rPr>
      </w:pPr>
    </w:p>
    <w:p w14:paraId="5DC8F06C" w14:textId="77777777" w:rsidR="00635D7C" w:rsidRDefault="00635D7C" w:rsidP="00F326E5">
      <w:pPr>
        <w:pStyle w:val="NoSpacing"/>
        <w:rPr>
          <w:rFonts w:ascii="Arial Black" w:hAnsi="Arial Black"/>
          <w:sz w:val="40"/>
          <w:szCs w:val="40"/>
        </w:rPr>
      </w:pPr>
    </w:p>
    <w:p w14:paraId="50F1B38C" w14:textId="77777777" w:rsidR="00635D7C" w:rsidRDefault="00635D7C" w:rsidP="00F326E5">
      <w:pPr>
        <w:pStyle w:val="NoSpacing"/>
        <w:rPr>
          <w:rFonts w:ascii="Arial Black" w:hAnsi="Arial Black"/>
          <w:sz w:val="40"/>
          <w:szCs w:val="40"/>
        </w:rPr>
      </w:pPr>
    </w:p>
    <w:p w14:paraId="07D35F4C" w14:textId="77777777" w:rsidR="00635D7C" w:rsidRDefault="00635D7C" w:rsidP="00F326E5">
      <w:pPr>
        <w:pStyle w:val="NoSpacing"/>
        <w:rPr>
          <w:rFonts w:ascii="Arial Black" w:hAnsi="Arial Black"/>
          <w:sz w:val="40"/>
          <w:szCs w:val="40"/>
        </w:rPr>
      </w:pPr>
    </w:p>
    <w:p w14:paraId="18AC572B" w14:textId="77777777" w:rsidR="00635D7C" w:rsidRDefault="00635D7C" w:rsidP="00F326E5">
      <w:pPr>
        <w:pStyle w:val="NoSpacing"/>
        <w:rPr>
          <w:rFonts w:ascii="Arial Black" w:hAnsi="Arial Black"/>
          <w:sz w:val="40"/>
          <w:szCs w:val="40"/>
        </w:rPr>
      </w:pPr>
    </w:p>
    <w:p w14:paraId="4E504245" w14:textId="77777777" w:rsidR="00635D7C" w:rsidRDefault="00635D7C" w:rsidP="00F326E5">
      <w:pPr>
        <w:pStyle w:val="NoSpacing"/>
        <w:rPr>
          <w:rFonts w:ascii="Arial Black" w:hAnsi="Arial Black"/>
          <w:sz w:val="40"/>
          <w:szCs w:val="40"/>
        </w:rPr>
      </w:pPr>
    </w:p>
    <w:p w14:paraId="5F3A9ACC" w14:textId="77777777" w:rsidR="00635D7C" w:rsidRDefault="00635D7C" w:rsidP="00F326E5">
      <w:pPr>
        <w:pStyle w:val="NoSpacing"/>
        <w:rPr>
          <w:rFonts w:ascii="Arial Black" w:hAnsi="Arial Black"/>
          <w:sz w:val="40"/>
          <w:szCs w:val="40"/>
        </w:rPr>
      </w:pPr>
    </w:p>
    <w:p w14:paraId="5C936DAB" w14:textId="77777777" w:rsidR="00635D7C" w:rsidRDefault="00635D7C" w:rsidP="00F326E5">
      <w:pPr>
        <w:pStyle w:val="NoSpacing"/>
        <w:rPr>
          <w:rFonts w:ascii="Arial Black" w:hAnsi="Arial Black"/>
          <w:sz w:val="40"/>
          <w:szCs w:val="40"/>
        </w:rPr>
      </w:pPr>
    </w:p>
    <w:p w14:paraId="0C1B4DD9" w14:textId="77777777" w:rsidR="00635D7C" w:rsidRDefault="00635D7C" w:rsidP="00F326E5">
      <w:pPr>
        <w:pStyle w:val="NoSpacing"/>
        <w:rPr>
          <w:rFonts w:ascii="Arial Black" w:hAnsi="Arial Black"/>
          <w:sz w:val="40"/>
          <w:szCs w:val="40"/>
        </w:rPr>
      </w:pPr>
    </w:p>
    <w:p w14:paraId="4DBF6E21" w14:textId="77777777" w:rsidR="00635D7C" w:rsidRDefault="00635D7C" w:rsidP="00F326E5">
      <w:pPr>
        <w:pStyle w:val="NoSpacing"/>
        <w:rPr>
          <w:rFonts w:ascii="Arial Black" w:hAnsi="Arial Black"/>
          <w:sz w:val="40"/>
          <w:szCs w:val="40"/>
        </w:rPr>
      </w:pPr>
    </w:p>
    <w:p w14:paraId="06207580" w14:textId="77777777" w:rsidR="00635D7C" w:rsidRDefault="00635D7C" w:rsidP="00F326E5">
      <w:pPr>
        <w:pStyle w:val="NoSpacing"/>
        <w:rPr>
          <w:rFonts w:ascii="Arial Black" w:hAnsi="Arial Black"/>
          <w:sz w:val="40"/>
          <w:szCs w:val="40"/>
        </w:rPr>
      </w:pPr>
    </w:p>
    <w:p w14:paraId="44DE41E7" w14:textId="77777777" w:rsidR="00635D7C" w:rsidRDefault="00635D7C" w:rsidP="00F326E5">
      <w:pPr>
        <w:pStyle w:val="NoSpacing"/>
        <w:rPr>
          <w:rFonts w:ascii="Arial Black" w:hAnsi="Arial Black"/>
          <w:sz w:val="40"/>
          <w:szCs w:val="40"/>
        </w:rPr>
      </w:pPr>
    </w:p>
    <w:p w14:paraId="2E176D95" w14:textId="77777777" w:rsidR="00635D7C" w:rsidRDefault="00635D7C" w:rsidP="00F326E5">
      <w:pPr>
        <w:pStyle w:val="NoSpacing"/>
        <w:rPr>
          <w:rFonts w:ascii="Arial Black" w:hAnsi="Arial Black"/>
          <w:sz w:val="40"/>
          <w:szCs w:val="40"/>
        </w:rPr>
      </w:pPr>
    </w:p>
    <w:p w14:paraId="7BA50ADF" w14:textId="77777777" w:rsidR="00635D7C" w:rsidRDefault="00635D7C" w:rsidP="00F326E5">
      <w:pPr>
        <w:pStyle w:val="NoSpacing"/>
        <w:rPr>
          <w:rFonts w:ascii="Arial Black" w:hAnsi="Arial Black"/>
          <w:sz w:val="40"/>
          <w:szCs w:val="40"/>
        </w:rPr>
      </w:pPr>
    </w:p>
    <w:p w14:paraId="3ED9AA9C" w14:textId="77777777" w:rsidR="00635D7C" w:rsidRDefault="00635D7C" w:rsidP="00F326E5">
      <w:pPr>
        <w:pStyle w:val="NoSpacing"/>
        <w:rPr>
          <w:rFonts w:ascii="Arial Black" w:hAnsi="Arial Black"/>
          <w:sz w:val="40"/>
          <w:szCs w:val="40"/>
        </w:rPr>
      </w:pPr>
    </w:p>
    <w:p w14:paraId="3B1CCA71" w14:textId="77777777" w:rsidR="00635D7C" w:rsidRDefault="00635D7C" w:rsidP="00F326E5">
      <w:pPr>
        <w:pStyle w:val="NoSpacing"/>
        <w:rPr>
          <w:rFonts w:ascii="Arial Black" w:hAnsi="Arial Black"/>
          <w:sz w:val="40"/>
          <w:szCs w:val="40"/>
        </w:rPr>
      </w:pPr>
    </w:p>
    <w:p w14:paraId="3FA9F2CE" w14:textId="77777777" w:rsidR="00635D7C" w:rsidRDefault="00635D7C" w:rsidP="00F326E5">
      <w:pPr>
        <w:pStyle w:val="NoSpacing"/>
        <w:rPr>
          <w:rFonts w:ascii="Arial Black" w:hAnsi="Arial Black"/>
          <w:sz w:val="40"/>
          <w:szCs w:val="40"/>
        </w:rPr>
      </w:pPr>
    </w:p>
    <w:p w14:paraId="789A0237" w14:textId="77777777" w:rsidR="00635D7C" w:rsidRDefault="00635D7C" w:rsidP="00F326E5">
      <w:pPr>
        <w:pStyle w:val="NoSpacing"/>
        <w:rPr>
          <w:rFonts w:ascii="Arial Black" w:hAnsi="Arial Black"/>
          <w:sz w:val="40"/>
          <w:szCs w:val="40"/>
        </w:rPr>
      </w:pPr>
    </w:p>
    <w:p w14:paraId="7BA9F1B7" w14:textId="77777777" w:rsidR="00635D7C" w:rsidRDefault="00635D7C" w:rsidP="00F326E5">
      <w:pPr>
        <w:pStyle w:val="NoSpacing"/>
        <w:rPr>
          <w:rFonts w:ascii="Arial Black" w:hAnsi="Arial Black"/>
          <w:sz w:val="40"/>
          <w:szCs w:val="40"/>
        </w:rPr>
      </w:pPr>
    </w:p>
    <w:p w14:paraId="54E0BB6D" w14:textId="77777777" w:rsidR="00635D7C" w:rsidRDefault="00635D7C" w:rsidP="00F326E5">
      <w:pPr>
        <w:pStyle w:val="NoSpacing"/>
        <w:rPr>
          <w:rFonts w:ascii="Arial Black" w:hAnsi="Arial Black"/>
          <w:sz w:val="40"/>
          <w:szCs w:val="40"/>
        </w:rPr>
      </w:pPr>
    </w:p>
    <w:p w14:paraId="5C112D6B" w14:textId="77777777" w:rsidR="00635D7C" w:rsidRDefault="00635D7C" w:rsidP="00F326E5">
      <w:pPr>
        <w:pStyle w:val="NoSpacing"/>
        <w:rPr>
          <w:rFonts w:ascii="Arial Black" w:hAnsi="Arial Black"/>
          <w:sz w:val="40"/>
          <w:szCs w:val="40"/>
        </w:rPr>
      </w:pPr>
    </w:p>
    <w:p w14:paraId="4DB8AF4F" w14:textId="77777777" w:rsidR="00635D7C" w:rsidRDefault="00635D7C" w:rsidP="00F326E5">
      <w:pPr>
        <w:pStyle w:val="NoSpacing"/>
        <w:rPr>
          <w:rFonts w:ascii="Arial Black" w:hAnsi="Arial Black"/>
          <w:sz w:val="40"/>
          <w:szCs w:val="40"/>
        </w:rPr>
      </w:pPr>
    </w:p>
    <w:p w14:paraId="0CE0FD25" w14:textId="77777777" w:rsidR="00635D7C" w:rsidRDefault="00635D7C" w:rsidP="00F326E5">
      <w:pPr>
        <w:pStyle w:val="NoSpacing"/>
        <w:rPr>
          <w:rFonts w:ascii="Arial Black" w:hAnsi="Arial Black"/>
          <w:sz w:val="40"/>
          <w:szCs w:val="40"/>
        </w:rPr>
      </w:pPr>
    </w:p>
    <w:p w14:paraId="29DC0F44" w14:textId="412A3FDE" w:rsidR="00F326E5" w:rsidRDefault="00F326E5" w:rsidP="00F326E5">
      <w:pPr>
        <w:pStyle w:val="NoSpacing"/>
        <w:rPr>
          <w:rFonts w:ascii="Arial Black" w:hAnsi="Arial Black"/>
          <w:sz w:val="40"/>
          <w:szCs w:val="40"/>
        </w:rPr>
      </w:pPr>
      <w:r w:rsidRPr="007732FA">
        <w:rPr>
          <w:rFonts w:ascii="Arial Black" w:hAnsi="Arial Black"/>
          <w:sz w:val="40"/>
          <w:szCs w:val="40"/>
        </w:rPr>
        <w:lastRenderedPageBreak/>
        <w:t>Chap. 16</w:t>
      </w:r>
      <w:r w:rsidRPr="007732FA">
        <w:rPr>
          <w:rFonts w:ascii="Arial Black" w:hAnsi="Arial Black"/>
          <w:sz w:val="40"/>
          <w:szCs w:val="40"/>
        </w:rPr>
        <w:tab/>
      </w:r>
      <w:r w:rsidRPr="007732FA">
        <w:rPr>
          <w:rFonts w:ascii="Arial Black" w:hAnsi="Arial Black"/>
          <w:sz w:val="40"/>
          <w:szCs w:val="40"/>
        </w:rPr>
        <w:tab/>
        <w:t>Discipline</w:t>
      </w:r>
      <w:r w:rsidRPr="007732FA">
        <w:rPr>
          <w:rFonts w:ascii="Arial Black" w:hAnsi="Arial Black"/>
          <w:sz w:val="40"/>
          <w:szCs w:val="40"/>
        </w:rPr>
        <w:tab/>
      </w:r>
      <w:r w:rsidR="00BC5936">
        <w:rPr>
          <w:rFonts w:ascii="Arial Black" w:hAnsi="Arial Black"/>
          <w:sz w:val="40"/>
          <w:szCs w:val="40"/>
        </w:rPr>
        <w:t>, incl. Social Media</w:t>
      </w:r>
    </w:p>
    <w:p w14:paraId="7A42693C" w14:textId="77777777" w:rsidR="00F326E5" w:rsidRDefault="00F326E5" w:rsidP="00F326E5">
      <w:pPr>
        <w:pStyle w:val="NoSpacing"/>
        <w:rPr>
          <w:b/>
          <w:sz w:val="24"/>
          <w:szCs w:val="24"/>
        </w:rPr>
      </w:pPr>
    </w:p>
    <w:p w14:paraId="4143348E" w14:textId="543CA25D" w:rsidR="00B207FB" w:rsidRDefault="00B207FB" w:rsidP="00655CE7">
      <w:pPr>
        <w:pStyle w:val="NoSpacing"/>
        <w:rPr>
          <w:rFonts w:ascii="Arial Black" w:hAnsi="Arial Black"/>
          <w:sz w:val="28"/>
          <w:szCs w:val="28"/>
        </w:rPr>
      </w:pPr>
      <w:r>
        <w:rPr>
          <w:rFonts w:ascii="Arial Black" w:hAnsi="Arial Black"/>
          <w:b/>
          <w:sz w:val="28"/>
          <w:szCs w:val="28"/>
        </w:rPr>
        <w:t>16-169</w:t>
      </w:r>
    </w:p>
    <w:p w14:paraId="2B6C1C7B" w14:textId="77777777" w:rsidR="00B207FB" w:rsidRDefault="00B207FB" w:rsidP="00655CE7">
      <w:pPr>
        <w:pStyle w:val="NoSpacing"/>
        <w:rPr>
          <w:rFonts w:ascii="Arial Black" w:hAnsi="Arial Black"/>
          <w:sz w:val="28"/>
          <w:szCs w:val="28"/>
        </w:rPr>
      </w:pPr>
    </w:p>
    <w:p w14:paraId="396B4500" w14:textId="4A43F072" w:rsidR="00655CE7" w:rsidRPr="00FF662B" w:rsidRDefault="00655CE7" w:rsidP="00655CE7">
      <w:pPr>
        <w:pStyle w:val="NoSpacing"/>
        <w:rPr>
          <w:rFonts w:ascii="Arial Black" w:hAnsi="Arial Black"/>
          <w:sz w:val="28"/>
          <w:szCs w:val="28"/>
        </w:rPr>
      </w:pPr>
      <w:r>
        <w:rPr>
          <w:rFonts w:ascii="Arial Black" w:hAnsi="Arial Black"/>
          <w:sz w:val="28"/>
          <w:szCs w:val="28"/>
        </w:rPr>
        <w:t xml:space="preserve">CA: FIRE MAR – FIRED – DIDN’T CLAIM “WHISLEBLOWER”  </w:t>
      </w:r>
    </w:p>
    <w:p w14:paraId="6342F015" w14:textId="77777777" w:rsidR="00655CE7" w:rsidRDefault="00655CE7" w:rsidP="00655CE7">
      <w:pPr>
        <w:pStyle w:val="NoSpacing"/>
      </w:pPr>
    </w:p>
    <w:p w14:paraId="1A0142BA" w14:textId="77777777" w:rsidR="00655CE7" w:rsidRDefault="00655CE7" w:rsidP="00655CE7">
      <w:pPr>
        <w:pStyle w:val="NoSpacing"/>
        <w:rPr>
          <w:b/>
        </w:rPr>
      </w:pPr>
      <w:r>
        <w:t xml:space="preserve">On August 26, 2026, in </w:t>
      </w:r>
      <w:r w:rsidRPr="008D48A5">
        <w:rPr>
          <w:u w:val="single"/>
        </w:rPr>
        <w:t>Orlando Arriola v. City of Oakland</w:t>
      </w:r>
      <w:r>
        <w:t xml:space="preserve">, the </w:t>
      </w:r>
      <w:r w:rsidRPr="008D48A5">
        <w:t>California Court of Appeals, First District, Fourth Division</w:t>
      </w:r>
      <w:r>
        <w:t xml:space="preserve"> held (3 to 0; unpublished decision) that trial court properly dismissed his lawsuit since he sued under </w:t>
      </w:r>
      <w:r w:rsidRPr="00775CD1">
        <w:t>Fair Employment and Housing Act</w:t>
      </w:r>
      <w:r>
        <w:t xml:space="preserve"> (discrimination) and no proof his race or age was the reason for termination.  Not clear why he didn’t file a claim of violation of whistleblower protections under Labor Code section 1102.5.   In April 2019 he began working as an Okland Fire Marshal, and in May he “initiated an administrative investigation” about deficiencies in the Fire Marshal’s Office, and in December 2021 he was summoned by the </w:t>
      </w:r>
      <w:r w:rsidRPr="00B36D8C">
        <w:t>Alameda County District Attorney’s Office</w:t>
      </w:r>
      <w:r>
        <w:t xml:space="preserve"> to testify before a grand jury.  “Thereafter, Fire Chief through the Chief-of-Staff attempted order [Arriola] to provide a detailed report of his presentation before the Grand Jury, which [Arriola] had to decline given the confidentiality he had as a witness as well as his agreement with the Alameda County District Attorney’s Office.”  He resigned in lieu of termination on February 4, 2022. </w:t>
      </w:r>
      <w:hyperlink r:id="rId2553" w:history="1">
        <w:r w:rsidRPr="008D5F99">
          <w:rPr>
            <w:rStyle w:val="Hyperlink"/>
            <w:b/>
          </w:rPr>
          <w:t>https://www4.courts.ca.gov/opinions/nonpub/A174302.PDF</w:t>
        </w:r>
      </w:hyperlink>
      <w:r>
        <w:rPr>
          <w:b/>
        </w:rPr>
        <w:t xml:space="preserve"> </w:t>
      </w:r>
    </w:p>
    <w:p w14:paraId="3D699F08" w14:textId="77777777" w:rsidR="00655CE7" w:rsidRDefault="00655CE7" w:rsidP="00655CE7">
      <w:pPr>
        <w:pStyle w:val="NoSpacing"/>
        <w:rPr>
          <w:b/>
        </w:rPr>
      </w:pPr>
    </w:p>
    <w:p w14:paraId="1806B7FF" w14:textId="77777777" w:rsidR="00655CE7" w:rsidRDefault="00655CE7" w:rsidP="00655CE7">
      <w:pPr>
        <w:pStyle w:val="NoSpacing"/>
      </w:pPr>
      <w:r>
        <w:t xml:space="preserve">THE COURT WROTE: </w:t>
      </w:r>
    </w:p>
    <w:p w14:paraId="54CD6D0E" w14:textId="77777777" w:rsidR="00655CE7" w:rsidRPr="008D48A5" w:rsidRDefault="00655CE7" w:rsidP="00655CE7">
      <w:pPr>
        <w:pStyle w:val="NoSpacing"/>
        <w:rPr>
          <w:bCs/>
        </w:rPr>
      </w:pPr>
    </w:p>
    <w:p w14:paraId="67DD8D7F" w14:textId="77777777" w:rsidR="00655CE7" w:rsidRDefault="00655CE7" w:rsidP="00655CE7">
      <w:pPr>
        <w:pStyle w:val="NoSpacing"/>
        <w:ind w:left="720"/>
      </w:pPr>
      <w:r>
        <w:t>“Arriola alleged that the defendants in the case, including respondent City of</w:t>
      </w:r>
    </w:p>
    <w:p w14:paraId="398A320E" w14:textId="77777777" w:rsidR="00655CE7" w:rsidRDefault="00655CE7" w:rsidP="00655CE7">
      <w:pPr>
        <w:pStyle w:val="NoSpacing"/>
        <w:ind w:left="720"/>
      </w:pPr>
      <w:proofErr w:type="gramStart"/>
      <w:r>
        <w:t>Oakland,</w:t>
      </w:r>
      <w:proofErr w:type="gramEnd"/>
      <w:r>
        <w:t xml:space="preserve"> retaliated against him because of his engagement in FEHA-protected activities when, as a City of Oakland Fire Marshal, he investigated into and reported about certain matters, testified before a grand jury, and would not tell his superior the content of his testimony. He appeals on the ground that he brought valid FEHA claims and that he deserves the opportunity to at least conduct discovery…. </w:t>
      </w:r>
      <w:r w:rsidRPr="00A7784F">
        <w:t xml:space="preserve">Arriola does not show that the </w:t>
      </w:r>
      <w:proofErr w:type="gramStart"/>
      <w:r w:rsidRPr="00A7784F">
        <w:t>City</w:t>
      </w:r>
      <w:proofErr w:type="gramEnd"/>
      <w:r w:rsidRPr="00A7784F">
        <w:t xml:space="preserve"> took any adverse actions against</w:t>
      </w:r>
      <w:r>
        <w:t xml:space="preserve"> </w:t>
      </w:r>
      <w:r w:rsidRPr="00A7784F">
        <w:t xml:space="preserve">him </w:t>
      </w:r>
      <w:r w:rsidRPr="00A7784F">
        <w:rPr>
          <w:i/>
          <w:iCs/>
        </w:rPr>
        <w:t>because</w:t>
      </w:r>
      <w:r w:rsidRPr="00A7784F">
        <w:t xml:space="preserve"> he engaged in FEHA-protected activities</w:t>
      </w:r>
      <w:r>
        <w:t xml:space="preserve"> [</w:t>
      </w:r>
      <w:r w:rsidRPr="00C46880">
        <w:t>Fair Employment and Housing Act</w:t>
      </w:r>
      <w:r>
        <w:t>]</w:t>
      </w:r>
      <w:r w:rsidRPr="00A7784F">
        <w:t>. Accordingly, we will</w:t>
      </w:r>
      <w:r>
        <w:t xml:space="preserve"> </w:t>
      </w:r>
      <w:r w:rsidRPr="00A7784F">
        <w:t>affirm.</w:t>
      </w:r>
      <w:r>
        <w:t xml:space="preserve"> The gist of Arriola’s SAC is that he was pushed out of his Fire Marshal position with the OFD after preparing an investigative report about certain OFD matters, testifying before a grand jury about the OFD, and refusing to tell his superior about the content of his testimony.</w:t>
      </w:r>
    </w:p>
    <w:p w14:paraId="05AF12AA" w14:textId="77777777" w:rsidR="00655CE7" w:rsidRDefault="00655CE7" w:rsidP="00655CE7">
      <w:pPr>
        <w:pStyle w:val="NoSpacing"/>
        <w:ind w:left="720"/>
      </w:pPr>
    </w:p>
    <w:p w14:paraId="286BB37D" w14:textId="77777777" w:rsidR="00655CE7" w:rsidRDefault="00655CE7" w:rsidP="00655CE7">
      <w:pPr>
        <w:pStyle w:val="NoSpacing"/>
        <w:ind w:left="720"/>
      </w:pPr>
      <w:r>
        <w:t>***</w:t>
      </w:r>
    </w:p>
    <w:p w14:paraId="46D190EF" w14:textId="77777777" w:rsidR="00655CE7" w:rsidRDefault="00655CE7" w:rsidP="00655CE7">
      <w:pPr>
        <w:pStyle w:val="NoSpacing"/>
        <w:ind w:left="720"/>
      </w:pPr>
      <w:r>
        <w:t xml:space="preserve">In support, he characterizes his allegations as that ‘Respondents intentionally retaliated against Arriola because he provided a report of information regarding division weaknesses, opportunities for improvement and support and attention needs of the facility. Furthermore, the retaliation increased when Mr. Arriola adhered to being called a witness for a grand jury regarding his report. Most notably, the retaliation worsened when [Arriola] refused to share his testimony with Respondents, which he has the legal right to do as there is no law or protocol that requires Mr. Arriola </w:t>
      </w:r>
      <w:proofErr w:type="gramStart"/>
      <w:r>
        <w:t>share</w:t>
      </w:r>
      <w:proofErr w:type="gramEnd"/>
      <w:r>
        <w:t xml:space="preserve"> confidential statements with anyone but those within the Court. This caused an eruption of retaliatory acts.’</w:t>
      </w:r>
    </w:p>
    <w:p w14:paraId="70B20873" w14:textId="77777777" w:rsidR="00655CE7" w:rsidRDefault="00655CE7" w:rsidP="00655CE7">
      <w:pPr>
        <w:pStyle w:val="NoSpacing"/>
        <w:ind w:left="720"/>
      </w:pPr>
    </w:p>
    <w:p w14:paraId="78FB05A1" w14:textId="77777777" w:rsidR="00655CE7" w:rsidRDefault="00655CE7" w:rsidP="00655CE7">
      <w:pPr>
        <w:pStyle w:val="NoSpacing"/>
        <w:ind w:left="720"/>
      </w:pPr>
      <w:r>
        <w:t xml:space="preserve">Arriola’s claim of error is unpersuasive. He simply repeats what the trial court—and we—find to be conclusory and insufficient contentions in his SAC of the City’s alleged retaliation for his ‘whistleblower’ activities, without ever alleging how the City’s actions violated FEHA…. None of these alleged activities involve protected activities. Therefore, his appeal fails. [Footnote 2: Arriola’s contentions are more akin to a claim of retaliation for whistleblower activity under Labor Code section 1102.5, subdivision (b), but he did not base any of his claims on that statute or argue its application below, nor does he argue its application on appeal. Therefore, we do not discuss it </w:t>
      </w:r>
      <w:proofErr w:type="gramStart"/>
      <w:r>
        <w:t>further, or</w:t>
      </w:r>
      <w:proofErr w:type="gramEnd"/>
      <w:r>
        <w:t xml:space="preserve"> express any view on whether such a claim would have been viable.]”</w:t>
      </w:r>
    </w:p>
    <w:p w14:paraId="5113FA62" w14:textId="77777777" w:rsidR="00655CE7" w:rsidRDefault="00655CE7" w:rsidP="00655CE7">
      <w:pPr>
        <w:pStyle w:val="NoSpacing"/>
        <w:ind w:left="720"/>
      </w:pPr>
    </w:p>
    <w:p w14:paraId="0679560D" w14:textId="77777777" w:rsidR="00655CE7" w:rsidRDefault="00655CE7" w:rsidP="00655CE7">
      <w:pPr>
        <w:pStyle w:val="NoSpacing"/>
        <w:rPr>
          <w:b/>
          <w:bCs/>
        </w:rPr>
      </w:pPr>
      <w:r>
        <w:rPr>
          <w:b/>
        </w:rPr>
        <w:t>Legal lesson learned:  The former Fire Marshall should have filed under CA whistleblower law.</w:t>
      </w:r>
    </w:p>
    <w:p w14:paraId="77E6D908" w14:textId="77777777" w:rsidR="00655CE7" w:rsidRDefault="00655CE7" w:rsidP="00655CE7">
      <w:pPr>
        <w:pStyle w:val="NoSpacing"/>
        <w:rPr>
          <w:b/>
          <w:bCs/>
        </w:rPr>
      </w:pPr>
    </w:p>
    <w:p w14:paraId="6E20FD77" w14:textId="77777777" w:rsidR="00655CE7" w:rsidRPr="001D3FFE" w:rsidRDefault="00655CE7" w:rsidP="00655CE7">
      <w:pPr>
        <w:pStyle w:val="NoSpacing"/>
        <w:ind w:left="720"/>
        <w:rPr>
          <w:b/>
        </w:rPr>
      </w:pPr>
      <w:r w:rsidRPr="00A54A6B">
        <w:t xml:space="preserve">Note: </w:t>
      </w:r>
      <w:r>
        <w:t xml:space="preserve">  CA Labor Code 1102.5: </w:t>
      </w:r>
      <w:hyperlink r:id="rId2554" w:history="1">
        <w:r w:rsidRPr="006A7B1F">
          <w:rPr>
            <w:rStyle w:val="Hyperlink"/>
            <w:b/>
          </w:rPr>
          <w:t>https://leginfo.legislature.ca.gov/faces/codes_displaySection.xhtml?lawCode=LAB&amp;sectionNum=1102.5</w:t>
        </w:r>
      </w:hyperlink>
      <w:r>
        <w:rPr>
          <w:b/>
        </w:rPr>
        <w:t xml:space="preserve"> </w:t>
      </w:r>
    </w:p>
    <w:p w14:paraId="02A8BE49" w14:textId="77777777" w:rsidR="00655CE7" w:rsidRPr="001D3FFE" w:rsidRDefault="00655CE7" w:rsidP="00655CE7">
      <w:pPr>
        <w:pStyle w:val="NoSpacing"/>
        <w:ind w:left="720"/>
      </w:pPr>
      <w:r w:rsidRPr="001D3FFE">
        <w:lastRenderedPageBreak/>
        <w:t>(a) An employer, or any person acting on behalf of the employer, shall not make, adopt, or enforce any rule, regulation, or policy preventing an employee from disclosing information to a government or law enforcement agency, to a person with authority over the employee, or to another employee who has authority to investigate, discover, or correct the violation or noncompliance, or from providing information to, or testifying before, any public body conducting an investigation, hearing, or inquiry, if the employee has reasonable cause to believe that the information discloses a violation of state or federal statute, or a violation of or noncompliance with a local, state, or federal rule or regulation, regardless of whether disclosing the information is part of the employee’s job duties.</w:t>
      </w:r>
    </w:p>
    <w:p w14:paraId="1E98BA55" w14:textId="77777777" w:rsidR="00655CE7" w:rsidRPr="001D3FFE" w:rsidRDefault="00655CE7" w:rsidP="00655CE7">
      <w:pPr>
        <w:pStyle w:val="NoSpacing"/>
        <w:ind w:left="720"/>
      </w:pPr>
      <w:r w:rsidRPr="001D3FFE">
        <w:t>(b) An employer, or any person acting on behalf of the employer, shall not retaliate against an employee for disclosing information, or because the employer believes that the employee disclosed or may disclose information, to a government or law enforcement agency, to a person with authority over the employee or another employee who has the authority to investigate, discover, or correct the violation or noncompliance, or for providing information to, or testifying before, any public body conducting an investigation, hearing, or inquiry, if the employee has reasonable cause to believe that the information discloses a violation of state or federal statute, or a violation of or noncompliance with a local, state, or federal rule or regulation, regardless of whether disclosing the information is part of the employee’s job duties.</w:t>
      </w:r>
    </w:p>
    <w:p w14:paraId="6431111E" w14:textId="77777777" w:rsidR="00655CE7" w:rsidRPr="00A54A6B" w:rsidRDefault="00655CE7" w:rsidP="00655CE7">
      <w:pPr>
        <w:pStyle w:val="NoSpacing"/>
      </w:pPr>
    </w:p>
    <w:p w14:paraId="2BF3C873" w14:textId="2D552C5B" w:rsidR="00B207FB" w:rsidRDefault="00B207FB" w:rsidP="00B207FB">
      <w:pPr>
        <w:pStyle w:val="NoSpacing"/>
        <w:rPr>
          <w:rFonts w:ascii="Arial Black" w:hAnsi="Arial Black"/>
          <w:b/>
          <w:sz w:val="28"/>
          <w:szCs w:val="28"/>
        </w:rPr>
      </w:pPr>
      <w:r>
        <w:rPr>
          <w:rFonts w:ascii="Arial Black" w:hAnsi="Arial Black"/>
          <w:b/>
          <w:sz w:val="28"/>
          <w:szCs w:val="28"/>
        </w:rPr>
        <w:t>16-168</w:t>
      </w:r>
    </w:p>
    <w:p w14:paraId="08699311" w14:textId="77777777" w:rsidR="00655CE7" w:rsidRDefault="00655CE7" w:rsidP="002C229D">
      <w:pPr>
        <w:pStyle w:val="NoSpacing"/>
        <w:rPr>
          <w:rFonts w:ascii="Arial Black" w:hAnsi="Arial Black"/>
          <w:b/>
          <w:sz w:val="28"/>
          <w:szCs w:val="28"/>
        </w:rPr>
      </w:pPr>
    </w:p>
    <w:p w14:paraId="3C9973E8" w14:textId="77777777" w:rsidR="003F06DA" w:rsidRDefault="003F06DA" w:rsidP="003F06DA">
      <w:pPr>
        <w:pStyle w:val="NoSpacing"/>
        <w:rPr>
          <w:rFonts w:ascii="Arial Black" w:hAnsi="Arial Black"/>
          <w:sz w:val="28"/>
          <w:szCs w:val="28"/>
        </w:rPr>
      </w:pPr>
      <w:r>
        <w:rPr>
          <w:rFonts w:ascii="Arial Black" w:hAnsi="Arial Black"/>
          <w:sz w:val="28"/>
          <w:szCs w:val="28"/>
        </w:rPr>
        <w:t>MD: 46-YR RECRUIT – FIRED - POOR PERFORM / WELL DOC</w:t>
      </w:r>
    </w:p>
    <w:p w14:paraId="660068CA" w14:textId="77777777" w:rsidR="003F06DA" w:rsidRDefault="003F06DA" w:rsidP="003F06DA">
      <w:pPr>
        <w:pStyle w:val="NoSpacing"/>
        <w:rPr>
          <w:rFonts w:ascii="Arial Black" w:hAnsi="Arial Black"/>
          <w:sz w:val="28"/>
          <w:szCs w:val="28"/>
        </w:rPr>
      </w:pPr>
    </w:p>
    <w:p w14:paraId="38C10199" w14:textId="77777777" w:rsidR="003F06DA" w:rsidRDefault="003F06DA" w:rsidP="003F06DA">
      <w:pPr>
        <w:rPr>
          <w:b/>
        </w:rPr>
      </w:pPr>
      <w:r>
        <w:t xml:space="preserve">On August 20, 2026, in </w:t>
      </w:r>
      <w:r w:rsidRPr="00FB5B37">
        <w:rPr>
          <w:u w:val="single"/>
        </w:rPr>
        <w:t xml:space="preserve">Robert D. Whittaker III v. Howard County, Mayland and Howard County Fire </w:t>
      </w:r>
      <w:proofErr w:type="gramStart"/>
      <w:r w:rsidRPr="00FB5B37">
        <w:rPr>
          <w:u w:val="single"/>
        </w:rPr>
        <w:t>And</w:t>
      </w:r>
      <w:proofErr w:type="gramEnd"/>
      <w:r w:rsidRPr="00FB5B37">
        <w:rPr>
          <w:u w:val="single"/>
        </w:rPr>
        <w:t xml:space="preserve"> Rescue Services</w:t>
      </w:r>
      <w:r>
        <w:t xml:space="preserve">, </w:t>
      </w:r>
      <w:r w:rsidRPr="00C82F18">
        <w:t>the United States Court of Appeals, Fourth Circuit</w:t>
      </w:r>
      <w:r>
        <w:t xml:space="preserve"> (Richmond, VA) held (3 to 0) that U.S. Magistrate Judge properly granted summary judgment for Howard County; it was well documented that he was fired shortly before graduation for insubordination and poor performance. </w:t>
      </w:r>
      <w:hyperlink r:id="rId2555" w:history="1">
        <w:r w:rsidRPr="00EC784F">
          <w:rPr>
            <w:rStyle w:val="Hyperlink"/>
            <w:b/>
          </w:rPr>
          <w:t>https://www.ca4.uscourts.gov/opinions/232019.U.pdf</w:t>
        </w:r>
      </w:hyperlink>
      <w:r>
        <w:rPr>
          <w:b/>
        </w:rPr>
        <w:t xml:space="preserve"> </w:t>
      </w:r>
    </w:p>
    <w:p w14:paraId="5F6719DB" w14:textId="77777777" w:rsidR="003F06DA" w:rsidRPr="00C82F18" w:rsidRDefault="003F06DA" w:rsidP="003F06DA">
      <w:r>
        <w:t xml:space="preserve">THE COURT WROTE: </w:t>
      </w:r>
    </w:p>
    <w:p w14:paraId="1157C725" w14:textId="77777777" w:rsidR="003F06DA" w:rsidRPr="00DD0CEE" w:rsidRDefault="003F06DA" w:rsidP="003F06DA">
      <w:pPr>
        <w:pStyle w:val="NoSpacing"/>
        <w:ind w:firstLine="720"/>
      </w:pPr>
      <w:r>
        <w:t>“</w:t>
      </w:r>
      <w:r w:rsidRPr="00DD0CEE">
        <w:t>Robert Whittaker was selected by the Howard County Department of Fire and</w:t>
      </w:r>
    </w:p>
    <w:p w14:paraId="6F7F8F16" w14:textId="77777777" w:rsidR="003F06DA" w:rsidRPr="00DD0CEE" w:rsidRDefault="003F06DA" w:rsidP="003F06DA">
      <w:pPr>
        <w:pStyle w:val="NoSpacing"/>
        <w:ind w:firstLine="720"/>
      </w:pPr>
      <w:r w:rsidRPr="00DD0CEE">
        <w:t xml:space="preserve">Rescue Services (the </w:t>
      </w:r>
      <w:r>
        <w:t>‘</w:t>
      </w:r>
      <w:r w:rsidRPr="00DD0CEE">
        <w:t>Department</w:t>
      </w:r>
      <w:r>
        <w:t>’</w:t>
      </w:r>
      <w:r w:rsidRPr="00DD0CEE">
        <w:t>) to participate in its training academy. At age 46, he</w:t>
      </w:r>
    </w:p>
    <w:p w14:paraId="0BA1251F" w14:textId="77777777" w:rsidR="003F06DA" w:rsidRPr="00DD0CEE" w:rsidRDefault="003F06DA" w:rsidP="003F06DA">
      <w:pPr>
        <w:pStyle w:val="NoSpacing"/>
        <w:ind w:firstLine="720"/>
      </w:pPr>
      <w:r w:rsidRPr="00DD0CEE">
        <w:t>was the oldest trainee in his class. Whittaker advanced through the Department’s training</w:t>
      </w:r>
    </w:p>
    <w:p w14:paraId="4019DFEB" w14:textId="77777777" w:rsidR="003F06DA" w:rsidRPr="00DD0CEE" w:rsidRDefault="003F06DA" w:rsidP="003F06DA">
      <w:pPr>
        <w:pStyle w:val="NoSpacing"/>
        <w:ind w:firstLine="720"/>
      </w:pPr>
      <w:r w:rsidRPr="00DD0CEE">
        <w:t xml:space="preserve">academy (the </w:t>
      </w:r>
      <w:r>
        <w:t>‘</w:t>
      </w:r>
      <w:r w:rsidRPr="00DD0CEE">
        <w:t>Academy</w:t>
      </w:r>
      <w:r>
        <w:t>’</w:t>
      </w:r>
      <w:r w:rsidRPr="00DD0CEE">
        <w:t>) but was terminated just before graduation. That termination</w:t>
      </w:r>
    </w:p>
    <w:p w14:paraId="3BB0030D" w14:textId="77777777" w:rsidR="003F06DA" w:rsidRDefault="003F06DA" w:rsidP="003F06DA">
      <w:pPr>
        <w:pStyle w:val="NoSpacing"/>
        <w:ind w:firstLine="720"/>
      </w:pPr>
      <w:r w:rsidRPr="00DD0CEE">
        <w:t>was based on Whittaker’s insubordination and poor performance at the Academy.</w:t>
      </w:r>
    </w:p>
    <w:p w14:paraId="6A71EAE7" w14:textId="77777777" w:rsidR="003F06DA" w:rsidRDefault="003F06DA" w:rsidP="003F06DA">
      <w:pPr>
        <w:pStyle w:val="NoSpacing"/>
        <w:ind w:firstLine="720"/>
      </w:pPr>
    </w:p>
    <w:p w14:paraId="2F4D9050" w14:textId="77777777" w:rsidR="003F06DA" w:rsidRPr="00DD0CEE" w:rsidRDefault="003F06DA" w:rsidP="003F06DA">
      <w:pPr>
        <w:pStyle w:val="NoSpacing"/>
        <w:ind w:firstLine="720"/>
      </w:pPr>
      <w:r>
        <w:t>***</w:t>
      </w:r>
    </w:p>
    <w:p w14:paraId="4DA61239" w14:textId="77777777" w:rsidR="003F06DA" w:rsidRPr="00BA0E4F" w:rsidRDefault="003F06DA" w:rsidP="003F06DA">
      <w:pPr>
        <w:pStyle w:val="NoSpacing"/>
        <w:ind w:firstLine="720"/>
      </w:pPr>
      <w:r w:rsidRPr="00BA0E4F">
        <w:t>The Department asserts that Whittaker was not meeting their legitimate expectations</w:t>
      </w:r>
    </w:p>
    <w:p w14:paraId="7715E148" w14:textId="77777777" w:rsidR="003F06DA" w:rsidRPr="00BA0E4F" w:rsidRDefault="003F06DA" w:rsidP="003F06DA">
      <w:pPr>
        <w:pStyle w:val="NoSpacing"/>
        <w:ind w:firstLine="720"/>
      </w:pPr>
      <w:r w:rsidRPr="00BA0E4F">
        <w:t>based on the record evidence of Whittaker’s poor performance and insubordination</w:t>
      </w:r>
      <w:r>
        <w:t xml:space="preserve">…. </w:t>
      </w:r>
    </w:p>
    <w:p w14:paraId="1D70796D" w14:textId="77777777" w:rsidR="003F06DA" w:rsidRDefault="003F06DA" w:rsidP="003F06DA">
      <w:pPr>
        <w:pStyle w:val="NoSpacing"/>
        <w:ind w:left="720"/>
      </w:pPr>
      <w:r w:rsidRPr="00BA0E4F">
        <w:t>After reviewing the</w:t>
      </w:r>
      <w:r>
        <w:t xml:space="preserve"> </w:t>
      </w:r>
      <w:r w:rsidRPr="00BA0E4F">
        <w:t>record, we agree. Counseling Reports and emails show that in the two months before his</w:t>
      </w:r>
      <w:r>
        <w:t xml:space="preserve"> </w:t>
      </w:r>
      <w:r w:rsidRPr="00BA0E4F">
        <w:t>termination, Whittaker was made aware of staff concerns about his performance in core</w:t>
      </w:r>
      <w:r>
        <w:t xml:space="preserve"> </w:t>
      </w:r>
      <w:r w:rsidRPr="00BA0E4F">
        <w:t>firefighting skills, including his trouble navigating mazes, hesitancy during ladder</w:t>
      </w:r>
      <w:r>
        <w:t xml:space="preserve"> exercises, and lack of fireground speed…. Contemporaneously prepared internal memoranda and emails further note the same performance issues and raise concerns about his insubordination, detailing incidents where he talked back to instructors … and became ‘frustrated and insubordinate’ under stress or when asked to complete tasks in real life scenarios… The insubordination alone is a legitimate, nondiscriminatory basis for termination as an employee is not ‘meeting [his] employer’s legitimate expectation if [he] was insubordinate.’ Everroad v. Scott Truck Sys., Inc., 604 F.3d 471, 478 (7th Cir. 2010). But taking it together with the performance concerns, no reasonable jury would conclude that Whittaker was meeting the Department’s legitimate expectations.”</w:t>
      </w:r>
    </w:p>
    <w:p w14:paraId="7EEEFE38" w14:textId="77777777" w:rsidR="003F06DA" w:rsidRDefault="003F06DA" w:rsidP="003F06DA">
      <w:pPr>
        <w:pStyle w:val="NoSpacing"/>
        <w:ind w:left="720"/>
      </w:pPr>
    </w:p>
    <w:p w14:paraId="319BB051" w14:textId="77777777" w:rsidR="003F06DA" w:rsidRPr="005B70FD" w:rsidRDefault="003F06DA" w:rsidP="003F06DA">
      <w:pPr>
        <w:pStyle w:val="NoSpacing"/>
        <w:rPr>
          <w:b/>
          <w:bCs/>
        </w:rPr>
      </w:pPr>
      <w:r>
        <w:rPr>
          <w:b/>
        </w:rPr>
        <w:t xml:space="preserve">Legal lesson learned: Excellent documentation on poor performance. </w:t>
      </w:r>
    </w:p>
    <w:p w14:paraId="3CC7E493" w14:textId="77777777" w:rsidR="003F06DA" w:rsidRDefault="003F06DA" w:rsidP="003F06DA">
      <w:pPr>
        <w:pStyle w:val="NoSpacing"/>
      </w:pPr>
    </w:p>
    <w:p w14:paraId="4B750166" w14:textId="77777777" w:rsidR="00B207FB" w:rsidRDefault="00B207FB" w:rsidP="00B207FB">
      <w:pPr>
        <w:pStyle w:val="NoSpacing"/>
        <w:rPr>
          <w:rFonts w:ascii="Arial Black" w:hAnsi="Arial Black"/>
          <w:b/>
          <w:sz w:val="28"/>
          <w:szCs w:val="28"/>
        </w:rPr>
      </w:pPr>
    </w:p>
    <w:p w14:paraId="043EA124" w14:textId="77777777" w:rsidR="00B207FB" w:rsidRDefault="00B207FB" w:rsidP="00B207FB">
      <w:pPr>
        <w:pStyle w:val="NoSpacing"/>
        <w:rPr>
          <w:rFonts w:ascii="Arial Black" w:hAnsi="Arial Black"/>
          <w:b/>
          <w:sz w:val="28"/>
          <w:szCs w:val="28"/>
        </w:rPr>
      </w:pPr>
    </w:p>
    <w:p w14:paraId="4E519CA8" w14:textId="77777777" w:rsidR="00B207FB" w:rsidRDefault="00B207FB" w:rsidP="00B207FB">
      <w:pPr>
        <w:pStyle w:val="NoSpacing"/>
        <w:rPr>
          <w:rFonts w:ascii="Arial Black" w:hAnsi="Arial Black"/>
          <w:b/>
          <w:sz w:val="28"/>
          <w:szCs w:val="28"/>
        </w:rPr>
      </w:pPr>
    </w:p>
    <w:p w14:paraId="7B010265" w14:textId="71B8819F" w:rsidR="00B207FB" w:rsidRDefault="00B207FB" w:rsidP="00B207FB">
      <w:pPr>
        <w:pStyle w:val="NoSpacing"/>
        <w:rPr>
          <w:rFonts w:ascii="Arial Black" w:hAnsi="Arial Black"/>
          <w:b/>
          <w:sz w:val="28"/>
          <w:szCs w:val="28"/>
        </w:rPr>
      </w:pPr>
      <w:r>
        <w:rPr>
          <w:rFonts w:ascii="Arial Black" w:hAnsi="Arial Black"/>
          <w:b/>
          <w:sz w:val="28"/>
          <w:szCs w:val="28"/>
        </w:rPr>
        <w:t>16-167</w:t>
      </w:r>
    </w:p>
    <w:p w14:paraId="1C63D2C4" w14:textId="77777777" w:rsidR="003F06DA" w:rsidRDefault="003F06DA" w:rsidP="002C229D">
      <w:pPr>
        <w:pStyle w:val="NoSpacing"/>
        <w:rPr>
          <w:rFonts w:ascii="Arial Black" w:hAnsi="Arial Black"/>
          <w:b/>
          <w:sz w:val="28"/>
          <w:szCs w:val="28"/>
        </w:rPr>
      </w:pPr>
    </w:p>
    <w:p w14:paraId="77BFFA8A" w14:textId="77777777" w:rsidR="00A14CA1" w:rsidRDefault="00A14CA1" w:rsidP="002C229D">
      <w:pPr>
        <w:pStyle w:val="NoSpacing"/>
        <w:rPr>
          <w:rFonts w:ascii="Arial Black" w:hAnsi="Arial Black"/>
          <w:b/>
          <w:sz w:val="28"/>
          <w:szCs w:val="28"/>
        </w:rPr>
      </w:pPr>
    </w:p>
    <w:p w14:paraId="5A90900B" w14:textId="77777777" w:rsidR="00A14CA1" w:rsidRPr="00BD4CB5" w:rsidRDefault="00A14CA1" w:rsidP="00A14CA1">
      <w:pPr>
        <w:rPr>
          <w:rFonts w:ascii="Arial Black" w:hAnsi="Arial Black"/>
          <w:b/>
          <w:sz w:val="28"/>
          <w:szCs w:val="28"/>
        </w:rPr>
      </w:pPr>
      <w:r>
        <w:rPr>
          <w:rFonts w:ascii="Arial Black" w:hAnsi="Arial Black"/>
          <w:b/>
          <w:sz w:val="28"/>
          <w:szCs w:val="28"/>
        </w:rPr>
        <w:t>TN: EXPLORER PROG - 60YR VOL RAPES 16YR – PRISON</w:t>
      </w:r>
    </w:p>
    <w:p w14:paraId="76F2DD9E" w14:textId="77777777" w:rsidR="00A14CA1" w:rsidRDefault="00A14CA1" w:rsidP="00A14CA1">
      <w:pPr>
        <w:pStyle w:val="NoSpacing"/>
        <w:rPr>
          <w:bCs/>
        </w:rPr>
      </w:pPr>
      <w:r>
        <w:t xml:space="preserve">On August 18, 2026, in </w:t>
      </w:r>
      <w:r w:rsidRPr="000D7E59">
        <w:rPr>
          <w:u w:val="single"/>
        </w:rPr>
        <w:t>State of Tennessee v. Anthony Lawrence Johnson</w:t>
      </w:r>
      <w:r>
        <w:t xml:space="preserve">, the </w:t>
      </w:r>
      <w:r w:rsidRPr="004462F8">
        <w:t>Court of Criminal Appeals of Tennessee</w:t>
      </w:r>
      <w:r>
        <w:t>, held (3 to 0) that the defendant was properly convicted by jury. “</w:t>
      </w:r>
      <w:r w:rsidRPr="006616F2">
        <w:t>The victim testified that she met Defendant during the summer of 2021, while she</w:t>
      </w:r>
      <w:r>
        <w:t xml:space="preserve"> </w:t>
      </w:r>
      <w:r w:rsidRPr="006616F2">
        <w:t xml:space="preserve">was a student at Johnson County High School. She participated in </w:t>
      </w:r>
      <w:r>
        <w:t>‘</w:t>
      </w:r>
      <w:r w:rsidRPr="006616F2">
        <w:t xml:space="preserve">the Explorer </w:t>
      </w:r>
      <w:proofErr w:type="gramStart"/>
      <w:r w:rsidRPr="006616F2">
        <w:t>program,</w:t>
      </w:r>
      <w:r>
        <w:t>’</w:t>
      </w:r>
      <w:proofErr w:type="gramEnd"/>
      <w:r>
        <w:t xml:space="preserve"> </w:t>
      </w:r>
      <w:r w:rsidRPr="006616F2">
        <w:t xml:space="preserve">which allowed students to volunteer with the rescue squad and </w:t>
      </w:r>
      <w:r>
        <w:t>‘</w:t>
      </w:r>
      <w:r w:rsidRPr="006616F2">
        <w:t>ride along and help out</w:t>
      </w:r>
      <w:r>
        <w:t xml:space="preserve"> </w:t>
      </w:r>
      <w:r w:rsidRPr="006616F2">
        <w:t>with the EMTs and paramedics.</w:t>
      </w:r>
      <w:r>
        <w:t>’</w:t>
      </w:r>
      <w:r w:rsidRPr="006616F2">
        <w:t xml:space="preserve"> Her career goal was to work in </w:t>
      </w:r>
      <w:r>
        <w:t>‘</w:t>
      </w:r>
      <w:r w:rsidRPr="006616F2">
        <w:t>the medical field.</w:t>
      </w:r>
      <w:r>
        <w:t>’</w:t>
      </w:r>
      <w:r w:rsidRPr="006616F2">
        <w:t xml:space="preserve"> The</w:t>
      </w:r>
      <w:r>
        <w:t xml:space="preserve"> </w:t>
      </w:r>
      <w:r w:rsidRPr="006616F2">
        <w:t>victim was sixteen years old at the time. The victim met Defendant, who was sixty years</w:t>
      </w:r>
      <w:r>
        <w:t xml:space="preserve"> </w:t>
      </w:r>
      <w:r w:rsidRPr="006616F2">
        <w:t>old, because he was a volunteer with the rescue squad.</w:t>
      </w:r>
      <w:r>
        <w:t xml:space="preserve"> </w:t>
      </w:r>
      <w:r w:rsidRPr="006616F2">
        <w:t>In June of 2021, Defendant asked the victim if she wanted a job caring for his horses.</w:t>
      </w:r>
      <w:r>
        <w:t>” “</w:t>
      </w:r>
      <w:r w:rsidRPr="009E0E9D">
        <w:t>The court imposed an effective sentence of eleven years to be served at 100 percent</w:t>
      </w:r>
      <w:r>
        <w:t xml:space="preserve">.”  </w:t>
      </w:r>
      <w:hyperlink r:id="rId2556" w:history="1">
        <w:r w:rsidRPr="0047172C">
          <w:rPr>
            <w:rStyle w:val="Hyperlink"/>
          </w:rPr>
          <w:t>https://cases.justia.com/tennessee/court-of-criminal-appeals/2026-e2025-00835-cca-r3-cd.pdf?ts=1787176489</w:t>
        </w:r>
      </w:hyperlink>
      <w:r>
        <w:t xml:space="preserve"> </w:t>
      </w:r>
    </w:p>
    <w:p w14:paraId="5E2CFE9E" w14:textId="77777777" w:rsidR="00A14CA1" w:rsidRDefault="00A14CA1" w:rsidP="00A14CA1">
      <w:pPr>
        <w:rPr>
          <w:bCs/>
        </w:rPr>
      </w:pPr>
    </w:p>
    <w:p w14:paraId="7F30D5ED" w14:textId="77777777" w:rsidR="00A14CA1" w:rsidRDefault="00A14CA1" w:rsidP="00A14CA1">
      <w:pPr>
        <w:rPr>
          <w:bCs/>
        </w:rPr>
      </w:pPr>
      <w:r>
        <w:t>THE COURT WROTE:</w:t>
      </w:r>
    </w:p>
    <w:p w14:paraId="0F8BDFD5" w14:textId="77777777" w:rsidR="00A14CA1" w:rsidRPr="002E605D" w:rsidRDefault="00A14CA1" w:rsidP="00A14CA1">
      <w:pPr>
        <w:pStyle w:val="NoSpacing"/>
        <w:ind w:firstLine="720"/>
      </w:pPr>
      <w:r>
        <w:t>“</w:t>
      </w:r>
      <w:r w:rsidRPr="002E605D">
        <w:t>In June of 2021, Defendant asked the victim if she wanted a job caring for his horses.</w:t>
      </w:r>
    </w:p>
    <w:p w14:paraId="0416B63D" w14:textId="77777777" w:rsidR="00A14CA1" w:rsidRPr="002E605D" w:rsidRDefault="00A14CA1" w:rsidP="00A14CA1">
      <w:pPr>
        <w:pStyle w:val="NoSpacing"/>
        <w:ind w:firstLine="720"/>
      </w:pPr>
      <w:r w:rsidRPr="002E605D">
        <w:t>The victim had an interview with Kerri Kennedy, Defendant’s live-in girlfriend, who</w:t>
      </w:r>
    </w:p>
    <w:p w14:paraId="7659FD0D" w14:textId="77777777" w:rsidR="00A14CA1" w:rsidRPr="002E605D" w:rsidRDefault="00A14CA1" w:rsidP="00A14CA1">
      <w:pPr>
        <w:pStyle w:val="NoSpacing"/>
        <w:ind w:firstLine="720"/>
      </w:pPr>
      <w:r w:rsidRPr="002E605D">
        <w:t>owned the horses. Ms. Kennedy hired the victim to work with the horses. The victim</w:t>
      </w:r>
    </w:p>
    <w:p w14:paraId="754DD315" w14:textId="77777777" w:rsidR="00A14CA1" w:rsidRPr="002E605D" w:rsidRDefault="00A14CA1" w:rsidP="00A14CA1">
      <w:pPr>
        <w:pStyle w:val="NoSpacing"/>
        <w:ind w:firstLine="720"/>
      </w:pPr>
      <w:r w:rsidRPr="002E605D">
        <w:t>described her duties, which included feeding the horses two to three times a day, training</w:t>
      </w:r>
    </w:p>
    <w:p w14:paraId="45A7B41B" w14:textId="77777777" w:rsidR="00A14CA1" w:rsidRPr="002E605D" w:rsidRDefault="00A14CA1" w:rsidP="00A14CA1">
      <w:pPr>
        <w:pStyle w:val="NoSpacing"/>
        <w:ind w:firstLine="720"/>
      </w:pPr>
      <w:r w:rsidRPr="002E605D">
        <w:t xml:space="preserve">and riding </w:t>
      </w:r>
      <w:proofErr w:type="gramStart"/>
      <w:r w:rsidRPr="002E605D">
        <w:t>them, and</w:t>
      </w:r>
      <w:proofErr w:type="gramEnd"/>
      <w:r w:rsidRPr="002E605D">
        <w:t xml:space="preserve"> grooming them. She sometimes purchased supplies for the horses</w:t>
      </w:r>
    </w:p>
    <w:p w14:paraId="4DB543CD" w14:textId="77777777" w:rsidR="00A14CA1" w:rsidRDefault="00A14CA1" w:rsidP="00A14CA1">
      <w:pPr>
        <w:pStyle w:val="NoSpacing"/>
        <w:ind w:firstLine="720"/>
      </w:pPr>
      <w:r w:rsidRPr="002E605D">
        <w:t>using Defendant’s debit card. Defendant paid her cash for her work.</w:t>
      </w:r>
    </w:p>
    <w:p w14:paraId="3DF70110" w14:textId="77777777" w:rsidR="00A14CA1" w:rsidRDefault="00A14CA1" w:rsidP="00A14CA1">
      <w:pPr>
        <w:pStyle w:val="NoSpacing"/>
        <w:ind w:firstLine="720"/>
      </w:pPr>
    </w:p>
    <w:p w14:paraId="47F0AABD" w14:textId="77777777" w:rsidR="00A14CA1" w:rsidRDefault="00A14CA1" w:rsidP="00A14CA1">
      <w:pPr>
        <w:pStyle w:val="NoSpacing"/>
        <w:ind w:firstLine="720"/>
      </w:pPr>
      <w:r>
        <w:t>***</w:t>
      </w:r>
    </w:p>
    <w:p w14:paraId="76D2EC06" w14:textId="77777777" w:rsidR="00A14CA1" w:rsidRPr="001514A7" w:rsidRDefault="00A14CA1" w:rsidP="00A14CA1">
      <w:pPr>
        <w:pStyle w:val="NoSpacing"/>
        <w:ind w:firstLine="720"/>
      </w:pPr>
      <w:r w:rsidRPr="001514A7">
        <w:t>On July 23, 2021, the victim went upstairs to clean a bedroom, and Defendant</w:t>
      </w:r>
    </w:p>
    <w:p w14:paraId="14B59A71" w14:textId="77777777" w:rsidR="00A14CA1" w:rsidRPr="001514A7" w:rsidRDefault="00A14CA1" w:rsidP="00A14CA1">
      <w:pPr>
        <w:pStyle w:val="NoSpacing"/>
        <w:ind w:firstLine="720"/>
      </w:pPr>
      <w:r w:rsidRPr="001514A7">
        <w:t>entered the room while she was cleaning. Defendant pushed her onto the bed and pulled</w:t>
      </w:r>
    </w:p>
    <w:p w14:paraId="15F2A90F" w14:textId="77777777" w:rsidR="00A14CA1" w:rsidRPr="001514A7" w:rsidRDefault="00A14CA1" w:rsidP="00A14CA1">
      <w:pPr>
        <w:pStyle w:val="NoSpacing"/>
        <w:ind w:firstLine="720"/>
      </w:pPr>
      <w:r w:rsidRPr="001514A7">
        <w:t xml:space="preserve">down her pants and panties. She testified he </w:t>
      </w:r>
      <w:r>
        <w:t>‘</w:t>
      </w:r>
      <w:r w:rsidRPr="001514A7">
        <w:t>put his tongue and hands in [her] vagina.</w:t>
      </w:r>
      <w:r>
        <w:t>’</w:t>
      </w:r>
    </w:p>
    <w:p w14:paraId="194C6D48" w14:textId="77777777" w:rsidR="00A14CA1" w:rsidRPr="001514A7" w:rsidRDefault="00A14CA1" w:rsidP="00A14CA1">
      <w:pPr>
        <w:pStyle w:val="NoSpacing"/>
        <w:ind w:firstLine="720"/>
      </w:pPr>
      <w:r w:rsidRPr="001514A7">
        <w:t xml:space="preserve">The victim asked him to stop </w:t>
      </w:r>
      <w:r>
        <w:t>‘</w:t>
      </w:r>
      <w:r w:rsidRPr="001514A7">
        <w:t xml:space="preserve">multiple </w:t>
      </w:r>
      <w:proofErr w:type="gramStart"/>
      <w:r w:rsidRPr="001514A7">
        <w:t>times</w:t>
      </w:r>
      <w:r>
        <w:t>’</w:t>
      </w:r>
      <w:proofErr w:type="gramEnd"/>
      <w:r w:rsidRPr="001514A7">
        <w:t xml:space="preserve"> and Defendant </w:t>
      </w:r>
      <w:r>
        <w:t>‘</w:t>
      </w:r>
      <w:r w:rsidRPr="001514A7">
        <w:t>kept on going.</w:t>
      </w:r>
      <w:r>
        <w:t>’</w:t>
      </w:r>
      <w:r w:rsidRPr="001514A7">
        <w:t xml:space="preserve"> Defendant</w:t>
      </w:r>
    </w:p>
    <w:p w14:paraId="24092BEA" w14:textId="77777777" w:rsidR="00A14CA1" w:rsidRPr="001514A7" w:rsidRDefault="00A14CA1" w:rsidP="00A14CA1">
      <w:pPr>
        <w:pStyle w:val="NoSpacing"/>
        <w:ind w:firstLine="720"/>
      </w:pPr>
      <w:r w:rsidRPr="001514A7">
        <w:t xml:space="preserve">only stopped when the victim kicked him in the shoulder. She testified, </w:t>
      </w:r>
      <w:r>
        <w:t>‘</w:t>
      </w:r>
      <w:r w:rsidRPr="001514A7">
        <w:t>When I kicked</w:t>
      </w:r>
    </w:p>
    <w:p w14:paraId="0EE671CC" w14:textId="77777777" w:rsidR="00A14CA1" w:rsidRPr="001514A7" w:rsidRDefault="00A14CA1" w:rsidP="00A14CA1">
      <w:pPr>
        <w:pStyle w:val="NoSpacing"/>
        <w:ind w:firstLine="720"/>
      </w:pPr>
      <w:r w:rsidRPr="001514A7">
        <w:t>him, it pushed him back pretty good, and I went back downstairs and I left after that.</w:t>
      </w:r>
      <w:r>
        <w:t>’</w:t>
      </w:r>
      <w:r w:rsidRPr="001514A7">
        <w:t xml:space="preserve"> The</w:t>
      </w:r>
    </w:p>
    <w:p w14:paraId="39A86505" w14:textId="77777777" w:rsidR="00A14CA1" w:rsidRDefault="00A14CA1" w:rsidP="00A14CA1">
      <w:pPr>
        <w:pStyle w:val="NoSpacing"/>
        <w:ind w:left="720"/>
      </w:pPr>
      <w:r w:rsidRPr="001514A7">
        <w:t xml:space="preserve">victim </w:t>
      </w:r>
      <w:r>
        <w:t>‘</w:t>
      </w:r>
      <w:r w:rsidRPr="001514A7">
        <w:t>went home and maybe thought it was a mistake.</w:t>
      </w:r>
      <w:r>
        <w:t>’</w:t>
      </w:r>
      <w:r w:rsidRPr="001514A7">
        <w:t xml:space="preserve"> She planned to return to work</w:t>
      </w:r>
      <w:r>
        <w:t xml:space="preserve"> the next morning, but she was ‘[a] little bit’ scared to go back to Defendant’s house. She</w:t>
      </w:r>
    </w:p>
    <w:p w14:paraId="0C38365A" w14:textId="77777777" w:rsidR="00A14CA1" w:rsidRDefault="00A14CA1" w:rsidP="00A14CA1">
      <w:pPr>
        <w:pStyle w:val="NoSpacing"/>
        <w:ind w:firstLine="720"/>
      </w:pPr>
      <w:r>
        <w:t>was ‘not feeling good after the day before that with what he had done.</w:t>
      </w:r>
    </w:p>
    <w:p w14:paraId="6389E3C0" w14:textId="77777777" w:rsidR="00A14CA1" w:rsidRDefault="00A14CA1" w:rsidP="00A14CA1">
      <w:pPr>
        <w:pStyle w:val="NoSpacing"/>
        <w:ind w:firstLine="720"/>
      </w:pPr>
    </w:p>
    <w:p w14:paraId="3BF31A69" w14:textId="77777777" w:rsidR="00A14CA1" w:rsidRDefault="00A14CA1" w:rsidP="00A14CA1">
      <w:pPr>
        <w:pStyle w:val="NoSpacing"/>
        <w:ind w:firstLine="720"/>
      </w:pPr>
      <w:r>
        <w:t>***</w:t>
      </w:r>
    </w:p>
    <w:p w14:paraId="784909EE" w14:textId="77777777" w:rsidR="00A14CA1" w:rsidRDefault="00A14CA1" w:rsidP="00A14CA1">
      <w:pPr>
        <w:pStyle w:val="NoSpacing"/>
        <w:ind w:firstLine="720"/>
      </w:pPr>
      <w:r>
        <w:t>[On July 24, 2021] the victim got on the elevator to go upstairs to get a bottle of water.</w:t>
      </w:r>
    </w:p>
    <w:p w14:paraId="250EDCDC" w14:textId="77777777" w:rsidR="00A14CA1" w:rsidRDefault="00A14CA1" w:rsidP="00A14CA1">
      <w:pPr>
        <w:pStyle w:val="NoSpacing"/>
        <w:ind w:firstLine="720"/>
      </w:pPr>
      <w:r>
        <w:t>As she got onto the elevator to go back downstairs to feed the horses, Defendant followed</w:t>
      </w:r>
    </w:p>
    <w:p w14:paraId="463B9EE4" w14:textId="77777777" w:rsidR="00A14CA1" w:rsidRDefault="00A14CA1" w:rsidP="00A14CA1">
      <w:pPr>
        <w:pStyle w:val="NoSpacing"/>
        <w:ind w:firstLine="720"/>
      </w:pPr>
      <w:r>
        <w:t>her onto the elevator and stopped it. He pulled down her pants and panties and again ‘put</w:t>
      </w:r>
    </w:p>
    <w:p w14:paraId="784B68CA" w14:textId="77777777" w:rsidR="00A14CA1" w:rsidRDefault="00A14CA1" w:rsidP="00A14CA1">
      <w:pPr>
        <w:pStyle w:val="NoSpacing"/>
        <w:ind w:firstLine="720"/>
      </w:pPr>
      <w:r>
        <w:t>his mouth and fingers back in [her].’ The victim testified it was painful and she again told</w:t>
      </w:r>
    </w:p>
    <w:p w14:paraId="00001708" w14:textId="77777777" w:rsidR="00A14CA1" w:rsidRDefault="00A14CA1" w:rsidP="00A14CA1">
      <w:pPr>
        <w:pStyle w:val="NoSpacing"/>
        <w:ind w:firstLine="720"/>
      </w:pPr>
      <w:r>
        <w:t>Defendant to stop multiple times. Defendant’s hands were behind her thighs, and she was</w:t>
      </w:r>
    </w:p>
    <w:p w14:paraId="1E8034F2" w14:textId="77777777" w:rsidR="00A14CA1" w:rsidRDefault="00A14CA1" w:rsidP="00A14CA1">
      <w:pPr>
        <w:pStyle w:val="NoSpacing"/>
        <w:ind w:firstLine="720"/>
      </w:pPr>
      <w:r>
        <w:t>‘</w:t>
      </w:r>
      <w:proofErr w:type="gramStart"/>
      <w:r>
        <w:t>pinned</w:t>
      </w:r>
      <w:proofErr w:type="gramEnd"/>
      <w:r>
        <w:t xml:space="preserve"> up against the wall in the corner.’ She </w:t>
      </w:r>
      <w:proofErr w:type="gramStart"/>
      <w:r>
        <w:t>testified, ‘</w:t>
      </w:r>
      <w:proofErr w:type="gramEnd"/>
      <w:r>
        <w:t>with him pushing pressure on</w:t>
      </w:r>
    </w:p>
    <w:p w14:paraId="377BF3BE" w14:textId="77777777" w:rsidR="00A14CA1" w:rsidRDefault="00A14CA1" w:rsidP="00A14CA1">
      <w:pPr>
        <w:pStyle w:val="NoSpacing"/>
        <w:ind w:firstLine="720"/>
      </w:pPr>
      <w:r>
        <w:t>my legs, it was hard for me to go anywhere.’ She was holding a water bottle in one hand</w:t>
      </w:r>
    </w:p>
    <w:p w14:paraId="2942A0C2" w14:textId="77777777" w:rsidR="00A14CA1" w:rsidRDefault="00A14CA1" w:rsidP="00A14CA1">
      <w:pPr>
        <w:pStyle w:val="NoSpacing"/>
        <w:ind w:firstLine="720"/>
      </w:pPr>
      <w:r>
        <w:t xml:space="preserve">and her phone in the other. She </w:t>
      </w:r>
      <w:proofErr w:type="gramStart"/>
      <w:r>
        <w:t>testified, ‘</w:t>
      </w:r>
      <w:proofErr w:type="gramEnd"/>
      <w:r>
        <w:t>I don’t know why I took a picture, but I took a</w:t>
      </w:r>
    </w:p>
    <w:p w14:paraId="7C1DF90E" w14:textId="77777777" w:rsidR="00A14CA1" w:rsidRDefault="00A14CA1" w:rsidP="00A14CA1">
      <w:pPr>
        <w:pStyle w:val="NoSpacing"/>
        <w:ind w:firstLine="720"/>
      </w:pPr>
      <w:r>
        <w:t>picture of him doing it just – I guess just to have to – if any – if I felt like I needed to say</w:t>
      </w:r>
    </w:p>
    <w:p w14:paraId="24E89256" w14:textId="77777777" w:rsidR="00A14CA1" w:rsidRDefault="00A14CA1" w:rsidP="00A14CA1">
      <w:pPr>
        <w:pStyle w:val="NoSpacing"/>
        <w:ind w:firstLine="720"/>
      </w:pPr>
      <w:r>
        <w:t>something.’ The photo the victim took with her phone was introduced as an exhibit.”</w:t>
      </w:r>
    </w:p>
    <w:p w14:paraId="0942B7A6" w14:textId="77777777" w:rsidR="00A14CA1" w:rsidRDefault="00A14CA1" w:rsidP="00A14CA1">
      <w:pPr>
        <w:pStyle w:val="NoSpacing"/>
        <w:ind w:firstLine="720"/>
      </w:pPr>
    </w:p>
    <w:p w14:paraId="5F8C1CF1" w14:textId="77777777" w:rsidR="00A14CA1" w:rsidRPr="00A241FB" w:rsidRDefault="00A14CA1" w:rsidP="00A14CA1">
      <w:pPr>
        <w:rPr>
          <w:b/>
          <w:bCs/>
        </w:rPr>
      </w:pPr>
      <w:r>
        <w:rPr>
          <w:b/>
        </w:rPr>
        <w:t xml:space="preserve">Legal lesson learned: Explorer programs need strict rule – no personal interaction with participants. </w:t>
      </w:r>
    </w:p>
    <w:p w14:paraId="1D3F27E3" w14:textId="77777777" w:rsidR="00A14CA1" w:rsidRDefault="00A14CA1" w:rsidP="00A14CA1">
      <w:pPr>
        <w:pStyle w:val="NoSpacing"/>
        <w:ind w:firstLine="720"/>
      </w:pPr>
    </w:p>
    <w:p w14:paraId="3B6C3DA0" w14:textId="7F8A62E6" w:rsidR="00B207FB" w:rsidRDefault="00B207FB" w:rsidP="00B207FB">
      <w:pPr>
        <w:pStyle w:val="NoSpacing"/>
        <w:rPr>
          <w:rFonts w:ascii="Arial Black" w:hAnsi="Arial Black"/>
          <w:b/>
          <w:sz w:val="28"/>
          <w:szCs w:val="28"/>
        </w:rPr>
      </w:pPr>
      <w:r>
        <w:rPr>
          <w:rFonts w:ascii="Arial Black" w:hAnsi="Arial Black"/>
          <w:b/>
          <w:sz w:val="28"/>
          <w:szCs w:val="28"/>
        </w:rPr>
        <w:t>16-166</w:t>
      </w:r>
    </w:p>
    <w:p w14:paraId="3C0D0549" w14:textId="77777777" w:rsidR="00A14CA1" w:rsidRDefault="00A14CA1" w:rsidP="002C229D">
      <w:pPr>
        <w:pStyle w:val="NoSpacing"/>
        <w:rPr>
          <w:rFonts w:ascii="Arial Black" w:hAnsi="Arial Black"/>
          <w:b/>
          <w:sz w:val="28"/>
          <w:szCs w:val="28"/>
        </w:rPr>
      </w:pPr>
    </w:p>
    <w:p w14:paraId="52493BB1" w14:textId="77777777" w:rsidR="00466092" w:rsidRPr="006041D5" w:rsidRDefault="00466092" w:rsidP="00466092">
      <w:pPr>
        <w:pStyle w:val="NoSpacing"/>
        <w:rPr>
          <w:rFonts w:ascii="Arial Black" w:hAnsi="Arial Black"/>
          <w:sz w:val="28"/>
          <w:szCs w:val="28"/>
        </w:rPr>
      </w:pPr>
      <w:r>
        <w:rPr>
          <w:rFonts w:ascii="Arial Black" w:hAnsi="Arial Black"/>
          <w:sz w:val="28"/>
          <w:szCs w:val="28"/>
        </w:rPr>
        <w:t>OH: CHIEF FIRED W/O HEARING – CITY MGR NO IMMUNITY</w:t>
      </w:r>
    </w:p>
    <w:p w14:paraId="5E83CC5E" w14:textId="77777777" w:rsidR="00466092" w:rsidRDefault="00466092" w:rsidP="00466092">
      <w:pPr>
        <w:pStyle w:val="NoSpacing"/>
      </w:pPr>
    </w:p>
    <w:p w14:paraId="01440E8A" w14:textId="77777777" w:rsidR="00466092" w:rsidRDefault="00466092" w:rsidP="00466092">
      <w:pPr>
        <w:pStyle w:val="NoSpacing"/>
      </w:pPr>
      <w:r>
        <w:t xml:space="preserve">On August 13, 2926, in </w:t>
      </w:r>
      <w:r w:rsidRPr="002934AC">
        <w:rPr>
          <w:u w:val="single"/>
        </w:rPr>
        <w:t>Michael Washington v. City of Cincinnati</w:t>
      </w:r>
      <w:r>
        <w:t xml:space="preserve">, the United States Court of Appeals for Sixth Circuit held (2 to 1) that the trial court judge properly held that the City Manager was not entitled to qualified immunity for pre-deprivation violations of Washington’s procedural due process rights, and that she was not entitled to statutory immunity for the defamation claim.  The case will now proceed to trial.  </w:t>
      </w:r>
      <w:hyperlink r:id="rId2557" w:history="1">
        <w:r w:rsidRPr="00971BCC">
          <w:rPr>
            <w:rStyle w:val="Hyperlink"/>
          </w:rPr>
          <w:t>https://files.constantcontact.com/c0e462b4101/e141b674-435b-44eb-8111-03664eafd509.pdf</w:t>
        </w:r>
      </w:hyperlink>
    </w:p>
    <w:p w14:paraId="2AEE7630" w14:textId="77777777" w:rsidR="00466092" w:rsidRDefault="00466092" w:rsidP="00466092">
      <w:pPr>
        <w:pStyle w:val="NoSpacing"/>
      </w:pPr>
      <w:r>
        <w:t xml:space="preserve"> </w:t>
      </w:r>
    </w:p>
    <w:p w14:paraId="1938CFCE" w14:textId="77777777" w:rsidR="00466092" w:rsidRDefault="00466092" w:rsidP="00466092">
      <w:pPr>
        <w:pStyle w:val="NoSpacing"/>
      </w:pPr>
      <w:r>
        <w:t>THE COURT WROTE:</w:t>
      </w:r>
    </w:p>
    <w:p w14:paraId="3388D1F0" w14:textId="77777777" w:rsidR="00466092" w:rsidRDefault="00466092" w:rsidP="00466092">
      <w:pPr>
        <w:pStyle w:val="NoSpacing"/>
      </w:pPr>
    </w:p>
    <w:p w14:paraId="22EAB9F2" w14:textId="77777777" w:rsidR="00466092" w:rsidRDefault="00466092" w:rsidP="00466092">
      <w:pPr>
        <w:pStyle w:val="NoSpacing"/>
        <w:ind w:left="720"/>
      </w:pPr>
      <w:r>
        <w:t>“This procedural due process case concerns the discharge of a public employee by a government official. Michael Washington, a longtime employee of the Cincinnati Fire Department, was promoted to Fire Chief in 2021. Around two years later, he was terminated from this position with no opportunity for a pretermination hearing. Washington sued the City of Cincinnati and the City Manager, Sheryl Long, for</w:t>
      </w:r>
    </w:p>
    <w:p w14:paraId="21EC3B44" w14:textId="77777777" w:rsidR="00466092" w:rsidRDefault="00466092" w:rsidP="00466092">
      <w:pPr>
        <w:pStyle w:val="NoSpacing"/>
        <w:ind w:left="720"/>
      </w:pPr>
      <w:r>
        <w:t>violations of his federal and state procedural due process rights, as well as defamation under Ohio state law. At summary judgment, the district court held that Long was not entitled to qualified immunity for pre-deprivation violations of Washington’s procedural due process rights, and that she was not entitled to statutory immunity for the defamation claim. Long and the City filed this interlocutory appeal challenging both denials of immunity. For the following reasons, we AFFIRM.</w:t>
      </w:r>
    </w:p>
    <w:p w14:paraId="7EAA6053" w14:textId="77777777" w:rsidR="00466092" w:rsidRDefault="00466092" w:rsidP="00466092">
      <w:pPr>
        <w:pStyle w:val="NoSpacing"/>
        <w:ind w:left="720"/>
      </w:pPr>
    </w:p>
    <w:p w14:paraId="693E56AF" w14:textId="77777777" w:rsidR="00466092" w:rsidRDefault="00466092" w:rsidP="00466092">
      <w:pPr>
        <w:pStyle w:val="NoSpacing"/>
        <w:ind w:left="720"/>
      </w:pPr>
      <w:r>
        <w:t>***</w:t>
      </w:r>
    </w:p>
    <w:p w14:paraId="179069D8" w14:textId="77777777" w:rsidR="00466092" w:rsidRDefault="00466092" w:rsidP="00466092">
      <w:pPr>
        <w:pStyle w:val="NoSpacing"/>
        <w:ind w:left="720"/>
      </w:pPr>
      <w:r>
        <w:t>Washington began working for the City of Cincinnati Fire Department in 1993. In May</w:t>
      </w:r>
    </w:p>
    <w:p w14:paraId="1A393706" w14:textId="77777777" w:rsidR="00466092" w:rsidRDefault="00466092" w:rsidP="00466092">
      <w:pPr>
        <w:pStyle w:val="NoSpacing"/>
        <w:ind w:left="720"/>
      </w:pPr>
      <w:r>
        <w:t>2021, he was promoted to Fire Chief. The Cincinnati City Charter (the “Charter”), per a 2001 amendment, contains the following language governing the Fire Chief position:</w:t>
      </w:r>
    </w:p>
    <w:p w14:paraId="20009375" w14:textId="77777777" w:rsidR="00466092" w:rsidRDefault="00466092" w:rsidP="00466092">
      <w:pPr>
        <w:pStyle w:val="NoSpacing"/>
        <w:ind w:left="720"/>
      </w:pPr>
    </w:p>
    <w:p w14:paraId="5125C4C6" w14:textId="77777777" w:rsidR="00466092" w:rsidRDefault="00466092" w:rsidP="00466092">
      <w:pPr>
        <w:pStyle w:val="NoSpacing"/>
        <w:ind w:left="720" w:firstLine="720"/>
      </w:pPr>
      <w:r>
        <w:t>The positions of fire chief and assistant fire chief shall be in the unclassified civil</w:t>
      </w:r>
    </w:p>
    <w:p w14:paraId="30FAAE88" w14:textId="77777777" w:rsidR="00466092" w:rsidRDefault="00466092" w:rsidP="00466092">
      <w:pPr>
        <w:pStyle w:val="NoSpacing"/>
        <w:ind w:left="720" w:firstLine="720"/>
      </w:pPr>
      <w:r>
        <w:t>service of the city and exempt from all competitive examination requirements. . . .</w:t>
      </w:r>
    </w:p>
    <w:p w14:paraId="1C065FA4" w14:textId="77777777" w:rsidR="00466092" w:rsidRDefault="00466092" w:rsidP="00466092">
      <w:pPr>
        <w:pStyle w:val="NoSpacing"/>
        <w:ind w:left="720" w:firstLine="720"/>
      </w:pPr>
      <w:r>
        <w:t>The fire chief may be removed at any time by the city manager. After the fire</w:t>
      </w:r>
    </w:p>
    <w:p w14:paraId="3B8FCDF3" w14:textId="77777777" w:rsidR="00466092" w:rsidRDefault="00466092" w:rsidP="00466092">
      <w:pPr>
        <w:pStyle w:val="NoSpacing"/>
        <w:ind w:left="720" w:firstLine="720"/>
      </w:pPr>
      <w:r>
        <w:t xml:space="preserve">chief has served six </w:t>
      </w:r>
      <w:proofErr w:type="gramStart"/>
      <w:r>
        <w:t>months,</w:t>
      </w:r>
      <w:proofErr w:type="gramEnd"/>
      <w:r>
        <w:t xml:space="preserve"> he or she shall be subject to removal only for cause</w:t>
      </w:r>
    </w:p>
    <w:p w14:paraId="16DCC609" w14:textId="77777777" w:rsidR="00466092" w:rsidRDefault="00466092" w:rsidP="00466092">
      <w:pPr>
        <w:pStyle w:val="NoSpacing"/>
        <w:ind w:left="720" w:firstLine="720"/>
      </w:pPr>
      <w:r>
        <w:t>including incompetency, inefficiency, dishonesty, insubordination, unsatisfactory</w:t>
      </w:r>
    </w:p>
    <w:p w14:paraId="2EA60A2F" w14:textId="77777777" w:rsidR="00466092" w:rsidRDefault="00466092" w:rsidP="00466092">
      <w:pPr>
        <w:pStyle w:val="NoSpacing"/>
        <w:ind w:left="720" w:firstLine="720"/>
      </w:pPr>
      <w:r>
        <w:t>performance, any other failure of good behavior, any other acts of misfeasance,</w:t>
      </w:r>
    </w:p>
    <w:p w14:paraId="32E1686B" w14:textId="77777777" w:rsidR="00466092" w:rsidRDefault="00466092" w:rsidP="00466092">
      <w:pPr>
        <w:pStyle w:val="NoSpacing"/>
        <w:ind w:left="720" w:firstLine="720"/>
      </w:pPr>
      <w:r>
        <w:t>malfeasance, or nonfeasance in office, or conviction of any felony. If removed</w:t>
      </w:r>
    </w:p>
    <w:p w14:paraId="0C6FA552" w14:textId="77777777" w:rsidR="00466092" w:rsidRDefault="00466092" w:rsidP="00466092">
      <w:pPr>
        <w:pStyle w:val="NoSpacing"/>
        <w:ind w:left="720" w:firstLine="720"/>
      </w:pPr>
      <w:r>
        <w:t>for cause the fire chief may demand written charges and the right to be heard</w:t>
      </w:r>
    </w:p>
    <w:p w14:paraId="3225E31A" w14:textId="77777777" w:rsidR="00466092" w:rsidRDefault="00466092" w:rsidP="00466092">
      <w:pPr>
        <w:pStyle w:val="NoSpacing"/>
        <w:ind w:left="720" w:firstLine="720"/>
      </w:pPr>
      <w:r>
        <w:t>thereon before the city manager. Pending the completion of such hearing the city</w:t>
      </w:r>
    </w:p>
    <w:p w14:paraId="72862BA4" w14:textId="77777777" w:rsidR="00466092" w:rsidRDefault="00466092" w:rsidP="00466092">
      <w:pPr>
        <w:pStyle w:val="NoSpacing"/>
        <w:ind w:left="720" w:firstLine="720"/>
      </w:pPr>
      <w:r>
        <w:t>manager may suspend the fire chief from office.</w:t>
      </w:r>
    </w:p>
    <w:p w14:paraId="2045328F" w14:textId="77777777" w:rsidR="00466092" w:rsidRDefault="00466092" w:rsidP="00466092">
      <w:pPr>
        <w:pStyle w:val="NoSpacing"/>
        <w:ind w:left="720" w:firstLine="720"/>
      </w:pPr>
      <w:r w:rsidRPr="00937ACE">
        <w:t>Charter of the City of Cincinnati, Art. V, § 6.</w:t>
      </w:r>
    </w:p>
    <w:p w14:paraId="19B154B8" w14:textId="77777777" w:rsidR="00466092" w:rsidRDefault="00466092" w:rsidP="00466092">
      <w:pPr>
        <w:pStyle w:val="NoSpacing"/>
      </w:pPr>
    </w:p>
    <w:p w14:paraId="430BD63C" w14:textId="77777777" w:rsidR="00466092" w:rsidRDefault="00466092" w:rsidP="00466092">
      <w:pPr>
        <w:pStyle w:val="NoSpacing"/>
        <w:ind w:left="720"/>
      </w:pPr>
      <w:r>
        <w:t>When Washington was promoted to Fire Chief, he signed a memorandum titled ‘Understanding of Unclassified Appointment’ (the ‘MOU’), which provides, in full, as follows:</w:t>
      </w:r>
    </w:p>
    <w:p w14:paraId="382688E6" w14:textId="77777777" w:rsidR="00466092" w:rsidRDefault="00466092" w:rsidP="00466092">
      <w:pPr>
        <w:pStyle w:val="NoSpacing"/>
      </w:pPr>
    </w:p>
    <w:p w14:paraId="395EB5DF" w14:textId="77777777" w:rsidR="00466092" w:rsidRDefault="00466092" w:rsidP="00466092">
      <w:pPr>
        <w:pStyle w:val="NoSpacing"/>
        <w:ind w:left="720" w:firstLine="720"/>
      </w:pPr>
      <w:r>
        <w:t>The position of Fire Chief is an unclassified position.</w:t>
      </w:r>
    </w:p>
    <w:p w14:paraId="01740F72" w14:textId="77777777" w:rsidR="00466092" w:rsidRDefault="00466092" w:rsidP="00466092">
      <w:pPr>
        <w:pStyle w:val="NoSpacing"/>
        <w:ind w:left="720" w:firstLine="720"/>
      </w:pPr>
      <w:r>
        <w:t>Employees accepting employment in unclassified positions serve at the pleasure</w:t>
      </w:r>
    </w:p>
    <w:p w14:paraId="5C813D50" w14:textId="77777777" w:rsidR="00466092" w:rsidRDefault="00466092" w:rsidP="00466092">
      <w:pPr>
        <w:pStyle w:val="NoSpacing"/>
        <w:ind w:left="720" w:firstLine="720"/>
      </w:pPr>
      <w:r>
        <w:t>of the appointing authority and can be dismissed from employment without cause</w:t>
      </w:r>
    </w:p>
    <w:p w14:paraId="651A090B" w14:textId="77777777" w:rsidR="00466092" w:rsidRDefault="00466092" w:rsidP="00466092">
      <w:pPr>
        <w:pStyle w:val="NoSpacing"/>
        <w:ind w:left="720" w:firstLine="720"/>
      </w:pPr>
      <w:r>
        <w:t>at any time. In addition, unclassified employees are not recognized under the</w:t>
      </w:r>
    </w:p>
    <w:p w14:paraId="32D9CE47" w14:textId="77777777" w:rsidR="00466092" w:rsidRDefault="00466092" w:rsidP="00466092">
      <w:pPr>
        <w:pStyle w:val="NoSpacing"/>
        <w:ind w:left="720" w:firstLine="720"/>
      </w:pPr>
      <w:r>
        <w:t>Civil Service system and are, therefore, not afforded civil service protections</w:t>
      </w:r>
    </w:p>
    <w:p w14:paraId="68CB471E" w14:textId="77777777" w:rsidR="00466092" w:rsidRDefault="00466092" w:rsidP="00466092">
      <w:pPr>
        <w:pStyle w:val="NoSpacing"/>
        <w:ind w:left="720" w:firstLine="720"/>
      </w:pPr>
      <w:r>
        <w:t>and/or hearings granted to classified employees. In accepting unclassified</w:t>
      </w:r>
    </w:p>
    <w:p w14:paraId="5974351F" w14:textId="77777777" w:rsidR="00466092" w:rsidRDefault="00466092" w:rsidP="00466092">
      <w:pPr>
        <w:pStyle w:val="NoSpacing"/>
        <w:ind w:left="720" w:firstLine="720"/>
      </w:pPr>
      <w:r>
        <w:t>appointments, employees forfeit the right to seek other employment via lateral</w:t>
      </w:r>
    </w:p>
    <w:p w14:paraId="5A26BD54" w14:textId="77777777" w:rsidR="00466092" w:rsidRDefault="00466092" w:rsidP="00466092">
      <w:pPr>
        <w:pStyle w:val="NoSpacing"/>
        <w:ind w:left="720" w:firstLine="720"/>
      </w:pPr>
      <w:r>
        <w:t>transfers and the opportunity to take competitive, promotional exams.</w:t>
      </w:r>
    </w:p>
    <w:p w14:paraId="1B3A1BE8" w14:textId="77777777" w:rsidR="00466092" w:rsidRDefault="00466092" w:rsidP="00466092">
      <w:pPr>
        <w:pStyle w:val="NoSpacing"/>
        <w:ind w:left="720" w:firstLine="720"/>
      </w:pPr>
      <w:r>
        <w:t>By signing below, I, Michael A. Washington, Sr., understand that the position of</w:t>
      </w:r>
    </w:p>
    <w:p w14:paraId="1F4D4556" w14:textId="77777777" w:rsidR="00466092" w:rsidRDefault="00466092" w:rsidP="00466092">
      <w:pPr>
        <w:pStyle w:val="NoSpacing"/>
        <w:ind w:left="720" w:firstLine="720"/>
      </w:pPr>
      <w:r>
        <w:lastRenderedPageBreak/>
        <w:t>Fire Chief, which I am accepting, is an unclassified position and that I have read</w:t>
      </w:r>
    </w:p>
    <w:p w14:paraId="7269B49A" w14:textId="77777777" w:rsidR="00466092" w:rsidRDefault="00466092" w:rsidP="00466092">
      <w:pPr>
        <w:pStyle w:val="NoSpacing"/>
        <w:ind w:left="720" w:firstLine="720"/>
      </w:pPr>
      <w:r>
        <w:t>and understand the explanation of unclassified positions detailed in this</w:t>
      </w:r>
    </w:p>
    <w:p w14:paraId="5C427945" w14:textId="77777777" w:rsidR="00466092" w:rsidRDefault="00466092" w:rsidP="00466092">
      <w:pPr>
        <w:pStyle w:val="NoSpacing"/>
        <w:ind w:left="720" w:firstLine="720"/>
      </w:pPr>
      <w:r>
        <w:t>document.</w:t>
      </w:r>
    </w:p>
    <w:p w14:paraId="7D3339AF" w14:textId="77777777" w:rsidR="00466092" w:rsidRDefault="00466092" w:rsidP="00466092">
      <w:pPr>
        <w:pStyle w:val="NoSpacing"/>
        <w:ind w:left="720" w:firstLine="720"/>
      </w:pPr>
    </w:p>
    <w:p w14:paraId="3138E4D0" w14:textId="77777777" w:rsidR="00466092" w:rsidRPr="008A338C" w:rsidRDefault="00466092" w:rsidP="00466092">
      <w:pPr>
        <w:pStyle w:val="NoSpacing"/>
        <w:ind w:firstLine="720"/>
      </w:pPr>
      <w:r w:rsidRPr="008A338C">
        <w:t>On March 24, 2023, Washington was called to a meeting at City Hall, where Long,</w:t>
      </w:r>
    </w:p>
    <w:p w14:paraId="6EAECB50" w14:textId="77777777" w:rsidR="00466092" w:rsidRPr="008A338C" w:rsidRDefault="00466092" w:rsidP="00466092">
      <w:pPr>
        <w:pStyle w:val="NoSpacing"/>
        <w:ind w:left="720"/>
      </w:pPr>
      <w:r w:rsidRPr="008A338C">
        <w:t xml:space="preserve">accompanied by two Human Resources representatives, told him that he was being </w:t>
      </w:r>
      <w:proofErr w:type="gramStart"/>
      <w:r w:rsidRPr="008A338C">
        <w:t>terminated,</w:t>
      </w:r>
      <w:proofErr w:type="gramEnd"/>
      <w:r>
        <w:t xml:space="preserve"> </w:t>
      </w:r>
      <w:proofErr w:type="gramStart"/>
      <w:r w:rsidRPr="008A338C">
        <w:t>effective</w:t>
      </w:r>
      <w:proofErr w:type="gramEnd"/>
      <w:r w:rsidRPr="008A338C">
        <w:t xml:space="preserve"> immediately. Long then handed him a termination letter. The letter began with an</w:t>
      </w:r>
      <w:r>
        <w:t xml:space="preserve"> </w:t>
      </w:r>
      <w:r w:rsidRPr="008A338C">
        <w:t xml:space="preserve">excerpt of the Charter language providing that </w:t>
      </w:r>
      <w:r>
        <w:t>‘</w:t>
      </w:r>
      <w:r w:rsidRPr="008A338C">
        <w:t>[a]</w:t>
      </w:r>
      <w:proofErr w:type="spellStart"/>
      <w:r w:rsidRPr="008A338C">
        <w:t>fter</w:t>
      </w:r>
      <w:proofErr w:type="spellEnd"/>
      <w:r w:rsidRPr="008A338C">
        <w:t xml:space="preserve"> the fire chief has served six months, he or</w:t>
      </w:r>
      <w:r>
        <w:t xml:space="preserve"> </w:t>
      </w:r>
      <w:r w:rsidRPr="008A338C">
        <w:t>she shall be subject to removal only for cause,</w:t>
      </w:r>
      <w:r>
        <w:t>’</w:t>
      </w:r>
      <w:r w:rsidRPr="008A338C">
        <w:t xml:space="preserve"> then provided five reasons for Washington’s</w:t>
      </w:r>
      <w:r>
        <w:t xml:space="preserve"> </w:t>
      </w:r>
      <w:r w:rsidRPr="008A338C">
        <w:t>termination: (1) poor workplace culture under his leadership, (2) that he was absent from a high-rise fire, (3) that he mishandled personnel matters when a lieutenant was charged with assault,</w:t>
      </w:r>
      <w:r>
        <w:t xml:space="preserve"> </w:t>
      </w:r>
      <w:r w:rsidRPr="008A338C">
        <w:t>(4) that he mismanaged the acquisition of a new training facility, and (5) ineffective</w:t>
      </w:r>
      <w:r>
        <w:t xml:space="preserve"> </w:t>
      </w:r>
      <w:r w:rsidRPr="008A338C">
        <w:t xml:space="preserve">communication with Long and others. After the meeting, </w:t>
      </w:r>
      <w:proofErr w:type="gramStart"/>
      <w:r w:rsidRPr="008A338C">
        <w:t>Long</w:t>
      </w:r>
      <w:proofErr w:type="gramEnd"/>
      <w:r w:rsidRPr="008A338C">
        <w:t xml:space="preserve"> informed the </w:t>
      </w:r>
      <w:proofErr w:type="gramStart"/>
      <w:r w:rsidRPr="008A338C">
        <w:t>Mayor</w:t>
      </w:r>
      <w:proofErr w:type="gramEnd"/>
      <w:r w:rsidRPr="008A338C">
        <w:t xml:space="preserve"> and</w:t>
      </w:r>
      <w:r>
        <w:t xml:space="preserve"> </w:t>
      </w:r>
      <w:r w:rsidRPr="008A338C">
        <w:t>members of the City Council that Washington had been terminated for cause, listing her reasons</w:t>
      </w:r>
      <w:r>
        <w:t xml:space="preserve"> </w:t>
      </w:r>
      <w:r w:rsidRPr="008A338C">
        <w:t xml:space="preserve">for terminating him in a memorandum titled </w:t>
      </w:r>
      <w:r>
        <w:t>‘</w:t>
      </w:r>
      <w:r w:rsidRPr="008A338C">
        <w:t>For Your Information.</w:t>
      </w:r>
      <w:r>
        <w:t>’</w:t>
      </w:r>
      <w:r w:rsidRPr="008A338C">
        <w:t xml:space="preserve"> On the same day, </w:t>
      </w:r>
      <w:proofErr w:type="gramStart"/>
      <w:r w:rsidRPr="008A338C">
        <w:t>Long</w:t>
      </w:r>
      <w:proofErr w:type="gramEnd"/>
      <w:r>
        <w:t xml:space="preserve"> </w:t>
      </w:r>
      <w:r w:rsidRPr="008A338C">
        <w:t>notified local media outlets of Washington’s termination by providing a copy of the termination</w:t>
      </w:r>
      <w:r>
        <w:t xml:space="preserve"> </w:t>
      </w:r>
      <w:r w:rsidRPr="008A338C">
        <w:t>letter and making statements in interviews consistent with the letter and memorandum.</w:t>
      </w:r>
      <w:r>
        <w:t xml:space="preserve"> </w:t>
      </w:r>
      <w:r w:rsidRPr="008A338C">
        <w:t>Washington subsequently requested a post-termination hearing before a neutral decisionmaker,</w:t>
      </w:r>
    </w:p>
    <w:p w14:paraId="42BAAE67" w14:textId="77777777" w:rsidR="00466092" w:rsidRDefault="00466092" w:rsidP="00466092">
      <w:pPr>
        <w:pStyle w:val="NoSpacing"/>
        <w:ind w:left="720"/>
      </w:pPr>
      <w:r w:rsidRPr="008A338C">
        <w:t xml:space="preserve">and </w:t>
      </w:r>
      <w:proofErr w:type="gramStart"/>
      <w:r w:rsidRPr="008A338C">
        <w:t>Long</w:t>
      </w:r>
      <w:proofErr w:type="gramEnd"/>
      <w:r w:rsidRPr="008A338C">
        <w:t xml:space="preserve"> and the City responded by offering him a hearing before Long. No post-termination</w:t>
      </w:r>
      <w:r>
        <w:t xml:space="preserve"> </w:t>
      </w:r>
      <w:r w:rsidRPr="008A338C">
        <w:t>hearing took place.</w:t>
      </w:r>
    </w:p>
    <w:p w14:paraId="0EC18674" w14:textId="77777777" w:rsidR="00466092" w:rsidRDefault="00466092" w:rsidP="00466092">
      <w:pPr>
        <w:pStyle w:val="NoSpacing"/>
      </w:pPr>
    </w:p>
    <w:p w14:paraId="314FCC3C" w14:textId="77777777" w:rsidR="00466092" w:rsidRDefault="00466092" w:rsidP="00466092">
      <w:pPr>
        <w:pStyle w:val="NoSpacing"/>
        <w:ind w:firstLine="720"/>
      </w:pPr>
      <w:r>
        <w:t>***</w:t>
      </w:r>
    </w:p>
    <w:p w14:paraId="5D5AE732" w14:textId="77777777" w:rsidR="00466092" w:rsidRDefault="00466092" w:rsidP="00466092">
      <w:pPr>
        <w:pStyle w:val="NoSpacing"/>
        <w:ind w:left="720"/>
      </w:pPr>
      <w:r>
        <w:t>For all these reasons, a reasonable official in Long’s position (a) would have known that</w:t>
      </w:r>
    </w:p>
    <w:p w14:paraId="03645B5C" w14:textId="77777777" w:rsidR="00466092" w:rsidRDefault="00466092" w:rsidP="00466092">
      <w:pPr>
        <w:pStyle w:val="NoSpacing"/>
        <w:ind w:firstLine="720"/>
      </w:pPr>
      <w:r>
        <w:t>Washington, in his position as Fire Chief under the Charter, accrued for-cause protection</w:t>
      </w:r>
    </w:p>
    <w:p w14:paraId="3C118501" w14:textId="77777777" w:rsidR="00466092" w:rsidRDefault="00466092" w:rsidP="00466092">
      <w:pPr>
        <w:pStyle w:val="NoSpacing"/>
        <w:ind w:firstLine="720"/>
      </w:pPr>
      <w:r>
        <w:t>following his six-month probationary period; and (b) would not have presumed the MOU</w:t>
      </w:r>
    </w:p>
    <w:p w14:paraId="07285421" w14:textId="77777777" w:rsidR="00466092" w:rsidRDefault="00466092" w:rsidP="00466092">
      <w:pPr>
        <w:pStyle w:val="NoSpacing"/>
        <w:ind w:left="720"/>
      </w:pPr>
      <w:r>
        <w:t xml:space="preserve">operated as a waiver of the rights afforded by that status. Long’s failure to provide Washington with any pre-termination process before firing him on March 24, 2023, was a violation of clearly established </w:t>
      </w:r>
      <w:proofErr w:type="gramStart"/>
      <w:r>
        <w:t>law.”</w:t>
      </w:r>
      <w:proofErr w:type="gramEnd"/>
    </w:p>
    <w:p w14:paraId="31302485" w14:textId="77777777" w:rsidR="00466092" w:rsidRDefault="00466092" w:rsidP="00466092">
      <w:pPr>
        <w:pStyle w:val="NoSpacing"/>
        <w:ind w:left="720"/>
      </w:pPr>
    </w:p>
    <w:p w14:paraId="1EF5D471" w14:textId="77777777" w:rsidR="00466092" w:rsidRDefault="00466092" w:rsidP="00466092">
      <w:pPr>
        <w:pStyle w:val="NoSpacing"/>
      </w:pPr>
      <w:r>
        <w:t>DISSENT (Circuit Judge Chad Readler)</w:t>
      </w:r>
    </w:p>
    <w:p w14:paraId="57E3A986" w14:textId="77777777" w:rsidR="00466092" w:rsidRDefault="00466092" w:rsidP="00466092">
      <w:pPr>
        <w:pStyle w:val="NoSpacing"/>
      </w:pPr>
    </w:p>
    <w:p w14:paraId="53EB558A" w14:textId="77777777" w:rsidR="00466092" w:rsidRDefault="00466092" w:rsidP="00466092">
      <w:pPr>
        <w:pStyle w:val="NoSpacing"/>
        <w:ind w:left="720"/>
      </w:pPr>
      <w:r>
        <w:t xml:space="preserve">“Washington signed a document that indicated he was an unclassified employee, provided for no property right in his employment, and allowed for his immediate termination. Because it was far from clearly established that Long could not immediately terminate Washington’s employment under these circumstances, she is entitled to qualified </w:t>
      </w:r>
      <w:proofErr w:type="gramStart"/>
      <w:r>
        <w:t>immunity.”</w:t>
      </w:r>
      <w:proofErr w:type="gramEnd"/>
    </w:p>
    <w:p w14:paraId="063D8380" w14:textId="77777777" w:rsidR="00466092" w:rsidRDefault="00466092" w:rsidP="00466092">
      <w:pPr>
        <w:pStyle w:val="NoSpacing"/>
        <w:ind w:left="720"/>
      </w:pPr>
    </w:p>
    <w:p w14:paraId="00EA7C5A" w14:textId="77777777" w:rsidR="00466092" w:rsidRDefault="00466092" w:rsidP="00466092">
      <w:pPr>
        <w:pStyle w:val="NoSpacing"/>
        <w:rPr>
          <w:b/>
          <w:bCs/>
        </w:rPr>
      </w:pPr>
      <w:r>
        <w:rPr>
          <w:b/>
        </w:rPr>
        <w:t xml:space="preserve">Legal lesson learned:  When the City Charter provides that Fire Chiefs and Assistant Chiefs, after having served six months, can only be fired for cause, then City must provide pre-termination hearing.  </w:t>
      </w:r>
    </w:p>
    <w:p w14:paraId="3EB13AAC" w14:textId="77777777" w:rsidR="00466092" w:rsidRDefault="00466092" w:rsidP="00466092">
      <w:pPr>
        <w:pStyle w:val="NoSpacing"/>
        <w:rPr>
          <w:b/>
          <w:bCs/>
        </w:rPr>
      </w:pPr>
    </w:p>
    <w:p w14:paraId="3024B83F" w14:textId="77777777" w:rsidR="00466092" w:rsidRDefault="00466092" w:rsidP="00466092">
      <w:pPr>
        <w:pStyle w:val="NoSpacing"/>
        <w:ind w:left="720"/>
      </w:pPr>
      <w:r>
        <w:t>Note: This is an important decision that will impact Ohio and other municipalities in the 6</w:t>
      </w:r>
      <w:r w:rsidRPr="001332FF">
        <w:rPr>
          <w:vertAlign w:val="superscript"/>
        </w:rPr>
        <w:t>th</w:t>
      </w:r>
      <w:r>
        <w:t xml:space="preserve"> Circuit (Ohio, Kentucky, Michigan, Tennessee).  The Ohio Municipal League warned cities in Ohio:</w:t>
      </w:r>
    </w:p>
    <w:p w14:paraId="0BBD0D13" w14:textId="77777777" w:rsidR="00466092" w:rsidRDefault="00466092" w:rsidP="00466092">
      <w:pPr>
        <w:pStyle w:val="NoSpacing"/>
        <w:ind w:left="720"/>
        <w:rPr>
          <w:b/>
        </w:rPr>
      </w:pPr>
    </w:p>
    <w:p w14:paraId="6EAB509D" w14:textId="77777777" w:rsidR="00466092" w:rsidRDefault="00466092" w:rsidP="00466092">
      <w:pPr>
        <w:pStyle w:val="NoSpacing"/>
        <w:ind w:left="720"/>
      </w:pPr>
      <w:r>
        <w:rPr>
          <w:b/>
        </w:rPr>
        <w:t>“</w:t>
      </w:r>
      <w:r w:rsidRPr="00E32D3E">
        <w:rPr>
          <w:b/>
        </w:rPr>
        <w:t>SIXTH CIRCUIT DECISION RAISES QUALIFIED IMMUNITY CONCERNS</w:t>
      </w:r>
      <w:r>
        <w:rPr>
          <w:b/>
        </w:rPr>
        <w:t xml:space="preserve">.   </w:t>
      </w:r>
      <w:r w:rsidRPr="00E32D3E">
        <w:t>Aug. 27, 2026.</w:t>
      </w:r>
      <w:r>
        <w:rPr>
          <w:b/>
        </w:rPr>
        <w:t xml:space="preserve">  </w:t>
      </w:r>
      <w:hyperlink r:id="rId2558" w:history="1">
        <w:r w:rsidRPr="00971BCC">
          <w:rPr>
            <w:rStyle w:val="Hyperlink"/>
          </w:rPr>
          <w:t>https://omlohio.org/m/newsflash/home/detail/52</w:t>
        </w:r>
      </w:hyperlink>
      <w:r>
        <w:t xml:space="preserve"> </w:t>
      </w:r>
    </w:p>
    <w:p w14:paraId="3D409883" w14:textId="77777777" w:rsidR="00466092" w:rsidRDefault="00466092" w:rsidP="00466092">
      <w:pPr>
        <w:pStyle w:val="NoSpacing"/>
        <w:ind w:left="720"/>
      </w:pPr>
    </w:p>
    <w:p w14:paraId="7227AEA1" w14:textId="77777777" w:rsidR="00466092" w:rsidRPr="0069350D" w:rsidRDefault="00466092" w:rsidP="00466092">
      <w:pPr>
        <w:pStyle w:val="NoSpacing"/>
        <w:ind w:firstLine="720"/>
        <w:rPr>
          <w:b/>
        </w:rPr>
      </w:pPr>
      <w:r>
        <w:rPr>
          <w:b/>
        </w:rPr>
        <w:t>“</w:t>
      </w:r>
      <w:r w:rsidRPr="0069350D">
        <w:rPr>
          <w:b/>
        </w:rPr>
        <w:t>Why Does It Matter for Municipalities?</w:t>
      </w:r>
    </w:p>
    <w:p w14:paraId="77635CE8" w14:textId="77777777" w:rsidR="00466092" w:rsidRDefault="00466092" w:rsidP="00466092">
      <w:pPr>
        <w:pStyle w:val="NoSpacing"/>
        <w:ind w:left="720"/>
      </w:pPr>
      <w:r w:rsidRPr="0069350D">
        <w:t>If the decision stands, OML is concerned it could make it easier for plaintiffs to overcome qualified immunity in due process cases, increasing potential legal exposure for municipal officials throughout Ohio and the Sixth Circuit.</w:t>
      </w:r>
      <w:r>
        <w:t xml:space="preserve"> </w:t>
      </w:r>
      <w:r w:rsidRPr="0069350D">
        <w:t xml:space="preserve">The case also provides a practical reminder that before terminating an appointed official or other employee, municipalities should review their charter, ordinances, employment agreements and policies to determine whether </w:t>
      </w:r>
      <w:r>
        <w:t>‘</w:t>
      </w:r>
      <w:r w:rsidRPr="0069350D">
        <w:t>for cause</w:t>
      </w:r>
      <w:r>
        <w:t>’</w:t>
      </w:r>
      <w:r w:rsidRPr="0069350D">
        <w:t xml:space="preserve"> protections or other provisions trigger constitutional due process requirements.</w:t>
      </w:r>
    </w:p>
    <w:p w14:paraId="39F02B64" w14:textId="77777777" w:rsidR="00466092" w:rsidRDefault="00466092" w:rsidP="00466092">
      <w:pPr>
        <w:pStyle w:val="NoSpacing"/>
        <w:rPr>
          <w:b/>
        </w:rPr>
      </w:pPr>
    </w:p>
    <w:p w14:paraId="4DBD5F96" w14:textId="77777777" w:rsidR="00466092" w:rsidRPr="0069350D" w:rsidRDefault="00466092" w:rsidP="00466092">
      <w:pPr>
        <w:pStyle w:val="NoSpacing"/>
        <w:ind w:firstLine="720"/>
        <w:rPr>
          <w:b/>
        </w:rPr>
      </w:pPr>
      <w:r w:rsidRPr="0069350D">
        <w:rPr>
          <w:b/>
        </w:rPr>
        <w:t>OML Supporting Further Review</w:t>
      </w:r>
    </w:p>
    <w:p w14:paraId="7508E989" w14:textId="77777777" w:rsidR="00466092" w:rsidRPr="0069350D" w:rsidRDefault="00466092" w:rsidP="00466092">
      <w:pPr>
        <w:pStyle w:val="NoSpacing"/>
        <w:ind w:left="720"/>
      </w:pPr>
      <w:r w:rsidRPr="0069350D">
        <w:t xml:space="preserve">Because of the broader implications for municipalities, OML intends to participate in an amicus brief supporting a request for the full Sixth Circuit to rehear the qualified-immunity portion of the case. OML believes established </w:t>
      </w:r>
      <w:r w:rsidRPr="0069350D">
        <w:lastRenderedPageBreak/>
        <w:t>precedent requires a sufficiently particularized showing that an official's conduct violated clearly established law before qualified immunity can be denied.</w:t>
      </w:r>
      <w:r>
        <w:t>”</w:t>
      </w:r>
    </w:p>
    <w:p w14:paraId="71F42A1F" w14:textId="77777777" w:rsidR="00466092" w:rsidRPr="0069350D" w:rsidRDefault="00466092" w:rsidP="00466092">
      <w:pPr>
        <w:pStyle w:val="NoSpacing"/>
        <w:ind w:left="720"/>
      </w:pPr>
    </w:p>
    <w:p w14:paraId="0FA89AD9" w14:textId="77777777" w:rsidR="00466092" w:rsidRDefault="00466092" w:rsidP="002C229D">
      <w:pPr>
        <w:pStyle w:val="NoSpacing"/>
        <w:rPr>
          <w:rFonts w:ascii="Arial Black" w:hAnsi="Arial Black"/>
          <w:b/>
          <w:sz w:val="28"/>
          <w:szCs w:val="28"/>
        </w:rPr>
      </w:pPr>
    </w:p>
    <w:p w14:paraId="27CD5A9D" w14:textId="4C5030C8" w:rsidR="00B207FB" w:rsidRDefault="00B207FB" w:rsidP="00B207FB">
      <w:pPr>
        <w:pStyle w:val="NoSpacing"/>
        <w:rPr>
          <w:rFonts w:ascii="Arial Black" w:hAnsi="Arial Black"/>
          <w:b/>
          <w:sz w:val="28"/>
          <w:szCs w:val="28"/>
        </w:rPr>
      </w:pPr>
      <w:r>
        <w:rPr>
          <w:rFonts w:ascii="Arial Black" w:hAnsi="Arial Black"/>
          <w:b/>
          <w:sz w:val="28"/>
          <w:szCs w:val="28"/>
        </w:rPr>
        <w:t>16-165</w:t>
      </w:r>
    </w:p>
    <w:p w14:paraId="7A0B3E27" w14:textId="77777777" w:rsidR="00B207FB" w:rsidRDefault="00B207FB" w:rsidP="002C229D">
      <w:pPr>
        <w:pStyle w:val="NoSpacing"/>
        <w:rPr>
          <w:rFonts w:ascii="Arial Black" w:hAnsi="Arial Black"/>
          <w:b/>
          <w:sz w:val="28"/>
          <w:szCs w:val="28"/>
        </w:rPr>
      </w:pPr>
    </w:p>
    <w:p w14:paraId="74CDBB02" w14:textId="77777777" w:rsidR="00B207FB" w:rsidRPr="00DE0FE9" w:rsidRDefault="00B207FB" w:rsidP="00B207FB">
      <w:pPr>
        <w:rPr>
          <w:rFonts w:ascii="Arial Black" w:hAnsi="Arial Black"/>
          <w:b/>
          <w:sz w:val="28"/>
          <w:szCs w:val="28"/>
        </w:rPr>
      </w:pPr>
      <w:r>
        <w:rPr>
          <w:rFonts w:ascii="Arial Black" w:hAnsi="Arial Black"/>
          <w:b/>
          <w:sz w:val="28"/>
          <w:szCs w:val="28"/>
        </w:rPr>
        <w:t>NC: CAPTAIN’S SOCIAL MEDIA POSTS – 3 WARNINGS - FIRED</w:t>
      </w:r>
    </w:p>
    <w:p w14:paraId="138C43E0" w14:textId="77777777" w:rsidR="00B207FB" w:rsidRDefault="00B207FB" w:rsidP="00B207FB">
      <w:pPr>
        <w:rPr>
          <w:bCs/>
        </w:rPr>
      </w:pPr>
      <w:r>
        <w:t>On August 10, 2026</w:t>
      </w:r>
      <w:proofErr w:type="gramStart"/>
      <w:r>
        <w:t>, in</w:t>
      </w:r>
      <w:proofErr w:type="gramEnd"/>
      <w:r>
        <w:t xml:space="preserve"> </w:t>
      </w:r>
      <w:r w:rsidRPr="00DD52A4">
        <w:rPr>
          <w:u w:val="single"/>
        </w:rPr>
        <w:t>Dustin Robert Jones v. The City of Greensboro and Greensboro Fire Department</w:t>
      </w:r>
      <w:r>
        <w:t xml:space="preserve">, U.S. District Court Judge </w:t>
      </w:r>
      <w:r w:rsidRPr="002B4ADB">
        <w:t>Thomas D. Schroeder</w:t>
      </w:r>
      <w:r>
        <w:t xml:space="preserve">, United States District Court for the Middle District of North Carolina, granted the City’s motion for summary judgment.  Applying the “balancing test” of U.S. Supreme Court (Pickering v. Board of Education, 1968; </w:t>
      </w:r>
      <w:hyperlink r:id="rId2559" w:history="1">
        <w:r w:rsidRPr="00444613">
          <w:rPr>
            <w:rStyle w:val="Hyperlink"/>
          </w:rPr>
          <w:t>https://www.oyez.org/cases/1967/510</w:t>
        </w:r>
      </w:hyperlink>
      <w:r>
        <w:t xml:space="preserve"> ), the </w:t>
      </w:r>
      <w:proofErr w:type="gramStart"/>
      <w:r>
        <w:t>City</w:t>
      </w:r>
      <w:proofErr w:type="gramEnd"/>
      <w:r>
        <w:t xml:space="preserve"> </w:t>
      </w:r>
      <w:r w:rsidRPr="004E116B">
        <w:t>reasonably perceived Jones's continued posting as insubordinate. “A public employee's interest in speaking on matters of public concern ‘does not require that a public employer tolerate associated behavior that it reasonably believed was disruptive and insubordinate.'”</w:t>
      </w:r>
      <w:r w:rsidRPr="00602CCC">
        <w:t xml:space="preserve"> </w:t>
      </w:r>
      <w:hyperlink r:id="rId2560" w:history="1">
        <w:r w:rsidRPr="00444613">
          <w:rPr>
            <w:rStyle w:val="Hyperlink"/>
          </w:rPr>
          <w:t>https://cases.justia.com/federal/district-courts/north-carolina/ncmdce/1:2024cv00450/98804/21/0.pdf?ts=1743522862</w:t>
        </w:r>
      </w:hyperlink>
      <w:r>
        <w:t xml:space="preserve"> </w:t>
      </w:r>
    </w:p>
    <w:p w14:paraId="07149D81" w14:textId="77777777" w:rsidR="00B207FB" w:rsidRDefault="00B207FB" w:rsidP="00B207FB">
      <w:pPr>
        <w:rPr>
          <w:bCs/>
        </w:rPr>
      </w:pPr>
      <w:r>
        <w:t xml:space="preserve">THE COURT WROTE: </w:t>
      </w:r>
    </w:p>
    <w:p w14:paraId="3CEB0906" w14:textId="77777777" w:rsidR="00B207FB" w:rsidRDefault="00B207FB" w:rsidP="00B207FB">
      <w:pPr>
        <w:ind w:left="720"/>
        <w:rPr>
          <w:bCs/>
        </w:rPr>
      </w:pPr>
      <w:r>
        <w:t>“</w:t>
      </w:r>
      <w:r w:rsidRPr="004E116B">
        <w:t>The record demonstrates that Jones received three coaching sessions in which supervisors expressed disapproval of his posts</w:t>
      </w:r>
      <w:r>
        <w:t xml:space="preserve">…. </w:t>
      </w:r>
      <w:r w:rsidRPr="004E116B">
        <w:t xml:space="preserve">Though his post regarding </w:t>
      </w:r>
      <w:proofErr w:type="spellStart"/>
      <w:r w:rsidRPr="004E116B">
        <w:t>Tyre</w:t>
      </w:r>
      <w:proofErr w:type="spellEnd"/>
      <w:r w:rsidRPr="004E116B">
        <w:t xml:space="preserve"> Nichols was </w:t>
      </w:r>
      <w:r>
        <w:t>‘</w:t>
      </w:r>
      <w:r w:rsidRPr="004E116B">
        <w:t>just within policy,</w:t>
      </w:r>
      <w:r>
        <w:t>’</w:t>
      </w:r>
      <w:r w:rsidRPr="004E116B">
        <w:t xml:space="preserve"> Chief Robinson cautioned Jones at the third session to </w:t>
      </w:r>
      <w:r>
        <w:t>‘</w:t>
      </w:r>
      <w:r w:rsidRPr="004E116B">
        <w:t>be careful.</w:t>
      </w:r>
      <w:r>
        <w:t>’</w:t>
      </w:r>
      <w:r>
        <w:rPr>
          <w:vertAlign w:val="superscript"/>
        </w:rPr>
        <w:t xml:space="preserve"> </w:t>
      </w:r>
      <w:r>
        <w:t xml:space="preserve">…. </w:t>
      </w:r>
      <w:r w:rsidRPr="004E116B">
        <w:t xml:space="preserve"> Chief Robinson's handwritten notes from this meeting further indicate that he </w:t>
      </w:r>
      <w:r>
        <w:t>‘</w:t>
      </w:r>
      <w:r w:rsidRPr="004E116B">
        <w:t>ask[ed] [Jones] to stop with the post[s] that could be viewed as offensive.</w:t>
      </w:r>
      <w:r>
        <w:t xml:space="preserve">’ … </w:t>
      </w:r>
      <w:r w:rsidRPr="004E116B">
        <w:t xml:space="preserve">Indeed, Jones himself understood from the coaching sessions with GFD leadership that his </w:t>
      </w:r>
      <w:r>
        <w:t>‘</w:t>
      </w:r>
      <w:r w:rsidRPr="004E116B">
        <w:t>employment could be threatened</w:t>
      </w:r>
      <w:r>
        <w:t xml:space="preserve">’ </w:t>
      </w:r>
      <w:r w:rsidRPr="004E116B">
        <w:t xml:space="preserve"> if he continued posting controversial political speech to his social media</w:t>
      </w:r>
      <w:r>
        <w:t xml:space="preserve">…. </w:t>
      </w:r>
      <w:r w:rsidRPr="004E116B">
        <w:t xml:space="preserve">Yet, as Jones's counsel conceded at the hearing, his subsequent posts continued to test the boundary of acceptability within the GFD's policy, and he crossed the line with, at minimum, the repost stating: </w:t>
      </w:r>
      <w:r>
        <w:t>‘</w:t>
      </w:r>
      <w:r w:rsidRPr="004E116B">
        <w:t>IF I'VE EVER OFFENDED YOU, I'M SORRY . . . THAT YOU'RE A LITTLE BITCH.</w:t>
      </w:r>
      <w:r>
        <w:t>’</w:t>
      </w:r>
      <w:r w:rsidRPr="004E116B">
        <w:t xml:space="preserve">  </w:t>
      </w:r>
    </w:p>
    <w:p w14:paraId="1FC5F6A3" w14:textId="77777777" w:rsidR="00B207FB" w:rsidRDefault="00B207FB" w:rsidP="00B207FB">
      <w:pPr>
        <w:rPr>
          <w:bCs/>
        </w:rPr>
      </w:pPr>
      <w:r>
        <w:tab/>
        <w:t>***</w:t>
      </w:r>
    </w:p>
    <w:p w14:paraId="08937B53" w14:textId="77777777" w:rsidR="00B207FB" w:rsidRDefault="00B207FB" w:rsidP="00B207FB">
      <w:pPr>
        <w:ind w:left="720" w:firstLine="60"/>
      </w:pPr>
      <w:r w:rsidRPr="00DE0FE9">
        <w:t xml:space="preserve">Jones's leadership position </w:t>
      </w:r>
      <w:r>
        <w:t xml:space="preserve">[as Captain] </w:t>
      </w:r>
      <w:r w:rsidRPr="00DE0FE9">
        <w:t xml:space="preserve">exacerbated the potential disruption caused by his posts. </w:t>
      </w:r>
      <w:r>
        <w:t>‘</w:t>
      </w:r>
      <w:r w:rsidRPr="00DE0FE9">
        <w:t xml:space="preserve">The expressive activities of a highly placed supervisory employee will be more disruptive to the operation of the workplace than similar activity by a </w:t>
      </w:r>
      <w:proofErr w:type="gramStart"/>
      <w:r w:rsidRPr="00DE0FE9">
        <w:t>low level</w:t>
      </w:r>
      <w:proofErr w:type="gramEnd"/>
      <w:r w:rsidRPr="00DE0FE9">
        <w:t xml:space="preserve"> employee with little authority or discretion.” </w:t>
      </w:r>
      <w:r w:rsidRPr="00DE0FE9">
        <w:rPr>
          <w:i/>
          <w:iCs/>
        </w:rPr>
        <w:t>Id.</w:t>
      </w:r>
      <w:r w:rsidRPr="00DE0FE9">
        <w:t xml:space="preserve"> (citation modified) (quoting </w:t>
      </w:r>
      <w:r w:rsidRPr="00DE0FE9">
        <w:rPr>
          <w:i/>
          <w:iCs/>
        </w:rPr>
        <w:t>McEvoy v. Spencer</w:t>
      </w:r>
      <w:r w:rsidRPr="00DE0FE9">
        <w:t xml:space="preserve">, 124 F.3d 92, 103 (2d Cir. 1997)). And here, according to Chief Robinson, captains </w:t>
      </w:r>
      <w:r>
        <w:t>‘</w:t>
      </w:r>
      <w:r w:rsidRPr="00DE0FE9">
        <w:t>set the standard</w:t>
      </w:r>
      <w:r>
        <w:t>’</w:t>
      </w:r>
      <w:r w:rsidRPr="00DE0FE9">
        <w:t xml:space="preserve"> within the GFD</w:t>
      </w:r>
      <w:r>
        <w:t xml:space="preserve">…. </w:t>
      </w:r>
      <w:r w:rsidRPr="00DE0FE9">
        <w:t>Thus, as a captain, Jones wa</w:t>
      </w:r>
      <w:r>
        <w:t>s ‘</w:t>
      </w:r>
      <w:r w:rsidRPr="00DE0FE9">
        <w:t>responsible for ensuring implementation of the GFD's policy and mission</w:t>
      </w:r>
      <w:r>
        <w:t xml:space="preserve">…. </w:t>
      </w:r>
      <w:r w:rsidRPr="00DE0FE9">
        <w:t xml:space="preserve">Yet as noted, according to one battalion chief, personnel throughout the GFD knew that Jones had </w:t>
      </w:r>
      <w:proofErr w:type="gramStart"/>
      <w:r w:rsidRPr="00DE0FE9">
        <w:t xml:space="preserve">been </w:t>
      </w:r>
      <w:r>
        <w:t>‘</w:t>
      </w:r>
      <w:r w:rsidRPr="00DE0FE9">
        <w:t>coached</w:t>
      </w:r>
      <w:r>
        <w:t>’</w:t>
      </w:r>
      <w:proofErr w:type="gramEnd"/>
      <w:r w:rsidRPr="00DE0FE9">
        <w:t xml:space="preserve"> on his </w:t>
      </w:r>
      <w:r>
        <w:t>‘</w:t>
      </w:r>
      <w:r w:rsidRPr="00DE0FE9">
        <w:t xml:space="preserve">offensive </w:t>
      </w:r>
      <w:proofErr w:type="gramStart"/>
      <w:r w:rsidRPr="00DE0FE9">
        <w:t>posts</w:t>
      </w:r>
      <w:r>
        <w:t>’</w:t>
      </w:r>
      <w:proofErr w:type="gramEnd"/>
      <w:r w:rsidRPr="00DE0FE9">
        <w:t xml:space="preserve"> but continued posting, thereby creating a perception of public </w:t>
      </w:r>
      <w:proofErr w:type="gramStart"/>
      <w:r w:rsidRPr="00DE0FE9">
        <w:t>defiance.</w:t>
      </w:r>
      <w:r>
        <w:t>”</w:t>
      </w:r>
      <w:proofErr w:type="gramEnd"/>
    </w:p>
    <w:p w14:paraId="1CEEC3CB" w14:textId="77777777" w:rsidR="00B207FB" w:rsidRPr="005C547A" w:rsidRDefault="00B207FB" w:rsidP="00B207FB">
      <w:pPr>
        <w:rPr>
          <w:b/>
        </w:rPr>
      </w:pPr>
      <w:r>
        <w:rPr>
          <w:b/>
        </w:rPr>
        <w:t xml:space="preserve">Legal lesson learned: Social media posts can lead to termination. </w:t>
      </w:r>
    </w:p>
    <w:p w14:paraId="0EDA15C5" w14:textId="77777777" w:rsidR="00B207FB" w:rsidRDefault="00B207FB" w:rsidP="00B207FB">
      <w:pPr>
        <w:rPr>
          <w:bCs/>
        </w:rPr>
      </w:pPr>
      <w:r>
        <w:tab/>
        <w:t>Note: His posts included:</w:t>
      </w:r>
    </w:p>
    <w:p w14:paraId="5F81E3EE" w14:textId="77777777" w:rsidR="00B207FB" w:rsidRDefault="00B207FB" w:rsidP="00B207FB">
      <w:pPr>
        <w:pStyle w:val="ListParagraph"/>
        <w:numPr>
          <w:ilvl w:val="0"/>
          <w:numId w:val="44"/>
        </w:numPr>
      </w:pPr>
      <w:r>
        <w:t>2021: P</w:t>
      </w:r>
      <w:r w:rsidRPr="004571D4">
        <w:t>hotograph of the interior of the private residence and noted, “Just an example of some of our ‘working conditions' ...</w:t>
      </w:r>
      <w:r>
        <w:t xml:space="preserve"> </w:t>
      </w:r>
      <w:r w:rsidRPr="004571D4">
        <w:t xml:space="preserve">from our job last night.” </w:t>
      </w:r>
    </w:p>
    <w:p w14:paraId="1512189A" w14:textId="77777777" w:rsidR="00B207FB" w:rsidRPr="0076107D" w:rsidRDefault="00B207FB" w:rsidP="00B207FB">
      <w:pPr>
        <w:pStyle w:val="ListParagraph"/>
        <w:numPr>
          <w:ilvl w:val="0"/>
          <w:numId w:val="44"/>
        </w:numPr>
        <w:rPr>
          <w:bCs/>
        </w:rPr>
      </w:pPr>
      <w:r>
        <w:t>Nov. 2022: R</w:t>
      </w:r>
      <w:r w:rsidRPr="00C3283D">
        <w:t xml:space="preserve">eposted a Facebook video of Guilford County Sheriff Danny Rogers dancing at the North Carolina A&amp;T State University homecoming parade, on which Jones commented, “This is the clown in </w:t>
      </w:r>
      <w:r w:rsidRPr="00C3283D">
        <w:lastRenderedPageBreak/>
        <w:t xml:space="preserve">charge of keeping you safe. Freaking Joke.” </w:t>
      </w:r>
      <w:r>
        <w:t>…</w:t>
      </w:r>
      <w:r w:rsidRPr="00C3283D">
        <w:t xml:space="preserve"> The original poster had previously commented, “When </w:t>
      </w:r>
      <w:proofErr w:type="spellStart"/>
      <w:r w:rsidRPr="00C3283D">
        <w:t>yo</w:t>
      </w:r>
      <w:proofErr w:type="spellEnd"/>
      <w:r w:rsidRPr="00C3283D">
        <w:t>[</w:t>
      </w:r>
      <w:proofErr w:type="spellStart"/>
      <w:r w:rsidRPr="00C3283D">
        <w:t>ur</w:t>
      </w:r>
      <w:proofErr w:type="spellEnd"/>
      <w:r w:rsidRPr="00C3283D">
        <w:t xml:space="preserve">] Sherrif [sic] is black.” </w:t>
      </w:r>
      <w:r w:rsidRPr="0076107D">
        <w:t xml:space="preserve"> </w:t>
      </w:r>
    </w:p>
    <w:p w14:paraId="72467813" w14:textId="77777777" w:rsidR="00B207FB" w:rsidRPr="0076107D" w:rsidRDefault="00B207FB" w:rsidP="00B207FB">
      <w:pPr>
        <w:pStyle w:val="ListParagraph"/>
        <w:numPr>
          <w:ilvl w:val="0"/>
          <w:numId w:val="44"/>
        </w:numPr>
        <w:rPr>
          <w:bCs/>
        </w:rPr>
      </w:pPr>
      <w:r w:rsidRPr="0076107D">
        <w:t>Feb. 2023:  F</w:t>
      </w:r>
      <w:r w:rsidRPr="00811CB9">
        <w:t xml:space="preserve">ollowing the killing of </w:t>
      </w:r>
      <w:proofErr w:type="spellStart"/>
      <w:r w:rsidRPr="00811CB9">
        <w:t>Tyre</w:t>
      </w:r>
      <w:proofErr w:type="spellEnd"/>
      <w:r w:rsidRPr="00811CB9">
        <w:t xml:space="preserve"> Nichols by Memphis police, Jones shared the headline of a related FOX8 WGHP news article and commented, </w:t>
      </w:r>
      <w:r>
        <w:t>“</w:t>
      </w:r>
      <w:r w:rsidRPr="00811CB9">
        <w:t>will we see another George Floyd reaction? Will city's [sic] burn??? ALL LIVES MATTER</w:t>
      </w:r>
      <w:r>
        <w:t>.”</w:t>
      </w:r>
    </w:p>
    <w:p w14:paraId="14797095" w14:textId="77777777" w:rsidR="00B207FB" w:rsidRDefault="00B207FB" w:rsidP="00B207FB">
      <w:pPr>
        <w:pStyle w:val="ListParagraph"/>
        <w:numPr>
          <w:ilvl w:val="0"/>
          <w:numId w:val="44"/>
        </w:numPr>
      </w:pPr>
      <w:r w:rsidRPr="00811CB9">
        <w:t>Jones also posted a screenshot from Wikipedia around the same time, which read in part: “</w:t>
      </w:r>
      <w:r w:rsidRPr="0076107D">
        <w:rPr>
          <w:b/>
        </w:rPr>
        <w:t>Freedom of speech</w:t>
      </w:r>
      <w:r w:rsidRPr="00811CB9">
        <w:t xml:space="preserve"> is a principle that supports the freedom of an individual or community to articulate their opinions and ideas without fear of retaliation, censorship, or legal sanction</w:t>
      </w:r>
      <w:r>
        <w:t>.</w:t>
      </w:r>
    </w:p>
    <w:p w14:paraId="11E0CB64" w14:textId="77777777" w:rsidR="00B207FB" w:rsidRPr="00045CCC" w:rsidRDefault="00B207FB" w:rsidP="00B207FB">
      <w:pPr>
        <w:pStyle w:val="NoSpacing"/>
        <w:numPr>
          <w:ilvl w:val="0"/>
          <w:numId w:val="44"/>
        </w:numPr>
      </w:pPr>
      <w:r w:rsidRPr="00045CCC">
        <w:t xml:space="preserve">Over the next several months, Jones continued posting controversial material to his Facebook page. These posts included the following: </w:t>
      </w:r>
    </w:p>
    <w:p w14:paraId="77E764D6" w14:textId="77777777" w:rsidR="00B207FB" w:rsidRDefault="00B207FB" w:rsidP="00B207FB">
      <w:pPr>
        <w:pStyle w:val="NoSpacing"/>
      </w:pPr>
    </w:p>
    <w:p w14:paraId="031457B6" w14:textId="77777777" w:rsidR="00B207FB" w:rsidRPr="00045CCC" w:rsidRDefault="00B207FB" w:rsidP="00B207FB">
      <w:pPr>
        <w:pStyle w:val="NoSpacing"/>
        <w:numPr>
          <w:ilvl w:val="0"/>
          <w:numId w:val="44"/>
        </w:numPr>
      </w:pPr>
      <w:r w:rsidRPr="00045CCC">
        <w:t xml:space="preserve">A photograph of a keychain stating, “IF I'VE EVER OFFENDED YOU, I'M SORRY . . . THAT YOU'RE A LITTLE BITCH,” with Jones adding, “[‘]Bout right </w:t>
      </w:r>
      <w:proofErr w:type="gramStart"/>
      <w:r w:rsidRPr="00045CCC">
        <w:t>.....</w:t>
      </w:r>
      <w:proofErr w:type="gramEnd"/>
      <w:r w:rsidRPr="00045CCC">
        <w:t xml:space="preserve">” </w:t>
      </w:r>
    </w:p>
    <w:p w14:paraId="3E759F3C" w14:textId="77777777" w:rsidR="00B207FB" w:rsidRDefault="00B207FB" w:rsidP="00B207FB">
      <w:pPr>
        <w:pStyle w:val="NoSpacing"/>
      </w:pPr>
    </w:p>
    <w:p w14:paraId="416A8A87" w14:textId="77777777" w:rsidR="00B207FB" w:rsidRPr="00045CCC" w:rsidRDefault="00B207FB" w:rsidP="00B207FB">
      <w:pPr>
        <w:pStyle w:val="NoSpacing"/>
        <w:numPr>
          <w:ilvl w:val="0"/>
          <w:numId w:val="44"/>
        </w:numPr>
      </w:pPr>
      <w:r w:rsidRPr="00045CCC">
        <w:t xml:space="preserve">“Straight Pride. it's Natural, it's Worked for Thousands of years, and you Can Make Babies.” </w:t>
      </w:r>
    </w:p>
    <w:p w14:paraId="2F5143B2" w14:textId="77777777" w:rsidR="00B207FB" w:rsidRDefault="00B207FB" w:rsidP="00B207FB">
      <w:pPr>
        <w:pStyle w:val="NoSpacing"/>
        <w:ind w:firstLine="720"/>
      </w:pPr>
    </w:p>
    <w:p w14:paraId="5B9ED7A8" w14:textId="77777777" w:rsidR="00B207FB" w:rsidRPr="00045CCC" w:rsidRDefault="00B207FB" w:rsidP="00B207FB">
      <w:pPr>
        <w:pStyle w:val="NoSpacing"/>
        <w:numPr>
          <w:ilvl w:val="0"/>
          <w:numId w:val="44"/>
        </w:numPr>
      </w:pPr>
      <w:r w:rsidRPr="00045CCC">
        <w:t xml:space="preserve">“IF THIS IS A WOMAN,” (superimposed on a photograph of Rachel Levine, United States Assistant Secretary for Health during the COVID-19 pandemic) “THIS IS A FISHING POLE” (superimposed on a photograph of an assault rifle). </w:t>
      </w:r>
    </w:p>
    <w:p w14:paraId="77C4399F" w14:textId="77777777" w:rsidR="00B207FB" w:rsidRPr="00045CCC" w:rsidRDefault="00B207FB" w:rsidP="00B207FB">
      <w:pPr>
        <w:pStyle w:val="NoSpacing"/>
      </w:pPr>
    </w:p>
    <w:p w14:paraId="3DE370B0" w14:textId="77777777" w:rsidR="00B207FB" w:rsidRDefault="00B207FB" w:rsidP="00B207FB">
      <w:pPr>
        <w:pStyle w:val="NoSpacing"/>
        <w:numPr>
          <w:ilvl w:val="0"/>
          <w:numId w:val="44"/>
        </w:numPr>
      </w:pPr>
      <w:r w:rsidRPr="00045CCC">
        <w:t xml:space="preserve">“You know what's insane .... A white person can paint their [sic] face black and be accused of being a racist. Yet a man can dress as a woman and be called a hero ......”; this post, dated April 25, 2023, was accompanied by a definition of blackface from Wikipedia. </w:t>
      </w:r>
    </w:p>
    <w:p w14:paraId="5966E761" w14:textId="77777777" w:rsidR="00B207FB" w:rsidRPr="00045CCC" w:rsidRDefault="00B207FB" w:rsidP="00B207FB">
      <w:pPr>
        <w:pStyle w:val="NoSpacing"/>
        <w:ind w:left="720"/>
      </w:pPr>
    </w:p>
    <w:p w14:paraId="5BC74D1A" w14:textId="77777777" w:rsidR="00B207FB" w:rsidRPr="00045CCC" w:rsidRDefault="00B207FB" w:rsidP="00B207FB">
      <w:pPr>
        <w:pStyle w:val="NoSpacing"/>
        <w:numPr>
          <w:ilvl w:val="0"/>
          <w:numId w:val="44"/>
        </w:numPr>
      </w:pPr>
      <w:r w:rsidRPr="00045CCC">
        <w:t xml:space="preserve">“I identify as invisible. I'm </w:t>
      </w:r>
      <w:proofErr w:type="spellStart"/>
      <w:r w:rsidRPr="00045CCC">
        <w:t>TRANSparent</w:t>
      </w:r>
      <w:proofErr w:type="spellEnd"/>
      <w:r w:rsidRPr="00045CCC">
        <w:t xml:space="preserve"> ....</w:t>
      </w:r>
      <w:r>
        <w:t xml:space="preserve"> </w:t>
      </w:r>
      <w:r w:rsidRPr="00045CCC">
        <w:t xml:space="preserve">My pronouns are who/where?” This post was also made on April 25, 2023.  </w:t>
      </w:r>
    </w:p>
    <w:p w14:paraId="07E5C89F" w14:textId="77777777" w:rsidR="00B207FB" w:rsidRPr="004571D4" w:rsidRDefault="00B207FB" w:rsidP="00B207FB">
      <w:pPr>
        <w:pStyle w:val="NoSpacing"/>
      </w:pPr>
    </w:p>
    <w:p w14:paraId="1BDFD3D1" w14:textId="77777777" w:rsidR="00B207FB" w:rsidRDefault="00B207FB" w:rsidP="002C229D">
      <w:pPr>
        <w:pStyle w:val="NoSpacing"/>
        <w:rPr>
          <w:rFonts w:ascii="Arial Black" w:hAnsi="Arial Black"/>
          <w:b/>
          <w:sz w:val="28"/>
          <w:szCs w:val="28"/>
        </w:rPr>
      </w:pPr>
    </w:p>
    <w:p w14:paraId="6CC2C2D8" w14:textId="77777777" w:rsidR="00655CE7" w:rsidRDefault="00655CE7" w:rsidP="002C229D">
      <w:pPr>
        <w:pStyle w:val="NoSpacing"/>
        <w:rPr>
          <w:rFonts w:ascii="Arial Black" w:hAnsi="Arial Black"/>
          <w:b/>
          <w:sz w:val="28"/>
          <w:szCs w:val="28"/>
        </w:rPr>
      </w:pPr>
    </w:p>
    <w:p w14:paraId="233B6A57" w14:textId="77777777" w:rsidR="00655CE7" w:rsidRDefault="00655CE7" w:rsidP="002C229D">
      <w:pPr>
        <w:pStyle w:val="NoSpacing"/>
        <w:rPr>
          <w:rFonts w:ascii="Arial Black" w:hAnsi="Arial Black"/>
          <w:b/>
          <w:sz w:val="28"/>
          <w:szCs w:val="28"/>
        </w:rPr>
      </w:pPr>
    </w:p>
    <w:p w14:paraId="2C42CFFE" w14:textId="06B9DC0C" w:rsidR="002C229D" w:rsidRDefault="002C229D" w:rsidP="002C229D">
      <w:pPr>
        <w:pStyle w:val="NoSpacing"/>
        <w:rPr>
          <w:rFonts w:ascii="Arial Black" w:hAnsi="Arial Black"/>
          <w:b/>
          <w:sz w:val="28"/>
          <w:szCs w:val="28"/>
        </w:rPr>
      </w:pPr>
      <w:r>
        <w:rPr>
          <w:rFonts w:ascii="Arial Black" w:hAnsi="Arial Black"/>
          <w:b/>
          <w:sz w:val="28"/>
          <w:szCs w:val="28"/>
        </w:rPr>
        <w:t>16-164</w:t>
      </w:r>
    </w:p>
    <w:p w14:paraId="0D604C8F" w14:textId="77777777" w:rsidR="002C229D" w:rsidRDefault="002C229D" w:rsidP="002C229D">
      <w:pPr>
        <w:pStyle w:val="NoSpacing"/>
        <w:rPr>
          <w:rFonts w:ascii="Arial Black" w:hAnsi="Arial Black"/>
          <w:b/>
          <w:sz w:val="28"/>
          <w:szCs w:val="28"/>
        </w:rPr>
      </w:pPr>
    </w:p>
    <w:p w14:paraId="0860131C" w14:textId="1A320E6E" w:rsidR="002C229D" w:rsidRDefault="002C229D" w:rsidP="002C229D">
      <w:pPr>
        <w:pStyle w:val="NoSpacing"/>
        <w:rPr>
          <w:rFonts w:ascii="Arial Black" w:hAnsi="Arial Black"/>
          <w:b/>
          <w:sz w:val="28"/>
          <w:szCs w:val="28"/>
        </w:rPr>
      </w:pPr>
      <w:r>
        <w:rPr>
          <w:rFonts w:ascii="Arial Black" w:hAnsi="Arial Black"/>
          <w:b/>
          <w:sz w:val="28"/>
          <w:szCs w:val="28"/>
        </w:rPr>
        <w:t>PA: EMT – FIRED / REMOVED FD ROUTER – NO UNEMP COMP</w:t>
      </w:r>
    </w:p>
    <w:p w14:paraId="68C9E0BA" w14:textId="77777777" w:rsidR="002C229D" w:rsidRDefault="002C229D" w:rsidP="002C229D">
      <w:pPr>
        <w:pStyle w:val="NoSpacing"/>
        <w:rPr>
          <w:rFonts w:ascii="Arial Black" w:hAnsi="Arial Black"/>
          <w:b/>
          <w:sz w:val="28"/>
          <w:szCs w:val="28"/>
        </w:rPr>
      </w:pPr>
    </w:p>
    <w:p w14:paraId="23BF2B52" w14:textId="77777777" w:rsidR="002C229D" w:rsidRDefault="002C229D" w:rsidP="002C229D">
      <w:pPr>
        <w:pStyle w:val="NoSpacing"/>
      </w:pPr>
      <w:r w:rsidRPr="006B6BDF">
        <w:t xml:space="preserve">On July 24, 2026, in </w:t>
      </w:r>
      <w:r w:rsidRPr="006B6BDF">
        <w:rPr>
          <w:u w:val="single"/>
        </w:rPr>
        <w:t>Malvin Ray Gross v. Unemployment Compensation Board of Review,</w:t>
      </w:r>
      <w:r w:rsidRPr="006B6BDF">
        <w:t xml:space="preserve"> </w:t>
      </w:r>
      <w:r>
        <w:t xml:space="preserve">the  Commonwealth Court of Pennsylvania held (3 to 0; unpublished decision) that the Board properly denied the plaintiff unemployment; he was fired for </w:t>
      </w:r>
      <w:r w:rsidRPr="00100161">
        <w:t>willful misconduct</w:t>
      </w:r>
      <w:r>
        <w:t xml:space="preserve">.  </w:t>
      </w:r>
      <w:hyperlink r:id="rId2561" w:history="1">
        <w:r w:rsidRPr="00CB1E6C">
          <w:rPr>
            <w:rStyle w:val="Hyperlink"/>
          </w:rPr>
          <w:t>https://public.fastcase.com/Jhe1Qn%2BmJndQYQU6z%2FeNm84TSwxTK6G3n62PkU8179htaq5wGjVaUGYSJZSOVzdWyhegWgMqWmHwKwmFy%2BjUN%2FGu5ej6EThZiUJZJf%2FCENA%3D?utm_medium=email&amp;_hsenc=p2ANqtz--F9WEozIdQ7a7aHBPLqx4N-sY1B7PgbJLvKD0e3ZvBos8ijqQnFOLSe1dlkTtitVjG_F048kZlc8yI0LMoiTGsCqcSQA&amp;_hsmi=226712652&amp;utm_content=226712652&amp;utm_source=hs_email</w:t>
        </w:r>
      </w:hyperlink>
      <w:r>
        <w:t xml:space="preserve"> </w:t>
      </w:r>
    </w:p>
    <w:p w14:paraId="77EDA3E8" w14:textId="77777777" w:rsidR="002C229D" w:rsidRDefault="002C229D" w:rsidP="002C229D">
      <w:pPr>
        <w:pStyle w:val="NoSpacing"/>
      </w:pPr>
    </w:p>
    <w:p w14:paraId="72B5E12E" w14:textId="77777777" w:rsidR="002C229D" w:rsidRDefault="002C229D" w:rsidP="002C229D">
      <w:pPr>
        <w:pStyle w:val="NoSpacing"/>
      </w:pPr>
      <w:r>
        <w:t>THE COURT WROTE;</w:t>
      </w:r>
    </w:p>
    <w:p w14:paraId="468CA31D" w14:textId="77777777" w:rsidR="002C229D" w:rsidRDefault="002C229D" w:rsidP="002C229D">
      <w:pPr>
        <w:pStyle w:val="NoSpacing"/>
      </w:pPr>
    </w:p>
    <w:p w14:paraId="1C5A5DB0" w14:textId="77777777" w:rsidR="002C229D" w:rsidRDefault="002C229D" w:rsidP="002C229D">
      <w:pPr>
        <w:pStyle w:val="NoSpacing"/>
      </w:pPr>
      <w:r>
        <w:t>“E</w:t>
      </w:r>
      <w:r w:rsidRPr="00022FE0">
        <w:t>vangelical Community Hospital (Employer) employed Claimant as an Emergency Medical Technician from August 15, 2016, through May 21, 2024,</w:t>
      </w:r>
      <w:r>
        <w:t xml:space="preserve">… </w:t>
      </w:r>
      <w:r w:rsidRPr="00022FE0">
        <w:t xml:space="preserve"> </w:t>
      </w:r>
      <w:proofErr w:type="gramStart"/>
      <w:r w:rsidRPr="00022FE0">
        <w:t>at</w:t>
      </w:r>
      <w:proofErr w:type="gramEnd"/>
      <w:r w:rsidRPr="00022FE0">
        <w:t xml:space="preserve"> which time Employer discharged him for violating Employer's User Account Access Policy, Information Systems Software and Hardware Installation Policy</w:t>
      </w:r>
      <w:r>
        <w:t xml:space="preserve">.  </w:t>
      </w:r>
      <w:r w:rsidRPr="00022FE0">
        <w:t xml:space="preserve">Deputy Chief Baker testified Claimant admitted </w:t>
      </w:r>
      <w:r w:rsidRPr="00022FE0">
        <w:lastRenderedPageBreak/>
        <w:t>to removing the router and replacing it with his own to print from the fire department computer to one of the hospital's printers</w:t>
      </w:r>
      <w:r>
        <w:t xml:space="preserve">…. </w:t>
      </w:r>
      <w:r w:rsidRPr="00022FE0">
        <w:t>On March 14, 2024,</w:t>
      </w:r>
      <w:r>
        <w:t xml:space="preserve"> </w:t>
      </w:r>
      <w:r w:rsidRPr="00022FE0">
        <w:t xml:space="preserve"> [E]</w:t>
      </w:r>
      <w:proofErr w:type="spellStart"/>
      <w:r w:rsidRPr="00022FE0">
        <w:t>mployer</w:t>
      </w:r>
      <w:proofErr w:type="spellEnd"/>
      <w:r w:rsidRPr="00022FE0">
        <w:t xml:space="preserve"> became aware that</w:t>
      </w:r>
      <w:r>
        <w:t xml:space="preserve"> </w:t>
      </w:r>
      <w:r w:rsidRPr="00022FE0">
        <w:t>[C]</w:t>
      </w:r>
      <w:proofErr w:type="spellStart"/>
      <w:r w:rsidRPr="00022FE0">
        <w:t>laimant</w:t>
      </w:r>
      <w:proofErr w:type="spellEnd"/>
      <w:r w:rsidRPr="00022FE0">
        <w:t xml:space="preserve"> had been observed removing a router from his locker and connecting it to existing information technology equipment. During the investigation, [E]</w:t>
      </w:r>
      <w:proofErr w:type="spellStart"/>
      <w:r w:rsidRPr="00022FE0">
        <w:t>mployer</w:t>
      </w:r>
      <w:proofErr w:type="spellEnd"/>
      <w:r w:rsidRPr="00022FE0">
        <w:t>['s] witnesses observed [C]</w:t>
      </w:r>
      <w:proofErr w:type="spellStart"/>
      <w:r w:rsidRPr="00022FE0">
        <w:t>laimant</w:t>
      </w:r>
      <w:proofErr w:type="spellEnd"/>
      <w:r w:rsidRPr="00022FE0">
        <w:t xml:space="preserve"> on video provided by the Milton Fire Department removing a device from his locker, manipulating cables and equipment, and then leaving the area with a device in a plastic grocery bag</w:t>
      </w:r>
      <w:r>
        <w:t>.</w:t>
      </w:r>
    </w:p>
    <w:p w14:paraId="51C8EDB9" w14:textId="77777777" w:rsidR="002C229D" w:rsidRDefault="002C229D" w:rsidP="002C229D">
      <w:pPr>
        <w:pStyle w:val="NoSpacing"/>
      </w:pPr>
    </w:p>
    <w:p w14:paraId="2454A24F" w14:textId="77777777" w:rsidR="002C229D" w:rsidRDefault="002C229D" w:rsidP="002C229D">
      <w:pPr>
        <w:pStyle w:val="NoSpacing"/>
      </w:pPr>
      <w:r>
        <w:t>***</w:t>
      </w:r>
    </w:p>
    <w:p w14:paraId="5DE36AD8" w14:textId="77777777" w:rsidR="002C229D" w:rsidRDefault="002C229D" w:rsidP="002C229D">
      <w:pPr>
        <w:pStyle w:val="NoSpacing"/>
      </w:pPr>
      <w:r w:rsidRPr="00C704EF">
        <w:t>[C]</w:t>
      </w:r>
      <w:proofErr w:type="spellStart"/>
      <w:r w:rsidRPr="00C704EF">
        <w:t>laimant</w:t>
      </w:r>
      <w:proofErr w:type="spellEnd"/>
      <w:r w:rsidRPr="00C704EF">
        <w:t xml:space="preserve"> failed to address these assertions [that the router was his personal property that he loaned to Employer and that he had a receipt regarding his purchase of the router in question] during the hearing despite having the opportunity to do so. The Referee explicitly asked the [C]</w:t>
      </w:r>
      <w:proofErr w:type="spellStart"/>
      <w:r w:rsidRPr="00C704EF">
        <w:t>laimant</w:t>
      </w:r>
      <w:proofErr w:type="spellEnd"/>
      <w:r w:rsidRPr="00C704EF">
        <w:t xml:space="preserve"> why he moved the router; despite this, the [C]</w:t>
      </w:r>
      <w:proofErr w:type="spellStart"/>
      <w:r w:rsidRPr="00C704EF">
        <w:t>laimant</w:t>
      </w:r>
      <w:proofErr w:type="spellEnd"/>
      <w:r w:rsidRPr="00C704EF">
        <w:t xml:space="preserve"> did not assert ownership of the equipment or produce any documentation, such as the receipt, to support his claim at that time. The Board is limited to the evidence presented during the hearing when making its decision, and therefore, it cannot consider the receipt submitted after the hearing</w:t>
      </w:r>
      <w:r>
        <w:t xml:space="preserve">…. </w:t>
      </w:r>
      <w:r w:rsidRPr="00020BD6">
        <w:t xml:space="preserve">Because he did not present any evidence at the hearing, Claimant did not establish good </w:t>
      </w:r>
      <w:proofErr w:type="gramStart"/>
      <w:r w:rsidRPr="00020BD6">
        <w:t>cause existed</w:t>
      </w:r>
      <w:proofErr w:type="gramEnd"/>
      <w:r w:rsidRPr="00020BD6">
        <w:t xml:space="preserve"> for violating Employer's Policies. Consequently, we are constrained to hold the Board did not err in concluding Claimant was ineligible for benefits under Section 402(e).</w:t>
      </w:r>
      <w:r>
        <w:t>”</w:t>
      </w:r>
    </w:p>
    <w:p w14:paraId="7886B882" w14:textId="77777777" w:rsidR="002C229D" w:rsidRDefault="002C229D" w:rsidP="002C229D">
      <w:pPr>
        <w:pStyle w:val="NoSpacing"/>
      </w:pPr>
    </w:p>
    <w:p w14:paraId="63613D79" w14:textId="77777777" w:rsidR="002C229D" w:rsidRPr="00020BD6" w:rsidRDefault="002C229D" w:rsidP="002C229D">
      <w:pPr>
        <w:pStyle w:val="NoSpacing"/>
        <w:rPr>
          <w:b/>
          <w:bCs/>
        </w:rPr>
      </w:pPr>
      <w:r>
        <w:rPr>
          <w:b/>
        </w:rPr>
        <w:t xml:space="preserve">Legal lesson learned: The EMT was fired for </w:t>
      </w:r>
      <w:r w:rsidRPr="00020BD6">
        <w:rPr>
          <w:b/>
        </w:rPr>
        <w:t xml:space="preserve">willful misconduct and is therefore not entitled to unemployment. </w:t>
      </w:r>
    </w:p>
    <w:p w14:paraId="24803AAD" w14:textId="77777777" w:rsidR="002C229D" w:rsidRPr="00020BD6" w:rsidRDefault="002C229D" w:rsidP="002C229D">
      <w:pPr>
        <w:pStyle w:val="NoSpacing"/>
        <w:rPr>
          <w:b/>
          <w:bCs/>
        </w:rPr>
      </w:pPr>
    </w:p>
    <w:p w14:paraId="6657D204" w14:textId="77777777" w:rsidR="002C229D" w:rsidRDefault="002C229D" w:rsidP="002C229D">
      <w:pPr>
        <w:pStyle w:val="NoSpacing"/>
      </w:pPr>
    </w:p>
    <w:p w14:paraId="5220D51E" w14:textId="77777777" w:rsidR="002C229D" w:rsidRDefault="002C229D" w:rsidP="002C229D">
      <w:pPr>
        <w:pStyle w:val="NoSpacing"/>
        <w:rPr>
          <w:b/>
          <w:sz w:val="20"/>
          <w:szCs w:val="20"/>
        </w:rPr>
      </w:pPr>
    </w:p>
    <w:p w14:paraId="509CCECB" w14:textId="77777777" w:rsidR="002C229D" w:rsidRPr="002C229D" w:rsidRDefault="002C229D" w:rsidP="002C229D">
      <w:pPr>
        <w:pStyle w:val="NoSpacing"/>
        <w:rPr>
          <w:rFonts w:ascii="Arial Black" w:hAnsi="Arial Black"/>
          <w:b/>
          <w:sz w:val="24"/>
          <w:szCs w:val="24"/>
        </w:rPr>
      </w:pPr>
    </w:p>
    <w:p w14:paraId="2AB614FE" w14:textId="77777777" w:rsidR="002C229D" w:rsidRPr="002C229D" w:rsidRDefault="002C229D" w:rsidP="002C229D">
      <w:pPr>
        <w:pStyle w:val="NoSpacing"/>
        <w:rPr>
          <w:rFonts w:ascii="Arial Black" w:hAnsi="Arial Black"/>
          <w:b/>
          <w:sz w:val="24"/>
          <w:szCs w:val="24"/>
        </w:rPr>
      </w:pPr>
    </w:p>
    <w:p w14:paraId="6BE38D44" w14:textId="288B8576" w:rsidR="002C229D" w:rsidRPr="002C229D" w:rsidRDefault="002C229D" w:rsidP="002C229D">
      <w:pPr>
        <w:pStyle w:val="NoSpacing"/>
        <w:rPr>
          <w:rFonts w:ascii="Arial Black" w:hAnsi="Arial Black"/>
          <w:b/>
          <w:sz w:val="24"/>
          <w:szCs w:val="24"/>
        </w:rPr>
      </w:pPr>
      <w:r w:rsidRPr="002C229D">
        <w:rPr>
          <w:rFonts w:ascii="Arial Black" w:hAnsi="Arial Black"/>
          <w:b/>
          <w:sz w:val="24"/>
          <w:szCs w:val="24"/>
        </w:rPr>
        <w:t>16-163</w:t>
      </w:r>
    </w:p>
    <w:p w14:paraId="0D6B5A9B" w14:textId="77777777" w:rsidR="002C229D" w:rsidRDefault="002C229D" w:rsidP="002C229D">
      <w:pPr>
        <w:pStyle w:val="NoSpacing"/>
        <w:rPr>
          <w:b/>
        </w:rPr>
      </w:pPr>
    </w:p>
    <w:p w14:paraId="13AF63B0" w14:textId="77777777" w:rsidR="002C229D" w:rsidRDefault="002C229D" w:rsidP="002C229D">
      <w:pPr>
        <w:pStyle w:val="NoSpacing"/>
        <w:rPr>
          <w:rFonts w:ascii="Arial Black" w:hAnsi="Arial Black"/>
          <w:sz w:val="28"/>
          <w:szCs w:val="28"/>
        </w:rPr>
      </w:pPr>
      <w:r>
        <w:rPr>
          <w:rFonts w:ascii="Arial Black" w:hAnsi="Arial Black"/>
          <w:sz w:val="28"/>
          <w:szCs w:val="28"/>
        </w:rPr>
        <w:t xml:space="preserve">NY: FF FIRED / REFUSED COVID - NO UNEMP COMP </w:t>
      </w:r>
    </w:p>
    <w:p w14:paraId="4A9025B0" w14:textId="77777777" w:rsidR="002C229D" w:rsidRDefault="002C229D" w:rsidP="002C229D">
      <w:pPr>
        <w:pStyle w:val="NoSpacing"/>
        <w:rPr>
          <w:rFonts w:ascii="Arial Black" w:hAnsi="Arial Black"/>
          <w:sz w:val="28"/>
          <w:szCs w:val="28"/>
        </w:rPr>
      </w:pPr>
    </w:p>
    <w:p w14:paraId="1702A71C" w14:textId="77777777" w:rsidR="002C229D" w:rsidRDefault="002C229D" w:rsidP="002C229D">
      <w:pPr>
        <w:pStyle w:val="NoSpacing"/>
      </w:pPr>
      <w:r>
        <w:t xml:space="preserve">On July 23, 2026, </w:t>
      </w:r>
      <w:r w:rsidRPr="0033224C">
        <w:rPr>
          <w:u w:val="single"/>
        </w:rPr>
        <w:t>In the Matter of the Claim of Jack Lin</w:t>
      </w:r>
      <w:r>
        <w:t xml:space="preserve">, the NY </w:t>
      </w:r>
      <w:r w:rsidRPr="0033224C">
        <w:t>Supreme Court, Appellate Division, Third Department</w:t>
      </w:r>
      <w:r>
        <w:t xml:space="preserve"> held (5 to 0) that the claimant was properly denied unemployment since he </w:t>
      </w:r>
      <w:r w:rsidRPr="0048241A">
        <w:t>voluntarily left his employment without good cause.</w:t>
      </w:r>
      <w:r>
        <w:t xml:space="preserve"> </w:t>
      </w:r>
      <w:hyperlink r:id="rId2562" w:history="1">
        <w:r w:rsidRPr="004D58FA">
          <w:rPr>
            <w:rStyle w:val="Hyperlink"/>
          </w:rPr>
          <w:t>https://www.nycourts.gov/reporter/current/3dseries/2026/2026_04537.shtml</w:t>
        </w:r>
      </w:hyperlink>
      <w:r>
        <w:t xml:space="preserve"> </w:t>
      </w:r>
    </w:p>
    <w:p w14:paraId="5BD18C4D" w14:textId="77777777" w:rsidR="002C229D" w:rsidRDefault="002C229D" w:rsidP="002C229D">
      <w:pPr>
        <w:pStyle w:val="NoSpacing"/>
      </w:pPr>
    </w:p>
    <w:p w14:paraId="1100497B" w14:textId="77777777" w:rsidR="002C229D" w:rsidRPr="0033224C" w:rsidRDefault="002C229D" w:rsidP="002C229D">
      <w:pPr>
        <w:pStyle w:val="NoSpacing"/>
        <w:rPr>
          <w:bCs/>
        </w:rPr>
      </w:pPr>
      <w:r>
        <w:t xml:space="preserve">THE COURT WROTE: </w:t>
      </w:r>
    </w:p>
    <w:p w14:paraId="530FAF8D" w14:textId="77777777" w:rsidR="002C229D" w:rsidRDefault="002C229D" w:rsidP="002C229D">
      <w:pPr>
        <w:pStyle w:val="NoSpacing"/>
      </w:pPr>
    </w:p>
    <w:p w14:paraId="1BCE9316" w14:textId="77777777" w:rsidR="002C229D" w:rsidRDefault="002C229D" w:rsidP="002C229D">
      <w:pPr>
        <w:pStyle w:val="NoSpacing"/>
      </w:pPr>
      <w:r>
        <w:t>“</w:t>
      </w:r>
      <w:r w:rsidRPr="00340E6E">
        <w:t>In October 2021, the New York City Commissioner of Health and Mental Hygiene mandated that all city employees, with exceptions not relevant here, obtain a COVID-19 vaccine by October 29, 2021. Claimant, an emergency medical technician for the New York City Fire Department, sought a religious exemption from the mandate. The employer denied claimant's request</w:t>
      </w:r>
      <w:r>
        <w:t xml:space="preserve">…. </w:t>
      </w:r>
      <w:r w:rsidRPr="003605EF">
        <w:t xml:space="preserve">Nevertheless, claimant acknowledged that he received the yellow fever vaccine prior to performing missionary work in Kenya in 2015, and that he probably would get a COVID-19 vaccine if it was required to perform missionary work in the future, explaining that we know more about the vaccines than when the mandate was first imposed. When asked to explain the difference between participation in a mission and performing his job as an emergency medical technician, claimant again explained that we now know more about the COVID-19 vaccines. Claimant also testified to, at times, taking </w:t>
      </w:r>
      <w:proofErr w:type="gramStart"/>
      <w:r w:rsidRPr="003605EF">
        <w:t>over-the-counter</w:t>
      </w:r>
      <w:proofErr w:type="gramEnd"/>
      <w:r w:rsidRPr="003605EF">
        <w:t xml:space="preserve"> and prescription drugs, including muscle relaxers and pain medication. Although claimant had expressed concerns regarding the use of fetal stem cells in the COVID-19 vaccines, he testified that he had never researched whether any of the prior vaccinations or medications he had taken had been developed using fetal stem cells</w:t>
      </w:r>
      <w:r>
        <w:t>.</w:t>
      </w:r>
    </w:p>
    <w:p w14:paraId="5EED64D1" w14:textId="77777777" w:rsidR="002C229D" w:rsidRDefault="002C229D" w:rsidP="002C229D">
      <w:pPr>
        <w:pStyle w:val="NoSpacing"/>
      </w:pPr>
    </w:p>
    <w:p w14:paraId="54419E1C" w14:textId="77777777" w:rsidR="002C229D" w:rsidRDefault="002C229D" w:rsidP="002C229D">
      <w:pPr>
        <w:pStyle w:val="NoSpacing"/>
      </w:pPr>
      <w:r>
        <w:t>***</w:t>
      </w:r>
    </w:p>
    <w:p w14:paraId="745B7F7F" w14:textId="77777777" w:rsidR="002C229D" w:rsidRDefault="002C229D" w:rsidP="002C229D">
      <w:pPr>
        <w:pStyle w:val="NoSpacing"/>
      </w:pPr>
    </w:p>
    <w:p w14:paraId="7537177B" w14:textId="77777777" w:rsidR="002C229D" w:rsidRDefault="002C229D" w:rsidP="002C229D">
      <w:pPr>
        <w:pStyle w:val="NoSpacing"/>
      </w:pPr>
      <w:r w:rsidRPr="006C6F07">
        <w:t>Given claimant's inconsistent testimony and admission to taking vaccines in the past and willingness to take them in the future, it was reasonable for the Board to conclude that his refusal to comply with the vaccination mandate was for personal and secular reasons, including safety concerns, rather than for sincerely held religious beliefs and, therefore, that he voluntarily left his employment without good caus</w:t>
      </w:r>
      <w:r>
        <w:t>e.”</w:t>
      </w:r>
    </w:p>
    <w:p w14:paraId="5D8CBCB2" w14:textId="77777777" w:rsidR="002C229D" w:rsidRDefault="002C229D" w:rsidP="002C229D">
      <w:pPr>
        <w:pStyle w:val="NoSpacing"/>
      </w:pPr>
    </w:p>
    <w:p w14:paraId="7B2FF1F8" w14:textId="77777777" w:rsidR="002C229D" w:rsidRPr="0060293A" w:rsidRDefault="002C229D" w:rsidP="002C229D">
      <w:pPr>
        <w:pStyle w:val="NoSpacing"/>
        <w:rPr>
          <w:b/>
          <w:bCs/>
        </w:rPr>
      </w:pPr>
      <w:r>
        <w:rPr>
          <w:b/>
        </w:rPr>
        <w:t>Legal lesson learned: No unemployment compensation if you leave employment without good cause.</w:t>
      </w:r>
    </w:p>
    <w:p w14:paraId="7962BA37" w14:textId="77777777" w:rsidR="002C229D" w:rsidRDefault="002C229D" w:rsidP="002C229D">
      <w:pPr>
        <w:pStyle w:val="NoSpacing"/>
        <w:rPr>
          <w:b/>
        </w:rPr>
      </w:pPr>
    </w:p>
    <w:p w14:paraId="5B8ECB63" w14:textId="77777777" w:rsidR="002C229D" w:rsidRDefault="002C229D" w:rsidP="002C229D">
      <w:pPr>
        <w:pStyle w:val="NoSpacing"/>
        <w:rPr>
          <w:b/>
        </w:rPr>
      </w:pPr>
    </w:p>
    <w:p w14:paraId="101D751A" w14:textId="77777777" w:rsidR="002C229D" w:rsidRDefault="002C229D" w:rsidP="002C229D">
      <w:pPr>
        <w:pStyle w:val="NoSpacing"/>
        <w:rPr>
          <w:b/>
        </w:rPr>
      </w:pPr>
    </w:p>
    <w:p w14:paraId="55221BA5" w14:textId="77777777" w:rsidR="002C229D" w:rsidRDefault="002C229D" w:rsidP="002C229D">
      <w:pPr>
        <w:pStyle w:val="NoSpacing"/>
        <w:rPr>
          <w:b/>
          <w:sz w:val="20"/>
          <w:szCs w:val="20"/>
        </w:rPr>
      </w:pPr>
    </w:p>
    <w:p w14:paraId="188B616F" w14:textId="77777777" w:rsidR="002C229D" w:rsidRDefault="002C229D" w:rsidP="002C229D">
      <w:pPr>
        <w:pStyle w:val="NoSpacing"/>
        <w:rPr>
          <w:b/>
          <w:sz w:val="20"/>
          <w:szCs w:val="20"/>
        </w:rPr>
      </w:pPr>
    </w:p>
    <w:p w14:paraId="3625A6A8" w14:textId="77777777" w:rsidR="002C229D" w:rsidRDefault="002C229D" w:rsidP="002C229D">
      <w:pPr>
        <w:pStyle w:val="NoSpacing"/>
        <w:rPr>
          <w:b/>
          <w:sz w:val="20"/>
          <w:szCs w:val="20"/>
        </w:rPr>
      </w:pPr>
    </w:p>
    <w:p w14:paraId="5D7751DF" w14:textId="77777777" w:rsidR="002C229D" w:rsidRDefault="002C229D" w:rsidP="002C229D">
      <w:pPr>
        <w:pStyle w:val="NoSpacing"/>
        <w:rPr>
          <w:b/>
          <w:sz w:val="20"/>
          <w:szCs w:val="20"/>
        </w:rPr>
      </w:pPr>
    </w:p>
    <w:p w14:paraId="448F4756" w14:textId="406E22B6" w:rsidR="002C229D" w:rsidRPr="002C229D" w:rsidRDefault="002C229D" w:rsidP="002C229D">
      <w:pPr>
        <w:pStyle w:val="NoSpacing"/>
        <w:rPr>
          <w:rFonts w:ascii="Arial Black" w:hAnsi="Arial Black"/>
          <w:sz w:val="24"/>
          <w:szCs w:val="24"/>
        </w:rPr>
      </w:pPr>
      <w:r w:rsidRPr="002C229D">
        <w:rPr>
          <w:rFonts w:ascii="Arial Black" w:hAnsi="Arial Black"/>
          <w:sz w:val="24"/>
          <w:szCs w:val="24"/>
        </w:rPr>
        <w:t>16-162</w:t>
      </w:r>
    </w:p>
    <w:p w14:paraId="2F05F3CB" w14:textId="77777777" w:rsidR="002C229D" w:rsidRDefault="002C229D" w:rsidP="002C229D">
      <w:pPr>
        <w:pStyle w:val="NoSpacing"/>
      </w:pPr>
    </w:p>
    <w:p w14:paraId="47B093D8" w14:textId="77777777" w:rsidR="002C229D" w:rsidRDefault="002C229D" w:rsidP="002C229D">
      <w:pPr>
        <w:pStyle w:val="NoSpacing"/>
        <w:rPr>
          <w:rFonts w:ascii="Arial Black" w:hAnsi="Arial Black"/>
          <w:sz w:val="28"/>
          <w:szCs w:val="28"/>
        </w:rPr>
      </w:pPr>
      <w:r>
        <w:rPr>
          <w:rFonts w:ascii="Arial Black" w:hAnsi="Arial Black"/>
          <w:sz w:val="28"/>
          <w:szCs w:val="28"/>
        </w:rPr>
        <w:t xml:space="preserve">OH: CHIEF INDICTED / SECRET RECORDINGS - REHIRED </w:t>
      </w:r>
    </w:p>
    <w:p w14:paraId="5C24AAFF" w14:textId="77777777" w:rsidR="002C229D" w:rsidRDefault="002C229D" w:rsidP="002C229D">
      <w:pPr>
        <w:pStyle w:val="NoSpacing"/>
      </w:pPr>
    </w:p>
    <w:p w14:paraId="05C0D733" w14:textId="77777777" w:rsidR="002C229D" w:rsidRDefault="002C229D" w:rsidP="002C229D">
      <w:pPr>
        <w:pStyle w:val="NoSpacing"/>
        <w:rPr>
          <w:bCs/>
        </w:rPr>
      </w:pPr>
      <w:r>
        <w:t xml:space="preserve">On July 8, 2026, in </w:t>
      </w:r>
      <w:r w:rsidRPr="00F616C1">
        <w:rPr>
          <w:u w:val="single"/>
        </w:rPr>
        <w:t>State Ex Rel. Brandon Montgomery v. Judy Ruckman</w:t>
      </w:r>
      <w:r>
        <w:t xml:space="preserve">, the </w:t>
      </w:r>
      <w:r w:rsidRPr="00E17CC8">
        <w:t>Court of Appeals of Ohio, Seventh District, Jefferson</w:t>
      </w:r>
      <w:r>
        <w:t xml:space="preserve"> County held (3 to 0) that the Fire Chief’s case is moot – after Feb. 14, 2025 termination, he was reinstated on September 15, 2025 Council members of Village</w:t>
      </w:r>
      <w:r w:rsidRPr="00CB0CC4">
        <w:t xml:space="preserve"> of Mingo Junction</w:t>
      </w:r>
      <w:r>
        <w:t xml:space="preserve"> (vote 3 to 2).  He remains on administrative leave pending outcome of a felony indictment; Court declined to hear his complaint Mayor cancel his paid leave Nov. 3, 2025. </w:t>
      </w:r>
      <w:hyperlink r:id="rId2563" w:history="1">
        <w:r w:rsidRPr="008449D0">
          <w:rPr>
            <w:rStyle w:val="Hyperlink"/>
          </w:rPr>
          <w:t>https://www.supremecourt.ohio.gov/rod/docs/pdf/7/2026/2026-Ohio-2671.pdf</w:t>
        </w:r>
      </w:hyperlink>
    </w:p>
    <w:p w14:paraId="520C7BD8" w14:textId="77777777" w:rsidR="002C229D" w:rsidRDefault="002C229D" w:rsidP="002C229D">
      <w:pPr>
        <w:pStyle w:val="NoSpacing"/>
        <w:rPr>
          <w:bCs/>
        </w:rPr>
      </w:pPr>
    </w:p>
    <w:p w14:paraId="43F7EFC6" w14:textId="77777777" w:rsidR="002C229D" w:rsidRPr="00D8212E" w:rsidRDefault="002C229D" w:rsidP="002C229D">
      <w:pPr>
        <w:pStyle w:val="NoSpacing"/>
        <w:ind w:left="720"/>
        <w:rPr>
          <w:bCs/>
        </w:rPr>
      </w:pPr>
      <w:r>
        <w:t>Press Report May 1, 2025: “</w:t>
      </w:r>
      <w:r w:rsidRPr="00D8212E">
        <w:t>Brandon Montgomery, the village fire chief who was on administrative leave until his Feb. 14 termination, has been indicted by a special Jefferson County Grand jury.</w:t>
      </w:r>
      <w:r>
        <w:t xml:space="preserve"> </w:t>
      </w:r>
      <w:r w:rsidRPr="00D8212E">
        <w:t xml:space="preserve">Montgomery, 37, was ordered Wednesday to stand trial on charges he illegally intercepted wire, oral or electronic communications over a </w:t>
      </w:r>
      <w:proofErr w:type="gramStart"/>
      <w:r w:rsidRPr="00D8212E">
        <w:t>4.5 year</w:t>
      </w:r>
      <w:proofErr w:type="gramEnd"/>
      <w:r w:rsidRPr="00D8212E">
        <w:t xml:space="preserve"> period -- beginning in January 2020 and continuing through June 24.</w:t>
      </w:r>
      <w:r>
        <w:t>”</w:t>
      </w:r>
      <w:r w:rsidRPr="00EE66C6">
        <w:t xml:space="preserve"> </w:t>
      </w:r>
      <w:hyperlink r:id="rId2564" w:history="1">
        <w:r w:rsidRPr="00F859BA">
          <w:rPr>
            <w:rStyle w:val="Hyperlink"/>
          </w:rPr>
          <w:t>https://www.heraldstaronline.com/news/local-news/2025/05/former-mingo-fire-chief-indicted-by-grand-jury/</w:t>
        </w:r>
      </w:hyperlink>
      <w:r>
        <w:t xml:space="preserve"> </w:t>
      </w:r>
    </w:p>
    <w:p w14:paraId="19B664C3" w14:textId="77777777" w:rsidR="002C229D" w:rsidRDefault="002C229D" w:rsidP="002C229D">
      <w:pPr>
        <w:pStyle w:val="NoSpacing"/>
        <w:rPr>
          <w:bCs/>
        </w:rPr>
      </w:pPr>
    </w:p>
    <w:p w14:paraId="05443A8D" w14:textId="77777777" w:rsidR="002C229D" w:rsidRDefault="002C229D" w:rsidP="002C229D">
      <w:pPr>
        <w:pStyle w:val="NoSpacing"/>
        <w:rPr>
          <w:bCs/>
        </w:rPr>
      </w:pPr>
    </w:p>
    <w:p w14:paraId="2586DF0F" w14:textId="77777777" w:rsidR="002C229D" w:rsidRDefault="002C229D" w:rsidP="002C229D">
      <w:pPr>
        <w:pStyle w:val="NoSpacing"/>
        <w:rPr>
          <w:bCs/>
        </w:rPr>
      </w:pPr>
      <w:r>
        <w:t>THE COURT WROTE:  “</w:t>
      </w:r>
      <w:r w:rsidRPr="00FB2876">
        <w:t>Montgomery’s motion for summary judgment asserts that on</w:t>
      </w:r>
      <w:r>
        <w:t xml:space="preserve"> </w:t>
      </w:r>
      <w:r w:rsidRPr="00FB2876">
        <w:t xml:space="preserve">November 3, 2025, </w:t>
      </w:r>
      <w:r>
        <w:t xml:space="preserve">[Mayor] </w:t>
      </w:r>
      <w:r w:rsidRPr="00FB2876">
        <w:t>Ruckman placed him on unpaid leave (while maintaining his benefits)</w:t>
      </w:r>
      <w:r>
        <w:t xml:space="preserve"> </w:t>
      </w:r>
      <w:r w:rsidRPr="00FB2876">
        <w:t>on the ground that it was not sustainable for the Village to continue paying his full salary</w:t>
      </w:r>
      <w:r>
        <w:t xml:space="preserve"> </w:t>
      </w:r>
      <w:r w:rsidRPr="00FB2876">
        <w:t>while ensuring that the Fire Department remained properly managed and staffed.</w:t>
      </w:r>
      <w:r>
        <w:t xml:space="preserve"> </w:t>
      </w:r>
      <w:r w:rsidRPr="00FB2876">
        <w:t>Montgomery contends that this action violates Article 33, Section I of the CBA, which</w:t>
      </w:r>
      <w:r>
        <w:t xml:space="preserve"> </w:t>
      </w:r>
      <w:r w:rsidRPr="00FB2876">
        <w:t xml:space="preserve">provides: </w:t>
      </w:r>
      <w:r>
        <w:t xml:space="preserve">     ‘</w:t>
      </w:r>
      <w:r w:rsidRPr="00FB2876">
        <w:t>Any employee charged with or under indictment for a felony that is not</w:t>
      </w:r>
      <w:r>
        <w:t xml:space="preserve"> </w:t>
      </w:r>
      <w:r w:rsidRPr="00FB2876">
        <w:t>disciplined or discharged by the employer, shall be place [sic] on a leave of absence with</w:t>
      </w:r>
      <w:r>
        <w:t xml:space="preserve"> </w:t>
      </w:r>
      <w:r w:rsidRPr="00FB2876">
        <w:t>pay until resolution of the court proceedings.</w:t>
      </w:r>
      <w:r>
        <w:t xml:space="preserve">’… </w:t>
      </w:r>
    </w:p>
    <w:p w14:paraId="4227FFE4" w14:textId="77777777" w:rsidR="002C229D" w:rsidRDefault="002C229D" w:rsidP="002C229D">
      <w:pPr>
        <w:pStyle w:val="NoSpacing"/>
        <w:rPr>
          <w:bCs/>
        </w:rPr>
      </w:pPr>
    </w:p>
    <w:p w14:paraId="1390A592" w14:textId="77777777" w:rsidR="002C229D" w:rsidRDefault="002C229D" w:rsidP="002C229D">
      <w:pPr>
        <w:pStyle w:val="NoSpacing"/>
        <w:rPr>
          <w:bCs/>
        </w:rPr>
      </w:pPr>
      <w:r>
        <w:t>***</w:t>
      </w:r>
    </w:p>
    <w:p w14:paraId="2F2CA06A" w14:textId="77777777" w:rsidR="002C229D" w:rsidRDefault="002C229D" w:rsidP="002C229D">
      <w:pPr>
        <w:pStyle w:val="NoSpacing"/>
        <w:rPr>
          <w:bCs/>
        </w:rPr>
      </w:pPr>
    </w:p>
    <w:p w14:paraId="5E12DC32" w14:textId="77777777" w:rsidR="002C229D" w:rsidRDefault="002C229D" w:rsidP="002C229D">
      <w:pPr>
        <w:pStyle w:val="NoSpacing"/>
        <w:rPr>
          <w:bCs/>
        </w:rPr>
      </w:pPr>
      <w:r w:rsidRPr="00667BD1">
        <w:t>Whatever obligations Article 33, Section I may</w:t>
      </w:r>
      <w:r>
        <w:t xml:space="preserve"> </w:t>
      </w:r>
      <w:r w:rsidRPr="00667BD1">
        <w:t xml:space="preserve">impose on </w:t>
      </w:r>
      <w:r>
        <w:t xml:space="preserve">[Mayor] </w:t>
      </w:r>
      <w:r w:rsidRPr="00667BD1">
        <w:t xml:space="preserve">Ruckman </w:t>
      </w:r>
      <w:proofErr w:type="gramStart"/>
      <w:r w:rsidRPr="00667BD1">
        <w:t>as a consequence of</w:t>
      </w:r>
      <w:proofErr w:type="gramEnd"/>
      <w:r w:rsidRPr="00667BD1">
        <w:t xml:space="preserve"> those later events present a different</w:t>
      </w:r>
      <w:r>
        <w:t xml:space="preserve"> </w:t>
      </w:r>
      <w:r w:rsidRPr="00667BD1">
        <w:t>controversy, on a different theory, requiring a properly pleaded claim and a properly</w:t>
      </w:r>
      <w:r>
        <w:t xml:space="preserve"> </w:t>
      </w:r>
      <w:r w:rsidRPr="00667BD1">
        <w:t>developed evidentiary record.</w:t>
      </w:r>
      <w:r>
        <w:t xml:space="preserve">”  </w:t>
      </w:r>
    </w:p>
    <w:p w14:paraId="14965444" w14:textId="77777777" w:rsidR="002C229D" w:rsidRDefault="002C229D" w:rsidP="002C229D">
      <w:pPr>
        <w:pStyle w:val="NoSpacing"/>
      </w:pPr>
    </w:p>
    <w:p w14:paraId="662B6FF8" w14:textId="77777777" w:rsidR="002C229D" w:rsidRPr="00E84724" w:rsidRDefault="002C229D" w:rsidP="002C229D">
      <w:pPr>
        <w:pStyle w:val="NoSpacing"/>
        <w:rPr>
          <w:b/>
          <w:bCs/>
        </w:rPr>
      </w:pPr>
      <w:r>
        <w:rPr>
          <w:b/>
        </w:rPr>
        <w:t xml:space="preserve">Legal lesson learned:  Felony indictment of a Fire Chief will generally result in being placed on administrative leave.  Whether that is paid or unpaid leave is separate issue – in this case needing further evidence. </w:t>
      </w:r>
    </w:p>
    <w:p w14:paraId="2B7370EF" w14:textId="77777777" w:rsidR="002C229D" w:rsidRDefault="002C229D" w:rsidP="002C229D">
      <w:pPr>
        <w:pStyle w:val="NoSpacing"/>
      </w:pPr>
    </w:p>
    <w:p w14:paraId="06C053A0" w14:textId="77777777" w:rsidR="002C229D" w:rsidRDefault="002C229D" w:rsidP="002C229D">
      <w:pPr>
        <w:pStyle w:val="NoSpacing"/>
        <w:ind w:left="720"/>
        <w:rPr>
          <w:bCs/>
        </w:rPr>
      </w:pPr>
      <w:r>
        <w:t xml:space="preserve">Note: See Sept. 15, </w:t>
      </w:r>
      <w:proofErr w:type="gramStart"/>
      <w:r>
        <w:t>2025</w:t>
      </w:r>
      <w:proofErr w:type="gramEnd"/>
      <w:r>
        <w:t xml:space="preserve"> article: </w:t>
      </w:r>
      <w:r w:rsidRPr="005D77AE">
        <w:t>Former Mingo Junction fire chief reinstated after hearing [</w:t>
      </w:r>
      <w:proofErr w:type="gramStart"/>
      <w:r w:rsidRPr="005D77AE">
        <w:t>includes</w:t>
      </w:r>
      <w:proofErr w:type="gramEnd"/>
      <w:r w:rsidRPr="005D77AE">
        <w:t xml:space="preserve"> TV video]. </w:t>
      </w:r>
      <w:hyperlink r:id="rId2565" w:history="1">
        <w:r w:rsidRPr="005D77AE">
          <w:rPr>
            <w:rStyle w:val="Hyperlink"/>
          </w:rPr>
          <w:t>https://wtov9.com/news/local/former-mingo-junction-fire-chief-reinstated-after-hearing</w:t>
        </w:r>
      </w:hyperlink>
      <w:r w:rsidRPr="005D77AE">
        <w:t xml:space="preserve"> </w:t>
      </w:r>
    </w:p>
    <w:p w14:paraId="1B54C997" w14:textId="77777777" w:rsidR="002C229D" w:rsidRDefault="002C229D" w:rsidP="002C229D">
      <w:pPr>
        <w:pStyle w:val="NoSpacing"/>
        <w:ind w:left="720"/>
        <w:rPr>
          <w:bCs/>
        </w:rPr>
      </w:pPr>
    </w:p>
    <w:p w14:paraId="1EC65CA1" w14:textId="77777777" w:rsidR="002C229D" w:rsidRPr="005D77AE" w:rsidRDefault="002C229D" w:rsidP="002C229D">
      <w:pPr>
        <w:pStyle w:val="NoSpacing"/>
        <w:rPr>
          <w:bCs/>
        </w:rPr>
      </w:pPr>
    </w:p>
    <w:p w14:paraId="14042B2F" w14:textId="0C3007AF" w:rsidR="002C229D" w:rsidRPr="002C229D" w:rsidRDefault="002C229D" w:rsidP="002C229D">
      <w:pPr>
        <w:pStyle w:val="NoSpacing"/>
        <w:rPr>
          <w:rFonts w:ascii="Arial Black" w:hAnsi="Arial Black"/>
          <w:b/>
          <w:sz w:val="24"/>
          <w:szCs w:val="24"/>
        </w:rPr>
      </w:pPr>
      <w:r w:rsidRPr="002C229D">
        <w:rPr>
          <w:rFonts w:ascii="Arial Black" w:hAnsi="Arial Black"/>
          <w:b/>
          <w:sz w:val="24"/>
          <w:szCs w:val="24"/>
        </w:rPr>
        <w:t>16-161</w:t>
      </w:r>
    </w:p>
    <w:p w14:paraId="0171E32E" w14:textId="77777777" w:rsidR="002C229D" w:rsidRDefault="002C229D" w:rsidP="002C229D">
      <w:pPr>
        <w:pStyle w:val="NoSpacing"/>
        <w:rPr>
          <w:b/>
        </w:rPr>
      </w:pPr>
    </w:p>
    <w:p w14:paraId="7EF97453" w14:textId="77777777" w:rsidR="002C229D" w:rsidRPr="0043553C" w:rsidRDefault="002C229D" w:rsidP="002C229D">
      <w:pPr>
        <w:pStyle w:val="NoSpacing"/>
        <w:rPr>
          <w:rFonts w:ascii="Arial Black" w:hAnsi="Arial Black"/>
          <w:b/>
          <w:sz w:val="28"/>
          <w:szCs w:val="28"/>
        </w:rPr>
      </w:pPr>
      <w:r>
        <w:rPr>
          <w:rFonts w:ascii="Arial Black" w:hAnsi="Arial Black"/>
          <w:b/>
          <w:sz w:val="28"/>
          <w:szCs w:val="28"/>
        </w:rPr>
        <w:t>CO: CHIEF FIRED NEW B0ARD – NO 1</w:t>
      </w:r>
      <w:r w:rsidRPr="000B2A1F">
        <w:rPr>
          <w:rFonts w:ascii="Arial Black" w:hAnsi="Arial Black"/>
          <w:b/>
          <w:sz w:val="28"/>
          <w:szCs w:val="28"/>
          <w:vertAlign w:val="superscript"/>
        </w:rPr>
        <w:t>st</w:t>
      </w:r>
      <w:r>
        <w:rPr>
          <w:rFonts w:ascii="Arial Black" w:hAnsi="Arial Black"/>
          <w:b/>
          <w:sz w:val="28"/>
          <w:szCs w:val="28"/>
        </w:rPr>
        <w:t xml:space="preserve"> AMEND / DUTIES</w:t>
      </w:r>
    </w:p>
    <w:p w14:paraId="42F09494" w14:textId="77777777" w:rsidR="002C229D" w:rsidRDefault="002C229D" w:rsidP="002C229D">
      <w:pPr>
        <w:pStyle w:val="NoSpacing"/>
        <w:rPr>
          <w:b/>
        </w:rPr>
      </w:pPr>
    </w:p>
    <w:p w14:paraId="2280D87F" w14:textId="77777777" w:rsidR="002C229D" w:rsidRDefault="002C229D" w:rsidP="002C229D">
      <w:pPr>
        <w:pStyle w:val="NoSpacing"/>
        <w:rPr>
          <w:b/>
        </w:rPr>
      </w:pPr>
      <w:r>
        <w:t xml:space="preserve">On July 7, 2026, in </w:t>
      </w:r>
      <w:r w:rsidRPr="002E44C0">
        <w:rPr>
          <w:u w:val="single"/>
        </w:rPr>
        <w:t>Erik Holt v. Florissant Fire Protection District</w:t>
      </w:r>
      <w:r>
        <w:t>, the United States Court of Appeals for Tenth Circuit (Denver) held (3 to 0) that the newly elected Fire Board (5 new members) had legal right to fire the Fire Chief (only full-</w:t>
      </w:r>
      <w:r>
        <w:lastRenderedPageBreak/>
        <w:t xml:space="preserve">time member) for allowing insurance to lapse.  The Chief claimed he was fired in retaliation - an incumbent Board member filed a complaint of </w:t>
      </w:r>
      <w:r w:rsidRPr="00916737">
        <w:t>Election Violations in Teller County District Court</w:t>
      </w:r>
      <w:r>
        <w:t xml:space="preserve">, and the Chief provided investigator with video of the voting at the station to the criminal investigator. First Amendment protection does not apply to comments or actions performing official duties. </w:t>
      </w:r>
    </w:p>
    <w:p w14:paraId="43FE34BD" w14:textId="77777777" w:rsidR="002C229D" w:rsidRDefault="002C229D" w:rsidP="002C229D">
      <w:pPr>
        <w:pStyle w:val="NoSpacing"/>
      </w:pPr>
      <w:hyperlink r:id="rId2566" w:history="1">
        <w:r w:rsidRPr="003158CB">
          <w:rPr>
            <w:rStyle w:val="Hyperlink"/>
            <w:b/>
          </w:rPr>
          <w:t>https://cases.justia.com/federal/appellate-courts/ca10/25-1159/25-1159-2026-07-07.pdf?ts=1783443762</w:t>
        </w:r>
      </w:hyperlink>
    </w:p>
    <w:p w14:paraId="0A39FDC5" w14:textId="77777777" w:rsidR="002C229D" w:rsidRDefault="002C229D" w:rsidP="002C229D">
      <w:pPr>
        <w:pStyle w:val="NoSpacing"/>
      </w:pPr>
    </w:p>
    <w:p w14:paraId="6DC93080" w14:textId="77777777" w:rsidR="002C229D" w:rsidRDefault="002C229D" w:rsidP="002C229D">
      <w:pPr>
        <w:pStyle w:val="NoSpacing"/>
      </w:pPr>
      <w:r>
        <w:t xml:space="preserve">THE COURT WROTE; </w:t>
      </w:r>
    </w:p>
    <w:p w14:paraId="5A5698B5" w14:textId="77777777" w:rsidR="002C229D" w:rsidRDefault="002C229D" w:rsidP="002C229D">
      <w:pPr>
        <w:pStyle w:val="NoSpacing"/>
      </w:pPr>
    </w:p>
    <w:p w14:paraId="472D3B7C" w14:textId="77777777" w:rsidR="002C229D" w:rsidRDefault="002C229D" w:rsidP="002C229D">
      <w:pPr>
        <w:pStyle w:val="NoSpacing"/>
      </w:pPr>
      <w:r>
        <w:t>“</w:t>
      </w:r>
      <w:r w:rsidRPr="00207B10">
        <w:t>Erik Holt was employed as Fire Chief by the Florissant Fire Protection District (</w:t>
      </w:r>
      <w:r>
        <w:t>‘</w:t>
      </w:r>
      <w:r w:rsidRPr="00207B10">
        <w:t>FFPD</w:t>
      </w:r>
      <w:r>
        <w:t>’</w:t>
      </w:r>
      <w:r w:rsidRPr="00207B10">
        <w:t>)</w:t>
      </w:r>
      <w:r>
        <w:t xml:space="preserve">…. </w:t>
      </w:r>
      <w:r w:rsidRPr="00916737">
        <w:t>FFPD employed Holt as Fire Chief from April 2022 until June 22, 2023</w:t>
      </w:r>
      <w:r>
        <w:t xml:space="preserve">…. </w:t>
      </w:r>
      <w:r w:rsidRPr="00916737">
        <w:t>During Holt's tenure as Fire Chief, he was the only full-time employee at FFPD. Holt managed the closed-circuit security system, which was operated by a third-party vendor. Holt also controlled physical access to the fire station. Indeed, the record indicates Holt had the power to prevent even members of the board from accessing the firehouse</w:t>
      </w:r>
      <w:r>
        <w:t xml:space="preserve">. </w:t>
      </w:r>
      <w:r w:rsidRPr="00916737">
        <w:t>   On May 2, 2023, an election was held for the FFPD Board, which resulted in the election of five non-incumbent candidates. On the day of the election, Holt was acting in his capacity as Fire Chief. He did not, however, have any official duties as to the conducting of the election. The election took place, with Holt present, at Fire Station 1 at 2606 W. Highway 24, Florissant, Colorado, and by mail-in ballot.  </w:t>
      </w:r>
      <w:r>
        <w:t xml:space="preserve">On </w:t>
      </w:r>
      <w:r w:rsidRPr="00916737">
        <w:t xml:space="preserve">May 15, 2023, Starla Thompson, the incumbent FFPD President, filed a Complaint of Election Violations in Teller County District Court, alleging election fraud against the non-incumbent candidates and election workers. Holt was contacted by an investigator from the Teller County District Attorney's Office, Clint Kramer, who requested that Holt provide footage of the election recorded on FFPD's closed-circuit security system. Holt, with no other individuals present, met with Kramer and provided him with the election-day surveillance video from the fire station. Kramer viewed the videos in Holt's </w:t>
      </w:r>
      <w:proofErr w:type="gramStart"/>
      <w:r w:rsidRPr="00916737">
        <w:t>presence, but</w:t>
      </w:r>
      <w:proofErr w:type="gramEnd"/>
      <w:r w:rsidRPr="00916737">
        <w:t xml:space="preserve"> did not consult Holt as to which portions of the video Kramer should watch. Holt provided oral statements in response to </w:t>
      </w:r>
      <w:r w:rsidRPr="007605D7">
        <w:t xml:space="preserve">Kramer's questions about the video, questions such </w:t>
      </w:r>
      <w:proofErr w:type="gramStart"/>
      <w:r w:rsidRPr="007605D7">
        <w:t xml:space="preserve">as </w:t>
      </w:r>
      <w:r>
        <w:t>‘</w:t>
      </w:r>
      <w:r w:rsidRPr="007605D7">
        <w:t>[h]</w:t>
      </w:r>
      <w:proofErr w:type="gramEnd"/>
      <w:r w:rsidRPr="007605D7">
        <w:t>ow far do you think these people were from this position?</w:t>
      </w:r>
      <w:r>
        <w:t>’</w:t>
      </w:r>
      <w:r w:rsidRPr="007605D7">
        <w:t xml:space="preserve"> Holt also identified individuals appearing on the surveillance video. Furthermore, pursuant to his control of physical access to the fire station, Holt allowed the investigator to view the scene and take measurements</w:t>
      </w:r>
      <w:r>
        <w:t xml:space="preserve">…. </w:t>
      </w:r>
      <w:r w:rsidRPr="007F631E">
        <w:t xml:space="preserve">On June 27, 2023, the Teller County District Court dismissed Thompson's Complaint of Election Violations with prejudice. </w:t>
      </w:r>
    </w:p>
    <w:p w14:paraId="2D4FD4D2" w14:textId="77777777" w:rsidR="002C229D" w:rsidRDefault="002C229D" w:rsidP="002C229D">
      <w:pPr>
        <w:pStyle w:val="NoSpacing"/>
      </w:pPr>
    </w:p>
    <w:p w14:paraId="6AA44EC8" w14:textId="77777777" w:rsidR="002C229D" w:rsidRDefault="002C229D" w:rsidP="002C229D">
      <w:pPr>
        <w:pStyle w:val="NoSpacing"/>
      </w:pPr>
      <w:r>
        <w:t>***</w:t>
      </w:r>
    </w:p>
    <w:p w14:paraId="3C6F4E56" w14:textId="77777777" w:rsidR="002C229D" w:rsidRDefault="002C229D" w:rsidP="002C229D">
      <w:pPr>
        <w:pStyle w:val="NoSpacing"/>
      </w:pPr>
      <w:r w:rsidRPr="007F631E">
        <w:t xml:space="preserve">The new FFPD board terminated Holt's employment on June 22, 2023, ostensibly because Holt's failure to timely renew FFPD's insurance led to a lapse in coverage. Holt asserts the lapsing of the FFPD's insurance is a </w:t>
      </w:r>
      <w:proofErr w:type="gramStart"/>
      <w:r w:rsidRPr="007F631E">
        <w:t>pretext</w:t>
      </w:r>
      <w:proofErr w:type="gramEnd"/>
      <w:r w:rsidRPr="007F631E">
        <w:t xml:space="preserve"> and his termination was, in fact, undertaken in retaliation for his cooperation with a criminal investigator about the new Board's alleged conduct during the May 2, 2023, election</w:t>
      </w:r>
      <w:r>
        <w:t xml:space="preserve">…. </w:t>
      </w:r>
      <w:r w:rsidRPr="00207B10">
        <w:t xml:space="preserve">The district court granted summary judgment to FFPD on the first element of the five-element </w:t>
      </w:r>
      <w:r w:rsidRPr="00207B10">
        <w:rPr>
          <w:i/>
          <w:iCs/>
        </w:rPr>
        <w:t>Garcetti</w:t>
      </w:r>
      <w:r w:rsidRPr="00207B10">
        <w:t>/</w:t>
      </w:r>
      <w:r w:rsidRPr="00207B10">
        <w:rPr>
          <w:i/>
          <w:iCs/>
        </w:rPr>
        <w:t>Pickering</w:t>
      </w:r>
      <w:r w:rsidRPr="00207B10">
        <w:t xml:space="preserve"> test</w:t>
      </w:r>
      <w:r>
        <w:t xml:space="preserve">… </w:t>
      </w:r>
      <w:r w:rsidRPr="00207B10">
        <w:t>That is, the district court concluded Holt's speech was not protected by the First Amendment because the speech was uttered pursuant to Holt's official duties as Fire Chief</w:t>
      </w:r>
      <w:r>
        <w:t xml:space="preserve">…. </w:t>
      </w:r>
      <w:r w:rsidRPr="00207B10">
        <w:t>Holt appeals. Based on the record before the district court,</w:t>
      </w:r>
      <w:r>
        <w:rPr>
          <w:vertAlign w:val="superscript"/>
        </w:rPr>
        <w:t xml:space="preserve"> </w:t>
      </w:r>
      <w:r w:rsidRPr="00207B10">
        <w:t xml:space="preserve"> Holt failed to demonstrate his speech was not made pursuant to his official dutie</w:t>
      </w:r>
      <w:r>
        <w:t xml:space="preserve">s. [Footnote 4: </w:t>
      </w:r>
      <w:r w:rsidRPr="00717F75">
        <w:t xml:space="preserve">The other four elements a public employee must establish to prevail on a First Amendment claim, none of which are at issue in this case, are as follows: (2) the speech involved </w:t>
      </w:r>
      <w:r>
        <w:t>‘</w:t>
      </w:r>
      <w:r w:rsidRPr="00717F75">
        <w:t>a matter of public concern</w:t>
      </w:r>
      <w:r>
        <w:t>’</w:t>
      </w:r>
      <w:r w:rsidRPr="00717F75">
        <w:t xml:space="preserve">; (3) the government's interests as an employer in promoting the efficiency of the public service did not outweigh the plaintiff's interests in free speech; (4) </w:t>
      </w:r>
      <w:r>
        <w:t>‘</w:t>
      </w:r>
      <w:r w:rsidRPr="00717F75">
        <w:t>[t]he protected speech was a motivating factor in the adverse employment action</w:t>
      </w:r>
      <w:r>
        <w:t>’</w:t>
      </w:r>
      <w:r w:rsidRPr="00717F75">
        <w:t xml:space="preserve">; and (5) the public employee would not have </w:t>
      </w:r>
      <w:r>
        <w:t>‘</w:t>
      </w:r>
      <w:r w:rsidRPr="00717F75">
        <w:t>made the same employment decision in the absence of the protected speech.</w:t>
      </w:r>
      <w:r>
        <w:t>’</w:t>
      </w:r>
      <w:r w:rsidRPr="00717F75">
        <w:t xml:space="preserve"> </w:t>
      </w:r>
      <w:r w:rsidRPr="00717F75">
        <w:rPr>
          <w:i/>
          <w:iCs/>
        </w:rPr>
        <w:t>Timmins v. Plotkin</w:t>
      </w:r>
      <w:r w:rsidRPr="00717F75">
        <w:t>, 157 F.4th 1275, 1277 (10th Cir. 2025)</w:t>
      </w:r>
      <w:r>
        <w:t>.]”</w:t>
      </w:r>
    </w:p>
    <w:p w14:paraId="151D0080" w14:textId="77777777" w:rsidR="002C229D" w:rsidRDefault="002C229D" w:rsidP="002C229D">
      <w:pPr>
        <w:pStyle w:val="NoSpacing"/>
      </w:pPr>
    </w:p>
    <w:p w14:paraId="14A8FE60" w14:textId="77777777" w:rsidR="002C229D" w:rsidRPr="00FD2A62" w:rsidRDefault="002C229D" w:rsidP="002C229D">
      <w:pPr>
        <w:pStyle w:val="NoSpacing"/>
        <w:rPr>
          <w:b/>
          <w:bCs/>
        </w:rPr>
      </w:pPr>
      <w:r>
        <w:rPr>
          <w:b/>
        </w:rPr>
        <w:t xml:space="preserve">Legal </w:t>
      </w:r>
      <w:proofErr w:type="gramStart"/>
      <w:r>
        <w:rPr>
          <w:b/>
        </w:rPr>
        <w:t>lesson</w:t>
      </w:r>
      <w:proofErr w:type="gramEnd"/>
      <w:r>
        <w:rPr>
          <w:b/>
        </w:rPr>
        <w:t xml:space="preserve"> learned: First Amendment protection is limited; speech involving matters of public concern, not official duties.</w:t>
      </w:r>
    </w:p>
    <w:p w14:paraId="3233747B" w14:textId="77777777" w:rsidR="002C229D" w:rsidRPr="00916737" w:rsidRDefault="002C229D" w:rsidP="002C229D">
      <w:pPr>
        <w:pStyle w:val="NoSpacing"/>
      </w:pPr>
    </w:p>
    <w:p w14:paraId="7B0850B9" w14:textId="77777777" w:rsidR="002C229D" w:rsidRDefault="002C229D" w:rsidP="002C229D">
      <w:pPr>
        <w:pStyle w:val="NoSpacing"/>
        <w:rPr>
          <w:b/>
        </w:rPr>
      </w:pPr>
    </w:p>
    <w:p w14:paraId="090DB256" w14:textId="77777777" w:rsidR="002C229D" w:rsidRDefault="002C229D" w:rsidP="002C229D">
      <w:pPr>
        <w:pStyle w:val="NoSpacing"/>
        <w:rPr>
          <w:b/>
          <w:sz w:val="20"/>
          <w:szCs w:val="20"/>
        </w:rPr>
      </w:pPr>
    </w:p>
    <w:p w14:paraId="5B615D3B" w14:textId="77777777" w:rsidR="005A4098" w:rsidRDefault="005A4098" w:rsidP="00DA3352">
      <w:pPr>
        <w:pStyle w:val="NoSpacing"/>
        <w:rPr>
          <w:rFonts w:ascii="Arial Black" w:hAnsi="Arial Black"/>
          <w:b/>
          <w:sz w:val="24"/>
          <w:szCs w:val="24"/>
        </w:rPr>
      </w:pPr>
    </w:p>
    <w:p w14:paraId="0D3A2C84" w14:textId="77777777" w:rsidR="005611CE" w:rsidRDefault="005611CE" w:rsidP="00E77EA7">
      <w:pPr>
        <w:pStyle w:val="NoSpacing"/>
        <w:rPr>
          <w:rFonts w:ascii="Arial Black" w:hAnsi="Arial Black"/>
          <w:b/>
          <w:sz w:val="24"/>
          <w:szCs w:val="24"/>
        </w:rPr>
      </w:pPr>
    </w:p>
    <w:p w14:paraId="744B667D" w14:textId="77777777" w:rsidR="005611CE" w:rsidRDefault="005611CE" w:rsidP="00E77EA7">
      <w:pPr>
        <w:pStyle w:val="NoSpacing"/>
        <w:rPr>
          <w:rFonts w:ascii="Arial Black" w:hAnsi="Arial Black"/>
          <w:b/>
          <w:sz w:val="24"/>
          <w:szCs w:val="24"/>
        </w:rPr>
      </w:pPr>
    </w:p>
    <w:p w14:paraId="3CCC365B" w14:textId="77777777" w:rsidR="005611CE" w:rsidRDefault="005611CE" w:rsidP="00E77EA7">
      <w:pPr>
        <w:pStyle w:val="NoSpacing"/>
        <w:rPr>
          <w:rFonts w:ascii="Arial Black" w:hAnsi="Arial Black"/>
          <w:b/>
          <w:sz w:val="24"/>
          <w:szCs w:val="24"/>
        </w:rPr>
      </w:pPr>
    </w:p>
    <w:p w14:paraId="46308E51" w14:textId="0BA7BB61" w:rsidR="00E77EA7" w:rsidRDefault="00E77EA7" w:rsidP="00E77EA7">
      <w:pPr>
        <w:pStyle w:val="NoSpacing"/>
        <w:rPr>
          <w:rFonts w:ascii="Arial Black" w:hAnsi="Arial Black"/>
          <w:b/>
          <w:sz w:val="24"/>
          <w:szCs w:val="24"/>
        </w:rPr>
      </w:pPr>
      <w:r>
        <w:rPr>
          <w:rFonts w:ascii="Arial Black" w:hAnsi="Arial Black"/>
          <w:b/>
          <w:sz w:val="24"/>
          <w:szCs w:val="24"/>
        </w:rPr>
        <w:t>16-1</w:t>
      </w:r>
      <w:r w:rsidR="000676A0">
        <w:rPr>
          <w:rFonts w:ascii="Arial Black" w:hAnsi="Arial Black"/>
          <w:b/>
          <w:sz w:val="24"/>
          <w:szCs w:val="24"/>
        </w:rPr>
        <w:t>60</w:t>
      </w:r>
    </w:p>
    <w:p w14:paraId="31929BFC" w14:textId="77777777" w:rsidR="005A4098" w:rsidRDefault="005A4098" w:rsidP="00DA3352">
      <w:pPr>
        <w:pStyle w:val="NoSpacing"/>
        <w:rPr>
          <w:rFonts w:ascii="Arial Black" w:hAnsi="Arial Black"/>
          <w:b/>
          <w:sz w:val="24"/>
          <w:szCs w:val="24"/>
        </w:rPr>
      </w:pPr>
    </w:p>
    <w:p w14:paraId="594B4569" w14:textId="0DD0A5A4" w:rsidR="005A4098" w:rsidRPr="00291717" w:rsidRDefault="005A4098" w:rsidP="005A4098">
      <w:pPr>
        <w:rPr>
          <w:rFonts w:ascii="Arial Black" w:hAnsi="Arial Black"/>
          <w:b/>
          <w:sz w:val="28"/>
          <w:szCs w:val="28"/>
        </w:rPr>
      </w:pPr>
      <w:r>
        <w:rPr>
          <w:rFonts w:ascii="Arial Black" w:hAnsi="Arial Black"/>
          <w:b/>
          <w:sz w:val="28"/>
          <w:szCs w:val="28"/>
        </w:rPr>
        <w:t>MT: VOL. FIRED</w:t>
      </w:r>
      <w:r w:rsidR="00E77EA7">
        <w:rPr>
          <w:rFonts w:ascii="Arial Black" w:hAnsi="Arial Black"/>
          <w:b/>
          <w:sz w:val="28"/>
          <w:szCs w:val="28"/>
        </w:rPr>
        <w:t xml:space="preserve"> / CRIM CH</w:t>
      </w:r>
      <w:r w:rsidR="00DE6BEF">
        <w:rPr>
          <w:rFonts w:ascii="Arial Black" w:hAnsi="Arial Black"/>
          <w:b/>
          <w:sz w:val="28"/>
          <w:szCs w:val="28"/>
        </w:rPr>
        <w:t>ARGE</w:t>
      </w:r>
      <w:r w:rsidR="00E77EA7">
        <w:rPr>
          <w:rFonts w:ascii="Arial Black" w:hAnsi="Arial Black"/>
          <w:b/>
          <w:sz w:val="28"/>
          <w:szCs w:val="28"/>
        </w:rPr>
        <w:t xml:space="preserve"> - </w:t>
      </w:r>
      <w:r>
        <w:rPr>
          <w:rFonts w:ascii="Arial Black" w:hAnsi="Arial Black"/>
          <w:b/>
          <w:sz w:val="28"/>
          <w:szCs w:val="28"/>
        </w:rPr>
        <w:t>DUE PROCESS RIGHTS</w:t>
      </w:r>
    </w:p>
    <w:p w14:paraId="37B2AC14" w14:textId="77777777" w:rsidR="005A4098" w:rsidRDefault="005A4098" w:rsidP="005A4098">
      <w:pPr>
        <w:pStyle w:val="NoSpacing"/>
      </w:pPr>
      <w:r>
        <w:t xml:space="preserve">On June 25, 2026, in </w:t>
      </w:r>
      <w:r w:rsidRPr="00F52987">
        <w:rPr>
          <w:u w:val="single"/>
        </w:rPr>
        <w:t>Andrew Hoel v. Lake County, et al</w:t>
      </w:r>
      <w:r>
        <w:t xml:space="preserve">., U.S. District Court Judge Dana L. Christensen, United States District Court for Montana, Missoula Division, denied the motion to dismiss by the five members of the Board of </w:t>
      </w:r>
      <w:r w:rsidRPr="003254DA">
        <w:t>Polson Rural Fire District</w:t>
      </w:r>
      <w:r>
        <w:t xml:space="preserve">, and the lawsuit by the 16-year volunteer may continue.  The judge held that while there is no state statute on whether a volunteer in a rural fire district has a “property interest” in the position, and no Montana Supreme Court opinion on the issue, the plaintiff has </w:t>
      </w:r>
      <w:r w:rsidRPr="00372501">
        <w:t>alleged a plausible claim that a protected property interest exists</w:t>
      </w:r>
      <w:r>
        <w:t>.  The Court wrote: “</w:t>
      </w:r>
      <w:r w:rsidRPr="00372501">
        <w:t>Viewing Hoel's allegations in the light most favorable to him, as required at this stage of the proceeding, he has alleged a plausible claim that a protected property interest exists.</w:t>
      </w:r>
      <w:r>
        <w:t>”</w:t>
      </w:r>
    </w:p>
    <w:p w14:paraId="5C805A6C" w14:textId="77777777" w:rsidR="005A4098" w:rsidRDefault="005A4098" w:rsidP="005A4098">
      <w:pPr>
        <w:rPr>
          <w:b/>
        </w:rPr>
      </w:pPr>
      <w:hyperlink r:id="rId2567" w:history="1">
        <w:r w:rsidRPr="00014504">
          <w:rPr>
            <w:rStyle w:val="Hyperlink"/>
            <w:b/>
          </w:rPr>
          <w:t>https://public.fastcase.com/Jhe1Qn%2BmJndQYQU6z%2FeNm8xp5bcQpM0LeCpj95rZ5gNEdVG1ibFcIduRcZ%2B3IipaZYnYIym7VYjtpqKVlaUqasfnn8Tz1CVmcjSIlOE%2BPZg%3D?utm_medium=email&amp;_hsenc=p2ANqtz-9jjfQQEOm_2mMKI3z_PNL0spa8WgXuU5UtiIChSVPrFWGJFWa_yPhDa2X3hbtFntOPOz5eOn48J2_-s790WqIcSfBsuw&amp;_hsmi=226712652&amp;utm_content=226712652&amp;utm_source=hs_email</w:t>
        </w:r>
      </w:hyperlink>
      <w:r>
        <w:rPr>
          <w:b/>
        </w:rPr>
        <w:t xml:space="preserve"> </w:t>
      </w:r>
    </w:p>
    <w:p w14:paraId="4319D54C" w14:textId="77777777" w:rsidR="005A4098" w:rsidRDefault="005A4098" w:rsidP="005A4098">
      <w:pPr>
        <w:pStyle w:val="NoSpacing"/>
        <w:rPr>
          <w:b/>
          <w:bCs/>
        </w:rPr>
      </w:pPr>
      <w:r w:rsidRPr="005138E2">
        <w:rPr>
          <w:b/>
        </w:rPr>
        <w:t>FACTS:</w:t>
      </w:r>
    </w:p>
    <w:p w14:paraId="5118AC4F" w14:textId="77777777" w:rsidR="005A4098" w:rsidRPr="0054668F" w:rsidRDefault="005A4098" w:rsidP="005A4098">
      <w:pPr>
        <w:pStyle w:val="NoSpacing"/>
      </w:pPr>
    </w:p>
    <w:p w14:paraId="3A973B86" w14:textId="77777777" w:rsidR="005A4098" w:rsidRDefault="005A4098" w:rsidP="005A4098">
      <w:pPr>
        <w:pStyle w:val="NoSpacing"/>
      </w:pPr>
      <w:r>
        <w:t>“</w:t>
      </w:r>
      <w:r w:rsidRPr="0054668F">
        <w:t xml:space="preserve">Andrew Hoel was a member of the Polson Rural Fire District for 16 years. In 2023, Hoel settled a dispute involving a jointly owned LLC with Defendants Matthew Dougherty and Nancy Dougherty. Following the settlement, the </w:t>
      </w:r>
      <w:proofErr w:type="spellStart"/>
      <w:r w:rsidRPr="0054668F">
        <w:t>Doughertys</w:t>
      </w:r>
      <w:proofErr w:type="spellEnd"/>
      <w:r w:rsidRPr="0054668F">
        <w:t xml:space="preserve"> made a series of defamatory statements and allegations of criminal conduct against Hoel, prompting Lake County to charge him with two felony counts of exploitation of older person, incapacitated person, or person with developmental disability, Mont. Code Ann. § 45-6-333. </w:t>
      </w:r>
    </w:p>
    <w:p w14:paraId="56D361F0" w14:textId="77777777" w:rsidR="005A4098" w:rsidRDefault="005A4098" w:rsidP="005A4098">
      <w:pPr>
        <w:pStyle w:val="NoSpacing"/>
      </w:pPr>
    </w:p>
    <w:p w14:paraId="0661215D" w14:textId="77777777" w:rsidR="005A4098" w:rsidRDefault="005A4098" w:rsidP="005A4098">
      <w:pPr>
        <w:pStyle w:val="NoSpacing"/>
      </w:pPr>
      <w:r w:rsidRPr="0054668F">
        <w:t xml:space="preserve">Board Members, acting as Trustees of the Polson Rural Fire District, revoked Hoel's membership based on these criminal charges. Hoel appealed, and Board Members responded by notifying Hoel </w:t>
      </w:r>
      <w:proofErr w:type="gramStart"/>
      <w:r w:rsidRPr="0054668F">
        <w:t xml:space="preserve">that </w:t>
      </w:r>
      <w:r>
        <w:t>‘</w:t>
      </w:r>
      <w:r w:rsidRPr="0054668F">
        <w:t>[</w:t>
      </w:r>
      <w:proofErr w:type="gramEnd"/>
      <w:r w:rsidRPr="0054668F">
        <w:t>t]</w:t>
      </w:r>
      <w:proofErr w:type="gramStart"/>
      <w:r w:rsidRPr="0054668F">
        <w:t>he</w:t>
      </w:r>
      <w:proofErr w:type="gramEnd"/>
      <w:r w:rsidRPr="0054668F">
        <w:t xml:space="preserve"> Board will take no action on the appeal until a future appropriate time when your situation has stabilized. It will be in touch at that time.</w:t>
      </w:r>
      <w:r>
        <w:t>’</w:t>
      </w:r>
      <w:r w:rsidRPr="0054668F">
        <w:t xml:space="preserve"> After criminal charges against Hoel were dismissed, he wrote to the Polson Rural Fire District to renew his appeal. Board Members responded that his appeal had already been denied. In terminating Hoel, Board Members failed to comply with the Polson Rural Fire District's disciplinary policies.</w:t>
      </w:r>
      <w:r>
        <w:t>”</w:t>
      </w:r>
    </w:p>
    <w:p w14:paraId="574992D9" w14:textId="77777777" w:rsidR="005A4098" w:rsidRDefault="005A4098" w:rsidP="005A4098">
      <w:pPr>
        <w:pStyle w:val="NoSpacing"/>
      </w:pPr>
    </w:p>
    <w:p w14:paraId="3C937329" w14:textId="77777777" w:rsidR="005A4098" w:rsidRPr="00A03529" w:rsidRDefault="005A4098" w:rsidP="005A4098">
      <w:pPr>
        <w:pStyle w:val="NoSpacing"/>
        <w:rPr>
          <w:b/>
          <w:bCs/>
        </w:rPr>
      </w:pPr>
      <w:r w:rsidRPr="00A03529">
        <w:rPr>
          <w:b/>
        </w:rPr>
        <w:t>COURT HELD:</w:t>
      </w:r>
    </w:p>
    <w:p w14:paraId="7FB5CE0C" w14:textId="77777777" w:rsidR="005A4098" w:rsidRPr="0054668F" w:rsidRDefault="005A4098" w:rsidP="005A4098">
      <w:pPr>
        <w:pStyle w:val="NoSpacing"/>
      </w:pPr>
    </w:p>
    <w:p w14:paraId="7CAEA09C" w14:textId="77777777" w:rsidR="005A4098" w:rsidRPr="00372501" w:rsidRDefault="005A4098" w:rsidP="005A4098">
      <w:pPr>
        <w:pStyle w:val="NoSpacing"/>
      </w:pPr>
      <w:r>
        <w:t>“</w:t>
      </w:r>
      <w:r w:rsidRPr="00372501">
        <w:t xml:space="preserve">Montana statutes are silent on whether volunteer members of rural fire districts enjoy any removal protections. Paid municipal firefighters enjoy for-cause termination protections, </w:t>
      </w:r>
      <w:r w:rsidRPr="00372501">
        <w:rPr>
          <w:i/>
          <w:iCs/>
        </w:rPr>
        <w:t>see</w:t>
      </w:r>
      <w:r w:rsidRPr="00372501">
        <w:t xml:space="preserve"> Mont. Code Ann. § 7-33-4123, and mandatory suspension procedures, </w:t>
      </w:r>
      <w:r w:rsidRPr="00372501">
        <w:rPr>
          <w:i/>
          <w:iCs/>
        </w:rPr>
        <w:t>see</w:t>
      </w:r>
      <w:r w:rsidRPr="00372501">
        <w:t xml:space="preserve"> Mont. Code Ann. § 7-33-4124, while city </w:t>
      </w:r>
      <w:r>
        <w:t>‘</w:t>
      </w:r>
      <w:r w:rsidRPr="00372501">
        <w:t xml:space="preserve">volunteer fire </w:t>
      </w:r>
      <w:proofErr w:type="gramStart"/>
      <w:r w:rsidRPr="00372501">
        <w:t>departments,</w:t>
      </w:r>
      <w:r>
        <w:t>’</w:t>
      </w:r>
      <w:proofErr w:type="gramEnd"/>
      <w:r w:rsidRPr="00372501">
        <w:t xml:space="preserve"> established under Part 41 are explicitly exempted from these provisions. Mont. Code Ann. § 7-33-4110. Rural fire districts like Polson, meanwhile, are legally distinct from volunteer fire departments even if they are composed entirely of volunteers. Highlighting this distinction, Montana Code Annotated § 7-33-4510(c) clarifies that </w:t>
      </w:r>
      <w:r>
        <w:t>‘</w:t>
      </w:r>
      <w:r w:rsidRPr="00372501">
        <w:t>a member of a volunteer fire department provided for in [§] 7-33-4109</w:t>
      </w:r>
      <w:r>
        <w:t>’</w:t>
      </w:r>
      <w:r w:rsidRPr="00372501">
        <w:t xml:space="preserve"> does not fall within the definition of a “volunteer firefighter,” and is therefore ineligible for worker's compensation. Therefore, no statute addresses whether volunteer members of a rural fire district are subject to removal protections or not. </w:t>
      </w:r>
    </w:p>
    <w:p w14:paraId="5254836C" w14:textId="77777777" w:rsidR="005A4098" w:rsidRDefault="005A4098" w:rsidP="005A4098">
      <w:pPr>
        <w:pStyle w:val="NoSpacing"/>
      </w:pPr>
      <w:r w:rsidRPr="00372501">
        <w:t>         </w:t>
      </w:r>
    </w:p>
    <w:p w14:paraId="0F429EBA" w14:textId="77777777" w:rsidR="005A4098" w:rsidRDefault="005A4098" w:rsidP="005A4098">
      <w:pPr>
        <w:pStyle w:val="NoSpacing"/>
      </w:pPr>
      <w:r w:rsidRPr="00372501">
        <w:t xml:space="preserve">Nor has the Montana Supreme Court directly addressed whether volunteer members of a rural fire district have a property interest in their volunteer status. In </w:t>
      </w:r>
      <w:r w:rsidRPr="00372501">
        <w:rPr>
          <w:i/>
          <w:iCs/>
        </w:rPr>
        <w:t>State v. Robertson,</w:t>
      </w:r>
      <w:r w:rsidRPr="00372501">
        <w:t xml:space="preserve"> however, the Court held that a rural fire district board could not suspend volunteers because their bylaws did not </w:t>
      </w:r>
      <w:r>
        <w:t>‘</w:t>
      </w:r>
      <w:r w:rsidRPr="00372501">
        <w:t>authorize</w:t>
      </w:r>
      <w:r>
        <w:t>’</w:t>
      </w:r>
      <w:r w:rsidRPr="00372501">
        <w:t xml:space="preserve"> them to do so. 336 P.3d 367, 371-72 (Mont. 2014</w:t>
      </w:r>
      <w:proofErr w:type="gramStart"/>
      <w:r w:rsidRPr="00372501">
        <w:t>) (</w:t>
      </w:r>
      <w:r>
        <w:t>‘</w:t>
      </w:r>
      <w:proofErr w:type="gramEnd"/>
      <w:r w:rsidRPr="00372501">
        <w:t>[T]</w:t>
      </w:r>
      <w:proofErr w:type="gramStart"/>
      <w:r w:rsidRPr="00372501">
        <w:t>he</w:t>
      </w:r>
      <w:proofErr w:type="gramEnd"/>
      <w:r w:rsidRPr="00372501">
        <w:t xml:space="preserve"> by-laws are altogether silent on the suspension of [fire district] members.</w:t>
      </w:r>
      <w:r>
        <w:t>’</w:t>
      </w:r>
      <w:r w:rsidRPr="00372501">
        <w:t xml:space="preserve">). Although </w:t>
      </w:r>
      <w:r w:rsidRPr="00372501">
        <w:rPr>
          <w:i/>
          <w:iCs/>
        </w:rPr>
        <w:t>Robertson</w:t>
      </w:r>
      <w:r w:rsidRPr="00372501">
        <w:t xml:space="preserve"> was decided in the context of a criminal trespass charge, </w:t>
      </w:r>
      <w:r w:rsidRPr="00372501">
        <w:rPr>
          <w:i/>
          <w:iCs/>
        </w:rPr>
        <w:t>see id,</w:t>
      </w:r>
      <w:r w:rsidRPr="00372501">
        <w:t xml:space="preserve"> the Court's reasoning indicates that, depending on the precise language in their bylaws, Board Members may not have had the authority to terminate Hoel at will. If the bylaws contain for-cause protections or specific removal criteria, they could create a reasonable expectation of continued volunteer status. Viewing Hoel's allegations in the light most favorable to him, as required at this stage of the proceeding, he has alleged a plausible claim that a protected property interest exists.</w:t>
      </w:r>
      <w:r>
        <w:t>”</w:t>
      </w:r>
    </w:p>
    <w:p w14:paraId="09D00CE8" w14:textId="77777777" w:rsidR="005A4098" w:rsidRDefault="005A4098" w:rsidP="005A4098">
      <w:pPr>
        <w:pStyle w:val="NoSpacing"/>
      </w:pPr>
    </w:p>
    <w:p w14:paraId="0D8BD0C3" w14:textId="77777777" w:rsidR="005A4098" w:rsidRPr="004A6680" w:rsidRDefault="005A4098" w:rsidP="005A4098">
      <w:pPr>
        <w:pStyle w:val="NoSpacing"/>
        <w:rPr>
          <w:b/>
          <w:bCs/>
        </w:rPr>
      </w:pPr>
      <w:r>
        <w:rPr>
          <w:b/>
        </w:rPr>
        <w:lastRenderedPageBreak/>
        <w:t>Legal lesson learned: State laws control whether volunteer firefighters have a right to due process hearing before Fire Board; providing such a hearing can help avoid litigation such as this case.</w:t>
      </w:r>
    </w:p>
    <w:p w14:paraId="47D49052" w14:textId="77777777" w:rsidR="005A4098" w:rsidRPr="0034231D" w:rsidRDefault="005A4098" w:rsidP="005A4098">
      <w:pPr>
        <w:pStyle w:val="NoSpacing"/>
      </w:pPr>
      <w:r w:rsidRPr="0034231D">
        <w:t xml:space="preserve"> </w:t>
      </w:r>
    </w:p>
    <w:p w14:paraId="4E403929" w14:textId="77777777" w:rsidR="005A4098" w:rsidRDefault="005A4098" w:rsidP="00DA3352">
      <w:pPr>
        <w:pStyle w:val="NoSpacing"/>
        <w:rPr>
          <w:rFonts w:ascii="Arial Black" w:hAnsi="Arial Black"/>
          <w:b/>
          <w:sz w:val="24"/>
          <w:szCs w:val="24"/>
        </w:rPr>
      </w:pPr>
    </w:p>
    <w:p w14:paraId="4060FC99" w14:textId="3B096321" w:rsidR="000676A0" w:rsidRDefault="000676A0" w:rsidP="000676A0">
      <w:pPr>
        <w:pStyle w:val="NoSpacing"/>
        <w:rPr>
          <w:rFonts w:ascii="Arial Black" w:hAnsi="Arial Black"/>
          <w:b/>
          <w:sz w:val="24"/>
          <w:szCs w:val="24"/>
        </w:rPr>
      </w:pPr>
      <w:r>
        <w:rPr>
          <w:rFonts w:ascii="Arial Black" w:hAnsi="Arial Black"/>
          <w:b/>
          <w:sz w:val="24"/>
          <w:szCs w:val="24"/>
        </w:rPr>
        <w:t>16-158 [also filed Chap. 18]</w:t>
      </w:r>
    </w:p>
    <w:p w14:paraId="6B51E8E8" w14:textId="77777777" w:rsidR="000676A0" w:rsidRDefault="000676A0" w:rsidP="00DA3352">
      <w:pPr>
        <w:pStyle w:val="NoSpacing"/>
        <w:rPr>
          <w:rFonts w:ascii="Arial Black" w:hAnsi="Arial Black"/>
          <w:b/>
          <w:sz w:val="24"/>
          <w:szCs w:val="24"/>
        </w:rPr>
      </w:pPr>
    </w:p>
    <w:p w14:paraId="25EB91F6" w14:textId="77777777" w:rsidR="005A4098" w:rsidRDefault="005A4098" w:rsidP="00DA3352">
      <w:pPr>
        <w:pStyle w:val="NoSpacing"/>
        <w:rPr>
          <w:rFonts w:ascii="Arial Black" w:hAnsi="Arial Black"/>
          <w:b/>
          <w:sz w:val="24"/>
          <w:szCs w:val="24"/>
        </w:rPr>
      </w:pPr>
    </w:p>
    <w:p w14:paraId="66AD47D2" w14:textId="77777777" w:rsidR="00E13167" w:rsidRPr="00554749" w:rsidRDefault="00E13167" w:rsidP="00E13167">
      <w:pPr>
        <w:pStyle w:val="NoSpacing"/>
        <w:rPr>
          <w:rFonts w:ascii="Arial Black" w:hAnsi="Arial Black"/>
          <w:sz w:val="28"/>
          <w:szCs w:val="28"/>
        </w:rPr>
      </w:pPr>
      <w:r>
        <w:rPr>
          <w:rFonts w:ascii="Arial Black" w:hAnsi="Arial Black"/>
          <w:sz w:val="28"/>
          <w:szCs w:val="28"/>
        </w:rPr>
        <w:t>CO: BABY “SAFE HAVEN LAW” – MOM STAYS “ANONYMOUS”</w:t>
      </w:r>
    </w:p>
    <w:p w14:paraId="20A93ACD" w14:textId="77777777" w:rsidR="00E13167" w:rsidRDefault="00E13167" w:rsidP="00E13167">
      <w:pPr>
        <w:pStyle w:val="NoSpacing"/>
      </w:pPr>
    </w:p>
    <w:p w14:paraId="17419973" w14:textId="77777777" w:rsidR="00E13167" w:rsidRDefault="00E13167" w:rsidP="00E13167">
      <w:r>
        <w:t xml:space="preserve">On June 8, 2026, </w:t>
      </w:r>
      <w:r w:rsidRPr="0018279B">
        <w:rPr>
          <w:u w:val="single"/>
        </w:rPr>
        <w:t>In Re The People of the State of Colorado, In The Interest of Minor Child:</w:t>
      </w:r>
      <w:r>
        <w:rPr>
          <w:u w:val="single"/>
        </w:rPr>
        <w:t xml:space="preserve"> </w:t>
      </w:r>
      <w:r w:rsidRPr="0018279B">
        <w:rPr>
          <w:u w:val="single"/>
        </w:rPr>
        <w:t>G.D.M. v. Morgan County Department of Human Services</w:t>
      </w:r>
      <w:r>
        <w:t xml:space="preserve">, </w:t>
      </w:r>
      <w:r w:rsidRPr="0018279B">
        <w:t>the Supreme Court of Colorado, En Banc</w:t>
      </w:r>
      <w:r>
        <w:t xml:space="preserve"> (6 to 1) held that with baby born in ambulance in hospital parking lot, and mother told EMS she wanted to give the baby up for adoption, the County Department of Human Services had no right to know mother’s or father’s identity. The Court wrote: “</w:t>
      </w:r>
      <w:r w:rsidRPr="00B548EE">
        <w:t>Together, these tools of construction speak in a quiet but unmistakable voice, leading us to infer that parents who avail themselves of this law are entitled to anonymity and confidentiality.</w:t>
      </w:r>
      <w:r>
        <w:t xml:space="preserve">” </w:t>
      </w:r>
      <w:hyperlink r:id="rId2568" w:history="1">
        <w:r w:rsidRPr="003E6F82">
          <w:rPr>
            <w:rStyle w:val="Hyperlink"/>
          </w:rPr>
          <w:t>https://caselaw.findlaw.com/court/co-supreme-court/111256.html</w:t>
        </w:r>
      </w:hyperlink>
      <w:r>
        <w:t xml:space="preserve"> </w:t>
      </w:r>
    </w:p>
    <w:p w14:paraId="4AA8957C" w14:textId="77777777" w:rsidR="00E13167" w:rsidRDefault="00E13167" w:rsidP="00E13167">
      <w:pPr>
        <w:rPr>
          <w:b/>
        </w:rPr>
      </w:pPr>
    </w:p>
    <w:p w14:paraId="407BA58A" w14:textId="77777777" w:rsidR="00E13167" w:rsidRDefault="00E13167" w:rsidP="00E13167">
      <w:pPr>
        <w:rPr>
          <w:b/>
        </w:rPr>
      </w:pPr>
      <w:r>
        <w:rPr>
          <w:b/>
        </w:rPr>
        <w:t>FACTS:</w:t>
      </w:r>
    </w:p>
    <w:p w14:paraId="628A83C2" w14:textId="77777777" w:rsidR="00E13167" w:rsidRPr="00CA4A65" w:rsidRDefault="00E13167" w:rsidP="00E13167">
      <w:pPr>
        <w:pStyle w:val="NoSpacing"/>
      </w:pPr>
      <w:r>
        <w:t>“</w:t>
      </w:r>
      <w:r w:rsidRPr="00CA4A65">
        <w:t>In this case, M.O.M. (</w:t>
      </w:r>
      <w:r>
        <w:t>‘</w:t>
      </w:r>
      <w:r w:rsidRPr="00CA4A65">
        <w:t>Birth Mother</w:t>
      </w:r>
      <w:r>
        <w:t>’</w:t>
      </w:r>
      <w:r w:rsidRPr="00CA4A65">
        <w:t xml:space="preserve">) gave birth to G.D.M. in the back of an ambulance in the parking lot of a hospital. She immediately told medical staff that she neither wanted nor had the means to care for G.D.M. She added that the baby's father was not in the picture, so she wanted to give the baby up for adoption. </w:t>
      </w:r>
    </w:p>
    <w:p w14:paraId="76EDA781" w14:textId="77777777" w:rsidR="00E13167" w:rsidRDefault="00E13167" w:rsidP="00E13167">
      <w:pPr>
        <w:pStyle w:val="NoSpacing"/>
      </w:pPr>
      <w:r w:rsidRPr="00CA4A65">
        <w:t>       </w:t>
      </w:r>
    </w:p>
    <w:p w14:paraId="163FEDA3" w14:textId="77777777" w:rsidR="00E13167" w:rsidRDefault="00E13167" w:rsidP="00E13167">
      <w:pPr>
        <w:pStyle w:val="NoSpacing"/>
      </w:pPr>
      <w:r w:rsidRPr="00CA4A65">
        <w:t xml:space="preserve">The Morgan County Department of Human </w:t>
      </w:r>
      <w:proofErr w:type="gramStart"/>
      <w:r w:rsidRPr="00CA4A65">
        <w:t>Services (</w:t>
      </w:r>
      <w:r>
        <w:t>‘</w:t>
      </w:r>
      <w:r w:rsidRPr="00CA4A65">
        <w:t>MCDHS</w:t>
      </w:r>
      <w:r>
        <w:t>’</w:t>
      </w:r>
      <w:r w:rsidRPr="00CA4A65">
        <w:t>)</w:t>
      </w:r>
      <w:proofErr w:type="gramEnd"/>
      <w:r w:rsidRPr="00CA4A65">
        <w:t xml:space="preserve"> promptly initiated this dependency or </w:t>
      </w:r>
      <w:proofErr w:type="gramStart"/>
      <w:r w:rsidRPr="00CA4A65">
        <w:t>neglect</w:t>
      </w:r>
      <w:proofErr w:type="gramEnd"/>
      <w:r w:rsidRPr="00CA4A65">
        <w:t xml:space="preserve"> proceeding. Treating this case like any other abandonment matter, MCDHS </w:t>
      </w:r>
      <w:proofErr w:type="gramStart"/>
      <w:r w:rsidRPr="00CA4A65">
        <w:t>conducted an investigation</w:t>
      </w:r>
      <w:proofErr w:type="gramEnd"/>
      <w:r w:rsidRPr="00CA4A65">
        <w:t xml:space="preserve"> and, after discovering Birth Mother's identity, undertook </w:t>
      </w:r>
      <w:r>
        <w:t>‘</w:t>
      </w:r>
      <w:r w:rsidRPr="00CA4A65">
        <w:t xml:space="preserve">due </w:t>
      </w:r>
      <w:proofErr w:type="gramStart"/>
      <w:r w:rsidRPr="00CA4A65">
        <w:t>diligence</w:t>
      </w:r>
      <w:r>
        <w:t>’</w:t>
      </w:r>
      <w:proofErr w:type="gramEnd"/>
      <w:r>
        <w:t xml:space="preserve"> </w:t>
      </w:r>
      <w:r w:rsidRPr="00CA4A65">
        <w:t xml:space="preserve">efforts by contacting her family members in search of appropriate placement options. When the juvenile court realized what was occurring, it intervened to </w:t>
      </w:r>
      <w:proofErr w:type="gramStart"/>
      <w:r w:rsidRPr="00CA4A65">
        <w:t>course correct</w:t>
      </w:r>
      <w:proofErr w:type="gramEnd"/>
      <w:r w:rsidRPr="00CA4A65">
        <w:t xml:space="preserve"> by written order. The </w:t>
      </w:r>
      <w:r>
        <w:t xml:space="preserve"> </w:t>
      </w:r>
      <w:r w:rsidRPr="00CA4A65">
        <w:t>court halted MCDHS's efforts, concluding that Birth Mother had a right to anonymity and confidentiality under the Safe Haven Law.</w:t>
      </w:r>
    </w:p>
    <w:p w14:paraId="2D8C3DBD" w14:textId="77777777" w:rsidR="00E13167" w:rsidRDefault="00E13167" w:rsidP="00E13167">
      <w:pPr>
        <w:pStyle w:val="NoSpacing"/>
      </w:pPr>
    </w:p>
    <w:p w14:paraId="782945FC" w14:textId="77777777" w:rsidR="00E13167" w:rsidRDefault="00E13167" w:rsidP="00E13167">
      <w:pPr>
        <w:pStyle w:val="NoSpacing"/>
      </w:pPr>
      <w:r w:rsidRPr="00DC2200">
        <w:t>MCDHS disagreed. It filed a C.A.R. 21 petition asking us to shed light on the question, and we issued an order to show cause. MCDHS contends that the juvenile court went astray in determining that Birth Mother is entitled to anonymity and confidentiality under the Safe Haven Law. As a result, MCDHS asserts, the court improperly blocked its efforts to identify appropriate placement options for G.D.M. among Birth Mother's family members</w:t>
      </w:r>
      <w:r>
        <w:t xml:space="preserve">.” </w:t>
      </w:r>
    </w:p>
    <w:p w14:paraId="626EDBF1" w14:textId="77777777" w:rsidR="00E13167" w:rsidRDefault="00E13167" w:rsidP="00E13167">
      <w:pPr>
        <w:pStyle w:val="NoSpacing"/>
      </w:pPr>
    </w:p>
    <w:p w14:paraId="51F88F15" w14:textId="77777777" w:rsidR="00E13167" w:rsidRDefault="00E13167" w:rsidP="00E13167">
      <w:pPr>
        <w:pStyle w:val="NoSpacing"/>
        <w:rPr>
          <w:b/>
          <w:bCs/>
        </w:rPr>
      </w:pPr>
      <w:r w:rsidRPr="001F38F4">
        <w:rPr>
          <w:b/>
        </w:rPr>
        <w:t xml:space="preserve">COURT HELD: </w:t>
      </w:r>
    </w:p>
    <w:p w14:paraId="4795ECFF" w14:textId="77777777" w:rsidR="00E13167" w:rsidRDefault="00E13167" w:rsidP="00E13167">
      <w:pPr>
        <w:pStyle w:val="NoSpacing"/>
        <w:rPr>
          <w:b/>
          <w:bCs/>
        </w:rPr>
      </w:pPr>
    </w:p>
    <w:p w14:paraId="5DB1E0B4" w14:textId="77777777" w:rsidR="00E13167" w:rsidRDefault="00E13167" w:rsidP="00E13167">
      <w:pPr>
        <w:pStyle w:val="NoSpacing"/>
      </w:pPr>
      <w:r>
        <w:t>“</w:t>
      </w:r>
      <w:r w:rsidRPr="0090196A">
        <w:t xml:space="preserve">Colorado's Safe Haven Law, section 19-3-304.5(1)(b), C.R.S. (2025), affords parents of newborns a vital refuge: It allows them to voluntarily relinquish a child who is seventy-two hours old or younger into the protective hands of either a firefighter (when the firefighter is at a fire station) or certain hospital or clinic staff members (when they are at a hospital or community clinic emergency center), as long as the parent does </w:t>
      </w:r>
      <w:r>
        <w:t>‘</w:t>
      </w:r>
      <w:r w:rsidRPr="0090196A">
        <w:t>not express an intent to return for the child.</w:t>
      </w:r>
      <w:r>
        <w:t>’</w:t>
      </w:r>
      <w:r w:rsidRPr="0090196A">
        <w:t xml:space="preserve"> In extending this lifeline, the legislature also provided an assurance: Any parent who takes advantage of the Safe Haven Law</w:t>
      </w:r>
      <w:r>
        <w:t xml:space="preserve">’ </w:t>
      </w:r>
      <w:r w:rsidRPr="0090196A">
        <w:t>shall not, for that reason alone, be found to be responsible in a confirmed report of abuse or neglect.</w:t>
      </w:r>
      <w:r>
        <w:t>’</w:t>
      </w:r>
      <w:r w:rsidRPr="0090196A">
        <w:t xml:space="preserve"> § 19-3-304.5(8). </w:t>
      </w:r>
    </w:p>
    <w:p w14:paraId="0C065314" w14:textId="77777777" w:rsidR="00E13167" w:rsidRDefault="00E13167" w:rsidP="00E13167">
      <w:pPr>
        <w:pStyle w:val="NoSpacing"/>
      </w:pPr>
    </w:p>
    <w:p w14:paraId="69ADD924" w14:textId="77777777" w:rsidR="00E13167" w:rsidRDefault="00E13167" w:rsidP="00E13167">
      <w:pPr>
        <w:pStyle w:val="NoSpacing"/>
      </w:pPr>
      <w:r>
        <w:t>***</w:t>
      </w:r>
    </w:p>
    <w:p w14:paraId="4D7020BB" w14:textId="77777777" w:rsidR="00E13167" w:rsidRDefault="00E13167" w:rsidP="00E13167">
      <w:pPr>
        <w:pStyle w:val="NoSpacing"/>
      </w:pPr>
      <w:r w:rsidRPr="0082533A">
        <w:t>In short, the statute's broader provisions and the architecture they blueprint signal that the legislature meant to bestow a parent who properly invokes the Safe Haven Law with anonymity and confidentiality.</w:t>
      </w:r>
      <w:r>
        <w:t>”</w:t>
      </w:r>
    </w:p>
    <w:p w14:paraId="61A479ED" w14:textId="77777777" w:rsidR="00E13167" w:rsidRDefault="00E13167" w:rsidP="00E13167">
      <w:pPr>
        <w:pStyle w:val="NoSpacing"/>
      </w:pPr>
    </w:p>
    <w:p w14:paraId="7DE66AAF" w14:textId="77777777" w:rsidR="00E13167" w:rsidRDefault="00E13167" w:rsidP="00E13167">
      <w:pPr>
        <w:pStyle w:val="NoSpacing"/>
        <w:rPr>
          <w:b/>
          <w:bCs/>
        </w:rPr>
      </w:pPr>
      <w:r w:rsidRPr="0082533A">
        <w:rPr>
          <w:b/>
        </w:rPr>
        <w:t xml:space="preserve">Legal lesson learned: </w:t>
      </w:r>
      <w:r>
        <w:rPr>
          <w:b/>
        </w:rPr>
        <w:t xml:space="preserve">Excellent decision; helpful if statutes are explicit that mother can remain anonymous. </w:t>
      </w:r>
    </w:p>
    <w:p w14:paraId="78F8478C" w14:textId="77777777" w:rsidR="00E13167" w:rsidRDefault="00E13167" w:rsidP="00DA3352">
      <w:pPr>
        <w:pStyle w:val="NoSpacing"/>
        <w:rPr>
          <w:rFonts w:ascii="Arial Black" w:hAnsi="Arial Black"/>
          <w:b/>
          <w:sz w:val="24"/>
          <w:szCs w:val="24"/>
        </w:rPr>
      </w:pPr>
    </w:p>
    <w:p w14:paraId="4157AD52" w14:textId="77777777" w:rsidR="00E13167" w:rsidRDefault="00E13167" w:rsidP="00DA3352">
      <w:pPr>
        <w:pStyle w:val="NoSpacing"/>
        <w:rPr>
          <w:rFonts w:ascii="Arial Black" w:hAnsi="Arial Black"/>
          <w:b/>
          <w:sz w:val="24"/>
          <w:szCs w:val="24"/>
        </w:rPr>
      </w:pPr>
    </w:p>
    <w:p w14:paraId="47D237A3" w14:textId="77777777" w:rsidR="00E13167" w:rsidRDefault="00E13167" w:rsidP="00DA3352">
      <w:pPr>
        <w:pStyle w:val="NoSpacing"/>
        <w:rPr>
          <w:rFonts w:ascii="Arial Black" w:hAnsi="Arial Black"/>
          <w:b/>
          <w:sz w:val="24"/>
          <w:szCs w:val="24"/>
        </w:rPr>
      </w:pPr>
    </w:p>
    <w:p w14:paraId="5116A0AD" w14:textId="5BA0EDDE" w:rsidR="0049781A" w:rsidRDefault="009A2956" w:rsidP="00DA3352">
      <w:pPr>
        <w:pStyle w:val="NoSpacing"/>
        <w:rPr>
          <w:rFonts w:ascii="Arial Black" w:hAnsi="Arial Black"/>
          <w:b/>
          <w:sz w:val="24"/>
          <w:szCs w:val="24"/>
        </w:rPr>
      </w:pPr>
      <w:r>
        <w:rPr>
          <w:rFonts w:ascii="Arial Black" w:hAnsi="Arial Black"/>
          <w:b/>
          <w:sz w:val="24"/>
          <w:szCs w:val="24"/>
        </w:rPr>
        <w:t>16-158</w:t>
      </w:r>
    </w:p>
    <w:p w14:paraId="6B0E59AD" w14:textId="77777777" w:rsidR="00F72BA0" w:rsidRDefault="00F72BA0" w:rsidP="00DA3352">
      <w:pPr>
        <w:pStyle w:val="NoSpacing"/>
        <w:rPr>
          <w:rFonts w:ascii="Arial Black" w:hAnsi="Arial Black"/>
          <w:b/>
          <w:sz w:val="24"/>
          <w:szCs w:val="24"/>
        </w:rPr>
      </w:pPr>
    </w:p>
    <w:p w14:paraId="7E9BC879" w14:textId="77777777" w:rsidR="0042436E" w:rsidRPr="00AE5143" w:rsidRDefault="0042436E" w:rsidP="0042436E">
      <w:pPr>
        <w:rPr>
          <w:rFonts w:ascii="Arial Black" w:hAnsi="Arial Black"/>
          <w:b/>
          <w:sz w:val="28"/>
          <w:szCs w:val="28"/>
        </w:rPr>
      </w:pPr>
      <w:r>
        <w:rPr>
          <w:rFonts w:ascii="Arial Black" w:hAnsi="Arial Black"/>
          <w:b/>
          <w:sz w:val="28"/>
          <w:szCs w:val="28"/>
        </w:rPr>
        <w:t>OH: GEORGE FLOYD UNREST / FF “STAND ON THEIR NECK”</w:t>
      </w:r>
    </w:p>
    <w:p w14:paraId="3966D374" w14:textId="77777777" w:rsidR="0042436E" w:rsidRPr="00F86093" w:rsidRDefault="0042436E" w:rsidP="0042436E">
      <w:pPr>
        <w:pStyle w:val="NoSpacing"/>
        <w:rPr>
          <w:bCs/>
        </w:rPr>
      </w:pPr>
      <w:r w:rsidRPr="00321167">
        <w:t xml:space="preserve">On May 28, 2026, in </w:t>
      </w:r>
      <w:r w:rsidRPr="004F629C">
        <w:rPr>
          <w:u w:val="single"/>
        </w:rPr>
        <w:t xml:space="preserve">Robin Garrison v. City of Columbus, </w:t>
      </w:r>
      <w:r w:rsidRPr="00321167">
        <w:rPr>
          <w:u w:val="single"/>
        </w:rPr>
        <w:t>et al.</w:t>
      </w:r>
      <w:r w:rsidRPr="00321167">
        <w:t xml:space="preserve">, </w:t>
      </w:r>
      <w:r>
        <w:t xml:space="preserve">the </w:t>
      </w:r>
      <w:r w:rsidRPr="00737AF0">
        <w:t>Court of Appeals of Ohio, Tenth District</w:t>
      </w:r>
      <w:r>
        <w:t xml:space="preserve"> held (3 to 0) that he was properly fired. During civil unrest in Columbus after George Floyd was killed in Minneapolis, Mr. Garrison was on duty in the Columbus FD Fire Alarm Office and told fellow firefighters (including black female firefighter) on May 31, 2020: “Just stand on their neck and wait until they get there. It will be okay.”  His Lieutenant immediately took him out of the room to “deescalate the situation” and submitted a report and ordered him to counseling.  THE COURT WROTE: “Upon review, we conclude that the common pleas court’s reasoning and finding that Garrison violated the City’s rules and anti-harassment policy is sound. Here, there is no dispute that Garrison made the ‘stand on their </w:t>
      </w:r>
      <w:proofErr w:type="gramStart"/>
      <w:r>
        <w:t>neck’</w:t>
      </w:r>
      <w:proofErr w:type="gramEnd"/>
      <w:r>
        <w:t xml:space="preserve"> comment. Even outside the context of the protests, Garrison’s ‘stand on their neck’ comment in a room full of firefighters, one of which is African American, condones abusive or violent behavior. However, we cannot look at the statement in isolation. As aptly contextualized by the common pleas court, Garrison’s comment occurred during a period ‘when protests were breaking out all over the country, including in Columbus, and only days after the murder of George Floyd, an </w:t>
      </w:r>
      <w:proofErr w:type="gramStart"/>
      <w:r>
        <w:t>African-American</w:t>
      </w:r>
      <w:proofErr w:type="gramEnd"/>
      <w:r>
        <w:t xml:space="preserve">, by a Minneapolis police officer who stepped on his neck.’… Garrison explained that he intended the statement to be heard by others as a ‘joke’ to lighten the mood during a tense period. Implicit in Garrison’s testimony is the admission that he wanted the individuals in the FAO to hear the remark. The fact that the comment was not ‘directed’ at any one person is immaterial as the comment was intended for everyone in the FAO, which includes Finnegan, at that time. Therefore, the context of the comment, i.e. during the George Floyd protests, only compounds the abhorrent nature of the remark.” </w:t>
      </w:r>
      <w:hyperlink r:id="rId2569" w:history="1">
        <w:r w:rsidRPr="00F86093">
          <w:rPr>
            <w:rStyle w:val="Hyperlink"/>
          </w:rPr>
          <w:t>https://www.supremecourt.ohio.gov/rod/docs/pdf/10/2026/2026-Ohio-1981.pdf</w:t>
        </w:r>
      </w:hyperlink>
    </w:p>
    <w:p w14:paraId="38CAC89B" w14:textId="77777777" w:rsidR="0042436E" w:rsidRDefault="0042436E" w:rsidP="0042436E">
      <w:pPr>
        <w:pStyle w:val="NoSpacing"/>
      </w:pPr>
      <w:r>
        <w:t xml:space="preserve"> </w:t>
      </w:r>
    </w:p>
    <w:p w14:paraId="567EB661" w14:textId="77777777" w:rsidR="0042436E" w:rsidRDefault="0042436E" w:rsidP="0042436E">
      <w:pPr>
        <w:pStyle w:val="NoSpacing"/>
      </w:pPr>
      <w:r>
        <w:t>THE COURT HELD:</w:t>
      </w:r>
    </w:p>
    <w:p w14:paraId="5627796F" w14:textId="77777777" w:rsidR="0042436E" w:rsidRDefault="0042436E" w:rsidP="0042436E">
      <w:pPr>
        <w:pStyle w:val="NoSpacing"/>
      </w:pPr>
    </w:p>
    <w:p w14:paraId="436A7B21" w14:textId="77777777" w:rsidR="0042436E" w:rsidRDefault="0042436E" w:rsidP="0042436E">
      <w:pPr>
        <w:pStyle w:val="NoSpacing"/>
        <w:ind w:firstLine="720"/>
      </w:pPr>
      <w:r>
        <w:t>“Elizabeth Finnegan, an African American woman, worked with Garrison in</w:t>
      </w:r>
    </w:p>
    <w:p w14:paraId="670278BA" w14:textId="77777777" w:rsidR="0042436E" w:rsidRDefault="0042436E" w:rsidP="0042436E">
      <w:pPr>
        <w:pStyle w:val="NoSpacing"/>
        <w:ind w:left="720"/>
      </w:pPr>
      <w:r>
        <w:t>the FAO on May 31, 2020…. On the date of the incident, Finnegan recalled</w:t>
      </w:r>
    </w:p>
    <w:p w14:paraId="64DE6C4F" w14:textId="77777777" w:rsidR="0042436E" w:rsidRDefault="0042436E" w:rsidP="0042436E">
      <w:pPr>
        <w:pStyle w:val="NoSpacing"/>
        <w:ind w:left="720"/>
      </w:pPr>
      <w:r>
        <w:t xml:space="preserve">there were protests all around Columbus in response to the murder of George Floyd….Finnegan commented that ‘it was hard to believe that in 2020 we were dealing with incidents like that.’ … During the May 31, </w:t>
      </w:r>
      <w:proofErr w:type="gramStart"/>
      <w:r>
        <w:t>2020</w:t>
      </w:r>
      <w:proofErr w:type="gramEnd"/>
      <w:r>
        <w:t xml:space="preserve"> shift, Finnegan was stationed</w:t>
      </w:r>
    </w:p>
    <w:p w14:paraId="43EDEC63" w14:textId="77777777" w:rsidR="0042436E" w:rsidRDefault="0042436E" w:rsidP="0042436E">
      <w:pPr>
        <w:pStyle w:val="NoSpacing"/>
        <w:ind w:left="720"/>
      </w:pPr>
      <w:r>
        <w:t>close to Garrison and recalled that an officer with Engine 15 asked for an estimated time of arrival on a row one and law enforcement….  After Garrison ended the call, he</w:t>
      </w:r>
    </w:p>
    <w:p w14:paraId="19927C11" w14:textId="77777777" w:rsidR="0042436E" w:rsidRPr="007131C1" w:rsidRDefault="0042436E" w:rsidP="0042436E">
      <w:pPr>
        <w:pStyle w:val="NoSpacing"/>
        <w:ind w:firstLine="720"/>
      </w:pPr>
      <w:r>
        <w:t>stated, ‘Just stand on their neck and wait until they get there</w:t>
      </w:r>
      <w:proofErr w:type="gramStart"/>
      <w:r>
        <w:t>.</w:t>
      </w:r>
      <w:proofErr w:type="gramEnd"/>
      <w:r>
        <w:t xml:space="preserve"> It will be okay.’ … </w:t>
      </w:r>
    </w:p>
    <w:p w14:paraId="23AE5372" w14:textId="77777777" w:rsidR="0042436E" w:rsidRDefault="0042436E" w:rsidP="0042436E">
      <w:pPr>
        <w:pStyle w:val="NoSpacing"/>
        <w:ind w:firstLine="720"/>
      </w:pPr>
      <w:r w:rsidRPr="003B0139">
        <w:t>Finnegan was interviewed by internal affairs soon after the incident.</w:t>
      </w:r>
    </w:p>
    <w:p w14:paraId="71C409E3" w14:textId="77777777" w:rsidR="0042436E" w:rsidRDefault="0042436E" w:rsidP="0042436E">
      <w:pPr>
        <w:pStyle w:val="NoSpacing"/>
        <w:ind w:firstLine="720"/>
      </w:pPr>
    </w:p>
    <w:p w14:paraId="08BC42A1" w14:textId="77777777" w:rsidR="0042436E" w:rsidRDefault="0042436E" w:rsidP="0042436E">
      <w:pPr>
        <w:pStyle w:val="NoSpacing"/>
        <w:ind w:firstLine="720"/>
      </w:pPr>
      <w:r>
        <w:t>***</w:t>
      </w:r>
    </w:p>
    <w:p w14:paraId="3954C306" w14:textId="77777777" w:rsidR="0042436E" w:rsidRDefault="0042436E" w:rsidP="0042436E">
      <w:pPr>
        <w:pStyle w:val="NoSpacing"/>
        <w:ind w:left="720"/>
      </w:pPr>
      <w:r>
        <w:t>Keller is a FAO lieutenant for the Columbus Division of Fire…. Keller recalled that Garrison ‘made a statement or a comment referring to standing on someone’s neck.’…  After the statement, Keller removed Garrison from the room to deescalate the situation…. Keller told Garrison that the statement was offensive and unprofessional, which Garrison agreed…. Keller recalled that Garrison later apologized for the comment to the entire room…. Keller gave Garrison a ‘form PI-17’ for counseling to ‘go over the rules, show him the rules that he broke.’… Keller was not involved in the subsequent investigation or decision to discipline Garrison for the incident.”</w:t>
      </w:r>
    </w:p>
    <w:p w14:paraId="03CAA14A" w14:textId="77777777" w:rsidR="0042436E" w:rsidRDefault="0042436E" w:rsidP="0042436E">
      <w:pPr>
        <w:pStyle w:val="NoSpacing"/>
        <w:ind w:left="720"/>
      </w:pPr>
    </w:p>
    <w:p w14:paraId="0F9A3AC6" w14:textId="77777777" w:rsidR="0042436E" w:rsidRDefault="0042436E" w:rsidP="0042436E">
      <w:pPr>
        <w:pStyle w:val="NoSpacing"/>
        <w:rPr>
          <w:b/>
          <w:bCs/>
        </w:rPr>
      </w:pPr>
      <w:r>
        <w:rPr>
          <w:b/>
        </w:rPr>
        <w:t>Legal lesson learned: Court made it clear that comments that can be viewed as “</w:t>
      </w:r>
      <w:r w:rsidRPr="00106A51">
        <w:rPr>
          <w:b/>
        </w:rPr>
        <w:t>abusive or violent behavior</w:t>
      </w:r>
      <w:r>
        <w:rPr>
          <w:b/>
        </w:rPr>
        <w:t xml:space="preserve">” can lead to termination. </w:t>
      </w:r>
    </w:p>
    <w:p w14:paraId="2ACD7BD2" w14:textId="77777777" w:rsidR="0042436E" w:rsidRDefault="0042436E" w:rsidP="0042436E">
      <w:pPr>
        <w:pStyle w:val="NoSpacing"/>
        <w:rPr>
          <w:b/>
          <w:bCs/>
        </w:rPr>
      </w:pPr>
    </w:p>
    <w:p w14:paraId="2814027B" w14:textId="77777777" w:rsidR="0042436E" w:rsidRPr="005C75EE" w:rsidRDefault="0042436E" w:rsidP="0042436E">
      <w:pPr>
        <w:pStyle w:val="NoSpacing"/>
      </w:pPr>
      <w:r>
        <w:rPr>
          <w:b/>
        </w:rPr>
        <w:tab/>
      </w:r>
      <w:r w:rsidRPr="005C75EE">
        <w:t xml:space="preserve">Note: The firefighter had previously been on a “last chance agreement.” </w:t>
      </w:r>
    </w:p>
    <w:p w14:paraId="22AFDE56" w14:textId="77777777" w:rsidR="0042436E" w:rsidRDefault="0042436E" w:rsidP="0042436E">
      <w:pPr>
        <w:pStyle w:val="NoSpacing"/>
        <w:ind w:left="720"/>
      </w:pPr>
    </w:p>
    <w:p w14:paraId="4FF13ED1" w14:textId="77777777" w:rsidR="0042436E" w:rsidRDefault="0042436E" w:rsidP="0042436E">
      <w:pPr>
        <w:pStyle w:val="NoSpacing"/>
        <w:ind w:left="1440"/>
      </w:pPr>
      <w:r>
        <w:lastRenderedPageBreak/>
        <w:t>“On redirect [at Civil Service Commission hearing], [</w:t>
      </w:r>
      <w:r w:rsidRPr="006159CA">
        <w:t>Assistant Chief David</w:t>
      </w:r>
      <w:r>
        <w:t xml:space="preserve">] Baugh stated that he was aware of Garrison’s multiple disciplinary infractions prior to these two incidents…. ‘One was dishonesty regarding where he was </w:t>
      </w:r>
      <w:proofErr w:type="gramStart"/>
      <w:r>
        <w:t>at for</w:t>
      </w:r>
      <w:proofErr w:type="gramEnd"/>
      <w:r>
        <w:t xml:space="preserve"> work, and he served 48-hour suspension. And the other was an incident that involved him exposing himself to a civilian while in uniform. And by exposing himself, I mean exposing his genitals to a civilian while in uniform. And he was offered a last chance agreement for a certain time frame.’ … That last chance agreement had expired by the time of these new cases.</w:t>
      </w:r>
    </w:p>
    <w:p w14:paraId="7503ACE4" w14:textId="77777777" w:rsidR="0042436E" w:rsidRDefault="0042436E" w:rsidP="0042436E">
      <w:pPr>
        <w:pStyle w:val="NoSpacing"/>
        <w:ind w:left="720"/>
      </w:pPr>
    </w:p>
    <w:p w14:paraId="290CA648" w14:textId="77777777" w:rsidR="0042436E" w:rsidRDefault="0042436E" w:rsidP="0042436E">
      <w:pPr>
        <w:pStyle w:val="NoSpacing"/>
      </w:pPr>
    </w:p>
    <w:p w14:paraId="6553F0F2" w14:textId="77777777" w:rsidR="0042436E" w:rsidRDefault="0042436E" w:rsidP="0042436E">
      <w:pPr>
        <w:pStyle w:val="NoSpacing"/>
      </w:pPr>
    </w:p>
    <w:p w14:paraId="5ECE069E" w14:textId="0B94ECC3" w:rsidR="0042436E" w:rsidRDefault="00F72BA0" w:rsidP="0042436E">
      <w:pPr>
        <w:pStyle w:val="NoSpacing"/>
        <w:rPr>
          <w:rFonts w:ascii="Arial Black" w:hAnsi="Arial Black"/>
          <w:b/>
          <w:sz w:val="24"/>
          <w:szCs w:val="24"/>
        </w:rPr>
      </w:pPr>
      <w:r>
        <w:rPr>
          <w:rFonts w:ascii="Arial Black" w:hAnsi="Arial Black"/>
          <w:b/>
          <w:sz w:val="24"/>
          <w:szCs w:val="24"/>
        </w:rPr>
        <w:t>16-157</w:t>
      </w:r>
    </w:p>
    <w:p w14:paraId="53E0766E" w14:textId="77777777" w:rsidR="00F72BA0" w:rsidRDefault="00F72BA0" w:rsidP="0042436E">
      <w:pPr>
        <w:pStyle w:val="NoSpacing"/>
        <w:rPr>
          <w:rFonts w:ascii="Arial Black" w:hAnsi="Arial Black"/>
          <w:b/>
          <w:bCs/>
          <w:sz w:val="28"/>
          <w:szCs w:val="28"/>
        </w:rPr>
      </w:pPr>
    </w:p>
    <w:p w14:paraId="20E0CABE" w14:textId="77777777" w:rsidR="0042436E" w:rsidRDefault="0042436E" w:rsidP="0042436E">
      <w:pPr>
        <w:pStyle w:val="NoSpacing"/>
        <w:rPr>
          <w:rFonts w:ascii="Arial Black" w:hAnsi="Arial Black"/>
          <w:b/>
          <w:bCs/>
          <w:sz w:val="28"/>
          <w:szCs w:val="28"/>
        </w:rPr>
      </w:pPr>
      <w:r>
        <w:rPr>
          <w:rFonts w:ascii="Arial Black" w:hAnsi="Arial Black"/>
          <w:b/>
          <w:sz w:val="28"/>
          <w:szCs w:val="28"/>
        </w:rPr>
        <w:t>CA: ABSENCE WITHOUT LEAVE – FIRED – CASE DISMISSED</w:t>
      </w:r>
    </w:p>
    <w:p w14:paraId="6ACEB1B7" w14:textId="77777777" w:rsidR="0042436E" w:rsidRDefault="0042436E" w:rsidP="0042436E">
      <w:pPr>
        <w:pStyle w:val="NoSpacing"/>
        <w:rPr>
          <w:rFonts w:ascii="Arial Black" w:hAnsi="Arial Black"/>
          <w:b/>
          <w:bCs/>
          <w:sz w:val="28"/>
          <w:szCs w:val="28"/>
        </w:rPr>
      </w:pPr>
    </w:p>
    <w:p w14:paraId="16849964" w14:textId="77777777" w:rsidR="0042436E" w:rsidRPr="00530300" w:rsidRDefault="0042436E" w:rsidP="0042436E">
      <w:pPr>
        <w:pStyle w:val="NoSpacing"/>
      </w:pPr>
      <w:r w:rsidRPr="00864ACD">
        <w:t xml:space="preserve">On May 22, 2026, </w:t>
      </w:r>
      <w:r>
        <w:t xml:space="preserve">in </w:t>
      </w:r>
      <w:r w:rsidRPr="00864ACD">
        <w:rPr>
          <w:u w:val="single"/>
        </w:rPr>
        <w:t>Jason Casillas v. Department of Forestry and Fire Protection</w:t>
      </w:r>
      <w:r>
        <w:t xml:space="preserve">, U.S. District Court Judge </w:t>
      </w:r>
      <w:r w:rsidRPr="00440BB8">
        <w:t>Benjamin J. Cheeks</w:t>
      </w:r>
      <w:r>
        <w:t xml:space="preserve">, United States District Court for Southern District of California, grated Cal Fire’s motion to dismiss.  Absent without </w:t>
      </w:r>
      <w:proofErr w:type="gramStart"/>
      <w:r>
        <w:t>leave</w:t>
      </w:r>
      <w:proofErr w:type="gramEnd"/>
      <w:r>
        <w:t xml:space="preserve"> CAL FIRE Sandiego on </w:t>
      </w:r>
      <w:r w:rsidRPr="00940156">
        <w:t>September 1, 2024</w:t>
      </w:r>
      <w:r>
        <w:t xml:space="preserve">, and again on </w:t>
      </w:r>
      <w:r w:rsidRPr="00940156">
        <w:t>September 18, 2024</w:t>
      </w:r>
      <w:r>
        <w:t>; terminated on September 28, 2024.  THE COURT WROTE: “O</w:t>
      </w:r>
      <w:r w:rsidRPr="006425C2">
        <w:t>n September 28, 2024, Battalion Chief Clays (</w:t>
      </w:r>
      <w:r>
        <w:t>‘</w:t>
      </w:r>
      <w:r w:rsidRPr="006425C2">
        <w:t>Clays</w:t>
      </w:r>
      <w:r>
        <w:t>’</w:t>
      </w:r>
      <w:r w:rsidRPr="006425C2">
        <w:t>) served Plaintiff with two separate adverse action documents. The first was a Notice of Termination with Cause, and the second placed Plaintiff on Administrative Time Off</w:t>
      </w:r>
      <w:r>
        <w:t xml:space="preserve">…. </w:t>
      </w:r>
      <w:r w:rsidRPr="006425C2">
        <w:t>Plaintiff argues that the documentation violated CAL FIRE's Progressive Disciplinary Policy and Procedures because he did not receive a development plan to correct any mistakes before he received the Notice of Termination with Cause</w:t>
      </w:r>
      <w:r>
        <w:t xml:space="preserve">…. </w:t>
      </w:r>
      <w:r w:rsidRPr="00072792">
        <w:t>Accordingly, the Court finds that the Complaint fails to state a plausible claim for relief and grants Defendant's motion to dismiss without prejudice.</w:t>
      </w:r>
      <w:r>
        <w:t xml:space="preserve">” </w:t>
      </w:r>
      <w:hyperlink r:id="rId2570" w:history="1">
        <w:r w:rsidRPr="00530300">
          <w:rPr>
            <w:rStyle w:val="Hyperlink"/>
          </w:rPr>
          <w:t>https://public.fastcase.com/Jhe1Qn%2BmJndQYQU6z%2FeNm3FkCM2jWCAdlM1JWFE9c8I4cu8UE8nnROw9g8pQru3qX50wM6VA5Q6C6W7bTimjewt8baK5LV89G9hOJ3Hoqaw%3D?utm_medium=email&amp;_hsenc=p2ANqtz-_BuWF_rVxZJ_ThXodME56Qn02TlxXtEPZR0pM596-W86IiSz4xrEN_MpysqbI906jQkVOKXR9ddhRRIzUH7APhy4Ve8A&amp;_hsmi=226712652&amp;utm_content=226712652&amp;utm_source=hs_email</w:t>
        </w:r>
      </w:hyperlink>
      <w:r w:rsidRPr="00530300">
        <w:t xml:space="preserve"> </w:t>
      </w:r>
    </w:p>
    <w:p w14:paraId="77FD57FB" w14:textId="77777777" w:rsidR="0042436E" w:rsidRPr="00530300" w:rsidRDefault="0042436E" w:rsidP="0042436E">
      <w:pPr>
        <w:pStyle w:val="NoSpacing"/>
      </w:pPr>
      <w:r w:rsidRPr="00530300">
        <w:t xml:space="preserve"> </w:t>
      </w:r>
    </w:p>
    <w:p w14:paraId="4D254366" w14:textId="77777777" w:rsidR="0042436E" w:rsidRDefault="0042436E" w:rsidP="0042436E">
      <w:pPr>
        <w:pStyle w:val="NoSpacing"/>
      </w:pPr>
      <w:r>
        <w:t>THE COURT HELD:</w:t>
      </w:r>
    </w:p>
    <w:p w14:paraId="29978CC7" w14:textId="77777777" w:rsidR="0042436E" w:rsidRDefault="0042436E" w:rsidP="0042436E">
      <w:pPr>
        <w:pStyle w:val="NoSpacing"/>
      </w:pPr>
    </w:p>
    <w:p w14:paraId="36007746" w14:textId="77777777" w:rsidR="0042436E" w:rsidRPr="00940156" w:rsidRDefault="0042436E" w:rsidP="0042436E">
      <w:pPr>
        <w:pStyle w:val="NoSpacing"/>
        <w:ind w:left="720"/>
      </w:pPr>
      <w:r>
        <w:t>“</w:t>
      </w:r>
      <w:r w:rsidRPr="00940156">
        <w:t>Plaintiff claims that on August 31, 2024, he told Fire Captain Haven (</w:t>
      </w:r>
      <w:r>
        <w:t>‘</w:t>
      </w:r>
      <w:r w:rsidRPr="00940156">
        <w:t>Haven</w:t>
      </w:r>
      <w:r>
        <w:t>’</w:t>
      </w:r>
      <w:r w:rsidRPr="00940156">
        <w:t>) that he would not be coming to work on September 1, 2024</w:t>
      </w:r>
      <w:r>
        <w:t xml:space="preserve">…. </w:t>
      </w:r>
      <w:r w:rsidRPr="00940156">
        <w:t xml:space="preserve">On September 1, 2024, Plaintiff asserts that he told </w:t>
      </w:r>
      <w:r>
        <w:t xml:space="preserve">[Fire Captain] </w:t>
      </w:r>
      <w:proofErr w:type="spellStart"/>
      <w:r w:rsidRPr="00940156">
        <w:t>Woychak</w:t>
      </w:r>
      <w:proofErr w:type="spellEnd"/>
      <w:r w:rsidRPr="00940156">
        <w:t xml:space="preserve"> that he had given Haven notice that he would not be working that day. Yet, on September 15, 2024, </w:t>
      </w:r>
      <w:proofErr w:type="spellStart"/>
      <w:r w:rsidRPr="00940156">
        <w:t>Woychak</w:t>
      </w:r>
      <w:proofErr w:type="spellEnd"/>
      <w:r w:rsidRPr="00940156">
        <w:t xml:space="preserve"> told Plaintiff that he would be documented as </w:t>
      </w:r>
      <w:r>
        <w:t>‘</w:t>
      </w:r>
      <w:r w:rsidRPr="00940156">
        <w:t>absent without leave</w:t>
      </w:r>
      <w:r>
        <w:t>’</w:t>
      </w:r>
      <w:r w:rsidRPr="00940156">
        <w:t xml:space="preserve"> for the September 1, 2024, shift</w:t>
      </w:r>
      <w:r>
        <w:t>….</w:t>
      </w:r>
      <w:r w:rsidRPr="00940156">
        <w:t xml:space="preserve"> </w:t>
      </w:r>
    </w:p>
    <w:p w14:paraId="4AEC8F1F" w14:textId="77777777" w:rsidR="0042436E" w:rsidRDefault="0042436E" w:rsidP="0042436E">
      <w:pPr>
        <w:pStyle w:val="NoSpacing"/>
      </w:pPr>
      <w:r w:rsidRPr="00940156">
        <w:t>         </w:t>
      </w:r>
    </w:p>
    <w:p w14:paraId="703B782B" w14:textId="77777777" w:rsidR="0042436E" w:rsidRDefault="0042436E" w:rsidP="0042436E">
      <w:pPr>
        <w:pStyle w:val="NoSpacing"/>
        <w:ind w:left="720"/>
      </w:pPr>
      <w:r w:rsidRPr="00940156">
        <w:t>On September 18, 2024, Plaintiff informed firefighter Vincent Media that he was leaving work because of an emergency involving his spouse</w:t>
      </w:r>
      <w:r>
        <w:t xml:space="preserve">…. </w:t>
      </w:r>
      <w:r w:rsidRPr="00940156">
        <w:t xml:space="preserve">Later that day, Plaintiff claims he spoke to Division Chief </w:t>
      </w:r>
      <w:proofErr w:type="gramStart"/>
      <w:r w:rsidRPr="00940156">
        <w:t>Reynolds (</w:t>
      </w:r>
      <w:r>
        <w:t>‘</w:t>
      </w:r>
      <w:r w:rsidRPr="00940156">
        <w:t>Reynolds</w:t>
      </w:r>
      <w:r>
        <w:t>’</w:t>
      </w:r>
      <w:r w:rsidRPr="00940156">
        <w:t>)</w:t>
      </w:r>
      <w:proofErr w:type="gramEnd"/>
      <w:r w:rsidRPr="00940156">
        <w:t xml:space="preserve">, who told </w:t>
      </w:r>
      <w:proofErr w:type="gramStart"/>
      <w:r w:rsidRPr="00940156">
        <w:t xml:space="preserve">Plaintiff </w:t>
      </w:r>
      <w:r>
        <w:t>‘</w:t>
      </w:r>
      <w:r w:rsidRPr="00940156">
        <w:t>[</w:t>
      </w:r>
      <w:proofErr w:type="gramEnd"/>
      <w:r w:rsidRPr="00940156">
        <w:t>n]</w:t>
      </w:r>
      <w:proofErr w:type="spellStart"/>
      <w:r w:rsidRPr="00940156">
        <w:t>ext</w:t>
      </w:r>
      <w:proofErr w:type="spellEnd"/>
      <w:r w:rsidRPr="00940156">
        <w:t xml:space="preserve"> time, please let a supervisor know, and if there is anything that you need, let us know.</w:t>
      </w:r>
      <w:r>
        <w:t>’ …</w:t>
      </w:r>
      <w:r w:rsidRPr="00940156">
        <w:t xml:space="preserve">According to Plaintiff, Reynolds knew that Plaintiff had been on FMLA leave, yet Plaintiff claims that this critical information was never documented in the Notice of Termination with Cause. </w:t>
      </w:r>
    </w:p>
    <w:p w14:paraId="347DF6A5" w14:textId="77777777" w:rsidR="0042436E" w:rsidRDefault="0042436E" w:rsidP="0042436E">
      <w:pPr>
        <w:pStyle w:val="NoSpacing"/>
        <w:ind w:left="720"/>
      </w:pPr>
    </w:p>
    <w:p w14:paraId="5F6BD681" w14:textId="77777777" w:rsidR="0042436E" w:rsidRDefault="0042436E" w:rsidP="0042436E">
      <w:pPr>
        <w:pStyle w:val="NoSpacing"/>
        <w:ind w:left="720"/>
      </w:pPr>
      <w:r>
        <w:t>***</w:t>
      </w:r>
    </w:p>
    <w:p w14:paraId="47110667" w14:textId="77777777" w:rsidR="0042436E" w:rsidRDefault="0042436E" w:rsidP="0042436E">
      <w:pPr>
        <w:pStyle w:val="NoSpacing"/>
        <w:ind w:left="720"/>
      </w:pPr>
      <w:r w:rsidRPr="004A01EE">
        <w:t xml:space="preserve">Despite being advised in the Complaint for Employment Discrimination to </w:t>
      </w:r>
      <w:r>
        <w:t>‘</w:t>
      </w:r>
      <w:r w:rsidRPr="004A01EE">
        <w:t>write a short and plain statement of the claim</w:t>
      </w:r>
      <w:r>
        <w:t>’</w:t>
      </w:r>
      <w:r w:rsidRPr="004A01EE">
        <w:t xml:space="preserve"> in which he should “state how each defendant was involved and what each defendant did” that violated his rights, Plaintiff's claims do not meet this standard. In the first claim alone, Plaintiff lists 39 separate laws or common law rights he claims have been violated, including the Firefighters Procedural Bill of Rights Act, California Evidence Code § 210, Violation of Weingarten Rights, among numerous others</w:t>
      </w:r>
      <w:r>
        <w:t xml:space="preserve">…. </w:t>
      </w:r>
      <w:r w:rsidRPr="004A01EE">
        <w:t xml:space="preserve">He then lists Defendant CAL FIRE and Battalion Chief J. Clays as the defendants who purportedly violated his rights, but he does not connect the conduct of CAL FIRE or Clays to the asserted legal protections in the statement of facts. As a result, Plaintiff has not sufficiently alleged a cause of action against either of them. Claims two through six </w:t>
      </w:r>
      <w:proofErr w:type="gramStart"/>
      <w:r w:rsidRPr="004A01EE">
        <w:t>fare</w:t>
      </w:r>
      <w:proofErr w:type="gramEnd"/>
      <w:r w:rsidRPr="004A01EE">
        <w:t xml:space="preserve"> </w:t>
      </w:r>
      <w:r w:rsidRPr="004A01EE">
        <w:lastRenderedPageBreak/>
        <w:t>no better. While the Court is required to liberally construe Plaintiff's claims, it cannot provide the elements of a cause of action for him in the Complaint.</w:t>
      </w:r>
      <w:r>
        <w:t>”</w:t>
      </w:r>
    </w:p>
    <w:p w14:paraId="732F7AB3" w14:textId="77777777" w:rsidR="0042436E" w:rsidRDefault="0042436E" w:rsidP="0042436E">
      <w:pPr>
        <w:pStyle w:val="NoSpacing"/>
        <w:ind w:left="720"/>
      </w:pPr>
    </w:p>
    <w:p w14:paraId="7F832AB2" w14:textId="77777777" w:rsidR="0042436E" w:rsidRPr="004A01EE" w:rsidRDefault="0042436E" w:rsidP="0042436E">
      <w:pPr>
        <w:pStyle w:val="NoSpacing"/>
        <w:rPr>
          <w:b/>
          <w:bCs/>
        </w:rPr>
      </w:pPr>
      <w:r>
        <w:rPr>
          <w:b/>
        </w:rPr>
        <w:t xml:space="preserve">Legal lesson learned: Absence without leave can result in termination; it is a serious offense. </w:t>
      </w:r>
    </w:p>
    <w:p w14:paraId="6609F0AA" w14:textId="77777777" w:rsidR="0042436E" w:rsidRDefault="0042436E" w:rsidP="0042436E">
      <w:pPr>
        <w:pStyle w:val="NoSpacing"/>
      </w:pPr>
    </w:p>
    <w:p w14:paraId="7A480B4D" w14:textId="77777777" w:rsidR="0049781A" w:rsidRDefault="0049781A" w:rsidP="00DA3352">
      <w:pPr>
        <w:pStyle w:val="NoSpacing"/>
        <w:rPr>
          <w:rFonts w:ascii="Arial Black" w:hAnsi="Arial Black"/>
          <w:b/>
          <w:sz w:val="24"/>
          <w:szCs w:val="24"/>
        </w:rPr>
      </w:pPr>
    </w:p>
    <w:p w14:paraId="7FE14CD0" w14:textId="77777777" w:rsidR="0049781A" w:rsidRDefault="0049781A" w:rsidP="00DA3352">
      <w:pPr>
        <w:pStyle w:val="NoSpacing"/>
        <w:rPr>
          <w:rFonts w:ascii="Arial Black" w:hAnsi="Arial Black"/>
          <w:b/>
          <w:sz w:val="24"/>
          <w:szCs w:val="24"/>
        </w:rPr>
      </w:pPr>
    </w:p>
    <w:p w14:paraId="6D471EE3" w14:textId="38E68DF9" w:rsidR="007265BA" w:rsidRDefault="007265BA" w:rsidP="00DA3352">
      <w:pPr>
        <w:pStyle w:val="NoSpacing"/>
        <w:rPr>
          <w:rFonts w:ascii="Arial Black" w:hAnsi="Arial Black"/>
          <w:b/>
          <w:sz w:val="24"/>
          <w:szCs w:val="24"/>
        </w:rPr>
      </w:pPr>
      <w:r>
        <w:rPr>
          <w:rFonts w:ascii="Arial Black" w:hAnsi="Arial Black"/>
          <w:b/>
          <w:sz w:val="24"/>
          <w:szCs w:val="24"/>
        </w:rPr>
        <w:t>16-156 [also filed, Chap. 8, Racial Discri</w:t>
      </w:r>
      <w:r w:rsidR="00EB490D">
        <w:rPr>
          <w:rFonts w:ascii="Arial Black" w:hAnsi="Arial Black"/>
          <w:b/>
          <w:sz w:val="24"/>
          <w:szCs w:val="24"/>
        </w:rPr>
        <w:t>mination]</w:t>
      </w:r>
    </w:p>
    <w:p w14:paraId="0056A9A9" w14:textId="77777777" w:rsidR="007265BA" w:rsidRDefault="007265BA" w:rsidP="00DA3352">
      <w:pPr>
        <w:pStyle w:val="NoSpacing"/>
        <w:rPr>
          <w:rFonts w:ascii="Arial Black" w:hAnsi="Arial Black"/>
          <w:b/>
          <w:sz w:val="24"/>
          <w:szCs w:val="24"/>
        </w:rPr>
      </w:pPr>
    </w:p>
    <w:p w14:paraId="1656A95A" w14:textId="77777777" w:rsidR="007265BA" w:rsidRPr="00DA19ED" w:rsidRDefault="007265BA" w:rsidP="007265BA">
      <w:pPr>
        <w:rPr>
          <w:rFonts w:ascii="Arial Black" w:hAnsi="Arial Black"/>
          <w:b/>
          <w:sz w:val="28"/>
          <w:szCs w:val="28"/>
        </w:rPr>
      </w:pPr>
      <w:r>
        <w:rPr>
          <w:rFonts w:ascii="Arial Black" w:hAnsi="Arial Black"/>
          <w:b/>
          <w:sz w:val="28"/>
          <w:szCs w:val="28"/>
        </w:rPr>
        <w:t xml:space="preserve">VA: BLACK FF – FIRED – THREATS VIOLENCE IN STATION </w:t>
      </w:r>
    </w:p>
    <w:p w14:paraId="15AB9014" w14:textId="77777777" w:rsidR="007265BA" w:rsidRDefault="007265BA" w:rsidP="007265BA">
      <w:pPr>
        <w:pStyle w:val="NoSpacing"/>
        <w:rPr>
          <w:b/>
        </w:rPr>
      </w:pPr>
      <w:r>
        <w:t xml:space="preserve">On May 19, 2026, in </w:t>
      </w:r>
      <w:r w:rsidRPr="00AD6041">
        <w:rPr>
          <w:u w:val="single"/>
        </w:rPr>
        <w:t>Brian Younger v. City of Lynchburg</w:t>
      </w:r>
      <w:r>
        <w:t xml:space="preserve">, U.S. District Court Judge Norman K. Moon, United States District Court for the Western District of Virginia, </w:t>
      </w:r>
      <w:r w:rsidRPr="00D12863">
        <w:t>Lynchburg Division</w:t>
      </w:r>
      <w:r>
        <w:t xml:space="preserve">, granted the City’s motion for summary judgment.  The firefighter was fired on June 4, </w:t>
      </w:r>
      <w:proofErr w:type="gramStart"/>
      <w:r>
        <w:t>2024</w:t>
      </w:r>
      <w:proofErr w:type="gramEnd"/>
      <w:r>
        <w:t xml:space="preserve"> after an incident on July 16, </w:t>
      </w:r>
      <w:proofErr w:type="gramStart"/>
      <w:r>
        <w:t>2024</w:t>
      </w:r>
      <w:proofErr w:type="gramEnd"/>
      <w:r>
        <w:t xml:space="preserve"> where he asked a white firefighter. At start of morning shift, to move his personal items to another bunkbed, and Younger became upset it was not done immediately.  THE COURT WROTE:  “Younger complains that he was treated differently from his White co-workers. Younger, however, does not establish sufficient similarity between what he did on July 16, 2022, and what his White co-workers did. Specifically, several fellow firefighters were recorded using racial slurs off-duty and those firefighters were not disciplined by the LFD. In contrast, though, Younger used racialized and threatening language against a co-worker in the fire station.” </w:t>
      </w:r>
      <w:hyperlink r:id="rId2571" w:history="1">
        <w:r w:rsidRPr="00D00712">
          <w:rPr>
            <w:rStyle w:val="Hyperlink"/>
            <w:b/>
          </w:rPr>
          <w:t>https://cases.justia.com/federal/district-courts/virginia/vawdce/6:2024cv00051/132979/41/0.pdf?ts=1779390167</w:t>
        </w:r>
      </w:hyperlink>
      <w:r>
        <w:rPr>
          <w:b/>
        </w:rPr>
        <w:t xml:space="preserve"> </w:t>
      </w:r>
    </w:p>
    <w:p w14:paraId="71C31373" w14:textId="77777777" w:rsidR="007265BA" w:rsidRDefault="007265BA" w:rsidP="007265BA">
      <w:pPr>
        <w:pStyle w:val="NoSpacing"/>
        <w:rPr>
          <w:bCs/>
        </w:rPr>
      </w:pPr>
    </w:p>
    <w:p w14:paraId="63CE07DB" w14:textId="77777777" w:rsidR="007265BA" w:rsidRDefault="007265BA" w:rsidP="007265BA">
      <w:pPr>
        <w:pStyle w:val="NoSpacing"/>
        <w:rPr>
          <w:bCs/>
        </w:rPr>
      </w:pPr>
      <w:r>
        <w:t>THE COURT HELD:</w:t>
      </w:r>
    </w:p>
    <w:p w14:paraId="721037BE" w14:textId="77777777" w:rsidR="007265BA" w:rsidRDefault="007265BA" w:rsidP="007265BA">
      <w:pPr>
        <w:pStyle w:val="NoSpacing"/>
        <w:rPr>
          <w:bCs/>
        </w:rPr>
      </w:pPr>
    </w:p>
    <w:p w14:paraId="73377665" w14:textId="77777777" w:rsidR="007265BA" w:rsidRDefault="007265BA" w:rsidP="007265BA">
      <w:pPr>
        <w:pStyle w:val="NoSpacing"/>
        <w:ind w:left="720"/>
      </w:pPr>
      <w:r>
        <w:t xml:space="preserve">“The </w:t>
      </w:r>
      <w:proofErr w:type="gramStart"/>
      <w:r>
        <w:t>City</w:t>
      </w:r>
      <w:proofErr w:type="gramEnd"/>
      <w:r>
        <w:t xml:space="preserve"> claims it terminated Younger because of events that occurred on the morning of July 16, 2022. During the early morning shift change at LFD Station 5, Younger entered the station bedroom to place his belongings on a bunkbed. However, upon his arrival, he discovered that Firefighter Brennen Lawson, who had worked the previous shift, had already placed his items on the bed Younger intended to use….Younger found Lawson and asked him to move his belongings…. Lawson agreed but did not move his</w:t>
      </w:r>
    </w:p>
    <w:p w14:paraId="31C602FE" w14:textId="77777777" w:rsidR="007265BA" w:rsidRDefault="007265BA" w:rsidP="007265BA">
      <w:pPr>
        <w:pStyle w:val="NoSpacing"/>
        <w:ind w:firstLine="720"/>
      </w:pPr>
      <w:r>
        <w:t xml:space="preserve">belongings as promptly as Younger expected. </w:t>
      </w:r>
    </w:p>
    <w:p w14:paraId="146D9F52" w14:textId="77777777" w:rsidR="007265BA" w:rsidRDefault="007265BA" w:rsidP="007265BA">
      <w:pPr>
        <w:pStyle w:val="NoSpacing"/>
      </w:pPr>
    </w:p>
    <w:p w14:paraId="4C85C67C" w14:textId="77777777" w:rsidR="007265BA" w:rsidRDefault="007265BA" w:rsidP="007265BA">
      <w:pPr>
        <w:pStyle w:val="NoSpacing"/>
        <w:ind w:firstLine="720"/>
      </w:pPr>
      <w:r>
        <w:t>Although accounts differ as to whether either party made threatening movements towards</w:t>
      </w:r>
    </w:p>
    <w:p w14:paraId="431C57A4" w14:textId="77777777" w:rsidR="007265BA" w:rsidRDefault="007265BA" w:rsidP="007265BA">
      <w:pPr>
        <w:pStyle w:val="NoSpacing"/>
        <w:ind w:left="720"/>
      </w:pPr>
      <w:r>
        <w:t>the other during the exchange, neither party disputes that Younger made several comments directed at Lawson, who is a White male, including that: (</w:t>
      </w:r>
      <w:proofErr w:type="spellStart"/>
      <w:r>
        <w:t>i</w:t>
      </w:r>
      <w:proofErr w:type="spellEnd"/>
      <w:r>
        <w:t xml:space="preserve">) Lawson was ‘a racist scumbag that couldn’t keep his wife happy’; (ii) that Lawson had ‘pushed’ his wife ‘right into the embrace of another Black man’; (iii) that his wife was ‘in California’ ‘loving that black dick she was taking out West’; (iv) that Younger did not know why ‘y’all racists keep dating and marrying women who aren’t racists’; (v) that if Lawson came towards him he would ‘fuck you all up out here’; and (iv) that Lawson better ‘stay away from [Younger] or else.’” </w:t>
      </w:r>
    </w:p>
    <w:p w14:paraId="315B0B31" w14:textId="77777777" w:rsidR="007265BA" w:rsidRDefault="007265BA" w:rsidP="007265BA">
      <w:pPr>
        <w:pStyle w:val="NoSpacing"/>
        <w:ind w:left="720"/>
      </w:pPr>
    </w:p>
    <w:p w14:paraId="0CC91DC3" w14:textId="77777777" w:rsidR="007265BA" w:rsidRDefault="007265BA" w:rsidP="007265BA">
      <w:pPr>
        <w:pStyle w:val="NoSpacing"/>
        <w:rPr>
          <w:b/>
          <w:bCs/>
        </w:rPr>
      </w:pPr>
      <w:r>
        <w:rPr>
          <w:b/>
        </w:rPr>
        <w:t xml:space="preserve">Legal lesson learned: Threats of violence cannot be tolerated, without regard to the race of the offender.  </w:t>
      </w:r>
    </w:p>
    <w:p w14:paraId="1A8775D8" w14:textId="77777777" w:rsidR="007265BA" w:rsidRDefault="007265BA" w:rsidP="007265BA">
      <w:pPr>
        <w:rPr>
          <w:rFonts w:ascii="Arial Black" w:hAnsi="Arial Black"/>
          <w:b/>
          <w:sz w:val="24"/>
          <w:szCs w:val="24"/>
        </w:rPr>
      </w:pPr>
    </w:p>
    <w:p w14:paraId="59C09531" w14:textId="77777777" w:rsidR="007265BA" w:rsidRDefault="007265BA" w:rsidP="007265BA">
      <w:pPr>
        <w:rPr>
          <w:rFonts w:ascii="Arial Black" w:hAnsi="Arial Black"/>
          <w:b/>
          <w:sz w:val="24"/>
          <w:szCs w:val="24"/>
        </w:rPr>
      </w:pPr>
    </w:p>
    <w:p w14:paraId="72CBFA85" w14:textId="77777777" w:rsidR="007265BA" w:rsidRDefault="007265BA" w:rsidP="00DA3352">
      <w:pPr>
        <w:pStyle w:val="NoSpacing"/>
        <w:rPr>
          <w:rFonts w:ascii="Arial Black" w:hAnsi="Arial Black"/>
          <w:b/>
          <w:sz w:val="24"/>
          <w:szCs w:val="24"/>
        </w:rPr>
      </w:pPr>
    </w:p>
    <w:p w14:paraId="229C38CE" w14:textId="77777777" w:rsidR="007265BA" w:rsidRDefault="007265BA" w:rsidP="00DA3352">
      <w:pPr>
        <w:pStyle w:val="NoSpacing"/>
        <w:rPr>
          <w:rFonts w:ascii="Arial Black" w:hAnsi="Arial Black"/>
          <w:b/>
          <w:sz w:val="24"/>
          <w:szCs w:val="24"/>
        </w:rPr>
      </w:pPr>
    </w:p>
    <w:p w14:paraId="3B67F2EF" w14:textId="77777777" w:rsidR="007265BA" w:rsidRDefault="007265BA" w:rsidP="00DA3352">
      <w:pPr>
        <w:pStyle w:val="NoSpacing"/>
        <w:rPr>
          <w:rFonts w:ascii="Arial Black" w:hAnsi="Arial Black"/>
          <w:b/>
          <w:sz w:val="24"/>
          <w:szCs w:val="24"/>
        </w:rPr>
      </w:pPr>
    </w:p>
    <w:p w14:paraId="4B0F1F23" w14:textId="5E3BE909" w:rsidR="00DA3352" w:rsidRDefault="00DA3352" w:rsidP="00DA3352">
      <w:pPr>
        <w:pStyle w:val="NoSpacing"/>
        <w:rPr>
          <w:rFonts w:ascii="Arial Black" w:hAnsi="Arial Black"/>
          <w:b/>
          <w:sz w:val="24"/>
          <w:szCs w:val="24"/>
        </w:rPr>
      </w:pPr>
      <w:r>
        <w:rPr>
          <w:rFonts w:ascii="Arial Black" w:hAnsi="Arial Black"/>
          <w:b/>
          <w:sz w:val="24"/>
          <w:szCs w:val="24"/>
        </w:rPr>
        <w:t>16-155</w:t>
      </w:r>
    </w:p>
    <w:p w14:paraId="5B5B81C1" w14:textId="77777777" w:rsidR="00E11253" w:rsidRDefault="00E11253" w:rsidP="002F7727">
      <w:pPr>
        <w:pStyle w:val="NoSpacing"/>
        <w:rPr>
          <w:rFonts w:ascii="Arial Black" w:hAnsi="Arial Black"/>
          <w:b/>
          <w:sz w:val="24"/>
          <w:szCs w:val="24"/>
        </w:rPr>
      </w:pPr>
    </w:p>
    <w:p w14:paraId="15E6990D" w14:textId="77777777" w:rsidR="00F838A9" w:rsidRPr="00E67138" w:rsidRDefault="00F838A9" w:rsidP="00F838A9">
      <w:pPr>
        <w:pStyle w:val="NoSpacing"/>
        <w:rPr>
          <w:rFonts w:ascii="Arial Black" w:hAnsi="Arial Black"/>
          <w:b/>
          <w:sz w:val="28"/>
          <w:szCs w:val="28"/>
        </w:rPr>
      </w:pPr>
      <w:r>
        <w:rPr>
          <w:rFonts w:ascii="Arial Black" w:hAnsi="Arial Black"/>
          <w:b/>
          <w:sz w:val="28"/>
          <w:szCs w:val="28"/>
        </w:rPr>
        <w:lastRenderedPageBreak/>
        <w:t>LA: 48-HR DISCIPLINE SET ASIDE – NO BILL RIGHTS NOTICE</w:t>
      </w:r>
    </w:p>
    <w:p w14:paraId="4A8A3F05" w14:textId="77777777" w:rsidR="00F838A9" w:rsidRDefault="00F838A9" w:rsidP="00F838A9">
      <w:pPr>
        <w:pStyle w:val="NoSpacing"/>
        <w:rPr>
          <w:b/>
        </w:rPr>
      </w:pPr>
    </w:p>
    <w:p w14:paraId="34A07E9B" w14:textId="77777777" w:rsidR="00F838A9" w:rsidRDefault="00F838A9" w:rsidP="00F838A9">
      <w:pPr>
        <w:pStyle w:val="NoSpacing"/>
        <w:rPr>
          <w:bCs/>
        </w:rPr>
      </w:pPr>
      <w:r>
        <w:t xml:space="preserve">On April 29, 2026, in </w:t>
      </w:r>
      <w:r w:rsidRPr="000B1335">
        <w:rPr>
          <w:u w:val="single"/>
        </w:rPr>
        <w:t>Donald Adams v. New Orleans Fire Department</w:t>
      </w:r>
      <w:r>
        <w:t xml:space="preserve">, the </w:t>
      </w:r>
      <w:r w:rsidRPr="000B1335">
        <w:t>Court of Appeals of Louisiana, Fourth Circuit</w:t>
      </w:r>
      <w:r>
        <w:t xml:space="preserve"> held (2 to 1) that 48-hour suspension is set aside; he was disciplined  for leaving a courthouse while the rest of 4-member team looked for cause of smoke alarm. The Court wrote: </w:t>
      </w:r>
    </w:p>
    <w:p w14:paraId="0C25C758" w14:textId="77777777" w:rsidR="00F838A9" w:rsidRDefault="00F838A9" w:rsidP="00F838A9">
      <w:pPr>
        <w:pStyle w:val="NoSpacing"/>
        <w:ind w:left="720" w:firstLine="60"/>
        <w:rPr>
          <w:bCs/>
        </w:rPr>
      </w:pPr>
    </w:p>
    <w:p w14:paraId="205D35F1" w14:textId="77777777" w:rsidR="00F838A9" w:rsidRDefault="00F838A9" w:rsidP="00F838A9">
      <w:pPr>
        <w:pStyle w:val="NoSpacing"/>
        <w:ind w:left="720" w:firstLine="60"/>
      </w:pPr>
      <w:r>
        <w:t xml:space="preserve">“First Platoon Deputy Chief </w:t>
      </w:r>
      <w:r w:rsidRPr="00960F97">
        <w:t xml:space="preserve">Castle completed his investigation and on April 22, 2024, he issued a letter to Adams informing him that he was suspended for 48 hours for violating fire department policy. The letter advised Adams that, </w:t>
      </w:r>
      <w:r>
        <w:t>‘</w:t>
      </w:r>
      <w:r w:rsidRPr="00960F97">
        <w:t xml:space="preserve">Specifically, on </w:t>
      </w:r>
      <w:r>
        <w:t xml:space="preserve">[March 17, </w:t>
      </w:r>
      <w:r w:rsidRPr="00960F97">
        <w:t>2024</w:t>
      </w:r>
      <w:r>
        <w:t>]</w:t>
      </w:r>
      <w:r w:rsidRPr="00960F97">
        <w:t xml:space="preserve"> while on an incident investigating an alarm you exited the building without the captain's permission while the rest of the crew remained inside to confirm the alarm status and mitigate the incident</w:t>
      </w:r>
      <w:r>
        <w:t xml:space="preserve">…. </w:t>
      </w:r>
      <w:r w:rsidRPr="00654C32">
        <w:t>We are constrained to hold that the strict statutory requirements of La. R.S. 33:2181 were not met in this process</w:t>
      </w:r>
      <w:r>
        <w:t xml:space="preserve">…. </w:t>
      </w:r>
      <w:r w:rsidRPr="00DB6DA9">
        <w:t>At no point in the investigation was Adams notified of his rights under the Firefighter's Bill of Rights. To the extent that the record in this case reveals the substance of the investigation we conclude that the investigators were Edwards and Castle.</w:t>
      </w:r>
      <w:r>
        <w:t xml:space="preserve"> </w:t>
      </w:r>
      <w:hyperlink r:id="rId2572" w:history="1">
        <w:r w:rsidRPr="00A118A9">
          <w:rPr>
            <w:rStyle w:val="Hyperlink"/>
          </w:rPr>
          <w:t>https://caselaw.findlaw.com/court/la-court-of-appeal/118312488.html</w:t>
        </w:r>
      </w:hyperlink>
      <w:r>
        <w:t xml:space="preserve"> </w:t>
      </w:r>
    </w:p>
    <w:p w14:paraId="32EB1028" w14:textId="77777777" w:rsidR="00F838A9" w:rsidRDefault="00F838A9" w:rsidP="00F838A9">
      <w:pPr>
        <w:pStyle w:val="NoSpacing"/>
      </w:pPr>
    </w:p>
    <w:p w14:paraId="7ED78B72" w14:textId="77777777" w:rsidR="00F838A9" w:rsidRDefault="00F838A9" w:rsidP="00F838A9">
      <w:pPr>
        <w:pStyle w:val="NoSpacing"/>
      </w:pPr>
      <w:r>
        <w:t>THE COURT HELD:</w:t>
      </w:r>
    </w:p>
    <w:p w14:paraId="2E0D881B" w14:textId="77777777" w:rsidR="00F838A9" w:rsidRDefault="00F838A9" w:rsidP="00F838A9">
      <w:pPr>
        <w:pStyle w:val="NoSpacing"/>
      </w:pPr>
    </w:p>
    <w:p w14:paraId="582B38AB" w14:textId="77777777" w:rsidR="00F838A9" w:rsidRDefault="00F838A9" w:rsidP="00F838A9">
      <w:pPr>
        <w:pStyle w:val="NoSpacing"/>
        <w:ind w:left="720"/>
      </w:pPr>
      <w:r>
        <w:t>“</w:t>
      </w:r>
      <w:r w:rsidRPr="009B5BDC">
        <w:t xml:space="preserve">On March 17, 2024, firefighters from Engine Company 20 were called out to the Second City Courthouse on Morgan Street in Algiers. The firefighters involved were Captain Randolph </w:t>
      </w:r>
      <w:proofErr w:type="gramStart"/>
      <w:r w:rsidRPr="009B5BDC">
        <w:t>Edwards (</w:t>
      </w:r>
      <w:r>
        <w:t>‘</w:t>
      </w:r>
      <w:r w:rsidRPr="009B5BDC">
        <w:t>Edwards</w:t>
      </w:r>
      <w:r>
        <w:t>’</w:t>
      </w:r>
      <w:r w:rsidRPr="009B5BDC">
        <w:t>)</w:t>
      </w:r>
      <w:proofErr w:type="gramEnd"/>
      <w:r w:rsidRPr="009B5BDC">
        <w:t xml:space="preserve">, Anthony </w:t>
      </w:r>
      <w:proofErr w:type="gramStart"/>
      <w:r w:rsidRPr="009B5BDC">
        <w:t>Donseroaux (</w:t>
      </w:r>
      <w:r>
        <w:t>‘</w:t>
      </w:r>
      <w:proofErr w:type="spellStart"/>
      <w:r w:rsidRPr="009B5BDC">
        <w:t>Donseroaux</w:t>
      </w:r>
      <w:proofErr w:type="spellEnd"/>
      <w:r>
        <w:t>’</w:t>
      </w:r>
      <w:r w:rsidRPr="009B5BDC">
        <w:t>)</w:t>
      </w:r>
      <w:proofErr w:type="gramEnd"/>
      <w:r w:rsidRPr="009B5BDC">
        <w:t xml:space="preserve">, Milton </w:t>
      </w:r>
      <w:proofErr w:type="gramStart"/>
      <w:r w:rsidRPr="009B5BDC">
        <w:t>Smith (</w:t>
      </w:r>
      <w:r>
        <w:t>‘</w:t>
      </w:r>
      <w:r w:rsidRPr="009B5BDC">
        <w:t>Smith</w:t>
      </w:r>
      <w:r>
        <w:t>’</w:t>
      </w:r>
      <w:r w:rsidRPr="009B5BDC">
        <w:t>)</w:t>
      </w:r>
      <w:proofErr w:type="gramEnd"/>
      <w:r w:rsidRPr="009B5BDC">
        <w:t xml:space="preserve"> and Adams. It was the third callout to this address that day. On the two prior occasions, the team </w:t>
      </w:r>
      <w:proofErr w:type="gramStart"/>
      <w:r w:rsidRPr="009B5BDC">
        <w:t>was not able to</w:t>
      </w:r>
      <w:proofErr w:type="gramEnd"/>
      <w:r w:rsidRPr="009B5BDC">
        <w:t xml:space="preserve"> get into the courthouse. On this third occasion, a building representative was present and let the men in. They searched the building and found no evidence of fire. They were unable to stop the alarm. While awaiting someone from the alarm company to stop the false alarm, Edwards, who was the ranking firefighter on the scene, began a conversation with the building representative on matters unrelated to the fire call. </w:t>
      </w:r>
      <w:r>
        <w:t xml:space="preserve"> </w:t>
      </w:r>
      <w:r w:rsidRPr="009B5BDC">
        <w:t>         </w:t>
      </w:r>
    </w:p>
    <w:p w14:paraId="0D29CF31" w14:textId="77777777" w:rsidR="00F838A9" w:rsidRDefault="00F838A9" w:rsidP="00F838A9">
      <w:pPr>
        <w:pStyle w:val="NoSpacing"/>
        <w:ind w:left="720"/>
      </w:pPr>
    </w:p>
    <w:p w14:paraId="17FE40D4" w14:textId="77777777" w:rsidR="00F838A9" w:rsidRDefault="00F838A9" w:rsidP="00F838A9">
      <w:pPr>
        <w:pStyle w:val="NoSpacing"/>
        <w:ind w:left="720"/>
      </w:pPr>
      <w:r w:rsidRPr="009B5BDC">
        <w:t xml:space="preserve">Approximately 10 to 15 minutes after the building was searched, the captain and other firefighters walked outside and saw Adams talking to Smith, the firetruck operator. The building representative commented that the two firefighters by the truck were ready to leave. Edwards then walked to the truck and chastised Adams for leaving the scene inside the building and informed him that he should stay next to his captain. </w:t>
      </w:r>
    </w:p>
    <w:p w14:paraId="1009B712" w14:textId="77777777" w:rsidR="00F838A9" w:rsidRPr="009B5BDC" w:rsidRDefault="00F838A9" w:rsidP="00F838A9">
      <w:pPr>
        <w:pStyle w:val="NoSpacing"/>
        <w:ind w:left="720"/>
      </w:pPr>
    </w:p>
    <w:p w14:paraId="5FC0EDE7" w14:textId="77777777" w:rsidR="00F838A9" w:rsidRDefault="00F838A9" w:rsidP="00F838A9">
      <w:pPr>
        <w:pStyle w:val="NoSpacing"/>
        <w:ind w:left="720"/>
      </w:pPr>
      <w:r w:rsidRPr="009B5BDC">
        <w:t xml:space="preserve">Edwards alleges that Adams told him, </w:t>
      </w:r>
      <w:proofErr w:type="gramStart"/>
      <w:r>
        <w:t>‘</w:t>
      </w:r>
      <w:r w:rsidRPr="009B5BDC">
        <w:t>you</w:t>
      </w:r>
      <w:proofErr w:type="gramEnd"/>
      <w:r w:rsidRPr="009B5BDC">
        <w:t xml:space="preserve"> think you're in charge of f*****g </w:t>
      </w:r>
      <w:r>
        <w:t xml:space="preserve"> </w:t>
      </w:r>
      <w:r w:rsidRPr="009B5BDC">
        <w:t>E20 but you're not in charge.</w:t>
      </w:r>
      <w:r>
        <w:t xml:space="preserve">’ </w:t>
      </w:r>
      <w:r w:rsidRPr="009B5BDC">
        <w:t xml:space="preserve"> Adams alleges that he said, </w:t>
      </w:r>
      <w:r>
        <w:t>‘</w:t>
      </w:r>
      <w:r w:rsidRPr="009B5BDC">
        <w:t>you think you're in charge of E20 but it's a team.</w:t>
      </w:r>
      <w:r>
        <w:t xml:space="preserve">’ </w:t>
      </w:r>
      <w:r w:rsidRPr="009B5BDC">
        <w:t xml:space="preserve">Neither Smith nor </w:t>
      </w:r>
      <w:proofErr w:type="spellStart"/>
      <w:r w:rsidRPr="009B5BDC">
        <w:t>Donseroaux</w:t>
      </w:r>
      <w:proofErr w:type="spellEnd"/>
      <w:r w:rsidRPr="009B5BDC">
        <w:t xml:space="preserve"> heard the profanity that Edwards described but both witnesses testified that the conversation was heated. Smith, who </w:t>
      </w:r>
      <w:proofErr w:type="gramStart"/>
      <w:r w:rsidRPr="009B5BDC">
        <w:t>was outside at all times</w:t>
      </w:r>
      <w:proofErr w:type="gramEnd"/>
      <w:r w:rsidRPr="009B5BDC">
        <w:t xml:space="preserve">, explained that he called Adams to the truck to ask if the inspection revealed anything. </w:t>
      </w:r>
    </w:p>
    <w:p w14:paraId="077391E2" w14:textId="77777777" w:rsidR="00F838A9" w:rsidRDefault="00F838A9" w:rsidP="00F838A9">
      <w:pPr>
        <w:pStyle w:val="NoSpacing"/>
        <w:ind w:left="720"/>
      </w:pPr>
    </w:p>
    <w:p w14:paraId="77B05235" w14:textId="77777777" w:rsidR="00F838A9" w:rsidRDefault="00F838A9" w:rsidP="00F838A9">
      <w:pPr>
        <w:pStyle w:val="NoSpacing"/>
        <w:ind w:left="720"/>
      </w:pPr>
      <w:r>
        <w:t>***</w:t>
      </w:r>
    </w:p>
    <w:p w14:paraId="424EA38E" w14:textId="77777777" w:rsidR="00F838A9" w:rsidRDefault="00F838A9" w:rsidP="00F838A9">
      <w:pPr>
        <w:pStyle w:val="NoSpacing"/>
        <w:ind w:left="720"/>
      </w:pPr>
      <w:r w:rsidRPr="00A9657E">
        <w:t xml:space="preserve">After the incident, Edwards asked every member of the team to write a Special Report (statement) regarding the call out. </w:t>
      </w:r>
      <w:r>
        <w:t xml:space="preserve"> </w:t>
      </w:r>
      <w:r w:rsidRPr="00A9657E">
        <w:t xml:space="preserve">Edwards completed a Documentation of Disciplinary </w:t>
      </w:r>
      <w:proofErr w:type="gramStart"/>
      <w:r w:rsidRPr="00A9657E">
        <w:t>Action (</w:t>
      </w:r>
      <w:r>
        <w:t>‘</w:t>
      </w:r>
      <w:proofErr w:type="gramEnd"/>
      <w:r w:rsidRPr="00A9657E">
        <w:t>DDA</w:t>
      </w:r>
      <w:r>
        <w:t>’</w:t>
      </w:r>
      <w:r w:rsidRPr="00A9657E">
        <w:t xml:space="preserve">) form charging Adams with violating NOFDRR57 of the New Orleans Fire </w:t>
      </w:r>
      <w:proofErr w:type="gramStart"/>
      <w:r w:rsidRPr="00A9657E">
        <w:t>Department (</w:t>
      </w:r>
      <w:r>
        <w:t>‘</w:t>
      </w:r>
      <w:proofErr w:type="gramEnd"/>
      <w:r w:rsidRPr="00A9657E">
        <w:t>NOFD</w:t>
      </w:r>
      <w:r>
        <w:t>’</w:t>
      </w:r>
      <w:r w:rsidRPr="00A9657E">
        <w:t xml:space="preserve">) Rules and Regulations. RR 57 provides that, </w:t>
      </w:r>
      <w:r>
        <w:t>‘</w:t>
      </w:r>
      <w:r w:rsidRPr="00A9657E">
        <w:t>At fire scenes or emergency calls, members shall not perform tasks without direction or orders from command or perform tasks that do not support incident objectives (i.e. freelancing).</w:t>
      </w:r>
      <w:r>
        <w:t>’</w:t>
      </w:r>
    </w:p>
    <w:p w14:paraId="5DE5526E" w14:textId="77777777" w:rsidR="00F838A9" w:rsidRDefault="00F838A9" w:rsidP="00F838A9">
      <w:pPr>
        <w:pStyle w:val="NoSpacing"/>
        <w:ind w:left="720"/>
      </w:pPr>
    </w:p>
    <w:p w14:paraId="4198299E" w14:textId="77777777" w:rsidR="00F838A9" w:rsidRDefault="00F838A9" w:rsidP="00F838A9">
      <w:pPr>
        <w:pStyle w:val="NoSpacing"/>
        <w:ind w:left="720"/>
      </w:pPr>
      <w:r>
        <w:t>***</w:t>
      </w:r>
    </w:p>
    <w:p w14:paraId="05815C35" w14:textId="77777777" w:rsidR="00F838A9" w:rsidRPr="00F24C16" w:rsidRDefault="00F838A9" w:rsidP="00F838A9">
      <w:pPr>
        <w:pStyle w:val="NoSpacing"/>
        <w:ind w:left="720"/>
      </w:pPr>
      <w:r w:rsidRPr="00F24C16">
        <w:t xml:space="preserve">We believe that Edwards' initiation of a disciplinary procedure based on Adams' actions was appropriate. In this case, it does not appear that there was an emergency in progress when Adams decided to walk away from the working group in the courthouse. However, it is the very nature of emergencies that they occur without warning. No one was injured and there was no loss of life or property in this situation. For that, everyone must be grateful to good fortune. In the business of protecting life and property, good fortune is never a substitute for safe procedure. </w:t>
      </w:r>
    </w:p>
    <w:p w14:paraId="4EBB0D82" w14:textId="77777777" w:rsidR="00F838A9" w:rsidRDefault="00F838A9" w:rsidP="00F838A9">
      <w:pPr>
        <w:pStyle w:val="NoSpacing"/>
        <w:ind w:left="720"/>
      </w:pPr>
      <w:r w:rsidRPr="00F24C16">
        <w:t>         </w:t>
      </w:r>
    </w:p>
    <w:p w14:paraId="79020D2A" w14:textId="77777777" w:rsidR="00F838A9" w:rsidRDefault="00F838A9" w:rsidP="00F838A9">
      <w:pPr>
        <w:pStyle w:val="NoSpacing"/>
        <w:ind w:left="720"/>
      </w:pPr>
      <w:r w:rsidRPr="00F24C16">
        <w:lastRenderedPageBreak/>
        <w:t>Having noted for the record this court's support for the intention of the disciplinary proceeding, we find that the decision of the CSC was not manifestly erroneous. We are constrained to hold that the strict statutory requirements of La. R.S. 33:2181 were not met in this process.</w:t>
      </w:r>
      <w:r>
        <w:t>”</w:t>
      </w:r>
    </w:p>
    <w:p w14:paraId="5EBFF566" w14:textId="77777777" w:rsidR="00F838A9" w:rsidRDefault="00F838A9" w:rsidP="00F838A9">
      <w:pPr>
        <w:pStyle w:val="NoSpacing"/>
        <w:ind w:left="720"/>
      </w:pPr>
    </w:p>
    <w:p w14:paraId="05362EB0" w14:textId="77777777" w:rsidR="00F838A9" w:rsidRDefault="00F838A9" w:rsidP="00F838A9">
      <w:pPr>
        <w:pStyle w:val="NoSpacing"/>
      </w:pPr>
      <w:r>
        <w:t>DISSENT:</w:t>
      </w:r>
    </w:p>
    <w:p w14:paraId="0AA9C73E" w14:textId="77777777" w:rsidR="00F838A9" w:rsidRDefault="00F838A9" w:rsidP="00F838A9">
      <w:pPr>
        <w:pStyle w:val="NoSpacing"/>
      </w:pPr>
    </w:p>
    <w:p w14:paraId="2E4D5CEE" w14:textId="77777777" w:rsidR="00F838A9" w:rsidRDefault="00F838A9" w:rsidP="00F838A9">
      <w:pPr>
        <w:pStyle w:val="NoSpacing"/>
        <w:ind w:left="720"/>
      </w:pPr>
      <w:r>
        <w:t xml:space="preserve">“The distinction between investigation and formal investigation is an important one. Initial steps taken to prepare for a formal investigation (i.e., gathering witness statements, promulgating Documentation of Disciplinary Action) are distinguishable from the formal investigation itself. A formal investigation cannot commence unless and until a complaint is lodged, evidence is gathered, and such documentation is submitted to the appointing authority to determine whether a formal investigation is </w:t>
      </w:r>
      <w:proofErr w:type="gramStart"/>
      <w:r>
        <w:t>merited.”</w:t>
      </w:r>
      <w:proofErr w:type="gramEnd"/>
      <w:r>
        <w:t xml:space="preserve"> </w:t>
      </w:r>
      <w:hyperlink r:id="rId2573" w:history="1">
        <w:r w:rsidRPr="00A118A9">
          <w:rPr>
            <w:rStyle w:val="Hyperlink"/>
          </w:rPr>
          <w:t>https://cases.justia.com/louisiana/fourth-circuit-court-of-appeal/2026-2025-ca-0639-0.pdf?ts=1777519082</w:t>
        </w:r>
      </w:hyperlink>
      <w:r>
        <w:t xml:space="preserve"> </w:t>
      </w:r>
    </w:p>
    <w:p w14:paraId="68F2F445" w14:textId="77777777" w:rsidR="00F838A9" w:rsidRDefault="00F838A9" w:rsidP="00F838A9">
      <w:pPr>
        <w:pStyle w:val="NoSpacing"/>
        <w:ind w:left="720"/>
      </w:pPr>
    </w:p>
    <w:p w14:paraId="4B91E4CA" w14:textId="77777777" w:rsidR="00F838A9" w:rsidRPr="009B5BDC" w:rsidRDefault="00F838A9" w:rsidP="00F838A9">
      <w:pPr>
        <w:pStyle w:val="NoSpacing"/>
      </w:pPr>
      <w:r>
        <w:rPr>
          <w:b/>
        </w:rPr>
        <w:t xml:space="preserve">Legal lesson learned: This is second New Orleans FD recent case where discipline is set aside.  There is a clear need for written guidance from State’s Attorney General on when a “formal investigation” is deemed to start. </w:t>
      </w:r>
    </w:p>
    <w:p w14:paraId="3702FE89" w14:textId="77777777" w:rsidR="00F838A9" w:rsidRDefault="00F838A9" w:rsidP="00F838A9">
      <w:pPr>
        <w:pStyle w:val="NoSpacing"/>
      </w:pPr>
    </w:p>
    <w:p w14:paraId="31B6C0CC" w14:textId="77777777" w:rsidR="00DA3352" w:rsidRDefault="00DA3352" w:rsidP="00DA3352">
      <w:pPr>
        <w:pStyle w:val="NoSpacing"/>
        <w:rPr>
          <w:rFonts w:ascii="Arial Black" w:hAnsi="Arial Black"/>
          <w:b/>
          <w:sz w:val="24"/>
          <w:szCs w:val="24"/>
        </w:rPr>
      </w:pPr>
    </w:p>
    <w:p w14:paraId="1841EA4D" w14:textId="45282F98" w:rsidR="00DA3352" w:rsidRDefault="00DA3352" w:rsidP="00DA3352">
      <w:pPr>
        <w:pStyle w:val="NoSpacing"/>
        <w:rPr>
          <w:rFonts w:ascii="Arial Black" w:hAnsi="Arial Black"/>
          <w:b/>
          <w:sz w:val="24"/>
          <w:szCs w:val="24"/>
        </w:rPr>
      </w:pPr>
      <w:r>
        <w:rPr>
          <w:rFonts w:ascii="Arial Black" w:hAnsi="Arial Black"/>
          <w:b/>
          <w:sz w:val="24"/>
          <w:szCs w:val="24"/>
        </w:rPr>
        <w:t>16-154</w:t>
      </w:r>
    </w:p>
    <w:p w14:paraId="33C65973" w14:textId="77777777" w:rsidR="00DA3352" w:rsidRDefault="00DA3352" w:rsidP="00DA3352">
      <w:pPr>
        <w:pStyle w:val="NoSpacing"/>
        <w:rPr>
          <w:rFonts w:ascii="Arial Black" w:hAnsi="Arial Black"/>
          <w:b/>
          <w:sz w:val="24"/>
          <w:szCs w:val="24"/>
        </w:rPr>
      </w:pPr>
    </w:p>
    <w:p w14:paraId="0CADA8D4" w14:textId="77777777" w:rsidR="00C03046" w:rsidRPr="00807158" w:rsidRDefault="00C03046" w:rsidP="00C03046">
      <w:pPr>
        <w:pStyle w:val="NoSpacing"/>
        <w:rPr>
          <w:rFonts w:ascii="Arial Black" w:hAnsi="Arial Black"/>
          <w:b/>
          <w:sz w:val="28"/>
          <w:szCs w:val="28"/>
        </w:rPr>
      </w:pPr>
      <w:r>
        <w:rPr>
          <w:rFonts w:ascii="Arial Black" w:hAnsi="Arial Black"/>
          <w:b/>
          <w:sz w:val="28"/>
          <w:szCs w:val="28"/>
        </w:rPr>
        <w:t>LA: 36-HR DISCIPLINE SET ASIDE– NO BILL RIGHTS NOTICE</w:t>
      </w:r>
    </w:p>
    <w:p w14:paraId="7D3285CF" w14:textId="77777777" w:rsidR="00C03046" w:rsidRDefault="00C03046" w:rsidP="00C03046">
      <w:pPr>
        <w:pStyle w:val="NoSpacing"/>
      </w:pPr>
    </w:p>
    <w:p w14:paraId="16444A44" w14:textId="77777777" w:rsidR="00C03046" w:rsidRDefault="00C03046" w:rsidP="00C03046">
      <w:pPr>
        <w:pStyle w:val="NoSpacing"/>
      </w:pPr>
      <w:r>
        <w:t xml:space="preserve">On April 28, 2026, in </w:t>
      </w:r>
      <w:r w:rsidRPr="00AB5D12">
        <w:rPr>
          <w:u w:val="single"/>
        </w:rPr>
        <w:t>Michael Murphy v. New Orleans Fire Department</w:t>
      </w:r>
      <w:r>
        <w:t xml:space="preserve">, the </w:t>
      </w:r>
      <w:r w:rsidRPr="00AB5D12">
        <w:t>Court of Appeals of Louisiana, Fourth Circuit</w:t>
      </w:r>
      <w:r>
        <w:t xml:space="preserve"> held (3 to 0) that under the Louisiana </w:t>
      </w:r>
      <w:r w:rsidRPr="007D2D81">
        <w:t>Firefighter Bill of Rights</w:t>
      </w:r>
      <w:r>
        <w:t xml:space="preserve">, even though there is no question that the Fire Apparatus Operator’s failed to wear seat belts on December 2 and December 11, 2024 when driving </w:t>
      </w:r>
      <w:r w:rsidRPr="004C28D7">
        <w:t>Fire Engine 14</w:t>
      </w:r>
      <w:r>
        <w:t xml:space="preserve">. The NOFD Samsara video monitoring system recorded </w:t>
      </w:r>
      <w:proofErr w:type="gramStart"/>
      <w:r>
        <w:t>the seatbelt</w:t>
      </w:r>
      <w:proofErr w:type="gramEnd"/>
      <w:r>
        <w:t xml:space="preserve"> infractions and alerted Captain Jason Dufrene, who on December 20, </w:t>
      </w:r>
      <w:proofErr w:type="gramStart"/>
      <w:r>
        <w:t>2024</w:t>
      </w:r>
      <w:proofErr w:type="gramEnd"/>
      <w:r>
        <w:t xml:space="preserve"> issued the charges.  The Civil Service Commission held (2 to 1) that there was no “formal investigation” under the Bill of Rights which would require the following notices: “notify the employee in writing of the nature of the investigation, of the identity and authority of the person conducting such investigation, and of the specific charges or violations being investigated. The Commission held: “Captain Dufrene’s routine review of photos or videos from an electronic monitoring system does not rise to the level of a formal investigation.” The Court of Appeals disagreed and set aside the suspensions. “The NOFD conducted a formal investigation of Mr. Murphy’s seatbelt violations without providing written notice of an investigation. The SAMSARA evidence does not abrogate the Firefighter Bill of Rights. Accordingly, we find that Mr. Murphy’s discipline was an absolute </w:t>
      </w:r>
      <w:proofErr w:type="gramStart"/>
      <w:r>
        <w:t>nullity.”</w:t>
      </w:r>
      <w:proofErr w:type="gramEnd"/>
      <w:r>
        <w:t xml:space="preserve"> </w:t>
      </w:r>
      <w:hyperlink r:id="rId2574" w:history="1">
        <w:r w:rsidRPr="00CF721F">
          <w:rPr>
            <w:rStyle w:val="Hyperlink"/>
          </w:rPr>
          <w:t>https://www.la4th.org/opinion/2025/4959829_1.pdf</w:t>
        </w:r>
      </w:hyperlink>
      <w:r>
        <w:t xml:space="preserve"> </w:t>
      </w:r>
    </w:p>
    <w:p w14:paraId="54E1D41D" w14:textId="77777777" w:rsidR="00C03046" w:rsidRDefault="00C03046" w:rsidP="00C03046">
      <w:pPr>
        <w:pStyle w:val="NoSpacing"/>
      </w:pPr>
    </w:p>
    <w:p w14:paraId="76934C53" w14:textId="77777777" w:rsidR="00C03046" w:rsidRDefault="00C03046" w:rsidP="00C03046">
      <w:pPr>
        <w:pStyle w:val="NoSpacing"/>
      </w:pPr>
      <w:r>
        <w:t>THE COURT HELD:</w:t>
      </w:r>
    </w:p>
    <w:p w14:paraId="0BE40CA8" w14:textId="77777777" w:rsidR="00C03046" w:rsidRDefault="00C03046" w:rsidP="00C03046">
      <w:pPr>
        <w:pStyle w:val="NoSpacing"/>
      </w:pPr>
    </w:p>
    <w:p w14:paraId="46C6504A" w14:textId="77777777" w:rsidR="00C03046" w:rsidRDefault="00C03046" w:rsidP="00C03046">
      <w:pPr>
        <w:pStyle w:val="NoSpacing"/>
        <w:ind w:firstLine="720"/>
      </w:pPr>
      <w:r>
        <w:t>“[The] NOFD asserts that no formal investigation was warranted or</w:t>
      </w:r>
    </w:p>
    <w:p w14:paraId="4102F6C2" w14:textId="77777777" w:rsidR="00C03046" w:rsidRDefault="00C03046" w:rsidP="00C03046">
      <w:pPr>
        <w:pStyle w:val="NoSpacing"/>
        <w:ind w:firstLine="720"/>
      </w:pPr>
      <w:r>
        <w:t>conducted due to the conclusive SAMSARA video evidence of Mr. Murphy’s</w:t>
      </w:r>
    </w:p>
    <w:p w14:paraId="29C13C15" w14:textId="77777777" w:rsidR="00C03046" w:rsidRDefault="00C03046" w:rsidP="00C03046">
      <w:pPr>
        <w:pStyle w:val="NoSpacing"/>
        <w:ind w:firstLine="720"/>
      </w:pPr>
      <w:r>
        <w:t xml:space="preserve">infractions. Nonetheless, the NOFD </w:t>
      </w:r>
      <w:proofErr w:type="gramStart"/>
      <w:r>
        <w:t>contends, ‘</w:t>
      </w:r>
      <w:proofErr w:type="gramEnd"/>
      <w:r>
        <w:t>[t]o the extent any investigation</w:t>
      </w:r>
    </w:p>
    <w:p w14:paraId="752AAFAB" w14:textId="77777777" w:rsidR="00C03046" w:rsidRDefault="00C03046" w:rsidP="00C03046">
      <w:pPr>
        <w:pStyle w:val="NoSpacing"/>
        <w:ind w:firstLine="720"/>
      </w:pPr>
      <w:r>
        <w:t>was conducted, which is denied, it was informal and had not arisen to the level of a</w:t>
      </w:r>
    </w:p>
    <w:p w14:paraId="01A21C40" w14:textId="77777777" w:rsidR="00C03046" w:rsidRDefault="00C03046" w:rsidP="00C03046">
      <w:pPr>
        <w:pStyle w:val="NoSpacing"/>
        <w:ind w:firstLine="720"/>
      </w:pPr>
      <w:r>
        <w:t>formal investigation and the required procedural steps pursuant to La R.S.</w:t>
      </w:r>
    </w:p>
    <w:p w14:paraId="432270BB" w14:textId="77777777" w:rsidR="00C03046" w:rsidRDefault="00C03046" w:rsidP="00C03046">
      <w:pPr>
        <w:pStyle w:val="NoSpacing"/>
        <w:ind w:firstLine="720"/>
      </w:pPr>
      <w:r>
        <w:t>§33:2181(B).’</w:t>
      </w:r>
    </w:p>
    <w:p w14:paraId="1B4B9998" w14:textId="77777777" w:rsidR="00C03046" w:rsidRDefault="00C03046" w:rsidP="00C03046">
      <w:pPr>
        <w:pStyle w:val="NoSpacing"/>
        <w:ind w:firstLine="720"/>
      </w:pPr>
    </w:p>
    <w:p w14:paraId="3E500B20" w14:textId="77777777" w:rsidR="00C03046" w:rsidRDefault="00C03046" w:rsidP="00C03046">
      <w:pPr>
        <w:pStyle w:val="NoSpacing"/>
        <w:ind w:firstLine="720"/>
      </w:pPr>
      <w:r>
        <w:t>***</w:t>
      </w:r>
    </w:p>
    <w:p w14:paraId="1FC7993A" w14:textId="77777777" w:rsidR="00C03046" w:rsidRDefault="00C03046" w:rsidP="00C03046">
      <w:pPr>
        <w:pStyle w:val="NoSpacing"/>
      </w:pPr>
    </w:p>
    <w:p w14:paraId="474E0E4D" w14:textId="77777777" w:rsidR="00C03046" w:rsidRDefault="00C03046" w:rsidP="00C03046">
      <w:pPr>
        <w:pStyle w:val="NoSpacing"/>
        <w:ind w:firstLine="720"/>
      </w:pPr>
      <w:r>
        <w:t>We must determine whether the NOFD conducted a formal investigation of</w:t>
      </w:r>
    </w:p>
    <w:p w14:paraId="18877DB6" w14:textId="77777777" w:rsidR="00C03046" w:rsidRDefault="00C03046" w:rsidP="00C03046">
      <w:pPr>
        <w:pStyle w:val="NoSpacing"/>
        <w:ind w:firstLine="720"/>
      </w:pPr>
      <w:r>
        <w:t>Mr. Murphy.</w:t>
      </w:r>
    </w:p>
    <w:p w14:paraId="20EE6B83" w14:textId="77777777" w:rsidR="00C03046" w:rsidRDefault="00C03046" w:rsidP="00C03046">
      <w:pPr>
        <w:pStyle w:val="NoSpacing"/>
        <w:ind w:firstLine="720"/>
      </w:pPr>
    </w:p>
    <w:p w14:paraId="759F437F" w14:textId="77777777" w:rsidR="00C03046" w:rsidRDefault="00C03046" w:rsidP="00C03046">
      <w:pPr>
        <w:pStyle w:val="NoSpacing"/>
        <w:ind w:firstLine="720"/>
      </w:pPr>
      <w:r>
        <w:t xml:space="preserve">As stated above, </w:t>
      </w:r>
      <w:proofErr w:type="gramStart"/>
      <w:r>
        <w:t>the NOFD</w:t>
      </w:r>
      <w:proofErr w:type="gramEnd"/>
      <w:r>
        <w:t xml:space="preserve"> is required to provide notice in writing of a</w:t>
      </w:r>
    </w:p>
    <w:p w14:paraId="79ED6734" w14:textId="77777777" w:rsidR="00C03046" w:rsidRDefault="00C03046" w:rsidP="00C03046">
      <w:pPr>
        <w:pStyle w:val="NoSpacing"/>
        <w:ind w:firstLine="720"/>
      </w:pPr>
      <w:r>
        <w:t>formal investigation into a firefighter’s conduct. “The Louisiana Attorney</w:t>
      </w:r>
    </w:p>
    <w:p w14:paraId="239D30B3" w14:textId="77777777" w:rsidR="00C03046" w:rsidRDefault="00C03046" w:rsidP="00C03046">
      <w:pPr>
        <w:pStyle w:val="NoSpacing"/>
        <w:ind w:firstLine="720"/>
      </w:pPr>
      <w:r>
        <w:t>General’s office has interpreted La. R.S. 33:2181 as applying to all situations when</w:t>
      </w:r>
    </w:p>
    <w:p w14:paraId="606211C6" w14:textId="77777777" w:rsidR="00C03046" w:rsidRDefault="00C03046" w:rsidP="00C03046">
      <w:pPr>
        <w:pStyle w:val="NoSpacing"/>
        <w:ind w:firstLine="720"/>
      </w:pPr>
      <w:r>
        <w:lastRenderedPageBreak/>
        <w:t>an authorized person makes an inquiry or collects evidence with a view to</w:t>
      </w:r>
    </w:p>
    <w:p w14:paraId="2D50D576" w14:textId="77777777" w:rsidR="00C03046" w:rsidRDefault="00C03046" w:rsidP="00C03046">
      <w:pPr>
        <w:pStyle w:val="NoSpacing"/>
        <w:ind w:firstLine="720"/>
      </w:pPr>
      <w:r>
        <w:t>disciplinary action.” Farrelly, 2019-216, p. 4, 284 So.3d at 683 (citing La. Att’y</w:t>
      </w:r>
    </w:p>
    <w:p w14:paraId="1119E55D" w14:textId="77777777" w:rsidR="00C03046" w:rsidRDefault="00C03046" w:rsidP="00C03046">
      <w:pPr>
        <w:pStyle w:val="NoSpacing"/>
        <w:ind w:firstLine="720"/>
      </w:pPr>
      <w:r>
        <w:t>Gen. Op. No. 13-0207, 2014 WL 1404481). This Court held that a formal</w:t>
      </w:r>
    </w:p>
    <w:p w14:paraId="2980DDEE" w14:textId="77777777" w:rsidR="00C03046" w:rsidRDefault="00C03046" w:rsidP="00C03046">
      <w:pPr>
        <w:pStyle w:val="NoSpacing"/>
        <w:ind w:firstLine="720"/>
      </w:pPr>
      <w:r>
        <w:t>investigation began when the NOFD was made aware of the firefighter’s alleged</w:t>
      </w:r>
    </w:p>
    <w:p w14:paraId="4FCEAF54" w14:textId="77777777" w:rsidR="00C03046" w:rsidRDefault="00C03046" w:rsidP="00C03046">
      <w:pPr>
        <w:pStyle w:val="NoSpacing"/>
        <w:ind w:firstLine="720"/>
      </w:pPr>
      <w:r>
        <w:t xml:space="preserve">behavior and evidence </w:t>
      </w:r>
      <w:proofErr w:type="gramStart"/>
      <w:r>
        <w:t>was</w:t>
      </w:r>
      <w:proofErr w:type="gramEnd"/>
      <w:r>
        <w:t xml:space="preserve"> received.</w:t>
      </w:r>
    </w:p>
    <w:p w14:paraId="47290860" w14:textId="77777777" w:rsidR="00C03046" w:rsidRDefault="00C03046" w:rsidP="00C03046">
      <w:pPr>
        <w:pStyle w:val="NoSpacing"/>
        <w:ind w:firstLine="720"/>
      </w:pPr>
    </w:p>
    <w:p w14:paraId="0C332312" w14:textId="77777777" w:rsidR="00C03046" w:rsidRDefault="00C03046" w:rsidP="00C03046">
      <w:pPr>
        <w:pStyle w:val="NoSpacing"/>
        <w:ind w:firstLine="720"/>
      </w:pPr>
      <w:r>
        <w:t>***</w:t>
      </w:r>
    </w:p>
    <w:p w14:paraId="20D51500" w14:textId="77777777" w:rsidR="00C03046" w:rsidRDefault="00C03046" w:rsidP="00C03046">
      <w:pPr>
        <w:pStyle w:val="NoSpacing"/>
        <w:ind w:left="720"/>
      </w:pPr>
      <w:r>
        <w:t>Louisiana Revised Statutes: 33:2181(B), a portion of the Firefighter Bill of Rights, provides:</w:t>
      </w:r>
    </w:p>
    <w:p w14:paraId="299361F7" w14:textId="77777777" w:rsidR="00C03046" w:rsidRDefault="00C03046" w:rsidP="00C03046">
      <w:pPr>
        <w:pStyle w:val="NoSpacing"/>
        <w:ind w:left="720" w:firstLine="720"/>
      </w:pPr>
      <w:r>
        <w:t>B. Whenever a fire employee is under investigation, the following</w:t>
      </w:r>
    </w:p>
    <w:p w14:paraId="162206B7" w14:textId="77777777" w:rsidR="00C03046" w:rsidRDefault="00C03046" w:rsidP="00C03046">
      <w:pPr>
        <w:pStyle w:val="NoSpacing"/>
        <w:ind w:left="720" w:firstLine="720"/>
      </w:pPr>
      <w:r>
        <w:t>minimum standards shall apply:</w:t>
      </w:r>
    </w:p>
    <w:p w14:paraId="326866FC" w14:textId="77777777" w:rsidR="00C03046" w:rsidRDefault="00C03046" w:rsidP="00C03046">
      <w:pPr>
        <w:pStyle w:val="NoSpacing"/>
        <w:ind w:left="720" w:firstLine="720"/>
      </w:pPr>
      <w:r>
        <w:t>(1) Prior to commencing a formal investigation of a fire employee,</w:t>
      </w:r>
    </w:p>
    <w:p w14:paraId="6A43967B" w14:textId="77777777" w:rsidR="00C03046" w:rsidRDefault="00C03046" w:rsidP="00C03046">
      <w:pPr>
        <w:pStyle w:val="NoSpacing"/>
        <w:ind w:left="720" w:firstLine="720"/>
      </w:pPr>
      <w:r>
        <w:t>the appointing authority shall notify the employee in writing of the</w:t>
      </w:r>
    </w:p>
    <w:p w14:paraId="3DF0CAB8" w14:textId="77777777" w:rsidR="00C03046" w:rsidRDefault="00C03046" w:rsidP="00C03046">
      <w:pPr>
        <w:pStyle w:val="NoSpacing"/>
        <w:ind w:left="720" w:firstLine="720"/>
      </w:pPr>
      <w:r>
        <w:t>nature of the investigation, of the identity and authority of the</w:t>
      </w:r>
    </w:p>
    <w:p w14:paraId="599DCD1C" w14:textId="77777777" w:rsidR="00C03046" w:rsidRDefault="00C03046" w:rsidP="00C03046">
      <w:pPr>
        <w:pStyle w:val="NoSpacing"/>
        <w:ind w:left="720" w:firstLine="720"/>
      </w:pPr>
      <w:r>
        <w:t>person conducting such investigation, and of the specific charges or</w:t>
      </w:r>
    </w:p>
    <w:p w14:paraId="15D283F7" w14:textId="77777777" w:rsidR="00C03046" w:rsidRDefault="00C03046" w:rsidP="00C03046">
      <w:pPr>
        <w:pStyle w:val="NoSpacing"/>
        <w:ind w:left="720" w:firstLine="720"/>
      </w:pPr>
      <w:r>
        <w:t>violations being investigated.”</w:t>
      </w:r>
    </w:p>
    <w:p w14:paraId="481D5792" w14:textId="77777777" w:rsidR="00C03046" w:rsidRDefault="00C03046" w:rsidP="00C03046">
      <w:pPr>
        <w:pStyle w:val="NoSpacing"/>
        <w:ind w:firstLine="720"/>
      </w:pPr>
    </w:p>
    <w:p w14:paraId="28B568C3" w14:textId="77777777" w:rsidR="00C03046" w:rsidRDefault="00C03046" w:rsidP="00C03046">
      <w:pPr>
        <w:pStyle w:val="NoSpacing"/>
        <w:ind w:firstLine="720"/>
      </w:pPr>
    </w:p>
    <w:p w14:paraId="5280C9D2" w14:textId="77777777" w:rsidR="00C03046" w:rsidRPr="008F3E61" w:rsidRDefault="00C03046" w:rsidP="00C03046">
      <w:pPr>
        <w:pStyle w:val="NoSpacing"/>
        <w:rPr>
          <w:b/>
          <w:bCs/>
        </w:rPr>
      </w:pPr>
      <w:r w:rsidRPr="008F3E61">
        <w:rPr>
          <w:b/>
        </w:rPr>
        <w:t>Legal lesson learned:</w:t>
      </w:r>
      <w:r>
        <w:rPr>
          <w:b/>
        </w:rPr>
        <w:t xml:space="preserve"> Given this very broad decision about “formal” investigations, the fire department should consider providing written notice for all infractions that can lead to discipline. </w:t>
      </w:r>
    </w:p>
    <w:p w14:paraId="31CB53FB" w14:textId="77777777" w:rsidR="00C03046" w:rsidRDefault="00C03046" w:rsidP="00C03046">
      <w:pPr>
        <w:pStyle w:val="NoSpacing"/>
        <w:ind w:firstLine="720"/>
      </w:pPr>
    </w:p>
    <w:p w14:paraId="6061A417" w14:textId="77777777" w:rsidR="00C03046" w:rsidRDefault="00C03046" w:rsidP="00C03046">
      <w:pPr>
        <w:pStyle w:val="NoSpacing"/>
        <w:ind w:left="720"/>
      </w:pPr>
      <w:r>
        <w:t xml:space="preserve">Note: Read the Civil Service Commission report. </w:t>
      </w:r>
      <w:hyperlink r:id="rId2575" w:history="1">
        <w:r w:rsidRPr="00D41613">
          <w:rPr>
            <w:rStyle w:val="Hyperlink"/>
          </w:rPr>
          <w:t>https://nola.gov/getattachment/a5d775b2-685d-43c3-a7ff-ae60a9dcf745/Murphy,-Michael-9697-9698/</w:t>
        </w:r>
      </w:hyperlink>
      <w:r>
        <w:t xml:space="preserve">  </w:t>
      </w:r>
    </w:p>
    <w:p w14:paraId="1CE0F361" w14:textId="77777777" w:rsidR="00C03046" w:rsidRDefault="00C03046" w:rsidP="00C03046">
      <w:pPr>
        <w:pStyle w:val="NoSpacing"/>
      </w:pPr>
    </w:p>
    <w:p w14:paraId="7CE58EBA" w14:textId="77777777" w:rsidR="00C03046" w:rsidRDefault="00C03046" w:rsidP="00C03046">
      <w:pPr>
        <w:pStyle w:val="NoSpacing"/>
        <w:ind w:left="1440"/>
      </w:pPr>
      <w:r>
        <w:t xml:space="preserve">“Deputy Chief Larry White instructed the District Chief to instruct Captain Wiltz to charge Operator Murphy with a violation of the seatbelt policy. Captain Wiltz charged Operator Murphy on December 20, 2024, with violating the seatbelt policy, RR-55. Operator Murphy prepared a special report about the seatbelt infraction, which District Chiefs Ashburn and </w:t>
      </w:r>
      <w:proofErr w:type="spellStart"/>
      <w:r>
        <w:t>Kuruda</w:t>
      </w:r>
      <w:proofErr w:type="spellEnd"/>
      <w:r>
        <w:t xml:space="preserve"> required him to rewrite several times. (Tr. at 94-95). Operator Murphy appeared at a pre-disciplinary hearing before a panel of Deputy Chief White and two District Chiefs on January 16, 2025. NOFD suspended Operator Murphy for 12 hours for the December 2 offense, the minimum penalty for the offense under NOFD policy. (Tr. at 44). NOFD suspended Operator Murphy for 24 hours for the second offense on December 11, the minimum penalty for a second offense. (Tr. At 44).” </w:t>
      </w:r>
    </w:p>
    <w:p w14:paraId="0DA16225" w14:textId="77777777" w:rsidR="00C03046" w:rsidRDefault="00C03046" w:rsidP="00C03046">
      <w:pPr>
        <w:pStyle w:val="NoSpacing"/>
        <w:ind w:left="1440"/>
      </w:pPr>
      <w:hyperlink r:id="rId2576" w:history="1">
        <w:r w:rsidRPr="00CF721F">
          <w:rPr>
            <w:rStyle w:val="Hyperlink"/>
          </w:rPr>
          <w:t>https://nola.gov/getattachment/a5d775b2-685d-43c3-a7ff-ae60a9dcf745/Murphy,-Michael-9697-9698/</w:t>
        </w:r>
      </w:hyperlink>
      <w:r>
        <w:t xml:space="preserve"> </w:t>
      </w:r>
    </w:p>
    <w:p w14:paraId="53F5D4F2" w14:textId="77777777" w:rsidR="00E11253" w:rsidRDefault="00E11253" w:rsidP="002F7727">
      <w:pPr>
        <w:pStyle w:val="NoSpacing"/>
        <w:rPr>
          <w:rFonts w:ascii="Arial Black" w:hAnsi="Arial Black"/>
          <w:b/>
          <w:sz w:val="24"/>
          <w:szCs w:val="24"/>
        </w:rPr>
      </w:pPr>
    </w:p>
    <w:p w14:paraId="2B440090" w14:textId="4028E5AE" w:rsidR="00DA3352" w:rsidRDefault="00DA3352" w:rsidP="00DA3352">
      <w:pPr>
        <w:pStyle w:val="NoSpacing"/>
        <w:rPr>
          <w:rFonts w:ascii="Arial Black" w:hAnsi="Arial Black"/>
          <w:b/>
          <w:sz w:val="24"/>
          <w:szCs w:val="24"/>
        </w:rPr>
      </w:pPr>
      <w:r>
        <w:rPr>
          <w:rFonts w:ascii="Arial Black" w:hAnsi="Arial Black"/>
          <w:b/>
          <w:sz w:val="24"/>
          <w:szCs w:val="24"/>
        </w:rPr>
        <w:t>16-153</w:t>
      </w:r>
    </w:p>
    <w:p w14:paraId="6AD66682" w14:textId="77777777" w:rsidR="00DA3352" w:rsidRDefault="00DA3352" w:rsidP="00DA3352">
      <w:pPr>
        <w:pStyle w:val="NoSpacing"/>
        <w:rPr>
          <w:rFonts w:ascii="Arial Black" w:hAnsi="Arial Black"/>
          <w:b/>
          <w:sz w:val="24"/>
          <w:szCs w:val="24"/>
        </w:rPr>
      </w:pPr>
    </w:p>
    <w:p w14:paraId="356FBC20" w14:textId="77777777" w:rsidR="00DA3352" w:rsidRDefault="00DA3352" w:rsidP="002F7727">
      <w:pPr>
        <w:pStyle w:val="NoSpacing"/>
        <w:rPr>
          <w:rFonts w:ascii="Arial Black" w:hAnsi="Arial Black"/>
          <w:b/>
          <w:sz w:val="24"/>
          <w:szCs w:val="24"/>
        </w:rPr>
      </w:pPr>
    </w:p>
    <w:p w14:paraId="7B284716" w14:textId="77777777" w:rsidR="00DA3352" w:rsidRPr="0030539D" w:rsidRDefault="00DA3352" w:rsidP="00DA3352">
      <w:pPr>
        <w:pStyle w:val="NoSpacing"/>
        <w:rPr>
          <w:rFonts w:ascii="Arial Black" w:hAnsi="Arial Black"/>
          <w:b/>
          <w:sz w:val="28"/>
          <w:szCs w:val="28"/>
        </w:rPr>
      </w:pPr>
      <w:r w:rsidRPr="0030539D">
        <w:rPr>
          <w:rFonts w:ascii="Arial Black" w:hAnsi="Arial Black"/>
          <w:b/>
          <w:sz w:val="28"/>
          <w:szCs w:val="28"/>
        </w:rPr>
        <w:t xml:space="preserve">MA: </w:t>
      </w:r>
      <w:r>
        <w:rPr>
          <w:rFonts w:ascii="Arial Black" w:hAnsi="Arial Black"/>
          <w:b/>
          <w:sz w:val="28"/>
          <w:szCs w:val="28"/>
        </w:rPr>
        <w:t>FIRE CHIEF – FIRED - SCAMMERS – NO DEFEMATION</w:t>
      </w:r>
    </w:p>
    <w:p w14:paraId="533C0390" w14:textId="77777777" w:rsidR="00DA3352" w:rsidRDefault="00DA3352" w:rsidP="00DA3352">
      <w:pPr>
        <w:pStyle w:val="NoSpacing"/>
      </w:pPr>
    </w:p>
    <w:p w14:paraId="40618CCB" w14:textId="77777777" w:rsidR="00DA3352" w:rsidRDefault="00DA3352" w:rsidP="00DA3352">
      <w:pPr>
        <w:pStyle w:val="NoSpacing"/>
      </w:pPr>
      <w:r>
        <w:t xml:space="preserve">On March 26, 2026, in </w:t>
      </w:r>
      <w:r w:rsidRPr="00C81E1F">
        <w:rPr>
          <w:u w:val="single"/>
        </w:rPr>
        <w:t>Ernest J. Cardillo, Jr. v. Donald M. Chabon</w:t>
      </w:r>
      <w:r>
        <w:t xml:space="preserve">, the </w:t>
      </w:r>
      <w:r w:rsidRPr="005E251C">
        <w:t>Appeals Court of Massachusetts</w:t>
      </w:r>
      <w:r>
        <w:t xml:space="preserve"> held (3 to 0) that trial court properly granted summary judgment to </w:t>
      </w:r>
      <w:r w:rsidRPr="00C12454">
        <w:t xml:space="preserve">because </w:t>
      </w:r>
      <w:r>
        <w:t xml:space="preserve">the Town of </w:t>
      </w:r>
      <w:r w:rsidRPr="005A489C">
        <w:t>Stockbridge</w:t>
      </w:r>
      <w:r>
        <w:t>’s</w:t>
      </w:r>
      <w:r w:rsidRPr="005A489C">
        <w:t xml:space="preserve"> Selectboard Chair Donald M. Chabon</w:t>
      </w:r>
      <w:r>
        <w:t xml:space="preserve">’s </w:t>
      </w:r>
      <w:r w:rsidRPr="00C12454">
        <w:t xml:space="preserve">statements to a newspaper reporter </w:t>
      </w:r>
      <w:r>
        <w:t xml:space="preserve">about the former Fire Chief </w:t>
      </w:r>
      <w:r w:rsidRPr="00C12454">
        <w:t>were</w:t>
      </w:r>
      <w:r>
        <w:t xml:space="preserve"> not </w:t>
      </w:r>
      <w:r w:rsidRPr="00C12454">
        <w:t xml:space="preserve">defamatory and </w:t>
      </w:r>
      <w:r>
        <w:t xml:space="preserve">not </w:t>
      </w:r>
      <w:r w:rsidRPr="00C12454">
        <w:t>made with actual malice</w:t>
      </w:r>
      <w:r>
        <w:t xml:space="preserve">.  </w:t>
      </w:r>
      <w:r w:rsidRPr="0030539D">
        <w:t>On February 8, 2019, the Springfield Republican newspaper published an article in response to members of the fire department protesting Cardillo's termination. The article stated that Cardillo was terminated after repeatedly falling "victim to scammers" in the purchasing of equipment for the fire department. The article reported that the selectboard had estimated that Cardillo's actions cost the town around $83,000. Chabon told the reporter that after Cardillo had learned that he had been taken advantage of, he tried to conceal the purchases and "[h]e changed the books." After the newspaper article was published, Cardillo filed suit against Chabon alleging defamation and infliction of emotional distress.</w:t>
      </w:r>
      <w:r>
        <w:t xml:space="preserve"> </w:t>
      </w:r>
      <w:hyperlink r:id="rId2577" w:history="1">
        <w:r w:rsidRPr="00682DA7">
          <w:rPr>
            <w:rStyle w:val="Hyperlink"/>
          </w:rPr>
          <w:t>https://public.fastcase.com/Jhe1Qn%2BmJndQYQU6z%2FeNm0JH5q8gWciAXAF9bixHugWdaYIct3CF769DEA6AolcFot0MADEgf34paIS5RxXYfLHjDYkVz561VNE3Py00FLo%3D?utm_medium=email&amp;_hsenc=p2ANqtz--</w:t>
        </w:r>
        <w:r w:rsidRPr="00682DA7">
          <w:rPr>
            <w:rStyle w:val="Hyperlink"/>
          </w:rPr>
          <w:lastRenderedPageBreak/>
          <w:t>lMiV9AKrZhOCKCU8G42zfsMnA0WduNXw5NGIFgBNIi3qKeq5uCBwN2k8_bjKsGZk1kObDueEzHePI446cTwvuol4Y2w&amp;_hsmi=226712652&amp;utm_content=226712652&amp;utm_source=hs_email</w:t>
        </w:r>
      </w:hyperlink>
      <w:r>
        <w:t xml:space="preserve"> </w:t>
      </w:r>
    </w:p>
    <w:p w14:paraId="79632DA5" w14:textId="77777777" w:rsidR="00DA3352" w:rsidRDefault="00DA3352" w:rsidP="00DA3352">
      <w:pPr>
        <w:pStyle w:val="NoSpacing"/>
      </w:pPr>
    </w:p>
    <w:p w14:paraId="6CDB1457" w14:textId="77777777" w:rsidR="00DA3352" w:rsidRDefault="00DA3352" w:rsidP="00DA3352">
      <w:pPr>
        <w:pStyle w:val="NoSpacing"/>
      </w:pPr>
      <w:r>
        <w:t>THE COURT HELD:</w:t>
      </w:r>
    </w:p>
    <w:p w14:paraId="2BA8421F" w14:textId="77777777" w:rsidR="00DA3352" w:rsidRDefault="00DA3352" w:rsidP="00DA3352">
      <w:pPr>
        <w:pStyle w:val="NoSpacing"/>
      </w:pPr>
    </w:p>
    <w:p w14:paraId="70FD641E" w14:textId="77777777" w:rsidR="00DA3352" w:rsidRDefault="00DA3352" w:rsidP="00DA3352">
      <w:pPr>
        <w:pStyle w:val="NoSpacing"/>
        <w:ind w:left="720"/>
      </w:pPr>
      <w:r>
        <w:t>“</w:t>
      </w:r>
      <w:r w:rsidRPr="00EA4E4C">
        <w:t>In 2012, Cardillo was appointed to the position of fire chief for the town of Stockbridge. That same year, Cardillo received an unsolicited telephone call from a sales representative of a New York company, Pioneer Products Inc. (Pioneer). Cardillo agreed to purchase four gallons of fire hose and gear cleaner from Pioneer. While the parties did not sign a written contract, it is undisputed that Cardillo agreed to this purchase and submitted the invoice to the town for payment.</w:t>
      </w:r>
      <w:r w:rsidRPr="00EA4E4C">
        <w:rPr>
          <w:vertAlign w:val="superscript"/>
        </w:rPr>
        <w:t>[</w:t>
      </w:r>
      <w:hyperlink r:id="rId2578" w:anchor="ftn.FN3" w:history="1">
        <w:r w:rsidRPr="00EA4E4C">
          <w:rPr>
            <w:rStyle w:val="Hyperlink"/>
            <w:vertAlign w:val="superscript"/>
          </w:rPr>
          <w:t>3</w:t>
        </w:r>
      </w:hyperlink>
      <w:r w:rsidRPr="00EA4E4C">
        <w:rPr>
          <w:vertAlign w:val="superscript"/>
        </w:rPr>
        <w:t>]</w:t>
      </w:r>
      <w:r w:rsidRPr="00EA4E4C">
        <w:t xml:space="preserve"> Sometime after the initial purchase, Cardillo was contacted by Pioneer and told that the purchase price paid for his first order was contingent on accepting additional shipments. The sales representative told Cardillo that if he did not place an additional order, Pioneer would submit an amended invoice for the first shipment at a significantly higher price. Although there did not appear to be anything in writing memorializing Pioneer's claim that the price could be increased retroactively, Cardillo felt pressured and placed an additional order to avoid the ballooning costs. </w:t>
      </w:r>
    </w:p>
    <w:p w14:paraId="43F6D054" w14:textId="77777777" w:rsidR="00DA3352" w:rsidRDefault="00DA3352" w:rsidP="00DA3352">
      <w:pPr>
        <w:pStyle w:val="NoSpacing"/>
        <w:ind w:left="720"/>
      </w:pPr>
    </w:p>
    <w:p w14:paraId="6EA3030D" w14:textId="77777777" w:rsidR="00DA3352" w:rsidRDefault="00DA3352" w:rsidP="00DA3352">
      <w:pPr>
        <w:pStyle w:val="NoSpacing"/>
        <w:ind w:left="720"/>
      </w:pPr>
      <w:r>
        <w:t>***</w:t>
      </w:r>
    </w:p>
    <w:p w14:paraId="7EB8F012" w14:textId="77777777" w:rsidR="00DA3352" w:rsidRDefault="00DA3352" w:rsidP="00DA3352">
      <w:pPr>
        <w:pStyle w:val="NoSpacing"/>
        <w:ind w:left="720"/>
      </w:pPr>
    </w:p>
    <w:p w14:paraId="17DEE78A" w14:textId="77777777" w:rsidR="00DA3352" w:rsidRDefault="00DA3352" w:rsidP="00DA3352">
      <w:pPr>
        <w:pStyle w:val="NoSpacing"/>
        <w:ind w:left="720"/>
      </w:pPr>
      <w:r w:rsidRPr="000F2420">
        <w:t xml:space="preserve">December 2016, Cardillo agreed to purchase $6,779 of deicer from Pioneer. However, Cardillo's spreadsheet identified the vendor as Fire Tech instead of Pioneer. Two months later, Cardillo purchased additional deicer from Pioneer totaling $6,780 but logged the vendor as Meadow Farm and described the expenditure as fuel. The pattern was repeated in 2017, when Cardillo purchased over $7,500 of supplies (heavy duty truck wash and hose and gear cleaner) despite making the same purchase several months </w:t>
      </w:r>
      <w:proofErr w:type="gramStart"/>
      <w:r w:rsidRPr="000F2420">
        <w:t>previous</w:t>
      </w:r>
      <w:proofErr w:type="gramEnd"/>
      <w:r w:rsidRPr="000F2420">
        <w:t>. This purchase was from Noble, but Cardillo listed the vendor as Stock Motor Car on the spreadsheets.</w:t>
      </w:r>
    </w:p>
    <w:p w14:paraId="5D655C7E" w14:textId="77777777" w:rsidR="00DA3352" w:rsidRDefault="00DA3352" w:rsidP="00DA3352">
      <w:pPr>
        <w:pStyle w:val="NoSpacing"/>
        <w:ind w:left="720"/>
      </w:pPr>
    </w:p>
    <w:p w14:paraId="149A32EE" w14:textId="77777777" w:rsidR="00DA3352" w:rsidRDefault="00DA3352" w:rsidP="00DA3352">
      <w:pPr>
        <w:pStyle w:val="NoSpacing"/>
        <w:ind w:left="720"/>
      </w:pPr>
      <w:r>
        <w:t>***</w:t>
      </w:r>
    </w:p>
    <w:p w14:paraId="7AA0902D" w14:textId="77777777" w:rsidR="00DA3352" w:rsidRDefault="00DA3352" w:rsidP="00DA3352">
      <w:pPr>
        <w:pStyle w:val="NoSpacing"/>
        <w:ind w:left="720"/>
      </w:pPr>
      <w:r w:rsidRPr="00575870">
        <w:t xml:space="preserve">In 2018, one of Cardillo's purchases came to the attention of the town administrator, resulting in the selectboard retaining town counsel. Town </w:t>
      </w:r>
      <w:proofErr w:type="spellStart"/>
      <w:r w:rsidRPr="00575870">
        <w:t>counsel</w:t>
      </w:r>
      <w:proofErr w:type="spellEnd"/>
      <w:r w:rsidRPr="00575870">
        <w:t xml:space="preserve"> (Miyares) was tasked with investigating Cardillo's purchases from Pioneer and a related company, Noble Industrial Supply Corp. (Noble), and issuing a report (the </w:t>
      </w:r>
      <w:r>
        <w:t>‘</w:t>
      </w:r>
      <w:r w:rsidRPr="00575870">
        <w:t>Miyares report</w:t>
      </w:r>
      <w:r>
        <w:t>’</w:t>
      </w:r>
      <w:r w:rsidRPr="00575870">
        <w:t xml:space="preserve">). The Miyares report found that both Pioneer and Noble had a history of defrauding </w:t>
      </w:r>
      <w:proofErr w:type="gramStart"/>
      <w:r w:rsidRPr="00575870">
        <w:t>small town</w:t>
      </w:r>
      <w:proofErr w:type="gramEnd"/>
      <w:r w:rsidRPr="00575870">
        <w:t xml:space="preserve"> governments, especially fire departments. The Better Business Bureau had received complaints that the companies would initially offer to sell a product at a "seemingly favorable price" but then later demand additional purchases be made to avoid being charged for prior purchases at a higher rate. Pioneer and Noble shipped more </w:t>
      </w:r>
      <w:proofErr w:type="gramStart"/>
      <w:r w:rsidRPr="00575870">
        <w:t>products,</w:t>
      </w:r>
      <w:proofErr w:type="gramEnd"/>
      <w:r w:rsidRPr="00575870">
        <w:t xml:space="preserve"> each time with the representation that the customer had to accept the delivery to avoid additional charges. Even when customers complained that they had an adequate supply of a particular product, the message from Pioneer and Noble was firm. They would offer to switch to a different product, but the customer was obligated to pay for additional purchases.</w:t>
      </w:r>
    </w:p>
    <w:p w14:paraId="7CC805A1" w14:textId="77777777" w:rsidR="00DA3352" w:rsidRDefault="00DA3352" w:rsidP="00DA3352">
      <w:pPr>
        <w:pStyle w:val="NoSpacing"/>
        <w:ind w:left="720"/>
      </w:pPr>
    </w:p>
    <w:p w14:paraId="208CF849" w14:textId="77777777" w:rsidR="00DA3352" w:rsidRDefault="00DA3352" w:rsidP="00DA3352">
      <w:pPr>
        <w:pStyle w:val="NoSpacing"/>
        <w:ind w:left="720"/>
      </w:pPr>
      <w:r>
        <w:t>***</w:t>
      </w:r>
    </w:p>
    <w:p w14:paraId="5B1DD9AA" w14:textId="77777777" w:rsidR="00DA3352" w:rsidRPr="00B52D12" w:rsidRDefault="00DA3352" w:rsidP="00DA3352">
      <w:pPr>
        <w:pStyle w:val="NoSpacing"/>
        <w:ind w:left="720"/>
      </w:pPr>
      <w:r w:rsidRPr="00B52D12">
        <w:t> Here, Chabon's statement, read as a whole, communicated that the town incurred a substantial cost when Cardillo fell prey to a purchasing scam orchestrated by Pioneer and Noble. The gist of Chabon's statement, even if the precise amount of loss to the town was inaccurate, is substantially true. The impact on the reader was the same regardless of whether Chabon's or Miyares's estimate reflected a thorough accounting of the financial harm to the town</w:t>
      </w:r>
      <w:r>
        <w:t xml:space="preserve">…. </w:t>
      </w:r>
      <w:r w:rsidRPr="00B52D12">
        <w:t xml:space="preserve">We conclude that, given the substance of the statement and when read as a whole, Chabon's statement was essentially true and was insufficient to establish falsehood for purposes of a claim of </w:t>
      </w:r>
      <w:proofErr w:type="gramStart"/>
      <w:r w:rsidRPr="00B52D12">
        <w:t>defamation.</w:t>
      </w:r>
      <w:r>
        <w:t>”</w:t>
      </w:r>
      <w:proofErr w:type="gramEnd"/>
    </w:p>
    <w:p w14:paraId="23344419" w14:textId="77777777" w:rsidR="00DA3352" w:rsidRDefault="00DA3352" w:rsidP="00DA3352">
      <w:pPr>
        <w:pStyle w:val="NoSpacing"/>
        <w:ind w:left="720"/>
      </w:pPr>
    </w:p>
    <w:p w14:paraId="272537CB" w14:textId="77777777" w:rsidR="00DA3352" w:rsidRDefault="00DA3352" w:rsidP="00DA3352">
      <w:pPr>
        <w:pStyle w:val="NoSpacing"/>
        <w:ind w:left="720"/>
      </w:pPr>
    </w:p>
    <w:p w14:paraId="59DA2FE0" w14:textId="77777777" w:rsidR="00DA3352" w:rsidRPr="00575870" w:rsidRDefault="00DA3352" w:rsidP="00DA3352">
      <w:pPr>
        <w:rPr>
          <w:b/>
          <w:bCs/>
        </w:rPr>
      </w:pPr>
      <w:r>
        <w:rPr>
          <w:b/>
        </w:rPr>
        <w:t xml:space="preserve">Legal lesson learned: The Town’s statements to the reporter were “essentially true” – no defamation. </w:t>
      </w:r>
    </w:p>
    <w:p w14:paraId="68BECF6C" w14:textId="77777777" w:rsidR="00DA3352" w:rsidRDefault="00DA3352" w:rsidP="002F7727">
      <w:pPr>
        <w:pStyle w:val="NoSpacing"/>
        <w:rPr>
          <w:rFonts w:ascii="Arial Black" w:hAnsi="Arial Black"/>
          <w:b/>
          <w:sz w:val="24"/>
          <w:szCs w:val="24"/>
        </w:rPr>
      </w:pPr>
    </w:p>
    <w:p w14:paraId="46276CEB" w14:textId="77777777" w:rsidR="00DA3352" w:rsidRDefault="00DA3352" w:rsidP="002F7727">
      <w:pPr>
        <w:pStyle w:val="NoSpacing"/>
        <w:rPr>
          <w:rFonts w:ascii="Arial Black" w:hAnsi="Arial Black"/>
          <w:b/>
          <w:sz w:val="24"/>
          <w:szCs w:val="24"/>
        </w:rPr>
      </w:pPr>
    </w:p>
    <w:p w14:paraId="62D4D5DF" w14:textId="77777777" w:rsidR="00DA3352" w:rsidRDefault="00DA3352" w:rsidP="002F7727">
      <w:pPr>
        <w:pStyle w:val="NoSpacing"/>
        <w:rPr>
          <w:rFonts w:ascii="Arial Black" w:hAnsi="Arial Black"/>
          <w:b/>
          <w:sz w:val="24"/>
          <w:szCs w:val="24"/>
        </w:rPr>
      </w:pPr>
    </w:p>
    <w:p w14:paraId="0258C0DE" w14:textId="77777777" w:rsidR="00DA3352" w:rsidRDefault="00DA3352" w:rsidP="002F7727">
      <w:pPr>
        <w:pStyle w:val="NoSpacing"/>
        <w:rPr>
          <w:rFonts w:ascii="Arial Black" w:hAnsi="Arial Black"/>
          <w:b/>
          <w:sz w:val="24"/>
          <w:szCs w:val="24"/>
        </w:rPr>
      </w:pPr>
    </w:p>
    <w:p w14:paraId="74CA35A5" w14:textId="04267F7F" w:rsidR="008F1833" w:rsidRDefault="0075332D" w:rsidP="002F7727">
      <w:pPr>
        <w:pStyle w:val="NoSpacing"/>
        <w:rPr>
          <w:rFonts w:ascii="Arial Black" w:hAnsi="Arial Black"/>
          <w:b/>
          <w:sz w:val="24"/>
          <w:szCs w:val="24"/>
        </w:rPr>
      </w:pPr>
      <w:r>
        <w:rPr>
          <w:rFonts w:ascii="Arial Black" w:hAnsi="Arial Black"/>
          <w:b/>
          <w:sz w:val="24"/>
          <w:szCs w:val="24"/>
        </w:rPr>
        <w:t>16-15</w:t>
      </w:r>
      <w:r w:rsidR="000301F2">
        <w:rPr>
          <w:rFonts w:ascii="Arial Black" w:hAnsi="Arial Black"/>
          <w:b/>
          <w:sz w:val="24"/>
          <w:szCs w:val="24"/>
        </w:rPr>
        <w:t>2</w:t>
      </w:r>
    </w:p>
    <w:p w14:paraId="000BA964" w14:textId="77777777" w:rsidR="0075332D" w:rsidRDefault="0075332D" w:rsidP="002F7727">
      <w:pPr>
        <w:pStyle w:val="NoSpacing"/>
        <w:rPr>
          <w:rFonts w:ascii="Arial Black" w:hAnsi="Arial Black"/>
          <w:b/>
          <w:sz w:val="24"/>
          <w:szCs w:val="24"/>
        </w:rPr>
      </w:pPr>
    </w:p>
    <w:p w14:paraId="7805EB33" w14:textId="77777777" w:rsidR="009352C7" w:rsidRPr="00495C7E" w:rsidRDefault="009352C7" w:rsidP="009352C7">
      <w:pPr>
        <w:pStyle w:val="NoSpacing"/>
        <w:rPr>
          <w:rFonts w:ascii="Arial Black" w:hAnsi="Arial Black"/>
          <w:sz w:val="28"/>
          <w:szCs w:val="28"/>
        </w:rPr>
      </w:pPr>
      <w:r>
        <w:rPr>
          <w:rFonts w:ascii="Arial Black" w:hAnsi="Arial Black"/>
          <w:sz w:val="28"/>
          <w:szCs w:val="28"/>
        </w:rPr>
        <w:t>TX: FF MISD – NO WRITTEN NOTICE TO CHIEF – 3 DAY SUSP</w:t>
      </w:r>
    </w:p>
    <w:p w14:paraId="161CF772" w14:textId="77777777" w:rsidR="009352C7" w:rsidRDefault="009352C7" w:rsidP="009352C7">
      <w:pPr>
        <w:pStyle w:val="NoSpacing"/>
      </w:pPr>
    </w:p>
    <w:p w14:paraId="704D83E3" w14:textId="77777777" w:rsidR="009352C7" w:rsidRDefault="009352C7" w:rsidP="009352C7">
      <w:pPr>
        <w:pStyle w:val="NoSpacing"/>
      </w:pPr>
      <w:r>
        <w:t xml:space="preserve">On March 17, 2026, in </w:t>
      </w:r>
      <w:r w:rsidRPr="002C29C3">
        <w:rPr>
          <w:u w:val="single"/>
        </w:rPr>
        <w:t>Fenton Petry v. City of Houston, Texas, and Police Officers and Firefighters Civil Service Commission</w:t>
      </w:r>
      <w:r>
        <w:t xml:space="preserve">, the </w:t>
      </w:r>
      <w:r w:rsidRPr="002C29C3">
        <w:t>Court of Appeals of Texas, Fourteenth District</w:t>
      </w:r>
      <w:r>
        <w:t xml:space="preserve"> held that both the “independent hearing examiner” and a District Court judge properly upheld the 3-day suspension for firefighter’s failure to inform the fire chief of his misdemeanor conviction of </w:t>
      </w:r>
      <w:r w:rsidRPr="004C4F78">
        <w:t>abuse of official capacity</w:t>
      </w:r>
      <w:r>
        <w:t xml:space="preserve">.  Fire Department regulations require firefighters to give written notice to the Fire Chief within twenty-four hours of “any court hearing dates and results involving a criminal matter.” </w:t>
      </w:r>
      <w:hyperlink r:id="rId2579" w:history="1">
        <w:r w:rsidRPr="004D13CD">
          <w:rPr>
            <w:rStyle w:val="Hyperlink"/>
          </w:rPr>
          <w:t>https://search.txcourts.gov/SearchMedia.aspx?MediaVersionID=2b0bcd7a-4ade-4d61-a274-df674ed3857f&amp;coa=coa14&amp;DT=Opinion&amp;MediaID=e76a99e8-4da0-48c8-9433-ea85e5f312cd</w:t>
        </w:r>
      </w:hyperlink>
      <w:r>
        <w:t xml:space="preserve"> </w:t>
      </w:r>
    </w:p>
    <w:p w14:paraId="68C9937F" w14:textId="77777777" w:rsidR="009352C7" w:rsidRDefault="009352C7" w:rsidP="009352C7">
      <w:pPr>
        <w:pStyle w:val="NoSpacing"/>
      </w:pPr>
    </w:p>
    <w:p w14:paraId="182C6F0B" w14:textId="77777777" w:rsidR="009352C7" w:rsidRPr="004C4F78" w:rsidRDefault="009352C7" w:rsidP="009352C7">
      <w:pPr>
        <w:pStyle w:val="NoSpacing"/>
      </w:pPr>
      <w:r>
        <w:t xml:space="preserve"> THE COURT HELD:  “</w:t>
      </w:r>
      <w:r w:rsidRPr="004C4F78">
        <w:t>Fenton Petry, the firefighter at issue, was charged with a felony count of</w:t>
      </w:r>
    </w:p>
    <w:p w14:paraId="7BACAECB" w14:textId="77777777" w:rsidR="009352C7" w:rsidRPr="004C4F78" w:rsidRDefault="009352C7" w:rsidP="009352C7">
      <w:pPr>
        <w:pStyle w:val="NoSpacing"/>
      </w:pPr>
      <w:r w:rsidRPr="004C4F78">
        <w:t>misuse of official information. See Tex. Penal Code § 39.06. He later pleaded guilty</w:t>
      </w:r>
    </w:p>
    <w:p w14:paraId="2ABA8B9F" w14:textId="77777777" w:rsidR="009352C7" w:rsidRDefault="009352C7" w:rsidP="009352C7">
      <w:pPr>
        <w:pStyle w:val="NoSpacing"/>
        <w:rPr>
          <w:bCs/>
        </w:rPr>
      </w:pPr>
      <w:r w:rsidRPr="004C4F78">
        <w:t>to a lesser misdemeanor count of abuse of official capacity</w:t>
      </w:r>
      <w:r>
        <w:t xml:space="preserve">…. </w:t>
      </w:r>
      <w:r w:rsidRPr="00235407">
        <w:t>Another document attached to the court slip alluded to a conviction. This</w:t>
      </w:r>
      <w:r>
        <w:t xml:space="preserve"> </w:t>
      </w:r>
      <w:r w:rsidRPr="00235407">
        <w:t xml:space="preserve">document was styled as </w:t>
      </w:r>
      <w:r>
        <w:t>‘</w:t>
      </w:r>
      <w:r w:rsidRPr="00235407">
        <w:t>Collections Instructions,</w:t>
      </w:r>
      <w:r>
        <w:t>’</w:t>
      </w:r>
      <w:r w:rsidRPr="00235407">
        <w:t xml:space="preserve"> and it contained a note saying</w:t>
      </w:r>
      <w:r>
        <w:t xml:space="preserve"> ‘</w:t>
      </w:r>
      <w:r w:rsidRPr="00235407">
        <w:t>$100 fine, Class C, court cost payment plan granted.</w:t>
      </w:r>
      <w:r>
        <w:t>’</w:t>
      </w:r>
      <w:r w:rsidRPr="00235407">
        <w:t xml:space="preserve"> But the document did not</w:t>
      </w:r>
      <w:r>
        <w:t xml:space="preserve"> </w:t>
      </w:r>
      <w:r w:rsidRPr="00235407">
        <w:t>identify the offense or even state that there had been a conviction.</w:t>
      </w:r>
      <w:r>
        <w:t>”</w:t>
      </w:r>
    </w:p>
    <w:p w14:paraId="518B1F90" w14:textId="77777777" w:rsidR="009352C7" w:rsidRDefault="009352C7" w:rsidP="009352C7">
      <w:pPr>
        <w:pStyle w:val="NoSpacing"/>
      </w:pPr>
    </w:p>
    <w:p w14:paraId="6146B81E" w14:textId="77777777" w:rsidR="009352C7" w:rsidRDefault="009352C7" w:rsidP="009352C7">
      <w:pPr>
        <w:pStyle w:val="NoSpacing"/>
      </w:pPr>
      <w:r>
        <w:t>***</w:t>
      </w:r>
    </w:p>
    <w:p w14:paraId="71124ACF" w14:textId="77777777" w:rsidR="009352C7" w:rsidRDefault="009352C7" w:rsidP="009352C7">
      <w:pPr>
        <w:pStyle w:val="NoSpacing"/>
      </w:pPr>
      <w:r>
        <w:t>Petry testified that he timely gave a copy of the judgment of conviction to his station captain, rather than the Fire Chief. But he also indicated that he anticipated that his captain would forward that judgment up the chain of command to the Fire Chief…. The Assistant Fire Chief further testified that the captain did not inform anyone in the chain of command about Petry’s conviction, and that the burden of providing that notice ultimately fell on Petry. The Assistant Fire Chief said that Petry knew of this burden because he had complied with it in the past when such notice happened to paint him in a beneficial light. The Assistant Fire Chief referred to an earlier occasion when Petry had been charged with DWI, and Petry directly notified the Fire Chief after that charge had been dismissed.”</w:t>
      </w:r>
    </w:p>
    <w:p w14:paraId="65CCE753" w14:textId="77777777" w:rsidR="009352C7" w:rsidRDefault="009352C7" w:rsidP="009352C7">
      <w:pPr>
        <w:pStyle w:val="NoSpacing"/>
        <w:rPr>
          <w:bCs/>
        </w:rPr>
      </w:pPr>
    </w:p>
    <w:p w14:paraId="00D34C60" w14:textId="77777777" w:rsidR="009352C7" w:rsidRDefault="009352C7" w:rsidP="009352C7">
      <w:pPr>
        <w:pStyle w:val="NoSpacing"/>
        <w:rPr>
          <w:b/>
        </w:rPr>
      </w:pPr>
      <w:r w:rsidRPr="00CA50E8">
        <w:rPr>
          <w:b/>
        </w:rPr>
        <w:t xml:space="preserve">Legal lesson learned: </w:t>
      </w:r>
      <w:r>
        <w:rPr>
          <w:b/>
        </w:rPr>
        <w:t xml:space="preserve">Excellent Fire Department policy – 24-hour written notice to Fire Chief of </w:t>
      </w:r>
      <w:r w:rsidRPr="00411EF9">
        <w:rPr>
          <w:b/>
        </w:rPr>
        <w:t>“any court hearing dates and results involving a criminal matter.”</w:t>
      </w:r>
    </w:p>
    <w:p w14:paraId="44A09BC3" w14:textId="77777777" w:rsidR="000301F2" w:rsidRDefault="000301F2" w:rsidP="009352C7">
      <w:pPr>
        <w:pStyle w:val="NoSpacing"/>
        <w:rPr>
          <w:b/>
        </w:rPr>
      </w:pPr>
    </w:p>
    <w:p w14:paraId="53648DB5" w14:textId="77777777" w:rsidR="000301F2" w:rsidRDefault="000301F2" w:rsidP="009352C7">
      <w:pPr>
        <w:pStyle w:val="NoSpacing"/>
        <w:rPr>
          <w:b/>
        </w:rPr>
      </w:pPr>
    </w:p>
    <w:p w14:paraId="51FDF3A1" w14:textId="75ABF0CC" w:rsidR="000301F2" w:rsidRPr="003C1133" w:rsidRDefault="000301F2" w:rsidP="009352C7">
      <w:pPr>
        <w:pStyle w:val="NoSpacing"/>
        <w:rPr>
          <w:b/>
          <w:sz w:val="28"/>
          <w:szCs w:val="28"/>
        </w:rPr>
      </w:pPr>
      <w:r w:rsidRPr="003C1133">
        <w:rPr>
          <w:b/>
          <w:sz w:val="28"/>
          <w:szCs w:val="28"/>
        </w:rPr>
        <w:t>16-151</w:t>
      </w:r>
    </w:p>
    <w:p w14:paraId="55C28911" w14:textId="77777777" w:rsidR="000301F2" w:rsidRDefault="000301F2" w:rsidP="009352C7">
      <w:pPr>
        <w:pStyle w:val="NoSpacing"/>
        <w:rPr>
          <w:b/>
        </w:rPr>
      </w:pPr>
    </w:p>
    <w:p w14:paraId="133CC37A" w14:textId="77777777" w:rsidR="000301F2" w:rsidRDefault="000301F2" w:rsidP="000301F2">
      <w:pPr>
        <w:pStyle w:val="NoSpacing"/>
        <w:rPr>
          <w:rFonts w:ascii="Arial Black" w:hAnsi="Arial Black"/>
          <w:sz w:val="28"/>
          <w:szCs w:val="28"/>
        </w:rPr>
      </w:pPr>
      <w:r>
        <w:rPr>
          <w:rFonts w:ascii="Arial Black" w:hAnsi="Arial Black"/>
          <w:sz w:val="28"/>
          <w:szCs w:val="28"/>
        </w:rPr>
        <w:t>MO: BC FIRED – USED AFFF STRUCTURE FIRE – VIOL ORDER</w:t>
      </w:r>
    </w:p>
    <w:p w14:paraId="1D23EAA0" w14:textId="77777777" w:rsidR="000301F2" w:rsidRDefault="000301F2" w:rsidP="000301F2">
      <w:pPr>
        <w:pStyle w:val="NoSpacing"/>
        <w:rPr>
          <w:rFonts w:ascii="Arial Black" w:hAnsi="Arial Black"/>
          <w:sz w:val="28"/>
          <w:szCs w:val="28"/>
        </w:rPr>
      </w:pPr>
    </w:p>
    <w:p w14:paraId="05ECC4A9" w14:textId="77777777" w:rsidR="000301F2" w:rsidRDefault="000301F2" w:rsidP="000301F2">
      <w:pPr>
        <w:pStyle w:val="NoSpacing"/>
      </w:pPr>
      <w:r>
        <w:t xml:space="preserve">On March 3, 2026, in </w:t>
      </w:r>
      <w:r w:rsidRPr="002E2C1B">
        <w:rPr>
          <w:u w:val="single"/>
        </w:rPr>
        <w:t>David Matusik v. Lake Ozark Fire Protection District</w:t>
      </w:r>
      <w:r>
        <w:t xml:space="preserve">, the </w:t>
      </w:r>
      <w:r w:rsidRPr="007F3B5A">
        <w:t>Court of Appeals of Missouri, Western District, Third Division</w:t>
      </w:r>
      <w:r>
        <w:t xml:space="preserve"> held (3 to 0) that the </w:t>
      </w:r>
      <w:r w:rsidRPr="00D37D10">
        <w:t>Board of Directors</w:t>
      </w:r>
      <w:r>
        <w:t xml:space="preserve"> held a due process hearing and had </w:t>
      </w:r>
      <w:r w:rsidRPr="00AB4BDB">
        <w:t>just cause to terminate Matusik’s employment.</w:t>
      </w:r>
      <w:r>
        <w:t xml:space="preserve">  New Fire Chief was hired in April 2023, and in </w:t>
      </w:r>
      <w:r w:rsidRPr="003E2F37">
        <w:t xml:space="preserve">November 2023, </w:t>
      </w:r>
      <w:r>
        <w:t xml:space="preserve">he </w:t>
      </w:r>
      <w:r w:rsidRPr="003E2F37">
        <w:t xml:space="preserve">discovered the </w:t>
      </w:r>
      <w:proofErr w:type="gramStart"/>
      <w:r w:rsidRPr="003E2F37">
        <w:t>District</w:t>
      </w:r>
      <w:proofErr w:type="gramEnd"/>
      <w:r w:rsidRPr="003E2F37">
        <w:t xml:space="preserve"> was still using AFFF</w:t>
      </w:r>
      <w:r>
        <w:t xml:space="preserve"> foam (cancer risk); on November 11, </w:t>
      </w:r>
      <w:proofErr w:type="gramStart"/>
      <w:r>
        <w:t>2023</w:t>
      </w:r>
      <w:proofErr w:type="gramEnd"/>
      <w:r>
        <w:t xml:space="preserve"> issued a written order prohibiting its use “unless an absolute life safety issue exists.” Less </w:t>
      </w:r>
      <w:proofErr w:type="spellStart"/>
      <w:r>
        <w:t>that</w:t>
      </w:r>
      <w:proofErr w:type="spellEnd"/>
      <w:r>
        <w:t xml:space="preserve"> two weeks later, on November 24, 2023, Matusik responded to a rekindled fire; was a “wind driven” fire that had spread to two homes beyond the initial involved home, and he decided to use the AFFF at the fire. The Fire Chief recommended his termination for this decision, plus working a shift trade that he converted to overtime pay without Chief’s permission. The Battalion Chief appealed to Circuit Court judge that reversed the termination;  the Court of Appeals reinstated the termination. </w:t>
      </w:r>
      <w:hyperlink r:id="rId2580" w:history="1">
        <w:r w:rsidRPr="002E59C2">
          <w:rPr>
            <w:rStyle w:val="Hyperlink"/>
          </w:rPr>
          <w:t>https://cases.justia.com/missouri/court-of-appeals/2026-wd88004.pdf?ts=1772555406</w:t>
        </w:r>
      </w:hyperlink>
      <w:r>
        <w:t xml:space="preserve"> </w:t>
      </w:r>
    </w:p>
    <w:p w14:paraId="67413446" w14:textId="77777777" w:rsidR="000301F2" w:rsidRDefault="000301F2" w:rsidP="000301F2">
      <w:pPr>
        <w:pStyle w:val="NoSpacing"/>
      </w:pPr>
    </w:p>
    <w:p w14:paraId="4B7F5A10" w14:textId="77777777" w:rsidR="000301F2" w:rsidRDefault="000301F2" w:rsidP="000301F2">
      <w:pPr>
        <w:pStyle w:val="NoSpacing"/>
      </w:pPr>
      <w:r>
        <w:lastRenderedPageBreak/>
        <w:t xml:space="preserve">THE COURT HELD: “We affirm the decision of the Board and remand the cause to the circuit court with directions to reinstate the Board’s decision terminating Matusik’s employment… With respect to his use of the AFFF, the Board found that Matusik was aware of Fire Chief’s order regarding the use of AFFF and knew that use of the foam without a life safety emergency was prohibited. The Board also discounted Matusik’s testimony that Fire Chief’s order gave him discretion to use AFFF because the only discretion afforded was if there was a life safety issue. The Board concluded that the evidence did not support </w:t>
      </w:r>
      <w:proofErr w:type="gramStart"/>
      <w:r>
        <w:t>a finding</w:t>
      </w:r>
      <w:proofErr w:type="gramEnd"/>
      <w:r>
        <w:t xml:space="preserve"> that any person’s life was in danger and that Matusik had other options available to him to fight the fire. The Board found Matusik’s decision to use the AFFF contradicted a direct order and was not supported by the facts…. </w:t>
      </w:r>
      <w:r w:rsidRPr="004474C8">
        <w:t>The Board affirmed the disciplinary recommendation and terminated Matusik’s employment.</w:t>
      </w:r>
      <w:r>
        <w:t>”</w:t>
      </w:r>
    </w:p>
    <w:p w14:paraId="6FAF0295" w14:textId="77777777" w:rsidR="000301F2" w:rsidRDefault="000301F2" w:rsidP="000301F2">
      <w:pPr>
        <w:pStyle w:val="NoSpacing"/>
      </w:pPr>
    </w:p>
    <w:p w14:paraId="2803081D" w14:textId="77777777" w:rsidR="000301F2" w:rsidRDefault="000301F2" w:rsidP="000301F2">
      <w:pPr>
        <w:pStyle w:val="NoSpacing"/>
      </w:pPr>
      <w:r w:rsidRPr="00C015D9">
        <w:rPr>
          <w:b/>
        </w:rPr>
        <w:t xml:space="preserve">Legal lesson learned: </w:t>
      </w:r>
      <w:r>
        <w:rPr>
          <w:b/>
        </w:rPr>
        <w:t xml:space="preserve">The Battalion Chief disobeyed the Chief’s order to not use AFFF foam. </w:t>
      </w:r>
    </w:p>
    <w:p w14:paraId="175B0F4A" w14:textId="77777777" w:rsidR="000301F2" w:rsidRDefault="000301F2" w:rsidP="000301F2">
      <w:pPr>
        <w:pStyle w:val="NoSpacing"/>
      </w:pPr>
    </w:p>
    <w:p w14:paraId="1B6639B1" w14:textId="77777777" w:rsidR="000301F2" w:rsidRPr="001C5BE8" w:rsidRDefault="000301F2" w:rsidP="000301F2">
      <w:pPr>
        <w:pStyle w:val="NoSpacing"/>
        <w:ind w:left="720"/>
        <w:rPr>
          <w:bCs/>
        </w:rPr>
      </w:pPr>
      <w:r w:rsidRPr="000425E7">
        <w:t>Note: See</w:t>
      </w:r>
      <w:r>
        <w:t xml:space="preserve"> July 8, </w:t>
      </w:r>
      <w:proofErr w:type="gramStart"/>
      <w:r>
        <w:t>2024</w:t>
      </w:r>
      <w:proofErr w:type="gramEnd"/>
      <w:r>
        <w:t xml:space="preserve"> GAO report: “</w:t>
      </w:r>
      <w:r w:rsidRPr="001C5BE8">
        <w:t>Firefighting Foam: DOD is Working to Address Challenges to Transitioning to PFAS-Free Alternatives</w:t>
      </w:r>
      <w:r>
        <w:t xml:space="preserve">.” </w:t>
      </w:r>
      <w:hyperlink r:id="rId2581" w:history="1">
        <w:r w:rsidRPr="0045422A">
          <w:rPr>
            <w:rStyle w:val="Hyperlink"/>
          </w:rPr>
          <w:t>https://www.gao.gov/products/gao-24-107322</w:t>
        </w:r>
      </w:hyperlink>
      <w:r>
        <w:t xml:space="preserve"> </w:t>
      </w:r>
    </w:p>
    <w:p w14:paraId="3BBFEA6E" w14:textId="77777777" w:rsidR="000301F2" w:rsidRDefault="000301F2" w:rsidP="000301F2">
      <w:pPr>
        <w:pStyle w:val="NoSpacing"/>
        <w:ind w:left="720"/>
        <w:rPr>
          <w:bCs/>
        </w:rPr>
      </w:pPr>
    </w:p>
    <w:p w14:paraId="4C916177" w14:textId="77777777" w:rsidR="000301F2" w:rsidRDefault="000301F2" w:rsidP="000301F2">
      <w:pPr>
        <w:pStyle w:val="NoSpacing"/>
        <w:ind w:left="720"/>
      </w:pPr>
      <w:r>
        <w:t>“</w:t>
      </w:r>
      <w:r w:rsidRPr="00C435C4">
        <w:t>The Defense Department is required to transition away from using firefighting foam that contains PFAS, a class of chemicals that poses health risks and has been found in drinking water around bases. This kind of foam has been considered the most effective product for suppressing jet fuel fires.</w:t>
      </w:r>
      <w:r>
        <w:t>”</w:t>
      </w:r>
    </w:p>
    <w:p w14:paraId="0054F477" w14:textId="77777777" w:rsidR="000301F2" w:rsidRDefault="000301F2" w:rsidP="000301F2">
      <w:pPr>
        <w:pStyle w:val="NoSpacing"/>
        <w:ind w:left="720"/>
      </w:pPr>
    </w:p>
    <w:p w14:paraId="66E250A5" w14:textId="77777777" w:rsidR="000301F2" w:rsidRPr="00CA50E8" w:rsidRDefault="000301F2" w:rsidP="009352C7">
      <w:pPr>
        <w:pStyle w:val="NoSpacing"/>
        <w:rPr>
          <w:b/>
        </w:rPr>
      </w:pPr>
    </w:p>
    <w:p w14:paraId="5A1523A9" w14:textId="77777777" w:rsidR="009352C7" w:rsidRDefault="009352C7" w:rsidP="002F7727">
      <w:pPr>
        <w:pStyle w:val="NoSpacing"/>
        <w:rPr>
          <w:rFonts w:ascii="Arial Black" w:hAnsi="Arial Black"/>
          <w:b/>
          <w:sz w:val="24"/>
          <w:szCs w:val="24"/>
        </w:rPr>
      </w:pPr>
    </w:p>
    <w:p w14:paraId="67954119" w14:textId="77777777" w:rsidR="0075332D" w:rsidRDefault="0075332D" w:rsidP="002F7727">
      <w:pPr>
        <w:pStyle w:val="NoSpacing"/>
        <w:rPr>
          <w:rFonts w:ascii="Arial Black" w:hAnsi="Arial Black"/>
          <w:b/>
          <w:sz w:val="24"/>
          <w:szCs w:val="24"/>
        </w:rPr>
      </w:pPr>
    </w:p>
    <w:p w14:paraId="6E80C789" w14:textId="77777777" w:rsidR="0075332D" w:rsidRDefault="0075332D" w:rsidP="002F7727">
      <w:pPr>
        <w:pStyle w:val="NoSpacing"/>
        <w:rPr>
          <w:rFonts w:ascii="Arial Black" w:hAnsi="Arial Black"/>
          <w:b/>
          <w:sz w:val="24"/>
          <w:szCs w:val="24"/>
        </w:rPr>
      </w:pPr>
    </w:p>
    <w:p w14:paraId="1983BDF7" w14:textId="63EF4D99" w:rsidR="008F1833" w:rsidRDefault="002F409C" w:rsidP="002F7727">
      <w:pPr>
        <w:pStyle w:val="NoSpacing"/>
        <w:rPr>
          <w:rFonts w:ascii="Arial Black" w:hAnsi="Arial Black"/>
          <w:b/>
          <w:sz w:val="24"/>
          <w:szCs w:val="24"/>
        </w:rPr>
      </w:pPr>
      <w:r>
        <w:rPr>
          <w:rFonts w:ascii="Arial Black" w:hAnsi="Arial Black"/>
          <w:b/>
          <w:sz w:val="24"/>
          <w:szCs w:val="24"/>
        </w:rPr>
        <w:t>16-150</w:t>
      </w:r>
      <w:r w:rsidR="00DB1FBE">
        <w:rPr>
          <w:rFonts w:ascii="Arial Black" w:hAnsi="Arial Black"/>
          <w:b/>
          <w:sz w:val="24"/>
          <w:szCs w:val="24"/>
        </w:rPr>
        <w:t xml:space="preserve">  </w:t>
      </w:r>
      <w:r w:rsidR="00DB1FBE" w:rsidRPr="00DB1FBE">
        <w:rPr>
          <w:rFonts w:ascii="Times New Roman" w:hAnsi="Times New Roman"/>
          <w:b/>
          <w:sz w:val="24"/>
          <w:szCs w:val="24"/>
        </w:rPr>
        <w:t>[also filed, Chap. 13]</w:t>
      </w:r>
      <w:r w:rsidR="00DB1FBE">
        <w:rPr>
          <w:rFonts w:ascii="Arial Black" w:hAnsi="Arial Black"/>
          <w:b/>
          <w:sz w:val="24"/>
          <w:szCs w:val="24"/>
        </w:rPr>
        <w:t xml:space="preserve"> </w:t>
      </w:r>
    </w:p>
    <w:p w14:paraId="145F0D18" w14:textId="77777777" w:rsidR="00DB1FBE" w:rsidRDefault="00DB1FBE" w:rsidP="002F7727">
      <w:pPr>
        <w:pStyle w:val="NoSpacing"/>
        <w:rPr>
          <w:rFonts w:ascii="Arial Black" w:hAnsi="Arial Black"/>
          <w:b/>
          <w:sz w:val="24"/>
          <w:szCs w:val="24"/>
        </w:rPr>
      </w:pPr>
    </w:p>
    <w:p w14:paraId="322B0E8A" w14:textId="77777777" w:rsidR="002F409C" w:rsidRDefault="002F409C" w:rsidP="002F409C">
      <w:pPr>
        <w:pStyle w:val="NoSpacing"/>
        <w:rPr>
          <w:rFonts w:ascii="Arial Black" w:hAnsi="Arial Black"/>
          <w:b/>
          <w:sz w:val="28"/>
          <w:szCs w:val="28"/>
        </w:rPr>
      </w:pPr>
      <w:r>
        <w:rPr>
          <w:rFonts w:ascii="Arial Black" w:hAnsi="Arial Black"/>
          <w:b/>
          <w:sz w:val="28"/>
          <w:szCs w:val="28"/>
        </w:rPr>
        <w:t xml:space="preserve">FL: B/C FIRED – REFUSED TO ISSUE COVID REPRIMANDS </w:t>
      </w:r>
    </w:p>
    <w:p w14:paraId="38D9810D" w14:textId="77777777" w:rsidR="002F409C" w:rsidRDefault="002F409C" w:rsidP="002F409C">
      <w:pPr>
        <w:pStyle w:val="NoSpacing"/>
        <w:rPr>
          <w:rFonts w:ascii="Arial Black" w:hAnsi="Arial Black"/>
          <w:b/>
          <w:sz w:val="28"/>
          <w:szCs w:val="28"/>
        </w:rPr>
      </w:pPr>
    </w:p>
    <w:p w14:paraId="0B38A88E" w14:textId="77777777" w:rsidR="002F409C" w:rsidRDefault="002F409C" w:rsidP="002F409C">
      <w:pPr>
        <w:pStyle w:val="NoSpacing"/>
        <w:rPr>
          <w:bCs/>
        </w:rPr>
      </w:pPr>
      <w:r>
        <w:t xml:space="preserve">On February 13, 2026, in </w:t>
      </w:r>
      <w:r w:rsidRPr="00805F39">
        <w:rPr>
          <w:u w:val="single"/>
        </w:rPr>
        <w:t>Stephen M. Davis v. Orange County</w:t>
      </w:r>
      <w:r>
        <w:t xml:space="preserve">, the United States Court of Appeals for the Eleventh Circuit (Atlanta) held (3 to 0; unpublished decision) that his lawsuit was properly dismissed.  </w:t>
      </w:r>
      <w:r w:rsidRPr="00CD2C4C">
        <w:t xml:space="preserve">Davis worked for the department for 15 years and advanced through the ranks to battalion chief. In 2021, Davis was terminated after he did not reprimand department personnel who refused the Orange County’s mandated COVID-19 vaccine. </w:t>
      </w:r>
      <w:r>
        <w:t xml:space="preserve"> Davis has failed to allege an” objectively reasonable” belief that issuing the written reprimands to firefighters who hadn’t timely provided a vaccination certificate or exemption request, because the union had negotiated an MOU with the County that COVID reprimands could not be considered or used in a union member’s performance evaluation, and that no further disciplinary action could be taken against employees who didn’t file a timely vaccination certificate or exemption request. </w:t>
      </w:r>
      <w:hyperlink r:id="rId2582" w:history="1">
        <w:r w:rsidRPr="002B0907">
          <w:rPr>
            <w:rStyle w:val="Hyperlink"/>
          </w:rPr>
          <w:t>https://www.govinfo.gov/content/pkg/USCOURTS-ca11-25-11434/pdf/USCOURTS-ca11-25-11434-0.pdf</w:t>
        </w:r>
      </w:hyperlink>
      <w:r>
        <w:t xml:space="preserve"> </w:t>
      </w:r>
    </w:p>
    <w:p w14:paraId="17A6FCB2" w14:textId="77777777" w:rsidR="002F409C" w:rsidRDefault="002F409C" w:rsidP="002F409C">
      <w:pPr>
        <w:pStyle w:val="NoSpacing"/>
        <w:rPr>
          <w:bCs/>
        </w:rPr>
      </w:pPr>
    </w:p>
    <w:p w14:paraId="7C38F979" w14:textId="77777777" w:rsidR="002F409C" w:rsidRDefault="002F409C" w:rsidP="002F409C">
      <w:pPr>
        <w:pStyle w:val="NoSpacing"/>
      </w:pPr>
      <w:r>
        <w:t>THE COURT HELD: “It is undisputed that Davis’s termination was an adverse employment action caused by his refusal to issue reprimands for violations of the department’s COVID-19 policy, so this case comes down to whether that refusal was protected activity…. Here, Davis asserts that he believed the reprimands he was ordered to issue violated Title VII’s anti-discrimination provision. That belief wasn’t objectively reasonable….  The memorandum of understanding between the union representing Orange County firefighters and the county stated that the reprimands could not be considered or used in a union member’s performance</w:t>
      </w:r>
    </w:p>
    <w:p w14:paraId="30C79BBB" w14:textId="77777777" w:rsidR="002F409C" w:rsidRDefault="002F409C" w:rsidP="002F409C">
      <w:pPr>
        <w:pStyle w:val="NoSpacing"/>
      </w:pPr>
      <w:r>
        <w:t xml:space="preserve">evaluation, and that no further disciplinary action could be taken against employees who didn’t file a timely vaccination certificate or exemption request. In other words, the reprimands were toothless—they themselves didn’t rise to the level of an adverse employment action, and a future adverse employment action couldn’t be based on them…. In other words, the reprimands were toothless—they themselves didn’t rise to the level of an adverse employment action, and a future adverse employment action couldn’t be based on them. </w:t>
      </w:r>
      <w:proofErr w:type="gramStart"/>
      <w:r>
        <w:t>So</w:t>
      </w:r>
      <w:proofErr w:type="gramEnd"/>
      <w:r>
        <w:t xml:space="preserve"> Davis has failed to allege an objectively reasonable belief that a written reprimand—that by its own terms could</w:t>
      </w:r>
    </w:p>
    <w:p w14:paraId="74AE29AD" w14:textId="77777777" w:rsidR="002F409C" w:rsidRDefault="002F409C" w:rsidP="002F409C">
      <w:pPr>
        <w:pStyle w:val="NoSpacing"/>
      </w:pPr>
      <w:r>
        <w:t>not impact the terms or conditions of a firefighter’s employment— would disadvantage, harm, or make “worse off” his subordinates’ employment in any way.”</w:t>
      </w:r>
    </w:p>
    <w:p w14:paraId="5881BC65" w14:textId="77777777" w:rsidR="002F409C" w:rsidRDefault="002F409C" w:rsidP="002F409C">
      <w:pPr>
        <w:pStyle w:val="NoSpacing"/>
      </w:pPr>
    </w:p>
    <w:p w14:paraId="042553EC" w14:textId="77777777" w:rsidR="002F409C" w:rsidRDefault="002F409C" w:rsidP="002F409C">
      <w:pPr>
        <w:pStyle w:val="NoSpacing"/>
        <w:rPr>
          <w:b/>
          <w:bCs/>
        </w:rPr>
      </w:pPr>
      <w:r>
        <w:rPr>
          <w:b/>
        </w:rPr>
        <w:lastRenderedPageBreak/>
        <w:t>Legal lesson learned:  Davis should have consulted an employment layer before refusing to issue the COVID reprimands.</w:t>
      </w:r>
    </w:p>
    <w:p w14:paraId="2711476C" w14:textId="77777777" w:rsidR="002F409C" w:rsidRDefault="002F409C" w:rsidP="002F409C">
      <w:pPr>
        <w:pStyle w:val="NoSpacing"/>
        <w:rPr>
          <w:b/>
          <w:bCs/>
        </w:rPr>
      </w:pPr>
    </w:p>
    <w:p w14:paraId="5CEDC709" w14:textId="77777777" w:rsidR="002F409C" w:rsidRDefault="002F409C" w:rsidP="002F409C">
      <w:pPr>
        <w:pStyle w:val="NoSpacing"/>
        <w:ind w:left="720"/>
      </w:pPr>
      <w:r>
        <w:t xml:space="preserve">Note: See June 15, </w:t>
      </w:r>
      <w:proofErr w:type="gramStart"/>
      <w:r>
        <w:t>2024</w:t>
      </w:r>
      <w:proofErr w:type="gramEnd"/>
      <w:r>
        <w:t xml:space="preserve"> article</w:t>
      </w:r>
      <w:r w:rsidRPr="001260AC">
        <w:rPr>
          <w:b/>
        </w:rPr>
        <w:t xml:space="preserve">: </w:t>
      </w:r>
      <w:r>
        <w:rPr>
          <w:b/>
        </w:rPr>
        <w:t>“</w:t>
      </w:r>
      <w:r w:rsidRPr="001260AC">
        <w:t>BREAKING: Former Orange County Fire Rescue battalion chief announces candidacy for County Commission District 1</w:t>
      </w:r>
      <w:r>
        <w:t xml:space="preserve">. </w:t>
      </w:r>
      <w:hyperlink r:id="rId2583" w:history="1">
        <w:r w:rsidRPr="002B0907">
          <w:rPr>
            <w:rStyle w:val="Hyperlink"/>
          </w:rPr>
          <w:t>https://www.orangeobserver.com/news/2024/jun/15/breaking-former-orange-county-fire-rescue-battalion-chief-announces-candidacy-for-county-commission-district-1/</w:t>
        </w:r>
      </w:hyperlink>
      <w:r>
        <w:t xml:space="preserve"> </w:t>
      </w:r>
    </w:p>
    <w:p w14:paraId="28F98514" w14:textId="77777777" w:rsidR="002F409C" w:rsidRDefault="002F409C" w:rsidP="002F409C">
      <w:pPr>
        <w:pStyle w:val="NoSpacing"/>
        <w:ind w:left="720"/>
      </w:pPr>
    </w:p>
    <w:p w14:paraId="07731DD2" w14:textId="77777777" w:rsidR="002F409C" w:rsidRPr="00A21182" w:rsidRDefault="002F409C" w:rsidP="002F409C">
      <w:pPr>
        <w:pStyle w:val="NoSpacing"/>
        <w:ind w:left="720"/>
      </w:pPr>
      <w:r>
        <w:t>“</w:t>
      </w:r>
      <w:r w:rsidRPr="00722EC8">
        <w:t xml:space="preserve">Stephen Davis, a former Orange County Fire Rescue battalion chief has filed as a qualified write-in candidate for the </w:t>
      </w:r>
      <w:proofErr w:type="gramStart"/>
      <w:r w:rsidRPr="00722EC8">
        <w:t>District</w:t>
      </w:r>
      <w:proofErr w:type="gramEnd"/>
      <w:r w:rsidRPr="00722EC8">
        <w:t xml:space="preserve"> 1 Orange County Commission seat.</w:t>
      </w:r>
      <w:r>
        <w:t xml:space="preserve"> </w:t>
      </w:r>
      <w:r w:rsidRPr="00722EC8">
        <w:t xml:space="preserve">Davis joins incumbent Nicole Wilson and challenger Austin Arthur in the race. </w:t>
      </w:r>
      <w:proofErr w:type="spellStart"/>
      <w:r w:rsidRPr="00722EC8">
        <w:t>Davis’</w:t>
      </w:r>
      <w:proofErr w:type="spellEnd"/>
      <w:r w:rsidRPr="00722EC8">
        <w:t xml:space="preserve"> candidacy also moves the race from November general election up to the primary ballot, Aug. 20.</w:t>
      </w:r>
      <w:r>
        <w:t xml:space="preserve"> </w:t>
      </w:r>
      <w:r w:rsidRPr="00722EC8">
        <w:t xml:space="preserve">If one candidate gets 50% plus one vote in the primary, that person wins the seat, Orange County Supervisor of Elections Public Information Officer Christopher Heath said. </w:t>
      </w:r>
      <w:r>
        <w:t xml:space="preserve"> </w:t>
      </w:r>
      <w:r w:rsidRPr="00722EC8">
        <w:t>Davis worked for the department for 15 years and advanced through the ranks to battalion chief. In 2021, Davis was terminated after he did not reprimand department personnel who refused the Orange County’s mandated COVID-19 vaccine.</w:t>
      </w:r>
      <w:r w:rsidRPr="00A21182">
        <w:rPr>
          <w:rFonts w:eastAsia="Times New Roman"/>
        </w:rPr>
        <w:t xml:space="preserve"> </w:t>
      </w:r>
      <w:r w:rsidRPr="00A21182">
        <w:t xml:space="preserve">He later filed a lawsuit against the county for wrongful termination </w:t>
      </w:r>
      <w:proofErr w:type="gramStart"/>
      <w:r w:rsidRPr="00A21182">
        <w:t>and also</w:t>
      </w:r>
      <w:proofErr w:type="gramEnd"/>
      <w:r w:rsidRPr="00A21182">
        <w:t xml:space="preserve"> has written a book about his experience.</w:t>
      </w:r>
      <w:r>
        <w:t xml:space="preserve"> ‘</w:t>
      </w:r>
      <w:r w:rsidRPr="00A21182">
        <w:t>History has now proven Orange County was wrong to mandate the so-called vaccine,</w:t>
      </w:r>
      <w:r>
        <w:t>’</w:t>
      </w:r>
      <w:r w:rsidRPr="00A21182">
        <w:t xml:space="preserve"> Davis said. </w:t>
      </w:r>
      <w:r>
        <w:t>‘</w:t>
      </w:r>
      <w:r w:rsidRPr="00A21182">
        <w:t>It did not stop the spread. Worse, Commissioner Nicole Wilson ridiculed and showed disdain for the firefighters who refused it. That’s why I’m running — to make sure this issue does not go away.</w:t>
      </w:r>
      <w:r>
        <w:t>’”</w:t>
      </w:r>
    </w:p>
    <w:p w14:paraId="664BB4B0" w14:textId="77777777" w:rsidR="002F409C" w:rsidRPr="00722EC8" w:rsidRDefault="002F409C" w:rsidP="002F409C">
      <w:pPr>
        <w:pStyle w:val="NoSpacing"/>
        <w:ind w:left="720"/>
      </w:pPr>
    </w:p>
    <w:p w14:paraId="015FB502" w14:textId="77777777" w:rsidR="002F409C" w:rsidRDefault="002F409C" w:rsidP="002F409C">
      <w:pPr>
        <w:pStyle w:val="NoSpacing"/>
      </w:pPr>
    </w:p>
    <w:p w14:paraId="4FAFC4E0" w14:textId="23635BD7" w:rsidR="002F409C" w:rsidRPr="008A774F" w:rsidRDefault="00B8457C" w:rsidP="008A774F">
      <w:pPr>
        <w:pStyle w:val="NoSpacing"/>
        <w:rPr>
          <w:rFonts w:ascii="Arial Black" w:hAnsi="Arial Black"/>
          <w:sz w:val="28"/>
          <w:szCs w:val="28"/>
        </w:rPr>
      </w:pPr>
      <w:r w:rsidRPr="008A774F">
        <w:rPr>
          <w:rFonts w:ascii="Arial Black" w:hAnsi="Arial Black"/>
          <w:sz w:val="28"/>
          <w:szCs w:val="28"/>
        </w:rPr>
        <w:t>16-149</w:t>
      </w:r>
    </w:p>
    <w:p w14:paraId="2E59CE5D" w14:textId="77777777" w:rsidR="00B8457C" w:rsidRDefault="00B8457C" w:rsidP="002F409C">
      <w:pPr>
        <w:pStyle w:val="NoSpacing"/>
        <w:ind w:left="720"/>
      </w:pPr>
    </w:p>
    <w:p w14:paraId="0F963F48" w14:textId="77777777" w:rsidR="00B8457C" w:rsidRPr="008A1D44" w:rsidRDefault="00B8457C" w:rsidP="00B8457C">
      <w:pPr>
        <w:pStyle w:val="NoSpacing"/>
        <w:rPr>
          <w:rFonts w:ascii="Arial Black" w:hAnsi="Arial Black"/>
          <w:sz w:val="28"/>
          <w:szCs w:val="28"/>
        </w:rPr>
      </w:pPr>
      <w:r>
        <w:rPr>
          <w:rFonts w:ascii="Arial Black" w:hAnsi="Arial Black"/>
          <w:sz w:val="28"/>
          <w:szCs w:val="28"/>
        </w:rPr>
        <w:t>TX: FEMALE LT – 5-DAY &amp; 10-DAY SUSP - LEAVING STATION</w:t>
      </w:r>
    </w:p>
    <w:p w14:paraId="1206711F" w14:textId="77777777" w:rsidR="00B8457C" w:rsidRDefault="00B8457C" w:rsidP="00B8457C">
      <w:pPr>
        <w:pStyle w:val="NoSpacing"/>
      </w:pPr>
      <w:r w:rsidRPr="008A1D44">
        <w:t> </w:t>
      </w:r>
    </w:p>
    <w:p w14:paraId="1C2E5C13" w14:textId="77777777" w:rsidR="00B8457C" w:rsidRDefault="00B8457C" w:rsidP="00B8457C">
      <w:pPr>
        <w:pStyle w:val="NoSpacing"/>
      </w:pPr>
      <w:r>
        <w:t xml:space="preserve">On February 12, 2026, in </w:t>
      </w:r>
      <w:r w:rsidRPr="003851F7">
        <w:rPr>
          <w:u w:val="single"/>
        </w:rPr>
        <w:t>City of Pharr v. Lt. Krystle Guerra</w:t>
      </w:r>
      <w:r>
        <w:t xml:space="preserve">, the </w:t>
      </w:r>
      <w:r w:rsidRPr="003851F7">
        <w:t>Court of Appeals of Texas, Thirteenth District, Corpus Christi-Edinburg</w:t>
      </w:r>
      <w:r>
        <w:t xml:space="preserve">, held that the </w:t>
      </w:r>
      <w:r w:rsidRPr="00D62030">
        <w:t>City of Pharr Fire &amp; Police Civil Service Commission</w:t>
      </w:r>
      <w:r>
        <w:t xml:space="preserve"> upheld her two separate suspensions after hearings, and the trial court should have dismissed her lawsuit.   </w:t>
      </w:r>
      <w:hyperlink r:id="rId2584" w:history="1">
        <w:r w:rsidRPr="00C72C21">
          <w:rPr>
            <w:rStyle w:val="Hyperlink"/>
          </w:rPr>
          <w:t>https://cases.justia.com/texas/thirteenth-court-of-appeals/2026-13-24-00112-cv.pdf?ts=1770913029</w:t>
        </w:r>
      </w:hyperlink>
      <w:r>
        <w:t xml:space="preserve"> </w:t>
      </w:r>
    </w:p>
    <w:p w14:paraId="398F0604" w14:textId="77777777" w:rsidR="00B8457C" w:rsidRDefault="00B8457C" w:rsidP="00B8457C">
      <w:pPr>
        <w:pStyle w:val="NoSpacing"/>
      </w:pPr>
    </w:p>
    <w:p w14:paraId="3EE69B60" w14:textId="77777777" w:rsidR="00B8457C" w:rsidRDefault="00B8457C" w:rsidP="00B8457C">
      <w:pPr>
        <w:pStyle w:val="NoSpacing"/>
      </w:pPr>
      <w:r>
        <w:t>THE COURT HELD: “</w:t>
      </w:r>
      <w:r w:rsidRPr="00363CB9">
        <w:t>On June 22, 2021, Guerra received written notice that then-Fire Chief Leonardo Perez was investigating allegations that she violated Department policies on multiple occasions. The allegations largely centered on several reports that, without prior authorization, Guerra repeatedly left her assigned fire station and district to conduct personal business or socialize at other stations while on duty.</w:t>
      </w:r>
      <w:r>
        <w:t xml:space="preserve"> </w:t>
      </w:r>
      <w:r w:rsidRPr="00363CB9">
        <w:t xml:space="preserve">During a disciplinary hearing before Chief Perez, Guerra did not dispute those allegations; instead, she generally claimed that it was common for other Department personnel to run personal errands during work hours. Chief Perez invited Guerra to provide examples to support her contention. In a follow-up email to Chief Perez, she accused him of running personal errands while on duty and cited specific instances of him allegedly doing so. After considering Guerra's response, Chief Perez found the allegations against her to be true and suspended Guerra for five days without pay. </w:t>
      </w:r>
      <w:r>
        <w:t xml:space="preserve">*** </w:t>
      </w:r>
      <w:r w:rsidRPr="00001403">
        <w:t xml:space="preserve">In January 2022, Chief Perez's successor, Pilar Rodriguez, sent Guerra written notice of contemplated discipline concerning two incidents. Guerra was accused of </w:t>
      </w:r>
      <w:r>
        <w:t>‘</w:t>
      </w:r>
      <w:r w:rsidRPr="00001403">
        <w:t>exchanging time</w:t>
      </w:r>
      <w:r>
        <w:t>’</w:t>
      </w:r>
      <w:r w:rsidRPr="00001403">
        <w:t xml:space="preserve"> with another lieutenant in violation of a supervisor's prior directive not to do so. She was also accused of leaving her post for two hours without obtaining prior authorization from her immediate supervisor or notifying others above her in the chain of command.</w:t>
      </w:r>
      <w:r>
        <w:t xml:space="preserve"> *** </w:t>
      </w:r>
      <w:r w:rsidRPr="00802436">
        <w:t xml:space="preserve">Guerra alleged in her petition that her protected activities consisted of </w:t>
      </w:r>
      <w:r>
        <w:t>‘</w:t>
      </w:r>
      <w:r w:rsidRPr="00802436">
        <w:t>reporting misbehavior by a male firefighter and [Chief Perez]</w:t>
      </w:r>
      <w:r>
        <w:t>’</w:t>
      </w:r>
      <w:r w:rsidRPr="00802436">
        <w:t xml:space="preserve"> and that her transfer to another station and suspensions constituted </w:t>
      </w:r>
      <w:r>
        <w:t>‘</w:t>
      </w:r>
      <w:r w:rsidRPr="00802436">
        <w:t>retaliation</w:t>
      </w:r>
      <w:r>
        <w:t>’</w:t>
      </w:r>
      <w:r w:rsidRPr="00802436">
        <w:t xml:space="preserve"> for making these reports. However, as she described in her own petition, the January 2021 report concerned </w:t>
      </w:r>
      <w:proofErr w:type="gramStart"/>
      <w:r w:rsidRPr="00802436">
        <w:t xml:space="preserve">a subordinate's </w:t>
      </w:r>
      <w:r>
        <w:t>‘</w:t>
      </w:r>
      <w:proofErr w:type="gramEnd"/>
      <w:r w:rsidRPr="00802436">
        <w:t>work performance issues." For example, Guerra reported that this employee's job performance was "unsatisfactory</w:t>
      </w:r>
      <w:r>
        <w:t>’</w:t>
      </w:r>
      <w:r w:rsidRPr="00802436">
        <w:t xml:space="preserve"> because of his poor interpersonal skills. Nowhere in the report did Guerra state that the employee had engaged in any kind of discriminatory behavior</w:t>
      </w:r>
      <w:r>
        <w:t xml:space="preserve">…. </w:t>
      </w:r>
      <w:r w:rsidRPr="00C83518">
        <w:t>In short, Guerra's pleadings and evidence conclusively establish that her retaliation claims are based on activities that are not protected by Chapter 2</w:t>
      </w:r>
      <w:r>
        <w:t>1.”</w:t>
      </w:r>
    </w:p>
    <w:p w14:paraId="2FE37623" w14:textId="77777777" w:rsidR="00B8457C" w:rsidRDefault="00B8457C" w:rsidP="00B8457C">
      <w:pPr>
        <w:pStyle w:val="NoSpacing"/>
      </w:pPr>
    </w:p>
    <w:p w14:paraId="4437E266" w14:textId="77777777" w:rsidR="00B8457C" w:rsidRPr="00FB3A46" w:rsidRDefault="00B8457C" w:rsidP="00B8457C">
      <w:pPr>
        <w:pStyle w:val="NoSpacing"/>
        <w:rPr>
          <w:b/>
          <w:bCs/>
        </w:rPr>
      </w:pPr>
      <w:r w:rsidRPr="00FB3A46">
        <w:rPr>
          <w:b/>
        </w:rPr>
        <w:t xml:space="preserve">Legal lesson learned: </w:t>
      </w:r>
      <w:r>
        <w:rPr>
          <w:b/>
        </w:rPr>
        <w:t xml:space="preserve">Laving a station without permission, particularly when you are the OIC, can lead to discipline. </w:t>
      </w:r>
    </w:p>
    <w:p w14:paraId="4C666750" w14:textId="77777777" w:rsidR="00B8457C" w:rsidRDefault="00B8457C" w:rsidP="002F409C">
      <w:pPr>
        <w:pStyle w:val="NoSpacing"/>
        <w:ind w:left="720"/>
      </w:pPr>
    </w:p>
    <w:p w14:paraId="2520933B" w14:textId="77777777" w:rsidR="002F409C" w:rsidRPr="005E4175" w:rsidRDefault="002F409C" w:rsidP="002F409C">
      <w:pPr>
        <w:pStyle w:val="NoSpacing"/>
        <w:ind w:left="720"/>
        <w:rPr>
          <w:bCs/>
        </w:rPr>
      </w:pPr>
    </w:p>
    <w:p w14:paraId="015843BB" w14:textId="77777777" w:rsidR="002F409C" w:rsidRDefault="002F409C" w:rsidP="002F7727">
      <w:pPr>
        <w:pStyle w:val="NoSpacing"/>
        <w:rPr>
          <w:rFonts w:ascii="Arial Black" w:hAnsi="Arial Black"/>
          <w:b/>
          <w:sz w:val="24"/>
          <w:szCs w:val="24"/>
        </w:rPr>
      </w:pPr>
    </w:p>
    <w:p w14:paraId="0CD8FBB3" w14:textId="77777777" w:rsidR="002F409C" w:rsidRDefault="002F409C" w:rsidP="002F7727">
      <w:pPr>
        <w:pStyle w:val="NoSpacing"/>
        <w:rPr>
          <w:rFonts w:ascii="Arial Black" w:hAnsi="Arial Black"/>
          <w:b/>
          <w:sz w:val="24"/>
          <w:szCs w:val="24"/>
        </w:rPr>
      </w:pPr>
    </w:p>
    <w:p w14:paraId="657BAB78" w14:textId="77777777" w:rsidR="002F409C" w:rsidRDefault="002F409C" w:rsidP="002F7727">
      <w:pPr>
        <w:pStyle w:val="NoSpacing"/>
        <w:rPr>
          <w:rFonts w:ascii="Arial Black" w:hAnsi="Arial Black"/>
          <w:b/>
          <w:sz w:val="24"/>
          <w:szCs w:val="24"/>
        </w:rPr>
      </w:pPr>
    </w:p>
    <w:p w14:paraId="1D2F6AFE" w14:textId="77777777" w:rsidR="002F409C" w:rsidRDefault="002F409C" w:rsidP="002F7727">
      <w:pPr>
        <w:pStyle w:val="NoSpacing"/>
        <w:rPr>
          <w:rFonts w:ascii="Arial Black" w:hAnsi="Arial Black"/>
          <w:b/>
          <w:sz w:val="24"/>
          <w:szCs w:val="24"/>
        </w:rPr>
      </w:pPr>
    </w:p>
    <w:p w14:paraId="2D4EEB85" w14:textId="546E0E82" w:rsidR="008F1833" w:rsidRDefault="008F1833" w:rsidP="002F7727">
      <w:pPr>
        <w:pStyle w:val="NoSpacing"/>
        <w:rPr>
          <w:rFonts w:ascii="Arial Black" w:hAnsi="Arial Black"/>
          <w:b/>
          <w:sz w:val="24"/>
          <w:szCs w:val="24"/>
        </w:rPr>
      </w:pPr>
      <w:r>
        <w:rPr>
          <w:rFonts w:ascii="Arial Black" w:hAnsi="Arial Black"/>
          <w:b/>
          <w:sz w:val="24"/>
          <w:szCs w:val="24"/>
        </w:rPr>
        <w:t>16-148</w:t>
      </w:r>
    </w:p>
    <w:p w14:paraId="3629D51F" w14:textId="77777777" w:rsidR="008F1833" w:rsidRDefault="008F1833" w:rsidP="002F7727">
      <w:pPr>
        <w:pStyle w:val="NoSpacing"/>
        <w:rPr>
          <w:rFonts w:ascii="Arial Black" w:hAnsi="Arial Black"/>
          <w:b/>
          <w:sz w:val="24"/>
          <w:szCs w:val="24"/>
        </w:rPr>
      </w:pPr>
    </w:p>
    <w:p w14:paraId="2425D079" w14:textId="3802543F" w:rsidR="008F1833" w:rsidRPr="008F1833" w:rsidRDefault="008F1833" w:rsidP="008F1833">
      <w:pPr>
        <w:pStyle w:val="NoSpacing"/>
        <w:rPr>
          <w:rFonts w:ascii="Times New Roman" w:hAnsi="Times New Roman"/>
          <w:b/>
          <w:sz w:val="24"/>
          <w:szCs w:val="24"/>
        </w:rPr>
      </w:pPr>
      <w:r>
        <w:rPr>
          <w:rFonts w:ascii="Arial Black" w:hAnsi="Arial Black"/>
          <w:b/>
          <w:sz w:val="28"/>
          <w:szCs w:val="28"/>
        </w:rPr>
        <w:t xml:space="preserve">FL: FF FIRED – ANNUAL PHYSICAL – TRIED AVOID TB TEST </w:t>
      </w:r>
      <w:r w:rsidRPr="008F1833">
        <w:rPr>
          <w:rFonts w:ascii="Times New Roman" w:hAnsi="Times New Roman"/>
          <w:b/>
          <w:sz w:val="24"/>
          <w:szCs w:val="24"/>
        </w:rPr>
        <w:t>[also filed, Chap. 1</w:t>
      </w:r>
      <w:r>
        <w:rPr>
          <w:rFonts w:ascii="Times New Roman" w:hAnsi="Times New Roman"/>
          <w:b/>
          <w:sz w:val="24"/>
          <w:szCs w:val="24"/>
        </w:rPr>
        <w:t>4</w:t>
      </w:r>
      <w:r w:rsidRPr="008F1833">
        <w:rPr>
          <w:rFonts w:ascii="Times New Roman" w:hAnsi="Times New Roman"/>
          <w:b/>
          <w:sz w:val="24"/>
          <w:szCs w:val="24"/>
        </w:rPr>
        <w:t>]</w:t>
      </w:r>
    </w:p>
    <w:p w14:paraId="59BB6ECC" w14:textId="77777777" w:rsidR="008F1833" w:rsidRDefault="008F1833" w:rsidP="008F1833">
      <w:pPr>
        <w:pStyle w:val="NoSpacing"/>
        <w:rPr>
          <w:b/>
        </w:rPr>
      </w:pPr>
    </w:p>
    <w:p w14:paraId="069674D6" w14:textId="77777777" w:rsidR="008F1833" w:rsidRPr="00FF0E3F" w:rsidRDefault="008F1833" w:rsidP="008F1833">
      <w:pPr>
        <w:pStyle w:val="NoSpacing"/>
        <w:rPr>
          <w:bCs/>
        </w:rPr>
      </w:pPr>
      <w:r w:rsidRPr="001D2253">
        <w:t xml:space="preserve">On February 6, 2026, in </w:t>
      </w:r>
      <w:r w:rsidRPr="001D2253">
        <w:rPr>
          <w:u w:val="single"/>
        </w:rPr>
        <w:t>Nathaniel Griffin v. City of South Pasadena and The St. Petersburg International Association of Fire Fighters, Local 747</w:t>
      </w:r>
      <w:r w:rsidRPr="001D2253">
        <w:t xml:space="preserve">, </w:t>
      </w:r>
      <w:r>
        <w:t xml:space="preserve">U.S. District Court Judge William F. Jung, </w:t>
      </w:r>
      <w:r w:rsidRPr="00FF0E3F">
        <w:t>United States District Court for the Middle District of Florida, Tampa Division</w:t>
      </w:r>
      <w:r>
        <w:t xml:space="preserve">, dismissed the lawsuit against both the </w:t>
      </w:r>
      <w:proofErr w:type="gramStart"/>
      <w:r>
        <w:t>City</w:t>
      </w:r>
      <w:proofErr w:type="gramEnd"/>
      <w:r>
        <w:t xml:space="preserve"> and the Local.  Firefighter, paramedic Griffin, on </w:t>
      </w:r>
      <w:r w:rsidRPr="00F470E1">
        <w:t xml:space="preserve">August 12, </w:t>
      </w:r>
      <w:proofErr w:type="gramStart"/>
      <w:r w:rsidRPr="00F470E1">
        <w:t>2022</w:t>
      </w:r>
      <w:proofErr w:type="gramEnd"/>
      <w:r w:rsidRPr="00F470E1">
        <w:t xml:space="preserve"> underwent his annual physical examination at Life Scan Wellness Center</w:t>
      </w:r>
      <w:r>
        <w:t xml:space="preserve">; he </w:t>
      </w:r>
      <w:r w:rsidRPr="00F470E1">
        <w:t>completed most of the medical examination without issue, except for the TB test</w:t>
      </w:r>
      <w:r>
        <w:t xml:space="preserve">, when asked </w:t>
      </w:r>
      <w:r w:rsidRPr="00F470E1">
        <w:t>the Life Scan technician to skip the TB test but fraudulently report that a test had been done.</w:t>
      </w:r>
      <w:r>
        <w:t xml:space="preserve">  The Fire Chief gave the plaintiff an opportunity to </w:t>
      </w:r>
      <w:proofErr w:type="gramStart"/>
      <w:r>
        <w:t>resigned</w:t>
      </w:r>
      <w:proofErr w:type="gramEnd"/>
      <w:r>
        <w:t xml:space="preserve">; he refused and was fired on September 13, 2022. </w:t>
      </w:r>
      <w:hyperlink r:id="rId2585" w:history="1">
        <w:r w:rsidRPr="00C72C21">
          <w:rPr>
            <w:rStyle w:val="Hyperlink"/>
          </w:rPr>
          <w:t>https://cases.justia.com/federal/district-courts/florida/flmdce/8:2025cv02787/448658/35/0.pdf</w:t>
        </w:r>
      </w:hyperlink>
      <w:r>
        <w:t xml:space="preserve"> </w:t>
      </w:r>
    </w:p>
    <w:p w14:paraId="550CD85C" w14:textId="77777777" w:rsidR="008F1833" w:rsidRDefault="008F1833" w:rsidP="008F1833">
      <w:pPr>
        <w:pStyle w:val="NoSpacing"/>
        <w:rPr>
          <w:bCs/>
        </w:rPr>
      </w:pPr>
    </w:p>
    <w:p w14:paraId="68D5181D" w14:textId="77777777" w:rsidR="008F1833" w:rsidRDefault="008F1833" w:rsidP="008F1833">
      <w:pPr>
        <w:pStyle w:val="NoSpacing"/>
      </w:pPr>
      <w:r>
        <w:t>THE COURT HELD: “</w:t>
      </w:r>
      <w:r w:rsidRPr="005C306F">
        <w:t>When evaluating the results of the physical examination, the CBA requires the physician to follow the national guidelines set forth in the National Fire Protection Association (</w:t>
      </w:r>
      <w:r>
        <w:t>‘</w:t>
      </w:r>
      <w:r w:rsidRPr="005C306F">
        <w:t>NFPA</w:t>
      </w:r>
      <w:r>
        <w:t>’</w:t>
      </w:r>
      <w:r w:rsidRPr="005C306F">
        <w:t>) 1582, Chapter 9</w:t>
      </w:r>
      <w:r>
        <w:t xml:space="preserve">…. </w:t>
      </w:r>
      <w:r w:rsidRPr="005C306F">
        <w:t xml:space="preserve"> As relevant to this lawsuit, the annual physical examination includes tuberculosis (</w:t>
      </w:r>
      <w:r>
        <w:t>‘</w:t>
      </w:r>
      <w:r w:rsidRPr="005C306F">
        <w:t>TB</w:t>
      </w:r>
      <w:r>
        <w:t>’</w:t>
      </w:r>
      <w:r w:rsidRPr="005C306F">
        <w:t>) testing, which may require an additional chest X-ray if the TB test comes back positive</w:t>
      </w:r>
      <w:r>
        <w:t xml:space="preserve">…. </w:t>
      </w:r>
      <w:r w:rsidRPr="005C306F">
        <w:t xml:space="preserve">Plaintiff alleges that at some unspecified point during the CBA negotiations, he objected to the CBA agreement due </w:t>
      </w:r>
      <w:r>
        <w:t>‘</w:t>
      </w:r>
      <w:r w:rsidRPr="005C306F">
        <w:t>to the breath [sic] and intrusive nature of the mandatory medical examinations.</w:t>
      </w:r>
      <w:r>
        <w:t xml:space="preserve">’ … </w:t>
      </w:r>
      <w:r w:rsidRPr="005C306F">
        <w:t xml:space="preserve">Plaintiff further alleges that he continually voiced his objection to the CBA, even after the agreement was adopted on August 28, 2019. </w:t>
      </w:r>
      <w:r>
        <w:t xml:space="preserve">***  </w:t>
      </w:r>
      <w:r w:rsidRPr="00901B14">
        <w:t>Based on a careful review of the pleadings, the Court grants the City's motion to dismiss. As discussed below, Plaintiff has failed to state a claim under the ADA, GINA, Title VII, and Section 1983</w:t>
      </w:r>
      <w:r>
        <w:t xml:space="preserve">…. </w:t>
      </w:r>
      <w:r w:rsidRPr="003E7359">
        <w:t xml:space="preserve">Here, even when accepting the meager factual allegations as true, Plaintiff fails to allege any Fourth Amendment violation since the Complaint fails to allege that any private interests outweigh the City's interest in public safety. The Complaint vaguely asserts that the August 2022 physical examination violated </w:t>
      </w:r>
      <w:r>
        <w:t>‘</w:t>
      </w:r>
      <w:r w:rsidRPr="003E7359">
        <w:t xml:space="preserve">Plaintiff's personal privacy </w:t>
      </w:r>
      <w:proofErr w:type="gramStart"/>
      <w:r w:rsidRPr="003E7359">
        <w:t>rights</w:t>
      </w:r>
      <w:r>
        <w:t>’</w:t>
      </w:r>
      <w:proofErr w:type="gramEnd"/>
      <w:r w:rsidRPr="003E7359">
        <w:t xml:space="preserve"> due to the exam's </w:t>
      </w:r>
      <w:r>
        <w:t>‘</w:t>
      </w:r>
      <w:r w:rsidRPr="003E7359">
        <w:t>breadth and intrusive nature.</w:t>
      </w:r>
      <w:r>
        <w:t xml:space="preserve">’ … </w:t>
      </w:r>
      <w:r w:rsidRPr="003E7359">
        <w:t xml:space="preserve">But Plaintiff never specifies what aspect of the physical examination was so </w:t>
      </w:r>
      <w:r>
        <w:t>‘</w:t>
      </w:r>
      <w:proofErr w:type="spellStart"/>
      <w:r w:rsidRPr="003E7359">
        <w:t>intrusiv</w:t>
      </w:r>
      <w:proofErr w:type="spellEnd"/>
      <w:r>
        <w:t>’</w:t>
      </w:r>
      <w:r w:rsidRPr="003E7359">
        <w:t xml:space="preserve"> and overbroad that it violated Plaintiff's diminished expectation of privacy due to his job as a firefighter and paramedic. </w:t>
      </w:r>
      <w:r w:rsidRPr="003E7359">
        <w:rPr>
          <w:i/>
          <w:iCs/>
        </w:rPr>
        <w:t xml:space="preserve">See </w:t>
      </w:r>
      <w:proofErr w:type="spellStart"/>
      <w:r w:rsidRPr="003E7359">
        <w:rPr>
          <w:i/>
          <w:iCs/>
        </w:rPr>
        <w:t>Nat'l</w:t>
      </w:r>
      <w:proofErr w:type="spellEnd"/>
      <w:r w:rsidRPr="003E7359">
        <w:rPr>
          <w:i/>
          <w:iCs/>
        </w:rPr>
        <w:t xml:space="preserve"> Treasury Emps. Union v. Von Raab</w:t>
      </w:r>
      <w:r w:rsidRPr="003E7359">
        <w:t>, 489 U.S. 656, 671 (1989) (</w:t>
      </w:r>
      <w:r>
        <w:t>‘</w:t>
      </w:r>
      <w:r w:rsidRPr="003E7359">
        <w:t>[I]t is plain that certain forms of public employment may diminish privacy expectations even with respect to . . . personal searches.</w:t>
      </w:r>
      <w:r>
        <w:t>’</w:t>
      </w:r>
      <w:r w:rsidRPr="003E7359">
        <w:t xml:space="preserve">); </w:t>
      </w:r>
      <w:r w:rsidRPr="003E7359">
        <w:rPr>
          <w:i/>
          <w:iCs/>
        </w:rPr>
        <w:t>Scott</w:t>
      </w:r>
      <w:r w:rsidRPr="003E7359">
        <w:t>, 717 F.3d at 869 (</w:t>
      </w:r>
      <w:r>
        <w:t>‘</w:t>
      </w:r>
      <w:r w:rsidRPr="003E7359">
        <w:t xml:space="preserve">Another category-a natural extension of the Supreme Court's holding in </w:t>
      </w:r>
      <w:r w:rsidRPr="003E7359">
        <w:rPr>
          <w:i/>
          <w:iCs/>
        </w:rPr>
        <w:t>Von Raab</w:t>
      </w:r>
      <w:r w:rsidRPr="003E7359">
        <w:t>-encompasses . . . firefighters.</w:t>
      </w:r>
      <w:r>
        <w:t>’</w:t>
      </w:r>
      <w:r w:rsidRPr="003E7359">
        <w:t xml:space="preserve">); </w:t>
      </w:r>
      <w:r w:rsidRPr="003E7359">
        <w:rPr>
          <w:i/>
          <w:iCs/>
        </w:rPr>
        <w:t>Williams v. Bd. of Regents of Univ. Sys. of Georgia</w:t>
      </w:r>
      <w:r w:rsidRPr="003E7359">
        <w:t>, No. CV 120-100, 2021 WL 2827293, at *7 (S.D. Ga. July 7, 2021) (dismissing the plaintiff's Fourth Amendment search and seizure claim, as her employer's drug test fell under the special needs exception).</w:t>
      </w:r>
      <w:r>
        <w:t xml:space="preserve"> ***  Local 747’s motion seeks dismissal of the single ADA discrimination claim</w:t>
      </w:r>
    </w:p>
    <w:p w14:paraId="520AF071" w14:textId="77777777" w:rsidR="008F1833" w:rsidRDefault="008F1833" w:rsidP="008F1833">
      <w:pPr>
        <w:pStyle w:val="NoSpacing"/>
      </w:pPr>
      <w:r>
        <w:t xml:space="preserve">in Count IX. Local 747 asserts that the ADA claim is time-barred since Plaintiff ‘failed to file a charge against the Local challenging the medical exam requirement at issue within 300 days after Local 747 entered into the CBA on August 28, 2019.’ … Plaintiff’s discrimination charge must have been filed with the FCHR or the EEOC within 300 days—i.e., by June 23, 2020.” </w:t>
      </w:r>
    </w:p>
    <w:p w14:paraId="08B70C13" w14:textId="77777777" w:rsidR="008F1833" w:rsidRDefault="008F1833" w:rsidP="008F1833">
      <w:pPr>
        <w:pStyle w:val="NoSpacing"/>
      </w:pPr>
    </w:p>
    <w:p w14:paraId="7156F364" w14:textId="77777777" w:rsidR="008F1833" w:rsidRDefault="008F1833" w:rsidP="008F1833">
      <w:pPr>
        <w:pStyle w:val="NoSpacing"/>
        <w:rPr>
          <w:b/>
          <w:bCs/>
        </w:rPr>
      </w:pPr>
      <w:r w:rsidRPr="00C65E3A">
        <w:rPr>
          <w:b/>
        </w:rPr>
        <w:t xml:space="preserve">Legal lesson learned: </w:t>
      </w:r>
      <w:r>
        <w:rPr>
          <w:b/>
        </w:rPr>
        <w:t xml:space="preserve">Very unusual to have a firefighter complain about annual physical. </w:t>
      </w:r>
    </w:p>
    <w:p w14:paraId="2FC42FE7" w14:textId="77777777" w:rsidR="008F1833" w:rsidRDefault="008F1833" w:rsidP="008F1833">
      <w:pPr>
        <w:pStyle w:val="NoSpacing"/>
        <w:rPr>
          <w:b/>
          <w:bCs/>
        </w:rPr>
      </w:pPr>
      <w:r>
        <w:rPr>
          <w:b/>
        </w:rPr>
        <w:tab/>
      </w:r>
      <w:r w:rsidRPr="00EA4E78">
        <w:t>Note: In Footnote 7, the Court wrote</w:t>
      </w:r>
      <w:r>
        <w:rPr>
          <w:b/>
        </w:rPr>
        <w:t xml:space="preserve">: </w:t>
      </w:r>
    </w:p>
    <w:p w14:paraId="146E6C0A" w14:textId="77777777" w:rsidR="008F1833" w:rsidRDefault="008F1833" w:rsidP="008F1833">
      <w:pPr>
        <w:pStyle w:val="NoSpacing"/>
        <w:ind w:left="720"/>
      </w:pPr>
      <w:r>
        <w:rPr>
          <w:b/>
        </w:rPr>
        <w:t>“</w:t>
      </w:r>
      <w:r w:rsidRPr="00975937">
        <w:t xml:space="preserve">Firefighters reside in close quarters. They must be strong and hale. They must be able to provide emergency lifesaving techniques in difficult circumstances to people of varying health. </w:t>
      </w:r>
      <w:r w:rsidRPr="00975937">
        <w:rPr>
          <w:i/>
          <w:iCs/>
        </w:rPr>
        <w:t>See Cremeens v. City of Montgomery, Ala.</w:t>
      </w:r>
      <w:r w:rsidRPr="00975937">
        <w:t xml:space="preserve">, 427 </w:t>
      </w:r>
      <w:proofErr w:type="spellStart"/>
      <w:r w:rsidRPr="00975937">
        <w:t>Fed.Appx</w:t>
      </w:r>
      <w:proofErr w:type="spellEnd"/>
      <w:r w:rsidRPr="00975937">
        <w:t>. 855, 858 (11th Cir. 2011) (</w:t>
      </w:r>
      <w:r>
        <w:t>‘</w:t>
      </w:r>
      <w:r w:rsidRPr="00975937">
        <w:t>The physical fitness requirements are directly related to a Fire Investigator's duty to fight fires, and they are necessary to ensure that Fire Investigators are able to perform that function when called upon to do so.).</w:t>
      </w:r>
      <w:r>
        <w:t>”</w:t>
      </w:r>
    </w:p>
    <w:p w14:paraId="6B337B2B" w14:textId="77777777" w:rsidR="008F1833" w:rsidRPr="003E7359" w:rsidRDefault="008F1833" w:rsidP="008F1833">
      <w:pPr>
        <w:pStyle w:val="NoSpacing"/>
        <w:rPr>
          <w:b/>
          <w:bCs/>
        </w:rPr>
      </w:pPr>
    </w:p>
    <w:p w14:paraId="5CA43F86" w14:textId="77777777" w:rsidR="008F1833" w:rsidRDefault="008F1833" w:rsidP="002F7727">
      <w:pPr>
        <w:pStyle w:val="NoSpacing"/>
        <w:rPr>
          <w:rFonts w:ascii="Arial Black" w:hAnsi="Arial Black"/>
          <w:b/>
          <w:sz w:val="24"/>
          <w:szCs w:val="24"/>
        </w:rPr>
      </w:pPr>
    </w:p>
    <w:p w14:paraId="7C861934" w14:textId="77777777" w:rsidR="008F1833" w:rsidRDefault="008F1833" w:rsidP="002F7727">
      <w:pPr>
        <w:pStyle w:val="NoSpacing"/>
        <w:rPr>
          <w:rFonts w:ascii="Arial Black" w:hAnsi="Arial Black"/>
          <w:b/>
          <w:sz w:val="24"/>
          <w:szCs w:val="24"/>
        </w:rPr>
      </w:pPr>
    </w:p>
    <w:p w14:paraId="73FA9069" w14:textId="77777777" w:rsidR="008F1833" w:rsidRDefault="008F1833" w:rsidP="002F7727">
      <w:pPr>
        <w:pStyle w:val="NoSpacing"/>
        <w:rPr>
          <w:rFonts w:ascii="Arial Black" w:hAnsi="Arial Black"/>
          <w:b/>
          <w:sz w:val="24"/>
          <w:szCs w:val="24"/>
        </w:rPr>
      </w:pPr>
    </w:p>
    <w:p w14:paraId="4E085C1C" w14:textId="3F81DCA6" w:rsidR="00E775DC" w:rsidRDefault="00D03249" w:rsidP="002F7727">
      <w:pPr>
        <w:pStyle w:val="NoSpacing"/>
        <w:rPr>
          <w:rFonts w:ascii="Arial Black" w:hAnsi="Arial Black"/>
          <w:b/>
          <w:sz w:val="24"/>
          <w:szCs w:val="24"/>
        </w:rPr>
      </w:pPr>
      <w:r>
        <w:rPr>
          <w:rFonts w:ascii="Arial Black" w:hAnsi="Arial Black"/>
          <w:b/>
          <w:sz w:val="24"/>
          <w:szCs w:val="24"/>
        </w:rPr>
        <w:t>16-147</w:t>
      </w:r>
    </w:p>
    <w:p w14:paraId="13A2D7BC" w14:textId="77777777" w:rsidR="00D03249" w:rsidRDefault="00D03249" w:rsidP="002F7727">
      <w:pPr>
        <w:pStyle w:val="NoSpacing"/>
        <w:rPr>
          <w:rFonts w:ascii="Arial Black" w:hAnsi="Arial Black"/>
          <w:b/>
          <w:sz w:val="24"/>
          <w:szCs w:val="24"/>
        </w:rPr>
      </w:pPr>
    </w:p>
    <w:p w14:paraId="3215AEE9" w14:textId="7C81C2E3" w:rsidR="00C01200" w:rsidRDefault="00C01200" w:rsidP="00C01200">
      <w:r>
        <w:rPr>
          <w:rFonts w:ascii="Arial Black" w:hAnsi="Arial Black"/>
          <w:b/>
          <w:sz w:val="28"/>
          <w:szCs w:val="28"/>
        </w:rPr>
        <w:t xml:space="preserve">IL: CPT / FFs WORE TRUMP MASKS STATION – </w:t>
      </w:r>
      <w:r w:rsidR="006648D0">
        <w:rPr>
          <w:rFonts w:ascii="Arial Black" w:hAnsi="Arial Black"/>
          <w:b/>
          <w:sz w:val="28"/>
          <w:szCs w:val="28"/>
        </w:rPr>
        <w:t xml:space="preserve">CASE </w:t>
      </w:r>
      <w:r>
        <w:rPr>
          <w:rFonts w:ascii="Arial Black" w:hAnsi="Arial Black"/>
          <w:b/>
          <w:sz w:val="28"/>
          <w:szCs w:val="28"/>
        </w:rPr>
        <w:t>PROCEED</w:t>
      </w:r>
    </w:p>
    <w:p w14:paraId="04E3E00A" w14:textId="77777777" w:rsidR="00C01200" w:rsidRDefault="00C01200" w:rsidP="00C01200">
      <w:pPr>
        <w:pStyle w:val="NoSpacing"/>
      </w:pPr>
      <w:r>
        <w:t xml:space="preserve">On January 27, 2026, in </w:t>
      </w:r>
      <w:r w:rsidRPr="00F55727">
        <w:rPr>
          <w:u w:val="single"/>
        </w:rPr>
        <w:t>Curt Koopman v. City of Evanston, et al</w:t>
      </w:r>
      <w:r>
        <w:t xml:space="preserve">., U.S. District Court Judge </w:t>
      </w:r>
      <w:r w:rsidRPr="00F55727">
        <w:t>Joan B. Gottschall</w:t>
      </w:r>
      <w:r>
        <w:t xml:space="preserve">, United States District Court for Northern District of Illinois, Eastern Division, denied the City’s motion to dismiss. The </w:t>
      </w:r>
      <w:proofErr w:type="gramStart"/>
      <w:r>
        <w:t>Captain</w:t>
      </w:r>
      <w:proofErr w:type="gramEnd"/>
      <w:r>
        <w:t xml:space="preserve"> and other members of his crew briefly wore Trump masks while watch the inauguration on TV, and a photo was taken.  During the disciplinary interrogation, the </w:t>
      </w:r>
      <w:proofErr w:type="gramStart"/>
      <w:r>
        <w:t>Captain</w:t>
      </w:r>
      <w:proofErr w:type="gramEnd"/>
      <w:r>
        <w:t xml:space="preserve"> was </w:t>
      </w:r>
      <w:proofErr w:type="gramStart"/>
      <w:r>
        <w:t>asked</w:t>
      </w:r>
      <w:proofErr w:type="gramEnd"/>
      <w:r>
        <w:t xml:space="preserve"> “whether he supported Donald Trump during the recent presidential election.”</w:t>
      </w:r>
      <w:r w:rsidRPr="008367D7">
        <w:t xml:space="preserve"> </w:t>
      </w:r>
      <w:hyperlink r:id="rId2586" w:history="1">
        <w:r w:rsidRPr="00560ED8">
          <w:rPr>
            <w:rStyle w:val="Hyperlink"/>
          </w:rPr>
          <w:t>https://cases.justia.com/federal/district-courts/illinois/ilndce/1:2025cv10892/485962/24/0.pdf?ts=1769597667</w:t>
        </w:r>
      </w:hyperlink>
      <w:r>
        <w:t xml:space="preserve"> </w:t>
      </w:r>
    </w:p>
    <w:p w14:paraId="3516865F" w14:textId="77777777" w:rsidR="00C01200" w:rsidRDefault="00C01200" w:rsidP="00C01200">
      <w:pPr>
        <w:pStyle w:val="NoSpacing"/>
      </w:pPr>
    </w:p>
    <w:p w14:paraId="3C2DC0D4" w14:textId="77777777" w:rsidR="00C01200" w:rsidRDefault="00C01200" w:rsidP="00C01200">
      <w:pPr>
        <w:pStyle w:val="NoSpacing"/>
      </w:pPr>
      <w:r>
        <w:t xml:space="preserve">THE COURT HELD: </w:t>
      </w:r>
    </w:p>
    <w:p w14:paraId="424B6872" w14:textId="77777777" w:rsidR="00C01200" w:rsidRDefault="00C01200" w:rsidP="00C01200">
      <w:pPr>
        <w:pStyle w:val="NoSpacing"/>
      </w:pPr>
    </w:p>
    <w:p w14:paraId="61F2B8AD" w14:textId="77777777" w:rsidR="00C01200" w:rsidRDefault="00C01200" w:rsidP="00C01200">
      <w:pPr>
        <w:pStyle w:val="NoSpacing"/>
        <w:ind w:left="720"/>
      </w:pPr>
      <w:r>
        <w:t>“Koopman’s complaint alleges that on ‘January 20, 2025, Plaintiff and multiple other members of the Evanston Fire Department briefly donned Donald Trump masks</w:t>
      </w:r>
    </w:p>
    <w:p w14:paraId="37A3A7D4" w14:textId="77777777" w:rsidR="00C01200" w:rsidRDefault="00C01200" w:rsidP="00C01200">
      <w:pPr>
        <w:pStyle w:val="NoSpacing"/>
        <w:ind w:firstLine="720"/>
      </w:pPr>
      <w:r>
        <w:t>while watching the presidential inauguration on television.’ …Further, plaintiff</w:t>
      </w:r>
    </w:p>
    <w:p w14:paraId="1C6A47D6" w14:textId="77777777" w:rsidR="00C01200" w:rsidRDefault="00C01200" w:rsidP="00C01200">
      <w:pPr>
        <w:pStyle w:val="NoSpacing"/>
        <w:ind w:left="720"/>
      </w:pPr>
      <w:r>
        <w:t xml:space="preserve">alleges, ‘[a]t some point thereafter, someone posted an image of Plaintiff and several other members of the Evanston Fire Department wearing Donald Trump masks on an internet site.’… ‘When wearing the mask,’ plaintiff alleges, he ‘did not make any political statement, or express any political views.’… </w:t>
      </w:r>
    </w:p>
    <w:p w14:paraId="34528BB9" w14:textId="77777777" w:rsidR="00C01200" w:rsidRDefault="00C01200" w:rsidP="00C01200">
      <w:pPr>
        <w:pStyle w:val="NoSpacing"/>
        <w:ind w:left="720"/>
      </w:pPr>
    </w:p>
    <w:p w14:paraId="5DC70DC6" w14:textId="77777777" w:rsidR="00C01200" w:rsidRDefault="00C01200" w:rsidP="00C01200">
      <w:pPr>
        <w:pStyle w:val="NoSpacing"/>
        <w:ind w:left="720"/>
      </w:pPr>
      <w:r>
        <w:t>‘On or about January 23, 2025, Plaintiff received written notification that he was being subjected to a disciplinary investigation,’ which required his attendance at a ‘disciplinary</w:t>
      </w:r>
    </w:p>
    <w:p w14:paraId="38684F67" w14:textId="77777777" w:rsidR="00C01200" w:rsidRDefault="00C01200" w:rsidP="00C01200">
      <w:pPr>
        <w:pStyle w:val="NoSpacing"/>
        <w:ind w:left="720"/>
      </w:pPr>
      <w:r>
        <w:t xml:space="preserve">interrogation.’… Plaintiff alleges that during the interrogation, ‘Defendant [Fire Chief Paul] </w:t>
      </w:r>
      <w:proofErr w:type="spellStart"/>
      <w:r>
        <w:t>Polep</w:t>
      </w:r>
      <w:proofErr w:type="spellEnd"/>
      <w:r>
        <w:t xml:space="preserve"> ordered Plaintiff to answer all questions,’ including ‘whether he supported Donald Trump during the recent presidential election.’… After being ‘required to reveal that he was a supporter of Donald Trump,’ plaintiff ‘was subjected to a seven (7) shift suspension by Defendant </w:t>
      </w:r>
      <w:proofErr w:type="spellStart"/>
      <w:r>
        <w:t>Polep</w:t>
      </w:r>
      <w:proofErr w:type="spellEnd"/>
      <w:r>
        <w:t xml:space="preserve">.’ …The suspension, plaintiff alleges, ‘was motivated by a desire to punish Plaintiff for his political support of a presidential candidate [who] was unpopular in the City of Evanston.’ … Koopman lost wages </w:t>
      </w:r>
      <w:proofErr w:type="gramStart"/>
      <w:r>
        <w:t>as a result of</w:t>
      </w:r>
      <w:proofErr w:type="gramEnd"/>
      <w:r>
        <w:t xml:space="preserve"> the suspension.</w:t>
      </w:r>
    </w:p>
    <w:p w14:paraId="14BB0088" w14:textId="77777777" w:rsidR="00C01200" w:rsidRDefault="00C01200" w:rsidP="00C01200">
      <w:pPr>
        <w:pStyle w:val="NoSpacing"/>
        <w:ind w:left="720"/>
      </w:pPr>
    </w:p>
    <w:p w14:paraId="65101A46" w14:textId="77777777" w:rsidR="00C01200" w:rsidRDefault="00C01200" w:rsidP="00C01200">
      <w:pPr>
        <w:pStyle w:val="NoSpacing"/>
        <w:ind w:left="720"/>
      </w:pPr>
      <w:r>
        <w:t>***</w:t>
      </w:r>
    </w:p>
    <w:p w14:paraId="35CCEA76" w14:textId="77777777" w:rsidR="00C01200" w:rsidRDefault="00C01200" w:rsidP="00C01200">
      <w:pPr>
        <w:pStyle w:val="NoSpacing"/>
        <w:ind w:firstLine="720"/>
      </w:pPr>
      <w:r>
        <w:t>The court need not decide whether the complaint’s allegation of the reason for plaintiff’s</w:t>
      </w:r>
    </w:p>
    <w:p w14:paraId="114B9473" w14:textId="77777777" w:rsidR="00C01200" w:rsidRDefault="00C01200" w:rsidP="00C01200">
      <w:pPr>
        <w:pStyle w:val="NoSpacing"/>
        <w:ind w:firstLine="720"/>
      </w:pPr>
      <w:r>
        <w:t>discipline, standing alone, would be considered plausible because the transcript of the</w:t>
      </w:r>
    </w:p>
    <w:p w14:paraId="1B8AC29E" w14:textId="77777777" w:rsidR="00C01200" w:rsidRDefault="00C01200" w:rsidP="00C01200">
      <w:pPr>
        <w:pStyle w:val="NoSpacing"/>
        <w:ind w:left="720"/>
      </w:pPr>
      <w:proofErr w:type="gramStart"/>
      <w:r>
        <w:t>disciplinary</w:t>
      </w:r>
      <w:proofErr w:type="gramEnd"/>
      <w:r>
        <w:t xml:space="preserve"> interrogation offered by defendants provides evidence that plaintiff’s political affiliation was explicitly considered before he was disciplined. Plaintiff’s “support” of Donald Trump, which as far as the complaint alleges was limited to his personal beliefs and his vote, is constitutionally protected…. Because plaintiff has alleged a plausible First Amendment retaliation claim, the motion to dismiss for failure to allege that the plaintiff engaged in conduct protected by the First Amendment is denied.</w:t>
      </w:r>
    </w:p>
    <w:p w14:paraId="3558DBC6" w14:textId="77777777" w:rsidR="00C01200" w:rsidRDefault="00C01200" w:rsidP="00C01200">
      <w:pPr>
        <w:pStyle w:val="NoSpacing"/>
        <w:ind w:left="720"/>
      </w:pPr>
    </w:p>
    <w:p w14:paraId="2CF4137F" w14:textId="77777777" w:rsidR="00C01200" w:rsidRDefault="00C01200" w:rsidP="00C01200">
      <w:pPr>
        <w:pStyle w:val="NoSpacing"/>
        <w:ind w:left="720"/>
      </w:pPr>
      <w:r>
        <w:t>***</w:t>
      </w:r>
    </w:p>
    <w:p w14:paraId="2A9CBD70" w14:textId="77777777" w:rsidR="00C01200" w:rsidRDefault="00C01200" w:rsidP="00C01200">
      <w:pPr>
        <w:pStyle w:val="NoSpacing"/>
        <w:ind w:firstLine="720"/>
      </w:pPr>
      <w:r>
        <w:t>With a few exceptions like the need for governmental efficiency or effectiveness (which</w:t>
      </w:r>
    </w:p>
    <w:p w14:paraId="5A1C4468" w14:textId="77777777" w:rsidR="00C01200" w:rsidRDefault="00C01200" w:rsidP="00C01200">
      <w:pPr>
        <w:pStyle w:val="NoSpacing"/>
        <w:ind w:left="720"/>
      </w:pPr>
      <w:r>
        <w:t>would not appear to apply to plaintiff’s actions in the privacy of his conscience or the sanctity of the voting booth), a government employer may not discipline an employee because the employee supports a particular political candidate. See Heffernan v. City of Paterson, 578 U.S. 266, 270 (2016).”</w:t>
      </w:r>
    </w:p>
    <w:p w14:paraId="09793801" w14:textId="77777777" w:rsidR="00C01200" w:rsidRDefault="00C01200" w:rsidP="00C01200">
      <w:pPr>
        <w:pStyle w:val="NoSpacing"/>
        <w:ind w:left="720"/>
      </w:pPr>
    </w:p>
    <w:p w14:paraId="0A663943" w14:textId="77777777" w:rsidR="00C01200" w:rsidRDefault="00C01200" w:rsidP="00C01200">
      <w:pPr>
        <w:pStyle w:val="NoSpacing"/>
        <w:rPr>
          <w:b/>
          <w:bCs/>
        </w:rPr>
      </w:pPr>
      <w:r>
        <w:rPr>
          <w:b/>
        </w:rPr>
        <w:t xml:space="preserve">Legal lesson learned: Captain’s conduct was </w:t>
      </w:r>
      <w:proofErr w:type="gramStart"/>
      <w:r>
        <w:rPr>
          <w:b/>
        </w:rPr>
        <w:t>stupid, but</w:t>
      </w:r>
      <w:proofErr w:type="gramEnd"/>
      <w:r>
        <w:rPr>
          <w:b/>
        </w:rPr>
        <w:t xml:space="preserve"> avoid asking employees about their political views in the disciplinary process.  </w:t>
      </w:r>
    </w:p>
    <w:p w14:paraId="0EAF69FA" w14:textId="77777777" w:rsidR="00C01200" w:rsidRDefault="00C01200" w:rsidP="00C01200">
      <w:pPr>
        <w:pStyle w:val="NoSpacing"/>
        <w:rPr>
          <w:b/>
          <w:bCs/>
        </w:rPr>
      </w:pPr>
    </w:p>
    <w:p w14:paraId="7A815CDB" w14:textId="77777777" w:rsidR="00C01200" w:rsidRDefault="00C01200" w:rsidP="00C01200">
      <w:pPr>
        <w:pStyle w:val="NoSpacing"/>
        <w:ind w:left="720"/>
      </w:pPr>
      <w:r w:rsidRPr="00FF0890">
        <w:t>Note:</w:t>
      </w:r>
      <w:r>
        <w:t xml:space="preserve"> The U.S. Supreme Court in </w:t>
      </w:r>
      <w:r w:rsidRPr="00FF0890">
        <w:t>Heffernan v. City of Paterson, 578 U.S. 266, 270 (2016)</w:t>
      </w:r>
      <w:r>
        <w:t xml:space="preserve"> held:</w:t>
      </w:r>
    </w:p>
    <w:p w14:paraId="4FD430DF" w14:textId="77777777" w:rsidR="00C01200" w:rsidRPr="00FF0890" w:rsidRDefault="00C01200" w:rsidP="00C01200">
      <w:pPr>
        <w:pStyle w:val="NoSpacing"/>
        <w:ind w:left="720"/>
      </w:pPr>
      <w:r>
        <w:t>“</w:t>
      </w:r>
      <w:r w:rsidRPr="00E21DE5">
        <w:t xml:space="preserve">In this case a government official </w:t>
      </w:r>
      <w:r>
        <w:t xml:space="preserve">[police chief] </w:t>
      </w:r>
      <w:r w:rsidRPr="00E21DE5">
        <w:t>demoted an employee</w:t>
      </w:r>
      <w:r>
        <w:t xml:space="preserve"> [detective demoted to patrol officer]</w:t>
      </w:r>
      <w:r w:rsidRPr="00E21DE5">
        <w:t xml:space="preserve"> because the official believed, but </w:t>
      </w:r>
      <w:r w:rsidRPr="00E21DE5">
        <w:rPr>
          <w:i/>
          <w:iCs/>
        </w:rPr>
        <w:t>incorrectly</w:t>
      </w:r>
      <w:r w:rsidRPr="00E21DE5">
        <w:t xml:space="preserve"> believed, that the employee had supported a particular candidate </w:t>
      </w:r>
      <w:r w:rsidRPr="00E21DE5">
        <w:lastRenderedPageBreak/>
        <w:t xml:space="preserve">for mayor. The question is whether the official’s factual mistake makes a critical legal difference. Even though the employee had not in fact engaged in protected political activity, did his demotion </w:t>
      </w:r>
      <w:r>
        <w:t>‘</w:t>
      </w:r>
      <w:r w:rsidRPr="00E21DE5">
        <w:t>deprive</w:t>
      </w:r>
      <w:r>
        <w:t>’</w:t>
      </w:r>
      <w:r w:rsidRPr="00E21DE5">
        <w:t xml:space="preserve"> him of a </w:t>
      </w:r>
      <w:r>
        <w:t>‘</w:t>
      </w:r>
      <w:r w:rsidRPr="00E21DE5">
        <w:t>right . . . secured by the Constitution</w:t>
      </w:r>
      <w:r>
        <w:t>’</w:t>
      </w:r>
      <w:r w:rsidRPr="00E21DE5">
        <w:t>? 42 U. S. C. §1983. We hold that it did.</w:t>
      </w:r>
      <w:r>
        <w:t xml:space="preserve">” </w:t>
      </w:r>
      <w:hyperlink r:id="rId2587" w:history="1">
        <w:r w:rsidRPr="00560ED8">
          <w:rPr>
            <w:rStyle w:val="Hyperlink"/>
          </w:rPr>
          <w:t>https://supreme.justia.com/cases/federal/us/578/14-1280/</w:t>
        </w:r>
      </w:hyperlink>
      <w:r>
        <w:t xml:space="preserve"> </w:t>
      </w:r>
    </w:p>
    <w:p w14:paraId="1A63C9D5" w14:textId="77777777" w:rsidR="00C01200" w:rsidRDefault="00C01200" w:rsidP="00C01200">
      <w:pPr>
        <w:pStyle w:val="NoSpacing"/>
      </w:pPr>
    </w:p>
    <w:p w14:paraId="0142BCA9" w14:textId="77777777" w:rsidR="00C01200" w:rsidRDefault="00C01200" w:rsidP="00C01200">
      <w:pPr>
        <w:rPr>
          <w:b/>
        </w:rPr>
      </w:pPr>
    </w:p>
    <w:p w14:paraId="423CD073" w14:textId="77777777" w:rsidR="00C01200" w:rsidRDefault="00C01200" w:rsidP="002F7727">
      <w:pPr>
        <w:pStyle w:val="NoSpacing"/>
        <w:rPr>
          <w:rFonts w:ascii="Arial Black" w:hAnsi="Arial Black"/>
          <w:b/>
          <w:sz w:val="24"/>
          <w:szCs w:val="24"/>
        </w:rPr>
      </w:pPr>
    </w:p>
    <w:p w14:paraId="507A821A" w14:textId="77777777" w:rsidR="00D03249" w:rsidRDefault="00D03249" w:rsidP="002F7727">
      <w:pPr>
        <w:pStyle w:val="NoSpacing"/>
        <w:rPr>
          <w:rFonts w:ascii="Arial Black" w:hAnsi="Arial Black"/>
          <w:b/>
          <w:sz w:val="24"/>
          <w:szCs w:val="24"/>
        </w:rPr>
      </w:pPr>
    </w:p>
    <w:p w14:paraId="0C46DBFB" w14:textId="77777777" w:rsidR="00D03249" w:rsidRDefault="00D03249" w:rsidP="002F7727">
      <w:pPr>
        <w:pStyle w:val="NoSpacing"/>
        <w:rPr>
          <w:rFonts w:ascii="Arial Black" w:hAnsi="Arial Black"/>
          <w:b/>
          <w:sz w:val="24"/>
          <w:szCs w:val="24"/>
        </w:rPr>
      </w:pPr>
    </w:p>
    <w:p w14:paraId="6FBB0CE9" w14:textId="06DDF684" w:rsidR="00745B4B" w:rsidRDefault="00745B4B" w:rsidP="002F7727">
      <w:pPr>
        <w:pStyle w:val="NoSpacing"/>
        <w:rPr>
          <w:rFonts w:ascii="Arial Black" w:hAnsi="Arial Black"/>
          <w:b/>
          <w:sz w:val="24"/>
          <w:szCs w:val="24"/>
        </w:rPr>
      </w:pPr>
      <w:r>
        <w:rPr>
          <w:rFonts w:ascii="Arial Black" w:hAnsi="Arial Black"/>
          <w:b/>
          <w:sz w:val="24"/>
          <w:szCs w:val="24"/>
        </w:rPr>
        <w:t>16-146</w:t>
      </w:r>
    </w:p>
    <w:p w14:paraId="45A40338" w14:textId="77777777" w:rsidR="00745B4B" w:rsidRDefault="00745B4B" w:rsidP="002F7727">
      <w:pPr>
        <w:pStyle w:val="NoSpacing"/>
        <w:rPr>
          <w:rFonts w:ascii="Arial Black" w:hAnsi="Arial Black"/>
          <w:b/>
          <w:sz w:val="24"/>
          <w:szCs w:val="24"/>
        </w:rPr>
      </w:pPr>
    </w:p>
    <w:p w14:paraId="1FB1EA57" w14:textId="77777777" w:rsidR="00BA59D3" w:rsidRPr="002B3436" w:rsidRDefault="00BA59D3" w:rsidP="00BA59D3">
      <w:pPr>
        <w:rPr>
          <w:rFonts w:ascii="Arial Black" w:hAnsi="Arial Black"/>
          <w:b/>
          <w:sz w:val="28"/>
          <w:szCs w:val="28"/>
        </w:rPr>
      </w:pPr>
      <w:r>
        <w:rPr>
          <w:rFonts w:ascii="Arial Black" w:hAnsi="Arial Black"/>
          <w:b/>
          <w:sz w:val="28"/>
          <w:szCs w:val="28"/>
        </w:rPr>
        <w:t>NV: CITY MGR FIRED – 2022 VIDEO FIRE CHIEF RESIGNING</w:t>
      </w:r>
    </w:p>
    <w:p w14:paraId="0777C8C0" w14:textId="77777777" w:rsidR="00BA59D3" w:rsidRDefault="00BA59D3" w:rsidP="00BA59D3">
      <w:r>
        <w:t xml:space="preserve">On January 22, 2026, in </w:t>
      </w:r>
      <w:r w:rsidRPr="008674C8">
        <w:rPr>
          <w:u w:val="single"/>
        </w:rPr>
        <w:t>Neil C. Krutz v. The City of Sparks</w:t>
      </w:r>
      <w:r>
        <w:t xml:space="preserve">, U.S. District Court Judge Miranda M. Du, United States District Court for the District of Nevada, held that the terminated City Manager lawsuit may proceed with his lawsuit on some claims, including that he was fired on September 5, </w:t>
      </w:r>
      <w:proofErr w:type="gramStart"/>
      <w:r>
        <w:t>2023</w:t>
      </w:r>
      <w:proofErr w:type="gramEnd"/>
      <w:r>
        <w:t xml:space="preserve"> in violation of his </w:t>
      </w:r>
      <w:r w:rsidRPr="00FC1E14">
        <w:t>procedural due process protections</w:t>
      </w:r>
      <w:r>
        <w:t xml:space="preserve">. His contract included a provision allowing termination “for cause”). On December 5, 2022, the fire chief resigned over pending drug charge, and the City Manager made a video reporting the resignation.   In 2024, the city settled with the former chief about the public leak of the video for $381,000.   </w:t>
      </w:r>
      <w:hyperlink r:id="rId2588" w:history="1">
        <w:r w:rsidRPr="003E5AED">
          <w:rPr>
            <w:rStyle w:val="Hyperlink"/>
          </w:rPr>
          <w:t>https://cases.justia.com/federal/district-courts/nevada/nvdce/3:2025cv00159/173760/49/0.pdf</w:t>
        </w:r>
      </w:hyperlink>
    </w:p>
    <w:p w14:paraId="195D299F" w14:textId="77777777" w:rsidR="00BA59D3" w:rsidRDefault="00BA59D3" w:rsidP="00BA59D3">
      <w:r>
        <w:t>THE COURT HELD:</w:t>
      </w:r>
    </w:p>
    <w:p w14:paraId="26127142" w14:textId="77777777" w:rsidR="00BA59D3" w:rsidRDefault="00BA59D3" w:rsidP="00BA59D3">
      <w:pPr>
        <w:ind w:left="720"/>
      </w:pPr>
      <w:r>
        <w:t>Footnote 5:  “</w:t>
      </w:r>
      <w:r w:rsidRPr="00270580">
        <w:t>The parties dispute whether Krutz publicly disseminated the video statement or whether it was instead leaked to the public</w:t>
      </w:r>
      <w:r>
        <w:t xml:space="preserve">…. </w:t>
      </w:r>
      <w:r w:rsidRPr="00270580">
        <w:t>Defendants contend that Krutz posted the video on YouTube</w:t>
      </w:r>
      <w:r>
        <w:t xml:space="preserve"> …</w:t>
      </w:r>
      <w:r w:rsidRPr="00270580">
        <w:t xml:space="preserve"> whereas Krutz asserts that the video was shared privately via email with only the City of Sparks Fire Department employees, Mayor Lawson, Councilmembers Abbott, </w:t>
      </w:r>
      <w:proofErr w:type="spellStart"/>
      <w:r w:rsidRPr="00270580">
        <w:t>VanderWell</w:t>
      </w:r>
      <w:proofErr w:type="spellEnd"/>
      <w:r w:rsidRPr="00270580">
        <w:t>, Anderson, Bybee, and Dahir, and Assistant City Managers Alyson McCormick and John Martini</w:t>
      </w:r>
      <w:r>
        <w:t>.”</w:t>
      </w:r>
    </w:p>
    <w:p w14:paraId="2C8FC92B" w14:textId="77777777" w:rsidR="00BA59D3" w:rsidRPr="00270580" w:rsidRDefault="00BA59D3" w:rsidP="00BA59D3">
      <w:pPr>
        <w:rPr>
          <w:b/>
          <w:bCs/>
        </w:rPr>
      </w:pPr>
      <w:r>
        <w:rPr>
          <w:b/>
        </w:rPr>
        <w:t xml:space="preserve">Legal Lesson Learned: When a Fire Chief or other senior manager resigns, be very cautious in communicating info beyond the fact that there was a resignation; consult with legal counsel. </w:t>
      </w:r>
    </w:p>
    <w:p w14:paraId="23254872" w14:textId="77777777" w:rsidR="00BA59D3" w:rsidRPr="0059689A" w:rsidRDefault="00BA59D3" w:rsidP="00BA59D3">
      <w:pPr>
        <w:ind w:left="720"/>
        <w:rPr>
          <w:bCs/>
        </w:rPr>
      </w:pPr>
      <w:r>
        <w:t xml:space="preserve">Note: See September 23, </w:t>
      </w:r>
      <w:proofErr w:type="gramStart"/>
      <w:r>
        <w:t>2024</w:t>
      </w:r>
      <w:proofErr w:type="gramEnd"/>
      <w:r>
        <w:t xml:space="preserve"> article and TV Video: “</w:t>
      </w:r>
      <w:r w:rsidRPr="0059689A">
        <w:t>Former Sparks Fire Chief pleads no contest to drug-related charge</w:t>
      </w:r>
      <w:r>
        <w:t xml:space="preserve">.” </w:t>
      </w:r>
      <w:hyperlink r:id="rId2589" w:history="1">
        <w:r w:rsidRPr="00700587">
          <w:rPr>
            <w:rStyle w:val="Hyperlink"/>
          </w:rPr>
          <w:t>https://www.2news.com/news/local/former-sparks-fire-chief-pleads-no-contest-to-drug-related-charge/article_484d699c-7023-11ed-b795-ff8664a2c2d9.html</w:t>
        </w:r>
      </w:hyperlink>
      <w:r>
        <w:t xml:space="preserve"> </w:t>
      </w:r>
    </w:p>
    <w:p w14:paraId="6858FE60" w14:textId="77777777" w:rsidR="00BA59D3" w:rsidRDefault="00BA59D3" w:rsidP="00BA59D3">
      <w:pPr>
        <w:pStyle w:val="NoSpacing"/>
        <w:ind w:left="720"/>
      </w:pPr>
      <w:r>
        <w:t>“</w:t>
      </w:r>
      <w:r w:rsidRPr="00793EF3">
        <w:t>Former Sparks Fire Chief Mark Lawson pleaded no-contest last month to a drug-related charge brought against him in Dec. 2022.</w:t>
      </w:r>
      <w:r>
        <w:t xml:space="preserve"> </w:t>
      </w:r>
      <w:r w:rsidRPr="00793EF3">
        <w:t xml:space="preserve">Included in the court’s judgement, Lawson is guilty of conspiracy to possess a drug that may not be introduced into interstate commerce, and he will have to pay </w:t>
      </w:r>
      <w:proofErr w:type="gramStart"/>
      <w:r w:rsidRPr="00793EF3">
        <w:t>a $2,000 fine and complete eight hours of substance abuse education</w:t>
      </w:r>
      <w:proofErr w:type="gramEnd"/>
      <w:r w:rsidRPr="00793EF3">
        <w:t>.</w:t>
      </w:r>
      <w:r>
        <w:t xml:space="preserve"> </w:t>
      </w:r>
      <w:r w:rsidRPr="00793EF3">
        <w:t>Earlier this year, the City of Sparks paid Lawson $381,000 to settle a lawsuit over his firing. His attorneys argued that he was unfairly fired for pending criminal charges, and that the City’s actions damaged Lawson’s reputation and ability to seek reemployment.</w:t>
      </w:r>
      <w:r>
        <w:t>”</w:t>
      </w:r>
    </w:p>
    <w:p w14:paraId="39239539" w14:textId="77777777" w:rsidR="00BA59D3" w:rsidRDefault="00BA59D3" w:rsidP="00BA59D3">
      <w:pPr>
        <w:pStyle w:val="NoSpacing"/>
        <w:ind w:left="720"/>
      </w:pPr>
    </w:p>
    <w:p w14:paraId="25207836" w14:textId="77777777" w:rsidR="00BA59D3" w:rsidRDefault="00BA59D3" w:rsidP="00BA59D3">
      <w:pPr>
        <w:ind w:left="720"/>
      </w:pPr>
      <w:r w:rsidRPr="00574E88">
        <w:t>See also: Sept. 5, 2024</w:t>
      </w:r>
      <w:r>
        <w:t xml:space="preserve">, </w:t>
      </w:r>
      <w:r w:rsidRPr="00574E88">
        <w:t xml:space="preserve">Sparks City Council Special Meeting. </w:t>
      </w:r>
      <w:hyperlink r:id="rId2590" w:history="1">
        <w:r w:rsidRPr="00700587">
          <w:rPr>
            <w:rStyle w:val="Hyperlink"/>
          </w:rPr>
          <w:t>https://www.youtube.com/watch?v=5NXiLsCyQwc</w:t>
        </w:r>
      </w:hyperlink>
      <w:r>
        <w:t xml:space="preserve">. </w:t>
      </w:r>
      <w:r w:rsidRPr="00574E88">
        <w:t xml:space="preserve">IAFF President calls for termination of City Manager (at 2:07) </w:t>
      </w:r>
    </w:p>
    <w:p w14:paraId="69B0748D" w14:textId="77777777" w:rsidR="00BA59D3" w:rsidRDefault="00BA59D3" w:rsidP="00BA59D3">
      <w:pPr>
        <w:ind w:left="720"/>
        <w:rPr>
          <w:bCs/>
        </w:rPr>
      </w:pPr>
      <w:r>
        <w:t xml:space="preserve">See also: May 9, 2023: City Manager Survives Termination Vote [3 to 2]:  </w:t>
      </w:r>
      <w:hyperlink r:id="rId2591" w:history="1">
        <w:r w:rsidRPr="00700587">
          <w:rPr>
            <w:rStyle w:val="Hyperlink"/>
          </w:rPr>
          <w:t>https://www.youtube.com/watch?v=RmdIuKRFVuU</w:t>
        </w:r>
      </w:hyperlink>
      <w:r>
        <w:t xml:space="preserve"> </w:t>
      </w:r>
    </w:p>
    <w:p w14:paraId="31742342" w14:textId="77777777" w:rsidR="00BA59D3" w:rsidRDefault="00BA59D3" w:rsidP="00BA59D3">
      <w:pPr>
        <w:rPr>
          <w:rFonts w:ascii="Arial Black" w:hAnsi="Arial Black"/>
          <w:b/>
          <w:sz w:val="28"/>
          <w:szCs w:val="28"/>
        </w:rPr>
      </w:pPr>
    </w:p>
    <w:p w14:paraId="17AC9864" w14:textId="77777777" w:rsidR="00745B4B" w:rsidRDefault="00745B4B" w:rsidP="002F7727">
      <w:pPr>
        <w:pStyle w:val="NoSpacing"/>
        <w:rPr>
          <w:rFonts w:ascii="Arial Black" w:hAnsi="Arial Black"/>
          <w:b/>
          <w:sz w:val="24"/>
          <w:szCs w:val="24"/>
        </w:rPr>
      </w:pPr>
    </w:p>
    <w:p w14:paraId="5ED2FB86" w14:textId="77777777" w:rsidR="00745B4B" w:rsidRDefault="00745B4B" w:rsidP="002F7727">
      <w:pPr>
        <w:pStyle w:val="NoSpacing"/>
        <w:rPr>
          <w:rFonts w:ascii="Arial Black" w:hAnsi="Arial Black"/>
          <w:b/>
          <w:sz w:val="24"/>
          <w:szCs w:val="24"/>
        </w:rPr>
      </w:pPr>
    </w:p>
    <w:p w14:paraId="59215DCB" w14:textId="77777777" w:rsidR="00745B4B" w:rsidRDefault="00745B4B" w:rsidP="002F7727">
      <w:pPr>
        <w:pStyle w:val="NoSpacing"/>
        <w:rPr>
          <w:rFonts w:ascii="Arial Black" w:hAnsi="Arial Black"/>
          <w:b/>
          <w:sz w:val="24"/>
          <w:szCs w:val="24"/>
        </w:rPr>
      </w:pPr>
    </w:p>
    <w:p w14:paraId="78A4212F" w14:textId="5F08368B" w:rsidR="00A66F20" w:rsidRDefault="00A66F20" w:rsidP="002F7727">
      <w:pPr>
        <w:pStyle w:val="NoSpacing"/>
        <w:rPr>
          <w:rFonts w:ascii="Arial Black" w:hAnsi="Arial Black"/>
          <w:b/>
          <w:sz w:val="24"/>
          <w:szCs w:val="24"/>
        </w:rPr>
      </w:pPr>
      <w:r>
        <w:rPr>
          <w:rFonts w:ascii="Arial Black" w:hAnsi="Arial Black"/>
          <w:b/>
          <w:sz w:val="24"/>
          <w:szCs w:val="24"/>
        </w:rPr>
        <w:t>16-145</w:t>
      </w:r>
    </w:p>
    <w:p w14:paraId="60F6E9A0" w14:textId="77777777" w:rsidR="00745B4B" w:rsidRDefault="00745B4B" w:rsidP="002F7727">
      <w:pPr>
        <w:pStyle w:val="NoSpacing"/>
        <w:rPr>
          <w:rFonts w:ascii="Arial Black" w:hAnsi="Arial Black"/>
          <w:b/>
          <w:sz w:val="24"/>
          <w:szCs w:val="24"/>
        </w:rPr>
      </w:pPr>
    </w:p>
    <w:p w14:paraId="06A161C9" w14:textId="77777777" w:rsidR="00745B4B" w:rsidRDefault="00745B4B" w:rsidP="00745B4B">
      <w:pPr>
        <w:rPr>
          <w:rFonts w:ascii="Arial Black" w:hAnsi="Arial Black"/>
          <w:b/>
          <w:sz w:val="28"/>
          <w:szCs w:val="28"/>
        </w:rPr>
      </w:pPr>
      <w:r>
        <w:rPr>
          <w:rFonts w:ascii="Arial Black" w:hAnsi="Arial Black"/>
          <w:b/>
          <w:sz w:val="28"/>
          <w:szCs w:val="28"/>
        </w:rPr>
        <w:t xml:space="preserve">OH: CHIEF FIRED – NO FED CT TRO / STATE CT CASE  </w:t>
      </w:r>
    </w:p>
    <w:p w14:paraId="783106BA" w14:textId="77777777" w:rsidR="00745B4B" w:rsidRDefault="00745B4B" w:rsidP="00745B4B">
      <w:pPr>
        <w:rPr>
          <w:bCs/>
        </w:rPr>
      </w:pPr>
      <w:r w:rsidRPr="00967F0E">
        <w:t xml:space="preserve">On January 7, 2026, </w:t>
      </w:r>
      <w:r>
        <w:t xml:space="preserve">in </w:t>
      </w:r>
      <w:r w:rsidRPr="00793D2D">
        <w:rPr>
          <w:u w:val="single"/>
        </w:rPr>
        <w:t>Jeremy Betsa v. City of Avon Lake, Ohio</w:t>
      </w:r>
      <w:r>
        <w:rPr>
          <w:u w:val="single"/>
        </w:rPr>
        <w:t xml:space="preserve">, IAFF Local </w:t>
      </w:r>
      <w:r w:rsidRPr="00007CC8">
        <w:rPr>
          <w:u w:val="single"/>
        </w:rPr>
        <w:t>1361</w:t>
      </w:r>
      <w:r>
        <w:rPr>
          <w:u w:val="single"/>
        </w:rPr>
        <w:t xml:space="preserve">, et al., </w:t>
      </w:r>
      <w:r>
        <w:t xml:space="preserve"> U.S. Magistrate Judge James E. Grimes, Jr., issued a Report and Recommendation to U.S. District Court Judge Donald C. Nugent, United States District Court for the Northern District of Ohio, Eastern Division, recommending the Court deny Jeremy Betsa’s December 15, 2025 “Emergency Motion For A Temporary Restraining Order.”  He had a pending lawsuit in </w:t>
      </w:r>
      <w:r w:rsidRPr="00030F83">
        <w:t>Lorain County Court of Common Plea</w:t>
      </w:r>
      <w:r>
        <w:t xml:space="preserve">, also seeking a TRO (been suspended with pay since August 2025; he was ultimately fired December 31, 2025 </w:t>
      </w:r>
      <w:r w:rsidRPr="001240F1">
        <w:t>for “workplace conduct and leadership</w:t>
      </w:r>
      <w:r>
        <w:t xml:space="preserve">” issues),  Federal courts follow “abstention” doctrine where they decline to intervene in matters already pending in state court. He can appeal his termination to the City’s Civil Service Commission. </w:t>
      </w:r>
      <w:hyperlink r:id="rId2592" w:history="1">
        <w:r w:rsidRPr="00091B3B">
          <w:rPr>
            <w:rStyle w:val="Hyperlink"/>
          </w:rPr>
          <w:t>https://public.fastcase.com/Jhe1Qn%2BmJndQYQU6z%2FeNmypmOFzJk4IjV67xdVBvH10%2BbioR%2BE7hDrSDKPa8oeXy4gUzK0dNFlYVAdtPS9qapAikGtcKVY%2BDC%2Fxrd0A1wWk%3D?utm_medium=email&amp;_hsenc=p2ANqtz--Rb3GwipZHtCJJMLiUWpVHk6Q4w73GSXOI_LD5Raf1axu72BnOP1L2YEQ80fNqXbpHCp329zbZOj3hD1ZT_BRNOO8R9w&amp;_hsmi=226712652&amp;utm_content=226712652&amp;utm_source=hs_email</w:t>
        </w:r>
      </w:hyperlink>
      <w:r>
        <w:t xml:space="preserve"> </w:t>
      </w:r>
    </w:p>
    <w:p w14:paraId="0BDBFBF1" w14:textId="77777777" w:rsidR="00745B4B" w:rsidRDefault="00745B4B" w:rsidP="00745B4B">
      <w:pPr>
        <w:rPr>
          <w:rFonts w:eastAsia="Times New Roman"/>
          <w:bCs/>
        </w:rPr>
      </w:pPr>
      <w:r>
        <w:t>THE MAGISTRATE WROTE:</w:t>
      </w:r>
      <w:r w:rsidRPr="00CE0948">
        <w:rPr>
          <w:rFonts w:eastAsia="Times New Roman"/>
        </w:rPr>
        <w:t xml:space="preserve"> </w:t>
      </w:r>
    </w:p>
    <w:p w14:paraId="115D1576" w14:textId="77777777" w:rsidR="00745B4B" w:rsidRDefault="00745B4B" w:rsidP="00745B4B">
      <w:pPr>
        <w:ind w:left="720"/>
        <w:rPr>
          <w:rFonts w:eastAsia="Times New Roman"/>
          <w:bCs/>
        </w:rPr>
      </w:pPr>
      <w:r>
        <w:rPr>
          <w:rFonts w:eastAsia="Times New Roman"/>
        </w:rPr>
        <w:t>“</w:t>
      </w:r>
      <w:r w:rsidRPr="00416673">
        <w:rPr>
          <w:rFonts w:eastAsia="Times New Roman"/>
        </w:rPr>
        <w:t>The District Court referred Betsa's Motion to me on January 2, 2026. Doc. 28. That day, I set a hearing by videoconference for January 6</w:t>
      </w:r>
      <w:r>
        <w:rPr>
          <w:rFonts w:eastAsia="Times New Roman"/>
        </w:rPr>
        <w:t xml:space="preserve">…. </w:t>
      </w:r>
      <w:r w:rsidRPr="009E6596">
        <w:rPr>
          <w:rFonts w:eastAsia="Times New Roman"/>
        </w:rPr>
        <w:t xml:space="preserve">To recap, Betsa has two lawsuits pending related to the same factual </w:t>
      </w:r>
      <w:proofErr w:type="gramStart"/>
      <w:r w:rsidRPr="009E6596">
        <w:rPr>
          <w:rFonts w:eastAsia="Times New Roman"/>
        </w:rPr>
        <w:t>matter—</w:t>
      </w:r>
      <w:proofErr w:type="gramEnd"/>
      <w:r w:rsidRPr="009E6596">
        <w:rPr>
          <w:rFonts w:eastAsia="Times New Roman"/>
        </w:rPr>
        <w:t>one in state court and one in federal court. Also pending in both cases are Betsa's TRO motions. The heart of Betsa's lawsuits, and his TRO motions, are his claims that the City suspended him, and later terminated him, in violation of Ohio law and his federal due process rights. At the TRO hearing, Betsa explained that his Ohio lawsuit focuses on his state-law claims, whereas his federal lawsuit focuses on federal claims.</w:t>
      </w:r>
    </w:p>
    <w:p w14:paraId="3B0CF93A" w14:textId="77777777" w:rsidR="00745B4B" w:rsidRDefault="00745B4B" w:rsidP="00745B4B">
      <w:pPr>
        <w:ind w:left="720"/>
        <w:rPr>
          <w:rFonts w:eastAsia="Times New Roman"/>
          <w:bCs/>
        </w:rPr>
      </w:pPr>
      <w:r>
        <w:rPr>
          <w:rFonts w:eastAsia="Times New Roman"/>
        </w:rPr>
        <w:t>***</w:t>
      </w:r>
    </w:p>
    <w:p w14:paraId="7BC20A19" w14:textId="77777777" w:rsidR="00745B4B" w:rsidRPr="00CE0948" w:rsidRDefault="00745B4B" w:rsidP="00745B4B">
      <w:pPr>
        <w:ind w:left="720"/>
      </w:pPr>
      <w:r w:rsidRPr="00CE0948">
        <w:t xml:space="preserve">Betsa hasn't shown a likelihood of success on his due process claim because this Court should abstain from deciding the issue under the authority of </w:t>
      </w:r>
      <w:proofErr w:type="gramStart"/>
      <w:r w:rsidRPr="00CE0948">
        <w:rPr>
          <w:i/>
          <w:iCs/>
        </w:rPr>
        <w:t>Younger</w:t>
      </w:r>
      <w:proofErr w:type="gramEnd"/>
      <w:r w:rsidRPr="00CE0948">
        <w:rPr>
          <w:i/>
          <w:iCs/>
        </w:rPr>
        <w:t xml:space="preserve"> v. Harris</w:t>
      </w:r>
      <w:r w:rsidRPr="00CE0948">
        <w:t xml:space="preserve">, 401 U.S. 37 (1971). </w:t>
      </w:r>
    </w:p>
    <w:p w14:paraId="5E0A4DBA" w14:textId="77777777" w:rsidR="00745B4B" w:rsidRDefault="00745B4B" w:rsidP="00745B4B">
      <w:pPr>
        <w:ind w:left="720"/>
      </w:pPr>
      <w:r>
        <w:t>‘</w:t>
      </w:r>
      <w:r w:rsidRPr="00CE0948">
        <w:t xml:space="preserve">Under </w:t>
      </w:r>
      <w:r w:rsidRPr="00CE0948">
        <w:rPr>
          <w:i/>
          <w:iCs/>
        </w:rPr>
        <w:t>Younger</w:t>
      </w:r>
      <w:r w:rsidRPr="00CE0948">
        <w:t xml:space="preserve"> abstention ... a federal court must decline to interfere with pending state civil or criminal proceedings when important state interests are involved.</w:t>
      </w:r>
      <w:r>
        <w:t>’</w:t>
      </w:r>
      <w:r w:rsidRPr="00CE0948">
        <w:t xml:space="preserve"> </w:t>
      </w:r>
      <w:r w:rsidRPr="00CE0948">
        <w:rPr>
          <w:i/>
          <w:iCs/>
        </w:rPr>
        <w:t>O'Neill v. Coughlan</w:t>
      </w:r>
      <w:r w:rsidRPr="00CE0948">
        <w:t xml:space="preserve">, 511 F.3d 638, 641 (6th Cir. 2008) (citations omitted). </w:t>
      </w:r>
      <w:r>
        <w:t>‘</w:t>
      </w:r>
      <w:r w:rsidRPr="00CE0948">
        <w:rPr>
          <w:i/>
          <w:iCs/>
        </w:rPr>
        <w:t>Younger</w:t>
      </w:r>
      <w:r w:rsidRPr="00CE0948">
        <w:t xml:space="preserve"> abstention is not a question of </w:t>
      </w:r>
      <w:proofErr w:type="gramStart"/>
      <w:r w:rsidRPr="00CE0948">
        <w:t>jurisdiction, but</w:t>
      </w:r>
      <w:proofErr w:type="gramEnd"/>
      <w:r w:rsidRPr="00CE0948">
        <w:t xml:space="preserve"> is rather based on ‘strong policies counseling against the exercise of such jurisdiction.' </w:t>
      </w:r>
      <w:r w:rsidRPr="00CE0948">
        <w:rPr>
          <w:i/>
          <w:iCs/>
        </w:rPr>
        <w:t>Id</w:t>
      </w:r>
      <w:r w:rsidRPr="00CE0948">
        <w:t xml:space="preserve">. (citing </w:t>
      </w:r>
      <w:r w:rsidRPr="00CE0948">
        <w:rPr>
          <w:i/>
          <w:iCs/>
        </w:rPr>
        <w:t>Ohio Civil Rights Comm'n v. Dayton Christian Sch., Inc</w:t>
      </w:r>
      <w:r w:rsidRPr="00CE0948">
        <w:t xml:space="preserve">., 477 U.S. 619, 626 (1986). </w:t>
      </w:r>
    </w:p>
    <w:p w14:paraId="4C54C118" w14:textId="77777777" w:rsidR="00745B4B" w:rsidRDefault="00745B4B" w:rsidP="00745B4B">
      <w:pPr>
        <w:ind w:left="720"/>
      </w:pPr>
      <w:r>
        <w:t>***</w:t>
      </w:r>
    </w:p>
    <w:p w14:paraId="6A809E77" w14:textId="77777777" w:rsidR="00745B4B" w:rsidRDefault="00745B4B" w:rsidP="00745B4B">
      <w:pPr>
        <w:ind w:left="720"/>
      </w:pPr>
      <w:r w:rsidRPr="001633A5">
        <w:t xml:space="preserve">Even if Betsa had cleanly separated his state-law and federal claims in the relevant venues, which he has not done, abstention under </w:t>
      </w:r>
      <w:r w:rsidRPr="001633A5">
        <w:rPr>
          <w:i/>
          <w:iCs/>
        </w:rPr>
        <w:t>Younger</w:t>
      </w:r>
      <w:r w:rsidRPr="001633A5">
        <w:t xml:space="preserve"> would still be warranted. This is so because Betsa's procedural due process claim is inextricably intertwined with his state-law procedural issues which he has raised in his state case. Indeed, Betsa concedes that he is not arguing that Ohio's disciplinary and termination procedures are unconstitutional. This means that if the City properly adhered to Ohio law when it suspended and terminated </w:t>
      </w:r>
      <w:r w:rsidRPr="001633A5">
        <w:lastRenderedPageBreak/>
        <w:t xml:space="preserve">Betsa, it necessarily </w:t>
      </w:r>
      <w:r w:rsidRPr="001633A5">
        <w:rPr>
          <w:i/>
          <w:iCs/>
        </w:rPr>
        <w:t>did not</w:t>
      </w:r>
      <w:r w:rsidRPr="001633A5">
        <w:t xml:space="preserve"> violate Betsa's due process rights.</w:t>
      </w:r>
      <w:r w:rsidRPr="001633A5">
        <w:rPr>
          <w:vertAlign w:val="superscript"/>
        </w:rPr>
        <w:t>[</w:t>
      </w:r>
      <w:r w:rsidRPr="001633A5">
        <w:t xml:space="preserve"> And Betsa has only asked the Ohio court—not this Court—to determine whether the City properly adhered to Ohio law. </w:t>
      </w:r>
      <w:proofErr w:type="gramStart"/>
      <w:r w:rsidRPr="001633A5">
        <w:t>So</w:t>
      </w:r>
      <w:proofErr w:type="gramEnd"/>
      <w:r w:rsidRPr="001633A5">
        <w:t xml:space="preserve"> the Ohio court should resolve Betsa's state-law claim before this Court wades into Betsa's related due process </w:t>
      </w:r>
      <w:proofErr w:type="gramStart"/>
      <w:r w:rsidRPr="001633A5">
        <w:t>claim.</w:t>
      </w:r>
      <w:r>
        <w:t>”</w:t>
      </w:r>
      <w:proofErr w:type="gramEnd"/>
    </w:p>
    <w:p w14:paraId="634C38E2" w14:textId="77777777" w:rsidR="00745B4B" w:rsidRDefault="00745B4B" w:rsidP="00745B4B">
      <w:pPr>
        <w:rPr>
          <w:b/>
          <w:bCs/>
        </w:rPr>
      </w:pPr>
      <w:r>
        <w:rPr>
          <w:b/>
        </w:rPr>
        <w:t>Legal lesson learned:  Federal courts will normally abstain when the employee has already filed a lawsuit in state court on similar issues.</w:t>
      </w:r>
    </w:p>
    <w:p w14:paraId="7E2F2764" w14:textId="77777777" w:rsidR="00745B4B" w:rsidRDefault="00745B4B" w:rsidP="00745B4B">
      <w:pPr>
        <w:ind w:left="720"/>
      </w:pPr>
      <w:r w:rsidRPr="00D55245">
        <w:t xml:space="preserve">Note: </w:t>
      </w:r>
      <w:r w:rsidRPr="001B7700">
        <w:rPr>
          <w:vanish/>
        </w:rPr>
        <w:t>Top of Form</w:t>
      </w:r>
    </w:p>
    <w:p w14:paraId="720719BE" w14:textId="77777777" w:rsidR="00745B4B" w:rsidRDefault="00745B4B" w:rsidP="00745B4B">
      <w:pPr>
        <w:ind w:left="720"/>
        <w:rPr>
          <w:bCs/>
        </w:rPr>
      </w:pPr>
      <w:r>
        <w:t>Jan. 1, 2026:</w:t>
      </w:r>
      <w:r w:rsidRPr="000D33A9">
        <w:t xml:space="preserve">Avon Lake terminates fire chief after investigation into 'workplace conduct and leadership </w:t>
      </w:r>
      <w:r>
        <w:t>[</w:t>
      </w:r>
      <w:r w:rsidRPr="000D33A9">
        <w:t xml:space="preserve">TV VIDEO.]: </w:t>
      </w:r>
      <w:hyperlink r:id="rId2593" w:history="1">
        <w:r w:rsidRPr="000D33A9">
          <w:rPr>
            <w:rStyle w:val="Hyperlink"/>
          </w:rPr>
          <w:t>https://www.youtube.com/watch?v=NQ_XX2qp684</w:t>
        </w:r>
      </w:hyperlink>
      <w:r w:rsidRPr="000D33A9">
        <w:t xml:space="preserve"> </w:t>
      </w:r>
    </w:p>
    <w:p w14:paraId="157375F4" w14:textId="77777777" w:rsidR="00745B4B" w:rsidRDefault="00745B4B" w:rsidP="00745B4B">
      <w:pPr>
        <w:ind w:left="720"/>
      </w:pPr>
      <w:r>
        <w:t xml:space="preserve">Jan. 1, 2026: </w:t>
      </w:r>
      <w:hyperlink r:id="rId2594" w:history="1">
        <w:r w:rsidRPr="00F620D0">
          <w:rPr>
            <w:rStyle w:val="Hyperlink"/>
          </w:rPr>
          <w:t>https://www.wkyc.com/article/news/local/lorain-county/3news-investigates-avon-lake-terminates-fire-chief-investigation-into-workplace-conduct-leadership/95-a94cb6d7-c3ff-4355-be21-18103dc8f3f4</w:t>
        </w:r>
      </w:hyperlink>
    </w:p>
    <w:p w14:paraId="33029F2D" w14:textId="77777777" w:rsidR="00745B4B" w:rsidRDefault="00745B4B" w:rsidP="002F7727">
      <w:pPr>
        <w:pStyle w:val="NoSpacing"/>
        <w:rPr>
          <w:rFonts w:ascii="Arial Black" w:hAnsi="Arial Black"/>
          <w:b/>
          <w:sz w:val="24"/>
          <w:szCs w:val="24"/>
        </w:rPr>
      </w:pPr>
    </w:p>
    <w:p w14:paraId="6F649BBA" w14:textId="77777777" w:rsidR="00A66F20" w:rsidRDefault="00A66F20" w:rsidP="002F7727">
      <w:pPr>
        <w:pStyle w:val="NoSpacing"/>
        <w:rPr>
          <w:rFonts w:ascii="Arial Black" w:hAnsi="Arial Black"/>
          <w:b/>
          <w:sz w:val="24"/>
          <w:szCs w:val="24"/>
        </w:rPr>
      </w:pPr>
    </w:p>
    <w:p w14:paraId="699EA9B7" w14:textId="77777777" w:rsidR="00A66F20" w:rsidRDefault="00A66F20" w:rsidP="002F7727">
      <w:pPr>
        <w:pStyle w:val="NoSpacing"/>
        <w:rPr>
          <w:rFonts w:ascii="Arial Black" w:hAnsi="Arial Black"/>
          <w:b/>
          <w:sz w:val="24"/>
          <w:szCs w:val="24"/>
        </w:rPr>
      </w:pPr>
    </w:p>
    <w:p w14:paraId="1C8459CD" w14:textId="77777777" w:rsidR="00A66F20" w:rsidRDefault="00A66F20" w:rsidP="002F7727">
      <w:pPr>
        <w:pStyle w:val="NoSpacing"/>
        <w:rPr>
          <w:rFonts w:ascii="Arial Black" w:hAnsi="Arial Black"/>
          <w:b/>
          <w:sz w:val="24"/>
          <w:szCs w:val="24"/>
        </w:rPr>
      </w:pPr>
    </w:p>
    <w:p w14:paraId="437AE70E" w14:textId="06E1B90A" w:rsidR="006D1F52" w:rsidRDefault="006D1F52" w:rsidP="002F7727">
      <w:pPr>
        <w:pStyle w:val="NoSpacing"/>
        <w:rPr>
          <w:rFonts w:ascii="Arial Black" w:hAnsi="Arial Black"/>
          <w:b/>
          <w:sz w:val="24"/>
          <w:szCs w:val="24"/>
        </w:rPr>
      </w:pPr>
      <w:r>
        <w:rPr>
          <w:rFonts w:ascii="Arial Black" w:hAnsi="Arial Black"/>
          <w:b/>
          <w:sz w:val="24"/>
          <w:szCs w:val="24"/>
        </w:rPr>
        <w:t>16-144</w:t>
      </w:r>
    </w:p>
    <w:p w14:paraId="7E665A36" w14:textId="77777777" w:rsidR="006D1F52" w:rsidRDefault="006D1F52" w:rsidP="002F7727">
      <w:pPr>
        <w:pStyle w:val="NoSpacing"/>
        <w:rPr>
          <w:rFonts w:ascii="Arial Black" w:hAnsi="Arial Black"/>
          <w:b/>
          <w:sz w:val="24"/>
          <w:szCs w:val="24"/>
        </w:rPr>
      </w:pPr>
    </w:p>
    <w:p w14:paraId="33A27F3A" w14:textId="102937FE" w:rsidR="006D1F52" w:rsidRDefault="006D1F52" w:rsidP="006D1F52">
      <w:pPr>
        <w:rPr>
          <w:rFonts w:ascii="Arial Black" w:hAnsi="Arial Black"/>
          <w:sz w:val="28"/>
          <w:szCs w:val="28"/>
        </w:rPr>
      </w:pPr>
      <w:r>
        <w:rPr>
          <w:rFonts w:ascii="Arial Black" w:hAnsi="Arial Black"/>
          <w:sz w:val="28"/>
          <w:szCs w:val="28"/>
        </w:rPr>
        <w:t xml:space="preserve">MA: FF FIRED – MUST </w:t>
      </w:r>
      <w:r w:rsidR="00357F5D">
        <w:rPr>
          <w:rFonts w:ascii="Arial Black" w:hAnsi="Arial Black"/>
          <w:sz w:val="28"/>
          <w:szCs w:val="28"/>
        </w:rPr>
        <w:t xml:space="preserve">FIRST </w:t>
      </w:r>
      <w:r>
        <w:rPr>
          <w:rFonts w:ascii="Arial Black" w:hAnsi="Arial Black"/>
          <w:sz w:val="28"/>
          <w:szCs w:val="28"/>
        </w:rPr>
        <w:t>APPEAL TO CIVIL SERVICE COMM.</w:t>
      </w:r>
    </w:p>
    <w:p w14:paraId="7BF79807" w14:textId="77777777" w:rsidR="006D1F52" w:rsidRDefault="006D1F52" w:rsidP="006D1F52">
      <w:r>
        <w:t xml:space="preserve">On January 5, 2026, in </w:t>
      </w:r>
      <w:r w:rsidRPr="00EC756F">
        <w:rPr>
          <w:u w:val="single"/>
        </w:rPr>
        <w:t>Casley Bailey v. Boston Fire Department</w:t>
      </w:r>
      <w:r>
        <w:t xml:space="preserve">, the Commonwealth of Massachusetts Appeal Court held (3 to 0; unpublished opinion) that the trial court properly denied his “emergency motion for a preliminary injunction to stay the disciplinary proceedings.” He was fired the same day (regarding alleged workplace injury) he filed his complaint; he must first exercise his appeal rights to the state’s Civil Service Commission (where he has previously appealed </w:t>
      </w:r>
      <w:proofErr w:type="gramStart"/>
      <w:r>
        <w:t>other</w:t>
      </w:r>
      <w:proofErr w:type="gramEnd"/>
      <w:r>
        <w:t xml:space="preserve"> discipline). </w:t>
      </w:r>
      <w:hyperlink r:id="rId2595" w:history="1">
        <w:r w:rsidRPr="001D590B">
          <w:rPr>
            <w:rStyle w:val="Hyperlink"/>
          </w:rPr>
          <w:t>file:///C:/Users/lawre/Downloads/25P0275.pdf</w:t>
        </w:r>
      </w:hyperlink>
      <w:r>
        <w:t xml:space="preserve">  </w:t>
      </w:r>
    </w:p>
    <w:p w14:paraId="64903B14" w14:textId="77777777" w:rsidR="006D1F52" w:rsidRDefault="006D1F52" w:rsidP="006D1F52">
      <w:r>
        <w:t>THE COURT HELD:</w:t>
      </w:r>
    </w:p>
    <w:p w14:paraId="0C3755E5" w14:textId="77777777" w:rsidR="006D1F52" w:rsidRDefault="006D1F52" w:rsidP="006D1F52">
      <w:pPr>
        <w:pStyle w:val="NoSpacing"/>
        <w:ind w:left="720"/>
      </w:pPr>
      <w:r>
        <w:t>“The plaintiff, Casley Bailey, filed a complaint in the Superior Court against the defendant Boston Fire Department (department) seeking to stay the department's ongoing</w:t>
      </w:r>
    </w:p>
    <w:p w14:paraId="41E6EDAF" w14:textId="77777777" w:rsidR="006D1F52" w:rsidRDefault="006D1F52" w:rsidP="006D1F52">
      <w:pPr>
        <w:pStyle w:val="NoSpacing"/>
        <w:ind w:left="720"/>
      </w:pPr>
      <w:r>
        <w:t>disciplinary action against him. He accompanied the complaint with an emergency motion for a preliminary injunction to stay the disciplinary proceedings.</w:t>
      </w:r>
    </w:p>
    <w:p w14:paraId="533934F4" w14:textId="77777777" w:rsidR="006D1F52" w:rsidRDefault="006D1F52" w:rsidP="006D1F52">
      <w:pPr>
        <w:pStyle w:val="NoSpacing"/>
        <w:ind w:left="720"/>
      </w:pPr>
    </w:p>
    <w:p w14:paraId="54B16170" w14:textId="77777777" w:rsidR="006D1F52" w:rsidRDefault="006D1F52" w:rsidP="006D1F52">
      <w:pPr>
        <w:pStyle w:val="NoSpacing"/>
        <w:ind w:left="720"/>
      </w:pPr>
      <w:r>
        <w:t xml:space="preserve">Meanwhile, the same day the plaintiff filed his complaint, the department announced its final decision and discharged him from service as a firefighter. In opposition to the preliminary injunction, the department argued that the request should be dismissed as moot </w:t>
      </w:r>
      <w:proofErr w:type="gramStart"/>
      <w:r>
        <w:t>and also</w:t>
      </w:r>
      <w:proofErr w:type="gramEnd"/>
      <w:r>
        <w:t xml:space="preserve"> for failure to exhaust administrative remedies. After a hearing, a Superior Court judge denied injunctive relief on the ground that the plaintiff ‘must first exhaust his administrative remedies before coming to Court.’ Shortly thereafter the judge dismissed the complaint because the only relief the plaintiff sought -- the stay of the disciplinary</w:t>
      </w:r>
    </w:p>
    <w:p w14:paraId="33F3D5A3" w14:textId="77777777" w:rsidR="006D1F52" w:rsidRDefault="006D1F52" w:rsidP="006D1F52">
      <w:pPr>
        <w:pStyle w:val="NoSpacing"/>
        <w:ind w:left="720"/>
      </w:pPr>
      <w:r>
        <w:t>procedures -- had been denied.</w:t>
      </w:r>
    </w:p>
    <w:p w14:paraId="2C57A0CA" w14:textId="77777777" w:rsidR="006D1F52" w:rsidRDefault="006D1F52" w:rsidP="006D1F52">
      <w:pPr>
        <w:pStyle w:val="NoSpacing"/>
        <w:ind w:left="720"/>
      </w:pPr>
    </w:p>
    <w:p w14:paraId="38C01F4E" w14:textId="77777777" w:rsidR="006D1F52" w:rsidRDefault="006D1F52" w:rsidP="006D1F52">
      <w:pPr>
        <w:pStyle w:val="NoSpacing"/>
        <w:ind w:left="720"/>
      </w:pPr>
      <w:r>
        <w:t xml:space="preserve">The plaintiff appeals </w:t>
      </w:r>
      <w:proofErr w:type="gramStart"/>
      <w:r>
        <w:t>from</w:t>
      </w:r>
      <w:proofErr w:type="gramEnd"/>
      <w:r>
        <w:t xml:space="preserve"> the dismissal of his complaint. He asserts that the physician who examined him in connection with his claimed work-related injury forged a medical release; that the department chief who oversaw the disciplinary action was biased against him; that his union colluded with the department and failed to provide adequate representation, "rendering administrative remedies futile"; that the judge failed to consider </w:t>
      </w:r>
      <w:r>
        <w:lastRenderedPageBreak/>
        <w:t>his claim of irreparable harm, particularly the loss of health insurance for his family; and, finally, that he was disciplined more severely than similarly situated</w:t>
      </w:r>
    </w:p>
    <w:p w14:paraId="3D7DB679" w14:textId="77777777" w:rsidR="006D1F52" w:rsidRDefault="006D1F52" w:rsidP="006D1F52">
      <w:pPr>
        <w:pStyle w:val="NoSpacing"/>
        <w:ind w:left="720"/>
      </w:pPr>
      <w:r>
        <w:t xml:space="preserve">firefighters. </w:t>
      </w:r>
    </w:p>
    <w:p w14:paraId="1ACE1035" w14:textId="77777777" w:rsidR="006D1F52" w:rsidRDefault="006D1F52" w:rsidP="006D1F52">
      <w:pPr>
        <w:pStyle w:val="NoSpacing"/>
        <w:ind w:left="720"/>
      </w:pPr>
    </w:p>
    <w:p w14:paraId="6E508955" w14:textId="77777777" w:rsidR="006D1F52" w:rsidRDefault="006D1F52" w:rsidP="006D1F52">
      <w:pPr>
        <w:pStyle w:val="NoSpacing"/>
        <w:ind w:left="720"/>
      </w:pPr>
      <w:r>
        <w:t>Notwithstanding these claims of ‘fraudulent evidence, procedural misconduct, and labor law violations,’ we conclude that the judge did not abuse his discretion in denying the</w:t>
      </w:r>
    </w:p>
    <w:p w14:paraId="22B1780B" w14:textId="77777777" w:rsidR="006D1F52" w:rsidRDefault="006D1F52" w:rsidP="006D1F52">
      <w:pPr>
        <w:pStyle w:val="NoSpacing"/>
        <w:ind w:left="720"/>
      </w:pPr>
      <w:r>
        <w:t>injunction and dismissing the complaint for failure to exhaust available remedies.</w:t>
      </w:r>
    </w:p>
    <w:p w14:paraId="0D5702B5" w14:textId="77777777" w:rsidR="006D1F52" w:rsidRDefault="006D1F52" w:rsidP="006D1F52">
      <w:pPr>
        <w:pStyle w:val="NoSpacing"/>
        <w:ind w:left="720"/>
      </w:pPr>
    </w:p>
    <w:p w14:paraId="5E0FA2E2" w14:textId="77777777" w:rsidR="006D1F52" w:rsidRDefault="006D1F52" w:rsidP="006D1F52">
      <w:pPr>
        <w:pStyle w:val="NoSpacing"/>
        <w:ind w:left="720"/>
      </w:pPr>
      <w:r>
        <w:t>***</w:t>
      </w:r>
    </w:p>
    <w:p w14:paraId="18E89CBC" w14:textId="77777777" w:rsidR="006D1F52" w:rsidRDefault="006D1F52" w:rsidP="006D1F52">
      <w:pPr>
        <w:pStyle w:val="NoSpacing"/>
        <w:ind w:left="720"/>
      </w:pPr>
    </w:p>
    <w:p w14:paraId="2ED1899A" w14:textId="77777777" w:rsidR="006D1F52" w:rsidRDefault="006D1F52" w:rsidP="006D1F52">
      <w:pPr>
        <w:pStyle w:val="NoSpacing"/>
        <w:ind w:left="720"/>
      </w:pPr>
      <w:r>
        <w:t>Moreover, at the time the preliminary injunction was denied and the case was dismissed, the plaintiff had not yet availed himself of the remedies available to him under the civil service statute, G. L</w:t>
      </w:r>
      <w:proofErr w:type="gramStart"/>
      <w:r>
        <w:t>. c</w:t>
      </w:r>
      <w:proofErr w:type="gramEnd"/>
      <w:r>
        <w:t>. 31, §§ 41-45. The plaintiff was a tenured civil servant entitled to the protection of the statute. Documents in the plaintiff's record appendix show that within one month of the dismissal of his complaint he was actively challenging his termination in proceedings before the Civil Service Commission (commission).</w:t>
      </w:r>
    </w:p>
    <w:p w14:paraId="3798A05A" w14:textId="77777777" w:rsidR="006D1F52" w:rsidRDefault="006D1F52" w:rsidP="006D1F52">
      <w:pPr>
        <w:pStyle w:val="NoSpacing"/>
        <w:ind w:left="720"/>
      </w:pPr>
    </w:p>
    <w:p w14:paraId="754C7A81" w14:textId="77777777" w:rsidR="006D1F52" w:rsidRDefault="006D1F52" w:rsidP="006D1F52">
      <w:pPr>
        <w:pStyle w:val="NoSpacing"/>
        <w:ind w:left="720"/>
      </w:pPr>
      <w:r>
        <w:t xml:space="preserve">The plaintiff's claim of irreparable harm -- the harm from loss of employment -- is generally not sufficient to obtain an </w:t>
      </w:r>
      <w:proofErr w:type="gramStart"/>
      <w:r>
        <w:t>injunction.”</w:t>
      </w:r>
      <w:proofErr w:type="gramEnd"/>
    </w:p>
    <w:p w14:paraId="12049097" w14:textId="77777777" w:rsidR="006D1F52" w:rsidRDefault="006D1F52" w:rsidP="006D1F52">
      <w:pPr>
        <w:pStyle w:val="NoSpacing"/>
        <w:ind w:left="720"/>
      </w:pPr>
    </w:p>
    <w:p w14:paraId="542BAFB8" w14:textId="77777777" w:rsidR="006D1F52" w:rsidRDefault="006D1F52" w:rsidP="006D1F52">
      <w:pPr>
        <w:pStyle w:val="NoSpacing"/>
        <w:rPr>
          <w:b/>
          <w:bCs/>
        </w:rPr>
      </w:pPr>
      <w:r>
        <w:rPr>
          <w:b/>
        </w:rPr>
        <w:t xml:space="preserve">Legal lesson learned: Must first exhaust administrative right of appeal to Civil Service Commission before seeking judicial relief. </w:t>
      </w:r>
    </w:p>
    <w:p w14:paraId="2B010EE5" w14:textId="77777777" w:rsidR="006D1F52" w:rsidRDefault="006D1F52" w:rsidP="006D1F52">
      <w:pPr>
        <w:pStyle w:val="NoSpacing"/>
        <w:rPr>
          <w:b/>
          <w:bCs/>
        </w:rPr>
      </w:pPr>
    </w:p>
    <w:p w14:paraId="62A533FE" w14:textId="77777777" w:rsidR="006D1F52" w:rsidRDefault="006D1F52" w:rsidP="006D1F52">
      <w:pPr>
        <w:pStyle w:val="NoSpacing"/>
      </w:pPr>
      <w:r>
        <w:rPr>
          <w:b/>
        </w:rPr>
        <w:tab/>
      </w:r>
      <w:r>
        <w:t xml:space="preserve">Note:  See his prior discipline appeals. </w:t>
      </w:r>
    </w:p>
    <w:p w14:paraId="76C87814" w14:textId="77777777" w:rsidR="006D1F52" w:rsidRDefault="006D1F52" w:rsidP="006D1F52">
      <w:pPr>
        <w:ind w:left="720"/>
      </w:pPr>
      <w:r>
        <w:t xml:space="preserve">February 6, 2025: Civil Service Commission: </w:t>
      </w:r>
      <w:hyperlink r:id="rId2596" w:history="1">
        <w:r w:rsidRPr="002B4D2D">
          <w:rPr>
            <w:rStyle w:val="Hyperlink"/>
          </w:rPr>
          <w:t>https://www.mass.gov/doc/bailey-casley-v-boston-fire-department-2625/download</w:t>
        </w:r>
      </w:hyperlink>
      <w:r>
        <w:t xml:space="preserve"> </w:t>
      </w:r>
    </w:p>
    <w:p w14:paraId="03B38B2F" w14:textId="77777777" w:rsidR="006D1F52" w:rsidRDefault="006D1F52" w:rsidP="006D1F52">
      <w:pPr>
        <w:pStyle w:val="NoSpacing"/>
        <w:ind w:left="720"/>
        <w:rPr>
          <w:bCs/>
        </w:rPr>
      </w:pPr>
      <w:r>
        <w:t>“</w:t>
      </w:r>
      <w:r w:rsidRPr="00301812">
        <w:t>The Commission affirmed the decision of the Boston Fire Department (BFD) to suspend a</w:t>
      </w:r>
      <w:r>
        <w:t xml:space="preserve"> </w:t>
      </w:r>
      <w:r w:rsidRPr="00301812">
        <w:t>firefighter for 60 days for violation of rules related to untruthfulness and misrepresentation</w:t>
      </w:r>
      <w:r>
        <w:t xml:space="preserve"> </w:t>
      </w:r>
      <w:r w:rsidRPr="00301812">
        <w:t>regarding the unauthorized use of emergency lights and sirens on his personal vehicle.</w:t>
      </w:r>
      <w:r>
        <w:t>”</w:t>
      </w:r>
    </w:p>
    <w:p w14:paraId="19EF3D8D" w14:textId="77777777" w:rsidR="006D1F52" w:rsidRDefault="006D1F52" w:rsidP="006D1F52">
      <w:pPr>
        <w:pStyle w:val="NoSpacing"/>
        <w:ind w:left="720"/>
      </w:pPr>
    </w:p>
    <w:p w14:paraId="0A191BE6" w14:textId="77777777" w:rsidR="006D1F52" w:rsidRDefault="006D1F52" w:rsidP="006D1F52">
      <w:pPr>
        <w:pStyle w:val="NoSpacing"/>
        <w:ind w:left="720"/>
      </w:pPr>
      <w:r>
        <w:t xml:space="preserve">May 6, 2024: Civil Service Commission - </w:t>
      </w:r>
      <w:hyperlink r:id="rId2597" w:history="1">
        <w:r w:rsidRPr="001D590B">
          <w:rPr>
            <w:rStyle w:val="Hyperlink"/>
          </w:rPr>
          <w:t>https://www.mass.gov/doc/bailey-casley-v-boston-fire-department-62724/download</w:t>
        </w:r>
      </w:hyperlink>
    </w:p>
    <w:p w14:paraId="004FF996" w14:textId="77777777" w:rsidR="006D1F52" w:rsidRDefault="006D1F52" w:rsidP="006D1F52">
      <w:pPr>
        <w:pStyle w:val="NoSpacing"/>
        <w:ind w:left="720"/>
      </w:pPr>
      <w:r>
        <w:t>“The four-tour suspension [took FMLA leave to take Lt. exam] is modified to a two-tour</w:t>
      </w:r>
    </w:p>
    <w:p w14:paraId="1726975B" w14:textId="77777777" w:rsidR="006D1F52" w:rsidRDefault="006D1F52" w:rsidP="006D1F52">
      <w:pPr>
        <w:pStyle w:val="NoSpacing"/>
        <w:ind w:left="720"/>
      </w:pPr>
      <w:r>
        <w:t>suspension and the Appellant shall be restored to his position for the two remaining tours</w:t>
      </w:r>
    </w:p>
    <w:p w14:paraId="3E8949D0" w14:textId="77777777" w:rsidR="006D1F52" w:rsidRDefault="006D1F52" w:rsidP="006D1F52">
      <w:pPr>
        <w:pStyle w:val="NoSpacing"/>
        <w:ind w:left="720"/>
        <w:rPr>
          <w:b/>
        </w:rPr>
      </w:pPr>
      <w:r>
        <w:t>without loss of pay or other benefits.”</w:t>
      </w:r>
      <w:r>
        <w:rPr>
          <w:b/>
        </w:rPr>
        <w:t xml:space="preserve"> </w:t>
      </w:r>
    </w:p>
    <w:p w14:paraId="33E18AE9" w14:textId="77777777" w:rsidR="006D1F52" w:rsidRDefault="006D1F52" w:rsidP="006D1F52">
      <w:pPr>
        <w:rPr>
          <w:b/>
        </w:rPr>
      </w:pPr>
    </w:p>
    <w:p w14:paraId="6E9ACA3C" w14:textId="77777777" w:rsidR="006D1F52" w:rsidRDefault="006D1F52" w:rsidP="006D1F52">
      <w:pPr>
        <w:rPr>
          <w:b/>
        </w:rPr>
      </w:pPr>
    </w:p>
    <w:p w14:paraId="090583EB" w14:textId="77777777" w:rsidR="006D1F52" w:rsidRDefault="006D1F52" w:rsidP="002F7727">
      <w:pPr>
        <w:pStyle w:val="NoSpacing"/>
        <w:rPr>
          <w:rFonts w:ascii="Arial Black" w:hAnsi="Arial Black"/>
          <w:b/>
          <w:sz w:val="24"/>
          <w:szCs w:val="24"/>
        </w:rPr>
      </w:pPr>
    </w:p>
    <w:p w14:paraId="368C562E" w14:textId="77777777" w:rsidR="006D1F52" w:rsidRDefault="006D1F52" w:rsidP="002F7727">
      <w:pPr>
        <w:pStyle w:val="NoSpacing"/>
        <w:rPr>
          <w:rFonts w:ascii="Arial Black" w:hAnsi="Arial Black"/>
          <w:b/>
          <w:sz w:val="24"/>
          <w:szCs w:val="24"/>
        </w:rPr>
      </w:pPr>
    </w:p>
    <w:p w14:paraId="75EB0486" w14:textId="77777777" w:rsidR="006D1F52" w:rsidRDefault="006D1F52" w:rsidP="002F7727">
      <w:pPr>
        <w:pStyle w:val="NoSpacing"/>
        <w:rPr>
          <w:rFonts w:ascii="Arial Black" w:hAnsi="Arial Black"/>
          <w:b/>
          <w:sz w:val="24"/>
          <w:szCs w:val="24"/>
        </w:rPr>
      </w:pPr>
    </w:p>
    <w:p w14:paraId="5789EED6" w14:textId="40D2E6BF" w:rsidR="00966476" w:rsidRDefault="00966476" w:rsidP="002F7727">
      <w:pPr>
        <w:pStyle w:val="NoSpacing"/>
        <w:rPr>
          <w:rFonts w:ascii="Arial Black" w:hAnsi="Arial Black"/>
          <w:b/>
          <w:sz w:val="24"/>
          <w:szCs w:val="24"/>
        </w:rPr>
      </w:pPr>
      <w:r>
        <w:rPr>
          <w:rFonts w:ascii="Arial Black" w:hAnsi="Arial Black"/>
          <w:b/>
          <w:sz w:val="24"/>
          <w:szCs w:val="24"/>
        </w:rPr>
        <w:t>16-</w:t>
      </w:r>
      <w:r w:rsidR="00583923">
        <w:rPr>
          <w:rFonts w:ascii="Arial Black" w:hAnsi="Arial Black"/>
          <w:b/>
          <w:sz w:val="24"/>
          <w:szCs w:val="24"/>
        </w:rPr>
        <w:t>143</w:t>
      </w:r>
    </w:p>
    <w:p w14:paraId="7A11CE31" w14:textId="77777777" w:rsidR="004F5159" w:rsidRDefault="004F5159" w:rsidP="002F7727">
      <w:pPr>
        <w:pStyle w:val="NoSpacing"/>
        <w:rPr>
          <w:rFonts w:ascii="Arial Black" w:hAnsi="Arial Black"/>
          <w:b/>
          <w:sz w:val="24"/>
          <w:szCs w:val="24"/>
        </w:rPr>
      </w:pPr>
    </w:p>
    <w:p w14:paraId="6459F85A" w14:textId="77777777" w:rsidR="000637E4" w:rsidRPr="00E72C24" w:rsidRDefault="000637E4" w:rsidP="000637E4">
      <w:pPr>
        <w:rPr>
          <w:rFonts w:ascii="Arial Black" w:hAnsi="Arial Black"/>
          <w:b/>
          <w:sz w:val="28"/>
          <w:szCs w:val="28"/>
        </w:rPr>
      </w:pPr>
      <w:r>
        <w:rPr>
          <w:rFonts w:ascii="Arial Black" w:hAnsi="Arial Black"/>
          <w:b/>
          <w:sz w:val="28"/>
          <w:szCs w:val="28"/>
        </w:rPr>
        <w:t>CA: KOBE BRYANT CRASH – PHOTOS – NO RETALIATION</w:t>
      </w:r>
    </w:p>
    <w:p w14:paraId="6A9986A9" w14:textId="77777777" w:rsidR="000637E4" w:rsidRDefault="000637E4" w:rsidP="000637E4">
      <w:pPr>
        <w:pStyle w:val="NoSpacing"/>
      </w:pPr>
      <w:r>
        <w:t xml:space="preserve">On December 23, 2025, in </w:t>
      </w:r>
      <w:r w:rsidRPr="00524324">
        <w:rPr>
          <w:u w:val="single"/>
        </w:rPr>
        <w:t>Brian Jordan v. County of Los Angeles</w:t>
      </w:r>
      <w:r>
        <w:t xml:space="preserve">, the </w:t>
      </w:r>
      <w:r w:rsidRPr="00524324">
        <w:t>California Court of Appeals, Second District, Third Division</w:t>
      </w:r>
      <w:r>
        <w:t xml:space="preserve"> held (3 to 0, unpublished decision) that trial court properly dismissed the former Captain’s lawsuit for retaliation.  </w:t>
      </w:r>
      <w:r w:rsidRPr="00726530">
        <w:t>Jordan responded to the</w:t>
      </w:r>
      <w:r>
        <w:t xml:space="preserve"> </w:t>
      </w:r>
      <w:r w:rsidRPr="00726530">
        <w:t xml:space="preserve">scene of the </w:t>
      </w:r>
      <w:r>
        <w:t xml:space="preserve">Jan. 26, </w:t>
      </w:r>
      <w:proofErr w:type="gramStart"/>
      <w:r>
        <w:t>2020</w:t>
      </w:r>
      <w:proofErr w:type="gramEnd"/>
      <w:r>
        <w:t xml:space="preserve"> </w:t>
      </w:r>
      <w:r w:rsidRPr="00726530">
        <w:t>helicopter crash that killed NBA star Kobe Bryant</w:t>
      </w:r>
      <w:r>
        <w:t xml:space="preserve">, his daughter, Christopher Chester’s wife and daughter, among others.  He was ordered to take photos of the scene.  </w:t>
      </w:r>
      <w:r w:rsidRPr="00726530">
        <w:t>He alleged that he was later told to lie about taking</w:t>
      </w:r>
      <w:r>
        <w:t xml:space="preserve"> </w:t>
      </w:r>
      <w:r w:rsidRPr="00726530">
        <w:t>those photos. He further alleged that when he refused to lie, the</w:t>
      </w:r>
      <w:r>
        <w:t xml:space="preserve"> </w:t>
      </w:r>
      <w:r w:rsidRPr="00726530">
        <w:t>County retaliated against him by failing to pay for his legal</w:t>
      </w:r>
      <w:r>
        <w:t xml:space="preserve"> </w:t>
      </w:r>
      <w:r w:rsidRPr="00726530">
        <w:t>representation in an action brought by the crash victims’</w:t>
      </w:r>
      <w:r>
        <w:t xml:space="preserve"> </w:t>
      </w:r>
      <w:r w:rsidRPr="00726530">
        <w:t>families</w:t>
      </w:r>
      <w:r>
        <w:t xml:space="preserve"> </w:t>
      </w:r>
      <w:r>
        <w:lastRenderedPageBreak/>
        <w:t xml:space="preserve">(November 2021 deposition and August 2022 trial) </w:t>
      </w:r>
      <w:r w:rsidRPr="00726530">
        <w:t>and by denying him a retirement badge.</w:t>
      </w:r>
      <w:r>
        <w:t xml:space="preserve">  </w:t>
      </w:r>
      <w:hyperlink r:id="rId2598" w:history="1">
        <w:r w:rsidRPr="00F75E71">
          <w:rPr>
            <w:rStyle w:val="Hyperlink"/>
          </w:rPr>
          <w:t>https://www4.courts.ca.gov/opinions/nonpub/B333041.PDF</w:t>
        </w:r>
      </w:hyperlink>
      <w:r>
        <w:t xml:space="preserve"> </w:t>
      </w:r>
    </w:p>
    <w:p w14:paraId="1ECFE5CD" w14:textId="77777777" w:rsidR="000637E4" w:rsidRDefault="000637E4" w:rsidP="000637E4">
      <w:pPr>
        <w:pStyle w:val="NoSpacing"/>
      </w:pPr>
    </w:p>
    <w:p w14:paraId="28AFAC3C" w14:textId="77777777" w:rsidR="000637E4" w:rsidRDefault="000637E4" w:rsidP="000637E4">
      <w:pPr>
        <w:pStyle w:val="NoSpacing"/>
      </w:pPr>
      <w:r>
        <w:t>THE COURT HELD:</w:t>
      </w:r>
    </w:p>
    <w:p w14:paraId="766F4D90" w14:textId="77777777" w:rsidR="000637E4" w:rsidRDefault="000637E4" w:rsidP="000637E4">
      <w:pPr>
        <w:pStyle w:val="NoSpacing"/>
      </w:pPr>
    </w:p>
    <w:p w14:paraId="26FF905D" w14:textId="77777777" w:rsidR="000637E4" w:rsidRDefault="000637E4" w:rsidP="000637E4">
      <w:pPr>
        <w:pStyle w:val="NoSpacing"/>
        <w:ind w:left="720"/>
      </w:pPr>
      <w:r>
        <w:t>“A superior officer, Anthony Marrone, ordered Jordan, in the scope of Jordan’s work as a safety officer for the LACFD, to photograph the crash site. Jordan did so. An unnamed superior officer later told Jordan to delete all photos he had taken, and he complied. According to the complaint, at an unspecified later date, ‘defendants’ told Jordan to claim he had not taken any pictures. He refused to do so.</w:t>
      </w:r>
    </w:p>
    <w:p w14:paraId="35520DC9" w14:textId="77777777" w:rsidR="000637E4" w:rsidRDefault="000637E4" w:rsidP="000637E4">
      <w:pPr>
        <w:pStyle w:val="NoSpacing"/>
        <w:ind w:left="720"/>
      </w:pPr>
    </w:p>
    <w:p w14:paraId="27E7B53B" w14:textId="77777777" w:rsidR="000637E4" w:rsidRDefault="000637E4" w:rsidP="000637E4">
      <w:pPr>
        <w:pStyle w:val="NoSpacing"/>
        <w:ind w:left="720"/>
      </w:pPr>
      <w:r>
        <w:t>***</w:t>
      </w:r>
    </w:p>
    <w:p w14:paraId="7F2070C5" w14:textId="77777777" w:rsidR="000637E4" w:rsidRDefault="000637E4" w:rsidP="000637E4">
      <w:pPr>
        <w:pStyle w:val="NoSpacing"/>
        <w:ind w:left="720"/>
      </w:pPr>
      <w:r>
        <w:t>On December 2, 2020, Jordan applied for disability retirement. On December 3, he received a Notice of Intent to Terminate (Notice) from the LACFD. The Notice was based on the claim that Jordan had taken and disseminated photos of the crash site without authorization.</w:t>
      </w:r>
    </w:p>
    <w:p w14:paraId="1A933BB1" w14:textId="77777777" w:rsidR="000637E4" w:rsidRDefault="000637E4" w:rsidP="000637E4">
      <w:pPr>
        <w:pStyle w:val="NoSpacing"/>
        <w:ind w:left="720"/>
      </w:pPr>
    </w:p>
    <w:p w14:paraId="1D65AE2C" w14:textId="77777777" w:rsidR="000637E4" w:rsidRDefault="000637E4" w:rsidP="000637E4">
      <w:pPr>
        <w:pStyle w:val="NoSpacing"/>
        <w:ind w:left="720"/>
      </w:pPr>
      <w:r>
        <w:t>***</w:t>
      </w:r>
    </w:p>
    <w:p w14:paraId="60D7A2A7" w14:textId="77777777" w:rsidR="000637E4" w:rsidRDefault="000637E4" w:rsidP="000637E4">
      <w:pPr>
        <w:pStyle w:val="NoSpacing"/>
        <w:ind w:left="720"/>
      </w:pPr>
    </w:p>
    <w:p w14:paraId="4B87C43F" w14:textId="77777777" w:rsidR="000637E4" w:rsidRDefault="000637E4" w:rsidP="000637E4">
      <w:pPr>
        <w:pStyle w:val="NoSpacing"/>
        <w:ind w:left="720"/>
      </w:pPr>
      <w:r>
        <w:t>In May 2021, Christopher Chester named Jordan as a defendant in his lawsuit concerning the crash photographs. Jordan retained an attorney to represent him in the matter. The</w:t>
      </w:r>
    </w:p>
    <w:p w14:paraId="32808E16" w14:textId="77777777" w:rsidR="000637E4" w:rsidRDefault="000637E4" w:rsidP="000637E4">
      <w:pPr>
        <w:pStyle w:val="NoSpacing"/>
        <w:ind w:left="720"/>
      </w:pPr>
      <w:r>
        <w:t>County, through Deputy Fire Chief William McCloud, offered to pay for Jordan’s legal defense, but [Jordan alleges] only if he was willing to change lawyers and testify that he did not take any pictures at the crash site. Jordan rejected the County’s offer through his attorney.</w:t>
      </w:r>
    </w:p>
    <w:p w14:paraId="08D7BCBC" w14:textId="77777777" w:rsidR="000637E4" w:rsidRDefault="000637E4" w:rsidP="000637E4">
      <w:pPr>
        <w:pStyle w:val="NoSpacing"/>
        <w:ind w:left="720"/>
      </w:pPr>
    </w:p>
    <w:p w14:paraId="57702A7F" w14:textId="77777777" w:rsidR="000637E4" w:rsidRDefault="000637E4" w:rsidP="000637E4">
      <w:pPr>
        <w:pStyle w:val="NoSpacing"/>
        <w:ind w:left="720"/>
      </w:pPr>
      <w:r>
        <w:t>***</w:t>
      </w:r>
    </w:p>
    <w:p w14:paraId="051B3ECE" w14:textId="77777777" w:rsidR="000637E4" w:rsidRDefault="000637E4" w:rsidP="000637E4">
      <w:pPr>
        <w:pStyle w:val="NoSpacing"/>
        <w:ind w:left="720"/>
      </w:pPr>
      <w:r>
        <w:t>Thus, the only employment action at issue is the Notice. However, the County’s issuance of the Notice in December 2020 could not be retaliation for Jordan’s deposition and trial</w:t>
      </w:r>
    </w:p>
    <w:p w14:paraId="01451133" w14:textId="77777777" w:rsidR="000637E4" w:rsidRDefault="000637E4" w:rsidP="000637E4">
      <w:pPr>
        <w:pStyle w:val="NoSpacing"/>
        <w:ind w:left="720"/>
      </w:pPr>
      <w:r>
        <w:t>testimony which did not take place until November 2021 and August 2022, respectively…. However, Jordan’s government claim, which he attached to the</w:t>
      </w:r>
    </w:p>
    <w:p w14:paraId="51B17305" w14:textId="77777777" w:rsidR="000637E4" w:rsidRDefault="000637E4" w:rsidP="000637E4">
      <w:pPr>
        <w:pStyle w:val="NoSpacing"/>
        <w:ind w:left="720"/>
      </w:pPr>
      <w:r>
        <w:t>second amended complaint, indicates that this conversation occurred after he was named as a defendant in the Chester action in May 2021, several months after the County issued the Notice…. it is apparent on the face of the complaint that there could be no causal link between the protected activity and the actionable alleged retaliatory conduct.”</w:t>
      </w:r>
    </w:p>
    <w:p w14:paraId="1F966814" w14:textId="77777777" w:rsidR="000637E4" w:rsidRDefault="000637E4" w:rsidP="000637E4">
      <w:pPr>
        <w:pStyle w:val="NoSpacing"/>
        <w:ind w:left="720"/>
      </w:pPr>
    </w:p>
    <w:p w14:paraId="68237D5D" w14:textId="77777777" w:rsidR="000637E4" w:rsidRDefault="000637E4" w:rsidP="000637E4">
      <w:pPr>
        <w:pStyle w:val="NoSpacing"/>
        <w:rPr>
          <w:b/>
          <w:bCs/>
        </w:rPr>
      </w:pPr>
      <w:r>
        <w:rPr>
          <w:b/>
        </w:rPr>
        <w:t xml:space="preserve">Legal lesson learned: If ever ordered to destroy photos or other evidence, or to lie about your </w:t>
      </w:r>
      <w:proofErr w:type="gramStart"/>
      <w:r>
        <w:rPr>
          <w:b/>
        </w:rPr>
        <w:t>on duty</w:t>
      </w:r>
      <w:proofErr w:type="gramEnd"/>
      <w:r>
        <w:rPr>
          <w:b/>
        </w:rPr>
        <w:t xml:space="preserve"> conduct, immediately report it to a senior supervisor or prosecutor. </w:t>
      </w:r>
    </w:p>
    <w:p w14:paraId="348D382B" w14:textId="77777777" w:rsidR="000637E4" w:rsidRDefault="000637E4" w:rsidP="000637E4">
      <w:pPr>
        <w:pStyle w:val="NoSpacing"/>
        <w:rPr>
          <w:b/>
          <w:bCs/>
        </w:rPr>
      </w:pPr>
    </w:p>
    <w:p w14:paraId="28B0AC3A" w14:textId="77777777" w:rsidR="000637E4" w:rsidRDefault="000637E4" w:rsidP="000637E4">
      <w:pPr>
        <w:pStyle w:val="NoSpacing"/>
        <w:ind w:firstLine="720"/>
      </w:pPr>
      <w:r w:rsidRPr="003847B3">
        <w:t xml:space="preserve">Note: For example, see Ohio Revised Code – Whistleblower statute: </w:t>
      </w:r>
    </w:p>
    <w:p w14:paraId="1CCC0869" w14:textId="77777777" w:rsidR="000637E4" w:rsidRPr="00D47016" w:rsidRDefault="000637E4" w:rsidP="000637E4">
      <w:pPr>
        <w:pStyle w:val="NoSpacing"/>
        <w:ind w:firstLine="720"/>
        <w:rPr>
          <w:b/>
          <w:bCs/>
        </w:rPr>
      </w:pPr>
      <w:r w:rsidRPr="00D47016">
        <w:t>Section 4113.52 | Reporting violations by state and local officials and employees</w:t>
      </w:r>
    </w:p>
    <w:p w14:paraId="5A6B67BB" w14:textId="77777777" w:rsidR="000637E4" w:rsidRPr="003847B3" w:rsidRDefault="000637E4" w:rsidP="000637E4">
      <w:pPr>
        <w:pStyle w:val="NoSpacing"/>
        <w:ind w:firstLine="720"/>
      </w:pPr>
      <w:hyperlink r:id="rId2599" w:history="1">
        <w:r w:rsidRPr="00F75E71">
          <w:rPr>
            <w:rStyle w:val="Hyperlink"/>
          </w:rPr>
          <w:t>https://codes.ohio.gov/ohio-revised-code/section-4113.52</w:t>
        </w:r>
      </w:hyperlink>
      <w:r>
        <w:t xml:space="preserve"> </w:t>
      </w:r>
    </w:p>
    <w:p w14:paraId="657744A0" w14:textId="77777777" w:rsidR="000637E4" w:rsidRDefault="000637E4" w:rsidP="000637E4">
      <w:pPr>
        <w:pStyle w:val="NoSpacing"/>
        <w:ind w:left="720"/>
        <w:rPr>
          <w:bCs/>
        </w:rPr>
      </w:pPr>
    </w:p>
    <w:p w14:paraId="2B90AA35" w14:textId="77777777" w:rsidR="000637E4" w:rsidRPr="00727820" w:rsidRDefault="000637E4" w:rsidP="000637E4">
      <w:pPr>
        <w:pStyle w:val="NoSpacing"/>
        <w:ind w:left="720"/>
        <w:rPr>
          <w:bCs/>
        </w:rPr>
      </w:pPr>
      <w:r>
        <w:t>“</w:t>
      </w:r>
      <w:r w:rsidRPr="00727820">
        <w:t xml:space="preserve">(f) If a person becomes aware in the course of the person's employment of a violation of any state or federal statute or any ordinance or regulation of a political subdivision that the person's employer has authority to correct, and the person reasonably believes that the violation is a criminal offense that is likely to cause an imminent risk of physical harm to persons or a hazard to public health or safety, a felony, or an improper solicitation for a contribution, the person orally shall notify the person's supervisor or other responsible officer of the person's employer of the violation and subsequently shall file with that supervisor or officer a written report that provides sufficient detail to identify and describe the violation. If the employer does not correct the violation or make a reasonable and good faith effort to correct the violation within twenty-four hours after the oral notification or the receipt of the report, whichever is earlier, the person may file a written report that provides sufficient detail to identify and describe the violation with the prosecuting authority of the county or municipal corporation where the violation occurred, with a peace officer, with the inspector general if the violation is within the inspector general's jurisdiction, with the auditor of state's fraud-reporting system under </w:t>
      </w:r>
      <w:r w:rsidRPr="00727820">
        <w:lastRenderedPageBreak/>
        <w:t xml:space="preserve">section </w:t>
      </w:r>
      <w:hyperlink r:id="rId2600" w:history="1">
        <w:r w:rsidRPr="00727820">
          <w:rPr>
            <w:rStyle w:val="Hyperlink"/>
          </w:rPr>
          <w:t>117.103</w:t>
        </w:r>
      </w:hyperlink>
      <w:r w:rsidRPr="00727820">
        <w:t xml:space="preserve"> of the Revised Code if applicable, or with any other appropriate public official or agency that has regulatory authority over the employer and the industry, trade, or business in which the employer is engaged.</w:t>
      </w:r>
      <w:r>
        <w:t>”</w:t>
      </w:r>
    </w:p>
    <w:p w14:paraId="67DE854C" w14:textId="77777777" w:rsidR="000637E4" w:rsidRDefault="000637E4" w:rsidP="000637E4">
      <w:pPr>
        <w:pStyle w:val="NoSpacing"/>
        <w:ind w:left="720"/>
      </w:pPr>
    </w:p>
    <w:p w14:paraId="5EACB0D7" w14:textId="77777777" w:rsidR="000637E4" w:rsidRDefault="000637E4" w:rsidP="000637E4">
      <w:pPr>
        <w:pStyle w:val="NoSpacing"/>
      </w:pPr>
    </w:p>
    <w:p w14:paraId="22090817" w14:textId="77777777" w:rsidR="000637E4" w:rsidRDefault="000637E4" w:rsidP="000637E4">
      <w:pPr>
        <w:pStyle w:val="NoSpacing"/>
        <w:ind w:left="720"/>
      </w:pPr>
    </w:p>
    <w:p w14:paraId="5957C0A1" w14:textId="55687991" w:rsidR="00790D60" w:rsidRDefault="000637E4" w:rsidP="002F7727">
      <w:pPr>
        <w:pStyle w:val="NoSpacing"/>
        <w:rPr>
          <w:rFonts w:ascii="Arial Black" w:hAnsi="Arial Black"/>
          <w:b/>
          <w:sz w:val="24"/>
          <w:szCs w:val="24"/>
        </w:rPr>
      </w:pPr>
      <w:r>
        <w:rPr>
          <w:rFonts w:ascii="Arial Black" w:hAnsi="Arial Black"/>
          <w:b/>
          <w:sz w:val="24"/>
          <w:szCs w:val="24"/>
        </w:rPr>
        <w:t>16-</w:t>
      </w:r>
      <w:r w:rsidR="00583923">
        <w:rPr>
          <w:rFonts w:ascii="Arial Black" w:hAnsi="Arial Black"/>
          <w:b/>
          <w:sz w:val="24"/>
          <w:szCs w:val="24"/>
        </w:rPr>
        <w:t>142</w:t>
      </w:r>
    </w:p>
    <w:p w14:paraId="084CF9C5" w14:textId="77777777" w:rsidR="00FC6682" w:rsidRDefault="00FC6682" w:rsidP="002F7727">
      <w:pPr>
        <w:pStyle w:val="NoSpacing"/>
        <w:rPr>
          <w:rFonts w:ascii="Arial Black" w:hAnsi="Arial Black"/>
          <w:b/>
          <w:sz w:val="24"/>
          <w:szCs w:val="24"/>
        </w:rPr>
      </w:pPr>
    </w:p>
    <w:p w14:paraId="1B7C880B" w14:textId="77777777" w:rsidR="00FC6682" w:rsidRPr="0072287A" w:rsidRDefault="00FC6682" w:rsidP="00FC6682">
      <w:pPr>
        <w:pStyle w:val="NoSpacing"/>
        <w:rPr>
          <w:rFonts w:ascii="Arial Black" w:hAnsi="Arial Black"/>
          <w:sz w:val="28"/>
          <w:szCs w:val="28"/>
        </w:rPr>
      </w:pPr>
      <w:r>
        <w:rPr>
          <w:rFonts w:ascii="Arial Black" w:hAnsi="Arial Black"/>
          <w:sz w:val="28"/>
          <w:szCs w:val="28"/>
        </w:rPr>
        <w:t xml:space="preserve">FEMA: 13-DAY SUSP – PROFANITY – TENSION FEMALES  </w:t>
      </w:r>
    </w:p>
    <w:p w14:paraId="137BD6FB" w14:textId="77777777" w:rsidR="00FC6682" w:rsidRDefault="00FC6682" w:rsidP="00FC6682">
      <w:pPr>
        <w:pStyle w:val="NoSpacing"/>
      </w:pPr>
    </w:p>
    <w:p w14:paraId="10F30B84" w14:textId="77777777" w:rsidR="00FC6682" w:rsidRDefault="00FC6682" w:rsidP="00FC6682">
      <w:pPr>
        <w:pStyle w:val="NoSpacing"/>
      </w:pPr>
      <w:r>
        <w:t xml:space="preserve">On December 22, 2025, in </w:t>
      </w:r>
      <w:r w:rsidRPr="004E708C">
        <w:rPr>
          <w:u w:val="single"/>
        </w:rPr>
        <w:t xml:space="preserve">Karl Rabenhorst v. Kristi L. Noem, Secretary, Department of Homeland </w:t>
      </w:r>
      <w:r>
        <w:rPr>
          <w:u w:val="single"/>
        </w:rPr>
        <w:t>S</w:t>
      </w:r>
      <w:r w:rsidRPr="004E708C">
        <w:rPr>
          <w:u w:val="single"/>
        </w:rPr>
        <w:t>ecurity</w:t>
      </w:r>
      <w:r>
        <w:t xml:space="preserve">, the U.S. Court of Appeals for Seventh Circuit (Chicago) held (3 to 0) that the DHS was properly granted summary judgment; the former FEMA employee was suspended for 13 days and also removed from deployment in Puerto Rice in October 2017 because of his misconduct. </w:t>
      </w:r>
      <w:hyperlink r:id="rId2601" w:history="1">
        <w:r w:rsidRPr="001402A1">
          <w:rPr>
            <w:rStyle w:val="Hyperlink"/>
          </w:rPr>
          <w:t>https://cases.justia.com/federal/appellate-courts/ca7/24-1297/24-1297-2025-12-22.pdf?ts=1766437242</w:t>
        </w:r>
      </w:hyperlink>
      <w:r>
        <w:t xml:space="preserve"> </w:t>
      </w:r>
    </w:p>
    <w:p w14:paraId="570D807F" w14:textId="77777777" w:rsidR="00FC6682" w:rsidRDefault="00FC6682" w:rsidP="00FC6682">
      <w:pPr>
        <w:pStyle w:val="NoSpacing"/>
      </w:pPr>
    </w:p>
    <w:p w14:paraId="3C077528" w14:textId="77777777" w:rsidR="00FC6682" w:rsidRDefault="00FC6682" w:rsidP="00FC6682">
      <w:pPr>
        <w:pStyle w:val="NoSpacing"/>
      </w:pPr>
    </w:p>
    <w:p w14:paraId="05266463" w14:textId="77777777" w:rsidR="00FC6682" w:rsidRDefault="00FC6682" w:rsidP="00FC6682">
      <w:pPr>
        <w:pStyle w:val="NoSpacing"/>
      </w:pPr>
      <w:r>
        <w:t>THE COURT HELD:</w:t>
      </w:r>
    </w:p>
    <w:p w14:paraId="2CE5F02D" w14:textId="77777777" w:rsidR="00FC6682" w:rsidRDefault="00FC6682" w:rsidP="00FC6682">
      <w:pPr>
        <w:pStyle w:val="NoSpacing"/>
      </w:pPr>
    </w:p>
    <w:p w14:paraId="0C3BA965" w14:textId="77777777" w:rsidR="00FC6682" w:rsidRDefault="00FC6682" w:rsidP="00FC6682">
      <w:pPr>
        <w:pStyle w:val="NoSpacing"/>
        <w:ind w:left="720"/>
      </w:pPr>
      <w:r>
        <w:t xml:space="preserve">“Rabenhorst was deployed to Puerto Rico in October 2017 in the wake of Hurricane Maria. Based on his military aviation and air operations experience, Rabenhorst was assigned to help oversee Puerto Rico air operations related to the disaster relief effort, including the airlifting of emergency aid to the island and medical evacuations from the island. In that capacity, Rabenhorst was working with female FEMA employees in their twenties who, according to him, knew nothing about air operations and management. Tensions arose between Rabenhorst and his female coworkers, and </w:t>
      </w:r>
      <w:proofErr w:type="gramStart"/>
      <w:r>
        <w:t>a number of</w:t>
      </w:r>
      <w:proofErr w:type="gramEnd"/>
      <w:r>
        <w:t xml:space="preserve"> the women became uncomfortable working with him. During staff meetings, Rabenhorst reportedly used profanity, treated his female coworkers and supervisors with disrespect, and on one </w:t>
      </w:r>
    </w:p>
    <w:p w14:paraId="67DE4043" w14:textId="77777777" w:rsidR="00FC6682" w:rsidRDefault="00FC6682" w:rsidP="00FC6682">
      <w:pPr>
        <w:pStyle w:val="NoSpacing"/>
        <w:ind w:left="720"/>
      </w:pPr>
      <w:r>
        <w:t>occasion referred to one or more of female colleagues as ‘sorority girls’ and remarked as to one of them that he had ‘paddled the butts of daughters who were older than her.’ Ultimately, approximately one month after Rabenhorst arrived in Puerto Rico, Josie Arcurio, the FEMA official serving as chief of staff for the relief effort, decided to remove him from the operation for cause, in view of his treatment of co-workers, and had him escorted out of the air operations branch in the view of other employees.</w:t>
      </w:r>
    </w:p>
    <w:p w14:paraId="5454297F" w14:textId="77777777" w:rsidR="00FC6682" w:rsidRDefault="00FC6682" w:rsidP="00FC6682">
      <w:pPr>
        <w:pStyle w:val="NoSpacing"/>
        <w:ind w:left="720"/>
      </w:pPr>
    </w:p>
    <w:p w14:paraId="3BC8E134" w14:textId="77777777" w:rsidR="00FC6682" w:rsidRDefault="00FC6682" w:rsidP="00FC6682">
      <w:pPr>
        <w:pStyle w:val="NoSpacing"/>
        <w:ind w:left="720"/>
      </w:pPr>
      <w:r>
        <w:t>***</w:t>
      </w:r>
    </w:p>
    <w:p w14:paraId="2474493B" w14:textId="77777777" w:rsidR="00FC6682" w:rsidRDefault="00FC6682" w:rsidP="00FC6682">
      <w:pPr>
        <w:pStyle w:val="NoSpacing"/>
        <w:ind w:left="720"/>
      </w:pPr>
      <w:r>
        <w:t xml:space="preserve">There was nothing suggesting that O’Leary [his </w:t>
      </w:r>
      <w:proofErr w:type="gramStart"/>
      <w:r>
        <w:t>Supervisor</w:t>
      </w:r>
      <w:proofErr w:type="gramEnd"/>
      <w:r>
        <w:t xml:space="preserve">] may have harbored a retaliatory animus; nothing indicating that </w:t>
      </w:r>
      <w:proofErr w:type="gramStart"/>
      <w:r>
        <w:t>similarly-situated</w:t>
      </w:r>
      <w:proofErr w:type="gramEnd"/>
      <w:r>
        <w:t xml:space="preserve"> employees were treated more leniently than Rabenhorst; and nothing suggesting that O’Leary’s stated reasons for disciplining Rabenhorst were pretextual.”</w:t>
      </w:r>
    </w:p>
    <w:p w14:paraId="1C2A1EE6" w14:textId="77777777" w:rsidR="00FC6682" w:rsidRDefault="00FC6682" w:rsidP="00FC6682">
      <w:pPr>
        <w:pStyle w:val="NoSpacing"/>
      </w:pPr>
    </w:p>
    <w:p w14:paraId="16F01574" w14:textId="77777777" w:rsidR="00FC6682" w:rsidRPr="00B85FEC" w:rsidRDefault="00FC6682" w:rsidP="00FC6682">
      <w:pPr>
        <w:pStyle w:val="NoSpacing"/>
        <w:rPr>
          <w:b/>
          <w:bCs/>
        </w:rPr>
      </w:pPr>
      <w:r>
        <w:rPr>
          <w:b/>
        </w:rPr>
        <w:t xml:space="preserve">Legal lesson learned: Inappropriate comments can lead to discipline. </w:t>
      </w:r>
    </w:p>
    <w:p w14:paraId="5CF76F7A" w14:textId="77777777" w:rsidR="00FC6682" w:rsidRDefault="00FC6682" w:rsidP="002F7727">
      <w:pPr>
        <w:pStyle w:val="NoSpacing"/>
        <w:rPr>
          <w:rFonts w:ascii="Arial Black" w:hAnsi="Arial Black"/>
          <w:b/>
          <w:sz w:val="24"/>
          <w:szCs w:val="24"/>
        </w:rPr>
      </w:pPr>
    </w:p>
    <w:p w14:paraId="570C3AA8" w14:textId="77777777" w:rsidR="00FC6682" w:rsidRDefault="00FC6682" w:rsidP="002F7727">
      <w:pPr>
        <w:pStyle w:val="NoSpacing"/>
        <w:rPr>
          <w:rFonts w:ascii="Arial Black" w:hAnsi="Arial Black"/>
          <w:b/>
          <w:sz w:val="24"/>
          <w:szCs w:val="24"/>
        </w:rPr>
      </w:pPr>
    </w:p>
    <w:p w14:paraId="4376075D" w14:textId="1D3C8363" w:rsidR="00FC6682" w:rsidRDefault="00FC6682" w:rsidP="002F7727">
      <w:pPr>
        <w:pStyle w:val="NoSpacing"/>
        <w:rPr>
          <w:rFonts w:ascii="Arial Black" w:hAnsi="Arial Black"/>
          <w:b/>
          <w:sz w:val="24"/>
          <w:szCs w:val="24"/>
        </w:rPr>
      </w:pPr>
      <w:r>
        <w:rPr>
          <w:rFonts w:ascii="Arial Black" w:hAnsi="Arial Black"/>
          <w:b/>
          <w:sz w:val="24"/>
          <w:szCs w:val="24"/>
        </w:rPr>
        <w:t>16-</w:t>
      </w:r>
      <w:r w:rsidR="00583923">
        <w:rPr>
          <w:rFonts w:ascii="Arial Black" w:hAnsi="Arial Black"/>
          <w:b/>
          <w:sz w:val="24"/>
          <w:szCs w:val="24"/>
        </w:rPr>
        <w:t>141</w:t>
      </w:r>
    </w:p>
    <w:p w14:paraId="0F111372" w14:textId="77777777" w:rsidR="00A26558" w:rsidRDefault="00A26558" w:rsidP="002F7727">
      <w:pPr>
        <w:pStyle w:val="NoSpacing"/>
        <w:rPr>
          <w:rFonts w:ascii="Arial Black" w:hAnsi="Arial Black"/>
          <w:b/>
          <w:sz w:val="24"/>
          <w:szCs w:val="24"/>
        </w:rPr>
      </w:pPr>
    </w:p>
    <w:p w14:paraId="42224E97" w14:textId="2B785E23" w:rsidR="00A26558" w:rsidRPr="00EF05BE" w:rsidRDefault="00A26558" w:rsidP="00A26558">
      <w:pPr>
        <w:rPr>
          <w:rFonts w:ascii="Arial Black" w:hAnsi="Arial Black"/>
          <w:bCs/>
          <w:sz w:val="28"/>
          <w:szCs w:val="28"/>
        </w:rPr>
      </w:pPr>
      <w:r>
        <w:rPr>
          <w:rFonts w:ascii="Arial Black" w:hAnsi="Arial Black"/>
          <w:sz w:val="28"/>
          <w:szCs w:val="28"/>
        </w:rPr>
        <w:t xml:space="preserve">IL: FF CONVICTED – ENTERED FALSE HRS </w:t>
      </w:r>
      <w:r w:rsidR="006063CB">
        <w:rPr>
          <w:rFonts w:ascii="Arial Black" w:hAnsi="Arial Black"/>
          <w:sz w:val="28"/>
          <w:szCs w:val="28"/>
        </w:rPr>
        <w:t xml:space="preserve">FOR </w:t>
      </w:r>
      <w:r>
        <w:rPr>
          <w:rFonts w:ascii="Arial Black" w:hAnsi="Arial Black"/>
          <w:sz w:val="28"/>
          <w:szCs w:val="28"/>
        </w:rPr>
        <w:t xml:space="preserve">2 YRS - $17,000 </w:t>
      </w:r>
    </w:p>
    <w:p w14:paraId="392DCE60" w14:textId="77777777" w:rsidR="00A26558" w:rsidRDefault="00A26558" w:rsidP="00A26558">
      <w:pPr>
        <w:rPr>
          <w:bCs/>
        </w:rPr>
      </w:pPr>
      <w:r>
        <w:t xml:space="preserve">On December 15, 2025, in </w:t>
      </w:r>
      <w:r w:rsidRPr="007072AE">
        <w:rPr>
          <w:u w:val="single"/>
        </w:rPr>
        <w:t>The People of the State of Illinois v. Greg Algrim</w:t>
      </w:r>
      <w:r>
        <w:t xml:space="preserve">, the </w:t>
      </w:r>
      <w:r w:rsidRPr="007072AE">
        <w:t>Appellate Court of Illinois, Second District</w:t>
      </w:r>
      <w:r>
        <w:t xml:space="preserve"> held (3 to 0) that the firefighter, with 22 years on the job, was properly convicted in bench trial of </w:t>
      </w:r>
      <w:r w:rsidRPr="00B02511">
        <w:t>19 counts of theft</w:t>
      </w:r>
      <w:r>
        <w:t xml:space="preserve">, which occurred </w:t>
      </w:r>
      <w:r w:rsidRPr="00C75DBC">
        <w:t>between August 2, 2019, and September 10, 2021</w:t>
      </w:r>
      <w:r>
        <w:t xml:space="preserve">. The firefighter had administrator privileges with the scheduling software, and would add a false day that he worked a shift, and then after he was paid by direct </w:t>
      </w:r>
      <w:proofErr w:type="gramStart"/>
      <w:r>
        <w:t>deposit</w:t>
      </w:r>
      <w:proofErr w:type="gramEnd"/>
      <w:r>
        <w:t xml:space="preserve"> he would delete the false entry.  </w:t>
      </w:r>
      <w:r w:rsidRPr="008D6B98">
        <w:t xml:space="preserve">The </w:t>
      </w:r>
      <w:r>
        <w:t xml:space="preserve">trial </w:t>
      </w:r>
      <w:r w:rsidRPr="008D6B98">
        <w:t>court sentenced him to three</w:t>
      </w:r>
      <w:r>
        <w:t xml:space="preserve"> </w:t>
      </w:r>
      <w:r w:rsidRPr="008D6B98">
        <w:t xml:space="preserve">years’ probation and ordered him to pay </w:t>
      </w:r>
      <w:r w:rsidRPr="008D6B98">
        <w:lastRenderedPageBreak/>
        <w:t>$17,211.52 in restitution.</w:t>
      </w:r>
      <w:r>
        <w:t xml:space="preserve"> </w:t>
      </w:r>
      <w:hyperlink r:id="rId2602" w:history="1">
        <w:r w:rsidRPr="00811005">
          <w:rPr>
            <w:rStyle w:val="Hyperlink"/>
          </w:rPr>
          <w:t>https://cases.justia.com/illinois/court-of-appeals-second-appellate-district/2025-2-24-0565.pdf?ts=1765847849</w:t>
        </w:r>
      </w:hyperlink>
      <w:r>
        <w:t xml:space="preserve"> </w:t>
      </w:r>
    </w:p>
    <w:p w14:paraId="2D52FDCF" w14:textId="77777777" w:rsidR="00A26558" w:rsidRDefault="00A26558" w:rsidP="00A26558">
      <w:pPr>
        <w:rPr>
          <w:bCs/>
        </w:rPr>
      </w:pPr>
      <w:r>
        <w:t>THE COURT HELD:</w:t>
      </w:r>
    </w:p>
    <w:p w14:paraId="63DFCC3B" w14:textId="77777777" w:rsidR="00A26558" w:rsidRDefault="00A26558" w:rsidP="00A26558">
      <w:pPr>
        <w:pStyle w:val="NoSpacing"/>
        <w:ind w:left="720"/>
      </w:pPr>
      <w:r>
        <w:t>“</w:t>
      </w:r>
      <w:r w:rsidRPr="00C75DBC">
        <w:t>Defendant worked as a firefighter for the Elburn and Countryside Fire Protection District</w:t>
      </w:r>
      <w:r>
        <w:t xml:space="preserve"> </w:t>
      </w:r>
      <w:r w:rsidRPr="00C75DBC">
        <w:t>(District) until September 20, 2021, when he was placed on paid administrative leave pending the</w:t>
      </w:r>
      <w:r>
        <w:t xml:space="preserve"> </w:t>
      </w:r>
      <w:proofErr w:type="gramStart"/>
      <w:r w:rsidRPr="00C75DBC">
        <w:t>District’s</w:t>
      </w:r>
      <w:proofErr w:type="gramEnd"/>
      <w:r w:rsidRPr="00C75DBC">
        <w:t xml:space="preserve"> inquiry into discrepancies between the </w:t>
      </w:r>
      <w:proofErr w:type="gramStart"/>
      <w:r w:rsidRPr="00C75DBC">
        <w:t>hours</w:t>
      </w:r>
      <w:proofErr w:type="gramEnd"/>
      <w:r w:rsidRPr="00C75DBC">
        <w:t xml:space="preserve"> he had been paid for and the hours he had</w:t>
      </w:r>
      <w:r>
        <w:t xml:space="preserve"> </w:t>
      </w:r>
      <w:proofErr w:type="gramStart"/>
      <w:r w:rsidRPr="00C75DBC">
        <w:t>actually worked</w:t>
      </w:r>
      <w:proofErr w:type="gramEnd"/>
      <w:r w:rsidRPr="00C75DBC">
        <w:t>. The police interviewed defendant on September 30, 2021, and he subsequently</w:t>
      </w:r>
      <w:r>
        <w:t xml:space="preserve"> </w:t>
      </w:r>
      <w:r w:rsidRPr="00C75DBC">
        <w:t xml:space="preserve">resigned on November 25, 2021. </w:t>
      </w:r>
    </w:p>
    <w:p w14:paraId="1BAAF211" w14:textId="77777777" w:rsidR="00A26558" w:rsidRDefault="00A26558" w:rsidP="00A26558">
      <w:pPr>
        <w:pStyle w:val="NoSpacing"/>
        <w:ind w:left="720"/>
      </w:pPr>
    </w:p>
    <w:p w14:paraId="0815289B" w14:textId="77777777" w:rsidR="00A26558" w:rsidRDefault="00A26558" w:rsidP="00A26558">
      <w:pPr>
        <w:pStyle w:val="NoSpacing"/>
        <w:ind w:left="720"/>
      </w:pPr>
      <w:r w:rsidRPr="00C75DBC">
        <w:t>On July 20, 2022, a grand jury indicted defendant on 20 counts</w:t>
      </w:r>
      <w:r>
        <w:t xml:space="preserve"> </w:t>
      </w:r>
      <w:r w:rsidRPr="00C75DBC">
        <w:t>of theft that occurred between August 2, 2019, and September 10, 2021</w:t>
      </w:r>
      <w:proofErr w:type="gramStart"/>
      <w:r>
        <w:t>…..</w:t>
      </w:r>
      <w:proofErr w:type="gramEnd"/>
      <w:r>
        <w:t xml:space="preserve"> Defendant waived his right to a jury trial, and a bench trial was held over the course of four days in 2024: February 1 and 2, March 21, and April 9.</w:t>
      </w:r>
    </w:p>
    <w:p w14:paraId="2EC37F27" w14:textId="77777777" w:rsidR="00A26558" w:rsidRDefault="00A26558" w:rsidP="00A26558">
      <w:pPr>
        <w:pStyle w:val="NoSpacing"/>
        <w:ind w:left="720"/>
      </w:pPr>
    </w:p>
    <w:p w14:paraId="1CF1C187" w14:textId="77777777" w:rsidR="00A26558" w:rsidRDefault="00A26558" w:rsidP="00A26558">
      <w:pPr>
        <w:pStyle w:val="NoSpacing"/>
        <w:ind w:left="720"/>
      </w:pPr>
      <w:r>
        <w:t>***</w:t>
      </w:r>
    </w:p>
    <w:p w14:paraId="019A2107" w14:textId="77777777" w:rsidR="00A26558" w:rsidRDefault="00A26558" w:rsidP="00A26558">
      <w:pPr>
        <w:pStyle w:val="NoSpacing"/>
      </w:pPr>
    </w:p>
    <w:p w14:paraId="10F1B9E0" w14:textId="77777777" w:rsidR="00A26558" w:rsidRDefault="00A26558" w:rsidP="00A26558">
      <w:pPr>
        <w:pStyle w:val="NoSpacing"/>
        <w:ind w:left="720"/>
      </w:pPr>
      <w:r>
        <w:t xml:space="preserve">The State first called Merry Morris, who had worked as a financial specialist for the </w:t>
      </w:r>
      <w:proofErr w:type="gramStart"/>
      <w:r>
        <w:t>District</w:t>
      </w:r>
      <w:proofErr w:type="gramEnd"/>
      <w:r>
        <w:t xml:space="preserve"> for nearly 12 years. In that role, Morris processed payroll for the </w:t>
      </w:r>
      <w:proofErr w:type="gramStart"/>
      <w:r>
        <w:t>District</w:t>
      </w:r>
      <w:proofErr w:type="gramEnd"/>
      <w:r>
        <w:t>. When asked to describe her role in the payroll process, Morris stated:</w:t>
      </w:r>
    </w:p>
    <w:p w14:paraId="24747FEC" w14:textId="77777777" w:rsidR="00A26558" w:rsidRDefault="00A26558" w:rsidP="00A26558">
      <w:pPr>
        <w:pStyle w:val="NoSpacing"/>
      </w:pPr>
    </w:p>
    <w:p w14:paraId="245C52E5" w14:textId="77777777" w:rsidR="00A26558" w:rsidRDefault="00A26558" w:rsidP="00A26558">
      <w:pPr>
        <w:pStyle w:val="NoSpacing"/>
        <w:ind w:left="720" w:firstLine="720"/>
      </w:pPr>
      <w:r>
        <w:t>“Once I was advised that the timecards had been looked at [by supervisors], then I</w:t>
      </w:r>
    </w:p>
    <w:p w14:paraId="04E4E856" w14:textId="77777777" w:rsidR="00A26558" w:rsidRDefault="00A26558" w:rsidP="00A26558">
      <w:pPr>
        <w:pStyle w:val="NoSpacing"/>
        <w:ind w:left="1440"/>
      </w:pPr>
      <w:r>
        <w:t>would pull the schedule from the scheduling software and download that into an Excel spreadsheet, and then I would look over the spreadsheet for any obvious anomalies or errors, and then that was downloaded into the payroll company’s software so that checks could be written.”</w:t>
      </w:r>
    </w:p>
    <w:p w14:paraId="5CB1CB7F" w14:textId="77777777" w:rsidR="00A26558" w:rsidRDefault="00A26558" w:rsidP="00A26558">
      <w:pPr>
        <w:pStyle w:val="NoSpacing"/>
      </w:pPr>
    </w:p>
    <w:p w14:paraId="2BD8BBB0" w14:textId="77777777" w:rsidR="00A26558" w:rsidRDefault="00A26558" w:rsidP="00A26558">
      <w:pPr>
        <w:pStyle w:val="NoSpacing"/>
        <w:ind w:left="720"/>
      </w:pPr>
      <w:r>
        <w:t xml:space="preserve">Defendant was one of three employees who had administrator privileges with the scheduling software. Morris said she had no way to check whether employees worked the number of hours listed; she “wasn’t there, so [she] had no means of doing that.” Employees were paid every other Friday and were required to report their hours by Monday morning preceding </w:t>
      </w:r>
      <w:proofErr w:type="gramStart"/>
      <w:r>
        <w:t>a payday</w:t>
      </w:r>
      <w:proofErr w:type="gramEnd"/>
      <w:r>
        <w:t>. The hours reported by employees had to be approved by their “officers.” All payments were made by direct deposit.</w:t>
      </w:r>
    </w:p>
    <w:p w14:paraId="34A52A5A" w14:textId="77777777" w:rsidR="00A26558" w:rsidRDefault="00A26558" w:rsidP="00A26558">
      <w:pPr>
        <w:pStyle w:val="NoSpacing"/>
        <w:ind w:left="720"/>
      </w:pPr>
    </w:p>
    <w:p w14:paraId="3F568940" w14:textId="77777777" w:rsidR="00A26558" w:rsidRDefault="00A26558" w:rsidP="00A26558">
      <w:pPr>
        <w:pStyle w:val="NoSpacing"/>
        <w:ind w:left="720"/>
      </w:pPr>
      <w:r>
        <w:t>***</w:t>
      </w:r>
    </w:p>
    <w:p w14:paraId="75DC2BD2" w14:textId="77777777" w:rsidR="00A26558" w:rsidRDefault="00A26558" w:rsidP="00A26558">
      <w:pPr>
        <w:pStyle w:val="NoSpacing"/>
        <w:ind w:firstLine="720"/>
      </w:pPr>
    </w:p>
    <w:p w14:paraId="1A8A13BF" w14:textId="77777777" w:rsidR="00A26558" w:rsidRDefault="00A26558" w:rsidP="00A26558">
      <w:pPr>
        <w:pStyle w:val="NoSpacing"/>
        <w:ind w:left="720"/>
      </w:pPr>
      <w:r>
        <w:t xml:space="preserve">[Assistant Fire Chief] Huneke testified that, on September 10, 2021, defendant informed him that an employee of the </w:t>
      </w:r>
      <w:proofErr w:type="gramStart"/>
      <w:r>
        <w:t>District</w:t>
      </w:r>
      <w:proofErr w:type="gramEnd"/>
      <w:r>
        <w:t xml:space="preserve"> had not received overtime pay for a particular day. When Huneke accessed the scheduling software to investigate the issue, he happened to notice that defendant appeared on the schedule as a fourth medic on the day in question. Huneke explained that, typically, only three medics were assigned to each ambulance. Huneke verified that defendant received pay for working that day. Huneke then texted defendant to ask if he had been paid for working that day. Defendant replied that he was unsure whether he had been paid, but if he had, it was a mistake and the money should be deducted from his next paycheck. Huneke notified Joe Cluchey, the fire chief at the time, of defendant’s payroll discrepancy. Cluchey instructed Huneke to examine the entire payroll for other discrepancies. Huneke found two additional payroll discrepancies, both for wages paid to defendant. Huneke did not find discrepancies for any other employee.</w:t>
      </w:r>
    </w:p>
    <w:p w14:paraId="3E2454FD" w14:textId="77777777" w:rsidR="00A26558" w:rsidRDefault="00A26558" w:rsidP="00A26558">
      <w:pPr>
        <w:pStyle w:val="NoSpacing"/>
      </w:pPr>
    </w:p>
    <w:p w14:paraId="12DD3625" w14:textId="77777777" w:rsidR="00A26558" w:rsidRDefault="00A26558" w:rsidP="00A26558">
      <w:pPr>
        <w:pStyle w:val="NoSpacing"/>
      </w:pPr>
      <w:r>
        <w:tab/>
        <w:t>***</w:t>
      </w:r>
    </w:p>
    <w:p w14:paraId="4B72E0D0" w14:textId="77777777" w:rsidR="00A26558" w:rsidRDefault="00A26558" w:rsidP="00A26558">
      <w:pPr>
        <w:pStyle w:val="NoSpacing"/>
        <w:ind w:left="720"/>
      </w:pPr>
      <w:r>
        <w:t xml:space="preserve">The log for the scheduling software showed that, on July 29 at 7:45 a.m., defendant signed into the scheduling software. At 7:57 a.m., defendant added himself to the schedule as a medic for voluntary overtime from 7 a.m. on July 24 to 7 a.m. on July 25. Payroll processing occurred the following Monday, July 29. On August 2, defendant signed into the scheduling software and deleted the 24-hour overtime shift that he had added. Huneke went on to testify about other discrepancies in the reports that inflated defendant’s pay. Huneke stated that his investigation found no discrepancies affecting other </w:t>
      </w:r>
      <w:proofErr w:type="gramStart"/>
      <w:r>
        <w:t>employees.”</w:t>
      </w:r>
      <w:proofErr w:type="gramEnd"/>
    </w:p>
    <w:p w14:paraId="11276E52" w14:textId="77777777" w:rsidR="00A26558" w:rsidRDefault="00A26558" w:rsidP="00A26558">
      <w:pPr>
        <w:pStyle w:val="NoSpacing"/>
        <w:ind w:left="720"/>
      </w:pPr>
    </w:p>
    <w:p w14:paraId="30C002B4" w14:textId="77777777" w:rsidR="00A26558" w:rsidRDefault="00A26558" w:rsidP="00A26558">
      <w:pPr>
        <w:pStyle w:val="NoSpacing"/>
        <w:rPr>
          <w:b/>
          <w:bCs/>
        </w:rPr>
      </w:pPr>
      <w:r>
        <w:rPr>
          <w:b/>
        </w:rPr>
        <w:lastRenderedPageBreak/>
        <w:t xml:space="preserve">Legal lesson learned:  Payroll software should reflect all entries and deletions; and should be audited at least each year by auditing entity. </w:t>
      </w:r>
    </w:p>
    <w:p w14:paraId="51346EBC" w14:textId="77777777" w:rsidR="00A26558" w:rsidRDefault="00A26558" w:rsidP="00A26558">
      <w:pPr>
        <w:pStyle w:val="NoSpacing"/>
        <w:rPr>
          <w:b/>
          <w:bCs/>
        </w:rPr>
      </w:pPr>
    </w:p>
    <w:p w14:paraId="6388F6BD" w14:textId="77777777" w:rsidR="00A26558" w:rsidRDefault="00A26558" w:rsidP="00A26558">
      <w:pPr>
        <w:pStyle w:val="NoSpacing"/>
        <w:rPr>
          <w:b/>
          <w:bCs/>
        </w:rPr>
      </w:pPr>
    </w:p>
    <w:p w14:paraId="00D9E491" w14:textId="51B58937" w:rsidR="00A26558" w:rsidRDefault="00A26558" w:rsidP="002F7727">
      <w:pPr>
        <w:pStyle w:val="NoSpacing"/>
        <w:rPr>
          <w:rFonts w:ascii="Arial Black" w:hAnsi="Arial Black"/>
          <w:b/>
          <w:sz w:val="24"/>
          <w:szCs w:val="24"/>
        </w:rPr>
      </w:pPr>
      <w:r>
        <w:rPr>
          <w:rFonts w:ascii="Arial Black" w:hAnsi="Arial Black"/>
          <w:b/>
          <w:sz w:val="24"/>
          <w:szCs w:val="24"/>
        </w:rPr>
        <w:t>16-</w:t>
      </w:r>
      <w:r w:rsidR="00583923">
        <w:rPr>
          <w:rFonts w:ascii="Arial Black" w:hAnsi="Arial Black"/>
          <w:b/>
          <w:sz w:val="24"/>
          <w:szCs w:val="24"/>
        </w:rPr>
        <w:t>140</w:t>
      </w:r>
    </w:p>
    <w:p w14:paraId="47B46F42" w14:textId="77777777" w:rsidR="00583923" w:rsidRDefault="00583923" w:rsidP="002F7727">
      <w:pPr>
        <w:pStyle w:val="NoSpacing"/>
        <w:rPr>
          <w:rFonts w:ascii="Arial Black" w:hAnsi="Arial Black"/>
          <w:b/>
          <w:sz w:val="24"/>
          <w:szCs w:val="24"/>
        </w:rPr>
      </w:pPr>
    </w:p>
    <w:p w14:paraId="27B05BF3" w14:textId="2948F767" w:rsidR="00583923" w:rsidRPr="00C51DC6" w:rsidRDefault="00583923" w:rsidP="00583923">
      <w:pPr>
        <w:pStyle w:val="NoSpacing"/>
        <w:rPr>
          <w:rFonts w:ascii="Arial Black" w:hAnsi="Arial Black"/>
          <w:bCs/>
          <w:sz w:val="28"/>
          <w:szCs w:val="28"/>
        </w:rPr>
      </w:pPr>
      <w:r>
        <w:rPr>
          <w:rFonts w:ascii="Arial Black" w:hAnsi="Arial Black"/>
          <w:sz w:val="28"/>
          <w:szCs w:val="28"/>
        </w:rPr>
        <w:t>NY: FDNY – COVID RELIGIOUS APPEAL – NO CASE</w:t>
      </w:r>
    </w:p>
    <w:p w14:paraId="33C43BAA" w14:textId="77777777" w:rsidR="00583923" w:rsidRDefault="00583923" w:rsidP="00583923">
      <w:pPr>
        <w:pStyle w:val="NoSpacing"/>
        <w:ind w:left="720"/>
        <w:rPr>
          <w:bCs/>
        </w:rPr>
      </w:pPr>
    </w:p>
    <w:p w14:paraId="0A31C00E" w14:textId="77777777" w:rsidR="00583923" w:rsidRDefault="00583923" w:rsidP="00583923">
      <w:pPr>
        <w:rPr>
          <w:bCs/>
        </w:rPr>
      </w:pPr>
      <w:r>
        <w:t xml:space="preserve">On December 17, 2025, </w:t>
      </w:r>
      <w:r w:rsidRPr="00C54553">
        <w:rPr>
          <w:u w:val="single"/>
        </w:rPr>
        <w:t>In The Matter</w:t>
      </w:r>
      <w:r w:rsidRPr="00B2157A">
        <w:rPr>
          <w:u w:val="single"/>
        </w:rPr>
        <w:t xml:space="preserve"> of Christopher Hughes v. New York City Fire Department, et al</w:t>
      </w:r>
      <w:r w:rsidRPr="00B2157A">
        <w:t>.,</w:t>
      </w:r>
      <w:r w:rsidRPr="0013709D">
        <w:rPr>
          <w:b/>
        </w:rPr>
        <w:t xml:space="preserve"> </w:t>
      </w:r>
      <w:r w:rsidRPr="00B2157A">
        <w:t>the Supreme Court of New York, Second Department</w:t>
      </w:r>
      <w:r>
        <w:t xml:space="preserve"> held (4 to 0) that the trial court judge decision reinstating the firefighter is reversed; NYFD properly fired the plaintiff on July 27, 2022 after denying his religious accommodation request. </w:t>
      </w:r>
      <w:hyperlink r:id="rId2603" w:history="1">
        <w:r w:rsidRPr="00B346EB">
          <w:rPr>
            <w:rStyle w:val="Hyperlink"/>
          </w:rPr>
          <w:t>https://law.justia.com/cases/new-york/appellate-division-second-department/2025/2024-01225.html</w:t>
        </w:r>
      </w:hyperlink>
      <w:r>
        <w:t xml:space="preserve"> </w:t>
      </w:r>
    </w:p>
    <w:p w14:paraId="31A17DA7" w14:textId="77777777" w:rsidR="00583923" w:rsidRDefault="00583923" w:rsidP="00583923">
      <w:pPr>
        <w:pStyle w:val="NoSpacing"/>
      </w:pPr>
      <w:r>
        <w:t>THE COURT HELD:</w:t>
      </w:r>
    </w:p>
    <w:p w14:paraId="1B5E3BB9" w14:textId="77777777" w:rsidR="00583923" w:rsidRDefault="00583923" w:rsidP="00583923">
      <w:pPr>
        <w:pStyle w:val="NoSpacing"/>
      </w:pPr>
    </w:p>
    <w:p w14:paraId="0925E9B3" w14:textId="77777777" w:rsidR="00583923" w:rsidRDefault="00583923" w:rsidP="00583923">
      <w:pPr>
        <w:pStyle w:val="NoSpacing"/>
        <w:ind w:left="720"/>
      </w:pPr>
      <w:r>
        <w:t>“</w:t>
      </w:r>
      <w:r w:rsidRPr="00042449">
        <w:t>The petitioner was a firefighter with the New York City Fire Department (hereinafter the FDNY). By order dated October 20, 2021, the New York City Commissioner of Health and Mental Hygiene issued a mandate requiring all City employees, among others, to submit proof that they had received at least one dose of a COVID-19 vaccine by October 29, 2021 (hereinafter the vaccine mandate). On November 1, 2021, the petitioner was placed on leave, without pay, since he failed to submit proof of vaccination or request a reasonable accommodation by the specified deadline.</w:t>
      </w:r>
    </w:p>
    <w:p w14:paraId="0E832211" w14:textId="77777777" w:rsidR="00583923" w:rsidRDefault="00583923" w:rsidP="00583923">
      <w:pPr>
        <w:pStyle w:val="NoSpacing"/>
      </w:pPr>
    </w:p>
    <w:p w14:paraId="57BE95D4" w14:textId="77777777" w:rsidR="00583923" w:rsidRDefault="00583923" w:rsidP="00583923">
      <w:pPr>
        <w:pStyle w:val="NoSpacing"/>
        <w:ind w:left="720"/>
      </w:pPr>
      <w:r w:rsidRPr="00507DFD">
        <w:t xml:space="preserve">On November 5, 2021, the petitioner submitted a request to the FDNY's Equal Employment Opportunity Office for a reasonable accommodation from the vaccine mandate based on his religion, which was denied on December 8, 2021. The petitioner then appealed to the City of New York Reasonable Accommodation Appeals Panel (hereinafter the Panel). In a determination dated July 11, 2022, the Panel upheld the FDNY's denial of the petitioner's request for </w:t>
      </w:r>
      <w:proofErr w:type="gramStart"/>
      <w:r w:rsidRPr="00507DFD">
        <w:t>a reasonable</w:t>
      </w:r>
      <w:proofErr w:type="gramEnd"/>
      <w:r w:rsidRPr="00507DFD">
        <w:t xml:space="preserve"> accommodation. The FDNY then terminated the petitioner's employment on July 27, 2022.</w:t>
      </w:r>
    </w:p>
    <w:p w14:paraId="4586D3EF" w14:textId="77777777" w:rsidR="00583923" w:rsidRDefault="00583923" w:rsidP="00583923">
      <w:pPr>
        <w:pStyle w:val="NoSpacing"/>
        <w:ind w:left="720"/>
      </w:pPr>
    </w:p>
    <w:p w14:paraId="607D6392" w14:textId="77777777" w:rsidR="00583923" w:rsidRDefault="00583923" w:rsidP="00583923">
      <w:pPr>
        <w:pStyle w:val="NoSpacing"/>
        <w:ind w:left="720"/>
      </w:pPr>
      <w:r>
        <w:t>***</w:t>
      </w:r>
    </w:p>
    <w:p w14:paraId="4561B985" w14:textId="77777777" w:rsidR="00583923" w:rsidRDefault="00583923" w:rsidP="00583923">
      <w:pPr>
        <w:pStyle w:val="NoSpacing"/>
        <w:ind w:left="720"/>
      </w:pPr>
      <w:r w:rsidRPr="00E03C01">
        <w:t>Supreme Court, Kings County (Joy F. Campanelli, J), dated October 18, 2023</w:t>
      </w:r>
      <w:r>
        <w:t xml:space="preserve"> … </w:t>
      </w:r>
      <w:r w:rsidRPr="00E03C01">
        <w:t>granted the petition, in effect, annulled the determination dated July 11, 2022, directed the New York City Fire Department and the City of New York to reinstate the petitioner to his position as a firefighter with a reasonable accommodation from the vaccine mandate and back pay, and directed that the petitioner was entitled to an award of attorneys' fees.</w:t>
      </w:r>
    </w:p>
    <w:p w14:paraId="51170938" w14:textId="77777777" w:rsidR="00583923" w:rsidRDefault="00583923" w:rsidP="00583923">
      <w:pPr>
        <w:pStyle w:val="NoSpacing"/>
        <w:ind w:left="720"/>
      </w:pPr>
    </w:p>
    <w:p w14:paraId="7BC98461" w14:textId="77777777" w:rsidR="00583923" w:rsidRDefault="00583923" w:rsidP="00583923">
      <w:pPr>
        <w:pStyle w:val="NoSpacing"/>
        <w:ind w:left="720"/>
      </w:pPr>
      <w:r>
        <w:t>***</w:t>
      </w:r>
    </w:p>
    <w:p w14:paraId="7CE871AC" w14:textId="77777777" w:rsidR="00583923" w:rsidRDefault="00583923" w:rsidP="00583923">
      <w:pPr>
        <w:pStyle w:val="NoSpacing"/>
        <w:ind w:left="720"/>
      </w:pPr>
    </w:p>
    <w:p w14:paraId="7C5DDE2C" w14:textId="77777777" w:rsidR="00583923" w:rsidRDefault="00583923" w:rsidP="00583923">
      <w:pPr>
        <w:pStyle w:val="NoSpacing"/>
        <w:ind w:left="720"/>
      </w:pPr>
      <w:r w:rsidRPr="008D4AC1">
        <w:t xml:space="preserve">The </w:t>
      </w:r>
      <w:r>
        <w:t xml:space="preserve">[FDNY] </w:t>
      </w:r>
      <w:r w:rsidRPr="008D4AC1">
        <w:t>provided information on the process for reviewing accommodation requests related to the vaccine mandate and informed employees on how to appeal request denials. The record demonstrates that the petitioner availed himself of this process. Moreover, the record shows that there were multiple communications between the petitioner, the FDNY, and the Panel regarding the petitioner's request. The petitioner "failed to establish that, under the unique circumstances present at the time of the vaccine mandate, the NYCHRL required a more robust or individual dialogue" (</w:t>
      </w:r>
      <w:r w:rsidRPr="008D4AC1">
        <w:rPr>
          <w:i/>
          <w:iCs/>
        </w:rPr>
        <w:t>Matter of Smith v New York City Fire Dept.</w:t>
      </w:r>
      <w:r w:rsidRPr="008D4AC1">
        <w:t>, 239 AD3d at 872).</w:t>
      </w:r>
      <w:r>
        <w:t>”</w:t>
      </w:r>
    </w:p>
    <w:p w14:paraId="38214694" w14:textId="77777777" w:rsidR="00583923" w:rsidRDefault="00583923" w:rsidP="00583923">
      <w:pPr>
        <w:pStyle w:val="NoSpacing"/>
        <w:ind w:left="720"/>
      </w:pPr>
    </w:p>
    <w:p w14:paraId="6F9D7AB2" w14:textId="77777777" w:rsidR="00583923" w:rsidRPr="00431A3E" w:rsidRDefault="00583923" w:rsidP="00583923">
      <w:pPr>
        <w:pStyle w:val="NoSpacing"/>
        <w:rPr>
          <w:b/>
          <w:bCs/>
        </w:rPr>
      </w:pPr>
      <w:r>
        <w:rPr>
          <w:b/>
        </w:rPr>
        <w:t xml:space="preserve">Legal lesson learned: </w:t>
      </w:r>
      <w:r w:rsidRPr="00431A3E">
        <w:rPr>
          <w:b/>
        </w:rPr>
        <w:t xml:space="preserve">The </w:t>
      </w:r>
      <w:r>
        <w:rPr>
          <w:b/>
        </w:rPr>
        <w:t xml:space="preserve">Supreme </w:t>
      </w:r>
      <w:r w:rsidRPr="00431A3E">
        <w:rPr>
          <w:b/>
        </w:rPr>
        <w:t>Court</w:t>
      </w:r>
      <w:r>
        <w:rPr>
          <w:b/>
        </w:rPr>
        <w:t xml:space="preserve"> of New York</w:t>
      </w:r>
      <w:r w:rsidRPr="00431A3E">
        <w:rPr>
          <w:b/>
        </w:rPr>
        <w:t xml:space="preserve"> has repeatedly upheld </w:t>
      </w:r>
      <w:r>
        <w:rPr>
          <w:b/>
        </w:rPr>
        <w:t xml:space="preserve">termination decisions after firefighters </w:t>
      </w:r>
      <w:proofErr w:type="gramStart"/>
      <w:r>
        <w:rPr>
          <w:b/>
        </w:rPr>
        <w:t>has</w:t>
      </w:r>
      <w:proofErr w:type="gramEnd"/>
      <w:r>
        <w:rPr>
          <w:b/>
        </w:rPr>
        <w:t xml:space="preserve"> appealed to t</w:t>
      </w:r>
      <w:r w:rsidRPr="00431A3E">
        <w:rPr>
          <w:b/>
        </w:rPr>
        <w:t>he City of New York Reasonable Accommodation Appeals Panel</w:t>
      </w:r>
      <w:r>
        <w:rPr>
          <w:b/>
        </w:rPr>
        <w:t>.</w:t>
      </w:r>
    </w:p>
    <w:p w14:paraId="07790431" w14:textId="77777777" w:rsidR="00583923" w:rsidRDefault="00583923" w:rsidP="00583923">
      <w:pPr>
        <w:rPr>
          <w:b/>
        </w:rPr>
      </w:pPr>
    </w:p>
    <w:p w14:paraId="28FDB25D" w14:textId="77777777" w:rsidR="00583923" w:rsidRDefault="00583923" w:rsidP="002F7727">
      <w:pPr>
        <w:pStyle w:val="NoSpacing"/>
        <w:rPr>
          <w:rFonts w:ascii="Arial Black" w:hAnsi="Arial Black"/>
          <w:b/>
          <w:sz w:val="24"/>
          <w:szCs w:val="24"/>
        </w:rPr>
      </w:pPr>
    </w:p>
    <w:p w14:paraId="47FC3B6E" w14:textId="77777777" w:rsidR="00966476" w:rsidRDefault="00966476" w:rsidP="002F7727">
      <w:pPr>
        <w:pStyle w:val="NoSpacing"/>
        <w:rPr>
          <w:rFonts w:ascii="Arial Black" w:hAnsi="Arial Black"/>
          <w:b/>
          <w:sz w:val="24"/>
          <w:szCs w:val="24"/>
        </w:rPr>
      </w:pPr>
    </w:p>
    <w:p w14:paraId="10446712" w14:textId="77777777" w:rsidR="00966476" w:rsidRDefault="00966476" w:rsidP="002F7727">
      <w:pPr>
        <w:pStyle w:val="NoSpacing"/>
        <w:rPr>
          <w:rFonts w:ascii="Arial Black" w:hAnsi="Arial Black"/>
          <w:b/>
          <w:sz w:val="24"/>
          <w:szCs w:val="24"/>
        </w:rPr>
      </w:pPr>
    </w:p>
    <w:p w14:paraId="0D1E15C8" w14:textId="3280BFA2" w:rsidR="00E775DC" w:rsidRDefault="00E775DC" w:rsidP="002F7727">
      <w:pPr>
        <w:pStyle w:val="NoSpacing"/>
        <w:rPr>
          <w:rFonts w:ascii="Arial Black" w:hAnsi="Arial Black"/>
          <w:b/>
          <w:sz w:val="24"/>
          <w:szCs w:val="24"/>
        </w:rPr>
      </w:pPr>
      <w:r>
        <w:rPr>
          <w:rFonts w:ascii="Arial Black" w:hAnsi="Arial Black"/>
          <w:b/>
          <w:sz w:val="24"/>
          <w:szCs w:val="24"/>
        </w:rPr>
        <w:lastRenderedPageBreak/>
        <w:t>16-13</w:t>
      </w:r>
      <w:r w:rsidR="00D11FFB">
        <w:rPr>
          <w:rFonts w:ascii="Arial Black" w:hAnsi="Arial Black"/>
          <w:b/>
          <w:sz w:val="24"/>
          <w:szCs w:val="24"/>
        </w:rPr>
        <w:t>9</w:t>
      </w:r>
    </w:p>
    <w:p w14:paraId="4BCCC6D2" w14:textId="77777777" w:rsidR="007E0BE0" w:rsidRDefault="007E0BE0" w:rsidP="00E775DC">
      <w:pPr>
        <w:pStyle w:val="NoSpacing"/>
        <w:rPr>
          <w:rFonts w:ascii="Arial Black" w:hAnsi="Arial Black"/>
          <w:sz w:val="28"/>
          <w:szCs w:val="28"/>
        </w:rPr>
      </w:pPr>
    </w:p>
    <w:p w14:paraId="507A8B4A" w14:textId="4A161267" w:rsidR="00E775DC" w:rsidRDefault="00E775DC" w:rsidP="00E775DC">
      <w:pPr>
        <w:pStyle w:val="NoSpacing"/>
        <w:rPr>
          <w:rFonts w:ascii="Arial Black" w:hAnsi="Arial Black"/>
          <w:sz w:val="28"/>
          <w:szCs w:val="28"/>
        </w:rPr>
      </w:pPr>
      <w:r>
        <w:rPr>
          <w:rFonts w:ascii="Arial Black" w:hAnsi="Arial Black"/>
          <w:sz w:val="28"/>
          <w:szCs w:val="28"/>
        </w:rPr>
        <w:t>OH: FF ARRESTED CHILD PORN – IN JAIL UNTIL TRIAL</w:t>
      </w:r>
    </w:p>
    <w:p w14:paraId="083E6BAE" w14:textId="77777777" w:rsidR="00E775DC" w:rsidRDefault="00E775DC" w:rsidP="00E775DC">
      <w:pPr>
        <w:pStyle w:val="NoSpacing"/>
        <w:rPr>
          <w:rFonts w:ascii="Arial Black" w:hAnsi="Arial Black"/>
          <w:sz w:val="28"/>
          <w:szCs w:val="28"/>
        </w:rPr>
      </w:pPr>
    </w:p>
    <w:p w14:paraId="5DB5A4DC" w14:textId="77777777" w:rsidR="00E775DC" w:rsidRDefault="00E775DC" w:rsidP="00E775DC">
      <w:pPr>
        <w:pStyle w:val="NoSpacing"/>
      </w:pPr>
      <w:r>
        <w:t xml:space="preserve">On November 18, </w:t>
      </w:r>
      <w:proofErr w:type="gramStart"/>
      <w:r>
        <w:t>2025</w:t>
      </w:r>
      <w:proofErr w:type="gramEnd"/>
      <w:r>
        <w:t xml:space="preserve"> in </w:t>
      </w:r>
      <w:r w:rsidRPr="00831A9A">
        <w:rPr>
          <w:u w:val="single"/>
        </w:rPr>
        <w:t>United States of America v. Carson A. Bigham</w:t>
      </w:r>
      <w:r>
        <w:t xml:space="preserve">, U.S. District Court Judge Algenon L. Marbley, United States District Court for Southern District of Ohio, Eastern Division, denied the firefighter’s </w:t>
      </w:r>
      <w:r w:rsidRPr="00006775">
        <w:t>Motion for the Revocation of Detention</w:t>
      </w:r>
      <w:r>
        <w:t xml:space="preserve">; he was arrested on May 22, 2025, and denied release by U.S. Magistrate Judge </w:t>
      </w:r>
      <w:r w:rsidRPr="001337BD">
        <w:t>Kimberly A. Jolson</w:t>
      </w:r>
      <w:r>
        <w:t>. The Government advised the Court that Bigham, us</w:t>
      </w:r>
      <w:r w:rsidRPr="00A96EF6">
        <w:t>ing an alias</w:t>
      </w:r>
      <w:r>
        <w:t xml:space="preserve"> starting </w:t>
      </w:r>
      <w:proofErr w:type="spellStart"/>
      <w:r>
        <w:t>n</w:t>
      </w:r>
      <w:proofErr w:type="spellEnd"/>
      <w:r>
        <w:t xml:space="preserve"> August 2024, </w:t>
      </w:r>
      <w:r w:rsidRPr="00A96EF6">
        <w:t>began communicating with a one Mr. Richard Tyler Campbell over Snapchat, where they discussed having sex with minors.</w:t>
      </w:r>
      <w:r>
        <w:t xml:space="preserve">  THE COURT WROTE: “</w:t>
      </w:r>
      <w:r w:rsidRPr="00434B35">
        <w:t>Here, the weight of evidence of Bigham's dangerousness is apparent. Carson Bigham is a firefighter entrusted with public safety.</w:t>
      </w:r>
      <w:r>
        <w:t xml:space="preserve"> *** </w:t>
      </w:r>
      <w:r w:rsidRPr="00434B35">
        <w:t>He even left his underwear and a used condom for Campbell outside the Columbus fire station he worked at as a “show of good faith.” (</w:t>
      </w:r>
      <w:r w:rsidRPr="00434B35">
        <w:rPr>
          <w:i/>
          <w:iCs/>
        </w:rPr>
        <w:t>Id.</w:t>
      </w:r>
      <w:r w:rsidRPr="00434B35">
        <w:t xml:space="preserve"> at 12-13). Bigham used his own fire station as a personal playground for his fetishes and took brazen, public steps to view and obtain more child pornography. This demonstrates the danger that he would pose to minors and the public if released. This factor also weighs in favor of detention.</w:t>
      </w:r>
      <w:r>
        <w:t xml:space="preserve">” </w:t>
      </w:r>
    </w:p>
    <w:p w14:paraId="1C828409" w14:textId="77777777" w:rsidR="00E775DC" w:rsidRDefault="00E775DC" w:rsidP="00E775DC">
      <w:pPr>
        <w:pStyle w:val="NoSpacing"/>
      </w:pPr>
      <w:hyperlink r:id="rId2604" w:history="1">
        <w:r w:rsidRPr="00583A8C">
          <w:rPr>
            <w:rStyle w:val="Hyperlink"/>
          </w:rPr>
          <w:t>https://public.fastcase.com/jaEE2PXzRXmZ99jOLMt1Io06bpL9%2FLcVXr53aaIUyQvAP5%2BtJH87Oz9onDjzcythnenHIV2f708%2FwR4gt4qkO1f7jeRt%2FKEtj1yUDHm75oU%3D?utm_medium=email&amp;_hsenc=p2ANqtz-_2UmH9uPWr2Na6-FEToPkSf6GcL7PU5KfrxYC2lQgS-z6zkFrF54nulArls3PhR-gkNqFrsBzQlt3BvLsHbxpWeUso_A&amp;_hsmi=226712652&amp;utm_content=226712652&amp;utm_source=hs_email</w:t>
        </w:r>
      </w:hyperlink>
      <w:r>
        <w:t xml:space="preserve"> </w:t>
      </w:r>
    </w:p>
    <w:p w14:paraId="56100743" w14:textId="77777777" w:rsidR="00E775DC" w:rsidRDefault="00E775DC" w:rsidP="00E775DC">
      <w:pPr>
        <w:pStyle w:val="NoSpacing"/>
      </w:pPr>
    </w:p>
    <w:p w14:paraId="3FF385CF" w14:textId="77777777" w:rsidR="00E775DC" w:rsidRDefault="00E775DC" w:rsidP="00E775DC">
      <w:pPr>
        <w:pStyle w:val="NoSpacing"/>
      </w:pPr>
      <w:r>
        <w:t>THE COURT HELD:</w:t>
      </w:r>
    </w:p>
    <w:p w14:paraId="7C612253" w14:textId="77777777" w:rsidR="00E775DC" w:rsidRDefault="00E775DC" w:rsidP="00E775DC">
      <w:pPr>
        <w:pStyle w:val="NoSpacing"/>
      </w:pPr>
    </w:p>
    <w:p w14:paraId="356EB8F9" w14:textId="77777777" w:rsidR="00E775DC" w:rsidRDefault="00E775DC" w:rsidP="00E775DC">
      <w:pPr>
        <w:pStyle w:val="NoSpacing"/>
        <w:ind w:left="720"/>
        <w:rPr>
          <w:bCs/>
        </w:rPr>
      </w:pPr>
      <w:r>
        <w:t>“</w:t>
      </w:r>
      <w:r w:rsidRPr="00A13912">
        <w:t> Mr. Bigham is a firefighter in the Columbus area who is charged with possession of child pornography</w:t>
      </w:r>
      <w:r>
        <w:t xml:space="preserve">…. </w:t>
      </w:r>
      <w:r w:rsidRPr="00A13912">
        <w:t>The Government alleges that in August 2024, Bigham, using an alias, began communicating with a one Mr. Richard Tyler Campbell over Snapchat, where they discussed having sex with minors</w:t>
      </w:r>
      <w:r>
        <w:t xml:space="preserve">…. </w:t>
      </w:r>
      <w:r w:rsidRPr="00A13912">
        <w:t xml:space="preserve">Campbell sent Bigham a video of an adult man engaging in sex acts prepubescent minor who appeared to be 6 or 7 years old. Bigham expressed gratitude and requested specific child pornography from Campbell, including pornography that would depict the minor child </w:t>
      </w:r>
      <w:r>
        <w:t>‘</w:t>
      </w:r>
      <w:r w:rsidRPr="00A13912">
        <w:t>bent over</w:t>
      </w:r>
      <w:r>
        <w:t>’</w:t>
      </w:r>
      <w:r w:rsidRPr="00A13912">
        <w:t xml:space="preserve"> in the way that Bigham </w:t>
      </w:r>
      <w:r>
        <w:t>‘</w:t>
      </w:r>
      <w:r w:rsidRPr="00A13912">
        <w:t>[would] want her.</w:t>
      </w:r>
      <w:r>
        <w:t xml:space="preserve">’ … </w:t>
      </w:r>
      <w:r w:rsidRPr="00A13912">
        <w:t xml:space="preserve"> The two met at a restaurant for lunch, where they watched child pornography on Campbell's phone-including videos of a minor victim being sexually assaulted. Campbell told Bigham that this video showing sexual assault of a minor depicted Campbell</w:t>
      </w:r>
      <w:r>
        <w:t xml:space="preserve">…. </w:t>
      </w:r>
    </w:p>
    <w:p w14:paraId="73BAF4CE" w14:textId="77777777" w:rsidR="00E775DC" w:rsidRDefault="00E775DC" w:rsidP="00E775DC">
      <w:pPr>
        <w:pStyle w:val="NoSpacing"/>
        <w:ind w:left="720"/>
        <w:rPr>
          <w:bCs/>
        </w:rPr>
      </w:pPr>
    </w:p>
    <w:p w14:paraId="664E868F" w14:textId="77777777" w:rsidR="00E775DC" w:rsidRDefault="00E775DC" w:rsidP="00E775DC">
      <w:pPr>
        <w:pStyle w:val="NoSpacing"/>
        <w:ind w:left="720"/>
      </w:pPr>
      <w:r w:rsidRPr="008D447A">
        <w:t xml:space="preserve">Law enforcement executed a search warrant </w:t>
      </w:r>
      <w:proofErr w:type="gramStart"/>
      <w:r w:rsidRPr="008D447A">
        <w:t>of</w:t>
      </w:r>
      <w:proofErr w:type="gramEnd"/>
      <w:r w:rsidRPr="008D447A">
        <w:t xml:space="preserve"> Campbell's residence in February 2025, and after reviewing Campbell's devices, discovered the correspondence with Bigham. Campbell was arrested in March 2025, and Bigham was arrested and ordered temporarily detained on May 22, 2025</w:t>
      </w:r>
      <w:r>
        <w:t xml:space="preserve">…. </w:t>
      </w:r>
      <w:r w:rsidRPr="008D447A">
        <w:t>The Magistrate Judge held a detention hearing on May 27 where the Government proffered Bigham's full confession to law enforcement; Bigham was ordered detained pending trial</w:t>
      </w:r>
      <w:r>
        <w:t xml:space="preserve">… </w:t>
      </w:r>
      <w:r w:rsidRPr="008D447A">
        <w:t xml:space="preserve">Law enforcement completed its forensic review of Bigham's cellular phone following his detention, locating his correspondence with Campbell, along with </w:t>
      </w:r>
      <w:r>
        <w:t>‘</w:t>
      </w:r>
      <w:r w:rsidRPr="008D447A">
        <w:t>one other file of child pornography.</w:t>
      </w:r>
      <w:r>
        <w:t xml:space="preserve">’ … </w:t>
      </w:r>
      <w:r w:rsidRPr="008D447A">
        <w:t xml:space="preserve">Bigham moved to revoke his detention pursuant to 18 U.S.C. § 3145(b) on September 19, 2025, arguing that no substantial </w:t>
      </w:r>
      <w:r>
        <w:t>‘</w:t>
      </w:r>
      <w:r w:rsidRPr="008D447A">
        <w:t>trove</w:t>
      </w:r>
      <w:r>
        <w:t>’</w:t>
      </w:r>
      <w:r w:rsidRPr="008D447A">
        <w:t xml:space="preserve"> of child pornography had materialized</w:t>
      </w:r>
      <w:r>
        <w:t xml:space="preserve">…. </w:t>
      </w:r>
      <w:r w:rsidRPr="008D447A">
        <w:t xml:space="preserve"> The Government opposed revocation of his pre-trial detention, and on October 31, this Court heard argument on the issue.</w:t>
      </w:r>
    </w:p>
    <w:p w14:paraId="6D8D0260" w14:textId="77777777" w:rsidR="00E775DC" w:rsidRDefault="00E775DC" w:rsidP="00E775DC">
      <w:pPr>
        <w:pStyle w:val="NoSpacing"/>
        <w:ind w:left="720"/>
      </w:pPr>
    </w:p>
    <w:p w14:paraId="55A10254" w14:textId="77777777" w:rsidR="00E775DC" w:rsidRDefault="00E775DC" w:rsidP="00E775DC">
      <w:pPr>
        <w:pStyle w:val="NoSpacing"/>
        <w:ind w:left="720"/>
      </w:pPr>
      <w:r>
        <w:t>***</w:t>
      </w:r>
    </w:p>
    <w:p w14:paraId="1CE32842" w14:textId="77777777" w:rsidR="00E775DC" w:rsidRDefault="00E775DC" w:rsidP="00E775DC">
      <w:pPr>
        <w:pStyle w:val="NoSpacing"/>
        <w:ind w:left="720"/>
      </w:pPr>
    </w:p>
    <w:p w14:paraId="518C3A5A" w14:textId="77777777" w:rsidR="00E775DC" w:rsidRDefault="00E775DC" w:rsidP="00E775DC">
      <w:pPr>
        <w:pStyle w:val="NoSpacing"/>
        <w:ind w:left="720"/>
      </w:pPr>
      <w:r w:rsidRPr="00434B35">
        <w:t>Yet, according to the Government, Bigham requested child pornography from Campbell. Bigham did not notify authorities when he was under the impression that Campbell was abusing a minor; instead, he plotted with Campbell to have sexual relations with a minor he believed to be Campbell's niece</w:t>
      </w:r>
      <w:r>
        <w:t xml:space="preserve">…. </w:t>
      </w:r>
      <w:r w:rsidRPr="00434B35">
        <w:t xml:space="preserve">Bigham was excited and sexually stimulated by minors being abused, failed to report this abuse, and allegedly stated that his sexual interest in 12-to-15-year-old minors presented challenges because they could </w:t>
      </w:r>
      <w:r>
        <w:t>‘</w:t>
      </w:r>
      <w:r w:rsidRPr="00434B35">
        <w:t>remember faces, tattle, whatever</w:t>
      </w:r>
      <w:proofErr w:type="gramStart"/>
      <w:r>
        <w:t>…..</w:t>
      </w:r>
      <w:proofErr w:type="gramEnd"/>
      <w:r>
        <w:t xml:space="preserve">’ </w:t>
      </w:r>
    </w:p>
    <w:p w14:paraId="0BA76863" w14:textId="77777777" w:rsidR="00E775DC" w:rsidRDefault="00E775DC" w:rsidP="00E775DC">
      <w:pPr>
        <w:pStyle w:val="NoSpacing"/>
        <w:ind w:left="720"/>
        <w:rPr>
          <w:bCs/>
        </w:rPr>
      </w:pPr>
    </w:p>
    <w:p w14:paraId="305C61B4" w14:textId="78337BD7" w:rsidR="00E775DC" w:rsidRDefault="00E775DC" w:rsidP="00E775DC">
      <w:pPr>
        <w:pStyle w:val="NoSpacing"/>
        <w:rPr>
          <w:b/>
        </w:rPr>
      </w:pPr>
      <w:r>
        <w:rPr>
          <w:b/>
        </w:rPr>
        <w:t>Legal lesson learned:  Child pornography is a very serious offense</w:t>
      </w:r>
      <w:r w:rsidR="007E0BE0">
        <w:rPr>
          <w:b/>
        </w:rPr>
        <w:t>.</w:t>
      </w:r>
      <w:r>
        <w:rPr>
          <w:b/>
        </w:rPr>
        <w:t xml:space="preserve"> </w:t>
      </w:r>
    </w:p>
    <w:p w14:paraId="631CF1A8" w14:textId="77777777" w:rsidR="00E775DC" w:rsidRDefault="00E775DC" w:rsidP="00E775DC">
      <w:pPr>
        <w:pStyle w:val="NoSpacing"/>
        <w:rPr>
          <w:b/>
        </w:rPr>
      </w:pPr>
    </w:p>
    <w:p w14:paraId="686FADDE" w14:textId="77777777" w:rsidR="00E775DC" w:rsidRDefault="00E775DC" w:rsidP="00E775DC">
      <w:pPr>
        <w:pStyle w:val="NoSpacing"/>
        <w:ind w:left="720"/>
      </w:pPr>
      <w:r w:rsidRPr="00505347">
        <w:lastRenderedPageBreak/>
        <w:t xml:space="preserve">Note: See May 22, </w:t>
      </w:r>
      <w:proofErr w:type="gramStart"/>
      <w:r w:rsidRPr="00505347">
        <w:t>2025</w:t>
      </w:r>
      <w:proofErr w:type="gramEnd"/>
      <w:r w:rsidRPr="00505347">
        <w:t xml:space="preserve"> article</w:t>
      </w:r>
      <w:r>
        <w:t>: “</w:t>
      </w:r>
      <w:r w:rsidRPr="00505347">
        <w:t xml:space="preserve">Columbus firefighter living in Lancaster accused of receiving child pornography.  </w:t>
      </w:r>
      <w:r w:rsidRPr="00E54ACC">
        <w:t>A Fairfield County man who works as a Columbus firefighter was arrested on Wednesday, May 21, on federal child pornography charges, the U.S. Attorney's Office for the Southern District of Ohio has announced</w:t>
      </w:r>
      <w:r>
        <w:t xml:space="preserve">…. </w:t>
      </w:r>
      <w:r w:rsidRPr="00FE13DF">
        <w:t xml:space="preserve">Steven Stein, president of the Columbus Firefighters Union IAFF Local No. 67, is aware of Bigham's arrest and said the union is taking the charges </w:t>
      </w:r>
      <w:r>
        <w:t>‘</w:t>
      </w:r>
      <w:r w:rsidRPr="00FE13DF">
        <w:t>very seriously.</w:t>
      </w:r>
      <w:r>
        <w:t>’ ‘</w:t>
      </w:r>
      <w:r w:rsidRPr="0057230C">
        <w:t>As Fire Fighters and members of this community we want to provide the best possible service to the citizens of Columbus— that means holding our members to the highest standards of trust and responsibility,</w:t>
      </w:r>
      <w:r>
        <w:t>’</w:t>
      </w:r>
      <w:r w:rsidRPr="0057230C">
        <w:t xml:space="preserve"> Stein said in a prepared statement.</w:t>
      </w:r>
      <w:r>
        <w:t>”</w:t>
      </w:r>
    </w:p>
    <w:p w14:paraId="1F6E16CF" w14:textId="77777777" w:rsidR="00E775DC" w:rsidRPr="00505347" w:rsidRDefault="00E775DC" w:rsidP="00E775DC">
      <w:pPr>
        <w:pStyle w:val="NoSpacing"/>
        <w:ind w:left="720"/>
        <w:rPr>
          <w:bCs/>
        </w:rPr>
      </w:pPr>
      <w:hyperlink r:id="rId2605" w:history="1">
        <w:r w:rsidRPr="003869A6">
          <w:rPr>
            <w:rStyle w:val="Hyperlink"/>
          </w:rPr>
          <w:t>https://www.dispatch.com/story/news/crime/2025/05/22/columbus-firefighter-child-porn-charges-lancaster-ohio-carson-bigham/83795834007/</w:t>
        </w:r>
      </w:hyperlink>
      <w:r w:rsidRPr="00505347">
        <w:t xml:space="preserve"> </w:t>
      </w:r>
    </w:p>
    <w:p w14:paraId="5D6DD206" w14:textId="77777777" w:rsidR="00E775DC" w:rsidRPr="00A13912" w:rsidRDefault="00E775DC" w:rsidP="00E775DC">
      <w:pPr>
        <w:pStyle w:val="NoSpacing"/>
        <w:rPr>
          <w:bCs/>
        </w:rPr>
      </w:pPr>
    </w:p>
    <w:p w14:paraId="7E16EC77" w14:textId="77777777" w:rsidR="00E775DC" w:rsidRDefault="00E775DC" w:rsidP="002F7727">
      <w:pPr>
        <w:pStyle w:val="NoSpacing"/>
        <w:rPr>
          <w:rFonts w:ascii="Arial Black" w:hAnsi="Arial Black"/>
          <w:b/>
          <w:sz w:val="24"/>
          <w:szCs w:val="24"/>
        </w:rPr>
      </w:pPr>
    </w:p>
    <w:p w14:paraId="25CB65A0" w14:textId="77777777" w:rsidR="00E775DC" w:rsidRDefault="00E775DC" w:rsidP="002F7727">
      <w:pPr>
        <w:pStyle w:val="NoSpacing"/>
        <w:rPr>
          <w:rFonts w:ascii="Arial Black" w:hAnsi="Arial Black"/>
          <w:b/>
          <w:sz w:val="24"/>
          <w:szCs w:val="24"/>
        </w:rPr>
      </w:pPr>
    </w:p>
    <w:p w14:paraId="1E7B7CAD" w14:textId="77777777" w:rsidR="00E775DC" w:rsidRDefault="00E775DC" w:rsidP="002F7727">
      <w:pPr>
        <w:pStyle w:val="NoSpacing"/>
        <w:rPr>
          <w:rFonts w:ascii="Arial Black" w:hAnsi="Arial Black"/>
          <w:b/>
          <w:sz w:val="24"/>
          <w:szCs w:val="24"/>
        </w:rPr>
      </w:pPr>
    </w:p>
    <w:p w14:paraId="7D4DD69B" w14:textId="694B23CD" w:rsidR="00E775DC" w:rsidRDefault="00E775DC" w:rsidP="002F7727">
      <w:pPr>
        <w:pStyle w:val="NoSpacing"/>
        <w:rPr>
          <w:rFonts w:ascii="Arial Black" w:hAnsi="Arial Black"/>
          <w:b/>
          <w:sz w:val="24"/>
          <w:szCs w:val="24"/>
        </w:rPr>
      </w:pPr>
      <w:r>
        <w:rPr>
          <w:rFonts w:ascii="Arial Black" w:hAnsi="Arial Black"/>
          <w:b/>
          <w:sz w:val="24"/>
          <w:szCs w:val="24"/>
        </w:rPr>
        <w:t>16-13</w:t>
      </w:r>
      <w:r w:rsidR="00D11FFB">
        <w:rPr>
          <w:rFonts w:ascii="Arial Black" w:hAnsi="Arial Black"/>
          <w:b/>
          <w:sz w:val="24"/>
          <w:szCs w:val="24"/>
        </w:rPr>
        <w:t>8</w:t>
      </w:r>
    </w:p>
    <w:p w14:paraId="0541BAB5" w14:textId="77777777" w:rsidR="00311014" w:rsidRDefault="00311014" w:rsidP="002F7727">
      <w:pPr>
        <w:pStyle w:val="NoSpacing"/>
        <w:rPr>
          <w:rFonts w:ascii="Arial Black" w:hAnsi="Arial Black"/>
          <w:b/>
          <w:sz w:val="24"/>
          <w:szCs w:val="24"/>
        </w:rPr>
      </w:pPr>
    </w:p>
    <w:p w14:paraId="4F3FED32" w14:textId="77777777" w:rsidR="00311014" w:rsidRPr="00D83843" w:rsidRDefault="00311014" w:rsidP="00311014">
      <w:pPr>
        <w:rPr>
          <w:rFonts w:ascii="Arial Black" w:hAnsi="Arial Black"/>
          <w:b/>
          <w:sz w:val="28"/>
          <w:szCs w:val="28"/>
        </w:rPr>
      </w:pPr>
      <w:r>
        <w:rPr>
          <w:rFonts w:ascii="Arial Black" w:hAnsi="Arial Black"/>
          <w:b/>
          <w:sz w:val="28"/>
          <w:szCs w:val="28"/>
        </w:rPr>
        <w:t xml:space="preserve">CA: MECHANIC’S THREAT – “TARONE” - KILLED FF STAT. 81 </w:t>
      </w:r>
    </w:p>
    <w:p w14:paraId="627B7280" w14:textId="77777777" w:rsidR="00311014" w:rsidRDefault="00311014" w:rsidP="00311014">
      <w:pPr>
        <w:pStyle w:val="NoSpacing"/>
      </w:pPr>
      <w:r w:rsidRPr="00DE351B">
        <w:t xml:space="preserve">On October 31, 2025, in </w:t>
      </w:r>
      <w:r w:rsidRPr="00DE351B">
        <w:rPr>
          <w:u w:val="single"/>
        </w:rPr>
        <w:t>County of Los Angeles v. Neill Francis Niblett</w:t>
      </w:r>
      <w:r w:rsidRPr="00DE351B">
        <w:t xml:space="preserve">, </w:t>
      </w:r>
      <w:r>
        <w:t xml:space="preserve">the </w:t>
      </w:r>
      <w:r w:rsidRPr="00DE351B">
        <w:t>California Court of Appeals, Second District, First Division</w:t>
      </w:r>
      <w:r>
        <w:t xml:space="preserve"> held (3 to 0) that trial court judge properly issued a three-year </w:t>
      </w:r>
      <w:r w:rsidRPr="005B58D8">
        <w:t>workplace violence restraining order on January 18, 2023</w:t>
      </w:r>
      <w:r>
        <w:t xml:space="preserve">, on the petition filed by the LA County Fire Department on behalf of an Assistant Fire Chief.  Neill Niblett is barred until Jan. 18, </w:t>
      </w:r>
      <w:proofErr w:type="gramStart"/>
      <w:r>
        <w:t>2026</w:t>
      </w:r>
      <w:proofErr w:type="gramEnd"/>
      <w:r>
        <w:t xml:space="preserve"> from harassing the Assistant Fire Chief or entering his </w:t>
      </w:r>
      <w:proofErr w:type="gramStart"/>
      <w:r>
        <w:t>workplace, and</w:t>
      </w:r>
      <w:proofErr w:type="gramEnd"/>
      <w:r>
        <w:t xml:space="preserve"> prohibits Niblett from possessing firearms or ammunition. THE COURT WROTE:  “</w:t>
      </w:r>
      <w:r w:rsidRPr="003B559C">
        <w:t>In sum, the trial court reasonably could have found it</w:t>
      </w:r>
      <w:r>
        <w:t xml:space="preserve"> </w:t>
      </w:r>
      <w:r w:rsidRPr="003B559C">
        <w:t xml:space="preserve">highly probable that by telling Hughes, </w:t>
      </w:r>
      <w:r>
        <w:t>‘</w:t>
      </w:r>
      <w:r w:rsidRPr="003B559C">
        <w:t>If they don’t change</w:t>
      </w:r>
      <w:r>
        <w:t xml:space="preserve"> </w:t>
      </w:r>
      <w:r w:rsidRPr="003B559C">
        <w:t>things in this department, they’re going to have another situation</w:t>
      </w:r>
      <w:r>
        <w:t xml:space="preserve"> </w:t>
      </w:r>
      <w:r w:rsidRPr="003B559C">
        <w:t>like they had with Tatone,</w:t>
      </w:r>
      <w:r>
        <w:t>’</w:t>
      </w:r>
      <w:r w:rsidRPr="003B559C">
        <w:t xml:space="preserve"> </w:t>
      </w:r>
      <w:r>
        <w:t xml:space="preserve">[who shot and killed another firefighter in Station 81 on June 1, 2021] </w:t>
      </w:r>
      <w:r w:rsidRPr="003B559C">
        <w:t>Niblett made a knowing and willful</w:t>
      </w:r>
      <w:r>
        <w:t xml:space="preserve"> </w:t>
      </w:r>
      <w:r w:rsidRPr="003B559C">
        <w:t>statement that would place a reasonable person in fear for his or</w:t>
      </w:r>
      <w:r>
        <w:t xml:space="preserve"> </w:t>
      </w:r>
      <w:r w:rsidRPr="003B559C">
        <w:t>her safety</w:t>
      </w:r>
      <w:r>
        <w:t xml:space="preserve">.”  </w:t>
      </w:r>
      <w:hyperlink r:id="rId2606" w:history="1">
        <w:r w:rsidRPr="00B165D1">
          <w:rPr>
            <w:rStyle w:val="Hyperlink"/>
          </w:rPr>
          <w:t>https://cases.justia.com/california/court-of-appeal/2025-b327744.pdf?ts=1764194477</w:t>
        </w:r>
      </w:hyperlink>
      <w:r>
        <w:t xml:space="preserve"> </w:t>
      </w:r>
    </w:p>
    <w:p w14:paraId="34E48273" w14:textId="77777777" w:rsidR="00311014" w:rsidRDefault="00311014" w:rsidP="00311014">
      <w:pPr>
        <w:pStyle w:val="NoSpacing"/>
      </w:pPr>
    </w:p>
    <w:p w14:paraId="3D6D4979" w14:textId="77777777" w:rsidR="00311014" w:rsidRDefault="00311014" w:rsidP="00311014">
      <w:pPr>
        <w:pStyle w:val="NoSpacing"/>
        <w:rPr>
          <w:bCs/>
        </w:rPr>
      </w:pPr>
      <w:r>
        <w:t>THE COURT HELD:</w:t>
      </w:r>
    </w:p>
    <w:p w14:paraId="24A87CAD" w14:textId="77777777" w:rsidR="00311014" w:rsidRDefault="00311014" w:rsidP="00311014">
      <w:pPr>
        <w:pStyle w:val="NoSpacing"/>
        <w:rPr>
          <w:bCs/>
        </w:rPr>
      </w:pPr>
    </w:p>
    <w:p w14:paraId="6EC3CAE4" w14:textId="77777777" w:rsidR="00311014" w:rsidRDefault="00311014" w:rsidP="00311014">
      <w:pPr>
        <w:ind w:left="720"/>
      </w:pPr>
      <w:r>
        <w:t xml:space="preserve">“Prior to the commencement of the instant action, Niblett was employed as a senior mechanic at the County’s fire department and Assistant Chief [A/C - Court did not use his last name] was Niblett’s supervisor.  </w:t>
      </w:r>
    </w:p>
    <w:p w14:paraId="684B890F" w14:textId="77777777" w:rsidR="00311014" w:rsidRDefault="00311014" w:rsidP="00311014">
      <w:pPr>
        <w:pStyle w:val="NoSpacing"/>
        <w:ind w:left="720"/>
      </w:pPr>
      <w:r>
        <w:t>***</w:t>
      </w:r>
    </w:p>
    <w:p w14:paraId="34D5E495" w14:textId="77777777" w:rsidR="00311014" w:rsidRDefault="00311014" w:rsidP="00311014">
      <w:pPr>
        <w:pStyle w:val="NoSpacing"/>
        <w:ind w:left="720"/>
      </w:pPr>
      <w:r>
        <w:t>According to the County, on October 5, 2022, Niblett acted in a ‘verbally abusive’ manner toward [A/C] after [A/C] asked Niblett to pick up parts Niblett had left on the floor of a fire department facility. The County further avers that on October 11, 2022, Niblett made the following statement to Cari Hughes, a secretary for the fire department: ‘If they don’t change things in this department, they’re going to have another situation like they had with Tatone.’ There is no dispute that in June 2021, a firefighter named ‘Tatone’ fatally shot another firefighter at Station 81.</w:t>
      </w:r>
    </w:p>
    <w:p w14:paraId="0CAF03B2" w14:textId="77777777" w:rsidR="00311014" w:rsidRDefault="00311014" w:rsidP="00311014">
      <w:pPr>
        <w:pStyle w:val="NoSpacing"/>
        <w:ind w:left="720"/>
      </w:pPr>
    </w:p>
    <w:p w14:paraId="312D75CB" w14:textId="77777777" w:rsidR="00311014" w:rsidRDefault="00311014" w:rsidP="00311014">
      <w:pPr>
        <w:pStyle w:val="NoSpacing"/>
        <w:ind w:left="720"/>
      </w:pPr>
      <w:r>
        <w:t>***</w:t>
      </w:r>
    </w:p>
    <w:p w14:paraId="380CB414" w14:textId="77777777" w:rsidR="00311014" w:rsidRDefault="00311014" w:rsidP="00311014">
      <w:pPr>
        <w:pStyle w:val="NoSpacing"/>
        <w:ind w:left="720"/>
        <w:rPr>
          <w:bCs/>
        </w:rPr>
      </w:pPr>
      <w:r>
        <w:t xml:space="preserve">Footnote 5: [A/C] </w:t>
      </w:r>
      <w:r w:rsidRPr="00DB7C6D">
        <w:t xml:space="preserve">testified that the County </w:t>
      </w:r>
      <w:r>
        <w:t>‘</w:t>
      </w:r>
      <w:r w:rsidRPr="00DB7C6D">
        <w:t>placed [Niblett] off of</w:t>
      </w:r>
      <w:r>
        <w:t xml:space="preserve"> </w:t>
      </w:r>
      <w:r w:rsidRPr="00DB7C6D">
        <w:t>work</w:t>
      </w:r>
      <w:r>
        <w:t>’</w:t>
      </w:r>
      <w:r w:rsidRPr="00DB7C6D">
        <w:t xml:space="preserve"> because of his threatening conduct</w:t>
      </w:r>
      <w:r>
        <w:t xml:space="preserve">…. </w:t>
      </w:r>
    </w:p>
    <w:p w14:paraId="5A653A1B" w14:textId="77777777" w:rsidR="00311014" w:rsidRDefault="00311014" w:rsidP="00311014">
      <w:pPr>
        <w:pStyle w:val="NoSpacing"/>
        <w:ind w:left="720"/>
        <w:rPr>
          <w:bCs/>
        </w:rPr>
      </w:pPr>
    </w:p>
    <w:p w14:paraId="78730BA6" w14:textId="77777777" w:rsidR="00311014" w:rsidRDefault="00311014" w:rsidP="00311014">
      <w:pPr>
        <w:pStyle w:val="NoSpacing"/>
        <w:ind w:left="720"/>
      </w:pPr>
      <w:r>
        <w:t>***</w:t>
      </w:r>
    </w:p>
    <w:p w14:paraId="7092EA72" w14:textId="77777777" w:rsidR="00311014" w:rsidRDefault="00311014" w:rsidP="00311014">
      <w:pPr>
        <w:pStyle w:val="NoSpacing"/>
        <w:ind w:left="720"/>
      </w:pPr>
    </w:p>
    <w:p w14:paraId="4F38FD17" w14:textId="77777777" w:rsidR="00311014" w:rsidRDefault="00311014" w:rsidP="00311014">
      <w:pPr>
        <w:pStyle w:val="NoSpacing"/>
        <w:ind w:left="720"/>
      </w:pPr>
      <w:r>
        <w:t xml:space="preserve">Niblett insists he was not threatening to shoot department </w:t>
      </w:r>
      <w:proofErr w:type="gramStart"/>
      <w:r>
        <w:t>management, but</w:t>
      </w:r>
      <w:proofErr w:type="gramEnd"/>
      <w:r>
        <w:t xml:space="preserve"> instead made ‘a hypothetical warning about potential consequences of poor management . . . .’  As</w:t>
      </w:r>
    </w:p>
    <w:p w14:paraId="585247ED" w14:textId="77777777" w:rsidR="00311014" w:rsidRDefault="00311014" w:rsidP="00311014">
      <w:pPr>
        <w:pStyle w:val="NoSpacing"/>
        <w:ind w:left="720"/>
      </w:pPr>
      <w:r>
        <w:t xml:space="preserve">explained above, the trial court rationally could have inferred it is highly probable that a reasonable person hearing this statement would have feared for his or her </w:t>
      </w:r>
      <w:proofErr w:type="gramStart"/>
      <w:r>
        <w:t>safety.”</w:t>
      </w:r>
      <w:proofErr w:type="gramEnd"/>
    </w:p>
    <w:p w14:paraId="679E3081" w14:textId="77777777" w:rsidR="00311014" w:rsidRDefault="00311014" w:rsidP="00311014">
      <w:pPr>
        <w:pStyle w:val="NoSpacing"/>
        <w:ind w:left="720"/>
      </w:pPr>
    </w:p>
    <w:p w14:paraId="3AB7A3CC" w14:textId="3576294C" w:rsidR="00311014" w:rsidRPr="005419F9" w:rsidRDefault="00311014" w:rsidP="00311014">
      <w:pPr>
        <w:pStyle w:val="NoSpacing"/>
        <w:rPr>
          <w:b/>
          <w:bCs/>
        </w:rPr>
      </w:pPr>
      <w:r>
        <w:rPr>
          <w:b/>
        </w:rPr>
        <w:lastRenderedPageBreak/>
        <w:t>Legal Lesson Learned:  Threats of workplace violence must be taken very seriously; immediate suspension from duty</w:t>
      </w:r>
      <w:r w:rsidR="00DB3D9D">
        <w:rPr>
          <w:b/>
        </w:rPr>
        <w:t xml:space="preserve">, notify police </w:t>
      </w:r>
      <w:r>
        <w:rPr>
          <w:b/>
        </w:rPr>
        <w:t xml:space="preserve">and </w:t>
      </w:r>
      <w:r w:rsidR="00DB3D9D">
        <w:rPr>
          <w:b/>
        </w:rPr>
        <w:t xml:space="preserve">conduct </w:t>
      </w:r>
      <w:r>
        <w:rPr>
          <w:b/>
        </w:rPr>
        <w:t>prompt investigation.</w:t>
      </w:r>
    </w:p>
    <w:p w14:paraId="3213A845" w14:textId="77777777" w:rsidR="00311014" w:rsidRDefault="00311014" w:rsidP="00311014">
      <w:pPr>
        <w:pStyle w:val="NoSpacing"/>
        <w:ind w:left="720"/>
        <w:rPr>
          <w:bCs/>
        </w:rPr>
      </w:pPr>
    </w:p>
    <w:p w14:paraId="372B2CC5" w14:textId="77777777" w:rsidR="00311014" w:rsidRDefault="00311014" w:rsidP="00311014">
      <w:pPr>
        <w:pStyle w:val="NoSpacing"/>
        <w:ind w:left="720"/>
      </w:pPr>
      <w:r>
        <w:t xml:space="preserve">Note: See this September 11, </w:t>
      </w:r>
      <w:proofErr w:type="gramStart"/>
      <w:r>
        <w:t>2024</w:t>
      </w:r>
      <w:proofErr w:type="gramEnd"/>
      <w:r>
        <w:t xml:space="preserve"> article.   “</w:t>
      </w:r>
      <w:r w:rsidRPr="002772E6">
        <w:t>L.A. County pays $7.2M to family of firefighter killed in firehouse shooting. A station captain later told investigators that Firefighter Carlon had voiced concerns his harasser would one day shoot and kill him.</w:t>
      </w:r>
      <w:r>
        <w:t xml:space="preserve"> </w:t>
      </w:r>
      <w:r w:rsidRPr="0003781D">
        <w:t>More than three years after a firefighter was shot and killed by a co-worker at a remote station in Agua Dulce, the Los Angeles County Board of Supervisors agreed Tuesday to pay his family $7.2 million.</w:t>
      </w:r>
      <w:r>
        <w:t xml:space="preserve"> </w:t>
      </w:r>
      <w:r w:rsidRPr="0003781D">
        <w:t xml:space="preserve">Tory Carlon was fatally shot while on duty at L.A. County Fire Station 81 on June 1, 2021. The following year, Carlon’s widow, Heidi, and the couple’s three children filed a wrongful-death lawsuit against L.A. County, alleging fire officials had known about the shooter’s </w:t>
      </w:r>
      <w:r>
        <w:t>‘</w:t>
      </w:r>
      <w:r w:rsidRPr="0003781D">
        <w:t>dangerous conduct</w:t>
      </w:r>
      <w:r>
        <w:t>’</w:t>
      </w:r>
      <w:r w:rsidRPr="0003781D">
        <w:t xml:space="preserve"> for years.</w:t>
      </w:r>
      <w:r>
        <w:t xml:space="preserve"> </w:t>
      </w:r>
      <w:r w:rsidRPr="00063FAE">
        <w:t>The gunman, Jonathan Tatone, also shot and injured Fire Capt. Arnoldo Sandoval, before later killing himself. Last year, the board agreed to pay Sandoval nearly $2.6 million.</w:t>
      </w:r>
      <w:r>
        <w:t xml:space="preserve">” </w:t>
      </w:r>
      <w:hyperlink r:id="rId2607" w:history="1">
        <w:r w:rsidRPr="00A22012">
          <w:rPr>
            <w:rStyle w:val="Hyperlink"/>
          </w:rPr>
          <w:t>https://www.firerescue1.com/legal/l-a-county-pays-7-2m-to-family-of-firefighter-killed-in-firehouse-shooting</w:t>
        </w:r>
      </w:hyperlink>
      <w:r>
        <w:t xml:space="preserve"> </w:t>
      </w:r>
    </w:p>
    <w:p w14:paraId="0E6142E8" w14:textId="77777777" w:rsidR="00311014" w:rsidRDefault="00311014" w:rsidP="00311014">
      <w:pPr>
        <w:pStyle w:val="NoSpacing"/>
        <w:ind w:left="720"/>
      </w:pPr>
    </w:p>
    <w:p w14:paraId="445080BE" w14:textId="77777777" w:rsidR="00311014" w:rsidRDefault="00311014" w:rsidP="00311014">
      <w:pPr>
        <w:pStyle w:val="NoSpacing"/>
        <w:ind w:left="720"/>
      </w:pPr>
    </w:p>
    <w:p w14:paraId="4D034EAB" w14:textId="77777777" w:rsidR="00311014" w:rsidRDefault="00311014" w:rsidP="002F7727">
      <w:pPr>
        <w:pStyle w:val="NoSpacing"/>
        <w:rPr>
          <w:rFonts w:ascii="Arial Black" w:hAnsi="Arial Black"/>
          <w:b/>
          <w:sz w:val="24"/>
          <w:szCs w:val="24"/>
        </w:rPr>
      </w:pPr>
    </w:p>
    <w:p w14:paraId="48B47D83" w14:textId="77777777" w:rsidR="00311014" w:rsidRDefault="00311014" w:rsidP="002F7727">
      <w:pPr>
        <w:pStyle w:val="NoSpacing"/>
        <w:rPr>
          <w:rFonts w:ascii="Arial Black" w:hAnsi="Arial Black"/>
          <w:b/>
          <w:sz w:val="24"/>
          <w:szCs w:val="24"/>
        </w:rPr>
      </w:pPr>
    </w:p>
    <w:p w14:paraId="592360CE" w14:textId="77777777" w:rsidR="00E775DC" w:rsidRDefault="00E775DC" w:rsidP="002F7727">
      <w:pPr>
        <w:pStyle w:val="NoSpacing"/>
        <w:rPr>
          <w:rFonts w:ascii="Arial Black" w:hAnsi="Arial Black"/>
          <w:b/>
          <w:sz w:val="24"/>
          <w:szCs w:val="24"/>
        </w:rPr>
      </w:pPr>
    </w:p>
    <w:p w14:paraId="7413FEE7" w14:textId="3C164EA6" w:rsidR="002F7727" w:rsidRDefault="002F7727" w:rsidP="002F7727">
      <w:pPr>
        <w:pStyle w:val="NoSpacing"/>
        <w:rPr>
          <w:rFonts w:ascii="Arial Black" w:hAnsi="Arial Black"/>
          <w:b/>
          <w:sz w:val="24"/>
          <w:szCs w:val="24"/>
        </w:rPr>
      </w:pPr>
      <w:r>
        <w:rPr>
          <w:rFonts w:ascii="Arial Black" w:hAnsi="Arial Black"/>
          <w:b/>
          <w:sz w:val="24"/>
          <w:szCs w:val="24"/>
        </w:rPr>
        <w:t>16-13</w:t>
      </w:r>
      <w:r w:rsidR="00D11FFB">
        <w:rPr>
          <w:rFonts w:ascii="Arial Black" w:hAnsi="Arial Black"/>
          <w:b/>
          <w:sz w:val="24"/>
          <w:szCs w:val="24"/>
        </w:rPr>
        <w:t>7</w:t>
      </w:r>
    </w:p>
    <w:p w14:paraId="0D8CF808" w14:textId="77777777" w:rsidR="002F7727" w:rsidRDefault="002F7727" w:rsidP="001F4CDF">
      <w:pPr>
        <w:pStyle w:val="NoSpacing"/>
        <w:rPr>
          <w:rFonts w:ascii="Arial Black" w:hAnsi="Arial Black"/>
          <w:sz w:val="28"/>
          <w:szCs w:val="28"/>
        </w:rPr>
      </w:pPr>
    </w:p>
    <w:p w14:paraId="72AE168A" w14:textId="35DD803A" w:rsidR="001F4CDF" w:rsidRPr="00B763EB" w:rsidRDefault="001F4CDF" w:rsidP="001F4CDF">
      <w:pPr>
        <w:pStyle w:val="NoSpacing"/>
        <w:rPr>
          <w:rFonts w:ascii="Arial Black" w:hAnsi="Arial Black"/>
          <w:sz w:val="28"/>
          <w:szCs w:val="28"/>
        </w:rPr>
      </w:pPr>
      <w:r>
        <w:rPr>
          <w:rFonts w:ascii="Arial Black" w:hAnsi="Arial Black"/>
          <w:sz w:val="28"/>
          <w:szCs w:val="28"/>
        </w:rPr>
        <w:t xml:space="preserve">NC: FF AFFAIR – WOMAN TOLD FD “STALKING” – FF FIRED </w:t>
      </w:r>
    </w:p>
    <w:p w14:paraId="1BA39FAD" w14:textId="77777777" w:rsidR="001F4CDF" w:rsidRDefault="001F4CDF" w:rsidP="001F4CDF">
      <w:pPr>
        <w:pStyle w:val="NoSpacing"/>
      </w:pPr>
    </w:p>
    <w:p w14:paraId="6F3166EB" w14:textId="77777777" w:rsidR="001F4CDF" w:rsidRDefault="001F4CDF" w:rsidP="001F4CDF">
      <w:pPr>
        <w:pStyle w:val="NoSpacing"/>
      </w:pPr>
      <w:r>
        <w:t xml:space="preserve">On September 15, 2025, in </w:t>
      </w:r>
      <w:r w:rsidRPr="00B26718">
        <w:rPr>
          <w:u w:val="single"/>
        </w:rPr>
        <w:t>Robert Patterson v. City of Graham, et al</w:t>
      </w:r>
      <w:r w:rsidRPr="000A6483">
        <w:rPr>
          <w:u w:val="single"/>
        </w:rPr>
        <w:t>.</w:t>
      </w:r>
      <w:r>
        <w:t xml:space="preserve">, U.S. Magistrate Judge </w:t>
      </w:r>
      <w:r w:rsidRPr="00D35A64">
        <w:t>L. Patrick Auld</w:t>
      </w:r>
      <w:r>
        <w:t xml:space="preserve">, United States District Court for Middle District of North Carolina, issued an opinion and recommendation that the U.S. District Court judge dismiss the firefighter’s lawsuit claiming age discrimination and hostile workplace.  </w:t>
      </w:r>
    </w:p>
    <w:p w14:paraId="5546329E" w14:textId="77777777" w:rsidR="001F4CDF" w:rsidRDefault="001F4CDF" w:rsidP="001F4CDF">
      <w:pPr>
        <w:pStyle w:val="NoSpacing"/>
      </w:pPr>
    </w:p>
    <w:p w14:paraId="0110AAF3" w14:textId="77777777" w:rsidR="001F4CDF" w:rsidRDefault="001F4CDF" w:rsidP="001F4CDF">
      <w:pPr>
        <w:pStyle w:val="NoSpacing"/>
      </w:pPr>
      <w:r w:rsidRPr="00913B5B">
        <w:rPr>
          <w:b/>
        </w:rPr>
        <w:t>THE MAGISTRATE WROTE</w:t>
      </w:r>
      <w:r>
        <w:t>: “</w:t>
      </w:r>
      <w:r w:rsidRPr="00C01814">
        <w:t>Plaintiff contends that Defendants terminated his employment because of his age</w:t>
      </w:r>
      <w:r>
        <w:t>…. [T]</w:t>
      </w:r>
      <w:r w:rsidRPr="00253C24">
        <w:t>he Amended Complaint reveals that Plaintiff experienced his termination (and non-promotion) only after the revelation of his affair with a married woman and the volatile aftermath of the cessation of that affair, which involved allegations of violence and criminally inappropriate conduct by Plaintiff and other community members (</w:t>
      </w:r>
      <w:r w:rsidRPr="00253C24">
        <w:rPr>
          <w:i/>
          <w:iCs/>
        </w:rPr>
        <w:t>see, e.g.</w:t>
      </w:r>
      <w:r w:rsidRPr="00253C24">
        <w:t xml:space="preserve">, Docket Entries 12-2 to 12-4 (confirming the </w:t>
      </w:r>
      <w:proofErr w:type="spellStart"/>
      <w:r w:rsidRPr="00253C24">
        <w:t>Wrenns</w:t>
      </w:r>
      <w:proofErr w:type="spellEnd"/>
      <w:r w:rsidRPr="00253C24">
        <w:t>' status as members of City community)). These circumstances render implausible any notion that age bias motivated Defendants' termination of Plaintiff's employment, necessitating dismissal of Plaintiff's ADEA discrimination claim.</w:t>
      </w:r>
      <w:r>
        <w:t xml:space="preserve"> *** </w:t>
      </w:r>
      <w:r w:rsidRPr="00174919">
        <w:t>A plaintiff must provide objective facts or dates linking his termination[ or non-promotion] to his protected conduct other than his own opinions about a supervisor's motives. Plaintiff provides only his own opinions about the cause of his termination[ and non-promotion], with objective facts and dates that do not align with retaliation as a plausible motive. Thus, Plaintiff falls short of alleging facts sufficient for a retaliation case</w:t>
      </w:r>
      <w:r>
        <w:t>.</w:t>
      </w:r>
      <w:r w:rsidRPr="00174919">
        <w:t xml:space="preserve">... </w:t>
      </w:r>
      <w:r>
        <w:t xml:space="preserve"> </w:t>
      </w:r>
      <w:hyperlink r:id="rId2608" w:history="1">
        <w:r w:rsidRPr="00B31461">
          <w:rPr>
            <w:rStyle w:val="Hyperlink"/>
          </w:rPr>
          <w:t>https://public.fastcase.com/jaEE2PXzRXmZ99jOLMt1Ilcjd44wj1gOUELzUZUXmDmbuUsOiVZitmDUzsj9wpOSz4ErC%2Bb83%2Bac%2Bxbf2Y5XWbaFtY83bMRM%2FnYjCn7PkRA%3D?utm_medium=email&amp;_hsenc=p2ANqtz-_fx1n9_ms4yphjYB4YK1tT4ojMXKWZyFtyDBkZEK1fupUD4WQ_rkXhMfyPQZmyXGwaNXHPYYCETcsN16Fd9R-eiG6PHw&amp;_hsmi=226712652&amp;utm_content=226712652&amp;utm_source=hs_email</w:t>
        </w:r>
      </w:hyperlink>
      <w:r>
        <w:t xml:space="preserve"> </w:t>
      </w:r>
    </w:p>
    <w:p w14:paraId="777ACDB1" w14:textId="77777777" w:rsidR="001F4CDF" w:rsidRDefault="001F4CDF" w:rsidP="001F4CDF">
      <w:pPr>
        <w:pStyle w:val="NoSpacing"/>
      </w:pPr>
    </w:p>
    <w:p w14:paraId="3D31FFF4" w14:textId="77777777" w:rsidR="001F4CDF" w:rsidRPr="00913B5B" w:rsidRDefault="001F4CDF" w:rsidP="001F4CDF">
      <w:pPr>
        <w:pStyle w:val="NoSpacing"/>
        <w:rPr>
          <w:b/>
          <w:bCs/>
        </w:rPr>
      </w:pPr>
      <w:r w:rsidRPr="00913B5B">
        <w:rPr>
          <w:b/>
        </w:rPr>
        <w:t>KEY FACTS:</w:t>
      </w:r>
    </w:p>
    <w:p w14:paraId="42351460" w14:textId="77777777" w:rsidR="001F4CDF" w:rsidRDefault="001F4CDF" w:rsidP="001F4CDF">
      <w:pPr>
        <w:pStyle w:val="NoSpacing"/>
      </w:pPr>
    </w:p>
    <w:p w14:paraId="095B6D76" w14:textId="77777777" w:rsidR="001F4CDF" w:rsidRDefault="001F4CDF" w:rsidP="001F4CDF">
      <w:pPr>
        <w:pStyle w:val="NoSpacing"/>
        <w:ind w:left="720"/>
      </w:pPr>
      <w:r>
        <w:t>“</w:t>
      </w:r>
      <w:r w:rsidRPr="003D716B">
        <w:t>In October 2022 Plaintiff advised Chief Cole that he was involved in an affair that had ended, and that the wife had threatened that her husband would do everything in his power to get him fired. [Plaintiff] also informed [Chief Cole] that: a) the wife was previously in an affair that ended in a murder-suicide in 2009, with the failed suicide attempt on her part; b) the wife attempted suicide again October 18, 2022; and c) he was extremely fearful of what measures this couple would take to have him fired</w:t>
      </w:r>
      <w:r>
        <w:t>….‘</w:t>
      </w:r>
      <w:r w:rsidRPr="003D716B">
        <w:t>On October 25, 2022, an internal affairs investigation was opened against Plaintiff for an affair he had with Mrs. Wrenn that occurred while he was off duty</w:t>
      </w:r>
      <w:r>
        <w:t>….’</w:t>
      </w:r>
      <w:r w:rsidRPr="003D716B">
        <w:t xml:space="preserve">  </w:t>
      </w:r>
    </w:p>
    <w:p w14:paraId="1382FF64" w14:textId="77777777" w:rsidR="001F4CDF" w:rsidRPr="003D716B" w:rsidRDefault="001F4CDF" w:rsidP="001F4CDF">
      <w:pPr>
        <w:pStyle w:val="NoSpacing"/>
        <w:ind w:left="720"/>
      </w:pPr>
    </w:p>
    <w:p w14:paraId="238C69A9" w14:textId="77777777" w:rsidR="001F4CDF" w:rsidRDefault="001F4CDF" w:rsidP="001F4CDF">
      <w:pPr>
        <w:pStyle w:val="NoSpacing"/>
        <w:ind w:left="720"/>
      </w:pPr>
      <w:r>
        <w:lastRenderedPageBreak/>
        <w:t>‘</w:t>
      </w:r>
      <w:r w:rsidRPr="003D716B">
        <w:t xml:space="preserve">On October 28, </w:t>
      </w:r>
      <w:proofErr w:type="gramStart"/>
      <w:r w:rsidRPr="003D716B">
        <w:t>2022</w:t>
      </w:r>
      <w:proofErr w:type="gramEnd"/>
      <w:r w:rsidRPr="003D716B">
        <w:t xml:space="preserve"> Mrs. Wrenn advised the City of Graham Fire Department's Fire Chief, Defendant Cole and City of Graham Investigator, Billy Clayton, that Plaintiff was responsible for the whistleblower complaints against Chief Cole and Capt. Moore.</w:t>
      </w:r>
      <w:r>
        <w:t>’</w:t>
      </w:r>
      <w:r w:rsidRPr="003D716B">
        <w:t xml:space="preserve"> </w:t>
      </w:r>
      <w:r>
        <w:t>…</w:t>
      </w:r>
      <w:r w:rsidRPr="003D716B">
        <w:t xml:space="preserve"> </w:t>
      </w:r>
      <w:r>
        <w:t>‘</w:t>
      </w:r>
      <w:r w:rsidRPr="003D716B">
        <w:t>On October 28, 2022 Mrs. Wrenn also advised Chief Cole and Investigator Billy Clayton that Plaintiff planned to expose Chief Cole and City Manager Megan Garner in their direct attempts to ‘poison the well'</w:t>
      </w:r>
      <w:r>
        <w:t>….</w:t>
      </w:r>
      <w:r w:rsidRPr="003D716B">
        <w:t>After Mrs. Wrenn's involvement with the Plaintiff had been exposed in mid-October 2022, and the involvement between these two parties had ended, Mrs. Wrenn willfully and falsely misled her husband to believe she had been threatened and forced to remain involved with Plaintiff for fear of retaliation</w:t>
      </w:r>
      <w:r>
        <w:t>….</w:t>
      </w:r>
      <w:r w:rsidRPr="003D716B">
        <w:t xml:space="preserve"> </w:t>
      </w:r>
    </w:p>
    <w:p w14:paraId="5CBE3310" w14:textId="77777777" w:rsidR="001F4CDF" w:rsidRDefault="001F4CDF" w:rsidP="001F4CDF">
      <w:pPr>
        <w:pStyle w:val="NoSpacing"/>
        <w:ind w:left="720"/>
      </w:pPr>
    </w:p>
    <w:p w14:paraId="07B9CF46" w14:textId="77777777" w:rsidR="001F4CDF" w:rsidRDefault="001F4CDF" w:rsidP="001F4CDF">
      <w:pPr>
        <w:pStyle w:val="NoSpacing"/>
        <w:ind w:left="720"/>
      </w:pPr>
      <w:r>
        <w:t>***</w:t>
      </w:r>
    </w:p>
    <w:p w14:paraId="7E515777" w14:textId="77777777" w:rsidR="001F4CDF" w:rsidRPr="005709ED" w:rsidRDefault="001F4CDF" w:rsidP="001F4CDF">
      <w:pPr>
        <w:pStyle w:val="NoSpacing"/>
        <w:ind w:left="720"/>
      </w:pPr>
      <w:r>
        <w:t>‘</w:t>
      </w:r>
      <w:r w:rsidRPr="005709ED">
        <w:t>Plaintiff received a pre-disciplinary conference notice on May 10, 2023. He was denied an attorney again. He filed a formal complaint against Fire Chief Tommy Cole for retaliation with the City Manager, Megan Garner.</w:t>
      </w:r>
      <w:r>
        <w:t>’ …</w:t>
      </w:r>
      <w:r w:rsidRPr="005709ED">
        <w:t xml:space="preserve"> Nonetheless: </w:t>
      </w:r>
      <w:r>
        <w:t xml:space="preserve">  </w:t>
      </w:r>
      <w:r w:rsidRPr="005709ED">
        <w:t xml:space="preserve">On May 17, 2023, Plaintiff was placed on paid administrative leave and was terminated via email after 8:00 pm that evening. Mrs. Wrenn was contacted that same day by the City of Graham and advised of his termination. He </w:t>
      </w:r>
      <w:proofErr w:type="gramStart"/>
      <w:r w:rsidRPr="005709ED">
        <w:t>appealed</w:t>
      </w:r>
      <w:proofErr w:type="gramEnd"/>
      <w:r w:rsidRPr="005709ED">
        <w:t xml:space="preserve"> the termination. [City Manager] Garner was the person who presided over his appeals hearing and made the decision to uphold his termination.</w:t>
      </w:r>
      <w:r>
        <w:t xml:space="preserve">” </w:t>
      </w:r>
    </w:p>
    <w:p w14:paraId="1195626D" w14:textId="77777777" w:rsidR="001F4CDF" w:rsidRPr="003D716B" w:rsidRDefault="001F4CDF" w:rsidP="001F4CDF">
      <w:pPr>
        <w:pStyle w:val="NoSpacing"/>
        <w:ind w:left="720"/>
      </w:pPr>
    </w:p>
    <w:p w14:paraId="2AED9C2E" w14:textId="77777777" w:rsidR="001F4CDF" w:rsidRPr="00E415CE" w:rsidRDefault="001F4CDF" w:rsidP="001F4CDF">
      <w:pPr>
        <w:pStyle w:val="NoSpacing"/>
        <w:rPr>
          <w:b/>
          <w:bCs/>
        </w:rPr>
      </w:pPr>
      <w:r>
        <w:rPr>
          <w:b/>
        </w:rPr>
        <w:t xml:space="preserve">Legal lesson learned:  Affair can lead to ugly allegations and internal investigations. </w:t>
      </w:r>
    </w:p>
    <w:p w14:paraId="788D6D78" w14:textId="77777777" w:rsidR="001F4CDF" w:rsidRDefault="001F4CDF" w:rsidP="001F4CDF">
      <w:pPr>
        <w:pStyle w:val="NoSpacing"/>
        <w:ind w:left="720"/>
      </w:pPr>
    </w:p>
    <w:p w14:paraId="4CAA8A56" w14:textId="77777777" w:rsidR="00D11FFB" w:rsidRDefault="00D11FFB" w:rsidP="002F7727">
      <w:pPr>
        <w:pStyle w:val="NoSpacing"/>
        <w:rPr>
          <w:rFonts w:ascii="Arial Black" w:hAnsi="Arial Black"/>
          <w:b/>
          <w:sz w:val="24"/>
          <w:szCs w:val="24"/>
        </w:rPr>
      </w:pPr>
    </w:p>
    <w:p w14:paraId="5195B3FD" w14:textId="1C282F47" w:rsidR="002F7727" w:rsidRDefault="002F7727" w:rsidP="002F7727">
      <w:pPr>
        <w:pStyle w:val="NoSpacing"/>
        <w:rPr>
          <w:rFonts w:ascii="Arial Black" w:hAnsi="Arial Black"/>
          <w:b/>
          <w:sz w:val="24"/>
          <w:szCs w:val="24"/>
        </w:rPr>
      </w:pPr>
      <w:r>
        <w:rPr>
          <w:rFonts w:ascii="Arial Black" w:hAnsi="Arial Black"/>
          <w:b/>
          <w:sz w:val="24"/>
          <w:szCs w:val="24"/>
        </w:rPr>
        <w:t>16-13</w:t>
      </w:r>
      <w:r w:rsidR="00D11FFB">
        <w:rPr>
          <w:rFonts w:ascii="Arial Black" w:hAnsi="Arial Black"/>
          <w:b/>
          <w:sz w:val="24"/>
          <w:szCs w:val="24"/>
        </w:rPr>
        <w:t>6</w:t>
      </w:r>
    </w:p>
    <w:p w14:paraId="39E749BB" w14:textId="77777777" w:rsidR="002F7727" w:rsidRDefault="002F7727" w:rsidP="008F4B50">
      <w:pPr>
        <w:pStyle w:val="NoSpacing"/>
        <w:rPr>
          <w:rFonts w:ascii="Arial Black" w:hAnsi="Arial Black"/>
          <w:sz w:val="28"/>
          <w:szCs w:val="28"/>
        </w:rPr>
      </w:pPr>
    </w:p>
    <w:p w14:paraId="20A5B6C5" w14:textId="0479249E" w:rsidR="008F4B50" w:rsidRDefault="008F4B50" w:rsidP="008F4B50">
      <w:pPr>
        <w:pStyle w:val="NoSpacing"/>
        <w:rPr>
          <w:rFonts w:ascii="Arial Black" w:hAnsi="Arial Black"/>
          <w:sz w:val="28"/>
          <w:szCs w:val="28"/>
        </w:rPr>
      </w:pPr>
      <w:r>
        <w:rPr>
          <w:rFonts w:ascii="Arial Black" w:hAnsi="Arial Black"/>
          <w:sz w:val="28"/>
          <w:szCs w:val="28"/>
        </w:rPr>
        <w:t xml:space="preserve">FL: FORMER CHIEF – SEX </w:t>
      </w:r>
      <w:r w:rsidR="0061722F">
        <w:rPr>
          <w:rFonts w:ascii="Arial Black" w:hAnsi="Arial Black"/>
          <w:sz w:val="28"/>
          <w:szCs w:val="28"/>
        </w:rPr>
        <w:t xml:space="preserve">WITH </w:t>
      </w:r>
      <w:r>
        <w:rPr>
          <w:rFonts w:ascii="Arial Black" w:hAnsi="Arial Black"/>
          <w:sz w:val="28"/>
          <w:szCs w:val="28"/>
        </w:rPr>
        <w:t>HIS MINOR CHILD – LIFE PRISON</w:t>
      </w:r>
    </w:p>
    <w:p w14:paraId="10615D7D" w14:textId="77777777" w:rsidR="008F4B50" w:rsidRDefault="008F4B50" w:rsidP="008F4B50">
      <w:pPr>
        <w:pStyle w:val="NoSpacing"/>
      </w:pPr>
    </w:p>
    <w:p w14:paraId="024C478D" w14:textId="77777777" w:rsidR="008F4B50" w:rsidRDefault="008F4B50" w:rsidP="008F4B50">
      <w:pPr>
        <w:pStyle w:val="NoSpacing"/>
      </w:pPr>
      <w:r>
        <w:t xml:space="preserve">On September 4, 2025, in </w:t>
      </w:r>
      <w:r w:rsidRPr="006B7EF4">
        <w:rPr>
          <w:u w:val="single"/>
        </w:rPr>
        <w:t>Jamie Douglas Geer v. Secretary, Department of Corrections</w:t>
      </w:r>
      <w:r>
        <w:t xml:space="preserve">, </w:t>
      </w:r>
      <w:r w:rsidRPr="006B7EF4">
        <w:t>U</w:t>
      </w:r>
      <w:r>
        <w:t>.</w:t>
      </w:r>
      <w:r w:rsidRPr="006B7EF4">
        <w:t xml:space="preserve">S. District </w:t>
      </w:r>
      <w:r>
        <w:t>Court Judge Kathryn Kimball Mizelle, United States District Court for Middle District of Florida (Tampa Division) held that Geer, former Fire Chief of City of Clearwater, is denied habeas corpus and must serve sentence of life in prison in Florida prison.</w:t>
      </w:r>
    </w:p>
    <w:p w14:paraId="4361961C" w14:textId="77777777" w:rsidR="008F4B50" w:rsidRDefault="008F4B50" w:rsidP="008F4B50">
      <w:pPr>
        <w:pStyle w:val="NoSpacing"/>
      </w:pPr>
    </w:p>
    <w:p w14:paraId="11C87842" w14:textId="77777777" w:rsidR="008F4B50" w:rsidRDefault="008F4B50" w:rsidP="008F4B50">
      <w:pPr>
        <w:pStyle w:val="NoSpacing"/>
      </w:pPr>
      <w:r w:rsidRPr="00D70E6E">
        <w:rPr>
          <w:b/>
        </w:rPr>
        <w:t>THE COURT HELD</w:t>
      </w:r>
      <w:r>
        <w:t>:  “</w:t>
      </w:r>
      <w:r w:rsidRPr="003802F4">
        <w:t>Geer, a Florida prisoner, timely filed a pro se second amended petition for writ of habeas corpus under 28 U.S.C. § 2254</w:t>
      </w:r>
      <w:r>
        <w:t xml:space="preserve">…. </w:t>
      </w:r>
      <w:r w:rsidRPr="003802F4">
        <w:t>Also, Geer moved for an evidentiary hearing</w:t>
      </w:r>
      <w:r>
        <w:t xml:space="preserve">…. </w:t>
      </w:r>
      <w:r w:rsidRPr="003802F4">
        <w:t xml:space="preserve">Having considered the second amended </w:t>
      </w:r>
      <w:proofErr w:type="gramStart"/>
      <w:r w:rsidRPr="003802F4">
        <w:t>petition,</w:t>
      </w:r>
      <w:r>
        <w:t>…</w:t>
      </w:r>
      <w:proofErr w:type="gramEnd"/>
      <w:r>
        <w:t xml:space="preserve"> </w:t>
      </w:r>
      <w:r w:rsidRPr="003802F4">
        <w:t>the response in opposition</w:t>
      </w:r>
      <w:r>
        <w:t xml:space="preserve"> … </w:t>
      </w:r>
      <w:r w:rsidRPr="003802F4">
        <w:t>and the reply and the supplemental reply</w:t>
      </w:r>
      <w:r>
        <w:t xml:space="preserve"> … </w:t>
      </w:r>
      <w:r w:rsidRPr="003802F4">
        <w:t>the petition is denied</w:t>
      </w:r>
      <w:r>
        <w:t xml:space="preserve">.” </w:t>
      </w:r>
      <w:hyperlink r:id="rId2609" w:history="1">
        <w:r w:rsidRPr="00204094">
          <w:rPr>
            <w:rStyle w:val="Hyperlink"/>
          </w:rPr>
          <w:t>https://app.midpage.ai/document/geer-v-secretary-department-of-11133637?refG=true</w:t>
        </w:r>
      </w:hyperlink>
      <w:r>
        <w:t xml:space="preserve"> </w:t>
      </w:r>
    </w:p>
    <w:p w14:paraId="52BA3C6A" w14:textId="77777777" w:rsidR="008F4B50" w:rsidRDefault="008F4B50" w:rsidP="008F4B50">
      <w:pPr>
        <w:pStyle w:val="NoSpacing"/>
      </w:pPr>
    </w:p>
    <w:p w14:paraId="4DAC9070" w14:textId="77777777" w:rsidR="008F4B50" w:rsidRPr="003802F4" w:rsidRDefault="008F4B50" w:rsidP="008F4B50">
      <w:pPr>
        <w:pStyle w:val="NoSpacing"/>
        <w:rPr>
          <w:b/>
          <w:bCs/>
        </w:rPr>
      </w:pPr>
      <w:r w:rsidRPr="003802F4">
        <w:rPr>
          <w:b/>
        </w:rPr>
        <w:t xml:space="preserve">KEY FACTS: </w:t>
      </w:r>
    </w:p>
    <w:p w14:paraId="702E0209" w14:textId="77777777" w:rsidR="008F4B50" w:rsidRDefault="008F4B50" w:rsidP="008F4B50">
      <w:pPr>
        <w:pStyle w:val="NoSpacing"/>
      </w:pPr>
    </w:p>
    <w:p w14:paraId="3010FBF2" w14:textId="77777777" w:rsidR="008F4B50" w:rsidRDefault="008F4B50" w:rsidP="008F4B50">
      <w:pPr>
        <w:pStyle w:val="NoSpacing"/>
        <w:ind w:left="720"/>
      </w:pPr>
      <w:r>
        <w:t>“</w:t>
      </w:r>
      <w:r w:rsidRPr="007139A8">
        <w:t>A state court jury convicted Geer of sexual battery, lewd and lascivious battery, and unlawful sexual activity with a minor</w:t>
      </w:r>
      <w:r>
        <w:t xml:space="preserve">…. </w:t>
      </w:r>
      <w:r w:rsidRPr="007139A8">
        <w:t>The state trial court sentenced him to life in prison for the sexual battery conviction, a concurrent fifteen years in prison for the lewd and lascivious battery conviction, and a consecutive fifteen years in prison for the unlawful sexual activity with a minor conviction</w:t>
      </w:r>
      <w:r>
        <w:t xml:space="preserve">…. </w:t>
      </w:r>
      <w:r w:rsidRPr="007139A8">
        <w:t>The state appellate court per curiam affirmed the convictions and sentences</w:t>
      </w:r>
      <w:r>
        <w:t>….</w:t>
      </w:r>
    </w:p>
    <w:p w14:paraId="169E4351" w14:textId="77777777" w:rsidR="008F4B50" w:rsidRDefault="008F4B50" w:rsidP="008F4B50">
      <w:pPr>
        <w:pStyle w:val="NoSpacing"/>
        <w:ind w:left="720"/>
      </w:pPr>
    </w:p>
    <w:p w14:paraId="50892A14" w14:textId="77777777" w:rsidR="008F4B50" w:rsidRDefault="008F4B50" w:rsidP="008F4B50">
      <w:pPr>
        <w:pStyle w:val="NoSpacing"/>
        <w:ind w:left="720"/>
      </w:pPr>
      <w:r>
        <w:t>***</w:t>
      </w:r>
    </w:p>
    <w:p w14:paraId="39202F30" w14:textId="77777777" w:rsidR="008F4B50" w:rsidRDefault="008F4B50" w:rsidP="008F4B50">
      <w:pPr>
        <w:pStyle w:val="NoSpacing"/>
        <w:ind w:left="720"/>
      </w:pPr>
      <w:r w:rsidRPr="002D71DC">
        <w:t xml:space="preserve">At trial, the victim, who was nineteen, testified that Geer began to engage in sexual activity with </w:t>
      </w:r>
      <w:r>
        <w:t>‘</w:t>
      </w:r>
      <w:r w:rsidRPr="002D71DC">
        <w:t>her when she was seven, began to engage in oral sex with her when she was eleven, and began to engage in vaginal sex with her when she was fifteen.</w:t>
      </w:r>
      <w:r>
        <w:t xml:space="preserve">’ </w:t>
      </w:r>
      <w:r w:rsidRPr="008E332A">
        <w:t>A state court jury convicted Geer</w:t>
      </w:r>
      <w:r>
        <w:t xml:space="preserve"> in 2012</w:t>
      </w:r>
      <w:r w:rsidRPr="008E332A">
        <w:t xml:space="preserve"> of sexual battery, lewd and lascivious battery, and unlawful sexual activity with a minor</w:t>
      </w:r>
      <w:r>
        <w:t xml:space="preserve"> (started at age 7)</w:t>
      </w:r>
      <w:r w:rsidRPr="008E332A">
        <w:t xml:space="preserve">. </w:t>
      </w:r>
      <w:r>
        <w:t>T</w:t>
      </w:r>
      <w:r w:rsidRPr="008E332A">
        <w:t>he state trial court sentenced him to life in prison for the sexual battery conviction, a concurrent fifteen years in prison for the lewd and lascivious battery conviction, and a consecutive fifteen years in prison for unlawful sexual activity with a minor conviction.</w:t>
      </w:r>
      <w:r>
        <w:t xml:space="preserve">” </w:t>
      </w:r>
    </w:p>
    <w:p w14:paraId="22BF09D3" w14:textId="77777777" w:rsidR="008F4B50" w:rsidRDefault="008F4B50" w:rsidP="008F4B50">
      <w:pPr>
        <w:pStyle w:val="NoSpacing"/>
      </w:pPr>
    </w:p>
    <w:p w14:paraId="15E89EC6" w14:textId="77777777" w:rsidR="008F4B50" w:rsidRPr="00827C25" w:rsidRDefault="008F4B50" w:rsidP="008F4B50">
      <w:pPr>
        <w:pStyle w:val="NoSpacing"/>
        <w:rPr>
          <w:b/>
        </w:rPr>
      </w:pPr>
      <w:r w:rsidRPr="00827C25">
        <w:rPr>
          <w:b/>
        </w:rPr>
        <w:t xml:space="preserve">Legal lesson learned: </w:t>
      </w:r>
      <w:r>
        <w:rPr>
          <w:b/>
        </w:rPr>
        <w:t xml:space="preserve">Terrible conduct; life in prison appropriate sentence. </w:t>
      </w:r>
    </w:p>
    <w:p w14:paraId="181FD179" w14:textId="77777777" w:rsidR="008F4B50" w:rsidRDefault="008F4B50" w:rsidP="008F4B50">
      <w:pPr>
        <w:pStyle w:val="NoSpacing"/>
        <w:ind w:left="720"/>
      </w:pPr>
    </w:p>
    <w:p w14:paraId="17B3C3A2" w14:textId="77777777" w:rsidR="008F4B50" w:rsidRPr="0040299C" w:rsidRDefault="008F4B50" w:rsidP="008F4B50">
      <w:pPr>
        <w:pStyle w:val="NoSpacing"/>
        <w:ind w:left="720"/>
        <w:rPr>
          <w:rFonts w:ascii="Arial Black" w:hAnsi="Arial Black"/>
          <w:b/>
          <w:sz w:val="28"/>
          <w:szCs w:val="28"/>
        </w:rPr>
      </w:pPr>
      <w:r>
        <w:t xml:space="preserve">Note: </w:t>
      </w:r>
      <w:r w:rsidRPr="00827C25">
        <w:t xml:space="preserve">See </w:t>
      </w:r>
      <w:r w:rsidRPr="0040299C">
        <w:t xml:space="preserve">April 27, </w:t>
      </w:r>
      <w:proofErr w:type="gramStart"/>
      <w:r w:rsidRPr="0040299C">
        <w:t>2012</w:t>
      </w:r>
      <w:proofErr w:type="gramEnd"/>
      <w:r w:rsidRPr="0040299C">
        <w:t xml:space="preserve"> article, “Ex-fire chief convicted in child sex abuse trial. A former Clearwater fire chief is going to prison for life for having sex with a minor</w:t>
      </w:r>
      <w:r>
        <w:t>.”</w:t>
      </w:r>
    </w:p>
    <w:p w14:paraId="6664EBED" w14:textId="77777777" w:rsidR="008F4B50" w:rsidRDefault="008F4B50" w:rsidP="008F4B50">
      <w:pPr>
        <w:pStyle w:val="NoSpacing"/>
        <w:ind w:left="720"/>
        <w:rPr>
          <w:b/>
        </w:rPr>
      </w:pPr>
      <w:hyperlink r:id="rId2610" w:history="1">
        <w:r w:rsidRPr="006219A0">
          <w:rPr>
            <w:rStyle w:val="Hyperlink"/>
            <w:b/>
          </w:rPr>
          <w:t>https://www.wtsp.com/article/news/local/ex-fire-chief-convicted-in-child-sex-abuse-trial/67-376283027</w:t>
        </w:r>
      </w:hyperlink>
      <w:r w:rsidRPr="00AB2879">
        <w:rPr>
          <w:b/>
        </w:rPr>
        <w:t xml:space="preserve"> </w:t>
      </w:r>
    </w:p>
    <w:p w14:paraId="48BBC747" w14:textId="77777777" w:rsidR="008F4B50" w:rsidRDefault="008F4B50" w:rsidP="008F4B50">
      <w:pPr>
        <w:pStyle w:val="NoSpacing"/>
        <w:ind w:left="720"/>
        <w:rPr>
          <w:bCs/>
        </w:rPr>
      </w:pPr>
    </w:p>
    <w:p w14:paraId="66D8C303" w14:textId="77777777" w:rsidR="008F4B50" w:rsidRPr="002376C5" w:rsidRDefault="008F4B50" w:rsidP="008F4B50">
      <w:pPr>
        <w:pStyle w:val="NoSpacing"/>
        <w:ind w:left="720"/>
        <w:rPr>
          <w:bCs/>
        </w:rPr>
      </w:pPr>
      <w:r>
        <w:t xml:space="preserve">See closing arguments [VIDEO]: </w:t>
      </w:r>
      <w:hyperlink r:id="rId2611" w:history="1">
        <w:r w:rsidRPr="00FE3641">
          <w:rPr>
            <w:rStyle w:val="Hyperlink"/>
          </w:rPr>
          <w:t>https://www.youtube.com/watch?v=J9a7dzpchr4</w:t>
        </w:r>
      </w:hyperlink>
      <w:r>
        <w:t xml:space="preserve"> </w:t>
      </w:r>
    </w:p>
    <w:p w14:paraId="24BE2A3A" w14:textId="77777777" w:rsidR="008F4B50" w:rsidRDefault="008F4B50" w:rsidP="008F4B50">
      <w:pPr>
        <w:pStyle w:val="NoSpacing"/>
        <w:ind w:left="720"/>
        <w:rPr>
          <w:bCs/>
        </w:rPr>
      </w:pPr>
    </w:p>
    <w:p w14:paraId="5137F7DA" w14:textId="11F90AC5" w:rsidR="002F7727" w:rsidRDefault="002F7727" w:rsidP="002F7727">
      <w:pPr>
        <w:pStyle w:val="NoSpacing"/>
        <w:rPr>
          <w:rFonts w:ascii="Arial Black" w:hAnsi="Arial Black"/>
          <w:b/>
          <w:sz w:val="24"/>
          <w:szCs w:val="24"/>
        </w:rPr>
      </w:pPr>
      <w:r>
        <w:rPr>
          <w:rFonts w:ascii="Arial Black" w:hAnsi="Arial Black"/>
          <w:b/>
          <w:sz w:val="24"/>
          <w:szCs w:val="24"/>
        </w:rPr>
        <w:t>16-13</w:t>
      </w:r>
      <w:r w:rsidR="00D11FFB">
        <w:rPr>
          <w:rFonts w:ascii="Arial Black" w:hAnsi="Arial Black"/>
          <w:b/>
          <w:sz w:val="24"/>
          <w:szCs w:val="24"/>
        </w:rPr>
        <w:t>5</w:t>
      </w:r>
    </w:p>
    <w:p w14:paraId="056E02E6" w14:textId="77777777" w:rsidR="00524648" w:rsidRDefault="00524648" w:rsidP="00F326E5">
      <w:pPr>
        <w:pStyle w:val="NoSpacing"/>
        <w:rPr>
          <w:rFonts w:ascii="Arial Black" w:hAnsi="Arial Black"/>
          <w:b/>
          <w:sz w:val="24"/>
          <w:szCs w:val="24"/>
        </w:rPr>
      </w:pPr>
    </w:p>
    <w:p w14:paraId="08BE13CD" w14:textId="2EE029D2" w:rsidR="00C222A8" w:rsidRPr="004F4C85" w:rsidRDefault="00C222A8" w:rsidP="00C222A8">
      <w:pPr>
        <w:pStyle w:val="NoSpacing"/>
        <w:rPr>
          <w:rFonts w:ascii="Arial Black" w:hAnsi="Arial Black"/>
          <w:sz w:val="28"/>
          <w:szCs w:val="28"/>
        </w:rPr>
      </w:pPr>
      <w:r>
        <w:rPr>
          <w:rFonts w:ascii="Arial Black" w:hAnsi="Arial Black"/>
          <w:sz w:val="28"/>
          <w:szCs w:val="28"/>
        </w:rPr>
        <w:t>LA: CAPT TRANF</w:t>
      </w:r>
      <w:r w:rsidR="0061722F">
        <w:rPr>
          <w:rFonts w:ascii="Arial Black" w:hAnsi="Arial Black"/>
          <w:sz w:val="28"/>
          <w:szCs w:val="28"/>
        </w:rPr>
        <w:t>ER</w:t>
      </w:r>
      <w:r>
        <w:rPr>
          <w:rFonts w:ascii="Arial Black" w:hAnsi="Arial Black"/>
          <w:sz w:val="28"/>
          <w:szCs w:val="28"/>
        </w:rPr>
        <w:t xml:space="preserve"> - NOT “DISCIPLINE” – FF BILL OF RIGHTS </w:t>
      </w:r>
    </w:p>
    <w:p w14:paraId="7F0A5D96" w14:textId="77777777" w:rsidR="00C222A8" w:rsidRDefault="00C222A8" w:rsidP="00C222A8">
      <w:pPr>
        <w:pStyle w:val="NoSpacing"/>
      </w:pPr>
    </w:p>
    <w:p w14:paraId="4BB53396" w14:textId="77777777" w:rsidR="00C222A8" w:rsidRDefault="00C222A8" w:rsidP="00C222A8">
      <w:pPr>
        <w:pStyle w:val="NoSpacing"/>
      </w:pPr>
      <w:r>
        <w:t xml:space="preserve">On Aug. 28, 2025, in </w:t>
      </w:r>
      <w:r w:rsidRPr="00AA47E1">
        <w:rPr>
          <w:u w:val="single"/>
        </w:rPr>
        <w:t>Marlan Hyde, Sr. v. New Orleans Fire Department</w:t>
      </w:r>
      <w:r>
        <w:t xml:space="preserve">, the </w:t>
      </w:r>
      <w:r w:rsidRPr="00D2578E">
        <w:t>Court of Appeals of Louisiana, Fourth Circuit</w:t>
      </w:r>
      <w:r>
        <w:t xml:space="preserve"> held (3 to 0) that the City Civil Service Commission properly held that the transfer from District Four to District Three, three months after the December 17, 2023 “physical altercation” with another fire captain, Craig Armant, was not a disciplinary action.   The pre-disciplinary hearing was conducted on March 20, 2024, and the FD decided to not issue any discipline, to avoid any violation of “60-day rule” of Louisiana Firefighters Bill of Rights Act. “Any investigation of a fire employee . . . shall be completed within sixty days, including the conducting of any pre-disciplinary hearing or conference.  </w:t>
      </w:r>
    </w:p>
    <w:p w14:paraId="0188D125" w14:textId="77777777" w:rsidR="00C222A8" w:rsidRDefault="00C222A8" w:rsidP="00C222A8">
      <w:pPr>
        <w:pStyle w:val="NoSpacing"/>
      </w:pPr>
    </w:p>
    <w:p w14:paraId="78CC2F23" w14:textId="77777777" w:rsidR="00C222A8" w:rsidRPr="00733C69" w:rsidRDefault="00C222A8" w:rsidP="00C222A8">
      <w:pPr>
        <w:pStyle w:val="NoSpacing"/>
        <w:rPr>
          <w:b/>
          <w:bCs/>
        </w:rPr>
      </w:pPr>
      <w:r w:rsidRPr="00733C69">
        <w:rPr>
          <w:b/>
        </w:rPr>
        <w:t xml:space="preserve">THE COURT HELD: </w:t>
      </w:r>
      <w:r>
        <w:t xml:space="preserve">In its October 3, </w:t>
      </w:r>
      <w:proofErr w:type="gramStart"/>
      <w:r>
        <w:t>2024</w:t>
      </w:r>
      <w:proofErr w:type="gramEnd"/>
      <w:r>
        <w:t xml:space="preserve"> decision, the Commission found that NOFD’s transfer of Hyde without any attendant loss in pay “[was] not discipline” under Civil Service Rule II, § 4.13 ‘so [he] has no right of appeal’  and denied Hyde’s civil service appeal. This appeal follows…. Accordingly, we find no error in the Commission’s determination that Hyde’s transfer was not disciplinary in nature, such that he had no right under Civil Service Rule II, § </w:t>
      </w:r>
      <w:proofErr w:type="gramStart"/>
      <w:r>
        <w:t>4.1</w:t>
      </w:r>
      <w:proofErr w:type="gramEnd"/>
      <w:r>
        <w:t xml:space="preserve"> to appeal the transfer. We find this assignment without merit… Hyde has failed to demonstrate that his transfer will cause him to suffer any negative effect. Accordingly, the Court finds that Hyde’s transfer does not amount to an adverse action under the Firefighters Bill of Rights.” </w:t>
      </w:r>
      <w:hyperlink r:id="rId2612" w:history="1">
        <w:r w:rsidRPr="00494FBC">
          <w:rPr>
            <w:rStyle w:val="Hyperlink"/>
            <w:b/>
          </w:rPr>
          <w:t>https://cases.justia.com/louisiana/fourth-circuit-court-of-appeal/2025-2025-ca-0114.pdf?ts=1756426619</w:t>
        </w:r>
      </w:hyperlink>
    </w:p>
    <w:p w14:paraId="4C39427C" w14:textId="77777777" w:rsidR="00C222A8" w:rsidRDefault="00C222A8" w:rsidP="00C222A8">
      <w:pPr>
        <w:pStyle w:val="NoSpacing"/>
      </w:pPr>
    </w:p>
    <w:p w14:paraId="4BB85C4C" w14:textId="77777777" w:rsidR="00C222A8" w:rsidRPr="00F86675" w:rsidRDefault="00C222A8" w:rsidP="00C222A8">
      <w:pPr>
        <w:pStyle w:val="NoSpacing"/>
        <w:rPr>
          <w:b/>
          <w:bCs/>
        </w:rPr>
      </w:pPr>
      <w:r w:rsidRPr="00F86675">
        <w:rPr>
          <w:b/>
        </w:rPr>
        <w:t xml:space="preserve">KEY FACTS: </w:t>
      </w:r>
    </w:p>
    <w:p w14:paraId="7AB9B3DC" w14:textId="77777777" w:rsidR="00C222A8" w:rsidRDefault="00C222A8" w:rsidP="00C222A8">
      <w:pPr>
        <w:pStyle w:val="NoSpacing"/>
      </w:pPr>
    </w:p>
    <w:p w14:paraId="41360079" w14:textId="77777777" w:rsidR="00C222A8" w:rsidRDefault="00C222A8" w:rsidP="00C222A8">
      <w:pPr>
        <w:pStyle w:val="NoSpacing"/>
        <w:ind w:left="720"/>
      </w:pPr>
      <w:r>
        <w:t>“On December 17, 2023, Hyde engaged in a physical altercation with another fire captain, Craig Armant (‘Captain Armant’), at a fire station in the Fourth District where they both worked. Following the altercation, NOFD initiated an investigation into the incident.</w:t>
      </w:r>
    </w:p>
    <w:p w14:paraId="4FBCFE0B" w14:textId="77777777" w:rsidR="00C222A8" w:rsidRDefault="00C222A8" w:rsidP="00C222A8">
      <w:pPr>
        <w:pStyle w:val="NoSpacing"/>
      </w:pPr>
    </w:p>
    <w:p w14:paraId="206ACEE7" w14:textId="77777777" w:rsidR="00C222A8" w:rsidRDefault="00C222A8" w:rsidP="00C222A8">
      <w:pPr>
        <w:pStyle w:val="NoSpacing"/>
      </w:pPr>
      <w:r>
        <w:tab/>
        <w:t>***</w:t>
      </w:r>
    </w:p>
    <w:p w14:paraId="3C9044C4" w14:textId="77777777" w:rsidR="00C222A8" w:rsidRDefault="00C222A8" w:rsidP="00C222A8">
      <w:pPr>
        <w:pStyle w:val="NoSpacing"/>
      </w:pPr>
    </w:p>
    <w:p w14:paraId="05AAECAC" w14:textId="77777777" w:rsidR="00C222A8" w:rsidRDefault="00C222A8" w:rsidP="00C222A8">
      <w:pPr>
        <w:pStyle w:val="NoSpacing"/>
        <w:ind w:left="720"/>
      </w:pPr>
      <w:r>
        <w:t xml:space="preserve">On January 24, 2024, NOFD charged Hyde with violating its departmental rule RR-25, which provides </w:t>
      </w:r>
      <w:proofErr w:type="gramStart"/>
      <w:r>
        <w:t>that, ‘[</w:t>
      </w:r>
      <w:proofErr w:type="gramEnd"/>
      <w:r>
        <w:t>t]</w:t>
      </w:r>
      <w:proofErr w:type="spellStart"/>
      <w:r>
        <w:t>hreats</w:t>
      </w:r>
      <w:proofErr w:type="spellEnd"/>
      <w:r>
        <w:t xml:space="preserve"> or acts of physical violence against the public or other members is strictly prohibited.’ A pre-disciplinary hearing was conducted on March 20, 2024. At the hearing, Hyde, through his representative, raised NOFD’s failure to complete the investigation into the December 17, </w:t>
      </w:r>
      <w:proofErr w:type="gramStart"/>
      <w:r>
        <w:t>2023</w:t>
      </w:r>
      <w:proofErr w:type="gramEnd"/>
      <w:r>
        <w:t xml:space="preserve"> incident within sixty days, as required by the Firefighters Bill of Rights, La. R.S.33:2181 et seq., and requested that the disciplinary matter be ‘thrown out immediately.’ The request was denied.</w:t>
      </w:r>
    </w:p>
    <w:p w14:paraId="09463151" w14:textId="77777777" w:rsidR="00C222A8" w:rsidRDefault="00C222A8" w:rsidP="00C222A8">
      <w:pPr>
        <w:pStyle w:val="NoSpacing"/>
        <w:ind w:left="720"/>
      </w:pPr>
    </w:p>
    <w:p w14:paraId="64DEB80E" w14:textId="77777777" w:rsidR="00C222A8" w:rsidRDefault="00C222A8" w:rsidP="00C222A8">
      <w:pPr>
        <w:pStyle w:val="NoSpacing"/>
        <w:ind w:left="720"/>
      </w:pPr>
      <w:r>
        <w:t>***</w:t>
      </w:r>
    </w:p>
    <w:p w14:paraId="4F47E3CD" w14:textId="77777777" w:rsidR="00C222A8" w:rsidRDefault="00C222A8" w:rsidP="00C222A8">
      <w:pPr>
        <w:pStyle w:val="NoSpacing"/>
        <w:ind w:left="720"/>
      </w:pPr>
      <w:r>
        <w:t xml:space="preserve">On March 25, 2024, Deputy Chief Larry White verbally informed Hyde that NOFD was transferring him to a fire station in the Third District. Hyde objected to the transfer and requested a meeting with the Superintendent of Fire of NOFD, Roman Nelson, to discuss the transfer. Superintendent Nelson and Deputy Superintendent of Operations Armand Bourdais met with Hyde and his representative the following day at fire headquarters. During this meeting, Superintendent Nelson informed Hyde that no disciplinary action would be taken against him for the December 17, </w:t>
      </w:r>
      <w:proofErr w:type="gramStart"/>
      <w:r>
        <w:t>2023</w:t>
      </w:r>
      <w:proofErr w:type="gramEnd"/>
      <w:r>
        <w:t xml:space="preserve"> incident, but that he was being transferred due to safety concerns.</w:t>
      </w:r>
    </w:p>
    <w:p w14:paraId="13FB0CD6" w14:textId="77777777" w:rsidR="00C222A8" w:rsidRDefault="00C222A8" w:rsidP="00C222A8">
      <w:pPr>
        <w:pStyle w:val="NoSpacing"/>
        <w:ind w:left="720"/>
      </w:pPr>
    </w:p>
    <w:p w14:paraId="21282DA9" w14:textId="77777777" w:rsidR="00C222A8" w:rsidRDefault="00C222A8" w:rsidP="00C222A8">
      <w:pPr>
        <w:pStyle w:val="NoSpacing"/>
        <w:ind w:left="720"/>
      </w:pPr>
      <w:r>
        <w:t>***</w:t>
      </w:r>
    </w:p>
    <w:p w14:paraId="1D6C5D8D" w14:textId="77777777" w:rsidR="00C222A8" w:rsidRDefault="00C222A8" w:rsidP="00C222A8">
      <w:pPr>
        <w:pStyle w:val="NoSpacing"/>
      </w:pPr>
    </w:p>
    <w:p w14:paraId="614DA3B1" w14:textId="77777777" w:rsidR="00C222A8" w:rsidRDefault="00C222A8" w:rsidP="00C222A8">
      <w:pPr>
        <w:pStyle w:val="NoSpacing"/>
        <w:ind w:left="720"/>
      </w:pPr>
      <w:r>
        <w:lastRenderedPageBreak/>
        <w:t>Hyde was transferred to the Third District effective March 28, 2024. NOFD issued a letter to Hyde on April 18, 2024, informing him that no action would be taken against him due to the expiration of the 60-day period set forth in the Firefighters Bill of Rights.”</w:t>
      </w:r>
    </w:p>
    <w:p w14:paraId="7A8DA35A" w14:textId="77777777" w:rsidR="00C222A8" w:rsidRDefault="00C222A8" w:rsidP="00C222A8">
      <w:pPr>
        <w:pStyle w:val="NoSpacing"/>
        <w:ind w:left="720"/>
      </w:pPr>
    </w:p>
    <w:p w14:paraId="26C09CAC" w14:textId="77777777" w:rsidR="00C222A8" w:rsidRDefault="00C222A8" w:rsidP="00C222A8">
      <w:pPr>
        <w:pStyle w:val="NoSpacing"/>
        <w:ind w:left="720"/>
      </w:pPr>
    </w:p>
    <w:p w14:paraId="46473864" w14:textId="622D5839" w:rsidR="00C222A8" w:rsidRDefault="00C222A8" w:rsidP="00C222A8">
      <w:pPr>
        <w:pStyle w:val="NoSpacing"/>
        <w:rPr>
          <w:b/>
          <w:bCs/>
        </w:rPr>
      </w:pPr>
      <w:r>
        <w:rPr>
          <w:b/>
        </w:rPr>
        <w:t xml:space="preserve">Legal lesson learned: Transfer to another station is not </w:t>
      </w:r>
      <w:proofErr w:type="gramStart"/>
      <w:r>
        <w:rPr>
          <w:b/>
        </w:rPr>
        <w:t>discipline</w:t>
      </w:r>
      <w:proofErr w:type="gramEnd"/>
      <w:r>
        <w:rPr>
          <w:b/>
        </w:rPr>
        <w:t xml:space="preserve"> in violation of the state’s </w:t>
      </w:r>
      <w:r w:rsidRPr="00A94B6A">
        <w:rPr>
          <w:b/>
        </w:rPr>
        <w:t>Firefighters Bill of Rights</w:t>
      </w:r>
      <w:r w:rsidR="00E73B34">
        <w:rPr>
          <w:b/>
        </w:rPr>
        <w:t xml:space="preserve">. </w:t>
      </w:r>
    </w:p>
    <w:p w14:paraId="354B403A" w14:textId="77777777" w:rsidR="00C222A8" w:rsidRDefault="00C222A8" w:rsidP="00C222A8">
      <w:pPr>
        <w:pStyle w:val="NoSpacing"/>
        <w:rPr>
          <w:b/>
          <w:bCs/>
        </w:rPr>
      </w:pPr>
    </w:p>
    <w:p w14:paraId="23672FA5" w14:textId="77777777" w:rsidR="00D11FFB" w:rsidRDefault="00D11FFB" w:rsidP="002F7727">
      <w:pPr>
        <w:pStyle w:val="NoSpacing"/>
        <w:rPr>
          <w:rFonts w:ascii="Arial Black" w:hAnsi="Arial Black"/>
          <w:b/>
          <w:sz w:val="24"/>
          <w:szCs w:val="24"/>
        </w:rPr>
      </w:pPr>
    </w:p>
    <w:p w14:paraId="4449F8A5" w14:textId="158B7DD6" w:rsidR="002F7727" w:rsidRDefault="00075CD4" w:rsidP="002F7727">
      <w:pPr>
        <w:pStyle w:val="NoSpacing"/>
        <w:rPr>
          <w:rFonts w:ascii="Arial Black" w:hAnsi="Arial Black"/>
          <w:b/>
          <w:sz w:val="24"/>
          <w:szCs w:val="24"/>
        </w:rPr>
      </w:pPr>
      <w:r>
        <w:rPr>
          <w:rFonts w:ascii="Arial Black" w:hAnsi="Arial Black"/>
          <w:b/>
          <w:sz w:val="24"/>
          <w:szCs w:val="24"/>
        </w:rPr>
        <w:t>16-134</w:t>
      </w:r>
    </w:p>
    <w:p w14:paraId="0D8C1A27" w14:textId="77777777" w:rsidR="00140433" w:rsidRDefault="00140433" w:rsidP="002F7727">
      <w:pPr>
        <w:pStyle w:val="NoSpacing"/>
        <w:rPr>
          <w:rFonts w:ascii="Arial Black" w:hAnsi="Arial Black"/>
          <w:b/>
          <w:sz w:val="24"/>
          <w:szCs w:val="24"/>
        </w:rPr>
      </w:pPr>
    </w:p>
    <w:p w14:paraId="3656767C" w14:textId="77777777" w:rsidR="00140433" w:rsidRPr="00A63A50" w:rsidRDefault="00140433" w:rsidP="00140433">
      <w:pPr>
        <w:rPr>
          <w:rFonts w:ascii="Arial Black" w:hAnsi="Arial Black"/>
          <w:sz w:val="28"/>
          <w:szCs w:val="28"/>
        </w:rPr>
      </w:pPr>
      <w:r>
        <w:rPr>
          <w:rFonts w:ascii="Arial Black" w:hAnsi="Arial Black"/>
          <w:sz w:val="28"/>
          <w:szCs w:val="28"/>
        </w:rPr>
        <w:t>AR: FACEBOOK - FIRED – “BALANCING” - CASE TO TRIAL</w:t>
      </w:r>
    </w:p>
    <w:p w14:paraId="4DC2725C" w14:textId="77777777" w:rsidR="00075CD4" w:rsidRDefault="00075CD4" w:rsidP="00075CD4">
      <w:pPr>
        <w:pStyle w:val="NoSpacing"/>
      </w:pPr>
      <w:r>
        <w:t xml:space="preserve">On Aug. 13, 2025, in </w:t>
      </w:r>
      <w:r w:rsidRPr="00642A93">
        <w:rPr>
          <w:u w:val="single"/>
        </w:rPr>
        <w:t>Steven Melton v. City of Forrest City</w:t>
      </w:r>
      <w:r w:rsidRPr="00423BB5">
        <w:t xml:space="preserve">, </w:t>
      </w:r>
      <w:r>
        <w:t>the United States Court of Appeals for the 8</w:t>
      </w:r>
      <w:r w:rsidRPr="00751559">
        <w:rPr>
          <w:vertAlign w:val="superscript"/>
        </w:rPr>
        <w:t>th</w:t>
      </w:r>
      <w:r>
        <w:t xml:space="preserve"> Circuit (St. Louis) held (3 to 0) that the trial court improperly granted summary judgement to the city’ the pro-life firefighter is entitled to a jury trial.  Under the U.S. Supreme Court’s </w:t>
      </w:r>
      <w:r w:rsidRPr="004E09A7">
        <w:rPr>
          <w:i/>
          <w:iCs/>
        </w:rPr>
        <w:t>Pickering</w:t>
      </w:r>
      <w:r>
        <w:t xml:space="preserve"> “balancing” decision, the Facebook posting caused little disruption to the fire department during the two weeks it was posted, but the </w:t>
      </w:r>
      <w:proofErr w:type="gramStart"/>
      <w:r>
        <w:t>Mayor</w:t>
      </w:r>
      <w:proofErr w:type="gramEnd"/>
      <w:r>
        <w:t xml:space="preserve"> feared great community outrage. THE COURT WROTE: “Does a Forrest City fireman who lost his job because he posted a provocative image on his personal Facebook page have a First Amendment retaliation claim that can get to a jury? We conclude that he does…. Steven Melton is a pro-life, evangelical Christian. In June 2020, he reposted a black-and-white image on Facebook [see posting in this decision] that depicted a silhouette of a baby in the womb with a rope around its neck. His intent was to convey that he was ‘anti-abortion.’  … The problem is that there was no showing that Melton’s post had an impact  on the fire department itself. No current firefighter complained or confronted him about it. Nor did any co-worker or supervisor refuse to work with him.” </w:t>
      </w:r>
      <w:hyperlink r:id="rId2613" w:history="1">
        <w:r w:rsidRPr="009C046C">
          <w:rPr>
            <w:rStyle w:val="Hyperlink"/>
          </w:rPr>
          <w:t>https://cases.justia.com/federal/appellate-courts/ca8/23-3398/23-3398-2025-08-13.pdf?ts=1755099027</w:t>
        </w:r>
      </w:hyperlink>
      <w:r>
        <w:t xml:space="preserve"> </w:t>
      </w:r>
    </w:p>
    <w:p w14:paraId="37AA167A" w14:textId="77777777" w:rsidR="00075CD4" w:rsidRDefault="00075CD4" w:rsidP="00075CD4">
      <w:pPr>
        <w:pStyle w:val="NoSpacing"/>
      </w:pPr>
    </w:p>
    <w:p w14:paraId="132D251C" w14:textId="77777777" w:rsidR="00075CD4" w:rsidRDefault="00075CD4" w:rsidP="00075CD4">
      <w:r>
        <w:t>THE COURT HELD:</w:t>
      </w:r>
    </w:p>
    <w:p w14:paraId="45F54E08" w14:textId="77777777" w:rsidR="00075CD4" w:rsidRDefault="00075CD4" w:rsidP="00075CD4">
      <w:pPr>
        <w:pStyle w:val="NoSpacing"/>
        <w:ind w:left="720"/>
      </w:pPr>
      <w:r>
        <w:t xml:space="preserve">“Two weeks after he posted it, a retired fire-department supervisor complained to Melton that he thought it looked like a noose around the neck of a black child. It upset him because the caption of the image, ‘I can’t </w:t>
      </w:r>
      <w:proofErr w:type="gramStart"/>
      <w:r>
        <w:t>breathe!,</w:t>
      </w:r>
      <w:proofErr w:type="gramEnd"/>
      <w:r>
        <w:t>’ was associated with the protests surrounding George Floyd’s death. Melton agreed to delete it immediately.</w:t>
      </w:r>
    </w:p>
    <w:p w14:paraId="6EBF5ED9" w14:textId="77777777" w:rsidR="00075CD4" w:rsidRDefault="00075CD4" w:rsidP="00075CD4">
      <w:pPr>
        <w:pStyle w:val="NoSpacing"/>
      </w:pPr>
    </w:p>
    <w:p w14:paraId="3EA691C9" w14:textId="77777777" w:rsidR="00075CD4" w:rsidRDefault="00075CD4" w:rsidP="00075CD4">
      <w:pPr>
        <w:pStyle w:val="NoSpacing"/>
        <w:ind w:left="720"/>
      </w:pPr>
      <w:r>
        <w:t>Deleting it was not enough for Mayor Cedric Williams, who called him into his office the next day. Although Melton was ‘apologetic,’ the mayor placed him on administrative leave pending an investigation. After a single day reviewing Melton’s Facebook page and discussing the post with the current fire chief, two retired firefighters, several attorneys, and a human-resources officer, the mayor decided to fire Melton over the image’s ‘egregious nature.’</w:t>
      </w:r>
    </w:p>
    <w:p w14:paraId="173395AD" w14:textId="77777777" w:rsidR="00075CD4" w:rsidRDefault="00075CD4" w:rsidP="00075CD4">
      <w:pPr>
        <w:pStyle w:val="NoSpacing"/>
        <w:ind w:left="720"/>
      </w:pPr>
    </w:p>
    <w:p w14:paraId="3101D688" w14:textId="77777777" w:rsidR="00075CD4" w:rsidRDefault="00075CD4" w:rsidP="00075CD4">
      <w:pPr>
        <w:pStyle w:val="NoSpacing"/>
        <w:ind w:left="720"/>
      </w:pPr>
      <w:r>
        <w:t>He was concerned about the ‘huge firestorm’ it had created. Among other things, the fire chief’s phone had been ‘blowing up,’ ‘several’ police officers had become ‘very upset,’ and the ‘phone lines’ were jammed with calls from angry city-council members and citizens. Some said that Melton ‘should not be a part of the . . . fire department responding to calls.’  A few even said that they did not want ‘him coming to their house . . . for a medical call or fire emergency.”’ According to the mayor, these complaints ‘threaten[ed] the City’s ability to administer public services.’</w:t>
      </w:r>
    </w:p>
    <w:p w14:paraId="2E8FDA3A" w14:textId="77777777" w:rsidR="00075CD4" w:rsidRDefault="00075CD4" w:rsidP="00075CD4">
      <w:pPr>
        <w:pStyle w:val="NoSpacing"/>
        <w:ind w:left="720"/>
      </w:pPr>
    </w:p>
    <w:p w14:paraId="5FB3AD19" w14:textId="77777777" w:rsidR="00075CD4" w:rsidRDefault="00075CD4" w:rsidP="00075CD4">
      <w:pPr>
        <w:pStyle w:val="NoSpacing"/>
        <w:ind w:left="720"/>
      </w:pPr>
      <w:r>
        <w:t>Melton found out about the decision to fire him from the local news. In response to a ‘media request,’ Mayor Williams had issued a press release stating that ‘[q]</w:t>
      </w:r>
      <w:proofErr w:type="spellStart"/>
      <w:r>
        <w:t>uestionable</w:t>
      </w:r>
      <w:proofErr w:type="spellEnd"/>
      <w:r>
        <w:t xml:space="preserve"> social[-]media posts’ had led to his termination. It marked the end of his ‘four and a half years’ of ‘unblemished’ service.”</w:t>
      </w:r>
    </w:p>
    <w:p w14:paraId="0B04839C" w14:textId="77777777" w:rsidR="00075CD4" w:rsidRDefault="00075CD4" w:rsidP="00075CD4">
      <w:pPr>
        <w:pStyle w:val="NoSpacing"/>
        <w:ind w:left="720"/>
      </w:pPr>
    </w:p>
    <w:p w14:paraId="47399DE3" w14:textId="77777777" w:rsidR="00075CD4" w:rsidRDefault="00075CD4" w:rsidP="00075CD4">
      <w:pPr>
        <w:pStyle w:val="NoSpacing"/>
        <w:rPr>
          <w:b/>
          <w:bCs/>
        </w:rPr>
      </w:pPr>
      <w:r w:rsidRPr="0057733E">
        <w:rPr>
          <w:b/>
        </w:rPr>
        <w:t xml:space="preserve">Legal lesson learned: </w:t>
      </w:r>
      <w:r>
        <w:rPr>
          <w:b/>
        </w:rPr>
        <w:t>Emergency responders must be extremely careful in their social media posts; we are living in a hyper-sensitive age.</w:t>
      </w:r>
    </w:p>
    <w:p w14:paraId="086AD95F" w14:textId="77777777" w:rsidR="00075CD4" w:rsidRDefault="00075CD4" w:rsidP="00075CD4">
      <w:pPr>
        <w:pStyle w:val="NoSpacing"/>
        <w:rPr>
          <w:b/>
          <w:bCs/>
        </w:rPr>
      </w:pPr>
    </w:p>
    <w:p w14:paraId="0621C511" w14:textId="77777777" w:rsidR="00075CD4" w:rsidRPr="0059407F" w:rsidRDefault="00075CD4" w:rsidP="00075CD4">
      <w:pPr>
        <w:pStyle w:val="NoSpacing"/>
        <w:ind w:left="720"/>
        <w:rPr>
          <w:bCs/>
        </w:rPr>
      </w:pPr>
      <w:r>
        <w:lastRenderedPageBreak/>
        <w:t xml:space="preserve">Note: See Nov. 12, </w:t>
      </w:r>
      <w:proofErr w:type="gramStart"/>
      <w:r>
        <w:t>2025</w:t>
      </w:r>
      <w:proofErr w:type="gramEnd"/>
      <w:r>
        <w:t xml:space="preserve"> article: </w:t>
      </w:r>
      <w:r w:rsidRPr="0059407F">
        <w:t>Toledo fire lieutenant fired after investigation into social media post about Charlie Kirk</w:t>
      </w:r>
      <w:r>
        <w:t xml:space="preserve">. </w:t>
      </w:r>
      <w:hyperlink r:id="rId2614" w:history="1">
        <w:r w:rsidRPr="009C046C">
          <w:rPr>
            <w:rStyle w:val="Hyperlink"/>
          </w:rPr>
          <w:t>https://www.wtol.com/article/news/local/toledo-fire-lieutenant-fired-investigation-social-media-post-about-charlie-kirk/512-599961fb-9233-4ebc-8628-cfa2b96c7722</w:t>
        </w:r>
      </w:hyperlink>
      <w:r>
        <w:t xml:space="preserve"> </w:t>
      </w:r>
    </w:p>
    <w:p w14:paraId="5891CF74" w14:textId="77777777" w:rsidR="00075CD4" w:rsidRPr="0059407F" w:rsidRDefault="00075CD4" w:rsidP="00075CD4">
      <w:pPr>
        <w:pStyle w:val="NoSpacing"/>
        <w:rPr>
          <w:bCs/>
        </w:rPr>
      </w:pPr>
      <w:r w:rsidRPr="0059407F">
        <w:t xml:space="preserve"> </w:t>
      </w:r>
    </w:p>
    <w:p w14:paraId="099BF3AC" w14:textId="77777777" w:rsidR="00075CD4" w:rsidRDefault="00075CD4" w:rsidP="002F7727">
      <w:pPr>
        <w:pStyle w:val="NoSpacing"/>
        <w:rPr>
          <w:rFonts w:ascii="Arial Black" w:hAnsi="Arial Black"/>
          <w:b/>
          <w:sz w:val="24"/>
          <w:szCs w:val="24"/>
        </w:rPr>
      </w:pPr>
    </w:p>
    <w:p w14:paraId="2B58F3C1" w14:textId="77777777" w:rsidR="00075CD4" w:rsidRDefault="00075CD4" w:rsidP="002F7727">
      <w:pPr>
        <w:pStyle w:val="NoSpacing"/>
        <w:rPr>
          <w:rFonts w:ascii="Arial Black" w:hAnsi="Arial Black"/>
          <w:b/>
          <w:sz w:val="24"/>
          <w:szCs w:val="24"/>
        </w:rPr>
      </w:pPr>
    </w:p>
    <w:p w14:paraId="29F44B31" w14:textId="77777777" w:rsidR="00075CD4" w:rsidRDefault="00075CD4" w:rsidP="002F7727">
      <w:pPr>
        <w:pStyle w:val="NoSpacing"/>
        <w:rPr>
          <w:rFonts w:ascii="Arial Black" w:hAnsi="Arial Black"/>
          <w:b/>
          <w:sz w:val="24"/>
          <w:szCs w:val="24"/>
        </w:rPr>
      </w:pPr>
    </w:p>
    <w:p w14:paraId="2DB36602" w14:textId="77777777" w:rsidR="00075CD4" w:rsidRDefault="00075CD4" w:rsidP="002F7727">
      <w:pPr>
        <w:pStyle w:val="NoSpacing"/>
        <w:rPr>
          <w:rFonts w:ascii="Arial Black" w:hAnsi="Arial Black"/>
          <w:b/>
          <w:sz w:val="24"/>
          <w:szCs w:val="24"/>
        </w:rPr>
      </w:pPr>
    </w:p>
    <w:p w14:paraId="4C115D60" w14:textId="77777777" w:rsidR="002F7727" w:rsidRDefault="002F7727" w:rsidP="002F7727">
      <w:pPr>
        <w:pStyle w:val="NoSpacing"/>
        <w:rPr>
          <w:rFonts w:ascii="Arial Black" w:hAnsi="Arial Black"/>
          <w:b/>
          <w:sz w:val="24"/>
          <w:szCs w:val="24"/>
        </w:rPr>
      </w:pPr>
    </w:p>
    <w:p w14:paraId="0932CFD9" w14:textId="64D4A02A" w:rsidR="002F7727" w:rsidRDefault="002F7727" w:rsidP="002F7727">
      <w:pPr>
        <w:pStyle w:val="NoSpacing"/>
        <w:rPr>
          <w:rFonts w:ascii="Arial Black" w:hAnsi="Arial Black"/>
          <w:b/>
          <w:sz w:val="24"/>
          <w:szCs w:val="24"/>
        </w:rPr>
      </w:pPr>
      <w:r>
        <w:rPr>
          <w:rFonts w:ascii="Arial Black" w:hAnsi="Arial Black"/>
          <w:b/>
          <w:sz w:val="24"/>
          <w:szCs w:val="24"/>
        </w:rPr>
        <w:t>16-133</w:t>
      </w:r>
    </w:p>
    <w:p w14:paraId="22EBBA21" w14:textId="77777777" w:rsidR="00C222A8" w:rsidRDefault="00C222A8" w:rsidP="00C222A8">
      <w:pPr>
        <w:pStyle w:val="NoSpacing"/>
      </w:pPr>
    </w:p>
    <w:p w14:paraId="0B7DB272" w14:textId="75F28435" w:rsidR="008C05B9" w:rsidRPr="00966909" w:rsidRDefault="008C05B9" w:rsidP="008C05B9">
      <w:pPr>
        <w:pStyle w:val="NoSpacing"/>
        <w:rPr>
          <w:rFonts w:ascii="Arial Black" w:hAnsi="Arial Black"/>
          <w:sz w:val="28"/>
          <w:szCs w:val="28"/>
        </w:rPr>
      </w:pPr>
      <w:r>
        <w:rPr>
          <w:rFonts w:ascii="Arial Black" w:hAnsi="Arial Black"/>
          <w:sz w:val="28"/>
          <w:szCs w:val="28"/>
        </w:rPr>
        <w:t>VA: FACEBOOK POSTS</w:t>
      </w:r>
      <w:r w:rsidR="006D160C">
        <w:rPr>
          <w:rFonts w:ascii="Arial Black" w:hAnsi="Arial Black"/>
          <w:sz w:val="28"/>
          <w:szCs w:val="28"/>
        </w:rPr>
        <w:t xml:space="preserve"> – ABOUT </w:t>
      </w:r>
      <w:r>
        <w:rPr>
          <w:rFonts w:ascii="Arial Black" w:hAnsi="Arial Black"/>
          <w:sz w:val="28"/>
          <w:szCs w:val="28"/>
        </w:rPr>
        <w:t>TRANSGENDERS – CAPT FIRED</w:t>
      </w:r>
    </w:p>
    <w:p w14:paraId="70336A9C" w14:textId="77777777" w:rsidR="008C05B9" w:rsidRDefault="008C05B9" w:rsidP="008C05B9">
      <w:pPr>
        <w:pStyle w:val="NoSpacing"/>
      </w:pPr>
    </w:p>
    <w:p w14:paraId="7F8DC4C9" w14:textId="543310C7" w:rsidR="008C05B9" w:rsidRDefault="008C05B9" w:rsidP="008C05B9">
      <w:pPr>
        <w:pStyle w:val="NoSpacing"/>
      </w:pPr>
      <w:r>
        <w:t xml:space="preserve">On June 2, 2025, in </w:t>
      </w:r>
      <w:r w:rsidRPr="000A24BF">
        <w:rPr>
          <w:u w:val="single"/>
        </w:rPr>
        <w:t xml:space="preserve">Martin </w:t>
      </w:r>
      <w:proofErr w:type="spellStart"/>
      <w:r w:rsidRPr="000A24BF">
        <w:rPr>
          <w:u w:val="single"/>
        </w:rPr>
        <w:t>Misjuns</w:t>
      </w:r>
      <w:proofErr w:type="spellEnd"/>
      <w:r w:rsidRPr="000A24BF">
        <w:rPr>
          <w:u w:val="single"/>
        </w:rPr>
        <w:t xml:space="preserve"> v. City of Lynchburg</w:t>
      </w:r>
      <w:r>
        <w:t xml:space="preserve">, the United States Court of Appeals for the Fourth Circuit (Richmond, VA) held (3 to 0) that the City properly fired the </w:t>
      </w:r>
      <w:proofErr w:type="gramStart"/>
      <w:r>
        <w:t>Captain</w:t>
      </w:r>
      <w:proofErr w:type="gramEnd"/>
      <w:r>
        <w:t xml:space="preserve"> for the offensive Facebook posts.  The trial court </w:t>
      </w:r>
      <w:proofErr w:type="gramStart"/>
      <w:r>
        <w:t>had granted</w:t>
      </w:r>
      <w:proofErr w:type="gramEnd"/>
      <w:r>
        <w:t xml:space="preserve"> City’s motion to dismiss.  </w:t>
      </w:r>
      <w:r w:rsidR="00AA584B">
        <w:t xml:space="preserve"> </w:t>
      </w:r>
      <w:hyperlink r:id="rId2615" w:history="1">
        <w:r w:rsidR="00AA584B" w:rsidRPr="00586BA9">
          <w:rPr>
            <w:rStyle w:val="Hyperlink"/>
          </w:rPr>
          <w:t>https://cases.justia.com/federal/appellate-courts/ca4/24-1782/24-1782-2025-06-05.pdf?ts=1749150038</w:t>
        </w:r>
      </w:hyperlink>
    </w:p>
    <w:p w14:paraId="7CC36101" w14:textId="77777777" w:rsidR="008C05B9" w:rsidRDefault="008C05B9" w:rsidP="008C05B9">
      <w:pPr>
        <w:pStyle w:val="NoSpacing"/>
      </w:pPr>
    </w:p>
    <w:p w14:paraId="6E6D6BA8" w14:textId="77777777" w:rsidR="008C05B9" w:rsidRDefault="008C05B9" w:rsidP="008C05B9">
      <w:pPr>
        <w:pStyle w:val="NoSpacing"/>
      </w:pPr>
      <w:r w:rsidRPr="00045997">
        <w:rPr>
          <w:b/>
        </w:rPr>
        <w:t xml:space="preserve">THE COURT HELD: </w:t>
      </w:r>
      <w:r>
        <w:rPr>
          <w:b/>
        </w:rPr>
        <w:t xml:space="preserve"> “</w:t>
      </w:r>
      <w:r>
        <w:t xml:space="preserve">On January 26, 2021, </w:t>
      </w:r>
      <w:proofErr w:type="spellStart"/>
      <w:r>
        <w:t>Misjuns</w:t>
      </w:r>
      <w:proofErr w:type="spellEnd"/>
      <w:r>
        <w:t xml:space="preserve"> posted four cartoons on his public figure Facebook page with the caption “#</w:t>
      </w:r>
      <w:proofErr w:type="spellStart"/>
      <w:r>
        <w:t>BidenErasedWomen</w:t>
      </w:r>
      <w:proofErr w:type="spellEnd"/>
      <w:r>
        <w:t xml:space="preserve"> – Coming to your daughters [sic] high school locker room in the near future.” … The cartoons depicted offensive stereotypes</w:t>
      </w:r>
    </w:p>
    <w:p w14:paraId="76C7F574" w14:textId="77777777" w:rsidR="008C05B9" w:rsidRDefault="008C05B9" w:rsidP="008C05B9">
      <w:pPr>
        <w:pStyle w:val="NoSpacing"/>
      </w:pPr>
      <w:r>
        <w:t xml:space="preserve">of transgender women in bathrooms and participating in sports…. </w:t>
      </w:r>
      <w:proofErr w:type="spellStart"/>
      <w:r>
        <w:t>Misjuns</w:t>
      </w:r>
      <w:proofErr w:type="spellEnd"/>
      <w:r>
        <w:t xml:space="preserve"> became aware of the citizen complaints. On February 1, 2021, he posted a meme to his public figure Facebook page with the caption, ‘Let’s set something straight for the attacks I’ve been taking from a local activist group . . ..’  The meme stated:  ‘In the beginning, God created Adam &amp; Eve. Adam could never be a Madam. Eve could never become Steve. Anyone who tells you otherwise defies the one true God. Threatening anyone for believing &amp; saying this is most likely a hate crime.”’ </w:t>
      </w:r>
    </w:p>
    <w:p w14:paraId="702052DB" w14:textId="77777777" w:rsidR="008C05B9" w:rsidRDefault="008C05B9" w:rsidP="008C05B9">
      <w:pPr>
        <w:pStyle w:val="NoSpacing"/>
      </w:pPr>
    </w:p>
    <w:p w14:paraId="2317952B" w14:textId="77777777" w:rsidR="008C05B9" w:rsidRDefault="008C05B9" w:rsidP="008C05B9">
      <w:pPr>
        <w:pStyle w:val="NoSpacing"/>
      </w:pPr>
      <w:r>
        <w:t>***</w:t>
      </w:r>
    </w:p>
    <w:p w14:paraId="5AC264F7" w14:textId="77777777" w:rsidR="008C05B9" w:rsidRDefault="008C05B9" w:rsidP="008C05B9">
      <w:pPr>
        <w:pStyle w:val="NoSpacing"/>
      </w:pPr>
    </w:p>
    <w:p w14:paraId="6EA84978" w14:textId="77777777" w:rsidR="008C05B9" w:rsidRDefault="008C05B9" w:rsidP="008C05B9">
      <w:pPr>
        <w:pStyle w:val="NoSpacing"/>
      </w:pPr>
      <w:r>
        <w:t>The plaintiff has every right to express his views, hateful though they be. But he has</w:t>
      </w:r>
    </w:p>
    <w:p w14:paraId="49177675" w14:textId="77777777" w:rsidR="008C05B9" w:rsidRDefault="008C05B9" w:rsidP="008C05B9">
      <w:pPr>
        <w:pStyle w:val="NoSpacing"/>
      </w:pPr>
      <w:r>
        <w:t>no right to impair the Fire Department’s work and efficiency. His transparently bigoted</w:t>
      </w:r>
    </w:p>
    <w:p w14:paraId="242835B5" w14:textId="77777777" w:rsidR="008C05B9" w:rsidRDefault="008C05B9" w:rsidP="008C05B9">
      <w:pPr>
        <w:pStyle w:val="NoSpacing"/>
      </w:pPr>
      <w:r>
        <w:t>remarks gave rise to a reasonable apprehension on the part of Lynchburg’s citizens that the</w:t>
      </w:r>
    </w:p>
    <w:p w14:paraId="35A11401" w14:textId="77777777" w:rsidR="008C05B9" w:rsidRDefault="008C05B9" w:rsidP="008C05B9">
      <w:pPr>
        <w:pStyle w:val="NoSpacing"/>
      </w:pPr>
      <w:r>
        <w:t xml:space="preserve">Fire Department’s </w:t>
      </w:r>
      <w:proofErr w:type="gramStart"/>
      <w:r>
        <w:t>emergency-response</w:t>
      </w:r>
      <w:proofErr w:type="gramEnd"/>
      <w:r>
        <w:t xml:space="preserve"> tasks would not be carried out in an even-handed</w:t>
      </w:r>
    </w:p>
    <w:p w14:paraId="7F894D7D" w14:textId="77777777" w:rsidR="008C05B9" w:rsidRDefault="008C05B9" w:rsidP="008C05B9">
      <w:pPr>
        <w:pStyle w:val="NoSpacing"/>
      </w:pPr>
      <w:r>
        <w:t>and unbiased way.</w:t>
      </w:r>
    </w:p>
    <w:p w14:paraId="516EC086" w14:textId="77777777" w:rsidR="008C05B9" w:rsidRDefault="008C05B9" w:rsidP="008C05B9">
      <w:pPr>
        <w:pStyle w:val="NoSpacing"/>
      </w:pPr>
    </w:p>
    <w:p w14:paraId="20DCC84C" w14:textId="77777777" w:rsidR="008C05B9" w:rsidRDefault="008C05B9" w:rsidP="008C05B9">
      <w:pPr>
        <w:pStyle w:val="NoSpacing"/>
      </w:pPr>
      <w:r>
        <w:t>The city, in turn, was fully justified in responding to the possible corruption of its</w:t>
      </w:r>
    </w:p>
    <w:p w14:paraId="50FCC980" w14:textId="77777777" w:rsidR="008C05B9" w:rsidRDefault="008C05B9" w:rsidP="008C05B9">
      <w:pPr>
        <w:pStyle w:val="NoSpacing"/>
      </w:pPr>
      <w:r>
        <w:t xml:space="preserve">basic services and to the negative effects on recruitment that the well-known views </w:t>
      </w:r>
      <w:proofErr w:type="gramStart"/>
      <w:r>
        <w:t>of a</w:t>
      </w:r>
      <w:proofErr w:type="gramEnd"/>
    </w:p>
    <w:p w14:paraId="0CCB0EB1" w14:textId="77777777" w:rsidR="008C05B9" w:rsidRDefault="008C05B9" w:rsidP="008C05B9">
      <w:pPr>
        <w:pStyle w:val="NoSpacing"/>
      </w:pPr>
      <w:r>
        <w:t>well-known Captain in the Fire Department would likely have. There was nothing</w:t>
      </w:r>
    </w:p>
    <w:p w14:paraId="64FF51F3" w14:textId="77777777" w:rsidR="008C05B9" w:rsidRDefault="008C05B9" w:rsidP="008C05B9">
      <w:pPr>
        <w:pStyle w:val="NoSpacing"/>
      </w:pPr>
      <w:r>
        <w:t>pretextual in the City’s invocation of the principles of good governance here, and the Supreme Court in Pickering v. Board of Education, 391 U.S. 563 (1968) and its numerous</w:t>
      </w:r>
    </w:p>
    <w:p w14:paraId="31F7B337" w14:textId="77777777" w:rsidR="008C05B9" w:rsidRDefault="008C05B9" w:rsidP="008C05B9">
      <w:pPr>
        <w:pStyle w:val="NoSpacing"/>
      </w:pPr>
      <w:r>
        <w:t>progeny has granted municipalities, in a case such as this, the right to act precisely as the</w:t>
      </w:r>
    </w:p>
    <w:p w14:paraId="06A319F4" w14:textId="77777777" w:rsidR="008C05B9" w:rsidRDefault="008C05B9" w:rsidP="008C05B9">
      <w:pPr>
        <w:pStyle w:val="NoSpacing"/>
      </w:pPr>
      <w:r>
        <w:t xml:space="preserve">City did.” </w:t>
      </w:r>
      <w:hyperlink r:id="rId2616" w:history="1">
        <w:r w:rsidRPr="00586BA9">
          <w:rPr>
            <w:rStyle w:val="Hyperlink"/>
          </w:rPr>
          <w:t>https://cases.justia.com/federal/appellate-courts/ca4/24-1782/24-1782-2025-06-05.pdf?ts=1749150038</w:t>
        </w:r>
      </w:hyperlink>
      <w:r>
        <w:t xml:space="preserve"> </w:t>
      </w:r>
    </w:p>
    <w:p w14:paraId="3A27585E" w14:textId="77777777" w:rsidR="008C05B9" w:rsidRPr="00045997" w:rsidRDefault="008C05B9" w:rsidP="008C05B9">
      <w:pPr>
        <w:pStyle w:val="NoSpacing"/>
        <w:rPr>
          <w:b/>
          <w:bCs/>
        </w:rPr>
      </w:pPr>
    </w:p>
    <w:p w14:paraId="1275E6DE" w14:textId="77777777" w:rsidR="008C05B9" w:rsidRDefault="008C05B9" w:rsidP="008C05B9">
      <w:pPr>
        <w:pStyle w:val="NoSpacing"/>
        <w:rPr>
          <w:b/>
          <w:bCs/>
        </w:rPr>
      </w:pPr>
      <w:r>
        <w:rPr>
          <w:b/>
        </w:rPr>
        <w:t xml:space="preserve">KEY FACTS: </w:t>
      </w:r>
    </w:p>
    <w:p w14:paraId="50268885" w14:textId="77777777" w:rsidR="008C05B9" w:rsidRDefault="008C05B9" w:rsidP="008C05B9">
      <w:pPr>
        <w:pStyle w:val="NoSpacing"/>
        <w:rPr>
          <w:b/>
          <w:bCs/>
        </w:rPr>
      </w:pPr>
    </w:p>
    <w:p w14:paraId="71504728" w14:textId="77777777" w:rsidR="008C05B9" w:rsidRPr="001342C2" w:rsidRDefault="008C05B9" w:rsidP="008C05B9">
      <w:pPr>
        <w:pStyle w:val="NoSpacing"/>
        <w:ind w:firstLine="720"/>
        <w:rPr>
          <w:bCs/>
        </w:rPr>
      </w:pPr>
      <w:r>
        <w:t>“</w:t>
      </w:r>
      <w:r w:rsidRPr="001342C2">
        <w:t xml:space="preserve">Martin </w:t>
      </w:r>
      <w:proofErr w:type="spellStart"/>
      <w:r w:rsidRPr="001342C2">
        <w:t>Misjuns</w:t>
      </w:r>
      <w:proofErr w:type="spellEnd"/>
      <w:r w:rsidRPr="001342C2">
        <w:t xml:space="preserve"> was employed as a Fire Captain and paramedic by the </w:t>
      </w:r>
      <w:proofErr w:type="gramStart"/>
      <w:r w:rsidRPr="001342C2">
        <w:t>City</w:t>
      </w:r>
      <w:proofErr w:type="gramEnd"/>
      <w:r w:rsidRPr="001342C2">
        <w:t xml:space="preserve"> of</w:t>
      </w:r>
    </w:p>
    <w:p w14:paraId="2FC6B880" w14:textId="77777777" w:rsidR="008C05B9" w:rsidRPr="001342C2" w:rsidRDefault="008C05B9" w:rsidP="008C05B9">
      <w:pPr>
        <w:pStyle w:val="NoSpacing"/>
        <w:ind w:firstLine="720"/>
        <w:rPr>
          <w:bCs/>
        </w:rPr>
      </w:pPr>
      <w:r w:rsidRPr="001342C2">
        <w:t>Lynchburg as part of the Lynchburg Fire Department (“LFD”)</w:t>
      </w:r>
      <w:r>
        <w:t xml:space="preserve">…. </w:t>
      </w:r>
      <w:r w:rsidRPr="001342C2">
        <w:t>He was also a</w:t>
      </w:r>
    </w:p>
    <w:p w14:paraId="75A0E0C9" w14:textId="77777777" w:rsidR="008C05B9" w:rsidRPr="001342C2" w:rsidRDefault="008C05B9" w:rsidP="008C05B9">
      <w:pPr>
        <w:pStyle w:val="NoSpacing"/>
        <w:ind w:firstLine="720"/>
        <w:rPr>
          <w:bCs/>
        </w:rPr>
      </w:pPr>
      <w:r w:rsidRPr="001342C2">
        <w:t>union representative with IAFF Local 1146, the Lynchburg division of the International</w:t>
      </w:r>
    </w:p>
    <w:p w14:paraId="37DC7A81" w14:textId="77777777" w:rsidR="008C05B9" w:rsidRPr="001342C2" w:rsidRDefault="008C05B9" w:rsidP="008C05B9">
      <w:pPr>
        <w:pStyle w:val="NoSpacing"/>
        <w:ind w:firstLine="720"/>
        <w:rPr>
          <w:bCs/>
        </w:rPr>
      </w:pPr>
      <w:r w:rsidRPr="001342C2">
        <w:t>Association of Fire Fighters labor union, and Ward I Chair for the Lynchburg Republican</w:t>
      </w:r>
    </w:p>
    <w:p w14:paraId="20546787" w14:textId="77777777" w:rsidR="008C05B9" w:rsidRDefault="008C05B9" w:rsidP="008C05B9">
      <w:pPr>
        <w:pStyle w:val="NoSpacing"/>
        <w:ind w:firstLine="720"/>
        <w:rPr>
          <w:bCs/>
        </w:rPr>
      </w:pPr>
      <w:r w:rsidRPr="001342C2">
        <w:t>City Committee</w:t>
      </w:r>
      <w:r>
        <w:t xml:space="preserve">…. </w:t>
      </w:r>
    </w:p>
    <w:p w14:paraId="61147684" w14:textId="77777777" w:rsidR="008C05B9" w:rsidRPr="001342C2" w:rsidRDefault="008C05B9" w:rsidP="008C05B9">
      <w:pPr>
        <w:pStyle w:val="NoSpacing"/>
        <w:ind w:firstLine="720"/>
        <w:rPr>
          <w:bCs/>
        </w:rPr>
      </w:pPr>
    </w:p>
    <w:p w14:paraId="691382F0" w14:textId="77777777" w:rsidR="008C05B9" w:rsidRPr="001342C2" w:rsidRDefault="008C05B9" w:rsidP="008C05B9">
      <w:pPr>
        <w:pStyle w:val="NoSpacing"/>
        <w:ind w:firstLine="720"/>
        <w:rPr>
          <w:bCs/>
        </w:rPr>
      </w:pPr>
      <w:r w:rsidRPr="001342C2">
        <w:lastRenderedPageBreak/>
        <w:t xml:space="preserve">Before the events that </w:t>
      </w:r>
      <w:proofErr w:type="gramStart"/>
      <w:r w:rsidRPr="001342C2">
        <w:t>serve</w:t>
      </w:r>
      <w:proofErr w:type="gramEnd"/>
      <w:r w:rsidRPr="001342C2">
        <w:t xml:space="preserve"> as the basis of this suit, </w:t>
      </w:r>
      <w:proofErr w:type="gramStart"/>
      <w:r w:rsidRPr="001342C2">
        <w:t>there</w:t>
      </w:r>
      <w:proofErr w:type="gramEnd"/>
      <w:r w:rsidRPr="001342C2">
        <w:t xml:space="preserve"> were already deep-seated</w:t>
      </w:r>
    </w:p>
    <w:p w14:paraId="2C931AFD" w14:textId="77777777" w:rsidR="008C05B9" w:rsidRPr="001342C2" w:rsidRDefault="008C05B9" w:rsidP="008C05B9">
      <w:pPr>
        <w:pStyle w:val="NoSpacing"/>
        <w:ind w:firstLine="720"/>
        <w:rPr>
          <w:bCs/>
        </w:rPr>
      </w:pPr>
      <w:r w:rsidRPr="001342C2">
        <w:t xml:space="preserve">tensions between </w:t>
      </w:r>
      <w:proofErr w:type="spellStart"/>
      <w:r w:rsidRPr="001342C2">
        <w:t>Misjuns</w:t>
      </w:r>
      <w:proofErr w:type="spellEnd"/>
      <w:r w:rsidRPr="001342C2">
        <w:t xml:space="preserve"> and the City. For example, </w:t>
      </w:r>
      <w:proofErr w:type="spellStart"/>
      <w:r w:rsidRPr="001342C2">
        <w:t>Misjuns</w:t>
      </w:r>
      <w:proofErr w:type="spellEnd"/>
      <w:r w:rsidRPr="001342C2">
        <w:t xml:space="preserve"> alleged that LFD engaged</w:t>
      </w:r>
    </w:p>
    <w:p w14:paraId="227F21AC" w14:textId="77777777" w:rsidR="008C05B9" w:rsidRPr="0023213A" w:rsidRDefault="008C05B9" w:rsidP="008C05B9">
      <w:pPr>
        <w:pStyle w:val="NoSpacing"/>
        <w:ind w:left="720"/>
        <w:rPr>
          <w:bCs/>
        </w:rPr>
      </w:pPr>
      <w:r w:rsidRPr="001342C2">
        <w:t xml:space="preserve">in </w:t>
      </w:r>
      <w:r>
        <w:t>‘</w:t>
      </w:r>
      <w:r w:rsidRPr="001342C2">
        <w:t xml:space="preserve">discriminatory training and promotion practices” against him in 2019 and 2020. </w:t>
      </w:r>
      <w:r>
        <w:t xml:space="preserve">… </w:t>
      </w:r>
      <w:r w:rsidRPr="001342C2">
        <w:t xml:space="preserve"> He also alleged </w:t>
      </w:r>
      <w:proofErr w:type="gramStart"/>
      <w:r w:rsidRPr="001342C2">
        <w:t>politically-motivated</w:t>
      </w:r>
      <w:proofErr w:type="gramEnd"/>
      <w:r w:rsidRPr="001342C2">
        <w:t xml:space="preserve"> actions.</w:t>
      </w:r>
      <w:r>
        <w:t xml:space="preserve"> </w:t>
      </w:r>
      <w:r w:rsidRPr="0023213A">
        <w:t>In spring 2020, IAFF Local 1146 and</w:t>
      </w:r>
    </w:p>
    <w:p w14:paraId="023B7B16" w14:textId="77777777" w:rsidR="008C05B9" w:rsidRPr="0023213A" w:rsidRDefault="008C05B9" w:rsidP="008C05B9">
      <w:pPr>
        <w:pStyle w:val="NoSpacing"/>
        <w:ind w:left="720"/>
        <w:rPr>
          <w:bCs/>
        </w:rPr>
      </w:pPr>
      <w:proofErr w:type="spellStart"/>
      <w:r w:rsidRPr="0023213A">
        <w:t>Misjuns</w:t>
      </w:r>
      <w:proofErr w:type="spellEnd"/>
      <w:r w:rsidRPr="0023213A">
        <w:t xml:space="preserve"> supported Republican candidates for Lynchburg City Council who ran against</w:t>
      </w:r>
    </w:p>
    <w:p w14:paraId="3EEDA5ED" w14:textId="77777777" w:rsidR="008C05B9" w:rsidRPr="0023213A" w:rsidRDefault="008C05B9" w:rsidP="008C05B9">
      <w:pPr>
        <w:pStyle w:val="NoSpacing"/>
        <w:ind w:left="720"/>
        <w:rPr>
          <w:bCs/>
        </w:rPr>
      </w:pPr>
      <w:r w:rsidRPr="0023213A">
        <w:t>candidates supported by the Democratic majority on City Council, including Defendants</w:t>
      </w:r>
    </w:p>
    <w:p w14:paraId="3E035203" w14:textId="77777777" w:rsidR="008C05B9" w:rsidRPr="0023213A" w:rsidRDefault="008C05B9" w:rsidP="008C05B9">
      <w:pPr>
        <w:pStyle w:val="NoSpacing"/>
        <w:ind w:left="720"/>
        <w:rPr>
          <w:bCs/>
        </w:rPr>
      </w:pPr>
      <w:r w:rsidRPr="0023213A">
        <w:t>Mayor Mary Dolan and Vice-Mayor Beau Wright</w:t>
      </w:r>
      <w:r>
        <w:t xml:space="preserve">…. </w:t>
      </w:r>
      <w:r w:rsidRPr="0023213A">
        <w:t>One of the Deputy Fire</w:t>
      </w:r>
    </w:p>
    <w:p w14:paraId="206E1090" w14:textId="77777777" w:rsidR="008C05B9" w:rsidRPr="009B4C07" w:rsidRDefault="008C05B9" w:rsidP="008C05B9">
      <w:pPr>
        <w:pStyle w:val="NoSpacing"/>
        <w:ind w:left="720"/>
        <w:rPr>
          <w:bCs/>
        </w:rPr>
      </w:pPr>
      <w:r w:rsidRPr="0023213A">
        <w:t xml:space="preserve">Chiefs allegedly </w:t>
      </w:r>
      <w:r>
        <w:t>‘</w:t>
      </w:r>
      <w:r w:rsidRPr="0023213A">
        <w:t>began a pattern of harassing behavior</w:t>
      </w:r>
      <w:r>
        <w:t>’</w:t>
      </w:r>
      <w:r w:rsidRPr="0023213A">
        <w:t xml:space="preserve"> against </w:t>
      </w:r>
      <w:proofErr w:type="spellStart"/>
      <w:r w:rsidRPr="0023213A">
        <w:t>Misjuns</w:t>
      </w:r>
      <w:proofErr w:type="spellEnd"/>
      <w:r w:rsidRPr="0023213A">
        <w:t>, including</w:t>
      </w:r>
      <w:r>
        <w:t xml:space="preserve"> </w:t>
      </w:r>
      <w:r w:rsidRPr="009B4C07">
        <w:t>sending him a text message that he did not approve of Local 1146’s post supporting the</w:t>
      </w:r>
    </w:p>
    <w:p w14:paraId="397E2520" w14:textId="77777777" w:rsidR="008C05B9" w:rsidRDefault="008C05B9" w:rsidP="008C05B9">
      <w:pPr>
        <w:pStyle w:val="NoSpacing"/>
        <w:ind w:left="720"/>
        <w:rPr>
          <w:bCs/>
        </w:rPr>
      </w:pPr>
      <w:r w:rsidRPr="009B4C07">
        <w:t>Republican candidates.</w:t>
      </w:r>
    </w:p>
    <w:p w14:paraId="37631B09" w14:textId="77777777" w:rsidR="008C05B9" w:rsidRDefault="008C05B9" w:rsidP="008C05B9">
      <w:pPr>
        <w:pStyle w:val="NoSpacing"/>
        <w:ind w:left="720"/>
        <w:rPr>
          <w:bCs/>
        </w:rPr>
      </w:pPr>
    </w:p>
    <w:p w14:paraId="7010FD03" w14:textId="77777777" w:rsidR="008C05B9" w:rsidRDefault="008C05B9" w:rsidP="008C05B9">
      <w:pPr>
        <w:pStyle w:val="NoSpacing"/>
        <w:ind w:left="720"/>
        <w:rPr>
          <w:bCs/>
        </w:rPr>
      </w:pPr>
      <w:r>
        <w:t>***</w:t>
      </w:r>
    </w:p>
    <w:p w14:paraId="56C746A3" w14:textId="77777777" w:rsidR="008C05B9" w:rsidRPr="00831D7E" w:rsidRDefault="008C05B9" w:rsidP="008C05B9">
      <w:pPr>
        <w:pStyle w:val="NoSpacing"/>
        <w:ind w:left="720"/>
        <w:rPr>
          <w:bCs/>
        </w:rPr>
      </w:pPr>
      <w:r w:rsidRPr="00831D7E">
        <w:t xml:space="preserve">On March 25, 2021, </w:t>
      </w:r>
      <w:proofErr w:type="spellStart"/>
      <w:r w:rsidRPr="00831D7E">
        <w:t>Misjuns</w:t>
      </w:r>
      <w:proofErr w:type="spellEnd"/>
      <w:r w:rsidRPr="00831D7E">
        <w:t xml:space="preserve"> received a letter from Fire Chief Wormser, which he</w:t>
      </w:r>
    </w:p>
    <w:p w14:paraId="35EDC072" w14:textId="77777777" w:rsidR="008C05B9" w:rsidRPr="00831D7E" w:rsidRDefault="008C05B9" w:rsidP="008C05B9">
      <w:pPr>
        <w:pStyle w:val="NoSpacing"/>
        <w:ind w:left="720"/>
        <w:rPr>
          <w:bCs/>
        </w:rPr>
      </w:pPr>
      <w:r w:rsidRPr="00831D7E">
        <w:t xml:space="preserve">alleged Wormser sent </w:t>
      </w:r>
      <w:r>
        <w:t>‘</w:t>
      </w:r>
      <w:r w:rsidRPr="00831D7E">
        <w:t>in response to instructions from one or more of Dolan, Wright, and</w:t>
      </w:r>
    </w:p>
    <w:p w14:paraId="7CFC9819" w14:textId="77777777" w:rsidR="008C05B9" w:rsidRPr="00831D7E" w:rsidRDefault="008C05B9" w:rsidP="008C05B9">
      <w:pPr>
        <w:pStyle w:val="NoSpacing"/>
        <w:ind w:left="720"/>
        <w:rPr>
          <w:bCs/>
        </w:rPr>
      </w:pPr>
      <w:r w:rsidRPr="00831D7E">
        <w:t>Wodicka.</w:t>
      </w:r>
      <w:r>
        <w:t xml:space="preserve">’ … </w:t>
      </w:r>
      <w:r w:rsidRPr="00831D7E">
        <w:t xml:space="preserve">The letter ordered </w:t>
      </w:r>
      <w:proofErr w:type="spellStart"/>
      <w:r w:rsidRPr="00831D7E">
        <w:t>Misjuns</w:t>
      </w:r>
      <w:proofErr w:type="spellEnd"/>
      <w:r w:rsidRPr="00831D7E">
        <w:t xml:space="preserve"> to attend an </w:t>
      </w:r>
      <w:r>
        <w:t>‘</w:t>
      </w:r>
      <w:r w:rsidRPr="00831D7E">
        <w:t>interrogation</w:t>
      </w:r>
      <w:r>
        <w:t>’</w:t>
      </w:r>
      <w:r w:rsidRPr="00831D7E">
        <w:t xml:space="preserve"> </w:t>
      </w:r>
      <w:proofErr w:type="gramStart"/>
      <w:r w:rsidRPr="00831D7E">
        <w:t>on</w:t>
      </w:r>
      <w:proofErr w:type="gramEnd"/>
      <w:r w:rsidRPr="00831D7E">
        <w:t xml:space="preserve"> March</w:t>
      </w:r>
    </w:p>
    <w:p w14:paraId="0163EA40" w14:textId="77777777" w:rsidR="008C05B9" w:rsidRPr="00831D7E" w:rsidRDefault="008C05B9" w:rsidP="008C05B9">
      <w:pPr>
        <w:pStyle w:val="NoSpacing"/>
        <w:ind w:left="720"/>
        <w:rPr>
          <w:bCs/>
        </w:rPr>
      </w:pPr>
      <w:r w:rsidRPr="00831D7E">
        <w:t>29 to discuss several citizen complaints regarding the cartoons and meme</w:t>
      </w:r>
      <w:r>
        <w:t xml:space="preserve">…. </w:t>
      </w:r>
      <w:r w:rsidRPr="00831D7E">
        <w:t xml:space="preserve">Wormser also informed </w:t>
      </w:r>
      <w:proofErr w:type="spellStart"/>
      <w:r w:rsidRPr="00831D7E">
        <w:t>Misjuns</w:t>
      </w:r>
      <w:proofErr w:type="spellEnd"/>
      <w:r w:rsidRPr="00831D7E">
        <w:t xml:space="preserve"> that he was under investigation for social media</w:t>
      </w:r>
      <w:r>
        <w:t xml:space="preserve"> </w:t>
      </w:r>
      <w:r w:rsidRPr="00831D7E">
        <w:t>statements making political criticisms of Dolan</w:t>
      </w:r>
      <w:r>
        <w:t xml:space="preserve">…. </w:t>
      </w:r>
      <w:r w:rsidRPr="00831D7E">
        <w:t>The record shows that Wormser</w:t>
      </w:r>
    </w:p>
    <w:p w14:paraId="711E53C4" w14:textId="77777777" w:rsidR="008C05B9" w:rsidRPr="00831D7E" w:rsidRDefault="008C05B9" w:rsidP="008C05B9">
      <w:pPr>
        <w:pStyle w:val="NoSpacing"/>
        <w:ind w:left="720"/>
        <w:rPr>
          <w:bCs/>
        </w:rPr>
      </w:pPr>
      <w:r w:rsidRPr="00831D7E">
        <w:t xml:space="preserve">provided </w:t>
      </w:r>
      <w:proofErr w:type="spellStart"/>
      <w:r w:rsidRPr="00831D7E">
        <w:t>Misjuns</w:t>
      </w:r>
      <w:proofErr w:type="spellEnd"/>
      <w:r w:rsidRPr="00831D7E">
        <w:t xml:space="preserve"> with a notice of the complaints made against him</w:t>
      </w:r>
      <w:r>
        <w:t xml:space="preserve">…. </w:t>
      </w:r>
      <w:r w:rsidRPr="00831D7E">
        <w:t xml:space="preserve"> </w:t>
      </w:r>
      <w:proofErr w:type="gramStart"/>
      <w:r w:rsidRPr="00831D7E">
        <w:t>On</w:t>
      </w:r>
      <w:proofErr w:type="gramEnd"/>
      <w:r w:rsidRPr="00831D7E">
        <w:t xml:space="preserve"> March</w:t>
      </w:r>
    </w:p>
    <w:p w14:paraId="33808116" w14:textId="77777777" w:rsidR="008C05B9" w:rsidRDefault="008C05B9" w:rsidP="008C05B9">
      <w:pPr>
        <w:pStyle w:val="NoSpacing"/>
        <w:ind w:left="720"/>
        <w:rPr>
          <w:bCs/>
        </w:rPr>
      </w:pPr>
      <w:r w:rsidRPr="00831D7E">
        <w:t xml:space="preserve">29, 2021, the initial </w:t>
      </w:r>
      <w:r>
        <w:t>‘</w:t>
      </w:r>
      <w:r w:rsidRPr="00831D7E">
        <w:t>interrogation</w:t>
      </w:r>
      <w:r>
        <w:t>’</w:t>
      </w:r>
      <w:r w:rsidRPr="00831D7E">
        <w:t xml:space="preserve"> occurred</w:t>
      </w:r>
      <w:r>
        <w:t xml:space="preserve">…. </w:t>
      </w:r>
      <w:r w:rsidRPr="00831D7E">
        <w:t xml:space="preserve">Per </w:t>
      </w:r>
      <w:proofErr w:type="spellStart"/>
      <w:r w:rsidRPr="00831D7E">
        <w:t>Misjuns</w:t>
      </w:r>
      <w:proofErr w:type="spellEnd"/>
      <w:r w:rsidRPr="00831D7E">
        <w:t>’ account, Deputy Fire Chief Robert Lipscomb then began collecting</w:t>
      </w:r>
      <w:r>
        <w:t xml:space="preserve"> </w:t>
      </w:r>
      <w:r w:rsidRPr="00831D7E">
        <w:t xml:space="preserve">allegedly false reports accusing </w:t>
      </w:r>
      <w:proofErr w:type="spellStart"/>
      <w:r w:rsidRPr="00831D7E">
        <w:t>Misjuns</w:t>
      </w:r>
      <w:proofErr w:type="spellEnd"/>
      <w:r w:rsidRPr="00831D7E">
        <w:t xml:space="preserve"> of creating a hostile work environment</w:t>
      </w:r>
      <w:r>
        <w:t xml:space="preserve">…. </w:t>
      </w:r>
      <w:r w:rsidRPr="00831D7E">
        <w:t xml:space="preserve">On May 10, 2021, Wormser notified </w:t>
      </w:r>
      <w:proofErr w:type="spellStart"/>
      <w:r w:rsidRPr="00831D7E">
        <w:t>Misjuns</w:t>
      </w:r>
      <w:proofErr w:type="spellEnd"/>
      <w:r w:rsidRPr="00831D7E">
        <w:t xml:space="preserve"> of his decision to suspend </w:t>
      </w:r>
      <w:proofErr w:type="spellStart"/>
      <w:r w:rsidRPr="00831D7E">
        <w:t>Misjuns</w:t>
      </w:r>
      <w:proofErr w:type="spellEnd"/>
      <w:r>
        <w:t xml:space="preserve">…. </w:t>
      </w:r>
      <w:r w:rsidRPr="00831D7E">
        <w:t xml:space="preserve">On June 27, Lipscomb ordered </w:t>
      </w:r>
      <w:proofErr w:type="spellStart"/>
      <w:r w:rsidRPr="00831D7E">
        <w:t>Misjuns</w:t>
      </w:r>
      <w:proofErr w:type="spellEnd"/>
      <w:r w:rsidRPr="00831D7E">
        <w:t xml:space="preserve"> to attend a second </w:t>
      </w:r>
      <w:r>
        <w:t>‘</w:t>
      </w:r>
      <w:r w:rsidRPr="00831D7E">
        <w:t>interrogation,</w:t>
      </w:r>
      <w:r>
        <w:t xml:space="preserve">’ </w:t>
      </w:r>
      <w:r w:rsidRPr="00831D7E">
        <w:t>which</w:t>
      </w:r>
      <w:r>
        <w:t xml:space="preserve"> </w:t>
      </w:r>
      <w:r w:rsidRPr="00831D7E">
        <w:t>occurred on August 2</w:t>
      </w:r>
      <w:r>
        <w:t>….</w:t>
      </w:r>
      <w:r w:rsidRPr="00831D7E">
        <w:t xml:space="preserve">On October 18, 2021, Wormser notified </w:t>
      </w:r>
      <w:proofErr w:type="spellStart"/>
      <w:r w:rsidRPr="00831D7E">
        <w:t>Misjuns</w:t>
      </w:r>
      <w:proofErr w:type="spellEnd"/>
      <w:r w:rsidRPr="00831D7E">
        <w:t xml:space="preserve"> via letter that</w:t>
      </w:r>
      <w:r>
        <w:t xml:space="preserve"> </w:t>
      </w:r>
      <w:r w:rsidRPr="00831D7E">
        <w:t xml:space="preserve">he was terminated from employment. </w:t>
      </w:r>
    </w:p>
    <w:p w14:paraId="63E50A2C" w14:textId="77777777" w:rsidR="008C05B9" w:rsidRDefault="008C05B9" w:rsidP="008C05B9">
      <w:pPr>
        <w:pStyle w:val="NoSpacing"/>
        <w:ind w:left="720"/>
        <w:rPr>
          <w:bCs/>
        </w:rPr>
      </w:pPr>
    </w:p>
    <w:p w14:paraId="64C42A60" w14:textId="77777777" w:rsidR="008C05B9" w:rsidRDefault="008C05B9" w:rsidP="008C05B9">
      <w:pPr>
        <w:pStyle w:val="NoSpacing"/>
        <w:ind w:left="720"/>
        <w:rPr>
          <w:bCs/>
        </w:rPr>
      </w:pPr>
      <w:r>
        <w:t>***</w:t>
      </w:r>
    </w:p>
    <w:p w14:paraId="549A9065" w14:textId="77777777" w:rsidR="008C05B9" w:rsidRPr="00327189" w:rsidRDefault="008C05B9" w:rsidP="008C05B9">
      <w:pPr>
        <w:pStyle w:val="NoSpacing"/>
        <w:ind w:left="720"/>
        <w:rPr>
          <w:bCs/>
        </w:rPr>
      </w:pPr>
      <w:proofErr w:type="spellStart"/>
      <w:r w:rsidRPr="00327189">
        <w:t>Misjuns</w:t>
      </w:r>
      <w:proofErr w:type="spellEnd"/>
      <w:r w:rsidRPr="00327189">
        <w:t xml:space="preserve"> appealed his firing in accordance with the City’s grievance procedures,</w:t>
      </w:r>
    </w:p>
    <w:p w14:paraId="48A265A2" w14:textId="77777777" w:rsidR="008C05B9" w:rsidRPr="00327189" w:rsidRDefault="008C05B9" w:rsidP="008C05B9">
      <w:pPr>
        <w:pStyle w:val="NoSpacing"/>
        <w:ind w:left="720"/>
        <w:rPr>
          <w:bCs/>
        </w:rPr>
      </w:pPr>
      <w:r w:rsidRPr="00327189">
        <w:t>including appealing to the City’s Employee Appeal Board. J.A. 17. In March 2022, the</w:t>
      </w:r>
    </w:p>
    <w:p w14:paraId="1921C3C2" w14:textId="77777777" w:rsidR="008C05B9" w:rsidRDefault="008C05B9" w:rsidP="008C05B9">
      <w:pPr>
        <w:pStyle w:val="NoSpacing"/>
        <w:ind w:left="720"/>
        <w:rPr>
          <w:bCs/>
        </w:rPr>
      </w:pPr>
      <w:r w:rsidRPr="00327189">
        <w:t>Board upheld his firing.</w:t>
      </w:r>
      <w:r>
        <w:t>”</w:t>
      </w:r>
    </w:p>
    <w:p w14:paraId="3F5F9D07" w14:textId="77777777" w:rsidR="008C05B9" w:rsidRDefault="008C05B9" w:rsidP="008C05B9">
      <w:pPr>
        <w:pStyle w:val="NoSpacing"/>
        <w:ind w:left="720"/>
        <w:rPr>
          <w:bCs/>
        </w:rPr>
      </w:pPr>
    </w:p>
    <w:p w14:paraId="5217EE2F" w14:textId="77777777" w:rsidR="008C05B9" w:rsidRPr="00327189" w:rsidRDefault="008C05B9" w:rsidP="008C05B9">
      <w:pPr>
        <w:pStyle w:val="NoSpacing"/>
        <w:rPr>
          <w:b/>
        </w:rPr>
      </w:pPr>
      <w:r>
        <w:rPr>
          <w:b/>
        </w:rPr>
        <w:t>Legal lesson learned: Firefighters and other public employees must exercise extreme care in posting on social media that may offend residents.</w:t>
      </w:r>
    </w:p>
    <w:p w14:paraId="7B195657" w14:textId="77777777" w:rsidR="008C05B9" w:rsidRDefault="008C05B9" w:rsidP="008C05B9">
      <w:pPr>
        <w:pStyle w:val="NoSpacing"/>
      </w:pPr>
    </w:p>
    <w:p w14:paraId="16123C92" w14:textId="77777777" w:rsidR="008C05B9" w:rsidRDefault="008C05B9" w:rsidP="008C05B9">
      <w:pPr>
        <w:pStyle w:val="NoSpacing"/>
      </w:pPr>
    </w:p>
    <w:p w14:paraId="1F9753FC" w14:textId="77777777" w:rsidR="008C05B9" w:rsidRDefault="008C05B9" w:rsidP="00F326E5">
      <w:pPr>
        <w:pStyle w:val="NoSpacing"/>
        <w:rPr>
          <w:rFonts w:ascii="Arial Black" w:hAnsi="Arial Black"/>
          <w:b/>
          <w:sz w:val="24"/>
          <w:szCs w:val="24"/>
        </w:rPr>
      </w:pPr>
    </w:p>
    <w:p w14:paraId="0AE5CBD7" w14:textId="77777777" w:rsidR="009821C1" w:rsidRDefault="009821C1" w:rsidP="00F326E5">
      <w:pPr>
        <w:pStyle w:val="NoSpacing"/>
        <w:rPr>
          <w:rFonts w:ascii="Arial Black" w:hAnsi="Arial Black"/>
          <w:b/>
          <w:sz w:val="24"/>
          <w:szCs w:val="24"/>
        </w:rPr>
      </w:pPr>
    </w:p>
    <w:p w14:paraId="3958DB02" w14:textId="79279C17" w:rsidR="00C466BB" w:rsidRDefault="00C466BB" w:rsidP="00F326E5">
      <w:pPr>
        <w:pStyle w:val="NoSpacing"/>
        <w:rPr>
          <w:rFonts w:ascii="Arial Black" w:hAnsi="Arial Black"/>
          <w:b/>
          <w:sz w:val="24"/>
          <w:szCs w:val="24"/>
        </w:rPr>
      </w:pPr>
      <w:r>
        <w:rPr>
          <w:rFonts w:ascii="Arial Black" w:hAnsi="Arial Black"/>
          <w:b/>
          <w:sz w:val="24"/>
          <w:szCs w:val="24"/>
        </w:rPr>
        <w:t>16-132</w:t>
      </w:r>
    </w:p>
    <w:p w14:paraId="6F21E9E8" w14:textId="77777777" w:rsidR="00C466BB" w:rsidRDefault="00C466BB" w:rsidP="00F326E5">
      <w:pPr>
        <w:pStyle w:val="NoSpacing"/>
        <w:rPr>
          <w:rFonts w:ascii="Arial Black" w:hAnsi="Arial Black"/>
          <w:b/>
          <w:sz w:val="24"/>
          <w:szCs w:val="24"/>
        </w:rPr>
      </w:pPr>
    </w:p>
    <w:p w14:paraId="2DA93EF4" w14:textId="1DE46D19" w:rsidR="00331400" w:rsidRPr="00C34488" w:rsidRDefault="00331400" w:rsidP="00331400">
      <w:pPr>
        <w:pStyle w:val="NoSpacing"/>
        <w:rPr>
          <w:rFonts w:ascii="Arial Black" w:hAnsi="Arial Black"/>
          <w:sz w:val="28"/>
          <w:szCs w:val="28"/>
        </w:rPr>
      </w:pPr>
      <w:r w:rsidRPr="00C34488">
        <w:rPr>
          <w:rFonts w:ascii="Arial Black" w:hAnsi="Arial Black"/>
          <w:sz w:val="28"/>
          <w:szCs w:val="28"/>
        </w:rPr>
        <w:t>OH: FORMER CHIEF’S DEFAMATION CLAIM REINSTATED –</w:t>
      </w:r>
      <w:r w:rsidR="009B1B97">
        <w:rPr>
          <w:rFonts w:ascii="Arial Black" w:hAnsi="Arial Black"/>
          <w:sz w:val="28"/>
          <w:szCs w:val="28"/>
        </w:rPr>
        <w:t xml:space="preserve"> </w:t>
      </w:r>
      <w:r>
        <w:rPr>
          <w:rFonts w:ascii="Arial Black" w:hAnsi="Arial Black"/>
          <w:sz w:val="28"/>
          <w:szCs w:val="28"/>
        </w:rPr>
        <w:t xml:space="preserve">PUBLIC OFFICIALS – MUST PROVE “ACTUAL MALICE” </w:t>
      </w:r>
    </w:p>
    <w:p w14:paraId="50E0F2F4" w14:textId="77777777" w:rsidR="00331400" w:rsidRDefault="00331400" w:rsidP="00331400">
      <w:pPr>
        <w:pStyle w:val="NoSpacing"/>
      </w:pPr>
    </w:p>
    <w:p w14:paraId="60D54C16" w14:textId="77777777" w:rsidR="00331400" w:rsidRPr="009D0025" w:rsidRDefault="00331400" w:rsidP="00331400">
      <w:pPr>
        <w:pStyle w:val="NoSpacing"/>
        <w:rPr>
          <w:rFonts w:ascii="Times New Roman" w:hAnsi="Times New Roman"/>
          <w:sz w:val="24"/>
          <w:szCs w:val="24"/>
        </w:rPr>
      </w:pPr>
      <w:r w:rsidRPr="009D0025">
        <w:rPr>
          <w:rFonts w:ascii="Times New Roman" w:hAnsi="Times New Roman"/>
          <w:sz w:val="24"/>
          <w:szCs w:val="24"/>
        </w:rPr>
        <w:t xml:space="preserve">On Aug. 29, 2025, in </w:t>
      </w:r>
      <w:r w:rsidRPr="009D0025">
        <w:rPr>
          <w:rFonts w:ascii="Times New Roman" w:hAnsi="Times New Roman"/>
          <w:sz w:val="24"/>
          <w:szCs w:val="24"/>
          <w:u w:val="single"/>
        </w:rPr>
        <w:t>Kent D. Johnson v. City of Port Clinton</w:t>
      </w:r>
      <w:r w:rsidRPr="009D0025">
        <w:rPr>
          <w:rFonts w:ascii="Times New Roman" w:hAnsi="Times New Roman"/>
          <w:sz w:val="24"/>
          <w:szCs w:val="24"/>
        </w:rPr>
        <w:t>, the Court of Appeals of Ohio, Sixth District, Ottawa County, held (3 to 0) that trial judge improperly dismissed the defamation claim in his lawsuit; all his other claims were properly dismissed: Violation of Civil Service Statutes; Infliction of Emotional Distress; Violation of Rights under the Ohio Constitution; Wrongful Termination; and Retaliation.</w:t>
      </w:r>
    </w:p>
    <w:p w14:paraId="71D4D2D6" w14:textId="77777777" w:rsidR="00331400" w:rsidRPr="009D0025" w:rsidRDefault="00331400" w:rsidP="00331400">
      <w:pPr>
        <w:pStyle w:val="NoSpacing"/>
        <w:rPr>
          <w:rFonts w:ascii="Times New Roman" w:hAnsi="Times New Roman"/>
          <w:sz w:val="24"/>
          <w:szCs w:val="24"/>
        </w:rPr>
      </w:pPr>
    </w:p>
    <w:p w14:paraId="0CA95CB2"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 xml:space="preserve">“In sum, appellant alleged sufficient facts that, if proven, would satisfy all the elements of a claim for defamation. The trial court, therefore, erred when it granted [City’s] motion for judgment on the pleadings as to that claim…. [Trial Court judge’s] judgment dismissing appellant’s third claim for defamation is reversed, and the matter is remanded to the trial court for further proceedings on that claim only.” </w:t>
      </w:r>
      <w:hyperlink r:id="rId2617" w:history="1">
        <w:r w:rsidRPr="009D0025">
          <w:rPr>
            <w:rStyle w:val="Hyperlink"/>
            <w:rFonts w:ascii="Times New Roman" w:hAnsi="Times New Roman"/>
            <w:sz w:val="24"/>
            <w:szCs w:val="24"/>
          </w:rPr>
          <w:t>https://www.supremecourt.ohio.gov/rod/docs/pdf/6/2025/2025-Ohio-3100.pdf</w:t>
        </w:r>
      </w:hyperlink>
      <w:r w:rsidRPr="009D0025">
        <w:rPr>
          <w:rFonts w:ascii="Times New Roman" w:hAnsi="Times New Roman"/>
          <w:sz w:val="24"/>
          <w:szCs w:val="24"/>
        </w:rPr>
        <w:t xml:space="preserve"> </w:t>
      </w:r>
    </w:p>
    <w:p w14:paraId="5855E35E" w14:textId="77777777" w:rsidR="00331400" w:rsidRPr="009D0025" w:rsidRDefault="00331400" w:rsidP="00331400">
      <w:pPr>
        <w:pStyle w:val="NoSpacing"/>
        <w:rPr>
          <w:rFonts w:ascii="Times New Roman" w:hAnsi="Times New Roman"/>
          <w:sz w:val="24"/>
          <w:szCs w:val="24"/>
        </w:rPr>
      </w:pPr>
    </w:p>
    <w:p w14:paraId="72006AA8" w14:textId="77777777" w:rsidR="00331400" w:rsidRPr="009D0025" w:rsidRDefault="00331400" w:rsidP="00331400">
      <w:pPr>
        <w:pStyle w:val="NoSpacing"/>
        <w:rPr>
          <w:rFonts w:ascii="Times New Roman" w:hAnsi="Times New Roman"/>
          <w:sz w:val="24"/>
          <w:szCs w:val="24"/>
        </w:rPr>
      </w:pPr>
      <w:r w:rsidRPr="009D0025">
        <w:rPr>
          <w:rFonts w:ascii="Times New Roman" w:hAnsi="Times New Roman"/>
          <w:sz w:val="24"/>
          <w:szCs w:val="24"/>
        </w:rPr>
        <w:t>THREE KEY SUMMARIES:</w:t>
      </w:r>
    </w:p>
    <w:p w14:paraId="1508A33F" w14:textId="77777777" w:rsidR="00331400" w:rsidRPr="009D0025" w:rsidRDefault="00331400" w:rsidP="00331400">
      <w:pPr>
        <w:pStyle w:val="NoSpacing"/>
        <w:rPr>
          <w:rFonts w:ascii="Times New Roman" w:hAnsi="Times New Roman"/>
          <w:sz w:val="24"/>
          <w:szCs w:val="24"/>
        </w:rPr>
      </w:pPr>
    </w:p>
    <w:p w14:paraId="076B773D" w14:textId="77777777" w:rsidR="00331400" w:rsidRPr="009D0025" w:rsidRDefault="00331400" w:rsidP="00331400">
      <w:pPr>
        <w:pStyle w:val="NoSpacing"/>
        <w:numPr>
          <w:ilvl w:val="0"/>
          <w:numId w:val="29"/>
        </w:numPr>
        <w:rPr>
          <w:rFonts w:ascii="Times New Roman" w:hAnsi="Times New Roman"/>
          <w:sz w:val="24"/>
          <w:szCs w:val="24"/>
        </w:rPr>
      </w:pPr>
      <w:r w:rsidRPr="009D0025">
        <w:rPr>
          <w:rFonts w:ascii="Times New Roman" w:hAnsi="Times New Roman"/>
          <w:sz w:val="24"/>
          <w:szCs w:val="24"/>
        </w:rPr>
        <w:t xml:space="preserve">“On January 17, 2024, [the </w:t>
      </w:r>
      <w:proofErr w:type="gramStart"/>
      <w:r w:rsidRPr="009D0025">
        <w:rPr>
          <w:rFonts w:ascii="Times New Roman" w:hAnsi="Times New Roman"/>
          <w:sz w:val="24"/>
          <w:szCs w:val="24"/>
        </w:rPr>
        <w:t>City</w:t>
      </w:r>
      <w:proofErr w:type="gramEnd"/>
      <w:r w:rsidRPr="009D0025">
        <w:rPr>
          <w:rFonts w:ascii="Times New Roman" w:hAnsi="Times New Roman"/>
          <w:sz w:val="24"/>
          <w:szCs w:val="24"/>
        </w:rPr>
        <w:t xml:space="preserve">] removed him from his position…. Appellant has been employed by the </w:t>
      </w:r>
      <w:proofErr w:type="gramStart"/>
      <w:r w:rsidRPr="009D0025">
        <w:rPr>
          <w:rFonts w:ascii="Times New Roman" w:hAnsi="Times New Roman"/>
          <w:sz w:val="24"/>
          <w:szCs w:val="24"/>
        </w:rPr>
        <w:t>City</w:t>
      </w:r>
      <w:proofErr w:type="gramEnd"/>
      <w:r w:rsidRPr="009D0025">
        <w:rPr>
          <w:rFonts w:ascii="Times New Roman" w:hAnsi="Times New Roman"/>
          <w:sz w:val="24"/>
          <w:szCs w:val="24"/>
        </w:rPr>
        <w:t xml:space="preserve"> as a fire fighter since 1992 and has served as Fire Chief since 2008.   </w:t>
      </w:r>
    </w:p>
    <w:p w14:paraId="40CA2059"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 xml:space="preserve">During that time, he has never been reprimanded or disciplined. On June 6, 2023, Dina Shenker, Law Director for the City, received a phone call from the attorney for Port Clinton EMS employee, Rebecca Huskey, alleging that appellant sexually harassed his client. Shenker and Tina Colston, Director of Safety and Service for the City, placed appellant on administrative leave that day, informing him that he was prohibited from being at the Port Clinton Fire Station and from having any contact with Huskey. They also informed him that the </w:t>
      </w:r>
      <w:proofErr w:type="gramStart"/>
      <w:r w:rsidRPr="009D0025">
        <w:rPr>
          <w:rFonts w:ascii="Times New Roman" w:hAnsi="Times New Roman"/>
          <w:sz w:val="24"/>
          <w:szCs w:val="24"/>
        </w:rPr>
        <w:t>City</w:t>
      </w:r>
      <w:proofErr w:type="gramEnd"/>
      <w:r w:rsidRPr="009D0025">
        <w:rPr>
          <w:rFonts w:ascii="Times New Roman" w:hAnsi="Times New Roman"/>
          <w:sz w:val="24"/>
          <w:szCs w:val="24"/>
        </w:rPr>
        <w:t xml:space="preserve"> was referring the matter to Clemans Nelson Associates (‘Clemans’) for an investigation.”</w:t>
      </w:r>
    </w:p>
    <w:p w14:paraId="2547D139" w14:textId="77777777" w:rsidR="00331400" w:rsidRPr="009D0025" w:rsidRDefault="00331400" w:rsidP="00331400">
      <w:pPr>
        <w:pStyle w:val="NoSpacing"/>
        <w:ind w:left="720"/>
        <w:rPr>
          <w:rFonts w:ascii="Times New Roman" w:hAnsi="Times New Roman"/>
          <w:sz w:val="24"/>
          <w:szCs w:val="24"/>
        </w:rPr>
      </w:pPr>
    </w:p>
    <w:p w14:paraId="4F3237D8" w14:textId="77777777" w:rsidR="00331400" w:rsidRPr="009D0025" w:rsidRDefault="00331400" w:rsidP="00331400">
      <w:pPr>
        <w:pStyle w:val="NoSpacing"/>
        <w:ind w:left="720"/>
        <w:rPr>
          <w:rFonts w:ascii="Times New Roman" w:hAnsi="Times New Roman"/>
          <w:sz w:val="24"/>
          <w:szCs w:val="24"/>
        </w:rPr>
      </w:pPr>
    </w:p>
    <w:p w14:paraId="549545E4" w14:textId="77777777" w:rsidR="00331400" w:rsidRPr="009D0025" w:rsidRDefault="00331400" w:rsidP="00331400">
      <w:pPr>
        <w:pStyle w:val="NoSpacing"/>
        <w:numPr>
          <w:ilvl w:val="0"/>
          <w:numId w:val="29"/>
        </w:numPr>
        <w:rPr>
          <w:rFonts w:ascii="Times New Roman" w:hAnsi="Times New Roman"/>
          <w:sz w:val="24"/>
          <w:szCs w:val="24"/>
        </w:rPr>
      </w:pPr>
      <w:r w:rsidRPr="009D0025">
        <w:rPr>
          <w:rFonts w:ascii="Times New Roman" w:hAnsi="Times New Roman"/>
          <w:sz w:val="24"/>
          <w:szCs w:val="24"/>
        </w:rPr>
        <w:t xml:space="preserve">“Clemans submitted its report on December 15, 2023. That same day, Colston and the mayor of the city, Michael Snider, served appellant with a ‘Notice of </w:t>
      </w:r>
      <w:proofErr w:type="spellStart"/>
      <w:r w:rsidRPr="009D0025">
        <w:rPr>
          <w:rFonts w:ascii="Times New Roman" w:hAnsi="Times New Roman"/>
          <w:sz w:val="24"/>
          <w:szCs w:val="24"/>
        </w:rPr>
        <w:t>Predisciplinary</w:t>
      </w:r>
      <w:proofErr w:type="spellEnd"/>
      <w:r w:rsidRPr="009D0025">
        <w:rPr>
          <w:rFonts w:ascii="Times New Roman" w:hAnsi="Times New Roman"/>
          <w:sz w:val="24"/>
          <w:szCs w:val="24"/>
        </w:rPr>
        <w:t xml:space="preserve"> Conference” to be held on December 21, 2023, regarding three charges. Two of the charges pertained to payroll matters concerning Huskey. The third referenced</w:t>
      </w:r>
    </w:p>
    <w:p w14:paraId="7DA70F4B"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Huskey’s sexual harassment claim. Each of the charges was listed as ‘Group III</w:t>
      </w:r>
    </w:p>
    <w:p w14:paraId="0D02BDCA"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Offenses’ and warned that a violation would be subject to ‘discipline for cause up to and</w:t>
      </w:r>
    </w:p>
    <w:p w14:paraId="3D37A681"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including termination of employment.’ The hearing was rescheduled to January 9, 2024,</w:t>
      </w:r>
    </w:p>
    <w:p w14:paraId="1AFB7E94"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 xml:space="preserve">upon appellant’s request. *** The </w:t>
      </w:r>
      <w:proofErr w:type="spellStart"/>
      <w:r w:rsidRPr="009D0025">
        <w:rPr>
          <w:rFonts w:ascii="Times New Roman" w:hAnsi="Times New Roman"/>
          <w:sz w:val="24"/>
          <w:szCs w:val="24"/>
        </w:rPr>
        <w:t>predisciplinary</w:t>
      </w:r>
      <w:proofErr w:type="spellEnd"/>
      <w:r w:rsidRPr="009D0025">
        <w:rPr>
          <w:rFonts w:ascii="Times New Roman" w:hAnsi="Times New Roman"/>
          <w:sz w:val="24"/>
          <w:szCs w:val="24"/>
        </w:rPr>
        <w:t xml:space="preserve"> conference occurred as scheduled on January 9, 2024. Colston served as the hearing officer. *** Colston failed to</w:t>
      </w:r>
    </w:p>
    <w:p w14:paraId="3D33B3D4"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prepare a written report with findings of fact and failed to provide it to appellant in a</w:t>
      </w:r>
    </w:p>
    <w:p w14:paraId="0386B179"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timely manner.”</w:t>
      </w:r>
    </w:p>
    <w:p w14:paraId="6153202F" w14:textId="77777777" w:rsidR="00331400" w:rsidRPr="009D0025" w:rsidRDefault="00331400" w:rsidP="00331400">
      <w:pPr>
        <w:pStyle w:val="NoSpacing"/>
        <w:ind w:left="720"/>
        <w:rPr>
          <w:rFonts w:ascii="Times New Roman" w:hAnsi="Times New Roman"/>
          <w:sz w:val="24"/>
          <w:szCs w:val="24"/>
        </w:rPr>
      </w:pPr>
    </w:p>
    <w:p w14:paraId="4D0691E0" w14:textId="77777777" w:rsidR="00331400" w:rsidRPr="009D0025" w:rsidRDefault="00331400" w:rsidP="00331400">
      <w:pPr>
        <w:pStyle w:val="NoSpacing"/>
        <w:numPr>
          <w:ilvl w:val="0"/>
          <w:numId w:val="29"/>
        </w:numPr>
        <w:rPr>
          <w:rFonts w:ascii="Times New Roman" w:hAnsi="Times New Roman"/>
          <w:sz w:val="24"/>
          <w:szCs w:val="24"/>
        </w:rPr>
      </w:pPr>
      <w:r w:rsidRPr="009D0025">
        <w:rPr>
          <w:rFonts w:ascii="Times New Roman" w:hAnsi="Times New Roman"/>
          <w:sz w:val="24"/>
          <w:szCs w:val="24"/>
        </w:rPr>
        <w:t>“Here, appellant argues that the complaint alleges that appellees defamed</w:t>
      </w:r>
    </w:p>
    <w:p w14:paraId="1017204F"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 xml:space="preserve">him when it </w:t>
      </w:r>
      <w:proofErr w:type="gramStart"/>
      <w:r w:rsidRPr="009D0025">
        <w:rPr>
          <w:rFonts w:ascii="Times New Roman" w:hAnsi="Times New Roman"/>
          <w:sz w:val="24"/>
          <w:szCs w:val="24"/>
        </w:rPr>
        <w:t>published</w:t>
      </w:r>
      <w:proofErr w:type="gramEnd"/>
      <w:r w:rsidRPr="009D0025">
        <w:rPr>
          <w:rFonts w:ascii="Times New Roman" w:hAnsi="Times New Roman"/>
          <w:sz w:val="24"/>
          <w:szCs w:val="24"/>
        </w:rPr>
        <w:t xml:space="preserve"> to news media, other City employees, and members of the fire</w:t>
      </w:r>
    </w:p>
    <w:p w14:paraId="623F39AF"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department the Order of Removal that charged him with intentionally overpaying</w:t>
      </w:r>
    </w:p>
    <w:p w14:paraId="2E94D740"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 xml:space="preserve">Huskey. *** The parties agree that appellant is a public figure, and thus he must prove that </w:t>
      </w:r>
      <w:proofErr w:type="gramStart"/>
      <w:r w:rsidRPr="009D0025">
        <w:rPr>
          <w:rFonts w:ascii="Times New Roman" w:hAnsi="Times New Roman"/>
          <w:sz w:val="24"/>
          <w:szCs w:val="24"/>
        </w:rPr>
        <w:t>appellees</w:t>
      </w:r>
      <w:proofErr w:type="gramEnd"/>
      <w:r w:rsidRPr="009D0025">
        <w:rPr>
          <w:rFonts w:ascii="Times New Roman" w:hAnsi="Times New Roman"/>
          <w:sz w:val="24"/>
          <w:szCs w:val="24"/>
        </w:rPr>
        <w:t xml:space="preserve"> acted with actual malice. Scott v. News-Herald, 25 Ohio St.3d 243, 248 (1986). ‘Actual malice’ means that the statement was published “with knowledge that it was false or with reckless disregard of whether it was false or not.’ Id., quoting New York Times Co. v. Sullivan, 376 U.S. 254, 279-280 (1964). In this case, contrary to </w:t>
      </w:r>
      <w:proofErr w:type="gramStart"/>
      <w:r w:rsidRPr="009D0025">
        <w:rPr>
          <w:rFonts w:ascii="Times New Roman" w:hAnsi="Times New Roman"/>
          <w:sz w:val="24"/>
          <w:szCs w:val="24"/>
        </w:rPr>
        <w:t>appellees’</w:t>
      </w:r>
      <w:proofErr w:type="gramEnd"/>
      <w:r w:rsidRPr="009D0025">
        <w:rPr>
          <w:rFonts w:ascii="Times New Roman" w:hAnsi="Times New Roman"/>
          <w:sz w:val="24"/>
          <w:szCs w:val="24"/>
        </w:rPr>
        <w:t xml:space="preserve"> argument, paragraph 58 of the complaint directly alleges that the claims were made ‘intentionally, recklessly, with actual knowledge of their falsity and with actual malice.’ *** In sum, under the notice pleading standards, the complaint alleges that</w:t>
      </w:r>
    </w:p>
    <w:p w14:paraId="1F128293"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appellees made a false statement that appellant committed a crime of dishonesty or moral</w:t>
      </w:r>
    </w:p>
    <w:p w14:paraId="24281074"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turpitude constituting defamation per se, the statement was published to news media</w:t>
      </w:r>
    </w:p>
    <w:p w14:paraId="300BFDD2"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outlets and City employees, and it was made with actual malice. Therefore, we hold that</w:t>
      </w:r>
    </w:p>
    <w:p w14:paraId="5715264C" w14:textId="77777777" w:rsidR="00331400" w:rsidRPr="009D0025" w:rsidRDefault="00331400" w:rsidP="00331400">
      <w:pPr>
        <w:pStyle w:val="NoSpacing"/>
        <w:ind w:left="720"/>
        <w:rPr>
          <w:rFonts w:ascii="Times New Roman" w:hAnsi="Times New Roman"/>
          <w:sz w:val="24"/>
          <w:szCs w:val="24"/>
        </w:rPr>
      </w:pPr>
      <w:proofErr w:type="gramStart"/>
      <w:r w:rsidRPr="009D0025">
        <w:rPr>
          <w:rFonts w:ascii="Times New Roman" w:hAnsi="Times New Roman"/>
          <w:sz w:val="24"/>
          <w:szCs w:val="24"/>
        </w:rPr>
        <w:t>the</w:t>
      </w:r>
      <w:proofErr w:type="gramEnd"/>
      <w:r w:rsidRPr="009D0025">
        <w:rPr>
          <w:rFonts w:ascii="Times New Roman" w:hAnsi="Times New Roman"/>
          <w:sz w:val="24"/>
          <w:szCs w:val="24"/>
        </w:rPr>
        <w:t xml:space="preserve"> complaint alleges all the elements for a defamation action, and the trial court erred in</w:t>
      </w:r>
    </w:p>
    <w:p w14:paraId="616B169C"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granting appellees’ motion for judgment on the pleadings.”</w:t>
      </w:r>
    </w:p>
    <w:p w14:paraId="644F592E" w14:textId="77777777" w:rsidR="00331400" w:rsidRPr="009D0025" w:rsidRDefault="00331400" w:rsidP="00331400">
      <w:pPr>
        <w:pStyle w:val="NoSpacing"/>
        <w:ind w:left="720"/>
        <w:rPr>
          <w:rFonts w:ascii="Times New Roman" w:hAnsi="Times New Roman"/>
          <w:sz w:val="24"/>
          <w:szCs w:val="24"/>
        </w:rPr>
      </w:pPr>
    </w:p>
    <w:p w14:paraId="531D12E0" w14:textId="77777777" w:rsidR="00331400" w:rsidRPr="009D0025" w:rsidRDefault="00331400" w:rsidP="00331400">
      <w:pPr>
        <w:pStyle w:val="NoSpacing"/>
        <w:rPr>
          <w:rFonts w:ascii="Times New Roman" w:hAnsi="Times New Roman"/>
          <w:color w:val="C00000"/>
          <w:sz w:val="24"/>
          <w:szCs w:val="24"/>
        </w:rPr>
      </w:pPr>
      <w:r w:rsidRPr="009D0025">
        <w:rPr>
          <w:rFonts w:ascii="Times New Roman" w:hAnsi="Times New Roman"/>
          <w:b/>
          <w:sz w:val="24"/>
          <w:szCs w:val="24"/>
        </w:rPr>
        <w:t xml:space="preserve">Legal lesson learned: Former Fire Chief is a public official; he has an uphill task proving “actual malice” under New York Times v. Sullivan. </w:t>
      </w:r>
      <w:hyperlink r:id="rId2618" w:history="1">
        <w:r w:rsidRPr="009D0025">
          <w:rPr>
            <w:rStyle w:val="Hyperlink"/>
            <w:rFonts w:ascii="Times New Roman" w:hAnsi="Times New Roman"/>
            <w:b/>
            <w:sz w:val="24"/>
            <w:szCs w:val="24"/>
          </w:rPr>
          <w:t>https://supreme.justia.com/cases/federal/us/376/254/</w:t>
        </w:r>
      </w:hyperlink>
      <w:r w:rsidRPr="009D0025">
        <w:rPr>
          <w:rFonts w:ascii="Times New Roman" w:hAnsi="Times New Roman"/>
          <w:b/>
          <w:sz w:val="24"/>
          <w:szCs w:val="24"/>
        </w:rPr>
        <w:t xml:space="preserve"> </w:t>
      </w:r>
    </w:p>
    <w:p w14:paraId="1D69FB10" w14:textId="77777777" w:rsidR="00331400" w:rsidRPr="009D0025" w:rsidRDefault="00331400" w:rsidP="00331400">
      <w:pPr>
        <w:pStyle w:val="NoSpacing"/>
        <w:rPr>
          <w:rFonts w:ascii="Times New Roman" w:hAnsi="Times New Roman"/>
          <w:color w:val="C00000"/>
          <w:sz w:val="24"/>
          <w:szCs w:val="24"/>
        </w:rPr>
      </w:pPr>
    </w:p>
    <w:p w14:paraId="05D14692" w14:textId="77777777" w:rsidR="00331400" w:rsidRPr="009D0025" w:rsidRDefault="00331400" w:rsidP="00331400">
      <w:pPr>
        <w:pStyle w:val="NoSpacing"/>
        <w:ind w:left="720"/>
        <w:rPr>
          <w:rFonts w:ascii="Times New Roman" w:hAnsi="Times New Roman"/>
          <w:sz w:val="24"/>
          <w:szCs w:val="24"/>
        </w:rPr>
      </w:pPr>
      <w:r w:rsidRPr="009D0025">
        <w:rPr>
          <w:rFonts w:ascii="Times New Roman" w:hAnsi="Times New Roman"/>
          <w:sz w:val="24"/>
          <w:szCs w:val="24"/>
        </w:rPr>
        <w:t xml:space="preserve">Note: See July 11, </w:t>
      </w:r>
      <w:proofErr w:type="gramStart"/>
      <w:r w:rsidRPr="009D0025">
        <w:rPr>
          <w:rFonts w:ascii="Times New Roman" w:hAnsi="Times New Roman"/>
          <w:sz w:val="24"/>
          <w:szCs w:val="24"/>
        </w:rPr>
        <w:t>2025</w:t>
      </w:r>
      <w:proofErr w:type="gramEnd"/>
      <w:r w:rsidRPr="009D0025">
        <w:rPr>
          <w:rFonts w:ascii="Times New Roman" w:hAnsi="Times New Roman"/>
          <w:sz w:val="24"/>
          <w:szCs w:val="24"/>
        </w:rPr>
        <w:t xml:space="preserve"> article, “Judge sentences former Port Clinton fire chief in sexual harassment case.” </w:t>
      </w:r>
    </w:p>
    <w:p w14:paraId="488CF387" w14:textId="77777777" w:rsidR="00331400" w:rsidRPr="009D0025" w:rsidRDefault="00331400" w:rsidP="00331400">
      <w:pPr>
        <w:pStyle w:val="NoSpacing"/>
        <w:ind w:left="720"/>
        <w:rPr>
          <w:rFonts w:ascii="Times New Roman" w:hAnsi="Times New Roman"/>
          <w:sz w:val="24"/>
          <w:szCs w:val="24"/>
        </w:rPr>
      </w:pPr>
      <w:hyperlink r:id="rId2619" w:history="1">
        <w:r w:rsidRPr="009D0025">
          <w:rPr>
            <w:rStyle w:val="Hyperlink"/>
            <w:rFonts w:ascii="Times New Roman" w:hAnsi="Times New Roman"/>
            <w:sz w:val="24"/>
            <w:szCs w:val="24"/>
          </w:rPr>
          <w:t>https://www.wtol.com/article/news/crime/port-clinton-fire-chief-kent-johnson-sentenced-to-jail-for-sexual-harassment-case/512-0facde5b-63e1-457e-9908-521ed4a422af</w:t>
        </w:r>
      </w:hyperlink>
      <w:r w:rsidRPr="009D0025">
        <w:rPr>
          <w:rFonts w:ascii="Times New Roman" w:hAnsi="Times New Roman"/>
          <w:sz w:val="24"/>
          <w:szCs w:val="24"/>
        </w:rPr>
        <w:t xml:space="preserve"> </w:t>
      </w:r>
    </w:p>
    <w:p w14:paraId="62676D7D" w14:textId="77777777" w:rsidR="00331400" w:rsidRPr="009D0025" w:rsidRDefault="00331400" w:rsidP="00331400">
      <w:pPr>
        <w:pStyle w:val="NoSpacing"/>
        <w:rPr>
          <w:rFonts w:ascii="Times New Roman" w:hAnsi="Times New Roman"/>
          <w:sz w:val="24"/>
          <w:szCs w:val="24"/>
        </w:rPr>
      </w:pPr>
    </w:p>
    <w:p w14:paraId="34E04062" w14:textId="77777777" w:rsidR="00331400" w:rsidRPr="009D0025" w:rsidRDefault="00331400" w:rsidP="00331400">
      <w:pPr>
        <w:pStyle w:val="NoSpacing"/>
        <w:rPr>
          <w:rFonts w:ascii="Times New Roman" w:hAnsi="Times New Roman"/>
          <w:color w:val="C00000"/>
          <w:sz w:val="24"/>
          <w:szCs w:val="24"/>
        </w:rPr>
      </w:pPr>
    </w:p>
    <w:p w14:paraId="1A12BFA1" w14:textId="77777777" w:rsidR="00331400" w:rsidRPr="009D0025" w:rsidRDefault="00331400" w:rsidP="00331400">
      <w:pPr>
        <w:pStyle w:val="NoSpacing"/>
        <w:jc w:val="center"/>
        <w:rPr>
          <w:rFonts w:ascii="Times New Roman" w:hAnsi="Times New Roman"/>
          <w:color w:val="C00000"/>
          <w:sz w:val="24"/>
          <w:szCs w:val="24"/>
        </w:rPr>
      </w:pPr>
    </w:p>
    <w:p w14:paraId="318C70E1" w14:textId="77777777" w:rsidR="00C466BB" w:rsidRPr="009D0025" w:rsidRDefault="00C466BB" w:rsidP="00F326E5">
      <w:pPr>
        <w:pStyle w:val="NoSpacing"/>
        <w:rPr>
          <w:rFonts w:ascii="Times New Roman" w:hAnsi="Times New Roman"/>
          <w:b/>
          <w:sz w:val="24"/>
          <w:szCs w:val="24"/>
        </w:rPr>
      </w:pPr>
    </w:p>
    <w:p w14:paraId="689006E1" w14:textId="77777777" w:rsidR="00C466BB" w:rsidRPr="009D0025" w:rsidRDefault="00C466BB" w:rsidP="00F326E5">
      <w:pPr>
        <w:pStyle w:val="NoSpacing"/>
        <w:rPr>
          <w:rFonts w:ascii="Times New Roman" w:hAnsi="Times New Roman"/>
          <w:b/>
          <w:sz w:val="24"/>
          <w:szCs w:val="24"/>
        </w:rPr>
      </w:pPr>
    </w:p>
    <w:p w14:paraId="4FA2B992" w14:textId="77777777" w:rsidR="00C466BB" w:rsidRPr="009D0025" w:rsidRDefault="00C466BB" w:rsidP="00F326E5">
      <w:pPr>
        <w:pStyle w:val="NoSpacing"/>
        <w:rPr>
          <w:rFonts w:ascii="Times New Roman" w:hAnsi="Times New Roman"/>
          <w:b/>
          <w:sz w:val="24"/>
          <w:szCs w:val="24"/>
        </w:rPr>
      </w:pPr>
    </w:p>
    <w:p w14:paraId="75522B3B" w14:textId="7864D740" w:rsidR="00524648" w:rsidRPr="009D0025" w:rsidRDefault="00524648" w:rsidP="00F326E5">
      <w:pPr>
        <w:pStyle w:val="NoSpacing"/>
        <w:rPr>
          <w:rFonts w:ascii="Times New Roman" w:hAnsi="Times New Roman"/>
          <w:b/>
          <w:sz w:val="24"/>
          <w:szCs w:val="24"/>
        </w:rPr>
      </w:pPr>
      <w:r w:rsidRPr="009D0025">
        <w:rPr>
          <w:rFonts w:ascii="Times New Roman" w:hAnsi="Times New Roman"/>
          <w:b/>
          <w:sz w:val="24"/>
          <w:szCs w:val="24"/>
        </w:rPr>
        <w:t>16-131</w:t>
      </w:r>
    </w:p>
    <w:p w14:paraId="422897A9" w14:textId="77777777" w:rsidR="00524648" w:rsidRDefault="00524648" w:rsidP="00F326E5">
      <w:pPr>
        <w:pStyle w:val="NoSpacing"/>
        <w:rPr>
          <w:rFonts w:ascii="Arial Black" w:hAnsi="Arial Black"/>
          <w:b/>
          <w:sz w:val="24"/>
          <w:szCs w:val="24"/>
        </w:rPr>
      </w:pPr>
    </w:p>
    <w:p w14:paraId="23E72A14" w14:textId="77777777" w:rsidR="00524648" w:rsidRPr="002D352D" w:rsidRDefault="00524648" w:rsidP="00524648">
      <w:pPr>
        <w:pStyle w:val="NoSpacing"/>
        <w:rPr>
          <w:rFonts w:ascii="Arial Black" w:hAnsi="Arial Black"/>
          <w:b/>
          <w:sz w:val="28"/>
          <w:szCs w:val="28"/>
        </w:rPr>
      </w:pPr>
      <w:r w:rsidRPr="00C34488">
        <w:rPr>
          <w:rFonts w:ascii="Arial Black" w:hAnsi="Arial Black"/>
          <w:b/>
          <w:sz w:val="28"/>
          <w:szCs w:val="28"/>
        </w:rPr>
        <w:t xml:space="preserve">OH: FORMER CINCINNATI FIRE </w:t>
      </w:r>
      <w:r w:rsidRPr="00C34488">
        <w:rPr>
          <w:rFonts w:ascii="Arial Black" w:hAnsi="Arial Black"/>
          <w:sz w:val="28"/>
          <w:szCs w:val="28"/>
        </w:rPr>
        <w:t>CHIEF - NO PRIOR NOTICE O</w:t>
      </w:r>
      <w:r w:rsidRPr="00C34488">
        <w:rPr>
          <w:rFonts w:ascii="Arial Black" w:hAnsi="Arial Black"/>
          <w:b/>
          <w:sz w:val="28"/>
          <w:szCs w:val="28"/>
        </w:rPr>
        <w:t>F CHARGES / NO PRE-TERMINATION HEARING</w:t>
      </w:r>
    </w:p>
    <w:p w14:paraId="7645F603" w14:textId="77777777" w:rsidR="00524648" w:rsidRPr="00C34488" w:rsidRDefault="00524648" w:rsidP="00524648">
      <w:pPr>
        <w:pStyle w:val="NoSpacing"/>
        <w:rPr>
          <w:rFonts w:ascii="Arial Black" w:hAnsi="Arial Black"/>
          <w:b/>
        </w:rPr>
      </w:pPr>
    </w:p>
    <w:p w14:paraId="74FBCC7E" w14:textId="77777777" w:rsidR="00524648" w:rsidRPr="00C34488" w:rsidRDefault="00524648" w:rsidP="00524648">
      <w:pPr>
        <w:pStyle w:val="NoSpacing"/>
      </w:pPr>
      <w:r w:rsidRPr="00C34488">
        <w:t xml:space="preserve">On Aug. 26, 2025, in </w:t>
      </w:r>
      <w:r w:rsidRPr="00C34488">
        <w:rPr>
          <w:u w:val="single"/>
        </w:rPr>
        <w:t>Michael J. Washington v. City of Cincinnati, et al</w:t>
      </w:r>
      <w:r w:rsidRPr="00C34488">
        <w:t>.,</w:t>
      </w:r>
      <w:r w:rsidRPr="00C34488">
        <w:rPr>
          <w:b/>
        </w:rPr>
        <w:t xml:space="preserve"> </w:t>
      </w:r>
      <w:r w:rsidRPr="00C34488">
        <w:t>Stephanie K. Bowman, United States Chief Magistrate Judge</w:t>
      </w:r>
      <w:r>
        <w:t xml:space="preserve"> Stephanie K. Bowman</w:t>
      </w:r>
      <w:r w:rsidRPr="00C34488">
        <w:t xml:space="preserve">, United States District Court for Southern District of Ohio, held that his lawsuit may proceed to trial [scheduled for September 29, 2025]. </w:t>
      </w:r>
    </w:p>
    <w:p w14:paraId="7AE10444" w14:textId="77777777" w:rsidR="00524648" w:rsidRDefault="00524648" w:rsidP="00524648">
      <w:pPr>
        <w:pStyle w:val="NoSpacing"/>
      </w:pPr>
    </w:p>
    <w:p w14:paraId="256DA6B5" w14:textId="77777777" w:rsidR="00524648" w:rsidRPr="00C34488" w:rsidRDefault="00524648" w:rsidP="00524648">
      <w:pPr>
        <w:pStyle w:val="NoSpacing"/>
        <w:ind w:left="720"/>
      </w:pPr>
      <w:r w:rsidRPr="00C34488">
        <w:t xml:space="preserve">“Defendants Long [City Manager Sheryl Long] and the </w:t>
      </w:r>
      <w:proofErr w:type="gramStart"/>
      <w:r w:rsidRPr="00C34488">
        <w:t>City</w:t>
      </w:r>
      <w:proofErr w:type="gramEnd"/>
      <w:r w:rsidRPr="00C34488">
        <w:t xml:space="preserve"> failed to provide Washington with adequate pretermination procedural due process when they terminated him on March 24, 2023, in violation of the Due Process Clause of the Fourteenth</w:t>
      </w:r>
    </w:p>
    <w:p w14:paraId="7AA126EC" w14:textId="77777777" w:rsidR="00524648" w:rsidRDefault="00524648" w:rsidP="00524648">
      <w:pPr>
        <w:pStyle w:val="NoSpacing"/>
        <w:ind w:left="720"/>
      </w:pPr>
      <w:r w:rsidRPr="00C34488">
        <w:t xml:space="preserve">Amendment.  *** </w:t>
      </w:r>
      <w:r>
        <w:t>No one disputes that the Charter language gave City Manager Long the authority to fire Plaintiff, albeit ‘only for cause’ given his length of service. But even the Charter language confirms that a pretermination hearing before the City Manager was required. *** Thus, before executing her authority to terminate Washington, Long</w:t>
      </w:r>
    </w:p>
    <w:p w14:paraId="135F1C48" w14:textId="77777777" w:rsidR="00524648" w:rsidRDefault="00524648" w:rsidP="00524648">
      <w:pPr>
        <w:pStyle w:val="NoSpacing"/>
        <w:ind w:left="720"/>
      </w:pPr>
      <w:r>
        <w:t>was required to provide him with advance oral or written notice of the charges against</w:t>
      </w:r>
    </w:p>
    <w:p w14:paraId="42CCA30A" w14:textId="77777777" w:rsidR="00524648" w:rsidRDefault="00524648" w:rsidP="00524648">
      <w:pPr>
        <w:pStyle w:val="NoSpacing"/>
        <w:ind w:left="720"/>
      </w:pPr>
      <w:r>
        <w:t>him, an explanation of her evidence, and a hearing at which Plaintiff had a reasonable</w:t>
      </w:r>
    </w:p>
    <w:p w14:paraId="3F9788E8" w14:textId="77777777" w:rsidR="00524648" w:rsidRDefault="00524648" w:rsidP="00524648">
      <w:pPr>
        <w:pStyle w:val="NoSpacing"/>
        <w:ind w:left="720"/>
      </w:pPr>
      <w:r>
        <w:t xml:space="preserve">opportunity to respond. *** </w:t>
      </w:r>
      <w:r w:rsidRPr="00C34488">
        <w:t>These remaining issues shall proceed to trial: (a) the adequacy of the post-termination process and whether Plaintiff waived his post-termination hearing;</w:t>
      </w:r>
      <w:r>
        <w:t xml:space="preserve"> </w:t>
      </w:r>
      <w:r w:rsidRPr="00C34488">
        <w:t>(b) whether Defendants had cause to terminate Plaintiff; (c) whether Defendant</w:t>
      </w:r>
      <w:r>
        <w:t xml:space="preserve"> </w:t>
      </w:r>
      <w:r w:rsidRPr="00C34488">
        <w:t xml:space="preserve">Long defamed Plaintiff; and (d) what damages, if any, Plaintiff may recover.”  </w:t>
      </w:r>
    </w:p>
    <w:p w14:paraId="336BF0B1" w14:textId="77777777" w:rsidR="00524648" w:rsidRPr="00C34488" w:rsidRDefault="00524648" w:rsidP="00524648">
      <w:pPr>
        <w:pStyle w:val="NoSpacing"/>
        <w:ind w:left="720"/>
      </w:pPr>
      <w:hyperlink r:id="rId2620" w:history="1">
        <w:r w:rsidRPr="00C34488">
          <w:rPr>
            <w:rStyle w:val="Hyperlink"/>
          </w:rPr>
          <w:t>https://cases.justia.com/federal/district-courts/ohio/ohsdce/1:2023cv00230/279336/47/0.pdf?ts=1756299215</w:t>
        </w:r>
      </w:hyperlink>
      <w:r w:rsidRPr="00C34488">
        <w:t xml:space="preserve"> </w:t>
      </w:r>
    </w:p>
    <w:p w14:paraId="4EFD89EC" w14:textId="77777777" w:rsidR="00524648" w:rsidRPr="00C34488" w:rsidRDefault="00524648" w:rsidP="00524648">
      <w:pPr>
        <w:pStyle w:val="NoSpacing"/>
      </w:pPr>
    </w:p>
    <w:p w14:paraId="6FA0F17B" w14:textId="77777777" w:rsidR="00524648" w:rsidRPr="00C34488" w:rsidRDefault="00524648" w:rsidP="00524648">
      <w:pPr>
        <w:pStyle w:val="NoSpacing"/>
        <w:rPr>
          <w:rFonts w:ascii="Arial Black" w:hAnsi="Arial Black"/>
        </w:rPr>
      </w:pPr>
    </w:p>
    <w:p w14:paraId="0C5CF838" w14:textId="77777777" w:rsidR="00524648" w:rsidRPr="00C34488" w:rsidRDefault="00524648" w:rsidP="00524648">
      <w:pPr>
        <w:pStyle w:val="NoSpacing"/>
      </w:pPr>
      <w:r w:rsidRPr="00C34488">
        <w:t xml:space="preserve">THREE KEY </w:t>
      </w:r>
      <w:r>
        <w:t>SUMMARIES:</w:t>
      </w:r>
    </w:p>
    <w:p w14:paraId="65AB2B9F" w14:textId="77777777" w:rsidR="00524648" w:rsidRPr="00C34488" w:rsidRDefault="00524648" w:rsidP="00524648">
      <w:pPr>
        <w:pStyle w:val="NoSpacing"/>
        <w:rPr>
          <w:rFonts w:ascii="Arial Black" w:hAnsi="Arial Black"/>
        </w:rPr>
      </w:pPr>
    </w:p>
    <w:p w14:paraId="72B56433" w14:textId="77777777" w:rsidR="00524648" w:rsidRPr="00C34488" w:rsidRDefault="00524648" w:rsidP="00524648">
      <w:pPr>
        <w:pStyle w:val="NoSpacing"/>
        <w:numPr>
          <w:ilvl w:val="0"/>
          <w:numId w:val="28"/>
        </w:numPr>
      </w:pPr>
      <w:r w:rsidRPr="00C34488">
        <w:t>“Plaintiff’s thirty-year career came to an abrupt close on March 24, 2023, when he</w:t>
      </w:r>
    </w:p>
    <w:p w14:paraId="33D1F8E1" w14:textId="77777777" w:rsidR="00524648" w:rsidRPr="00C34488" w:rsidRDefault="00524648" w:rsidP="00524648">
      <w:pPr>
        <w:pStyle w:val="NoSpacing"/>
        <w:ind w:firstLine="720"/>
      </w:pPr>
      <w:r w:rsidRPr="00C34488">
        <w:t>was summoned to a meeting at City Hall. City Manager Sheryl Long and two Human</w:t>
      </w:r>
    </w:p>
    <w:p w14:paraId="1945AF6D" w14:textId="77777777" w:rsidR="00524648" w:rsidRPr="00C34488" w:rsidRDefault="00524648" w:rsidP="00524648">
      <w:pPr>
        <w:pStyle w:val="NoSpacing"/>
        <w:ind w:firstLine="720"/>
      </w:pPr>
      <w:r w:rsidRPr="00C34488">
        <w:t>Resources representatives attended the meeting. Once Washington arrived, Long told</w:t>
      </w:r>
    </w:p>
    <w:p w14:paraId="21679A5A" w14:textId="77777777" w:rsidR="00524648" w:rsidRPr="00C34488" w:rsidRDefault="00524648" w:rsidP="00524648">
      <w:pPr>
        <w:pStyle w:val="NoSpacing"/>
        <w:ind w:firstLine="720"/>
      </w:pPr>
      <w:r w:rsidRPr="00C34488">
        <w:t>Washington that he was being terminated, effective immediately, and handed him a</w:t>
      </w:r>
    </w:p>
    <w:p w14:paraId="1E99398D" w14:textId="77777777" w:rsidR="00524648" w:rsidRPr="00C34488" w:rsidRDefault="00524648" w:rsidP="00524648">
      <w:pPr>
        <w:pStyle w:val="NoSpacing"/>
        <w:ind w:firstLine="720"/>
      </w:pPr>
      <w:r w:rsidRPr="00C34488">
        <w:t>termination letter. The termination letter accused Plaintiff of various leadership and</w:t>
      </w:r>
    </w:p>
    <w:p w14:paraId="77419B4E" w14:textId="77777777" w:rsidR="00524648" w:rsidRPr="00C34488" w:rsidRDefault="00524648" w:rsidP="00524648">
      <w:pPr>
        <w:pStyle w:val="NoSpacing"/>
        <w:ind w:firstLine="720"/>
      </w:pPr>
      <w:r w:rsidRPr="00C34488">
        <w:t>conduct failures, including: (1) poor workplace culture; (2) absence from a high-rise fire;</w:t>
      </w:r>
    </w:p>
    <w:p w14:paraId="2AEFEB4F" w14:textId="77777777" w:rsidR="00524648" w:rsidRPr="00C34488" w:rsidRDefault="00524648" w:rsidP="00524648">
      <w:pPr>
        <w:pStyle w:val="NoSpacing"/>
        <w:ind w:firstLine="720"/>
      </w:pPr>
      <w:r w:rsidRPr="00C34488">
        <w:t>(3) mishandling of personnel matters regarding a lieutenant charged with assault; (4)</w:t>
      </w:r>
    </w:p>
    <w:p w14:paraId="512305CC" w14:textId="77777777" w:rsidR="00524648" w:rsidRPr="00C34488" w:rsidRDefault="00524648" w:rsidP="00524648">
      <w:pPr>
        <w:pStyle w:val="NoSpacing"/>
        <w:ind w:firstLine="720"/>
      </w:pPr>
      <w:r w:rsidRPr="00C34488">
        <w:t>ineffective management of the acquisition of a training facility; and (5) ineffective</w:t>
      </w:r>
    </w:p>
    <w:p w14:paraId="47A2439E" w14:textId="77777777" w:rsidR="00524648" w:rsidRPr="00C34488" w:rsidRDefault="00524648" w:rsidP="00524648">
      <w:pPr>
        <w:pStyle w:val="NoSpacing"/>
        <w:ind w:left="720"/>
      </w:pPr>
      <w:r w:rsidRPr="00C34488">
        <w:t xml:space="preserve">communication with Long and others…. When she left the meeting, </w:t>
      </w:r>
      <w:proofErr w:type="gramStart"/>
      <w:r w:rsidRPr="00C34488">
        <w:t>Long</w:t>
      </w:r>
      <w:proofErr w:type="gramEnd"/>
      <w:r w:rsidRPr="00C34488">
        <w:t xml:space="preserve"> notified the </w:t>
      </w:r>
      <w:proofErr w:type="gramStart"/>
      <w:r w:rsidRPr="00C34488">
        <w:t>Mayor</w:t>
      </w:r>
      <w:proofErr w:type="gramEnd"/>
      <w:r w:rsidRPr="00C34488">
        <w:t xml:space="preserve"> and members of City Council that Plaintiff had been terminated for cause…. In a Memorandum entitled “For Your Information,” Long listed her reasons for terminating</w:t>
      </w:r>
    </w:p>
    <w:p w14:paraId="3708DC71" w14:textId="77777777" w:rsidR="00524648" w:rsidRPr="00C34488" w:rsidRDefault="00524648" w:rsidP="00524648">
      <w:pPr>
        <w:pStyle w:val="NoSpacing"/>
        <w:ind w:left="720"/>
      </w:pPr>
      <w:r w:rsidRPr="00C34488">
        <w:t xml:space="preserve">Washington, and announced his interim replacement…. The same morning, </w:t>
      </w:r>
      <w:proofErr w:type="gramStart"/>
      <w:r w:rsidRPr="00C34488">
        <w:t>Long</w:t>
      </w:r>
      <w:proofErr w:type="gramEnd"/>
      <w:r w:rsidRPr="00C34488">
        <w:t xml:space="preserve"> notified media outlets of Washington’s termination and replacement, providing a copy of the termination letter and making statements in interviews consistent with the statements in the termination letter and Memorandum. *** A review of the [Memorandum]… reveals specific examples of misconduct (e.g., ‘multiple women have come forward with concerns about the workplace environment,’ Washington ‘never moved forward’ with the climate assessment)</w:t>
      </w:r>
      <w:r>
        <w:t>.”</w:t>
      </w:r>
      <w:r w:rsidRPr="00C34488">
        <w:t xml:space="preserve"> </w:t>
      </w:r>
    </w:p>
    <w:p w14:paraId="69FD9EEF" w14:textId="77777777" w:rsidR="00524648" w:rsidRPr="00C34488" w:rsidRDefault="00524648" w:rsidP="00524648">
      <w:pPr>
        <w:pStyle w:val="NoSpacing"/>
      </w:pPr>
    </w:p>
    <w:p w14:paraId="41C72665" w14:textId="77777777" w:rsidR="00524648" w:rsidRPr="00C34488" w:rsidRDefault="00524648" w:rsidP="00524648">
      <w:pPr>
        <w:pStyle w:val="NoSpacing"/>
        <w:numPr>
          <w:ilvl w:val="0"/>
          <w:numId w:val="28"/>
        </w:numPr>
      </w:pPr>
      <w:r w:rsidRPr="00C34488">
        <w:t>“Plaintiff requested a post-termination hearing before a neutral decisionmaker.</w:t>
      </w:r>
    </w:p>
    <w:p w14:paraId="1018B5EE" w14:textId="77777777" w:rsidR="00524648" w:rsidRPr="00C34488" w:rsidRDefault="00524648" w:rsidP="00524648">
      <w:pPr>
        <w:pStyle w:val="NoSpacing"/>
        <w:ind w:firstLine="720"/>
      </w:pPr>
      <w:r w:rsidRPr="00C34488">
        <w:t xml:space="preserve">Defendants responded by offering a post-termination hearing before Long, citing </w:t>
      </w:r>
      <w:proofErr w:type="gramStart"/>
      <w:r w:rsidRPr="00C34488">
        <w:t>to</w:t>
      </w:r>
      <w:proofErr w:type="gramEnd"/>
      <w:r w:rsidRPr="00C34488">
        <w:t xml:space="preserve"> the</w:t>
      </w:r>
    </w:p>
    <w:p w14:paraId="1F0818A5" w14:textId="77777777" w:rsidR="00524648" w:rsidRPr="00C34488" w:rsidRDefault="00524648" w:rsidP="00524648">
      <w:pPr>
        <w:pStyle w:val="NoSpacing"/>
        <w:ind w:left="720"/>
      </w:pPr>
      <w:r w:rsidRPr="00C34488">
        <w:t>City Charter…. No hearing was ever held.”</w:t>
      </w:r>
    </w:p>
    <w:p w14:paraId="14A639BA" w14:textId="77777777" w:rsidR="00524648" w:rsidRPr="00C34488" w:rsidRDefault="00524648" w:rsidP="00524648">
      <w:pPr>
        <w:pStyle w:val="NoSpacing"/>
      </w:pPr>
    </w:p>
    <w:p w14:paraId="4801487F" w14:textId="77777777" w:rsidR="00524648" w:rsidRPr="00C34488" w:rsidRDefault="00524648" w:rsidP="00524648">
      <w:pPr>
        <w:pStyle w:val="NoSpacing"/>
        <w:ind w:left="720" w:firstLine="720"/>
      </w:pPr>
      <w:r w:rsidRPr="00C34488">
        <w:lastRenderedPageBreak/>
        <w:t xml:space="preserve">City Charter provides: </w:t>
      </w:r>
    </w:p>
    <w:p w14:paraId="74470541" w14:textId="77777777" w:rsidR="00524648" w:rsidRPr="00C34488" w:rsidRDefault="00524648" w:rsidP="00524648">
      <w:pPr>
        <w:pStyle w:val="NoSpacing"/>
      </w:pPr>
    </w:p>
    <w:p w14:paraId="63A175A3" w14:textId="77777777" w:rsidR="00524648" w:rsidRPr="00C34488" w:rsidRDefault="00524648" w:rsidP="00524648">
      <w:pPr>
        <w:pStyle w:val="NoSpacing"/>
        <w:ind w:left="1440"/>
      </w:pPr>
      <w:r w:rsidRPr="00C34488">
        <w:t>“After the fire chief has served six months, he or she shall be subject to removal only for cause including incompetency, inefficiency, dishonesty, insubordination, unsatisfactory performance, any other failure of good behavior, any other acts of misfeasance, malfeasance, or nonfeasance in office, or conviction of any felony. If removed for cause the fire chief may demand written charges and the right to be heard thereon before the city manager. Pending the completion of such hearing the city manager may suspend the fire chief from office.”</w:t>
      </w:r>
    </w:p>
    <w:p w14:paraId="442AE520" w14:textId="77777777" w:rsidR="00524648" w:rsidRPr="00C34488" w:rsidRDefault="00524648" w:rsidP="00524648">
      <w:pPr>
        <w:pStyle w:val="NoSpacing"/>
      </w:pPr>
    </w:p>
    <w:p w14:paraId="3CA4E094" w14:textId="77777777" w:rsidR="00524648" w:rsidRPr="00C34488" w:rsidRDefault="00524648" w:rsidP="00524648">
      <w:pPr>
        <w:pStyle w:val="NoSpacing"/>
        <w:numPr>
          <w:ilvl w:val="0"/>
          <w:numId w:val="28"/>
        </w:numPr>
      </w:pPr>
      <w:r w:rsidRPr="00C34488">
        <w:t xml:space="preserve">“Here, Long's purposeful decision not to investigate or even to permit Washington to respond to the bullet points in the termination letter, combined with making allegedly false representations of verifiable facts within her knowledge, is sufficient to support a finding of actual malice…. No one disputes that the Charter language gave City Manager Long the authority to fire Plaintiff, albeit ‘only for cause’ given his length of service. But even the Charter language confirms that a pretermination hearing before the City Manager was required…. In </w:t>
      </w:r>
      <w:r w:rsidRPr="00C34488">
        <w:rPr>
          <w:u w:val="single"/>
        </w:rPr>
        <w:t>Loudermill</w:t>
      </w:r>
      <w:r w:rsidRPr="00C34488">
        <w:t>, the Supreme Court explained that suspension with pay strikes a balance between a government’s interest in immediate termination and an employee’s constitutional right to a pretermination hearing.”</w:t>
      </w:r>
    </w:p>
    <w:p w14:paraId="1C487372" w14:textId="77777777" w:rsidR="00524648" w:rsidRPr="00C34488" w:rsidRDefault="00524648" w:rsidP="00524648">
      <w:pPr>
        <w:pStyle w:val="NoSpacing"/>
      </w:pPr>
    </w:p>
    <w:p w14:paraId="2281A28D" w14:textId="77777777" w:rsidR="00524648" w:rsidRPr="00C34488" w:rsidRDefault="00524648" w:rsidP="00524648">
      <w:pPr>
        <w:pStyle w:val="NoSpacing"/>
        <w:rPr>
          <w:b/>
        </w:rPr>
      </w:pPr>
      <w:r w:rsidRPr="00C34488">
        <w:rPr>
          <w:b/>
        </w:rPr>
        <w:t xml:space="preserve">Legal lesson learned: A jury will now decide if the </w:t>
      </w:r>
      <w:r>
        <w:rPr>
          <w:b/>
        </w:rPr>
        <w:t xml:space="preserve">former Chief is entitled to damages when the </w:t>
      </w:r>
      <w:r w:rsidRPr="00C34488">
        <w:rPr>
          <w:b/>
        </w:rPr>
        <w:t xml:space="preserve">City Manager </w:t>
      </w:r>
      <w:r>
        <w:rPr>
          <w:b/>
        </w:rPr>
        <w:t xml:space="preserve">did not offer a pre-termination hearing; read the 1985 U.S. Supreme Court decision in </w:t>
      </w:r>
      <w:r w:rsidRPr="00C34488">
        <w:rPr>
          <w:b/>
          <w:u w:val="single"/>
        </w:rPr>
        <w:t>Cleveland Board of Education v. Loudermill</w:t>
      </w:r>
      <w:r w:rsidRPr="00C34488">
        <w:t xml:space="preserve">, </w:t>
      </w:r>
      <w:hyperlink r:id="rId2621" w:history="1">
        <w:r w:rsidRPr="00820086">
          <w:rPr>
            <w:rStyle w:val="Hyperlink"/>
          </w:rPr>
          <w:t>https://supreme.justia.com/cases/federal/us/470/532/</w:t>
        </w:r>
      </w:hyperlink>
      <w:r>
        <w:t xml:space="preserve"> </w:t>
      </w:r>
      <w:r w:rsidRPr="00C34488">
        <w:rPr>
          <w:b/>
        </w:rPr>
        <w:t xml:space="preserve"> </w:t>
      </w:r>
    </w:p>
    <w:p w14:paraId="6245AF4C" w14:textId="77777777" w:rsidR="00524648" w:rsidRPr="00C34488" w:rsidRDefault="00524648" w:rsidP="00524648">
      <w:pPr>
        <w:pStyle w:val="NoSpacing"/>
      </w:pPr>
    </w:p>
    <w:p w14:paraId="2662D9AB" w14:textId="77777777" w:rsidR="00524648" w:rsidRPr="00C34488" w:rsidRDefault="00524648" w:rsidP="00524648">
      <w:pPr>
        <w:pStyle w:val="NoSpacing"/>
        <w:ind w:left="720"/>
      </w:pPr>
      <w:r w:rsidRPr="00C34488">
        <w:t xml:space="preserve">Note: See Aug. 27, </w:t>
      </w:r>
      <w:proofErr w:type="gramStart"/>
      <w:r w:rsidRPr="00C34488">
        <w:t>2025</w:t>
      </w:r>
      <w:proofErr w:type="gramEnd"/>
      <w:r w:rsidRPr="00C34488">
        <w:t xml:space="preserve"> article, “Former Cincinnati fire chief's wrongful termination lawsuit is set for trial.”  </w:t>
      </w:r>
      <w:hyperlink r:id="rId2622" w:history="1">
        <w:r w:rsidRPr="00820086">
          <w:rPr>
            <w:rStyle w:val="Hyperlink"/>
          </w:rPr>
          <w:t>https://www.wvxu.org/politics/2025-08-27/michael-washington-wrongful-termination-lawsuit-trial</w:t>
        </w:r>
      </w:hyperlink>
      <w:r>
        <w:t xml:space="preserve"> </w:t>
      </w:r>
    </w:p>
    <w:p w14:paraId="39452D8B" w14:textId="77777777" w:rsidR="00524648" w:rsidRPr="00C34488" w:rsidRDefault="00524648" w:rsidP="00524648">
      <w:pPr>
        <w:pStyle w:val="NoSpacing"/>
        <w:rPr>
          <w:b/>
        </w:rPr>
      </w:pPr>
    </w:p>
    <w:p w14:paraId="33272C8D" w14:textId="77777777" w:rsidR="00524648" w:rsidRDefault="00524648" w:rsidP="00F326E5">
      <w:pPr>
        <w:pStyle w:val="NoSpacing"/>
        <w:rPr>
          <w:rFonts w:ascii="Arial Black" w:hAnsi="Arial Black"/>
          <w:b/>
          <w:sz w:val="24"/>
          <w:szCs w:val="24"/>
        </w:rPr>
      </w:pPr>
    </w:p>
    <w:p w14:paraId="680433B8" w14:textId="77777777" w:rsidR="00524648" w:rsidRDefault="00524648" w:rsidP="00F326E5">
      <w:pPr>
        <w:pStyle w:val="NoSpacing"/>
        <w:rPr>
          <w:rFonts w:ascii="Arial Black" w:hAnsi="Arial Black"/>
          <w:b/>
          <w:sz w:val="24"/>
          <w:szCs w:val="24"/>
        </w:rPr>
      </w:pPr>
    </w:p>
    <w:p w14:paraId="4E3E1644" w14:textId="77777777" w:rsidR="00524648" w:rsidRDefault="00524648" w:rsidP="00F326E5">
      <w:pPr>
        <w:pStyle w:val="NoSpacing"/>
        <w:rPr>
          <w:rFonts w:ascii="Arial Black" w:hAnsi="Arial Black"/>
          <w:b/>
          <w:sz w:val="24"/>
          <w:szCs w:val="24"/>
        </w:rPr>
      </w:pPr>
    </w:p>
    <w:p w14:paraId="08C6050E" w14:textId="77777777" w:rsidR="00524648" w:rsidRDefault="00524648" w:rsidP="00F326E5">
      <w:pPr>
        <w:pStyle w:val="NoSpacing"/>
        <w:rPr>
          <w:rFonts w:ascii="Arial Black" w:hAnsi="Arial Black"/>
          <w:b/>
          <w:sz w:val="24"/>
          <w:szCs w:val="24"/>
        </w:rPr>
      </w:pPr>
    </w:p>
    <w:p w14:paraId="388BCCFD" w14:textId="6C515F68" w:rsidR="000C4268" w:rsidRPr="000C4268" w:rsidRDefault="000C4268" w:rsidP="00F326E5">
      <w:pPr>
        <w:pStyle w:val="NoSpacing"/>
        <w:rPr>
          <w:rFonts w:ascii="Arial Black" w:hAnsi="Arial Black"/>
          <w:b/>
          <w:sz w:val="24"/>
          <w:szCs w:val="24"/>
        </w:rPr>
      </w:pPr>
      <w:r w:rsidRPr="000C4268">
        <w:rPr>
          <w:rFonts w:ascii="Arial Black" w:hAnsi="Arial Black"/>
          <w:b/>
          <w:sz w:val="24"/>
          <w:szCs w:val="24"/>
        </w:rPr>
        <w:t>16-130</w:t>
      </w:r>
    </w:p>
    <w:p w14:paraId="21E7035D" w14:textId="77777777" w:rsidR="00635D7C" w:rsidRDefault="00635D7C" w:rsidP="00CF19EA">
      <w:pPr>
        <w:pStyle w:val="NoSpacing"/>
        <w:rPr>
          <w:rFonts w:ascii="Arial Black" w:hAnsi="Arial Black"/>
          <w:sz w:val="28"/>
          <w:szCs w:val="28"/>
        </w:rPr>
      </w:pPr>
    </w:p>
    <w:p w14:paraId="042BABBF" w14:textId="77777777" w:rsidR="00DB5954" w:rsidRPr="00DD4F1A" w:rsidRDefault="00DB5954" w:rsidP="00DB5954">
      <w:pPr>
        <w:rPr>
          <w:rFonts w:ascii="Arial Black" w:hAnsi="Arial Black"/>
          <w:b/>
          <w:sz w:val="28"/>
          <w:szCs w:val="28"/>
        </w:rPr>
      </w:pPr>
      <w:r>
        <w:rPr>
          <w:rFonts w:ascii="Arial Black" w:hAnsi="Arial Black"/>
          <w:b/>
          <w:sz w:val="28"/>
          <w:szCs w:val="28"/>
        </w:rPr>
        <w:t>IN: FIRE CHIEF CONV. FRAUD – FD STOP ONLINE SALE PROP.</w:t>
      </w:r>
    </w:p>
    <w:p w14:paraId="1A6864FA" w14:textId="77777777" w:rsidR="00DB5954" w:rsidRPr="004B4757" w:rsidRDefault="00DB5954" w:rsidP="00DB5954">
      <w:pPr>
        <w:rPr>
          <w:rFonts w:ascii="Times New Roman" w:hAnsi="Times New Roman"/>
          <w:sz w:val="24"/>
          <w:szCs w:val="24"/>
        </w:rPr>
      </w:pPr>
      <w:r w:rsidRPr="004B4757">
        <w:rPr>
          <w:rFonts w:ascii="Times New Roman" w:hAnsi="Times New Roman"/>
          <w:sz w:val="24"/>
          <w:szCs w:val="24"/>
        </w:rPr>
        <w:t xml:space="preserve">On July 18, 2025, in </w:t>
      </w:r>
      <w:r w:rsidRPr="004B4757">
        <w:rPr>
          <w:rFonts w:ascii="Times New Roman" w:hAnsi="Times New Roman"/>
          <w:sz w:val="24"/>
          <w:szCs w:val="24"/>
          <w:u w:val="single"/>
        </w:rPr>
        <w:t>Utica Township Volunteer Fire Fighters Association d/b/a New Chapel EMS, and Utica Township Fire Department Incorporated d/b/a New Chapel Fire &amp; EMS v. Board of Trustees, Utica Township Fire Protection District</w:t>
      </w:r>
      <w:r w:rsidRPr="004B4757">
        <w:rPr>
          <w:rFonts w:ascii="Times New Roman" w:hAnsi="Times New Roman"/>
          <w:sz w:val="24"/>
          <w:szCs w:val="24"/>
        </w:rPr>
        <w:t xml:space="preserve">, the </w:t>
      </w:r>
      <w:r w:rsidRPr="004B4757">
        <w:rPr>
          <w:rFonts w:ascii="Times New Roman" w:hAnsi="Times New Roman"/>
          <w:bCs/>
          <w:sz w:val="24"/>
          <w:szCs w:val="24"/>
        </w:rPr>
        <w:t>Court of Appeals of Indiana</w:t>
      </w:r>
      <w:r w:rsidRPr="004B4757">
        <w:rPr>
          <w:rFonts w:ascii="Times New Roman" w:hAnsi="Times New Roman"/>
          <w:sz w:val="24"/>
          <w:szCs w:val="24"/>
        </w:rPr>
        <w:t xml:space="preserve"> held (3 to 0) that trial court properly issued a preliminary injunction on behalf of the Board of Trustees of the Utica Township Fire Protection District, preventing the Association and  the Department from selling various items of Fire District property via online sites.  Jamey Noel was the CEO of both the Association and the Department, and a former Indiana State Trooper; in Oct. 2014 he was sentenced to 15 years in prison under plea agreement.  According to press report: “Additionally included in the plea deal is an agreement for Noel to pay back more than $3.1 million in public funds: $2,870,924 to the Utica Volunteer Firefighters Association; $61,190 to the Clark County Sheriff’s Department; $173,155 to the Indiana Department of Revenue; and $35,245 to the Indiana State Police… Using findings from a long-term Indiana State Police investigation, state prosecutors alleged Noel used millions of taxpayer dollars from the Utica Volunteer Firefighters Association and New Chapel EMS to buy cars, planes, vacations, clothing and other personal luxury purchases. Investigators said public funds were also used to pay for college tuition and child </w:t>
      </w:r>
      <w:proofErr w:type="gramStart"/>
      <w:r w:rsidRPr="004B4757">
        <w:rPr>
          <w:rFonts w:ascii="Times New Roman" w:hAnsi="Times New Roman"/>
          <w:sz w:val="24"/>
          <w:szCs w:val="24"/>
        </w:rPr>
        <w:t>support.”</w:t>
      </w:r>
      <w:proofErr w:type="gramEnd"/>
      <w:r w:rsidRPr="004B4757">
        <w:rPr>
          <w:rFonts w:ascii="Times New Roman" w:hAnsi="Times New Roman"/>
          <w:sz w:val="24"/>
          <w:szCs w:val="24"/>
        </w:rPr>
        <w:t xml:space="preserve"> </w:t>
      </w:r>
      <w:hyperlink r:id="rId2623" w:history="1">
        <w:r w:rsidRPr="004B4757">
          <w:rPr>
            <w:rStyle w:val="Hyperlink"/>
            <w:rFonts w:ascii="Times New Roman" w:hAnsi="Times New Roman"/>
            <w:sz w:val="24"/>
            <w:szCs w:val="24"/>
          </w:rPr>
          <w:t>https://indianacapitalchronicle.com/2024/10/14/former-indiana-sheriff-jamey-noel-sentenced-to-15-years-in-prison-as-part-of-plea-deal/</w:t>
        </w:r>
      </w:hyperlink>
      <w:r w:rsidRPr="004B4757">
        <w:rPr>
          <w:rFonts w:ascii="Times New Roman" w:hAnsi="Times New Roman"/>
          <w:sz w:val="24"/>
          <w:szCs w:val="24"/>
        </w:rPr>
        <w:t xml:space="preserve"> .  THE COURT HELD:  “New Chapel first asserts that the trial court lacked sufficient evidence of the value of the Fire District's property that New Chapel </w:t>
      </w:r>
      <w:r w:rsidRPr="004B4757">
        <w:rPr>
          <w:rFonts w:ascii="Times New Roman" w:hAnsi="Times New Roman"/>
          <w:sz w:val="24"/>
          <w:szCs w:val="24"/>
        </w:rPr>
        <w:lastRenderedPageBreak/>
        <w:t xml:space="preserve">was attempting to misappropriate. But New Chapel is incorrect. The Fire District made it abundantly clear at the hearing that it had expended substantial sums on certain equipment, including nearly $700,000 on three vehicles alone. The record also makes New Chapel's ability to pay reasonable financial damages to the Fire District clear, including New Chapel's own admissions to the court. New Chapel's argument here is not supported by either the record or cogent </w:t>
      </w:r>
      <w:proofErr w:type="gramStart"/>
      <w:r w:rsidRPr="004B4757">
        <w:rPr>
          <w:rFonts w:ascii="Times New Roman" w:hAnsi="Times New Roman"/>
          <w:sz w:val="24"/>
          <w:szCs w:val="24"/>
        </w:rPr>
        <w:t>reasoning.”</w:t>
      </w:r>
      <w:proofErr w:type="gramEnd"/>
      <w:r w:rsidRPr="004B4757">
        <w:rPr>
          <w:rFonts w:ascii="Times New Roman" w:hAnsi="Times New Roman"/>
          <w:sz w:val="24"/>
          <w:szCs w:val="24"/>
        </w:rPr>
        <w:t xml:space="preserve"> </w:t>
      </w:r>
      <w:hyperlink r:id="rId2624" w:history="1">
        <w:r w:rsidRPr="004B4757">
          <w:rPr>
            <w:rStyle w:val="Hyperlink"/>
            <w:rFonts w:ascii="Times New Roman" w:hAnsi="Times New Roman"/>
            <w:sz w:val="24"/>
            <w:szCs w:val="24"/>
          </w:rPr>
          <w:t>https://cases.justia.com/indiana/court-of-appeals/2025-24a-pl-02646.pdf?ts=1752863306</w:t>
        </w:r>
      </w:hyperlink>
      <w:r w:rsidRPr="004B4757">
        <w:rPr>
          <w:rFonts w:ascii="Times New Roman" w:hAnsi="Times New Roman"/>
          <w:sz w:val="24"/>
          <w:szCs w:val="24"/>
        </w:rPr>
        <w:t xml:space="preserve"> </w:t>
      </w:r>
    </w:p>
    <w:p w14:paraId="17AFDDD8" w14:textId="77777777" w:rsidR="004B4757" w:rsidRPr="004B4757" w:rsidRDefault="004B4757" w:rsidP="004B4757">
      <w:pPr>
        <w:rPr>
          <w:rFonts w:ascii="Times New Roman" w:hAnsi="Times New Roman"/>
          <w:b/>
          <w:sz w:val="24"/>
          <w:szCs w:val="24"/>
        </w:rPr>
      </w:pPr>
      <w:r w:rsidRPr="004B4757">
        <w:rPr>
          <w:rFonts w:ascii="Times New Roman" w:hAnsi="Times New Roman"/>
          <w:b/>
          <w:sz w:val="24"/>
          <w:szCs w:val="24"/>
        </w:rPr>
        <w:t xml:space="preserve">Legal lesson learned:  Conduct annual financial audits. </w:t>
      </w:r>
    </w:p>
    <w:p w14:paraId="50DE6270" w14:textId="77777777" w:rsidR="004B4757" w:rsidRPr="004B4757" w:rsidRDefault="004B4757" w:rsidP="004B4757">
      <w:pPr>
        <w:ind w:left="720"/>
        <w:rPr>
          <w:rFonts w:ascii="Times New Roman" w:hAnsi="Times New Roman"/>
          <w:sz w:val="24"/>
          <w:szCs w:val="24"/>
        </w:rPr>
      </w:pPr>
      <w:r w:rsidRPr="004B4757">
        <w:rPr>
          <w:rFonts w:ascii="Times New Roman" w:hAnsi="Times New Roman"/>
          <w:sz w:val="24"/>
          <w:szCs w:val="24"/>
        </w:rPr>
        <w:t xml:space="preserve">Note:  Watch this July 28, 2025 – YouTube: “Utica Fire Department still reeling from Jamey Noel Scandal as debt, distrust remain.” </w:t>
      </w:r>
      <w:hyperlink r:id="rId2625" w:history="1">
        <w:r w:rsidRPr="004B4757">
          <w:rPr>
            <w:rStyle w:val="Hyperlink"/>
            <w:rFonts w:ascii="Times New Roman" w:hAnsi="Times New Roman"/>
            <w:sz w:val="24"/>
            <w:szCs w:val="24"/>
          </w:rPr>
          <w:t>https://www.youtube.com/watch?v=roZMeWZrCG4</w:t>
        </w:r>
      </w:hyperlink>
      <w:r w:rsidRPr="004B4757">
        <w:rPr>
          <w:rFonts w:ascii="Times New Roman" w:hAnsi="Times New Roman"/>
          <w:sz w:val="24"/>
          <w:szCs w:val="24"/>
        </w:rPr>
        <w:t xml:space="preserve">  </w:t>
      </w:r>
    </w:p>
    <w:p w14:paraId="61E33337" w14:textId="77777777" w:rsidR="000C4268" w:rsidRDefault="000C4268" w:rsidP="00075D20">
      <w:pPr>
        <w:pStyle w:val="NoSpacing"/>
        <w:rPr>
          <w:rFonts w:ascii="Arial Black" w:hAnsi="Arial Black"/>
          <w:sz w:val="24"/>
          <w:szCs w:val="24"/>
        </w:rPr>
      </w:pPr>
    </w:p>
    <w:p w14:paraId="081EEA86" w14:textId="254BA41A" w:rsidR="000F4170" w:rsidRDefault="000C4268" w:rsidP="00075D20">
      <w:pPr>
        <w:pStyle w:val="NoSpacing"/>
        <w:rPr>
          <w:rFonts w:ascii="Arial Black" w:hAnsi="Arial Black"/>
          <w:sz w:val="24"/>
          <w:szCs w:val="24"/>
        </w:rPr>
      </w:pPr>
      <w:r>
        <w:rPr>
          <w:rFonts w:ascii="Arial Black" w:hAnsi="Arial Black"/>
          <w:sz w:val="24"/>
          <w:szCs w:val="24"/>
        </w:rPr>
        <w:t>16-129</w:t>
      </w:r>
    </w:p>
    <w:p w14:paraId="123327BD" w14:textId="77777777" w:rsidR="00075D20" w:rsidRDefault="00075D20" w:rsidP="00FB04CF">
      <w:pPr>
        <w:pStyle w:val="NoSpacing"/>
        <w:rPr>
          <w:rFonts w:ascii="Arial Black" w:hAnsi="Arial Black"/>
          <w:sz w:val="24"/>
          <w:szCs w:val="24"/>
        </w:rPr>
      </w:pPr>
    </w:p>
    <w:p w14:paraId="7CEA9B98" w14:textId="77777777" w:rsidR="00680D61" w:rsidRPr="0078246B" w:rsidRDefault="00680D61" w:rsidP="00680D61">
      <w:pPr>
        <w:rPr>
          <w:rFonts w:ascii="Arial Black" w:hAnsi="Arial Black"/>
          <w:b/>
          <w:sz w:val="28"/>
          <w:szCs w:val="28"/>
        </w:rPr>
      </w:pPr>
      <w:r>
        <w:rPr>
          <w:rFonts w:ascii="Arial Black" w:hAnsi="Arial Black"/>
          <w:b/>
          <w:sz w:val="28"/>
          <w:szCs w:val="28"/>
        </w:rPr>
        <w:t>PA: FF / SEX 8</w:t>
      </w:r>
      <w:r w:rsidRPr="00CC082C">
        <w:rPr>
          <w:rFonts w:ascii="Arial Black" w:hAnsi="Arial Black"/>
          <w:b/>
          <w:sz w:val="28"/>
          <w:szCs w:val="28"/>
          <w:vertAlign w:val="superscript"/>
        </w:rPr>
        <w:t>th</w:t>
      </w:r>
      <w:r>
        <w:rPr>
          <w:rFonts w:ascii="Arial Black" w:hAnsi="Arial Black"/>
          <w:b/>
          <w:sz w:val="28"/>
          <w:szCs w:val="28"/>
        </w:rPr>
        <w:t xml:space="preserve"> GRADER - FED. &amp; PA JUDGES – STAY PRISON </w:t>
      </w:r>
    </w:p>
    <w:p w14:paraId="4F601A8B" w14:textId="77777777" w:rsidR="00680D61" w:rsidRPr="000C4268" w:rsidRDefault="00680D61" w:rsidP="00680D61">
      <w:pPr>
        <w:pStyle w:val="NoSpacing"/>
        <w:rPr>
          <w:rFonts w:ascii="Times New Roman" w:hAnsi="Times New Roman"/>
          <w:sz w:val="24"/>
          <w:szCs w:val="24"/>
        </w:rPr>
      </w:pPr>
      <w:r w:rsidRPr="000C4268">
        <w:rPr>
          <w:rFonts w:ascii="Times New Roman" w:hAnsi="Times New Roman"/>
          <w:sz w:val="24"/>
          <w:szCs w:val="24"/>
        </w:rPr>
        <w:t xml:space="preserve">On July 14, 2025, in </w:t>
      </w:r>
      <w:r w:rsidRPr="000C4268">
        <w:rPr>
          <w:rFonts w:ascii="Times New Roman" w:hAnsi="Times New Roman"/>
          <w:sz w:val="24"/>
          <w:szCs w:val="24"/>
          <w:u w:val="single"/>
        </w:rPr>
        <w:t>Christopher Anthony Taylor v. George M. Little</w:t>
      </w:r>
      <w:r w:rsidRPr="000C4268">
        <w:rPr>
          <w:rFonts w:ascii="Times New Roman" w:hAnsi="Times New Roman"/>
          <w:sz w:val="24"/>
          <w:szCs w:val="24"/>
        </w:rPr>
        <w:t xml:space="preserve">, U.S. District Court Judge Robert D. Mariani, United States District Court for Middle District of Pennsylvania, denied Mr. Taylor’s petition for a </w:t>
      </w:r>
      <w:proofErr w:type="spellStart"/>
      <w:r w:rsidRPr="000C4268">
        <w:rPr>
          <w:rFonts w:ascii="Times New Roman" w:hAnsi="Times New Roman"/>
          <w:sz w:val="24"/>
          <w:szCs w:val="24"/>
        </w:rPr>
        <w:t>write</w:t>
      </w:r>
      <w:proofErr w:type="spellEnd"/>
      <w:r w:rsidRPr="000C4268">
        <w:rPr>
          <w:rFonts w:ascii="Times New Roman" w:hAnsi="Times New Roman"/>
          <w:sz w:val="24"/>
          <w:szCs w:val="24"/>
        </w:rPr>
        <w:t xml:space="preserve"> of habeas corpus; he is currently serving an 8 – 16 -year prison sentence in Pennsylvania state prison for having sexual relations with 8</w:t>
      </w:r>
      <w:r w:rsidRPr="000C4268">
        <w:rPr>
          <w:rFonts w:ascii="Times New Roman" w:hAnsi="Times New Roman"/>
          <w:sz w:val="24"/>
          <w:szCs w:val="24"/>
          <w:vertAlign w:val="superscript"/>
        </w:rPr>
        <w:t>th</w:t>
      </w:r>
      <w:r w:rsidRPr="000C4268">
        <w:rPr>
          <w:rFonts w:ascii="Times New Roman" w:hAnsi="Times New Roman"/>
          <w:sz w:val="24"/>
          <w:szCs w:val="24"/>
        </w:rPr>
        <w:t xml:space="preserve"> grade cadet.  On March 6, 2013, following a jury trial, Taylor was convicted of one count each of statutory sexual assault [victim was 8</w:t>
      </w:r>
      <w:r w:rsidRPr="000C4268">
        <w:rPr>
          <w:rFonts w:ascii="Times New Roman" w:hAnsi="Times New Roman"/>
          <w:sz w:val="24"/>
          <w:szCs w:val="24"/>
          <w:vertAlign w:val="superscript"/>
        </w:rPr>
        <w:t>th</w:t>
      </w:r>
      <w:r w:rsidRPr="000C4268">
        <w:rPr>
          <w:rFonts w:ascii="Times New Roman" w:hAnsi="Times New Roman"/>
          <w:sz w:val="24"/>
          <w:szCs w:val="24"/>
        </w:rPr>
        <w:t xml:space="preserve"> grader, fire cadet, when started sexual relations], aggravated indecent assault—less than 16 years of age, indecent assault—less than 16 years of age, unlawful contact with a minor—sexual offenses, involuntary deviate sexual intercourse—less than 16 years of age, and corruption of minors.  A trial court later denied his petition for release, and on Nov. 22, 2021, the Superior Court of Pennsylvania likewise denied his release from prison, and on June 2, 2022, the Pennsylvania Supreme Court denied Taylor's petition for allowance of appeal.  THE COURT HELD:  “Further, under 28 U.S.C. § 2254(e)(1), a federal court is required to presume that a state court's findings of fact are correct. A petitioner may only rebut this presumption with clear and convincing evidence of the state court's error…. The Court will deny the § 2254 petition for writ of habeas corpus.”</w:t>
      </w:r>
    </w:p>
    <w:p w14:paraId="51DF41C2" w14:textId="34E717F2" w:rsidR="00680D61" w:rsidRPr="000C4268" w:rsidRDefault="00680D61" w:rsidP="00680D61">
      <w:pPr>
        <w:pStyle w:val="NoSpacing"/>
        <w:rPr>
          <w:rFonts w:ascii="Times New Roman" w:hAnsi="Times New Roman"/>
          <w:sz w:val="24"/>
          <w:szCs w:val="24"/>
        </w:rPr>
      </w:pPr>
      <w:hyperlink r:id="rId2626" w:history="1">
        <w:r w:rsidRPr="000C4268">
          <w:rPr>
            <w:rStyle w:val="Hyperlink"/>
            <w:rFonts w:ascii="Times New Roman" w:hAnsi="Times New Roman"/>
            <w:sz w:val="24"/>
            <w:szCs w:val="24"/>
          </w:rPr>
          <w:t>https://public.fastcase.com/jaEE2PXzRXmZ99jOLMt1IqmI6%2FwIkVosxkHnLXFS%2Fh3vCPBsdexRYsXhu3dcS77RM93%2Fb%2FlmP%2FEht28r%2FEOUuz%2BdIsVF1KqStdKclsmvBXo%3D?utm_medium=email&amp;_hsenc=p2ANqtz-_Dn6dsk63fb2EPfPT1163Ju7zkOyiRsNHg_eV5kST7JoaZI-2AGCvSnryJrMriUeP5UHxNkfyzrDvNunm7WCvoOt678w&amp;_hsmi=226712652&amp;utm_content=226712652&amp;utm_source=hs_email</w:t>
        </w:r>
      </w:hyperlink>
    </w:p>
    <w:p w14:paraId="5B731448" w14:textId="77777777" w:rsidR="000C4268" w:rsidRDefault="000C4268" w:rsidP="000C4268">
      <w:pPr>
        <w:rPr>
          <w:b/>
        </w:rPr>
      </w:pPr>
      <w:r w:rsidRPr="000C4268">
        <w:rPr>
          <w:rFonts w:ascii="Times New Roman" w:hAnsi="Times New Roman"/>
          <w:b/>
          <w:sz w:val="24"/>
          <w:szCs w:val="24"/>
        </w:rPr>
        <w:t>Legal lesson learned: Sex with a minor led to prison, and judges in PA and U.S. District Court have denied his release</w:t>
      </w:r>
      <w:r>
        <w:rPr>
          <w:b/>
        </w:rPr>
        <w:t xml:space="preserve">. </w:t>
      </w:r>
    </w:p>
    <w:p w14:paraId="3592CBBE" w14:textId="77777777" w:rsidR="00075D20" w:rsidRDefault="00075D20" w:rsidP="00FB04CF">
      <w:pPr>
        <w:pStyle w:val="NoSpacing"/>
        <w:rPr>
          <w:rFonts w:ascii="Arial Black" w:hAnsi="Arial Black"/>
          <w:sz w:val="24"/>
          <w:szCs w:val="24"/>
        </w:rPr>
      </w:pPr>
    </w:p>
    <w:p w14:paraId="7FFBC2C6" w14:textId="77777777" w:rsidR="00075D20" w:rsidRDefault="00075D20" w:rsidP="00FB04CF">
      <w:pPr>
        <w:pStyle w:val="NoSpacing"/>
        <w:rPr>
          <w:rFonts w:ascii="Arial Black" w:hAnsi="Arial Black"/>
          <w:sz w:val="24"/>
          <w:szCs w:val="24"/>
        </w:rPr>
      </w:pPr>
    </w:p>
    <w:p w14:paraId="4B82F522" w14:textId="5B9F0E7D" w:rsidR="00FB04CF" w:rsidRDefault="00FB04CF" w:rsidP="00FB04CF">
      <w:pPr>
        <w:pStyle w:val="NoSpacing"/>
        <w:rPr>
          <w:rFonts w:ascii="Arial Black" w:hAnsi="Arial Black"/>
          <w:sz w:val="24"/>
          <w:szCs w:val="24"/>
        </w:rPr>
      </w:pPr>
      <w:r>
        <w:rPr>
          <w:rFonts w:ascii="Arial Black" w:hAnsi="Arial Black"/>
          <w:sz w:val="24"/>
          <w:szCs w:val="24"/>
        </w:rPr>
        <w:t>16-128</w:t>
      </w:r>
    </w:p>
    <w:p w14:paraId="10CE0ADA" w14:textId="77777777" w:rsidR="00FB04CF" w:rsidRDefault="00FB04CF" w:rsidP="00CF19EA">
      <w:pPr>
        <w:pStyle w:val="NoSpacing"/>
        <w:rPr>
          <w:rFonts w:ascii="Arial Black" w:hAnsi="Arial Black"/>
          <w:sz w:val="28"/>
          <w:szCs w:val="28"/>
        </w:rPr>
      </w:pPr>
    </w:p>
    <w:p w14:paraId="1F241C7E" w14:textId="52BBA427" w:rsidR="00444FB7" w:rsidRPr="005967C5" w:rsidRDefault="00444FB7" w:rsidP="00444FB7">
      <w:pPr>
        <w:pStyle w:val="NoSpacing"/>
        <w:rPr>
          <w:rFonts w:ascii="Arial Black" w:hAnsi="Arial Black"/>
          <w:sz w:val="28"/>
          <w:szCs w:val="28"/>
        </w:rPr>
      </w:pPr>
      <w:r w:rsidRPr="005967C5">
        <w:rPr>
          <w:rFonts w:ascii="Arial Black" w:hAnsi="Arial Black"/>
          <w:sz w:val="28"/>
          <w:szCs w:val="28"/>
        </w:rPr>
        <w:t xml:space="preserve">HI: INVEST OF 2 B/C – PAID SUSP. 6-MO - NOT “DISCIPLINE” </w:t>
      </w:r>
    </w:p>
    <w:p w14:paraId="4765D6C1" w14:textId="77777777" w:rsidR="00444FB7" w:rsidRPr="00393E4D" w:rsidRDefault="00444FB7" w:rsidP="00444FB7">
      <w:pPr>
        <w:pStyle w:val="NoSpacing"/>
        <w:rPr>
          <w:rFonts w:ascii="Times New Roman" w:hAnsi="Times New Roman"/>
          <w:sz w:val="24"/>
          <w:szCs w:val="24"/>
        </w:rPr>
      </w:pPr>
    </w:p>
    <w:p w14:paraId="28EC80CF" w14:textId="77777777" w:rsidR="00444FB7" w:rsidRPr="00393E4D" w:rsidRDefault="00444FB7" w:rsidP="00444FB7">
      <w:pPr>
        <w:pStyle w:val="NoSpacing"/>
        <w:rPr>
          <w:rFonts w:ascii="Times New Roman" w:hAnsi="Times New Roman"/>
          <w:sz w:val="24"/>
          <w:szCs w:val="24"/>
        </w:rPr>
      </w:pPr>
      <w:r w:rsidRPr="00393E4D">
        <w:rPr>
          <w:rFonts w:ascii="Times New Roman" w:hAnsi="Times New Roman"/>
          <w:sz w:val="24"/>
          <w:szCs w:val="24"/>
        </w:rPr>
        <w:t xml:space="preserve">On June 27, 2025, in </w:t>
      </w:r>
      <w:r w:rsidRPr="00393E4D">
        <w:rPr>
          <w:rFonts w:ascii="Times New Roman" w:hAnsi="Times New Roman"/>
          <w:sz w:val="24"/>
          <w:szCs w:val="24"/>
          <w:u w:val="single"/>
        </w:rPr>
        <w:t>Steve F. Loyola and Ty Aaron Madeiros v. County of Hawaii</w:t>
      </w:r>
      <w:r w:rsidRPr="00393E4D">
        <w:rPr>
          <w:rFonts w:ascii="Times New Roman" w:hAnsi="Times New Roman"/>
          <w:sz w:val="24"/>
          <w:szCs w:val="24"/>
        </w:rPr>
        <w:t xml:space="preserve">, the Intermediate Court of Appeals of Hawaii held (3 to 0; unpublished decision) that the trial court judge and the Merit Appeals Board of the County (MAP) properly found that the two Battalion Chiefs were never “disciplined” when they were suspended with pay from November 21, 2014 until June 2015 while retired Police Chief conducted an investigation of their allegations of unsatisfactory management by Fire Chief Darren J. Rosario.  The </w:t>
      </w:r>
      <w:r w:rsidRPr="00393E4D">
        <w:rPr>
          <w:rFonts w:ascii="Times New Roman" w:hAnsi="Times New Roman"/>
          <w:sz w:val="24"/>
          <w:szCs w:val="24"/>
        </w:rPr>
        <w:lastRenderedPageBreak/>
        <w:t xml:space="preserve">investigation was conducted by a retired Police Chief after the Battalion Chief made written allegations against the Fire Chief: (1) Medeiros on September 15, 2014 sent a memorandum to the Fire Chief, copying the Mayor and the Fire Commission, requesting the Fire Chief's resignation to protect HFD from ‘further damage’ and to protect the safety of HFD personnel. (2) Loyola on September 23, </w:t>
      </w:r>
      <w:proofErr w:type="gramStart"/>
      <w:r w:rsidRPr="00393E4D">
        <w:rPr>
          <w:rFonts w:ascii="Times New Roman" w:hAnsi="Times New Roman"/>
          <w:sz w:val="24"/>
          <w:szCs w:val="24"/>
        </w:rPr>
        <w:t>2014</w:t>
      </w:r>
      <w:proofErr w:type="gramEnd"/>
      <w:r w:rsidRPr="00393E4D">
        <w:rPr>
          <w:rFonts w:ascii="Times New Roman" w:hAnsi="Times New Roman"/>
          <w:sz w:val="24"/>
          <w:szCs w:val="24"/>
        </w:rPr>
        <w:t xml:space="preserve"> sent a ‘Letter of No Confidence’ in the Fire Chief to the Fire Commission requesting Fire Chief's removal for ‘unsatisfactory management.’  The retired Police Chief interviewed 23 </w:t>
      </w:r>
      <w:proofErr w:type="gramStart"/>
      <w:r w:rsidRPr="00393E4D">
        <w:rPr>
          <w:rFonts w:ascii="Times New Roman" w:hAnsi="Times New Roman"/>
          <w:sz w:val="24"/>
          <w:szCs w:val="24"/>
        </w:rPr>
        <w:t>people, and</w:t>
      </w:r>
      <w:proofErr w:type="gramEnd"/>
      <w:r w:rsidRPr="00393E4D">
        <w:rPr>
          <w:rFonts w:ascii="Times New Roman" w:hAnsi="Times New Roman"/>
          <w:sz w:val="24"/>
          <w:szCs w:val="24"/>
        </w:rPr>
        <w:t xml:space="preserve"> submitted a 106-page final report on June 9, 2015, concluding most of allegations against the Fire Chief were ‘speculative,’ ‘unsubstantiated’ and ‘uncorroborated’ and the two Battalion Chiefs had violated six FD regulations.  THE COURT HELD: “The record supports that the approximately six-months-long duration of Appellants' paid administrative leave, from November 21, 2014 to June 2015, while the investigation was being completed, was reasonable due to the volume of interviews conducted (23 witnesses), the large number of allegations (27 total) raised by Appellants, and the Fire Chief's accusations against the Appellants…. Appellants' ‘indefinite leave with </w:t>
      </w:r>
      <w:proofErr w:type="spellStart"/>
      <w:r w:rsidRPr="00393E4D">
        <w:rPr>
          <w:rFonts w:ascii="Times New Roman" w:hAnsi="Times New Roman"/>
          <w:sz w:val="24"/>
          <w:szCs w:val="24"/>
        </w:rPr>
        <w:t>pay"’challenge</w:t>
      </w:r>
      <w:proofErr w:type="spellEnd"/>
      <w:r w:rsidRPr="00393E4D">
        <w:rPr>
          <w:rFonts w:ascii="Times New Roman" w:hAnsi="Times New Roman"/>
          <w:sz w:val="24"/>
          <w:szCs w:val="24"/>
        </w:rPr>
        <w:t xml:space="preserve"> lacks merit…. We conclude the Circuit Court correctly affirmed the MAB's conclusion resolving the claim of entitlement to overtime while on paid administrative leave…. Appellants' ‘denial of overtime’ challenge lacks merit.” </w:t>
      </w:r>
    </w:p>
    <w:p w14:paraId="14163EBF" w14:textId="77777777" w:rsidR="00444FB7" w:rsidRPr="00393E4D" w:rsidRDefault="00444FB7" w:rsidP="00444FB7">
      <w:pPr>
        <w:pStyle w:val="NoSpacing"/>
        <w:rPr>
          <w:rFonts w:ascii="Times New Roman" w:hAnsi="Times New Roman"/>
          <w:sz w:val="24"/>
          <w:szCs w:val="24"/>
        </w:rPr>
      </w:pPr>
      <w:hyperlink r:id="rId2627" w:history="1">
        <w:r w:rsidRPr="00393E4D">
          <w:rPr>
            <w:rStyle w:val="Hyperlink"/>
            <w:rFonts w:ascii="Times New Roman" w:hAnsi="Times New Roman"/>
            <w:sz w:val="24"/>
            <w:szCs w:val="24"/>
          </w:rPr>
          <w:t>https://www.courts.state.hi.us/wp-content/uploads/2025/06/CAAP-22-0000641sdo.pdf</w:t>
        </w:r>
      </w:hyperlink>
      <w:r w:rsidRPr="00393E4D">
        <w:rPr>
          <w:rFonts w:ascii="Times New Roman" w:hAnsi="Times New Roman"/>
          <w:sz w:val="24"/>
          <w:szCs w:val="24"/>
        </w:rPr>
        <w:t xml:space="preserve"> </w:t>
      </w:r>
    </w:p>
    <w:p w14:paraId="3471EC0C" w14:textId="77777777" w:rsidR="00444FB7" w:rsidRPr="00393E4D" w:rsidRDefault="00444FB7" w:rsidP="00444FB7">
      <w:pPr>
        <w:pStyle w:val="NoSpacing"/>
        <w:rPr>
          <w:rFonts w:ascii="Times New Roman" w:hAnsi="Times New Roman"/>
          <w:sz w:val="24"/>
          <w:szCs w:val="24"/>
        </w:rPr>
      </w:pPr>
    </w:p>
    <w:p w14:paraId="00C50028" w14:textId="77777777" w:rsidR="00393E4D" w:rsidRDefault="00393E4D" w:rsidP="00393E4D">
      <w:pPr>
        <w:pStyle w:val="NoSpacing"/>
        <w:rPr>
          <w:rFonts w:ascii="Times New Roman" w:hAnsi="Times New Roman"/>
          <w:b/>
          <w:sz w:val="24"/>
          <w:szCs w:val="24"/>
        </w:rPr>
      </w:pPr>
      <w:r w:rsidRPr="00393E4D">
        <w:rPr>
          <w:rFonts w:ascii="Times New Roman" w:hAnsi="Times New Roman"/>
          <w:b/>
          <w:sz w:val="24"/>
          <w:szCs w:val="24"/>
        </w:rPr>
        <w:t xml:space="preserve">Legal lesson learned: Suspension without loss of pay is a reasonable management response to investigate serious allegations.  </w:t>
      </w:r>
    </w:p>
    <w:p w14:paraId="3E5B5B44" w14:textId="77777777" w:rsidR="00C305D0" w:rsidRDefault="00C305D0" w:rsidP="00393E4D">
      <w:pPr>
        <w:pStyle w:val="NoSpacing"/>
        <w:rPr>
          <w:rFonts w:ascii="Times New Roman" w:hAnsi="Times New Roman"/>
          <w:b/>
          <w:sz w:val="24"/>
          <w:szCs w:val="24"/>
        </w:rPr>
      </w:pPr>
    </w:p>
    <w:p w14:paraId="2A2803B5" w14:textId="77777777" w:rsidR="00C305D0" w:rsidRDefault="00C305D0" w:rsidP="00393E4D">
      <w:pPr>
        <w:pStyle w:val="NoSpacing"/>
        <w:rPr>
          <w:rFonts w:ascii="Times New Roman" w:hAnsi="Times New Roman"/>
          <w:b/>
          <w:sz w:val="24"/>
          <w:szCs w:val="24"/>
        </w:rPr>
      </w:pPr>
    </w:p>
    <w:p w14:paraId="5E569175" w14:textId="12BB879B" w:rsidR="00FB04CF" w:rsidRDefault="00FB04CF" w:rsidP="00FB04CF">
      <w:pPr>
        <w:pStyle w:val="NoSpacing"/>
        <w:rPr>
          <w:rFonts w:ascii="Arial Black" w:hAnsi="Arial Black"/>
          <w:sz w:val="24"/>
          <w:szCs w:val="24"/>
        </w:rPr>
      </w:pPr>
      <w:r>
        <w:rPr>
          <w:rFonts w:ascii="Arial Black" w:hAnsi="Arial Black"/>
          <w:sz w:val="24"/>
          <w:szCs w:val="24"/>
        </w:rPr>
        <w:t>16-127</w:t>
      </w:r>
    </w:p>
    <w:p w14:paraId="4A1E5FCF" w14:textId="77777777" w:rsidR="00FB04CF" w:rsidRDefault="00FB04CF" w:rsidP="00393E4D">
      <w:pPr>
        <w:pStyle w:val="NoSpacing"/>
        <w:rPr>
          <w:rFonts w:ascii="Times New Roman" w:hAnsi="Times New Roman"/>
          <w:b/>
          <w:sz w:val="24"/>
          <w:szCs w:val="24"/>
        </w:rPr>
      </w:pPr>
    </w:p>
    <w:p w14:paraId="7BCC0E89" w14:textId="77777777" w:rsidR="00FB04CF" w:rsidRDefault="00FB04CF" w:rsidP="00393E4D">
      <w:pPr>
        <w:pStyle w:val="NoSpacing"/>
        <w:rPr>
          <w:rFonts w:ascii="Times New Roman" w:hAnsi="Times New Roman"/>
          <w:b/>
          <w:sz w:val="24"/>
          <w:szCs w:val="24"/>
        </w:rPr>
      </w:pPr>
    </w:p>
    <w:p w14:paraId="18318FD4" w14:textId="77777777" w:rsidR="00C305D0" w:rsidRDefault="00C305D0" w:rsidP="00C305D0">
      <w:pPr>
        <w:rPr>
          <w:rFonts w:ascii="Arial Black" w:hAnsi="Arial Black"/>
          <w:b/>
          <w:sz w:val="28"/>
          <w:szCs w:val="28"/>
        </w:rPr>
      </w:pPr>
      <w:r>
        <w:rPr>
          <w:rFonts w:ascii="Arial Black" w:hAnsi="Arial Black"/>
          <w:b/>
          <w:sz w:val="28"/>
          <w:szCs w:val="28"/>
        </w:rPr>
        <w:t xml:space="preserve">DE: DEP. CHIEF – SEX 15-YR OLD CADET – 35-YRS IN PRISON </w:t>
      </w:r>
    </w:p>
    <w:p w14:paraId="40676EDD" w14:textId="77777777" w:rsidR="00C305D0" w:rsidRPr="00BF3522" w:rsidRDefault="00C305D0" w:rsidP="00C305D0">
      <w:pPr>
        <w:pStyle w:val="NoSpacing"/>
        <w:rPr>
          <w:rFonts w:ascii="Times New Roman" w:hAnsi="Times New Roman"/>
          <w:bCs/>
          <w:sz w:val="24"/>
          <w:szCs w:val="24"/>
        </w:rPr>
      </w:pPr>
      <w:r w:rsidRPr="00BF3522">
        <w:rPr>
          <w:rFonts w:ascii="Times New Roman" w:hAnsi="Times New Roman"/>
          <w:sz w:val="24"/>
          <w:szCs w:val="24"/>
        </w:rPr>
        <w:t xml:space="preserve">On June 24, 2025, in </w:t>
      </w:r>
      <w:r w:rsidRPr="00BF3522">
        <w:rPr>
          <w:rFonts w:ascii="Times New Roman" w:hAnsi="Times New Roman"/>
          <w:sz w:val="24"/>
          <w:szCs w:val="24"/>
          <w:u w:val="single"/>
        </w:rPr>
        <w:t>Dwayne L. Pearson v. State of Delaware</w:t>
      </w:r>
      <w:r w:rsidRPr="00BF3522">
        <w:rPr>
          <w:rFonts w:ascii="Times New Roman" w:hAnsi="Times New Roman"/>
          <w:sz w:val="24"/>
          <w:szCs w:val="24"/>
        </w:rPr>
        <w:t xml:space="preserve">, the Supreme Court of Delaware held (5 to 0) that the former Deputy Fire Chief was properly convicted of for sexual abuse of a child “by a person in a position of trust, authority or supervision.”  In May 2022, fifteen-year-old M.M. was voted in as a Mill Creek junior firefighter.  Dwayne Peasrson was Deputy Fire Chief of neighboring Belvedere Fire Department; the evidence showed he groomed her into having several sexual contacts in August 2022.  He was arrested in January 2023, indicted and then proceeded to trial on January 22, 2024, convicted by a jury and sentenced July 3, </w:t>
      </w:r>
      <w:proofErr w:type="gramStart"/>
      <w:r w:rsidRPr="00BF3522">
        <w:rPr>
          <w:rFonts w:ascii="Times New Roman" w:hAnsi="Times New Roman"/>
          <w:sz w:val="24"/>
          <w:szCs w:val="24"/>
        </w:rPr>
        <w:t>2024</w:t>
      </w:r>
      <w:proofErr w:type="gramEnd"/>
      <w:r w:rsidRPr="00BF3522">
        <w:rPr>
          <w:rFonts w:ascii="Times New Roman" w:hAnsi="Times New Roman"/>
          <w:sz w:val="24"/>
          <w:szCs w:val="24"/>
        </w:rPr>
        <w:t xml:space="preserve"> to 35 years in prison.  THE COURT HELD: “A reasonable jury could find that Pearson stood in a ‘position of trust, authority or supervision’ over M.M. under subsection (e)(2) of the statute.” </w:t>
      </w:r>
    </w:p>
    <w:p w14:paraId="42F3A5EF" w14:textId="5B14ECA0" w:rsidR="00C305D0" w:rsidRPr="00BF3522" w:rsidRDefault="00C305D0" w:rsidP="00C305D0">
      <w:pPr>
        <w:pStyle w:val="NoSpacing"/>
        <w:rPr>
          <w:rFonts w:ascii="Times New Roman" w:hAnsi="Times New Roman"/>
          <w:sz w:val="24"/>
          <w:szCs w:val="24"/>
        </w:rPr>
      </w:pPr>
      <w:hyperlink r:id="rId2628" w:history="1">
        <w:r w:rsidRPr="00BF3522">
          <w:rPr>
            <w:rStyle w:val="Hyperlink"/>
            <w:rFonts w:ascii="Times New Roman" w:hAnsi="Times New Roman"/>
            <w:sz w:val="24"/>
            <w:szCs w:val="24"/>
          </w:rPr>
          <w:t>https://courts.delaware.gov/Opinions/Download.aspx?id=381340</w:t>
        </w:r>
      </w:hyperlink>
      <w:r w:rsidRPr="00BF3522">
        <w:rPr>
          <w:rFonts w:ascii="Times New Roman" w:hAnsi="Times New Roman"/>
          <w:sz w:val="24"/>
          <w:szCs w:val="24"/>
        </w:rPr>
        <w:t xml:space="preserve">  </w:t>
      </w:r>
    </w:p>
    <w:p w14:paraId="1D24BF21" w14:textId="77777777" w:rsidR="00BF3522" w:rsidRPr="00BF3522" w:rsidRDefault="00BF3522" w:rsidP="00C305D0">
      <w:pPr>
        <w:pStyle w:val="NoSpacing"/>
        <w:rPr>
          <w:rFonts w:ascii="Times New Roman" w:hAnsi="Times New Roman"/>
          <w:sz w:val="24"/>
          <w:szCs w:val="24"/>
        </w:rPr>
      </w:pPr>
    </w:p>
    <w:p w14:paraId="4695CDA7" w14:textId="77777777" w:rsidR="00BF3522" w:rsidRPr="00BF3522" w:rsidRDefault="00BF3522" w:rsidP="00BF3522">
      <w:pPr>
        <w:pStyle w:val="NoSpacing"/>
        <w:rPr>
          <w:rFonts w:ascii="Times New Roman" w:hAnsi="Times New Roman"/>
          <w:b/>
          <w:bCs/>
          <w:sz w:val="24"/>
          <w:szCs w:val="24"/>
        </w:rPr>
      </w:pPr>
      <w:r w:rsidRPr="00BF3522">
        <w:rPr>
          <w:rFonts w:ascii="Times New Roman" w:hAnsi="Times New Roman"/>
          <w:b/>
          <w:sz w:val="24"/>
          <w:szCs w:val="24"/>
        </w:rPr>
        <w:t xml:space="preserve">Legal lesson learned: Former Deputy Chief now in prison and has exhausted all his state court appeals. </w:t>
      </w:r>
    </w:p>
    <w:p w14:paraId="7BFF4BDE" w14:textId="77777777" w:rsidR="00BF3522" w:rsidRPr="00BF3522" w:rsidRDefault="00BF3522" w:rsidP="00BF3522">
      <w:pPr>
        <w:pStyle w:val="NoSpacing"/>
        <w:rPr>
          <w:rFonts w:ascii="Times New Roman" w:hAnsi="Times New Roman"/>
          <w:b/>
          <w:bCs/>
          <w:sz w:val="24"/>
          <w:szCs w:val="24"/>
        </w:rPr>
      </w:pPr>
      <w:r w:rsidRPr="00BF3522">
        <w:rPr>
          <w:rFonts w:ascii="Times New Roman" w:hAnsi="Times New Roman"/>
          <w:b/>
          <w:sz w:val="24"/>
          <w:szCs w:val="24"/>
        </w:rPr>
        <w:tab/>
      </w:r>
    </w:p>
    <w:p w14:paraId="0C0E7970" w14:textId="77777777" w:rsidR="00BF3522" w:rsidRPr="00BF3522" w:rsidRDefault="00BF3522" w:rsidP="00BF3522">
      <w:pPr>
        <w:pStyle w:val="NoSpacing"/>
        <w:rPr>
          <w:rFonts w:ascii="Times New Roman" w:hAnsi="Times New Roman"/>
          <w:sz w:val="24"/>
          <w:szCs w:val="24"/>
        </w:rPr>
      </w:pPr>
      <w:r w:rsidRPr="00BF3522">
        <w:rPr>
          <w:rFonts w:ascii="Times New Roman" w:hAnsi="Times New Roman"/>
          <w:b/>
          <w:sz w:val="24"/>
          <w:szCs w:val="24"/>
        </w:rPr>
        <w:tab/>
      </w:r>
      <w:r w:rsidRPr="00BF3522">
        <w:rPr>
          <w:rFonts w:ascii="Times New Roman" w:hAnsi="Times New Roman"/>
          <w:sz w:val="24"/>
          <w:szCs w:val="24"/>
        </w:rPr>
        <w:t xml:space="preserve">Note: See this article, “Former Deputy Fire Chief Arrested for Rape” (Jan. 13, 2023). </w:t>
      </w:r>
    </w:p>
    <w:p w14:paraId="225585D8" w14:textId="77777777" w:rsidR="00BF3522" w:rsidRPr="00BF3522" w:rsidRDefault="00BF3522" w:rsidP="00BF3522">
      <w:pPr>
        <w:ind w:firstLine="720"/>
        <w:rPr>
          <w:rFonts w:ascii="Times New Roman" w:hAnsi="Times New Roman"/>
          <w:b/>
          <w:sz w:val="24"/>
          <w:szCs w:val="24"/>
        </w:rPr>
      </w:pPr>
      <w:hyperlink r:id="rId2629" w:history="1">
        <w:r w:rsidRPr="00BF3522">
          <w:rPr>
            <w:rStyle w:val="Hyperlink"/>
            <w:rFonts w:ascii="Times New Roman" w:hAnsi="Times New Roman"/>
            <w:sz w:val="24"/>
            <w:szCs w:val="24"/>
          </w:rPr>
          <w:t>https://dsp.delaware.gov/2023/01/13/former-deputy-fire-chief-arrested-for-rape/</w:t>
        </w:r>
      </w:hyperlink>
      <w:r w:rsidRPr="00BF3522">
        <w:rPr>
          <w:rFonts w:ascii="Times New Roman" w:hAnsi="Times New Roman"/>
          <w:b/>
          <w:sz w:val="24"/>
          <w:szCs w:val="24"/>
        </w:rPr>
        <w:t xml:space="preserve"> </w:t>
      </w:r>
    </w:p>
    <w:p w14:paraId="45FC863C" w14:textId="77777777" w:rsidR="00BF3522" w:rsidRPr="00BF3522" w:rsidRDefault="00BF3522" w:rsidP="00BF3522">
      <w:pPr>
        <w:ind w:left="720"/>
        <w:rPr>
          <w:rFonts w:ascii="Times New Roman" w:hAnsi="Times New Roman"/>
          <w:b/>
          <w:sz w:val="24"/>
          <w:szCs w:val="24"/>
        </w:rPr>
      </w:pPr>
      <w:r w:rsidRPr="00BF3522">
        <w:rPr>
          <w:rFonts w:ascii="Times New Roman" w:hAnsi="Times New Roman"/>
          <w:sz w:val="24"/>
          <w:szCs w:val="24"/>
        </w:rPr>
        <w:t xml:space="preserve">This is his second appeal (and our second review of this case); on June 10, 2024, his appeal to the Superior Court of Delaware was denied. </w:t>
      </w:r>
      <w:hyperlink r:id="rId2630" w:history="1">
        <w:r w:rsidRPr="00BF3522">
          <w:rPr>
            <w:rStyle w:val="Hyperlink"/>
            <w:rFonts w:ascii="Times New Roman" w:hAnsi="Times New Roman"/>
            <w:sz w:val="24"/>
            <w:szCs w:val="24"/>
          </w:rPr>
          <w:t>https://cases.justia.com/delaware/superior-court/2024-2301003924.pdf?ts=1718040749</w:t>
        </w:r>
      </w:hyperlink>
    </w:p>
    <w:p w14:paraId="176631EB" w14:textId="77777777" w:rsidR="00BF3522" w:rsidRPr="00393E4D" w:rsidRDefault="00BF3522" w:rsidP="00C305D0">
      <w:pPr>
        <w:pStyle w:val="NoSpacing"/>
        <w:rPr>
          <w:rFonts w:ascii="Times New Roman" w:hAnsi="Times New Roman"/>
          <w:b/>
          <w:bCs/>
          <w:sz w:val="24"/>
          <w:szCs w:val="24"/>
        </w:rPr>
      </w:pPr>
    </w:p>
    <w:p w14:paraId="769D8FA5" w14:textId="3FDAA4E1" w:rsidR="00FB04CF" w:rsidRDefault="00FB04CF" w:rsidP="00FB04CF">
      <w:pPr>
        <w:pStyle w:val="NoSpacing"/>
        <w:rPr>
          <w:rFonts w:ascii="Arial Black" w:hAnsi="Arial Black"/>
          <w:sz w:val="24"/>
          <w:szCs w:val="24"/>
        </w:rPr>
      </w:pPr>
      <w:r>
        <w:rPr>
          <w:rFonts w:ascii="Arial Black" w:hAnsi="Arial Black"/>
          <w:sz w:val="24"/>
          <w:szCs w:val="24"/>
        </w:rPr>
        <w:t>16-126</w:t>
      </w:r>
    </w:p>
    <w:p w14:paraId="20A3A9EB" w14:textId="77777777" w:rsidR="00393E4D" w:rsidRDefault="00393E4D" w:rsidP="00393E4D">
      <w:pPr>
        <w:pStyle w:val="NoSpacing"/>
        <w:ind w:left="720"/>
      </w:pPr>
    </w:p>
    <w:p w14:paraId="39CFDEA7" w14:textId="77777777" w:rsidR="00FB04CF" w:rsidRDefault="00FB04CF" w:rsidP="00393E4D">
      <w:pPr>
        <w:pStyle w:val="NoSpacing"/>
        <w:ind w:left="720"/>
      </w:pPr>
    </w:p>
    <w:p w14:paraId="6F25DC5E" w14:textId="77777777" w:rsidR="004160C7" w:rsidRDefault="004160C7" w:rsidP="004160C7">
      <w:pPr>
        <w:rPr>
          <w:rFonts w:ascii="Arial Black" w:hAnsi="Arial Black"/>
          <w:b/>
          <w:sz w:val="28"/>
          <w:szCs w:val="28"/>
        </w:rPr>
      </w:pPr>
      <w:r>
        <w:rPr>
          <w:rFonts w:ascii="Arial Black" w:hAnsi="Arial Black"/>
          <w:b/>
          <w:sz w:val="28"/>
          <w:szCs w:val="28"/>
        </w:rPr>
        <w:t>TX: CHIEF FIRED – DIDN’T TELL CITY / TESTIFYING FF CASE</w:t>
      </w:r>
    </w:p>
    <w:p w14:paraId="1A83FD55" w14:textId="77777777" w:rsidR="004160C7" w:rsidRPr="000174EF" w:rsidRDefault="004160C7" w:rsidP="004160C7">
      <w:pPr>
        <w:pStyle w:val="NoSpacing"/>
        <w:rPr>
          <w:rFonts w:ascii="Times New Roman" w:hAnsi="Times New Roman"/>
          <w:sz w:val="24"/>
          <w:szCs w:val="24"/>
        </w:rPr>
      </w:pPr>
      <w:r w:rsidRPr="000174EF">
        <w:rPr>
          <w:rFonts w:ascii="Times New Roman" w:hAnsi="Times New Roman"/>
          <w:sz w:val="24"/>
          <w:szCs w:val="24"/>
        </w:rPr>
        <w:lastRenderedPageBreak/>
        <w:t xml:space="preserve">On June 16, 2025, in </w:t>
      </w:r>
      <w:r w:rsidRPr="000174EF">
        <w:rPr>
          <w:rFonts w:ascii="Times New Roman" w:hAnsi="Times New Roman"/>
          <w:sz w:val="24"/>
          <w:szCs w:val="24"/>
          <w:u w:val="single"/>
        </w:rPr>
        <w:t>Mark Hamilton v. The City of Wilmer, Texas, et al</w:t>
      </w:r>
      <w:r w:rsidRPr="000174EF">
        <w:rPr>
          <w:rFonts w:ascii="Times New Roman" w:hAnsi="Times New Roman"/>
          <w:sz w:val="24"/>
          <w:szCs w:val="24"/>
        </w:rPr>
        <w:t xml:space="preserve">., the U.S. Court of Appeals for the Fifth Circuit (New Orleans) held (3 to 0) that the trial court properly granted the City’s motion for summary judgment.  Fire Chief did not have First Amendment right to testify in a firefighter’s criminal probation revocation hearing. Failure to get prior permission by City Administrator, or City Attorney, was serious breach of “maintaining proper discipline in public service.” The Chief’s testimony “could have been seen as an endorsement on behalf of the Fire Department rather than merely his personal opinion.”  In 2019 the firefighter was arrested for putting recording equipment in the bathroom of the fire station (he claimed it was to find out who stole items from his locker).  He was eventually returned to duty, and on probation in criminal case.  The Fire Chief received a subpoena on June 22, 2022, for a hearing the next day – but he didn’t tell City Administrator or City Attorney. The firefighter told him it was simply about getting new legal counsel. The June 23, </w:t>
      </w:r>
      <w:proofErr w:type="gramStart"/>
      <w:r w:rsidRPr="000174EF">
        <w:rPr>
          <w:rFonts w:ascii="Times New Roman" w:hAnsi="Times New Roman"/>
          <w:sz w:val="24"/>
          <w:szCs w:val="24"/>
        </w:rPr>
        <w:t>2022</w:t>
      </w:r>
      <w:proofErr w:type="gramEnd"/>
      <w:r w:rsidRPr="000174EF">
        <w:rPr>
          <w:rFonts w:ascii="Times New Roman" w:hAnsi="Times New Roman"/>
          <w:sz w:val="24"/>
          <w:szCs w:val="24"/>
        </w:rPr>
        <w:t xml:space="preserve"> hearing was </w:t>
      </w:r>
      <w:proofErr w:type="gramStart"/>
      <w:r w:rsidRPr="000174EF">
        <w:rPr>
          <w:rFonts w:ascii="Times New Roman" w:hAnsi="Times New Roman"/>
          <w:sz w:val="24"/>
          <w:szCs w:val="24"/>
        </w:rPr>
        <w:t>actually about</w:t>
      </w:r>
      <w:proofErr w:type="gramEnd"/>
      <w:r w:rsidRPr="000174EF">
        <w:rPr>
          <w:rFonts w:ascii="Times New Roman" w:hAnsi="Times New Roman"/>
          <w:sz w:val="24"/>
          <w:szCs w:val="24"/>
        </w:rPr>
        <w:t xml:space="preserve"> County Prosecutor seeking to revoke probation because the firefighter had “visited adult sexually oriented websites on his phone.”  At the conclusion of the hearing the Chief was “shocked” when judge revoked the firefighter’s probation and ordered him into custody to serve three months (270 days) in prison.  The firefighter resigned that day.  The Fire Chief didn’t inform City </w:t>
      </w:r>
      <w:proofErr w:type="gramStart"/>
      <w:r w:rsidRPr="000174EF">
        <w:rPr>
          <w:rFonts w:ascii="Times New Roman" w:hAnsi="Times New Roman"/>
          <w:sz w:val="24"/>
          <w:szCs w:val="24"/>
        </w:rPr>
        <w:t>Administrator</w:t>
      </w:r>
      <w:proofErr w:type="gramEnd"/>
      <w:r w:rsidRPr="000174EF">
        <w:rPr>
          <w:rFonts w:ascii="Times New Roman" w:hAnsi="Times New Roman"/>
          <w:sz w:val="24"/>
          <w:szCs w:val="24"/>
        </w:rPr>
        <w:t xml:space="preserve"> didn’t immediately inform the City Administrator about the hearing results or the resignation; he waited until the following afternoon.  THE COURT HELD: “The issue here is whether Hamilton has stated a claim that he was fired in retaliation for protected First Amendment activity. We find that he has not, so we AFFIRM the decision of the district court.”</w:t>
      </w:r>
    </w:p>
    <w:p w14:paraId="29885B5E" w14:textId="4D927D67" w:rsidR="004160C7" w:rsidRPr="000174EF" w:rsidRDefault="00910AD4" w:rsidP="00A359DC">
      <w:pPr>
        <w:pStyle w:val="NoSpacing"/>
        <w:rPr>
          <w:rFonts w:ascii="Times New Roman" w:hAnsi="Times New Roman"/>
          <w:sz w:val="24"/>
          <w:szCs w:val="24"/>
        </w:rPr>
      </w:pPr>
      <w:hyperlink r:id="rId2631" w:history="1">
        <w:r w:rsidRPr="000174EF">
          <w:rPr>
            <w:rStyle w:val="Hyperlink"/>
            <w:rFonts w:ascii="Times New Roman" w:hAnsi="Times New Roman"/>
            <w:sz w:val="24"/>
            <w:szCs w:val="24"/>
          </w:rPr>
          <w:t>https://www.ca5.uscourts.gov/opinions/pub/23/23-10881-CV0.pdf</w:t>
        </w:r>
      </w:hyperlink>
    </w:p>
    <w:p w14:paraId="514F0559" w14:textId="77777777" w:rsidR="00635D7C" w:rsidRPr="000174EF" w:rsidRDefault="00635D7C" w:rsidP="00CF19EA">
      <w:pPr>
        <w:pStyle w:val="NoSpacing"/>
        <w:rPr>
          <w:rFonts w:ascii="Times New Roman" w:hAnsi="Times New Roman"/>
          <w:sz w:val="24"/>
          <w:szCs w:val="24"/>
        </w:rPr>
      </w:pPr>
    </w:p>
    <w:p w14:paraId="1CDF3564" w14:textId="77777777" w:rsidR="000174EF" w:rsidRPr="000174EF" w:rsidRDefault="000174EF" w:rsidP="000174EF">
      <w:pPr>
        <w:pStyle w:val="NoSpacing"/>
        <w:rPr>
          <w:rFonts w:ascii="Times New Roman" w:hAnsi="Times New Roman"/>
          <w:sz w:val="24"/>
          <w:szCs w:val="24"/>
        </w:rPr>
      </w:pPr>
      <w:r w:rsidRPr="000174EF">
        <w:rPr>
          <w:rFonts w:ascii="Times New Roman" w:hAnsi="Times New Roman"/>
          <w:b/>
          <w:sz w:val="24"/>
          <w:szCs w:val="24"/>
        </w:rPr>
        <w:t xml:space="preserve">Legal lesson learned: If subpoenaed to testify about a firefighter in a criminal </w:t>
      </w:r>
      <w:r w:rsidRPr="000174EF">
        <w:rPr>
          <w:rFonts w:ascii="Times New Roman" w:hAnsi="Times New Roman"/>
          <w:b/>
          <w:bCs/>
          <w:sz w:val="24"/>
          <w:szCs w:val="24"/>
        </w:rPr>
        <w:t xml:space="preserve">or other court </w:t>
      </w:r>
      <w:r w:rsidRPr="000174EF">
        <w:rPr>
          <w:rFonts w:ascii="Times New Roman" w:hAnsi="Times New Roman"/>
          <w:b/>
          <w:sz w:val="24"/>
          <w:szCs w:val="24"/>
        </w:rPr>
        <w:t xml:space="preserve">proceeding, inform </w:t>
      </w:r>
      <w:r w:rsidRPr="000174EF">
        <w:rPr>
          <w:rFonts w:ascii="Times New Roman" w:hAnsi="Times New Roman"/>
          <w:b/>
          <w:bCs/>
          <w:sz w:val="24"/>
          <w:szCs w:val="24"/>
        </w:rPr>
        <w:t xml:space="preserve">Manager and </w:t>
      </w:r>
      <w:r w:rsidRPr="000174EF">
        <w:rPr>
          <w:rFonts w:ascii="Times New Roman" w:hAnsi="Times New Roman"/>
          <w:b/>
          <w:sz w:val="24"/>
          <w:szCs w:val="24"/>
        </w:rPr>
        <w:t xml:space="preserve">Legal Counsel and follow their advice.  </w:t>
      </w:r>
    </w:p>
    <w:p w14:paraId="0DDE1BDA" w14:textId="77777777" w:rsidR="000174EF" w:rsidRPr="000174EF" w:rsidRDefault="000174EF" w:rsidP="00CF19EA">
      <w:pPr>
        <w:pStyle w:val="NoSpacing"/>
        <w:rPr>
          <w:rFonts w:ascii="Times New Roman" w:hAnsi="Times New Roman"/>
          <w:sz w:val="24"/>
          <w:szCs w:val="24"/>
        </w:rPr>
      </w:pPr>
    </w:p>
    <w:p w14:paraId="3E3F347F" w14:textId="77777777" w:rsidR="00635D7C" w:rsidRDefault="00635D7C" w:rsidP="00CF19EA">
      <w:pPr>
        <w:pStyle w:val="NoSpacing"/>
        <w:rPr>
          <w:rFonts w:ascii="Arial Black" w:hAnsi="Arial Black"/>
          <w:sz w:val="28"/>
          <w:szCs w:val="28"/>
        </w:rPr>
      </w:pPr>
    </w:p>
    <w:p w14:paraId="29782655" w14:textId="3B2A3EE3" w:rsidR="00FB04CF" w:rsidRDefault="00FB04CF" w:rsidP="00FB04CF">
      <w:pPr>
        <w:pStyle w:val="NoSpacing"/>
        <w:rPr>
          <w:rFonts w:ascii="Arial Black" w:hAnsi="Arial Black"/>
          <w:sz w:val="24"/>
          <w:szCs w:val="24"/>
        </w:rPr>
      </w:pPr>
      <w:r>
        <w:rPr>
          <w:rFonts w:ascii="Arial Black" w:hAnsi="Arial Black"/>
          <w:sz w:val="24"/>
          <w:szCs w:val="24"/>
        </w:rPr>
        <w:t>16-125</w:t>
      </w:r>
    </w:p>
    <w:p w14:paraId="014AB115" w14:textId="77777777" w:rsidR="00FB04CF" w:rsidRDefault="00FB04CF" w:rsidP="00E631C5">
      <w:pPr>
        <w:pStyle w:val="NoSpacing"/>
        <w:rPr>
          <w:rFonts w:ascii="Arial Black" w:hAnsi="Arial Black"/>
          <w:sz w:val="28"/>
          <w:szCs w:val="28"/>
        </w:rPr>
      </w:pPr>
    </w:p>
    <w:p w14:paraId="2539C951" w14:textId="0F9A3CFE" w:rsidR="00E631C5" w:rsidRDefault="00E631C5" w:rsidP="00E631C5">
      <w:pPr>
        <w:pStyle w:val="NoSpacing"/>
        <w:rPr>
          <w:rFonts w:ascii="Arial Black" w:hAnsi="Arial Black"/>
          <w:sz w:val="28"/>
          <w:szCs w:val="28"/>
        </w:rPr>
      </w:pPr>
      <w:r>
        <w:rPr>
          <w:rFonts w:ascii="Arial Black" w:hAnsi="Arial Black"/>
          <w:sz w:val="28"/>
          <w:szCs w:val="28"/>
        </w:rPr>
        <w:t xml:space="preserve">NJ: EMS CHIEF / OFFICE ROMANCE </w:t>
      </w:r>
      <w:r w:rsidR="009B1B97">
        <w:rPr>
          <w:rFonts w:ascii="Arial Black" w:hAnsi="Arial Black"/>
          <w:sz w:val="28"/>
          <w:szCs w:val="28"/>
        </w:rPr>
        <w:t xml:space="preserve">WITH </w:t>
      </w:r>
      <w:r>
        <w:rPr>
          <w:rFonts w:ascii="Arial Black" w:hAnsi="Arial Black"/>
          <w:sz w:val="28"/>
          <w:szCs w:val="28"/>
        </w:rPr>
        <w:t>SUBORDINATE – FIRED</w:t>
      </w:r>
    </w:p>
    <w:p w14:paraId="447C31A6" w14:textId="77777777" w:rsidR="009B1B97" w:rsidRPr="00FB04CF" w:rsidRDefault="009B1B97" w:rsidP="009B1B97">
      <w:pPr>
        <w:pStyle w:val="NoSpacing"/>
        <w:rPr>
          <w:rFonts w:ascii="Times New Roman" w:hAnsi="Times New Roman"/>
          <w:sz w:val="24"/>
          <w:szCs w:val="24"/>
        </w:rPr>
      </w:pPr>
      <w:hyperlink r:id="rId2632" w:history="1">
        <w:r w:rsidRPr="00FB04CF">
          <w:rPr>
            <w:rStyle w:val="Hyperlink"/>
            <w:rFonts w:ascii="Times New Roman" w:hAnsi="Times New Roman"/>
            <w:sz w:val="24"/>
            <w:szCs w:val="24"/>
          </w:rPr>
          <w:t>https://www.njcourts.gov/system/files/court-opinions/2025/a1587-23.pdf</w:t>
        </w:r>
      </w:hyperlink>
      <w:r w:rsidRPr="00FB04CF">
        <w:rPr>
          <w:rFonts w:ascii="Times New Roman" w:hAnsi="Times New Roman"/>
          <w:sz w:val="24"/>
          <w:szCs w:val="24"/>
        </w:rPr>
        <w:t xml:space="preserve"> </w:t>
      </w:r>
    </w:p>
    <w:p w14:paraId="65FD60EC" w14:textId="77777777" w:rsidR="009B1B97" w:rsidRDefault="009B1B97" w:rsidP="00E631C5">
      <w:pPr>
        <w:pStyle w:val="NoSpacing"/>
        <w:rPr>
          <w:rFonts w:ascii="Arial Black" w:hAnsi="Arial Black"/>
          <w:sz w:val="28"/>
          <w:szCs w:val="28"/>
        </w:rPr>
      </w:pPr>
    </w:p>
    <w:p w14:paraId="34ECEAE3" w14:textId="77777777" w:rsidR="00E631C5" w:rsidRPr="00FB04CF" w:rsidRDefault="00E631C5" w:rsidP="00E631C5">
      <w:pPr>
        <w:pStyle w:val="NoSpacing"/>
        <w:rPr>
          <w:rFonts w:ascii="Times New Roman" w:hAnsi="Times New Roman"/>
          <w:sz w:val="24"/>
          <w:szCs w:val="24"/>
        </w:rPr>
      </w:pPr>
      <w:r w:rsidRPr="00FB04CF">
        <w:rPr>
          <w:rFonts w:ascii="Times New Roman" w:hAnsi="Times New Roman"/>
          <w:sz w:val="24"/>
          <w:szCs w:val="24"/>
        </w:rPr>
        <w:t xml:space="preserve">On May 20, 2025, </w:t>
      </w:r>
      <w:r w:rsidRPr="00FB04CF">
        <w:rPr>
          <w:rFonts w:ascii="Times New Roman" w:hAnsi="Times New Roman"/>
          <w:sz w:val="24"/>
          <w:szCs w:val="24"/>
          <w:u w:val="single"/>
        </w:rPr>
        <w:t xml:space="preserve">In </w:t>
      </w:r>
      <w:proofErr w:type="gramStart"/>
      <w:r w:rsidRPr="00FB04CF">
        <w:rPr>
          <w:rFonts w:ascii="Times New Roman" w:hAnsi="Times New Roman"/>
          <w:sz w:val="24"/>
          <w:szCs w:val="24"/>
          <w:u w:val="single"/>
        </w:rPr>
        <w:t>The</w:t>
      </w:r>
      <w:proofErr w:type="gramEnd"/>
      <w:r w:rsidRPr="00FB04CF">
        <w:rPr>
          <w:rFonts w:ascii="Times New Roman" w:hAnsi="Times New Roman"/>
          <w:sz w:val="24"/>
          <w:szCs w:val="24"/>
          <w:u w:val="single"/>
        </w:rPr>
        <w:t xml:space="preserve"> Matter </w:t>
      </w:r>
      <w:proofErr w:type="gramStart"/>
      <w:r w:rsidRPr="00FB04CF">
        <w:rPr>
          <w:rFonts w:ascii="Times New Roman" w:hAnsi="Times New Roman"/>
          <w:sz w:val="24"/>
          <w:szCs w:val="24"/>
          <w:u w:val="single"/>
        </w:rPr>
        <w:t>Of</w:t>
      </w:r>
      <w:proofErr w:type="gramEnd"/>
      <w:r w:rsidRPr="00FB04CF">
        <w:rPr>
          <w:rFonts w:ascii="Times New Roman" w:hAnsi="Times New Roman"/>
          <w:sz w:val="24"/>
          <w:szCs w:val="24"/>
          <w:u w:val="single"/>
        </w:rPr>
        <w:t xml:space="preserve"> Michelle Sampson. Upper Township, Department of Recreation and Public Health</w:t>
      </w:r>
      <w:r w:rsidRPr="00FB04CF">
        <w:rPr>
          <w:rFonts w:ascii="Times New Roman" w:hAnsi="Times New Roman"/>
          <w:sz w:val="24"/>
          <w:szCs w:val="24"/>
        </w:rPr>
        <w:t xml:space="preserve">, the Superior Court of New Jersey, Appellate Division, held (2 to 0; unpublished decision) that the New Jersey Civil Service Commission on December 20, </w:t>
      </w:r>
      <w:proofErr w:type="gramStart"/>
      <w:r w:rsidRPr="00FB04CF">
        <w:rPr>
          <w:rFonts w:ascii="Times New Roman" w:hAnsi="Times New Roman"/>
          <w:sz w:val="24"/>
          <w:szCs w:val="24"/>
        </w:rPr>
        <w:t>2023</w:t>
      </w:r>
      <w:proofErr w:type="gramEnd"/>
      <w:r w:rsidRPr="00FB04CF">
        <w:rPr>
          <w:rFonts w:ascii="Times New Roman" w:hAnsi="Times New Roman"/>
          <w:sz w:val="24"/>
          <w:szCs w:val="24"/>
        </w:rPr>
        <w:t xml:space="preserve"> properly upheld Township’s firing M. Sampson for repeatedly violating the Dating Policy.  Petitioner and [her boyfriend] J.H. were engaged in a romantic relationship that began and ended in 2007 while both were co-employees. In 2016, petitioner and J.H., both married to others, rekindled their romantic relationship and began an extra-marital affair and never reported this to the Township. THE COURT HELD: “Petitioner should have disclosed the conflict or abstained from taking part in the hiring process once M.H. [wife of J.H.] was a candidate. As such, the Agency's final decision was not arbitrary and capricious.”  </w:t>
      </w:r>
    </w:p>
    <w:p w14:paraId="7FFBE4B9" w14:textId="77777777" w:rsidR="00E631C5" w:rsidRPr="00FB04CF" w:rsidRDefault="00E631C5" w:rsidP="00E631C5">
      <w:pPr>
        <w:pStyle w:val="NoSpacing"/>
        <w:rPr>
          <w:rFonts w:ascii="Times New Roman" w:hAnsi="Times New Roman"/>
          <w:sz w:val="24"/>
          <w:szCs w:val="24"/>
        </w:rPr>
      </w:pPr>
      <w:hyperlink r:id="rId2633" w:history="1">
        <w:r w:rsidRPr="00FB04CF">
          <w:rPr>
            <w:rStyle w:val="Hyperlink"/>
            <w:rFonts w:ascii="Times New Roman" w:hAnsi="Times New Roman"/>
            <w:sz w:val="24"/>
            <w:szCs w:val="24"/>
          </w:rPr>
          <w:t>https://www.njcourts.gov/system/files/court-opinions/2025/a1587-23.pdf</w:t>
        </w:r>
      </w:hyperlink>
      <w:r w:rsidRPr="00FB04CF">
        <w:rPr>
          <w:rFonts w:ascii="Times New Roman" w:hAnsi="Times New Roman"/>
          <w:sz w:val="24"/>
          <w:szCs w:val="24"/>
        </w:rPr>
        <w:t xml:space="preserve"> </w:t>
      </w:r>
    </w:p>
    <w:p w14:paraId="7D827A60" w14:textId="77777777" w:rsidR="00E631C5" w:rsidRPr="00FB04CF" w:rsidRDefault="00E631C5" w:rsidP="00E631C5">
      <w:pPr>
        <w:pStyle w:val="NoSpacing"/>
        <w:rPr>
          <w:rFonts w:ascii="Times New Roman" w:hAnsi="Times New Roman"/>
          <w:sz w:val="24"/>
          <w:szCs w:val="24"/>
        </w:rPr>
      </w:pPr>
    </w:p>
    <w:p w14:paraId="257DBC9E" w14:textId="77777777" w:rsidR="00FB04CF" w:rsidRPr="00FB04CF" w:rsidRDefault="00FB04CF" w:rsidP="00FB04CF">
      <w:pPr>
        <w:pStyle w:val="NoSpacing"/>
        <w:rPr>
          <w:rFonts w:ascii="Times New Roman" w:hAnsi="Times New Roman"/>
          <w:b/>
          <w:bCs/>
          <w:sz w:val="24"/>
          <w:szCs w:val="24"/>
        </w:rPr>
      </w:pPr>
      <w:r w:rsidRPr="00FB04CF">
        <w:rPr>
          <w:rFonts w:ascii="Times New Roman" w:hAnsi="Times New Roman"/>
          <w:b/>
          <w:sz w:val="24"/>
          <w:szCs w:val="24"/>
        </w:rPr>
        <w:t>Legal lesson learned:  A “Dating Policy” requiring supervisors to report dating of subordinates is an excellent management tool.</w:t>
      </w:r>
    </w:p>
    <w:p w14:paraId="63B9D170" w14:textId="77777777" w:rsidR="00FB04CF" w:rsidRPr="00FB04CF" w:rsidRDefault="00FB04CF" w:rsidP="00FB04CF">
      <w:pPr>
        <w:pStyle w:val="NoSpacing"/>
        <w:rPr>
          <w:rFonts w:ascii="Times New Roman" w:hAnsi="Times New Roman"/>
          <w:sz w:val="24"/>
          <w:szCs w:val="24"/>
        </w:rPr>
      </w:pPr>
    </w:p>
    <w:p w14:paraId="45D2239A" w14:textId="77777777" w:rsidR="00E631C5" w:rsidRDefault="00E631C5" w:rsidP="00CF19EA">
      <w:pPr>
        <w:pStyle w:val="NoSpacing"/>
        <w:rPr>
          <w:rFonts w:ascii="Arial Black" w:hAnsi="Arial Black"/>
          <w:sz w:val="28"/>
          <w:szCs w:val="28"/>
        </w:rPr>
      </w:pPr>
    </w:p>
    <w:p w14:paraId="5ACCE129" w14:textId="4DFC0E5F" w:rsidR="00FB04CF" w:rsidRDefault="00FB04CF" w:rsidP="00FB04CF">
      <w:pPr>
        <w:pStyle w:val="NoSpacing"/>
        <w:rPr>
          <w:rFonts w:ascii="Arial Black" w:hAnsi="Arial Black"/>
          <w:sz w:val="24"/>
          <w:szCs w:val="24"/>
        </w:rPr>
      </w:pPr>
      <w:r>
        <w:rPr>
          <w:rFonts w:ascii="Arial Black" w:hAnsi="Arial Black"/>
          <w:sz w:val="24"/>
          <w:szCs w:val="24"/>
        </w:rPr>
        <w:t>16-124</w:t>
      </w:r>
    </w:p>
    <w:p w14:paraId="5FFDFBE5" w14:textId="77777777" w:rsidR="00E631C5" w:rsidRDefault="00E631C5" w:rsidP="00CF19EA">
      <w:pPr>
        <w:pStyle w:val="NoSpacing"/>
        <w:rPr>
          <w:rFonts w:ascii="Arial Black" w:hAnsi="Arial Black"/>
          <w:sz w:val="28"/>
          <w:szCs w:val="28"/>
        </w:rPr>
      </w:pPr>
    </w:p>
    <w:p w14:paraId="1D187F3B" w14:textId="19CDB21F" w:rsidR="00CF19EA" w:rsidRPr="006F2B87" w:rsidRDefault="00CF19EA" w:rsidP="00CF19EA">
      <w:pPr>
        <w:pStyle w:val="NoSpacing"/>
        <w:rPr>
          <w:rFonts w:ascii="Arial Black" w:hAnsi="Arial Black"/>
          <w:sz w:val="28"/>
          <w:szCs w:val="28"/>
        </w:rPr>
      </w:pPr>
      <w:r w:rsidRPr="006F2B87">
        <w:rPr>
          <w:rFonts w:ascii="Arial Black" w:hAnsi="Arial Black"/>
          <w:sz w:val="28"/>
          <w:szCs w:val="28"/>
        </w:rPr>
        <w:t>OR:  FF FIRED – MISUSE SICK LEAVE – GPS TRACKER</w:t>
      </w:r>
      <w:r>
        <w:rPr>
          <w:rFonts w:ascii="Arial Black" w:hAnsi="Arial Black"/>
          <w:sz w:val="28"/>
          <w:szCs w:val="28"/>
        </w:rPr>
        <w:t xml:space="preserve"> / CELL</w:t>
      </w:r>
    </w:p>
    <w:p w14:paraId="4FD5B1F4" w14:textId="77777777" w:rsidR="00CF19EA" w:rsidRPr="006F2B87" w:rsidRDefault="00CF19EA" w:rsidP="00CF19EA">
      <w:pPr>
        <w:pStyle w:val="NoSpacing"/>
      </w:pPr>
    </w:p>
    <w:p w14:paraId="5418CE55" w14:textId="77777777" w:rsidR="00CF19EA" w:rsidRPr="00CF19EA" w:rsidRDefault="00CF19EA" w:rsidP="00CF19EA">
      <w:pPr>
        <w:pStyle w:val="NoSpacing"/>
        <w:rPr>
          <w:rFonts w:ascii="Times New Roman" w:hAnsi="Times New Roman"/>
          <w:sz w:val="24"/>
          <w:szCs w:val="24"/>
        </w:rPr>
      </w:pPr>
      <w:r w:rsidRPr="00CF19EA">
        <w:rPr>
          <w:rFonts w:ascii="Times New Roman" w:hAnsi="Times New Roman"/>
          <w:sz w:val="24"/>
          <w:szCs w:val="24"/>
        </w:rPr>
        <w:lastRenderedPageBreak/>
        <w:t xml:space="preserve">On May 2, 2025, in </w:t>
      </w:r>
      <w:r w:rsidRPr="00CF19EA">
        <w:rPr>
          <w:rFonts w:ascii="Times New Roman" w:hAnsi="Times New Roman"/>
          <w:sz w:val="24"/>
          <w:szCs w:val="24"/>
          <w:u w:val="single"/>
        </w:rPr>
        <w:t>Zachary Taylor v. Sweet Home Fire &amp; Ambulance District; Mark Nicholas Tyler et al</w:t>
      </w:r>
      <w:r w:rsidRPr="00CF19EA">
        <w:rPr>
          <w:rFonts w:ascii="Times New Roman" w:hAnsi="Times New Roman"/>
          <w:sz w:val="24"/>
          <w:szCs w:val="24"/>
        </w:rPr>
        <w:t xml:space="preserve">., U.S. District Court Judge Mustafa T. </w:t>
      </w:r>
      <w:proofErr w:type="spellStart"/>
      <w:r w:rsidRPr="00CF19EA">
        <w:rPr>
          <w:rFonts w:ascii="Times New Roman" w:hAnsi="Times New Roman"/>
          <w:sz w:val="24"/>
          <w:szCs w:val="24"/>
        </w:rPr>
        <w:t>Kasubhai</w:t>
      </w:r>
      <w:proofErr w:type="spellEnd"/>
      <w:r w:rsidRPr="00CF19EA">
        <w:rPr>
          <w:rFonts w:ascii="Times New Roman" w:hAnsi="Times New Roman"/>
          <w:sz w:val="24"/>
          <w:szCs w:val="24"/>
        </w:rPr>
        <w:t>, United States District Court for the District of Oregon, held that the plaintiff, who was fired on March 29, 2023 for misuse of sick time may proceed with claim that Fire Chief tracked his location using GPS on his personal cell phone.  Plaintiff is pro se (no attorney) and six claims were dismissed, but 4</w:t>
      </w:r>
      <w:r w:rsidRPr="00CF19EA">
        <w:rPr>
          <w:rFonts w:ascii="Times New Roman" w:hAnsi="Times New Roman"/>
          <w:sz w:val="24"/>
          <w:szCs w:val="24"/>
          <w:vertAlign w:val="superscript"/>
        </w:rPr>
        <w:t>th</w:t>
      </w:r>
      <w:r w:rsidRPr="00CF19EA">
        <w:rPr>
          <w:rFonts w:ascii="Times New Roman" w:hAnsi="Times New Roman"/>
          <w:sz w:val="24"/>
          <w:szCs w:val="24"/>
        </w:rPr>
        <w:t xml:space="preserve"> Amendment claim and claim he was denied Civil Service hearing may proceed with pre-trial discovery.  </w:t>
      </w:r>
    </w:p>
    <w:p w14:paraId="56B073E9" w14:textId="77777777" w:rsidR="00CF19EA" w:rsidRPr="00CF19EA" w:rsidRDefault="00CF19EA" w:rsidP="00CF19EA">
      <w:pPr>
        <w:pStyle w:val="NoSpacing"/>
        <w:rPr>
          <w:rFonts w:ascii="Times New Roman" w:hAnsi="Times New Roman"/>
          <w:sz w:val="24"/>
          <w:szCs w:val="24"/>
        </w:rPr>
      </w:pPr>
    </w:p>
    <w:p w14:paraId="5A7DDF2B" w14:textId="4A5B941A" w:rsidR="007B4499" w:rsidRPr="00CF19EA" w:rsidRDefault="00CF19EA" w:rsidP="00CF19EA">
      <w:pPr>
        <w:pStyle w:val="NoSpacing"/>
        <w:rPr>
          <w:rFonts w:ascii="Times New Roman" w:hAnsi="Times New Roman"/>
          <w:sz w:val="24"/>
          <w:szCs w:val="24"/>
        </w:rPr>
      </w:pPr>
      <w:r w:rsidRPr="00CF19EA">
        <w:rPr>
          <w:rFonts w:ascii="Times New Roman" w:hAnsi="Times New Roman"/>
          <w:sz w:val="24"/>
          <w:szCs w:val="24"/>
        </w:rPr>
        <w:t xml:space="preserve">The Court wrote: “Third Claim - Unreasonable Search and Seizure. Plaintiff's Third Claim is a § 1983 claim alleging that Barringer violated Plaintiff's Fourth Amendment rights by using a first responder application installed on Plaintiff's phone to track Plaintiff's location for a non-emergency response purpose. FAC [First Amended Complaint] ¶ 175. Plaintiff alleges that on April 18, 2022, he called in sick to work because he was nervous about Barringer being there. FAC ¶ 71-72. Barringer became immediately suspicious that Plaintiff was abusing his use of sick time. FAC ¶ 72. Barringer located Plaintiff using the first responder application installed on Plaintiff's phone and drove twenty-two miles from work to spy on Plaintiff. FAC ¶ 72. Plaintiff was then placed on administrative leave pending a fit for duty evaluation. FAC ¶ 175. *** The remainder of Plaintiff's FAC relates to an investigation that took place from May 2022 to March 2023 regarding Plaintiff's alleged misuse of sick leave. </w:t>
      </w:r>
      <w:r w:rsidRPr="00CF19EA">
        <w:rPr>
          <w:rFonts w:ascii="Times New Roman" w:hAnsi="Times New Roman"/>
          <w:i/>
          <w:iCs/>
          <w:sz w:val="24"/>
          <w:szCs w:val="24"/>
        </w:rPr>
        <w:t>Id</w:t>
      </w:r>
      <w:r w:rsidRPr="00CF19EA">
        <w:rPr>
          <w:rFonts w:ascii="Times New Roman" w:hAnsi="Times New Roman"/>
          <w:sz w:val="24"/>
          <w:szCs w:val="24"/>
        </w:rPr>
        <w:t xml:space="preserve">. ¶¶ 70-133. Plaintiff was placed on administrative leave for eleven </w:t>
      </w:r>
      <w:proofErr w:type="gramStart"/>
      <w:r w:rsidRPr="00CF19EA">
        <w:rPr>
          <w:rFonts w:ascii="Times New Roman" w:hAnsi="Times New Roman"/>
          <w:sz w:val="24"/>
          <w:szCs w:val="24"/>
        </w:rPr>
        <w:t>months, and</w:t>
      </w:r>
      <w:proofErr w:type="gramEnd"/>
      <w:r w:rsidRPr="00CF19EA">
        <w:rPr>
          <w:rFonts w:ascii="Times New Roman" w:hAnsi="Times New Roman"/>
          <w:sz w:val="24"/>
          <w:szCs w:val="24"/>
        </w:rPr>
        <w:t xml:space="preserve"> ultimately terminated from his position on March 29, 2023. </w:t>
      </w:r>
      <w:r w:rsidRPr="00CF19EA">
        <w:rPr>
          <w:rFonts w:ascii="Times New Roman" w:hAnsi="Times New Roman"/>
          <w:i/>
          <w:iCs/>
          <w:sz w:val="24"/>
          <w:szCs w:val="24"/>
        </w:rPr>
        <w:t>Id.</w:t>
      </w:r>
      <w:r w:rsidRPr="00CF19EA">
        <w:rPr>
          <w:rFonts w:ascii="Times New Roman" w:hAnsi="Times New Roman"/>
          <w:sz w:val="24"/>
          <w:szCs w:val="24"/>
        </w:rPr>
        <w:t xml:space="preserve"> ¶¶ 43, 72, 131, 145. *** The underlying conduct giving rise to Plaintiff's Third Claim occurred within the two-year statute of limitations. Defendants did not move to dismiss this claim against Barringer on substantive </w:t>
      </w:r>
      <w:proofErr w:type="gramStart"/>
      <w:r w:rsidRPr="00CF19EA">
        <w:rPr>
          <w:rFonts w:ascii="Times New Roman" w:hAnsi="Times New Roman"/>
          <w:sz w:val="24"/>
          <w:szCs w:val="24"/>
        </w:rPr>
        <w:t>grounds.”</w:t>
      </w:r>
      <w:proofErr w:type="gramEnd"/>
      <w:r w:rsidRPr="00CF19EA">
        <w:rPr>
          <w:rFonts w:ascii="Times New Roman" w:hAnsi="Times New Roman"/>
          <w:sz w:val="24"/>
          <w:szCs w:val="24"/>
        </w:rPr>
        <w:t xml:space="preserve">  </w:t>
      </w:r>
      <w:hyperlink r:id="rId2634" w:history="1">
        <w:r w:rsidRPr="00CF19EA">
          <w:rPr>
            <w:rStyle w:val="Hyperlink"/>
            <w:rFonts w:ascii="Times New Roman" w:hAnsi="Times New Roman"/>
            <w:sz w:val="24"/>
            <w:szCs w:val="24"/>
          </w:rPr>
          <w:t>https://public.fastcase.com/jaEE2PXzRXmZ99jOLMt1Im1keUzBtfiIHvEUrgtpCe4tsCgV6NtJX3IH6wzppmaYdMf24%2B5puOWV6%2FBXnYGObJXUVli9SMl09cYxEMCDiBI%3D?utm_medium=email&amp;_hsenc=p2ANqtz-_d7OiIN91ZAk7Y1LfM1ALZw-U0OSyNxgKb6pVH2Z92AnZk8gKeX6P0Vdjf87FJH4FQPvAXMckV1s5VI4fjARMOTrnriQ&amp;_hsmi=226712652&amp;utm_content=226712652&amp;utm_source=hs_email</w:t>
        </w:r>
      </w:hyperlink>
    </w:p>
    <w:p w14:paraId="47192970" w14:textId="77777777" w:rsidR="009701FE" w:rsidRDefault="009701FE" w:rsidP="00F91F9F">
      <w:pPr>
        <w:pStyle w:val="NoSpacing"/>
        <w:rPr>
          <w:rFonts w:ascii="Arial Black" w:hAnsi="Arial Black"/>
          <w:sz w:val="24"/>
          <w:szCs w:val="24"/>
        </w:rPr>
      </w:pPr>
    </w:p>
    <w:p w14:paraId="2446681C" w14:textId="77777777" w:rsidR="0020461D" w:rsidRPr="001F3D0F" w:rsidRDefault="0020461D" w:rsidP="0020461D">
      <w:pPr>
        <w:pStyle w:val="NoSpacing"/>
        <w:rPr>
          <w:rFonts w:ascii="Times New Roman" w:hAnsi="Times New Roman"/>
          <w:b/>
          <w:bCs/>
          <w:sz w:val="24"/>
          <w:szCs w:val="24"/>
        </w:rPr>
      </w:pPr>
      <w:r w:rsidRPr="001F3D0F">
        <w:rPr>
          <w:rFonts w:ascii="Times New Roman" w:hAnsi="Times New Roman"/>
          <w:b/>
          <w:sz w:val="24"/>
          <w:szCs w:val="24"/>
        </w:rPr>
        <w:t xml:space="preserve">Legal Lesson Learned: Case will now proceed to pre-trial discovery.  If </w:t>
      </w:r>
      <w:r w:rsidRPr="001F3D0F">
        <w:rPr>
          <w:rFonts w:ascii="Times New Roman" w:hAnsi="Times New Roman"/>
          <w:b/>
          <w:bCs/>
          <w:sz w:val="24"/>
          <w:szCs w:val="24"/>
        </w:rPr>
        <w:t>F</w:t>
      </w:r>
      <w:r w:rsidRPr="001F3D0F">
        <w:rPr>
          <w:rFonts w:ascii="Times New Roman" w:hAnsi="Times New Roman"/>
          <w:b/>
          <w:sz w:val="24"/>
          <w:szCs w:val="24"/>
        </w:rPr>
        <w:t xml:space="preserve">ire </w:t>
      </w:r>
      <w:r w:rsidRPr="001F3D0F">
        <w:rPr>
          <w:rFonts w:ascii="Times New Roman" w:hAnsi="Times New Roman"/>
          <w:b/>
          <w:bCs/>
          <w:sz w:val="24"/>
          <w:szCs w:val="24"/>
        </w:rPr>
        <w:t xml:space="preserve">or EMS </w:t>
      </w:r>
      <w:r w:rsidRPr="001F3D0F">
        <w:rPr>
          <w:rFonts w:ascii="Times New Roman" w:hAnsi="Times New Roman"/>
          <w:b/>
          <w:sz w:val="24"/>
          <w:szCs w:val="24"/>
        </w:rPr>
        <w:t xml:space="preserve">department requires personnel to have a GPS locator on their personal cell, consult with legal counsel about laws in your state on requiring personnel to sign a written consent. </w:t>
      </w:r>
    </w:p>
    <w:p w14:paraId="3C14BA89" w14:textId="77777777" w:rsidR="0020461D" w:rsidRPr="001F3D0F" w:rsidRDefault="0020461D" w:rsidP="0020461D">
      <w:pPr>
        <w:pStyle w:val="NoSpacing"/>
        <w:rPr>
          <w:rFonts w:ascii="Times New Roman" w:hAnsi="Times New Roman"/>
          <w:b/>
          <w:bCs/>
          <w:sz w:val="24"/>
          <w:szCs w:val="24"/>
        </w:rPr>
      </w:pPr>
    </w:p>
    <w:p w14:paraId="0244F4BD" w14:textId="77777777" w:rsidR="0020461D" w:rsidRPr="001F3D0F" w:rsidRDefault="0020461D" w:rsidP="0020461D">
      <w:pPr>
        <w:pStyle w:val="NoSpacing"/>
        <w:ind w:left="720"/>
        <w:rPr>
          <w:rFonts w:ascii="Times New Roman" w:hAnsi="Times New Roman"/>
          <w:sz w:val="24"/>
          <w:szCs w:val="24"/>
        </w:rPr>
      </w:pPr>
      <w:r w:rsidRPr="001F3D0F">
        <w:rPr>
          <w:rFonts w:ascii="Times New Roman" w:hAnsi="Times New Roman"/>
          <w:sz w:val="24"/>
          <w:szCs w:val="24"/>
        </w:rPr>
        <w:t xml:space="preserve">Note: See this article: “Stay Compliant: Employee GPS Tracking Laws by State.” </w:t>
      </w:r>
      <w:hyperlink r:id="rId2635" w:history="1">
        <w:r w:rsidRPr="001F3D0F">
          <w:rPr>
            <w:rStyle w:val="Hyperlink"/>
            <w:rFonts w:ascii="Times New Roman" w:hAnsi="Times New Roman"/>
            <w:sz w:val="24"/>
            <w:szCs w:val="24"/>
          </w:rPr>
          <w:t>https://timeero.com/resources-page/employee-gps-tracking-laws</w:t>
        </w:r>
      </w:hyperlink>
      <w:r w:rsidRPr="001F3D0F">
        <w:rPr>
          <w:rFonts w:ascii="Times New Roman" w:hAnsi="Times New Roman"/>
          <w:sz w:val="24"/>
          <w:szCs w:val="24"/>
        </w:rPr>
        <w:t xml:space="preserve"> </w:t>
      </w:r>
    </w:p>
    <w:p w14:paraId="2A6D9768" w14:textId="77777777" w:rsidR="0020461D" w:rsidRPr="001F3D0F" w:rsidRDefault="0020461D" w:rsidP="0020461D">
      <w:pPr>
        <w:pStyle w:val="NoSpacing"/>
        <w:ind w:firstLine="720"/>
        <w:rPr>
          <w:rFonts w:ascii="Times New Roman" w:hAnsi="Times New Roman"/>
          <w:sz w:val="24"/>
          <w:szCs w:val="24"/>
        </w:rPr>
      </w:pPr>
      <w:r w:rsidRPr="001F3D0F">
        <w:rPr>
          <w:rFonts w:ascii="Times New Roman" w:hAnsi="Times New Roman"/>
          <w:sz w:val="24"/>
          <w:szCs w:val="24"/>
        </w:rPr>
        <w:t xml:space="preserve">“Wondering if it’s legal to track your employees’ location with GPS? </w:t>
      </w:r>
    </w:p>
    <w:p w14:paraId="495632B8" w14:textId="77777777" w:rsidR="0020461D" w:rsidRPr="001F3D0F" w:rsidRDefault="0020461D" w:rsidP="0020461D">
      <w:pPr>
        <w:pStyle w:val="NoSpacing"/>
        <w:ind w:left="720"/>
        <w:rPr>
          <w:rFonts w:ascii="Times New Roman" w:hAnsi="Times New Roman"/>
          <w:sz w:val="24"/>
          <w:szCs w:val="24"/>
        </w:rPr>
      </w:pPr>
      <w:r w:rsidRPr="001F3D0F">
        <w:rPr>
          <w:rFonts w:ascii="Times New Roman" w:hAnsi="Times New Roman"/>
          <w:sz w:val="24"/>
          <w:szCs w:val="24"/>
        </w:rPr>
        <w:t>The answer isn't as simple as yes or no. While federal laws offer some guidance, state-specific regulations play a crucial role in determining what's permissible.‍ For example, in California, you must get explicit consent from your employees before tracking their location, even if they’re using company-owned vehicles.  But, in states like Georgia, there are no specific laws regarding GPS tracking.”</w:t>
      </w:r>
    </w:p>
    <w:p w14:paraId="0AE4A7B2" w14:textId="77777777" w:rsidR="0020461D" w:rsidRPr="006F2B87" w:rsidRDefault="0020461D" w:rsidP="0020461D">
      <w:pPr>
        <w:pStyle w:val="NoSpacing"/>
      </w:pPr>
    </w:p>
    <w:p w14:paraId="585E930F" w14:textId="77777777" w:rsidR="009701FE" w:rsidRDefault="009701FE" w:rsidP="00F91F9F">
      <w:pPr>
        <w:pStyle w:val="NoSpacing"/>
        <w:rPr>
          <w:rFonts w:ascii="Arial Black" w:hAnsi="Arial Black"/>
          <w:sz w:val="24"/>
          <w:szCs w:val="24"/>
        </w:rPr>
      </w:pPr>
    </w:p>
    <w:p w14:paraId="0FC4A08A" w14:textId="77777777" w:rsidR="009701FE" w:rsidRDefault="009701FE" w:rsidP="00F91F9F">
      <w:pPr>
        <w:pStyle w:val="NoSpacing"/>
        <w:rPr>
          <w:rFonts w:ascii="Arial Black" w:hAnsi="Arial Black"/>
          <w:sz w:val="24"/>
          <w:szCs w:val="24"/>
        </w:rPr>
      </w:pPr>
    </w:p>
    <w:p w14:paraId="580EF99E" w14:textId="77777777" w:rsidR="009701FE" w:rsidRDefault="009701FE" w:rsidP="00F91F9F">
      <w:pPr>
        <w:pStyle w:val="NoSpacing"/>
        <w:rPr>
          <w:rFonts w:ascii="Arial Black" w:hAnsi="Arial Black"/>
          <w:sz w:val="24"/>
          <w:szCs w:val="24"/>
        </w:rPr>
      </w:pPr>
    </w:p>
    <w:p w14:paraId="5BA545B6" w14:textId="77777777" w:rsidR="009701FE" w:rsidRDefault="009701FE" w:rsidP="00F91F9F">
      <w:pPr>
        <w:pStyle w:val="NoSpacing"/>
        <w:rPr>
          <w:rFonts w:ascii="Arial Black" w:hAnsi="Arial Black"/>
          <w:sz w:val="24"/>
          <w:szCs w:val="24"/>
        </w:rPr>
      </w:pPr>
    </w:p>
    <w:p w14:paraId="2CFB880A" w14:textId="518AF9FD" w:rsidR="007B4499" w:rsidRDefault="007B4499" w:rsidP="00F91F9F">
      <w:pPr>
        <w:pStyle w:val="NoSpacing"/>
        <w:rPr>
          <w:rFonts w:ascii="Arial Black" w:hAnsi="Arial Black"/>
          <w:sz w:val="24"/>
          <w:szCs w:val="24"/>
        </w:rPr>
      </w:pPr>
      <w:r>
        <w:rPr>
          <w:rFonts w:ascii="Arial Black" w:hAnsi="Arial Black"/>
          <w:sz w:val="24"/>
          <w:szCs w:val="24"/>
        </w:rPr>
        <w:t>16-123</w:t>
      </w:r>
    </w:p>
    <w:p w14:paraId="4F5E2AE5" w14:textId="32FE14A6" w:rsidR="00B927E4" w:rsidRDefault="00B927E4" w:rsidP="00B927E4">
      <w:pPr>
        <w:rPr>
          <w:rFonts w:ascii="Arial Black" w:hAnsi="Arial Black"/>
          <w:b/>
          <w:sz w:val="28"/>
          <w:szCs w:val="28"/>
        </w:rPr>
      </w:pPr>
      <w:r>
        <w:rPr>
          <w:rFonts w:ascii="Arial Black" w:hAnsi="Arial Black"/>
          <w:b/>
          <w:sz w:val="28"/>
          <w:szCs w:val="28"/>
        </w:rPr>
        <w:t xml:space="preserve">MI:  FF WHISTLEBLOWER – </w:t>
      </w:r>
      <w:r w:rsidR="000A6C09">
        <w:rPr>
          <w:rFonts w:ascii="Arial Black" w:hAnsi="Arial Black"/>
          <w:b/>
          <w:sz w:val="28"/>
          <w:szCs w:val="28"/>
        </w:rPr>
        <w:t xml:space="preserve">REPORTED </w:t>
      </w:r>
      <w:r>
        <w:rPr>
          <w:rFonts w:ascii="Arial Black" w:hAnsi="Arial Black"/>
          <w:b/>
          <w:sz w:val="28"/>
          <w:szCs w:val="28"/>
        </w:rPr>
        <w:t xml:space="preserve">TIMECARD FRAUD </w:t>
      </w:r>
      <w:r w:rsidR="00DC0946">
        <w:rPr>
          <w:rFonts w:ascii="Arial Black" w:hAnsi="Arial Black"/>
          <w:b/>
          <w:sz w:val="28"/>
          <w:szCs w:val="28"/>
        </w:rPr>
        <w:t>–</w:t>
      </w:r>
      <w:r>
        <w:rPr>
          <w:rFonts w:ascii="Arial Black" w:hAnsi="Arial Black"/>
          <w:b/>
          <w:sz w:val="28"/>
          <w:szCs w:val="28"/>
        </w:rPr>
        <w:t xml:space="preserve"> </w:t>
      </w:r>
      <w:r w:rsidR="00DC0946">
        <w:rPr>
          <w:rFonts w:ascii="Arial Black" w:hAnsi="Arial Black"/>
          <w:b/>
          <w:sz w:val="28"/>
          <w:szCs w:val="28"/>
        </w:rPr>
        <w:t xml:space="preserve">CASE </w:t>
      </w:r>
      <w:r>
        <w:rPr>
          <w:rFonts w:ascii="Arial Black" w:hAnsi="Arial Black"/>
          <w:b/>
          <w:sz w:val="28"/>
          <w:szCs w:val="28"/>
        </w:rPr>
        <w:t>PROCEED</w:t>
      </w:r>
    </w:p>
    <w:p w14:paraId="6AA06D7A" w14:textId="77777777" w:rsidR="00B927E4" w:rsidRPr="00B927E4" w:rsidRDefault="00B927E4" w:rsidP="00B927E4">
      <w:pPr>
        <w:pStyle w:val="NoSpacing"/>
        <w:rPr>
          <w:rFonts w:ascii="Times New Roman" w:hAnsi="Times New Roman"/>
          <w:sz w:val="24"/>
          <w:szCs w:val="24"/>
        </w:rPr>
      </w:pPr>
      <w:r w:rsidRPr="00B927E4">
        <w:rPr>
          <w:rFonts w:ascii="Times New Roman" w:hAnsi="Times New Roman"/>
          <w:sz w:val="24"/>
          <w:szCs w:val="24"/>
        </w:rPr>
        <w:t xml:space="preserve">On April 24, 2025, in </w:t>
      </w:r>
      <w:r w:rsidRPr="00B927E4">
        <w:rPr>
          <w:rFonts w:ascii="Times New Roman" w:hAnsi="Times New Roman"/>
          <w:sz w:val="24"/>
          <w:szCs w:val="24"/>
          <w:u w:val="single"/>
        </w:rPr>
        <w:t>Craig Williamson v. City of Riverview</w:t>
      </w:r>
      <w:r w:rsidRPr="00B927E4">
        <w:rPr>
          <w:rFonts w:ascii="Times New Roman" w:hAnsi="Times New Roman"/>
          <w:sz w:val="24"/>
          <w:szCs w:val="24"/>
        </w:rPr>
        <w:t xml:space="preserve">, the Court of Appeals of Michigan held (3 to 0) that trial court improperly dismissed his current lawsuit for being filed untimely.  Craig Williamson worked as a firefighter and officer for the </w:t>
      </w:r>
      <w:proofErr w:type="gramStart"/>
      <w:r w:rsidRPr="00B927E4">
        <w:rPr>
          <w:rFonts w:ascii="Times New Roman" w:hAnsi="Times New Roman"/>
          <w:sz w:val="24"/>
          <w:szCs w:val="24"/>
        </w:rPr>
        <w:t>City</w:t>
      </w:r>
      <w:proofErr w:type="gramEnd"/>
      <w:r w:rsidRPr="00B927E4">
        <w:rPr>
          <w:rFonts w:ascii="Times New Roman" w:hAnsi="Times New Roman"/>
          <w:sz w:val="24"/>
          <w:szCs w:val="24"/>
        </w:rPr>
        <w:t xml:space="preserve"> for  “several decades” and claims he suffered retaliation for reporting in 2015 </w:t>
      </w:r>
      <w:r w:rsidRPr="00B927E4">
        <w:rPr>
          <w:rFonts w:ascii="Times New Roman" w:hAnsi="Times New Roman"/>
          <w:sz w:val="24"/>
          <w:szCs w:val="24"/>
        </w:rPr>
        <w:lastRenderedPageBreak/>
        <w:t xml:space="preserve">“what he believed to be timecard fraud among some of his colleagues.” On May 30, 2018, plaintiff filed his first complaint in the Wayne Circuit Court, alleging the retaliatory actions taken against him in violation of the Whistleblowers’ Protection Act (WPA). In October 2018, the fire department charged plaintiff with violations of staffing policies; after a hearing, the fire department suspended plaintiff for 90 days and demoted him to lieutenant. On November 26, 2018, plaintiff filed a supplemental complaint, alleging additional violations of the WPA related to the staffing issue. Plaintiff alleged that defendant forced him to work alone or with only one other firefighter, had discriminated against him by suspending him on December 23, 2019, because he was asking co-workers to support him in this lawsuit, and had treated him “like a pariah in the workplace” since 2015 and continuing until his recent suspension. Plaintiff alleged that his “work environment has become hostile, intolerable and unsafe for Plaintiff as a result of Defendant’s retaliation.” </w:t>
      </w:r>
    </w:p>
    <w:p w14:paraId="2794DCCE" w14:textId="77777777" w:rsidR="00B927E4" w:rsidRDefault="00B927E4" w:rsidP="00B927E4">
      <w:pPr>
        <w:pStyle w:val="NoSpacing"/>
        <w:rPr>
          <w:rFonts w:ascii="Times New Roman" w:hAnsi="Times New Roman"/>
          <w:sz w:val="24"/>
          <w:szCs w:val="24"/>
        </w:rPr>
      </w:pPr>
      <w:hyperlink r:id="rId2636" w:history="1">
        <w:r w:rsidRPr="00B927E4">
          <w:rPr>
            <w:rStyle w:val="Hyperlink"/>
            <w:rFonts w:ascii="Times New Roman" w:hAnsi="Times New Roman"/>
            <w:sz w:val="24"/>
            <w:szCs w:val="24"/>
          </w:rPr>
          <w:t>https://cases.justia.com/michigan/court-of-appeals-unpublished/2025-368047.pdf?ts=1745586008</w:t>
        </w:r>
      </w:hyperlink>
      <w:r w:rsidRPr="00B927E4">
        <w:rPr>
          <w:rFonts w:ascii="Times New Roman" w:hAnsi="Times New Roman"/>
          <w:sz w:val="24"/>
          <w:szCs w:val="24"/>
        </w:rPr>
        <w:t xml:space="preserve"> </w:t>
      </w:r>
    </w:p>
    <w:p w14:paraId="318F69F5" w14:textId="77777777" w:rsidR="00EB44F4" w:rsidRDefault="00EB44F4" w:rsidP="00B927E4">
      <w:pPr>
        <w:pStyle w:val="NoSpacing"/>
        <w:rPr>
          <w:rFonts w:ascii="Times New Roman" w:hAnsi="Times New Roman"/>
          <w:sz w:val="24"/>
          <w:szCs w:val="24"/>
        </w:rPr>
      </w:pPr>
    </w:p>
    <w:p w14:paraId="6EEE63F8" w14:textId="77777777" w:rsidR="00EB44F4" w:rsidRPr="00EB44F4" w:rsidRDefault="00EB44F4" w:rsidP="00EB44F4">
      <w:pPr>
        <w:pStyle w:val="NoSpacing"/>
        <w:rPr>
          <w:rFonts w:ascii="Times New Roman" w:hAnsi="Times New Roman"/>
          <w:b/>
          <w:sz w:val="24"/>
          <w:szCs w:val="24"/>
        </w:rPr>
      </w:pPr>
      <w:r w:rsidRPr="00EB44F4">
        <w:rPr>
          <w:rFonts w:ascii="Times New Roman" w:hAnsi="Times New Roman"/>
          <w:b/>
          <w:sz w:val="24"/>
          <w:szCs w:val="24"/>
        </w:rPr>
        <w:t xml:space="preserve">Legal Lesson Learned: Courts are reluctant to dismiss whistleblower cases until pre-trial discovery is completed. </w:t>
      </w:r>
    </w:p>
    <w:p w14:paraId="4A7E2066" w14:textId="77777777" w:rsidR="00EB44F4" w:rsidRPr="00EB44F4" w:rsidRDefault="00EB44F4" w:rsidP="00EB44F4">
      <w:pPr>
        <w:pStyle w:val="NoSpacing"/>
        <w:rPr>
          <w:rFonts w:ascii="Times New Roman" w:hAnsi="Times New Roman"/>
          <w:bCs/>
          <w:sz w:val="24"/>
          <w:szCs w:val="24"/>
        </w:rPr>
      </w:pPr>
    </w:p>
    <w:p w14:paraId="63ADB3E8" w14:textId="77777777" w:rsidR="00EB44F4" w:rsidRPr="00EB44F4" w:rsidRDefault="00EB44F4" w:rsidP="00EB44F4">
      <w:pPr>
        <w:pStyle w:val="NoSpacing"/>
        <w:ind w:left="720"/>
        <w:rPr>
          <w:rFonts w:ascii="Times New Roman" w:hAnsi="Times New Roman"/>
          <w:bCs/>
          <w:sz w:val="24"/>
          <w:szCs w:val="24"/>
        </w:rPr>
      </w:pPr>
      <w:r w:rsidRPr="00EB44F4">
        <w:rPr>
          <w:rFonts w:ascii="Times New Roman" w:hAnsi="Times New Roman"/>
          <w:sz w:val="24"/>
          <w:szCs w:val="24"/>
        </w:rPr>
        <w:t>Note:  The Michigan Whistleblower Protect Act prohibits an employer from discharging, threatening, or otherwise discriminating against an employee “regarding the employee’s compensation, terms, conditions, location, or privileges of employment” because the employee reported, or was about to report, a violation or suspected violation of law to a public body, “verbally or in writing.” MCL 15.362</w:t>
      </w:r>
    </w:p>
    <w:p w14:paraId="758AF538" w14:textId="77777777" w:rsidR="00EB44F4" w:rsidRPr="00EB44F4" w:rsidRDefault="00EB44F4" w:rsidP="00B927E4">
      <w:pPr>
        <w:pStyle w:val="NoSpacing"/>
        <w:rPr>
          <w:rFonts w:ascii="Times New Roman" w:hAnsi="Times New Roman"/>
          <w:sz w:val="24"/>
          <w:szCs w:val="24"/>
        </w:rPr>
      </w:pPr>
    </w:p>
    <w:p w14:paraId="14E78B81" w14:textId="77777777" w:rsidR="00B927E4" w:rsidRPr="00B927E4" w:rsidRDefault="00B927E4" w:rsidP="00B927E4">
      <w:pPr>
        <w:pStyle w:val="NoSpacing"/>
        <w:rPr>
          <w:rFonts w:ascii="Times New Roman" w:hAnsi="Times New Roman"/>
          <w:sz w:val="24"/>
          <w:szCs w:val="24"/>
        </w:rPr>
      </w:pPr>
    </w:p>
    <w:p w14:paraId="57F0E3C0" w14:textId="77777777" w:rsidR="00B927E4" w:rsidRDefault="00B927E4" w:rsidP="00F91F9F">
      <w:pPr>
        <w:pStyle w:val="NoSpacing"/>
        <w:rPr>
          <w:rFonts w:ascii="Arial Black" w:hAnsi="Arial Black"/>
          <w:sz w:val="24"/>
          <w:szCs w:val="24"/>
        </w:rPr>
      </w:pPr>
    </w:p>
    <w:p w14:paraId="0B23CB25" w14:textId="77777777" w:rsidR="007B4499" w:rsidRDefault="007B4499" w:rsidP="00F91F9F">
      <w:pPr>
        <w:pStyle w:val="NoSpacing"/>
        <w:rPr>
          <w:rFonts w:ascii="Arial Black" w:hAnsi="Arial Black"/>
          <w:sz w:val="24"/>
          <w:szCs w:val="24"/>
        </w:rPr>
      </w:pPr>
    </w:p>
    <w:p w14:paraId="470C5165" w14:textId="77777777" w:rsidR="007B4499" w:rsidRDefault="007B4499" w:rsidP="00F91F9F">
      <w:pPr>
        <w:pStyle w:val="NoSpacing"/>
        <w:rPr>
          <w:rFonts w:ascii="Arial Black" w:hAnsi="Arial Black"/>
          <w:sz w:val="24"/>
          <w:szCs w:val="24"/>
        </w:rPr>
      </w:pPr>
    </w:p>
    <w:p w14:paraId="50931163" w14:textId="7734FE4A" w:rsidR="008E4442" w:rsidRDefault="008E4442" w:rsidP="00F91F9F">
      <w:pPr>
        <w:pStyle w:val="NoSpacing"/>
        <w:rPr>
          <w:rFonts w:ascii="Arial Black" w:hAnsi="Arial Black"/>
          <w:sz w:val="24"/>
          <w:szCs w:val="24"/>
        </w:rPr>
      </w:pPr>
      <w:r>
        <w:rPr>
          <w:rFonts w:ascii="Arial Black" w:hAnsi="Arial Black"/>
          <w:sz w:val="24"/>
          <w:szCs w:val="24"/>
        </w:rPr>
        <w:t>16-122</w:t>
      </w:r>
    </w:p>
    <w:p w14:paraId="5BBFAE15" w14:textId="77777777" w:rsidR="008E4442" w:rsidRDefault="008E4442" w:rsidP="00F91F9F">
      <w:pPr>
        <w:pStyle w:val="NoSpacing"/>
        <w:rPr>
          <w:rFonts w:ascii="Arial Black" w:hAnsi="Arial Black"/>
          <w:sz w:val="24"/>
          <w:szCs w:val="24"/>
        </w:rPr>
      </w:pPr>
    </w:p>
    <w:p w14:paraId="2C90BC01" w14:textId="77777777" w:rsidR="008E4442" w:rsidRDefault="008E4442" w:rsidP="008E4442">
      <w:pPr>
        <w:pStyle w:val="NoSpacing"/>
        <w:rPr>
          <w:rFonts w:ascii="Arial Black" w:hAnsi="Arial Black"/>
          <w:bCs/>
          <w:sz w:val="28"/>
          <w:szCs w:val="28"/>
        </w:rPr>
      </w:pPr>
      <w:r>
        <w:rPr>
          <w:rFonts w:ascii="Arial Black" w:hAnsi="Arial Black"/>
          <w:sz w:val="28"/>
          <w:szCs w:val="28"/>
        </w:rPr>
        <w:t>CO: CHIEF FIRED BY NEW BOARD – VIDEO / INSUR. LAPSE</w:t>
      </w:r>
    </w:p>
    <w:p w14:paraId="478935F3" w14:textId="77777777" w:rsidR="008E4442" w:rsidRDefault="008E4442" w:rsidP="008E4442">
      <w:pPr>
        <w:pStyle w:val="NoSpacing"/>
        <w:rPr>
          <w:rFonts w:ascii="Arial Black" w:hAnsi="Arial Black"/>
          <w:bCs/>
          <w:sz w:val="28"/>
          <w:szCs w:val="28"/>
        </w:rPr>
      </w:pPr>
    </w:p>
    <w:p w14:paraId="75E77EF8" w14:textId="77777777" w:rsidR="008E4442" w:rsidRPr="00803906" w:rsidRDefault="008E4442" w:rsidP="008E4442">
      <w:pPr>
        <w:pStyle w:val="NoSpacing"/>
        <w:rPr>
          <w:rFonts w:ascii="Times New Roman" w:hAnsi="Times New Roman"/>
          <w:bCs/>
          <w:sz w:val="24"/>
          <w:szCs w:val="24"/>
        </w:rPr>
      </w:pPr>
      <w:r w:rsidRPr="00803906">
        <w:rPr>
          <w:rFonts w:ascii="Times New Roman" w:hAnsi="Times New Roman"/>
          <w:sz w:val="24"/>
          <w:szCs w:val="24"/>
        </w:rPr>
        <w:t xml:space="preserve">On March 28, 2025, in </w:t>
      </w:r>
      <w:r w:rsidRPr="00803906">
        <w:rPr>
          <w:rFonts w:ascii="Times New Roman" w:hAnsi="Times New Roman"/>
          <w:sz w:val="24"/>
          <w:szCs w:val="24"/>
          <w:u w:val="single"/>
        </w:rPr>
        <w:t>Erik Holt v. Florissant Fire Protection District</w:t>
      </w:r>
      <w:r w:rsidRPr="00803906">
        <w:rPr>
          <w:rFonts w:ascii="Times New Roman" w:hAnsi="Times New Roman"/>
          <w:sz w:val="24"/>
          <w:szCs w:val="24"/>
        </w:rPr>
        <w:t xml:space="preserve">, U.S. District Court Judge </w:t>
      </w:r>
    </w:p>
    <w:p w14:paraId="4CFEEC2D" w14:textId="77777777" w:rsidR="008E4442" w:rsidRPr="00803906" w:rsidRDefault="008E4442" w:rsidP="008E4442">
      <w:pPr>
        <w:pStyle w:val="NoSpacing"/>
        <w:rPr>
          <w:rFonts w:ascii="Times New Roman" w:hAnsi="Times New Roman"/>
          <w:bCs/>
          <w:sz w:val="24"/>
          <w:szCs w:val="24"/>
        </w:rPr>
      </w:pPr>
      <w:r w:rsidRPr="00803906">
        <w:rPr>
          <w:rFonts w:ascii="Times New Roman" w:hAnsi="Times New Roman"/>
          <w:sz w:val="24"/>
          <w:szCs w:val="24"/>
        </w:rPr>
        <w:t xml:space="preserve">Nina Y. Wang, U.S. District Court of Colorado, granted the FD’s motion for summary judgment on the former Fire Chiefs sole remaining claim of First Amendment retaliation.  He was the only full-time employee of the Fire District since April 2022.  On May 2, 2023, an election was held at the Fire Station and mail in ballots for the FD Board, which resulted in the election of five non-incumbent candidates (taking office June 10).  The former Board President filed a civil lawsuit </w:t>
      </w:r>
      <w:proofErr w:type="gramStart"/>
      <w:r w:rsidRPr="00803906">
        <w:rPr>
          <w:rFonts w:ascii="Times New Roman" w:hAnsi="Times New Roman"/>
          <w:sz w:val="24"/>
          <w:szCs w:val="24"/>
        </w:rPr>
        <w:t>and also</w:t>
      </w:r>
      <w:proofErr w:type="gramEnd"/>
      <w:r w:rsidRPr="00803906">
        <w:rPr>
          <w:rFonts w:ascii="Times New Roman" w:hAnsi="Times New Roman"/>
          <w:sz w:val="24"/>
          <w:szCs w:val="24"/>
        </w:rPr>
        <w:t xml:space="preserve"> made a complaint to Teller County District Attorney's Office alleging the non-incumbents and their poll watchers violated state law against electioneering at polling places.  Without telling new Board President, on May 19 or 20 the Fire Chief met with DA investigator and turned over fire station security camera video of the May 2 voting at the station.  In early June the FD briefly lost insurance coverage for non-payment; the Fire Chief blamed new Board President, Paul del Toro, for freezing the district’s bank account without authorization. The Board fired Holt on June 22.  On Nov. 7, 2024, U.S. District Court Judge Wang dismissed most of the Chief’s initial lawsuit </w:t>
      </w:r>
      <w:proofErr w:type="gramStart"/>
      <w:r w:rsidRPr="00803906">
        <w:rPr>
          <w:rFonts w:ascii="Times New Roman" w:hAnsi="Times New Roman"/>
          <w:sz w:val="24"/>
          <w:szCs w:val="24"/>
        </w:rPr>
        <w:t>on the basis of</w:t>
      </w:r>
      <w:proofErr w:type="gramEnd"/>
      <w:r w:rsidRPr="00803906">
        <w:rPr>
          <w:rFonts w:ascii="Times New Roman" w:hAnsi="Times New Roman"/>
          <w:sz w:val="24"/>
          <w:szCs w:val="24"/>
        </w:rPr>
        <w:t xml:space="preserve"> governmental immunity – public entities such as FD are not liable under Colorado law for misconduct by its employees, even “willful or wanton misconduct.”  The Court allowed only the First Amendment retaliation claim to proceed – and now Judge Wang has dismissed that claim under </w:t>
      </w:r>
      <w:r w:rsidRPr="00803906">
        <w:rPr>
          <w:rFonts w:ascii="Times New Roman" w:hAnsi="Times New Roman"/>
          <w:i/>
          <w:iCs/>
          <w:sz w:val="24"/>
          <w:szCs w:val="24"/>
        </w:rPr>
        <w:t>Pickering v. Bd. Of Ed.</w:t>
      </w:r>
      <w:r w:rsidRPr="00803906">
        <w:rPr>
          <w:rFonts w:ascii="Times New Roman" w:hAnsi="Times New Roman"/>
          <w:sz w:val="24"/>
          <w:szCs w:val="24"/>
        </w:rPr>
        <w:t xml:space="preserve"> balancing test.  No First Amendment protection against retaliation since Fire Chief was not speaking as a citizen addressing matters of public concern.  </w:t>
      </w:r>
    </w:p>
    <w:p w14:paraId="6AB74C64" w14:textId="77777777" w:rsidR="008E4442" w:rsidRPr="00803906" w:rsidRDefault="008E4442" w:rsidP="008E4442">
      <w:pPr>
        <w:pStyle w:val="NoSpacing"/>
        <w:rPr>
          <w:rFonts w:ascii="Times New Roman" w:hAnsi="Times New Roman"/>
          <w:bCs/>
          <w:sz w:val="24"/>
          <w:szCs w:val="24"/>
        </w:rPr>
      </w:pPr>
      <w:hyperlink r:id="rId2637" w:history="1">
        <w:r w:rsidRPr="00803906">
          <w:rPr>
            <w:rStyle w:val="Hyperlink"/>
            <w:rFonts w:ascii="Times New Roman" w:hAnsi="Times New Roman"/>
            <w:sz w:val="24"/>
            <w:szCs w:val="24"/>
          </w:rPr>
          <w:t>https://public.fastcase.com/jaEE2PXzRXmZ99jOLMt1IhQHA9AMm9CcSN%2BGfYyS2p0Y8T4gWwr35mn7gDgy%2FrLSk1%2BX3TZDVCgonvjR5kmTn9ieZn6lPYykAdycfBPhja8%3D?utm_medium=email&amp;_hsenc=p2ANqtz-96viAoOgtBhpN3k-FXu0IciBKBTpaPEffa5PyEi7FQVITmUz8Kiu79qOEJdxGOe1egzOzFwK07j5P1hSXOAN4VGdmpNA&amp;_hsmi=226712652&amp;utm_content=226712652&amp;utm_source=hs_email</w:t>
        </w:r>
      </w:hyperlink>
      <w:r w:rsidRPr="00803906">
        <w:rPr>
          <w:rFonts w:ascii="Times New Roman" w:hAnsi="Times New Roman"/>
          <w:sz w:val="24"/>
          <w:szCs w:val="24"/>
        </w:rPr>
        <w:t xml:space="preserve">   </w:t>
      </w:r>
    </w:p>
    <w:p w14:paraId="2F92C4B2" w14:textId="77777777" w:rsidR="008E4442" w:rsidRPr="00803906" w:rsidRDefault="008E4442" w:rsidP="00F91F9F">
      <w:pPr>
        <w:pStyle w:val="NoSpacing"/>
        <w:rPr>
          <w:rFonts w:ascii="Times New Roman" w:hAnsi="Times New Roman"/>
          <w:sz w:val="24"/>
          <w:szCs w:val="24"/>
        </w:rPr>
      </w:pPr>
    </w:p>
    <w:p w14:paraId="2FB96EAB" w14:textId="77777777" w:rsidR="00803906" w:rsidRPr="00803906" w:rsidRDefault="00803906" w:rsidP="00803906">
      <w:pPr>
        <w:pStyle w:val="NoSpacing"/>
        <w:rPr>
          <w:rFonts w:ascii="Times New Roman" w:hAnsi="Times New Roman"/>
          <w:b/>
          <w:bCs/>
          <w:sz w:val="24"/>
          <w:szCs w:val="24"/>
        </w:rPr>
      </w:pPr>
      <w:r w:rsidRPr="00803906">
        <w:rPr>
          <w:rFonts w:ascii="Times New Roman" w:hAnsi="Times New Roman"/>
          <w:b/>
          <w:sz w:val="24"/>
          <w:szCs w:val="24"/>
        </w:rPr>
        <w:t xml:space="preserve">Legal Lesson Learned: </w:t>
      </w:r>
      <w:r w:rsidRPr="00803906">
        <w:rPr>
          <w:rFonts w:ascii="Times New Roman" w:hAnsi="Times New Roman"/>
          <w:b/>
          <w:i/>
          <w:iCs/>
          <w:sz w:val="24"/>
          <w:szCs w:val="24"/>
        </w:rPr>
        <w:t>Pickering</w:t>
      </w:r>
      <w:r w:rsidRPr="00803906">
        <w:rPr>
          <w:rFonts w:ascii="Times New Roman" w:hAnsi="Times New Roman"/>
          <w:b/>
          <w:sz w:val="24"/>
          <w:szCs w:val="24"/>
        </w:rPr>
        <w:t xml:space="preserve"> balancing test led to dismissal of this lawsuit – “interests of public employees in commenting on matters of public concern must be balanced with the employer's interests in promoting the efficiency of the public services.”</w:t>
      </w:r>
    </w:p>
    <w:p w14:paraId="77D774E7" w14:textId="77777777" w:rsidR="00803906" w:rsidRPr="00803906" w:rsidRDefault="00803906" w:rsidP="00803906">
      <w:pPr>
        <w:pStyle w:val="NoSpacing"/>
        <w:rPr>
          <w:rFonts w:ascii="Times New Roman" w:hAnsi="Times New Roman"/>
          <w:b/>
          <w:bCs/>
          <w:sz w:val="24"/>
          <w:szCs w:val="24"/>
        </w:rPr>
      </w:pPr>
    </w:p>
    <w:p w14:paraId="1FACB981" w14:textId="77777777" w:rsidR="00803906" w:rsidRPr="00803906" w:rsidRDefault="00803906" w:rsidP="00803906">
      <w:pPr>
        <w:pStyle w:val="NoSpacing"/>
        <w:ind w:left="720"/>
        <w:rPr>
          <w:rFonts w:ascii="Times New Roman" w:hAnsi="Times New Roman"/>
          <w:bCs/>
          <w:sz w:val="24"/>
          <w:szCs w:val="24"/>
        </w:rPr>
      </w:pPr>
      <w:r w:rsidRPr="00803906">
        <w:rPr>
          <w:rFonts w:ascii="Times New Roman" w:hAnsi="Times New Roman"/>
          <w:sz w:val="24"/>
          <w:szCs w:val="24"/>
        </w:rPr>
        <w:t xml:space="preserve">Note: See Nov. 24, </w:t>
      </w:r>
      <w:proofErr w:type="gramStart"/>
      <w:r w:rsidRPr="00803906">
        <w:rPr>
          <w:rFonts w:ascii="Times New Roman" w:hAnsi="Times New Roman"/>
          <w:sz w:val="24"/>
          <w:szCs w:val="24"/>
        </w:rPr>
        <w:t>2023</w:t>
      </w:r>
      <w:proofErr w:type="gramEnd"/>
      <w:r w:rsidRPr="00803906">
        <w:rPr>
          <w:rFonts w:ascii="Times New Roman" w:hAnsi="Times New Roman"/>
          <w:sz w:val="24"/>
          <w:szCs w:val="24"/>
        </w:rPr>
        <w:t xml:space="preserve"> article, “Federal judge partially dismisses ex-Florissant fire chief's wrongful termination claims. Erik Holt is continuing to pursue his First Amendment retaliation claim against his former </w:t>
      </w:r>
      <w:proofErr w:type="gramStart"/>
      <w:r w:rsidRPr="00803906">
        <w:rPr>
          <w:rFonts w:ascii="Times New Roman" w:hAnsi="Times New Roman"/>
          <w:sz w:val="24"/>
          <w:szCs w:val="24"/>
        </w:rPr>
        <w:t>employer.”</w:t>
      </w:r>
      <w:proofErr w:type="gramEnd"/>
      <w:r w:rsidRPr="00803906">
        <w:rPr>
          <w:rFonts w:ascii="Times New Roman" w:hAnsi="Times New Roman"/>
          <w:sz w:val="24"/>
          <w:szCs w:val="24"/>
        </w:rPr>
        <w:t xml:space="preserve"> </w:t>
      </w:r>
      <w:hyperlink r:id="rId2638" w:anchor="google_vignette" w:history="1">
        <w:r w:rsidRPr="00803906">
          <w:rPr>
            <w:rStyle w:val="Hyperlink"/>
            <w:rFonts w:ascii="Times New Roman" w:hAnsi="Times New Roman"/>
            <w:sz w:val="24"/>
            <w:szCs w:val="24"/>
          </w:rPr>
          <w:t>https://www.coloradopolitics.com/courts/federal-judge-partially-dismisses-ex-florissant-fire-chiefs-wrongful-termination-claims/article_7d67c6be-898a-11ee-b97e-7732fa191308.html#google_vignette</w:t>
        </w:r>
      </w:hyperlink>
      <w:r w:rsidRPr="00803906">
        <w:rPr>
          <w:rFonts w:ascii="Times New Roman" w:hAnsi="Times New Roman"/>
          <w:sz w:val="24"/>
          <w:szCs w:val="24"/>
        </w:rPr>
        <w:t xml:space="preserve"> </w:t>
      </w:r>
    </w:p>
    <w:p w14:paraId="40555FCE" w14:textId="77777777" w:rsidR="00803906" w:rsidRPr="00803906" w:rsidRDefault="00803906" w:rsidP="00803906">
      <w:pPr>
        <w:pStyle w:val="NoSpacing"/>
        <w:rPr>
          <w:rFonts w:ascii="Times New Roman" w:hAnsi="Times New Roman"/>
          <w:bCs/>
          <w:sz w:val="24"/>
          <w:szCs w:val="24"/>
        </w:rPr>
      </w:pPr>
    </w:p>
    <w:p w14:paraId="264948CA" w14:textId="77777777" w:rsidR="00803906" w:rsidRDefault="00803906" w:rsidP="00803906">
      <w:pPr>
        <w:pStyle w:val="NoSpacing"/>
        <w:ind w:left="720"/>
        <w:rPr>
          <w:bCs/>
        </w:rPr>
      </w:pPr>
      <w:r w:rsidRPr="00803906">
        <w:rPr>
          <w:rFonts w:ascii="Times New Roman" w:hAnsi="Times New Roman"/>
          <w:sz w:val="24"/>
          <w:szCs w:val="24"/>
        </w:rPr>
        <w:t xml:space="preserve">See Nov. 7, </w:t>
      </w:r>
      <w:proofErr w:type="gramStart"/>
      <w:r w:rsidRPr="00803906">
        <w:rPr>
          <w:rFonts w:ascii="Times New Roman" w:hAnsi="Times New Roman"/>
          <w:sz w:val="24"/>
          <w:szCs w:val="24"/>
        </w:rPr>
        <w:t>2024</w:t>
      </w:r>
      <w:proofErr w:type="gramEnd"/>
      <w:r w:rsidRPr="00803906">
        <w:rPr>
          <w:rFonts w:ascii="Times New Roman" w:hAnsi="Times New Roman"/>
          <w:sz w:val="24"/>
          <w:szCs w:val="24"/>
        </w:rPr>
        <w:t xml:space="preserve"> Court decision: </w:t>
      </w:r>
      <w:hyperlink r:id="rId2639" w:history="1">
        <w:r w:rsidRPr="00803906">
          <w:rPr>
            <w:rStyle w:val="Hyperlink"/>
            <w:rFonts w:ascii="Times New Roman" w:hAnsi="Times New Roman"/>
            <w:sz w:val="24"/>
            <w:szCs w:val="24"/>
          </w:rPr>
          <w:t>https://www.govinfo.gov/content/pkg/USCOURTS-cod-1_23-cv-01798/pdf/USCOURTS-cod-1_23-cv-01798-0.pdf</w:t>
        </w:r>
      </w:hyperlink>
      <w:r>
        <w:t xml:space="preserve"> </w:t>
      </w:r>
    </w:p>
    <w:p w14:paraId="59A52641" w14:textId="77777777" w:rsidR="00803906" w:rsidRDefault="00803906" w:rsidP="00F91F9F">
      <w:pPr>
        <w:pStyle w:val="NoSpacing"/>
        <w:rPr>
          <w:rFonts w:ascii="Arial Black" w:hAnsi="Arial Black"/>
          <w:sz w:val="24"/>
          <w:szCs w:val="24"/>
        </w:rPr>
      </w:pPr>
    </w:p>
    <w:p w14:paraId="180867B0" w14:textId="77777777" w:rsidR="008E4442" w:rsidRDefault="008E4442" w:rsidP="00F91F9F">
      <w:pPr>
        <w:pStyle w:val="NoSpacing"/>
        <w:rPr>
          <w:rFonts w:ascii="Arial Black" w:hAnsi="Arial Black"/>
          <w:sz w:val="24"/>
          <w:szCs w:val="24"/>
        </w:rPr>
      </w:pPr>
    </w:p>
    <w:p w14:paraId="34C0EC45" w14:textId="77777777" w:rsidR="008E4442" w:rsidRDefault="008E4442" w:rsidP="00F91F9F">
      <w:pPr>
        <w:pStyle w:val="NoSpacing"/>
        <w:rPr>
          <w:rFonts w:ascii="Arial Black" w:hAnsi="Arial Black"/>
          <w:sz w:val="24"/>
          <w:szCs w:val="24"/>
        </w:rPr>
      </w:pPr>
    </w:p>
    <w:p w14:paraId="7A27FEF6" w14:textId="157E9904" w:rsidR="00457219" w:rsidRDefault="00FD3A33" w:rsidP="00F91F9F">
      <w:pPr>
        <w:pStyle w:val="NoSpacing"/>
        <w:rPr>
          <w:rFonts w:ascii="Arial Black" w:hAnsi="Arial Black"/>
          <w:sz w:val="24"/>
          <w:szCs w:val="24"/>
        </w:rPr>
      </w:pPr>
      <w:r>
        <w:rPr>
          <w:rFonts w:ascii="Arial Black" w:hAnsi="Arial Black"/>
          <w:sz w:val="24"/>
          <w:szCs w:val="24"/>
        </w:rPr>
        <w:t>16-121</w:t>
      </w:r>
    </w:p>
    <w:p w14:paraId="5099BBA7" w14:textId="77777777" w:rsidR="008E4442" w:rsidRDefault="008E4442" w:rsidP="00FD3A33">
      <w:pPr>
        <w:rPr>
          <w:rFonts w:ascii="Arial Black" w:hAnsi="Arial Black"/>
          <w:b/>
          <w:sz w:val="28"/>
          <w:szCs w:val="28"/>
        </w:rPr>
      </w:pPr>
    </w:p>
    <w:p w14:paraId="7F4E000E" w14:textId="532A9835" w:rsidR="00FD3A33" w:rsidRPr="000B7F2C" w:rsidRDefault="00FD3A33" w:rsidP="00FD3A33">
      <w:pPr>
        <w:rPr>
          <w:rFonts w:ascii="Arial Black" w:hAnsi="Arial Black"/>
          <w:b/>
          <w:sz w:val="28"/>
          <w:szCs w:val="28"/>
        </w:rPr>
      </w:pPr>
      <w:r w:rsidRPr="000B7F2C">
        <w:rPr>
          <w:rFonts w:ascii="Arial Black" w:hAnsi="Arial Black"/>
          <w:b/>
          <w:sz w:val="28"/>
          <w:szCs w:val="28"/>
        </w:rPr>
        <w:t xml:space="preserve">CA: CHIEF FIRED B/C </w:t>
      </w:r>
      <w:r w:rsidR="000D4A64">
        <w:rPr>
          <w:rFonts w:ascii="Arial Black" w:hAnsi="Arial Black"/>
          <w:b/>
          <w:sz w:val="28"/>
          <w:szCs w:val="28"/>
        </w:rPr>
        <w:t>–</w:t>
      </w:r>
      <w:r w:rsidRPr="000B7F2C">
        <w:rPr>
          <w:rFonts w:ascii="Arial Black" w:hAnsi="Arial Black"/>
          <w:b/>
          <w:sz w:val="28"/>
          <w:szCs w:val="28"/>
        </w:rPr>
        <w:t xml:space="preserve"> </w:t>
      </w:r>
      <w:r w:rsidR="000D4A64">
        <w:rPr>
          <w:rFonts w:ascii="Arial Black" w:hAnsi="Arial Black"/>
          <w:b/>
          <w:sz w:val="28"/>
          <w:szCs w:val="28"/>
        </w:rPr>
        <w:t xml:space="preserve">AGAINST </w:t>
      </w:r>
      <w:r w:rsidRPr="000B7F2C">
        <w:rPr>
          <w:rFonts w:ascii="Arial Black" w:hAnsi="Arial Black"/>
          <w:b/>
          <w:sz w:val="28"/>
          <w:szCs w:val="28"/>
        </w:rPr>
        <w:t xml:space="preserve">CITY </w:t>
      </w:r>
      <w:r w:rsidR="000D4A64">
        <w:rPr>
          <w:rFonts w:ascii="Arial Black" w:hAnsi="Arial Black"/>
          <w:b/>
          <w:sz w:val="28"/>
          <w:szCs w:val="28"/>
        </w:rPr>
        <w:t xml:space="preserve">ADVICE </w:t>
      </w:r>
      <w:r w:rsidR="0046766E">
        <w:rPr>
          <w:rFonts w:ascii="Arial Black" w:hAnsi="Arial Black"/>
          <w:b/>
          <w:sz w:val="28"/>
          <w:szCs w:val="28"/>
        </w:rPr>
        <w:t>–</w:t>
      </w:r>
      <w:r w:rsidR="000D4A64">
        <w:rPr>
          <w:rFonts w:ascii="Arial Black" w:hAnsi="Arial Black"/>
          <w:b/>
          <w:sz w:val="28"/>
          <w:szCs w:val="28"/>
        </w:rPr>
        <w:t xml:space="preserve"> </w:t>
      </w:r>
      <w:r w:rsidR="0046766E">
        <w:rPr>
          <w:rFonts w:ascii="Arial Black" w:hAnsi="Arial Black"/>
          <w:b/>
          <w:sz w:val="28"/>
          <w:szCs w:val="28"/>
        </w:rPr>
        <w:t>CASE PROCEED</w:t>
      </w:r>
    </w:p>
    <w:p w14:paraId="6E6506EE" w14:textId="77777777" w:rsidR="00FD3A33" w:rsidRPr="00FD3A33" w:rsidRDefault="00FD3A33" w:rsidP="00FD3A33">
      <w:pPr>
        <w:rPr>
          <w:rFonts w:ascii="Times New Roman" w:hAnsi="Times New Roman"/>
          <w:sz w:val="24"/>
          <w:szCs w:val="24"/>
        </w:rPr>
      </w:pPr>
      <w:r w:rsidRPr="00FD3A33">
        <w:rPr>
          <w:rFonts w:ascii="Times New Roman" w:hAnsi="Times New Roman"/>
          <w:sz w:val="24"/>
          <w:szCs w:val="24"/>
        </w:rPr>
        <w:t xml:space="preserve">On Feb. 21, 2025, in </w:t>
      </w:r>
      <w:r w:rsidRPr="00FD3A33">
        <w:rPr>
          <w:rFonts w:ascii="Times New Roman" w:hAnsi="Times New Roman"/>
          <w:sz w:val="24"/>
          <w:szCs w:val="24"/>
          <w:u w:val="single"/>
        </w:rPr>
        <w:t>Patrick Vargas v. City of Tracy, South San Joaquin County Fire Authority; Randall Bradley, et al</w:t>
      </w:r>
      <w:r w:rsidRPr="00FD3A33">
        <w:rPr>
          <w:rFonts w:ascii="Times New Roman" w:hAnsi="Times New Roman"/>
          <w:sz w:val="24"/>
          <w:szCs w:val="24"/>
        </w:rPr>
        <w:t xml:space="preserve">., United States District Court Judge William B. </w:t>
      </w:r>
      <w:proofErr w:type="spellStart"/>
      <w:r w:rsidRPr="00FD3A33">
        <w:rPr>
          <w:rFonts w:ascii="Times New Roman" w:hAnsi="Times New Roman"/>
          <w:sz w:val="24"/>
          <w:szCs w:val="24"/>
        </w:rPr>
        <w:t>Shubb</w:t>
      </w:r>
      <w:proofErr w:type="spellEnd"/>
      <w:r w:rsidRPr="00FD3A33">
        <w:rPr>
          <w:rFonts w:ascii="Times New Roman" w:hAnsi="Times New Roman"/>
          <w:sz w:val="24"/>
          <w:szCs w:val="24"/>
        </w:rPr>
        <w:t xml:space="preserve">, U.S. District Court for Eastern District of California, denied the defense motion for summary judgment by County Fire Authority and Fire Chief Randall Bradley.  Battalion Chief Vargas’ wife on city council and opposed city fire department becoming county department.  He was suspended during investigation of harassment, but “City officials concluded that the harassment investigation did not provide a basis to terminate plaintiff and directed that plaintiff be removed from administrative leave and return to work, but [Fire Chief] Bradley terminated plaintiff on January 12, 2022.” </w:t>
      </w:r>
      <w:hyperlink r:id="rId2640" w:history="1">
        <w:r w:rsidRPr="00FD3A33">
          <w:rPr>
            <w:rStyle w:val="Hyperlink"/>
            <w:rFonts w:ascii="Times New Roman" w:hAnsi="Times New Roman"/>
            <w:sz w:val="24"/>
            <w:szCs w:val="24"/>
          </w:rPr>
          <w:t>https://public.fastcase.com/jaEE2PXzRXmZ99jOLMt1IvnyNWPww1WM4x9Gu%2FtN0VhNRAtIpNmmlJ0KM%2F7ZbO911LK6og3L2kiKY%2FASa5mScG8uOsEhAwFbnlzs62F6rSE%3D?utm_medium=email&amp;_hsenc=p2ANqtz-8WZqH_E7rdb_OeZm87WsAQDzZautt0uiTp2Bj7gwVxym265a6f7pCBzZ-RPNW5j-Z8_i7kqeL1it9h0mjMyyn0Q0mh5A&amp;_hsmi=226712652&amp;utm_content=226712652&amp;utm_source=hs_email</w:t>
        </w:r>
      </w:hyperlink>
      <w:r w:rsidRPr="00FD3A33">
        <w:rPr>
          <w:rFonts w:ascii="Times New Roman" w:hAnsi="Times New Roman"/>
          <w:sz w:val="24"/>
          <w:szCs w:val="24"/>
        </w:rPr>
        <w:t xml:space="preserve"> </w:t>
      </w:r>
    </w:p>
    <w:p w14:paraId="34C7BD64" w14:textId="77777777" w:rsidR="00FD3A33" w:rsidRPr="00FD3A33" w:rsidRDefault="00FD3A33" w:rsidP="00FD3A33">
      <w:pPr>
        <w:pStyle w:val="NoSpacing"/>
        <w:rPr>
          <w:rFonts w:ascii="Times New Roman" w:hAnsi="Times New Roman"/>
          <w:sz w:val="24"/>
          <w:szCs w:val="24"/>
        </w:rPr>
      </w:pPr>
      <w:r w:rsidRPr="00FD3A33">
        <w:rPr>
          <w:rFonts w:ascii="Times New Roman" w:hAnsi="Times New Roman"/>
          <w:sz w:val="24"/>
          <w:szCs w:val="24"/>
        </w:rPr>
        <w:t>The Court wrote:</w:t>
      </w:r>
    </w:p>
    <w:p w14:paraId="6DB97294" w14:textId="77777777" w:rsidR="00FD3A33" w:rsidRPr="00FD3A33" w:rsidRDefault="00FD3A33" w:rsidP="00FD3A33">
      <w:pPr>
        <w:pStyle w:val="NoSpacing"/>
        <w:rPr>
          <w:rFonts w:ascii="Times New Roman" w:hAnsi="Times New Roman"/>
          <w:sz w:val="24"/>
          <w:szCs w:val="24"/>
        </w:rPr>
      </w:pPr>
    </w:p>
    <w:p w14:paraId="7E6D7C04" w14:textId="77777777" w:rsidR="00FD3A33" w:rsidRPr="00FD3A33" w:rsidRDefault="00FD3A33" w:rsidP="00FD3A33">
      <w:pPr>
        <w:pStyle w:val="NoSpacing"/>
        <w:ind w:left="720"/>
        <w:rPr>
          <w:rFonts w:ascii="Times New Roman" w:hAnsi="Times New Roman"/>
          <w:sz w:val="24"/>
          <w:szCs w:val="24"/>
        </w:rPr>
      </w:pPr>
      <w:r w:rsidRPr="00FD3A33">
        <w:rPr>
          <w:rFonts w:ascii="Times New Roman" w:hAnsi="Times New Roman"/>
          <w:sz w:val="24"/>
          <w:szCs w:val="24"/>
        </w:rPr>
        <w:t>“Bradley brought allegations of timecard fraud to [City] Human Resources Director Kimberly Murdaugh on September 15, 2020 and third-party investigators ultimately found the allegation unsupported on March 23, 2021….On March 31, 2021, Bradley contacted Ms. Murdaugh and implored her to further investigate plaintiff, and harassment allegations against plaintiff surfaced on April 7, 2021, prompting a second investigation during which Bradley placed plaintiff on paid administrative leave. City officials concluded that the harassment investigation did not provide a basis to terminate plaintiff and directed that plaintiff be removed from administrative leave and return to work, but Bradley terminated plaintiff on January 12, 2022.</w:t>
      </w:r>
    </w:p>
    <w:p w14:paraId="493BA727" w14:textId="77777777" w:rsidR="00FD3A33" w:rsidRPr="00FD3A33" w:rsidRDefault="00FD3A33" w:rsidP="00FD3A33">
      <w:pPr>
        <w:pStyle w:val="NoSpacing"/>
        <w:rPr>
          <w:rFonts w:ascii="Times New Roman" w:hAnsi="Times New Roman"/>
          <w:sz w:val="24"/>
          <w:szCs w:val="24"/>
        </w:rPr>
      </w:pPr>
    </w:p>
    <w:p w14:paraId="10886D32" w14:textId="77777777" w:rsidR="00FD3A33" w:rsidRPr="00FD3A33" w:rsidRDefault="00FD3A33" w:rsidP="00FD3A33">
      <w:pPr>
        <w:pStyle w:val="NoSpacing"/>
        <w:ind w:firstLine="720"/>
        <w:rPr>
          <w:rFonts w:ascii="Times New Roman" w:hAnsi="Times New Roman"/>
          <w:sz w:val="24"/>
          <w:szCs w:val="24"/>
        </w:rPr>
      </w:pPr>
      <w:r w:rsidRPr="00FD3A33">
        <w:rPr>
          <w:rFonts w:ascii="Times New Roman" w:hAnsi="Times New Roman"/>
          <w:sz w:val="24"/>
          <w:szCs w:val="24"/>
        </w:rPr>
        <w:t>***</w:t>
      </w:r>
    </w:p>
    <w:p w14:paraId="5CD1CB76" w14:textId="77777777" w:rsidR="00FD3A33" w:rsidRPr="00FD3A33" w:rsidRDefault="00FD3A33" w:rsidP="00FD3A33">
      <w:pPr>
        <w:pStyle w:val="NoSpacing"/>
        <w:ind w:left="720"/>
        <w:rPr>
          <w:rFonts w:ascii="Times New Roman" w:hAnsi="Times New Roman"/>
          <w:sz w:val="24"/>
          <w:szCs w:val="24"/>
        </w:rPr>
      </w:pPr>
      <w:r w:rsidRPr="00FD3A33">
        <w:rPr>
          <w:rFonts w:ascii="Times New Roman" w:hAnsi="Times New Roman"/>
          <w:sz w:val="24"/>
          <w:szCs w:val="24"/>
        </w:rPr>
        <w:t xml:space="preserve">Plaintiff contends that Bradley, on behalf of the Fire Authority, took adverse employment actions against him based on Bradley's perception that plaintiff spoke negatively of the Plan [to replace city fire department with County department] to his wife, Ms. Vargas, who was a city councilor and was </w:t>
      </w:r>
      <w:r w:rsidRPr="00FD3A33">
        <w:rPr>
          <w:rFonts w:ascii="Times New Roman" w:hAnsi="Times New Roman"/>
          <w:sz w:val="24"/>
          <w:szCs w:val="24"/>
        </w:rPr>
        <w:lastRenderedPageBreak/>
        <w:t xml:space="preserve">involved in the adoption and implementation of the Plan. Regardless of whether plaintiff </w:t>
      </w:r>
      <w:proofErr w:type="gramStart"/>
      <w:r w:rsidRPr="00FD3A33">
        <w:rPr>
          <w:rFonts w:ascii="Times New Roman" w:hAnsi="Times New Roman"/>
          <w:sz w:val="24"/>
          <w:szCs w:val="24"/>
        </w:rPr>
        <w:t>actually spoke</w:t>
      </w:r>
      <w:proofErr w:type="gramEnd"/>
      <w:r w:rsidRPr="00FD3A33">
        <w:rPr>
          <w:rFonts w:ascii="Times New Roman" w:hAnsi="Times New Roman"/>
          <w:sz w:val="24"/>
          <w:szCs w:val="24"/>
        </w:rPr>
        <w:t xml:space="preserve"> to his wife about the Plan, a retaliation claim based on ‘perceived speech’--i.e., speech that the plaintiff was incorrectly thought to have made -- is cognizable under the First Amendment.</w:t>
      </w:r>
    </w:p>
    <w:p w14:paraId="777765D3" w14:textId="77777777" w:rsidR="00FD3A33" w:rsidRPr="00FD3A33" w:rsidRDefault="00FD3A33" w:rsidP="00FD3A33">
      <w:pPr>
        <w:pStyle w:val="NoSpacing"/>
        <w:rPr>
          <w:rFonts w:ascii="Times New Roman" w:hAnsi="Times New Roman"/>
          <w:sz w:val="24"/>
          <w:szCs w:val="24"/>
        </w:rPr>
      </w:pPr>
    </w:p>
    <w:p w14:paraId="3A8A4870" w14:textId="77777777" w:rsidR="00FD3A33" w:rsidRPr="00FD3A33" w:rsidRDefault="00FD3A33" w:rsidP="00FD3A33">
      <w:pPr>
        <w:pStyle w:val="NoSpacing"/>
        <w:ind w:firstLine="720"/>
        <w:rPr>
          <w:rFonts w:ascii="Times New Roman" w:hAnsi="Times New Roman"/>
          <w:sz w:val="24"/>
          <w:szCs w:val="24"/>
        </w:rPr>
      </w:pPr>
      <w:r w:rsidRPr="00FD3A33">
        <w:rPr>
          <w:rFonts w:ascii="Times New Roman" w:hAnsi="Times New Roman"/>
          <w:sz w:val="24"/>
          <w:szCs w:val="24"/>
        </w:rPr>
        <w:t>***</w:t>
      </w:r>
    </w:p>
    <w:p w14:paraId="6609C308" w14:textId="77777777" w:rsidR="00FD3A33" w:rsidRPr="00FD3A33" w:rsidRDefault="00FD3A33" w:rsidP="00FD3A33">
      <w:pPr>
        <w:pStyle w:val="NoSpacing"/>
        <w:ind w:left="720"/>
        <w:rPr>
          <w:rFonts w:ascii="Times New Roman" w:hAnsi="Times New Roman"/>
          <w:sz w:val="24"/>
          <w:szCs w:val="24"/>
        </w:rPr>
      </w:pPr>
      <w:r w:rsidRPr="00FD3A33">
        <w:rPr>
          <w:rFonts w:ascii="Times New Roman" w:hAnsi="Times New Roman"/>
          <w:sz w:val="24"/>
          <w:szCs w:val="24"/>
        </w:rPr>
        <w:t>There is also evidence tending to show that Bradley's proffered reason for plaintiff's termination was pretextual. After an independent investigation found that the harassment investigation into plaintiff was biased by Bradley's involvement, City officials concluded that the harassment investigation's findings did not warrant termination and instructed Bradley to remove plaintiff from administrative leave, but Bradley terminated plaintiff regardless.”</w:t>
      </w:r>
    </w:p>
    <w:p w14:paraId="1F8BFBA6" w14:textId="77777777" w:rsidR="00FD3A33" w:rsidRPr="00FD3A33" w:rsidRDefault="00FD3A33" w:rsidP="00FD3A33">
      <w:pPr>
        <w:pStyle w:val="NoSpacing"/>
        <w:rPr>
          <w:rFonts w:ascii="Times New Roman" w:hAnsi="Times New Roman"/>
          <w:sz w:val="24"/>
          <w:szCs w:val="24"/>
        </w:rPr>
      </w:pPr>
    </w:p>
    <w:p w14:paraId="5841DECD" w14:textId="77777777" w:rsidR="00FD3A33" w:rsidRPr="00FD3A33" w:rsidRDefault="00FD3A33" w:rsidP="00FD3A33">
      <w:pPr>
        <w:pStyle w:val="NoSpacing"/>
        <w:rPr>
          <w:rFonts w:ascii="Times New Roman" w:hAnsi="Times New Roman"/>
          <w:b/>
          <w:bCs/>
          <w:sz w:val="24"/>
          <w:szCs w:val="24"/>
        </w:rPr>
      </w:pPr>
      <w:r w:rsidRPr="00FD3A33">
        <w:rPr>
          <w:rFonts w:ascii="Times New Roman" w:hAnsi="Times New Roman"/>
          <w:b/>
          <w:sz w:val="24"/>
          <w:szCs w:val="24"/>
        </w:rPr>
        <w:t>Legal Lesson Learned: Terminating a Battalion Chief, despite an independent investigation and city recommendation not to fire, raises serious suspicion of retaliation that can now go to a jury trial.</w:t>
      </w:r>
    </w:p>
    <w:p w14:paraId="720D53F5" w14:textId="77777777" w:rsidR="00FD3A33" w:rsidRDefault="00FD3A33" w:rsidP="00FD3A33">
      <w:pPr>
        <w:rPr>
          <w:bCs/>
        </w:rPr>
      </w:pPr>
    </w:p>
    <w:p w14:paraId="4147ECA3" w14:textId="77777777" w:rsidR="00FD3A33" w:rsidRDefault="00FD3A33" w:rsidP="00F91F9F">
      <w:pPr>
        <w:pStyle w:val="NoSpacing"/>
        <w:rPr>
          <w:rFonts w:ascii="Arial Black" w:hAnsi="Arial Black"/>
          <w:sz w:val="24"/>
          <w:szCs w:val="24"/>
        </w:rPr>
      </w:pPr>
    </w:p>
    <w:p w14:paraId="5498AE2F" w14:textId="77777777" w:rsidR="00457219" w:rsidRDefault="00457219" w:rsidP="00F91F9F">
      <w:pPr>
        <w:pStyle w:val="NoSpacing"/>
        <w:rPr>
          <w:rFonts w:ascii="Arial Black" w:hAnsi="Arial Black"/>
          <w:sz w:val="24"/>
          <w:szCs w:val="24"/>
        </w:rPr>
      </w:pPr>
    </w:p>
    <w:p w14:paraId="359452B6" w14:textId="6B6D2105" w:rsidR="008A7077" w:rsidRDefault="008A7077" w:rsidP="00F91F9F">
      <w:pPr>
        <w:pStyle w:val="NoSpacing"/>
        <w:rPr>
          <w:rFonts w:ascii="Arial Black" w:hAnsi="Arial Black"/>
          <w:sz w:val="24"/>
          <w:szCs w:val="24"/>
        </w:rPr>
      </w:pPr>
      <w:r>
        <w:rPr>
          <w:rFonts w:ascii="Arial Black" w:hAnsi="Arial Black"/>
          <w:sz w:val="24"/>
          <w:szCs w:val="24"/>
        </w:rPr>
        <w:t>16-120</w:t>
      </w:r>
    </w:p>
    <w:p w14:paraId="2E0B30AD" w14:textId="77777777" w:rsidR="008A7077" w:rsidRDefault="008A7077" w:rsidP="00F91F9F">
      <w:pPr>
        <w:pStyle w:val="NoSpacing"/>
        <w:rPr>
          <w:rFonts w:ascii="Arial Black" w:hAnsi="Arial Black"/>
          <w:sz w:val="24"/>
          <w:szCs w:val="24"/>
        </w:rPr>
      </w:pPr>
    </w:p>
    <w:p w14:paraId="6ACBAAEA" w14:textId="36061B21" w:rsidR="008A7077" w:rsidRDefault="008A7077" w:rsidP="008A7077">
      <w:pPr>
        <w:rPr>
          <w:rFonts w:ascii="Arial Black" w:hAnsi="Arial Black"/>
          <w:b/>
          <w:sz w:val="28"/>
          <w:szCs w:val="28"/>
        </w:rPr>
      </w:pPr>
      <w:r>
        <w:rPr>
          <w:rFonts w:ascii="Arial Black" w:hAnsi="Arial Black"/>
          <w:b/>
          <w:sz w:val="28"/>
          <w:szCs w:val="28"/>
        </w:rPr>
        <w:t xml:space="preserve">WV: OWNER </w:t>
      </w:r>
      <w:r w:rsidR="0046766E">
        <w:rPr>
          <w:rFonts w:ascii="Arial Black" w:hAnsi="Arial Black"/>
          <w:b/>
          <w:sz w:val="28"/>
          <w:szCs w:val="28"/>
        </w:rPr>
        <w:t>“</w:t>
      </w:r>
      <w:r>
        <w:rPr>
          <w:rFonts w:ascii="Arial Black" w:hAnsi="Arial Black"/>
          <w:b/>
          <w:sz w:val="28"/>
          <w:szCs w:val="28"/>
        </w:rPr>
        <w:t>STAT EMS</w:t>
      </w:r>
      <w:r w:rsidR="0046766E">
        <w:rPr>
          <w:rFonts w:ascii="Arial Black" w:hAnsi="Arial Black"/>
          <w:b/>
          <w:sz w:val="28"/>
          <w:szCs w:val="28"/>
        </w:rPr>
        <w:t>” COMPANY</w:t>
      </w:r>
      <w:r>
        <w:rPr>
          <w:rFonts w:ascii="Arial Black" w:hAnsi="Arial Black"/>
          <w:b/>
          <w:sz w:val="28"/>
          <w:szCs w:val="28"/>
        </w:rPr>
        <w:t xml:space="preserve"> – $3.3M UNPAID TAXES – CONV</w:t>
      </w:r>
      <w:r w:rsidR="0046766E">
        <w:rPr>
          <w:rFonts w:ascii="Arial Black" w:hAnsi="Arial Black"/>
          <w:b/>
          <w:sz w:val="28"/>
          <w:szCs w:val="28"/>
        </w:rPr>
        <w:t>ICTED</w:t>
      </w:r>
    </w:p>
    <w:p w14:paraId="2268C460" w14:textId="77777777" w:rsidR="008A7077" w:rsidRPr="00DF71DE" w:rsidRDefault="008A7077" w:rsidP="008A7077">
      <w:pPr>
        <w:pStyle w:val="NoSpacing"/>
        <w:rPr>
          <w:rFonts w:ascii="Times New Roman" w:hAnsi="Times New Roman"/>
          <w:sz w:val="24"/>
          <w:szCs w:val="24"/>
        </w:rPr>
      </w:pPr>
      <w:r w:rsidRPr="00DF71DE">
        <w:rPr>
          <w:rFonts w:ascii="Times New Roman" w:hAnsi="Times New Roman"/>
          <w:sz w:val="24"/>
          <w:szCs w:val="24"/>
        </w:rPr>
        <w:t xml:space="preserve">On Jan. 2, 2025, in </w:t>
      </w:r>
      <w:r w:rsidRPr="00DF71DE">
        <w:rPr>
          <w:rFonts w:ascii="Times New Roman" w:hAnsi="Times New Roman"/>
          <w:sz w:val="24"/>
          <w:szCs w:val="24"/>
          <w:u w:val="single"/>
        </w:rPr>
        <w:t>United States of America v. Christopher Smyth</w:t>
      </w:r>
      <w:r w:rsidRPr="00DF71DE">
        <w:rPr>
          <w:rFonts w:ascii="Times New Roman" w:hAnsi="Times New Roman"/>
          <w:sz w:val="24"/>
          <w:szCs w:val="24"/>
        </w:rPr>
        <w:t xml:space="preserve">, U.S. District Court Chief Judge Frank W. Volk denied the defendant’s request for a downward departure from the federal sentencing guidelines.  He was convicted by a jury on May 3, </w:t>
      </w:r>
      <w:proofErr w:type="gramStart"/>
      <w:r w:rsidRPr="00DF71DE">
        <w:rPr>
          <w:rFonts w:ascii="Times New Roman" w:hAnsi="Times New Roman"/>
          <w:sz w:val="24"/>
          <w:szCs w:val="24"/>
        </w:rPr>
        <w:t>2024</w:t>
      </w:r>
      <w:proofErr w:type="gramEnd"/>
      <w:r w:rsidRPr="00DF71DE">
        <w:rPr>
          <w:rFonts w:ascii="Times New Roman" w:hAnsi="Times New Roman"/>
          <w:sz w:val="24"/>
          <w:szCs w:val="24"/>
        </w:rPr>
        <w:t xml:space="preserve"> by a federal jury in Beckley, West Virginia, for failing to pay the taxes withheld from employees’ wages at an ambulance service he operated and for obstructing the IRS.   Judge Volk was not impressed by the argument that the defendant was motivated by a desire to protect his community by continuing critical emergency services.  “Simply put, Mr. Smyth could have paid the trust fund taxes he had already collected from STAT EMS employees. He redirected the funds elsewhere.”  Mr. Smith will be sentenced on March 3, 2025. </w:t>
      </w:r>
      <w:hyperlink r:id="rId2641" w:history="1">
        <w:r w:rsidRPr="00DF71DE">
          <w:rPr>
            <w:rStyle w:val="Hyperlink"/>
            <w:rFonts w:ascii="Times New Roman" w:hAnsi="Times New Roman"/>
            <w:sz w:val="24"/>
            <w:szCs w:val="24"/>
          </w:rPr>
          <w:t>https://www.wvsd.uscourts.gov/sites/wvsd/files/opinions/MOO_20250102_5_22-cr-00182.pdf</w:t>
        </w:r>
      </w:hyperlink>
      <w:r w:rsidRPr="00DF71DE">
        <w:rPr>
          <w:rFonts w:ascii="Times New Roman" w:hAnsi="Times New Roman"/>
          <w:sz w:val="24"/>
          <w:szCs w:val="24"/>
        </w:rPr>
        <w:t xml:space="preserve"> </w:t>
      </w:r>
    </w:p>
    <w:p w14:paraId="284269F9" w14:textId="77777777" w:rsidR="008A7077" w:rsidRPr="00DF71DE" w:rsidRDefault="008A7077" w:rsidP="008A7077">
      <w:pPr>
        <w:pStyle w:val="NoSpacing"/>
        <w:rPr>
          <w:rFonts w:ascii="Times New Roman" w:hAnsi="Times New Roman"/>
          <w:sz w:val="24"/>
          <w:szCs w:val="24"/>
        </w:rPr>
      </w:pPr>
    </w:p>
    <w:p w14:paraId="16E839CB" w14:textId="77777777" w:rsidR="008A7077" w:rsidRPr="00DF71DE" w:rsidRDefault="008A7077" w:rsidP="008A7077">
      <w:pPr>
        <w:pStyle w:val="NoSpacing"/>
        <w:rPr>
          <w:rFonts w:ascii="Times New Roman" w:hAnsi="Times New Roman"/>
          <w:sz w:val="24"/>
          <w:szCs w:val="24"/>
        </w:rPr>
      </w:pPr>
      <w:r w:rsidRPr="00DF71DE">
        <w:rPr>
          <w:rFonts w:ascii="Times New Roman" w:hAnsi="Times New Roman"/>
          <w:sz w:val="24"/>
          <w:szCs w:val="24"/>
        </w:rPr>
        <w:t>The Court wrote:</w:t>
      </w:r>
    </w:p>
    <w:p w14:paraId="65FDED65" w14:textId="77777777" w:rsidR="008A7077" w:rsidRPr="00DF71DE" w:rsidRDefault="008A7077" w:rsidP="008A7077">
      <w:pPr>
        <w:pStyle w:val="NoSpacing"/>
        <w:rPr>
          <w:rFonts w:ascii="Times New Roman" w:hAnsi="Times New Roman"/>
          <w:sz w:val="24"/>
          <w:szCs w:val="24"/>
        </w:rPr>
      </w:pPr>
    </w:p>
    <w:p w14:paraId="598934ED" w14:textId="77777777" w:rsidR="008A7077" w:rsidRPr="00DF71DE" w:rsidRDefault="008A7077" w:rsidP="008A7077">
      <w:pPr>
        <w:pStyle w:val="NoSpacing"/>
        <w:ind w:firstLine="720"/>
        <w:rPr>
          <w:rFonts w:ascii="Times New Roman" w:hAnsi="Times New Roman"/>
          <w:sz w:val="24"/>
          <w:szCs w:val="24"/>
        </w:rPr>
      </w:pPr>
      <w:r w:rsidRPr="00DF71DE">
        <w:rPr>
          <w:rFonts w:ascii="Times New Roman" w:hAnsi="Times New Roman"/>
          <w:sz w:val="24"/>
          <w:szCs w:val="24"/>
        </w:rPr>
        <w:t>“Mr. Smyth contends his criminal conduct was motivated by a desire to protect his</w:t>
      </w:r>
    </w:p>
    <w:p w14:paraId="7FC03DE3" w14:textId="77777777" w:rsidR="008A7077" w:rsidRPr="00DF71DE" w:rsidRDefault="008A7077" w:rsidP="008A7077">
      <w:pPr>
        <w:pStyle w:val="NoSpacing"/>
        <w:ind w:left="720"/>
        <w:rPr>
          <w:rFonts w:ascii="Times New Roman" w:hAnsi="Times New Roman"/>
          <w:sz w:val="24"/>
          <w:szCs w:val="24"/>
        </w:rPr>
      </w:pPr>
      <w:r w:rsidRPr="00DF71DE">
        <w:rPr>
          <w:rFonts w:ascii="Times New Roman" w:hAnsi="Times New Roman"/>
          <w:sz w:val="24"/>
          <w:szCs w:val="24"/>
        </w:rPr>
        <w:t xml:space="preserve">community by continuing critical emergency services. [ECF 148 at 4]. He claims STAT EMS lacked sufficient funds to pay the trust fund taxes, </w:t>
      </w:r>
      <w:proofErr w:type="gramStart"/>
      <w:r w:rsidRPr="00DF71DE">
        <w:rPr>
          <w:rFonts w:ascii="Times New Roman" w:hAnsi="Times New Roman"/>
          <w:sz w:val="24"/>
          <w:szCs w:val="24"/>
        </w:rPr>
        <w:t>inasmuch as</w:t>
      </w:r>
      <w:proofErr w:type="gramEnd"/>
      <w:r w:rsidRPr="00DF71DE">
        <w:rPr>
          <w:rFonts w:ascii="Times New Roman" w:hAnsi="Times New Roman"/>
          <w:sz w:val="24"/>
          <w:szCs w:val="24"/>
        </w:rPr>
        <w:t xml:space="preserve"> </w:t>
      </w:r>
      <w:proofErr w:type="gramStart"/>
      <w:r w:rsidRPr="00DF71DE">
        <w:rPr>
          <w:rFonts w:ascii="Times New Roman" w:hAnsi="Times New Roman"/>
          <w:sz w:val="24"/>
          <w:szCs w:val="24"/>
        </w:rPr>
        <w:t>it earlier</w:t>
      </w:r>
      <w:proofErr w:type="gramEnd"/>
      <w:r w:rsidRPr="00DF71DE">
        <w:rPr>
          <w:rFonts w:ascii="Times New Roman" w:hAnsi="Times New Roman"/>
          <w:sz w:val="24"/>
          <w:szCs w:val="24"/>
        </w:rPr>
        <w:t xml:space="preserve"> absorbed two failed ambulance companies. [Id. at 3–4]. He further contends the IRS acknowledged the importance of the services by foregoing levy against STAT EMS or liquidating its assets. [Id. at 4]. For these reasons, he seeks the subject departure and a downward variance.</w:t>
      </w:r>
    </w:p>
    <w:p w14:paraId="0D132CD9" w14:textId="77777777" w:rsidR="008A7077" w:rsidRPr="00DF71DE" w:rsidRDefault="008A7077" w:rsidP="008A7077">
      <w:pPr>
        <w:pStyle w:val="NoSpacing"/>
        <w:rPr>
          <w:rFonts w:ascii="Times New Roman" w:hAnsi="Times New Roman"/>
          <w:sz w:val="24"/>
          <w:szCs w:val="24"/>
        </w:rPr>
      </w:pPr>
    </w:p>
    <w:p w14:paraId="33AC2C37" w14:textId="77777777" w:rsidR="008A7077" w:rsidRPr="00DF71DE" w:rsidRDefault="008A7077" w:rsidP="008A7077">
      <w:pPr>
        <w:pStyle w:val="NoSpacing"/>
        <w:ind w:firstLine="720"/>
        <w:rPr>
          <w:rFonts w:ascii="Times New Roman" w:hAnsi="Times New Roman"/>
          <w:sz w:val="24"/>
          <w:szCs w:val="24"/>
        </w:rPr>
      </w:pPr>
      <w:r w:rsidRPr="00DF71DE">
        <w:rPr>
          <w:rFonts w:ascii="Times New Roman" w:hAnsi="Times New Roman"/>
          <w:sz w:val="24"/>
          <w:szCs w:val="24"/>
        </w:rPr>
        <w:t>***</w:t>
      </w:r>
    </w:p>
    <w:p w14:paraId="6F291A56" w14:textId="77777777" w:rsidR="008A7077" w:rsidRPr="00DF71DE" w:rsidRDefault="008A7077" w:rsidP="008A7077">
      <w:pPr>
        <w:pStyle w:val="NoSpacing"/>
        <w:rPr>
          <w:rFonts w:ascii="Times New Roman" w:hAnsi="Times New Roman"/>
          <w:sz w:val="24"/>
          <w:szCs w:val="24"/>
        </w:rPr>
      </w:pPr>
    </w:p>
    <w:p w14:paraId="16E445B6" w14:textId="77777777" w:rsidR="008A7077" w:rsidRPr="00DF71DE" w:rsidRDefault="008A7077" w:rsidP="008A7077">
      <w:pPr>
        <w:pStyle w:val="NoSpacing"/>
        <w:ind w:left="720"/>
        <w:rPr>
          <w:rFonts w:ascii="Times New Roman" w:hAnsi="Times New Roman"/>
          <w:sz w:val="24"/>
          <w:szCs w:val="24"/>
        </w:rPr>
      </w:pPr>
      <w:r w:rsidRPr="00DF71DE">
        <w:rPr>
          <w:rFonts w:ascii="Times New Roman" w:hAnsi="Times New Roman"/>
          <w:sz w:val="24"/>
          <w:szCs w:val="24"/>
        </w:rPr>
        <w:t>Mr. Smyth’s decades-long dodge of his taxpayer obligations deprived the Sovereign of monies used to fund essential governmental services. It is our elected representatives who hold the privilege and responsibility for funding decisions. Instead of permitting those policy decisions to be made by the ones to whom the power is reserved, however, Mr. Smyth made his own funding allocation. And he seeks a reduction for doing so. The approach is quite distorted.</w:t>
      </w:r>
    </w:p>
    <w:p w14:paraId="4E532352" w14:textId="77777777" w:rsidR="008A7077" w:rsidRPr="00DF71DE" w:rsidRDefault="008A7077" w:rsidP="008A7077">
      <w:pPr>
        <w:pStyle w:val="NoSpacing"/>
        <w:rPr>
          <w:rFonts w:ascii="Times New Roman" w:hAnsi="Times New Roman"/>
          <w:sz w:val="24"/>
          <w:szCs w:val="24"/>
        </w:rPr>
      </w:pPr>
    </w:p>
    <w:p w14:paraId="667ED036" w14:textId="77777777" w:rsidR="008A7077" w:rsidRPr="00DF71DE" w:rsidRDefault="008A7077" w:rsidP="008A7077">
      <w:pPr>
        <w:pStyle w:val="NoSpacing"/>
        <w:ind w:firstLine="720"/>
        <w:rPr>
          <w:rFonts w:ascii="Times New Roman" w:hAnsi="Times New Roman"/>
          <w:sz w:val="24"/>
          <w:szCs w:val="24"/>
        </w:rPr>
      </w:pPr>
      <w:r w:rsidRPr="00DF71DE">
        <w:rPr>
          <w:rFonts w:ascii="Times New Roman" w:hAnsi="Times New Roman"/>
          <w:sz w:val="24"/>
          <w:szCs w:val="24"/>
        </w:rPr>
        <w:t>Mr. Smyth also contends his crimes resulted from insufficient funds after absorbing</w:t>
      </w:r>
    </w:p>
    <w:p w14:paraId="2A069623" w14:textId="77777777" w:rsidR="008A7077" w:rsidRPr="00DF71DE" w:rsidRDefault="008A7077" w:rsidP="008A7077">
      <w:pPr>
        <w:pStyle w:val="NoSpacing"/>
        <w:ind w:left="720"/>
        <w:rPr>
          <w:rFonts w:ascii="Times New Roman" w:hAnsi="Times New Roman"/>
          <w:sz w:val="24"/>
          <w:szCs w:val="24"/>
        </w:rPr>
      </w:pPr>
      <w:r w:rsidRPr="00DF71DE">
        <w:rPr>
          <w:rFonts w:ascii="Times New Roman" w:hAnsi="Times New Roman"/>
          <w:sz w:val="24"/>
          <w:szCs w:val="24"/>
        </w:rPr>
        <w:lastRenderedPageBreak/>
        <w:t xml:space="preserve">two failed ambulance services in 2014. [ECF 148 at 3–4]. That is inaccurate. His tax crimes started long prior. [See PSR at 5]. The trial surfaced not only Mr. Smyth’s failure to pay his trust fund taxes, but also his decision to pay himself, his family, his friends, and the businesses they operated. Mr. Smyth also managed to meet his tax obligations shortly after coming </w:t>
      </w:r>
      <w:proofErr w:type="gramStart"/>
      <w:r w:rsidRPr="00DF71DE">
        <w:rPr>
          <w:rFonts w:ascii="Times New Roman" w:hAnsi="Times New Roman"/>
          <w:sz w:val="24"/>
          <w:szCs w:val="24"/>
        </w:rPr>
        <w:t>under</w:t>
      </w:r>
      <w:proofErr w:type="gramEnd"/>
      <w:r w:rsidRPr="00DF71DE">
        <w:rPr>
          <w:rFonts w:ascii="Times New Roman" w:hAnsi="Times New Roman"/>
          <w:sz w:val="24"/>
          <w:szCs w:val="24"/>
        </w:rPr>
        <w:t xml:space="preserve"> criminal investigation. Simply put, Mr. Smyth could have paid the trust fund taxes he had already collected from STAT EMS employees. He redirected the funds elsewhere.</w:t>
      </w:r>
    </w:p>
    <w:p w14:paraId="59BA937B" w14:textId="77777777" w:rsidR="008A7077" w:rsidRPr="00DF71DE" w:rsidRDefault="008A7077" w:rsidP="008A7077">
      <w:pPr>
        <w:pStyle w:val="NoSpacing"/>
        <w:rPr>
          <w:rFonts w:ascii="Times New Roman" w:hAnsi="Times New Roman"/>
          <w:sz w:val="24"/>
          <w:szCs w:val="24"/>
        </w:rPr>
      </w:pPr>
    </w:p>
    <w:p w14:paraId="65B8BC8F" w14:textId="77777777" w:rsidR="008A7077" w:rsidRPr="00DF71DE" w:rsidRDefault="008A7077" w:rsidP="008A7077">
      <w:pPr>
        <w:pStyle w:val="NoSpacing"/>
        <w:ind w:firstLine="720"/>
        <w:rPr>
          <w:rFonts w:ascii="Times New Roman" w:hAnsi="Times New Roman"/>
          <w:sz w:val="24"/>
          <w:szCs w:val="24"/>
        </w:rPr>
      </w:pPr>
      <w:r w:rsidRPr="00DF71DE">
        <w:rPr>
          <w:rFonts w:ascii="Times New Roman" w:hAnsi="Times New Roman"/>
          <w:sz w:val="24"/>
          <w:szCs w:val="24"/>
        </w:rPr>
        <w:t>In sum, Mr. Smyth shorted the Sovereign and the tax-paying public. Under such</w:t>
      </w:r>
    </w:p>
    <w:p w14:paraId="7B26A2D8" w14:textId="77777777" w:rsidR="008A7077" w:rsidRPr="00DF71DE" w:rsidRDefault="008A7077" w:rsidP="008A7077">
      <w:pPr>
        <w:pStyle w:val="NoSpacing"/>
        <w:ind w:left="720"/>
        <w:rPr>
          <w:rFonts w:ascii="Times New Roman" w:hAnsi="Times New Roman"/>
          <w:sz w:val="24"/>
          <w:szCs w:val="24"/>
        </w:rPr>
      </w:pPr>
      <w:r w:rsidRPr="00DF71DE">
        <w:rPr>
          <w:rFonts w:ascii="Times New Roman" w:hAnsi="Times New Roman"/>
          <w:sz w:val="24"/>
          <w:szCs w:val="24"/>
        </w:rPr>
        <w:t>circumstances, a downward departure is inappropriate. A ruling on the variance request awaits further development by counsel at sentencing.”</w:t>
      </w:r>
    </w:p>
    <w:p w14:paraId="14424410" w14:textId="77777777" w:rsidR="008A7077" w:rsidRPr="00DF71DE" w:rsidRDefault="008A7077" w:rsidP="008A7077">
      <w:pPr>
        <w:pStyle w:val="NoSpacing"/>
        <w:ind w:left="720"/>
        <w:rPr>
          <w:rFonts w:ascii="Times New Roman" w:hAnsi="Times New Roman"/>
          <w:sz w:val="24"/>
          <w:szCs w:val="24"/>
        </w:rPr>
      </w:pPr>
    </w:p>
    <w:p w14:paraId="4D39DC93" w14:textId="77777777" w:rsidR="008A7077" w:rsidRPr="00DF71DE" w:rsidRDefault="008A7077" w:rsidP="008A7077">
      <w:pPr>
        <w:pStyle w:val="NoSpacing"/>
        <w:rPr>
          <w:rFonts w:ascii="Times New Roman" w:hAnsi="Times New Roman"/>
          <w:b/>
          <w:bCs/>
          <w:sz w:val="24"/>
          <w:szCs w:val="24"/>
        </w:rPr>
      </w:pPr>
      <w:r w:rsidRPr="00DF71DE">
        <w:rPr>
          <w:rFonts w:ascii="Times New Roman" w:hAnsi="Times New Roman"/>
          <w:b/>
          <w:sz w:val="24"/>
          <w:szCs w:val="24"/>
        </w:rPr>
        <w:t xml:space="preserve">Legal Lesson Learned:  Failure to pay taxes can result in jail time. </w:t>
      </w:r>
    </w:p>
    <w:p w14:paraId="3FCFC72C" w14:textId="77777777" w:rsidR="008A7077" w:rsidRPr="00DF71DE" w:rsidRDefault="008A7077" w:rsidP="008A7077">
      <w:pPr>
        <w:rPr>
          <w:rFonts w:ascii="Times New Roman" w:hAnsi="Times New Roman"/>
          <w:b/>
          <w:sz w:val="24"/>
          <w:szCs w:val="24"/>
        </w:rPr>
      </w:pPr>
    </w:p>
    <w:p w14:paraId="2118BFAC" w14:textId="77777777" w:rsidR="008A7077" w:rsidRPr="00DF71DE" w:rsidRDefault="008A7077" w:rsidP="008A7077">
      <w:pPr>
        <w:ind w:left="720"/>
        <w:rPr>
          <w:rFonts w:ascii="Times New Roman" w:hAnsi="Times New Roman"/>
          <w:bCs/>
          <w:sz w:val="24"/>
          <w:szCs w:val="24"/>
        </w:rPr>
      </w:pPr>
      <w:r w:rsidRPr="00DF71DE">
        <w:rPr>
          <w:rFonts w:ascii="Times New Roman" w:hAnsi="Times New Roman"/>
          <w:sz w:val="24"/>
          <w:szCs w:val="24"/>
        </w:rPr>
        <w:t>Note: See May 3, 2024, U.S. Department of Justice press release, “West Virginia Ambulance Services Business Owner Convicted of Tax Crimes.”</w:t>
      </w:r>
    </w:p>
    <w:p w14:paraId="4D7DF769" w14:textId="77777777" w:rsidR="008A7077" w:rsidRPr="00DF71DE" w:rsidRDefault="008A7077" w:rsidP="008A7077">
      <w:pPr>
        <w:ind w:left="720"/>
        <w:rPr>
          <w:rFonts w:ascii="Times New Roman" w:hAnsi="Times New Roman"/>
          <w:bCs/>
          <w:sz w:val="24"/>
          <w:szCs w:val="24"/>
        </w:rPr>
      </w:pPr>
      <w:r w:rsidRPr="00DF71DE">
        <w:rPr>
          <w:rFonts w:ascii="Times New Roman" w:hAnsi="Times New Roman"/>
          <w:sz w:val="24"/>
          <w:szCs w:val="24"/>
        </w:rPr>
        <w:t>“A federal jury in Beckley, West Virginia, convicted a man yesterday for failing to pay the taxes withheld from employees’ wages at an ambulance service he operated and for obstructing the IRS.   According to evidence presented at trial, from 2012 through part of 2017, Christopher Jason Smyth operated Stat EMS LLC, an ambulance service located in Pineville, West Virginia. Smyth created Stat EMS after a previous ambulance business Smyth operated accrued millions of dollars of employment tax liabilities and filed for bankruptcy. Smyth caused Stat EMS to be founded in the name of a nominee owner but continued operating the business in the same manner as before.</w:t>
      </w:r>
    </w:p>
    <w:p w14:paraId="74894D62" w14:textId="25178C41" w:rsidR="008A7077" w:rsidRPr="00DF71DE" w:rsidRDefault="008A7077" w:rsidP="008A7077">
      <w:pPr>
        <w:ind w:left="720"/>
        <w:rPr>
          <w:rFonts w:ascii="Times New Roman" w:hAnsi="Times New Roman"/>
          <w:bCs/>
          <w:sz w:val="24"/>
          <w:szCs w:val="24"/>
        </w:rPr>
      </w:pPr>
      <w:r w:rsidRPr="00DF71DE">
        <w:rPr>
          <w:rFonts w:ascii="Times New Roman" w:hAnsi="Times New Roman"/>
          <w:sz w:val="24"/>
          <w:szCs w:val="24"/>
        </w:rPr>
        <w:t xml:space="preserve">At Stat EMS, Smyth was responsible for withholding Social Security, Medicare and income taxes from employees’ wages and paying them to the IRS. For two quarters in 2016, Smyth, however, did not fully pay the taxes to the IRS. Instead, he paid various personal expenses and transferred funds to businesses held by his friends and family. The IRS determined that Stat EMS accrued approximately $3.3 million in unpaid </w:t>
      </w:r>
      <w:proofErr w:type="gramStart"/>
      <w:r w:rsidR="00DF71DE" w:rsidRPr="00DF71DE">
        <w:rPr>
          <w:rFonts w:ascii="Times New Roman" w:hAnsi="Times New Roman"/>
          <w:sz w:val="24"/>
          <w:szCs w:val="24"/>
        </w:rPr>
        <w:t>taxes.</w:t>
      </w:r>
      <w:r w:rsidR="00DF71DE">
        <w:rPr>
          <w:rFonts w:ascii="Times New Roman" w:hAnsi="Times New Roman"/>
          <w:sz w:val="24"/>
          <w:szCs w:val="24"/>
        </w:rPr>
        <w:t>”</w:t>
      </w:r>
      <w:proofErr w:type="gramEnd"/>
    </w:p>
    <w:p w14:paraId="526AAB6D" w14:textId="77777777" w:rsidR="008A7077" w:rsidRDefault="008A7077" w:rsidP="008A7077">
      <w:pPr>
        <w:rPr>
          <w:b/>
        </w:rPr>
      </w:pPr>
    </w:p>
    <w:p w14:paraId="6DF1A81F" w14:textId="77777777" w:rsidR="008A7077" w:rsidRDefault="008A7077" w:rsidP="00F91F9F">
      <w:pPr>
        <w:pStyle w:val="NoSpacing"/>
        <w:rPr>
          <w:rFonts w:ascii="Arial Black" w:hAnsi="Arial Black"/>
          <w:sz w:val="24"/>
          <w:szCs w:val="24"/>
        </w:rPr>
      </w:pPr>
    </w:p>
    <w:p w14:paraId="2DE44799" w14:textId="77777777" w:rsidR="008A7077" w:rsidRDefault="008A7077" w:rsidP="00F91F9F">
      <w:pPr>
        <w:pStyle w:val="NoSpacing"/>
        <w:rPr>
          <w:rFonts w:ascii="Arial Black" w:hAnsi="Arial Black"/>
          <w:sz w:val="24"/>
          <w:szCs w:val="24"/>
        </w:rPr>
      </w:pPr>
    </w:p>
    <w:p w14:paraId="4FF3EEEA" w14:textId="77777777" w:rsidR="008A7077" w:rsidRDefault="008A7077" w:rsidP="00F91F9F">
      <w:pPr>
        <w:pStyle w:val="NoSpacing"/>
        <w:rPr>
          <w:rFonts w:ascii="Arial Black" w:hAnsi="Arial Black"/>
          <w:sz w:val="24"/>
          <w:szCs w:val="24"/>
        </w:rPr>
      </w:pPr>
    </w:p>
    <w:p w14:paraId="1A3E4068" w14:textId="299B901A" w:rsidR="00921B8A" w:rsidRDefault="00921B8A" w:rsidP="00F91F9F">
      <w:pPr>
        <w:pStyle w:val="NoSpacing"/>
        <w:rPr>
          <w:rFonts w:ascii="Arial Black" w:hAnsi="Arial Black"/>
          <w:sz w:val="24"/>
          <w:szCs w:val="24"/>
        </w:rPr>
      </w:pPr>
      <w:r>
        <w:rPr>
          <w:rFonts w:ascii="Arial Black" w:hAnsi="Arial Black"/>
          <w:sz w:val="24"/>
          <w:szCs w:val="24"/>
        </w:rPr>
        <w:t>16-119</w:t>
      </w:r>
    </w:p>
    <w:p w14:paraId="0BBF3020" w14:textId="77777777" w:rsidR="00921B8A" w:rsidRDefault="00921B8A" w:rsidP="00F91F9F">
      <w:pPr>
        <w:pStyle w:val="NoSpacing"/>
        <w:rPr>
          <w:rFonts w:ascii="Arial Black" w:hAnsi="Arial Black"/>
          <w:sz w:val="24"/>
          <w:szCs w:val="24"/>
        </w:rPr>
      </w:pPr>
    </w:p>
    <w:p w14:paraId="3F309FF6" w14:textId="77777777" w:rsidR="0063723E" w:rsidRPr="00913FB8" w:rsidRDefault="0063723E" w:rsidP="0063723E">
      <w:pPr>
        <w:pStyle w:val="NoSpacing"/>
        <w:rPr>
          <w:rFonts w:ascii="Arial Black" w:hAnsi="Arial Black"/>
          <w:sz w:val="28"/>
          <w:szCs w:val="28"/>
        </w:rPr>
      </w:pPr>
      <w:r>
        <w:rPr>
          <w:rFonts w:ascii="Arial Black" w:hAnsi="Arial Black"/>
          <w:sz w:val="28"/>
          <w:szCs w:val="28"/>
        </w:rPr>
        <w:t xml:space="preserve">MI: WHISTLEBLOWER, REPT BAD TIRES – LATER FIRED </w:t>
      </w:r>
    </w:p>
    <w:p w14:paraId="4775763C" w14:textId="77777777" w:rsidR="0063723E" w:rsidRDefault="0063723E" w:rsidP="0063723E">
      <w:pPr>
        <w:pStyle w:val="NoSpacing"/>
      </w:pPr>
    </w:p>
    <w:p w14:paraId="05A387C3" w14:textId="77777777" w:rsidR="00054479" w:rsidRPr="00054479" w:rsidRDefault="00054479" w:rsidP="00054479">
      <w:pPr>
        <w:pStyle w:val="NoSpacing"/>
        <w:rPr>
          <w:rFonts w:ascii="Times New Roman" w:hAnsi="Times New Roman"/>
          <w:sz w:val="24"/>
          <w:szCs w:val="24"/>
        </w:rPr>
      </w:pPr>
      <w:r w:rsidRPr="00054479">
        <w:rPr>
          <w:rFonts w:ascii="Times New Roman" w:hAnsi="Times New Roman"/>
          <w:sz w:val="24"/>
          <w:szCs w:val="24"/>
        </w:rPr>
        <w:t xml:space="preserve">On Dec. 19, 2024, in </w:t>
      </w:r>
      <w:r w:rsidRPr="00054479">
        <w:rPr>
          <w:rFonts w:ascii="Times New Roman" w:hAnsi="Times New Roman"/>
          <w:sz w:val="24"/>
          <w:szCs w:val="24"/>
          <w:u w:val="single"/>
        </w:rPr>
        <w:t>Dale Gorm v. Northern Bay Ambulance &amp; Rescue</w:t>
      </w:r>
      <w:r w:rsidRPr="00054479">
        <w:rPr>
          <w:rFonts w:ascii="Times New Roman" w:hAnsi="Times New Roman"/>
          <w:sz w:val="24"/>
          <w:szCs w:val="24"/>
        </w:rPr>
        <w:t xml:space="preserve">, the Michigan Court of Appeals held (3 to 0; unpublished decision) that the trial court improperly granted summary judgment to the ambulance company.  In 2022, Paramedic Gorm complained twice to Chairman of Board about poor tires on the ambulances </w:t>
      </w:r>
      <w:proofErr w:type="gramStart"/>
      <w:r w:rsidRPr="00054479">
        <w:rPr>
          <w:rFonts w:ascii="Times New Roman" w:hAnsi="Times New Roman"/>
          <w:sz w:val="24"/>
          <w:szCs w:val="24"/>
        </w:rPr>
        <w:t>and also</w:t>
      </w:r>
      <w:proofErr w:type="gramEnd"/>
      <w:r w:rsidRPr="00054479">
        <w:rPr>
          <w:rFonts w:ascii="Times New Roman" w:hAnsi="Times New Roman"/>
          <w:sz w:val="24"/>
          <w:szCs w:val="24"/>
        </w:rPr>
        <w:t xml:space="preserve"> complained that the Operations Manager, Ms. Jones, was doing poor job and should be fired.  The complaint was about two months prior to being fired.  On July 1, 2022, he inadvertently found on the common-use copier a document with EMS salary info and social security numbers, and he showed it two other EMS on duty.  He was fired July 14 for “privacy breach.” </w:t>
      </w:r>
      <w:hyperlink r:id="rId2642" w:history="1">
        <w:r w:rsidRPr="00054479">
          <w:rPr>
            <w:rStyle w:val="Hyperlink"/>
            <w:rFonts w:ascii="Times New Roman" w:hAnsi="Times New Roman"/>
            <w:sz w:val="24"/>
            <w:szCs w:val="24"/>
          </w:rPr>
          <w:t>https://cases.justia.com/michigan/court-of-appeals-unpublished/2024-368783.pdf?ts=1734703212</w:t>
        </w:r>
      </w:hyperlink>
      <w:r w:rsidRPr="00054479">
        <w:rPr>
          <w:rFonts w:ascii="Times New Roman" w:hAnsi="Times New Roman"/>
          <w:sz w:val="24"/>
          <w:szCs w:val="24"/>
        </w:rPr>
        <w:t xml:space="preserve"> </w:t>
      </w:r>
    </w:p>
    <w:p w14:paraId="0B490466" w14:textId="77777777" w:rsidR="00054479" w:rsidRDefault="00054479" w:rsidP="0063723E">
      <w:pPr>
        <w:pStyle w:val="NoSpacing"/>
        <w:rPr>
          <w:rFonts w:ascii="Times New Roman" w:hAnsi="Times New Roman"/>
          <w:sz w:val="24"/>
          <w:szCs w:val="24"/>
        </w:rPr>
      </w:pPr>
    </w:p>
    <w:p w14:paraId="5A8633E4" w14:textId="77777777" w:rsidR="00054479" w:rsidRDefault="00054479" w:rsidP="0063723E">
      <w:pPr>
        <w:pStyle w:val="NoSpacing"/>
        <w:rPr>
          <w:rFonts w:ascii="Times New Roman" w:hAnsi="Times New Roman"/>
          <w:sz w:val="24"/>
          <w:szCs w:val="24"/>
        </w:rPr>
      </w:pPr>
    </w:p>
    <w:p w14:paraId="0E41B549" w14:textId="18EDB9E4" w:rsidR="0063723E" w:rsidRPr="0063723E" w:rsidRDefault="0063723E" w:rsidP="0063723E">
      <w:pPr>
        <w:pStyle w:val="NoSpacing"/>
        <w:rPr>
          <w:rFonts w:ascii="Times New Roman" w:hAnsi="Times New Roman"/>
          <w:sz w:val="24"/>
          <w:szCs w:val="24"/>
        </w:rPr>
      </w:pPr>
      <w:r w:rsidRPr="0063723E">
        <w:rPr>
          <w:rFonts w:ascii="Times New Roman" w:hAnsi="Times New Roman"/>
          <w:sz w:val="24"/>
          <w:szCs w:val="24"/>
        </w:rPr>
        <w:t>The Cour</w:t>
      </w:r>
      <w:r w:rsidR="0080636C">
        <w:rPr>
          <w:rFonts w:ascii="Times New Roman" w:hAnsi="Times New Roman"/>
          <w:sz w:val="24"/>
          <w:szCs w:val="24"/>
        </w:rPr>
        <w:t>t wrote</w:t>
      </w:r>
      <w:r w:rsidRPr="0063723E">
        <w:rPr>
          <w:rFonts w:ascii="Times New Roman" w:hAnsi="Times New Roman"/>
          <w:sz w:val="24"/>
          <w:szCs w:val="24"/>
        </w:rPr>
        <w:t xml:space="preserve">: </w:t>
      </w:r>
    </w:p>
    <w:p w14:paraId="0A9C3108" w14:textId="77777777" w:rsidR="0080636C" w:rsidRDefault="0080636C" w:rsidP="0063723E">
      <w:pPr>
        <w:pStyle w:val="NoSpacing"/>
        <w:ind w:firstLine="720"/>
        <w:rPr>
          <w:rFonts w:ascii="Times New Roman" w:hAnsi="Times New Roman"/>
          <w:sz w:val="24"/>
          <w:szCs w:val="24"/>
        </w:rPr>
      </w:pPr>
    </w:p>
    <w:p w14:paraId="09D46BE5" w14:textId="73010EA8" w:rsidR="0063723E" w:rsidRPr="0063723E" w:rsidRDefault="0063723E" w:rsidP="0063723E">
      <w:pPr>
        <w:pStyle w:val="NoSpacing"/>
        <w:ind w:firstLine="720"/>
        <w:rPr>
          <w:rFonts w:ascii="Times New Roman" w:hAnsi="Times New Roman"/>
          <w:sz w:val="24"/>
          <w:szCs w:val="24"/>
        </w:rPr>
      </w:pPr>
      <w:r w:rsidRPr="0063723E">
        <w:rPr>
          <w:rFonts w:ascii="Times New Roman" w:hAnsi="Times New Roman"/>
          <w:sz w:val="24"/>
          <w:szCs w:val="24"/>
        </w:rPr>
        <w:t>“In sum, plaintiff presented sufficient circumstantial evidence to allow a reasonable fact-</w:t>
      </w:r>
    </w:p>
    <w:p w14:paraId="353BDEC7" w14:textId="2511A5E6" w:rsidR="0063723E" w:rsidRPr="0063723E" w:rsidRDefault="0063723E" w:rsidP="0063723E">
      <w:pPr>
        <w:pStyle w:val="NoSpacing"/>
        <w:ind w:left="720"/>
        <w:rPr>
          <w:rFonts w:ascii="Times New Roman" w:hAnsi="Times New Roman"/>
          <w:sz w:val="24"/>
          <w:szCs w:val="24"/>
        </w:rPr>
      </w:pPr>
      <w:r w:rsidRPr="0063723E">
        <w:rPr>
          <w:rFonts w:ascii="Times New Roman" w:hAnsi="Times New Roman"/>
          <w:sz w:val="24"/>
          <w:szCs w:val="24"/>
        </w:rPr>
        <w:t xml:space="preserve">finder to infer that plaintiff’s protected activity, i.e., reporting Jones’s failures to the Chairman, was a motivating factor in the decision to terminate him. A reasonable </w:t>
      </w:r>
      <w:proofErr w:type="gramStart"/>
      <w:r w:rsidRPr="0063723E">
        <w:rPr>
          <w:rFonts w:ascii="Times New Roman" w:hAnsi="Times New Roman"/>
          <w:sz w:val="24"/>
          <w:szCs w:val="24"/>
        </w:rPr>
        <w:t>fact-finder</w:t>
      </w:r>
      <w:proofErr w:type="gramEnd"/>
      <w:r w:rsidRPr="0063723E">
        <w:rPr>
          <w:rFonts w:ascii="Times New Roman" w:hAnsi="Times New Roman"/>
          <w:sz w:val="24"/>
          <w:szCs w:val="24"/>
        </w:rPr>
        <w:t xml:space="preserve"> could also infer that the proposed legitimate business reason—the privacy breach—was just a pretext. Therefore, there is an issue of fact as to why plaintiff was fired ‘upon which reasonable minds might differ.’ West, 469 Mich at 183.” </w:t>
      </w:r>
    </w:p>
    <w:p w14:paraId="30460BB9" w14:textId="77777777" w:rsidR="00850F47" w:rsidRDefault="00850F47" w:rsidP="002E3928">
      <w:pPr>
        <w:pStyle w:val="NoSpacing"/>
      </w:pPr>
    </w:p>
    <w:p w14:paraId="6110C56C" w14:textId="42FE4912" w:rsidR="002E3928" w:rsidRPr="00850F47" w:rsidRDefault="002E3928" w:rsidP="002E3928">
      <w:pPr>
        <w:pStyle w:val="NoSpacing"/>
        <w:rPr>
          <w:rFonts w:ascii="Times New Roman" w:hAnsi="Times New Roman"/>
          <w:sz w:val="24"/>
          <w:szCs w:val="24"/>
        </w:rPr>
      </w:pPr>
      <w:r w:rsidRPr="00850F47">
        <w:rPr>
          <w:rFonts w:ascii="Times New Roman" w:hAnsi="Times New Roman"/>
          <w:sz w:val="24"/>
          <w:szCs w:val="24"/>
        </w:rPr>
        <w:t>HOLDING:</w:t>
      </w:r>
    </w:p>
    <w:p w14:paraId="5B729953" w14:textId="77777777" w:rsidR="002E3928" w:rsidRPr="00850F47" w:rsidRDefault="002E3928" w:rsidP="002E3928">
      <w:pPr>
        <w:pStyle w:val="NoSpacing"/>
        <w:ind w:left="720"/>
        <w:rPr>
          <w:rFonts w:ascii="Times New Roman" w:hAnsi="Times New Roman"/>
          <w:sz w:val="24"/>
          <w:szCs w:val="24"/>
        </w:rPr>
      </w:pPr>
    </w:p>
    <w:p w14:paraId="5670DDDE" w14:textId="77777777" w:rsidR="002E3928" w:rsidRPr="00850F47" w:rsidRDefault="002E3928" w:rsidP="002E3928">
      <w:pPr>
        <w:pStyle w:val="NoSpacing"/>
        <w:ind w:left="720"/>
        <w:rPr>
          <w:rFonts w:ascii="Times New Roman" w:hAnsi="Times New Roman"/>
          <w:sz w:val="24"/>
          <w:szCs w:val="24"/>
        </w:rPr>
      </w:pPr>
      <w:r w:rsidRPr="00850F47">
        <w:rPr>
          <w:rFonts w:ascii="Times New Roman" w:hAnsi="Times New Roman"/>
          <w:sz w:val="24"/>
          <w:szCs w:val="24"/>
        </w:rPr>
        <w:t>“Plaintiff filed a lawsuit alleging that defendant retaliated against him in violation of the</w:t>
      </w:r>
    </w:p>
    <w:p w14:paraId="42FC69E3" w14:textId="77777777" w:rsidR="002E3928" w:rsidRPr="00850F47" w:rsidRDefault="002E3928" w:rsidP="002E3928">
      <w:pPr>
        <w:pStyle w:val="NoSpacing"/>
        <w:ind w:left="720"/>
        <w:rPr>
          <w:rFonts w:ascii="Times New Roman" w:hAnsi="Times New Roman"/>
          <w:sz w:val="24"/>
          <w:szCs w:val="24"/>
        </w:rPr>
      </w:pPr>
      <w:r w:rsidRPr="00850F47">
        <w:rPr>
          <w:rFonts w:ascii="Times New Roman" w:hAnsi="Times New Roman"/>
          <w:sz w:val="24"/>
          <w:szCs w:val="24"/>
        </w:rPr>
        <w:t>Whistleblowers’ Protection Act (WPA), MCL 15.369 et seq</w:t>
      </w:r>
      <w:proofErr w:type="gramStart"/>
      <w:r w:rsidRPr="00850F47">
        <w:rPr>
          <w:rFonts w:ascii="Times New Roman" w:hAnsi="Times New Roman"/>
          <w:sz w:val="24"/>
          <w:szCs w:val="24"/>
        </w:rPr>
        <w:t>.…</w:t>
      </w:r>
      <w:proofErr w:type="gramEnd"/>
      <w:r w:rsidRPr="00850F47">
        <w:rPr>
          <w:rFonts w:ascii="Times New Roman" w:hAnsi="Times New Roman"/>
          <w:sz w:val="24"/>
          <w:szCs w:val="24"/>
        </w:rPr>
        <w:t xml:space="preserve"> Pursuant to MCL 15.362, the WPA prohibits an employer from taking adverse employment action against an employee who </w:t>
      </w:r>
      <w:proofErr w:type="gramStart"/>
      <w:r w:rsidRPr="00850F47">
        <w:rPr>
          <w:rFonts w:ascii="Times New Roman" w:hAnsi="Times New Roman"/>
          <w:sz w:val="24"/>
          <w:szCs w:val="24"/>
        </w:rPr>
        <w:t>reports, ‘</w:t>
      </w:r>
      <w:proofErr w:type="gramEnd"/>
      <w:r w:rsidRPr="00850F47">
        <w:rPr>
          <w:rFonts w:ascii="Times New Roman" w:hAnsi="Times New Roman"/>
          <w:sz w:val="24"/>
          <w:szCs w:val="24"/>
        </w:rPr>
        <w:t>or is about to report, a violation or suspected violation</w:t>
      </w:r>
    </w:p>
    <w:p w14:paraId="6876F3F1" w14:textId="77777777" w:rsidR="002E3928" w:rsidRPr="00850F47" w:rsidRDefault="002E3928" w:rsidP="002E3928">
      <w:pPr>
        <w:pStyle w:val="NoSpacing"/>
        <w:ind w:left="720"/>
        <w:rPr>
          <w:rFonts w:ascii="Times New Roman" w:hAnsi="Times New Roman"/>
          <w:sz w:val="24"/>
          <w:szCs w:val="24"/>
        </w:rPr>
      </w:pPr>
      <w:r w:rsidRPr="00850F47">
        <w:rPr>
          <w:rFonts w:ascii="Times New Roman" w:hAnsi="Times New Roman"/>
          <w:sz w:val="24"/>
          <w:szCs w:val="24"/>
        </w:rPr>
        <w:t>of law to a public body,’ verbally or in writing.</w:t>
      </w:r>
    </w:p>
    <w:p w14:paraId="36795385" w14:textId="77777777" w:rsidR="002E3928" w:rsidRPr="00850F47" w:rsidRDefault="002E3928" w:rsidP="002E3928">
      <w:pPr>
        <w:pStyle w:val="NoSpacing"/>
        <w:ind w:left="720"/>
        <w:rPr>
          <w:rFonts w:ascii="Times New Roman" w:hAnsi="Times New Roman"/>
          <w:sz w:val="24"/>
          <w:szCs w:val="24"/>
        </w:rPr>
      </w:pPr>
    </w:p>
    <w:p w14:paraId="6785EF87" w14:textId="77777777" w:rsidR="002E3928" w:rsidRPr="00850F47" w:rsidRDefault="002E3928" w:rsidP="002E3928">
      <w:pPr>
        <w:pStyle w:val="NoSpacing"/>
        <w:ind w:left="720"/>
        <w:rPr>
          <w:rFonts w:ascii="Times New Roman" w:hAnsi="Times New Roman"/>
          <w:sz w:val="24"/>
          <w:szCs w:val="24"/>
        </w:rPr>
      </w:pPr>
      <w:r w:rsidRPr="00850F47">
        <w:rPr>
          <w:rFonts w:ascii="Times New Roman" w:hAnsi="Times New Roman"/>
          <w:sz w:val="24"/>
          <w:szCs w:val="24"/>
        </w:rPr>
        <w:t>***</w:t>
      </w:r>
    </w:p>
    <w:p w14:paraId="1843028F" w14:textId="77777777" w:rsidR="002E3928" w:rsidRPr="00850F47" w:rsidRDefault="002E3928" w:rsidP="002E3928">
      <w:pPr>
        <w:pStyle w:val="NoSpacing"/>
        <w:ind w:firstLine="720"/>
        <w:rPr>
          <w:rFonts w:ascii="Times New Roman" w:hAnsi="Times New Roman"/>
          <w:sz w:val="24"/>
          <w:szCs w:val="24"/>
        </w:rPr>
      </w:pPr>
      <w:r w:rsidRPr="00850F47">
        <w:rPr>
          <w:rFonts w:ascii="Times New Roman" w:hAnsi="Times New Roman"/>
          <w:sz w:val="24"/>
          <w:szCs w:val="24"/>
        </w:rPr>
        <w:t>In this case, plaintiff reported twice about poorly maintained tires. It is undisputed that</w:t>
      </w:r>
    </w:p>
    <w:p w14:paraId="5DC5ECBB" w14:textId="77777777" w:rsidR="002E3928" w:rsidRPr="00850F47" w:rsidRDefault="002E3928" w:rsidP="002E3928">
      <w:pPr>
        <w:pStyle w:val="NoSpacing"/>
        <w:ind w:firstLine="720"/>
        <w:rPr>
          <w:rFonts w:ascii="Times New Roman" w:hAnsi="Times New Roman"/>
          <w:sz w:val="24"/>
          <w:szCs w:val="24"/>
        </w:rPr>
      </w:pPr>
      <w:proofErr w:type="gramStart"/>
      <w:r w:rsidRPr="00850F47">
        <w:rPr>
          <w:rFonts w:ascii="Times New Roman" w:hAnsi="Times New Roman"/>
          <w:sz w:val="24"/>
          <w:szCs w:val="24"/>
        </w:rPr>
        <w:t>both</w:t>
      </w:r>
      <w:proofErr w:type="gramEnd"/>
      <w:r w:rsidRPr="00850F47">
        <w:rPr>
          <w:rFonts w:ascii="Times New Roman" w:hAnsi="Times New Roman"/>
          <w:sz w:val="24"/>
          <w:szCs w:val="24"/>
        </w:rPr>
        <w:t xml:space="preserve"> of those reports constitute a protected activity under the WPA.</w:t>
      </w:r>
    </w:p>
    <w:p w14:paraId="0D17B866" w14:textId="77777777" w:rsidR="002E3928" w:rsidRPr="00850F47" w:rsidRDefault="002E3928" w:rsidP="002E3928">
      <w:pPr>
        <w:pStyle w:val="NoSpacing"/>
        <w:ind w:firstLine="720"/>
        <w:rPr>
          <w:rFonts w:ascii="Times New Roman" w:hAnsi="Times New Roman"/>
          <w:sz w:val="24"/>
          <w:szCs w:val="24"/>
        </w:rPr>
      </w:pPr>
    </w:p>
    <w:p w14:paraId="6209DB33" w14:textId="77777777" w:rsidR="002E3928" w:rsidRPr="00850F47" w:rsidRDefault="002E3928" w:rsidP="002E3928">
      <w:pPr>
        <w:pStyle w:val="NoSpacing"/>
        <w:ind w:firstLine="720"/>
        <w:rPr>
          <w:rFonts w:ascii="Times New Roman" w:hAnsi="Times New Roman"/>
          <w:sz w:val="24"/>
          <w:szCs w:val="24"/>
        </w:rPr>
      </w:pPr>
      <w:r w:rsidRPr="00850F47">
        <w:rPr>
          <w:rFonts w:ascii="Times New Roman" w:hAnsi="Times New Roman"/>
          <w:sz w:val="24"/>
          <w:szCs w:val="24"/>
        </w:rPr>
        <w:t>***</w:t>
      </w:r>
    </w:p>
    <w:p w14:paraId="2F2B0B92" w14:textId="77777777" w:rsidR="002E3928" w:rsidRPr="00850F47" w:rsidRDefault="002E3928" w:rsidP="002E3928">
      <w:pPr>
        <w:pStyle w:val="NoSpacing"/>
        <w:ind w:left="720"/>
        <w:rPr>
          <w:rFonts w:ascii="Times New Roman" w:hAnsi="Times New Roman"/>
          <w:sz w:val="24"/>
          <w:szCs w:val="24"/>
        </w:rPr>
      </w:pPr>
      <w:r w:rsidRPr="00850F47">
        <w:rPr>
          <w:rFonts w:ascii="Times New Roman" w:hAnsi="Times New Roman"/>
          <w:sz w:val="24"/>
          <w:szCs w:val="24"/>
        </w:rPr>
        <w:t xml:space="preserve">There is no clear reason why Jones fired plaintiff but did not take any disciplinary actions against Granger, even though Granger </w:t>
      </w:r>
      <w:proofErr w:type="gramStart"/>
      <w:r w:rsidRPr="00850F47">
        <w:rPr>
          <w:rFonts w:ascii="Times New Roman" w:hAnsi="Times New Roman"/>
          <w:sz w:val="24"/>
          <w:szCs w:val="24"/>
        </w:rPr>
        <w:t>actually took</w:t>
      </w:r>
      <w:proofErr w:type="gramEnd"/>
      <w:r w:rsidRPr="00850F47">
        <w:rPr>
          <w:rFonts w:ascii="Times New Roman" w:hAnsi="Times New Roman"/>
          <w:sz w:val="24"/>
          <w:szCs w:val="24"/>
        </w:rPr>
        <w:t xml:space="preserve"> extra steps and indicated her plan to use private and sensitive information against her colleague, albeit jokingly. If a party submits documentary evidence to support his or her position, the jury should decide issues of </w:t>
      </w:r>
      <w:proofErr w:type="gramStart"/>
      <w:r w:rsidRPr="00850F47">
        <w:rPr>
          <w:rFonts w:ascii="Times New Roman" w:hAnsi="Times New Roman"/>
          <w:sz w:val="24"/>
          <w:szCs w:val="24"/>
        </w:rPr>
        <w:t>credibility.”</w:t>
      </w:r>
      <w:proofErr w:type="gramEnd"/>
    </w:p>
    <w:p w14:paraId="2167A3ED" w14:textId="77777777" w:rsidR="002E3928" w:rsidRPr="00850F47" w:rsidRDefault="002E3928" w:rsidP="002E3928">
      <w:pPr>
        <w:pStyle w:val="NoSpacing"/>
        <w:ind w:left="720"/>
        <w:rPr>
          <w:rFonts w:ascii="Times New Roman" w:hAnsi="Times New Roman"/>
          <w:sz w:val="24"/>
          <w:szCs w:val="24"/>
        </w:rPr>
      </w:pPr>
    </w:p>
    <w:p w14:paraId="2008844E" w14:textId="4F1FDF64" w:rsidR="002E3928" w:rsidRPr="00850F47" w:rsidRDefault="002E3928" w:rsidP="002E3928">
      <w:pPr>
        <w:pStyle w:val="NoSpacing"/>
        <w:rPr>
          <w:rFonts w:ascii="Times New Roman" w:hAnsi="Times New Roman"/>
          <w:b/>
          <w:bCs/>
          <w:sz w:val="24"/>
          <w:szCs w:val="24"/>
        </w:rPr>
      </w:pPr>
      <w:r w:rsidRPr="00850F47">
        <w:rPr>
          <w:rFonts w:ascii="Times New Roman" w:hAnsi="Times New Roman"/>
          <w:b/>
          <w:sz w:val="24"/>
          <w:szCs w:val="24"/>
        </w:rPr>
        <w:t>Legal Lesson Learned:  Employees, including “at will” employees</w:t>
      </w:r>
      <w:r w:rsidRPr="00850F47">
        <w:rPr>
          <w:rFonts w:ascii="Times New Roman" w:hAnsi="Times New Roman"/>
          <w:b/>
          <w:bCs/>
          <w:sz w:val="24"/>
          <w:szCs w:val="24"/>
        </w:rPr>
        <w:t>,</w:t>
      </w:r>
      <w:r w:rsidRPr="00850F47">
        <w:rPr>
          <w:rFonts w:ascii="Times New Roman" w:hAnsi="Times New Roman"/>
          <w:b/>
          <w:sz w:val="24"/>
          <w:szCs w:val="24"/>
        </w:rPr>
        <w:t xml:space="preserve"> are</w:t>
      </w:r>
      <w:r w:rsidR="00850F47">
        <w:rPr>
          <w:rFonts w:ascii="Times New Roman" w:hAnsi="Times New Roman"/>
          <w:b/>
          <w:sz w:val="24"/>
          <w:szCs w:val="24"/>
        </w:rPr>
        <w:t xml:space="preserve"> covered</w:t>
      </w:r>
      <w:r w:rsidRPr="00850F47">
        <w:rPr>
          <w:rFonts w:ascii="Times New Roman" w:hAnsi="Times New Roman"/>
          <w:b/>
          <w:sz w:val="24"/>
          <w:szCs w:val="24"/>
        </w:rPr>
        <w:t xml:space="preserve"> under the state’s Whistleblower’s Protection Act</w:t>
      </w:r>
      <w:r w:rsidRPr="00850F47">
        <w:rPr>
          <w:rFonts w:ascii="Times New Roman" w:hAnsi="Times New Roman"/>
          <w:b/>
          <w:bCs/>
          <w:sz w:val="24"/>
          <w:szCs w:val="24"/>
        </w:rPr>
        <w:t>.</w:t>
      </w:r>
    </w:p>
    <w:p w14:paraId="57B112F2" w14:textId="77777777" w:rsidR="0063723E" w:rsidRPr="00850F47" w:rsidRDefault="0063723E" w:rsidP="00F91F9F">
      <w:pPr>
        <w:pStyle w:val="NoSpacing"/>
        <w:rPr>
          <w:rFonts w:ascii="Times New Roman" w:hAnsi="Times New Roman"/>
          <w:sz w:val="24"/>
          <w:szCs w:val="24"/>
        </w:rPr>
      </w:pPr>
    </w:p>
    <w:p w14:paraId="77A11727" w14:textId="77777777" w:rsidR="00921B8A" w:rsidRDefault="00921B8A" w:rsidP="00F91F9F">
      <w:pPr>
        <w:pStyle w:val="NoSpacing"/>
        <w:rPr>
          <w:rFonts w:ascii="Arial Black" w:hAnsi="Arial Black"/>
          <w:sz w:val="24"/>
          <w:szCs w:val="24"/>
        </w:rPr>
      </w:pPr>
    </w:p>
    <w:p w14:paraId="41FAEF5D" w14:textId="77777777" w:rsidR="00921B8A" w:rsidRDefault="00921B8A" w:rsidP="00F91F9F">
      <w:pPr>
        <w:pStyle w:val="NoSpacing"/>
        <w:rPr>
          <w:rFonts w:ascii="Arial Black" w:hAnsi="Arial Black"/>
          <w:sz w:val="24"/>
          <w:szCs w:val="24"/>
        </w:rPr>
      </w:pPr>
    </w:p>
    <w:p w14:paraId="414A2F96" w14:textId="7A0236BD" w:rsidR="00034955" w:rsidRDefault="00034955" w:rsidP="00F91F9F">
      <w:pPr>
        <w:pStyle w:val="NoSpacing"/>
        <w:rPr>
          <w:rFonts w:ascii="Arial Black" w:hAnsi="Arial Black"/>
          <w:sz w:val="24"/>
          <w:szCs w:val="24"/>
        </w:rPr>
      </w:pPr>
      <w:r>
        <w:rPr>
          <w:rFonts w:ascii="Arial Black" w:hAnsi="Arial Black"/>
          <w:sz w:val="24"/>
          <w:szCs w:val="24"/>
        </w:rPr>
        <w:t>16-118</w:t>
      </w:r>
    </w:p>
    <w:p w14:paraId="3EDBF3D1" w14:textId="77777777" w:rsidR="00034955" w:rsidRDefault="00034955" w:rsidP="00F91F9F">
      <w:pPr>
        <w:pStyle w:val="NoSpacing"/>
        <w:rPr>
          <w:rFonts w:ascii="Arial Black" w:hAnsi="Arial Black"/>
          <w:sz w:val="24"/>
          <w:szCs w:val="24"/>
        </w:rPr>
      </w:pPr>
    </w:p>
    <w:p w14:paraId="01F143A2" w14:textId="77777777" w:rsidR="00512D69" w:rsidRPr="00CF26B4" w:rsidRDefault="00512D69" w:rsidP="00512D69">
      <w:pPr>
        <w:rPr>
          <w:rFonts w:ascii="Arial Black" w:hAnsi="Arial Black"/>
          <w:b/>
          <w:sz w:val="28"/>
          <w:szCs w:val="28"/>
        </w:rPr>
      </w:pPr>
      <w:r>
        <w:rPr>
          <w:rFonts w:ascii="Arial Black" w:hAnsi="Arial Black"/>
          <w:b/>
          <w:sz w:val="28"/>
          <w:szCs w:val="28"/>
        </w:rPr>
        <w:t>PA: AIR MEDICAL PILOT FIRED – NO PRE-FLIGHT CHECKLIST – “AT WILL” – VERY LARGE JURY VERDICT SET ASIDE</w:t>
      </w:r>
    </w:p>
    <w:p w14:paraId="1FBC5992" w14:textId="77777777" w:rsidR="00512D69" w:rsidRPr="006F7539" w:rsidRDefault="00512D69" w:rsidP="00512D69">
      <w:pPr>
        <w:pStyle w:val="NoSpacing"/>
        <w:rPr>
          <w:rFonts w:ascii="Times New Roman" w:hAnsi="Times New Roman"/>
          <w:sz w:val="24"/>
          <w:szCs w:val="24"/>
        </w:rPr>
      </w:pPr>
      <w:r w:rsidRPr="006F7539">
        <w:rPr>
          <w:rFonts w:ascii="Times New Roman" w:hAnsi="Times New Roman"/>
          <w:sz w:val="24"/>
          <w:szCs w:val="24"/>
        </w:rPr>
        <w:t xml:space="preserve">On Nov. 18, 2024, in </w:t>
      </w:r>
      <w:r w:rsidRPr="006F7539">
        <w:rPr>
          <w:rFonts w:ascii="Times New Roman" w:hAnsi="Times New Roman"/>
          <w:sz w:val="24"/>
          <w:szCs w:val="24"/>
          <w:u w:val="single"/>
        </w:rPr>
        <w:t>Patrick DeVore v. Metro Aviation, Inc., et al</w:t>
      </w:r>
      <w:r w:rsidRPr="006F7539">
        <w:rPr>
          <w:rFonts w:ascii="Times New Roman" w:hAnsi="Times New Roman"/>
          <w:sz w:val="24"/>
          <w:szCs w:val="24"/>
        </w:rPr>
        <w:t xml:space="preserve">., the Superior Court of Pennsylvania held (3 to 0) that the pilot was properly fired.  The Court wrote: “[T]he trial court erred in allowing DeVore to invoke the public policy exception and pursue a wrongful termination claim under the facts of this case. *** The jury awarded DeVore $1,142,582.00 in economic damages, as well as non-economic damages in the amounts of $500,000.000 for harm to reputation, $300,000.00 for pain and suffering, $300,000.00 for  embarrassment and humiliation, and $257,418.00 for loss of the ability to enjoy the pleasures of </w:t>
      </w:r>
      <w:proofErr w:type="gramStart"/>
      <w:r w:rsidRPr="006F7539">
        <w:rPr>
          <w:rFonts w:ascii="Times New Roman" w:hAnsi="Times New Roman"/>
          <w:sz w:val="24"/>
          <w:szCs w:val="24"/>
        </w:rPr>
        <w:t>life.”</w:t>
      </w:r>
      <w:proofErr w:type="gramEnd"/>
    </w:p>
    <w:p w14:paraId="17C506F7" w14:textId="77777777" w:rsidR="00512D69" w:rsidRPr="006F7539" w:rsidRDefault="00512D69" w:rsidP="00512D69">
      <w:pPr>
        <w:rPr>
          <w:rFonts w:ascii="Times New Roman" w:hAnsi="Times New Roman"/>
          <w:bCs/>
          <w:sz w:val="24"/>
          <w:szCs w:val="24"/>
        </w:rPr>
      </w:pPr>
      <w:hyperlink r:id="rId2643" w:history="1">
        <w:r w:rsidRPr="006F7539">
          <w:rPr>
            <w:rStyle w:val="Hyperlink"/>
            <w:rFonts w:ascii="Times New Roman" w:hAnsi="Times New Roman"/>
            <w:sz w:val="24"/>
            <w:szCs w:val="24"/>
          </w:rPr>
          <w:t>https://www.pacourts.us/assets/opinions/Superior/out/J-A22023-23o%20-%20106151918288524284.pdf?cb=1</w:t>
        </w:r>
      </w:hyperlink>
      <w:r w:rsidRPr="006F7539">
        <w:rPr>
          <w:rFonts w:ascii="Times New Roman" w:hAnsi="Times New Roman"/>
          <w:sz w:val="24"/>
          <w:szCs w:val="24"/>
        </w:rPr>
        <w:t xml:space="preserve"> </w:t>
      </w:r>
    </w:p>
    <w:p w14:paraId="35AF606C" w14:textId="5340E7B7" w:rsidR="006F7539" w:rsidRPr="006F7539" w:rsidRDefault="006F7539" w:rsidP="006F7539">
      <w:pPr>
        <w:pStyle w:val="NoSpacing"/>
        <w:rPr>
          <w:rFonts w:ascii="Times New Roman" w:hAnsi="Times New Roman"/>
          <w:b/>
          <w:bCs/>
          <w:sz w:val="24"/>
          <w:szCs w:val="24"/>
        </w:rPr>
      </w:pPr>
      <w:r w:rsidRPr="006F7539">
        <w:rPr>
          <w:rFonts w:ascii="Times New Roman" w:hAnsi="Times New Roman"/>
          <w:b/>
          <w:sz w:val="24"/>
          <w:szCs w:val="24"/>
        </w:rPr>
        <w:t xml:space="preserve">Legal Lesson Learned:  The pilot was an “at will” employee and was terminated for allegedly failing to perform a pre-flight checklist.   </w:t>
      </w:r>
    </w:p>
    <w:p w14:paraId="4E253BE1" w14:textId="77777777" w:rsidR="00034955" w:rsidRDefault="00034955" w:rsidP="00F91F9F">
      <w:pPr>
        <w:pStyle w:val="NoSpacing"/>
        <w:rPr>
          <w:rFonts w:ascii="Arial Black" w:hAnsi="Arial Black"/>
          <w:sz w:val="24"/>
          <w:szCs w:val="24"/>
        </w:rPr>
      </w:pPr>
    </w:p>
    <w:p w14:paraId="40EB049C" w14:textId="77777777" w:rsidR="00034955" w:rsidRDefault="00034955" w:rsidP="00F91F9F">
      <w:pPr>
        <w:pStyle w:val="NoSpacing"/>
        <w:rPr>
          <w:rFonts w:ascii="Arial Black" w:hAnsi="Arial Black"/>
          <w:sz w:val="24"/>
          <w:szCs w:val="24"/>
        </w:rPr>
      </w:pPr>
    </w:p>
    <w:p w14:paraId="267AB9E4" w14:textId="0576FD96" w:rsidR="001A19F9" w:rsidRDefault="001A19F9" w:rsidP="00F91F9F">
      <w:pPr>
        <w:pStyle w:val="NoSpacing"/>
        <w:rPr>
          <w:rFonts w:ascii="Arial Black" w:hAnsi="Arial Black"/>
          <w:sz w:val="24"/>
          <w:szCs w:val="24"/>
        </w:rPr>
      </w:pPr>
      <w:r>
        <w:rPr>
          <w:rFonts w:ascii="Arial Black" w:hAnsi="Arial Black"/>
          <w:sz w:val="24"/>
          <w:szCs w:val="24"/>
        </w:rPr>
        <w:t>16-117</w:t>
      </w:r>
    </w:p>
    <w:p w14:paraId="1199C76C" w14:textId="77777777" w:rsidR="00034955" w:rsidRDefault="00034955" w:rsidP="001A19F9">
      <w:pPr>
        <w:pStyle w:val="NoSpacing"/>
        <w:rPr>
          <w:rFonts w:ascii="Arial Black" w:hAnsi="Arial Black"/>
          <w:sz w:val="28"/>
          <w:szCs w:val="28"/>
        </w:rPr>
      </w:pPr>
    </w:p>
    <w:p w14:paraId="734D687A" w14:textId="17256B80" w:rsidR="001A19F9" w:rsidRDefault="001A19F9" w:rsidP="001A19F9">
      <w:pPr>
        <w:pStyle w:val="NoSpacing"/>
        <w:rPr>
          <w:rFonts w:ascii="Arial Black" w:hAnsi="Arial Black"/>
          <w:sz w:val="28"/>
          <w:szCs w:val="28"/>
        </w:rPr>
      </w:pPr>
      <w:r>
        <w:rPr>
          <w:rFonts w:ascii="Arial Black" w:hAnsi="Arial Black"/>
          <w:sz w:val="28"/>
          <w:szCs w:val="28"/>
        </w:rPr>
        <w:t>MI: FIREFIGHTER HAD SEX WITH 14-YEAR-OLD GIRL – FIRE CHIEF’S DAUGHTER – TO PRISON – 180 TO 540 MONTHS</w:t>
      </w:r>
    </w:p>
    <w:p w14:paraId="7BADFD1D" w14:textId="77777777" w:rsidR="001A19F9" w:rsidRDefault="001A19F9" w:rsidP="001A19F9">
      <w:pPr>
        <w:pStyle w:val="NoSpacing"/>
      </w:pPr>
    </w:p>
    <w:p w14:paraId="5CD437D8" w14:textId="77777777" w:rsidR="001A19F9" w:rsidRPr="00034955" w:rsidRDefault="001A19F9" w:rsidP="001A19F9">
      <w:pPr>
        <w:pStyle w:val="NoSpacing"/>
        <w:rPr>
          <w:rFonts w:ascii="Times New Roman" w:hAnsi="Times New Roman"/>
          <w:sz w:val="24"/>
          <w:szCs w:val="24"/>
        </w:rPr>
      </w:pPr>
      <w:r w:rsidRPr="00034955">
        <w:rPr>
          <w:rFonts w:ascii="Times New Roman" w:hAnsi="Times New Roman"/>
          <w:sz w:val="24"/>
          <w:szCs w:val="24"/>
        </w:rPr>
        <w:t xml:space="preserve">On Nov. 18, 2024, in </w:t>
      </w:r>
      <w:r w:rsidRPr="00034955">
        <w:rPr>
          <w:rFonts w:ascii="Times New Roman" w:hAnsi="Times New Roman"/>
          <w:sz w:val="24"/>
          <w:szCs w:val="24"/>
          <w:u w:val="single"/>
        </w:rPr>
        <w:t>People of State of Michigan v. Caleb Zechariah-Lee Kimel</w:t>
      </w:r>
      <w:r w:rsidRPr="00034955">
        <w:rPr>
          <w:rFonts w:ascii="Times New Roman" w:hAnsi="Times New Roman"/>
          <w:sz w:val="24"/>
          <w:szCs w:val="24"/>
        </w:rPr>
        <w:t xml:space="preserve">, the Court of Appeals of Michigan held (3 to 0; unpublished decision) that trial court judge properly sentenced the defendant to prison.  The Court wrote: “The trial court stated that it wanted defendant to think about how ‘for just a couple of moments of selfish gratification [he had] caused this child a lifetime of pain,’ she would never forget what defendant had done, and she would ‘need help for the rest of her life.’ … Accordingly, the trial court sentenced defendant, within the guidelines, to 180 to 540 months in prison for the CSC-I [criminal sexual conduct] conviction and 71 to 180 months in prison for the CSC-II convictions.” </w:t>
      </w:r>
      <w:hyperlink r:id="rId2644" w:history="1">
        <w:r w:rsidRPr="00034955">
          <w:rPr>
            <w:rStyle w:val="Hyperlink"/>
            <w:rFonts w:ascii="Times New Roman" w:hAnsi="Times New Roman"/>
            <w:sz w:val="24"/>
            <w:szCs w:val="24"/>
          </w:rPr>
          <w:t>https://cases.justia.com/michigan/court-of-appeals-unpublished/2024-365464.pdf?ts=1732024807</w:t>
        </w:r>
      </w:hyperlink>
      <w:r w:rsidRPr="00034955">
        <w:rPr>
          <w:rFonts w:ascii="Times New Roman" w:hAnsi="Times New Roman"/>
          <w:sz w:val="24"/>
          <w:szCs w:val="24"/>
        </w:rPr>
        <w:t xml:space="preserve"> </w:t>
      </w:r>
    </w:p>
    <w:p w14:paraId="207CEAEE" w14:textId="77777777" w:rsidR="001A19F9" w:rsidRPr="00034955" w:rsidRDefault="001A19F9" w:rsidP="00F91F9F">
      <w:pPr>
        <w:pStyle w:val="NoSpacing"/>
        <w:rPr>
          <w:rFonts w:ascii="Times New Roman" w:hAnsi="Times New Roman"/>
          <w:sz w:val="24"/>
          <w:szCs w:val="24"/>
        </w:rPr>
      </w:pPr>
    </w:p>
    <w:p w14:paraId="0E14CACB" w14:textId="77777777" w:rsidR="00034955" w:rsidRPr="00034955" w:rsidRDefault="00034955" w:rsidP="00034955">
      <w:pPr>
        <w:pStyle w:val="NoSpacing"/>
        <w:rPr>
          <w:rFonts w:ascii="Times New Roman" w:hAnsi="Times New Roman"/>
          <w:b/>
          <w:bCs/>
          <w:sz w:val="24"/>
          <w:szCs w:val="24"/>
        </w:rPr>
      </w:pPr>
      <w:r w:rsidRPr="00034955">
        <w:rPr>
          <w:rFonts w:ascii="Times New Roman" w:hAnsi="Times New Roman"/>
          <w:b/>
          <w:sz w:val="24"/>
          <w:szCs w:val="24"/>
        </w:rPr>
        <w:t xml:space="preserve">Legal Lesson Learned: Firefighter was properly sentenced to prison.  </w:t>
      </w:r>
    </w:p>
    <w:p w14:paraId="33E25CF4" w14:textId="77777777" w:rsidR="00034955" w:rsidRPr="00034955" w:rsidRDefault="00034955" w:rsidP="00F91F9F">
      <w:pPr>
        <w:pStyle w:val="NoSpacing"/>
        <w:rPr>
          <w:rFonts w:ascii="Times New Roman" w:hAnsi="Times New Roman"/>
          <w:sz w:val="24"/>
          <w:szCs w:val="24"/>
        </w:rPr>
      </w:pPr>
    </w:p>
    <w:p w14:paraId="48A461C4" w14:textId="77777777" w:rsidR="001A19F9" w:rsidRDefault="001A19F9" w:rsidP="00F91F9F">
      <w:pPr>
        <w:pStyle w:val="NoSpacing"/>
        <w:rPr>
          <w:rFonts w:ascii="Arial Black" w:hAnsi="Arial Black"/>
          <w:sz w:val="24"/>
          <w:szCs w:val="24"/>
        </w:rPr>
      </w:pPr>
    </w:p>
    <w:p w14:paraId="0160177C" w14:textId="77777777" w:rsidR="001A19F9" w:rsidRDefault="001A19F9" w:rsidP="00F91F9F">
      <w:pPr>
        <w:pStyle w:val="NoSpacing"/>
        <w:rPr>
          <w:rFonts w:ascii="Arial Black" w:hAnsi="Arial Black"/>
          <w:sz w:val="24"/>
          <w:szCs w:val="24"/>
        </w:rPr>
      </w:pPr>
    </w:p>
    <w:p w14:paraId="3A87ED5C" w14:textId="654774FE" w:rsidR="004E152C" w:rsidRDefault="004E152C" w:rsidP="00F91F9F">
      <w:pPr>
        <w:pStyle w:val="NoSpacing"/>
        <w:rPr>
          <w:rFonts w:ascii="Arial Black" w:hAnsi="Arial Black"/>
          <w:sz w:val="24"/>
          <w:szCs w:val="24"/>
        </w:rPr>
      </w:pPr>
      <w:r>
        <w:rPr>
          <w:rFonts w:ascii="Arial Black" w:hAnsi="Arial Black"/>
          <w:sz w:val="24"/>
          <w:szCs w:val="24"/>
        </w:rPr>
        <w:t>16-116</w:t>
      </w:r>
    </w:p>
    <w:p w14:paraId="569AC362" w14:textId="77777777" w:rsidR="004E152C" w:rsidRDefault="004E152C" w:rsidP="00F91F9F">
      <w:pPr>
        <w:pStyle w:val="NoSpacing"/>
        <w:rPr>
          <w:rFonts w:ascii="Arial Black" w:hAnsi="Arial Black"/>
          <w:sz w:val="24"/>
          <w:szCs w:val="24"/>
        </w:rPr>
      </w:pPr>
    </w:p>
    <w:p w14:paraId="2B59CC4E" w14:textId="77777777" w:rsidR="00684C64" w:rsidRPr="00D60720" w:rsidRDefault="00684C64" w:rsidP="00684C64">
      <w:pPr>
        <w:pStyle w:val="NoSpacing"/>
        <w:rPr>
          <w:rFonts w:ascii="Times New Roman" w:hAnsi="Times New Roman"/>
          <w:b/>
          <w:bCs/>
          <w:sz w:val="24"/>
          <w:szCs w:val="24"/>
        </w:rPr>
      </w:pPr>
      <w:r w:rsidRPr="00D60720">
        <w:rPr>
          <w:rFonts w:ascii="Times New Roman" w:hAnsi="Times New Roman"/>
          <w:b/>
          <w:bCs/>
          <w:sz w:val="24"/>
          <w:szCs w:val="24"/>
        </w:rPr>
        <w:t xml:space="preserve">NY: NO DEFAMATION -  REPORTED FF USING TOWING CO. FD BUSINESS - THEFT BUS SEAT / CATALYTIC CONVERTER </w:t>
      </w:r>
    </w:p>
    <w:p w14:paraId="2EFF8D4D" w14:textId="77777777" w:rsidR="00684C64" w:rsidRPr="00D60720" w:rsidRDefault="00684C64" w:rsidP="00684C64">
      <w:pPr>
        <w:pStyle w:val="NoSpacing"/>
        <w:rPr>
          <w:rFonts w:ascii="Times New Roman" w:hAnsi="Times New Roman"/>
          <w:sz w:val="24"/>
          <w:szCs w:val="24"/>
        </w:rPr>
      </w:pPr>
    </w:p>
    <w:p w14:paraId="1CDC88F5" w14:textId="77777777" w:rsidR="00684C64" w:rsidRPr="00D60720" w:rsidRDefault="00684C64" w:rsidP="00684C64">
      <w:pPr>
        <w:pStyle w:val="NoSpacing"/>
        <w:rPr>
          <w:rFonts w:ascii="Times New Roman" w:hAnsi="Times New Roman"/>
          <w:sz w:val="24"/>
          <w:szCs w:val="24"/>
        </w:rPr>
      </w:pPr>
      <w:r w:rsidRPr="00D60720">
        <w:rPr>
          <w:rFonts w:ascii="Times New Roman" w:hAnsi="Times New Roman"/>
          <w:sz w:val="24"/>
          <w:szCs w:val="24"/>
        </w:rPr>
        <w:t xml:space="preserve">On Oct. 17, 2024, in </w:t>
      </w:r>
      <w:r w:rsidRPr="00D60720">
        <w:rPr>
          <w:rFonts w:ascii="Times New Roman" w:hAnsi="Times New Roman"/>
          <w:sz w:val="24"/>
          <w:szCs w:val="24"/>
          <w:u w:val="single"/>
        </w:rPr>
        <w:t>Timothy Halpin v. George M. Banks, et al</w:t>
      </w:r>
      <w:r w:rsidRPr="00D60720">
        <w:rPr>
          <w:rFonts w:ascii="Times New Roman" w:hAnsi="Times New Roman"/>
          <w:sz w:val="24"/>
          <w:szCs w:val="24"/>
        </w:rPr>
        <w:t xml:space="preserve">., the New York Appellate Division, Third Department, held (5 to 0): “Appeal from an order of the Supreme Court (Kevin R. Bryant, J.), entered May 26, </w:t>
      </w:r>
      <w:proofErr w:type="gramStart"/>
      <w:r w:rsidRPr="00D60720">
        <w:rPr>
          <w:rFonts w:ascii="Times New Roman" w:hAnsi="Times New Roman"/>
          <w:sz w:val="24"/>
          <w:szCs w:val="24"/>
        </w:rPr>
        <w:t>2023</w:t>
      </w:r>
      <w:proofErr w:type="gramEnd"/>
      <w:r w:rsidRPr="00D60720">
        <w:rPr>
          <w:rFonts w:ascii="Times New Roman" w:hAnsi="Times New Roman"/>
          <w:sz w:val="24"/>
          <w:szCs w:val="24"/>
        </w:rPr>
        <w:t xml:space="preserve"> in Ulster County, which granted defendants' motion for summary judgment dismissing the complaint. *** Appeal from an order of the Supreme Court (Kevin R. Bryant, J.), entered May 26, </w:t>
      </w:r>
      <w:proofErr w:type="gramStart"/>
      <w:r w:rsidRPr="00D60720">
        <w:rPr>
          <w:rFonts w:ascii="Times New Roman" w:hAnsi="Times New Roman"/>
          <w:sz w:val="24"/>
          <w:szCs w:val="24"/>
        </w:rPr>
        <w:t>2023</w:t>
      </w:r>
      <w:proofErr w:type="gramEnd"/>
      <w:r w:rsidRPr="00D60720">
        <w:rPr>
          <w:rFonts w:ascii="Times New Roman" w:hAnsi="Times New Roman"/>
          <w:sz w:val="24"/>
          <w:szCs w:val="24"/>
        </w:rPr>
        <w:t xml:space="preserve"> in Ulster County, which granted defendants' motion for summary judgment dismissing the complaint. *** Supreme Court also properly dismissed the complaint against PEFD. The Board investigated plaintiff's complaint against Banks and is vested with discretion to determine if disciplinary action should be taken or if the matter should be closed (</w:t>
      </w:r>
      <w:r w:rsidRPr="00D60720">
        <w:rPr>
          <w:rFonts w:ascii="Times New Roman" w:hAnsi="Times New Roman"/>
          <w:i/>
          <w:iCs/>
          <w:sz w:val="24"/>
          <w:szCs w:val="24"/>
        </w:rPr>
        <w:t xml:space="preserve">see </w:t>
      </w:r>
      <w:r w:rsidRPr="00D60720">
        <w:rPr>
          <w:rFonts w:ascii="Times New Roman" w:hAnsi="Times New Roman"/>
          <w:sz w:val="24"/>
          <w:szCs w:val="24"/>
        </w:rPr>
        <w:t>Port Ewen Fire District Personnel Policy § 8).”</w:t>
      </w:r>
    </w:p>
    <w:p w14:paraId="537EEB81" w14:textId="77777777" w:rsidR="00684C64" w:rsidRPr="00D60720" w:rsidRDefault="00684C64" w:rsidP="00684C64">
      <w:pPr>
        <w:pStyle w:val="NoSpacing"/>
        <w:rPr>
          <w:rFonts w:ascii="Times New Roman" w:hAnsi="Times New Roman"/>
          <w:sz w:val="24"/>
          <w:szCs w:val="24"/>
        </w:rPr>
      </w:pPr>
      <w:r w:rsidRPr="00D60720">
        <w:rPr>
          <w:rFonts w:ascii="Times New Roman" w:hAnsi="Times New Roman"/>
          <w:sz w:val="24"/>
          <w:szCs w:val="24"/>
        </w:rPr>
        <w:t xml:space="preserve"> </w:t>
      </w:r>
      <w:hyperlink r:id="rId2645" w:history="1">
        <w:r w:rsidRPr="00D60720">
          <w:rPr>
            <w:rStyle w:val="Hyperlink"/>
            <w:rFonts w:ascii="Times New Roman" w:hAnsi="Times New Roman"/>
            <w:sz w:val="24"/>
            <w:szCs w:val="24"/>
          </w:rPr>
          <w:t>https://law.justia.com/cases/new-york/appellate-division-third-department/2024/cv-23-1185.html</w:t>
        </w:r>
      </w:hyperlink>
      <w:r w:rsidRPr="00D60720">
        <w:rPr>
          <w:rFonts w:ascii="Times New Roman" w:hAnsi="Times New Roman"/>
          <w:sz w:val="24"/>
          <w:szCs w:val="24"/>
        </w:rPr>
        <w:t xml:space="preserve"> </w:t>
      </w:r>
    </w:p>
    <w:p w14:paraId="27CA5DEB" w14:textId="77777777" w:rsidR="000F4991" w:rsidRPr="00D60720" w:rsidRDefault="000F4991" w:rsidP="00684C64">
      <w:pPr>
        <w:pStyle w:val="NoSpacing"/>
        <w:rPr>
          <w:rFonts w:ascii="Times New Roman" w:hAnsi="Times New Roman"/>
          <w:sz w:val="24"/>
          <w:szCs w:val="24"/>
        </w:rPr>
      </w:pPr>
    </w:p>
    <w:p w14:paraId="4315477F" w14:textId="77777777" w:rsidR="000F4991" w:rsidRPr="00D60720" w:rsidRDefault="000F4991" w:rsidP="000F4991">
      <w:pPr>
        <w:pStyle w:val="NoSpacing"/>
        <w:rPr>
          <w:rFonts w:ascii="Times New Roman" w:hAnsi="Times New Roman"/>
          <w:b/>
          <w:bCs/>
          <w:sz w:val="24"/>
          <w:szCs w:val="24"/>
        </w:rPr>
      </w:pPr>
      <w:r w:rsidRPr="00D60720">
        <w:rPr>
          <w:rFonts w:ascii="Times New Roman" w:hAnsi="Times New Roman"/>
          <w:b/>
          <w:sz w:val="24"/>
          <w:szCs w:val="24"/>
        </w:rPr>
        <w:t xml:space="preserve">Legal Lesson Learned:  Qualified privilege when </w:t>
      </w:r>
      <w:r w:rsidRPr="00D60720">
        <w:rPr>
          <w:rFonts w:ascii="Times New Roman" w:hAnsi="Times New Roman"/>
          <w:b/>
          <w:bCs/>
          <w:sz w:val="24"/>
          <w:szCs w:val="24"/>
        </w:rPr>
        <w:t xml:space="preserve">honestly </w:t>
      </w:r>
      <w:r w:rsidRPr="00D60720">
        <w:rPr>
          <w:rFonts w:ascii="Times New Roman" w:hAnsi="Times New Roman"/>
          <w:b/>
          <w:sz w:val="24"/>
          <w:szCs w:val="24"/>
        </w:rPr>
        <w:t xml:space="preserve">reporting possible wrongdoing to Fire Department Board. </w:t>
      </w:r>
    </w:p>
    <w:p w14:paraId="22649F31" w14:textId="77777777" w:rsidR="000F4991" w:rsidRDefault="000F4991" w:rsidP="000F4991">
      <w:pPr>
        <w:pStyle w:val="NoSpacing"/>
        <w:ind w:left="720"/>
      </w:pPr>
    </w:p>
    <w:p w14:paraId="221963C5" w14:textId="77777777" w:rsidR="000F4991" w:rsidRDefault="000F4991" w:rsidP="00684C64">
      <w:pPr>
        <w:pStyle w:val="NoSpacing"/>
      </w:pPr>
    </w:p>
    <w:p w14:paraId="14CB0D18" w14:textId="3DC14767" w:rsidR="004E152C" w:rsidRDefault="004E152C" w:rsidP="00F91F9F">
      <w:pPr>
        <w:pStyle w:val="NoSpacing"/>
        <w:rPr>
          <w:rFonts w:ascii="Arial Black" w:hAnsi="Arial Black"/>
          <w:sz w:val="24"/>
          <w:szCs w:val="24"/>
        </w:rPr>
      </w:pPr>
      <w:r>
        <w:rPr>
          <w:rFonts w:ascii="Arial Black" w:hAnsi="Arial Black"/>
          <w:sz w:val="24"/>
          <w:szCs w:val="24"/>
        </w:rPr>
        <w:t>16-115</w:t>
      </w:r>
    </w:p>
    <w:p w14:paraId="495CABB3" w14:textId="77777777" w:rsidR="004E152C" w:rsidRDefault="004E152C" w:rsidP="00F91F9F">
      <w:pPr>
        <w:pStyle w:val="NoSpacing"/>
        <w:rPr>
          <w:rFonts w:ascii="Arial Black" w:hAnsi="Arial Black"/>
          <w:sz w:val="24"/>
          <w:szCs w:val="24"/>
        </w:rPr>
      </w:pPr>
    </w:p>
    <w:p w14:paraId="4C95D845" w14:textId="3245D586" w:rsidR="0038724B" w:rsidRPr="00182CF1" w:rsidRDefault="0038724B" w:rsidP="0038724B">
      <w:pPr>
        <w:pStyle w:val="NoSpacing"/>
        <w:rPr>
          <w:rFonts w:ascii="Times New Roman" w:hAnsi="Times New Roman"/>
          <w:b/>
          <w:bCs/>
          <w:sz w:val="24"/>
          <w:szCs w:val="24"/>
        </w:rPr>
      </w:pPr>
      <w:r w:rsidRPr="00182CF1">
        <w:rPr>
          <w:rFonts w:ascii="Times New Roman" w:hAnsi="Times New Roman"/>
          <w:b/>
          <w:bCs/>
          <w:sz w:val="24"/>
          <w:szCs w:val="24"/>
        </w:rPr>
        <w:t>UT</w:t>
      </w:r>
      <w:r w:rsidR="00D1140F">
        <w:rPr>
          <w:rFonts w:ascii="Times New Roman" w:hAnsi="Times New Roman"/>
          <w:b/>
          <w:bCs/>
          <w:sz w:val="24"/>
          <w:szCs w:val="24"/>
        </w:rPr>
        <w:t>:</w:t>
      </w:r>
      <w:r w:rsidRPr="00182CF1">
        <w:rPr>
          <w:rFonts w:ascii="Times New Roman" w:hAnsi="Times New Roman"/>
          <w:b/>
          <w:bCs/>
          <w:sz w:val="24"/>
          <w:szCs w:val="24"/>
        </w:rPr>
        <w:t xml:space="preserve"> ASSISTANT FIRE CHIEF – PLED GUITY TO FORCIBLE RAPE OF FEMALE FF – SENTENCED 1-15 YEARS</w:t>
      </w:r>
    </w:p>
    <w:p w14:paraId="2B969AD2" w14:textId="77777777" w:rsidR="0038724B" w:rsidRPr="00182CF1" w:rsidRDefault="0038724B" w:rsidP="0038724B">
      <w:pPr>
        <w:pStyle w:val="NoSpacing"/>
        <w:rPr>
          <w:rFonts w:ascii="Times New Roman" w:hAnsi="Times New Roman"/>
          <w:b/>
          <w:bCs/>
          <w:sz w:val="24"/>
          <w:szCs w:val="24"/>
        </w:rPr>
      </w:pPr>
    </w:p>
    <w:p w14:paraId="4BBE3644" w14:textId="77777777" w:rsidR="0038724B" w:rsidRPr="00182CF1" w:rsidRDefault="0038724B" w:rsidP="0038724B">
      <w:pPr>
        <w:pStyle w:val="NoSpacing"/>
        <w:rPr>
          <w:rFonts w:ascii="Times New Roman" w:hAnsi="Times New Roman"/>
          <w:sz w:val="24"/>
          <w:szCs w:val="24"/>
        </w:rPr>
      </w:pPr>
      <w:r w:rsidRPr="00182CF1">
        <w:rPr>
          <w:rFonts w:ascii="Times New Roman" w:hAnsi="Times New Roman"/>
          <w:sz w:val="24"/>
          <w:szCs w:val="24"/>
        </w:rPr>
        <w:t xml:space="preserve">On Oct. 3, 2024, in  </w:t>
      </w:r>
      <w:r w:rsidRPr="00182CF1">
        <w:rPr>
          <w:rFonts w:ascii="Times New Roman" w:hAnsi="Times New Roman"/>
          <w:sz w:val="24"/>
          <w:szCs w:val="24"/>
          <w:u w:val="single"/>
        </w:rPr>
        <w:t>State of Utah v. Austin James Corry</w:t>
      </w:r>
      <w:r w:rsidRPr="00182CF1">
        <w:rPr>
          <w:rFonts w:ascii="Times New Roman" w:hAnsi="Times New Roman"/>
          <w:sz w:val="24"/>
          <w:szCs w:val="24"/>
        </w:rPr>
        <w:t>. The Utah Court of Appeals held (3 to 0): “Austin James Corry, an assistant fire chief, pled guilty to four counts of forcible sexual abuse of a female firefighter he supervised. In its presentence report, Adult Probation and Parole</w:t>
      </w:r>
    </w:p>
    <w:p w14:paraId="5B34AF96" w14:textId="77777777" w:rsidR="0038724B" w:rsidRPr="00182CF1" w:rsidRDefault="0038724B" w:rsidP="0038724B">
      <w:pPr>
        <w:pStyle w:val="NoSpacing"/>
        <w:rPr>
          <w:rFonts w:ascii="Times New Roman" w:hAnsi="Times New Roman"/>
          <w:sz w:val="24"/>
          <w:szCs w:val="24"/>
        </w:rPr>
      </w:pPr>
      <w:r w:rsidRPr="00182CF1">
        <w:rPr>
          <w:rFonts w:ascii="Times New Roman" w:hAnsi="Times New Roman"/>
          <w:sz w:val="24"/>
          <w:szCs w:val="24"/>
        </w:rPr>
        <w:t>(AP&amp;P) recommended a prison sentence even though the Utah Sentencing Commission’s Adult Sentencing &amp; Release Guidelines recommended that Corry serve up to 210 days in jail and Corry</w:t>
      </w:r>
    </w:p>
    <w:p w14:paraId="0F40E204" w14:textId="77777777" w:rsidR="0038724B" w:rsidRPr="00182CF1" w:rsidRDefault="0038724B" w:rsidP="0038724B">
      <w:pPr>
        <w:pStyle w:val="NoSpacing"/>
        <w:rPr>
          <w:rFonts w:ascii="Times New Roman" w:hAnsi="Times New Roman"/>
          <w:sz w:val="24"/>
          <w:szCs w:val="24"/>
        </w:rPr>
      </w:pPr>
      <w:r w:rsidRPr="00182CF1">
        <w:rPr>
          <w:rFonts w:ascii="Times New Roman" w:hAnsi="Times New Roman"/>
          <w:sz w:val="24"/>
          <w:szCs w:val="24"/>
        </w:rPr>
        <w:t xml:space="preserve">had already served more than 210 days in pretrial detention. *** We discern </w:t>
      </w:r>
      <w:proofErr w:type="gramStart"/>
      <w:r w:rsidRPr="00182CF1">
        <w:rPr>
          <w:rFonts w:ascii="Times New Roman" w:hAnsi="Times New Roman"/>
          <w:sz w:val="24"/>
          <w:szCs w:val="24"/>
        </w:rPr>
        <w:t>either</w:t>
      </w:r>
      <w:proofErr w:type="gramEnd"/>
      <w:r w:rsidRPr="00182CF1">
        <w:rPr>
          <w:rFonts w:ascii="Times New Roman" w:hAnsi="Times New Roman"/>
          <w:sz w:val="24"/>
          <w:szCs w:val="24"/>
        </w:rPr>
        <w:t xml:space="preserve"> no</w:t>
      </w:r>
    </w:p>
    <w:p w14:paraId="472B62BC" w14:textId="77777777" w:rsidR="0038724B" w:rsidRPr="00182CF1" w:rsidRDefault="0038724B" w:rsidP="0038724B">
      <w:pPr>
        <w:pStyle w:val="NoSpacing"/>
        <w:rPr>
          <w:rFonts w:ascii="Times New Roman" w:hAnsi="Times New Roman"/>
          <w:sz w:val="24"/>
          <w:szCs w:val="24"/>
        </w:rPr>
      </w:pPr>
      <w:r w:rsidRPr="00182CF1">
        <w:rPr>
          <w:rFonts w:ascii="Times New Roman" w:hAnsi="Times New Roman"/>
          <w:sz w:val="24"/>
          <w:szCs w:val="24"/>
        </w:rPr>
        <w:lastRenderedPageBreak/>
        <w:t xml:space="preserve">error or no prejudice related to each of these claims and therefore affirm Corry’s sentence.” </w:t>
      </w:r>
    </w:p>
    <w:p w14:paraId="6677915F" w14:textId="77777777" w:rsidR="0038724B" w:rsidRPr="00182CF1" w:rsidRDefault="0038724B" w:rsidP="0038724B">
      <w:pPr>
        <w:pStyle w:val="NoSpacing"/>
        <w:rPr>
          <w:rFonts w:ascii="Times New Roman" w:hAnsi="Times New Roman"/>
          <w:sz w:val="24"/>
          <w:szCs w:val="24"/>
        </w:rPr>
      </w:pPr>
      <w:hyperlink r:id="rId2646" w:history="1">
        <w:r w:rsidRPr="00182CF1">
          <w:rPr>
            <w:rStyle w:val="Hyperlink"/>
            <w:rFonts w:ascii="Times New Roman" w:hAnsi="Times New Roman"/>
            <w:sz w:val="24"/>
            <w:szCs w:val="24"/>
          </w:rPr>
          <w:t>https://cases.justia.com/utah/court-of-appeals-published/2024-20220074-ca.pdf?ts=172806708</w:t>
        </w:r>
      </w:hyperlink>
      <w:r w:rsidRPr="00182CF1">
        <w:rPr>
          <w:rFonts w:ascii="Times New Roman" w:hAnsi="Times New Roman"/>
          <w:sz w:val="24"/>
          <w:szCs w:val="24"/>
        </w:rPr>
        <w:t xml:space="preserve"> </w:t>
      </w:r>
    </w:p>
    <w:p w14:paraId="600A8F14" w14:textId="77777777" w:rsidR="00D60720" w:rsidRPr="00182CF1" w:rsidRDefault="00D60720" w:rsidP="00F91F9F">
      <w:pPr>
        <w:pStyle w:val="NoSpacing"/>
        <w:rPr>
          <w:rFonts w:ascii="Times New Roman" w:hAnsi="Times New Roman"/>
          <w:sz w:val="24"/>
          <w:szCs w:val="24"/>
        </w:rPr>
      </w:pPr>
    </w:p>
    <w:p w14:paraId="1CED42F5" w14:textId="77777777" w:rsidR="00182CF1" w:rsidRPr="00182CF1" w:rsidRDefault="00182CF1" w:rsidP="00182CF1">
      <w:pPr>
        <w:pStyle w:val="NoSpacing"/>
        <w:rPr>
          <w:rFonts w:ascii="Times New Roman" w:hAnsi="Times New Roman"/>
          <w:b/>
          <w:bCs/>
          <w:sz w:val="24"/>
          <w:szCs w:val="24"/>
        </w:rPr>
      </w:pPr>
      <w:r w:rsidRPr="00182CF1">
        <w:rPr>
          <w:rFonts w:ascii="Times New Roman" w:hAnsi="Times New Roman"/>
          <w:b/>
          <w:sz w:val="24"/>
          <w:szCs w:val="24"/>
        </w:rPr>
        <w:t>Legal Lesson Learned: A prison sentence was appropriate for this terrible conduct.</w:t>
      </w:r>
    </w:p>
    <w:p w14:paraId="4170BC1C" w14:textId="77777777" w:rsidR="00182CF1" w:rsidRDefault="00182CF1" w:rsidP="00F91F9F">
      <w:pPr>
        <w:pStyle w:val="NoSpacing"/>
        <w:rPr>
          <w:rFonts w:ascii="Arial Black" w:hAnsi="Arial Black"/>
          <w:sz w:val="24"/>
          <w:szCs w:val="24"/>
        </w:rPr>
      </w:pPr>
    </w:p>
    <w:p w14:paraId="30E88255" w14:textId="77777777" w:rsidR="00D60720" w:rsidRDefault="00D60720" w:rsidP="00F91F9F">
      <w:pPr>
        <w:pStyle w:val="NoSpacing"/>
        <w:rPr>
          <w:rFonts w:ascii="Arial Black" w:hAnsi="Arial Black"/>
          <w:sz w:val="24"/>
          <w:szCs w:val="24"/>
        </w:rPr>
      </w:pPr>
    </w:p>
    <w:p w14:paraId="7EB7C904" w14:textId="101FD985" w:rsidR="004E152C" w:rsidRDefault="004E152C" w:rsidP="00F91F9F">
      <w:pPr>
        <w:pStyle w:val="NoSpacing"/>
        <w:rPr>
          <w:rFonts w:ascii="Arial Black" w:hAnsi="Arial Black"/>
          <w:sz w:val="24"/>
          <w:szCs w:val="24"/>
        </w:rPr>
      </w:pPr>
      <w:r>
        <w:rPr>
          <w:rFonts w:ascii="Arial Black" w:hAnsi="Arial Black"/>
          <w:sz w:val="24"/>
          <w:szCs w:val="24"/>
        </w:rPr>
        <w:t>16-114</w:t>
      </w:r>
    </w:p>
    <w:p w14:paraId="1844E75E" w14:textId="77777777" w:rsidR="004E152C" w:rsidRDefault="004E152C" w:rsidP="00F91F9F">
      <w:pPr>
        <w:pStyle w:val="NoSpacing"/>
        <w:rPr>
          <w:rFonts w:ascii="Arial Black" w:hAnsi="Arial Black"/>
          <w:sz w:val="24"/>
          <w:szCs w:val="24"/>
        </w:rPr>
      </w:pPr>
    </w:p>
    <w:p w14:paraId="34F9FE01" w14:textId="77777777" w:rsidR="00DC3117" w:rsidRPr="00924F58" w:rsidRDefault="00DC3117" w:rsidP="00DC3117">
      <w:pPr>
        <w:pStyle w:val="NoSpacing"/>
        <w:rPr>
          <w:rFonts w:ascii="Times New Roman" w:hAnsi="Times New Roman"/>
          <w:b/>
          <w:bCs/>
          <w:sz w:val="24"/>
          <w:szCs w:val="24"/>
        </w:rPr>
      </w:pPr>
      <w:r w:rsidRPr="00924F58">
        <w:rPr>
          <w:rFonts w:ascii="Times New Roman" w:hAnsi="Times New Roman"/>
          <w:b/>
          <w:bCs/>
          <w:sz w:val="24"/>
          <w:szCs w:val="24"/>
        </w:rPr>
        <w:t>MI: WHISTLEBLOWER PROTECTION ACT – AC FIRED AFTER TOLD FD BOARD - FIRE CHIEF CONDUCT - CASE PROCEED</w:t>
      </w:r>
    </w:p>
    <w:p w14:paraId="75923DBC" w14:textId="77777777" w:rsidR="00DC3117" w:rsidRPr="00924F58" w:rsidRDefault="00DC3117" w:rsidP="00DC3117">
      <w:pPr>
        <w:pStyle w:val="NoSpacing"/>
        <w:rPr>
          <w:rFonts w:ascii="Times New Roman" w:hAnsi="Times New Roman"/>
          <w:b/>
          <w:bCs/>
          <w:sz w:val="24"/>
          <w:szCs w:val="24"/>
        </w:rPr>
      </w:pPr>
    </w:p>
    <w:p w14:paraId="0657392E" w14:textId="77777777" w:rsidR="00DC3117" w:rsidRPr="00924F58" w:rsidRDefault="00DC3117" w:rsidP="00DC3117">
      <w:pPr>
        <w:pStyle w:val="NoSpacing"/>
        <w:rPr>
          <w:rFonts w:ascii="Times New Roman" w:hAnsi="Times New Roman"/>
          <w:sz w:val="24"/>
          <w:szCs w:val="24"/>
        </w:rPr>
      </w:pPr>
      <w:r w:rsidRPr="00924F58">
        <w:rPr>
          <w:rFonts w:ascii="Times New Roman" w:hAnsi="Times New Roman"/>
          <w:sz w:val="24"/>
          <w:szCs w:val="24"/>
        </w:rPr>
        <w:t xml:space="preserve">On Sept. 5, 2024, in </w:t>
      </w:r>
      <w:r w:rsidRPr="00924F58">
        <w:rPr>
          <w:rFonts w:ascii="Times New Roman" w:hAnsi="Times New Roman"/>
          <w:sz w:val="24"/>
          <w:szCs w:val="24"/>
          <w:u w:val="single"/>
        </w:rPr>
        <w:t>Eric Dale v. Marshall Township</w:t>
      </w:r>
      <w:r w:rsidRPr="00924F58">
        <w:rPr>
          <w:rFonts w:ascii="Times New Roman" w:hAnsi="Times New Roman"/>
          <w:sz w:val="24"/>
          <w:szCs w:val="24"/>
        </w:rPr>
        <w:t xml:space="preserve">, the Michigan Court of Appeals held (3 to 0; unpublished opinion): “Because Dale established that he was engaged in a protected activity and that there was a causal connection between his protected activity and his termination, the trial court legally erred by holding that he failed to establish a prima facie case under the WPA [The Whistleblowers’ Protection Act]. Accordingly, we reverse the trial court’s grant of summary disposition to the township.” </w:t>
      </w:r>
    </w:p>
    <w:p w14:paraId="5B395221" w14:textId="77777777" w:rsidR="00DC3117" w:rsidRPr="00924F58" w:rsidRDefault="00DC3117" w:rsidP="00DC3117">
      <w:pPr>
        <w:pStyle w:val="NoSpacing"/>
        <w:rPr>
          <w:rFonts w:ascii="Times New Roman" w:hAnsi="Times New Roman"/>
          <w:sz w:val="24"/>
          <w:szCs w:val="24"/>
        </w:rPr>
      </w:pPr>
      <w:r w:rsidRPr="00924F58">
        <w:rPr>
          <w:rFonts w:ascii="Times New Roman" w:hAnsi="Times New Roman"/>
          <w:sz w:val="24"/>
          <w:szCs w:val="24"/>
        </w:rPr>
        <w:t xml:space="preserve"> </w:t>
      </w:r>
      <w:hyperlink r:id="rId2647" w:history="1">
        <w:r w:rsidRPr="00924F58">
          <w:rPr>
            <w:rStyle w:val="Hyperlink"/>
            <w:rFonts w:ascii="Times New Roman" w:hAnsi="Times New Roman"/>
            <w:sz w:val="24"/>
            <w:szCs w:val="24"/>
          </w:rPr>
          <w:t>https://www.courts.michigan.gov/siteassets/case-documents/uploads/OPINIONS/FINAL/COA/20240905_C364971_42_364971.OPN.PDF</w:t>
        </w:r>
      </w:hyperlink>
      <w:r w:rsidRPr="00924F58">
        <w:rPr>
          <w:rFonts w:ascii="Times New Roman" w:hAnsi="Times New Roman"/>
          <w:sz w:val="24"/>
          <w:szCs w:val="24"/>
        </w:rPr>
        <w:t xml:space="preserve"> </w:t>
      </w:r>
    </w:p>
    <w:p w14:paraId="4110B393" w14:textId="77777777" w:rsidR="00DC3117" w:rsidRPr="00924F58" w:rsidRDefault="00DC3117" w:rsidP="00DC3117">
      <w:pPr>
        <w:pStyle w:val="NoSpacing"/>
        <w:rPr>
          <w:rFonts w:ascii="Times New Roman" w:hAnsi="Times New Roman"/>
          <w:sz w:val="24"/>
          <w:szCs w:val="24"/>
        </w:rPr>
      </w:pPr>
    </w:p>
    <w:p w14:paraId="7A725BF0" w14:textId="77777777" w:rsidR="00924F58" w:rsidRPr="00924F58" w:rsidRDefault="00924F58" w:rsidP="00924F58">
      <w:pPr>
        <w:pStyle w:val="NoSpacing"/>
        <w:rPr>
          <w:rFonts w:ascii="Times New Roman" w:hAnsi="Times New Roman"/>
          <w:b/>
          <w:bCs/>
          <w:sz w:val="24"/>
          <w:szCs w:val="24"/>
        </w:rPr>
      </w:pPr>
      <w:r w:rsidRPr="00924F58">
        <w:rPr>
          <w:rFonts w:ascii="Times New Roman" w:hAnsi="Times New Roman"/>
          <w:b/>
          <w:sz w:val="24"/>
          <w:szCs w:val="24"/>
        </w:rPr>
        <w:t xml:space="preserve">Legal Lesson Learned: The State’s Whistleblower Protection Act is important protection against retaliation. </w:t>
      </w:r>
    </w:p>
    <w:p w14:paraId="103DF4EF" w14:textId="77777777" w:rsidR="00924F58" w:rsidRDefault="00924F58" w:rsidP="00924F58">
      <w:pPr>
        <w:rPr>
          <w:rFonts w:asciiTheme="majorHAnsi" w:hAnsiTheme="majorHAnsi"/>
          <w:b/>
          <w:bCs/>
          <w:sz w:val="28"/>
          <w:szCs w:val="28"/>
        </w:rPr>
      </w:pPr>
    </w:p>
    <w:p w14:paraId="19252D7B" w14:textId="77777777" w:rsidR="00DC3117" w:rsidRDefault="00DC3117" w:rsidP="00F91F9F">
      <w:pPr>
        <w:pStyle w:val="NoSpacing"/>
        <w:rPr>
          <w:rFonts w:ascii="Arial Black" w:hAnsi="Arial Black"/>
          <w:sz w:val="24"/>
          <w:szCs w:val="24"/>
        </w:rPr>
      </w:pPr>
    </w:p>
    <w:p w14:paraId="5B559D58" w14:textId="77777777" w:rsidR="00DC3117" w:rsidRDefault="00DC3117" w:rsidP="00F91F9F">
      <w:pPr>
        <w:pStyle w:val="NoSpacing"/>
        <w:rPr>
          <w:rFonts w:ascii="Arial Black" w:hAnsi="Arial Black"/>
          <w:sz w:val="24"/>
          <w:szCs w:val="24"/>
        </w:rPr>
      </w:pPr>
    </w:p>
    <w:p w14:paraId="626E1A76" w14:textId="77777777" w:rsidR="00DC3117" w:rsidRDefault="00DC3117" w:rsidP="00F91F9F">
      <w:pPr>
        <w:pStyle w:val="NoSpacing"/>
        <w:rPr>
          <w:rFonts w:ascii="Arial Black" w:hAnsi="Arial Black"/>
          <w:sz w:val="24"/>
          <w:szCs w:val="24"/>
        </w:rPr>
      </w:pPr>
    </w:p>
    <w:p w14:paraId="47879A3A" w14:textId="7E82290F" w:rsidR="005F3DA4" w:rsidRDefault="005F3DA4" w:rsidP="00F91F9F">
      <w:pPr>
        <w:pStyle w:val="NoSpacing"/>
        <w:rPr>
          <w:rFonts w:ascii="Arial Black" w:hAnsi="Arial Black"/>
          <w:sz w:val="24"/>
          <w:szCs w:val="24"/>
        </w:rPr>
      </w:pPr>
      <w:r>
        <w:rPr>
          <w:rFonts w:ascii="Arial Black" w:hAnsi="Arial Black"/>
          <w:sz w:val="24"/>
          <w:szCs w:val="24"/>
        </w:rPr>
        <w:t>16-113</w:t>
      </w:r>
      <w:r w:rsidR="004C0E50">
        <w:rPr>
          <w:rFonts w:ascii="Arial Black" w:hAnsi="Arial Black"/>
          <w:sz w:val="24"/>
          <w:szCs w:val="24"/>
        </w:rPr>
        <w:t xml:space="preserve"> </w:t>
      </w:r>
    </w:p>
    <w:p w14:paraId="05A2D13C" w14:textId="77777777" w:rsidR="005F3DA4" w:rsidRDefault="005F3DA4" w:rsidP="00F91F9F">
      <w:pPr>
        <w:pStyle w:val="NoSpacing"/>
        <w:rPr>
          <w:rFonts w:ascii="Arial Black" w:hAnsi="Arial Black"/>
          <w:sz w:val="24"/>
          <w:szCs w:val="24"/>
        </w:rPr>
      </w:pPr>
    </w:p>
    <w:p w14:paraId="67ABDE65" w14:textId="77777777" w:rsidR="00A313D5" w:rsidRPr="00711EF1" w:rsidRDefault="00A313D5" w:rsidP="00A313D5">
      <w:pPr>
        <w:pStyle w:val="NoSpacing"/>
        <w:rPr>
          <w:rFonts w:ascii="Arial Black" w:hAnsi="Arial Black"/>
          <w:sz w:val="28"/>
        </w:rPr>
      </w:pPr>
      <w:r>
        <w:rPr>
          <w:rFonts w:ascii="Arial Black" w:hAnsi="Arial Black"/>
          <w:sz w:val="28"/>
        </w:rPr>
        <w:t>MI: FIRE CHIEF 1</w:t>
      </w:r>
      <w:r w:rsidRPr="00114554">
        <w:rPr>
          <w:rFonts w:ascii="Arial Black" w:hAnsi="Arial Black"/>
          <w:sz w:val="28"/>
          <w:vertAlign w:val="superscript"/>
        </w:rPr>
        <w:t>ST</w:t>
      </w:r>
      <w:r>
        <w:rPr>
          <w:rFonts w:ascii="Arial Black" w:hAnsi="Arial Black"/>
          <w:sz w:val="28"/>
        </w:rPr>
        <w:t xml:space="preserve"> AMEND. RIGHT REFUSE TO CHANGE REPORT / LIE  – DEATH TWO BOYS, POOR FD SEARCH</w:t>
      </w:r>
    </w:p>
    <w:p w14:paraId="477FABE5" w14:textId="77777777" w:rsidR="00A313D5" w:rsidRDefault="00A313D5" w:rsidP="00A313D5">
      <w:pPr>
        <w:pStyle w:val="NoSpacing"/>
        <w:rPr>
          <w:szCs w:val="24"/>
        </w:rPr>
      </w:pPr>
    </w:p>
    <w:p w14:paraId="77E345FC" w14:textId="044BD4C7" w:rsidR="00A313D5" w:rsidRPr="00194CC1" w:rsidRDefault="00A313D5" w:rsidP="00A313D5">
      <w:pPr>
        <w:pStyle w:val="NoSpacing"/>
        <w:rPr>
          <w:rFonts w:ascii="Times New Roman" w:hAnsi="Times New Roman"/>
          <w:sz w:val="24"/>
          <w:szCs w:val="24"/>
        </w:rPr>
      </w:pPr>
      <w:r w:rsidRPr="00194CC1">
        <w:rPr>
          <w:rFonts w:ascii="Times New Roman" w:hAnsi="Times New Roman"/>
          <w:sz w:val="24"/>
          <w:szCs w:val="24"/>
        </w:rPr>
        <w:t xml:space="preserve">On Aug. 22, 2024, in </w:t>
      </w:r>
      <w:r w:rsidRPr="00194CC1">
        <w:rPr>
          <w:rFonts w:ascii="Times New Roman" w:hAnsi="Times New Roman"/>
          <w:sz w:val="24"/>
          <w:szCs w:val="24"/>
          <w:u w:val="single"/>
        </w:rPr>
        <w:t>Raymond C. Barton v. Sheldon Neeley</w:t>
      </w:r>
      <w:r w:rsidRPr="00194CC1">
        <w:rPr>
          <w:rFonts w:ascii="Times New Roman" w:hAnsi="Times New Roman"/>
          <w:sz w:val="24"/>
          <w:szCs w:val="24"/>
        </w:rPr>
        <w:t xml:space="preserve">, the U.S. Court of Appeals for Sixth Circuit (Cincinnati) held (3 to 0) that the Federal District Court Judge in Michigan properly denied the </w:t>
      </w:r>
      <w:proofErr w:type="gramStart"/>
      <w:r w:rsidRPr="00194CC1">
        <w:rPr>
          <w:rFonts w:ascii="Times New Roman" w:hAnsi="Times New Roman"/>
          <w:sz w:val="24"/>
          <w:szCs w:val="24"/>
        </w:rPr>
        <w:t>Mayor’s</w:t>
      </w:r>
      <w:proofErr w:type="gramEnd"/>
      <w:r w:rsidRPr="00194CC1">
        <w:rPr>
          <w:rFonts w:ascii="Times New Roman" w:hAnsi="Times New Roman"/>
          <w:sz w:val="24"/>
          <w:szCs w:val="24"/>
        </w:rPr>
        <w:t xml:space="preserve"> motion to dismiss the case on qualified immunity.  The Court wrote: “Two young African American boys died after two City of Flint firefighters failed to properly sweep a burning house. Then-City Fire Chief, plaintiff Raymond Barton, tried to discharge the firefighters for gross misconduct, but Flint’s Mayor, defendant Sheldon Neeley, intervened and allegedly covered up the firefighters’ malfeasance to advance his support from the firefighters’ union in an upcoming election. When Chief Barton refused Mayor Neeley’s directives to cover up the malfeasance, Neeley fired Barton. *** However, Barton’s speech at the city council meeting is not the only speech at issue in this case. Barton’s relevant speech also included (1) his refusal to change his report on his own, and (2) his refusal to make a public announcement saying that he initiated and agreed with the changed report. Indeed, Barton pleads that these refusals ultimately led to the termination of his employment. It is well established that the First Amendment protects “both the right to speak freely and the right to refrain from speaking at all.” Wooley v. Maynard, 430 U.S. 705, 714 (1977). After reviewing the content and context of this refusal-to-speak conduct, Fox, 605 F.3d at 348, we conclude that Barton sufficiently alleged that his unwillingness to lie in order to further Neeley’s political campaign was not within the scope of his official duties, see Boulton v.</w:t>
      </w:r>
      <w:r w:rsidR="00194CC1">
        <w:rPr>
          <w:rFonts w:ascii="Times New Roman" w:hAnsi="Times New Roman"/>
          <w:sz w:val="24"/>
          <w:szCs w:val="24"/>
        </w:rPr>
        <w:t xml:space="preserve"> </w:t>
      </w:r>
      <w:r w:rsidRPr="00194CC1">
        <w:rPr>
          <w:rFonts w:ascii="Times New Roman" w:hAnsi="Times New Roman"/>
          <w:sz w:val="24"/>
          <w:szCs w:val="24"/>
        </w:rPr>
        <w:t xml:space="preserve">Swanson, 795 F.3d 526, 534 (6th Cir. 2015) (explaining that the ‘exception to First Amendment protection’—speech made pursuant to one’s official duties—'must be read narrowly’). ***[W]e hold that it is clearly established that public employees cannot be compelled to make false statements on matters </w:t>
      </w:r>
      <w:r w:rsidRPr="00194CC1">
        <w:rPr>
          <w:rFonts w:ascii="Times New Roman" w:hAnsi="Times New Roman"/>
          <w:sz w:val="24"/>
          <w:szCs w:val="24"/>
        </w:rPr>
        <w:lastRenderedPageBreak/>
        <w:t xml:space="preserve">of public concern in response to threats of retaliation.”  </w:t>
      </w:r>
      <w:hyperlink r:id="rId2648" w:history="1">
        <w:r w:rsidRPr="00194CC1">
          <w:rPr>
            <w:rStyle w:val="Hyperlink"/>
            <w:rFonts w:ascii="Times New Roman" w:hAnsi="Times New Roman"/>
            <w:sz w:val="24"/>
            <w:szCs w:val="24"/>
          </w:rPr>
          <w:t>https://www.opn.ca6.uscourts.gov/opinions.pdf/24a0201p-06.pdf</w:t>
        </w:r>
      </w:hyperlink>
      <w:r w:rsidRPr="00194CC1">
        <w:rPr>
          <w:rFonts w:ascii="Times New Roman" w:hAnsi="Times New Roman"/>
          <w:sz w:val="24"/>
          <w:szCs w:val="24"/>
        </w:rPr>
        <w:t xml:space="preserve"> </w:t>
      </w:r>
    </w:p>
    <w:p w14:paraId="6500D19A" w14:textId="77777777" w:rsidR="00A313D5" w:rsidRPr="00194CC1" w:rsidRDefault="00A313D5" w:rsidP="00A313D5">
      <w:pPr>
        <w:pStyle w:val="NoSpacing"/>
        <w:rPr>
          <w:rFonts w:ascii="Times New Roman" w:hAnsi="Times New Roman"/>
          <w:sz w:val="24"/>
          <w:szCs w:val="24"/>
        </w:rPr>
      </w:pPr>
    </w:p>
    <w:p w14:paraId="6B75E0ED" w14:textId="77777777" w:rsidR="00A313D5" w:rsidRPr="00194CC1" w:rsidRDefault="00A313D5" w:rsidP="00A313D5">
      <w:pPr>
        <w:pStyle w:val="NoSpacing"/>
        <w:rPr>
          <w:rFonts w:ascii="Times New Roman" w:hAnsi="Times New Roman"/>
          <w:sz w:val="24"/>
          <w:szCs w:val="24"/>
        </w:rPr>
      </w:pPr>
    </w:p>
    <w:p w14:paraId="2442D817" w14:textId="77777777" w:rsidR="00A313D5" w:rsidRPr="00194CC1" w:rsidRDefault="00A313D5" w:rsidP="00A313D5">
      <w:pPr>
        <w:pStyle w:val="NoSpacing"/>
        <w:rPr>
          <w:rFonts w:ascii="Times New Roman" w:hAnsi="Times New Roman"/>
          <w:sz w:val="24"/>
          <w:szCs w:val="24"/>
        </w:rPr>
      </w:pPr>
      <w:r w:rsidRPr="00194CC1">
        <w:rPr>
          <w:rFonts w:ascii="Times New Roman" w:hAnsi="Times New Roman"/>
          <w:sz w:val="24"/>
          <w:szCs w:val="24"/>
        </w:rPr>
        <w:t>THE COURT HELD:</w:t>
      </w:r>
    </w:p>
    <w:p w14:paraId="3368A4BA" w14:textId="77777777" w:rsidR="00A313D5" w:rsidRPr="00194CC1" w:rsidRDefault="00A313D5" w:rsidP="00A313D5">
      <w:pPr>
        <w:pStyle w:val="NoSpacing"/>
        <w:rPr>
          <w:rFonts w:ascii="Times New Roman" w:hAnsi="Times New Roman"/>
          <w:sz w:val="24"/>
          <w:szCs w:val="24"/>
        </w:rPr>
      </w:pPr>
    </w:p>
    <w:p w14:paraId="50843A27" w14:textId="77777777" w:rsidR="00A313D5" w:rsidRPr="00194CC1" w:rsidRDefault="00A313D5" w:rsidP="00A313D5">
      <w:pPr>
        <w:pStyle w:val="NoSpacing"/>
        <w:ind w:left="720"/>
        <w:rPr>
          <w:rFonts w:ascii="Times New Roman" w:hAnsi="Times New Roman"/>
          <w:sz w:val="24"/>
          <w:szCs w:val="24"/>
        </w:rPr>
      </w:pPr>
      <w:r w:rsidRPr="00194CC1">
        <w:rPr>
          <w:rFonts w:ascii="Times New Roman" w:hAnsi="Times New Roman"/>
          <w:sz w:val="24"/>
          <w:szCs w:val="24"/>
        </w:rPr>
        <w:t xml:space="preserve">“The “critical question” is whether Barton’s official duties included taking actions that furthered Neeley’s reelection efforts. See id. At most, Barton’s refusals of  Neeley’s threats ‘merely concern[ed]’ his duties as Fire Chief, which is not enough to constitute public speech. See id.; Boulton, 795 F.3d at 534; </w:t>
      </w:r>
      <w:proofErr w:type="spellStart"/>
      <w:r w:rsidRPr="00194CC1">
        <w:rPr>
          <w:rFonts w:ascii="Times New Roman" w:hAnsi="Times New Roman"/>
          <w:sz w:val="24"/>
          <w:szCs w:val="24"/>
        </w:rPr>
        <w:t>Jackler</w:t>
      </w:r>
      <w:proofErr w:type="spellEnd"/>
      <w:r w:rsidRPr="00194CC1">
        <w:rPr>
          <w:rFonts w:ascii="Times New Roman" w:hAnsi="Times New Roman"/>
          <w:sz w:val="24"/>
          <w:szCs w:val="24"/>
        </w:rPr>
        <w:t>, 658 F.3d at 241 (‘In the context of the demands [by a superior] that [a public employee] retract his truthful statements and make statements that were false, we conclude that his refusals to accede to those demands constituted speech activity that was significantly different from the mere filing of his initial [r]</w:t>
      </w:r>
      <w:proofErr w:type="spellStart"/>
      <w:r w:rsidRPr="00194CC1">
        <w:rPr>
          <w:rFonts w:ascii="Times New Roman" w:hAnsi="Times New Roman"/>
          <w:sz w:val="24"/>
          <w:szCs w:val="24"/>
        </w:rPr>
        <w:t>eport</w:t>
      </w:r>
      <w:proofErr w:type="spellEnd"/>
      <w:r w:rsidRPr="00194CC1">
        <w:rPr>
          <w:rFonts w:ascii="Times New Roman" w:hAnsi="Times New Roman"/>
          <w:sz w:val="24"/>
          <w:szCs w:val="24"/>
        </w:rPr>
        <w:t xml:space="preserve">.’). In sum, Barton was (refraining from) speaking in his capacity as a private citizen when he declined to help Neeley win re-election and cover up racism within the fire department, which he alleges caused his termination as Fire Chief. </w:t>
      </w:r>
      <w:proofErr w:type="gramStart"/>
      <w:r w:rsidRPr="00194CC1">
        <w:rPr>
          <w:rFonts w:ascii="Times New Roman" w:hAnsi="Times New Roman"/>
          <w:sz w:val="24"/>
          <w:szCs w:val="24"/>
        </w:rPr>
        <w:t>So</w:t>
      </w:r>
      <w:proofErr w:type="gramEnd"/>
      <w:r w:rsidRPr="00194CC1">
        <w:rPr>
          <w:rFonts w:ascii="Times New Roman" w:hAnsi="Times New Roman"/>
          <w:sz w:val="24"/>
          <w:szCs w:val="24"/>
        </w:rPr>
        <w:t xml:space="preserve"> we affirm the district court’s holding that Barton plausibly alleged a violation of his constitutional </w:t>
      </w:r>
      <w:proofErr w:type="gramStart"/>
      <w:r w:rsidRPr="00194CC1">
        <w:rPr>
          <w:rFonts w:ascii="Times New Roman" w:hAnsi="Times New Roman"/>
          <w:sz w:val="24"/>
          <w:szCs w:val="24"/>
        </w:rPr>
        <w:t>rights.”</w:t>
      </w:r>
      <w:proofErr w:type="gramEnd"/>
    </w:p>
    <w:p w14:paraId="7BB7C80D" w14:textId="77777777" w:rsidR="00A313D5" w:rsidRPr="00194CC1" w:rsidRDefault="00A313D5" w:rsidP="00A313D5">
      <w:pPr>
        <w:pStyle w:val="NoSpacing"/>
        <w:rPr>
          <w:rFonts w:ascii="Times New Roman" w:hAnsi="Times New Roman"/>
          <w:sz w:val="24"/>
          <w:szCs w:val="24"/>
        </w:rPr>
      </w:pPr>
    </w:p>
    <w:p w14:paraId="4537AE55" w14:textId="77777777" w:rsidR="00A313D5" w:rsidRPr="00194CC1" w:rsidRDefault="00A313D5" w:rsidP="00A313D5">
      <w:pPr>
        <w:pStyle w:val="NoSpacing"/>
        <w:ind w:left="720"/>
        <w:rPr>
          <w:rFonts w:ascii="Times New Roman" w:hAnsi="Times New Roman"/>
          <w:sz w:val="24"/>
          <w:szCs w:val="24"/>
        </w:rPr>
      </w:pPr>
    </w:p>
    <w:p w14:paraId="0427CAB3" w14:textId="77777777" w:rsidR="00A313D5" w:rsidRPr="00194CC1" w:rsidRDefault="00A313D5" w:rsidP="00A313D5">
      <w:pPr>
        <w:pStyle w:val="NoSpacing"/>
        <w:rPr>
          <w:rFonts w:ascii="Times New Roman" w:hAnsi="Times New Roman"/>
          <w:b/>
          <w:bCs/>
          <w:sz w:val="24"/>
          <w:szCs w:val="24"/>
        </w:rPr>
      </w:pPr>
      <w:r w:rsidRPr="00194CC1">
        <w:rPr>
          <w:rFonts w:ascii="Times New Roman" w:hAnsi="Times New Roman"/>
          <w:b/>
          <w:bCs/>
          <w:sz w:val="24"/>
          <w:szCs w:val="24"/>
        </w:rPr>
        <w:t>Legal Lesson Learned: Great decision; can be great precedent in future cases.</w:t>
      </w:r>
    </w:p>
    <w:p w14:paraId="393102D0" w14:textId="77777777" w:rsidR="005F3DA4" w:rsidRDefault="005F3DA4" w:rsidP="00F91F9F">
      <w:pPr>
        <w:pStyle w:val="NoSpacing"/>
        <w:rPr>
          <w:rFonts w:ascii="Arial Black" w:hAnsi="Arial Black"/>
          <w:sz w:val="24"/>
          <w:szCs w:val="24"/>
        </w:rPr>
      </w:pPr>
    </w:p>
    <w:p w14:paraId="5091C95A" w14:textId="77777777" w:rsidR="005F3DA4" w:rsidRDefault="005F3DA4" w:rsidP="00F91F9F">
      <w:pPr>
        <w:pStyle w:val="NoSpacing"/>
        <w:rPr>
          <w:rFonts w:ascii="Arial Black" w:hAnsi="Arial Black"/>
          <w:sz w:val="24"/>
          <w:szCs w:val="24"/>
        </w:rPr>
      </w:pPr>
    </w:p>
    <w:p w14:paraId="36723288" w14:textId="77777777" w:rsidR="005F3DA4" w:rsidRDefault="005F3DA4" w:rsidP="00F91F9F">
      <w:pPr>
        <w:pStyle w:val="NoSpacing"/>
        <w:rPr>
          <w:rFonts w:ascii="Arial Black" w:hAnsi="Arial Black"/>
          <w:sz w:val="24"/>
          <w:szCs w:val="24"/>
        </w:rPr>
      </w:pPr>
    </w:p>
    <w:p w14:paraId="703C4748" w14:textId="03E655B2" w:rsidR="00CE27F4" w:rsidRDefault="00CE27F4" w:rsidP="00F91F9F">
      <w:pPr>
        <w:pStyle w:val="NoSpacing"/>
        <w:rPr>
          <w:rFonts w:ascii="Arial Black" w:hAnsi="Arial Black"/>
          <w:sz w:val="24"/>
          <w:szCs w:val="24"/>
        </w:rPr>
      </w:pPr>
      <w:r>
        <w:rPr>
          <w:rFonts w:ascii="Arial Black" w:hAnsi="Arial Black"/>
          <w:sz w:val="24"/>
          <w:szCs w:val="24"/>
        </w:rPr>
        <w:t>16-112</w:t>
      </w:r>
    </w:p>
    <w:p w14:paraId="61F0921F" w14:textId="77777777" w:rsidR="00FE25A3" w:rsidRDefault="00FE25A3" w:rsidP="00F91F9F">
      <w:pPr>
        <w:pStyle w:val="NoSpacing"/>
        <w:rPr>
          <w:rFonts w:ascii="Arial Black" w:hAnsi="Arial Black"/>
          <w:sz w:val="24"/>
          <w:szCs w:val="24"/>
        </w:rPr>
      </w:pPr>
    </w:p>
    <w:p w14:paraId="50F4DCE8" w14:textId="77777777" w:rsidR="00FE25A3" w:rsidRPr="007718BF" w:rsidRDefault="00FE25A3" w:rsidP="00FE25A3">
      <w:pPr>
        <w:rPr>
          <w:rFonts w:ascii="Arial Black" w:hAnsi="Arial Black"/>
          <w:sz w:val="28"/>
          <w:szCs w:val="28"/>
        </w:rPr>
      </w:pPr>
      <w:r>
        <w:rPr>
          <w:rFonts w:ascii="Arial Black" w:hAnsi="Arial Black"/>
          <w:sz w:val="28"/>
          <w:szCs w:val="28"/>
        </w:rPr>
        <w:t>NJ: FF FIRED - “DELIBERATE SHELL GAME” - RETURNED MILITARY LEAVE – BUT ALSO STAYED ON ACTIVE DUTY</w:t>
      </w:r>
    </w:p>
    <w:p w14:paraId="5CCB900A" w14:textId="77777777" w:rsidR="00FE25A3" w:rsidRPr="00DD5D06" w:rsidRDefault="00FE25A3" w:rsidP="00FE25A3">
      <w:pPr>
        <w:rPr>
          <w:rFonts w:ascii="Times New Roman" w:hAnsi="Times New Roman"/>
          <w:sz w:val="24"/>
          <w:szCs w:val="24"/>
        </w:rPr>
      </w:pPr>
      <w:r w:rsidRPr="00DD5D06">
        <w:rPr>
          <w:rFonts w:ascii="Times New Roman" w:hAnsi="Times New Roman"/>
          <w:sz w:val="24"/>
          <w:szCs w:val="24"/>
        </w:rPr>
        <w:t xml:space="preserve">On July 31, 2024, </w:t>
      </w:r>
      <w:r w:rsidRPr="00DD5D06">
        <w:rPr>
          <w:rFonts w:ascii="Times New Roman" w:hAnsi="Times New Roman"/>
          <w:sz w:val="24"/>
          <w:szCs w:val="24"/>
          <w:u w:val="single"/>
        </w:rPr>
        <w:t xml:space="preserve">In </w:t>
      </w:r>
      <w:proofErr w:type="gramStart"/>
      <w:r w:rsidRPr="00DD5D06">
        <w:rPr>
          <w:rFonts w:ascii="Times New Roman" w:hAnsi="Times New Roman"/>
          <w:sz w:val="24"/>
          <w:szCs w:val="24"/>
          <w:u w:val="single"/>
        </w:rPr>
        <w:t>The</w:t>
      </w:r>
      <w:proofErr w:type="gramEnd"/>
      <w:r w:rsidRPr="00DD5D06">
        <w:rPr>
          <w:rFonts w:ascii="Times New Roman" w:hAnsi="Times New Roman"/>
          <w:sz w:val="24"/>
          <w:szCs w:val="24"/>
          <w:u w:val="single"/>
        </w:rPr>
        <w:t xml:space="preserve"> Matter </w:t>
      </w:r>
      <w:proofErr w:type="gramStart"/>
      <w:r w:rsidRPr="00DD5D06">
        <w:rPr>
          <w:rFonts w:ascii="Times New Roman" w:hAnsi="Times New Roman"/>
          <w:sz w:val="24"/>
          <w:szCs w:val="24"/>
          <w:u w:val="single"/>
        </w:rPr>
        <w:t>Of</w:t>
      </w:r>
      <w:proofErr w:type="gramEnd"/>
      <w:r w:rsidRPr="00DD5D06">
        <w:rPr>
          <w:rFonts w:ascii="Times New Roman" w:hAnsi="Times New Roman"/>
          <w:sz w:val="24"/>
          <w:szCs w:val="24"/>
          <w:u w:val="single"/>
        </w:rPr>
        <w:t xml:space="preserve"> John Tayag-Kosky, Town </w:t>
      </w:r>
      <w:proofErr w:type="gramStart"/>
      <w:r w:rsidRPr="00DD5D06">
        <w:rPr>
          <w:rFonts w:ascii="Times New Roman" w:hAnsi="Times New Roman"/>
          <w:sz w:val="24"/>
          <w:szCs w:val="24"/>
          <w:u w:val="single"/>
        </w:rPr>
        <w:t>Of</w:t>
      </w:r>
      <w:proofErr w:type="gramEnd"/>
      <w:r w:rsidRPr="00DD5D06">
        <w:rPr>
          <w:rFonts w:ascii="Times New Roman" w:hAnsi="Times New Roman"/>
          <w:sz w:val="24"/>
          <w:szCs w:val="24"/>
          <w:u w:val="single"/>
        </w:rPr>
        <w:t xml:space="preserve"> Kearny Fire Department</w:t>
      </w:r>
      <w:r w:rsidRPr="00DD5D06">
        <w:rPr>
          <w:rFonts w:ascii="Times New Roman" w:hAnsi="Times New Roman"/>
          <w:sz w:val="24"/>
          <w:szCs w:val="24"/>
        </w:rPr>
        <w:t>, the Superior Court of New Jersey, Appellate Division, held (2 to 0; unpublished opinion), that the Civil Service Commission properly upheld the termination.  In 20</w:t>
      </w:r>
      <w:r>
        <w:rPr>
          <w:rFonts w:ascii="Times New Roman" w:hAnsi="Times New Roman"/>
          <w:sz w:val="24"/>
          <w:szCs w:val="24"/>
        </w:rPr>
        <w:t>1</w:t>
      </w:r>
      <w:r w:rsidRPr="00DD5D06">
        <w:rPr>
          <w:rFonts w:ascii="Times New Roman" w:hAnsi="Times New Roman"/>
          <w:sz w:val="24"/>
          <w:szCs w:val="24"/>
        </w:rPr>
        <w:t xml:space="preserve">4, when he returned from active duty to FD, he worked 24 / </w:t>
      </w:r>
      <w:proofErr w:type="gramStart"/>
      <w:r w:rsidRPr="00DD5D06">
        <w:rPr>
          <w:rFonts w:ascii="Times New Roman" w:hAnsi="Times New Roman"/>
          <w:sz w:val="24"/>
          <w:szCs w:val="24"/>
        </w:rPr>
        <w:t>72 hour</w:t>
      </w:r>
      <w:proofErr w:type="gramEnd"/>
      <w:r w:rsidRPr="00DD5D06">
        <w:rPr>
          <w:rFonts w:ascii="Times New Roman" w:hAnsi="Times New Roman"/>
          <w:sz w:val="24"/>
          <w:szCs w:val="24"/>
        </w:rPr>
        <w:t xml:space="preserve"> shift.  He </w:t>
      </w:r>
      <w:r>
        <w:rPr>
          <w:rFonts w:ascii="Times New Roman" w:hAnsi="Times New Roman"/>
          <w:sz w:val="24"/>
          <w:szCs w:val="24"/>
        </w:rPr>
        <w:t>“</w:t>
      </w:r>
      <w:r w:rsidRPr="00DD5D06">
        <w:rPr>
          <w:rFonts w:ascii="Times New Roman" w:hAnsi="Times New Roman"/>
          <w:sz w:val="24"/>
          <w:szCs w:val="24"/>
        </w:rPr>
        <w:t>actively concealed</w:t>
      </w:r>
      <w:r>
        <w:rPr>
          <w:rFonts w:ascii="Times New Roman" w:hAnsi="Times New Roman"/>
          <w:sz w:val="24"/>
          <w:szCs w:val="24"/>
        </w:rPr>
        <w:t>” from FD</w:t>
      </w:r>
      <w:r w:rsidRPr="00DD5D06">
        <w:rPr>
          <w:rFonts w:ascii="Times New Roman" w:hAnsi="Times New Roman"/>
          <w:sz w:val="24"/>
          <w:szCs w:val="24"/>
        </w:rPr>
        <w:t xml:space="preserve"> </w:t>
      </w:r>
      <w:r>
        <w:rPr>
          <w:rFonts w:ascii="Times New Roman" w:hAnsi="Times New Roman"/>
          <w:sz w:val="24"/>
          <w:szCs w:val="24"/>
        </w:rPr>
        <w:t xml:space="preserve">[2014-2018] </w:t>
      </w:r>
      <w:r w:rsidRPr="00DD5D06">
        <w:rPr>
          <w:rFonts w:ascii="Times New Roman" w:hAnsi="Times New Roman"/>
          <w:sz w:val="24"/>
          <w:szCs w:val="24"/>
        </w:rPr>
        <w:t>that he was still employed as a full-time military recruiter and an active-duty member of the Army National Guard</w:t>
      </w:r>
      <w:r>
        <w:rPr>
          <w:rFonts w:ascii="Times New Roman" w:hAnsi="Times New Roman"/>
          <w:sz w:val="24"/>
          <w:szCs w:val="24"/>
        </w:rPr>
        <w:t>, and concealed from Army he was working as a career FF</w:t>
      </w:r>
      <w:r w:rsidRPr="00DD5D06">
        <w:rPr>
          <w:rFonts w:ascii="Times New Roman" w:hAnsi="Times New Roman"/>
          <w:sz w:val="24"/>
          <w:szCs w:val="24"/>
        </w:rPr>
        <w:t xml:space="preserve">. The Court rejected his argument that under “progressive discipline” the firing was too harsh.  </w:t>
      </w:r>
      <w:hyperlink r:id="rId2649" w:history="1">
        <w:r w:rsidRPr="00DD5D06">
          <w:rPr>
            <w:rStyle w:val="Hyperlink"/>
            <w:rFonts w:ascii="Times New Roman" w:hAnsi="Times New Roman"/>
            <w:sz w:val="24"/>
            <w:szCs w:val="24"/>
          </w:rPr>
          <w:t>https://www.njcourts.gov/system/files/court-opinions/2024/a1537-22.pdf</w:t>
        </w:r>
      </w:hyperlink>
      <w:r w:rsidRPr="00DD5D06">
        <w:rPr>
          <w:rFonts w:ascii="Times New Roman" w:hAnsi="Times New Roman"/>
          <w:sz w:val="24"/>
          <w:szCs w:val="24"/>
        </w:rPr>
        <w:t xml:space="preserve"> </w:t>
      </w:r>
    </w:p>
    <w:p w14:paraId="0861AEB8" w14:textId="77777777" w:rsidR="00FE25A3" w:rsidRPr="007718BF" w:rsidRDefault="00FE25A3" w:rsidP="00FE25A3">
      <w:pPr>
        <w:rPr>
          <w:rFonts w:ascii="Times New Roman" w:hAnsi="Times New Roman"/>
          <w:sz w:val="24"/>
          <w:szCs w:val="24"/>
        </w:rPr>
      </w:pPr>
      <w:r w:rsidRPr="007718BF">
        <w:rPr>
          <w:rFonts w:ascii="Times New Roman" w:hAnsi="Times New Roman"/>
          <w:sz w:val="24"/>
          <w:szCs w:val="24"/>
        </w:rPr>
        <w:t>THE COURT HELD:</w:t>
      </w:r>
    </w:p>
    <w:p w14:paraId="26788F94" w14:textId="77777777" w:rsidR="00FE25A3" w:rsidRDefault="00FE25A3" w:rsidP="00FE25A3">
      <w:pPr>
        <w:ind w:left="720"/>
        <w:rPr>
          <w:rFonts w:ascii="Times New Roman" w:hAnsi="Times New Roman"/>
          <w:sz w:val="24"/>
          <w:szCs w:val="24"/>
        </w:rPr>
      </w:pPr>
      <w:r>
        <w:rPr>
          <w:rFonts w:ascii="Times New Roman" w:hAnsi="Times New Roman"/>
          <w:sz w:val="24"/>
          <w:szCs w:val="24"/>
        </w:rPr>
        <w:t>“</w:t>
      </w:r>
      <w:r w:rsidRPr="007718BF">
        <w:rPr>
          <w:rFonts w:ascii="Times New Roman" w:hAnsi="Times New Roman"/>
          <w:sz w:val="24"/>
          <w:szCs w:val="24"/>
        </w:rPr>
        <w:t>Kosky argues termination was not justified and violated</w:t>
      </w:r>
      <w:r>
        <w:rPr>
          <w:rFonts w:ascii="Times New Roman" w:hAnsi="Times New Roman"/>
          <w:sz w:val="24"/>
          <w:szCs w:val="24"/>
        </w:rPr>
        <w:t xml:space="preserve"> </w:t>
      </w:r>
      <w:r w:rsidRPr="007718BF">
        <w:rPr>
          <w:rFonts w:ascii="Times New Roman" w:hAnsi="Times New Roman"/>
          <w:sz w:val="24"/>
          <w:szCs w:val="24"/>
        </w:rPr>
        <w:t>principles of progressive discipline since he had no prior discipline or</w:t>
      </w:r>
      <w:r>
        <w:rPr>
          <w:rFonts w:ascii="Times New Roman" w:hAnsi="Times New Roman"/>
          <w:sz w:val="24"/>
          <w:szCs w:val="24"/>
        </w:rPr>
        <w:t xml:space="preserve"> </w:t>
      </w:r>
      <w:r w:rsidRPr="007718BF">
        <w:rPr>
          <w:rFonts w:ascii="Times New Roman" w:hAnsi="Times New Roman"/>
          <w:sz w:val="24"/>
          <w:szCs w:val="24"/>
        </w:rPr>
        <w:t>infractions with the Department. In making its determination on this issue, the</w:t>
      </w:r>
      <w:r>
        <w:rPr>
          <w:rFonts w:ascii="Times New Roman" w:hAnsi="Times New Roman"/>
          <w:sz w:val="24"/>
          <w:szCs w:val="24"/>
        </w:rPr>
        <w:t xml:space="preserve"> </w:t>
      </w:r>
      <w:r w:rsidRPr="007718BF">
        <w:rPr>
          <w:rFonts w:ascii="Times New Roman" w:hAnsi="Times New Roman"/>
          <w:sz w:val="24"/>
          <w:szCs w:val="24"/>
        </w:rPr>
        <w:t>Commission reviewed the ALJ's detailed findings and conclusions, including</w:t>
      </w:r>
      <w:r>
        <w:rPr>
          <w:rFonts w:ascii="Times New Roman" w:hAnsi="Times New Roman"/>
          <w:sz w:val="24"/>
          <w:szCs w:val="24"/>
        </w:rPr>
        <w:t xml:space="preserve"> </w:t>
      </w:r>
      <w:r w:rsidRPr="007718BF">
        <w:rPr>
          <w:rFonts w:ascii="Times New Roman" w:hAnsi="Times New Roman"/>
          <w:sz w:val="24"/>
          <w:szCs w:val="24"/>
        </w:rPr>
        <w:t>that Kosky's testimony was not credible and his actions warranted a departure</w:t>
      </w:r>
      <w:r>
        <w:rPr>
          <w:rFonts w:ascii="Times New Roman" w:hAnsi="Times New Roman"/>
          <w:sz w:val="24"/>
          <w:szCs w:val="24"/>
        </w:rPr>
        <w:t xml:space="preserve"> </w:t>
      </w:r>
      <w:r w:rsidRPr="007718BF">
        <w:rPr>
          <w:rFonts w:ascii="Times New Roman" w:hAnsi="Times New Roman"/>
          <w:sz w:val="24"/>
          <w:szCs w:val="24"/>
        </w:rPr>
        <w:t xml:space="preserve">from progressive discipline. Progressive discipline is not </w:t>
      </w:r>
      <w:r>
        <w:rPr>
          <w:rFonts w:ascii="Times New Roman" w:hAnsi="Times New Roman"/>
          <w:sz w:val="24"/>
          <w:szCs w:val="24"/>
        </w:rPr>
        <w:t>‘</w:t>
      </w:r>
      <w:r w:rsidRPr="007718BF">
        <w:rPr>
          <w:rFonts w:ascii="Times New Roman" w:hAnsi="Times New Roman"/>
          <w:sz w:val="24"/>
          <w:szCs w:val="24"/>
        </w:rPr>
        <w:t>a fixed and</w:t>
      </w:r>
      <w:r>
        <w:rPr>
          <w:rFonts w:ascii="Times New Roman" w:hAnsi="Times New Roman"/>
          <w:sz w:val="24"/>
          <w:szCs w:val="24"/>
        </w:rPr>
        <w:t xml:space="preserve"> </w:t>
      </w:r>
      <w:r w:rsidRPr="007718BF">
        <w:rPr>
          <w:rFonts w:ascii="Times New Roman" w:hAnsi="Times New Roman"/>
          <w:sz w:val="24"/>
          <w:szCs w:val="24"/>
        </w:rPr>
        <w:t>immutable rule to be followed without question</w:t>
      </w:r>
      <w:r>
        <w:rPr>
          <w:rFonts w:ascii="Times New Roman" w:hAnsi="Times New Roman"/>
          <w:sz w:val="24"/>
          <w:szCs w:val="24"/>
        </w:rPr>
        <w:t>’</w:t>
      </w:r>
      <w:r w:rsidRPr="007718BF">
        <w:rPr>
          <w:rFonts w:ascii="Times New Roman" w:hAnsi="Times New Roman"/>
          <w:sz w:val="24"/>
          <w:szCs w:val="24"/>
        </w:rPr>
        <w:t xml:space="preserve"> because </w:t>
      </w:r>
      <w:r>
        <w:rPr>
          <w:rFonts w:ascii="Times New Roman" w:hAnsi="Times New Roman"/>
          <w:sz w:val="24"/>
          <w:szCs w:val="24"/>
        </w:rPr>
        <w:t>‘</w:t>
      </w:r>
      <w:r w:rsidRPr="007718BF">
        <w:rPr>
          <w:rFonts w:ascii="Times New Roman" w:hAnsi="Times New Roman"/>
          <w:sz w:val="24"/>
          <w:szCs w:val="24"/>
        </w:rPr>
        <w:t>some disciplinary</w:t>
      </w:r>
      <w:r>
        <w:rPr>
          <w:rFonts w:ascii="Times New Roman" w:hAnsi="Times New Roman"/>
          <w:sz w:val="24"/>
          <w:szCs w:val="24"/>
        </w:rPr>
        <w:t xml:space="preserve"> </w:t>
      </w:r>
      <w:r w:rsidRPr="007718BF">
        <w:rPr>
          <w:rFonts w:ascii="Times New Roman" w:hAnsi="Times New Roman"/>
          <w:sz w:val="24"/>
          <w:szCs w:val="24"/>
        </w:rPr>
        <w:t>infractions are so serious that removal is appropriate notwithstanding a largely</w:t>
      </w:r>
      <w:r>
        <w:rPr>
          <w:rFonts w:ascii="Times New Roman" w:hAnsi="Times New Roman"/>
          <w:sz w:val="24"/>
          <w:szCs w:val="24"/>
        </w:rPr>
        <w:t xml:space="preserve"> </w:t>
      </w:r>
      <w:r w:rsidRPr="007718BF">
        <w:rPr>
          <w:rFonts w:ascii="Times New Roman" w:hAnsi="Times New Roman"/>
          <w:sz w:val="24"/>
          <w:szCs w:val="24"/>
        </w:rPr>
        <w:t>unblemished prior record.</w:t>
      </w:r>
      <w:r>
        <w:rPr>
          <w:rFonts w:ascii="Times New Roman" w:hAnsi="Times New Roman"/>
          <w:sz w:val="24"/>
          <w:szCs w:val="24"/>
        </w:rPr>
        <w:t>’</w:t>
      </w:r>
      <w:r w:rsidRPr="007718BF">
        <w:rPr>
          <w:rFonts w:ascii="Times New Roman" w:hAnsi="Times New Roman"/>
          <w:sz w:val="24"/>
          <w:szCs w:val="24"/>
        </w:rPr>
        <w:t xml:space="preserve"> Stallworth, 208 N.J. at 196 (citing Carter, 191 N.J.</w:t>
      </w:r>
      <w:r>
        <w:rPr>
          <w:rFonts w:ascii="Times New Roman" w:hAnsi="Times New Roman"/>
          <w:sz w:val="24"/>
          <w:szCs w:val="24"/>
        </w:rPr>
        <w:t xml:space="preserve"> </w:t>
      </w:r>
      <w:r w:rsidRPr="007718BF">
        <w:rPr>
          <w:rFonts w:ascii="Times New Roman" w:hAnsi="Times New Roman"/>
          <w:sz w:val="24"/>
          <w:szCs w:val="24"/>
        </w:rPr>
        <w:t>at 484); Herrmann, 192 N.J. at 34-36. The Commission's decision was clearly</w:t>
      </w:r>
      <w:r>
        <w:rPr>
          <w:rFonts w:ascii="Times New Roman" w:hAnsi="Times New Roman"/>
          <w:sz w:val="24"/>
          <w:szCs w:val="24"/>
        </w:rPr>
        <w:t xml:space="preserve"> </w:t>
      </w:r>
      <w:r w:rsidRPr="007718BF">
        <w:rPr>
          <w:rFonts w:ascii="Times New Roman" w:hAnsi="Times New Roman"/>
          <w:sz w:val="24"/>
          <w:szCs w:val="24"/>
        </w:rPr>
        <w:t>supported by the record which showed Kosky deliberately deceived the</w:t>
      </w:r>
      <w:r>
        <w:rPr>
          <w:rFonts w:ascii="Times New Roman" w:hAnsi="Times New Roman"/>
          <w:sz w:val="24"/>
          <w:szCs w:val="24"/>
        </w:rPr>
        <w:t xml:space="preserve"> </w:t>
      </w:r>
      <w:r w:rsidRPr="007718BF">
        <w:rPr>
          <w:rFonts w:ascii="Times New Roman" w:hAnsi="Times New Roman"/>
          <w:sz w:val="24"/>
          <w:szCs w:val="24"/>
        </w:rPr>
        <w:t xml:space="preserve">Department by failing to disclose he was holding two full-time positions </w:t>
      </w:r>
      <w:proofErr w:type="gramStart"/>
      <w:r w:rsidRPr="007718BF">
        <w:rPr>
          <w:rFonts w:ascii="Times New Roman" w:hAnsi="Times New Roman"/>
          <w:sz w:val="24"/>
          <w:szCs w:val="24"/>
        </w:rPr>
        <w:t>in an</w:t>
      </w:r>
      <w:r>
        <w:rPr>
          <w:rFonts w:ascii="Times New Roman" w:hAnsi="Times New Roman"/>
          <w:sz w:val="24"/>
          <w:szCs w:val="24"/>
        </w:rPr>
        <w:t xml:space="preserve"> </w:t>
      </w:r>
      <w:r w:rsidRPr="007718BF">
        <w:rPr>
          <w:rFonts w:ascii="Times New Roman" w:hAnsi="Times New Roman"/>
          <w:sz w:val="24"/>
          <w:szCs w:val="24"/>
        </w:rPr>
        <w:t>effort to</w:t>
      </w:r>
      <w:proofErr w:type="gramEnd"/>
      <w:r w:rsidRPr="007718BF">
        <w:rPr>
          <w:rFonts w:ascii="Times New Roman" w:hAnsi="Times New Roman"/>
          <w:sz w:val="24"/>
          <w:szCs w:val="24"/>
        </w:rPr>
        <w:t xml:space="preserve"> gain personal advantage in the form of additional pension and health</w:t>
      </w:r>
      <w:r>
        <w:rPr>
          <w:rFonts w:ascii="Times New Roman" w:hAnsi="Times New Roman"/>
          <w:sz w:val="24"/>
          <w:szCs w:val="24"/>
        </w:rPr>
        <w:t xml:space="preserve"> </w:t>
      </w:r>
      <w:r w:rsidRPr="007718BF">
        <w:rPr>
          <w:rFonts w:ascii="Times New Roman" w:hAnsi="Times New Roman"/>
          <w:sz w:val="24"/>
          <w:szCs w:val="24"/>
        </w:rPr>
        <w:t>benefits.</w:t>
      </w:r>
      <w:r>
        <w:rPr>
          <w:rFonts w:ascii="Times New Roman" w:hAnsi="Times New Roman"/>
          <w:sz w:val="24"/>
          <w:szCs w:val="24"/>
        </w:rPr>
        <w:t>”</w:t>
      </w:r>
    </w:p>
    <w:p w14:paraId="6F2EE934" w14:textId="77777777" w:rsidR="004C22AB" w:rsidRDefault="004C22AB" w:rsidP="004C22AB">
      <w:pPr>
        <w:rPr>
          <w:rFonts w:ascii="Times New Roman" w:hAnsi="Times New Roman"/>
          <w:b/>
          <w:bCs/>
          <w:sz w:val="24"/>
          <w:szCs w:val="24"/>
        </w:rPr>
      </w:pPr>
      <w:r w:rsidRPr="00346E64">
        <w:rPr>
          <w:rFonts w:ascii="Times New Roman" w:hAnsi="Times New Roman"/>
          <w:b/>
          <w:bCs/>
          <w:sz w:val="24"/>
          <w:szCs w:val="24"/>
        </w:rPr>
        <w:lastRenderedPageBreak/>
        <w:t xml:space="preserve">Legal Lesson Learned: </w:t>
      </w:r>
      <w:r>
        <w:rPr>
          <w:rFonts w:ascii="Times New Roman" w:hAnsi="Times New Roman"/>
          <w:b/>
          <w:bCs/>
          <w:sz w:val="24"/>
          <w:szCs w:val="24"/>
        </w:rPr>
        <w:t xml:space="preserve">Termination was appropriate; progressive discipline not appropriate who someone conducting a “deliberate shell game.” </w:t>
      </w:r>
    </w:p>
    <w:p w14:paraId="75B5586A" w14:textId="77777777" w:rsidR="004C22AB" w:rsidRPr="00270653" w:rsidRDefault="004C22AB" w:rsidP="004C22AB">
      <w:pPr>
        <w:ind w:left="720"/>
        <w:rPr>
          <w:rFonts w:ascii="Times New Roman" w:hAnsi="Times New Roman"/>
          <w:sz w:val="24"/>
          <w:szCs w:val="24"/>
        </w:rPr>
      </w:pPr>
      <w:r w:rsidRPr="00270653">
        <w:rPr>
          <w:rFonts w:ascii="Times New Roman" w:hAnsi="Times New Roman"/>
          <w:sz w:val="24"/>
          <w:szCs w:val="24"/>
        </w:rPr>
        <w:t xml:space="preserve">Note: Read the Civil Service Commission report. </w:t>
      </w:r>
      <w:hyperlink r:id="rId2650" w:history="1">
        <w:r w:rsidRPr="00270653">
          <w:rPr>
            <w:rStyle w:val="Hyperlink"/>
            <w:rFonts w:ascii="Times New Roman" w:hAnsi="Times New Roman"/>
            <w:sz w:val="24"/>
            <w:szCs w:val="24"/>
          </w:rPr>
          <w:t>https://www.nj.gov/csc/about/meetings/decisions/pdf/2023/01-18-23/A005%20TAYAG-KOSKY%20JOHN.pdf</w:t>
        </w:r>
      </w:hyperlink>
      <w:r w:rsidRPr="00270653">
        <w:rPr>
          <w:rFonts w:ascii="Times New Roman" w:hAnsi="Times New Roman"/>
          <w:sz w:val="24"/>
          <w:szCs w:val="24"/>
        </w:rPr>
        <w:t xml:space="preserve"> </w:t>
      </w:r>
    </w:p>
    <w:p w14:paraId="696E8BC4" w14:textId="77777777" w:rsidR="00FE25A3" w:rsidRDefault="00FE25A3" w:rsidP="00F91F9F">
      <w:pPr>
        <w:pStyle w:val="NoSpacing"/>
        <w:rPr>
          <w:rFonts w:ascii="Arial Black" w:hAnsi="Arial Black"/>
          <w:sz w:val="24"/>
          <w:szCs w:val="24"/>
        </w:rPr>
      </w:pPr>
    </w:p>
    <w:p w14:paraId="146E111B" w14:textId="77777777" w:rsidR="00CE27F4" w:rsidRDefault="00CE27F4" w:rsidP="00F91F9F">
      <w:pPr>
        <w:pStyle w:val="NoSpacing"/>
        <w:rPr>
          <w:rFonts w:ascii="Arial Black" w:hAnsi="Arial Black"/>
          <w:sz w:val="24"/>
          <w:szCs w:val="24"/>
        </w:rPr>
      </w:pPr>
    </w:p>
    <w:p w14:paraId="67ADA7A1" w14:textId="77777777" w:rsidR="00CE27F4" w:rsidRDefault="00CE27F4" w:rsidP="00F91F9F">
      <w:pPr>
        <w:pStyle w:val="NoSpacing"/>
        <w:rPr>
          <w:rFonts w:ascii="Arial Black" w:hAnsi="Arial Black"/>
          <w:sz w:val="24"/>
          <w:szCs w:val="24"/>
        </w:rPr>
      </w:pPr>
    </w:p>
    <w:p w14:paraId="58529998" w14:textId="5D92E6D0" w:rsidR="00B55AFC" w:rsidRDefault="00BB3D8E" w:rsidP="00F91F9F">
      <w:pPr>
        <w:pStyle w:val="NoSpacing"/>
        <w:rPr>
          <w:rFonts w:ascii="Arial Black" w:hAnsi="Arial Black"/>
          <w:sz w:val="24"/>
          <w:szCs w:val="24"/>
        </w:rPr>
      </w:pPr>
      <w:r>
        <w:rPr>
          <w:rFonts w:ascii="Arial Black" w:hAnsi="Arial Black"/>
          <w:sz w:val="24"/>
          <w:szCs w:val="24"/>
        </w:rPr>
        <w:t>16-111</w:t>
      </w:r>
    </w:p>
    <w:p w14:paraId="499ED00B" w14:textId="77777777" w:rsidR="00BB3D8E" w:rsidRDefault="00BB3D8E" w:rsidP="00F91F9F">
      <w:pPr>
        <w:pStyle w:val="NoSpacing"/>
        <w:rPr>
          <w:rFonts w:ascii="Arial Black" w:hAnsi="Arial Black"/>
          <w:sz w:val="24"/>
          <w:szCs w:val="24"/>
        </w:rPr>
      </w:pPr>
    </w:p>
    <w:p w14:paraId="43D6E405" w14:textId="77777777" w:rsidR="00B34746" w:rsidRDefault="00B34746" w:rsidP="00B34746">
      <w:pPr>
        <w:pStyle w:val="NoSpacing"/>
        <w:rPr>
          <w:rFonts w:ascii="Arial Black" w:hAnsi="Arial Black"/>
          <w:sz w:val="28"/>
          <w:szCs w:val="28"/>
        </w:rPr>
      </w:pPr>
      <w:r w:rsidRPr="0049649C">
        <w:rPr>
          <w:rFonts w:ascii="Arial Black" w:hAnsi="Arial Black"/>
          <w:sz w:val="28"/>
          <w:szCs w:val="28"/>
        </w:rPr>
        <w:t xml:space="preserve">CA: </w:t>
      </w:r>
      <w:r>
        <w:rPr>
          <w:rFonts w:ascii="Arial Black" w:hAnsi="Arial Black"/>
          <w:sz w:val="28"/>
          <w:szCs w:val="28"/>
        </w:rPr>
        <w:t xml:space="preserve">FIRE </w:t>
      </w:r>
      <w:r w:rsidRPr="0049649C">
        <w:rPr>
          <w:rFonts w:ascii="Arial Black" w:hAnsi="Arial Black"/>
          <w:sz w:val="28"/>
          <w:szCs w:val="28"/>
        </w:rPr>
        <w:t>CHIEF</w:t>
      </w:r>
      <w:r>
        <w:rPr>
          <w:rFonts w:ascii="Arial Black" w:hAnsi="Arial Black"/>
          <w:sz w:val="28"/>
          <w:szCs w:val="28"/>
        </w:rPr>
        <w:t xml:space="preserve"> FIRED – “RELIGIOUS DISCRIMINATION” CASE WAS DISMISSED – 9</w:t>
      </w:r>
      <w:r w:rsidRPr="005322F9">
        <w:rPr>
          <w:rFonts w:ascii="Arial Black" w:hAnsi="Arial Black"/>
          <w:sz w:val="28"/>
          <w:szCs w:val="28"/>
          <w:vertAlign w:val="superscript"/>
        </w:rPr>
        <w:t>th</w:t>
      </w:r>
      <w:r>
        <w:rPr>
          <w:rFonts w:ascii="Arial Black" w:hAnsi="Arial Black"/>
          <w:sz w:val="28"/>
          <w:szCs w:val="28"/>
        </w:rPr>
        <w:t xml:space="preserve"> CIR. NO “EN BANC” REVIEW</w:t>
      </w:r>
    </w:p>
    <w:p w14:paraId="25F66989" w14:textId="77777777" w:rsidR="00B34746" w:rsidRDefault="00B34746" w:rsidP="00B34746">
      <w:pPr>
        <w:pStyle w:val="NoSpacing"/>
      </w:pPr>
    </w:p>
    <w:p w14:paraId="793B7ED0" w14:textId="77777777" w:rsidR="00B34746" w:rsidRDefault="00B34746" w:rsidP="00B34746">
      <w:pPr>
        <w:pStyle w:val="NoSpacing"/>
        <w:rPr>
          <w:rFonts w:ascii="Times New Roman" w:hAnsi="Times New Roman"/>
          <w:sz w:val="24"/>
          <w:szCs w:val="24"/>
        </w:rPr>
      </w:pPr>
      <w:r w:rsidRPr="00675CE0">
        <w:rPr>
          <w:rFonts w:ascii="Times New Roman" w:hAnsi="Times New Roman"/>
          <w:sz w:val="24"/>
          <w:szCs w:val="24"/>
        </w:rPr>
        <w:t xml:space="preserve">On May 17, 2024, in </w:t>
      </w:r>
      <w:r w:rsidRPr="00675CE0">
        <w:rPr>
          <w:rFonts w:ascii="Times New Roman" w:hAnsi="Times New Roman"/>
          <w:sz w:val="24"/>
          <w:szCs w:val="24"/>
          <w:u w:val="single"/>
        </w:rPr>
        <w:t>Ronald Hittle v. City of Stockton, California</w:t>
      </w:r>
      <w:r w:rsidRPr="00675CE0">
        <w:rPr>
          <w:rFonts w:ascii="Times New Roman" w:hAnsi="Times New Roman"/>
          <w:sz w:val="24"/>
          <w:szCs w:val="24"/>
        </w:rPr>
        <w:t xml:space="preserve">, </w:t>
      </w:r>
      <w:r>
        <w:rPr>
          <w:rFonts w:ascii="Times New Roman" w:hAnsi="Times New Roman"/>
          <w:sz w:val="24"/>
          <w:szCs w:val="24"/>
        </w:rPr>
        <w:t>U.S. Court of Appeals for 9</w:t>
      </w:r>
      <w:r w:rsidRPr="00082FD4">
        <w:rPr>
          <w:rFonts w:ascii="Times New Roman" w:hAnsi="Times New Roman"/>
          <w:sz w:val="24"/>
          <w:szCs w:val="24"/>
          <w:vertAlign w:val="superscript"/>
        </w:rPr>
        <w:t>th</w:t>
      </w:r>
      <w:r>
        <w:rPr>
          <w:rFonts w:ascii="Times New Roman" w:hAnsi="Times New Roman"/>
          <w:sz w:val="24"/>
          <w:szCs w:val="24"/>
        </w:rPr>
        <w:t xml:space="preserve"> Circuit (San Francisco) a majority of the 29 Circuit Judges declined to hear his appeal, and </w:t>
      </w:r>
      <w:r w:rsidRPr="00675CE0">
        <w:rPr>
          <w:rFonts w:ascii="Times New Roman" w:hAnsi="Times New Roman"/>
          <w:sz w:val="24"/>
          <w:szCs w:val="24"/>
        </w:rPr>
        <w:t>the 3-</w:t>
      </w:r>
      <w:r>
        <w:rPr>
          <w:rFonts w:ascii="Times New Roman" w:hAnsi="Times New Roman"/>
          <w:sz w:val="24"/>
          <w:szCs w:val="24"/>
        </w:rPr>
        <w:t>J</w:t>
      </w:r>
      <w:r w:rsidRPr="00675CE0">
        <w:rPr>
          <w:rFonts w:ascii="Times New Roman" w:hAnsi="Times New Roman"/>
          <w:sz w:val="24"/>
          <w:szCs w:val="24"/>
        </w:rPr>
        <w:t xml:space="preserve">udge panel </w:t>
      </w:r>
      <w:r>
        <w:rPr>
          <w:rFonts w:ascii="Times New Roman" w:hAnsi="Times New Roman"/>
          <w:sz w:val="24"/>
          <w:szCs w:val="24"/>
        </w:rPr>
        <w:t xml:space="preserve">that originally denied his appeal on Aug. 4, </w:t>
      </w:r>
      <w:proofErr w:type="gramStart"/>
      <w:r>
        <w:rPr>
          <w:rFonts w:ascii="Times New Roman" w:hAnsi="Times New Roman"/>
          <w:sz w:val="24"/>
          <w:szCs w:val="24"/>
        </w:rPr>
        <w:t>2023</w:t>
      </w:r>
      <w:proofErr w:type="gramEnd"/>
      <w:r>
        <w:rPr>
          <w:rFonts w:ascii="Times New Roman" w:hAnsi="Times New Roman"/>
          <w:sz w:val="24"/>
          <w:szCs w:val="24"/>
        </w:rPr>
        <w:t xml:space="preserve"> issued a more detailed second decision.  The City fired Chief Hittle on Sept. 30, 2011 after it retained an outside attorney who wrote 250 page investigative report that included allegations the Chief had formed a “Christian Coalition” in FD, including taking three officers in a FD vehicle to Aug. 5 &amp; 6, 2020 a Christian “</w:t>
      </w:r>
      <w:r w:rsidRPr="005616B7">
        <w:rPr>
          <w:rFonts w:ascii="Times New Roman" w:hAnsi="Times New Roman"/>
          <w:sz w:val="24"/>
          <w:szCs w:val="24"/>
        </w:rPr>
        <w:t>Global Leadership Summit</w:t>
      </w:r>
      <w:r>
        <w:rPr>
          <w:rFonts w:ascii="Times New Roman" w:hAnsi="Times New Roman"/>
          <w:sz w:val="24"/>
          <w:szCs w:val="24"/>
        </w:rPr>
        <w:t xml:space="preserve">” conference at a church in Livermore, on city time.  The 3-Judge panel in its May 17, </w:t>
      </w:r>
      <w:proofErr w:type="gramStart"/>
      <w:r>
        <w:rPr>
          <w:rFonts w:ascii="Times New Roman" w:hAnsi="Times New Roman"/>
          <w:sz w:val="24"/>
          <w:szCs w:val="24"/>
        </w:rPr>
        <w:t>2024</w:t>
      </w:r>
      <w:proofErr w:type="gramEnd"/>
      <w:r>
        <w:rPr>
          <w:rFonts w:ascii="Times New Roman" w:hAnsi="Times New Roman"/>
          <w:sz w:val="24"/>
          <w:szCs w:val="24"/>
        </w:rPr>
        <w:t xml:space="preserve"> decision held:</w:t>
      </w:r>
    </w:p>
    <w:p w14:paraId="7A7CEDCA" w14:textId="77777777" w:rsidR="00B34746" w:rsidRDefault="00B34746" w:rsidP="00B34746">
      <w:pPr>
        <w:pStyle w:val="NoSpacing"/>
        <w:rPr>
          <w:rFonts w:ascii="Times New Roman" w:hAnsi="Times New Roman"/>
          <w:sz w:val="24"/>
          <w:szCs w:val="24"/>
        </w:rPr>
      </w:pPr>
    </w:p>
    <w:p w14:paraId="25BB64E2" w14:textId="77777777" w:rsidR="00B34746" w:rsidRDefault="00B34746" w:rsidP="00B34746">
      <w:pPr>
        <w:pStyle w:val="NoSpacing"/>
        <w:ind w:left="720"/>
        <w:rPr>
          <w:rFonts w:ascii="Times New Roman" w:hAnsi="Times New Roman"/>
          <w:sz w:val="24"/>
          <w:szCs w:val="24"/>
        </w:rPr>
      </w:pPr>
      <w:r>
        <w:rPr>
          <w:rFonts w:ascii="Times New Roman" w:hAnsi="Times New Roman"/>
          <w:sz w:val="24"/>
          <w:szCs w:val="24"/>
        </w:rPr>
        <w:t>“</w:t>
      </w:r>
      <w:r w:rsidRPr="00F62C43">
        <w:rPr>
          <w:rFonts w:ascii="Times New Roman" w:hAnsi="Times New Roman"/>
          <w:sz w:val="24"/>
          <w:szCs w:val="24"/>
        </w:rPr>
        <w:t xml:space="preserve">The </w:t>
      </w:r>
      <w:proofErr w:type="gramStart"/>
      <w:r w:rsidRPr="00F62C43">
        <w:rPr>
          <w:rFonts w:ascii="Times New Roman" w:hAnsi="Times New Roman"/>
          <w:sz w:val="24"/>
          <w:szCs w:val="24"/>
        </w:rPr>
        <w:t>City</w:t>
      </w:r>
      <w:proofErr w:type="gramEnd"/>
      <w:r w:rsidRPr="00F62C43">
        <w:rPr>
          <w:rFonts w:ascii="Times New Roman" w:hAnsi="Times New Roman"/>
          <w:sz w:val="24"/>
          <w:szCs w:val="24"/>
        </w:rPr>
        <w:t xml:space="preserve"> hired an outside independent</w:t>
      </w:r>
      <w:r>
        <w:rPr>
          <w:rFonts w:ascii="Times New Roman" w:hAnsi="Times New Roman"/>
          <w:sz w:val="24"/>
          <w:szCs w:val="24"/>
        </w:rPr>
        <w:t xml:space="preserve"> </w:t>
      </w:r>
      <w:r w:rsidRPr="00F62C43">
        <w:rPr>
          <w:rFonts w:ascii="Times New Roman" w:hAnsi="Times New Roman"/>
          <w:sz w:val="24"/>
          <w:szCs w:val="24"/>
        </w:rPr>
        <w:t>investigator, Trudy Largent (</w:t>
      </w:r>
      <w:r>
        <w:rPr>
          <w:rFonts w:ascii="Times New Roman" w:hAnsi="Times New Roman"/>
          <w:sz w:val="24"/>
          <w:szCs w:val="24"/>
        </w:rPr>
        <w:t>‘</w:t>
      </w:r>
      <w:r w:rsidRPr="00F62C43">
        <w:rPr>
          <w:rFonts w:ascii="Times New Roman" w:hAnsi="Times New Roman"/>
          <w:sz w:val="24"/>
          <w:szCs w:val="24"/>
        </w:rPr>
        <w:t>Largent</w:t>
      </w:r>
      <w:r>
        <w:rPr>
          <w:rFonts w:ascii="Times New Roman" w:hAnsi="Times New Roman"/>
          <w:sz w:val="24"/>
          <w:szCs w:val="24"/>
        </w:rPr>
        <w:t>’</w:t>
      </w:r>
      <w:r w:rsidRPr="00F62C43">
        <w:rPr>
          <w:rFonts w:ascii="Times New Roman" w:hAnsi="Times New Roman"/>
          <w:sz w:val="24"/>
          <w:szCs w:val="24"/>
        </w:rPr>
        <w:t>),</w:t>
      </w:r>
      <w:r>
        <w:rPr>
          <w:rFonts w:ascii="Times New Roman" w:hAnsi="Times New Roman"/>
          <w:sz w:val="24"/>
          <w:szCs w:val="24"/>
        </w:rPr>
        <w:t xml:space="preserve"> [CA attorney] </w:t>
      </w:r>
      <w:r w:rsidRPr="00F62C43">
        <w:rPr>
          <w:rFonts w:ascii="Times New Roman" w:hAnsi="Times New Roman"/>
          <w:sz w:val="24"/>
          <w:szCs w:val="24"/>
        </w:rPr>
        <w:t>to investigate</w:t>
      </w:r>
      <w:r>
        <w:rPr>
          <w:rFonts w:ascii="Times New Roman" w:hAnsi="Times New Roman"/>
          <w:sz w:val="24"/>
          <w:szCs w:val="24"/>
        </w:rPr>
        <w:t xml:space="preserve"> </w:t>
      </w:r>
      <w:r w:rsidRPr="00F62C43">
        <w:rPr>
          <w:rFonts w:ascii="Times New Roman" w:hAnsi="Times New Roman"/>
          <w:sz w:val="24"/>
          <w:szCs w:val="24"/>
        </w:rPr>
        <w:t>various allegations of misconduct. In a 250-page report</w:t>
      </w:r>
      <w:r>
        <w:rPr>
          <w:rFonts w:ascii="Times New Roman" w:hAnsi="Times New Roman"/>
          <w:sz w:val="24"/>
          <w:szCs w:val="24"/>
        </w:rPr>
        <w:t xml:space="preserve">  </w:t>
      </w:r>
      <w:r w:rsidRPr="009A57BD">
        <w:rPr>
          <w:rFonts w:ascii="Times New Roman" w:hAnsi="Times New Roman"/>
          <w:sz w:val="24"/>
          <w:szCs w:val="24"/>
        </w:rPr>
        <w:t xml:space="preserve">referencing over 50 exhibits, Largent sustained almost </w:t>
      </w:r>
      <w:proofErr w:type="gramStart"/>
      <w:r w:rsidRPr="009A57BD">
        <w:rPr>
          <w:rFonts w:ascii="Times New Roman" w:hAnsi="Times New Roman"/>
          <w:sz w:val="24"/>
          <w:szCs w:val="24"/>
        </w:rPr>
        <w:t>all of</w:t>
      </w:r>
      <w:proofErr w:type="gramEnd"/>
      <w:r>
        <w:rPr>
          <w:rFonts w:ascii="Times New Roman" w:hAnsi="Times New Roman"/>
          <w:sz w:val="24"/>
          <w:szCs w:val="24"/>
        </w:rPr>
        <w:t xml:space="preserve"> </w:t>
      </w:r>
      <w:r w:rsidRPr="009A57BD">
        <w:rPr>
          <w:rFonts w:ascii="Times New Roman" w:hAnsi="Times New Roman"/>
          <w:sz w:val="24"/>
          <w:szCs w:val="24"/>
        </w:rPr>
        <w:t>the allegations of misconduct against Hittle.</w:t>
      </w:r>
      <w:r>
        <w:rPr>
          <w:rFonts w:ascii="Times New Roman" w:hAnsi="Times New Roman"/>
          <w:sz w:val="24"/>
          <w:szCs w:val="24"/>
        </w:rPr>
        <w:t xml:space="preserve"> </w:t>
      </w:r>
      <w:r w:rsidRPr="009A57BD">
        <w:rPr>
          <w:rFonts w:ascii="Times New Roman" w:hAnsi="Times New Roman"/>
          <w:sz w:val="24"/>
          <w:szCs w:val="24"/>
        </w:rPr>
        <w:t>Largent’s Report specifically concluded that Hittle:</w:t>
      </w:r>
      <w:r>
        <w:rPr>
          <w:rFonts w:ascii="Times New Roman" w:hAnsi="Times New Roman"/>
          <w:sz w:val="24"/>
          <w:szCs w:val="24"/>
        </w:rPr>
        <w:t xml:space="preserve"> </w:t>
      </w:r>
      <w:r w:rsidRPr="009A57BD">
        <w:rPr>
          <w:rFonts w:ascii="Times New Roman" w:hAnsi="Times New Roman"/>
          <w:sz w:val="24"/>
          <w:szCs w:val="24"/>
        </w:rPr>
        <w:t>(1) lacked effectiveness and judgment in his ongoing</w:t>
      </w:r>
      <w:r>
        <w:rPr>
          <w:rFonts w:ascii="Times New Roman" w:hAnsi="Times New Roman"/>
          <w:sz w:val="24"/>
          <w:szCs w:val="24"/>
        </w:rPr>
        <w:t xml:space="preserve"> </w:t>
      </w:r>
      <w:r w:rsidRPr="009A57BD">
        <w:rPr>
          <w:rFonts w:ascii="Times New Roman" w:hAnsi="Times New Roman"/>
          <w:sz w:val="24"/>
          <w:szCs w:val="24"/>
        </w:rPr>
        <w:t>leadership of the Fire Department; (2) used City time and a</w:t>
      </w:r>
      <w:r>
        <w:rPr>
          <w:rFonts w:ascii="Times New Roman" w:hAnsi="Times New Roman"/>
          <w:sz w:val="24"/>
          <w:szCs w:val="24"/>
        </w:rPr>
        <w:t xml:space="preserve"> </w:t>
      </w:r>
      <w:r w:rsidRPr="009A57BD">
        <w:rPr>
          <w:rFonts w:ascii="Times New Roman" w:hAnsi="Times New Roman"/>
          <w:sz w:val="24"/>
          <w:szCs w:val="24"/>
        </w:rPr>
        <w:t>City vehicle to attend a religious event, and approved on-duty attendance of other Fire Department managers to do the</w:t>
      </w:r>
      <w:r>
        <w:rPr>
          <w:rFonts w:ascii="Times New Roman" w:hAnsi="Times New Roman"/>
          <w:sz w:val="24"/>
          <w:szCs w:val="24"/>
        </w:rPr>
        <w:t xml:space="preserve"> </w:t>
      </w:r>
      <w:r w:rsidRPr="009A57BD">
        <w:rPr>
          <w:rFonts w:ascii="Times New Roman" w:hAnsi="Times New Roman"/>
          <w:sz w:val="24"/>
          <w:szCs w:val="24"/>
        </w:rPr>
        <w:t>same; (3) failed to properly report his time off; (4) engaged</w:t>
      </w:r>
      <w:r>
        <w:rPr>
          <w:rFonts w:ascii="Times New Roman" w:hAnsi="Times New Roman"/>
          <w:sz w:val="24"/>
          <w:szCs w:val="24"/>
        </w:rPr>
        <w:t xml:space="preserve"> </w:t>
      </w:r>
      <w:r w:rsidRPr="009A57BD">
        <w:rPr>
          <w:rFonts w:ascii="Times New Roman" w:hAnsi="Times New Roman"/>
          <w:sz w:val="24"/>
          <w:szCs w:val="24"/>
        </w:rPr>
        <w:t>in potential favoritism of certain Fire Department employees</w:t>
      </w:r>
      <w:r>
        <w:rPr>
          <w:rFonts w:ascii="Times New Roman" w:hAnsi="Times New Roman"/>
          <w:sz w:val="24"/>
          <w:szCs w:val="24"/>
        </w:rPr>
        <w:t xml:space="preserve"> </w:t>
      </w:r>
      <w:r w:rsidRPr="009A57BD">
        <w:rPr>
          <w:rFonts w:ascii="Times New Roman" w:hAnsi="Times New Roman"/>
          <w:sz w:val="24"/>
          <w:szCs w:val="24"/>
        </w:rPr>
        <w:t>based on a financial conflict of interest not disclosed to the</w:t>
      </w:r>
      <w:r>
        <w:rPr>
          <w:rFonts w:ascii="Times New Roman" w:hAnsi="Times New Roman"/>
          <w:sz w:val="24"/>
          <w:szCs w:val="24"/>
        </w:rPr>
        <w:t xml:space="preserve"> </w:t>
      </w:r>
      <w:r w:rsidRPr="009A57BD">
        <w:rPr>
          <w:rFonts w:ascii="Times New Roman" w:hAnsi="Times New Roman"/>
          <w:sz w:val="24"/>
          <w:szCs w:val="24"/>
        </w:rPr>
        <w:t>City; (5) endorsed a private consultant’s business in</w:t>
      </w:r>
      <w:r>
        <w:rPr>
          <w:rFonts w:ascii="Times New Roman" w:hAnsi="Times New Roman"/>
          <w:sz w:val="24"/>
          <w:szCs w:val="24"/>
        </w:rPr>
        <w:t xml:space="preserve"> </w:t>
      </w:r>
      <w:r w:rsidRPr="009A57BD">
        <w:rPr>
          <w:rFonts w:ascii="Times New Roman" w:hAnsi="Times New Roman"/>
          <w:sz w:val="24"/>
          <w:szCs w:val="24"/>
        </w:rPr>
        <w:t>violation of City policy; and (6) had potentially conflicting</w:t>
      </w:r>
      <w:r>
        <w:rPr>
          <w:rFonts w:ascii="Times New Roman" w:hAnsi="Times New Roman"/>
          <w:sz w:val="24"/>
          <w:szCs w:val="24"/>
        </w:rPr>
        <w:t xml:space="preserve"> </w:t>
      </w:r>
      <w:r w:rsidRPr="009A57BD">
        <w:rPr>
          <w:rFonts w:ascii="Times New Roman" w:hAnsi="Times New Roman"/>
          <w:sz w:val="24"/>
          <w:szCs w:val="24"/>
        </w:rPr>
        <w:t>loyalties in his management role and responsibilities,</w:t>
      </w:r>
      <w:r>
        <w:rPr>
          <w:rFonts w:ascii="Times New Roman" w:hAnsi="Times New Roman"/>
          <w:sz w:val="24"/>
          <w:szCs w:val="24"/>
        </w:rPr>
        <w:t xml:space="preserve"> </w:t>
      </w:r>
      <w:r w:rsidRPr="009A57BD">
        <w:rPr>
          <w:rFonts w:ascii="Times New Roman" w:hAnsi="Times New Roman"/>
          <w:sz w:val="24"/>
          <w:szCs w:val="24"/>
        </w:rPr>
        <w:t>including Hittle’s relationship with the head of the local</w:t>
      </w:r>
      <w:r>
        <w:rPr>
          <w:rFonts w:ascii="Times New Roman" w:hAnsi="Times New Roman"/>
          <w:sz w:val="24"/>
          <w:szCs w:val="24"/>
        </w:rPr>
        <w:t xml:space="preserve"> </w:t>
      </w:r>
      <w:r w:rsidRPr="009A57BD">
        <w:rPr>
          <w:rFonts w:ascii="Times New Roman" w:hAnsi="Times New Roman"/>
          <w:sz w:val="24"/>
          <w:szCs w:val="24"/>
        </w:rPr>
        <w:t>firefighters’ union. Based on the independent findings and</w:t>
      </w:r>
      <w:r>
        <w:rPr>
          <w:rFonts w:ascii="Times New Roman" w:hAnsi="Times New Roman"/>
          <w:sz w:val="24"/>
          <w:szCs w:val="24"/>
        </w:rPr>
        <w:t xml:space="preserve"> </w:t>
      </w:r>
      <w:r w:rsidRPr="009A57BD">
        <w:rPr>
          <w:rFonts w:ascii="Times New Roman" w:hAnsi="Times New Roman"/>
          <w:sz w:val="24"/>
          <w:szCs w:val="24"/>
        </w:rPr>
        <w:t xml:space="preserve">conclusions set forth in Largent’s report, the </w:t>
      </w:r>
      <w:proofErr w:type="gramStart"/>
      <w:r w:rsidRPr="009A57BD">
        <w:rPr>
          <w:rFonts w:ascii="Times New Roman" w:hAnsi="Times New Roman"/>
          <w:sz w:val="24"/>
          <w:szCs w:val="24"/>
        </w:rPr>
        <w:t>City</w:t>
      </w:r>
      <w:proofErr w:type="gramEnd"/>
      <w:r w:rsidRPr="009A57BD">
        <w:rPr>
          <w:rFonts w:ascii="Times New Roman" w:hAnsi="Times New Roman"/>
          <w:sz w:val="24"/>
          <w:szCs w:val="24"/>
        </w:rPr>
        <w:t xml:space="preserve"> removed</w:t>
      </w:r>
      <w:r>
        <w:rPr>
          <w:rFonts w:ascii="Times New Roman" w:hAnsi="Times New Roman"/>
          <w:sz w:val="24"/>
          <w:szCs w:val="24"/>
        </w:rPr>
        <w:t xml:space="preserve"> </w:t>
      </w:r>
      <w:r w:rsidRPr="009A57BD">
        <w:rPr>
          <w:rFonts w:ascii="Times New Roman" w:hAnsi="Times New Roman"/>
          <w:sz w:val="24"/>
          <w:szCs w:val="24"/>
        </w:rPr>
        <w:t>Hittle from his position as Fire Chief.</w:t>
      </w:r>
    </w:p>
    <w:p w14:paraId="2119E761" w14:textId="77777777" w:rsidR="00B34746" w:rsidRDefault="00B34746" w:rsidP="00B34746">
      <w:pPr>
        <w:pStyle w:val="NoSpacing"/>
        <w:ind w:left="720"/>
        <w:rPr>
          <w:rFonts w:ascii="Times New Roman" w:hAnsi="Times New Roman"/>
          <w:sz w:val="24"/>
          <w:szCs w:val="24"/>
        </w:rPr>
      </w:pPr>
    </w:p>
    <w:p w14:paraId="79CE2D55" w14:textId="77777777" w:rsidR="00B34746" w:rsidRDefault="00B34746" w:rsidP="00B34746">
      <w:pPr>
        <w:pStyle w:val="NoSpacing"/>
        <w:ind w:left="720"/>
        <w:rPr>
          <w:rFonts w:ascii="Times New Roman" w:hAnsi="Times New Roman"/>
          <w:sz w:val="24"/>
          <w:szCs w:val="24"/>
        </w:rPr>
      </w:pPr>
      <w:r>
        <w:rPr>
          <w:rFonts w:ascii="Times New Roman" w:hAnsi="Times New Roman"/>
          <w:sz w:val="24"/>
          <w:szCs w:val="24"/>
        </w:rPr>
        <w:t>***</w:t>
      </w:r>
    </w:p>
    <w:p w14:paraId="75ADFF73" w14:textId="77777777" w:rsidR="00B34746" w:rsidRDefault="00B34746" w:rsidP="00B34746">
      <w:pPr>
        <w:pStyle w:val="NoSpacing"/>
        <w:ind w:left="720"/>
        <w:rPr>
          <w:rFonts w:ascii="Times New Roman" w:hAnsi="Times New Roman"/>
          <w:sz w:val="24"/>
          <w:szCs w:val="24"/>
        </w:rPr>
      </w:pPr>
    </w:p>
    <w:p w14:paraId="2F2DDC6F" w14:textId="77777777" w:rsidR="00B34746" w:rsidRDefault="00B34746" w:rsidP="00B34746">
      <w:pPr>
        <w:pStyle w:val="NoSpacing"/>
        <w:ind w:left="720"/>
        <w:rPr>
          <w:rFonts w:ascii="Times New Roman" w:hAnsi="Times New Roman"/>
          <w:sz w:val="24"/>
          <w:szCs w:val="24"/>
        </w:rPr>
      </w:pPr>
      <w:r w:rsidRPr="00E2791B">
        <w:rPr>
          <w:rFonts w:ascii="Times New Roman" w:hAnsi="Times New Roman"/>
          <w:sz w:val="24"/>
          <w:szCs w:val="24"/>
        </w:rPr>
        <w:t>To summarize, we hold that, based on the record before</w:t>
      </w:r>
      <w:r>
        <w:rPr>
          <w:rFonts w:ascii="Times New Roman" w:hAnsi="Times New Roman"/>
          <w:sz w:val="24"/>
          <w:szCs w:val="24"/>
        </w:rPr>
        <w:t xml:space="preserve"> </w:t>
      </w:r>
      <w:r w:rsidRPr="00E2791B">
        <w:rPr>
          <w:rFonts w:ascii="Times New Roman" w:hAnsi="Times New Roman"/>
          <w:sz w:val="24"/>
          <w:szCs w:val="24"/>
        </w:rPr>
        <w:t>us, the district court’s granting of summary judgment in</w:t>
      </w:r>
      <w:r>
        <w:rPr>
          <w:rFonts w:ascii="Times New Roman" w:hAnsi="Times New Roman"/>
          <w:sz w:val="24"/>
          <w:szCs w:val="24"/>
        </w:rPr>
        <w:t xml:space="preserve"> </w:t>
      </w:r>
      <w:r w:rsidRPr="00E2791B">
        <w:rPr>
          <w:rFonts w:ascii="Times New Roman" w:hAnsi="Times New Roman"/>
          <w:sz w:val="24"/>
          <w:szCs w:val="24"/>
        </w:rPr>
        <w:t>Defendants’ favor was appropriate where Defendants’</w:t>
      </w:r>
      <w:r>
        <w:rPr>
          <w:rFonts w:ascii="Times New Roman" w:hAnsi="Times New Roman"/>
          <w:sz w:val="24"/>
          <w:szCs w:val="24"/>
        </w:rPr>
        <w:t xml:space="preserve"> l</w:t>
      </w:r>
      <w:r w:rsidRPr="005A0758">
        <w:rPr>
          <w:rFonts w:ascii="Times New Roman" w:hAnsi="Times New Roman"/>
          <w:sz w:val="24"/>
          <w:szCs w:val="24"/>
        </w:rPr>
        <w:t>egitimate, non-discriminatory reasons for firing Hittle were,</w:t>
      </w:r>
      <w:r>
        <w:rPr>
          <w:rFonts w:ascii="Times New Roman" w:hAnsi="Times New Roman"/>
          <w:sz w:val="24"/>
          <w:szCs w:val="24"/>
        </w:rPr>
        <w:t xml:space="preserve"> </w:t>
      </w:r>
      <w:r w:rsidRPr="005A0758">
        <w:rPr>
          <w:rFonts w:ascii="Times New Roman" w:hAnsi="Times New Roman"/>
          <w:sz w:val="24"/>
          <w:szCs w:val="24"/>
        </w:rPr>
        <w:t>in sum, sufficient to rebut Hittle’s evidence of</w:t>
      </w:r>
      <w:r>
        <w:rPr>
          <w:rFonts w:ascii="Times New Roman" w:hAnsi="Times New Roman"/>
          <w:sz w:val="24"/>
          <w:szCs w:val="24"/>
        </w:rPr>
        <w:t xml:space="preserve"> </w:t>
      </w:r>
      <w:r w:rsidRPr="005A0758">
        <w:rPr>
          <w:rFonts w:ascii="Times New Roman" w:hAnsi="Times New Roman"/>
          <w:sz w:val="24"/>
          <w:szCs w:val="24"/>
        </w:rPr>
        <w:t>discrimination, and Hittle has failed to persuasively argue</w:t>
      </w:r>
      <w:r>
        <w:rPr>
          <w:rFonts w:ascii="Times New Roman" w:hAnsi="Times New Roman"/>
          <w:sz w:val="24"/>
          <w:szCs w:val="24"/>
        </w:rPr>
        <w:t xml:space="preserve"> </w:t>
      </w:r>
      <w:r w:rsidRPr="005A0758">
        <w:rPr>
          <w:rFonts w:ascii="Times New Roman" w:hAnsi="Times New Roman"/>
          <w:sz w:val="24"/>
          <w:szCs w:val="24"/>
        </w:rPr>
        <w:t>that these non-discriminatory reasons were pretextual.</w:t>
      </w:r>
      <w:r>
        <w:rPr>
          <w:rFonts w:ascii="Times New Roman" w:hAnsi="Times New Roman"/>
          <w:sz w:val="24"/>
          <w:szCs w:val="24"/>
        </w:rPr>
        <w:t xml:space="preserve"> </w:t>
      </w:r>
      <w:r w:rsidRPr="005A0758">
        <w:rPr>
          <w:rFonts w:ascii="Times New Roman" w:hAnsi="Times New Roman"/>
          <w:sz w:val="24"/>
          <w:szCs w:val="24"/>
        </w:rPr>
        <w:t>When discriminatory remarks are merely quoting third</w:t>
      </w:r>
      <w:r>
        <w:rPr>
          <w:rFonts w:ascii="Times New Roman" w:hAnsi="Times New Roman"/>
          <w:sz w:val="24"/>
          <w:szCs w:val="24"/>
        </w:rPr>
        <w:t xml:space="preserve"> </w:t>
      </w:r>
      <w:r w:rsidRPr="005A0758">
        <w:rPr>
          <w:rFonts w:ascii="Times New Roman" w:hAnsi="Times New Roman"/>
          <w:sz w:val="24"/>
          <w:szCs w:val="24"/>
        </w:rPr>
        <w:t>parties and the real issue is public perception or other forms</w:t>
      </w:r>
      <w:r>
        <w:rPr>
          <w:rFonts w:ascii="Times New Roman" w:hAnsi="Times New Roman"/>
          <w:sz w:val="24"/>
          <w:szCs w:val="24"/>
        </w:rPr>
        <w:t xml:space="preserve"> </w:t>
      </w:r>
      <w:r w:rsidRPr="005A0758">
        <w:rPr>
          <w:rFonts w:ascii="Times New Roman" w:hAnsi="Times New Roman"/>
          <w:sz w:val="24"/>
          <w:szCs w:val="24"/>
        </w:rPr>
        <w:t>of misconduct (such as engaging in an activity that does not</w:t>
      </w:r>
      <w:r>
        <w:rPr>
          <w:rFonts w:ascii="Times New Roman" w:hAnsi="Times New Roman"/>
          <w:sz w:val="24"/>
          <w:szCs w:val="24"/>
        </w:rPr>
        <w:t xml:space="preserve"> </w:t>
      </w:r>
      <w:r w:rsidRPr="005A0758">
        <w:rPr>
          <w:rFonts w:ascii="Times New Roman" w:hAnsi="Times New Roman"/>
          <w:sz w:val="24"/>
          <w:szCs w:val="24"/>
        </w:rPr>
        <w:t>benefit the employer), there is no genuine issue of material</w:t>
      </w:r>
      <w:r>
        <w:rPr>
          <w:rFonts w:ascii="Times New Roman" w:hAnsi="Times New Roman"/>
          <w:sz w:val="24"/>
          <w:szCs w:val="24"/>
        </w:rPr>
        <w:t xml:space="preserve"> </w:t>
      </w:r>
      <w:r w:rsidRPr="005A0758">
        <w:rPr>
          <w:rFonts w:ascii="Times New Roman" w:hAnsi="Times New Roman"/>
          <w:sz w:val="24"/>
          <w:szCs w:val="24"/>
        </w:rPr>
        <w:t>fact that the employer was discriminatory. For the foregoing</w:t>
      </w:r>
      <w:r>
        <w:rPr>
          <w:rFonts w:ascii="Times New Roman" w:hAnsi="Times New Roman"/>
          <w:sz w:val="24"/>
          <w:szCs w:val="24"/>
        </w:rPr>
        <w:t xml:space="preserve"> </w:t>
      </w:r>
      <w:r w:rsidRPr="005A0758">
        <w:rPr>
          <w:rFonts w:ascii="Times New Roman" w:hAnsi="Times New Roman"/>
          <w:sz w:val="24"/>
          <w:szCs w:val="24"/>
        </w:rPr>
        <w:t>reasons, the judgment of the district court is AFFIRMED.</w:t>
      </w:r>
      <w:r>
        <w:rPr>
          <w:rFonts w:ascii="Times New Roman" w:hAnsi="Times New Roman"/>
          <w:sz w:val="24"/>
          <w:szCs w:val="24"/>
        </w:rPr>
        <w:t xml:space="preserve">” </w:t>
      </w:r>
      <w:hyperlink r:id="rId2651" w:history="1">
        <w:r w:rsidRPr="00065774">
          <w:rPr>
            <w:rStyle w:val="Hyperlink"/>
            <w:rFonts w:ascii="Times New Roman" w:hAnsi="Times New Roman"/>
            <w:sz w:val="24"/>
            <w:szCs w:val="24"/>
          </w:rPr>
          <w:t>https://cases.justia.com/federal/appellate-courts/ca9/22-15485/22-15485-2024-05-17.pdf?ts=1715961637</w:t>
        </w:r>
      </w:hyperlink>
      <w:r>
        <w:rPr>
          <w:rFonts w:ascii="Times New Roman" w:hAnsi="Times New Roman"/>
          <w:sz w:val="24"/>
          <w:szCs w:val="24"/>
        </w:rPr>
        <w:t xml:space="preserve"> </w:t>
      </w:r>
    </w:p>
    <w:p w14:paraId="0D6E5955" w14:textId="77777777" w:rsidR="00B34746" w:rsidRDefault="00B34746" w:rsidP="00B34746">
      <w:pPr>
        <w:pStyle w:val="NoSpacing"/>
        <w:rPr>
          <w:rFonts w:ascii="Times New Roman" w:hAnsi="Times New Roman"/>
          <w:sz w:val="24"/>
          <w:szCs w:val="24"/>
        </w:rPr>
      </w:pPr>
    </w:p>
    <w:p w14:paraId="5E34946E" w14:textId="77777777" w:rsidR="006428AD" w:rsidRPr="00D36E4C" w:rsidRDefault="006428AD" w:rsidP="006428AD">
      <w:pPr>
        <w:pStyle w:val="NoSpacing"/>
        <w:rPr>
          <w:rFonts w:ascii="Times New Roman" w:hAnsi="Times New Roman"/>
          <w:b/>
          <w:bCs/>
          <w:sz w:val="24"/>
          <w:szCs w:val="24"/>
        </w:rPr>
      </w:pPr>
      <w:r>
        <w:rPr>
          <w:rFonts w:ascii="Times New Roman" w:hAnsi="Times New Roman"/>
          <w:b/>
          <w:bCs/>
          <w:sz w:val="24"/>
          <w:szCs w:val="24"/>
        </w:rPr>
        <w:t xml:space="preserve">Legal Lesson Learned: Religious discrimination claim is very difficult to prove, particularly after outside investigator submits a 250-page report detailing leadership issues. </w:t>
      </w:r>
    </w:p>
    <w:p w14:paraId="222F1ED3" w14:textId="77777777" w:rsidR="006428AD" w:rsidRDefault="006428AD" w:rsidP="006428AD">
      <w:pPr>
        <w:pStyle w:val="NoSpacing"/>
        <w:rPr>
          <w:rFonts w:ascii="Times New Roman" w:hAnsi="Times New Roman"/>
          <w:sz w:val="24"/>
          <w:szCs w:val="24"/>
        </w:rPr>
      </w:pPr>
    </w:p>
    <w:p w14:paraId="04BE367C" w14:textId="77777777" w:rsidR="006428AD" w:rsidRDefault="006428AD" w:rsidP="006428AD">
      <w:pPr>
        <w:pStyle w:val="NoSpacing"/>
        <w:ind w:left="720"/>
        <w:rPr>
          <w:rFonts w:ascii="Times New Roman" w:hAnsi="Times New Roman"/>
          <w:sz w:val="24"/>
          <w:szCs w:val="24"/>
        </w:rPr>
      </w:pPr>
      <w:r>
        <w:rPr>
          <w:rFonts w:ascii="Times New Roman" w:hAnsi="Times New Roman"/>
          <w:sz w:val="24"/>
          <w:szCs w:val="24"/>
        </w:rPr>
        <w:lastRenderedPageBreak/>
        <w:t xml:space="preserve">Note: Here is the 3-Judge panel’s original Aug. 4, </w:t>
      </w:r>
      <w:proofErr w:type="gramStart"/>
      <w:r>
        <w:rPr>
          <w:rFonts w:ascii="Times New Roman" w:hAnsi="Times New Roman"/>
          <w:sz w:val="24"/>
          <w:szCs w:val="24"/>
        </w:rPr>
        <w:t>2023</w:t>
      </w:r>
      <w:proofErr w:type="gramEnd"/>
      <w:r>
        <w:rPr>
          <w:rFonts w:ascii="Times New Roman" w:hAnsi="Times New Roman"/>
          <w:sz w:val="24"/>
          <w:szCs w:val="24"/>
        </w:rPr>
        <w:t xml:space="preserve"> decision: </w:t>
      </w:r>
      <w:hyperlink r:id="rId2652" w:history="1">
        <w:r w:rsidRPr="00065774">
          <w:rPr>
            <w:rStyle w:val="Hyperlink"/>
            <w:rFonts w:ascii="Times New Roman" w:hAnsi="Times New Roman"/>
            <w:sz w:val="24"/>
            <w:szCs w:val="24"/>
          </w:rPr>
          <w:t>https://cdn.ca9.uscourts.gov/datastore/opinions/2023/08/04/22-15485.pdf</w:t>
        </w:r>
      </w:hyperlink>
      <w:r>
        <w:rPr>
          <w:rFonts w:ascii="Times New Roman" w:hAnsi="Times New Roman"/>
          <w:sz w:val="24"/>
          <w:szCs w:val="24"/>
        </w:rPr>
        <w:t xml:space="preserve"> </w:t>
      </w:r>
    </w:p>
    <w:p w14:paraId="546F6C32" w14:textId="77777777" w:rsidR="00BB3D8E" w:rsidRDefault="00BB3D8E" w:rsidP="00F91F9F">
      <w:pPr>
        <w:pStyle w:val="NoSpacing"/>
        <w:rPr>
          <w:rFonts w:ascii="Arial Black" w:hAnsi="Arial Black"/>
          <w:sz w:val="24"/>
          <w:szCs w:val="24"/>
        </w:rPr>
      </w:pPr>
    </w:p>
    <w:p w14:paraId="714A47CA" w14:textId="77777777" w:rsidR="00BB3D8E" w:rsidRDefault="00BB3D8E" w:rsidP="00F91F9F">
      <w:pPr>
        <w:pStyle w:val="NoSpacing"/>
        <w:rPr>
          <w:rFonts w:ascii="Arial Black" w:hAnsi="Arial Black"/>
          <w:sz w:val="24"/>
          <w:szCs w:val="24"/>
        </w:rPr>
      </w:pPr>
    </w:p>
    <w:p w14:paraId="26DC3301" w14:textId="77777777" w:rsidR="00BB3D8E" w:rsidRDefault="00BB3D8E" w:rsidP="00F91F9F">
      <w:pPr>
        <w:pStyle w:val="NoSpacing"/>
        <w:rPr>
          <w:rFonts w:ascii="Arial Black" w:hAnsi="Arial Black"/>
          <w:sz w:val="24"/>
          <w:szCs w:val="24"/>
        </w:rPr>
      </w:pPr>
    </w:p>
    <w:p w14:paraId="3D67BB98" w14:textId="49B10366" w:rsidR="00B55AFC" w:rsidRDefault="00536594" w:rsidP="00F91F9F">
      <w:pPr>
        <w:pStyle w:val="NoSpacing"/>
        <w:rPr>
          <w:rFonts w:ascii="Arial Black" w:hAnsi="Arial Black"/>
          <w:sz w:val="24"/>
          <w:szCs w:val="24"/>
        </w:rPr>
      </w:pPr>
      <w:r>
        <w:rPr>
          <w:rFonts w:ascii="Arial Black" w:hAnsi="Arial Black"/>
          <w:sz w:val="24"/>
          <w:szCs w:val="24"/>
        </w:rPr>
        <w:t>16-110</w:t>
      </w:r>
    </w:p>
    <w:p w14:paraId="573E9808" w14:textId="77777777" w:rsidR="00536594" w:rsidRDefault="00536594" w:rsidP="00536594">
      <w:pPr>
        <w:pStyle w:val="NormalWeb"/>
        <w:shd w:val="clear" w:color="auto" w:fill="FFFFFF"/>
        <w:spacing w:before="0" w:beforeAutospacing="0"/>
        <w:rPr>
          <w:rFonts w:ascii="Arial Black" w:hAnsi="Arial Black"/>
          <w:sz w:val="28"/>
          <w:szCs w:val="28"/>
        </w:rPr>
      </w:pPr>
      <w:r>
        <w:rPr>
          <w:rFonts w:ascii="Arial Black" w:hAnsi="Arial Black"/>
          <w:sz w:val="28"/>
          <w:szCs w:val="28"/>
        </w:rPr>
        <w:t xml:space="preserve">OR: FIRE CHIEF FIRED – SUES FF / BOARD DEFAMATION -MUST PROVE “MALICE” – STRONG “ANTI-SLAPP” DEFENSE </w:t>
      </w:r>
    </w:p>
    <w:p w14:paraId="175B5B4D" w14:textId="77777777" w:rsidR="00536594" w:rsidRDefault="00536594" w:rsidP="00536594">
      <w:pPr>
        <w:pStyle w:val="NormalWeb"/>
        <w:shd w:val="clear" w:color="auto" w:fill="FFFFFF"/>
        <w:spacing w:before="0" w:beforeAutospacing="0"/>
      </w:pPr>
      <w:r>
        <w:t xml:space="preserve">On May 15, 2024, in </w:t>
      </w:r>
      <w:r w:rsidRPr="00A82D99">
        <w:rPr>
          <w:u w:val="single"/>
        </w:rPr>
        <w:t xml:space="preserve">Joel A. Medina v. Columbia River Fire &amp; Rescue, an Oregon Municipality, </w:t>
      </w:r>
      <w:r w:rsidRPr="00263156">
        <w:rPr>
          <w:u w:val="single"/>
        </w:rPr>
        <w:t>Rhonda Melton</w:t>
      </w:r>
      <w:r>
        <w:t xml:space="preserve">, </w:t>
      </w:r>
      <w:r w:rsidRPr="00A82D99">
        <w:rPr>
          <w:u w:val="single"/>
        </w:rPr>
        <w:t>et al.,</w:t>
      </w:r>
      <w:r>
        <w:t xml:space="preserve"> United States District Court Judge Marco A. Hernandez, U.S. District Court for the District of Oregon, held that lawsuit may proceed and Chief as a public official can only succeed as can prove “malice” by those who spoke to FD Board and posted items on social media.  The judge denied Rhonda Melton’s defense motion to immediately dismiss the case under the Oregon “anti-SLAPP” statute (strategic lawsuit against public participation) which is designed to protect public and reporters when commenting on public officials.   In April 2023, Defendant Rhonda Melton prepared and published statements on social media about Plaintiff.  In </w:t>
      </w:r>
      <w:proofErr w:type="gramStart"/>
      <w:r>
        <w:t>May,</w:t>
      </w:r>
      <w:proofErr w:type="gramEnd"/>
      <w:r>
        <w:t xml:space="preserve"> 2023, three new members were elected to the Board, who sought his termination, and in August the Board terminated him. The Court ordered that the lawsuit proceed with pretrial discovery, noting that the Fire Chief as a public official must prove “malice” to sue others for defamation. The Court held”</w:t>
      </w:r>
    </w:p>
    <w:p w14:paraId="26CA5E22" w14:textId="77777777" w:rsidR="00536594" w:rsidRDefault="00536594" w:rsidP="00536594">
      <w:pPr>
        <w:pStyle w:val="NormalWeb"/>
        <w:ind w:left="720"/>
      </w:pPr>
      <w:r>
        <w:t>“Defendant asserts that her statements, both verbal and written, fall under two of the four categories of protected speech in [Oregon anti-SLAPP statute] O.R.S. 31.150(2). Def. Mot. 7-8. The statute protects “[a]</w:t>
      </w:r>
      <w:proofErr w:type="spellStart"/>
      <w:r>
        <w:t>ny</w:t>
      </w:r>
      <w:proofErr w:type="spellEnd"/>
      <w:r>
        <w:t xml:space="preserve"> oral statement made, or written statement or other document presented, in a place open to the public or a public forum in connection with an issue of public interest” and “[a]</w:t>
      </w:r>
      <w:proofErr w:type="spellStart"/>
      <w:r>
        <w:t>ny</w:t>
      </w:r>
      <w:proofErr w:type="spellEnd"/>
      <w:r>
        <w:t xml:space="preserve"> other conduct in furtherance of the exercise of the constitutional right of petition or the constitutional right of free speech in connection with a public issue or an issue of public interest.” O.R.S. 31.150(2)(c) and (d). </w:t>
      </w:r>
      <w:proofErr w:type="gramStart"/>
      <w:r>
        <w:t>Defendant</w:t>
      </w:r>
      <w:proofErr w:type="gramEnd"/>
      <w:r>
        <w:t xml:space="preserve"> made oral statements at CRFR Board meetings and posted written statements on the Columbia County Transparency &amp; Accountability Facebook page. Melton Decl. ¶¶ 2-7, </w:t>
      </w:r>
      <w:proofErr w:type="spellStart"/>
      <w:r>
        <w:t>Exs</w:t>
      </w:r>
      <w:proofErr w:type="spellEnd"/>
      <w:r>
        <w:t xml:space="preserve">. 1-5; Medina Decl. ¶¶ 5, 6, 8, 11; </w:t>
      </w:r>
      <w:proofErr w:type="spellStart"/>
      <w:r>
        <w:t>Exs</w:t>
      </w:r>
      <w:proofErr w:type="spellEnd"/>
      <w:r>
        <w:t xml:space="preserve">. 2, 3, 5, 8. In these statements, Defendant criticized actions Plaintiff took as CRFR Chief and expressed concerns about CRFR leadership. Plaintiff acknowledges that Defendant has met her initial burden to show that her statements were made in a public forum and in connection with an issue of public interest. Pl. Resp. 3, ECF 42. The Court agrees that Defendant has met her initial burden under the anti-SLAPP statute. </w:t>
      </w:r>
    </w:p>
    <w:p w14:paraId="3C8A0AEE" w14:textId="77777777" w:rsidR="00536594" w:rsidRDefault="00536594" w:rsidP="00536594">
      <w:pPr>
        <w:pStyle w:val="NormalWeb"/>
        <w:ind w:left="720"/>
      </w:pPr>
      <w:r>
        <w:t>***</w:t>
      </w:r>
    </w:p>
    <w:p w14:paraId="16D2185E" w14:textId="77777777" w:rsidR="00536594" w:rsidRDefault="00536594" w:rsidP="00536594">
      <w:pPr>
        <w:pStyle w:val="NormalWeb"/>
        <w:shd w:val="clear" w:color="auto" w:fill="FFFFFF"/>
        <w:spacing w:before="0" w:beforeAutospacing="0"/>
        <w:ind w:left="720"/>
      </w:pPr>
      <w:r>
        <w:t xml:space="preserve">However, factual issues preclude a determination of whether Plaintiff is likely to succeed on his claims. The Court therefore concludes that Plaintiff is entitled to </w:t>
      </w:r>
      <w:proofErr w:type="gramStart"/>
      <w:r>
        <w:t>discovery on</w:t>
      </w:r>
      <w:proofErr w:type="gramEnd"/>
      <w:r>
        <w:t xml:space="preserve"> those factual issues.</w:t>
      </w:r>
    </w:p>
    <w:p w14:paraId="14FD81B4" w14:textId="77777777" w:rsidR="00536594" w:rsidRDefault="00536594" w:rsidP="00536594">
      <w:pPr>
        <w:pStyle w:val="NormalWeb"/>
        <w:shd w:val="clear" w:color="auto" w:fill="FFFFFF"/>
        <w:spacing w:before="0" w:beforeAutospacing="0"/>
        <w:ind w:firstLine="720"/>
      </w:pPr>
      <w:r>
        <w:t>***</w:t>
      </w:r>
    </w:p>
    <w:p w14:paraId="5C6588AB" w14:textId="77777777" w:rsidR="00536594" w:rsidRDefault="00536594" w:rsidP="00536594">
      <w:pPr>
        <w:pStyle w:val="NormalWeb"/>
        <w:shd w:val="clear" w:color="auto" w:fill="FFFFFF"/>
        <w:spacing w:before="0" w:beforeAutospacing="0"/>
        <w:ind w:left="720"/>
      </w:pPr>
      <w:r>
        <w:t>To the extent Defendant's statements are actionable under the First Amendment, Plaintiff must be permitted to engage in discovery to determine whether they are true or false. While the purpose of Oregon's anti-SLAPP statute is to avoid extended proceedings on claims that improperly chill free speech, the Court must balance this against Plaintiff's right to fully litigate his claims.</w:t>
      </w:r>
    </w:p>
    <w:p w14:paraId="3E38DD64" w14:textId="77777777" w:rsidR="00536594" w:rsidRDefault="00536594" w:rsidP="00536594">
      <w:pPr>
        <w:pStyle w:val="NormalWeb"/>
        <w:shd w:val="clear" w:color="auto" w:fill="FFFFFF"/>
        <w:spacing w:before="0" w:beforeAutospacing="0"/>
        <w:ind w:left="720"/>
      </w:pPr>
      <w:r>
        <w:t>***</w:t>
      </w:r>
    </w:p>
    <w:p w14:paraId="269213EE" w14:textId="77777777" w:rsidR="00536594" w:rsidRDefault="00536594" w:rsidP="00536594">
      <w:pPr>
        <w:pStyle w:val="NormalWeb"/>
        <w:shd w:val="clear" w:color="auto" w:fill="FFFFFF"/>
        <w:spacing w:before="0" w:beforeAutospacing="0"/>
        <w:ind w:left="720"/>
      </w:pPr>
      <w:r>
        <w:t xml:space="preserve">Plaintiff also acknowledges that because he was a public official at the time Defendant made the statements and they concerned his actions as chief, he must show that Defendant made them with </w:t>
      </w:r>
      <w:r>
        <w:lastRenderedPageBreak/>
        <w:t xml:space="preserve">knowledge that they were false or in reckless disregard of whether they were true or false. Pl. Resp. 6 (citing </w:t>
      </w:r>
      <w:r>
        <w:rPr>
          <w:rStyle w:val="Emphasis"/>
          <w:rFonts w:eastAsiaTheme="majorEastAsia"/>
        </w:rPr>
        <w:t>New York Times Co. v. Sullivan</w:t>
      </w:r>
      <w:r>
        <w:t xml:space="preserve">, 376 U.S. 254, 279-80 (1964)).”  </w:t>
      </w:r>
      <w:hyperlink r:id="rId2653" w:history="1">
        <w:r w:rsidRPr="00DF21B2">
          <w:rPr>
            <w:rStyle w:val="Hyperlink"/>
          </w:rPr>
          <w:t>https://casetext.com/case/medina-v-columbia-river-fire-rescue</w:t>
        </w:r>
      </w:hyperlink>
      <w:r>
        <w:t xml:space="preserve"> </w:t>
      </w:r>
    </w:p>
    <w:p w14:paraId="6A4450C9" w14:textId="77777777" w:rsidR="00BB3D8E" w:rsidRDefault="00BB3D8E" w:rsidP="00BB3D8E">
      <w:pPr>
        <w:pStyle w:val="NormalWeb"/>
        <w:rPr>
          <w:b/>
          <w:bCs/>
        </w:rPr>
      </w:pPr>
      <w:r w:rsidRPr="00354274">
        <w:rPr>
          <w:b/>
          <w:bCs/>
        </w:rPr>
        <w:t xml:space="preserve">Legal Lesson Learned: </w:t>
      </w:r>
      <w:r>
        <w:rPr>
          <w:b/>
          <w:bCs/>
        </w:rPr>
        <w:t>The former Fire Chief has an uphill challenge – he must prove “malice” and FD Board members and others also have the “anti-SLAPP” statute as a defense.</w:t>
      </w:r>
    </w:p>
    <w:p w14:paraId="59DC1585" w14:textId="77777777" w:rsidR="00BB3D8E" w:rsidRPr="007879D8" w:rsidRDefault="00BB3D8E" w:rsidP="00BB3D8E">
      <w:pPr>
        <w:pStyle w:val="NormalWeb"/>
        <w:ind w:left="720"/>
      </w:pPr>
      <w:r w:rsidRPr="007879D8">
        <w:t>Note:</w:t>
      </w:r>
      <w:r>
        <w:t xml:space="preserve"> See “Reporters Committee </w:t>
      </w:r>
      <w:proofErr w:type="gramStart"/>
      <w:r>
        <w:t>For</w:t>
      </w:r>
      <w:proofErr w:type="gramEnd"/>
      <w:r>
        <w:t xml:space="preserve"> Predom of the Press – Anti-SLAPP Legal Guide.” </w:t>
      </w:r>
      <w:hyperlink r:id="rId2654" w:history="1">
        <w:r w:rsidRPr="00DF21B2">
          <w:rPr>
            <w:rStyle w:val="Hyperlink"/>
          </w:rPr>
          <w:t>https://www.rcfp.org/anti-slapp-legal-guide/</w:t>
        </w:r>
      </w:hyperlink>
      <w:r>
        <w:t xml:space="preserve"> </w:t>
      </w:r>
    </w:p>
    <w:p w14:paraId="6B327BBC" w14:textId="77777777" w:rsidR="00BB3D8E" w:rsidRDefault="00BB3D8E" w:rsidP="00BB3D8E">
      <w:pPr>
        <w:pStyle w:val="NormalWeb"/>
        <w:ind w:left="1440"/>
      </w:pPr>
      <w:r>
        <w:t>“Anti-SLAPP laws provide defendants a way to quickly dismiss meritless lawsuits — known as SLAPPs or strategic lawsuits against public participation — filed against them for exercising speech, press, assembly, petition, or association rights. These laws aim to discourage the filing of SLAPP suits and prevent them from imposing significant litigation costs and chilling protected speech. In recent years, several states have adopted or amended their anti-SLAPP laws. As of May 2024, 34 states and the District of Columbia have anti-SLAPP laws, including Arizona, Arkansas, California, Colorado, Connecticut, Delaware, Florida, Georgia, Hawaii, Illinois, Indiana, Kansas, Kentucky, Louisiana, Maine, Maryland, Massachusetts, Minnesota, Missouri, Nebraska, Nevada, New Jersey, New Mexico, New York, Oklahoma, Oregon, Pennsylvania, Rhode Island, Tennessee, Texas, Utah, Vermont, Virginia, and Washington.”</w:t>
      </w:r>
    </w:p>
    <w:p w14:paraId="6A0830A2" w14:textId="77777777" w:rsidR="00536594" w:rsidRDefault="00536594" w:rsidP="00F91F9F">
      <w:pPr>
        <w:pStyle w:val="NoSpacing"/>
        <w:rPr>
          <w:rFonts w:ascii="Arial Black" w:hAnsi="Arial Black"/>
          <w:sz w:val="24"/>
          <w:szCs w:val="24"/>
        </w:rPr>
      </w:pPr>
    </w:p>
    <w:p w14:paraId="10143062" w14:textId="77777777" w:rsidR="00B55AFC" w:rsidRDefault="00B55AFC" w:rsidP="00F91F9F">
      <w:pPr>
        <w:pStyle w:val="NoSpacing"/>
        <w:rPr>
          <w:rFonts w:ascii="Arial Black" w:hAnsi="Arial Black"/>
          <w:sz w:val="24"/>
          <w:szCs w:val="24"/>
        </w:rPr>
      </w:pPr>
    </w:p>
    <w:p w14:paraId="5FCFCBF7" w14:textId="77777777" w:rsidR="00B55AFC" w:rsidRDefault="00B55AFC" w:rsidP="00F91F9F">
      <w:pPr>
        <w:pStyle w:val="NoSpacing"/>
        <w:rPr>
          <w:rFonts w:ascii="Arial Black" w:hAnsi="Arial Black"/>
          <w:sz w:val="24"/>
          <w:szCs w:val="24"/>
        </w:rPr>
      </w:pPr>
    </w:p>
    <w:p w14:paraId="69C00C79" w14:textId="7190EC8D" w:rsidR="00F91F9F" w:rsidRDefault="00F91F9F" w:rsidP="00F91F9F">
      <w:pPr>
        <w:pStyle w:val="NoSpacing"/>
        <w:rPr>
          <w:rFonts w:ascii="Arial Black" w:hAnsi="Arial Black"/>
          <w:sz w:val="24"/>
          <w:szCs w:val="24"/>
        </w:rPr>
      </w:pPr>
      <w:r>
        <w:rPr>
          <w:rFonts w:ascii="Arial Black" w:hAnsi="Arial Black"/>
          <w:sz w:val="24"/>
          <w:szCs w:val="24"/>
        </w:rPr>
        <w:t>16-109</w:t>
      </w:r>
    </w:p>
    <w:p w14:paraId="3FC639D7" w14:textId="77777777" w:rsidR="001D190A" w:rsidRDefault="001D190A" w:rsidP="00F326E5">
      <w:pPr>
        <w:pStyle w:val="NoSpacing"/>
        <w:rPr>
          <w:rFonts w:ascii="Arial Black" w:hAnsi="Arial Black"/>
          <w:sz w:val="24"/>
          <w:szCs w:val="24"/>
        </w:rPr>
      </w:pPr>
    </w:p>
    <w:p w14:paraId="4A3F40C7" w14:textId="77777777" w:rsidR="00F91F9F" w:rsidRPr="00E670DB" w:rsidRDefault="00F91F9F" w:rsidP="00F91F9F">
      <w:pPr>
        <w:pStyle w:val="NormalWeb"/>
        <w:spacing w:before="0" w:beforeAutospacing="0"/>
        <w:rPr>
          <w:rFonts w:ascii="Arial Black" w:hAnsi="Arial Black"/>
          <w:sz w:val="28"/>
          <w:szCs w:val="28"/>
        </w:rPr>
      </w:pPr>
      <w:r>
        <w:rPr>
          <w:rFonts w:ascii="Arial Black" w:hAnsi="Arial Black"/>
          <w:sz w:val="28"/>
          <w:szCs w:val="28"/>
        </w:rPr>
        <w:t>IL: FF PLED GUILTY – SEX 17-YR OLD FD CADET – AFTER RETIRED HIS PENSION WAS REVOKED - 5 YRS LATER</w:t>
      </w:r>
    </w:p>
    <w:p w14:paraId="77A4F6EB" w14:textId="77777777" w:rsidR="00F91F9F" w:rsidRDefault="00F91F9F" w:rsidP="00F91F9F">
      <w:pPr>
        <w:pStyle w:val="NoSpacing"/>
        <w:rPr>
          <w:rFonts w:ascii="Times New Roman" w:hAnsi="Times New Roman"/>
          <w:sz w:val="24"/>
          <w:szCs w:val="24"/>
        </w:rPr>
      </w:pPr>
      <w:r>
        <w:rPr>
          <w:rFonts w:ascii="Times New Roman" w:hAnsi="Times New Roman"/>
          <w:sz w:val="24"/>
          <w:szCs w:val="24"/>
        </w:rPr>
        <w:t xml:space="preserve">On March 20, 2024, in </w:t>
      </w:r>
      <w:r w:rsidRPr="00B524D0">
        <w:rPr>
          <w:rFonts w:ascii="Times New Roman" w:hAnsi="Times New Roman"/>
          <w:sz w:val="24"/>
          <w:szCs w:val="24"/>
          <w:u w:val="single"/>
        </w:rPr>
        <w:t>John Trapp v. City of Burbank Firefighters’ Pension Fund, et al</w:t>
      </w:r>
      <w:r>
        <w:rPr>
          <w:rFonts w:ascii="Times New Roman" w:hAnsi="Times New Roman"/>
          <w:sz w:val="24"/>
          <w:szCs w:val="24"/>
        </w:rPr>
        <w:t xml:space="preserve">., the Appellate Court of Illinois, First Judicial District, held (3 to 0) that the Pension Board and trial court judge properly held that the firefighter, who had sex with a 17 year-old-cadet when he was still employed as a firefighter, can lose his pension five years after he retired. </w:t>
      </w:r>
    </w:p>
    <w:p w14:paraId="3A9FDCBC" w14:textId="77777777" w:rsidR="00744AE5" w:rsidRDefault="00744AE5" w:rsidP="00744AE5">
      <w:pPr>
        <w:pStyle w:val="NoSpacing"/>
        <w:rPr>
          <w:rFonts w:ascii="Times New Roman" w:hAnsi="Times New Roman"/>
          <w:sz w:val="24"/>
          <w:szCs w:val="24"/>
          <w:shd w:val="clear" w:color="auto" w:fill="FFFFFF"/>
        </w:rPr>
      </w:pPr>
    </w:p>
    <w:p w14:paraId="0B8E65DE" w14:textId="6891C0D7" w:rsidR="00744AE5" w:rsidRPr="004C0299" w:rsidRDefault="00744AE5" w:rsidP="00744AE5">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7B19102C" w14:textId="77777777" w:rsidR="00744AE5" w:rsidRDefault="00744AE5" w:rsidP="00F91F9F">
      <w:pPr>
        <w:pStyle w:val="NoSpacing"/>
        <w:rPr>
          <w:rFonts w:ascii="Times New Roman" w:hAnsi="Times New Roman"/>
          <w:sz w:val="24"/>
          <w:szCs w:val="24"/>
        </w:rPr>
      </w:pPr>
    </w:p>
    <w:p w14:paraId="67A09DF9" w14:textId="77777777" w:rsidR="00F91F9F" w:rsidRDefault="00F91F9F" w:rsidP="00F91F9F">
      <w:pPr>
        <w:pStyle w:val="NoSpacing"/>
        <w:ind w:left="720"/>
        <w:rPr>
          <w:rFonts w:ascii="Times New Roman" w:hAnsi="Times New Roman"/>
          <w:sz w:val="24"/>
          <w:szCs w:val="24"/>
        </w:rPr>
      </w:pPr>
      <w:r>
        <w:rPr>
          <w:rFonts w:ascii="Times New Roman" w:hAnsi="Times New Roman"/>
          <w:sz w:val="24"/>
          <w:szCs w:val="24"/>
        </w:rPr>
        <w:t>“</w:t>
      </w:r>
      <w:r w:rsidRPr="000B2A57">
        <w:rPr>
          <w:rFonts w:ascii="Times New Roman" w:hAnsi="Times New Roman"/>
          <w:sz w:val="24"/>
          <w:szCs w:val="24"/>
        </w:rPr>
        <w:t xml:space="preserve">Section 4-138 of the Code provides as follows: </w:t>
      </w:r>
      <w:r>
        <w:rPr>
          <w:rFonts w:ascii="Times New Roman" w:hAnsi="Times New Roman"/>
          <w:sz w:val="24"/>
          <w:szCs w:val="24"/>
        </w:rPr>
        <w:t>‘</w:t>
      </w:r>
      <w:r w:rsidRPr="000B2A57">
        <w:rPr>
          <w:rFonts w:ascii="Times New Roman" w:hAnsi="Times New Roman"/>
          <w:sz w:val="24"/>
          <w:szCs w:val="24"/>
        </w:rPr>
        <w:t>None of the benefits provided under this</w:t>
      </w:r>
      <w:r>
        <w:rPr>
          <w:rFonts w:ascii="Times New Roman" w:hAnsi="Times New Roman"/>
          <w:sz w:val="24"/>
          <w:szCs w:val="24"/>
        </w:rPr>
        <w:t xml:space="preserve"> </w:t>
      </w:r>
      <w:r w:rsidRPr="000B2A57">
        <w:rPr>
          <w:rFonts w:ascii="Times New Roman" w:hAnsi="Times New Roman"/>
          <w:sz w:val="24"/>
          <w:szCs w:val="24"/>
        </w:rPr>
        <w:t>Article shall be paid to any person who is convicted of any felony relating to or arising out of or</w:t>
      </w:r>
      <w:r>
        <w:rPr>
          <w:rFonts w:ascii="Times New Roman" w:hAnsi="Times New Roman"/>
          <w:sz w:val="24"/>
          <w:szCs w:val="24"/>
        </w:rPr>
        <w:t xml:space="preserve"> </w:t>
      </w:r>
      <w:r w:rsidRPr="000B2A57">
        <w:rPr>
          <w:rFonts w:ascii="Times New Roman" w:hAnsi="Times New Roman"/>
          <w:sz w:val="24"/>
          <w:szCs w:val="24"/>
        </w:rPr>
        <w:t>in connection with service as a firefighter.</w:t>
      </w:r>
      <w:r>
        <w:rPr>
          <w:rFonts w:ascii="Times New Roman" w:hAnsi="Times New Roman"/>
          <w:sz w:val="24"/>
          <w:szCs w:val="24"/>
        </w:rPr>
        <w:t>’</w:t>
      </w:r>
      <w:r w:rsidRPr="000B2A57">
        <w:rPr>
          <w:rFonts w:ascii="Times New Roman" w:hAnsi="Times New Roman"/>
          <w:sz w:val="24"/>
          <w:szCs w:val="24"/>
        </w:rPr>
        <w:t xml:space="preserve"> 40 ILCS 5/4-138 (West 2022).</w:t>
      </w:r>
    </w:p>
    <w:p w14:paraId="17D94535" w14:textId="77777777" w:rsidR="00F91F9F" w:rsidRDefault="00F91F9F" w:rsidP="00F91F9F">
      <w:pPr>
        <w:pStyle w:val="NoSpacing"/>
        <w:ind w:left="720"/>
        <w:rPr>
          <w:rFonts w:ascii="Times New Roman" w:hAnsi="Times New Roman"/>
          <w:sz w:val="24"/>
          <w:szCs w:val="24"/>
        </w:rPr>
      </w:pPr>
    </w:p>
    <w:p w14:paraId="0540BD60" w14:textId="77777777" w:rsidR="00F91F9F" w:rsidRDefault="00F91F9F" w:rsidP="00F91F9F">
      <w:pPr>
        <w:pStyle w:val="NoSpacing"/>
        <w:ind w:left="720"/>
        <w:rPr>
          <w:rFonts w:ascii="Times New Roman" w:hAnsi="Times New Roman"/>
          <w:sz w:val="24"/>
          <w:szCs w:val="24"/>
        </w:rPr>
      </w:pPr>
      <w:r>
        <w:rPr>
          <w:rFonts w:ascii="Times New Roman" w:hAnsi="Times New Roman"/>
          <w:sz w:val="24"/>
          <w:szCs w:val="24"/>
        </w:rPr>
        <w:t>***</w:t>
      </w:r>
    </w:p>
    <w:p w14:paraId="1FADCB6B" w14:textId="77777777" w:rsidR="00F91F9F" w:rsidRDefault="00F91F9F" w:rsidP="00F91F9F">
      <w:pPr>
        <w:pStyle w:val="NoSpacing"/>
        <w:rPr>
          <w:rFonts w:ascii="Times New Roman" w:hAnsi="Times New Roman"/>
          <w:sz w:val="24"/>
          <w:szCs w:val="24"/>
        </w:rPr>
      </w:pPr>
      <w:r>
        <w:rPr>
          <w:rFonts w:ascii="Times New Roman" w:hAnsi="Times New Roman"/>
          <w:sz w:val="24"/>
          <w:szCs w:val="24"/>
        </w:rPr>
        <w:tab/>
      </w:r>
    </w:p>
    <w:p w14:paraId="69617C8B" w14:textId="77777777" w:rsidR="00F91F9F" w:rsidRPr="000307C4" w:rsidRDefault="00F91F9F" w:rsidP="00F91F9F">
      <w:pPr>
        <w:pStyle w:val="NoSpacing"/>
        <w:ind w:firstLine="720"/>
        <w:rPr>
          <w:rFonts w:ascii="Times New Roman" w:hAnsi="Times New Roman"/>
          <w:sz w:val="24"/>
          <w:szCs w:val="24"/>
        </w:rPr>
      </w:pPr>
      <w:r w:rsidRPr="000307C4">
        <w:rPr>
          <w:rFonts w:ascii="Times New Roman" w:hAnsi="Times New Roman"/>
          <w:sz w:val="24"/>
          <w:szCs w:val="24"/>
        </w:rPr>
        <w:t>Here, plaintiff was plainly ineligible for a pension benefit under the terms of section</w:t>
      </w:r>
    </w:p>
    <w:p w14:paraId="5BF3D4EF" w14:textId="77777777" w:rsidR="00F91F9F" w:rsidRDefault="00F91F9F" w:rsidP="00F91F9F">
      <w:pPr>
        <w:pStyle w:val="NoSpacing"/>
        <w:ind w:left="720"/>
        <w:rPr>
          <w:rFonts w:ascii="Times New Roman" w:hAnsi="Times New Roman"/>
          <w:sz w:val="24"/>
          <w:szCs w:val="24"/>
        </w:rPr>
      </w:pPr>
      <w:r w:rsidRPr="000307C4">
        <w:rPr>
          <w:rFonts w:ascii="Times New Roman" w:hAnsi="Times New Roman"/>
          <w:sz w:val="24"/>
          <w:szCs w:val="24"/>
        </w:rPr>
        <w:t>4-138. The Board was therefore required by statute to divest plaintiff of his pension award because</w:t>
      </w:r>
      <w:r>
        <w:rPr>
          <w:rFonts w:ascii="Times New Roman" w:hAnsi="Times New Roman"/>
          <w:sz w:val="24"/>
          <w:szCs w:val="24"/>
        </w:rPr>
        <w:t xml:space="preserve"> </w:t>
      </w:r>
      <w:r w:rsidRPr="000307C4">
        <w:rPr>
          <w:rFonts w:ascii="Times New Roman" w:hAnsi="Times New Roman"/>
          <w:sz w:val="24"/>
          <w:szCs w:val="24"/>
        </w:rPr>
        <w:t>it no longer had the power to pay that money pursuant to section 4-138.</w:t>
      </w:r>
    </w:p>
    <w:p w14:paraId="343CB901" w14:textId="77777777" w:rsidR="00F91F9F" w:rsidRDefault="00F91F9F" w:rsidP="00F91F9F">
      <w:pPr>
        <w:pStyle w:val="NoSpacing"/>
        <w:ind w:left="720"/>
        <w:rPr>
          <w:rFonts w:ascii="Times New Roman" w:hAnsi="Times New Roman"/>
          <w:sz w:val="24"/>
          <w:szCs w:val="24"/>
        </w:rPr>
      </w:pPr>
    </w:p>
    <w:p w14:paraId="18922F96" w14:textId="77777777" w:rsidR="00F91F9F" w:rsidRPr="00642077" w:rsidRDefault="00F91F9F" w:rsidP="00F91F9F">
      <w:pPr>
        <w:pStyle w:val="NoSpacing"/>
        <w:ind w:firstLine="720"/>
        <w:rPr>
          <w:rFonts w:ascii="Times New Roman" w:hAnsi="Times New Roman"/>
          <w:sz w:val="24"/>
          <w:szCs w:val="24"/>
        </w:rPr>
      </w:pPr>
      <w:r w:rsidRPr="00642077">
        <w:rPr>
          <w:rFonts w:ascii="Times New Roman" w:hAnsi="Times New Roman"/>
          <w:sz w:val="24"/>
          <w:szCs w:val="24"/>
        </w:rPr>
        <w:t xml:space="preserve">Nonetheless, plaintiff argues </w:t>
      </w:r>
      <w:proofErr w:type="gramStart"/>
      <w:r w:rsidRPr="00642077">
        <w:rPr>
          <w:rFonts w:ascii="Times New Roman" w:hAnsi="Times New Roman"/>
          <w:sz w:val="24"/>
          <w:szCs w:val="24"/>
        </w:rPr>
        <w:t>that,</w:t>
      </w:r>
      <w:proofErr w:type="gramEnd"/>
      <w:r w:rsidRPr="00642077">
        <w:rPr>
          <w:rFonts w:ascii="Times New Roman" w:hAnsi="Times New Roman"/>
          <w:sz w:val="24"/>
          <w:szCs w:val="24"/>
        </w:rPr>
        <w:t xml:space="preserve"> at the time the Board granted his pension benefit</w:t>
      </w:r>
    </w:p>
    <w:p w14:paraId="3B384743" w14:textId="77777777" w:rsidR="00F91F9F" w:rsidRPr="00642077" w:rsidRDefault="00F91F9F" w:rsidP="00F91F9F">
      <w:pPr>
        <w:pStyle w:val="NoSpacing"/>
        <w:ind w:left="720"/>
        <w:rPr>
          <w:rFonts w:ascii="Times New Roman" w:hAnsi="Times New Roman"/>
          <w:sz w:val="24"/>
          <w:szCs w:val="24"/>
        </w:rPr>
      </w:pPr>
      <w:r w:rsidRPr="00642077">
        <w:rPr>
          <w:rFonts w:ascii="Times New Roman" w:hAnsi="Times New Roman"/>
          <w:sz w:val="24"/>
          <w:szCs w:val="24"/>
        </w:rPr>
        <w:t xml:space="preserve">application, it knew of the </w:t>
      </w:r>
      <w:r>
        <w:rPr>
          <w:rFonts w:ascii="Times New Roman" w:hAnsi="Times New Roman"/>
          <w:sz w:val="24"/>
          <w:szCs w:val="24"/>
        </w:rPr>
        <w:t>‘</w:t>
      </w:r>
      <w:r w:rsidRPr="00642077">
        <w:rPr>
          <w:rFonts w:ascii="Times New Roman" w:hAnsi="Times New Roman"/>
          <w:sz w:val="24"/>
          <w:szCs w:val="24"/>
        </w:rPr>
        <w:t>underlying facts of the allegations against [him]</w:t>
      </w:r>
      <w:r>
        <w:rPr>
          <w:rFonts w:ascii="Times New Roman" w:hAnsi="Times New Roman"/>
          <w:sz w:val="24"/>
          <w:szCs w:val="24"/>
        </w:rPr>
        <w:t>’</w:t>
      </w:r>
      <w:r w:rsidRPr="00642077">
        <w:rPr>
          <w:rFonts w:ascii="Times New Roman" w:hAnsi="Times New Roman"/>
          <w:sz w:val="24"/>
          <w:szCs w:val="24"/>
        </w:rPr>
        <w:t xml:space="preserve"> but failed to retain</w:t>
      </w:r>
      <w:r>
        <w:rPr>
          <w:rFonts w:ascii="Times New Roman" w:hAnsi="Times New Roman"/>
          <w:sz w:val="24"/>
          <w:szCs w:val="24"/>
        </w:rPr>
        <w:t xml:space="preserve"> </w:t>
      </w:r>
      <w:r w:rsidRPr="00642077">
        <w:rPr>
          <w:rFonts w:ascii="Times New Roman" w:hAnsi="Times New Roman"/>
          <w:sz w:val="24"/>
          <w:szCs w:val="24"/>
        </w:rPr>
        <w:t>jurisdiction</w:t>
      </w:r>
      <w:r>
        <w:rPr>
          <w:rFonts w:ascii="Times New Roman" w:hAnsi="Times New Roman"/>
          <w:sz w:val="24"/>
          <w:szCs w:val="24"/>
        </w:rPr>
        <w:t>’</w:t>
      </w:r>
      <w:r w:rsidRPr="00642077">
        <w:rPr>
          <w:rFonts w:ascii="Times New Roman" w:hAnsi="Times New Roman"/>
          <w:sz w:val="24"/>
          <w:szCs w:val="24"/>
        </w:rPr>
        <w:t xml:space="preserve"> pending the outcome of the investigation. Plaintiff then concludes that the Board’s</w:t>
      </w:r>
      <w:r>
        <w:rPr>
          <w:rFonts w:ascii="Times New Roman" w:hAnsi="Times New Roman"/>
          <w:sz w:val="24"/>
          <w:szCs w:val="24"/>
        </w:rPr>
        <w:t xml:space="preserve"> </w:t>
      </w:r>
      <w:r w:rsidRPr="00642077">
        <w:rPr>
          <w:rFonts w:ascii="Times New Roman" w:hAnsi="Times New Roman"/>
          <w:sz w:val="24"/>
          <w:szCs w:val="24"/>
        </w:rPr>
        <w:t xml:space="preserve">failure to do so deprived it of jurisdiction to </w:t>
      </w:r>
      <w:r>
        <w:rPr>
          <w:rFonts w:ascii="Times New Roman" w:hAnsi="Times New Roman"/>
          <w:sz w:val="24"/>
          <w:szCs w:val="24"/>
        </w:rPr>
        <w:t>‘</w:t>
      </w:r>
      <w:r w:rsidRPr="00642077">
        <w:rPr>
          <w:rFonts w:ascii="Times New Roman" w:hAnsi="Times New Roman"/>
          <w:sz w:val="24"/>
          <w:szCs w:val="24"/>
        </w:rPr>
        <w:t>review *** and reverse its September 12, 2017,</w:t>
      </w:r>
      <w:r>
        <w:rPr>
          <w:rFonts w:ascii="Times New Roman" w:hAnsi="Times New Roman"/>
          <w:sz w:val="24"/>
          <w:szCs w:val="24"/>
        </w:rPr>
        <w:t xml:space="preserve"> </w:t>
      </w:r>
      <w:r w:rsidRPr="00642077">
        <w:rPr>
          <w:rFonts w:ascii="Times New Roman" w:hAnsi="Times New Roman"/>
          <w:sz w:val="24"/>
          <w:szCs w:val="24"/>
        </w:rPr>
        <w:t xml:space="preserve">administrative </w:t>
      </w:r>
      <w:r w:rsidRPr="00642077">
        <w:rPr>
          <w:rFonts w:ascii="Times New Roman" w:hAnsi="Times New Roman"/>
          <w:sz w:val="24"/>
          <w:szCs w:val="24"/>
        </w:rPr>
        <w:lastRenderedPageBreak/>
        <w:t>decision.</w:t>
      </w:r>
      <w:r>
        <w:rPr>
          <w:rFonts w:ascii="Times New Roman" w:hAnsi="Times New Roman"/>
          <w:sz w:val="24"/>
          <w:szCs w:val="24"/>
        </w:rPr>
        <w:t>’</w:t>
      </w:r>
      <w:r w:rsidRPr="00642077">
        <w:rPr>
          <w:rFonts w:ascii="Times New Roman" w:hAnsi="Times New Roman"/>
          <w:sz w:val="24"/>
          <w:szCs w:val="24"/>
        </w:rPr>
        <w:t xml:space="preserve"> As noted above, the Board’s September 2022 decision was the result of</w:t>
      </w:r>
      <w:r>
        <w:rPr>
          <w:rFonts w:ascii="Times New Roman" w:hAnsi="Times New Roman"/>
          <w:sz w:val="24"/>
          <w:szCs w:val="24"/>
        </w:rPr>
        <w:t xml:space="preserve"> </w:t>
      </w:r>
      <w:r w:rsidRPr="00642077">
        <w:rPr>
          <w:rFonts w:ascii="Times New Roman" w:hAnsi="Times New Roman"/>
          <w:sz w:val="24"/>
          <w:szCs w:val="24"/>
        </w:rPr>
        <w:t>a new action, not a reversal of its September 2017 decision. Moreover, plaintiff’s suggestion that</w:t>
      </w:r>
      <w:r>
        <w:rPr>
          <w:rFonts w:ascii="Times New Roman" w:hAnsi="Times New Roman"/>
          <w:sz w:val="24"/>
          <w:szCs w:val="24"/>
        </w:rPr>
        <w:t xml:space="preserve"> </w:t>
      </w:r>
      <w:r w:rsidRPr="00642077">
        <w:rPr>
          <w:rFonts w:ascii="Times New Roman" w:hAnsi="Times New Roman"/>
          <w:sz w:val="24"/>
          <w:szCs w:val="24"/>
        </w:rPr>
        <w:t>the Board retain jurisdiction to enable it to divest a member of his award following a duty-related</w:t>
      </w:r>
      <w:r>
        <w:rPr>
          <w:rFonts w:ascii="Times New Roman" w:hAnsi="Times New Roman"/>
          <w:sz w:val="24"/>
          <w:szCs w:val="24"/>
        </w:rPr>
        <w:t xml:space="preserve"> </w:t>
      </w:r>
      <w:r w:rsidRPr="00642077">
        <w:rPr>
          <w:rFonts w:ascii="Times New Roman" w:hAnsi="Times New Roman"/>
          <w:sz w:val="24"/>
          <w:szCs w:val="24"/>
        </w:rPr>
        <w:t>felony conviction would require the Board to retain jurisdiction in every granting of a member’s</w:t>
      </w:r>
      <w:r>
        <w:rPr>
          <w:rFonts w:ascii="Times New Roman" w:hAnsi="Times New Roman"/>
          <w:sz w:val="24"/>
          <w:szCs w:val="24"/>
        </w:rPr>
        <w:t xml:space="preserve"> </w:t>
      </w:r>
      <w:r w:rsidRPr="00642077">
        <w:rPr>
          <w:rFonts w:ascii="Times New Roman" w:hAnsi="Times New Roman"/>
          <w:sz w:val="24"/>
          <w:szCs w:val="24"/>
        </w:rPr>
        <w:t>application for a pension benefit. Plaintiff provides no indication—and we have found none—that</w:t>
      </w:r>
      <w:r>
        <w:rPr>
          <w:rFonts w:ascii="Times New Roman" w:hAnsi="Times New Roman"/>
          <w:sz w:val="24"/>
          <w:szCs w:val="24"/>
        </w:rPr>
        <w:t xml:space="preserve"> </w:t>
      </w:r>
      <w:r w:rsidRPr="00642077">
        <w:rPr>
          <w:rFonts w:ascii="Times New Roman" w:hAnsi="Times New Roman"/>
          <w:sz w:val="24"/>
          <w:szCs w:val="24"/>
        </w:rPr>
        <w:t>the legislature intended such an absurdity.</w:t>
      </w:r>
      <w:r>
        <w:rPr>
          <w:rFonts w:ascii="Times New Roman" w:hAnsi="Times New Roman"/>
          <w:sz w:val="24"/>
          <w:szCs w:val="24"/>
        </w:rPr>
        <w:t xml:space="preserve">”  </w:t>
      </w:r>
      <w:hyperlink r:id="rId2655" w:history="1">
        <w:r w:rsidRPr="0090046C">
          <w:rPr>
            <w:rStyle w:val="Hyperlink"/>
            <w:rFonts w:ascii="Times New Roman" w:hAnsi="Times New Roman"/>
            <w:sz w:val="24"/>
            <w:szCs w:val="24"/>
          </w:rPr>
          <w:t>https://ilcourtsaudio.blob.core.windows.net/antilles-resources/resources/3038c42d-d9bb-4837-b172-ba33498af3cf/Trapp%20v.%20City%20of%20Burbank%20Firefighters'%20Pension%20Fund,%202024%20IL%20App%20(1st)%20231311-U.pdf</w:t>
        </w:r>
      </w:hyperlink>
      <w:r>
        <w:rPr>
          <w:rFonts w:ascii="Times New Roman" w:hAnsi="Times New Roman"/>
          <w:sz w:val="24"/>
          <w:szCs w:val="24"/>
        </w:rPr>
        <w:t xml:space="preserve"> </w:t>
      </w:r>
    </w:p>
    <w:p w14:paraId="7912B0E6" w14:textId="77777777" w:rsidR="00F91F9F" w:rsidRDefault="00F91F9F" w:rsidP="00F91F9F">
      <w:pPr>
        <w:pStyle w:val="NoSpacing"/>
        <w:rPr>
          <w:rFonts w:ascii="Times New Roman" w:hAnsi="Times New Roman"/>
          <w:sz w:val="24"/>
          <w:szCs w:val="24"/>
        </w:rPr>
      </w:pPr>
    </w:p>
    <w:p w14:paraId="4372954F" w14:textId="77777777" w:rsidR="00F91F9F" w:rsidRDefault="00F91F9F" w:rsidP="00F91F9F">
      <w:pPr>
        <w:pStyle w:val="NoSpacing"/>
        <w:ind w:left="720"/>
        <w:rPr>
          <w:rFonts w:ascii="Times New Roman" w:hAnsi="Times New Roman"/>
          <w:sz w:val="24"/>
          <w:szCs w:val="24"/>
        </w:rPr>
      </w:pPr>
    </w:p>
    <w:p w14:paraId="1DD6C195" w14:textId="77777777" w:rsidR="00F91F9F" w:rsidRPr="00A63E2B" w:rsidRDefault="00F91F9F" w:rsidP="00F91F9F">
      <w:pPr>
        <w:pStyle w:val="NoSpacing"/>
        <w:rPr>
          <w:rFonts w:ascii="Times New Roman" w:hAnsi="Times New Roman"/>
          <w:b/>
          <w:bCs/>
          <w:sz w:val="24"/>
          <w:szCs w:val="24"/>
        </w:rPr>
      </w:pPr>
      <w:r>
        <w:rPr>
          <w:rFonts w:ascii="Times New Roman" w:hAnsi="Times New Roman"/>
          <w:b/>
          <w:bCs/>
          <w:sz w:val="24"/>
          <w:szCs w:val="24"/>
        </w:rPr>
        <w:t xml:space="preserve">Legal Lesson Learned: A service-connected felony led to forfeiture of his pension; wonder why it took 5 years.  </w:t>
      </w:r>
    </w:p>
    <w:p w14:paraId="52CD285A" w14:textId="77777777" w:rsidR="00F91F9F" w:rsidRDefault="00F91F9F" w:rsidP="00F91F9F">
      <w:pPr>
        <w:pStyle w:val="NormalWeb"/>
        <w:spacing w:before="0" w:beforeAutospacing="0"/>
        <w:jc w:val="center"/>
      </w:pPr>
    </w:p>
    <w:p w14:paraId="2391D984" w14:textId="77777777" w:rsidR="00F91F9F" w:rsidRDefault="00F91F9F" w:rsidP="00F91F9F">
      <w:pPr>
        <w:pStyle w:val="NormalWeb"/>
        <w:spacing w:before="0" w:beforeAutospacing="0"/>
      </w:pPr>
    </w:p>
    <w:p w14:paraId="70BE8FFD" w14:textId="52177A6A" w:rsidR="00F91F9F" w:rsidRDefault="00F91F9F" w:rsidP="00F91F9F">
      <w:pPr>
        <w:pStyle w:val="NoSpacing"/>
        <w:rPr>
          <w:rFonts w:ascii="Arial Black" w:hAnsi="Arial Black"/>
          <w:sz w:val="24"/>
          <w:szCs w:val="24"/>
        </w:rPr>
      </w:pPr>
      <w:r>
        <w:rPr>
          <w:rFonts w:ascii="Arial Black" w:hAnsi="Arial Black"/>
          <w:sz w:val="24"/>
          <w:szCs w:val="24"/>
        </w:rPr>
        <w:t>16-108</w:t>
      </w:r>
    </w:p>
    <w:p w14:paraId="4D70B4C4" w14:textId="77777777" w:rsidR="00F91F9F" w:rsidRPr="002D1156" w:rsidRDefault="00F91F9F" w:rsidP="00F91F9F">
      <w:pPr>
        <w:pStyle w:val="NoSpacing"/>
        <w:rPr>
          <w:rFonts w:ascii="Times New Roman" w:hAnsi="Times New Roman"/>
          <w:color w:val="454545"/>
          <w:sz w:val="24"/>
          <w:szCs w:val="24"/>
        </w:rPr>
      </w:pPr>
    </w:p>
    <w:p w14:paraId="0C7BBDD4" w14:textId="77777777" w:rsidR="00F91F9F" w:rsidRDefault="00F91F9F" w:rsidP="00F91F9F">
      <w:pPr>
        <w:spacing w:before="100" w:beforeAutospacing="1" w:after="100" w:afterAutospacing="1" w:line="240" w:lineRule="auto"/>
        <w:rPr>
          <w:rFonts w:ascii="Arial Black" w:hAnsi="Arial Black"/>
          <w:sz w:val="28"/>
          <w:szCs w:val="28"/>
        </w:rPr>
      </w:pPr>
      <w:r>
        <w:rPr>
          <w:rFonts w:ascii="Arial Black" w:hAnsi="Arial Black"/>
          <w:sz w:val="28"/>
          <w:szCs w:val="28"/>
        </w:rPr>
        <w:t>WI: VOL. FF FIRED AFTER COMPLAINED ABOUT HOW PD QUESTIONED HIM - “WHISTLEBLOWER” CASE PROCEED</w:t>
      </w:r>
    </w:p>
    <w:p w14:paraId="022E131C" w14:textId="77777777" w:rsidR="00F91F9F" w:rsidRDefault="00F91F9F" w:rsidP="00F91F9F">
      <w:pPr>
        <w:spacing w:before="100" w:beforeAutospacing="1" w:after="100" w:afterAutospacing="1" w:line="240" w:lineRule="auto"/>
        <w:rPr>
          <w:rFonts w:ascii="Times New Roman" w:hAnsi="Times New Roman"/>
          <w:sz w:val="24"/>
          <w:szCs w:val="24"/>
        </w:rPr>
      </w:pPr>
      <w:r w:rsidRPr="0018036B">
        <w:rPr>
          <w:rFonts w:ascii="Times New Roman" w:hAnsi="Times New Roman"/>
          <w:sz w:val="24"/>
          <w:szCs w:val="24"/>
        </w:rPr>
        <w:t xml:space="preserve">On March 22, 2024, in </w:t>
      </w:r>
      <w:r w:rsidRPr="0018036B">
        <w:rPr>
          <w:rFonts w:ascii="Times New Roman" w:hAnsi="Times New Roman"/>
          <w:sz w:val="24"/>
          <w:szCs w:val="24"/>
          <w:u w:val="single"/>
        </w:rPr>
        <w:t xml:space="preserve">Matthew Donahue v. Village of </w:t>
      </w:r>
      <w:proofErr w:type="spellStart"/>
      <w:r w:rsidRPr="0018036B">
        <w:rPr>
          <w:rFonts w:ascii="Times New Roman" w:hAnsi="Times New Roman"/>
          <w:sz w:val="24"/>
          <w:szCs w:val="24"/>
          <w:u w:val="single"/>
        </w:rPr>
        <w:t>Elm</w:t>
      </w:r>
      <w:proofErr w:type="spellEnd"/>
      <w:r w:rsidRPr="0018036B">
        <w:rPr>
          <w:rFonts w:ascii="Times New Roman" w:hAnsi="Times New Roman"/>
          <w:sz w:val="24"/>
          <w:szCs w:val="24"/>
          <w:u w:val="single"/>
        </w:rPr>
        <w:t xml:space="preserve"> Grove, et al</w:t>
      </w:r>
      <w:r w:rsidRPr="0018036B">
        <w:rPr>
          <w:rFonts w:ascii="Times New Roman" w:hAnsi="Times New Roman"/>
          <w:sz w:val="24"/>
          <w:szCs w:val="24"/>
        </w:rPr>
        <w:t xml:space="preserve">., United States District Court Chief Judge Pamela Pepper, U.S. District Court for Eastern District of Wisconsin, held the volunteer’s claim </w:t>
      </w:r>
      <w:r>
        <w:rPr>
          <w:rFonts w:ascii="Times New Roman" w:hAnsi="Times New Roman"/>
          <w:sz w:val="24"/>
          <w:szCs w:val="24"/>
        </w:rPr>
        <w:t xml:space="preserve">of retaliation </w:t>
      </w:r>
      <w:r w:rsidRPr="0018036B">
        <w:rPr>
          <w:rFonts w:ascii="Times New Roman" w:hAnsi="Times New Roman"/>
          <w:sz w:val="24"/>
          <w:szCs w:val="24"/>
        </w:rPr>
        <w:t>may proceed to pre-trial discovery</w:t>
      </w:r>
      <w:r>
        <w:rPr>
          <w:rFonts w:ascii="Times New Roman" w:hAnsi="Times New Roman"/>
          <w:sz w:val="24"/>
          <w:szCs w:val="24"/>
        </w:rPr>
        <w:t xml:space="preserve">, after he files an Amended Complaint with more details. </w:t>
      </w:r>
      <w:r w:rsidRPr="003B51B9">
        <w:rPr>
          <w:rFonts w:ascii="Times New Roman" w:hAnsi="Times New Roman"/>
          <w:sz w:val="24"/>
          <w:szCs w:val="24"/>
        </w:rPr>
        <w:t xml:space="preserve">On March 6, 2019, he was questioned by officers from the </w:t>
      </w:r>
      <w:proofErr w:type="spellStart"/>
      <w:r w:rsidRPr="003B51B9">
        <w:rPr>
          <w:rFonts w:ascii="Times New Roman" w:hAnsi="Times New Roman"/>
          <w:sz w:val="24"/>
          <w:szCs w:val="24"/>
        </w:rPr>
        <w:t>Elm</w:t>
      </w:r>
      <w:proofErr w:type="spellEnd"/>
      <w:r w:rsidRPr="003B51B9">
        <w:rPr>
          <w:rFonts w:ascii="Times New Roman" w:hAnsi="Times New Roman"/>
          <w:sz w:val="24"/>
          <w:szCs w:val="24"/>
        </w:rPr>
        <w:t xml:space="preserve"> Grove and Brookfield Police Departments</w:t>
      </w:r>
      <w:r>
        <w:rPr>
          <w:rFonts w:ascii="Times New Roman" w:hAnsi="Times New Roman"/>
          <w:sz w:val="24"/>
          <w:szCs w:val="24"/>
        </w:rPr>
        <w:t xml:space="preserve"> after the PD received a complaint from Father Peter Berger of St. Mary’s Church. “</w:t>
      </w:r>
      <w:r w:rsidRPr="00D81337">
        <w:rPr>
          <w:rFonts w:ascii="Times New Roman" w:hAnsi="Times New Roman"/>
          <w:sz w:val="24"/>
          <w:szCs w:val="24"/>
        </w:rPr>
        <w:t>The plaintiff was a member of St. Mary's congregation; recently Father Berger had officiated at the plaintiff's marriage and on March 6, 2019, the two had exchanged emails regarding a personal issue ‘between the Church and [the plaintiff].</w:t>
      </w:r>
      <w:r>
        <w:rPr>
          <w:rFonts w:ascii="Times New Roman" w:hAnsi="Times New Roman"/>
          <w:sz w:val="24"/>
          <w:szCs w:val="24"/>
        </w:rPr>
        <w:t>”  The plaintiff filed complaint against PD, and Village Manager directed Fire Chief to investigate, leading to his termination.</w:t>
      </w:r>
    </w:p>
    <w:p w14:paraId="5F80AC92" w14:textId="77777777" w:rsidR="00744AE5" w:rsidRPr="004C0299" w:rsidRDefault="00744AE5" w:rsidP="00744AE5">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3C9FC947" w14:textId="77777777" w:rsidR="00F91F9F" w:rsidRDefault="00F91F9F" w:rsidP="00F91F9F">
      <w:pPr>
        <w:pStyle w:val="NormalWeb"/>
        <w:ind w:left="720"/>
      </w:pPr>
      <w:r>
        <w:t xml:space="preserve">“Construing these allegations in the light most favorable to the plaintiff, the court concludes that the plaintiff has alleged that he engaged in activity protected by the First Amendment-making a complaint through his statement of charges. He has alleged that he suffered a deprivation that likely would deter his First Amendment activity in the future-he was subjected to an investigation, a hearing and removal. And he has alleged that the fact he made complaints caused the fire department to investigate him, which led to the commission's hearing and his removal. He has alleged that [Village Manager David] DeAngelis knew of his First Amendment activity (by alleging that DeAngelis received his statement of charges and advised the village board about them), that DeAngelis basically rejected the plaintiff's complaints by advising the board of trustees not to investigate them and by misrepresenting them and that DeAngelis caused at least one deprivation-the institution of a fire department investigation into the plaintiff-which led to the others. While the allegations against [Village Manager] DeAngelis are sparse, they are sufficient to state a plausible claim at the pleading stage.” </w:t>
      </w:r>
      <w:hyperlink r:id="rId2656" w:history="1">
        <w:r w:rsidRPr="00525B4E">
          <w:rPr>
            <w:rStyle w:val="Hyperlink"/>
          </w:rPr>
          <w:t>https://public.fastcase.com/H1P9uiW3J20SFp%2BGCG%2BxLf0QXfMdGqdqZlQXVQLOVSo%2BRVxC5joRx%2Bn0W0bwooepXLY2KUKQY%2FNa4DzAR11NEG8M8s0LDdmLgDmSoVIjHEI%3D?utm_medium=email&amp;_hsmi=226712652&amp;_hsenc=p2ANqtz--j20uR-GYo6WCSGz4uB5jXz0CJaW80ssMVqf4KPGqbFwk9_LUt6on4Dgf3xdmVustFIoMmyBcwEiGPMrkJq9j9MAGPKA&amp;utm_content=226712652&amp;utm_source=hs_email</w:t>
        </w:r>
      </w:hyperlink>
      <w:r>
        <w:t xml:space="preserve"> </w:t>
      </w:r>
    </w:p>
    <w:p w14:paraId="6FAC588A" w14:textId="77777777" w:rsidR="00F91F9F" w:rsidRPr="004C7B9F" w:rsidRDefault="00F91F9F" w:rsidP="00F91F9F">
      <w:pPr>
        <w:pStyle w:val="NormalWeb"/>
        <w:rPr>
          <w:b/>
          <w:bCs/>
        </w:rPr>
      </w:pPr>
      <w:r w:rsidRPr="004C7B9F">
        <w:rPr>
          <w:b/>
          <w:bCs/>
        </w:rPr>
        <w:lastRenderedPageBreak/>
        <w:t>Legal Lesson Learned:</w:t>
      </w:r>
      <w:r>
        <w:rPr>
          <w:b/>
          <w:bCs/>
        </w:rPr>
        <w:t xml:space="preserve"> Filing a complaint about alleged police misconduct is protected conduct under 1</w:t>
      </w:r>
      <w:r w:rsidRPr="00676A56">
        <w:rPr>
          <w:b/>
          <w:bCs/>
          <w:vertAlign w:val="superscript"/>
        </w:rPr>
        <w:t>st</w:t>
      </w:r>
      <w:r>
        <w:rPr>
          <w:b/>
          <w:bCs/>
        </w:rPr>
        <w:t xml:space="preserve"> Amendment and state whistleblower law.</w:t>
      </w:r>
    </w:p>
    <w:p w14:paraId="41CD8A76" w14:textId="77777777" w:rsidR="00F91F9F" w:rsidRDefault="00F91F9F" w:rsidP="00F91F9F">
      <w:pPr>
        <w:spacing w:before="100" w:beforeAutospacing="1" w:after="100" w:afterAutospacing="1" w:line="240" w:lineRule="auto"/>
        <w:outlineLvl w:val="0"/>
        <w:rPr>
          <w:rFonts w:ascii="Times New Roman" w:hAnsi="Times New Roman"/>
          <w:sz w:val="24"/>
          <w:szCs w:val="24"/>
        </w:rPr>
      </w:pPr>
    </w:p>
    <w:p w14:paraId="4966F504" w14:textId="348C765F" w:rsidR="00F91F9F" w:rsidRDefault="00F91F9F" w:rsidP="00F91F9F">
      <w:pPr>
        <w:pStyle w:val="NoSpacing"/>
        <w:rPr>
          <w:rFonts w:ascii="Arial Black" w:hAnsi="Arial Black"/>
          <w:sz w:val="24"/>
          <w:szCs w:val="24"/>
        </w:rPr>
      </w:pPr>
      <w:r>
        <w:rPr>
          <w:rFonts w:ascii="Arial Black" w:hAnsi="Arial Black"/>
          <w:sz w:val="24"/>
          <w:szCs w:val="24"/>
        </w:rPr>
        <w:t>16-107</w:t>
      </w:r>
    </w:p>
    <w:p w14:paraId="5DF4A4F1" w14:textId="77777777" w:rsidR="00F91F9F" w:rsidRDefault="00F91F9F" w:rsidP="00F91F9F">
      <w:pPr>
        <w:pStyle w:val="NoSpacing"/>
        <w:rPr>
          <w:rFonts w:ascii="Arial Black" w:hAnsi="Arial Black"/>
          <w:sz w:val="28"/>
          <w:szCs w:val="28"/>
        </w:rPr>
      </w:pPr>
    </w:p>
    <w:p w14:paraId="0D6889BF" w14:textId="77777777" w:rsidR="00F91F9F" w:rsidRPr="009140CD" w:rsidRDefault="00F91F9F" w:rsidP="00F91F9F">
      <w:pPr>
        <w:pStyle w:val="NoSpacing"/>
        <w:rPr>
          <w:rFonts w:ascii="Arial Black" w:hAnsi="Arial Black"/>
          <w:sz w:val="28"/>
          <w:szCs w:val="28"/>
        </w:rPr>
      </w:pPr>
      <w:r>
        <w:rPr>
          <w:rFonts w:ascii="Arial Black" w:hAnsi="Arial Black"/>
          <w:sz w:val="28"/>
          <w:szCs w:val="28"/>
        </w:rPr>
        <w:t>NH: POLICE OFFICER RESIGNATION / PD INTERNAL AFFAIRS DOCS OUT PERSONNEL FILE – CT. ORDERS DOCS RELEASED</w:t>
      </w:r>
    </w:p>
    <w:p w14:paraId="7E790FD7" w14:textId="77777777" w:rsidR="00F91F9F" w:rsidRDefault="00F91F9F" w:rsidP="00F91F9F">
      <w:pPr>
        <w:pStyle w:val="NoSpacing"/>
        <w:rPr>
          <w:rFonts w:ascii="Times New Roman" w:hAnsi="Times New Roman"/>
          <w:sz w:val="24"/>
          <w:szCs w:val="24"/>
        </w:rPr>
      </w:pPr>
    </w:p>
    <w:p w14:paraId="0561B8CC" w14:textId="77777777" w:rsidR="00F91F9F" w:rsidRDefault="00F91F9F" w:rsidP="00F91F9F">
      <w:pPr>
        <w:pStyle w:val="NoSpacing"/>
        <w:rPr>
          <w:rFonts w:ascii="Times New Roman" w:hAnsi="Times New Roman"/>
          <w:sz w:val="24"/>
          <w:szCs w:val="24"/>
        </w:rPr>
      </w:pPr>
      <w:r>
        <w:rPr>
          <w:rFonts w:ascii="Times New Roman" w:hAnsi="Times New Roman"/>
          <w:sz w:val="24"/>
          <w:szCs w:val="24"/>
        </w:rPr>
        <w:t xml:space="preserve">On March 20, 2024, in </w:t>
      </w:r>
      <w:r w:rsidRPr="00310885">
        <w:rPr>
          <w:rFonts w:ascii="Times New Roman" w:hAnsi="Times New Roman"/>
          <w:sz w:val="24"/>
          <w:szCs w:val="24"/>
          <w:u w:val="single"/>
        </w:rPr>
        <w:t>Jonathan Stone v. City of Claremont</w:t>
      </w:r>
      <w:r>
        <w:rPr>
          <w:rFonts w:ascii="Times New Roman" w:hAnsi="Times New Roman"/>
          <w:sz w:val="24"/>
          <w:szCs w:val="24"/>
        </w:rPr>
        <w:t xml:space="preserve">, the Supreme Court of New Hampshire, held (5 to 0) that the 2007 resignation agreement with former City police officer and his union, removing from his personnel file the internal affairs investigation and notice of termination, does not protect the requested records from disclosure. </w:t>
      </w:r>
    </w:p>
    <w:p w14:paraId="39169A74" w14:textId="77777777" w:rsidR="004305B6" w:rsidRPr="004C0299" w:rsidRDefault="004305B6" w:rsidP="004305B6">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10FB302C" w14:textId="77777777" w:rsidR="00F91F9F" w:rsidRDefault="00F91F9F" w:rsidP="00F91F9F">
      <w:pPr>
        <w:pStyle w:val="NoSpacing"/>
        <w:rPr>
          <w:rFonts w:ascii="Times New Roman" w:hAnsi="Times New Roman"/>
          <w:sz w:val="24"/>
          <w:szCs w:val="24"/>
        </w:rPr>
      </w:pPr>
    </w:p>
    <w:p w14:paraId="0F73B518" w14:textId="77777777" w:rsidR="00F91F9F" w:rsidRPr="00B3168D" w:rsidRDefault="00F91F9F" w:rsidP="00F91F9F">
      <w:pPr>
        <w:pStyle w:val="NoSpacing"/>
        <w:ind w:left="720"/>
        <w:rPr>
          <w:rFonts w:ascii="Times New Roman" w:hAnsi="Times New Roman"/>
          <w:sz w:val="24"/>
          <w:szCs w:val="24"/>
        </w:rPr>
      </w:pPr>
      <w:r>
        <w:rPr>
          <w:rFonts w:ascii="Times New Roman" w:hAnsi="Times New Roman"/>
          <w:sz w:val="24"/>
          <w:szCs w:val="24"/>
        </w:rPr>
        <w:t>“</w:t>
      </w:r>
      <w:r w:rsidRPr="00B3168D">
        <w:rPr>
          <w:rFonts w:ascii="Times New Roman" w:hAnsi="Times New Roman"/>
          <w:sz w:val="24"/>
          <w:szCs w:val="24"/>
        </w:rPr>
        <w:t xml:space="preserve">The intervenors </w:t>
      </w:r>
      <w:r>
        <w:rPr>
          <w:rFonts w:ascii="Times New Roman" w:hAnsi="Times New Roman"/>
          <w:sz w:val="24"/>
          <w:szCs w:val="24"/>
        </w:rPr>
        <w:t xml:space="preserve">[ACLU and Union Leader Corp., Union Leader Corp] </w:t>
      </w:r>
      <w:r w:rsidRPr="00B3168D">
        <w:rPr>
          <w:rFonts w:ascii="Times New Roman" w:hAnsi="Times New Roman"/>
          <w:sz w:val="24"/>
          <w:szCs w:val="24"/>
        </w:rPr>
        <w:t>contend that the purging provision</w:t>
      </w:r>
      <w:r>
        <w:rPr>
          <w:rFonts w:ascii="Times New Roman" w:hAnsi="Times New Roman"/>
          <w:sz w:val="24"/>
          <w:szCs w:val="24"/>
        </w:rPr>
        <w:t xml:space="preserve"> </w:t>
      </w:r>
      <w:r w:rsidRPr="00B3168D">
        <w:rPr>
          <w:rFonts w:ascii="Times New Roman" w:hAnsi="Times New Roman"/>
          <w:sz w:val="24"/>
          <w:szCs w:val="24"/>
        </w:rPr>
        <w:t>of the Stipulated Award does not state that the relevant records will be</w:t>
      </w:r>
    </w:p>
    <w:p w14:paraId="64F71A88" w14:textId="77777777" w:rsidR="00F91F9F" w:rsidRDefault="00F91F9F" w:rsidP="00F91F9F">
      <w:pPr>
        <w:pStyle w:val="NoSpacing"/>
        <w:ind w:left="720"/>
        <w:rPr>
          <w:rFonts w:ascii="Times New Roman" w:hAnsi="Times New Roman"/>
          <w:sz w:val="24"/>
          <w:szCs w:val="24"/>
        </w:rPr>
      </w:pPr>
      <w:r w:rsidRPr="00B3168D">
        <w:rPr>
          <w:rFonts w:ascii="Times New Roman" w:hAnsi="Times New Roman"/>
          <w:sz w:val="24"/>
          <w:szCs w:val="24"/>
        </w:rPr>
        <w:t>destroyed or that they will cease to exist within the CPD. According to the</w:t>
      </w:r>
      <w:r>
        <w:rPr>
          <w:rFonts w:ascii="Times New Roman" w:hAnsi="Times New Roman"/>
          <w:sz w:val="24"/>
          <w:szCs w:val="24"/>
        </w:rPr>
        <w:t xml:space="preserve"> </w:t>
      </w:r>
      <w:r w:rsidRPr="00B3168D">
        <w:rPr>
          <w:rFonts w:ascii="Times New Roman" w:hAnsi="Times New Roman"/>
          <w:sz w:val="24"/>
          <w:szCs w:val="24"/>
        </w:rPr>
        <w:t>intervenors, the Stipulated Award provides only that the relevant records will</w:t>
      </w:r>
      <w:r>
        <w:rPr>
          <w:rFonts w:ascii="Times New Roman" w:hAnsi="Times New Roman"/>
          <w:sz w:val="24"/>
          <w:szCs w:val="24"/>
        </w:rPr>
        <w:t xml:space="preserve"> </w:t>
      </w:r>
      <w:r w:rsidRPr="00B3168D">
        <w:rPr>
          <w:rFonts w:ascii="Times New Roman" w:hAnsi="Times New Roman"/>
          <w:sz w:val="24"/>
          <w:szCs w:val="24"/>
        </w:rPr>
        <w:t>be purged from the plaintiff’s personnel file but does not state that the records</w:t>
      </w:r>
      <w:r>
        <w:rPr>
          <w:rFonts w:ascii="Times New Roman" w:hAnsi="Times New Roman"/>
          <w:sz w:val="24"/>
          <w:szCs w:val="24"/>
        </w:rPr>
        <w:t xml:space="preserve"> </w:t>
      </w:r>
      <w:r w:rsidRPr="00B3168D">
        <w:rPr>
          <w:rFonts w:ascii="Times New Roman" w:hAnsi="Times New Roman"/>
          <w:sz w:val="24"/>
          <w:szCs w:val="24"/>
        </w:rPr>
        <w:t>will be purged from all other locations. Similarly, the intervenors argue that</w:t>
      </w:r>
      <w:r>
        <w:rPr>
          <w:rFonts w:ascii="Times New Roman" w:hAnsi="Times New Roman"/>
          <w:sz w:val="24"/>
          <w:szCs w:val="24"/>
        </w:rPr>
        <w:t xml:space="preserve"> </w:t>
      </w:r>
      <w:r w:rsidRPr="00B3168D">
        <w:rPr>
          <w:rFonts w:ascii="Times New Roman" w:hAnsi="Times New Roman"/>
          <w:sz w:val="24"/>
          <w:szCs w:val="24"/>
        </w:rPr>
        <w:t xml:space="preserve">the confidentiality provision </w:t>
      </w:r>
      <w:r>
        <w:rPr>
          <w:rFonts w:ascii="Times New Roman" w:hAnsi="Times New Roman"/>
          <w:sz w:val="24"/>
          <w:szCs w:val="24"/>
        </w:rPr>
        <w:t>‘</w:t>
      </w:r>
      <w:r w:rsidRPr="00B3168D">
        <w:rPr>
          <w:rFonts w:ascii="Times New Roman" w:hAnsi="Times New Roman"/>
          <w:sz w:val="24"/>
          <w:szCs w:val="24"/>
        </w:rPr>
        <w:t>does not provide the blanket confidentiality that</w:t>
      </w:r>
      <w:r>
        <w:rPr>
          <w:rFonts w:ascii="Times New Roman" w:hAnsi="Times New Roman"/>
          <w:sz w:val="24"/>
          <w:szCs w:val="24"/>
        </w:rPr>
        <w:t xml:space="preserve"> </w:t>
      </w:r>
      <w:r w:rsidRPr="00B3168D">
        <w:rPr>
          <w:rFonts w:ascii="Times New Roman" w:hAnsi="Times New Roman"/>
          <w:sz w:val="24"/>
          <w:szCs w:val="24"/>
        </w:rPr>
        <w:t>[the plaintiff] asserts.</w:t>
      </w:r>
      <w:r>
        <w:rPr>
          <w:rFonts w:ascii="Times New Roman" w:hAnsi="Times New Roman"/>
          <w:sz w:val="24"/>
          <w:szCs w:val="24"/>
        </w:rPr>
        <w:t>’</w:t>
      </w:r>
      <w:r w:rsidRPr="00B3168D">
        <w:rPr>
          <w:rFonts w:ascii="Times New Roman" w:hAnsi="Times New Roman"/>
          <w:sz w:val="24"/>
          <w:szCs w:val="24"/>
        </w:rPr>
        <w:t xml:space="preserve"> Rather, the Stipulated Award </w:t>
      </w:r>
      <w:r>
        <w:rPr>
          <w:rFonts w:ascii="Times New Roman" w:hAnsi="Times New Roman"/>
          <w:sz w:val="24"/>
          <w:szCs w:val="24"/>
        </w:rPr>
        <w:t>‘</w:t>
      </w:r>
      <w:r w:rsidRPr="00B3168D">
        <w:rPr>
          <w:rFonts w:ascii="Times New Roman" w:hAnsi="Times New Roman"/>
          <w:sz w:val="24"/>
          <w:szCs w:val="24"/>
        </w:rPr>
        <w:t>makes clear that its</w:t>
      </w:r>
      <w:r>
        <w:rPr>
          <w:rFonts w:ascii="Times New Roman" w:hAnsi="Times New Roman"/>
          <w:sz w:val="24"/>
          <w:szCs w:val="24"/>
        </w:rPr>
        <w:t xml:space="preserve"> </w:t>
      </w:r>
      <w:r w:rsidRPr="00B3168D">
        <w:rPr>
          <w:rFonts w:ascii="Times New Roman" w:hAnsi="Times New Roman"/>
          <w:sz w:val="24"/>
          <w:szCs w:val="24"/>
        </w:rPr>
        <w:t>confidentiality provision applies ‘except to the extent required by . . . law,’</w:t>
      </w:r>
      <w:r>
        <w:rPr>
          <w:rFonts w:ascii="Times New Roman" w:hAnsi="Times New Roman"/>
          <w:sz w:val="24"/>
          <w:szCs w:val="24"/>
        </w:rPr>
        <w:t xml:space="preserve"> </w:t>
      </w:r>
      <w:r w:rsidRPr="00B3168D">
        <w:rPr>
          <w:rFonts w:ascii="Times New Roman" w:hAnsi="Times New Roman"/>
          <w:sz w:val="24"/>
          <w:szCs w:val="24"/>
        </w:rPr>
        <w:t>which includes the requirements of RSA ch. 91-A.</w:t>
      </w:r>
      <w:r>
        <w:rPr>
          <w:rFonts w:ascii="Times New Roman" w:hAnsi="Times New Roman"/>
          <w:sz w:val="24"/>
          <w:szCs w:val="24"/>
        </w:rPr>
        <w:t>’</w:t>
      </w:r>
      <w:r w:rsidRPr="00B3168D">
        <w:rPr>
          <w:rFonts w:ascii="Times New Roman" w:hAnsi="Times New Roman"/>
          <w:sz w:val="24"/>
          <w:szCs w:val="24"/>
        </w:rPr>
        <w:t xml:space="preserve"> We agree with the</w:t>
      </w:r>
      <w:r>
        <w:rPr>
          <w:rFonts w:ascii="Times New Roman" w:hAnsi="Times New Roman"/>
          <w:sz w:val="24"/>
          <w:szCs w:val="24"/>
        </w:rPr>
        <w:t xml:space="preserve"> </w:t>
      </w:r>
      <w:r w:rsidRPr="00B3168D">
        <w:rPr>
          <w:rFonts w:ascii="Times New Roman" w:hAnsi="Times New Roman"/>
          <w:sz w:val="24"/>
          <w:szCs w:val="24"/>
        </w:rPr>
        <w:t>intervenors.</w:t>
      </w:r>
    </w:p>
    <w:p w14:paraId="76C1B1D0" w14:textId="77777777" w:rsidR="00F91F9F" w:rsidRDefault="00F91F9F" w:rsidP="00F91F9F">
      <w:pPr>
        <w:pStyle w:val="NoSpacing"/>
        <w:ind w:left="720"/>
        <w:rPr>
          <w:rFonts w:ascii="Times New Roman" w:hAnsi="Times New Roman"/>
          <w:sz w:val="24"/>
          <w:szCs w:val="24"/>
        </w:rPr>
      </w:pPr>
    </w:p>
    <w:p w14:paraId="7FCF73AB" w14:textId="77777777" w:rsidR="00F91F9F" w:rsidRDefault="00F91F9F" w:rsidP="00F91F9F">
      <w:pPr>
        <w:pStyle w:val="NoSpacing"/>
        <w:ind w:left="720"/>
        <w:rPr>
          <w:rFonts w:ascii="Times New Roman" w:hAnsi="Times New Roman"/>
          <w:sz w:val="24"/>
          <w:szCs w:val="24"/>
        </w:rPr>
      </w:pPr>
      <w:r>
        <w:rPr>
          <w:rFonts w:ascii="Times New Roman" w:hAnsi="Times New Roman"/>
          <w:sz w:val="24"/>
          <w:szCs w:val="24"/>
        </w:rPr>
        <w:t>***</w:t>
      </w:r>
    </w:p>
    <w:p w14:paraId="549551BE" w14:textId="77777777" w:rsidR="00F91F9F" w:rsidRDefault="00F91F9F" w:rsidP="00F91F9F">
      <w:pPr>
        <w:pStyle w:val="NoSpacing"/>
        <w:rPr>
          <w:rFonts w:ascii="Times New Roman" w:hAnsi="Times New Roman"/>
          <w:sz w:val="24"/>
          <w:szCs w:val="24"/>
        </w:rPr>
      </w:pPr>
    </w:p>
    <w:p w14:paraId="7F6DD224" w14:textId="77777777" w:rsidR="00F91F9F" w:rsidRDefault="00F91F9F" w:rsidP="00F91F9F">
      <w:pPr>
        <w:pStyle w:val="NoSpacing"/>
        <w:ind w:left="720"/>
        <w:rPr>
          <w:rFonts w:ascii="Times New Roman" w:hAnsi="Times New Roman"/>
          <w:sz w:val="24"/>
          <w:szCs w:val="24"/>
        </w:rPr>
      </w:pPr>
      <w:r>
        <w:rPr>
          <w:rFonts w:ascii="Times New Roman" w:hAnsi="Times New Roman"/>
          <w:sz w:val="24"/>
          <w:szCs w:val="24"/>
        </w:rPr>
        <w:t>I</w:t>
      </w:r>
      <w:r w:rsidRPr="00B5597E">
        <w:rPr>
          <w:rFonts w:ascii="Times New Roman" w:hAnsi="Times New Roman"/>
          <w:sz w:val="24"/>
          <w:szCs w:val="24"/>
        </w:rPr>
        <w:t>n summary, we conclude that the 2007 Stipulated Award does not</w:t>
      </w:r>
      <w:r>
        <w:rPr>
          <w:rFonts w:ascii="Times New Roman" w:hAnsi="Times New Roman"/>
          <w:sz w:val="24"/>
          <w:szCs w:val="24"/>
        </w:rPr>
        <w:t xml:space="preserve"> </w:t>
      </w:r>
      <w:r w:rsidRPr="00B5597E">
        <w:rPr>
          <w:rFonts w:ascii="Times New Roman" w:hAnsi="Times New Roman"/>
          <w:sz w:val="24"/>
          <w:szCs w:val="24"/>
        </w:rPr>
        <w:t xml:space="preserve">protect the requested records at issue on appeal from </w:t>
      </w:r>
      <w:proofErr w:type="gramStart"/>
      <w:r w:rsidRPr="00B5597E">
        <w:rPr>
          <w:rFonts w:ascii="Times New Roman" w:hAnsi="Times New Roman"/>
          <w:sz w:val="24"/>
          <w:szCs w:val="24"/>
        </w:rPr>
        <w:t>disclosure.</w:t>
      </w:r>
      <w:r>
        <w:rPr>
          <w:rFonts w:ascii="Times New Roman" w:hAnsi="Times New Roman"/>
          <w:sz w:val="24"/>
          <w:szCs w:val="24"/>
        </w:rPr>
        <w:t>”</w:t>
      </w:r>
      <w:proofErr w:type="gramEnd"/>
      <w:r>
        <w:rPr>
          <w:rFonts w:ascii="Times New Roman" w:hAnsi="Times New Roman"/>
          <w:sz w:val="24"/>
          <w:szCs w:val="24"/>
        </w:rPr>
        <w:t xml:space="preserve"> </w:t>
      </w:r>
      <w:hyperlink r:id="rId2657" w:history="1">
        <w:r w:rsidRPr="0090046C">
          <w:rPr>
            <w:rStyle w:val="Hyperlink"/>
            <w:rFonts w:ascii="Times New Roman" w:hAnsi="Times New Roman"/>
            <w:sz w:val="24"/>
            <w:szCs w:val="24"/>
          </w:rPr>
          <w:t>https://www.courts.nh.gov/sites/g/files/ehbemt471/files/documents/2024-03/20230083stone.pdf</w:t>
        </w:r>
      </w:hyperlink>
      <w:r>
        <w:rPr>
          <w:rFonts w:ascii="Times New Roman" w:hAnsi="Times New Roman"/>
          <w:sz w:val="24"/>
          <w:szCs w:val="24"/>
        </w:rPr>
        <w:t xml:space="preserve"> </w:t>
      </w:r>
    </w:p>
    <w:p w14:paraId="3323B367" w14:textId="77777777" w:rsidR="00F91F9F" w:rsidRDefault="00F91F9F" w:rsidP="00F91F9F">
      <w:pPr>
        <w:pStyle w:val="NoSpacing"/>
        <w:ind w:left="720"/>
        <w:rPr>
          <w:rFonts w:ascii="Times New Roman" w:hAnsi="Times New Roman"/>
          <w:sz w:val="24"/>
          <w:szCs w:val="24"/>
        </w:rPr>
      </w:pPr>
    </w:p>
    <w:p w14:paraId="5EC0FC00" w14:textId="77777777" w:rsidR="00F91F9F" w:rsidRDefault="00F91F9F" w:rsidP="00F91F9F">
      <w:pPr>
        <w:rPr>
          <w:rFonts w:ascii="Times New Roman" w:hAnsi="Times New Roman"/>
          <w:sz w:val="24"/>
          <w:szCs w:val="24"/>
        </w:rPr>
      </w:pPr>
    </w:p>
    <w:p w14:paraId="2C906923" w14:textId="77777777" w:rsidR="00F91F9F" w:rsidRPr="00354746" w:rsidRDefault="00F91F9F" w:rsidP="00F91F9F">
      <w:pPr>
        <w:rPr>
          <w:rFonts w:ascii="Times New Roman" w:hAnsi="Times New Roman"/>
          <w:b/>
          <w:bCs/>
          <w:sz w:val="24"/>
          <w:szCs w:val="24"/>
        </w:rPr>
      </w:pPr>
      <w:r w:rsidRPr="00354746">
        <w:rPr>
          <w:rFonts w:ascii="Times New Roman" w:hAnsi="Times New Roman"/>
          <w:b/>
          <w:bCs/>
          <w:sz w:val="24"/>
          <w:szCs w:val="24"/>
        </w:rPr>
        <w:t xml:space="preserve">Legal Lesson Learned: </w:t>
      </w:r>
      <w:r>
        <w:rPr>
          <w:rFonts w:ascii="Times New Roman" w:hAnsi="Times New Roman"/>
          <w:b/>
          <w:bCs/>
          <w:sz w:val="24"/>
          <w:szCs w:val="24"/>
        </w:rPr>
        <w:t xml:space="preserve">It is common in a resignation agreement to remove investigative documents from a personnel file, but Court may later require disclosure under state public records statute. </w:t>
      </w:r>
    </w:p>
    <w:p w14:paraId="3B1E3516" w14:textId="77777777" w:rsidR="00F91F9F" w:rsidRDefault="00F91F9F" w:rsidP="00F91F9F">
      <w:pPr>
        <w:ind w:left="720"/>
        <w:rPr>
          <w:rFonts w:ascii="Times New Roman" w:hAnsi="Times New Roman"/>
          <w:sz w:val="24"/>
          <w:szCs w:val="24"/>
        </w:rPr>
      </w:pPr>
      <w:r w:rsidRPr="00AB7992">
        <w:rPr>
          <w:rFonts w:ascii="Times New Roman" w:hAnsi="Times New Roman"/>
          <w:sz w:val="24"/>
          <w:szCs w:val="24"/>
        </w:rPr>
        <w:t xml:space="preserve">Note: </w:t>
      </w:r>
      <w:r>
        <w:rPr>
          <w:rFonts w:ascii="Times New Roman" w:hAnsi="Times New Roman"/>
          <w:sz w:val="24"/>
          <w:szCs w:val="24"/>
        </w:rPr>
        <w:t xml:space="preserve">Justice Hantz Marconi concurred </w:t>
      </w:r>
      <w:proofErr w:type="gramStart"/>
      <w:r>
        <w:rPr>
          <w:rFonts w:ascii="Times New Roman" w:hAnsi="Times New Roman"/>
          <w:sz w:val="24"/>
          <w:szCs w:val="24"/>
        </w:rPr>
        <w:t>in</w:t>
      </w:r>
      <w:proofErr w:type="gramEnd"/>
      <w:r>
        <w:rPr>
          <w:rFonts w:ascii="Times New Roman" w:hAnsi="Times New Roman"/>
          <w:sz w:val="24"/>
          <w:szCs w:val="24"/>
        </w:rPr>
        <w:t xml:space="preserve"> the decision, but wrote a Concurring Opinion where he stated:</w:t>
      </w:r>
    </w:p>
    <w:p w14:paraId="10E770E0" w14:textId="77777777" w:rsidR="00F91F9F" w:rsidRPr="00597B2D" w:rsidRDefault="00F91F9F" w:rsidP="00F91F9F">
      <w:pPr>
        <w:pStyle w:val="NoSpacing"/>
        <w:ind w:left="720" w:firstLine="720"/>
        <w:rPr>
          <w:rFonts w:ascii="Times New Roman" w:hAnsi="Times New Roman"/>
          <w:sz w:val="24"/>
          <w:szCs w:val="24"/>
        </w:rPr>
      </w:pPr>
      <w:r>
        <w:rPr>
          <w:rFonts w:ascii="Times New Roman" w:hAnsi="Times New Roman"/>
          <w:sz w:val="24"/>
          <w:szCs w:val="24"/>
        </w:rPr>
        <w:t>“</w:t>
      </w:r>
      <w:r w:rsidRPr="00597B2D">
        <w:rPr>
          <w:rFonts w:ascii="Times New Roman" w:hAnsi="Times New Roman"/>
          <w:sz w:val="24"/>
          <w:szCs w:val="24"/>
        </w:rPr>
        <w:t>I am concerned that the majority’s opinion takes an incremental</w:t>
      </w:r>
    </w:p>
    <w:p w14:paraId="19E1F9B9" w14:textId="77777777" w:rsidR="00F91F9F" w:rsidRPr="00597B2D" w:rsidRDefault="00F91F9F" w:rsidP="00F91F9F">
      <w:pPr>
        <w:pStyle w:val="NoSpacing"/>
        <w:ind w:left="720" w:firstLine="720"/>
        <w:rPr>
          <w:rFonts w:ascii="Times New Roman" w:hAnsi="Times New Roman"/>
          <w:sz w:val="24"/>
          <w:szCs w:val="24"/>
        </w:rPr>
      </w:pPr>
      <w:r w:rsidRPr="00597B2D">
        <w:rPr>
          <w:rFonts w:ascii="Times New Roman" w:hAnsi="Times New Roman"/>
          <w:sz w:val="24"/>
          <w:szCs w:val="24"/>
        </w:rPr>
        <w:t>step, under the facts of this case, to preclude the use of confidential</w:t>
      </w:r>
    </w:p>
    <w:p w14:paraId="0D35F877" w14:textId="77777777" w:rsidR="00F91F9F" w:rsidRPr="00597B2D" w:rsidRDefault="00F91F9F" w:rsidP="00F91F9F">
      <w:pPr>
        <w:pStyle w:val="NoSpacing"/>
        <w:ind w:left="720" w:firstLine="720"/>
        <w:rPr>
          <w:rFonts w:ascii="Times New Roman" w:hAnsi="Times New Roman"/>
          <w:sz w:val="24"/>
          <w:szCs w:val="24"/>
        </w:rPr>
      </w:pPr>
      <w:r w:rsidRPr="00597B2D">
        <w:rPr>
          <w:rFonts w:ascii="Times New Roman" w:hAnsi="Times New Roman"/>
          <w:sz w:val="24"/>
          <w:szCs w:val="24"/>
        </w:rPr>
        <w:t>settlements by governmental entities. Such agreements can serve an</w:t>
      </w:r>
    </w:p>
    <w:p w14:paraId="6A89A0EE" w14:textId="77777777" w:rsidR="00F91F9F" w:rsidRPr="00597B2D" w:rsidRDefault="00F91F9F" w:rsidP="00F91F9F">
      <w:pPr>
        <w:pStyle w:val="NoSpacing"/>
        <w:ind w:left="720" w:firstLine="720"/>
        <w:rPr>
          <w:rFonts w:ascii="Times New Roman" w:hAnsi="Times New Roman"/>
          <w:sz w:val="24"/>
          <w:szCs w:val="24"/>
        </w:rPr>
      </w:pPr>
      <w:r w:rsidRPr="00597B2D">
        <w:rPr>
          <w:rFonts w:ascii="Times New Roman" w:hAnsi="Times New Roman"/>
          <w:sz w:val="24"/>
          <w:szCs w:val="24"/>
        </w:rPr>
        <w:t>important purpose, and our developing RSA 91-A jurisprudence, along with</w:t>
      </w:r>
    </w:p>
    <w:p w14:paraId="3CEFB10A" w14:textId="77777777" w:rsidR="00F91F9F" w:rsidRPr="00597B2D" w:rsidRDefault="00F91F9F" w:rsidP="00F91F9F">
      <w:pPr>
        <w:pStyle w:val="NoSpacing"/>
        <w:ind w:left="720" w:firstLine="720"/>
        <w:rPr>
          <w:rFonts w:ascii="Times New Roman" w:hAnsi="Times New Roman"/>
          <w:sz w:val="24"/>
          <w:szCs w:val="24"/>
        </w:rPr>
      </w:pPr>
      <w:r w:rsidRPr="00597B2D">
        <w:rPr>
          <w:rFonts w:ascii="Times New Roman" w:hAnsi="Times New Roman"/>
          <w:sz w:val="24"/>
          <w:szCs w:val="24"/>
        </w:rPr>
        <w:t>other record retention policies, may reduce or eliminate the availability of this</w:t>
      </w:r>
    </w:p>
    <w:p w14:paraId="526799A9" w14:textId="77777777" w:rsidR="00F91F9F" w:rsidRPr="00597B2D" w:rsidRDefault="00F91F9F" w:rsidP="00F91F9F">
      <w:pPr>
        <w:pStyle w:val="NoSpacing"/>
        <w:ind w:left="720" w:firstLine="720"/>
        <w:rPr>
          <w:rFonts w:ascii="Times New Roman" w:hAnsi="Times New Roman"/>
          <w:sz w:val="24"/>
          <w:szCs w:val="24"/>
        </w:rPr>
      </w:pPr>
      <w:r w:rsidRPr="00597B2D">
        <w:rPr>
          <w:rFonts w:ascii="Times New Roman" w:hAnsi="Times New Roman"/>
          <w:sz w:val="24"/>
          <w:szCs w:val="24"/>
        </w:rPr>
        <w:t>device. Restrictions on confidential settlement agreements with respect to</w:t>
      </w:r>
    </w:p>
    <w:p w14:paraId="6B7EB7BE" w14:textId="77777777" w:rsidR="00F91F9F" w:rsidRPr="00597B2D" w:rsidRDefault="00F91F9F" w:rsidP="00F91F9F">
      <w:pPr>
        <w:pStyle w:val="NoSpacing"/>
        <w:ind w:left="720" w:firstLine="720"/>
        <w:rPr>
          <w:rFonts w:ascii="Times New Roman" w:hAnsi="Times New Roman"/>
          <w:sz w:val="24"/>
          <w:szCs w:val="24"/>
        </w:rPr>
      </w:pPr>
      <w:r w:rsidRPr="00597B2D">
        <w:rPr>
          <w:rFonts w:ascii="Times New Roman" w:hAnsi="Times New Roman"/>
          <w:sz w:val="24"/>
          <w:szCs w:val="24"/>
        </w:rPr>
        <w:t>public employees, and in particular, law enforcement officers, raise policy</w:t>
      </w:r>
    </w:p>
    <w:p w14:paraId="775BDB92" w14:textId="77777777" w:rsidR="00F91F9F" w:rsidRPr="00597B2D" w:rsidRDefault="00F91F9F" w:rsidP="00F91F9F">
      <w:pPr>
        <w:pStyle w:val="NoSpacing"/>
        <w:ind w:left="1440"/>
        <w:rPr>
          <w:rFonts w:ascii="Times New Roman" w:hAnsi="Times New Roman"/>
          <w:sz w:val="24"/>
          <w:szCs w:val="24"/>
        </w:rPr>
      </w:pPr>
      <w:r w:rsidRPr="00597B2D">
        <w:rPr>
          <w:rFonts w:ascii="Times New Roman" w:hAnsi="Times New Roman"/>
          <w:sz w:val="24"/>
          <w:szCs w:val="24"/>
        </w:rPr>
        <w:t>considerations beyond the outcome of this case.</w:t>
      </w:r>
      <w:r>
        <w:rPr>
          <w:rFonts w:ascii="Times New Roman" w:hAnsi="Times New Roman"/>
          <w:sz w:val="24"/>
          <w:szCs w:val="24"/>
        </w:rPr>
        <w:t xml:space="preserve">” </w:t>
      </w:r>
      <w:hyperlink r:id="rId2658" w:history="1">
        <w:r w:rsidRPr="0090046C">
          <w:rPr>
            <w:rStyle w:val="Hyperlink"/>
            <w:rFonts w:ascii="Times New Roman" w:hAnsi="Times New Roman"/>
            <w:sz w:val="24"/>
            <w:szCs w:val="24"/>
          </w:rPr>
          <w:t>https://www.courts.nh.gov/sites/g/files/ehbemt471/files/documents/2024-03/20230083stone.pdf</w:t>
        </w:r>
      </w:hyperlink>
      <w:r>
        <w:rPr>
          <w:rFonts w:ascii="Times New Roman" w:hAnsi="Times New Roman"/>
          <w:sz w:val="24"/>
          <w:szCs w:val="24"/>
        </w:rPr>
        <w:t xml:space="preserve"> </w:t>
      </w:r>
    </w:p>
    <w:p w14:paraId="1A037171" w14:textId="77777777" w:rsidR="00F91F9F" w:rsidRDefault="00F91F9F" w:rsidP="00F91F9F">
      <w:pPr>
        <w:ind w:left="720"/>
        <w:rPr>
          <w:rFonts w:ascii="Times New Roman" w:hAnsi="Times New Roman"/>
          <w:sz w:val="24"/>
          <w:szCs w:val="24"/>
        </w:rPr>
      </w:pPr>
    </w:p>
    <w:p w14:paraId="1123CA34" w14:textId="77777777" w:rsidR="00F91F9F" w:rsidRPr="00AB7992" w:rsidRDefault="00F91F9F" w:rsidP="00F91F9F">
      <w:pPr>
        <w:ind w:left="1440"/>
        <w:rPr>
          <w:rFonts w:ascii="Times New Roman" w:hAnsi="Times New Roman"/>
          <w:sz w:val="24"/>
          <w:szCs w:val="24"/>
        </w:rPr>
      </w:pPr>
      <w:r w:rsidRPr="00AB7992">
        <w:rPr>
          <w:rFonts w:ascii="Times New Roman" w:hAnsi="Times New Roman"/>
          <w:sz w:val="24"/>
          <w:szCs w:val="24"/>
        </w:rPr>
        <w:lastRenderedPageBreak/>
        <w:t xml:space="preserve">See March 20, </w:t>
      </w:r>
      <w:proofErr w:type="gramStart"/>
      <w:r w:rsidRPr="00AB7992">
        <w:rPr>
          <w:rFonts w:ascii="Times New Roman" w:hAnsi="Times New Roman"/>
          <w:sz w:val="24"/>
          <w:szCs w:val="24"/>
        </w:rPr>
        <w:t>2024</w:t>
      </w:r>
      <w:proofErr w:type="gramEnd"/>
      <w:r w:rsidRPr="00AB7992">
        <w:rPr>
          <w:rFonts w:ascii="Times New Roman" w:hAnsi="Times New Roman"/>
          <w:sz w:val="24"/>
          <w:szCs w:val="24"/>
        </w:rPr>
        <w:t xml:space="preserve"> article, “Court denies ex-officer’s attempt to block records’ release.” </w:t>
      </w:r>
      <w:hyperlink r:id="rId2659" w:history="1">
        <w:r w:rsidRPr="0090046C">
          <w:rPr>
            <w:rStyle w:val="Hyperlink"/>
            <w:rFonts w:ascii="Times New Roman" w:hAnsi="Times New Roman"/>
            <w:sz w:val="24"/>
            <w:szCs w:val="24"/>
          </w:rPr>
          <w:t>https://www.vnews.com/Jonathan-Stone-loses-his-appeal-to-state-supreme-court-to-keep-personnel-records-private-54453646</w:t>
        </w:r>
      </w:hyperlink>
      <w:r>
        <w:rPr>
          <w:rFonts w:ascii="Times New Roman" w:hAnsi="Times New Roman"/>
          <w:sz w:val="24"/>
          <w:szCs w:val="24"/>
        </w:rPr>
        <w:t xml:space="preserve"> </w:t>
      </w:r>
    </w:p>
    <w:p w14:paraId="2510F1AD" w14:textId="77777777" w:rsidR="00F91F9F" w:rsidRDefault="00F91F9F" w:rsidP="00F91F9F">
      <w:pPr>
        <w:pStyle w:val="NormalWeb"/>
        <w:spacing w:before="0" w:beforeAutospacing="0"/>
        <w:ind w:left="1440"/>
      </w:pPr>
      <w:r>
        <w:t>“In a decision that could ripple across the law enforcement community around the state, the New Hampshire Supreme Court has ruled that a former Claremont officer and current state legislator’s disciplinary records relating to his time as a police officer for the city can be released to the public.”</w:t>
      </w:r>
    </w:p>
    <w:p w14:paraId="161449F3" w14:textId="77777777" w:rsidR="00F91F9F" w:rsidRDefault="00F91F9F" w:rsidP="00F91F9F">
      <w:pPr>
        <w:pStyle w:val="Heading1"/>
        <w:ind w:left="1440"/>
        <w:rPr>
          <w:sz w:val="24"/>
          <w:szCs w:val="24"/>
        </w:rPr>
      </w:pPr>
      <w:r w:rsidRPr="00EE2C86">
        <w:rPr>
          <w:sz w:val="24"/>
          <w:szCs w:val="24"/>
        </w:rPr>
        <w:t xml:space="preserve">See also Nov. 14, </w:t>
      </w:r>
      <w:proofErr w:type="gramStart"/>
      <w:r w:rsidRPr="00EE2C86">
        <w:rPr>
          <w:sz w:val="24"/>
          <w:szCs w:val="24"/>
        </w:rPr>
        <w:t>2023</w:t>
      </w:r>
      <w:proofErr w:type="gramEnd"/>
      <w:r w:rsidRPr="00EE2C86">
        <w:rPr>
          <w:sz w:val="24"/>
          <w:szCs w:val="24"/>
        </w:rPr>
        <w:t xml:space="preserve"> article, “Rep. Jon Stone’s Records </w:t>
      </w:r>
      <w:proofErr w:type="gramStart"/>
      <w:r w:rsidRPr="00EE2C86">
        <w:rPr>
          <w:sz w:val="24"/>
          <w:szCs w:val="24"/>
        </w:rPr>
        <w:t>As</w:t>
      </w:r>
      <w:proofErr w:type="gramEnd"/>
      <w:r w:rsidRPr="00EE2C86">
        <w:rPr>
          <w:sz w:val="24"/>
          <w:szCs w:val="24"/>
        </w:rPr>
        <w:t xml:space="preserve"> a Cop Are Humiliating, Lawyer Tells NH Supreme Court.”</w:t>
      </w:r>
      <w:r>
        <w:rPr>
          <w:sz w:val="24"/>
          <w:szCs w:val="24"/>
        </w:rPr>
        <w:t xml:space="preserve"> </w:t>
      </w:r>
      <w:hyperlink r:id="rId2660" w:history="1">
        <w:r w:rsidRPr="0090046C">
          <w:rPr>
            <w:rStyle w:val="Hyperlink"/>
            <w:sz w:val="24"/>
            <w:szCs w:val="24"/>
          </w:rPr>
          <w:t>https://indepthnh.org/2023/11/14/rep-jon-stones-records-as-a-cop-are-humiliating-lawyer-tells-nh-supreme-court/</w:t>
        </w:r>
      </w:hyperlink>
      <w:r>
        <w:rPr>
          <w:sz w:val="24"/>
          <w:szCs w:val="24"/>
        </w:rPr>
        <w:t xml:space="preserve"> </w:t>
      </w:r>
    </w:p>
    <w:p w14:paraId="2365A96C" w14:textId="77777777" w:rsidR="00F91F9F" w:rsidRDefault="00F91F9F" w:rsidP="00F91F9F">
      <w:pPr>
        <w:pStyle w:val="NormalWeb"/>
        <w:ind w:left="1440"/>
      </w:pPr>
      <w:r>
        <w:t>“Whatever is in the Claremont Police Department’s internal affairs records that state Rep. Jon Stone is trying to hide from the public, it’s bad, his lawyer told the New Hampshire Supreme Court on Tuesday.  ‘It will embarrass and humiliate my client, and it will embarrass and humiliate multiple people in the city of Claremont,</w:t>
      </w:r>
      <w:proofErr w:type="gramStart"/>
      <w:r>
        <w:t>’ attorney Peter DeCato said</w:t>
      </w:r>
      <w:proofErr w:type="gramEnd"/>
      <w:r>
        <w:t>. *** After Stone left the department, then Police Chief Alex Scott would subsequently file a Form B with the New Hampshire Police Standards and Training Council informing the council Stone was terminated for reasons of moral turpitude.”</w:t>
      </w:r>
    </w:p>
    <w:p w14:paraId="0E216C47" w14:textId="77777777" w:rsidR="00F91F9F" w:rsidRDefault="00F91F9F" w:rsidP="00F91F9F">
      <w:pPr>
        <w:spacing w:before="100" w:beforeAutospacing="1" w:after="100" w:afterAutospacing="1" w:line="240" w:lineRule="auto"/>
        <w:outlineLvl w:val="0"/>
        <w:rPr>
          <w:rFonts w:ascii="Times New Roman" w:hAnsi="Times New Roman"/>
          <w:sz w:val="24"/>
          <w:szCs w:val="24"/>
        </w:rPr>
      </w:pPr>
    </w:p>
    <w:p w14:paraId="3343A3AE" w14:textId="77777777" w:rsidR="00F91F9F" w:rsidRDefault="00F91F9F" w:rsidP="00F91F9F">
      <w:pPr>
        <w:spacing w:before="100" w:beforeAutospacing="1" w:after="100" w:afterAutospacing="1" w:line="240" w:lineRule="auto"/>
        <w:outlineLvl w:val="0"/>
        <w:rPr>
          <w:rFonts w:ascii="Times New Roman" w:hAnsi="Times New Roman"/>
          <w:sz w:val="24"/>
          <w:szCs w:val="24"/>
        </w:rPr>
      </w:pPr>
    </w:p>
    <w:p w14:paraId="44EB136A" w14:textId="77777777" w:rsidR="00F91F9F" w:rsidRDefault="00F91F9F" w:rsidP="00F91F9F">
      <w:pPr>
        <w:spacing w:before="100" w:beforeAutospacing="1" w:after="100" w:afterAutospacing="1" w:line="240" w:lineRule="auto"/>
        <w:outlineLvl w:val="0"/>
        <w:rPr>
          <w:rFonts w:ascii="Times New Roman" w:hAnsi="Times New Roman"/>
          <w:sz w:val="24"/>
          <w:szCs w:val="24"/>
        </w:rPr>
      </w:pPr>
    </w:p>
    <w:p w14:paraId="38FD1E4C" w14:textId="581332B8" w:rsidR="00F91F9F" w:rsidRDefault="00F91F9F" w:rsidP="00F91F9F">
      <w:pPr>
        <w:pStyle w:val="NoSpacing"/>
        <w:rPr>
          <w:rFonts w:ascii="Arial Black" w:hAnsi="Arial Black"/>
          <w:sz w:val="24"/>
          <w:szCs w:val="24"/>
        </w:rPr>
      </w:pPr>
      <w:r>
        <w:rPr>
          <w:rFonts w:ascii="Arial Black" w:hAnsi="Arial Black"/>
          <w:sz w:val="24"/>
          <w:szCs w:val="24"/>
        </w:rPr>
        <w:t>16-106</w:t>
      </w:r>
    </w:p>
    <w:p w14:paraId="11B4A05B" w14:textId="4FE9DF47" w:rsidR="00F91F9F" w:rsidRPr="004B4468" w:rsidRDefault="00F91F9F" w:rsidP="00F91F9F">
      <w:pPr>
        <w:spacing w:before="100" w:beforeAutospacing="1" w:after="100" w:afterAutospacing="1" w:line="240" w:lineRule="auto"/>
        <w:outlineLvl w:val="0"/>
        <w:rPr>
          <w:rFonts w:ascii="Arial Black" w:hAnsi="Arial Black"/>
          <w:sz w:val="28"/>
          <w:szCs w:val="28"/>
        </w:rPr>
      </w:pPr>
      <w:r>
        <w:rPr>
          <w:rFonts w:ascii="Arial Black" w:hAnsi="Arial Black"/>
          <w:sz w:val="28"/>
          <w:szCs w:val="28"/>
        </w:rPr>
        <w:t xml:space="preserve">WI: CIVIL UNREST – FF ORDERED TO EVACUATE STATION TO ANOTHER STATION – SAYS MIGHT “LAY UP” – FIRED </w:t>
      </w:r>
    </w:p>
    <w:p w14:paraId="59788AD7" w14:textId="77777777" w:rsidR="00F91F9F" w:rsidRDefault="00F91F9F" w:rsidP="00F91F9F">
      <w:pPr>
        <w:spacing w:before="100" w:beforeAutospacing="1" w:after="100" w:afterAutospacing="1" w:line="240" w:lineRule="auto"/>
        <w:outlineLvl w:val="0"/>
        <w:rPr>
          <w:rFonts w:ascii="Times New Roman" w:hAnsi="Times New Roman"/>
          <w:sz w:val="24"/>
          <w:szCs w:val="24"/>
        </w:rPr>
      </w:pPr>
      <w:proofErr w:type="gramStart"/>
      <w:r>
        <w:rPr>
          <w:rFonts w:ascii="Times New Roman" w:hAnsi="Times New Roman"/>
          <w:sz w:val="24"/>
          <w:szCs w:val="24"/>
        </w:rPr>
        <w:t>On March</w:t>
      </w:r>
      <w:proofErr w:type="gramEnd"/>
      <w:r>
        <w:rPr>
          <w:rFonts w:ascii="Times New Roman" w:hAnsi="Times New Roman"/>
          <w:sz w:val="24"/>
          <w:szCs w:val="24"/>
        </w:rPr>
        <w:t xml:space="preserve"> 5, 2024, </w:t>
      </w:r>
      <w:r w:rsidRPr="00577C94">
        <w:rPr>
          <w:rFonts w:ascii="Times New Roman" w:hAnsi="Times New Roman"/>
          <w:sz w:val="24"/>
          <w:szCs w:val="24"/>
          <w:u w:val="single"/>
        </w:rPr>
        <w:t>in Michael. S. Peden v. City of Milwaukee Board of Fire and Police Commissioners</w:t>
      </w:r>
      <w:r>
        <w:rPr>
          <w:rFonts w:ascii="Times New Roman" w:hAnsi="Times New Roman"/>
          <w:sz w:val="24"/>
          <w:szCs w:val="24"/>
        </w:rPr>
        <w:t xml:space="preserve">, the Court of Appeals of Wisconsin, District I, held (3 to 0; unpublished decision) that the Board properly upheld the termination after a fair hearing. </w:t>
      </w:r>
      <w:r w:rsidRPr="006D4804">
        <w:rPr>
          <w:rFonts w:ascii="Times New Roman" w:hAnsi="Times New Roman"/>
          <w:sz w:val="24"/>
          <w:szCs w:val="24"/>
        </w:rPr>
        <w:t>Peden explained that he believed that</w:t>
      </w:r>
      <w:r>
        <w:rPr>
          <w:rFonts w:ascii="Times New Roman" w:hAnsi="Times New Roman"/>
          <w:sz w:val="24"/>
          <w:szCs w:val="24"/>
        </w:rPr>
        <w:t xml:space="preserve"> another firefighter</w:t>
      </w:r>
      <w:r w:rsidRPr="006D4804">
        <w:rPr>
          <w:rFonts w:ascii="Times New Roman" w:hAnsi="Times New Roman"/>
          <w:sz w:val="24"/>
          <w:szCs w:val="24"/>
        </w:rPr>
        <w:t>, who had allegedly framed him in a past sexual assault case, was scheduled to be working at the other station</w:t>
      </w:r>
      <w:r>
        <w:rPr>
          <w:rFonts w:ascii="Times New Roman" w:hAnsi="Times New Roman"/>
          <w:sz w:val="24"/>
          <w:szCs w:val="24"/>
        </w:rPr>
        <w:t xml:space="preserve">; he never claimed he was actual ill. </w:t>
      </w:r>
    </w:p>
    <w:p w14:paraId="23D7E072" w14:textId="77777777" w:rsidR="004305B6" w:rsidRPr="004C0299" w:rsidRDefault="004305B6" w:rsidP="004305B6">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00733466" w14:textId="77777777" w:rsidR="00F91F9F" w:rsidRPr="00792421" w:rsidRDefault="00F91F9F" w:rsidP="00F91F9F">
      <w:pPr>
        <w:spacing w:before="100" w:beforeAutospacing="1" w:after="100" w:afterAutospacing="1" w:line="240" w:lineRule="auto"/>
        <w:ind w:left="720"/>
        <w:outlineLvl w:val="0"/>
        <w:rPr>
          <w:rFonts w:ascii="Times New Roman" w:hAnsi="Times New Roman"/>
          <w:sz w:val="24"/>
          <w:szCs w:val="24"/>
        </w:rPr>
      </w:pPr>
      <w:r>
        <w:t>“</w:t>
      </w:r>
      <w:r w:rsidRPr="00792421">
        <w:rPr>
          <w:rFonts w:ascii="Times New Roman" w:hAnsi="Times New Roman"/>
          <w:sz w:val="24"/>
          <w:szCs w:val="24"/>
        </w:rPr>
        <w:t>The Board heard testimony from multiple witnesses, including Assistant Chief Aaron Lipski, Peden, Rebecca Coffee-Peden's former defense attorney who represented him in the sexual assault case-and psychotherapist Jay Schrinsky, who opined that Peden suffers from posttraumatic stress disorder (PTSD) stemming from the sexual assault case. The Board unanimously concluded that Peden should be terminated.</w:t>
      </w:r>
    </w:p>
    <w:p w14:paraId="5EADDBCF" w14:textId="77777777" w:rsidR="00F91F9F" w:rsidRDefault="00F91F9F" w:rsidP="00F91F9F">
      <w:pPr>
        <w:pStyle w:val="NormalWeb"/>
        <w:ind w:left="720"/>
      </w:pPr>
      <w:r>
        <w:t>***</w:t>
      </w:r>
    </w:p>
    <w:p w14:paraId="4ED67B3A" w14:textId="77777777" w:rsidR="00F91F9F" w:rsidRDefault="00F91F9F" w:rsidP="00F91F9F">
      <w:pPr>
        <w:pStyle w:val="NormalWeb"/>
        <w:ind w:left="720"/>
      </w:pPr>
      <w:r>
        <w:t xml:space="preserve">In this case, Peden was terminated for his refusal to comply with a direct order to transfer to a different station for the duration of his shift during civil unrest. As the City argued in closing at the administrative </w:t>
      </w:r>
      <w:r>
        <w:lastRenderedPageBreak/>
        <w:t>hearing, ‘[t]his case boils down to was [Peden] given a direct order? Was he capable of following that direct order? Did he choose not to follow that direct order?’ The circumstances surrounding the sexual assault case against Peden were not relevant.</w:t>
      </w:r>
    </w:p>
    <w:p w14:paraId="15423C03" w14:textId="77777777" w:rsidR="00F91F9F" w:rsidRDefault="00F91F9F" w:rsidP="00F91F9F">
      <w:pPr>
        <w:pStyle w:val="NormalWeb"/>
        <w:ind w:left="720"/>
      </w:pPr>
      <w:r>
        <w:t>***</w:t>
      </w:r>
    </w:p>
    <w:p w14:paraId="2904EDB2" w14:textId="77777777" w:rsidR="00F91F9F" w:rsidRDefault="00F91F9F" w:rsidP="00F91F9F">
      <w:pPr>
        <w:pStyle w:val="NormalWeb"/>
        <w:ind w:left="720"/>
      </w:pPr>
      <w:r w:rsidRPr="00DC5CF1">
        <w:t>Footnote 1:  In 2017, Peden was charged with second-degree sexual assault of another firefighter, Aleah Ellis. Jason Strzelecki, also a firefighter and Ellis's then-boyfriend, was interviewed in the investigation. In 2019, the criminal case was dismissed.</w:t>
      </w:r>
      <w:r>
        <w:t xml:space="preserve">”  </w:t>
      </w:r>
      <w:hyperlink r:id="rId2661" w:history="1">
        <w:r w:rsidRPr="0090149E">
          <w:rPr>
            <w:rStyle w:val="Hyperlink"/>
          </w:rPr>
          <w:t>https://public.fastcase.com/H1P9uiW3J20SFp%2BGCG%2BxLYnumIVIfsGACQtvjphi2XY03JuMe7fj8LYdA6mgqlK3BbmtQ%2FoJ5o3JnUu66xez4U0Yi6wQOqSsnYT7%2FU1%2BNuI%3D?utm_medium=email&amp;_hsmi=226712652&amp;_hsenc=p2ANqtz-_mOZCnm_LbXEmI1zB76drE4EDUF13YglxTvTeEnBHhjbPE-34_IMopnnbUF8mE8HxS5G0Ftb4dM_ZSxt2dhhqJsyxB9A&amp;utm_content=226712652&amp;utm_source=hs_email</w:t>
        </w:r>
      </w:hyperlink>
      <w:r>
        <w:t xml:space="preserve"> </w:t>
      </w:r>
    </w:p>
    <w:p w14:paraId="63E9E340" w14:textId="77777777" w:rsidR="00F91F9F" w:rsidRDefault="00F91F9F" w:rsidP="00F91F9F">
      <w:pPr>
        <w:spacing w:before="100" w:beforeAutospacing="1" w:after="100" w:afterAutospacing="1" w:line="240" w:lineRule="auto"/>
        <w:outlineLvl w:val="0"/>
        <w:rPr>
          <w:rFonts w:ascii="Times New Roman" w:hAnsi="Times New Roman"/>
          <w:b/>
          <w:bCs/>
          <w:sz w:val="24"/>
          <w:szCs w:val="24"/>
        </w:rPr>
      </w:pPr>
      <w:r w:rsidRPr="00122C10">
        <w:rPr>
          <w:rFonts w:ascii="Times New Roman" w:hAnsi="Times New Roman"/>
          <w:b/>
          <w:bCs/>
          <w:sz w:val="24"/>
          <w:szCs w:val="24"/>
        </w:rPr>
        <w:t>Legal Lesson Learned:</w:t>
      </w:r>
      <w:r>
        <w:rPr>
          <w:rFonts w:ascii="Times New Roman" w:hAnsi="Times New Roman"/>
          <w:b/>
          <w:bCs/>
          <w:sz w:val="24"/>
          <w:szCs w:val="24"/>
        </w:rPr>
        <w:t xml:space="preserve"> Violating a direct order can be basis for termination, particularly in a period of civil unrest where fire stations were being evacuated to protect the firefighters. </w:t>
      </w:r>
    </w:p>
    <w:p w14:paraId="0C2612DC" w14:textId="77777777" w:rsidR="00F91F9F" w:rsidRDefault="00F91F9F" w:rsidP="00F326E5">
      <w:pPr>
        <w:pStyle w:val="NoSpacing"/>
        <w:rPr>
          <w:rFonts w:ascii="Arial Black" w:hAnsi="Arial Black"/>
          <w:sz w:val="24"/>
          <w:szCs w:val="24"/>
        </w:rPr>
      </w:pPr>
    </w:p>
    <w:p w14:paraId="530D1534" w14:textId="77777777" w:rsidR="00F91F9F" w:rsidRDefault="00F91F9F" w:rsidP="00F326E5">
      <w:pPr>
        <w:pStyle w:val="NoSpacing"/>
        <w:rPr>
          <w:rFonts w:ascii="Arial Black" w:hAnsi="Arial Black"/>
          <w:sz w:val="24"/>
          <w:szCs w:val="24"/>
        </w:rPr>
      </w:pPr>
    </w:p>
    <w:p w14:paraId="0BA43EA7" w14:textId="77777777" w:rsidR="00F91F9F" w:rsidRDefault="00F91F9F" w:rsidP="00F326E5">
      <w:pPr>
        <w:pStyle w:val="NoSpacing"/>
        <w:rPr>
          <w:rFonts w:ascii="Arial Black" w:hAnsi="Arial Black"/>
          <w:sz w:val="24"/>
          <w:szCs w:val="24"/>
        </w:rPr>
      </w:pPr>
    </w:p>
    <w:p w14:paraId="377CCFDE" w14:textId="77777777" w:rsidR="00F91F9F" w:rsidRDefault="00F91F9F" w:rsidP="00F326E5">
      <w:pPr>
        <w:pStyle w:val="NoSpacing"/>
        <w:rPr>
          <w:rFonts w:ascii="Arial Black" w:hAnsi="Arial Black"/>
          <w:sz w:val="24"/>
          <w:szCs w:val="24"/>
        </w:rPr>
      </w:pPr>
    </w:p>
    <w:p w14:paraId="552C734D" w14:textId="37043548" w:rsidR="00D1090F" w:rsidRDefault="00D1090F" w:rsidP="00F326E5">
      <w:pPr>
        <w:pStyle w:val="NoSpacing"/>
        <w:rPr>
          <w:rFonts w:ascii="Arial Black" w:hAnsi="Arial Black"/>
          <w:sz w:val="24"/>
          <w:szCs w:val="24"/>
        </w:rPr>
      </w:pPr>
      <w:r>
        <w:rPr>
          <w:rFonts w:ascii="Arial Black" w:hAnsi="Arial Black"/>
          <w:sz w:val="24"/>
          <w:szCs w:val="24"/>
        </w:rPr>
        <w:t>16-105</w:t>
      </w:r>
    </w:p>
    <w:p w14:paraId="000C4F3D" w14:textId="77777777" w:rsidR="006E77A8" w:rsidRPr="00D26276" w:rsidRDefault="006E77A8" w:rsidP="006E77A8">
      <w:pPr>
        <w:spacing w:before="100" w:beforeAutospacing="1" w:after="100" w:afterAutospacing="1"/>
        <w:outlineLvl w:val="0"/>
        <w:rPr>
          <w:rFonts w:ascii="Arial Black" w:eastAsia="Times New Roman" w:hAnsi="Arial Black"/>
          <w:b/>
          <w:bCs/>
          <w:kern w:val="36"/>
          <w:sz w:val="28"/>
          <w:szCs w:val="28"/>
        </w:rPr>
      </w:pPr>
      <w:r>
        <w:rPr>
          <w:rFonts w:ascii="Arial Black" w:eastAsia="Times New Roman" w:hAnsi="Arial Black"/>
          <w:b/>
          <w:bCs/>
          <w:kern w:val="36"/>
          <w:sz w:val="28"/>
          <w:szCs w:val="28"/>
        </w:rPr>
        <w:t>OH: CINCINNATI FIRE CHIEF WAS FIRED – NOT “AT WILL” AFTER 6 MO. PROB. - ONLY “FOR CAUSE” – CASE PROCEED</w:t>
      </w:r>
    </w:p>
    <w:p w14:paraId="7348841D" w14:textId="77777777" w:rsidR="006E77A8" w:rsidRDefault="006E77A8" w:rsidP="006E77A8">
      <w:pPr>
        <w:pStyle w:val="NoSpacing"/>
        <w:rPr>
          <w:rFonts w:ascii="Times New Roman" w:hAnsi="Times New Roman"/>
          <w:sz w:val="24"/>
          <w:szCs w:val="24"/>
        </w:rPr>
      </w:pPr>
      <w:r>
        <w:rPr>
          <w:rFonts w:ascii="Times New Roman" w:hAnsi="Times New Roman"/>
          <w:sz w:val="24"/>
          <w:szCs w:val="24"/>
        </w:rPr>
        <w:t xml:space="preserve">On Feb. 7, 2023, in </w:t>
      </w:r>
      <w:r w:rsidRPr="00DC5906">
        <w:rPr>
          <w:rFonts w:ascii="Times New Roman" w:hAnsi="Times New Roman"/>
          <w:sz w:val="24"/>
          <w:szCs w:val="24"/>
          <w:u w:val="single"/>
        </w:rPr>
        <w:t>Michael Washington v. City of Cincinnati and Sheryl Long</w:t>
      </w:r>
      <w:r>
        <w:rPr>
          <w:rFonts w:ascii="Times New Roman" w:hAnsi="Times New Roman"/>
          <w:sz w:val="24"/>
          <w:szCs w:val="24"/>
        </w:rPr>
        <w:t>, U.S. District Court Judge Douglas R. Cole, U.S. District Court for Southern District of Ohio (Western Division) denied Citty’s motion for dismissal; finding that “</w:t>
      </w:r>
      <w:r w:rsidRPr="00945D7C">
        <w:rPr>
          <w:rFonts w:ascii="Times New Roman" w:hAnsi="Times New Roman"/>
          <w:sz w:val="24"/>
          <w:szCs w:val="24"/>
        </w:rPr>
        <w:t>Washington has validly pleaded claims for state and federal due process</w:t>
      </w:r>
      <w:r>
        <w:rPr>
          <w:rFonts w:ascii="Times New Roman" w:hAnsi="Times New Roman"/>
          <w:sz w:val="24"/>
          <w:szCs w:val="24"/>
        </w:rPr>
        <w:t xml:space="preserve"> </w:t>
      </w:r>
      <w:r w:rsidRPr="00945D7C">
        <w:rPr>
          <w:rFonts w:ascii="Times New Roman" w:hAnsi="Times New Roman"/>
          <w:sz w:val="24"/>
          <w:szCs w:val="24"/>
        </w:rPr>
        <w:t>violations, defamation, and entitlement to declaratory relief. Furthermore, based on</w:t>
      </w:r>
      <w:r>
        <w:rPr>
          <w:rFonts w:ascii="Times New Roman" w:hAnsi="Times New Roman"/>
          <w:sz w:val="24"/>
          <w:szCs w:val="24"/>
        </w:rPr>
        <w:t xml:space="preserve"> </w:t>
      </w:r>
      <w:r w:rsidRPr="00945D7C">
        <w:rPr>
          <w:rFonts w:ascii="Times New Roman" w:hAnsi="Times New Roman"/>
          <w:sz w:val="24"/>
          <w:szCs w:val="24"/>
        </w:rPr>
        <w:t xml:space="preserve">the allegations in the Amended Complaint, </w:t>
      </w:r>
      <w:r>
        <w:rPr>
          <w:rFonts w:ascii="Times New Roman" w:hAnsi="Times New Roman"/>
          <w:sz w:val="24"/>
          <w:szCs w:val="24"/>
        </w:rPr>
        <w:t>[City Mgr.]</w:t>
      </w:r>
      <w:r w:rsidRPr="00945D7C">
        <w:rPr>
          <w:rFonts w:ascii="Times New Roman" w:hAnsi="Times New Roman"/>
          <w:sz w:val="24"/>
          <w:szCs w:val="24"/>
        </w:rPr>
        <w:t>Long cannot rely on either qualified or</w:t>
      </w:r>
      <w:r>
        <w:rPr>
          <w:rFonts w:ascii="Times New Roman" w:hAnsi="Times New Roman"/>
          <w:sz w:val="24"/>
          <w:szCs w:val="24"/>
        </w:rPr>
        <w:t xml:space="preserve"> </w:t>
      </w:r>
      <w:r w:rsidRPr="00945D7C">
        <w:rPr>
          <w:rFonts w:ascii="Times New Roman" w:hAnsi="Times New Roman"/>
          <w:sz w:val="24"/>
          <w:szCs w:val="24"/>
        </w:rPr>
        <w:t>state-law immunity to extinguish the individual-capacity claims against her.</w:t>
      </w:r>
      <w:r>
        <w:rPr>
          <w:rFonts w:ascii="Times New Roman" w:hAnsi="Times New Roman"/>
          <w:sz w:val="24"/>
          <w:szCs w:val="24"/>
        </w:rPr>
        <w:t xml:space="preserve">” </w:t>
      </w:r>
    </w:p>
    <w:p w14:paraId="40014C24" w14:textId="77777777" w:rsidR="006E77A8" w:rsidRDefault="006E77A8" w:rsidP="006E77A8">
      <w:pPr>
        <w:pStyle w:val="NoSpacing"/>
        <w:rPr>
          <w:rFonts w:ascii="Times New Roman" w:hAnsi="Times New Roman"/>
          <w:sz w:val="24"/>
          <w:szCs w:val="24"/>
        </w:rPr>
      </w:pPr>
    </w:p>
    <w:p w14:paraId="0CD2CF15" w14:textId="77777777" w:rsidR="006E77A8" w:rsidRDefault="006E77A8" w:rsidP="006E77A8">
      <w:pPr>
        <w:pStyle w:val="NoSpacing"/>
        <w:rPr>
          <w:rFonts w:ascii="Times New Roman" w:hAnsi="Times New Roman"/>
          <w:sz w:val="24"/>
          <w:szCs w:val="24"/>
        </w:rPr>
      </w:pPr>
      <w:r>
        <w:rPr>
          <w:rFonts w:ascii="Times New Roman" w:hAnsi="Times New Roman"/>
          <w:sz w:val="24"/>
          <w:szCs w:val="24"/>
        </w:rPr>
        <w:t>The Court held:</w:t>
      </w:r>
    </w:p>
    <w:p w14:paraId="0E5F0F7B" w14:textId="77777777" w:rsidR="006E77A8" w:rsidRDefault="006E77A8" w:rsidP="006E77A8">
      <w:pPr>
        <w:pStyle w:val="NoSpacing"/>
        <w:ind w:firstLine="720"/>
        <w:rPr>
          <w:rFonts w:ascii="Times New Roman" w:hAnsi="Times New Roman"/>
          <w:sz w:val="24"/>
          <w:szCs w:val="24"/>
        </w:rPr>
      </w:pPr>
    </w:p>
    <w:p w14:paraId="6FE193A8" w14:textId="77777777" w:rsidR="006E77A8" w:rsidRPr="00D26276" w:rsidRDefault="006E77A8" w:rsidP="006E77A8">
      <w:pPr>
        <w:pStyle w:val="NoSpacing"/>
        <w:ind w:firstLine="720"/>
        <w:rPr>
          <w:rFonts w:ascii="Times New Roman" w:hAnsi="Times New Roman"/>
          <w:sz w:val="24"/>
          <w:szCs w:val="24"/>
        </w:rPr>
      </w:pPr>
      <w:r>
        <w:rPr>
          <w:rFonts w:ascii="Times New Roman" w:hAnsi="Times New Roman"/>
          <w:sz w:val="24"/>
          <w:szCs w:val="24"/>
        </w:rPr>
        <w:t>“</w:t>
      </w:r>
      <w:r w:rsidRPr="00D26276">
        <w:rPr>
          <w:rFonts w:ascii="Times New Roman" w:hAnsi="Times New Roman"/>
          <w:sz w:val="24"/>
          <w:szCs w:val="24"/>
        </w:rPr>
        <w:t>As explained further below, the Court concludes dismissal is unwarranted.</w:t>
      </w:r>
    </w:p>
    <w:p w14:paraId="3BEA9A27" w14:textId="77777777" w:rsidR="006E77A8" w:rsidRPr="00D26276" w:rsidRDefault="006E77A8" w:rsidP="006E77A8">
      <w:pPr>
        <w:pStyle w:val="NoSpacing"/>
        <w:ind w:firstLine="720"/>
        <w:rPr>
          <w:rFonts w:ascii="Times New Roman" w:hAnsi="Times New Roman"/>
          <w:sz w:val="24"/>
          <w:szCs w:val="24"/>
        </w:rPr>
      </w:pPr>
      <w:r w:rsidRPr="00D26276">
        <w:rPr>
          <w:rFonts w:ascii="Times New Roman" w:hAnsi="Times New Roman"/>
          <w:sz w:val="24"/>
          <w:szCs w:val="24"/>
        </w:rPr>
        <w:t>Washington has alleged a cognizable property interest in his employment under the</w:t>
      </w:r>
    </w:p>
    <w:p w14:paraId="3228A967" w14:textId="77777777" w:rsidR="006E77A8" w:rsidRPr="00D26276" w:rsidRDefault="006E77A8" w:rsidP="006E77A8">
      <w:pPr>
        <w:pStyle w:val="NoSpacing"/>
        <w:ind w:firstLine="720"/>
        <w:rPr>
          <w:rFonts w:ascii="Times New Roman" w:hAnsi="Times New Roman"/>
          <w:sz w:val="24"/>
          <w:szCs w:val="24"/>
        </w:rPr>
      </w:pPr>
      <w:r w:rsidRPr="00D26276">
        <w:rPr>
          <w:rFonts w:ascii="Times New Roman" w:hAnsi="Times New Roman"/>
          <w:sz w:val="24"/>
          <w:szCs w:val="24"/>
        </w:rPr>
        <w:t>City’s charter, which made him removable only “for cause.” Thus, Washington’s due</w:t>
      </w:r>
    </w:p>
    <w:p w14:paraId="5CF7A916" w14:textId="77777777" w:rsidR="006E77A8" w:rsidRPr="00D26276" w:rsidRDefault="006E77A8" w:rsidP="006E77A8">
      <w:pPr>
        <w:pStyle w:val="NoSpacing"/>
        <w:ind w:firstLine="720"/>
        <w:rPr>
          <w:rFonts w:ascii="Times New Roman" w:hAnsi="Times New Roman"/>
          <w:sz w:val="24"/>
          <w:szCs w:val="24"/>
        </w:rPr>
      </w:pPr>
      <w:r w:rsidRPr="00D26276">
        <w:rPr>
          <w:rFonts w:ascii="Times New Roman" w:hAnsi="Times New Roman"/>
          <w:sz w:val="24"/>
          <w:szCs w:val="24"/>
        </w:rPr>
        <w:t>process claims and attendant demand for declaratory relief premised on the due</w:t>
      </w:r>
    </w:p>
    <w:p w14:paraId="241E9493" w14:textId="77777777" w:rsidR="006E77A8" w:rsidRPr="00D26276" w:rsidRDefault="006E77A8" w:rsidP="006E77A8">
      <w:pPr>
        <w:pStyle w:val="NoSpacing"/>
        <w:ind w:firstLine="720"/>
        <w:rPr>
          <w:rFonts w:ascii="Times New Roman" w:hAnsi="Times New Roman"/>
          <w:sz w:val="24"/>
          <w:szCs w:val="24"/>
        </w:rPr>
      </w:pPr>
      <w:r w:rsidRPr="00D26276">
        <w:rPr>
          <w:rFonts w:ascii="Times New Roman" w:hAnsi="Times New Roman"/>
          <w:sz w:val="24"/>
          <w:szCs w:val="24"/>
        </w:rPr>
        <w:t>process violations clear the 12(b)(6) hurdle. The Amended Complaint also plausibly</w:t>
      </w:r>
    </w:p>
    <w:p w14:paraId="44368E3D" w14:textId="77777777" w:rsidR="006E77A8" w:rsidRPr="00D26276" w:rsidRDefault="006E77A8" w:rsidP="006E77A8">
      <w:pPr>
        <w:pStyle w:val="NoSpacing"/>
        <w:ind w:firstLine="720"/>
        <w:rPr>
          <w:rFonts w:ascii="Times New Roman" w:hAnsi="Times New Roman"/>
          <w:sz w:val="24"/>
          <w:szCs w:val="24"/>
        </w:rPr>
      </w:pPr>
      <w:r w:rsidRPr="00D26276">
        <w:rPr>
          <w:rFonts w:ascii="Times New Roman" w:hAnsi="Times New Roman"/>
          <w:sz w:val="24"/>
          <w:szCs w:val="24"/>
        </w:rPr>
        <w:t>states a claim for defamation—but Washington can proceed to the merits of this claim</w:t>
      </w:r>
    </w:p>
    <w:p w14:paraId="7BFB94E5" w14:textId="77777777" w:rsidR="006E77A8" w:rsidRPr="00D26276" w:rsidRDefault="006E77A8" w:rsidP="006E77A8">
      <w:pPr>
        <w:pStyle w:val="NoSpacing"/>
        <w:ind w:firstLine="720"/>
        <w:rPr>
          <w:rFonts w:ascii="Times New Roman" w:hAnsi="Times New Roman"/>
          <w:sz w:val="24"/>
          <w:szCs w:val="24"/>
        </w:rPr>
      </w:pPr>
      <w:r w:rsidRPr="00D26276">
        <w:rPr>
          <w:rFonts w:ascii="Times New Roman" w:hAnsi="Times New Roman"/>
          <w:sz w:val="24"/>
          <w:szCs w:val="24"/>
        </w:rPr>
        <w:t xml:space="preserve">on only two of the allegedly defamatory </w:t>
      </w:r>
      <w:proofErr w:type="gramStart"/>
      <w:r w:rsidRPr="00D26276">
        <w:rPr>
          <w:rFonts w:ascii="Times New Roman" w:hAnsi="Times New Roman"/>
          <w:sz w:val="24"/>
          <w:szCs w:val="24"/>
        </w:rPr>
        <w:t>statements</w:t>
      </w:r>
      <w:proofErr w:type="gramEnd"/>
      <w:r w:rsidRPr="00D26276">
        <w:rPr>
          <w:rFonts w:ascii="Times New Roman" w:hAnsi="Times New Roman"/>
          <w:sz w:val="24"/>
          <w:szCs w:val="24"/>
        </w:rPr>
        <w:t xml:space="preserve"> he identifies in the Amended</w:t>
      </w:r>
    </w:p>
    <w:p w14:paraId="7D8C141E" w14:textId="77777777" w:rsidR="006E77A8" w:rsidRPr="00D26276" w:rsidRDefault="006E77A8" w:rsidP="006E77A8">
      <w:pPr>
        <w:pStyle w:val="NoSpacing"/>
        <w:ind w:firstLine="720"/>
        <w:rPr>
          <w:rFonts w:ascii="Times New Roman" w:hAnsi="Times New Roman"/>
          <w:sz w:val="24"/>
          <w:szCs w:val="24"/>
        </w:rPr>
      </w:pPr>
      <w:r w:rsidRPr="00D26276">
        <w:rPr>
          <w:rFonts w:ascii="Times New Roman" w:hAnsi="Times New Roman"/>
          <w:sz w:val="24"/>
          <w:szCs w:val="24"/>
        </w:rPr>
        <w:t>Complaint. Finally, Long’s claims of immunity from suit in her individual capacity</w:t>
      </w:r>
    </w:p>
    <w:p w14:paraId="01ECB7B7" w14:textId="77777777" w:rsidR="006E77A8" w:rsidRPr="00D26276" w:rsidRDefault="006E77A8" w:rsidP="006E77A8">
      <w:pPr>
        <w:pStyle w:val="NoSpacing"/>
        <w:ind w:left="720"/>
        <w:rPr>
          <w:rFonts w:ascii="Times New Roman" w:hAnsi="Times New Roman"/>
          <w:sz w:val="24"/>
          <w:szCs w:val="24"/>
        </w:rPr>
      </w:pPr>
      <w:r w:rsidRPr="00D26276">
        <w:rPr>
          <w:rFonts w:ascii="Times New Roman" w:hAnsi="Times New Roman"/>
          <w:sz w:val="24"/>
          <w:szCs w:val="24"/>
        </w:rPr>
        <w:t>fall short at this stage of the litigation.</w:t>
      </w:r>
      <w:r>
        <w:rPr>
          <w:rFonts w:ascii="Times New Roman" w:hAnsi="Times New Roman"/>
          <w:sz w:val="24"/>
          <w:szCs w:val="24"/>
        </w:rPr>
        <w:t xml:space="preserve">” </w:t>
      </w:r>
      <w:hyperlink r:id="rId2662" w:history="1">
        <w:r w:rsidRPr="00216BB3">
          <w:rPr>
            <w:rStyle w:val="Hyperlink"/>
            <w:rFonts w:ascii="Times New Roman" w:hAnsi="Times New Roman"/>
            <w:sz w:val="24"/>
            <w:szCs w:val="24"/>
          </w:rPr>
          <w:t>https://cases.justia.com/federal/district-courts/ohio/ohsdce/1:2023cv00230/279336/13/0.pdf?ts=1707452867</w:t>
        </w:r>
      </w:hyperlink>
      <w:r>
        <w:rPr>
          <w:rFonts w:ascii="Times New Roman" w:hAnsi="Times New Roman"/>
          <w:sz w:val="24"/>
          <w:szCs w:val="24"/>
        </w:rPr>
        <w:t xml:space="preserve"> </w:t>
      </w:r>
    </w:p>
    <w:p w14:paraId="763C1CFC" w14:textId="77777777" w:rsidR="006E77A8" w:rsidRDefault="006E77A8" w:rsidP="006E77A8">
      <w:pPr>
        <w:pStyle w:val="NoSpacing"/>
        <w:rPr>
          <w:rFonts w:ascii="Times New Roman" w:hAnsi="Times New Roman"/>
          <w:b/>
          <w:bCs/>
          <w:sz w:val="24"/>
          <w:szCs w:val="24"/>
        </w:rPr>
      </w:pPr>
      <w:r w:rsidRPr="00BB6010">
        <w:rPr>
          <w:rFonts w:ascii="Times New Roman" w:hAnsi="Times New Roman"/>
          <w:b/>
          <w:bCs/>
          <w:sz w:val="24"/>
          <w:szCs w:val="24"/>
        </w:rPr>
        <w:lastRenderedPageBreak/>
        <w:t>Legal Lesson Learned:</w:t>
      </w:r>
      <w:r>
        <w:rPr>
          <w:rFonts w:ascii="Times New Roman" w:hAnsi="Times New Roman"/>
          <w:b/>
          <w:bCs/>
          <w:sz w:val="24"/>
          <w:szCs w:val="24"/>
        </w:rPr>
        <w:t xml:space="preserve"> Provide due process to Fire Chief or other senior officers, even if position is “unclassified” and not covered by civil service protection, including written notice of concerns, and then if concerns not addressed, a pre-disciplinary conference. </w:t>
      </w:r>
    </w:p>
    <w:p w14:paraId="7B30F823" w14:textId="77777777" w:rsidR="006E77A8" w:rsidRDefault="006E77A8" w:rsidP="006E77A8">
      <w:pPr>
        <w:pStyle w:val="NoSpacing"/>
        <w:rPr>
          <w:rFonts w:ascii="Times New Roman" w:hAnsi="Times New Roman"/>
          <w:b/>
          <w:bCs/>
          <w:sz w:val="24"/>
          <w:szCs w:val="24"/>
        </w:rPr>
      </w:pPr>
    </w:p>
    <w:p w14:paraId="20AC5C04" w14:textId="77777777" w:rsidR="006E77A8" w:rsidRPr="00F93B49" w:rsidRDefault="006E77A8" w:rsidP="006E77A8">
      <w:pPr>
        <w:pStyle w:val="NoSpacing"/>
        <w:rPr>
          <w:rFonts w:ascii="Times New Roman" w:hAnsi="Times New Roman"/>
          <w:sz w:val="24"/>
          <w:szCs w:val="24"/>
        </w:rPr>
      </w:pPr>
      <w:r>
        <w:rPr>
          <w:rFonts w:ascii="Times New Roman" w:hAnsi="Times New Roman"/>
          <w:b/>
          <w:bCs/>
          <w:sz w:val="24"/>
          <w:szCs w:val="24"/>
        </w:rPr>
        <w:tab/>
      </w:r>
      <w:r w:rsidRPr="00F93B49">
        <w:rPr>
          <w:rFonts w:ascii="Times New Roman" w:hAnsi="Times New Roman"/>
          <w:sz w:val="24"/>
          <w:szCs w:val="24"/>
        </w:rPr>
        <w:t>Note: The Court wrote: “And Washington alleges that he was given no pre-deprivation</w:t>
      </w:r>
    </w:p>
    <w:p w14:paraId="0F52BE54" w14:textId="77777777" w:rsidR="006E77A8" w:rsidRPr="00F93B49" w:rsidRDefault="006E77A8" w:rsidP="006E77A8">
      <w:pPr>
        <w:pStyle w:val="NoSpacing"/>
        <w:ind w:left="720"/>
        <w:rPr>
          <w:rFonts w:ascii="Times New Roman" w:hAnsi="Times New Roman"/>
          <w:sz w:val="24"/>
          <w:szCs w:val="24"/>
        </w:rPr>
      </w:pPr>
      <w:r w:rsidRPr="00F93B49">
        <w:rPr>
          <w:rFonts w:ascii="Times New Roman" w:hAnsi="Times New Roman"/>
          <w:sz w:val="24"/>
          <w:szCs w:val="24"/>
        </w:rPr>
        <w:t xml:space="preserve">notice or hearing </w:t>
      </w:r>
      <w:r>
        <w:rPr>
          <w:rFonts w:ascii="Times New Roman" w:hAnsi="Times New Roman"/>
          <w:sz w:val="24"/>
          <w:szCs w:val="24"/>
        </w:rPr>
        <w:t xml:space="preserve"> - </w:t>
      </w:r>
      <w:r w:rsidRPr="00F93B49">
        <w:rPr>
          <w:rFonts w:ascii="Times New Roman" w:hAnsi="Times New Roman"/>
          <w:sz w:val="24"/>
          <w:szCs w:val="24"/>
        </w:rPr>
        <w:t>thereby plausibly alleging a lack of adequate pre-deprivation process to challenge Long’s termination decision. Cleveland Bd. of Ed. v.</w:t>
      </w:r>
      <w:r>
        <w:rPr>
          <w:rFonts w:ascii="Times New Roman" w:hAnsi="Times New Roman"/>
          <w:sz w:val="24"/>
          <w:szCs w:val="24"/>
        </w:rPr>
        <w:t xml:space="preserve"> </w:t>
      </w:r>
      <w:r w:rsidRPr="00F93B49">
        <w:rPr>
          <w:rFonts w:ascii="Times New Roman" w:hAnsi="Times New Roman"/>
          <w:sz w:val="24"/>
          <w:szCs w:val="24"/>
        </w:rPr>
        <w:t>Loudermill, 470 U.S. 532, 542 (1985)</w:t>
      </w:r>
      <w:r>
        <w:rPr>
          <w:rFonts w:ascii="Times New Roman" w:hAnsi="Times New Roman"/>
          <w:sz w:val="24"/>
          <w:szCs w:val="24"/>
        </w:rPr>
        <w:t xml:space="preserve">. </w:t>
      </w:r>
    </w:p>
    <w:p w14:paraId="745C4AD2" w14:textId="77777777" w:rsidR="006E77A8" w:rsidRPr="003F6B2A" w:rsidRDefault="006E77A8" w:rsidP="006E77A8">
      <w:pPr>
        <w:spacing w:before="100" w:beforeAutospacing="1" w:after="100" w:afterAutospacing="1"/>
        <w:ind w:left="720"/>
        <w:outlineLvl w:val="0"/>
        <w:rPr>
          <w:rStyle w:val="Hyperlink"/>
          <w:rFonts w:ascii="Times New Roman" w:eastAsia="Times New Roman" w:hAnsi="Times New Roman"/>
          <w:kern w:val="36"/>
          <w:sz w:val="24"/>
          <w:szCs w:val="24"/>
        </w:rPr>
      </w:pPr>
      <w:r w:rsidRPr="003F6B2A">
        <w:rPr>
          <w:rFonts w:ascii="Times New Roman" w:eastAsia="Times New Roman" w:hAnsi="Times New Roman"/>
          <w:kern w:val="36"/>
          <w:sz w:val="24"/>
          <w:szCs w:val="24"/>
        </w:rPr>
        <w:t xml:space="preserve">See Feb. 8, </w:t>
      </w:r>
      <w:proofErr w:type="gramStart"/>
      <w:r w:rsidRPr="003F6B2A">
        <w:rPr>
          <w:rFonts w:ascii="Times New Roman" w:eastAsia="Times New Roman" w:hAnsi="Times New Roman"/>
          <w:kern w:val="36"/>
          <w:sz w:val="24"/>
          <w:szCs w:val="24"/>
        </w:rPr>
        <w:t>2024</w:t>
      </w:r>
      <w:proofErr w:type="gramEnd"/>
      <w:r w:rsidRPr="003F6B2A">
        <w:rPr>
          <w:rFonts w:ascii="Times New Roman" w:eastAsia="Times New Roman" w:hAnsi="Times New Roman"/>
          <w:kern w:val="36"/>
          <w:sz w:val="24"/>
          <w:szCs w:val="24"/>
        </w:rPr>
        <w:t xml:space="preserve"> article, “'First step towards justice': Court says ex-Cincinnati fire chief can sue city over firing.” </w:t>
      </w:r>
      <w:hyperlink r:id="rId2663" w:history="1">
        <w:r w:rsidRPr="003F6B2A">
          <w:rPr>
            <w:rStyle w:val="Hyperlink"/>
            <w:rFonts w:ascii="Times New Roman" w:eastAsia="Times New Roman" w:hAnsi="Times New Roman"/>
            <w:kern w:val="36"/>
            <w:sz w:val="24"/>
            <w:szCs w:val="24"/>
          </w:rPr>
          <w:t>https://www.cincinnati.com/story/news/politics/2024/02/08/court-former-fire-chief-michael-washington-can-sue-city/72523727007/</w:t>
        </w:r>
      </w:hyperlink>
    </w:p>
    <w:p w14:paraId="13AF3DDF" w14:textId="77777777" w:rsidR="006E77A8" w:rsidRDefault="006E77A8" w:rsidP="006E77A8">
      <w:pPr>
        <w:pStyle w:val="NormalWeb"/>
        <w:jc w:val="center"/>
      </w:pPr>
    </w:p>
    <w:p w14:paraId="23333F33" w14:textId="77777777" w:rsidR="006E77A8" w:rsidRDefault="006E77A8" w:rsidP="00F326E5">
      <w:pPr>
        <w:pStyle w:val="NoSpacing"/>
        <w:rPr>
          <w:rFonts w:ascii="Arial Black" w:hAnsi="Arial Black"/>
          <w:sz w:val="24"/>
          <w:szCs w:val="24"/>
        </w:rPr>
      </w:pPr>
    </w:p>
    <w:p w14:paraId="1EF89963" w14:textId="77777777" w:rsidR="00D1090F" w:rsidRDefault="00D1090F" w:rsidP="00F326E5">
      <w:pPr>
        <w:pStyle w:val="NoSpacing"/>
        <w:rPr>
          <w:rFonts w:ascii="Arial Black" w:hAnsi="Arial Black"/>
          <w:sz w:val="24"/>
          <w:szCs w:val="24"/>
        </w:rPr>
      </w:pPr>
    </w:p>
    <w:p w14:paraId="12056DFE" w14:textId="77777777" w:rsidR="00D1090F" w:rsidRDefault="00D1090F" w:rsidP="00F326E5">
      <w:pPr>
        <w:pStyle w:val="NoSpacing"/>
        <w:rPr>
          <w:rFonts w:ascii="Arial Black" w:hAnsi="Arial Black"/>
          <w:sz w:val="24"/>
          <w:szCs w:val="24"/>
        </w:rPr>
      </w:pPr>
    </w:p>
    <w:p w14:paraId="6644EEF6" w14:textId="25503B73" w:rsidR="00004BED" w:rsidRDefault="00004BED" w:rsidP="00F326E5">
      <w:pPr>
        <w:pStyle w:val="NoSpacing"/>
        <w:rPr>
          <w:rFonts w:ascii="Arial Black" w:hAnsi="Arial Black"/>
          <w:sz w:val="24"/>
          <w:szCs w:val="24"/>
        </w:rPr>
      </w:pPr>
      <w:r>
        <w:rPr>
          <w:rFonts w:ascii="Arial Black" w:hAnsi="Arial Black"/>
          <w:sz w:val="24"/>
          <w:szCs w:val="24"/>
        </w:rPr>
        <w:t>16-104</w:t>
      </w:r>
    </w:p>
    <w:p w14:paraId="01D2753C" w14:textId="77777777" w:rsidR="00004BED" w:rsidRPr="001C660F" w:rsidRDefault="00004BED" w:rsidP="00004BED">
      <w:pPr>
        <w:pStyle w:val="Heading1"/>
        <w:rPr>
          <w:rFonts w:ascii="Arial Black" w:hAnsi="Arial Black"/>
          <w:sz w:val="28"/>
          <w:szCs w:val="28"/>
        </w:rPr>
      </w:pPr>
      <w:r>
        <w:rPr>
          <w:rFonts w:ascii="Arial Black" w:hAnsi="Arial Black"/>
          <w:sz w:val="28"/>
          <w:szCs w:val="28"/>
        </w:rPr>
        <w:t>DC: FEMA -  SUSPENDED 13 DAYS – WELL DOCUMENTED REPRIMANDS – CASE DISMISSED, NO RETALIATION</w:t>
      </w:r>
    </w:p>
    <w:p w14:paraId="01E82C0F" w14:textId="77777777" w:rsidR="00004BED" w:rsidRDefault="00004BED" w:rsidP="00004BED">
      <w:pPr>
        <w:pStyle w:val="NoSpacing"/>
        <w:rPr>
          <w:rFonts w:ascii="Times New Roman" w:hAnsi="Times New Roman"/>
          <w:sz w:val="24"/>
          <w:szCs w:val="24"/>
        </w:rPr>
      </w:pPr>
      <w:r>
        <w:rPr>
          <w:rFonts w:ascii="Times New Roman" w:hAnsi="Times New Roman"/>
          <w:sz w:val="24"/>
          <w:szCs w:val="24"/>
        </w:rPr>
        <w:t xml:space="preserve">On Jan. 22, 2024, in </w:t>
      </w:r>
      <w:r w:rsidRPr="00D859E0">
        <w:rPr>
          <w:rFonts w:ascii="Times New Roman" w:hAnsi="Times New Roman"/>
          <w:sz w:val="24"/>
          <w:szCs w:val="24"/>
          <w:u w:val="single"/>
        </w:rPr>
        <w:t>Karl Rabenhorst v. Alejandro Mayorkas, Secretary, U.S. Department of Homeland Security</w:t>
      </w:r>
      <w:r>
        <w:rPr>
          <w:rFonts w:ascii="Times New Roman" w:hAnsi="Times New Roman"/>
          <w:sz w:val="24"/>
          <w:szCs w:val="24"/>
        </w:rPr>
        <w:t xml:space="preserve">, U.S. District Court Judge Manish S. Shah, U.S. District Court for Northern District of Illinois (Eastern Division), granted the Government’s motion for summary judgment.  </w:t>
      </w:r>
    </w:p>
    <w:p w14:paraId="42EEE3D7" w14:textId="77777777" w:rsidR="00004BED" w:rsidRDefault="00004BED" w:rsidP="00004BED">
      <w:pPr>
        <w:pStyle w:val="NoSpacing"/>
        <w:rPr>
          <w:rFonts w:ascii="Times New Roman" w:hAnsi="Times New Roman"/>
          <w:sz w:val="24"/>
          <w:szCs w:val="24"/>
        </w:rPr>
      </w:pPr>
    </w:p>
    <w:p w14:paraId="61A775E8" w14:textId="77777777" w:rsidR="00004BED" w:rsidRDefault="00004BED" w:rsidP="00004BED">
      <w:pPr>
        <w:pStyle w:val="NoSpacing"/>
        <w:ind w:left="720"/>
        <w:rPr>
          <w:rFonts w:ascii="Times New Roman" w:hAnsi="Times New Roman"/>
          <w:sz w:val="24"/>
          <w:szCs w:val="24"/>
        </w:rPr>
      </w:pPr>
      <w:r>
        <w:rPr>
          <w:rFonts w:ascii="Times New Roman" w:hAnsi="Times New Roman"/>
          <w:sz w:val="24"/>
          <w:szCs w:val="24"/>
        </w:rPr>
        <w:t>“</w:t>
      </w:r>
      <w:r w:rsidRPr="00395707">
        <w:rPr>
          <w:rFonts w:ascii="Times New Roman" w:hAnsi="Times New Roman"/>
          <w:sz w:val="24"/>
          <w:szCs w:val="24"/>
        </w:rPr>
        <w:t>Rabenhorst also fails to offer any evidence</w:t>
      </w:r>
      <w:r>
        <w:rPr>
          <w:rFonts w:ascii="Times New Roman" w:hAnsi="Times New Roman"/>
          <w:sz w:val="24"/>
          <w:szCs w:val="24"/>
        </w:rPr>
        <w:t xml:space="preserve"> </w:t>
      </w:r>
      <w:r w:rsidRPr="00395707">
        <w:rPr>
          <w:rFonts w:ascii="Times New Roman" w:hAnsi="Times New Roman"/>
          <w:sz w:val="24"/>
          <w:szCs w:val="24"/>
        </w:rPr>
        <w:t>of ambiguous statements of animus or similarly situated employees who were treated</w:t>
      </w:r>
      <w:r>
        <w:rPr>
          <w:rFonts w:ascii="Times New Roman" w:hAnsi="Times New Roman"/>
          <w:sz w:val="24"/>
          <w:szCs w:val="24"/>
        </w:rPr>
        <w:t xml:space="preserve"> </w:t>
      </w:r>
      <w:r w:rsidRPr="00395707">
        <w:rPr>
          <w:rFonts w:ascii="Times New Roman" w:hAnsi="Times New Roman"/>
          <w:sz w:val="24"/>
          <w:szCs w:val="24"/>
        </w:rPr>
        <w:t>differently. Rabenhorst has not presented any evidence that O’Leary’s reasons for the</w:t>
      </w:r>
      <w:r>
        <w:rPr>
          <w:rFonts w:ascii="Times New Roman" w:hAnsi="Times New Roman"/>
          <w:sz w:val="24"/>
          <w:szCs w:val="24"/>
        </w:rPr>
        <w:t xml:space="preserve"> </w:t>
      </w:r>
      <w:r w:rsidRPr="00395707">
        <w:rPr>
          <w:rFonts w:ascii="Times New Roman" w:hAnsi="Times New Roman"/>
          <w:sz w:val="24"/>
          <w:szCs w:val="24"/>
        </w:rPr>
        <w:t>suspension were pretextual. There is no evidence that would allow a jury to find that</w:t>
      </w:r>
      <w:r>
        <w:rPr>
          <w:rFonts w:ascii="Times New Roman" w:hAnsi="Times New Roman"/>
          <w:sz w:val="24"/>
          <w:szCs w:val="24"/>
        </w:rPr>
        <w:t xml:space="preserve"> </w:t>
      </w:r>
      <w:r w:rsidRPr="00395707">
        <w:rPr>
          <w:rFonts w:ascii="Times New Roman" w:hAnsi="Times New Roman"/>
          <w:sz w:val="24"/>
          <w:szCs w:val="24"/>
        </w:rPr>
        <w:t>O’Leary’s decision to suspend Rabenhorst without pay for 13 days was motivated by</w:t>
      </w:r>
      <w:r>
        <w:rPr>
          <w:rFonts w:ascii="Times New Roman" w:hAnsi="Times New Roman"/>
          <w:sz w:val="24"/>
          <w:szCs w:val="24"/>
        </w:rPr>
        <w:t xml:space="preserve"> </w:t>
      </w:r>
      <w:r w:rsidRPr="00395707">
        <w:rPr>
          <w:rFonts w:ascii="Times New Roman" w:hAnsi="Times New Roman"/>
          <w:sz w:val="24"/>
          <w:szCs w:val="24"/>
        </w:rPr>
        <w:t>anything but Rabenhorst’s misconduct.</w:t>
      </w:r>
      <w:r>
        <w:rPr>
          <w:rFonts w:ascii="Times New Roman" w:hAnsi="Times New Roman"/>
          <w:sz w:val="24"/>
          <w:szCs w:val="24"/>
        </w:rPr>
        <w:t xml:space="preserve">” </w:t>
      </w:r>
    </w:p>
    <w:p w14:paraId="036982FA" w14:textId="7063306D" w:rsidR="00004BED" w:rsidRDefault="00004BED" w:rsidP="00004BED">
      <w:pPr>
        <w:pStyle w:val="NoSpacing"/>
        <w:rPr>
          <w:rFonts w:ascii="Arial Black" w:hAnsi="Arial Black"/>
          <w:sz w:val="24"/>
          <w:szCs w:val="24"/>
        </w:rPr>
      </w:pPr>
      <w:hyperlink r:id="rId2664" w:history="1">
        <w:r w:rsidRPr="00624A20">
          <w:rPr>
            <w:rStyle w:val="Hyperlink"/>
            <w:rFonts w:ascii="Times New Roman" w:hAnsi="Times New Roman"/>
            <w:sz w:val="24"/>
            <w:szCs w:val="24"/>
          </w:rPr>
          <w:t>https://cases.justia.com/federal/district-courts/illinois/ilndce/1:2021cv03620/405182/52/0.pdf?ts=1706027592</w:t>
        </w:r>
      </w:hyperlink>
    </w:p>
    <w:p w14:paraId="2361AB0B" w14:textId="77777777" w:rsidR="00004BED" w:rsidRDefault="00004BED" w:rsidP="00F326E5">
      <w:pPr>
        <w:pStyle w:val="NoSpacing"/>
        <w:rPr>
          <w:rFonts w:ascii="Arial Black" w:hAnsi="Arial Black"/>
          <w:sz w:val="24"/>
          <w:szCs w:val="24"/>
        </w:rPr>
      </w:pPr>
    </w:p>
    <w:p w14:paraId="5805E9E1" w14:textId="77777777" w:rsidR="001B7DE1" w:rsidRDefault="001B7DE1" w:rsidP="001B7DE1">
      <w:pPr>
        <w:pStyle w:val="NoSpacing"/>
        <w:rPr>
          <w:b/>
          <w:bCs/>
        </w:rPr>
      </w:pPr>
      <w:r w:rsidRPr="004041F9">
        <w:rPr>
          <w:rFonts w:ascii="Times New Roman" w:hAnsi="Times New Roman"/>
          <w:b/>
          <w:bCs/>
          <w:sz w:val="24"/>
          <w:szCs w:val="24"/>
        </w:rPr>
        <w:t xml:space="preserve">Legal Lesson Learned: </w:t>
      </w:r>
      <w:r>
        <w:rPr>
          <w:rFonts w:ascii="Times New Roman" w:hAnsi="Times New Roman"/>
          <w:b/>
          <w:bCs/>
          <w:sz w:val="24"/>
          <w:szCs w:val="24"/>
        </w:rPr>
        <w:t xml:space="preserve">Thorough documentation of discipline led to dismissal of this lawsuit.  </w:t>
      </w:r>
    </w:p>
    <w:p w14:paraId="0AACF249" w14:textId="77777777" w:rsidR="00004BED" w:rsidRDefault="00004BED" w:rsidP="00F326E5">
      <w:pPr>
        <w:pStyle w:val="NoSpacing"/>
        <w:rPr>
          <w:rFonts w:ascii="Arial Black" w:hAnsi="Arial Black"/>
          <w:sz w:val="24"/>
          <w:szCs w:val="24"/>
        </w:rPr>
      </w:pPr>
    </w:p>
    <w:p w14:paraId="58796F2F" w14:textId="77777777" w:rsidR="001B7DE1" w:rsidRDefault="001B7DE1" w:rsidP="00F326E5">
      <w:pPr>
        <w:pStyle w:val="NoSpacing"/>
        <w:rPr>
          <w:rFonts w:ascii="Arial Black" w:hAnsi="Arial Black"/>
          <w:sz w:val="24"/>
          <w:szCs w:val="24"/>
        </w:rPr>
      </w:pPr>
    </w:p>
    <w:p w14:paraId="586C9110" w14:textId="77777777" w:rsidR="001B7DE1" w:rsidRDefault="001B7DE1" w:rsidP="00F326E5">
      <w:pPr>
        <w:pStyle w:val="NoSpacing"/>
        <w:rPr>
          <w:rFonts w:ascii="Arial Black" w:hAnsi="Arial Black"/>
          <w:sz w:val="24"/>
          <w:szCs w:val="24"/>
        </w:rPr>
      </w:pPr>
    </w:p>
    <w:p w14:paraId="1D8E9AEC" w14:textId="74EB8728" w:rsidR="001D190A" w:rsidRDefault="001D190A" w:rsidP="00F326E5">
      <w:pPr>
        <w:pStyle w:val="NoSpacing"/>
        <w:rPr>
          <w:rFonts w:ascii="Arial Black" w:hAnsi="Arial Black"/>
          <w:sz w:val="24"/>
          <w:szCs w:val="24"/>
        </w:rPr>
      </w:pPr>
      <w:r>
        <w:rPr>
          <w:rFonts w:ascii="Arial Black" w:hAnsi="Arial Black"/>
          <w:sz w:val="24"/>
          <w:szCs w:val="24"/>
        </w:rPr>
        <w:t>16-103</w:t>
      </w:r>
    </w:p>
    <w:p w14:paraId="312C76B5" w14:textId="77777777" w:rsidR="001D190A" w:rsidRDefault="001D190A" w:rsidP="00F326E5">
      <w:pPr>
        <w:pStyle w:val="NoSpacing"/>
        <w:rPr>
          <w:rFonts w:ascii="Arial Black" w:hAnsi="Arial Black"/>
          <w:sz w:val="24"/>
          <w:szCs w:val="24"/>
        </w:rPr>
      </w:pPr>
    </w:p>
    <w:p w14:paraId="35599DF1" w14:textId="77777777" w:rsidR="001D190A" w:rsidRPr="00A34D02" w:rsidRDefault="001D190A" w:rsidP="001D190A">
      <w:pPr>
        <w:pStyle w:val="NoSpacing"/>
        <w:rPr>
          <w:rFonts w:ascii="Arial Black" w:hAnsi="Arial Black"/>
          <w:sz w:val="28"/>
          <w:szCs w:val="28"/>
        </w:rPr>
      </w:pPr>
      <w:r>
        <w:rPr>
          <w:rFonts w:ascii="Arial Black" w:hAnsi="Arial Black"/>
          <w:sz w:val="28"/>
          <w:szCs w:val="28"/>
        </w:rPr>
        <w:t>WV: FF TERMINATION UPHELD - ARRESTS DOMESTIC VIOL – DISCHARGED FIREARM - CIVIL SERVICE COMM. REVERSED</w:t>
      </w:r>
    </w:p>
    <w:p w14:paraId="4A0CF2D4" w14:textId="77777777" w:rsidR="001D190A" w:rsidRDefault="001D190A" w:rsidP="001D190A">
      <w:pPr>
        <w:pStyle w:val="NoSpacing"/>
        <w:rPr>
          <w:rFonts w:ascii="Times New Roman" w:hAnsi="Times New Roman"/>
          <w:sz w:val="24"/>
          <w:szCs w:val="24"/>
        </w:rPr>
      </w:pPr>
    </w:p>
    <w:p w14:paraId="6DCC8568" w14:textId="77777777" w:rsidR="001D190A" w:rsidRDefault="001D190A" w:rsidP="001D190A">
      <w:pPr>
        <w:pStyle w:val="NoSpacing"/>
        <w:rPr>
          <w:rFonts w:ascii="Times New Roman" w:hAnsi="Times New Roman"/>
          <w:sz w:val="24"/>
          <w:szCs w:val="24"/>
        </w:rPr>
      </w:pPr>
      <w:r>
        <w:rPr>
          <w:rFonts w:ascii="Times New Roman" w:hAnsi="Times New Roman"/>
          <w:sz w:val="24"/>
          <w:szCs w:val="24"/>
        </w:rPr>
        <w:t xml:space="preserve">On Dec. 27, 2023, in </w:t>
      </w:r>
      <w:r w:rsidRPr="00ED4A72">
        <w:rPr>
          <w:rFonts w:ascii="Times New Roman" w:hAnsi="Times New Roman"/>
          <w:sz w:val="24"/>
          <w:szCs w:val="24"/>
          <w:u w:val="single"/>
        </w:rPr>
        <w:t>Nicholas Graley v. City of South Charleston</w:t>
      </w:r>
      <w:r>
        <w:rPr>
          <w:rFonts w:ascii="Times New Roman" w:hAnsi="Times New Roman"/>
          <w:sz w:val="24"/>
          <w:szCs w:val="24"/>
        </w:rPr>
        <w:t xml:space="preserve">, the Intermediate Court of Appeals of West Virginia held (3 to 0) that the firefighters </w:t>
      </w:r>
      <w:proofErr w:type="gramStart"/>
      <w:r>
        <w:rPr>
          <w:rFonts w:ascii="Times New Roman" w:hAnsi="Times New Roman"/>
          <w:sz w:val="24"/>
          <w:szCs w:val="24"/>
        </w:rPr>
        <w:t>was</w:t>
      </w:r>
      <w:proofErr w:type="gramEnd"/>
      <w:r>
        <w:rPr>
          <w:rFonts w:ascii="Times New Roman" w:hAnsi="Times New Roman"/>
          <w:sz w:val="24"/>
          <w:szCs w:val="24"/>
        </w:rPr>
        <w:t xml:space="preserve"> properly terminated, upholding the decision of the Circuit Court judge of </w:t>
      </w:r>
      <w:r w:rsidRPr="00A95B2F">
        <w:rPr>
          <w:rFonts w:ascii="Times New Roman" w:hAnsi="Times New Roman"/>
          <w:sz w:val="24"/>
          <w:szCs w:val="24"/>
        </w:rPr>
        <w:t xml:space="preserve">Kanawha </w:t>
      </w:r>
      <w:r>
        <w:rPr>
          <w:rFonts w:ascii="Times New Roman" w:hAnsi="Times New Roman"/>
          <w:sz w:val="24"/>
          <w:szCs w:val="24"/>
        </w:rPr>
        <w:t>County; the City’s Civil Service Commission decision to only suspend firefighter reversed.  The Court held: “</w:t>
      </w:r>
      <w:r w:rsidRPr="0023429B">
        <w:rPr>
          <w:rFonts w:ascii="Times New Roman" w:hAnsi="Times New Roman"/>
          <w:sz w:val="24"/>
          <w:szCs w:val="24"/>
        </w:rPr>
        <w:t>Further, the final order of the Commission is reversed because the Commission</w:t>
      </w:r>
      <w:r>
        <w:rPr>
          <w:rFonts w:ascii="Times New Roman" w:hAnsi="Times New Roman"/>
          <w:sz w:val="24"/>
          <w:szCs w:val="24"/>
        </w:rPr>
        <w:t xml:space="preserve"> </w:t>
      </w:r>
      <w:r w:rsidRPr="0023429B">
        <w:rPr>
          <w:rFonts w:ascii="Times New Roman" w:hAnsi="Times New Roman"/>
          <w:sz w:val="24"/>
          <w:szCs w:val="24"/>
        </w:rPr>
        <w:t>entirely failed to consider important aspects of the case and offered explanations that ran</w:t>
      </w:r>
      <w:r>
        <w:rPr>
          <w:rFonts w:ascii="Times New Roman" w:hAnsi="Times New Roman"/>
          <w:sz w:val="24"/>
          <w:szCs w:val="24"/>
        </w:rPr>
        <w:t xml:space="preserve"> </w:t>
      </w:r>
      <w:r w:rsidRPr="0023429B">
        <w:rPr>
          <w:rFonts w:ascii="Times New Roman" w:hAnsi="Times New Roman"/>
          <w:sz w:val="24"/>
          <w:szCs w:val="24"/>
        </w:rPr>
        <w:t>counter to the evidence.</w:t>
      </w:r>
      <w:r>
        <w:rPr>
          <w:rFonts w:ascii="Times New Roman" w:hAnsi="Times New Roman"/>
          <w:sz w:val="24"/>
          <w:szCs w:val="24"/>
        </w:rPr>
        <w:t xml:space="preserve"> </w:t>
      </w:r>
      <w:r w:rsidRPr="0023429B">
        <w:rPr>
          <w:rFonts w:ascii="Times New Roman" w:hAnsi="Times New Roman"/>
          <w:sz w:val="24"/>
          <w:szCs w:val="24"/>
        </w:rPr>
        <w:t xml:space="preserve">For instance, </w:t>
      </w:r>
      <w:r w:rsidRPr="0023429B">
        <w:rPr>
          <w:rFonts w:ascii="Times New Roman" w:hAnsi="Times New Roman"/>
          <w:sz w:val="24"/>
          <w:szCs w:val="24"/>
        </w:rPr>
        <w:lastRenderedPageBreak/>
        <w:t>the Commission failed to consider any of the facts related to the May</w:t>
      </w:r>
      <w:r>
        <w:rPr>
          <w:rFonts w:ascii="Times New Roman" w:hAnsi="Times New Roman"/>
          <w:sz w:val="24"/>
          <w:szCs w:val="24"/>
        </w:rPr>
        <w:t xml:space="preserve"> </w:t>
      </w:r>
      <w:r w:rsidRPr="0023429B">
        <w:rPr>
          <w:rFonts w:ascii="Times New Roman" w:hAnsi="Times New Roman"/>
          <w:sz w:val="24"/>
          <w:szCs w:val="24"/>
        </w:rPr>
        <w:t>30, 2019, incident wherein Mr. Graley was involved in an altercation while drinking in</w:t>
      </w:r>
      <w:r>
        <w:rPr>
          <w:rFonts w:ascii="Times New Roman" w:hAnsi="Times New Roman"/>
          <w:sz w:val="24"/>
          <w:szCs w:val="24"/>
        </w:rPr>
        <w:t xml:space="preserve"> </w:t>
      </w:r>
      <w:r w:rsidRPr="0023429B">
        <w:rPr>
          <w:rFonts w:ascii="Times New Roman" w:hAnsi="Times New Roman"/>
          <w:sz w:val="24"/>
          <w:szCs w:val="24"/>
        </w:rPr>
        <w:t>public then followed members of that altercation home after being asked not to, discharged</w:t>
      </w:r>
      <w:r>
        <w:rPr>
          <w:rFonts w:ascii="Times New Roman" w:hAnsi="Times New Roman"/>
          <w:sz w:val="24"/>
          <w:szCs w:val="24"/>
        </w:rPr>
        <w:t xml:space="preserve"> </w:t>
      </w:r>
      <w:r w:rsidRPr="0023429B">
        <w:rPr>
          <w:rFonts w:ascii="Times New Roman" w:hAnsi="Times New Roman"/>
          <w:sz w:val="24"/>
          <w:szCs w:val="24"/>
        </w:rPr>
        <w:t>his firearm from his vehicle, and initially lied to law enforcement about his actions. The</w:t>
      </w:r>
      <w:r>
        <w:rPr>
          <w:rFonts w:ascii="Times New Roman" w:hAnsi="Times New Roman"/>
          <w:sz w:val="24"/>
          <w:szCs w:val="24"/>
        </w:rPr>
        <w:t xml:space="preserve"> </w:t>
      </w:r>
      <w:r w:rsidRPr="0023429B">
        <w:rPr>
          <w:rFonts w:ascii="Times New Roman" w:hAnsi="Times New Roman"/>
          <w:sz w:val="24"/>
          <w:szCs w:val="24"/>
        </w:rPr>
        <w:t>Commission also failed to consider that Mr. Graley lied about, or minimized, his actions</w:t>
      </w:r>
      <w:r>
        <w:rPr>
          <w:rFonts w:ascii="Times New Roman" w:hAnsi="Times New Roman"/>
          <w:sz w:val="24"/>
          <w:szCs w:val="24"/>
        </w:rPr>
        <w:t xml:space="preserve"> </w:t>
      </w:r>
      <w:r w:rsidRPr="0023429B">
        <w:rPr>
          <w:rFonts w:ascii="Times New Roman" w:hAnsi="Times New Roman"/>
          <w:sz w:val="24"/>
          <w:szCs w:val="24"/>
        </w:rPr>
        <w:t xml:space="preserve">concerning this incident to Chief </w:t>
      </w:r>
      <w:proofErr w:type="gramStart"/>
      <w:r w:rsidRPr="0023429B">
        <w:rPr>
          <w:rFonts w:ascii="Times New Roman" w:hAnsi="Times New Roman"/>
          <w:sz w:val="24"/>
          <w:szCs w:val="24"/>
        </w:rPr>
        <w:t>White.</w:t>
      </w:r>
      <w:r>
        <w:rPr>
          <w:rFonts w:ascii="Times New Roman" w:hAnsi="Times New Roman"/>
          <w:sz w:val="24"/>
          <w:szCs w:val="24"/>
        </w:rPr>
        <w:t>”</w:t>
      </w:r>
      <w:proofErr w:type="gramEnd"/>
      <w:r>
        <w:rPr>
          <w:rFonts w:ascii="Times New Roman" w:hAnsi="Times New Roman"/>
          <w:sz w:val="24"/>
          <w:szCs w:val="24"/>
        </w:rPr>
        <w:t xml:space="preserve">  </w:t>
      </w:r>
      <w:hyperlink r:id="rId2665" w:history="1">
        <w:r w:rsidRPr="00911235">
          <w:rPr>
            <w:rStyle w:val="Hyperlink"/>
            <w:rFonts w:ascii="Times New Roman" w:hAnsi="Times New Roman"/>
            <w:sz w:val="24"/>
            <w:szCs w:val="24"/>
          </w:rPr>
          <w:t>https://www.courtswv.gov/sites/default/pubfilesmnt/2023-12/22-ICA-267_MD.pdf</w:t>
        </w:r>
      </w:hyperlink>
      <w:r>
        <w:rPr>
          <w:rFonts w:ascii="Times New Roman" w:hAnsi="Times New Roman"/>
          <w:sz w:val="24"/>
          <w:szCs w:val="24"/>
        </w:rPr>
        <w:t xml:space="preserve"> </w:t>
      </w:r>
    </w:p>
    <w:p w14:paraId="27A990B8" w14:textId="77777777" w:rsidR="004E344B" w:rsidRDefault="004E344B" w:rsidP="004E344B">
      <w:pPr>
        <w:pStyle w:val="NormalWeb"/>
        <w:rPr>
          <w:b/>
          <w:bCs/>
        </w:rPr>
      </w:pPr>
      <w:r>
        <w:rPr>
          <w:b/>
          <w:bCs/>
        </w:rPr>
        <w:t>Legal Lesson Learned: Fire Chief properly terminated, not suspended firefighter; four Judges properly overruled Civil Service Commission.</w:t>
      </w:r>
    </w:p>
    <w:p w14:paraId="5AE1E8B7" w14:textId="77777777" w:rsidR="004E344B" w:rsidRDefault="004E344B" w:rsidP="00F326E5">
      <w:pPr>
        <w:pStyle w:val="NoSpacing"/>
        <w:rPr>
          <w:rFonts w:ascii="Arial Black" w:hAnsi="Arial Black"/>
          <w:sz w:val="24"/>
          <w:szCs w:val="24"/>
        </w:rPr>
      </w:pPr>
    </w:p>
    <w:p w14:paraId="55D05BAB" w14:textId="77777777" w:rsidR="001D190A" w:rsidRDefault="001D190A" w:rsidP="00F326E5">
      <w:pPr>
        <w:pStyle w:val="NoSpacing"/>
        <w:rPr>
          <w:rFonts w:ascii="Arial Black" w:hAnsi="Arial Black"/>
          <w:sz w:val="24"/>
          <w:szCs w:val="24"/>
        </w:rPr>
      </w:pPr>
    </w:p>
    <w:p w14:paraId="05462BEA" w14:textId="77777777" w:rsidR="001D190A" w:rsidRDefault="001D190A" w:rsidP="00F326E5">
      <w:pPr>
        <w:pStyle w:val="NoSpacing"/>
        <w:rPr>
          <w:rFonts w:ascii="Arial Black" w:hAnsi="Arial Black"/>
          <w:sz w:val="24"/>
          <w:szCs w:val="24"/>
        </w:rPr>
      </w:pPr>
    </w:p>
    <w:p w14:paraId="7EEFFA19" w14:textId="02DA218F" w:rsidR="00A01262" w:rsidRDefault="00ED6448" w:rsidP="00F326E5">
      <w:pPr>
        <w:pStyle w:val="NoSpacing"/>
        <w:rPr>
          <w:rFonts w:ascii="Arial Black" w:hAnsi="Arial Black"/>
          <w:sz w:val="24"/>
          <w:szCs w:val="24"/>
        </w:rPr>
      </w:pPr>
      <w:r>
        <w:rPr>
          <w:rFonts w:ascii="Arial Black" w:hAnsi="Arial Black"/>
          <w:sz w:val="24"/>
          <w:szCs w:val="24"/>
        </w:rPr>
        <w:t>16-102</w:t>
      </w:r>
    </w:p>
    <w:p w14:paraId="6B35D75F" w14:textId="77777777" w:rsidR="008B2E73" w:rsidRPr="006268B1" w:rsidRDefault="008B2E73" w:rsidP="008B2E73">
      <w:pPr>
        <w:pStyle w:val="NormalWeb"/>
        <w:rPr>
          <w:rFonts w:ascii="Arial Black" w:hAnsi="Arial Black"/>
          <w:b/>
          <w:bCs/>
          <w:sz w:val="28"/>
          <w:szCs w:val="28"/>
        </w:rPr>
      </w:pPr>
      <w:r>
        <w:rPr>
          <w:rFonts w:ascii="Arial Black" w:hAnsi="Arial Black"/>
          <w:b/>
          <w:bCs/>
          <w:sz w:val="28"/>
          <w:szCs w:val="28"/>
        </w:rPr>
        <w:t>CA: FD OFFICER WRONGFULLY FIRED – “INTENTIONAL”  VIOL. DUE PROCESS BY CHIEF – JURY: $3M DAMAGES</w:t>
      </w:r>
    </w:p>
    <w:p w14:paraId="0B944DE7" w14:textId="77777777" w:rsidR="008B2E73" w:rsidRDefault="008B2E73" w:rsidP="008B2E73">
      <w:pPr>
        <w:pStyle w:val="NoSpacing"/>
      </w:pPr>
      <w:r w:rsidRPr="00271EFB">
        <w:rPr>
          <w:rFonts w:ascii="Times New Roman" w:hAnsi="Times New Roman"/>
          <w:sz w:val="24"/>
          <w:szCs w:val="24"/>
        </w:rPr>
        <w:t xml:space="preserve">On Dec. 19, 2023, in </w:t>
      </w:r>
      <w:r w:rsidRPr="00271EFB">
        <w:rPr>
          <w:rFonts w:ascii="Times New Roman" w:hAnsi="Times New Roman"/>
          <w:sz w:val="24"/>
          <w:szCs w:val="24"/>
          <w:u w:val="single"/>
        </w:rPr>
        <w:t>Timothy O’Hara v. Liberty Rural County Fire Protection District, et al</w:t>
      </w:r>
      <w:r w:rsidRPr="00271EFB">
        <w:rPr>
          <w:rFonts w:ascii="Times New Roman" w:hAnsi="Times New Roman"/>
          <w:sz w:val="24"/>
          <w:szCs w:val="24"/>
        </w:rPr>
        <w:t xml:space="preserve">., the California Court of Appeals, Third District, San Joaquin, held (3 to 0; unpublished decision) that jury properly found the Fire Chief intentionally </w:t>
      </w:r>
      <w:r>
        <w:rPr>
          <w:rFonts w:ascii="Times New Roman" w:hAnsi="Times New Roman"/>
          <w:sz w:val="24"/>
          <w:szCs w:val="24"/>
        </w:rPr>
        <w:t>violated</w:t>
      </w:r>
      <w:r w:rsidRPr="00271EFB">
        <w:rPr>
          <w:rFonts w:ascii="Times New Roman" w:hAnsi="Times New Roman"/>
          <w:sz w:val="24"/>
          <w:szCs w:val="24"/>
        </w:rPr>
        <w:t xml:space="preserve"> the</w:t>
      </w:r>
      <w:r>
        <w:rPr>
          <w:rFonts w:ascii="Times New Roman" w:hAnsi="Times New Roman"/>
          <w:sz w:val="24"/>
          <w:szCs w:val="24"/>
        </w:rPr>
        <w:t xml:space="preserve"> CA </w:t>
      </w:r>
      <w:r w:rsidRPr="00907648">
        <w:rPr>
          <w:rFonts w:ascii="Times New Roman" w:hAnsi="Times New Roman"/>
          <w:sz w:val="24"/>
          <w:szCs w:val="24"/>
        </w:rPr>
        <w:t>Firefighters Procedural Bill of Rights Act</w:t>
      </w:r>
      <w:r w:rsidRPr="00271EFB">
        <w:rPr>
          <w:rFonts w:ascii="Times New Roman" w:hAnsi="Times New Roman"/>
          <w:sz w:val="24"/>
          <w:szCs w:val="24"/>
        </w:rPr>
        <w:t xml:space="preserve"> by denying Shift Supervisor</w:t>
      </w:r>
      <w:r>
        <w:rPr>
          <w:rFonts w:ascii="Times New Roman" w:hAnsi="Times New Roman"/>
          <w:sz w:val="24"/>
          <w:szCs w:val="24"/>
        </w:rPr>
        <w:t xml:space="preserve"> Tim O’Hara </w:t>
      </w:r>
      <w:r w:rsidRPr="00271EFB">
        <w:rPr>
          <w:rFonts w:ascii="Times New Roman" w:hAnsi="Times New Roman"/>
          <w:sz w:val="24"/>
          <w:szCs w:val="24"/>
        </w:rPr>
        <w:t xml:space="preserve">(12 years on FD) due process, and effectively ending his career in fire service at age 51.  The Court </w:t>
      </w:r>
      <w:proofErr w:type="gramStart"/>
      <w:r w:rsidRPr="00271EFB">
        <w:rPr>
          <w:rFonts w:ascii="Times New Roman" w:hAnsi="Times New Roman"/>
          <w:sz w:val="24"/>
          <w:szCs w:val="24"/>
        </w:rPr>
        <w:t xml:space="preserve">held: </w:t>
      </w:r>
      <w:r>
        <w:rPr>
          <w:rFonts w:ascii="Times New Roman" w:hAnsi="Times New Roman"/>
          <w:sz w:val="24"/>
          <w:szCs w:val="24"/>
        </w:rPr>
        <w:t>“</w:t>
      </w:r>
      <w:proofErr w:type="gramEnd"/>
      <w:r>
        <w:rPr>
          <w:rFonts w:ascii="Times New Roman" w:hAnsi="Times New Roman"/>
          <w:sz w:val="24"/>
          <w:szCs w:val="24"/>
        </w:rPr>
        <w:t xml:space="preserve">[Fire Chief] </w:t>
      </w:r>
      <w:r w:rsidRPr="00271EFB">
        <w:rPr>
          <w:rFonts w:ascii="Times New Roman" w:hAnsi="Times New Roman"/>
          <w:sz w:val="24"/>
          <w:szCs w:val="24"/>
        </w:rPr>
        <w:t>Seifert and the District give similarly short shrift to the deliberate</w:t>
      </w:r>
      <w:r>
        <w:rPr>
          <w:rFonts w:ascii="Times New Roman" w:hAnsi="Times New Roman"/>
          <w:sz w:val="24"/>
          <w:szCs w:val="24"/>
        </w:rPr>
        <w:t xml:space="preserve"> </w:t>
      </w:r>
      <w:r w:rsidRPr="00271EFB">
        <w:rPr>
          <w:rFonts w:ascii="Times New Roman" w:hAnsi="Times New Roman"/>
          <w:sz w:val="24"/>
          <w:szCs w:val="24"/>
        </w:rPr>
        <w:t>flouting standard with which the jury was instructed and offer no challenge to the special</w:t>
      </w:r>
      <w:r>
        <w:rPr>
          <w:rFonts w:ascii="Times New Roman" w:hAnsi="Times New Roman"/>
          <w:sz w:val="24"/>
          <w:szCs w:val="24"/>
        </w:rPr>
        <w:t xml:space="preserve"> </w:t>
      </w:r>
      <w:r w:rsidRPr="00271EFB">
        <w:rPr>
          <w:rFonts w:ascii="Times New Roman" w:hAnsi="Times New Roman"/>
          <w:sz w:val="24"/>
          <w:szCs w:val="24"/>
        </w:rPr>
        <w:t>verdict finding that Seifert intentionally trammeled O’Hara’s rights under the FPBOR.</w:t>
      </w:r>
      <w:r>
        <w:rPr>
          <w:rFonts w:ascii="Times New Roman" w:hAnsi="Times New Roman"/>
          <w:sz w:val="24"/>
          <w:szCs w:val="24"/>
        </w:rPr>
        <w:t xml:space="preserve"> </w:t>
      </w:r>
      <w:r w:rsidRPr="00271EFB">
        <w:rPr>
          <w:rFonts w:ascii="Times New Roman" w:hAnsi="Times New Roman"/>
          <w:sz w:val="24"/>
          <w:szCs w:val="24"/>
        </w:rPr>
        <w:t>Under the circumstances, we need not consider whether the evidence compels findings in</w:t>
      </w:r>
      <w:r>
        <w:rPr>
          <w:rFonts w:ascii="Times New Roman" w:hAnsi="Times New Roman"/>
          <w:sz w:val="24"/>
          <w:szCs w:val="24"/>
        </w:rPr>
        <w:t xml:space="preserve"> </w:t>
      </w:r>
      <w:r w:rsidRPr="00271EFB">
        <w:rPr>
          <w:rFonts w:ascii="Times New Roman" w:hAnsi="Times New Roman"/>
          <w:sz w:val="24"/>
          <w:szCs w:val="24"/>
        </w:rPr>
        <w:t>their favor on the theory they violated substantive due process by intentionally and</w:t>
      </w:r>
      <w:r>
        <w:rPr>
          <w:rFonts w:ascii="Times New Roman" w:hAnsi="Times New Roman"/>
          <w:sz w:val="24"/>
          <w:szCs w:val="24"/>
        </w:rPr>
        <w:t xml:space="preserve"> </w:t>
      </w:r>
      <w:r w:rsidRPr="00271EFB">
        <w:rPr>
          <w:rFonts w:ascii="Times New Roman" w:hAnsi="Times New Roman"/>
          <w:sz w:val="24"/>
          <w:szCs w:val="24"/>
        </w:rPr>
        <w:t>deliberately flouting the FPBOR as part of a personal vendetta against O’Hara. We need</w:t>
      </w:r>
      <w:r>
        <w:rPr>
          <w:rFonts w:ascii="Times New Roman" w:hAnsi="Times New Roman"/>
          <w:sz w:val="24"/>
          <w:szCs w:val="24"/>
        </w:rPr>
        <w:t xml:space="preserve"> </w:t>
      </w:r>
      <w:r w:rsidRPr="00271EFB">
        <w:rPr>
          <w:rFonts w:ascii="Times New Roman" w:hAnsi="Times New Roman"/>
          <w:sz w:val="24"/>
          <w:szCs w:val="24"/>
        </w:rPr>
        <w:t>only conclude that Seifert and the District have failed to show the evidence compels</w:t>
      </w:r>
      <w:r>
        <w:rPr>
          <w:rFonts w:ascii="Times New Roman" w:hAnsi="Times New Roman"/>
          <w:sz w:val="24"/>
          <w:szCs w:val="24"/>
        </w:rPr>
        <w:t xml:space="preserve"> </w:t>
      </w:r>
      <w:r w:rsidRPr="00271EFB">
        <w:rPr>
          <w:rFonts w:ascii="Times New Roman" w:hAnsi="Times New Roman"/>
          <w:sz w:val="24"/>
          <w:szCs w:val="24"/>
        </w:rPr>
        <w:t>findings in their favor on substantive due process as a matter of law. They likewise fail</w:t>
      </w:r>
      <w:r>
        <w:rPr>
          <w:rFonts w:ascii="Times New Roman" w:hAnsi="Times New Roman"/>
          <w:sz w:val="24"/>
          <w:szCs w:val="24"/>
        </w:rPr>
        <w:t xml:space="preserve"> </w:t>
      </w:r>
      <w:r w:rsidRPr="00271EFB">
        <w:rPr>
          <w:rFonts w:ascii="Times New Roman" w:hAnsi="Times New Roman"/>
          <w:sz w:val="24"/>
          <w:szCs w:val="24"/>
        </w:rPr>
        <w:t xml:space="preserve">to show the trial court </w:t>
      </w:r>
      <w:proofErr w:type="gramStart"/>
      <w:r w:rsidRPr="00271EFB">
        <w:rPr>
          <w:rFonts w:ascii="Times New Roman" w:hAnsi="Times New Roman"/>
          <w:sz w:val="24"/>
          <w:szCs w:val="24"/>
        </w:rPr>
        <w:t>erred</w:t>
      </w:r>
      <w:proofErr w:type="gramEnd"/>
      <w:r w:rsidRPr="00271EFB">
        <w:rPr>
          <w:rFonts w:ascii="Times New Roman" w:hAnsi="Times New Roman"/>
          <w:sz w:val="24"/>
          <w:szCs w:val="24"/>
        </w:rPr>
        <w:t xml:space="preserve"> in denying the motions for judgment notwithstanding the</w:t>
      </w:r>
      <w:r>
        <w:rPr>
          <w:rFonts w:ascii="Times New Roman" w:hAnsi="Times New Roman"/>
          <w:sz w:val="24"/>
          <w:szCs w:val="24"/>
        </w:rPr>
        <w:t xml:space="preserve"> </w:t>
      </w:r>
      <w:r w:rsidRPr="00271EFB">
        <w:rPr>
          <w:rFonts w:ascii="Times New Roman" w:hAnsi="Times New Roman"/>
          <w:sz w:val="24"/>
          <w:szCs w:val="24"/>
        </w:rPr>
        <w:t xml:space="preserve">verdict so far as the section 1983 cause of action was </w:t>
      </w:r>
      <w:proofErr w:type="gramStart"/>
      <w:r w:rsidRPr="00271EFB">
        <w:rPr>
          <w:rFonts w:ascii="Times New Roman" w:hAnsi="Times New Roman"/>
          <w:sz w:val="24"/>
          <w:szCs w:val="24"/>
        </w:rPr>
        <w:t>concerned.</w:t>
      </w:r>
      <w:r>
        <w:rPr>
          <w:rFonts w:ascii="Times New Roman" w:hAnsi="Times New Roman"/>
          <w:sz w:val="24"/>
          <w:szCs w:val="24"/>
        </w:rPr>
        <w:t>”</w:t>
      </w:r>
      <w:proofErr w:type="gramEnd"/>
      <w:r>
        <w:rPr>
          <w:rFonts w:ascii="Times New Roman" w:hAnsi="Times New Roman"/>
          <w:sz w:val="24"/>
          <w:szCs w:val="24"/>
        </w:rPr>
        <w:t xml:space="preserve"> </w:t>
      </w:r>
      <w:hyperlink r:id="rId2666" w:history="1">
        <w:r w:rsidRPr="0044657D">
          <w:rPr>
            <w:rStyle w:val="Hyperlink"/>
          </w:rPr>
          <w:t>https://www.courts.ca.gov/opinions/nonpub/C096135.PDF</w:t>
        </w:r>
      </w:hyperlink>
      <w:r>
        <w:t xml:space="preserve"> </w:t>
      </w:r>
    </w:p>
    <w:p w14:paraId="7E0B7735" w14:textId="77777777" w:rsidR="00460215" w:rsidRPr="002263B6" w:rsidRDefault="00460215" w:rsidP="00460215">
      <w:pPr>
        <w:pStyle w:val="NormalWeb"/>
        <w:rPr>
          <w:b/>
          <w:bCs/>
        </w:rPr>
      </w:pPr>
      <w:r w:rsidRPr="002263B6">
        <w:rPr>
          <w:b/>
          <w:bCs/>
        </w:rPr>
        <w:t>Legal Lesson Learned:</w:t>
      </w:r>
      <w:r>
        <w:rPr>
          <w:b/>
          <w:bCs/>
        </w:rPr>
        <w:t xml:space="preserve"> Very expensive lesson learned; the Fire Chief should have held a  pre-disciplinary conference, and the Fire Board should have provided a hearing. </w:t>
      </w:r>
    </w:p>
    <w:p w14:paraId="18E931DB" w14:textId="77777777" w:rsidR="00460215" w:rsidRDefault="00460215" w:rsidP="00460215">
      <w:pPr>
        <w:pStyle w:val="NormalWeb"/>
      </w:pPr>
    </w:p>
    <w:p w14:paraId="14F41ECC" w14:textId="6C38F8F9" w:rsidR="00787BFA" w:rsidRDefault="00787BFA" w:rsidP="00F326E5">
      <w:pPr>
        <w:pStyle w:val="NoSpacing"/>
        <w:rPr>
          <w:rFonts w:ascii="Arial Black" w:hAnsi="Arial Black"/>
          <w:sz w:val="24"/>
          <w:szCs w:val="24"/>
        </w:rPr>
      </w:pPr>
      <w:r>
        <w:rPr>
          <w:rFonts w:ascii="Arial Black" w:hAnsi="Arial Black"/>
          <w:sz w:val="24"/>
          <w:szCs w:val="24"/>
        </w:rPr>
        <w:t>16-101</w:t>
      </w:r>
    </w:p>
    <w:p w14:paraId="62B7F616" w14:textId="77777777" w:rsidR="00230D1C" w:rsidRDefault="00230D1C" w:rsidP="00230D1C">
      <w:pPr>
        <w:pStyle w:val="NormalWeb"/>
        <w:rPr>
          <w:rFonts w:ascii="Arial Black" w:hAnsi="Arial Black"/>
          <w:b/>
          <w:bCs/>
          <w:sz w:val="28"/>
          <w:szCs w:val="28"/>
        </w:rPr>
      </w:pPr>
      <w:r>
        <w:rPr>
          <w:rFonts w:ascii="Arial Black" w:hAnsi="Arial Black"/>
          <w:b/>
          <w:bCs/>
          <w:sz w:val="28"/>
          <w:szCs w:val="28"/>
        </w:rPr>
        <w:t>LA: ASSIST. FIRE CHIEF – DEMOTED 6 MO. PROB. PERIOD – TWO REPRIMANDS – CIVIL SERVICE BOARD REVERSED</w:t>
      </w:r>
    </w:p>
    <w:p w14:paraId="4668979D" w14:textId="77777777" w:rsidR="00230D1C" w:rsidRDefault="00230D1C" w:rsidP="00230D1C">
      <w:pPr>
        <w:pStyle w:val="NormalWeb"/>
        <w:rPr>
          <w:b/>
          <w:bCs/>
        </w:rPr>
      </w:pPr>
      <w:r w:rsidRPr="00BF4B35">
        <w:t xml:space="preserve">On Dec. 13, 2023, in </w:t>
      </w:r>
      <w:r w:rsidRPr="007D14BE">
        <w:rPr>
          <w:u w:val="single"/>
        </w:rPr>
        <w:t>E. “Ben” Zahn, III v. Kenner Municipal Fire and Police Civil Service  Board</w:t>
      </w:r>
      <w:r>
        <w:t xml:space="preserve">, the Court of Appeals of Louisiana, Fifth Circuit, held (3 to 0) that the Civil Service Board incorrectly ordered Joseph Sunseri reappointed as Assistant Fire Chief.  The Court wrote:” Mr. Sunseri received written reprimands on January 21, </w:t>
      </w:r>
      <w:proofErr w:type="gramStart"/>
      <w:r>
        <w:t>2019</w:t>
      </w:r>
      <w:proofErr w:type="gramEnd"/>
      <w:r>
        <w:t xml:space="preserve"> and March 29, 2019. The first reprimand was issued because he submitted ‘vague and then inappropriate documentation’ from several of his subordinate firefighters in response to an investigation of property damage that a citizen sustained while the department was responding to a call, in violation of several of the Department's Rules of Conduct. The second reprimand Mr. Sunseri received was for a violation of Rule of </w:t>
      </w:r>
      <w:r>
        <w:lastRenderedPageBreak/>
        <w:t xml:space="preserve">Conduct Article 50.2 - Conduct Unbecoming an Officer - after Mr. Sunseri questioned a request to perform welfare checks on Department members out on sick leave due to surgery and stated, ‘This is getting absurd.’ in a February 28, 2019 email addressed to Chief Ryan Bergeron, Chief of Administration Terence Morris, and Chief of Administration Charles Hudson…***The Board's findings do not provide a rational basis for the Board's conclusory finding that Kenner [Fire Department] did not provide Mr. Sunseri a fair opportunity to prove his ability in the position of Assistant Chief. It is not clear from the report what inferences the Board made, or which facts it determined Mr. Sunseri proved in support of his appeal (other than Kenner's failure to timely provide written notice of his rejection pursuant to La. R.S. 33:2495(C)). The lack of evidence to support the Board's decision left the district court no choice but to conclude that the Board's decision was arbitrary and </w:t>
      </w:r>
      <w:proofErr w:type="gramStart"/>
      <w:r>
        <w:t>capricious, and</w:t>
      </w:r>
      <w:proofErr w:type="gramEnd"/>
      <w:r>
        <w:t xml:space="preserve"> not made in good faith and for statutory cause.” </w:t>
      </w:r>
      <w:hyperlink r:id="rId2667" w:history="1">
        <w:r w:rsidRPr="009A4BDE">
          <w:rPr>
            <w:rStyle w:val="Hyperlink"/>
          </w:rPr>
          <w:t>https://casetext.com/case/zahn-v-kenner-mun-fire-police-civil-serv-bd</w:t>
        </w:r>
      </w:hyperlink>
      <w:r>
        <w:t xml:space="preserve"> </w:t>
      </w:r>
    </w:p>
    <w:p w14:paraId="087E81D0" w14:textId="77777777" w:rsidR="00ED6448" w:rsidRDefault="00ED6448" w:rsidP="00ED6448">
      <w:pPr>
        <w:pStyle w:val="NormalWeb"/>
        <w:rPr>
          <w:b/>
          <w:bCs/>
        </w:rPr>
      </w:pPr>
      <w:r>
        <w:rPr>
          <w:b/>
          <w:bCs/>
        </w:rPr>
        <w:t xml:space="preserve">Legal Lesson Learned: The Civil Service Board failed to write detailed “Finding of Fact” to support reinstatement decision. When appealing to the Board, the firefighter should consider videotaping and transcribing the proceedings. </w:t>
      </w:r>
    </w:p>
    <w:p w14:paraId="4A9F777E" w14:textId="77777777" w:rsidR="00230D1C" w:rsidRDefault="00230D1C" w:rsidP="00F326E5">
      <w:pPr>
        <w:pStyle w:val="NoSpacing"/>
        <w:rPr>
          <w:rFonts w:ascii="Arial Black" w:hAnsi="Arial Black"/>
          <w:sz w:val="24"/>
          <w:szCs w:val="24"/>
        </w:rPr>
      </w:pPr>
    </w:p>
    <w:p w14:paraId="7974626C" w14:textId="77777777" w:rsidR="00787BFA" w:rsidRDefault="00787BFA" w:rsidP="00F326E5">
      <w:pPr>
        <w:pStyle w:val="NoSpacing"/>
        <w:rPr>
          <w:rFonts w:ascii="Arial Black" w:hAnsi="Arial Black"/>
          <w:sz w:val="24"/>
          <w:szCs w:val="24"/>
        </w:rPr>
      </w:pPr>
    </w:p>
    <w:p w14:paraId="314CD559" w14:textId="77777777" w:rsidR="00787BFA" w:rsidRDefault="00787BFA" w:rsidP="00F326E5">
      <w:pPr>
        <w:pStyle w:val="NoSpacing"/>
        <w:rPr>
          <w:rFonts w:ascii="Arial Black" w:hAnsi="Arial Black"/>
          <w:sz w:val="24"/>
          <w:szCs w:val="24"/>
        </w:rPr>
      </w:pPr>
    </w:p>
    <w:p w14:paraId="67A876D4" w14:textId="00F0CF49" w:rsidR="009F4E32" w:rsidRDefault="00024992" w:rsidP="00F326E5">
      <w:pPr>
        <w:pStyle w:val="NoSpacing"/>
        <w:rPr>
          <w:rFonts w:ascii="Arial Black" w:hAnsi="Arial Black"/>
          <w:sz w:val="24"/>
          <w:szCs w:val="24"/>
        </w:rPr>
      </w:pPr>
      <w:r>
        <w:rPr>
          <w:rFonts w:ascii="Arial Black" w:hAnsi="Arial Black"/>
          <w:sz w:val="24"/>
          <w:szCs w:val="24"/>
        </w:rPr>
        <w:t>16-100</w:t>
      </w:r>
    </w:p>
    <w:p w14:paraId="7328B403" w14:textId="77777777" w:rsidR="00147626" w:rsidRDefault="00147626" w:rsidP="00147626">
      <w:pPr>
        <w:pStyle w:val="NormalWeb"/>
        <w:rPr>
          <w:rFonts w:ascii="Arial Black" w:hAnsi="Arial Black"/>
          <w:b/>
          <w:bCs/>
          <w:sz w:val="28"/>
          <w:szCs w:val="28"/>
        </w:rPr>
      </w:pPr>
      <w:r>
        <w:rPr>
          <w:rFonts w:ascii="Arial Black" w:hAnsi="Arial Black"/>
          <w:b/>
          <w:bCs/>
          <w:sz w:val="28"/>
          <w:szCs w:val="28"/>
        </w:rPr>
        <w:t>LA: ASSIST. FIRE CHIEF – DEMOTED 6 MO. PROB. PERIOD – TWO REPRIMANDS – CIVIL SERVICE BOARD REVERSED</w:t>
      </w:r>
    </w:p>
    <w:p w14:paraId="7B8ED50A" w14:textId="77777777" w:rsidR="00147626" w:rsidRDefault="00147626" w:rsidP="00147626">
      <w:pPr>
        <w:pStyle w:val="NormalWeb"/>
      </w:pPr>
      <w:r w:rsidRPr="00BF4B35">
        <w:t xml:space="preserve">On Dec. 13, 2023, in </w:t>
      </w:r>
      <w:r w:rsidRPr="007D14BE">
        <w:rPr>
          <w:u w:val="single"/>
        </w:rPr>
        <w:t>E. “Ben” Zahn, III v. Kenner Municipal Fire and Police Civil Service  Board</w:t>
      </w:r>
      <w:r>
        <w:t xml:space="preserve">, the Court of Appeals of Louisiana, Fifth Circuit, held (3 to 0) that the Civil Service Board incorrectly ordered Joseph Sunseri reappointed as Assistant Fire Chief.  The Court wrote:” Mr. Sunseri received written reprimands on January 21, </w:t>
      </w:r>
      <w:proofErr w:type="gramStart"/>
      <w:r>
        <w:t>2019</w:t>
      </w:r>
      <w:proofErr w:type="gramEnd"/>
      <w:r>
        <w:t xml:space="preserve"> and March 29, 2019. The first reprimand was issued because he submitted ‘vague and then inappropriate documentation’ from several of his subordinate firefighters in response to an investigation of property damage that a citizen sustained while the department was responding to a call, in violation of several of the Department's Rules of Conduct. The second reprimand Mr. Sunseri received was for a violation of Rule of Conduct Article 50.2 - Conduct Unbecoming an Officer - after Mr. Sunseri questioned a request to perform welfare checks on Department members out on sick leave due to surgery and stated, ‘This is getting absurd.’ in a February 28, 2019 email addressed to Chief Ryan Bergeron, Chief of Administration Terence Morris, and Chief of Administration Charles Hudson…***The Board's findings do not provide a rational basis for the Board's conclusory finding that Kenner [Fire Department] did not provide Mr. Sunseri a fair opportunity to prove his ability in the position of Assistant Chief. It is not clear from the report what inferences the Board made, or which facts it determined Mr. Sunseri proved in support of his appeal (other than Kenner's failure to timely provide written notice of his rejection pursuant to La. R.S. 33:2495(C)). The lack of evidence to support the Board's decision left the district court no choice but to conclude that the Board's decision was arbitrary and </w:t>
      </w:r>
      <w:proofErr w:type="gramStart"/>
      <w:r>
        <w:t>capricious, and</w:t>
      </w:r>
      <w:proofErr w:type="gramEnd"/>
      <w:r>
        <w:t xml:space="preserve"> not made in good faith and for statutory cause.” </w:t>
      </w:r>
      <w:hyperlink r:id="rId2668" w:history="1">
        <w:r w:rsidRPr="009A4BDE">
          <w:rPr>
            <w:rStyle w:val="Hyperlink"/>
          </w:rPr>
          <w:t>https://casetext.com/case/zahn-v-kenner-mun-fire-police-civil-serv-bd</w:t>
        </w:r>
      </w:hyperlink>
      <w:r>
        <w:t xml:space="preserve"> </w:t>
      </w:r>
    </w:p>
    <w:p w14:paraId="683A9D9D" w14:textId="77777777" w:rsidR="00787BFA" w:rsidRDefault="00787BFA" w:rsidP="00787BFA">
      <w:pPr>
        <w:pStyle w:val="NormalWeb"/>
        <w:rPr>
          <w:b/>
          <w:bCs/>
        </w:rPr>
      </w:pPr>
      <w:r>
        <w:rPr>
          <w:b/>
          <w:bCs/>
        </w:rPr>
        <w:t xml:space="preserve">Legal Lesson Learned: The Civil Service Board failed to write detailed “Finding of Fact” to support reinstatement decision. When appealing to the Board, the firefighter should consider videotaping and transcribing the proceedings. </w:t>
      </w:r>
    </w:p>
    <w:p w14:paraId="5119DCDB" w14:textId="77777777" w:rsidR="00787BFA" w:rsidRDefault="00787BFA" w:rsidP="00147626">
      <w:pPr>
        <w:pStyle w:val="NormalWeb"/>
        <w:rPr>
          <w:b/>
          <w:bCs/>
        </w:rPr>
      </w:pPr>
    </w:p>
    <w:p w14:paraId="796489F0" w14:textId="77777777" w:rsidR="00024992" w:rsidRDefault="00024992" w:rsidP="00F326E5">
      <w:pPr>
        <w:pStyle w:val="NoSpacing"/>
        <w:rPr>
          <w:rFonts w:ascii="Arial Black" w:hAnsi="Arial Black"/>
          <w:sz w:val="24"/>
          <w:szCs w:val="24"/>
        </w:rPr>
      </w:pPr>
    </w:p>
    <w:p w14:paraId="54F1B51B" w14:textId="77777777" w:rsidR="00024992" w:rsidRDefault="00024992" w:rsidP="00F326E5">
      <w:pPr>
        <w:pStyle w:val="NoSpacing"/>
        <w:rPr>
          <w:rFonts w:ascii="Arial Black" w:hAnsi="Arial Black"/>
          <w:sz w:val="24"/>
          <w:szCs w:val="24"/>
        </w:rPr>
      </w:pPr>
    </w:p>
    <w:p w14:paraId="23C5A7ED" w14:textId="77777777" w:rsidR="00024992" w:rsidRDefault="00024992" w:rsidP="00F326E5">
      <w:pPr>
        <w:pStyle w:val="NoSpacing"/>
        <w:rPr>
          <w:rFonts w:ascii="Arial Black" w:hAnsi="Arial Black"/>
          <w:sz w:val="24"/>
          <w:szCs w:val="24"/>
        </w:rPr>
      </w:pPr>
    </w:p>
    <w:p w14:paraId="6708A5EB" w14:textId="57BDB495" w:rsidR="009F4E32" w:rsidRDefault="009F4E32" w:rsidP="00F326E5">
      <w:pPr>
        <w:pStyle w:val="NoSpacing"/>
        <w:rPr>
          <w:rFonts w:ascii="Arial Black" w:hAnsi="Arial Black"/>
          <w:sz w:val="24"/>
          <w:szCs w:val="24"/>
        </w:rPr>
      </w:pPr>
      <w:r>
        <w:rPr>
          <w:rFonts w:ascii="Arial Black" w:hAnsi="Arial Black"/>
          <w:sz w:val="24"/>
          <w:szCs w:val="24"/>
        </w:rPr>
        <w:t>16-99</w:t>
      </w:r>
    </w:p>
    <w:p w14:paraId="02B7F1CC" w14:textId="77777777" w:rsidR="009F4E32" w:rsidRPr="00717F66" w:rsidRDefault="009F4E32" w:rsidP="009F4E32">
      <w:pPr>
        <w:pStyle w:val="NormalWeb"/>
        <w:rPr>
          <w:rFonts w:ascii="Arial Black" w:hAnsi="Arial Black"/>
          <w:b/>
          <w:bCs/>
          <w:sz w:val="28"/>
          <w:szCs w:val="28"/>
        </w:rPr>
      </w:pPr>
      <w:r>
        <w:rPr>
          <w:rFonts w:ascii="Arial Black" w:hAnsi="Arial Black"/>
          <w:b/>
          <w:bCs/>
          <w:sz w:val="28"/>
          <w:szCs w:val="28"/>
        </w:rPr>
        <w:t xml:space="preserve">IN: FF MEDICAL LEAVE – BUT WORKING MEDIC ANOTHER FD – FALSE DISAB. BENEFITS APPLICATION – FIRED  </w:t>
      </w:r>
    </w:p>
    <w:p w14:paraId="65C3D2A8" w14:textId="77777777" w:rsidR="009F4E32" w:rsidRDefault="009F4E32" w:rsidP="009F4E32">
      <w:pPr>
        <w:pStyle w:val="NormalWeb"/>
      </w:pPr>
      <w:r w:rsidRPr="00625E97">
        <w:t xml:space="preserve">On Dec. 8, 2023, in </w:t>
      </w:r>
      <w:r w:rsidRPr="00625E97">
        <w:rPr>
          <w:u w:val="single"/>
        </w:rPr>
        <w:t>Mark A. Goodlett v. Town of Clarksville and Town of Clarksville Fire Department,</w:t>
      </w:r>
      <w:r w:rsidRPr="00625E97">
        <w:t xml:space="preserve"> </w:t>
      </w:r>
      <w:r>
        <w:t xml:space="preserve">the Court of Appeals of Indiana held (3 to 0) that trial court judge properly upheld the termination of the firefighter. Progressive discipline policy is only a “guide.” The Court held:  “The Board [Town of Clarksville Board of Police and Fire Commissioners] properly exercised its authority under </w:t>
      </w:r>
      <w:hyperlink r:id="rId2669" w:history="1">
        <w:r>
          <w:rPr>
            <w:rStyle w:val="Hyperlink"/>
          </w:rPr>
          <w:t>Indiana Code section 36-8-3-4</w:t>
        </w:r>
      </w:hyperlink>
      <w:r>
        <w:t xml:space="preserve"> and the department's General Orders. Accordingly, the Board's decision to terminate Goodlett for neglect of duty, immoral conduct, conduct unbecoming an officer, violations of department rules, and breaches of discipline was not arbitrary and capricious, and it did not otherwise violate Goodlett's due process rights.” </w:t>
      </w:r>
      <w:hyperlink r:id="rId2670" w:history="1">
        <w:r w:rsidRPr="0024537E">
          <w:rPr>
            <w:rStyle w:val="Hyperlink"/>
          </w:rPr>
          <w:t>https://casetext.com/case/goodlett-v-town-of-clarksville</w:t>
        </w:r>
      </w:hyperlink>
      <w:r>
        <w:t xml:space="preserve"> </w:t>
      </w:r>
    </w:p>
    <w:p w14:paraId="508F3DA8" w14:textId="77777777" w:rsidR="00024992" w:rsidRPr="003845F4" w:rsidRDefault="00024992" w:rsidP="00024992">
      <w:pPr>
        <w:pStyle w:val="paragraph"/>
        <w:rPr>
          <w:b/>
          <w:bCs/>
        </w:rPr>
      </w:pPr>
      <w:r w:rsidRPr="003845F4">
        <w:rPr>
          <w:b/>
          <w:bCs/>
        </w:rPr>
        <w:t xml:space="preserve">Legal Lesson Learned:  </w:t>
      </w:r>
      <w:r>
        <w:rPr>
          <w:b/>
          <w:bCs/>
        </w:rPr>
        <w:t xml:space="preserve">Progressive discipline policy stated it is “merely a guide.” </w:t>
      </w:r>
    </w:p>
    <w:p w14:paraId="2FE51734" w14:textId="77777777" w:rsidR="009F4E32" w:rsidRDefault="009F4E32" w:rsidP="00F326E5">
      <w:pPr>
        <w:pStyle w:val="NoSpacing"/>
        <w:rPr>
          <w:rFonts w:ascii="Arial Black" w:hAnsi="Arial Black"/>
          <w:sz w:val="24"/>
          <w:szCs w:val="24"/>
        </w:rPr>
      </w:pPr>
    </w:p>
    <w:p w14:paraId="0221527B" w14:textId="77777777" w:rsidR="009F4E32" w:rsidRDefault="009F4E32" w:rsidP="00F326E5">
      <w:pPr>
        <w:pStyle w:val="NoSpacing"/>
        <w:rPr>
          <w:rFonts w:ascii="Arial Black" w:hAnsi="Arial Black"/>
          <w:sz w:val="24"/>
          <w:szCs w:val="24"/>
        </w:rPr>
      </w:pPr>
    </w:p>
    <w:p w14:paraId="7542A717" w14:textId="77777777" w:rsidR="0042334A" w:rsidRDefault="0042334A" w:rsidP="00F326E5">
      <w:pPr>
        <w:pStyle w:val="NoSpacing"/>
        <w:rPr>
          <w:rFonts w:ascii="Arial Black" w:hAnsi="Arial Black"/>
          <w:sz w:val="24"/>
          <w:szCs w:val="24"/>
        </w:rPr>
      </w:pPr>
    </w:p>
    <w:p w14:paraId="3EC4DE6C" w14:textId="13C88AEF" w:rsidR="0042334A" w:rsidRDefault="0042334A" w:rsidP="00F326E5">
      <w:pPr>
        <w:pStyle w:val="NoSpacing"/>
        <w:rPr>
          <w:rFonts w:ascii="Arial Black" w:hAnsi="Arial Black"/>
          <w:sz w:val="24"/>
          <w:szCs w:val="24"/>
        </w:rPr>
      </w:pPr>
      <w:r>
        <w:rPr>
          <w:rFonts w:ascii="Arial Black" w:hAnsi="Arial Black"/>
          <w:sz w:val="24"/>
          <w:szCs w:val="24"/>
        </w:rPr>
        <w:t>16-98</w:t>
      </w:r>
    </w:p>
    <w:p w14:paraId="3FC87A0E" w14:textId="77777777" w:rsidR="0042334A" w:rsidRDefault="0042334A" w:rsidP="00F326E5">
      <w:pPr>
        <w:pStyle w:val="NoSpacing"/>
        <w:rPr>
          <w:rFonts w:ascii="Arial Black" w:hAnsi="Arial Black"/>
          <w:sz w:val="24"/>
          <w:szCs w:val="24"/>
        </w:rPr>
      </w:pPr>
    </w:p>
    <w:p w14:paraId="4FEA0319" w14:textId="77777777" w:rsidR="00706FEC" w:rsidRDefault="00706FEC" w:rsidP="00706FEC">
      <w:pPr>
        <w:pStyle w:val="NoSpacing"/>
        <w:rPr>
          <w:rFonts w:ascii="Arial Black" w:hAnsi="Arial Black"/>
          <w:b/>
          <w:sz w:val="28"/>
          <w:szCs w:val="28"/>
        </w:rPr>
      </w:pPr>
      <w:r>
        <w:rPr>
          <w:rFonts w:ascii="Arial Black" w:hAnsi="Arial Black"/>
          <w:b/>
          <w:sz w:val="28"/>
          <w:szCs w:val="28"/>
        </w:rPr>
        <w:t>MI: FIRE CHIEF FIRED – MAYOR REFUSED TO FIRE TWO FF AFTER DEATH 2 BOYS – 1</w:t>
      </w:r>
      <w:r w:rsidRPr="002F340D">
        <w:rPr>
          <w:rFonts w:ascii="Arial Black" w:hAnsi="Arial Black"/>
          <w:b/>
          <w:sz w:val="28"/>
          <w:szCs w:val="28"/>
          <w:vertAlign w:val="superscript"/>
        </w:rPr>
        <w:t>st</w:t>
      </w:r>
      <w:r>
        <w:rPr>
          <w:rFonts w:ascii="Arial Black" w:hAnsi="Arial Black"/>
          <w:b/>
          <w:sz w:val="28"/>
          <w:szCs w:val="28"/>
        </w:rPr>
        <w:t xml:space="preserve"> AMEND. RETALIATION PROCEED </w:t>
      </w:r>
    </w:p>
    <w:p w14:paraId="1B2E4E73" w14:textId="77777777" w:rsidR="00706FEC" w:rsidRDefault="00706FEC" w:rsidP="00706FEC">
      <w:pPr>
        <w:pStyle w:val="NoSpacing"/>
        <w:rPr>
          <w:rFonts w:ascii="Times New Roman" w:hAnsi="Times New Roman"/>
          <w:bCs/>
          <w:sz w:val="24"/>
          <w:szCs w:val="24"/>
        </w:rPr>
      </w:pPr>
    </w:p>
    <w:p w14:paraId="28DFC9B5" w14:textId="4FB984F3" w:rsidR="00706FEC" w:rsidRDefault="00706FEC" w:rsidP="00706FEC">
      <w:pPr>
        <w:pStyle w:val="NoSpacing"/>
        <w:rPr>
          <w:rFonts w:ascii="Times New Roman" w:hAnsi="Times New Roman"/>
          <w:bCs/>
          <w:sz w:val="24"/>
          <w:szCs w:val="24"/>
        </w:rPr>
      </w:pPr>
      <w:r w:rsidRPr="00C755A6">
        <w:rPr>
          <w:rFonts w:ascii="Times New Roman" w:hAnsi="Times New Roman"/>
          <w:bCs/>
          <w:sz w:val="24"/>
          <w:szCs w:val="24"/>
        </w:rPr>
        <w:t xml:space="preserve">On Nov. 20, 2023, in </w:t>
      </w:r>
      <w:r w:rsidRPr="00AE5219">
        <w:rPr>
          <w:rFonts w:ascii="Times New Roman" w:hAnsi="Times New Roman"/>
          <w:bCs/>
          <w:sz w:val="24"/>
          <w:szCs w:val="24"/>
          <w:u w:val="single"/>
        </w:rPr>
        <w:t>Raymond C. Barton v. Sheldon Neely and City of Flint, Michigan</w:t>
      </w:r>
      <w:r>
        <w:rPr>
          <w:rFonts w:ascii="Times New Roman" w:hAnsi="Times New Roman"/>
          <w:bCs/>
          <w:sz w:val="24"/>
          <w:szCs w:val="24"/>
        </w:rPr>
        <w:t xml:space="preserve">, U.S. District Court Judge Nancy G. Edmunds held that the former Fire Chiefs claim of First Amendment retaliation may proceed against the Mayor and the City. The Court refused to grant qualified immunity to the </w:t>
      </w:r>
      <w:proofErr w:type="gramStart"/>
      <w:r>
        <w:rPr>
          <w:rFonts w:ascii="Times New Roman" w:hAnsi="Times New Roman"/>
          <w:bCs/>
          <w:sz w:val="24"/>
          <w:szCs w:val="24"/>
        </w:rPr>
        <w:t>Mayor</w:t>
      </w:r>
      <w:proofErr w:type="gramEnd"/>
      <w:r>
        <w:rPr>
          <w:rFonts w:ascii="Times New Roman" w:hAnsi="Times New Roman"/>
          <w:bCs/>
          <w:sz w:val="24"/>
          <w:szCs w:val="24"/>
        </w:rPr>
        <w:t xml:space="preserve"> and ordered pre-trial discovery to proceed.  While the Fire Chief was an “at will” employee, he is protected from retaliation for telling City Council that he recommended termination of two firefighters for failure to find two boys during search second floor of house fire.  </w:t>
      </w:r>
      <w:proofErr w:type="gramStart"/>
      <w:r>
        <w:rPr>
          <w:rFonts w:ascii="Times New Roman" w:hAnsi="Times New Roman"/>
          <w:bCs/>
          <w:sz w:val="24"/>
          <w:szCs w:val="24"/>
        </w:rPr>
        <w:t>Mayor’s</w:t>
      </w:r>
      <w:proofErr w:type="gramEnd"/>
      <w:r>
        <w:rPr>
          <w:rFonts w:ascii="Times New Roman" w:hAnsi="Times New Roman"/>
          <w:bCs/>
          <w:sz w:val="24"/>
          <w:szCs w:val="24"/>
        </w:rPr>
        <w:t xml:space="preserve"> repeatedly told Fire Chief to only suspend the firefighters since Mayor was running for reelection and wanted Union support. </w:t>
      </w:r>
      <w:hyperlink r:id="rId2671" w:history="1">
        <w:r w:rsidRPr="00553FEF">
          <w:rPr>
            <w:rStyle w:val="Hyperlink"/>
            <w:rFonts w:ascii="Times New Roman" w:hAnsi="Times New Roman"/>
            <w:bCs/>
            <w:sz w:val="24"/>
            <w:szCs w:val="24"/>
          </w:rPr>
          <w:t>https://cases.justia.com/federal/district-courts/michigan/miedce/2:2023cv10051/366865/15/0.pdf?ts=1700584910</w:t>
        </w:r>
      </w:hyperlink>
      <w:r>
        <w:rPr>
          <w:rFonts w:ascii="Times New Roman" w:hAnsi="Times New Roman"/>
          <w:bCs/>
          <w:sz w:val="24"/>
          <w:szCs w:val="24"/>
        </w:rPr>
        <w:t xml:space="preserve"> </w:t>
      </w:r>
    </w:p>
    <w:p w14:paraId="055ABC7F" w14:textId="77777777" w:rsidR="00286CE9" w:rsidRDefault="00286CE9" w:rsidP="00706FEC">
      <w:pPr>
        <w:pStyle w:val="NoSpacing"/>
        <w:rPr>
          <w:rFonts w:ascii="Times New Roman" w:hAnsi="Times New Roman"/>
          <w:bCs/>
          <w:sz w:val="24"/>
          <w:szCs w:val="24"/>
        </w:rPr>
      </w:pPr>
    </w:p>
    <w:p w14:paraId="62384D65" w14:textId="77777777" w:rsidR="00286CE9" w:rsidRDefault="00286CE9" w:rsidP="00286CE9">
      <w:pPr>
        <w:pStyle w:val="NoSpacing"/>
        <w:rPr>
          <w:rFonts w:ascii="Times New Roman" w:hAnsi="Times New Roman"/>
          <w:b/>
          <w:sz w:val="24"/>
          <w:szCs w:val="24"/>
        </w:rPr>
      </w:pPr>
      <w:r w:rsidRPr="00B662B4">
        <w:rPr>
          <w:rFonts w:ascii="Times New Roman" w:hAnsi="Times New Roman"/>
          <w:b/>
          <w:sz w:val="24"/>
          <w:szCs w:val="24"/>
        </w:rPr>
        <w:t>Legal Lesson Learned:</w:t>
      </w:r>
      <w:r>
        <w:rPr>
          <w:rFonts w:ascii="Times New Roman" w:hAnsi="Times New Roman"/>
          <w:b/>
          <w:sz w:val="24"/>
          <w:szCs w:val="24"/>
        </w:rPr>
        <w:t xml:space="preserve">  Even “at will” Fire Chiefs are protected from retaliation for his First Amendment comments to City Council as a private citizen. </w:t>
      </w:r>
    </w:p>
    <w:p w14:paraId="24FE1933" w14:textId="77777777" w:rsidR="00286CE9" w:rsidRDefault="00286CE9" w:rsidP="00286CE9">
      <w:pPr>
        <w:pStyle w:val="Heading1"/>
        <w:ind w:left="720"/>
        <w:rPr>
          <w:b w:val="0"/>
          <w:bCs w:val="0"/>
          <w:sz w:val="24"/>
          <w:szCs w:val="24"/>
        </w:rPr>
      </w:pPr>
      <w:r w:rsidRPr="00064C32">
        <w:rPr>
          <w:b w:val="0"/>
          <w:sz w:val="24"/>
          <w:szCs w:val="24"/>
        </w:rPr>
        <w:t>Note: See Nov. 2</w:t>
      </w:r>
      <w:r>
        <w:rPr>
          <w:b w:val="0"/>
          <w:sz w:val="24"/>
          <w:szCs w:val="24"/>
        </w:rPr>
        <w:t>0</w:t>
      </w:r>
      <w:r w:rsidRPr="00064C32">
        <w:rPr>
          <w:b w:val="0"/>
          <w:sz w:val="24"/>
          <w:szCs w:val="24"/>
        </w:rPr>
        <w:t xml:space="preserve">, </w:t>
      </w:r>
      <w:proofErr w:type="gramStart"/>
      <w:r w:rsidRPr="00064C32">
        <w:rPr>
          <w:b w:val="0"/>
          <w:sz w:val="24"/>
          <w:szCs w:val="24"/>
        </w:rPr>
        <w:t>2023</w:t>
      </w:r>
      <w:proofErr w:type="gramEnd"/>
      <w:r w:rsidRPr="00064C32">
        <w:rPr>
          <w:b w:val="0"/>
          <w:sz w:val="24"/>
          <w:szCs w:val="24"/>
        </w:rPr>
        <w:t xml:space="preserve"> article, </w:t>
      </w:r>
      <w:r w:rsidRPr="00A7321C">
        <w:rPr>
          <w:b w:val="0"/>
          <w:bCs w:val="0"/>
          <w:sz w:val="24"/>
          <w:szCs w:val="24"/>
        </w:rPr>
        <w:t xml:space="preserve">“Judge rules lawsuit filed by former fire chief against Flint mayor can continue.” </w:t>
      </w:r>
      <w:hyperlink r:id="rId2672" w:history="1">
        <w:r w:rsidRPr="00A7321C">
          <w:rPr>
            <w:rStyle w:val="Hyperlink"/>
            <w:b w:val="0"/>
            <w:bCs w:val="0"/>
            <w:sz w:val="24"/>
            <w:szCs w:val="24"/>
          </w:rPr>
          <w:t>https://midmichigannow.com/news/local/judge-rules-lawsuit-filed-by-former-fire-chief-against-flint-mayor-can-continue</w:t>
        </w:r>
      </w:hyperlink>
      <w:r w:rsidRPr="00A7321C">
        <w:rPr>
          <w:b w:val="0"/>
          <w:bCs w:val="0"/>
          <w:sz w:val="24"/>
          <w:szCs w:val="24"/>
        </w:rPr>
        <w:t xml:space="preserve"> </w:t>
      </w:r>
    </w:p>
    <w:p w14:paraId="43197685" w14:textId="77777777" w:rsidR="00286CE9" w:rsidRDefault="00286CE9" w:rsidP="00286CE9">
      <w:pPr>
        <w:pStyle w:val="NoSpacing"/>
        <w:ind w:firstLine="720"/>
        <w:rPr>
          <w:rFonts w:ascii="Times New Roman" w:hAnsi="Times New Roman"/>
          <w:bCs/>
          <w:sz w:val="24"/>
          <w:szCs w:val="24"/>
        </w:rPr>
      </w:pPr>
      <w:r>
        <w:rPr>
          <w:rFonts w:ascii="Times New Roman" w:hAnsi="Times New Roman"/>
          <w:bCs/>
          <w:sz w:val="24"/>
          <w:szCs w:val="24"/>
        </w:rPr>
        <w:t xml:space="preserve">The </w:t>
      </w:r>
      <w:r w:rsidRPr="00A05EF8">
        <w:rPr>
          <w:rFonts w:ascii="Times New Roman" w:hAnsi="Times New Roman"/>
          <w:bCs/>
          <w:sz w:val="24"/>
          <w:szCs w:val="24"/>
        </w:rPr>
        <w:t xml:space="preserve">Court </w:t>
      </w:r>
      <w:r>
        <w:rPr>
          <w:rFonts w:ascii="Times New Roman" w:hAnsi="Times New Roman"/>
          <w:bCs/>
          <w:sz w:val="24"/>
          <w:szCs w:val="24"/>
        </w:rPr>
        <w:t>referenced detailed facts from the Fire Chiefs amended complaint:</w:t>
      </w:r>
      <w:r w:rsidRPr="00A05EF8">
        <w:rPr>
          <w:rFonts w:ascii="Times New Roman" w:hAnsi="Times New Roman"/>
          <w:bCs/>
          <w:sz w:val="24"/>
          <w:szCs w:val="24"/>
        </w:rPr>
        <w:t xml:space="preserve"> </w:t>
      </w:r>
    </w:p>
    <w:p w14:paraId="42E4A09C" w14:textId="77777777" w:rsidR="00286CE9" w:rsidRDefault="00286CE9" w:rsidP="00286CE9">
      <w:pPr>
        <w:pStyle w:val="NoSpacing"/>
        <w:rPr>
          <w:rFonts w:ascii="Times New Roman" w:hAnsi="Times New Roman"/>
          <w:bCs/>
          <w:sz w:val="24"/>
          <w:szCs w:val="24"/>
        </w:rPr>
      </w:pPr>
    </w:p>
    <w:p w14:paraId="57F267C6" w14:textId="77777777" w:rsidR="00286CE9" w:rsidRPr="00E90346" w:rsidRDefault="00286CE9" w:rsidP="00286CE9">
      <w:pPr>
        <w:pStyle w:val="NoSpacing"/>
        <w:rPr>
          <w:rFonts w:ascii="Times New Roman" w:hAnsi="Times New Roman"/>
          <w:b/>
          <w:sz w:val="24"/>
          <w:szCs w:val="24"/>
        </w:rPr>
      </w:pPr>
      <w:r>
        <w:rPr>
          <w:rFonts w:ascii="Times New Roman" w:hAnsi="Times New Roman"/>
          <w:bCs/>
          <w:sz w:val="24"/>
          <w:szCs w:val="24"/>
        </w:rPr>
        <w:tab/>
      </w:r>
      <w:r>
        <w:rPr>
          <w:rFonts w:ascii="Times New Roman" w:hAnsi="Times New Roman"/>
          <w:b/>
          <w:sz w:val="24"/>
          <w:szCs w:val="24"/>
        </w:rPr>
        <w:t>“</w:t>
      </w:r>
      <w:r w:rsidRPr="00E90346">
        <w:rPr>
          <w:rFonts w:ascii="Times New Roman" w:hAnsi="Times New Roman"/>
          <w:bCs/>
          <w:sz w:val="24"/>
          <w:szCs w:val="24"/>
        </w:rPr>
        <w:t>This lawsuit arises out of the discharge of Plaintiff from his position as Flint City</w:t>
      </w:r>
    </w:p>
    <w:p w14:paraId="0983EE60" w14:textId="77777777" w:rsidR="00286CE9" w:rsidRDefault="00286CE9" w:rsidP="00286CE9">
      <w:pPr>
        <w:pStyle w:val="NoSpacing"/>
        <w:ind w:left="720"/>
        <w:rPr>
          <w:rFonts w:ascii="Times New Roman" w:hAnsi="Times New Roman"/>
          <w:bCs/>
          <w:sz w:val="24"/>
          <w:szCs w:val="24"/>
        </w:rPr>
      </w:pPr>
      <w:r w:rsidRPr="00E90346">
        <w:rPr>
          <w:rFonts w:ascii="Times New Roman" w:hAnsi="Times New Roman"/>
          <w:bCs/>
          <w:sz w:val="24"/>
          <w:szCs w:val="24"/>
        </w:rPr>
        <w:t xml:space="preserve">Fire Chief by Defendant Neely, Flint City Mayor. On May 28, 2022, a fire broke out at a house on Pulaski Street in Flint, Michigan. (ECF No. 2, PageID.18–19.) Six firefighters arrived at the scene of the fire, where they were told that residents were likely still inside. (Id. at PageID.19.) Two firefighters </w:t>
      </w:r>
      <w:r w:rsidRPr="00E90346">
        <w:rPr>
          <w:rFonts w:ascii="Times New Roman" w:hAnsi="Times New Roman"/>
          <w:bCs/>
          <w:sz w:val="24"/>
          <w:szCs w:val="24"/>
        </w:rPr>
        <w:lastRenderedPageBreak/>
        <w:t xml:space="preserve">conducted a search for </w:t>
      </w:r>
      <w:proofErr w:type="gramStart"/>
      <w:r w:rsidRPr="00E90346">
        <w:rPr>
          <w:rFonts w:ascii="Times New Roman" w:hAnsi="Times New Roman"/>
          <w:bCs/>
          <w:sz w:val="24"/>
          <w:szCs w:val="24"/>
        </w:rPr>
        <w:t>persons</w:t>
      </w:r>
      <w:proofErr w:type="gramEnd"/>
      <w:r w:rsidRPr="00E90346">
        <w:rPr>
          <w:rFonts w:ascii="Times New Roman" w:hAnsi="Times New Roman"/>
          <w:bCs/>
          <w:sz w:val="24"/>
          <w:szCs w:val="24"/>
        </w:rPr>
        <w:t xml:space="preserve"> on the second floor of the home. (Id.) Both claimed they thoroughly searched all rooms on the upper level and used infrared equipment and thermal imaging to aid in the search. (Id.) The two firefighters then returned to the first floor and told the other firefighters there was no one else in the home. (Id.) At that point, a second set of firefighters went up to the second floor and immediately found two young boys in a bedroom. (Id. at PageID.20.) Neither boy was covered by any objects or obstructions and were visible to the naked eye. (Id.) The boys were discovered approximately seven minutes after the first two firefighters had asserted that the house was all clear. (Id.) The boys died </w:t>
      </w:r>
      <w:proofErr w:type="gramStart"/>
      <w:r w:rsidRPr="00E90346">
        <w:rPr>
          <w:rFonts w:ascii="Times New Roman" w:hAnsi="Times New Roman"/>
          <w:bCs/>
          <w:sz w:val="24"/>
          <w:szCs w:val="24"/>
        </w:rPr>
        <w:t>as a result of</w:t>
      </w:r>
      <w:proofErr w:type="gramEnd"/>
      <w:r w:rsidRPr="00E90346">
        <w:rPr>
          <w:rFonts w:ascii="Times New Roman" w:hAnsi="Times New Roman"/>
          <w:bCs/>
          <w:sz w:val="24"/>
          <w:szCs w:val="24"/>
        </w:rPr>
        <w:t xml:space="preserve"> the fire. (Id. at PageID.17.)</w:t>
      </w:r>
    </w:p>
    <w:p w14:paraId="255C8B61" w14:textId="77777777" w:rsidR="00286CE9" w:rsidRDefault="00286CE9" w:rsidP="00286CE9">
      <w:pPr>
        <w:pStyle w:val="NoSpacing"/>
        <w:ind w:left="720"/>
        <w:rPr>
          <w:rFonts w:ascii="Times New Roman" w:hAnsi="Times New Roman"/>
          <w:bCs/>
          <w:sz w:val="24"/>
          <w:szCs w:val="24"/>
        </w:rPr>
      </w:pPr>
    </w:p>
    <w:p w14:paraId="6A5BCC0C" w14:textId="77777777" w:rsidR="00286CE9" w:rsidRPr="00E90346" w:rsidRDefault="00286CE9" w:rsidP="00286CE9">
      <w:pPr>
        <w:pStyle w:val="NoSpacing"/>
        <w:ind w:left="720"/>
        <w:rPr>
          <w:rFonts w:ascii="Times New Roman" w:hAnsi="Times New Roman"/>
          <w:bCs/>
          <w:sz w:val="24"/>
          <w:szCs w:val="24"/>
        </w:rPr>
      </w:pPr>
      <w:r>
        <w:rPr>
          <w:rFonts w:ascii="Times New Roman" w:hAnsi="Times New Roman"/>
          <w:bCs/>
          <w:sz w:val="24"/>
          <w:szCs w:val="24"/>
        </w:rPr>
        <w:t>***</w:t>
      </w:r>
    </w:p>
    <w:p w14:paraId="5EAFD0F5" w14:textId="77777777" w:rsidR="00286CE9" w:rsidRPr="00E90346" w:rsidRDefault="00286CE9" w:rsidP="00286CE9">
      <w:pPr>
        <w:pStyle w:val="NoSpacing"/>
        <w:rPr>
          <w:rFonts w:ascii="Times New Roman" w:hAnsi="Times New Roman"/>
          <w:bCs/>
          <w:sz w:val="24"/>
          <w:szCs w:val="24"/>
        </w:rPr>
      </w:pPr>
    </w:p>
    <w:p w14:paraId="19F036BA" w14:textId="77777777" w:rsidR="00286CE9" w:rsidRDefault="00286CE9" w:rsidP="00286CE9">
      <w:pPr>
        <w:pStyle w:val="NoSpacing"/>
        <w:ind w:left="720"/>
        <w:rPr>
          <w:rFonts w:ascii="Times New Roman" w:hAnsi="Times New Roman"/>
          <w:bCs/>
          <w:sz w:val="24"/>
          <w:szCs w:val="24"/>
        </w:rPr>
      </w:pPr>
      <w:r w:rsidRPr="00E90346">
        <w:rPr>
          <w:rFonts w:ascii="Times New Roman" w:hAnsi="Times New Roman"/>
          <w:bCs/>
          <w:sz w:val="24"/>
          <w:szCs w:val="24"/>
        </w:rPr>
        <w:t>According to Plaintiff, the firefighters did not comply with the investigation and were unwilling to correct factual misrepresentations in their official reports on the fire. (Id. at PageID.21.)</w:t>
      </w:r>
    </w:p>
    <w:p w14:paraId="2F702A61" w14:textId="77777777" w:rsidR="00286CE9" w:rsidRDefault="00286CE9" w:rsidP="00286CE9">
      <w:pPr>
        <w:pStyle w:val="NoSpacing"/>
        <w:ind w:left="720"/>
        <w:rPr>
          <w:rFonts w:ascii="Times New Roman" w:hAnsi="Times New Roman"/>
          <w:bCs/>
          <w:sz w:val="24"/>
          <w:szCs w:val="24"/>
        </w:rPr>
      </w:pPr>
    </w:p>
    <w:p w14:paraId="7D16968A" w14:textId="77777777" w:rsidR="00286CE9" w:rsidRPr="00E90346" w:rsidRDefault="00286CE9" w:rsidP="00286CE9">
      <w:pPr>
        <w:pStyle w:val="NoSpacing"/>
        <w:ind w:left="720"/>
        <w:rPr>
          <w:rFonts w:ascii="Times New Roman" w:hAnsi="Times New Roman"/>
          <w:bCs/>
          <w:sz w:val="24"/>
          <w:szCs w:val="24"/>
        </w:rPr>
      </w:pPr>
      <w:r>
        <w:rPr>
          <w:rFonts w:ascii="Times New Roman" w:hAnsi="Times New Roman"/>
          <w:bCs/>
          <w:sz w:val="24"/>
          <w:szCs w:val="24"/>
        </w:rPr>
        <w:t>***</w:t>
      </w:r>
    </w:p>
    <w:p w14:paraId="669A1B06" w14:textId="77777777" w:rsidR="00286CE9" w:rsidRPr="00E90346" w:rsidRDefault="00286CE9" w:rsidP="00286CE9">
      <w:pPr>
        <w:pStyle w:val="NoSpacing"/>
        <w:rPr>
          <w:rFonts w:ascii="Times New Roman" w:hAnsi="Times New Roman"/>
          <w:bCs/>
          <w:sz w:val="24"/>
          <w:szCs w:val="24"/>
        </w:rPr>
      </w:pPr>
    </w:p>
    <w:p w14:paraId="410BAECA"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Plaintiff then recommended that the firefighters be suspended without pay pending</w:t>
      </w:r>
    </w:p>
    <w:p w14:paraId="783D4DA7"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a final investigation and discharged at the conclusion of the investigation. (Id.) When</w:t>
      </w:r>
    </w:p>
    <w:p w14:paraId="62D8EA70"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Plaintiff informed the city council and other city officials of his recommendations,</w:t>
      </w:r>
    </w:p>
    <w:p w14:paraId="36A6C4BF"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Defendant Neely instructed Plaintiff to change his factual findings and recommendations.</w:t>
      </w:r>
    </w:p>
    <w:p w14:paraId="36D6A91B"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(Id.) Plaintiff’s Amended Complaint states that Defendant Neely wanted Plaintiff to</w:t>
      </w:r>
    </w:p>
    <w:p w14:paraId="642242DA" w14:textId="77777777" w:rsidR="00286CE9" w:rsidRPr="00E90346" w:rsidRDefault="00286CE9" w:rsidP="00286CE9">
      <w:pPr>
        <w:pStyle w:val="NoSpacing"/>
        <w:ind w:firstLine="720"/>
        <w:rPr>
          <w:rFonts w:ascii="Times New Roman" w:hAnsi="Times New Roman"/>
          <w:bCs/>
          <w:sz w:val="24"/>
          <w:szCs w:val="24"/>
        </w:rPr>
      </w:pPr>
      <w:r>
        <w:rPr>
          <w:rFonts w:ascii="Times New Roman" w:hAnsi="Times New Roman"/>
          <w:bCs/>
          <w:sz w:val="24"/>
          <w:szCs w:val="24"/>
        </w:rPr>
        <w:t>‘</w:t>
      </w:r>
      <w:proofErr w:type="gramStart"/>
      <w:r w:rsidRPr="00E90346">
        <w:rPr>
          <w:rFonts w:ascii="Times New Roman" w:hAnsi="Times New Roman"/>
          <w:bCs/>
          <w:sz w:val="24"/>
          <w:szCs w:val="24"/>
        </w:rPr>
        <w:t>disguise</w:t>
      </w:r>
      <w:proofErr w:type="gramEnd"/>
      <w:r w:rsidRPr="00E90346">
        <w:rPr>
          <w:rFonts w:ascii="Times New Roman" w:hAnsi="Times New Roman"/>
          <w:bCs/>
          <w:sz w:val="24"/>
          <w:szCs w:val="24"/>
        </w:rPr>
        <w:t xml:space="preserve"> the firefighters’ misconduct, suspend the firefighters with pay, and drop his 3</w:t>
      </w:r>
    </w:p>
    <w:p w14:paraId="116BA16E"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recommendation that they be discharged.</w:t>
      </w:r>
      <w:r>
        <w:rPr>
          <w:rFonts w:ascii="Times New Roman" w:hAnsi="Times New Roman"/>
          <w:bCs/>
          <w:sz w:val="24"/>
          <w:szCs w:val="24"/>
        </w:rPr>
        <w:t>’</w:t>
      </w:r>
      <w:r w:rsidRPr="00E90346">
        <w:rPr>
          <w:rFonts w:ascii="Times New Roman" w:hAnsi="Times New Roman"/>
          <w:bCs/>
          <w:sz w:val="24"/>
          <w:szCs w:val="24"/>
        </w:rPr>
        <w:t xml:space="preserve"> (Id.) Defendant Neely then informed Plaintiff</w:t>
      </w:r>
    </w:p>
    <w:p w14:paraId="691CB294"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that Defendant Neely and his wife were up for election and re-election in their respective</w:t>
      </w:r>
    </w:p>
    <w:p w14:paraId="0CFBCBC2"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positions and needed the support of the firefighters’ union. (Id.) Plaintiff interpreted that</w:t>
      </w:r>
    </w:p>
    <w:p w14:paraId="32C48BD9" w14:textId="77777777" w:rsidR="00286CE9" w:rsidRPr="00E90346" w:rsidRDefault="00286CE9" w:rsidP="00286CE9">
      <w:pPr>
        <w:pStyle w:val="NoSpacing"/>
        <w:ind w:left="720"/>
        <w:rPr>
          <w:rFonts w:ascii="Times New Roman" w:hAnsi="Times New Roman"/>
          <w:bCs/>
          <w:sz w:val="24"/>
          <w:szCs w:val="24"/>
        </w:rPr>
      </w:pPr>
      <w:r w:rsidRPr="00E90346">
        <w:rPr>
          <w:rFonts w:ascii="Times New Roman" w:hAnsi="Times New Roman"/>
          <w:bCs/>
          <w:sz w:val="24"/>
          <w:szCs w:val="24"/>
        </w:rPr>
        <w:t>to mean that Defendant Neely wanted to “cover up [the firefighters’] wrongdoing and fraud for the sole purpose of winning personal political support from the firefighters’ union.” (Id.)</w:t>
      </w:r>
    </w:p>
    <w:p w14:paraId="3935CA6A" w14:textId="77777777" w:rsidR="00286CE9" w:rsidRPr="00E90346" w:rsidRDefault="00286CE9" w:rsidP="00286CE9">
      <w:pPr>
        <w:pStyle w:val="NoSpacing"/>
        <w:rPr>
          <w:rFonts w:ascii="Times New Roman" w:hAnsi="Times New Roman"/>
          <w:bCs/>
          <w:sz w:val="24"/>
          <w:szCs w:val="24"/>
        </w:rPr>
      </w:pPr>
    </w:p>
    <w:p w14:paraId="5FA32264"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Plaintiff refused to change his findings and recommendations or make false</w:t>
      </w:r>
    </w:p>
    <w:p w14:paraId="106B4706"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statements about the incident. (Id. at PageID.22.) Defendant Neely continued to insist</w:t>
      </w:r>
    </w:p>
    <w:p w14:paraId="7E906BD8" w14:textId="77777777" w:rsidR="00286CE9" w:rsidRPr="00E90346" w:rsidRDefault="00286CE9" w:rsidP="00286CE9">
      <w:pPr>
        <w:pStyle w:val="NoSpacing"/>
        <w:ind w:firstLine="720"/>
        <w:rPr>
          <w:rFonts w:ascii="Times New Roman" w:hAnsi="Times New Roman"/>
          <w:bCs/>
          <w:sz w:val="24"/>
          <w:szCs w:val="24"/>
        </w:rPr>
      </w:pPr>
      <w:proofErr w:type="gramStart"/>
      <w:r w:rsidRPr="00E90346">
        <w:rPr>
          <w:rFonts w:ascii="Times New Roman" w:hAnsi="Times New Roman"/>
          <w:bCs/>
          <w:sz w:val="24"/>
          <w:szCs w:val="24"/>
        </w:rPr>
        <w:t>Plaintiff</w:t>
      </w:r>
      <w:proofErr w:type="gramEnd"/>
      <w:r w:rsidRPr="00E90346">
        <w:rPr>
          <w:rFonts w:ascii="Times New Roman" w:hAnsi="Times New Roman"/>
          <w:bCs/>
          <w:sz w:val="24"/>
          <w:szCs w:val="24"/>
        </w:rPr>
        <w:t xml:space="preserve"> </w:t>
      </w:r>
      <w:proofErr w:type="gramStart"/>
      <w:r w:rsidRPr="00E90346">
        <w:rPr>
          <w:rFonts w:ascii="Times New Roman" w:hAnsi="Times New Roman"/>
          <w:bCs/>
          <w:sz w:val="24"/>
          <w:szCs w:val="24"/>
        </w:rPr>
        <w:t>change</w:t>
      </w:r>
      <w:proofErr w:type="gramEnd"/>
      <w:r w:rsidRPr="00E90346">
        <w:rPr>
          <w:rFonts w:ascii="Times New Roman" w:hAnsi="Times New Roman"/>
          <w:bCs/>
          <w:sz w:val="24"/>
          <w:szCs w:val="24"/>
        </w:rPr>
        <w:t xml:space="preserve"> his recommendations. (Id.) Plaintiff continued to refuse. (Id.)</w:t>
      </w:r>
    </w:p>
    <w:p w14:paraId="0586464B" w14:textId="77777777" w:rsidR="00286CE9" w:rsidRPr="00E90346" w:rsidRDefault="00286CE9" w:rsidP="00286CE9">
      <w:pPr>
        <w:pStyle w:val="NoSpacing"/>
        <w:rPr>
          <w:rFonts w:ascii="Times New Roman" w:hAnsi="Times New Roman"/>
          <w:bCs/>
          <w:sz w:val="24"/>
          <w:szCs w:val="24"/>
        </w:rPr>
      </w:pPr>
    </w:p>
    <w:p w14:paraId="0B435270"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 xml:space="preserve">In October 2023, Plaintiff learned that Defendant Neely had </w:t>
      </w:r>
      <w:r>
        <w:rPr>
          <w:rFonts w:ascii="Times New Roman" w:hAnsi="Times New Roman"/>
          <w:bCs/>
          <w:sz w:val="24"/>
          <w:szCs w:val="24"/>
        </w:rPr>
        <w:t>‘</w:t>
      </w:r>
      <w:r w:rsidRPr="00E90346">
        <w:rPr>
          <w:rFonts w:ascii="Times New Roman" w:hAnsi="Times New Roman"/>
          <w:bCs/>
          <w:sz w:val="24"/>
          <w:szCs w:val="24"/>
        </w:rPr>
        <w:t>unilaterally and</w:t>
      </w:r>
    </w:p>
    <w:p w14:paraId="30BE4617"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Surreptitiously</w:t>
      </w:r>
      <w:r>
        <w:rPr>
          <w:rFonts w:ascii="Times New Roman" w:hAnsi="Times New Roman"/>
          <w:bCs/>
          <w:sz w:val="24"/>
          <w:szCs w:val="24"/>
        </w:rPr>
        <w:t xml:space="preserve">’ </w:t>
      </w:r>
      <w:r w:rsidRPr="00E90346">
        <w:rPr>
          <w:rFonts w:ascii="Times New Roman" w:hAnsi="Times New Roman"/>
          <w:bCs/>
          <w:sz w:val="24"/>
          <w:szCs w:val="24"/>
        </w:rPr>
        <w:t>changed Plaintiff’s official recommendation. (Id.) Defendant Neely then</w:t>
      </w:r>
    </w:p>
    <w:p w14:paraId="0E93AB10"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instructed Plaintiff to make a public statement saying Plaintiff initiated the change and</w:t>
      </w:r>
    </w:p>
    <w:p w14:paraId="52163BF5"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agreed with it. (Id. at PageID.23.) Plaintiff refused. (Id.) Defendant Neely continued to</w:t>
      </w:r>
    </w:p>
    <w:p w14:paraId="3A071A38"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insist that Plaintiff make the public statement. (Id.) Plaintiff again refused and told</w:t>
      </w:r>
    </w:p>
    <w:p w14:paraId="3D85A59E"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 xml:space="preserve">Defendant </w:t>
      </w:r>
      <w:proofErr w:type="gramStart"/>
      <w:r w:rsidRPr="00E90346">
        <w:rPr>
          <w:rFonts w:ascii="Times New Roman" w:hAnsi="Times New Roman"/>
          <w:bCs/>
          <w:sz w:val="24"/>
          <w:szCs w:val="24"/>
        </w:rPr>
        <w:t>Neely</w:t>
      </w:r>
      <w:proofErr w:type="gramEnd"/>
      <w:r w:rsidRPr="00E90346">
        <w:rPr>
          <w:rFonts w:ascii="Times New Roman" w:hAnsi="Times New Roman"/>
          <w:bCs/>
          <w:sz w:val="24"/>
          <w:szCs w:val="24"/>
        </w:rPr>
        <w:t xml:space="preserve"> that he would not make false statements regarding his original findings</w:t>
      </w:r>
    </w:p>
    <w:p w14:paraId="4B2F7EFB" w14:textId="77777777" w:rsidR="00286CE9" w:rsidRPr="00E90346" w:rsidRDefault="00286CE9" w:rsidP="00286CE9">
      <w:pPr>
        <w:pStyle w:val="NoSpacing"/>
        <w:ind w:firstLine="720"/>
        <w:rPr>
          <w:rFonts w:ascii="Times New Roman" w:hAnsi="Times New Roman"/>
          <w:bCs/>
          <w:sz w:val="24"/>
          <w:szCs w:val="24"/>
        </w:rPr>
      </w:pPr>
      <w:r w:rsidRPr="00E90346">
        <w:rPr>
          <w:rFonts w:ascii="Times New Roman" w:hAnsi="Times New Roman"/>
          <w:bCs/>
          <w:sz w:val="24"/>
          <w:szCs w:val="24"/>
        </w:rPr>
        <w:t>and recommendations about the incident. (Id.)</w:t>
      </w:r>
    </w:p>
    <w:p w14:paraId="78274231" w14:textId="77777777" w:rsidR="00286CE9" w:rsidRPr="00C755A6" w:rsidRDefault="00286CE9" w:rsidP="00286CE9">
      <w:pPr>
        <w:pStyle w:val="NoSpacing"/>
        <w:ind w:left="720"/>
        <w:rPr>
          <w:rFonts w:ascii="Times New Roman" w:hAnsi="Times New Roman"/>
          <w:bCs/>
          <w:sz w:val="24"/>
          <w:szCs w:val="24"/>
        </w:rPr>
      </w:pPr>
    </w:p>
    <w:p w14:paraId="21CA1FF2" w14:textId="77777777" w:rsidR="00286CE9" w:rsidRDefault="00286CE9" w:rsidP="00706FEC">
      <w:pPr>
        <w:pStyle w:val="NoSpacing"/>
        <w:rPr>
          <w:rFonts w:ascii="Times New Roman" w:hAnsi="Times New Roman"/>
          <w:bCs/>
          <w:sz w:val="24"/>
          <w:szCs w:val="24"/>
        </w:rPr>
      </w:pPr>
    </w:p>
    <w:p w14:paraId="2C49EA4A" w14:textId="77777777" w:rsidR="00706FEC" w:rsidRDefault="00706FEC" w:rsidP="00706FEC">
      <w:pPr>
        <w:pStyle w:val="NoSpacing"/>
        <w:ind w:left="720"/>
        <w:rPr>
          <w:rFonts w:ascii="Times New Roman" w:hAnsi="Times New Roman"/>
          <w:bCs/>
          <w:sz w:val="24"/>
          <w:szCs w:val="24"/>
        </w:rPr>
      </w:pPr>
    </w:p>
    <w:p w14:paraId="626ECE37" w14:textId="21095888" w:rsidR="00706FEC" w:rsidRDefault="00286CE9" w:rsidP="00F326E5">
      <w:pPr>
        <w:pStyle w:val="NoSpacing"/>
        <w:rPr>
          <w:rFonts w:ascii="Arial Black" w:hAnsi="Arial Black"/>
          <w:sz w:val="24"/>
          <w:szCs w:val="24"/>
        </w:rPr>
      </w:pPr>
      <w:r>
        <w:rPr>
          <w:rFonts w:ascii="Arial Black" w:hAnsi="Arial Black"/>
          <w:sz w:val="24"/>
          <w:szCs w:val="24"/>
        </w:rPr>
        <w:t>16-</w:t>
      </w:r>
      <w:r w:rsidR="00E135DF">
        <w:rPr>
          <w:rFonts w:ascii="Arial Black" w:hAnsi="Arial Black"/>
          <w:sz w:val="24"/>
          <w:szCs w:val="24"/>
        </w:rPr>
        <w:t>97</w:t>
      </w:r>
    </w:p>
    <w:p w14:paraId="433690C3" w14:textId="77777777" w:rsidR="00920338" w:rsidRDefault="00920338" w:rsidP="00F326E5">
      <w:pPr>
        <w:pStyle w:val="NoSpacing"/>
        <w:rPr>
          <w:rFonts w:ascii="Arial Black" w:hAnsi="Arial Black"/>
          <w:sz w:val="24"/>
          <w:szCs w:val="24"/>
        </w:rPr>
      </w:pPr>
    </w:p>
    <w:p w14:paraId="23E67678" w14:textId="77777777" w:rsidR="00920338" w:rsidRDefault="00920338" w:rsidP="00920338">
      <w:pPr>
        <w:pStyle w:val="NormalWeb"/>
        <w:rPr>
          <w:rFonts w:ascii="Arial Black" w:hAnsi="Arial Black"/>
          <w:sz w:val="28"/>
          <w:szCs w:val="28"/>
        </w:rPr>
      </w:pPr>
      <w:r>
        <w:rPr>
          <w:rFonts w:ascii="Arial Black" w:hAnsi="Arial Black"/>
          <w:sz w:val="28"/>
          <w:szCs w:val="28"/>
        </w:rPr>
        <w:t>CO: NEW FIRE BOARD ELECTED – FIRED FIRE CHIEF – MAY SUE RETALIATION – HE REPORTED POSS. ELECTION FRAUD</w:t>
      </w:r>
    </w:p>
    <w:p w14:paraId="3836A862" w14:textId="5B5B9C47" w:rsidR="00920338" w:rsidRDefault="00920338" w:rsidP="00920338">
      <w:pPr>
        <w:pStyle w:val="NoSpacing"/>
        <w:rPr>
          <w:rStyle w:val="Hyperlink"/>
          <w:rFonts w:ascii="Times New Roman" w:hAnsi="Times New Roman"/>
          <w:sz w:val="24"/>
          <w:szCs w:val="24"/>
        </w:rPr>
      </w:pPr>
      <w:r w:rsidRPr="001D0A41">
        <w:rPr>
          <w:rFonts w:ascii="Times New Roman" w:hAnsi="Times New Roman"/>
          <w:sz w:val="24"/>
          <w:szCs w:val="24"/>
        </w:rPr>
        <w:t xml:space="preserve">On Nov. 17, 2023, in </w:t>
      </w:r>
      <w:r w:rsidRPr="001D0A41">
        <w:rPr>
          <w:rFonts w:ascii="Times New Roman" w:hAnsi="Times New Roman"/>
          <w:sz w:val="24"/>
          <w:szCs w:val="24"/>
          <w:u w:val="single"/>
        </w:rPr>
        <w:t>Erik Holt v. Florissant Fire Protection District</w:t>
      </w:r>
      <w:r w:rsidRPr="001D0A41">
        <w:rPr>
          <w:rFonts w:ascii="Times New Roman" w:hAnsi="Times New Roman"/>
          <w:sz w:val="24"/>
          <w:szCs w:val="24"/>
        </w:rPr>
        <w:t>, U.S. District Court Judge Nina Y. Wang, U.S. District Court for District of Colorado, held that the plaintiff’s 1</w:t>
      </w:r>
      <w:r w:rsidRPr="001D0A41">
        <w:rPr>
          <w:rFonts w:ascii="Times New Roman" w:hAnsi="Times New Roman"/>
          <w:sz w:val="24"/>
          <w:szCs w:val="24"/>
          <w:vertAlign w:val="superscript"/>
        </w:rPr>
        <w:t>st</w:t>
      </w:r>
      <w:r w:rsidRPr="001D0A41">
        <w:rPr>
          <w:rFonts w:ascii="Times New Roman" w:hAnsi="Times New Roman"/>
          <w:sz w:val="24"/>
          <w:szCs w:val="24"/>
        </w:rPr>
        <w:t xml:space="preserve"> Amendment retaliation claim may </w:t>
      </w:r>
      <w:r w:rsidRPr="001D0A41">
        <w:rPr>
          <w:rFonts w:ascii="Times New Roman" w:hAnsi="Times New Roman"/>
          <w:sz w:val="24"/>
          <w:szCs w:val="24"/>
        </w:rPr>
        <w:lastRenderedPageBreak/>
        <w:t xml:space="preserve">proceed to pre-trial discovery, but under Colorado law he cannot sue the Fire District for wrongful termination since it enjoys immunity under the Colorado Governmental Immunity Act (“CGIA”).  The Town held an election at the Fire District for Board </w:t>
      </w:r>
      <w:proofErr w:type="gramStart"/>
      <w:r w:rsidRPr="001D0A41">
        <w:rPr>
          <w:rFonts w:ascii="Times New Roman" w:hAnsi="Times New Roman"/>
          <w:sz w:val="24"/>
          <w:szCs w:val="24"/>
        </w:rPr>
        <w:t>members</w:t>
      </w:r>
      <w:proofErr w:type="gramEnd"/>
      <w:r w:rsidRPr="001D0A41">
        <w:rPr>
          <w:rFonts w:ascii="Times New Roman" w:hAnsi="Times New Roman"/>
          <w:sz w:val="24"/>
          <w:szCs w:val="24"/>
        </w:rPr>
        <w:t xml:space="preserve"> and five new members were elected, but Fire Chief was advised that there </w:t>
      </w:r>
      <w:proofErr w:type="gramStart"/>
      <w:r w:rsidRPr="001D0A41">
        <w:rPr>
          <w:rFonts w:ascii="Times New Roman" w:hAnsi="Times New Roman"/>
          <w:sz w:val="24"/>
          <w:szCs w:val="24"/>
        </w:rPr>
        <w:t>was</w:t>
      </w:r>
      <w:proofErr w:type="gramEnd"/>
      <w:r w:rsidRPr="001D0A41">
        <w:rPr>
          <w:rFonts w:ascii="Times New Roman" w:hAnsi="Times New Roman"/>
          <w:sz w:val="24"/>
          <w:szCs w:val="24"/>
        </w:rPr>
        <w:t xml:space="preserve"> intimidation and harassment of voters at the election and he gathered videotapes which he provided to criminal investigators.  </w:t>
      </w:r>
      <w:hyperlink r:id="rId2673" w:history="1">
        <w:r w:rsidRPr="001D0A41">
          <w:rPr>
            <w:rStyle w:val="Hyperlink"/>
            <w:rFonts w:ascii="Times New Roman" w:hAnsi="Times New Roman"/>
            <w:sz w:val="24"/>
            <w:szCs w:val="24"/>
          </w:rPr>
          <w:t>https://casetext.com/case/holt-v-florissant-fire-prot-dist</w:t>
        </w:r>
      </w:hyperlink>
    </w:p>
    <w:p w14:paraId="693F647D" w14:textId="77777777" w:rsidR="00F33C79" w:rsidRDefault="00F33C79" w:rsidP="00920338">
      <w:pPr>
        <w:pStyle w:val="NoSpacing"/>
        <w:rPr>
          <w:rStyle w:val="Hyperlink"/>
          <w:rFonts w:ascii="Times New Roman" w:hAnsi="Times New Roman"/>
          <w:sz w:val="24"/>
          <w:szCs w:val="24"/>
        </w:rPr>
      </w:pPr>
    </w:p>
    <w:p w14:paraId="3AE390AA" w14:textId="77777777" w:rsidR="00F33C79" w:rsidRDefault="00F33C79" w:rsidP="00F33C79">
      <w:pPr>
        <w:rPr>
          <w:rFonts w:ascii="Times New Roman" w:hAnsi="Times New Roman"/>
          <w:b/>
          <w:bCs/>
          <w:sz w:val="24"/>
          <w:szCs w:val="24"/>
        </w:rPr>
      </w:pPr>
      <w:r w:rsidRPr="00154003">
        <w:rPr>
          <w:rFonts w:ascii="Times New Roman" w:hAnsi="Times New Roman"/>
          <w:b/>
          <w:bCs/>
          <w:sz w:val="24"/>
          <w:szCs w:val="24"/>
        </w:rPr>
        <w:t xml:space="preserve">Legal Lesson Learned: The Fire Chief may now proceed with pre-trial discovery under his First Amendment claim of retaliation. </w:t>
      </w:r>
    </w:p>
    <w:p w14:paraId="3346B6E7" w14:textId="77777777" w:rsidR="00F33C79" w:rsidRDefault="00F33C79" w:rsidP="00920338">
      <w:pPr>
        <w:pStyle w:val="NoSpacing"/>
        <w:rPr>
          <w:rFonts w:ascii="Arial Black" w:hAnsi="Arial Black"/>
          <w:sz w:val="24"/>
          <w:szCs w:val="24"/>
        </w:rPr>
      </w:pPr>
    </w:p>
    <w:p w14:paraId="46D6E15C" w14:textId="77777777" w:rsidR="00F33C79" w:rsidRDefault="00F33C79" w:rsidP="00920338">
      <w:pPr>
        <w:pStyle w:val="NoSpacing"/>
        <w:rPr>
          <w:rFonts w:ascii="Arial Black" w:hAnsi="Arial Black"/>
          <w:sz w:val="24"/>
          <w:szCs w:val="24"/>
        </w:rPr>
      </w:pPr>
    </w:p>
    <w:p w14:paraId="0A0EB8E9" w14:textId="54E3E27F" w:rsidR="00F33C79" w:rsidRDefault="00F33C79" w:rsidP="00920338">
      <w:pPr>
        <w:pStyle w:val="NoSpacing"/>
        <w:rPr>
          <w:rFonts w:ascii="Arial Black" w:hAnsi="Arial Black"/>
          <w:sz w:val="24"/>
          <w:szCs w:val="24"/>
        </w:rPr>
      </w:pPr>
      <w:r>
        <w:rPr>
          <w:rFonts w:ascii="Arial Black" w:hAnsi="Arial Black"/>
          <w:sz w:val="24"/>
          <w:szCs w:val="24"/>
        </w:rPr>
        <w:t>16-96</w:t>
      </w:r>
    </w:p>
    <w:p w14:paraId="767DCC3B" w14:textId="77777777" w:rsidR="0046271A" w:rsidRDefault="0046271A" w:rsidP="0046271A">
      <w:pPr>
        <w:rPr>
          <w:rFonts w:ascii="Arial Black" w:hAnsi="Arial Black"/>
          <w:b/>
          <w:bCs/>
          <w:sz w:val="28"/>
          <w:szCs w:val="28"/>
        </w:rPr>
      </w:pPr>
      <w:r>
        <w:rPr>
          <w:rFonts w:ascii="Arial Black" w:hAnsi="Arial Black"/>
          <w:b/>
          <w:bCs/>
          <w:sz w:val="28"/>
          <w:szCs w:val="28"/>
        </w:rPr>
        <w:t>MA: BOSTON FF – SOCIAL MEDIA POSTS ATTACKING RELIGION, SEXUAL ORIENTATION, RACE - FIRED</w:t>
      </w:r>
    </w:p>
    <w:p w14:paraId="5310F73B" w14:textId="77777777" w:rsidR="0046271A" w:rsidRDefault="0046271A" w:rsidP="0046271A">
      <w:pPr>
        <w:rPr>
          <w:rFonts w:ascii="Times New Roman" w:hAnsi="Times New Roman"/>
          <w:sz w:val="24"/>
          <w:szCs w:val="24"/>
        </w:rPr>
      </w:pPr>
      <w:r w:rsidRPr="00C972D3">
        <w:rPr>
          <w:rFonts w:ascii="Times New Roman" w:hAnsi="Times New Roman"/>
          <w:sz w:val="24"/>
          <w:szCs w:val="24"/>
        </w:rPr>
        <w:t xml:space="preserve">On </w:t>
      </w:r>
      <w:r>
        <w:rPr>
          <w:rFonts w:ascii="Times New Roman" w:hAnsi="Times New Roman"/>
          <w:sz w:val="24"/>
          <w:szCs w:val="24"/>
        </w:rPr>
        <w:t xml:space="preserve">Nov. 6, 2023, in </w:t>
      </w:r>
      <w:r w:rsidRPr="00442665">
        <w:rPr>
          <w:rFonts w:ascii="Times New Roman" w:hAnsi="Times New Roman"/>
          <w:sz w:val="24"/>
          <w:szCs w:val="24"/>
          <w:u w:val="single"/>
        </w:rPr>
        <w:t>Octavius Rowe v. Civil Service Commission</w:t>
      </w:r>
      <w:r>
        <w:rPr>
          <w:rFonts w:ascii="Times New Roman" w:hAnsi="Times New Roman"/>
          <w:sz w:val="24"/>
          <w:szCs w:val="24"/>
        </w:rPr>
        <w:t xml:space="preserve">, the Appeals Court of Massachusetts held (3 to 0) that the Boston Fire Department and the city’s Civil Service Commission properly upheld the termination of the firefighter.  The Black firefighter claimed that white firefighters were treated less harshly, but two firefighters had resigned and a third received a suspension for less serious misconduct.   </w:t>
      </w:r>
      <w:hyperlink r:id="rId2674" w:history="1">
        <w:r w:rsidRPr="00182321">
          <w:rPr>
            <w:rStyle w:val="Hyperlink"/>
            <w:rFonts w:ascii="Times New Roman" w:hAnsi="Times New Roman"/>
            <w:sz w:val="24"/>
            <w:szCs w:val="24"/>
          </w:rPr>
          <w:t>https://caselaw.findlaw.com/court/ma-court-of-appeals/115411600.html</w:t>
        </w:r>
      </w:hyperlink>
      <w:r>
        <w:rPr>
          <w:rFonts w:ascii="Times New Roman" w:hAnsi="Times New Roman"/>
          <w:sz w:val="24"/>
          <w:szCs w:val="24"/>
        </w:rPr>
        <w:t xml:space="preserve"> </w:t>
      </w:r>
    </w:p>
    <w:p w14:paraId="4C47C07C" w14:textId="77777777" w:rsidR="00075DAE" w:rsidRDefault="00075DAE" w:rsidP="00075DAE">
      <w:pPr>
        <w:rPr>
          <w:rFonts w:ascii="Times New Roman" w:hAnsi="Times New Roman"/>
          <w:b/>
          <w:bCs/>
          <w:sz w:val="24"/>
          <w:szCs w:val="24"/>
        </w:rPr>
      </w:pPr>
      <w:r w:rsidRPr="00025468">
        <w:rPr>
          <w:rFonts w:ascii="Times New Roman" w:hAnsi="Times New Roman"/>
          <w:b/>
          <w:bCs/>
          <w:sz w:val="24"/>
          <w:szCs w:val="24"/>
        </w:rPr>
        <w:t>Legal Lesson Learned:</w:t>
      </w:r>
      <w:r>
        <w:rPr>
          <w:rFonts w:ascii="Times New Roman" w:hAnsi="Times New Roman"/>
          <w:b/>
          <w:bCs/>
          <w:sz w:val="24"/>
          <w:szCs w:val="24"/>
        </w:rPr>
        <w:t xml:space="preserve"> Social media posts by fire or EMS can result in discipline, including termination.</w:t>
      </w:r>
    </w:p>
    <w:p w14:paraId="5ED6EE38" w14:textId="77777777" w:rsidR="0046271A" w:rsidRDefault="0046271A" w:rsidP="00920338">
      <w:pPr>
        <w:pStyle w:val="NoSpacing"/>
        <w:rPr>
          <w:rFonts w:ascii="Arial Black" w:hAnsi="Arial Black"/>
          <w:sz w:val="24"/>
          <w:szCs w:val="24"/>
        </w:rPr>
      </w:pPr>
    </w:p>
    <w:p w14:paraId="07A94F39" w14:textId="77777777" w:rsidR="0042334A" w:rsidRDefault="0042334A" w:rsidP="00F326E5">
      <w:pPr>
        <w:pStyle w:val="NoSpacing"/>
        <w:rPr>
          <w:rFonts w:ascii="Arial Black" w:hAnsi="Arial Black"/>
          <w:sz w:val="24"/>
          <w:szCs w:val="24"/>
        </w:rPr>
      </w:pPr>
    </w:p>
    <w:p w14:paraId="0DA0457B" w14:textId="77777777" w:rsidR="0042334A" w:rsidRDefault="0042334A" w:rsidP="00F326E5">
      <w:pPr>
        <w:pStyle w:val="NoSpacing"/>
        <w:rPr>
          <w:rFonts w:ascii="Arial Black" w:hAnsi="Arial Black"/>
          <w:sz w:val="24"/>
          <w:szCs w:val="24"/>
        </w:rPr>
      </w:pPr>
    </w:p>
    <w:p w14:paraId="7CA5F048" w14:textId="0550F3A9" w:rsidR="000518BE" w:rsidRDefault="000518BE" w:rsidP="00F326E5">
      <w:pPr>
        <w:pStyle w:val="NoSpacing"/>
        <w:rPr>
          <w:rFonts w:ascii="Arial Black" w:hAnsi="Arial Black"/>
          <w:sz w:val="24"/>
          <w:szCs w:val="24"/>
        </w:rPr>
      </w:pPr>
      <w:r>
        <w:rPr>
          <w:rFonts w:ascii="Arial Black" w:hAnsi="Arial Black"/>
          <w:sz w:val="24"/>
          <w:szCs w:val="24"/>
        </w:rPr>
        <w:t>16-95</w:t>
      </w:r>
    </w:p>
    <w:p w14:paraId="54B09E71" w14:textId="77777777" w:rsidR="000518BE" w:rsidRDefault="000518BE" w:rsidP="000518BE">
      <w:pPr>
        <w:pStyle w:val="NormalWeb"/>
        <w:rPr>
          <w:rFonts w:ascii="Arial Black" w:hAnsi="Arial Black"/>
          <w:b/>
          <w:bCs/>
          <w:sz w:val="28"/>
          <w:szCs w:val="28"/>
        </w:rPr>
      </w:pPr>
      <w:r>
        <w:rPr>
          <w:rFonts w:ascii="Arial Black" w:hAnsi="Arial Black"/>
          <w:b/>
          <w:bCs/>
          <w:sz w:val="28"/>
          <w:szCs w:val="28"/>
        </w:rPr>
        <w:t>LA: “OFFICE ROMANCE” - WIFE OF ASSISTANT FIRE CHIEF DIVORCES - MARRIES DIST. CHIEF – FIRED – NO CASE</w:t>
      </w:r>
    </w:p>
    <w:p w14:paraId="08523464" w14:textId="16BB4525" w:rsidR="000518BE" w:rsidRPr="000518BE" w:rsidRDefault="000518BE" w:rsidP="000518BE">
      <w:pPr>
        <w:pStyle w:val="NoSpacing"/>
        <w:rPr>
          <w:rFonts w:ascii="Times New Roman" w:hAnsi="Times New Roman"/>
          <w:sz w:val="24"/>
          <w:szCs w:val="24"/>
        </w:rPr>
      </w:pPr>
      <w:r w:rsidRPr="000518BE">
        <w:rPr>
          <w:rFonts w:ascii="Times New Roman" w:hAnsi="Times New Roman"/>
          <w:sz w:val="24"/>
          <w:szCs w:val="24"/>
        </w:rPr>
        <w:t xml:space="preserve">On Oct. 19, 2023, in </w:t>
      </w:r>
      <w:r w:rsidRPr="000518BE">
        <w:rPr>
          <w:rFonts w:ascii="Times New Roman" w:hAnsi="Times New Roman"/>
          <w:sz w:val="24"/>
          <w:szCs w:val="24"/>
          <w:u w:val="single"/>
        </w:rPr>
        <w:t xml:space="preserve">Stacie </w:t>
      </w:r>
      <w:proofErr w:type="spellStart"/>
      <w:r w:rsidRPr="000518BE">
        <w:rPr>
          <w:rFonts w:ascii="Times New Roman" w:hAnsi="Times New Roman"/>
          <w:sz w:val="24"/>
          <w:szCs w:val="24"/>
          <w:u w:val="single"/>
        </w:rPr>
        <w:t>Dellucky</w:t>
      </w:r>
      <w:proofErr w:type="spellEnd"/>
      <w:r w:rsidRPr="000518BE">
        <w:rPr>
          <w:rFonts w:ascii="Times New Roman" w:hAnsi="Times New Roman"/>
          <w:sz w:val="24"/>
          <w:szCs w:val="24"/>
          <w:u w:val="single"/>
        </w:rPr>
        <w:t xml:space="preserve"> &amp; Frank Dellucky v. St. George Fire Protection District, et al.</w:t>
      </w:r>
      <w:r w:rsidRPr="000518BE">
        <w:rPr>
          <w:rFonts w:ascii="Times New Roman" w:hAnsi="Times New Roman"/>
          <w:sz w:val="24"/>
          <w:szCs w:val="24"/>
        </w:rPr>
        <w:t>, U.S. District Court Judge Brian A, Jackson granted defense motion for summary judgment. The Court held: “Specifically, Frank voluntarily resigned to avoid participating in an employee disciplinary investigation, after he sent sordid Facebook messages to the co-worker referenced above. (</w:t>
      </w:r>
      <w:r w:rsidRPr="000518BE">
        <w:rPr>
          <w:rStyle w:val="Emphasis"/>
          <w:rFonts w:ascii="Times New Roman" w:hAnsi="Times New Roman"/>
          <w:sz w:val="24"/>
          <w:szCs w:val="24"/>
        </w:rPr>
        <w:t>Id.</w:t>
      </w:r>
      <w:r w:rsidRPr="000518BE">
        <w:rPr>
          <w:rFonts w:ascii="Times New Roman" w:hAnsi="Times New Roman"/>
          <w:sz w:val="24"/>
          <w:szCs w:val="24"/>
        </w:rPr>
        <w:t xml:space="preserve"> ¶¶ 23-29). In conjunction with his resignation, Frank executed a Settlement Agreement with the </w:t>
      </w:r>
      <w:proofErr w:type="gramStart"/>
      <w:r w:rsidRPr="000518BE">
        <w:rPr>
          <w:rFonts w:ascii="Times New Roman" w:hAnsi="Times New Roman"/>
          <w:sz w:val="24"/>
          <w:szCs w:val="24"/>
        </w:rPr>
        <w:t>District, ‘</w:t>
      </w:r>
      <w:proofErr w:type="gramEnd"/>
      <w:r w:rsidRPr="000518BE">
        <w:rPr>
          <w:rFonts w:ascii="Times New Roman" w:hAnsi="Times New Roman"/>
          <w:sz w:val="24"/>
          <w:szCs w:val="24"/>
        </w:rPr>
        <w:t xml:space="preserve">through its duly authorized Fire Chief and Appointing Authority, Gerard C. Tarleton.’ *** Here, no evidence suggests that </w:t>
      </w:r>
      <w:proofErr w:type="gramStart"/>
      <w:r w:rsidRPr="000518BE">
        <w:rPr>
          <w:rFonts w:ascii="Times New Roman" w:hAnsi="Times New Roman"/>
          <w:sz w:val="24"/>
          <w:szCs w:val="24"/>
        </w:rPr>
        <w:t>Defendants' ‘</w:t>
      </w:r>
      <w:proofErr w:type="gramEnd"/>
      <w:r w:rsidRPr="000518BE">
        <w:rPr>
          <w:rFonts w:ascii="Times New Roman" w:hAnsi="Times New Roman"/>
          <w:sz w:val="24"/>
          <w:szCs w:val="24"/>
        </w:rPr>
        <w:t xml:space="preserve">policy’ against Stacie marrying Frank was aimed </w:t>
      </w:r>
      <w:proofErr w:type="gramStart"/>
      <w:r w:rsidRPr="000518BE">
        <w:rPr>
          <w:rFonts w:ascii="Times New Roman" w:hAnsi="Times New Roman"/>
          <w:sz w:val="24"/>
          <w:szCs w:val="24"/>
        </w:rPr>
        <w:t>to prohibit ‘</w:t>
      </w:r>
      <w:proofErr w:type="gramEnd"/>
      <w:r w:rsidRPr="000518BE">
        <w:rPr>
          <w:rFonts w:ascii="Times New Roman" w:hAnsi="Times New Roman"/>
          <w:sz w:val="24"/>
          <w:szCs w:val="24"/>
        </w:rPr>
        <w:t xml:space="preserve">one class of people from being with another.’ To the contrary, Defendants only prohibited Stacie from marrying Frank to avoid chain-of-command and workplace morale issues that would arise from Stacie being managed by Chad Roberson, the District's Assistant Fire Chief, and Stacie's ex-husband. Stacie disregarded this prohibition, married Frank, and lost her job. But this was merely an ‘incidental’ consequence because Defendants' actions did ‘not prohibit the relationship itself.’” </w:t>
      </w:r>
      <w:hyperlink r:id="rId2675" w:history="1">
        <w:r w:rsidRPr="000518BE">
          <w:rPr>
            <w:rStyle w:val="Hyperlink"/>
            <w:rFonts w:ascii="Times New Roman" w:hAnsi="Times New Roman"/>
            <w:sz w:val="24"/>
            <w:szCs w:val="24"/>
          </w:rPr>
          <w:t>https://cases.justia.com/federal/district-courts/louisiana/lamdce/3:2021cv00287/59089/59/0.pdf?ts=1697816120</w:t>
        </w:r>
      </w:hyperlink>
    </w:p>
    <w:p w14:paraId="684925B8" w14:textId="77777777" w:rsidR="000518BE" w:rsidRDefault="000518BE" w:rsidP="00F326E5">
      <w:pPr>
        <w:pStyle w:val="NoSpacing"/>
        <w:rPr>
          <w:rFonts w:ascii="Arial Black" w:hAnsi="Arial Black"/>
          <w:sz w:val="24"/>
          <w:szCs w:val="24"/>
        </w:rPr>
      </w:pPr>
    </w:p>
    <w:p w14:paraId="1A2A8C3E" w14:textId="77777777" w:rsidR="000518BE" w:rsidRDefault="000518BE" w:rsidP="000518BE">
      <w:pPr>
        <w:spacing w:after="10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Many Fire Departments and political subdivisions have anti-nepotism policies. </w:t>
      </w:r>
    </w:p>
    <w:p w14:paraId="6A548ADF" w14:textId="77777777" w:rsidR="000518BE" w:rsidRDefault="000518BE" w:rsidP="00F326E5">
      <w:pPr>
        <w:pStyle w:val="NoSpacing"/>
        <w:rPr>
          <w:rFonts w:ascii="Arial Black" w:hAnsi="Arial Black"/>
          <w:sz w:val="24"/>
          <w:szCs w:val="24"/>
        </w:rPr>
      </w:pPr>
    </w:p>
    <w:p w14:paraId="39307E82" w14:textId="77777777" w:rsidR="000518BE" w:rsidRDefault="000518BE" w:rsidP="00F326E5">
      <w:pPr>
        <w:pStyle w:val="NoSpacing"/>
        <w:rPr>
          <w:rFonts w:ascii="Arial Black" w:hAnsi="Arial Black"/>
          <w:sz w:val="24"/>
          <w:szCs w:val="24"/>
        </w:rPr>
      </w:pPr>
    </w:p>
    <w:p w14:paraId="7D51B9DA" w14:textId="4860808D" w:rsidR="009B0593" w:rsidRDefault="008F7EBA" w:rsidP="00F326E5">
      <w:pPr>
        <w:pStyle w:val="NoSpacing"/>
        <w:rPr>
          <w:rFonts w:ascii="Arial Black" w:hAnsi="Arial Black"/>
          <w:sz w:val="24"/>
          <w:szCs w:val="24"/>
        </w:rPr>
      </w:pPr>
      <w:r>
        <w:rPr>
          <w:rFonts w:ascii="Arial Black" w:hAnsi="Arial Black"/>
          <w:sz w:val="24"/>
          <w:szCs w:val="24"/>
        </w:rPr>
        <w:lastRenderedPageBreak/>
        <w:t>16-94</w:t>
      </w:r>
    </w:p>
    <w:p w14:paraId="06EF77C1" w14:textId="77777777" w:rsidR="008F7EBA" w:rsidRDefault="008F7EBA" w:rsidP="00F326E5">
      <w:pPr>
        <w:pStyle w:val="NoSpacing"/>
        <w:rPr>
          <w:rFonts w:ascii="Arial Black" w:hAnsi="Arial Black"/>
          <w:sz w:val="24"/>
          <w:szCs w:val="24"/>
        </w:rPr>
      </w:pPr>
    </w:p>
    <w:p w14:paraId="13F8432C" w14:textId="77777777" w:rsidR="008F7EBA" w:rsidRPr="000A219B" w:rsidRDefault="008F7EBA" w:rsidP="008F7EBA">
      <w:pPr>
        <w:pStyle w:val="NoSpacing"/>
        <w:rPr>
          <w:rFonts w:ascii="Arial Black" w:hAnsi="Arial Black"/>
          <w:sz w:val="28"/>
          <w:szCs w:val="28"/>
        </w:rPr>
      </w:pPr>
      <w:r>
        <w:rPr>
          <w:rFonts w:ascii="Arial Black" w:hAnsi="Arial Black"/>
          <w:sz w:val="28"/>
          <w:szCs w:val="28"/>
        </w:rPr>
        <w:t xml:space="preserve">TN: FD CAPT. DEMOTED - FACEBOOK POSTS GEORGE FLOYD RIOTS – CASE PROCEED / “BALACING TEST” </w:t>
      </w:r>
    </w:p>
    <w:p w14:paraId="3635BD6F" w14:textId="77777777" w:rsidR="008F7EBA" w:rsidRDefault="008F7EBA" w:rsidP="008F7EBA">
      <w:pPr>
        <w:pStyle w:val="NoSpacing"/>
        <w:rPr>
          <w:rFonts w:ascii="Times New Roman" w:hAnsi="Times New Roman"/>
          <w:sz w:val="24"/>
          <w:szCs w:val="24"/>
        </w:rPr>
      </w:pPr>
    </w:p>
    <w:p w14:paraId="46B12BFB" w14:textId="77777777" w:rsidR="008F7EBA" w:rsidRDefault="008F7EBA" w:rsidP="008F7EBA">
      <w:pPr>
        <w:pStyle w:val="NoSpacing"/>
        <w:rPr>
          <w:rFonts w:ascii="Times New Roman" w:hAnsi="Times New Roman"/>
          <w:sz w:val="24"/>
          <w:szCs w:val="24"/>
        </w:rPr>
      </w:pPr>
      <w:r>
        <w:rPr>
          <w:rFonts w:ascii="Times New Roman" w:hAnsi="Times New Roman"/>
          <w:sz w:val="24"/>
          <w:szCs w:val="24"/>
        </w:rPr>
        <w:t xml:space="preserve">On Sept. 19, 2023, in </w:t>
      </w:r>
      <w:r w:rsidRPr="003B777F">
        <w:rPr>
          <w:rFonts w:ascii="Times New Roman" w:hAnsi="Times New Roman"/>
          <w:sz w:val="24"/>
          <w:szCs w:val="24"/>
          <w:u w:val="single"/>
        </w:rPr>
        <w:t xml:space="preserve">Tracy R. Turner v. Metropolitan Government of Nashville </w:t>
      </w:r>
      <w:proofErr w:type="gramStart"/>
      <w:r w:rsidRPr="003B777F">
        <w:rPr>
          <w:rFonts w:ascii="Times New Roman" w:hAnsi="Times New Roman"/>
          <w:sz w:val="24"/>
          <w:szCs w:val="24"/>
          <w:u w:val="single"/>
        </w:rPr>
        <w:t>And</w:t>
      </w:r>
      <w:proofErr w:type="gramEnd"/>
      <w:r w:rsidRPr="003B777F">
        <w:rPr>
          <w:rFonts w:ascii="Times New Roman" w:hAnsi="Times New Roman"/>
          <w:sz w:val="24"/>
          <w:szCs w:val="24"/>
          <w:u w:val="single"/>
        </w:rPr>
        <w:t xml:space="preserve"> Davidson County,</w:t>
      </w:r>
      <w:r>
        <w:rPr>
          <w:rFonts w:ascii="Times New Roman" w:hAnsi="Times New Roman"/>
          <w:sz w:val="24"/>
          <w:szCs w:val="24"/>
        </w:rPr>
        <w:t xml:space="preserve"> U.S. District Court Judge Eli Richardson, U.S. District Court for the Middle District of Tennessee, Nashville Division, denied the City’s motion for summary judgment.  The </w:t>
      </w:r>
      <w:proofErr w:type="gramStart"/>
      <w:r>
        <w:rPr>
          <w:rFonts w:ascii="Times New Roman" w:hAnsi="Times New Roman"/>
          <w:sz w:val="24"/>
          <w:szCs w:val="24"/>
        </w:rPr>
        <w:t>Captain</w:t>
      </w:r>
      <w:proofErr w:type="gramEnd"/>
      <w:r>
        <w:rPr>
          <w:rFonts w:ascii="Times New Roman" w:hAnsi="Times New Roman"/>
          <w:sz w:val="24"/>
          <w:szCs w:val="24"/>
        </w:rPr>
        <w:t xml:space="preserve"> was demoted to firefighter, ordered to attend “sensitivity” training and moved to another station. While there were several calls from citizens about the posts, there was little evidence that the </w:t>
      </w:r>
      <w:proofErr w:type="gramStart"/>
      <w:r>
        <w:rPr>
          <w:rFonts w:ascii="Times New Roman" w:hAnsi="Times New Roman"/>
          <w:sz w:val="24"/>
          <w:szCs w:val="24"/>
        </w:rPr>
        <w:t>Captain’s</w:t>
      </w:r>
      <w:proofErr w:type="gramEnd"/>
      <w:r>
        <w:rPr>
          <w:rFonts w:ascii="Times New Roman" w:hAnsi="Times New Roman"/>
          <w:sz w:val="24"/>
          <w:szCs w:val="24"/>
        </w:rPr>
        <w:t xml:space="preserve"> posts had disruptive impact on the Fire Department. </w:t>
      </w:r>
    </w:p>
    <w:p w14:paraId="15F1222A" w14:textId="77777777" w:rsidR="008F7EBA" w:rsidRDefault="008F7EBA" w:rsidP="008F7EBA">
      <w:pPr>
        <w:pStyle w:val="NoSpacing"/>
        <w:rPr>
          <w:rFonts w:ascii="Times New Roman" w:hAnsi="Times New Roman"/>
          <w:sz w:val="24"/>
          <w:szCs w:val="24"/>
        </w:rPr>
      </w:pPr>
    </w:p>
    <w:p w14:paraId="5EB860E6" w14:textId="77777777" w:rsidR="008F7EBA" w:rsidRPr="003B777F" w:rsidRDefault="008F7EBA" w:rsidP="008F7EBA">
      <w:pPr>
        <w:pStyle w:val="NoSpacing"/>
        <w:ind w:left="720"/>
        <w:rPr>
          <w:rFonts w:ascii="Times New Roman" w:hAnsi="Times New Roman"/>
          <w:sz w:val="24"/>
          <w:szCs w:val="24"/>
        </w:rPr>
      </w:pPr>
      <w:r>
        <w:rPr>
          <w:rFonts w:ascii="Times New Roman" w:hAnsi="Times New Roman"/>
          <w:sz w:val="24"/>
          <w:szCs w:val="24"/>
        </w:rPr>
        <w:t>The Court held: “</w:t>
      </w:r>
      <w:r w:rsidRPr="003B777F">
        <w:rPr>
          <w:rFonts w:ascii="Times New Roman" w:hAnsi="Times New Roman"/>
          <w:sz w:val="24"/>
          <w:szCs w:val="24"/>
        </w:rPr>
        <w:t>From May through July 2020, Plaintiff posted on Facebook his opinions on several topics</w:t>
      </w:r>
      <w:r>
        <w:rPr>
          <w:rFonts w:ascii="Times New Roman" w:hAnsi="Times New Roman"/>
          <w:sz w:val="24"/>
          <w:szCs w:val="24"/>
        </w:rPr>
        <w:t xml:space="preserve"> </w:t>
      </w:r>
      <w:r w:rsidRPr="003B777F">
        <w:rPr>
          <w:rFonts w:ascii="Times New Roman" w:hAnsi="Times New Roman"/>
          <w:sz w:val="24"/>
          <w:szCs w:val="24"/>
        </w:rPr>
        <w:t>of national interest. For example, Plaintiff referred to people reacting violently to the death of</w:t>
      </w:r>
      <w:r>
        <w:rPr>
          <w:rFonts w:ascii="Times New Roman" w:hAnsi="Times New Roman"/>
          <w:sz w:val="24"/>
          <w:szCs w:val="24"/>
        </w:rPr>
        <w:t xml:space="preserve"> </w:t>
      </w:r>
      <w:r w:rsidRPr="003B777F">
        <w:rPr>
          <w:rFonts w:ascii="Times New Roman" w:hAnsi="Times New Roman"/>
          <w:sz w:val="24"/>
          <w:szCs w:val="24"/>
        </w:rPr>
        <w:t xml:space="preserve">George Floyd as </w:t>
      </w:r>
      <w:r>
        <w:rPr>
          <w:rFonts w:ascii="Times New Roman" w:hAnsi="Times New Roman"/>
          <w:sz w:val="24"/>
          <w:szCs w:val="24"/>
        </w:rPr>
        <w:t>‘</w:t>
      </w:r>
      <w:r w:rsidRPr="003B777F">
        <w:rPr>
          <w:rFonts w:ascii="Times New Roman" w:hAnsi="Times New Roman"/>
          <w:sz w:val="24"/>
          <w:szCs w:val="24"/>
        </w:rPr>
        <w:t>animals.</w:t>
      </w:r>
      <w:r>
        <w:rPr>
          <w:rFonts w:ascii="Times New Roman" w:hAnsi="Times New Roman"/>
          <w:sz w:val="24"/>
          <w:szCs w:val="24"/>
        </w:rPr>
        <w:t xml:space="preserve">’ </w:t>
      </w:r>
      <w:r w:rsidRPr="003B777F">
        <w:rPr>
          <w:rFonts w:ascii="Times New Roman" w:hAnsi="Times New Roman"/>
          <w:sz w:val="24"/>
          <w:szCs w:val="24"/>
        </w:rPr>
        <w:t xml:space="preserve">He made other posts referring to </w:t>
      </w:r>
      <w:r>
        <w:rPr>
          <w:rFonts w:ascii="Times New Roman" w:hAnsi="Times New Roman"/>
          <w:sz w:val="24"/>
          <w:szCs w:val="24"/>
        </w:rPr>
        <w:t>‘</w:t>
      </w:r>
      <w:r w:rsidRPr="003B777F">
        <w:rPr>
          <w:rFonts w:ascii="Times New Roman" w:hAnsi="Times New Roman"/>
          <w:sz w:val="24"/>
          <w:szCs w:val="24"/>
        </w:rPr>
        <w:t>Anti-Fa and BLM thugs,</w:t>
      </w:r>
      <w:r>
        <w:rPr>
          <w:rFonts w:ascii="Times New Roman" w:hAnsi="Times New Roman"/>
          <w:sz w:val="24"/>
          <w:szCs w:val="24"/>
        </w:rPr>
        <w:t>’</w:t>
      </w:r>
      <w:r w:rsidRPr="003B777F">
        <w:rPr>
          <w:rFonts w:ascii="Times New Roman" w:hAnsi="Times New Roman"/>
          <w:sz w:val="24"/>
          <w:szCs w:val="24"/>
        </w:rPr>
        <w:t xml:space="preserve"> and other</w:t>
      </w:r>
      <w:r>
        <w:rPr>
          <w:rFonts w:ascii="Times New Roman" w:hAnsi="Times New Roman"/>
          <w:sz w:val="24"/>
          <w:szCs w:val="24"/>
        </w:rPr>
        <w:t xml:space="preserve"> </w:t>
      </w:r>
      <w:r w:rsidRPr="003B777F">
        <w:rPr>
          <w:rFonts w:ascii="Times New Roman" w:hAnsi="Times New Roman"/>
          <w:sz w:val="24"/>
          <w:szCs w:val="24"/>
        </w:rPr>
        <w:t xml:space="preserve">generally negative posts about protestors, BLM, and the </w:t>
      </w:r>
      <w:r>
        <w:rPr>
          <w:rFonts w:ascii="Times New Roman" w:hAnsi="Times New Roman"/>
          <w:sz w:val="24"/>
          <w:szCs w:val="24"/>
        </w:rPr>
        <w:t>‘</w:t>
      </w:r>
      <w:r w:rsidRPr="003B777F">
        <w:rPr>
          <w:rFonts w:ascii="Times New Roman" w:hAnsi="Times New Roman"/>
          <w:sz w:val="24"/>
          <w:szCs w:val="24"/>
        </w:rPr>
        <w:t>Left agenda</w:t>
      </w:r>
      <w:r>
        <w:rPr>
          <w:rFonts w:ascii="Times New Roman" w:hAnsi="Times New Roman"/>
          <w:sz w:val="24"/>
          <w:szCs w:val="24"/>
        </w:rPr>
        <w:t xml:space="preserve">.’ </w:t>
      </w:r>
    </w:p>
    <w:p w14:paraId="626A47DF" w14:textId="77777777" w:rsidR="008F7EBA" w:rsidRDefault="008F7EBA" w:rsidP="008F7EBA">
      <w:pPr>
        <w:pStyle w:val="NoSpacing"/>
        <w:ind w:left="720"/>
        <w:rPr>
          <w:rFonts w:ascii="Times New Roman" w:hAnsi="Times New Roman"/>
          <w:sz w:val="24"/>
          <w:szCs w:val="24"/>
        </w:rPr>
      </w:pPr>
    </w:p>
    <w:p w14:paraId="22541A91" w14:textId="77777777" w:rsidR="008F7EBA" w:rsidRDefault="008F7EBA" w:rsidP="008F7EBA">
      <w:pPr>
        <w:pStyle w:val="NoSpacing"/>
        <w:ind w:left="720"/>
        <w:rPr>
          <w:rFonts w:ascii="Times New Roman" w:hAnsi="Times New Roman"/>
          <w:sz w:val="24"/>
          <w:szCs w:val="24"/>
        </w:rPr>
      </w:pPr>
      <w:r>
        <w:rPr>
          <w:rFonts w:ascii="Times New Roman" w:hAnsi="Times New Roman"/>
          <w:sz w:val="24"/>
          <w:szCs w:val="24"/>
        </w:rPr>
        <w:t>***</w:t>
      </w:r>
    </w:p>
    <w:p w14:paraId="0F8BFD60" w14:textId="77777777" w:rsidR="008F7EBA" w:rsidRDefault="008F7EBA" w:rsidP="008F7EBA">
      <w:pPr>
        <w:pStyle w:val="NoSpacing"/>
        <w:ind w:left="720"/>
        <w:rPr>
          <w:rFonts w:ascii="Times New Roman" w:hAnsi="Times New Roman"/>
          <w:sz w:val="24"/>
          <w:szCs w:val="24"/>
        </w:rPr>
      </w:pPr>
    </w:p>
    <w:p w14:paraId="08841768" w14:textId="77777777" w:rsidR="008F7EBA" w:rsidRDefault="008F7EBA" w:rsidP="008F7EBA">
      <w:pPr>
        <w:pStyle w:val="NoSpacing"/>
        <w:ind w:left="720"/>
        <w:rPr>
          <w:rFonts w:ascii="Times New Roman" w:hAnsi="Times New Roman"/>
          <w:sz w:val="24"/>
          <w:szCs w:val="24"/>
        </w:rPr>
      </w:pPr>
      <w:r w:rsidRPr="003B777F">
        <w:rPr>
          <w:rFonts w:ascii="Times New Roman" w:hAnsi="Times New Roman"/>
          <w:sz w:val="24"/>
          <w:szCs w:val="24"/>
        </w:rPr>
        <w:t>Defendant filed its motion for summary judgment and memoranda in support, arguing that</w:t>
      </w:r>
      <w:r>
        <w:rPr>
          <w:rFonts w:ascii="Times New Roman" w:hAnsi="Times New Roman"/>
          <w:sz w:val="24"/>
          <w:szCs w:val="24"/>
        </w:rPr>
        <w:t xml:space="preserve"> </w:t>
      </w:r>
      <w:r w:rsidRPr="003B777F">
        <w:rPr>
          <w:rFonts w:ascii="Times New Roman" w:hAnsi="Times New Roman"/>
          <w:sz w:val="24"/>
          <w:szCs w:val="24"/>
        </w:rPr>
        <w:t>(1) Plaintiff’s speech does not receive the highest level of protection under the First Amendment</w:t>
      </w:r>
      <w:r>
        <w:rPr>
          <w:rFonts w:ascii="Times New Roman" w:hAnsi="Times New Roman"/>
          <w:sz w:val="24"/>
          <w:szCs w:val="24"/>
        </w:rPr>
        <w:t xml:space="preserve"> </w:t>
      </w:r>
      <w:r w:rsidRPr="003B777F">
        <w:rPr>
          <w:rFonts w:ascii="Times New Roman" w:hAnsi="Times New Roman"/>
          <w:sz w:val="24"/>
          <w:szCs w:val="24"/>
        </w:rPr>
        <w:t>and (2) under so-called Pickering balancing (as established in Pickering v. Bd. Of Ed. Of Tup. High</w:t>
      </w:r>
      <w:r>
        <w:rPr>
          <w:rFonts w:ascii="Times New Roman" w:hAnsi="Times New Roman"/>
          <w:sz w:val="24"/>
          <w:szCs w:val="24"/>
        </w:rPr>
        <w:t xml:space="preserve"> </w:t>
      </w:r>
      <w:r w:rsidRPr="003B777F">
        <w:rPr>
          <w:rFonts w:ascii="Times New Roman" w:hAnsi="Times New Roman"/>
          <w:sz w:val="24"/>
          <w:szCs w:val="24"/>
        </w:rPr>
        <w:t>Sch. Dist. 205, Will Cnty., 391 U.S. 563, 568 (1968)</w:t>
      </w:r>
      <w:r>
        <w:rPr>
          <w:rFonts w:ascii="Times New Roman" w:hAnsi="Times New Roman"/>
          <w:sz w:val="24"/>
          <w:szCs w:val="24"/>
        </w:rPr>
        <w:t xml:space="preserve"> </w:t>
      </w:r>
      <w:r w:rsidRPr="003B777F">
        <w:rPr>
          <w:rFonts w:ascii="Times New Roman" w:hAnsi="Times New Roman"/>
          <w:sz w:val="24"/>
          <w:szCs w:val="24"/>
        </w:rPr>
        <w:t>(establishing that the Court must weigh the</w:t>
      </w:r>
      <w:r>
        <w:rPr>
          <w:rFonts w:ascii="Times New Roman" w:hAnsi="Times New Roman"/>
          <w:sz w:val="24"/>
          <w:szCs w:val="24"/>
        </w:rPr>
        <w:t xml:space="preserve"> </w:t>
      </w:r>
      <w:r w:rsidRPr="003B777F">
        <w:rPr>
          <w:rFonts w:ascii="Times New Roman" w:hAnsi="Times New Roman"/>
          <w:sz w:val="24"/>
          <w:szCs w:val="24"/>
        </w:rPr>
        <w:t>interests of the state against those of the public official in commenting on matters of public</w:t>
      </w:r>
      <w:r>
        <w:rPr>
          <w:rFonts w:ascii="Times New Roman" w:hAnsi="Times New Roman"/>
          <w:sz w:val="24"/>
          <w:szCs w:val="24"/>
        </w:rPr>
        <w:t xml:space="preserve"> </w:t>
      </w:r>
      <w:r w:rsidRPr="003B777F">
        <w:rPr>
          <w:rFonts w:ascii="Times New Roman" w:hAnsi="Times New Roman"/>
          <w:sz w:val="24"/>
          <w:szCs w:val="24"/>
        </w:rPr>
        <w:t>concern)), the Fire Department’s interest in public trust and efficiency outweigh Plaintiff’s</w:t>
      </w:r>
      <w:r>
        <w:rPr>
          <w:rFonts w:ascii="Times New Roman" w:hAnsi="Times New Roman"/>
          <w:sz w:val="24"/>
          <w:szCs w:val="24"/>
        </w:rPr>
        <w:t xml:space="preserve"> </w:t>
      </w:r>
      <w:r w:rsidRPr="003B777F">
        <w:rPr>
          <w:rFonts w:ascii="Times New Roman" w:hAnsi="Times New Roman"/>
          <w:sz w:val="24"/>
          <w:szCs w:val="24"/>
        </w:rPr>
        <w:t>countervailing speech interests.</w:t>
      </w:r>
    </w:p>
    <w:p w14:paraId="4E82A7DA" w14:textId="77777777" w:rsidR="008F7EBA" w:rsidRDefault="008F7EBA" w:rsidP="008F7EBA">
      <w:pPr>
        <w:pStyle w:val="NoSpacing"/>
        <w:ind w:left="720"/>
        <w:rPr>
          <w:rFonts w:ascii="Times New Roman" w:hAnsi="Times New Roman"/>
          <w:sz w:val="24"/>
          <w:szCs w:val="24"/>
        </w:rPr>
      </w:pPr>
    </w:p>
    <w:p w14:paraId="056E4372" w14:textId="77777777" w:rsidR="008F7EBA" w:rsidRDefault="008F7EBA" w:rsidP="008F7EBA">
      <w:pPr>
        <w:pStyle w:val="NoSpacing"/>
        <w:ind w:left="720"/>
        <w:rPr>
          <w:rFonts w:ascii="Times New Roman" w:hAnsi="Times New Roman"/>
          <w:sz w:val="24"/>
          <w:szCs w:val="24"/>
        </w:rPr>
      </w:pPr>
      <w:r>
        <w:rPr>
          <w:rFonts w:ascii="Times New Roman" w:hAnsi="Times New Roman"/>
          <w:sz w:val="24"/>
          <w:szCs w:val="24"/>
        </w:rPr>
        <w:t>***</w:t>
      </w:r>
    </w:p>
    <w:p w14:paraId="721E1971" w14:textId="77777777" w:rsidR="008F7EBA" w:rsidRDefault="008F7EBA" w:rsidP="008F7EBA">
      <w:pPr>
        <w:pStyle w:val="NoSpacing"/>
        <w:ind w:left="720"/>
        <w:rPr>
          <w:rFonts w:ascii="Times New Roman" w:hAnsi="Times New Roman"/>
          <w:sz w:val="24"/>
          <w:szCs w:val="24"/>
        </w:rPr>
      </w:pPr>
      <w:r w:rsidRPr="00057C7A">
        <w:rPr>
          <w:rFonts w:ascii="Times New Roman" w:hAnsi="Times New Roman"/>
          <w:sz w:val="24"/>
          <w:szCs w:val="24"/>
        </w:rPr>
        <w:t>And although Defendant relies on the testimony of Mark Young</w:t>
      </w:r>
      <w:r>
        <w:rPr>
          <w:rFonts w:ascii="Times New Roman" w:hAnsi="Times New Roman"/>
          <w:sz w:val="24"/>
          <w:szCs w:val="24"/>
        </w:rPr>
        <w:t xml:space="preserve"> [</w:t>
      </w:r>
      <w:r w:rsidRPr="00057C7A">
        <w:rPr>
          <w:rFonts w:ascii="Times New Roman" w:hAnsi="Times New Roman"/>
          <w:sz w:val="24"/>
          <w:szCs w:val="24"/>
        </w:rPr>
        <w:t>president of the local firefighter union</w:t>
      </w:r>
      <w:r>
        <w:rPr>
          <w:rFonts w:ascii="Times New Roman" w:hAnsi="Times New Roman"/>
          <w:sz w:val="24"/>
          <w:szCs w:val="24"/>
        </w:rPr>
        <w:t xml:space="preserve">] </w:t>
      </w:r>
      <w:r w:rsidRPr="00057C7A">
        <w:rPr>
          <w:rFonts w:ascii="Times New Roman" w:hAnsi="Times New Roman"/>
          <w:sz w:val="24"/>
          <w:szCs w:val="24"/>
        </w:rPr>
        <w:t>and Summers</w:t>
      </w:r>
      <w:r>
        <w:rPr>
          <w:rFonts w:ascii="Times New Roman" w:hAnsi="Times New Roman"/>
          <w:sz w:val="24"/>
          <w:szCs w:val="24"/>
        </w:rPr>
        <w:t xml:space="preserve"> [HR Director]</w:t>
      </w:r>
      <w:r w:rsidRPr="00057C7A">
        <w:rPr>
          <w:rFonts w:ascii="Times New Roman" w:hAnsi="Times New Roman"/>
          <w:sz w:val="24"/>
          <w:szCs w:val="24"/>
        </w:rPr>
        <w:t xml:space="preserve"> to establish</w:t>
      </w:r>
      <w:r>
        <w:rPr>
          <w:rFonts w:ascii="Times New Roman" w:hAnsi="Times New Roman"/>
          <w:sz w:val="24"/>
          <w:szCs w:val="24"/>
        </w:rPr>
        <w:t xml:space="preserve"> </w:t>
      </w:r>
      <w:r w:rsidRPr="00057C7A">
        <w:rPr>
          <w:rFonts w:ascii="Times New Roman" w:hAnsi="Times New Roman"/>
          <w:sz w:val="24"/>
          <w:szCs w:val="24"/>
        </w:rPr>
        <w:t>that NFD received many calls, their testimony fails to support that there was disruption to NFD’s</w:t>
      </w:r>
      <w:r>
        <w:rPr>
          <w:rFonts w:ascii="Times New Roman" w:hAnsi="Times New Roman"/>
          <w:sz w:val="24"/>
          <w:szCs w:val="24"/>
        </w:rPr>
        <w:t xml:space="preserve"> </w:t>
      </w:r>
      <w:r w:rsidRPr="00057C7A">
        <w:rPr>
          <w:rFonts w:ascii="Times New Roman" w:hAnsi="Times New Roman"/>
          <w:sz w:val="24"/>
          <w:szCs w:val="24"/>
        </w:rPr>
        <w:t>operations caused by Plaintiff’s speech. Summers testified that to his understanding, there was no</w:t>
      </w:r>
      <w:r>
        <w:rPr>
          <w:rFonts w:ascii="Times New Roman" w:hAnsi="Times New Roman"/>
          <w:sz w:val="24"/>
          <w:szCs w:val="24"/>
        </w:rPr>
        <w:t xml:space="preserve"> </w:t>
      </w:r>
      <w:r w:rsidRPr="00057C7A">
        <w:rPr>
          <w:rFonts w:ascii="Times New Roman" w:hAnsi="Times New Roman"/>
          <w:sz w:val="24"/>
          <w:szCs w:val="24"/>
        </w:rPr>
        <w:t xml:space="preserve">discernible disruption to NFD’s </w:t>
      </w:r>
      <w:r>
        <w:rPr>
          <w:rFonts w:ascii="Times New Roman" w:hAnsi="Times New Roman"/>
          <w:sz w:val="24"/>
          <w:szCs w:val="24"/>
        </w:rPr>
        <w:t>‘</w:t>
      </w:r>
      <w:r w:rsidRPr="00057C7A">
        <w:rPr>
          <w:rFonts w:ascii="Times New Roman" w:hAnsi="Times New Roman"/>
          <w:sz w:val="24"/>
          <w:szCs w:val="24"/>
        </w:rPr>
        <w:t>workflow</w:t>
      </w:r>
      <w:r>
        <w:rPr>
          <w:rFonts w:ascii="Times New Roman" w:hAnsi="Times New Roman"/>
          <w:sz w:val="24"/>
          <w:szCs w:val="24"/>
        </w:rPr>
        <w:t>’</w:t>
      </w:r>
      <w:r w:rsidRPr="00057C7A">
        <w:rPr>
          <w:rFonts w:ascii="Times New Roman" w:hAnsi="Times New Roman"/>
          <w:sz w:val="24"/>
          <w:szCs w:val="24"/>
        </w:rPr>
        <w:t xml:space="preserve"> </w:t>
      </w:r>
      <w:proofErr w:type="gramStart"/>
      <w:r w:rsidRPr="00057C7A">
        <w:rPr>
          <w:rFonts w:ascii="Times New Roman" w:hAnsi="Times New Roman"/>
          <w:sz w:val="24"/>
          <w:szCs w:val="24"/>
        </w:rPr>
        <w:t>as a result of</w:t>
      </w:r>
      <w:proofErr w:type="gramEnd"/>
      <w:r w:rsidRPr="00057C7A">
        <w:rPr>
          <w:rFonts w:ascii="Times New Roman" w:hAnsi="Times New Roman"/>
          <w:sz w:val="24"/>
          <w:szCs w:val="24"/>
        </w:rPr>
        <w:t xml:space="preserve"> that speech</w:t>
      </w:r>
      <w:r>
        <w:rPr>
          <w:rFonts w:ascii="Times New Roman" w:hAnsi="Times New Roman"/>
          <w:sz w:val="24"/>
          <w:szCs w:val="24"/>
        </w:rPr>
        <w:t xml:space="preserve"> … </w:t>
      </w:r>
      <w:r w:rsidRPr="00057C7A">
        <w:rPr>
          <w:rFonts w:ascii="Times New Roman" w:hAnsi="Times New Roman"/>
          <w:sz w:val="24"/>
          <w:szCs w:val="24"/>
        </w:rPr>
        <w:t xml:space="preserve"> and</w:t>
      </w:r>
      <w:r>
        <w:rPr>
          <w:rFonts w:ascii="Times New Roman" w:hAnsi="Times New Roman"/>
          <w:sz w:val="24"/>
          <w:szCs w:val="24"/>
        </w:rPr>
        <w:t xml:space="preserve"> </w:t>
      </w:r>
      <w:r w:rsidRPr="00057C7A">
        <w:rPr>
          <w:rFonts w:ascii="Times New Roman" w:hAnsi="Times New Roman"/>
          <w:sz w:val="24"/>
          <w:szCs w:val="24"/>
        </w:rPr>
        <w:t>Young testified to having no knowledge of the existence of various circumstances (effect on NFD</w:t>
      </w:r>
      <w:r>
        <w:rPr>
          <w:rFonts w:ascii="Times New Roman" w:hAnsi="Times New Roman"/>
          <w:sz w:val="24"/>
          <w:szCs w:val="24"/>
        </w:rPr>
        <w:t xml:space="preserve"> </w:t>
      </w:r>
      <w:r w:rsidRPr="00057C7A">
        <w:rPr>
          <w:rFonts w:ascii="Times New Roman" w:hAnsi="Times New Roman"/>
          <w:sz w:val="24"/>
          <w:szCs w:val="24"/>
        </w:rPr>
        <w:t>morale or close working relationships, unwillingness of NFD personnel to work with Plaintiff,</w:t>
      </w:r>
      <w:r>
        <w:rPr>
          <w:rFonts w:ascii="Times New Roman" w:hAnsi="Times New Roman"/>
          <w:sz w:val="24"/>
          <w:szCs w:val="24"/>
        </w:rPr>
        <w:t xml:space="preserve"> </w:t>
      </w:r>
      <w:r w:rsidRPr="00057C7A">
        <w:rPr>
          <w:rFonts w:ascii="Times New Roman" w:hAnsi="Times New Roman"/>
          <w:sz w:val="24"/>
          <w:szCs w:val="24"/>
        </w:rPr>
        <w:t>impairment of Plaintiff’s own performance as a firefighter, and undermining of NFD’s mission</w:t>
      </w:r>
      <w:r>
        <w:rPr>
          <w:rFonts w:ascii="Times New Roman" w:hAnsi="Times New Roman"/>
          <w:sz w:val="24"/>
          <w:szCs w:val="24"/>
        </w:rPr>
        <w:t xml:space="preserve">) … </w:t>
      </w:r>
      <w:r w:rsidRPr="00057C7A">
        <w:rPr>
          <w:rFonts w:ascii="Times New Roman" w:hAnsi="Times New Roman"/>
          <w:sz w:val="24"/>
          <w:szCs w:val="24"/>
        </w:rPr>
        <w:t xml:space="preserve"> that would be the kinds of things that would cause disruption; the Court</w:t>
      </w:r>
      <w:r>
        <w:rPr>
          <w:rFonts w:ascii="Times New Roman" w:hAnsi="Times New Roman"/>
          <w:sz w:val="24"/>
          <w:szCs w:val="24"/>
        </w:rPr>
        <w:t xml:space="preserve"> </w:t>
      </w:r>
      <w:r w:rsidRPr="00057C7A">
        <w:rPr>
          <w:rFonts w:ascii="Times New Roman" w:hAnsi="Times New Roman"/>
          <w:sz w:val="24"/>
          <w:szCs w:val="24"/>
        </w:rPr>
        <w:t>does not see where his testimony leaves room for an inference of disruption to NFD operations.</w:t>
      </w:r>
      <w:r>
        <w:rPr>
          <w:rFonts w:ascii="Times New Roman" w:hAnsi="Times New Roman"/>
          <w:sz w:val="24"/>
          <w:szCs w:val="24"/>
        </w:rPr>
        <w:t xml:space="preserve"> </w:t>
      </w:r>
      <w:r w:rsidRPr="00057C7A">
        <w:rPr>
          <w:rFonts w:ascii="Times New Roman" w:hAnsi="Times New Roman"/>
          <w:sz w:val="24"/>
          <w:szCs w:val="24"/>
        </w:rPr>
        <w:t>Thus, Defendant has not met its burden in showing that there is no genuine dispute of material fact</w:t>
      </w:r>
      <w:r>
        <w:rPr>
          <w:rFonts w:ascii="Times New Roman" w:hAnsi="Times New Roman"/>
          <w:sz w:val="24"/>
          <w:szCs w:val="24"/>
        </w:rPr>
        <w:t xml:space="preserve"> </w:t>
      </w:r>
      <w:r w:rsidRPr="00057C7A">
        <w:rPr>
          <w:rFonts w:ascii="Times New Roman" w:hAnsi="Times New Roman"/>
          <w:sz w:val="24"/>
          <w:szCs w:val="24"/>
        </w:rPr>
        <w:t>regarding factor (c), and this factor weighs in favor of Plaintiff</w:t>
      </w:r>
      <w:r>
        <w:rPr>
          <w:rFonts w:ascii="Times New Roman" w:hAnsi="Times New Roman"/>
          <w:sz w:val="24"/>
          <w:szCs w:val="24"/>
        </w:rPr>
        <w:t xml:space="preserve">…. </w:t>
      </w:r>
    </w:p>
    <w:p w14:paraId="07C30AA0" w14:textId="77777777" w:rsidR="008F7EBA" w:rsidRPr="000A219B" w:rsidRDefault="008F7EBA" w:rsidP="008F7EBA">
      <w:pPr>
        <w:pStyle w:val="NoSpacing"/>
        <w:ind w:firstLine="720"/>
        <w:rPr>
          <w:rFonts w:ascii="Times New Roman" w:hAnsi="Times New Roman"/>
          <w:sz w:val="24"/>
          <w:szCs w:val="24"/>
        </w:rPr>
      </w:pPr>
      <w:r w:rsidRPr="000A219B">
        <w:rPr>
          <w:rFonts w:ascii="Times New Roman" w:hAnsi="Times New Roman"/>
          <w:sz w:val="24"/>
          <w:szCs w:val="24"/>
        </w:rPr>
        <w:t>For the reasons discussed herein, the Court will deny Defendant’s motion for summary</w:t>
      </w:r>
    </w:p>
    <w:p w14:paraId="607B584A" w14:textId="77777777" w:rsidR="008F7EBA" w:rsidRDefault="008F7EBA" w:rsidP="008F7EBA">
      <w:pPr>
        <w:pStyle w:val="NoSpacing"/>
        <w:ind w:left="720"/>
        <w:rPr>
          <w:rFonts w:ascii="Times New Roman" w:hAnsi="Times New Roman"/>
          <w:sz w:val="24"/>
          <w:szCs w:val="24"/>
        </w:rPr>
      </w:pPr>
      <w:r w:rsidRPr="000A219B">
        <w:rPr>
          <w:rFonts w:ascii="Times New Roman" w:hAnsi="Times New Roman"/>
          <w:sz w:val="24"/>
          <w:szCs w:val="24"/>
        </w:rPr>
        <w:t>Judgment</w:t>
      </w:r>
      <w:r>
        <w:rPr>
          <w:rFonts w:ascii="Times New Roman" w:hAnsi="Times New Roman"/>
          <w:sz w:val="24"/>
          <w:szCs w:val="24"/>
        </w:rPr>
        <w:t xml:space="preserve">. </w:t>
      </w:r>
      <w:hyperlink r:id="rId2676" w:history="1">
        <w:r w:rsidRPr="00C13311">
          <w:rPr>
            <w:rStyle w:val="Hyperlink"/>
            <w:rFonts w:ascii="Times New Roman" w:hAnsi="Times New Roman"/>
            <w:sz w:val="24"/>
            <w:szCs w:val="24"/>
          </w:rPr>
          <w:t>https://cases.justia.com/federal/district-courts/tennessee/tnmdce/3:2021cv00042/85053/46/0.pdf?ts=1695225093</w:t>
        </w:r>
      </w:hyperlink>
      <w:r>
        <w:rPr>
          <w:rFonts w:ascii="Times New Roman" w:hAnsi="Times New Roman"/>
          <w:sz w:val="24"/>
          <w:szCs w:val="24"/>
        </w:rPr>
        <w:t xml:space="preserve"> </w:t>
      </w:r>
    </w:p>
    <w:p w14:paraId="2DE3B735" w14:textId="77777777" w:rsidR="008F7EBA" w:rsidRDefault="008F7EBA" w:rsidP="00F326E5">
      <w:pPr>
        <w:pStyle w:val="NoSpacing"/>
        <w:rPr>
          <w:rFonts w:ascii="Arial Black" w:hAnsi="Arial Black"/>
          <w:sz w:val="24"/>
          <w:szCs w:val="24"/>
        </w:rPr>
      </w:pPr>
    </w:p>
    <w:p w14:paraId="2319F427" w14:textId="77777777" w:rsidR="008F7EBA" w:rsidRPr="00057C7A" w:rsidRDefault="008F7EBA" w:rsidP="008F7EBA">
      <w:pPr>
        <w:pStyle w:val="NoSpacing"/>
        <w:rPr>
          <w:rFonts w:ascii="Times New Roman" w:hAnsi="Times New Roman"/>
          <w:b/>
          <w:bCs/>
          <w:sz w:val="24"/>
          <w:szCs w:val="24"/>
        </w:rPr>
      </w:pPr>
      <w:r w:rsidRPr="00057C7A">
        <w:rPr>
          <w:rFonts w:ascii="Times New Roman" w:hAnsi="Times New Roman"/>
          <w:b/>
          <w:bCs/>
          <w:sz w:val="24"/>
          <w:szCs w:val="24"/>
        </w:rPr>
        <w:t xml:space="preserve">Legal Lesson Learned: </w:t>
      </w:r>
      <w:r>
        <w:rPr>
          <w:rFonts w:ascii="Times New Roman" w:hAnsi="Times New Roman"/>
          <w:b/>
          <w:bCs/>
          <w:sz w:val="24"/>
          <w:szCs w:val="24"/>
        </w:rPr>
        <w:t xml:space="preserve"> The Pickering “balancing test” requires Court to examine the impact on FD of social media posts.  FD officers must be particularly cautious about posts that might appear racial in nature.</w:t>
      </w:r>
    </w:p>
    <w:p w14:paraId="35B84E4A" w14:textId="77777777" w:rsidR="008F7EBA" w:rsidRDefault="008F7EBA" w:rsidP="008F7EBA">
      <w:pPr>
        <w:pStyle w:val="NoSpacing"/>
        <w:rPr>
          <w:rFonts w:ascii="Times New Roman" w:hAnsi="Times New Roman"/>
          <w:sz w:val="24"/>
          <w:szCs w:val="24"/>
        </w:rPr>
      </w:pPr>
    </w:p>
    <w:p w14:paraId="7AA049B7" w14:textId="77777777" w:rsidR="008F7EBA" w:rsidRDefault="008F7EBA" w:rsidP="008F7EBA">
      <w:pPr>
        <w:pStyle w:val="NoSpacing"/>
        <w:rPr>
          <w:rFonts w:ascii="Times New Roman" w:hAnsi="Times New Roman"/>
          <w:sz w:val="24"/>
          <w:szCs w:val="24"/>
        </w:rPr>
      </w:pPr>
      <w:r>
        <w:rPr>
          <w:rFonts w:ascii="Times New Roman" w:hAnsi="Times New Roman"/>
          <w:sz w:val="24"/>
          <w:szCs w:val="24"/>
        </w:rPr>
        <w:tab/>
        <w:t>Note:  See Footnote 10 of the opinion:</w:t>
      </w:r>
    </w:p>
    <w:p w14:paraId="7238F3B4" w14:textId="77777777" w:rsidR="008F7EBA" w:rsidRDefault="008F7EBA" w:rsidP="008F7EBA">
      <w:pPr>
        <w:pStyle w:val="NoSpacing"/>
        <w:rPr>
          <w:rFonts w:ascii="Times New Roman" w:hAnsi="Times New Roman"/>
          <w:sz w:val="24"/>
          <w:szCs w:val="24"/>
        </w:rPr>
      </w:pPr>
    </w:p>
    <w:p w14:paraId="0DEA34E8" w14:textId="77777777" w:rsidR="008F7EBA" w:rsidRDefault="008F7EBA" w:rsidP="008F7EBA">
      <w:pPr>
        <w:pStyle w:val="NoSpacing"/>
        <w:ind w:left="1440"/>
        <w:rPr>
          <w:rFonts w:ascii="Times New Roman" w:hAnsi="Times New Roman"/>
          <w:sz w:val="24"/>
          <w:szCs w:val="24"/>
        </w:rPr>
      </w:pPr>
      <w:r>
        <w:rPr>
          <w:rFonts w:ascii="Times New Roman" w:hAnsi="Times New Roman"/>
          <w:sz w:val="24"/>
          <w:szCs w:val="24"/>
        </w:rPr>
        <w:t>“</w:t>
      </w:r>
      <w:r w:rsidRPr="00E2462F">
        <w:rPr>
          <w:rFonts w:ascii="Times New Roman" w:hAnsi="Times New Roman"/>
          <w:sz w:val="24"/>
          <w:szCs w:val="24"/>
        </w:rPr>
        <w:t>The Court declines to opine on whether these comments were necessarily racially biased, in the sense of</w:t>
      </w:r>
      <w:r>
        <w:rPr>
          <w:rFonts w:ascii="Times New Roman" w:hAnsi="Times New Roman"/>
          <w:sz w:val="24"/>
          <w:szCs w:val="24"/>
        </w:rPr>
        <w:t xml:space="preserve"> </w:t>
      </w:r>
      <w:r w:rsidRPr="00E2462F">
        <w:rPr>
          <w:rFonts w:ascii="Times New Roman" w:hAnsi="Times New Roman"/>
          <w:sz w:val="24"/>
          <w:szCs w:val="24"/>
        </w:rPr>
        <w:t xml:space="preserve">reflecting bias against Black members of the community, or whether instead they </w:t>
      </w:r>
      <w:r w:rsidRPr="00E2462F">
        <w:rPr>
          <w:rFonts w:ascii="Times New Roman" w:hAnsi="Times New Roman"/>
          <w:sz w:val="24"/>
          <w:szCs w:val="24"/>
        </w:rPr>
        <w:lastRenderedPageBreak/>
        <w:t>reflected a bias only</w:t>
      </w:r>
      <w:r>
        <w:rPr>
          <w:rFonts w:ascii="Times New Roman" w:hAnsi="Times New Roman"/>
          <w:sz w:val="24"/>
          <w:szCs w:val="24"/>
        </w:rPr>
        <w:t xml:space="preserve"> </w:t>
      </w:r>
      <w:r w:rsidRPr="00E2462F">
        <w:rPr>
          <w:rFonts w:ascii="Times New Roman" w:hAnsi="Times New Roman"/>
          <w:sz w:val="24"/>
          <w:szCs w:val="24"/>
        </w:rPr>
        <w:t>against two kinds of individuals —rioters, and members and supporters of Black Lives Matter—that, to say</w:t>
      </w:r>
      <w:r>
        <w:rPr>
          <w:rFonts w:ascii="Times New Roman" w:hAnsi="Times New Roman"/>
          <w:sz w:val="24"/>
          <w:szCs w:val="24"/>
        </w:rPr>
        <w:t xml:space="preserve"> </w:t>
      </w:r>
      <w:r w:rsidRPr="00E2462F">
        <w:rPr>
          <w:rFonts w:ascii="Times New Roman" w:hAnsi="Times New Roman"/>
          <w:sz w:val="24"/>
          <w:szCs w:val="24"/>
        </w:rPr>
        <w:t>the very least, obviously include persons who are not Black.</w:t>
      </w:r>
      <w:r>
        <w:rPr>
          <w:rFonts w:ascii="Times New Roman" w:hAnsi="Times New Roman"/>
          <w:sz w:val="24"/>
          <w:szCs w:val="24"/>
        </w:rPr>
        <w:t>”</w:t>
      </w:r>
    </w:p>
    <w:p w14:paraId="19578138" w14:textId="77777777" w:rsidR="008F7EBA" w:rsidRDefault="008F7EBA" w:rsidP="00F326E5">
      <w:pPr>
        <w:pStyle w:val="NoSpacing"/>
        <w:rPr>
          <w:rFonts w:ascii="Arial Black" w:hAnsi="Arial Black"/>
          <w:sz w:val="24"/>
          <w:szCs w:val="24"/>
        </w:rPr>
      </w:pPr>
    </w:p>
    <w:p w14:paraId="08EB4090" w14:textId="67037E16" w:rsidR="008F7EBA" w:rsidRDefault="008F7EBA" w:rsidP="00F326E5">
      <w:pPr>
        <w:pStyle w:val="NoSpacing"/>
        <w:rPr>
          <w:rFonts w:ascii="Arial Black" w:hAnsi="Arial Black"/>
          <w:sz w:val="24"/>
          <w:szCs w:val="24"/>
        </w:rPr>
      </w:pPr>
      <w:r>
        <w:rPr>
          <w:rFonts w:ascii="Arial Black" w:hAnsi="Arial Black"/>
          <w:sz w:val="24"/>
          <w:szCs w:val="24"/>
        </w:rPr>
        <w:t>16-93</w:t>
      </w:r>
    </w:p>
    <w:p w14:paraId="5298DF02" w14:textId="77777777" w:rsidR="008F7EBA" w:rsidRDefault="008F7EBA" w:rsidP="00F326E5">
      <w:pPr>
        <w:pStyle w:val="NoSpacing"/>
        <w:rPr>
          <w:rFonts w:ascii="Arial Black" w:hAnsi="Arial Black"/>
          <w:sz w:val="24"/>
          <w:szCs w:val="24"/>
        </w:rPr>
      </w:pPr>
    </w:p>
    <w:p w14:paraId="042E905A" w14:textId="77777777" w:rsidR="008F7EBA" w:rsidRPr="00E87A47" w:rsidRDefault="008F7EBA" w:rsidP="008F7EBA">
      <w:pPr>
        <w:rPr>
          <w:rFonts w:ascii="Arial Black" w:eastAsia="Times New Roman" w:hAnsi="Arial Black" w:cs="Segoe UI"/>
          <w:sz w:val="28"/>
          <w:szCs w:val="28"/>
        </w:rPr>
      </w:pPr>
      <w:r>
        <w:rPr>
          <w:rFonts w:ascii="Arial Black" w:eastAsia="Times New Roman" w:hAnsi="Arial Black" w:cs="Segoe UI"/>
          <w:sz w:val="28"/>
          <w:szCs w:val="28"/>
        </w:rPr>
        <w:t xml:space="preserve">NC: CHILD SEXUAL ASSAULTED BY FF AT FD – 24-30 YRS PRISON – VICTIM CAN NOW SUE WITHIN  2-YRS FF CONV. </w:t>
      </w:r>
    </w:p>
    <w:p w14:paraId="09647D7A" w14:textId="77777777" w:rsidR="008F7EBA" w:rsidRDefault="008F7EBA" w:rsidP="008F7EBA">
      <w:pPr>
        <w:pStyle w:val="NoSpacing"/>
        <w:rPr>
          <w:rFonts w:ascii="Times New Roman" w:hAnsi="Times New Roman"/>
          <w:sz w:val="24"/>
          <w:szCs w:val="24"/>
        </w:rPr>
      </w:pPr>
      <w:r w:rsidRPr="00040EC5">
        <w:rPr>
          <w:rFonts w:ascii="Times New Roman" w:hAnsi="Times New Roman"/>
          <w:sz w:val="24"/>
          <w:szCs w:val="24"/>
        </w:rPr>
        <w:t xml:space="preserve">On Sept. 12, 2023, in </w:t>
      </w:r>
      <w:r w:rsidRPr="00040EC5">
        <w:rPr>
          <w:rFonts w:ascii="Times New Roman" w:hAnsi="Times New Roman"/>
          <w:sz w:val="24"/>
          <w:szCs w:val="24"/>
          <w:u w:val="single"/>
        </w:rPr>
        <w:t>Michael Taylor v. The Piney Grove Volunteer Fire And Rescue Department, Inc., et al.</w:t>
      </w:r>
      <w:r w:rsidRPr="00040EC5">
        <w:rPr>
          <w:rFonts w:ascii="Times New Roman" w:hAnsi="Times New Roman"/>
          <w:sz w:val="24"/>
          <w:szCs w:val="24"/>
        </w:rPr>
        <w:t xml:space="preserve">, the Court of Appeals of North Carolina held (2 to 1) that the State Legislature can lawfully expand the statute of limitation for juveniles to sue </w:t>
      </w:r>
      <w:r>
        <w:rPr>
          <w:rFonts w:ascii="Times New Roman" w:hAnsi="Times New Roman"/>
          <w:sz w:val="24"/>
          <w:szCs w:val="24"/>
        </w:rPr>
        <w:t xml:space="preserve">when they become adults </w:t>
      </w:r>
      <w:r w:rsidRPr="00040EC5">
        <w:rPr>
          <w:rFonts w:ascii="Times New Roman" w:hAnsi="Times New Roman"/>
          <w:sz w:val="24"/>
          <w:szCs w:val="24"/>
        </w:rPr>
        <w:t xml:space="preserve">for child sexual abuse under the Sexual Assault Fast </w:t>
      </w:r>
      <w:r>
        <w:rPr>
          <w:rFonts w:ascii="Times New Roman" w:hAnsi="Times New Roman"/>
          <w:sz w:val="24"/>
          <w:szCs w:val="24"/>
        </w:rPr>
        <w:t>R</w:t>
      </w:r>
      <w:r w:rsidRPr="00040EC5">
        <w:rPr>
          <w:rFonts w:ascii="Times New Roman" w:hAnsi="Times New Roman"/>
          <w:sz w:val="24"/>
          <w:szCs w:val="24"/>
        </w:rPr>
        <w:t xml:space="preserve">eporting </w:t>
      </w:r>
      <w:r>
        <w:rPr>
          <w:rFonts w:ascii="Times New Roman" w:hAnsi="Times New Roman"/>
          <w:sz w:val="24"/>
          <w:szCs w:val="24"/>
        </w:rPr>
        <w:t>A</w:t>
      </w:r>
      <w:r w:rsidRPr="00040EC5">
        <w:rPr>
          <w:rFonts w:ascii="Times New Roman" w:hAnsi="Times New Roman"/>
          <w:sz w:val="24"/>
          <w:szCs w:val="24"/>
        </w:rPr>
        <w:t>nd Enforcement Act</w:t>
      </w:r>
      <w:r>
        <w:rPr>
          <w:rFonts w:ascii="Times New Roman" w:hAnsi="Times New Roman"/>
          <w:sz w:val="24"/>
          <w:szCs w:val="24"/>
        </w:rPr>
        <w:t xml:space="preserve"> (“</w:t>
      </w:r>
      <w:r w:rsidRPr="00040EC5">
        <w:rPr>
          <w:rFonts w:ascii="Times New Roman" w:hAnsi="Times New Roman"/>
          <w:sz w:val="24"/>
          <w:szCs w:val="24"/>
        </w:rPr>
        <w:t xml:space="preserve">SAFE Child Act”).  </w:t>
      </w:r>
      <w:r>
        <w:rPr>
          <w:rFonts w:ascii="Times New Roman" w:hAnsi="Times New Roman"/>
          <w:sz w:val="24"/>
          <w:szCs w:val="24"/>
        </w:rPr>
        <w:t>The North Carolina legislature amended the law to give child victims the right to sue two years after the conviction of the assailant. Michael Taylor turned 18 in April 2000; under prior law he had three years to sue the assailant (April 2003).  Under new statute, he could sue two years after the conviction of his assailant.  The firefighter pled guilty in 2019 to multiple counts of sexual assault and is now serving 24-to-</w:t>
      </w:r>
      <w:proofErr w:type="gramStart"/>
      <w:r>
        <w:rPr>
          <w:rFonts w:ascii="Times New Roman" w:hAnsi="Times New Roman"/>
          <w:sz w:val="24"/>
          <w:szCs w:val="24"/>
        </w:rPr>
        <w:t>30 year</w:t>
      </w:r>
      <w:proofErr w:type="gramEnd"/>
      <w:r>
        <w:rPr>
          <w:rFonts w:ascii="Times New Roman" w:hAnsi="Times New Roman"/>
          <w:sz w:val="24"/>
          <w:szCs w:val="24"/>
        </w:rPr>
        <w:t xml:space="preserve"> sentence in state prison.  The Court held that this lawsuit was timely filed on March 4, 2020.  </w:t>
      </w:r>
    </w:p>
    <w:p w14:paraId="6F2E6E4F" w14:textId="77777777" w:rsidR="008F7EBA" w:rsidRDefault="008F7EBA" w:rsidP="008F7EBA">
      <w:pPr>
        <w:pStyle w:val="NoSpacing"/>
        <w:rPr>
          <w:rFonts w:ascii="Times New Roman" w:hAnsi="Times New Roman"/>
          <w:sz w:val="24"/>
          <w:szCs w:val="24"/>
        </w:rPr>
      </w:pPr>
    </w:p>
    <w:p w14:paraId="634AC75B" w14:textId="77777777" w:rsidR="008F7EBA" w:rsidRDefault="008F7EBA" w:rsidP="008F7EBA">
      <w:pPr>
        <w:pStyle w:val="NoSpacing"/>
        <w:ind w:left="720" w:firstLine="60"/>
        <w:rPr>
          <w:rFonts w:ascii="Times New Roman" w:hAnsi="Times New Roman"/>
          <w:sz w:val="24"/>
          <w:szCs w:val="24"/>
        </w:rPr>
      </w:pPr>
      <w:r w:rsidRPr="00040EC5">
        <w:rPr>
          <w:rFonts w:ascii="Times New Roman" w:hAnsi="Times New Roman"/>
          <w:sz w:val="24"/>
          <w:szCs w:val="24"/>
        </w:rPr>
        <w:t>“Because we agree with Appellants that the North Carolina Constitution does not prohibit the General Assembly from reviving Plaintiff’s civil claims under the SAFE Child Act as set forth in McKinney, we reverse and remand the trial court’s order for further proceedings not inconsistent with this opinion.</w:t>
      </w:r>
    </w:p>
    <w:p w14:paraId="46CED53C" w14:textId="77777777" w:rsidR="008F7EBA" w:rsidRDefault="008F7EBA" w:rsidP="008F7EBA">
      <w:pPr>
        <w:pStyle w:val="NoSpacing"/>
        <w:ind w:left="720" w:firstLine="60"/>
        <w:rPr>
          <w:rFonts w:ascii="Times New Roman" w:hAnsi="Times New Roman"/>
          <w:sz w:val="24"/>
          <w:szCs w:val="24"/>
        </w:rPr>
      </w:pPr>
    </w:p>
    <w:p w14:paraId="07D73D36" w14:textId="77777777" w:rsidR="008F7EBA" w:rsidRDefault="008F7EBA" w:rsidP="008F7EBA">
      <w:pPr>
        <w:pStyle w:val="NoSpacing"/>
        <w:ind w:left="720" w:firstLine="60"/>
        <w:rPr>
          <w:rFonts w:ascii="Times New Roman" w:hAnsi="Times New Roman"/>
          <w:sz w:val="24"/>
          <w:szCs w:val="24"/>
        </w:rPr>
      </w:pPr>
      <w:r>
        <w:rPr>
          <w:rFonts w:ascii="Times New Roman" w:hAnsi="Times New Roman"/>
          <w:sz w:val="24"/>
          <w:szCs w:val="24"/>
        </w:rPr>
        <w:t>***</w:t>
      </w:r>
    </w:p>
    <w:p w14:paraId="6753EEFF" w14:textId="77777777" w:rsidR="008F7EBA" w:rsidRDefault="008F7EBA" w:rsidP="008F7EBA">
      <w:pPr>
        <w:pStyle w:val="NoSpacing"/>
        <w:ind w:left="720"/>
        <w:rPr>
          <w:rFonts w:ascii="Times New Roman" w:hAnsi="Times New Roman"/>
          <w:sz w:val="24"/>
          <w:szCs w:val="24"/>
        </w:rPr>
      </w:pPr>
      <w:r w:rsidRPr="002A67C8">
        <w:rPr>
          <w:rFonts w:ascii="Times New Roman" w:hAnsi="Times New Roman"/>
          <w:sz w:val="24"/>
          <w:szCs w:val="24"/>
        </w:rPr>
        <w:t>In the 2000s, 2010s, and early 2020s—and largely after Plaintiff’s tort claims</w:t>
      </w:r>
      <w:r>
        <w:rPr>
          <w:rFonts w:ascii="Times New Roman" w:hAnsi="Times New Roman"/>
          <w:sz w:val="24"/>
          <w:szCs w:val="24"/>
        </w:rPr>
        <w:t xml:space="preserve"> </w:t>
      </w:r>
      <w:r w:rsidRPr="002A67C8">
        <w:rPr>
          <w:rFonts w:ascii="Times New Roman" w:hAnsi="Times New Roman"/>
          <w:sz w:val="24"/>
          <w:szCs w:val="24"/>
        </w:rPr>
        <w:t>had expired—scientific research into childhood sexual trauma solidified around two</w:t>
      </w:r>
      <w:r>
        <w:rPr>
          <w:rFonts w:ascii="Times New Roman" w:hAnsi="Times New Roman"/>
          <w:sz w:val="24"/>
          <w:szCs w:val="24"/>
        </w:rPr>
        <w:t xml:space="preserve"> </w:t>
      </w:r>
      <w:r w:rsidRPr="002A67C8">
        <w:rPr>
          <w:rFonts w:ascii="Times New Roman" w:hAnsi="Times New Roman"/>
          <w:sz w:val="24"/>
          <w:szCs w:val="24"/>
        </w:rPr>
        <w:t>key facts: (1) victims of childhood sexual abuse frequently delayed disclosure of their</w:t>
      </w:r>
      <w:r>
        <w:rPr>
          <w:rFonts w:ascii="Times New Roman" w:hAnsi="Times New Roman"/>
          <w:sz w:val="24"/>
          <w:szCs w:val="24"/>
        </w:rPr>
        <w:t xml:space="preserve"> </w:t>
      </w:r>
      <w:r w:rsidRPr="002A67C8">
        <w:rPr>
          <w:rFonts w:ascii="Times New Roman" w:hAnsi="Times New Roman"/>
          <w:sz w:val="24"/>
          <w:szCs w:val="24"/>
        </w:rPr>
        <w:t>trauma well into adulthood; and (2) the abuse frequently resulted in lifelong injury</w:t>
      </w:r>
      <w:r>
        <w:rPr>
          <w:rFonts w:ascii="Times New Roman" w:hAnsi="Times New Roman"/>
          <w:sz w:val="24"/>
          <w:szCs w:val="24"/>
        </w:rPr>
        <w:t xml:space="preserve">…. </w:t>
      </w:r>
      <w:r w:rsidRPr="002A67C8">
        <w:rPr>
          <w:rFonts w:ascii="Times New Roman" w:hAnsi="Times New Roman"/>
          <w:sz w:val="24"/>
          <w:szCs w:val="24"/>
        </w:rPr>
        <w:t>Legislatures across the country responded to these scientific developments</w:t>
      </w:r>
      <w:r>
        <w:rPr>
          <w:rFonts w:ascii="Times New Roman" w:hAnsi="Times New Roman"/>
          <w:sz w:val="24"/>
          <w:szCs w:val="24"/>
        </w:rPr>
        <w:t xml:space="preserve"> </w:t>
      </w:r>
      <w:r w:rsidRPr="002A67C8">
        <w:rPr>
          <w:rFonts w:ascii="Times New Roman" w:hAnsi="Times New Roman"/>
          <w:sz w:val="24"/>
          <w:szCs w:val="24"/>
        </w:rPr>
        <w:t>by, among other actions, enacting statutes reviving stale civil claims for child sexual</w:t>
      </w:r>
      <w:r>
        <w:rPr>
          <w:rFonts w:ascii="Times New Roman" w:hAnsi="Times New Roman"/>
          <w:sz w:val="24"/>
          <w:szCs w:val="24"/>
        </w:rPr>
        <w:t xml:space="preserve"> </w:t>
      </w:r>
      <w:r w:rsidRPr="002A67C8">
        <w:rPr>
          <w:rFonts w:ascii="Times New Roman" w:hAnsi="Times New Roman"/>
          <w:sz w:val="24"/>
          <w:szCs w:val="24"/>
        </w:rPr>
        <w:t>abuse that had previously expired under the applicable statutes of limitation.</w:t>
      </w:r>
      <w:r>
        <w:rPr>
          <w:rFonts w:ascii="Times New Roman" w:hAnsi="Times New Roman"/>
          <w:sz w:val="24"/>
          <w:szCs w:val="24"/>
        </w:rPr>
        <w:t xml:space="preserve">” </w:t>
      </w:r>
    </w:p>
    <w:p w14:paraId="1A049730" w14:textId="77777777" w:rsidR="008F7EBA" w:rsidRPr="00040EC5" w:rsidRDefault="008F7EBA" w:rsidP="008F7EBA">
      <w:pPr>
        <w:pStyle w:val="NoSpacing"/>
        <w:ind w:left="720" w:firstLine="60"/>
        <w:rPr>
          <w:rFonts w:ascii="Times New Roman" w:hAnsi="Times New Roman"/>
          <w:sz w:val="24"/>
          <w:szCs w:val="24"/>
        </w:rPr>
      </w:pPr>
      <w:hyperlink r:id="rId2677" w:history="1">
        <w:r w:rsidRPr="002230B5">
          <w:rPr>
            <w:rStyle w:val="Hyperlink"/>
            <w:rFonts w:ascii="Times New Roman" w:hAnsi="Times New Roman"/>
            <w:sz w:val="24"/>
            <w:szCs w:val="24"/>
          </w:rPr>
          <w:t>https://cases.justia.com/north-carolina/court-of-appeals/2023-22-259.pdf?ts=1694553709</w:t>
        </w:r>
      </w:hyperlink>
      <w:r w:rsidRPr="00040EC5">
        <w:rPr>
          <w:rFonts w:ascii="Times New Roman" w:hAnsi="Times New Roman"/>
          <w:sz w:val="24"/>
          <w:szCs w:val="24"/>
        </w:rPr>
        <w:t xml:space="preserve"> </w:t>
      </w:r>
    </w:p>
    <w:p w14:paraId="52BA10CC" w14:textId="77777777" w:rsidR="008F7EBA" w:rsidRDefault="008F7EBA" w:rsidP="008F7EBA">
      <w:pPr>
        <w:pStyle w:val="NoSpacing"/>
        <w:rPr>
          <w:rFonts w:ascii="Times New Roman" w:hAnsi="Times New Roman"/>
          <w:b/>
          <w:bCs/>
          <w:sz w:val="24"/>
          <w:szCs w:val="24"/>
        </w:rPr>
      </w:pPr>
    </w:p>
    <w:p w14:paraId="7D98C8DC" w14:textId="402B2869" w:rsidR="008F7EBA" w:rsidRPr="002A67C8" w:rsidRDefault="008F7EBA" w:rsidP="008F7EBA">
      <w:pPr>
        <w:pStyle w:val="NoSpacing"/>
        <w:rPr>
          <w:rFonts w:ascii="Times New Roman" w:hAnsi="Times New Roman"/>
          <w:b/>
          <w:bCs/>
          <w:sz w:val="24"/>
          <w:szCs w:val="24"/>
        </w:rPr>
      </w:pPr>
      <w:r w:rsidRPr="002A67C8">
        <w:rPr>
          <w:rFonts w:ascii="Times New Roman" w:hAnsi="Times New Roman"/>
          <w:b/>
          <w:bCs/>
          <w:sz w:val="24"/>
          <w:szCs w:val="24"/>
        </w:rPr>
        <w:t>Legal Lesson Learned:</w:t>
      </w:r>
      <w:r>
        <w:rPr>
          <w:rFonts w:ascii="Times New Roman" w:hAnsi="Times New Roman"/>
          <w:b/>
          <w:bCs/>
          <w:sz w:val="24"/>
          <w:szCs w:val="24"/>
        </w:rPr>
        <w:t xml:space="preserve"> Many state legislatures have likewise expanded the statute of limitations for victims of sexual assault as children. </w:t>
      </w:r>
    </w:p>
    <w:p w14:paraId="695E9F13" w14:textId="77777777" w:rsidR="008F7EBA" w:rsidRDefault="008F7EBA" w:rsidP="008F7EBA">
      <w:pPr>
        <w:pStyle w:val="NoSpacing"/>
        <w:ind w:left="720"/>
        <w:rPr>
          <w:rFonts w:ascii="Times New Roman" w:hAnsi="Times New Roman"/>
          <w:sz w:val="24"/>
          <w:szCs w:val="24"/>
        </w:rPr>
      </w:pPr>
    </w:p>
    <w:p w14:paraId="6E097F2E" w14:textId="77777777" w:rsidR="008F7EBA" w:rsidRPr="00842639" w:rsidRDefault="008F7EBA" w:rsidP="008F7EBA">
      <w:pPr>
        <w:pStyle w:val="NoSpacing"/>
        <w:ind w:left="720"/>
        <w:rPr>
          <w:rFonts w:ascii="Times New Roman" w:hAnsi="Times New Roman"/>
          <w:sz w:val="24"/>
          <w:szCs w:val="24"/>
        </w:rPr>
      </w:pPr>
      <w:r w:rsidRPr="00842639">
        <w:rPr>
          <w:rFonts w:ascii="Times New Roman" w:hAnsi="Times New Roman"/>
          <w:sz w:val="24"/>
          <w:szCs w:val="24"/>
        </w:rPr>
        <w:t xml:space="preserve">Note: See June 26, </w:t>
      </w:r>
      <w:proofErr w:type="gramStart"/>
      <w:r w:rsidRPr="00842639">
        <w:rPr>
          <w:rFonts w:ascii="Times New Roman" w:hAnsi="Times New Roman"/>
          <w:sz w:val="24"/>
          <w:szCs w:val="24"/>
        </w:rPr>
        <w:t>2019</w:t>
      </w:r>
      <w:proofErr w:type="gramEnd"/>
      <w:r w:rsidRPr="00842639">
        <w:rPr>
          <w:rFonts w:ascii="Times New Roman" w:hAnsi="Times New Roman"/>
          <w:sz w:val="24"/>
          <w:szCs w:val="24"/>
        </w:rPr>
        <w:t xml:space="preserve"> article, 'He stole my innocence, my childhood, my virginity:' Former YMCA counselor convicted of child sex abuse.” A search warrant revealed at least eight possible victims, one of them who was 10 years old at the time.  </w:t>
      </w:r>
      <w:hyperlink r:id="rId2678" w:history="1">
        <w:r w:rsidRPr="00842639">
          <w:rPr>
            <w:rStyle w:val="Hyperlink"/>
            <w:rFonts w:ascii="Times New Roman" w:hAnsi="Times New Roman"/>
            <w:sz w:val="24"/>
            <w:szCs w:val="24"/>
          </w:rPr>
          <w:t>https://www.wxii12.com/article/former-ymca-counselor-volunteer-firefighter-pleads-guilty-to-sexually-assaulting-young-boys/28196918</w:t>
        </w:r>
      </w:hyperlink>
      <w:r w:rsidRPr="00842639">
        <w:rPr>
          <w:rFonts w:ascii="Times New Roman" w:hAnsi="Times New Roman"/>
          <w:sz w:val="24"/>
          <w:szCs w:val="24"/>
        </w:rPr>
        <w:t xml:space="preserve"> </w:t>
      </w:r>
    </w:p>
    <w:p w14:paraId="7D60FB66" w14:textId="77777777" w:rsidR="008F7EBA" w:rsidRDefault="008F7EBA" w:rsidP="008F7EBA">
      <w:pPr>
        <w:pStyle w:val="NormalWeb"/>
      </w:pPr>
    </w:p>
    <w:p w14:paraId="7BDB1E76" w14:textId="77777777" w:rsidR="008F7EBA" w:rsidRDefault="008F7EBA" w:rsidP="00F326E5">
      <w:pPr>
        <w:pStyle w:val="NoSpacing"/>
        <w:rPr>
          <w:rFonts w:ascii="Arial Black" w:hAnsi="Arial Black"/>
          <w:sz w:val="24"/>
          <w:szCs w:val="24"/>
        </w:rPr>
      </w:pPr>
    </w:p>
    <w:p w14:paraId="55B7855A" w14:textId="77777777" w:rsidR="008F7EBA" w:rsidRDefault="008F7EBA" w:rsidP="00F326E5">
      <w:pPr>
        <w:pStyle w:val="NoSpacing"/>
        <w:rPr>
          <w:rFonts w:ascii="Arial Black" w:hAnsi="Arial Black"/>
          <w:sz w:val="24"/>
          <w:szCs w:val="24"/>
        </w:rPr>
      </w:pPr>
    </w:p>
    <w:p w14:paraId="3C17A371" w14:textId="4D050C59" w:rsidR="009B0593" w:rsidRDefault="009B0593" w:rsidP="00F326E5">
      <w:pPr>
        <w:pStyle w:val="NoSpacing"/>
        <w:rPr>
          <w:rFonts w:ascii="Arial Black" w:hAnsi="Arial Black"/>
          <w:sz w:val="24"/>
          <w:szCs w:val="24"/>
        </w:rPr>
      </w:pPr>
      <w:r>
        <w:rPr>
          <w:rFonts w:ascii="Arial Black" w:hAnsi="Arial Black"/>
          <w:sz w:val="24"/>
          <w:szCs w:val="24"/>
        </w:rPr>
        <w:t>16-92</w:t>
      </w:r>
    </w:p>
    <w:p w14:paraId="45AECEE9" w14:textId="77777777" w:rsidR="009B0593" w:rsidRDefault="009B0593" w:rsidP="009B0593">
      <w:pPr>
        <w:pStyle w:val="NormalWeb"/>
        <w:rPr>
          <w:rFonts w:ascii="Arial Black" w:hAnsi="Arial Black"/>
          <w:b/>
          <w:bCs/>
          <w:sz w:val="28"/>
          <w:szCs w:val="28"/>
        </w:rPr>
      </w:pPr>
      <w:r>
        <w:rPr>
          <w:rFonts w:ascii="Arial Black" w:hAnsi="Arial Black"/>
          <w:b/>
          <w:bCs/>
          <w:sz w:val="28"/>
          <w:szCs w:val="28"/>
        </w:rPr>
        <w:t>CA: BORDER PATROL SUPERVISOR ARRESTED AT BAR - FALSELY TOLD EMS DIABETIC 1 – FIRED LACK CANDOR</w:t>
      </w:r>
    </w:p>
    <w:p w14:paraId="5E44AA5E" w14:textId="77777777" w:rsidR="009B0593" w:rsidRDefault="009B0593" w:rsidP="009B0593">
      <w:pPr>
        <w:pStyle w:val="NormalWeb"/>
      </w:pPr>
      <w:r>
        <w:lastRenderedPageBreak/>
        <w:t xml:space="preserve">On Aug. 18, 2023, in </w:t>
      </w:r>
      <w:r w:rsidRPr="00425C38">
        <w:rPr>
          <w:u w:val="single"/>
        </w:rPr>
        <w:t>Nick Santos v. Department of Homeland Security</w:t>
      </w:r>
      <w:r>
        <w:t xml:space="preserve">, the United States of America Merit Systems Protection Board (2 to 0) reversed Administrative Law Judge and upheld the termination of the Agent for lack of candor. </w:t>
      </w:r>
    </w:p>
    <w:p w14:paraId="0B48BD4E" w14:textId="77777777" w:rsidR="009B0593" w:rsidRDefault="009B0593" w:rsidP="009B0593">
      <w:pPr>
        <w:pStyle w:val="NormalWeb"/>
      </w:pPr>
      <w:r>
        <w:tab/>
        <w:t>The Board held:</w:t>
      </w:r>
    </w:p>
    <w:p w14:paraId="0093150F" w14:textId="77777777" w:rsidR="009B0593" w:rsidRPr="009B0593" w:rsidRDefault="009B0593" w:rsidP="009B0593">
      <w:pPr>
        <w:pStyle w:val="NormalWeb"/>
        <w:ind w:left="720"/>
      </w:pPr>
      <w:r>
        <w:t xml:space="preserve">“In this case, the agency has provided evidence that the appellant's </w:t>
      </w:r>
      <w:proofErr w:type="gramStart"/>
      <w:r>
        <w:t>off-duty</w:t>
      </w:r>
      <w:proofErr w:type="gramEnd"/>
      <w:r>
        <w:t xml:space="preserve"> conduct adversely affected its trust and confidence in the appellant's ability to serve as a Supervisory Border Patrol Agent. *** We have considered relevant mitigating factors, including the appellant's length of service, his record of performance-based awards, and the rehabilitative potential evidenced by his willingness to admit to conduct unbecoming. However, considering that the sustained charge of lack of candor could potentially result in the appellant's </w:t>
      </w:r>
      <w:r>
        <w:rPr>
          <w:rStyle w:val="Emphasis"/>
        </w:rPr>
        <w:t>Giglio</w:t>
      </w:r>
      <w:r>
        <w:t xml:space="preserve"> impairment [footnote 4] it is doubtful that an alternative sanction, such as a suspension or demotion to a nonsupervisory law enforcement position, would be a viable option in this case. We find that the penalty of </w:t>
      </w:r>
      <w:r w:rsidRPr="009B0593">
        <w:t>removal is within the bounds of reasonableness, and we therefore sustain it.</w:t>
      </w:r>
    </w:p>
    <w:p w14:paraId="6FF92FE1" w14:textId="259B8B03" w:rsidR="009B0593" w:rsidRPr="009B0593" w:rsidRDefault="009B0593" w:rsidP="009B0593">
      <w:pPr>
        <w:pStyle w:val="NoSpacing"/>
        <w:ind w:left="720"/>
        <w:rPr>
          <w:rFonts w:ascii="Times New Roman" w:hAnsi="Times New Roman"/>
          <w:sz w:val="24"/>
          <w:szCs w:val="24"/>
        </w:rPr>
      </w:pPr>
      <w:r w:rsidRPr="009B0593">
        <w:rPr>
          <w:rFonts w:ascii="Times New Roman" w:hAnsi="Times New Roman"/>
          <w:sz w:val="24"/>
          <w:szCs w:val="24"/>
        </w:rPr>
        <w:t xml:space="preserve">Footnote 4: </w:t>
      </w:r>
      <w:r w:rsidRPr="009B0593">
        <w:rPr>
          <w:rFonts w:ascii="Times New Roman" w:eastAsiaTheme="minorHAnsi" w:hAnsi="Times New Roman"/>
          <w:kern w:val="2"/>
          <w:sz w:val="24"/>
          <w:szCs w:val="24"/>
          <w14:ligatures w14:val="standardContextual"/>
        </w:rPr>
        <w:t xml:space="preserve">In </w:t>
      </w:r>
      <w:r w:rsidRPr="009B0593">
        <w:rPr>
          <w:rFonts w:ascii="Times New Roman" w:eastAsiaTheme="minorHAnsi" w:hAnsi="Times New Roman"/>
          <w:i/>
          <w:iCs/>
          <w:kern w:val="2"/>
          <w:sz w:val="24"/>
          <w:szCs w:val="24"/>
          <w14:ligatures w14:val="standardContextual"/>
        </w:rPr>
        <w:t>Giglio v. United States</w:t>
      </w:r>
      <w:r w:rsidRPr="009B0593">
        <w:rPr>
          <w:rFonts w:ascii="Times New Roman" w:eastAsiaTheme="minorHAnsi" w:hAnsi="Times New Roman"/>
          <w:kern w:val="2"/>
          <w:sz w:val="24"/>
          <w:szCs w:val="24"/>
          <w14:ligatures w14:val="standardContextual"/>
        </w:rPr>
        <w:t xml:space="preserve">, 405 U.S. 150, 154 (1972), the Supreme Court held that the Government must disclose evidence affecting the credibility of Government witnesses. Subsequent case law has extended this rule to require Government agencies to review the personnel files of Government witnesses and disclose material that could cast doubt on their credibility or potential for bias. </w:t>
      </w:r>
      <w:r w:rsidRPr="009B0593">
        <w:rPr>
          <w:rFonts w:ascii="Times New Roman" w:eastAsiaTheme="minorHAnsi" w:hAnsi="Times New Roman"/>
          <w:i/>
          <w:iCs/>
          <w:kern w:val="2"/>
          <w:sz w:val="24"/>
          <w:szCs w:val="24"/>
          <w14:ligatures w14:val="standardContextual"/>
        </w:rPr>
        <w:t>See United States v. Henthorn</w:t>
      </w:r>
      <w:r w:rsidRPr="009B0593">
        <w:rPr>
          <w:rFonts w:ascii="Times New Roman" w:eastAsiaTheme="minorHAnsi" w:hAnsi="Times New Roman"/>
          <w:kern w:val="2"/>
          <w:sz w:val="24"/>
          <w:szCs w:val="24"/>
          <w14:ligatures w14:val="standardContextual"/>
        </w:rPr>
        <w:t xml:space="preserve">, 931 F.2d 29, 30-31 (9th Cir. 1991).” </w:t>
      </w:r>
      <w:hyperlink r:id="rId2679" w:history="1">
        <w:r w:rsidRPr="009B0593">
          <w:rPr>
            <w:rStyle w:val="Hyperlink"/>
            <w:rFonts w:ascii="Times New Roman" w:eastAsiaTheme="majorEastAsia" w:hAnsi="Times New Roman"/>
            <w:sz w:val="24"/>
            <w:szCs w:val="24"/>
          </w:rPr>
          <w:t>https://www.mspb.gov/decisions/nonprecedential/SANTOS_NICK_SF_0752_20_0114_I_1_FINAL_ORDER_2060932.pdf</w:t>
        </w:r>
      </w:hyperlink>
    </w:p>
    <w:p w14:paraId="2173CA09" w14:textId="77777777" w:rsidR="009B0593" w:rsidRDefault="009B0593" w:rsidP="00F326E5">
      <w:pPr>
        <w:pStyle w:val="NoSpacing"/>
        <w:rPr>
          <w:rFonts w:ascii="Arial Black" w:hAnsi="Arial Black"/>
          <w:sz w:val="24"/>
          <w:szCs w:val="24"/>
        </w:rPr>
      </w:pPr>
    </w:p>
    <w:p w14:paraId="7AD918E2" w14:textId="77777777" w:rsidR="009B0593" w:rsidRDefault="009B0593" w:rsidP="009B0593">
      <w:pPr>
        <w:rPr>
          <w:rFonts w:ascii="Times New Roman" w:hAnsi="Times New Roman"/>
          <w:b/>
          <w:bCs/>
          <w:sz w:val="24"/>
          <w:szCs w:val="24"/>
        </w:rPr>
      </w:pPr>
      <w:r w:rsidRPr="0060003D">
        <w:rPr>
          <w:rFonts w:ascii="Times New Roman" w:hAnsi="Times New Roman"/>
          <w:b/>
          <w:bCs/>
          <w:sz w:val="24"/>
          <w:szCs w:val="24"/>
        </w:rPr>
        <w:t xml:space="preserve">Legal Lesson Learned: </w:t>
      </w:r>
      <w:r>
        <w:rPr>
          <w:rFonts w:ascii="Times New Roman" w:hAnsi="Times New Roman"/>
          <w:b/>
          <w:bCs/>
          <w:sz w:val="24"/>
          <w:szCs w:val="24"/>
        </w:rPr>
        <w:t xml:space="preserve"> Under the U.S. Supreme Court’s decision in Giglio v. United States. if this Supervisor Agent testifies in a criminal case the Government may need to disclose the “lack of candor” administrative charge.</w:t>
      </w:r>
    </w:p>
    <w:p w14:paraId="243AB25B" w14:textId="759C8F68" w:rsidR="009B0593" w:rsidRDefault="009B0593" w:rsidP="009B0593">
      <w:pPr>
        <w:pStyle w:val="NoSpacing"/>
        <w:ind w:left="720"/>
        <w:rPr>
          <w:rFonts w:ascii="Arial Black" w:hAnsi="Arial Black"/>
          <w:sz w:val="24"/>
          <w:szCs w:val="24"/>
        </w:rPr>
      </w:pPr>
      <w:r>
        <w:rPr>
          <w:rFonts w:ascii="Times New Roman" w:hAnsi="Times New Roman"/>
          <w:sz w:val="24"/>
          <w:szCs w:val="24"/>
        </w:rPr>
        <w:t xml:space="preserve">Note: </w:t>
      </w:r>
      <w:r w:rsidRPr="00B07F0E">
        <w:rPr>
          <w:rFonts w:ascii="Times New Roman" w:hAnsi="Times New Roman"/>
          <w:sz w:val="24"/>
          <w:szCs w:val="24"/>
        </w:rPr>
        <w:t xml:space="preserve">In </w:t>
      </w:r>
      <w:r w:rsidRPr="00B07F0E">
        <w:rPr>
          <w:rStyle w:val="Strong"/>
          <w:rFonts w:ascii="Times New Roman" w:hAnsi="Times New Roman"/>
          <w:sz w:val="24"/>
          <w:szCs w:val="24"/>
          <w:u w:val="single"/>
        </w:rPr>
        <w:t>Giglio v. United States</w:t>
      </w:r>
      <w:r w:rsidRPr="00B07F0E">
        <w:rPr>
          <w:rStyle w:val="Strong"/>
          <w:rFonts w:ascii="Times New Roman" w:hAnsi="Times New Roman"/>
          <w:sz w:val="24"/>
          <w:szCs w:val="24"/>
        </w:rPr>
        <w:t xml:space="preserve">, </w:t>
      </w:r>
      <w:hyperlink r:id="rId2680" w:history="1">
        <w:r w:rsidRPr="00B07F0E">
          <w:rPr>
            <w:rStyle w:val="Hyperlink"/>
            <w:rFonts w:ascii="Times New Roman" w:hAnsi="Times New Roman"/>
            <w:sz w:val="24"/>
            <w:szCs w:val="24"/>
          </w:rPr>
          <w:t>405 U.S. 150</w:t>
        </w:r>
      </w:hyperlink>
      <w:r w:rsidRPr="00B07F0E">
        <w:rPr>
          <w:rStyle w:val="Strong"/>
          <w:rFonts w:ascii="Times New Roman" w:hAnsi="Times New Roman"/>
          <w:sz w:val="24"/>
          <w:szCs w:val="24"/>
        </w:rPr>
        <w:t xml:space="preserve"> (1972), the U.S. Supreme Court </w:t>
      </w:r>
      <w:r>
        <w:rPr>
          <w:rStyle w:val="Strong"/>
          <w:rFonts w:ascii="Times New Roman" w:hAnsi="Times New Roman"/>
          <w:sz w:val="24"/>
          <w:szCs w:val="24"/>
        </w:rPr>
        <w:t xml:space="preserve">reversed the conviction of </w:t>
      </w:r>
      <w:r w:rsidRPr="00B07F0E">
        <w:rPr>
          <w:rFonts w:ascii="Times New Roman" w:eastAsia="Times New Roman" w:hAnsi="Times New Roman"/>
          <w:sz w:val="24"/>
          <w:szCs w:val="24"/>
        </w:rPr>
        <w:t xml:space="preserve">passing forged money </w:t>
      </w:r>
      <w:proofErr w:type="gramStart"/>
      <w:r w:rsidRPr="00B07F0E">
        <w:rPr>
          <w:rFonts w:ascii="Times New Roman" w:eastAsia="Times New Roman" w:hAnsi="Times New Roman"/>
          <w:sz w:val="24"/>
          <w:szCs w:val="24"/>
        </w:rPr>
        <w:t>orders, and</w:t>
      </w:r>
      <w:proofErr w:type="gramEnd"/>
      <w:r w:rsidRPr="00B07F0E">
        <w:rPr>
          <w:rFonts w:ascii="Times New Roman" w:eastAsia="Times New Roman" w:hAnsi="Times New Roman"/>
          <w:sz w:val="24"/>
          <w:szCs w:val="24"/>
        </w:rPr>
        <w:t xml:space="preserve"> </w:t>
      </w:r>
      <w:r>
        <w:rPr>
          <w:rFonts w:ascii="Times New Roman" w:eastAsia="Times New Roman" w:hAnsi="Times New Roman"/>
          <w:sz w:val="24"/>
          <w:szCs w:val="24"/>
        </w:rPr>
        <w:t xml:space="preserve">ordered a new trial.  </w:t>
      </w:r>
      <w:r w:rsidRPr="00B07F0E">
        <w:rPr>
          <w:rFonts w:ascii="Times New Roman" w:eastAsia="Times New Roman" w:hAnsi="Times New Roman"/>
          <w:sz w:val="24"/>
          <w:szCs w:val="24"/>
        </w:rPr>
        <w:t xml:space="preserve">While appeal was pending in the Court of Appeals, defense counsel discovered new evidence indicating that the Government had failed to disclose an alleged promise made to its key witness [bank teller who gave defendant </w:t>
      </w:r>
      <w:r w:rsidRPr="00B07F0E">
        <w:rPr>
          <w:rStyle w:val="headertext"/>
          <w:rFonts w:ascii="Times New Roman" w:hAnsi="Times New Roman"/>
          <w:sz w:val="24"/>
          <w:szCs w:val="24"/>
        </w:rPr>
        <w:t>one of the bank's customer signature cards]</w:t>
      </w:r>
      <w:r w:rsidRPr="00B07F0E">
        <w:rPr>
          <w:rFonts w:ascii="Times New Roman" w:eastAsia="Times New Roman" w:hAnsi="Times New Roman"/>
          <w:sz w:val="24"/>
          <w:szCs w:val="24"/>
        </w:rPr>
        <w:t xml:space="preserve"> that he would not be prosecuted if he testified for the Government.</w:t>
      </w:r>
      <w:r>
        <w:rPr>
          <w:rFonts w:ascii="Times New Roman" w:eastAsia="Times New Roman" w:hAnsi="Times New Roman"/>
          <w:sz w:val="24"/>
          <w:szCs w:val="24"/>
        </w:rPr>
        <w:t xml:space="preserve"> </w:t>
      </w:r>
      <w:hyperlink r:id="rId2681" w:history="1">
        <w:r w:rsidRPr="003B4116">
          <w:rPr>
            <w:rStyle w:val="Hyperlink"/>
            <w:rFonts w:ascii="Times New Roman" w:hAnsi="Times New Roman"/>
            <w:sz w:val="24"/>
            <w:szCs w:val="24"/>
          </w:rPr>
          <w:t>https://supreme.justia.com/cases/federal/us/405/150/</w:t>
        </w:r>
      </w:hyperlink>
    </w:p>
    <w:p w14:paraId="7BFD5CB6" w14:textId="77777777" w:rsidR="009B0593" w:rsidRDefault="009B0593" w:rsidP="00F326E5">
      <w:pPr>
        <w:pStyle w:val="NoSpacing"/>
        <w:rPr>
          <w:rFonts w:ascii="Arial Black" w:hAnsi="Arial Black"/>
          <w:sz w:val="24"/>
          <w:szCs w:val="24"/>
        </w:rPr>
      </w:pPr>
    </w:p>
    <w:p w14:paraId="0FB525D4" w14:textId="77777777" w:rsidR="0055155D" w:rsidRDefault="0055155D" w:rsidP="00F326E5">
      <w:pPr>
        <w:pStyle w:val="NoSpacing"/>
        <w:rPr>
          <w:rFonts w:ascii="Arial Black" w:hAnsi="Arial Black"/>
          <w:sz w:val="24"/>
          <w:szCs w:val="24"/>
        </w:rPr>
      </w:pPr>
    </w:p>
    <w:p w14:paraId="045E7499" w14:textId="43A44342" w:rsidR="009B0593" w:rsidRDefault="009B0593" w:rsidP="00F326E5">
      <w:pPr>
        <w:pStyle w:val="NoSpacing"/>
        <w:rPr>
          <w:rFonts w:ascii="Arial Black" w:hAnsi="Arial Black"/>
          <w:sz w:val="24"/>
          <w:szCs w:val="24"/>
        </w:rPr>
      </w:pPr>
      <w:r>
        <w:rPr>
          <w:rFonts w:ascii="Arial Black" w:hAnsi="Arial Black"/>
          <w:sz w:val="24"/>
          <w:szCs w:val="24"/>
        </w:rPr>
        <w:t>16-91</w:t>
      </w:r>
    </w:p>
    <w:p w14:paraId="40BF1727" w14:textId="77777777" w:rsidR="0055155D" w:rsidRDefault="0055155D" w:rsidP="00F326E5">
      <w:pPr>
        <w:pStyle w:val="NoSpacing"/>
        <w:rPr>
          <w:rFonts w:ascii="Arial Black" w:hAnsi="Arial Black"/>
          <w:sz w:val="24"/>
          <w:szCs w:val="24"/>
        </w:rPr>
      </w:pPr>
    </w:p>
    <w:p w14:paraId="4D050A68" w14:textId="77777777" w:rsidR="0055155D" w:rsidRPr="00C5347C" w:rsidRDefault="0055155D" w:rsidP="0055155D">
      <w:pPr>
        <w:pStyle w:val="NormalWeb"/>
        <w:rPr>
          <w:rFonts w:ascii="Arial Black" w:hAnsi="Arial Black"/>
          <w:b/>
          <w:bCs/>
          <w:sz w:val="28"/>
          <w:szCs w:val="28"/>
        </w:rPr>
      </w:pPr>
      <w:r>
        <w:rPr>
          <w:rFonts w:ascii="Arial Black" w:hAnsi="Arial Black"/>
          <w:b/>
          <w:bCs/>
          <w:sz w:val="28"/>
          <w:szCs w:val="28"/>
        </w:rPr>
        <w:t xml:space="preserve">TX: SIX FFs FIRED – OUTSIDE INVEST. THEY HARRASED CO-WORKERS – NOT RETALIATION UNION REQ. CHANGE SHIFT </w:t>
      </w:r>
    </w:p>
    <w:p w14:paraId="556D0375" w14:textId="77777777" w:rsidR="0055155D" w:rsidRDefault="0055155D" w:rsidP="0055155D">
      <w:pPr>
        <w:pStyle w:val="NormalWeb"/>
      </w:pPr>
      <w:r>
        <w:t xml:space="preserve">On Aug. 15, 2023, in </w:t>
      </w:r>
      <w:r w:rsidRPr="00C5347C">
        <w:rPr>
          <w:u w:val="single"/>
        </w:rPr>
        <w:t>Stan Kozlowsi, et al. v. William Buck, individually and in his official capacity as Fire Chief, et al</w:t>
      </w:r>
      <w:r>
        <w:t>., the U.S. Court of Appeals for 5</w:t>
      </w:r>
      <w:r w:rsidRPr="00C5347C">
        <w:rPr>
          <w:vertAlign w:val="superscript"/>
        </w:rPr>
        <w:t>th</w:t>
      </w:r>
      <w:r>
        <w:t xml:space="preserve"> Circuit (New Orlean), held (3 to 0) that the U.S. District Court judge properly dismissed their lawsuit.  The FD used an outside investigator to investigate allegations of harassment.  There was no proof of retaliation because union officers pushed for a shift change; the discipline was imposed nine months after Fire Chief approved union request for shift change.   </w:t>
      </w:r>
    </w:p>
    <w:p w14:paraId="522A8AE0" w14:textId="77777777" w:rsidR="0055155D" w:rsidRDefault="0055155D" w:rsidP="0055155D">
      <w:pPr>
        <w:pStyle w:val="NormalWeb"/>
        <w:ind w:left="720"/>
      </w:pPr>
      <w:r>
        <w:lastRenderedPageBreak/>
        <w:t>Court of Appeals held: “The firefighters insist they were disciplined because of their union activities. But their claims rest on speculation and hearsay. Because that is not enough to establish a genuine dispute of material fact as to causation, we AFFIRM.”</w:t>
      </w:r>
      <w:r w:rsidRPr="00A6118A">
        <w:t xml:space="preserve"> </w:t>
      </w:r>
      <w:hyperlink r:id="rId2682" w:history="1">
        <w:r w:rsidRPr="00955A98">
          <w:rPr>
            <w:rStyle w:val="Hyperlink"/>
            <w:rFonts w:eastAsiaTheme="majorEastAsia"/>
          </w:rPr>
          <w:t>https://law.justia.com/cases/federal/appellate-courts/ca5/22-40438/22-40438-2023-08-15.html</w:t>
        </w:r>
      </w:hyperlink>
      <w:r>
        <w:t xml:space="preserve"> </w:t>
      </w:r>
    </w:p>
    <w:p w14:paraId="4738EBFC" w14:textId="77777777" w:rsidR="0055155D" w:rsidRDefault="0055155D" w:rsidP="0055155D">
      <w:pPr>
        <w:pStyle w:val="NormalWeb"/>
        <w:rPr>
          <w:b/>
          <w:bCs/>
        </w:rPr>
      </w:pPr>
      <w:r w:rsidRPr="00B64C15">
        <w:rPr>
          <w:b/>
          <w:bCs/>
        </w:rPr>
        <w:t xml:space="preserve">Legal Lesson Learned: FD may retain an outside investigator to review complaints of harassment. </w:t>
      </w:r>
    </w:p>
    <w:p w14:paraId="49C95D17" w14:textId="77777777" w:rsidR="0055155D" w:rsidRDefault="0055155D" w:rsidP="00F326E5">
      <w:pPr>
        <w:pStyle w:val="NoSpacing"/>
        <w:rPr>
          <w:rFonts w:ascii="Arial Black" w:hAnsi="Arial Black"/>
          <w:sz w:val="24"/>
          <w:szCs w:val="24"/>
        </w:rPr>
      </w:pPr>
    </w:p>
    <w:p w14:paraId="76C7C136" w14:textId="77777777" w:rsidR="009B0593" w:rsidRDefault="009B0593" w:rsidP="00F326E5">
      <w:pPr>
        <w:pStyle w:val="NoSpacing"/>
        <w:rPr>
          <w:rFonts w:ascii="Arial Black" w:hAnsi="Arial Black"/>
          <w:sz w:val="24"/>
          <w:szCs w:val="24"/>
        </w:rPr>
      </w:pPr>
    </w:p>
    <w:p w14:paraId="18381D8D" w14:textId="36ABC595" w:rsidR="00F771FA" w:rsidRDefault="00F771FA" w:rsidP="00F326E5">
      <w:pPr>
        <w:pStyle w:val="NoSpacing"/>
        <w:rPr>
          <w:rFonts w:ascii="Arial Black" w:hAnsi="Arial Black"/>
          <w:sz w:val="24"/>
          <w:szCs w:val="24"/>
        </w:rPr>
      </w:pPr>
      <w:r>
        <w:rPr>
          <w:rFonts w:ascii="Arial Black" w:hAnsi="Arial Black"/>
          <w:sz w:val="24"/>
          <w:szCs w:val="24"/>
        </w:rPr>
        <w:t>16-90</w:t>
      </w:r>
    </w:p>
    <w:p w14:paraId="7657200C" w14:textId="77777777" w:rsidR="00F771FA" w:rsidRPr="008F62D2" w:rsidRDefault="00F771FA" w:rsidP="00F771FA">
      <w:pPr>
        <w:pStyle w:val="NormalWeb"/>
        <w:rPr>
          <w:rFonts w:ascii="Arial Black" w:hAnsi="Arial Black"/>
          <w:sz w:val="28"/>
          <w:szCs w:val="28"/>
        </w:rPr>
      </w:pPr>
      <w:r>
        <w:rPr>
          <w:rFonts w:ascii="Arial Black" w:hAnsi="Arial Black"/>
          <w:sz w:val="28"/>
          <w:szCs w:val="28"/>
        </w:rPr>
        <w:t>FL: B/C FIRED – NO WHISTLEBLOWER PROTECTION – REFUSED ORDER TO REPRIMAND FFs COVID VACCINATION</w:t>
      </w:r>
    </w:p>
    <w:p w14:paraId="077573AF" w14:textId="77777777" w:rsidR="00F771FA" w:rsidRPr="00F771FA" w:rsidRDefault="00F771FA" w:rsidP="00F771FA">
      <w:pPr>
        <w:pStyle w:val="NormalWeb"/>
      </w:pPr>
      <w:r w:rsidRPr="00F771FA">
        <w:t xml:space="preserve">On July 25, 2023, in </w:t>
      </w:r>
      <w:r w:rsidRPr="00F771FA">
        <w:rPr>
          <w:u w:val="single"/>
        </w:rPr>
        <w:t>Stephen M. Davis v. Orange County</w:t>
      </w:r>
      <w:r w:rsidRPr="00F771FA">
        <w:t xml:space="preserve">, U.S. District Court Judge Paul G. Byron. for Middle District of Florida, Orlando Division, granted the County’s motion to dismiss, holding that Florida Whistleblower Act only protects officers who refuse to follow an order that would create a “substantial and specific danger to the public's health, safety, or welfare.”  On October 5, 2021, Assistant Chief Kimberly Buffkin gave an order to the Battalion Chiefs to issue written reprimands for those employees on a provided list for failure to comply with the vaccination policy [FF not facing further discipline].  Battalion Chief Davis thought some on his list had complied, and he met with Assistant Chief and when he refused to issue </w:t>
      </w:r>
      <w:proofErr w:type="gramStart"/>
      <w:r w:rsidRPr="00F771FA">
        <w:t>reprimands</w:t>
      </w:r>
      <w:proofErr w:type="gramEnd"/>
      <w:r w:rsidRPr="00F771FA">
        <w:t xml:space="preserve"> he was immediately suspended and later fired on Oct. 13, </w:t>
      </w:r>
      <w:proofErr w:type="gramStart"/>
      <w:r w:rsidRPr="00F771FA">
        <w:t>2021</w:t>
      </w:r>
      <w:proofErr w:type="gramEnd"/>
      <w:r w:rsidRPr="00F771FA">
        <w:t xml:space="preserve"> after a pre-determination hearing. The Battalion Chief had previously joined a lawsuit in State court challenging any discipline of firefighters who refused to get vaccinated.  After his termination he went to arbitration and the arbitrator ruled against him. </w:t>
      </w:r>
    </w:p>
    <w:p w14:paraId="3FE3B5D9" w14:textId="77777777" w:rsidR="00F771FA" w:rsidRPr="00F771FA" w:rsidRDefault="00F771FA" w:rsidP="00F771FA">
      <w:pPr>
        <w:pStyle w:val="NormalWeb"/>
      </w:pPr>
      <w:r w:rsidRPr="00F771FA">
        <w:t xml:space="preserve">The Court held: </w:t>
      </w:r>
    </w:p>
    <w:p w14:paraId="1DC4254B" w14:textId="77777777" w:rsidR="00F771FA" w:rsidRPr="00F771FA" w:rsidRDefault="00F771FA" w:rsidP="00F771FA">
      <w:pPr>
        <w:pStyle w:val="NormalWeb"/>
      </w:pPr>
      <w:r w:rsidRPr="00F771FA">
        <w:t xml:space="preserve">“[N]o reasonable person in Plaintiff's position would have believed that Defendant would not wipe out this discipline from the records of its employees who did, in fact, comply with the policy after its human resource lists were accurately updated as Defendant, through Assistant Chief Buffkin, had reiterated would occur. </w:t>
      </w:r>
    </w:p>
    <w:p w14:paraId="08D77176" w14:textId="77777777" w:rsidR="00F771FA" w:rsidRPr="00F771FA" w:rsidRDefault="00F771FA" w:rsidP="00F771FA">
      <w:pPr>
        <w:pStyle w:val="NormalWeb"/>
      </w:pPr>
      <w:r w:rsidRPr="00F771FA">
        <w:t>***</w:t>
      </w:r>
    </w:p>
    <w:p w14:paraId="76741DB8" w14:textId="4C286CB8" w:rsidR="00F771FA" w:rsidRPr="00F771FA" w:rsidRDefault="00F771FA" w:rsidP="00F771FA">
      <w:pPr>
        <w:pStyle w:val="NoSpacing"/>
        <w:rPr>
          <w:rStyle w:val="Hyperlink"/>
          <w:rFonts w:ascii="Times New Roman" w:eastAsiaTheme="majorEastAsia" w:hAnsi="Times New Roman"/>
          <w:sz w:val="24"/>
          <w:szCs w:val="24"/>
        </w:rPr>
      </w:pPr>
      <w:r w:rsidRPr="00F771FA">
        <w:rPr>
          <w:rFonts w:ascii="Times New Roman" w:hAnsi="Times New Roman"/>
          <w:sz w:val="24"/>
          <w:szCs w:val="24"/>
        </w:rPr>
        <w:t xml:space="preserve">What is more, the insinuation that such a bureaucratic snafu could have plausibly created a ‘substantial and specific danger to the public's health, safety, or welfare’ is not tenable. </w:t>
      </w:r>
      <w:r w:rsidRPr="00F771FA">
        <w:rPr>
          <w:rStyle w:val="Emphasis"/>
          <w:rFonts w:ascii="Times New Roman" w:hAnsi="Times New Roman"/>
          <w:sz w:val="24"/>
          <w:szCs w:val="24"/>
        </w:rPr>
        <w:t>Id.</w:t>
      </w:r>
      <w:r w:rsidRPr="00F771FA">
        <w:rPr>
          <w:rFonts w:ascii="Times New Roman" w:hAnsi="Times New Roman"/>
          <w:sz w:val="24"/>
          <w:szCs w:val="24"/>
        </w:rPr>
        <w:t xml:space="preserve"> Accordingly, Plaintiff fails to plausibly allege he engaged in protected activity under the FWA [Florida Whistleblower Act] and thus fails to state such a claim.” </w:t>
      </w:r>
      <w:hyperlink r:id="rId2683" w:history="1">
        <w:r w:rsidRPr="00F771FA">
          <w:rPr>
            <w:rStyle w:val="Hyperlink"/>
            <w:rFonts w:ascii="Times New Roman" w:eastAsiaTheme="majorEastAsia" w:hAnsi="Times New Roman"/>
            <w:sz w:val="24"/>
            <w:szCs w:val="24"/>
          </w:rPr>
          <w:t>https://public.fastcase.com/ZZhmr5v9wN%2FXOe5IsQ%2FqD51KXiWhfZ5Tknms713VsyNiKeidGSjUYd5fLyeguf86yRHn46LHKSVIqu1aE%2FP%2F4wzm%2Bs9CN3Gxx%2Fta1hJ8xsU%3D?utm_medium=email&amp;_hsmi=226712652&amp;_hsenc=p2ANqtz--6hfqXp_6GwCwKFg5My80cUvTOTZgLDUuB3F-yLygp7svvTJd39SzNL3yXkJv1N0M6expfT3HAdh1FcYblCg0-pEKOfg&amp;utm_content=226712652&amp;utm_source=hs_email</w:t>
        </w:r>
      </w:hyperlink>
    </w:p>
    <w:p w14:paraId="65FEB787" w14:textId="77777777" w:rsidR="00F771FA" w:rsidRDefault="00F771FA" w:rsidP="00F771FA">
      <w:pPr>
        <w:pStyle w:val="NoSpacing"/>
        <w:rPr>
          <w:rStyle w:val="Hyperlink"/>
          <w:rFonts w:eastAsiaTheme="majorEastAsia"/>
        </w:rPr>
      </w:pPr>
    </w:p>
    <w:p w14:paraId="7736A1B1" w14:textId="77777777" w:rsidR="00F771FA" w:rsidRPr="00A95E8C" w:rsidRDefault="00F771FA" w:rsidP="00F771FA">
      <w:pPr>
        <w:pStyle w:val="NormalWeb"/>
        <w:rPr>
          <w:b/>
          <w:bCs/>
        </w:rPr>
      </w:pPr>
      <w:r w:rsidRPr="00A95E8C">
        <w:rPr>
          <w:b/>
          <w:bCs/>
        </w:rPr>
        <w:t>Legal Lesson Learned: The Florida whistleblower act allows refusal of an order only if following the order would have either created a “substantial and specific danger to the public's health, safety, or welfare” or constituted an “act or suspected act of gross mismanagement, malfeasance, misfeasance, gross waste of public funds, . . . or gross neglect of duty.” FLA. STAT. § 112.3187(5).</w:t>
      </w:r>
    </w:p>
    <w:p w14:paraId="0B7734F0" w14:textId="77777777" w:rsidR="00F771FA" w:rsidRDefault="00F771FA" w:rsidP="00F771FA">
      <w:pPr>
        <w:pStyle w:val="NoSpacing"/>
        <w:rPr>
          <w:rFonts w:ascii="Arial Black" w:hAnsi="Arial Black"/>
          <w:sz w:val="24"/>
          <w:szCs w:val="24"/>
        </w:rPr>
      </w:pPr>
    </w:p>
    <w:p w14:paraId="10F4071B" w14:textId="77777777" w:rsidR="00F771FA" w:rsidRDefault="00F771FA" w:rsidP="00F326E5">
      <w:pPr>
        <w:pStyle w:val="NoSpacing"/>
        <w:rPr>
          <w:rFonts w:ascii="Arial Black" w:hAnsi="Arial Black"/>
          <w:sz w:val="24"/>
          <w:szCs w:val="24"/>
        </w:rPr>
      </w:pPr>
    </w:p>
    <w:p w14:paraId="10B8D94A" w14:textId="3BD26185" w:rsidR="00D33F96" w:rsidRDefault="00D33F96" w:rsidP="00F326E5">
      <w:pPr>
        <w:pStyle w:val="NoSpacing"/>
        <w:rPr>
          <w:rFonts w:ascii="Arial Black" w:hAnsi="Arial Black"/>
          <w:sz w:val="24"/>
          <w:szCs w:val="24"/>
        </w:rPr>
      </w:pPr>
      <w:r>
        <w:rPr>
          <w:rFonts w:ascii="Arial Black" w:hAnsi="Arial Black"/>
          <w:sz w:val="24"/>
          <w:szCs w:val="24"/>
        </w:rPr>
        <w:t>16-89</w:t>
      </w:r>
    </w:p>
    <w:p w14:paraId="3001C671" w14:textId="77777777" w:rsidR="00F771FA" w:rsidRDefault="00F771FA" w:rsidP="00F326E5">
      <w:pPr>
        <w:pStyle w:val="NoSpacing"/>
        <w:rPr>
          <w:rFonts w:ascii="Arial Black" w:hAnsi="Arial Black"/>
          <w:sz w:val="24"/>
          <w:szCs w:val="24"/>
        </w:rPr>
      </w:pPr>
    </w:p>
    <w:p w14:paraId="39DE11FC" w14:textId="77777777" w:rsidR="00D33F96" w:rsidRDefault="00D33F96" w:rsidP="00D33F96">
      <w:pPr>
        <w:rPr>
          <w:rFonts w:ascii="Arial Black" w:hAnsi="Arial Black"/>
          <w:sz w:val="28"/>
          <w:szCs w:val="28"/>
        </w:rPr>
      </w:pPr>
      <w:r>
        <w:rPr>
          <w:rFonts w:ascii="Arial Black" w:hAnsi="Arial Black"/>
          <w:sz w:val="28"/>
          <w:szCs w:val="28"/>
        </w:rPr>
        <w:t>NY: STATE PASSES “FF BILL OF RIGHTS” LAW – INDEP.  HEARING OFFICERS FOR DISCIPLINE - CASE REMANDED</w:t>
      </w:r>
    </w:p>
    <w:p w14:paraId="1764CCDD" w14:textId="77777777" w:rsidR="00D33F96" w:rsidRDefault="00D33F96" w:rsidP="00D33F96">
      <w:pPr>
        <w:rPr>
          <w:rFonts w:ascii="Times New Roman" w:hAnsi="Times New Roman"/>
          <w:sz w:val="24"/>
          <w:szCs w:val="24"/>
        </w:rPr>
      </w:pPr>
      <w:r>
        <w:rPr>
          <w:rFonts w:ascii="Times New Roman" w:hAnsi="Times New Roman"/>
          <w:sz w:val="24"/>
          <w:szCs w:val="24"/>
        </w:rPr>
        <w:t xml:space="preserve">On June 22, 2023, </w:t>
      </w:r>
      <w:r w:rsidRPr="00655D75">
        <w:rPr>
          <w:rFonts w:ascii="Times New Roman" w:hAnsi="Times New Roman"/>
          <w:sz w:val="24"/>
          <w:szCs w:val="24"/>
          <w:u w:val="single"/>
        </w:rPr>
        <w:t>In The Matter of Local 32, International Association of Firefighters, AFL-CIO, Utica Professional Firefighters Association v. New York State Public Employment Relations Board</w:t>
      </w:r>
      <w:r>
        <w:rPr>
          <w:rFonts w:ascii="Times New Roman" w:hAnsi="Times New Roman"/>
          <w:sz w:val="24"/>
          <w:szCs w:val="24"/>
        </w:rPr>
        <w:t xml:space="preserve">, the Supreme Court of New York, Third Department, held (5 to 0) that in light of new State law, PERS </w:t>
      </w:r>
      <w:r w:rsidRPr="00FD3278">
        <w:rPr>
          <w:rFonts w:ascii="Times New Roman" w:hAnsi="Times New Roman"/>
          <w:sz w:val="24"/>
          <w:szCs w:val="24"/>
        </w:rPr>
        <w:t>[New York Public Employment Relations Board]</w:t>
      </w:r>
      <w:r>
        <w:rPr>
          <w:rFonts w:ascii="Times New Roman" w:hAnsi="Times New Roman"/>
          <w:sz w:val="24"/>
          <w:szCs w:val="24"/>
        </w:rPr>
        <w:t xml:space="preserve"> must be given new opportunity to decide whether City of Utica must negotiate changes in disciplinary interrogation practices. The new law, “</w:t>
      </w:r>
      <w:r w:rsidRPr="000B64C0">
        <w:rPr>
          <w:rFonts w:ascii="Times New Roman" w:hAnsi="Times New Roman"/>
          <w:sz w:val="24"/>
          <w:szCs w:val="24"/>
        </w:rPr>
        <w:t>New York State firefighter bill of rights act</w:t>
      </w:r>
      <w:r>
        <w:rPr>
          <w:rFonts w:ascii="Times New Roman" w:hAnsi="Times New Roman"/>
          <w:sz w:val="24"/>
          <w:szCs w:val="24"/>
        </w:rPr>
        <w:t>,</w:t>
      </w:r>
      <w:r w:rsidRPr="000B64C0">
        <w:rPr>
          <w:rFonts w:ascii="Times New Roman" w:hAnsi="Times New Roman"/>
          <w:sz w:val="24"/>
          <w:szCs w:val="24"/>
        </w:rPr>
        <w:t>”</w:t>
      </w:r>
      <w:r>
        <w:rPr>
          <w:rFonts w:ascii="Times New Roman" w:hAnsi="Times New Roman"/>
          <w:sz w:val="24"/>
          <w:szCs w:val="24"/>
        </w:rPr>
        <w:t xml:space="preserve"> effective March 1, 2023, provides that paid firefighters in cities less than one million population now have right to independent hearing officer before discipline, including termination, can be imposed.  The legislative history of the new law also addresses “presumption of negotiability” before a city may change its disciplinary practices. </w:t>
      </w:r>
    </w:p>
    <w:p w14:paraId="1113E55F" w14:textId="77777777" w:rsidR="00D33F96" w:rsidRPr="00EA61D4" w:rsidRDefault="00D33F96" w:rsidP="00D33F96">
      <w:pPr>
        <w:rPr>
          <w:rFonts w:ascii="Times New Roman" w:hAnsi="Times New Roman"/>
          <w:sz w:val="24"/>
          <w:szCs w:val="24"/>
        </w:rPr>
      </w:pPr>
      <w:r>
        <w:rPr>
          <w:rFonts w:ascii="Times New Roman" w:hAnsi="Times New Roman"/>
          <w:sz w:val="24"/>
          <w:szCs w:val="24"/>
        </w:rPr>
        <w:t>The Court held: “</w:t>
      </w:r>
      <w:r w:rsidRPr="000B64C0">
        <w:rPr>
          <w:rFonts w:ascii="Times New Roman" w:hAnsi="Times New Roman"/>
          <w:sz w:val="24"/>
          <w:szCs w:val="24"/>
        </w:rPr>
        <w:t xml:space="preserve">During the pendency of this appeal, the Legislature enacted the New York State Firefighter Bill of Rights Act (L 2022, ch 674), which amended both the Taylor Law and Civil Service Law § 75, addressing removal of and other disciplinary action against public employees. The Senate Introducer's memorandum in support of the bill recognized that "court decisions have noted that... several statutes contain[ ] provisions favoring the local control of police and fire discipline that would override the Taylor Law presumption of negotiability," and, against that backdrop, the Legislature saw it necessary to "declare it to be the public policy of the State of New York that[,] for firefighters, disciplinary procedures are terms and conditions of employment subject to mandatory negotiation under the Taylor Law" (Senate Introducer's Mem in Support of 2022 NY Senate Bill S8481, enacted as L 2022, ch 674). The act thus amends the </w:t>
      </w:r>
      <w:proofErr w:type="gramStart"/>
      <w:r w:rsidRPr="00EA61D4">
        <w:rPr>
          <w:rFonts w:ascii="Times New Roman" w:hAnsi="Times New Roman"/>
          <w:sz w:val="24"/>
          <w:szCs w:val="24"/>
        </w:rPr>
        <w:t>aforementioned statutes</w:t>
      </w:r>
      <w:proofErr w:type="gramEnd"/>
      <w:r w:rsidRPr="000B64C0">
        <w:rPr>
          <w:rFonts w:ascii="Times New Roman" w:hAnsi="Times New Roman"/>
          <w:sz w:val="24"/>
          <w:szCs w:val="24"/>
        </w:rPr>
        <w:t xml:space="preserve"> accordingly (</w:t>
      </w:r>
      <w:r w:rsidRPr="000B64C0">
        <w:rPr>
          <w:rStyle w:val="Emphasis"/>
          <w:rFonts w:ascii="Times New Roman" w:hAnsi="Times New Roman"/>
          <w:sz w:val="24"/>
          <w:szCs w:val="24"/>
        </w:rPr>
        <w:t>see</w:t>
      </w:r>
      <w:r w:rsidRPr="000B64C0">
        <w:rPr>
          <w:rFonts w:ascii="Times New Roman" w:hAnsi="Times New Roman"/>
          <w:sz w:val="24"/>
          <w:szCs w:val="24"/>
        </w:rPr>
        <w:t xml:space="preserve"> Civil Service Law §§ 75 [2-a]; 201 [4]; 204-a [4]).</w:t>
      </w:r>
      <w:r>
        <w:rPr>
          <w:rFonts w:ascii="Times New Roman" w:hAnsi="Times New Roman"/>
          <w:sz w:val="24"/>
          <w:szCs w:val="24"/>
        </w:rPr>
        <w:t xml:space="preserve">” </w:t>
      </w:r>
      <w:hyperlink r:id="rId2684" w:history="1">
        <w:r w:rsidRPr="00EA61D4">
          <w:rPr>
            <w:rStyle w:val="Hyperlink"/>
            <w:sz w:val="24"/>
            <w:szCs w:val="24"/>
          </w:rPr>
          <w:t>https://law.justia.com/cases/new-york/appellate-division-third-department/2023/535052.html</w:t>
        </w:r>
      </w:hyperlink>
      <w:r w:rsidRPr="00EA61D4">
        <w:rPr>
          <w:rFonts w:ascii="Times New Roman" w:hAnsi="Times New Roman"/>
          <w:sz w:val="24"/>
          <w:szCs w:val="24"/>
        </w:rPr>
        <w:t xml:space="preserve">   </w:t>
      </w:r>
    </w:p>
    <w:p w14:paraId="138FDCDF" w14:textId="77777777" w:rsidR="00D33F96" w:rsidRPr="00FD3278" w:rsidRDefault="00D33F96" w:rsidP="00D33F96">
      <w:pPr>
        <w:rPr>
          <w:rFonts w:ascii="Times New Roman" w:hAnsi="Times New Roman"/>
          <w:b/>
          <w:bCs/>
          <w:sz w:val="24"/>
          <w:szCs w:val="24"/>
        </w:rPr>
      </w:pPr>
      <w:r w:rsidRPr="00FD3278">
        <w:rPr>
          <w:rFonts w:ascii="Times New Roman" w:hAnsi="Times New Roman"/>
          <w:b/>
          <w:bCs/>
          <w:sz w:val="24"/>
          <w:szCs w:val="24"/>
        </w:rPr>
        <w:t xml:space="preserve">Legal Lesson Learned: </w:t>
      </w:r>
      <w:r>
        <w:rPr>
          <w:rFonts w:ascii="Times New Roman" w:hAnsi="Times New Roman"/>
          <w:b/>
          <w:bCs/>
          <w:sz w:val="24"/>
          <w:szCs w:val="24"/>
        </w:rPr>
        <w:t xml:space="preserve">PERS will now decide if Utica Local’s charge is well founded.  </w:t>
      </w:r>
    </w:p>
    <w:p w14:paraId="1119234B" w14:textId="77777777" w:rsidR="00D33F96" w:rsidRDefault="00D33F96" w:rsidP="00D33F96">
      <w:pPr>
        <w:ind w:left="720"/>
        <w:rPr>
          <w:rFonts w:ascii="Times New Roman" w:hAnsi="Times New Roman"/>
          <w:sz w:val="24"/>
          <w:szCs w:val="24"/>
        </w:rPr>
      </w:pPr>
      <w:r>
        <w:rPr>
          <w:rFonts w:ascii="Times New Roman" w:hAnsi="Times New Roman"/>
          <w:sz w:val="24"/>
          <w:szCs w:val="24"/>
        </w:rPr>
        <w:t xml:space="preserve">Note: Several states have enacted a “Firefighter Bill of Rights” such as California, Florida, New Mexico and Illinois, which broadly address procedural rights in discipline, including written notice of charges.  This new NY law only addresses the right to third-party independent hearing officer.  </w:t>
      </w:r>
      <w:hyperlink r:id="rId2685" w:history="1">
        <w:r w:rsidRPr="00104E3B">
          <w:rPr>
            <w:rStyle w:val="Hyperlink"/>
            <w:sz w:val="24"/>
            <w:szCs w:val="24"/>
          </w:rPr>
          <w:t>https://legislation.nysenate.gov/pdf/bills/2021/S8481</w:t>
        </w:r>
      </w:hyperlink>
      <w:r>
        <w:rPr>
          <w:rFonts w:ascii="Times New Roman" w:hAnsi="Times New Roman"/>
          <w:sz w:val="24"/>
          <w:szCs w:val="24"/>
        </w:rPr>
        <w:t xml:space="preserve"> </w:t>
      </w:r>
    </w:p>
    <w:p w14:paraId="0C6BA447" w14:textId="77777777" w:rsidR="00D33F96" w:rsidRPr="00DD572C" w:rsidRDefault="00D33F96" w:rsidP="00D33F96">
      <w:pPr>
        <w:ind w:left="1440"/>
        <w:rPr>
          <w:rFonts w:ascii="Times New Roman" w:eastAsia="Times New Roman" w:hAnsi="Times New Roman"/>
          <w:sz w:val="24"/>
          <w:szCs w:val="24"/>
        </w:rPr>
      </w:pPr>
      <w:r>
        <w:rPr>
          <w:rFonts w:ascii="Times New Roman" w:hAnsi="Times New Roman"/>
          <w:sz w:val="24"/>
          <w:szCs w:val="24"/>
        </w:rPr>
        <w:t>“S</w:t>
      </w:r>
      <w:r w:rsidRPr="00DD572C">
        <w:rPr>
          <w:rFonts w:ascii="Times New Roman" w:eastAsia="Times New Roman" w:hAnsi="Times New Roman"/>
          <w:sz w:val="24"/>
          <w:szCs w:val="24"/>
        </w:rPr>
        <w:t>ection 75 of the civil service law is amended by adding a new</w:t>
      </w:r>
      <w:r>
        <w:rPr>
          <w:rFonts w:ascii="Times New Roman" w:eastAsia="Times New Roman" w:hAnsi="Times New Roman"/>
          <w:sz w:val="24"/>
          <w:szCs w:val="24"/>
        </w:rPr>
        <w:t xml:space="preserve"> </w:t>
      </w:r>
      <w:r w:rsidRPr="00DD572C">
        <w:rPr>
          <w:rFonts w:ascii="Times New Roman" w:eastAsia="Times New Roman" w:hAnsi="Times New Roman"/>
          <w:sz w:val="24"/>
          <w:szCs w:val="24"/>
        </w:rPr>
        <w:t>subdivision 2-a to read as follows:</w:t>
      </w:r>
    </w:p>
    <w:p w14:paraId="1889FBD5" w14:textId="77777777" w:rsidR="00D33F96" w:rsidRPr="00DD572C" w:rsidRDefault="00D33F96" w:rsidP="00D33F96">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DD572C">
        <w:rPr>
          <w:rFonts w:ascii="Times New Roman" w:eastAsia="Times New Roman" w:hAnsi="Times New Roman"/>
          <w:sz w:val="24"/>
          <w:szCs w:val="24"/>
        </w:rPr>
        <w:t>2-a.</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I</w:t>
      </w:r>
      <w:r w:rsidRPr="00DD572C">
        <w:rPr>
          <w:rFonts w:ascii="Times New Roman" w:eastAsia="Times New Roman" w:hAnsi="Times New Roman"/>
          <w:sz w:val="24"/>
          <w:szCs w:val="24"/>
        </w:rPr>
        <w:t>ndependent</w:t>
      </w:r>
      <w:proofErr w:type="gramEnd"/>
      <w:r w:rsidRPr="00DD572C">
        <w:rPr>
          <w:rFonts w:ascii="Times New Roman" w:eastAsia="Times New Roman" w:hAnsi="Times New Roman"/>
          <w:sz w:val="24"/>
          <w:szCs w:val="24"/>
        </w:rPr>
        <w:t xml:space="preserve"> hearing officer. (a) Notwithstanding any other</w:t>
      </w:r>
      <w:r>
        <w:rPr>
          <w:rFonts w:ascii="Times New Roman" w:eastAsia="Times New Roman" w:hAnsi="Times New Roman"/>
          <w:sz w:val="24"/>
          <w:szCs w:val="24"/>
        </w:rPr>
        <w:t xml:space="preserve"> </w:t>
      </w:r>
      <w:r w:rsidRPr="00DD572C">
        <w:rPr>
          <w:rFonts w:ascii="Times New Roman" w:eastAsia="Times New Roman" w:hAnsi="Times New Roman"/>
          <w:sz w:val="24"/>
          <w:szCs w:val="24"/>
        </w:rPr>
        <w:t>provision of law to the contrary, including but not limited to subdivision four of section seventy-six of this title, any paid officer or</w:t>
      </w:r>
      <w:r>
        <w:rPr>
          <w:rFonts w:ascii="Times New Roman" w:eastAsia="Times New Roman" w:hAnsi="Times New Roman"/>
          <w:sz w:val="24"/>
          <w:szCs w:val="24"/>
        </w:rPr>
        <w:t xml:space="preserve"> </w:t>
      </w:r>
      <w:r w:rsidRPr="00DD572C">
        <w:rPr>
          <w:rFonts w:ascii="Times New Roman" w:eastAsia="Times New Roman" w:hAnsi="Times New Roman"/>
          <w:sz w:val="24"/>
          <w:szCs w:val="24"/>
        </w:rPr>
        <w:t>member of an organized fire company or fire department of a city of less</w:t>
      </w:r>
      <w:r>
        <w:rPr>
          <w:rFonts w:ascii="Times New Roman" w:eastAsia="Times New Roman" w:hAnsi="Times New Roman"/>
          <w:sz w:val="24"/>
          <w:szCs w:val="24"/>
        </w:rPr>
        <w:t xml:space="preserve"> </w:t>
      </w:r>
      <w:r w:rsidRPr="00DD572C">
        <w:rPr>
          <w:rFonts w:ascii="Times New Roman" w:eastAsia="Times New Roman" w:hAnsi="Times New Roman"/>
          <w:sz w:val="24"/>
          <w:szCs w:val="24"/>
        </w:rPr>
        <w:t>than one million population, or town, village or fire district who is</w:t>
      </w:r>
      <w:r>
        <w:rPr>
          <w:rFonts w:ascii="Times New Roman" w:eastAsia="Times New Roman" w:hAnsi="Times New Roman"/>
          <w:sz w:val="24"/>
          <w:szCs w:val="24"/>
        </w:rPr>
        <w:t xml:space="preserve"> </w:t>
      </w:r>
      <w:r w:rsidRPr="00DD572C">
        <w:rPr>
          <w:rFonts w:ascii="Times New Roman" w:eastAsia="Times New Roman" w:hAnsi="Times New Roman"/>
          <w:sz w:val="24"/>
          <w:szCs w:val="24"/>
        </w:rPr>
        <w:t>represented by a certified or recognized employee organization pursuant</w:t>
      </w:r>
      <w:r>
        <w:rPr>
          <w:rFonts w:ascii="Times New Roman" w:eastAsia="Times New Roman" w:hAnsi="Times New Roman"/>
          <w:sz w:val="24"/>
          <w:szCs w:val="24"/>
        </w:rPr>
        <w:t xml:space="preserve"> </w:t>
      </w:r>
      <w:r w:rsidRPr="00DD572C">
        <w:rPr>
          <w:rFonts w:ascii="Times New Roman" w:eastAsia="Times New Roman" w:hAnsi="Times New Roman"/>
          <w:sz w:val="24"/>
          <w:szCs w:val="24"/>
        </w:rPr>
        <w:t>to article fourteen of this chapter shall not be subjected to the pena</w:t>
      </w:r>
      <w:r>
        <w:rPr>
          <w:rFonts w:ascii="Times New Roman" w:eastAsia="Times New Roman" w:hAnsi="Times New Roman"/>
          <w:sz w:val="24"/>
          <w:szCs w:val="24"/>
        </w:rPr>
        <w:t>l</w:t>
      </w:r>
      <w:r w:rsidRPr="00DD572C">
        <w:rPr>
          <w:rFonts w:ascii="Times New Roman" w:eastAsia="Times New Roman" w:hAnsi="Times New Roman"/>
          <w:sz w:val="24"/>
          <w:szCs w:val="24"/>
        </w:rPr>
        <w:t>ty of dismissal from service or any other discipline if the hearing,</w:t>
      </w:r>
      <w:r>
        <w:rPr>
          <w:rFonts w:ascii="Times New Roman" w:eastAsia="Times New Roman" w:hAnsi="Times New Roman"/>
          <w:sz w:val="24"/>
          <w:szCs w:val="24"/>
        </w:rPr>
        <w:t xml:space="preserve"> </w:t>
      </w:r>
      <w:r w:rsidRPr="00DD572C">
        <w:rPr>
          <w:rFonts w:ascii="Times New Roman" w:eastAsia="Times New Roman" w:hAnsi="Times New Roman"/>
          <w:sz w:val="24"/>
          <w:szCs w:val="24"/>
        </w:rPr>
        <w:t>upon such charge, has been conducted by someone other than an</w:t>
      </w:r>
      <w:r>
        <w:rPr>
          <w:rFonts w:ascii="Times New Roman" w:eastAsia="Times New Roman" w:hAnsi="Times New Roman"/>
          <w:sz w:val="24"/>
          <w:szCs w:val="24"/>
        </w:rPr>
        <w:t xml:space="preserve"> </w:t>
      </w:r>
      <w:r w:rsidRPr="00DD572C">
        <w:rPr>
          <w:rFonts w:ascii="Times New Roman" w:eastAsia="Times New Roman" w:hAnsi="Times New Roman"/>
          <w:sz w:val="24"/>
          <w:szCs w:val="24"/>
        </w:rPr>
        <w:t>independent hearing officer to be agreed to by the employer and the person</w:t>
      </w:r>
      <w:r>
        <w:rPr>
          <w:rFonts w:ascii="Times New Roman" w:eastAsia="Times New Roman" w:hAnsi="Times New Roman"/>
          <w:sz w:val="24"/>
          <w:szCs w:val="24"/>
        </w:rPr>
        <w:t xml:space="preserve"> </w:t>
      </w:r>
      <w:r w:rsidRPr="00DD572C">
        <w:rPr>
          <w:rFonts w:ascii="Times New Roman" w:eastAsia="Times New Roman" w:hAnsi="Times New Roman"/>
          <w:sz w:val="24"/>
          <w:szCs w:val="24"/>
        </w:rPr>
        <w:t>against whom disciplinary action is proposed.</w:t>
      </w:r>
      <w:r>
        <w:rPr>
          <w:rFonts w:ascii="Times New Roman" w:eastAsia="Times New Roman" w:hAnsi="Times New Roman"/>
          <w:sz w:val="24"/>
          <w:szCs w:val="24"/>
        </w:rPr>
        <w:t xml:space="preserve">” </w:t>
      </w:r>
    </w:p>
    <w:p w14:paraId="008ECB29" w14:textId="77777777" w:rsidR="00D33F96" w:rsidRDefault="00D33F96" w:rsidP="00D33F96">
      <w:pPr>
        <w:rPr>
          <w:rFonts w:ascii="Arial Black" w:hAnsi="Arial Black"/>
          <w:sz w:val="28"/>
          <w:szCs w:val="28"/>
        </w:rPr>
      </w:pPr>
    </w:p>
    <w:p w14:paraId="492F6261" w14:textId="3122BF31" w:rsidR="00D33F96" w:rsidRDefault="00D33F96" w:rsidP="00F326E5">
      <w:pPr>
        <w:pStyle w:val="NoSpacing"/>
        <w:rPr>
          <w:rFonts w:ascii="Arial Black" w:hAnsi="Arial Black"/>
          <w:sz w:val="24"/>
          <w:szCs w:val="24"/>
        </w:rPr>
      </w:pPr>
      <w:r>
        <w:rPr>
          <w:rFonts w:ascii="Arial Black" w:hAnsi="Arial Black"/>
          <w:sz w:val="24"/>
          <w:szCs w:val="24"/>
        </w:rPr>
        <w:lastRenderedPageBreak/>
        <w:t>16-88</w:t>
      </w:r>
    </w:p>
    <w:p w14:paraId="29D32E5E" w14:textId="77777777" w:rsidR="00D33F96" w:rsidRDefault="00D33F96" w:rsidP="00F326E5">
      <w:pPr>
        <w:pStyle w:val="NoSpacing"/>
        <w:rPr>
          <w:rFonts w:ascii="Arial Black" w:hAnsi="Arial Black"/>
          <w:sz w:val="24"/>
          <w:szCs w:val="24"/>
        </w:rPr>
      </w:pPr>
    </w:p>
    <w:p w14:paraId="5C591DED" w14:textId="77777777" w:rsidR="00D33F96" w:rsidRPr="00687D28" w:rsidRDefault="00D33F96" w:rsidP="00D33F96">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IL: ANGRY LT. PUSHED FEMALE LT. WALL 3 TIMES – SUSP. 24 HRS - NO PROOF FD CONDONED THIS CONDUCT</w:t>
      </w:r>
    </w:p>
    <w:p w14:paraId="61DDFFA9" w14:textId="77777777" w:rsidR="00D33F96" w:rsidRDefault="00D33F96" w:rsidP="00D33F96">
      <w:pPr>
        <w:pStyle w:val="NormalWeb"/>
      </w:pPr>
      <w:r>
        <w:t xml:space="preserve">On June 15, 2023, in </w:t>
      </w:r>
      <w:r w:rsidRPr="0096290C">
        <w:rPr>
          <w:u w:val="single"/>
        </w:rPr>
        <w:t>Michelle Giese v. City of Kankakee, Damon Schuldt and Nathan Boyce</w:t>
      </w:r>
      <w:r>
        <w:t>, the U.S. Court of Appeals for 7</w:t>
      </w:r>
      <w:r w:rsidRPr="0096290C">
        <w:rPr>
          <w:vertAlign w:val="superscript"/>
        </w:rPr>
        <w:t>th</w:t>
      </w:r>
      <w:r>
        <w:t xml:space="preserve"> Circuit (Chicago) held (3 to 0) that U.S. District Court had properly granted summary judgment to all defendants, and there was no proof FD condoning aggressive conduct or a “code of silence.” </w:t>
      </w:r>
    </w:p>
    <w:p w14:paraId="1CA5EC2F" w14:textId="77777777" w:rsidR="00D33F96" w:rsidRPr="0096290C" w:rsidRDefault="00D33F96" w:rsidP="00D33F96">
      <w:pPr>
        <w:pStyle w:val="NormalWeb"/>
      </w:pPr>
      <w:r>
        <w:t>The Court held: “</w:t>
      </w:r>
      <w:r w:rsidRPr="0096290C">
        <w:t>We are sympathetic to Giese, who continues to suffer mental and physical injuries from an attack that should never have occurred. But Giese's remedy, if any, is not in federal court.</w:t>
      </w:r>
      <w:r>
        <w:t xml:space="preserve"> *** </w:t>
      </w:r>
      <w:r w:rsidRPr="0096290C">
        <w:t xml:space="preserve">On the merits, Giese's claim fails because none of her evidence, separately or taken together, creates a genuine dispute regarding whether the defendants had </w:t>
      </w:r>
      <w:proofErr w:type="gramStart"/>
      <w:r w:rsidRPr="0096290C">
        <w:t>a practice</w:t>
      </w:r>
      <w:proofErr w:type="gramEnd"/>
      <w:r w:rsidRPr="0096290C">
        <w:t xml:space="preserve"> of condoning aggressive behavior, resulting in a constitutional injury. Although we have previously recognized that a defendant's </w:t>
      </w:r>
      <w:r>
        <w:t>‘</w:t>
      </w:r>
      <w:r w:rsidRPr="0096290C">
        <w:t>code of silence</w:t>
      </w:r>
      <w:r>
        <w:t>’</w:t>
      </w:r>
      <w:r w:rsidRPr="0096290C">
        <w:t xml:space="preserve"> can give rise to a valid </w:t>
      </w:r>
      <w:r w:rsidRPr="0096290C">
        <w:rPr>
          <w:i/>
          <w:iCs/>
        </w:rPr>
        <w:t>Monell</w:t>
      </w:r>
      <w:r w:rsidRPr="0096290C">
        <w:t xml:space="preserve"> claim, such a claim requires more than evidence of </w:t>
      </w:r>
      <w:r>
        <w:t>‘</w:t>
      </w:r>
      <w:r w:rsidRPr="0096290C">
        <w:t>individual misconduct by ... officers</w:t>
      </w:r>
      <w:r>
        <w:t>’</w:t>
      </w:r>
      <w:r w:rsidRPr="0096290C">
        <w:t xml:space="preserve">; it requires </w:t>
      </w:r>
      <w:r>
        <w:t>‘</w:t>
      </w:r>
      <w:r w:rsidRPr="0096290C">
        <w:t xml:space="preserve">a </w:t>
      </w:r>
      <w:r w:rsidRPr="0096290C">
        <w:rPr>
          <w:i/>
          <w:iCs/>
        </w:rPr>
        <w:t>widespread practice</w:t>
      </w:r>
      <w:r w:rsidRPr="0096290C">
        <w:t xml:space="preserve"> that permeates a critical mass of an institutional body.</w:t>
      </w:r>
      <w:r>
        <w:t>’</w:t>
      </w:r>
      <w:r w:rsidRPr="0096290C">
        <w:t xml:space="preserve"> </w:t>
      </w:r>
      <w:r w:rsidRPr="0096290C">
        <w:rPr>
          <w:i/>
          <w:iCs/>
        </w:rPr>
        <w:t>Rossi v. City of Chicago,</w:t>
      </w:r>
      <w:r w:rsidRPr="0096290C">
        <w:t xml:space="preserve"> 790 F.3d 729, 737 (7th Cir. 2015); </w:t>
      </w:r>
      <w:r w:rsidRPr="0096290C">
        <w:rPr>
          <w:i/>
          <w:iCs/>
        </w:rPr>
        <w:t>see also Sledd v. Lindsay</w:t>
      </w:r>
      <w:r w:rsidRPr="0096290C">
        <w:t>, 102 F.3d 282, 289 (7th Cir. 1996).</w:t>
      </w:r>
      <w:r>
        <w:t xml:space="preserve">” </w:t>
      </w:r>
      <w:hyperlink r:id="rId2686" w:history="1">
        <w:r w:rsidRPr="00812663">
          <w:rPr>
            <w:rStyle w:val="Hyperlink"/>
          </w:rPr>
          <w:t>https://caselaw.findlaw.com/court/us-7th-circuit/2204869.html</w:t>
        </w:r>
      </w:hyperlink>
      <w:r>
        <w:t xml:space="preserve"> </w:t>
      </w:r>
    </w:p>
    <w:p w14:paraId="0E0A2BA2" w14:textId="77777777" w:rsidR="00D33F96" w:rsidRPr="007B4180" w:rsidRDefault="00D33F96" w:rsidP="00D33F96">
      <w:pPr>
        <w:spacing w:before="100" w:beforeAutospacing="1" w:after="100" w:afterAutospacing="1" w:line="240" w:lineRule="auto"/>
        <w:rPr>
          <w:rFonts w:ascii="Times New Roman" w:eastAsia="Times New Roman" w:hAnsi="Times New Roman"/>
          <w:b/>
          <w:bCs/>
          <w:sz w:val="24"/>
          <w:szCs w:val="24"/>
        </w:rPr>
      </w:pPr>
      <w:r w:rsidRPr="007B4180">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Plaintiff did not have evidence to prove alleged violent workplace or “code of silence.”</w:t>
      </w:r>
    </w:p>
    <w:p w14:paraId="042F589D" w14:textId="77777777" w:rsidR="00D33F96" w:rsidRDefault="00D33F96" w:rsidP="00F326E5">
      <w:pPr>
        <w:pStyle w:val="NoSpacing"/>
        <w:rPr>
          <w:rFonts w:ascii="Arial Black" w:hAnsi="Arial Black"/>
          <w:sz w:val="24"/>
          <w:szCs w:val="24"/>
        </w:rPr>
      </w:pPr>
    </w:p>
    <w:p w14:paraId="7B0F7E38" w14:textId="77777777" w:rsidR="00D33F96" w:rsidRDefault="00D33F96" w:rsidP="00F326E5">
      <w:pPr>
        <w:pStyle w:val="NoSpacing"/>
        <w:rPr>
          <w:rFonts w:ascii="Arial Black" w:hAnsi="Arial Black"/>
          <w:sz w:val="24"/>
          <w:szCs w:val="24"/>
        </w:rPr>
      </w:pPr>
    </w:p>
    <w:p w14:paraId="307BE832" w14:textId="77777777" w:rsidR="00D33F96" w:rsidRDefault="00D33F96" w:rsidP="00F326E5">
      <w:pPr>
        <w:pStyle w:val="NoSpacing"/>
        <w:rPr>
          <w:rFonts w:ascii="Arial Black" w:hAnsi="Arial Black"/>
          <w:sz w:val="24"/>
          <w:szCs w:val="24"/>
        </w:rPr>
      </w:pPr>
    </w:p>
    <w:p w14:paraId="4EBBDE3F" w14:textId="1C6A2E38" w:rsidR="00C032D6" w:rsidRDefault="00C032D6" w:rsidP="00F326E5">
      <w:pPr>
        <w:pStyle w:val="NoSpacing"/>
        <w:rPr>
          <w:rFonts w:ascii="Arial Black" w:hAnsi="Arial Black"/>
          <w:sz w:val="24"/>
          <w:szCs w:val="24"/>
        </w:rPr>
      </w:pPr>
      <w:r>
        <w:rPr>
          <w:rFonts w:ascii="Arial Black" w:hAnsi="Arial Black"/>
          <w:sz w:val="24"/>
          <w:szCs w:val="24"/>
        </w:rPr>
        <w:t>16-87</w:t>
      </w:r>
    </w:p>
    <w:p w14:paraId="4B41C1C2" w14:textId="77777777" w:rsidR="00C032D6" w:rsidRDefault="00C032D6" w:rsidP="00C032D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U.S. SUP. CT: FACEBOOK CYBERSTALKING POSTS TO FEMALE SINGER – PROS. PROVE DEF. INTENDED THREAT</w:t>
      </w:r>
    </w:p>
    <w:p w14:paraId="34B31C0C" w14:textId="77777777" w:rsidR="00C032D6" w:rsidRDefault="00C032D6" w:rsidP="00C032D6">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June 27, 2023, in </w:t>
      </w:r>
      <w:r>
        <w:rPr>
          <w:rFonts w:ascii="Times New Roman" w:eastAsia="Times New Roman" w:hAnsi="Times New Roman"/>
          <w:sz w:val="24"/>
          <w:szCs w:val="24"/>
          <w:u w:val="single"/>
        </w:rPr>
        <w:t>Counterman v. Colorado</w:t>
      </w:r>
      <w:r>
        <w:rPr>
          <w:rFonts w:ascii="Times New Roman" w:eastAsia="Times New Roman" w:hAnsi="Times New Roman"/>
          <w:sz w:val="24"/>
          <w:szCs w:val="24"/>
        </w:rPr>
        <w:t>, the U.S. Supreme Court held (7 to 2) in an opinion by Justice Elena Kagan, that Billy Cunningham, who was convicted by a jury under state stalking statute, and sentenced to 4 ½ years in prison, after sending hundreds of Facebook posts to a local singer / musician. Several of his posts expressed anger at C. W. and envisaged harm befalling her: “Fuck off permanently….” “Staying in cyber life is going to kill you….” “You’re not being good for human relations. Die.”  The Court reversed the conviction since state prosecutors did not introduce any evidence, other than his Facebook posts, of his intentions to harm the singer.  If state decides to try him again, they must include proof that the “defendant had some understanding of his statements’ threatening character.”</w:t>
      </w:r>
      <w:r>
        <w:t xml:space="preserve"> </w:t>
      </w:r>
      <w:hyperlink r:id="rId2687" w:history="1">
        <w:r>
          <w:rPr>
            <w:rStyle w:val="Hyperlink"/>
            <w:sz w:val="24"/>
            <w:szCs w:val="24"/>
          </w:rPr>
          <w:t>https://www.supremecourt.gov/opinions/22pdf/22-138_43j7.pdf</w:t>
        </w:r>
      </w:hyperlink>
      <w:r>
        <w:rPr>
          <w:rFonts w:ascii="Times New Roman" w:eastAsia="Times New Roman" w:hAnsi="Times New Roman"/>
          <w:sz w:val="24"/>
          <w:szCs w:val="24"/>
        </w:rPr>
        <w:t xml:space="preserve"> </w:t>
      </w:r>
    </w:p>
    <w:p w14:paraId="73927333" w14:textId="77777777" w:rsidR="00C032D6" w:rsidRDefault="00C032D6" w:rsidP="00C032D6">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Legal Lesson Learned: Fire &amp; EMS Departments should review employee handbooks and confirm there is a section on threatening conduct, including online posts.</w:t>
      </w:r>
    </w:p>
    <w:p w14:paraId="545A6582" w14:textId="77777777" w:rsidR="00C032D6" w:rsidRDefault="00C032D6" w:rsidP="00C032D6">
      <w:pPr>
        <w:spacing w:before="100" w:beforeAutospacing="1" w:after="100" w:afterAutospacing="1" w:line="240" w:lineRule="auto"/>
        <w:ind w:left="720"/>
        <w:rPr>
          <w:rFonts w:ascii="Times New Roman" w:hAnsi="Times New Roman"/>
          <w:kern w:val="2"/>
          <w:sz w:val="24"/>
          <w:szCs w:val="24"/>
          <w14:ligatures w14:val="standardContextual"/>
        </w:rPr>
      </w:pPr>
      <w:r>
        <w:rPr>
          <w:rFonts w:ascii="Times New Roman" w:eastAsia="Times New Roman" w:hAnsi="Times New Roman"/>
          <w:sz w:val="24"/>
          <w:szCs w:val="24"/>
        </w:rPr>
        <w:t xml:space="preserve">Note: See photo of this stalker, and the victim: </w:t>
      </w:r>
      <w:hyperlink r:id="rId2688" w:history="1">
        <w:r>
          <w:rPr>
            <w:rStyle w:val="Hyperlink"/>
            <w:sz w:val="24"/>
            <w:szCs w:val="24"/>
          </w:rPr>
          <w:t>https://www.dailymail.co.uk/news/article-12240293/Man-accused-stalking-local-Colorado-musician-stalking-conviction-tossed-Supreme-Court.html</w:t>
        </w:r>
      </w:hyperlink>
      <w:r>
        <w:rPr>
          <w:rFonts w:ascii="Times New Roman" w:eastAsia="Times New Roman" w:hAnsi="Times New Roman"/>
          <w:sz w:val="24"/>
          <w:szCs w:val="24"/>
        </w:rPr>
        <w:t xml:space="preserve">. </w:t>
      </w:r>
      <w:r>
        <w:rPr>
          <w:rFonts w:ascii="Times New Roman" w:hAnsi="Times New Roman"/>
          <w:sz w:val="24"/>
          <w:szCs w:val="24"/>
        </w:rPr>
        <w:t>“Counterman had a history of making violent threats to women and was on supervised release from one such federal conviction during the two years he continuously messaged Whalen.”</w:t>
      </w:r>
    </w:p>
    <w:p w14:paraId="2AF52157" w14:textId="77777777" w:rsidR="00C032D6" w:rsidRDefault="00C032D6" w:rsidP="00C032D6">
      <w:pPr>
        <w:spacing w:before="100" w:beforeAutospacing="1" w:after="100" w:afterAutospacing="1" w:line="240" w:lineRule="auto"/>
        <w:ind w:left="720"/>
        <w:rPr>
          <w:rFonts w:ascii="Times New Roman" w:eastAsia="Times New Roman" w:hAnsi="Times New Roman"/>
          <w:sz w:val="24"/>
          <w:szCs w:val="24"/>
        </w:rPr>
      </w:pPr>
      <w:r>
        <w:rPr>
          <w:rFonts w:ascii="Times New Roman" w:hAnsi="Times New Roman"/>
          <w:sz w:val="24"/>
          <w:szCs w:val="24"/>
        </w:rPr>
        <w:lastRenderedPageBreak/>
        <w:t xml:space="preserve">On June 30, 2023, the U.S. Supreme Court has decided another First Amendment case: </w:t>
      </w:r>
      <w:r>
        <w:rPr>
          <w:rFonts w:ascii="Times New Roman" w:hAnsi="Times New Roman"/>
          <w:sz w:val="24"/>
          <w:szCs w:val="24"/>
          <w:u w:val="single"/>
        </w:rPr>
        <w:t>303 Creative LLC et al. v. Elenis, et al</w:t>
      </w:r>
      <w:r>
        <w:rPr>
          <w:rFonts w:ascii="Times New Roman" w:hAnsi="Times New Roman"/>
          <w:sz w:val="24"/>
          <w:szCs w:val="24"/>
        </w:rPr>
        <w:t>., holding (6 to 3) that Colorado Anti-Discrimination Act (CADA) cannot require wedding website owner to design websites for gay couples.  “</w:t>
      </w:r>
      <w:r>
        <w:rPr>
          <w:rFonts w:ascii="Times New Roman" w:eastAsia="Times New Roman" w:hAnsi="Times New Roman"/>
          <w:sz w:val="24"/>
          <w:szCs w:val="24"/>
        </w:rPr>
        <w:t xml:space="preserve">Specifically, she worries that, if she enters the wedding website business, the State will force her to convey messages inconsistent with her belief that marriage should be reserved to unions between one man and one woman. *** The First Amendment envisions the United States as a rich and complex place where all persons are free to think and speak as they wish, not as the government demands. Because Colorado seeks to deny that promise, the judgment is Reversed.” </w:t>
      </w:r>
      <w:hyperlink r:id="rId2689" w:history="1">
        <w:r>
          <w:rPr>
            <w:rStyle w:val="Hyperlink"/>
            <w:sz w:val="24"/>
            <w:szCs w:val="24"/>
          </w:rPr>
          <w:t>https://www.supremecourt.gov/opinions/22pdf/21-476_c185.pdf</w:t>
        </w:r>
      </w:hyperlink>
      <w:r>
        <w:rPr>
          <w:rFonts w:ascii="Times New Roman" w:eastAsia="Times New Roman" w:hAnsi="Times New Roman"/>
          <w:sz w:val="24"/>
          <w:szCs w:val="24"/>
        </w:rPr>
        <w:t xml:space="preserve"> </w:t>
      </w:r>
    </w:p>
    <w:p w14:paraId="190CDCC7" w14:textId="77777777" w:rsidR="00C032D6" w:rsidRDefault="00C032D6" w:rsidP="00C032D6">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Online threatening conduct can take many forms.  On June 30, 2023, a former Deputy U.S. Marshal was sentenced to 10 years in prison for cyberstalking, perjury and obstruction. </w:t>
      </w:r>
      <w:hyperlink r:id="rId2690" w:history="1">
        <w:r>
          <w:rPr>
            <w:rStyle w:val="Hyperlink"/>
            <w:sz w:val="24"/>
            <w:szCs w:val="24"/>
          </w:rPr>
          <w:t>https://www.justice.gov/opa/pr/former-deputy-us-marshal-sentenced-cyberstalking-perjury-and-obstruction</w:t>
        </w:r>
      </w:hyperlink>
      <w:r>
        <w:rPr>
          <w:rFonts w:ascii="Times New Roman" w:eastAsia="Times New Roman" w:hAnsi="Times New Roman"/>
          <w:sz w:val="24"/>
          <w:szCs w:val="24"/>
        </w:rPr>
        <w:t xml:space="preserve"> </w:t>
      </w:r>
    </w:p>
    <w:p w14:paraId="1D7E6D6D" w14:textId="77777777" w:rsidR="00C032D6" w:rsidRDefault="00C032D6" w:rsidP="00C032D6">
      <w:pPr>
        <w:spacing w:before="100" w:beforeAutospacing="1" w:after="100" w:afterAutospacing="1" w:line="240" w:lineRule="auto"/>
        <w:ind w:left="1440"/>
        <w:rPr>
          <w:rFonts w:ascii="Times New Roman" w:hAnsi="Times New Roman"/>
          <w:kern w:val="2"/>
          <w:sz w:val="24"/>
          <w:szCs w:val="24"/>
          <w14:ligatures w14:val="standardContextual"/>
        </w:rPr>
      </w:pPr>
      <w:r>
        <w:rPr>
          <w:rFonts w:ascii="Times New Roman" w:hAnsi="Times New Roman"/>
          <w:sz w:val="24"/>
          <w:szCs w:val="24"/>
        </w:rPr>
        <w:t xml:space="preserve">“According to court documents and evidence presented at trial, Ian R. Diaz, 45, of Glendora, California, and his then-wife, an unindicted co-conspirator (CC-1), posed as a person with whom Diaz was formerly in a relationship (Jane Doe). In that guise, they sent themselves harassing and threatening electronic communications that contained apparent threats to harm CC-1; solicited and lured men found through Craigslist ‘personal’ advertisements to engage in so-called ‘rape fantasies’ in an attempt to stage a purported sexual assault on CC-1 orchestrated by Jane Doe; and staged one or more hoax sexual assaults and attempted sexual assaults on CC-1. Diaz and CC-1 then reported this conduct to local law enforcement, falsely claiming that Jane Doe posed a genuine and serious threat to Diaz and CC-1. Their actions caused local law enforcement to arrest, charge, and detain Jane Doe in jail for nearly three months for conduct for which Diaz and CC-1 framed </w:t>
      </w:r>
      <w:proofErr w:type="gramStart"/>
      <w:r>
        <w:rPr>
          <w:rFonts w:ascii="Times New Roman" w:hAnsi="Times New Roman"/>
          <w:sz w:val="24"/>
          <w:szCs w:val="24"/>
        </w:rPr>
        <w:t>her.”</w:t>
      </w:r>
      <w:proofErr w:type="gramEnd"/>
    </w:p>
    <w:p w14:paraId="2533B209" w14:textId="77777777" w:rsidR="00C032D6" w:rsidRDefault="00C032D6" w:rsidP="00F326E5">
      <w:pPr>
        <w:pStyle w:val="NoSpacing"/>
        <w:rPr>
          <w:rFonts w:ascii="Arial Black" w:hAnsi="Arial Black"/>
          <w:sz w:val="24"/>
          <w:szCs w:val="24"/>
        </w:rPr>
      </w:pPr>
    </w:p>
    <w:p w14:paraId="65A53843" w14:textId="77777777" w:rsidR="00C032D6" w:rsidRDefault="00C032D6" w:rsidP="00F326E5">
      <w:pPr>
        <w:pStyle w:val="NoSpacing"/>
        <w:rPr>
          <w:rFonts w:ascii="Arial Black" w:hAnsi="Arial Black"/>
          <w:sz w:val="24"/>
          <w:szCs w:val="24"/>
        </w:rPr>
      </w:pPr>
    </w:p>
    <w:p w14:paraId="69EE7B23" w14:textId="77777777" w:rsidR="00C032D6" w:rsidRDefault="00C032D6" w:rsidP="00F326E5">
      <w:pPr>
        <w:pStyle w:val="NoSpacing"/>
        <w:rPr>
          <w:rFonts w:ascii="Arial Black" w:hAnsi="Arial Black"/>
          <w:sz w:val="24"/>
          <w:szCs w:val="24"/>
        </w:rPr>
      </w:pPr>
    </w:p>
    <w:p w14:paraId="46092BEC" w14:textId="0E6C4061" w:rsidR="00A01262" w:rsidRDefault="00A01262" w:rsidP="00F326E5">
      <w:pPr>
        <w:pStyle w:val="NoSpacing"/>
        <w:rPr>
          <w:rFonts w:ascii="Arial Black" w:hAnsi="Arial Black"/>
          <w:sz w:val="24"/>
          <w:szCs w:val="24"/>
        </w:rPr>
      </w:pPr>
      <w:r>
        <w:rPr>
          <w:rFonts w:ascii="Arial Black" w:hAnsi="Arial Black"/>
          <w:sz w:val="24"/>
          <w:szCs w:val="24"/>
        </w:rPr>
        <w:t>16-86</w:t>
      </w:r>
    </w:p>
    <w:p w14:paraId="0B6CEF60" w14:textId="77777777" w:rsidR="00A01262" w:rsidRDefault="00A01262" w:rsidP="00F326E5">
      <w:pPr>
        <w:pStyle w:val="NoSpacing"/>
        <w:rPr>
          <w:rFonts w:ascii="Arial Black" w:hAnsi="Arial Black"/>
          <w:sz w:val="24"/>
          <w:szCs w:val="24"/>
        </w:rPr>
      </w:pPr>
    </w:p>
    <w:p w14:paraId="2E3F3D83" w14:textId="77777777" w:rsidR="00A01262" w:rsidRDefault="00A01262" w:rsidP="00A01262">
      <w:pPr>
        <w:pStyle w:val="NormalWeb"/>
        <w:rPr>
          <w:b/>
          <w:bCs/>
        </w:rPr>
      </w:pPr>
      <w:bookmarkStart w:id="592" w:name="_Hlk136860992"/>
      <w:r>
        <w:rPr>
          <w:rFonts w:ascii="Arial Black" w:hAnsi="Arial Black"/>
          <w:b/>
          <w:bCs/>
          <w:sz w:val="28"/>
          <w:szCs w:val="28"/>
        </w:rPr>
        <w:t>TX: HOUSTON ROCKETS PLAYER DROVE HIGH-WATER VEHICLE / SIREN – D/C SUSP. 3 DAYS NOT REPORTING</w:t>
      </w:r>
    </w:p>
    <w:bookmarkEnd w:id="592"/>
    <w:p w14:paraId="4B2783AF" w14:textId="77777777" w:rsidR="00A01262" w:rsidRDefault="00A01262" w:rsidP="00A01262">
      <w:pPr>
        <w:pStyle w:val="NormalWeb"/>
      </w:pPr>
      <w:r w:rsidRPr="00DB6B29">
        <w:t xml:space="preserve">On May 23, 2023, in </w:t>
      </w:r>
      <w:r w:rsidRPr="00DB6B29">
        <w:rPr>
          <w:u w:val="single"/>
        </w:rPr>
        <w:t>City of Houston v. Steven M. Dunbar</w:t>
      </w:r>
      <w:r>
        <w:t xml:space="preserve">, the Court of Appeals of Texas, Fourteenth District, held (3 to 1) that the 3-day suspension without pay for not submitting formal report of the incident was properly upheld by Civil Service Commission. The Court of Appeals reversed a District Court judge who had held a “trial de novo” and overturned the suspension.  </w:t>
      </w:r>
      <w:hyperlink r:id="rId2691" w:history="1">
        <w:r w:rsidRPr="009A7773">
          <w:rPr>
            <w:rStyle w:val="Hyperlink"/>
            <w:rFonts w:eastAsiaTheme="majorEastAsia"/>
          </w:rPr>
          <w:t>https://public.fastcase.com/ZZhmr5v9wN%2FXOe5IsQ%2FqD%2FO0LT6Pz0KJcARt671qvqgQi3DbocRDtQ4betl84jRGTGzfHSJMEalmGTdX9780fy05zDa4clbi%2BS%2BLkJBZYf4%3D?utm_medium=email&amp;_hsmi=226712652&amp;_hsenc=p2ANqtz-9l-n7ipvtzcORFmZd03PYol8SHQvcVi0Z6evQ7ScfpqYiZ21zByukFjNZtNWzEIrK0lXEwA0RlErFoyPgnUEJbLhoGpw&amp;utm_content=226712652&amp;utm_source=hs_email</w:t>
        </w:r>
      </w:hyperlink>
      <w:r>
        <w:t xml:space="preserve"> </w:t>
      </w:r>
    </w:p>
    <w:p w14:paraId="45F3BA26" w14:textId="77777777" w:rsidR="00A01262" w:rsidRDefault="00A01262" w:rsidP="00A01262">
      <w:pPr>
        <w:pStyle w:val="NormalWeb"/>
        <w:ind w:left="720"/>
      </w:pPr>
      <w:r>
        <w:t xml:space="preserve">“Dunbar nonetheless argues he had no duty to report the conduct he witnessed. Dunbar first argues that he did not have enough information to report any violation ‘by well-sustained charges,’ as prescribed by section 6.06. The evidence, however, shows that Dunbar witnessed a Houston Rockets player driving a high-water vehicle despite his knowledge that such vehicles could only be driven by HFD members with </w:t>
      </w:r>
      <w:r>
        <w:lastRenderedPageBreak/>
        <w:t xml:space="preserve">specific credentials, which would appear to be substantial evidence of a violation of the provisions listed above. Dunbar further argues that he could not determine whether a violation had taken place because he was aware of other events at which athletes had ridden on or driven HFD vehicles. Evidence of such incidents, however, does not dispel substantial evidence of a reportable violation in this </w:t>
      </w:r>
      <w:proofErr w:type="gramStart"/>
      <w:r>
        <w:t>instance.”</w:t>
      </w:r>
      <w:proofErr w:type="gramEnd"/>
      <w:r w:rsidRPr="00137F5F">
        <w:t xml:space="preserve"> </w:t>
      </w:r>
    </w:p>
    <w:p w14:paraId="0D09FDE5" w14:textId="77777777" w:rsidR="00A01262" w:rsidRPr="00137F5F" w:rsidRDefault="00A01262" w:rsidP="00A01262">
      <w:pPr>
        <w:pStyle w:val="NormalWeb"/>
        <w:rPr>
          <w:b/>
          <w:bCs/>
        </w:rPr>
      </w:pPr>
      <w:r w:rsidRPr="00137F5F">
        <w:rPr>
          <w:b/>
          <w:bCs/>
        </w:rPr>
        <w:t xml:space="preserve">Legal Lesson Learned:  </w:t>
      </w:r>
      <w:r>
        <w:rPr>
          <w:b/>
          <w:bCs/>
        </w:rPr>
        <w:t xml:space="preserve">Do not allow civilians to drive your apparatus, including professional athletes at a PR event. </w:t>
      </w:r>
    </w:p>
    <w:p w14:paraId="2FB42D6B" w14:textId="77777777" w:rsidR="00A01262" w:rsidRDefault="00A01262" w:rsidP="00F326E5">
      <w:pPr>
        <w:pStyle w:val="NoSpacing"/>
        <w:rPr>
          <w:rFonts w:ascii="Arial Black" w:hAnsi="Arial Black"/>
          <w:sz w:val="24"/>
          <w:szCs w:val="24"/>
        </w:rPr>
      </w:pPr>
    </w:p>
    <w:p w14:paraId="7B49B0FE" w14:textId="77777777" w:rsidR="00A01262" w:rsidRDefault="00A01262" w:rsidP="00F326E5">
      <w:pPr>
        <w:pStyle w:val="NoSpacing"/>
        <w:rPr>
          <w:rFonts w:ascii="Arial Black" w:hAnsi="Arial Black"/>
          <w:sz w:val="24"/>
          <w:szCs w:val="24"/>
        </w:rPr>
      </w:pPr>
    </w:p>
    <w:p w14:paraId="34ADBA42" w14:textId="68E6DA18" w:rsidR="006A02A4" w:rsidRDefault="006A02A4" w:rsidP="00F326E5">
      <w:pPr>
        <w:pStyle w:val="NoSpacing"/>
        <w:rPr>
          <w:rFonts w:ascii="Arial Black" w:hAnsi="Arial Black"/>
          <w:sz w:val="24"/>
          <w:szCs w:val="24"/>
        </w:rPr>
      </w:pPr>
      <w:r>
        <w:rPr>
          <w:rFonts w:ascii="Arial Black" w:hAnsi="Arial Black"/>
          <w:sz w:val="24"/>
          <w:szCs w:val="24"/>
        </w:rPr>
        <w:t>16-85</w:t>
      </w:r>
    </w:p>
    <w:p w14:paraId="260DA05A" w14:textId="77777777" w:rsidR="006A02A4" w:rsidRDefault="006A02A4" w:rsidP="006A02A4">
      <w:pPr>
        <w:pStyle w:val="NoSpacing"/>
        <w:rPr>
          <w:rStyle w:val="Emphasis"/>
          <w:rFonts w:ascii="Arial Black" w:hAnsi="Arial Black"/>
          <w:i w:val="0"/>
          <w:iCs w:val="0"/>
          <w:sz w:val="28"/>
          <w:szCs w:val="28"/>
        </w:rPr>
      </w:pPr>
    </w:p>
    <w:p w14:paraId="0B1723DE" w14:textId="57F67C5B" w:rsidR="006A02A4" w:rsidRPr="006A02A4" w:rsidRDefault="006A02A4" w:rsidP="006A02A4">
      <w:pPr>
        <w:pStyle w:val="NoSpacing"/>
        <w:rPr>
          <w:rStyle w:val="Emphasis"/>
          <w:rFonts w:ascii="Arial Black" w:hAnsi="Arial Black"/>
          <w:i w:val="0"/>
          <w:iCs w:val="0"/>
          <w:sz w:val="28"/>
          <w:szCs w:val="28"/>
        </w:rPr>
      </w:pPr>
      <w:r w:rsidRPr="006A02A4">
        <w:rPr>
          <w:rStyle w:val="Emphasis"/>
          <w:rFonts w:ascii="Arial Black" w:hAnsi="Arial Black"/>
          <w:i w:val="0"/>
          <w:iCs w:val="0"/>
          <w:sz w:val="28"/>
          <w:szCs w:val="28"/>
        </w:rPr>
        <w:t>IL (4/19/2023) – POLICE DISPATCHER FIRED – CONV. RESISTING PD – NO PD ENTRY HOME DISPUTE WITH KIDS</w:t>
      </w:r>
    </w:p>
    <w:p w14:paraId="11C7AB3B" w14:textId="77777777" w:rsidR="006A02A4" w:rsidRPr="006A02A4" w:rsidRDefault="006A02A4" w:rsidP="006A02A4">
      <w:pPr>
        <w:pStyle w:val="NoSpacing"/>
      </w:pPr>
    </w:p>
    <w:p w14:paraId="715CAAF3" w14:textId="77B7AEFE" w:rsidR="006A02A4" w:rsidRDefault="006A02A4" w:rsidP="00F326E5">
      <w:pPr>
        <w:pStyle w:val="NoSpacing"/>
        <w:rPr>
          <w:rFonts w:ascii="Arial Black" w:hAnsi="Arial Black"/>
          <w:sz w:val="24"/>
          <w:szCs w:val="24"/>
        </w:rPr>
      </w:pPr>
      <w:r w:rsidRPr="003C1643">
        <w:rPr>
          <w:rFonts w:ascii="Times New Roman" w:hAnsi="Times New Roman"/>
          <w:sz w:val="24"/>
          <w:szCs w:val="24"/>
          <w:u w:val="single"/>
        </w:rPr>
        <w:t xml:space="preserve">Nancy McDonald v. </w:t>
      </w:r>
      <w:proofErr w:type="spellStart"/>
      <w:r w:rsidRPr="003C1643">
        <w:rPr>
          <w:rFonts w:ascii="Times New Roman" w:hAnsi="Times New Roman"/>
          <w:sz w:val="24"/>
          <w:szCs w:val="24"/>
          <w:u w:val="single"/>
        </w:rPr>
        <w:t>Dupage</w:t>
      </w:r>
      <w:proofErr w:type="spellEnd"/>
      <w:r w:rsidRPr="003C1643">
        <w:rPr>
          <w:rFonts w:ascii="Times New Roman" w:hAnsi="Times New Roman"/>
          <w:sz w:val="24"/>
          <w:szCs w:val="24"/>
          <w:u w:val="single"/>
        </w:rPr>
        <w:t xml:space="preserve"> Public Safety Communications d/b/a Du-Comm</w:t>
      </w:r>
      <w:r w:rsidRPr="003C1643">
        <w:rPr>
          <w:rFonts w:ascii="Times New Roman" w:hAnsi="Times New Roman"/>
          <w:sz w:val="24"/>
          <w:szCs w:val="24"/>
        </w:rPr>
        <w:t xml:space="preserve">, U.S. District Court Judge Charles P. </w:t>
      </w:r>
      <w:proofErr w:type="spellStart"/>
      <w:r w:rsidRPr="003C1643">
        <w:rPr>
          <w:rFonts w:ascii="Times New Roman" w:hAnsi="Times New Roman"/>
          <w:sz w:val="24"/>
          <w:szCs w:val="24"/>
        </w:rPr>
        <w:t>Kocoras</w:t>
      </w:r>
      <w:proofErr w:type="spellEnd"/>
      <w:r w:rsidRPr="003C1643">
        <w:rPr>
          <w:rFonts w:ascii="Times New Roman" w:hAnsi="Times New Roman"/>
          <w:sz w:val="24"/>
          <w:szCs w:val="24"/>
        </w:rPr>
        <w:t xml:space="preserve">, U.S. District Court for Northern District of Illinois, Eastern Division.  </w:t>
      </w:r>
    </w:p>
    <w:p w14:paraId="4D44A7B5" w14:textId="77777777" w:rsidR="006A02A4" w:rsidRPr="003C1643" w:rsidRDefault="006A02A4" w:rsidP="006A02A4">
      <w:pPr>
        <w:pStyle w:val="NoSpacing"/>
        <w:rPr>
          <w:rFonts w:ascii="Times New Roman" w:hAnsi="Times New Roman"/>
          <w:sz w:val="24"/>
          <w:szCs w:val="24"/>
        </w:rPr>
      </w:pPr>
      <w:hyperlink r:id="rId2692" w:history="1">
        <w:r w:rsidRPr="003C1643">
          <w:rPr>
            <w:rStyle w:val="Hyperlink"/>
            <w:rFonts w:ascii="Times New Roman" w:hAnsi="Times New Roman"/>
            <w:sz w:val="24"/>
            <w:szCs w:val="24"/>
          </w:rPr>
          <w:t>https://public.fastcase.com/ZZhmr5v9wN%2FXOe5IsQ%2FqD%2FbRI5yk0CTLrJ1wUlp23a2jtoF9iRGzOsDdRZIWd9GyXFY2izvgsnflzL0%2FFWSL%2FPpsQUa%2FiEphINoTWEFNJVE%3D?utm_medium=email&amp;_hsmi=226712652&amp;_hsenc=p2ANqtz-8tSxN7q872uN51HDKRs8bBT2KkYc5se6Y34IcB-qusszHk_1kcdMtqv3s-tJTiEGYg-zZ48WEGXoPe6gX9Sz_hnuHHnA&amp;utm_content=226712652&amp;utm_source=hs_email</w:t>
        </w:r>
      </w:hyperlink>
      <w:r w:rsidRPr="003C1643">
        <w:rPr>
          <w:rFonts w:ascii="Times New Roman" w:hAnsi="Times New Roman"/>
          <w:sz w:val="24"/>
          <w:szCs w:val="24"/>
        </w:rPr>
        <w:t xml:space="preserve"> </w:t>
      </w:r>
    </w:p>
    <w:p w14:paraId="5DE2AEB5" w14:textId="77777777" w:rsidR="006A02A4" w:rsidRPr="003C1643" w:rsidRDefault="006A02A4" w:rsidP="006A02A4">
      <w:pPr>
        <w:pStyle w:val="NormalWeb"/>
        <w:rPr>
          <w:b/>
          <w:bCs/>
        </w:rPr>
      </w:pPr>
      <w:r w:rsidRPr="003C1643">
        <w:rPr>
          <w:b/>
          <w:bCs/>
        </w:rPr>
        <w:t xml:space="preserve">Legal Lesson Learned: A police dispatcher must avoid conduct leading to arrest for obstructing police. </w:t>
      </w:r>
    </w:p>
    <w:p w14:paraId="37EDCE52" w14:textId="77777777" w:rsidR="006A02A4" w:rsidRDefault="006A02A4" w:rsidP="00F326E5">
      <w:pPr>
        <w:pStyle w:val="NoSpacing"/>
        <w:rPr>
          <w:rFonts w:ascii="Arial Black" w:hAnsi="Arial Black"/>
          <w:sz w:val="24"/>
          <w:szCs w:val="24"/>
        </w:rPr>
      </w:pPr>
    </w:p>
    <w:p w14:paraId="5BEC1FA8" w14:textId="77777777" w:rsidR="006A02A4" w:rsidRDefault="006A02A4" w:rsidP="00F326E5">
      <w:pPr>
        <w:pStyle w:val="NoSpacing"/>
        <w:rPr>
          <w:rFonts w:ascii="Arial Black" w:hAnsi="Arial Black"/>
          <w:sz w:val="24"/>
          <w:szCs w:val="24"/>
        </w:rPr>
      </w:pPr>
    </w:p>
    <w:p w14:paraId="37AA26D6" w14:textId="3910FDFA" w:rsidR="007F5C26" w:rsidRDefault="00D66BAA" w:rsidP="00F326E5">
      <w:pPr>
        <w:pStyle w:val="NoSpacing"/>
        <w:rPr>
          <w:rFonts w:ascii="Arial Black" w:hAnsi="Arial Black"/>
          <w:sz w:val="24"/>
          <w:szCs w:val="24"/>
        </w:rPr>
      </w:pPr>
      <w:r>
        <w:rPr>
          <w:rFonts w:ascii="Arial Black" w:hAnsi="Arial Black"/>
          <w:sz w:val="24"/>
          <w:szCs w:val="24"/>
        </w:rPr>
        <w:t>16-84</w:t>
      </w:r>
    </w:p>
    <w:p w14:paraId="23F3B2E3" w14:textId="77777777" w:rsidR="00D66BAA" w:rsidRDefault="00D66BAA" w:rsidP="00D66BAA">
      <w:pPr>
        <w:pStyle w:val="NormalWeb"/>
        <w:rPr>
          <w:rFonts w:ascii="Arial Black" w:hAnsi="Arial Black" w:cs="Arial"/>
          <w:sz w:val="28"/>
          <w:szCs w:val="28"/>
        </w:rPr>
      </w:pPr>
      <w:r>
        <w:rPr>
          <w:rFonts w:ascii="Arial Black" w:hAnsi="Arial Black" w:cs="Arial"/>
          <w:sz w:val="28"/>
          <w:szCs w:val="28"/>
        </w:rPr>
        <w:t>FL: FIRE CHIEF HAS “ABSOLUTE IMMUNITY” DEFAMATION – 6 FF FIRED DEFACING BLACK LT’s FAMILY PICTURES</w:t>
      </w:r>
    </w:p>
    <w:p w14:paraId="5722628A" w14:textId="77777777" w:rsidR="00D66BAA" w:rsidRDefault="00D66BAA" w:rsidP="00D66BAA">
      <w:pPr>
        <w:pStyle w:val="NormalWeb"/>
      </w:pPr>
      <w:r>
        <w:t xml:space="preserve">On March 24, 2023, the Florida Supreme Court declined to hear the appeal of three firefighters, who were part of a group of six fired on Nov. 1, 2017. </w:t>
      </w:r>
      <w:hyperlink r:id="rId2693" w:history="1">
        <w:r>
          <w:rPr>
            <w:rStyle w:val="Hyperlink"/>
          </w:rPr>
          <w:t>https://public.fastcase.com/ppbqSQpNDaJE%2F8PlIk0b8GrZRoSxZNSyZ1IPMsly8LQqd8zJpEjl6u9Blu91YAS9</w:t>
        </w:r>
      </w:hyperlink>
      <w:r>
        <w:t xml:space="preserve">.  Three firefighters won their jobs back after arbitration and then sued the Fire Chief and City for defamation.  They alleged they were put in a false light when the Fire Chief issued a Press Release with their photos, and held a Press Conference that connected the three firefighters (A-Shift firefighters) not only with drawing of the phallic images on the family photos of a Black Lieutenant (occurred on Sept. 9, 2017, A-Shift), but also falsely connected them with and the placing of a string shaped like a noose over one of the Lt’s family photos (Sept. 10, 2017, B-Shift firefighters). </w:t>
      </w:r>
    </w:p>
    <w:p w14:paraId="5D2B2B30" w14:textId="77777777" w:rsidR="00D66BAA" w:rsidRDefault="00D66BAA" w:rsidP="00D66BAA">
      <w:pPr>
        <w:pStyle w:val="NormalWeb"/>
        <w:ind w:left="720"/>
      </w:pPr>
      <w:r>
        <w:t xml:space="preserve">The State Supreme Court thereby declined to set aside the Florida Third District Court of Appeals decision on Aug. 24, </w:t>
      </w:r>
      <w:proofErr w:type="gramStart"/>
      <w:r>
        <w:t>2022</w:t>
      </w:r>
      <w:proofErr w:type="gramEnd"/>
      <w:r>
        <w:t xml:space="preserve"> which held Fire Chief enjoys “absolute immunity” from defamation lawsuit.  Court of Appeals held (3 to 0), “In Florida, public officials are </w:t>
      </w:r>
      <w:proofErr w:type="gramStart"/>
      <w:r>
        <w:t>absolutely immune</w:t>
      </w:r>
      <w:proofErr w:type="gramEnd"/>
      <w:r>
        <w:t xml:space="preserve"> from suit for defamation </w:t>
      </w:r>
      <w:proofErr w:type="gramStart"/>
      <w:r>
        <w:t>as long as</w:t>
      </w:r>
      <w:proofErr w:type="gramEnd"/>
      <w:r>
        <w:t xml:space="preserve"> their allegedly defamatory statements were made within the scope of their duties….Here, Chief </w:t>
      </w:r>
      <w:proofErr w:type="spellStart"/>
      <w:r>
        <w:t>Zahralban</w:t>
      </w:r>
      <w:proofErr w:type="spellEnd"/>
      <w:r>
        <w:t xml:space="preserve"> is the director of the City’s fire-rescue department…. Therefore, Chief </w:t>
      </w:r>
      <w:proofErr w:type="spellStart"/>
      <w:r>
        <w:t>Zahralban</w:t>
      </w:r>
      <w:proofErr w:type="spellEnd"/>
      <w:r>
        <w:t xml:space="preserve"> and the City are </w:t>
      </w:r>
      <w:proofErr w:type="gramStart"/>
      <w:r>
        <w:t>absolutely immune</w:t>
      </w:r>
      <w:proofErr w:type="gramEnd"/>
      <w:r>
        <w:t xml:space="preserve"> from suit for Chief Zahralban’s written and oral statements relating to the City’s termination of the Respondents as the statements were made within the </w:t>
      </w:r>
      <w:r>
        <w:lastRenderedPageBreak/>
        <w:t xml:space="preserve">scope of Chief Zahralban’s duties as the director of the City’s fire-rescue department.” </w:t>
      </w:r>
      <w:hyperlink r:id="rId2694" w:history="1">
        <w:r>
          <w:rPr>
            <w:rStyle w:val="Hyperlink"/>
          </w:rPr>
          <w:t>https://law.justia.com/cases/florida/third-district-court-of-appeal/2022/3d21-2413.html</w:t>
        </w:r>
      </w:hyperlink>
      <w:r>
        <w:t xml:space="preserve"> </w:t>
      </w:r>
    </w:p>
    <w:p w14:paraId="5C24AF38" w14:textId="77777777" w:rsidR="00D66BAA" w:rsidRDefault="00D66BAA" w:rsidP="00D66BAA">
      <w:pPr>
        <w:pStyle w:val="NormalWeb"/>
        <w:ind w:left="720"/>
      </w:pPr>
      <w:r>
        <w:t xml:space="preserve">The Fire Chief issued a written Press Release on Nov. 2, 2017, and held a Press Conference on Nov. 3. The written Press Release stated, in part, as follows: </w:t>
      </w:r>
    </w:p>
    <w:p w14:paraId="0662EEEF" w14:textId="77777777" w:rsidR="00D66BAA" w:rsidRDefault="00D66BAA" w:rsidP="00D66BAA">
      <w:pPr>
        <w:pStyle w:val="NormalWeb"/>
        <w:ind w:left="1440"/>
      </w:pPr>
      <w:r>
        <w:t xml:space="preserve">“On September 9th, 2017, a member with the City of Miami Fire Rescue was a victim of a hideous, distasteful act of hate in one of our fire stations. This </w:t>
      </w:r>
      <w:proofErr w:type="gramStart"/>
      <w:r>
        <w:t>Lieutenant of</w:t>
      </w:r>
      <w:proofErr w:type="gramEnd"/>
      <w:r>
        <w:t xml:space="preserve"> 17 </w:t>
      </w:r>
      <w:proofErr w:type="gramStart"/>
      <w:r>
        <w:t>years with the department</w:t>
      </w:r>
      <w:proofErr w:type="gramEnd"/>
      <w:r>
        <w:t xml:space="preserve">, discovered his family photos were defaced with lewd and sexually explicit renderings and a </w:t>
      </w:r>
      <w:proofErr w:type="gramStart"/>
      <w:r>
        <w:t>noose</w:t>
      </w:r>
      <w:proofErr w:type="gramEnd"/>
      <w:r>
        <w:t xml:space="preserve"> draped over one [of] the photos. This was immediately reported to my staff and as a result, I personally responded to the station. Appalled by my observation, I immediately requested the Miami Police Department investigate the matter and temporarily transferred all personnel assigned to that station, </w:t>
      </w:r>
      <w:proofErr w:type="gramStart"/>
      <w:r>
        <w:t>per</w:t>
      </w:r>
      <w:proofErr w:type="gramEnd"/>
      <w:r>
        <w:t xml:space="preserve"> our department policy. During the investigation, findings determined eleven (11) personnel had some involvement with the incident and they were relieved of duty. Additional evidence discovered identified six (6) of those individuals directly involved and swift administrative action was implemented. Under my authority, a Captain, a Lieutenant and 4 firefighters were terminated for offenses surrounding egregious and hateful conduct.”</w:t>
      </w:r>
    </w:p>
    <w:p w14:paraId="1C74F668" w14:textId="77777777" w:rsidR="00D66BAA" w:rsidRDefault="00D66BAA" w:rsidP="00D66BAA">
      <w:pPr>
        <w:pStyle w:val="NormalWeb"/>
        <w:rPr>
          <w:b/>
          <w:bCs/>
        </w:rPr>
      </w:pPr>
      <w:r>
        <w:rPr>
          <w:b/>
          <w:bCs/>
        </w:rPr>
        <w:t xml:space="preserve">Legal Lesson Learned: Helpful Florida decision about a “hideous, distasteful act of hate.” </w:t>
      </w:r>
    </w:p>
    <w:p w14:paraId="4E1DB45E" w14:textId="77777777" w:rsidR="00D66BAA" w:rsidRDefault="00D66BAA" w:rsidP="00D66BAA">
      <w:pPr>
        <w:pStyle w:val="Heading1"/>
        <w:ind w:left="720"/>
        <w:rPr>
          <w:b w:val="0"/>
          <w:bCs w:val="0"/>
          <w:sz w:val="24"/>
          <w:szCs w:val="24"/>
        </w:rPr>
      </w:pPr>
      <w:r>
        <w:rPr>
          <w:b w:val="0"/>
          <w:bCs w:val="0"/>
          <w:sz w:val="24"/>
          <w:szCs w:val="24"/>
        </w:rPr>
        <w:t xml:space="preserve">Note: See March 27, </w:t>
      </w:r>
      <w:proofErr w:type="gramStart"/>
      <w:r>
        <w:rPr>
          <w:b w:val="0"/>
          <w:bCs w:val="0"/>
          <w:sz w:val="24"/>
          <w:szCs w:val="24"/>
        </w:rPr>
        <w:t>2023</w:t>
      </w:r>
      <w:proofErr w:type="gramEnd"/>
      <w:r>
        <w:rPr>
          <w:b w:val="0"/>
          <w:bCs w:val="0"/>
          <w:sz w:val="24"/>
          <w:szCs w:val="24"/>
        </w:rPr>
        <w:t xml:space="preserve"> Press Coverage: “Florida Supreme Court turns down Miami firefighter defamation case.” </w:t>
      </w:r>
      <w:hyperlink r:id="rId2695" w:history="1">
        <w:r>
          <w:rPr>
            <w:rStyle w:val="Hyperlink"/>
            <w:b w:val="0"/>
            <w:bCs w:val="0"/>
            <w:sz w:val="24"/>
            <w:szCs w:val="24"/>
          </w:rPr>
          <w:t>https://www.cbsnews.com/miami/news/florida-supreme-court-turns-down-miami-firefighter-defamation-case/</w:t>
        </w:r>
      </w:hyperlink>
      <w:r>
        <w:rPr>
          <w:b w:val="0"/>
          <w:bCs w:val="0"/>
          <w:sz w:val="24"/>
          <w:szCs w:val="24"/>
        </w:rPr>
        <w:t xml:space="preserve"> </w:t>
      </w:r>
    </w:p>
    <w:p w14:paraId="649D6A04" w14:textId="77777777" w:rsidR="00D66BAA" w:rsidRDefault="00D66BAA" w:rsidP="00D66BAA">
      <w:pPr>
        <w:pStyle w:val="NormalWeb"/>
      </w:pPr>
    </w:p>
    <w:p w14:paraId="342253C0" w14:textId="33E8A81E" w:rsidR="00D66BAA" w:rsidRDefault="00D66BAA" w:rsidP="00F326E5">
      <w:pPr>
        <w:pStyle w:val="NoSpacing"/>
        <w:rPr>
          <w:rFonts w:ascii="Arial Black" w:hAnsi="Arial Black"/>
          <w:sz w:val="24"/>
          <w:szCs w:val="24"/>
        </w:rPr>
      </w:pPr>
      <w:r>
        <w:rPr>
          <w:rFonts w:ascii="Arial Black" w:hAnsi="Arial Black"/>
          <w:sz w:val="24"/>
          <w:szCs w:val="24"/>
        </w:rPr>
        <w:t>16-83</w:t>
      </w:r>
    </w:p>
    <w:p w14:paraId="7F866694" w14:textId="621A3A3E" w:rsidR="00D66BAA" w:rsidRDefault="00D66BAA" w:rsidP="00F326E5">
      <w:pPr>
        <w:pStyle w:val="NoSpacing"/>
        <w:rPr>
          <w:rFonts w:ascii="Arial Black" w:hAnsi="Arial Black"/>
          <w:sz w:val="24"/>
          <w:szCs w:val="24"/>
        </w:rPr>
      </w:pPr>
    </w:p>
    <w:p w14:paraId="5DC9089D" w14:textId="77777777" w:rsidR="00D66BAA" w:rsidRDefault="00D66BAA" w:rsidP="00D66BAA">
      <w:pPr>
        <w:pStyle w:val="NormalWeb"/>
        <w:rPr>
          <w:rFonts w:ascii="Arial Black" w:hAnsi="Arial Black"/>
          <w:sz w:val="28"/>
          <w:szCs w:val="28"/>
        </w:rPr>
      </w:pPr>
      <w:r>
        <w:rPr>
          <w:rFonts w:ascii="Arial Black" w:hAnsi="Arial Black"/>
          <w:sz w:val="28"/>
          <w:szCs w:val="28"/>
        </w:rPr>
        <w:t>TN:  FF CONV. ASSAULT WITH .38 - FIRED – LIMITED CROSS-EXAM CHIEF OTHER FF DISCIPLINE WAS APPROPRIATE</w:t>
      </w:r>
    </w:p>
    <w:p w14:paraId="045C5504" w14:textId="77777777" w:rsidR="00D66BAA" w:rsidRDefault="00D66BAA" w:rsidP="00D66BAA">
      <w:pPr>
        <w:pStyle w:val="NormalWeb"/>
      </w:pPr>
      <w:r>
        <w:t xml:space="preserve">On March 21, 2023, in </w:t>
      </w:r>
      <w:r>
        <w:rPr>
          <w:u w:val="single"/>
        </w:rPr>
        <w:t>Paul Zachary Moss v. Shelby County Civil Service Merit Board</w:t>
      </w:r>
      <w:r>
        <w:t xml:space="preserve">, the Supreme Court of Tennessee, held (5 to 0) that the Civil Service Board properly limited cross-examination of the Fire Chief after he testified about his “uniform” policy of terminating firefighters convicted of misuse of firearms. The Court noted that at the Board hearing: “During cross-examination, counsel for Mr. Moss attempted to question Chief Benson about whether he had uniformly applied this policy to prior disciplinary incidents, specifically asking about a firefighter who had committed sexual assault. Chief Benson testified that ‘a firefighter who committed sexual </w:t>
      </w:r>
      <w:proofErr w:type="gramStart"/>
      <w:r>
        <w:t>battery</w:t>
      </w:r>
      <w:proofErr w:type="gramEnd"/>
      <w:r>
        <w:t xml:space="preserve"> would likely be terminated.’ When Mr. Moss's attorney asked Chief Benson why he had not terminated that </w:t>
      </w:r>
      <w:proofErr w:type="gramStart"/>
      <w:r>
        <w:t>particular firefighter</w:t>
      </w:r>
      <w:proofErr w:type="gramEnd"/>
      <w:r>
        <w:t xml:space="preserve">, counsel for the Fire Department objected to the line of questioning as irrelevant. The Board sustained the objection and declined to hear evidence relating to the prior discipline.”  The TN Court of Appeals held this violated the firefighters due process rights. </w:t>
      </w:r>
    </w:p>
    <w:p w14:paraId="65363618" w14:textId="77777777" w:rsidR="00D66BAA" w:rsidRDefault="00D66BAA" w:rsidP="00D66BAA">
      <w:pPr>
        <w:pStyle w:val="NormalWeb"/>
        <w:ind w:left="720"/>
      </w:pPr>
      <w:r>
        <w:t xml:space="preserve">The TN Supreme Court ruled overturned the Court of Appeals: “If allowed to stand, the Court of Appeals decision would confine civil service agencies to a level of imposed discipline in line with previous instances. For example, if a civil service agency wants to "crack down" on particularly troubling behavior within the agency, it would be limited to whatever discipline was previously meted out in the past, essentially nullifying any deterrent effect. There is also the issue of pragmatism. If Mr. Moss's argument carries the day, merit boards (and the courts to which their decisions are appealed) will </w:t>
      </w:r>
      <w:r>
        <w:lastRenderedPageBreak/>
        <w:t xml:space="preserve">sift through instances of past discipline to determine whether the prior instances are analogous to the cases before them. And, at the very least, Mr. Moss's position does not fit within the "limited scope of review" utilized by this Court in reviewing administrative agency decisions and would undermine the deference we have traditionally given to agencies </w:t>
      </w:r>
      <w:proofErr w:type="gramStart"/>
      <w:r>
        <w:t>with regard to</w:t>
      </w:r>
      <w:proofErr w:type="gramEnd"/>
      <w:r>
        <w:t xml:space="preserve"> personnel matters…. In sum, the Board's decision to exclude Mr. Moss's disparate discipline evidence was not a clear error in judgment…. The Board did not abuse its discretion in determining that the evidence was irrelevant to the issue of whether there was just cause to terminate Mr. Moss's employment.” </w:t>
      </w:r>
      <w:hyperlink r:id="rId2696" w:history="1">
        <w:r>
          <w:rPr>
            <w:rStyle w:val="Hyperlink"/>
          </w:rPr>
          <w:t>https://www.tncourts.gov/sites/default/files/OpinionsPDFVersion/MOSS%20-%20Majority%20Opinion.pdf</w:t>
        </w:r>
      </w:hyperlink>
      <w:r>
        <w:t xml:space="preserve"> </w:t>
      </w:r>
    </w:p>
    <w:p w14:paraId="6BC62709" w14:textId="77777777" w:rsidR="00D66BAA" w:rsidRDefault="00D66BAA" w:rsidP="00D66BAA">
      <w:pPr>
        <w:pStyle w:val="NormalWeb"/>
        <w:ind w:left="720"/>
      </w:pPr>
      <w:r>
        <w:t xml:space="preserve">“On November 1, 2013, several individuals held a political rally on an interstate overpass in Memphis. Rally participants held signs that advocated for the impeachment of then-President Barack Obama, and at least one individual wore a plastic mask depicting President Obama. Passing motorists reacted negatively to the demonstration. Fearful of the possibility of violence, participants called the Memphis Police </w:t>
      </w:r>
      <w:proofErr w:type="gramStart"/>
      <w:r>
        <w:t>Department (‘</w:t>
      </w:r>
      <w:proofErr w:type="gramEnd"/>
      <w:r>
        <w:t xml:space="preserve">MPD’) for assistance. </w:t>
      </w:r>
    </w:p>
    <w:p w14:paraId="2BD468D3" w14:textId="77777777" w:rsidR="00D66BAA" w:rsidRDefault="00D66BAA" w:rsidP="00D66BAA">
      <w:pPr>
        <w:pStyle w:val="NormalWeb"/>
        <w:ind w:left="720" w:firstLine="60"/>
      </w:pPr>
      <w:r>
        <w:t xml:space="preserve">Paul Zachary Moss arrived at the overpass after his wife, a rally attendee, said she </w:t>
      </w:r>
      <w:proofErr w:type="gramStart"/>
      <w:r>
        <w:t>feared for</w:t>
      </w:r>
      <w:proofErr w:type="gramEnd"/>
      <w:r>
        <w:t xml:space="preserve"> her safety. Mr. Moss approached the scene armed with a .38 caliber handgun. Upon learning that an attendee, Thomas Mason Ezzell, Jr., wore the ‘Obama mask,’ Mr. Moss became angry. The situation escalated into a physical altercation between Mr. Moss, Mr. Ezzell, and another rally attendee, Earl Mayfield. Mr. Moss pointed his handgun at both men, threatening to kill them. Mr. Ezzell and Mr. Mayfield relented, and Mr. Moss returned to his truck where he was disarmed and arrested by MPD officers. Mr. Moss informed the Fire Department about the incident. </w:t>
      </w:r>
    </w:p>
    <w:p w14:paraId="0EC63781" w14:textId="77777777" w:rsidR="00D66BAA" w:rsidRDefault="00D66BAA" w:rsidP="00D66BAA">
      <w:pPr>
        <w:pStyle w:val="NormalWeb"/>
        <w:ind w:left="720" w:firstLine="60"/>
      </w:pPr>
      <w:r>
        <w:t>***</w:t>
      </w:r>
    </w:p>
    <w:p w14:paraId="654C02F6" w14:textId="77777777" w:rsidR="00D66BAA" w:rsidRDefault="00D66BAA" w:rsidP="00D66BAA">
      <w:pPr>
        <w:spacing w:after="100"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[At the Board hearing] Mr. Moss said he became upset and yelled at Mr. Ezzell because Mr. Moss's wife had been put in a dangerous situation. He admitted saying to Mr. Ezzell, ‘Are you stupid?’ He also acknowledged that he was ‘trying to be heard,’ but denied swinging at, grabbing, or punching Mr. Ezzell. Mr. Moss explained that Mr. Mayfield hit him from behind and put him on the ground in a headlock, and Mr. Ezzell tried to grab his arms. When Mr. Moss freed himself, he </w:t>
      </w:r>
      <w:proofErr w:type="gramStart"/>
      <w:r>
        <w:rPr>
          <w:rFonts w:ascii="Times New Roman" w:eastAsia="Times New Roman" w:hAnsi="Times New Roman"/>
          <w:sz w:val="24"/>
          <w:szCs w:val="24"/>
        </w:rPr>
        <w:t>pulled</w:t>
      </w:r>
      <w:proofErr w:type="gramEnd"/>
      <w:r>
        <w:rPr>
          <w:rFonts w:ascii="Times New Roman" w:eastAsia="Times New Roman" w:hAnsi="Times New Roman"/>
          <w:sz w:val="24"/>
          <w:szCs w:val="24"/>
        </w:rPr>
        <w:t xml:space="preserve"> his gun because he felt he was in imminent danger. The police arrested Mr. Moss and took him to the police station. After his release, Mr. Moss reported his arrest to his battalion chief. </w:t>
      </w:r>
    </w:p>
    <w:p w14:paraId="301A92ED" w14:textId="77777777" w:rsidR="00D66BAA" w:rsidRDefault="00D66BAA" w:rsidP="00D66BAA">
      <w:pPr>
        <w:spacing w:after="100" w:line="240" w:lineRule="auto"/>
        <w:ind w:left="720"/>
      </w:pPr>
      <w:r>
        <w:rPr>
          <w:rFonts w:ascii="Times New Roman" w:eastAsia="Times New Roman" w:hAnsi="Times New Roman"/>
          <w:sz w:val="24"/>
          <w:szCs w:val="24"/>
        </w:rPr>
        <w:t>***</w:t>
      </w:r>
    </w:p>
    <w:p w14:paraId="068355BC" w14:textId="77777777" w:rsidR="00D66BAA" w:rsidRDefault="00D66BAA" w:rsidP="00D66BAA">
      <w:pPr>
        <w:pStyle w:val="NormalWeb"/>
        <w:ind w:left="720" w:firstLine="60"/>
      </w:pPr>
      <w:r>
        <w:t xml:space="preserve">Later, a grand jury indicted Mr. Moss on two counts of aggravated assault. He entered an </w:t>
      </w:r>
      <w:r>
        <w:rPr>
          <w:rStyle w:val="Emphasis"/>
        </w:rPr>
        <w:t>Alford</w:t>
      </w:r>
      <w:r>
        <w:t xml:space="preserve"> plea to one count of aggravated assault. After successfully completing three years of judicial diversion, the diverted charge was </w:t>
      </w:r>
      <w:proofErr w:type="gramStart"/>
      <w:r>
        <w:t>dismissed.”</w:t>
      </w:r>
      <w:proofErr w:type="gramEnd"/>
    </w:p>
    <w:p w14:paraId="777CB348" w14:textId="77777777" w:rsidR="00D66BAA" w:rsidRDefault="00D66BAA" w:rsidP="00D66BAA">
      <w:pPr>
        <w:pStyle w:val="NormalWeb"/>
        <w:rPr>
          <w:rStyle w:val="Emphasis"/>
          <w:b/>
          <w:bCs/>
        </w:rPr>
      </w:pPr>
      <w:r>
        <w:rPr>
          <w:b/>
          <w:bCs/>
        </w:rPr>
        <w:t xml:space="preserve">Legal Lesson Learned: Serious facts involving improper use of </w:t>
      </w:r>
      <w:proofErr w:type="gramStart"/>
      <w:r>
        <w:rPr>
          <w:b/>
          <w:bCs/>
        </w:rPr>
        <w:t>firearm</w:t>
      </w:r>
      <w:proofErr w:type="gramEnd"/>
      <w:r>
        <w:rPr>
          <w:b/>
          <w:bCs/>
        </w:rPr>
        <w:t xml:space="preserve"> has led to termination. </w:t>
      </w:r>
    </w:p>
    <w:p w14:paraId="23394DBE" w14:textId="77777777" w:rsidR="00D66BAA" w:rsidRDefault="00D66BAA" w:rsidP="00F326E5">
      <w:pPr>
        <w:pStyle w:val="NoSpacing"/>
        <w:rPr>
          <w:rFonts w:ascii="Arial Black" w:hAnsi="Arial Black"/>
          <w:sz w:val="24"/>
          <w:szCs w:val="24"/>
        </w:rPr>
      </w:pPr>
    </w:p>
    <w:p w14:paraId="5058242C" w14:textId="77777777" w:rsidR="00D66BAA" w:rsidRDefault="00D66BAA" w:rsidP="00F326E5">
      <w:pPr>
        <w:pStyle w:val="NoSpacing"/>
        <w:rPr>
          <w:rFonts w:ascii="Arial Black" w:hAnsi="Arial Black"/>
          <w:sz w:val="24"/>
          <w:szCs w:val="24"/>
        </w:rPr>
      </w:pPr>
    </w:p>
    <w:p w14:paraId="58773990" w14:textId="77777777" w:rsidR="00D66BAA" w:rsidRDefault="00D66BAA" w:rsidP="00F326E5">
      <w:pPr>
        <w:pStyle w:val="NoSpacing"/>
        <w:rPr>
          <w:rFonts w:ascii="Arial Black" w:hAnsi="Arial Black"/>
          <w:sz w:val="24"/>
          <w:szCs w:val="24"/>
        </w:rPr>
      </w:pPr>
    </w:p>
    <w:p w14:paraId="0550BF23" w14:textId="60708A51" w:rsidR="00F55395" w:rsidRDefault="00F55395" w:rsidP="00F326E5">
      <w:pPr>
        <w:pStyle w:val="NoSpacing"/>
        <w:rPr>
          <w:rFonts w:ascii="Arial Black" w:hAnsi="Arial Black"/>
          <w:sz w:val="24"/>
          <w:szCs w:val="24"/>
        </w:rPr>
      </w:pPr>
      <w:r>
        <w:rPr>
          <w:rFonts w:ascii="Arial Black" w:hAnsi="Arial Black"/>
          <w:sz w:val="24"/>
          <w:szCs w:val="24"/>
        </w:rPr>
        <w:t>16-82</w:t>
      </w:r>
    </w:p>
    <w:p w14:paraId="1DDBF8C0" w14:textId="77777777" w:rsidR="00F55395" w:rsidRDefault="00F55395" w:rsidP="00F55395">
      <w:pPr>
        <w:pStyle w:val="NormalWeb"/>
        <w:rPr>
          <w:rFonts w:ascii="Arial Black" w:hAnsi="Arial Black"/>
          <w:sz w:val="28"/>
          <w:szCs w:val="28"/>
        </w:rPr>
      </w:pPr>
      <w:r>
        <w:rPr>
          <w:rFonts w:ascii="Arial Black" w:hAnsi="Arial Black"/>
          <w:sz w:val="28"/>
          <w:szCs w:val="28"/>
        </w:rPr>
        <w:t>IL: RACIST FACEBOOK POSTINGS – CHICAGO FF FIRED –CASE PROCEED DISCOVERY – “BALANCING” TEST</w:t>
      </w:r>
    </w:p>
    <w:p w14:paraId="1AE290EE" w14:textId="77777777" w:rsidR="00F55395" w:rsidRDefault="00F55395" w:rsidP="00F55395">
      <w:pPr>
        <w:pStyle w:val="NormalWeb"/>
      </w:pPr>
      <w:r>
        <w:lastRenderedPageBreak/>
        <w:t xml:space="preserve">On March 3, 2023, in </w:t>
      </w:r>
      <w:r w:rsidRPr="007543F8">
        <w:rPr>
          <w:u w:val="single"/>
        </w:rPr>
        <w:t>Sam Inendino v. Lori Lightfoot, City of Chicago, et al</w:t>
      </w:r>
      <w:r>
        <w:t xml:space="preserve">., U.S. District Court Judge Thomas M. Durkin, Northern District of Illinois, denied in part the City’s motion to dismiss.  The Judge wrote: “The Seventh Circuit, however, has advised courts that the relative balancing of the state's interests against the employee's interests should not be decided at the pleading stage because it is “preferable to leave to the defendant the burden of raising justification as an affirmative defense.” </w:t>
      </w:r>
      <w:r>
        <w:rPr>
          <w:rStyle w:val="Emphasis"/>
        </w:rPr>
        <w:t>Gustafson v. Jones</w:t>
      </w:r>
      <w:r>
        <w:t xml:space="preserve">, 117 F.3d 1015, 1019 (7th Cir. 1997); </w:t>
      </w:r>
      <w:r>
        <w:rPr>
          <w:rStyle w:val="Emphasis"/>
        </w:rPr>
        <w:t>Glass v. Dachel</w:t>
      </w:r>
      <w:r>
        <w:t xml:space="preserve">, 2 F.3d 733, 744 (7th Cir. 1993) (explaining that the state bears the burden of demonstrating an interest which outweighs the employee's interest in speaking). *** </w:t>
      </w:r>
      <w:r w:rsidRPr="00FB7CED">
        <w:t xml:space="preserve"> </w:t>
      </w:r>
      <w:r>
        <w:t xml:space="preserve">Therefore, and because the </w:t>
      </w:r>
      <w:r>
        <w:rPr>
          <w:rStyle w:val="Emphasis"/>
        </w:rPr>
        <w:t>Pickering</w:t>
      </w:r>
      <w:r>
        <w:t xml:space="preserve"> </w:t>
      </w:r>
      <w:r w:rsidRPr="00FB7CED">
        <w:rPr>
          <w:color w:val="000000" w:themeColor="text1"/>
        </w:rPr>
        <w:t>[</w:t>
      </w:r>
      <w:hyperlink r:id="rId2697" w:tgtFrame="_blank" w:history="1">
        <w:r w:rsidRPr="00FB7CED">
          <w:rPr>
            <w:rStyle w:val="Emphasis"/>
            <w:color w:val="000000" w:themeColor="text1"/>
          </w:rPr>
          <w:t xml:space="preserve">Pickering v. Board of Education, </w:t>
        </w:r>
        <w:r w:rsidRPr="00FB7CED">
          <w:rPr>
            <w:rStyle w:val="Hyperlink"/>
            <w:rFonts w:eastAsiaTheme="majorEastAsia"/>
            <w:color w:val="000000" w:themeColor="text1"/>
          </w:rPr>
          <w:t>391 U.S. 563 (1968)</w:t>
        </w:r>
      </w:hyperlink>
      <w:r w:rsidRPr="00FB7CED">
        <w:rPr>
          <w:rStyle w:val="s1"/>
        </w:rPr>
        <w:t>]</w:t>
      </w:r>
      <w:r>
        <w:rPr>
          <w:rStyle w:val="s1"/>
        </w:rPr>
        <w:t xml:space="preserve"> </w:t>
      </w:r>
      <w:r>
        <w:t>balancing test is highly fact dependent, its application ‘will be possible only after the parties have had an opportunity to conduct some discovery.’”</w:t>
      </w:r>
      <w:r w:rsidRPr="00FB7CED">
        <w:t xml:space="preserve"> </w:t>
      </w:r>
      <w:hyperlink r:id="rId2698" w:history="1">
        <w:r w:rsidRPr="00C863CC">
          <w:rPr>
            <w:rStyle w:val="Hyperlink"/>
            <w:rFonts w:eastAsiaTheme="majorEastAsia"/>
          </w:rPr>
          <w:t>https://public.fastcase.com/J%2FJP6pdidelsXxEE4k%2BLMjaDEWROmrH16cfc6gra3ASxsA6ABb5gmKr7dgTVPZFAyucR%2F24MD4mhTmh6U3JDqNSXBmdIcjdrjArbqC4ueHA%3D?utm_medium=email&amp;_hsmi=226712652&amp;_hsenc=p2ANqtz-8djIG1sQ_3FyKMXC40KW2oDEllslyVj_QIL_DW9IJ-72SY8jUMapn9qVvf0Txy9Aeh2fYzSIF_AEMjkupRX651B5mjNw&amp;utm_content=226712652&amp;utm_source=hs_email</w:t>
        </w:r>
      </w:hyperlink>
      <w:r>
        <w:t xml:space="preserve"> </w:t>
      </w:r>
    </w:p>
    <w:p w14:paraId="00DEB043" w14:textId="77777777" w:rsidR="00F55395" w:rsidRDefault="00F55395" w:rsidP="00F55395">
      <w:pPr>
        <w:pStyle w:val="NormalWeb"/>
        <w:ind w:left="720"/>
      </w:pPr>
      <w:proofErr w:type="spellStart"/>
      <w:r>
        <w:t>Inendino</w:t>
      </w:r>
      <w:proofErr w:type="spellEnd"/>
      <w:r>
        <w:t xml:space="preserve"> was employed as a Chicago firefighter and EMT beginning in May 2005….  He served as a firefighter with Engine 54 and Truck 20 in the Englewood neighborhood of Chicago without incident for sixteen years until he was terminated on June 8, 2021….  </w:t>
      </w:r>
      <w:proofErr w:type="spellStart"/>
      <w:r>
        <w:t>Inendino</w:t>
      </w:r>
      <w:proofErr w:type="spellEnd"/>
      <w:r>
        <w:t xml:space="preserve"> was well-respected within his workplace, acted as the cook in the firehouse, and never had any complaints against him by the public until the incidents at issue. </w:t>
      </w:r>
    </w:p>
    <w:p w14:paraId="7A1CBDD9" w14:textId="77777777" w:rsidR="00F55395" w:rsidRDefault="00F55395" w:rsidP="00F55395">
      <w:pPr>
        <w:pStyle w:val="NormalWeb"/>
        <w:ind w:left="720"/>
      </w:pPr>
      <w:r>
        <w:t>***</w:t>
      </w:r>
    </w:p>
    <w:p w14:paraId="3BAC20EC" w14:textId="77777777" w:rsidR="00F55395" w:rsidRDefault="00F55395" w:rsidP="00F55395">
      <w:pPr>
        <w:pStyle w:val="NormalWeb"/>
        <w:ind w:left="720"/>
      </w:pPr>
      <w:r>
        <w:t xml:space="preserve">In October 2019, </w:t>
      </w:r>
      <w:proofErr w:type="spellStart"/>
      <w:r>
        <w:t>Inendino</w:t>
      </w:r>
      <w:proofErr w:type="spellEnd"/>
      <w:r>
        <w:t xml:space="preserve"> commented on a Hispanic person's post which complained about the poster's brother's treatment by a Chicago Police Department lieutenant….  After some back and forth, </w:t>
      </w:r>
      <w:proofErr w:type="spellStart"/>
      <w:r>
        <w:t>Inendino</w:t>
      </w:r>
      <w:proofErr w:type="spellEnd"/>
      <w:r>
        <w:t xml:space="preserve"> stated, ‘Your comments are all weak... can't talk I have to go to work to pay for all your scumbag kids that </w:t>
      </w:r>
      <w:proofErr w:type="gramStart"/>
      <w:r>
        <w:t>you</w:t>
      </w:r>
      <w:proofErr w:type="gramEnd"/>
      <w:r>
        <w:t xml:space="preserve"> welfare fucks keep having,”’ and ‘[ . . .] that's a good come back. NOT get all HOOD on me YO. take your ass back over the border where </w:t>
      </w:r>
      <w:proofErr w:type="spellStart"/>
      <w:r>
        <w:t>ya</w:t>
      </w:r>
      <w:proofErr w:type="spellEnd"/>
      <w:r>
        <w:t xml:space="preserve"> belong. </w:t>
      </w:r>
      <w:proofErr w:type="spellStart"/>
      <w:proofErr w:type="gramStart"/>
      <w:r>
        <w:t>gotta</w:t>
      </w:r>
      <w:proofErr w:type="spellEnd"/>
      <w:proofErr w:type="gramEnd"/>
      <w:r>
        <w:t xml:space="preserve"> go I have a real job.’</w:t>
      </w:r>
    </w:p>
    <w:p w14:paraId="5577E31D" w14:textId="77777777" w:rsidR="00F55395" w:rsidRDefault="00F55395" w:rsidP="00F55395">
      <w:pPr>
        <w:pStyle w:val="NormalWeb"/>
        <w:ind w:left="720"/>
        <w:rPr>
          <w:rStyle w:val="Emphasis"/>
        </w:rPr>
      </w:pPr>
      <w:r>
        <w:t>***</w:t>
      </w:r>
      <w:r>
        <w:rPr>
          <w:rStyle w:val="Emphasis"/>
        </w:rPr>
        <w:t>.</w:t>
      </w:r>
    </w:p>
    <w:p w14:paraId="7350A028" w14:textId="77777777" w:rsidR="00F55395" w:rsidRDefault="00F55395" w:rsidP="00F55395">
      <w:pPr>
        <w:pStyle w:val="NormalWeb"/>
        <w:ind w:left="720"/>
      </w:pPr>
      <w:proofErr w:type="spellStart"/>
      <w:r>
        <w:t>Inendino's</w:t>
      </w:r>
      <w:proofErr w:type="spellEnd"/>
      <w:r>
        <w:t xml:space="preserve"> other Facebook posts contained in the OIG report contain a mix of fairly inflammatory politically and racially charged memes, including criticisms and personal attacks of [Chicago Mayor Lori] Lightfoot like, ‘you could take one out of the ghetto but can't take the ghetto out of them, what a dirty </w:t>
      </w:r>
      <w:proofErr w:type="spellStart"/>
      <w:r>
        <w:t>hoodrat</w:t>
      </w:r>
      <w:proofErr w:type="spellEnd"/>
      <w:r>
        <w:t xml:space="preserve"> she is,’ ‘hope she chokes on something,’ and ‘fluent in ghetto….’He also posted a petition to recall Lightfoot. </w:t>
      </w:r>
    </w:p>
    <w:p w14:paraId="771D0973" w14:textId="77777777" w:rsidR="00F55395" w:rsidRDefault="00F55395" w:rsidP="00F55395">
      <w:pPr>
        <w:pStyle w:val="NormalWeb"/>
        <w:ind w:left="720"/>
      </w:pPr>
      <w:r>
        <w:t>***</w:t>
      </w:r>
    </w:p>
    <w:p w14:paraId="300088C6" w14:textId="77777777" w:rsidR="00F55395" w:rsidRDefault="00F55395" w:rsidP="00F55395">
      <w:pPr>
        <w:pStyle w:val="NormalWeb"/>
        <w:ind w:left="720"/>
      </w:pPr>
      <w:r w:rsidRPr="007543F8">
        <w:t xml:space="preserve">Other examples contained in the OIG report include an image of pregnant black women, captioned, </w:t>
      </w:r>
      <w:r>
        <w:t>‘</w:t>
      </w:r>
      <w:r w:rsidRPr="007543F8">
        <w:t>the real housewives of public housing</w:t>
      </w:r>
      <w:r>
        <w:t xml:space="preserve">…; </w:t>
      </w:r>
      <w:r w:rsidRPr="007543F8">
        <w:t>various memes about black-on-black crime statistics</w:t>
      </w:r>
      <w:r>
        <w:t>…</w:t>
      </w:r>
      <w:r w:rsidRPr="007543F8">
        <w:t xml:space="preserve">; posts supporting a shooting at a protest in Kenosha, Wisconsin (including captions like, </w:t>
      </w:r>
      <w:r>
        <w:t>‘</w:t>
      </w:r>
      <w:r w:rsidRPr="007543F8">
        <w:t>Good for him should aim for the torso!!!</w:t>
      </w:r>
      <w:r>
        <w:t>’</w:t>
      </w:r>
      <w:r w:rsidRPr="007543F8">
        <w:t>)</w:t>
      </w:r>
      <w:r>
        <w:t>…</w:t>
      </w:r>
      <w:r w:rsidRPr="007543F8">
        <w:t>; comments about wanting to leave Chicago because of crime and protests</w:t>
      </w:r>
      <w:r>
        <w:t xml:space="preserve"> ….</w:t>
      </w:r>
      <w:r w:rsidRPr="007543F8">
        <w:t xml:space="preserve">; comments calling looters </w:t>
      </w:r>
      <w:r>
        <w:t>‘</w:t>
      </w:r>
      <w:r w:rsidRPr="007543F8">
        <w:t>animals</w:t>
      </w:r>
      <w:r>
        <w:t>’</w:t>
      </w:r>
      <w:r w:rsidRPr="007543F8">
        <w:t xml:space="preserve"> and implying they receive government aid</w:t>
      </w:r>
      <w:r>
        <w:t>…</w:t>
      </w:r>
      <w:r w:rsidRPr="007543F8">
        <w:t>; memes discussing why the shooting of Breonna Taylor was justified</w:t>
      </w:r>
      <w:r>
        <w:t xml:space="preserve"> …</w:t>
      </w:r>
      <w:r w:rsidRPr="007543F8">
        <w:t>; a post making fun of an Asian-American White House correspondent's accent</w:t>
      </w:r>
      <w:r>
        <w:t>…</w:t>
      </w:r>
      <w:r w:rsidRPr="007543F8">
        <w:t xml:space="preserve">; and a cartoon image of a truck running over stick figures with the caption, </w:t>
      </w:r>
      <w:r>
        <w:t>‘</w:t>
      </w:r>
      <w:r w:rsidRPr="007543F8">
        <w:t>All Lives Splatter. Nobody Cares About Your Protest. Keep Your Ass Out of the Road</w:t>
      </w:r>
      <w:r>
        <w:t xml:space="preserve">…’” </w:t>
      </w:r>
    </w:p>
    <w:p w14:paraId="1F8BE17C" w14:textId="77777777" w:rsidR="00F55395" w:rsidRPr="00AA1ACA" w:rsidRDefault="00F55395" w:rsidP="00F55395">
      <w:pPr>
        <w:pStyle w:val="NormalWeb"/>
        <w:rPr>
          <w:b/>
          <w:bCs/>
        </w:rPr>
      </w:pPr>
      <w:r w:rsidRPr="00AA1ACA">
        <w:rPr>
          <w:b/>
          <w:bCs/>
        </w:rPr>
        <w:t xml:space="preserve">Legal Lesson Learned: </w:t>
      </w:r>
      <w:r>
        <w:rPr>
          <w:b/>
          <w:bCs/>
        </w:rPr>
        <w:t>U</w:t>
      </w:r>
      <w:r w:rsidRPr="00AA1ACA">
        <w:rPr>
          <w:b/>
          <w:bCs/>
        </w:rPr>
        <w:t xml:space="preserve">nder the </w:t>
      </w:r>
      <w:r w:rsidRPr="00AA1ACA">
        <w:rPr>
          <w:b/>
          <w:bCs/>
          <w:u w:val="single"/>
        </w:rPr>
        <w:t xml:space="preserve">Pickering </w:t>
      </w:r>
      <w:r w:rsidRPr="00AA1ACA">
        <w:rPr>
          <w:b/>
          <w:bCs/>
        </w:rPr>
        <w:t xml:space="preserve">“balancing test” the City </w:t>
      </w:r>
      <w:r>
        <w:rPr>
          <w:b/>
          <w:bCs/>
        </w:rPr>
        <w:t xml:space="preserve">clearly </w:t>
      </w:r>
      <w:r w:rsidRPr="00AA1ACA">
        <w:rPr>
          <w:b/>
          <w:bCs/>
        </w:rPr>
        <w:t xml:space="preserve">has a legitimate interest in limiting </w:t>
      </w:r>
      <w:r>
        <w:rPr>
          <w:b/>
          <w:bCs/>
        </w:rPr>
        <w:t xml:space="preserve">Facebook posts that are </w:t>
      </w:r>
      <w:r w:rsidRPr="00AA1ACA">
        <w:rPr>
          <w:b/>
          <w:bCs/>
        </w:rPr>
        <w:t>highly offensive</w:t>
      </w:r>
      <w:r>
        <w:rPr>
          <w:b/>
          <w:bCs/>
        </w:rPr>
        <w:t xml:space="preserve"> to the public. </w:t>
      </w:r>
    </w:p>
    <w:p w14:paraId="4C02AE0D" w14:textId="77777777" w:rsidR="00F55395" w:rsidRDefault="00F55395" w:rsidP="00F326E5">
      <w:pPr>
        <w:pStyle w:val="NoSpacing"/>
        <w:rPr>
          <w:rFonts w:ascii="Arial Black" w:hAnsi="Arial Black"/>
          <w:sz w:val="24"/>
          <w:szCs w:val="24"/>
        </w:rPr>
      </w:pPr>
    </w:p>
    <w:p w14:paraId="63501D18" w14:textId="77777777" w:rsidR="00F55395" w:rsidRDefault="00F55395" w:rsidP="00F326E5">
      <w:pPr>
        <w:pStyle w:val="NoSpacing"/>
        <w:rPr>
          <w:rFonts w:ascii="Arial Black" w:hAnsi="Arial Black"/>
          <w:sz w:val="24"/>
          <w:szCs w:val="24"/>
        </w:rPr>
      </w:pPr>
    </w:p>
    <w:p w14:paraId="25F8105C" w14:textId="77777777" w:rsidR="00F55395" w:rsidRDefault="00F55395" w:rsidP="00F326E5">
      <w:pPr>
        <w:pStyle w:val="NoSpacing"/>
        <w:rPr>
          <w:rFonts w:ascii="Arial Black" w:hAnsi="Arial Black"/>
          <w:sz w:val="24"/>
          <w:szCs w:val="24"/>
        </w:rPr>
      </w:pPr>
    </w:p>
    <w:p w14:paraId="7229565A" w14:textId="13790D18" w:rsidR="00F31C1B" w:rsidRDefault="008A4533" w:rsidP="00F326E5">
      <w:pPr>
        <w:pStyle w:val="NoSpacing"/>
        <w:rPr>
          <w:rFonts w:ascii="Arial Black" w:hAnsi="Arial Black"/>
          <w:sz w:val="24"/>
          <w:szCs w:val="24"/>
        </w:rPr>
      </w:pPr>
      <w:r>
        <w:rPr>
          <w:rFonts w:ascii="Arial Black" w:hAnsi="Arial Black"/>
          <w:sz w:val="24"/>
          <w:szCs w:val="24"/>
        </w:rPr>
        <w:t>16-81</w:t>
      </w:r>
    </w:p>
    <w:p w14:paraId="09DDE34D" w14:textId="77777777" w:rsidR="008A4533" w:rsidRPr="00E15641" w:rsidRDefault="008A4533" w:rsidP="008A4533">
      <w:pPr>
        <w:pStyle w:val="NormalWeb"/>
        <w:rPr>
          <w:rFonts w:ascii="Arial Black" w:hAnsi="Arial Black"/>
          <w:b/>
          <w:bCs/>
          <w:sz w:val="28"/>
          <w:szCs w:val="28"/>
        </w:rPr>
      </w:pPr>
      <w:r>
        <w:rPr>
          <w:rFonts w:ascii="Arial Black" w:hAnsi="Arial Black"/>
          <w:b/>
          <w:bCs/>
          <w:sz w:val="28"/>
          <w:szCs w:val="28"/>
        </w:rPr>
        <w:t>OH: CLEVELAND EMS CAPTAIN FIRED – FACEBOOK POST – WISHED HE HAD KILLED TAMIR RICE – “BALANCING TEST”</w:t>
      </w:r>
    </w:p>
    <w:p w14:paraId="2065AA8F" w14:textId="77777777" w:rsidR="008A4533" w:rsidRDefault="008A4533" w:rsidP="008A4533">
      <w:pPr>
        <w:pStyle w:val="NormalWeb"/>
      </w:pPr>
      <w:r>
        <w:t xml:space="preserve">On Jan. 25, 2023, in </w:t>
      </w:r>
      <w:r w:rsidRPr="00DD39F8">
        <w:rPr>
          <w:u w:val="single"/>
        </w:rPr>
        <w:t>Jamie Marquardt v. Nicole Carlton, et al</w:t>
      </w:r>
      <w:r>
        <w:t xml:space="preserve">., the U.S. Court of Appeals for the Sixth Circuit (Cincinnati) held (3 to 0; unpublished decision) that U.S. District Court Judge in Cleveland properly granted summary judgment to the City of Cleveland; the City's interest as an employer outweighed Marquardt's free speech interest.  [T]he district court, applying the balancing test announced in </w:t>
      </w:r>
      <w:r>
        <w:rPr>
          <w:rStyle w:val="Emphasis"/>
        </w:rPr>
        <w:t>Pickering v. Board of Education</w:t>
      </w:r>
      <w:r>
        <w:t>, 391 U.S. 563 (1968), held that defendants were nonetheless entitled to summary judgment on Marquardt's First Amendment claim because the City's interest as an employer outweighed Marquardt's free speech interest. The Court of Appeals agreed. “Commissioner Carlton testified that she believed City services would be disrupted if Marquardt was identified as the author of the posts. Her conclusion, she explained, was informed by earlier ‘civil unrest within the City of Cleveland related to the Tamir Rice incident.’ Any visceral reaction to Marquardt's posts, Carlton predicted, would lead to further ‘protest[s],’ ‘disharmony amongst EMS staff,’ and employees ‘</w:t>
      </w:r>
      <w:proofErr w:type="spellStart"/>
      <w:r>
        <w:t>refus</w:t>
      </w:r>
      <w:proofErr w:type="spellEnd"/>
      <w:r>
        <w:t>[</w:t>
      </w:r>
      <w:proofErr w:type="spellStart"/>
      <w:r>
        <w:t>ing</w:t>
      </w:r>
      <w:proofErr w:type="spellEnd"/>
      <w:r>
        <w:t xml:space="preserve">] to work with Mr. Marquardt.’  Her conclusion is well taken. </w:t>
      </w:r>
      <w:hyperlink r:id="rId2699" w:history="1">
        <w:r w:rsidRPr="001F75F8">
          <w:rPr>
            <w:rStyle w:val="Hyperlink"/>
          </w:rPr>
          <w:t>https://law.justia.com/cases/federal/appellate-courts/ca6/21-3832/21-3832-2023-01-25.html</w:t>
        </w:r>
      </w:hyperlink>
      <w:r>
        <w:t xml:space="preserve"> </w:t>
      </w:r>
    </w:p>
    <w:p w14:paraId="774D0284" w14:textId="77777777" w:rsidR="008A4533" w:rsidRDefault="008A4533" w:rsidP="008A4533">
      <w:pPr>
        <w:pStyle w:val="NormalWeb"/>
        <w:ind w:left="720" w:firstLine="60"/>
      </w:pPr>
      <w:r>
        <w:t xml:space="preserve">“Eight years ago, twelve-year-old Tamir Rice was shot and killed by a police officer. What happened that day has been well documented. A 911 caller reported a ‘guy in the park with a pistol’ that was ‘probably fake.’ Dispatchers informed officers that there was a male sitting on a swing pointing a gun at people. Officers responded to the report. Within seconds of arriving at the park, one officer shot Rice. Rice's ‘pistol’ was later determined to be an airsoft gun with the orange toy markings removed. Cleveland EMS responded and transported Rice to the hospital. He died the next day from his injuries. Protestors, decrying the use of lethal force, flooded Cleveland's streets. The controversy over the shooting did not end in its immediate aftermath. Some fourteen months later, the event was once again the focus of national scrutiny when news broke that Cleveland EMS billed Rice's family $500 for his ambulance ride. </w:t>
      </w:r>
      <w:r>
        <w:rPr>
          <w:rStyle w:val="Emphasis"/>
        </w:rPr>
        <w:t>Marquardt v. Carlton</w:t>
      </w:r>
      <w:r>
        <w:t xml:space="preserve">, 971 F.3d 546, 550 (6th Cir. 2020) (citing Christine Hauser, </w:t>
      </w:r>
      <w:r>
        <w:rPr>
          <w:rStyle w:val="Emphasis"/>
        </w:rPr>
        <w:t>Cleveland Drops Attempt to Collect $500 From Tamir Rice Family</w:t>
      </w:r>
      <w:r>
        <w:t xml:space="preserve">, N.Y. Times (Feb. 11, 2016), </w:t>
      </w:r>
      <w:proofErr w:type="gramStart"/>
      <w:r>
        <w:t>https://www.nytimes.com/2016/02/12/us/cleveland-500-bill-tamir-rice-shooting.html</w:t>
      </w:r>
      <w:proofErr w:type="gramEnd"/>
      <w:r>
        <w:t xml:space="preserve"> (last accessed Jan. 23, 2023)).</w:t>
      </w:r>
    </w:p>
    <w:p w14:paraId="60668899" w14:textId="77777777" w:rsidR="008A4533" w:rsidRDefault="008A4533" w:rsidP="008A4533">
      <w:pPr>
        <w:pStyle w:val="NormalWeb"/>
        <w:ind w:left="720" w:firstLine="60"/>
      </w:pPr>
      <w:r>
        <w:t>***</w:t>
      </w:r>
    </w:p>
    <w:p w14:paraId="58933F28" w14:textId="77777777" w:rsidR="008A4533" w:rsidRDefault="008A4533" w:rsidP="008A4533">
      <w:pPr>
        <w:pStyle w:val="NormalWeb"/>
        <w:ind w:left="720" w:firstLine="60"/>
      </w:pPr>
      <w:r>
        <w:t xml:space="preserve">Just days later, two posts referring to the shooting appeared on the private Facebook page of Jamie Marquardt, a Cleveland EMS Captain. One stated, ‘Let me be the first on record to have the balls to say Tamir Rice should have been </w:t>
      </w:r>
      <w:proofErr w:type="gramStart"/>
      <w:r>
        <w:t>shot</w:t>
      </w:r>
      <w:proofErr w:type="gramEnd"/>
      <w:r>
        <w:t xml:space="preserve"> and I am glad he is dead</w:t>
      </w:r>
      <w:proofErr w:type="gramStart"/>
      <w:r>
        <w:t>.</w:t>
      </w:r>
      <w:proofErr w:type="gramEnd"/>
      <w:r>
        <w:t xml:space="preserve"> I wish I was in the park that day as he terrorized innocent patrons by pointing a gun at them walking around acting </w:t>
      </w:r>
      <w:proofErr w:type="gramStart"/>
      <w:r>
        <w:t>bad</w:t>
      </w:r>
      <w:proofErr w:type="gramEnd"/>
      <w:r>
        <w:t xml:space="preserve">. I am upset I did not get the chance to kill the little criminal fucker.’ The other said, ‘How would you feel if you were walking in the park and some ghetto rat pointed a gun </w:t>
      </w:r>
      <w:proofErr w:type="gramStart"/>
      <w:r>
        <w:t>in</w:t>
      </w:r>
      <w:proofErr w:type="gramEnd"/>
      <w:r>
        <w:t xml:space="preserve"> your face</w:t>
      </w:r>
      <w:proofErr w:type="gramStart"/>
      <w:r>
        <w:t>?</w:t>
      </w:r>
      <w:proofErr w:type="gramEnd"/>
      <w:r>
        <w:t xml:space="preserve"> Would you look to him as a hero? Cleveland sees this felony hood rat as a hero.’  Marquardt denied making the posts, deleted them, and created a new post disavowing their content.</w:t>
      </w:r>
    </w:p>
    <w:p w14:paraId="23EAB8C0" w14:textId="77777777" w:rsidR="008A4533" w:rsidRDefault="008A4533" w:rsidP="008A4533">
      <w:pPr>
        <w:pStyle w:val="NormalWeb"/>
        <w:ind w:left="720" w:firstLine="60"/>
      </w:pPr>
      <w:r>
        <w:t>***</w:t>
      </w:r>
    </w:p>
    <w:p w14:paraId="7EBE61B5" w14:textId="77777777" w:rsidR="008A4533" w:rsidRDefault="008A4533" w:rsidP="008A4533">
      <w:pPr>
        <w:pStyle w:val="NormalWeb"/>
        <w:ind w:left="720"/>
      </w:pPr>
      <w:r>
        <w:t xml:space="preserve">Two of Marquardt's co-workers, paramedics, saw the posts the morning they appeared. Both contacted EMS Captain Michael Threat. They expressed worry about Marquardt's wellbeing and the risk of </w:t>
      </w:r>
      <w:r>
        <w:lastRenderedPageBreak/>
        <w:t xml:space="preserve">"potential civil unrest" should the posts be seen by the public because there was already "a lot in the media" addressing the Rice incident. </w:t>
      </w:r>
    </w:p>
    <w:p w14:paraId="68B7534A" w14:textId="77777777" w:rsidR="008A4533" w:rsidRDefault="008A4533" w:rsidP="008A4533">
      <w:pPr>
        <w:pStyle w:val="NormalWeb"/>
        <w:ind w:left="720"/>
      </w:pPr>
      <w:r>
        <w:t xml:space="preserve">The reports made their way to EMS Commissioner Nicole Carlton. Carlton requested that the City's Office of Integrity Control investigate. During the investigation, Marquardt remained on the job, denying that he authored the posts. </w:t>
      </w:r>
    </w:p>
    <w:p w14:paraId="5C032582" w14:textId="77777777" w:rsidR="008A4533" w:rsidRDefault="008A4533" w:rsidP="008A4533">
      <w:pPr>
        <w:pStyle w:val="NormalWeb"/>
        <w:ind w:left="720"/>
      </w:pPr>
      <w:r>
        <w:t xml:space="preserve">Within three days of the posts appearing on Marquardt's Facebook page, they caught the eye of the Cleveland NAACP President, who condemned them in an article on Cleveland.com. By then, Marquardt acknowledges, the posts had become a national story. </w:t>
      </w:r>
    </w:p>
    <w:p w14:paraId="7FC2CE14" w14:textId="77777777" w:rsidR="008A4533" w:rsidRDefault="008A4533" w:rsidP="008A4533">
      <w:pPr>
        <w:pStyle w:val="NormalWeb"/>
        <w:ind w:left="720"/>
      </w:pPr>
      <w:r>
        <w:t xml:space="preserve">Roughly a month later, Carlton fired Marquardt, attributing authorship of the posts to him. By making those posts, Carlton concluded, Marquardt violated a host of policies-from EMS's mission statement, pledge to the community, and social media policy to the City's civil service commission rules. Marquardt's termination letter stated that the posts were inflammatory, caused disruption (emphasizing that Marquardt's co-workers ‘expressed concern for their own welfare and </w:t>
      </w:r>
      <w:proofErr w:type="gramStart"/>
      <w:r>
        <w:t>safety’)</w:t>
      </w:r>
      <w:proofErr w:type="gramEnd"/>
      <w:r>
        <w:t>, and cast the EMS division as ‘disrespectful of the tragedy.’</w:t>
      </w:r>
    </w:p>
    <w:p w14:paraId="6F68DE02" w14:textId="77777777" w:rsidR="008A4533" w:rsidRDefault="008A4533" w:rsidP="008A4533">
      <w:pPr>
        <w:pStyle w:val="NormalWeb"/>
        <w:ind w:left="720"/>
      </w:pPr>
      <w:r>
        <w:t>***</w:t>
      </w:r>
    </w:p>
    <w:p w14:paraId="2519DF99" w14:textId="77777777" w:rsidR="008A4533" w:rsidRDefault="008A4533" w:rsidP="008A4533">
      <w:pPr>
        <w:pStyle w:val="NormalWeb"/>
        <w:ind w:left="720"/>
      </w:pPr>
      <w:r>
        <w:t xml:space="preserve">All told, the charged speech at issue and its actual and predicted disruptive effect on the City's services tip the </w:t>
      </w:r>
      <w:r>
        <w:rPr>
          <w:rStyle w:val="Emphasis"/>
        </w:rPr>
        <w:t>Pickering</w:t>
      </w:r>
      <w:r>
        <w:t xml:space="preserve"> balance in its favor.”</w:t>
      </w:r>
    </w:p>
    <w:p w14:paraId="6CA3C792" w14:textId="77777777" w:rsidR="008A4533" w:rsidRPr="001D5000" w:rsidRDefault="008A4533" w:rsidP="008A4533">
      <w:pPr>
        <w:pStyle w:val="NormalWeb"/>
        <w:rPr>
          <w:b/>
          <w:bCs/>
        </w:rPr>
      </w:pPr>
      <w:r w:rsidRPr="001D5000">
        <w:rPr>
          <w:b/>
          <w:bCs/>
        </w:rPr>
        <w:t>Legal Lesson Learned:</w:t>
      </w:r>
      <w:r>
        <w:rPr>
          <w:b/>
          <w:bCs/>
        </w:rPr>
        <w:t xml:space="preserve"> Another career ended by stupid Facebook post. </w:t>
      </w:r>
    </w:p>
    <w:p w14:paraId="19486881" w14:textId="77777777" w:rsidR="008A4533" w:rsidRDefault="008A4533" w:rsidP="00F326E5">
      <w:pPr>
        <w:pStyle w:val="NoSpacing"/>
        <w:rPr>
          <w:rFonts w:ascii="Arial Black" w:hAnsi="Arial Black"/>
          <w:sz w:val="24"/>
          <w:szCs w:val="24"/>
        </w:rPr>
      </w:pPr>
    </w:p>
    <w:p w14:paraId="7A6DBC7D" w14:textId="77777777" w:rsidR="008A4533" w:rsidRDefault="008A4533" w:rsidP="00F326E5">
      <w:pPr>
        <w:pStyle w:val="NoSpacing"/>
        <w:rPr>
          <w:rFonts w:ascii="Arial Black" w:hAnsi="Arial Black"/>
          <w:sz w:val="24"/>
          <w:szCs w:val="24"/>
        </w:rPr>
      </w:pPr>
    </w:p>
    <w:p w14:paraId="5376902B" w14:textId="65FCB3C5" w:rsidR="008A4533" w:rsidRDefault="008A4533" w:rsidP="00F326E5">
      <w:pPr>
        <w:pStyle w:val="NoSpacing"/>
        <w:rPr>
          <w:rFonts w:ascii="Arial Black" w:hAnsi="Arial Black"/>
          <w:sz w:val="24"/>
          <w:szCs w:val="24"/>
        </w:rPr>
      </w:pPr>
      <w:r>
        <w:rPr>
          <w:rFonts w:ascii="Arial Black" w:hAnsi="Arial Black"/>
          <w:sz w:val="24"/>
          <w:szCs w:val="24"/>
        </w:rPr>
        <w:t>16-80</w:t>
      </w:r>
    </w:p>
    <w:p w14:paraId="28F382B1" w14:textId="20E98816" w:rsidR="008A4533" w:rsidRDefault="008A4533" w:rsidP="00F326E5">
      <w:pPr>
        <w:pStyle w:val="NoSpacing"/>
        <w:rPr>
          <w:rFonts w:ascii="Arial Black" w:hAnsi="Arial Black"/>
          <w:sz w:val="24"/>
          <w:szCs w:val="24"/>
        </w:rPr>
      </w:pPr>
    </w:p>
    <w:p w14:paraId="127A89A6" w14:textId="77777777" w:rsidR="008A4533" w:rsidRPr="00CE7EC2" w:rsidRDefault="008A4533" w:rsidP="008A4533">
      <w:pPr>
        <w:pStyle w:val="NormalWeb"/>
        <w:rPr>
          <w:rFonts w:ascii="Arial Black" w:hAnsi="Arial Black"/>
          <w:sz w:val="28"/>
          <w:szCs w:val="28"/>
        </w:rPr>
      </w:pPr>
      <w:r>
        <w:rPr>
          <w:rFonts w:ascii="Arial Black" w:hAnsi="Arial Black"/>
          <w:sz w:val="28"/>
          <w:szCs w:val="28"/>
        </w:rPr>
        <w:t xml:space="preserve">DC: U.S. AIR FORCE FIRE CHIEF – ALLOWED OVERTIME – FIRING REDUCED 14-DAY SUSP – LATE APPEAL BY AGENCY </w:t>
      </w:r>
    </w:p>
    <w:p w14:paraId="01FF5989" w14:textId="77777777" w:rsidR="008A4533" w:rsidRDefault="008A4533" w:rsidP="008A4533">
      <w:pPr>
        <w:pStyle w:val="NormalWeb"/>
      </w:pPr>
      <w:r>
        <w:t xml:space="preserve">On Jan. 18, 2023, in </w:t>
      </w:r>
      <w:r w:rsidRPr="009903F1">
        <w:rPr>
          <w:u w:val="single"/>
        </w:rPr>
        <w:t>Derick Eshelman v. Department of the Air Force</w:t>
      </w:r>
      <w:r>
        <w:t>, the U.S. Merit Systems Protection Board held (3 to 0; but concurring opinion) that they will not overturn the Administrative Judge’s decision since the Air Force missed filing an appeal through the e-Appeal system (only missed deadline by several minutes), without good explanation for the late filing.  The Fire Chief was assigned to a British air base, Royal Air Force (RAF) Croughton.  For three years he and other firefighters worked unauthorized overtime, at a higher rate of pay, at cost of approximately $263,000.  The Fire Chief’s supervisor sought to terminate him for conduct unbecoming an officer. The Chief acknowledged errors:  “</w:t>
      </w:r>
      <w:r w:rsidRPr="00DA4BE2">
        <w:t xml:space="preserve">Although I felt I had good reasons to work the embedded schedule, the extra money earned from the additional time worked was a benefit that was part of the decision. The money aspect made it worth doing all the extra hours and is and was simply the wrong thing to do. I </w:t>
      </w:r>
      <w:proofErr w:type="spellStart"/>
      <w:r w:rsidRPr="00DA4BE2">
        <w:t>tru</w:t>
      </w:r>
      <w:r>
        <w:t>e</w:t>
      </w:r>
      <w:r w:rsidRPr="00DA4BE2">
        <w:t>ly</w:t>
      </w:r>
      <w:proofErr w:type="spellEnd"/>
      <w:r w:rsidRPr="00DA4BE2">
        <w:t xml:space="preserve"> [sic] regret costing the Air Force </w:t>
      </w:r>
      <w:proofErr w:type="gramStart"/>
      <w:r w:rsidRPr="00DA4BE2">
        <w:t>the additional</w:t>
      </w:r>
      <w:proofErr w:type="gramEnd"/>
      <w:r w:rsidRPr="00DA4BE2">
        <w:t xml:space="preserve"> money . . . I should have listened to those around me and those trying to help get me on the right path.</w:t>
      </w:r>
      <w:r>
        <w:t xml:space="preserve">” The Board did not accept excuse for the late filing of the </w:t>
      </w:r>
      <w:proofErr w:type="gramStart"/>
      <w:r>
        <w:t>appeal, and</w:t>
      </w:r>
      <w:proofErr w:type="gramEnd"/>
      <w:r>
        <w:t xml:space="preserve"> held: “Although the agency's petition for review was untimely by mere minutes, we are not persuaded by the explanation provided. The agency's representative is familiar with the e-Appeal system, having used it throughout this appeal…. She is also familiar with the potential consequences of her untimeliness, having been sanctioned for her untimeliness below…. Nevertheless, the Board's e-Appeal logs indicate that she did not log into the system to begin the process of filing the petition for review until 11:38 p.m. on the day it was due…. Moreover, as detailed above, although the agency asserts that there were two failed </w:t>
      </w:r>
      <w:r>
        <w:lastRenderedPageBreak/>
        <w:t xml:space="preserve">attempts at filing the petition before the deadline to do so, the Board's e-Appeal logs reflect otherwise…. Accordingly, we dismiss the petition for review as untimely filed.” </w:t>
      </w:r>
      <w:hyperlink r:id="rId2700" w:history="1">
        <w:r w:rsidRPr="00D25822">
          <w:rPr>
            <w:rStyle w:val="Hyperlink"/>
          </w:rPr>
          <w:t>https://public.fastcase.com/J%2FJP6pdidelsXxEE4k%2BLMtME52xOaCaWV6UEDIP7bM8%2BFioZsbaXPEF4Uybj3YzCUfNXrAB4VqpO9mZPyOoJgEUGCgAECduXHqgYvcPti4I%3D?utm_medium=email&amp;_hsmi=226712652&amp;_hsenc=p2ANqtz--o5Z4w0RvL2X6ywspxSAhs9CG2i2QDJ7wcq_MEc7ECUlDYedCzwhXzcOpR3uJdZVvbiJhZF7E92unvtoIdalIehJ_GiA&amp;utm_content=226712652&amp;utm_source=hs_email</w:t>
        </w:r>
      </w:hyperlink>
      <w:r>
        <w:t xml:space="preserve"> </w:t>
      </w:r>
    </w:p>
    <w:p w14:paraId="3C1A8109" w14:textId="77777777" w:rsidR="008A4533" w:rsidRDefault="008A4533" w:rsidP="008A4533">
      <w:pPr>
        <w:pStyle w:val="NormalWeb"/>
      </w:pPr>
      <w:r>
        <w:t xml:space="preserve">Concurring Opinion by Member Tristan L. Leavitt made it clear she disagreed with reduced punishment.  </w:t>
      </w:r>
    </w:p>
    <w:p w14:paraId="5FD50CD0" w14:textId="77777777" w:rsidR="008A4533" w:rsidRDefault="008A4533" w:rsidP="008A4533">
      <w:pPr>
        <w:pStyle w:val="NormalWeb"/>
        <w:ind w:left="720"/>
      </w:pPr>
      <w:r>
        <w:t xml:space="preserve"> “I write separately to express my disagreement with the administrative judge's determination to mitigate the penalty of removal to a 14-day suspension.</w:t>
      </w:r>
    </w:p>
    <w:p w14:paraId="0B59708A" w14:textId="77777777" w:rsidR="008A4533" w:rsidRDefault="008A4533" w:rsidP="008A4533">
      <w:pPr>
        <w:pStyle w:val="NormalWeb"/>
        <w:ind w:left="720"/>
      </w:pPr>
      <w:r>
        <w:t>[The Fire Chief’s supervisor wrote] ‘The offense of working longer hours than authorized is a very serious one…’ He considered the appellant's supervisory role, finding ‘the level of trust required to be a manager and supervisor of other fire fighters has been tarnished significantly’ and that the appellant …cannot continue to service in the leadership role because his trustworthiness is in question.’”</w:t>
      </w:r>
    </w:p>
    <w:p w14:paraId="013F23F8" w14:textId="77777777" w:rsidR="008A4533" w:rsidRPr="008A4533" w:rsidRDefault="008A4533" w:rsidP="008A4533">
      <w:pPr>
        <w:pStyle w:val="NormalWeb"/>
        <w:rPr>
          <w:rStyle w:val="Emphasis"/>
          <w:b/>
          <w:bCs/>
          <w:i w:val="0"/>
          <w:iCs w:val="0"/>
        </w:rPr>
      </w:pPr>
      <w:r w:rsidRPr="008A4533">
        <w:rPr>
          <w:rStyle w:val="Emphasis"/>
          <w:b/>
          <w:bCs/>
          <w:i w:val="0"/>
          <w:iCs w:val="0"/>
        </w:rPr>
        <w:t>Legal Lesson Learned:  Late appeal by the U.S. Air Force representative.</w:t>
      </w:r>
    </w:p>
    <w:p w14:paraId="3A1667EB" w14:textId="089D777E" w:rsidR="008A4533" w:rsidRDefault="008A4533" w:rsidP="00F326E5">
      <w:pPr>
        <w:pStyle w:val="NoSpacing"/>
        <w:rPr>
          <w:rFonts w:ascii="Arial Black" w:hAnsi="Arial Black"/>
          <w:sz w:val="24"/>
          <w:szCs w:val="24"/>
        </w:rPr>
      </w:pPr>
    </w:p>
    <w:p w14:paraId="1BFDDD70" w14:textId="7C863EFF" w:rsidR="008A4533" w:rsidRDefault="008A4533" w:rsidP="00F326E5">
      <w:pPr>
        <w:pStyle w:val="NoSpacing"/>
        <w:rPr>
          <w:rFonts w:ascii="Arial Black" w:hAnsi="Arial Black"/>
          <w:sz w:val="24"/>
          <w:szCs w:val="24"/>
        </w:rPr>
      </w:pPr>
      <w:r>
        <w:rPr>
          <w:rFonts w:ascii="Arial Black" w:hAnsi="Arial Black"/>
          <w:sz w:val="24"/>
          <w:szCs w:val="24"/>
        </w:rPr>
        <w:t>16-79</w:t>
      </w:r>
    </w:p>
    <w:p w14:paraId="3E44D8C2" w14:textId="6ED28FAD" w:rsidR="008A4533" w:rsidRDefault="008A4533" w:rsidP="00F326E5">
      <w:pPr>
        <w:pStyle w:val="NoSpacing"/>
        <w:rPr>
          <w:rFonts w:ascii="Arial Black" w:hAnsi="Arial Black"/>
          <w:sz w:val="24"/>
          <w:szCs w:val="24"/>
        </w:rPr>
      </w:pPr>
    </w:p>
    <w:p w14:paraId="1E62A913" w14:textId="77777777" w:rsidR="008A4533" w:rsidRPr="00261417" w:rsidRDefault="008A4533" w:rsidP="008A4533">
      <w:pPr>
        <w:pStyle w:val="NormalWeb"/>
        <w:rPr>
          <w:rFonts w:ascii="Arial Black" w:hAnsi="Arial Black"/>
          <w:sz w:val="28"/>
          <w:szCs w:val="28"/>
        </w:rPr>
      </w:pPr>
      <w:r>
        <w:rPr>
          <w:rFonts w:ascii="Arial Black" w:hAnsi="Arial Black"/>
          <w:sz w:val="28"/>
          <w:szCs w:val="28"/>
        </w:rPr>
        <w:t>NJ: FF DISPUTE WITH ANOTHER FF – FIRED GUN INTO APARTMENT DOOR –TERMINATION UPHELD, LATE APPEAL</w:t>
      </w:r>
    </w:p>
    <w:p w14:paraId="49FCF174" w14:textId="77777777" w:rsidR="008A4533" w:rsidRDefault="008A4533" w:rsidP="008A4533">
      <w:pPr>
        <w:pStyle w:val="ekqk"/>
      </w:pPr>
      <w:r>
        <w:t xml:space="preserve">On Jan. 9, 2023, </w:t>
      </w:r>
      <w:r w:rsidRPr="00261417">
        <w:rPr>
          <w:u w:val="single"/>
        </w:rPr>
        <w:t xml:space="preserve">In The Matter Of </w:t>
      </w:r>
      <w:proofErr w:type="spellStart"/>
      <w:r w:rsidRPr="00261417">
        <w:rPr>
          <w:u w:val="single"/>
        </w:rPr>
        <w:t>Gamill</w:t>
      </w:r>
      <w:proofErr w:type="spellEnd"/>
      <w:r w:rsidRPr="00261417">
        <w:rPr>
          <w:u w:val="single"/>
        </w:rPr>
        <w:t xml:space="preserve"> Haidara, City of Newark, Fire Department</w:t>
      </w:r>
      <w:r>
        <w:t xml:space="preserve">, the Superior Court of New Jersey, Appellate Division, held (2 to 0) that the Civil Service Commission properly refused to hear his request for a hearing – he and his attorney failed to timely file the request.  After his arrest on March 1, </w:t>
      </w:r>
      <w:proofErr w:type="gramStart"/>
      <w:r>
        <w:t>2016</w:t>
      </w:r>
      <w:proofErr w:type="gramEnd"/>
      <w:r>
        <w:t xml:space="preserve"> for firing gun through apartment door of another Newark firefighter [see below article], he was suspended without pay and eventually terminated. He had 21 days (Aug. 13, 2018) to file his request for a hearing with the city’s Civil Service Commission; he retained an attorney and then left the country to help an ailing relative.  Upon return to USA on Sept. 16, 2018, he learned that no request for a hearing was ever filed; he retained another attorney who sought unsuccessfully to negotiate a return-to-work agreement, and didn’t file a request for hearing until May 30, 2019; it was denied by the Commission on July 1, 2019; subsequent request for reconsideration was also denied. The Court of Appeals agreed with the Commission. “On the facts presented here, Haidara's two-year delay in filing for reconsideration prejudiced the </w:t>
      </w:r>
      <w:proofErr w:type="gramStart"/>
      <w:r>
        <w:t>City</w:t>
      </w:r>
      <w:proofErr w:type="gramEnd"/>
      <w:r>
        <w:t xml:space="preserve">, thereby precluding a finding of good cause.” </w:t>
      </w:r>
      <w:hyperlink r:id="rId2701" w:history="1">
        <w:r w:rsidRPr="00346E6A">
          <w:rPr>
            <w:rStyle w:val="Hyperlink"/>
          </w:rPr>
          <w:t>https://www.njcourts.gov/sites/default/files/court-opinions/2023/a3688-20.pdf</w:t>
        </w:r>
      </w:hyperlink>
      <w:r>
        <w:t xml:space="preserve"> </w:t>
      </w:r>
    </w:p>
    <w:p w14:paraId="07C7C7C9" w14:textId="77777777" w:rsidR="008A4533" w:rsidRPr="00373FBE" w:rsidRDefault="008A4533" w:rsidP="008A4533">
      <w:pPr>
        <w:pStyle w:val="ekqk"/>
        <w:ind w:left="720"/>
        <w:rPr>
          <w:sz w:val="20"/>
          <w:szCs w:val="20"/>
        </w:rPr>
      </w:pPr>
      <w:r>
        <w:t xml:space="preserve">See March 2, </w:t>
      </w:r>
      <w:proofErr w:type="gramStart"/>
      <w:r>
        <w:t>2016</w:t>
      </w:r>
      <w:proofErr w:type="gramEnd"/>
      <w:r>
        <w:t xml:space="preserve"> article about his arrest: “</w:t>
      </w:r>
      <w:r w:rsidRPr="00373FBE">
        <w:rPr>
          <w:b/>
          <w:bCs/>
        </w:rPr>
        <w:t>At-home dispute between Newark firefighters end in gunfire, arrest</w:t>
      </w:r>
      <w:r>
        <w:rPr>
          <w:b/>
          <w:bCs/>
        </w:rPr>
        <w:t>.”</w:t>
      </w:r>
      <w:r w:rsidRPr="00373FBE">
        <w:rPr>
          <w:b/>
          <w:bCs/>
        </w:rPr>
        <w:t xml:space="preserve"> </w:t>
      </w:r>
      <w:hyperlink r:id="rId2702" w:history="1">
        <w:r w:rsidRPr="00373FBE">
          <w:rPr>
            <w:rStyle w:val="Hyperlink"/>
          </w:rPr>
          <w:t>https://abc7ny.com/newark-firefighters-firefighter-arrest-gunfire/1228031/</w:t>
        </w:r>
      </w:hyperlink>
      <w:r w:rsidRPr="00373FBE">
        <w:rPr>
          <w:sz w:val="20"/>
          <w:szCs w:val="20"/>
        </w:rPr>
        <w:t xml:space="preserve"> </w:t>
      </w:r>
    </w:p>
    <w:p w14:paraId="164818ED" w14:textId="77777777" w:rsidR="008A4533" w:rsidRDefault="008A4533" w:rsidP="008A4533">
      <w:pPr>
        <w:pStyle w:val="ekqk"/>
        <w:ind w:left="720"/>
      </w:pPr>
      <w:r>
        <w:t xml:space="preserve">“NEWARK, New Jersey -- Newark authorities say a dispute between two city firefighters at a home where they both live ended with one firing a shot through the other man's apartment door. Gamil Haidara faces several weapons charges. He's been suspended without pay. Authorities say the firefighters live in separate apartments at the Clifton Avenue home. They were arguing late Tuesday night when Haidara allegedly pulled out a gun. The victim ran into his apartment, and authorities say Haidara eventually fired one shot into the door before fleeing the building. Two police officers who happened to be in the area saw Haidara running with a gun in his hand. He was soon arrested. Haidara </w:t>
      </w:r>
      <w:r>
        <w:lastRenderedPageBreak/>
        <w:t>has been a city firefighter for eight years. Authorities say he was being treated at a hospital for ‘unspecified symptoms,’ but declined further comment. It wasn't known Wednesday if he's retained an attorney.”</w:t>
      </w:r>
    </w:p>
    <w:p w14:paraId="66F10AB2" w14:textId="77777777" w:rsidR="008A4533" w:rsidRPr="00174DB6" w:rsidRDefault="008A4533" w:rsidP="008A4533">
      <w:pPr>
        <w:pStyle w:val="ekqk"/>
        <w:rPr>
          <w:b/>
          <w:bCs/>
        </w:rPr>
      </w:pPr>
      <w:r w:rsidRPr="00174DB6">
        <w:rPr>
          <w:b/>
          <w:bCs/>
        </w:rPr>
        <w:t>Legal Lesson Learned</w:t>
      </w:r>
      <w:r>
        <w:rPr>
          <w:b/>
          <w:bCs/>
        </w:rPr>
        <w:t xml:space="preserve">: Termination for firing </w:t>
      </w:r>
      <w:proofErr w:type="gramStart"/>
      <w:r>
        <w:rPr>
          <w:b/>
          <w:bCs/>
        </w:rPr>
        <w:t>gun</w:t>
      </w:r>
      <w:proofErr w:type="gramEnd"/>
      <w:r>
        <w:rPr>
          <w:b/>
          <w:bCs/>
        </w:rPr>
        <w:t xml:space="preserve"> through apartment door is highly likely going to result in termination. </w:t>
      </w:r>
    </w:p>
    <w:p w14:paraId="5DFCB6D4" w14:textId="77777777" w:rsidR="00D55B6E" w:rsidRDefault="00D55B6E" w:rsidP="00F326E5">
      <w:pPr>
        <w:pStyle w:val="NoSpacing"/>
        <w:rPr>
          <w:rFonts w:ascii="Arial Black" w:hAnsi="Arial Black"/>
          <w:sz w:val="24"/>
          <w:szCs w:val="24"/>
        </w:rPr>
      </w:pPr>
    </w:p>
    <w:p w14:paraId="1EDED03E" w14:textId="0891D749" w:rsidR="008A4533" w:rsidRDefault="008A4533" w:rsidP="00F326E5">
      <w:pPr>
        <w:pStyle w:val="NoSpacing"/>
        <w:rPr>
          <w:rFonts w:ascii="Arial Black" w:hAnsi="Arial Black"/>
          <w:sz w:val="24"/>
          <w:szCs w:val="24"/>
        </w:rPr>
      </w:pPr>
      <w:r>
        <w:rPr>
          <w:rFonts w:ascii="Arial Black" w:hAnsi="Arial Black"/>
          <w:sz w:val="24"/>
          <w:szCs w:val="24"/>
        </w:rPr>
        <w:t>16-78</w:t>
      </w:r>
    </w:p>
    <w:p w14:paraId="65B76E9B" w14:textId="77777777" w:rsidR="008A4533" w:rsidRPr="00265C24" w:rsidRDefault="008A4533" w:rsidP="008A4533">
      <w:pPr>
        <w:pStyle w:val="NormalWeb"/>
        <w:rPr>
          <w:rFonts w:ascii="Arial Black" w:hAnsi="Arial Black"/>
          <w:sz w:val="28"/>
          <w:szCs w:val="28"/>
        </w:rPr>
      </w:pPr>
      <w:r>
        <w:rPr>
          <w:rFonts w:ascii="Arial Black" w:hAnsi="Arial Black"/>
          <w:sz w:val="28"/>
          <w:szCs w:val="28"/>
        </w:rPr>
        <w:t>CT: FF FIRED FIGHT IN STATION - ARRESTED – “HOSTILE WORKPLACE” CLAIM LACKS SPECIFICS – CAN REFILE</w:t>
      </w:r>
    </w:p>
    <w:p w14:paraId="491B2340" w14:textId="77777777" w:rsidR="008A4533" w:rsidRDefault="008A4533" w:rsidP="008A4533">
      <w:pPr>
        <w:pStyle w:val="NormalWeb"/>
      </w:pPr>
      <w:r>
        <w:t xml:space="preserve">On Jan. 6, 2023, in </w:t>
      </w:r>
      <w:r w:rsidRPr="00265C24">
        <w:rPr>
          <w:u w:val="single"/>
        </w:rPr>
        <w:t>Michael Apatow v. Town of Stratford, et al</w:t>
      </w:r>
      <w:r>
        <w:t>., U.S. District Court Judge Janet C. Hall, U.S. District Court for District of Connecticut, granted the defense motion to dismiss.  The firefighter alleges he has PTSD from hostilities from fellow firefighters.  After 13 years on the FD, he was fired on Dec. 20, 2018.  He was arrested and fired for another incident where a firefighter “hid essential components of the plaintiff's fire safety gear…. While tensions were high, another firefighter intervened and cornered Apatow…. This intimidation ‘</w:t>
      </w:r>
      <w:proofErr w:type="spellStart"/>
      <w:r>
        <w:t>forc</w:t>
      </w:r>
      <w:proofErr w:type="spellEnd"/>
      <w:r>
        <w:t xml:space="preserve">[ed Apatow]’ to defend himself.”  Judge held: “However, there are no allegations that the defendants lied to police or made a false report to induce Apatow's arrest. Indeed, Apatow readily admits that he participated in a physical altercation with a colleague…which appears to be the grounds for the call to police, his arrest, and his prosecution… Additionally, if Apatow is alleging that the circumstances of his termination - including the call to police, his arrest, and his subsequent prosecution-were extreme and outrageous, his claim also fails. ‘Connecticut courts have held that a report to the police typically does not constitute the type of ‘extreme and outrageous' conduct necessary to support a claim for intentional infliction of emotional distress.” </w:t>
      </w:r>
      <w:hyperlink r:id="rId2703" w:history="1">
        <w:r w:rsidRPr="00D25822">
          <w:rPr>
            <w:rStyle w:val="Hyperlink"/>
          </w:rPr>
          <w:t>https://public.fastcase.com/J%2FJP6pdidelsXxEE4k%2BLMvAA4wdVAozHclcXP6KMfdj8CYqWYkZ5IhtTDMjNxRFWt37yGVInB8Zz%2FIGBMgeG32vITwI53h9KaHKQGHtOktA%3D?utm_medium=email&amp;_hsmi=226712652&amp;_hsenc=p2ANqtz-_Mw2AEs2jMeK8CMsm-FXL9B_q1HIVWLrxWyxNhgUshAzXtvMAG3R8e40Q3eYuBvp5AUcCDxAlMrpInvyyHAC9DF5hGYw&amp;utm_content=226712652&amp;utm_source=hs_email</w:t>
        </w:r>
      </w:hyperlink>
      <w:r>
        <w:t xml:space="preserve"> </w:t>
      </w:r>
    </w:p>
    <w:p w14:paraId="3124259E" w14:textId="77777777" w:rsidR="008A4533" w:rsidRDefault="008A4533" w:rsidP="008A4533">
      <w:pPr>
        <w:pStyle w:val="NormalWeb"/>
      </w:pPr>
      <w:r>
        <w:t xml:space="preserve">Plaintiff alleges hostile workplace; given 21 days to refile with more details. </w:t>
      </w:r>
    </w:p>
    <w:p w14:paraId="52C3F04B" w14:textId="77777777" w:rsidR="008A4533" w:rsidRDefault="008A4533" w:rsidP="008A4533">
      <w:pPr>
        <w:pStyle w:val="NormalWeb"/>
        <w:ind w:left="720"/>
      </w:pPr>
      <w:r>
        <w:t xml:space="preserve">His “time with the SFD was also marred by epithets from his fellow firefighters in reference to his girlfriend's Black son as well as a working environment that was generally ‘exceedingly hostile and intimidating….’ Heated arguments were a regular occurrence in the firehouse, and these disagreements were known to escalate to violence… On one occasion, a colleague threw a wooden cutting board in a ‘frisbee-like’ manner at the plaintiff.  Apatow attempted to file a written complaint about the incident, but it was refused by the Assistant Chief, who directed him instead to ‘go out back and fight, fight it out….’ The firefighter who flung the cutting board at Apatow faced no disciplinary action, and supervisors at the SFD took ‘no steps’ to ameliorate the hostility among the firefighters…. The state of the work environment induced Post Traumatic Stress </w:t>
      </w:r>
      <w:proofErr w:type="gramStart"/>
      <w:r>
        <w:t>Disorder (‘</w:t>
      </w:r>
      <w:proofErr w:type="gramEnd"/>
      <w:r>
        <w:t xml:space="preserve">PTSD’) and cardiac distress for </w:t>
      </w:r>
      <w:proofErr w:type="gramStart"/>
      <w:r>
        <w:t>Apatow.”</w:t>
      </w:r>
      <w:proofErr w:type="gramEnd"/>
    </w:p>
    <w:p w14:paraId="41E65B8A" w14:textId="77777777" w:rsidR="008A4533" w:rsidRDefault="008A4533" w:rsidP="008A4533">
      <w:pPr>
        <w:pStyle w:val="NormalWeb"/>
        <w:ind w:left="720"/>
      </w:pPr>
      <w:r>
        <w:t>***</w:t>
      </w:r>
    </w:p>
    <w:p w14:paraId="3D52A55C" w14:textId="77777777" w:rsidR="008A4533" w:rsidRDefault="008A4533" w:rsidP="008A4533">
      <w:pPr>
        <w:pStyle w:val="NormalWeb"/>
        <w:ind w:left="720"/>
      </w:pPr>
      <w:r>
        <w:t xml:space="preserve">“The Complaint does not provide detail on the incident that the defendants allege led to Apatow's firing-noting only that the plaintiff was forced to ‘defendant [sic] himself,’ </w:t>
      </w:r>
    </w:p>
    <w:p w14:paraId="269E874D" w14:textId="77777777" w:rsidR="008A4533" w:rsidRDefault="008A4533" w:rsidP="008A4533">
      <w:pPr>
        <w:pStyle w:val="NormalWeb"/>
        <w:ind w:left="720"/>
      </w:pPr>
      <w:r>
        <w:t>***</w:t>
      </w:r>
    </w:p>
    <w:p w14:paraId="2AB95663" w14:textId="77777777" w:rsidR="008A4533" w:rsidRDefault="008A4533" w:rsidP="008A4533">
      <w:pPr>
        <w:pStyle w:val="NormalWeb"/>
        <w:ind w:left="720"/>
      </w:pPr>
      <w:r>
        <w:lastRenderedPageBreak/>
        <w:t>It is unclear from the Complaint and Apatow's Memorandum in Opposition precisely what conduct he alleges is extreme and outrageous. If Apatow intends to assert that it was the discrimination and retaliation he experienced at SFD, his claim fails.</w:t>
      </w:r>
    </w:p>
    <w:p w14:paraId="2333DD66" w14:textId="77777777" w:rsidR="008A4533" w:rsidRDefault="008A4533" w:rsidP="008A4533">
      <w:pPr>
        <w:pStyle w:val="NormalWeb"/>
        <w:ind w:left="720"/>
      </w:pPr>
      <w:r>
        <w:t>***</w:t>
      </w:r>
    </w:p>
    <w:p w14:paraId="17C145D5" w14:textId="77777777" w:rsidR="008A4533" w:rsidRDefault="008A4533" w:rsidP="008A4533">
      <w:pPr>
        <w:pStyle w:val="NormalWeb"/>
        <w:ind w:left="720"/>
      </w:pPr>
      <w:r>
        <w:t xml:space="preserve">Additionally, if Apatow is alleging that the circumstances of his termination- including the call to police, his arrest, and his subsequent prosecution-were extreme and outrageous, his claim also </w:t>
      </w:r>
      <w:proofErr w:type="gramStart"/>
      <w:r>
        <w:t>fails.”</w:t>
      </w:r>
      <w:proofErr w:type="gramEnd"/>
    </w:p>
    <w:p w14:paraId="6CA0C38F" w14:textId="77777777" w:rsidR="008A4533" w:rsidRPr="00EC4449" w:rsidRDefault="008A4533" w:rsidP="008A4533">
      <w:pPr>
        <w:pStyle w:val="NormalWeb"/>
        <w:rPr>
          <w:b/>
          <w:bCs/>
        </w:rPr>
      </w:pPr>
      <w:r w:rsidRPr="00EC4449">
        <w:rPr>
          <w:b/>
          <w:bCs/>
        </w:rPr>
        <w:t xml:space="preserve">Legal Lesson Learned: </w:t>
      </w:r>
      <w:r>
        <w:rPr>
          <w:b/>
          <w:bCs/>
        </w:rPr>
        <w:t>FD may call police for an assault by a firefighter.</w:t>
      </w:r>
    </w:p>
    <w:p w14:paraId="00AF7210" w14:textId="77777777" w:rsidR="008A4533" w:rsidRDefault="008A4533" w:rsidP="00F326E5">
      <w:pPr>
        <w:pStyle w:val="NoSpacing"/>
        <w:rPr>
          <w:rFonts w:ascii="Arial Black" w:hAnsi="Arial Black"/>
          <w:sz w:val="24"/>
          <w:szCs w:val="24"/>
        </w:rPr>
      </w:pPr>
    </w:p>
    <w:p w14:paraId="24E5C927" w14:textId="77777777" w:rsidR="008A4533" w:rsidRDefault="008A4533" w:rsidP="00F326E5">
      <w:pPr>
        <w:pStyle w:val="NoSpacing"/>
        <w:rPr>
          <w:rFonts w:ascii="Arial Black" w:hAnsi="Arial Black"/>
          <w:sz w:val="24"/>
          <w:szCs w:val="24"/>
        </w:rPr>
      </w:pPr>
    </w:p>
    <w:p w14:paraId="0F0729F3" w14:textId="77777777" w:rsidR="008A4533" w:rsidRDefault="008A4533" w:rsidP="00F326E5">
      <w:pPr>
        <w:pStyle w:val="NoSpacing"/>
        <w:rPr>
          <w:rFonts w:ascii="Arial Black" w:hAnsi="Arial Black"/>
          <w:sz w:val="24"/>
          <w:szCs w:val="24"/>
        </w:rPr>
      </w:pPr>
    </w:p>
    <w:p w14:paraId="1CC312D7" w14:textId="723C5148" w:rsidR="00F31C1B" w:rsidRDefault="00F31C1B" w:rsidP="00F326E5">
      <w:pPr>
        <w:pStyle w:val="NoSpacing"/>
        <w:rPr>
          <w:rFonts w:ascii="Arial Black" w:hAnsi="Arial Black"/>
          <w:sz w:val="24"/>
          <w:szCs w:val="24"/>
        </w:rPr>
      </w:pPr>
      <w:r>
        <w:rPr>
          <w:rFonts w:ascii="Arial Black" w:hAnsi="Arial Black"/>
          <w:sz w:val="24"/>
          <w:szCs w:val="24"/>
        </w:rPr>
        <w:t>16-77</w:t>
      </w:r>
    </w:p>
    <w:p w14:paraId="345D3183" w14:textId="044A0562" w:rsidR="00F31C1B" w:rsidRDefault="00F31C1B" w:rsidP="00F31C1B">
      <w:pPr>
        <w:pStyle w:val="NormalWeb"/>
        <w:rPr>
          <w:rFonts w:ascii="Arial Black" w:hAnsi="Arial Black"/>
          <w:b/>
          <w:bCs/>
          <w:sz w:val="28"/>
          <w:szCs w:val="28"/>
        </w:rPr>
      </w:pPr>
      <w:r>
        <w:rPr>
          <w:rFonts w:ascii="Arial Black" w:hAnsi="Arial Black"/>
          <w:b/>
          <w:bCs/>
          <w:sz w:val="28"/>
          <w:szCs w:val="28"/>
        </w:rPr>
        <w:t>NM: LT. DISCIPLINED FOR “PUSHING HIS RELIGION” – WORKPLACE HOSTILITY NOT SEVERE AND PERVASIVE</w:t>
      </w:r>
    </w:p>
    <w:p w14:paraId="7641358B" w14:textId="77777777" w:rsidR="00F31C1B" w:rsidRDefault="00F31C1B" w:rsidP="00F31C1B">
      <w:pPr>
        <w:pStyle w:val="NormalWeb"/>
      </w:pPr>
      <w:r>
        <w:t xml:space="preserve">On Nov. 30, 2022, in </w:t>
      </w:r>
      <w:r w:rsidRPr="00817A36">
        <w:rPr>
          <w:u w:val="single"/>
        </w:rPr>
        <w:t>Ryan S. Lucero v. City of Albuquerque</w:t>
      </w:r>
      <w:r>
        <w:t xml:space="preserve">, the Court of Appeals of New Mexico held (3 to 0) that trial court properly granted summary judgment for the city; the plaintiff was not disciplined for being a “conservative pro-Christian” but instead for his “pushing his politics and religion on people” while at work and his confrontation with his Captain at Station 5.     </w:t>
      </w:r>
    </w:p>
    <w:p w14:paraId="3EB01639" w14:textId="77777777" w:rsidR="00F31C1B" w:rsidRDefault="00F31C1B" w:rsidP="00F31C1B">
      <w:pPr>
        <w:pStyle w:val="NormalWeb"/>
        <w:ind w:left="720"/>
      </w:pPr>
      <w:r>
        <w:t>“Lucero further maintains that in May 2016, after he was promoted to lieutenant and assigned to Station 5, his captain, A.B., ‘made jokes behind [his] back.’ As proof that his treatment at Station 5 was based on religious animus, Lucero cites an incident with A.B. in June 2016. According to his deposition testimony, Lucero went to A.B.'s office to ask why there was friction between them. A.B.'s response was that he did not like how Lucero ‘push[ed] his politics and religion on people.’ After that, according to Lucero's affidavit, A.</w:t>
      </w:r>
      <w:proofErr w:type="gramStart"/>
      <w:r>
        <w:t>B. ‘</w:t>
      </w:r>
      <w:proofErr w:type="gramEnd"/>
      <w:r>
        <w:t>grabbed [him] and threw [him] against the wall.’</w:t>
      </w:r>
    </w:p>
    <w:p w14:paraId="045164F3" w14:textId="77777777" w:rsidR="00F31C1B" w:rsidRDefault="00F31C1B" w:rsidP="00F31C1B">
      <w:pPr>
        <w:pStyle w:val="NormalWeb"/>
        <w:ind w:left="720"/>
      </w:pPr>
      <w:r>
        <w:t xml:space="preserve">*** </w:t>
      </w:r>
    </w:p>
    <w:p w14:paraId="419A6265" w14:textId="77777777" w:rsidR="00F31C1B" w:rsidRDefault="00F31C1B" w:rsidP="00F31C1B">
      <w:pPr>
        <w:pStyle w:val="NormalWeb"/>
        <w:ind w:left="720"/>
      </w:pPr>
      <w:r>
        <w:t xml:space="preserve">In support of his retaliation claims, Lucero maintains that he was subjected to various retaliatory actions by the </w:t>
      </w:r>
      <w:proofErr w:type="gramStart"/>
      <w:r>
        <w:t>City</w:t>
      </w:r>
      <w:proofErr w:type="gramEnd"/>
      <w:r>
        <w:t xml:space="preserve"> following his report of the June incident to his area commander, in which he expressed his belief that he was being treated differently because of his religion. Such actions included being placed in a floating position and being denied opportunities for overtime and a transfer to his desired station.</w:t>
      </w:r>
    </w:p>
    <w:p w14:paraId="5ABD854C" w14:textId="77777777" w:rsidR="00F31C1B" w:rsidRDefault="00F31C1B" w:rsidP="00F31C1B">
      <w:pPr>
        <w:pStyle w:val="NormalWeb"/>
        <w:ind w:left="720"/>
      </w:pPr>
      <w:r>
        <w:t>***</w:t>
      </w:r>
    </w:p>
    <w:p w14:paraId="4351CE1E" w14:textId="33AF8ED3" w:rsidR="00F31C1B" w:rsidRPr="00F31C1B" w:rsidRDefault="00F31C1B" w:rsidP="00F31C1B">
      <w:pPr>
        <w:pStyle w:val="NoSpacing"/>
        <w:ind w:left="720"/>
        <w:rPr>
          <w:rFonts w:ascii="Times New Roman" w:hAnsi="Times New Roman"/>
          <w:sz w:val="24"/>
          <w:szCs w:val="24"/>
        </w:rPr>
      </w:pPr>
      <w:r w:rsidRPr="00F31C1B">
        <w:rPr>
          <w:rFonts w:ascii="Times New Roman" w:hAnsi="Times New Roman"/>
          <w:sz w:val="24"/>
          <w:szCs w:val="24"/>
        </w:rPr>
        <w:t xml:space="preserve">As relevant here, to make out a hostile work environment claim, Lucero must make two basic showings…. </w:t>
      </w:r>
      <w:proofErr w:type="gramStart"/>
      <w:r w:rsidRPr="00F31C1B">
        <w:rPr>
          <w:rFonts w:ascii="Times New Roman" w:hAnsi="Times New Roman"/>
          <w:sz w:val="24"/>
          <w:szCs w:val="24"/>
        </w:rPr>
        <w:t>First, that</w:t>
      </w:r>
      <w:proofErr w:type="gramEnd"/>
      <w:r w:rsidRPr="00F31C1B">
        <w:rPr>
          <w:rFonts w:ascii="Times New Roman" w:hAnsi="Times New Roman"/>
          <w:sz w:val="24"/>
          <w:szCs w:val="24"/>
        </w:rPr>
        <w:t xml:space="preserve"> he was subjected to an objectively and subjectively hostile work environment.... </w:t>
      </w:r>
      <w:r w:rsidRPr="00F31C1B">
        <w:rPr>
          <w:rStyle w:val="Emphasis"/>
          <w:rFonts w:ascii="Times New Roman" w:hAnsi="Times New Roman"/>
          <w:sz w:val="24"/>
          <w:szCs w:val="24"/>
        </w:rPr>
        <w:t>See id.</w:t>
      </w:r>
      <w:r w:rsidRPr="00F31C1B">
        <w:rPr>
          <w:rFonts w:ascii="Times New Roman" w:hAnsi="Times New Roman"/>
          <w:sz w:val="24"/>
          <w:szCs w:val="24"/>
        </w:rPr>
        <w:t xml:space="preserve">; </w:t>
      </w:r>
      <w:r w:rsidRPr="00F31C1B">
        <w:rPr>
          <w:rStyle w:val="Emphasis"/>
          <w:rFonts w:ascii="Times New Roman" w:hAnsi="Times New Roman"/>
          <w:sz w:val="24"/>
          <w:szCs w:val="24"/>
        </w:rPr>
        <w:t>see also Herald v. Bd. of Regents of Univ. of N.M.</w:t>
      </w:r>
      <w:r w:rsidRPr="00F31C1B">
        <w:rPr>
          <w:rFonts w:ascii="Times New Roman" w:hAnsi="Times New Roman"/>
          <w:sz w:val="24"/>
          <w:szCs w:val="24"/>
        </w:rPr>
        <w:t xml:space="preserve">, 2015-NMCA-104, ¶ 53, 357 P.3d 438 (providing that, to make out a hostile work environment claim, the harassing conduct must be ‘so severe and pervasive that the workplace is transformed into a hostile and abusive environment for the employee’….  Second, that the harassing conduct was based on his religion…. We accordingly affirm the district court's grant of summary judgment on Lucero's religious discrimination claim.” </w:t>
      </w:r>
      <w:hyperlink r:id="rId2704" w:history="1">
        <w:r w:rsidRPr="00F31C1B">
          <w:rPr>
            <w:rStyle w:val="Hyperlink"/>
            <w:rFonts w:ascii="Times New Roman" w:eastAsiaTheme="majorEastAsia" w:hAnsi="Times New Roman"/>
            <w:sz w:val="24"/>
            <w:szCs w:val="24"/>
          </w:rPr>
          <w:t>https://public.fastcase.com/J%2FJP6pdidelsXxEE4k%2BLMpGubXoiBI9N5c5PiCjiKje3s5hlj34tgYA4JUqhEnHu5%2B5A2YVGp5a5q0QWGlZ62xJPhOyoXNaYGEvkYwXaoTE%3D?utm_medium=email&amp;_hsmi=226712652&amp;_hsenc=p2ANqtz-8eQQAtjUmF0fegxTEoYBNzAO-</w:t>
        </w:r>
        <w:r w:rsidRPr="00F31C1B">
          <w:rPr>
            <w:rStyle w:val="Hyperlink"/>
            <w:rFonts w:ascii="Times New Roman" w:eastAsiaTheme="majorEastAsia" w:hAnsi="Times New Roman"/>
            <w:sz w:val="24"/>
            <w:szCs w:val="24"/>
          </w:rPr>
          <w:lastRenderedPageBreak/>
          <w:t>SWgh5MKAZ8ooS_Vj6VgR_AfS9P2NoltKqIQKTjr9fMeFfYMtr9y658qMKNZJxq-ULqA&amp;utm_content=226712652&amp;utm_source=hs_email</w:t>
        </w:r>
      </w:hyperlink>
    </w:p>
    <w:p w14:paraId="3008616D" w14:textId="77777777" w:rsidR="00F31C1B" w:rsidRDefault="00F31C1B" w:rsidP="00F326E5">
      <w:pPr>
        <w:pStyle w:val="NoSpacing"/>
        <w:rPr>
          <w:rFonts w:ascii="Arial Black" w:hAnsi="Arial Black"/>
          <w:sz w:val="24"/>
          <w:szCs w:val="24"/>
        </w:rPr>
      </w:pPr>
    </w:p>
    <w:p w14:paraId="2ED991EB" w14:textId="77777777" w:rsidR="00F31C1B" w:rsidRPr="00F46331" w:rsidRDefault="00F31C1B" w:rsidP="00F31C1B">
      <w:pPr>
        <w:pStyle w:val="NormalWeb"/>
        <w:rPr>
          <w:b/>
          <w:bCs/>
        </w:rPr>
      </w:pPr>
      <w:r w:rsidRPr="00F46331">
        <w:rPr>
          <w:b/>
          <w:bCs/>
        </w:rPr>
        <w:t>Legal Lesson Learned:</w:t>
      </w:r>
      <w:r>
        <w:rPr>
          <w:b/>
          <w:bCs/>
        </w:rPr>
        <w:t xml:space="preserve"> Hostile work atmosphere claim requires proof of “severe” workplace environment. </w:t>
      </w:r>
    </w:p>
    <w:p w14:paraId="6BBFC075" w14:textId="77777777" w:rsidR="00F31C1B" w:rsidRDefault="00F31C1B" w:rsidP="00F31C1B">
      <w:pPr>
        <w:pStyle w:val="NormalWeb"/>
      </w:pPr>
      <w:r>
        <w:tab/>
        <w:t>Note: Court in Footnote 2 referenced plaintiff watching Fox News.</w:t>
      </w:r>
    </w:p>
    <w:p w14:paraId="36472B69" w14:textId="77777777" w:rsidR="00F31C1B" w:rsidRPr="00F46331" w:rsidRDefault="00F31C1B" w:rsidP="00F31C1B">
      <w:pPr>
        <w:pStyle w:val="NormalWeb"/>
        <w:ind w:left="720"/>
        <w:rPr>
          <w:b/>
          <w:bCs/>
        </w:rPr>
      </w:pPr>
      <w:r>
        <w:t>“</w:t>
      </w:r>
      <w:r w:rsidRPr="00F46331">
        <w:t xml:space="preserve">Although Lucero additionally asserts, in an affidavit he submitted in his response to the City's motion for summary judgment, that A.B. criticized him for watching a </w:t>
      </w:r>
      <w:r>
        <w:t>‘</w:t>
      </w:r>
      <w:r w:rsidRPr="00F46331">
        <w:t>conservative, pro-Christian news channel,</w:t>
      </w:r>
      <w:r>
        <w:t>’</w:t>
      </w:r>
      <w:r w:rsidRPr="00F46331">
        <w:t xml:space="preserve"> he does not rely on A.B.'s criticism of Lucero's news source as proof of religious animus. Moreover, the news source Lucero cites is apparently Fox News. In his deposition, Lucero agreed that </w:t>
      </w:r>
      <w:r>
        <w:t>‘</w:t>
      </w:r>
      <w:r w:rsidRPr="00F46331">
        <w:t>Fox News is a well-known Republican-affiliated news source</w:t>
      </w:r>
      <w:r>
        <w:t xml:space="preserve">’ </w:t>
      </w:r>
      <w:r w:rsidRPr="00F46331">
        <w:t xml:space="preserve">and testified that A.B.'s disapproval of Lucero watching Fox News was political, not religious. We observe that, although Lucero alleged discrimination based on </w:t>
      </w:r>
      <w:r>
        <w:t>‘</w:t>
      </w:r>
      <w:r w:rsidRPr="00F46331">
        <w:t>political views</w:t>
      </w:r>
      <w:r>
        <w:t>’</w:t>
      </w:r>
      <w:r w:rsidRPr="00F46331">
        <w:t xml:space="preserve"> in his administrative grievance, he did not advance such a claim in his complaint in district court, nor did he raise any claim based on the First Amendment to the United States Constitution. We therefore disregard his assertions concerning the news channel.</w:t>
      </w:r>
      <w:r>
        <w:t>”</w:t>
      </w:r>
    </w:p>
    <w:p w14:paraId="377023A8" w14:textId="77777777" w:rsidR="00F31C1B" w:rsidRDefault="00F31C1B" w:rsidP="00F326E5">
      <w:pPr>
        <w:pStyle w:val="NoSpacing"/>
        <w:rPr>
          <w:rFonts w:ascii="Arial Black" w:hAnsi="Arial Black"/>
          <w:sz w:val="24"/>
          <w:szCs w:val="24"/>
        </w:rPr>
      </w:pPr>
    </w:p>
    <w:p w14:paraId="0B2F40E7" w14:textId="77777777" w:rsidR="00F31C1B" w:rsidRDefault="00F31C1B" w:rsidP="00F326E5">
      <w:pPr>
        <w:pStyle w:val="NoSpacing"/>
        <w:rPr>
          <w:rFonts w:ascii="Arial Black" w:hAnsi="Arial Black"/>
          <w:sz w:val="24"/>
          <w:szCs w:val="24"/>
        </w:rPr>
      </w:pPr>
    </w:p>
    <w:p w14:paraId="4065D204" w14:textId="7376E746" w:rsidR="00F31C1B" w:rsidRDefault="00F31C1B" w:rsidP="00F326E5">
      <w:pPr>
        <w:pStyle w:val="NoSpacing"/>
        <w:rPr>
          <w:rFonts w:ascii="Arial Black" w:hAnsi="Arial Black"/>
          <w:sz w:val="24"/>
          <w:szCs w:val="24"/>
        </w:rPr>
      </w:pPr>
      <w:r>
        <w:rPr>
          <w:rFonts w:ascii="Arial Black" w:hAnsi="Arial Black"/>
          <w:sz w:val="24"/>
          <w:szCs w:val="24"/>
        </w:rPr>
        <w:t>16-76</w:t>
      </w:r>
    </w:p>
    <w:p w14:paraId="33934AE3" w14:textId="34ACB404" w:rsidR="00F31C1B" w:rsidRDefault="00F31C1B" w:rsidP="00F326E5">
      <w:pPr>
        <w:pStyle w:val="NoSpacing"/>
        <w:rPr>
          <w:rFonts w:ascii="Arial Black" w:hAnsi="Arial Black"/>
          <w:sz w:val="24"/>
          <w:szCs w:val="24"/>
        </w:rPr>
      </w:pPr>
    </w:p>
    <w:p w14:paraId="16874A0D" w14:textId="77777777" w:rsidR="00F31C1B" w:rsidRDefault="00F31C1B" w:rsidP="00F31C1B">
      <w:pPr>
        <w:pStyle w:val="NormalWeb"/>
        <w:rPr>
          <w:rFonts w:ascii="Arial Black" w:hAnsi="Arial Black"/>
          <w:sz w:val="28"/>
          <w:szCs w:val="28"/>
        </w:rPr>
      </w:pPr>
      <w:r>
        <w:rPr>
          <w:rFonts w:ascii="Arial Black" w:hAnsi="Arial Black"/>
          <w:sz w:val="28"/>
          <w:szCs w:val="28"/>
        </w:rPr>
        <w:t xml:space="preserve">IN: VOLUNTEER FF – PLED GULTY ARSON - 5 STRUCTURE FIRES, WANTED TO BE “HERO” – 20 YEARS PRISON </w:t>
      </w:r>
    </w:p>
    <w:p w14:paraId="5F308BDE" w14:textId="77777777" w:rsidR="00F31C1B" w:rsidRDefault="00F31C1B" w:rsidP="00F31C1B">
      <w:pPr>
        <w:pStyle w:val="NormalWeb"/>
      </w:pPr>
      <w:r>
        <w:t xml:space="preserve">On Nov. 29, 2022, in </w:t>
      </w:r>
      <w:r w:rsidRPr="00957183">
        <w:rPr>
          <w:u w:val="single"/>
        </w:rPr>
        <w:t>Adam Selbee v. State of Indiana</w:t>
      </w:r>
      <w:r>
        <w:t>, the Court of Appeals of Indiana held (3 to 0) that the defendant knowingly pled guilty after consulting with legal counsel; his claim of ineffective legal counsel is denied. Selbee pled guilty to the arson charges and was sentenced, pursuant to the terms of his plea agreement, to an aggregate term of thirty-two years, with twenty years executed and twelve years suspended to probation.</w:t>
      </w:r>
    </w:p>
    <w:p w14:paraId="6472B7DC" w14:textId="77777777" w:rsidR="00F31C1B" w:rsidRDefault="00F31C1B" w:rsidP="00F31C1B">
      <w:pPr>
        <w:pStyle w:val="NormalWeb"/>
        <w:ind w:left="720"/>
      </w:pPr>
      <w:r>
        <w:t>“Beginning in July of 2016, Selbee, using combustibles or ignitable liquid, set five structure fires and three ;hay bale fires….’ The structure fires included the following types of buildings: a gymnasium, a non-residential structure on a couple's property, and a residence. The fires were set on different days in July, September, and October of 2016. In addition to setting the fires, Selbee-who was a volunteer fire fighter and an EMT-later indicated that ‘he said [he] enjoyed responding to [the fires] and, and kind of being a hero</w:t>
      </w:r>
      <w:proofErr w:type="gramStart"/>
      <w:r>
        <w:t>.…</w:t>
      </w:r>
      <w:proofErr w:type="gramEnd"/>
      <w:r>
        <w:t xml:space="preserve"> He kind of got a pleasure from doing that…. ‘ </w:t>
      </w:r>
    </w:p>
    <w:p w14:paraId="20046890" w14:textId="77777777" w:rsidR="00F31C1B" w:rsidRPr="00376BC8" w:rsidRDefault="00F31C1B" w:rsidP="00F31C1B">
      <w:pPr>
        <w:pStyle w:val="NormalWeb"/>
        <w:ind w:left="720"/>
        <w:rPr>
          <w:rFonts w:ascii="Arial Black" w:hAnsi="Arial Black"/>
          <w:b/>
          <w:bCs/>
          <w:sz w:val="28"/>
          <w:szCs w:val="28"/>
        </w:rPr>
      </w:pPr>
      <w:r>
        <w:t>***</w:t>
      </w:r>
    </w:p>
    <w:p w14:paraId="6082D737" w14:textId="420DDF2E" w:rsidR="00F31C1B" w:rsidRPr="00F31C1B" w:rsidRDefault="00F31C1B" w:rsidP="00F31C1B">
      <w:pPr>
        <w:pStyle w:val="NoSpacing"/>
        <w:ind w:left="720"/>
        <w:rPr>
          <w:rStyle w:val="Hyperlink"/>
          <w:rFonts w:ascii="Times New Roman" w:eastAsiaTheme="majorEastAsia" w:hAnsi="Times New Roman"/>
          <w:sz w:val="24"/>
          <w:szCs w:val="24"/>
        </w:rPr>
      </w:pPr>
      <w:r w:rsidRPr="00F31C1B">
        <w:rPr>
          <w:rFonts w:ascii="Times New Roman" w:hAnsi="Times New Roman"/>
          <w:sz w:val="24"/>
          <w:szCs w:val="24"/>
        </w:rPr>
        <w:t xml:space="preserve">On May 25, 2017, Selbee entered into a plea agreement, under the terms of which Selbee agreed to plead guilty to all four arson counts in exchange for the dismissal of the criminal-mischief counts and a separate criminal case.” </w:t>
      </w:r>
      <w:hyperlink r:id="rId2705" w:history="1">
        <w:r w:rsidRPr="00F31C1B">
          <w:rPr>
            <w:rStyle w:val="Hyperlink"/>
            <w:rFonts w:ascii="Times New Roman" w:eastAsiaTheme="majorEastAsia" w:hAnsi="Times New Roman"/>
            <w:sz w:val="24"/>
            <w:szCs w:val="24"/>
          </w:rPr>
          <w:t>https://public.courts.in.gov/Decisions/api/Document/Opinion?Id=BlYPkLxVHgH9AX_il3izt1lEOiPnwm0plhkYRvgS1Eap1sEgbSi8um2d6l97LpRN0</w:t>
        </w:r>
      </w:hyperlink>
    </w:p>
    <w:p w14:paraId="2937AF1F" w14:textId="5845EFB5" w:rsidR="00F31C1B" w:rsidRDefault="00F31C1B" w:rsidP="00F31C1B">
      <w:pPr>
        <w:pStyle w:val="NoSpacing"/>
        <w:rPr>
          <w:rStyle w:val="Hyperlink"/>
          <w:rFonts w:eastAsiaTheme="majorEastAsia"/>
        </w:rPr>
      </w:pPr>
    </w:p>
    <w:p w14:paraId="2B5C197A" w14:textId="77777777" w:rsidR="00F31C1B" w:rsidRPr="00BF28F1" w:rsidRDefault="00F31C1B" w:rsidP="00F31C1B">
      <w:pPr>
        <w:pStyle w:val="NormalWeb"/>
        <w:rPr>
          <w:b/>
          <w:bCs/>
          <w:vertAlign w:val="superscript"/>
        </w:rPr>
      </w:pPr>
      <w:r w:rsidRPr="00BF28F1">
        <w:rPr>
          <w:b/>
          <w:bCs/>
        </w:rPr>
        <w:t>Legal Lesson Learned:</w:t>
      </w:r>
      <w:r>
        <w:rPr>
          <w:b/>
          <w:bCs/>
        </w:rPr>
        <w:t xml:space="preserve">  Arsons by firefighters seeking to be “heroes” is unfortunately a </w:t>
      </w:r>
      <w:proofErr w:type="spellStart"/>
      <w:proofErr w:type="gramStart"/>
      <w:r>
        <w:rPr>
          <w:b/>
          <w:bCs/>
        </w:rPr>
        <w:t>well known</w:t>
      </w:r>
      <w:proofErr w:type="spellEnd"/>
      <w:proofErr w:type="gramEnd"/>
      <w:r>
        <w:rPr>
          <w:b/>
          <w:bCs/>
        </w:rPr>
        <w:t xml:space="preserve"> issue. </w:t>
      </w:r>
    </w:p>
    <w:p w14:paraId="074A190B" w14:textId="77777777" w:rsidR="00F31C1B" w:rsidRPr="00BF28F1" w:rsidRDefault="00F31C1B" w:rsidP="00F31C1B">
      <w:pPr>
        <w:pStyle w:val="NormalWeb"/>
        <w:ind w:left="720"/>
      </w:pPr>
      <w:r w:rsidRPr="00BF28F1">
        <w:lastRenderedPageBreak/>
        <w:t>Note: See articles on firefighter</w:t>
      </w:r>
      <w:r>
        <w:t xml:space="preserve"> </w:t>
      </w:r>
      <w:r w:rsidRPr="00BF28F1">
        <w:t>arsonists.</w:t>
      </w:r>
    </w:p>
    <w:p w14:paraId="40AF658E" w14:textId="77777777" w:rsidR="00F31C1B" w:rsidRPr="00BF28F1" w:rsidRDefault="00F31C1B" w:rsidP="00F31C1B">
      <w:pPr>
        <w:pStyle w:val="NormalWeb"/>
        <w:ind w:left="720"/>
      </w:pPr>
      <w:hyperlink r:id="rId2706" w:history="1">
        <w:r w:rsidRPr="00BF28F1">
          <w:rPr>
            <w:rStyle w:val="Hyperlink"/>
            <w:rFonts w:eastAsiaTheme="majorEastAsia"/>
          </w:rPr>
          <w:t>https://www.nvfc.org/firefighter-arson/</w:t>
        </w:r>
      </w:hyperlink>
      <w:r w:rsidRPr="00BF28F1">
        <w:t xml:space="preserve"> </w:t>
      </w:r>
    </w:p>
    <w:p w14:paraId="23D7D905" w14:textId="77777777" w:rsidR="00F31C1B" w:rsidRPr="00BF28F1" w:rsidRDefault="00F31C1B" w:rsidP="00F31C1B">
      <w:pPr>
        <w:pStyle w:val="NormalWeb"/>
        <w:ind w:left="720"/>
      </w:pPr>
      <w:hyperlink r:id="rId2707" w:history="1">
        <w:r w:rsidRPr="00BF28F1">
          <w:rPr>
            <w:rStyle w:val="Hyperlink"/>
            <w:rFonts w:eastAsiaTheme="majorEastAsia"/>
          </w:rPr>
          <w:t>https://www.firerescue1.com/arson-investigation/articles/understanding-the-firefighter-arsonist-j06dtElH3OMZMwBS/</w:t>
        </w:r>
      </w:hyperlink>
      <w:r w:rsidRPr="00BF28F1">
        <w:t xml:space="preserve"> </w:t>
      </w:r>
    </w:p>
    <w:p w14:paraId="2AAD65E4" w14:textId="77777777" w:rsidR="00F31C1B" w:rsidRPr="00BF28F1" w:rsidRDefault="00F31C1B" w:rsidP="00F31C1B">
      <w:pPr>
        <w:pStyle w:val="NormalWeb"/>
        <w:ind w:left="720"/>
      </w:pPr>
      <w:hyperlink r:id="rId2708" w:history="1">
        <w:r w:rsidRPr="00BF28F1">
          <w:rPr>
            <w:rStyle w:val="Hyperlink"/>
            <w:rFonts w:eastAsiaTheme="majorEastAsia"/>
          </w:rPr>
          <w:t>https://www.cbc.ca/news/canada/edmonton/fires-set-by-firefighters-a-long-standing-problem-experts-say-1.3563183</w:t>
        </w:r>
      </w:hyperlink>
      <w:r w:rsidRPr="00BF28F1">
        <w:t xml:space="preserve"> </w:t>
      </w:r>
    </w:p>
    <w:p w14:paraId="592AA3D5" w14:textId="77777777" w:rsidR="00F31C1B" w:rsidRPr="00BF28F1" w:rsidRDefault="00F31C1B" w:rsidP="00F31C1B">
      <w:pPr>
        <w:pStyle w:val="NormalWeb"/>
        <w:ind w:left="720"/>
      </w:pPr>
      <w:hyperlink r:id="rId2709" w:history="1">
        <w:r w:rsidRPr="00BF28F1">
          <w:rPr>
            <w:rStyle w:val="Hyperlink"/>
            <w:rFonts w:eastAsiaTheme="majorEastAsia"/>
          </w:rPr>
          <w:t>https://burned.journalism.cuny.edu/the-diverse-minds-of-arsonists/</w:t>
        </w:r>
      </w:hyperlink>
      <w:r w:rsidRPr="00BF28F1">
        <w:t xml:space="preserve"> </w:t>
      </w:r>
    </w:p>
    <w:p w14:paraId="53DC1192" w14:textId="77777777" w:rsidR="00F31C1B" w:rsidRPr="00BF28F1" w:rsidRDefault="00F31C1B" w:rsidP="00F31C1B">
      <w:pPr>
        <w:pStyle w:val="NormalWeb"/>
        <w:ind w:left="720"/>
      </w:pPr>
      <w:hyperlink r:id="rId2710" w:history="1">
        <w:r w:rsidRPr="00BF28F1">
          <w:rPr>
            <w:rStyle w:val="Hyperlink"/>
            <w:rFonts w:eastAsiaTheme="majorEastAsia"/>
          </w:rPr>
          <w:t>https://edmontonjournal.com/news/crime/firefighters-who-start-fires-a-look-at-the-phenomenon-of-firefighter-arson</w:t>
        </w:r>
      </w:hyperlink>
      <w:r w:rsidRPr="00BF28F1">
        <w:t xml:space="preserve">  </w:t>
      </w:r>
    </w:p>
    <w:p w14:paraId="3C9AFD29" w14:textId="77777777" w:rsidR="00F31C1B" w:rsidRDefault="00F31C1B" w:rsidP="00F31C1B">
      <w:pPr>
        <w:pStyle w:val="NoSpacing"/>
        <w:rPr>
          <w:rFonts w:ascii="Times New Roman" w:hAnsi="Times New Roman"/>
          <w:sz w:val="24"/>
          <w:szCs w:val="24"/>
        </w:rPr>
      </w:pPr>
    </w:p>
    <w:p w14:paraId="56C106A9" w14:textId="77777777" w:rsidR="00F31C1B" w:rsidRDefault="00F31C1B" w:rsidP="00F326E5">
      <w:pPr>
        <w:pStyle w:val="NoSpacing"/>
        <w:rPr>
          <w:rFonts w:ascii="Arial Black" w:hAnsi="Arial Black"/>
          <w:sz w:val="24"/>
          <w:szCs w:val="24"/>
        </w:rPr>
      </w:pPr>
    </w:p>
    <w:p w14:paraId="3CF6CEF3" w14:textId="5A6F7CE6" w:rsidR="00F31C1B" w:rsidRDefault="00F31C1B" w:rsidP="00F326E5">
      <w:pPr>
        <w:pStyle w:val="NoSpacing"/>
        <w:rPr>
          <w:rFonts w:ascii="Arial Black" w:hAnsi="Arial Black"/>
          <w:sz w:val="24"/>
          <w:szCs w:val="24"/>
        </w:rPr>
      </w:pPr>
      <w:r>
        <w:rPr>
          <w:rFonts w:ascii="Arial Black" w:hAnsi="Arial Black"/>
          <w:sz w:val="24"/>
          <w:szCs w:val="24"/>
        </w:rPr>
        <w:t>16-75</w:t>
      </w:r>
    </w:p>
    <w:p w14:paraId="127C7C1B" w14:textId="77777777" w:rsidR="00F31C1B" w:rsidRDefault="00F31C1B" w:rsidP="00F326E5">
      <w:pPr>
        <w:pStyle w:val="NoSpacing"/>
        <w:rPr>
          <w:rFonts w:ascii="Arial Black" w:hAnsi="Arial Black"/>
          <w:sz w:val="24"/>
          <w:szCs w:val="24"/>
        </w:rPr>
      </w:pPr>
    </w:p>
    <w:p w14:paraId="73C4446A" w14:textId="77777777" w:rsidR="00F31C1B" w:rsidRDefault="00F31C1B" w:rsidP="00F31C1B">
      <w:pPr>
        <w:pStyle w:val="NormalWeb"/>
        <w:rPr>
          <w:rFonts w:ascii="Arial Black" w:hAnsi="Arial Black"/>
          <w:b/>
          <w:bCs/>
          <w:sz w:val="28"/>
          <w:szCs w:val="28"/>
        </w:rPr>
      </w:pPr>
      <w:r>
        <w:rPr>
          <w:rFonts w:ascii="Arial Black" w:hAnsi="Arial Black"/>
          <w:b/>
          <w:bCs/>
          <w:sz w:val="28"/>
          <w:szCs w:val="28"/>
        </w:rPr>
        <w:t xml:space="preserve">GA: BREACH CHAIN OF COMMAND – FF CALLED COUNTY COMM. AIDE – 5 TRUCKS OOS - DEMOTED, NO 1st. AMEND. </w:t>
      </w:r>
    </w:p>
    <w:p w14:paraId="4B818241" w14:textId="77777777" w:rsidR="00F31C1B" w:rsidRDefault="00F31C1B" w:rsidP="00F31C1B">
      <w:pPr>
        <w:pStyle w:val="NormalWeb"/>
      </w:pPr>
      <w:r w:rsidRPr="003F09C4">
        <w:t xml:space="preserve">On </w:t>
      </w:r>
      <w:r>
        <w:t xml:space="preserve">Nov. 22, 2022, in </w:t>
      </w:r>
      <w:r w:rsidRPr="003F09C4">
        <w:rPr>
          <w:u w:val="single"/>
        </w:rPr>
        <w:t>Scott Millspaugh v. Conn County Fire And Emergency Services</w:t>
      </w:r>
      <w:r>
        <w:t>, the U.S. Court of Appeals for the 11</w:t>
      </w:r>
      <w:r w:rsidRPr="003F09C4">
        <w:rPr>
          <w:vertAlign w:val="superscript"/>
        </w:rPr>
        <w:t>th</w:t>
      </w:r>
      <w:r>
        <w:t xml:space="preserve"> Circuit (Atlanta) held (3 to 0 ) (unpublished decision) that trial court properly granted summary judgment for Cobb County; the firefighter failed to go up chain of command about his concerns about apparatus and staffing before leaving voicemail with Commissioner’s assistant and was properly demoted from FF III to FF II. </w:t>
      </w:r>
    </w:p>
    <w:p w14:paraId="426ED93F" w14:textId="77777777" w:rsidR="00F31C1B" w:rsidRDefault="00F31C1B" w:rsidP="00F31C1B">
      <w:pPr>
        <w:pStyle w:val="NormalWeb"/>
        <w:ind w:left="720"/>
      </w:pPr>
      <w:r>
        <w:t>“[W[e hold that Millspaugh spoke as a public employee when leaving his voicemail and that his voicemail was not protected by the First Amendment. We also hold that the Individual Defendants were entitled to qualified immunity. We, therefore, affirm the district court's order granting summary judgment. ***   But even if Millspaugh's voicemail were protected speech under the First Amendment, the district court correctly determined that the Defendants' interest in promoting the efficiency of fire suppression services outweighed Millspaugh's interest in the speech.”</w:t>
      </w:r>
      <w:r>
        <w:rPr>
          <w:rStyle w:val="Emphasis"/>
        </w:rPr>
        <w:t xml:space="preserve"> </w:t>
      </w:r>
      <w:hyperlink r:id="rId2711" w:history="1">
        <w:r w:rsidRPr="003B3F7F">
          <w:rPr>
            <w:rStyle w:val="Hyperlink"/>
            <w:rFonts w:eastAsiaTheme="majorEastAsia"/>
          </w:rPr>
          <w:t>https://law.justia.com/cases/federal/appellate-courts/ca11/22-10132/22-10132-2022-11-22.html</w:t>
        </w:r>
      </w:hyperlink>
      <w:r>
        <w:t xml:space="preserve"> </w:t>
      </w:r>
    </w:p>
    <w:p w14:paraId="518BB491" w14:textId="77777777" w:rsidR="00F31C1B" w:rsidRPr="00E3663A" w:rsidRDefault="00F31C1B" w:rsidP="00F31C1B">
      <w:pPr>
        <w:pStyle w:val="NormalWeb"/>
        <w:rPr>
          <w:b/>
          <w:bCs/>
        </w:rPr>
      </w:pPr>
      <w:r w:rsidRPr="00E3663A">
        <w:rPr>
          <w:b/>
          <w:bCs/>
        </w:rPr>
        <w:t>Legal Lesson Learned:</w:t>
      </w:r>
      <w:r>
        <w:rPr>
          <w:b/>
          <w:bCs/>
        </w:rPr>
        <w:t xml:space="preserve"> Breaching chain of command can result in discipline.  First Amendment only protects firefighter’s speech when speaking as a citizen on a matter of interest to public. </w:t>
      </w:r>
    </w:p>
    <w:p w14:paraId="77E76750" w14:textId="77777777" w:rsidR="00F31C1B" w:rsidRDefault="00F31C1B" w:rsidP="00F326E5">
      <w:pPr>
        <w:pStyle w:val="NoSpacing"/>
        <w:rPr>
          <w:rFonts w:ascii="Arial Black" w:hAnsi="Arial Black"/>
          <w:sz w:val="24"/>
          <w:szCs w:val="24"/>
        </w:rPr>
      </w:pPr>
    </w:p>
    <w:p w14:paraId="7EFAB8DC" w14:textId="77777777" w:rsidR="00F31C1B" w:rsidRDefault="00F31C1B" w:rsidP="00F326E5">
      <w:pPr>
        <w:pStyle w:val="NoSpacing"/>
        <w:rPr>
          <w:rFonts w:ascii="Arial Black" w:hAnsi="Arial Black"/>
          <w:sz w:val="24"/>
          <w:szCs w:val="24"/>
        </w:rPr>
      </w:pPr>
    </w:p>
    <w:p w14:paraId="5FC06A8B" w14:textId="77777777" w:rsidR="00F31C1B" w:rsidRDefault="00F31C1B" w:rsidP="00F326E5">
      <w:pPr>
        <w:pStyle w:val="NoSpacing"/>
        <w:rPr>
          <w:rFonts w:ascii="Arial Black" w:hAnsi="Arial Black"/>
          <w:sz w:val="24"/>
          <w:szCs w:val="24"/>
        </w:rPr>
      </w:pPr>
    </w:p>
    <w:p w14:paraId="3020BE39" w14:textId="79F6D2A1" w:rsidR="00F31C1B" w:rsidRDefault="00F31C1B" w:rsidP="00F326E5">
      <w:pPr>
        <w:pStyle w:val="NoSpacing"/>
        <w:rPr>
          <w:rFonts w:ascii="Arial Black" w:hAnsi="Arial Black"/>
          <w:sz w:val="24"/>
          <w:szCs w:val="24"/>
        </w:rPr>
      </w:pPr>
      <w:r>
        <w:rPr>
          <w:rFonts w:ascii="Arial Black" w:hAnsi="Arial Black"/>
          <w:sz w:val="24"/>
          <w:szCs w:val="24"/>
        </w:rPr>
        <w:t>16-74</w:t>
      </w:r>
    </w:p>
    <w:p w14:paraId="0CFB752F" w14:textId="25CB537C" w:rsidR="00F31C1B" w:rsidRDefault="00F31C1B" w:rsidP="00F326E5">
      <w:pPr>
        <w:pStyle w:val="NoSpacing"/>
        <w:rPr>
          <w:rFonts w:ascii="Arial Black" w:hAnsi="Arial Black"/>
          <w:sz w:val="24"/>
          <w:szCs w:val="24"/>
        </w:rPr>
      </w:pPr>
    </w:p>
    <w:p w14:paraId="79FBC192" w14:textId="77777777" w:rsidR="009C612E" w:rsidRDefault="009C612E" w:rsidP="009C612E">
      <w:pPr>
        <w:pStyle w:val="NormalWeb"/>
        <w:rPr>
          <w:rFonts w:ascii="Arial Black" w:hAnsi="Arial Black"/>
          <w:b/>
          <w:bCs/>
          <w:sz w:val="28"/>
          <w:szCs w:val="28"/>
        </w:rPr>
      </w:pPr>
      <w:r>
        <w:rPr>
          <w:rFonts w:ascii="Arial Black" w:hAnsi="Arial Black"/>
          <w:b/>
          <w:bCs/>
          <w:sz w:val="28"/>
          <w:szCs w:val="28"/>
        </w:rPr>
        <w:t xml:space="preserve">CA: CAPT. FIRED - ASSUALT BROTHER (FF) AT PARTY – NO “WHISTLEBLOWER” DEFENSE FOR RPT. BROTHER’S FRAUD </w:t>
      </w:r>
    </w:p>
    <w:p w14:paraId="5648DBA7" w14:textId="77777777" w:rsidR="00F31C1B" w:rsidRDefault="00F31C1B" w:rsidP="00F31C1B">
      <w:pPr>
        <w:pStyle w:val="NormalWeb"/>
      </w:pPr>
      <w:r w:rsidRPr="00AC5A14">
        <w:lastRenderedPageBreak/>
        <w:t xml:space="preserve">On </w:t>
      </w:r>
      <w:r>
        <w:t xml:space="preserve">Nov. 14, 2022, in </w:t>
      </w:r>
      <w:r w:rsidRPr="000661F4">
        <w:rPr>
          <w:u w:val="single"/>
        </w:rPr>
        <w:t xml:space="preserve">Sean Olguin v. City of </w:t>
      </w:r>
      <w:proofErr w:type="spellStart"/>
      <w:r w:rsidRPr="000661F4">
        <w:rPr>
          <w:u w:val="single"/>
        </w:rPr>
        <w:t>Hollistter</w:t>
      </w:r>
      <w:proofErr w:type="spellEnd"/>
      <w:r>
        <w:t xml:space="preserve">, the California Court of Appeals, Sixth Circuit, held (3 to 0; unpublished opinion) that Captain was properly fired, after a pre-termination meeting with Fire Chief, and then hearing with City Manager.  During these meetings he claimed his </w:t>
      </w:r>
      <w:proofErr w:type="spellStart"/>
      <w:proofErr w:type="gramStart"/>
      <w:r>
        <w:t>bother</w:t>
      </w:r>
      <w:proofErr w:type="spellEnd"/>
      <w:proofErr w:type="gramEnd"/>
      <w:r>
        <w:t xml:space="preserve"> was committing insurance fraud by faking his injuries; but there is no causal link between plaintiff's disclosure and his termination.</w:t>
      </w:r>
    </w:p>
    <w:p w14:paraId="441F761A" w14:textId="77777777" w:rsidR="00F31C1B" w:rsidRDefault="00F31C1B" w:rsidP="00F31C1B">
      <w:pPr>
        <w:pStyle w:val="NormalWeb"/>
        <w:ind w:left="720"/>
      </w:pPr>
      <w:r>
        <w:t>“The allegations in plaintiff's complaint are based on his disclosure of unlawful conduct (in the form of insurance fraud) by plaintiff's brother, a city firefighter.</w:t>
      </w:r>
    </w:p>
    <w:p w14:paraId="06029486" w14:textId="77777777" w:rsidR="00F31C1B" w:rsidRDefault="00F31C1B" w:rsidP="00F31C1B">
      <w:pPr>
        <w:pStyle w:val="NormalWeb"/>
        <w:ind w:firstLine="720"/>
      </w:pPr>
      <w:r>
        <w:t>***</w:t>
      </w:r>
    </w:p>
    <w:p w14:paraId="044E737F" w14:textId="2C087A53" w:rsidR="00F31C1B" w:rsidRPr="00F31C1B" w:rsidRDefault="00F31C1B" w:rsidP="00F31C1B">
      <w:pPr>
        <w:pStyle w:val="NoSpacing"/>
        <w:ind w:left="720"/>
        <w:rPr>
          <w:rFonts w:ascii="Times New Roman" w:hAnsi="Times New Roman"/>
          <w:sz w:val="24"/>
          <w:szCs w:val="24"/>
        </w:rPr>
      </w:pPr>
      <w:r w:rsidRPr="00F31C1B">
        <w:rPr>
          <w:rFonts w:ascii="Times New Roman" w:hAnsi="Times New Roman"/>
          <w:sz w:val="24"/>
          <w:szCs w:val="24"/>
        </w:rPr>
        <w:t xml:space="preserve">Plaintiff's complaint nonetheless fails as a matter of law because it draws no causal link between plaintiff's disclosure and his termination. </w:t>
      </w:r>
      <w:proofErr w:type="gramStart"/>
      <w:r w:rsidRPr="00F31C1B">
        <w:rPr>
          <w:rFonts w:ascii="Times New Roman" w:hAnsi="Times New Roman"/>
          <w:sz w:val="24"/>
          <w:szCs w:val="24"/>
        </w:rPr>
        <w:t>Plaintiff was</w:t>
      </w:r>
      <w:proofErr w:type="gramEnd"/>
      <w:r w:rsidRPr="00F31C1B">
        <w:rPr>
          <w:rFonts w:ascii="Times New Roman" w:hAnsi="Times New Roman"/>
          <w:sz w:val="24"/>
          <w:szCs w:val="24"/>
        </w:rPr>
        <w:t xml:space="preserve"> issued a notice of intended termination in October 2019, following an extensive internal affairs investigation into the October 2018 altercation. Plaintiff's </w:t>
      </w:r>
      <w:r w:rsidRPr="00F31C1B">
        <w:rPr>
          <w:rStyle w:val="Emphasis"/>
          <w:rFonts w:ascii="Times New Roman" w:hAnsi="Times New Roman"/>
          <w:sz w:val="24"/>
          <w:szCs w:val="24"/>
        </w:rPr>
        <w:t>Skelly</w:t>
      </w:r>
      <w:r w:rsidRPr="00F31C1B">
        <w:rPr>
          <w:rFonts w:ascii="Times New Roman" w:hAnsi="Times New Roman"/>
          <w:sz w:val="24"/>
          <w:szCs w:val="24"/>
        </w:rPr>
        <w:t xml:space="preserve"> hearing-at which he challenged the misconduct charges in part through disclosure about his brother's alleged fraud-occurred after the investigation and notice of intended termination…. If the rules </w:t>
      </w:r>
      <w:proofErr w:type="gramStart"/>
      <w:r w:rsidRPr="00F31C1B">
        <w:rPr>
          <w:rFonts w:ascii="Times New Roman" w:hAnsi="Times New Roman"/>
          <w:sz w:val="24"/>
          <w:szCs w:val="24"/>
        </w:rPr>
        <w:t>were</w:t>
      </w:r>
      <w:proofErr w:type="gramEnd"/>
      <w:r w:rsidRPr="00F31C1B">
        <w:rPr>
          <w:rFonts w:ascii="Times New Roman" w:hAnsi="Times New Roman"/>
          <w:sz w:val="24"/>
          <w:szCs w:val="24"/>
        </w:rPr>
        <w:t xml:space="preserve"> otherwise, a plaintiff could orchestrate a retaliation claim by purporting to reveal an unlawful act of a coworker at any time during a disciplinary </w:t>
      </w:r>
      <w:proofErr w:type="gramStart"/>
      <w:r w:rsidRPr="00F31C1B">
        <w:rPr>
          <w:rFonts w:ascii="Times New Roman" w:hAnsi="Times New Roman"/>
          <w:sz w:val="24"/>
          <w:szCs w:val="24"/>
        </w:rPr>
        <w:t>process.”</w:t>
      </w:r>
      <w:proofErr w:type="gramEnd"/>
      <w:r w:rsidRPr="00F31C1B">
        <w:rPr>
          <w:rFonts w:ascii="Times New Roman" w:hAnsi="Times New Roman"/>
          <w:sz w:val="24"/>
          <w:szCs w:val="24"/>
        </w:rPr>
        <w:t xml:space="preserve"> </w:t>
      </w:r>
      <w:hyperlink r:id="rId2712" w:history="1">
        <w:r w:rsidRPr="00F31C1B">
          <w:rPr>
            <w:rStyle w:val="Hyperlink"/>
            <w:rFonts w:ascii="Times New Roman" w:eastAsiaTheme="majorEastAsia" w:hAnsi="Times New Roman"/>
            <w:sz w:val="24"/>
            <w:szCs w:val="24"/>
          </w:rPr>
          <w:t>https://casetext.com/case/olguin-v-city-of-hollister</w:t>
        </w:r>
      </w:hyperlink>
    </w:p>
    <w:p w14:paraId="474DF74A" w14:textId="39E88EFA" w:rsidR="00F31C1B" w:rsidRDefault="00F31C1B" w:rsidP="00F326E5">
      <w:pPr>
        <w:pStyle w:val="NoSpacing"/>
        <w:rPr>
          <w:rFonts w:ascii="Arial Black" w:hAnsi="Arial Black"/>
          <w:sz w:val="24"/>
          <w:szCs w:val="24"/>
        </w:rPr>
      </w:pPr>
    </w:p>
    <w:p w14:paraId="0F2DADE6" w14:textId="77777777" w:rsidR="00F31C1B" w:rsidRPr="00E56DA1" w:rsidRDefault="00F31C1B" w:rsidP="00F31C1B">
      <w:pPr>
        <w:pStyle w:val="NormalWeb"/>
        <w:rPr>
          <w:b/>
          <w:bCs/>
        </w:rPr>
      </w:pPr>
      <w:r w:rsidRPr="00E56DA1">
        <w:rPr>
          <w:b/>
          <w:bCs/>
        </w:rPr>
        <w:t>Legal Lesson Learned:</w:t>
      </w:r>
      <w:r>
        <w:rPr>
          <w:b/>
          <w:bCs/>
        </w:rPr>
        <w:t xml:space="preserve"> Off duty conduct can lead to termination. </w:t>
      </w:r>
    </w:p>
    <w:p w14:paraId="29C1E9A8" w14:textId="77777777" w:rsidR="00F31C1B" w:rsidRDefault="00F31C1B" w:rsidP="00F326E5">
      <w:pPr>
        <w:pStyle w:val="NoSpacing"/>
        <w:rPr>
          <w:rFonts w:ascii="Arial Black" w:hAnsi="Arial Black"/>
          <w:sz w:val="24"/>
          <w:szCs w:val="24"/>
        </w:rPr>
      </w:pPr>
    </w:p>
    <w:p w14:paraId="51FA653C" w14:textId="77777777" w:rsidR="00F31C1B" w:rsidRDefault="00F31C1B" w:rsidP="00F326E5">
      <w:pPr>
        <w:pStyle w:val="NoSpacing"/>
        <w:rPr>
          <w:rFonts w:ascii="Arial Black" w:hAnsi="Arial Black"/>
          <w:sz w:val="24"/>
          <w:szCs w:val="24"/>
        </w:rPr>
      </w:pPr>
    </w:p>
    <w:p w14:paraId="49FDFF09" w14:textId="732E4AD9" w:rsidR="00755E16" w:rsidRDefault="00755E16" w:rsidP="00F326E5">
      <w:pPr>
        <w:pStyle w:val="NoSpacing"/>
        <w:rPr>
          <w:rFonts w:ascii="Arial Black" w:hAnsi="Arial Black"/>
          <w:sz w:val="24"/>
          <w:szCs w:val="24"/>
        </w:rPr>
      </w:pPr>
      <w:r>
        <w:rPr>
          <w:rFonts w:ascii="Arial Black" w:hAnsi="Arial Black"/>
          <w:sz w:val="24"/>
          <w:szCs w:val="24"/>
        </w:rPr>
        <w:t>16-7</w:t>
      </w:r>
      <w:r w:rsidR="00487B06">
        <w:rPr>
          <w:rFonts w:ascii="Arial Black" w:hAnsi="Arial Black"/>
          <w:sz w:val="24"/>
          <w:szCs w:val="24"/>
        </w:rPr>
        <w:t>3</w:t>
      </w:r>
    </w:p>
    <w:p w14:paraId="57B7AD14" w14:textId="77777777" w:rsidR="00755E16" w:rsidRDefault="00755E16" w:rsidP="00755E16">
      <w:pPr>
        <w:pStyle w:val="NormalWeb"/>
        <w:rPr>
          <w:rFonts w:ascii="Arial Black" w:hAnsi="Arial Black"/>
          <w:b/>
          <w:bCs/>
          <w:sz w:val="28"/>
          <w:szCs w:val="28"/>
        </w:rPr>
      </w:pPr>
      <w:r>
        <w:rPr>
          <w:rFonts w:ascii="Arial Black" w:hAnsi="Arial Black"/>
          <w:b/>
          <w:bCs/>
          <w:sz w:val="28"/>
          <w:szCs w:val="28"/>
        </w:rPr>
        <w:t xml:space="preserve">OH: PRE-DISCIP. CONF. INADEQUATE – MEDIC FIRED UNAUTHORIZED BLOOD DRAW FOR PD – CASE PROCEED  </w:t>
      </w:r>
    </w:p>
    <w:p w14:paraId="3C77AEF5" w14:textId="77777777" w:rsidR="00755E16" w:rsidRDefault="00755E16" w:rsidP="00755E16">
      <w:pPr>
        <w:pStyle w:val="NormalWeb"/>
      </w:pPr>
      <w:r>
        <w:t xml:space="preserve">On Sept. 26, 2022, in </w:t>
      </w:r>
      <w:r>
        <w:rPr>
          <w:u w:val="single"/>
        </w:rPr>
        <w:t>Mitchell Plunk v. Chester Township</w:t>
      </w:r>
      <w:r>
        <w:t>, U.S. District Court Judge James S. Gwin, U.S. District Court for Northern District of Ohio, denied the Township’s motion for summary judgment in the paramedic’s lawsuit, who was fired after 9 years with the Township, who sued for violating his procedural due process rights.  The Medical Director apparently had concluded that the paramedic didn’t complete EMS run report about the blood draw he performed at the Police Station because he wanted the Medical Director at his other FD to confirm this was authorized.</w:t>
      </w:r>
    </w:p>
    <w:p w14:paraId="2B6EE0ED" w14:textId="567FCCE9" w:rsidR="00755E16" w:rsidRPr="00755E16" w:rsidRDefault="00755E16" w:rsidP="00755E16">
      <w:pPr>
        <w:pStyle w:val="NoSpacing"/>
        <w:ind w:left="720"/>
        <w:rPr>
          <w:rFonts w:ascii="Times New Roman" w:hAnsi="Times New Roman"/>
          <w:sz w:val="24"/>
          <w:szCs w:val="24"/>
        </w:rPr>
      </w:pPr>
      <w:r w:rsidRPr="00755E16">
        <w:rPr>
          <w:rFonts w:ascii="Times New Roman" w:hAnsi="Times New Roman"/>
          <w:sz w:val="24"/>
          <w:szCs w:val="24"/>
        </w:rPr>
        <w:t xml:space="preserve">“Before ending Plaintiff's long-held employment, Defendant gave Plunk a hearing. The hearing did not let Plaintiff challenge the medical director's decision…. Because Defendant Chester Township and the medical director acted in concert to remove Plaintiff Plunk without giving Plunk an opportunity to challenge their decision's basis, the Court </w:t>
      </w:r>
      <w:r w:rsidRPr="00755E16">
        <w:rPr>
          <w:rStyle w:val="Strong"/>
          <w:rFonts w:ascii="Times New Roman" w:hAnsi="Times New Roman"/>
          <w:sz w:val="24"/>
          <w:szCs w:val="24"/>
        </w:rPr>
        <w:t>DENIES</w:t>
      </w:r>
      <w:r w:rsidRPr="00755E16">
        <w:rPr>
          <w:rFonts w:ascii="Times New Roman" w:hAnsi="Times New Roman"/>
          <w:sz w:val="24"/>
          <w:szCs w:val="24"/>
        </w:rPr>
        <w:t xml:space="preserve"> Defendant's motion. </w:t>
      </w:r>
      <w:hyperlink r:id="rId2713" w:history="1">
        <w:r w:rsidRPr="00755E16">
          <w:rPr>
            <w:rStyle w:val="Hyperlink"/>
            <w:rFonts w:ascii="Times New Roman" w:hAnsi="Times New Roman"/>
            <w:sz w:val="24"/>
            <w:szCs w:val="24"/>
          </w:rPr>
          <w:t>https://public.fastcase.com/J%2FJP6pdidelsXxEE4k%2BLMjmPooMwsB33SF6fQbdKtm0G0C1GTVTWTSbOoR0BGdHWdmqT3nxx5N34mFb%2FQIY0wnFPK7Gz1IkNE53DDevS6vE%3D?utm_medium=email&amp;_hsmi=226712652&amp;_hsenc=p2ANqtz--MKBV4Y804r56tzWY_uVAuJIZ65L25irdtNU6ZdfUrAAPtscNAIDyxYykxQ2RxJby9_Fy5S6I1PNXJg84F7LwVp6Ejlw&amp;utm_content=226712652&amp;utm_source=hs_email</w:t>
        </w:r>
      </w:hyperlink>
    </w:p>
    <w:p w14:paraId="6C05649D" w14:textId="77777777" w:rsidR="00755E16" w:rsidRDefault="00755E16" w:rsidP="00F326E5">
      <w:pPr>
        <w:pStyle w:val="NoSpacing"/>
        <w:rPr>
          <w:rFonts w:ascii="Arial Black" w:hAnsi="Arial Black"/>
          <w:sz w:val="24"/>
          <w:szCs w:val="24"/>
        </w:rPr>
      </w:pPr>
    </w:p>
    <w:p w14:paraId="48CB180C" w14:textId="77777777" w:rsidR="00755E16" w:rsidRDefault="00755E16" w:rsidP="00F326E5">
      <w:pPr>
        <w:pStyle w:val="NoSpacing"/>
        <w:rPr>
          <w:rFonts w:ascii="Arial Black" w:hAnsi="Arial Black"/>
          <w:sz w:val="24"/>
          <w:szCs w:val="24"/>
        </w:rPr>
      </w:pPr>
    </w:p>
    <w:p w14:paraId="107FF0EA" w14:textId="77628554" w:rsidR="003E45EB" w:rsidRDefault="003E45EB" w:rsidP="00F326E5">
      <w:pPr>
        <w:pStyle w:val="NoSpacing"/>
        <w:rPr>
          <w:rFonts w:ascii="Arial Black" w:hAnsi="Arial Black"/>
          <w:sz w:val="24"/>
          <w:szCs w:val="24"/>
        </w:rPr>
      </w:pPr>
      <w:r>
        <w:rPr>
          <w:rFonts w:ascii="Arial Black" w:hAnsi="Arial Black"/>
          <w:sz w:val="24"/>
          <w:szCs w:val="24"/>
        </w:rPr>
        <w:t>16-7</w:t>
      </w:r>
      <w:r w:rsidR="00487B06">
        <w:rPr>
          <w:rFonts w:ascii="Arial Black" w:hAnsi="Arial Black"/>
          <w:sz w:val="24"/>
          <w:szCs w:val="24"/>
        </w:rPr>
        <w:t>2</w:t>
      </w:r>
    </w:p>
    <w:p w14:paraId="11447361" w14:textId="77777777" w:rsidR="003E45EB" w:rsidRDefault="003E45EB" w:rsidP="003E45EB">
      <w:pPr>
        <w:pStyle w:val="NoSpacing"/>
        <w:rPr>
          <w:rFonts w:ascii="Arial Black" w:hAnsi="Arial Black"/>
          <w:sz w:val="28"/>
          <w:szCs w:val="28"/>
        </w:rPr>
      </w:pPr>
    </w:p>
    <w:p w14:paraId="4DCD5863" w14:textId="2EB5D8A1" w:rsidR="003E45EB" w:rsidRPr="003C0A6A" w:rsidRDefault="003E45EB" w:rsidP="003E45EB">
      <w:pPr>
        <w:pStyle w:val="NoSpacing"/>
      </w:pPr>
      <w:r w:rsidRPr="006032BB">
        <w:rPr>
          <w:rFonts w:ascii="Arial Black" w:hAnsi="Arial Black"/>
          <w:sz w:val="28"/>
          <w:szCs w:val="28"/>
        </w:rPr>
        <w:lastRenderedPageBreak/>
        <w:t>OK: FIRE CHIEF FIRED</w:t>
      </w:r>
      <w:r>
        <w:rPr>
          <w:rFonts w:ascii="Arial Black" w:hAnsi="Arial Black"/>
          <w:sz w:val="28"/>
          <w:szCs w:val="28"/>
        </w:rPr>
        <w:t xml:space="preserve"> – LAWSUIT REINSTATED – MAY NOT BE “AT WILL” EMPLOYEE – LACK OF DUE PROCESS</w:t>
      </w:r>
    </w:p>
    <w:p w14:paraId="59C4B8E3" w14:textId="77777777" w:rsidR="003E45EB" w:rsidRPr="00B361A5" w:rsidRDefault="003E45EB" w:rsidP="003E45EB">
      <w:pPr>
        <w:pStyle w:val="NormalWeb"/>
      </w:pPr>
      <w:r>
        <w:t xml:space="preserve">On Aug. 19, 2022, in </w:t>
      </w:r>
      <w:r w:rsidRPr="006032BB">
        <w:rPr>
          <w:u w:val="single"/>
        </w:rPr>
        <w:t>Stephen Parmenter v. City of Nowata, Oklahoma</w:t>
      </w:r>
      <w:r>
        <w:t>, the U.S. Court of Appeals for Tenth Circuit (Denver) held (3 to 0) that trial court improperly granted summary judgment to the City and remanded the case.  “</w:t>
      </w:r>
      <w:r w:rsidRPr="00B361A5">
        <w:t>The United States District Court for the Northern District of Oklahoma granted the City's motion for summary judgment, holding (1) that Mr. Parmenter did not have a protected interest in his job and therefore was not entitled to procedural due process, and (2) that in any event he was provided adequate process. Mr. Parmenter appealed. We reverse and remand for further proceedings to determine whether Mr. Parmenter had a protected interest in his position, and if so whether he received sufficient process.</w:t>
      </w:r>
      <w:r>
        <w:t xml:space="preserve">” </w:t>
      </w:r>
      <w:hyperlink r:id="rId2714" w:history="1">
        <w:r w:rsidRPr="005E2F1B">
          <w:rPr>
            <w:rStyle w:val="Hyperlink"/>
            <w:rFonts w:eastAsiaTheme="majorEastAsia"/>
          </w:rPr>
          <w:t>https://law.justia.com/cases/federal/appellate-courts/ca10/20-5113/20-5113-2022-08-19.html</w:t>
        </w:r>
      </w:hyperlink>
      <w:r>
        <w:t xml:space="preserve"> </w:t>
      </w:r>
    </w:p>
    <w:p w14:paraId="7197605A" w14:textId="77777777" w:rsidR="003E45EB" w:rsidRPr="00FE6238" w:rsidRDefault="003E45EB" w:rsidP="003E45EB">
      <w:pPr>
        <w:spacing w:before="100" w:beforeAutospacing="1" w:after="100" w:afterAutospacing="1" w:line="240" w:lineRule="auto"/>
        <w:rPr>
          <w:rFonts w:ascii="Times New Roman" w:hAnsi="Times New Roman"/>
          <w:b/>
          <w:bCs/>
          <w:sz w:val="24"/>
          <w:szCs w:val="24"/>
        </w:rPr>
      </w:pPr>
      <w:r w:rsidRPr="00FE6238">
        <w:rPr>
          <w:rFonts w:ascii="Times New Roman" w:hAnsi="Times New Roman"/>
          <w:b/>
          <w:bCs/>
          <w:sz w:val="24"/>
          <w:szCs w:val="24"/>
        </w:rPr>
        <w:t xml:space="preserve">Legal Lesson Learned:  </w:t>
      </w:r>
      <w:r>
        <w:rPr>
          <w:rFonts w:ascii="Times New Roman" w:hAnsi="Times New Roman"/>
          <w:b/>
          <w:bCs/>
          <w:sz w:val="24"/>
          <w:szCs w:val="24"/>
        </w:rPr>
        <w:t xml:space="preserve">Even if employee is “at will” it is best practice to provide employee with written notice of charges and a pre-disciplinary meeting.  </w:t>
      </w:r>
    </w:p>
    <w:p w14:paraId="26BA2294" w14:textId="46336EDD" w:rsidR="003E45EB" w:rsidRDefault="00487B06" w:rsidP="00F326E5">
      <w:pPr>
        <w:pStyle w:val="NoSpacing"/>
        <w:rPr>
          <w:rFonts w:ascii="Arial Black" w:hAnsi="Arial Black"/>
          <w:sz w:val="24"/>
          <w:szCs w:val="24"/>
        </w:rPr>
      </w:pPr>
      <w:r>
        <w:rPr>
          <w:rFonts w:ascii="Arial Black" w:hAnsi="Arial Black"/>
          <w:sz w:val="24"/>
          <w:szCs w:val="24"/>
        </w:rPr>
        <w:t>16-71</w:t>
      </w:r>
    </w:p>
    <w:p w14:paraId="4657ADC9" w14:textId="77777777" w:rsidR="00487B06" w:rsidRPr="00487B06" w:rsidRDefault="00487B06" w:rsidP="00487B06">
      <w:pPr>
        <w:pStyle w:val="NormalWeb"/>
        <w:rPr>
          <w:rFonts w:ascii="Arial Black" w:hAnsi="Arial Black"/>
          <w:b/>
          <w:bCs/>
          <w:sz w:val="28"/>
          <w:szCs w:val="28"/>
        </w:rPr>
      </w:pPr>
      <w:r w:rsidRPr="00487B06">
        <w:rPr>
          <w:rFonts w:ascii="Arial Black" w:hAnsi="Arial Black"/>
          <w:b/>
          <w:bCs/>
          <w:sz w:val="28"/>
          <w:szCs w:val="28"/>
        </w:rPr>
        <w:t>OH: ORANGE TOWNSHIP FF REINSTATED – ARBITRATOR DECISION UPHELD</w:t>
      </w:r>
    </w:p>
    <w:p w14:paraId="2CB2DE4C" w14:textId="77777777" w:rsidR="00487B06" w:rsidRPr="00487B06" w:rsidRDefault="00487B06" w:rsidP="00487B06">
      <w:pPr>
        <w:pStyle w:val="NormalWeb"/>
        <w:rPr>
          <w:rStyle w:val="markedcontent"/>
        </w:rPr>
      </w:pPr>
      <w:r w:rsidRPr="00487B06">
        <w:rPr>
          <w:bCs/>
        </w:rPr>
        <w:t xml:space="preserve">On Aug. 8, 2022, in </w:t>
      </w:r>
      <w:r w:rsidRPr="00487B06">
        <w:rPr>
          <w:rStyle w:val="markedcontent"/>
        </w:rPr>
        <w:t xml:space="preserve">Orange Twp. v. </w:t>
      </w:r>
      <w:proofErr w:type="spellStart"/>
      <w:r w:rsidRPr="00487B06">
        <w:rPr>
          <w:rStyle w:val="markedcontent"/>
        </w:rPr>
        <w:t>Internatl</w:t>
      </w:r>
      <w:proofErr w:type="spellEnd"/>
      <w:r w:rsidRPr="00487B06">
        <w:rPr>
          <w:rStyle w:val="markedcontent"/>
        </w:rPr>
        <w:t xml:space="preserve">. Assn. of Fire Fighters Local 3816, 2022-Ohio-2757, Court of Appeals of Delaware County held (3 to 0) the firefighters to be reinstated. </w:t>
      </w:r>
      <w:hyperlink r:id="rId2715" w:history="1">
        <w:r w:rsidRPr="00487B06">
          <w:rPr>
            <w:rStyle w:val="Hyperlink"/>
          </w:rPr>
          <w:t>https://www.supremecourt.ohio.gov/rod/docs/pdf/5/2022/2022-Ohio-2757.pdf</w:t>
        </w:r>
      </w:hyperlink>
      <w:r w:rsidRPr="00487B06">
        <w:rPr>
          <w:rStyle w:val="markedcontent"/>
        </w:rPr>
        <w:t xml:space="preserve"> </w:t>
      </w:r>
    </w:p>
    <w:p w14:paraId="6506E120" w14:textId="77777777" w:rsidR="00487B06" w:rsidRPr="00487B06" w:rsidRDefault="00487B06" w:rsidP="00487B06">
      <w:pPr>
        <w:pStyle w:val="NormalWeb"/>
        <w:rPr>
          <w:rStyle w:val="markedcontent"/>
        </w:rPr>
      </w:pPr>
      <w:r w:rsidRPr="00487B06">
        <w:rPr>
          <w:rStyle w:val="markedcontent"/>
        </w:rPr>
        <w:t xml:space="preserve">“In October 2016, Marcus Musser started working as a part-time firefighter for appellant and was assigned to 1-Unit at Station 361. The </w:t>
      </w:r>
      <w:proofErr w:type="spellStart"/>
      <w:r w:rsidRPr="00487B06">
        <w:rPr>
          <w:rStyle w:val="markedcontent"/>
        </w:rPr>
        <w:t>grievants</w:t>
      </w:r>
      <w:proofErr w:type="spellEnd"/>
      <w:r w:rsidRPr="00487B06">
        <w:rPr>
          <w:rStyle w:val="markedcontent"/>
        </w:rPr>
        <w:t xml:space="preserve"> herein are fellow firefighter Bradley Belville and appellant's chain of command, Lieutenant David Martin and Captain John Hodges. In September 2019, Musser requested a transfer and was</w:t>
      </w:r>
      <w:r w:rsidRPr="00487B06">
        <w:br/>
      </w:r>
      <w:r w:rsidRPr="00487B06">
        <w:rPr>
          <w:rStyle w:val="markedcontent"/>
        </w:rPr>
        <w:t>subsequently transferred to 2-Unit. Fire Chief Matt Noble interviewed Musser regarding his transfer request.</w:t>
      </w:r>
      <w:r w:rsidRPr="00487B06">
        <w:br/>
      </w:r>
      <w:r w:rsidRPr="00487B06">
        <w:rPr>
          <w:rStyle w:val="markedcontent"/>
        </w:rPr>
        <w:t xml:space="preserve">Thereafter, Chief Noble conducted an investigation, held </w:t>
      </w:r>
      <w:proofErr w:type="spellStart"/>
      <w:r w:rsidRPr="00487B06">
        <w:rPr>
          <w:rStyle w:val="markedcontent"/>
        </w:rPr>
        <w:t>predisciplinary</w:t>
      </w:r>
      <w:proofErr w:type="spellEnd"/>
      <w:r w:rsidRPr="00487B06">
        <w:rPr>
          <w:rStyle w:val="markedcontent"/>
        </w:rPr>
        <w:t xml:space="preserve"> hearings, and in reports dated December 5, 2019, recommended the termination of the </w:t>
      </w:r>
      <w:proofErr w:type="spellStart"/>
      <w:r w:rsidRPr="00487B06">
        <w:rPr>
          <w:rStyle w:val="markedcontent"/>
        </w:rPr>
        <w:t>grievants</w:t>
      </w:r>
      <w:proofErr w:type="spellEnd"/>
      <w:r w:rsidRPr="00487B06">
        <w:rPr>
          <w:rStyle w:val="markedcontent"/>
        </w:rPr>
        <w:t xml:space="preserve"> for violating several sections of the Orange Township policies including threats or acts of physical violence against a coworker, abusive behavior, hazing, harassment of a</w:t>
      </w:r>
      <w:r w:rsidRPr="00487B06">
        <w:br/>
      </w:r>
      <w:r w:rsidRPr="00487B06">
        <w:rPr>
          <w:rStyle w:val="markedcontent"/>
        </w:rPr>
        <w:t xml:space="preserve">coworker, conduct unbecoming, neglect of duty, and failure to meet essential job functions. *** The arbitrator determined the facts did not rise to the level of just cause. Contract interpretation is left to the discretion of the arbitrator </w:t>
      </w:r>
      <w:proofErr w:type="gramStart"/>
      <w:r w:rsidRPr="00487B06">
        <w:rPr>
          <w:rStyle w:val="markedcontent"/>
        </w:rPr>
        <w:t>as long as</w:t>
      </w:r>
      <w:proofErr w:type="gramEnd"/>
      <w:r w:rsidRPr="00487B06">
        <w:rPr>
          <w:rStyle w:val="markedcontent"/>
        </w:rPr>
        <w:t xml:space="preserve"> it does not conflict with an express term in the CBA and/or cannot be rationally derived from the terms of the CBA. We cannot find either to apply in this case.”</w:t>
      </w:r>
    </w:p>
    <w:p w14:paraId="0BC1E463" w14:textId="77777777" w:rsidR="003E45EB" w:rsidRDefault="003E45EB" w:rsidP="00F326E5">
      <w:pPr>
        <w:pStyle w:val="NoSpacing"/>
        <w:rPr>
          <w:rFonts w:ascii="Arial Black" w:hAnsi="Arial Black"/>
          <w:sz w:val="24"/>
          <w:szCs w:val="24"/>
        </w:rPr>
      </w:pPr>
    </w:p>
    <w:p w14:paraId="2038F830" w14:textId="77777777" w:rsidR="00487B06" w:rsidRDefault="00487B06" w:rsidP="00F326E5">
      <w:pPr>
        <w:pStyle w:val="NoSpacing"/>
        <w:rPr>
          <w:rFonts w:ascii="Arial Black" w:hAnsi="Arial Black"/>
          <w:sz w:val="24"/>
          <w:szCs w:val="24"/>
        </w:rPr>
      </w:pPr>
    </w:p>
    <w:p w14:paraId="4A703F08" w14:textId="77777777" w:rsidR="00487B06" w:rsidRDefault="00487B06" w:rsidP="00F326E5">
      <w:pPr>
        <w:pStyle w:val="NoSpacing"/>
        <w:rPr>
          <w:rFonts w:ascii="Arial Black" w:hAnsi="Arial Black"/>
          <w:sz w:val="24"/>
          <w:szCs w:val="24"/>
        </w:rPr>
      </w:pPr>
    </w:p>
    <w:p w14:paraId="56A1E4B4" w14:textId="77777777" w:rsidR="00487B06" w:rsidRDefault="00487B06" w:rsidP="00F326E5">
      <w:pPr>
        <w:pStyle w:val="NoSpacing"/>
        <w:rPr>
          <w:rFonts w:ascii="Arial Black" w:hAnsi="Arial Black"/>
          <w:sz w:val="24"/>
          <w:szCs w:val="24"/>
        </w:rPr>
      </w:pPr>
    </w:p>
    <w:p w14:paraId="0B549152" w14:textId="77777777" w:rsidR="00487B06" w:rsidRDefault="00487B06" w:rsidP="00F326E5">
      <w:pPr>
        <w:pStyle w:val="NoSpacing"/>
        <w:rPr>
          <w:rFonts w:ascii="Arial Black" w:hAnsi="Arial Black"/>
          <w:sz w:val="24"/>
          <w:szCs w:val="24"/>
        </w:rPr>
      </w:pPr>
    </w:p>
    <w:p w14:paraId="12435A16" w14:textId="1BCFBB63" w:rsidR="007051EE" w:rsidRDefault="007051EE" w:rsidP="00F326E5">
      <w:pPr>
        <w:pStyle w:val="NoSpacing"/>
        <w:rPr>
          <w:rFonts w:ascii="Arial Black" w:hAnsi="Arial Black"/>
          <w:sz w:val="24"/>
          <w:szCs w:val="24"/>
        </w:rPr>
      </w:pPr>
      <w:r>
        <w:rPr>
          <w:rFonts w:ascii="Arial Black" w:hAnsi="Arial Black"/>
          <w:sz w:val="24"/>
          <w:szCs w:val="24"/>
        </w:rPr>
        <w:t>16-7</w:t>
      </w:r>
      <w:r w:rsidR="00C24A79">
        <w:rPr>
          <w:rFonts w:ascii="Arial Black" w:hAnsi="Arial Black"/>
          <w:sz w:val="24"/>
          <w:szCs w:val="24"/>
        </w:rPr>
        <w:t>0</w:t>
      </w:r>
    </w:p>
    <w:p w14:paraId="10978E10" w14:textId="77777777" w:rsidR="007051EE" w:rsidRPr="00B873A1" w:rsidRDefault="007051EE" w:rsidP="007051EE">
      <w:pPr>
        <w:spacing w:before="100" w:beforeAutospacing="1" w:after="100" w:afterAutospacing="1" w:line="240" w:lineRule="auto"/>
        <w:rPr>
          <w:rFonts w:ascii="Arial Black" w:eastAsia="Times New Roman" w:hAnsi="Arial Black"/>
          <w:b/>
          <w:bCs/>
          <w:sz w:val="28"/>
          <w:szCs w:val="28"/>
        </w:rPr>
      </w:pPr>
      <w:r w:rsidRPr="00B873A1">
        <w:rPr>
          <w:rFonts w:ascii="Arial Black" w:eastAsia="Times New Roman" w:hAnsi="Arial Black"/>
          <w:b/>
          <w:bCs/>
          <w:sz w:val="28"/>
          <w:szCs w:val="28"/>
        </w:rPr>
        <w:t xml:space="preserve">TX: LT. FIRED, REINSTATED AFTER 4 YRS – HIS INCOME DURING SUSPENSION MORE THAN </w:t>
      </w:r>
      <w:r>
        <w:rPr>
          <w:rFonts w:ascii="Arial Black" w:eastAsia="Times New Roman" w:hAnsi="Arial Black"/>
          <w:b/>
          <w:bCs/>
          <w:sz w:val="28"/>
          <w:szCs w:val="28"/>
        </w:rPr>
        <w:t xml:space="preserve">FF - </w:t>
      </w:r>
      <w:r w:rsidRPr="00B873A1">
        <w:rPr>
          <w:rFonts w:ascii="Arial Black" w:eastAsia="Times New Roman" w:hAnsi="Arial Black"/>
          <w:b/>
          <w:bCs/>
          <w:sz w:val="28"/>
          <w:szCs w:val="28"/>
        </w:rPr>
        <w:t>PARTIAL BACK PAY</w:t>
      </w:r>
    </w:p>
    <w:p w14:paraId="2131C279" w14:textId="77777777" w:rsidR="007051EE" w:rsidRDefault="007051EE" w:rsidP="007051EE">
      <w:pPr>
        <w:rPr>
          <w:rFonts w:ascii="Times New Roman" w:eastAsia="Times New Roman" w:hAnsi="Times New Roman"/>
          <w:sz w:val="24"/>
          <w:szCs w:val="24"/>
        </w:rPr>
      </w:pPr>
      <w:r w:rsidRPr="00293AC3">
        <w:rPr>
          <w:rFonts w:ascii="Times New Roman" w:eastAsia="Times New Roman" w:hAnsi="Times New Roman"/>
          <w:sz w:val="24"/>
          <w:szCs w:val="24"/>
        </w:rPr>
        <w:lastRenderedPageBreak/>
        <w:t xml:space="preserve">On July 28, 2022, in </w:t>
      </w:r>
      <w:r w:rsidRPr="00293AC3">
        <w:rPr>
          <w:rFonts w:ascii="Times New Roman" w:eastAsia="Times New Roman" w:hAnsi="Times New Roman"/>
          <w:sz w:val="24"/>
          <w:szCs w:val="24"/>
          <w:u w:val="single"/>
        </w:rPr>
        <w:t>Fabian Scott Butler v. City of Big Springs, Texas</w:t>
      </w:r>
      <w:r>
        <w:rPr>
          <w:rFonts w:ascii="Times New Roman" w:eastAsia="Times New Roman" w:hAnsi="Times New Roman"/>
          <w:sz w:val="24"/>
          <w:szCs w:val="24"/>
        </w:rPr>
        <w:t xml:space="preserve">, the TX Eleventh Circuit Court of Appeals reversed a trial court </w:t>
      </w:r>
      <w:proofErr w:type="gramStart"/>
      <w:r>
        <w:rPr>
          <w:rFonts w:ascii="Times New Roman" w:eastAsia="Times New Roman" w:hAnsi="Times New Roman"/>
          <w:sz w:val="24"/>
          <w:szCs w:val="24"/>
        </w:rPr>
        <w:t>that which</w:t>
      </w:r>
      <w:proofErr w:type="gramEnd"/>
      <w:r>
        <w:rPr>
          <w:rFonts w:ascii="Times New Roman" w:eastAsia="Times New Roman" w:hAnsi="Times New Roman"/>
          <w:sz w:val="24"/>
          <w:szCs w:val="24"/>
        </w:rPr>
        <w:t xml:space="preserve"> had agreed with City that Lt. Butler was not entitled to any back pay.  Court of Appeals held that Butler is entitled to back pay for any FD pay </w:t>
      </w:r>
      <w:proofErr w:type="gramStart"/>
      <w:r>
        <w:rPr>
          <w:rFonts w:ascii="Times New Roman" w:eastAsia="Times New Roman" w:hAnsi="Times New Roman"/>
          <w:sz w:val="24"/>
          <w:szCs w:val="24"/>
        </w:rPr>
        <w:t>periods</w:t>
      </w:r>
      <w:proofErr w:type="gramEnd"/>
      <w:r>
        <w:rPr>
          <w:rFonts w:ascii="Times New Roman" w:eastAsia="Times New Roman" w:hAnsi="Times New Roman"/>
          <w:sz w:val="24"/>
          <w:szCs w:val="24"/>
        </w:rPr>
        <w:t xml:space="preserve"> where his outside income was less than he would have made on FD.  </w:t>
      </w:r>
      <w:hyperlink r:id="rId2716" w:history="1">
        <w:r w:rsidRPr="00081EF4">
          <w:rPr>
            <w:rStyle w:val="Hyperlink"/>
            <w:rFonts w:ascii="Times New Roman" w:eastAsia="Times New Roman" w:hAnsi="Times New Roman"/>
            <w:sz w:val="24"/>
            <w:szCs w:val="24"/>
          </w:rPr>
          <w:t>https://cases.justia.com/texas/eleventh-court-of-appeals/2022-11-21-00026-cv.pdf?ts=1659010960</w:t>
        </w:r>
      </w:hyperlink>
      <w:r>
        <w:rPr>
          <w:rFonts w:ascii="Times New Roman" w:eastAsia="Times New Roman" w:hAnsi="Times New Roman"/>
          <w:sz w:val="24"/>
          <w:szCs w:val="24"/>
        </w:rPr>
        <w:t xml:space="preserve"> </w:t>
      </w:r>
    </w:p>
    <w:p w14:paraId="2987B6F8" w14:textId="77777777" w:rsidR="007051EE" w:rsidRDefault="007051EE" w:rsidP="007051EE">
      <w:pPr>
        <w:rPr>
          <w:rStyle w:val="markedcontent"/>
          <w:rFonts w:ascii="Times New Roman" w:hAnsi="Times New Roman"/>
          <w:b/>
          <w:bCs/>
          <w:sz w:val="24"/>
          <w:szCs w:val="24"/>
        </w:rPr>
      </w:pPr>
      <w:r w:rsidRPr="00104D9E">
        <w:rPr>
          <w:rStyle w:val="markedcontent"/>
          <w:rFonts w:ascii="Times New Roman" w:hAnsi="Times New Roman"/>
          <w:b/>
          <w:bCs/>
          <w:sz w:val="24"/>
          <w:szCs w:val="24"/>
        </w:rPr>
        <w:t xml:space="preserve">Legal Lesson Learned: </w:t>
      </w:r>
      <w:r>
        <w:rPr>
          <w:rStyle w:val="markedcontent"/>
          <w:rFonts w:ascii="Times New Roman" w:hAnsi="Times New Roman"/>
          <w:b/>
          <w:bCs/>
          <w:sz w:val="24"/>
          <w:szCs w:val="24"/>
        </w:rPr>
        <w:t xml:space="preserve">Progressive discipline; the offense needs to be extremely serious to terminate a career firefighter who has never previously been suspended. </w:t>
      </w:r>
    </w:p>
    <w:p w14:paraId="56832288" w14:textId="77777777" w:rsidR="007051EE" w:rsidRPr="00BF0238" w:rsidRDefault="007051EE" w:rsidP="007051EE">
      <w:pPr>
        <w:ind w:left="720"/>
        <w:rPr>
          <w:rStyle w:val="markedcontent"/>
          <w:rFonts w:ascii="Times New Roman" w:hAnsi="Times New Roman"/>
          <w:sz w:val="24"/>
          <w:szCs w:val="24"/>
        </w:rPr>
      </w:pPr>
      <w:r>
        <w:rPr>
          <w:rStyle w:val="markedcontent"/>
          <w:rFonts w:ascii="Times New Roman" w:hAnsi="Times New Roman"/>
          <w:sz w:val="24"/>
          <w:szCs w:val="24"/>
        </w:rPr>
        <w:t xml:space="preserve">Note:  Not clear why the fire department rehired the plaintiff on Sept. 23, 2019.  A search </w:t>
      </w:r>
      <w:proofErr w:type="gramStart"/>
      <w:r>
        <w:rPr>
          <w:rStyle w:val="markedcontent"/>
          <w:rFonts w:ascii="Times New Roman" w:hAnsi="Times New Roman"/>
          <w:sz w:val="24"/>
          <w:szCs w:val="24"/>
        </w:rPr>
        <w:t>of</w:t>
      </w:r>
      <w:proofErr w:type="gramEnd"/>
      <w:r>
        <w:rPr>
          <w:rStyle w:val="markedcontent"/>
          <w:rFonts w:ascii="Times New Roman" w:hAnsi="Times New Roman"/>
          <w:sz w:val="24"/>
          <w:szCs w:val="24"/>
        </w:rPr>
        <w:t xml:space="preserve"> Federal Court records reflects that on Sept. 4. 2015, the Plaintiff filed a lawsuit against the fire department in U.S. District Court, Northern District of Texas (Abilene Division), and on October 17, </w:t>
      </w:r>
      <w:proofErr w:type="gramStart"/>
      <w:r>
        <w:rPr>
          <w:rStyle w:val="markedcontent"/>
          <w:rFonts w:ascii="Times New Roman" w:hAnsi="Times New Roman"/>
          <w:sz w:val="24"/>
          <w:szCs w:val="24"/>
        </w:rPr>
        <w:t>2017</w:t>
      </w:r>
      <w:proofErr w:type="gramEnd"/>
      <w:r>
        <w:rPr>
          <w:rStyle w:val="markedcontent"/>
          <w:rFonts w:ascii="Times New Roman" w:hAnsi="Times New Roman"/>
          <w:sz w:val="24"/>
          <w:szCs w:val="24"/>
        </w:rPr>
        <w:t xml:space="preserve"> a jury held for the fire department. </w:t>
      </w:r>
      <w:hyperlink r:id="rId2717" w:history="1">
        <w:r w:rsidRPr="00BF0238">
          <w:rPr>
            <w:rStyle w:val="Hyperlink"/>
            <w:rFonts w:ascii="Times New Roman" w:hAnsi="Times New Roman"/>
            <w:sz w:val="24"/>
            <w:szCs w:val="24"/>
          </w:rPr>
          <w:t>Case Title Butler v. City of Big Spring.pdf</w:t>
        </w:r>
      </w:hyperlink>
      <w:r w:rsidRPr="00BF0238">
        <w:rPr>
          <w:rFonts w:ascii="Times New Roman" w:hAnsi="Times New Roman"/>
          <w:sz w:val="24"/>
          <w:szCs w:val="24"/>
        </w:rPr>
        <w:t xml:space="preserve">. </w:t>
      </w:r>
      <w:r>
        <w:rPr>
          <w:rFonts w:ascii="Times New Roman" w:hAnsi="Times New Roman"/>
          <w:sz w:val="24"/>
          <w:szCs w:val="24"/>
        </w:rPr>
        <w:t xml:space="preserve"> </w:t>
      </w:r>
    </w:p>
    <w:p w14:paraId="6B575653" w14:textId="77777777" w:rsidR="007051EE" w:rsidRDefault="007051EE" w:rsidP="00F326E5">
      <w:pPr>
        <w:pStyle w:val="NoSpacing"/>
        <w:rPr>
          <w:rFonts w:ascii="Arial Black" w:hAnsi="Arial Black"/>
          <w:sz w:val="24"/>
          <w:szCs w:val="24"/>
        </w:rPr>
      </w:pPr>
    </w:p>
    <w:p w14:paraId="6612A982" w14:textId="77777777" w:rsidR="007051EE" w:rsidRDefault="007051EE" w:rsidP="00F326E5">
      <w:pPr>
        <w:pStyle w:val="NoSpacing"/>
        <w:rPr>
          <w:rFonts w:ascii="Arial Black" w:hAnsi="Arial Black"/>
          <w:sz w:val="24"/>
          <w:szCs w:val="24"/>
        </w:rPr>
      </w:pPr>
    </w:p>
    <w:p w14:paraId="49755AB2" w14:textId="77777777" w:rsidR="007051EE" w:rsidRDefault="007051EE" w:rsidP="00F326E5">
      <w:pPr>
        <w:pStyle w:val="NoSpacing"/>
        <w:rPr>
          <w:rFonts w:ascii="Arial Black" w:hAnsi="Arial Black"/>
          <w:sz w:val="24"/>
          <w:szCs w:val="24"/>
        </w:rPr>
      </w:pPr>
    </w:p>
    <w:p w14:paraId="3F8FAD9F" w14:textId="74FDD8DC" w:rsidR="007051EE" w:rsidRDefault="007051EE" w:rsidP="00F326E5">
      <w:pPr>
        <w:pStyle w:val="NoSpacing"/>
        <w:rPr>
          <w:rFonts w:ascii="Arial Black" w:hAnsi="Arial Black"/>
          <w:sz w:val="24"/>
          <w:szCs w:val="24"/>
        </w:rPr>
      </w:pPr>
      <w:r>
        <w:rPr>
          <w:rFonts w:ascii="Arial Black" w:hAnsi="Arial Black"/>
          <w:sz w:val="24"/>
          <w:szCs w:val="24"/>
        </w:rPr>
        <w:t>16-69</w:t>
      </w:r>
    </w:p>
    <w:p w14:paraId="1C4FE465" w14:textId="77777777" w:rsidR="007051EE" w:rsidRDefault="007051EE" w:rsidP="007051EE">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MA: BACKGROUND CHECK – FD APPLICANT ARREST 7 YRS PRIOR HIT GIRLFRIEND – NO CONV / CAN SUE REPORT CO. </w:t>
      </w:r>
    </w:p>
    <w:p w14:paraId="3FF9BF72" w14:textId="77777777" w:rsidR="007051EE" w:rsidRDefault="007051EE" w:rsidP="007051EE">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July 7, 2022, in </w:t>
      </w:r>
      <w:r w:rsidRPr="0009131B">
        <w:rPr>
          <w:rFonts w:ascii="Times New Roman" w:eastAsia="Times New Roman" w:hAnsi="Times New Roman"/>
          <w:sz w:val="24"/>
          <w:szCs w:val="24"/>
          <w:u w:val="single"/>
        </w:rPr>
        <w:t>Gerald Meuse v. National P.I. Services, LLC et al</w:t>
      </w:r>
      <w:r>
        <w:rPr>
          <w:rFonts w:ascii="Times New Roman" w:eastAsia="Times New Roman" w:hAnsi="Times New Roman"/>
          <w:sz w:val="24"/>
          <w:szCs w:val="24"/>
        </w:rPr>
        <w:t xml:space="preserve">., U.S. District Court judge Allison D. Burroughs, U.S. District Court for the District of Massachusetts, held that the plaintiff may file an amended complaint against the defendant Consumer Reporting Agency (CRA) under the “seven-year lookback” limits in the federal Fair Credit Reporting Act, </w:t>
      </w:r>
      <w:r w:rsidRPr="005F79BA">
        <w:rPr>
          <w:rFonts w:ascii="Times New Roman" w:hAnsi="Times New Roman"/>
          <w:sz w:val="24"/>
          <w:szCs w:val="24"/>
        </w:rPr>
        <w:t>and</w:t>
      </w:r>
      <w:r>
        <w:rPr>
          <w:rFonts w:ascii="Times New Roman" w:hAnsi="Times New Roman"/>
          <w:sz w:val="24"/>
          <w:szCs w:val="24"/>
        </w:rPr>
        <w:t xml:space="preserve"> also prohibitions on use of arrest records under </w:t>
      </w:r>
      <w:r w:rsidRPr="005F79BA">
        <w:rPr>
          <w:rFonts w:ascii="Times New Roman" w:hAnsi="Times New Roman"/>
          <w:sz w:val="24"/>
          <w:szCs w:val="24"/>
        </w:rPr>
        <w:t>Massachusetts</w:t>
      </w:r>
      <w:r>
        <w:rPr>
          <w:rFonts w:ascii="Times New Roman" w:hAnsi="Times New Roman"/>
          <w:sz w:val="24"/>
          <w:szCs w:val="24"/>
        </w:rPr>
        <w:t xml:space="preserve"> laws. </w:t>
      </w:r>
      <w:r w:rsidRPr="005F79BA">
        <w:rPr>
          <w:rFonts w:ascii="Times New Roman" w:hAnsi="Times New Roman"/>
          <w:sz w:val="24"/>
          <w:szCs w:val="24"/>
        </w:rPr>
        <w:t xml:space="preserve"> </w:t>
      </w:r>
      <w:r>
        <w:rPr>
          <w:rFonts w:ascii="Times New Roman" w:hAnsi="Times New Roman"/>
          <w:sz w:val="24"/>
          <w:szCs w:val="24"/>
        </w:rPr>
        <w:t>“</w:t>
      </w:r>
      <w:r w:rsidRPr="0095474C">
        <w:rPr>
          <w:rFonts w:ascii="Times New Roman" w:hAnsi="Times New Roman"/>
          <w:sz w:val="24"/>
          <w:szCs w:val="24"/>
        </w:rPr>
        <w:t xml:space="preserve">Section 1681c(a)(2) provides that CRAs must exclude from consumer reports </w:t>
      </w:r>
      <w:r>
        <w:rPr>
          <w:rFonts w:ascii="Times New Roman" w:hAnsi="Times New Roman"/>
          <w:sz w:val="24"/>
          <w:szCs w:val="24"/>
        </w:rPr>
        <w:t>‘</w:t>
      </w:r>
      <w:r w:rsidRPr="0095474C">
        <w:rPr>
          <w:rFonts w:ascii="Times New Roman" w:hAnsi="Times New Roman"/>
          <w:sz w:val="24"/>
          <w:szCs w:val="24"/>
        </w:rPr>
        <w:t>[c]</w:t>
      </w:r>
      <w:proofErr w:type="spellStart"/>
      <w:r w:rsidRPr="0095474C">
        <w:rPr>
          <w:rFonts w:ascii="Times New Roman" w:hAnsi="Times New Roman"/>
          <w:sz w:val="24"/>
          <w:szCs w:val="24"/>
        </w:rPr>
        <w:t>ivil</w:t>
      </w:r>
      <w:proofErr w:type="spellEnd"/>
      <w:r w:rsidRPr="0095474C">
        <w:rPr>
          <w:rFonts w:ascii="Times New Roman" w:hAnsi="Times New Roman"/>
          <w:sz w:val="24"/>
          <w:szCs w:val="24"/>
        </w:rPr>
        <w:t xml:space="preserve"> suits . . . and records of arrest that, from the date of entry, antedate the report by more than seven years[.]</w:t>
      </w:r>
      <w:r>
        <w:rPr>
          <w:rFonts w:ascii="Times New Roman" w:hAnsi="Times New Roman"/>
          <w:sz w:val="24"/>
          <w:szCs w:val="24"/>
        </w:rPr>
        <w:t>’</w:t>
      </w:r>
      <w:r w:rsidRPr="0095474C">
        <w:rPr>
          <w:rFonts w:ascii="Times New Roman" w:hAnsi="Times New Roman"/>
          <w:sz w:val="24"/>
          <w:szCs w:val="24"/>
        </w:rPr>
        <w:t xml:space="preserve"> The Amended Complaint asserts that Defendant violated § 1681c(a) by </w:t>
      </w:r>
      <w:r>
        <w:rPr>
          <w:rFonts w:ascii="Times New Roman" w:hAnsi="Times New Roman"/>
          <w:sz w:val="24"/>
          <w:szCs w:val="24"/>
        </w:rPr>
        <w:t>‘</w:t>
      </w:r>
      <w:proofErr w:type="spellStart"/>
      <w:r w:rsidRPr="0095474C">
        <w:rPr>
          <w:rFonts w:ascii="Times New Roman" w:hAnsi="Times New Roman"/>
          <w:sz w:val="24"/>
          <w:szCs w:val="24"/>
        </w:rPr>
        <w:t>disclos</w:t>
      </w:r>
      <w:proofErr w:type="spellEnd"/>
      <w:r w:rsidRPr="0095474C">
        <w:rPr>
          <w:rFonts w:ascii="Times New Roman" w:hAnsi="Times New Roman"/>
          <w:sz w:val="24"/>
          <w:szCs w:val="24"/>
        </w:rPr>
        <w:t>[</w:t>
      </w:r>
      <w:proofErr w:type="spellStart"/>
      <w:r w:rsidRPr="0095474C">
        <w:rPr>
          <w:rFonts w:ascii="Times New Roman" w:hAnsi="Times New Roman"/>
          <w:sz w:val="24"/>
          <w:szCs w:val="24"/>
        </w:rPr>
        <w:t>ing</w:t>
      </w:r>
      <w:proofErr w:type="spellEnd"/>
      <w:r w:rsidRPr="0095474C">
        <w:rPr>
          <w:rFonts w:ascii="Times New Roman" w:hAnsi="Times New Roman"/>
          <w:sz w:val="24"/>
          <w:szCs w:val="24"/>
        </w:rPr>
        <w:t>] [in the October 2019 Report] that in 2011 Plaintiff was arrested</w:t>
      </w:r>
      <w:r>
        <w:rPr>
          <w:rFonts w:ascii="Times New Roman" w:hAnsi="Times New Roman"/>
          <w:sz w:val="24"/>
          <w:szCs w:val="24"/>
        </w:rPr>
        <w:t xml:space="preserve">….’ </w:t>
      </w:r>
      <w:r w:rsidRPr="0095474C">
        <w:rPr>
          <w:rFonts w:ascii="Times New Roman" w:hAnsi="Times New Roman"/>
          <w:sz w:val="24"/>
          <w:szCs w:val="24"/>
        </w:rPr>
        <w:t xml:space="preserve"> </w:t>
      </w:r>
      <w:proofErr w:type="gramStart"/>
      <w:r w:rsidRPr="0095474C">
        <w:rPr>
          <w:rFonts w:ascii="Times New Roman" w:hAnsi="Times New Roman"/>
          <w:sz w:val="24"/>
          <w:szCs w:val="24"/>
        </w:rPr>
        <w:t>Thus</w:t>
      </w:r>
      <w:proofErr w:type="gramEnd"/>
      <w:r w:rsidRPr="0095474C">
        <w:rPr>
          <w:rFonts w:ascii="Times New Roman" w:hAnsi="Times New Roman"/>
          <w:sz w:val="24"/>
          <w:szCs w:val="24"/>
        </w:rPr>
        <w:t xml:space="preserve"> it plainly alleges the inclusion of information-his arrest-prohibited by § 1681c(a)(2). Therefore, the Court finds that Plaintiff has plausibly alleged a violation of § 1681c(a)(2).</w:t>
      </w:r>
      <w:r>
        <w:rPr>
          <w:rFonts w:ascii="Times New Roman" w:hAnsi="Times New Roman"/>
          <w:sz w:val="24"/>
          <w:szCs w:val="24"/>
        </w:rPr>
        <w:t xml:space="preserve">”  </w:t>
      </w:r>
      <w:hyperlink r:id="rId2718" w:history="1">
        <w:r w:rsidRPr="00177C22">
          <w:rPr>
            <w:rStyle w:val="Hyperlink"/>
            <w:rFonts w:ascii="Times New Roman" w:hAnsi="Times New Roman"/>
            <w:sz w:val="24"/>
            <w:szCs w:val="24"/>
          </w:rPr>
          <w:t>https://public.fastcase.com/J%2FJP6pdidelsXxEE4k%2BLMrj3s4T1D9o6YeH1P6QHRjfPwtPh7UBJw6%2FlyLsxvHVQo4RL4odtX24b6W6EIP3%2BuhoyWwf2ZSyK36dgjdjOjEg%3D</w:t>
        </w:r>
      </w:hyperlink>
      <w:r>
        <w:rPr>
          <w:rFonts w:ascii="Times New Roman" w:hAnsi="Times New Roman"/>
          <w:sz w:val="24"/>
          <w:szCs w:val="24"/>
        </w:rPr>
        <w:t xml:space="preserve"> </w:t>
      </w:r>
    </w:p>
    <w:p w14:paraId="6C1B621E" w14:textId="77777777" w:rsidR="007051EE" w:rsidRPr="00E633FE" w:rsidRDefault="007051EE" w:rsidP="007051EE">
      <w:pPr>
        <w:spacing w:before="100" w:beforeAutospacing="1" w:after="100" w:afterAutospacing="1" w:line="240" w:lineRule="auto"/>
        <w:rPr>
          <w:rFonts w:ascii="Times New Roman" w:eastAsia="Times New Roman" w:hAnsi="Times New Roman"/>
          <w:b/>
          <w:bCs/>
          <w:sz w:val="24"/>
          <w:szCs w:val="24"/>
        </w:rPr>
      </w:pPr>
      <w:r w:rsidRPr="00E633FE">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Fire &amp; EMS departments may hire consumer reporting agency to conduct a background check on an applicant; the report must comply with federal and state laws about arrests without convictions.  </w:t>
      </w:r>
    </w:p>
    <w:p w14:paraId="7190119B" w14:textId="77777777" w:rsidR="007051EE" w:rsidRDefault="007051EE" w:rsidP="007051EE">
      <w:pPr>
        <w:spacing w:before="100" w:beforeAutospacing="1" w:after="100" w:afterAutospacing="1" w:line="240" w:lineRule="auto"/>
        <w:ind w:left="720"/>
        <w:rPr>
          <w:rFonts w:ascii="Times New Roman" w:eastAsia="Times New Roman" w:hAnsi="Times New Roman"/>
          <w:sz w:val="24"/>
          <w:szCs w:val="24"/>
        </w:rPr>
      </w:pPr>
      <w:r w:rsidRPr="00314821">
        <w:rPr>
          <w:rFonts w:ascii="Times New Roman" w:eastAsia="Times New Roman" w:hAnsi="Times New Roman"/>
          <w:sz w:val="24"/>
          <w:szCs w:val="24"/>
        </w:rPr>
        <w:t xml:space="preserve">Note: </w:t>
      </w:r>
      <w:r>
        <w:rPr>
          <w:rFonts w:ascii="Times New Roman" w:eastAsia="Times New Roman" w:hAnsi="Times New Roman"/>
          <w:sz w:val="24"/>
          <w:szCs w:val="24"/>
        </w:rPr>
        <w:t xml:space="preserve">Some states prohibit prospective employers from asking applicants about arrest records where there was no conviction. The Court reviewed Massachusetts law. </w:t>
      </w:r>
    </w:p>
    <w:p w14:paraId="3F005920" w14:textId="77777777" w:rsidR="007051EE" w:rsidRDefault="007051EE" w:rsidP="007051EE">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r w:rsidRPr="00314821">
        <w:rPr>
          <w:rFonts w:ascii="Times New Roman" w:hAnsi="Times New Roman"/>
          <w:sz w:val="24"/>
          <w:szCs w:val="24"/>
        </w:rPr>
        <w:t xml:space="preserve">Chapter 151B, § 4(9), in part, prohibits </w:t>
      </w:r>
      <w:r>
        <w:rPr>
          <w:rFonts w:ascii="Times New Roman" w:hAnsi="Times New Roman"/>
          <w:sz w:val="24"/>
          <w:szCs w:val="24"/>
        </w:rPr>
        <w:t>‘</w:t>
      </w:r>
      <w:proofErr w:type="spellStart"/>
      <w:r w:rsidRPr="00314821">
        <w:rPr>
          <w:rFonts w:ascii="Times New Roman" w:hAnsi="Times New Roman"/>
          <w:sz w:val="24"/>
          <w:szCs w:val="24"/>
        </w:rPr>
        <w:t>discriminat</w:t>
      </w:r>
      <w:proofErr w:type="spellEnd"/>
      <w:r w:rsidRPr="00314821">
        <w:rPr>
          <w:rFonts w:ascii="Times New Roman" w:hAnsi="Times New Roman"/>
          <w:sz w:val="24"/>
          <w:szCs w:val="24"/>
        </w:rPr>
        <w:t>[ion] against any person by reason of his or her failure to furnish such information through a written application or oral inquiry or otherwise regarding: (</w:t>
      </w:r>
      <w:proofErr w:type="spellStart"/>
      <w:r w:rsidRPr="00314821">
        <w:rPr>
          <w:rFonts w:ascii="Times New Roman" w:hAnsi="Times New Roman"/>
          <w:sz w:val="24"/>
          <w:szCs w:val="24"/>
        </w:rPr>
        <w:t>i</w:t>
      </w:r>
      <w:proofErr w:type="spellEnd"/>
      <w:r w:rsidRPr="00314821">
        <w:rPr>
          <w:rFonts w:ascii="Times New Roman" w:hAnsi="Times New Roman"/>
          <w:sz w:val="24"/>
          <w:szCs w:val="24"/>
        </w:rPr>
        <w:t>) an arrest, detention, or disposition regarding any violation of law in which no conviction resulted.</w:t>
      </w:r>
      <w:r>
        <w:rPr>
          <w:rFonts w:ascii="Times New Roman" w:hAnsi="Times New Roman"/>
          <w:sz w:val="24"/>
          <w:szCs w:val="24"/>
        </w:rPr>
        <w:t>’</w:t>
      </w:r>
      <w:r w:rsidRPr="00314821">
        <w:rPr>
          <w:rFonts w:ascii="Times New Roman" w:hAnsi="Times New Roman"/>
          <w:sz w:val="24"/>
          <w:szCs w:val="24"/>
        </w:rPr>
        <w:t xml:space="preserve"> The statute also prohibits an employer, or their agent, from requesting any information regarding an arrest that did not result in a conviction. </w:t>
      </w:r>
      <w:r w:rsidRPr="00314821">
        <w:rPr>
          <w:rFonts w:ascii="Times New Roman" w:hAnsi="Times New Roman"/>
          <w:i/>
          <w:iCs/>
          <w:sz w:val="24"/>
          <w:szCs w:val="24"/>
        </w:rPr>
        <w:t>Id.</w:t>
      </w:r>
      <w:r w:rsidRPr="00314821">
        <w:rPr>
          <w:rFonts w:ascii="Times New Roman" w:hAnsi="Times New Roman"/>
          <w:sz w:val="24"/>
          <w:szCs w:val="24"/>
        </w:rPr>
        <w:t xml:space="preserve"> The statute does not, however, prohibit employers from obtaining information about criminal charges from another source. Indeed, the Supreme Judicial Court of Massachusetts has held that Chapter 151B, § 4(9) was intended </w:t>
      </w:r>
      <w:r>
        <w:rPr>
          <w:rFonts w:ascii="Times New Roman" w:hAnsi="Times New Roman"/>
          <w:sz w:val="24"/>
          <w:szCs w:val="24"/>
        </w:rPr>
        <w:t>‘</w:t>
      </w:r>
      <w:r w:rsidRPr="00314821">
        <w:rPr>
          <w:rFonts w:ascii="Times New Roman" w:hAnsi="Times New Roman"/>
          <w:sz w:val="24"/>
          <w:szCs w:val="24"/>
        </w:rPr>
        <w:t>to protect employees from such requests from their employers and not to proscribe employers from seeking such information elsewhere.</w:t>
      </w:r>
      <w:r>
        <w:rPr>
          <w:rFonts w:ascii="Times New Roman" w:hAnsi="Times New Roman"/>
          <w:sz w:val="24"/>
          <w:szCs w:val="24"/>
        </w:rPr>
        <w:t>’</w:t>
      </w:r>
      <w:r w:rsidRPr="00314821">
        <w:rPr>
          <w:rFonts w:ascii="Times New Roman" w:hAnsi="Times New Roman"/>
          <w:sz w:val="24"/>
          <w:szCs w:val="24"/>
        </w:rPr>
        <w:t xml:space="preserve"> </w:t>
      </w:r>
      <w:r w:rsidRPr="00314821">
        <w:rPr>
          <w:rFonts w:ascii="Times New Roman" w:hAnsi="Times New Roman"/>
          <w:i/>
          <w:iCs/>
          <w:sz w:val="24"/>
          <w:szCs w:val="24"/>
        </w:rPr>
        <w:lastRenderedPageBreak/>
        <w:t>Bynes v. School Comm. of Boston,</w:t>
      </w:r>
      <w:r w:rsidRPr="00314821">
        <w:rPr>
          <w:rFonts w:ascii="Times New Roman" w:hAnsi="Times New Roman"/>
          <w:sz w:val="24"/>
          <w:szCs w:val="24"/>
        </w:rPr>
        <w:t xml:space="preserve"> 411 Mass. 264, 268 (Mass. 1991).</w:t>
      </w:r>
      <w:r>
        <w:rPr>
          <w:rFonts w:ascii="Times New Roman" w:hAnsi="Times New Roman"/>
          <w:sz w:val="24"/>
          <w:szCs w:val="24"/>
        </w:rPr>
        <w:t xml:space="preserve">” </w:t>
      </w:r>
      <w:hyperlink r:id="rId2719" w:history="1">
        <w:r w:rsidRPr="00177C22">
          <w:rPr>
            <w:rStyle w:val="Hyperlink"/>
            <w:rFonts w:ascii="Times New Roman" w:hAnsi="Times New Roman"/>
            <w:sz w:val="24"/>
            <w:szCs w:val="24"/>
          </w:rPr>
          <w:t>https://public.fastcase.com/J%2FJP6pdidelsXxEE4k%2BLMrj3s4T1D9o6YeH1P6QHRjfPwtPh7UBJw6%2FlyLsxvHVQo4RL4odtX24b6W6EIP3%2BuhoyWwf2ZSyK36dgjdjOjEg%3D</w:t>
        </w:r>
      </w:hyperlink>
      <w:r>
        <w:rPr>
          <w:rFonts w:ascii="Times New Roman" w:hAnsi="Times New Roman"/>
          <w:sz w:val="24"/>
          <w:szCs w:val="24"/>
        </w:rPr>
        <w:t xml:space="preserve"> </w:t>
      </w:r>
    </w:p>
    <w:p w14:paraId="0B67F72C" w14:textId="77777777" w:rsidR="007051EE" w:rsidRDefault="007051EE" w:rsidP="007051E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Under Ohio law:</w:t>
      </w:r>
    </w:p>
    <w:p w14:paraId="2E81FE98" w14:textId="77777777" w:rsidR="007051EE" w:rsidRDefault="007051EE" w:rsidP="007051EE">
      <w:pPr>
        <w:pStyle w:val="NormalWeb"/>
        <w:ind w:left="720"/>
      </w:pPr>
      <w:r>
        <w:t xml:space="preserve">“Ohio employers are required to </w:t>
      </w:r>
      <w:r>
        <w:rPr>
          <w:rStyle w:val="Strong"/>
        </w:rPr>
        <w:t>provide advance, written notice</w:t>
      </w:r>
      <w:r>
        <w:t xml:space="preserve"> of their intent to conduct </w:t>
      </w:r>
      <w:hyperlink r:id="rId2720" w:history="1">
        <w:r>
          <w:rPr>
            <w:rStyle w:val="Hyperlink"/>
            <w:rFonts w:eastAsiaTheme="majorEastAsia"/>
          </w:rPr>
          <w:t>pre-employment background checks</w:t>
        </w:r>
      </w:hyperlink>
      <w:r>
        <w:t xml:space="preserve">. The FCRA also requires employers to secure their applicants’ written consent before conducting employment background checks. If a background check reveals negative information in Ohio, employers must adhere to the two-step </w:t>
      </w:r>
      <w:hyperlink r:id="rId2721" w:history="1">
        <w:r>
          <w:rPr>
            <w:rStyle w:val="Hyperlink"/>
            <w:rFonts w:eastAsiaTheme="majorEastAsia"/>
          </w:rPr>
          <w:t>adverse action process</w:t>
        </w:r>
      </w:hyperlink>
      <w:r>
        <w:t xml:space="preserve"> before a final hiring decision is made.</w:t>
      </w:r>
    </w:p>
    <w:p w14:paraId="4C10DC1E" w14:textId="77777777" w:rsidR="007051EE" w:rsidRDefault="007051EE" w:rsidP="007051EE">
      <w:pPr>
        <w:pStyle w:val="NormalWeb"/>
        <w:ind w:left="720"/>
      </w:pPr>
      <w:r>
        <w:t>***</w:t>
      </w:r>
    </w:p>
    <w:p w14:paraId="3DD94F01" w14:textId="77777777" w:rsidR="007051EE" w:rsidRDefault="007051EE" w:rsidP="007051EE">
      <w:pPr>
        <w:pStyle w:val="NormalWeb"/>
        <w:ind w:left="720"/>
      </w:pPr>
      <w:r>
        <w:t xml:space="preserve">Public employers must follow the </w:t>
      </w:r>
      <w:r>
        <w:rPr>
          <w:rStyle w:val="Strong"/>
        </w:rPr>
        <w:t>state’s ban-the-box law</w:t>
      </w:r>
      <w:r>
        <w:t xml:space="preserve">. The Department of Administrative Services issued </w:t>
      </w:r>
      <w:hyperlink r:id="rId2722" w:history="1">
        <w:r>
          <w:rPr>
            <w:rStyle w:val="Hyperlink"/>
            <w:rFonts w:eastAsiaTheme="majorEastAsia"/>
          </w:rPr>
          <w:t>policy HR-29</w:t>
        </w:r>
      </w:hyperlink>
      <w:r>
        <w:t xml:space="preserve"> in 2015. This law prohibits public-sector employers from asking questions about criminal </w:t>
      </w:r>
      <w:proofErr w:type="gramStart"/>
      <w:r>
        <w:t>history information</w:t>
      </w:r>
      <w:proofErr w:type="gramEnd"/>
      <w:r>
        <w:t xml:space="preserve"> during the early phases of the hiring process.</w:t>
      </w:r>
    </w:p>
    <w:p w14:paraId="54B8A69D" w14:textId="77777777" w:rsidR="007051EE" w:rsidRDefault="007051EE" w:rsidP="007051EE">
      <w:pPr>
        <w:pStyle w:val="NormalWeb"/>
        <w:ind w:left="720"/>
      </w:pPr>
      <w:r>
        <w:t xml:space="preserve">Under </w:t>
      </w:r>
      <w:hyperlink r:id="rId2723" w:history="1">
        <w:r>
          <w:rPr>
            <w:rStyle w:val="Hyperlink"/>
            <w:rFonts w:eastAsiaTheme="majorEastAsia"/>
          </w:rPr>
          <w:t>ORC § 2953.32</w:t>
        </w:r>
      </w:hyperlink>
      <w:r>
        <w:t xml:space="preserve">, eligible offenders may petition the court to have certain criminal records sealed or expunged. Employers </w:t>
      </w:r>
      <w:r>
        <w:rPr>
          <w:rStyle w:val="Strong"/>
        </w:rPr>
        <w:t>are not allowed to ask applicants or employees</w:t>
      </w:r>
      <w:r>
        <w:t xml:space="preserve"> about sealed, expunged, pardoned, or erased records.” </w:t>
      </w:r>
      <w:hyperlink r:id="rId2724" w:history="1">
        <w:r w:rsidRPr="00177C22">
          <w:rPr>
            <w:rStyle w:val="Hyperlink"/>
            <w:rFonts w:eastAsiaTheme="majorEastAsia"/>
          </w:rPr>
          <w:t>https://iprospectcheck.com/ohio-background-check/</w:t>
        </w:r>
      </w:hyperlink>
      <w:r>
        <w:t xml:space="preserve"> </w:t>
      </w:r>
    </w:p>
    <w:p w14:paraId="4ADCB94A" w14:textId="77777777" w:rsidR="007051EE" w:rsidRDefault="007051EE" w:rsidP="007051EE">
      <w:pPr>
        <w:spacing w:before="100" w:beforeAutospacing="1" w:after="100" w:afterAutospacing="1" w:line="240" w:lineRule="auto"/>
        <w:rPr>
          <w:rFonts w:ascii="Times New Roman" w:hAnsi="Times New Roman"/>
          <w:sz w:val="24"/>
          <w:szCs w:val="24"/>
        </w:rPr>
      </w:pPr>
    </w:p>
    <w:p w14:paraId="0D94B0D0" w14:textId="77777777" w:rsidR="007051EE" w:rsidRDefault="007051EE" w:rsidP="00F326E5">
      <w:pPr>
        <w:pStyle w:val="NoSpacing"/>
        <w:rPr>
          <w:rFonts w:ascii="Arial Black" w:hAnsi="Arial Black"/>
          <w:sz w:val="24"/>
          <w:szCs w:val="24"/>
        </w:rPr>
      </w:pPr>
    </w:p>
    <w:p w14:paraId="7595D729" w14:textId="77777777" w:rsidR="007051EE" w:rsidRDefault="007051EE" w:rsidP="00F326E5">
      <w:pPr>
        <w:pStyle w:val="NoSpacing"/>
        <w:rPr>
          <w:rFonts w:ascii="Arial Black" w:hAnsi="Arial Black"/>
          <w:sz w:val="24"/>
          <w:szCs w:val="24"/>
        </w:rPr>
      </w:pPr>
    </w:p>
    <w:p w14:paraId="24E0C573" w14:textId="77777777" w:rsidR="007051EE" w:rsidRDefault="007051EE" w:rsidP="00F326E5">
      <w:pPr>
        <w:pStyle w:val="NoSpacing"/>
        <w:rPr>
          <w:rFonts w:ascii="Arial Black" w:hAnsi="Arial Black"/>
          <w:sz w:val="24"/>
          <w:szCs w:val="24"/>
        </w:rPr>
      </w:pPr>
    </w:p>
    <w:p w14:paraId="16AA628D" w14:textId="106C46B2" w:rsidR="00BA51CC" w:rsidRDefault="00BA51CC" w:rsidP="00F326E5">
      <w:pPr>
        <w:pStyle w:val="NoSpacing"/>
        <w:rPr>
          <w:rFonts w:ascii="Arial Black" w:hAnsi="Arial Black"/>
          <w:sz w:val="24"/>
          <w:szCs w:val="24"/>
        </w:rPr>
      </w:pPr>
      <w:r>
        <w:rPr>
          <w:rFonts w:ascii="Arial Black" w:hAnsi="Arial Black"/>
          <w:sz w:val="24"/>
          <w:szCs w:val="24"/>
        </w:rPr>
        <w:t>16-68</w:t>
      </w:r>
    </w:p>
    <w:p w14:paraId="45C7ACD3" w14:textId="77777777" w:rsidR="00BA51CC" w:rsidRDefault="00BA51CC" w:rsidP="00BA51CC">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TN: NEW WIFE MAY HAVE ALTERED WILL OF DECEASED FF – BATT. CHIEF ONLY SIGNED AS WIT. ORIGINAL - REHIRED</w:t>
      </w:r>
    </w:p>
    <w:p w14:paraId="545B87A3" w14:textId="59E48596" w:rsidR="00BA51CC" w:rsidRDefault="00BA51CC" w:rsidP="00BA51CC">
      <w:pPr>
        <w:pStyle w:val="NoSpacing"/>
        <w:rPr>
          <w:rStyle w:val="Hyperlink"/>
          <w:rFonts w:ascii="Times New Roman" w:hAnsi="Times New Roman"/>
          <w:sz w:val="24"/>
          <w:szCs w:val="24"/>
        </w:rPr>
      </w:pPr>
      <w:r w:rsidRPr="003572C6">
        <w:rPr>
          <w:rFonts w:ascii="Times New Roman" w:eastAsia="Times New Roman" w:hAnsi="Times New Roman"/>
          <w:sz w:val="24"/>
          <w:szCs w:val="24"/>
        </w:rPr>
        <w:t xml:space="preserve">On April 26, 2022, </w:t>
      </w:r>
      <w:r w:rsidRPr="005A463F">
        <w:rPr>
          <w:rFonts w:ascii="Times New Roman" w:eastAsia="Times New Roman" w:hAnsi="Times New Roman"/>
          <w:sz w:val="24"/>
          <w:szCs w:val="24"/>
        </w:rPr>
        <w:t xml:space="preserve">in </w:t>
      </w:r>
      <w:r w:rsidRPr="003572C6">
        <w:rPr>
          <w:rFonts w:ascii="Times New Roman" w:eastAsia="Times New Roman" w:hAnsi="Times New Roman"/>
          <w:sz w:val="24"/>
          <w:szCs w:val="24"/>
          <w:u w:val="single"/>
        </w:rPr>
        <w:t>City of Memphis v. Beverly Prye</w:t>
      </w:r>
      <w:r>
        <w:rPr>
          <w:rFonts w:ascii="Times New Roman" w:eastAsia="Times New Roman" w:hAnsi="Times New Roman"/>
          <w:sz w:val="24"/>
          <w:szCs w:val="24"/>
        </w:rPr>
        <w:t xml:space="preserve">, the Court of Appeals of Tennessee in Jackson held (3 to 0) that the City failed to prove that Battalion Chief Prye, a 21-year member of the Memphis FD, knew that the Will of late </w:t>
      </w:r>
      <w:r w:rsidRPr="003572C6">
        <w:rPr>
          <w:rFonts w:ascii="Times New Roman" w:hAnsi="Times New Roman"/>
          <w:sz w:val="24"/>
          <w:szCs w:val="24"/>
        </w:rPr>
        <w:t>Ulysses Jones, Jr</w:t>
      </w:r>
      <w:r>
        <w:rPr>
          <w:rFonts w:ascii="Times New Roman" w:hAnsi="Times New Roman"/>
          <w:sz w:val="24"/>
          <w:szCs w:val="24"/>
        </w:rPr>
        <w:t xml:space="preserve">. was a forgery.  Mr. Jones was also employed with Memphis FD until his death in </w:t>
      </w:r>
      <w:proofErr w:type="gramStart"/>
      <w:r>
        <w:rPr>
          <w:rFonts w:ascii="Times New Roman" w:hAnsi="Times New Roman"/>
          <w:sz w:val="24"/>
          <w:szCs w:val="24"/>
        </w:rPr>
        <w:t>Nov. 2010, and</w:t>
      </w:r>
      <w:proofErr w:type="gramEnd"/>
      <w:r>
        <w:rPr>
          <w:rFonts w:ascii="Times New Roman" w:hAnsi="Times New Roman"/>
          <w:sz w:val="24"/>
          <w:szCs w:val="24"/>
        </w:rPr>
        <w:t xml:space="preserve"> told Ms. Prye of his intentions to marry his girlfriend, Ms. Sandra Richards. The Court raised the possibility that the Will that was submitted to Probate Court by Ms. Richards, leaving all his estate to her, might not have been the document witnessed by the Battalion Chief. </w:t>
      </w:r>
      <w:hyperlink r:id="rId2725" w:history="1">
        <w:r w:rsidRPr="00C8589E">
          <w:rPr>
            <w:rStyle w:val="Hyperlink"/>
            <w:rFonts w:ascii="Times New Roman" w:hAnsi="Times New Roman"/>
            <w:sz w:val="24"/>
            <w:szCs w:val="24"/>
          </w:rPr>
          <w:t>https://www.tncourts.gov/sites/default/files/pryebeverlyopn.pdf</w:t>
        </w:r>
      </w:hyperlink>
    </w:p>
    <w:p w14:paraId="655F7501" w14:textId="77777777" w:rsidR="00BA51CC" w:rsidRPr="00A302C2" w:rsidRDefault="00BA51CC" w:rsidP="00BA51CC">
      <w:pPr>
        <w:spacing w:before="100" w:beforeAutospacing="1" w:after="100" w:afterAutospacing="1" w:line="240" w:lineRule="auto"/>
        <w:rPr>
          <w:rFonts w:ascii="Times New Roman" w:hAnsi="Times New Roman"/>
          <w:sz w:val="24"/>
          <w:szCs w:val="24"/>
        </w:rPr>
      </w:pPr>
      <w:r w:rsidRPr="00D23681">
        <w:rPr>
          <w:rFonts w:ascii="Times New Roman" w:hAnsi="Times New Roman"/>
          <w:b/>
          <w:bCs/>
          <w:sz w:val="24"/>
          <w:szCs w:val="24"/>
        </w:rPr>
        <w:t>Legal Lesson Learned</w:t>
      </w:r>
      <w:r>
        <w:rPr>
          <w:rFonts w:ascii="Times New Roman" w:hAnsi="Times New Roman"/>
          <w:b/>
          <w:bCs/>
          <w:sz w:val="24"/>
          <w:szCs w:val="24"/>
        </w:rPr>
        <w:t xml:space="preserve">: Employee reinstated with full back pay and benefits. </w:t>
      </w:r>
    </w:p>
    <w:p w14:paraId="04E1CC18" w14:textId="77777777" w:rsidR="00BA51CC" w:rsidRDefault="00BA51CC" w:rsidP="00BA51CC">
      <w:pPr>
        <w:pStyle w:val="NoSpacing"/>
        <w:rPr>
          <w:rFonts w:ascii="Arial Black" w:hAnsi="Arial Black"/>
          <w:sz w:val="24"/>
          <w:szCs w:val="24"/>
        </w:rPr>
      </w:pPr>
    </w:p>
    <w:p w14:paraId="5839D367" w14:textId="77777777" w:rsidR="00BA51CC" w:rsidRDefault="00BA51CC" w:rsidP="00F326E5">
      <w:pPr>
        <w:pStyle w:val="NoSpacing"/>
        <w:rPr>
          <w:rFonts w:ascii="Arial Black" w:hAnsi="Arial Black"/>
          <w:sz w:val="24"/>
          <w:szCs w:val="24"/>
        </w:rPr>
      </w:pPr>
    </w:p>
    <w:p w14:paraId="0D8B812F" w14:textId="77777777" w:rsidR="00BA51CC" w:rsidRDefault="00BA51CC" w:rsidP="00F326E5">
      <w:pPr>
        <w:pStyle w:val="NoSpacing"/>
        <w:rPr>
          <w:rFonts w:ascii="Arial Black" w:hAnsi="Arial Black"/>
          <w:sz w:val="24"/>
          <w:szCs w:val="24"/>
        </w:rPr>
      </w:pPr>
    </w:p>
    <w:p w14:paraId="2FFF2718" w14:textId="3D700563" w:rsidR="00BA51CC" w:rsidRDefault="00BA51CC" w:rsidP="00F326E5">
      <w:pPr>
        <w:pStyle w:val="NoSpacing"/>
        <w:rPr>
          <w:rFonts w:ascii="Arial Black" w:hAnsi="Arial Black"/>
          <w:sz w:val="24"/>
          <w:szCs w:val="24"/>
        </w:rPr>
      </w:pPr>
      <w:r>
        <w:rPr>
          <w:rFonts w:ascii="Arial Black" w:hAnsi="Arial Black"/>
          <w:sz w:val="24"/>
          <w:szCs w:val="24"/>
        </w:rPr>
        <w:t>16-67</w:t>
      </w:r>
    </w:p>
    <w:p w14:paraId="69475352" w14:textId="77777777" w:rsidR="00BA51CC" w:rsidRPr="006A4F17" w:rsidRDefault="00BA51CC" w:rsidP="00BA51CC">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lastRenderedPageBreak/>
        <w:t>GA: FIRE CHIEF FIRED – AFFAIR – 1</w:t>
      </w:r>
      <w:r w:rsidRPr="00701857">
        <w:rPr>
          <w:rFonts w:ascii="Arial Black" w:eastAsia="Times New Roman" w:hAnsi="Arial Black"/>
          <w:sz w:val="28"/>
          <w:szCs w:val="28"/>
          <w:vertAlign w:val="superscript"/>
        </w:rPr>
        <w:t>st</w:t>
      </w:r>
      <w:r>
        <w:rPr>
          <w:rFonts w:ascii="Arial Black" w:eastAsia="Times New Roman" w:hAnsi="Arial Black"/>
          <w:sz w:val="28"/>
          <w:szCs w:val="28"/>
        </w:rPr>
        <w:t xml:space="preserve"> AMEND. RIGHT TO SPEAK – “SHOP WITH A HERO” SHOULD BE PRIVATE $</w:t>
      </w:r>
    </w:p>
    <w:p w14:paraId="04B5FBD7" w14:textId="01FF2257" w:rsidR="00BA51CC" w:rsidRDefault="00BA51CC" w:rsidP="00BA51CC">
      <w:pPr>
        <w:pStyle w:val="NoSpacing"/>
        <w:rPr>
          <w:rStyle w:val="Hyperlink"/>
          <w:rFonts w:ascii="Times New Roman" w:hAnsi="Times New Roman"/>
          <w:sz w:val="24"/>
          <w:szCs w:val="24"/>
        </w:rPr>
      </w:pPr>
      <w:r>
        <w:rPr>
          <w:rFonts w:ascii="Times New Roman" w:eastAsia="Times New Roman" w:hAnsi="Times New Roman"/>
          <w:sz w:val="24"/>
          <w:szCs w:val="24"/>
        </w:rPr>
        <w:t xml:space="preserve">On April 13, 2022, in </w:t>
      </w:r>
      <w:r w:rsidRPr="000428C8">
        <w:rPr>
          <w:rFonts w:ascii="Times New Roman" w:eastAsia="Times New Roman" w:hAnsi="Times New Roman"/>
          <w:sz w:val="24"/>
          <w:szCs w:val="24"/>
          <w:u w:val="single"/>
        </w:rPr>
        <w:t>William Owens v. Logan Propes, R,V, Watts and the City of Monroe</w:t>
      </w:r>
      <w:r>
        <w:rPr>
          <w:rFonts w:ascii="Times New Roman" w:eastAsia="Times New Roman" w:hAnsi="Times New Roman"/>
          <w:sz w:val="24"/>
          <w:szCs w:val="24"/>
        </w:rPr>
        <w:t>, U.S. District Court Judge Clay D. Land, U.S. District Court for the Middle District of Georgia (Athens Division), held that the former Fire Chief’s claim of breach of his 1</w:t>
      </w:r>
      <w:r w:rsidRPr="00D90B93">
        <w:rPr>
          <w:rFonts w:ascii="Times New Roman" w:eastAsia="Times New Roman" w:hAnsi="Times New Roman"/>
          <w:sz w:val="24"/>
          <w:szCs w:val="24"/>
          <w:vertAlign w:val="superscript"/>
        </w:rPr>
        <w:t>st</w:t>
      </w:r>
      <w:r>
        <w:rPr>
          <w:rFonts w:ascii="Times New Roman" w:eastAsia="Times New Roman" w:hAnsi="Times New Roman"/>
          <w:sz w:val="24"/>
          <w:szCs w:val="24"/>
        </w:rPr>
        <w:t xml:space="preserve"> Amendment right of free speech may proceed. </w:t>
      </w:r>
      <w:r>
        <w:rPr>
          <w:rFonts w:ascii="Times New Roman" w:hAnsi="Times New Roman"/>
          <w:sz w:val="24"/>
          <w:szCs w:val="24"/>
        </w:rPr>
        <w:t xml:space="preserve">In May, 2020 (about same time as the public comments), Police Chief R.V. Watts and City Administrator Logan Propes learned that the Fire Chief William Owens was having a relationship with K.I. (her son saw exchanges on her Apple watch), and </w:t>
      </w:r>
      <w:r w:rsidRPr="00190143">
        <w:rPr>
          <w:rFonts w:ascii="Times New Roman" w:hAnsi="Times New Roman"/>
          <w:sz w:val="24"/>
          <w:szCs w:val="24"/>
        </w:rPr>
        <w:t>Propes demanded that Owens resign and threatened that if he did not, Owens would be terminated for “conduct unbecoming” based on his relationship with K.I. Owens advised the City of the actions taken by Watts and Propes with regard to K.I.'s Apple watch. Soon after that, Owens was terminated from his job as fire chief.</w:t>
      </w:r>
      <w:r>
        <w:rPr>
          <w:rFonts w:ascii="Times New Roman" w:hAnsi="Times New Roman"/>
          <w:sz w:val="24"/>
          <w:szCs w:val="24"/>
        </w:rPr>
        <w:t xml:space="preserve"> </w:t>
      </w:r>
      <w:r>
        <w:rPr>
          <w:rFonts w:ascii="Times New Roman" w:eastAsia="Times New Roman" w:hAnsi="Times New Roman"/>
          <w:sz w:val="24"/>
          <w:szCs w:val="24"/>
        </w:rPr>
        <w:t xml:space="preserve">Owens alleges that his comments at a public meeting that the “Shop </w:t>
      </w:r>
      <w:proofErr w:type="gramStart"/>
      <w:r>
        <w:rPr>
          <w:rFonts w:ascii="Times New Roman" w:eastAsia="Times New Roman" w:hAnsi="Times New Roman"/>
          <w:sz w:val="24"/>
          <w:szCs w:val="24"/>
        </w:rPr>
        <w:t>With</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w:t>
      </w:r>
      <w:proofErr w:type="gramEnd"/>
      <w:r>
        <w:rPr>
          <w:rFonts w:ascii="Times New Roman" w:eastAsia="Times New Roman" w:hAnsi="Times New Roman"/>
          <w:sz w:val="24"/>
          <w:szCs w:val="24"/>
        </w:rPr>
        <w:t xml:space="preserve"> Hero” police and firefighter program should be funded by a private not-for-profit organization.  The program had been proposed by realtors, was administered by the City Administrator, and there were questions from members of the public about missing funds.  The trial judge held that the Fire Chiefs comments may have been a motivating factor in the City’s decision to terminate him.  Under the U.S. Supreme Court’s “balancing test” in Pickering v. Board of Education, 391 U.S. 563 (1968), the Fire Chief was speaking as a private citizen, not a public official.  The judge referenced, </w:t>
      </w:r>
      <w:r w:rsidRPr="00D25C58">
        <w:rPr>
          <w:rStyle w:val="Emphasis"/>
          <w:rFonts w:ascii="Times New Roman" w:hAnsi="Times New Roman"/>
          <w:sz w:val="24"/>
          <w:szCs w:val="24"/>
        </w:rPr>
        <w:t>Garcetti v. Ceballos</w:t>
      </w:r>
      <w:r w:rsidRPr="00D25C58">
        <w:rPr>
          <w:rFonts w:ascii="Times New Roman" w:hAnsi="Times New Roman"/>
          <w:sz w:val="24"/>
          <w:szCs w:val="24"/>
        </w:rPr>
        <w:t>, 547 U.S. 410, 417 (2006)</w:t>
      </w:r>
      <w:r>
        <w:rPr>
          <w:rFonts w:ascii="Times New Roman" w:hAnsi="Times New Roman"/>
          <w:sz w:val="24"/>
          <w:szCs w:val="24"/>
        </w:rPr>
        <w:t xml:space="preserve">, where U.S. Supreme Court held the </w:t>
      </w:r>
      <w:r w:rsidRPr="00D25C58">
        <w:rPr>
          <w:rFonts w:ascii="Times New Roman" w:hAnsi="Times New Roman"/>
          <w:sz w:val="24"/>
          <w:szCs w:val="24"/>
        </w:rPr>
        <w:t xml:space="preserve">First Amendment still provides some protection for a public employee who speaks (1) “as a citizen” (2) “addressing matters of public concern.” </w:t>
      </w:r>
      <w:r w:rsidRPr="00D25C58">
        <w:rPr>
          <w:rStyle w:val="Emphasis"/>
          <w:rFonts w:ascii="Times New Roman" w:hAnsi="Times New Roman"/>
          <w:sz w:val="24"/>
          <w:szCs w:val="24"/>
        </w:rPr>
        <w:t>Id.</w:t>
      </w:r>
      <w:r w:rsidRPr="00D25C58">
        <w:rPr>
          <w:rFonts w:ascii="Times New Roman" w:hAnsi="Times New Roman"/>
          <w:sz w:val="24"/>
          <w:szCs w:val="24"/>
        </w:rPr>
        <w:t xml:space="preserve"> If the employee speaks as a citizen</w:t>
      </w:r>
      <w:r>
        <w:rPr>
          <w:rFonts w:ascii="Times New Roman" w:hAnsi="Times New Roman"/>
          <w:sz w:val="24"/>
          <w:szCs w:val="24"/>
        </w:rPr>
        <w:t xml:space="preserve">.  </w:t>
      </w:r>
      <w:hyperlink r:id="rId2726" w:history="1">
        <w:r w:rsidRPr="00552F99">
          <w:rPr>
            <w:rStyle w:val="Hyperlink"/>
            <w:rFonts w:ascii="Times New Roman" w:hAnsi="Times New Roman"/>
            <w:sz w:val="24"/>
            <w:szCs w:val="24"/>
          </w:rPr>
          <w:t>https://casetext.com/case/owens-v-propes</w:t>
        </w:r>
      </w:hyperlink>
    </w:p>
    <w:p w14:paraId="33D50BFE" w14:textId="0F39E572" w:rsidR="00BA51CC" w:rsidRDefault="00BA51CC" w:rsidP="00BA51CC">
      <w:pPr>
        <w:pStyle w:val="NoSpacing"/>
        <w:rPr>
          <w:rStyle w:val="Hyperlink"/>
          <w:rFonts w:ascii="Times New Roman" w:hAnsi="Times New Roman"/>
          <w:sz w:val="24"/>
          <w:szCs w:val="24"/>
        </w:rPr>
      </w:pPr>
    </w:p>
    <w:p w14:paraId="7102314C" w14:textId="77777777" w:rsidR="00BA51CC" w:rsidRPr="00817FDB" w:rsidRDefault="00BA51CC" w:rsidP="00BA51CC">
      <w:pPr>
        <w:spacing w:before="100" w:beforeAutospacing="1" w:after="100" w:afterAutospacing="1" w:line="240" w:lineRule="auto"/>
        <w:rPr>
          <w:rFonts w:ascii="Times New Roman" w:eastAsia="Times New Roman" w:hAnsi="Times New Roman"/>
          <w:b/>
          <w:bCs/>
          <w:sz w:val="24"/>
          <w:szCs w:val="24"/>
        </w:rPr>
      </w:pPr>
      <w:r w:rsidRPr="00817FDB">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Public officials, including fire chiefs and firefighters have only limited 1</w:t>
      </w:r>
      <w:r w:rsidRPr="00817FDB">
        <w:rPr>
          <w:rFonts w:ascii="Times New Roman" w:eastAsia="Times New Roman" w:hAnsi="Times New Roman"/>
          <w:b/>
          <w:bCs/>
          <w:sz w:val="24"/>
          <w:szCs w:val="24"/>
          <w:vertAlign w:val="superscript"/>
        </w:rPr>
        <w:t>st</w:t>
      </w:r>
      <w:r>
        <w:rPr>
          <w:rFonts w:ascii="Times New Roman" w:eastAsia="Times New Roman" w:hAnsi="Times New Roman"/>
          <w:b/>
          <w:bCs/>
          <w:sz w:val="24"/>
          <w:szCs w:val="24"/>
        </w:rPr>
        <w:t xml:space="preserve"> Amendment rights under the </w:t>
      </w:r>
      <w:r w:rsidRPr="00817EA6">
        <w:rPr>
          <w:rFonts w:ascii="Times New Roman" w:eastAsia="Times New Roman" w:hAnsi="Times New Roman"/>
          <w:b/>
          <w:bCs/>
          <w:i/>
          <w:iCs/>
          <w:sz w:val="24"/>
          <w:szCs w:val="24"/>
        </w:rPr>
        <w:t>Pickering</w:t>
      </w:r>
      <w:r>
        <w:rPr>
          <w:rFonts w:ascii="Times New Roman" w:eastAsia="Times New Roman" w:hAnsi="Times New Roman"/>
          <w:b/>
          <w:bCs/>
          <w:sz w:val="24"/>
          <w:szCs w:val="24"/>
        </w:rPr>
        <w:t xml:space="preserve"> “balancing test” when discussing official activities; here the trial court found that the Fire Chief was speaking as a private citizen. </w:t>
      </w:r>
    </w:p>
    <w:p w14:paraId="3B240C8C" w14:textId="7C2A13A9" w:rsidR="00BA51CC" w:rsidRPr="00BA51CC" w:rsidRDefault="00BA51CC" w:rsidP="00BA51CC">
      <w:pPr>
        <w:pStyle w:val="NoSpacing"/>
        <w:ind w:left="720"/>
        <w:rPr>
          <w:rFonts w:ascii="Times New Roman" w:hAnsi="Times New Roman"/>
          <w:sz w:val="24"/>
          <w:szCs w:val="24"/>
        </w:rPr>
      </w:pPr>
      <w:r w:rsidRPr="00BA51CC">
        <w:rPr>
          <w:rFonts w:ascii="Times New Roman" w:hAnsi="Times New Roman"/>
          <w:sz w:val="24"/>
          <w:szCs w:val="24"/>
        </w:rPr>
        <w:t xml:space="preserve">Note: See article (July 6, 2021): “Owens refused to resign; Fire chief's alleged relationship, financial management lead to firing.” </w:t>
      </w:r>
      <w:hyperlink r:id="rId2727" w:history="1">
        <w:r w:rsidRPr="00BA51CC">
          <w:rPr>
            <w:rStyle w:val="Hyperlink"/>
            <w:rFonts w:ascii="Times New Roman" w:hAnsi="Times New Roman"/>
            <w:sz w:val="24"/>
            <w:szCs w:val="24"/>
          </w:rPr>
          <w:t>https://www.waltontribune.com/article_108b8906-f48f-11ea-baf7-07788894fc4c.html</w:t>
        </w:r>
      </w:hyperlink>
    </w:p>
    <w:p w14:paraId="7F8BF022" w14:textId="77777777" w:rsidR="00BA51CC" w:rsidRDefault="00BA51CC" w:rsidP="00F326E5">
      <w:pPr>
        <w:pStyle w:val="NoSpacing"/>
        <w:rPr>
          <w:rFonts w:ascii="Arial Black" w:hAnsi="Arial Black"/>
          <w:sz w:val="24"/>
          <w:szCs w:val="24"/>
        </w:rPr>
      </w:pPr>
    </w:p>
    <w:p w14:paraId="26CCD078" w14:textId="77777777" w:rsidR="00BA51CC" w:rsidRDefault="00BA51CC" w:rsidP="00F326E5">
      <w:pPr>
        <w:pStyle w:val="NoSpacing"/>
        <w:rPr>
          <w:rFonts w:ascii="Arial Black" w:hAnsi="Arial Black"/>
          <w:sz w:val="24"/>
          <w:szCs w:val="24"/>
        </w:rPr>
      </w:pPr>
    </w:p>
    <w:p w14:paraId="4951670B" w14:textId="3688525F" w:rsidR="00BA51CC" w:rsidRDefault="00BA51CC" w:rsidP="00F326E5">
      <w:pPr>
        <w:pStyle w:val="NoSpacing"/>
        <w:rPr>
          <w:rFonts w:ascii="Arial Black" w:hAnsi="Arial Black"/>
          <w:sz w:val="24"/>
          <w:szCs w:val="24"/>
        </w:rPr>
      </w:pPr>
      <w:r>
        <w:rPr>
          <w:rFonts w:ascii="Arial Black" w:hAnsi="Arial Black"/>
          <w:sz w:val="24"/>
          <w:szCs w:val="24"/>
        </w:rPr>
        <w:t>16-66</w:t>
      </w:r>
    </w:p>
    <w:p w14:paraId="4A0E4F9E" w14:textId="77777777" w:rsidR="00BA51CC" w:rsidRPr="008635F6" w:rsidRDefault="00BA51CC" w:rsidP="00BA51CC">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FL: NAVAL FIRE TRAINING OFFICER FIRED - TOLD UPDATE TRAINING RECORDS – NO WHISTLEBLOWER RETALIATION</w:t>
      </w:r>
    </w:p>
    <w:p w14:paraId="0F6252C7" w14:textId="38A9CB3F" w:rsidR="00BA51CC" w:rsidRDefault="00BA51CC" w:rsidP="00BA51CC">
      <w:pPr>
        <w:pStyle w:val="NoSpacing"/>
        <w:rPr>
          <w:rStyle w:val="Hyperlink"/>
          <w:rFonts w:ascii="Times New Roman" w:hAnsi="Times New Roman"/>
          <w:sz w:val="24"/>
          <w:szCs w:val="24"/>
        </w:rPr>
      </w:pPr>
      <w:r w:rsidRPr="000A2685">
        <w:rPr>
          <w:rFonts w:ascii="Times New Roman" w:eastAsia="Times New Roman" w:hAnsi="Times New Roman"/>
          <w:sz w:val="24"/>
          <w:szCs w:val="24"/>
        </w:rPr>
        <w:t xml:space="preserve">On </w:t>
      </w:r>
      <w:r>
        <w:rPr>
          <w:rFonts w:ascii="Times New Roman" w:eastAsia="Times New Roman" w:hAnsi="Times New Roman"/>
          <w:sz w:val="24"/>
          <w:szCs w:val="24"/>
        </w:rPr>
        <w:t xml:space="preserve">April 1, 2022, in </w:t>
      </w:r>
      <w:r w:rsidRPr="000A2685">
        <w:rPr>
          <w:rFonts w:ascii="Times New Roman" w:eastAsia="Times New Roman" w:hAnsi="Times New Roman"/>
          <w:sz w:val="24"/>
          <w:szCs w:val="24"/>
          <w:u w:val="single"/>
        </w:rPr>
        <w:t>David A, Rickel v. Department of the Navy</w:t>
      </w:r>
      <w:r>
        <w:rPr>
          <w:rFonts w:ascii="Times New Roman" w:eastAsia="Times New Roman" w:hAnsi="Times New Roman"/>
          <w:sz w:val="24"/>
          <w:szCs w:val="24"/>
        </w:rPr>
        <w:t xml:space="preserve">, the U.S. Court of Appeals for Federal Circuit (D.C.) held (3 to 0) that there was substantial evidence to support the decision of </w:t>
      </w:r>
      <w:r w:rsidRPr="00A91835">
        <w:rPr>
          <w:rFonts w:ascii="Times New Roman" w:hAnsi="Times New Roman"/>
          <w:sz w:val="24"/>
          <w:szCs w:val="24"/>
        </w:rPr>
        <w:t>Merit Systems Protection Board</w:t>
      </w:r>
      <w:r>
        <w:rPr>
          <w:rFonts w:ascii="Times New Roman" w:hAnsi="Times New Roman"/>
          <w:sz w:val="24"/>
          <w:szCs w:val="24"/>
        </w:rPr>
        <w:t xml:space="preserve">, which upheld the termination decision by Captain Brian Weiss, Executive Officer of Naval Air Station Jacksonville.  The plaintiff was the only employee in the Fire Service training office. In late 2016, he applied for Deputy Fire </w:t>
      </w:r>
      <w:proofErr w:type="gramStart"/>
      <w:r>
        <w:rPr>
          <w:rFonts w:ascii="Times New Roman" w:hAnsi="Times New Roman"/>
          <w:sz w:val="24"/>
          <w:szCs w:val="24"/>
        </w:rPr>
        <w:t>Chief</w:t>
      </w:r>
      <w:proofErr w:type="gramEnd"/>
      <w:r>
        <w:rPr>
          <w:rFonts w:ascii="Times New Roman" w:hAnsi="Times New Roman"/>
          <w:sz w:val="24"/>
          <w:szCs w:val="24"/>
        </w:rPr>
        <w:t xml:space="preserve">, but </w:t>
      </w:r>
      <w:proofErr w:type="gramStart"/>
      <w:r>
        <w:rPr>
          <w:rFonts w:ascii="Times New Roman" w:hAnsi="Times New Roman"/>
          <w:sz w:val="24"/>
          <w:szCs w:val="24"/>
        </w:rPr>
        <w:t>position went to</w:t>
      </w:r>
      <w:proofErr w:type="gramEnd"/>
      <w:r>
        <w:rPr>
          <w:rFonts w:ascii="Times New Roman" w:hAnsi="Times New Roman"/>
          <w:sz w:val="24"/>
          <w:szCs w:val="24"/>
        </w:rPr>
        <w:t xml:space="preserve"> the </w:t>
      </w:r>
      <w:proofErr w:type="gramStart"/>
      <w:r>
        <w:rPr>
          <w:rFonts w:ascii="Times New Roman" w:hAnsi="Times New Roman"/>
          <w:sz w:val="24"/>
          <w:szCs w:val="24"/>
        </w:rPr>
        <w:t>current</w:t>
      </w:r>
      <w:proofErr w:type="gramEnd"/>
      <w:r>
        <w:rPr>
          <w:rFonts w:ascii="Times New Roman" w:hAnsi="Times New Roman"/>
          <w:sz w:val="24"/>
          <w:szCs w:val="24"/>
        </w:rPr>
        <w:t xml:space="preserve"> Assistant Chief of Operations.  The plaintiff sent an e-mail to Fire Chief, challenging the Assistant Chief’s “candor in his application” and further alleging there have been at least 5 other promotions who lacked credentials and therefore posed a “life safety risk” to the Navy. He was fired June 8, 2019 for repeated failure to update training records, including being ordered to do so on June 15, 2017; Dec. 2018; and in March 2019 the </w:t>
      </w:r>
      <w:r w:rsidRPr="00FB6C77">
        <w:rPr>
          <w:rFonts w:ascii="Times New Roman" w:hAnsi="Times New Roman"/>
          <w:sz w:val="24"/>
          <w:szCs w:val="24"/>
        </w:rPr>
        <w:t>Deputy Chief took between March 5 and March 25 to update the records, noting that it only took about 16.5 hours to "get the folders done and inspection ready</w:t>
      </w:r>
      <w:r>
        <w:rPr>
          <w:rFonts w:ascii="Times New Roman" w:hAnsi="Times New Roman"/>
          <w:sz w:val="24"/>
          <w:szCs w:val="24"/>
        </w:rPr>
        <w:t>.</w:t>
      </w:r>
      <w:r w:rsidRPr="00FB6C77">
        <w:rPr>
          <w:rFonts w:ascii="Times New Roman" w:hAnsi="Times New Roman"/>
          <w:sz w:val="24"/>
          <w:szCs w:val="24"/>
        </w:rPr>
        <w:t xml:space="preserve">" </w:t>
      </w:r>
      <w:r>
        <w:rPr>
          <w:rFonts w:ascii="Times New Roman" w:hAnsi="Times New Roman"/>
          <w:sz w:val="24"/>
          <w:szCs w:val="24"/>
        </w:rPr>
        <w:t xml:space="preserve"> </w:t>
      </w:r>
      <w:hyperlink r:id="rId2728" w:history="1">
        <w:r w:rsidRPr="00D45A3B">
          <w:rPr>
            <w:rStyle w:val="Hyperlink"/>
            <w:rFonts w:ascii="Times New Roman" w:hAnsi="Times New Roman"/>
            <w:sz w:val="24"/>
            <w:szCs w:val="24"/>
          </w:rPr>
          <w:t>https://law.justia.com/cases/federal/appellate-courts/cafc/20-2147/20-2147-2022-04-18.html</w:t>
        </w:r>
      </w:hyperlink>
    </w:p>
    <w:p w14:paraId="64E70D9F" w14:textId="0F026F85" w:rsidR="00BA51CC" w:rsidRDefault="00BA51CC" w:rsidP="00BA51CC">
      <w:pPr>
        <w:pStyle w:val="NoSpacing"/>
        <w:rPr>
          <w:rStyle w:val="Hyperlink"/>
          <w:rFonts w:ascii="Times New Roman" w:hAnsi="Times New Roman"/>
          <w:sz w:val="24"/>
          <w:szCs w:val="24"/>
        </w:rPr>
      </w:pPr>
    </w:p>
    <w:p w14:paraId="361806C7" w14:textId="77777777" w:rsidR="00BA51CC" w:rsidRPr="00C30B2C" w:rsidRDefault="00BA51CC" w:rsidP="00BA51CC">
      <w:pPr>
        <w:pStyle w:val="NormalWeb"/>
        <w:rPr>
          <w:b/>
          <w:bCs/>
        </w:rPr>
      </w:pPr>
      <w:r w:rsidRPr="00C30B2C">
        <w:rPr>
          <w:b/>
          <w:bCs/>
        </w:rPr>
        <w:lastRenderedPageBreak/>
        <w:t>Legal Lesson Learned:</w:t>
      </w:r>
      <w:r>
        <w:rPr>
          <w:b/>
          <w:bCs/>
        </w:rPr>
        <w:t xml:space="preserve"> “Whistleblower” claims can be defeated with detailed records proving refusal to follow orders. </w:t>
      </w:r>
    </w:p>
    <w:p w14:paraId="6B7D043A" w14:textId="77777777" w:rsidR="00BA51CC" w:rsidRDefault="00BA51CC" w:rsidP="00BA51CC">
      <w:pPr>
        <w:pStyle w:val="NoSpacing"/>
        <w:rPr>
          <w:rFonts w:ascii="Arial Black" w:hAnsi="Arial Black"/>
          <w:sz w:val="24"/>
          <w:szCs w:val="24"/>
        </w:rPr>
      </w:pPr>
    </w:p>
    <w:p w14:paraId="1762BAE3" w14:textId="77777777" w:rsidR="00BA51CC" w:rsidRDefault="00BA51CC" w:rsidP="00F326E5">
      <w:pPr>
        <w:pStyle w:val="NoSpacing"/>
        <w:rPr>
          <w:rFonts w:ascii="Arial Black" w:hAnsi="Arial Black"/>
          <w:sz w:val="24"/>
          <w:szCs w:val="24"/>
        </w:rPr>
      </w:pPr>
    </w:p>
    <w:p w14:paraId="52FF0F29" w14:textId="52EADE65" w:rsidR="007F5C26" w:rsidRDefault="007F5C26" w:rsidP="00F326E5">
      <w:pPr>
        <w:pStyle w:val="NoSpacing"/>
        <w:rPr>
          <w:rFonts w:ascii="Arial Black" w:hAnsi="Arial Black"/>
          <w:sz w:val="24"/>
          <w:szCs w:val="24"/>
        </w:rPr>
      </w:pPr>
      <w:r>
        <w:rPr>
          <w:rFonts w:ascii="Arial Black" w:hAnsi="Arial Black"/>
          <w:sz w:val="24"/>
          <w:szCs w:val="24"/>
        </w:rPr>
        <w:t>16-65 [also filed, Chap. 17]</w:t>
      </w:r>
    </w:p>
    <w:p w14:paraId="023E3E9D" w14:textId="77777777" w:rsidR="007F5C26" w:rsidRDefault="007F5C26" w:rsidP="007F5C2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OH: ARBITRATOR MAY REDUCE PENALTY – NEW SHIFT RELIEF - ASSISTANT CHIEF’S LOSS PAY OVERTURNED</w:t>
      </w:r>
    </w:p>
    <w:p w14:paraId="28F4C635" w14:textId="77777777" w:rsidR="007F5C26" w:rsidRPr="00AA2A35" w:rsidRDefault="007F5C26" w:rsidP="007F5C26">
      <w:pPr>
        <w:spacing w:before="100" w:beforeAutospacing="1" w:after="100" w:afterAutospacing="1" w:line="240" w:lineRule="auto"/>
        <w:rPr>
          <w:rFonts w:ascii="Times New Roman" w:eastAsia="Times New Roman" w:hAnsi="Times New Roman"/>
          <w:sz w:val="24"/>
          <w:szCs w:val="24"/>
        </w:rPr>
      </w:pPr>
      <w:r w:rsidRPr="00AA2A35">
        <w:rPr>
          <w:rFonts w:ascii="Times New Roman" w:hAnsi="Times New Roman"/>
          <w:sz w:val="24"/>
          <w:szCs w:val="24"/>
        </w:rPr>
        <w:t xml:space="preserve">On March 17, 2022, in </w:t>
      </w:r>
      <w:r w:rsidRPr="00AA2A35">
        <w:rPr>
          <w:rFonts w:ascii="Times New Roman" w:hAnsi="Times New Roman"/>
          <w:sz w:val="24"/>
          <w:szCs w:val="24"/>
          <w:u w:val="single"/>
        </w:rPr>
        <w:t>Association of Cleveland Fire Fighters, Local 93 v. City of Cleveland</w:t>
      </w:r>
      <w:r w:rsidRPr="00AA2A35">
        <w:rPr>
          <w:rFonts w:ascii="Times New Roman" w:hAnsi="Times New Roman"/>
          <w:sz w:val="24"/>
          <w:szCs w:val="24"/>
        </w:rPr>
        <w:t>, the Court of Appeals of Ohio, 8</w:t>
      </w:r>
      <w:r w:rsidRPr="00AA2A35">
        <w:rPr>
          <w:rFonts w:ascii="Times New Roman" w:hAnsi="Times New Roman"/>
          <w:sz w:val="24"/>
          <w:szCs w:val="24"/>
          <w:vertAlign w:val="superscript"/>
        </w:rPr>
        <w:t>th</w:t>
      </w:r>
      <w:r w:rsidRPr="00AA2A35">
        <w:rPr>
          <w:rFonts w:ascii="Times New Roman" w:hAnsi="Times New Roman"/>
          <w:sz w:val="24"/>
          <w:szCs w:val="24"/>
        </w:rPr>
        <w:t xml:space="preserve"> District (Cuyahoga County), held (3 to 0) that a Common Pleas judge improperly set aside the arbitrator’s award which found the charge of “gross insubordination” by Assistant Fire Chief was not proven, but the facts supported a “conduct unbecoming” charge. The Assistant Fire Chief was charged with 16 charges for trying to get the vacationing Fire Chief to overturn Acting Fire Chiefs order to follow the new shift relief procedure (to save overtime money, when the incoming Assistant Chief called off, he can only be replaced by on duty officer of lesser rank).  The arbitrator had authority to vacate the most serious charge of “gross insubordination” and the 24-hour suspension, and to direct the FD to change in his personnel file with an official reprimand for one of the lesser charges, “conduct unbecoming an employee in the public service,” with no loss of wages. </w:t>
      </w:r>
      <w:hyperlink r:id="rId2729" w:history="1">
        <w:r w:rsidRPr="00AA2A35">
          <w:rPr>
            <w:rStyle w:val="Hyperlink"/>
            <w:rFonts w:ascii="Times New Roman" w:eastAsia="Times New Roman" w:hAnsi="Times New Roman"/>
            <w:sz w:val="24"/>
            <w:szCs w:val="24"/>
          </w:rPr>
          <w:t>https://www.supremecourt.ohio.gov/rod/docs/pdf/8/2022/2022-Ohio-824.pdf</w:t>
        </w:r>
      </w:hyperlink>
      <w:r w:rsidRPr="00AA2A35">
        <w:rPr>
          <w:rFonts w:ascii="Times New Roman" w:eastAsia="Times New Roman" w:hAnsi="Times New Roman"/>
          <w:sz w:val="24"/>
          <w:szCs w:val="24"/>
        </w:rPr>
        <w:t xml:space="preserve"> </w:t>
      </w:r>
    </w:p>
    <w:p w14:paraId="5164A96F" w14:textId="77777777" w:rsidR="007F5C26" w:rsidRPr="00892AD5" w:rsidRDefault="007F5C26" w:rsidP="007F5C26">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892AD5">
        <w:rPr>
          <w:rFonts w:ascii="Times New Roman" w:eastAsia="Times New Roman" w:hAnsi="Times New Roman"/>
          <w:sz w:val="24"/>
          <w:szCs w:val="24"/>
        </w:rPr>
        <w:t xml:space="preserve">In focusing solely on the question of gross insubordination, the Union disregards the fact that the parties stipulated to </w:t>
      </w:r>
      <w:r w:rsidRPr="00892AD5">
        <w:rPr>
          <w:rFonts w:ascii="Times New Roman" w:eastAsia="Times New Roman" w:hAnsi="Times New Roman"/>
          <w:i/>
          <w:iCs/>
          <w:sz w:val="24"/>
          <w:szCs w:val="24"/>
        </w:rPr>
        <w:t>two</w:t>
      </w:r>
      <w:r w:rsidRPr="00892AD5">
        <w:rPr>
          <w:rFonts w:ascii="Times New Roman" w:eastAsia="Times New Roman" w:hAnsi="Times New Roman"/>
          <w:sz w:val="24"/>
          <w:szCs w:val="24"/>
        </w:rPr>
        <w:t xml:space="preserve"> questions before submitting the matter to arbitration. The first question was whether the city had just cause to suspend </w:t>
      </w:r>
      <w:proofErr w:type="spellStart"/>
      <w:r w:rsidRPr="00892AD5">
        <w:rPr>
          <w:rFonts w:ascii="Times New Roman" w:eastAsia="Times New Roman" w:hAnsi="Times New Roman"/>
          <w:sz w:val="24"/>
          <w:szCs w:val="24"/>
        </w:rPr>
        <w:t>Viancourt</w:t>
      </w:r>
      <w:proofErr w:type="spellEnd"/>
      <w:r w:rsidRPr="00892AD5">
        <w:rPr>
          <w:rFonts w:ascii="Times New Roman" w:eastAsia="Times New Roman" w:hAnsi="Times New Roman"/>
          <w:sz w:val="24"/>
          <w:szCs w:val="24"/>
        </w:rPr>
        <w:t xml:space="preserve"> for a day and issue him an official reprimand. The question of just cause was not confined to "gross insubordination." Rather, the question concerned whether the city had just </w:t>
      </w:r>
      <w:proofErr w:type="gramStart"/>
      <w:r w:rsidRPr="00892AD5">
        <w:rPr>
          <w:rFonts w:ascii="Times New Roman" w:eastAsia="Times New Roman" w:hAnsi="Times New Roman"/>
          <w:sz w:val="24"/>
          <w:szCs w:val="24"/>
        </w:rPr>
        <w:t>cause</w:t>
      </w:r>
      <w:proofErr w:type="gramEnd"/>
      <w:r w:rsidRPr="00892AD5">
        <w:rPr>
          <w:rFonts w:ascii="Times New Roman" w:eastAsia="Times New Roman" w:hAnsi="Times New Roman"/>
          <w:sz w:val="24"/>
          <w:szCs w:val="24"/>
        </w:rPr>
        <w:t xml:space="preserve"> discipline </w:t>
      </w:r>
      <w:proofErr w:type="spellStart"/>
      <w:r w:rsidRPr="00892AD5">
        <w:rPr>
          <w:rFonts w:ascii="Times New Roman" w:eastAsia="Times New Roman" w:hAnsi="Times New Roman"/>
          <w:sz w:val="24"/>
          <w:szCs w:val="24"/>
        </w:rPr>
        <w:t>Viancourt</w:t>
      </w:r>
      <w:proofErr w:type="spellEnd"/>
      <w:r w:rsidRPr="00892AD5">
        <w:rPr>
          <w:rFonts w:ascii="Times New Roman" w:eastAsia="Times New Roman" w:hAnsi="Times New Roman"/>
          <w:sz w:val="24"/>
          <w:szCs w:val="24"/>
        </w:rPr>
        <w:t xml:space="preserve"> for his conduct. </w:t>
      </w:r>
    </w:p>
    <w:p w14:paraId="1DC4F16D" w14:textId="77777777" w:rsidR="007F5C26" w:rsidRDefault="007F5C26" w:rsidP="007F5C26">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 ***</w:t>
      </w:r>
    </w:p>
    <w:p w14:paraId="15D36C6B" w14:textId="276E9DDE" w:rsidR="007F5C26" w:rsidRDefault="007F5C26" w:rsidP="007F5C26">
      <w:pPr>
        <w:pStyle w:val="NoSpacing"/>
        <w:rPr>
          <w:rFonts w:ascii="Arial Black" w:hAnsi="Arial Black"/>
          <w:sz w:val="24"/>
          <w:szCs w:val="24"/>
        </w:rPr>
      </w:pPr>
      <w:r w:rsidRPr="0091695D">
        <w:rPr>
          <w:rFonts w:ascii="Times New Roman" w:hAnsi="Times New Roman"/>
          <w:sz w:val="24"/>
          <w:szCs w:val="24"/>
        </w:rPr>
        <w:t xml:space="preserve">The Union nevertheless maintains that the arbitrator exceeded his powers by creating a new charge not submitted to arbitration and issuing a penalty based on that charge. The charge of conduct unbecoming was not expressly submitted to arbitration in the parties' stipulated questions, but neither were the charges of gross insubordination or insubordination expressly submitted to arbitration. The questions to which the parties stipulated focused on remedies: the penalties </w:t>
      </w:r>
      <w:proofErr w:type="spellStart"/>
      <w:r w:rsidRPr="0091695D">
        <w:rPr>
          <w:rFonts w:ascii="Times New Roman" w:hAnsi="Times New Roman"/>
          <w:sz w:val="24"/>
          <w:szCs w:val="24"/>
        </w:rPr>
        <w:t>Viancourt</w:t>
      </w:r>
      <w:proofErr w:type="spellEnd"/>
      <w:r w:rsidRPr="0091695D">
        <w:rPr>
          <w:rFonts w:ascii="Times New Roman" w:hAnsi="Times New Roman"/>
          <w:sz w:val="24"/>
          <w:szCs w:val="24"/>
        </w:rPr>
        <w:t xml:space="preserve"> had received for his conduct and, if these penalties were unjustified, the penalty the arbitrator determined that </w:t>
      </w:r>
      <w:proofErr w:type="spellStart"/>
      <w:r w:rsidRPr="0091695D">
        <w:rPr>
          <w:rFonts w:ascii="Times New Roman" w:hAnsi="Times New Roman"/>
          <w:sz w:val="24"/>
          <w:szCs w:val="24"/>
        </w:rPr>
        <w:t>Viancourt</w:t>
      </w:r>
      <w:proofErr w:type="spellEnd"/>
      <w:r w:rsidRPr="0091695D">
        <w:rPr>
          <w:rFonts w:ascii="Times New Roman" w:hAnsi="Times New Roman"/>
          <w:sz w:val="24"/>
          <w:szCs w:val="24"/>
        </w:rPr>
        <w:t xml:space="preserve"> should receive for his conduct. The Union's claim that the arbitrator created a new charge by finding that </w:t>
      </w:r>
      <w:proofErr w:type="spellStart"/>
      <w:r w:rsidRPr="0091695D">
        <w:rPr>
          <w:rFonts w:ascii="Times New Roman" w:hAnsi="Times New Roman"/>
          <w:sz w:val="24"/>
          <w:szCs w:val="24"/>
        </w:rPr>
        <w:t>Viancourt</w:t>
      </w:r>
      <w:proofErr w:type="spellEnd"/>
      <w:r w:rsidRPr="0091695D">
        <w:rPr>
          <w:rFonts w:ascii="Times New Roman" w:hAnsi="Times New Roman"/>
          <w:sz w:val="24"/>
          <w:szCs w:val="24"/>
        </w:rPr>
        <w:t xml:space="preserve"> engaged in conduct unbecoming is not supported by the record. </w:t>
      </w:r>
      <w:proofErr w:type="spellStart"/>
      <w:r w:rsidRPr="0091695D">
        <w:rPr>
          <w:rFonts w:ascii="Times New Roman" w:hAnsi="Times New Roman"/>
          <w:sz w:val="24"/>
          <w:szCs w:val="24"/>
        </w:rPr>
        <w:t>Viancourt</w:t>
      </w:r>
      <w:proofErr w:type="spellEnd"/>
      <w:r w:rsidRPr="0091695D">
        <w:rPr>
          <w:rFonts w:ascii="Times New Roman" w:hAnsi="Times New Roman"/>
          <w:sz w:val="24"/>
          <w:szCs w:val="24"/>
        </w:rPr>
        <w:t xml:space="preserve"> was charged with 16 violations, which included the charge of conduct unbecoming. The Union's claim that any penalty based on that charge was improper is also not supported by the record because conduct unbecoming is punishable by official reprimand. The arbitrator's leaving this penalty intact is consistent with the discipline </w:t>
      </w:r>
      <w:proofErr w:type="gramStart"/>
      <w:r w:rsidRPr="0091695D">
        <w:rPr>
          <w:rFonts w:ascii="Times New Roman" w:hAnsi="Times New Roman"/>
          <w:sz w:val="24"/>
          <w:szCs w:val="24"/>
        </w:rPr>
        <w:t>guide.</w:t>
      </w:r>
      <w:r>
        <w:rPr>
          <w:rFonts w:ascii="Times New Roman" w:hAnsi="Times New Roman"/>
          <w:sz w:val="24"/>
          <w:szCs w:val="24"/>
        </w:rPr>
        <w:t>”</w:t>
      </w:r>
      <w:proofErr w:type="gramEnd"/>
      <w:r>
        <w:rPr>
          <w:rFonts w:ascii="Times New Roman" w:hAnsi="Times New Roman"/>
          <w:sz w:val="24"/>
          <w:szCs w:val="24"/>
        </w:rPr>
        <w:t xml:space="preserve"> </w:t>
      </w:r>
      <w:hyperlink r:id="rId2730" w:history="1">
        <w:r w:rsidRPr="0083693C">
          <w:rPr>
            <w:rStyle w:val="Hyperlink"/>
            <w:rFonts w:ascii="Times New Roman" w:eastAsia="Times New Roman" w:hAnsi="Times New Roman"/>
            <w:sz w:val="24"/>
            <w:szCs w:val="24"/>
          </w:rPr>
          <w:t>https://www.supremecourt.ohio.gov/rod/docs/pdf/8/2022/2022-Ohio-824.pdf</w:t>
        </w:r>
      </w:hyperlink>
    </w:p>
    <w:p w14:paraId="6DF075C2" w14:textId="77777777" w:rsidR="007F5C26" w:rsidRDefault="007F5C26" w:rsidP="00F326E5">
      <w:pPr>
        <w:pStyle w:val="NoSpacing"/>
        <w:rPr>
          <w:rFonts w:ascii="Arial Black" w:hAnsi="Arial Black"/>
          <w:sz w:val="24"/>
          <w:szCs w:val="24"/>
        </w:rPr>
      </w:pPr>
    </w:p>
    <w:p w14:paraId="4239BE0F" w14:textId="77777777" w:rsidR="007F5C26" w:rsidRPr="00FE655C" w:rsidRDefault="007F5C26" w:rsidP="007F5C26">
      <w:pPr>
        <w:spacing w:before="100" w:beforeAutospacing="1" w:after="100" w:afterAutospacing="1" w:line="240" w:lineRule="auto"/>
        <w:rPr>
          <w:rFonts w:ascii="Times New Roman" w:eastAsia="Times New Roman" w:hAnsi="Times New Roman"/>
          <w:b/>
          <w:bCs/>
          <w:sz w:val="24"/>
          <w:szCs w:val="24"/>
        </w:rPr>
      </w:pPr>
      <w:r w:rsidRPr="00FE655C">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When submitting a disciplinary matter to arbitration, be very careful in the questions being submitted to the arbitrator. </w:t>
      </w:r>
    </w:p>
    <w:p w14:paraId="57AAB599" w14:textId="77777777" w:rsidR="007F5C26" w:rsidRDefault="007F5C26" w:rsidP="00F326E5">
      <w:pPr>
        <w:pStyle w:val="NoSpacing"/>
        <w:rPr>
          <w:rFonts w:ascii="Arial Black" w:hAnsi="Arial Black"/>
          <w:sz w:val="24"/>
          <w:szCs w:val="24"/>
        </w:rPr>
      </w:pPr>
    </w:p>
    <w:p w14:paraId="12BEE6AE" w14:textId="77777777" w:rsidR="007F5C26" w:rsidRDefault="007F5C26" w:rsidP="00F326E5">
      <w:pPr>
        <w:pStyle w:val="NoSpacing"/>
        <w:rPr>
          <w:rFonts w:ascii="Arial Black" w:hAnsi="Arial Black"/>
          <w:sz w:val="24"/>
          <w:szCs w:val="24"/>
        </w:rPr>
      </w:pPr>
    </w:p>
    <w:p w14:paraId="7C7F8807" w14:textId="77777777" w:rsidR="007F5C26" w:rsidRDefault="007F5C26" w:rsidP="00F326E5">
      <w:pPr>
        <w:pStyle w:val="NoSpacing"/>
        <w:rPr>
          <w:rFonts w:ascii="Arial Black" w:hAnsi="Arial Black"/>
          <w:sz w:val="24"/>
          <w:szCs w:val="24"/>
        </w:rPr>
      </w:pPr>
    </w:p>
    <w:p w14:paraId="62E9487A" w14:textId="77777777" w:rsidR="007F5C26" w:rsidRDefault="007F5C26" w:rsidP="00F326E5">
      <w:pPr>
        <w:pStyle w:val="NoSpacing"/>
        <w:rPr>
          <w:rFonts w:ascii="Arial Black" w:hAnsi="Arial Black"/>
          <w:sz w:val="24"/>
          <w:szCs w:val="24"/>
        </w:rPr>
      </w:pPr>
    </w:p>
    <w:p w14:paraId="31CDE0E7" w14:textId="77777777" w:rsidR="007F5C26" w:rsidRDefault="007F5C26" w:rsidP="00F326E5">
      <w:pPr>
        <w:pStyle w:val="NoSpacing"/>
        <w:rPr>
          <w:rFonts w:ascii="Arial Black" w:hAnsi="Arial Black"/>
          <w:sz w:val="24"/>
          <w:szCs w:val="24"/>
        </w:rPr>
      </w:pPr>
    </w:p>
    <w:p w14:paraId="35D884B2" w14:textId="2A8E57DF" w:rsidR="00680939" w:rsidRPr="007F5C26" w:rsidRDefault="00680939" w:rsidP="00F326E5">
      <w:pPr>
        <w:pStyle w:val="NoSpacing"/>
        <w:rPr>
          <w:rFonts w:ascii="Times New Roman" w:hAnsi="Times New Roman"/>
          <w:b/>
          <w:bCs/>
          <w:sz w:val="24"/>
          <w:szCs w:val="24"/>
        </w:rPr>
      </w:pPr>
      <w:r>
        <w:rPr>
          <w:rFonts w:ascii="Arial Black" w:hAnsi="Arial Black"/>
          <w:sz w:val="24"/>
          <w:szCs w:val="24"/>
        </w:rPr>
        <w:t>16-64</w:t>
      </w:r>
      <w:r w:rsidR="00D55139">
        <w:rPr>
          <w:rFonts w:ascii="Arial Black" w:hAnsi="Arial Black"/>
          <w:sz w:val="24"/>
          <w:szCs w:val="24"/>
        </w:rPr>
        <w:t xml:space="preserve"> </w:t>
      </w:r>
      <w:r w:rsidR="00D55139" w:rsidRPr="007F5C26">
        <w:rPr>
          <w:rFonts w:ascii="Times New Roman" w:hAnsi="Times New Roman"/>
          <w:b/>
          <w:bCs/>
          <w:sz w:val="24"/>
          <w:szCs w:val="24"/>
        </w:rPr>
        <w:t>[also filed, Chap. 13]</w:t>
      </w:r>
    </w:p>
    <w:p w14:paraId="467CA0E1" w14:textId="77777777" w:rsidR="00680939" w:rsidRPr="006C2163" w:rsidRDefault="00680939" w:rsidP="00680939">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 xml:space="preserve">DE: PARAMEDIC LICENSE SUSPENDED – PLED GUILTY - </w:t>
      </w:r>
      <w:r w:rsidRPr="006C2163">
        <w:rPr>
          <w:rFonts w:ascii="Arial Black" w:eastAsia="Times New Roman" w:hAnsi="Arial Black"/>
          <w:sz w:val="28"/>
          <w:szCs w:val="28"/>
        </w:rPr>
        <w:t>T</w:t>
      </w:r>
      <w:r>
        <w:rPr>
          <w:rFonts w:ascii="Arial Black" w:eastAsia="Times New Roman" w:hAnsi="Arial Black"/>
          <w:sz w:val="28"/>
          <w:szCs w:val="28"/>
        </w:rPr>
        <w:t xml:space="preserve">RESPASS INTENT PEER (PEERING ON SEPERATED WIFE) </w:t>
      </w:r>
    </w:p>
    <w:p w14:paraId="3634B207" w14:textId="77777777" w:rsidR="00680939" w:rsidRDefault="00680939" w:rsidP="00680939">
      <w:pPr>
        <w:spacing w:before="100" w:beforeAutospacing="1" w:after="100" w:afterAutospacing="1" w:line="240" w:lineRule="auto"/>
        <w:rPr>
          <w:rFonts w:ascii="Times New Roman" w:eastAsia="Times New Roman" w:hAnsi="Times New Roman"/>
          <w:sz w:val="24"/>
          <w:szCs w:val="24"/>
        </w:rPr>
      </w:pPr>
      <w:r w:rsidRPr="00280A60">
        <w:rPr>
          <w:rFonts w:ascii="Times New Roman" w:eastAsia="Times New Roman" w:hAnsi="Times New Roman"/>
          <w:sz w:val="24"/>
          <w:szCs w:val="24"/>
        </w:rPr>
        <w:t xml:space="preserve">On </w:t>
      </w:r>
      <w:r>
        <w:rPr>
          <w:rFonts w:ascii="Times New Roman" w:eastAsia="Times New Roman" w:hAnsi="Times New Roman"/>
          <w:sz w:val="24"/>
          <w:szCs w:val="24"/>
        </w:rPr>
        <w:t xml:space="preserve">Jan. 26, 2022, in </w:t>
      </w:r>
      <w:r w:rsidRPr="00280A60">
        <w:rPr>
          <w:rFonts w:ascii="Times New Roman" w:eastAsia="Times New Roman" w:hAnsi="Times New Roman"/>
          <w:sz w:val="24"/>
          <w:szCs w:val="24"/>
          <w:u w:val="single"/>
        </w:rPr>
        <w:t xml:space="preserve">Kevin Imhoff v. Delaware Board of Medical Licensure </w:t>
      </w:r>
      <w:r>
        <w:rPr>
          <w:rFonts w:ascii="Times New Roman" w:eastAsia="Times New Roman" w:hAnsi="Times New Roman"/>
          <w:sz w:val="24"/>
          <w:szCs w:val="24"/>
          <w:u w:val="single"/>
        </w:rPr>
        <w:t>a</w:t>
      </w:r>
      <w:r w:rsidRPr="00280A60">
        <w:rPr>
          <w:rFonts w:ascii="Times New Roman" w:eastAsia="Times New Roman" w:hAnsi="Times New Roman"/>
          <w:sz w:val="24"/>
          <w:szCs w:val="24"/>
          <w:u w:val="single"/>
        </w:rPr>
        <w:t>nd Discipline</w:t>
      </w:r>
      <w:r>
        <w:rPr>
          <w:rFonts w:ascii="Times New Roman" w:eastAsia="Times New Roman" w:hAnsi="Times New Roman"/>
          <w:sz w:val="24"/>
          <w:szCs w:val="24"/>
        </w:rPr>
        <w:t xml:space="preserve">, Judge Noel Primos of the he Superior Court of Delaware upheld the suspension of the paramedic’s license but remanded to case for Board to possibly reduce the 2-year suspension for failure to timely report his plea of guilty. In September 2019 he pled guilty to Criminal Mischief, Violation of Privacy, and Trespass with Intent to Peer or Peep, but didn’t report this within 30 days to the Board (apparently on bad advice of his criminal defense attorney).  In May 2020, when renewing his license, he reported the convictions. </w:t>
      </w:r>
      <w:hyperlink r:id="rId2731" w:history="1">
        <w:r w:rsidRPr="00A83547">
          <w:rPr>
            <w:rStyle w:val="Hyperlink"/>
            <w:rFonts w:ascii="Times New Roman" w:hAnsi="Times New Roman"/>
            <w:sz w:val="24"/>
            <w:szCs w:val="24"/>
          </w:rPr>
          <w:t>https://casetext.com/case/imhof-v-del-bd-of-med-licensure-discipline</w:t>
        </w:r>
      </w:hyperlink>
    </w:p>
    <w:p w14:paraId="1910E0BE" w14:textId="77777777" w:rsidR="00680939" w:rsidRPr="007B6144" w:rsidRDefault="00680939" w:rsidP="00680939">
      <w:pPr>
        <w:spacing w:before="100" w:beforeAutospacing="1" w:after="100" w:afterAutospacing="1" w:line="240" w:lineRule="auto"/>
        <w:jc w:val="both"/>
        <w:rPr>
          <w:rStyle w:val="markedcontent"/>
          <w:rFonts w:ascii="Times New Roman" w:hAnsi="Times New Roman"/>
          <w:b/>
          <w:bCs/>
          <w:sz w:val="24"/>
          <w:szCs w:val="24"/>
        </w:rPr>
      </w:pPr>
      <w:r w:rsidRPr="007B6144">
        <w:rPr>
          <w:rStyle w:val="markedcontent"/>
          <w:rFonts w:ascii="Times New Roman" w:hAnsi="Times New Roman"/>
          <w:b/>
          <w:bCs/>
          <w:sz w:val="24"/>
          <w:szCs w:val="24"/>
        </w:rPr>
        <w:t xml:space="preserve">Legal Lesson Learned: </w:t>
      </w:r>
      <w:r>
        <w:rPr>
          <w:rStyle w:val="markedcontent"/>
          <w:rFonts w:ascii="Times New Roman" w:hAnsi="Times New Roman"/>
          <w:b/>
          <w:bCs/>
          <w:sz w:val="24"/>
          <w:szCs w:val="24"/>
        </w:rPr>
        <w:t>Criminal misconduct can lead to suspension of EMS license.</w:t>
      </w:r>
    </w:p>
    <w:p w14:paraId="0A6E59ED" w14:textId="77777777" w:rsidR="00680939" w:rsidRDefault="00680939" w:rsidP="00F326E5">
      <w:pPr>
        <w:pStyle w:val="NoSpacing"/>
        <w:rPr>
          <w:rFonts w:ascii="Arial Black" w:hAnsi="Arial Black"/>
          <w:sz w:val="24"/>
          <w:szCs w:val="24"/>
        </w:rPr>
      </w:pPr>
    </w:p>
    <w:p w14:paraId="72A29ABB" w14:textId="77777777" w:rsidR="00680939" w:rsidRDefault="00680939" w:rsidP="00F326E5">
      <w:pPr>
        <w:pStyle w:val="NoSpacing"/>
        <w:rPr>
          <w:rFonts w:ascii="Arial Black" w:hAnsi="Arial Black"/>
          <w:sz w:val="24"/>
          <w:szCs w:val="24"/>
        </w:rPr>
      </w:pPr>
    </w:p>
    <w:p w14:paraId="7EEC580A" w14:textId="4E67793B" w:rsidR="00AC5DED" w:rsidRDefault="00AC5DED" w:rsidP="00F326E5">
      <w:pPr>
        <w:pStyle w:val="NoSpacing"/>
        <w:rPr>
          <w:rFonts w:ascii="Arial Black" w:hAnsi="Arial Black"/>
          <w:sz w:val="24"/>
          <w:szCs w:val="24"/>
        </w:rPr>
      </w:pPr>
      <w:r>
        <w:rPr>
          <w:rFonts w:ascii="Arial Black" w:hAnsi="Arial Black"/>
          <w:sz w:val="24"/>
          <w:szCs w:val="24"/>
        </w:rPr>
        <w:t>16-63</w:t>
      </w:r>
    </w:p>
    <w:p w14:paraId="459B6371" w14:textId="77777777" w:rsidR="00AC5DED" w:rsidRPr="007A29B7" w:rsidRDefault="00AC5DED" w:rsidP="00AC5DED">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IL: RESIDENCY - FF FIRED - 3 YRS RENTED HOUSE IN VILLAGE TO TENANTS – DENIED UNEMPLOYMENT</w:t>
      </w:r>
    </w:p>
    <w:p w14:paraId="7542CC06" w14:textId="77777777" w:rsidR="00AC5DED" w:rsidRDefault="00AC5DED" w:rsidP="00AC5DED">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Dec. 23, 2021, in </w:t>
      </w:r>
      <w:r w:rsidRPr="00CD0344">
        <w:rPr>
          <w:rFonts w:ascii="Times New Roman" w:eastAsia="Times New Roman" w:hAnsi="Times New Roman"/>
          <w:sz w:val="24"/>
          <w:szCs w:val="24"/>
          <w:u w:val="single"/>
        </w:rPr>
        <w:t>John Cannici v. The Department of Employment Security Board of Review</w:t>
      </w:r>
      <w:r>
        <w:rPr>
          <w:rFonts w:ascii="Times New Roman" w:eastAsia="Times New Roman" w:hAnsi="Times New Roman"/>
          <w:sz w:val="24"/>
          <w:szCs w:val="24"/>
        </w:rPr>
        <w:t xml:space="preserve">, the Court of Appeals of Illinois, First District, held (3 to 0) that the firefighter was properly denied unemployment benefits since he was fired for failure to reside in the Village. </w:t>
      </w:r>
    </w:p>
    <w:p w14:paraId="5EF3AF5D" w14:textId="1E9A0A8D" w:rsidR="00AC5DED" w:rsidRDefault="00AC5DED" w:rsidP="00AC5DED">
      <w:pPr>
        <w:pStyle w:val="NoSpacing"/>
        <w:ind w:left="720"/>
        <w:rPr>
          <w:rFonts w:ascii="Arial Black" w:hAnsi="Arial Black"/>
          <w:sz w:val="24"/>
          <w:szCs w:val="24"/>
        </w:rPr>
      </w:pPr>
      <w:r>
        <w:rPr>
          <w:rFonts w:ascii="Times New Roman" w:hAnsi="Times New Roman"/>
          <w:sz w:val="24"/>
          <w:szCs w:val="24"/>
        </w:rPr>
        <w:t>“</w:t>
      </w:r>
      <w:r w:rsidRPr="007A29B7">
        <w:rPr>
          <w:rFonts w:ascii="Times New Roman" w:hAnsi="Times New Roman"/>
          <w:sz w:val="24"/>
          <w:szCs w:val="24"/>
        </w:rPr>
        <w:t xml:space="preserve">The Board's finding that Cannici resided in Orland Park was not against the manifest weight of the evidence because the undisputed evidence showed that, from June 2013 to June 2016, he occupied his house in Orland Park with his family as his principal residence and abode. During those three years, he never slept at the village house, which was occupied by tenants. Although Cannici stored some belongings there, paid the taxes and utilities, and continued to use it as his mailing address, there was no evidence that he </w:t>
      </w:r>
      <w:proofErr w:type="gramStart"/>
      <w:r w:rsidRPr="007A29B7">
        <w:rPr>
          <w:rFonts w:ascii="Times New Roman" w:hAnsi="Times New Roman"/>
          <w:sz w:val="24"/>
          <w:szCs w:val="24"/>
        </w:rPr>
        <w:t>actually did</w:t>
      </w:r>
      <w:proofErr w:type="gramEnd"/>
      <w:r w:rsidRPr="007A29B7">
        <w:rPr>
          <w:rFonts w:ascii="Times New Roman" w:hAnsi="Times New Roman"/>
          <w:sz w:val="24"/>
          <w:szCs w:val="24"/>
        </w:rPr>
        <w:t xml:space="preserve"> anything at his village house other than retrieve his mail from his tenants. He was not that house's resident, as defined in the Village's Code. He was its landlord.</w:t>
      </w:r>
      <w:r>
        <w:rPr>
          <w:rFonts w:ascii="Times New Roman" w:hAnsi="Times New Roman"/>
          <w:sz w:val="24"/>
          <w:szCs w:val="24"/>
        </w:rPr>
        <w:t xml:space="preserve">” </w:t>
      </w:r>
      <w:hyperlink r:id="rId2732" w:history="1">
        <w:r w:rsidRPr="00EC5853">
          <w:rPr>
            <w:rStyle w:val="Hyperlink"/>
            <w:rFonts w:ascii="Times New Roman" w:hAnsi="Times New Roman"/>
            <w:sz w:val="24"/>
            <w:szCs w:val="24"/>
          </w:rPr>
          <w:t>https://ilcourtsaudio.blob.core.windows.net/antilles-resources/resources/1d563ea4-a3fa-4fb5-af89-419baa2c8f0f/Cannici%20v.%20Dept%20of%20Employment%20Security%20Board%20of%20Review,%202021%20IL%20App%20(1st)%20181562.pdf</w:t>
        </w:r>
      </w:hyperlink>
    </w:p>
    <w:p w14:paraId="431E30B4" w14:textId="77777777" w:rsidR="00AC5DED" w:rsidRDefault="00AC5DED" w:rsidP="00F326E5">
      <w:pPr>
        <w:pStyle w:val="NoSpacing"/>
        <w:rPr>
          <w:rFonts w:ascii="Arial Black" w:hAnsi="Arial Black"/>
          <w:sz w:val="24"/>
          <w:szCs w:val="24"/>
        </w:rPr>
      </w:pPr>
    </w:p>
    <w:p w14:paraId="08DB5793" w14:textId="77777777" w:rsidR="00AC5DED" w:rsidRDefault="00AC5DED" w:rsidP="00AC5DED">
      <w:pPr>
        <w:spacing w:before="100" w:beforeAutospacing="1" w:after="100" w:afterAutospacing="1" w:line="240" w:lineRule="auto"/>
        <w:rPr>
          <w:rFonts w:ascii="Times New Roman" w:hAnsi="Times New Roman"/>
          <w:b/>
          <w:bCs/>
          <w:sz w:val="24"/>
          <w:szCs w:val="24"/>
        </w:rPr>
      </w:pPr>
      <w:r w:rsidRPr="00E72BFB">
        <w:rPr>
          <w:rFonts w:ascii="Times New Roman" w:hAnsi="Times New Roman"/>
          <w:b/>
          <w:bCs/>
          <w:sz w:val="24"/>
          <w:szCs w:val="24"/>
        </w:rPr>
        <w:t>Legal Lesson Learned:</w:t>
      </w:r>
      <w:r>
        <w:rPr>
          <w:rFonts w:ascii="Times New Roman" w:hAnsi="Times New Roman"/>
          <w:b/>
          <w:bCs/>
          <w:sz w:val="24"/>
          <w:szCs w:val="24"/>
        </w:rPr>
        <w:t xml:space="preserve"> The Village residency requirement was clear. </w:t>
      </w:r>
    </w:p>
    <w:p w14:paraId="61BB4744" w14:textId="77777777" w:rsidR="00AC5DED" w:rsidRPr="002F6E14" w:rsidRDefault="00AC5DED" w:rsidP="00AC5DED">
      <w:pPr>
        <w:spacing w:before="100" w:beforeAutospacing="1" w:after="100" w:afterAutospacing="1" w:line="240" w:lineRule="auto"/>
        <w:ind w:left="720"/>
        <w:rPr>
          <w:b/>
          <w:bCs/>
          <w:sz w:val="24"/>
          <w:szCs w:val="24"/>
        </w:rPr>
      </w:pPr>
      <w:r w:rsidRPr="004E2270">
        <w:rPr>
          <w:rFonts w:ascii="Times New Roman" w:hAnsi="Times New Roman"/>
          <w:sz w:val="24"/>
          <w:szCs w:val="24"/>
        </w:rPr>
        <w:t xml:space="preserve">Note:  </w:t>
      </w:r>
      <w:r>
        <w:rPr>
          <w:sz w:val="24"/>
          <w:szCs w:val="24"/>
        </w:rPr>
        <w:t xml:space="preserve">See another Court decision from </w:t>
      </w:r>
      <w:r w:rsidRPr="002F6E14">
        <w:rPr>
          <w:sz w:val="24"/>
          <w:szCs w:val="24"/>
        </w:rPr>
        <w:t>MA</w:t>
      </w:r>
      <w:r>
        <w:rPr>
          <w:sz w:val="24"/>
          <w:szCs w:val="24"/>
        </w:rPr>
        <w:t>: “</w:t>
      </w:r>
      <w:r w:rsidRPr="002F6E14">
        <w:rPr>
          <w:sz w:val="24"/>
          <w:szCs w:val="24"/>
        </w:rPr>
        <w:t>Judge: MA City Must Enforce Residency Rules</w:t>
      </w:r>
      <w:r>
        <w:rPr>
          <w:sz w:val="24"/>
          <w:szCs w:val="24"/>
        </w:rPr>
        <w:t>” (Dec. 31, 2021).</w:t>
      </w:r>
      <w:r w:rsidRPr="002F6E14">
        <w:rPr>
          <w:sz w:val="24"/>
          <w:szCs w:val="24"/>
        </w:rPr>
        <w:t xml:space="preserve"> </w:t>
      </w:r>
      <w:hyperlink r:id="rId2733" w:history="1">
        <w:r w:rsidRPr="00EC5853">
          <w:rPr>
            <w:rStyle w:val="Hyperlink"/>
            <w:sz w:val="24"/>
            <w:szCs w:val="24"/>
          </w:rPr>
          <w:t>https://www.firehouse.com/careers-education/news/21251649/judge-springfield-ma-city-must-enforce-residency-rules</w:t>
        </w:r>
      </w:hyperlink>
      <w:r>
        <w:rPr>
          <w:sz w:val="24"/>
          <w:szCs w:val="24"/>
        </w:rPr>
        <w:t xml:space="preserve"> </w:t>
      </w:r>
    </w:p>
    <w:p w14:paraId="68A9E3A0" w14:textId="77777777" w:rsidR="00AC5DED" w:rsidRDefault="00AC5DED" w:rsidP="00AC5DED">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See also:  </w:t>
      </w:r>
      <w:r w:rsidRPr="004E2270">
        <w:rPr>
          <w:rFonts w:ascii="Times New Roman" w:hAnsi="Times New Roman"/>
          <w:sz w:val="24"/>
          <w:szCs w:val="24"/>
        </w:rPr>
        <w:t>The Ohio Supreme Court, in Lima v State, June 10, 2009, 2009-Ohio-2597, has held 5-2, that a state law prohibiting general residency requirements for public</w:t>
      </w:r>
      <w:r w:rsidRPr="004E2270">
        <w:rPr>
          <w:rFonts w:ascii="Times New Roman" w:hAnsi="Times New Roman"/>
          <w:sz w:val="24"/>
          <w:szCs w:val="24"/>
        </w:rPr>
        <w:br/>
      </w:r>
      <w:r w:rsidRPr="004E2270">
        <w:rPr>
          <w:rFonts w:ascii="Times New Roman" w:hAnsi="Times New Roman"/>
          <w:sz w:val="24"/>
          <w:szCs w:val="24"/>
        </w:rPr>
        <w:lastRenderedPageBreak/>
        <w:t xml:space="preserve">employees is valid and supersedes local laws to the contrary. </w:t>
      </w:r>
      <w:hyperlink r:id="rId2734" w:history="1">
        <w:r w:rsidRPr="00EC5853">
          <w:rPr>
            <w:rStyle w:val="Hyperlink"/>
            <w:rFonts w:ascii="Times New Roman" w:hAnsi="Times New Roman"/>
            <w:sz w:val="24"/>
            <w:szCs w:val="24"/>
          </w:rPr>
          <w:t>https://www.supremecourt.ohio.gov/rod/docs/pdf/0/2009/2009-ohio-2597.pdf</w:t>
        </w:r>
      </w:hyperlink>
      <w:r>
        <w:rPr>
          <w:rFonts w:ascii="Times New Roman" w:hAnsi="Times New Roman"/>
          <w:sz w:val="24"/>
          <w:szCs w:val="24"/>
        </w:rPr>
        <w:t xml:space="preserve"> </w:t>
      </w:r>
    </w:p>
    <w:p w14:paraId="588E6EDA" w14:textId="77777777" w:rsidR="00AC5DED" w:rsidRPr="004E2270" w:rsidRDefault="00AC5DED" w:rsidP="00AC5DED">
      <w:pPr>
        <w:pStyle w:val="Heading1"/>
        <w:ind w:left="720"/>
        <w:rPr>
          <w:b w:val="0"/>
          <w:bCs w:val="0"/>
          <w:sz w:val="24"/>
          <w:szCs w:val="24"/>
        </w:rPr>
      </w:pPr>
      <w:r w:rsidRPr="004E2270">
        <w:rPr>
          <w:b w:val="0"/>
          <w:bCs w:val="0"/>
          <w:sz w:val="24"/>
          <w:szCs w:val="24"/>
        </w:rPr>
        <w:t>Ohio Revised Code 9.481, Residency requirements prohibited for certain employees</w:t>
      </w:r>
      <w:r>
        <w:rPr>
          <w:b w:val="0"/>
          <w:bCs w:val="0"/>
          <w:sz w:val="24"/>
          <w:szCs w:val="24"/>
        </w:rPr>
        <w:t xml:space="preserve">, includes following, </w:t>
      </w:r>
      <w:hyperlink r:id="rId2735" w:history="1">
        <w:r w:rsidRPr="00EC5853">
          <w:rPr>
            <w:rStyle w:val="Hyperlink"/>
            <w:b w:val="0"/>
            <w:bCs w:val="0"/>
            <w:sz w:val="24"/>
            <w:szCs w:val="24"/>
          </w:rPr>
          <w:t>https://codes.ohio.gov/ohio-revised-code/section-9.481</w:t>
        </w:r>
      </w:hyperlink>
      <w:r>
        <w:rPr>
          <w:b w:val="0"/>
          <w:bCs w:val="0"/>
          <w:sz w:val="24"/>
          <w:szCs w:val="24"/>
        </w:rPr>
        <w:t xml:space="preserve"> :</w:t>
      </w:r>
    </w:p>
    <w:p w14:paraId="6B3F9974" w14:textId="77777777" w:rsidR="00AC5DED" w:rsidRPr="006A3BFE" w:rsidRDefault="00AC5DED" w:rsidP="00AC5DED">
      <w:pPr>
        <w:spacing w:before="100" w:beforeAutospacing="1" w:after="100" w:afterAutospacing="1" w:line="240" w:lineRule="auto"/>
        <w:ind w:left="1440"/>
        <w:rPr>
          <w:rFonts w:ascii="Times New Roman" w:eastAsia="Times New Roman" w:hAnsi="Times New Roman"/>
          <w:sz w:val="24"/>
          <w:szCs w:val="24"/>
        </w:rPr>
      </w:pPr>
      <w:r>
        <w:rPr>
          <w:rFonts w:ascii="Times New Roman" w:hAnsi="Times New Roman"/>
          <w:sz w:val="24"/>
          <w:szCs w:val="24"/>
        </w:rPr>
        <w:t>(</w:t>
      </w:r>
      <w:r w:rsidRPr="004E2270">
        <w:rPr>
          <w:rFonts w:ascii="Times New Roman" w:hAnsi="Times New Roman"/>
          <w:sz w:val="24"/>
          <w:szCs w:val="24"/>
        </w:rPr>
        <w:t>b) To ensure adequate response times by certain employees of political subdivisions to emergencies or disasters while ensuring that those employees generally are free to reside throughout the state, the electors of any political subdivision may file an initiative petition to submit a local law to the electorate, or the legislative authority of the political subdivision may adopt an ordinance or resolution, that requires any individual employed by that political subdivision, as a condition of employment, to reside either in the county where the political subdivision is located or in any adjacent county in this state.</w:t>
      </w:r>
      <w:r>
        <w:rPr>
          <w:rFonts w:ascii="Times New Roman" w:hAnsi="Times New Roman"/>
          <w:sz w:val="24"/>
          <w:szCs w:val="24"/>
        </w:rPr>
        <w:t>”</w:t>
      </w:r>
    </w:p>
    <w:p w14:paraId="2B4B5F67" w14:textId="77777777" w:rsidR="00AC5DED" w:rsidRDefault="00AC5DED" w:rsidP="00F326E5">
      <w:pPr>
        <w:pStyle w:val="NoSpacing"/>
        <w:rPr>
          <w:rFonts w:ascii="Arial Black" w:hAnsi="Arial Black"/>
          <w:sz w:val="24"/>
          <w:szCs w:val="24"/>
        </w:rPr>
      </w:pPr>
    </w:p>
    <w:p w14:paraId="2B6CD2AF" w14:textId="77777777" w:rsidR="00AC5DED" w:rsidRDefault="00AC5DED" w:rsidP="00F326E5">
      <w:pPr>
        <w:pStyle w:val="NoSpacing"/>
        <w:rPr>
          <w:rFonts w:ascii="Arial Black" w:hAnsi="Arial Black"/>
          <w:sz w:val="24"/>
          <w:szCs w:val="24"/>
        </w:rPr>
      </w:pPr>
    </w:p>
    <w:p w14:paraId="770AB2F3" w14:textId="0597CBA9" w:rsidR="00AC5DED" w:rsidRDefault="00AC5DED" w:rsidP="00F326E5">
      <w:pPr>
        <w:pStyle w:val="NoSpacing"/>
        <w:rPr>
          <w:rFonts w:ascii="Arial Black" w:hAnsi="Arial Black"/>
          <w:sz w:val="24"/>
          <w:szCs w:val="24"/>
        </w:rPr>
      </w:pPr>
      <w:r>
        <w:rPr>
          <w:rFonts w:ascii="Arial Black" w:hAnsi="Arial Black"/>
          <w:sz w:val="24"/>
          <w:szCs w:val="24"/>
        </w:rPr>
        <w:t>16-62</w:t>
      </w:r>
    </w:p>
    <w:p w14:paraId="4C1A8F47" w14:textId="77777777" w:rsidR="00AC5DED" w:rsidRDefault="00AC5DED" w:rsidP="00AC5DED">
      <w:pPr>
        <w:spacing w:before="100" w:beforeAutospacing="1" w:after="100" w:afterAutospacing="1" w:line="240" w:lineRule="auto"/>
        <w:ind w:hanging="90"/>
        <w:rPr>
          <w:rFonts w:ascii="Arial Black" w:hAnsi="Arial Black"/>
          <w:sz w:val="28"/>
          <w:szCs w:val="28"/>
        </w:rPr>
      </w:pPr>
      <w:r>
        <w:rPr>
          <w:rFonts w:ascii="Arial Black" w:hAnsi="Arial Black"/>
          <w:sz w:val="28"/>
          <w:szCs w:val="28"/>
        </w:rPr>
        <w:t xml:space="preserve">VA: BC FIRED – ALSO SALESMAN FOR AMBULANCE CO –HELPED BUY COUNTY BRUSH TRUCK – NO RETALIATION </w:t>
      </w:r>
    </w:p>
    <w:p w14:paraId="31F7658B" w14:textId="77777777" w:rsidR="00AC5DED" w:rsidRPr="00537726" w:rsidRDefault="00AC5DED" w:rsidP="00AC5DED">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22, 2021, in </w:t>
      </w:r>
      <w:r w:rsidRPr="00537726">
        <w:rPr>
          <w:rFonts w:ascii="Times New Roman" w:hAnsi="Times New Roman"/>
          <w:sz w:val="24"/>
          <w:szCs w:val="24"/>
          <w:u w:val="single"/>
        </w:rPr>
        <w:t>Clay O’Neal Fitzgerald v. Botetourt County, Virginia</w:t>
      </w:r>
      <w:r>
        <w:rPr>
          <w:rFonts w:ascii="Times New Roman" w:hAnsi="Times New Roman"/>
          <w:sz w:val="24"/>
          <w:szCs w:val="24"/>
        </w:rPr>
        <w:t xml:space="preserve">, United States Magistrate Judge </w:t>
      </w:r>
      <w:r w:rsidRPr="00537726">
        <w:rPr>
          <w:rFonts w:ascii="Times New Roman" w:hAnsi="Times New Roman"/>
          <w:sz w:val="24"/>
          <w:szCs w:val="24"/>
        </w:rPr>
        <w:t>Robert S. Ballou</w:t>
      </w:r>
      <w:r>
        <w:rPr>
          <w:rFonts w:ascii="Times New Roman" w:hAnsi="Times New Roman"/>
          <w:sz w:val="24"/>
          <w:szCs w:val="24"/>
        </w:rPr>
        <w:t xml:space="preserve">, U.S. District Court, Western District of Virginia (Roanoke Division), granted summary judgment to the County, finding that he was fired on May 16, 2018 from the County Fire &amp; EMS Department for his involvement as a salesman for Osage Ambulance and its sale of a bush truck to the County with authority. The plaintiff failed to prove that his firing was in retaliation for submitting an age discrimination grievance in 2014 and another complaint to the County Administrator in July 2017. </w:t>
      </w:r>
    </w:p>
    <w:p w14:paraId="7AFF5BA9" w14:textId="77777777" w:rsidR="00AC5DED" w:rsidRPr="00CF5AE2" w:rsidRDefault="00AC5DED" w:rsidP="00AC5DED">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CF5AE2">
        <w:rPr>
          <w:rFonts w:ascii="Times New Roman" w:hAnsi="Times New Roman"/>
          <w:sz w:val="24"/>
          <w:szCs w:val="24"/>
        </w:rPr>
        <w:t>I find that no reasonable jury can conclude that Fitzgerald was authorized to purchase the brush truck and that this was a legitimate non-retaliatory reason for Fitzgerald's termination. The County satisfied its burden by presenting a legitimate non-retaliatory reason for the termination, while Fitzgerald failed to satisfy his burden by providing evidence that the unauthorized purchase was a pretext. The County's purchasing policy makes clear that a violation can result in termination. It is not the responsibility of this Court to evaluate whether an explicit policy violation was a good reason for Fitzgerald's termination. DeJarnette v. Corning, Inc., 133 F.3d 293, 298 (4th Cir. 1998).</w:t>
      </w:r>
      <w:r>
        <w:rPr>
          <w:rFonts w:ascii="Times New Roman" w:hAnsi="Times New Roman"/>
          <w:sz w:val="24"/>
          <w:szCs w:val="24"/>
        </w:rPr>
        <w:t xml:space="preserve">” </w:t>
      </w:r>
      <w:hyperlink r:id="rId2736" w:history="1">
        <w:r w:rsidRPr="00EC5853">
          <w:rPr>
            <w:rStyle w:val="Hyperlink"/>
            <w:rFonts w:ascii="Times New Roman" w:hAnsi="Times New Roman"/>
            <w:sz w:val="24"/>
            <w:szCs w:val="24"/>
          </w:rPr>
          <w:t>https://casetext.com/case/fitzgerald-v-botetourt-cnty</w:t>
        </w:r>
      </w:hyperlink>
      <w:r>
        <w:rPr>
          <w:rFonts w:ascii="Times New Roman" w:hAnsi="Times New Roman"/>
          <w:sz w:val="24"/>
          <w:szCs w:val="24"/>
        </w:rPr>
        <w:t xml:space="preserve"> </w:t>
      </w:r>
    </w:p>
    <w:p w14:paraId="1AB4B323" w14:textId="77777777" w:rsidR="00AC5DED" w:rsidRPr="00213018" w:rsidRDefault="00AC5DED" w:rsidP="00AC5DED">
      <w:pPr>
        <w:rPr>
          <w:rFonts w:ascii="Times New Roman" w:hAnsi="Times New Roman"/>
          <w:b/>
          <w:bCs/>
          <w:sz w:val="24"/>
          <w:szCs w:val="24"/>
        </w:rPr>
      </w:pPr>
      <w:r w:rsidRPr="00213018">
        <w:rPr>
          <w:rFonts w:ascii="Times New Roman" w:hAnsi="Times New Roman"/>
          <w:b/>
          <w:bCs/>
          <w:sz w:val="24"/>
          <w:szCs w:val="24"/>
        </w:rPr>
        <w:t xml:space="preserve">Legal Lesson Learned: Outside employment can lead to a conflict in interest. </w:t>
      </w:r>
    </w:p>
    <w:p w14:paraId="21490D93" w14:textId="77777777" w:rsidR="00AC5DED" w:rsidRPr="00213018" w:rsidRDefault="00AC5DED" w:rsidP="00AC5DED">
      <w:pPr>
        <w:ind w:left="720"/>
        <w:rPr>
          <w:rFonts w:ascii="Times New Roman" w:hAnsi="Times New Roman"/>
          <w:sz w:val="24"/>
          <w:szCs w:val="24"/>
        </w:rPr>
      </w:pPr>
      <w:r w:rsidRPr="00213018">
        <w:rPr>
          <w:rFonts w:ascii="Times New Roman" w:hAnsi="Times New Roman"/>
          <w:sz w:val="24"/>
          <w:szCs w:val="24"/>
        </w:rPr>
        <w:t xml:space="preserve">Note: The article by Matthew Britt, prior to his being hired as Fire Chief, raised some challenging issues regarding older firefighters retiring; not surprised that plaintiff referenced it in </w:t>
      </w:r>
      <w:proofErr w:type="gramStart"/>
      <w:r w:rsidRPr="00213018">
        <w:rPr>
          <w:rFonts w:ascii="Times New Roman" w:hAnsi="Times New Roman"/>
          <w:sz w:val="24"/>
          <w:szCs w:val="24"/>
        </w:rPr>
        <w:t>is</w:t>
      </w:r>
      <w:proofErr w:type="gramEnd"/>
      <w:r w:rsidRPr="00213018">
        <w:rPr>
          <w:rFonts w:ascii="Times New Roman" w:hAnsi="Times New Roman"/>
          <w:sz w:val="24"/>
          <w:szCs w:val="24"/>
        </w:rPr>
        <w:t xml:space="preserve"> age discrimination lawsuit.  </w:t>
      </w:r>
    </w:p>
    <w:p w14:paraId="0A9A7B4D" w14:textId="77777777" w:rsidR="00AC5DED" w:rsidRPr="00213018" w:rsidRDefault="00AC5DED" w:rsidP="00AC5DED">
      <w:pPr>
        <w:pStyle w:val="Heading1"/>
        <w:ind w:left="720"/>
        <w:rPr>
          <w:color w:val="666666"/>
          <w:sz w:val="24"/>
          <w:szCs w:val="24"/>
        </w:rPr>
      </w:pPr>
      <w:r w:rsidRPr="00213018">
        <w:rPr>
          <w:b w:val="0"/>
          <w:bCs w:val="0"/>
          <w:sz w:val="24"/>
          <w:szCs w:val="24"/>
        </w:rPr>
        <w:t xml:space="preserve">“Altruism: How Long Does </w:t>
      </w:r>
      <w:proofErr w:type="gramStart"/>
      <w:r w:rsidRPr="00213018">
        <w:rPr>
          <w:b w:val="0"/>
          <w:bCs w:val="0"/>
          <w:sz w:val="24"/>
          <w:szCs w:val="24"/>
        </w:rPr>
        <w:t>it</w:t>
      </w:r>
      <w:proofErr w:type="gramEnd"/>
      <w:r w:rsidRPr="00213018">
        <w:rPr>
          <w:b w:val="0"/>
          <w:bCs w:val="0"/>
          <w:sz w:val="24"/>
          <w:szCs w:val="24"/>
        </w:rPr>
        <w:t xml:space="preserve"> Last &amp; How Do We Retain It.” Sept. 14, 2016. </w:t>
      </w:r>
      <w:hyperlink r:id="rId2737" w:history="1">
        <w:r w:rsidRPr="00EC5853">
          <w:rPr>
            <w:rStyle w:val="Hyperlink"/>
            <w:b w:val="0"/>
            <w:bCs w:val="0"/>
            <w:sz w:val="24"/>
            <w:szCs w:val="24"/>
          </w:rPr>
          <w:t>https://www.firehouse.com/careers-education/article/12253067/altruism-and-the-fire-service-firefighter-education</w:t>
        </w:r>
      </w:hyperlink>
      <w:r>
        <w:rPr>
          <w:b w:val="0"/>
          <w:bCs w:val="0"/>
          <w:sz w:val="24"/>
          <w:szCs w:val="24"/>
        </w:rPr>
        <w:t xml:space="preserve"> </w:t>
      </w:r>
    </w:p>
    <w:p w14:paraId="6378E39B" w14:textId="77777777" w:rsidR="00AC5DED" w:rsidRPr="00213018" w:rsidRDefault="00AC5DED" w:rsidP="00AC5DED">
      <w:pPr>
        <w:spacing w:before="100" w:beforeAutospacing="1" w:after="100" w:afterAutospacing="1" w:line="240" w:lineRule="auto"/>
        <w:ind w:left="1440"/>
        <w:rPr>
          <w:rFonts w:ascii="Times New Roman" w:eastAsia="Times New Roman" w:hAnsi="Times New Roman"/>
          <w:b/>
          <w:bCs/>
          <w:sz w:val="24"/>
          <w:szCs w:val="24"/>
        </w:rPr>
      </w:pPr>
      <w:r w:rsidRPr="00213018">
        <w:rPr>
          <w:rFonts w:ascii="Times New Roman" w:hAnsi="Times New Roman"/>
          <w:sz w:val="24"/>
          <w:szCs w:val="24"/>
        </w:rPr>
        <w:t xml:space="preserve">“So, what am I asking? I’m asking the senior members to take your much deserved retirement and create opportunities for the next generation of fire service officers. Take that time and dedicate it to your family or other pursuits, but don’t be a stranger. Use that wealth of knowledge </w:t>
      </w:r>
      <w:r w:rsidRPr="00213018">
        <w:rPr>
          <w:rFonts w:ascii="Times New Roman" w:hAnsi="Times New Roman"/>
          <w:sz w:val="24"/>
          <w:szCs w:val="24"/>
        </w:rPr>
        <w:lastRenderedPageBreak/>
        <w:t>to come back and educate members through formal training and other opportunities. Your fire service family will always be here.”</w:t>
      </w:r>
    </w:p>
    <w:p w14:paraId="4C290E11" w14:textId="5E0D7E30" w:rsidR="00AC5DED" w:rsidRDefault="00AC5DED" w:rsidP="00F326E5">
      <w:pPr>
        <w:pStyle w:val="NoSpacing"/>
        <w:rPr>
          <w:rFonts w:ascii="Arial Black" w:hAnsi="Arial Black"/>
          <w:sz w:val="24"/>
          <w:szCs w:val="24"/>
        </w:rPr>
      </w:pPr>
    </w:p>
    <w:p w14:paraId="46AEEA61" w14:textId="77777777" w:rsidR="00AC5DED" w:rsidRDefault="00AC5DED" w:rsidP="00F326E5">
      <w:pPr>
        <w:pStyle w:val="NoSpacing"/>
        <w:rPr>
          <w:rFonts w:ascii="Arial Black" w:hAnsi="Arial Black"/>
          <w:sz w:val="24"/>
          <w:szCs w:val="24"/>
        </w:rPr>
      </w:pPr>
    </w:p>
    <w:p w14:paraId="798807EB" w14:textId="77777777" w:rsidR="00AC5DED" w:rsidRDefault="00AC5DED" w:rsidP="00F326E5">
      <w:pPr>
        <w:pStyle w:val="NoSpacing"/>
        <w:rPr>
          <w:rFonts w:ascii="Arial Black" w:hAnsi="Arial Black"/>
          <w:sz w:val="24"/>
          <w:szCs w:val="24"/>
        </w:rPr>
      </w:pPr>
    </w:p>
    <w:p w14:paraId="33177230" w14:textId="1997FC00" w:rsidR="00AC5DED" w:rsidRDefault="00AC5DED" w:rsidP="00F326E5">
      <w:pPr>
        <w:pStyle w:val="NoSpacing"/>
        <w:rPr>
          <w:rFonts w:ascii="Arial Black" w:hAnsi="Arial Black"/>
          <w:sz w:val="24"/>
          <w:szCs w:val="24"/>
        </w:rPr>
      </w:pPr>
      <w:r>
        <w:rPr>
          <w:rFonts w:ascii="Arial Black" w:hAnsi="Arial Black"/>
          <w:sz w:val="24"/>
          <w:szCs w:val="24"/>
        </w:rPr>
        <w:t>16-61</w:t>
      </w:r>
    </w:p>
    <w:p w14:paraId="256C5D70" w14:textId="77777777" w:rsidR="00AC5DED" w:rsidRPr="00FC677C" w:rsidRDefault="00AC5DED" w:rsidP="00AC5DED">
      <w:pPr>
        <w:pStyle w:val="Heading1"/>
        <w:rPr>
          <w:rFonts w:ascii="Arial Black" w:hAnsi="Arial Black"/>
          <w:sz w:val="28"/>
          <w:szCs w:val="28"/>
        </w:rPr>
      </w:pPr>
      <w:r>
        <w:rPr>
          <w:rFonts w:ascii="Arial Black" w:hAnsi="Arial Black"/>
          <w:sz w:val="28"/>
          <w:szCs w:val="28"/>
        </w:rPr>
        <w:t>CA: MEDIC EXPOSED BREAST UNCONSCIOUS FEMALE (19) – CONV. FELONY ASSAULT – JAIL - REGISTER SEX OFFENDER</w:t>
      </w:r>
    </w:p>
    <w:p w14:paraId="49496322" w14:textId="77777777" w:rsidR="00AC5DED" w:rsidRDefault="00AC5DED" w:rsidP="00AC5DED">
      <w:pPr>
        <w:pStyle w:val="Heading1"/>
        <w:rPr>
          <w:b w:val="0"/>
          <w:bCs w:val="0"/>
          <w:sz w:val="24"/>
          <w:szCs w:val="24"/>
        </w:rPr>
      </w:pPr>
      <w:r>
        <w:rPr>
          <w:b w:val="0"/>
          <w:bCs w:val="0"/>
          <w:sz w:val="24"/>
          <w:szCs w:val="24"/>
        </w:rPr>
        <w:t xml:space="preserve">On Dec. 8, 2021, in </w:t>
      </w:r>
      <w:r w:rsidRPr="00910334">
        <w:rPr>
          <w:b w:val="0"/>
          <w:bCs w:val="0"/>
          <w:sz w:val="24"/>
          <w:szCs w:val="24"/>
          <w:u w:val="single"/>
        </w:rPr>
        <w:t>The People v. Jared David Evans</w:t>
      </w:r>
      <w:r>
        <w:rPr>
          <w:b w:val="0"/>
          <w:bCs w:val="0"/>
          <w:sz w:val="24"/>
          <w:szCs w:val="24"/>
        </w:rPr>
        <w:t xml:space="preserve">, the California Court of Appeals, Third District (Sacramento), held (3 to 0; unpublished decision) that the jury correctly found the paramedic (age 32) guilty of felony assault, and was sentenced to 180 days in county jail, and to register as a sex offender  </w:t>
      </w:r>
      <w:r w:rsidRPr="001C34F3">
        <w:rPr>
          <w:b w:val="0"/>
          <w:bCs w:val="0"/>
          <w:sz w:val="24"/>
          <w:szCs w:val="24"/>
        </w:rPr>
        <w:t>According to reports, he did it in front of an intern and reportedly said, "Sorry, man, I had to."</w:t>
      </w:r>
      <w:r>
        <w:rPr>
          <w:b w:val="0"/>
          <w:bCs w:val="0"/>
          <w:sz w:val="24"/>
          <w:szCs w:val="24"/>
        </w:rPr>
        <w:t xml:space="preserve"> The Court also upheld the trial judge’s decision to not inform the jury that the </w:t>
      </w:r>
      <w:proofErr w:type="gramStart"/>
      <w:r>
        <w:rPr>
          <w:b w:val="0"/>
          <w:bCs w:val="0"/>
          <w:sz w:val="24"/>
          <w:szCs w:val="24"/>
        </w:rPr>
        <w:t>intern, who</w:t>
      </w:r>
      <w:proofErr w:type="gramEnd"/>
      <w:r>
        <w:rPr>
          <w:b w:val="0"/>
          <w:bCs w:val="0"/>
          <w:sz w:val="24"/>
          <w:szCs w:val="24"/>
        </w:rPr>
        <w:t xml:space="preserve"> testified at trial had shown EMS personnel nude photos of his girlfriend. </w:t>
      </w:r>
    </w:p>
    <w:p w14:paraId="76AB51C1" w14:textId="1F6CFA34" w:rsidR="00AC5DED" w:rsidRDefault="00AC5DED" w:rsidP="00AC5DED">
      <w:pPr>
        <w:pStyle w:val="NoSpacing"/>
        <w:ind w:left="720"/>
        <w:rPr>
          <w:rFonts w:ascii="Arial Black" w:hAnsi="Arial Black"/>
          <w:sz w:val="24"/>
          <w:szCs w:val="24"/>
        </w:rPr>
      </w:pPr>
      <w:r>
        <w:rPr>
          <w:rFonts w:ascii="Times New Roman" w:hAnsi="Times New Roman"/>
          <w:sz w:val="24"/>
          <w:szCs w:val="24"/>
        </w:rPr>
        <w:t>“</w:t>
      </w:r>
      <w:r w:rsidRPr="001C34F3">
        <w:rPr>
          <w:rFonts w:ascii="Times New Roman" w:hAnsi="Times New Roman"/>
          <w:sz w:val="24"/>
          <w:szCs w:val="24"/>
        </w:rPr>
        <w:t xml:space="preserve">Here, defendant brought </w:t>
      </w:r>
      <w:r>
        <w:rPr>
          <w:rFonts w:ascii="Times New Roman" w:hAnsi="Times New Roman"/>
          <w:sz w:val="24"/>
          <w:szCs w:val="24"/>
        </w:rPr>
        <w:t xml:space="preserve">[intern] </w:t>
      </w:r>
      <w:r w:rsidRPr="001C34F3">
        <w:rPr>
          <w:rFonts w:ascii="Times New Roman" w:hAnsi="Times New Roman"/>
          <w:sz w:val="24"/>
          <w:szCs w:val="24"/>
        </w:rPr>
        <w:t xml:space="preserve">Morris's attention to Doe's breasts, reached into her shirt, grabbed her breast, exposed it, and made a lewd comment. This is sufficient evidence that </w:t>
      </w:r>
      <w:proofErr w:type="gramStart"/>
      <w:r w:rsidRPr="001C34F3">
        <w:rPr>
          <w:rFonts w:ascii="Times New Roman" w:hAnsi="Times New Roman"/>
          <w:sz w:val="24"/>
          <w:szCs w:val="24"/>
        </w:rPr>
        <w:t>defendant</w:t>
      </w:r>
      <w:proofErr w:type="gramEnd"/>
      <w:r w:rsidRPr="001C34F3">
        <w:rPr>
          <w:rFonts w:ascii="Times New Roman" w:hAnsi="Times New Roman"/>
          <w:sz w:val="24"/>
          <w:szCs w:val="24"/>
        </w:rPr>
        <w:t xml:space="preserve"> committed the touching for the specific purpose of sexual gratification.</w:t>
      </w:r>
      <w:r>
        <w:rPr>
          <w:rFonts w:ascii="Times New Roman" w:hAnsi="Times New Roman"/>
          <w:sz w:val="24"/>
          <w:szCs w:val="24"/>
        </w:rPr>
        <w:t xml:space="preserve"> *** </w:t>
      </w:r>
      <w:r w:rsidRPr="00185759">
        <w:rPr>
          <w:rFonts w:ascii="Times New Roman" w:hAnsi="Times New Roman"/>
          <w:sz w:val="24"/>
          <w:szCs w:val="24"/>
        </w:rPr>
        <w:t xml:space="preserve">Among other things, defendant argues on appeal that the display of the nude images </w:t>
      </w:r>
      <w:r>
        <w:rPr>
          <w:rFonts w:ascii="Times New Roman" w:hAnsi="Times New Roman"/>
          <w:sz w:val="24"/>
          <w:szCs w:val="24"/>
        </w:rPr>
        <w:t xml:space="preserve">[by intern of his girlfriend to other EMS] </w:t>
      </w:r>
      <w:r w:rsidRPr="00185759">
        <w:rPr>
          <w:rFonts w:ascii="Times New Roman" w:hAnsi="Times New Roman"/>
          <w:sz w:val="24"/>
          <w:szCs w:val="24"/>
        </w:rPr>
        <w:t>went to Morris's intent and attitude toward women. The argument focuses on admissibility based on intent under Evidence Code section 1101, subdivision (b). But defendant did not argue in the trial court that the evidence was relevant to Morris's intent. He only argued Morris was immature about and lacked respect for women and, therefore, his claim to be an outstanding firefighter lacked credibility. Under the circumstances, defendant forfeited consideration on appeal of admissibility based on intent.</w:t>
      </w:r>
      <w:r>
        <w:rPr>
          <w:rFonts w:ascii="Times New Roman" w:hAnsi="Times New Roman"/>
          <w:sz w:val="24"/>
          <w:szCs w:val="24"/>
        </w:rPr>
        <w:t xml:space="preserve"> </w:t>
      </w:r>
      <w:r w:rsidRPr="00734BD0">
        <w:rPr>
          <w:rFonts w:ascii="Times New Roman" w:hAnsi="Times New Roman"/>
          <w:sz w:val="24"/>
          <w:szCs w:val="24"/>
        </w:rPr>
        <w:t>*** Although we nevertheless understand the gist of defendant's arguments regarding the evidence and are not unsympathetic, the trial court did not abuse its discretion in making its evidentiary determination.</w:t>
      </w:r>
      <w:r>
        <w:t xml:space="preserve"> </w:t>
      </w:r>
      <w:hyperlink r:id="rId2738" w:history="1">
        <w:r w:rsidRPr="00EC5853">
          <w:rPr>
            <w:rStyle w:val="Hyperlink"/>
          </w:rPr>
          <w:t>https://public.fastcase.com/9SKwsfNqTc6OieYDhNMyM%2B9QVlF%2Fi0C7FBtpVDfGBEJTuxz2gLXEBOyZ2MTUN6p67t66EUS4%2BwzN2KZQmb95HSCpSxhJK4uvhgP9XZ8nBIo%3D</w:t>
        </w:r>
      </w:hyperlink>
    </w:p>
    <w:p w14:paraId="654EF991" w14:textId="77777777" w:rsidR="00AC5DED" w:rsidRDefault="00AC5DED" w:rsidP="00F326E5">
      <w:pPr>
        <w:pStyle w:val="NoSpacing"/>
        <w:rPr>
          <w:rFonts w:ascii="Arial Black" w:hAnsi="Arial Black"/>
          <w:sz w:val="24"/>
          <w:szCs w:val="24"/>
        </w:rPr>
      </w:pPr>
    </w:p>
    <w:p w14:paraId="5CC44842" w14:textId="77777777" w:rsidR="00AC5DED" w:rsidRPr="00AF6390" w:rsidRDefault="00AC5DED" w:rsidP="00AC5DED">
      <w:pPr>
        <w:spacing w:before="100" w:beforeAutospacing="1" w:after="100" w:afterAutospacing="1" w:line="240" w:lineRule="auto"/>
        <w:rPr>
          <w:rFonts w:ascii="Times New Roman" w:eastAsia="Times New Roman" w:hAnsi="Times New Roman"/>
          <w:sz w:val="24"/>
          <w:szCs w:val="24"/>
        </w:rPr>
      </w:pPr>
      <w:r w:rsidRPr="00734BD0">
        <w:rPr>
          <w:rFonts w:ascii="Times New Roman" w:hAnsi="Times New Roman"/>
          <w:b/>
          <w:bCs/>
          <w:sz w:val="24"/>
          <w:szCs w:val="24"/>
        </w:rPr>
        <w:t>Legal Lesson Learned:</w:t>
      </w:r>
      <w:r>
        <w:rPr>
          <w:rFonts w:ascii="Times New Roman" w:hAnsi="Times New Roman"/>
          <w:b/>
          <w:bCs/>
          <w:sz w:val="24"/>
          <w:szCs w:val="24"/>
        </w:rPr>
        <w:t xml:space="preserve">  Stupid conduct by this paramedic resulted in felony conviction, jail time, reporting as </w:t>
      </w:r>
      <w:proofErr w:type="gramStart"/>
      <w:r>
        <w:rPr>
          <w:rFonts w:ascii="Times New Roman" w:hAnsi="Times New Roman"/>
          <w:b/>
          <w:bCs/>
          <w:sz w:val="24"/>
          <w:szCs w:val="24"/>
        </w:rPr>
        <w:t>a sexual</w:t>
      </w:r>
      <w:proofErr w:type="gramEnd"/>
      <w:r>
        <w:rPr>
          <w:rFonts w:ascii="Times New Roman" w:hAnsi="Times New Roman"/>
          <w:b/>
          <w:bCs/>
          <w:sz w:val="24"/>
          <w:szCs w:val="24"/>
        </w:rPr>
        <w:t xml:space="preserve"> offenders and loss of his chosen profession.</w:t>
      </w:r>
    </w:p>
    <w:p w14:paraId="7114E523" w14:textId="77777777" w:rsidR="00AC5DED" w:rsidRPr="001C34F3" w:rsidRDefault="00AC5DED" w:rsidP="00AC5DED">
      <w:pPr>
        <w:pStyle w:val="Heading1"/>
        <w:ind w:left="720"/>
        <w:rPr>
          <w:b w:val="0"/>
          <w:bCs w:val="0"/>
          <w:sz w:val="24"/>
          <w:szCs w:val="24"/>
        </w:rPr>
      </w:pPr>
      <w:r>
        <w:rPr>
          <w:b w:val="0"/>
          <w:bCs w:val="0"/>
          <w:sz w:val="24"/>
          <w:szCs w:val="24"/>
        </w:rPr>
        <w:t xml:space="preserve">Note: See June 12, </w:t>
      </w:r>
      <w:proofErr w:type="gramStart"/>
      <w:r>
        <w:rPr>
          <w:b w:val="0"/>
          <w:bCs w:val="0"/>
          <w:sz w:val="24"/>
          <w:szCs w:val="24"/>
        </w:rPr>
        <w:t>2017</w:t>
      </w:r>
      <w:proofErr w:type="gramEnd"/>
      <w:r>
        <w:rPr>
          <w:b w:val="0"/>
          <w:bCs w:val="0"/>
          <w:sz w:val="24"/>
          <w:szCs w:val="24"/>
        </w:rPr>
        <w:t xml:space="preserve"> article, “</w:t>
      </w:r>
      <w:r w:rsidRPr="001C34F3">
        <w:rPr>
          <w:b w:val="0"/>
          <w:bCs w:val="0"/>
          <w:sz w:val="24"/>
          <w:szCs w:val="24"/>
        </w:rPr>
        <w:t xml:space="preserve">Paramedic </w:t>
      </w:r>
      <w:proofErr w:type="gramStart"/>
      <w:r w:rsidRPr="001C34F3">
        <w:rPr>
          <w:b w:val="0"/>
          <w:bCs w:val="0"/>
          <w:sz w:val="24"/>
          <w:szCs w:val="24"/>
        </w:rPr>
        <w:t>And</w:t>
      </w:r>
      <w:proofErr w:type="gramEnd"/>
      <w:r w:rsidRPr="001C34F3">
        <w:rPr>
          <w:b w:val="0"/>
          <w:bCs w:val="0"/>
          <w:sz w:val="24"/>
          <w:szCs w:val="24"/>
        </w:rPr>
        <w:t xml:space="preserve"> Firefighter Fondle Teen Having Seizures, Jared David Evans Told Intern, 'I Had To</w:t>
      </w:r>
      <w:r>
        <w:rPr>
          <w:b w:val="0"/>
          <w:bCs w:val="0"/>
          <w:sz w:val="24"/>
          <w:szCs w:val="24"/>
        </w:rPr>
        <w:t>.</w:t>
      </w:r>
      <w:r w:rsidRPr="001C34F3">
        <w:rPr>
          <w:b w:val="0"/>
          <w:bCs w:val="0"/>
          <w:sz w:val="24"/>
          <w:szCs w:val="24"/>
        </w:rPr>
        <w:t>'</w:t>
      </w:r>
      <w:r>
        <w:rPr>
          <w:b w:val="0"/>
          <w:bCs w:val="0"/>
          <w:sz w:val="24"/>
          <w:szCs w:val="24"/>
        </w:rPr>
        <w:t xml:space="preserve">” </w:t>
      </w:r>
      <w:hyperlink r:id="rId2739" w:history="1">
        <w:r w:rsidRPr="00EC5853">
          <w:rPr>
            <w:rStyle w:val="Hyperlink"/>
            <w:b w:val="0"/>
            <w:bCs w:val="0"/>
            <w:sz w:val="24"/>
            <w:szCs w:val="24"/>
          </w:rPr>
          <w:t>https://www.inquisitr.com/4286305/paramedic-and-firefighter-fondle-teen-having-seizures-jared-david-evans-told-intern-i-had-to/</w:t>
        </w:r>
      </w:hyperlink>
      <w:r>
        <w:rPr>
          <w:b w:val="0"/>
          <w:bCs w:val="0"/>
          <w:sz w:val="24"/>
          <w:szCs w:val="24"/>
        </w:rPr>
        <w:t xml:space="preserve"> </w:t>
      </w:r>
    </w:p>
    <w:p w14:paraId="49A775C3" w14:textId="77777777" w:rsidR="00AC5DED" w:rsidRPr="009E51C8" w:rsidRDefault="00AC5DED" w:rsidP="00AC5DED">
      <w:pPr>
        <w:ind w:left="1440"/>
        <w:rPr>
          <w:rFonts w:ascii="Times New Roman" w:hAnsi="Times New Roman"/>
          <w:sz w:val="24"/>
          <w:szCs w:val="24"/>
        </w:rPr>
      </w:pPr>
      <w:r w:rsidRPr="009E51C8">
        <w:rPr>
          <w:rFonts w:ascii="Times New Roman" w:hAnsi="Times New Roman"/>
          <w:sz w:val="24"/>
          <w:szCs w:val="24"/>
        </w:rPr>
        <w:t xml:space="preserve">“According to KCRA Channel 3, </w:t>
      </w:r>
      <w:hyperlink r:id="rId2740" w:tgtFrame="_blank" w:history="1">
        <w:r w:rsidRPr="009E51C8">
          <w:rPr>
            <w:rFonts w:ascii="Times New Roman" w:hAnsi="Times New Roman"/>
            <w:sz w:val="24"/>
            <w:szCs w:val="24"/>
          </w:rPr>
          <w:t>Sacramento Fire Chief</w:t>
        </w:r>
      </w:hyperlink>
      <w:r w:rsidRPr="009E51C8">
        <w:rPr>
          <w:rFonts w:ascii="Times New Roman" w:hAnsi="Times New Roman"/>
          <w:sz w:val="24"/>
          <w:szCs w:val="24"/>
        </w:rPr>
        <w:t xml:space="preserve"> Walt White discussed the allegations against Jared David Evans. ‘When these allegations were brought to the attention of fire administration, we immediately notified the office of public safety and accountability and requested a full law enforcement investigation.’ ‘The Sacramento Fire Department takes all citizen complaints </w:t>
      </w:r>
      <w:proofErr w:type="gramStart"/>
      <w:r w:rsidRPr="009E51C8">
        <w:rPr>
          <w:rFonts w:ascii="Times New Roman" w:hAnsi="Times New Roman"/>
          <w:sz w:val="24"/>
          <w:szCs w:val="24"/>
        </w:rPr>
        <w:t>seriously, and</w:t>
      </w:r>
      <w:proofErr w:type="gramEnd"/>
      <w:r w:rsidRPr="009E51C8">
        <w:rPr>
          <w:rFonts w:ascii="Times New Roman" w:hAnsi="Times New Roman"/>
          <w:sz w:val="24"/>
          <w:szCs w:val="24"/>
        </w:rPr>
        <w:t xml:space="preserve"> works quickly to take appropriate actions to mitigate them. When this complaint was made to Fire Administration, it was immediately forwarded to Law Enforcement </w:t>
      </w:r>
      <w:proofErr w:type="gramStart"/>
      <w:r w:rsidRPr="009E51C8">
        <w:rPr>
          <w:rFonts w:ascii="Times New Roman" w:hAnsi="Times New Roman"/>
          <w:sz w:val="24"/>
          <w:szCs w:val="24"/>
        </w:rPr>
        <w:t>officials</w:t>
      </w:r>
      <w:proofErr w:type="gramEnd"/>
      <w:r w:rsidRPr="009E51C8">
        <w:rPr>
          <w:rFonts w:ascii="Times New Roman" w:hAnsi="Times New Roman"/>
          <w:sz w:val="24"/>
          <w:szCs w:val="24"/>
        </w:rPr>
        <w:t xml:space="preserve"> and a formal investigation was requested. Although the case is ongoing, and all facts are not yet known, the Sacramento Fire Department wants to assure the public that </w:t>
      </w:r>
      <w:r w:rsidRPr="009E51C8">
        <w:rPr>
          <w:rFonts w:ascii="Times New Roman" w:hAnsi="Times New Roman"/>
          <w:sz w:val="24"/>
          <w:szCs w:val="24"/>
        </w:rPr>
        <w:lastRenderedPageBreak/>
        <w:t>we are fully cooperating with the investigation and working to bring the matter to a successful conclusion.”</w:t>
      </w:r>
    </w:p>
    <w:p w14:paraId="3BC0791F" w14:textId="77777777" w:rsidR="00AC5DED" w:rsidRDefault="00AC5DED" w:rsidP="00F326E5">
      <w:pPr>
        <w:pStyle w:val="NoSpacing"/>
        <w:rPr>
          <w:rFonts w:ascii="Arial Black" w:hAnsi="Arial Black"/>
          <w:sz w:val="24"/>
          <w:szCs w:val="24"/>
        </w:rPr>
      </w:pPr>
    </w:p>
    <w:p w14:paraId="52C865FB" w14:textId="77777777" w:rsidR="00AC5DED" w:rsidRDefault="00AC5DED" w:rsidP="00F326E5">
      <w:pPr>
        <w:pStyle w:val="NoSpacing"/>
        <w:rPr>
          <w:rFonts w:ascii="Arial Black" w:hAnsi="Arial Black"/>
          <w:sz w:val="24"/>
          <w:szCs w:val="24"/>
        </w:rPr>
      </w:pPr>
    </w:p>
    <w:p w14:paraId="67A53459" w14:textId="61F36DCE" w:rsidR="00506EE7" w:rsidRDefault="00506EE7" w:rsidP="00F326E5">
      <w:pPr>
        <w:pStyle w:val="NoSpacing"/>
        <w:rPr>
          <w:rFonts w:ascii="Arial Black" w:hAnsi="Arial Black"/>
          <w:sz w:val="24"/>
          <w:szCs w:val="24"/>
        </w:rPr>
      </w:pPr>
      <w:r>
        <w:rPr>
          <w:rFonts w:ascii="Arial Black" w:hAnsi="Arial Black"/>
          <w:sz w:val="24"/>
          <w:szCs w:val="24"/>
        </w:rPr>
        <w:t>16-</w:t>
      </w:r>
      <w:r w:rsidR="007E3A28">
        <w:rPr>
          <w:rFonts w:ascii="Arial Black" w:hAnsi="Arial Black"/>
          <w:sz w:val="24"/>
          <w:szCs w:val="24"/>
        </w:rPr>
        <w:t>60</w:t>
      </w:r>
    </w:p>
    <w:p w14:paraId="4FBB6967" w14:textId="77777777" w:rsidR="00506EE7" w:rsidRPr="00A71D89" w:rsidRDefault="00506EE7" w:rsidP="00506EE7">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PA: VOL. FF MET 14-YR OLD AT STATION – SEXUAL RELATIONS FOR YEAR – JURY CONV - 8-16 YRS JAIL</w:t>
      </w:r>
    </w:p>
    <w:p w14:paraId="63C770CD" w14:textId="77777777" w:rsidR="00506EE7" w:rsidRDefault="00506EE7" w:rsidP="00506EE7">
      <w:pPr>
        <w:spacing w:after="100" w:line="240" w:lineRule="auto"/>
        <w:rPr>
          <w:rFonts w:ascii="Times New Roman" w:hAnsi="Times New Roman"/>
          <w:sz w:val="24"/>
          <w:szCs w:val="24"/>
        </w:rPr>
      </w:pPr>
      <w:r>
        <w:rPr>
          <w:rFonts w:ascii="Times New Roman" w:eastAsia="Times New Roman" w:hAnsi="Times New Roman"/>
          <w:sz w:val="24"/>
          <w:szCs w:val="24"/>
        </w:rPr>
        <w:t xml:space="preserve">On Nov. 22, 2021, in </w:t>
      </w:r>
      <w:r w:rsidRPr="00A71D89">
        <w:rPr>
          <w:rFonts w:ascii="Times New Roman" w:eastAsia="Times New Roman" w:hAnsi="Times New Roman"/>
          <w:sz w:val="24"/>
          <w:szCs w:val="24"/>
          <w:u w:val="single"/>
        </w:rPr>
        <w:t>Commonwealth of Pennsylvania v. Christopher Anthony Taylor</w:t>
      </w:r>
      <w:r>
        <w:rPr>
          <w:rFonts w:ascii="Times New Roman" w:eastAsia="Times New Roman" w:hAnsi="Times New Roman"/>
          <w:sz w:val="24"/>
          <w:szCs w:val="24"/>
        </w:rPr>
        <w:t xml:space="preserve">, Superior Court of Pennsylvania, held (3 to 0; “non-precedential decisional”) the Court of Appeals agreed with a trial court judge who denied his petition for Post-Conviction Relief.  On appeals he claimed ineffective assistance of counsel, but the trial court properly allowed into evidence the firefighters many e-mails with the minor, leading to his conviction of statutory sexual assault, </w:t>
      </w:r>
      <w:r w:rsidRPr="004979D4">
        <w:rPr>
          <w:rFonts w:ascii="Times New Roman" w:hAnsi="Times New Roman"/>
          <w:sz w:val="24"/>
          <w:szCs w:val="24"/>
        </w:rPr>
        <w:t>aggravated indecent assault-less than 16 years of age, indecent assault-less than 16 years of age, unlawful contact with a minor-sexual offenses, involuntary deviate sexual intercourse-less than 16 years of age, and corruption of minors</w:t>
      </w:r>
      <w:r>
        <w:rPr>
          <w:rFonts w:ascii="Times New Roman" w:hAnsi="Times New Roman"/>
          <w:sz w:val="24"/>
          <w:szCs w:val="24"/>
        </w:rPr>
        <w:t xml:space="preserve">.  </w:t>
      </w:r>
    </w:p>
    <w:p w14:paraId="753F6740" w14:textId="77777777" w:rsidR="00506EE7" w:rsidRDefault="00506EE7" w:rsidP="00506EE7">
      <w:pPr>
        <w:pStyle w:val="NormalWeb"/>
        <w:ind w:left="720"/>
      </w:pPr>
      <w:r>
        <w:t xml:space="preserve">“In his first claim, Taylor argues that his trial counsel rendered ineffective assistance by failing to object to the authenticity of the email communications between himself and the victim. Brief for Appellant at 12-13. Taylor asserts that, at trial, he testified that he did not recognize the emails…. Additionally, Taylor claims that the only authentication of the emails was that the victim had provided them to the police, who performed no examination of the victim's or Taylor's respective computers…. Taylor acknowledges that trial counsel objected to the emails at </w:t>
      </w:r>
      <w:proofErr w:type="gramStart"/>
      <w:r>
        <w:t>trial, but</w:t>
      </w:r>
      <w:proofErr w:type="gramEnd"/>
      <w:r>
        <w:t xml:space="preserve"> contends that the objection was generic and did not specifically challenge the authenticity of the emails…. Accordingly, Taylor has failed to establish his claim of ineffective assistance of counsel.  </w:t>
      </w:r>
      <w:hyperlink r:id="rId2741" w:history="1">
        <w:r w:rsidRPr="0085682C">
          <w:rPr>
            <w:rStyle w:val="Hyperlink"/>
          </w:rPr>
          <w:t>https://public.fastcase.com/9SKwsfNqTc6OieYDhNMyMwLbquMieQJJAkWYEouDi7ix05WUlxmQyjrVFv7KR6XMi0MhNDFBQq54%2Fpuo4ib1qnZU%2F1hDs4fMcaW2pIa9a%2BY%3D</w:t>
        </w:r>
      </w:hyperlink>
      <w:r>
        <w:t xml:space="preserve"> </w:t>
      </w:r>
    </w:p>
    <w:p w14:paraId="325128D9" w14:textId="77777777" w:rsidR="007E3A28" w:rsidRPr="0023548F" w:rsidRDefault="007E3A28" w:rsidP="007E3A28">
      <w:pPr>
        <w:spacing w:after="100" w:line="240" w:lineRule="auto"/>
        <w:rPr>
          <w:rFonts w:ascii="Times New Roman" w:eastAsia="Times New Roman" w:hAnsi="Times New Roman"/>
          <w:b/>
          <w:bCs/>
          <w:sz w:val="24"/>
          <w:szCs w:val="24"/>
        </w:rPr>
      </w:pPr>
      <w:r w:rsidRPr="0023548F">
        <w:rPr>
          <w:rFonts w:ascii="Times New Roman" w:hAnsi="Times New Roman"/>
          <w:b/>
          <w:bCs/>
          <w:sz w:val="24"/>
          <w:szCs w:val="24"/>
        </w:rPr>
        <w:t>Legal Lesson Learned:</w:t>
      </w:r>
      <w:r>
        <w:rPr>
          <w:rFonts w:ascii="Times New Roman" w:hAnsi="Times New Roman"/>
          <w:b/>
          <w:bCs/>
          <w:sz w:val="24"/>
          <w:szCs w:val="24"/>
        </w:rPr>
        <w:t xml:space="preserve">  This former volunteer firefighter now has lots of time in prison to think about his conduct.  </w:t>
      </w:r>
    </w:p>
    <w:p w14:paraId="1EFC4A4F" w14:textId="35A365FC" w:rsidR="00506EE7" w:rsidRDefault="00506EE7" w:rsidP="00F326E5">
      <w:pPr>
        <w:pStyle w:val="NoSpacing"/>
        <w:rPr>
          <w:rFonts w:ascii="Arial Black" w:hAnsi="Arial Black"/>
          <w:sz w:val="24"/>
          <w:szCs w:val="24"/>
        </w:rPr>
      </w:pPr>
    </w:p>
    <w:p w14:paraId="588C380E" w14:textId="050B45D2" w:rsidR="007E3A28" w:rsidRDefault="007E3A28" w:rsidP="00F326E5">
      <w:pPr>
        <w:pStyle w:val="NoSpacing"/>
        <w:rPr>
          <w:rFonts w:ascii="Arial Black" w:hAnsi="Arial Black"/>
          <w:sz w:val="24"/>
          <w:szCs w:val="24"/>
        </w:rPr>
      </w:pPr>
      <w:r>
        <w:rPr>
          <w:rFonts w:ascii="Arial Black" w:hAnsi="Arial Black"/>
          <w:sz w:val="24"/>
          <w:szCs w:val="24"/>
        </w:rPr>
        <w:t>16-59</w:t>
      </w:r>
    </w:p>
    <w:p w14:paraId="1C823D97" w14:textId="15A0A55C" w:rsidR="007E3A28" w:rsidRDefault="007E3A28" w:rsidP="00F326E5">
      <w:pPr>
        <w:pStyle w:val="NoSpacing"/>
        <w:rPr>
          <w:rFonts w:ascii="Arial Black" w:hAnsi="Arial Black"/>
          <w:sz w:val="24"/>
          <w:szCs w:val="24"/>
        </w:rPr>
      </w:pPr>
    </w:p>
    <w:p w14:paraId="13F1EDAB" w14:textId="77777777" w:rsidR="007E3A28" w:rsidRDefault="007E3A28" w:rsidP="007E3A28">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NJ: FF PROPERLY FIRED – PLED GUILTY AGGRAVATED ASSAULT IN BAR - 364 DAYS JAIL – FD LEARNED NO SHOW</w:t>
      </w:r>
    </w:p>
    <w:p w14:paraId="43376913" w14:textId="77777777" w:rsidR="007E3A28" w:rsidRDefault="007E3A28" w:rsidP="007E3A28">
      <w:pPr>
        <w:spacing w:before="100" w:beforeAutospacing="1" w:after="100" w:afterAutospacing="1" w:line="240" w:lineRule="auto"/>
      </w:pPr>
      <w:r w:rsidRPr="00F80533">
        <w:rPr>
          <w:rFonts w:ascii="Times New Roman" w:eastAsia="Times New Roman" w:hAnsi="Times New Roman"/>
          <w:sz w:val="24"/>
          <w:szCs w:val="24"/>
        </w:rPr>
        <w:t xml:space="preserve">On </w:t>
      </w:r>
      <w:r>
        <w:rPr>
          <w:rFonts w:ascii="Times New Roman" w:eastAsia="Times New Roman" w:hAnsi="Times New Roman"/>
          <w:sz w:val="24"/>
          <w:szCs w:val="24"/>
        </w:rPr>
        <w:t>Nov. 16, 2021</w:t>
      </w:r>
      <w:r w:rsidRPr="002A1A7D">
        <w:rPr>
          <w:rFonts w:ascii="Times New Roman" w:eastAsia="Times New Roman" w:hAnsi="Times New Roman"/>
          <w:sz w:val="24"/>
          <w:szCs w:val="24"/>
          <w:u w:val="single"/>
        </w:rPr>
        <w:t>, In The Matter Of Joseph Downar, The City of Newark Fire Department</w:t>
      </w:r>
      <w:r>
        <w:rPr>
          <w:rFonts w:ascii="Times New Roman" w:eastAsia="Times New Roman" w:hAnsi="Times New Roman"/>
          <w:sz w:val="24"/>
          <w:szCs w:val="24"/>
        </w:rPr>
        <w:t xml:space="preserve">, the Superior Court of New Jersey, Appellate Division, held (3 to 0) (unpublished decision) that the Civil Service Commission properly upheld the Fire Department’s decision to terminate the firefighter after a disciplinary hearing on March 15, 2018, for his conviction of third-degree aggravated assault, and failure to notice the Fire Department of his arrest, indictment, conviction and prison sentence.  The FD had no knowledge of the incident until Dec. 12, 2017, the day he began serving his jail term, and </w:t>
      </w:r>
      <w:proofErr w:type="gramStart"/>
      <w:r>
        <w:rPr>
          <w:rFonts w:ascii="Times New Roman" w:eastAsia="Times New Roman" w:hAnsi="Times New Roman"/>
          <w:sz w:val="24"/>
          <w:szCs w:val="24"/>
        </w:rPr>
        <w:t>he</w:t>
      </w:r>
      <w:proofErr w:type="gramEnd"/>
      <w:r>
        <w:rPr>
          <w:rFonts w:ascii="Times New Roman" w:eastAsia="Times New Roman" w:hAnsi="Times New Roman"/>
          <w:sz w:val="24"/>
          <w:szCs w:val="24"/>
        </w:rPr>
        <w:t xml:space="preserve"> union advised the department. </w:t>
      </w:r>
    </w:p>
    <w:p w14:paraId="3FC6E155" w14:textId="77777777" w:rsidR="007E3A28" w:rsidRDefault="007E3A28" w:rsidP="007E3A28">
      <w:pPr>
        <w:spacing w:before="100" w:beforeAutospacing="1" w:after="100" w:afterAutospacing="1" w:line="240" w:lineRule="auto"/>
        <w:ind w:left="720"/>
        <w:rPr>
          <w:rFonts w:ascii="Times New Roman" w:hAnsi="Times New Roman"/>
          <w:sz w:val="24"/>
          <w:szCs w:val="24"/>
        </w:rPr>
      </w:pPr>
      <w:r>
        <w:rPr>
          <w:rFonts w:ascii="Times New Roman" w:eastAsia="Times New Roman" w:hAnsi="Times New Roman"/>
          <w:sz w:val="24"/>
          <w:szCs w:val="24"/>
        </w:rPr>
        <w:t>“</w:t>
      </w:r>
      <w:proofErr w:type="spellStart"/>
      <w:r w:rsidRPr="008E3A70">
        <w:rPr>
          <w:rFonts w:ascii="Times New Roman" w:hAnsi="Times New Roman"/>
          <w:sz w:val="24"/>
          <w:szCs w:val="24"/>
        </w:rPr>
        <w:t>Downar</w:t>
      </w:r>
      <w:proofErr w:type="spellEnd"/>
      <w:r w:rsidRPr="008E3A70">
        <w:rPr>
          <w:rFonts w:ascii="Times New Roman" w:hAnsi="Times New Roman"/>
          <w:sz w:val="24"/>
          <w:szCs w:val="24"/>
        </w:rPr>
        <w:t xml:space="preserve"> was charged with failure to report his arrest, indictment, conviction, and sentence to management. The Department did not have a written policy, rule, or regulation requiring notification in place when the assault occurred. However, on January 4, 2017, the very day that </w:t>
      </w:r>
      <w:proofErr w:type="spellStart"/>
      <w:r w:rsidRPr="008E3A70">
        <w:rPr>
          <w:rFonts w:ascii="Times New Roman" w:hAnsi="Times New Roman"/>
          <w:sz w:val="24"/>
          <w:szCs w:val="24"/>
        </w:rPr>
        <w:t>Downar</w:t>
      </w:r>
      <w:proofErr w:type="spellEnd"/>
      <w:r w:rsidRPr="008E3A70">
        <w:rPr>
          <w:rFonts w:ascii="Times New Roman" w:hAnsi="Times New Roman"/>
          <w:sz w:val="24"/>
          <w:szCs w:val="24"/>
        </w:rPr>
        <w:t xml:space="preserve"> was arrested, </w:t>
      </w:r>
      <w:r w:rsidRPr="008E3A70">
        <w:rPr>
          <w:rFonts w:ascii="Times New Roman" w:hAnsi="Times New Roman"/>
          <w:sz w:val="24"/>
          <w:szCs w:val="24"/>
        </w:rPr>
        <w:lastRenderedPageBreak/>
        <w:t xml:space="preserve">the Department promulgated a written policy that became effective immediately, which required firefighters to report </w:t>
      </w:r>
      <w:r>
        <w:rPr>
          <w:rFonts w:ascii="Times New Roman" w:hAnsi="Times New Roman"/>
          <w:sz w:val="24"/>
          <w:szCs w:val="24"/>
        </w:rPr>
        <w:t>‘</w:t>
      </w:r>
      <w:r w:rsidRPr="008E3A70">
        <w:rPr>
          <w:rFonts w:ascii="Times New Roman" w:hAnsi="Times New Roman"/>
          <w:sz w:val="24"/>
          <w:szCs w:val="24"/>
        </w:rPr>
        <w:t>contact with any police agency as a victim, witness, or suspect (criminal or traffic complaints) . . . via an administrative submission . . . to their immediate supervisor upon their first day reporting back to duty.</w:t>
      </w:r>
      <w:r>
        <w:rPr>
          <w:rFonts w:ascii="Times New Roman" w:hAnsi="Times New Roman"/>
          <w:sz w:val="24"/>
          <w:szCs w:val="24"/>
        </w:rPr>
        <w:t>’</w:t>
      </w:r>
      <w:r w:rsidRPr="008E3A70">
        <w:rPr>
          <w:rFonts w:ascii="Times New Roman" w:hAnsi="Times New Roman"/>
          <w:sz w:val="24"/>
          <w:szCs w:val="24"/>
        </w:rPr>
        <w:t xml:space="preserve"> </w:t>
      </w:r>
      <w:proofErr w:type="spellStart"/>
      <w:r w:rsidRPr="008E3A70">
        <w:rPr>
          <w:rFonts w:ascii="Times New Roman" w:hAnsi="Times New Roman"/>
          <w:sz w:val="24"/>
          <w:szCs w:val="24"/>
        </w:rPr>
        <w:t>Downar</w:t>
      </w:r>
      <w:proofErr w:type="spellEnd"/>
      <w:r w:rsidRPr="008E3A70">
        <w:rPr>
          <w:rFonts w:ascii="Times New Roman" w:hAnsi="Times New Roman"/>
          <w:sz w:val="24"/>
          <w:szCs w:val="24"/>
        </w:rPr>
        <w:t xml:space="preserve"> does not dispute that the policy was the subject of roll call training and was conspicuously </w:t>
      </w:r>
      <w:proofErr w:type="gramStart"/>
      <w:r w:rsidRPr="008E3A70">
        <w:rPr>
          <w:rFonts w:ascii="Times New Roman" w:hAnsi="Times New Roman"/>
          <w:sz w:val="24"/>
          <w:szCs w:val="24"/>
        </w:rPr>
        <w:t>posted, and</w:t>
      </w:r>
      <w:proofErr w:type="gramEnd"/>
      <w:r w:rsidRPr="008E3A70">
        <w:rPr>
          <w:rFonts w:ascii="Times New Roman" w:hAnsi="Times New Roman"/>
          <w:sz w:val="24"/>
          <w:szCs w:val="24"/>
        </w:rPr>
        <w:t xml:space="preserve"> yet claims he was unaware he had to report the incident to his superiors. The ALJ found that testimony incredible.</w:t>
      </w:r>
    </w:p>
    <w:p w14:paraId="4BBF5524" w14:textId="77777777" w:rsidR="007E3A28" w:rsidRDefault="007E3A28" w:rsidP="007E3A28">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06322910" w14:textId="77777777" w:rsidR="007E3A28" w:rsidRDefault="007E3A28" w:rsidP="007E3A28">
      <w:pPr>
        <w:spacing w:before="100" w:beforeAutospacing="1" w:after="100" w:afterAutospacing="1" w:line="240" w:lineRule="auto"/>
        <w:ind w:left="720" w:firstLine="60"/>
        <w:rPr>
          <w:rFonts w:ascii="Times New Roman" w:eastAsia="Times New Roman" w:hAnsi="Times New Roman"/>
          <w:sz w:val="24"/>
          <w:szCs w:val="24"/>
        </w:rPr>
      </w:pPr>
      <w:proofErr w:type="spellStart"/>
      <w:r w:rsidRPr="008E3A70">
        <w:rPr>
          <w:rFonts w:ascii="Times New Roman" w:eastAsia="Times New Roman" w:hAnsi="Times New Roman"/>
          <w:sz w:val="24"/>
          <w:szCs w:val="24"/>
        </w:rPr>
        <w:t>Downar</w:t>
      </w:r>
      <w:proofErr w:type="spellEnd"/>
      <w:r w:rsidRPr="008E3A70">
        <w:rPr>
          <w:rFonts w:ascii="Times New Roman" w:eastAsia="Times New Roman" w:hAnsi="Times New Roman"/>
          <w:sz w:val="24"/>
          <w:szCs w:val="24"/>
        </w:rPr>
        <w:t xml:space="preserve"> had no prior disciplinary history and received good performance reviews. He argues that removal was disproportionate to the offense, his first disciplinary infraction, and that the failure to apply progressive discipline was reversible error. We disagree. </w:t>
      </w:r>
    </w:p>
    <w:p w14:paraId="4D5DFC44" w14:textId="77777777" w:rsidR="007E3A28" w:rsidRDefault="007E3A28" w:rsidP="007E3A28">
      <w:pPr>
        <w:spacing w:before="100" w:beforeAutospacing="1" w:after="100" w:afterAutospacing="1" w:line="240" w:lineRule="auto"/>
        <w:ind w:left="720" w:firstLine="60"/>
        <w:rPr>
          <w:rFonts w:ascii="Times New Roman" w:eastAsia="Times New Roman" w:hAnsi="Times New Roman"/>
          <w:sz w:val="24"/>
          <w:szCs w:val="24"/>
        </w:rPr>
      </w:pPr>
      <w:r>
        <w:rPr>
          <w:rFonts w:ascii="Times New Roman" w:eastAsia="Times New Roman" w:hAnsi="Times New Roman"/>
          <w:sz w:val="24"/>
          <w:szCs w:val="24"/>
        </w:rPr>
        <w:t>***</w:t>
      </w:r>
    </w:p>
    <w:p w14:paraId="4EF479D0" w14:textId="1F741210" w:rsidR="007E3A28" w:rsidRDefault="007E3A28" w:rsidP="007E3A28">
      <w:pPr>
        <w:pStyle w:val="NoSpacing"/>
        <w:ind w:left="720"/>
        <w:rPr>
          <w:rStyle w:val="Hyperlink"/>
          <w:rFonts w:ascii="Times New Roman" w:hAnsi="Times New Roman"/>
          <w:sz w:val="24"/>
          <w:szCs w:val="24"/>
        </w:rPr>
      </w:pPr>
      <w:r w:rsidRPr="007E3A28">
        <w:rPr>
          <w:rFonts w:ascii="Times New Roman" w:hAnsi="Times New Roman"/>
          <w:sz w:val="24"/>
          <w:szCs w:val="24"/>
        </w:rPr>
        <w:t xml:space="preserve">Even though committed while </w:t>
      </w:r>
      <w:proofErr w:type="gramStart"/>
      <w:r w:rsidRPr="007E3A28">
        <w:rPr>
          <w:rFonts w:ascii="Times New Roman" w:hAnsi="Times New Roman"/>
          <w:sz w:val="24"/>
          <w:szCs w:val="24"/>
        </w:rPr>
        <w:t>off-duty</w:t>
      </w:r>
      <w:proofErr w:type="gramEnd"/>
      <w:r w:rsidRPr="007E3A28">
        <w:rPr>
          <w:rFonts w:ascii="Times New Roman" w:hAnsi="Times New Roman"/>
          <w:sz w:val="24"/>
          <w:szCs w:val="24"/>
        </w:rPr>
        <w:t xml:space="preserve">, the aggravated assault, coupled with the failure to report the incident, subsequent criminal prosecution, conviction, and sentence, and his resulting inability to perform duties during his jail term, constituted egregious misconduct. Here, the Commission's decision was supported by substantial credible evidence and was not arbitrary, capricious, or unreasonable despite the absence of prior disciplinary infractions. Removal does not shock our sense of fairness. Accordingly, we discern no basis to overturn the Commission's decision.”  </w:t>
      </w:r>
      <w:hyperlink r:id="rId2742" w:history="1">
        <w:r w:rsidRPr="007E3A28">
          <w:rPr>
            <w:rStyle w:val="Hyperlink"/>
            <w:rFonts w:ascii="Times New Roman" w:hAnsi="Times New Roman"/>
            <w:sz w:val="24"/>
            <w:szCs w:val="24"/>
          </w:rPr>
          <w:t>https://public.fastcase.com/9SKwsfNqTc6OieYDhNMyMyDFWJKG68%2FxrxDgF%2ByOzsjPpcL4jvi7QzZ2AR2rzbKPcZbDkGArV5tenVtyFKk%2FX7II2Lot3PKpssqnJQodheI%3</w:t>
        </w:r>
      </w:hyperlink>
    </w:p>
    <w:p w14:paraId="42E5B69F" w14:textId="019BBE31" w:rsidR="007E3A28" w:rsidRDefault="007E3A28" w:rsidP="007E3A28">
      <w:pPr>
        <w:pStyle w:val="NoSpacing"/>
        <w:ind w:left="720"/>
        <w:rPr>
          <w:rStyle w:val="Hyperlink"/>
          <w:rFonts w:ascii="Times New Roman" w:hAnsi="Times New Roman"/>
          <w:sz w:val="24"/>
          <w:szCs w:val="24"/>
        </w:rPr>
      </w:pPr>
    </w:p>
    <w:p w14:paraId="0962CB57" w14:textId="77777777" w:rsidR="007E3A28" w:rsidRPr="001D74E3" w:rsidRDefault="007E3A28" w:rsidP="007E3A28">
      <w:pPr>
        <w:pStyle w:val="NormalWeb"/>
        <w:rPr>
          <w:b/>
          <w:bCs/>
        </w:rPr>
      </w:pPr>
      <w:r w:rsidRPr="001D74E3">
        <w:rPr>
          <w:b/>
          <w:bCs/>
        </w:rPr>
        <w:t>Legal Lesson Learned:</w:t>
      </w:r>
      <w:r>
        <w:rPr>
          <w:b/>
          <w:bCs/>
        </w:rPr>
        <w:t xml:space="preserve"> Fire &amp; EMS Departments should adopt SOG requiring personnel to report arrests, convictions and jail sentences. </w:t>
      </w:r>
    </w:p>
    <w:p w14:paraId="2E1F7171" w14:textId="77777777" w:rsidR="007E3A28" w:rsidRPr="008E3A70" w:rsidRDefault="007E3A28" w:rsidP="007E3A28">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See the Civil Service Commission decision of April 15, 2020: </w:t>
      </w:r>
      <w:hyperlink r:id="rId2743" w:history="1">
        <w:r w:rsidRPr="007C6FB3">
          <w:rPr>
            <w:rStyle w:val="Hyperlink"/>
            <w:rFonts w:ascii="Times New Roman" w:eastAsia="Times New Roman" w:hAnsi="Times New Roman"/>
            <w:sz w:val="24"/>
            <w:szCs w:val="24"/>
          </w:rPr>
          <w:t>https://www.nj.gov/csc/about/meetings/decisions/pdf/2020/4-15-20/A-004%204-15-20.pdf</w:t>
        </w:r>
      </w:hyperlink>
      <w:r>
        <w:rPr>
          <w:rFonts w:ascii="Times New Roman" w:eastAsia="Times New Roman" w:hAnsi="Times New Roman"/>
          <w:sz w:val="24"/>
          <w:szCs w:val="24"/>
        </w:rPr>
        <w:t xml:space="preserve"> </w:t>
      </w:r>
    </w:p>
    <w:p w14:paraId="4EDC1BC4" w14:textId="77777777" w:rsidR="007E3A28" w:rsidRPr="007E3A28" w:rsidRDefault="007E3A28" w:rsidP="007E3A28">
      <w:pPr>
        <w:pStyle w:val="NoSpacing"/>
        <w:ind w:left="720"/>
        <w:rPr>
          <w:rFonts w:ascii="Times New Roman" w:hAnsi="Times New Roman"/>
          <w:sz w:val="24"/>
          <w:szCs w:val="24"/>
        </w:rPr>
      </w:pPr>
    </w:p>
    <w:p w14:paraId="7B6906CC" w14:textId="77777777" w:rsidR="00506EE7" w:rsidRPr="007E3A28" w:rsidRDefault="00506EE7" w:rsidP="00F326E5">
      <w:pPr>
        <w:pStyle w:val="NoSpacing"/>
        <w:rPr>
          <w:rFonts w:ascii="Times New Roman" w:hAnsi="Times New Roman"/>
          <w:sz w:val="24"/>
          <w:szCs w:val="24"/>
        </w:rPr>
      </w:pPr>
    </w:p>
    <w:p w14:paraId="445E2BD0" w14:textId="47D61824" w:rsidR="00774A91" w:rsidRDefault="00774A91" w:rsidP="00F326E5">
      <w:pPr>
        <w:pStyle w:val="NoSpacing"/>
        <w:rPr>
          <w:rFonts w:ascii="Arial Black" w:hAnsi="Arial Black"/>
          <w:sz w:val="24"/>
          <w:szCs w:val="24"/>
        </w:rPr>
      </w:pPr>
      <w:r>
        <w:rPr>
          <w:rFonts w:ascii="Arial Black" w:hAnsi="Arial Black"/>
          <w:sz w:val="24"/>
          <w:szCs w:val="24"/>
        </w:rPr>
        <w:t>16-58</w:t>
      </w:r>
    </w:p>
    <w:p w14:paraId="22D16585" w14:textId="77777777" w:rsidR="00774A91" w:rsidRPr="004C3428" w:rsidRDefault="00774A91" w:rsidP="00774A91">
      <w:pPr>
        <w:spacing w:before="100" w:beforeAutospacing="1" w:after="100" w:afterAutospacing="1" w:line="240" w:lineRule="auto"/>
        <w:rPr>
          <w:rFonts w:ascii="Arial Black" w:eastAsia="Times New Roman" w:hAnsi="Arial Black"/>
          <w:b/>
          <w:bCs/>
          <w:sz w:val="28"/>
          <w:szCs w:val="28"/>
        </w:rPr>
      </w:pPr>
      <w:r w:rsidRPr="004C3428">
        <w:rPr>
          <w:rFonts w:ascii="Arial Black" w:eastAsia="Times New Roman" w:hAnsi="Arial Black"/>
          <w:b/>
          <w:bCs/>
          <w:sz w:val="28"/>
          <w:szCs w:val="28"/>
        </w:rPr>
        <w:t xml:space="preserve">OH: </w:t>
      </w:r>
      <w:r>
        <w:rPr>
          <w:rFonts w:ascii="Arial Black" w:eastAsia="Times New Roman" w:hAnsi="Arial Black"/>
          <w:b/>
          <w:bCs/>
          <w:sz w:val="28"/>
          <w:szCs w:val="28"/>
        </w:rPr>
        <w:t>NEW HAZING LAW – AIMED AT COLLEGE FRATERITIES –BUT ALSO MESSAGE FOR ALL ABOUT RISKS OF HAZING</w:t>
      </w:r>
    </w:p>
    <w:p w14:paraId="56306A52" w14:textId="77777777" w:rsidR="00774A91" w:rsidRDefault="00774A91" w:rsidP="00774A91">
      <w:pPr>
        <w:pStyle w:val="dropcap"/>
      </w:pPr>
      <w:r w:rsidRPr="004C3428">
        <w:t xml:space="preserve">On Oct. 7, 2021, the new “Collin’s Law” came into effect; named after Collin Wiant who died after a hazing incident at Ohio University in 2018. </w:t>
      </w:r>
      <w:r>
        <w:t xml:space="preserve">  On July 6, 2021, Governor Mike DeWine signed into law “The Ohio Anti-Hazing Act’ which is a criminal statute that amends Ohio Revised Code 2903.31. </w:t>
      </w:r>
      <w:hyperlink r:id="rId2744" w:history="1">
        <w:r w:rsidRPr="00386EA0">
          <w:rPr>
            <w:rStyle w:val="Hyperlink"/>
          </w:rPr>
          <w:t>https://codes.ohio.gov/ohio-revised-code/section-2903.31</w:t>
        </w:r>
      </w:hyperlink>
      <w:r>
        <w:t xml:space="preserve"> </w:t>
      </w:r>
    </w:p>
    <w:p w14:paraId="1A6B9ED0" w14:textId="77777777" w:rsidR="00774A91" w:rsidRDefault="00774A91" w:rsidP="00774A91">
      <w:pPr>
        <w:spacing w:before="100" w:beforeAutospacing="1" w:after="100" w:afterAutospacing="1" w:line="240" w:lineRule="auto"/>
        <w:ind w:left="720"/>
        <w:rPr>
          <w:rFonts w:ascii="Times New Roman" w:hAnsi="Times New Roman"/>
          <w:sz w:val="24"/>
          <w:szCs w:val="24"/>
        </w:rPr>
      </w:pPr>
      <w:r w:rsidRPr="008C25CB">
        <w:rPr>
          <w:rFonts w:ascii="Times New Roman" w:hAnsi="Times New Roman"/>
          <w:sz w:val="24"/>
          <w:szCs w:val="24"/>
        </w:rPr>
        <w:t>See article: “Fraternity members waited to call 911 as Collin Wiant was dying.” May 17, 2021. “Collin Wiant took the small canister filled with nitrous oxide, inhaled, and within</w:t>
      </w:r>
      <w:r>
        <w:rPr>
          <w:rFonts w:ascii="Times New Roman" w:hAnsi="Times New Roman"/>
          <w:sz w:val="24"/>
          <w:szCs w:val="24"/>
        </w:rPr>
        <w:t xml:space="preserve"> </w:t>
      </w:r>
      <w:r w:rsidRPr="008C25CB">
        <w:rPr>
          <w:rFonts w:ascii="Times New Roman" w:hAnsi="Times New Roman"/>
          <w:sz w:val="24"/>
          <w:szCs w:val="24"/>
        </w:rPr>
        <w:t xml:space="preserve">seconds fell backward onto a futon. </w:t>
      </w:r>
      <w:r w:rsidRPr="004C3428">
        <w:rPr>
          <w:rFonts w:ascii="Times New Roman" w:eastAsia="Times New Roman" w:hAnsi="Times New Roman"/>
          <w:sz w:val="24"/>
          <w:szCs w:val="24"/>
        </w:rPr>
        <w:t xml:space="preserve">His face drained of </w:t>
      </w:r>
      <w:proofErr w:type="gramStart"/>
      <w:r w:rsidRPr="004C3428">
        <w:rPr>
          <w:rFonts w:ascii="Times New Roman" w:eastAsia="Times New Roman" w:hAnsi="Times New Roman"/>
          <w:sz w:val="24"/>
          <w:szCs w:val="24"/>
        </w:rPr>
        <w:t>color</w:t>
      </w:r>
      <w:proofErr w:type="gramEnd"/>
      <w:r w:rsidRPr="004C3428">
        <w:rPr>
          <w:rFonts w:ascii="Times New Roman" w:eastAsia="Times New Roman" w:hAnsi="Times New Roman"/>
          <w:sz w:val="24"/>
          <w:szCs w:val="24"/>
        </w:rPr>
        <w:t xml:space="preserve"> and he began to make noises that alarmed the three Sigma Pi fraternity brothers nearb</w:t>
      </w:r>
      <w:r w:rsidRPr="008C25CB">
        <w:rPr>
          <w:rFonts w:ascii="Times New Roman" w:hAnsi="Times New Roman"/>
          <w:sz w:val="24"/>
          <w:szCs w:val="24"/>
        </w:rPr>
        <w:t>y. *** Joshua, who bought the “</w:t>
      </w:r>
      <w:proofErr w:type="spellStart"/>
      <w:r w:rsidRPr="008C25CB">
        <w:rPr>
          <w:rFonts w:ascii="Times New Roman" w:hAnsi="Times New Roman"/>
          <w:sz w:val="24"/>
          <w:szCs w:val="24"/>
        </w:rPr>
        <w:t>whippit</w:t>
      </w:r>
      <w:proofErr w:type="spellEnd"/>
      <w:r w:rsidRPr="008C25CB">
        <w:rPr>
          <w:rFonts w:ascii="Times New Roman" w:hAnsi="Times New Roman"/>
          <w:sz w:val="24"/>
          <w:szCs w:val="24"/>
        </w:rPr>
        <w:t xml:space="preserve">” canister from which Collin had inhaled the gas, pressed down on Collin’s chest </w:t>
      </w:r>
      <w:proofErr w:type="gramStart"/>
      <w:r w:rsidRPr="008C25CB">
        <w:rPr>
          <w:rFonts w:ascii="Times New Roman" w:hAnsi="Times New Roman"/>
          <w:sz w:val="24"/>
          <w:szCs w:val="24"/>
        </w:rPr>
        <w:t>over and over</w:t>
      </w:r>
      <w:proofErr w:type="gramEnd"/>
      <w:r w:rsidRPr="008C25CB">
        <w:rPr>
          <w:rFonts w:ascii="Times New Roman" w:hAnsi="Times New Roman"/>
          <w:sz w:val="24"/>
          <w:szCs w:val="24"/>
        </w:rPr>
        <w:t xml:space="preserve">. He was breathing into Collin’s mouth every 20 seconds. </w:t>
      </w:r>
      <w:r w:rsidRPr="004C3428">
        <w:rPr>
          <w:rFonts w:ascii="Times New Roman" w:eastAsia="Times New Roman" w:hAnsi="Times New Roman"/>
          <w:sz w:val="24"/>
          <w:szCs w:val="24"/>
        </w:rPr>
        <w:t>Paramedics arrived within minutes at the unofficial, off-campus home of the Sigma Pi fraternity.</w:t>
      </w:r>
      <w:r w:rsidRPr="008C25CB">
        <w:rPr>
          <w:rFonts w:ascii="Times New Roman" w:hAnsi="Times New Roman"/>
          <w:sz w:val="24"/>
          <w:szCs w:val="24"/>
        </w:rPr>
        <w:t xml:space="preserve"> </w:t>
      </w:r>
      <w:r w:rsidRPr="004C3428">
        <w:rPr>
          <w:rFonts w:ascii="Times New Roman" w:eastAsia="Times New Roman" w:hAnsi="Times New Roman"/>
          <w:sz w:val="24"/>
          <w:szCs w:val="24"/>
        </w:rPr>
        <w:t>But it was too late to save him.</w:t>
      </w:r>
      <w:r w:rsidRPr="008C25CB">
        <w:rPr>
          <w:rFonts w:ascii="Times New Roman" w:hAnsi="Times New Roman"/>
          <w:sz w:val="24"/>
          <w:szCs w:val="24"/>
        </w:rPr>
        <w:t xml:space="preserve"> </w:t>
      </w:r>
      <w:r w:rsidRPr="004C3428">
        <w:rPr>
          <w:rFonts w:ascii="Times New Roman" w:eastAsia="Times New Roman" w:hAnsi="Times New Roman"/>
          <w:sz w:val="24"/>
          <w:szCs w:val="24"/>
        </w:rPr>
        <w:t>Collin died at an Athens hospital shortly after 3 a.m. on Nov. 12, 2018.</w:t>
      </w:r>
      <w:r w:rsidRPr="008C25CB">
        <w:rPr>
          <w:rFonts w:ascii="Times New Roman" w:hAnsi="Times New Roman"/>
          <w:sz w:val="24"/>
          <w:szCs w:val="24"/>
        </w:rPr>
        <w:t xml:space="preserve">   </w:t>
      </w:r>
      <w:hyperlink r:id="rId2745" w:history="1">
        <w:r w:rsidRPr="008C25CB">
          <w:rPr>
            <w:rStyle w:val="Hyperlink"/>
            <w:sz w:val="24"/>
            <w:szCs w:val="24"/>
          </w:rPr>
          <w:t>https://www.dispatch.com/in-depth/news/2021/05/17/broken-pledge-fraternity-hazing-collin-wiant-death-ohio-university/5071265001/</w:t>
        </w:r>
      </w:hyperlink>
    </w:p>
    <w:p w14:paraId="2DB84EEE" w14:textId="77777777" w:rsidR="00774A91" w:rsidRDefault="00774A91" w:rsidP="00774A91">
      <w:pPr>
        <w:pStyle w:val="NormalWeb"/>
        <w:rPr>
          <w:b/>
          <w:bCs/>
        </w:rPr>
      </w:pPr>
      <w:r>
        <w:rPr>
          <w:b/>
          <w:bCs/>
        </w:rPr>
        <w:t xml:space="preserve">Legal Lesson Learned: Fire &amp; EMS departments should conduct training on their state laws on hazing. </w:t>
      </w:r>
    </w:p>
    <w:p w14:paraId="12B8D13D" w14:textId="77777777" w:rsidR="00774A91" w:rsidRDefault="00774A91" w:rsidP="00774A91">
      <w:pPr>
        <w:spacing w:before="100" w:beforeAutospacing="1" w:after="100" w:afterAutospacing="1" w:line="240" w:lineRule="auto"/>
        <w:ind w:left="720"/>
        <w:rPr>
          <w:b/>
          <w:bCs/>
        </w:rPr>
      </w:pPr>
      <w:r>
        <w:rPr>
          <w:rFonts w:ascii="Times New Roman" w:eastAsia="Times New Roman" w:hAnsi="Times New Roman"/>
          <w:sz w:val="24"/>
          <w:szCs w:val="24"/>
        </w:rPr>
        <w:t>Note:  “</w:t>
      </w:r>
      <w:r w:rsidRPr="00853D1E">
        <w:rPr>
          <w:rFonts w:ascii="Times New Roman" w:eastAsia="Times New Roman" w:hAnsi="Times New Roman"/>
          <w:sz w:val="24"/>
          <w:szCs w:val="24"/>
        </w:rPr>
        <w:t xml:space="preserve">Under the new 2903.31, </w:t>
      </w:r>
      <w:r>
        <w:rPr>
          <w:rFonts w:ascii="Times New Roman" w:eastAsia="Times New Roman" w:hAnsi="Times New Roman"/>
          <w:sz w:val="24"/>
          <w:szCs w:val="24"/>
        </w:rPr>
        <w:t>‘</w:t>
      </w:r>
      <w:r w:rsidRPr="00853D1E">
        <w:rPr>
          <w:rFonts w:ascii="Times New Roman" w:eastAsia="Times New Roman" w:hAnsi="Times New Roman"/>
          <w:sz w:val="24"/>
          <w:szCs w:val="24"/>
        </w:rPr>
        <w:t>hazing</w:t>
      </w:r>
      <w:r>
        <w:rPr>
          <w:rFonts w:ascii="Times New Roman" w:eastAsia="Times New Roman" w:hAnsi="Times New Roman"/>
          <w:sz w:val="24"/>
          <w:szCs w:val="24"/>
        </w:rPr>
        <w:t>’</w:t>
      </w:r>
      <w:r w:rsidRPr="00853D1E">
        <w:rPr>
          <w:rFonts w:ascii="Times New Roman" w:eastAsia="Times New Roman" w:hAnsi="Times New Roman"/>
          <w:sz w:val="24"/>
          <w:szCs w:val="24"/>
        </w:rPr>
        <w:t xml:space="preserve"> adds the language in bold:</w:t>
      </w:r>
      <w:r>
        <w:rPr>
          <w:rFonts w:ascii="Times New Roman" w:eastAsia="Times New Roman" w:hAnsi="Times New Roman"/>
          <w:sz w:val="24"/>
          <w:szCs w:val="24"/>
        </w:rPr>
        <w:t xml:space="preserve"> </w:t>
      </w:r>
      <w:r w:rsidRPr="00853D1E">
        <w:rPr>
          <w:rFonts w:ascii="Times New Roman" w:eastAsia="Times New Roman" w:hAnsi="Times New Roman"/>
          <w:sz w:val="24"/>
          <w:szCs w:val="24"/>
        </w:rPr>
        <w:t xml:space="preserve">(1) </w:t>
      </w:r>
      <w:r>
        <w:rPr>
          <w:rFonts w:ascii="Times New Roman" w:eastAsia="Times New Roman" w:hAnsi="Times New Roman"/>
          <w:sz w:val="24"/>
          <w:szCs w:val="24"/>
        </w:rPr>
        <w:t>‘</w:t>
      </w:r>
      <w:r w:rsidRPr="00853D1E">
        <w:rPr>
          <w:rFonts w:ascii="Times New Roman" w:eastAsia="Times New Roman" w:hAnsi="Times New Roman"/>
          <w:sz w:val="24"/>
          <w:szCs w:val="24"/>
        </w:rPr>
        <w:t>Hazing</w:t>
      </w:r>
      <w:r>
        <w:rPr>
          <w:rFonts w:ascii="Times New Roman" w:eastAsia="Times New Roman" w:hAnsi="Times New Roman"/>
          <w:sz w:val="24"/>
          <w:szCs w:val="24"/>
        </w:rPr>
        <w:t>’</w:t>
      </w:r>
      <w:r w:rsidRPr="00853D1E">
        <w:rPr>
          <w:rFonts w:ascii="Times New Roman" w:eastAsia="Times New Roman" w:hAnsi="Times New Roman"/>
          <w:sz w:val="24"/>
          <w:szCs w:val="24"/>
        </w:rPr>
        <w:t xml:space="preserve"> means doing any act or coercing another, including the victim, to do any act of initiation into any student or other organization </w:t>
      </w:r>
      <w:r w:rsidRPr="00853D1E">
        <w:rPr>
          <w:rFonts w:ascii="Times New Roman" w:eastAsia="Times New Roman" w:hAnsi="Times New Roman"/>
          <w:b/>
          <w:bCs/>
          <w:sz w:val="24"/>
          <w:szCs w:val="24"/>
        </w:rPr>
        <w:t>or any act to continue or reinstate membership in or affiliation with any student or other organization</w:t>
      </w:r>
      <w:r w:rsidRPr="00853D1E">
        <w:rPr>
          <w:rFonts w:ascii="Times New Roman" w:eastAsia="Times New Roman" w:hAnsi="Times New Roman"/>
          <w:sz w:val="24"/>
          <w:szCs w:val="24"/>
        </w:rPr>
        <w:t xml:space="preserve"> that causes or creates a substantial risk of causing mental or physical harm to any person, </w:t>
      </w:r>
      <w:r w:rsidRPr="00853D1E">
        <w:rPr>
          <w:rFonts w:ascii="Times New Roman" w:eastAsia="Times New Roman" w:hAnsi="Times New Roman"/>
          <w:b/>
          <w:bCs/>
          <w:sz w:val="24"/>
          <w:szCs w:val="24"/>
        </w:rPr>
        <w:t>including coercing another to consume alcohol or a drug of abuse, as defined in section 3719.011 of the Revised Code.</w:t>
      </w:r>
      <w:r>
        <w:rPr>
          <w:rFonts w:ascii="Times New Roman" w:eastAsia="Times New Roman" w:hAnsi="Times New Roman"/>
          <w:b/>
          <w:bCs/>
          <w:sz w:val="24"/>
          <w:szCs w:val="24"/>
        </w:rPr>
        <w:t xml:space="preserve">” </w:t>
      </w:r>
      <w:hyperlink r:id="rId2746" w:history="1">
        <w:r w:rsidRPr="00386EA0">
          <w:rPr>
            <w:rStyle w:val="Hyperlink"/>
            <w:sz w:val="24"/>
            <w:szCs w:val="24"/>
          </w:rPr>
          <w:t>https://www.rittgers.com/blog/2021/07/what-does-ohios-new-anti-hazing-law-mean/</w:t>
        </w:r>
      </w:hyperlink>
    </w:p>
    <w:p w14:paraId="1B3E152C" w14:textId="77777777" w:rsidR="00774A91" w:rsidRDefault="00774A91" w:rsidP="00F326E5">
      <w:pPr>
        <w:pStyle w:val="NoSpacing"/>
        <w:rPr>
          <w:rFonts w:ascii="Arial Black" w:hAnsi="Arial Black"/>
          <w:sz w:val="24"/>
          <w:szCs w:val="24"/>
        </w:rPr>
      </w:pPr>
    </w:p>
    <w:p w14:paraId="4B22399E" w14:textId="77777777" w:rsidR="00774A91" w:rsidRDefault="00774A91" w:rsidP="00F326E5">
      <w:pPr>
        <w:pStyle w:val="NoSpacing"/>
        <w:rPr>
          <w:rFonts w:ascii="Arial Black" w:hAnsi="Arial Black"/>
          <w:sz w:val="24"/>
          <w:szCs w:val="24"/>
        </w:rPr>
      </w:pPr>
    </w:p>
    <w:p w14:paraId="23E06B06" w14:textId="6BC3A1C7" w:rsidR="00BD1702" w:rsidRDefault="00BD1702" w:rsidP="00F326E5">
      <w:pPr>
        <w:pStyle w:val="NoSpacing"/>
        <w:rPr>
          <w:rFonts w:ascii="Arial Black" w:hAnsi="Arial Black"/>
          <w:sz w:val="24"/>
          <w:szCs w:val="24"/>
        </w:rPr>
      </w:pPr>
      <w:r>
        <w:rPr>
          <w:rFonts w:ascii="Arial Black" w:hAnsi="Arial Black"/>
          <w:sz w:val="24"/>
          <w:szCs w:val="24"/>
        </w:rPr>
        <w:t>16-57</w:t>
      </w:r>
    </w:p>
    <w:p w14:paraId="30FBF292" w14:textId="77777777" w:rsidR="00BD1702" w:rsidRDefault="00BD1702" w:rsidP="00BD1702">
      <w:pPr>
        <w:spacing w:before="100" w:beforeAutospacing="1" w:after="100" w:afterAutospacing="1" w:line="240" w:lineRule="auto"/>
        <w:ind w:left="90"/>
        <w:jc w:val="both"/>
        <w:rPr>
          <w:rFonts w:ascii="Arial Black" w:hAnsi="Arial Black"/>
          <w:sz w:val="28"/>
          <w:szCs w:val="28"/>
        </w:rPr>
      </w:pPr>
      <w:r>
        <w:rPr>
          <w:rFonts w:ascii="Arial Black" w:hAnsi="Arial Black"/>
          <w:sz w:val="28"/>
          <w:szCs w:val="28"/>
        </w:rPr>
        <w:t>VA: FF FIRED AFTER ARREST D.C. – RALLY AGAINST TRUMP – FIRE CHIEF DIDN’T HOLD PRE-TERMINATION HEARING</w:t>
      </w:r>
    </w:p>
    <w:p w14:paraId="4C95A45A" w14:textId="77777777" w:rsidR="00BD1702" w:rsidRDefault="00BD1702" w:rsidP="00BD1702">
      <w:pPr>
        <w:spacing w:before="100" w:beforeAutospacing="1" w:after="100" w:afterAutospacing="1" w:line="240" w:lineRule="auto"/>
        <w:ind w:left="90" w:hanging="90"/>
        <w:rPr>
          <w:rFonts w:ascii="Times New Roman" w:hAnsi="Times New Roman"/>
          <w:sz w:val="24"/>
          <w:szCs w:val="24"/>
        </w:rPr>
      </w:pPr>
      <w:r>
        <w:rPr>
          <w:rFonts w:ascii="Times New Roman" w:hAnsi="Times New Roman"/>
          <w:sz w:val="24"/>
          <w:szCs w:val="24"/>
        </w:rPr>
        <w:t xml:space="preserve">On Sept. 30, 2021, in </w:t>
      </w:r>
      <w:r>
        <w:rPr>
          <w:rFonts w:ascii="Times New Roman" w:hAnsi="Times New Roman"/>
          <w:sz w:val="24"/>
          <w:szCs w:val="24"/>
          <w:u w:val="single"/>
        </w:rPr>
        <w:t xml:space="preserve">Rosa </w:t>
      </w:r>
      <w:proofErr w:type="spellStart"/>
      <w:r>
        <w:rPr>
          <w:rFonts w:ascii="Times New Roman" w:hAnsi="Times New Roman"/>
          <w:sz w:val="24"/>
          <w:szCs w:val="24"/>
          <w:u w:val="single"/>
        </w:rPr>
        <w:t>Roncales</w:t>
      </w:r>
      <w:proofErr w:type="spellEnd"/>
      <w:r>
        <w:rPr>
          <w:rFonts w:ascii="Times New Roman" w:hAnsi="Times New Roman"/>
          <w:sz w:val="24"/>
          <w:szCs w:val="24"/>
          <w:u w:val="single"/>
        </w:rPr>
        <w:t xml:space="preserve"> v. Anthony McDowell, et al</w:t>
      </w:r>
      <w:r>
        <w:rPr>
          <w:rFonts w:ascii="Times New Roman" w:hAnsi="Times New Roman"/>
          <w:sz w:val="24"/>
          <w:szCs w:val="24"/>
        </w:rPr>
        <w:t xml:space="preserve">., United States District Court Judge </w:t>
      </w:r>
      <w:proofErr w:type="spellStart"/>
      <w:r>
        <w:rPr>
          <w:rFonts w:ascii="Times New Roman" w:hAnsi="Times New Roman"/>
          <w:sz w:val="24"/>
          <w:szCs w:val="24"/>
        </w:rPr>
        <w:t>Harnah</w:t>
      </w:r>
      <w:proofErr w:type="spellEnd"/>
      <w:r>
        <w:rPr>
          <w:rFonts w:ascii="Times New Roman" w:hAnsi="Times New Roman"/>
          <w:sz w:val="24"/>
          <w:szCs w:val="24"/>
        </w:rPr>
        <w:t xml:space="preserve"> Lauck, Eastern District of Virginia, denied the Fire Chief’s motion for summary judgment; while he met with her on day of her termination, he didn’t offer her a pre-termination hearing.  After her arrest, she was interviewed by County of Henrico Division of Fire officers on three occasions, who after talking with a D.C. Police detective, asked her whether she had a gas mask in her </w:t>
      </w:r>
      <w:proofErr w:type="gramStart"/>
      <w:r>
        <w:rPr>
          <w:rFonts w:ascii="Times New Roman" w:hAnsi="Times New Roman"/>
          <w:sz w:val="24"/>
          <w:szCs w:val="24"/>
        </w:rPr>
        <w:t>back pack</w:t>
      </w:r>
      <w:proofErr w:type="gramEnd"/>
      <w:r>
        <w:rPr>
          <w:rFonts w:ascii="Times New Roman" w:hAnsi="Times New Roman"/>
          <w:sz w:val="24"/>
          <w:szCs w:val="24"/>
        </w:rPr>
        <w:t xml:space="preserve">, and whether she covered up the </w:t>
      </w:r>
      <w:proofErr w:type="gramStart"/>
      <w:r>
        <w:rPr>
          <w:rFonts w:ascii="Times New Roman" w:hAnsi="Times New Roman"/>
          <w:sz w:val="24"/>
          <w:szCs w:val="24"/>
        </w:rPr>
        <w:t>back pack</w:t>
      </w:r>
      <w:proofErr w:type="gramEnd"/>
      <w:r>
        <w:rPr>
          <w:rFonts w:ascii="Times New Roman" w:hAnsi="Times New Roman"/>
          <w:sz w:val="24"/>
          <w:szCs w:val="24"/>
        </w:rPr>
        <w:t xml:space="preserve"> labels with black tape to avoid identification.  </w:t>
      </w:r>
    </w:p>
    <w:p w14:paraId="23CEFE51" w14:textId="77777777" w:rsidR="00BD1702" w:rsidRDefault="00BD1702" w:rsidP="00BD1702">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“The parties do not contest that Fire Chief McDowell failed to provide </w:t>
      </w:r>
      <w:proofErr w:type="spellStart"/>
      <w:r>
        <w:rPr>
          <w:rFonts w:ascii="Times New Roman" w:hAnsi="Times New Roman"/>
          <w:sz w:val="24"/>
          <w:szCs w:val="24"/>
        </w:rPr>
        <w:t>Roncales</w:t>
      </w:r>
      <w:proofErr w:type="spellEnd"/>
      <w:r>
        <w:rPr>
          <w:rFonts w:ascii="Times New Roman" w:hAnsi="Times New Roman"/>
          <w:sz w:val="24"/>
          <w:szCs w:val="24"/>
        </w:rPr>
        <w:t xml:space="preserve"> with a pre-termination hearing. And because </w:t>
      </w:r>
      <w:proofErr w:type="spellStart"/>
      <w:r>
        <w:rPr>
          <w:rFonts w:ascii="Times New Roman" w:hAnsi="Times New Roman"/>
          <w:sz w:val="24"/>
          <w:szCs w:val="24"/>
        </w:rPr>
        <w:t>Roncales</w:t>
      </w:r>
      <w:proofErr w:type="spellEnd"/>
      <w:r>
        <w:rPr>
          <w:rFonts w:ascii="Times New Roman" w:hAnsi="Times New Roman"/>
          <w:sz w:val="24"/>
          <w:szCs w:val="24"/>
        </w:rPr>
        <w:t xml:space="preserve"> presents evidence sufficient for a jury to reasonably find that Fire Chief McDowell's statements [in termination letter and memo to County Manager about her lack of honesty] deprived her of a liberty interest, any such deprivation therefore occurred ‘without due process of law….’ Because </w:t>
      </w:r>
      <w:proofErr w:type="spellStart"/>
      <w:r>
        <w:rPr>
          <w:rFonts w:ascii="Times New Roman" w:hAnsi="Times New Roman"/>
          <w:sz w:val="24"/>
          <w:szCs w:val="24"/>
        </w:rPr>
        <w:t>Roncales's</w:t>
      </w:r>
      <w:proofErr w:type="spellEnd"/>
      <w:r>
        <w:rPr>
          <w:rFonts w:ascii="Times New Roman" w:hAnsi="Times New Roman"/>
          <w:sz w:val="24"/>
          <w:szCs w:val="24"/>
        </w:rPr>
        <w:t xml:space="preserve"> right to a pre-termination hearing was clearly established at the time of his actions, Fire Chief McDowell is not entitled to qualified immunity on </w:t>
      </w:r>
      <w:proofErr w:type="spellStart"/>
      <w:r>
        <w:rPr>
          <w:rFonts w:ascii="Times New Roman" w:hAnsi="Times New Roman"/>
          <w:sz w:val="24"/>
          <w:szCs w:val="24"/>
        </w:rPr>
        <w:t>Roncales's</w:t>
      </w:r>
      <w:proofErr w:type="spellEnd"/>
      <w:r>
        <w:rPr>
          <w:rFonts w:ascii="Times New Roman" w:hAnsi="Times New Roman"/>
          <w:sz w:val="24"/>
          <w:szCs w:val="24"/>
        </w:rPr>
        <w:t xml:space="preserve"> due process claim.” </w:t>
      </w:r>
      <w:hyperlink r:id="rId2747" w:history="1">
        <w:r>
          <w:rPr>
            <w:rStyle w:val="Hyperlink"/>
            <w:sz w:val="24"/>
            <w:szCs w:val="24"/>
          </w:rPr>
          <w:t>https://www.leagle.com/decision/infdco20211006817</w:t>
        </w:r>
      </w:hyperlink>
      <w:r>
        <w:rPr>
          <w:rFonts w:ascii="Times New Roman" w:hAnsi="Times New Roman"/>
          <w:sz w:val="24"/>
          <w:szCs w:val="24"/>
        </w:rPr>
        <w:t xml:space="preserve">  </w:t>
      </w:r>
    </w:p>
    <w:p w14:paraId="53BAB123" w14:textId="77777777" w:rsidR="00BD1702" w:rsidRDefault="00BD1702" w:rsidP="00BD1702">
      <w:pPr>
        <w:spacing w:before="100" w:beforeAutospacing="1" w:after="100" w:afterAutospacing="1" w:line="240" w:lineRule="auto"/>
        <w:jc w:val="both"/>
        <w:rPr>
          <w:rFonts w:ascii="Times New Roman" w:hAnsi="Times New Roman"/>
          <w:b/>
          <w:bCs/>
          <w:sz w:val="24"/>
          <w:szCs w:val="24"/>
        </w:rPr>
      </w:pPr>
      <w:r>
        <w:rPr>
          <w:rFonts w:ascii="Times New Roman" w:hAnsi="Times New Roman"/>
          <w:b/>
          <w:bCs/>
          <w:sz w:val="24"/>
          <w:szCs w:val="24"/>
        </w:rPr>
        <w:t xml:space="preserve">Legal Lesson Learned:  Provide a pre-termination hearing, record the session so there is recorded evidence of any admissions. </w:t>
      </w:r>
    </w:p>
    <w:p w14:paraId="24C00E08" w14:textId="3C2A6867" w:rsidR="00BD1702" w:rsidRDefault="00BD1702" w:rsidP="00BD1702">
      <w:pPr>
        <w:pStyle w:val="NoSpacing"/>
        <w:rPr>
          <w:rFonts w:ascii="Arial Black" w:hAnsi="Arial Black"/>
          <w:sz w:val="24"/>
          <w:szCs w:val="24"/>
        </w:rPr>
      </w:pPr>
      <w:r>
        <w:rPr>
          <w:rFonts w:ascii="Times New Roman" w:eastAsia="Times New Roman" w:hAnsi="Times New Roman"/>
          <w:sz w:val="24"/>
          <w:szCs w:val="24"/>
        </w:rPr>
        <w:t>Note:  See TV video on two fires that occurred on Jan. 26, 2020. “</w:t>
      </w:r>
      <w:r>
        <w:rPr>
          <w:rFonts w:ascii="Times New Roman" w:hAnsi="Times New Roman"/>
          <w:sz w:val="24"/>
          <w:szCs w:val="24"/>
        </w:rPr>
        <w:t xml:space="preserve">59-year-old woman loses life after house goes up in flames on Cleveland’s West Side, 3 adults and 4 children safely out.” </w:t>
      </w:r>
      <w:hyperlink r:id="rId2748" w:history="1">
        <w:r>
          <w:rPr>
            <w:rStyle w:val="Hyperlink"/>
            <w:sz w:val="24"/>
            <w:szCs w:val="24"/>
          </w:rPr>
          <w:t>https://www.cleveland19.com/2020/01/26/year-old-woman-loses-life-after-house-goes-up-flames-clevelands-west-side-adults-children-safely-out/</w:t>
        </w:r>
      </w:hyperlink>
    </w:p>
    <w:p w14:paraId="3B58B0AB" w14:textId="77777777" w:rsidR="00BD1702" w:rsidRDefault="00BD1702" w:rsidP="00F326E5">
      <w:pPr>
        <w:pStyle w:val="NoSpacing"/>
        <w:rPr>
          <w:rFonts w:ascii="Arial Black" w:hAnsi="Arial Black"/>
          <w:sz w:val="24"/>
          <w:szCs w:val="24"/>
        </w:rPr>
      </w:pPr>
    </w:p>
    <w:p w14:paraId="117FEADC" w14:textId="77777777" w:rsidR="00BD1702" w:rsidRDefault="00BD1702" w:rsidP="00F326E5">
      <w:pPr>
        <w:pStyle w:val="NoSpacing"/>
        <w:rPr>
          <w:rFonts w:ascii="Arial Black" w:hAnsi="Arial Black"/>
          <w:sz w:val="24"/>
          <w:szCs w:val="24"/>
        </w:rPr>
      </w:pPr>
    </w:p>
    <w:p w14:paraId="6D05210E" w14:textId="547E6F47" w:rsidR="002F610D" w:rsidRDefault="002F610D" w:rsidP="00F326E5">
      <w:pPr>
        <w:pStyle w:val="NoSpacing"/>
        <w:rPr>
          <w:rFonts w:ascii="Arial Black" w:hAnsi="Arial Black"/>
          <w:sz w:val="24"/>
          <w:szCs w:val="24"/>
        </w:rPr>
      </w:pPr>
      <w:r>
        <w:rPr>
          <w:rFonts w:ascii="Arial Black" w:hAnsi="Arial Black"/>
          <w:sz w:val="24"/>
          <w:szCs w:val="24"/>
        </w:rPr>
        <w:t>16-56</w:t>
      </w:r>
    </w:p>
    <w:p w14:paraId="660FDC1A" w14:textId="77777777" w:rsidR="002F610D" w:rsidRPr="00C30127" w:rsidRDefault="002F610D" w:rsidP="002F610D">
      <w:pPr>
        <w:pStyle w:val="Heading1"/>
        <w:rPr>
          <w:rFonts w:ascii="Arial Black" w:hAnsi="Arial Black"/>
          <w:b w:val="0"/>
          <w:bCs w:val="0"/>
          <w:sz w:val="28"/>
          <w:szCs w:val="28"/>
        </w:rPr>
      </w:pPr>
      <w:bookmarkStart w:id="593" w:name="_Hlk81842686"/>
      <w:r w:rsidRPr="00C30127">
        <w:rPr>
          <w:rFonts w:ascii="Arial Black" w:hAnsi="Arial Black"/>
          <w:b w:val="0"/>
          <w:bCs w:val="0"/>
          <w:sz w:val="28"/>
          <w:szCs w:val="28"/>
        </w:rPr>
        <w:t xml:space="preserve">TX: </w:t>
      </w:r>
      <w:r>
        <w:rPr>
          <w:rFonts w:ascii="Arial Black" w:hAnsi="Arial Black"/>
          <w:b w:val="0"/>
          <w:bCs w:val="0"/>
          <w:sz w:val="28"/>
          <w:szCs w:val="28"/>
        </w:rPr>
        <w:t>FF LAWSUIT DISMISSED - FIRED FOR NOT DISCLOSING HE WAS FIRED 10-YEARS EARLIER ANOTHER FD - THEFT</w:t>
      </w:r>
    </w:p>
    <w:bookmarkEnd w:id="593"/>
    <w:p w14:paraId="097BCECE" w14:textId="77777777" w:rsidR="002F610D" w:rsidRDefault="002F610D" w:rsidP="002F610D">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lastRenderedPageBreak/>
        <w:t xml:space="preserve">On Aug. 26, 2021, in </w:t>
      </w:r>
      <w:r w:rsidRPr="00C30127">
        <w:rPr>
          <w:rFonts w:ascii="Times New Roman" w:eastAsia="Times New Roman" w:hAnsi="Times New Roman"/>
          <w:sz w:val="24"/>
          <w:szCs w:val="24"/>
          <w:u w:val="single"/>
        </w:rPr>
        <w:t>Brandon Lewis v. Fire Chief Larry DiCamillo, Stafford Fire Marshal’s Office and City of Stafford</w:t>
      </w:r>
      <w:r>
        <w:rPr>
          <w:rFonts w:ascii="Times New Roman" w:eastAsia="Times New Roman" w:hAnsi="Times New Roman"/>
          <w:sz w:val="24"/>
          <w:szCs w:val="24"/>
        </w:rPr>
        <w:t>, the Court of Appeals of Texas, First District, held (3 to 0) that trial court properly dismissed the lawsuit.</w:t>
      </w:r>
    </w:p>
    <w:p w14:paraId="6DB963E3" w14:textId="77777777" w:rsidR="002F610D" w:rsidRDefault="002F610D" w:rsidP="002F610D">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796AAC">
        <w:rPr>
          <w:rFonts w:ascii="Times New Roman" w:hAnsi="Times New Roman"/>
          <w:sz w:val="24"/>
          <w:szCs w:val="24"/>
        </w:rPr>
        <w:t xml:space="preserve">On September 4, 2018, Lewis was terminated from his position as an Inspector/Investigator with the Stafford Fire Department. About two weeks before, on August 22nd, Chief Di Camillo received information from Peter E. Alvarado, the Emergency Management Coordinator for the Stafford Fire Marshal's Office, about Lewis's prior employment with the Missouri City Fire Department. Alvarado had been informed by the Missouri City Fire Marshal's Office ("MCFMO") that Lewis was not allowed to conduct business or aid in investigations in Missouri City because Lewis, previously an intern with the MCFMO, was fired from the Missouri City Fire Department after being accused of stealing a book. Alvarado reviewed Lewis's employment files and found that Lewis did not list his previous work for the Missouri City Fire Department on his applications, his personal history statement, or his resume. Alvarado provided this information to Chief </w:t>
      </w:r>
      <w:proofErr w:type="gramStart"/>
      <w:r w:rsidRPr="00796AAC">
        <w:rPr>
          <w:rFonts w:ascii="Times New Roman" w:hAnsi="Times New Roman"/>
          <w:sz w:val="24"/>
          <w:szCs w:val="24"/>
        </w:rPr>
        <w:t>Di</w:t>
      </w:r>
      <w:proofErr w:type="gramEnd"/>
      <w:r w:rsidRPr="00796AAC">
        <w:rPr>
          <w:rFonts w:ascii="Times New Roman" w:hAnsi="Times New Roman"/>
          <w:sz w:val="24"/>
          <w:szCs w:val="24"/>
        </w:rPr>
        <w:t xml:space="preserve"> Camillo in a signed, written memorandum (the </w:t>
      </w:r>
      <w:r>
        <w:rPr>
          <w:rFonts w:ascii="Times New Roman" w:hAnsi="Times New Roman"/>
          <w:sz w:val="24"/>
          <w:szCs w:val="24"/>
        </w:rPr>
        <w:t>‘</w:t>
      </w:r>
      <w:r w:rsidRPr="00796AAC">
        <w:rPr>
          <w:rFonts w:ascii="Times New Roman" w:hAnsi="Times New Roman"/>
          <w:sz w:val="24"/>
          <w:szCs w:val="24"/>
        </w:rPr>
        <w:t>August 22nd Memorandum</w:t>
      </w:r>
      <w:r>
        <w:rPr>
          <w:rFonts w:ascii="Times New Roman" w:hAnsi="Times New Roman"/>
          <w:sz w:val="24"/>
          <w:szCs w:val="24"/>
        </w:rPr>
        <w:t>’</w:t>
      </w:r>
      <w:r w:rsidRPr="00796AAC">
        <w:rPr>
          <w:rFonts w:ascii="Times New Roman" w:hAnsi="Times New Roman"/>
          <w:sz w:val="24"/>
          <w:szCs w:val="24"/>
        </w:rPr>
        <w:t>).</w:t>
      </w:r>
      <w:r>
        <w:rPr>
          <w:rFonts w:ascii="Times New Roman" w:hAnsi="Times New Roman"/>
          <w:sz w:val="24"/>
          <w:szCs w:val="24"/>
        </w:rPr>
        <w:t xml:space="preserve"> </w:t>
      </w:r>
    </w:p>
    <w:p w14:paraId="7C39FE5C" w14:textId="77777777" w:rsidR="002F610D" w:rsidRDefault="002F610D" w:rsidP="002F610D">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57E01C36" w14:textId="77777777" w:rsidR="002F610D" w:rsidRPr="00796AAC" w:rsidRDefault="002F610D" w:rsidP="002F610D">
      <w:pPr>
        <w:spacing w:before="100" w:beforeAutospacing="1" w:after="100" w:afterAutospacing="1" w:line="240" w:lineRule="auto"/>
        <w:ind w:left="720"/>
        <w:rPr>
          <w:rFonts w:ascii="Times New Roman" w:eastAsia="Times New Roman" w:hAnsi="Times New Roman"/>
          <w:sz w:val="24"/>
          <w:szCs w:val="24"/>
        </w:rPr>
      </w:pPr>
      <w:r w:rsidRPr="00796AAC">
        <w:rPr>
          <w:rFonts w:ascii="Times New Roman" w:hAnsi="Times New Roman"/>
          <w:sz w:val="24"/>
          <w:szCs w:val="24"/>
        </w:rPr>
        <w:t xml:space="preserve">The </w:t>
      </w:r>
      <w:r>
        <w:rPr>
          <w:rFonts w:ascii="Times New Roman" w:hAnsi="Times New Roman"/>
          <w:sz w:val="24"/>
          <w:szCs w:val="24"/>
        </w:rPr>
        <w:t>‘</w:t>
      </w:r>
      <w:r w:rsidRPr="00796AAC">
        <w:rPr>
          <w:rFonts w:ascii="Times New Roman" w:hAnsi="Times New Roman"/>
          <w:sz w:val="24"/>
          <w:szCs w:val="24"/>
        </w:rPr>
        <w:t xml:space="preserve">overarching statutory </w:t>
      </w:r>
      <w:proofErr w:type="gramStart"/>
      <w:r w:rsidRPr="00796AAC">
        <w:rPr>
          <w:rFonts w:ascii="Times New Roman" w:hAnsi="Times New Roman"/>
          <w:sz w:val="24"/>
          <w:szCs w:val="24"/>
        </w:rPr>
        <w:t>purposes</w:t>
      </w:r>
      <w:r>
        <w:rPr>
          <w:rFonts w:ascii="Times New Roman" w:hAnsi="Times New Roman"/>
          <w:sz w:val="24"/>
          <w:szCs w:val="24"/>
        </w:rPr>
        <w:t>’</w:t>
      </w:r>
      <w:proofErr w:type="gramEnd"/>
      <w:r>
        <w:rPr>
          <w:rFonts w:ascii="Times New Roman" w:hAnsi="Times New Roman"/>
          <w:sz w:val="24"/>
          <w:szCs w:val="24"/>
        </w:rPr>
        <w:t xml:space="preserve"> </w:t>
      </w:r>
      <w:r w:rsidRPr="00796AAC">
        <w:rPr>
          <w:rFonts w:ascii="Times New Roman" w:hAnsi="Times New Roman"/>
          <w:sz w:val="24"/>
          <w:szCs w:val="24"/>
        </w:rPr>
        <w:t xml:space="preserve">of Chapter 614's </w:t>
      </w:r>
      <w:proofErr w:type="gramStart"/>
      <w:r w:rsidRPr="00796AAC">
        <w:rPr>
          <w:rFonts w:ascii="Times New Roman" w:hAnsi="Times New Roman"/>
          <w:sz w:val="24"/>
          <w:szCs w:val="24"/>
        </w:rPr>
        <w:t xml:space="preserve">requirements </w:t>
      </w:r>
      <w:r>
        <w:rPr>
          <w:rFonts w:ascii="Times New Roman" w:hAnsi="Times New Roman"/>
          <w:sz w:val="24"/>
          <w:szCs w:val="24"/>
        </w:rPr>
        <w:t>[signed complaint]</w:t>
      </w:r>
      <w:proofErr w:type="gramEnd"/>
      <w:r>
        <w:rPr>
          <w:rFonts w:ascii="Times New Roman" w:hAnsi="Times New Roman"/>
          <w:sz w:val="24"/>
          <w:szCs w:val="24"/>
        </w:rPr>
        <w:t xml:space="preserve"> </w:t>
      </w:r>
      <w:r w:rsidRPr="00796AAC">
        <w:rPr>
          <w:rFonts w:ascii="Times New Roman" w:hAnsi="Times New Roman"/>
          <w:sz w:val="24"/>
          <w:szCs w:val="24"/>
        </w:rPr>
        <w:t xml:space="preserve">are to (1) reduce the risk that adverse employment actions will be based on unsubstantiated complaints, and (2) ensure the affected employee receives sufficient information to enable him to defend against the allegations. </w:t>
      </w:r>
      <w:r w:rsidRPr="00796AAC">
        <w:rPr>
          <w:rStyle w:val="Emphasis"/>
          <w:rFonts w:ascii="Times New Roman" w:hAnsi="Times New Roman"/>
          <w:sz w:val="24"/>
          <w:szCs w:val="24"/>
        </w:rPr>
        <w:t>Id.</w:t>
      </w:r>
      <w:r w:rsidRPr="00796AAC">
        <w:rPr>
          <w:rFonts w:ascii="Times New Roman" w:hAnsi="Times New Roman"/>
          <w:sz w:val="24"/>
          <w:szCs w:val="24"/>
        </w:rPr>
        <w:t xml:space="preserve"> Lewis was provided detailed information in both the August 22nd Memorandum and the Complaint Notification to allow him to investigate the allegations against him related to his failure to disclose his prior employment on his City of Stafford applications. He was also afforded ample opportunity to defend himself against these allegations during the appeal process</w:t>
      </w:r>
      <w:r>
        <w:rPr>
          <w:rFonts w:ascii="Times New Roman" w:hAnsi="Times New Roman"/>
          <w:sz w:val="24"/>
          <w:szCs w:val="24"/>
        </w:rPr>
        <w:t>.”</w:t>
      </w:r>
      <w:r w:rsidRPr="00796AAC">
        <w:rPr>
          <w:rFonts w:ascii="Times New Roman" w:eastAsia="Times New Roman" w:hAnsi="Times New Roman"/>
          <w:sz w:val="24"/>
          <w:szCs w:val="24"/>
        </w:rPr>
        <w:t xml:space="preserve"> </w:t>
      </w:r>
      <w:hyperlink r:id="rId2749" w:history="1">
        <w:r w:rsidRPr="007D2E44">
          <w:rPr>
            <w:rStyle w:val="Hyperlink"/>
            <w:sz w:val="24"/>
            <w:szCs w:val="24"/>
          </w:rPr>
          <w:t>https://public.fastcase.com/9SKwsfNqTc6OieYDhNMyM4E5bpqRXbc1vzIOBkY5d575kmIDNjPft14UGJ0ygjci</w:t>
        </w:r>
      </w:hyperlink>
      <w:r>
        <w:rPr>
          <w:rFonts w:ascii="Times New Roman" w:eastAsia="Times New Roman" w:hAnsi="Times New Roman"/>
          <w:sz w:val="24"/>
          <w:szCs w:val="24"/>
        </w:rPr>
        <w:t xml:space="preserve"> </w:t>
      </w:r>
    </w:p>
    <w:p w14:paraId="177A6F05" w14:textId="77777777" w:rsidR="002F610D" w:rsidRPr="006B6F95" w:rsidRDefault="002F610D" w:rsidP="002F610D">
      <w:pPr>
        <w:pStyle w:val="NormalWeb"/>
        <w:rPr>
          <w:b/>
          <w:bCs/>
        </w:rPr>
      </w:pPr>
      <w:r w:rsidRPr="006B6F95">
        <w:rPr>
          <w:b/>
          <w:bCs/>
        </w:rPr>
        <w:t xml:space="preserve">Legal Lesson Learned: </w:t>
      </w:r>
      <w:r>
        <w:rPr>
          <w:b/>
          <w:bCs/>
        </w:rPr>
        <w:t xml:space="preserve"> Fire service applicants must honestly complete application form, including disclosure of prior Fire Department or other employer terminations.  </w:t>
      </w:r>
      <w:proofErr w:type="gramStart"/>
      <w:r>
        <w:rPr>
          <w:b/>
          <w:bCs/>
        </w:rPr>
        <w:t>A best</w:t>
      </w:r>
      <w:proofErr w:type="gramEnd"/>
      <w:r>
        <w:rPr>
          <w:b/>
          <w:bCs/>
        </w:rPr>
        <w:t xml:space="preserve"> practice also includes asking applicants to authorize prior employers in writing to disclose their employment and disciplinary records. </w:t>
      </w:r>
    </w:p>
    <w:p w14:paraId="60EFB79B" w14:textId="77777777" w:rsidR="002F610D" w:rsidRDefault="002F610D" w:rsidP="00F326E5">
      <w:pPr>
        <w:pStyle w:val="NoSpacing"/>
        <w:rPr>
          <w:rFonts w:ascii="Arial Black" w:hAnsi="Arial Black"/>
          <w:sz w:val="24"/>
          <w:szCs w:val="24"/>
        </w:rPr>
      </w:pPr>
    </w:p>
    <w:p w14:paraId="2EF2E387" w14:textId="77777777" w:rsidR="002F610D" w:rsidRDefault="002F610D" w:rsidP="00F326E5">
      <w:pPr>
        <w:pStyle w:val="NoSpacing"/>
        <w:rPr>
          <w:rFonts w:ascii="Arial Black" w:hAnsi="Arial Black"/>
          <w:sz w:val="24"/>
          <w:szCs w:val="24"/>
        </w:rPr>
      </w:pPr>
    </w:p>
    <w:p w14:paraId="1D4608CE" w14:textId="78D21815" w:rsidR="002F610D" w:rsidRDefault="002F610D" w:rsidP="00F326E5">
      <w:pPr>
        <w:pStyle w:val="NoSpacing"/>
        <w:rPr>
          <w:rFonts w:ascii="Arial Black" w:hAnsi="Arial Black"/>
          <w:sz w:val="24"/>
          <w:szCs w:val="24"/>
        </w:rPr>
      </w:pPr>
      <w:r>
        <w:rPr>
          <w:rFonts w:ascii="Arial Black" w:hAnsi="Arial Black"/>
          <w:sz w:val="24"/>
          <w:szCs w:val="24"/>
        </w:rPr>
        <w:t>16-55</w:t>
      </w:r>
    </w:p>
    <w:p w14:paraId="151745A5" w14:textId="38D77EA5" w:rsidR="002F610D" w:rsidRDefault="002F610D" w:rsidP="00F326E5">
      <w:pPr>
        <w:pStyle w:val="NoSpacing"/>
        <w:rPr>
          <w:rFonts w:ascii="Arial Black" w:hAnsi="Arial Black"/>
          <w:sz w:val="24"/>
          <w:szCs w:val="24"/>
        </w:rPr>
      </w:pPr>
    </w:p>
    <w:p w14:paraId="43040B8F" w14:textId="77777777" w:rsidR="002F610D" w:rsidRDefault="002F610D" w:rsidP="002F610D">
      <w:pPr>
        <w:rPr>
          <w:rFonts w:ascii="Arial Black" w:hAnsi="Arial Black"/>
          <w:sz w:val="28"/>
          <w:szCs w:val="28"/>
        </w:rPr>
      </w:pPr>
      <w:bookmarkStart w:id="594" w:name="_Hlk81842740"/>
      <w:r>
        <w:rPr>
          <w:rFonts w:ascii="Arial Black" w:hAnsi="Arial Black"/>
          <w:sz w:val="28"/>
          <w:szCs w:val="28"/>
        </w:rPr>
        <w:t>MA: FIRE CHIEF FINED $10,000 BY STATE ETHICS COMMISSION – HELPED GET HIS SON GET HIRED ON FD</w:t>
      </w:r>
    </w:p>
    <w:bookmarkEnd w:id="594"/>
    <w:p w14:paraId="0D3C3C4D" w14:textId="77777777" w:rsidR="002F610D" w:rsidRDefault="002F610D" w:rsidP="002F610D">
      <w:pPr>
        <w:rPr>
          <w:rFonts w:ascii="Times New Roman" w:hAnsi="Times New Roman"/>
          <w:sz w:val="24"/>
          <w:szCs w:val="24"/>
        </w:rPr>
      </w:pPr>
      <w:r>
        <w:rPr>
          <w:rFonts w:ascii="Times New Roman" w:hAnsi="Times New Roman"/>
          <w:sz w:val="24"/>
          <w:szCs w:val="24"/>
        </w:rPr>
        <w:t>On Aug. 5, 2021, the Massachusetts Ethics Commission issued a Press Release: “</w:t>
      </w:r>
      <w:r w:rsidRPr="001111FF">
        <w:rPr>
          <w:rFonts w:ascii="Times New Roman" w:hAnsi="Times New Roman"/>
          <w:sz w:val="24"/>
          <w:szCs w:val="24"/>
        </w:rPr>
        <w:t xml:space="preserve">Wellesley Fire Chief Richard DeLorie has admitted to violating the </w:t>
      </w:r>
      <w:proofErr w:type="gramStart"/>
      <w:r w:rsidRPr="001111FF">
        <w:rPr>
          <w:rFonts w:ascii="Times New Roman" w:hAnsi="Times New Roman"/>
          <w:sz w:val="24"/>
          <w:szCs w:val="24"/>
        </w:rPr>
        <w:t>conflict of interest</w:t>
      </w:r>
      <w:proofErr w:type="gramEnd"/>
      <w:r w:rsidRPr="001111FF">
        <w:rPr>
          <w:rFonts w:ascii="Times New Roman" w:hAnsi="Times New Roman"/>
          <w:sz w:val="24"/>
          <w:szCs w:val="24"/>
        </w:rPr>
        <w:t xml:space="preserve"> law by participating in the town’s hiring of his son as a firefighter and using his official position to alter the hiring process to favor his son. DeLorie paid a $10,000 civil penalty, signed a disposition agreement approved by the State Ethics Commission, and waived his right to contest the Commission’s findings.</w:t>
      </w:r>
      <w:r>
        <w:rPr>
          <w:rFonts w:ascii="Times New Roman" w:hAnsi="Times New Roman"/>
          <w:sz w:val="24"/>
          <w:szCs w:val="24"/>
        </w:rPr>
        <w:t xml:space="preserve">”  </w:t>
      </w:r>
      <w:hyperlink r:id="rId2750" w:history="1">
        <w:r w:rsidRPr="00C10414">
          <w:rPr>
            <w:rStyle w:val="Hyperlink"/>
            <w:sz w:val="24"/>
            <w:szCs w:val="24"/>
          </w:rPr>
          <w:t>https://www.mass.gov/news/wellesley-fire-chief-richard-delorie-pays-10000-civil-penalty-for-violating-conflict-of-interest-law</w:t>
        </w:r>
      </w:hyperlink>
      <w:r>
        <w:rPr>
          <w:rFonts w:ascii="Times New Roman" w:hAnsi="Times New Roman"/>
          <w:sz w:val="24"/>
          <w:szCs w:val="24"/>
        </w:rPr>
        <w:t xml:space="preserve"> </w:t>
      </w:r>
    </w:p>
    <w:p w14:paraId="61292555" w14:textId="77777777" w:rsidR="002F610D" w:rsidRPr="001111FF" w:rsidRDefault="002F610D" w:rsidP="002F610D">
      <w:pPr>
        <w:spacing w:before="100" w:beforeAutospacing="1" w:after="100" w:afterAutospacing="1" w:line="240" w:lineRule="auto"/>
        <w:rPr>
          <w:rFonts w:ascii="Times New Roman" w:eastAsia="Times New Roman" w:hAnsi="Times New Roman"/>
          <w:b/>
          <w:bCs/>
          <w:sz w:val="24"/>
          <w:szCs w:val="24"/>
        </w:rPr>
      </w:pPr>
      <w:r w:rsidRPr="001111FF">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Recusal means </w:t>
      </w:r>
      <w:proofErr w:type="gramStart"/>
      <w:r>
        <w:rPr>
          <w:rFonts w:ascii="Times New Roman" w:eastAsia="Times New Roman" w:hAnsi="Times New Roman"/>
          <w:b/>
          <w:bCs/>
          <w:sz w:val="24"/>
          <w:szCs w:val="24"/>
        </w:rPr>
        <w:t>stay</w:t>
      </w:r>
      <w:proofErr w:type="gramEnd"/>
      <w:r>
        <w:rPr>
          <w:rFonts w:ascii="Times New Roman" w:eastAsia="Times New Roman" w:hAnsi="Times New Roman"/>
          <w:b/>
          <w:bCs/>
          <w:sz w:val="24"/>
          <w:szCs w:val="24"/>
        </w:rPr>
        <w:t xml:space="preserve"> completely out of the hiring process. </w:t>
      </w:r>
    </w:p>
    <w:p w14:paraId="028A2971" w14:textId="77777777" w:rsidR="002F610D" w:rsidRPr="00A76835" w:rsidRDefault="002F610D" w:rsidP="002F610D">
      <w:pPr>
        <w:pStyle w:val="NoSpacing"/>
        <w:ind w:left="720"/>
        <w:rPr>
          <w:rFonts w:ascii="Times New Roman" w:hAnsi="Times New Roman"/>
          <w:b/>
          <w:bCs/>
          <w:sz w:val="24"/>
          <w:szCs w:val="24"/>
        </w:rPr>
      </w:pPr>
      <w:r w:rsidRPr="005503CE">
        <w:rPr>
          <w:rFonts w:ascii="Times New Roman" w:eastAsia="Times New Roman" w:hAnsi="Times New Roman"/>
          <w:sz w:val="24"/>
          <w:szCs w:val="24"/>
        </w:rPr>
        <w:lastRenderedPageBreak/>
        <w:t xml:space="preserve">Note: See Aug. 5, </w:t>
      </w:r>
      <w:proofErr w:type="gramStart"/>
      <w:r w:rsidRPr="005503CE">
        <w:rPr>
          <w:rFonts w:ascii="Times New Roman" w:eastAsia="Times New Roman" w:hAnsi="Times New Roman"/>
          <w:sz w:val="24"/>
          <w:szCs w:val="24"/>
        </w:rPr>
        <w:t>2021</w:t>
      </w:r>
      <w:proofErr w:type="gramEnd"/>
      <w:r w:rsidRPr="005503CE">
        <w:rPr>
          <w:rFonts w:ascii="Times New Roman" w:eastAsia="Times New Roman" w:hAnsi="Times New Roman"/>
          <w:sz w:val="24"/>
          <w:szCs w:val="24"/>
        </w:rPr>
        <w:t xml:space="preserve"> article, </w:t>
      </w:r>
      <w:r w:rsidRPr="005503CE">
        <w:rPr>
          <w:rFonts w:ascii="Times New Roman" w:hAnsi="Times New Roman"/>
          <w:sz w:val="24"/>
          <w:szCs w:val="24"/>
        </w:rPr>
        <w:t xml:space="preserve">“Wellesley Fire Chief Richard DeLorie Fined $10,000 For Helping Son Get Hired </w:t>
      </w:r>
      <w:proofErr w:type="gramStart"/>
      <w:r w:rsidRPr="005503CE">
        <w:rPr>
          <w:rFonts w:ascii="Times New Roman" w:hAnsi="Times New Roman"/>
          <w:sz w:val="24"/>
          <w:szCs w:val="24"/>
        </w:rPr>
        <w:t>As</w:t>
      </w:r>
      <w:proofErr w:type="gramEnd"/>
      <w:r w:rsidRPr="005503CE">
        <w:rPr>
          <w:rFonts w:ascii="Times New Roman" w:hAnsi="Times New Roman"/>
          <w:sz w:val="24"/>
          <w:szCs w:val="24"/>
        </w:rPr>
        <w:t xml:space="preserve"> Firefighter.” </w:t>
      </w:r>
      <w:hyperlink r:id="rId2751" w:history="1">
        <w:r w:rsidRPr="005503CE">
          <w:rPr>
            <w:rStyle w:val="Hyperlink"/>
            <w:sz w:val="24"/>
            <w:szCs w:val="24"/>
          </w:rPr>
          <w:t>https://boston.cbslocal.com/2021/08/05/wellesley-fire-chief-richard-delorie-conflict-of-interest/</w:t>
        </w:r>
      </w:hyperlink>
      <w:r w:rsidRPr="005503CE">
        <w:rPr>
          <w:rFonts w:ascii="Times New Roman" w:hAnsi="Times New Roman"/>
          <w:sz w:val="24"/>
          <w:szCs w:val="24"/>
        </w:rPr>
        <w:t xml:space="preserve"> </w:t>
      </w:r>
    </w:p>
    <w:p w14:paraId="3E224028" w14:textId="77777777" w:rsidR="002F610D" w:rsidRDefault="002F610D" w:rsidP="00F326E5">
      <w:pPr>
        <w:pStyle w:val="NoSpacing"/>
        <w:rPr>
          <w:rFonts w:ascii="Arial Black" w:hAnsi="Arial Black"/>
          <w:sz w:val="24"/>
          <w:szCs w:val="24"/>
        </w:rPr>
      </w:pPr>
    </w:p>
    <w:p w14:paraId="1C711EB9" w14:textId="77777777" w:rsidR="002F610D" w:rsidRDefault="002F610D" w:rsidP="00F326E5">
      <w:pPr>
        <w:pStyle w:val="NoSpacing"/>
        <w:rPr>
          <w:rFonts w:ascii="Arial Black" w:hAnsi="Arial Black"/>
          <w:sz w:val="24"/>
          <w:szCs w:val="24"/>
        </w:rPr>
      </w:pPr>
    </w:p>
    <w:p w14:paraId="3D69809B" w14:textId="22CC8E05" w:rsidR="008A0333" w:rsidRDefault="008A0333" w:rsidP="00F326E5">
      <w:pPr>
        <w:pStyle w:val="NoSpacing"/>
        <w:rPr>
          <w:rFonts w:ascii="Arial Black" w:hAnsi="Arial Black"/>
          <w:sz w:val="24"/>
          <w:szCs w:val="24"/>
        </w:rPr>
      </w:pPr>
      <w:r>
        <w:rPr>
          <w:rFonts w:ascii="Arial Black" w:hAnsi="Arial Black"/>
          <w:sz w:val="24"/>
          <w:szCs w:val="24"/>
        </w:rPr>
        <w:t>16-54</w:t>
      </w:r>
    </w:p>
    <w:p w14:paraId="0E0D1BF4" w14:textId="27F61D02" w:rsidR="008A0333" w:rsidRDefault="008A0333" w:rsidP="00F326E5">
      <w:pPr>
        <w:pStyle w:val="NoSpacing"/>
        <w:rPr>
          <w:rFonts w:ascii="Arial Black" w:hAnsi="Arial Black"/>
          <w:sz w:val="24"/>
          <w:szCs w:val="24"/>
        </w:rPr>
      </w:pPr>
    </w:p>
    <w:p w14:paraId="17D74F00" w14:textId="77777777" w:rsidR="008A0333" w:rsidRDefault="008A0333" w:rsidP="008A0333">
      <w:pPr>
        <w:pStyle w:val="NoSpacing"/>
        <w:rPr>
          <w:rFonts w:ascii="Arial Black" w:hAnsi="Arial Black"/>
          <w:sz w:val="28"/>
          <w:szCs w:val="28"/>
        </w:rPr>
      </w:pPr>
      <w:r>
        <w:rPr>
          <w:rFonts w:ascii="Arial Black" w:hAnsi="Arial Black"/>
          <w:sz w:val="28"/>
          <w:szCs w:val="28"/>
        </w:rPr>
        <w:t>CA: UNION PRES. MEDICAL LEAVE BAD BACK - RAN 8-MILE RACE - FIRING TOO HARSH, RETALIATION – LIGHT DUTY</w:t>
      </w:r>
    </w:p>
    <w:p w14:paraId="39FE65F4" w14:textId="77777777" w:rsidR="008A0333" w:rsidRDefault="008A0333" w:rsidP="008A0333">
      <w:pPr>
        <w:pStyle w:val="p1"/>
      </w:pPr>
      <w:r>
        <w:t xml:space="preserve">On June 16, 2021, in </w:t>
      </w:r>
      <w:r w:rsidRPr="001A6E48">
        <w:rPr>
          <w:u w:val="single"/>
        </w:rPr>
        <w:t>City of South Pasadena v. Public Employment Relations Board (Owen Cliff Snider</w:t>
      </w:r>
      <w:r>
        <w:t xml:space="preserve">), the California Supreme Court declined to hear the City’s appeal; on Feb. 26, 2021 the Court of Appeals (3 to 0; unpublished decision), held for the firefighter, finding that while some discipline may have been appropriate, the Administrative Law Judge and the Public Employment Relations Board correctly held that firing was too harsh, and punishment appeared to be in retaliation for Union’s filing an unfair labor charge when FD ordered the firefighter back to work on a city light duty policy which was not in Collective Bargaining Agreement. </w:t>
      </w:r>
    </w:p>
    <w:p w14:paraId="6F9A08E5" w14:textId="77777777" w:rsidR="008A0333" w:rsidRDefault="008A0333" w:rsidP="008A0333">
      <w:pPr>
        <w:pStyle w:val="p1"/>
        <w:ind w:left="720" w:firstLine="60"/>
      </w:pPr>
      <w:r>
        <w:t xml:space="preserve">“Although we uphold PERB's finding that the City's decision to </w:t>
      </w:r>
      <w:r>
        <w:rPr>
          <w:i/>
          <w:iCs/>
        </w:rPr>
        <w:t>terminate</w:t>
      </w:r>
      <w:r>
        <w:t xml:space="preserve"> Snider was a form of retaliation for the exercise of his rights to bargain over the light-duty policy, our conclusion does not imply that the City could not have subjected Snider to </w:t>
      </w:r>
      <w:r>
        <w:rPr>
          <w:i/>
          <w:iCs/>
        </w:rPr>
        <w:t>some form</w:t>
      </w:r>
      <w:r>
        <w:t xml:space="preserve"> of discipline without running afoul of the MMBA.”  </w:t>
      </w:r>
      <w:hyperlink r:id="rId2752" w:history="1">
        <w:r w:rsidRPr="0004297D">
          <w:rPr>
            <w:rStyle w:val="Hyperlink"/>
          </w:rPr>
          <w:t>https://appellatecases.courtinfo.ca.gov/search/case/disposition.cfm?dist=0&amp;doc_id=2345572&amp;doc_no=S268086&amp;request_token=NiIwLSEmTkw5W1BRSSItTENJQEg0UDxTJSBeRzJSUCAgCg%3D%3D</w:t>
        </w:r>
      </w:hyperlink>
      <w:r>
        <w:t xml:space="preserve"> .  </w:t>
      </w:r>
    </w:p>
    <w:p w14:paraId="2A2E4C80" w14:textId="77777777" w:rsidR="008A0333" w:rsidRPr="00A03FED" w:rsidRDefault="008A0333" w:rsidP="008A0333">
      <w:pPr>
        <w:pStyle w:val="NoSpacing"/>
        <w:rPr>
          <w:rFonts w:ascii="Times New Roman" w:hAnsi="Times New Roman"/>
          <w:b/>
          <w:bCs/>
          <w:sz w:val="24"/>
          <w:szCs w:val="24"/>
        </w:rPr>
      </w:pPr>
      <w:r w:rsidRPr="00A03FED">
        <w:rPr>
          <w:rFonts w:ascii="Times New Roman" w:hAnsi="Times New Roman"/>
          <w:b/>
          <w:bCs/>
          <w:sz w:val="24"/>
          <w:szCs w:val="24"/>
        </w:rPr>
        <w:t xml:space="preserve">Legal Lesson Learned: </w:t>
      </w:r>
      <w:r>
        <w:rPr>
          <w:rFonts w:ascii="Times New Roman" w:hAnsi="Times New Roman"/>
          <w:b/>
          <w:bCs/>
          <w:sz w:val="24"/>
          <w:szCs w:val="24"/>
        </w:rPr>
        <w:t xml:space="preserve"> Fire Department policy on injury leave should clearly discuss limitations physical exercise and other strenuous activities; a light duty policy is an effective management tool to encourage return to full duty. </w:t>
      </w:r>
    </w:p>
    <w:p w14:paraId="4D39852B" w14:textId="77777777" w:rsidR="008A0333" w:rsidRDefault="008A0333" w:rsidP="008A0333">
      <w:pPr>
        <w:pStyle w:val="p1"/>
        <w:ind w:left="720"/>
      </w:pPr>
      <w:r>
        <w:t xml:space="preserve">Calif. Supreme Court order: </w:t>
      </w:r>
      <w:hyperlink r:id="rId2753" w:history="1">
        <w:r w:rsidRPr="002625ED">
          <w:rPr>
            <w:rStyle w:val="Hyperlink"/>
          </w:rPr>
          <w:t>https://appellatecases.courtinfo.ca.gov/search/case/disposition.cfm?dist=0&amp;doc_id=2345572&amp;doc_no=S268086&amp;request_token=NiIwLSEmTkw5W1BRSSItTENJQEg0UDxTJSBeRzJSUCAgCg%3D%3D</w:t>
        </w:r>
      </w:hyperlink>
      <w:r>
        <w:t xml:space="preserve"> </w:t>
      </w:r>
    </w:p>
    <w:p w14:paraId="32B6A514" w14:textId="77777777" w:rsidR="008A0333" w:rsidRPr="00A03FED" w:rsidRDefault="008A0333" w:rsidP="008A0333">
      <w:pPr>
        <w:pStyle w:val="p1"/>
        <w:ind w:left="720"/>
      </w:pPr>
      <w:r w:rsidRPr="00A03FED">
        <w:t xml:space="preserve">See June 21, </w:t>
      </w:r>
      <w:proofErr w:type="gramStart"/>
      <w:r w:rsidRPr="00A03FED">
        <w:t>2021</w:t>
      </w:r>
      <w:proofErr w:type="gramEnd"/>
      <w:r w:rsidRPr="00A03FED">
        <w:t xml:space="preserve"> article: “The City of South Pasadena illegally dismissed a firefighter | Supreme Court denies review | The South Pasadena; </w:t>
      </w:r>
      <w:hyperlink r:id="rId2754" w:history="1">
        <w:r w:rsidRPr="00A03FED">
          <w:rPr>
            <w:rStyle w:val="Hyperlink"/>
          </w:rPr>
          <w:t>https://laborlawlosangeles.com/the-city-of-south-pasadena-illegally-dismissed-a-firefighter-supreme-court-denies-review-the-south-pasadenan/</w:t>
        </w:r>
      </w:hyperlink>
      <w:r w:rsidRPr="00A03FED">
        <w:t xml:space="preserve"> </w:t>
      </w:r>
    </w:p>
    <w:p w14:paraId="23E7BDAB" w14:textId="77777777" w:rsidR="008A0333" w:rsidRPr="003F349F" w:rsidRDefault="008A0333" w:rsidP="008A0333">
      <w:pPr>
        <w:pStyle w:val="p1"/>
        <w:ind w:left="720"/>
      </w:pPr>
      <w:r>
        <w:t xml:space="preserve">See IAFF: </w:t>
      </w:r>
      <w:r w:rsidRPr="003D5D8C">
        <w:rPr>
          <w:rStyle w:val="Strong"/>
        </w:rPr>
        <w:t>“Owen ‘Cliff’ Snider v. City of South Pasadena, California -</w:t>
      </w:r>
      <w:r>
        <w:rPr>
          <w:rStyle w:val="Strong"/>
        </w:rPr>
        <w:t xml:space="preserve"> </w:t>
      </w:r>
      <w:r w:rsidRPr="00A03FED">
        <w:rPr>
          <w:b/>
          <w:bCs/>
        </w:rPr>
        <w:br/>
      </w:r>
      <w:r>
        <w:t>“</w:t>
      </w:r>
      <w:r w:rsidRPr="00A03FED">
        <w:t xml:space="preserve">In this Guardian Policy case, the City of South Pasadena terminated Local 3657 President Cliff Snider, in retaliation for his union leadership activities. President Snider was enforcing the right to bargain over changes in working conditions, first by requesting to bargain, and later by filing an Unfair Labor Practice (ULP) charge over the City’s refusal to bargain. After an earlier back injury, and while he was on paid sick leave, Snider participated in an 8-mile </w:t>
      </w:r>
      <w:r>
        <w:t>‘</w:t>
      </w:r>
      <w:r w:rsidRPr="00A03FED">
        <w:t>Spartan Race.</w:t>
      </w:r>
      <w:r>
        <w:t>’</w:t>
      </w:r>
      <w:r w:rsidRPr="00A03FED">
        <w:t xml:space="preserve"> Chief Mario Rueda terminated Snider on the asserted grounds of dishonesty, abuse of sick leave, bad faith, and failure to notify a supervisor that he felt well enough to return to duty.</w:t>
      </w:r>
      <w:r>
        <w:t>”</w:t>
      </w:r>
      <w:r w:rsidRPr="00A03FED">
        <w:t xml:space="preserve"> </w:t>
      </w:r>
      <w:hyperlink r:id="rId2755" w:history="1">
        <w:r w:rsidRPr="00A03FED">
          <w:rPr>
            <w:rStyle w:val="Hyperlink"/>
          </w:rPr>
          <w:t>https://convention2018.iaff.org/general-counsels-report/</w:t>
        </w:r>
      </w:hyperlink>
      <w:r w:rsidRPr="00A03FED">
        <w:t xml:space="preserve"> </w:t>
      </w:r>
    </w:p>
    <w:p w14:paraId="27C3A680" w14:textId="77777777" w:rsidR="008A0333" w:rsidRDefault="008A0333" w:rsidP="00F326E5">
      <w:pPr>
        <w:pStyle w:val="NoSpacing"/>
        <w:rPr>
          <w:rFonts w:ascii="Arial Black" w:hAnsi="Arial Black"/>
          <w:sz w:val="24"/>
          <w:szCs w:val="24"/>
        </w:rPr>
      </w:pPr>
    </w:p>
    <w:p w14:paraId="6D530949" w14:textId="77777777" w:rsidR="008A0333" w:rsidRDefault="008A0333" w:rsidP="00F326E5">
      <w:pPr>
        <w:pStyle w:val="NoSpacing"/>
        <w:rPr>
          <w:rFonts w:ascii="Arial Black" w:hAnsi="Arial Black"/>
          <w:sz w:val="24"/>
          <w:szCs w:val="24"/>
        </w:rPr>
      </w:pPr>
    </w:p>
    <w:p w14:paraId="1F020492" w14:textId="1377931A" w:rsidR="00B03268" w:rsidRPr="00B03268" w:rsidRDefault="00B03268" w:rsidP="00F326E5">
      <w:pPr>
        <w:pStyle w:val="NoSpacing"/>
        <w:rPr>
          <w:rFonts w:ascii="Times New Roman" w:hAnsi="Times New Roman"/>
          <w:sz w:val="24"/>
          <w:szCs w:val="24"/>
        </w:rPr>
      </w:pPr>
      <w:r>
        <w:rPr>
          <w:rFonts w:ascii="Arial Black" w:hAnsi="Arial Black"/>
          <w:sz w:val="24"/>
          <w:szCs w:val="24"/>
        </w:rPr>
        <w:t xml:space="preserve">16-53 </w:t>
      </w:r>
      <w:r>
        <w:rPr>
          <w:rFonts w:ascii="Times New Roman" w:hAnsi="Times New Roman"/>
          <w:sz w:val="24"/>
          <w:szCs w:val="24"/>
        </w:rPr>
        <w:t>[also filed, Chap. 11]</w:t>
      </w:r>
    </w:p>
    <w:p w14:paraId="46BA1FC3" w14:textId="6D6145CB" w:rsidR="00B03268" w:rsidRDefault="00B03268" w:rsidP="00F326E5">
      <w:pPr>
        <w:pStyle w:val="NoSpacing"/>
        <w:rPr>
          <w:rFonts w:ascii="Arial Black" w:hAnsi="Arial Black"/>
          <w:sz w:val="24"/>
          <w:szCs w:val="24"/>
        </w:rPr>
      </w:pPr>
    </w:p>
    <w:p w14:paraId="140497D3" w14:textId="77777777" w:rsidR="00B03268" w:rsidRPr="003A1BB2" w:rsidRDefault="00B03268" w:rsidP="00B03268">
      <w:pPr>
        <w:pStyle w:val="NoSpacing"/>
        <w:rPr>
          <w:rFonts w:ascii="Arial Black" w:hAnsi="Arial Black"/>
          <w:sz w:val="28"/>
          <w:szCs w:val="28"/>
        </w:rPr>
      </w:pPr>
      <w:r>
        <w:rPr>
          <w:rFonts w:ascii="Arial Black" w:hAnsi="Arial Black"/>
          <w:sz w:val="28"/>
          <w:szCs w:val="28"/>
        </w:rPr>
        <w:t>NV: AT-WILL HOSPITAL PARAMEDIC - TERMINATED WITHIN 1-YR PROBATIONARY PERIOD – LAWSUIT DISMISSED</w:t>
      </w:r>
    </w:p>
    <w:p w14:paraId="0F412CC2" w14:textId="77777777" w:rsidR="00B03268" w:rsidRDefault="00B03268" w:rsidP="00B03268">
      <w:pPr>
        <w:pStyle w:val="NoSpacing"/>
      </w:pPr>
    </w:p>
    <w:p w14:paraId="525EBD4E" w14:textId="77777777" w:rsidR="00B03268" w:rsidRPr="00D106AE" w:rsidRDefault="00B03268" w:rsidP="00B03268">
      <w:pPr>
        <w:pStyle w:val="NoSpacing"/>
        <w:rPr>
          <w:rFonts w:ascii="Times New Roman" w:hAnsi="Times New Roman"/>
          <w:sz w:val="24"/>
          <w:szCs w:val="24"/>
        </w:rPr>
      </w:pPr>
      <w:r>
        <w:rPr>
          <w:rFonts w:ascii="Times New Roman" w:hAnsi="Times New Roman"/>
          <w:sz w:val="24"/>
          <w:szCs w:val="24"/>
        </w:rPr>
        <w:t xml:space="preserve">On May 13, 2021, in </w:t>
      </w:r>
      <w:r w:rsidRPr="00D106AE">
        <w:rPr>
          <w:rFonts w:ascii="Times New Roman" w:hAnsi="Times New Roman"/>
          <w:sz w:val="24"/>
          <w:szCs w:val="24"/>
          <w:u w:val="single"/>
        </w:rPr>
        <w:t>Todd P. Evans v. Lander County Hospital District, d/b/a Battle Mountain General Hospital</w:t>
      </w:r>
      <w:r w:rsidRPr="00D106AE">
        <w:rPr>
          <w:rFonts w:ascii="Times New Roman" w:hAnsi="Times New Roman"/>
          <w:sz w:val="24"/>
          <w:szCs w:val="24"/>
        </w:rPr>
        <w:t xml:space="preserve">, U.S. District Court Judge Larry R. Hicks, U.S. District Court, District of Nevada, </w:t>
      </w:r>
      <w:r>
        <w:rPr>
          <w:rFonts w:ascii="Times New Roman" w:hAnsi="Times New Roman"/>
          <w:sz w:val="24"/>
          <w:szCs w:val="24"/>
        </w:rPr>
        <w:t>held that the paramedic did not file or otherwise orally make a complaint of FLSA violation, and he was an at-will employee that can be terminated without cause by the hospital.</w:t>
      </w:r>
    </w:p>
    <w:p w14:paraId="17914755" w14:textId="77777777" w:rsidR="00B03268" w:rsidRDefault="00B03268" w:rsidP="00B03268">
      <w:pPr>
        <w:spacing w:before="100" w:beforeAutospacing="1" w:after="100" w:afterAutospacing="1"/>
        <w:ind w:left="720"/>
        <w:rPr>
          <w:rFonts w:ascii="Times New Roman" w:eastAsia="Times New Roman" w:hAnsi="Times New Roman"/>
          <w:sz w:val="24"/>
          <w:szCs w:val="24"/>
        </w:rPr>
      </w:pPr>
      <w:r>
        <w:rPr>
          <w:rFonts w:ascii="Times New Roman" w:eastAsia="Times New Roman" w:hAnsi="Times New Roman"/>
          <w:sz w:val="24"/>
          <w:szCs w:val="24"/>
        </w:rPr>
        <w:t>“</w:t>
      </w:r>
      <w:r w:rsidRPr="003A1BB2">
        <w:rPr>
          <w:rFonts w:ascii="Times New Roman" w:eastAsia="Times New Roman" w:hAnsi="Times New Roman"/>
          <w:sz w:val="24"/>
          <w:szCs w:val="24"/>
        </w:rPr>
        <w:t>Again, based on Evans' testimony, the Court finds that Evans' statements during the April 2019 meeting do not constitute filling a complaint with the BMGH as contemplated by the FLSA anti-retaliation statute. The content of this meeting was the financial and economic status of the EMS Department and was focused on how Evans' suggested alterations to the department, including transitioning the volunteer EMTs to paid staff, would make the department more fiscally responsible and increase staff. While Evans did address the FLSA and again suggested that the volunteer program may be violating the federal statute, he did not specify an illegality related to the program and did not provide Trustee Roberts with any documentation related to the FLSA. A reasonable employer would have seen Evans' statements as an attempt to recruit a board member to support his budget proposal, not an assertion of the employment rights of the volunteer EMTs in the program. Accordingly, his statements cannot be considered a filed complaint under the FLSA anti-retaliation statute.</w:t>
      </w:r>
    </w:p>
    <w:p w14:paraId="3B6A543B" w14:textId="77777777" w:rsidR="00B03268" w:rsidRDefault="00B03268" w:rsidP="00B03268">
      <w:pPr>
        <w:spacing w:before="100" w:beforeAutospacing="1" w:after="100" w:afterAutospacing="1"/>
        <w:ind w:left="720"/>
        <w:rPr>
          <w:rFonts w:ascii="Times New Roman" w:eastAsia="Times New Roman" w:hAnsi="Times New Roman"/>
          <w:sz w:val="24"/>
          <w:szCs w:val="24"/>
        </w:rPr>
      </w:pPr>
      <w:r>
        <w:rPr>
          <w:rFonts w:ascii="Times New Roman" w:eastAsia="Times New Roman" w:hAnsi="Times New Roman"/>
          <w:sz w:val="24"/>
          <w:szCs w:val="24"/>
        </w:rPr>
        <w:t>***</w:t>
      </w:r>
    </w:p>
    <w:p w14:paraId="792E38CB" w14:textId="77777777" w:rsidR="00B03268" w:rsidRPr="003A1BB2" w:rsidRDefault="00B03268" w:rsidP="00B03268">
      <w:pPr>
        <w:spacing w:before="100" w:beforeAutospacing="1" w:after="100" w:afterAutospacing="1"/>
        <w:ind w:left="720"/>
        <w:rPr>
          <w:rFonts w:ascii="Times New Roman" w:eastAsia="Times New Roman" w:hAnsi="Times New Roman"/>
          <w:sz w:val="24"/>
          <w:szCs w:val="24"/>
        </w:rPr>
      </w:pPr>
      <w:r w:rsidRPr="00D106AE">
        <w:rPr>
          <w:rFonts w:ascii="Times New Roman" w:hAnsi="Times New Roman"/>
          <w:sz w:val="24"/>
          <w:szCs w:val="24"/>
        </w:rPr>
        <w:t xml:space="preserve">Evans' fourth cause of action alleges Defendant breached its oral employment contract in which BMGH agreed to pay Evans a salary of $115,000.00 per year plus a travel stipend of no more than $500.00 per month. ECF No. 1 ¶¶ 55-58. Defendant argues that it could not have breached an employment contract that did not exist as Evans was an at-will employee. Having reviewed the record, there can be no dispute that Evans was an at-will </w:t>
      </w:r>
      <w:proofErr w:type="gramStart"/>
      <w:r w:rsidRPr="00D106AE">
        <w:rPr>
          <w:rFonts w:ascii="Times New Roman" w:hAnsi="Times New Roman"/>
          <w:sz w:val="24"/>
          <w:szCs w:val="24"/>
        </w:rPr>
        <w:t>employee.</w:t>
      </w:r>
      <w:r>
        <w:rPr>
          <w:rFonts w:ascii="Times New Roman" w:hAnsi="Times New Roman"/>
          <w:sz w:val="24"/>
          <w:szCs w:val="24"/>
        </w:rPr>
        <w:t>”</w:t>
      </w:r>
      <w:proofErr w:type="gramEnd"/>
      <w:r>
        <w:rPr>
          <w:rFonts w:ascii="Times New Roman" w:hAnsi="Times New Roman"/>
          <w:sz w:val="24"/>
          <w:szCs w:val="24"/>
        </w:rPr>
        <w:t xml:space="preserve"> </w:t>
      </w:r>
      <w:hyperlink r:id="rId2756" w:history="1">
        <w:r w:rsidRPr="00C724D5">
          <w:rPr>
            <w:rStyle w:val="Hyperlink"/>
            <w:sz w:val="24"/>
            <w:szCs w:val="24"/>
          </w:rPr>
          <w:t>https://www.leagle.com/decision/infdco20210518900</w:t>
        </w:r>
      </w:hyperlink>
      <w:r>
        <w:rPr>
          <w:rFonts w:ascii="Times New Roman" w:eastAsia="Times New Roman" w:hAnsi="Times New Roman"/>
          <w:sz w:val="24"/>
          <w:szCs w:val="24"/>
        </w:rPr>
        <w:t xml:space="preserve"> </w:t>
      </w:r>
    </w:p>
    <w:p w14:paraId="46248971" w14:textId="77777777" w:rsidR="00B03268" w:rsidRPr="00E7248E" w:rsidRDefault="00B03268" w:rsidP="00B03268">
      <w:pPr>
        <w:pStyle w:val="NormalWeb"/>
        <w:rPr>
          <w:b/>
          <w:bCs/>
        </w:rPr>
      </w:pPr>
      <w:r w:rsidRPr="00E7248E">
        <w:rPr>
          <w:b/>
          <w:bCs/>
        </w:rPr>
        <w:t>Legal Lesson Learned:</w:t>
      </w:r>
      <w:r>
        <w:rPr>
          <w:b/>
          <w:bCs/>
        </w:rPr>
        <w:t xml:space="preserve"> At will employees can be terminated, with or without cause.  </w:t>
      </w:r>
    </w:p>
    <w:p w14:paraId="47BF614D" w14:textId="77777777" w:rsidR="00B03268" w:rsidRDefault="00B03268" w:rsidP="00F326E5">
      <w:pPr>
        <w:pStyle w:val="NoSpacing"/>
        <w:rPr>
          <w:rFonts w:ascii="Arial Black" w:hAnsi="Arial Black"/>
          <w:sz w:val="24"/>
          <w:szCs w:val="24"/>
        </w:rPr>
      </w:pPr>
    </w:p>
    <w:p w14:paraId="6D399EB4" w14:textId="77777777" w:rsidR="00B03268" w:rsidRDefault="00B03268" w:rsidP="00F326E5">
      <w:pPr>
        <w:pStyle w:val="NoSpacing"/>
        <w:rPr>
          <w:rFonts w:ascii="Arial Black" w:hAnsi="Arial Black"/>
          <w:sz w:val="24"/>
          <w:szCs w:val="24"/>
        </w:rPr>
      </w:pPr>
    </w:p>
    <w:p w14:paraId="5A22BC84" w14:textId="2B761CBF" w:rsidR="0066298F" w:rsidRDefault="00EC1BFB" w:rsidP="00F326E5">
      <w:pPr>
        <w:pStyle w:val="NoSpacing"/>
        <w:rPr>
          <w:rFonts w:ascii="Arial Black" w:hAnsi="Arial Black"/>
          <w:sz w:val="24"/>
          <w:szCs w:val="24"/>
        </w:rPr>
      </w:pPr>
      <w:r>
        <w:rPr>
          <w:rFonts w:ascii="Arial Black" w:hAnsi="Arial Black"/>
          <w:sz w:val="24"/>
          <w:szCs w:val="24"/>
        </w:rPr>
        <w:t>16-52</w:t>
      </w:r>
    </w:p>
    <w:p w14:paraId="737DA396" w14:textId="68512AB5" w:rsidR="00EC1BFB" w:rsidRDefault="00EC1BFB" w:rsidP="00F326E5">
      <w:pPr>
        <w:pStyle w:val="NoSpacing"/>
        <w:rPr>
          <w:rFonts w:ascii="Arial Black" w:hAnsi="Arial Black"/>
          <w:sz w:val="24"/>
          <w:szCs w:val="24"/>
        </w:rPr>
      </w:pPr>
    </w:p>
    <w:p w14:paraId="735C93CC" w14:textId="77777777" w:rsidR="00EC1BFB" w:rsidRPr="00207CF4" w:rsidRDefault="00EC1BFB" w:rsidP="00EC1BFB">
      <w:pPr>
        <w:pStyle w:val="NoSpacing"/>
        <w:rPr>
          <w:rFonts w:ascii="Arial Black" w:hAnsi="Arial Black"/>
          <w:sz w:val="28"/>
          <w:szCs w:val="28"/>
        </w:rPr>
      </w:pPr>
      <w:r>
        <w:rPr>
          <w:rFonts w:ascii="Arial Black" w:hAnsi="Arial Black"/>
          <w:sz w:val="28"/>
          <w:szCs w:val="28"/>
        </w:rPr>
        <w:t>OH: ALLEGED TREATENING COMMENTS FIRE CHIEF – CITY LAW NO VIOL - UNION NO RIGHT 3</w:t>
      </w:r>
      <w:r w:rsidRPr="00CF4AA5">
        <w:rPr>
          <w:rFonts w:ascii="Arial Black" w:hAnsi="Arial Black"/>
          <w:sz w:val="28"/>
          <w:szCs w:val="28"/>
          <w:vertAlign w:val="superscript"/>
        </w:rPr>
        <w:t>rd</w:t>
      </w:r>
      <w:r>
        <w:rPr>
          <w:rFonts w:ascii="Arial Black" w:hAnsi="Arial Black"/>
          <w:sz w:val="28"/>
          <w:szCs w:val="28"/>
        </w:rPr>
        <w:t xml:space="preserve"> PARTY INVESTIGATOR </w:t>
      </w:r>
    </w:p>
    <w:p w14:paraId="419EEDEC" w14:textId="77777777" w:rsidR="00EC1BFB" w:rsidRDefault="00EC1BFB" w:rsidP="00EC1BFB">
      <w:pPr>
        <w:pStyle w:val="NoSpacing"/>
      </w:pPr>
    </w:p>
    <w:p w14:paraId="091A5778" w14:textId="77777777" w:rsidR="00EC1BFB" w:rsidRDefault="00EC1BFB" w:rsidP="00EC1BFB">
      <w:pPr>
        <w:pStyle w:val="NoSpacing"/>
        <w:rPr>
          <w:rFonts w:ascii="Times New Roman" w:hAnsi="Times New Roman"/>
          <w:sz w:val="24"/>
          <w:szCs w:val="24"/>
        </w:rPr>
      </w:pPr>
      <w:r>
        <w:rPr>
          <w:rFonts w:ascii="Times New Roman" w:hAnsi="Times New Roman"/>
          <w:sz w:val="24"/>
          <w:szCs w:val="24"/>
        </w:rPr>
        <w:t xml:space="preserve">On Feb. 23, 2021, in </w:t>
      </w:r>
      <w:r w:rsidRPr="00207CF4">
        <w:rPr>
          <w:rFonts w:ascii="Times New Roman" w:hAnsi="Times New Roman"/>
          <w:sz w:val="24"/>
          <w:szCs w:val="24"/>
          <w:u w:val="single"/>
        </w:rPr>
        <w:t>State Ex Rel. Youngstown Professional Firefighters IAFF Local 312, et al. v. City of Youngstown</w:t>
      </w:r>
      <w:r>
        <w:rPr>
          <w:rFonts w:ascii="Times New Roman" w:hAnsi="Times New Roman"/>
          <w:sz w:val="24"/>
          <w:szCs w:val="24"/>
        </w:rPr>
        <w:t xml:space="preserve">, the Court of Appeals of Ohio, Seventh Appellate District (Mahoning County), 2021 Ohio 539, held (3 to 0) that the union has no clear legal right to the appointment of an independent, neutral investigator, and therefore the Court dismissed the union’s original action [did not go to a trial court] seeking a “Writ of Mandamus.”  The Fire Chief at a FD meeting announced the </w:t>
      </w:r>
      <w:proofErr w:type="gramStart"/>
      <w:r>
        <w:rPr>
          <w:rFonts w:ascii="Times New Roman" w:hAnsi="Times New Roman"/>
          <w:sz w:val="24"/>
          <w:szCs w:val="24"/>
        </w:rPr>
        <w:t>City</w:t>
      </w:r>
      <w:proofErr w:type="gramEnd"/>
      <w:r>
        <w:rPr>
          <w:rFonts w:ascii="Times New Roman" w:hAnsi="Times New Roman"/>
          <w:sz w:val="24"/>
          <w:szCs w:val="24"/>
        </w:rPr>
        <w:t xml:space="preserve"> was reducing Battalion Chiefs from six to four, and a firefighter shouted, </w:t>
      </w:r>
      <w:r w:rsidRPr="007327A3">
        <w:rPr>
          <w:rFonts w:ascii="Times New Roman" w:eastAsia="Times New Roman" w:hAnsi="Times New Roman"/>
          <w:sz w:val="24"/>
          <w:szCs w:val="24"/>
        </w:rPr>
        <w:t>"My mom knows every judge and</w:t>
      </w:r>
      <w:r>
        <w:rPr>
          <w:rFonts w:ascii="Times New Roman" w:eastAsia="Times New Roman" w:hAnsi="Times New Roman"/>
          <w:sz w:val="24"/>
          <w:szCs w:val="24"/>
        </w:rPr>
        <w:t xml:space="preserve"> </w:t>
      </w:r>
      <w:r w:rsidRPr="007327A3">
        <w:rPr>
          <w:rFonts w:ascii="Times New Roman" w:eastAsia="Times New Roman" w:hAnsi="Times New Roman"/>
          <w:sz w:val="24"/>
          <w:szCs w:val="24"/>
        </w:rPr>
        <w:t xml:space="preserve">every attorney and if I get </w:t>
      </w:r>
      <w:proofErr w:type="gramStart"/>
      <w:r w:rsidRPr="007327A3">
        <w:rPr>
          <w:rFonts w:ascii="Times New Roman" w:eastAsia="Times New Roman" w:hAnsi="Times New Roman"/>
          <w:sz w:val="24"/>
          <w:szCs w:val="24"/>
        </w:rPr>
        <w:t>hurt</w:t>
      </w:r>
      <w:proofErr w:type="gramEnd"/>
      <w:r w:rsidRPr="007327A3">
        <w:rPr>
          <w:rFonts w:ascii="Times New Roman" w:eastAsia="Times New Roman" w:hAnsi="Times New Roman"/>
          <w:sz w:val="24"/>
          <w:szCs w:val="24"/>
        </w:rPr>
        <w:t xml:space="preserve"> I'm going to own you, the fucking Mayor and the fucking City." </w:t>
      </w:r>
      <w:r>
        <w:rPr>
          <w:rFonts w:ascii="Times New Roman" w:eastAsia="Times New Roman" w:hAnsi="Times New Roman"/>
          <w:sz w:val="24"/>
          <w:szCs w:val="24"/>
        </w:rPr>
        <w:t xml:space="preserve"> The firefighter asked next day to meet with the Chief to </w:t>
      </w:r>
      <w:r>
        <w:rPr>
          <w:rFonts w:ascii="Times New Roman" w:eastAsia="Times New Roman" w:hAnsi="Times New Roman"/>
          <w:sz w:val="24"/>
          <w:szCs w:val="24"/>
        </w:rPr>
        <w:lastRenderedPageBreak/>
        <w:t xml:space="preserve">apologize.  The Chief </w:t>
      </w:r>
      <w:proofErr w:type="gramStart"/>
      <w:r>
        <w:rPr>
          <w:rFonts w:ascii="Times New Roman" w:eastAsia="Times New Roman" w:hAnsi="Times New Roman"/>
          <w:sz w:val="24"/>
          <w:szCs w:val="24"/>
        </w:rPr>
        <w:t>declined, and</w:t>
      </w:r>
      <w:proofErr w:type="gramEnd"/>
      <w:r>
        <w:rPr>
          <w:rFonts w:ascii="Times New Roman" w:eastAsia="Times New Roman" w:hAnsi="Times New Roman"/>
          <w:sz w:val="24"/>
          <w:szCs w:val="24"/>
        </w:rPr>
        <w:t xml:space="preserve"> later explained at the firefighter’s </w:t>
      </w:r>
      <w:proofErr w:type="spellStart"/>
      <w:r>
        <w:rPr>
          <w:rFonts w:ascii="Times New Roman" w:eastAsia="Times New Roman" w:hAnsi="Times New Roman"/>
          <w:sz w:val="24"/>
          <w:szCs w:val="24"/>
        </w:rPr>
        <w:t>predisciplinary</w:t>
      </w:r>
      <w:proofErr w:type="spellEnd"/>
      <w:r>
        <w:rPr>
          <w:rFonts w:ascii="Times New Roman" w:eastAsia="Times New Roman" w:hAnsi="Times New Roman"/>
          <w:sz w:val="24"/>
          <w:szCs w:val="24"/>
        </w:rPr>
        <w:t xml:space="preserve"> meeting that he declined to meet since he was upset and might </w:t>
      </w:r>
      <w:r w:rsidRPr="003C2A4F">
        <w:rPr>
          <w:rFonts w:ascii="Times New Roman" w:hAnsi="Times New Roman"/>
          <w:sz w:val="24"/>
          <w:szCs w:val="24"/>
        </w:rPr>
        <w:t>"put him through a wall."</w:t>
      </w:r>
    </w:p>
    <w:p w14:paraId="06F5653D" w14:textId="77777777" w:rsidR="00EC1BFB" w:rsidRDefault="00EC1BFB" w:rsidP="00EC1BFB">
      <w:pPr>
        <w:pStyle w:val="NoSpacing"/>
        <w:rPr>
          <w:rFonts w:ascii="Times New Roman" w:hAnsi="Times New Roman"/>
          <w:sz w:val="24"/>
          <w:szCs w:val="24"/>
        </w:rPr>
      </w:pPr>
    </w:p>
    <w:p w14:paraId="0F397921" w14:textId="77777777" w:rsidR="00EC1BFB" w:rsidRPr="003C2A4F" w:rsidRDefault="00EC1BFB" w:rsidP="00EC1BFB">
      <w:pPr>
        <w:pStyle w:val="NoSpacing"/>
        <w:ind w:left="720"/>
        <w:rPr>
          <w:rFonts w:ascii="Times New Roman" w:eastAsia="Times New Roman" w:hAnsi="Times New Roman"/>
          <w:b/>
          <w:bCs/>
          <w:sz w:val="24"/>
          <w:szCs w:val="24"/>
        </w:rPr>
      </w:pPr>
      <w:r>
        <w:rPr>
          <w:rFonts w:ascii="Times New Roman" w:hAnsi="Times New Roman"/>
          <w:sz w:val="24"/>
          <w:szCs w:val="24"/>
        </w:rPr>
        <w:t>“</w:t>
      </w:r>
      <w:r w:rsidRPr="003C2A4F">
        <w:rPr>
          <w:rFonts w:ascii="Times New Roman" w:hAnsi="Times New Roman"/>
          <w:sz w:val="24"/>
          <w:szCs w:val="24"/>
        </w:rPr>
        <w:t>In summary, Relators do not have a clear legal right pursuant to section 163.63 of the Youngstown Codified Ordinances (</w:t>
      </w:r>
      <w:r>
        <w:rPr>
          <w:rFonts w:ascii="Times New Roman" w:hAnsi="Times New Roman"/>
          <w:sz w:val="24"/>
          <w:szCs w:val="24"/>
        </w:rPr>
        <w:t>‘</w:t>
      </w:r>
      <w:r w:rsidRPr="003C2A4F">
        <w:rPr>
          <w:rFonts w:ascii="Times New Roman" w:hAnsi="Times New Roman"/>
          <w:sz w:val="24"/>
          <w:szCs w:val="24"/>
        </w:rPr>
        <w:t>YCO</w:t>
      </w:r>
      <w:r>
        <w:rPr>
          <w:rFonts w:ascii="Times New Roman" w:hAnsi="Times New Roman"/>
          <w:sz w:val="24"/>
          <w:szCs w:val="24"/>
        </w:rPr>
        <w:t>’</w:t>
      </w:r>
      <w:r w:rsidRPr="003C2A4F">
        <w:rPr>
          <w:rFonts w:ascii="Times New Roman" w:hAnsi="Times New Roman"/>
          <w:sz w:val="24"/>
          <w:szCs w:val="24"/>
        </w:rPr>
        <w:t>) to the appointment of an independent, neutral investigator, and the City does not have a clear legal duty pursuant to YCO 163.63 to appoint such an investigator. Accordingly, the writ, to the extent that it is predicated upon the appointment of an independent, neutral investigator, is dismissed.</w:t>
      </w:r>
      <w:r>
        <w:rPr>
          <w:rFonts w:ascii="Times New Roman" w:hAnsi="Times New Roman"/>
          <w:sz w:val="24"/>
          <w:szCs w:val="24"/>
        </w:rPr>
        <w:t xml:space="preserve">” </w:t>
      </w:r>
      <w:hyperlink r:id="rId2757" w:history="1">
        <w:r w:rsidRPr="00D60E44">
          <w:rPr>
            <w:rStyle w:val="Hyperlink"/>
            <w:sz w:val="24"/>
            <w:szCs w:val="24"/>
          </w:rPr>
          <w:t>https://public.fastcase.com/Wl%2B2t%2BeVuI35%2FN70vAMFZry7Wdfw%2FJOcYD0w2Kcl2Q1FxaIYO1NAtHxZOlhNOguL</w:t>
        </w:r>
      </w:hyperlink>
      <w:r>
        <w:rPr>
          <w:rFonts w:ascii="Times New Roman" w:hAnsi="Times New Roman"/>
          <w:sz w:val="24"/>
          <w:szCs w:val="24"/>
        </w:rPr>
        <w:t xml:space="preserve"> </w:t>
      </w:r>
    </w:p>
    <w:p w14:paraId="0CE04CAE" w14:textId="77777777" w:rsidR="00EC1BFB" w:rsidRDefault="00EC1BFB" w:rsidP="00F326E5">
      <w:pPr>
        <w:pStyle w:val="NoSpacing"/>
        <w:rPr>
          <w:rFonts w:ascii="Arial Black" w:hAnsi="Arial Black"/>
          <w:sz w:val="24"/>
          <w:szCs w:val="24"/>
        </w:rPr>
      </w:pPr>
    </w:p>
    <w:p w14:paraId="16BD07C0" w14:textId="77777777" w:rsidR="00EC1BFB" w:rsidRDefault="00EC1BFB" w:rsidP="00EC1BFB">
      <w:pPr>
        <w:spacing w:before="100" w:beforeAutospacing="1" w:after="100" w:afterAutospacing="1" w:line="240" w:lineRule="auto"/>
        <w:rPr>
          <w:rFonts w:ascii="Times New Roman" w:hAnsi="Times New Roman"/>
          <w:b/>
          <w:bCs/>
          <w:sz w:val="24"/>
          <w:szCs w:val="24"/>
        </w:rPr>
      </w:pPr>
      <w:bookmarkStart w:id="595" w:name="_Hlk66950362"/>
      <w:r w:rsidRPr="00DA2B2C">
        <w:rPr>
          <w:rFonts w:ascii="Times New Roman" w:hAnsi="Times New Roman"/>
          <w:b/>
          <w:bCs/>
          <w:sz w:val="24"/>
          <w:szCs w:val="24"/>
        </w:rPr>
        <w:t>Legal Lesson Learned:</w:t>
      </w:r>
      <w:r>
        <w:rPr>
          <w:rFonts w:ascii="Times New Roman" w:hAnsi="Times New Roman"/>
          <w:b/>
          <w:bCs/>
          <w:sz w:val="24"/>
          <w:szCs w:val="24"/>
        </w:rPr>
        <w:t xml:space="preserve"> Chief officers must be careful to avoid using any terms that could be perceived as threatening. </w:t>
      </w:r>
    </w:p>
    <w:p w14:paraId="6CDF1D19" w14:textId="77777777" w:rsidR="00EC1BFB" w:rsidRPr="00DA2B2C" w:rsidRDefault="00EC1BFB" w:rsidP="00EC1BFB">
      <w:pPr>
        <w:pStyle w:val="NoSpacing"/>
        <w:ind w:left="720" w:firstLine="60"/>
        <w:rPr>
          <w:rFonts w:ascii="Times New Roman" w:hAnsi="Times New Roman"/>
          <w:sz w:val="24"/>
          <w:szCs w:val="24"/>
        </w:rPr>
      </w:pPr>
      <w:r w:rsidRPr="00DA2B2C">
        <w:rPr>
          <w:rFonts w:ascii="Times New Roman" w:hAnsi="Times New Roman"/>
          <w:sz w:val="24"/>
          <w:szCs w:val="24"/>
        </w:rPr>
        <w:t xml:space="preserve">Note: See article about this case.  “Appeals court rules in favor of city of Youngstown in firefighters' union dispute.” </w:t>
      </w:r>
      <w:r>
        <w:rPr>
          <w:rFonts w:ascii="Times New Roman" w:hAnsi="Times New Roman"/>
          <w:sz w:val="24"/>
          <w:szCs w:val="24"/>
        </w:rPr>
        <w:t xml:space="preserve">(March 3, 2021) </w:t>
      </w:r>
      <w:hyperlink r:id="rId2758" w:history="1">
        <w:r w:rsidRPr="00D60E44">
          <w:rPr>
            <w:rStyle w:val="Hyperlink"/>
            <w:sz w:val="24"/>
            <w:szCs w:val="24"/>
          </w:rPr>
          <w:t>https://www.wfmj.com/story/41405965/chief-working-under-last-chance-agreement-angers-youngstown-firefighters</w:t>
        </w:r>
      </w:hyperlink>
      <w:r w:rsidRPr="00DA2B2C">
        <w:rPr>
          <w:rFonts w:ascii="Times New Roman" w:hAnsi="Times New Roman"/>
          <w:sz w:val="24"/>
          <w:szCs w:val="24"/>
        </w:rPr>
        <w:t xml:space="preserve"> </w:t>
      </w:r>
    </w:p>
    <w:p w14:paraId="466C4BCE" w14:textId="77777777" w:rsidR="00EC1BFB" w:rsidRPr="0015474E" w:rsidRDefault="00EC1BFB" w:rsidP="00EC1BFB">
      <w:pPr>
        <w:spacing w:before="100" w:beforeAutospacing="1" w:after="100" w:afterAutospacing="1" w:line="240" w:lineRule="auto"/>
        <w:rPr>
          <w:rFonts w:ascii="Times New Roman" w:eastAsia="Times New Roman" w:hAnsi="Times New Roman"/>
          <w:sz w:val="24"/>
          <w:szCs w:val="24"/>
        </w:rPr>
      </w:pPr>
    </w:p>
    <w:p w14:paraId="50512281" w14:textId="77777777" w:rsidR="00EC1BFB" w:rsidRDefault="00EC1BFB" w:rsidP="00F326E5">
      <w:pPr>
        <w:pStyle w:val="NoSpacing"/>
        <w:rPr>
          <w:rFonts w:ascii="Arial Black" w:hAnsi="Arial Black"/>
          <w:sz w:val="24"/>
          <w:szCs w:val="24"/>
        </w:rPr>
      </w:pPr>
    </w:p>
    <w:p w14:paraId="13994F1D" w14:textId="77777777" w:rsidR="00EC1BFB" w:rsidRDefault="00EC1BFB" w:rsidP="00F326E5">
      <w:pPr>
        <w:pStyle w:val="NoSpacing"/>
        <w:rPr>
          <w:rFonts w:ascii="Arial Black" w:hAnsi="Arial Black"/>
          <w:sz w:val="24"/>
          <w:szCs w:val="24"/>
        </w:rPr>
      </w:pPr>
    </w:p>
    <w:p w14:paraId="7C709F7B" w14:textId="77777777" w:rsidR="00EC1BFB" w:rsidRDefault="00EC1BFB" w:rsidP="00F326E5">
      <w:pPr>
        <w:pStyle w:val="NoSpacing"/>
        <w:rPr>
          <w:rFonts w:ascii="Arial Black" w:hAnsi="Arial Black"/>
          <w:sz w:val="24"/>
          <w:szCs w:val="24"/>
        </w:rPr>
      </w:pPr>
    </w:p>
    <w:p w14:paraId="49957FE6" w14:textId="7B7CC3CE" w:rsidR="00EB2493" w:rsidRDefault="00EB2493" w:rsidP="00F326E5">
      <w:pPr>
        <w:pStyle w:val="NoSpacing"/>
        <w:rPr>
          <w:rFonts w:ascii="Arial Black" w:hAnsi="Arial Black"/>
          <w:sz w:val="24"/>
          <w:szCs w:val="24"/>
        </w:rPr>
      </w:pPr>
      <w:r>
        <w:rPr>
          <w:rFonts w:ascii="Arial Black" w:hAnsi="Arial Black"/>
          <w:sz w:val="24"/>
          <w:szCs w:val="24"/>
        </w:rPr>
        <w:t>16-51</w:t>
      </w:r>
    </w:p>
    <w:p w14:paraId="7EA31AA0" w14:textId="77777777" w:rsidR="00EB2493" w:rsidRPr="00EE15C8" w:rsidRDefault="00EB2493" w:rsidP="00EB2493">
      <w:pPr>
        <w:rPr>
          <w:rFonts w:ascii="Arial Black" w:hAnsi="Arial Black"/>
          <w:sz w:val="28"/>
          <w:szCs w:val="28"/>
        </w:rPr>
      </w:pPr>
      <w:r>
        <w:rPr>
          <w:rFonts w:ascii="Arial Black" w:hAnsi="Arial Black"/>
          <w:sz w:val="28"/>
          <w:szCs w:val="28"/>
        </w:rPr>
        <w:t xml:space="preserve">IL: HORSEPLAY – CHICAGO FF GRABBED GENITALS OF MEDIC PROBIE – FF FIRED – MEDIC’S FED. CASE DISMISSED </w:t>
      </w:r>
    </w:p>
    <w:p w14:paraId="52416462" w14:textId="77777777" w:rsidR="00EB2493" w:rsidRDefault="00EB2493" w:rsidP="00EB2493">
      <w:pPr>
        <w:rPr>
          <w:rFonts w:ascii="Times New Roman" w:hAnsi="Times New Roman"/>
          <w:sz w:val="24"/>
          <w:szCs w:val="24"/>
        </w:rPr>
      </w:pPr>
      <w:r w:rsidRPr="004377F8">
        <w:rPr>
          <w:rFonts w:ascii="Times New Roman" w:hAnsi="Times New Roman"/>
          <w:sz w:val="24"/>
          <w:szCs w:val="24"/>
        </w:rPr>
        <w:t xml:space="preserve">On Feb. 23, 2021, in </w:t>
      </w:r>
      <w:r w:rsidRPr="004377F8">
        <w:rPr>
          <w:rFonts w:ascii="Times New Roman" w:hAnsi="Times New Roman"/>
          <w:sz w:val="24"/>
          <w:szCs w:val="24"/>
          <w:u w:val="single"/>
        </w:rPr>
        <w:t>Patrick Blake v, William Regan and The City of Chicago</w:t>
      </w:r>
      <w:r>
        <w:rPr>
          <w:rFonts w:ascii="Times New Roman" w:hAnsi="Times New Roman"/>
          <w:sz w:val="24"/>
          <w:szCs w:val="24"/>
        </w:rPr>
        <w:t xml:space="preserve">, U.S. District Court Judge Manish S. Shan, U.S. District Court for the Northern District of Illinois (Eastern Division), granted the defendants’ motion to dismiss; horseplay conduct was basis of discipline, improper, but facts don’t support a Federal claim of “deprivation of constitutional rights.” </w:t>
      </w:r>
    </w:p>
    <w:bookmarkEnd w:id="595"/>
    <w:p w14:paraId="31B4F1F9" w14:textId="77777777" w:rsidR="00EB2493" w:rsidRDefault="00EB2493" w:rsidP="00EB2493">
      <w:pPr>
        <w:ind w:left="720"/>
        <w:rPr>
          <w:rFonts w:ascii="Times New Roman" w:hAnsi="Times New Roman"/>
          <w:sz w:val="24"/>
          <w:szCs w:val="24"/>
        </w:rPr>
      </w:pPr>
      <w:r>
        <w:rPr>
          <w:rFonts w:ascii="Times New Roman" w:hAnsi="Times New Roman"/>
          <w:sz w:val="24"/>
          <w:szCs w:val="24"/>
        </w:rPr>
        <w:t>“</w:t>
      </w:r>
      <w:r w:rsidRPr="004377F8">
        <w:rPr>
          <w:rFonts w:ascii="Times New Roman" w:hAnsi="Times New Roman"/>
          <w:sz w:val="24"/>
          <w:szCs w:val="24"/>
        </w:rPr>
        <w:t xml:space="preserve">After Chicago firefighter William Regan was found not guilty of battery in state court, former paramedic-trainee Patrick Blake filed this Section 1983 lawsuit against Regan, alleging that Regan seized Blake in violation of the Fourth Amendment when Regan grabbed Blake's genitals. Blake also filed </w:t>
      </w:r>
      <w:r w:rsidRPr="004377F8">
        <w:rPr>
          <w:rFonts w:ascii="Times New Roman" w:hAnsi="Times New Roman"/>
          <w:i/>
          <w:iCs/>
          <w:sz w:val="24"/>
          <w:szCs w:val="24"/>
        </w:rPr>
        <w:t>Monell</w:t>
      </w:r>
      <w:r w:rsidRPr="004377F8">
        <w:rPr>
          <w:rFonts w:ascii="Times New Roman" w:hAnsi="Times New Roman"/>
          <w:sz w:val="24"/>
          <w:szCs w:val="24"/>
        </w:rPr>
        <w:t xml:space="preserve"> and indemnification claims against Regan's employer, the City of Chicago. For the reasons stated below, the defendants' motions to dismiss are granted.</w:t>
      </w:r>
    </w:p>
    <w:p w14:paraId="05B3A64B" w14:textId="77777777" w:rsidR="00EB2493" w:rsidRPr="004377F8" w:rsidRDefault="00EB2493" w:rsidP="00EB2493">
      <w:pPr>
        <w:ind w:left="720"/>
        <w:rPr>
          <w:rFonts w:ascii="Times New Roman" w:hAnsi="Times New Roman"/>
          <w:sz w:val="24"/>
          <w:szCs w:val="24"/>
        </w:rPr>
      </w:pPr>
      <w:r>
        <w:rPr>
          <w:rFonts w:ascii="Times New Roman" w:hAnsi="Times New Roman"/>
          <w:sz w:val="24"/>
          <w:szCs w:val="24"/>
        </w:rPr>
        <w:t>***</w:t>
      </w:r>
    </w:p>
    <w:p w14:paraId="57FF2DA3" w14:textId="77777777" w:rsidR="00EB2493" w:rsidRDefault="00EB2493" w:rsidP="00EB2493">
      <w:pPr>
        <w:ind w:left="720"/>
        <w:rPr>
          <w:rFonts w:ascii="Times New Roman" w:hAnsi="Times New Roman"/>
          <w:sz w:val="24"/>
          <w:szCs w:val="24"/>
        </w:rPr>
      </w:pPr>
      <w:r w:rsidRPr="004377F8">
        <w:rPr>
          <w:rFonts w:ascii="Times New Roman" w:hAnsi="Times New Roman"/>
          <w:sz w:val="24"/>
          <w:szCs w:val="24"/>
        </w:rPr>
        <w:t>Since Blake fails to allege a deprivation of constitutional rights under color of state law, his § 1983 claims against Regan and the City of Chicago fail.</w:t>
      </w:r>
    </w:p>
    <w:p w14:paraId="7386AE5D" w14:textId="77777777" w:rsidR="00EB2493" w:rsidRDefault="00EB2493" w:rsidP="00EB2493">
      <w:pPr>
        <w:ind w:left="720"/>
        <w:rPr>
          <w:rFonts w:ascii="Times New Roman" w:hAnsi="Times New Roman"/>
          <w:sz w:val="24"/>
          <w:szCs w:val="24"/>
        </w:rPr>
      </w:pPr>
      <w:r>
        <w:rPr>
          <w:rFonts w:ascii="Times New Roman" w:hAnsi="Times New Roman"/>
          <w:sz w:val="24"/>
          <w:szCs w:val="24"/>
        </w:rPr>
        <w:t>***</w:t>
      </w:r>
    </w:p>
    <w:p w14:paraId="10DC120F" w14:textId="77777777" w:rsidR="00EB2493" w:rsidRDefault="00EB2493" w:rsidP="00EB2493">
      <w:pPr>
        <w:pStyle w:val="NormalWeb"/>
        <w:ind w:left="720"/>
      </w:pPr>
      <w:r>
        <w:t xml:space="preserve">The allegations of the complaint make it certain that Blake was free to </w:t>
      </w:r>
      <w:proofErr w:type="gramStart"/>
      <w:r>
        <w:t>leave</w:t>
      </w:r>
      <w:proofErr w:type="gramEnd"/>
      <w:r>
        <w:t xml:space="preserve"> and Regan acted out of private authority. Blake's § 1983 claims against Regan and the City are dismissed with </w:t>
      </w:r>
      <w:proofErr w:type="spellStart"/>
      <w:r>
        <w:lastRenderedPageBreak/>
        <w:t>prejudice.</w:t>
      </w:r>
      <w:hyperlink r:id="rId2759" w:anchor="fr7" w:history="1">
        <w:r w:rsidR="00814FB6">
          <w:rPr>
            <w:rStyle w:val="Hyperlink"/>
            <w:rFonts w:ascii="Calibri" w:eastAsia="Calibri" w:hAnsi="Calibri"/>
            <w:sz w:val="22"/>
            <w:szCs w:val="22"/>
          </w:rPr>
          <w:t>https</w:t>
        </w:r>
        <w:proofErr w:type="spellEnd"/>
        <w:r w:rsidR="00814FB6">
          <w:rPr>
            <w:rStyle w:val="Hyperlink"/>
            <w:rFonts w:ascii="Calibri" w:eastAsia="Calibri" w:hAnsi="Calibri"/>
            <w:sz w:val="22"/>
            <w:szCs w:val="22"/>
          </w:rPr>
          <w:t>://public.fastcase.com/ - fr7</w:t>
        </w:r>
      </w:hyperlink>
      <w:r>
        <w:rPr>
          <w:sz w:val="20"/>
          <w:szCs w:val="20"/>
          <w:vertAlign w:val="superscript"/>
        </w:rPr>
        <w:t xml:space="preserve"> </w:t>
      </w:r>
      <w:r>
        <w:t xml:space="preserve"> Blake's state-law indemnification claim is based on the same conduct as his constitutional claim. A tort judgment is a prerequisite to any claim of payment under the Illinois Tort Immunity Act, and Blake cannot obtain one if he fails to allege </w:t>
      </w:r>
      <w:proofErr w:type="gramStart"/>
      <w:r>
        <w:t>a constitutional</w:t>
      </w:r>
      <w:proofErr w:type="gramEnd"/>
      <w:r>
        <w:t xml:space="preserve"> tort. </w:t>
      </w:r>
      <w:r>
        <w:rPr>
          <w:i/>
          <w:iCs/>
        </w:rPr>
        <w:t>See</w:t>
      </w:r>
      <w:r>
        <w:t xml:space="preserve"> 745 ILCS § 10/9-102.</w:t>
      </w:r>
      <w:r>
        <w:rPr>
          <w:sz w:val="20"/>
          <w:szCs w:val="20"/>
          <w:vertAlign w:val="superscript"/>
        </w:rPr>
        <w:t xml:space="preserve"> </w:t>
      </w:r>
      <w:r>
        <w:t xml:space="preserve"> </w:t>
      </w:r>
      <w:bookmarkStart w:id="596" w:name="_Hlk66950392"/>
      <w:r w:rsidR="00F00958">
        <w:fldChar w:fldCharType="begin"/>
      </w:r>
      <w:r w:rsidR="00F00958">
        <w:instrText xml:space="preserve"> HYPERLINK "https://cases.justia.com/federal/district-courts/illinois/ilndce/1:2020cv04065/377664/27/0.pdf" </w:instrText>
      </w:r>
      <w:r w:rsidR="00F00958">
        <w:fldChar w:fldCharType="separate"/>
      </w:r>
      <w:r w:rsidRPr="00800310">
        <w:rPr>
          <w:rStyle w:val="Hyperlink"/>
        </w:rPr>
        <w:t>https://cases.justia.com/federal/district-courts/illinois/ilndce/1:2020cv04065/377664/27/0.pdf</w:t>
      </w:r>
      <w:r w:rsidR="00F00958">
        <w:rPr>
          <w:rStyle w:val="Hyperlink"/>
        </w:rPr>
        <w:fldChar w:fldCharType="end"/>
      </w:r>
      <w:r>
        <w:t xml:space="preserve"> </w:t>
      </w:r>
    </w:p>
    <w:p w14:paraId="0DA4A54D" w14:textId="77777777" w:rsidR="00EB2493" w:rsidRDefault="00EB2493" w:rsidP="00EB2493">
      <w:pPr>
        <w:pStyle w:val="NormalWeb"/>
      </w:pPr>
      <w:r w:rsidRPr="00192F79">
        <w:rPr>
          <w:b/>
          <w:bCs/>
        </w:rPr>
        <w:t>Legal Lesson Learned:</w:t>
      </w:r>
      <w:r>
        <w:rPr>
          <w:b/>
          <w:bCs/>
        </w:rPr>
        <w:t xml:space="preserve"> Horseplay in this case crossed the line; what a terrible example of inappropriate conduct by a training officer. </w:t>
      </w:r>
    </w:p>
    <w:bookmarkEnd w:id="596"/>
    <w:p w14:paraId="5DC2361F" w14:textId="77777777" w:rsidR="00EB2493" w:rsidRDefault="00EB2493" w:rsidP="00F326E5">
      <w:pPr>
        <w:pStyle w:val="NoSpacing"/>
        <w:rPr>
          <w:rFonts w:ascii="Arial Black" w:hAnsi="Arial Black"/>
          <w:sz w:val="24"/>
          <w:szCs w:val="24"/>
        </w:rPr>
      </w:pPr>
    </w:p>
    <w:p w14:paraId="673C9AF3" w14:textId="77777777" w:rsidR="00EB2493" w:rsidRDefault="00EB2493" w:rsidP="00F326E5">
      <w:pPr>
        <w:pStyle w:val="NoSpacing"/>
        <w:rPr>
          <w:rFonts w:ascii="Arial Black" w:hAnsi="Arial Black"/>
          <w:sz w:val="24"/>
          <w:szCs w:val="24"/>
        </w:rPr>
      </w:pPr>
    </w:p>
    <w:p w14:paraId="7F1F2584" w14:textId="77777777" w:rsidR="00EB2493" w:rsidRDefault="00EB2493" w:rsidP="00F326E5">
      <w:pPr>
        <w:pStyle w:val="NoSpacing"/>
        <w:rPr>
          <w:rFonts w:ascii="Arial Black" w:hAnsi="Arial Black"/>
          <w:sz w:val="24"/>
          <w:szCs w:val="24"/>
        </w:rPr>
      </w:pPr>
    </w:p>
    <w:p w14:paraId="37342B32" w14:textId="1B113B5D" w:rsidR="00AD5461" w:rsidRDefault="00AD5461" w:rsidP="00F326E5">
      <w:pPr>
        <w:pStyle w:val="NoSpacing"/>
        <w:rPr>
          <w:rFonts w:ascii="Arial Black" w:hAnsi="Arial Black"/>
          <w:sz w:val="24"/>
          <w:szCs w:val="24"/>
        </w:rPr>
      </w:pPr>
      <w:bookmarkStart w:id="597" w:name="_Hlk66950424"/>
      <w:r>
        <w:rPr>
          <w:rFonts w:ascii="Arial Black" w:hAnsi="Arial Black"/>
          <w:sz w:val="24"/>
          <w:szCs w:val="24"/>
        </w:rPr>
        <w:t>16-50</w:t>
      </w:r>
    </w:p>
    <w:p w14:paraId="76AD4517" w14:textId="77777777" w:rsidR="00AD5461" w:rsidRPr="005B755E" w:rsidRDefault="00AD5461" w:rsidP="00AD5461">
      <w:pPr>
        <w:pStyle w:val="NoSpacing"/>
        <w:rPr>
          <w:rFonts w:ascii="Arial Black" w:hAnsi="Arial Black"/>
          <w:sz w:val="28"/>
          <w:szCs w:val="28"/>
        </w:rPr>
      </w:pPr>
      <w:r>
        <w:rPr>
          <w:rFonts w:ascii="Arial Black" w:hAnsi="Arial Black"/>
          <w:sz w:val="28"/>
          <w:szCs w:val="28"/>
        </w:rPr>
        <w:t>IL: FD CAPTAIN DRUGGED YOUNG MALE FF WITH CIALIS AND KETAMINE – SEX ASSAULT - 36 YEARS IN PRISON</w:t>
      </w:r>
    </w:p>
    <w:p w14:paraId="7040843B" w14:textId="77777777" w:rsidR="00AD5461" w:rsidRDefault="00AD5461" w:rsidP="00AD546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Jan. 22, 2021, in </w:t>
      </w:r>
      <w:r w:rsidRPr="005B755E">
        <w:rPr>
          <w:rFonts w:ascii="Times New Roman" w:hAnsi="Times New Roman"/>
          <w:sz w:val="24"/>
          <w:szCs w:val="24"/>
          <w:u w:val="single"/>
        </w:rPr>
        <w:t>The People of The State of Illinois v. David J. Dunn</w:t>
      </w:r>
      <w:r>
        <w:rPr>
          <w:rFonts w:ascii="Times New Roman" w:hAnsi="Times New Roman"/>
          <w:sz w:val="24"/>
          <w:szCs w:val="24"/>
        </w:rPr>
        <w:t xml:space="preserve">, the Illinois Court of Appeals for the Fourth District, </w:t>
      </w:r>
      <w:r w:rsidRPr="00172C02">
        <w:rPr>
          <w:rFonts w:ascii="Times New Roman" w:eastAsia="Times New Roman" w:hAnsi="Times New Roman"/>
          <w:sz w:val="24"/>
          <w:szCs w:val="24"/>
        </w:rPr>
        <w:t>2021 IL App (4th) 180552-U</w:t>
      </w:r>
      <w:r>
        <w:rPr>
          <w:rFonts w:ascii="Times New Roman" w:eastAsia="Times New Roman" w:hAnsi="Times New Roman"/>
          <w:sz w:val="24"/>
          <w:szCs w:val="24"/>
        </w:rPr>
        <w:t xml:space="preserve">, </w:t>
      </w:r>
      <w:r>
        <w:rPr>
          <w:rFonts w:ascii="Times New Roman" w:hAnsi="Times New Roman"/>
          <w:sz w:val="24"/>
          <w:szCs w:val="24"/>
        </w:rPr>
        <w:t xml:space="preserve">held (3 to 0) that jury properly convicted the Captain; at his going away party, before leaving to Alaska to become a Fire Chief, he put Cialis in victim’s beer, and then ketamine, and videotaped his assaulting the victim. </w:t>
      </w:r>
    </w:p>
    <w:bookmarkEnd w:id="597"/>
    <w:p w14:paraId="761DB574" w14:textId="77777777" w:rsidR="00AD5461" w:rsidRPr="005B755E" w:rsidRDefault="00AD5461" w:rsidP="00AD5461">
      <w:pPr>
        <w:spacing w:before="100" w:beforeAutospacing="1" w:after="100" w:afterAutospacing="1" w:line="240" w:lineRule="auto"/>
        <w:ind w:left="720"/>
        <w:rPr>
          <w:rFonts w:ascii="Times New Roman" w:hAnsi="Times New Roman"/>
          <w:sz w:val="24"/>
          <w:szCs w:val="24"/>
        </w:rPr>
      </w:pPr>
      <w:r w:rsidRPr="005B755E">
        <w:rPr>
          <w:rFonts w:ascii="Times New Roman" w:hAnsi="Times New Roman"/>
          <w:sz w:val="24"/>
          <w:szCs w:val="24"/>
        </w:rPr>
        <w:t xml:space="preserve">"Based upon the testimony, the evidence presented at trial, at some point in the evening in question, this defendant, by his own admission, put Cialis in the victim's beer. That was obviously designed for one purpose and one purpose only. The victim became intoxicated, the defendant then introduced ketamine into his system, and when the crowd dispersed, the defendant raped the victim and videotaped it, that reprehensible, deplorable offense. </w:t>
      </w:r>
      <w:proofErr w:type="gramStart"/>
      <w:r w:rsidRPr="005B755E">
        <w:rPr>
          <w:rFonts w:ascii="Times New Roman" w:hAnsi="Times New Roman"/>
          <w:sz w:val="24"/>
          <w:szCs w:val="24"/>
        </w:rPr>
        <w:t>So</w:t>
      </w:r>
      <w:proofErr w:type="gramEnd"/>
      <w:r w:rsidRPr="005B755E">
        <w:rPr>
          <w:rFonts w:ascii="Times New Roman" w:hAnsi="Times New Roman"/>
          <w:sz w:val="24"/>
          <w:szCs w:val="24"/>
        </w:rPr>
        <w:t xml:space="preserve"> the history, character, and condition of the defendant, in looking at the circumstances surrounding the offense, indicates that a sentence in excess of the minimum on counts three and four is appropriate."</w:t>
      </w:r>
      <w:r>
        <w:rPr>
          <w:rFonts w:ascii="Times New Roman" w:hAnsi="Times New Roman"/>
          <w:sz w:val="24"/>
          <w:szCs w:val="24"/>
        </w:rPr>
        <w:t xml:space="preserve"> </w:t>
      </w:r>
      <w:bookmarkStart w:id="598" w:name="_Hlk66950453"/>
      <w:r w:rsidR="00F00958">
        <w:fldChar w:fldCharType="begin"/>
      </w:r>
      <w:r w:rsidR="00F00958">
        <w:instrText xml:space="preserve"> HYPERLINK "https://courts.illinois.gov/R23_Orders/AppellateCourt/2021/4thDistrict/4180552_R23.pdf" </w:instrText>
      </w:r>
      <w:r w:rsidR="00F00958">
        <w:fldChar w:fldCharType="separate"/>
      </w:r>
      <w:r w:rsidRPr="00490C3C">
        <w:rPr>
          <w:rStyle w:val="Hyperlink"/>
          <w:rFonts w:ascii="Times New Roman" w:hAnsi="Times New Roman"/>
          <w:sz w:val="24"/>
          <w:szCs w:val="24"/>
        </w:rPr>
        <w:t>https://courts.illinois.gov/R23_Orders/AppellateCourt/2021/4thDistrict/4180552_R23.pdf</w:t>
      </w:r>
      <w:r w:rsidR="00F00958">
        <w:rPr>
          <w:rStyle w:val="Hyperlink"/>
          <w:rFonts w:ascii="Times New Roman" w:hAnsi="Times New Roman"/>
          <w:sz w:val="24"/>
          <w:szCs w:val="24"/>
        </w:rPr>
        <w:fldChar w:fldCharType="end"/>
      </w:r>
      <w:r>
        <w:rPr>
          <w:rFonts w:ascii="Times New Roman" w:hAnsi="Times New Roman"/>
          <w:sz w:val="24"/>
          <w:szCs w:val="24"/>
        </w:rPr>
        <w:t xml:space="preserve"> </w:t>
      </w:r>
    </w:p>
    <w:p w14:paraId="6112B883" w14:textId="77777777" w:rsidR="00AD5461" w:rsidRDefault="00AD5461" w:rsidP="00AD5461">
      <w:pPr>
        <w:pStyle w:val="NoSpacing"/>
        <w:rPr>
          <w:rFonts w:ascii="Times New Roman" w:hAnsi="Times New Roman"/>
          <w:b/>
          <w:bCs/>
          <w:sz w:val="24"/>
          <w:szCs w:val="24"/>
        </w:rPr>
      </w:pPr>
      <w:r w:rsidRPr="00172C02">
        <w:rPr>
          <w:rFonts w:ascii="Times New Roman" w:hAnsi="Times New Roman"/>
          <w:b/>
          <w:bCs/>
          <w:sz w:val="24"/>
          <w:szCs w:val="24"/>
        </w:rPr>
        <w:t>Legal Lesson Learned:</w:t>
      </w:r>
      <w:r>
        <w:rPr>
          <w:rFonts w:ascii="Times New Roman" w:hAnsi="Times New Roman"/>
          <w:b/>
          <w:bCs/>
          <w:sz w:val="24"/>
          <w:szCs w:val="24"/>
        </w:rPr>
        <w:t xml:space="preserve">  The 36-year sentence reflects the seriousness of the defendant’s conduct. </w:t>
      </w:r>
    </w:p>
    <w:bookmarkEnd w:id="598"/>
    <w:p w14:paraId="3993D05D" w14:textId="77777777" w:rsidR="00AD5461" w:rsidRDefault="00AD5461" w:rsidP="00F326E5">
      <w:pPr>
        <w:pStyle w:val="NoSpacing"/>
        <w:rPr>
          <w:rFonts w:ascii="Arial Black" w:hAnsi="Arial Black"/>
          <w:sz w:val="24"/>
          <w:szCs w:val="24"/>
        </w:rPr>
      </w:pPr>
    </w:p>
    <w:p w14:paraId="63C33ABC" w14:textId="77777777" w:rsidR="00AD5461" w:rsidRDefault="00AD5461" w:rsidP="00F326E5">
      <w:pPr>
        <w:pStyle w:val="NoSpacing"/>
        <w:rPr>
          <w:rFonts w:ascii="Arial Black" w:hAnsi="Arial Black"/>
          <w:sz w:val="24"/>
          <w:szCs w:val="24"/>
        </w:rPr>
      </w:pPr>
    </w:p>
    <w:p w14:paraId="5186A85F" w14:textId="77777777" w:rsidR="00AD5461" w:rsidRDefault="00AD5461" w:rsidP="00F326E5">
      <w:pPr>
        <w:pStyle w:val="NoSpacing"/>
        <w:rPr>
          <w:rFonts w:ascii="Arial Black" w:hAnsi="Arial Black"/>
          <w:sz w:val="24"/>
          <w:szCs w:val="24"/>
        </w:rPr>
      </w:pPr>
    </w:p>
    <w:p w14:paraId="2AECD8FD" w14:textId="53B13D39" w:rsidR="00F20BCE" w:rsidRPr="00AD5461" w:rsidRDefault="00F20BCE" w:rsidP="00F326E5">
      <w:pPr>
        <w:pStyle w:val="NoSpacing"/>
        <w:rPr>
          <w:rFonts w:ascii="Times New Roman" w:hAnsi="Times New Roman"/>
          <w:sz w:val="24"/>
          <w:szCs w:val="24"/>
        </w:rPr>
      </w:pPr>
      <w:r>
        <w:rPr>
          <w:rFonts w:ascii="Arial Black" w:hAnsi="Arial Black"/>
          <w:sz w:val="24"/>
          <w:szCs w:val="24"/>
        </w:rPr>
        <w:t xml:space="preserve">16-49 </w:t>
      </w:r>
      <w:r w:rsidRPr="00AD5461">
        <w:rPr>
          <w:rFonts w:ascii="Times New Roman" w:hAnsi="Times New Roman"/>
          <w:sz w:val="24"/>
          <w:szCs w:val="24"/>
        </w:rPr>
        <w:t>[also filed, Chap. 6]</w:t>
      </w:r>
    </w:p>
    <w:p w14:paraId="6F437A34" w14:textId="77777777" w:rsidR="00F20BCE" w:rsidRDefault="00F20BCE" w:rsidP="00F20BCE">
      <w:pPr>
        <w:spacing w:before="100" w:beforeAutospacing="1" w:after="100" w:afterAutospacing="1" w:line="240" w:lineRule="auto"/>
        <w:rPr>
          <w:rFonts w:ascii="Arial Black" w:hAnsi="Arial Black" w:cstheme="minorBidi"/>
          <w:sz w:val="28"/>
          <w:szCs w:val="28"/>
        </w:rPr>
      </w:pPr>
      <w:r>
        <w:rPr>
          <w:rFonts w:ascii="Arial Black" w:hAnsi="Arial Black"/>
          <w:sz w:val="28"/>
          <w:szCs w:val="28"/>
        </w:rPr>
        <w:t>MA: INTERNAL INVEST. OF TREASURER - EMPLOYEES PROVIDE INFO – PROTECTED FROM DEFAMATION – NO SPITE OR ILL WILL</w:t>
      </w:r>
    </w:p>
    <w:p w14:paraId="0AB3FCF4" w14:textId="77777777" w:rsidR="00F20BCE" w:rsidRDefault="00F20BCE" w:rsidP="00F20BC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10, 2020, in </w:t>
      </w:r>
      <w:r>
        <w:rPr>
          <w:rFonts w:ascii="Times New Roman" w:hAnsi="Times New Roman"/>
          <w:sz w:val="24"/>
          <w:szCs w:val="24"/>
          <w:u w:val="single"/>
        </w:rPr>
        <w:t>Diane Lawless v, Cheryl Estrella</w:t>
      </w:r>
      <w:r>
        <w:rPr>
          <w:rFonts w:ascii="Times New Roman" w:hAnsi="Times New Roman"/>
          <w:sz w:val="24"/>
          <w:szCs w:val="24"/>
        </w:rPr>
        <w:t xml:space="preserve">, the Massachusetts Court of Appeals held (3 to 0) that the trial court properly granted summary judgment and dismissed the lawsuit filed by the former Town Treasurer against a Senior Clerk who provided investigators with a 6-page e-mail documenting misconduct by the Treasurer. </w:t>
      </w:r>
    </w:p>
    <w:p w14:paraId="35FBCB06" w14:textId="77777777" w:rsidR="00F20BCE" w:rsidRDefault="00F20BCE" w:rsidP="00F20BC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“We conclude that an opinion based on disclosed, nondefamatory facts is not defamatory and that many of the allegedly defamatory statements constitute such opinions. Further concluding that an employee has a conditional privilege to provide information concerning another employee upon the request of a supervisor and that the plaintiff failed to raise a genuine issue of material fact that would allow a jury to </w:t>
      </w:r>
      <w:r>
        <w:rPr>
          <w:rFonts w:ascii="Times New Roman" w:hAnsi="Times New Roman"/>
          <w:sz w:val="24"/>
          <w:szCs w:val="24"/>
        </w:rPr>
        <w:lastRenderedPageBreak/>
        <w:t xml:space="preserve">find that this privilege was abused regarding the other statements, we affirm.” </w:t>
      </w:r>
      <w:hyperlink r:id="rId2760" w:history="1">
        <w:r>
          <w:rPr>
            <w:rStyle w:val="Hyperlink"/>
          </w:rPr>
          <w:t>https://www.massmunilaw.org/wp-content/uploads/2020/12/DIANE-LAWLESS-v.-CHERYL-ESTRELLA.pdf</w:t>
        </w:r>
      </w:hyperlink>
      <w:r>
        <w:rPr>
          <w:rFonts w:ascii="Times New Roman" w:hAnsi="Times New Roman"/>
          <w:sz w:val="24"/>
          <w:szCs w:val="24"/>
        </w:rPr>
        <w:t xml:space="preserve"> </w:t>
      </w:r>
    </w:p>
    <w:p w14:paraId="3A575859" w14:textId="77777777" w:rsidR="00F20BCE" w:rsidRDefault="00F20BCE" w:rsidP="00F20BCE">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Legal Lesson Learned: Internal investigations of a public official will often involve co-workers providing statements.  The “conditional privilege” is an important protection of these co-workers.</w:t>
      </w:r>
    </w:p>
    <w:p w14:paraId="43E52121" w14:textId="77777777" w:rsidR="00F20BCE" w:rsidRDefault="00F20BCE" w:rsidP="00F20BC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Note: The Court of Appeals referenced a Fire Department case where a co-worker also enjoyed protection from defamation lawsuit under the “conditional privilege.”  Kevin Barrows v. Wareham Fire District (Mass Court of Appeals; Oct. 12, 2012). </w:t>
      </w:r>
      <w:hyperlink r:id="rId2761" w:history="1">
        <w:r>
          <w:rPr>
            <w:rStyle w:val="Hyperlink"/>
          </w:rPr>
          <w:t>http://masscases.com/cases/app/82/82massappct623.html</w:t>
        </w:r>
      </w:hyperlink>
      <w:r>
        <w:t xml:space="preserve"> </w:t>
      </w:r>
    </w:p>
    <w:p w14:paraId="38E9753D" w14:textId="77777777" w:rsidR="00F20BCE" w:rsidRDefault="00F20BCE" w:rsidP="00F326E5">
      <w:pPr>
        <w:pStyle w:val="NoSpacing"/>
        <w:rPr>
          <w:rFonts w:ascii="Arial Black" w:hAnsi="Arial Black"/>
          <w:sz w:val="24"/>
          <w:szCs w:val="24"/>
        </w:rPr>
      </w:pPr>
    </w:p>
    <w:p w14:paraId="7C1B0B49" w14:textId="654744B4" w:rsidR="00F20BCE" w:rsidRDefault="00F20BCE" w:rsidP="00F326E5">
      <w:pPr>
        <w:pStyle w:val="NoSpacing"/>
        <w:rPr>
          <w:rFonts w:ascii="Arial Black" w:hAnsi="Arial Black"/>
          <w:sz w:val="24"/>
          <w:szCs w:val="24"/>
        </w:rPr>
      </w:pPr>
      <w:r>
        <w:rPr>
          <w:rFonts w:ascii="Arial Black" w:hAnsi="Arial Black"/>
          <w:sz w:val="24"/>
          <w:szCs w:val="24"/>
        </w:rPr>
        <w:t>16-48</w:t>
      </w:r>
    </w:p>
    <w:p w14:paraId="0A5DFC25" w14:textId="77777777" w:rsidR="00F20BCE" w:rsidRDefault="00F20BCE" w:rsidP="00F20BCE">
      <w:pPr>
        <w:spacing w:before="100" w:beforeAutospacing="1" w:after="100" w:afterAutospacing="1" w:line="240" w:lineRule="auto"/>
        <w:rPr>
          <w:rFonts w:ascii="Arial Black" w:eastAsiaTheme="minorHAnsi" w:hAnsi="Arial Black" w:cstheme="minorBidi"/>
          <w:sz w:val="28"/>
          <w:szCs w:val="28"/>
        </w:rPr>
      </w:pPr>
      <w:r>
        <w:rPr>
          <w:rFonts w:ascii="Arial Black" w:hAnsi="Arial Black"/>
          <w:sz w:val="28"/>
          <w:szCs w:val="28"/>
        </w:rPr>
        <w:t>OH: FF FIRED - FACEBOOK POSTS, TURNOUT GEAR, BAD GRANT DATA – TOWNSHIP CAN FIRE WITHOUT FIRE CHIEF RECOMM.</w:t>
      </w:r>
    </w:p>
    <w:p w14:paraId="529EC153" w14:textId="77777777" w:rsidR="00F20BCE" w:rsidRDefault="00F20BCE" w:rsidP="00F20BC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Nov. 25, 2020, in </w:t>
      </w:r>
      <w:r>
        <w:rPr>
          <w:rFonts w:ascii="Times New Roman" w:hAnsi="Times New Roman"/>
          <w:sz w:val="24"/>
          <w:szCs w:val="24"/>
          <w:u w:val="single"/>
        </w:rPr>
        <w:t>Karl D. Gerhart v. Union Township Board of Trustees</w:t>
      </w:r>
      <w:r>
        <w:rPr>
          <w:rFonts w:ascii="Times New Roman" w:hAnsi="Times New Roman"/>
          <w:sz w:val="24"/>
          <w:szCs w:val="24"/>
        </w:rPr>
        <w:t xml:space="preserve">, the Court of Appeals of Ohio, Fourth Appellate District (Ross County), 2020 Ohio 5615, held (3 to 0) that the firefighter was properly fired by the Township under Ohio Revised Code, even if the FD’s manual calls for the Fire Chief to recommend termination. </w:t>
      </w:r>
    </w:p>
    <w:p w14:paraId="2F6B7B99" w14:textId="77777777" w:rsidR="00F20BCE" w:rsidRDefault="00F20BCE" w:rsidP="00F20BC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“[Defendant] thus argues that the disciplinary manual required the chief to recommend to the board of trustees his removal.  </w:t>
      </w:r>
    </w:p>
    <w:p w14:paraId="49716C61" w14:textId="77777777" w:rsidR="00F20BCE" w:rsidRDefault="00F20BCE" w:rsidP="00F20BC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R.C. 505.38 provides for the removal of firefighters in accordance with R.C. 733.35. R.C. 733.35 provides that a firefighter may be removed if he ‘has been guilty, in the performance of his official duty, of bribery, misfeasance, malfeasance, nonfeasance, misconduct in office, gross neglect of duty, gross immorality, or habitual drunkenness.’</w:t>
      </w:r>
    </w:p>
    <w:p w14:paraId="1F57B03D" w14:textId="77777777" w:rsidR="00F20BCE" w:rsidRDefault="00F20BCE" w:rsidP="00F20BCE">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 xml:space="preserve">In the case sub judice, the board of trustees’ cited reasons for terminating appellant tracks the language contained in R.C. 733.35, i.e., misfeasance, malfeasance, and misconduct in office.” </w:t>
      </w:r>
      <w:hyperlink r:id="rId2762" w:history="1">
        <w:r>
          <w:rPr>
            <w:rStyle w:val="Hyperlink"/>
          </w:rPr>
          <w:t>https://www.supremecourt.ohio.gov/rod/docs/pdf/4/2020/2020-Ohio-5615.pdf</w:t>
        </w:r>
      </w:hyperlink>
      <w:r>
        <w:rPr>
          <w:rFonts w:ascii="Times New Roman" w:hAnsi="Times New Roman"/>
          <w:sz w:val="24"/>
          <w:szCs w:val="24"/>
        </w:rPr>
        <w:t xml:space="preserve"> </w:t>
      </w:r>
    </w:p>
    <w:p w14:paraId="63AA2E38" w14:textId="77777777" w:rsidR="00F20BCE" w:rsidRDefault="00F20BCE" w:rsidP="00F20BCE">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 Learned: The evidence presented to the Township Trustees supported his termination. </w:t>
      </w:r>
    </w:p>
    <w:p w14:paraId="13D26AF5" w14:textId="77777777" w:rsidR="00F20BCE" w:rsidRDefault="00F20BCE" w:rsidP="00F326E5">
      <w:pPr>
        <w:pStyle w:val="NoSpacing"/>
        <w:rPr>
          <w:rFonts w:ascii="Arial Black" w:hAnsi="Arial Black"/>
          <w:sz w:val="24"/>
          <w:szCs w:val="24"/>
        </w:rPr>
      </w:pPr>
    </w:p>
    <w:p w14:paraId="1A434715" w14:textId="77777777" w:rsidR="00F20BCE" w:rsidRDefault="00F20BCE" w:rsidP="00F326E5">
      <w:pPr>
        <w:pStyle w:val="NoSpacing"/>
        <w:rPr>
          <w:rFonts w:ascii="Arial Black" w:hAnsi="Arial Black"/>
          <w:sz w:val="24"/>
          <w:szCs w:val="24"/>
        </w:rPr>
      </w:pPr>
    </w:p>
    <w:p w14:paraId="4E93B618" w14:textId="348CD7E5" w:rsidR="00663A6A" w:rsidRDefault="00663A6A" w:rsidP="00F326E5">
      <w:pPr>
        <w:pStyle w:val="NoSpacing"/>
        <w:rPr>
          <w:rFonts w:ascii="Arial Black" w:hAnsi="Arial Black"/>
          <w:sz w:val="24"/>
          <w:szCs w:val="24"/>
        </w:rPr>
      </w:pPr>
      <w:r>
        <w:rPr>
          <w:rFonts w:ascii="Arial Black" w:hAnsi="Arial Black"/>
          <w:sz w:val="24"/>
          <w:szCs w:val="24"/>
        </w:rPr>
        <w:t>16-47</w:t>
      </w:r>
    </w:p>
    <w:p w14:paraId="0547978D" w14:textId="268DBC70" w:rsidR="00663A6A" w:rsidRDefault="00663A6A" w:rsidP="00F326E5">
      <w:pPr>
        <w:pStyle w:val="NoSpacing"/>
        <w:rPr>
          <w:rFonts w:ascii="Arial Black" w:hAnsi="Arial Black"/>
          <w:sz w:val="24"/>
          <w:szCs w:val="24"/>
        </w:rPr>
      </w:pPr>
    </w:p>
    <w:p w14:paraId="19B0A905" w14:textId="77777777" w:rsidR="00663A6A" w:rsidRPr="00A30759" w:rsidRDefault="00663A6A" w:rsidP="00663A6A">
      <w:pPr>
        <w:pStyle w:val="NoSpacing"/>
        <w:rPr>
          <w:rFonts w:ascii="Arial Black" w:hAnsi="Arial Black"/>
          <w:sz w:val="28"/>
          <w:szCs w:val="28"/>
        </w:rPr>
      </w:pPr>
      <w:r>
        <w:rPr>
          <w:rFonts w:ascii="Arial Black" w:hAnsi="Arial Black"/>
          <w:sz w:val="28"/>
          <w:szCs w:val="28"/>
        </w:rPr>
        <w:t>OK: FIRE CHIEF FIRED – WRITTEN WARNING, 1-YR LATER NEVER WORKED FF SHIFT, OTHER ISSUES - FIRED FOR “GOOD CAUSE”</w:t>
      </w:r>
    </w:p>
    <w:p w14:paraId="2950E5A2" w14:textId="77777777" w:rsidR="00663A6A" w:rsidRDefault="00663A6A" w:rsidP="00663A6A">
      <w:pPr>
        <w:tabs>
          <w:tab w:val="left" w:pos="7150"/>
        </w:tabs>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On Nov. 4</w:t>
      </w:r>
      <w:proofErr w:type="gramStart"/>
      <w:r>
        <w:rPr>
          <w:rFonts w:ascii="Times New Roman" w:eastAsia="Times New Roman" w:hAnsi="Times New Roman"/>
          <w:sz w:val="24"/>
          <w:szCs w:val="24"/>
        </w:rPr>
        <w:t xml:space="preserve"> 2020</w:t>
      </w:r>
      <w:proofErr w:type="gramEnd"/>
      <w:r>
        <w:rPr>
          <w:rFonts w:ascii="Times New Roman" w:eastAsia="Times New Roman" w:hAnsi="Times New Roman"/>
          <w:sz w:val="24"/>
          <w:szCs w:val="24"/>
        </w:rPr>
        <w:t xml:space="preserve">, in </w:t>
      </w:r>
      <w:r w:rsidRPr="00A30759">
        <w:rPr>
          <w:rFonts w:ascii="Times New Roman" w:eastAsia="Times New Roman" w:hAnsi="Times New Roman"/>
          <w:sz w:val="24"/>
          <w:szCs w:val="24"/>
          <w:u w:val="single"/>
        </w:rPr>
        <w:t>Stephen Parmenter v. City of Nowata, Oklahoma</w:t>
      </w:r>
      <w:r>
        <w:rPr>
          <w:rFonts w:ascii="Times New Roman" w:eastAsia="Times New Roman" w:hAnsi="Times New Roman"/>
          <w:sz w:val="24"/>
          <w:szCs w:val="24"/>
        </w:rPr>
        <w:t xml:space="preserve">, U.S. District Court Judge Terence C. Kern, U.S. District Court for the Northern District of Oklahoma, granted the City’s motion for summary judgment.  The Fire Chief worked for a Chartered City which empowered the City Manager to terminate heads of department and others “at will.”  In Aug. 2017, the City Manager issued written reprimand documenting numerous personnel issues; the Manager also added a requirement the Chief work one shift per week, which he never did for following year. </w:t>
      </w:r>
    </w:p>
    <w:p w14:paraId="1F862FE6" w14:textId="77777777" w:rsidR="00663A6A" w:rsidRPr="00A30759" w:rsidRDefault="00663A6A" w:rsidP="00663A6A">
      <w:pPr>
        <w:pStyle w:val="NoSpacing"/>
        <w:ind w:left="720"/>
        <w:rPr>
          <w:rFonts w:ascii="Times New Roman" w:hAnsi="Times New Roman"/>
          <w:sz w:val="24"/>
          <w:szCs w:val="24"/>
        </w:rPr>
      </w:pPr>
      <w:r>
        <w:rPr>
          <w:rFonts w:ascii="Times New Roman" w:hAnsi="Times New Roman"/>
          <w:sz w:val="24"/>
          <w:szCs w:val="24"/>
        </w:rPr>
        <w:lastRenderedPageBreak/>
        <w:t>“</w:t>
      </w:r>
      <w:r w:rsidRPr="00A30759">
        <w:rPr>
          <w:rFonts w:ascii="Times New Roman" w:hAnsi="Times New Roman"/>
          <w:sz w:val="24"/>
          <w:szCs w:val="24"/>
        </w:rPr>
        <w:t xml:space="preserve">Moreover, even assuming 11 O.S. §19-104 applies to Parmenter's claim, the undisputed record establishes that he was fired for </w:t>
      </w:r>
      <w:r>
        <w:rPr>
          <w:rFonts w:ascii="Times New Roman" w:hAnsi="Times New Roman"/>
          <w:sz w:val="24"/>
          <w:szCs w:val="24"/>
        </w:rPr>
        <w:t>‘</w:t>
      </w:r>
      <w:r w:rsidRPr="00A30759">
        <w:rPr>
          <w:rFonts w:ascii="Times New Roman" w:hAnsi="Times New Roman"/>
          <w:sz w:val="24"/>
          <w:szCs w:val="24"/>
        </w:rPr>
        <w:t>good and sufficient cause.</w:t>
      </w:r>
      <w:r>
        <w:rPr>
          <w:rFonts w:ascii="Times New Roman" w:hAnsi="Times New Roman"/>
          <w:sz w:val="24"/>
          <w:szCs w:val="24"/>
        </w:rPr>
        <w:t>’</w:t>
      </w:r>
      <w:r w:rsidRPr="00A30759">
        <w:rPr>
          <w:rFonts w:ascii="Times New Roman" w:hAnsi="Times New Roman"/>
          <w:sz w:val="24"/>
          <w:szCs w:val="24"/>
        </w:rPr>
        <w:t xml:space="preserve"> On August 31, 2017, he received a formal, documented reprimand listing numerous issues </w:t>
      </w:r>
      <w:proofErr w:type="gramStart"/>
      <w:r w:rsidRPr="00A30759">
        <w:rPr>
          <w:rFonts w:ascii="Times New Roman" w:hAnsi="Times New Roman"/>
          <w:sz w:val="24"/>
          <w:szCs w:val="24"/>
        </w:rPr>
        <w:t>and also</w:t>
      </w:r>
      <w:proofErr w:type="gramEnd"/>
      <w:r w:rsidRPr="00A30759">
        <w:rPr>
          <w:rFonts w:ascii="Times New Roman" w:hAnsi="Times New Roman"/>
          <w:sz w:val="24"/>
          <w:szCs w:val="24"/>
        </w:rPr>
        <w:t xml:space="preserve"> ordering him to work at least one regular shift per week as a firefighter. Accordingly, he was aware that any further infractions could lead to disciplinary action—including termination—against him. For well over a year after the written reprimand, Carrick continued to address items listed in the written reprimand. During that time, and in contravention of the reprimand, he failed to work a single fire shift. Moreover, after meeting with fire department employees, Carrick learned of other issues—including that department morale was abysmal due to favoritism of one employee over the others, and that employees were trading shifts without documenting the trades, and then directly compensating each other for covered shifts. </w:t>
      </w:r>
    </w:p>
    <w:p w14:paraId="79E85F4C" w14:textId="77777777" w:rsidR="00663A6A" w:rsidRDefault="00663A6A" w:rsidP="00663A6A">
      <w:pPr>
        <w:pStyle w:val="NoSpacing"/>
        <w:rPr>
          <w:rFonts w:ascii="Times New Roman" w:hAnsi="Times New Roman"/>
          <w:sz w:val="24"/>
          <w:szCs w:val="24"/>
        </w:rPr>
      </w:pPr>
    </w:p>
    <w:p w14:paraId="629CD128" w14:textId="77777777" w:rsidR="00663A6A" w:rsidRPr="00A30759" w:rsidRDefault="00663A6A" w:rsidP="00663A6A">
      <w:pPr>
        <w:pStyle w:val="NoSpacing"/>
        <w:ind w:left="720"/>
        <w:rPr>
          <w:rFonts w:ascii="Times New Roman" w:eastAsia="Times New Roman" w:hAnsi="Times New Roman"/>
          <w:sz w:val="24"/>
          <w:szCs w:val="24"/>
        </w:rPr>
      </w:pPr>
      <w:r w:rsidRPr="00A30759">
        <w:rPr>
          <w:rFonts w:ascii="Times New Roman" w:hAnsi="Times New Roman"/>
          <w:sz w:val="24"/>
          <w:szCs w:val="24"/>
        </w:rPr>
        <w:t xml:space="preserve">The undisputed record supports the City's position that Parmenter's termination was for </w:t>
      </w:r>
      <w:r>
        <w:rPr>
          <w:rFonts w:ascii="Times New Roman" w:hAnsi="Times New Roman"/>
          <w:sz w:val="24"/>
          <w:szCs w:val="24"/>
        </w:rPr>
        <w:t>‘</w:t>
      </w:r>
      <w:r w:rsidRPr="00A30759">
        <w:rPr>
          <w:rFonts w:ascii="Times New Roman" w:hAnsi="Times New Roman"/>
          <w:sz w:val="24"/>
          <w:szCs w:val="24"/>
        </w:rPr>
        <w:t>good and sufficient cause.</w:t>
      </w:r>
      <w:r>
        <w:rPr>
          <w:rFonts w:ascii="Times New Roman" w:hAnsi="Times New Roman"/>
          <w:sz w:val="24"/>
          <w:szCs w:val="24"/>
        </w:rPr>
        <w:t xml:space="preserve">’” </w:t>
      </w:r>
      <w:hyperlink r:id="rId2763" w:history="1">
        <w:r w:rsidRPr="00BA14DC">
          <w:rPr>
            <w:rStyle w:val="Hyperlink"/>
            <w:rFonts w:ascii="Times New Roman" w:hAnsi="Times New Roman"/>
            <w:sz w:val="24"/>
            <w:szCs w:val="24"/>
          </w:rPr>
          <w:t>https://casetext.com/case/parmenter-v-city-of-nowata</w:t>
        </w:r>
      </w:hyperlink>
      <w:r>
        <w:rPr>
          <w:rFonts w:ascii="Times New Roman" w:hAnsi="Times New Roman"/>
          <w:sz w:val="24"/>
          <w:szCs w:val="24"/>
        </w:rPr>
        <w:t xml:space="preserve"> </w:t>
      </w:r>
    </w:p>
    <w:p w14:paraId="2682E1B7" w14:textId="53898DAA" w:rsidR="00663A6A" w:rsidRDefault="00663A6A" w:rsidP="00F326E5">
      <w:pPr>
        <w:pStyle w:val="NoSpacing"/>
        <w:rPr>
          <w:rFonts w:ascii="Arial Black" w:hAnsi="Arial Black"/>
          <w:sz w:val="24"/>
          <w:szCs w:val="24"/>
        </w:rPr>
      </w:pPr>
    </w:p>
    <w:p w14:paraId="7F359E5B" w14:textId="77777777" w:rsidR="00663A6A" w:rsidRPr="00B00DFD" w:rsidRDefault="00663A6A" w:rsidP="00663A6A">
      <w:pPr>
        <w:spacing w:before="100" w:beforeAutospacing="1" w:after="100" w:afterAutospacing="1" w:line="240" w:lineRule="auto"/>
        <w:rPr>
          <w:rFonts w:ascii="Times New Roman" w:eastAsia="Times New Roman" w:hAnsi="Times New Roman"/>
          <w:b/>
          <w:bCs/>
          <w:sz w:val="24"/>
          <w:szCs w:val="24"/>
        </w:rPr>
      </w:pPr>
      <w:r w:rsidRPr="00B00DFD">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 City Manager thoroughly documented the employment concerns; she also provided “due process” to the “at will” Fire Chief.  </w:t>
      </w:r>
    </w:p>
    <w:p w14:paraId="5F0C8ACC" w14:textId="77777777" w:rsidR="00663A6A" w:rsidRDefault="00663A6A" w:rsidP="00F326E5">
      <w:pPr>
        <w:pStyle w:val="NoSpacing"/>
        <w:rPr>
          <w:rFonts w:ascii="Arial Black" w:hAnsi="Arial Black"/>
          <w:sz w:val="24"/>
          <w:szCs w:val="24"/>
        </w:rPr>
      </w:pPr>
    </w:p>
    <w:p w14:paraId="6B5C843D" w14:textId="77777777" w:rsidR="00663A6A" w:rsidRDefault="00663A6A" w:rsidP="00F326E5">
      <w:pPr>
        <w:pStyle w:val="NoSpacing"/>
        <w:rPr>
          <w:rFonts w:ascii="Arial Black" w:hAnsi="Arial Black"/>
          <w:sz w:val="24"/>
          <w:szCs w:val="24"/>
        </w:rPr>
      </w:pPr>
    </w:p>
    <w:p w14:paraId="0C75D0B9" w14:textId="13BD9728" w:rsidR="00663A6A" w:rsidRDefault="00663A6A" w:rsidP="00F326E5">
      <w:pPr>
        <w:pStyle w:val="NoSpacing"/>
        <w:rPr>
          <w:rFonts w:ascii="Arial Black" w:hAnsi="Arial Black"/>
          <w:sz w:val="24"/>
          <w:szCs w:val="24"/>
        </w:rPr>
      </w:pPr>
      <w:r>
        <w:rPr>
          <w:rFonts w:ascii="Arial Black" w:hAnsi="Arial Black"/>
          <w:sz w:val="24"/>
          <w:szCs w:val="24"/>
        </w:rPr>
        <w:t>16-46</w:t>
      </w:r>
    </w:p>
    <w:p w14:paraId="6B2CFC09" w14:textId="37CDC39B" w:rsidR="00663A6A" w:rsidRDefault="00663A6A" w:rsidP="00F326E5">
      <w:pPr>
        <w:pStyle w:val="NoSpacing"/>
        <w:rPr>
          <w:rFonts w:ascii="Arial Black" w:hAnsi="Arial Black"/>
          <w:sz w:val="24"/>
          <w:szCs w:val="24"/>
        </w:rPr>
      </w:pPr>
    </w:p>
    <w:p w14:paraId="544B97FA" w14:textId="77777777" w:rsidR="00663A6A" w:rsidRPr="000C02CA" w:rsidRDefault="00663A6A" w:rsidP="00663A6A">
      <w:pPr>
        <w:pStyle w:val="NoSpacing"/>
        <w:rPr>
          <w:rFonts w:ascii="Arial Black" w:hAnsi="Arial Black"/>
          <w:sz w:val="28"/>
          <w:szCs w:val="28"/>
        </w:rPr>
      </w:pPr>
      <w:r>
        <w:rPr>
          <w:rFonts w:ascii="Arial Black" w:hAnsi="Arial Black"/>
          <w:sz w:val="28"/>
          <w:szCs w:val="28"/>
        </w:rPr>
        <w:t>NJ: RECUIT FIRED AFTER GRADUATING - CHIEF KNEW HE HAD ALTERED INSURANCE CARD NEW RESIDENCE - REINSTATED</w:t>
      </w:r>
    </w:p>
    <w:p w14:paraId="73124402" w14:textId="77777777" w:rsidR="00663A6A" w:rsidRDefault="00663A6A" w:rsidP="00663A6A">
      <w:pPr>
        <w:pStyle w:val="NoSpacing"/>
      </w:pPr>
    </w:p>
    <w:p w14:paraId="1EC7FA0A" w14:textId="77777777" w:rsidR="00663A6A" w:rsidRDefault="00663A6A" w:rsidP="00663A6A">
      <w:pPr>
        <w:pStyle w:val="NoSpacing"/>
        <w:rPr>
          <w:rFonts w:ascii="Times New Roman" w:hAnsi="Times New Roman"/>
          <w:sz w:val="24"/>
          <w:szCs w:val="24"/>
        </w:rPr>
      </w:pPr>
      <w:r w:rsidRPr="00472D0A">
        <w:rPr>
          <w:rFonts w:ascii="Times New Roman" w:hAnsi="Times New Roman"/>
          <w:sz w:val="24"/>
          <w:szCs w:val="24"/>
        </w:rPr>
        <w:t xml:space="preserve">On Oct. 19, 2020, </w:t>
      </w:r>
      <w:r w:rsidRPr="00472D0A">
        <w:rPr>
          <w:rFonts w:ascii="Times New Roman" w:hAnsi="Times New Roman"/>
          <w:sz w:val="24"/>
          <w:szCs w:val="24"/>
          <w:u w:val="single"/>
        </w:rPr>
        <w:t xml:space="preserve">In </w:t>
      </w:r>
      <w:proofErr w:type="gramStart"/>
      <w:r w:rsidRPr="00472D0A">
        <w:rPr>
          <w:rFonts w:ascii="Times New Roman" w:hAnsi="Times New Roman"/>
          <w:sz w:val="24"/>
          <w:szCs w:val="24"/>
          <w:u w:val="single"/>
        </w:rPr>
        <w:t>The</w:t>
      </w:r>
      <w:proofErr w:type="gramEnd"/>
      <w:r w:rsidRPr="00472D0A">
        <w:rPr>
          <w:rFonts w:ascii="Times New Roman" w:hAnsi="Times New Roman"/>
          <w:sz w:val="24"/>
          <w:szCs w:val="24"/>
          <w:u w:val="single"/>
        </w:rPr>
        <w:t xml:space="preserve"> Matter </w:t>
      </w:r>
      <w:proofErr w:type="gramStart"/>
      <w:r w:rsidRPr="00472D0A">
        <w:rPr>
          <w:rFonts w:ascii="Times New Roman" w:hAnsi="Times New Roman"/>
          <w:sz w:val="24"/>
          <w:szCs w:val="24"/>
          <w:u w:val="single"/>
        </w:rPr>
        <w:t>Of</w:t>
      </w:r>
      <w:proofErr w:type="gramEnd"/>
      <w:r w:rsidRPr="00472D0A">
        <w:rPr>
          <w:rFonts w:ascii="Times New Roman" w:hAnsi="Times New Roman"/>
          <w:sz w:val="24"/>
          <w:szCs w:val="24"/>
          <w:u w:val="single"/>
        </w:rPr>
        <w:t xml:space="preserve"> Christopher D’Amico, City of Plainfield Fire Department</w:t>
      </w:r>
      <w:r w:rsidRPr="00472D0A">
        <w:rPr>
          <w:rFonts w:ascii="Times New Roman" w:hAnsi="Times New Roman"/>
          <w:sz w:val="24"/>
          <w:szCs w:val="24"/>
        </w:rPr>
        <w:t xml:space="preserve">, </w:t>
      </w:r>
      <w:r>
        <w:rPr>
          <w:rFonts w:ascii="Times New Roman" w:hAnsi="Times New Roman"/>
          <w:sz w:val="24"/>
          <w:szCs w:val="24"/>
        </w:rPr>
        <w:t xml:space="preserve">the Superior Court of New Jersey (Appellate Division) held (3 to 0) that the Civil Service Commission properly reinstated the firefighter.  The Fire Chief knew of the altered card and </w:t>
      </w:r>
      <w:proofErr w:type="gramStart"/>
      <w:r>
        <w:rPr>
          <w:rFonts w:ascii="Times New Roman" w:hAnsi="Times New Roman"/>
          <w:sz w:val="24"/>
          <w:szCs w:val="24"/>
        </w:rPr>
        <w:t>has allowed</w:t>
      </w:r>
      <w:proofErr w:type="gramEnd"/>
      <w:r>
        <w:rPr>
          <w:rFonts w:ascii="Times New Roman" w:hAnsi="Times New Roman"/>
          <w:sz w:val="24"/>
          <w:szCs w:val="24"/>
        </w:rPr>
        <w:t xml:space="preserve"> the firefighter to enter recruit school. </w:t>
      </w:r>
    </w:p>
    <w:p w14:paraId="78D0081A" w14:textId="77777777" w:rsidR="00663A6A" w:rsidRPr="00472D0A" w:rsidRDefault="00663A6A" w:rsidP="00663A6A">
      <w:pPr>
        <w:pStyle w:val="NoSpacing"/>
        <w:rPr>
          <w:rFonts w:ascii="Times New Roman" w:hAnsi="Times New Roman"/>
          <w:sz w:val="24"/>
          <w:szCs w:val="24"/>
        </w:rPr>
      </w:pPr>
    </w:p>
    <w:p w14:paraId="5FD3CFAB" w14:textId="77777777" w:rsidR="00663A6A" w:rsidRPr="00472D0A" w:rsidRDefault="00663A6A" w:rsidP="00663A6A">
      <w:pPr>
        <w:pStyle w:val="NoSpacing"/>
        <w:ind w:left="720"/>
        <w:rPr>
          <w:rFonts w:ascii="Times New Roman" w:hAnsi="Times New Roman"/>
          <w:sz w:val="24"/>
          <w:szCs w:val="24"/>
        </w:rPr>
      </w:pPr>
      <w:r>
        <w:rPr>
          <w:rFonts w:ascii="Times New Roman" w:hAnsi="Times New Roman"/>
          <w:sz w:val="24"/>
          <w:szCs w:val="24"/>
        </w:rPr>
        <w:t>“</w:t>
      </w:r>
      <w:r w:rsidRPr="00472D0A">
        <w:rPr>
          <w:rFonts w:ascii="Times New Roman" w:hAnsi="Times New Roman"/>
          <w:sz w:val="24"/>
          <w:szCs w:val="24"/>
        </w:rPr>
        <w:t>After reviewing the City</w:t>
      </w:r>
      <w:r>
        <w:rPr>
          <w:rFonts w:ascii="Times New Roman" w:hAnsi="Times New Roman"/>
          <w:sz w:val="24"/>
          <w:szCs w:val="24"/>
        </w:rPr>
        <w:t>’</w:t>
      </w:r>
      <w:r w:rsidRPr="00472D0A">
        <w:rPr>
          <w:rFonts w:ascii="Times New Roman" w:hAnsi="Times New Roman"/>
          <w:sz w:val="24"/>
          <w:szCs w:val="24"/>
        </w:rPr>
        <w:t>s exceptions, the Commission</w:t>
      </w:r>
      <w:r>
        <w:rPr>
          <w:rFonts w:ascii="Times New Roman" w:hAnsi="Times New Roman"/>
          <w:sz w:val="24"/>
          <w:szCs w:val="24"/>
        </w:rPr>
        <w:t xml:space="preserve"> </w:t>
      </w:r>
      <w:r w:rsidRPr="00472D0A">
        <w:rPr>
          <w:rFonts w:ascii="Times New Roman" w:hAnsi="Times New Roman"/>
          <w:sz w:val="24"/>
          <w:szCs w:val="24"/>
        </w:rPr>
        <w:t>agreed with the ALJ. It held D</w:t>
      </w:r>
      <w:r>
        <w:rPr>
          <w:rFonts w:ascii="Times New Roman" w:hAnsi="Times New Roman"/>
          <w:sz w:val="24"/>
          <w:szCs w:val="24"/>
        </w:rPr>
        <w:t>’</w:t>
      </w:r>
      <w:r w:rsidRPr="00472D0A">
        <w:rPr>
          <w:rFonts w:ascii="Times New Roman" w:hAnsi="Times New Roman"/>
          <w:sz w:val="24"/>
          <w:szCs w:val="24"/>
        </w:rPr>
        <w:t>Amico provided</w:t>
      </w:r>
      <w:r>
        <w:rPr>
          <w:rFonts w:ascii="Times New Roman" w:hAnsi="Times New Roman"/>
          <w:sz w:val="24"/>
          <w:szCs w:val="24"/>
        </w:rPr>
        <w:t xml:space="preserve"> </w:t>
      </w:r>
      <w:r w:rsidRPr="00472D0A">
        <w:rPr>
          <w:rFonts w:ascii="Times New Roman" w:hAnsi="Times New Roman"/>
          <w:sz w:val="24"/>
          <w:szCs w:val="24"/>
        </w:rPr>
        <w:t>his true address on the card and the addition of correct information</w:t>
      </w:r>
      <w:r>
        <w:rPr>
          <w:rFonts w:ascii="Times New Roman" w:hAnsi="Times New Roman"/>
          <w:sz w:val="24"/>
          <w:szCs w:val="24"/>
        </w:rPr>
        <w:t xml:space="preserve"> </w:t>
      </w:r>
      <w:r w:rsidRPr="00472D0A">
        <w:rPr>
          <w:rFonts w:ascii="Times New Roman" w:hAnsi="Times New Roman"/>
          <w:sz w:val="24"/>
          <w:szCs w:val="24"/>
        </w:rPr>
        <w:t xml:space="preserve">on the document did not indicate a lack of character or morals to be a firefighter. Even if it were, the Commission concluded the </w:t>
      </w:r>
      <w:proofErr w:type="gramStart"/>
      <w:r w:rsidRPr="00472D0A">
        <w:rPr>
          <w:rFonts w:ascii="Times New Roman" w:hAnsi="Times New Roman"/>
          <w:sz w:val="24"/>
          <w:szCs w:val="24"/>
        </w:rPr>
        <w:t>City</w:t>
      </w:r>
      <w:proofErr w:type="gramEnd"/>
      <w:r w:rsidRPr="00472D0A">
        <w:rPr>
          <w:rFonts w:ascii="Times New Roman" w:hAnsi="Times New Roman"/>
          <w:sz w:val="24"/>
          <w:szCs w:val="24"/>
        </w:rPr>
        <w:t xml:space="preserve"> was aware of the altered document in May 2017,</w:t>
      </w:r>
      <w:r>
        <w:rPr>
          <w:rFonts w:ascii="Times New Roman" w:hAnsi="Times New Roman"/>
          <w:sz w:val="24"/>
          <w:szCs w:val="24"/>
        </w:rPr>
        <w:t xml:space="preserve"> </w:t>
      </w:r>
      <w:r w:rsidRPr="00472D0A">
        <w:rPr>
          <w:rFonts w:ascii="Times New Roman" w:hAnsi="Times New Roman"/>
          <w:sz w:val="24"/>
          <w:szCs w:val="24"/>
        </w:rPr>
        <w:t>before D</w:t>
      </w:r>
      <w:r>
        <w:rPr>
          <w:rFonts w:ascii="Times New Roman" w:hAnsi="Times New Roman"/>
          <w:sz w:val="24"/>
          <w:szCs w:val="24"/>
        </w:rPr>
        <w:t>’</w:t>
      </w:r>
      <w:r w:rsidRPr="00472D0A">
        <w:rPr>
          <w:rFonts w:ascii="Times New Roman" w:hAnsi="Times New Roman"/>
          <w:sz w:val="24"/>
          <w:szCs w:val="24"/>
        </w:rPr>
        <w:t>Amico was hired and attended the</w:t>
      </w:r>
      <w:r>
        <w:rPr>
          <w:rFonts w:ascii="Times New Roman" w:hAnsi="Times New Roman"/>
          <w:sz w:val="24"/>
          <w:szCs w:val="24"/>
        </w:rPr>
        <w:t xml:space="preserve"> </w:t>
      </w:r>
      <w:r w:rsidRPr="00472D0A">
        <w:rPr>
          <w:rFonts w:ascii="Times New Roman" w:hAnsi="Times New Roman"/>
          <w:sz w:val="24"/>
          <w:szCs w:val="24"/>
        </w:rPr>
        <w:t>fire</w:t>
      </w:r>
      <w:r>
        <w:rPr>
          <w:rFonts w:ascii="Times New Roman" w:hAnsi="Times New Roman"/>
          <w:sz w:val="24"/>
          <w:szCs w:val="24"/>
        </w:rPr>
        <w:t xml:space="preserve"> </w:t>
      </w:r>
      <w:r w:rsidRPr="00472D0A">
        <w:rPr>
          <w:rFonts w:ascii="Times New Roman" w:hAnsi="Times New Roman"/>
          <w:sz w:val="24"/>
          <w:szCs w:val="24"/>
        </w:rPr>
        <w:t>academy. In addition, because D</w:t>
      </w:r>
      <w:r>
        <w:rPr>
          <w:rFonts w:ascii="Times New Roman" w:hAnsi="Times New Roman"/>
          <w:sz w:val="24"/>
          <w:szCs w:val="24"/>
        </w:rPr>
        <w:t>’</w:t>
      </w:r>
      <w:r w:rsidRPr="00472D0A">
        <w:rPr>
          <w:rFonts w:ascii="Times New Roman" w:hAnsi="Times New Roman"/>
          <w:sz w:val="24"/>
          <w:szCs w:val="24"/>
        </w:rPr>
        <w:t xml:space="preserve">Amico was on the job for only three or four hours at the time he was terminated, the Commission concluded the </w:t>
      </w:r>
      <w:proofErr w:type="gramStart"/>
      <w:r w:rsidRPr="00472D0A">
        <w:rPr>
          <w:rFonts w:ascii="Times New Roman" w:hAnsi="Times New Roman"/>
          <w:sz w:val="24"/>
          <w:szCs w:val="24"/>
        </w:rPr>
        <w:t>City</w:t>
      </w:r>
      <w:proofErr w:type="gramEnd"/>
      <w:r w:rsidRPr="00472D0A">
        <w:rPr>
          <w:rFonts w:ascii="Times New Roman" w:hAnsi="Times New Roman"/>
          <w:sz w:val="24"/>
          <w:szCs w:val="24"/>
        </w:rPr>
        <w:t xml:space="preserve"> had the burden of proving D</w:t>
      </w:r>
      <w:r>
        <w:rPr>
          <w:rFonts w:ascii="Times New Roman" w:hAnsi="Times New Roman"/>
          <w:sz w:val="24"/>
          <w:szCs w:val="24"/>
        </w:rPr>
        <w:t>’</w:t>
      </w:r>
      <w:r w:rsidRPr="00472D0A">
        <w:rPr>
          <w:rFonts w:ascii="Times New Roman" w:hAnsi="Times New Roman"/>
          <w:sz w:val="24"/>
          <w:szCs w:val="24"/>
        </w:rPr>
        <w:t>Amico was guilty of the charges. Based on its findings, the Commission reinstated D</w:t>
      </w:r>
      <w:r>
        <w:rPr>
          <w:rFonts w:ascii="Times New Roman" w:hAnsi="Times New Roman"/>
          <w:sz w:val="24"/>
          <w:szCs w:val="24"/>
        </w:rPr>
        <w:t>’</w:t>
      </w:r>
      <w:r w:rsidRPr="00472D0A">
        <w:rPr>
          <w:rFonts w:ascii="Times New Roman" w:hAnsi="Times New Roman"/>
          <w:sz w:val="24"/>
          <w:szCs w:val="24"/>
        </w:rPr>
        <w:t>Amico, and awarded</w:t>
      </w:r>
      <w:r>
        <w:rPr>
          <w:rFonts w:ascii="Times New Roman" w:hAnsi="Times New Roman"/>
          <w:sz w:val="24"/>
          <w:szCs w:val="24"/>
        </w:rPr>
        <w:t xml:space="preserve"> </w:t>
      </w:r>
      <w:r w:rsidRPr="00472D0A">
        <w:rPr>
          <w:rFonts w:ascii="Times New Roman" w:hAnsi="Times New Roman"/>
          <w:sz w:val="24"/>
          <w:szCs w:val="24"/>
        </w:rPr>
        <w:t>him</w:t>
      </w:r>
      <w:r>
        <w:rPr>
          <w:rFonts w:ascii="Times New Roman" w:hAnsi="Times New Roman"/>
          <w:sz w:val="24"/>
          <w:szCs w:val="24"/>
        </w:rPr>
        <w:t xml:space="preserve"> </w:t>
      </w:r>
      <w:r w:rsidRPr="00472D0A">
        <w:rPr>
          <w:rFonts w:ascii="Times New Roman" w:hAnsi="Times New Roman"/>
          <w:sz w:val="24"/>
          <w:szCs w:val="24"/>
        </w:rPr>
        <w:t>back pay, benefits,</w:t>
      </w:r>
      <w:r>
        <w:rPr>
          <w:rFonts w:ascii="Times New Roman" w:hAnsi="Times New Roman"/>
          <w:sz w:val="24"/>
          <w:szCs w:val="24"/>
        </w:rPr>
        <w:t xml:space="preserve"> </w:t>
      </w:r>
      <w:r w:rsidRPr="00472D0A">
        <w:rPr>
          <w:rFonts w:ascii="Times New Roman" w:hAnsi="Times New Roman"/>
          <w:sz w:val="24"/>
          <w:szCs w:val="24"/>
        </w:rPr>
        <w:t>and seniority status.</w:t>
      </w:r>
      <w:r>
        <w:rPr>
          <w:rFonts w:ascii="Times New Roman" w:hAnsi="Times New Roman"/>
          <w:sz w:val="24"/>
          <w:szCs w:val="24"/>
        </w:rPr>
        <w:t xml:space="preserve">” </w:t>
      </w:r>
      <w:hyperlink r:id="rId2764" w:history="1">
        <w:r w:rsidRPr="00AA126E">
          <w:rPr>
            <w:rStyle w:val="Hyperlink"/>
            <w:rFonts w:ascii="Times New Roman" w:hAnsi="Times New Roman"/>
            <w:sz w:val="24"/>
            <w:szCs w:val="24"/>
          </w:rPr>
          <w:t>https://njcourts.gov/attorneys/assets/opinions/appellate/unpublished/a4576-18.pdf?c=len</w:t>
        </w:r>
      </w:hyperlink>
      <w:r>
        <w:rPr>
          <w:rFonts w:ascii="Times New Roman" w:hAnsi="Times New Roman"/>
          <w:sz w:val="24"/>
          <w:szCs w:val="24"/>
        </w:rPr>
        <w:t xml:space="preserve"> </w:t>
      </w:r>
    </w:p>
    <w:p w14:paraId="4D9600FB" w14:textId="77777777" w:rsidR="00663A6A" w:rsidRPr="00213E82" w:rsidRDefault="00663A6A" w:rsidP="00663A6A">
      <w:pPr>
        <w:pStyle w:val="Heading1"/>
        <w:rPr>
          <w:sz w:val="24"/>
          <w:szCs w:val="24"/>
        </w:rPr>
      </w:pPr>
      <w:r w:rsidRPr="00213E82">
        <w:rPr>
          <w:sz w:val="24"/>
          <w:szCs w:val="24"/>
        </w:rPr>
        <w:t xml:space="preserve">Legal Lesson Learned: </w:t>
      </w:r>
      <w:r>
        <w:rPr>
          <w:sz w:val="24"/>
          <w:szCs w:val="24"/>
        </w:rPr>
        <w:t xml:space="preserve">Recruit was fortunate to have a Fire Chief who supported him. If city </w:t>
      </w:r>
      <w:proofErr w:type="gramStart"/>
      <w:r>
        <w:rPr>
          <w:sz w:val="24"/>
          <w:szCs w:val="24"/>
        </w:rPr>
        <w:t>needed</w:t>
      </w:r>
      <w:proofErr w:type="gramEnd"/>
      <w:r>
        <w:rPr>
          <w:sz w:val="24"/>
          <w:szCs w:val="24"/>
        </w:rPr>
        <w:t xml:space="preserve"> more proof of your residency, ask for additional time to prove you moved into the city. </w:t>
      </w:r>
    </w:p>
    <w:p w14:paraId="0EB06B69" w14:textId="77777777" w:rsidR="00663A6A" w:rsidRDefault="00663A6A" w:rsidP="00663A6A">
      <w:pPr>
        <w:pStyle w:val="Heading1"/>
        <w:ind w:left="720"/>
      </w:pPr>
      <w:r>
        <w:rPr>
          <w:b w:val="0"/>
          <w:bCs w:val="0"/>
          <w:sz w:val="24"/>
          <w:szCs w:val="24"/>
        </w:rPr>
        <w:t>Note: This case was featured in trade press. “</w:t>
      </w:r>
      <w:r w:rsidRPr="00213E82">
        <w:rPr>
          <w:b w:val="0"/>
          <w:bCs w:val="0"/>
          <w:sz w:val="24"/>
          <w:szCs w:val="24"/>
        </w:rPr>
        <w:t>NJ Firefighter Fired Three Hours Into First Day Can Stay on Job, Court Rules</w:t>
      </w:r>
      <w:r>
        <w:rPr>
          <w:b w:val="0"/>
          <w:bCs w:val="0"/>
          <w:sz w:val="24"/>
          <w:szCs w:val="24"/>
        </w:rPr>
        <w:t xml:space="preserve">” (Nov. 2, 2020): </w:t>
      </w:r>
      <w:hyperlink r:id="rId2765" w:history="1">
        <w:r w:rsidRPr="00214867">
          <w:rPr>
            <w:rStyle w:val="Hyperlink"/>
            <w:b w:val="0"/>
            <w:bCs w:val="0"/>
            <w:sz w:val="24"/>
            <w:szCs w:val="24"/>
          </w:rPr>
          <w:t>https://www.fireengineering.com/2020/11/02/495783/nj-firefighter-fired-three-hours-into-first-day-can-stay-on-job-court-rules/?utm_medium=email&amp;utm_campaign=2020-11-03&amp;utm_source=fe_daily_newsletter</w:t>
        </w:r>
      </w:hyperlink>
      <w:r w:rsidRPr="00214867">
        <w:rPr>
          <w:b w:val="0"/>
          <w:bCs w:val="0"/>
          <w:sz w:val="24"/>
          <w:szCs w:val="24"/>
        </w:rPr>
        <w:t xml:space="preserve"> </w:t>
      </w:r>
    </w:p>
    <w:p w14:paraId="05273E84" w14:textId="77777777" w:rsidR="00663A6A" w:rsidRDefault="00663A6A" w:rsidP="00F326E5">
      <w:pPr>
        <w:pStyle w:val="NoSpacing"/>
        <w:rPr>
          <w:rFonts w:ascii="Arial Black" w:hAnsi="Arial Black"/>
          <w:sz w:val="24"/>
          <w:szCs w:val="24"/>
        </w:rPr>
      </w:pPr>
    </w:p>
    <w:p w14:paraId="32BD0D5B" w14:textId="77777777" w:rsidR="00663A6A" w:rsidRDefault="00663A6A" w:rsidP="00F326E5">
      <w:pPr>
        <w:pStyle w:val="NoSpacing"/>
        <w:rPr>
          <w:rFonts w:ascii="Arial Black" w:hAnsi="Arial Black"/>
          <w:sz w:val="24"/>
          <w:szCs w:val="24"/>
        </w:rPr>
      </w:pPr>
    </w:p>
    <w:p w14:paraId="6EA637F2" w14:textId="77777777" w:rsidR="00663A6A" w:rsidRDefault="00663A6A" w:rsidP="00F326E5">
      <w:pPr>
        <w:pStyle w:val="NoSpacing"/>
        <w:rPr>
          <w:rFonts w:ascii="Arial Black" w:hAnsi="Arial Black"/>
          <w:sz w:val="24"/>
          <w:szCs w:val="24"/>
        </w:rPr>
      </w:pPr>
    </w:p>
    <w:p w14:paraId="4ED2251A" w14:textId="1ED50ED1" w:rsidR="00102FD0" w:rsidRDefault="00102FD0" w:rsidP="00F326E5">
      <w:pPr>
        <w:pStyle w:val="NoSpacing"/>
        <w:rPr>
          <w:rFonts w:ascii="Arial Black" w:hAnsi="Arial Black"/>
          <w:sz w:val="24"/>
          <w:szCs w:val="24"/>
        </w:rPr>
      </w:pPr>
      <w:r>
        <w:rPr>
          <w:rFonts w:ascii="Arial Black" w:hAnsi="Arial Black"/>
          <w:sz w:val="24"/>
          <w:szCs w:val="24"/>
        </w:rPr>
        <w:t>16-45</w:t>
      </w:r>
    </w:p>
    <w:p w14:paraId="310AF3AA" w14:textId="77777777" w:rsidR="00102FD0" w:rsidRPr="007C11CE" w:rsidRDefault="00102FD0" w:rsidP="00102FD0">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LA: ASSISTANT CHIEF - LYING TO CHIEF ABOUT LUNCH PRESENTATION – PURGED CELL PHONE TEXTS – TERMINATION UPHELD</w:t>
      </w:r>
    </w:p>
    <w:p w14:paraId="0C328F5C" w14:textId="77777777" w:rsidR="00102FD0" w:rsidRDefault="00102FD0" w:rsidP="00102FD0">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Oct. 20, 2020, in </w:t>
      </w:r>
      <w:r w:rsidRPr="007C11CE">
        <w:rPr>
          <w:rFonts w:ascii="Times New Roman" w:eastAsia="Times New Roman" w:hAnsi="Times New Roman"/>
          <w:sz w:val="24"/>
          <w:szCs w:val="24"/>
          <w:u w:val="single"/>
        </w:rPr>
        <w:t>Frederick N. Meiners, III v. St. Tammany Parish Fire Protection District No. 4, et al.</w:t>
      </w:r>
      <w:r>
        <w:rPr>
          <w:rFonts w:ascii="Times New Roman" w:eastAsia="Times New Roman" w:hAnsi="Times New Roman"/>
          <w:sz w:val="24"/>
          <w:szCs w:val="24"/>
        </w:rPr>
        <w:t>, the Supreme Court of Louisiana, held (6 to 1) that the District Court judge had no authority to overturn the Civil Service Board’s decision upholding the termination.</w:t>
      </w:r>
    </w:p>
    <w:p w14:paraId="0AB284A8" w14:textId="77777777" w:rsidR="00102FD0" w:rsidRDefault="00102FD0" w:rsidP="00102FD0">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8D33F4">
        <w:rPr>
          <w:rFonts w:ascii="Times New Roman" w:hAnsi="Times New Roman"/>
          <w:sz w:val="24"/>
          <w:szCs w:val="24"/>
        </w:rPr>
        <w:t xml:space="preserve">We acknowledge the district court did not specifically impose a new sanction; rather, the district court's judgment simply states </w:t>
      </w:r>
      <w:r>
        <w:rPr>
          <w:rFonts w:ascii="Times New Roman" w:hAnsi="Times New Roman"/>
          <w:sz w:val="24"/>
          <w:szCs w:val="24"/>
        </w:rPr>
        <w:t>‘</w:t>
      </w:r>
      <w:r w:rsidRPr="008D33F4">
        <w:rPr>
          <w:rFonts w:ascii="Times New Roman" w:hAnsi="Times New Roman"/>
          <w:sz w:val="24"/>
          <w:szCs w:val="24"/>
        </w:rPr>
        <w:t>remanded to the St. Tammany Parish Fire Protection District No. 4 Civil Service Board for further proceedings in accordance with this Judgment and the written reasons issued by the Court on November 14, 2018.</w:t>
      </w:r>
      <w:r>
        <w:rPr>
          <w:rFonts w:ascii="Times New Roman" w:hAnsi="Times New Roman"/>
          <w:sz w:val="24"/>
          <w:szCs w:val="24"/>
        </w:rPr>
        <w:t xml:space="preserve">’ </w:t>
      </w:r>
      <w:r w:rsidRPr="008D33F4">
        <w:rPr>
          <w:rFonts w:ascii="Times New Roman" w:hAnsi="Times New Roman"/>
          <w:sz w:val="24"/>
          <w:szCs w:val="24"/>
        </w:rPr>
        <w:t>Nonetheless, the clear implication of the court's judgment is that termination is excessive, and the Board must therefore revise its decision to impose a lesser sanction. Thus, although the district court did not explicitly dictate the sanction, it defined the parameters of the sanction as being something other than termination. This action clearly goes beyond the authority granted to the district court under La. R.S. 33:2561(E).</w:t>
      </w:r>
      <w:r>
        <w:rPr>
          <w:rFonts w:ascii="Times New Roman" w:hAnsi="Times New Roman"/>
          <w:sz w:val="24"/>
          <w:szCs w:val="24"/>
        </w:rPr>
        <w:t xml:space="preserve">” </w:t>
      </w:r>
      <w:hyperlink r:id="rId2766" w:history="1">
        <w:r w:rsidRPr="000B4E4B">
          <w:rPr>
            <w:rStyle w:val="Hyperlink"/>
            <w:rFonts w:ascii="Times New Roman" w:eastAsia="Times New Roman" w:hAnsi="Times New Roman"/>
            <w:sz w:val="24"/>
            <w:szCs w:val="24"/>
          </w:rPr>
          <w:t>https://www.lasc.org/Opinions/2020/20-0491.CC.OPN.pdf</w:t>
        </w:r>
      </w:hyperlink>
      <w:r>
        <w:rPr>
          <w:rFonts w:ascii="Times New Roman" w:eastAsia="Times New Roman" w:hAnsi="Times New Roman"/>
          <w:sz w:val="24"/>
          <w:szCs w:val="24"/>
        </w:rPr>
        <w:t xml:space="preserve"> </w:t>
      </w:r>
    </w:p>
    <w:p w14:paraId="52D5FC6C" w14:textId="77777777" w:rsidR="00102FD0" w:rsidRPr="001149D1" w:rsidRDefault="00102FD0" w:rsidP="00102FD0">
      <w:pPr>
        <w:spacing w:after="100" w:line="240" w:lineRule="auto"/>
        <w:rPr>
          <w:rFonts w:ascii="Times New Roman" w:eastAsia="Times New Roman" w:hAnsi="Times New Roman"/>
          <w:b/>
          <w:bCs/>
          <w:sz w:val="24"/>
          <w:szCs w:val="24"/>
        </w:rPr>
      </w:pPr>
      <w:r w:rsidRPr="001149D1">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When under investigation for lying to a superior officer, conduct involving destruction of evidence (deleting texts from cell phone) can have very serious consequences.</w:t>
      </w:r>
    </w:p>
    <w:p w14:paraId="623547A8" w14:textId="77777777" w:rsidR="00102FD0" w:rsidRDefault="00102FD0" w:rsidP="00F326E5">
      <w:pPr>
        <w:pStyle w:val="NoSpacing"/>
        <w:rPr>
          <w:rFonts w:ascii="Arial Black" w:hAnsi="Arial Black"/>
          <w:sz w:val="24"/>
          <w:szCs w:val="24"/>
        </w:rPr>
      </w:pPr>
    </w:p>
    <w:p w14:paraId="10B4883D" w14:textId="77777777" w:rsidR="00102FD0" w:rsidRDefault="00102FD0" w:rsidP="00F326E5">
      <w:pPr>
        <w:pStyle w:val="NoSpacing"/>
        <w:rPr>
          <w:rFonts w:ascii="Arial Black" w:hAnsi="Arial Black"/>
          <w:sz w:val="24"/>
          <w:szCs w:val="24"/>
        </w:rPr>
      </w:pPr>
    </w:p>
    <w:p w14:paraId="55EA79D9" w14:textId="6EE6360D" w:rsidR="00B532F6" w:rsidRDefault="00B532F6" w:rsidP="00F326E5">
      <w:pPr>
        <w:pStyle w:val="NoSpacing"/>
        <w:rPr>
          <w:rFonts w:ascii="Arial Black" w:hAnsi="Arial Black"/>
          <w:sz w:val="24"/>
          <w:szCs w:val="24"/>
        </w:rPr>
      </w:pPr>
      <w:r>
        <w:rPr>
          <w:rFonts w:ascii="Arial Black" w:hAnsi="Arial Black"/>
          <w:sz w:val="24"/>
          <w:szCs w:val="24"/>
        </w:rPr>
        <w:t>16-44</w:t>
      </w:r>
    </w:p>
    <w:p w14:paraId="13FF3A83" w14:textId="77777777" w:rsidR="00B532F6" w:rsidRPr="00036F0B" w:rsidRDefault="00B532F6" w:rsidP="00B532F6">
      <w:pPr>
        <w:pStyle w:val="NormalWeb"/>
        <w:rPr>
          <w:rFonts w:ascii="Arial Black" w:hAnsi="Arial Black"/>
          <w:sz w:val="28"/>
          <w:szCs w:val="28"/>
        </w:rPr>
      </w:pPr>
      <w:r w:rsidRPr="00036F0B">
        <w:rPr>
          <w:rFonts w:ascii="Arial Black" w:hAnsi="Arial Black"/>
          <w:sz w:val="28"/>
          <w:szCs w:val="28"/>
        </w:rPr>
        <w:t xml:space="preserve">CA: </w:t>
      </w:r>
      <w:r>
        <w:rPr>
          <w:rFonts w:ascii="Arial Black" w:hAnsi="Arial Black"/>
          <w:sz w:val="28"/>
          <w:szCs w:val="28"/>
        </w:rPr>
        <w:t>CAPTAIN’S EXAM - INTERVIEW QUESTIONS LEAKED TO 3 - DEMOTED, REAPPOINTED, THEN DEMOTED AGAIN – OVERTURNED</w:t>
      </w:r>
    </w:p>
    <w:p w14:paraId="41746CFC" w14:textId="77777777" w:rsidR="00B532F6" w:rsidRDefault="00B532F6" w:rsidP="00B532F6">
      <w:pPr>
        <w:pStyle w:val="NormalWeb"/>
      </w:pPr>
      <w:r>
        <w:t xml:space="preserve">On Sept. 23, 2020, in </w:t>
      </w:r>
      <w:r w:rsidRPr="00CF230F">
        <w:rPr>
          <w:u w:val="single"/>
        </w:rPr>
        <w:t>Justin Chaplain, et al. v. State Personnel Board and Department of Forestry And Fire Protection</w:t>
      </w:r>
      <w:r>
        <w:t xml:space="preserve">, the Court of Appeals of the State of California, First Appellate District (Division One), held (3 to 0) that the State Personnel Board is reversed; CAL FIRE could not reimpose demotion of two Captains, since those firefighters had never appealed from their original demotion.   Third Captain did appeal so Board does have jurisdiction over his case [hopefully CAL FIRE will likewise re-promote him]. </w:t>
      </w:r>
    </w:p>
    <w:p w14:paraId="2A85DEA2" w14:textId="77777777" w:rsidR="00B532F6" w:rsidRDefault="00B532F6" w:rsidP="00B532F6">
      <w:pPr>
        <w:pStyle w:val="NormalWeb"/>
        <w:ind w:left="720"/>
      </w:pPr>
      <w:r>
        <w:t xml:space="preserve">“Here, the firefighters [Justine Chaplain and Justin Michels] have consistently claimed that the Board lacked the legal authority to proceed against them twice for the same behavior. Their specific argument that a substitution of disciplinary charges must occur before an action is concluded is based on principles related to statutory finality, not on those related to limitation periods. </w:t>
      </w:r>
    </w:p>
    <w:p w14:paraId="6CBAB395" w14:textId="77777777" w:rsidR="00B532F6" w:rsidRDefault="00B532F6" w:rsidP="00B532F6">
      <w:pPr>
        <w:pStyle w:val="NormalWeb"/>
        <w:ind w:left="720"/>
      </w:pPr>
      <w:r>
        <w:t xml:space="preserve">On the merits, we agree with the firefighters that once a disciplinary action becomes final, the employer is prohibited from withdrawing it and initiating a new adverse action. </w:t>
      </w:r>
      <w:r w:rsidRPr="00F81757">
        <w:t>The plain language of section 19575 could not be clearer: an appointing</w:t>
      </w:r>
      <w:r>
        <w:t xml:space="preserve"> </w:t>
      </w:r>
      <w:r w:rsidRPr="00F81757">
        <w:t>power's discipline is final where no appeal is taken within 30 calendar day</w:t>
      </w:r>
      <w:r>
        <w:t>s.</w:t>
      </w:r>
    </w:p>
    <w:p w14:paraId="518846F3" w14:textId="77777777" w:rsidR="00B532F6" w:rsidRDefault="00B532F6" w:rsidP="00B532F6">
      <w:pPr>
        <w:pStyle w:val="NormalWeb"/>
        <w:ind w:left="720"/>
      </w:pPr>
      <w:r>
        <w:t>***</w:t>
      </w:r>
    </w:p>
    <w:p w14:paraId="7416C0CD" w14:textId="77777777" w:rsidR="00B532F6" w:rsidRDefault="00B532F6" w:rsidP="00B532F6">
      <w:pPr>
        <w:pStyle w:val="NormalWeb"/>
        <w:ind w:left="720"/>
      </w:pPr>
      <w:r>
        <w:lastRenderedPageBreak/>
        <w:t xml:space="preserve">Our analysis is different, however, for </w:t>
      </w:r>
      <w:proofErr w:type="spellStart"/>
      <w:r>
        <w:t>Schonig</w:t>
      </w:r>
      <w:proofErr w:type="spellEnd"/>
      <w:r>
        <w:t xml:space="preserve">, who appealed the first notice of adverse action to the Board. His discipline thus was not final under section 19575 when CAL FIRE served him with the new notice of adverse action.” </w:t>
      </w:r>
      <w:hyperlink r:id="rId2767" w:history="1">
        <w:r w:rsidRPr="00443DB2">
          <w:rPr>
            <w:rStyle w:val="Hyperlink"/>
          </w:rPr>
          <w:t>https://www.courts.ca.gov/opinions/documents/A155107.PDF</w:t>
        </w:r>
      </w:hyperlink>
      <w:r>
        <w:t xml:space="preserve"> </w:t>
      </w:r>
    </w:p>
    <w:p w14:paraId="7D626152" w14:textId="77777777" w:rsidR="00B532F6" w:rsidRDefault="00B532F6" w:rsidP="00B532F6">
      <w:pPr>
        <w:spacing w:before="100" w:beforeAutospacing="1" w:after="100" w:afterAutospacing="1" w:line="240" w:lineRule="auto"/>
        <w:rPr>
          <w:rFonts w:ascii="Times New Roman" w:eastAsia="Times New Roman" w:hAnsi="Times New Roman"/>
          <w:b/>
          <w:bCs/>
          <w:sz w:val="24"/>
          <w:szCs w:val="24"/>
        </w:rPr>
      </w:pPr>
      <w:r w:rsidRPr="007A07AB">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The FD did not adequately prove that there was new evidence or other good cause to re-impose discipline a second time.  </w:t>
      </w:r>
    </w:p>
    <w:p w14:paraId="423C7A67" w14:textId="77777777" w:rsidR="00B532F6" w:rsidRPr="007A07AB" w:rsidRDefault="00B532F6" w:rsidP="00B532F6">
      <w:pPr>
        <w:pStyle w:val="Heading1"/>
        <w:ind w:left="720"/>
        <w:rPr>
          <w:b w:val="0"/>
          <w:bCs w:val="0"/>
          <w:sz w:val="24"/>
          <w:szCs w:val="24"/>
        </w:rPr>
      </w:pPr>
      <w:r w:rsidRPr="007A07AB">
        <w:rPr>
          <w:b w:val="0"/>
          <w:bCs w:val="0"/>
          <w:sz w:val="24"/>
          <w:szCs w:val="24"/>
        </w:rPr>
        <w:t xml:space="preserve">Note:  </w:t>
      </w:r>
    </w:p>
    <w:p w14:paraId="2530A5C0" w14:textId="77777777" w:rsidR="00B532F6" w:rsidRPr="00D37249" w:rsidRDefault="00B532F6" w:rsidP="00B532F6">
      <w:pPr>
        <w:ind w:left="720"/>
        <w:rPr>
          <w:rFonts w:ascii="Times New Roman" w:hAnsi="Times New Roman"/>
          <w:sz w:val="24"/>
          <w:szCs w:val="24"/>
        </w:rPr>
      </w:pPr>
      <w:r w:rsidRPr="00D37249">
        <w:rPr>
          <w:rFonts w:ascii="Times New Roman" w:eastAsia="Times New Roman" w:hAnsi="Times New Roman"/>
          <w:sz w:val="24"/>
          <w:szCs w:val="24"/>
        </w:rPr>
        <w:t xml:space="preserve">See June 14, </w:t>
      </w:r>
      <w:proofErr w:type="gramStart"/>
      <w:r w:rsidRPr="00D37249">
        <w:rPr>
          <w:rFonts w:ascii="Times New Roman" w:eastAsia="Times New Roman" w:hAnsi="Times New Roman"/>
          <w:sz w:val="24"/>
          <w:szCs w:val="24"/>
        </w:rPr>
        <w:t>2015</w:t>
      </w:r>
      <w:proofErr w:type="gramEnd"/>
      <w:r w:rsidRPr="00D37249">
        <w:rPr>
          <w:rFonts w:ascii="Times New Roman" w:eastAsia="Times New Roman" w:hAnsi="Times New Roman"/>
          <w:sz w:val="24"/>
          <w:szCs w:val="24"/>
        </w:rPr>
        <w:t xml:space="preserve"> article: </w:t>
      </w:r>
      <w:r w:rsidRPr="00D37249">
        <w:rPr>
          <w:rFonts w:ascii="Times New Roman" w:hAnsi="Times New Roman"/>
          <w:sz w:val="24"/>
          <w:szCs w:val="24"/>
        </w:rPr>
        <w:t>“New Cal Fire demotions challenged, reveal more alleged cheating details.” “</w:t>
      </w:r>
      <w:r w:rsidRPr="00D37249">
        <w:rPr>
          <w:rFonts w:ascii="Times New Roman" w:eastAsia="Times New Roman" w:hAnsi="Times New Roman"/>
          <w:sz w:val="24"/>
          <w:szCs w:val="24"/>
        </w:rPr>
        <w:t xml:space="preserve">Michels, </w:t>
      </w:r>
      <w:proofErr w:type="spellStart"/>
      <w:r w:rsidRPr="00D37249">
        <w:rPr>
          <w:rFonts w:ascii="Times New Roman" w:eastAsia="Times New Roman" w:hAnsi="Times New Roman"/>
          <w:sz w:val="24"/>
          <w:szCs w:val="24"/>
        </w:rPr>
        <w:t>Schonig</w:t>
      </w:r>
      <w:proofErr w:type="spellEnd"/>
      <w:r w:rsidRPr="00D37249">
        <w:rPr>
          <w:rFonts w:ascii="Times New Roman" w:eastAsia="Times New Roman" w:hAnsi="Times New Roman"/>
          <w:sz w:val="24"/>
          <w:szCs w:val="24"/>
        </w:rPr>
        <w:t xml:space="preserve"> and Chaplin allegedly received text messages last year from then-Cal Fire Academy instructor Orville Fleming that contained interview questions and answers for temporary fire captain jobs at the Ione training facility. Fleming was on the interview panel that ranked candidates, </w:t>
      </w:r>
      <w:proofErr w:type="gramStart"/>
      <w:r w:rsidRPr="00D37249">
        <w:rPr>
          <w:rFonts w:ascii="Times New Roman" w:eastAsia="Times New Roman" w:hAnsi="Times New Roman"/>
          <w:sz w:val="24"/>
          <w:szCs w:val="24"/>
        </w:rPr>
        <w:t>according</w:t>
      </w:r>
      <w:proofErr w:type="gramEnd"/>
      <w:r w:rsidRPr="00D37249">
        <w:rPr>
          <w:rFonts w:ascii="Times New Roman" w:eastAsia="Times New Roman" w:hAnsi="Times New Roman"/>
          <w:sz w:val="24"/>
          <w:szCs w:val="24"/>
        </w:rPr>
        <w:t xml:space="preserve"> the new batch of state records obtained via Public Records Act </w:t>
      </w:r>
      <w:proofErr w:type="gramStart"/>
      <w:r w:rsidRPr="00D37249">
        <w:rPr>
          <w:rFonts w:ascii="Times New Roman" w:eastAsia="Times New Roman" w:hAnsi="Times New Roman"/>
          <w:sz w:val="24"/>
          <w:szCs w:val="24"/>
        </w:rPr>
        <w:t>request.”</w:t>
      </w:r>
      <w:proofErr w:type="gramEnd"/>
      <w:r>
        <w:rPr>
          <w:rFonts w:ascii="Times New Roman" w:eastAsia="Times New Roman" w:hAnsi="Times New Roman"/>
          <w:sz w:val="24"/>
          <w:szCs w:val="24"/>
        </w:rPr>
        <w:t xml:space="preserve"> </w:t>
      </w:r>
      <w:hyperlink r:id="rId2768" w:history="1">
        <w:r w:rsidRPr="00443DB2">
          <w:rPr>
            <w:rStyle w:val="Hyperlink"/>
            <w:rFonts w:ascii="Times New Roman" w:hAnsi="Times New Roman"/>
            <w:sz w:val="24"/>
            <w:szCs w:val="24"/>
          </w:rPr>
          <w:t>https://www.sacbee.com/news/politics-government/the-state-worker/article23903194.html</w:t>
        </w:r>
      </w:hyperlink>
      <w:r w:rsidRPr="00D37249">
        <w:rPr>
          <w:rFonts w:ascii="Times New Roman" w:hAnsi="Times New Roman"/>
          <w:sz w:val="24"/>
          <w:szCs w:val="24"/>
        </w:rPr>
        <w:t xml:space="preserve"> </w:t>
      </w:r>
    </w:p>
    <w:p w14:paraId="0FE447D9" w14:textId="1AB47CD9" w:rsidR="00B532F6" w:rsidRPr="00B532F6" w:rsidRDefault="00B532F6" w:rsidP="00B532F6">
      <w:pPr>
        <w:pStyle w:val="NoSpacing"/>
        <w:ind w:left="720"/>
        <w:rPr>
          <w:rFonts w:ascii="Times New Roman" w:hAnsi="Times New Roman"/>
          <w:sz w:val="24"/>
          <w:szCs w:val="24"/>
        </w:rPr>
      </w:pPr>
      <w:r w:rsidRPr="00B532F6">
        <w:rPr>
          <w:rFonts w:ascii="Times New Roman" w:hAnsi="Times New Roman"/>
          <w:sz w:val="24"/>
          <w:szCs w:val="24"/>
        </w:rPr>
        <w:t xml:space="preserve">See June 24, </w:t>
      </w:r>
      <w:proofErr w:type="gramStart"/>
      <w:r w:rsidRPr="00B532F6">
        <w:rPr>
          <w:rFonts w:ascii="Times New Roman" w:hAnsi="Times New Roman"/>
          <w:sz w:val="24"/>
          <w:szCs w:val="24"/>
        </w:rPr>
        <w:t>2015</w:t>
      </w:r>
      <w:proofErr w:type="gramEnd"/>
      <w:r w:rsidRPr="00B532F6">
        <w:rPr>
          <w:rFonts w:ascii="Times New Roman" w:hAnsi="Times New Roman"/>
          <w:sz w:val="24"/>
          <w:szCs w:val="24"/>
        </w:rPr>
        <w:t xml:space="preserve"> article, “Ex-Cal Fire battalion chief convicted of stabbing girlfriend to death.”  </w:t>
      </w:r>
      <w:hyperlink r:id="rId2769" w:history="1">
        <w:r w:rsidRPr="001F33D6">
          <w:rPr>
            <w:rStyle w:val="Hyperlink"/>
            <w:rFonts w:ascii="Times New Roman" w:hAnsi="Times New Roman"/>
            <w:sz w:val="24"/>
            <w:szCs w:val="24"/>
          </w:rPr>
          <w:t>https://www.latimes.com/local/lanow/la-me-ln-ex-cal-fire-chief-convicted-stabbing-girlfriend-20150624-story.html</w:t>
        </w:r>
      </w:hyperlink>
    </w:p>
    <w:p w14:paraId="0D06CA8A" w14:textId="77777777" w:rsidR="00B532F6" w:rsidRDefault="00B532F6" w:rsidP="00F326E5">
      <w:pPr>
        <w:pStyle w:val="NoSpacing"/>
        <w:rPr>
          <w:rFonts w:ascii="Arial Black" w:hAnsi="Arial Black"/>
          <w:sz w:val="24"/>
          <w:szCs w:val="24"/>
        </w:rPr>
      </w:pPr>
    </w:p>
    <w:p w14:paraId="146E9F23" w14:textId="1F514D14" w:rsidR="00B532F6" w:rsidRDefault="00B532F6" w:rsidP="00F326E5">
      <w:pPr>
        <w:pStyle w:val="NoSpacing"/>
        <w:rPr>
          <w:rFonts w:ascii="Arial Black" w:hAnsi="Arial Black"/>
          <w:sz w:val="24"/>
          <w:szCs w:val="24"/>
        </w:rPr>
      </w:pPr>
      <w:r>
        <w:rPr>
          <w:rFonts w:ascii="Arial Black" w:hAnsi="Arial Black"/>
          <w:sz w:val="24"/>
          <w:szCs w:val="24"/>
        </w:rPr>
        <w:t>16-43</w:t>
      </w:r>
    </w:p>
    <w:p w14:paraId="6768CAA3" w14:textId="77777777" w:rsidR="00B532F6" w:rsidRPr="00295AB9" w:rsidRDefault="00B532F6" w:rsidP="00B532F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TX: DISTRICT CHIEF POSTED COMMENTS ABOUT TRANSFER OPENING - FF SOCIAL MEDIA GROUP – DISCIPLINE UPHELD, FD POLICY BREACH</w:t>
      </w:r>
    </w:p>
    <w:p w14:paraId="3A32CD0F" w14:textId="77777777" w:rsidR="00B532F6" w:rsidRPr="008850B0" w:rsidRDefault="00B532F6" w:rsidP="00B532F6">
      <w:pPr>
        <w:spacing w:before="100" w:beforeAutospacing="1" w:after="100" w:afterAutospacing="1" w:line="240" w:lineRule="auto"/>
        <w:rPr>
          <w:rFonts w:ascii="Times New Roman" w:eastAsia="Times New Roman" w:hAnsi="Times New Roman"/>
          <w:sz w:val="24"/>
          <w:szCs w:val="24"/>
        </w:rPr>
      </w:pPr>
      <w:r w:rsidRPr="00295AB9">
        <w:rPr>
          <w:rFonts w:ascii="Times New Roman" w:eastAsia="Times New Roman" w:hAnsi="Times New Roman"/>
          <w:sz w:val="24"/>
          <w:szCs w:val="24"/>
        </w:rPr>
        <w:t xml:space="preserve">On Sept. 16, 2020, in </w:t>
      </w:r>
      <w:r w:rsidRPr="00295AB9">
        <w:rPr>
          <w:rFonts w:ascii="Times New Roman" w:eastAsia="Times New Roman" w:hAnsi="Times New Roman"/>
          <w:sz w:val="24"/>
          <w:szCs w:val="24"/>
          <w:u w:val="single"/>
        </w:rPr>
        <w:t>Steven M. Dunbar v. Samuel Pena, Houston Fire Chief and Robert I. Garcia, Houston Assistant Fire Chief</w:t>
      </w:r>
      <w:r>
        <w:rPr>
          <w:rFonts w:ascii="Times New Roman" w:eastAsia="Times New Roman" w:hAnsi="Times New Roman"/>
          <w:sz w:val="24"/>
          <w:szCs w:val="24"/>
        </w:rPr>
        <w:t xml:space="preserve">, the U.S. Court of Appeals for Fifth Circuit (New Orleans) held (3 to 0) that the Houston Fire Department lawfully suspended District Chief Dunbar (3 days, later reduced to one day) and transferred him to an administrative position in another FD district.  The posting concerned a transfer opportunity, which is not a matter of public concern and therefore not protected under First Amendment. The District Chief posted </w:t>
      </w:r>
      <w:r w:rsidRPr="008850B0">
        <w:rPr>
          <w:rFonts w:ascii="Times New Roman" w:eastAsia="Times New Roman" w:hAnsi="Times New Roman"/>
          <w:sz w:val="24"/>
          <w:szCs w:val="24"/>
        </w:rPr>
        <w:t xml:space="preserve">on a </w:t>
      </w:r>
      <w:r w:rsidRPr="008850B0">
        <w:rPr>
          <w:rFonts w:ascii="Times New Roman" w:hAnsi="Times New Roman"/>
          <w:sz w:val="24"/>
          <w:szCs w:val="24"/>
        </w:rPr>
        <w:t>private social media group for HFD firefighters</w:t>
      </w:r>
      <w:r>
        <w:rPr>
          <w:rFonts w:ascii="Times New Roman" w:hAnsi="Times New Roman"/>
          <w:sz w:val="24"/>
          <w:szCs w:val="24"/>
        </w:rPr>
        <w:t xml:space="preserve">: </w:t>
      </w:r>
      <w:r w:rsidRPr="008850B0">
        <w:rPr>
          <w:rFonts w:ascii="Times New Roman" w:hAnsi="Times New Roman"/>
          <w:sz w:val="24"/>
          <w:szCs w:val="24"/>
        </w:rPr>
        <w:t xml:space="preserve">"If you are thinking about putting in for a spot in District 64 on C-shift you better have your </w:t>
      </w:r>
      <w:proofErr w:type="spellStart"/>
      <w:r w:rsidRPr="008850B0">
        <w:rPr>
          <w:rFonts w:ascii="Times New Roman" w:hAnsi="Times New Roman"/>
          <w:sz w:val="24"/>
          <w:szCs w:val="24"/>
        </w:rPr>
        <w:t>sh</w:t>
      </w:r>
      <w:proofErr w:type="spellEnd"/>
      <w:r w:rsidRPr="008850B0">
        <w:rPr>
          <w:rFonts w:ascii="Times New Roman" w:hAnsi="Times New Roman"/>
          <w:sz w:val="24"/>
          <w:szCs w:val="24"/>
        </w:rPr>
        <w:t xml:space="preserve">** together. Wanna play games like </w:t>
      </w:r>
      <w:proofErr w:type="gramStart"/>
      <w:r w:rsidRPr="008850B0">
        <w:rPr>
          <w:rFonts w:ascii="Times New Roman" w:hAnsi="Times New Roman"/>
          <w:sz w:val="24"/>
          <w:szCs w:val="24"/>
        </w:rPr>
        <w:t>previously-assigned</w:t>
      </w:r>
      <w:proofErr w:type="gramEnd"/>
      <w:r w:rsidRPr="008850B0">
        <w:rPr>
          <w:rFonts w:ascii="Times New Roman" w:hAnsi="Times New Roman"/>
          <w:sz w:val="24"/>
          <w:szCs w:val="24"/>
        </w:rPr>
        <w:t xml:space="preserve"> members? You will be miserable...promise."</w:t>
      </w:r>
    </w:p>
    <w:p w14:paraId="49F18194" w14:textId="77777777" w:rsidR="00B532F6" w:rsidRPr="008850B0" w:rsidRDefault="00B532F6" w:rsidP="00B532F6">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8850B0">
        <w:rPr>
          <w:rFonts w:ascii="Times New Roman" w:hAnsi="Times New Roman"/>
          <w:sz w:val="24"/>
          <w:szCs w:val="24"/>
        </w:rPr>
        <w:t xml:space="preserve">Public employees are entitled to circumscribed constitutional protections in connection with their governmental duties, but they </w:t>
      </w:r>
      <w:r>
        <w:rPr>
          <w:rFonts w:ascii="Times New Roman" w:hAnsi="Times New Roman"/>
          <w:sz w:val="24"/>
          <w:szCs w:val="24"/>
        </w:rPr>
        <w:t>‘</w:t>
      </w:r>
      <w:r w:rsidRPr="008850B0">
        <w:rPr>
          <w:rFonts w:ascii="Times New Roman" w:hAnsi="Times New Roman"/>
          <w:sz w:val="24"/>
          <w:szCs w:val="24"/>
        </w:rPr>
        <w:t>do not surrender all their First Amendment rights by reason of their employment. Rather, the First Amendment protects a public employee's right, in certain circumstances, to speak as a citizen addressing matters of public concern.</w:t>
      </w:r>
      <w:r>
        <w:rPr>
          <w:rFonts w:ascii="Times New Roman" w:hAnsi="Times New Roman"/>
          <w:sz w:val="24"/>
          <w:szCs w:val="24"/>
        </w:rPr>
        <w:t>’</w:t>
      </w:r>
      <w:r w:rsidRPr="008850B0">
        <w:rPr>
          <w:rFonts w:ascii="Times New Roman" w:hAnsi="Times New Roman"/>
          <w:sz w:val="24"/>
          <w:szCs w:val="24"/>
        </w:rPr>
        <w:t xml:space="preserve"> </w:t>
      </w:r>
      <w:r w:rsidRPr="008850B0">
        <w:rPr>
          <w:rFonts w:ascii="Times New Roman" w:hAnsi="Times New Roman"/>
          <w:i/>
          <w:iCs/>
          <w:sz w:val="24"/>
          <w:szCs w:val="24"/>
        </w:rPr>
        <w:t>Garcetti v</w:t>
      </w:r>
      <w:r w:rsidRPr="008850B0">
        <w:rPr>
          <w:rFonts w:ascii="Times New Roman" w:hAnsi="Times New Roman"/>
          <w:sz w:val="24"/>
          <w:szCs w:val="24"/>
        </w:rPr>
        <w:t xml:space="preserve">. </w:t>
      </w:r>
      <w:r w:rsidRPr="008850B0">
        <w:rPr>
          <w:rFonts w:ascii="Times New Roman" w:hAnsi="Times New Roman"/>
          <w:i/>
          <w:iCs/>
          <w:sz w:val="24"/>
          <w:szCs w:val="24"/>
        </w:rPr>
        <w:t>Ceballos</w:t>
      </w:r>
      <w:r w:rsidRPr="008850B0">
        <w:rPr>
          <w:rFonts w:ascii="Times New Roman" w:hAnsi="Times New Roman"/>
          <w:sz w:val="24"/>
          <w:szCs w:val="24"/>
        </w:rPr>
        <w:t xml:space="preserve">, 547 U.S. 410, 417 (2006). Therefore, to be protected against adverse employment action in retaliation for speech, a public employee must speak in the employee's </w:t>
      </w:r>
      <w:r>
        <w:rPr>
          <w:rFonts w:ascii="Times New Roman" w:hAnsi="Times New Roman"/>
          <w:sz w:val="24"/>
          <w:szCs w:val="24"/>
        </w:rPr>
        <w:t>‘</w:t>
      </w:r>
      <w:r w:rsidRPr="008850B0">
        <w:rPr>
          <w:rFonts w:ascii="Times New Roman" w:hAnsi="Times New Roman"/>
          <w:sz w:val="24"/>
          <w:szCs w:val="24"/>
        </w:rPr>
        <w:t>capacity as a citizen,</w:t>
      </w:r>
      <w:r>
        <w:rPr>
          <w:rFonts w:ascii="Times New Roman" w:hAnsi="Times New Roman"/>
          <w:sz w:val="24"/>
          <w:szCs w:val="24"/>
        </w:rPr>
        <w:t>’</w:t>
      </w:r>
      <w:r w:rsidRPr="008850B0">
        <w:rPr>
          <w:rFonts w:ascii="Times New Roman" w:hAnsi="Times New Roman"/>
          <w:sz w:val="24"/>
          <w:szCs w:val="24"/>
        </w:rPr>
        <w:t xml:space="preserve"> rather than pursuant to the employee's </w:t>
      </w:r>
      <w:r>
        <w:rPr>
          <w:rFonts w:ascii="Times New Roman" w:hAnsi="Times New Roman"/>
          <w:sz w:val="24"/>
          <w:szCs w:val="24"/>
        </w:rPr>
        <w:t>‘</w:t>
      </w:r>
      <w:r w:rsidRPr="008850B0">
        <w:rPr>
          <w:rFonts w:ascii="Times New Roman" w:hAnsi="Times New Roman"/>
          <w:sz w:val="24"/>
          <w:szCs w:val="24"/>
        </w:rPr>
        <w:t>official duties,</w:t>
      </w:r>
      <w:r>
        <w:rPr>
          <w:rFonts w:ascii="Times New Roman" w:hAnsi="Times New Roman"/>
          <w:sz w:val="24"/>
          <w:szCs w:val="24"/>
        </w:rPr>
        <w:t>’</w:t>
      </w:r>
      <w:r w:rsidRPr="008850B0">
        <w:rPr>
          <w:rFonts w:ascii="Times New Roman" w:hAnsi="Times New Roman"/>
          <w:sz w:val="24"/>
          <w:szCs w:val="24"/>
        </w:rPr>
        <w:t xml:space="preserve"> and the employee must address a matter of public concern. </w:t>
      </w:r>
      <w:r w:rsidRPr="008850B0">
        <w:rPr>
          <w:rFonts w:ascii="Times New Roman" w:hAnsi="Times New Roman"/>
          <w:i/>
          <w:iCs/>
          <w:sz w:val="24"/>
          <w:szCs w:val="24"/>
        </w:rPr>
        <w:t>Id</w:t>
      </w:r>
      <w:r w:rsidRPr="008850B0">
        <w:rPr>
          <w:rFonts w:ascii="Times New Roman" w:hAnsi="Times New Roman"/>
          <w:sz w:val="24"/>
          <w:szCs w:val="24"/>
        </w:rPr>
        <w:t xml:space="preserve">. at 417, 421. </w:t>
      </w:r>
      <w:proofErr w:type="gramStart"/>
      <w:r w:rsidRPr="008850B0">
        <w:rPr>
          <w:rFonts w:ascii="Times New Roman" w:hAnsi="Times New Roman"/>
          <w:sz w:val="24"/>
          <w:szCs w:val="24"/>
        </w:rPr>
        <w:t xml:space="preserve">Otherwise, </w:t>
      </w:r>
      <w:r>
        <w:rPr>
          <w:rFonts w:ascii="Times New Roman" w:hAnsi="Times New Roman"/>
          <w:sz w:val="24"/>
          <w:szCs w:val="24"/>
        </w:rPr>
        <w:t>‘</w:t>
      </w:r>
      <w:proofErr w:type="gramEnd"/>
      <w:r w:rsidRPr="008850B0">
        <w:rPr>
          <w:rFonts w:ascii="Times New Roman" w:hAnsi="Times New Roman"/>
          <w:sz w:val="24"/>
          <w:szCs w:val="24"/>
        </w:rPr>
        <w:t>the employee has no First Amendment cause of action based on his or her employer's reaction to the speech.</w:t>
      </w:r>
      <w:r>
        <w:rPr>
          <w:rFonts w:ascii="Times New Roman" w:hAnsi="Times New Roman"/>
          <w:sz w:val="24"/>
          <w:szCs w:val="24"/>
        </w:rPr>
        <w:t>’</w:t>
      </w:r>
      <w:r w:rsidRPr="008850B0">
        <w:rPr>
          <w:rFonts w:ascii="Times New Roman" w:hAnsi="Times New Roman"/>
          <w:sz w:val="24"/>
          <w:szCs w:val="24"/>
        </w:rPr>
        <w:t xml:space="preserve"> </w:t>
      </w:r>
      <w:r w:rsidRPr="008850B0">
        <w:rPr>
          <w:rFonts w:ascii="Times New Roman" w:hAnsi="Times New Roman"/>
          <w:i/>
          <w:iCs/>
          <w:sz w:val="24"/>
          <w:szCs w:val="24"/>
        </w:rPr>
        <w:t>Id</w:t>
      </w:r>
      <w:r w:rsidRPr="008850B0">
        <w:rPr>
          <w:rFonts w:ascii="Times New Roman" w:hAnsi="Times New Roman"/>
          <w:sz w:val="24"/>
          <w:szCs w:val="24"/>
        </w:rPr>
        <w:t>. at 418.</w:t>
      </w:r>
      <w:r>
        <w:rPr>
          <w:rFonts w:ascii="Times New Roman" w:hAnsi="Times New Roman"/>
          <w:sz w:val="24"/>
          <w:szCs w:val="24"/>
        </w:rPr>
        <w:t xml:space="preserve"> </w:t>
      </w:r>
    </w:p>
    <w:p w14:paraId="333DDD8A" w14:textId="4A2E1669" w:rsidR="00B532F6" w:rsidRDefault="00B532F6" w:rsidP="00B532F6">
      <w:pPr>
        <w:pStyle w:val="NoSpacing"/>
        <w:rPr>
          <w:rStyle w:val="Hyperlink"/>
          <w:rFonts w:ascii="Times New Roman" w:hAnsi="Times New Roman"/>
          <w:sz w:val="24"/>
          <w:szCs w:val="24"/>
        </w:rPr>
      </w:pPr>
      <w:r w:rsidRPr="008850B0">
        <w:rPr>
          <w:rFonts w:ascii="Times New Roman" w:hAnsi="Times New Roman"/>
          <w:sz w:val="24"/>
          <w:szCs w:val="24"/>
        </w:rPr>
        <w:t xml:space="preserve">By contrast, employee-to-employee communications concerning </w:t>
      </w:r>
      <w:proofErr w:type="gramStart"/>
      <w:r w:rsidRPr="008850B0">
        <w:rPr>
          <w:rFonts w:ascii="Times New Roman" w:hAnsi="Times New Roman"/>
          <w:sz w:val="24"/>
          <w:szCs w:val="24"/>
        </w:rPr>
        <w:t>particular transfer</w:t>
      </w:r>
      <w:proofErr w:type="gramEnd"/>
      <w:r w:rsidRPr="008850B0">
        <w:rPr>
          <w:rFonts w:ascii="Times New Roman" w:hAnsi="Times New Roman"/>
          <w:sz w:val="24"/>
          <w:szCs w:val="24"/>
        </w:rPr>
        <w:t xml:space="preserve"> decisions generally do not implicate matters of public concern</w:t>
      </w:r>
      <w:r>
        <w:rPr>
          <w:rFonts w:ascii="Times New Roman" w:hAnsi="Times New Roman"/>
          <w:sz w:val="24"/>
          <w:szCs w:val="24"/>
        </w:rPr>
        <w:t xml:space="preserve">…. </w:t>
      </w:r>
      <w:hyperlink r:id="rId2770" w:history="1">
        <w:r w:rsidRPr="005E64DB">
          <w:rPr>
            <w:rStyle w:val="Hyperlink"/>
            <w:rFonts w:ascii="Times New Roman" w:hAnsi="Times New Roman"/>
            <w:sz w:val="24"/>
            <w:szCs w:val="24"/>
          </w:rPr>
          <w:t>http://www.ca5.uscourts.gov/opinions/unpub/20/20-20087.0.pdf</w:t>
        </w:r>
      </w:hyperlink>
    </w:p>
    <w:p w14:paraId="60FA9DE6" w14:textId="77777777" w:rsidR="00B532F6" w:rsidRPr="00DA4DDB" w:rsidRDefault="00B532F6" w:rsidP="00B532F6">
      <w:pPr>
        <w:spacing w:before="100" w:beforeAutospacing="1" w:after="100" w:afterAutospacing="1" w:line="240" w:lineRule="auto"/>
        <w:rPr>
          <w:rFonts w:ascii="Times New Roman" w:eastAsia="Times New Roman" w:hAnsi="Times New Roman"/>
          <w:b/>
          <w:bCs/>
          <w:sz w:val="24"/>
          <w:szCs w:val="24"/>
        </w:rPr>
      </w:pPr>
      <w:r w:rsidRPr="00DA4DDB">
        <w:rPr>
          <w:rFonts w:ascii="Times New Roman" w:hAnsi="Times New Roman"/>
          <w:b/>
          <w:bCs/>
          <w:sz w:val="24"/>
          <w:szCs w:val="24"/>
        </w:rPr>
        <w:lastRenderedPageBreak/>
        <w:t>Legal Lessons Learned:</w:t>
      </w:r>
      <w:r>
        <w:rPr>
          <w:rFonts w:ascii="Times New Roman" w:hAnsi="Times New Roman"/>
          <w:b/>
          <w:bCs/>
          <w:sz w:val="24"/>
          <w:szCs w:val="24"/>
        </w:rPr>
        <w:t xml:space="preserve"> Social media posts about internal FD matters are not protected under First Amendment.  </w:t>
      </w:r>
    </w:p>
    <w:p w14:paraId="09886929" w14:textId="77777777" w:rsidR="00B532F6" w:rsidRDefault="00B532F6" w:rsidP="00B532F6">
      <w:pPr>
        <w:spacing w:before="100" w:beforeAutospacing="1" w:after="100" w:afterAutospacing="1" w:line="240" w:lineRule="auto"/>
        <w:ind w:left="720"/>
        <w:rPr>
          <w:rFonts w:ascii="Times New Roman" w:hAnsi="Times New Roman"/>
          <w:sz w:val="24"/>
          <w:szCs w:val="24"/>
        </w:rPr>
      </w:pPr>
      <w:r w:rsidRPr="00DA4DDB">
        <w:rPr>
          <w:rFonts w:ascii="Times New Roman" w:eastAsia="Times New Roman" w:hAnsi="Times New Roman"/>
          <w:sz w:val="24"/>
          <w:szCs w:val="24"/>
        </w:rPr>
        <w:t>Note:</w:t>
      </w:r>
      <w:r>
        <w:rPr>
          <w:rFonts w:ascii="Times New Roman" w:eastAsia="Times New Roman" w:hAnsi="Times New Roman"/>
          <w:b/>
          <w:bCs/>
          <w:sz w:val="24"/>
          <w:szCs w:val="24"/>
        </w:rPr>
        <w:t xml:space="preserve"> </w:t>
      </w:r>
      <w:r w:rsidRPr="00DA4DDB">
        <w:rPr>
          <w:rFonts w:ascii="Times New Roman" w:hAnsi="Times New Roman"/>
          <w:sz w:val="24"/>
          <w:szCs w:val="24"/>
        </w:rPr>
        <w:t xml:space="preserve">Under HFD's transfer guidelines, </w:t>
      </w:r>
      <w:r>
        <w:rPr>
          <w:rFonts w:ascii="Times New Roman" w:hAnsi="Times New Roman"/>
          <w:sz w:val="24"/>
          <w:szCs w:val="24"/>
        </w:rPr>
        <w:t>‘</w:t>
      </w:r>
      <w:r w:rsidRPr="00DA4DDB">
        <w:rPr>
          <w:rFonts w:ascii="Times New Roman" w:hAnsi="Times New Roman"/>
          <w:sz w:val="24"/>
          <w:szCs w:val="24"/>
        </w:rPr>
        <w:t>No member will communicate with [a] member requesting [a] transfer, including the incoming officer, to promote or influence the candidacy of a member or to discourage a member from applying for a posted or anticipated vacancy. Any violation of this directive will result in disciplinary action.</w:t>
      </w:r>
      <w:r>
        <w:rPr>
          <w:rFonts w:ascii="Times New Roman" w:hAnsi="Times New Roman"/>
          <w:sz w:val="24"/>
          <w:szCs w:val="24"/>
        </w:rPr>
        <w:t>’</w:t>
      </w:r>
      <w:r w:rsidRPr="00DA4DDB">
        <w:rPr>
          <w:rFonts w:ascii="Times New Roman" w:hAnsi="Times New Roman"/>
          <w:sz w:val="24"/>
          <w:szCs w:val="24"/>
        </w:rPr>
        <w:t xml:space="preserve"> A similar statement was included in the memorandum announcing the transfer opportunity.</w:t>
      </w:r>
    </w:p>
    <w:p w14:paraId="651E9302" w14:textId="77777777" w:rsidR="00B532F6" w:rsidRDefault="00B532F6" w:rsidP="00B532F6">
      <w:pPr>
        <w:pStyle w:val="NoSpacing"/>
        <w:rPr>
          <w:rFonts w:ascii="Arial Black" w:hAnsi="Arial Black"/>
          <w:sz w:val="24"/>
          <w:szCs w:val="24"/>
        </w:rPr>
      </w:pPr>
    </w:p>
    <w:p w14:paraId="70AEF6E3" w14:textId="77777777" w:rsidR="00B532F6" w:rsidRDefault="00B532F6" w:rsidP="00F326E5">
      <w:pPr>
        <w:pStyle w:val="NoSpacing"/>
        <w:rPr>
          <w:rFonts w:ascii="Arial Black" w:hAnsi="Arial Black"/>
          <w:sz w:val="24"/>
          <w:szCs w:val="24"/>
        </w:rPr>
      </w:pPr>
    </w:p>
    <w:p w14:paraId="11A21A4E" w14:textId="72DBADFF" w:rsidR="00CD02AE" w:rsidRDefault="00CD02AE" w:rsidP="00F326E5">
      <w:pPr>
        <w:pStyle w:val="NoSpacing"/>
        <w:rPr>
          <w:rFonts w:ascii="Arial Black" w:hAnsi="Arial Black"/>
          <w:sz w:val="24"/>
          <w:szCs w:val="24"/>
        </w:rPr>
      </w:pPr>
      <w:r>
        <w:rPr>
          <w:rFonts w:ascii="Arial Black" w:hAnsi="Arial Black"/>
          <w:sz w:val="24"/>
          <w:szCs w:val="24"/>
        </w:rPr>
        <w:t>16-42</w:t>
      </w:r>
    </w:p>
    <w:p w14:paraId="2C2D18AC" w14:textId="77777777" w:rsidR="00CD02AE" w:rsidRDefault="00CD02AE" w:rsidP="00CD02AE">
      <w:pPr>
        <w:tabs>
          <w:tab w:val="left" w:pos="6680"/>
        </w:tabs>
        <w:spacing w:before="100" w:beforeAutospacing="1" w:after="100" w:afterAutospacing="1" w:line="240" w:lineRule="auto"/>
        <w:rPr>
          <w:rFonts w:ascii="Arial Black" w:hAnsi="Arial Black"/>
          <w:sz w:val="28"/>
          <w:szCs w:val="28"/>
        </w:rPr>
      </w:pPr>
      <w:r>
        <w:rPr>
          <w:rFonts w:ascii="Arial Black" w:hAnsi="Arial Black"/>
          <w:sz w:val="28"/>
          <w:szCs w:val="28"/>
        </w:rPr>
        <w:t>WA: FIRE CHIEF TERMINATED – CONTRACT REQUIRES “CAUSE” – LAWSUIT MAY PROCEED TO TRIAL</w:t>
      </w:r>
    </w:p>
    <w:p w14:paraId="59183A33" w14:textId="77777777" w:rsidR="00CD02AE" w:rsidRDefault="00CD02AE" w:rsidP="00CD02AE">
      <w:pPr>
        <w:tabs>
          <w:tab w:val="left" w:pos="6680"/>
        </w:tabs>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Aug. 19, 2020, in </w:t>
      </w:r>
      <w:r>
        <w:rPr>
          <w:rFonts w:ascii="Times New Roman" w:hAnsi="Times New Roman"/>
          <w:sz w:val="24"/>
          <w:szCs w:val="24"/>
          <w:u w:val="single"/>
        </w:rPr>
        <w:t>David W. Bathke v. City of Ocean Shores &amp; Crystal Dingler</w:t>
      </w:r>
      <w:r>
        <w:rPr>
          <w:rFonts w:ascii="Times New Roman" w:hAnsi="Times New Roman"/>
          <w:sz w:val="24"/>
          <w:szCs w:val="24"/>
        </w:rPr>
        <w:t>, U.S. District Court Judge Benjamin H. Settle, U.S. District Court, Western District of Washington at Tacoma, held that the City’s motion for summary judgment was denied concerning the “breach of contract” claim.  As to Bathke's other claims, the Court grants Defendants' motion for summary judgment and dismisses Bathke's claims for retaliation, promissory fraud, and negligent misrepresentation.</w:t>
      </w:r>
    </w:p>
    <w:p w14:paraId="117DADD1" w14:textId="77777777" w:rsidR="00CD02AE" w:rsidRDefault="00CD02AE" w:rsidP="00CD02AE">
      <w:pPr>
        <w:spacing w:before="100" w:beforeAutospacing="1" w:after="100" w:afterAutospacing="1" w:line="240" w:lineRule="auto"/>
        <w:ind w:left="540"/>
        <w:rPr>
          <w:rFonts w:ascii="Times New Roman" w:eastAsia="Times New Roman" w:hAnsi="Times New Roman"/>
          <w:sz w:val="24"/>
          <w:szCs w:val="24"/>
        </w:rPr>
      </w:pPr>
      <w:r>
        <w:rPr>
          <w:rFonts w:ascii="Times New Roman" w:eastAsia="Times New Roman" w:hAnsi="Times New Roman"/>
          <w:sz w:val="24"/>
          <w:szCs w:val="24"/>
        </w:rPr>
        <w:t xml:space="preserve">"In a wrongful termination case, whether an employer properly determined it had just cause for termination is a question for the trier of fact." </w:t>
      </w:r>
      <w:r>
        <w:rPr>
          <w:rFonts w:ascii="Times New Roman" w:eastAsia="Times New Roman" w:hAnsi="Times New Roman"/>
          <w:i/>
          <w:iCs/>
          <w:sz w:val="24"/>
          <w:szCs w:val="24"/>
        </w:rPr>
        <w:t>Lund v</w:t>
      </w:r>
      <w:r>
        <w:rPr>
          <w:rFonts w:ascii="Times New Roman" w:eastAsia="Times New Roman" w:hAnsi="Times New Roman"/>
          <w:sz w:val="24"/>
          <w:szCs w:val="24"/>
        </w:rPr>
        <w:t xml:space="preserve">. </w:t>
      </w:r>
      <w:r>
        <w:rPr>
          <w:rFonts w:ascii="Times New Roman" w:eastAsia="Times New Roman" w:hAnsi="Times New Roman"/>
          <w:i/>
          <w:iCs/>
          <w:sz w:val="24"/>
          <w:szCs w:val="24"/>
        </w:rPr>
        <w:t>Grant Cty</w:t>
      </w:r>
      <w:r>
        <w:rPr>
          <w:rFonts w:ascii="Times New Roman" w:eastAsia="Times New Roman" w:hAnsi="Times New Roman"/>
          <w:sz w:val="24"/>
          <w:szCs w:val="24"/>
        </w:rPr>
        <w:t xml:space="preserve">. </w:t>
      </w:r>
      <w:r>
        <w:rPr>
          <w:rFonts w:ascii="Times New Roman" w:eastAsia="Times New Roman" w:hAnsi="Times New Roman"/>
          <w:i/>
          <w:iCs/>
          <w:sz w:val="24"/>
          <w:szCs w:val="24"/>
        </w:rPr>
        <w:t>Pub</w:t>
      </w:r>
      <w:r>
        <w:rPr>
          <w:rFonts w:ascii="Times New Roman" w:eastAsia="Times New Roman" w:hAnsi="Times New Roman"/>
          <w:sz w:val="24"/>
          <w:szCs w:val="24"/>
        </w:rPr>
        <w:t xml:space="preserve">. </w:t>
      </w:r>
      <w:r>
        <w:rPr>
          <w:rFonts w:ascii="Times New Roman" w:eastAsia="Times New Roman" w:hAnsi="Times New Roman"/>
          <w:i/>
          <w:iCs/>
          <w:sz w:val="24"/>
          <w:szCs w:val="24"/>
        </w:rPr>
        <w:t>Hosp</w:t>
      </w:r>
      <w:r>
        <w:rPr>
          <w:rFonts w:ascii="Times New Roman" w:eastAsia="Times New Roman" w:hAnsi="Times New Roman"/>
          <w:sz w:val="24"/>
          <w:szCs w:val="24"/>
        </w:rPr>
        <w:t xml:space="preserve">. </w:t>
      </w:r>
      <w:r>
        <w:rPr>
          <w:rFonts w:ascii="Times New Roman" w:eastAsia="Times New Roman" w:hAnsi="Times New Roman"/>
          <w:i/>
          <w:iCs/>
          <w:sz w:val="24"/>
          <w:szCs w:val="24"/>
        </w:rPr>
        <w:t>Dist</w:t>
      </w:r>
      <w:r>
        <w:rPr>
          <w:rFonts w:ascii="Times New Roman" w:eastAsia="Times New Roman" w:hAnsi="Times New Roman"/>
          <w:sz w:val="24"/>
          <w:szCs w:val="24"/>
        </w:rPr>
        <w:t xml:space="preserve">. </w:t>
      </w:r>
      <w:r>
        <w:rPr>
          <w:rFonts w:ascii="Times New Roman" w:eastAsia="Times New Roman" w:hAnsi="Times New Roman"/>
          <w:i/>
          <w:iCs/>
          <w:sz w:val="24"/>
          <w:szCs w:val="24"/>
        </w:rPr>
        <w:t>No</w:t>
      </w:r>
      <w:r>
        <w:rPr>
          <w:rFonts w:ascii="Times New Roman" w:eastAsia="Times New Roman" w:hAnsi="Times New Roman"/>
          <w:sz w:val="24"/>
          <w:szCs w:val="24"/>
        </w:rPr>
        <w:t xml:space="preserve">. </w:t>
      </w:r>
      <w:r>
        <w:rPr>
          <w:rFonts w:ascii="Times New Roman" w:eastAsia="Times New Roman" w:hAnsi="Times New Roman"/>
          <w:i/>
          <w:iCs/>
          <w:sz w:val="24"/>
          <w:szCs w:val="24"/>
        </w:rPr>
        <w:t>2</w:t>
      </w:r>
      <w:r>
        <w:rPr>
          <w:rFonts w:ascii="Times New Roman" w:eastAsia="Times New Roman" w:hAnsi="Times New Roman"/>
          <w:sz w:val="24"/>
          <w:szCs w:val="24"/>
        </w:rPr>
        <w:t xml:space="preserve">, 85 </w:t>
      </w:r>
      <w:proofErr w:type="spellStart"/>
      <w:r>
        <w:rPr>
          <w:rFonts w:ascii="Times New Roman" w:eastAsia="Times New Roman" w:hAnsi="Times New Roman"/>
          <w:sz w:val="24"/>
          <w:szCs w:val="24"/>
        </w:rPr>
        <w:t>Wn</w:t>
      </w:r>
      <w:proofErr w:type="spellEnd"/>
      <w:r>
        <w:rPr>
          <w:rFonts w:ascii="Times New Roman" w:eastAsia="Times New Roman" w:hAnsi="Times New Roman"/>
          <w:sz w:val="24"/>
          <w:szCs w:val="24"/>
        </w:rPr>
        <w:t xml:space="preserve">. App. 223, 228 (1997). *** “In this case, Bathke's declaration and supporting evidence sufficiently creates a question of fact on the issue of whether the City had just cause to terminate him. In reply, Defendants attempt to undermine the holding in </w:t>
      </w:r>
      <w:r>
        <w:rPr>
          <w:rFonts w:ascii="Times New Roman" w:eastAsia="Times New Roman" w:hAnsi="Times New Roman"/>
          <w:i/>
          <w:iCs/>
          <w:sz w:val="24"/>
          <w:szCs w:val="24"/>
        </w:rPr>
        <w:t>Lund</w:t>
      </w:r>
      <w:r>
        <w:rPr>
          <w:rFonts w:ascii="Times New Roman" w:eastAsia="Times New Roman" w:hAnsi="Times New Roman"/>
          <w:sz w:val="24"/>
          <w:szCs w:val="24"/>
        </w:rPr>
        <w:t xml:space="preserve"> by misquoting employment discrimination cases…. Defendants, however, fail to provide any persuasive authority or reason to take this question of fact away from the </w:t>
      </w:r>
      <w:proofErr w:type="gramStart"/>
      <w:r>
        <w:rPr>
          <w:rFonts w:ascii="Times New Roman" w:eastAsia="Times New Roman" w:hAnsi="Times New Roman"/>
          <w:sz w:val="24"/>
          <w:szCs w:val="24"/>
        </w:rPr>
        <w:t>factfinder</w:t>
      </w:r>
      <w:proofErr w:type="gramEnd"/>
      <w:r>
        <w:rPr>
          <w:rFonts w:ascii="Times New Roman" w:eastAsia="Times New Roman" w:hAnsi="Times New Roman"/>
          <w:sz w:val="24"/>
          <w:szCs w:val="24"/>
        </w:rPr>
        <w:t xml:space="preserve">. Therefore, the Court denies Defendants' motion on Bathke's breach of contract </w:t>
      </w:r>
      <w:proofErr w:type="gramStart"/>
      <w:r>
        <w:rPr>
          <w:rFonts w:ascii="Times New Roman" w:eastAsia="Times New Roman" w:hAnsi="Times New Roman"/>
          <w:sz w:val="24"/>
          <w:szCs w:val="24"/>
        </w:rPr>
        <w:t>claim.”</w:t>
      </w:r>
      <w:proofErr w:type="gramEnd"/>
      <w:r>
        <w:rPr>
          <w:rFonts w:ascii="Times New Roman" w:eastAsia="Times New Roman" w:hAnsi="Times New Roman"/>
          <w:sz w:val="24"/>
          <w:szCs w:val="24"/>
        </w:rPr>
        <w:t xml:space="preserve"> </w:t>
      </w:r>
      <w:hyperlink r:id="rId2771" w:history="1">
        <w:r>
          <w:rPr>
            <w:rStyle w:val="Hyperlink"/>
            <w:sz w:val="24"/>
            <w:szCs w:val="24"/>
          </w:rPr>
          <w:t>https://public.fastcase.com/Wl%2B2t%2BeVuI35%2FN70vAMFZiys29g9i6WW2vOdml2B4dJUoMj0gy8QWoByD0pzloLe</w:t>
        </w:r>
      </w:hyperlink>
      <w:r>
        <w:rPr>
          <w:rFonts w:ascii="Times New Roman" w:eastAsia="Times New Roman" w:hAnsi="Times New Roman"/>
          <w:sz w:val="24"/>
          <w:szCs w:val="24"/>
        </w:rPr>
        <w:t xml:space="preserve"> </w:t>
      </w:r>
    </w:p>
    <w:p w14:paraId="038DCA5E" w14:textId="77777777" w:rsidR="00CD02AE" w:rsidRDefault="00CD02AE" w:rsidP="00CD02AE">
      <w:pPr>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sz w:val="24"/>
          <w:szCs w:val="24"/>
        </w:rPr>
        <w:t>Legal Lessons Learned: Fire Chiefs, when accepting a new position, should include in their agreement that they cannot be fired except for “cause.”</w:t>
      </w:r>
    </w:p>
    <w:p w14:paraId="7ED60B59" w14:textId="77777777" w:rsidR="00CD02AE" w:rsidRDefault="00CD02AE" w:rsidP="00F326E5">
      <w:pPr>
        <w:pStyle w:val="NoSpacing"/>
        <w:rPr>
          <w:rFonts w:ascii="Arial Black" w:hAnsi="Arial Black"/>
          <w:sz w:val="24"/>
          <w:szCs w:val="24"/>
        </w:rPr>
      </w:pPr>
    </w:p>
    <w:p w14:paraId="09E21C5B" w14:textId="77777777" w:rsidR="00CD02AE" w:rsidRDefault="00CD02AE" w:rsidP="00F326E5">
      <w:pPr>
        <w:pStyle w:val="NoSpacing"/>
        <w:rPr>
          <w:rFonts w:ascii="Arial Black" w:hAnsi="Arial Black"/>
          <w:sz w:val="24"/>
          <w:szCs w:val="24"/>
        </w:rPr>
      </w:pPr>
    </w:p>
    <w:p w14:paraId="46958558" w14:textId="2F9F35DD" w:rsidR="00CD02AE" w:rsidRDefault="00CD02AE" w:rsidP="00F326E5">
      <w:pPr>
        <w:pStyle w:val="NoSpacing"/>
        <w:rPr>
          <w:rFonts w:ascii="Arial Black" w:hAnsi="Arial Black"/>
          <w:sz w:val="24"/>
          <w:szCs w:val="24"/>
        </w:rPr>
      </w:pPr>
      <w:r>
        <w:rPr>
          <w:rFonts w:ascii="Arial Black" w:hAnsi="Arial Black"/>
          <w:sz w:val="24"/>
          <w:szCs w:val="24"/>
        </w:rPr>
        <w:t>16-41</w:t>
      </w:r>
    </w:p>
    <w:p w14:paraId="61062D0C" w14:textId="44FB0126" w:rsidR="00CD02AE" w:rsidRDefault="00CD02AE" w:rsidP="00F326E5">
      <w:pPr>
        <w:pStyle w:val="NoSpacing"/>
        <w:rPr>
          <w:rFonts w:ascii="Arial Black" w:hAnsi="Arial Black"/>
          <w:sz w:val="24"/>
          <w:szCs w:val="24"/>
        </w:rPr>
      </w:pPr>
    </w:p>
    <w:p w14:paraId="66835412" w14:textId="77777777" w:rsidR="00CD02AE" w:rsidRDefault="00CD02AE" w:rsidP="00CD02AE">
      <w:pPr>
        <w:rPr>
          <w:rFonts w:ascii="Arial Black" w:hAnsi="Arial Black" w:cstheme="minorBidi"/>
          <w:sz w:val="28"/>
          <w:szCs w:val="28"/>
        </w:rPr>
      </w:pPr>
      <w:r>
        <w:rPr>
          <w:rFonts w:ascii="Arial Black" w:hAnsi="Arial Black"/>
          <w:sz w:val="28"/>
          <w:szCs w:val="28"/>
        </w:rPr>
        <w:t>OH: EMS CAPTAIN FIRED – FACEBOOK POST ABOUT DEATH TAMIR RICE – LAWSUIT REINSTATED, “PUBLIC CONCERN”</w:t>
      </w:r>
    </w:p>
    <w:p w14:paraId="573D34F1" w14:textId="77777777" w:rsidR="00CD02AE" w:rsidRDefault="00CD02AE" w:rsidP="00CD02AE">
      <w:pPr>
        <w:rPr>
          <w:rFonts w:ascii="Times New Roman" w:hAnsi="Times New Roman"/>
          <w:sz w:val="24"/>
          <w:szCs w:val="24"/>
        </w:rPr>
      </w:pPr>
      <w:r>
        <w:rPr>
          <w:rFonts w:ascii="Times New Roman" w:hAnsi="Times New Roman"/>
          <w:sz w:val="24"/>
          <w:szCs w:val="24"/>
        </w:rPr>
        <w:t xml:space="preserve">On Aug. 19, 2020, in </w:t>
      </w:r>
      <w:r>
        <w:rPr>
          <w:rFonts w:ascii="Times New Roman" w:hAnsi="Times New Roman"/>
          <w:sz w:val="24"/>
          <w:szCs w:val="24"/>
          <w:u w:val="single"/>
        </w:rPr>
        <w:t>Jamie Marquardt v. Nicole Carlton &amp; City of Cleveland</w:t>
      </w:r>
      <w:r>
        <w:rPr>
          <w:rFonts w:ascii="Times New Roman" w:hAnsi="Times New Roman"/>
          <w:sz w:val="24"/>
          <w:szCs w:val="24"/>
        </w:rPr>
        <w:t>, the U.S. Court of Appeals for the 6</w:t>
      </w:r>
      <w:r>
        <w:rPr>
          <w:rFonts w:ascii="Times New Roman" w:hAnsi="Times New Roman"/>
          <w:sz w:val="24"/>
          <w:szCs w:val="24"/>
          <w:vertAlign w:val="superscript"/>
        </w:rPr>
        <w:t>th</w:t>
      </w:r>
      <w:r>
        <w:rPr>
          <w:rFonts w:ascii="Times New Roman" w:hAnsi="Times New Roman"/>
          <w:sz w:val="24"/>
          <w:szCs w:val="24"/>
        </w:rPr>
        <w:t xml:space="preserve"> Circuit (Cincinnati) held (3 to 0) that the U.S. District Court judge in Cleveland improperly granted the city’s motion for summary judgment. </w:t>
      </w:r>
    </w:p>
    <w:p w14:paraId="6224EBCC" w14:textId="77777777" w:rsidR="00CD02AE" w:rsidRDefault="00CD02AE" w:rsidP="00CD02AE">
      <w:pPr>
        <w:ind w:left="720"/>
        <w:rPr>
          <w:rFonts w:ascii="Times New Roman" w:hAnsi="Times New Roman"/>
          <w:b/>
          <w:bCs/>
          <w:sz w:val="24"/>
          <w:szCs w:val="24"/>
        </w:rPr>
      </w:pPr>
      <w:r>
        <w:rPr>
          <w:rFonts w:ascii="Times New Roman" w:hAnsi="Times New Roman"/>
          <w:sz w:val="24"/>
          <w:szCs w:val="24"/>
        </w:rPr>
        <w:lastRenderedPageBreak/>
        <w:t xml:space="preserve">“Because Marquardt's social media posts addressed a matter of public concern, the district court erred in granting summary judgment on that basis.”  </w:t>
      </w:r>
      <w:hyperlink r:id="rId2772" w:history="1">
        <w:r>
          <w:rPr>
            <w:rStyle w:val="Hyperlink"/>
            <w:sz w:val="24"/>
            <w:szCs w:val="24"/>
          </w:rPr>
          <w:t>https://www.opn.ca6.uscourts.gov/opinions.pdf/20a0268p-06.pdf</w:t>
        </w:r>
      </w:hyperlink>
      <w:r>
        <w:rPr>
          <w:rFonts w:ascii="Times New Roman" w:hAnsi="Times New Roman"/>
          <w:sz w:val="24"/>
          <w:szCs w:val="24"/>
        </w:rPr>
        <w:t xml:space="preserve"> </w:t>
      </w:r>
    </w:p>
    <w:p w14:paraId="64AF7E75" w14:textId="77777777" w:rsidR="00CD02AE" w:rsidRDefault="00CD02AE" w:rsidP="00CD02AE">
      <w:pPr>
        <w:spacing w:before="100" w:beforeAutospacing="1" w:after="100" w:afterAutospacing="1" w:line="240" w:lineRule="auto"/>
        <w:rPr>
          <w:sz w:val="40"/>
          <w:szCs w:val="40"/>
        </w:rPr>
      </w:pPr>
      <w:r>
        <w:rPr>
          <w:rFonts w:ascii="Times New Roman" w:eastAsia="Times New Roman" w:hAnsi="Times New Roman"/>
          <w:b/>
          <w:bCs/>
          <w:sz w:val="24"/>
          <w:szCs w:val="24"/>
        </w:rPr>
        <w:t>Legal Lessons Learned: Social Media posts are resulting in terminations in the fire service; employers must carefully review whether the matter is of “public concern” before imposing discipline.</w:t>
      </w:r>
    </w:p>
    <w:p w14:paraId="6C67D5D6" w14:textId="77777777" w:rsidR="00CD02AE" w:rsidRDefault="00CD02AE" w:rsidP="00F326E5">
      <w:pPr>
        <w:pStyle w:val="NoSpacing"/>
        <w:rPr>
          <w:rFonts w:ascii="Arial Black" w:hAnsi="Arial Black"/>
          <w:sz w:val="24"/>
          <w:szCs w:val="24"/>
        </w:rPr>
      </w:pPr>
    </w:p>
    <w:p w14:paraId="59E110A1" w14:textId="77777777" w:rsidR="00CD02AE" w:rsidRDefault="00CD02AE" w:rsidP="00F326E5">
      <w:pPr>
        <w:pStyle w:val="NoSpacing"/>
        <w:rPr>
          <w:rFonts w:ascii="Arial Black" w:hAnsi="Arial Black"/>
          <w:sz w:val="24"/>
          <w:szCs w:val="24"/>
        </w:rPr>
      </w:pPr>
    </w:p>
    <w:p w14:paraId="171736AA" w14:textId="7129564F" w:rsidR="001A653A" w:rsidRDefault="001A653A" w:rsidP="00F326E5">
      <w:pPr>
        <w:pStyle w:val="NoSpacing"/>
        <w:rPr>
          <w:rFonts w:ascii="Arial Black" w:hAnsi="Arial Black"/>
          <w:sz w:val="24"/>
          <w:szCs w:val="24"/>
        </w:rPr>
      </w:pPr>
      <w:r>
        <w:rPr>
          <w:rFonts w:ascii="Arial Black" w:hAnsi="Arial Black"/>
          <w:sz w:val="24"/>
          <w:szCs w:val="24"/>
        </w:rPr>
        <w:t>16-40</w:t>
      </w:r>
    </w:p>
    <w:p w14:paraId="3D1B1C35" w14:textId="5415F8AA" w:rsidR="001A653A" w:rsidRDefault="001A653A" w:rsidP="00F326E5">
      <w:pPr>
        <w:pStyle w:val="NoSpacing"/>
        <w:rPr>
          <w:rFonts w:ascii="Arial Black" w:hAnsi="Arial Black"/>
          <w:sz w:val="24"/>
          <w:szCs w:val="24"/>
        </w:rPr>
      </w:pPr>
    </w:p>
    <w:p w14:paraId="712EF66B" w14:textId="77777777" w:rsidR="001A653A" w:rsidRPr="00C7439B" w:rsidRDefault="001A653A" w:rsidP="001A653A">
      <w:pPr>
        <w:pStyle w:val="NoSpacing"/>
        <w:rPr>
          <w:rFonts w:ascii="Arial Black" w:hAnsi="Arial Black"/>
          <w:sz w:val="28"/>
          <w:szCs w:val="28"/>
        </w:rPr>
      </w:pPr>
      <w:r w:rsidRPr="00C7439B">
        <w:rPr>
          <w:rFonts w:ascii="Arial Black" w:hAnsi="Arial Black"/>
          <w:sz w:val="28"/>
          <w:szCs w:val="28"/>
        </w:rPr>
        <w:t xml:space="preserve">NY: </w:t>
      </w:r>
      <w:r>
        <w:rPr>
          <w:rFonts w:ascii="Arial Black" w:hAnsi="Arial Black"/>
          <w:sz w:val="28"/>
          <w:szCs w:val="28"/>
        </w:rPr>
        <w:t>CAREER FF / UNION SECRETARY FIRED FOR PUNCHING VOL. FF IN FACE – COMBINATION FD - LAWSUIT DISMISSED</w:t>
      </w:r>
    </w:p>
    <w:p w14:paraId="31B06354" w14:textId="77777777" w:rsidR="001A653A" w:rsidRDefault="001A653A" w:rsidP="001A653A">
      <w:pPr>
        <w:spacing w:before="100" w:beforeAutospacing="1" w:after="100" w:afterAutospacing="1" w:line="240" w:lineRule="auto"/>
        <w:rPr>
          <w:b/>
          <w:bCs/>
        </w:rPr>
      </w:pPr>
      <w:r w:rsidRPr="00C7439B">
        <w:rPr>
          <w:rFonts w:ascii="Times New Roman" w:hAnsi="Times New Roman"/>
          <w:sz w:val="24"/>
          <w:szCs w:val="24"/>
        </w:rPr>
        <w:t xml:space="preserve">On </w:t>
      </w:r>
      <w:r>
        <w:rPr>
          <w:rFonts w:ascii="Times New Roman" w:hAnsi="Times New Roman"/>
          <w:sz w:val="24"/>
          <w:szCs w:val="24"/>
        </w:rPr>
        <w:t xml:space="preserve">July 10, 2020, in </w:t>
      </w:r>
      <w:r w:rsidRPr="00C7439B">
        <w:rPr>
          <w:rFonts w:ascii="Times New Roman" w:hAnsi="Times New Roman"/>
          <w:sz w:val="24"/>
          <w:szCs w:val="24"/>
          <w:u w:val="single"/>
        </w:rPr>
        <w:t>Brian McNamara v. The City of Long Beach</w:t>
      </w:r>
      <w:r>
        <w:rPr>
          <w:rFonts w:ascii="Times New Roman" w:hAnsi="Times New Roman"/>
          <w:sz w:val="24"/>
          <w:szCs w:val="24"/>
          <w:u w:val="single"/>
        </w:rPr>
        <w:t>,</w:t>
      </w:r>
      <w:r w:rsidRPr="00C7439B">
        <w:rPr>
          <w:rFonts w:ascii="Times New Roman" w:hAnsi="Times New Roman"/>
          <w:sz w:val="24"/>
          <w:szCs w:val="24"/>
          <w:u w:val="single"/>
        </w:rPr>
        <w:t xml:space="preserve"> et al</w:t>
      </w:r>
      <w:r>
        <w:rPr>
          <w:rFonts w:ascii="Times New Roman" w:hAnsi="Times New Roman"/>
          <w:sz w:val="24"/>
          <w:szCs w:val="24"/>
        </w:rPr>
        <w:t xml:space="preserve">., U.S. District Court Senior Judge Denis R. Hurley, Eastern District of New York (Central Islip, NY) granted summary judgment to the </w:t>
      </w:r>
      <w:proofErr w:type="gramStart"/>
      <w:r>
        <w:rPr>
          <w:rFonts w:ascii="Times New Roman" w:hAnsi="Times New Roman"/>
          <w:sz w:val="24"/>
          <w:szCs w:val="24"/>
        </w:rPr>
        <w:t>City</w:t>
      </w:r>
      <w:proofErr w:type="gramEnd"/>
      <w:r>
        <w:rPr>
          <w:rFonts w:ascii="Times New Roman" w:hAnsi="Times New Roman"/>
          <w:sz w:val="24"/>
          <w:szCs w:val="24"/>
        </w:rPr>
        <w:t xml:space="preserve">.   The Judge found that the formal misconduct charges were proved in a three-day hearing before the City Manager, and plaintiff failed to show that his activities as Union secretary, including articles he published, or that he was generally disliked by volunteer firefighters, was reason he was terminated. The Court wrote: </w:t>
      </w:r>
      <w:r w:rsidRPr="00473009">
        <w:rPr>
          <w:rFonts w:ascii="Times New Roman" w:eastAsia="Times New Roman" w:hAnsi="Times New Roman"/>
          <w:sz w:val="24"/>
          <w:szCs w:val="24"/>
        </w:rPr>
        <w:t xml:space="preserve">Plaintiff picked up an audio recorder and went to the firehouse, where further </w:t>
      </w:r>
      <w:proofErr w:type="gramStart"/>
      <w:r w:rsidRPr="00473009">
        <w:rPr>
          <w:rFonts w:ascii="Times New Roman" w:eastAsia="Times New Roman" w:hAnsi="Times New Roman"/>
          <w:sz w:val="24"/>
          <w:szCs w:val="24"/>
        </w:rPr>
        <w:t>altercations</w:t>
      </w:r>
      <w:proofErr w:type="gramEnd"/>
      <w:r w:rsidRPr="00473009">
        <w:rPr>
          <w:rFonts w:ascii="Times New Roman" w:eastAsia="Times New Roman" w:hAnsi="Times New Roman"/>
          <w:sz w:val="24"/>
          <w:szCs w:val="24"/>
        </w:rPr>
        <w:t xml:space="preserve"> ensued, including the previously mentioned incident with Jacobi. Such behavior is unbecoming in any profession, and it is not surprising that Defendants would react adversely to it. Thus, for the foregoing reasons, Plaintiff has failed to show a material issue of fact as to a causal relationship between his allegedly protected speech or union membership and his </w:t>
      </w:r>
      <w:proofErr w:type="gramStart"/>
      <w:r w:rsidRPr="00473009">
        <w:rPr>
          <w:rFonts w:ascii="Times New Roman" w:eastAsia="Times New Roman" w:hAnsi="Times New Roman"/>
          <w:sz w:val="24"/>
          <w:szCs w:val="24"/>
        </w:rPr>
        <w:t>termination.</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hyperlink r:id="rId2773" w:history="1">
        <w:r w:rsidRPr="000603D4">
          <w:rPr>
            <w:rStyle w:val="Hyperlink"/>
            <w:rFonts w:ascii="Times New Roman" w:hAnsi="Times New Roman"/>
            <w:sz w:val="24"/>
            <w:szCs w:val="24"/>
          </w:rPr>
          <w:t>https://public.fastcase.com/Wl%2B2t%2BeVuI35%2FN70vAMFZqQ7Gx1lZ4VLPzvmh59TfRHYGD4c0wvhFgn%2Bs0ncYh62</w:t>
        </w:r>
      </w:hyperlink>
      <w:r>
        <w:rPr>
          <w:rFonts w:ascii="Times New Roman" w:eastAsia="Times New Roman" w:hAnsi="Times New Roman"/>
          <w:sz w:val="24"/>
          <w:szCs w:val="24"/>
        </w:rPr>
        <w:t xml:space="preserve"> </w:t>
      </w:r>
    </w:p>
    <w:p w14:paraId="169359F7" w14:textId="77777777" w:rsidR="001A653A" w:rsidRPr="00A32A53" w:rsidRDefault="001A653A" w:rsidP="001A653A">
      <w:pPr>
        <w:spacing w:before="100" w:beforeAutospacing="1" w:after="100" w:afterAutospacing="1" w:line="240" w:lineRule="auto"/>
        <w:rPr>
          <w:rFonts w:ascii="Times New Roman" w:eastAsia="Times New Roman" w:hAnsi="Times New Roman"/>
          <w:b/>
          <w:bCs/>
          <w:sz w:val="24"/>
          <w:szCs w:val="24"/>
        </w:rPr>
      </w:pPr>
      <w:r w:rsidRPr="00A32A53">
        <w:rPr>
          <w:rFonts w:ascii="Times New Roman" w:eastAsia="Times New Roman" w:hAnsi="Times New Roman"/>
          <w:b/>
          <w:bCs/>
          <w:sz w:val="24"/>
          <w:szCs w:val="24"/>
        </w:rPr>
        <w:t xml:space="preserve">Legal Lessons Learned: </w:t>
      </w:r>
      <w:r>
        <w:rPr>
          <w:rFonts w:ascii="Times New Roman" w:eastAsia="Times New Roman" w:hAnsi="Times New Roman"/>
          <w:b/>
          <w:bCs/>
          <w:sz w:val="24"/>
          <w:szCs w:val="24"/>
        </w:rPr>
        <w:t xml:space="preserve">Violent assault on a fellow firefighter, whether volunteer or career, is completely unacceptable. </w:t>
      </w:r>
    </w:p>
    <w:p w14:paraId="69F182AC" w14:textId="77777777" w:rsidR="001A653A" w:rsidRDefault="001A653A" w:rsidP="00F326E5">
      <w:pPr>
        <w:pStyle w:val="NoSpacing"/>
        <w:rPr>
          <w:rFonts w:ascii="Arial Black" w:hAnsi="Arial Black"/>
          <w:sz w:val="24"/>
          <w:szCs w:val="24"/>
        </w:rPr>
      </w:pPr>
    </w:p>
    <w:p w14:paraId="33575056" w14:textId="77777777" w:rsidR="001A653A" w:rsidRDefault="001A653A" w:rsidP="00F326E5">
      <w:pPr>
        <w:pStyle w:val="NoSpacing"/>
        <w:rPr>
          <w:rFonts w:ascii="Arial Black" w:hAnsi="Arial Black"/>
          <w:sz w:val="24"/>
          <w:szCs w:val="24"/>
        </w:rPr>
      </w:pPr>
    </w:p>
    <w:p w14:paraId="49D50DA7" w14:textId="7098DCB0" w:rsidR="001A653A" w:rsidRPr="001A653A" w:rsidRDefault="001A653A" w:rsidP="00F326E5">
      <w:pPr>
        <w:pStyle w:val="NoSpacing"/>
        <w:rPr>
          <w:rFonts w:ascii="Times New Roman" w:hAnsi="Times New Roman"/>
          <w:sz w:val="24"/>
          <w:szCs w:val="24"/>
        </w:rPr>
      </w:pPr>
      <w:r>
        <w:rPr>
          <w:rFonts w:ascii="Arial Black" w:hAnsi="Arial Black"/>
          <w:sz w:val="24"/>
          <w:szCs w:val="24"/>
        </w:rPr>
        <w:t xml:space="preserve">16-39 </w:t>
      </w:r>
      <w:r w:rsidRPr="001A653A">
        <w:rPr>
          <w:rFonts w:ascii="Times New Roman" w:hAnsi="Times New Roman"/>
          <w:sz w:val="24"/>
          <w:szCs w:val="24"/>
        </w:rPr>
        <w:t xml:space="preserve">[also filed, Chap. 7] </w:t>
      </w:r>
    </w:p>
    <w:p w14:paraId="1B7C3F1D" w14:textId="088DFD1A" w:rsidR="001A653A" w:rsidRDefault="001A653A" w:rsidP="00F326E5">
      <w:pPr>
        <w:pStyle w:val="NoSpacing"/>
        <w:rPr>
          <w:rFonts w:ascii="Arial Black" w:hAnsi="Arial Black"/>
          <w:sz w:val="24"/>
          <w:szCs w:val="24"/>
        </w:rPr>
      </w:pPr>
    </w:p>
    <w:p w14:paraId="34AD30AD" w14:textId="77777777" w:rsidR="001A653A" w:rsidRDefault="001A653A" w:rsidP="001A653A">
      <w:pPr>
        <w:pStyle w:val="NoSpacing"/>
        <w:rPr>
          <w:rFonts w:ascii="Arial Black" w:hAnsi="Arial Black"/>
          <w:sz w:val="28"/>
          <w:szCs w:val="28"/>
        </w:rPr>
      </w:pPr>
      <w:r w:rsidRPr="007B1E77">
        <w:rPr>
          <w:rFonts w:ascii="Arial Black" w:hAnsi="Arial Black"/>
          <w:sz w:val="28"/>
          <w:szCs w:val="28"/>
        </w:rPr>
        <w:t xml:space="preserve">KY: </w:t>
      </w:r>
      <w:r>
        <w:rPr>
          <w:rFonts w:ascii="Arial Black" w:hAnsi="Arial Black"/>
          <w:sz w:val="28"/>
          <w:szCs w:val="28"/>
        </w:rPr>
        <w:t>FF MET 17-YEAR-OLD AT FIRE STATION – CONVICTED HAVING SEX WITH MINOR - TOOK VIDEOS AND PHOTOS</w:t>
      </w:r>
    </w:p>
    <w:p w14:paraId="733124C7" w14:textId="77777777" w:rsidR="001A653A" w:rsidRDefault="001A653A" w:rsidP="001A653A">
      <w:pPr>
        <w:pStyle w:val="NoSpacing"/>
        <w:rPr>
          <w:rFonts w:ascii="Times New Roman" w:hAnsi="Times New Roman"/>
          <w:sz w:val="24"/>
          <w:szCs w:val="24"/>
        </w:rPr>
      </w:pPr>
      <w:r w:rsidRPr="007B1E77">
        <w:rPr>
          <w:rFonts w:ascii="Times New Roman" w:hAnsi="Times New Roman"/>
          <w:sz w:val="24"/>
          <w:szCs w:val="24"/>
        </w:rPr>
        <w:t xml:space="preserve">On July 7, 2020, in </w:t>
      </w:r>
      <w:r w:rsidRPr="007B1E77">
        <w:rPr>
          <w:rFonts w:ascii="Times New Roman" w:hAnsi="Times New Roman"/>
          <w:sz w:val="24"/>
          <w:szCs w:val="24"/>
          <w:u w:val="single"/>
        </w:rPr>
        <w:t>United States of America v. William Michael Fields</w:t>
      </w:r>
      <w:r w:rsidRPr="007B1E77">
        <w:rPr>
          <w:rFonts w:ascii="Times New Roman" w:hAnsi="Times New Roman"/>
          <w:sz w:val="24"/>
          <w:szCs w:val="24"/>
        </w:rPr>
        <w:t xml:space="preserve">, </w:t>
      </w:r>
      <w:r>
        <w:rPr>
          <w:rFonts w:ascii="Times New Roman" w:hAnsi="Times New Roman"/>
          <w:sz w:val="24"/>
          <w:szCs w:val="24"/>
        </w:rPr>
        <w:t xml:space="preserve">U.S. District Court Chief Judge Danny C. Reeves, Eastern District of Kentucky, denied the defendant’s motion for judgment of acquittal, or a new trial. The Court wrote: </w:t>
      </w:r>
      <w:r w:rsidRPr="007B1E77">
        <w:rPr>
          <w:rFonts w:ascii="Times New Roman" w:hAnsi="Times New Roman"/>
          <w:sz w:val="24"/>
          <w:szCs w:val="24"/>
        </w:rPr>
        <w:t xml:space="preserve">“Based on the foregoing, there was ample evidence from which the jury could have concluded that, on March 17 and 23, 2019, Fields employed, used, persuaded, induced, or coerced the minor victim to engage in </w:t>
      </w:r>
    </w:p>
    <w:p w14:paraId="3F5CCE85" w14:textId="77777777" w:rsidR="001A653A" w:rsidRDefault="001A653A" w:rsidP="001A653A">
      <w:pPr>
        <w:pStyle w:val="NoSpacing"/>
        <w:rPr>
          <w:rFonts w:ascii="Times New Roman" w:hAnsi="Times New Roman"/>
          <w:sz w:val="24"/>
          <w:szCs w:val="24"/>
        </w:rPr>
      </w:pPr>
    </w:p>
    <w:p w14:paraId="666B9144" w14:textId="77777777" w:rsidR="001A653A" w:rsidRDefault="001A653A" w:rsidP="001A653A">
      <w:pPr>
        <w:pStyle w:val="NoSpacing"/>
        <w:rPr>
          <w:rFonts w:ascii="Times New Roman" w:hAnsi="Times New Roman"/>
          <w:sz w:val="24"/>
          <w:szCs w:val="24"/>
        </w:rPr>
      </w:pPr>
      <w:r w:rsidRPr="007B1E77">
        <w:rPr>
          <w:rFonts w:ascii="Times New Roman" w:hAnsi="Times New Roman"/>
          <w:sz w:val="24"/>
          <w:szCs w:val="24"/>
        </w:rPr>
        <w:t>sexually explicit conduct for the purpose of producing a visual depiction of that conduct and that the visual depiction was produced or transmitted using materials that were mailed, shipped, or transported in or affecting interstate commerce by any means, including computer.</w:t>
      </w:r>
      <w:r>
        <w:rPr>
          <w:rFonts w:ascii="Times New Roman" w:hAnsi="Times New Roman"/>
          <w:sz w:val="24"/>
          <w:szCs w:val="24"/>
        </w:rPr>
        <w:t xml:space="preserve">” </w:t>
      </w:r>
      <w:hyperlink r:id="rId2774" w:history="1">
        <w:r w:rsidRPr="00FE7BCF">
          <w:rPr>
            <w:rStyle w:val="Hyperlink"/>
            <w:rFonts w:ascii="Times New Roman" w:hAnsi="Times New Roman"/>
            <w:sz w:val="24"/>
            <w:szCs w:val="24"/>
          </w:rPr>
          <w:t>https://casetext.com/case/united-states-v-fields-198</w:t>
        </w:r>
      </w:hyperlink>
      <w:r>
        <w:rPr>
          <w:rFonts w:ascii="Times New Roman" w:hAnsi="Times New Roman"/>
          <w:sz w:val="24"/>
          <w:szCs w:val="24"/>
        </w:rPr>
        <w:t xml:space="preserve"> </w:t>
      </w:r>
    </w:p>
    <w:p w14:paraId="4A337F73" w14:textId="2FC1D1E3" w:rsidR="001A653A" w:rsidRDefault="001A653A" w:rsidP="00F326E5">
      <w:pPr>
        <w:pStyle w:val="NoSpacing"/>
        <w:rPr>
          <w:rFonts w:ascii="Arial Black" w:hAnsi="Arial Black"/>
          <w:sz w:val="24"/>
          <w:szCs w:val="24"/>
        </w:rPr>
      </w:pPr>
    </w:p>
    <w:p w14:paraId="75AFBF74" w14:textId="77777777" w:rsidR="001A653A" w:rsidRDefault="001A653A" w:rsidP="001A653A">
      <w:pPr>
        <w:pStyle w:val="NoSpacing"/>
        <w:tabs>
          <w:tab w:val="left" w:pos="2780"/>
        </w:tabs>
        <w:rPr>
          <w:rFonts w:ascii="Times New Roman" w:hAnsi="Times New Roman"/>
          <w:b/>
          <w:bCs/>
          <w:sz w:val="24"/>
          <w:szCs w:val="24"/>
        </w:rPr>
      </w:pPr>
      <w:r w:rsidRPr="00602C23">
        <w:rPr>
          <w:rFonts w:ascii="Times New Roman" w:hAnsi="Times New Roman"/>
          <w:b/>
          <w:bCs/>
          <w:sz w:val="24"/>
          <w:szCs w:val="24"/>
        </w:rPr>
        <w:lastRenderedPageBreak/>
        <w:t>Legal Lesson Learned</w:t>
      </w:r>
      <w:r>
        <w:rPr>
          <w:rFonts w:ascii="Times New Roman" w:hAnsi="Times New Roman"/>
          <w:b/>
          <w:bCs/>
          <w:sz w:val="24"/>
          <w:szCs w:val="24"/>
        </w:rPr>
        <w:t xml:space="preserve">: A firefighter having sex with a minor can be convicted of a federal offense if a video or photos is posted on Internet. </w:t>
      </w:r>
    </w:p>
    <w:p w14:paraId="399DCC34" w14:textId="77777777" w:rsidR="001A653A" w:rsidRDefault="001A653A" w:rsidP="00F326E5">
      <w:pPr>
        <w:pStyle w:val="NoSpacing"/>
        <w:rPr>
          <w:rFonts w:ascii="Arial Black" w:hAnsi="Arial Black"/>
          <w:sz w:val="24"/>
          <w:szCs w:val="24"/>
        </w:rPr>
      </w:pPr>
    </w:p>
    <w:p w14:paraId="0C5C2967" w14:textId="77777777" w:rsidR="001A653A" w:rsidRDefault="001A653A" w:rsidP="00F326E5">
      <w:pPr>
        <w:pStyle w:val="NoSpacing"/>
        <w:rPr>
          <w:rFonts w:ascii="Arial Black" w:hAnsi="Arial Black"/>
          <w:sz w:val="24"/>
          <w:szCs w:val="24"/>
        </w:rPr>
      </w:pPr>
    </w:p>
    <w:p w14:paraId="62589F10" w14:textId="0D79952A" w:rsidR="001A653A" w:rsidRDefault="001A653A" w:rsidP="00F326E5">
      <w:pPr>
        <w:pStyle w:val="NoSpacing"/>
        <w:rPr>
          <w:rFonts w:ascii="Arial Black" w:hAnsi="Arial Black"/>
          <w:sz w:val="24"/>
          <w:szCs w:val="24"/>
        </w:rPr>
      </w:pPr>
      <w:r>
        <w:rPr>
          <w:rFonts w:ascii="Arial Black" w:hAnsi="Arial Black"/>
          <w:sz w:val="24"/>
          <w:szCs w:val="24"/>
        </w:rPr>
        <w:t>16-38</w:t>
      </w:r>
    </w:p>
    <w:p w14:paraId="0AD151BB" w14:textId="1B391A33" w:rsidR="001A653A" w:rsidRDefault="001A653A" w:rsidP="00F326E5">
      <w:pPr>
        <w:pStyle w:val="NoSpacing"/>
        <w:rPr>
          <w:rFonts w:ascii="Arial Black" w:hAnsi="Arial Black"/>
          <w:sz w:val="24"/>
          <w:szCs w:val="24"/>
        </w:rPr>
      </w:pPr>
    </w:p>
    <w:p w14:paraId="6590CE23" w14:textId="77777777" w:rsidR="001A653A" w:rsidRPr="00901FCB" w:rsidRDefault="001A653A" w:rsidP="001A653A">
      <w:pPr>
        <w:pStyle w:val="NoSpacing"/>
        <w:rPr>
          <w:rFonts w:ascii="Arial Black" w:hAnsi="Arial Black"/>
          <w:sz w:val="28"/>
          <w:szCs w:val="28"/>
        </w:rPr>
      </w:pPr>
      <w:r w:rsidRPr="00901FCB">
        <w:rPr>
          <w:rFonts w:ascii="Arial Black" w:hAnsi="Arial Black"/>
          <w:sz w:val="28"/>
          <w:szCs w:val="28"/>
        </w:rPr>
        <w:t xml:space="preserve">NJ: </w:t>
      </w:r>
      <w:r>
        <w:rPr>
          <w:rFonts w:ascii="Arial Black" w:hAnsi="Arial Black"/>
          <w:sz w:val="28"/>
          <w:szCs w:val="28"/>
        </w:rPr>
        <w:t>PENSION FRAUD – FF SENTENCED 7 YEARS IN PRISON – MARSHAL ARTS INSTRUCTOR – VIDEO OF COMPETITION</w:t>
      </w:r>
    </w:p>
    <w:p w14:paraId="7F40F2BF" w14:textId="77777777" w:rsidR="001A653A" w:rsidRDefault="001A653A" w:rsidP="001A653A">
      <w:pPr>
        <w:pStyle w:val="NoSpacing"/>
        <w:rPr>
          <w:rFonts w:ascii="Times New Roman" w:hAnsi="Times New Roman"/>
          <w:sz w:val="24"/>
          <w:szCs w:val="24"/>
        </w:rPr>
      </w:pPr>
    </w:p>
    <w:p w14:paraId="79AD8803" w14:textId="77777777" w:rsidR="001A653A" w:rsidRDefault="001A653A" w:rsidP="001A653A">
      <w:pPr>
        <w:pStyle w:val="NoSpacing"/>
        <w:tabs>
          <w:tab w:val="left" w:pos="6170"/>
        </w:tabs>
        <w:rPr>
          <w:rFonts w:ascii="Times New Roman" w:hAnsi="Times New Roman"/>
          <w:sz w:val="24"/>
          <w:szCs w:val="24"/>
        </w:rPr>
      </w:pPr>
      <w:r>
        <w:rPr>
          <w:rFonts w:ascii="Times New Roman" w:hAnsi="Times New Roman"/>
          <w:sz w:val="24"/>
          <w:szCs w:val="24"/>
        </w:rPr>
        <w:t xml:space="preserve">On June 30, 2020, in </w:t>
      </w:r>
      <w:r w:rsidRPr="00FE7716">
        <w:rPr>
          <w:rFonts w:ascii="Times New Roman" w:hAnsi="Times New Roman"/>
          <w:sz w:val="24"/>
          <w:szCs w:val="24"/>
          <w:u w:val="single"/>
        </w:rPr>
        <w:t>State of New Jersey v. Shane Streater</w:t>
      </w:r>
      <w:r>
        <w:rPr>
          <w:rFonts w:ascii="Times New Roman" w:hAnsi="Times New Roman"/>
          <w:sz w:val="24"/>
          <w:szCs w:val="24"/>
        </w:rPr>
        <w:t>, the Superior Court of New Jersey, Appellate Division, held (2 to 0) that jury’s conviction of the former Camden, NJ firefighter is affirmed. The prosecution called as witnesses two medical doctors who had submitted letters in support of his disability; they told the jury that after watching the video they were never informed of his martial arts activities.  The Court wrote: “</w:t>
      </w:r>
      <w:r w:rsidRPr="00901FCB">
        <w:rPr>
          <w:rFonts w:ascii="Times New Roman" w:hAnsi="Times New Roman"/>
          <w:sz w:val="24"/>
          <w:szCs w:val="24"/>
        </w:rPr>
        <w:t>Here, the State adduced abundant evidence of defendant's fraud, including the testimony of three doctors who examined him and stated defendant's actions on the videotape of his martial arts competition were inconsistent with defendant's complaints of pain and disability.</w:t>
      </w:r>
      <w:r>
        <w:rPr>
          <w:rFonts w:ascii="Times New Roman" w:hAnsi="Times New Roman"/>
          <w:sz w:val="24"/>
          <w:szCs w:val="24"/>
        </w:rPr>
        <w:t xml:space="preserve">” </w:t>
      </w:r>
      <w:hyperlink r:id="rId2775" w:history="1">
        <w:r w:rsidRPr="00524935">
          <w:rPr>
            <w:rStyle w:val="Hyperlink"/>
            <w:rFonts w:ascii="Times New Roman" w:hAnsi="Times New Roman"/>
            <w:sz w:val="24"/>
            <w:szCs w:val="24"/>
          </w:rPr>
          <w:t>https://njcourts.gov/attorneys/assets/opinions/appellate/unpublished/a1619-18.pdf?c=D1L</w:t>
        </w:r>
      </w:hyperlink>
      <w:r>
        <w:rPr>
          <w:rFonts w:ascii="Times New Roman" w:hAnsi="Times New Roman"/>
          <w:sz w:val="24"/>
          <w:szCs w:val="24"/>
        </w:rPr>
        <w:t xml:space="preserve"> </w:t>
      </w:r>
    </w:p>
    <w:p w14:paraId="78AED0E5" w14:textId="48E8B08F" w:rsidR="001A653A" w:rsidRDefault="001A653A" w:rsidP="00F326E5">
      <w:pPr>
        <w:pStyle w:val="NoSpacing"/>
        <w:rPr>
          <w:rFonts w:ascii="Arial Black" w:hAnsi="Arial Black"/>
          <w:sz w:val="24"/>
          <w:szCs w:val="24"/>
        </w:rPr>
      </w:pPr>
    </w:p>
    <w:p w14:paraId="6601AF98" w14:textId="77777777" w:rsidR="001A653A" w:rsidRDefault="001A653A" w:rsidP="001A653A">
      <w:pPr>
        <w:pStyle w:val="NoSpacing"/>
        <w:rPr>
          <w:rFonts w:ascii="Times New Roman" w:hAnsi="Times New Roman"/>
          <w:b/>
          <w:bCs/>
          <w:sz w:val="24"/>
          <w:szCs w:val="24"/>
        </w:rPr>
      </w:pPr>
      <w:r w:rsidRPr="0046700F">
        <w:rPr>
          <w:rFonts w:ascii="Times New Roman" w:hAnsi="Times New Roman"/>
          <w:b/>
          <w:bCs/>
          <w:sz w:val="24"/>
          <w:szCs w:val="24"/>
        </w:rPr>
        <w:t>Legal Lessons Learned:</w:t>
      </w:r>
      <w:r>
        <w:rPr>
          <w:rFonts w:ascii="Times New Roman" w:hAnsi="Times New Roman"/>
          <w:b/>
          <w:bCs/>
          <w:sz w:val="24"/>
          <w:szCs w:val="24"/>
        </w:rPr>
        <w:t xml:space="preserve"> The 7-year prison sentence certainly “sends a message.”</w:t>
      </w:r>
    </w:p>
    <w:p w14:paraId="69BA5865" w14:textId="77777777" w:rsidR="001A653A" w:rsidRDefault="001A653A" w:rsidP="001A653A">
      <w:pPr>
        <w:pStyle w:val="NoSpacing"/>
        <w:rPr>
          <w:rFonts w:ascii="Times New Roman" w:hAnsi="Times New Roman"/>
          <w:b/>
          <w:bCs/>
          <w:sz w:val="24"/>
          <w:szCs w:val="24"/>
        </w:rPr>
      </w:pPr>
    </w:p>
    <w:p w14:paraId="2CDE1666" w14:textId="77777777" w:rsidR="001A653A" w:rsidRDefault="001A653A" w:rsidP="001A653A">
      <w:pPr>
        <w:pStyle w:val="NoSpacing"/>
        <w:rPr>
          <w:rFonts w:ascii="Times New Roman" w:hAnsi="Times New Roman"/>
          <w:sz w:val="24"/>
          <w:szCs w:val="24"/>
        </w:rPr>
      </w:pPr>
      <w:r>
        <w:rPr>
          <w:rFonts w:ascii="Times New Roman" w:hAnsi="Times New Roman"/>
          <w:b/>
          <w:bCs/>
          <w:sz w:val="24"/>
          <w:szCs w:val="24"/>
        </w:rPr>
        <w:tab/>
      </w:r>
      <w:r w:rsidRPr="00B4050E">
        <w:rPr>
          <w:rFonts w:ascii="Times New Roman" w:hAnsi="Times New Roman"/>
          <w:sz w:val="24"/>
          <w:szCs w:val="24"/>
        </w:rPr>
        <w:t>Note: Trial Court judge also ordered the defendant to pay $82,488.22 in restitution.</w:t>
      </w:r>
    </w:p>
    <w:p w14:paraId="5F0E1C9F" w14:textId="77777777" w:rsidR="001A653A" w:rsidRDefault="001A653A" w:rsidP="001A653A">
      <w:pPr>
        <w:pStyle w:val="NoSpacing"/>
        <w:rPr>
          <w:rFonts w:ascii="Times New Roman" w:hAnsi="Times New Roman"/>
          <w:sz w:val="24"/>
          <w:szCs w:val="24"/>
        </w:rPr>
      </w:pPr>
      <w:r>
        <w:rPr>
          <w:rFonts w:ascii="Times New Roman" w:hAnsi="Times New Roman"/>
          <w:sz w:val="24"/>
          <w:szCs w:val="24"/>
        </w:rPr>
        <w:tab/>
        <w:t xml:space="preserve">See newspaper coverage: </w:t>
      </w:r>
    </w:p>
    <w:p w14:paraId="3B6CEA3C" w14:textId="77777777" w:rsidR="001A653A" w:rsidRDefault="001A653A" w:rsidP="001A653A">
      <w:pPr>
        <w:pStyle w:val="NoSpacing"/>
        <w:ind w:left="720"/>
        <w:rPr>
          <w:rFonts w:ascii="Times New Roman" w:hAnsi="Times New Roman"/>
          <w:sz w:val="24"/>
          <w:szCs w:val="24"/>
        </w:rPr>
      </w:pPr>
      <w:r>
        <w:rPr>
          <w:rFonts w:ascii="Times New Roman" w:hAnsi="Times New Roman"/>
          <w:sz w:val="24"/>
          <w:szCs w:val="24"/>
        </w:rPr>
        <w:t xml:space="preserve">Watch the YouTube video and TV story (March 18, 2015): </w:t>
      </w:r>
      <w:hyperlink r:id="rId2776" w:history="1">
        <w:r w:rsidRPr="00524935">
          <w:rPr>
            <w:rStyle w:val="Hyperlink"/>
            <w:rFonts w:ascii="Times New Roman" w:hAnsi="Times New Roman"/>
            <w:sz w:val="24"/>
            <w:szCs w:val="24"/>
          </w:rPr>
          <w:t>https://www.nbcphiladelphia.com/news/local/firefighter-fraudulently-collected-disability-pension/151491/</w:t>
        </w:r>
      </w:hyperlink>
      <w:r>
        <w:rPr>
          <w:rFonts w:ascii="Times New Roman" w:hAnsi="Times New Roman"/>
          <w:sz w:val="24"/>
          <w:szCs w:val="24"/>
        </w:rPr>
        <w:t xml:space="preserve"> </w:t>
      </w:r>
    </w:p>
    <w:p w14:paraId="5C62DDE8" w14:textId="77777777" w:rsidR="001A653A" w:rsidRPr="00DB11E1" w:rsidRDefault="001A653A" w:rsidP="001A653A">
      <w:pPr>
        <w:pStyle w:val="NoSpacing"/>
        <w:ind w:left="720"/>
        <w:rPr>
          <w:rFonts w:ascii="Times New Roman" w:eastAsia="Times New Roman" w:hAnsi="Times New Roman"/>
          <w:b/>
          <w:bCs/>
          <w:sz w:val="24"/>
          <w:szCs w:val="24"/>
        </w:rPr>
      </w:pPr>
      <w:r>
        <w:rPr>
          <w:rFonts w:ascii="Times New Roman" w:hAnsi="Times New Roman"/>
          <w:sz w:val="24"/>
          <w:szCs w:val="24"/>
        </w:rPr>
        <w:t>“</w:t>
      </w:r>
      <w:r w:rsidRPr="00B4050E">
        <w:rPr>
          <w:rFonts w:ascii="Times New Roman" w:hAnsi="Times New Roman"/>
          <w:sz w:val="24"/>
          <w:szCs w:val="24"/>
        </w:rPr>
        <w:t>Ex-N.J. firefighter convicted of stealing disability pension while earning black belt</w:t>
      </w:r>
      <w:r>
        <w:rPr>
          <w:rFonts w:ascii="Times New Roman" w:hAnsi="Times New Roman"/>
          <w:sz w:val="24"/>
          <w:szCs w:val="24"/>
        </w:rPr>
        <w:t>”</w:t>
      </w:r>
      <w:r w:rsidRPr="00B4050E">
        <w:rPr>
          <w:rFonts w:ascii="Times New Roman" w:hAnsi="Times New Roman"/>
          <w:sz w:val="24"/>
          <w:szCs w:val="24"/>
        </w:rPr>
        <w:t xml:space="preserve"> (April 12, 2016): </w:t>
      </w:r>
      <w:hyperlink r:id="rId2777" w:history="1">
        <w:r w:rsidRPr="00B4050E">
          <w:rPr>
            <w:rStyle w:val="Hyperlink"/>
            <w:rFonts w:ascii="Times New Roman" w:hAnsi="Times New Roman"/>
            <w:sz w:val="24"/>
            <w:szCs w:val="24"/>
          </w:rPr>
          <w:t>https://www.nj.com/news/2016/04/ex-nj_firefighter_convicted_of_stealing_disability.html</w:t>
        </w:r>
      </w:hyperlink>
      <w:r w:rsidRPr="00B4050E">
        <w:rPr>
          <w:rFonts w:ascii="Times New Roman" w:hAnsi="Times New Roman"/>
          <w:sz w:val="24"/>
          <w:szCs w:val="24"/>
        </w:rPr>
        <w:t xml:space="preserve"> </w:t>
      </w:r>
    </w:p>
    <w:p w14:paraId="21CA3937" w14:textId="77777777" w:rsidR="001A653A" w:rsidRDefault="001A653A" w:rsidP="00F326E5">
      <w:pPr>
        <w:pStyle w:val="NoSpacing"/>
        <w:rPr>
          <w:rFonts w:ascii="Arial Black" w:hAnsi="Arial Black"/>
          <w:sz w:val="24"/>
          <w:szCs w:val="24"/>
        </w:rPr>
      </w:pPr>
    </w:p>
    <w:p w14:paraId="7E752396" w14:textId="77777777" w:rsidR="001A653A" w:rsidRDefault="001A653A" w:rsidP="00F326E5">
      <w:pPr>
        <w:pStyle w:val="NoSpacing"/>
        <w:rPr>
          <w:rFonts w:ascii="Arial Black" w:hAnsi="Arial Black"/>
          <w:sz w:val="24"/>
          <w:szCs w:val="24"/>
        </w:rPr>
      </w:pPr>
    </w:p>
    <w:p w14:paraId="1C8ED012" w14:textId="77777777" w:rsidR="001A653A" w:rsidRDefault="001A653A" w:rsidP="00F326E5">
      <w:pPr>
        <w:pStyle w:val="NoSpacing"/>
        <w:rPr>
          <w:rFonts w:ascii="Arial Black" w:hAnsi="Arial Black"/>
          <w:sz w:val="24"/>
          <w:szCs w:val="24"/>
        </w:rPr>
      </w:pPr>
    </w:p>
    <w:p w14:paraId="6ED87FA1" w14:textId="6EE32EFF" w:rsidR="00A950CC" w:rsidRDefault="00A950CC" w:rsidP="00F326E5">
      <w:pPr>
        <w:pStyle w:val="NoSpacing"/>
        <w:rPr>
          <w:rFonts w:ascii="Arial Black" w:hAnsi="Arial Black"/>
          <w:sz w:val="24"/>
          <w:szCs w:val="24"/>
        </w:rPr>
      </w:pPr>
      <w:r>
        <w:rPr>
          <w:rFonts w:ascii="Arial Black" w:hAnsi="Arial Black"/>
          <w:sz w:val="24"/>
          <w:szCs w:val="24"/>
        </w:rPr>
        <w:t>16-37</w:t>
      </w:r>
    </w:p>
    <w:p w14:paraId="05A66B3E" w14:textId="77777777" w:rsidR="00A950CC" w:rsidRPr="00B2496D" w:rsidRDefault="00A950CC" w:rsidP="00A950CC">
      <w:pPr>
        <w:spacing w:before="100" w:beforeAutospacing="1" w:after="100" w:afterAutospacing="1" w:line="240" w:lineRule="auto"/>
        <w:rPr>
          <w:rFonts w:ascii="Arial Black" w:hAnsi="Arial Black" w:cs="Arial"/>
          <w:sz w:val="28"/>
          <w:szCs w:val="28"/>
        </w:rPr>
      </w:pPr>
      <w:r w:rsidRPr="00B2496D">
        <w:rPr>
          <w:rFonts w:ascii="Arial Black" w:hAnsi="Arial Black" w:cs="Arial"/>
          <w:sz w:val="28"/>
          <w:szCs w:val="28"/>
        </w:rPr>
        <w:t xml:space="preserve">TN: </w:t>
      </w:r>
      <w:r>
        <w:rPr>
          <w:rFonts w:ascii="Arial Black" w:hAnsi="Arial Black" w:cs="Arial"/>
          <w:sz w:val="28"/>
          <w:szCs w:val="28"/>
        </w:rPr>
        <w:t>TAPE RECORDER SECRETLY PLACED UNDER TABLE FIRE HALL – TO RECORD “GOSSIP” – VIOLATION OF TN LAW – 5 FF AWARDED $10,000 EACH &amp; ATTORNEY FEES</w:t>
      </w:r>
    </w:p>
    <w:p w14:paraId="5C6CD714" w14:textId="77777777" w:rsidR="00A950CC" w:rsidRPr="00DF718A" w:rsidRDefault="00A950CC" w:rsidP="00A950CC">
      <w:pPr>
        <w:spacing w:before="100" w:beforeAutospacing="1" w:after="100" w:afterAutospacing="1" w:line="240" w:lineRule="auto"/>
        <w:rPr>
          <w:rFonts w:ascii="Times New Roman" w:hAnsi="Times New Roman"/>
          <w:sz w:val="24"/>
          <w:szCs w:val="24"/>
        </w:rPr>
      </w:pPr>
      <w:r w:rsidRPr="00B2496D">
        <w:rPr>
          <w:rFonts w:ascii="Times New Roman" w:hAnsi="Times New Roman"/>
          <w:sz w:val="24"/>
          <w:szCs w:val="24"/>
        </w:rPr>
        <w:t xml:space="preserve">On May 8, 2020, in </w:t>
      </w:r>
      <w:r w:rsidRPr="00DF718A">
        <w:rPr>
          <w:rFonts w:ascii="Times New Roman" w:hAnsi="Times New Roman"/>
          <w:sz w:val="24"/>
          <w:szCs w:val="24"/>
          <w:u w:val="single"/>
        </w:rPr>
        <w:t>Ronald Ledford, et al, v. John Ben Sneed and Ray Wilson, Jr.</w:t>
      </w:r>
      <w:r>
        <w:rPr>
          <w:rFonts w:ascii="Times New Roman" w:hAnsi="Times New Roman"/>
          <w:sz w:val="24"/>
          <w:szCs w:val="24"/>
        </w:rPr>
        <w:t>, the Court of Appeals of Tennessee at Knoxville, held (3 to 0) that “</w:t>
      </w:r>
      <w:r w:rsidRPr="00DF718A">
        <w:rPr>
          <w:rFonts w:ascii="Times New Roman" w:hAnsi="Times New Roman"/>
          <w:sz w:val="24"/>
          <w:szCs w:val="24"/>
        </w:rPr>
        <w:t>Defendants’</w:t>
      </w:r>
      <w:r>
        <w:rPr>
          <w:rFonts w:ascii="Times New Roman" w:hAnsi="Times New Roman"/>
          <w:sz w:val="24"/>
          <w:szCs w:val="24"/>
        </w:rPr>
        <w:t xml:space="preserve"> </w:t>
      </w:r>
      <w:r w:rsidRPr="00DF718A">
        <w:rPr>
          <w:rFonts w:ascii="Times New Roman" w:hAnsi="Times New Roman"/>
          <w:sz w:val="24"/>
          <w:szCs w:val="24"/>
        </w:rPr>
        <w:t>vague assertions that they would be listening were</w:t>
      </w:r>
      <w:r>
        <w:rPr>
          <w:rFonts w:ascii="Times New Roman" w:hAnsi="Times New Roman"/>
          <w:sz w:val="24"/>
          <w:szCs w:val="24"/>
        </w:rPr>
        <w:t xml:space="preserve"> </w:t>
      </w:r>
      <w:r w:rsidRPr="00DF718A">
        <w:rPr>
          <w:rFonts w:ascii="Times New Roman" w:hAnsi="Times New Roman"/>
          <w:sz w:val="24"/>
          <w:szCs w:val="24"/>
        </w:rPr>
        <w:t>also not enough to garner consent from Plaintiffs to record their conversations via a tape recorder</w:t>
      </w:r>
      <w:r>
        <w:rPr>
          <w:rFonts w:ascii="Times New Roman" w:hAnsi="Times New Roman"/>
          <w:sz w:val="24"/>
          <w:szCs w:val="24"/>
        </w:rPr>
        <w:t xml:space="preserve"> </w:t>
      </w:r>
      <w:r w:rsidRPr="00DF718A">
        <w:rPr>
          <w:rFonts w:ascii="Times New Roman" w:hAnsi="Times New Roman"/>
          <w:sz w:val="24"/>
          <w:szCs w:val="24"/>
        </w:rPr>
        <w:t>taped under the table</w:t>
      </w:r>
      <w:r>
        <w:rPr>
          <w:rFonts w:ascii="Times New Roman" w:hAnsi="Times New Roman"/>
          <w:sz w:val="24"/>
          <w:szCs w:val="24"/>
        </w:rPr>
        <w:t xml:space="preserve">.” </w:t>
      </w:r>
      <w:hyperlink r:id="rId2778" w:history="1">
        <w:r w:rsidRPr="008C168C">
          <w:rPr>
            <w:rStyle w:val="Hyperlink"/>
            <w:sz w:val="24"/>
            <w:szCs w:val="24"/>
          </w:rPr>
          <w:t>http://www.tncourts.gov/sites/default/files/ronald_ledford_et_al._v._john_ben_sneed_et_al..pdf</w:t>
        </w:r>
      </w:hyperlink>
      <w:r>
        <w:rPr>
          <w:rFonts w:ascii="Times New Roman" w:hAnsi="Times New Roman"/>
          <w:sz w:val="24"/>
          <w:szCs w:val="24"/>
        </w:rPr>
        <w:t xml:space="preserve"> </w:t>
      </w:r>
    </w:p>
    <w:p w14:paraId="767D458B" w14:textId="77777777" w:rsidR="00A950CC" w:rsidRPr="00E504C8" w:rsidRDefault="00A950CC" w:rsidP="00A950CC">
      <w:pPr>
        <w:spacing w:before="100" w:beforeAutospacing="1" w:after="100" w:afterAutospacing="1" w:line="240" w:lineRule="auto"/>
        <w:rPr>
          <w:rFonts w:ascii="Times New Roman" w:hAnsi="Times New Roman"/>
          <w:b/>
          <w:bCs/>
          <w:sz w:val="24"/>
          <w:szCs w:val="24"/>
        </w:rPr>
      </w:pPr>
      <w:r w:rsidRPr="00E504C8">
        <w:rPr>
          <w:rFonts w:ascii="Times New Roman" w:hAnsi="Times New Roman"/>
          <w:b/>
          <w:bCs/>
          <w:sz w:val="24"/>
          <w:szCs w:val="24"/>
        </w:rPr>
        <w:t>Legal Lessons Learned:</w:t>
      </w:r>
      <w:r>
        <w:rPr>
          <w:rFonts w:ascii="Times New Roman" w:hAnsi="Times New Roman"/>
          <w:b/>
          <w:bCs/>
          <w:sz w:val="24"/>
          <w:szCs w:val="24"/>
        </w:rPr>
        <w:t xml:space="preserve"> Secretly placing tape recorders can lead to both civil, and in some states, criminal liability.  </w:t>
      </w:r>
    </w:p>
    <w:p w14:paraId="174AF1ED" w14:textId="77777777" w:rsidR="00A950CC" w:rsidRDefault="00A950CC" w:rsidP="00F326E5">
      <w:pPr>
        <w:pStyle w:val="NoSpacing"/>
        <w:rPr>
          <w:rFonts w:ascii="Arial Black" w:hAnsi="Arial Black"/>
          <w:sz w:val="24"/>
          <w:szCs w:val="24"/>
        </w:rPr>
      </w:pPr>
    </w:p>
    <w:p w14:paraId="19C3A7CF" w14:textId="77777777" w:rsidR="00A950CC" w:rsidRDefault="00A950CC" w:rsidP="00F326E5">
      <w:pPr>
        <w:pStyle w:val="NoSpacing"/>
        <w:rPr>
          <w:rFonts w:ascii="Arial Black" w:hAnsi="Arial Black"/>
          <w:sz w:val="24"/>
          <w:szCs w:val="24"/>
        </w:rPr>
      </w:pPr>
    </w:p>
    <w:p w14:paraId="29847EC0" w14:textId="02A547E4" w:rsidR="00A950CC" w:rsidRDefault="00A950CC" w:rsidP="00F326E5">
      <w:pPr>
        <w:pStyle w:val="NoSpacing"/>
        <w:rPr>
          <w:rFonts w:ascii="Arial Black" w:hAnsi="Arial Black"/>
          <w:sz w:val="24"/>
          <w:szCs w:val="24"/>
        </w:rPr>
      </w:pPr>
      <w:r>
        <w:rPr>
          <w:rFonts w:ascii="Arial Black" w:hAnsi="Arial Black"/>
          <w:sz w:val="24"/>
          <w:szCs w:val="24"/>
        </w:rPr>
        <w:t>16-36</w:t>
      </w:r>
    </w:p>
    <w:p w14:paraId="07D21FE4" w14:textId="77777777" w:rsidR="00A950CC" w:rsidRPr="00F200DE" w:rsidRDefault="00A950CC" w:rsidP="00A950CC">
      <w:pPr>
        <w:spacing w:before="100" w:beforeAutospacing="1" w:after="100" w:afterAutospacing="1" w:line="240" w:lineRule="auto"/>
        <w:rPr>
          <w:rFonts w:ascii="Arial Black" w:hAnsi="Arial Black" w:cs="Arial"/>
          <w:sz w:val="28"/>
          <w:szCs w:val="28"/>
        </w:rPr>
      </w:pPr>
      <w:r w:rsidRPr="00F200DE">
        <w:rPr>
          <w:rFonts w:ascii="Arial Black" w:hAnsi="Arial Black" w:cs="Arial"/>
          <w:sz w:val="28"/>
          <w:szCs w:val="28"/>
        </w:rPr>
        <w:lastRenderedPageBreak/>
        <w:t xml:space="preserve">CA: </w:t>
      </w:r>
      <w:r>
        <w:rPr>
          <w:rFonts w:ascii="Arial Black" w:hAnsi="Arial Black" w:cs="Arial"/>
          <w:sz w:val="28"/>
          <w:szCs w:val="28"/>
        </w:rPr>
        <w:t xml:space="preserve">FF SEXUAL E-MAILS TO 16-YR-OLD GIRL HE MET AT FIRE STATION TOUR – ALSO CONDUCT TOWARDS FEMALE FF – TERMINATION UPHELD, EMBARASSMENT TO FD </w:t>
      </w:r>
    </w:p>
    <w:p w14:paraId="231E0F8C" w14:textId="77777777" w:rsidR="00A950CC" w:rsidRPr="00381D99" w:rsidRDefault="00A950CC" w:rsidP="00A950CC">
      <w:pPr>
        <w:spacing w:before="100" w:beforeAutospacing="1" w:after="100" w:afterAutospacing="1" w:line="240" w:lineRule="auto"/>
        <w:ind w:left="450"/>
        <w:rPr>
          <w:rFonts w:ascii="Times New Roman" w:eastAsia="Times New Roman" w:hAnsi="Times New Roman"/>
          <w:b/>
          <w:bCs/>
          <w:sz w:val="24"/>
          <w:szCs w:val="24"/>
        </w:rPr>
      </w:pPr>
      <w:r w:rsidRPr="00381D99">
        <w:rPr>
          <w:rFonts w:ascii="Times New Roman" w:hAnsi="Times New Roman"/>
          <w:sz w:val="24"/>
          <w:szCs w:val="24"/>
        </w:rPr>
        <w:t xml:space="preserve">On May 7, 2020, in </w:t>
      </w:r>
      <w:r w:rsidRPr="00381D99">
        <w:rPr>
          <w:rFonts w:ascii="Times New Roman" w:hAnsi="Times New Roman"/>
          <w:sz w:val="24"/>
          <w:szCs w:val="24"/>
          <w:u w:val="single"/>
        </w:rPr>
        <w:t>Grant Seibert v. City of San Jose</w:t>
      </w:r>
      <w:r>
        <w:rPr>
          <w:rFonts w:ascii="Times New Roman" w:hAnsi="Times New Roman"/>
          <w:sz w:val="24"/>
          <w:szCs w:val="24"/>
        </w:rPr>
        <w:t>, the Court of Appeal of State of California, Sixth Appellate District, held (3 to 0) in unreported opinion, “</w:t>
      </w:r>
      <w:r w:rsidRPr="009B52FF">
        <w:rPr>
          <w:rFonts w:ascii="Times New Roman" w:hAnsi="Times New Roman"/>
          <w:sz w:val="24"/>
          <w:szCs w:val="24"/>
        </w:rPr>
        <w:t>Insofar as Seibert sexualized his job, his actions reasonably could be found to be disrespectful to the general public, which is rightly entitled to expect professionalism from its public servants. In addition, insofar as those actions</w:t>
      </w:r>
      <w:r>
        <w:rPr>
          <w:rFonts w:ascii="Times New Roman" w:hAnsi="Times New Roman"/>
          <w:sz w:val="24"/>
          <w:szCs w:val="24"/>
        </w:rPr>
        <w:t xml:space="preserve"> </w:t>
      </w:r>
      <w:r w:rsidRPr="009B52FF">
        <w:rPr>
          <w:rFonts w:ascii="Times New Roman" w:hAnsi="Times New Roman"/>
          <w:sz w:val="24"/>
          <w:szCs w:val="24"/>
        </w:rPr>
        <w:t>tended to</w:t>
      </w:r>
      <w:r>
        <w:rPr>
          <w:rFonts w:ascii="Times New Roman" w:hAnsi="Times New Roman"/>
          <w:sz w:val="24"/>
          <w:szCs w:val="24"/>
        </w:rPr>
        <w:t xml:space="preserve"> </w:t>
      </w:r>
      <w:r w:rsidRPr="009B52FF">
        <w:rPr>
          <w:rFonts w:ascii="Times New Roman" w:hAnsi="Times New Roman"/>
          <w:sz w:val="24"/>
          <w:szCs w:val="24"/>
        </w:rPr>
        <w:t>undercut the public’s</w:t>
      </w:r>
      <w:r>
        <w:rPr>
          <w:rFonts w:ascii="Times New Roman" w:hAnsi="Times New Roman"/>
          <w:sz w:val="24"/>
          <w:szCs w:val="24"/>
        </w:rPr>
        <w:t xml:space="preserve"> </w:t>
      </w:r>
      <w:r w:rsidRPr="009B52FF">
        <w:rPr>
          <w:rFonts w:ascii="Times New Roman" w:hAnsi="Times New Roman"/>
          <w:sz w:val="24"/>
          <w:szCs w:val="24"/>
        </w:rPr>
        <w:t>trust</w:t>
      </w:r>
      <w:r>
        <w:rPr>
          <w:rFonts w:ascii="Times New Roman" w:hAnsi="Times New Roman"/>
          <w:sz w:val="24"/>
          <w:szCs w:val="24"/>
        </w:rPr>
        <w:t xml:space="preserve"> </w:t>
      </w:r>
      <w:r w:rsidRPr="009B52FF">
        <w:rPr>
          <w:rFonts w:ascii="Times New Roman" w:hAnsi="Times New Roman"/>
          <w:sz w:val="24"/>
          <w:szCs w:val="24"/>
        </w:rPr>
        <w:t>of and respect</w:t>
      </w:r>
      <w:r>
        <w:rPr>
          <w:rFonts w:ascii="Times New Roman" w:hAnsi="Times New Roman"/>
          <w:sz w:val="24"/>
          <w:szCs w:val="24"/>
        </w:rPr>
        <w:t xml:space="preserve"> </w:t>
      </w:r>
      <w:r w:rsidRPr="009B52FF">
        <w:rPr>
          <w:rFonts w:ascii="Times New Roman" w:hAnsi="Times New Roman"/>
          <w:sz w:val="24"/>
          <w:szCs w:val="24"/>
        </w:rPr>
        <w:t>for the Department and its members, the trial court could reasonably find that those actions were detrimental to the public service,</w:t>
      </w:r>
      <w:r>
        <w:rPr>
          <w:rFonts w:ascii="Times New Roman" w:hAnsi="Times New Roman"/>
          <w:sz w:val="24"/>
          <w:szCs w:val="24"/>
        </w:rPr>
        <w:t xml:space="preserve"> </w:t>
      </w:r>
      <w:r w:rsidRPr="009B52FF">
        <w:rPr>
          <w:rFonts w:ascii="Times New Roman" w:hAnsi="Times New Roman"/>
          <w:sz w:val="24"/>
          <w:szCs w:val="24"/>
        </w:rPr>
        <w:t>which was</w:t>
      </w:r>
      <w:r>
        <w:rPr>
          <w:rFonts w:ascii="Times New Roman" w:hAnsi="Times New Roman"/>
          <w:sz w:val="24"/>
          <w:szCs w:val="24"/>
        </w:rPr>
        <w:t xml:space="preserve"> </w:t>
      </w:r>
      <w:r w:rsidRPr="009B52FF">
        <w:rPr>
          <w:rFonts w:ascii="Times New Roman" w:hAnsi="Times New Roman"/>
          <w:sz w:val="24"/>
          <w:szCs w:val="24"/>
        </w:rPr>
        <w:t>a cause for discipline</w:t>
      </w:r>
      <w:r>
        <w:rPr>
          <w:rFonts w:ascii="Times New Roman" w:hAnsi="Times New Roman"/>
          <w:sz w:val="24"/>
          <w:szCs w:val="24"/>
        </w:rPr>
        <w:t xml:space="preserve"> </w:t>
      </w:r>
      <w:r w:rsidRPr="009B52FF">
        <w:rPr>
          <w:rFonts w:ascii="Times New Roman" w:hAnsi="Times New Roman"/>
          <w:sz w:val="24"/>
          <w:szCs w:val="24"/>
        </w:rPr>
        <w:t>specified in charge</w:t>
      </w:r>
      <w:r>
        <w:rPr>
          <w:rFonts w:ascii="Times New Roman" w:hAnsi="Times New Roman"/>
          <w:sz w:val="24"/>
          <w:szCs w:val="24"/>
        </w:rPr>
        <w:t xml:space="preserve"> </w:t>
      </w:r>
      <w:r w:rsidRPr="009B52FF">
        <w:rPr>
          <w:rFonts w:ascii="Times New Roman" w:hAnsi="Times New Roman"/>
          <w:sz w:val="24"/>
          <w:szCs w:val="24"/>
        </w:rPr>
        <w:t>No.1</w:t>
      </w:r>
      <w:r>
        <w:rPr>
          <w:rFonts w:ascii="Times New Roman" w:hAnsi="Times New Roman"/>
          <w:sz w:val="24"/>
          <w:szCs w:val="24"/>
        </w:rPr>
        <w:t xml:space="preserve">.” </w:t>
      </w:r>
      <w:hyperlink r:id="rId2779" w:history="1">
        <w:r w:rsidRPr="008C168C">
          <w:rPr>
            <w:rStyle w:val="Hyperlink"/>
            <w:sz w:val="24"/>
            <w:szCs w:val="24"/>
          </w:rPr>
          <w:t>https://www.courts.ca.gov/opinions/nonpub/H046246.PDF</w:t>
        </w:r>
      </w:hyperlink>
      <w:r>
        <w:rPr>
          <w:rFonts w:ascii="Times New Roman" w:hAnsi="Times New Roman"/>
          <w:sz w:val="24"/>
          <w:szCs w:val="24"/>
        </w:rPr>
        <w:t xml:space="preserve">   </w:t>
      </w:r>
    </w:p>
    <w:p w14:paraId="692C7F00" w14:textId="77777777" w:rsidR="00A950CC" w:rsidRPr="001A6E95" w:rsidRDefault="00A950CC" w:rsidP="00A950CC">
      <w:pPr>
        <w:spacing w:before="100" w:beforeAutospacing="1" w:after="100" w:afterAutospacing="1" w:line="240" w:lineRule="auto"/>
        <w:rPr>
          <w:rFonts w:ascii="Times New Roman" w:hAnsi="Times New Roman"/>
          <w:b/>
          <w:bCs/>
          <w:sz w:val="24"/>
          <w:szCs w:val="24"/>
        </w:rPr>
      </w:pPr>
      <w:r w:rsidRPr="001A6E95">
        <w:rPr>
          <w:rFonts w:ascii="Times New Roman" w:hAnsi="Times New Roman"/>
          <w:b/>
          <w:bCs/>
          <w:sz w:val="24"/>
          <w:szCs w:val="24"/>
        </w:rPr>
        <w:t>Legal Lessons Learned:</w:t>
      </w:r>
      <w:r>
        <w:rPr>
          <w:rFonts w:ascii="Times New Roman" w:hAnsi="Times New Roman"/>
          <w:b/>
          <w:bCs/>
          <w:sz w:val="24"/>
          <w:szCs w:val="24"/>
        </w:rPr>
        <w:t xml:space="preserve"> The firefighter’s e-mails clearly can bring embarrassment to the Fire Department. </w:t>
      </w:r>
    </w:p>
    <w:p w14:paraId="2FFA47F8" w14:textId="77777777" w:rsidR="00A950CC" w:rsidRDefault="00A950CC" w:rsidP="00F326E5">
      <w:pPr>
        <w:pStyle w:val="NoSpacing"/>
        <w:rPr>
          <w:rFonts w:ascii="Arial Black" w:hAnsi="Arial Black"/>
          <w:sz w:val="24"/>
          <w:szCs w:val="24"/>
        </w:rPr>
      </w:pPr>
    </w:p>
    <w:p w14:paraId="1111B8BD" w14:textId="77777777" w:rsidR="00A950CC" w:rsidRDefault="00A950CC" w:rsidP="00F326E5">
      <w:pPr>
        <w:pStyle w:val="NoSpacing"/>
        <w:rPr>
          <w:rFonts w:ascii="Arial Black" w:hAnsi="Arial Black"/>
          <w:sz w:val="24"/>
          <w:szCs w:val="24"/>
        </w:rPr>
      </w:pPr>
    </w:p>
    <w:p w14:paraId="5719CE4B" w14:textId="77777777" w:rsidR="00A950CC" w:rsidRDefault="00A950CC" w:rsidP="00F326E5">
      <w:pPr>
        <w:pStyle w:val="NoSpacing"/>
        <w:rPr>
          <w:rFonts w:ascii="Arial Black" w:hAnsi="Arial Black"/>
          <w:sz w:val="24"/>
          <w:szCs w:val="24"/>
        </w:rPr>
      </w:pPr>
    </w:p>
    <w:p w14:paraId="64D327E8" w14:textId="6FE8F55C" w:rsidR="00FA7B26" w:rsidRDefault="00FA7B26" w:rsidP="00F326E5">
      <w:pPr>
        <w:pStyle w:val="NoSpacing"/>
        <w:rPr>
          <w:rFonts w:ascii="Arial Black" w:hAnsi="Arial Black"/>
          <w:sz w:val="24"/>
          <w:szCs w:val="24"/>
        </w:rPr>
      </w:pPr>
      <w:r>
        <w:rPr>
          <w:rFonts w:ascii="Arial Black" w:hAnsi="Arial Black"/>
          <w:sz w:val="24"/>
          <w:szCs w:val="24"/>
        </w:rPr>
        <w:t>16-35</w:t>
      </w:r>
    </w:p>
    <w:p w14:paraId="3D201ADA" w14:textId="13B2DFBC" w:rsidR="00FA7B26" w:rsidRDefault="00FA7B26" w:rsidP="00F326E5">
      <w:pPr>
        <w:pStyle w:val="NoSpacing"/>
        <w:rPr>
          <w:rFonts w:ascii="Arial Black" w:hAnsi="Arial Black"/>
          <w:sz w:val="24"/>
          <w:szCs w:val="24"/>
        </w:rPr>
      </w:pPr>
    </w:p>
    <w:p w14:paraId="0FA37BA9" w14:textId="77777777" w:rsidR="00A950CC" w:rsidRPr="000751CF" w:rsidRDefault="00A950CC" w:rsidP="00A950CC">
      <w:pPr>
        <w:pStyle w:val="Heading1"/>
        <w:rPr>
          <w:rFonts w:ascii="Arial Black" w:hAnsi="Arial Black"/>
          <w:sz w:val="28"/>
          <w:szCs w:val="28"/>
        </w:rPr>
      </w:pPr>
      <w:r w:rsidRPr="000751CF">
        <w:rPr>
          <w:rFonts w:ascii="Arial Black" w:hAnsi="Arial Black"/>
          <w:sz w:val="28"/>
          <w:szCs w:val="28"/>
        </w:rPr>
        <w:t xml:space="preserve">KY: </w:t>
      </w:r>
      <w:r>
        <w:rPr>
          <w:rFonts w:ascii="Arial Black" w:hAnsi="Arial Black"/>
          <w:sz w:val="28"/>
          <w:szCs w:val="28"/>
        </w:rPr>
        <w:t xml:space="preserve"> FD LIEUTENANT – INVEST. EXPOSED HIMSELF TO MINOR - PONOGRAPHY FOUND ON HIS FD COMPUTER – FIRE CHIEF [HIS FATHER] SIGNED CONSENT TO SEARCH</w:t>
      </w:r>
    </w:p>
    <w:p w14:paraId="503DEE29" w14:textId="0DCBABE8" w:rsidR="00FA7B26" w:rsidRPr="00A950CC" w:rsidRDefault="00A950CC" w:rsidP="00A950CC">
      <w:pPr>
        <w:pStyle w:val="NoSpacing"/>
        <w:rPr>
          <w:rFonts w:ascii="Times New Roman" w:hAnsi="Times New Roman"/>
          <w:sz w:val="24"/>
          <w:szCs w:val="24"/>
        </w:rPr>
      </w:pPr>
      <w:r w:rsidRPr="00A950CC">
        <w:rPr>
          <w:rFonts w:ascii="Times New Roman" w:hAnsi="Times New Roman"/>
          <w:sz w:val="24"/>
          <w:szCs w:val="24"/>
        </w:rPr>
        <w:t xml:space="preserve">On May 4, 2020, in </w:t>
      </w:r>
      <w:r w:rsidRPr="00A950CC">
        <w:rPr>
          <w:rFonts w:ascii="Times New Roman" w:hAnsi="Times New Roman"/>
          <w:sz w:val="24"/>
          <w:szCs w:val="24"/>
          <w:u w:val="single"/>
        </w:rPr>
        <w:t>United States of America v. Robert Christopher England</w:t>
      </w:r>
      <w:r w:rsidRPr="00A950CC">
        <w:rPr>
          <w:rFonts w:ascii="Times New Roman" w:hAnsi="Times New Roman"/>
          <w:sz w:val="24"/>
          <w:szCs w:val="24"/>
        </w:rPr>
        <w:t xml:space="preserve">, U.S. District Court Judge Claria Horn Boom, Eastern District of Kentucky / Southern Division (at London) held that the FD computer was properly searched with the written consent of the Fire Chief, in agreement with recommendation of U.S. Magistrate who heard motion to suppress. </w:t>
      </w:r>
      <w:hyperlink r:id="rId2780" w:history="1">
        <w:r w:rsidRPr="00A950CC">
          <w:rPr>
            <w:rStyle w:val="Hyperlink"/>
            <w:rFonts w:ascii="Times New Roman" w:hAnsi="Times New Roman"/>
            <w:sz w:val="24"/>
            <w:szCs w:val="24"/>
          </w:rPr>
          <w:t>https://public.fastcase.com/Wl%2B2t%2BeVuI35%2FN70vAMFZoCDqhYmNsbFLjWVRK8omsgUzbu2OUiVNTenINejQyEj</w:t>
        </w:r>
      </w:hyperlink>
    </w:p>
    <w:p w14:paraId="386B6220" w14:textId="77777777" w:rsidR="00FA7B26" w:rsidRDefault="00FA7B26" w:rsidP="00F326E5">
      <w:pPr>
        <w:pStyle w:val="NoSpacing"/>
        <w:rPr>
          <w:rFonts w:ascii="Arial Black" w:hAnsi="Arial Black"/>
          <w:sz w:val="24"/>
          <w:szCs w:val="24"/>
        </w:rPr>
      </w:pPr>
    </w:p>
    <w:p w14:paraId="538AC333" w14:textId="77777777" w:rsidR="00A950CC" w:rsidRPr="00784956" w:rsidRDefault="00A950CC" w:rsidP="00A950CC">
      <w:pPr>
        <w:pStyle w:val="NormalWeb"/>
        <w:tabs>
          <w:tab w:val="left" w:pos="2940"/>
        </w:tabs>
        <w:rPr>
          <w:b/>
          <w:bCs/>
        </w:rPr>
      </w:pPr>
      <w:r w:rsidRPr="00784956">
        <w:rPr>
          <w:b/>
          <w:bCs/>
        </w:rPr>
        <w:t>Legal Lessons Learned</w:t>
      </w:r>
      <w:r>
        <w:rPr>
          <w:b/>
          <w:bCs/>
        </w:rPr>
        <w:t xml:space="preserve">: FDs should have a computer use policy that allows FD to audit the contents of the computer, and to authorize others (including law enforcement) to access contents. </w:t>
      </w:r>
    </w:p>
    <w:p w14:paraId="0D6F6268" w14:textId="77777777" w:rsidR="00A950CC" w:rsidRPr="00E504C8" w:rsidRDefault="00A950CC" w:rsidP="00A950CC">
      <w:pPr>
        <w:spacing w:before="100" w:beforeAutospacing="1" w:after="100" w:afterAutospacing="1" w:line="240" w:lineRule="auto"/>
        <w:ind w:left="720"/>
        <w:rPr>
          <w:rFonts w:ascii="Times New Roman" w:hAnsi="Times New Roman"/>
          <w:sz w:val="24"/>
          <w:szCs w:val="24"/>
        </w:rPr>
      </w:pPr>
      <w:r w:rsidRPr="00E504C8">
        <w:rPr>
          <w:rFonts w:ascii="Times New Roman" w:hAnsi="Times New Roman"/>
          <w:sz w:val="24"/>
          <w:szCs w:val="24"/>
        </w:rPr>
        <w:t xml:space="preserve">Note: California's wiretapping law is a </w:t>
      </w:r>
      <w:hyperlink r:id="rId2781" w:tooltip="Recording Phone Calls and Conversations" w:history="1">
        <w:r w:rsidRPr="00E504C8">
          <w:rPr>
            <w:rStyle w:val="Hyperlink"/>
            <w:sz w:val="24"/>
            <w:szCs w:val="24"/>
          </w:rPr>
          <w:t>"two-party consent" law</w:t>
        </w:r>
      </w:hyperlink>
      <w:r w:rsidRPr="00E504C8">
        <w:rPr>
          <w:rFonts w:ascii="Times New Roman" w:hAnsi="Times New Roman"/>
          <w:sz w:val="24"/>
          <w:szCs w:val="24"/>
        </w:rPr>
        <w:t xml:space="preserve">. California makes it a crime to record or eavesdrop on any confidential communication, including a private conversation or telephone call, </w:t>
      </w:r>
      <w:r w:rsidRPr="00E504C8">
        <w:rPr>
          <w:rFonts w:ascii="Times New Roman" w:hAnsi="Times New Roman"/>
          <w:b/>
          <w:bCs/>
          <w:sz w:val="24"/>
          <w:szCs w:val="24"/>
        </w:rPr>
        <w:t xml:space="preserve">without the consent of </w:t>
      </w:r>
      <w:r w:rsidRPr="00E504C8">
        <w:rPr>
          <w:rStyle w:val="Strong"/>
          <w:rFonts w:ascii="Times New Roman" w:hAnsi="Times New Roman"/>
          <w:sz w:val="24"/>
          <w:szCs w:val="24"/>
        </w:rPr>
        <w:t>all parties to the conversation</w:t>
      </w:r>
      <w:r w:rsidRPr="00E504C8">
        <w:rPr>
          <w:rFonts w:ascii="Times New Roman" w:hAnsi="Times New Roman"/>
          <w:sz w:val="24"/>
          <w:szCs w:val="24"/>
        </w:rPr>
        <w:t xml:space="preserve">. See </w:t>
      </w:r>
      <w:hyperlink r:id="rId2782" w:tooltip="http://www.leginfo.ca.gov/cgi-bin/displaycode?section=pen&amp;group=00001-01000&amp;file=630-638" w:history="1">
        <w:r w:rsidRPr="00E504C8">
          <w:rPr>
            <w:rStyle w:val="Hyperlink"/>
            <w:sz w:val="24"/>
            <w:szCs w:val="24"/>
          </w:rPr>
          <w:t>Cal. Penal Code § 632</w:t>
        </w:r>
      </w:hyperlink>
      <w:r w:rsidRPr="00E504C8">
        <w:rPr>
          <w:rFonts w:ascii="Times New Roman" w:hAnsi="Times New Roman"/>
          <w:sz w:val="24"/>
          <w:szCs w:val="24"/>
        </w:rPr>
        <w:t xml:space="preserve">. </w:t>
      </w:r>
      <w:hyperlink r:id="rId2783" w:history="1">
        <w:r w:rsidRPr="00E504C8">
          <w:rPr>
            <w:rStyle w:val="Hyperlink"/>
            <w:sz w:val="24"/>
            <w:szCs w:val="24"/>
          </w:rPr>
          <w:t>https://www.dmlp.org/legal-guide/california-recording-law</w:t>
        </w:r>
      </w:hyperlink>
      <w:r w:rsidRPr="00E504C8">
        <w:rPr>
          <w:rFonts w:ascii="Times New Roman" w:hAnsi="Times New Roman"/>
          <w:sz w:val="24"/>
          <w:szCs w:val="24"/>
        </w:rPr>
        <w:t xml:space="preserve"> </w:t>
      </w:r>
    </w:p>
    <w:p w14:paraId="051EF252" w14:textId="77777777" w:rsidR="00A950CC" w:rsidRPr="00E504C8" w:rsidRDefault="00A950CC" w:rsidP="00A950CC">
      <w:pPr>
        <w:spacing w:before="100" w:beforeAutospacing="1" w:after="100" w:afterAutospacing="1" w:line="240" w:lineRule="auto"/>
        <w:ind w:left="720"/>
        <w:rPr>
          <w:rFonts w:ascii="Times New Roman" w:eastAsia="Times New Roman" w:hAnsi="Times New Roman"/>
          <w:b/>
          <w:bCs/>
          <w:sz w:val="24"/>
          <w:szCs w:val="24"/>
        </w:rPr>
      </w:pPr>
      <w:r w:rsidRPr="00E504C8">
        <w:rPr>
          <w:rFonts w:ascii="Times New Roman" w:hAnsi="Times New Roman"/>
          <w:sz w:val="24"/>
          <w:szCs w:val="24"/>
        </w:rPr>
        <w:t xml:space="preserve">Ohio's wiretapping law is a </w:t>
      </w:r>
      <w:hyperlink r:id="rId2784" w:tooltip="Recording Phone Calls and Conversations" w:history="1">
        <w:r w:rsidRPr="00E504C8">
          <w:rPr>
            <w:rStyle w:val="Hyperlink"/>
            <w:sz w:val="24"/>
            <w:szCs w:val="24"/>
          </w:rPr>
          <w:t>"one-party consent" law</w:t>
        </w:r>
      </w:hyperlink>
      <w:r w:rsidRPr="00E504C8">
        <w:rPr>
          <w:rFonts w:ascii="Times New Roman" w:hAnsi="Times New Roman"/>
          <w:sz w:val="24"/>
          <w:szCs w:val="24"/>
        </w:rPr>
        <w:t xml:space="preserve">. Ohio law makes it a crime to intercept or record any "wire, oral, or electronic communication" </w:t>
      </w:r>
      <w:r w:rsidRPr="00E504C8">
        <w:rPr>
          <w:rStyle w:val="Strong"/>
          <w:rFonts w:ascii="Times New Roman" w:hAnsi="Times New Roman"/>
          <w:sz w:val="24"/>
          <w:szCs w:val="24"/>
        </w:rPr>
        <w:t>unless one party to the conversation consents</w:t>
      </w:r>
      <w:r w:rsidRPr="00E504C8">
        <w:rPr>
          <w:rFonts w:ascii="Times New Roman" w:hAnsi="Times New Roman"/>
          <w:sz w:val="24"/>
          <w:szCs w:val="24"/>
        </w:rPr>
        <w:t>.</w:t>
      </w:r>
      <w:r w:rsidRPr="00E504C8">
        <w:rPr>
          <w:rFonts w:ascii="Times New Roman" w:hAnsi="Times New Roman"/>
          <w:b/>
          <w:bCs/>
          <w:sz w:val="24"/>
          <w:szCs w:val="24"/>
        </w:rPr>
        <w:t xml:space="preserve"> </w:t>
      </w:r>
      <w:hyperlink r:id="rId2785" w:tooltip="http://codes.ohio.gov/orc/2933.52" w:history="1">
        <w:r w:rsidRPr="00E504C8">
          <w:rPr>
            <w:rStyle w:val="Hyperlink"/>
            <w:sz w:val="24"/>
            <w:szCs w:val="24"/>
          </w:rPr>
          <w:t>Ohio Rev. Code § 2933.52</w:t>
        </w:r>
      </w:hyperlink>
      <w:r w:rsidRPr="00E504C8">
        <w:rPr>
          <w:rFonts w:ascii="Times New Roman" w:hAnsi="Times New Roman"/>
          <w:sz w:val="24"/>
          <w:szCs w:val="24"/>
        </w:rPr>
        <w:t xml:space="preserve">. Thus, if you operate in Ohio, you may record a conversation or phone call if you </w:t>
      </w:r>
      <w:proofErr w:type="gramStart"/>
      <w:r w:rsidRPr="00E504C8">
        <w:rPr>
          <w:rFonts w:ascii="Times New Roman" w:hAnsi="Times New Roman"/>
          <w:sz w:val="24"/>
          <w:szCs w:val="24"/>
        </w:rPr>
        <w:t>are</w:t>
      </w:r>
      <w:proofErr w:type="gramEnd"/>
      <w:r w:rsidRPr="00E504C8">
        <w:rPr>
          <w:rFonts w:ascii="Times New Roman" w:hAnsi="Times New Roman"/>
          <w:sz w:val="24"/>
          <w:szCs w:val="24"/>
        </w:rPr>
        <w:t xml:space="preserve"> a party to the conversation or </w:t>
      </w:r>
      <w:proofErr w:type="gramStart"/>
      <w:r w:rsidRPr="00E504C8">
        <w:rPr>
          <w:rFonts w:ascii="Times New Roman" w:hAnsi="Times New Roman"/>
          <w:sz w:val="24"/>
          <w:szCs w:val="24"/>
        </w:rPr>
        <w:t>you get</w:t>
      </w:r>
      <w:proofErr w:type="gramEnd"/>
      <w:r w:rsidRPr="00E504C8">
        <w:rPr>
          <w:rFonts w:ascii="Times New Roman" w:hAnsi="Times New Roman"/>
          <w:sz w:val="24"/>
          <w:szCs w:val="24"/>
        </w:rPr>
        <w:t xml:space="preserve"> permission from one party to the conversation in advance. That said, if you intend to record conversations involving people located in more than one state, you should </w:t>
      </w:r>
      <w:r w:rsidRPr="00E504C8">
        <w:rPr>
          <w:rFonts w:ascii="Times New Roman" w:hAnsi="Times New Roman"/>
          <w:sz w:val="24"/>
          <w:szCs w:val="24"/>
        </w:rPr>
        <w:lastRenderedPageBreak/>
        <w:t xml:space="preserve">play it safe and get the consent of all parties. </w:t>
      </w:r>
      <w:hyperlink r:id="rId2786" w:history="1">
        <w:r w:rsidRPr="00E504C8">
          <w:rPr>
            <w:rStyle w:val="Hyperlink"/>
            <w:sz w:val="24"/>
            <w:szCs w:val="24"/>
          </w:rPr>
          <w:t>https://www.dmlp.org/legal-guide/ohio/ohio-recording-law</w:t>
        </w:r>
      </w:hyperlink>
      <w:r w:rsidRPr="00E504C8">
        <w:rPr>
          <w:rFonts w:ascii="Times New Roman" w:hAnsi="Times New Roman"/>
          <w:sz w:val="24"/>
          <w:szCs w:val="24"/>
        </w:rPr>
        <w:t xml:space="preserve"> </w:t>
      </w:r>
    </w:p>
    <w:p w14:paraId="40846BD8" w14:textId="77777777" w:rsidR="00FA7B26" w:rsidRDefault="00FA7B26" w:rsidP="00F326E5">
      <w:pPr>
        <w:pStyle w:val="NoSpacing"/>
        <w:rPr>
          <w:rFonts w:ascii="Arial Black" w:hAnsi="Arial Black"/>
          <w:sz w:val="24"/>
          <w:szCs w:val="24"/>
        </w:rPr>
      </w:pPr>
    </w:p>
    <w:p w14:paraId="6E7FBDE1" w14:textId="77777777" w:rsidR="00FA7B26" w:rsidRDefault="00FA7B26" w:rsidP="00F326E5">
      <w:pPr>
        <w:pStyle w:val="NoSpacing"/>
        <w:rPr>
          <w:rFonts w:ascii="Arial Black" w:hAnsi="Arial Black"/>
          <w:sz w:val="24"/>
          <w:szCs w:val="24"/>
        </w:rPr>
      </w:pPr>
    </w:p>
    <w:p w14:paraId="05EE8D37" w14:textId="332A07F3" w:rsidR="00FA7B26" w:rsidRDefault="00FA7B26" w:rsidP="00F326E5">
      <w:pPr>
        <w:pStyle w:val="NoSpacing"/>
        <w:rPr>
          <w:rFonts w:ascii="Arial Black" w:hAnsi="Arial Black"/>
          <w:sz w:val="24"/>
          <w:szCs w:val="24"/>
        </w:rPr>
      </w:pPr>
      <w:r>
        <w:rPr>
          <w:rFonts w:ascii="Arial Black" w:hAnsi="Arial Black"/>
          <w:sz w:val="24"/>
          <w:szCs w:val="24"/>
        </w:rPr>
        <w:t>16-34</w:t>
      </w:r>
    </w:p>
    <w:p w14:paraId="7ED57073" w14:textId="5D47F558" w:rsidR="00FA7B26" w:rsidRDefault="00FA7B26" w:rsidP="00F326E5">
      <w:pPr>
        <w:pStyle w:val="NoSpacing"/>
        <w:rPr>
          <w:rFonts w:ascii="Arial Black" w:hAnsi="Arial Black"/>
          <w:sz w:val="24"/>
          <w:szCs w:val="24"/>
        </w:rPr>
      </w:pPr>
    </w:p>
    <w:p w14:paraId="7C2BD847" w14:textId="77777777" w:rsidR="00FA7B26" w:rsidRPr="004820BE" w:rsidRDefault="00FA7B26" w:rsidP="00FA7B26">
      <w:pPr>
        <w:spacing w:before="100" w:beforeAutospacing="1" w:after="100" w:afterAutospacing="1" w:line="240" w:lineRule="auto"/>
        <w:rPr>
          <w:rFonts w:ascii="Arial Black" w:eastAsia="Times New Roman" w:hAnsi="Arial Black"/>
          <w:sz w:val="28"/>
          <w:szCs w:val="28"/>
        </w:rPr>
      </w:pPr>
      <w:r w:rsidRPr="004820BE">
        <w:rPr>
          <w:rFonts w:ascii="Arial Black" w:eastAsia="Times New Roman" w:hAnsi="Arial Black"/>
          <w:sz w:val="28"/>
          <w:szCs w:val="28"/>
        </w:rPr>
        <w:t xml:space="preserve">MA: </w:t>
      </w:r>
      <w:r>
        <w:rPr>
          <w:rFonts w:ascii="Arial Black" w:eastAsia="Times New Roman" w:hAnsi="Arial Black"/>
          <w:sz w:val="28"/>
          <w:szCs w:val="28"/>
        </w:rPr>
        <w:t>CAPTAIN -– CONV. 5 COUNTS LARCENY – VENDOR GIFTS – JUDGE ALLOWED PROS. TELL JURY OPENING STATEMENT HE ALSO “SWAPPED” RECRUITS CLOTHING</w:t>
      </w:r>
    </w:p>
    <w:p w14:paraId="2C9C1DB1" w14:textId="22A20161" w:rsidR="00FA7B26" w:rsidRDefault="00FA7B26" w:rsidP="00FA7B26">
      <w:pPr>
        <w:pStyle w:val="NoSpacing"/>
        <w:rPr>
          <w:rStyle w:val="Hyperlink"/>
          <w:sz w:val="24"/>
          <w:szCs w:val="24"/>
        </w:rPr>
      </w:pPr>
      <w:r>
        <w:rPr>
          <w:rFonts w:ascii="Times New Roman" w:eastAsia="Times New Roman" w:hAnsi="Times New Roman"/>
          <w:sz w:val="24"/>
          <w:szCs w:val="24"/>
        </w:rPr>
        <w:t xml:space="preserve">On April 27, 2019, in </w:t>
      </w:r>
      <w:r w:rsidRPr="0040733F">
        <w:rPr>
          <w:rFonts w:ascii="Times New Roman" w:eastAsia="Times New Roman" w:hAnsi="Times New Roman"/>
          <w:sz w:val="24"/>
          <w:szCs w:val="24"/>
          <w:u w:val="single"/>
        </w:rPr>
        <w:t>Commonwealth v. Edward A. Scigliano, Fourth</w:t>
      </w:r>
      <w:r>
        <w:rPr>
          <w:rFonts w:ascii="Times New Roman" w:eastAsia="Times New Roman" w:hAnsi="Times New Roman"/>
          <w:sz w:val="24"/>
          <w:szCs w:val="24"/>
        </w:rPr>
        <w:t xml:space="preserve">,  the Commonwealth of Massachusetts Appeals Court, held in a summary decision (3 to 0) that his conviction is affirmed.  </w:t>
      </w:r>
      <w:r w:rsidRPr="0040733F">
        <w:rPr>
          <w:rFonts w:ascii="Times New Roman" w:eastAsia="Times New Roman" w:hAnsi="Times New Roman"/>
          <w:sz w:val="24"/>
          <w:szCs w:val="24"/>
        </w:rPr>
        <w:t>“</w:t>
      </w:r>
      <w:r w:rsidRPr="0040733F">
        <w:rPr>
          <w:rFonts w:ascii="Times New Roman" w:hAnsi="Times New Roman"/>
          <w:sz w:val="24"/>
          <w:szCs w:val="24"/>
        </w:rPr>
        <w:t>The Commonwealth properly introduced evidence that the defendant previously "swapped" goods purchased by the city for other goods from which he derived a personal benefit because it "tended to rebut the defense of innocent intent and make more probable the existence of the requisite illegal intent, that of committing a larceny," during the transactions alleged in the indictments.”</w:t>
      </w:r>
      <w:r>
        <w:rPr>
          <w:rFonts w:ascii="Times New Roman" w:hAnsi="Times New Roman"/>
          <w:sz w:val="24"/>
          <w:szCs w:val="24"/>
        </w:rPr>
        <w:t xml:space="preserve"> </w:t>
      </w:r>
      <w:hyperlink r:id="rId2787" w:history="1">
        <w:r w:rsidRPr="002F2B5F">
          <w:rPr>
            <w:rStyle w:val="Hyperlink"/>
            <w:sz w:val="24"/>
            <w:szCs w:val="24"/>
          </w:rPr>
          <w:t>https://public.fastcase.com/Wl%2B2t%2BeVuI35%2FN70vAMFZiqDSx6E0DPFzBbugd7jDu14ZTk4ABsQUj2F%2Fw3WIuoM</w:t>
        </w:r>
      </w:hyperlink>
    </w:p>
    <w:p w14:paraId="468EC205" w14:textId="77777777" w:rsidR="00FA7B26" w:rsidRDefault="00FA7B26" w:rsidP="00FA7B26">
      <w:pPr>
        <w:spacing w:before="100" w:beforeAutospacing="1" w:after="100" w:afterAutospacing="1" w:line="240" w:lineRule="auto"/>
        <w:rPr>
          <w:rFonts w:ascii="Times New Roman" w:eastAsia="Times New Roman" w:hAnsi="Times New Roman"/>
          <w:b/>
          <w:bCs/>
          <w:sz w:val="24"/>
          <w:szCs w:val="24"/>
        </w:rPr>
      </w:pPr>
      <w:r w:rsidRPr="00BB7625">
        <w:rPr>
          <w:rFonts w:ascii="Times New Roman" w:eastAsia="Times New Roman" w:hAnsi="Times New Roman"/>
          <w:b/>
          <w:bCs/>
          <w:sz w:val="24"/>
          <w:szCs w:val="24"/>
        </w:rPr>
        <w:t>Legal Lessons Learned:</w:t>
      </w:r>
      <w:r>
        <w:rPr>
          <w:rFonts w:ascii="Times New Roman" w:eastAsia="Times New Roman" w:hAnsi="Times New Roman"/>
          <w:b/>
          <w:bCs/>
          <w:sz w:val="24"/>
          <w:szCs w:val="24"/>
        </w:rPr>
        <w:t xml:space="preserve"> The prosecutor properly obtained Trial Judge’s permission to discuss the uncharged act of “swapping” recruit clothes. </w:t>
      </w:r>
    </w:p>
    <w:p w14:paraId="0C698137" w14:textId="77777777" w:rsidR="00FA7B26" w:rsidRDefault="00FA7B26" w:rsidP="00FA7B26">
      <w:pPr>
        <w:pStyle w:val="NoSpacing"/>
        <w:rPr>
          <w:rFonts w:ascii="Arial Black" w:hAnsi="Arial Black"/>
          <w:sz w:val="24"/>
          <w:szCs w:val="24"/>
        </w:rPr>
      </w:pPr>
    </w:p>
    <w:p w14:paraId="06A65F06" w14:textId="77777777" w:rsidR="00FA7B26" w:rsidRDefault="00FA7B26" w:rsidP="00F326E5">
      <w:pPr>
        <w:pStyle w:val="NoSpacing"/>
        <w:rPr>
          <w:rFonts w:ascii="Arial Black" w:hAnsi="Arial Black"/>
          <w:sz w:val="24"/>
          <w:szCs w:val="24"/>
        </w:rPr>
      </w:pPr>
    </w:p>
    <w:p w14:paraId="25867CD2" w14:textId="2BAC28CF" w:rsidR="000F18B0" w:rsidRDefault="000F18B0" w:rsidP="00F326E5">
      <w:pPr>
        <w:pStyle w:val="NoSpacing"/>
        <w:rPr>
          <w:rFonts w:ascii="Arial Black" w:hAnsi="Arial Black"/>
          <w:sz w:val="24"/>
          <w:szCs w:val="24"/>
        </w:rPr>
      </w:pPr>
      <w:r>
        <w:rPr>
          <w:rFonts w:ascii="Arial Black" w:hAnsi="Arial Black"/>
          <w:sz w:val="24"/>
          <w:szCs w:val="24"/>
        </w:rPr>
        <w:t>16-33</w:t>
      </w:r>
    </w:p>
    <w:p w14:paraId="6897EAD8" w14:textId="27195C2D" w:rsidR="000F18B0" w:rsidRDefault="000F18B0" w:rsidP="00F326E5">
      <w:pPr>
        <w:pStyle w:val="NoSpacing"/>
        <w:rPr>
          <w:rFonts w:ascii="Arial Black" w:hAnsi="Arial Black"/>
          <w:sz w:val="24"/>
          <w:szCs w:val="24"/>
        </w:rPr>
      </w:pPr>
    </w:p>
    <w:p w14:paraId="245DE339" w14:textId="77777777" w:rsidR="000F18B0" w:rsidRPr="00BE2E07" w:rsidRDefault="000F18B0" w:rsidP="000F18B0">
      <w:pPr>
        <w:pStyle w:val="NoSpacing"/>
        <w:rPr>
          <w:rFonts w:ascii="Arial Black" w:hAnsi="Arial Black"/>
          <w:b/>
          <w:bCs/>
          <w:sz w:val="28"/>
          <w:szCs w:val="28"/>
        </w:rPr>
      </w:pPr>
      <w:bookmarkStart w:id="599" w:name="_Hlk39772923"/>
      <w:bookmarkStart w:id="600" w:name="_Hlk41155291"/>
      <w:r>
        <w:rPr>
          <w:rFonts w:ascii="Arial Black" w:hAnsi="Arial Black"/>
          <w:bCs/>
          <w:sz w:val="28"/>
          <w:szCs w:val="28"/>
        </w:rPr>
        <w:t xml:space="preserve">CA: PROBATIONARY FF – FIRED DURING 1-YR PROB.  PERIOD – NO RIGHT TO CIVIL SERVICE HEARING </w:t>
      </w:r>
    </w:p>
    <w:p w14:paraId="40E2D9BF" w14:textId="77777777" w:rsidR="000F18B0" w:rsidRDefault="000F18B0" w:rsidP="000F18B0">
      <w:pPr>
        <w:pStyle w:val="NoSpacing"/>
        <w:rPr>
          <w:b/>
          <w:bCs/>
          <w:sz w:val="24"/>
          <w:szCs w:val="24"/>
        </w:rPr>
      </w:pPr>
    </w:p>
    <w:p w14:paraId="59C85EA2" w14:textId="77777777" w:rsidR="000F18B0" w:rsidRPr="00D61723" w:rsidRDefault="000F18B0" w:rsidP="000F18B0">
      <w:pPr>
        <w:pStyle w:val="NoSpacing"/>
        <w:rPr>
          <w:rFonts w:ascii="Times New Roman" w:hAnsi="Times New Roman"/>
          <w:b/>
          <w:bCs/>
          <w:sz w:val="24"/>
          <w:szCs w:val="24"/>
        </w:rPr>
      </w:pPr>
      <w:r w:rsidRPr="00D61723">
        <w:rPr>
          <w:rFonts w:ascii="Times New Roman" w:hAnsi="Times New Roman"/>
          <w:bCs/>
          <w:sz w:val="24"/>
          <w:szCs w:val="24"/>
        </w:rPr>
        <w:t xml:space="preserve">On April 24, 2020, in </w:t>
      </w:r>
      <w:r w:rsidRPr="00D61723">
        <w:rPr>
          <w:rFonts w:ascii="Times New Roman" w:hAnsi="Times New Roman"/>
          <w:bCs/>
          <w:sz w:val="24"/>
          <w:szCs w:val="24"/>
          <w:u w:val="single"/>
        </w:rPr>
        <w:t>Josh McCauley v. City of San Diego</w:t>
      </w:r>
      <w:r w:rsidRPr="00D61723">
        <w:rPr>
          <w:rFonts w:ascii="Times New Roman" w:hAnsi="Times New Roman"/>
          <w:bCs/>
          <w:sz w:val="24"/>
          <w:szCs w:val="24"/>
        </w:rPr>
        <w:t xml:space="preserve">, the California Court of Appeal (Fourth Appellate District / Division One) held (3 to 0) in unpublished opinion, that the trial court properly granted the City’s motion to dismiss.   Probationary firefighters have no civil service protection, are not covered by the Collective Bargaining Agreement, and Fire Academy Manual is not a contract of employment. Court did not discuss why he was fired, other than: “He met with the Department Chief to discuss the failure to be hired permanently. The City's attorney represented that McCauley had filed an internal grievance during his employment and it was addressed by the </w:t>
      </w:r>
      <w:proofErr w:type="gramStart"/>
      <w:r w:rsidRPr="00D61723">
        <w:rPr>
          <w:rFonts w:ascii="Times New Roman" w:hAnsi="Times New Roman"/>
          <w:bCs/>
          <w:sz w:val="24"/>
          <w:szCs w:val="24"/>
        </w:rPr>
        <w:t>City</w:t>
      </w:r>
      <w:proofErr w:type="gramEnd"/>
      <w:r w:rsidRPr="00D61723">
        <w:rPr>
          <w:rFonts w:ascii="Times New Roman" w:hAnsi="Times New Roman"/>
          <w:bCs/>
          <w:sz w:val="24"/>
          <w:szCs w:val="24"/>
        </w:rPr>
        <w:t>.”</w:t>
      </w:r>
    </w:p>
    <w:p w14:paraId="76E35C6B" w14:textId="77777777" w:rsidR="000F18B0" w:rsidRPr="00D61723" w:rsidRDefault="000F18B0" w:rsidP="000F18B0">
      <w:pPr>
        <w:pStyle w:val="NoSpacing"/>
        <w:rPr>
          <w:rFonts w:ascii="Times New Roman" w:hAnsi="Times New Roman"/>
          <w:b/>
          <w:bCs/>
          <w:sz w:val="24"/>
          <w:szCs w:val="24"/>
        </w:rPr>
      </w:pPr>
    </w:p>
    <w:p w14:paraId="24EB6C53" w14:textId="26608A4A" w:rsidR="000F18B0" w:rsidRPr="00D61723" w:rsidRDefault="000F18B0" w:rsidP="000F18B0">
      <w:pPr>
        <w:pStyle w:val="NoSpacing"/>
        <w:ind w:left="720"/>
        <w:rPr>
          <w:rFonts w:ascii="Times New Roman" w:hAnsi="Times New Roman"/>
          <w:b/>
          <w:bCs/>
          <w:sz w:val="24"/>
          <w:szCs w:val="24"/>
        </w:rPr>
      </w:pPr>
      <w:r w:rsidRPr="00D61723">
        <w:rPr>
          <w:rFonts w:ascii="Times New Roman" w:hAnsi="Times New Roman"/>
          <w:bCs/>
          <w:sz w:val="24"/>
          <w:szCs w:val="24"/>
        </w:rPr>
        <w:t xml:space="preserve">“McCauley acknowledges that he is not a party to any collective bargaining agreement. He claims that the Department's Basic Fire Academy Manual (Manual) constituted "an express written contract ‘with the City that governed the terms of </w:t>
      </w:r>
      <w:proofErr w:type="gramStart"/>
      <w:r w:rsidRPr="00D61723">
        <w:rPr>
          <w:rFonts w:ascii="Times New Roman" w:hAnsi="Times New Roman"/>
          <w:bCs/>
          <w:sz w:val="24"/>
          <w:szCs w:val="24"/>
        </w:rPr>
        <w:t>his</w:t>
      </w:r>
      <w:proofErr w:type="gramEnd"/>
      <w:r w:rsidRPr="00D61723">
        <w:rPr>
          <w:rFonts w:ascii="Times New Roman" w:hAnsi="Times New Roman"/>
          <w:bCs/>
          <w:sz w:val="24"/>
          <w:szCs w:val="24"/>
        </w:rPr>
        <w:t xml:space="preserve"> probationary status. He attaches a copy of the Manual to his complaint, but neither in his complaint nor in his brief on appeal does he identify any portion of that Manual that governs his probationary employment.</w:t>
      </w:r>
      <w:r>
        <w:rPr>
          <w:rFonts w:ascii="Times New Roman" w:hAnsi="Times New Roman"/>
          <w:bCs/>
          <w:sz w:val="24"/>
          <w:szCs w:val="24"/>
        </w:rPr>
        <w:t xml:space="preserve"> *** </w:t>
      </w:r>
      <w:r w:rsidRPr="00D61723">
        <w:rPr>
          <w:rFonts w:ascii="Times New Roman" w:hAnsi="Times New Roman"/>
          <w:bCs/>
          <w:sz w:val="24"/>
          <w:szCs w:val="24"/>
        </w:rPr>
        <w:t xml:space="preserve">Again, the plain, unambiguous words of the Manual refer only to recruits, not to probationary employees. The Manual mentions termination from the Basic Fire Academy, but nothing about probationary employees or the guarantee of a permanent job. The Manual provides neither </w:t>
      </w:r>
      <w:proofErr w:type="gramStart"/>
      <w:r w:rsidRPr="00D61723">
        <w:rPr>
          <w:rFonts w:ascii="Times New Roman" w:hAnsi="Times New Roman"/>
          <w:bCs/>
          <w:sz w:val="24"/>
          <w:szCs w:val="24"/>
        </w:rPr>
        <w:t>conditions</w:t>
      </w:r>
      <w:proofErr w:type="gramEnd"/>
      <w:r w:rsidRPr="00D61723">
        <w:rPr>
          <w:rFonts w:ascii="Times New Roman" w:hAnsi="Times New Roman"/>
          <w:bCs/>
          <w:sz w:val="24"/>
          <w:szCs w:val="24"/>
        </w:rPr>
        <w:t xml:space="preserve"> for permanent employment </w:t>
      </w:r>
      <w:proofErr w:type="gramStart"/>
      <w:r w:rsidRPr="00D61723">
        <w:rPr>
          <w:rFonts w:ascii="Times New Roman" w:hAnsi="Times New Roman"/>
          <w:bCs/>
          <w:sz w:val="24"/>
          <w:szCs w:val="24"/>
        </w:rPr>
        <w:t>not</w:t>
      </w:r>
      <w:proofErr w:type="gramEnd"/>
      <w:r w:rsidRPr="00D61723">
        <w:rPr>
          <w:rFonts w:ascii="Times New Roman" w:hAnsi="Times New Roman"/>
          <w:bCs/>
          <w:sz w:val="24"/>
          <w:szCs w:val="24"/>
        </w:rPr>
        <w:t xml:space="preserve"> entitlement to government </w:t>
      </w:r>
      <w:r w:rsidRPr="00D61723">
        <w:rPr>
          <w:rFonts w:ascii="Times New Roman" w:hAnsi="Times New Roman"/>
          <w:bCs/>
          <w:sz w:val="24"/>
          <w:szCs w:val="24"/>
        </w:rPr>
        <w:lastRenderedPageBreak/>
        <w:t>employment. McCauley has not identified any regulations of the City or of the Department under which he could state an alternate claim.”</w:t>
      </w:r>
    </w:p>
    <w:p w14:paraId="76A77C9F" w14:textId="77777777" w:rsidR="000F18B0" w:rsidRPr="00D61723" w:rsidRDefault="000F18B0" w:rsidP="000F18B0">
      <w:pPr>
        <w:pStyle w:val="NoSpacing"/>
        <w:ind w:left="720"/>
        <w:rPr>
          <w:rFonts w:ascii="Times New Roman" w:eastAsia="Times New Roman" w:hAnsi="Times New Roman"/>
          <w:b/>
          <w:bCs/>
          <w:sz w:val="24"/>
          <w:szCs w:val="24"/>
        </w:rPr>
      </w:pPr>
      <w:hyperlink r:id="rId2788" w:history="1">
        <w:r w:rsidRPr="00D61723">
          <w:rPr>
            <w:rStyle w:val="Hyperlink"/>
            <w:rFonts w:ascii="Times New Roman" w:hAnsi="Times New Roman"/>
            <w:b/>
            <w:sz w:val="24"/>
            <w:szCs w:val="24"/>
          </w:rPr>
          <w:t>https://www.courts.ca.gov/opinions/nonpub/D074721.PDF</w:t>
        </w:r>
      </w:hyperlink>
      <w:r w:rsidRPr="00D61723">
        <w:rPr>
          <w:rFonts w:ascii="Times New Roman" w:eastAsia="Times New Roman" w:hAnsi="Times New Roman"/>
          <w:bCs/>
          <w:sz w:val="24"/>
          <w:szCs w:val="24"/>
        </w:rPr>
        <w:t xml:space="preserve"> </w:t>
      </w:r>
      <w:bookmarkEnd w:id="599"/>
    </w:p>
    <w:p w14:paraId="12F1FFEB" w14:textId="77777777" w:rsidR="000F18B0" w:rsidRDefault="000F18B0" w:rsidP="00F326E5">
      <w:pPr>
        <w:pStyle w:val="NoSpacing"/>
        <w:rPr>
          <w:rFonts w:ascii="Arial Black" w:hAnsi="Arial Black"/>
          <w:sz w:val="24"/>
          <w:szCs w:val="24"/>
        </w:rPr>
      </w:pPr>
    </w:p>
    <w:p w14:paraId="56DD36D0" w14:textId="3DEFB717" w:rsidR="00407100" w:rsidRPr="00D61723" w:rsidRDefault="00407100" w:rsidP="00407100">
      <w:pPr>
        <w:pStyle w:val="NoSpacing"/>
        <w:rPr>
          <w:rFonts w:ascii="Times New Roman" w:hAnsi="Times New Roman"/>
          <w:b/>
          <w:bCs/>
          <w:sz w:val="24"/>
          <w:szCs w:val="24"/>
        </w:rPr>
      </w:pPr>
      <w:bookmarkStart w:id="601" w:name="_Hlk40516796"/>
      <w:r w:rsidRPr="00D61723">
        <w:rPr>
          <w:rFonts w:ascii="Times New Roman" w:hAnsi="Times New Roman"/>
          <w:b/>
          <w:bCs/>
          <w:sz w:val="24"/>
          <w:szCs w:val="24"/>
        </w:rPr>
        <w:t xml:space="preserve">Legal Lessons Learned: Probationary firefighters are not covered by civil service or </w:t>
      </w:r>
      <w:r w:rsidR="000164B1">
        <w:rPr>
          <w:rFonts w:ascii="Times New Roman" w:hAnsi="Times New Roman"/>
          <w:b/>
          <w:bCs/>
          <w:sz w:val="24"/>
          <w:szCs w:val="24"/>
        </w:rPr>
        <w:t xml:space="preserve">most </w:t>
      </w:r>
      <w:r w:rsidRPr="00D61723">
        <w:rPr>
          <w:rFonts w:ascii="Times New Roman" w:hAnsi="Times New Roman"/>
          <w:b/>
          <w:bCs/>
          <w:sz w:val="24"/>
          <w:szCs w:val="24"/>
        </w:rPr>
        <w:t>CBA</w:t>
      </w:r>
      <w:r w:rsidR="000164B1">
        <w:rPr>
          <w:rFonts w:ascii="Times New Roman" w:hAnsi="Times New Roman"/>
          <w:b/>
          <w:bCs/>
          <w:sz w:val="24"/>
          <w:szCs w:val="24"/>
        </w:rPr>
        <w:t>s</w:t>
      </w:r>
      <w:r w:rsidRPr="00D61723">
        <w:rPr>
          <w:rFonts w:ascii="Times New Roman" w:hAnsi="Times New Roman"/>
          <w:b/>
          <w:bCs/>
          <w:sz w:val="24"/>
          <w:szCs w:val="24"/>
        </w:rPr>
        <w:t xml:space="preserve">. </w:t>
      </w:r>
    </w:p>
    <w:bookmarkEnd w:id="601"/>
    <w:p w14:paraId="7F8C9FE0" w14:textId="77777777" w:rsidR="00407100" w:rsidRDefault="00407100" w:rsidP="00407100">
      <w:pPr>
        <w:pStyle w:val="NoSpacing"/>
        <w:ind w:firstLine="720"/>
        <w:rPr>
          <w:rFonts w:ascii="Times New Roman" w:hAnsi="Times New Roman"/>
          <w:bCs/>
          <w:sz w:val="24"/>
          <w:szCs w:val="24"/>
        </w:rPr>
      </w:pPr>
    </w:p>
    <w:p w14:paraId="50DE5E2B" w14:textId="77777777" w:rsidR="00407100" w:rsidRPr="00D61723" w:rsidRDefault="00407100" w:rsidP="00407100">
      <w:pPr>
        <w:pStyle w:val="NoSpacing"/>
        <w:ind w:firstLine="720"/>
        <w:rPr>
          <w:rFonts w:ascii="Times New Roman" w:hAnsi="Times New Roman"/>
          <w:b/>
          <w:bCs/>
          <w:sz w:val="24"/>
          <w:szCs w:val="24"/>
        </w:rPr>
      </w:pPr>
      <w:r w:rsidRPr="00D61723">
        <w:rPr>
          <w:rFonts w:ascii="Times New Roman" w:hAnsi="Times New Roman"/>
          <w:bCs/>
          <w:sz w:val="24"/>
          <w:szCs w:val="24"/>
        </w:rPr>
        <w:t>Note:    Court described the limited legal remedies of a probationary firefighter.</w:t>
      </w:r>
    </w:p>
    <w:p w14:paraId="7DCF72F5" w14:textId="77777777" w:rsidR="00407100" w:rsidRPr="00D61723" w:rsidRDefault="00407100" w:rsidP="00407100">
      <w:pPr>
        <w:pStyle w:val="NoSpacing"/>
        <w:ind w:left="1440"/>
        <w:rPr>
          <w:rFonts w:ascii="Times New Roman" w:hAnsi="Times New Roman"/>
          <w:b/>
          <w:bCs/>
          <w:sz w:val="24"/>
          <w:szCs w:val="24"/>
        </w:rPr>
      </w:pPr>
      <w:r w:rsidRPr="00D61723">
        <w:rPr>
          <w:rFonts w:ascii="Times New Roman" w:hAnsi="Times New Roman"/>
          <w:bCs/>
          <w:sz w:val="24"/>
          <w:szCs w:val="24"/>
        </w:rPr>
        <w:t xml:space="preserve">“McCauley had other remedies to pursue employment-related wrongs.  ‘A probationary employee may not be rejected for the exercise of a constitutional right [citation] for engaging in an activity protected by labor statutes.’ (Trustees of Cal. State University v. Public Employment Relations Bd. (1992) 6 Cal.App.4th 1107, 1130; Bogacki, supra,5 Cal.3d at p. 778.) He had statutory rights including the right to pursue a discrimination claim under the Fair Employment and Housing Act and the right to workers' compensation in case of </w:t>
      </w:r>
      <w:proofErr w:type="gramStart"/>
      <w:r w:rsidRPr="00D61723">
        <w:rPr>
          <w:rFonts w:ascii="Times New Roman" w:hAnsi="Times New Roman"/>
          <w:bCs/>
          <w:sz w:val="24"/>
          <w:szCs w:val="24"/>
        </w:rPr>
        <w:t>injury.”</w:t>
      </w:r>
      <w:proofErr w:type="gramEnd"/>
    </w:p>
    <w:bookmarkEnd w:id="600"/>
    <w:p w14:paraId="1A7A0AF5" w14:textId="77777777" w:rsidR="00407100" w:rsidRPr="00D61723" w:rsidRDefault="00407100" w:rsidP="00407100">
      <w:pPr>
        <w:pStyle w:val="NoSpacing"/>
        <w:rPr>
          <w:rFonts w:ascii="Times New Roman" w:eastAsia="Times New Roman" w:hAnsi="Times New Roman"/>
          <w:b/>
          <w:bCs/>
          <w:sz w:val="24"/>
          <w:szCs w:val="24"/>
        </w:rPr>
      </w:pPr>
    </w:p>
    <w:p w14:paraId="5703067C" w14:textId="77777777" w:rsidR="00407100" w:rsidRPr="00D61723" w:rsidRDefault="00407100" w:rsidP="00407100">
      <w:pPr>
        <w:pStyle w:val="NoSpacing"/>
        <w:rPr>
          <w:rFonts w:ascii="Times New Roman" w:eastAsia="Times New Roman" w:hAnsi="Times New Roman"/>
          <w:b/>
          <w:bCs/>
          <w:sz w:val="24"/>
          <w:szCs w:val="24"/>
        </w:rPr>
      </w:pPr>
    </w:p>
    <w:p w14:paraId="500E0598" w14:textId="77777777" w:rsidR="000F18B0" w:rsidRDefault="000F18B0" w:rsidP="00F326E5">
      <w:pPr>
        <w:pStyle w:val="NoSpacing"/>
        <w:rPr>
          <w:rFonts w:ascii="Arial Black" w:hAnsi="Arial Black"/>
          <w:sz w:val="24"/>
          <w:szCs w:val="24"/>
        </w:rPr>
      </w:pPr>
    </w:p>
    <w:p w14:paraId="2476742A" w14:textId="336F4DF2" w:rsidR="000F18B0" w:rsidRDefault="000F18B0" w:rsidP="00F326E5">
      <w:pPr>
        <w:pStyle w:val="NoSpacing"/>
        <w:rPr>
          <w:rFonts w:ascii="Arial Black" w:hAnsi="Arial Black"/>
          <w:sz w:val="24"/>
          <w:szCs w:val="24"/>
        </w:rPr>
      </w:pPr>
      <w:r>
        <w:rPr>
          <w:rFonts w:ascii="Arial Black" w:hAnsi="Arial Black"/>
          <w:sz w:val="24"/>
          <w:szCs w:val="24"/>
        </w:rPr>
        <w:t>16-32</w:t>
      </w:r>
    </w:p>
    <w:p w14:paraId="64796BAE" w14:textId="77777777" w:rsidR="000F18B0" w:rsidRDefault="000F18B0" w:rsidP="00F326E5">
      <w:pPr>
        <w:pStyle w:val="NoSpacing"/>
        <w:rPr>
          <w:rFonts w:ascii="Arial Black" w:hAnsi="Arial Black"/>
          <w:sz w:val="24"/>
          <w:szCs w:val="24"/>
        </w:rPr>
      </w:pPr>
    </w:p>
    <w:p w14:paraId="670A788F" w14:textId="77777777" w:rsidR="000F18B0" w:rsidRDefault="000F18B0" w:rsidP="000F18B0">
      <w:pPr>
        <w:pStyle w:val="NoSpacing"/>
        <w:rPr>
          <w:rFonts w:ascii="Arial Black" w:hAnsi="Arial Black"/>
          <w:sz w:val="28"/>
          <w:szCs w:val="28"/>
        </w:rPr>
      </w:pPr>
      <w:r>
        <w:rPr>
          <w:rFonts w:ascii="Arial Black" w:hAnsi="Arial Black"/>
          <w:sz w:val="28"/>
          <w:szCs w:val="28"/>
        </w:rPr>
        <w:t xml:space="preserve">NY: BULLYING – VOL. FF SUSPENDED – FIRED WHEN WALKED OUT AT START OF PRE-DISCIPLINAY HEARING </w:t>
      </w:r>
    </w:p>
    <w:p w14:paraId="17BFEB7B" w14:textId="77777777" w:rsidR="000F18B0" w:rsidRDefault="000F18B0" w:rsidP="000F18B0">
      <w:pPr>
        <w:pStyle w:val="NoSpacing"/>
      </w:pPr>
    </w:p>
    <w:p w14:paraId="4051EB6B" w14:textId="7F4A3EFA" w:rsidR="000F18B0" w:rsidRDefault="000F18B0" w:rsidP="000F18B0">
      <w:pPr>
        <w:pStyle w:val="NoSpacing"/>
        <w:rPr>
          <w:rFonts w:ascii="Times New Roman" w:hAnsi="Times New Roman"/>
          <w:bCs/>
          <w:sz w:val="24"/>
          <w:szCs w:val="24"/>
        </w:rPr>
      </w:pPr>
      <w:r w:rsidRPr="00D61723">
        <w:rPr>
          <w:rFonts w:ascii="Times New Roman" w:hAnsi="Times New Roman"/>
          <w:bCs/>
          <w:sz w:val="24"/>
          <w:szCs w:val="24"/>
        </w:rPr>
        <w:t xml:space="preserve">On April 23, 2020, in </w:t>
      </w:r>
      <w:r w:rsidRPr="00D61723">
        <w:rPr>
          <w:rFonts w:ascii="Times New Roman" w:hAnsi="Times New Roman"/>
          <w:bCs/>
          <w:sz w:val="24"/>
          <w:szCs w:val="24"/>
          <w:u w:val="single"/>
        </w:rPr>
        <w:t>Andrew Lerer v. Raymond Canario, &amp; Village of Spring Valley, &amp; Spring Valley Fire Department</w:t>
      </w:r>
      <w:r w:rsidRPr="00D61723">
        <w:rPr>
          <w:rFonts w:ascii="Times New Roman" w:hAnsi="Times New Roman"/>
          <w:bCs/>
          <w:sz w:val="24"/>
          <w:szCs w:val="24"/>
        </w:rPr>
        <w:t>, U.S. District Court Judge Louis Briccetti, United States District Court for the Southern District of New</w:t>
      </w:r>
    </w:p>
    <w:p w14:paraId="21C14A2E" w14:textId="77777777" w:rsidR="000F18B0" w:rsidRPr="00D61723" w:rsidRDefault="000F18B0" w:rsidP="000F18B0">
      <w:pPr>
        <w:pStyle w:val="NoSpacing"/>
        <w:rPr>
          <w:rFonts w:ascii="Times New Roman" w:hAnsi="Times New Roman"/>
          <w:b/>
          <w:bCs/>
          <w:sz w:val="24"/>
          <w:szCs w:val="24"/>
        </w:rPr>
      </w:pPr>
      <w:proofErr w:type="gramStart"/>
      <w:r w:rsidRPr="00D61723">
        <w:rPr>
          <w:rFonts w:ascii="Times New Roman" w:hAnsi="Times New Roman"/>
          <w:bCs/>
          <w:sz w:val="24"/>
          <w:szCs w:val="24"/>
        </w:rPr>
        <w:t>York,</w:t>
      </w:r>
      <w:proofErr w:type="gramEnd"/>
      <w:r w:rsidRPr="00D61723">
        <w:rPr>
          <w:rFonts w:ascii="Times New Roman" w:hAnsi="Times New Roman"/>
          <w:bCs/>
          <w:sz w:val="24"/>
          <w:szCs w:val="24"/>
        </w:rPr>
        <w:t xml:space="preserve"> granted the defendants’ motion to dismiss.   The volunteer firefighter, who filed this lawsuit </w:t>
      </w:r>
      <w:r w:rsidRPr="00D61723">
        <w:rPr>
          <w:rFonts w:ascii="Times New Roman" w:hAnsi="Times New Roman"/>
          <w:bCs/>
          <w:i/>
          <w:iCs/>
          <w:sz w:val="24"/>
          <w:szCs w:val="24"/>
        </w:rPr>
        <w:t>pro se</w:t>
      </w:r>
      <w:r w:rsidRPr="00D61723">
        <w:rPr>
          <w:rFonts w:ascii="Times New Roman" w:hAnsi="Times New Roman"/>
          <w:bCs/>
          <w:sz w:val="24"/>
          <w:szCs w:val="24"/>
        </w:rPr>
        <w:t xml:space="preserve"> [without an attorney], showed up for his </w:t>
      </w:r>
      <w:proofErr w:type="gramStart"/>
      <w:r w:rsidRPr="00D61723">
        <w:rPr>
          <w:rFonts w:ascii="Times New Roman" w:hAnsi="Times New Roman"/>
          <w:bCs/>
          <w:sz w:val="24"/>
          <w:szCs w:val="24"/>
        </w:rPr>
        <w:t>termination hearing</w:t>
      </w:r>
      <w:proofErr w:type="gramEnd"/>
      <w:r w:rsidRPr="00D61723">
        <w:rPr>
          <w:rFonts w:ascii="Times New Roman" w:hAnsi="Times New Roman"/>
          <w:bCs/>
          <w:sz w:val="24"/>
          <w:szCs w:val="24"/>
        </w:rPr>
        <w:t xml:space="preserve"> at 6:53 pm, but walked out before it started at 7:00 pm.  </w:t>
      </w:r>
    </w:p>
    <w:p w14:paraId="0F47862E" w14:textId="77777777" w:rsidR="000F18B0" w:rsidRPr="00D61723" w:rsidRDefault="000F18B0" w:rsidP="000F18B0">
      <w:pPr>
        <w:pStyle w:val="NoSpacing"/>
        <w:rPr>
          <w:rFonts w:ascii="Times New Roman" w:hAnsi="Times New Roman"/>
          <w:b/>
          <w:bCs/>
          <w:sz w:val="24"/>
          <w:szCs w:val="24"/>
        </w:rPr>
      </w:pPr>
    </w:p>
    <w:p w14:paraId="60413562" w14:textId="45F3406B" w:rsidR="000F18B0" w:rsidRDefault="000F18B0" w:rsidP="000F18B0">
      <w:pPr>
        <w:pStyle w:val="NoSpacing"/>
        <w:ind w:left="720"/>
        <w:rPr>
          <w:rFonts w:ascii="Arial Black" w:hAnsi="Arial Black"/>
          <w:sz w:val="24"/>
          <w:szCs w:val="24"/>
        </w:rPr>
      </w:pPr>
      <w:r w:rsidRPr="00D61723">
        <w:rPr>
          <w:rFonts w:ascii="Times New Roman" w:hAnsi="Times New Roman"/>
          <w:bCs/>
          <w:sz w:val="24"/>
          <w:szCs w:val="24"/>
        </w:rPr>
        <w:t xml:space="preserve">“Once an employer has knowledge of some type of workplace harassment or improper conduct, ‘the law imposes upon the employer a duty to take reasonable steps to eliminate it.’ </w:t>
      </w:r>
      <w:r w:rsidRPr="00D61723">
        <w:rPr>
          <w:rFonts w:ascii="Times New Roman" w:hAnsi="Times New Roman"/>
          <w:bCs/>
          <w:sz w:val="24"/>
          <w:szCs w:val="24"/>
          <w:u w:val="single"/>
        </w:rPr>
        <w:t>Torres v. Pisano</w:t>
      </w:r>
      <w:r w:rsidRPr="00D61723">
        <w:rPr>
          <w:rFonts w:ascii="Times New Roman" w:hAnsi="Times New Roman"/>
          <w:bCs/>
          <w:sz w:val="24"/>
          <w:szCs w:val="24"/>
        </w:rPr>
        <w:t xml:space="preserve">, 116 F.3d 625, 636 (2d Cir. 1997). Under the circumstances, that defendants provisionally denied plaintiff, pending a hearing and determination, access to municipal property and opportunities to respond to fire alarms or otherwise participate in SVFD activities does not plausibly suggest defendants exercised governmental power without a reasonable justification in the service of a legitimate governmental interest. </w:t>
      </w:r>
      <w:hyperlink r:id="rId2789" w:history="1">
        <w:r w:rsidRPr="00D61723">
          <w:rPr>
            <w:rStyle w:val="Hyperlink"/>
            <w:rFonts w:ascii="Times New Roman" w:hAnsi="Times New Roman"/>
            <w:b/>
            <w:sz w:val="24"/>
            <w:szCs w:val="24"/>
          </w:rPr>
          <w:t>https://public.fastcase.com/Wl%2B2t%2BeVuI35%2FN70vAMFZp9w48IhR7rqnPPjn28%2FbaO7JZNoqz%2Fb8m3w7iUI6Fbj</w:t>
        </w:r>
      </w:hyperlink>
      <w:r>
        <w:rPr>
          <w:rFonts w:ascii="Arial Black" w:hAnsi="Arial Black"/>
          <w:sz w:val="24"/>
          <w:szCs w:val="24"/>
        </w:rPr>
        <w:br/>
      </w:r>
    </w:p>
    <w:p w14:paraId="6128CC35" w14:textId="77777777" w:rsidR="000F18B0" w:rsidRPr="00D61723" w:rsidRDefault="000F18B0" w:rsidP="000F18B0">
      <w:pPr>
        <w:pStyle w:val="NoSpacing"/>
        <w:rPr>
          <w:rFonts w:ascii="Times New Roman" w:hAnsi="Times New Roman"/>
          <w:b/>
          <w:bCs/>
          <w:sz w:val="24"/>
          <w:szCs w:val="24"/>
        </w:rPr>
      </w:pPr>
      <w:r w:rsidRPr="00D61723">
        <w:rPr>
          <w:rFonts w:ascii="Times New Roman" w:hAnsi="Times New Roman"/>
          <w:b/>
          <w:bCs/>
          <w:sz w:val="24"/>
          <w:szCs w:val="24"/>
        </w:rPr>
        <w:t xml:space="preserve">Legal Lessons Learned: Fire Chief acted promptly in suspending the firefighter; when he walks out of his </w:t>
      </w:r>
      <w:r>
        <w:rPr>
          <w:rFonts w:ascii="Times New Roman" w:hAnsi="Times New Roman"/>
          <w:b/>
          <w:bCs/>
          <w:sz w:val="24"/>
          <w:szCs w:val="24"/>
        </w:rPr>
        <w:t>pre-</w:t>
      </w:r>
      <w:r w:rsidRPr="00D61723">
        <w:rPr>
          <w:rFonts w:ascii="Times New Roman" w:hAnsi="Times New Roman"/>
          <w:b/>
          <w:bCs/>
          <w:sz w:val="24"/>
          <w:szCs w:val="24"/>
        </w:rPr>
        <w:t>termination hearing he can hardly complain about lack of due process.</w:t>
      </w:r>
    </w:p>
    <w:p w14:paraId="4F85832B" w14:textId="77777777" w:rsidR="000F18B0" w:rsidRDefault="000F18B0" w:rsidP="00F326E5">
      <w:pPr>
        <w:pStyle w:val="NoSpacing"/>
        <w:rPr>
          <w:rFonts w:ascii="Arial Black" w:hAnsi="Arial Black"/>
          <w:sz w:val="24"/>
          <w:szCs w:val="24"/>
        </w:rPr>
      </w:pPr>
    </w:p>
    <w:p w14:paraId="49948115" w14:textId="77777777" w:rsidR="000F18B0" w:rsidRDefault="000F18B0" w:rsidP="00F326E5">
      <w:pPr>
        <w:pStyle w:val="NoSpacing"/>
        <w:rPr>
          <w:rFonts w:ascii="Arial Black" w:hAnsi="Arial Black"/>
          <w:sz w:val="24"/>
          <w:szCs w:val="24"/>
        </w:rPr>
      </w:pPr>
    </w:p>
    <w:p w14:paraId="1B8F3C10" w14:textId="64FFEF84" w:rsidR="000F18B0" w:rsidRDefault="000F18B0" w:rsidP="00F326E5">
      <w:pPr>
        <w:pStyle w:val="NoSpacing"/>
        <w:rPr>
          <w:rFonts w:ascii="Arial Black" w:hAnsi="Arial Black"/>
          <w:sz w:val="24"/>
          <w:szCs w:val="24"/>
        </w:rPr>
      </w:pPr>
      <w:r>
        <w:rPr>
          <w:rFonts w:ascii="Arial Black" w:hAnsi="Arial Black"/>
          <w:sz w:val="24"/>
          <w:szCs w:val="24"/>
        </w:rPr>
        <w:t>16-31</w:t>
      </w:r>
    </w:p>
    <w:p w14:paraId="2F5857BE" w14:textId="6B2AE6E4" w:rsidR="000F18B0" w:rsidRDefault="000F18B0" w:rsidP="00F326E5">
      <w:pPr>
        <w:pStyle w:val="NoSpacing"/>
        <w:rPr>
          <w:rFonts w:ascii="Arial Black" w:hAnsi="Arial Black"/>
          <w:sz w:val="24"/>
          <w:szCs w:val="24"/>
        </w:rPr>
      </w:pPr>
    </w:p>
    <w:p w14:paraId="1A247882" w14:textId="77777777" w:rsidR="000F18B0" w:rsidRPr="0088009C" w:rsidRDefault="000F18B0" w:rsidP="000F18B0">
      <w:pPr>
        <w:pStyle w:val="NoSpacing"/>
        <w:rPr>
          <w:rFonts w:ascii="Arial Black" w:hAnsi="Arial Black"/>
          <w:sz w:val="28"/>
          <w:szCs w:val="28"/>
        </w:rPr>
      </w:pPr>
      <w:bookmarkStart w:id="602" w:name="_Hlk38953050"/>
      <w:r w:rsidRPr="0088009C">
        <w:rPr>
          <w:rFonts w:ascii="Arial Black" w:hAnsi="Arial Black"/>
          <w:sz w:val="28"/>
          <w:szCs w:val="28"/>
        </w:rPr>
        <w:t xml:space="preserve">UT: </w:t>
      </w:r>
      <w:r>
        <w:rPr>
          <w:rFonts w:ascii="Arial Black" w:hAnsi="Arial Black"/>
          <w:sz w:val="28"/>
          <w:szCs w:val="28"/>
        </w:rPr>
        <w:t xml:space="preserve"> RAPE AT FIRE STATION - ASSISTANT FIRE CHIEF ARRESTED – ALSO ALLEGEDLY RAPED FF -TOWN IMMUNITY</w:t>
      </w:r>
    </w:p>
    <w:p w14:paraId="042FDBD6" w14:textId="77777777" w:rsidR="000F18B0" w:rsidRDefault="000F18B0" w:rsidP="000F18B0">
      <w:pPr>
        <w:pStyle w:val="NormalWeb"/>
      </w:pPr>
      <w:r>
        <w:lastRenderedPageBreak/>
        <w:t xml:space="preserve">On April 22, 2020, in </w:t>
      </w:r>
      <w:r w:rsidRPr="0088009C">
        <w:rPr>
          <w:u w:val="single"/>
        </w:rPr>
        <w:t>Whitney Otteley v. Austin James Corry and Kanosh Town, Utah</w:t>
      </w:r>
      <w:r>
        <w:t xml:space="preserve">, U.S. District Court Judge David Nuffer, U.S. District Court for the District of Utah, granted the Town’s motion to dismiss. Under state law, the Town enjoys governmental immunity, and cannot be sued for “negligent hiring, supervision, or retention.”  The lawsuit against Austin Corry was not dismissed. [See TV Video about new charges - Austin Corry rapes of </w:t>
      </w:r>
      <w:proofErr w:type="gramStart"/>
      <w:r>
        <w:t>an</w:t>
      </w:r>
      <w:proofErr w:type="gramEnd"/>
      <w:r>
        <w:t xml:space="preserve"> duty firefighter:  </w:t>
      </w:r>
      <w:hyperlink r:id="rId2790" w:history="1">
        <w:r w:rsidRPr="00833271">
          <w:rPr>
            <w:rStyle w:val="Hyperlink"/>
          </w:rPr>
          <w:t>https://www.abc4.com/news/justice-files/the-justice-files-a-rape-in-rural-utah/</w:t>
        </w:r>
      </w:hyperlink>
      <w:r>
        <w:t xml:space="preserve"> . Austin Corry’s father, the Fire Chief, was charged and pled guilty to obstruction of justice for not reporting her rape complaint to police.] </w:t>
      </w:r>
    </w:p>
    <w:bookmarkEnd w:id="602"/>
    <w:p w14:paraId="67E8B4FB" w14:textId="4D71827C" w:rsidR="000F18B0" w:rsidRDefault="000F18B0" w:rsidP="000F18B0">
      <w:pPr>
        <w:pStyle w:val="NoSpacing"/>
        <w:rPr>
          <w:rStyle w:val="Hyperlink"/>
        </w:rPr>
      </w:pPr>
      <w:r>
        <w:t xml:space="preserve">“Under the [Governmental Immunity Act of Utah]GIA, as applied in </w:t>
      </w:r>
      <w:r>
        <w:rPr>
          <w:i/>
          <w:iCs/>
        </w:rPr>
        <w:t>Larsen</w:t>
      </w:r>
      <w:r>
        <w:t xml:space="preserve"> [</w:t>
      </w:r>
      <w:r>
        <w:rPr>
          <w:i/>
          <w:iCs/>
        </w:rPr>
        <w:t>v</w:t>
      </w:r>
      <w:r>
        <w:t xml:space="preserve">. </w:t>
      </w:r>
      <w:r>
        <w:rPr>
          <w:i/>
          <w:iCs/>
        </w:rPr>
        <w:t>Davis County School District</w:t>
      </w:r>
      <w:r>
        <w:t xml:space="preserve">, Utah Court of Appeals, Nov. 30, 2017; </w:t>
      </w:r>
      <w:hyperlink r:id="rId2791" w:history="1">
        <w:r w:rsidRPr="00833271">
          <w:rPr>
            <w:rStyle w:val="Hyperlink"/>
          </w:rPr>
          <w:t>https://cases.justia.com/utah/court-of-appeals-published/2017-20160099-ca.pdf?ts=1512166432</w:t>
        </w:r>
      </w:hyperlink>
      <w:r>
        <w:rPr>
          <w:b/>
          <w:bCs/>
        </w:rPr>
        <w:t xml:space="preserve"> </w:t>
      </w:r>
      <w:r>
        <w:rPr>
          <w:i/>
          <w:iCs/>
        </w:rPr>
        <w:t xml:space="preserve"> </w:t>
      </w:r>
      <w:r>
        <w:t>] and explained above, Kanosh is immune from suit because Austin Corry's misconduct (including his assault, battery, false imprisonment, and infliction of mental anguish on Ottley) was a proximate cause of Ottley's claimed injury.</w:t>
      </w:r>
      <w:bookmarkStart w:id="603" w:name="fn42"/>
      <w:r>
        <w:rPr>
          <w:sz w:val="20"/>
          <w:szCs w:val="20"/>
          <w:vertAlign w:val="superscript"/>
        </w:rPr>
        <w:fldChar w:fldCharType="begin"/>
      </w:r>
      <w:r>
        <w:rPr>
          <w:sz w:val="20"/>
          <w:szCs w:val="20"/>
          <w:vertAlign w:val="superscript"/>
        </w:rPr>
        <w:instrText xml:space="preserve"> HYPERLINK "https://public.fastcase.com/" \l "fr42" </w:instrText>
      </w:r>
      <w:r>
        <w:rPr>
          <w:sz w:val="20"/>
          <w:szCs w:val="20"/>
          <w:vertAlign w:val="superscript"/>
        </w:rPr>
      </w:r>
      <w:r>
        <w:rPr>
          <w:sz w:val="20"/>
          <w:szCs w:val="20"/>
          <w:vertAlign w:val="superscript"/>
        </w:rPr>
        <w:fldChar w:fldCharType="separate"/>
      </w:r>
      <w:r>
        <w:rPr>
          <w:rStyle w:val="Hyperlink"/>
          <w:sz w:val="20"/>
          <w:szCs w:val="20"/>
          <w:vertAlign w:val="superscript"/>
        </w:rPr>
        <w:t>42</w:t>
      </w:r>
      <w:r>
        <w:rPr>
          <w:sz w:val="20"/>
          <w:szCs w:val="20"/>
          <w:vertAlign w:val="superscript"/>
        </w:rPr>
        <w:fldChar w:fldCharType="end"/>
      </w:r>
      <w:bookmarkEnd w:id="603"/>
      <w:r>
        <w:rPr>
          <w:sz w:val="20"/>
          <w:szCs w:val="20"/>
          <w:vertAlign w:val="superscript"/>
        </w:rPr>
        <w:t xml:space="preserve"> </w:t>
      </w:r>
      <w:r>
        <w:t xml:space="preserve">Because of this, Ottley fails to state a claim against Kanosh on which relief may be granted as a matter of law.” </w:t>
      </w:r>
      <w:hyperlink r:id="rId2792" w:history="1">
        <w:r w:rsidRPr="00833271">
          <w:rPr>
            <w:rStyle w:val="Hyperlink"/>
          </w:rPr>
          <w:t>https://public.fastcase.com/Wl%2B2t%2BeVuI35%2FN70vAMFZpe9nZQy4%2Fh5OlPwYBiXwZiKHRqMJ6M13sKp4yP4%2F%2BSx</w:t>
        </w:r>
      </w:hyperlink>
    </w:p>
    <w:p w14:paraId="16A7BE9E" w14:textId="3C4878A2" w:rsidR="000F18B0" w:rsidRDefault="000F18B0" w:rsidP="000F18B0">
      <w:pPr>
        <w:pStyle w:val="NoSpacing"/>
        <w:rPr>
          <w:rStyle w:val="Hyperlink"/>
        </w:rPr>
      </w:pPr>
    </w:p>
    <w:p w14:paraId="56F0BAD6" w14:textId="77777777" w:rsidR="000F18B0" w:rsidRPr="00D61723" w:rsidRDefault="000F18B0" w:rsidP="000F18B0">
      <w:pPr>
        <w:rPr>
          <w:rFonts w:ascii="Times New Roman" w:eastAsia="Times New Roman" w:hAnsi="Times New Roman"/>
          <w:sz w:val="24"/>
          <w:szCs w:val="24"/>
        </w:rPr>
      </w:pPr>
      <w:r w:rsidRPr="00D61723">
        <w:rPr>
          <w:rFonts w:ascii="Times New Roman" w:hAnsi="Times New Roman"/>
          <w:b/>
          <w:bCs/>
          <w:sz w:val="24"/>
          <w:szCs w:val="24"/>
        </w:rPr>
        <w:t>Legal Lessons Learned: This is terrible conduct by both the Assistant Chief and his father, the Fire Chief.  [Not found any articles on outcome of former Assistant Chief’s trial.]</w:t>
      </w:r>
    </w:p>
    <w:p w14:paraId="6C3C7E07" w14:textId="77777777" w:rsidR="000F18B0" w:rsidRDefault="000F18B0" w:rsidP="000F18B0">
      <w:pPr>
        <w:pStyle w:val="NoSpacing"/>
        <w:ind w:left="720"/>
        <w:rPr>
          <w:rFonts w:ascii="Times New Roman" w:hAnsi="Times New Roman"/>
          <w:bCs/>
          <w:sz w:val="24"/>
          <w:szCs w:val="24"/>
        </w:rPr>
      </w:pPr>
      <w:r w:rsidRPr="00D61723">
        <w:rPr>
          <w:rFonts w:ascii="Times New Roman" w:hAnsi="Times New Roman"/>
          <w:bCs/>
          <w:sz w:val="24"/>
          <w:szCs w:val="24"/>
        </w:rPr>
        <w:t xml:space="preserve">Note:  See Dec. 3, </w:t>
      </w:r>
      <w:proofErr w:type="gramStart"/>
      <w:r w:rsidRPr="00D61723">
        <w:rPr>
          <w:rFonts w:ascii="Times New Roman" w:hAnsi="Times New Roman"/>
          <w:bCs/>
          <w:sz w:val="24"/>
          <w:szCs w:val="24"/>
        </w:rPr>
        <w:t>2019</w:t>
      </w:r>
      <w:proofErr w:type="gramEnd"/>
      <w:r w:rsidRPr="00D61723">
        <w:rPr>
          <w:rFonts w:ascii="Times New Roman" w:hAnsi="Times New Roman"/>
          <w:bCs/>
          <w:sz w:val="24"/>
          <w:szCs w:val="24"/>
        </w:rPr>
        <w:t xml:space="preserve"> article, “Millard County fire chief charged with raping two women will face trial in Utah County,” </w:t>
      </w:r>
      <w:hyperlink r:id="rId2793" w:history="1">
        <w:r w:rsidRPr="00D61723">
          <w:rPr>
            <w:rStyle w:val="Hyperlink"/>
            <w:rFonts w:ascii="Times New Roman" w:hAnsi="Times New Roman"/>
            <w:b/>
            <w:sz w:val="24"/>
            <w:szCs w:val="24"/>
          </w:rPr>
          <w:t>https://www.heraldextra.com/news/local/crime-and-courts/millard-county-fire-chief-charged-with-raping-two-women-will/article_32fa3eae-85cc-5928-a493-88a75082f506.html</w:t>
        </w:r>
      </w:hyperlink>
      <w:r w:rsidRPr="00D61723">
        <w:rPr>
          <w:rFonts w:ascii="Times New Roman" w:hAnsi="Times New Roman"/>
          <w:bCs/>
          <w:sz w:val="24"/>
          <w:szCs w:val="24"/>
        </w:rPr>
        <w:t xml:space="preserve">.  “The [raped firefighter] also reportedly told Corry’s father, Scott Corry, 62, about the alleged rapes in 2018. However, Scott Corry told investigators he was “trying to protect his son and he never got around to” filing </w:t>
      </w:r>
    </w:p>
    <w:p w14:paraId="67BBCE06" w14:textId="77777777" w:rsidR="000F18B0" w:rsidRDefault="000F18B0" w:rsidP="000F18B0">
      <w:pPr>
        <w:pStyle w:val="NoSpacing"/>
        <w:ind w:left="720"/>
        <w:rPr>
          <w:rFonts w:ascii="Times New Roman" w:hAnsi="Times New Roman"/>
          <w:bCs/>
          <w:sz w:val="24"/>
          <w:szCs w:val="24"/>
        </w:rPr>
      </w:pPr>
    </w:p>
    <w:p w14:paraId="2ADBA335" w14:textId="77777777" w:rsidR="000F18B0" w:rsidRPr="00D61723" w:rsidRDefault="000F18B0" w:rsidP="000F18B0">
      <w:pPr>
        <w:pStyle w:val="NoSpacing"/>
        <w:ind w:left="720"/>
        <w:rPr>
          <w:rFonts w:ascii="Times New Roman" w:hAnsi="Times New Roman"/>
          <w:b/>
          <w:bCs/>
          <w:sz w:val="24"/>
          <w:szCs w:val="24"/>
        </w:rPr>
      </w:pPr>
      <w:r w:rsidRPr="00D61723">
        <w:rPr>
          <w:rFonts w:ascii="Times New Roman" w:hAnsi="Times New Roman"/>
          <w:bCs/>
          <w:sz w:val="24"/>
          <w:szCs w:val="24"/>
        </w:rPr>
        <w:t xml:space="preserve">reports on the claims. </w:t>
      </w:r>
      <w:r w:rsidRPr="00D61723">
        <w:rPr>
          <w:rFonts w:ascii="Times New Roman" w:eastAsia="Times New Roman" w:hAnsi="Times New Roman"/>
          <w:bCs/>
          <w:sz w:val="24"/>
          <w:szCs w:val="24"/>
        </w:rPr>
        <w:t>He was charged in July with obstruction of justice, a second-degree felony, and official misconduct, a class B misdemeanor.</w:t>
      </w:r>
      <w:r w:rsidRPr="00D61723">
        <w:rPr>
          <w:rFonts w:ascii="Times New Roman" w:hAnsi="Times New Roman"/>
          <w:bCs/>
          <w:sz w:val="24"/>
          <w:szCs w:val="24"/>
        </w:rPr>
        <w:t>”</w:t>
      </w:r>
    </w:p>
    <w:p w14:paraId="4348B266" w14:textId="77777777" w:rsidR="000F18B0" w:rsidRDefault="000F18B0" w:rsidP="000F18B0">
      <w:pPr>
        <w:pStyle w:val="NoSpacing"/>
        <w:rPr>
          <w:rFonts w:ascii="Arial Black" w:hAnsi="Arial Black"/>
          <w:sz w:val="24"/>
          <w:szCs w:val="24"/>
        </w:rPr>
      </w:pPr>
    </w:p>
    <w:p w14:paraId="570E76E5" w14:textId="77777777" w:rsidR="000F18B0" w:rsidRDefault="000F18B0" w:rsidP="00F326E5">
      <w:pPr>
        <w:pStyle w:val="NoSpacing"/>
        <w:rPr>
          <w:rFonts w:ascii="Arial Black" w:hAnsi="Arial Black"/>
          <w:sz w:val="24"/>
          <w:szCs w:val="24"/>
        </w:rPr>
      </w:pPr>
    </w:p>
    <w:p w14:paraId="0E307C64" w14:textId="77777777" w:rsidR="000F18B0" w:rsidRDefault="000F18B0" w:rsidP="00F326E5">
      <w:pPr>
        <w:pStyle w:val="NoSpacing"/>
        <w:rPr>
          <w:rFonts w:ascii="Arial Black" w:hAnsi="Arial Black"/>
          <w:sz w:val="24"/>
          <w:szCs w:val="24"/>
        </w:rPr>
      </w:pPr>
    </w:p>
    <w:p w14:paraId="75E8E514" w14:textId="60F410AC" w:rsidR="000F18B0" w:rsidRDefault="000F18B0" w:rsidP="00F326E5">
      <w:pPr>
        <w:pStyle w:val="NoSpacing"/>
        <w:rPr>
          <w:rFonts w:ascii="Arial Black" w:hAnsi="Arial Black"/>
          <w:sz w:val="24"/>
          <w:szCs w:val="24"/>
        </w:rPr>
      </w:pPr>
      <w:r>
        <w:rPr>
          <w:rFonts w:ascii="Arial Black" w:hAnsi="Arial Black"/>
          <w:sz w:val="24"/>
          <w:szCs w:val="24"/>
        </w:rPr>
        <w:t>16-30</w:t>
      </w:r>
    </w:p>
    <w:p w14:paraId="4672FB04" w14:textId="44149C5F" w:rsidR="000F18B0" w:rsidRDefault="000F18B0" w:rsidP="00F326E5">
      <w:pPr>
        <w:pStyle w:val="NoSpacing"/>
        <w:rPr>
          <w:rFonts w:ascii="Arial Black" w:hAnsi="Arial Black"/>
          <w:sz w:val="24"/>
          <w:szCs w:val="24"/>
        </w:rPr>
      </w:pPr>
    </w:p>
    <w:p w14:paraId="0B13AB67" w14:textId="77777777" w:rsidR="000F18B0" w:rsidRDefault="000F18B0" w:rsidP="000F18B0">
      <w:pPr>
        <w:pStyle w:val="NoSpacing"/>
        <w:rPr>
          <w:rFonts w:ascii="Arial Black" w:hAnsi="Arial Black" w:cs="Arial"/>
          <w:sz w:val="28"/>
          <w:szCs w:val="28"/>
        </w:rPr>
      </w:pPr>
      <w:bookmarkStart w:id="604" w:name="_Hlk39772998"/>
      <w:r w:rsidRPr="006B3428">
        <w:rPr>
          <w:rFonts w:ascii="Arial Black" w:hAnsi="Arial Black" w:cs="Arial"/>
          <w:sz w:val="28"/>
          <w:szCs w:val="28"/>
        </w:rPr>
        <w:t xml:space="preserve">CA: </w:t>
      </w:r>
      <w:r>
        <w:rPr>
          <w:rFonts w:ascii="Arial Black" w:hAnsi="Arial Black" w:cs="Arial"/>
          <w:sz w:val="28"/>
          <w:szCs w:val="28"/>
        </w:rPr>
        <w:t xml:space="preserve">THREATENING COMMENTS TO OFFICER – OFF DUTY INCIDENT WITH HIS DOG – 48-HOUR SUSPENSIONS UPHELD </w:t>
      </w:r>
    </w:p>
    <w:p w14:paraId="0CA33F0D" w14:textId="77777777" w:rsidR="000F18B0" w:rsidRDefault="000F18B0" w:rsidP="000F18B0">
      <w:pPr>
        <w:pStyle w:val="NoSpacing"/>
        <w:rPr>
          <w:b/>
          <w:bCs/>
          <w:sz w:val="24"/>
          <w:szCs w:val="24"/>
        </w:rPr>
      </w:pPr>
    </w:p>
    <w:p w14:paraId="6DB684C6" w14:textId="77777777" w:rsidR="000F18B0" w:rsidRPr="00D61723" w:rsidRDefault="000F18B0" w:rsidP="000F18B0">
      <w:pPr>
        <w:pStyle w:val="NoSpacing"/>
        <w:rPr>
          <w:rFonts w:ascii="Times New Roman" w:hAnsi="Times New Roman"/>
          <w:b/>
          <w:bCs/>
          <w:sz w:val="24"/>
          <w:szCs w:val="24"/>
        </w:rPr>
      </w:pPr>
      <w:r w:rsidRPr="00D61723">
        <w:rPr>
          <w:rFonts w:ascii="Times New Roman" w:hAnsi="Times New Roman"/>
          <w:bCs/>
          <w:sz w:val="24"/>
          <w:szCs w:val="24"/>
        </w:rPr>
        <w:t xml:space="preserve">On April 22, 2020, in </w:t>
      </w:r>
      <w:r w:rsidRPr="00D61723">
        <w:rPr>
          <w:rFonts w:ascii="Times New Roman" w:hAnsi="Times New Roman"/>
          <w:bCs/>
          <w:sz w:val="24"/>
          <w:szCs w:val="24"/>
          <w:u w:val="single"/>
        </w:rPr>
        <w:t>Michael Meoli v. San Diego Civil Service Commission</w:t>
      </w:r>
      <w:r w:rsidRPr="00D61723">
        <w:rPr>
          <w:rFonts w:ascii="Times New Roman" w:hAnsi="Times New Roman"/>
          <w:bCs/>
          <w:sz w:val="24"/>
          <w:szCs w:val="24"/>
        </w:rPr>
        <w:t>, the Court of Appeal (4</w:t>
      </w:r>
      <w:r w:rsidRPr="00D61723">
        <w:rPr>
          <w:rFonts w:ascii="Times New Roman" w:hAnsi="Times New Roman"/>
          <w:bCs/>
          <w:sz w:val="24"/>
          <w:szCs w:val="24"/>
          <w:vertAlign w:val="superscript"/>
        </w:rPr>
        <w:t>th</w:t>
      </w:r>
      <w:r w:rsidRPr="00D61723">
        <w:rPr>
          <w:rFonts w:ascii="Times New Roman" w:hAnsi="Times New Roman"/>
          <w:bCs/>
          <w:sz w:val="24"/>
          <w:szCs w:val="24"/>
        </w:rPr>
        <w:t xml:space="preserve"> Appellate District / Division One) held (3 to 0) in unpublished opinion, that the trial court properly confirmed the decision of the Civil Service Commission, that the two 24-hour suspensions were appropriate.</w:t>
      </w:r>
    </w:p>
    <w:p w14:paraId="0E10A2D5" w14:textId="77777777" w:rsidR="000F18B0" w:rsidRPr="00D61723" w:rsidRDefault="000F18B0" w:rsidP="000F18B0">
      <w:pPr>
        <w:pStyle w:val="NoSpacing"/>
        <w:rPr>
          <w:rFonts w:ascii="Times New Roman" w:hAnsi="Times New Roman"/>
          <w:b/>
          <w:bCs/>
          <w:sz w:val="24"/>
          <w:szCs w:val="24"/>
        </w:rPr>
      </w:pPr>
    </w:p>
    <w:p w14:paraId="2F438572" w14:textId="77777777" w:rsidR="000F18B0" w:rsidRPr="00D61723" w:rsidRDefault="000F18B0" w:rsidP="000F18B0">
      <w:pPr>
        <w:pStyle w:val="NoSpacing"/>
        <w:ind w:left="720"/>
        <w:rPr>
          <w:rFonts w:ascii="Times New Roman" w:hAnsi="Times New Roman"/>
          <w:b/>
          <w:bCs/>
          <w:sz w:val="24"/>
          <w:szCs w:val="24"/>
        </w:rPr>
      </w:pPr>
      <w:r w:rsidRPr="00D61723">
        <w:rPr>
          <w:rFonts w:ascii="Times New Roman" w:hAnsi="Times New Roman"/>
          <w:bCs/>
          <w:sz w:val="24"/>
          <w:szCs w:val="24"/>
        </w:rPr>
        <w:t xml:space="preserve">“[California Firefighter’s Bill of Rights] Government Code section 3253 deals with a firefighter's rights when he or she ‘is under investigation and subjected to interrogation.’ Meoli argues that City violated subdivisions(b), (g), and (h) of section 3253 during the February 2012 incident at the fire station. As we explained ante, the trial court found that the delivery of the Notice communicated to Meoli that an investigation and interrogation would take place in the future. Although Meoli acknowledges this ruling by the trial court, he argues that it was ‘not supported by the law or any reasoned analysis of the applicable statute[].’ However, Meoli does not explain this alleged error, since he fails to discuss the trial court's rulings, the applicable standard, or the evidence to support a violation of the applicable </w:t>
      </w:r>
      <w:proofErr w:type="gramStart"/>
      <w:r w:rsidRPr="00D61723">
        <w:rPr>
          <w:rFonts w:ascii="Times New Roman" w:hAnsi="Times New Roman"/>
          <w:bCs/>
          <w:sz w:val="24"/>
          <w:szCs w:val="24"/>
        </w:rPr>
        <w:t>standard.”</w:t>
      </w:r>
      <w:proofErr w:type="gramEnd"/>
      <w:r w:rsidRPr="00D61723">
        <w:rPr>
          <w:rFonts w:ascii="Times New Roman" w:hAnsi="Times New Roman"/>
          <w:bCs/>
          <w:sz w:val="24"/>
          <w:szCs w:val="24"/>
        </w:rPr>
        <w:t xml:space="preserve"> </w:t>
      </w:r>
      <w:hyperlink r:id="rId2794" w:history="1">
        <w:r w:rsidRPr="00D61723">
          <w:rPr>
            <w:rStyle w:val="Hyperlink"/>
            <w:rFonts w:ascii="Times New Roman" w:hAnsi="Times New Roman"/>
            <w:b/>
            <w:sz w:val="24"/>
            <w:szCs w:val="24"/>
          </w:rPr>
          <w:t>https://www.courts.ca.gov/opinions/nonpub/D074758.PDF</w:t>
        </w:r>
      </w:hyperlink>
      <w:r w:rsidRPr="00D61723">
        <w:rPr>
          <w:rFonts w:ascii="Times New Roman" w:hAnsi="Times New Roman"/>
          <w:bCs/>
          <w:sz w:val="24"/>
          <w:szCs w:val="24"/>
        </w:rPr>
        <w:t xml:space="preserve"> </w:t>
      </w:r>
    </w:p>
    <w:bookmarkEnd w:id="604"/>
    <w:p w14:paraId="2F00DF95" w14:textId="77777777" w:rsidR="000F18B0" w:rsidRDefault="000F18B0" w:rsidP="000F18B0">
      <w:pPr>
        <w:pStyle w:val="NoSpacing"/>
        <w:rPr>
          <w:rFonts w:ascii="Times New Roman" w:hAnsi="Times New Roman"/>
          <w:b/>
          <w:bCs/>
          <w:sz w:val="24"/>
          <w:szCs w:val="24"/>
        </w:rPr>
      </w:pPr>
    </w:p>
    <w:p w14:paraId="037F51F2" w14:textId="6E899408" w:rsidR="000F18B0" w:rsidRPr="00D61723" w:rsidRDefault="000F18B0" w:rsidP="000F18B0">
      <w:pPr>
        <w:pStyle w:val="NoSpacing"/>
        <w:rPr>
          <w:rFonts w:ascii="Times New Roman" w:hAnsi="Times New Roman"/>
          <w:b/>
          <w:bCs/>
          <w:sz w:val="24"/>
          <w:szCs w:val="24"/>
        </w:rPr>
      </w:pPr>
      <w:bookmarkStart w:id="605" w:name="_Hlk40516840"/>
      <w:r w:rsidRPr="00D61723">
        <w:rPr>
          <w:rFonts w:ascii="Times New Roman" w:hAnsi="Times New Roman"/>
          <w:b/>
          <w:bCs/>
          <w:sz w:val="24"/>
          <w:szCs w:val="24"/>
        </w:rPr>
        <w:t xml:space="preserve">Legal Lessons Learned: Threats against a FD officer are not to be tolerated; nor claims off duty that you are a police officer. </w:t>
      </w:r>
    </w:p>
    <w:bookmarkEnd w:id="605"/>
    <w:p w14:paraId="46776C7B" w14:textId="77777777" w:rsidR="000F18B0" w:rsidRPr="00D61723" w:rsidRDefault="000F18B0" w:rsidP="000F18B0">
      <w:pPr>
        <w:pStyle w:val="NoSpacing"/>
        <w:rPr>
          <w:b/>
          <w:bCs/>
          <w:sz w:val="24"/>
          <w:szCs w:val="24"/>
        </w:rPr>
      </w:pPr>
    </w:p>
    <w:p w14:paraId="65BFD322" w14:textId="77777777" w:rsidR="000F18B0" w:rsidRDefault="000F18B0" w:rsidP="00F326E5">
      <w:pPr>
        <w:pStyle w:val="NoSpacing"/>
        <w:rPr>
          <w:rFonts w:ascii="Arial Black" w:hAnsi="Arial Black"/>
          <w:sz w:val="24"/>
          <w:szCs w:val="24"/>
        </w:rPr>
      </w:pPr>
    </w:p>
    <w:p w14:paraId="2F424284" w14:textId="77777777" w:rsidR="000F18B0" w:rsidRDefault="000F18B0" w:rsidP="00F326E5">
      <w:pPr>
        <w:pStyle w:val="NoSpacing"/>
        <w:rPr>
          <w:rFonts w:ascii="Arial Black" w:hAnsi="Arial Black"/>
          <w:sz w:val="24"/>
          <w:szCs w:val="24"/>
        </w:rPr>
      </w:pPr>
    </w:p>
    <w:p w14:paraId="0E9AE6BB" w14:textId="77777777" w:rsidR="000F18B0" w:rsidRDefault="000F18B0" w:rsidP="00F326E5">
      <w:pPr>
        <w:pStyle w:val="NoSpacing"/>
        <w:rPr>
          <w:rFonts w:ascii="Arial Black" w:hAnsi="Arial Black"/>
          <w:sz w:val="24"/>
          <w:szCs w:val="24"/>
        </w:rPr>
      </w:pPr>
    </w:p>
    <w:p w14:paraId="1B663376" w14:textId="1BFE8757" w:rsidR="000F18B0" w:rsidRDefault="000F18B0" w:rsidP="00F326E5">
      <w:pPr>
        <w:pStyle w:val="NoSpacing"/>
        <w:rPr>
          <w:rFonts w:ascii="Arial Black" w:hAnsi="Arial Black"/>
          <w:sz w:val="24"/>
          <w:szCs w:val="24"/>
        </w:rPr>
      </w:pPr>
      <w:r>
        <w:rPr>
          <w:rFonts w:ascii="Arial Black" w:hAnsi="Arial Black"/>
          <w:sz w:val="24"/>
          <w:szCs w:val="24"/>
        </w:rPr>
        <w:t>16-29</w:t>
      </w:r>
    </w:p>
    <w:p w14:paraId="39796E42" w14:textId="0287A8CE" w:rsidR="000F18B0" w:rsidRDefault="000F18B0" w:rsidP="00F326E5">
      <w:pPr>
        <w:pStyle w:val="NoSpacing"/>
        <w:rPr>
          <w:rFonts w:ascii="Arial Black" w:hAnsi="Arial Black"/>
          <w:sz w:val="24"/>
          <w:szCs w:val="24"/>
        </w:rPr>
      </w:pPr>
    </w:p>
    <w:p w14:paraId="099B4ECC" w14:textId="77777777" w:rsidR="000F18B0" w:rsidRPr="00084E23" w:rsidRDefault="000F18B0" w:rsidP="000F18B0">
      <w:pPr>
        <w:pStyle w:val="NoSpacing"/>
        <w:rPr>
          <w:rFonts w:ascii="Arial Black" w:hAnsi="Arial Black"/>
          <w:sz w:val="28"/>
          <w:szCs w:val="28"/>
        </w:rPr>
      </w:pPr>
      <w:bookmarkStart w:id="606" w:name="_Hlk40516939"/>
      <w:r w:rsidRPr="00084E23">
        <w:rPr>
          <w:rFonts w:ascii="Arial Black" w:hAnsi="Arial Black"/>
          <w:sz w:val="28"/>
          <w:szCs w:val="28"/>
        </w:rPr>
        <w:t>VA:</w:t>
      </w:r>
      <w:r>
        <w:rPr>
          <w:rFonts w:ascii="Arial Black" w:hAnsi="Arial Black"/>
          <w:sz w:val="28"/>
          <w:szCs w:val="28"/>
        </w:rPr>
        <w:t xml:space="preserve"> SOCIAL MEDIA - ANTI-TRUMP FACEBOOK - ARRESTED D.C. PROTEST – FIRED NO HEARING – LAWSUIT PROCEED</w:t>
      </w:r>
    </w:p>
    <w:p w14:paraId="262A9F69" w14:textId="77777777" w:rsidR="000F18B0" w:rsidRDefault="000F18B0" w:rsidP="000F18B0">
      <w:pPr>
        <w:pStyle w:val="NoSpacing"/>
        <w:rPr>
          <w:rFonts w:ascii="VAArial Black" w:hAnsi="VAArial Black"/>
          <w:sz w:val="28"/>
          <w:szCs w:val="28"/>
        </w:rPr>
      </w:pPr>
    </w:p>
    <w:p w14:paraId="3D178C12" w14:textId="3F637B1A" w:rsidR="000F18B0" w:rsidRDefault="000F18B0" w:rsidP="000F18B0">
      <w:pPr>
        <w:pStyle w:val="NoSpacing"/>
        <w:rPr>
          <w:rFonts w:ascii="Times New Roman" w:hAnsi="Times New Roman"/>
          <w:bCs/>
          <w:sz w:val="24"/>
          <w:szCs w:val="24"/>
        </w:rPr>
      </w:pPr>
      <w:r w:rsidRPr="00D61723">
        <w:rPr>
          <w:rFonts w:ascii="Times New Roman" w:hAnsi="Times New Roman"/>
          <w:bCs/>
          <w:sz w:val="24"/>
          <w:szCs w:val="24"/>
        </w:rPr>
        <w:t xml:space="preserve">On March 31, 2020, in </w:t>
      </w:r>
      <w:r w:rsidRPr="00D61723">
        <w:rPr>
          <w:rFonts w:ascii="Times New Roman" w:hAnsi="Times New Roman"/>
          <w:bCs/>
          <w:sz w:val="24"/>
          <w:szCs w:val="24"/>
          <w:u w:val="single"/>
        </w:rPr>
        <w:t xml:space="preserve">Rosa </w:t>
      </w:r>
      <w:proofErr w:type="spellStart"/>
      <w:r w:rsidRPr="00D61723">
        <w:rPr>
          <w:rFonts w:ascii="Times New Roman" w:hAnsi="Times New Roman"/>
          <w:bCs/>
          <w:sz w:val="24"/>
          <w:szCs w:val="24"/>
          <w:u w:val="single"/>
        </w:rPr>
        <w:t>Roncales</w:t>
      </w:r>
      <w:proofErr w:type="spellEnd"/>
      <w:r w:rsidRPr="00D61723">
        <w:rPr>
          <w:rFonts w:ascii="Times New Roman" w:hAnsi="Times New Roman"/>
          <w:bCs/>
          <w:sz w:val="24"/>
          <w:szCs w:val="24"/>
          <w:u w:val="single"/>
        </w:rPr>
        <w:t xml:space="preserve"> v. County of Henrico, Anthony McDowell, Alec Oughton, Scotty Roberts and Eugene Gerald</w:t>
      </w:r>
      <w:r w:rsidRPr="00D61723">
        <w:rPr>
          <w:rFonts w:ascii="Times New Roman" w:hAnsi="Times New Roman"/>
          <w:bCs/>
          <w:sz w:val="24"/>
          <w:szCs w:val="24"/>
        </w:rPr>
        <w:t xml:space="preserve">, U.S. District Court Judge M. Hannah Lauck, U.S. District Court for the Eastern District of Virginia (Richmond Division), reviewing the allegations by the firefighter in the Complaint, but without holding a hearing, denied qualified immunity claims of the four supervisors. “At this procedural posture, however, the Court concludes </w:t>
      </w:r>
    </w:p>
    <w:p w14:paraId="4B656FDF" w14:textId="77777777" w:rsidR="000F18B0" w:rsidRPr="00D61723" w:rsidRDefault="000F18B0" w:rsidP="000F18B0">
      <w:pPr>
        <w:pStyle w:val="NoSpacing"/>
        <w:rPr>
          <w:rFonts w:ascii="Times New Roman" w:hAnsi="Times New Roman"/>
          <w:b/>
          <w:bCs/>
          <w:sz w:val="24"/>
          <w:szCs w:val="24"/>
        </w:rPr>
      </w:pPr>
      <w:r w:rsidRPr="00D61723">
        <w:rPr>
          <w:rFonts w:ascii="Times New Roman" w:hAnsi="Times New Roman"/>
          <w:bCs/>
          <w:sz w:val="24"/>
          <w:szCs w:val="24"/>
        </w:rPr>
        <w:t xml:space="preserve">that qualified immunity does not protect McDowell, Oughton, Roberts, or Gerald from liability. The Court will deny the Motion to Dismiss as to the individual Defendants.”  </w:t>
      </w:r>
      <w:bookmarkEnd w:id="606"/>
      <w:r w:rsidRPr="00D61723">
        <w:rPr>
          <w:rFonts w:ascii="Times New Roman" w:hAnsi="Times New Roman"/>
          <w:bCs/>
          <w:sz w:val="24"/>
          <w:szCs w:val="24"/>
        </w:rPr>
        <w:t xml:space="preserve">The County was </w:t>
      </w:r>
      <w:r>
        <w:rPr>
          <w:rFonts w:ascii="Times New Roman" w:hAnsi="Times New Roman"/>
          <w:bCs/>
          <w:sz w:val="24"/>
          <w:szCs w:val="24"/>
        </w:rPr>
        <w:t xml:space="preserve">dismissed </w:t>
      </w:r>
      <w:r w:rsidRPr="00D61723">
        <w:rPr>
          <w:rFonts w:ascii="Times New Roman" w:hAnsi="Times New Roman"/>
          <w:bCs/>
          <w:sz w:val="24"/>
          <w:szCs w:val="24"/>
        </w:rPr>
        <w:t>from the case.</w:t>
      </w:r>
    </w:p>
    <w:p w14:paraId="0D8195FB" w14:textId="77777777" w:rsidR="000F18B0" w:rsidRPr="00D61723" w:rsidRDefault="000F18B0" w:rsidP="000F18B0">
      <w:pPr>
        <w:pStyle w:val="NormalWeb"/>
        <w:ind w:left="720"/>
      </w:pPr>
      <w:r w:rsidRPr="00D61723">
        <w:t xml:space="preserve">“Here, </w:t>
      </w:r>
      <w:proofErr w:type="spellStart"/>
      <w:r w:rsidRPr="00D61723">
        <w:t>Roncales</w:t>
      </w:r>
      <w:proofErr w:type="spellEnd"/>
      <w:r w:rsidRPr="00D61723">
        <w:t xml:space="preserve"> alleges that she never received a name-clearing hearing or the opportunity to present her case before her employment ended at the Henrico Fire Department. Specifically, </w:t>
      </w:r>
      <w:proofErr w:type="spellStart"/>
      <w:r w:rsidRPr="00D61723">
        <w:t>Roncales</w:t>
      </w:r>
      <w:proofErr w:type="spellEnd"/>
      <w:r w:rsidRPr="00D61723">
        <w:t xml:space="preserve"> claims that Defendants questioned her regarding her participation in a political protest, that she did not have the opportunity to speak to her legal counsel before questioning, that video evidence existed that would have shown she participated in only non-violent protest, that she ‘told her superiors that her legal counsel had possession of a video demonstrating" the veracity of her claims, (</w:t>
      </w:r>
      <w:proofErr w:type="spellStart"/>
      <w:r w:rsidRPr="00D61723">
        <w:t>Compl</w:t>
      </w:r>
      <w:proofErr w:type="spellEnd"/>
      <w:r w:rsidRPr="00D61723">
        <w:t xml:space="preserve">. ¶ 34), and that Defendants used the event as a pretext to terminate her employment from the Henrico Fire Department for her political beliefs. For this claim, </w:t>
      </w:r>
      <w:proofErr w:type="spellStart"/>
      <w:r w:rsidRPr="00D61723">
        <w:t>Roncales</w:t>
      </w:r>
      <w:proofErr w:type="spellEnd"/>
      <w:r w:rsidRPr="00D61723">
        <w:t xml:space="preserve"> maintains that she was ‘deprived of the fair and unbiased opportunity for a hearing, whether name-clearing or otherwise, to rebut the Defendants' representations, and to present her side of the story.’ (</w:t>
      </w:r>
      <w:proofErr w:type="spellStart"/>
      <w:r w:rsidRPr="00D61723">
        <w:t>Compl</w:t>
      </w:r>
      <w:proofErr w:type="spellEnd"/>
      <w:r w:rsidRPr="00D61723">
        <w:t xml:space="preserve">. ¶ 60.) Based on these allegations, </w:t>
      </w:r>
      <w:proofErr w:type="spellStart"/>
      <w:r w:rsidRPr="00D61723">
        <w:t>Roncales</w:t>
      </w:r>
      <w:proofErr w:type="spellEnd"/>
      <w:r w:rsidRPr="00D61723">
        <w:t xml:space="preserve"> sufficiently alleges her Due Process Claim.” </w:t>
      </w:r>
      <w:hyperlink r:id="rId2795" w:history="1">
        <w:r w:rsidRPr="00D61723">
          <w:rPr>
            <w:rStyle w:val="Hyperlink"/>
          </w:rPr>
          <w:t>https://public.fastcase.com/Wl%2B2t%2BeVuI35%2FN70vAMFZp5z3tSAREAgVcTB%2FIqZH8qtvSAHBObLTQiDe9yLc084</w:t>
        </w:r>
      </w:hyperlink>
      <w:r w:rsidRPr="00D61723">
        <w:t xml:space="preserve"> </w:t>
      </w:r>
    </w:p>
    <w:p w14:paraId="7DC4F572" w14:textId="2743DB69" w:rsidR="000F18B0" w:rsidRPr="000164B1" w:rsidRDefault="000F18B0" w:rsidP="000F18B0">
      <w:pPr>
        <w:pStyle w:val="NoSpacing"/>
        <w:rPr>
          <w:rFonts w:ascii="Times New Roman" w:hAnsi="Times New Roman"/>
          <w:sz w:val="24"/>
          <w:szCs w:val="24"/>
        </w:rPr>
      </w:pPr>
      <w:bookmarkStart w:id="607" w:name="_Hlk40517047"/>
      <w:r w:rsidRPr="00D61723">
        <w:rPr>
          <w:rFonts w:ascii="Times New Roman" w:hAnsi="Times New Roman"/>
          <w:b/>
          <w:bCs/>
          <w:sz w:val="24"/>
          <w:szCs w:val="24"/>
        </w:rPr>
        <w:t xml:space="preserve">Legal Lessons Learned: FDs should provide a pre-disciplinary hearing prior to making a termination decision.  </w:t>
      </w:r>
      <w:r w:rsidR="000164B1" w:rsidRPr="000164B1">
        <w:rPr>
          <w:rFonts w:ascii="Times New Roman" w:hAnsi="Times New Roman"/>
          <w:sz w:val="24"/>
          <w:szCs w:val="24"/>
        </w:rPr>
        <w:t xml:space="preserve">Note:  Read the </w:t>
      </w:r>
      <w:r w:rsidRPr="000164B1">
        <w:rPr>
          <w:rFonts w:ascii="Times New Roman" w:hAnsi="Times New Roman"/>
          <w:sz w:val="24"/>
          <w:szCs w:val="24"/>
        </w:rPr>
        <w:t xml:space="preserve">U.S. Supreme Court decision in Cleveland Bd. of Educ. v. Loudermill, 470 U.S. 532 (1985), </w:t>
      </w:r>
      <w:hyperlink r:id="rId2796" w:history="1">
        <w:r w:rsidRPr="000164B1">
          <w:rPr>
            <w:rStyle w:val="Hyperlink"/>
            <w:rFonts w:ascii="Times New Roman" w:hAnsi="Times New Roman"/>
            <w:sz w:val="24"/>
            <w:szCs w:val="24"/>
          </w:rPr>
          <w:t>https://supreme.justia.com/cases/federal/us/470/532/</w:t>
        </w:r>
      </w:hyperlink>
      <w:r w:rsidRPr="000164B1">
        <w:rPr>
          <w:rFonts w:ascii="Times New Roman" w:hAnsi="Times New Roman"/>
          <w:sz w:val="24"/>
          <w:szCs w:val="24"/>
        </w:rPr>
        <w:t xml:space="preserve"> .  </w:t>
      </w:r>
    </w:p>
    <w:bookmarkEnd w:id="607"/>
    <w:p w14:paraId="0809192B" w14:textId="77777777" w:rsidR="000F18B0" w:rsidRPr="00D61723" w:rsidRDefault="000F18B0" w:rsidP="000F18B0">
      <w:pPr>
        <w:pStyle w:val="NoSpacing"/>
        <w:rPr>
          <w:rFonts w:ascii="Times New Roman" w:hAnsi="Times New Roman"/>
          <w:sz w:val="24"/>
          <w:szCs w:val="24"/>
        </w:rPr>
      </w:pPr>
    </w:p>
    <w:p w14:paraId="29639D9C" w14:textId="77777777" w:rsidR="000F18B0" w:rsidRDefault="000F18B0" w:rsidP="00F326E5">
      <w:pPr>
        <w:pStyle w:val="NoSpacing"/>
        <w:rPr>
          <w:rFonts w:ascii="Arial Black" w:hAnsi="Arial Black"/>
          <w:sz w:val="24"/>
          <w:szCs w:val="24"/>
        </w:rPr>
      </w:pPr>
    </w:p>
    <w:p w14:paraId="7FD335C0" w14:textId="77777777" w:rsidR="000F18B0" w:rsidRDefault="000F18B0" w:rsidP="00F326E5">
      <w:pPr>
        <w:pStyle w:val="NoSpacing"/>
        <w:rPr>
          <w:rFonts w:ascii="Arial Black" w:hAnsi="Arial Black"/>
          <w:sz w:val="24"/>
          <w:szCs w:val="24"/>
        </w:rPr>
      </w:pPr>
    </w:p>
    <w:p w14:paraId="7A05F3E4" w14:textId="3AD105AB" w:rsidR="000F18B0" w:rsidRDefault="000F18B0" w:rsidP="00F326E5">
      <w:pPr>
        <w:pStyle w:val="NoSpacing"/>
        <w:rPr>
          <w:rFonts w:ascii="Arial Black" w:hAnsi="Arial Black"/>
          <w:sz w:val="24"/>
          <w:szCs w:val="24"/>
        </w:rPr>
      </w:pPr>
      <w:r>
        <w:rPr>
          <w:rFonts w:ascii="Arial Black" w:hAnsi="Arial Black"/>
          <w:sz w:val="24"/>
          <w:szCs w:val="24"/>
        </w:rPr>
        <w:t>16-28</w:t>
      </w:r>
    </w:p>
    <w:p w14:paraId="6A898452" w14:textId="2EE580D5" w:rsidR="000F18B0" w:rsidRDefault="000F18B0" w:rsidP="00F326E5">
      <w:pPr>
        <w:pStyle w:val="NoSpacing"/>
        <w:rPr>
          <w:rFonts w:ascii="Arial Black" w:hAnsi="Arial Black"/>
          <w:sz w:val="24"/>
          <w:szCs w:val="24"/>
        </w:rPr>
      </w:pPr>
    </w:p>
    <w:p w14:paraId="5EA4C568" w14:textId="77777777" w:rsidR="000F18B0" w:rsidRPr="00EC2027" w:rsidRDefault="000F18B0" w:rsidP="000F18B0">
      <w:pPr>
        <w:pStyle w:val="NoSpacing"/>
        <w:rPr>
          <w:rFonts w:ascii="Arial Black" w:hAnsi="Arial Black"/>
          <w:sz w:val="28"/>
          <w:szCs w:val="28"/>
        </w:rPr>
      </w:pPr>
      <w:bookmarkStart w:id="608" w:name="_Hlk39773080"/>
      <w:r>
        <w:rPr>
          <w:rFonts w:ascii="Arial Black" w:hAnsi="Arial Black"/>
          <w:sz w:val="28"/>
          <w:szCs w:val="28"/>
        </w:rPr>
        <w:t>MI: FIRED FOR MISCHARGING HRS, DOUBLE DIPPING – FF CLAIMS RETALIATION, VERY RELIGIOUS – CASE PROCEED</w:t>
      </w:r>
    </w:p>
    <w:p w14:paraId="72360989" w14:textId="77777777" w:rsidR="000F18B0" w:rsidRDefault="000F18B0" w:rsidP="000F18B0">
      <w:pPr>
        <w:pStyle w:val="NoSpacing"/>
        <w:rPr>
          <w:b/>
          <w:bCs/>
          <w:sz w:val="24"/>
          <w:szCs w:val="24"/>
        </w:rPr>
      </w:pPr>
    </w:p>
    <w:p w14:paraId="1E18B60C" w14:textId="77777777" w:rsidR="000F18B0" w:rsidRPr="00D61723" w:rsidRDefault="000F18B0" w:rsidP="000F18B0">
      <w:pPr>
        <w:pStyle w:val="NoSpacing"/>
        <w:rPr>
          <w:rFonts w:ascii="Times New Roman" w:hAnsi="Times New Roman"/>
          <w:b/>
          <w:bCs/>
          <w:sz w:val="24"/>
          <w:szCs w:val="24"/>
        </w:rPr>
      </w:pPr>
      <w:r w:rsidRPr="00D61723">
        <w:rPr>
          <w:rFonts w:ascii="Times New Roman" w:hAnsi="Times New Roman"/>
          <w:bCs/>
          <w:sz w:val="24"/>
          <w:szCs w:val="24"/>
        </w:rPr>
        <w:t xml:space="preserve">On Nov. 22, 2019, in </w:t>
      </w:r>
      <w:r w:rsidRPr="00D61723">
        <w:rPr>
          <w:rFonts w:ascii="Times New Roman" w:hAnsi="Times New Roman"/>
          <w:bCs/>
          <w:sz w:val="24"/>
          <w:szCs w:val="24"/>
          <w:u w:val="single"/>
        </w:rPr>
        <w:t>Peter Hudson v. City of Highland Park, Michigan; Derek Hillman; Makini Jackson</w:t>
      </w:r>
      <w:r w:rsidRPr="00D61723">
        <w:rPr>
          <w:rFonts w:ascii="Times New Roman" w:hAnsi="Times New Roman"/>
          <w:bCs/>
          <w:sz w:val="24"/>
          <w:szCs w:val="24"/>
        </w:rPr>
        <w:t>,  the U.S. Court of Appeals for the 6</w:t>
      </w:r>
      <w:r w:rsidRPr="00D61723">
        <w:rPr>
          <w:rFonts w:ascii="Times New Roman" w:hAnsi="Times New Roman"/>
          <w:bCs/>
          <w:sz w:val="24"/>
          <w:szCs w:val="24"/>
          <w:vertAlign w:val="superscript"/>
        </w:rPr>
        <w:t>th</w:t>
      </w:r>
      <w:r w:rsidRPr="00D61723">
        <w:rPr>
          <w:rFonts w:ascii="Times New Roman" w:hAnsi="Times New Roman"/>
          <w:bCs/>
          <w:sz w:val="24"/>
          <w:szCs w:val="24"/>
        </w:rPr>
        <w:t xml:space="preserve"> Circuit, held (2 to 1) that FF may proceed in lawsuit against the Fire Chief for retaliation for exercising his free-speech rights, and after FF filed complaint with OSHA. “At any rate, the </w:t>
      </w:r>
      <w:r w:rsidRPr="00D61723">
        <w:rPr>
          <w:rFonts w:ascii="Times New Roman" w:hAnsi="Times New Roman"/>
          <w:bCs/>
          <w:sz w:val="24"/>
          <w:szCs w:val="24"/>
        </w:rPr>
        <w:lastRenderedPageBreak/>
        <w:t xml:space="preserve">point, at least at the pleading stage, is one of inferences—that Hillman fired Hudson for reasons other than violating the fire station’s payroll polices. Not every allegation has to substantiate a plaintiff’s claim directly…. That’s why we have circumstantial evidence.” The majority, however, rejected his “hostile work atmosphere” Title VII claim. </w:t>
      </w:r>
    </w:p>
    <w:p w14:paraId="350CA5C7" w14:textId="77777777" w:rsidR="000F18B0" w:rsidRPr="00D61723" w:rsidRDefault="000F18B0" w:rsidP="000F18B0">
      <w:pPr>
        <w:pStyle w:val="NoSpacing"/>
        <w:rPr>
          <w:rFonts w:ascii="Times New Roman" w:hAnsi="Times New Roman"/>
          <w:b/>
          <w:bCs/>
          <w:sz w:val="24"/>
          <w:szCs w:val="24"/>
        </w:rPr>
      </w:pPr>
    </w:p>
    <w:p w14:paraId="37B6B646" w14:textId="5E2BC3CF" w:rsidR="000F18B0" w:rsidRDefault="000F18B0" w:rsidP="000F18B0">
      <w:pPr>
        <w:pStyle w:val="NoSpacing"/>
        <w:ind w:left="720"/>
        <w:rPr>
          <w:rFonts w:ascii="Times New Roman" w:hAnsi="Times New Roman"/>
          <w:bCs/>
          <w:sz w:val="24"/>
          <w:szCs w:val="24"/>
        </w:rPr>
      </w:pPr>
      <w:r w:rsidRPr="00D61723">
        <w:rPr>
          <w:rFonts w:ascii="Times New Roman" w:hAnsi="Times New Roman"/>
          <w:bCs/>
          <w:sz w:val="24"/>
          <w:szCs w:val="24"/>
        </w:rPr>
        <w:t xml:space="preserve">“For many people of faith, their religion is not an abstraction. It has consequences for how they behave and may require them to be witnesses and examples for their faith. That reality does not permit differential treatment of them because they criticize behavior on moral grounds stemming from religious </w:t>
      </w:r>
      <w:proofErr w:type="gramStart"/>
      <w:r w:rsidRPr="00D61723">
        <w:rPr>
          <w:rFonts w:ascii="Times New Roman" w:hAnsi="Times New Roman"/>
          <w:bCs/>
          <w:sz w:val="24"/>
          <w:szCs w:val="24"/>
        </w:rPr>
        <w:t>convictions</w:t>
      </w:r>
      <w:proofErr w:type="gramEnd"/>
      <w:r w:rsidRPr="00D61723">
        <w:rPr>
          <w:rFonts w:ascii="Times New Roman" w:hAnsi="Times New Roman"/>
          <w:bCs/>
          <w:sz w:val="24"/>
          <w:szCs w:val="24"/>
        </w:rPr>
        <w:t xml:space="preserve"> as </w:t>
      </w:r>
    </w:p>
    <w:p w14:paraId="777B7185" w14:textId="77777777" w:rsidR="000F18B0" w:rsidRPr="00D61723" w:rsidRDefault="000F18B0" w:rsidP="000F18B0">
      <w:pPr>
        <w:pStyle w:val="NoSpacing"/>
        <w:ind w:left="720"/>
        <w:rPr>
          <w:rFonts w:ascii="Times New Roman" w:hAnsi="Times New Roman"/>
          <w:b/>
          <w:bCs/>
          <w:sz w:val="24"/>
          <w:szCs w:val="24"/>
        </w:rPr>
      </w:pPr>
      <w:r w:rsidRPr="00D61723">
        <w:rPr>
          <w:rFonts w:ascii="Times New Roman" w:hAnsi="Times New Roman"/>
          <w:bCs/>
          <w:sz w:val="24"/>
          <w:szCs w:val="24"/>
        </w:rPr>
        <w:t xml:space="preserve">opposed to moral grounds stemming from secular convictions. ‘Let firemen be firemen’ is not a cognizable defense to Title VII claims based on gender discrimination, race discrimination, or faith-based discrimination. Even so, Hudson’s disparate treatment claim fails at a minimum at the last step. He cannot show that the city’s justification for his discharge amounted to a pretextual basis for discriminating against him because of his faith. The fire department put forth a legitimate, non-discriminatory reason for treating Hudson differently. He falsified his </w:t>
      </w:r>
      <w:proofErr w:type="gramStart"/>
      <w:r w:rsidRPr="00D61723">
        <w:rPr>
          <w:rFonts w:ascii="Times New Roman" w:hAnsi="Times New Roman"/>
          <w:bCs/>
          <w:sz w:val="24"/>
          <w:szCs w:val="24"/>
        </w:rPr>
        <w:t>time-sheets</w:t>
      </w:r>
      <w:proofErr w:type="gramEnd"/>
      <w:r w:rsidRPr="00D61723">
        <w:rPr>
          <w:rFonts w:ascii="Times New Roman" w:hAnsi="Times New Roman"/>
          <w:bCs/>
          <w:sz w:val="24"/>
          <w:szCs w:val="24"/>
        </w:rPr>
        <w:t xml:space="preserve"> while other firefighters did not.”</w:t>
      </w:r>
    </w:p>
    <w:p w14:paraId="55BEF034" w14:textId="77777777" w:rsidR="000F18B0" w:rsidRPr="00D61723" w:rsidRDefault="000F18B0" w:rsidP="000F18B0">
      <w:pPr>
        <w:pStyle w:val="NoSpacing"/>
        <w:ind w:left="720"/>
        <w:rPr>
          <w:rFonts w:ascii="Times New Roman" w:hAnsi="Times New Roman"/>
          <w:b/>
          <w:bCs/>
          <w:sz w:val="24"/>
          <w:szCs w:val="24"/>
        </w:rPr>
      </w:pPr>
      <w:hyperlink r:id="rId2797" w:history="1">
        <w:r w:rsidRPr="00D61723">
          <w:rPr>
            <w:rStyle w:val="Hyperlink"/>
            <w:rFonts w:ascii="Times New Roman" w:hAnsi="Times New Roman"/>
            <w:b/>
            <w:sz w:val="24"/>
            <w:szCs w:val="24"/>
          </w:rPr>
          <w:t>https://www.opn.ca6.uscourts.gov/opinions.pdf/19a0286p-06.pdf</w:t>
        </w:r>
      </w:hyperlink>
      <w:r w:rsidRPr="00D61723">
        <w:rPr>
          <w:rFonts w:ascii="Times New Roman" w:hAnsi="Times New Roman"/>
          <w:bCs/>
          <w:sz w:val="24"/>
          <w:szCs w:val="24"/>
        </w:rPr>
        <w:t xml:space="preserve"> </w:t>
      </w:r>
    </w:p>
    <w:p w14:paraId="358C339C" w14:textId="77777777" w:rsidR="000F18B0" w:rsidRDefault="000F18B0" w:rsidP="00F326E5">
      <w:pPr>
        <w:pStyle w:val="NoSpacing"/>
        <w:rPr>
          <w:rFonts w:ascii="Arial Black" w:hAnsi="Arial Black"/>
          <w:sz w:val="24"/>
          <w:szCs w:val="24"/>
        </w:rPr>
      </w:pPr>
    </w:p>
    <w:bookmarkEnd w:id="608"/>
    <w:p w14:paraId="46B150E9" w14:textId="77777777" w:rsidR="000F18B0" w:rsidRPr="00D61723" w:rsidRDefault="000F18B0" w:rsidP="000F18B0">
      <w:pPr>
        <w:pStyle w:val="NoSpacing"/>
        <w:rPr>
          <w:rFonts w:ascii="Times New Roman" w:hAnsi="Times New Roman"/>
          <w:b/>
          <w:bCs/>
          <w:sz w:val="24"/>
          <w:szCs w:val="24"/>
        </w:rPr>
      </w:pPr>
      <w:r w:rsidRPr="00D61723">
        <w:rPr>
          <w:rFonts w:ascii="Times New Roman" w:hAnsi="Times New Roman"/>
          <w:b/>
          <w:bCs/>
          <w:sz w:val="24"/>
          <w:szCs w:val="24"/>
        </w:rPr>
        <w:t>Legal Lessons Learned: If the allegations of on</w:t>
      </w:r>
      <w:r>
        <w:rPr>
          <w:rFonts w:ascii="Times New Roman" w:hAnsi="Times New Roman"/>
          <w:b/>
          <w:bCs/>
          <w:sz w:val="24"/>
          <w:szCs w:val="24"/>
        </w:rPr>
        <w:t xml:space="preserve"> </w:t>
      </w:r>
      <w:r w:rsidRPr="00D61723">
        <w:rPr>
          <w:rFonts w:ascii="Times New Roman" w:hAnsi="Times New Roman"/>
          <w:b/>
          <w:bCs/>
          <w:sz w:val="24"/>
          <w:szCs w:val="24"/>
        </w:rPr>
        <w:t xml:space="preserve">duty sex, pornography, and similar items are true, the FD needs new leadership. </w:t>
      </w:r>
    </w:p>
    <w:p w14:paraId="7D06FED1" w14:textId="3AB32090" w:rsidR="000F18B0" w:rsidRDefault="000F18B0" w:rsidP="00F326E5">
      <w:pPr>
        <w:pStyle w:val="NoSpacing"/>
        <w:rPr>
          <w:rFonts w:ascii="Arial Black" w:hAnsi="Arial Black"/>
          <w:sz w:val="24"/>
          <w:szCs w:val="24"/>
        </w:rPr>
      </w:pPr>
    </w:p>
    <w:p w14:paraId="04F50444" w14:textId="77777777" w:rsidR="000F18B0" w:rsidRDefault="000F18B0" w:rsidP="00F326E5">
      <w:pPr>
        <w:pStyle w:val="NoSpacing"/>
        <w:rPr>
          <w:rFonts w:ascii="Arial Black" w:hAnsi="Arial Black"/>
          <w:sz w:val="24"/>
          <w:szCs w:val="24"/>
        </w:rPr>
      </w:pPr>
    </w:p>
    <w:p w14:paraId="7E367CCF" w14:textId="516A7B3F" w:rsidR="0066298F" w:rsidRDefault="0066298F" w:rsidP="00F326E5">
      <w:pPr>
        <w:pStyle w:val="NoSpacing"/>
        <w:rPr>
          <w:rFonts w:ascii="Arial Black" w:hAnsi="Arial Black"/>
          <w:sz w:val="24"/>
          <w:szCs w:val="24"/>
        </w:rPr>
      </w:pPr>
      <w:r>
        <w:rPr>
          <w:rFonts w:ascii="Arial Black" w:hAnsi="Arial Black"/>
          <w:sz w:val="24"/>
          <w:szCs w:val="24"/>
        </w:rPr>
        <w:t>16-27</w:t>
      </w:r>
    </w:p>
    <w:p w14:paraId="6F23AF0E" w14:textId="46FF9C7A" w:rsidR="0066298F" w:rsidRDefault="0066298F" w:rsidP="00F326E5">
      <w:pPr>
        <w:pStyle w:val="NoSpacing"/>
        <w:rPr>
          <w:rFonts w:ascii="Arial Black" w:hAnsi="Arial Black"/>
          <w:sz w:val="24"/>
          <w:szCs w:val="24"/>
        </w:rPr>
      </w:pPr>
    </w:p>
    <w:p w14:paraId="3774EEE8" w14:textId="77777777" w:rsidR="0066298F" w:rsidRPr="002E0D86" w:rsidRDefault="0066298F" w:rsidP="0066298F">
      <w:pPr>
        <w:pStyle w:val="NoSpacing"/>
        <w:rPr>
          <w:rFonts w:ascii="Arial Black" w:hAnsi="Arial Black"/>
          <w:sz w:val="28"/>
          <w:szCs w:val="28"/>
        </w:rPr>
      </w:pPr>
      <w:r w:rsidRPr="002E0D86">
        <w:rPr>
          <w:rFonts w:ascii="Arial Black" w:hAnsi="Arial Black"/>
          <w:sz w:val="28"/>
          <w:szCs w:val="28"/>
        </w:rPr>
        <w:t xml:space="preserve">TN: </w:t>
      </w:r>
      <w:r>
        <w:rPr>
          <w:rFonts w:ascii="Arial Black" w:hAnsi="Arial Black"/>
          <w:sz w:val="28"/>
          <w:szCs w:val="28"/>
        </w:rPr>
        <w:t xml:space="preserve">FF OFF DUTY, POINTED FIREARM AT TWO MEN AT POLITICAL RALLY – FIRED - GIVEN “LOUDERMILL HEARING” BY FIRE CHIEF </w:t>
      </w:r>
    </w:p>
    <w:p w14:paraId="1BFDFEFE" w14:textId="77777777" w:rsidR="0066298F" w:rsidRDefault="0066298F" w:rsidP="0066298F">
      <w:pPr>
        <w:pStyle w:val="NoSpacing"/>
        <w:rPr>
          <w:b/>
          <w:bCs/>
          <w:sz w:val="24"/>
          <w:szCs w:val="24"/>
        </w:rPr>
      </w:pPr>
    </w:p>
    <w:p w14:paraId="7A2C1F66" w14:textId="77777777" w:rsidR="0066298F" w:rsidRPr="00665BD0" w:rsidRDefault="0066298F" w:rsidP="0066298F">
      <w:pPr>
        <w:pStyle w:val="NoSpacing"/>
        <w:rPr>
          <w:rFonts w:ascii="Times New Roman" w:hAnsi="Times New Roman"/>
          <w:b/>
          <w:bCs/>
          <w:sz w:val="24"/>
          <w:szCs w:val="24"/>
        </w:rPr>
      </w:pPr>
      <w:r w:rsidRPr="00665BD0">
        <w:rPr>
          <w:rFonts w:ascii="Times New Roman" w:hAnsi="Times New Roman"/>
          <w:bCs/>
          <w:sz w:val="24"/>
          <w:szCs w:val="24"/>
        </w:rPr>
        <w:t xml:space="preserve">On March 18, 2020, in </w:t>
      </w:r>
      <w:r w:rsidRPr="00665BD0">
        <w:rPr>
          <w:rFonts w:ascii="Times New Roman" w:hAnsi="Times New Roman"/>
          <w:bCs/>
          <w:sz w:val="24"/>
          <w:szCs w:val="24"/>
          <w:u w:val="single"/>
        </w:rPr>
        <w:t>Paul Zachary Moss v. Shelby County Civil Service Merit Board</w:t>
      </w:r>
      <w:r w:rsidRPr="00665BD0">
        <w:rPr>
          <w:rFonts w:ascii="Times New Roman" w:hAnsi="Times New Roman"/>
          <w:bCs/>
          <w:sz w:val="24"/>
          <w:szCs w:val="24"/>
        </w:rPr>
        <w:t xml:space="preserve">, the Supreme Court of Tennessee, at Jackson, held (5 to 0) that the FD provided due process to the firefighter, reversing the decision by the TN Court of Appeals.  In addition to the </w:t>
      </w:r>
      <w:proofErr w:type="gramStart"/>
      <w:r w:rsidRPr="00665BD0">
        <w:rPr>
          <w:rFonts w:ascii="Times New Roman" w:hAnsi="Times New Roman"/>
          <w:bCs/>
          <w:sz w:val="24"/>
          <w:szCs w:val="24"/>
        </w:rPr>
        <w:t>November,</w:t>
      </w:r>
      <w:proofErr w:type="gramEnd"/>
      <w:r w:rsidRPr="00665BD0">
        <w:rPr>
          <w:rFonts w:ascii="Times New Roman" w:hAnsi="Times New Roman"/>
          <w:bCs/>
          <w:sz w:val="24"/>
          <w:szCs w:val="24"/>
        </w:rPr>
        <w:t xml:space="preserve"> 2013 aggravated assault with firearm, the Fire Chief during the pre-termination </w:t>
      </w:r>
      <w:r w:rsidRPr="00665BD0">
        <w:rPr>
          <w:rFonts w:ascii="Times New Roman" w:hAnsi="Times New Roman"/>
          <w:bCs/>
          <w:i/>
          <w:iCs/>
          <w:sz w:val="24"/>
          <w:szCs w:val="24"/>
        </w:rPr>
        <w:t xml:space="preserve">Loudermill </w:t>
      </w:r>
      <w:r w:rsidRPr="00665BD0">
        <w:rPr>
          <w:rFonts w:ascii="Times New Roman" w:hAnsi="Times New Roman"/>
          <w:bCs/>
          <w:sz w:val="24"/>
          <w:szCs w:val="24"/>
        </w:rPr>
        <w:t>hearing also inquired about police records which showed that in March 2011, police arrested Mr. Moss on charges of public intoxication and possession of a firearm while under the influence of alcohol. Police records also showed that in October 2012, a police officer responded to a domestic violence call during which Mrs. Moss stated that Mr. Moss had assaulted her</w:t>
      </w:r>
      <w:r w:rsidRPr="00665BD0">
        <w:rPr>
          <w:rFonts w:ascii="Times New Roman" w:hAnsi="Times New Roman"/>
          <w:sz w:val="24"/>
          <w:szCs w:val="24"/>
        </w:rPr>
        <w:t>.</w:t>
      </w:r>
    </w:p>
    <w:p w14:paraId="09BD970D" w14:textId="77777777" w:rsidR="0066298F" w:rsidRDefault="0066298F" w:rsidP="0066298F">
      <w:pPr>
        <w:pStyle w:val="NoSpacing"/>
        <w:ind w:left="720"/>
        <w:rPr>
          <w:rFonts w:ascii="Times New Roman" w:hAnsi="Times New Roman"/>
          <w:bCs/>
          <w:sz w:val="24"/>
          <w:szCs w:val="24"/>
        </w:rPr>
      </w:pPr>
    </w:p>
    <w:p w14:paraId="49587F1A"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 xml:space="preserve">“Based on the pre-termination </w:t>
      </w:r>
      <w:r w:rsidRPr="00665BD0">
        <w:rPr>
          <w:rFonts w:ascii="Times New Roman" w:hAnsi="Times New Roman"/>
          <w:bCs/>
          <w:i/>
          <w:iCs/>
          <w:sz w:val="24"/>
          <w:szCs w:val="24"/>
        </w:rPr>
        <w:t xml:space="preserve">Loudermill </w:t>
      </w:r>
      <w:r w:rsidRPr="00665BD0">
        <w:rPr>
          <w:rFonts w:ascii="Times New Roman" w:hAnsi="Times New Roman"/>
          <w:bCs/>
          <w:sz w:val="24"/>
          <w:szCs w:val="24"/>
        </w:rPr>
        <w:t xml:space="preserve">notice, the questions during the </w:t>
      </w:r>
      <w:r w:rsidRPr="00665BD0">
        <w:rPr>
          <w:rFonts w:ascii="Times New Roman" w:hAnsi="Times New Roman"/>
          <w:bCs/>
          <w:i/>
          <w:iCs/>
          <w:sz w:val="24"/>
          <w:szCs w:val="24"/>
        </w:rPr>
        <w:t xml:space="preserve">Loudermill </w:t>
      </w:r>
      <w:r w:rsidRPr="00665BD0">
        <w:rPr>
          <w:rFonts w:ascii="Times New Roman" w:hAnsi="Times New Roman"/>
          <w:bCs/>
          <w:sz w:val="24"/>
          <w:szCs w:val="24"/>
        </w:rPr>
        <w:t xml:space="preserve">hearing, and the contents of the termination letter, we conclude that Mr. Moss had sufficient notice that his conduct during the November 2013 altercation and his answers about the 2011 and 2012 incidents were reasons for his termination. Mr. Moss received adequate notice of the factual allegations against him and had an opportunity to prepare for his hearing before the Board. His contention that the Fire Department violated his due process rights lacks merit.” </w:t>
      </w:r>
      <w:hyperlink r:id="rId2798" w:history="1">
        <w:r w:rsidRPr="00665BD0">
          <w:rPr>
            <w:rStyle w:val="Hyperlink"/>
            <w:rFonts w:ascii="Times New Roman" w:hAnsi="Times New Roman"/>
            <w:b/>
            <w:sz w:val="24"/>
            <w:szCs w:val="24"/>
          </w:rPr>
          <w:t>http://www.tncourts.gov/sites/default/files/moss.paul_.opn_.pdf</w:t>
        </w:r>
      </w:hyperlink>
      <w:r w:rsidRPr="00665BD0">
        <w:rPr>
          <w:rFonts w:ascii="Times New Roman" w:hAnsi="Times New Roman"/>
          <w:bCs/>
          <w:sz w:val="24"/>
          <w:szCs w:val="24"/>
        </w:rPr>
        <w:t xml:space="preserve"> </w:t>
      </w:r>
    </w:p>
    <w:p w14:paraId="5722DFD7" w14:textId="6BD9C000" w:rsidR="0066298F" w:rsidRDefault="0066298F" w:rsidP="00F326E5">
      <w:pPr>
        <w:pStyle w:val="NoSpacing"/>
        <w:rPr>
          <w:rFonts w:ascii="Arial Black" w:hAnsi="Arial Black"/>
          <w:sz w:val="24"/>
          <w:szCs w:val="24"/>
        </w:rPr>
      </w:pPr>
    </w:p>
    <w:p w14:paraId="0BADF1DA" w14:textId="77777777" w:rsidR="0066298F" w:rsidRPr="00665BD0" w:rsidRDefault="0066298F" w:rsidP="0066298F">
      <w:pPr>
        <w:pStyle w:val="NoSpacing"/>
        <w:rPr>
          <w:rFonts w:ascii="Times New Roman" w:hAnsi="Times New Roman"/>
          <w:b/>
          <w:bCs/>
          <w:sz w:val="24"/>
          <w:szCs w:val="24"/>
        </w:rPr>
      </w:pPr>
      <w:r w:rsidRPr="00665BD0">
        <w:rPr>
          <w:rFonts w:ascii="Times New Roman" w:hAnsi="Times New Roman"/>
          <w:b/>
          <w:bCs/>
          <w:sz w:val="24"/>
          <w:szCs w:val="24"/>
        </w:rPr>
        <w:t xml:space="preserve">Legal Lessons Learned: The FD wisely </w:t>
      </w:r>
      <w:r>
        <w:rPr>
          <w:rFonts w:ascii="Times New Roman" w:hAnsi="Times New Roman"/>
          <w:b/>
          <w:bCs/>
          <w:sz w:val="24"/>
          <w:szCs w:val="24"/>
        </w:rPr>
        <w:t xml:space="preserve">issued the firefighter </w:t>
      </w:r>
      <w:r w:rsidRPr="00665BD0">
        <w:rPr>
          <w:rFonts w:ascii="Times New Roman" w:hAnsi="Times New Roman"/>
          <w:b/>
          <w:bCs/>
          <w:sz w:val="24"/>
          <w:szCs w:val="24"/>
        </w:rPr>
        <w:t xml:space="preserve">a written notice of potential violations of FD </w:t>
      </w:r>
      <w:proofErr w:type="gramStart"/>
      <w:r w:rsidRPr="00665BD0">
        <w:rPr>
          <w:rFonts w:ascii="Times New Roman" w:hAnsi="Times New Roman"/>
          <w:b/>
          <w:bCs/>
          <w:sz w:val="24"/>
          <w:szCs w:val="24"/>
        </w:rPr>
        <w:t>policies, and</w:t>
      </w:r>
      <w:proofErr w:type="gramEnd"/>
      <w:r w:rsidRPr="00665BD0">
        <w:rPr>
          <w:rFonts w:ascii="Times New Roman" w:hAnsi="Times New Roman"/>
          <w:b/>
          <w:bCs/>
          <w:sz w:val="24"/>
          <w:szCs w:val="24"/>
        </w:rPr>
        <w:t xml:space="preserve"> </w:t>
      </w:r>
      <w:r>
        <w:rPr>
          <w:rFonts w:ascii="Times New Roman" w:hAnsi="Times New Roman"/>
          <w:b/>
          <w:bCs/>
          <w:sz w:val="24"/>
          <w:szCs w:val="24"/>
        </w:rPr>
        <w:t xml:space="preserve">provided </w:t>
      </w:r>
      <w:r w:rsidRPr="00665BD0">
        <w:rPr>
          <w:rFonts w:ascii="Times New Roman" w:hAnsi="Times New Roman"/>
          <w:b/>
          <w:bCs/>
          <w:sz w:val="24"/>
          <w:szCs w:val="24"/>
        </w:rPr>
        <w:t xml:space="preserve">a </w:t>
      </w:r>
      <w:r w:rsidRPr="00665BD0">
        <w:rPr>
          <w:rFonts w:ascii="Times New Roman" w:hAnsi="Times New Roman"/>
          <w:b/>
          <w:bCs/>
          <w:i/>
          <w:iCs/>
          <w:sz w:val="24"/>
          <w:szCs w:val="24"/>
        </w:rPr>
        <w:t xml:space="preserve">Loudermill </w:t>
      </w:r>
      <w:r w:rsidRPr="00665BD0">
        <w:rPr>
          <w:rFonts w:ascii="Times New Roman" w:hAnsi="Times New Roman"/>
          <w:b/>
          <w:bCs/>
          <w:sz w:val="24"/>
          <w:szCs w:val="24"/>
        </w:rPr>
        <w:t xml:space="preserve">meeting with the Fire Chief and Deputy Chief.  </w:t>
      </w:r>
    </w:p>
    <w:p w14:paraId="2B23E381" w14:textId="77777777" w:rsidR="0066298F" w:rsidRPr="00665BD0" w:rsidRDefault="0066298F" w:rsidP="0066298F">
      <w:pPr>
        <w:pStyle w:val="NoSpacing"/>
        <w:tabs>
          <w:tab w:val="left" w:pos="3270"/>
        </w:tabs>
        <w:rPr>
          <w:rFonts w:ascii="Times New Roman" w:hAnsi="Times New Roman"/>
          <w:b/>
          <w:bCs/>
          <w:sz w:val="24"/>
          <w:szCs w:val="24"/>
        </w:rPr>
      </w:pPr>
    </w:p>
    <w:p w14:paraId="1ADBA541" w14:textId="77777777" w:rsidR="0066298F" w:rsidRPr="006B490F" w:rsidRDefault="0066298F" w:rsidP="0066298F">
      <w:pPr>
        <w:pStyle w:val="NoSpacing"/>
        <w:rPr>
          <w:b/>
          <w:bCs/>
          <w:sz w:val="24"/>
          <w:szCs w:val="24"/>
        </w:rPr>
      </w:pPr>
    </w:p>
    <w:p w14:paraId="6A3B0A77" w14:textId="77777777" w:rsidR="0066298F" w:rsidRDefault="0066298F" w:rsidP="00F326E5">
      <w:pPr>
        <w:pStyle w:val="NoSpacing"/>
        <w:rPr>
          <w:rFonts w:ascii="Arial Black" w:hAnsi="Arial Black"/>
          <w:sz w:val="24"/>
          <w:szCs w:val="24"/>
        </w:rPr>
      </w:pPr>
    </w:p>
    <w:p w14:paraId="3651EEF2" w14:textId="6C4D3D71" w:rsidR="0066298F" w:rsidRDefault="0066298F" w:rsidP="00F326E5">
      <w:pPr>
        <w:pStyle w:val="NoSpacing"/>
        <w:rPr>
          <w:rFonts w:ascii="Arial Black" w:hAnsi="Arial Black"/>
          <w:sz w:val="24"/>
          <w:szCs w:val="24"/>
        </w:rPr>
      </w:pPr>
      <w:r>
        <w:rPr>
          <w:rFonts w:ascii="Arial Black" w:hAnsi="Arial Black"/>
          <w:sz w:val="24"/>
          <w:szCs w:val="24"/>
        </w:rPr>
        <w:t>16-26</w:t>
      </w:r>
    </w:p>
    <w:p w14:paraId="7CEC38C2" w14:textId="0D4A5CD2" w:rsidR="0066298F" w:rsidRDefault="0066298F" w:rsidP="00F326E5">
      <w:pPr>
        <w:pStyle w:val="NoSpacing"/>
        <w:rPr>
          <w:rFonts w:ascii="Arial Black" w:hAnsi="Arial Black"/>
          <w:sz w:val="24"/>
          <w:szCs w:val="24"/>
        </w:rPr>
      </w:pPr>
    </w:p>
    <w:p w14:paraId="04AEEBCE" w14:textId="77777777" w:rsidR="0066298F" w:rsidRPr="00186EE7" w:rsidRDefault="0066298F" w:rsidP="0066298F">
      <w:pPr>
        <w:pStyle w:val="NoSpacing"/>
        <w:rPr>
          <w:rFonts w:ascii="Arial Black" w:hAnsi="Arial Black"/>
          <w:b/>
          <w:bCs/>
          <w:sz w:val="28"/>
          <w:szCs w:val="28"/>
        </w:rPr>
      </w:pPr>
      <w:r>
        <w:rPr>
          <w:rFonts w:ascii="Arial Black" w:hAnsi="Arial Black"/>
          <w:bCs/>
          <w:sz w:val="28"/>
          <w:szCs w:val="28"/>
        </w:rPr>
        <w:lastRenderedPageBreak/>
        <w:t>IN: FF REPEATEDLY LATE FOR WORK &amp; ABSENT WITHOUT LEAVE – PROGRESSIVE DISCIPLINE – TERMINATION UPHELD</w:t>
      </w:r>
    </w:p>
    <w:p w14:paraId="4598FECC" w14:textId="77777777" w:rsidR="0066298F" w:rsidRDefault="0066298F" w:rsidP="0066298F">
      <w:pPr>
        <w:pStyle w:val="NoSpacing"/>
        <w:rPr>
          <w:b/>
          <w:bCs/>
          <w:sz w:val="24"/>
          <w:szCs w:val="24"/>
        </w:rPr>
      </w:pPr>
    </w:p>
    <w:p w14:paraId="1973C475" w14:textId="77777777" w:rsidR="0066298F" w:rsidRPr="00665BD0" w:rsidRDefault="0066298F" w:rsidP="0066298F">
      <w:pPr>
        <w:pStyle w:val="NoSpacing"/>
        <w:rPr>
          <w:rFonts w:ascii="Times New Roman" w:hAnsi="Times New Roman"/>
          <w:b/>
          <w:bCs/>
          <w:sz w:val="24"/>
          <w:szCs w:val="24"/>
        </w:rPr>
      </w:pPr>
      <w:r w:rsidRPr="00665BD0">
        <w:rPr>
          <w:rFonts w:ascii="Times New Roman" w:hAnsi="Times New Roman"/>
          <w:bCs/>
          <w:sz w:val="24"/>
          <w:szCs w:val="24"/>
        </w:rPr>
        <w:t xml:space="preserve">On March 6, 2020, in </w:t>
      </w:r>
      <w:r w:rsidRPr="00665BD0">
        <w:rPr>
          <w:rFonts w:ascii="Times New Roman" w:hAnsi="Times New Roman"/>
          <w:bCs/>
          <w:sz w:val="24"/>
          <w:szCs w:val="24"/>
          <w:u w:val="single"/>
        </w:rPr>
        <w:t>Kevin D. Jones v. City of Muncie Fire Merit Commission</w:t>
      </w:r>
      <w:r w:rsidRPr="00665BD0">
        <w:rPr>
          <w:rFonts w:ascii="Times New Roman" w:hAnsi="Times New Roman"/>
          <w:bCs/>
          <w:sz w:val="24"/>
          <w:szCs w:val="24"/>
        </w:rPr>
        <w:t xml:space="preserve">, the Court of Appeals of Indiana, held (3 to 0) that the trial court properly upheld the Commission. </w:t>
      </w:r>
    </w:p>
    <w:p w14:paraId="09448902" w14:textId="77777777" w:rsidR="0066298F" w:rsidRPr="00665BD0" w:rsidRDefault="0066298F" w:rsidP="0066298F">
      <w:pPr>
        <w:pStyle w:val="NoSpacing"/>
        <w:rPr>
          <w:rFonts w:ascii="Times New Roman" w:hAnsi="Times New Roman"/>
          <w:b/>
          <w:bCs/>
          <w:sz w:val="24"/>
          <w:szCs w:val="24"/>
        </w:rPr>
      </w:pPr>
    </w:p>
    <w:p w14:paraId="2548D6AA"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 xml:space="preserve">“We, therefore, conclude that there was substantial, relevant evidence presented to support the decision by the Commission to terminate Johanns’s employment. The evidence presented was sufficient to lead a reasonable person to support the conclusion to terminate the employment of Johanns, and the decision was not arbitrary and capricious. The trial court did not err in upholding the Commission’s decision. *** The Commission found that Johanns’s overall performance as a firefighter was poor, that he neglected his duties as a firefighter, disobeyed orders, and was absent without leave and concluded that Johanns’s employment should be terminated.” </w:t>
      </w:r>
      <w:hyperlink r:id="rId2799" w:history="1">
        <w:r w:rsidRPr="00665BD0">
          <w:rPr>
            <w:rStyle w:val="Hyperlink"/>
            <w:rFonts w:ascii="Times New Roman" w:hAnsi="Times New Roman"/>
            <w:b/>
            <w:sz w:val="24"/>
            <w:szCs w:val="24"/>
          </w:rPr>
          <w:t>https://www.in.gov/judiciary/opinions/pdf/03062003jsk.pdf</w:t>
        </w:r>
      </w:hyperlink>
      <w:r w:rsidRPr="00665BD0">
        <w:rPr>
          <w:rFonts w:ascii="Times New Roman" w:hAnsi="Times New Roman"/>
          <w:bCs/>
          <w:sz w:val="24"/>
          <w:szCs w:val="24"/>
        </w:rPr>
        <w:t xml:space="preserve"> </w:t>
      </w:r>
    </w:p>
    <w:p w14:paraId="60A80EB8" w14:textId="77777777" w:rsidR="0066298F" w:rsidRDefault="0066298F" w:rsidP="0066298F">
      <w:pPr>
        <w:pStyle w:val="NoSpacing"/>
        <w:rPr>
          <w:rFonts w:ascii="Times New Roman" w:hAnsi="Times New Roman"/>
          <w:b/>
          <w:bCs/>
          <w:sz w:val="24"/>
          <w:szCs w:val="24"/>
        </w:rPr>
      </w:pPr>
    </w:p>
    <w:p w14:paraId="00FEFEDF" w14:textId="3AC14E23" w:rsidR="0066298F" w:rsidRPr="00665BD0" w:rsidRDefault="0066298F" w:rsidP="0066298F">
      <w:pPr>
        <w:pStyle w:val="NoSpacing"/>
        <w:rPr>
          <w:rFonts w:ascii="Times New Roman" w:hAnsi="Times New Roman"/>
          <w:b/>
          <w:bCs/>
          <w:sz w:val="24"/>
          <w:szCs w:val="24"/>
        </w:rPr>
      </w:pPr>
      <w:r w:rsidRPr="00665BD0">
        <w:rPr>
          <w:rFonts w:ascii="Times New Roman" w:hAnsi="Times New Roman"/>
          <w:b/>
          <w:bCs/>
          <w:sz w:val="24"/>
          <w:szCs w:val="24"/>
        </w:rPr>
        <w:t xml:space="preserve">Legal Lessons Learned: The FD followed progressive </w:t>
      </w:r>
      <w:proofErr w:type="gramStart"/>
      <w:r w:rsidRPr="00665BD0">
        <w:rPr>
          <w:rFonts w:ascii="Times New Roman" w:hAnsi="Times New Roman"/>
          <w:b/>
          <w:bCs/>
          <w:sz w:val="24"/>
          <w:szCs w:val="24"/>
        </w:rPr>
        <w:t>discipline,</w:t>
      </w:r>
      <w:r w:rsidR="00B0089C">
        <w:rPr>
          <w:rFonts w:ascii="Times New Roman" w:hAnsi="Times New Roman"/>
          <w:b/>
          <w:bCs/>
          <w:sz w:val="24"/>
          <w:szCs w:val="24"/>
        </w:rPr>
        <w:t xml:space="preserve">  </w:t>
      </w:r>
      <w:r w:rsidRPr="00665BD0">
        <w:rPr>
          <w:rFonts w:ascii="Times New Roman" w:hAnsi="Times New Roman"/>
          <w:b/>
          <w:bCs/>
          <w:sz w:val="24"/>
          <w:szCs w:val="24"/>
        </w:rPr>
        <w:t>and</w:t>
      </w:r>
      <w:proofErr w:type="gramEnd"/>
      <w:r w:rsidRPr="00665BD0">
        <w:rPr>
          <w:rFonts w:ascii="Times New Roman" w:hAnsi="Times New Roman"/>
          <w:b/>
          <w:bCs/>
          <w:sz w:val="24"/>
          <w:szCs w:val="24"/>
        </w:rPr>
        <w:t xml:space="preserve"> documented </w:t>
      </w:r>
      <w:r>
        <w:rPr>
          <w:rFonts w:ascii="Times New Roman" w:hAnsi="Times New Roman"/>
          <w:b/>
          <w:bCs/>
          <w:sz w:val="24"/>
          <w:szCs w:val="24"/>
        </w:rPr>
        <w:t xml:space="preserve">the </w:t>
      </w:r>
      <w:r w:rsidRPr="00665BD0">
        <w:rPr>
          <w:rFonts w:ascii="Times New Roman" w:hAnsi="Times New Roman"/>
          <w:b/>
          <w:bCs/>
          <w:sz w:val="24"/>
          <w:szCs w:val="24"/>
        </w:rPr>
        <w:t xml:space="preserve">poor performance issues.   </w:t>
      </w:r>
    </w:p>
    <w:p w14:paraId="78D7AA58" w14:textId="77777777" w:rsidR="0066298F" w:rsidRDefault="0066298F" w:rsidP="00F326E5">
      <w:pPr>
        <w:pStyle w:val="NoSpacing"/>
        <w:rPr>
          <w:rFonts w:ascii="Arial Black" w:hAnsi="Arial Black"/>
          <w:sz w:val="24"/>
          <w:szCs w:val="24"/>
        </w:rPr>
      </w:pPr>
    </w:p>
    <w:p w14:paraId="7A92CDB5" w14:textId="5BD66274" w:rsidR="0066298F" w:rsidRDefault="0066298F" w:rsidP="00F326E5">
      <w:pPr>
        <w:pStyle w:val="NoSpacing"/>
        <w:rPr>
          <w:rFonts w:ascii="Arial Black" w:hAnsi="Arial Black"/>
          <w:sz w:val="24"/>
          <w:szCs w:val="24"/>
        </w:rPr>
      </w:pPr>
      <w:r>
        <w:rPr>
          <w:rFonts w:ascii="Arial Black" w:hAnsi="Arial Black"/>
          <w:sz w:val="24"/>
          <w:szCs w:val="24"/>
        </w:rPr>
        <w:t>16-25</w:t>
      </w:r>
    </w:p>
    <w:p w14:paraId="4A8BDF0C" w14:textId="72F8A034" w:rsidR="0066298F" w:rsidRDefault="0066298F" w:rsidP="00F326E5">
      <w:pPr>
        <w:pStyle w:val="NoSpacing"/>
        <w:rPr>
          <w:rFonts w:ascii="Arial Black" w:hAnsi="Arial Black"/>
          <w:sz w:val="24"/>
          <w:szCs w:val="24"/>
        </w:rPr>
      </w:pPr>
    </w:p>
    <w:p w14:paraId="04AE90C4" w14:textId="77777777" w:rsidR="0066298F" w:rsidRPr="005D736B" w:rsidRDefault="0066298F" w:rsidP="0066298F">
      <w:pPr>
        <w:pStyle w:val="NoSpacing"/>
        <w:rPr>
          <w:rFonts w:ascii="Arial Black" w:hAnsi="Arial Black"/>
          <w:sz w:val="28"/>
          <w:szCs w:val="28"/>
        </w:rPr>
      </w:pPr>
      <w:r w:rsidRPr="005D736B">
        <w:rPr>
          <w:rFonts w:ascii="Arial Black" w:hAnsi="Arial Black"/>
          <w:sz w:val="28"/>
          <w:szCs w:val="28"/>
        </w:rPr>
        <w:t xml:space="preserve">AR: </w:t>
      </w:r>
      <w:r>
        <w:rPr>
          <w:rFonts w:ascii="Arial Black" w:hAnsi="Arial Black"/>
          <w:sz w:val="28"/>
          <w:szCs w:val="28"/>
        </w:rPr>
        <w:t xml:space="preserve">PROB. </w:t>
      </w:r>
      <w:r w:rsidRPr="005D736B">
        <w:rPr>
          <w:rFonts w:ascii="Arial Black" w:hAnsi="Arial Black"/>
          <w:sz w:val="28"/>
          <w:szCs w:val="28"/>
        </w:rPr>
        <w:t>FF</w:t>
      </w:r>
      <w:r>
        <w:rPr>
          <w:rFonts w:ascii="Arial Black" w:hAnsi="Arial Black"/>
          <w:sz w:val="28"/>
          <w:szCs w:val="28"/>
        </w:rPr>
        <w:t xml:space="preserve"> – WARNED OF POOR JOB PERFORMANCE – FIRED – VERY WELL DOCUMENTED – </w:t>
      </w:r>
      <w:r w:rsidRPr="005D736B">
        <w:rPr>
          <w:rFonts w:ascii="Arial Black" w:hAnsi="Arial Black"/>
          <w:sz w:val="28"/>
          <w:szCs w:val="28"/>
        </w:rPr>
        <w:t>NO</w:t>
      </w:r>
      <w:r>
        <w:rPr>
          <w:rFonts w:ascii="Arial Black" w:hAnsi="Arial Black"/>
          <w:sz w:val="28"/>
          <w:szCs w:val="28"/>
        </w:rPr>
        <w:t xml:space="preserve"> RETALIATION FOR HIS WORK COMP CLAIM</w:t>
      </w:r>
      <w:r w:rsidRPr="005D736B">
        <w:rPr>
          <w:rFonts w:ascii="Arial Black" w:hAnsi="Arial Black"/>
          <w:sz w:val="28"/>
          <w:szCs w:val="28"/>
        </w:rPr>
        <w:t xml:space="preserve"> </w:t>
      </w:r>
      <w:r>
        <w:rPr>
          <w:rFonts w:ascii="Arial Black" w:hAnsi="Arial Black"/>
          <w:sz w:val="28"/>
          <w:szCs w:val="28"/>
        </w:rPr>
        <w:t xml:space="preserve"> </w:t>
      </w:r>
    </w:p>
    <w:p w14:paraId="37F46574" w14:textId="77777777" w:rsidR="0066298F" w:rsidRDefault="0066298F" w:rsidP="0066298F">
      <w:pPr>
        <w:pStyle w:val="NoSpacing"/>
      </w:pPr>
    </w:p>
    <w:p w14:paraId="35E4DA19" w14:textId="77777777" w:rsidR="0066298F" w:rsidRPr="00665BD0" w:rsidRDefault="0066298F" w:rsidP="0066298F">
      <w:pPr>
        <w:pStyle w:val="NoSpacing"/>
        <w:rPr>
          <w:rFonts w:ascii="Times New Roman" w:hAnsi="Times New Roman"/>
          <w:b/>
          <w:bCs/>
          <w:sz w:val="24"/>
          <w:szCs w:val="24"/>
        </w:rPr>
      </w:pPr>
      <w:r w:rsidRPr="00665BD0">
        <w:rPr>
          <w:rFonts w:ascii="Times New Roman" w:hAnsi="Times New Roman"/>
          <w:bCs/>
          <w:sz w:val="24"/>
          <w:szCs w:val="24"/>
        </w:rPr>
        <w:t xml:space="preserve">On March 5, 2020, in </w:t>
      </w:r>
      <w:r w:rsidRPr="00665BD0">
        <w:rPr>
          <w:rFonts w:ascii="Times New Roman" w:hAnsi="Times New Roman"/>
          <w:bCs/>
          <w:sz w:val="24"/>
          <w:szCs w:val="24"/>
          <w:u w:val="single"/>
        </w:rPr>
        <w:t>Michael Burroughs v. City of Tucson</w:t>
      </w:r>
      <w:r w:rsidRPr="00665BD0">
        <w:rPr>
          <w:rFonts w:ascii="Times New Roman" w:hAnsi="Times New Roman"/>
          <w:bCs/>
          <w:sz w:val="24"/>
          <w:szCs w:val="24"/>
        </w:rPr>
        <w:t xml:space="preserve">, the U.S. Court of Appeals for the Ninth Circuit (San Francisco), held (3 to 0) in an unpublished decision that the trial court properly granted summary judgment to the City.  He was repeated informed of his “Job </w:t>
      </w:r>
      <w:proofErr w:type="gramStart"/>
      <w:r w:rsidRPr="00665BD0">
        <w:rPr>
          <w:rFonts w:ascii="Times New Roman" w:hAnsi="Times New Roman"/>
          <w:bCs/>
          <w:sz w:val="24"/>
          <w:szCs w:val="24"/>
        </w:rPr>
        <w:t>In</w:t>
      </w:r>
      <w:proofErr w:type="gramEnd"/>
      <w:r w:rsidRPr="00665BD0">
        <w:rPr>
          <w:rFonts w:ascii="Times New Roman" w:hAnsi="Times New Roman"/>
          <w:bCs/>
          <w:sz w:val="24"/>
          <w:szCs w:val="24"/>
        </w:rPr>
        <w:t xml:space="preserve"> Jeopardy” status after barely graduating from the Training Academy. For example: “On or about October 19, 2015, Plaintiff was given TFD's Performance Evaluation for Probationary Firefighter. Plaintiff's evaluation indicated that he needed improvement on eight (8) out of seventeen (17) categories for which he was provided feedback.”  He was terminated on November 10, 2015 [don’t know when he filed Workers Comp claim.]</w:t>
      </w:r>
    </w:p>
    <w:p w14:paraId="278FCB73" w14:textId="77777777" w:rsidR="0066298F" w:rsidRPr="00665BD0" w:rsidRDefault="0066298F" w:rsidP="0066298F">
      <w:pPr>
        <w:pStyle w:val="NoSpacing"/>
        <w:rPr>
          <w:rFonts w:ascii="Times New Roman" w:hAnsi="Times New Roman"/>
          <w:b/>
          <w:bCs/>
          <w:sz w:val="24"/>
          <w:szCs w:val="24"/>
        </w:rPr>
      </w:pPr>
    </w:p>
    <w:p w14:paraId="5A1EC3A1" w14:textId="77777777" w:rsidR="0066298F" w:rsidRDefault="0066298F" w:rsidP="0066298F">
      <w:pPr>
        <w:pStyle w:val="NoSpacing"/>
        <w:ind w:left="720"/>
        <w:rPr>
          <w:rFonts w:ascii="Times New Roman" w:hAnsi="Times New Roman"/>
          <w:bCs/>
          <w:sz w:val="24"/>
          <w:szCs w:val="24"/>
        </w:rPr>
      </w:pPr>
      <w:r w:rsidRPr="00665BD0">
        <w:rPr>
          <w:rFonts w:ascii="Times New Roman" w:hAnsi="Times New Roman"/>
          <w:bCs/>
          <w:sz w:val="24"/>
          <w:szCs w:val="24"/>
        </w:rPr>
        <w:t>“Michael Burroughs appeals the adverse summary judgment in favor of the City of Tucson on his claims of disability discrimination in violation of Title I of the Americans with Disabilities Act,42 U.S.C.§§12111–</w:t>
      </w:r>
    </w:p>
    <w:p w14:paraId="6943D0F3"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12117 (“ADA”), and retaliation for exercising his workers’ compensation rights in violation of the Arizona Employment Protection Act, A.R.S.§23-1501(A)(3)(c)(iii). We have jurisdiction under 28 U.S.C.§1291, and we affirm.</w:t>
      </w:r>
    </w:p>
    <w:p w14:paraId="69B3F5D5" w14:textId="77777777" w:rsidR="0066298F" w:rsidRPr="00665BD0" w:rsidRDefault="0066298F" w:rsidP="0066298F">
      <w:pPr>
        <w:pStyle w:val="NoSpacing"/>
        <w:ind w:left="720"/>
        <w:rPr>
          <w:rFonts w:ascii="Times New Roman" w:hAnsi="Times New Roman"/>
          <w:b/>
          <w:bCs/>
          <w:sz w:val="24"/>
          <w:szCs w:val="24"/>
        </w:rPr>
      </w:pPr>
    </w:p>
    <w:p w14:paraId="37EADA60" w14:textId="77777777" w:rsidR="0066298F" w:rsidRPr="00665BD0" w:rsidRDefault="0066298F" w:rsidP="0066298F">
      <w:pPr>
        <w:pStyle w:val="NoSpacing"/>
        <w:ind w:left="720"/>
        <w:rPr>
          <w:rFonts w:ascii="Times New Roman" w:hAnsi="Times New Roman"/>
          <w:b/>
          <w:bCs/>
          <w:sz w:val="24"/>
          <w:szCs w:val="24"/>
        </w:rPr>
      </w:pPr>
      <w:r w:rsidRPr="00665BD0">
        <w:rPr>
          <w:rFonts w:ascii="Times New Roman" w:hAnsi="Times New Roman"/>
          <w:bCs/>
          <w:sz w:val="24"/>
          <w:szCs w:val="24"/>
        </w:rPr>
        <w:t xml:space="preserve">When Burroughs hurt his back at the fire academy, a </w:t>
      </w:r>
      <w:proofErr w:type="gramStart"/>
      <w:r w:rsidRPr="00665BD0">
        <w:rPr>
          <w:rFonts w:ascii="Times New Roman" w:hAnsi="Times New Roman"/>
          <w:bCs/>
          <w:sz w:val="24"/>
          <w:szCs w:val="24"/>
        </w:rPr>
        <w:t>City</w:t>
      </w:r>
      <w:proofErr w:type="gramEnd"/>
      <w:r w:rsidRPr="00665BD0">
        <w:rPr>
          <w:rFonts w:ascii="Times New Roman" w:hAnsi="Times New Roman"/>
          <w:bCs/>
          <w:sz w:val="24"/>
          <w:szCs w:val="24"/>
        </w:rPr>
        <w:t xml:space="preserve"> physician evaluated his injury, diagnosed him with a ‘lumbar strain,’ and released him back to work without restriction. Another City physician reached the same conclusion two days later when Burroughs complained of difficulty sitting. And finally, after yet another medical evaluation deeming him fit for duty, Burroughs graduated from the fire academy and started working at his first station. Faced with these medical opinions based on physical examinations, Burroughs’s only contrary evidence is his own conclusory self-assessment. Not quite a genuine factual dispute.”</w:t>
      </w:r>
    </w:p>
    <w:p w14:paraId="47C8613A" w14:textId="77777777" w:rsidR="0066298F" w:rsidRPr="00665BD0" w:rsidRDefault="0066298F" w:rsidP="0066298F">
      <w:pPr>
        <w:pStyle w:val="NoSpacing"/>
        <w:ind w:left="720"/>
        <w:rPr>
          <w:rFonts w:ascii="Times New Roman" w:hAnsi="Times New Roman"/>
          <w:b/>
          <w:bCs/>
          <w:sz w:val="24"/>
          <w:szCs w:val="24"/>
        </w:rPr>
      </w:pPr>
      <w:hyperlink r:id="rId2800" w:history="1">
        <w:r w:rsidRPr="00665BD0">
          <w:rPr>
            <w:rStyle w:val="Hyperlink"/>
            <w:rFonts w:ascii="Times New Roman" w:hAnsi="Times New Roman"/>
            <w:b/>
            <w:sz w:val="24"/>
            <w:szCs w:val="24"/>
          </w:rPr>
          <w:t>https://cases.justia.com/federal/appellate-courts/ca9/18-16994/18-16994-2020-03-05.pdf?ts=1583442068</w:t>
        </w:r>
      </w:hyperlink>
      <w:r w:rsidRPr="00665BD0">
        <w:rPr>
          <w:rFonts w:ascii="Times New Roman" w:hAnsi="Times New Roman"/>
          <w:bCs/>
          <w:sz w:val="24"/>
          <w:szCs w:val="24"/>
        </w:rPr>
        <w:t xml:space="preserve"> </w:t>
      </w:r>
    </w:p>
    <w:p w14:paraId="4726EAB8" w14:textId="6D46CB6E" w:rsidR="0066298F" w:rsidRDefault="0066298F" w:rsidP="00F326E5">
      <w:pPr>
        <w:pStyle w:val="NoSpacing"/>
        <w:rPr>
          <w:rFonts w:ascii="Arial Black" w:hAnsi="Arial Black"/>
          <w:sz w:val="24"/>
          <w:szCs w:val="24"/>
        </w:rPr>
      </w:pPr>
    </w:p>
    <w:p w14:paraId="10CDC48E" w14:textId="77777777" w:rsidR="0066298F" w:rsidRDefault="0066298F" w:rsidP="0066298F">
      <w:pPr>
        <w:pStyle w:val="NoSpacing"/>
        <w:rPr>
          <w:rFonts w:ascii="Times New Roman" w:eastAsia="Times New Roman" w:hAnsi="Times New Roman"/>
          <w:b/>
          <w:bCs/>
          <w:sz w:val="24"/>
          <w:szCs w:val="24"/>
        </w:rPr>
      </w:pPr>
      <w:r w:rsidRPr="00665BD0">
        <w:rPr>
          <w:rFonts w:ascii="Times New Roman" w:hAnsi="Times New Roman"/>
          <w:b/>
          <w:bCs/>
          <w:sz w:val="24"/>
          <w:szCs w:val="24"/>
        </w:rPr>
        <w:t xml:space="preserve">Legal Lessons Learned: The FD did a great job documenting </w:t>
      </w:r>
      <w:proofErr w:type="gramStart"/>
      <w:r w:rsidRPr="00665BD0">
        <w:rPr>
          <w:rFonts w:ascii="Times New Roman" w:hAnsi="Times New Roman"/>
          <w:b/>
          <w:bCs/>
          <w:sz w:val="24"/>
          <w:szCs w:val="24"/>
        </w:rPr>
        <w:t xml:space="preserve">the </w:t>
      </w:r>
      <w:r>
        <w:rPr>
          <w:rFonts w:ascii="Times New Roman" w:hAnsi="Times New Roman"/>
          <w:b/>
          <w:bCs/>
          <w:sz w:val="24"/>
          <w:szCs w:val="24"/>
        </w:rPr>
        <w:t>poor</w:t>
      </w:r>
      <w:proofErr w:type="gramEnd"/>
      <w:r>
        <w:rPr>
          <w:rFonts w:ascii="Times New Roman" w:hAnsi="Times New Roman"/>
          <w:b/>
          <w:bCs/>
          <w:sz w:val="24"/>
          <w:szCs w:val="24"/>
        </w:rPr>
        <w:t xml:space="preserve"> work performance. </w:t>
      </w:r>
    </w:p>
    <w:p w14:paraId="4FF7213D" w14:textId="77777777" w:rsidR="0066298F" w:rsidRDefault="0066298F" w:rsidP="00F326E5">
      <w:pPr>
        <w:pStyle w:val="NoSpacing"/>
        <w:rPr>
          <w:rFonts w:ascii="Arial Black" w:hAnsi="Arial Black"/>
          <w:sz w:val="24"/>
          <w:szCs w:val="24"/>
        </w:rPr>
      </w:pPr>
    </w:p>
    <w:p w14:paraId="7B8856C3" w14:textId="77777777" w:rsidR="0066298F" w:rsidRDefault="0066298F" w:rsidP="00F326E5">
      <w:pPr>
        <w:pStyle w:val="NoSpacing"/>
        <w:rPr>
          <w:rFonts w:ascii="Arial Black" w:hAnsi="Arial Black"/>
          <w:sz w:val="24"/>
          <w:szCs w:val="24"/>
        </w:rPr>
      </w:pPr>
    </w:p>
    <w:p w14:paraId="6D513E6E" w14:textId="6CEA81F4" w:rsidR="007A1E7A" w:rsidRDefault="007A1E7A" w:rsidP="00F326E5">
      <w:pPr>
        <w:pStyle w:val="NoSpacing"/>
        <w:rPr>
          <w:rFonts w:ascii="Arial Black" w:hAnsi="Arial Black"/>
          <w:sz w:val="24"/>
          <w:szCs w:val="24"/>
        </w:rPr>
      </w:pPr>
      <w:r>
        <w:rPr>
          <w:rFonts w:ascii="Arial Black" w:hAnsi="Arial Black"/>
          <w:sz w:val="24"/>
          <w:szCs w:val="24"/>
        </w:rPr>
        <w:t>16-24</w:t>
      </w:r>
    </w:p>
    <w:p w14:paraId="62B045D2" w14:textId="2D785B8D" w:rsidR="007A1E7A" w:rsidRDefault="007A1E7A" w:rsidP="00F326E5">
      <w:pPr>
        <w:pStyle w:val="NoSpacing"/>
        <w:rPr>
          <w:rFonts w:ascii="Arial Black" w:hAnsi="Arial Black"/>
          <w:sz w:val="24"/>
          <w:szCs w:val="24"/>
        </w:rPr>
      </w:pPr>
    </w:p>
    <w:p w14:paraId="73E22A4B" w14:textId="77777777" w:rsidR="007A1E7A" w:rsidRPr="00C34E57" w:rsidRDefault="007A1E7A" w:rsidP="007A1E7A">
      <w:pPr>
        <w:pStyle w:val="NoSpacing"/>
        <w:rPr>
          <w:rFonts w:ascii="Arial Black" w:hAnsi="Arial Black"/>
          <w:sz w:val="28"/>
          <w:szCs w:val="28"/>
        </w:rPr>
      </w:pPr>
      <w:r w:rsidRPr="00C34E57">
        <w:rPr>
          <w:rFonts w:ascii="Arial Black" w:hAnsi="Arial Black"/>
          <w:sz w:val="28"/>
          <w:szCs w:val="28"/>
        </w:rPr>
        <w:t xml:space="preserve">MI: </w:t>
      </w:r>
      <w:r>
        <w:rPr>
          <w:rFonts w:ascii="Arial Black" w:hAnsi="Arial Black"/>
          <w:sz w:val="28"/>
          <w:szCs w:val="28"/>
        </w:rPr>
        <w:t>POLICE CHIEF FIRED – MERGER TWO 911 SYSTEMS - POSTED TAXPAYERS “GETTING THE SHAFT” –– LAWSUIT TO PROCEED</w:t>
      </w:r>
    </w:p>
    <w:p w14:paraId="467D7DA6" w14:textId="77777777" w:rsidR="007A1E7A" w:rsidRPr="004B30C8" w:rsidRDefault="007A1E7A" w:rsidP="007A1E7A">
      <w:pPr>
        <w:spacing w:before="100" w:beforeAutospacing="1" w:after="100" w:afterAutospacing="1" w:line="240" w:lineRule="auto"/>
        <w:rPr>
          <w:rFonts w:ascii="Times New Roman" w:hAnsi="Times New Roman"/>
          <w:sz w:val="24"/>
          <w:szCs w:val="24"/>
        </w:rPr>
      </w:pPr>
      <w:r w:rsidRPr="004B30C8">
        <w:rPr>
          <w:rFonts w:ascii="Times New Roman" w:eastAsia="Times New Roman" w:hAnsi="Times New Roman"/>
          <w:sz w:val="24"/>
          <w:szCs w:val="24"/>
        </w:rPr>
        <w:t xml:space="preserve">On March 2, 2020, in </w:t>
      </w:r>
      <w:r w:rsidRPr="004B30C8">
        <w:rPr>
          <w:rFonts w:ascii="Times New Roman" w:eastAsia="Times New Roman" w:hAnsi="Times New Roman"/>
          <w:sz w:val="24"/>
          <w:szCs w:val="24"/>
          <w:u w:val="single"/>
        </w:rPr>
        <w:t>Chad Hayse v. City of Melvindale</w:t>
      </w:r>
      <w:r w:rsidRPr="004B30C8">
        <w:rPr>
          <w:rFonts w:ascii="Times New Roman" w:eastAsia="Times New Roman" w:hAnsi="Times New Roman"/>
          <w:sz w:val="24"/>
          <w:szCs w:val="24"/>
        </w:rPr>
        <w:t xml:space="preserve">, U.S. District Court Judge </w:t>
      </w:r>
      <w:r w:rsidRPr="004B30C8">
        <w:rPr>
          <w:rFonts w:ascii="Times New Roman" w:hAnsi="Times New Roman"/>
          <w:sz w:val="24"/>
          <w:szCs w:val="24"/>
        </w:rPr>
        <w:t xml:space="preserve">Linda V. Parker, Eastern District of Michigan (Southern Division) denied the City’s motion for summary judgment. The City fired the Police Chief after he posted comments on Facebook page in opposition to the merger of the City’s 911 dispatch with the City of Dearborn’s dispatch; hot issue on which the City Council of Melvindale was going to soon vote. </w:t>
      </w:r>
    </w:p>
    <w:p w14:paraId="574A33A0" w14:textId="77777777" w:rsidR="007A1E7A" w:rsidRPr="004B30C8" w:rsidRDefault="007A1E7A" w:rsidP="007A1E7A">
      <w:pPr>
        <w:pStyle w:val="NoSpacing"/>
        <w:ind w:left="720"/>
        <w:rPr>
          <w:rFonts w:ascii="Times New Roman" w:eastAsia="Times New Roman" w:hAnsi="Times New Roman"/>
          <w:sz w:val="24"/>
          <w:szCs w:val="24"/>
        </w:rPr>
      </w:pPr>
      <w:r w:rsidRPr="004B30C8">
        <w:rPr>
          <w:rFonts w:ascii="Times New Roman" w:hAnsi="Times New Roman"/>
          <w:bCs/>
          <w:sz w:val="24"/>
          <w:szCs w:val="24"/>
        </w:rPr>
        <w:t xml:space="preserve">“In 2016, City Council readied itself to vote on the proposed merger of Melvindale's and the City of Dearborn's police dispatch systems. Discussions and debates abounded in public meetings, several of which were held over a two-month period. *** </w:t>
      </w:r>
      <w:r w:rsidRPr="004B30C8">
        <w:rPr>
          <w:rFonts w:ascii="Times New Roman" w:eastAsia="Times New Roman" w:hAnsi="Times New Roman"/>
          <w:bCs/>
          <w:sz w:val="24"/>
          <w:szCs w:val="24"/>
        </w:rPr>
        <w:t>Based on the record, the Court is unable to conclude that Defendants reasonably predicted that the ‘shaft’ comment would cause disruption within the police department. One reason is that the "shaft" comment did not contain ‘particularly inflammatory</w:t>
      </w:r>
      <w:proofErr w:type="gramStart"/>
      <w:r w:rsidRPr="004B30C8">
        <w:rPr>
          <w:rFonts w:ascii="Times New Roman" w:eastAsia="Times New Roman" w:hAnsi="Times New Roman"/>
          <w:bCs/>
          <w:sz w:val="24"/>
          <w:szCs w:val="24"/>
        </w:rPr>
        <w:t>,’ ‘</w:t>
      </w:r>
      <w:proofErr w:type="gramEnd"/>
      <w:r w:rsidRPr="004B30C8">
        <w:rPr>
          <w:rFonts w:ascii="Times New Roman" w:eastAsia="Times New Roman" w:hAnsi="Times New Roman"/>
          <w:bCs/>
          <w:sz w:val="24"/>
          <w:szCs w:val="24"/>
        </w:rPr>
        <w:t xml:space="preserve">abusive,’ or ‘exceptionally insulting’ language that could stir controversy among members of the police department. </w:t>
      </w:r>
      <w:r w:rsidRPr="004B30C8">
        <w:rPr>
          <w:rFonts w:ascii="Times New Roman" w:eastAsia="Times New Roman" w:hAnsi="Times New Roman"/>
          <w:bCs/>
          <w:i/>
          <w:iCs/>
          <w:sz w:val="24"/>
          <w:szCs w:val="24"/>
        </w:rPr>
        <w:t>See Rodgers</w:t>
      </w:r>
      <w:r w:rsidRPr="004B30C8">
        <w:rPr>
          <w:rFonts w:ascii="Times New Roman" w:eastAsia="Times New Roman" w:hAnsi="Times New Roman"/>
          <w:bCs/>
          <w:sz w:val="24"/>
          <w:szCs w:val="24"/>
        </w:rPr>
        <w:t xml:space="preserve">, 344 F.3d at 601. Another reason is that the public's reaction to the ‘shaft’ comment, as detailed in Defendants' arguments, provides little insight into what predictions Defendants made about how the comment would disrupt the police department. Accordingly, the Court finds that the balancing test weighs in Plaintiff's favor and the ‘shaft’ comment was constitutionally protected activity.” </w:t>
      </w:r>
      <w:hyperlink r:id="rId2801" w:history="1">
        <w:r w:rsidRPr="004B30C8">
          <w:rPr>
            <w:rStyle w:val="Hyperlink"/>
            <w:rFonts w:ascii="Times New Roman" w:eastAsia="Times New Roman" w:hAnsi="Times New Roman"/>
            <w:bCs/>
            <w:sz w:val="24"/>
            <w:szCs w:val="24"/>
          </w:rPr>
          <w:t>https://public.fastcase.com/Wl%2B2t%2BeVuI35%2FN70vAMFZsbNGaY2qJ5U2CI4LnVCoihkt6wfuyNvOKbs8su8KP1J</w:t>
        </w:r>
      </w:hyperlink>
      <w:r w:rsidRPr="004B30C8">
        <w:rPr>
          <w:rFonts w:ascii="Times New Roman" w:eastAsia="Times New Roman" w:hAnsi="Times New Roman"/>
          <w:sz w:val="24"/>
          <w:szCs w:val="24"/>
        </w:rPr>
        <w:t xml:space="preserve"> </w:t>
      </w:r>
    </w:p>
    <w:p w14:paraId="7D5D0051" w14:textId="511A75DF" w:rsidR="007A1E7A" w:rsidRDefault="007A1E7A" w:rsidP="00F326E5">
      <w:pPr>
        <w:pStyle w:val="NoSpacing"/>
        <w:rPr>
          <w:rFonts w:ascii="Arial Black" w:hAnsi="Arial Black"/>
          <w:sz w:val="24"/>
          <w:szCs w:val="24"/>
        </w:rPr>
      </w:pPr>
    </w:p>
    <w:p w14:paraId="5957F815" w14:textId="77777777" w:rsidR="007A1E7A" w:rsidRPr="004B30C8" w:rsidRDefault="007A1E7A" w:rsidP="007A1E7A">
      <w:pPr>
        <w:pStyle w:val="NoSpacing"/>
        <w:rPr>
          <w:rFonts w:ascii="Times New Roman" w:hAnsi="Times New Roman"/>
          <w:b/>
          <w:bCs/>
          <w:sz w:val="24"/>
          <w:szCs w:val="24"/>
        </w:rPr>
      </w:pPr>
      <w:r w:rsidRPr="004B30C8">
        <w:rPr>
          <w:rFonts w:ascii="Times New Roman" w:hAnsi="Times New Roman"/>
          <w:b/>
          <w:bCs/>
          <w:sz w:val="24"/>
          <w:szCs w:val="24"/>
        </w:rPr>
        <w:t xml:space="preserve">Legal Lessons Learned: Emergency responders, including Fire &amp; EMS, must be very cautious posting comments on any internal FD issues.  In this case, the issue was clearly </w:t>
      </w:r>
      <w:proofErr w:type="gramStart"/>
      <w:r w:rsidRPr="004B30C8">
        <w:rPr>
          <w:rFonts w:ascii="Times New Roman" w:hAnsi="Times New Roman"/>
          <w:b/>
          <w:bCs/>
          <w:sz w:val="24"/>
          <w:szCs w:val="24"/>
        </w:rPr>
        <w:t>an</w:t>
      </w:r>
      <w:proofErr w:type="gramEnd"/>
      <w:r w:rsidRPr="004B30C8">
        <w:rPr>
          <w:rFonts w:ascii="Times New Roman" w:hAnsi="Times New Roman"/>
          <w:b/>
          <w:bCs/>
          <w:sz w:val="24"/>
          <w:szCs w:val="24"/>
        </w:rPr>
        <w:t xml:space="preserve">  public matter, and the Court reviewed the U.S. Supreme Court’s “balancing test” and the fact that the Facebook post “was one of many made on a Facebook page visited by many Melvindale residents.”</w:t>
      </w:r>
    </w:p>
    <w:p w14:paraId="7F28BFEE" w14:textId="77777777" w:rsidR="007A1E7A" w:rsidRDefault="007A1E7A" w:rsidP="00F326E5">
      <w:pPr>
        <w:pStyle w:val="NoSpacing"/>
        <w:rPr>
          <w:rFonts w:ascii="Arial Black" w:hAnsi="Arial Black"/>
          <w:sz w:val="24"/>
          <w:szCs w:val="24"/>
        </w:rPr>
      </w:pPr>
    </w:p>
    <w:p w14:paraId="290216E9" w14:textId="77777777" w:rsidR="007A1E7A" w:rsidRDefault="007A1E7A" w:rsidP="00F326E5">
      <w:pPr>
        <w:pStyle w:val="NoSpacing"/>
        <w:rPr>
          <w:rFonts w:ascii="Arial Black" w:hAnsi="Arial Black"/>
          <w:sz w:val="24"/>
          <w:szCs w:val="24"/>
        </w:rPr>
      </w:pPr>
    </w:p>
    <w:p w14:paraId="68D12EC1" w14:textId="1F73654E" w:rsidR="00021E64" w:rsidRDefault="00021E64" w:rsidP="00F326E5">
      <w:pPr>
        <w:pStyle w:val="NoSpacing"/>
        <w:rPr>
          <w:rFonts w:ascii="Arial Black" w:hAnsi="Arial Black"/>
          <w:sz w:val="24"/>
          <w:szCs w:val="24"/>
        </w:rPr>
      </w:pPr>
      <w:r>
        <w:rPr>
          <w:rFonts w:ascii="Arial Black" w:hAnsi="Arial Black"/>
          <w:sz w:val="24"/>
          <w:szCs w:val="24"/>
        </w:rPr>
        <w:t>16-23</w:t>
      </w:r>
    </w:p>
    <w:p w14:paraId="4E62F865" w14:textId="77777777" w:rsidR="00021E64" w:rsidRDefault="00021E64" w:rsidP="00021E64">
      <w:pPr>
        <w:spacing w:before="100" w:beforeAutospacing="1" w:after="100" w:afterAutospacing="1"/>
        <w:rPr>
          <w:rFonts w:ascii="Arial Black" w:eastAsia="Times New Roman" w:hAnsi="Arial Black"/>
          <w:b/>
          <w:sz w:val="28"/>
          <w:szCs w:val="28"/>
        </w:rPr>
      </w:pPr>
      <w:r w:rsidRPr="002F5F03">
        <w:rPr>
          <w:rFonts w:ascii="Arial Black" w:eastAsia="Times New Roman" w:hAnsi="Arial Black"/>
          <w:sz w:val="28"/>
          <w:szCs w:val="28"/>
        </w:rPr>
        <w:t xml:space="preserve">TX: </w:t>
      </w:r>
      <w:r>
        <w:rPr>
          <w:rFonts w:ascii="Arial Black" w:eastAsia="Times New Roman" w:hAnsi="Arial Black"/>
          <w:sz w:val="28"/>
          <w:szCs w:val="28"/>
        </w:rPr>
        <w:t xml:space="preserve"> OFF-DUTY FF SLAPPED 70+ YEAR OLD, COMPLAINED FF’S KIDS BLOCKING VIEW – HEARING OFFICER REVERSED TERMINATION </w:t>
      </w:r>
    </w:p>
    <w:p w14:paraId="45E01B93" w14:textId="77777777" w:rsidR="00021E64" w:rsidRPr="00614DDC" w:rsidRDefault="00021E64" w:rsidP="00021E64">
      <w:pPr>
        <w:spacing w:before="100" w:beforeAutospacing="1" w:after="100" w:afterAutospacing="1"/>
        <w:rPr>
          <w:rFonts w:ascii="Times New Roman" w:eastAsia="Times New Roman" w:hAnsi="Times New Roman"/>
          <w:b/>
          <w:sz w:val="24"/>
          <w:szCs w:val="24"/>
        </w:rPr>
      </w:pPr>
      <w:r w:rsidRPr="00614DDC">
        <w:rPr>
          <w:rFonts w:ascii="Times New Roman" w:eastAsia="Times New Roman" w:hAnsi="Times New Roman"/>
          <w:sz w:val="24"/>
          <w:szCs w:val="24"/>
        </w:rPr>
        <w:t xml:space="preserve">On Jan. 23, 2020, in </w:t>
      </w:r>
      <w:r w:rsidRPr="00614DDC">
        <w:rPr>
          <w:rFonts w:ascii="Times New Roman" w:eastAsia="Times New Roman" w:hAnsi="Times New Roman"/>
          <w:sz w:val="24"/>
          <w:szCs w:val="24"/>
          <w:u w:val="single"/>
        </w:rPr>
        <w:t>City of Fort Worth v. Shea O’Neill</w:t>
      </w:r>
      <w:r w:rsidRPr="00614DDC">
        <w:rPr>
          <w:rFonts w:ascii="Times New Roman" w:eastAsia="Times New Roman" w:hAnsi="Times New Roman"/>
          <w:sz w:val="24"/>
          <w:szCs w:val="24"/>
        </w:rPr>
        <w:t xml:space="preserve">, Court of Appeals for Second Appellate District of Texas at Fort Worth (vote 3 to 0), rejected the City’s appeal from the Hearing Officer’s finding that firefighters due process rights were violated when FD internal affairs failed to conduct an adequate internal investigation.  Case </w:t>
      </w:r>
      <w:proofErr w:type="gramStart"/>
      <w:r w:rsidRPr="00614DDC">
        <w:rPr>
          <w:rFonts w:ascii="Times New Roman" w:eastAsia="Times New Roman" w:hAnsi="Times New Roman"/>
          <w:sz w:val="24"/>
          <w:szCs w:val="24"/>
        </w:rPr>
        <w:t>remanded</w:t>
      </w:r>
      <w:proofErr w:type="gramEnd"/>
      <w:r w:rsidRPr="00614DDC">
        <w:rPr>
          <w:rFonts w:ascii="Times New Roman" w:eastAsia="Times New Roman" w:hAnsi="Times New Roman"/>
          <w:sz w:val="24"/>
          <w:szCs w:val="24"/>
        </w:rPr>
        <w:t xml:space="preserve"> to trial court, however, on whether Hearing Officer improperly conducted Internet search about medication victim uses [aspirin and Lipitor] that could cause nosebleed.  </w:t>
      </w:r>
    </w:p>
    <w:p w14:paraId="40DBE167" w14:textId="418EAAEC" w:rsidR="00021E64" w:rsidRDefault="00021E64" w:rsidP="00021E64">
      <w:pPr>
        <w:pStyle w:val="NoSpacing"/>
        <w:rPr>
          <w:rFonts w:ascii="Arial Black" w:hAnsi="Arial Black"/>
          <w:sz w:val="24"/>
          <w:szCs w:val="24"/>
        </w:rPr>
      </w:pPr>
      <w:r w:rsidRPr="00614DDC">
        <w:rPr>
          <w:rFonts w:ascii="Times New Roman" w:eastAsia="Times New Roman" w:hAnsi="Times New Roman"/>
          <w:sz w:val="24"/>
          <w:szCs w:val="24"/>
        </w:rPr>
        <w:t xml:space="preserve">“In support of its appellate issue, the City first asserts that the hearing examiner's decision was procured by unlawful means because she relied on evidence not presented at the hearing—specifically, her independent Internet research on the side effects of aspirin and Lipitor, both of which Woods testified to taking daily. </w:t>
      </w:r>
      <w:r w:rsidRPr="00614DDC">
        <w:rPr>
          <w:rFonts w:ascii="Times New Roman" w:eastAsia="Times New Roman" w:hAnsi="Times New Roman"/>
          <w:sz w:val="24"/>
          <w:szCs w:val="24"/>
        </w:rPr>
        <w:lastRenderedPageBreak/>
        <w:t xml:space="preserve">According to the hearing examiner's research, both medications can cause ‘unusual bleeding,’ and Lipitor can ‘specifically cause nosebleed.’” </w:t>
      </w:r>
      <w:hyperlink r:id="rId2802" w:history="1">
        <w:r w:rsidRPr="00614DDC">
          <w:rPr>
            <w:rStyle w:val="Hyperlink"/>
            <w:rFonts w:ascii="Times New Roman" w:hAnsi="Times New Roman"/>
            <w:b/>
            <w:sz w:val="24"/>
            <w:szCs w:val="24"/>
          </w:rPr>
          <w:t>https://public.fastcase.com/Wl%2B2t%2BeVuI35%2FN70vAMFZlZAOd3Yf30gW5GUDA4he8qcwsisxdvBFlR%2Bm9b1UDwt</w:t>
        </w:r>
      </w:hyperlink>
    </w:p>
    <w:p w14:paraId="7EAECEF3" w14:textId="77777777" w:rsidR="00021E64" w:rsidRPr="00614DDC" w:rsidRDefault="00021E64" w:rsidP="00021E64">
      <w:pPr>
        <w:pStyle w:val="NormalWeb"/>
        <w:tabs>
          <w:tab w:val="left" w:pos="2930"/>
        </w:tabs>
        <w:rPr>
          <w:b/>
          <w:bCs/>
        </w:rPr>
      </w:pPr>
      <w:r w:rsidRPr="00614DDC">
        <w:rPr>
          <w:b/>
          <w:bCs/>
        </w:rPr>
        <w:t xml:space="preserve">Legal Lessons Learned:  Courts are </w:t>
      </w:r>
      <w:r>
        <w:rPr>
          <w:b/>
          <w:bCs/>
        </w:rPr>
        <w:t xml:space="preserve">very </w:t>
      </w:r>
      <w:r w:rsidRPr="00614DDC">
        <w:rPr>
          <w:b/>
          <w:bCs/>
        </w:rPr>
        <w:t>reluctant to overturn decision</w:t>
      </w:r>
      <w:r>
        <w:rPr>
          <w:b/>
          <w:bCs/>
        </w:rPr>
        <w:t xml:space="preserve"> of a </w:t>
      </w:r>
      <w:r w:rsidRPr="00614DDC">
        <w:rPr>
          <w:b/>
          <w:bCs/>
        </w:rPr>
        <w:t>Civil Service hearing officer</w:t>
      </w:r>
      <w:r>
        <w:rPr>
          <w:b/>
          <w:bCs/>
        </w:rPr>
        <w:t xml:space="preserve">, who has conducted the hearings and personally observe the witnesses. </w:t>
      </w:r>
      <w:r w:rsidRPr="00614DDC">
        <w:rPr>
          <w:b/>
          <w:bCs/>
        </w:rPr>
        <w:t xml:space="preserve"> </w:t>
      </w:r>
    </w:p>
    <w:p w14:paraId="3C86B204" w14:textId="77777777" w:rsidR="00021E64" w:rsidRDefault="00021E64" w:rsidP="00F326E5">
      <w:pPr>
        <w:pStyle w:val="NoSpacing"/>
        <w:rPr>
          <w:rFonts w:ascii="Arial Black" w:hAnsi="Arial Black"/>
          <w:sz w:val="24"/>
          <w:szCs w:val="24"/>
        </w:rPr>
      </w:pPr>
    </w:p>
    <w:p w14:paraId="2EDF681E" w14:textId="77777777" w:rsidR="00021E64" w:rsidRDefault="00021E64" w:rsidP="00F326E5">
      <w:pPr>
        <w:pStyle w:val="NoSpacing"/>
        <w:rPr>
          <w:rFonts w:ascii="Arial Black" w:hAnsi="Arial Black"/>
          <w:sz w:val="24"/>
          <w:szCs w:val="24"/>
        </w:rPr>
      </w:pPr>
    </w:p>
    <w:p w14:paraId="57695355" w14:textId="77777777" w:rsidR="00021E64" w:rsidRDefault="00021E64" w:rsidP="00F326E5">
      <w:pPr>
        <w:pStyle w:val="NoSpacing"/>
        <w:rPr>
          <w:rFonts w:ascii="Arial Black" w:hAnsi="Arial Black"/>
          <w:sz w:val="24"/>
          <w:szCs w:val="24"/>
        </w:rPr>
      </w:pPr>
    </w:p>
    <w:p w14:paraId="36DB57C0" w14:textId="4BAA180C" w:rsidR="00297434" w:rsidRDefault="00420322" w:rsidP="00F326E5">
      <w:pPr>
        <w:pStyle w:val="NoSpacing"/>
        <w:rPr>
          <w:rFonts w:ascii="Arial Black" w:hAnsi="Arial Black"/>
          <w:sz w:val="24"/>
          <w:szCs w:val="24"/>
        </w:rPr>
      </w:pPr>
      <w:r>
        <w:rPr>
          <w:rFonts w:ascii="Arial Black" w:hAnsi="Arial Black"/>
          <w:sz w:val="24"/>
          <w:szCs w:val="24"/>
        </w:rPr>
        <w:t>16-22</w:t>
      </w:r>
    </w:p>
    <w:p w14:paraId="01CF9D83" w14:textId="14DA602B" w:rsidR="00420322" w:rsidRDefault="00420322" w:rsidP="00F326E5">
      <w:pPr>
        <w:pStyle w:val="NoSpacing"/>
        <w:rPr>
          <w:rFonts w:ascii="Arial Black" w:hAnsi="Arial Black"/>
          <w:sz w:val="24"/>
          <w:szCs w:val="24"/>
        </w:rPr>
      </w:pPr>
    </w:p>
    <w:p w14:paraId="77B7DDAB" w14:textId="77777777" w:rsidR="00420322" w:rsidRPr="00A8607B" w:rsidRDefault="00420322" w:rsidP="00420322">
      <w:pPr>
        <w:rPr>
          <w:rFonts w:ascii="Arial Black" w:hAnsi="Arial Black"/>
          <w:sz w:val="28"/>
          <w:szCs w:val="28"/>
        </w:rPr>
      </w:pPr>
      <w:r w:rsidRPr="00A8607B">
        <w:rPr>
          <w:rFonts w:ascii="Arial Black" w:hAnsi="Arial Black"/>
          <w:sz w:val="28"/>
          <w:szCs w:val="28"/>
        </w:rPr>
        <w:t xml:space="preserve">TN: </w:t>
      </w:r>
      <w:r>
        <w:rPr>
          <w:rFonts w:ascii="Arial Black" w:hAnsi="Arial Black"/>
          <w:sz w:val="28"/>
          <w:szCs w:val="28"/>
        </w:rPr>
        <w:t>SOCIAL MEDIA – NASHVILLE PD OFFICER’S FACEBOOK POSTS - PD KILLING DRIVER MN - “GROSSLY UNPROFESSIONAL” - FIRING UPHELD</w:t>
      </w:r>
    </w:p>
    <w:p w14:paraId="63BFD3BE" w14:textId="77777777" w:rsidR="00420322" w:rsidRDefault="00420322" w:rsidP="00420322">
      <w:pPr>
        <w:rPr>
          <w:rFonts w:ascii="Times New Roman" w:hAnsi="Times New Roman"/>
          <w:sz w:val="24"/>
          <w:szCs w:val="24"/>
        </w:rPr>
      </w:pPr>
      <w:r w:rsidRPr="00A8607B">
        <w:rPr>
          <w:rFonts w:ascii="Times New Roman" w:hAnsi="Times New Roman"/>
          <w:sz w:val="24"/>
          <w:szCs w:val="24"/>
        </w:rPr>
        <w:t xml:space="preserve">On </w:t>
      </w:r>
      <w:r>
        <w:rPr>
          <w:rFonts w:ascii="Times New Roman" w:hAnsi="Times New Roman"/>
          <w:sz w:val="24"/>
          <w:szCs w:val="24"/>
        </w:rPr>
        <w:t xml:space="preserve">Dec. 20, 2019, in </w:t>
      </w:r>
      <w:r w:rsidRPr="005F63F4">
        <w:rPr>
          <w:rFonts w:ascii="Times New Roman" w:hAnsi="Times New Roman"/>
          <w:sz w:val="24"/>
          <w:szCs w:val="24"/>
          <w:u w:val="single"/>
        </w:rPr>
        <w:t>Anthony Venable v. Metropolitan Government of Nashville and Davidson County</w:t>
      </w:r>
      <w:r>
        <w:rPr>
          <w:rFonts w:ascii="Times New Roman" w:hAnsi="Times New Roman"/>
          <w:sz w:val="24"/>
          <w:szCs w:val="24"/>
        </w:rPr>
        <w:t>, Chief Judge Waverly D. Crenshaw, Jr.,  U.S. District Court, Middle District of Tennessee (Nashville Division) granted Nashville’s motion for summary judgment and dismissed the lawsuit by the former police officer, finding his Facebook comments “grossly unprofessional.”</w:t>
      </w:r>
    </w:p>
    <w:p w14:paraId="512B0C25" w14:textId="77777777" w:rsidR="00420322" w:rsidRPr="005F63F4" w:rsidRDefault="00420322" w:rsidP="00420322">
      <w:pPr>
        <w:ind w:left="720"/>
        <w:rPr>
          <w:rFonts w:ascii="Times New Roman" w:hAnsi="Times New Roman"/>
          <w:sz w:val="24"/>
          <w:szCs w:val="24"/>
        </w:rPr>
      </w:pPr>
      <w:r>
        <w:rPr>
          <w:rFonts w:ascii="Times New Roman" w:hAnsi="Times New Roman"/>
          <w:sz w:val="24"/>
          <w:szCs w:val="24"/>
        </w:rPr>
        <w:t>“</w:t>
      </w:r>
      <w:r w:rsidRPr="005F63F4">
        <w:rPr>
          <w:rFonts w:ascii="Times New Roman" w:hAnsi="Times New Roman"/>
          <w:sz w:val="24"/>
          <w:szCs w:val="24"/>
        </w:rPr>
        <w:t>In addition to the “not bring</w:t>
      </w:r>
      <w:r>
        <w:rPr>
          <w:rFonts w:ascii="Times New Roman" w:hAnsi="Times New Roman"/>
          <w:sz w:val="24"/>
          <w:szCs w:val="24"/>
        </w:rPr>
        <w:t xml:space="preserve"> </w:t>
      </w:r>
      <w:r w:rsidRPr="005F63F4">
        <w:rPr>
          <w:rFonts w:ascii="Times New Roman" w:hAnsi="Times New Roman"/>
          <w:sz w:val="24"/>
          <w:szCs w:val="24"/>
        </w:rPr>
        <w:t>discredit” language, the MNPD policy</w:t>
      </w:r>
      <w:r>
        <w:rPr>
          <w:rFonts w:ascii="Times New Roman" w:hAnsi="Times New Roman"/>
          <w:sz w:val="24"/>
          <w:szCs w:val="24"/>
        </w:rPr>
        <w:t xml:space="preserve"> </w:t>
      </w:r>
      <w:r w:rsidRPr="005F63F4">
        <w:rPr>
          <w:rFonts w:ascii="Times New Roman" w:hAnsi="Times New Roman"/>
          <w:sz w:val="24"/>
          <w:szCs w:val="24"/>
        </w:rPr>
        <w:t>contains an explanation</w:t>
      </w:r>
      <w:r>
        <w:rPr>
          <w:rFonts w:ascii="Times New Roman" w:hAnsi="Times New Roman"/>
          <w:sz w:val="24"/>
          <w:szCs w:val="24"/>
        </w:rPr>
        <w:t xml:space="preserve"> </w:t>
      </w:r>
      <w:r w:rsidRPr="005F63F4">
        <w:rPr>
          <w:rFonts w:ascii="Times New Roman" w:hAnsi="Times New Roman"/>
          <w:sz w:val="24"/>
          <w:szCs w:val="24"/>
        </w:rPr>
        <w:t>of why</w:t>
      </w:r>
      <w:r>
        <w:rPr>
          <w:rFonts w:ascii="Times New Roman" w:hAnsi="Times New Roman"/>
          <w:sz w:val="24"/>
          <w:szCs w:val="24"/>
        </w:rPr>
        <w:t xml:space="preserve"> </w:t>
      </w:r>
      <w:r w:rsidRPr="005F63F4">
        <w:rPr>
          <w:rFonts w:ascii="Times New Roman" w:hAnsi="Times New Roman"/>
          <w:sz w:val="24"/>
          <w:szCs w:val="24"/>
        </w:rPr>
        <w:t>police officers are held to a higher standard, and why</w:t>
      </w:r>
      <w:r>
        <w:rPr>
          <w:rFonts w:ascii="Times New Roman" w:hAnsi="Times New Roman"/>
          <w:sz w:val="24"/>
          <w:szCs w:val="24"/>
        </w:rPr>
        <w:t xml:space="preserve"> </w:t>
      </w:r>
      <w:r w:rsidRPr="005F63F4">
        <w:rPr>
          <w:rFonts w:ascii="Times New Roman" w:hAnsi="Times New Roman"/>
          <w:sz w:val="24"/>
          <w:szCs w:val="24"/>
        </w:rPr>
        <w:t>inappropriate conduct can be</w:t>
      </w:r>
      <w:r>
        <w:rPr>
          <w:rFonts w:ascii="Times New Roman" w:hAnsi="Times New Roman"/>
          <w:sz w:val="24"/>
          <w:szCs w:val="24"/>
        </w:rPr>
        <w:t xml:space="preserve"> </w:t>
      </w:r>
      <w:r w:rsidRPr="005F63F4">
        <w:rPr>
          <w:rFonts w:ascii="Times New Roman" w:hAnsi="Times New Roman"/>
          <w:sz w:val="24"/>
          <w:szCs w:val="24"/>
        </w:rPr>
        <w:t>detrimental to the department. An ordinary</w:t>
      </w:r>
      <w:r>
        <w:rPr>
          <w:rFonts w:ascii="Times New Roman" w:hAnsi="Times New Roman"/>
          <w:sz w:val="24"/>
          <w:szCs w:val="24"/>
        </w:rPr>
        <w:t xml:space="preserve"> </w:t>
      </w:r>
      <w:r w:rsidRPr="005F63F4">
        <w:rPr>
          <w:rFonts w:ascii="Times New Roman" w:hAnsi="Times New Roman"/>
          <w:sz w:val="24"/>
          <w:szCs w:val="24"/>
        </w:rPr>
        <w:t>person, exercising ordinary</w:t>
      </w:r>
      <w:r>
        <w:rPr>
          <w:rFonts w:ascii="Times New Roman" w:hAnsi="Times New Roman"/>
          <w:sz w:val="24"/>
          <w:szCs w:val="24"/>
        </w:rPr>
        <w:t xml:space="preserve"> </w:t>
      </w:r>
      <w:r w:rsidRPr="005F63F4">
        <w:rPr>
          <w:rFonts w:ascii="Times New Roman" w:hAnsi="Times New Roman"/>
          <w:sz w:val="24"/>
          <w:szCs w:val="24"/>
        </w:rPr>
        <w:t>common sense, could</w:t>
      </w:r>
      <w:r>
        <w:rPr>
          <w:rFonts w:ascii="Times New Roman" w:hAnsi="Times New Roman"/>
          <w:sz w:val="24"/>
          <w:szCs w:val="24"/>
        </w:rPr>
        <w:t xml:space="preserve"> </w:t>
      </w:r>
      <w:r w:rsidRPr="005F63F4">
        <w:rPr>
          <w:rFonts w:ascii="Times New Roman" w:hAnsi="Times New Roman"/>
          <w:sz w:val="24"/>
          <w:szCs w:val="24"/>
        </w:rPr>
        <w:t>understand that Venable’s inflammatory</w:t>
      </w:r>
      <w:r>
        <w:rPr>
          <w:rFonts w:ascii="Times New Roman" w:hAnsi="Times New Roman"/>
          <w:sz w:val="24"/>
          <w:szCs w:val="24"/>
        </w:rPr>
        <w:t xml:space="preserve"> </w:t>
      </w:r>
      <w:r w:rsidRPr="005F63F4">
        <w:rPr>
          <w:rFonts w:ascii="Times New Roman" w:hAnsi="Times New Roman"/>
          <w:sz w:val="24"/>
          <w:szCs w:val="24"/>
        </w:rPr>
        <w:t>Facebook comments, where he drew</w:t>
      </w:r>
      <w:r>
        <w:rPr>
          <w:rFonts w:ascii="Times New Roman" w:hAnsi="Times New Roman"/>
          <w:sz w:val="24"/>
          <w:szCs w:val="24"/>
        </w:rPr>
        <w:t xml:space="preserve"> </w:t>
      </w:r>
      <w:r w:rsidRPr="005F63F4">
        <w:rPr>
          <w:rFonts w:ascii="Times New Roman" w:hAnsi="Times New Roman"/>
          <w:sz w:val="24"/>
          <w:szCs w:val="24"/>
        </w:rPr>
        <w:t>upon his law</w:t>
      </w:r>
      <w:r>
        <w:rPr>
          <w:rFonts w:ascii="Times New Roman" w:hAnsi="Times New Roman"/>
          <w:sz w:val="24"/>
          <w:szCs w:val="24"/>
        </w:rPr>
        <w:t xml:space="preserve"> </w:t>
      </w:r>
      <w:r w:rsidRPr="005F63F4">
        <w:rPr>
          <w:rFonts w:ascii="Times New Roman" w:hAnsi="Times New Roman"/>
          <w:sz w:val="24"/>
          <w:szCs w:val="24"/>
        </w:rPr>
        <w:t>enforcement background, would reflect negatively</w:t>
      </w:r>
      <w:r>
        <w:rPr>
          <w:rFonts w:ascii="Times New Roman" w:hAnsi="Times New Roman"/>
          <w:sz w:val="24"/>
          <w:szCs w:val="24"/>
        </w:rPr>
        <w:t xml:space="preserve"> </w:t>
      </w:r>
      <w:r w:rsidRPr="005F63F4">
        <w:rPr>
          <w:rFonts w:ascii="Times New Roman" w:hAnsi="Times New Roman"/>
          <w:sz w:val="24"/>
          <w:szCs w:val="24"/>
        </w:rPr>
        <w:t>on the MNPD and constitute a</w:t>
      </w:r>
      <w:r>
        <w:rPr>
          <w:rFonts w:ascii="Times New Roman" w:hAnsi="Times New Roman"/>
          <w:sz w:val="24"/>
          <w:szCs w:val="24"/>
        </w:rPr>
        <w:t xml:space="preserve"> </w:t>
      </w:r>
      <w:r w:rsidRPr="005F63F4">
        <w:rPr>
          <w:rFonts w:ascii="Times New Roman" w:hAnsi="Times New Roman"/>
          <w:sz w:val="24"/>
          <w:szCs w:val="24"/>
        </w:rPr>
        <w:t>violation</w:t>
      </w:r>
      <w:r>
        <w:rPr>
          <w:rFonts w:ascii="Times New Roman" w:hAnsi="Times New Roman"/>
          <w:sz w:val="24"/>
          <w:szCs w:val="24"/>
        </w:rPr>
        <w:t xml:space="preserve"> </w:t>
      </w:r>
      <w:r w:rsidRPr="005F63F4">
        <w:rPr>
          <w:rFonts w:ascii="Times New Roman" w:hAnsi="Times New Roman"/>
          <w:sz w:val="24"/>
          <w:szCs w:val="24"/>
        </w:rPr>
        <w:t>of the</w:t>
      </w:r>
      <w:r>
        <w:rPr>
          <w:rFonts w:ascii="Times New Roman" w:hAnsi="Times New Roman"/>
          <w:sz w:val="24"/>
          <w:szCs w:val="24"/>
        </w:rPr>
        <w:t xml:space="preserve"> </w:t>
      </w:r>
      <w:r w:rsidRPr="005F63F4">
        <w:rPr>
          <w:rFonts w:ascii="Times New Roman" w:hAnsi="Times New Roman"/>
          <w:sz w:val="24"/>
          <w:szCs w:val="24"/>
        </w:rPr>
        <w:t>Conduct</w:t>
      </w:r>
      <w:r>
        <w:rPr>
          <w:rFonts w:ascii="Times New Roman" w:hAnsi="Times New Roman"/>
          <w:sz w:val="24"/>
          <w:szCs w:val="24"/>
        </w:rPr>
        <w:t xml:space="preserve"> </w:t>
      </w:r>
      <w:r w:rsidRPr="005F63F4">
        <w:rPr>
          <w:rFonts w:ascii="Times New Roman" w:hAnsi="Times New Roman"/>
          <w:sz w:val="24"/>
          <w:szCs w:val="24"/>
        </w:rPr>
        <w:t>Unbecoming</w:t>
      </w:r>
      <w:r>
        <w:rPr>
          <w:rFonts w:ascii="Times New Roman" w:hAnsi="Times New Roman"/>
          <w:sz w:val="24"/>
          <w:szCs w:val="24"/>
        </w:rPr>
        <w:t xml:space="preserve"> </w:t>
      </w:r>
      <w:r w:rsidRPr="005F63F4">
        <w:rPr>
          <w:rFonts w:ascii="Times New Roman" w:hAnsi="Times New Roman"/>
          <w:sz w:val="24"/>
          <w:szCs w:val="24"/>
        </w:rPr>
        <w:t>policy.</w:t>
      </w:r>
      <w:r>
        <w:rPr>
          <w:rFonts w:ascii="Times New Roman" w:hAnsi="Times New Roman"/>
          <w:sz w:val="24"/>
          <w:szCs w:val="24"/>
        </w:rPr>
        <w:t xml:space="preserve"> </w:t>
      </w:r>
      <w:r w:rsidRPr="005F63F4">
        <w:rPr>
          <w:rFonts w:ascii="Times New Roman" w:hAnsi="Times New Roman"/>
          <w:sz w:val="24"/>
          <w:szCs w:val="24"/>
        </w:rPr>
        <w:t>Any</w:t>
      </w:r>
      <w:r>
        <w:rPr>
          <w:rFonts w:ascii="Times New Roman" w:hAnsi="Times New Roman"/>
          <w:sz w:val="24"/>
          <w:szCs w:val="24"/>
        </w:rPr>
        <w:t xml:space="preserve"> </w:t>
      </w:r>
      <w:r w:rsidRPr="005F63F4">
        <w:rPr>
          <w:rFonts w:ascii="Times New Roman" w:hAnsi="Times New Roman"/>
          <w:sz w:val="24"/>
          <w:szCs w:val="24"/>
        </w:rPr>
        <w:t>doubt about this is eliminated by</w:t>
      </w:r>
      <w:r>
        <w:rPr>
          <w:rFonts w:ascii="Times New Roman" w:hAnsi="Times New Roman"/>
          <w:sz w:val="24"/>
          <w:szCs w:val="24"/>
        </w:rPr>
        <w:t xml:space="preserve"> </w:t>
      </w:r>
      <w:r w:rsidRPr="005F63F4">
        <w:rPr>
          <w:rFonts w:ascii="Times New Roman" w:hAnsi="Times New Roman"/>
          <w:sz w:val="24"/>
          <w:szCs w:val="24"/>
        </w:rPr>
        <w:t>warning</w:t>
      </w:r>
      <w:r>
        <w:rPr>
          <w:rFonts w:ascii="Times New Roman" w:hAnsi="Times New Roman"/>
          <w:sz w:val="24"/>
          <w:szCs w:val="24"/>
        </w:rPr>
        <w:t xml:space="preserve"> </w:t>
      </w:r>
      <w:r w:rsidRPr="005F63F4">
        <w:rPr>
          <w:rFonts w:ascii="Times New Roman" w:hAnsi="Times New Roman"/>
          <w:sz w:val="24"/>
          <w:szCs w:val="24"/>
        </w:rPr>
        <w:t xml:space="preserve">statements </w:t>
      </w:r>
      <w:proofErr w:type="gramStart"/>
      <w:r w:rsidRPr="005F63F4">
        <w:rPr>
          <w:rFonts w:ascii="Times New Roman" w:hAnsi="Times New Roman"/>
          <w:sz w:val="24"/>
          <w:szCs w:val="24"/>
        </w:rPr>
        <w:t>of</w:t>
      </w:r>
      <w:proofErr w:type="gramEnd"/>
      <w:r w:rsidRPr="005F63F4">
        <w:rPr>
          <w:rFonts w:ascii="Times New Roman" w:hAnsi="Times New Roman"/>
          <w:sz w:val="24"/>
          <w:szCs w:val="24"/>
        </w:rPr>
        <w:t xml:space="preserve"> other</w:t>
      </w:r>
      <w:r>
        <w:rPr>
          <w:rFonts w:ascii="Times New Roman" w:hAnsi="Times New Roman"/>
          <w:sz w:val="24"/>
          <w:szCs w:val="24"/>
        </w:rPr>
        <w:t xml:space="preserve"> </w:t>
      </w:r>
      <w:r w:rsidRPr="005F63F4">
        <w:rPr>
          <w:rFonts w:ascii="Times New Roman" w:hAnsi="Times New Roman"/>
          <w:sz w:val="24"/>
          <w:szCs w:val="24"/>
        </w:rPr>
        <w:t xml:space="preserve">participants that his comments were </w:t>
      </w:r>
      <w:r>
        <w:rPr>
          <w:rFonts w:ascii="Times New Roman" w:hAnsi="Times New Roman"/>
          <w:sz w:val="24"/>
          <w:szCs w:val="24"/>
        </w:rPr>
        <w:t>‘</w:t>
      </w:r>
      <w:r w:rsidRPr="005F63F4">
        <w:rPr>
          <w:rFonts w:ascii="Times New Roman" w:hAnsi="Times New Roman"/>
          <w:sz w:val="24"/>
          <w:szCs w:val="24"/>
        </w:rPr>
        <w:t>grossly</w:t>
      </w:r>
      <w:r>
        <w:rPr>
          <w:rFonts w:ascii="Times New Roman" w:hAnsi="Times New Roman"/>
          <w:sz w:val="24"/>
          <w:szCs w:val="24"/>
        </w:rPr>
        <w:t xml:space="preserve"> </w:t>
      </w:r>
      <w:r w:rsidRPr="005F63F4">
        <w:rPr>
          <w:rFonts w:ascii="Times New Roman" w:hAnsi="Times New Roman"/>
          <w:sz w:val="24"/>
          <w:szCs w:val="24"/>
        </w:rPr>
        <w:t>unprofessional,</w:t>
      </w:r>
      <w:r>
        <w:rPr>
          <w:rFonts w:ascii="Times New Roman" w:hAnsi="Times New Roman"/>
          <w:sz w:val="24"/>
          <w:szCs w:val="24"/>
        </w:rPr>
        <w:t>’</w:t>
      </w:r>
      <w:r w:rsidRPr="005F63F4">
        <w:rPr>
          <w:rFonts w:ascii="Times New Roman" w:hAnsi="Times New Roman"/>
          <w:sz w:val="24"/>
          <w:szCs w:val="24"/>
        </w:rPr>
        <w:t xml:space="preserve"> and could get him </w:t>
      </w:r>
      <w:r>
        <w:rPr>
          <w:rFonts w:ascii="Times New Roman" w:hAnsi="Times New Roman"/>
          <w:sz w:val="24"/>
          <w:szCs w:val="24"/>
        </w:rPr>
        <w:t>‘</w:t>
      </w:r>
      <w:r w:rsidRPr="005F63F4">
        <w:rPr>
          <w:rFonts w:ascii="Times New Roman" w:hAnsi="Times New Roman"/>
          <w:sz w:val="24"/>
          <w:szCs w:val="24"/>
        </w:rPr>
        <w:t>in serious</w:t>
      </w:r>
      <w:r>
        <w:rPr>
          <w:rFonts w:ascii="Times New Roman" w:hAnsi="Times New Roman"/>
          <w:sz w:val="24"/>
          <w:szCs w:val="24"/>
        </w:rPr>
        <w:t xml:space="preserve"> </w:t>
      </w:r>
      <w:r w:rsidRPr="005F63F4">
        <w:rPr>
          <w:rFonts w:ascii="Times New Roman" w:hAnsi="Times New Roman"/>
          <w:sz w:val="24"/>
          <w:szCs w:val="24"/>
        </w:rPr>
        <w:t>trouble.</w:t>
      </w:r>
      <w:r>
        <w:rPr>
          <w:rFonts w:ascii="Times New Roman" w:hAnsi="Times New Roman"/>
          <w:sz w:val="24"/>
          <w:szCs w:val="24"/>
        </w:rPr>
        <w:t>’</w:t>
      </w:r>
      <w:r w:rsidRPr="005F63F4">
        <w:t xml:space="preserve"> </w:t>
      </w:r>
      <w:hyperlink r:id="rId2803" w:history="1">
        <w:r w:rsidRPr="00FD1AA3">
          <w:rPr>
            <w:rStyle w:val="Hyperlink"/>
            <w:rFonts w:ascii="Times New Roman" w:hAnsi="Times New Roman"/>
            <w:sz w:val="24"/>
            <w:szCs w:val="24"/>
          </w:rPr>
          <w:t>https://cases.justia.com/federal/district-courts/tennessee/tnmdce/3:2018cv00148/73469/36/0.pdf?ts=1576934308</w:t>
        </w:r>
      </w:hyperlink>
      <w:r>
        <w:rPr>
          <w:rFonts w:ascii="Times New Roman" w:hAnsi="Times New Roman"/>
          <w:sz w:val="24"/>
          <w:szCs w:val="24"/>
        </w:rPr>
        <w:t xml:space="preserve"> </w:t>
      </w:r>
    </w:p>
    <w:p w14:paraId="58FF9F1A" w14:textId="77777777" w:rsidR="00B8368A" w:rsidRDefault="00B8368A" w:rsidP="00B8368A">
      <w:pPr>
        <w:pStyle w:val="NoSpacing"/>
        <w:rPr>
          <w:rFonts w:ascii="Times New Roman" w:hAnsi="Times New Roman"/>
          <w:b/>
          <w:bCs/>
          <w:sz w:val="24"/>
          <w:szCs w:val="24"/>
        </w:rPr>
      </w:pPr>
      <w:r w:rsidRPr="00B8368A">
        <w:rPr>
          <w:rFonts w:ascii="Times New Roman" w:hAnsi="Times New Roman"/>
          <w:b/>
          <w:bCs/>
          <w:sz w:val="24"/>
          <w:szCs w:val="24"/>
        </w:rPr>
        <w:t>Legal Lessons Learned:</w:t>
      </w:r>
      <w:r>
        <w:rPr>
          <w:rFonts w:ascii="Times New Roman" w:hAnsi="Times New Roman"/>
          <w:b/>
          <w:bCs/>
          <w:sz w:val="24"/>
          <w:szCs w:val="24"/>
        </w:rPr>
        <w:t xml:space="preserve"> </w:t>
      </w:r>
      <w:r w:rsidRPr="00B8368A">
        <w:rPr>
          <w:rFonts w:ascii="Times New Roman" w:hAnsi="Times New Roman"/>
          <w:b/>
          <w:bCs/>
          <w:sz w:val="24"/>
          <w:szCs w:val="24"/>
        </w:rPr>
        <w:t>Fire &amp; EMS Departments should have a policy that warns personnel that Social Media posts that adversely reflect on the Department can lead to discipline, including termination.</w:t>
      </w:r>
    </w:p>
    <w:p w14:paraId="738ED37D" w14:textId="502FE8B7" w:rsidR="00B8368A" w:rsidRPr="00B8368A" w:rsidRDefault="00B8368A" w:rsidP="00B8368A">
      <w:pPr>
        <w:pStyle w:val="NoSpacing"/>
        <w:ind w:firstLine="720"/>
        <w:rPr>
          <w:rFonts w:ascii="Times New Roman" w:hAnsi="Times New Roman"/>
          <w:b/>
          <w:bCs/>
          <w:sz w:val="24"/>
          <w:szCs w:val="24"/>
        </w:rPr>
      </w:pPr>
      <w:r w:rsidRPr="00B8368A">
        <w:rPr>
          <w:rFonts w:ascii="Times New Roman" w:hAnsi="Times New Roman"/>
          <w:sz w:val="24"/>
          <w:szCs w:val="24"/>
        </w:rPr>
        <w:t>See Pho</w:t>
      </w:r>
      <w:r>
        <w:rPr>
          <w:rFonts w:ascii="Times New Roman" w:hAnsi="Times New Roman"/>
          <w:sz w:val="24"/>
          <w:szCs w:val="24"/>
        </w:rPr>
        <w:t>e</w:t>
      </w:r>
      <w:r w:rsidRPr="00B8368A">
        <w:rPr>
          <w:rFonts w:ascii="Times New Roman" w:hAnsi="Times New Roman"/>
          <w:sz w:val="24"/>
          <w:szCs w:val="24"/>
        </w:rPr>
        <w:t xml:space="preserve">nix FD’s Social Media policy: </w:t>
      </w:r>
      <w:hyperlink r:id="rId2804" w:history="1">
        <w:r w:rsidRPr="00B8368A">
          <w:rPr>
            <w:rStyle w:val="Hyperlink"/>
            <w:rFonts w:ascii="Times New Roman" w:hAnsi="Times New Roman"/>
            <w:sz w:val="24"/>
            <w:szCs w:val="24"/>
          </w:rPr>
          <w:t>https://www.phoenix.gov/firesite/Documents/fire_mp_10518.pdf</w:t>
        </w:r>
      </w:hyperlink>
      <w:r w:rsidRPr="00B8368A">
        <w:rPr>
          <w:rFonts w:ascii="Times New Roman" w:hAnsi="Times New Roman"/>
          <w:sz w:val="24"/>
          <w:szCs w:val="24"/>
        </w:rPr>
        <w:t xml:space="preserve"> </w:t>
      </w:r>
    </w:p>
    <w:p w14:paraId="44D97879" w14:textId="77777777" w:rsidR="00B8368A" w:rsidRDefault="00B8368A" w:rsidP="00297434">
      <w:pPr>
        <w:spacing w:before="100" w:beforeAutospacing="1" w:after="100" w:afterAutospacing="1" w:line="240" w:lineRule="auto"/>
        <w:rPr>
          <w:rFonts w:ascii="Arial Black" w:hAnsi="Arial Black"/>
          <w:sz w:val="24"/>
          <w:szCs w:val="24"/>
        </w:rPr>
      </w:pPr>
    </w:p>
    <w:p w14:paraId="3C9E15DE" w14:textId="49545F51" w:rsidR="00420322" w:rsidRDefault="00420322" w:rsidP="00297434">
      <w:pPr>
        <w:spacing w:before="100" w:beforeAutospacing="1" w:after="100" w:afterAutospacing="1" w:line="240" w:lineRule="auto"/>
        <w:rPr>
          <w:rFonts w:ascii="Arial Black" w:hAnsi="Arial Black"/>
          <w:sz w:val="24"/>
          <w:szCs w:val="24"/>
        </w:rPr>
      </w:pPr>
      <w:r>
        <w:rPr>
          <w:rFonts w:ascii="Arial Black" w:hAnsi="Arial Black"/>
          <w:sz w:val="24"/>
          <w:szCs w:val="24"/>
        </w:rPr>
        <w:t>16-21</w:t>
      </w:r>
    </w:p>
    <w:p w14:paraId="487853E6" w14:textId="77777777" w:rsidR="00420322" w:rsidRDefault="00420322" w:rsidP="00420322">
      <w:pPr>
        <w:spacing w:before="100" w:beforeAutospacing="1" w:after="100" w:afterAutospacing="1" w:line="240" w:lineRule="auto"/>
        <w:rPr>
          <w:rFonts w:ascii="Times New Roman" w:eastAsia="Times New Roman" w:hAnsi="Times New Roman"/>
          <w:b/>
          <w:bCs/>
          <w:sz w:val="24"/>
          <w:szCs w:val="24"/>
        </w:rPr>
      </w:pPr>
      <w:bookmarkStart w:id="609" w:name="_Hlk29226291"/>
      <w:r w:rsidRPr="0066266D">
        <w:rPr>
          <w:rFonts w:ascii="Arial Black" w:eastAsia="Times New Roman" w:hAnsi="Arial Black"/>
          <w:b/>
          <w:bCs/>
          <w:sz w:val="28"/>
          <w:szCs w:val="28"/>
        </w:rPr>
        <w:t>OH</w:t>
      </w:r>
      <w:r>
        <w:rPr>
          <w:rFonts w:ascii="Arial Black" w:eastAsia="Times New Roman" w:hAnsi="Arial Black"/>
          <w:b/>
          <w:bCs/>
          <w:sz w:val="28"/>
          <w:szCs w:val="28"/>
        </w:rPr>
        <w:t>: LT. DEMOTED / SUSPENDED – UPHELD BUT TOWNSHIP MINUTES ON REASON FOR GOING INTO EXEC. SESSION NEED CLARIFICATION</w:t>
      </w:r>
    </w:p>
    <w:p w14:paraId="4B37777F" w14:textId="77777777" w:rsidR="00420322" w:rsidRDefault="00420322" w:rsidP="00420322">
      <w:pPr>
        <w:spacing w:before="100" w:beforeAutospacing="1" w:after="100" w:afterAutospacing="1" w:line="240" w:lineRule="auto"/>
        <w:rPr>
          <w:rFonts w:ascii="Arial" w:hAnsi="Arial" w:cs="Arial"/>
          <w:sz w:val="30"/>
          <w:szCs w:val="30"/>
        </w:rPr>
      </w:pPr>
      <w:r w:rsidRPr="00B84F37">
        <w:rPr>
          <w:rFonts w:ascii="Times New Roman" w:hAnsi="Times New Roman"/>
          <w:sz w:val="24"/>
          <w:szCs w:val="24"/>
        </w:rPr>
        <w:t xml:space="preserve">On Dec. 9, 2019, in </w:t>
      </w:r>
      <w:r w:rsidRPr="00B84F37">
        <w:rPr>
          <w:rFonts w:ascii="Times New Roman" w:hAnsi="Times New Roman"/>
          <w:sz w:val="24"/>
          <w:szCs w:val="24"/>
          <w:u w:val="single"/>
        </w:rPr>
        <w:t>Douglas Bode v. Concord Township</w:t>
      </w:r>
      <w:r>
        <w:rPr>
          <w:rFonts w:ascii="Times New Roman" w:hAnsi="Times New Roman"/>
          <w:sz w:val="24"/>
          <w:szCs w:val="24"/>
        </w:rPr>
        <w:t xml:space="preserve">, the Ohio Court of Appeals for the Eleventh District (Lake County) upheld the demotion of part-time Lieutenant to part-time firefighter / paramedic, and his </w:t>
      </w:r>
      <w:r>
        <w:rPr>
          <w:rFonts w:ascii="Times New Roman" w:hAnsi="Times New Roman"/>
          <w:sz w:val="24"/>
          <w:szCs w:val="24"/>
        </w:rPr>
        <w:lastRenderedPageBreak/>
        <w:t>suspension for six months, but found technical violation of Open Meeting Act since minutes of the Township public meeting did not reflect the reason for going into executive session.</w:t>
      </w:r>
    </w:p>
    <w:p w14:paraId="0F4628C8" w14:textId="633427FE" w:rsidR="00420322" w:rsidRPr="00B8368A" w:rsidRDefault="00420322" w:rsidP="00B8368A">
      <w:pPr>
        <w:pStyle w:val="NoSpacing"/>
        <w:ind w:left="720"/>
        <w:rPr>
          <w:rFonts w:ascii="Times New Roman" w:hAnsi="Times New Roman"/>
          <w:sz w:val="24"/>
          <w:szCs w:val="24"/>
        </w:rPr>
      </w:pPr>
      <w:r w:rsidRPr="00B101CE">
        <w:rPr>
          <w:rFonts w:ascii="Times New Roman" w:hAnsi="Times New Roman"/>
          <w:sz w:val="24"/>
          <w:szCs w:val="24"/>
        </w:rPr>
        <w:t xml:space="preserve">“We determine the Board committed a technical violation of Ohio’s Open Meetings Act (the ‘OMA’) so that an injunction ordering the Board to comply with the OMA is appropriate, but we do not invalidate Mr. Bode’s suspension and demotion approved by the Board. *** Here, it is undisputed that the meeting minutes were deficient in identifying the purpose of the executive session </w:t>
      </w:r>
      <w:proofErr w:type="gramStart"/>
      <w:r w:rsidRPr="00B101CE">
        <w:rPr>
          <w:rFonts w:ascii="Times New Roman" w:hAnsi="Times New Roman"/>
          <w:sz w:val="24"/>
          <w:szCs w:val="24"/>
        </w:rPr>
        <w:t>with regard to</w:t>
      </w:r>
      <w:proofErr w:type="gramEnd"/>
      <w:r w:rsidRPr="00B101CE">
        <w:rPr>
          <w:rFonts w:ascii="Times New Roman" w:hAnsi="Times New Roman"/>
          <w:sz w:val="24"/>
          <w:szCs w:val="24"/>
        </w:rPr>
        <w:t xml:space="preserve"> Mr. Bode. No reason for entering executive session was stated; therefore, the Board has failed to comply with R.C. 121.22(G)(1). </w:t>
      </w:r>
      <w:hyperlink r:id="rId2805" w:history="1">
        <w:r w:rsidR="00B8368A" w:rsidRPr="001B5B01">
          <w:rPr>
            <w:rStyle w:val="Hyperlink"/>
            <w:rFonts w:ascii="Times New Roman" w:eastAsia="Times New Roman" w:hAnsi="Times New Roman"/>
            <w:sz w:val="24"/>
            <w:szCs w:val="24"/>
          </w:rPr>
          <w:t>https://www.supremecourt.ohio.gov/rod/docs/pdf/11/2019/2019-Ohio-5062.pdf</w:t>
        </w:r>
      </w:hyperlink>
      <w:bookmarkEnd w:id="609"/>
    </w:p>
    <w:p w14:paraId="4C86A07D" w14:textId="1D69C176" w:rsidR="00420322" w:rsidRDefault="00B8368A" w:rsidP="00297434">
      <w:pPr>
        <w:spacing w:before="100" w:beforeAutospacing="1" w:after="100" w:afterAutospacing="1" w:line="240" w:lineRule="auto"/>
        <w:rPr>
          <w:rFonts w:ascii="Times New Roman" w:hAnsi="Times New Roman"/>
          <w:b/>
          <w:bCs/>
          <w:sz w:val="24"/>
          <w:szCs w:val="24"/>
        </w:rPr>
      </w:pPr>
      <w:r w:rsidRPr="00B8368A">
        <w:rPr>
          <w:rFonts w:ascii="Times New Roman" w:hAnsi="Times New Roman"/>
          <w:b/>
          <w:bCs/>
          <w:sz w:val="24"/>
          <w:szCs w:val="24"/>
        </w:rPr>
        <w:t xml:space="preserve">Legal Lessons Learned: Minutes of public meetings, prior to going into Executive Session, should </w:t>
      </w:r>
      <w:proofErr w:type="gramStart"/>
      <w:r w:rsidRPr="00B8368A">
        <w:rPr>
          <w:rFonts w:ascii="Times New Roman" w:hAnsi="Times New Roman"/>
          <w:b/>
          <w:bCs/>
          <w:sz w:val="24"/>
          <w:szCs w:val="24"/>
        </w:rPr>
        <w:t>careful</w:t>
      </w:r>
      <w:proofErr w:type="gramEnd"/>
      <w:r w:rsidRPr="00B8368A">
        <w:rPr>
          <w:rFonts w:ascii="Times New Roman" w:hAnsi="Times New Roman"/>
          <w:b/>
          <w:bCs/>
          <w:sz w:val="24"/>
          <w:szCs w:val="24"/>
        </w:rPr>
        <w:t xml:space="preserve"> be </w:t>
      </w:r>
      <w:r>
        <w:rPr>
          <w:rFonts w:ascii="Times New Roman" w:hAnsi="Times New Roman"/>
          <w:b/>
          <w:bCs/>
          <w:sz w:val="24"/>
          <w:szCs w:val="24"/>
        </w:rPr>
        <w:t>prepared t</w:t>
      </w:r>
      <w:r w:rsidRPr="00B8368A">
        <w:rPr>
          <w:rFonts w:ascii="Times New Roman" w:hAnsi="Times New Roman"/>
          <w:b/>
          <w:bCs/>
          <w:sz w:val="24"/>
          <w:szCs w:val="24"/>
        </w:rPr>
        <w:t>o avoid costly litigation.</w:t>
      </w:r>
    </w:p>
    <w:p w14:paraId="7D2F863C" w14:textId="233D98BF" w:rsidR="00B8368A" w:rsidRDefault="00B8368A" w:rsidP="00297434">
      <w:pPr>
        <w:spacing w:before="100" w:beforeAutospacing="1" w:after="100" w:afterAutospacing="1" w:line="240" w:lineRule="auto"/>
        <w:rPr>
          <w:rFonts w:ascii="Times New Roman" w:hAnsi="Times New Roman"/>
          <w:b/>
          <w:bCs/>
          <w:sz w:val="24"/>
          <w:szCs w:val="24"/>
        </w:rPr>
      </w:pPr>
    </w:p>
    <w:p w14:paraId="0D198F10" w14:textId="77777777" w:rsidR="00B8368A" w:rsidRPr="00B8368A" w:rsidRDefault="00B8368A" w:rsidP="00297434">
      <w:pPr>
        <w:spacing w:before="100" w:beforeAutospacing="1" w:after="100" w:afterAutospacing="1" w:line="240" w:lineRule="auto"/>
        <w:rPr>
          <w:rFonts w:ascii="Times New Roman" w:hAnsi="Times New Roman"/>
          <w:b/>
          <w:bCs/>
          <w:sz w:val="24"/>
          <w:szCs w:val="24"/>
        </w:rPr>
      </w:pPr>
    </w:p>
    <w:p w14:paraId="78892DE8" w14:textId="17B9C350" w:rsidR="00297434" w:rsidRDefault="00297434" w:rsidP="00297434">
      <w:pPr>
        <w:spacing w:before="100" w:beforeAutospacing="1" w:after="100" w:afterAutospacing="1" w:line="240" w:lineRule="auto"/>
        <w:rPr>
          <w:rFonts w:ascii="Arial Black" w:hAnsi="Arial Black"/>
          <w:sz w:val="28"/>
          <w:szCs w:val="28"/>
        </w:rPr>
      </w:pPr>
      <w:r>
        <w:rPr>
          <w:rFonts w:ascii="Arial Black" w:hAnsi="Arial Black"/>
          <w:sz w:val="24"/>
          <w:szCs w:val="24"/>
        </w:rPr>
        <w:t>16-20</w:t>
      </w:r>
      <w:r>
        <w:rPr>
          <w:rFonts w:ascii="Arial Black" w:hAnsi="Arial Black"/>
          <w:sz w:val="24"/>
          <w:szCs w:val="24"/>
        </w:rPr>
        <w:br/>
      </w:r>
      <w:r>
        <w:rPr>
          <w:rFonts w:ascii="Arial Black" w:hAnsi="Arial Black"/>
          <w:sz w:val="24"/>
          <w:szCs w:val="24"/>
        </w:rPr>
        <w:br/>
      </w:r>
      <w:r>
        <w:rPr>
          <w:rFonts w:ascii="Arial Black" w:hAnsi="Arial Black"/>
          <w:sz w:val="28"/>
          <w:szCs w:val="28"/>
        </w:rPr>
        <w:t>OR:  SHORTLY AFTER UNION FORMED - FD STARTED USING PRIVATE INVESTIGATOR, SUPERVISOR NOTES – UNFAIR LABOR PRACTICE</w:t>
      </w:r>
    </w:p>
    <w:p w14:paraId="1D82CDA4" w14:textId="05B1E746" w:rsidR="00297434" w:rsidRDefault="00297434" w:rsidP="00297434">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Dec. 5, 2019, in </w:t>
      </w:r>
      <w:r>
        <w:rPr>
          <w:rFonts w:ascii="Times New Roman" w:hAnsi="Times New Roman"/>
          <w:sz w:val="24"/>
          <w:szCs w:val="24"/>
          <w:u w:val="single"/>
        </w:rPr>
        <w:t>Crook County Firefighters Association, IAFF Local 5115 v. Crook County Fire &amp; Rescue</w:t>
      </w:r>
      <w:r>
        <w:rPr>
          <w:rFonts w:ascii="Times New Roman" w:hAnsi="Times New Roman"/>
          <w:sz w:val="24"/>
          <w:szCs w:val="24"/>
        </w:rPr>
        <w:t xml:space="preserve">, the Oregon Employment Relations Board found that the Fire Department “committed an unfair labor practice” after the Local was formed in </w:t>
      </w:r>
      <w:proofErr w:type="gramStart"/>
      <w:r>
        <w:rPr>
          <w:rFonts w:ascii="Times New Roman" w:hAnsi="Times New Roman"/>
          <w:sz w:val="24"/>
          <w:szCs w:val="24"/>
        </w:rPr>
        <w:t>September,</w:t>
      </w:r>
      <w:proofErr w:type="gramEnd"/>
      <w:r>
        <w:rPr>
          <w:rFonts w:ascii="Times New Roman" w:hAnsi="Times New Roman"/>
          <w:sz w:val="24"/>
          <w:szCs w:val="24"/>
        </w:rPr>
        <w:t xml:space="preserve"> 2017.</w:t>
      </w:r>
    </w:p>
    <w:p w14:paraId="3E17C30D" w14:textId="77777777" w:rsidR="00297434" w:rsidRDefault="00297434" w:rsidP="00297434">
      <w:pPr>
        <w:pStyle w:val="NoSpacing"/>
        <w:ind w:left="720"/>
        <w:rPr>
          <w:rFonts w:ascii="Times New Roman" w:hAnsi="Times New Roman"/>
          <w:sz w:val="24"/>
          <w:szCs w:val="24"/>
        </w:rPr>
      </w:pPr>
      <w:r>
        <w:rPr>
          <w:rFonts w:ascii="Times New Roman" w:hAnsi="Times New Roman"/>
          <w:sz w:val="24"/>
          <w:szCs w:val="24"/>
        </w:rPr>
        <w:t xml:space="preserve">“To briefly summarize: after the employees organized, the </w:t>
      </w:r>
      <w:proofErr w:type="gramStart"/>
      <w:r>
        <w:rPr>
          <w:rFonts w:ascii="Times New Roman" w:hAnsi="Times New Roman"/>
          <w:sz w:val="24"/>
          <w:szCs w:val="24"/>
        </w:rPr>
        <w:t>District</w:t>
      </w:r>
      <w:proofErr w:type="gramEnd"/>
      <w:r>
        <w:rPr>
          <w:rFonts w:ascii="Times New Roman" w:hAnsi="Times New Roman"/>
          <w:sz w:val="24"/>
          <w:szCs w:val="24"/>
        </w:rPr>
        <w:t xml:space="preserve"> started using a private, third-party investigator to investigate some, but not all, complaints or concerns about employee conduct, and started using supervisory notes to more comprehensively and formally document employee </w:t>
      </w:r>
      <w:proofErr w:type="gramStart"/>
      <w:r>
        <w:rPr>
          <w:rFonts w:ascii="Times New Roman" w:hAnsi="Times New Roman"/>
          <w:sz w:val="24"/>
          <w:szCs w:val="24"/>
        </w:rPr>
        <w:t>conduct, and</w:t>
      </w:r>
      <w:proofErr w:type="gramEnd"/>
      <w:r>
        <w:rPr>
          <w:rFonts w:ascii="Times New Roman" w:hAnsi="Times New Roman"/>
          <w:sz w:val="24"/>
          <w:szCs w:val="24"/>
        </w:rPr>
        <w:t xml:space="preserve"> coaching and counseling. When employees expressed concerns about the potentially negative employment implications of the </w:t>
      </w:r>
      <w:proofErr w:type="gramStart"/>
      <w:r>
        <w:rPr>
          <w:rFonts w:ascii="Times New Roman" w:hAnsi="Times New Roman"/>
          <w:sz w:val="24"/>
          <w:szCs w:val="24"/>
        </w:rPr>
        <w:t>District's</w:t>
      </w:r>
      <w:proofErr w:type="gramEnd"/>
      <w:r>
        <w:rPr>
          <w:rFonts w:ascii="Times New Roman" w:hAnsi="Times New Roman"/>
          <w:sz w:val="24"/>
          <w:szCs w:val="24"/>
        </w:rPr>
        <w:t xml:space="preserve"> actions, or perceived differences in how Association supporters were being treated, and asked for explanations, the chiefs, on multiple occasions, expressly attributed the employer's actions to ‘the union.’ Given the parties' history, including the fact that the employees had only recently organized, Association-represented employees could reasonably fear that exercising their PECBA-guaranteed rights would result in undesired changes (i.e., increased formality and  documentation),  as well as heightened scrutiny and less favorable judgments from their </w:t>
      </w:r>
      <w:proofErr w:type="gramStart"/>
      <w:r>
        <w:rPr>
          <w:rFonts w:ascii="Times New Roman" w:hAnsi="Times New Roman"/>
          <w:sz w:val="24"/>
          <w:szCs w:val="24"/>
        </w:rPr>
        <w:t>supervisors.”</w:t>
      </w:r>
      <w:proofErr w:type="gramEnd"/>
    </w:p>
    <w:p w14:paraId="30A2A596" w14:textId="31E17E39" w:rsidR="00297434" w:rsidRDefault="00297434" w:rsidP="00297434">
      <w:pPr>
        <w:pStyle w:val="NoSpacing"/>
        <w:ind w:left="720"/>
        <w:rPr>
          <w:rFonts w:ascii="Times New Roman" w:hAnsi="Times New Roman"/>
          <w:sz w:val="24"/>
          <w:szCs w:val="24"/>
        </w:rPr>
      </w:pPr>
      <w:hyperlink r:id="rId2806" w:history="1">
        <w:r>
          <w:rPr>
            <w:rStyle w:val="Hyperlink"/>
            <w:rFonts w:ascii="Times New Roman" w:hAnsi="Times New Roman"/>
            <w:sz w:val="24"/>
            <w:szCs w:val="24"/>
          </w:rPr>
          <w:t>https://apps.fastcase.com/Research/Pages/Document.aspx?LTID=ymjJQ%2bnA3gcD0uwW%2fXT8m74LrRSQo4n%2fvIMvSs06sm8gvhQE4Uja7b0PnhuF%2f4C2xuQogpx6q5d2KkmcmH7G9BxVUizxwq9%2bCSXj%2fVTkPcKayiYbCxXnu3qAsQnurF1%2fEGlhVwGun1DCyEjfhN2WDA%3d%3d</w:t>
        </w:r>
      </w:hyperlink>
      <w:r>
        <w:rPr>
          <w:rFonts w:ascii="Times New Roman" w:hAnsi="Times New Roman"/>
          <w:sz w:val="24"/>
          <w:szCs w:val="24"/>
        </w:rPr>
        <w:t xml:space="preserve"> </w:t>
      </w:r>
    </w:p>
    <w:p w14:paraId="32B42FCB" w14:textId="459A457A" w:rsidR="00297434" w:rsidRDefault="00297434" w:rsidP="00297434">
      <w:pPr>
        <w:pStyle w:val="NoSpacing"/>
        <w:ind w:left="720"/>
        <w:rPr>
          <w:rFonts w:ascii="Times New Roman" w:hAnsi="Times New Roman"/>
          <w:sz w:val="24"/>
          <w:szCs w:val="24"/>
        </w:rPr>
      </w:pPr>
    </w:p>
    <w:p w14:paraId="60847410" w14:textId="77777777" w:rsidR="00297434" w:rsidRDefault="00297434" w:rsidP="00297434">
      <w:pPr>
        <w:pStyle w:val="NoSpacing"/>
        <w:rPr>
          <w:rFonts w:ascii="Times New Roman" w:hAnsi="Times New Roman"/>
          <w:b/>
          <w:bCs/>
          <w:sz w:val="24"/>
          <w:szCs w:val="24"/>
        </w:rPr>
      </w:pPr>
      <w:r>
        <w:rPr>
          <w:rFonts w:ascii="Times New Roman" w:hAnsi="Times New Roman"/>
          <w:b/>
          <w:bCs/>
          <w:sz w:val="24"/>
          <w:szCs w:val="24"/>
        </w:rPr>
        <w:t xml:space="preserve">Legal Lessons Learned: New disciplinary processes implemented shortly after a union has been formed can lead to a “unfair labor practice” complaint.  Under Oregon statutes, it is an unfair labor practice to: </w:t>
      </w:r>
      <w:r>
        <w:rPr>
          <w:rStyle w:val="outlineheading2"/>
          <w:rFonts w:ascii="Times New Roman" w:hAnsi="Times New Roman"/>
          <w:b/>
          <w:bCs/>
          <w:sz w:val="24"/>
          <w:szCs w:val="24"/>
        </w:rPr>
        <w:t xml:space="preserve"> “(a)</w:t>
      </w:r>
      <w:r>
        <w:rPr>
          <w:rFonts w:ascii="Times New Roman" w:hAnsi="Times New Roman"/>
          <w:b/>
          <w:bCs/>
          <w:sz w:val="24"/>
          <w:szCs w:val="24"/>
        </w:rPr>
        <w:t xml:space="preserve"> Interfere with, restrain or coerce any employee in or because of the exercise of any right guaranteed under ORS </w:t>
      </w:r>
      <w:hyperlink r:id="rId2807" w:history="1">
        <w:r>
          <w:rPr>
            <w:rStyle w:val="Hyperlink"/>
            <w:rFonts w:ascii="Times New Roman" w:hAnsi="Times New Roman"/>
            <w:b/>
            <w:bCs/>
            <w:sz w:val="24"/>
            <w:szCs w:val="24"/>
          </w:rPr>
          <w:t xml:space="preserve">243.650 </w:t>
        </w:r>
        <w:r>
          <w:rPr>
            <w:rStyle w:val="annotation"/>
            <w:rFonts w:ascii="Times New Roman" w:hAnsi="Times New Roman"/>
            <w:b/>
            <w:bCs/>
            <w:sz w:val="24"/>
            <w:szCs w:val="24"/>
          </w:rPr>
          <w:t>(Definitions for ORS 243.650 to 243.782)</w:t>
        </w:r>
      </w:hyperlink>
      <w:r>
        <w:rPr>
          <w:rFonts w:ascii="Times New Roman" w:hAnsi="Times New Roman"/>
          <w:b/>
          <w:bCs/>
          <w:sz w:val="24"/>
          <w:szCs w:val="24"/>
        </w:rPr>
        <w:t xml:space="preserve"> to </w:t>
      </w:r>
      <w:hyperlink r:id="rId2808" w:history="1">
        <w:r>
          <w:rPr>
            <w:rStyle w:val="Hyperlink"/>
            <w:rFonts w:ascii="Times New Roman" w:hAnsi="Times New Roman"/>
            <w:b/>
            <w:bCs/>
            <w:sz w:val="24"/>
            <w:szCs w:val="24"/>
          </w:rPr>
          <w:t xml:space="preserve">243.782 </w:t>
        </w:r>
        <w:r>
          <w:rPr>
            <w:rStyle w:val="annotation"/>
            <w:rFonts w:ascii="Times New Roman" w:hAnsi="Times New Roman"/>
            <w:b/>
            <w:bCs/>
            <w:sz w:val="24"/>
            <w:szCs w:val="24"/>
          </w:rPr>
          <w:t>(Representation by counsel authorized)</w:t>
        </w:r>
      </w:hyperlink>
      <w:r>
        <w:rPr>
          <w:rFonts w:ascii="Times New Roman" w:hAnsi="Times New Roman"/>
          <w:b/>
          <w:bCs/>
          <w:sz w:val="24"/>
          <w:szCs w:val="24"/>
        </w:rPr>
        <w:t xml:space="preserve">.”  </w:t>
      </w:r>
      <w:hyperlink r:id="rId2809" w:history="1">
        <w:r>
          <w:rPr>
            <w:rStyle w:val="Hyperlink"/>
            <w:rFonts w:ascii="Times New Roman" w:hAnsi="Times New Roman"/>
            <w:b/>
            <w:bCs/>
            <w:sz w:val="24"/>
            <w:szCs w:val="24"/>
          </w:rPr>
          <w:t>https://www.oregonlaws.org/ors/243.672</w:t>
        </w:r>
      </w:hyperlink>
      <w:r>
        <w:rPr>
          <w:rFonts w:ascii="Times New Roman" w:hAnsi="Times New Roman"/>
          <w:b/>
          <w:bCs/>
          <w:sz w:val="24"/>
          <w:szCs w:val="24"/>
        </w:rPr>
        <w:t xml:space="preserve"> </w:t>
      </w:r>
    </w:p>
    <w:p w14:paraId="54657ABA" w14:textId="77777777" w:rsidR="00297434" w:rsidRDefault="00297434" w:rsidP="00297434">
      <w:pPr>
        <w:pStyle w:val="NoSpacing"/>
        <w:rPr>
          <w:rFonts w:ascii="Times New Roman" w:hAnsi="Times New Roman"/>
          <w:b/>
          <w:bCs/>
          <w:sz w:val="24"/>
          <w:szCs w:val="24"/>
        </w:rPr>
      </w:pPr>
    </w:p>
    <w:p w14:paraId="4A684524" w14:textId="15022546" w:rsidR="00297434" w:rsidRDefault="00297434" w:rsidP="00297434">
      <w:pPr>
        <w:pStyle w:val="NoSpacing"/>
        <w:rPr>
          <w:rFonts w:ascii="Times New Roman" w:hAnsi="Times New Roman"/>
          <w:sz w:val="24"/>
          <w:szCs w:val="24"/>
        </w:rPr>
      </w:pPr>
    </w:p>
    <w:p w14:paraId="68147D2A" w14:textId="6AB7397E" w:rsidR="00297434" w:rsidRDefault="00297434" w:rsidP="00F326E5">
      <w:pPr>
        <w:pStyle w:val="NoSpacing"/>
        <w:rPr>
          <w:rFonts w:ascii="Arial Black" w:hAnsi="Arial Black"/>
          <w:sz w:val="24"/>
          <w:szCs w:val="24"/>
        </w:rPr>
      </w:pPr>
    </w:p>
    <w:p w14:paraId="6732209A" w14:textId="77777777" w:rsidR="00297434" w:rsidRDefault="00297434" w:rsidP="00F326E5">
      <w:pPr>
        <w:pStyle w:val="NoSpacing"/>
        <w:rPr>
          <w:rFonts w:ascii="Arial Black" w:hAnsi="Arial Black"/>
          <w:sz w:val="24"/>
          <w:szCs w:val="24"/>
        </w:rPr>
      </w:pPr>
    </w:p>
    <w:p w14:paraId="25088449" w14:textId="7512A433" w:rsidR="00297434" w:rsidRDefault="00297434" w:rsidP="00F326E5">
      <w:pPr>
        <w:pStyle w:val="NoSpacing"/>
        <w:rPr>
          <w:rFonts w:ascii="Arial Black" w:hAnsi="Arial Black"/>
          <w:sz w:val="24"/>
          <w:szCs w:val="24"/>
        </w:rPr>
      </w:pPr>
      <w:r>
        <w:rPr>
          <w:rFonts w:ascii="Arial Black" w:hAnsi="Arial Black"/>
          <w:sz w:val="24"/>
          <w:szCs w:val="24"/>
        </w:rPr>
        <w:lastRenderedPageBreak/>
        <w:t>16-19</w:t>
      </w:r>
    </w:p>
    <w:p w14:paraId="51ED5777" w14:textId="7C2DC461" w:rsidR="00297434" w:rsidRDefault="00297434" w:rsidP="00F326E5">
      <w:pPr>
        <w:pStyle w:val="NoSpacing"/>
        <w:rPr>
          <w:rFonts w:ascii="Arial Black" w:hAnsi="Arial Black"/>
          <w:sz w:val="24"/>
          <w:szCs w:val="24"/>
        </w:rPr>
      </w:pPr>
    </w:p>
    <w:p w14:paraId="08BCD668" w14:textId="77777777" w:rsidR="00297434" w:rsidRDefault="00297434" w:rsidP="00297434">
      <w:pPr>
        <w:pStyle w:val="NoSpacing"/>
        <w:rPr>
          <w:rFonts w:ascii="Arial Black" w:hAnsi="Arial Black"/>
          <w:sz w:val="28"/>
          <w:szCs w:val="28"/>
        </w:rPr>
      </w:pPr>
      <w:r>
        <w:rPr>
          <w:rFonts w:ascii="Arial Black" w:hAnsi="Arial Black"/>
          <w:sz w:val="28"/>
          <w:szCs w:val="28"/>
        </w:rPr>
        <w:t>LA: FF “BILL OF RIGHTS” VIOLATED – FF INTERVIEWED BY SENIOR FD OFFICER AFTER ARREST FOR ROAD RAGE</w:t>
      </w:r>
    </w:p>
    <w:p w14:paraId="4F79F69F" w14:textId="77777777" w:rsidR="00297434" w:rsidRDefault="00297434" w:rsidP="00297434">
      <w:pPr>
        <w:pStyle w:val="NoSpacing"/>
        <w:rPr>
          <w:rFonts w:ascii="Times New Roman" w:hAnsi="Times New Roman"/>
          <w:sz w:val="24"/>
          <w:szCs w:val="24"/>
        </w:rPr>
      </w:pPr>
    </w:p>
    <w:p w14:paraId="14F71D5D" w14:textId="77777777" w:rsidR="00297434" w:rsidRDefault="00297434" w:rsidP="00297434">
      <w:pPr>
        <w:pStyle w:val="NoSpacing"/>
        <w:rPr>
          <w:rFonts w:ascii="Times New Roman" w:hAnsi="Times New Roman"/>
          <w:sz w:val="24"/>
          <w:szCs w:val="24"/>
        </w:rPr>
      </w:pPr>
      <w:r>
        <w:rPr>
          <w:rFonts w:ascii="Times New Roman" w:hAnsi="Times New Roman"/>
          <w:sz w:val="24"/>
          <w:szCs w:val="24"/>
        </w:rPr>
        <w:t xml:space="preserve">On Dec. 4, 2019, in </w:t>
      </w:r>
      <w:r>
        <w:rPr>
          <w:rFonts w:ascii="Times New Roman" w:hAnsi="Times New Roman"/>
          <w:sz w:val="24"/>
          <w:szCs w:val="24"/>
          <w:u w:val="single"/>
        </w:rPr>
        <w:t>Jonathan Farrelly v. Jefferson Parish East Bank Consolidated Fire District</w:t>
      </w:r>
      <w:r>
        <w:rPr>
          <w:rFonts w:ascii="Times New Roman" w:hAnsi="Times New Roman"/>
          <w:sz w:val="24"/>
          <w:szCs w:val="24"/>
        </w:rPr>
        <w:t>, the Fifth Circuit Court of Appeals held (3 to 0) that FD violated the Firefighter Bill of Rights.</w:t>
      </w:r>
    </w:p>
    <w:p w14:paraId="672E25F7" w14:textId="77777777" w:rsidR="00297434" w:rsidRDefault="00297434" w:rsidP="00297434">
      <w:pPr>
        <w:pStyle w:val="NoSpacing"/>
        <w:rPr>
          <w:rFonts w:ascii="Times New Roman" w:hAnsi="Times New Roman"/>
          <w:sz w:val="24"/>
          <w:szCs w:val="24"/>
        </w:rPr>
      </w:pPr>
    </w:p>
    <w:p w14:paraId="707362DF" w14:textId="77777777" w:rsidR="00297434" w:rsidRDefault="00297434" w:rsidP="00297434">
      <w:pPr>
        <w:pStyle w:val="NoSpacing"/>
        <w:ind w:left="720"/>
        <w:rPr>
          <w:rFonts w:ascii="Times New Roman" w:hAnsi="Times New Roman"/>
          <w:sz w:val="24"/>
          <w:szCs w:val="24"/>
        </w:rPr>
      </w:pPr>
      <w:r>
        <w:rPr>
          <w:rFonts w:ascii="Times New Roman" w:hAnsi="Times New Roman"/>
          <w:sz w:val="24"/>
          <w:szCs w:val="24"/>
        </w:rPr>
        <w:t xml:space="preserve">“Without the presence of counsel, Farrelly was asked to discuss facts relating to a pending criminal prosecution. While the Firefighter Bill of Rights provides that statements made </w:t>
      </w:r>
      <w:proofErr w:type="gramStart"/>
      <w:r>
        <w:rPr>
          <w:rFonts w:ascii="Times New Roman" w:hAnsi="Times New Roman"/>
          <w:sz w:val="24"/>
          <w:szCs w:val="24"/>
        </w:rPr>
        <w:t>during the course of</w:t>
      </w:r>
      <w:proofErr w:type="gramEnd"/>
      <w:r>
        <w:rPr>
          <w:rFonts w:ascii="Times New Roman" w:hAnsi="Times New Roman"/>
          <w:sz w:val="24"/>
          <w:szCs w:val="24"/>
        </w:rPr>
        <w:t xml:space="preserve"> an administrative investigation shall not be admissible in a criminal proceeding, Farrelly was not informed of these rights at the time of the meeting. La. R.S. 33:2181(B)(7). He was not advised whether his disclosures to his employers could adversely affect his impending criminal case. He may have felt that he had to answer the questions of his superiors as Department Rules and Regulation, Article X Section 3:06 states ‘[a]</w:t>
      </w:r>
      <w:proofErr w:type="spellStart"/>
      <w:r>
        <w:rPr>
          <w:rFonts w:ascii="Times New Roman" w:hAnsi="Times New Roman"/>
          <w:sz w:val="24"/>
          <w:szCs w:val="24"/>
        </w:rPr>
        <w:t>ny</w:t>
      </w:r>
      <w:proofErr w:type="spellEnd"/>
      <w:r>
        <w:rPr>
          <w:rFonts w:ascii="Times New Roman" w:hAnsi="Times New Roman"/>
          <w:sz w:val="24"/>
          <w:szCs w:val="24"/>
        </w:rPr>
        <w:t xml:space="preserve"> member who, when so directed by authority, refuses to answer questions or render statements, material, etc. relevant to any Department investigation shall be subject to disciplinary action.’ Furthermore, when the Department seeks information regarding conduct that results in an arrest, the details of the conduct can be confirmed through the police report.” </w:t>
      </w:r>
    </w:p>
    <w:p w14:paraId="38B166AD" w14:textId="0957C172" w:rsidR="00297434" w:rsidRDefault="00297434" w:rsidP="00297434">
      <w:pPr>
        <w:pStyle w:val="NoSpacing"/>
        <w:rPr>
          <w:rStyle w:val="Hyperlink"/>
          <w:rFonts w:ascii="Times New Roman" w:hAnsi="Times New Roman"/>
          <w:sz w:val="24"/>
          <w:szCs w:val="24"/>
        </w:rPr>
      </w:pPr>
      <w:hyperlink r:id="rId2810" w:history="1">
        <w:r>
          <w:rPr>
            <w:rStyle w:val="Hyperlink"/>
            <w:rFonts w:ascii="Times New Roman" w:hAnsi="Times New Roman"/>
            <w:sz w:val="24"/>
            <w:szCs w:val="24"/>
          </w:rPr>
          <w:t>http://www.fifthcircuit.org/dmzdocs/OI/PO/2019/D2D01276-0CAB-4C3C-8746-E6A5E19BC45A.pdf</w:t>
        </w:r>
      </w:hyperlink>
    </w:p>
    <w:p w14:paraId="06A4D58F" w14:textId="7CA189B1" w:rsidR="00297434" w:rsidRDefault="00297434" w:rsidP="00297434">
      <w:pPr>
        <w:pStyle w:val="NoSpacing"/>
        <w:rPr>
          <w:rStyle w:val="Hyperlink"/>
          <w:rFonts w:ascii="Times New Roman" w:hAnsi="Times New Roman"/>
          <w:sz w:val="24"/>
          <w:szCs w:val="24"/>
        </w:rPr>
      </w:pPr>
    </w:p>
    <w:p w14:paraId="71024EE5" w14:textId="77777777" w:rsidR="00297434" w:rsidRDefault="00297434" w:rsidP="00297434">
      <w:pPr>
        <w:pStyle w:val="NoSpacing"/>
        <w:ind w:left="-90"/>
        <w:rPr>
          <w:rFonts w:ascii="Times New Roman" w:hAnsi="Times New Roman"/>
          <w:b/>
          <w:bCs/>
          <w:sz w:val="24"/>
          <w:szCs w:val="24"/>
        </w:rPr>
      </w:pPr>
      <w:r>
        <w:rPr>
          <w:rFonts w:ascii="Times New Roman" w:hAnsi="Times New Roman"/>
          <w:b/>
          <w:bCs/>
          <w:sz w:val="24"/>
          <w:szCs w:val="24"/>
        </w:rPr>
        <w:t xml:space="preserve">Legal Lessons Learned: When the FF returned to work, he should have only been interviewed by his immediate supervisors, who in turn could advise the senior officers what they had learned.   See the Louisiana statute: FIRE EMPLOYEE'S RIGHTS: </w:t>
      </w:r>
    </w:p>
    <w:p w14:paraId="0099A3F4" w14:textId="77777777" w:rsidR="00297434" w:rsidRDefault="00297434" w:rsidP="00297434">
      <w:pPr>
        <w:pStyle w:val="NoSpacing"/>
        <w:ind w:left="720"/>
        <w:rPr>
          <w:rFonts w:ascii="Times New Roman" w:hAnsi="Times New Roman"/>
          <w:sz w:val="24"/>
          <w:szCs w:val="24"/>
        </w:rPr>
      </w:pPr>
      <w:r>
        <w:rPr>
          <w:rFonts w:ascii="Times New Roman" w:hAnsi="Times New Roman"/>
          <w:b/>
          <w:bCs/>
          <w:sz w:val="24"/>
          <w:szCs w:val="24"/>
        </w:rPr>
        <w:t>(2)</w:t>
      </w:r>
      <w:r>
        <w:t xml:space="preserve"> </w:t>
      </w:r>
      <w:r>
        <w:rPr>
          <w:rFonts w:ascii="Times New Roman" w:hAnsi="Times New Roman"/>
          <w:b/>
          <w:bCs/>
          <w:sz w:val="24"/>
          <w:szCs w:val="24"/>
        </w:rPr>
        <w:t xml:space="preserve">"Interrogation" includes but is not limited to any formal interview, inquiry, or questioning of any fire employee by the appointing authority or the appointing authority's designee regarding misconduct, allegations of misconduct, or policy violation. An initial inquiry conducted by the fire employee's immediate supervisors </w:t>
      </w:r>
      <w:r w:rsidRPr="00880E83">
        <w:rPr>
          <w:rFonts w:ascii="Times New Roman" w:hAnsi="Times New Roman"/>
          <w:b/>
          <w:bCs/>
          <w:sz w:val="24"/>
          <w:szCs w:val="24"/>
        </w:rPr>
        <w:t>shall not be considered an interrogation.</w:t>
      </w:r>
      <w:r>
        <w:rPr>
          <w:rFonts w:ascii="Times New Roman" w:hAnsi="Times New Roman"/>
          <w:sz w:val="24"/>
          <w:szCs w:val="24"/>
        </w:rPr>
        <w:t xml:space="preserve"> </w:t>
      </w:r>
      <w:hyperlink r:id="rId2811" w:history="1">
        <w:r>
          <w:rPr>
            <w:rStyle w:val="Hyperlink"/>
            <w:rFonts w:ascii="Times New Roman" w:hAnsi="Times New Roman"/>
            <w:sz w:val="24"/>
            <w:szCs w:val="24"/>
          </w:rPr>
          <w:t>https://law.justia.com/codes/louisiana/2012/rs/title33/rs33-2181/</w:t>
        </w:r>
      </w:hyperlink>
      <w:r>
        <w:rPr>
          <w:rFonts w:ascii="Times New Roman" w:hAnsi="Times New Roman"/>
          <w:sz w:val="24"/>
          <w:szCs w:val="24"/>
        </w:rPr>
        <w:t xml:space="preserve"> </w:t>
      </w:r>
    </w:p>
    <w:p w14:paraId="4EFE3344" w14:textId="0901A95F" w:rsidR="00297434" w:rsidRDefault="00297434" w:rsidP="00297434">
      <w:pPr>
        <w:pStyle w:val="NoSpacing"/>
        <w:rPr>
          <w:rStyle w:val="Hyperlink"/>
          <w:rFonts w:ascii="Times New Roman" w:hAnsi="Times New Roman"/>
          <w:sz w:val="24"/>
          <w:szCs w:val="24"/>
        </w:rPr>
      </w:pPr>
    </w:p>
    <w:p w14:paraId="1FCB6A0B" w14:textId="0E5CB4CA" w:rsidR="00297434" w:rsidRPr="00297434" w:rsidRDefault="00297434" w:rsidP="00297434">
      <w:pPr>
        <w:pStyle w:val="NoSpacing"/>
        <w:rPr>
          <w:rFonts w:ascii="Times New Roman" w:hAnsi="Times New Roman"/>
          <w:sz w:val="24"/>
          <w:szCs w:val="24"/>
        </w:rPr>
      </w:pPr>
    </w:p>
    <w:p w14:paraId="62BB590D" w14:textId="77777777" w:rsidR="00297434" w:rsidRDefault="00297434" w:rsidP="00F326E5">
      <w:pPr>
        <w:pStyle w:val="NoSpacing"/>
        <w:rPr>
          <w:rFonts w:ascii="Arial Black" w:hAnsi="Arial Black"/>
          <w:sz w:val="24"/>
          <w:szCs w:val="24"/>
        </w:rPr>
      </w:pPr>
    </w:p>
    <w:p w14:paraId="0E96E3D4" w14:textId="4BC56513" w:rsidR="00297434" w:rsidRDefault="00297434" w:rsidP="00F326E5">
      <w:pPr>
        <w:pStyle w:val="NoSpacing"/>
        <w:rPr>
          <w:rFonts w:ascii="Arial Black" w:hAnsi="Arial Black"/>
          <w:sz w:val="24"/>
          <w:szCs w:val="24"/>
        </w:rPr>
      </w:pPr>
      <w:r>
        <w:rPr>
          <w:rFonts w:ascii="Arial Black" w:hAnsi="Arial Black"/>
          <w:sz w:val="24"/>
          <w:szCs w:val="24"/>
        </w:rPr>
        <w:t>16-18</w:t>
      </w:r>
    </w:p>
    <w:p w14:paraId="6EC374A3" w14:textId="5B5E7492" w:rsidR="00297434" w:rsidRDefault="00297434" w:rsidP="00F326E5">
      <w:pPr>
        <w:pStyle w:val="NoSpacing"/>
        <w:rPr>
          <w:rFonts w:ascii="Arial Black" w:hAnsi="Arial Black"/>
          <w:sz w:val="24"/>
          <w:szCs w:val="24"/>
        </w:rPr>
      </w:pPr>
    </w:p>
    <w:p w14:paraId="13E438D3" w14:textId="77777777" w:rsidR="00297434" w:rsidRDefault="00297434" w:rsidP="00297434">
      <w:pPr>
        <w:pStyle w:val="Heading1"/>
        <w:rPr>
          <w:rFonts w:ascii="Arial Black" w:hAnsi="Arial Black"/>
          <w:sz w:val="28"/>
          <w:szCs w:val="28"/>
        </w:rPr>
      </w:pPr>
      <w:r>
        <w:rPr>
          <w:rFonts w:ascii="Arial Black" w:hAnsi="Arial Black"/>
          <w:sz w:val="28"/>
          <w:szCs w:val="28"/>
        </w:rPr>
        <w:t>MI: FF COMPLAINED PORN, OSHA VIOLATIONS – FIRED FOR MISCHARGING TIME - “RETALIATION” CLAIM REINSTATED</w:t>
      </w:r>
    </w:p>
    <w:p w14:paraId="3564B60B" w14:textId="77777777" w:rsidR="00297434" w:rsidRDefault="00297434" w:rsidP="00297434">
      <w:pPr>
        <w:pStyle w:val="Heading1"/>
        <w:rPr>
          <w:b w:val="0"/>
          <w:bCs w:val="0"/>
          <w:sz w:val="24"/>
          <w:szCs w:val="24"/>
        </w:rPr>
      </w:pPr>
      <w:r>
        <w:rPr>
          <w:b w:val="0"/>
          <w:bCs w:val="0"/>
          <w:sz w:val="24"/>
          <w:szCs w:val="24"/>
        </w:rPr>
        <w:t xml:space="preserve">On Nov. 22, 2019, in </w:t>
      </w:r>
      <w:r>
        <w:rPr>
          <w:b w:val="0"/>
          <w:bCs w:val="0"/>
          <w:sz w:val="24"/>
          <w:szCs w:val="24"/>
          <w:u w:val="single"/>
        </w:rPr>
        <w:t>Peter Hudson v. City of Highland Park, Michigan, Derek Hillman; Makini Jackson</w:t>
      </w:r>
      <w:r>
        <w:rPr>
          <w:b w:val="0"/>
          <w:bCs w:val="0"/>
          <w:sz w:val="24"/>
          <w:szCs w:val="24"/>
        </w:rPr>
        <w:t>, the U.S. Court of Appeals for the 6</w:t>
      </w:r>
      <w:r>
        <w:rPr>
          <w:b w:val="0"/>
          <w:bCs w:val="0"/>
          <w:sz w:val="24"/>
          <w:szCs w:val="24"/>
          <w:vertAlign w:val="superscript"/>
        </w:rPr>
        <w:t>th</w:t>
      </w:r>
      <w:r>
        <w:rPr>
          <w:b w:val="0"/>
          <w:bCs w:val="0"/>
          <w:sz w:val="24"/>
          <w:szCs w:val="24"/>
        </w:rPr>
        <w:t xml:space="preserve"> Circuit (Cincinnati) held (3 to 0) that lawsuit should be reinstated against Fire Chief Dereck Hillman. </w:t>
      </w:r>
    </w:p>
    <w:p w14:paraId="73A89118" w14:textId="77777777" w:rsidR="00297434" w:rsidRDefault="00297434" w:rsidP="00297434">
      <w:pPr>
        <w:pStyle w:val="Heading1"/>
        <w:ind w:left="720"/>
        <w:rPr>
          <w:b w:val="0"/>
          <w:bCs w:val="0"/>
          <w:sz w:val="24"/>
          <w:szCs w:val="24"/>
        </w:rPr>
      </w:pPr>
      <w:r>
        <w:rPr>
          <w:b w:val="0"/>
          <w:bCs w:val="0"/>
          <w:sz w:val="24"/>
          <w:szCs w:val="24"/>
        </w:rPr>
        <w:t xml:space="preserve">“As to [Fire Chief Dereck] Hillman, Hudson’s claim stands on firmer ground. While the question is close, his amended complaint contained enough plausible allegations to move to the discovery stage of the case. For five years, Hudson openly criticized his co-workers’ behavior because he felt it hampered their ability to fight fires. Hillman knew about these comments (some concerned his behavior) and tolerated other firefighters’ dereliction of duty (some of them missed calls to respond to fires). As time passed, Hudson put his complaints into action. A year before his discharge, he filed a complaint with the Occupational Safety and Health Administration, alleging that the firefighters’ cavorting led to deficiencies in the station’s equipment. Hillman, at some point, told another firefighter that he had </w:t>
      </w:r>
      <w:r>
        <w:rPr>
          <w:b w:val="0"/>
          <w:bCs w:val="0"/>
          <w:sz w:val="24"/>
          <w:szCs w:val="24"/>
        </w:rPr>
        <w:lastRenderedPageBreak/>
        <w:t xml:space="preserve">grown tired of Hudson’s complaints. Hillman eventually found a way to get rid of Hudson: He had falsified his timecard. Hillman fired him on that basis, even though he knew another firefighter had done the same thing. Hudson tells us why: ‘[Hillman] objected to Hudson’s religious convictions and wanted to stop Hudson[’s] outspokenness against the immorality of Hillman and the firemen.’ Id.at 15. Considering these </w:t>
      </w:r>
      <w:proofErr w:type="gramStart"/>
      <w:r>
        <w:rPr>
          <w:b w:val="0"/>
          <w:bCs w:val="0"/>
          <w:sz w:val="24"/>
          <w:szCs w:val="24"/>
        </w:rPr>
        <w:t>allegations as a whole, it’s</w:t>
      </w:r>
      <w:proofErr w:type="gramEnd"/>
      <w:r>
        <w:rPr>
          <w:b w:val="0"/>
          <w:bCs w:val="0"/>
          <w:sz w:val="24"/>
          <w:szCs w:val="24"/>
        </w:rPr>
        <w:t xml:space="preserve"> fair to say that they meet the notice pleading requirements of plausible allegations that Hillman fired Hudson because of his speech.” </w:t>
      </w:r>
      <w:hyperlink r:id="rId2812" w:history="1">
        <w:r>
          <w:rPr>
            <w:rStyle w:val="Hyperlink"/>
            <w:b w:val="0"/>
            <w:bCs w:val="0"/>
            <w:sz w:val="24"/>
            <w:szCs w:val="24"/>
          </w:rPr>
          <w:t>https://www.opn.ca6.uscourts.gov/opinions.pdf/19a0286p-06.pdf</w:t>
        </w:r>
      </w:hyperlink>
      <w:r>
        <w:rPr>
          <w:b w:val="0"/>
          <w:bCs w:val="0"/>
          <w:sz w:val="24"/>
          <w:szCs w:val="24"/>
        </w:rPr>
        <w:t xml:space="preserve"> </w:t>
      </w:r>
    </w:p>
    <w:p w14:paraId="427C3E4F" w14:textId="77777777" w:rsidR="00297434" w:rsidRDefault="00297434" w:rsidP="00297434">
      <w:pPr>
        <w:pStyle w:val="NoSpacing"/>
        <w:rPr>
          <w:rFonts w:ascii="Times New Roman" w:hAnsi="Times New Roman"/>
          <w:b/>
          <w:bCs/>
          <w:sz w:val="24"/>
          <w:szCs w:val="24"/>
        </w:rPr>
      </w:pPr>
      <w:r>
        <w:rPr>
          <w:rFonts w:ascii="Times New Roman" w:hAnsi="Times New Roman"/>
          <w:b/>
          <w:bCs/>
          <w:sz w:val="24"/>
          <w:szCs w:val="24"/>
        </w:rPr>
        <w:t xml:space="preserve">Legal Lessons Learned: Federal courts will carefully review claims of “retaliation” when firefighter is fired after an internal complaint, or OSHA complaint, has been submitted by the firefighter. </w:t>
      </w:r>
    </w:p>
    <w:p w14:paraId="336F3FAE" w14:textId="77777777" w:rsidR="00297434" w:rsidRPr="00297434" w:rsidRDefault="00297434" w:rsidP="00297434">
      <w:pPr>
        <w:pStyle w:val="NoSpacing"/>
        <w:ind w:left="720"/>
        <w:rPr>
          <w:rFonts w:ascii="Times New Roman" w:hAnsi="Times New Roman"/>
          <w:sz w:val="24"/>
          <w:szCs w:val="24"/>
        </w:rPr>
      </w:pPr>
    </w:p>
    <w:p w14:paraId="51AAD97C" w14:textId="1590725E" w:rsidR="00297434" w:rsidRPr="00297434" w:rsidRDefault="00297434" w:rsidP="00F326E5">
      <w:pPr>
        <w:pStyle w:val="NoSpacing"/>
        <w:rPr>
          <w:rFonts w:ascii="Times New Roman" w:hAnsi="Times New Roman"/>
          <w:sz w:val="24"/>
          <w:szCs w:val="24"/>
        </w:rPr>
      </w:pPr>
    </w:p>
    <w:p w14:paraId="4B0F877B" w14:textId="77777777" w:rsidR="00297434" w:rsidRDefault="00297434" w:rsidP="00F326E5">
      <w:pPr>
        <w:pStyle w:val="NoSpacing"/>
        <w:rPr>
          <w:rFonts w:ascii="Arial Black" w:hAnsi="Arial Black"/>
          <w:sz w:val="24"/>
          <w:szCs w:val="24"/>
        </w:rPr>
      </w:pPr>
    </w:p>
    <w:p w14:paraId="0E0E34AC" w14:textId="4DAEEEE4" w:rsidR="00A06387" w:rsidRDefault="00A06387" w:rsidP="00F326E5">
      <w:pPr>
        <w:pStyle w:val="NoSpacing"/>
        <w:rPr>
          <w:rFonts w:ascii="Arial Black" w:hAnsi="Arial Black"/>
          <w:sz w:val="24"/>
          <w:szCs w:val="24"/>
        </w:rPr>
      </w:pPr>
      <w:r>
        <w:rPr>
          <w:rFonts w:ascii="Arial Black" w:hAnsi="Arial Black"/>
          <w:sz w:val="24"/>
          <w:szCs w:val="24"/>
        </w:rPr>
        <w:t>16-17</w:t>
      </w:r>
    </w:p>
    <w:p w14:paraId="40F01D0C" w14:textId="56973B56" w:rsidR="00A06387" w:rsidRDefault="00A06387" w:rsidP="00F326E5">
      <w:pPr>
        <w:pStyle w:val="NoSpacing"/>
        <w:rPr>
          <w:rFonts w:ascii="Arial Black" w:hAnsi="Arial Black"/>
          <w:sz w:val="24"/>
          <w:szCs w:val="24"/>
        </w:rPr>
      </w:pPr>
    </w:p>
    <w:p w14:paraId="6EFD4534" w14:textId="77777777" w:rsidR="00A06387" w:rsidRPr="00AE7062" w:rsidRDefault="00A06387" w:rsidP="00A06387">
      <w:pPr>
        <w:pStyle w:val="NoSpacing"/>
        <w:rPr>
          <w:rFonts w:ascii="Arial Black" w:hAnsi="Arial Black"/>
          <w:sz w:val="28"/>
          <w:szCs w:val="28"/>
        </w:rPr>
      </w:pPr>
      <w:r w:rsidRPr="00AE7062">
        <w:rPr>
          <w:rFonts w:ascii="Arial Black" w:hAnsi="Arial Black"/>
          <w:sz w:val="28"/>
          <w:szCs w:val="28"/>
        </w:rPr>
        <w:t>TX</w:t>
      </w:r>
      <w:r>
        <w:rPr>
          <w:rFonts w:ascii="Arial Black" w:hAnsi="Arial Black"/>
          <w:sz w:val="28"/>
          <w:szCs w:val="28"/>
        </w:rPr>
        <w:t xml:space="preserve">: FF’S </w:t>
      </w:r>
      <w:r w:rsidRPr="00AE7062">
        <w:rPr>
          <w:rFonts w:ascii="Arial Black" w:hAnsi="Arial Black"/>
          <w:sz w:val="28"/>
          <w:szCs w:val="28"/>
        </w:rPr>
        <w:t xml:space="preserve">INTERNAL COMPLAINTS ABOUT FIRE CHIEF - NOT PROTECTED FIRST AMENDMENT – </w:t>
      </w:r>
      <w:r>
        <w:rPr>
          <w:rFonts w:ascii="Arial Black" w:hAnsi="Arial Black"/>
          <w:sz w:val="28"/>
          <w:szCs w:val="28"/>
        </w:rPr>
        <w:t xml:space="preserve">NOT </w:t>
      </w:r>
      <w:r w:rsidRPr="00AE7062">
        <w:rPr>
          <w:rFonts w:ascii="Arial Black" w:hAnsi="Arial Black"/>
          <w:sz w:val="28"/>
          <w:szCs w:val="28"/>
        </w:rPr>
        <w:t>“PUBLIC CONCERN”</w:t>
      </w:r>
    </w:p>
    <w:p w14:paraId="0554C073" w14:textId="77777777" w:rsidR="00A06387" w:rsidRDefault="00A06387" w:rsidP="00A06387">
      <w:pPr>
        <w:pStyle w:val="NoSpacing"/>
        <w:rPr>
          <w:rFonts w:ascii="TXArial Black" w:hAnsi="TXArial Black"/>
          <w:sz w:val="28"/>
          <w:szCs w:val="28"/>
        </w:rPr>
      </w:pPr>
    </w:p>
    <w:p w14:paraId="1F67BD31" w14:textId="77777777" w:rsidR="00A06387" w:rsidRPr="00B8368A" w:rsidRDefault="00A06387" w:rsidP="00A06387">
      <w:pPr>
        <w:pStyle w:val="NoSpacing"/>
        <w:rPr>
          <w:rFonts w:ascii="Times New Roman" w:hAnsi="Times New Roman"/>
          <w:b/>
          <w:bCs/>
          <w:sz w:val="24"/>
          <w:szCs w:val="24"/>
        </w:rPr>
      </w:pPr>
      <w:r w:rsidRPr="00B8368A">
        <w:rPr>
          <w:rFonts w:ascii="Times New Roman" w:hAnsi="Times New Roman"/>
          <w:bCs/>
          <w:sz w:val="24"/>
          <w:szCs w:val="24"/>
        </w:rPr>
        <w:t xml:space="preserve">On Oct. 10, 2019, in </w:t>
      </w:r>
      <w:r w:rsidRPr="00B8368A">
        <w:rPr>
          <w:rFonts w:ascii="Times New Roman" w:hAnsi="Times New Roman"/>
          <w:bCs/>
          <w:sz w:val="24"/>
          <w:szCs w:val="24"/>
          <w:u w:val="single"/>
        </w:rPr>
        <w:t>Billy Fratus v, The City of Baumont</w:t>
      </w:r>
      <w:r w:rsidRPr="00B8368A">
        <w:rPr>
          <w:rFonts w:ascii="Times New Roman" w:hAnsi="Times New Roman"/>
          <w:bCs/>
          <w:sz w:val="24"/>
          <w:szCs w:val="24"/>
        </w:rPr>
        <w:t>, the Court of Appeals, Ninth District of Texas at Beaumont, held (3 to 0) that trial court properly dismissed the firefighter’s lawsuit alleging he was fired [later reinstated] in retaliation for his internal complaints.</w:t>
      </w:r>
    </w:p>
    <w:p w14:paraId="69D1CA3A" w14:textId="77777777" w:rsidR="00A06387" w:rsidRPr="00B8368A" w:rsidRDefault="00A06387" w:rsidP="00A06387">
      <w:pPr>
        <w:pStyle w:val="NoSpacing"/>
        <w:rPr>
          <w:rFonts w:ascii="Times New Roman" w:hAnsi="Times New Roman"/>
          <w:b/>
          <w:bCs/>
          <w:sz w:val="24"/>
          <w:szCs w:val="24"/>
        </w:rPr>
      </w:pPr>
    </w:p>
    <w:p w14:paraId="4E878CC7" w14:textId="775730D5" w:rsidR="00A06387" w:rsidRPr="00B8368A" w:rsidRDefault="00A06387" w:rsidP="00A06387">
      <w:pPr>
        <w:pStyle w:val="NoSpacing"/>
        <w:ind w:left="720"/>
        <w:rPr>
          <w:rFonts w:ascii="Times New Roman" w:hAnsi="Times New Roman"/>
          <w:b/>
          <w:bCs/>
          <w:sz w:val="24"/>
          <w:szCs w:val="24"/>
        </w:rPr>
      </w:pPr>
      <w:r w:rsidRPr="00B8368A">
        <w:rPr>
          <w:rFonts w:ascii="Times New Roman" w:hAnsi="Times New Roman"/>
          <w:bCs/>
          <w:sz w:val="24"/>
          <w:szCs w:val="24"/>
        </w:rPr>
        <w:t>“The speech Fratus claims is protected under the Texas constitution is (1) that he ‘joined the public outcry against Huff when she illegally fired’ a firefighter, (2) he ‘made it quite clear and said that he opposed Huff or any command officer sexually harassing members of the department,’ and (3) he ‘publicly opposed Huff’s public, on duty support’ of a former firefighter in a criminal prosecution. According to the City, Fratus failed to allege how these instances of speech constituted a matter of public concern.</w:t>
      </w:r>
      <w:r w:rsidR="00B8368A">
        <w:rPr>
          <w:rFonts w:ascii="Times New Roman" w:hAnsi="Times New Roman"/>
          <w:bCs/>
          <w:sz w:val="24"/>
          <w:szCs w:val="24"/>
        </w:rPr>
        <w:t xml:space="preserve"> *** </w:t>
      </w:r>
      <w:r w:rsidRPr="00B8368A">
        <w:rPr>
          <w:rFonts w:ascii="Times New Roman" w:hAnsi="Times New Roman"/>
          <w:bCs/>
          <w:sz w:val="24"/>
          <w:szCs w:val="24"/>
        </w:rPr>
        <w:t xml:space="preserve">On this record, we conclude that Fratus has failed to plead a prima facie </w:t>
      </w:r>
      <w:proofErr w:type="gramStart"/>
      <w:r w:rsidRPr="00B8368A">
        <w:rPr>
          <w:rFonts w:ascii="Times New Roman" w:hAnsi="Times New Roman"/>
          <w:bCs/>
          <w:sz w:val="24"/>
          <w:szCs w:val="24"/>
        </w:rPr>
        <w:t>free speech</w:t>
      </w:r>
      <w:proofErr w:type="gramEnd"/>
      <w:r w:rsidRPr="00B8368A">
        <w:rPr>
          <w:rFonts w:ascii="Times New Roman" w:hAnsi="Times New Roman"/>
          <w:bCs/>
          <w:sz w:val="24"/>
          <w:szCs w:val="24"/>
        </w:rPr>
        <w:t xml:space="preserve"> claim because he failed to meet his burden of showing he engaged in speech primarily as a citizen involving a matter of public </w:t>
      </w:r>
      <w:proofErr w:type="gramStart"/>
      <w:r w:rsidRPr="00B8368A">
        <w:rPr>
          <w:rFonts w:ascii="Times New Roman" w:hAnsi="Times New Roman"/>
          <w:bCs/>
          <w:sz w:val="24"/>
          <w:szCs w:val="24"/>
        </w:rPr>
        <w:t>concern.”</w:t>
      </w:r>
      <w:proofErr w:type="gramEnd"/>
      <w:r w:rsidRPr="00B8368A">
        <w:rPr>
          <w:rFonts w:ascii="Times New Roman" w:hAnsi="Times New Roman"/>
          <w:bCs/>
          <w:sz w:val="24"/>
          <w:szCs w:val="24"/>
        </w:rPr>
        <w:t xml:space="preserve"> </w:t>
      </w:r>
    </w:p>
    <w:p w14:paraId="41309253" w14:textId="77777777" w:rsidR="00A06387" w:rsidRPr="00B8368A" w:rsidRDefault="00A06387" w:rsidP="00A06387">
      <w:pPr>
        <w:pStyle w:val="NoSpacing"/>
        <w:ind w:left="720"/>
        <w:rPr>
          <w:rFonts w:ascii="Times New Roman" w:hAnsi="Times New Roman"/>
          <w:b/>
          <w:bCs/>
          <w:sz w:val="24"/>
          <w:szCs w:val="24"/>
        </w:rPr>
      </w:pPr>
      <w:hyperlink r:id="rId2813" w:history="1">
        <w:r w:rsidRPr="00B8368A">
          <w:rPr>
            <w:rStyle w:val="Hyperlink"/>
            <w:rFonts w:ascii="Times New Roman" w:hAnsi="Times New Roman"/>
            <w:bCs/>
            <w:sz w:val="24"/>
            <w:szCs w:val="24"/>
          </w:rPr>
          <w:t>http://www.search.txcourts.gov/SearchMedia.aspx?MediaVersionID=c3f113f2-1ba2-49ff-a2ab-1b5420c141ac&amp;coa=coa09&amp;DT=Opinion&amp;MediaID=ad82a5f3-c7c6-4b28-8fe8-0de313580d94</w:t>
        </w:r>
      </w:hyperlink>
      <w:r w:rsidRPr="00B8368A">
        <w:rPr>
          <w:rFonts w:ascii="Times New Roman" w:hAnsi="Times New Roman"/>
          <w:bCs/>
          <w:sz w:val="24"/>
          <w:szCs w:val="24"/>
        </w:rPr>
        <w:t xml:space="preserve"> </w:t>
      </w:r>
    </w:p>
    <w:p w14:paraId="0BFF6939" w14:textId="77777777" w:rsidR="00A06387" w:rsidRPr="00B8368A" w:rsidRDefault="00A06387" w:rsidP="00A06387">
      <w:pPr>
        <w:pStyle w:val="NoSpacing"/>
        <w:rPr>
          <w:rFonts w:ascii="Times New Roman" w:hAnsi="Times New Roman"/>
          <w:b/>
          <w:bCs/>
          <w:sz w:val="24"/>
          <w:szCs w:val="24"/>
        </w:rPr>
      </w:pPr>
    </w:p>
    <w:p w14:paraId="04587631" w14:textId="77777777" w:rsidR="00B8368A" w:rsidRDefault="00A06387" w:rsidP="00A06387">
      <w:pPr>
        <w:pStyle w:val="NoSpacing"/>
        <w:rPr>
          <w:rFonts w:ascii="Times New Roman" w:hAnsi="Times New Roman"/>
          <w:sz w:val="24"/>
          <w:szCs w:val="24"/>
        </w:rPr>
      </w:pPr>
      <w:r w:rsidRPr="00B8368A">
        <w:rPr>
          <w:rFonts w:ascii="Times New Roman" w:hAnsi="Times New Roman"/>
          <w:b/>
          <w:bCs/>
          <w:sz w:val="24"/>
          <w:szCs w:val="24"/>
        </w:rPr>
        <w:t>Legal Lessons Learned: Firefighters and other public employees have limited First Amendment rights, unless speech relates to items of “public concern.”</w:t>
      </w:r>
      <w:r w:rsidRPr="00B8368A">
        <w:rPr>
          <w:rFonts w:ascii="Times New Roman" w:hAnsi="Times New Roman"/>
          <w:sz w:val="24"/>
          <w:szCs w:val="24"/>
        </w:rPr>
        <w:t xml:space="preserve">  </w:t>
      </w:r>
    </w:p>
    <w:p w14:paraId="302858C7" w14:textId="50BAE7B4" w:rsidR="00A06387" w:rsidRPr="00B8368A" w:rsidRDefault="00A06387" w:rsidP="00B8368A">
      <w:pPr>
        <w:pStyle w:val="NoSpacing"/>
        <w:ind w:left="720"/>
        <w:rPr>
          <w:rFonts w:ascii="Times New Roman" w:hAnsi="Times New Roman"/>
          <w:b/>
          <w:bCs/>
          <w:sz w:val="24"/>
          <w:szCs w:val="24"/>
        </w:rPr>
      </w:pPr>
      <w:r w:rsidRPr="00B8368A">
        <w:rPr>
          <w:rFonts w:ascii="Times New Roman" w:hAnsi="Times New Roman"/>
          <w:bCs/>
          <w:sz w:val="24"/>
          <w:szCs w:val="24"/>
        </w:rPr>
        <w:t>An example</w:t>
      </w:r>
      <w:r w:rsidRPr="00B8368A">
        <w:rPr>
          <w:rFonts w:ascii="Times New Roman" w:hAnsi="Times New Roman"/>
          <w:sz w:val="24"/>
          <w:szCs w:val="24"/>
        </w:rPr>
        <w:t xml:space="preserve"> </w:t>
      </w:r>
      <w:r w:rsidRPr="00B8368A">
        <w:rPr>
          <w:rFonts w:ascii="Times New Roman" w:hAnsi="Times New Roman"/>
          <w:bCs/>
          <w:sz w:val="24"/>
          <w:szCs w:val="24"/>
        </w:rPr>
        <w:t xml:space="preserve">on an item that would be covered – public comments on proposed tax levy.  See the U.S. Supreme Court’s decision in Pickering v. Board of Education, 391 U.S. 563 (1968) (establishing the so-called “balancing test”), where the Court reversed the termination of a teacher who sent letter to local newspaper about proposed school board tax levy: </w:t>
      </w:r>
      <w:r w:rsidRPr="00B8368A">
        <w:rPr>
          <w:rStyle w:val="headertext"/>
          <w:rFonts w:ascii="Times New Roman" w:hAnsi="Times New Roman"/>
          <w:bCs/>
          <w:sz w:val="24"/>
          <w:szCs w:val="24"/>
        </w:rPr>
        <w:t xml:space="preserve">“Appellant Marvin L. Pickering, a teacher in Township High School District 205, Will County, Illinois, was dismissed from his position by the appellee Board of Education for sending a letter to a local newspaper in connection with a recently proposed tax increase that was critical of the way in which the Board and the district superintendent of schools had handled past proposals to raise new revenue for the schools. *** </w:t>
      </w:r>
      <w:r w:rsidRPr="00B8368A">
        <w:rPr>
          <w:rFonts w:ascii="Times New Roman" w:hAnsi="Times New Roman"/>
          <w:bCs/>
          <w:sz w:val="24"/>
          <w:szCs w:val="24"/>
        </w:rPr>
        <w:t xml:space="preserve">In these circumstances, we conclude that the interest of the school administration in limiting teachers' opportunities to contribute to public debate is not significantly greater than its interest in limiting a similar contribution by any member of the </w:t>
      </w:r>
      <w:proofErr w:type="gramStart"/>
      <w:r w:rsidRPr="00B8368A">
        <w:rPr>
          <w:rFonts w:ascii="Times New Roman" w:hAnsi="Times New Roman"/>
          <w:bCs/>
          <w:sz w:val="24"/>
          <w:szCs w:val="24"/>
        </w:rPr>
        <w:t>general public</w:t>
      </w:r>
      <w:proofErr w:type="gramEnd"/>
      <w:r w:rsidRPr="00B8368A">
        <w:rPr>
          <w:rFonts w:ascii="Times New Roman" w:hAnsi="Times New Roman"/>
          <w:bCs/>
          <w:sz w:val="24"/>
          <w:szCs w:val="24"/>
        </w:rPr>
        <w:t xml:space="preserve">. </w:t>
      </w:r>
      <w:hyperlink r:id="rId2814" w:history="1">
        <w:r w:rsidRPr="00B8368A">
          <w:rPr>
            <w:rStyle w:val="Hyperlink"/>
            <w:rFonts w:ascii="Times New Roman" w:hAnsi="Times New Roman"/>
            <w:bCs/>
            <w:sz w:val="24"/>
            <w:szCs w:val="24"/>
          </w:rPr>
          <w:t>https://supreme.justia.com/cases/federal/us/391/563</w:t>
        </w:r>
      </w:hyperlink>
      <w:r w:rsidRPr="00B8368A">
        <w:rPr>
          <w:rFonts w:ascii="Times New Roman" w:hAnsi="Times New Roman"/>
          <w:bCs/>
          <w:sz w:val="24"/>
          <w:szCs w:val="24"/>
        </w:rPr>
        <w:t xml:space="preserve"> </w:t>
      </w:r>
    </w:p>
    <w:p w14:paraId="4CB0E108" w14:textId="77777777" w:rsidR="001D2278" w:rsidRDefault="001D2278" w:rsidP="00F326E5">
      <w:pPr>
        <w:pStyle w:val="NoSpacing"/>
        <w:rPr>
          <w:rFonts w:ascii="Arial Black" w:hAnsi="Arial Black"/>
          <w:sz w:val="24"/>
          <w:szCs w:val="24"/>
        </w:rPr>
      </w:pPr>
    </w:p>
    <w:p w14:paraId="2F434A7E" w14:textId="77777777" w:rsidR="001D2278" w:rsidRDefault="001D2278" w:rsidP="00F326E5">
      <w:pPr>
        <w:pStyle w:val="NoSpacing"/>
        <w:rPr>
          <w:rFonts w:ascii="Arial Black" w:hAnsi="Arial Black"/>
          <w:sz w:val="24"/>
          <w:szCs w:val="24"/>
        </w:rPr>
      </w:pPr>
    </w:p>
    <w:p w14:paraId="005EB006" w14:textId="38B5BDE8" w:rsidR="00A06387" w:rsidRDefault="00A06387" w:rsidP="00F326E5">
      <w:pPr>
        <w:pStyle w:val="NoSpacing"/>
        <w:rPr>
          <w:rFonts w:ascii="Arial Black" w:hAnsi="Arial Black"/>
          <w:sz w:val="24"/>
          <w:szCs w:val="24"/>
        </w:rPr>
      </w:pPr>
      <w:r>
        <w:rPr>
          <w:rFonts w:ascii="Arial Black" w:hAnsi="Arial Black"/>
          <w:sz w:val="24"/>
          <w:szCs w:val="24"/>
        </w:rPr>
        <w:t>16-16</w:t>
      </w:r>
    </w:p>
    <w:p w14:paraId="5F85AF12" w14:textId="269A1EC8" w:rsidR="00A06387" w:rsidRDefault="00A06387" w:rsidP="00F326E5">
      <w:pPr>
        <w:pStyle w:val="NoSpacing"/>
        <w:rPr>
          <w:rFonts w:ascii="Arial Black" w:hAnsi="Arial Black"/>
          <w:sz w:val="24"/>
          <w:szCs w:val="24"/>
        </w:rPr>
      </w:pPr>
    </w:p>
    <w:p w14:paraId="4A2D7DE9" w14:textId="77777777" w:rsidR="00A06387" w:rsidRPr="006B193B" w:rsidRDefault="00A06387" w:rsidP="00A06387">
      <w:pPr>
        <w:pStyle w:val="NoSpacing"/>
        <w:rPr>
          <w:rFonts w:ascii="Arial Black" w:hAnsi="Arial Black"/>
          <w:sz w:val="28"/>
          <w:szCs w:val="28"/>
        </w:rPr>
      </w:pPr>
      <w:r>
        <w:rPr>
          <w:rFonts w:ascii="Arial Black" w:hAnsi="Arial Black"/>
          <w:sz w:val="28"/>
          <w:szCs w:val="28"/>
        </w:rPr>
        <w:t>TX: “LAST CHANCE AGREEMENT” - BREACHED WITHIN TWO YEARS, SICK LEAVE ABUSE – FIRED – LAWSUIT DISMISSED</w:t>
      </w:r>
    </w:p>
    <w:p w14:paraId="4E441EE0" w14:textId="77777777" w:rsidR="00A06387" w:rsidRDefault="00A06387" w:rsidP="00A06387">
      <w:pPr>
        <w:pStyle w:val="NoSpacing"/>
      </w:pPr>
    </w:p>
    <w:p w14:paraId="26614467" w14:textId="77777777" w:rsidR="00A06387" w:rsidRPr="00B8368A" w:rsidRDefault="00A06387" w:rsidP="00A06387">
      <w:pPr>
        <w:pStyle w:val="NoSpacing"/>
        <w:rPr>
          <w:rFonts w:ascii="Times New Roman" w:hAnsi="Times New Roman"/>
          <w:b/>
          <w:bCs/>
          <w:sz w:val="24"/>
          <w:szCs w:val="24"/>
        </w:rPr>
      </w:pPr>
      <w:r w:rsidRPr="00B8368A">
        <w:rPr>
          <w:rFonts w:ascii="Times New Roman" w:hAnsi="Times New Roman"/>
          <w:bCs/>
          <w:sz w:val="24"/>
          <w:szCs w:val="24"/>
        </w:rPr>
        <w:t xml:space="preserve">On Oct. 3, 2019, in </w:t>
      </w:r>
      <w:r w:rsidRPr="00B8368A">
        <w:rPr>
          <w:rFonts w:ascii="Times New Roman" w:hAnsi="Times New Roman"/>
          <w:bCs/>
          <w:sz w:val="24"/>
          <w:szCs w:val="24"/>
          <w:u w:val="single"/>
        </w:rPr>
        <w:t>Michael Scott Nix v. City of Beaumont, Texas</w:t>
      </w:r>
      <w:r w:rsidRPr="00B8368A">
        <w:rPr>
          <w:rFonts w:ascii="Times New Roman" w:hAnsi="Times New Roman"/>
          <w:bCs/>
          <w:sz w:val="24"/>
          <w:szCs w:val="24"/>
        </w:rPr>
        <w:t xml:space="preserve">, the Court of Appeals, Ninth District of Texas ay Beaumont, the Court held (3 to 0) that trial court properly dismissed his lawsuit seeking a declaration that the City violated his rights when he was “indefinitely suspended” [terminated] on Sept. 13, 2019 for sick leave abuse during the two-year period following the Last Chance Agreement of April 2, 2015 where he served a 90-day suspension for prior disciplinary conduct. </w:t>
      </w:r>
    </w:p>
    <w:p w14:paraId="7C89F2C3" w14:textId="77777777" w:rsidR="00A06387" w:rsidRPr="00B8368A" w:rsidRDefault="00A06387" w:rsidP="00A06387">
      <w:pPr>
        <w:pStyle w:val="NoSpacing"/>
        <w:rPr>
          <w:rFonts w:ascii="Times New Roman" w:hAnsi="Times New Roman"/>
          <w:b/>
          <w:bCs/>
          <w:sz w:val="24"/>
          <w:szCs w:val="24"/>
        </w:rPr>
      </w:pPr>
    </w:p>
    <w:p w14:paraId="533330C1" w14:textId="77777777" w:rsidR="00A06387" w:rsidRPr="00B8368A" w:rsidRDefault="00A06387" w:rsidP="00A06387">
      <w:pPr>
        <w:pStyle w:val="NoSpacing"/>
        <w:ind w:left="720"/>
        <w:rPr>
          <w:rFonts w:ascii="Times New Roman" w:hAnsi="Times New Roman"/>
          <w:b/>
          <w:bCs/>
          <w:sz w:val="24"/>
          <w:szCs w:val="24"/>
        </w:rPr>
      </w:pPr>
      <w:r w:rsidRPr="00B8368A">
        <w:rPr>
          <w:rFonts w:ascii="Times New Roman" w:hAnsi="Times New Roman"/>
          <w:bCs/>
          <w:sz w:val="24"/>
          <w:szCs w:val="24"/>
        </w:rPr>
        <w:t xml:space="preserve">“Importantly, Nix agreed in writing to voluntarily accept his 2015 disciplinary suspension, with no right to appeal the terms and conditions of the Agreement or the Chief’s decision to indefinitely suspend his employment in 2015. See Tex. Loc. Gov’t Code Ann. § 143.052(g). When Nix accepted the Agreement in 2015, he had the opportunity to refuse the Chief’s offer and appeal his suspension to the [Civil Service] Commission; however, Nix agreed to waive his right to appeal, including the right to appeal the Chief’s 2017 decision determining that Nix had violated the Agreement and reinstating his indefinite suspension.” </w:t>
      </w:r>
      <w:hyperlink r:id="rId2815" w:history="1">
        <w:r w:rsidRPr="00B8368A">
          <w:rPr>
            <w:rStyle w:val="Hyperlink"/>
            <w:rFonts w:ascii="Times New Roman" w:hAnsi="Times New Roman"/>
            <w:bCs/>
            <w:sz w:val="24"/>
            <w:szCs w:val="24"/>
          </w:rPr>
          <w:t>https://cases.justia.com/texas/ninth-court-of-appeals/2019-09-18-00407-cv-0.pdf?ts=1570180546</w:t>
        </w:r>
      </w:hyperlink>
      <w:r w:rsidRPr="00B8368A">
        <w:rPr>
          <w:rFonts w:ascii="Times New Roman" w:hAnsi="Times New Roman"/>
          <w:bCs/>
          <w:sz w:val="24"/>
          <w:szCs w:val="24"/>
        </w:rPr>
        <w:t xml:space="preserve"> </w:t>
      </w:r>
    </w:p>
    <w:p w14:paraId="78305F63" w14:textId="77777777" w:rsidR="00B8368A" w:rsidRDefault="00B8368A" w:rsidP="00A06387">
      <w:pPr>
        <w:pStyle w:val="NoSpacing"/>
        <w:rPr>
          <w:rFonts w:ascii="Times New Roman" w:hAnsi="Times New Roman"/>
          <w:b/>
          <w:bCs/>
          <w:sz w:val="24"/>
          <w:szCs w:val="24"/>
        </w:rPr>
      </w:pPr>
    </w:p>
    <w:p w14:paraId="38D1D096" w14:textId="164BE22C" w:rsidR="00A06387" w:rsidRPr="00B8368A" w:rsidRDefault="00A06387" w:rsidP="00A06387">
      <w:pPr>
        <w:pStyle w:val="NoSpacing"/>
        <w:rPr>
          <w:rFonts w:ascii="Times New Roman" w:hAnsi="Times New Roman"/>
          <w:b/>
          <w:bCs/>
          <w:sz w:val="24"/>
          <w:szCs w:val="24"/>
        </w:rPr>
      </w:pPr>
      <w:r w:rsidRPr="00B8368A">
        <w:rPr>
          <w:rFonts w:ascii="Times New Roman" w:hAnsi="Times New Roman"/>
          <w:b/>
          <w:bCs/>
          <w:sz w:val="24"/>
          <w:szCs w:val="24"/>
        </w:rPr>
        <w:t xml:space="preserve">Legal Lessons Learned: Last Chance Agreements are an effective method to give a firefighter “one last chance.”  </w:t>
      </w:r>
    </w:p>
    <w:p w14:paraId="6DE23726" w14:textId="77777777" w:rsidR="00A06387" w:rsidRDefault="00A06387" w:rsidP="00A06387">
      <w:pPr>
        <w:pStyle w:val="NoSpacing"/>
        <w:rPr>
          <w:sz w:val="35"/>
          <w:szCs w:val="35"/>
        </w:rPr>
      </w:pPr>
    </w:p>
    <w:p w14:paraId="79C5C1C0" w14:textId="72C85C03" w:rsidR="0005503D" w:rsidRPr="00A67C57" w:rsidRDefault="0005503D" w:rsidP="0005503D">
      <w:pPr>
        <w:pStyle w:val="NoSpacing"/>
        <w:rPr>
          <w:rFonts w:ascii="Times New Roman" w:hAnsi="Times New Roman"/>
          <w:sz w:val="24"/>
          <w:szCs w:val="24"/>
        </w:rPr>
      </w:pPr>
    </w:p>
    <w:p w14:paraId="019B9EF3" w14:textId="77777777" w:rsidR="00A06387" w:rsidRDefault="00A06387" w:rsidP="00F326E5">
      <w:pPr>
        <w:pStyle w:val="NoSpacing"/>
        <w:rPr>
          <w:rFonts w:ascii="Arial Black" w:hAnsi="Arial Black"/>
          <w:sz w:val="24"/>
          <w:szCs w:val="24"/>
        </w:rPr>
      </w:pPr>
    </w:p>
    <w:p w14:paraId="77F7ADFA" w14:textId="77777777" w:rsidR="00A06387" w:rsidRDefault="00A06387" w:rsidP="00F326E5">
      <w:pPr>
        <w:pStyle w:val="NoSpacing"/>
        <w:rPr>
          <w:rFonts w:ascii="Arial Black" w:hAnsi="Arial Black"/>
          <w:sz w:val="24"/>
          <w:szCs w:val="24"/>
        </w:rPr>
      </w:pPr>
    </w:p>
    <w:p w14:paraId="60CC1237" w14:textId="4B93963E" w:rsidR="00F326E5" w:rsidRDefault="000C4DF5" w:rsidP="00F326E5">
      <w:pPr>
        <w:pStyle w:val="NoSpacing"/>
        <w:rPr>
          <w:b/>
          <w:sz w:val="24"/>
          <w:szCs w:val="24"/>
        </w:rPr>
      </w:pPr>
      <w:r>
        <w:rPr>
          <w:rFonts w:ascii="Arial Black" w:hAnsi="Arial Black"/>
          <w:sz w:val="24"/>
          <w:szCs w:val="24"/>
        </w:rPr>
        <w:t>16-1</w:t>
      </w:r>
      <w:r w:rsidR="00F4486C">
        <w:rPr>
          <w:rFonts w:ascii="Arial Black" w:hAnsi="Arial Black"/>
          <w:sz w:val="24"/>
          <w:szCs w:val="24"/>
        </w:rPr>
        <w:t>5</w:t>
      </w:r>
    </w:p>
    <w:p w14:paraId="7E5A0305" w14:textId="77777777" w:rsidR="00527EDF" w:rsidRDefault="00527EDF" w:rsidP="00D161A5">
      <w:pPr>
        <w:pStyle w:val="NoSpacing"/>
        <w:rPr>
          <w:sz w:val="24"/>
          <w:szCs w:val="24"/>
        </w:rPr>
      </w:pPr>
      <w:bookmarkStart w:id="610" w:name="_Hlk6756675"/>
    </w:p>
    <w:p w14:paraId="07BB351A" w14:textId="14D114D7" w:rsidR="00527EDF" w:rsidRPr="00AD1DCC" w:rsidRDefault="00527EDF" w:rsidP="00527EDF">
      <w:pPr>
        <w:pStyle w:val="NoSpacing"/>
        <w:rPr>
          <w:rFonts w:ascii="Arial Black" w:hAnsi="Arial Black"/>
          <w:sz w:val="28"/>
          <w:szCs w:val="28"/>
        </w:rPr>
      </w:pPr>
      <w:bookmarkStart w:id="611" w:name="_Hlk10127684"/>
      <w:r w:rsidRPr="00AD1DCC">
        <w:rPr>
          <w:rFonts w:ascii="Arial Black" w:hAnsi="Arial Black"/>
          <w:sz w:val="28"/>
          <w:szCs w:val="28"/>
        </w:rPr>
        <w:t>IL</w:t>
      </w:r>
      <w:r>
        <w:rPr>
          <w:rFonts w:ascii="Arial Black" w:hAnsi="Arial Black"/>
          <w:sz w:val="28"/>
          <w:szCs w:val="28"/>
        </w:rPr>
        <w:t xml:space="preserve">:  RESIDENCY – FF FIRED – PAST THREE YEARS DID NOT RESIDE IN VILLAGE – MAIL DROP LOCATION IS NOT RESIDENCY </w:t>
      </w:r>
    </w:p>
    <w:p w14:paraId="33F0E9BB" w14:textId="77777777" w:rsidR="00527EDF" w:rsidRDefault="00527EDF" w:rsidP="00527EDF">
      <w:pPr>
        <w:pStyle w:val="NoSpacing"/>
        <w:rPr>
          <w:sz w:val="30"/>
          <w:szCs w:val="30"/>
        </w:rPr>
      </w:pPr>
    </w:p>
    <w:p w14:paraId="3C43891E" w14:textId="77777777" w:rsidR="00527EDF" w:rsidRDefault="00527EDF" w:rsidP="00527EDF">
      <w:pPr>
        <w:pStyle w:val="NoSpacing"/>
        <w:rPr>
          <w:rFonts w:ascii="Times New Roman" w:hAnsi="Times New Roman"/>
          <w:sz w:val="24"/>
          <w:szCs w:val="24"/>
        </w:rPr>
      </w:pPr>
      <w:r w:rsidRPr="00AD1DCC">
        <w:rPr>
          <w:rFonts w:ascii="Times New Roman" w:hAnsi="Times New Roman"/>
          <w:sz w:val="24"/>
          <w:szCs w:val="24"/>
        </w:rPr>
        <w:t>On</w:t>
      </w:r>
      <w:r>
        <w:rPr>
          <w:rFonts w:ascii="Times New Roman" w:hAnsi="Times New Roman"/>
          <w:sz w:val="24"/>
          <w:szCs w:val="24"/>
        </w:rPr>
        <w:t xml:space="preserve"> May 29, 2019, in </w:t>
      </w:r>
      <w:r w:rsidRPr="00AD1DCC">
        <w:rPr>
          <w:rFonts w:ascii="Times New Roman" w:hAnsi="Times New Roman"/>
          <w:sz w:val="24"/>
          <w:szCs w:val="24"/>
          <w:u w:val="single"/>
        </w:rPr>
        <w:t>John Cannici v. Village of Melrose Park</w:t>
      </w:r>
      <w:r>
        <w:rPr>
          <w:rFonts w:ascii="Times New Roman" w:hAnsi="Times New Roman"/>
          <w:sz w:val="24"/>
          <w:szCs w:val="24"/>
        </w:rPr>
        <w:t xml:space="preserve">, the Appellate Court of Illinois, First District, </w:t>
      </w:r>
      <w:r w:rsidRPr="00AD1DCC">
        <w:rPr>
          <w:rFonts w:ascii="Times New Roman" w:hAnsi="Times New Roman"/>
          <w:sz w:val="24"/>
          <w:szCs w:val="24"/>
        </w:rPr>
        <w:t>2019 IL App (1st) 181422-U</w:t>
      </w:r>
      <w:r>
        <w:rPr>
          <w:rFonts w:ascii="Times New Roman" w:hAnsi="Times New Roman"/>
          <w:sz w:val="24"/>
          <w:szCs w:val="24"/>
        </w:rPr>
        <w:t xml:space="preserve">,  held (3 to 0) that the fire fighter was properly terminated for violating residency ordinance. </w:t>
      </w:r>
    </w:p>
    <w:p w14:paraId="05F02A1B" w14:textId="77777777" w:rsidR="00527EDF" w:rsidRPr="00AD1DCC" w:rsidRDefault="00527EDF" w:rsidP="00527EDF">
      <w:pPr>
        <w:pStyle w:val="NoSpacing"/>
        <w:rPr>
          <w:rFonts w:ascii="Times New Roman" w:hAnsi="Times New Roman"/>
          <w:sz w:val="24"/>
          <w:szCs w:val="24"/>
        </w:rPr>
      </w:pPr>
    </w:p>
    <w:p w14:paraId="698BF7FE" w14:textId="77777777" w:rsidR="00527EDF" w:rsidRDefault="00527EDF" w:rsidP="00527EDF">
      <w:pPr>
        <w:pStyle w:val="NoSpacing"/>
        <w:ind w:left="720"/>
        <w:rPr>
          <w:rFonts w:ascii="Times New Roman" w:hAnsi="Times New Roman"/>
          <w:sz w:val="24"/>
          <w:szCs w:val="24"/>
        </w:rPr>
      </w:pPr>
      <w:r>
        <w:rPr>
          <w:rFonts w:ascii="Times New Roman" w:hAnsi="Times New Roman"/>
          <w:sz w:val="24"/>
          <w:szCs w:val="24"/>
        </w:rPr>
        <w:t>“</w:t>
      </w:r>
      <w:r w:rsidRPr="00AD1DCC">
        <w:rPr>
          <w:rFonts w:ascii="Times New Roman" w:hAnsi="Times New Roman"/>
          <w:sz w:val="24"/>
          <w:szCs w:val="24"/>
        </w:rPr>
        <w:t xml:space="preserve">The Board did not indicate that it found fault with Cannici’s earlier arrangement where he lived in the </w:t>
      </w:r>
      <w:r>
        <w:rPr>
          <w:rFonts w:ascii="Times New Roman" w:hAnsi="Times New Roman"/>
          <w:sz w:val="24"/>
          <w:szCs w:val="24"/>
        </w:rPr>
        <w:t xml:space="preserve">[Melrose Park] </w:t>
      </w:r>
      <w:r w:rsidRPr="00AD1DCC">
        <w:rPr>
          <w:rFonts w:ascii="Times New Roman" w:hAnsi="Times New Roman"/>
          <w:sz w:val="24"/>
          <w:szCs w:val="24"/>
        </w:rPr>
        <w:t xml:space="preserve">Norwood house for a majority of the week and would spend his weekends at the Orland Park house. Although this arrangement included physical absence from the Norwood house for </w:t>
      </w:r>
      <w:r>
        <w:rPr>
          <w:rFonts w:ascii="Times New Roman" w:hAnsi="Times New Roman"/>
          <w:sz w:val="24"/>
          <w:szCs w:val="24"/>
        </w:rPr>
        <w:t>‘</w:t>
      </w:r>
      <w:r w:rsidRPr="00AD1DCC">
        <w:rPr>
          <w:rFonts w:ascii="Times New Roman" w:hAnsi="Times New Roman"/>
          <w:sz w:val="24"/>
          <w:szCs w:val="24"/>
        </w:rPr>
        <w:t>some</w:t>
      </w:r>
      <w:r>
        <w:rPr>
          <w:rFonts w:ascii="Times New Roman" w:hAnsi="Times New Roman"/>
          <w:sz w:val="24"/>
          <w:szCs w:val="24"/>
        </w:rPr>
        <w:t>’</w:t>
      </w:r>
      <w:r w:rsidRPr="00AD1DCC">
        <w:rPr>
          <w:rFonts w:ascii="Times New Roman" w:hAnsi="Times New Roman"/>
          <w:sz w:val="24"/>
          <w:szCs w:val="24"/>
        </w:rPr>
        <w:t xml:space="preserve"> of the time, this was not a violation of the residency ordinance as he still lived in the Norwood house for </w:t>
      </w:r>
      <w:proofErr w:type="gramStart"/>
      <w:r w:rsidRPr="00AD1DCC">
        <w:rPr>
          <w:rFonts w:ascii="Times New Roman" w:hAnsi="Times New Roman"/>
          <w:sz w:val="24"/>
          <w:szCs w:val="24"/>
        </w:rPr>
        <w:t>the majority of</w:t>
      </w:r>
      <w:proofErr w:type="gramEnd"/>
      <w:r w:rsidRPr="00AD1DCC">
        <w:rPr>
          <w:rFonts w:ascii="Times New Roman" w:hAnsi="Times New Roman"/>
          <w:sz w:val="24"/>
          <w:szCs w:val="24"/>
        </w:rPr>
        <w:t xml:space="preserve"> his time and treated it as his primary home or abode. However, when he leased the Norwood house to the </w:t>
      </w:r>
      <w:proofErr w:type="spellStart"/>
      <w:r w:rsidRPr="00AD1DCC">
        <w:rPr>
          <w:rFonts w:ascii="Times New Roman" w:hAnsi="Times New Roman"/>
          <w:sz w:val="24"/>
          <w:szCs w:val="24"/>
        </w:rPr>
        <w:t>Cichons</w:t>
      </w:r>
      <w:proofErr w:type="spellEnd"/>
      <w:r w:rsidRPr="00AD1DCC">
        <w:rPr>
          <w:rFonts w:ascii="Times New Roman" w:hAnsi="Times New Roman"/>
          <w:sz w:val="24"/>
          <w:szCs w:val="24"/>
        </w:rPr>
        <w:t xml:space="preserve">, he no longer used the Norwood house as his primary home and spent practically no time in the </w:t>
      </w:r>
    </w:p>
    <w:p w14:paraId="39B5AF3A" w14:textId="77777777" w:rsidR="00527EDF" w:rsidRDefault="00527EDF" w:rsidP="00527EDF">
      <w:pPr>
        <w:pStyle w:val="NoSpacing"/>
        <w:ind w:left="720"/>
        <w:rPr>
          <w:rFonts w:ascii="Times New Roman" w:hAnsi="Times New Roman"/>
          <w:sz w:val="24"/>
          <w:szCs w:val="24"/>
        </w:rPr>
      </w:pPr>
      <w:r w:rsidRPr="00AD1DCC">
        <w:rPr>
          <w:rFonts w:ascii="Times New Roman" w:hAnsi="Times New Roman"/>
          <w:sz w:val="24"/>
          <w:szCs w:val="24"/>
        </w:rPr>
        <w:t>Norwood house, except the time spent picking up his mail.</w:t>
      </w:r>
      <w:r>
        <w:rPr>
          <w:rFonts w:ascii="Times New Roman" w:hAnsi="Times New Roman"/>
          <w:sz w:val="24"/>
          <w:szCs w:val="24"/>
        </w:rPr>
        <w:t xml:space="preserve">” </w:t>
      </w:r>
      <w:hyperlink r:id="rId2816" w:history="1">
        <w:r w:rsidRPr="00AD1DCC">
          <w:rPr>
            <w:rStyle w:val="Hyperlink"/>
            <w:rFonts w:ascii="Times New Roman" w:hAnsi="Times New Roman"/>
            <w:sz w:val="24"/>
            <w:szCs w:val="24"/>
          </w:rPr>
          <w:t>http://www.illinoiscourts.gov/R23_Orders/AppellateCourt/2019/1stDistrict/1181422_R23.pdf</w:t>
        </w:r>
      </w:hyperlink>
      <w:r w:rsidRPr="00AD1DCC">
        <w:rPr>
          <w:rFonts w:ascii="Times New Roman" w:hAnsi="Times New Roman"/>
          <w:sz w:val="24"/>
          <w:szCs w:val="24"/>
        </w:rPr>
        <w:t xml:space="preserve"> </w:t>
      </w:r>
    </w:p>
    <w:p w14:paraId="0A1029C0" w14:textId="77777777" w:rsidR="00527EDF" w:rsidRDefault="00527EDF" w:rsidP="00527EDF">
      <w:pPr>
        <w:pStyle w:val="NoSpacing"/>
        <w:ind w:left="720"/>
        <w:rPr>
          <w:rFonts w:ascii="Times New Roman" w:hAnsi="Times New Roman"/>
          <w:sz w:val="24"/>
          <w:szCs w:val="24"/>
        </w:rPr>
      </w:pPr>
    </w:p>
    <w:p w14:paraId="55EB236B" w14:textId="77777777" w:rsidR="00527EDF" w:rsidRDefault="00527EDF" w:rsidP="00527EDF">
      <w:pPr>
        <w:pStyle w:val="Heading1"/>
        <w:rPr>
          <w:sz w:val="24"/>
          <w:szCs w:val="24"/>
        </w:rPr>
      </w:pPr>
      <w:bookmarkStart w:id="612" w:name="_Hlk10127722"/>
      <w:bookmarkEnd w:id="611"/>
      <w:r w:rsidRPr="004E23C9">
        <w:rPr>
          <w:sz w:val="24"/>
          <w:szCs w:val="24"/>
        </w:rPr>
        <w:t xml:space="preserve">Legal Lessons Learned:  Some states, such as Ohio, have enacted statutes that have set aside municipal residency requirements. </w:t>
      </w:r>
    </w:p>
    <w:p w14:paraId="38BAA28D" w14:textId="77777777" w:rsidR="00527EDF" w:rsidRDefault="00527EDF" w:rsidP="00527EDF">
      <w:pPr>
        <w:pStyle w:val="Heading1"/>
        <w:ind w:left="720"/>
        <w:rPr>
          <w:b w:val="0"/>
          <w:sz w:val="24"/>
          <w:szCs w:val="24"/>
        </w:rPr>
      </w:pPr>
      <w:r w:rsidRPr="004E23C9">
        <w:rPr>
          <w:b w:val="0"/>
          <w:sz w:val="24"/>
          <w:szCs w:val="24"/>
        </w:rPr>
        <w:lastRenderedPageBreak/>
        <w:t xml:space="preserve">See article, “Ohio Supreme Court rules against city residency requirements,” June 10, 2009, </w:t>
      </w:r>
      <w:hyperlink r:id="rId2817" w:history="1">
        <w:r w:rsidRPr="00D10EF5">
          <w:rPr>
            <w:rStyle w:val="Hyperlink"/>
            <w:b w:val="0"/>
            <w:sz w:val="24"/>
            <w:szCs w:val="24"/>
          </w:rPr>
          <w:t>https://www.cleveland.com/cityhall/2009/06/ohio_supreme_court_deals_a_leg.html</w:t>
        </w:r>
      </w:hyperlink>
      <w:r w:rsidRPr="004E23C9">
        <w:rPr>
          <w:b w:val="0"/>
          <w:sz w:val="24"/>
          <w:szCs w:val="24"/>
        </w:rPr>
        <w:t xml:space="preserve"> </w:t>
      </w:r>
    </w:p>
    <w:p w14:paraId="6AFADD87" w14:textId="77777777" w:rsidR="00527EDF" w:rsidRDefault="00527EDF" w:rsidP="00527EDF">
      <w:pPr>
        <w:pStyle w:val="Heading1"/>
        <w:ind w:firstLine="720"/>
        <w:rPr>
          <w:b w:val="0"/>
          <w:sz w:val="24"/>
          <w:szCs w:val="24"/>
        </w:rPr>
      </w:pPr>
      <w:r>
        <w:rPr>
          <w:b w:val="0"/>
          <w:sz w:val="24"/>
          <w:szCs w:val="24"/>
        </w:rPr>
        <w:t>Ohio Supreme Court o</w:t>
      </w:r>
      <w:r w:rsidRPr="004E23C9">
        <w:rPr>
          <w:b w:val="0"/>
          <w:sz w:val="24"/>
          <w:szCs w:val="24"/>
        </w:rPr>
        <w:t xml:space="preserve">pinion: </w:t>
      </w:r>
      <w:hyperlink r:id="rId2818" w:tgtFrame="_blank" w:tooltip="Link opens new window" w:history="1">
        <w:r w:rsidRPr="004E23C9">
          <w:rPr>
            <w:rStyle w:val="Hyperlink"/>
            <w:b w:val="0"/>
            <w:sz w:val="24"/>
            <w:szCs w:val="24"/>
          </w:rPr>
          <w:t>http://www.supremecourt.ohio.gov/rod/docs/pdf/0/2009/2009-Ohio-2597.pdf</w:t>
        </w:r>
      </w:hyperlink>
      <w:r w:rsidRPr="004E23C9">
        <w:rPr>
          <w:b w:val="0"/>
          <w:sz w:val="24"/>
          <w:szCs w:val="24"/>
        </w:rPr>
        <w:t xml:space="preserve"> </w:t>
      </w:r>
    </w:p>
    <w:p w14:paraId="351169DF" w14:textId="77777777" w:rsidR="00527EDF" w:rsidRDefault="00527EDF" w:rsidP="00527EDF">
      <w:pPr>
        <w:pStyle w:val="Heading1"/>
        <w:ind w:left="1440"/>
        <w:rPr>
          <w:b w:val="0"/>
          <w:sz w:val="24"/>
          <w:szCs w:val="24"/>
        </w:rPr>
      </w:pPr>
      <w:r>
        <w:rPr>
          <w:b w:val="0"/>
          <w:sz w:val="24"/>
          <w:szCs w:val="24"/>
        </w:rPr>
        <w:t>“</w:t>
      </w:r>
      <w:r w:rsidRPr="00C35227">
        <w:rPr>
          <w:b w:val="0"/>
          <w:sz w:val="24"/>
          <w:szCs w:val="24"/>
        </w:rPr>
        <w:t xml:space="preserve">R.C. 9.481(B)(1) states that </w:t>
      </w:r>
      <w:r>
        <w:rPr>
          <w:b w:val="0"/>
          <w:sz w:val="24"/>
          <w:szCs w:val="24"/>
        </w:rPr>
        <w:t>‘</w:t>
      </w:r>
      <w:r w:rsidRPr="00C35227">
        <w:rPr>
          <w:b w:val="0"/>
          <w:sz w:val="24"/>
          <w:szCs w:val="24"/>
        </w:rPr>
        <w:t xml:space="preserve">no political subdivision shall require any of its employees, as a condition of employment, to reside in any specific area of the state.” The issue in this case is whether R.C. 9.481 was enacted pursuant to the authority granted to the General Assembly by Section 34, Article II of the Ohio Constitution. If it </w:t>
      </w:r>
      <w:proofErr w:type="gramStart"/>
      <w:r w:rsidRPr="00C35227">
        <w:rPr>
          <w:b w:val="0"/>
          <w:sz w:val="24"/>
          <w:szCs w:val="24"/>
        </w:rPr>
        <w:t>was so</w:t>
      </w:r>
      <w:proofErr w:type="gramEnd"/>
      <w:r w:rsidRPr="00C35227">
        <w:rPr>
          <w:b w:val="0"/>
          <w:sz w:val="24"/>
          <w:szCs w:val="24"/>
        </w:rPr>
        <w:t xml:space="preserve"> enacted, its provisions override any conflicting law of a political subdivision, including residency requirements imposed by municipalities pursuant to the Home Rule Amendment, Section 3, Article XVIII of the Ohio Constitution. We hold that R.C. 9.481 was enacted pursuant to the authority granted by Section 34 and that the local laws before us in this case therefore cannot stand.”</w:t>
      </w:r>
    </w:p>
    <w:p w14:paraId="78176427" w14:textId="77777777" w:rsidR="00527EDF" w:rsidRPr="004E23C9" w:rsidRDefault="00527EDF" w:rsidP="00527EDF">
      <w:pPr>
        <w:pStyle w:val="Heading1"/>
        <w:ind w:left="720"/>
        <w:rPr>
          <w:b w:val="0"/>
          <w:sz w:val="24"/>
          <w:szCs w:val="24"/>
        </w:rPr>
      </w:pPr>
      <w:r>
        <w:rPr>
          <w:b w:val="0"/>
          <w:sz w:val="24"/>
          <w:szCs w:val="24"/>
        </w:rPr>
        <w:t xml:space="preserve">Ohio communities can adopt ordinance requiring firefighters and police officers to live in the county, or an adjacent county. </w:t>
      </w:r>
    </w:p>
    <w:p w14:paraId="346A2BB2" w14:textId="77777777" w:rsidR="00527EDF" w:rsidRPr="004E23C9" w:rsidRDefault="00527EDF" w:rsidP="00527EDF">
      <w:pPr>
        <w:pStyle w:val="Heading2"/>
        <w:ind w:firstLine="720"/>
        <w:rPr>
          <w:rFonts w:ascii="Times New Roman" w:hAnsi="Times New Roman"/>
          <w:sz w:val="24"/>
          <w:szCs w:val="24"/>
        </w:rPr>
      </w:pPr>
      <w:r w:rsidRPr="004E23C9">
        <w:rPr>
          <w:rFonts w:ascii="Times New Roman" w:hAnsi="Times New Roman"/>
          <w:sz w:val="24"/>
          <w:szCs w:val="24"/>
        </w:rPr>
        <w:t>9.481 Residency requirements prohibited for certain employees.</w:t>
      </w:r>
    </w:p>
    <w:p w14:paraId="681B2B7F" w14:textId="77777777" w:rsidR="00527EDF" w:rsidRDefault="00527EDF" w:rsidP="00527EDF">
      <w:pPr>
        <w:pStyle w:val="NoSpacing"/>
        <w:rPr>
          <w:rFonts w:ascii="Times New Roman" w:hAnsi="Times New Roman"/>
          <w:b/>
          <w:sz w:val="24"/>
          <w:szCs w:val="24"/>
        </w:rPr>
      </w:pPr>
    </w:p>
    <w:p w14:paraId="75608D30" w14:textId="77777777" w:rsidR="00527EDF" w:rsidRDefault="00527EDF" w:rsidP="00527EDF">
      <w:pPr>
        <w:pStyle w:val="NoSpacing"/>
        <w:ind w:left="1440"/>
        <w:rPr>
          <w:rFonts w:ascii="Times New Roman" w:hAnsi="Times New Roman"/>
          <w:sz w:val="24"/>
          <w:szCs w:val="24"/>
        </w:rPr>
      </w:pPr>
      <w:r>
        <w:rPr>
          <w:rFonts w:ascii="Times New Roman" w:hAnsi="Times New Roman"/>
          <w:sz w:val="24"/>
          <w:szCs w:val="24"/>
        </w:rPr>
        <w:t xml:space="preserve">(b) </w:t>
      </w:r>
      <w:r w:rsidRPr="004E23C9">
        <w:rPr>
          <w:rFonts w:ascii="Times New Roman" w:hAnsi="Times New Roman"/>
          <w:sz w:val="24"/>
          <w:szCs w:val="24"/>
        </w:rPr>
        <w:t>To ensure adequate response times by certain employees of political subdivisions to emergencies or disasters while ensuring that those employees generally are free to reside throughout the state, the electors of any political subdivision may file an initiative petition to submit a local law to the electorate, or the legislative authority of the political subdivision may adopt an ordinance or resolution, that requires any individual employed by that political subdivision, as a condition of employment, to reside either in the county where the political subdivision is located or in any adjacent county in this state</w:t>
      </w:r>
      <w:r>
        <w:rPr>
          <w:rFonts w:ascii="Times New Roman" w:hAnsi="Times New Roman"/>
          <w:sz w:val="24"/>
          <w:szCs w:val="24"/>
        </w:rPr>
        <w:t>.</w:t>
      </w:r>
    </w:p>
    <w:p w14:paraId="1415536A" w14:textId="77777777" w:rsidR="00527EDF" w:rsidRPr="00C35227" w:rsidRDefault="00527EDF" w:rsidP="00527EDF">
      <w:pPr>
        <w:pStyle w:val="NoSpacing"/>
        <w:ind w:left="720" w:firstLine="720"/>
        <w:rPr>
          <w:rFonts w:ascii="Times New Roman" w:hAnsi="Times New Roman"/>
          <w:sz w:val="24"/>
          <w:szCs w:val="24"/>
        </w:rPr>
      </w:pPr>
      <w:hyperlink r:id="rId2819" w:history="1">
        <w:r w:rsidRPr="00D10EF5">
          <w:rPr>
            <w:rStyle w:val="Hyperlink"/>
            <w:rFonts w:ascii="Times New Roman" w:hAnsi="Times New Roman"/>
            <w:sz w:val="24"/>
            <w:szCs w:val="24"/>
          </w:rPr>
          <w:t>http://codes.ohio.gov/orc/gp9.481</w:t>
        </w:r>
      </w:hyperlink>
      <w:r w:rsidRPr="00C35227">
        <w:rPr>
          <w:rFonts w:ascii="Times New Roman" w:hAnsi="Times New Roman"/>
          <w:sz w:val="24"/>
          <w:szCs w:val="24"/>
        </w:rPr>
        <w:t xml:space="preserve"> </w:t>
      </w:r>
    </w:p>
    <w:p w14:paraId="112DCF6B" w14:textId="77777777" w:rsidR="00527EDF" w:rsidRPr="004E23C9" w:rsidRDefault="00527EDF" w:rsidP="00527EDF">
      <w:pPr>
        <w:pStyle w:val="NoSpacing"/>
        <w:rPr>
          <w:rFonts w:ascii="Times New Roman" w:hAnsi="Times New Roman"/>
          <w:b/>
          <w:sz w:val="24"/>
          <w:szCs w:val="24"/>
        </w:rPr>
      </w:pPr>
    </w:p>
    <w:p w14:paraId="257B0168" w14:textId="77777777" w:rsidR="00527EDF" w:rsidRPr="004E23C9" w:rsidRDefault="00527EDF" w:rsidP="00527EDF">
      <w:pPr>
        <w:pStyle w:val="Heading2"/>
        <w:ind w:firstLine="720"/>
        <w:rPr>
          <w:rFonts w:ascii="Times New Roman" w:hAnsi="Times New Roman"/>
          <w:sz w:val="24"/>
          <w:szCs w:val="24"/>
        </w:rPr>
      </w:pPr>
      <w:r w:rsidRPr="004E23C9">
        <w:rPr>
          <w:rFonts w:ascii="Times New Roman" w:hAnsi="Times New Roman"/>
          <w:sz w:val="24"/>
          <w:szCs w:val="24"/>
        </w:rPr>
        <w:t>9.61 Residency not required for fire chief.</w:t>
      </w:r>
    </w:p>
    <w:p w14:paraId="7AF1BBD5" w14:textId="77777777" w:rsidR="00527EDF" w:rsidRDefault="00527EDF" w:rsidP="00527EDF">
      <w:pPr>
        <w:pStyle w:val="NormalWeb"/>
        <w:ind w:left="1440"/>
        <w:rPr>
          <w:b/>
        </w:rPr>
      </w:pPr>
      <w:r>
        <w:t xml:space="preserve">(B) Nothing in the Revised Code requires, or shall be construed to require, that the fire chief of a firefighting agency </w:t>
      </w:r>
      <w:proofErr w:type="gramStart"/>
      <w:r>
        <w:t>reside</w:t>
      </w:r>
      <w:proofErr w:type="gramEnd"/>
      <w:r>
        <w:t xml:space="preserve"> in the territory of the firefighting agency. </w:t>
      </w:r>
      <w:hyperlink r:id="rId2820" w:history="1">
        <w:r w:rsidRPr="00180BB5">
          <w:rPr>
            <w:rStyle w:val="Hyperlink"/>
          </w:rPr>
          <w:t>http://codes.ohio.gov/orc/gp9.61</w:t>
        </w:r>
      </w:hyperlink>
      <w:r>
        <w:t xml:space="preserve"> </w:t>
      </w:r>
      <w:bookmarkEnd w:id="612"/>
    </w:p>
    <w:p w14:paraId="5BFA5465" w14:textId="17147AE4" w:rsidR="00527EDF" w:rsidRDefault="00527EDF" w:rsidP="00D161A5">
      <w:pPr>
        <w:pStyle w:val="NoSpacing"/>
        <w:rPr>
          <w:sz w:val="24"/>
          <w:szCs w:val="24"/>
        </w:rPr>
      </w:pPr>
    </w:p>
    <w:p w14:paraId="13F7E4F7" w14:textId="77777777" w:rsidR="0097592D" w:rsidRDefault="0097592D" w:rsidP="00D161A5">
      <w:pPr>
        <w:pStyle w:val="NoSpacing"/>
        <w:rPr>
          <w:rFonts w:ascii="Arial Black" w:hAnsi="Arial Black"/>
          <w:sz w:val="24"/>
          <w:szCs w:val="24"/>
        </w:rPr>
      </w:pPr>
    </w:p>
    <w:p w14:paraId="2C71E8D7" w14:textId="77777777" w:rsidR="0097592D" w:rsidRDefault="0097592D" w:rsidP="00D161A5">
      <w:pPr>
        <w:pStyle w:val="NoSpacing"/>
        <w:rPr>
          <w:rFonts w:ascii="Arial Black" w:hAnsi="Arial Black"/>
          <w:sz w:val="24"/>
          <w:szCs w:val="24"/>
        </w:rPr>
      </w:pPr>
    </w:p>
    <w:p w14:paraId="6F0F0ACF" w14:textId="281799BE" w:rsidR="00F4486C" w:rsidRDefault="00F4486C" w:rsidP="00D161A5">
      <w:pPr>
        <w:pStyle w:val="NoSpacing"/>
        <w:rPr>
          <w:rFonts w:ascii="Arial Black" w:hAnsi="Arial Black"/>
          <w:sz w:val="24"/>
          <w:szCs w:val="24"/>
        </w:rPr>
      </w:pPr>
      <w:r>
        <w:rPr>
          <w:rFonts w:ascii="Arial Black" w:hAnsi="Arial Black"/>
          <w:sz w:val="24"/>
          <w:szCs w:val="24"/>
        </w:rPr>
        <w:t>16-14</w:t>
      </w:r>
    </w:p>
    <w:p w14:paraId="75771D97" w14:textId="75B73166" w:rsidR="00F4486C" w:rsidRDefault="00F4486C" w:rsidP="00D161A5">
      <w:pPr>
        <w:pStyle w:val="NoSpacing"/>
        <w:rPr>
          <w:rFonts w:ascii="Arial Black" w:hAnsi="Arial Black"/>
          <w:sz w:val="24"/>
          <w:szCs w:val="24"/>
        </w:rPr>
      </w:pPr>
    </w:p>
    <w:p w14:paraId="315CCA1E" w14:textId="77777777" w:rsidR="00F4486C" w:rsidRPr="00F4486C" w:rsidRDefault="00F4486C" w:rsidP="00D161A5">
      <w:pPr>
        <w:pStyle w:val="NoSpacing"/>
        <w:rPr>
          <w:rFonts w:ascii="Arial Black" w:hAnsi="Arial Black" w:cs="Arial"/>
          <w:sz w:val="28"/>
          <w:szCs w:val="28"/>
        </w:rPr>
      </w:pPr>
      <w:r w:rsidRPr="00F4486C">
        <w:rPr>
          <w:rFonts w:ascii="Arial Black" w:hAnsi="Arial Black" w:cs="Arial"/>
          <w:sz w:val="28"/>
          <w:szCs w:val="28"/>
        </w:rPr>
        <w:t xml:space="preserve">FL: NARCOTICS OFFICER - $1,300 MISSING – VOLUNTARY STATEMENTS ADMISSIBLE – AFTER TOLD JOB AT RISK, “GARRITY” WARNING REQ. </w:t>
      </w:r>
    </w:p>
    <w:p w14:paraId="7A692E83" w14:textId="77777777" w:rsidR="00F4486C" w:rsidRPr="00F4486C" w:rsidRDefault="00F4486C" w:rsidP="00D161A5">
      <w:pPr>
        <w:pStyle w:val="NoSpacing"/>
        <w:rPr>
          <w:rFonts w:ascii="Arial Black" w:hAnsi="Arial Black" w:cs="Arial"/>
          <w:sz w:val="28"/>
          <w:szCs w:val="28"/>
        </w:rPr>
      </w:pPr>
    </w:p>
    <w:p w14:paraId="0FEF0686" w14:textId="2C907FAA" w:rsidR="00F4486C" w:rsidRPr="0036327D" w:rsidRDefault="00F4486C" w:rsidP="00D161A5">
      <w:pPr>
        <w:pStyle w:val="NoSpacing"/>
        <w:rPr>
          <w:rFonts w:ascii="Times New Roman" w:hAnsi="Times New Roman"/>
          <w:sz w:val="24"/>
          <w:szCs w:val="24"/>
        </w:rPr>
      </w:pPr>
      <w:r w:rsidRPr="0036327D">
        <w:rPr>
          <w:rFonts w:ascii="Times New Roman" w:hAnsi="Times New Roman"/>
          <w:sz w:val="24"/>
          <w:szCs w:val="24"/>
        </w:rPr>
        <w:t xml:space="preserve">On April 10, 2019, in State of Florida v. Armando Socarras, 2019 WL 1548623 (Fla. Dist. Ct. App. 2019), the Third District Court of Appeal, held (3 to 0) that the officer’s first two </w:t>
      </w:r>
      <w:proofErr w:type="gramStart"/>
      <w:r w:rsidRPr="0036327D">
        <w:rPr>
          <w:rFonts w:ascii="Times New Roman" w:hAnsi="Times New Roman"/>
          <w:sz w:val="24"/>
          <w:szCs w:val="24"/>
        </w:rPr>
        <w:t>statement</w:t>
      </w:r>
      <w:proofErr w:type="gramEnd"/>
      <w:r w:rsidRPr="0036327D">
        <w:rPr>
          <w:rFonts w:ascii="Times New Roman" w:hAnsi="Times New Roman"/>
          <w:sz w:val="24"/>
          <w:szCs w:val="24"/>
        </w:rPr>
        <w:t xml:space="preserve"> to Internal Affairs are admissible. “Finally, Socarras did not reference the missing currency in his initial statement, and, unprompted, volunteered an exculpatory explanation in his second statement. As in Murphy, Socarras ‘apparently felt no </w:t>
      </w:r>
      <w:r w:rsidRPr="0036327D">
        <w:rPr>
          <w:rFonts w:ascii="Times New Roman" w:hAnsi="Times New Roman"/>
          <w:sz w:val="24"/>
          <w:szCs w:val="24"/>
        </w:rPr>
        <w:lastRenderedPageBreak/>
        <w:t xml:space="preserve">compunction about adamantly denying’ he engaged in criminal activity, strongly suggesting any subjective belief of employment sanctions ‘did not overwhelm his resistance.’ 465 U.S. at 438, 104 S. Ct. at 1148. </w:t>
      </w:r>
      <w:hyperlink r:id="rId2821" w:history="1">
        <w:r w:rsidRPr="0036327D">
          <w:rPr>
            <w:rStyle w:val="Hyperlink"/>
            <w:rFonts w:ascii="Times New Roman" w:hAnsi="Times New Roman"/>
            <w:sz w:val="24"/>
            <w:szCs w:val="24"/>
          </w:rPr>
          <w:t>https://www.law.com/newyorklawjournal/2019/04/29/new-lactation-room-laws-what-employers-need-to-know/</w:t>
        </w:r>
      </w:hyperlink>
      <w:r w:rsidRPr="0036327D">
        <w:rPr>
          <w:rFonts w:ascii="Times New Roman" w:hAnsi="Times New Roman"/>
          <w:sz w:val="24"/>
          <w:szCs w:val="24"/>
        </w:rPr>
        <w:t xml:space="preserve"> </w:t>
      </w:r>
    </w:p>
    <w:p w14:paraId="3E7E7074" w14:textId="13ACE7DD" w:rsidR="00F4486C" w:rsidRPr="0036327D" w:rsidRDefault="00F4486C" w:rsidP="00D161A5">
      <w:pPr>
        <w:pStyle w:val="NoSpacing"/>
        <w:rPr>
          <w:rFonts w:ascii="Times New Roman" w:hAnsi="Times New Roman"/>
          <w:sz w:val="24"/>
          <w:szCs w:val="24"/>
        </w:rPr>
      </w:pPr>
    </w:p>
    <w:p w14:paraId="6B47B4F7" w14:textId="3AA4288C" w:rsidR="00F4486C" w:rsidRPr="0036327D" w:rsidRDefault="00F4486C" w:rsidP="00D161A5">
      <w:pPr>
        <w:pStyle w:val="NoSpacing"/>
        <w:rPr>
          <w:rFonts w:ascii="Times New Roman" w:hAnsi="Times New Roman"/>
          <w:b/>
          <w:bCs/>
          <w:sz w:val="24"/>
          <w:szCs w:val="24"/>
        </w:rPr>
      </w:pPr>
      <w:r w:rsidRPr="0036327D">
        <w:rPr>
          <w:rFonts w:ascii="Times New Roman" w:hAnsi="Times New Roman"/>
          <w:b/>
          <w:bCs/>
          <w:sz w:val="24"/>
          <w:szCs w:val="24"/>
        </w:rPr>
        <w:t>Legal Lessons Learned: When conducting an internal investigation, advise the “target” of the investigation of both their Miranda rights to remain silent, and their Garrity rights that their statements may lead to disciplinary action.</w:t>
      </w:r>
    </w:p>
    <w:p w14:paraId="44E6994D" w14:textId="0D15F975" w:rsidR="00F4486C" w:rsidRPr="0036327D" w:rsidRDefault="00F4486C" w:rsidP="00D161A5">
      <w:pPr>
        <w:pStyle w:val="NoSpacing"/>
        <w:rPr>
          <w:rFonts w:ascii="Times New Roman" w:hAnsi="Times New Roman"/>
          <w:sz w:val="24"/>
          <w:szCs w:val="24"/>
        </w:rPr>
      </w:pPr>
    </w:p>
    <w:p w14:paraId="07D8471C" w14:textId="07CEC2E9" w:rsidR="00F4486C" w:rsidRPr="0036327D" w:rsidRDefault="00F4486C" w:rsidP="00F4486C">
      <w:pPr>
        <w:pStyle w:val="NoSpacing"/>
        <w:ind w:left="720"/>
        <w:rPr>
          <w:rFonts w:ascii="Times New Roman" w:hAnsi="Times New Roman"/>
          <w:sz w:val="24"/>
          <w:szCs w:val="24"/>
        </w:rPr>
      </w:pPr>
      <w:r w:rsidRPr="0036327D">
        <w:rPr>
          <w:rFonts w:ascii="Times New Roman" w:hAnsi="Times New Roman"/>
          <w:sz w:val="24"/>
          <w:szCs w:val="24"/>
        </w:rPr>
        <w:t xml:space="preserve">See, for example, Lansing Fire Department </w:t>
      </w:r>
      <w:proofErr w:type="gramStart"/>
      <w:r w:rsidRPr="0036327D">
        <w:rPr>
          <w:rFonts w:ascii="Times New Roman" w:hAnsi="Times New Roman"/>
          <w:sz w:val="24"/>
          <w:szCs w:val="24"/>
        </w:rPr>
        <w:t>advise</w:t>
      </w:r>
      <w:proofErr w:type="gramEnd"/>
      <w:r w:rsidRPr="0036327D">
        <w:rPr>
          <w:rFonts w:ascii="Times New Roman" w:hAnsi="Times New Roman"/>
          <w:sz w:val="24"/>
          <w:szCs w:val="24"/>
        </w:rPr>
        <w:t xml:space="preserve"> on Garrity rights: FIFTH AMENDMENT APPLIES TO INTERROGATIONS OF PUBLIC EMPLOYEES (GARRITY RIGHTS)</w:t>
      </w:r>
      <w:r w:rsidR="00B8368A">
        <w:rPr>
          <w:rFonts w:ascii="Times New Roman" w:hAnsi="Times New Roman"/>
          <w:sz w:val="24"/>
          <w:szCs w:val="24"/>
        </w:rPr>
        <w:t xml:space="preserve">: </w:t>
      </w:r>
    </w:p>
    <w:p w14:paraId="1F0FC48A" w14:textId="18477175" w:rsidR="00F4486C" w:rsidRPr="0036327D" w:rsidRDefault="00F4486C" w:rsidP="00F4486C">
      <w:pPr>
        <w:pStyle w:val="NoSpacing"/>
        <w:ind w:left="720"/>
        <w:rPr>
          <w:rFonts w:ascii="Times New Roman" w:hAnsi="Times New Roman"/>
          <w:sz w:val="24"/>
          <w:szCs w:val="24"/>
        </w:rPr>
      </w:pPr>
      <w:r w:rsidRPr="0036327D">
        <w:rPr>
          <w:rFonts w:ascii="Times New Roman" w:hAnsi="Times New Roman"/>
          <w:sz w:val="24"/>
          <w:szCs w:val="24"/>
        </w:rPr>
        <w:t xml:space="preserve">Public employees have certain constitutional rights that apply in their employment that may not apply to private employees. For example, in Garrity v. New Jersey, the Supreme Court held that statements obtained </w:t>
      </w:r>
      <w:proofErr w:type="gramStart"/>
      <w:r w:rsidRPr="0036327D">
        <w:rPr>
          <w:rFonts w:ascii="Times New Roman" w:hAnsi="Times New Roman"/>
          <w:sz w:val="24"/>
          <w:szCs w:val="24"/>
        </w:rPr>
        <w:t>in the course of</w:t>
      </w:r>
      <w:proofErr w:type="gramEnd"/>
      <w:r w:rsidRPr="0036327D">
        <w:rPr>
          <w:rFonts w:ascii="Times New Roman" w:hAnsi="Times New Roman"/>
          <w:sz w:val="24"/>
          <w:szCs w:val="24"/>
        </w:rPr>
        <w:t xml:space="preserve"> an investigatory interview under threat of termination from public employment couldn’t be used as evidence against the employee in subsequent criminal proceedings.  If, however, you refuse to answer questions after you have been assured that your statements cannot be used against you in a subsequent criminal proceeding, the refusal to answer questions </w:t>
      </w:r>
      <w:proofErr w:type="spellStart"/>
      <w:r w:rsidRPr="0036327D">
        <w:rPr>
          <w:rFonts w:ascii="Times New Roman" w:hAnsi="Times New Roman"/>
          <w:sz w:val="24"/>
          <w:szCs w:val="24"/>
        </w:rPr>
        <w:t>thereaftermay</w:t>
      </w:r>
      <w:proofErr w:type="spellEnd"/>
      <w:r w:rsidRPr="0036327D">
        <w:rPr>
          <w:rFonts w:ascii="Times New Roman" w:hAnsi="Times New Roman"/>
          <w:sz w:val="24"/>
          <w:szCs w:val="24"/>
        </w:rPr>
        <w:t xml:space="preserve"> lead to the imposition of discipline for insubordination. Further, while the statements you make may not be used against you in a subsequent criminal proceeding, they can still form the basis for discipline on the underlying work-related </w:t>
      </w:r>
      <w:proofErr w:type="spellStart"/>
      <w:r w:rsidRPr="0036327D">
        <w:rPr>
          <w:rFonts w:ascii="Times New Roman" w:hAnsi="Times New Roman"/>
          <w:sz w:val="24"/>
          <w:szCs w:val="24"/>
        </w:rPr>
        <w:t>charge.To</w:t>
      </w:r>
      <w:proofErr w:type="spellEnd"/>
      <w:r w:rsidRPr="0036327D">
        <w:rPr>
          <w:rFonts w:ascii="Times New Roman" w:hAnsi="Times New Roman"/>
          <w:sz w:val="24"/>
          <w:szCs w:val="24"/>
        </w:rPr>
        <w:t xml:space="preserve"> ensure that your Garrity rights are protected, you should ask the following questions: 1)If I refuse to talk, can I be disciplined for the refusal? 2) Can that discipline include termination from employment? 3) Are my answers for internal and administrative purposes only and are not to be used for criminal prosecution? </w:t>
      </w:r>
      <w:hyperlink r:id="rId2822" w:history="1">
        <w:r w:rsidRPr="0036327D">
          <w:rPr>
            <w:rStyle w:val="Hyperlink"/>
            <w:rFonts w:ascii="Times New Roman" w:hAnsi="Times New Roman"/>
            <w:sz w:val="24"/>
            <w:szCs w:val="24"/>
          </w:rPr>
          <w:t>http://www.iaff421.org/?zone=/unionactive/private_view_page.cfm&amp;page=Know20Your20Rights21</w:t>
        </w:r>
      </w:hyperlink>
      <w:r w:rsidRPr="0036327D">
        <w:rPr>
          <w:rFonts w:ascii="Times New Roman" w:hAnsi="Times New Roman"/>
          <w:sz w:val="24"/>
          <w:szCs w:val="24"/>
        </w:rPr>
        <w:t xml:space="preserve"> </w:t>
      </w:r>
    </w:p>
    <w:p w14:paraId="11E527EB" w14:textId="77777777" w:rsidR="00F4486C" w:rsidRPr="0036327D" w:rsidRDefault="00F4486C" w:rsidP="00D161A5">
      <w:pPr>
        <w:pStyle w:val="NoSpacing"/>
        <w:rPr>
          <w:rFonts w:ascii="Times New Roman" w:hAnsi="Times New Roman"/>
          <w:sz w:val="24"/>
          <w:szCs w:val="24"/>
        </w:rPr>
      </w:pPr>
    </w:p>
    <w:p w14:paraId="0ED7EB70" w14:textId="77777777" w:rsidR="00F4486C" w:rsidRPr="0036327D" w:rsidRDefault="00F4486C" w:rsidP="00D161A5">
      <w:pPr>
        <w:pStyle w:val="NoSpacing"/>
        <w:rPr>
          <w:rFonts w:ascii="Times New Roman" w:hAnsi="Times New Roman"/>
          <w:sz w:val="24"/>
          <w:szCs w:val="24"/>
        </w:rPr>
      </w:pPr>
    </w:p>
    <w:p w14:paraId="50BC4223" w14:textId="41EBD1AF" w:rsidR="00527EDF" w:rsidRDefault="000C4DF5" w:rsidP="00D161A5">
      <w:pPr>
        <w:pStyle w:val="NoSpacing"/>
        <w:rPr>
          <w:sz w:val="24"/>
          <w:szCs w:val="24"/>
        </w:rPr>
      </w:pPr>
      <w:r>
        <w:rPr>
          <w:rFonts w:ascii="Arial Black" w:hAnsi="Arial Black"/>
          <w:sz w:val="24"/>
          <w:szCs w:val="24"/>
        </w:rPr>
        <w:t>16-13</w:t>
      </w:r>
    </w:p>
    <w:p w14:paraId="3E5308D2" w14:textId="77777777" w:rsidR="00527EDF" w:rsidRDefault="00527EDF" w:rsidP="00D161A5">
      <w:pPr>
        <w:pStyle w:val="NoSpacing"/>
        <w:rPr>
          <w:sz w:val="24"/>
          <w:szCs w:val="24"/>
        </w:rPr>
      </w:pPr>
    </w:p>
    <w:p w14:paraId="2CF673B7" w14:textId="7D62DA45" w:rsidR="00D161A5" w:rsidRDefault="00D161A5" w:rsidP="00D161A5">
      <w:pPr>
        <w:pStyle w:val="NoSpacing"/>
        <w:rPr>
          <w:rFonts w:ascii="OnTimes New Roman" w:hAnsi="OnTimes New Roman"/>
          <w:sz w:val="24"/>
          <w:szCs w:val="24"/>
        </w:rPr>
      </w:pPr>
      <w:r w:rsidRPr="004C0054">
        <w:rPr>
          <w:rFonts w:ascii="Arial Black" w:hAnsi="Arial Black" w:cs="Arial"/>
          <w:sz w:val="28"/>
          <w:szCs w:val="28"/>
        </w:rPr>
        <w:t xml:space="preserve">KS:  </w:t>
      </w:r>
      <w:r>
        <w:rPr>
          <w:rFonts w:ascii="Arial Black" w:hAnsi="Arial Black" w:cs="Arial"/>
          <w:sz w:val="28"/>
          <w:szCs w:val="28"/>
        </w:rPr>
        <w:t xml:space="preserve">IAFF ATTORNEY HELPED FF IN GRIEVANCE </w:t>
      </w:r>
      <w:r w:rsidR="00B8368A">
        <w:rPr>
          <w:rFonts w:ascii="Arial Black" w:hAnsi="Arial Black" w:cs="Arial"/>
          <w:sz w:val="28"/>
          <w:szCs w:val="28"/>
        </w:rPr>
        <w:t>–</w:t>
      </w:r>
      <w:r>
        <w:rPr>
          <w:rFonts w:ascii="Arial Black" w:hAnsi="Arial Black" w:cs="Arial"/>
          <w:sz w:val="28"/>
          <w:szCs w:val="28"/>
        </w:rPr>
        <w:t xml:space="preserve"> </w:t>
      </w:r>
      <w:r w:rsidR="00B8368A">
        <w:rPr>
          <w:rFonts w:ascii="Arial Black" w:hAnsi="Arial Black" w:cs="Arial"/>
          <w:sz w:val="28"/>
          <w:szCs w:val="28"/>
        </w:rPr>
        <w:t xml:space="preserve">HE WAS </w:t>
      </w:r>
      <w:r>
        <w:rPr>
          <w:rFonts w:ascii="Arial Black" w:hAnsi="Arial Black" w:cs="Arial"/>
          <w:sz w:val="28"/>
          <w:szCs w:val="28"/>
        </w:rPr>
        <w:t xml:space="preserve">NOT HIS PERSONAL COUNSEL </w:t>
      </w:r>
    </w:p>
    <w:p w14:paraId="2567CDC2" w14:textId="77777777" w:rsidR="00B8368A" w:rsidRDefault="00D161A5" w:rsidP="00D161A5">
      <w:pPr>
        <w:pStyle w:val="NoSpacing"/>
        <w:rPr>
          <w:rFonts w:ascii="Times New Roman" w:hAnsi="Times New Roman"/>
          <w:sz w:val="24"/>
          <w:szCs w:val="24"/>
        </w:rPr>
      </w:pPr>
      <w:r w:rsidRPr="00B8368A">
        <w:rPr>
          <w:rFonts w:ascii="Times New Roman" w:hAnsi="Times New Roman"/>
          <w:sz w:val="24"/>
          <w:szCs w:val="24"/>
        </w:rPr>
        <w:t xml:space="preserve">On March 25, 2019, in </w:t>
      </w:r>
      <w:r w:rsidRPr="00B8368A">
        <w:rPr>
          <w:rFonts w:ascii="Times New Roman" w:hAnsi="Times New Roman"/>
          <w:sz w:val="24"/>
          <w:szCs w:val="24"/>
          <w:u w:val="single"/>
        </w:rPr>
        <w:t>Randall Austin Ester v. Christopher Buell, et al</w:t>
      </w:r>
      <w:r w:rsidRPr="00B8368A">
        <w:rPr>
          <w:rFonts w:ascii="Times New Roman" w:hAnsi="Times New Roman"/>
          <w:sz w:val="24"/>
          <w:szCs w:val="24"/>
        </w:rPr>
        <w:t xml:space="preserve">., U.S. Magistrate Judge Gwynne E. </w:t>
      </w:r>
      <w:proofErr w:type="spellStart"/>
      <w:r w:rsidRPr="00B8368A">
        <w:rPr>
          <w:rFonts w:ascii="Times New Roman" w:hAnsi="Times New Roman"/>
          <w:sz w:val="24"/>
          <w:szCs w:val="24"/>
        </w:rPr>
        <w:t>Birzar</w:t>
      </w:r>
      <w:proofErr w:type="spellEnd"/>
      <w:r w:rsidRPr="00B8368A">
        <w:rPr>
          <w:rFonts w:ascii="Times New Roman" w:hAnsi="Times New Roman"/>
          <w:sz w:val="24"/>
          <w:szCs w:val="24"/>
        </w:rPr>
        <w:t xml:space="preserve">, U.S. District Court for Kansas, denied plaintiff’s motion to have IAFF Local 64 attorney disqualified from representing IAFF in his racial discrimination lawsuit.  The Magistrate held, </w:t>
      </w:r>
    </w:p>
    <w:p w14:paraId="25D8AA3D" w14:textId="77777777" w:rsidR="00B8368A" w:rsidRDefault="00B8368A" w:rsidP="00D161A5">
      <w:pPr>
        <w:pStyle w:val="NoSpacing"/>
        <w:rPr>
          <w:rFonts w:ascii="Times New Roman" w:hAnsi="Times New Roman"/>
          <w:sz w:val="24"/>
          <w:szCs w:val="24"/>
        </w:rPr>
      </w:pPr>
    </w:p>
    <w:p w14:paraId="05C1FBF1" w14:textId="1A4D62EC" w:rsidR="00D161A5" w:rsidRPr="00B8368A" w:rsidRDefault="00D161A5" w:rsidP="00B8368A">
      <w:pPr>
        <w:pStyle w:val="NoSpacing"/>
        <w:ind w:left="720"/>
        <w:rPr>
          <w:rFonts w:ascii="Times New Roman" w:hAnsi="Times New Roman"/>
          <w:sz w:val="24"/>
          <w:szCs w:val="24"/>
        </w:rPr>
      </w:pPr>
      <w:r w:rsidRPr="00B8368A">
        <w:rPr>
          <w:rFonts w:ascii="Times New Roman" w:hAnsi="Times New Roman"/>
          <w:sz w:val="24"/>
          <w:szCs w:val="24"/>
        </w:rPr>
        <w:t xml:space="preserve">“The totality of the evidence, viewed in conjunction with the caselaw, weighs against formation of an attorney-client relationship. Written documents identify Mr. Brown as ‘attorney for the union.’” </w:t>
      </w:r>
      <w:hyperlink r:id="rId2823" w:history="1">
        <w:r w:rsidRPr="00B8368A">
          <w:rPr>
            <w:rStyle w:val="Hyperlink"/>
            <w:rFonts w:ascii="Times New Roman" w:hAnsi="Times New Roman"/>
            <w:sz w:val="24"/>
            <w:szCs w:val="24"/>
          </w:rPr>
          <w:t>https://ecf.ksd.uscourts.gov/cgi-bin/show_public_doc?2018cv2084-60</w:t>
        </w:r>
      </w:hyperlink>
      <w:r w:rsidRPr="00B8368A">
        <w:rPr>
          <w:rFonts w:ascii="Times New Roman" w:hAnsi="Times New Roman"/>
          <w:sz w:val="24"/>
          <w:szCs w:val="24"/>
        </w:rPr>
        <w:t xml:space="preserve"> </w:t>
      </w:r>
    </w:p>
    <w:p w14:paraId="7A7B8B4C" w14:textId="77777777" w:rsidR="00B8368A" w:rsidRDefault="00B8368A" w:rsidP="00D161A5">
      <w:pPr>
        <w:pStyle w:val="NoSpacing"/>
        <w:rPr>
          <w:rFonts w:ascii="Times New Roman" w:hAnsi="Times New Roman"/>
          <w:b/>
          <w:sz w:val="24"/>
          <w:szCs w:val="24"/>
        </w:rPr>
      </w:pPr>
    </w:p>
    <w:p w14:paraId="7DEAF276" w14:textId="545C782F" w:rsidR="00D161A5" w:rsidRPr="00B8368A" w:rsidRDefault="00D161A5" w:rsidP="00D161A5">
      <w:pPr>
        <w:pStyle w:val="NoSpacing"/>
        <w:rPr>
          <w:rFonts w:ascii="Times New Roman" w:hAnsi="Times New Roman"/>
          <w:b/>
          <w:sz w:val="24"/>
          <w:szCs w:val="24"/>
        </w:rPr>
      </w:pPr>
      <w:r w:rsidRPr="00B8368A">
        <w:rPr>
          <w:rFonts w:ascii="Times New Roman" w:hAnsi="Times New Roman"/>
          <w:b/>
          <w:sz w:val="24"/>
          <w:szCs w:val="24"/>
        </w:rPr>
        <w:t xml:space="preserve">Legal Lessons Learned:  IAFF Local’s attorney is not personal attorney for grievant. </w:t>
      </w:r>
    </w:p>
    <w:p w14:paraId="0791BB7C" w14:textId="77777777" w:rsidR="009C7552" w:rsidRDefault="009C7552" w:rsidP="00D161A5">
      <w:pPr>
        <w:pStyle w:val="NoSpacing"/>
        <w:rPr>
          <w:b/>
          <w:sz w:val="24"/>
          <w:szCs w:val="24"/>
        </w:rPr>
      </w:pPr>
    </w:p>
    <w:bookmarkEnd w:id="610"/>
    <w:p w14:paraId="62CCDF3C" w14:textId="77777777" w:rsidR="00D161A5" w:rsidRPr="009C7552" w:rsidRDefault="00D161A5" w:rsidP="00D161A5">
      <w:pPr>
        <w:pStyle w:val="NoSpacing"/>
        <w:rPr>
          <w:bCs/>
          <w:sz w:val="24"/>
          <w:szCs w:val="24"/>
        </w:rPr>
      </w:pPr>
    </w:p>
    <w:p w14:paraId="41C1185A" w14:textId="77777777" w:rsidR="00D161A5" w:rsidRDefault="00D161A5" w:rsidP="00F326E5">
      <w:pPr>
        <w:pStyle w:val="NoSpacing"/>
        <w:rPr>
          <w:sz w:val="24"/>
          <w:szCs w:val="24"/>
        </w:rPr>
      </w:pPr>
    </w:p>
    <w:p w14:paraId="768CCFA3" w14:textId="130692C9" w:rsidR="000C4DF5" w:rsidRDefault="000C4DF5" w:rsidP="000C4DF5">
      <w:pPr>
        <w:pStyle w:val="NoSpacing"/>
        <w:rPr>
          <w:rFonts w:ascii="Arial Black" w:hAnsi="Arial Black"/>
          <w:sz w:val="24"/>
          <w:szCs w:val="24"/>
        </w:rPr>
      </w:pPr>
      <w:r>
        <w:rPr>
          <w:rFonts w:ascii="Arial Black" w:hAnsi="Arial Black"/>
          <w:sz w:val="24"/>
          <w:szCs w:val="24"/>
        </w:rPr>
        <w:t>16-12</w:t>
      </w:r>
    </w:p>
    <w:p w14:paraId="715D8B60" w14:textId="77777777" w:rsidR="00D161A5" w:rsidRDefault="00D161A5" w:rsidP="00F326E5">
      <w:pPr>
        <w:pStyle w:val="NoSpacing"/>
        <w:rPr>
          <w:sz w:val="24"/>
          <w:szCs w:val="24"/>
        </w:rPr>
      </w:pPr>
    </w:p>
    <w:p w14:paraId="471FE08E" w14:textId="77777777" w:rsidR="00D161A5" w:rsidRDefault="00D161A5" w:rsidP="00F326E5">
      <w:pPr>
        <w:pStyle w:val="NoSpacing"/>
        <w:rPr>
          <w:sz w:val="24"/>
          <w:szCs w:val="24"/>
        </w:rPr>
      </w:pPr>
    </w:p>
    <w:p w14:paraId="0FE3A5B8" w14:textId="4493E0B1" w:rsidR="00F326E5" w:rsidRPr="003668D6" w:rsidRDefault="00F326E5" w:rsidP="00F326E5">
      <w:pPr>
        <w:pStyle w:val="NoSpacing"/>
        <w:rPr>
          <w:rFonts w:ascii="Arial Black" w:hAnsi="Arial Black"/>
          <w:b/>
          <w:bCs/>
          <w:sz w:val="28"/>
          <w:szCs w:val="28"/>
        </w:rPr>
      </w:pPr>
      <w:bookmarkStart w:id="613" w:name="_Hlk7348878"/>
      <w:r w:rsidRPr="003668D6">
        <w:rPr>
          <w:rFonts w:ascii="Arial Black" w:hAnsi="Arial Black"/>
          <w:bCs/>
          <w:sz w:val="28"/>
          <w:szCs w:val="28"/>
        </w:rPr>
        <w:t>MA:  NEPOTISM - FIRE CHIEF</w:t>
      </w:r>
      <w:r>
        <w:rPr>
          <w:rFonts w:ascii="Arial Black" w:hAnsi="Arial Black"/>
          <w:bCs/>
          <w:sz w:val="28"/>
          <w:szCs w:val="28"/>
        </w:rPr>
        <w:t xml:space="preserve">’S NIECE AND BROTHER ON FD – </w:t>
      </w:r>
      <w:r w:rsidR="00D161A5">
        <w:rPr>
          <w:rFonts w:ascii="Arial Black" w:hAnsi="Arial Black"/>
          <w:bCs/>
          <w:sz w:val="28"/>
          <w:szCs w:val="28"/>
        </w:rPr>
        <w:t>RESIGNED PENDING AN INVESTGATION</w:t>
      </w:r>
      <w:r>
        <w:rPr>
          <w:rFonts w:ascii="Arial Black" w:hAnsi="Arial Black"/>
          <w:bCs/>
          <w:sz w:val="28"/>
          <w:szCs w:val="28"/>
        </w:rPr>
        <w:t xml:space="preserve"> </w:t>
      </w:r>
    </w:p>
    <w:p w14:paraId="674E8EA9" w14:textId="77777777" w:rsidR="00B8368A" w:rsidRDefault="00F326E5" w:rsidP="00F326E5">
      <w:pPr>
        <w:pStyle w:val="NoSpacing"/>
        <w:rPr>
          <w:rFonts w:ascii="Times New Roman" w:hAnsi="Times New Roman"/>
          <w:sz w:val="24"/>
          <w:szCs w:val="24"/>
        </w:rPr>
      </w:pPr>
      <w:r w:rsidRPr="00B8368A">
        <w:rPr>
          <w:rFonts w:ascii="Times New Roman" w:hAnsi="Times New Roman"/>
          <w:sz w:val="24"/>
          <w:szCs w:val="24"/>
        </w:rPr>
        <w:t xml:space="preserve">On Jan. 19, 2019, in </w:t>
      </w:r>
      <w:r w:rsidRPr="00B8368A">
        <w:rPr>
          <w:rFonts w:ascii="Times New Roman" w:hAnsi="Times New Roman"/>
          <w:sz w:val="24"/>
          <w:szCs w:val="24"/>
          <w:u w:val="single"/>
        </w:rPr>
        <w:t>Kevin Robinson v. Town of Marshfield, et al</w:t>
      </w:r>
      <w:r w:rsidRPr="00B8368A">
        <w:rPr>
          <w:rFonts w:ascii="Times New Roman" w:hAnsi="Times New Roman"/>
          <w:sz w:val="24"/>
          <w:szCs w:val="24"/>
        </w:rPr>
        <w:t xml:space="preserve">, U.S. District Court Judge Nathaniel M. Gorton granted the Town’s motion for summary judgment, and dismissed the former Fire Chief’s lawsuit: </w:t>
      </w:r>
    </w:p>
    <w:p w14:paraId="33B1FD9A" w14:textId="77777777" w:rsidR="00B8368A" w:rsidRDefault="00B8368A" w:rsidP="00F326E5">
      <w:pPr>
        <w:pStyle w:val="NoSpacing"/>
        <w:rPr>
          <w:rFonts w:ascii="Times New Roman" w:hAnsi="Times New Roman"/>
          <w:sz w:val="24"/>
          <w:szCs w:val="24"/>
        </w:rPr>
      </w:pPr>
    </w:p>
    <w:p w14:paraId="2B59403D" w14:textId="4BC3DAE9" w:rsidR="00F326E5" w:rsidRPr="00B8368A" w:rsidRDefault="00F326E5" w:rsidP="00B8368A">
      <w:pPr>
        <w:pStyle w:val="NoSpacing"/>
        <w:ind w:left="720"/>
        <w:rPr>
          <w:rStyle w:val="Hyperlink"/>
          <w:rFonts w:ascii="Times New Roman" w:hAnsi="Times New Roman"/>
          <w:bCs/>
          <w:sz w:val="24"/>
          <w:szCs w:val="24"/>
        </w:rPr>
      </w:pPr>
      <w:r w:rsidRPr="00B8368A">
        <w:rPr>
          <w:rFonts w:ascii="Times New Roman" w:hAnsi="Times New Roman"/>
          <w:sz w:val="24"/>
          <w:szCs w:val="24"/>
        </w:rPr>
        <w:lastRenderedPageBreak/>
        <w:t xml:space="preserve">“The Chief has not met his burden of showing intentional interference. First, defendants’ conduct does not rise to the level of spiteful or malignant purpose because there was a legitimate interest in temporarily removing the Chief during the investigation of his alleged ethical misconduct. Moreover, even if this Court assumes arguendo that the Chief has met his prima facie burden of showing improper motive through age discrimination, the Chief has failed to show that such discrimination was the controlling factor in the alleged interference.” </w:t>
      </w:r>
      <w:hyperlink r:id="rId2824" w:history="1">
        <w:r w:rsidRPr="00B8368A">
          <w:rPr>
            <w:rStyle w:val="Hyperlink"/>
            <w:rFonts w:ascii="Times New Roman" w:hAnsi="Times New Roman"/>
            <w:sz w:val="24"/>
            <w:szCs w:val="24"/>
          </w:rPr>
          <w:t>https://www.courtlistener.com/recap/gov.uscourts.mad.185693/gov.uscourts.mad.185693.65.0.pdf</w:t>
        </w:r>
      </w:hyperlink>
    </w:p>
    <w:p w14:paraId="08E3688B" w14:textId="77777777" w:rsidR="00B8368A" w:rsidRDefault="00B8368A" w:rsidP="00F326E5">
      <w:pPr>
        <w:pStyle w:val="NoSpacing"/>
        <w:rPr>
          <w:rFonts w:ascii="Times New Roman" w:hAnsi="Times New Roman"/>
          <w:b/>
          <w:sz w:val="24"/>
          <w:szCs w:val="24"/>
        </w:rPr>
      </w:pPr>
    </w:p>
    <w:p w14:paraId="1A022713" w14:textId="22E6BCBD" w:rsidR="00F326E5" w:rsidRPr="00B8368A" w:rsidRDefault="00F326E5" w:rsidP="00F326E5">
      <w:pPr>
        <w:pStyle w:val="NoSpacing"/>
        <w:rPr>
          <w:rFonts w:ascii="Times New Roman" w:hAnsi="Times New Roman"/>
          <w:b/>
          <w:sz w:val="24"/>
          <w:szCs w:val="24"/>
        </w:rPr>
      </w:pPr>
      <w:r w:rsidRPr="00B8368A">
        <w:rPr>
          <w:rFonts w:ascii="Times New Roman" w:hAnsi="Times New Roman"/>
          <w:b/>
          <w:sz w:val="24"/>
          <w:szCs w:val="24"/>
        </w:rPr>
        <w:t>Legal Lessons Learned:  Fire Chiefs, in states that do not prohibit close family members on their FD, must be extremely careful to avoid even an “appearance” of conflicts of interest.</w:t>
      </w:r>
    </w:p>
    <w:p w14:paraId="5B32A854" w14:textId="77777777" w:rsidR="00F326E5" w:rsidRPr="00B8368A" w:rsidRDefault="00F326E5" w:rsidP="00F326E5">
      <w:pPr>
        <w:pStyle w:val="NoSpacing"/>
        <w:rPr>
          <w:rFonts w:ascii="Times New Roman" w:hAnsi="Times New Roman"/>
          <w:b/>
          <w:sz w:val="24"/>
          <w:szCs w:val="24"/>
        </w:rPr>
      </w:pPr>
    </w:p>
    <w:p w14:paraId="4170938E" w14:textId="77777777" w:rsidR="00F326E5" w:rsidRPr="00B8368A" w:rsidRDefault="00F326E5" w:rsidP="00F326E5">
      <w:pPr>
        <w:pStyle w:val="NoSpacing"/>
        <w:ind w:left="720"/>
        <w:rPr>
          <w:rFonts w:ascii="Times New Roman" w:hAnsi="Times New Roman"/>
          <w:sz w:val="24"/>
          <w:szCs w:val="24"/>
        </w:rPr>
      </w:pPr>
      <w:r w:rsidRPr="00B8368A">
        <w:rPr>
          <w:rFonts w:ascii="Times New Roman" w:hAnsi="Times New Roman"/>
          <w:sz w:val="24"/>
          <w:szCs w:val="24"/>
        </w:rPr>
        <w:t xml:space="preserve">See list of state statutes on Nepotism: “Some states may take a broader approach by denying any relative of a qualifying official from being hired by the same branch of government. Other states might more narrowly prevent a public official from having direct supervisory or hiring authority over a relative. A legislator even advocating on behalf of a relative before a hiring or appointing authority might be a violation in some states.” </w:t>
      </w:r>
      <w:hyperlink r:id="rId2825" w:history="1">
        <w:r w:rsidRPr="00B8368A">
          <w:rPr>
            <w:rStyle w:val="Hyperlink"/>
            <w:rFonts w:ascii="Times New Roman" w:hAnsi="Times New Roman"/>
            <w:sz w:val="24"/>
            <w:szCs w:val="24"/>
          </w:rPr>
          <w:t>http://www.ncsl.org/research/ethics/50-state-table-nepotism-restrictions.aspx</w:t>
        </w:r>
      </w:hyperlink>
      <w:r w:rsidRPr="00B8368A">
        <w:rPr>
          <w:rFonts w:ascii="Times New Roman" w:hAnsi="Times New Roman"/>
          <w:sz w:val="24"/>
          <w:szCs w:val="24"/>
        </w:rPr>
        <w:t xml:space="preserve"> </w:t>
      </w:r>
    </w:p>
    <w:p w14:paraId="16D97DCA" w14:textId="77777777" w:rsidR="00F326E5" w:rsidRPr="00B8368A" w:rsidRDefault="00F326E5" w:rsidP="00F326E5">
      <w:pPr>
        <w:pStyle w:val="NoSpacing"/>
        <w:ind w:left="720"/>
        <w:rPr>
          <w:rFonts w:ascii="Times New Roman" w:hAnsi="Times New Roman"/>
          <w:sz w:val="24"/>
          <w:szCs w:val="24"/>
        </w:rPr>
      </w:pPr>
      <w:r w:rsidRPr="00B8368A">
        <w:rPr>
          <w:rFonts w:ascii="Times New Roman" w:hAnsi="Times New Roman"/>
          <w:sz w:val="24"/>
          <w:szCs w:val="24"/>
        </w:rPr>
        <w:t xml:space="preserve">See also Ohio Ethics Commission – Information Sheet No. 1, RESTRICTIONS ON NEPOTISM OR HIRING FAMILY MEMBERS: </w:t>
      </w:r>
      <w:hyperlink r:id="rId2826" w:history="1">
        <w:r w:rsidRPr="00B8368A">
          <w:rPr>
            <w:rStyle w:val="Hyperlink"/>
            <w:rFonts w:ascii="Times New Roman" w:hAnsi="Times New Roman"/>
            <w:sz w:val="24"/>
            <w:szCs w:val="24"/>
          </w:rPr>
          <w:t>https://www.ethics.ohio.gov/education/factsheets/InfoSheet1-Nepotism.pdf</w:t>
        </w:r>
      </w:hyperlink>
      <w:r w:rsidRPr="00B8368A">
        <w:rPr>
          <w:rFonts w:ascii="Times New Roman" w:hAnsi="Times New Roman"/>
          <w:sz w:val="24"/>
          <w:szCs w:val="24"/>
        </w:rPr>
        <w:t xml:space="preserve"> </w:t>
      </w:r>
    </w:p>
    <w:p w14:paraId="30BB61A3" w14:textId="24EA80D9" w:rsidR="00F326E5" w:rsidRPr="00B8368A" w:rsidRDefault="00F326E5" w:rsidP="00F326E5">
      <w:pPr>
        <w:pStyle w:val="NoSpacing"/>
        <w:ind w:left="720"/>
        <w:rPr>
          <w:rFonts w:ascii="Times New Roman" w:hAnsi="Times New Roman"/>
          <w:sz w:val="24"/>
          <w:szCs w:val="24"/>
        </w:rPr>
      </w:pPr>
    </w:p>
    <w:bookmarkEnd w:id="613"/>
    <w:p w14:paraId="4C5B09EA" w14:textId="77777777" w:rsidR="00B8368A" w:rsidRDefault="00B8368A" w:rsidP="000C4DF5">
      <w:pPr>
        <w:pStyle w:val="NoSpacing"/>
        <w:rPr>
          <w:rFonts w:ascii="Arial Black" w:hAnsi="Arial Black"/>
          <w:sz w:val="24"/>
          <w:szCs w:val="24"/>
        </w:rPr>
      </w:pPr>
    </w:p>
    <w:p w14:paraId="776AD545" w14:textId="77777777" w:rsidR="00B8368A" w:rsidRDefault="00B8368A" w:rsidP="000C4DF5">
      <w:pPr>
        <w:pStyle w:val="NoSpacing"/>
        <w:rPr>
          <w:rFonts w:ascii="Arial Black" w:hAnsi="Arial Black"/>
          <w:sz w:val="24"/>
          <w:szCs w:val="24"/>
        </w:rPr>
      </w:pPr>
    </w:p>
    <w:p w14:paraId="748490EF" w14:textId="5B982907" w:rsidR="00F326E5" w:rsidRDefault="000C4DF5" w:rsidP="000C4DF5">
      <w:pPr>
        <w:pStyle w:val="NoSpacing"/>
        <w:rPr>
          <w:rFonts w:ascii="Arial Black" w:hAnsi="Arial Black"/>
          <w:sz w:val="24"/>
          <w:szCs w:val="24"/>
        </w:rPr>
      </w:pPr>
      <w:r>
        <w:rPr>
          <w:rFonts w:ascii="Arial Black" w:hAnsi="Arial Black"/>
          <w:sz w:val="24"/>
          <w:szCs w:val="24"/>
        </w:rPr>
        <w:t>16-11</w:t>
      </w:r>
    </w:p>
    <w:p w14:paraId="75AC1771" w14:textId="77777777" w:rsidR="000C4DF5" w:rsidRDefault="000C4DF5" w:rsidP="000C4DF5">
      <w:pPr>
        <w:pStyle w:val="NoSpacing"/>
        <w:rPr>
          <w:rFonts w:ascii="Arial Black" w:hAnsi="Arial Black"/>
          <w:sz w:val="40"/>
          <w:szCs w:val="40"/>
        </w:rPr>
      </w:pPr>
    </w:p>
    <w:p w14:paraId="1CB9144B" w14:textId="781FAE87" w:rsidR="00F326E5" w:rsidRPr="004815FF" w:rsidRDefault="00F326E5" w:rsidP="00F326E5">
      <w:pPr>
        <w:pStyle w:val="NoSpacing"/>
        <w:rPr>
          <w:rFonts w:ascii="Arial Black" w:hAnsi="Arial Black"/>
          <w:b/>
          <w:sz w:val="28"/>
          <w:szCs w:val="28"/>
        </w:rPr>
      </w:pPr>
      <w:bookmarkStart w:id="614" w:name="_Hlk7348937"/>
      <w:r w:rsidRPr="004815FF">
        <w:rPr>
          <w:rFonts w:ascii="Arial Black" w:hAnsi="Arial Black"/>
          <w:b/>
          <w:sz w:val="28"/>
          <w:szCs w:val="28"/>
        </w:rPr>
        <w:t xml:space="preserve">NJ: STATE POLICE LAB OFFICER INDICTED; FALSELY CERTIFIED </w:t>
      </w:r>
      <w:r w:rsidR="00D161A5">
        <w:rPr>
          <w:rFonts w:ascii="Arial Black" w:hAnsi="Arial Black"/>
          <w:b/>
          <w:sz w:val="28"/>
          <w:szCs w:val="28"/>
        </w:rPr>
        <w:t xml:space="preserve">HE </w:t>
      </w:r>
      <w:r w:rsidRPr="004815FF">
        <w:rPr>
          <w:rFonts w:ascii="Arial Black" w:hAnsi="Arial Black"/>
          <w:b/>
          <w:sz w:val="28"/>
          <w:szCs w:val="28"/>
        </w:rPr>
        <w:t>HAD CALIBRATED DUI EQUIPMENT</w:t>
      </w:r>
    </w:p>
    <w:p w14:paraId="034C3147" w14:textId="77777777" w:rsidR="00F326E5" w:rsidRPr="00B8368A" w:rsidRDefault="00F326E5" w:rsidP="00F326E5">
      <w:pPr>
        <w:rPr>
          <w:rFonts w:ascii="Times New Roman" w:eastAsia="Times New Roman" w:hAnsi="Times New Roman"/>
          <w:sz w:val="24"/>
          <w:szCs w:val="24"/>
        </w:rPr>
      </w:pPr>
      <w:r w:rsidRPr="00B8368A">
        <w:rPr>
          <w:rFonts w:ascii="Times New Roman" w:eastAsia="Times New Roman" w:hAnsi="Times New Roman"/>
          <w:sz w:val="24"/>
          <w:szCs w:val="24"/>
        </w:rPr>
        <w:t xml:space="preserve">On Nov. 13, 2018, in </w:t>
      </w:r>
      <w:r w:rsidRPr="00B8368A">
        <w:rPr>
          <w:rFonts w:ascii="Times New Roman" w:eastAsia="Times New Roman" w:hAnsi="Times New Roman"/>
          <w:sz w:val="24"/>
          <w:szCs w:val="24"/>
          <w:u w:val="single"/>
        </w:rPr>
        <w:t>State v. Eileen Cassidy</w:t>
      </w:r>
      <w:r w:rsidRPr="00B8368A">
        <w:rPr>
          <w:rFonts w:ascii="Times New Roman" w:eastAsia="Times New Roman" w:hAnsi="Times New Roman"/>
          <w:sz w:val="24"/>
          <w:szCs w:val="24"/>
        </w:rPr>
        <w:t xml:space="preserve">, the New Jersey Supreme Court held: “The Court considers the admissibility of breath test results produced by Alcotest machines not calibrated using a thermometer that produces temperature measurements traceable to the standards set by the National Institute of Standards and Technology (NIST)…. The Special Master determined that the State had not shown that other states’ practices revealed general  acceptance of the reliability of Alcotest results without the use of a NIST-traceable thermometer. Because the Special Master’s findings are supported by substantial credible evidence in the record, the Court adopts them.” </w:t>
      </w:r>
      <w:hyperlink r:id="rId2827" w:history="1">
        <w:r w:rsidRPr="00B8368A">
          <w:rPr>
            <w:rStyle w:val="Hyperlink"/>
            <w:rFonts w:ascii="Times New Roman" w:hAnsi="Times New Roman"/>
            <w:sz w:val="24"/>
            <w:szCs w:val="24"/>
          </w:rPr>
          <w:t>https://www.njcourts.gov/attorneys/assets/opinions/supreme/a_58_16.pdf</w:t>
        </w:r>
      </w:hyperlink>
      <w:r w:rsidRPr="00B8368A">
        <w:rPr>
          <w:rFonts w:ascii="Times New Roman" w:eastAsia="Times New Roman" w:hAnsi="Times New Roman"/>
          <w:sz w:val="24"/>
          <w:szCs w:val="24"/>
        </w:rPr>
        <w:t xml:space="preserve"> </w:t>
      </w:r>
    </w:p>
    <w:p w14:paraId="1D0B34D5" w14:textId="77777777" w:rsidR="00F326E5" w:rsidRPr="00B8368A" w:rsidRDefault="00F326E5" w:rsidP="00F326E5">
      <w:pPr>
        <w:rPr>
          <w:rFonts w:ascii="Times New Roman" w:eastAsia="Times New Roman" w:hAnsi="Times New Roman"/>
          <w:b/>
          <w:sz w:val="24"/>
          <w:szCs w:val="24"/>
        </w:rPr>
      </w:pPr>
      <w:r w:rsidRPr="00B8368A">
        <w:rPr>
          <w:rFonts w:ascii="Times New Roman" w:eastAsia="Times New Roman" w:hAnsi="Times New Roman"/>
          <w:b/>
          <w:sz w:val="24"/>
          <w:szCs w:val="24"/>
        </w:rPr>
        <w:t xml:space="preserve">Legal Lessons Learned: False certifications can lead to unwarranted convictions, and criminal charges. EMS personnel must likewise follow EMS protocols, or patient injury or death may occur; false EMS run reports can also lead to termination of employment and even criminal charges.  </w:t>
      </w:r>
    </w:p>
    <w:p w14:paraId="18356700" w14:textId="53BD2B4A" w:rsidR="00BD7B94" w:rsidRDefault="00BD7B94" w:rsidP="00F326E5">
      <w:pPr>
        <w:rPr>
          <w:rStyle w:val="Hyperlink"/>
          <w:sz w:val="24"/>
          <w:szCs w:val="24"/>
        </w:rPr>
      </w:pPr>
    </w:p>
    <w:p w14:paraId="01E94A2A" w14:textId="6C502B7F" w:rsidR="000C4DF5" w:rsidRDefault="000C4DF5" w:rsidP="000C4DF5">
      <w:pPr>
        <w:pStyle w:val="NoSpacing"/>
        <w:rPr>
          <w:rFonts w:ascii="Arial Black" w:hAnsi="Arial Black"/>
          <w:sz w:val="24"/>
          <w:szCs w:val="24"/>
        </w:rPr>
      </w:pPr>
      <w:r>
        <w:rPr>
          <w:rFonts w:ascii="Arial Black" w:hAnsi="Arial Black"/>
          <w:sz w:val="24"/>
          <w:szCs w:val="24"/>
        </w:rPr>
        <w:t>16-10</w:t>
      </w:r>
    </w:p>
    <w:p w14:paraId="18ED8E0F" w14:textId="77777777" w:rsidR="00F326E5" w:rsidRDefault="00F326E5" w:rsidP="00F326E5">
      <w:pPr>
        <w:rPr>
          <w:b/>
          <w:sz w:val="24"/>
          <w:szCs w:val="24"/>
        </w:rPr>
      </w:pPr>
    </w:p>
    <w:p w14:paraId="6C6F9702" w14:textId="72777524" w:rsidR="00F326E5" w:rsidRPr="00FA036E" w:rsidRDefault="00F326E5" w:rsidP="00F326E5">
      <w:pPr>
        <w:rPr>
          <w:rFonts w:ascii="Arial Black" w:hAnsi="Arial Black"/>
          <w:sz w:val="28"/>
          <w:szCs w:val="28"/>
        </w:rPr>
      </w:pPr>
      <w:bookmarkStart w:id="615" w:name="_Hlk7348973"/>
      <w:bookmarkEnd w:id="614"/>
      <w:r>
        <w:rPr>
          <w:rFonts w:ascii="Arial Black" w:hAnsi="Arial Black"/>
          <w:sz w:val="28"/>
          <w:szCs w:val="28"/>
        </w:rPr>
        <w:t>TN:  FF REINSTATED - SCUFFLE AT OFF-DUTY RALLY / FIREARM - REINSTATED – CHARGES NOT PROVEN</w:t>
      </w:r>
    </w:p>
    <w:p w14:paraId="3D6D801E" w14:textId="77777777" w:rsidR="00B8368A" w:rsidRDefault="00F326E5" w:rsidP="00F326E5">
      <w:pPr>
        <w:rPr>
          <w:rFonts w:ascii="Times New Roman" w:eastAsia="Times New Roman" w:hAnsi="Times New Roman"/>
          <w:sz w:val="24"/>
          <w:szCs w:val="24"/>
        </w:rPr>
      </w:pPr>
      <w:r w:rsidRPr="00B8368A">
        <w:rPr>
          <w:rFonts w:ascii="Times New Roman" w:eastAsia="Times New Roman" w:hAnsi="Times New Roman"/>
          <w:sz w:val="24"/>
          <w:szCs w:val="24"/>
        </w:rPr>
        <w:lastRenderedPageBreak/>
        <w:t xml:space="preserve">On Oct. 10, 2018, in </w:t>
      </w:r>
      <w:r w:rsidRPr="00B8368A">
        <w:rPr>
          <w:rFonts w:ascii="Times New Roman" w:eastAsia="Times New Roman" w:hAnsi="Times New Roman"/>
          <w:sz w:val="24"/>
          <w:szCs w:val="24"/>
          <w:u w:val="single"/>
        </w:rPr>
        <w:t>Paul Zachary Moss v. Shelby County Civil Service Board</w:t>
      </w:r>
      <w:r w:rsidRPr="00B8368A">
        <w:rPr>
          <w:rFonts w:ascii="Times New Roman" w:eastAsia="Times New Roman" w:hAnsi="Times New Roman"/>
          <w:sz w:val="24"/>
          <w:szCs w:val="24"/>
        </w:rPr>
        <w:t xml:space="preserve">, the Court of Appeals of Tennessee (at Jackson) held (3 to 0) that the Civil Service Board is reversed, and firefighter is reinstated to Shelby County Fire Department.  </w:t>
      </w:r>
    </w:p>
    <w:p w14:paraId="1706CB8E" w14:textId="2CD8CF00" w:rsidR="00F326E5" w:rsidRPr="00B8368A" w:rsidRDefault="00F326E5" w:rsidP="00B8368A">
      <w:pPr>
        <w:ind w:left="720"/>
        <w:rPr>
          <w:rFonts w:ascii="Times New Roman" w:eastAsia="Times New Roman" w:hAnsi="Times New Roman"/>
          <w:sz w:val="24"/>
          <w:szCs w:val="24"/>
        </w:rPr>
      </w:pPr>
      <w:r w:rsidRPr="00B8368A">
        <w:rPr>
          <w:rFonts w:ascii="Times New Roman" w:eastAsia="Times New Roman" w:hAnsi="Times New Roman"/>
          <w:sz w:val="24"/>
          <w:szCs w:val="24"/>
        </w:rPr>
        <w:t xml:space="preserve">“Appellant contends that the decision upholding his termination should be reversed due to a violation of his due process rights. We agree and reverse…. Further, [Mr. Moss on appeal noted] that the ‘two charges asserted in the </w:t>
      </w:r>
      <w:r w:rsidRPr="00B8368A">
        <w:rPr>
          <w:rFonts w:ascii="Times New Roman" w:eastAsia="Times New Roman" w:hAnsi="Times New Roman"/>
          <w:i/>
          <w:sz w:val="24"/>
          <w:szCs w:val="24"/>
        </w:rPr>
        <w:t xml:space="preserve">Loudermill </w:t>
      </w:r>
      <w:r w:rsidRPr="00B8368A">
        <w:rPr>
          <w:rFonts w:ascii="Times New Roman" w:eastAsia="Times New Roman" w:hAnsi="Times New Roman"/>
          <w:sz w:val="24"/>
          <w:szCs w:val="24"/>
        </w:rPr>
        <w:t>notice were proven to be without factual basis as Chief Benson and Chief Burress both acknowledged that Mr. Moss gave notice of being taken to the Memphis Police Department on the night of the events and Mr. Moss had not been convicted of a felony.’”</w:t>
      </w:r>
      <w:hyperlink r:id="rId2828" w:history="1">
        <w:r w:rsidRPr="00B8368A">
          <w:rPr>
            <w:rStyle w:val="Hyperlink"/>
            <w:rFonts w:ascii="Times New Roman" w:hAnsi="Times New Roman"/>
            <w:sz w:val="24"/>
            <w:szCs w:val="24"/>
          </w:rPr>
          <w:t>http://www.tsc.state.tn.us/sites/default/files/mosspaulzacharyopn.pdf</w:t>
        </w:r>
      </w:hyperlink>
      <w:r w:rsidRPr="00B8368A">
        <w:rPr>
          <w:rFonts w:ascii="Times New Roman" w:eastAsia="Times New Roman" w:hAnsi="Times New Roman"/>
          <w:sz w:val="24"/>
          <w:szCs w:val="24"/>
        </w:rPr>
        <w:t xml:space="preserve"> </w:t>
      </w:r>
    </w:p>
    <w:p w14:paraId="7ABBB616" w14:textId="77777777" w:rsidR="00F326E5" w:rsidRPr="00B8368A" w:rsidRDefault="00F326E5" w:rsidP="00F326E5">
      <w:pPr>
        <w:rPr>
          <w:rFonts w:ascii="Times New Roman" w:hAnsi="Times New Roman"/>
          <w:b/>
          <w:sz w:val="24"/>
          <w:szCs w:val="24"/>
        </w:rPr>
      </w:pPr>
      <w:r w:rsidRPr="00B8368A">
        <w:rPr>
          <w:rFonts w:ascii="Times New Roman" w:hAnsi="Times New Roman"/>
          <w:b/>
          <w:sz w:val="24"/>
          <w:szCs w:val="24"/>
        </w:rPr>
        <w:t>Legal Lessons Learned:  Due process requires proof of the specific charges; if the FD had also included a charge of “conduct unbecoming” this case may have had a different result.</w:t>
      </w:r>
    </w:p>
    <w:p w14:paraId="69EB45FF" w14:textId="77777777" w:rsidR="000C4DF5" w:rsidRDefault="000C4DF5" w:rsidP="000C4DF5">
      <w:pPr>
        <w:pStyle w:val="NoSpacing"/>
        <w:rPr>
          <w:rFonts w:ascii="Arial Black" w:hAnsi="Arial Black"/>
          <w:sz w:val="24"/>
          <w:szCs w:val="24"/>
        </w:rPr>
      </w:pPr>
    </w:p>
    <w:p w14:paraId="0A5B7C7C" w14:textId="77777777" w:rsidR="00B8368A" w:rsidRDefault="00B8368A" w:rsidP="000C4DF5">
      <w:pPr>
        <w:pStyle w:val="NoSpacing"/>
        <w:rPr>
          <w:rFonts w:ascii="Arial Black" w:hAnsi="Arial Black"/>
          <w:sz w:val="24"/>
          <w:szCs w:val="24"/>
        </w:rPr>
      </w:pPr>
    </w:p>
    <w:p w14:paraId="0E457058" w14:textId="1489ED26" w:rsidR="00F326E5" w:rsidRDefault="000C4DF5" w:rsidP="000C4DF5">
      <w:pPr>
        <w:pStyle w:val="NoSpacing"/>
        <w:rPr>
          <w:sz w:val="24"/>
          <w:szCs w:val="24"/>
        </w:rPr>
      </w:pPr>
      <w:bookmarkStart w:id="616" w:name="_Hlk80769537"/>
      <w:r>
        <w:rPr>
          <w:rFonts w:ascii="Arial Black" w:hAnsi="Arial Black"/>
          <w:sz w:val="24"/>
          <w:szCs w:val="24"/>
        </w:rPr>
        <w:t>16-9</w:t>
      </w:r>
    </w:p>
    <w:p w14:paraId="18F3874F" w14:textId="6BD5C8E8" w:rsidR="00F326E5" w:rsidRPr="00237787" w:rsidRDefault="00F326E5" w:rsidP="00F326E5">
      <w:pPr>
        <w:pStyle w:val="Heading1"/>
        <w:rPr>
          <w:sz w:val="24"/>
          <w:szCs w:val="24"/>
        </w:rPr>
      </w:pPr>
      <w:bookmarkStart w:id="617" w:name="_Hlk7349033"/>
      <w:bookmarkEnd w:id="615"/>
      <w:r w:rsidRPr="004815FF">
        <w:rPr>
          <w:rFonts w:ascii="Arial Black" w:hAnsi="Arial Black"/>
          <w:sz w:val="28"/>
          <w:szCs w:val="28"/>
        </w:rPr>
        <w:t>TX: FREE SPEECH - PD OFFICER LAWSUIT MAY PROCEED - FIRED ORGANIZING POLICE ASSOCIATION</w:t>
      </w:r>
      <w:r>
        <w:rPr>
          <w:rFonts w:ascii="Arial Black" w:hAnsi="Arial Black"/>
          <w:sz w:val="24"/>
          <w:szCs w:val="24"/>
        </w:rPr>
        <w:t xml:space="preserve"> </w:t>
      </w:r>
      <w:r w:rsidRPr="00237787">
        <w:rPr>
          <w:sz w:val="24"/>
          <w:szCs w:val="24"/>
        </w:rPr>
        <w:t>[also filed, Chap. 1]</w:t>
      </w:r>
    </w:p>
    <w:p w14:paraId="34E73E98" w14:textId="77777777" w:rsidR="00B8368A" w:rsidRDefault="00F326E5" w:rsidP="00F326E5">
      <w:pPr>
        <w:rPr>
          <w:rFonts w:ascii="Times New Roman" w:hAnsi="Times New Roman"/>
          <w:sz w:val="24"/>
          <w:szCs w:val="24"/>
        </w:rPr>
      </w:pPr>
      <w:r w:rsidRPr="00B8368A">
        <w:rPr>
          <w:rFonts w:ascii="Times New Roman" w:hAnsi="Times New Roman"/>
          <w:sz w:val="24"/>
          <w:szCs w:val="24"/>
        </w:rPr>
        <w:t xml:space="preserve">On Aug. 31, 2018, in </w:t>
      </w:r>
      <w:r w:rsidRPr="00B8368A">
        <w:rPr>
          <w:rFonts w:ascii="Times New Roman" w:hAnsi="Times New Roman"/>
          <w:sz w:val="24"/>
          <w:szCs w:val="24"/>
          <w:u w:val="single"/>
        </w:rPr>
        <w:t>Marcus Mote v. Debra Walthall</w:t>
      </w:r>
      <w:r w:rsidRPr="00B8368A">
        <w:rPr>
          <w:rFonts w:ascii="Times New Roman" w:hAnsi="Times New Roman"/>
          <w:sz w:val="24"/>
          <w:szCs w:val="24"/>
        </w:rPr>
        <w:t>, the U.S. Court of Appeals for 5</w:t>
      </w:r>
      <w:r w:rsidRPr="00B8368A">
        <w:rPr>
          <w:rFonts w:ascii="Times New Roman" w:hAnsi="Times New Roman"/>
          <w:sz w:val="24"/>
          <w:szCs w:val="24"/>
          <w:vertAlign w:val="superscript"/>
        </w:rPr>
        <w:t>th</w:t>
      </w:r>
      <w:r w:rsidRPr="00B8368A">
        <w:rPr>
          <w:rFonts w:ascii="Times New Roman" w:hAnsi="Times New Roman"/>
          <w:sz w:val="24"/>
          <w:szCs w:val="24"/>
        </w:rPr>
        <w:t xml:space="preserve"> Circuit held (3 to 0) that Police Chief Debra Walthall is not entitled to qualified immunity, and Officer Mote’s lawsuit against her may proceed.  Officer Mote sought before he was fired to organize police officers with the City of </w:t>
      </w:r>
      <w:proofErr w:type="spellStart"/>
      <w:r w:rsidRPr="00B8368A">
        <w:rPr>
          <w:rFonts w:ascii="Times New Roman" w:hAnsi="Times New Roman"/>
          <w:sz w:val="24"/>
          <w:szCs w:val="24"/>
        </w:rPr>
        <w:t>Corith</w:t>
      </w:r>
      <w:proofErr w:type="spellEnd"/>
      <w:r w:rsidRPr="00B8368A">
        <w:rPr>
          <w:rFonts w:ascii="Times New Roman" w:hAnsi="Times New Roman"/>
          <w:sz w:val="24"/>
          <w:szCs w:val="24"/>
        </w:rPr>
        <w:t>, TX into a “</w:t>
      </w:r>
      <w:proofErr w:type="spellStart"/>
      <w:r w:rsidRPr="00B8368A">
        <w:rPr>
          <w:rFonts w:ascii="Times New Roman" w:hAnsi="Times New Roman"/>
          <w:sz w:val="24"/>
          <w:szCs w:val="24"/>
        </w:rPr>
        <w:t>Corith</w:t>
      </w:r>
      <w:proofErr w:type="spellEnd"/>
      <w:r w:rsidRPr="00B8368A">
        <w:rPr>
          <w:rFonts w:ascii="Times New Roman" w:hAnsi="Times New Roman"/>
          <w:sz w:val="24"/>
          <w:szCs w:val="24"/>
        </w:rPr>
        <w:t xml:space="preserve"> Police Officers Association” [no collective bargaining rights under TX law], affiliated with the Texas Municipal Police Association.  The Court wrote, </w:t>
      </w:r>
    </w:p>
    <w:p w14:paraId="346D7918" w14:textId="096CFB09" w:rsidR="00F326E5" w:rsidRPr="00B8368A" w:rsidRDefault="00F326E5" w:rsidP="00B8368A">
      <w:pPr>
        <w:ind w:left="720"/>
        <w:rPr>
          <w:rFonts w:ascii="Times New Roman" w:eastAsia="Times New Roman" w:hAnsi="Times New Roman"/>
          <w:sz w:val="24"/>
          <w:szCs w:val="24"/>
        </w:rPr>
      </w:pPr>
      <w:r w:rsidRPr="00B8368A">
        <w:rPr>
          <w:rFonts w:ascii="Times New Roman" w:hAnsi="Times New Roman"/>
          <w:sz w:val="24"/>
          <w:szCs w:val="24"/>
        </w:rPr>
        <w:t>“</w:t>
      </w:r>
      <w:r w:rsidRPr="00B8368A">
        <w:rPr>
          <w:rFonts w:ascii="Times New Roman" w:eastAsia="Times New Roman" w:hAnsi="Times New Roman"/>
          <w:sz w:val="24"/>
          <w:szCs w:val="24"/>
        </w:rPr>
        <w:t>The First Amendment protects the right of all persons to associate together in groups to ‘</w:t>
      </w:r>
      <w:proofErr w:type="spellStart"/>
      <w:r w:rsidRPr="00B8368A">
        <w:rPr>
          <w:rFonts w:ascii="Times New Roman" w:eastAsia="Times New Roman" w:hAnsi="Times New Roman"/>
          <w:sz w:val="24"/>
          <w:szCs w:val="24"/>
        </w:rPr>
        <w:t>advanc</w:t>
      </w:r>
      <w:proofErr w:type="spellEnd"/>
      <w:r w:rsidRPr="00B8368A">
        <w:rPr>
          <w:rFonts w:ascii="Times New Roman" w:eastAsia="Times New Roman" w:hAnsi="Times New Roman"/>
          <w:sz w:val="24"/>
          <w:szCs w:val="24"/>
        </w:rPr>
        <w:t>[e] beliefs and ideas.’ Put another way, ‘the [F]</w:t>
      </w:r>
      <w:proofErr w:type="spellStart"/>
      <w:r w:rsidRPr="00B8368A">
        <w:rPr>
          <w:rFonts w:ascii="Times New Roman" w:eastAsia="Times New Roman" w:hAnsi="Times New Roman"/>
          <w:sz w:val="24"/>
          <w:szCs w:val="24"/>
        </w:rPr>
        <w:t>irst</w:t>
      </w:r>
      <w:proofErr w:type="spellEnd"/>
      <w:r w:rsidRPr="00B8368A">
        <w:rPr>
          <w:rFonts w:ascii="Times New Roman" w:eastAsia="Times New Roman" w:hAnsi="Times New Roman"/>
          <w:sz w:val="24"/>
          <w:szCs w:val="24"/>
        </w:rPr>
        <w:t xml:space="preserve"> [A]</w:t>
      </w:r>
      <w:proofErr w:type="spellStart"/>
      <w:r w:rsidRPr="00B8368A">
        <w:rPr>
          <w:rFonts w:ascii="Times New Roman" w:eastAsia="Times New Roman" w:hAnsi="Times New Roman"/>
          <w:sz w:val="24"/>
          <w:szCs w:val="24"/>
        </w:rPr>
        <w:t>mendment</w:t>
      </w:r>
      <w:proofErr w:type="spellEnd"/>
      <w:r w:rsidRPr="00B8368A">
        <w:rPr>
          <w:rFonts w:ascii="Times New Roman" w:eastAsia="Times New Roman" w:hAnsi="Times New Roman"/>
          <w:sz w:val="24"/>
          <w:szCs w:val="24"/>
        </w:rPr>
        <w:t xml:space="preserve"> protects the right of all persons to associate together in groups to further their lawful interests.’ When groups </w:t>
      </w:r>
      <w:proofErr w:type="gramStart"/>
      <w:r w:rsidRPr="00B8368A">
        <w:rPr>
          <w:rFonts w:ascii="Times New Roman" w:eastAsia="Times New Roman" w:hAnsi="Times New Roman"/>
          <w:sz w:val="24"/>
          <w:szCs w:val="24"/>
        </w:rPr>
        <w:t>gather together</w:t>
      </w:r>
      <w:proofErr w:type="gramEnd"/>
      <w:r w:rsidRPr="00B8368A">
        <w:rPr>
          <w:rFonts w:ascii="Times New Roman" w:eastAsia="Times New Roman" w:hAnsi="Times New Roman"/>
          <w:sz w:val="24"/>
          <w:szCs w:val="24"/>
        </w:rPr>
        <w:t xml:space="preserve"> for this </w:t>
      </w:r>
      <w:proofErr w:type="gramStart"/>
      <w:r w:rsidRPr="00B8368A">
        <w:rPr>
          <w:rFonts w:ascii="Times New Roman" w:eastAsia="Times New Roman" w:hAnsi="Times New Roman"/>
          <w:sz w:val="24"/>
          <w:szCs w:val="24"/>
        </w:rPr>
        <w:t>purpose, ‘</w:t>
      </w:r>
      <w:proofErr w:type="gramEnd"/>
      <w:r w:rsidRPr="00B8368A">
        <w:rPr>
          <w:rFonts w:ascii="Times New Roman" w:eastAsia="Times New Roman" w:hAnsi="Times New Roman"/>
          <w:sz w:val="24"/>
          <w:szCs w:val="24"/>
        </w:rPr>
        <w:t xml:space="preserve">it cannot be seriously doubted’ that they comprise associations protected by the First Amendment. *** </w:t>
      </w:r>
      <w:r w:rsidRPr="00B8368A">
        <w:rPr>
          <w:rFonts w:ascii="Times New Roman" w:hAnsi="Times New Roman"/>
          <w:sz w:val="24"/>
          <w:szCs w:val="24"/>
        </w:rPr>
        <w:t xml:space="preserve">We conclude that Mote’s right to speak </w:t>
      </w:r>
      <w:r w:rsidRPr="00B8368A">
        <w:rPr>
          <w:rFonts w:ascii="Times New Roman" w:eastAsia="Times New Roman" w:hAnsi="Times New Roman"/>
          <w:sz w:val="24"/>
          <w:szCs w:val="24"/>
        </w:rPr>
        <w:t xml:space="preserve">in furtherance of forming the CPOA was clearly established as an integral part of his association rights. *** We agree with the district court that Mote’s association and speech rights to engage in the activities he alleged were clearly established. We therefore DISMISS the appeal.” </w:t>
      </w:r>
      <w:hyperlink r:id="rId2829" w:history="1">
        <w:r w:rsidRPr="00B8368A">
          <w:rPr>
            <w:rStyle w:val="Hyperlink"/>
            <w:rFonts w:ascii="Times New Roman" w:hAnsi="Times New Roman"/>
            <w:sz w:val="24"/>
            <w:szCs w:val="24"/>
          </w:rPr>
          <w:t>https://cases.justia.com/federal/appellate-courts/ca5/17-40754/17-40754-2018-08-31.pdf?ts=1535736678</w:t>
        </w:r>
      </w:hyperlink>
      <w:r w:rsidRPr="00B8368A">
        <w:rPr>
          <w:rFonts w:ascii="Times New Roman" w:eastAsia="Times New Roman" w:hAnsi="Times New Roman"/>
          <w:sz w:val="24"/>
          <w:szCs w:val="24"/>
        </w:rPr>
        <w:t xml:space="preserve"> </w:t>
      </w:r>
    </w:p>
    <w:p w14:paraId="66CB6BFA" w14:textId="272BB028" w:rsidR="00F326E5" w:rsidRPr="00B8368A" w:rsidRDefault="00F326E5" w:rsidP="00F326E5">
      <w:pPr>
        <w:rPr>
          <w:rFonts w:ascii="Times New Roman" w:eastAsia="Times New Roman" w:hAnsi="Times New Roman"/>
          <w:b/>
          <w:sz w:val="24"/>
          <w:szCs w:val="24"/>
        </w:rPr>
      </w:pPr>
      <w:r w:rsidRPr="00B8368A">
        <w:rPr>
          <w:rFonts w:ascii="Times New Roman" w:eastAsia="Times New Roman" w:hAnsi="Times New Roman"/>
          <w:b/>
          <w:sz w:val="24"/>
          <w:szCs w:val="24"/>
        </w:rPr>
        <w:t xml:space="preserve">Legal Lessons Learned: Very strong opinion concerning free speech rights of public employees.  Fire &amp; EMS departments should adopt a “Social Media” policy that recognizes free speech </w:t>
      </w:r>
      <w:proofErr w:type="gramStart"/>
      <w:r w:rsidRPr="00B8368A">
        <w:rPr>
          <w:rFonts w:ascii="Times New Roman" w:eastAsia="Times New Roman" w:hAnsi="Times New Roman"/>
          <w:b/>
          <w:sz w:val="24"/>
          <w:szCs w:val="24"/>
        </w:rPr>
        <w:t>rights,</w:t>
      </w:r>
      <w:r w:rsidR="00B8368A">
        <w:rPr>
          <w:rFonts w:ascii="Times New Roman" w:eastAsia="Times New Roman" w:hAnsi="Times New Roman"/>
          <w:b/>
          <w:sz w:val="24"/>
          <w:szCs w:val="24"/>
        </w:rPr>
        <w:t xml:space="preserve"> </w:t>
      </w:r>
      <w:r w:rsidRPr="00B8368A">
        <w:rPr>
          <w:rFonts w:ascii="Times New Roman" w:eastAsia="Times New Roman" w:hAnsi="Times New Roman"/>
          <w:b/>
          <w:sz w:val="24"/>
          <w:szCs w:val="24"/>
        </w:rPr>
        <w:t>but</w:t>
      </w:r>
      <w:proofErr w:type="gramEnd"/>
      <w:r w:rsidRPr="00B8368A">
        <w:rPr>
          <w:rFonts w:ascii="Times New Roman" w:eastAsia="Times New Roman" w:hAnsi="Times New Roman"/>
          <w:b/>
          <w:sz w:val="24"/>
          <w:szCs w:val="24"/>
        </w:rPr>
        <w:t xml:space="preserve"> </w:t>
      </w:r>
      <w:r w:rsidR="00B8368A">
        <w:rPr>
          <w:rFonts w:ascii="Times New Roman" w:eastAsia="Times New Roman" w:hAnsi="Times New Roman"/>
          <w:b/>
          <w:sz w:val="24"/>
          <w:szCs w:val="24"/>
        </w:rPr>
        <w:t xml:space="preserve">also </w:t>
      </w:r>
      <w:r w:rsidRPr="00B8368A">
        <w:rPr>
          <w:rFonts w:ascii="Times New Roman" w:eastAsia="Times New Roman" w:hAnsi="Times New Roman"/>
          <w:b/>
          <w:sz w:val="24"/>
          <w:szCs w:val="24"/>
        </w:rPr>
        <w:t>cautions members to not publicly discuss internal matters</w:t>
      </w:r>
      <w:r w:rsidRPr="00B8368A">
        <w:rPr>
          <w:rFonts w:ascii="Times New Roman" w:eastAsia="Times New Roman" w:hAnsi="Times New Roman"/>
          <w:sz w:val="24"/>
          <w:szCs w:val="24"/>
        </w:rPr>
        <w:t>.</w:t>
      </w:r>
    </w:p>
    <w:bookmarkEnd w:id="616"/>
    <w:bookmarkEnd w:id="617"/>
    <w:p w14:paraId="24FA42FE" w14:textId="77777777" w:rsidR="00F326E5" w:rsidRDefault="00F326E5" w:rsidP="00F326E5">
      <w:pPr>
        <w:pStyle w:val="Heading1"/>
        <w:rPr>
          <w:sz w:val="24"/>
          <w:szCs w:val="24"/>
        </w:rPr>
      </w:pPr>
    </w:p>
    <w:p w14:paraId="2FE8D6B4" w14:textId="199E56F3" w:rsidR="00F326E5" w:rsidRDefault="000C4DF5" w:rsidP="000C4DF5">
      <w:pPr>
        <w:pStyle w:val="NoSpacing"/>
        <w:rPr>
          <w:rFonts w:ascii="Arial Black" w:hAnsi="Arial Black"/>
          <w:sz w:val="24"/>
          <w:szCs w:val="24"/>
        </w:rPr>
      </w:pPr>
      <w:r>
        <w:rPr>
          <w:rFonts w:ascii="Arial Black" w:hAnsi="Arial Black"/>
          <w:sz w:val="24"/>
          <w:szCs w:val="24"/>
        </w:rPr>
        <w:t>16-8</w:t>
      </w:r>
    </w:p>
    <w:p w14:paraId="42F20CEE" w14:textId="77777777" w:rsidR="000C4DF5" w:rsidRDefault="000C4DF5" w:rsidP="000C4DF5">
      <w:pPr>
        <w:pStyle w:val="NoSpacing"/>
        <w:rPr>
          <w:sz w:val="24"/>
          <w:szCs w:val="24"/>
        </w:rPr>
      </w:pPr>
    </w:p>
    <w:p w14:paraId="1281755C" w14:textId="03895C9A" w:rsidR="00F326E5" w:rsidRDefault="00F326E5" w:rsidP="00F326E5">
      <w:pPr>
        <w:pStyle w:val="NoSpacing"/>
        <w:rPr>
          <w:rFonts w:ascii="Arial Black" w:hAnsi="Arial Black"/>
          <w:b/>
          <w:sz w:val="24"/>
          <w:szCs w:val="24"/>
        </w:rPr>
      </w:pPr>
      <w:bookmarkStart w:id="618" w:name="_Hlk7349133"/>
      <w:r w:rsidRPr="0038317F">
        <w:rPr>
          <w:rFonts w:ascii="Arial Black" w:hAnsi="Arial Black"/>
          <w:sz w:val="28"/>
          <w:szCs w:val="28"/>
        </w:rPr>
        <w:lastRenderedPageBreak/>
        <w:t>FL: T</w:t>
      </w:r>
      <w:r>
        <w:rPr>
          <w:rFonts w:ascii="Arial Black" w:hAnsi="Arial Black"/>
          <w:sz w:val="28"/>
          <w:szCs w:val="28"/>
        </w:rPr>
        <w:t>WO DISPATCHERS FIRED – DID NOT ALERT POLICE OF “HIGH HAZARD” PERSON –</w:t>
      </w:r>
      <w:r w:rsidR="00A50C92">
        <w:rPr>
          <w:rFonts w:ascii="Arial Black" w:hAnsi="Arial Black"/>
          <w:sz w:val="28"/>
          <w:szCs w:val="28"/>
        </w:rPr>
        <w:t xml:space="preserve"> POLICE </w:t>
      </w:r>
      <w:r>
        <w:rPr>
          <w:rFonts w:ascii="Arial Black" w:hAnsi="Arial Black"/>
          <w:sz w:val="28"/>
          <w:szCs w:val="28"/>
        </w:rPr>
        <w:t>OFFICER</w:t>
      </w:r>
      <w:r w:rsidRPr="0038317F">
        <w:rPr>
          <w:rFonts w:ascii="Arial Black" w:hAnsi="Arial Black"/>
          <w:sz w:val="28"/>
          <w:szCs w:val="28"/>
        </w:rPr>
        <w:t xml:space="preserve"> </w:t>
      </w:r>
      <w:r w:rsidR="00A50C92">
        <w:rPr>
          <w:rFonts w:ascii="Arial Black" w:hAnsi="Arial Black"/>
          <w:sz w:val="28"/>
          <w:szCs w:val="28"/>
        </w:rPr>
        <w:t>KILLED</w:t>
      </w:r>
    </w:p>
    <w:p w14:paraId="0B800638" w14:textId="77777777" w:rsidR="00F326E5" w:rsidRP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On June 13, 2018, in </w:t>
      </w:r>
      <w:r w:rsidRPr="00E600C4">
        <w:rPr>
          <w:rFonts w:ascii="Times New Roman" w:hAnsi="Times New Roman"/>
          <w:sz w:val="24"/>
          <w:szCs w:val="24"/>
          <w:u w:val="single"/>
        </w:rPr>
        <w:t>Darryl Newman, Gwendolyn Forehand v. Consolidated Dispatch Agency</w:t>
      </w:r>
      <w:r w:rsidRPr="00E600C4">
        <w:rPr>
          <w:rFonts w:ascii="Times New Roman" w:hAnsi="Times New Roman"/>
          <w:sz w:val="24"/>
          <w:szCs w:val="24"/>
        </w:rPr>
        <w:t xml:space="preserve">, the U.S. </w:t>
      </w:r>
      <w:proofErr w:type="spellStart"/>
      <w:r w:rsidRPr="00E600C4">
        <w:rPr>
          <w:rFonts w:ascii="Times New Roman" w:hAnsi="Times New Roman"/>
          <w:sz w:val="24"/>
          <w:szCs w:val="24"/>
        </w:rPr>
        <w:t>CourtOf</w:t>
      </w:r>
      <w:proofErr w:type="spellEnd"/>
      <w:r w:rsidRPr="00E600C4">
        <w:rPr>
          <w:rFonts w:ascii="Times New Roman" w:hAnsi="Times New Roman"/>
          <w:sz w:val="24"/>
          <w:szCs w:val="24"/>
        </w:rPr>
        <w:t xml:space="preserve"> Appeals for the 11</w:t>
      </w:r>
      <w:r w:rsidRPr="00E600C4">
        <w:rPr>
          <w:rFonts w:ascii="Times New Roman" w:hAnsi="Times New Roman"/>
          <w:sz w:val="24"/>
          <w:szCs w:val="24"/>
          <w:vertAlign w:val="superscript"/>
        </w:rPr>
        <w:t>th</w:t>
      </w:r>
      <w:r w:rsidRPr="00E600C4">
        <w:rPr>
          <w:rFonts w:ascii="Times New Roman" w:hAnsi="Times New Roman"/>
          <w:sz w:val="24"/>
          <w:szCs w:val="24"/>
        </w:rPr>
        <w:t xml:space="preserve"> District (Atlanta, GA), held (3 to 0) in an unpublished opinion:</w:t>
      </w:r>
    </w:p>
    <w:p w14:paraId="0DE3CDCA" w14:textId="77777777" w:rsidR="00E600C4" w:rsidRDefault="00E600C4" w:rsidP="00F326E5">
      <w:pPr>
        <w:ind w:left="720"/>
        <w:rPr>
          <w:rFonts w:ascii="Times New Roman" w:eastAsia="Times New Roman" w:hAnsi="Times New Roman"/>
          <w:sz w:val="24"/>
          <w:szCs w:val="24"/>
        </w:rPr>
      </w:pPr>
    </w:p>
    <w:p w14:paraId="18E79E53" w14:textId="6621DBD2" w:rsidR="00F326E5" w:rsidRPr="00E600C4" w:rsidRDefault="00F326E5" w:rsidP="00F326E5">
      <w:pPr>
        <w:ind w:left="720"/>
        <w:rPr>
          <w:rFonts w:ascii="Times New Roman" w:eastAsia="Times New Roman" w:hAnsi="Times New Roman"/>
          <w:sz w:val="24"/>
          <w:szCs w:val="24"/>
        </w:rPr>
      </w:pPr>
      <w:r w:rsidRPr="00E600C4">
        <w:rPr>
          <w:rFonts w:ascii="Times New Roman" w:eastAsia="Times New Roman" w:hAnsi="Times New Roman"/>
          <w:sz w:val="24"/>
          <w:szCs w:val="24"/>
        </w:rPr>
        <w:t>“We are unpersuaded by the Appellants’ argument that their termination was arbitrary because there was no CDA [the Agency] protocol requiring them to check the ‘premises hazard’ tab, they were never warned of a requirement to look at ‘premises hazards,’ and no other PSCOs had been fired for failure to access the tab. Even if clicking on the tab was discretionary, the Appellants were nevertheless required to gather and disseminate pertinent information, pertinent information was available to them, and they failed to access it. They were aware of this responsibility based on their two decades of experience, and they knew how to access the ‘premises hazard’ tab.  Moreover, there is no evidence that any other PSCO’s failure to open the tab resulted in the death of a first responder.”</w:t>
      </w:r>
      <w:r w:rsidR="00E600C4">
        <w:rPr>
          <w:rFonts w:ascii="Times New Roman" w:eastAsia="Times New Roman" w:hAnsi="Times New Roman"/>
          <w:sz w:val="24"/>
          <w:szCs w:val="24"/>
        </w:rPr>
        <w:t xml:space="preserve"> </w:t>
      </w:r>
      <w:hyperlink r:id="rId2830" w:history="1">
        <w:r w:rsidRPr="00E600C4">
          <w:rPr>
            <w:rStyle w:val="Hyperlink"/>
            <w:rFonts w:ascii="Times New Roman" w:hAnsi="Times New Roman"/>
            <w:sz w:val="24"/>
            <w:szCs w:val="24"/>
          </w:rPr>
          <w:t>http://media.ca11.uscourts.gov/opinions/unpub/files/201715398.pdf</w:t>
        </w:r>
      </w:hyperlink>
      <w:r w:rsidRPr="00E600C4">
        <w:rPr>
          <w:rFonts w:ascii="Times New Roman" w:eastAsia="Times New Roman" w:hAnsi="Times New Roman"/>
          <w:sz w:val="24"/>
          <w:szCs w:val="24"/>
        </w:rPr>
        <w:t xml:space="preserve"> </w:t>
      </w:r>
    </w:p>
    <w:p w14:paraId="08CF5695" w14:textId="77777777" w:rsidR="00E600C4" w:rsidRDefault="00F326E5" w:rsidP="00E600C4">
      <w:pPr>
        <w:pStyle w:val="Heading1"/>
        <w:rPr>
          <w:sz w:val="24"/>
          <w:szCs w:val="24"/>
        </w:rPr>
      </w:pPr>
      <w:r w:rsidRPr="00E600C4">
        <w:rPr>
          <w:sz w:val="24"/>
          <w:szCs w:val="24"/>
        </w:rPr>
        <w:t xml:space="preserve">Legal Lessons Learned:  Fire, EMS and Police must be warned of high hazard locations.  Please share this case with your 911 Dispatch </w:t>
      </w:r>
      <w:proofErr w:type="gramStart"/>
      <w:r w:rsidRPr="00E600C4">
        <w:rPr>
          <w:sz w:val="24"/>
          <w:szCs w:val="24"/>
        </w:rPr>
        <w:t>agency, and</w:t>
      </w:r>
      <w:proofErr w:type="gramEnd"/>
      <w:r w:rsidRPr="00E600C4">
        <w:rPr>
          <w:sz w:val="24"/>
          <w:szCs w:val="24"/>
        </w:rPr>
        <w:t xml:space="preserve"> confirm they have a protocol in </w:t>
      </w:r>
      <w:proofErr w:type="gramStart"/>
      <w:r w:rsidRPr="00E600C4">
        <w:rPr>
          <w:sz w:val="24"/>
          <w:szCs w:val="24"/>
        </w:rPr>
        <w:t>place</w:t>
      </w:r>
      <w:proofErr w:type="gramEnd"/>
      <w:r w:rsidRPr="00E600C4">
        <w:rPr>
          <w:sz w:val="24"/>
          <w:szCs w:val="24"/>
        </w:rPr>
        <w:t xml:space="preserve"> and it is followed 100% of time.  </w:t>
      </w:r>
      <w:bookmarkEnd w:id="618"/>
    </w:p>
    <w:p w14:paraId="2277836F" w14:textId="26F10EBE" w:rsidR="00F326E5" w:rsidRPr="00E600C4" w:rsidRDefault="00F326E5" w:rsidP="00E600C4">
      <w:pPr>
        <w:pStyle w:val="Heading1"/>
        <w:ind w:left="720"/>
        <w:rPr>
          <w:b w:val="0"/>
          <w:bCs w:val="0"/>
          <w:sz w:val="24"/>
          <w:szCs w:val="24"/>
        </w:rPr>
      </w:pPr>
      <w:r w:rsidRPr="00E600C4">
        <w:rPr>
          <w:b w:val="0"/>
          <w:bCs w:val="0"/>
          <w:sz w:val="24"/>
          <w:szCs w:val="24"/>
        </w:rPr>
        <w:t xml:space="preserve">See news report and TV video of this terrible scene: “Police identify gunman, Florida deputy killed in shootout” - </w:t>
      </w:r>
      <w:hyperlink r:id="rId2831" w:history="1">
        <w:r w:rsidRPr="00E600C4">
          <w:rPr>
            <w:rStyle w:val="Hyperlink"/>
            <w:b w:val="0"/>
            <w:bCs w:val="0"/>
            <w:sz w:val="24"/>
            <w:szCs w:val="24"/>
          </w:rPr>
          <w:t>https://www.usatoday.com/story/news/nation/2014/11/23/florida-deputy-ambush-killed-identified/19446091/</w:t>
        </w:r>
      </w:hyperlink>
    </w:p>
    <w:p w14:paraId="5DF9ED8C" w14:textId="77777777" w:rsidR="00F326E5" w:rsidRPr="00B66B0C" w:rsidRDefault="00F326E5" w:rsidP="00F326E5">
      <w:pPr>
        <w:ind w:left="720"/>
        <w:rPr>
          <w:rFonts w:eastAsia="Times New Roman"/>
          <w:b/>
          <w:sz w:val="24"/>
          <w:szCs w:val="24"/>
        </w:rPr>
      </w:pPr>
    </w:p>
    <w:p w14:paraId="2A331137" w14:textId="13C32D8E" w:rsidR="000C4DF5" w:rsidRDefault="000C4DF5" w:rsidP="000C4DF5">
      <w:pPr>
        <w:pStyle w:val="NoSpacing"/>
        <w:rPr>
          <w:rFonts w:ascii="Arial Black" w:hAnsi="Arial Black"/>
          <w:sz w:val="24"/>
          <w:szCs w:val="24"/>
        </w:rPr>
      </w:pPr>
      <w:bookmarkStart w:id="619" w:name="_Hlk80769557"/>
      <w:r>
        <w:rPr>
          <w:rFonts w:ascii="Arial Black" w:hAnsi="Arial Black"/>
          <w:sz w:val="24"/>
          <w:szCs w:val="24"/>
        </w:rPr>
        <w:t>16-7</w:t>
      </w:r>
    </w:p>
    <w:p w14:paraId="581B04DA" w14:textId="77777777" w:rsidR="00F326E5" w:rsidRDefault="00F326E5" w:rsidP="00F326E5">
      <w:pPr>
        <w:pStyle w:val="NoSpacing"/>
        <w:rPr>
          <w:rFonts w:ascii="Arial Black" w:hAnsi="Arial Black"/>
          <w:b/>
          <w:sz w:val="24"/>
          <w:szCs w:val="24"/>
        </w:rPr>
      </w:pPr>
    </w:p>
    <w:p w14:paraId="1F95F5BD" w14:textId="47B23E36" w:rsidR="00F326E5" w:rsidRPr="00270075" w:rsidRDefault="00F326E5" w:rsidP="00F326E5">
      <w:pPr>
        <w:rPr>
          <w:b/>
          <w:sz w:val="24"/>
          <w:szCs w:val="24"/>
        </w:rPr>
      </w:pPr>
      <w:bookmarkStart w:id="620" w:name="_Hlk7349211"/>
      <w:r w:rsidRPr="00F707DC">
        <w:rPr>
          <w:rFonts w:ascii="Arial Black" w:hAnsi="Arial Black"/>
          <w:sz w:val="28"/>
          <w:szCs w:val="28"/>
        </w:rPr>
        <w:t>PA:  DOT E</w:t>
      </w:r>
      <w:r>
        <w:rPr>
          <w:rFonts w:ascii="Arial Black" w:hAnsi="Arial Black"/>
          <w:sz w:val="28"/>
          <w:szCs w:val="28"/>
        </w:rPr>
        <w:t xml:space="preserve">MPLOYEE FIRED FOR </w:t>
      </w:r>
      <w:r w:rsidRPr="00F707DC">
        <w:rPr>
          <w:rFonts w:ascii="Arial Black" w:hAnsi="Arial Black"/>
          <w:sz w:val="28"/>
          <w:szCs w:val="28"/>
        </w:rPr>
        <w:t>FACEBOOK P</w:t>
      </w:r>
      <w:r>
        <w:rPr>
          <w:rFonts w:ascii="Arial Black" w:hAnsi="Arial Black"/>
          <w:sz w:val="28"/>
          <w:szCs w:val="28"/>
        </w:rPr>
        <w:t xml:space="preserve">OSTS ON BAD SCHOOL BUS DRIVERS – REINSTATED </w:t>
      </w:r>
      <w:r w:rsidRPr="00270075">
        <w:rPr>
          <w:b/>
          <w:sz w:val="24"/>
          <w:szCs w:val="24"/>
        </w:rPr>
        <w:t>[also filed, Chap. 1]</w:t>
      </w:r>
    </w:p>
    <w:p w14:paraId="570125A1" w14:textId="77777777" w:rsidR="00F326E5" w:rsidRP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On June 12, 2018, in </w:t>
      </w:r>
      <w:r w:rsidRPr="00E600C4">
        <w:rPr>
          <w:rFonts w:ascii="Times New Roman" w:hAnsi="Times New Roman"/>
          <w:sz w:val="24"/>
          <w:szCs w:val="24"/>
          <w:u w:val="single"/>
        </w:rPr>
        <w:t>Rachel L. Carr v. Commonwealth of Pennsylvania / Department of Transportation and Civil Service Commission</w:t>
      </w:r>
      <w:r w:rsidRPr="00E600C4">
        <w:rPr>
          <w:rFonts w:ascii="Times New Roman" w:hAnsi="Times New Roman"/>
          <w:sz w:val="24"/>
          <w:szCs w:val="24"/>
        </w:rPr>
        <w:t>, the Commonwealth Court of Pennsylvania held (3 to 0) that the employee’s FACEBOOK posts about local school bus drivers were “inappropriate” but were protected since it “touched on a matter of public concern.” The Court wrote: “After a thorough review of the record and a conscientious analysis of the factors articulated by the United States Supreme Court, we conclude that the Department’s generalized interest in the safety of the traveling public does not outweigh Carr’s specific interest in commenting on the safety of a particular bus driver. While Carr’s comments are undoubtedly inappropriate, such comments still receive protection under the First Amendment.”</w:t>
      </w:r>
    </w:p>
    <w:p w14:paraId="620D86C0" w14:textId="77777777" w:rsidR="00F326E5" w:rsidRPr="00E600C4" w:rsidRDefault="00F326E5" w:rsidP="00F326E5">
      <w:pPr>
        <w:pStyle w:val="NoSpacing"/>
        <w:rPr>
          <w:rFonts w:ascii="Times New Roman" w:hAnsi="Times New Roman"/>
          <w:sz w:val="24"/>
          <w:szCs w:val="24"/>
        </w:rPr>
      </w:pPr>
      <w:hyperlink r:id="rId2832" w:history="1">
        <w:r w:rsidRPr="00E600C4">
          <w:rPr>
            <w:rStyle w:val="Hyperlink"/>
            <w:rFonts w:ascii="Times New Roman" w:hAnsi="Times New Roman"/>
            <w:sz w:val="24"/>
            <w:szCs w:val="24"/>
          </w:rPr>
          <w:t>http://www.pacourts.us/assets/opinions/Commonwealth/out/380md17_6-12-18.pdf</w:t>
        </w:r>
      </w:hyperlink>
      <w:r w:rsidRPr="00E600C4">
        <w:rPr>
          <w:rFonts w:ascii="Times New Roman" w:hAnsi="Times New Roman"/>
          <w:sz w:val="24"/>
          <w:szCs w:val="24"/>
        </w:rPr>
        <w:t xml:space="preserve"> </w:t>
      </w:r>
    </w:p>
    <w:p w14:paraId="07115E3B" w14:textId="77777777" w:rsidR="00E600C4" w:rsidRDefault="00E600C4" w:rsidP="00F326E5">
      <w:pPr>
        <w:pStyle w:val="NoSpacing"/>
        <w:rPr>
          <w:rFonts w:ascii="Times New Roman" w:hAnsi="Times New Roman"/>
          <w:b/>
          <w:sz w:val="24"/>
          <w:szCs w:val="24"/>
        </w:rPr>
      </w:pPr>
    </w:p>
    <w:p w14:paraId="3BF757DB" w14:textId="5845C131" w:rsidR="00F326E5" w:rsidRPr="00E600C4" w:rsidRDefault="00F326E5" w:rsidP="00F326E5">
      <w:pPr>
        <w:pStyle w:val="NoSpacing"/>
        <w:rPr>
          <w:rFonts w:ascii="Times New Roman" w:hAnsi="Times New Roman"/>
          <w:b/>
          <w:sz w:val="24"/>
          <w:szCs w:val="24"/>
        </w:rPr>
      </w:pPr>
      <w:r w:rsidRPr="00E600C4">
        <w:rPr>
          <w:rFonts w:ascii="Times New Roman" w:hAnsi="Times New Roman"/>
          <w:b/>
          <w:sz w:val="24"/>
          <w:szCs w:val="24"/>
        </w:rPr>
        <w:t>Legal Lessons Learned:  Fire &amp; EMS Departments should have a Social Media Policy that clearly advises personnel that their “</w:t>
      </w:r>
      <w:proofErr w:type="gramStart"/>
      <w:r w:rsidRPr="00E600C4">
        <w:rPr>
          <w:rFonts w:ascii="Times New Roman" w:hAnsi="Times New Roman"/>
          <w:b/>
          <w:sz w:val="24"/>
          <w:szCs w:val="24"/>
        </w:rPr>
        <w:t>Free Speech</w:t>
      </w:r>
      <w:proofErr w:type="gramEnd"/>
      <w:r w:rsidRPr="00E600C4">
        <w:rPr>
          <w:rFonts w:ascii="Times New Roman" w:hAnsi="Times New Roman"/>
          <w:b/>
          <w:sz w:val="24"/>
          <w:szCs w:val="24"/>
        </w:rPr>
        <w:t xml:space="preserve"> rights” are limited when discussing FD internal matters. </w:t>
      </w:r>
    </w:p>
    <w:p w14:paraId="1AF239D0" w14:textId="77777777" w:rsidR="00F326E5" w:rsidRP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 </w:t>
      </w:r>
    </w:p>
    <w:bookmarkEnd w:id="619"/>
    <w:bookmarkEnd w:id="620"/>
    <w:p w14:paraId="6EFE3B3A" w14:textId="77777777" w:rsidR="000C4DF5" w:rsidRDefault="000C4DF5" w:rsidP="000C4DF5">
      <w:pPr>
        <w:pStyle w:val="NoSpacing"/>
        <w:rPr>
          <w:rFonts w:ascii="Arial Black" w:hAnsi="Arial Black"/>
          <w:sz w:val="24"/>
          <w:szCs w:val="24"/>
        </w:rPr>
      </w:pPr>
    </w:p>
    <w:p w14:paraId="4EE43A7D" w14:textId="18E6F2D3" w:rsidR="00A50C92" w:rsidRDefault="000C4DF5" w:rsidP="000C4DF5">
      <w:pPr>
        <w:pStyle w:val="NoSpacing"/>
        <w:rPr>
          <w:sz w:val="24"/>
          <w:szCs w:val="24"/>
          <w:lang w:val="en"/>
        </w:rPr>
      </w:pPr>
      <w:r>
        <w:rPr>
          <w:rFonts w:ascii="Arial Black" w:hAnsi="Arial Black"/>
          <w:sz w:val="24"/>
          <w:szCs w:val="24"/>
        </w:rPr>
        <w:t>16-6</w:t>
      </w:r>
    </w:p>
    <w:p w14:paraId="59A09E74" w14:textId="1C097549" w:rsidR="00F326E5" w:rsidRPr="00F707DC" w:rsidRDefault="00F326E5" w:rsidP="00F326E5">
      <w:pPr>
        <w:spacing w:before="100" w:beforeAutospacing="1" w:after="100" w:afterAutospacing="1"/>
        <w:outlineLvl w:val="0"/>
        <w:rPr>
          <w:sz w:val="28"/>
          <w:szCs w:val="28"/>
        </w:rPr>
      </w:pPr>
      <w:bookmarkStart w:id="621" w:name="_Hlk7349280"/>
      <w:r w:rsidRPr="00F707DC">
        <w:rPr>
          <w:rFonts w:ascii="Arial Black" w:hAnsi="Arial Black"/>
          <w:sz w:val="28"/>
          <w:szCs w:val="28"/>
        </w:rPr>
        <w:lastRenderedPageBreak/>
        <w:t xml:space="preserve">TX: CAPTAIN SUPENDED FOR NOT SUBMITTING DOCTOR’S REPORT </w:t>
      </w:r>
      <w:r w:rsidR="00A50C92">
        <w:rPr>
          <w:rFonts w:ascii="Arial Black" w:hAnsi="Arial Black"/>
          <w:sz w:val="28"/>
          <w:szCs w:val="28"/>
        </w:rPr>
        <w:t>–</w:t>
      </w:r>
      <w:r w:rsidRPr="00F707DC">
        <w:rPr>
          <w:rFonts w:ascii="Arial Black" w:hAnsi="Arial Black"/>
          <w:sz w:val="28"/>
          <w:szCs w:val="28"/>
        </w:rPr>
        <w:t xml:space="preserve"> </w:t>
      </w:r>
      <w:r w:rsidR="00A50C92">
        <w:rPr>
          <w:rFonts w:ascii="Arial Black" w:hAnsi="Arial Black"/>
          <w:sz w:val="28"/>
          <w:szCs w:val="28"/>
        </w:rPr>
        <w:t xml:space="preserve">REVERSED, </w:t>
      </w:r>
      <w:r w:rsidRPr="00F707DC">
        <w:rPr>
          <w:rFonts w:ascii="Arial Black" w:hAnsi="Arial Black"/>
          <w:sz w:val="28"/>
          <w:szCs w:val="28"/>
        </w:rPr>
        <w:t xml:space="preserve">FD FAILED TO DISCIPLINE </w:t>
      </w:r>
      <w:r>
        <w:rPr>
          <w:rFonts w:ascii="Arial Black" w:hAnsi="Arial Black"/>
          <w:sz w:val="28"/>
          <w:szCs w:val="28"/>
        </w:rPr>
        <w:t xml:space="preserve">IN </w:t>
      </w:r>
      <w:r w:rsidRPr="00F707DC">
        <w:rPr>
          <w:rFonts w:ascii="Arial Black" w:hAnsi="Arial Black"/>
          <w:sz w:val="28"/>
          <w:szCs w:val="28"/>
        </w:rPr>
        <w:t>180 DAYS</w:t>
      </w:r>
      <w:r w:rsidRPr="00F707DC">
        <w:rPr>
          <w:sz w:val="28"/>
          <w:szCs w:val="28"/>
        </w:rPr>
        <w:t xml:space="preserve"> </w:t>
      </w:r>
    </w:p>
    <w:p w14:paraId="01EBA355" w14:textId="77777777" w:rsidR="00F326E5" w:rsidRPr="00E600C4" w:rsidRDefault="00F326E5" w:rsidP="00F326E5">
      <w:pPr>
        <w:spacing w:before="100" w:beforeAutospacing="1" w:after="100" w:afterAutospacing="1"/>
        <w:outlineLvl w:val="0"/>
        <w:rPr>
          <w:rFonts w:ascii="Times New Roman" w:eastAsia="Times New Roman" w:hAnsi="Times New Roman"/>
          <w:sz w:val="24"/>
          <w:szCs w:val="24"/>
        </w:rPr>
      </w:pPr>
      <w:r w:rsidRPr="00E600C4">
        <w:rPr>
          <w:rFonts w:ascii="Times New Roman" w:hAnsi="Times New Roman"/>
          <w:sz w:val="24"/>
          <w:szCs w:val="24"/>
        </w:rPr>
        <w:t xml:space="preserve">On April 17, 2018, in </w:t>
      </w:r>
      <w:r w:rsidRPr="00E600C4">
        <w:rPr>
          <w:rFonts w:ascii="Times New Roman" w:hAnsi="Times New Roman"/>
          <w:sz w:val="24"/>
          <w:szCs w:val="24"/>
          <w:u w:val="single"/>
        </w:rPr>
        <w:t>Steven Dunbar v. City of Houston</w:t>
      </w:r>
      <w:r w:rsidRPr="00E600C4">
        <w:rPr>
          <w:rFonts w:ascii="Times New Roman" w:hAnsi="Times New Roman"/>
          <w:sz w:val="24"/>
          <w:szCs w:val="24"/>
        </w:rPr>
        <w:t xml:space="preserve">, the State of Texas in the Fourteenth Court of Appeals, held that the </w:t>
      </w:r>
      <w:proofErr w:type="gramStart"/>
      <w:r w:rsidRPr="00E600C4">
        <w:rPr>
          <w:rFonts w:ascii="Times New Roman" w:hAnsi="Times New Roman"/>
          <w:sz w:val="24"/>
          <w:szCs w:val="24"/>
        </w:rPr>
        <w:t>Captain’s</w:t>
      </w:r>
      <w:proofErr w:type="gramEnd"/>
      <w:r w:rsidRPr="00E600C4">
        <w:rPr>
          <w:rFonts w:ascii="Times New Roman" w:hAnsi="Times New Roman"/>
          <w:sz w:val="24"/>
          <w:szCs w:val="24"/>
        </w:rPr>
        <w:t xml:space="preserve"> 10-day suspension is reversed.  The “</w:t>
      </w:r>
      <w:r w:rsidRPr="00E600C4">
        <w:rPr>
          <w:rFonts w:ascii="Times New Roman" w:eastAsia="Times New Roman" w:hAnsi="Times New Roman"/>
          <w:sz w:val="24"/>
          <w:szCs w:val="24"/>
        </w:rPr>
        <w:t xml:space="preserve">Department was aware of the violation not later than August 2014, and thus, his suspension more than 180 days later is void.” </w:t>
      </w:r>
      <w:hyperlink r:id="rId2833" w:history="1">
        <w:r w:rsidRPr="00E600C4">
          <w:rPr>
            <w:rStyle w:val="Hyperlink"/>
            <w:rFonts w:ascii="Times New Roman" w:hAnsi="Times New Roman"/>
            <w:sz w:val="24"/>
            <w:szCs w:val="24"/>
          </w:rPr>
          <w:t>https://cases.justia.com/texas/fourteenth-court-of-appeals/2018-14-17-00156-cv.pdf?ts=1523970132</w:t>
        </w:r>
      </w:hyperlink>
      <w:r w:rsidRPr="00E600C4">
        <w:rPr>
          <w:rFonts w:ascii="Times New Roman" w:eastAsia="Times New Roman" w:hAnsi="Times New Roman"/>
          <w:sz w:val="24"/>
          <w:szCs w:val="24"/>
        </w:rPr>
        <w:t xml:space="preserve"> </w:t>
      </w:r>
    </w:p>
    <w:p w14:paraId="47E5A987" w14:textId="77777777" w:rsidR="00F326E5" w:rsidRPr="00E600C4" w:rsidRDefault="00F326E5" w:rsidP="00F326E5">
      <w:pPr>
        <w:rPr>
          <w:rFonts w:ascii="Times New Roman" w:eastAsia="Times New Roman" w:hAnsi="Times New Roman"/>
          <w:b/>
          <w:sz w:val="24"/>
          <w:szCs w:val="24"/>
        </w:rPr>
      </w:pPr>
      <w:r w:rsidRPr="00E600C4">
        <w:rPr>
          <w:rFonts w:ascii="Times New Roman" w:eastAsia="Times New Roman" w:hAnsi="Times New Roman"/>
          <w:b/>
          <w:sz w:val="24"/>
          <w:szCs w:val="24"/>
        </w:rPr>
        <w:t>Legal Lessons Learned:  Texas statute requiring discipline within 180 days must be strictly followed; the clock begins to run when the department FIRST becomes aware of the violation.</w:t>
      </w:r>
    </w:p>
    <w:bookmarkEnd w:id="621"/>
    <w:p w14:paraId="50A57BFB" w14:textId="77777777" w:rsidR="00F326E5" w:rsidRPr="00E600C4" w:rsidRDefault="00F326E5" w:rsidP="00F326E5">
      <w:pPr>
        <w:ind w:left="720"/>
        <w:rPr>
          <w:rFonts w:ascii="Times New Roman" w:eastAsia="Times New Roman" w:hAnsi="Times New Roman"/>
          <w:sz w:val="24"/>
          <w:szCs w:val="24"/>
        </w:rPr>
      </w:pPr>
    </w:p>
    <w:p w14:paraId="77923827" w14:textId="77777777" w:rsidR="00F326E5" w:rsidRDefault="00F326E5" w:rsidP="00F326E5">
      <w:pPr>
        <w:ind w:left="720"/>
        <w:rPr>
          <w:rFonts w:eastAsia="Times New Roman"/>
          <w:sz w:val="24"/>
          <w:szCs w:val="24"/>
        </w:rPr>
      </w:pPr>
    </w:p>
    <w:p w14:paraId="496FEAB8" w14:textId="160C5FD0" w:rsidR="000C4DF5" w:rsidRDefault="000C4DF5" w:rsidP="00F326E5">
      <w:pPr>
        <w:pStyle w:val="NoSpacing"/>
        <w:rPr>
          <w:rFonts w:ascii="Arial Black" w:hAnsi="Arial Black"/>
          <w:b/>
          <w:sz w:val="28"/>
          <w:szCs w:val="28"/>
        </w:rPr>
      </w:pPr>
      <w:bookmarkStart w:id="622" w:name="_Hlk7349318"/>
      <w:r>
        <w:rPr>
          <w:rFonts w:ascii="Arial Black" w:hAnsi="Arial Black"/>
          <w:sz w:val="24"/>
          <w:szCs w:val="24"/>
        </w:rPr>
        <w:t>16-5</w:t>
      </w:r>
    </w:p>
    <w:p w14:paraId="5670CD67" w14:textId="77777777" w:rsidR="000C4DF5" w:rsidRDefault="000C4DF5" w:rsidP="00F326E5">
      <w:pPr>
        <w:pStyle w:val="NoSpacing"/>
        <w:rPr>
          <w:rFonts w:ascii="Arial Black" w:hAnsi="Arial Black"/>
          <w:b/>
          <w:sz w:val="28"/>
          <w:szCs w:val="28"/>
        </w:rPr>
      </w:pPr>
    </w:p>
    <w:p w14:paraId="3F81268E" w14:textId="658C67A3" w:rsidR="00F326E5" w:rsidRDefault="00F326E5" w:rsidP="00F326E5">
      <w:pPr>
        <w:pStyle w:val="NoSpacing"/>
        <w:rPr>
          <w:b/>
          <w:sz w:val="24"/>
          <w:szCs w:val="24"/>
        </w:rPr>
      </w:pPr>
      <w:r w:rsidRPr="005E290F">
        <w:rPr>
          <w:rFonts w:ascii="Arial Black" w:hAnsi="Arial Black"/>
          <w:b/>
          <w:sz w:val="28"/>
          <w:szCs w:val="28"/>
        </w:rPr>
        <w:t xml:space="preserve">TN: FIREFIGHTER </w:t>
      </w:r>
      <w:r>
        <w:rPr>
          <w:rFonts w:ascii="Arial Black" w:hAnsi="Arial Black"/>
          <w:b/>
          <w:sz w:val="28"/>
          <w:szCs w:val="28"/>
        </w:rPr>
        <w:t xml:space="preserve">FIRED FOR </w:t>
      </w:r>
      <w:r w:rsidRPr="005E290F">
        <w:rPr>
          <w:rFonts w:ascii="Arial Black" w:hAnsi="Arial Black"/>
          <w:b/>
          <w:sz w:val="28"/>
          <w:szCs w:val="28"/>
        </w:rPr>
        <w:t>MA</w:t>
      </w:r>
      <w:r>
        <w:rPr>
          <w:rFonts w:ascii="Arial Black" w:hAnsi="Arial Black"/>
          <w:b/>
          <w:sz w:val="28"/>
          <w:szCs w:val="28"/>
        </w:rPr>
        <w:t>KING</w:t>
      </w:r>
      <w:r w:rsidRPr="005E290F">
        <w:rPr>
          <w:rFonts w:ascii="Arial Black" w:hAnsi="Arial Black"/>
          <w:b/>
          <w:sz w:val="28"/>
          <w:szCs w:val="28"/>
        </w:rPr>
        <w:t xml:space="preserve"> SEXUALLY HARASSING PHONE CALLS ON DUTY</w:t>
      </w:r>
      <w:r>
        <w:rPr>
          <w:rFonts w:ascii="Arial Black" w:hAnsi="Arial Black"/>
          <w:b/>
          <w:sz w:val="28"/>
          <w:szCs w:val="28"/>
        </w:rPr>
        <w:t xml:space="preserve"> – NO RETALIATION</w:t>
      </w:r>
    </w:p>
    <w:p w14:paraId="014BF7F3" w14:textId="77777777" w:rsid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On March 23, 2018, in </w:t>
      </w:r>
      <w:r w:rsidRPr="00E600C4">
        <w:rPr>
          <w:rFonts w:ascii="Times New Roman" w:hAnsi="Times New Roman"/>
          <w:sz w:val="24"/>
          <w:szCs w:val="24"/>
          <w:u w:val="single"/>
        </w:rPr>
        <w:t>Joseph Sweat v. City of McMinnville</w:t>
      </w:r>
      <w:r w:rsidRPr="00E600C4">
        <w:rPr>
          <w:rFonts w:ascii="Times New Roman" w:hAnsi="Times New Roman"/>
          <w:sz w:val="24"/>
          <w:szCs w:val="24"/>
        </w:rPr>
        <w:t xml:space="preserve">, the Court of Appeals of Tennessee At Nashville, held (3 to 0) that the trial court properly dismissed the firefighter’s lawsuit, since he was unable to prove that the City’s proffered reasons for the discharge was pretextual, including: </w:t>
      </w:r>
    </w:p>
    <w:p w14:paraId="28B6DCA4" w14:textId="77777777" w:rsidR="00E600C4" w:rsidRDefault="00E600C4" w:rsidP="00F326E5">
      <w:pPr>
        <w:pStyle w:val="NoSpacing"/>
        <w:rPr>
          <w:rFonts w:ascii="Times New Roman" w:hAnsi="Times New Roman"/>
          <w:sz w:val="24"/>
          <w:szCs w:val="24"/>
        </w:rPr>
      </w:pPr>
    </w:p>
    <w:p w14:paraId="58B0EF20" w14:textId="741DB683" w:rsidR="00F326E5" w:rsidRPr="00E600C4" w:rsidRDefault="00F326E5" w:rsidP="00E600C4">
      <w:pPr>
        <w:pStyle w:val="NoSpacing"/>
        <w:ind w:left="720"/>
        <w:rPr>
          <w:rStyle w:val="Hyperlink"/>
          <w:rFonts w:ascii="Times New Roman" w:hAnsi="Times New Roman"/>
          <w:sz w:val="24"/>
          <w:szCs w:val="24"/>
        </w:rPr>
      </w:pPr>
      <w:r w:rsidRPr="00E600C4">
        <w:rPr>
          <w:rFonts w:ascii="Times New Roman" w:hAnsi="Times New Roman"/>
          <w:sz w:val="24"/>
          <w:szCs w:val="24"/>
        </w:rPr>
        <w:t xml:space="preserve">“Although Plaintiff never acknowledged that he made sexually harassing phone calls, he admitted in his deposition that at one time, firefighters kept a ‘list on the desk of the fire station’ containing the names of single women that they had gotten off the internet, and that he called one of these women ‘to talk.’” </w:t>
      </w:r>
      <w:hyperlink r:id="rId2834" w:history="1">
        <w:r w:rsidRPr="00E600C4">
          <w:rPr>
            <w:rStyle w:val="Hyperlink"/>
            <w:rFonts w:ascii="Times New Roman" w:hAnsi="Times New Roman"/>
            <w:sz w:val="24"/>
            <w:szCs w:val="24"/>
          </w:rPr>
          <w:t>file:///C:/Users/lawre/AppData/Local/Microsoft/Windows/INetCache/IE/7HZ56W7X/sweat.joseph.opn_.pdf</w:t>
        </w:r>
      </w:hyperlink>
    </w:p>
    <w:p w14:paraId="21C570D7" w14:textId="77777777" w:rsidR="00E600C4" w:rsidRDefault="00E600C4" w:rsidP="00F326E5">
      <w:pPr>
        <w:rPr>
          <w:rFonts w:ascii="Times New Roman" w:hAnsi="Times New Roman"/>
          <w:b/>
          <w:sz w:val="24"/>
          <w:szCs w:val="24"/>
        </w:rPr>
      </w:pPr>
    </w:p>
    <w:p w14:paraId="16D27ACA" w14:textId="6EA94C0E" w:rsidR="00F326E5" w:rsidRPr="00E600C4" w:rsidRDefault="00E600C4" w:rsidP="00F326E5">
      <w:pPr>
        <w:rPr>
          <w:rFonts w:ascii="Times New Roman" w:hAnsi="Times New Roman"/>
          <w:b/>
          <w:sz w:val="24"/>
          <w:szCs w:val="24"/>
        </w:rPr>
      </w:pPr>
      <w:r>
        <w:rPr>
          <w:rFonts w:ascii="Times New Roman" w:hAnsi="Times New Roman"/>
          <w:b/>
          <w:sz w:val="24"/>
          <w:szCs w:val="24"/>
        </w:rPr>
        <w:t xml:space="preserve">Legal Lessons Learned: </w:t>
      </w:r>
      <w:r w:rsidR="00F326E5" w:rsidRPr="00E600C4">
        <w:rPr>
          <w:rFonts w:ascii="Times New Roman" w:hAnsi="Times New Roman"/>
          <w:b/>
          <w:sz w:val="24"/>
          <w:szCs w:val="24"/>
        </w:rPr>
        <w:t xml:space="preserve">FD may impose discipline, even if the firefighter is one of the 27 firefighters who signed </w:t>
      </w:r>
      <w:proofErr w:type="gramStart"/>
      <w:r w:rsidR="00F326E5" w:rsidRPr="00E600C4">
        <w:rPr>
          <w:rFonts w:ascii="Times New Roman" w:hAnsi="Times New Roman"/>
          <w:b/>
          <w:sz w:val="24"/>
          <w:szCs w:val="24"/>
        </w:rPr>
        <w:t>memo</w:t>
      </w:r>
      <w:proofErr w:type="gramEnd"/>
      <w:r w:rsidR="00F326E5" w:rsidRPr="00E600C4">
        <w:rPr>
          <w:rFonts w:ascii="Times New Roman" w:hAnsi="Times New Roman"/>
          <w:b/>
          <w:sz w:val="24"/>
          <w:szCs w:val="24"/>
        </w:rPr>
        <w:t xml:space="preserve"> about safety issues.</w:t>
      </w:r>
    </w:p>
    <w:p w14:paraId="23BD5AE5" w14:textId="77777777" w:rsidR="00F326E5" w:rsidRDefault="00F326E5" w:rsidP="00F326E5">
      <w:pPr>
        <w:ind w:left="720"/>
        <w:rPr>
          <w:rFonts w:eastAsia="Times New Roman"/>
          <w:sz w:val="24"/>
          <w:szCs w:val="24"/>
        </w:rPr>
      </w:pPr>
    </w:p>
    <w:p w14:paraId="4138CADE" w14:textId="77777777" w:rsidR="00E600C4" w:rsidRDefault="00E600C4" w:rsidP="000C4DF5">
      <w:pPr>
        <w:pStyle w:val="NoSpacing"/>
        <w:rPr>
          <w:rFonts w:ascii="Arial Black" w:hAnsi="Arial Black"/>
          <w:sz w:val="24"/>
          <w:szCs w:val="24"/>
        </w:rPr>
      </w:pPr>
    </w:p>
    <w:p w14:paraId="2DE477E0" w14:textId="77777777" w:rsidR="00E600C4" w:rsidRDefault="00E600C4" w:rsidP="000C4DF5">
      <w:pPr>
        <w:pStyle w:val="NoSpacing"/>
        <w:rPr>
          <w:rFonts w:ascii="Arial Black" w:hAnsi="Arial Black"/>
          <w:sz w:val="24"/>
          <w:szCs w:val="24"/>
        </w:rPr>
      </w:pPr>
    </w:p>
    <w:p w14:paraId="3254CFEB" w14:textId="3ACB8CC7" w:rsidR="00F326E5" w:rsidRDefault="000C4DF5" w:rsidP="000C4DF5">
      <w:pPr>
        <w:pStyle w:val="NoSpacing"/>
        <w:rPr>
          <w:rFonts w:ascii="Arial Black" w:hAnsi="Arial Black"/>
          <w:sz w:val="24"/>
          <w:szCs w:val="24"/>
        </w:rPr>
      </w:pPr>
      <w:r>
        <w:rPr>
          <w:rFonts w:ascii="Arial Black" w:hAnsi="Arial Black"/>
          <w:sz w:val="24"/>
          <w:szCs w:val="24"/>
        </w:rPr>
        <w:t>16-4</w:t>
      </w:r>
    </w:p>
    <w:p w14:paraId="0A269660" w14:textId="77777777" w:rsidR="000C4DF5" w:rsidRPr="000C4DF5" w:rsidRDefault="000C4DF5" w:rsidP="000C4DF5">
      <w:pPr>
        <w:pStyle w:val="NoSpacing"/>
        <w:rPr>
          <w:rFonts w:ascii="Arial Black" w:hAnsi="Arial Black"/>
          <w:sz w:val="24"/>
          <w:szCs w:val="24"/>
        </w:rPr>
      </w:pPr>
    </w:p>
    <w:p w14:paraId="7AB94435" w14:textId="41C5B9E8" w:rsidR="00F326E5" w:rsidRPr="00A50C92" w:rsidRDefault="00F326E5" w:rsidP="00F326E5">
      <w:pPr>
        <w:pStyle w:val="NoSpacing"/>
        <w:rPr>
          <w:rFonts w:ascii="Times New Roman" w:hAnsi="Times New Roman"/>
          <w:b/>
          <w:sz w:val="24"/>
          <w:szCs w:val="24"/>
        </w:rPr>
      </w:pPr>
      <w:bookmarkStart w:id="623" w:name="_Hlk515214458"/>
      <w:bookmarkStart w:id="624" w:name="_Hlk7349390"/>
      <w:bookmarkStart w:id="625" w:name="_Hlk7185851"/>
      <w:bookmarkEnd w:id="622"/>
      <w:r>
        <w:rPr>
          <w:rFonts w:ascii="Arial Black" w:hAnsi="Arial Black"/>
          <w:sz w:val="28"/>
          <w:szCs w:val="28"/>
        </w:rPr>
        <w:t xml:space="preserve">RI: FF VIDEOTAPED </w:t>
      </w:r>
      <w:proofErr w:type="gramStart"/>
      <w:r>
        <w:rPr>
          <w:rFonts w:ascii="Arial Black" w:hAnsi="Arial Black"/>
          <w:sz w:val="28"/>
          <w:szCs w:val="28"/>
        </w:rPr>
        <w:t>WEIGHT LIFTING</w:t>
      </w:r>
      <w:proofErr w:type="gramEnd"/>
      <w:r>
        <w:rPr>
          <w:rFonts w:ascii="Arial Black" w:hAnsi="Arial Black"/>
          <w:sz w:val="28"/>
          <w:szCs w:val="28"/>
        </w:rPr>
        <w:t xml:space="preserve"> – DISABILITY PENSION BENEFITS TERMINATED </w:t>
      </w:r>
      <w:r w:rsidR="00A50C92" w:rsidRPr="00A50C92">
        <w:rPr>
          <w:rFonts w:ascii="Times New Roman" w:hAnsi="Times New Roman"/>
          <w:sz w:val="24"/>
          <w:szCs w:val="24"/>
        </w:rPr>
        <w:t>[also filed, Chap. 6]</w:t>
      </w:r>
    </w:p>
    <w:p w14:paraId="307A9D4A" w14:textId="5663B4FA" w:rsidR="00F326E5" w:rsidRP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On Feb. 21, 2018, in </w:t>
      </w:r>
      <w:r w:rsidRPr="00E600C4">
        <w:rPr>
          <w:rFonts w:ascii="Times New Roman" w:hAnsi="Times New Roman"/>
          <w:sz w:val="24"/>
          <w:szCs w:val="24"/>
          <w:u w:val="single"/>
        </w:rPr>
        <w:t>John Sauro v. James Lombardi</w:t>
      </w:r>
      <w:r w:rsidRPr="00E600C4">
        <w:rPr>
          <w:rFonts w:ascii="Times New Roman" w:hAnsi="Times New Roman"/>
          <w:sz w:val="24"/>
          <w:szCs w:val="24"/>
        </w:rPr>
        <w:t xml:space="preserve">, in his capacity as Treasurer of the City of Providence, et al., the State Supreme Court held, “we conclude that the decision of the trial justice declaring that the plaintiff’s pension benefits should be reinstated and he should be placed on a waiting list to resume active service was erroneous, overlooked material evidence, and was clearly wrong.” </w:t>
      </w:r>
      <w:hyperlink r:id="rId2835" w:history="1">
        <w:r w:rsidRPr="00E600C4">
          <w:rPr>
            <w:rStyle w:val="Hyperlink"/>
            <w:rFonts w:ascii="Times New Roman" w:hAnsi="Times New Roman"/>
            <w:sz w:val="24"/>
            <w:szCs w:val="24"/>
          </w:rPr>
          <w:t>file:///C:/Users/lawre/AppData/Local/Microsoft/Windows/INetCache/IE/7HZ56W7X/16-170.pdf</w:t>
        </w:r>
      </w:hyperlink>
      <w:r w:rsidRPr="00E600C4">
        <w:rPr>
          <w:rFonts w:ascii="Times New Roman" w:hAnsi="Times New Roman"/>
          <w:sz w:val="24"/>
          <w:szCs w:val="24"/>
        </w:rPr>
        <w:t xml:space="preserve"> </w:t>
      </w:r>
    </w:p>
    <w:bookmarkEnd w:id="623"/>
    <w:p w14:paraId="7E4F4870" w14:textId="77777777" w:rsidR="00E600C4" w:rsidRDefault="00E600C4" w:rsidP="00F326E5">
      <w:pPr>
        <w:pStyle w:val="NoSpacing"/>
        <w:rPr>
          <w:rFonts w:ascii="Times New Roman" w:hAnsi="Times New Roman"/>
          <w:b/>
          <w:sz w:val="24"/>
          <w:szCs w:val="24"/>
        </w:rPr>
      </w:pPr>
    </w:p>
    <w:p w14:paraId="6AF0F96B" w14:textId="18C951AE" w:rsidR="00F326E5" w:rsidRPr="00E600C4" w:rsidRDefault="00F326E5" w:rsidP="00F326E5">
      <w:pPr>
        <w:pStyle w:val="NoSpacing"/>
        <w:rPr>
          <w:rFonts w:ascii="Times New Roman" w:hAnsi="Times New Roman"/>
          <w:b/>
          <w:sz w:val="24"/>
          <w:szCs w:val="24"/>
        </w:rPr>
      </w:pPr>
      <w:r w:rsidRPr="00E600C4">
        <w:rPr>
          <w:rFonts w:ascii="Times New Roman" w:hAnsi="Times New Roman"/>
          <w:b/>
          <w:sz w:val="24"/>
          <w:szCs w:val="24"/>
        </w:rPr>
        <w:lastRenderedPageBreak/>
        <w:t xml:space="preserve">Legal Lessons Learned: Accidental disability pension benefits are for those with a continuing work-place injury; cases like this </w:t>
      </w:r>
      <w:proofErr w:type="gramStart"/>
      <w:r w:rsidRPr="00E600C4">
        <w:rPr>
          <w:rFonts w:ascii="Times New Roman" w:hAnsi="Times New Roman"/>
          <w:b/>
          <w:sz w:val="24"/>
          <w:szCs w:val="24"/>
        </w:rPr>
        <w:t>lead</w:t>
      </w:r>
      <w:proofErr w:type="gramEnd"/>
      <w:r w:rsidRPr="00E600C4">
        <w:rPr>
          <w:rFonts w:ascii="Times New Roman" w:hAnsi="Times New Roman"/>
          <w:b/>
          <w:sz w:val="24"/>
          <w:szCs w:val="24"/>
        </w:rPr>
        <w:t xml:space="preserve"> to public perception of pension fraud. </w:t>
      </w:r>
    </w:p>
    <w:p w14:paraId="4DADA5D9" w14:textId="77777777" w:rsidR="00E600C4" w:rsidRDefault="00E600C4" w:rsidP="00F326E5">
      <w:pPr>
        <w:pStyle w:val="NoSpacing"/>
        <w:ind w:left="720"/>
        <w:rPr>
          <w:rFonts w:ascii="Times New Roman" w:hAnsi="Times New Roman"/>
          <w:sz w:val="24"/>
          <w:szCs w:val="24"/>
        </w:rPr>
      </w:pPr>
    </w:p>
    <w:p w14:paraId="399D8066" w14:textId="429AF4C9" w:rsidR="00F326E5" w:rsidRPr="00E600C4" w:rsidRDefault="00F326E5" w:rsidP="00F326E5">
      <w:pPr>
        <w:pStyle w:val="NoSpacing"/>
        <w:ind w:left="720"/>
        <w:rPr>
          <w:rFonts w:ascii="Times New Roman" w:hAnsi="Times New Roman"/>
          <w:sz w:val="24"/>
          <w:szCs w:val="24"/>
        </w:rPr>
      </w:pPr>
      <w:r w:rsidRPr="00E600C4">
        <w:rPr>
          <w:rFonts w:ascii="Times New Roman" w:hAnsi="Times New Roman"/>
          <w:sz w:val="24"/>
          <w:szCs w:val="24"/>
        </w:rPr>
        <w:t xml:space="preserve">See TV story and undercover video of </w:t>
      </w:r>
      <w:proofErr w:type="gramStart"/>
      <w:r w:rsidRPr="00E600C4">
        <w:rPr>
          <w:rFonts w:ascii="Times New Roman" w:hAnsi="Times New Roman"/>
          <w:sz w:val="24"/>
          <w:szCs w:val="24"/>
        </w:rPr>
        <w:t>retiree</w:t>
      </w:r>
      <w:proofErr w:type="gramEnd"/>
      <w:r w:rsidRPr="00E600C4">
        <w:rPr>
          <w:rFonts w:ascii="Times New Roman" w:hAnsi="Times New Roman"/>
          <w:sz w:val="24"/>
          <w:szCs w:val="24"/>
        </w:rPr>
        <w:t xml:space="preserve"> lifting weights: </w:t>
      </w:r>
      <w:hyperlink r:id="rId2836" w:history="1">
        <w:r w:rsidRPr="00E600C4">
          <w:rPr>
            <w:rStyle w:val="Hyperlink"/>
            <w:rFonts w:ascii="Times New Roman" w:hAnsi="Times New Roman"/>
            <w:sz w:val="24"/>
            <w:szCs w:val="24"/>
          </w:rPr>
          <w:t>http://www.wpri.com/news/supreme-court-sides-with-providence-in-dispute-over-weightlifting-firefighters-disability-pension/1082484435</w:t>
        </w:r>
      </w:hyperlink>
      <w:bookmarkEnd w:id="624"/>
      <w:r w:rsidRPr="00E600C4">
        <w:rPr>
          <w:rFonts w:ascii="Times New Roman" w:hAnsi="Times New Roman"/>
          <w:sz w:val="24"/>
          <w:szCs w:val="24"/>
        </w:rPr>
        <w:t xml:space="preserve"> </w:t>
      </w:r>
    </w:p>
    <w:bookmarkEnd w:id="625"/>
    <w:p w14:paraId="6A538CB6" w14:textId="77777777" w:rsidR="00F326E5" w:rsidRPr="00E600C4" w:rsidRDefault="00F326E5" w:rsidP="00F326E5">
      <w:pPr>
        <w:ind w:left="720"/>
        <w:rPr>
          <w:rFonts w:ascii="Times New Roman" w:eastAsia="Times New Roman" w:hAnsi="Times New Roman"/>
          <w:sz w:val="24"/>
          <w:szCs w:val="24"/>
        </w:rPr>
      </w:pPr>
    </w:p>
    <w:p w14:paraId="224A2325" w14:textId="77777777" w:rsidR="00F326E5" w:rsidRDefault="00F326E5" w:rsidP="00F326E5">
      <w:pPr>
        <w:pStyle w:val="NoSpacing"/>
        <w:rPr>
          <w:sz w:val="24"/>
          <w:szCs w:val="24"/>
        </w:rPr>
      </w:pPr>
    </w:p>
    <w:p w14:paraId="7AD5997F" w14:textId="7FBF798F" w:rsidR="000C4DF5" w:rsidRDefault="000C4DF5" w:rsidP="000C4DF5">
      <w:pPr>
        <w:pStyle w:val="NoSpacing"/>
        <w:rPr>
          <w:rFonts w:ascii="Arial Black" w:hAnsi="Arial Black"/>
          <w:sz w:val="24"/>
          <w:szCs w:val="24"/>
        </w:rPr>
      </w:pPr>
      <w:bookmarkStart w:id="626" w:name="_Hlk7349425"/>
      <w:r>
        <w:rPr>
          <w:rFonts w:ascii="Arial Black" w:hAnsi="Arial Black"/>
          <w:sz w:val="24"/>
          <w:szCs w:val="24"/>
        </w:rPr>
        <w:t>16-3</w:t>
      </w:r>
    </w:p>
    <w:p w14:paraId="7DCE9FCE" w14:textId="77777777" w:rsidR="000C4DF5" w:rsidRDefault="000C4DF5" w:rsidP="00F326E5">
      <w:pPr>
        <w:pStyle w:val="NoSpacing"/>
        <w:rPr>
          <w:rFonts w:ascii="Arial Black" w:hAnsi="Arial Black"/>
          <w:b/>
          <w:sz w:val="28"/>
          <w:szCs w:val="28"/>
        </w:rPr>
      </w:pPr>
    </w:p>
    <w:p w14:paraId="1133140B" w14:textId="027FD9AE" w:rsidR="00F326E5" w:rsidRDefault="00F326E5" w:rsidP="00F326E5">
      <w:pPr>
        <w:pStyle w:val="NoSpacing"/>
        <w:rPr>
          <w:rFonts w:ascii="Arial Black" w:hAnsi="Arial Black"/>
          <w:b/>
          <w:sz w:val="28"/>
          <w:szCs w:val="28"/>
        </w:rPr>
      </w:pPr>
      <w:r>
        <w:rPr>
          <w:rFonts w:ascii="Arial Black" w:hAnsi="Arial Black"/>
          <w:b/>
          <w:sz w:val="28"/>
          <w:szCs w:val="28"/>
        </w:rPr>
        <w:t>WA: CAPTAIN FIRED, INTERNAL E-MAILS ON RELIGION – LAWSUIT REISTATED, NO FD POLICY</w:t>
      </w:r>
    </w:p>
    <w:p w14:paraId="3644B859" w14:textId="77777777" w:rsid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On Jan. 25, 2018, in </w:t>
      </w:r>
      <w:r w:rsidRPr="00E600C4">
        <w:rPr>
          <w:rFonts w:ascii="Times New Roman" w:hAnsi="Times New Roman"/>
          <w:sz w:val="24"/>
          <w:szCs w:val="24"/>
          <w:u w:val="single"/>
        </w:rPr>
        <w:t>Jonathan J. Sprague v. Spokane Valley Fire Department, et al</w:t>
      </w:r>
      <w:r w:rsidRPr="00E600C4">
        <w:rPr>
          <w:rFonts w:ascii="Times New Roman" w:hAnsi="Times New Roman"/>
          <w:sz w:val="24"/>
          <w:szCs w:val="24"/>
        </w:rPr>
        <w:t xml:space="preserve">., the Supreme Court of the State of Washington, held (5 to 4) that </w:t>
      </w:r>
    </w:p>
    <w:p w14:paraId="75136235" w14:textId="77777777" w:rsidR="00E600C4" w:rsidRDefault="00E600C4" w:rsidP="00F326E5">
      <w:pPr>
        <w:pStyle w:val="NoSpacing"/>
        <w:rPr>
          <w:rFonts w:ascii="Times New Roman" w:hAnsi="Times New Roman"/>
          <w:sz w:val="24"/>
          <w:szCs w:val="24"/>
        </w:rPr>
      </w:pPr>
    </w:p>
    <w:p w14:paraId="6F94960D" w14:textId="49D41CF1" w:rsidR="00F326E5" w:rsidRPr="00E600C4" w:rsidRDefault="00F326E5" w:rsidP="00E600C4">
      <w:pPr>
        <w:pStyle w:val="NoSpacing"/>
        <w:ind w:left="720"/>
        <w:rPr>
          <w:rStyle w:val="Hyperlink"/>
          <w:rFonts w:ascii="Times New Roman" w:hAnsi="Times New Roman"/>
          <w:sz w:val="24"/>
          <w:szCs w:val="24"/>
        </w:rPr>
      </w:pPr>
      <w:r w:rsidRPr="00E600C4">
        <w:rPr>
          <w:rFonts w:ascii="Times New Roman" w:hAnsi="Times New Roman"/>
          <w:sz w:val="24"/>
          <w:szCs w:val="24"/>
        </w:rPr>
        <w:t xml:space="preserve">“Sprague has met his initial burden to show that SVFD's restrictions on his speech violated the First Amendment. On remand, the burden will shift to SVFD to show by a preponderance of the evidence that it would have reached the same decision as to respondent's employment termination even in the absence of the protected conduct.” </w:t>
      </w:r>
      <w:hyperlink r:id="rId2837" w:history="1">
        <w:r w:rsidRPr="00E600C4">
          <w:rPr>
            <w:rStyle w:val="Hyperlink"/>
            <w:rFonts w:ascii="Times New Roman" w:hAnsi="Times New Roman"/>
            <w:sz w:val="24"/>
            <w:szCs w:val="24"/>
          </w:rPr>
          <w:t>file:///C:/Users/lawre/AppData/Local/Microsoft/Windows/INetCache/IE/NZ9VF3P4/Christian-Firefighter.pdf</w:t>
        </w:r>
      </w:hyperlink>
    </w:p>
    <w:p w14:paraId="6590AA94" w14:textId="77777777" w:rsidR="00E600C4" w:rsidRDefault="00E600C4" w:rsidP="00F326E5">
      <w:pPr>
        <w:pStyle w:val="NoSpacing"/>
        <w:rPr>
          <w:rFonts w:ascii="Times New Roman" w:hAnsi="Times New Roman"/>
          <w:b/>
          <w:sz w:val="24"/>
          <w:szCs w:val="24"/>
        </w:rPr>
      </w:pPr>
    </w:p>
    <w:p w14:paraId="324D696F" w14:textId="03AB816B" w:rsidR="00F326E5" w:rsidRPr="00E600C4" w:rsidRDefault="00F326E5" w:rsidP="00F326E5">
      <w:pPr>
        <w:pStyle w:val="NoSpacing"/>
        <w:rPr>
          <w:rFonts w:ascii="Times New Roman" w:hAnsi="Times New Roman"/>
          <w:b/>
          <w:sz w:val="24"/>
          <w:szCs w:val="24"/>
        </w:rPr>
      </w:pPr>
      <w:r w:rsidRPr="00E600C4">
        <w:rPr>
          <w:rFonts w:ascii="Times New Roman" w:hAnsi="Times New Roman"/>
          <w:b/>
          <w:sz w:val="24"/>
          <w:szCs w:val="24"/>
        </w:rPr>
        <w:t xml:space="preserve">Legal Lessons Learned: FDs should have a written electronic communications policy, including prohibition on e-mails that can be disruptive to workplace.   </w:t>
      </w:r>
    </w:p>
    <w:p w14:paraId="4F55B2C2" w14:textId="77777777" w:rsidR="00F326E5" w:rsidRDefault="00F326E5" w:rsidP="00F326E5">
      <w:pPr>
        <w:pStyle w:val="NoSpacing"/>
        <w:rPr>
          <w:sz w:val="24"/>
          <w:szCs w:val="24"/>
        </w:rPr>
      </w:pPr>
      <w:bookmarkStart w:id="627" w:name="_Hlk515214745"/>
      <w:bookmarkEnd w:id="626"/>
    </w:p>
    <w:p w14:paraId="25B7ADD8" w14:textId="77777777" w:rsidR="00F326E5" w:rsidRDefault="00F326E5" w:rsidP="00F326E5">
      <w:pPr>
        <w:pStyle w:val="NoSpacing"/>
        <w:rPr>
          <w:sz w:val="24"/>
          <w:szCs w:val="24"/>
        </w:rPr>
      </w:pPr>
    </w:p>
    <w:p w14:paraId="0837A0FB" w14:textId="0BDEEEE7" w:rsidR="000C4DF5" w:rsidRDefault="000C4DF5" w:rsidP="00F326E5">
      <w:pPr>
        <w:pStyle w:val="NoSpacing"/>
        <w:rPr>
          <w:rFonts w:ascii="Arial Black" w:hAnsi="Arial Black"/>
          <w:b/>
          <w:sz w:val="28"/>
          <w:szCs w:val="28"/>
        </w:rPr>
      </w:pPr>
      <w:bookmarkStart w:id="628" w:name="_Hlk7349456"/>
      <w:r>
        <w:rPr>
          <w:rFonts w:ascii="Arial Black" w:hAnsi="Arial Black"/>
          <w:sz w:val="24"/>
          <w:szCs w:val="24"/>
        </w:rPr>
        <w:t>16-2</w:t>
      </w:r>
    </w:p>
    <w:p w14:paraId="592B144A" w14:textId="77777777" w:rsidR="000C4DF5" w:rsidRDefault="000C4DF5" w:rsidP="00F326E5">
      <w:pPr>
        <w:pStyle w:val="NoSpacing"/>
        <w:rPr>
          <w:rFonts w:ascii="Arial Black" w:hAnsi="Arial Black"/>
          <w:b/>
          <w:sz w:val="28"/>
          <w:szCs w:val="28"/>
        </w:rPr>
      </w:pPr>
    </w:p>
    <w:p w14:paraId="12950A7E" w14:textId="5927711C" w:rsidR="00F326E5" w:rsidRDefault="00F326E5" w:rsidP="00F326E5">
      <w:pPr>
        <w:pStyle w:val="NoSpacing"/>
        <w:rPr>
          <w:b/>
          <w:sz w:val="24"/>
          <w:szCs w:val="24"/>
        </w:rPr>
      </w:pPr>
      <w:r>
        <w:rPr>
          <w:rFonts w:ascii="Arial Black" w:hAnsi="Arial Black"/>
          <w:b/>
          <w:sz w:val="28"/>
          <w:szCs w:val="28"/>
        </w:rPr>
        <w:t xml:space="preserve">IN: STATE BOARD REVOKES DEPUTY CHIEF’S FF CERTIFICATES – CHILD EXPOITATION &amp; PORN CONVICTION </w:t>
      </w:r>
    </w:p>
    <w:bookmarkEnd w:id="627"/>
    <w:p w14:paraId="758B4FAC" w14:textId="77777777" w:rsid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On Jan. 17, 2018, in </w:t>
      </w:r>
      <w:r w:rsidRPr="00E600C4">
        <w:rPr>
          <w:rFonts w:ascii="Times New Roman" w:hAnsi="Times New Roman"/>
          <w:sz w:val="24"/>
          <w:szCs w:val="24"/>
          <w:u w:val="single"/>
        </w:rPr>
        <w:t xml:space="preserve">State Of Indiana Board </w:t>
      </w:r>
      <w:proofErr w:type="gramStart"/>
      <w:r w:rsidRPr="00E600C4">
        <w:rPr>
          <w:rFonts w:ascii="Times New Roman" w:hAnsi="Times New Roman"/>
          <w:sz w:val="24"/>
          <w:szCs w:val="24"/>
          <w:u w:val="single"/>
        </w:rPr>
        <w:t>Of</w:t>
      </w:r>
      <w:proofErr w:type="gramEnd"/>
      <w:r w:rsidRPr="00E600C4">
        <w:rPr>
          <w:rFonts w:ascii="Times New Roman" w:hAnsi="Times New Roman"/>
          <w:sz w:val="24"/>
          <w:szCs w:val="24"/>
          <w:u w:val="single"/>
        </w:rPr>
        <w:t xml:space="preserve"> Firefighting </w:t>
      </w:r>
      <w:proofErr w:type="gramStart"/>
      <w:r w:rsidRPr="00E600C4">
        <w:rPr>
          <w:rFonts w:ascii="Times New Roman" w:hAnsi="Times New Roman"/>
          <w:sz w:val="24"/>
          <w:szCs w:val="24"/>
          <w:u w:val="single"/>
        </w:rPr>
        <w:t>And</w:t>
      </w:r>
      <w:proofErr w:type="gramEnd"/>
      <w:r w:rsidRPr="00E600C4">
        <w:rPr>
          <w:rFonts w:ascii="Times New Roman" w:hAnsi="Times New Roman"/>
          <w:sz w:val="24"/>
          <w:szCs w:val="24"/>
          <w:u w:val="single"/>
        </w:rPr>
        <w:t xml:space="preserve"> Personnel Standards v. John T. Cline</w:t>
      </w:r>
      <w:r w:rsidRPr="00E600C4">
        <w:rPr>
          <w:rFonts w:ascii="Times New Roman" w:hAnsi="Times New Roman"/>
          <w:sz w:val="24"/>
          <w:szCs w:val="24"/>
        </w:rPr>
        <w:t xml:space="preserve">, the Court of Appeals of Indiana held that the Board’s decision to revoke his certifications as a Firefighter was affirmed, since he failed to file a timely appeal. </w:t>
      </w:r>
    </w:p>
    <w:p w14:paraId="7AC04123" w14:textId="73DF6FC6" w:rsidR="00F326E5" w:rsidRPr="00E600C4" w:rsidRDefault="00F326E5" w:rsidP="00E600C4">
      <w:pPr>
        <w:pStyle w:val="NoSpacing"/>
        <w:ind w:left="720"/>
        <w:rPr>
          <w:rStyle w:val="Hyperlink"/>
          <w:rFonts w:ascii="Times New Roman" w:hAnsi="Times New Roman"/>
          <w:sz w:val="24"/>
          <w:szCs w:val="24"/>
        </w:rPr>
      </w:pPr>
      <w:r w:rsidRPr="00E600C4">
        <w:rPr>
          <w:rFonts w:ascii="Times New Roman" w:hAnsi="Times New Roman"/>
          <w:sz w:val="24"/>
          <w:szCs w:val="24"/>
        </w:rPr>
        <w:t xml:space="preserve">“To effect statutory compliance, Cline was required to file the agency record or file a motion for an extension of time by May 9, 2016.  He did not do </w:t>
      </w:r>
      <w:proofErr w:type="gramStart"/>
      <w:r w:rsidRPr="00E600C4">
        <w:rPr>
          <w:rFonts w:ascii="Times New Roman" w:hAnsi="Times New Roman"/>
          <w:sz w:val="24"/>
          <w:szCs w:val="24"/>
        </w:rPr>
        <w:t>so</w:t>
      </w:r>
      <w:proofErr w:type="gramEnd"/>
      <w:r w:rsidRPr="00E600C4">
        <w:rPr>
          <w:rFonts w:ascii="Times New Roman" w:hAnsi="Times New Roman"/>
          <w:sz w:val="24"/>
          <w:szCs w:val="24"/>
        </w:rPr>
        <w:t xml:space="preserve"> and the trial court should have dismissed the petition for judicial review.” </w:t>
      </w:r>
      <w:hyperlink r:id="rId2838" w:history="1">
        <w:r w:rsidRPr="00E600C4">
          <w:rPr>
            <w:rStyle w:val="Hyperlink"/>
            <w:rFonts w:ascii="Times New Roman" w:hAnsi="Times New Roman"/>
            <w:sz w:val="24"/>
            <w:szCs w:val="24"/>
          </w:rPr>
          <w:t>file:///C:/Users/lawre/AppData/Local/Microsoft/Windows/INetCache/IE/XO250S7T/01171801lmb.pdf</w:t>
        </w:r>
      </w:hyperlink>
    </w:p>
    <w:p w14:paraId="4ED3A0FE" w14:textId="77777777" w:rsidR="00E600C4" w:rsidRDefault="00E600C4" w:rsidP="00F326E5">
      <w:pPr>
        <w:rPr>
          <w:rFonts w:ascii="Times New Roman" w:hAnsi="Times New Roman"/>
          <w:b/>
          <w:sz w:val="24"/>
          <w:szCs w:val="24"/>
        </w:rPr>
      </w:pPr>
    </w:p>
    <w:p w14:paraId="3C8FD2DA" w14:textId="7C7C7CFB" w:rsidR="00F326E5" w:rsidRPr="00E600C4" w:rsidRDefault="00F326E5" w:rsidP="00F326E5">
      <w:pPr>
        <w:rPr>
          <w:rFonts w:ascii="Times New Roman" w:hAnsi="Times New Roman"/>
          <w:b/>
          <w:sz w:val="24"/>
          <w:szCs w:val="24"/>
        </w:rPr>
      </w:pPr>
      <w:r w:rsidRPr="00E600C4">
        <w:rPr>
          <w:rFonts w:ascii="Times New Roman" w:hAnsi="Times New Roman"/>
          <w:b/>
          <w:sz w:val="24"/>
          <w:szCs w:val="24"/>
        </w:rPr>
        <w:t>Legal Lessons Learned:  In filing an appeal, deadlines must be met unless there are extenuating circumstances.</w:t>
      </w:r>
    </w:p>
    <w:bookmarkEnd w:id="628"/>
    <w:p w14:paraId="7498C7D7" w14:textId="77777777" w:rsidR="00F326E5" w:rsidRPr="00AE5408" w:rsidRDefault="00F326E5" w:rsidP="00F326E5">
      <w:pPr>
        <w:pStyle w:val="NoSpacing"/>
        <w:rPr>
          <w:b/>
          <w:sz w:val="24"/>
          <w:szCs w:val="24"/>
        </w:rPr>
      </w:pPr>
    </w:p>
    <w:p w14:paraId="24376A5C" w14:textId="27D41B33" w:rsidR="00F326E5" w:rsidRDefault="000C4DF5" w:rsidP="000C4DF5">
      <w:pPr>
        <w:pStyle w:val="NoSpacing"/>
        <w:rPr>
          <w:rFonts w:ascii="Arial Black" w:hAnsi="Arial Black"/>
          <w:sz w:val="24"/>
          <w:szCs w:val="24"/>
        </w:rPr>
      </w:pPr>
      <w:bookmarkStart w:id="629" w:name="_Hlk80769585"/>
      <w:r>
        <w:rPr>
          <w:rFonts w:ascii="Arial Black" w:hAnsi="Arial Black"/>
          <w:sz w:val="24"/>
          <w:szCs w:val="24"/>
        </w:rPr>
        <w:t>16-1</w:t>
      </w:r>
    </w:p>
    <w:p w14:paraId="0F242EB9" w14:textId="77777777" w:rsidR="00E600C4" w:rsidRDefault="00E600C4" w:rsidP="000C4DF5">
      <w:pPr>
        <w:pStyle w:val="NoSpacing"/>
        <w:rPr>
          <w:rFonts w:ascii="Arial Black" w:hAnsi="Arial Black"/>
          <w:sz w:val="24"/>
          <w:szCs w:val="24"/>
        </w:rPr>
      </w:pPr>
    </w:p>
    <w:p w14:paraId="7CF80A95" w14:textId="78C9E408" w:rsidR="00F326E5" w:rsidRDefault="00F326E5" w:rsidP="00F326E5">
      <w:pPr>
        <w:pStyle w:val="NoSpacing"/>
        <w:rPr>
          <w:b/>
          <w:sz w:val="24"/>
          <w:szCs w:val="24"/>
        </w:rPr>
      </w:pPr>
      <w:bookmarkStart w:id="630" w:name="_Hlk7349488"/>
      <w:r w:rsidRPr="009213BD">
        <w:rPr>
          <w:rFonts w:ascii="Arial Black" w:hAnsi="Arial Black" w:cs="Arial"/>
          <w:sz w:val="28"/>
          <w:szCs w:val="28"/>
        </w:rPr>
        <w:t xml:space="preserve">IL: SOCIAL MEDIA POSTS - DEPUTY FIRE CHIEF FIRED AFTER “POLITICAL COMMENTARY” ON FACEBOOK </w:t>
      </w:r>
    </w:p>
    <w:p w14:paraId="1C037220" w14:textId="77777777" w:rsidR="00026281" w:rsidRDefault="00026281" w:rsidP="00F326E5">
      <w:pPr>
        <w:pStyle w:val="NoSpacing"/>
        <w:rPr>
          <w:rFonts w:ascii="Times New Roman" w:hAnsi="Times New Roman"/>
          <w:sz w:val="24"/>
          <w:szCs w:val="24"/>
        </w:rPr>
      </w:pPr>
    </w:p>
    <w:p w14:paraId="01BD175A" w14:textId="2DD33E22" w:rsid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On Jan. 11, 2018, in </w:t>
      </w:r>
      <w:r w:rsidRPr="00E600C4">
        <w:rPr>
          <w:rFonts w:ascii="Times New Roman" w:hAnsi="Times New Roman"/>
          <w:sz w:val="24"/>
          <w:szCs w:val="24"/>
          <w:u w:val="single"/>
        </w:rPr>
        <w:t>Richard Banske v. City of Calumet City</w:t>
      </w:r>
      <w:r w:rsidRPr="00E600C4">
        <w:rPr>
          <w:rFonts w:ascii="Times New Roman" w:hAnsi="Times New Roman"/>
          <w:sz w:val="24"/>
          <w:szCs w:val="24"/>
        </w:rPr>
        <w:t xml:space="preserve">, U.S. District Court, Northern District of Illinois (Case No. 17C5263), Judge Harry D. </w:t>
      </w:r>
      <w:proofErr w:type="spellStart"/>
      <w:r w:rsidRPr="00E600C4">
        <w:rPr>
          <w:rFonts w:ascii="Times New Roman" w:hAnsi="Times New Roman"/>
          <w:sz w:val="24"/>
          <w:szCs w:val="24"/>
        </w:rPr>
        <w:t>Leinenweber</w:t>
      </w:r>
      <w:proofErr w:type="spellEnd"/>
      <w:r w:rsidRPr="00E600C4">
        <w:rPr>
          <w:rFonts w:ascii="Times New Roman" w:hAnsi="Times New Roman"/>
          <w:sz w:val="24"/>
          <w:szCs w:val="24"/>
        </w:rPr>
        <w:t xml:space="preserve"> granted City’s motion to dismiss. </w:t>
      </w:r>
    </w:p>
    <w:p w14:paraId="78E394BD" w14:textId="77777777" w:rsidR="00E600C4" w:rsidRDefault="00E600C4" w:rsidP="00F326E5">
      <w:pPr>
        <w:pStyle w:val="NoSpacing"/>
        <w:rPr>
          <w:rFonts w:ascii="Times New Roman" w:hAnsi="Times New Roman"/>
          <w:sz w:val="24"/>
          <w:szCs w:val="24"/>
        </w:rPr>
      </w:pPr>
    </w:p>
    <w:p w14:paraId="52BAFB0D" w14:textId="4E3596B6" w:rsidR="00F326E5" w:rsidRPr="00E600C4" w:rsidRDefault="00F326E5" w:rsidP="00E600C4">
      <w:pPr>
        <w:pStyle w:val="NoSpacing"/>
        <w:ind w:left="720"/>
        <w:rPr>
          <w:rFonts w:ascii="Times New Roman" w:hAnsi="Times New Roman"/>
          <w:sz w:val="24"/>
          <w:szCs w:val="24"/>
        </w:rPr>
      </w:pPr>
      <w:r w:rsidRPr="00E600C4">
        <w:rPr>
          <w:rFonts w:ascii="Times New Roman" w:hAnsi="Times New Roman"/>
          <w:sz w:val="24"/>
          <w:szCs w:val="24"/>
        </w:rPr>
        <w:t>“[A] policymaking employee may be discharged ‘when that individual has engaged in speech on a matter of public concern in a manner that is critical of superiors or their stated policies.’</w:t>
      </w:r>
      <w:r w:rsidR="00E600C4">
        <w:rPr>
          <w:rFonts w:ascii="Times New Roman" w:hAnsi="Times New Roman"/>
          <w:sz w:val="24"/>
          <w:szCs w:val="24"/>
        </w:rPr>
        <w:t xml:space="preserve"> </w:t>
      </w:r>
      <w:r w:rsidRPr="00E600C4">
        <w:rPr>
          <w:rFonts w:ascii="Times New Roman" w:hAnsi="Times New Roman"/>
          <w:sz w:val="24"/>
          <w:szCs w:val="24"/>
        </w:rPr>
        <w:t xml:space="preserve">Hagan, 867 F.3d at 826 (quoting Kiddy-Brown v. Blagojevich, 408 F.3d 346, 358 (7th Cir. 2005)). *** Without well pled factual allegations, the Court is left to guess whether </w:t>
      </w:r>
      <w:proofErr w:type="spellStart"/>
      <w:r w:rsidRPr="00E600C4">
        <w:rPr>
          <w:rFonts w:ascii="Times New Roman" w:hAnsi="Times New Roman"/>
          <w:sz w:val="24"/>
          <w:szCs w:val="24"/>
        </w:rPr>
        <w:t>Banske's</w:t>
      </w:r>
      <w:proofErr w:type="spellEnd"/>
      <w:r w:rsidRPr="00E600C4">
        <w:rPr>
          <w:rFonts w:ascii="Times New Roman" w:hAnsi="Times New Roman"/>
          <w:sz w:val="24"/>
          <w:szCs w:val="24"/>
        </w:rPr>
        <w:t xml:space="preserve"> at-issue speech touches upon a subject of public concern. This the Court will not do. The Complaint fails to establish that </w:t>
      </w:r>
      <w:proofErr w:type="spellStart"/>
      <w:r w:rsidRPr="00E600C4">
        <w:rPr>
          <w:rFonts w:ascii="Times New Roman" w:hAnsi="Times New Roman"/>
          <w:sz w:val="24"/>
          <w:szCs w:val="24"/>
        </w:rPr>
        <w:t>Banske</w:t>
      </w:r>
      <w:proofErr w:type="spellEnd"/>
      <w:r w:rsidRPr="00E600C4">
        <w:rPr>
          <w:rFonts w:ascii="Times New Roman" w:hAnsi="Times New Roman"/>
          <w:sz w:val="24"/>
          <w:szCs w:val="24"/>
        </w:rPr>
        <w:t xml:space="preserve"> engaged in constitutionally protected speech, so it fails to state a claim upon which relief may be granted.” </w:t>
      </w:r>
    </w:p>
    <w:p w14:paraId="6A3E048D" w14:textId="7003543D" w:rsidR="00F326E5" w:rsidRPr="00E600C4" w:rsidRDefault="00E600C4" w:rsidP="00E600C4">
      <w:pPr>
        <w:pStyle w:val="NoSpacing"/>
        <w:ind w:firstLine="720"/>
        <w:rPr>
          <w:rFonts w:ascii="Times New Roman" w:hAnsi="Times New Roman"/>
          <w:sz w:val="24"/>
          <w:szCs w:val="24"/>
        </w:rPr>
      </w:pPr>
      <w:hyperlink r:id="rId2839" w:history="1">
        <w:r w:rsidRPr="001B5B01">
          <w:rPr>
            <w:rStyle w:val="Hyperlink"/>
            <w:rFonts w:ascii="Times New Roman" w:hAnsi="Times New Roman"/>
            <w:sz w:val="24"/>
            <w:szCs w:val="24"/>
          </w:rPr>
          <w:t>https://casetext.com/case/banske-v-city-of-calumet-city</w:t>
        </w:r>
      </w:hyperlink>
      <w:r w:rsidR="00F326E5" w:rsidRPr="00E600C4">
        <w:rPr>
          <w:rFonts w:ascii="Times New Roman" w:hAnsi="Times New Roman"/>
          <w:sz w:val="24"/>
          <w:szCs w:val="24"/>
        </w:rPr>
        <w:t xml:space="preserve"> </w:t>
      </w:r>
    </w:p>
    <w:p w14:paraId="6BBC4089" w14:textId="77777777" w:rsidR="00E600C4" w:rsidRDefault="00E600C4" w:rsidP="00F326E5">
      <w:pPr>
        <w:rPr>
          <w:rFonts w:ascii="Times New Roman" w:eastAsia="Times New Roman" w:hAnsi="Times New Roman"/>
          <w:b/>
          <w:sz w:val="24"/>
          <w:szCs w:val="24"/>
        </w:rPr>
      </w:pPr>
    </w:p>
    <w:p w14:paraId="68418577" w14:textId="49E1851B" w:rsidR="00F326E5" w:rsidRPr="00E600C4" w:rsidRDefault="00F326E5" w:rsidP="00F326E5">
      <w:pPr>
        <w:rPr>
          <w:rFonts w:ascii="Times New Roman" w:eastAsia="Times New Roman" w:hAnsi="Times New Roman"/>
          <w:b/>
          <w:sz w:val="24"/>
          <w:szCs w:val="24"/>
        </w:rPr>
      </w:pPr>
      <w:r w:rsidRPr="00E600C4">
        <w:rPr>
          <w:rFonts w:ascii="Times New Roman" w:eastAsia="Times New Roman" w:hAnsi="Times New Roman"/>
          <w:b/>
          <w:sz w:val="24"/>
          <w:szCs w:val="24"/>
        </w:rPr>
        <w:t>Legal Lessons Learned: Fire, EMS, police and other public employees have only limited First Amendment rights under the “balancing test” of U.S. Supreme Court’s decision in Pickering v. Board of Education, 391 U.S. 563 (1968).</w:t>
      </w:r>
    </w:p>
    <w:p w14:paraId="34AA03D1" w14:textId="77777777" w:rsidR="00F326E5" w:rsidRPr="00E600C4" w:rsidRDefault="00F326E5" w:rsidP="00F326E5">
      <w:pPr>
        <w:ind w:left="720"/>
        <w:rPr>
          <w:rFonts w:ascii="Times New Roman" w:hAnsi="Times New Roman"/>
          <w:sz w:val="24"/>
          <w:szCs w:val="24"/>
        </w:rPr>
      </w:pPr>
      <w:r w:rsidRPr="00E600C4">
        <w:rPr>
          <w:rFonts w:ascii="Times New Roman" w:eastAsia="Times New Roman" w:hAnsi="Times New Roman"/>
          <w:sz w:val="24"/>
          <w:szCs w:val="24"/>
        </w:rPr>
        <w:t xml:space="preserve">Pickering decision:  “Appellant Marvin L. Pickering, a teacher in Township High School District 205, Will County, Illinois, was dismissed from his position by the appellee Board of Education for sending a letter to a local newspaper in connection with a recently proposed tax increase that was critical of the way in which the Board and the district superintendent of schools had handled past proposals to raise new revenue for the schools. *** In sum, we hold that, in a case such as this, absent proof of false statements knowingly or recklessly made by him, a teacher's exercise of his right to speak on issues of public importance may not furnish the basis for his dismissal from public employment. *** Footnote 3: It is possible to conceive of some positions in public employment in which the need for confidentiality is so great that even completely correct public statements might furnish a permissible ground for dismissal.” </w:t>
      </w:r>
      <w:hyperlink r:id="rId2840" w:history="1">
        <w:r w:rsidRPr="00E600C4">
          <w:rPr>
            <w:rStyle w:val="Hyperlink"/>
            <w:rFonts w:ascii="Times New Roman" w:hAnsi="Times New Roman"/>
            <w:sz w:val="24"/>
            <w:szCs w:val="24"/>
          </w:rPr>
          <w:t>https://supreme.justia.com/cases/federal/us/391/563/</w:t>
        </w:r>
      </w:hyperlink>
      <w:r w:rsidRPr="00E600C4">
        <w:rPr>
          <w:rFonts w:ascii="Times New Roman" w:eastAsia="Times New Roman" w:hAnsi="Times New Roman"/>
          <w:sz w:val="24"/>
          <w:szCs w:val="24"/>
        </w:rPr>
        <w:t xml:space="preserve"> </w:t>
      </w:r>
    </w:p>
    <w:bookmarkEnd w:id="629"/>
    <w:bookmarkEnd w:id="630"/>
    <w:p w14:paraId="79613DBE" w14:textId="77777777" w:rsidR="00F326E5" w:rsidRPr="00E600C4" w:rsidRDefault="00F326E5" w:rsidP="00F326E5">
      <w:pPr>
        <w:pStyle w:val="NoSpacing"/>
        <w:rPr>
          <w:rFonts w:ascii="Times New Roman" w:hAnsi="Times New Roman"/>
          <w:b/>
          <w:sz w:val="24"/>
          <w:szCs w:val="24"/>
        </w:rPr>
      </w:pPr>
    </w:p>
    <w:p w14:paraId="228A938B" w14:textId="77777777" w:rsidR="00F326E5" w:rsidRDefault="00F326E5" w:rsidP="00F326E5">
      <w:pPr>
        <w:rPr>
          <w:rFonts w:ascii="Arial Black" w:hAnsi="Arial Black"/>
          <w:sz w:val="40"/>
          <w:szCs w:val="40"/>
        </w:rPr>
      </w:pPr>
      <w:r>
        <w:rPr>
          <w:rFonts w:ascii="Arial Black" w:hAnsi="Arial Black"/>
          <w:sz w:val="40"/>
          <w:szCs w:val="40"/>
        </w:rPr>
        <w:br w:type="page"/>
      </w:r>
    </w:p>
    <w:p w14:paraId="394AF62A" w14:textId="77777777" w:rsidR="00F326E5" w:rsidRDefault="00F326E5" w:rsidP="00F326E5">
      <w:pPr>
        <w:rPr>
          <w:rFonts w:ascii="Arial Black" w:hAnsi="Arial Black"/>
          <w:sz w:val="40"/>
          <w:szCs w:val="40"/>
        </w:rPr>
      </w:pPr>
    </w:p>
    <w:p w14:paraId="057E46DD" w14:textId="77777777" w:rsidR="007D737C" w:rsidRDefault="007D737C" w:rsidP="00F326E5">
      <w:pPr>
        <w:pStyle w:val="NoSpacing"/>
        <w:rPr>
          <w:rFonts w:ascii="Arial Black" w:hAnsi="Arial Black"/>
          <w:sz w:val="40"/>
          <w:szCs w:val="40"/>
        </w:rPr>
      </w:pPr>
    </w:p>
    <w:p w14:paraId="0D87F7EB" w14:textId="77777777" w:rsidR="007D737C" w:rsidRDefault="007D737C" w:rsidP="00F326E5">
      <w:pPr>
        <w:pStyle w:val="NoSpacing"/>
        <w:rPr>
          <w:rFonts w:ascii="Arial Black" w:hAnsi="Arial Black"/>
          <w:sz w:val="40"/>
          <w:szCs w:val="40"/>
        </w:rPr>
      </w:pPr>
    </w:p>
    <w:p w14:paraId="62B52445" w14:textId="77777777" w:rsidR="007D737C" w:rsidRDefault="007D737C" w:rsidP="00F326E5">
      <w:pPr>
        <w:pStyle w:val="NoSpacing"/>
        <w:rPr>
          <w:rFonts w:ascii="Arial Black" w:hAnsi="Arial Black"/>
          <w:sz w:val="40"/>
          <w:szCs w:val="40"/>
        </w:rPr>
      </w:pPr>
    </w:p>
    <w:p w14:paraId="7D46D5E7" w14:textId="77777777" w:rsidR="007D737C" w:rsidRDefault="007D737C" w:rsidP="00F326E5">
      <w:pPr>
        <w:pStyle w:val="NoSpacing"/>
        <w:rPr>
          <w:rFonts w:ascii="Arial Black" w:hAnsi="Arial Black"/>
          <w:sz w:val="40"/>
          <w:szCs w:val="40"/>
        </w:rPr>
      </w:pPr>
    </w:p>
    <w:p w14:paraId="21A16390" w14:textId="77777777" w:rsidR="007D737C" w:rsidRDefault="007D737C" w:rsidP="00F326E5">
      <w:pPr>
        <w:pStyle w:val="NoSpacing"/>
        <w:rPr>
          <w:rFonts w:ascii="Arial Black" w:hAnsi="Arial Black"/>
          <w:sz w:val="40"/>
          <w:szCs w:val="40"/>
        </w:rPr>
      </w:pPr>
    </w:p>
    <w:p w14:paraId="7A49A248" w14:textId="77777777" w:rsidR="007D737C" w:rsidRDefault="007D737C" w:rsidP="00F326E5">
      <w:pPr>
        <w:pStyle w:val="NoSpacing"/>
        <w:rPr>
          <w:rFonts w:ascii="Arial Black" w:hAnsi="Arial Black"/>
          <w:sz w:val="40"/>
          <w:szCs w:val="40"/>
        </w:rPr>
      </w:pPr>
    </w:p>
    <w:p w14:paraId="37B81F85" w14:textId="77777777" w:rsidR="007D737C" w:rsidRDefault="007D737C" w:rsidP="00F326E5">
      <w:pPr>
        <w:pStyle w:val="NoSpacing"/>
        <w:rPr>
          <w:rFonts w:ascii="Arial Black" w:hAnsi="Arial Black"/>
          <w:sz w:val="40"/>
          <w:szCs w:val="40"/>
        </w:rPr>
      </w:pPr>
    </w:p>
    <w:p w14:paraId="21026785" w14:textId="77777777" w:rsidR="007D737C" w:rsidRDefault="007D737C" w:rsidP="00F326E5">
      <w:pPr>
        <w:pStyle w:val="NoSpacing"/>
        <w:rPr>
          <w:rFonts w:ascii="Arial Black" w:hAnsi="Arial Black"/>
          <w:sz w:val="40"/>
          <w:szCs w:val="40"/>
        </w:rPr>
      </w:pPr>
    </w:p>
    <w:p w14:paraId="58E7CD43" w14:textId="77777777" w:rsidR="007D737C" w:rsidRDefault="007D737C" w:rsidP="00F326E5">
      <w:pPr>
        <w:pStyle w:val="NoSpacing"/>
        <w:rPr>
          <w:rFonts w:ascii="Arial Black" w:hAnsi="Arial Black"/>
          <w:sz w:val="40"/>
          <w:szCs w:val="40"/>
        </w:rPr>
      </w:pPr>
    </w:p>
    <w:p w14:paraId="3AF486A0" w14:textId="77777777" w:rsidR="007D737C" w:rsidRDefault="007D737C" w:rsidP="00F326E5">
      <w:pPr>
        <w:pStyle w:val="NoSpacing"/>
        <w:rPr>
          <w:rFonts w:ascii="Arial Black" w:hAnsi="Arial Black"/>
          <w:sz w:val="40"/>
          <w:szCs w:val="40"/>
        </w:rPr>
      </w:pPr>
    </w:p>
    <w:p w14:paraId="39D57225" w14:textId="77777777" w:rsidR="007D737C" w:rsidRDefault="007D737C" w:rsidP="00F326E5">
      <w:pPr>
        <w:pStyle w:val="NoSpacing"/>
        <w:rPr>
          <w:rFonts w:ascii="Arial Black" w:hAnsi="Arial Black"/>
          <w:sz w:val="40"/>
          <w:szCs w:val="40"/>
        </w:rPr>
      </w:pPr>
    </w:p>
    <w:p w14:paraId="36375DD5" w14:textId="77777777" w:rsidR="007D737C" w:rsidRDefault="007D737C" w:rsidP="00F326E5">
      <w:pPr>
        <w:pStyle w:val="NoSpacing"/>
        <w:rPr>
          <w:rFonts w:ascii="Arial Black" w:hAnsi="Arial Black"/>
          <w:sz w:val="40"/>
          <w:szCs w:val="40"/>
        </w:rPr>
      </w:pPr>
    </w:p>
    <w:p w14:paraId="708D307C" w14:textId="77777777" w:rsidR="007D737C" w:rsidRDefault="007D737C" w:rsidP="00F326E5">
      <w:pPr>
        <w:pStyle w:val="NoSpacing"/>
        <w:rPr>
          <w:rFonts w:ascii="Arial Black" w:hAnsi="Arial Black"/>
          <w:sz w:val="40"/>
          <w:szCs w:val="40"/>
        </w:rPr>
      </w:pPr>
    </w:p>
    <w:p w14:paraId="0CD66998" w14:textId="77777777" w:rsidR="007D737C" w:rsidRDefault="007D737C" w:rsidP="00F326E5">
      <w:pPr>
        <w:pStyle w:val="NoSpacing"/>
        <w:rPr>
          <w:rFonts w:ascii="Arial Black" w:hAnsi="Arial Black"/>
          <w:sz w:val="40"/>
          <w:szCs w:val="40"/>
        </w:rPr>
      </w:pPr>
    </w:p>
    <w:p w14:paraId="704F54FE" w14:textId="77777777" w:rsidR="007D737C" w:rsidRDefault="007D737C" w:rsidP="00F326E5">
      <w:pPr>
        <w:pStyle w:val="NoSpacing"/>
        <w:rPr>
          <w:rFonts w:ascii="Arial Black" w:hAnsi="Arial Black"/>
          <w:sz w:val="40"/>
          <w:szCs w:val="40"/>
        </w:rPr>
      </w:pPr>
    </w:p>
    <w:p w14:paraId="786ACB54" w14:textId="77777777" w:rsidR="007D737C" w:rsidRDefault="007D737C" w:rsidP="00F326E5">
      <w:pPr>
        <w:pStyle w:val="NoSpacing"/>
        <w:rPr>
          <w:rFonts w:ascii="Arial Black" w:hAnsi="Arial Black"/>
          <w:sz w:val="40"/>
          <w:szCs w:val="40"/>
        </w:rPr>
      </w:pPr>
    </w:p>
    <w:p w14:paraId="171A34E8" w14:textId="77777777" w:rsidR="007D737C" w:rsidRDefault="007D737C" w:rsidP="00F326E5">
      <w:pPr>
        <w:pStyle w:val="NoSpacing"/>
        <w:rPr>
          <w:rFonts w:ascii="Arial Black" w:hAnsi="Arial Black"/>
          <w:sz w:val="40"/>
          <w:szCs w:val="40"/>
        </w:rPr>
      </w:pPr>
    </w:p>
    <w:p w14:paraId="53786010" w14:textId="77777777" w:rsidR="007D737C" w:rsidRDefault="007D737C" w:rsidP="00F326E5">
      <w:pPr>
        <w:pStyle w:val="NoSpacing"/>
        <w:rPr>
          <w:rFonts w:ascii="Arial Black" w:hAnsi="Arial Black"/>
          <w:sz w:val="40"/>
          <w:szCs w:val="40"/>
        </w:rPr>
      </w:pPr>
    </w:p>
    <w:p w14:paraId="3EA0567B" w14:textId="77777777" w:rsidR="007D737C" w:rsidRDefault="007D737C" w:rsidP="00F326E5">
      <w:pPr>
        <w:pStyle w:val="NoSpacing"/>
        <w:rPr>
          <w:rFonts w:ascii="Arial Black" w:hAnsi="Arial Black"/>
          <w:sz w:val="40"/>
          <w:szCs w:val="40"/>
        </w:rPr>
      </w:pPr>
    </w:p>
    <w:p w14:paraId="51B49BA6" w14:textId="77777777" w:rsidR="007D737C" w:rsidRDefault="007D737C" w:rsidP="00F326E5">
      <w:pPr>
        <w:pStyle w:val="NoSpacing"/>
        <w:rPr>
          <w:rFonts w:ascii="Arial Black" w:hAnsi="Arial Black"/>
          <w:sz w:val="40"/>
          <w:szCs w:val="40"/>
        </w:rPr>
      </w:pPr>
    </w:p>
    <w:p w14:paraId="365462F2" w14:textId="77777777" w:rsidR="007D737C" w:rsidRDefault="007D737C" w:rsidP="00F326E5">
      <w:pPr>
        <w:pStyle w:val="NoSpacing"/>
        <w:rPr>
          <w:rFonts w:ascii="Arial Black" w:hAnsi="Arial Black"/>
          <w:sz w:val="40"/>
          <w:szCs w:val="40"/>
        </w:rPr>
      </w:pPr>
    </w:p>
    <w:p w14:paraId="597CD230" w14:textId="77777777" w:rsidR="007D737C" w:rsidRDefault="007D737C" w:rsidP="00F326E5">
      <w:pPr>
        <w:pStyle w:val="NoSpacing"/>
        <w:rPr>
          <w:rFonts w:ascii="Arial Black" w:hAnsi="Arial Black"/>
          <w:sz w:val="40"/>
          <w:szCs w:val="40"/>
        </w:rPr>
      </w:pPr>
    </w:p>
    <w:p w14:paraId="05FA94B7" w14:textId="77777777" w:rsidR="007D737C" w:rsidRDefault="007D737C" w:rsidP="00F326E5">
      <w:pPr>
        <w:pStyle w:val="NoSpacing"/>
        <w:rPr>
          <w:rFonts w:ascii="Arial Black" w:hAnsi="Arial Black"/>
          <w:sz w:val="40"/>
          <w:szCs w:val="40"/>
        </w:rPr>
      </w:pPr>
    </w:p>
    <w:p w14:paraId="0BD28BB8" w14:textId="2FBE1B58" w:rsidR="00F326E5" w:rsidRDefault="00F326E5" w:rsidP="00F326E5">
      <w:pPr>
        <w:pStyle w:val="NoSpacing"/>
        <w:rPr>
          <w:rFonts w:ascii="Arial Black" w:hAnsi="Arial Black"/>
          <w:sz w:val="40"/>
          <w:szCs w:val="40"/>
        </w:rPr>
      </w:pPr>
      <w:r w:rsidRPr="007732FA">
        <w:rPr>
          <w:rFonts w:ascii="Arial Black" w:hAnsi="Arial Black"/>
          <w:sz w:val="40"/>
          <w:szCs w:val="40"/>
        </w:rPr>
        <w:lastRenderedPageBreak/>
        <w:t>Chap. 17</w:t>
      </w:r>
      <w:r w:rsidRPr="007732FA">
        <w:rPr>
          <w:rFonts w:ascii="Arial Black" w:hAnsi="Arial Black"/>
          <w:sz w:val="40"/>
          <w:szCs w:val="40"/>
        </w:rPr>
        <w:tab/>
        <w:t>Arbitration</w:t>
      </w:r>
      <w:r w:rsidR="005E16F7">
        <w:rPr>
          <w:rFonts w:ascii="Arial Black" w:hAnsi="Arial Black"/>
          <w:sz w:val="40"/>
          <w:szCs w:val="40"/>
        </w:rPr>
        <w:t>,</w:t>
      </w:r>
      <w:r w:rsidR="00EF7B5C">
        <w:rPr>
          <w:rFonts w:ascii="Arial Black" w:hAnsi="Arial Black"/>
          <w:sz w:val="40"/>
          <w:szCs w:val="40"/>
        </w:rPr>
        <w:t xml:space="preserve"> </w:t>
      </w:r>
      <w:r w:rsidRPr="007732FA">
        <w:rPr>
          <w:rFonts w:ascii="Arial Black" w:hAnsi="Arial Black"/>
          <w:sz w:val="40"/>
          <w:szCs w:val="40"/>
        </w:rPr>
        <w:t>Mediation</w:t>
      </w:r>
      <w:r w:rsidR="005E16F7">
        <w:rPr>
          <w:rFonts w:ascii="Arial Black" w:hAnsi="Arial Black"/>
          <w:sz w:val="40"/>
          <w:szCs w:val="40"/>
        </w:rPr>
        <w:t>, including Labor Relations</w:t>
      </w:r>
    </w:p>
    <w:p w14:paraId="2746B8E2" w14:textId="77777777" w:rsidR="00F326E5" w:rsidRDefault="00F326E5" w:rsidP="00F326E5">
      <w:pPr>
        <w:pStyle w:val="NoSpacing"/>
        <w:rPr>
          <w:sz w:val="24"/>
          <w:szCs w:val="24"/>
        </w:rPr>
      </w:pPr>
    </w:p>
    <w:p w14:paraId="25D59F3D" w14:textId="45C9C494" w:rsidR="008853F3" w:rsidRDefault="008853F3" w:rsidP="00C049AD">
      <w:pPr>
        <w:pStyle w:val="NoSpacing"/>
        <w:rPr>
          <w:rFonts w:ascii="Arial Black" w:hAnsi="Arial Black"/>
          <w:sz w:val="28"/>
          <w:szCs w:val="28"/>
        </w:rPr>
      </w:pPr>
      <w:r>
        <w:rPr>
          <w:rFonts w:ascii="Arial Black" w:hAnsi="Arial Black"/>
          <w:b/>
          <w:sz w:val="28"/>
          <w:szCs w:val="28"/>
        </w:rPr>
        <w:t>17-65</w:t>
      </w:r>
    </w:p>
    <w:p w14:paraId="40CCBAD4" w14:textId="77777777" w:rsidR="008853F3" w:rsidRDefault="008853F3" w:rsidP="00C049AD">
      <w:pPr>
        <w:pStyle w:val="NoSpacing"/>
        <w:rPr>
          <w:rFonts w:ascii="Arial Black" w:hAnsi="Arial Black"/>
          <w:sz w:val="28"/>
          <w:szCs w:val="28"/>
        </w:rPr>
      </w:pPr>
    </w:p>
    <w:p w14:paraId="6BF01943" w14:textId="0F4AB9F6" w:rsidR="00C049AD" w:rsidRPr="004A4CDD" w:rsidRDefault="00C049AD" w:rsidP="00C049AD">
      <w:pPr>
        <w:pStyle w:val="NoSpacing"/>
        <w:rPr>
          <w:rFonts w:ascii="Arial Black" w:hAnsi="Arial Black"/>
          <w:sz w:val="28"/>
          <w:szCs w:val="28"/>
        </w:rPr>
      </w:pPr>
      <w:r>
        <w:rPr>
          <w:rFonts w:ascii="Arial Black" w:hAnsi="Arial Black"/>
          <w:sz w:val="28"/>
          <w:szCs w:val="28"/>
        </w:rPr>
        <w:t>OR: LEAD MEDIC FIRED – NO UNION CONSPIR WITH CEO</w:t>
      </w:r>
    </w:p>
    <w:p w14:paraId="75061739" w14:textId="77777777" w:rsidR="00C049AD" w:rsidRDefault="00C049AD" w:rsidP="00C049AD">
      <w:pPr>
        <w:pStyle w:val="NoSpacing"/>
      </w:pPr>
    </w:p>
    <w:p w14:paraId="05B5D787" w14:textId="77777777" w:rsidR="00C049AD" w:rsidRDefault="00C049AD" w:rsidP="00C049AD">
      <w:pPr>
        <w:pStyle w:val="NoSpacing"/>
      </w:pPr>
      <w:r>
        <w:t xml:space="preserve">On August 26, 2026, in </w:t>
      </w:r>
      <w:r w:rsidRPr="00822E80">
        <w:rPr>
          <w:u w:val="single"/>
        </w:rPr>
        <w:t>Samantha Ward v. Morrow County Health District, a local government body, Emily Roberts, and Oregon AFSCME Council 75, a nonprofit entity</w:t>
      </w:r>
      <w:r>
        <w:t xml:space="preserve">, U.S. Magistrate Judge Andew Hallman, United States District Court of </w:t>
      </w:r>
      <w:r w:rsidRPr="0043267D">
        <w:t>Oregon, Pendleton Division</w:t>
      </w:r>
      <w:r>
        <w:t xml:space="preserve">, granted the motion of AFSCME to be dismissed from the lawsuit; there is no proof that Emily Roberts, CEO of the Health District fired the plaintiff in a conspiracy with the union.  The plaintiff was hired as Lead Paramedic for the </w:t>
      </w:r>
      <w:proofErr w:type="spellStart"/>
      <w:r w:rsidRPr="00842161">
        <w:t>Irrigon</w:t>
      </w:r>
      <w:proofErr w:type="spellEnd"/>
      <w:r w:rsidRPr="00842161">
        <w:t>, Oregon station</w:t>
      </w:r>
      <w:r>
        <w:t xml:space="preserve"> on </w:t>
      </w:r>
      <w:r w:rsidRPr="00997CFC">
        <w:t>March 18, 2024</w:t>
      </w:r>
      <w:r>
        <w:t>; d</w:t>
      </w:r>
      <w:r w:rsidRPr="00997CFC">
        <w:t>iscussions regarding paramedics unionizing were ongoing and involved consideration of alternative union representation, including the International Association of Fire Fighters (“IAFF”), of which Plaintiff was a member</w:t>
      </w:r>
      <w:r>
        <w:t xml:space="preserve">, and </w:t>
      </w:r>
      <w:r w:rsidRPr="00C87800">
        <w:t>AFSCME</w:t>
      </w:r>
      <w:r>
        <w:t xml:space="preserve">.  In December 2024, </w:t>
      </w:r>
      <w:r w:rsidRPr="00955340">
        <w:t xml:space="preserve">Plaintiff attended a meeting in which </w:t>
      </w:r>
      <w:r>
        <w:t xml:space="preserve">CEO </w:t>
      </w:r>
      <w:r w:rsidRPr="00955340">
        <w:t>Emily Reynolds</w:t>
      </w:r>
      <w:r>
        <w:t xml:space="preserve"> </w:t>
      </w:r>
      <w:r w:rsidRPr="00955340">
        <w:t>indicated that AFSCME intended to incorporate</w:t>
      </w:r>
      <w:r>
        <w:t xml:space="preserve"> </w:t>
      </w:r>
      <w:r w:rsidRPr="00955340">
        <w:t xml:space="preserve">paramedics into AFSCME's existing union contract with MCHD and that MCHD did not plan to oppose the incorporation. </w:t>
      </w:r>
      <w:r>
        <w:rPr>
          <w:i/>
          <w:iCs/>
        </w:rPr>
        <w:t>“</w:t>
      </w:r>
      <w:r w:rsidRPr="00955340">
        <w:t>Reynolds advised Plaintiff not to express a preference for which union to join based on Plaintiff's paramedic lead position.</w:t>
      </w:r>
      <w:r>
        <w:t xml:space="preserve">”  </w:t>
      </w:r>
      <w:r w:rsidRPr="007D79F4">
        <w:t> On January 29, 2025, MCHD terminated Plaintiff at Reynolds' direction</w:t>
      </w:r>
      <w:r>
        <w:t xml:space="preserve">; encouraging medics to join IAFF. </w:t>
      </w:r>
      <w:hyperlink r:id="rId2841" w:history="1">
        <w:r w:rsidRPr="006B31A3">
          <w:rPr>
            <w:rStyle w:val="Hyperlink"/>
          </w:rPr>
          <w:t>https://public.fastcase.com/Jhe1Qn%2BmJndQYQU6z%2FeNmzw1MjNfE42lsGXHo5QuLwzGO9v5LOxlzP%2Bh0pvh6sGa84MuJU1YBVqK1ekaBZuy%2F7iVYOwp0Zv%2FyO%2BM%2FzbRTYc%3D?utm_medium=email&amp;_hsenc=p2ANqtz-8yXGd80l_LUWaAnsmB3JMO2ESWYuMTqNd3smnS9LzfREYFdHkYx-1YqdQDmvXovN_D03neIMXoYWANJifdITEhWzlhbw&amp;_hsmi=226712652&amp;utm_content=226712652&amp;utm_source=hs_email</w:t>
        </w:r>
      </w:hyperlink>
      <w:r>
        <w:t xml:space="preserve"> </w:t>
      </w:r>
    </w:p>
    <w:p w14:paraId="2C1A0639" w14:textId="77777777" w:rsidR="00C049AD" w:rsidRDefault="00C049AD" w:rsidP="00C049AD">
      <w:pPr>
        <w:pStyle w:val="NoSpacing"/>
      </w:pPr>
    </w:p>
    <w:p w14:paraId="7D6D8AAD" w14:textId="77777777" w:rsidR="00C049AD" w:rsidRDefault="00C049AD" w:rsidP="00C049AD">
      <w:pPr>
        <w:pStyle w:val="NoSpacing"/>
      </w:pPr>
      <w:r>
        <w:t>THE COURT WROTE:</w:t>
      </w:r>
    </w:p>
    <w:p w14:paraId="6E6E041C" w14:textId="77777777" w:rsidR="00C049AD" w:rsidRDefault="00C049AD" w:rsidP="00C049AD">
      <w:pPr>
        <w:pStyle w:val="NoSpacing"/>
      </w:pPr>
    </w:p>
    <w:p w14:paraId="0DA08A5B" w14:textId="77777777" w:rsidR="00C049AD" w:rsidRDefault="00C049AD" w:rsidP="00C049AD">
      <w:pPr>
        <w:pStyle w:val="NoSpacing"/>
        <w:ind w:left="720"/>
      </w:pPr>
      <w:r>
        <w:t>“</w:t>
      </w:r>
      <w:r w:rsidRPr="00814FBF">
        <w:t>At some point between January 24 and January 29, 2025, Wolford Davis spoke with Reynolds about MCHD's paramedics not yet voting to join AFSCME and expressed that Plaintiff was resistant to joining AFSCME, preferring IAFF</w:t>
      </w:r>
      <w:r>
        <w:t xml:space="preserve">…. </w:t>
      </w:r>
      <w:r w:rsidRPr="00814FBF">
        <w:t>In a memorandum dated January 30, 2025, Reynolds recounted Wolford Davis sharing with her that MCHD employees had reported that Plaintiff continued engaging staff in dialogue regarding AFSCME, discouraged staff from paying dues, encouraged paramedics to not consider joining AFSCME, and made defamatory comments about Wolford Davis personally</w:t>
      </w:r>
      <w:r>
        <w:t xml:space="preserve">…. </w:t>
      </w:r>
      <w:r w:rsidRPr="00814FBF">
        <w:t>. Reynolds recounted Wolford Davis explaining that AFSCME considered Plaintiff's behavior unfair labor practices due to her paramedic lead position and that staff reported fearing Plaintiff</w:t>
      </w:r>
      <w:r>
        <w:t xml:space="preserve">…. </w:t>
      </w:r>
      <w:r w:rsidRPr="001C25B4">
        <w:t xml:space="preserve">Plaintiff's allegations do not show that AFSCME approved either Reynen's or Wolford </w:t>
      </w:r>
      <w:proofErr w:type="spellStart"/>
      <w:r w:rsidRPr="001C25B4">
        <w:t>Davis'</w:t>
      </w:r>
      <w:proofErr w:type="spellEnd"/>
      <w:r w:rsidRPr="001C25B4">
        <w:t xml:space="preserve"> conduct. The allegations do not offer evidence of a conscious affirmative choice on AFSCME's part. Rather, the allegations show</w:t>
      </w:r>
      <w:r>
        <w:t xml:space="preserve"> </w:t>
      </w:r>
      <w:r w:rsidRPr="008268A0">
        <w:t xml:space="preserve">merely a failure to overrule Reynen's and Wolford </w:t>
      </w:r>
      <w:proofErr w:type="spellStart"/>
      <w:r w:rsidRPr="008268A0">
        <w:t>Davis'</w:t>
      </w:r>
      <w:proofErr w:type="spellEnd"/>
      <w:r w:rsidRPr="008268A0">
        <w:t xml:space="preserve"> discretionary acts, which is not enough for </w:t>
      </w:r>
      <w:r w:rsidRPr="008268A0">
        <w:rPr>
          <w:i/>
          <w:iCs/>
        </w:rPr>
        <w:t>Monell</w:t>
      </w:r>
      <w:r w:rsidRPr="008268A0">
        <w:t xml:space="preserve"> liability to inure to AFSCME through a ratification theory.</w:t>
      </w:r>
      <w:r>
        <w:t>”</w:t>
      </w:r>
    </w:p>
    <w:p w14:paraId="62E872FD" w14:textId="77777777" w:rsidR="00C049AD" w:rsidRDefault="00C049AD" w:rsidP="00C049AD">
      <w:pPr>
        <w:pStyle w:val="NoSpacing"/>
        <w:ind w:left="720"/>
      </w:pPr>
    </w:p>
    <w:p w14:paraId="0A903B04" w14:textId="77777777" w:rsidR="00C049AD" w:rsidRDefault="00C049AD" w:rsidP="00C049AD">
      <w:pPr>
        <w:pStyle w:val="NoSpacing"/>
        <w:rPr>
          <w:b/>
          <w:bCs/>
        </w:rPr>
      </w:pPr>
      <w:r>
        <w:rPr>
          <w:b/>
        </w:rPr>
        <w:t xml:space="preserve">Legal lesson learned:  </w:t>
      </w:r>
      <w:r w:rsidRPr="008268A0">
        <w:rPr>
          <w:b/>
        </w:rPr>
        <w:t xml:space="preserve">Lead paramedic violated CEOs specific instructions not to express a preference for which union to join. </w:t>
      </w:r>
    </w:p>
    <w:p w14:paraId="5A34B988" w14:textId="77777777" w:rsidR="00C049AD" w:rsidRDefault="00C049AD" w:rsidP="00C049AD">
      <w:pPr>
        <w:pStyle w:val="NoSpacing"/>
        <w:rPr>
          <w:b/>
          <w:bCs/>
        </w:rPr>
      </w:pPr>
    </w:p>
    <w:p w14:paraId="0ECC933C" w14:textId="77777777" w:rsidR="00C049AD" w:rsidRDefault="00C049AD" w:rsidP="00945BA7">
      <w:pPr>
        <w:pStyle w:val="NoSpacing"/>
        <w:rPr>
          <w:rFonts w:ascii="Arial Black" w:hAnsi="Arial Black"/>
          <w:b/>
          <w:sz w:val="28"/>
          <w:szCs w:val="28"/>
        </w:rPr>
      </w:pPr>
    </w:p>
    <w:p w14:paraId="00E32A65" w14:textId="77777777" w:rsidR="00C049AD" w:rsidRDefault="00C049AD" w:rsidP="00945BA7">
      <w:pPr>
        <w:pStyle w:val="NoSpacing"/>
        <w:rPr>
          <w:rFonts w:ascii="Arial Black" w:hAnsi="Arial Black"/>
          <w:b/>
          <w:sz w:val="28"/>
          <w:szCs w:val="28"/>
        </w:rPr>
      </w:pPr>
    </w:p>
    <w:p w14:paraId="5520F1FB" w14:textId="77777777" w:rsidR="00C049AD" w:rsidRDefault="00C049AD" w:rsidP="00945BA7">
      <w:pPr>
        <w:pStyle w:val="NoSpacing"/>
        <w:rPr>
          <w:rFonts w:ascii="Arial Black" w:hAnsi="Arial Black"/>
          <w:b/>
          <w:sz w:val="28"/>
          <w:szCs w:val="28"/>
        </w:rPr>
      </w:pPr>
    </w:p>
    <w:p w14:paraId="4E41E78A" w14:textId="25DE1D90" w:rsidR="00945BA7" w:rsidRDefault="00945BA7" w:rsidP="00945BA7">
      <w:pPr>
        <w:pStyle w:val="NoSpacing"/>
        <w:rPr>
          <w:rFonts w:ascii="Arial Black" w:hAnsi="Arial Black"/>
          <w:b/>
          <w:sz w:val="28"/>
          <w:szCs w:val="28"/>
        </w:rPr>
      </w:pPr>
      <w:r>
        <w:rPr>
          <w:rFonts w:ascii="Arial Black" w:hAnsi="Arial Black"/>
          <w:b/>
          <w:sz w:val="28"/>
          <w:szCs w:val="28"/>
        </w:rPr>
        <w:t>17-64</w:t>
      </w:r>
    </w:p>
    <w:p w14:paraId="63C1BFF8" w14:textId="77777777" w:rsidR="00945BA7" w:rsidRDefault="00945BA7" w:rsidP="00945BA7">
      <w:pPr>
        <w:pStyle w:val="NoSpacing"/>
        <w:rPr>
          <w:rFonts w:ascii="Arial Black" w:hAnsi="Arial Black"/>
          <w:b/>
          <w:sz w:val="28"/>
          <w:szCs w:val="28"/>
        </w:rPr>
      </w:pPr>
    </w:p>
    <w:p w14:paraId="52FCFC53" w14:textId="515C7A04" w:rsidR="00945BA7" w:rsidRDefault="00945BA7" w:rsidP="00945BA7">
      <w:pPr>
        <w:pStyle w:val="NoSpacing"/>
        <w:rPr>
          <w:rFonts w:ascii="Arial Black" w:hAnsi="Arial Black"/>
          <w:b/>
          <w:sz w:val="28"/>
          <w:szCs w:val="28"/>
        </w:rPr>
      </w:pPr>
      <w:r>
        <w:rPr>
          <w:rFonts w:ascii="Arial Black" w:hAnsi="Arial Black"/>
          <w:b/>
          <w:sz w:val="28"/>
          <w:szCs w:val="28"/>
        </w:rPr>
        <w:t xml:space="preserve">LA: UNION FF OFF CIVIL SER BOARD – ETHICS CASE MOOT </w:t>
      </w:r>
    </w:p>
    <w:p w14:paraId="4E68DEC2" w14:textId="77777777" w:rsidR="00945BA7" w:rsidRDefault="00945BA7" w:rsidP="00945BA7">
      <w:pPr>
        <w:pStyle w:val="NoSpacing"/>
        <w:rPr>
          <w:bCs/>
        </w:rPr>
      </w:pPr>
    </w:p>
    <w:p w14:paraId="283693D1" w14:textId="77777777" w:rsidR="00945BA7" w:rsidRDefault="00945BA7" w:rsidP="00945BA7">
      <w:pPr>
        <w:pStyle w:val="NoSpacing"/>
        <w:rPr>
          <w:b/>
        </w:rPr>
      </w:pPr>
      <w:r>
        <w:t xml:space="preserve">On July 17, 2026, in </w:t>
      </w:r>
      <w:r w:rsidRPr="0068190C">
        <w:rPr>
          <w:u w:val="single"/>
        </w:rPr>
        <w:t xml:space="preserve">Local 1374, Jefferson Parish Firefighters Association v. </w:t>
      </w:r>
      <w:proofErr w:type="spellStart"/>
      <w:r w:rsidRPr="0068190C">
        <w:rPr>
          <w:u w:val="single"/>
        </w:rPr>
        <w:t>LaKoshia</w:t>
      </w:r>
      <w:proofErr w:type="spellEnd"/>
      <w:r w:rsidRPr="0068190C">
        <w:rPr>
          <w:u w:val="single"/>
        </w:rPr>
        <w:t xml:space="preserve"> R. Roberts, in her official capacity as Chairwoman of the Louisiana Board of Ethics, et al</w:t>
      </w:r>
      <w:r>
        <w:t xml:space="preserve">., the United States Court of Appeals for Fifth Circuit (New Orleans) held (3 to 0) that since Fire Captain / IAFF VP has resigned from Jefferson Parish Civil Service Board, the state’s Board of Ethics ruling prohibiting union from hiring lawyers to represent union members appealing discipline before the Board while their VP is on the Board is a moot issue. </w:t>
      </w:r>
      <w:hyperlink r:id="rId2842" w:history="1">
        <w:r w:rsidRPr="0068671B">
          <w:rPr>
            <w:rStyle w:val="Hyperlink"/>
            <w:b/>
          </w:rPr>
          <w:t>https://cases.justia.com/federal/appellate-courts/ca5/25-30305/25-30305-2026-07-17.pdf?ts=1784331031</w:t>
        </w:r>
      </w:hyperlink>
      <w:r>
        <w:rPr>
          <w:b/>
        </w:rPr>
        <w:t xml:space="preserve"> </w:t>
      </w:r>
    </w:p>
    <w:p w14:paraId="50D17C83" w14:textId="77777777" w:rsidR="00945BA7" w:rsidRDefault="00945BA7" w:rsidP="00945BA7">
      <w:pPr>
        <w:pStyle w:val="NoSpacing"/>
        <w:rPr>
          <w:bCs/>
        </w:rPr>
      </w:pPr>
      <w:r>
        <w:t xml:space="preserve"> </w:t>
      </w:r>
    </w:p>
    <w:p w14:paraId="0FA2814A" w14:textId="77777777" w:rsidR="00945BA7" w:rsidRDefault="00945BA7" w:rsidP="00945BA7">
      <w:pPr>
        <w:pStyle w:val="NoSpacing"/>
        <w:rPr>
          <w:bCs/>
        </w:rPr>
      </w:pPr>
    </w:p>
    <w:p w14:paraId="6846A33C" w14:textId="77777777" w:rsidR="00945BA7" w:rsidRDefault="00945BA7" w:rsidP="00945BA7">
      <w:pPr>
        <w:pStyle w:val="NoSpacing"/>
      </w:pPr>
      <w:r>
        <w:t>THE COURT WROTE:  “</w:t>
      </w:r>
      <w:r w:rsidRPr="00996DD0">
        <w:t>Craig Burkett, a fire captain, was on the Jefferson Parish Fire Civil</w:t>
      </w:r>
      <w:r>
        <w:t xml:space="preserve"> </w:t>
      </w:r>
      <w:r w:rsidRPr="00996DD0">
        <w:t>Service Board (</w:t>
      </w:r>
      <w:r>
        <w:t>‘</w:t>
      </w:r>
      <w:r w:rsidRPr="00996DD0">
        <w:t>CSB</w:t>
      </w:r>
      <w:r>
        <w:t>’</w:t>
      </w:r>
      <w:r w:rsidRPr="00996DD0">
        <w:t>) and served as the Vice President of the Jefferson</w:t>
      </w:r>
      <w:r>
        <w:t xml:space="preserve"> </w:t>
      </w:r>
      <w:r w:rsidRPr="00996DD0">
        <w:t>Parish Firefighters Association, Local 1374 (</w:t>
      </w:r>
      <w:r>
        <w:t>‘</w:t>
      </w:r>
      <w:r w:rsidRPr="00996DD0">
        <w:t>the Union</w:t>
      </w:r>
      <w:r>
        <w:t>’</w:t>
      </w:r>
      <w:r w:rsidRPr="00996DD0">
        <w:t>), a union representing Burkett’s fire department. Before Burkett’s election to the CSB, the</w:t>
      </w:r>
      <w:r>
        <w:t xml:space="preserve"> </w:t>
      </w:r>
      <w:r w:rsidRPr="00996DD0">
        <w:t>Union would pay to retain legal counsel for Union members appearing before</w:t>
      </w:r>
      <w:r>
        <w:t xml:space="preserve"> </w:t>
      </w:r>
      <w:r w:rsidRPr="00996DD0">
        <w:t>the CSB. The Union stopped paying for legal counsel in 2018 because the</w:t>
      </w:r>
      <w:r>
        <w:t xml:space="preserve"> </w:t>
      </w:r>
      <w:r w:rsidRPr="00996DD0">
        <w:t>Louisiana Board of Ethics issued an advisory opinion stating that such an</w:t>
      </w:r>
      <w:r>
        <w:t xml:space="preserve"> </w:t>
      </w:r>
      <w:r w:rsidRPr="00996DD0">
        <w:t>arrangement violated state law so long as Burkett served on the CSB</w:t>
      </w:r>
      <w:r>
        <w:t>…. T</w:t>
      </w:r>
      <w:r w:rsidRPr="006307DD">
        <w:t>he Union appealed to the Louisiana First Circuit Court of Appeal, asserting that the declaratory opinion misinterpreted</w:t>
      </w:r>
      <w:r>
        <w:t xml:space="preserve"> </w:t>
      </w:r>
      <w:r w:rsidRPr="006307DD">
        <w:t>the relevant provision of Louisiana law; the Union then sued in federal court,</w:t>
      </w:r>
      <w:r>
        <w:t xml:space="preserve"> </w:t>
      </w:r>
      <w:r w:rsidRPr="006307DD">
        <w:t>asserting that the declaratory opinion violated its First Amendment rights</w:t>
      </w:r>
      <w:r>
        <w:t xml:space="preserve">. </w:t>
      </w:r>
      <w:r w:rsidRPr="00996DD0">
        <w:t>The district court granted the Union a preliminary injunction on First</w:t>
      </w:r>
      <w:r>
        <w:t xml:space="preserve"> </w:t>
      </w:r>
      <w:r w:rsidRPr="00996DD0">
        <w:t>Amendment grounds</w:t>
      </w:r>
      <w:r>
        <w:t xml:space="preserve"> … </w:t>
      </w:r>
      <w:r w:rsidRPr="00996DD0">
        <w:t>The state appealed, claiming that the district court</w:t>
      </w:r>
      <w:r>
        <w:t xml:space="preserve"> </w:t>
      </w:r>
      <w:r w:rsidRPr="00996DD0">
        <w:t>erred in failing to abstain and that the court abused its discretion in granting</w:t>
      </w:r>
      <w:r>
        <w:t xml:space="preserve"> </w:t>
      </w:r>
      <w:r w:rsidRPr="00996DD0">
        <w:t>the preliminary injunction</w:t>
      </w:r>
      <w:r>
        <w:t xml:space="preserve">…. </w:t>
      </w:r>
      <w:r w:rsidRPr="008A1FCD">
        <w:t>On the eve of oral argument, this court was informed that Burkett had</w:t>
      </w:r>
      <w:r>
        <w:t xml:space="preserve"> </w:t>
      </w:r>
      <w:r w:rsidRPr="008A1FCD">
        <w:t>resigned from the CSB. That factual development moots the appeal and the</w:t>
      </w:r>
      <w:r>
        <w:t xml:space="preserve"> </w:t>
      </w:r>
      <w:r w:rsidRPr="008A1FCD">
        <w:t xml:space="preserve">entire case. </w:t>
      </w:r>
    </w:p>
    <w:p w14:paraId="78F12D34" w14:textId="77777777" w:rsidR="00945BA7" w:rsidRDefault="00945BA7" w:rsidP="00945BA7">
      <w:pPr>
        <w:pStyle w:val="NoSpacing"/>
      </w:pPr>
    </w:p>
    <w:p w14:paraId="5760201F" w14:textId="77777777" w:rsidR="00945BA7" w:rsidRDefault="00945BA7" w:rsidP="00945BA7">
      <w:pPr>
        <w:pStyle w:val="NoSpacing"/>
      </w:pPr>
      <w:r>
        <w:t>***</w:t>
      </w:r>
    </w:p>
    <w:p w14:paraId="1DBD2566" w14:textId="77777777" w:rsidR="00945BA7" w:rsidRDefault="00945BA7" w:rsidP="00945BA7">
      <w:pPr>
        <w:pStyle w:val="NoSpacing"/>
      </w:pPr>
    </w:p>
    <w:p w14:paraId="7C506F40" w14:textId="77777777" w:rsidR="00945BA7" w:rsidRDefault="00945BA7" w:rsidP="00945BA7">
      <w:pPr>
        <w:pStyle w:val="NoSpacing"/>
      </w:pPr>
      <w:r w:rsidRPr="008A1FCD">
        <w:t>We vacate the injunction and remand to the district court to dismiss for want of jurisdiction</w:t>
      </w:r>
      <w:r>
        <w:t>….At a minimum, there is no reasonable expectation that the Union will be subjected to the same action again. There is no evidence in the record that an officer of the Union ever held office on the CSB before Burkett, and there has been no indication that an officer of the Union intends to serve on the CSB again. On these facts, all that the Union has shown is a theoretical possibility that it will be subject to the same governmental action.”</w:t>
      </w:r>
    </w:p>
    <w:p w14:paraId="34C8E91B" w14:textId="77777777" w:rsidR="00945BA7" w:rsidRDefault="00945BA7" w:rsidP="00945BA7">
      <w:pPr>
        <w:pStyle w:val="NoSpacing"/>
        <w:rPr>
          <w:b/>
        </w:rPr>
      </w:pPr>
    </w:p>
    <w:p w14:paraId="1AA37838" w14:textId="77777777" w:rsidR="00945BA7" w:rsidRPr="00E16F2F" w:rsidRDefault="00945BA7" w:rsidP="00945BA7">
      <w:pPr>
        <w:pStyle w:val="NoSpacing"/>
        <w:rPr>
          <w:b/>
          <w:bCs/>
        </w:rPr>
      </w:pPr>
      <w:r>
        <w:rPr>
          <w:b/>
        </w:rPr>
        <w:t xml:space="preserve">Legal lesson learned: Union VPs election to Civil Service Board that hears disciplinary appeals raises ethics issues. </w:t>
      </w:r>
    </w:p>
    <w:p w14:paraId="0C47B3CB" w14:textId="77777777" w:rsidR="00945BA7" w:rsidRDefault="00945BA7" w:rsidP="00945BA7">
      <w:pPr>
        <w:pStyle w:val="NoSpacing"/>
      </w:pPr>
    </w:p>
    <w:p w14:paraId="35C9361C" w14:textId="77777777" w:rsidR="00945BA7" w:rsidRPr="008A1FCD" w:rsidRDefault="00945BA7" w:rsidP="00945BA7">
      <w:pPr>
        <w:pStyle w:val="NoSpacing"/>
      </w:pPr>
    </w:p>
    <w:p w14:paraId="032D8EF7" w14:textId="77777777" w:rsidR="00945BA7" w:rsidRDefault="00945BA7" w:rsidP="00945BA7">
      <w:pPr>
        <w:pStyle w:val="NoSpacing"/>
        <w:rPr>
          <w:b/>
        </w:rPr>
      </w:pPr>
    </w:p>
    <w:p w14:paraId="05D25574" w14:textId="77777777" w:rsidR="00945BA7" w:rsidRDefault="00945BA7" w:rsidP="00945BA7">
      <w:pPr>
        <w:pStyle w:val="NoSpacing"/>
        <w:rPr>
          <w:b/>
        </w:rPr>
      </w:pPr>
    </w:p>
    <w:p w14:paraId="30BFE374" w14:textId="5ACDF16E" w:rsidR="00945BA7" w:rsidRPr="00945BA7" w:rsidRDefault="00945BA7" w:rsidP="00945BA7">
      <w:pPr>
        <w:pStyle w:val="NoSpacing"/>
        <w:rPr>
          <w:rFonts w:ascii="Arial Black" w:hAnsi="Arial Black"/>
          <w:sz w:val="24"/>
          <w:szCs w:val="24"/>
        </w:rPr>
      </w:pPr>
      <w:r w:rsidRPr="00945BA7">
        <w:rPr>
          <w:rFonts w:ascii="Arial Black" w:hAnsi="Arial Black"/>
          <w:sz w:val="24"/>
          <w:szCs w:val="24"/>
        </w:rPr>
        <w:t>17-64</w:t>
      </w:r>
    </w:p>
    <w:p w14:paraId="798B908A" w14:textId="77777777" w:rsidR="00945BA7" w:rsidRDefault="00945BA7" w:rsidP="00945BA7">
      <w:pPr>
        <w:pStyle w:val="NoSpacing"/>
      </w:pPr>
    </w:p>
    <w:p w14:paraId="4C85B860" w14:textId="77777777" w:rsidR="00945BA7" w:rsidRPr="00E37B00" w:rsidRDefault="00945BA7" w:rsidP="00945BA7">
      <w:pPr>
        <w:pStyle w:val="NoSpacing"/>
        <w:rPr>
          <w:rFonts w:ascii="Arial Black" w:hAnsi="Arial Black"/>
          <w:sz w:val="28"/>
          <w:szCs w:val="28"/>
        </w:rPr>
      </w:pPr>
      <w:r w:rsidRPr="00E37B00">
        <w:rPr>
          <w:rFonts w:ascii="Arial Black" w:hAnsi="Arial Black"/>
          <w:sz w:val="28"/>
          <w:szCs w:val="28"/>
        </w:rPr>
        <w:t xml:space="preserve">CA: UNION FF – CRASH / 2 DAY SUSP – </w:t>
      </w:r>
      <w:r>
        <w:rPr>
          <w:rFonts w:ascii="Arial Black" w:hAnsi="Arial Black"/>
          <w:sz w:val="28"/>
          <w:szCs w:val="28"/>
        </w:rPr>
        <w:t>1</w:t>
      </w:r>
      <w:r w:rsidRPr="002C0EBB">
        <w:rPr>
          <w:rFonts w:ascii="Arial Black" w:hAnsi="Arial Black"/>
          <w:sz w:val="28"/>
          <w:szCs w:val="28"/>
          <w:vertAlign w:val="superscript"/>
        </w:rPr>
        <w:t>st</w:t>
      </w:r>
      <w:r>
        <w:rPr>
          <w:rFonts w:ascii="Arial Black" w:hAnsi="Arial Black"/>
          <w:sz w:val="28"/>
          <w:szCs w:val="28"/>
        </w:rPr>
        <w:t xml:space="preserve"> </w:t>
      </w:r>
      <w:r w:rsidRPr="00E37B00">
        <w:rPr>
          <w:rFonts w:ascii="Arial Black" w:hAnsi="Arial Black"/>
          <w:sz w:val="28"/>
          <w:szCs w:val="28"/>
        </w:rPr>
        <w:t xml:space="preserve">APPEAL BOARD </w:t>
      </w:r>
    </w:p>
    <w:p w14:paraId="40FF0F8B" w14:textId="77777777" w:rsidR="00945BA7" w:rsidRDefault="00945BA7" w:rsidP="00945BA7">
      <w:pPr>
        <w:pStyle w:val="NoSpacing"/>
        <w:rPr>
          <w:rFonts w:ascii="Arial Black" w:hAnsi="Arial Black"/>
          <w:sz w:val="28"/>
          <w:szCs w:val="28"/>
        </w:rPr>
      </w:pPr>
    </w:p>
    <w:p w14:paraId="14042B14" w14:textId="77777777" w:rsidR="00945BA7" w:rsidRPr="0056766E" w:rsidRDefault="00945BA7" w:rsidP="00945BA7">
      <w:pPr>
        <w:pStyle w:val="NoSpacing"/>
        <w:rPr>
          <w:bCs/>
        </w:rPr>
      </w:pPr>
      <w:r>
        <w:t xml:space="preserve">On July 8, 2026, in </w:t>
      </w:r>
      <w:r w:rsidRPr="002C6D8B">
        <w:rPr>
          <w:u w:val="single"/>
        </w:rPr>
        <w:t>Corey Schwartz v. City of Compton</w:t>
      </w:r>
      <w:r>
        <w:t xml:space="preserve">, the </w:t>
      </w:r>
      <w:r w:rsidRPr="002C6D8B">
        <w:t>California Court of Appeals, Second District, Fourth Division</w:t>
      </w:r>
      <w:r>
        <w:t xml:space="preserve"> held (3 to 0; unpublished decision) that trial court properly dismissed his “whistleblower” retaliation complaint until he first exhausts his administrative remedy by filing a charge with the state’s Public Employment Relations Board.  In 2022, he helped </w:t>
      </w:r>
      <w:r w:rsidRPr="00511D76">
        <w:t>IAFF Local 2216</w:t>
      </w:r>
      <w:r>
        <w:t xml:space="preserve"> write a report on needed Station Repairs, and then led union picketing, and in March 2023 contacted city officials about working conditions. </w:t>
      </w:r>
      <w:r w:rsidRPr="0056766E">
        <w:t>The following</w:t>
      </w:r>
      <w:r>
        <w:t xml:space="preserve"> </w:t>
      </w:r>
      <w:r w:rsidRPr="0056766E">
        <w:t>month, the City issued Schwartz a Notice of Intent to Suspend</w:t>
      </w:r>
      <w:r>
        <w:t xml:space="preserve"> </w:t>
      </w:r>
      <w:r w:rsidRPr="0056766E">
        <w:t xml:space="preserve">Schwartz for two shifts without pay in relation to </w:t>
      </w:r>
      <w:proofErr w:type="gramStart"/>
      <w:r w:rsidRPr="0056766E">
        <w:t>a traffic</w:t>
      </w:r>
      <w:proofErr w:type="gramEnd"/>
    </w:p>
    <w:p w14:paraId="7EF56119" w14:textId="77777777" w:rsidR="00945BA7" w:rsidRDefault="00945BA7" w:rsidP="00945BA7">
      <w:pPr>
        <w:pStyle w:val="NoSpacing"/>
        <w:rPr>
          <w:bCs/>
        </w:rPr>
      </w:pPr>
      <w:r w:rsidRPr="0056766E">
        <w:t>collision involving a Fire Department vehicle</w:t>
      </w:r>
      <w:r>
        <w:t xml:space="preserve">. </w:t>
      </w:r>
      <w:hyperlink r:id="rId2843" w:history="1">
        <w:r w:rsidRPr="00841548">
          <w:rPr>
            <w:rStyle w:val="Hyperlink"/>
          </w:rPr>
          <w:t>https://www4.courts.ca.gov/opinions/nonpub/B347429.PDF</w:t>
        </w:r>
      </w:hyperlink>
      <w:r>
        <w:t xml:space="preserve"> </w:t>
      </w:r>
    </w:p>
    <w:p w14:paraId="269AFD2F" w14:textId="77777777" w:rsidR="00945BA7" w:rsidRDefault="00945BA7" w:rsidP="00945BA7">
      <w:pPr>
        <w:pStyle w:val="NoSpacing"/>
        <w:rPr>
          <w:bCs/>
        </w:rPr>
      </w:pPr>
    </w:p>
    <w:p w14:paraId="22EFCCB7" w14:textId="77777777" w:rsidR="00945BA7" w:rsidRPr="002C6D8B" w:rsidRDefault="00945BA7" w:rsidP="00945BA7">
      <w:pPr>
        <w:pStyle w:val="NoSpacing"/>
        <w:rPr>
          <w:bCs/>
        </w:rPr>
      </w:pPr>
      <w:r>
        <w:t>THE COURT WROTE:</w:t>
      </w:r>
    </w:p>
    <w:p w14:paraId="648D5DBF" w14:textId="77777777" w:rsidR="00945BA7" w:rsidRPr="002C6D8B" w:rsidRDefault="00945BA7" w:rsidP="00945BA7">
      <w:pPr>
        <w:pStyle w:val="NoSpacing"/>
        <w:rPr>
          <w:bCs/>
        </w:rPr>
      </w:pPr>
    </w:p>
    <w:p w14:paraId="1E525D5A" w14:textId="77777777" w:rsidR="00945BA7" w:rsidRDefault="00945BA7" w:rsidP="00945BA7">
      <w:pPr>
        <w:pStyle w:val="NoSpacing"/>
      </w:pPr>
      <w:r>
        <w:t>“Schwartz next argues PERB does not have jurisdiction over his action because PERB ‘does not enforce other independent statutory schemes,’ such as Labor Code section 1102.5 [whistleblower statute]. This argument misses the point. The question is whether the factual allegations underlying Schwartz’s claims could arguably support a claim under the MMBA [unfair labor complaints - M</w:t>
      </w:r>
      <w:r w:rsidRPr="00654420">
        <w:t>eyers-Milias-Brown Act, Government Code section 3500 et seq</w:t>
      </w:r>
      <w:r>
        <w:t xml:space="preserve">,] not whether </w:t>
      </w:r>
      <w:r>
        <w:lastRenderedPageBreak/>
        <w:t>PERB specifically enforces claims under Labor Code 1102.5…. Schwartz lastly argues that filing a charge with PERB would be futile because PERB is “not equipped to deal with interpretations of ‘independent statutory schemes’ such as Labor Code section 1102.5 and, therefore, Schwartz will be left with ‘inadequate remedies.’ But PERB has jurisdiction to hear claims under the MMBA; thus, Schwartz has an effective remedy before PERB for retaliation for participation in protected union activities even if the same alleged conduct may support a claim for whistleblower retaliation under Labor Code section 1102.5. If PERB ultimately concludes the allegations do not, in fact, state a prima facie case of retaliation under the MMBA, the complainant may then file a complaint in the superior court. He must first, however, exhaust his administrative remedies.”</w:t>
      </w:r>
    </w:p>
    <w:p w14:paraId="58D40DED" w14:textId="77777777" w:rsidR="00945BA7" w:rsidRDefault="00945BA7" w:rsidP="00945BA7">
      <w:pPr>
        <w:pStyle w:val="NoSpacing"/>
      </w:pPr>
    </w:p>
    <w:p w14:paraId="5A271AD5" w14:textId="77777777" w:rsidR="00945BA7" w:rsidRDefault="00945BA7" w:rsidP="00945BA7">
      <w:pPr>
        <w:pStyle w:val="NoSpacing"/>
        <w:rPr>
          <w:b/>
          <w:bCs/>
        </w:rPr>
      </w:pPr>
      <w:r>
        <w:rPr>
          <w:b/>
        </w:rPr>
        <w:t xml:space="preserve">Legal lesson learned: The Union officer must exhaust his administrative remedies before going to court claiming retaliation as a whistleblower. </w:t>
      </w:r>
    </w:p>
    <w:p w14:paraId="683BF815" w14:textId="77777777" w:rsidR="002C229D" w:rsidRDefault="002C229D" w:rsidP="00171FE4">
      <w:pPr>
        <w:pStyle w:val="NoSpacing"/>
        <w:rPr>
          <w:rFonts w:ascii="Arial Black" w:hAnsi="Arial Black"/>
          <w:sz w:val="24"/>
          <w:szCs w:val="24"/>
        </w:rPr>
      </w:pPr>
    </w:p>
    <w:p w14:paraId="78997E5C" w14:textId="77777777" w:rsidR="002C229D" w:rsidRDefault="002C229D" w:rsidP="00171FE4">
      <w:pPr>
        <w:pStyle w:val="NoSpacing"/>
        <w:rPr>
          <w:rFonts w:ascii="Arial Black" w:hAnsi="Arial Black"/>
          <w:sz w:val="24"/>
          <w:szCs w:val="24"/>
        </w:rPr>
      </w:pPr>
    </w:p>
    <w:p w14:paraId="734DF2B6" w14:textId="77777777" w:rsidR="002C229D" w:rsidRDefault="002C229D" w:rsidP="00171FE4">
      <w:pPr>
        <w:pStyle w:val="NoSpacing"/>
        <w:rPr>
          <w:rFonts w:ascii="Arial Black" w:hAnsi="Arial Black"/>
          <w:sz w:val="24"/>
          <w:szCs w:val="24"/>
        </w:rPr>
      </w:pPr>
    </w:p>
    <w:p w14:paraId="205EB846" w14:textId="339196AB" w:rsidR="00171FE4" w:rsidRDefault="00171FE4" w:rsidP="00171FE4">
      <w:pPr>
        <w:pStyle w:val="NoSpacing"/>
        <w:rPr>
          <w:rFonts w:ascii="Arial Black" w:hAnsi="Arial Black"/>
          <w:sz w:val="24"/>
          <w:szCs w:val="24"/>
        </w:rPr>
      </w:pPr>
      <w:r>
        <w:rPr>
          <w:rFonts w:ascii="Arial Black" w:hAnsi="Arial Black"/>
          <w:sz w:val="24"/>
          <w:szCs w:val="24"/>
        </w:rPr>
        <w:t>17-63</w:t>
      </w:r>
    </w:p>
    <w:p w14:paraId="1AF76808" w14:textId="77777777" w:rsidR="00171FE4" w:rsidRDefault="00171FE4" w:rsidP="0022286E">
      <w:pPr>
        <w:pStyle w:val="NoSpacing"/>
        <w:rPr>
          <w:rFonts w:ascii="Arial Black" w:hAnsi="Arial Black"/>
          <w:b/>
          <w:sz w:val="28"/>
          <w:szCs w:val="28"/>
        </w:rPr>
      </w:pPr>
    </w:p>
    <w:p w14:paraId="133B99C6" w14:textId="0AE554EB" w:rsidR="0022286E" w:rsidRDefault="0022286E" w:rsidP="0022286E">
      <w:pPr>
        <w:pStyle w:val="NoSpacing"/>
        <w:rPr>
          <w:rFonts w:ascii="Arial Black" w:hAnsi="Arial Black"/>
          <w:b/>
          <w:sz w:val="28"/>
          <w:szCs w:val="28"/>
        </w:rPr>
      </w:pPr>
      <w:r>
        <w:rPr>
          <w:rFonts w:ascii="Arial Black" w:hAnsi="Arial Black"/>
          <w:b/>
          <w:sz w:val="28"/>
          <w:szCs w:val="28"/>
        </w:rPr>
        <w:t xml:space="preserve">CO: FIRE CHIEF – IMMUNITY – FIRED IAFF PRES. PER CBA </w:t>
      </w:r>
    </w:p>
    <w:p w14:paraId="7086F8D3" w14:textId="77777777" w:rsidR="0022286E" w:rsidRDefault="0022286E" w:rsidP="0022286E">
      <w:pPr>
        <w:pStyle w:val="NoSpacing"/>
        <w:rPr>
          <w:rFonts w:ascii="Arial Black" w:hAnsi="Arial Black"/>
          <w:b/>
          <w:sz w:val="28"/>
          <w:szCs w:val="28"/>
        </w:rPr>
      </w:pPr>
    </w:p>
    <w:p w14:paraId="0504A3D4" w14:textId="77777777" w:rsidR="0022286E" w:rsidRDefault="0022286E" w:rsidP="0022286E">
      <w:pPr>
        <w:pStyle w:val="NoSpacing"/>
        <w:rPr>
          <w:bCs/>
        </w:rPr>
      </w:pPr>
      <w:r>
        <w:t xml:space="preserve">On June 22, 2026, in </w:t>
      </w:r>
      <w:r w:rsidRPr="0072211A">
        <w:rPr>
          <w:u w:val="single"/>
        </w:rPr>
        <w:t>Benjamin Carter v. David Beebe</w:t>
      </w:r>
      <w:r>
        <w:t>, the United States Court of Appeals for the Tenth Circuit (Denver) held (3 to 0) that trial court should have dismissed this lawsuit against Fire Chief David Meebe; the Chief followed the collective bargaining agreement, investigated “confrontational” conduct of Union President who was upset that a new recruit (</w:t>
      </w:r>
      <w:r w:rsidRPr="007C2593">
        <w:t>Jehovah’s Witness</w:t>
      </w:r>
      <w:r>
        <w:t xml:space="preserve">) received a uniform without the American flag as a religious accommodation, and fired the firefighter without a hearing. The CBA did not require the FD to provide a </w:t>
      </w:r>
      <w:r w:rsidRPr="001E1D22">
        <w:rPr>
          <w:i/>
          <w:iCs/>
        </w:rPr>
        <w:t xml:space="preserve">Loudermill </w:t>
      </w:r>
      <w:r>
        <w:t>hearing [</w:t>
      </w:r>
      <w:r w:rsidRPr="0043758B">
        <w:rPr>
          <w:u w:val="single"/>
        </w:rPr>
        <w:t>Cleveland Board of Education v. James Loudremill,</w:t>
      </w:r>
      <w:r>
        <w:t xml:space="preserve"> March 19, 1985], and therefore the Fire Chief enjoys qualified immunity. The Court wrote: “And because he has not met his burden of establishing that Chief Beebe violated clearly established constitutional law, Chief Beebe is entitled to qualified immunity on Mr. Carter’s procedural due process claim.”</w:t>
      </w:r>
    </w:p>
    <w:p w14:paraId="1E0DA228" w14:textId="77777777" w:rsidR="0022286E" w:rsidRPr="00A363EA" w:rsidRDefault="0022286E" w:rsidP="0022286E">
      <w:pPr>
        <w:pStyle w:val="NoSpacing"/>
        <w:rPr>
          <w:bCs/>
        </w:rPr>
      </w:pPr>
      <w:hyperlink r:id="rId2844" w:history="1">
        <w:r w:rsidRPr="00014504">
          <w:rPr>
            <w:rStyle w:val="Hyperlink"/>
          </w:rPr>
          <w:t>https://cases.justia.com/federal/appellate-courts/ca10/25-1424/25-1424-2026-06-22.pdf?ts=1782145915</w:t>
        </w:r>
      </w:hyperlink>
      <w:r>
        <w:t xml:space="preserve">  </w:t>
      </w:r>
    </w:p>
    <w:p w14:paraId="0C129D78" w14:textId="77777777" w:rsidR="0022286E" w:rsidRDefault="0022286E" w:rsidP="0022286E">
      <w:pPr>
        <w:pStyle w:val="NoSpacing"/>
        <w:rPr>
          <w:b/>
        </w:rPr>
      </w:pPr>
    </w:p>
    <w:p w14:paraId="412FBC44" w14:textId="77777777" w:rsidR="0022286E" w:rsidRDefault="0022286E" w:rsidP="0022286E">
      <w:pPr>
        <w:pStyle w:val="NoSpacing"/>
        <w:rPr>
          <w:b/>
        </w:rPr>
      </w:pPr>
      <w:r w:rsidRPr="00246EB8">
        <w:rPr>
          <w:b/>
        </w:rPr>
        <w:t xml:space="preserve">FACTS: </w:t>
      </w:r>
    </w:p>
    <w:p w14:paraId="5F5654F8" w14:textId="77777777" w:rsidR="0022286E" w:rsidRDefault="0022286E" w:rsidP="0022286E">
      <w:pPr>
        <w:pStyle w:val="NoSpacing"/>
        <w:rPr>
          <w:b/>
        </w:rPr>
      </w:pPr>
    </w:p>
    <w:p w14:paraId="0E0686E3" w14:textId="77777777" w:rsidR="0022286E" w:rsidRDefault="0022286E" w:rsidP="0022286E">
      <w:pPr>
        <w:pStyle w:val="NoSpacing"/>
      </w:pPr>
      <w:r>
        <w:t>“Mr. Carter began working for MVFPD in 2009….Since then, he has been a member of Mountain View Professional Firefighters, Local 3214, International Association of Firefighters (the ‘Union’)…. He has served on the Union’s executive board since 2012 and was elected Union President on January 1, 2023…. ‘Mr. Carter was the Union’s lead negotiator’ and a signatory ‘on the CBA that governed’ his termination.</w:t>
      </w:r>
    </w:p>
    <w:p w14:paraId="2B716F4F" w14:textId="77777777" w:rsidR="0022286E" w:rsidRDefault="0022286E" w:rsidP="0022286E">
      <w:pPr>
        <w:pStyle w:val="NoSpacing"/>
      </w:pPr>
    </w:p>
    <w:p w14:paraId="39C7F00F" w14:textId="77777777" w:rsidR="0022286E" w:rsidRDefault="0022286E" w:rsidP="0022286E">
      <w:pPr>
        <w:pStyle w:val="NoSpacing"/>
      </w:pPr>
      <w:r>
        <w:t>***</w:t>
      </w:r>
    </w:p>
    <w:p w14:paraId="4651386E" w14:textId="77777777" w:rsidR="0022286E" w:rsidRDefault="0022286E" w:rsidP="0022286E">
      <w:pPr>
        <w:pStyle w:val="NoSpacing"/>
      </w:pPr>
      <w:r>
        <w:t>The CBA provides that Union members may be discharged only for ‘just cause.’ … It outlines the process MVFPD officials must follow to terminate an employee….It ‘does not include a right to a post-termination hearing’ and says that the Fire Chief is the final decisionmaker on all disciplinary matters.</w:t>
      </w:r>
    </w:p>
    <w:p w14:paraId="34EEAAA7" w14:textId="77777777" w:rsidR="0022286E" w:rsidRDefault="0022286E" w:rsidP="0022286E">
      <w:pPr>
        <w:pStyle w:val="NoSpacing"/>
      </w:pPr>
    </w:p>
    <w:p w14:paraId="4315A894" w14:textId="77777777" w:rsidR="0022286E" w:rsidRDefault="0022286E" w:rsidP="0022286E">
      <w:pPr>
        <w:pStyle w:val="NoSpacing"/>
      </w:pPr>
      <w:r>
        <w:t>In January 2023, Mr. Carter was upset to learn that a new MVFPD recruit asked not to have an American flag on his gear…. He expressed frustration to higher-ranking MVFPD employees and Human Resources…. One Human Resources employee described Mr. Carter’s comments as ‘unnecessarily confrontational, dismissive, and belittling.’ … After learning that the recruit’s request was for a religious accommodation, Mr. Carter shared that information with 14 other MVFPD employees and made ‘negative and potentially harassing’ comments.</w:t>
      </w:r>
    </w:p>
    <w:p w14:paraId="30F0FC6D" w14:textId="77777777" w:rsidR="0022286E" w:rsidRDefault="0022286E" w:rsidP="0022286E">
      <w:pPr>
        <w:pStyle w:val="NoSpacing"/>
      </w:pPr>
    </w:p>
    <w:p w14:paraId="2810A017" w14:textId="77777777" w:rsidR="0022286E" w:rsidRDefault="0022286E" w:rsidP="0022286E">
      <w:pPr>
        <w:pStyle w:val="NoSpacing"/>
      </w:pPr>
      <w:r>
        <w:t>In February 2023, Chief Beebe placed Mr. Carter on administrative leave and initiated an investigation into his conduct…. After following the CBA’s disciplinary procedures, Chief Beebe fired Mr. Carter…. He did not give Mr. Carter a post-termination hearing.”</w:t>
      </w:r>
    </w:p>
    <w:p w14:paraId="20DA5891" w14:textId="77777777" w:rsidR="0022286E" w:rsidRDefault="0022286E" w:rsidP="0022286E">
      <w:pPr>
        <w:pStyle w:val="NoSpacing"/>
      </w:pPr>
    </w:p>
    <w:p w14:paraId="73846DB7" w14:textId="77777777" w:rsidR="0022286E" w:rsidRDefault="0022286E" w:rsidP="0022286E">
      <w:pPr>
        <w:pStyle w:val="NoSpacing"/>
      </w:pPr>
      <w:r w:rsidRPr="008268FC">
        <w:rPr>
          <w:b/>
        </w:rPr>
        <w:t>COURT HELD</w:t>
      </w:r>
      <w:r>
        <w:t>:</w:t>
      </w:r>
    </w:p>
    <w:p w14:paraId="3A720AC7" w14:textId="77777777" w:rsidR="0022286E" w:rsidRDefault="0022286E" w:rsidP="0022286E">
      <w:pPr>
        <w:pStyle w:val="NoSpacing"/>
      </w:pPr>
    </w:p>
    <w:p w14:paraId="44145387" w14:textId="77777777" w:rsidR="0022286E" w:rsidRDefault="0022286E" w:rsidP="0022286E">
      <w:pPr>
        <w:pStyle w:val="NoSpacing"/>
      </w:pPr>
      <w:r>
        <w:t>“</w:t>
      </w:r>
      <w:r w:rsidRPr="00793C32">
        <w:t>Fire Chief David Beebe fired Benjamin Carter from his position as a firefighter</w:t>
      </w:r>
      <w:r>
        <w:t xml:space="preserve"> </w:t>
      </w:r>
      <w:r w:rsidRPr="00793C32">
        <w:t>with the Mountain View Fire Protection District (</w:t>
      </w:r>
      <w:r>
        <w:t>‘</w:t>
      </w:r>
      <w:r w:rsidRPr="00793C32">
        <w:t>MVFPD</w:t>
      </w:r>
      <w:r>
        <w:t>’</w:t>
      </w:r>
      <w:r w:rsidRPr="00793C32">
        <w:t>). In doing so, he followed</w:t>
      </w:r>
      <w:r>
        <w:t xml:space="preserve"> </w:t>
      </w:r>
      <w:r w:rsidRPr="00793C32">
        <w:t xml:space="preserve">the disciplinary process in the collective bargaining </w:t>
      </w:r>
      <w:proofErr w:type="gramStart"/>
      <w:r w:rsidRPr="00793C32">
        <w:t>agreement (</w:t>
      </w:r>
      <w:r>
        <w:t>‘</w:t>
      </w:r>
      <w:proofErr w:type="gramEnd"/>
      <w:r w:rsidRPr="00793C32">
        <w:t>CBA</w:t>
      </w:r>
      <w:r>
        <w:t>’</w:t>
      </w:r>
      <w:r w:rsidRPr="00793C32">
        <w:t>) between Mr. Carter’s union and the MVFPD. Mr. Carter sued Chief Beebe under 42 U.S.C.</w:t>
      </w:r>
      <w:r>
        <w:t xml:space="preserve"> </w:t>
      </w:r>
      <w:r w:rsidRPr="00793C32">
        <w:t>§ 1983 for violating his Fourteenth Amendment right to procedural due process. The</w:t>
      </w:r>
      <w:r>
        <w:t xml:space="preserve"> </w:t>
      </w:r>
      <w:r w:rsidRPr="00793C32">
        <w:t>district court denied Chief Beebe qualified immunity and granted Mr. Carter summary</w:t>
      </w:r>
      <w:r>
        <w:t xml:space="preserve"> </w:t>
      </w:r>
      <w:r w:rsidRPr="00793C32">
        <w:t>judgment. Exercising jurisdiction under 28 U.S.C. § 1291, we reverse</w:t>
      </w:r>
      <w:r>
        <w:t>.</w:t>
      </w:r>
    </w:p>
    <w:p w14:paraId="5AD536B6" w14:textId="77777777" w:rsidR="0022286E" w:rsidRDefault="0022286E" w:rsidP="0022286E">
      <w:pPr>
        <w:pStyle w:val="NoSpacing"/>
      </w:pPr>
    </w:p>
    <w:p w14:paraId="40A0C7B2" w14:textId="77777777" w:rsidR="0022286E" w:rsidRDefault="0022286E" w:rsidP="0022286E">
      <w:pPr>
        <w:pStyle w:val="NoSpacing"/>
      </w:pPr>
      <w:r>
        <w:t>***</w:t>
      </w:r>
    </w:p>
    <w:p w14:paraId="7319E0DC" w14:textId="77777777" w:rsidR="0022286E" w:rsidRDefault="0022286E" w:rsidP="0022286E">
      <w:pPr>
        <w:pStyle w:val="NoSpacing"/>
      </w:pPr>
      <w:r>
        <w:t xml:space="preserve">Mr. Carter has not cited a Supreme Court, Tenth Circuit, or other circuit case that has applied </w:t>
      </w:r>
      <w:r w:rsidRPr="008726EA">
        <w:rPr>
          <w:i/>
          <w:iCs/>
        </w:rPr>
        <w:t>Loudermill</w:t>
      </w:r>
      <w:r>
        <w:t xml:space="preserve"> to a CBA. He instead relies on general statements of procedural due process law rather than cases that establish ‘the violative nature of particular conduct’ at issue here. Mullenix, 577 U.S. at 12. A contract between the union and the public employer is not the same as a state statute. Mr. Carter therefore has not shown that ‘every reasonable official would have understood’ that the CBA, a contractually bargained-for disciplinary procedure, violated the Constitution. Redmond v. Crowther,</w:t>
      </w:r>
      <w:r w:rsidRPr="009F6B33">
        <w:t xml:space="preserve"> </w:t>
      </w:r>
      <w:r>
        <w:t>882 F.3d 927, 935 (10th Cir. 2018) (quotations omitted).5 And because he has not met his burden of establishing that Chief Beebe violated clearly established constitutional law, Chief Beebe is entitled to qualified immunity on Mr. Carter’s procedural due process claim.”</w:t>
      </w:r>
    </w:p>
    <w:p w14:paraId="42D45906" w14:textId="77777777" w:rsidR="0022286E" w:rsidRPr="009204D5" w:rsidRDefault="0022286E" w:rsidP="0022286E">
      <w:pPr>
        <w:pStyle w:val="NoSpacing"/>
        <w:rPr>
          <w:b/>
          <w:bCs/>
        </w:rPr>
      </w:pPr>
    </w:p>
    <w:p w14:paraId="676813D1" w14:textId="77777777" w:rsidR="0022286E" w:rsidRPr="00F53AA1" w:rsidRDefault="0022286E" w:rsidP="0022286E">
      <w:pPr>
        <w:pStyle w:val="NoSpacing"/>
        <w:rPr>
          <w:b/>
          <w:bCs/>
        </w:rPr>
      </w:pPr>
      <w:r w:rsidRPr="00F53AA1">
        <w:rPr>
          <w:b/>
        </w:rPr>
        <w:t xml:space="preserve">Legal lesson learned: CBA did not require </w:t>
      </w:r>
      <w:r w:rsidRPr="00F53AA1">
        <w:rPr>
          <w:b/>
          <w:i/>
          <w:iCs/>
        </w:rPr>
        <w:t xml:space="preserve">Loudermill </w:t>
      </w:r>
      <w:r w:rsidRPr="00F53AA1">
        <w:rPr>
          <w:b/>
        </w:rPr>
        <w:t xml:space="preserve">pre-termination or pos-termination hearing. However, providing a “due process” hearing can avoid unnecessary litigation. </w:t>
      </w:r>
    </w:p>
    <w:p w14:paraId="1ECD348F" w14:textId="77777777" w:rsidR="0022286E" w:rsidRPr="00F53AA1" w:rsidRDefault="0022286E" w:rsidP="0022286E">
      <w:pPr>
        <w:pStyle w:val="NoSpacing"/>
        <w:rPr>
          <w:b/>
          <w:bCs/>
          <w:i/>
          <w:iCs/>
        </w:rPr>
      </w:pPr>
    </w:p>
    <w:p w14:paraId="4166208D" w14:textId="77777777" w:rsidR="0022286E" w:rsidRPr="007C2593" w:rsidRDefault="0022286E" w:rsidP="0022286E">
      <w:pPr>
        <w:pStyle w:val="NoSpacing"/>
        <w:ind w:left="720"/>
      </w:pPr>
      <w:r>
        <w:t xml:space="preserve">Note: See this June 22, </w:t>
      </w:r>
      <w:proofErr w:type="gramStart"/>
      <w:r>
        <w:t>2026</w:t>
      </w:r>
      <w:proofErr w:type="gramEnd"/>
      <w:r>
        <w:t xml:space="preserve"> article: “1</w:t>
      </w:r>
      <w:r w:rsidRPr="00C77494">
        <w:t>0th Circuit grants Boulder-Weld district’s fire chief immunity for firing union leader</w:t>
      </w:r>
      <w:r>
        <w:t xml:space="preserve">.” </w:t>
      </w:r>
      <w:r w:rsidRPr="000854AC">
        <w:t>The events that triggered Carter’s termination began on Jan. 30, 2023. At the time, Carter was the newly elected president of the union. Although he was not on duty that day, he went to the station to handle gear for new employees. A supplier was making a delivery and mentioned he received a request to remove the American flag from a specific new hire’s protective equipment.</w:t>
      </w:r>
      <w:r>
        <w:t xml:space="preserve"> </w:t>
      </w:r>
      <w:r w:rsidRPr="007C2593">
        <w:t>While multiple people noted in statements that the gear did not have the American flag on it to begin with, Carter reportedly became upset and raised the issue with a captain. He learned that the new employee had requested a religious accommodation as a Jehovah’s Witness, and that Beebe approved it.</w:t>
      </w:r>
      <w:r>
        <w:t xml:space="preserve"> </w:t>
      </w:r>
      <w:r w:rsidRPr="007C2593">
        <w:t xml:space="preserve">Carter, who was under the impression he could speak with others about the issue, discussed </w:t>
      </w:r>
      <w:proofErr w:type="gramStart"/>
      <w:r w:rsidRPr="007C2593">
        <w:t>the religious</w:t>
      </w:r>
      <w:proofErr w:type="gramEnd"/>
      <w:r w:rsidRPr="007C2593">
        <w:t xml:space="preserve"> accommodation with around 14 other employees.</w:t>
      </w:r>
      <w:r>
        <w:t xml:space="preserve"> </w:t>
      </w:r>
      <w:r w:rsidRPr="00221F17">
        <w:t>Leadership met on Feb. 6 and decided to investigate Carter’s conduct. The district then placed Carter on administrative leave. The deputy chief spent the month of February investigating and concluded that Carter should be charged with insubordination, the dissemination of confidential information and other misconduct.</w:t>
      </w:r>
      <w:r>
        <w:t>”</w:t>
      </w:r>
      <w:r w:rsidRPr="00523D68">
        <w:t xml:space="preserve"> </w:t>
      </w:r>
      <w:hyperlink r:id="rId2845" w:anchor="google_vignette" w:history="1">
        <w:r w:rsidRPr="00494C21">
          <w:rPr>
            <w:rStyle w:val="Hyperlink"/>
          </w:rPr>
          <w:t>https://www.coloradopolitics.com/2026/06/22/10th-circuit-grants-boulder-weld-districts-fire-chief-immunity-for-firing-union-leader/#google_vignette</w:t>
        </w:r>
      </w:hyperlink>
      <w:r>
        <w:t xml:space="preserve"> </w:t>
      </w:r>
    </w:p>
    <w:p w14:paraId="05FB8975" w14:textId="77777777" w:rsidR="0022286E" w:rsidRPr="00C77494" w:rsidRDefault="0022286E" w:rsidP="0022286E">
      <w:pPr>
        <w:pStyle w:val="NoSpacing"/>
        <w:ind w:left="720"/>
        <w:rPr>
          <w:bCs/>
        </w:rPr>
      </w:pPr>
    </w:p>
    <w:p w14:paraId="1DD504E1" w14:textId="77777777" w:rsidR="0022286E" w:rsidRPr="0043758B" w:rsidRDefault="0022286E" w:rsidP="0022286E">
      <w:pPr>
        <w:pStyle w:val="NoSpacing"/>
        <w:rPr>
          <w:bCs/>
        </w:rPr>
      </w:pPr>
    </w:p>
    <w:p w14:paraId="1028E822" w14:textId="77777777" w:rsidR="0022286E" w:rsidRDefault="0022286E" w:rsidP="0022286E">
      <w:pPr>
        <w:pStyle w:val="NoSpacing"/>
        <w:rPr>
          <w:rFonts w:ascii="Arial Black" w:hAnsi="Arial Black"/>
          <w:b/>
          <w:sz w:val="28"/>
          <w:szCs w:val="28"/>
        </w:rPr>
      </w:pPr>
    </w:p>
    <w:p w14:paraId="3CEDDDE9" w14:textId="3A1320FD" w:rsidR="00171FE4" w:rsidRDefault="00171FE4" w:rsidP="00171FE4">
      <w:pPr>
        <w:pStyle w:val="NoSpacing"/>
        <w:rPr>
          <w:rFonts w:ascii="Arial Black" w:hAnsi="Arial Black"/>
          <w:sz w:val="24"/>
          <w:szCs w:val="24"/>
        </w:rPr>
      </w:pPr>
      <w:r>
        <w:rPr>
          <w:rFonts w:ascii="Arial Black" w:hAnsi="Arial Black"/>
          <w:sz w:val="24"/>
          <w:szCs w:val="24"/>
        </w:rPr>
        <w:t>17-62</w:t>
      </w:r>
    </w:p>
    <w:p w14:paraId="0F57FAD9" w14:textId="77777777" w:rsidR="00171FE4" w:rsidRDefault="00171FE4" w:rsidP="0022286E">
      <w:pPr>
        <w:rPr>
          <w:rFonts w:ascii="Arial Black" w:hAnsi="Arial Black"/>
          <w:b/>
          <w:sz w:val="28"/>
          <w:szCs w:val="28"/>
        </w:rPr>
      </w:pPr>
    </w:p>
    <w:p w14:paraId="127BA30D" w14:textId="698E336E" w:rsidR="0022286E" w:rsidRPr="00443BC5" w:rsidRDefault="0022286E" w:rsidP="0022286E">
      <w:pPr>
        <w:rPr>
          <w:rFonts w:ascii="Arial Black" w:hAnsi="Arial Black"/>
          <w:b/>
          <w:sz w:val="28"/>
          <w:szCs w:val="28"/>
        </w:rPr>
      </w:pPr>
      <w:r>
        <w:rPr>
          <w:rFonts w:ascii="Arial Black" w:hAnsi="Arial Black"/>
          <w:b/>
          <w:sz w:val="28"/>
          <w:szCs w:val="28"/>
        </w:rPr>
        <w:t>NC: UNION PRES. – RETAL – COUNCIL / PUBLIC CONCERN</w:t>
      </w:r>
    </w:p>
    <w:p w14:paraId="2C2AD7CE" w14:textId="77777777" w:rsidR="0022286E" w:rsidRDefault="0022286E" w:rsidP="0022286E">
      <w:pPr>
        <w:rPr>
          <w:b/>
        </w:rPr>
      </w:pPr>
      <w:r>
        <w:t xml:space="preserve">On June 18, 2026, in </w:t>
      </w:r>
      <w:r w:rsidRPr="000A7833">
        <w:rPr>
          <w:u w:val="single"/>
        </w:rPr>
        <w:t>Robert Tempeton v. City of High Point</w:t>
      </w:r>
      <w:r>
        <w:t xml:space="preserve">, U.S. District Court Judge Thomas D. Schroeder, United States District Court for Middle District of North Carolina, denied the </w:t>
      </w:r>
      <w:r w:rsidRPr="00196D0E">
        <w:t xml:space="preserve">motion for summary judgment </w:t>
      </w:r>
      <w:proofErr w:type="gramStart"/>
      <w:r w:rsidRPr="00196D0E">
        <w:t>on the basis of</w:t>
      </w:r>
      <w:proofErr w:type="gramEnd"/>
      <w:r w:rsidRPr="00196D0E">
        <w:t xml:space="preserve"> qualified immunity</w:t>
      </w:r>
      <w:r>
        <w:t xml:space="preserve"> of two members of City Council: </w:t>
      </w:r>
      <w:r w:rsidRPr="00764B00">
        <w:t>Brian Evans, and Thomas Reid</w:t>
      </w:r>
      <w:r>
        <w:t>. There is evidence of retaliation against the President of IAFF Local</w:t>
      </w:r>
      <w:r w:rsidRPr="003E7DA1">
        <w:t xml:space="preserve"> 673</w:t>
      </w:r>
      <w:r>
        <w:t xml:space="preserve"> for addressing City Council on matters of public concern.  The retaliation includes transferring </w:t>
      </w:r>
      <w:proofErr w:type="spellStart"/>
      <w:r>
        <w:t>Tempeton</w:t>
      </w:r>
      <w:proofErr w:type="spellEnd"/>
      <w:r>
        <w:t>, a 25-year member of the FD to a slower station, and numerous “counseling forms.” The Court wrote: “</w:t>
      </w:r>
      <w:r w:rsidRPr="00861D6D">
        <w:t>For the reasons expressed at the hearing, however, Templeton has offered sufficient evidence to establish a genuine dispute of material fact as to whether HPFD took adverse employment actions against him linked to his First Amendment expression.</w:t>
      </w:r>
      <w:r>
        <w:t xml:space="preserve">”  </w:t>
      </w:r>
      <w:hyperlink r:id="rId2846" w:history="1">
        <w:r w:rsidRPr="004E2277">
          <w:rPr>
            <w:rStyle w:val="Hyperlink"/>
            <w:b/>
          </w:rPr>
          <w:t>https://www.casemine.com/judgement/us/6a367934174bb89f9fdb2ff2</w:t>
        </w:r>
      </w:hyperlink>
      <w:r>
        <w:rPr>
          <w:b/>
        </w:rPr>
        <w:t xml:space="preserve"> </w:t>
      </w:r>
    </w:p>
    <w:p w14:paraId="02A5C884" w14:textId="77777777" w:rsidR="0022286E" w:rsidRDefault="0022286E" w:rsidP="0022286E">
      <w:pPr>
        <w:rPr>
          <w:bCs/>
        </w:rPr>
      </w:pPr>
      <w:r>
        <w:lastRenderedPageBreak/>
        <w:t xml:space="preserve"> </w:t>
      </w:r>
    </w:p>
    <w:p w14:paraId="2D0A18CA" w14:textId="77777777" w:rsidR="0022286E" w:rsidRDefault="0022286E" w:rsidP="0022286E">
      <w:pPr>
        <w:rPr>
          <w:b/>
        </w:rPr>
      </w:pPr>
      <w:r>
        <w:rPr>
          <w:b/>
        </w:rPr>
        <w:t>FACTS:</w:t>
      </w:r>
    </w:p>
    <w:p w14:paraId="7765D6FF" w14:textId="77777777" w:rsidR="0022286E" w:rsidRPr="007F7AB4" w:rsidRDefault="0022286E" w:rsidP="0022286E">
      <w:pPr>
        <w:pStyle w:val="NoSpacing"/>
      </w:pPr>
      <w:r w:rsidRPr="007F7AB4">
        <w:t> </w:t>
      </w:r>
      <w:r>
        <w:t>“</w:t>
      </w:r>
      <w:r w:rsidRPr="007F7AB4">
        <w:t>Plaintiff Robert Templeton began his employment with the High Point Fire Department (</w:t>
      </w:r>
      <w:r>
        <w:t>‘</w:t>
      </w:r>
      <w:r w:rsidRPr="007F7AB4">
        <w:t>HPFD</w:t>
      </w:r>
      <w:r>
        <w:t>’</w:t>
      </w:r>
      <w:r w:rsidRPr="007F7AB4">
        <w:t>) in June 2000</w:t>
      </w:r>
      <w:r>
        <w:t xml:space="preserve">…. </w:t>
      </w:r>
      <w:r w:rsidRPr="007F7AB4">
        <w:t>He currently holds the rank of Fire Captain II</w:t>
      </w:r>
      <w:r>
        <w:t xml:space="preserve">…. </w:t>
      </w:r>
      <w:r w:rsidRPr="007F7AB4">
        <w:t xml:space="preserve">Templeton </w:t>
      </w:r>
    </w:p>
    <w:p w14:paraId="18F5EEC6" w14:textId="77777777" w:rsidR="0022286E" w:rsidRDefault="0022286E" w:rsidP="0022286E">
      <w:pPr>
        <w:pStyle w:val="NoSpacing"/>
      </w:pPr>
      <w:r w:rsidRPr="007F7AB4">
        <w:t>became President of Local 673 of the International Association of Fire Fighters (</w:t>
      </w:r>
      <w:r>
        <w:t>‘</w:t>
      </w:r>
      <w:r w:rsidRPr="007F7AB4">
        <w:t>IAFF</w:t>
      </w:r>
      <w:r>
        <w:t>’</w:t>
      </w:r>
      <w:r w:rsidRPr="007F7AB4">
        <w:t>) in January 2023</w:t>
      </w:r>
      <w:r>
        <w:t xml:space="preserve">…. </w:t>
      </w:r>
      <w:r w:rsidRPr="007F7AB4">
        <w:t>The IAFF is a labor union which represents more than 360,000 firefighters, paramedics, and emergency responders in the United States and Canada</w:t>
      </w:r>
      <w:r>
        <w:t xml:space="preserve">…. </w:t>
      </w:r>
      <w:r w:rsidRPr="007F7AB4">
        <w:t>IAFF Local 673 had fewer than ten members at the beginning of Templeton's tenure as President, despite there being approximately 240 HPFD employees</w:t>
      </w:r>
      <w:r>
        <w:t>….</w:t>
      </w:r>
    </w:p>
    <w:p w14:paraId="2DD5D867" w14:textId="77777777" w:rsidR="0022286E" w:rsidRPr="007F7AB4" w:rsidRDefault="0022286E" w:rsidP="0022286E">
      <w:pPr>
        <w:pStyle w:val="NoSpacing"/>
      </w:pPr>
      <w:r w:rsidRPr="007F7AB4">
        <w:t xml:space="preserve"> </w:t>
      </w:r>
    </w:p>
    <w:p w14:paraId="7FDBC347" w14:textId="77777777" w:rsidR="0022286E" w:rsidRDefault="0022286E" w:rsidP="0022286E">
      <w:pPr>
        <w:pStyle w:val="NoSpacing"/>
      </w:pPr>
      <w:r w:rsidRPr="007F7AB4">
        <w:t xml:space="preserve">Shortly after starting as President, Templeton reached out to the High Point Mayor, High Point City Council, and the High Point City Manager to express his views on what he considered </w:t>
      </w:r>
      <w:r>
        <w:t>‘</w:t>
      </w:r>
      <w:r w:rsidRPr="007F7AB4">
        <w:t>matters of public concern,</w:t>
      </w:r>
      <w:r>
        <w:t>’</w:t>
      </w:r>
      <w:r w:rsidRPr="007F7AB4">
        <w:t xml:space="preserve"> </w:t>
      </w:r>
      <w:r>
        <w:t>‘</w:t>
      </w:r>
      <w:proofErr w:type="spellStart"/>
      <w:r w:rsidRPr="007F7AB4">
        <w:t>includ</w:t>
      </w:r>
      <w:proofErr w:type="spellEnd"/>
      <w:r w:rsidRPr="007F7AB4">
        <w:t>[</w:t>
      </w:r>
      <w:proofErr w:type="spellStart"/>
      <w:r w:rsidRPr="007F7AB4">
        <w:t>ing</w:t>
      </w:r>
      <w:proofErr w:type="spellEnd"/>
      <w:r w:rsidRPr="007F7AB4">
        <w:t>] staffing shortages and pay-related issues.</w:t>
      </w:r>
      <w:r>
        <w:t>’ ….</w:t>
      </w:r>
      <w:r w:rsidRPr="007F7AB4">
        <w:t>On February 6, 2023, he addressed the High Point City Council about such concerns</w:t>
      </w:r>
      <w:r>
        <w:t xml:space="preserve">…. </w:t>
      </w:r>
    </w:p>
    <w:p w14:paraId="2CDF6F28" w14:textId="77777777" w:rsidR="0022286E" w:rsidRDefault="0022286E" w:rsidP="0022286E">
      <w:pPr>
        <w:pStyle w:val="NoSpacing"/>
      </w:pPr>
    </w:p>
    <w:p w14:paraId="12B82ED2" w14:textId="77777777" w:rsidR="0022286E" w:rsidRDefault="0022286E" w:rsidP="0022286E">
      <w:pPr>
        <w:pStyle w:val="NoSpacing"/>
      </w:pPr>
      <w:r w:rsidRPr="007F7AB4">
        <w:t xml:space="preserve">In the fall of that </w:t>
      </w:r>
      <w:proofErr w:type="gramStart"/>
      <w:r w:rsidRPr="007F7AB4">
        <w:t>year</w:t>
      </w:r>
      <w:proofErr w:type="gramEnd"/>
      <w:r w:rsidRPr="007F7AB4">
        <w:t xml:space="preserve"> he met with Cyril Jefferson, then a candidate for Mayor of High Point; news of that meeting spread throughout HPFD, and HPFD leadership, according to Templeton, backed Jefferson's opponent</w:t>
      </w:r>
      <w:r>
        <w:t xml:space="preserve">…. </w:t>
      </w:r>
      <w:r w:rsidRPr="007F7AB4">
        <w:t>Several weeks after this meeting, on October 24, Templeton received the lowest performance review of his career</w:t>
      </w:r>
      <w:r>
        <w:t xml:space="preserve">…. </w:t>
      </w:r>
      <w:r w:rsidRPr="007F7AB4">
        <w:t>Local 673 nevertheless endorsed Jefferson for mayor on October 30. (</w:t>
      </w:r>
      <w:r w:rsidRPr="007F7AB4">
        <w:rPr>
          <w:i/>
          <w:iCs/>
        </w:rPr>
        <w:t>Id.</w:t>
      </w:r>
      <w:r w:rsidRPr="007F7AB4">
        <w:t>) Templeton posted on social media about Local 673's support for Jefferson, both before and after Jefferson won the mayorship in November</w:t>
      </w:r>
      <w:r>
        <w:t>….</w:t>
      </w:r>
    </w:p>
    <w:p w14:paraId="3EE8E73C" w14:textId="77777777" w:rsidR="0022286E" w:rsidRDefault="0022286E" w:rsidP="0022286E">
      <w:pPr>
        <w:pStyle w:val="NoSpacing"/>
      </w:pPr>
    </w:p>
    <w:p w14:paraId="07FBC470" w14:textId="77777777" w:rsidR="0022286E" w:rsidRDefault="0022286E" w:rsidP="0022286E">
      <w:pPr>
        <w:pStyle w:val="NoSpacing"/>
      </w:pPr>
      <w:r>
        <w:t>***</w:t>
      </w:r>
    </w:p>
    <w:p w14:paraId="60ABB5C8" w14:textId="77777777" w:rsidR="0022286E" w:rsidRDefault="0022286E" w:rsidP="0022286E">
      <w:pPr>
        <w:pStyle w:val="NoSpacing"/>
      </w:pPr>
    </w:p>
    <w:p w14:paraId="3669A33B" w14:textId="77777777" w:rsidR="0022286E" w:rsidRDefault="0022286E" w:rsidP="0022286E">
      <w:pPr>
        <w:pStyle w:val="NoSpacing"/>
      </w:pPr>
      <w:r w:rsidRPr="00127CE3">
        <w:t xml:space="preserve">On March 6, </w:t>
      </w:r>
      <w:proofErr w:type="gramStart"/>
      <w:r w:rsidRPr="00127CE3">
        <w:t>2023</w:t>
      </w:r>
      <w:proofErr w:type="gramEnd"/>
      <w:r>
        <w:t xml:space="preserve"> … </w:t>
      </w:r>
      <w:r w:rsidRPr="00127CE3">
        <w:t>Templeton received a counseling form for his decision to execute a “suicide run” - deliberately driving on the left (wrong) side of the road to arrive more quickly at the scene of an emergency</w:t>
      </w:r>
      <w:r>
        <w:t xml:space="preserve">…. </w:t>
      </w:r>
    </w:p>
    <w:p w14:paraId="0DA7E5A7" w14:textId="77777777" w:rsidR="0022286E" w:rsidRDefault="0022286E" w:rsidP="0022286E">
      <w:pPr>
        <w:pStyle w:val="NoSpacing"/>
      </w:pPr>
    </w:p>
    <w:p w14:paraId="7D21FBA0" w14:textId="77777777" w:rsidR="0022286E" w:rsidRDefault="0022286E" w:rsidP="0022286E">
      <w:pPr>
        <w:pStyle w:val="NoSpacing"/>
      </w:pPr>
      <w:r>
        <w:t>***</w:t>
      </w:r>
    </w:p>
    <w:p w14:paraId="1BBF1FAA" w14:textId="77777777" w:rsidR="0022286E" w:rsidRDefault="0022286E" w:rsidP="0022286E">
      <w:pPr>
        <w:pStyle w:val="NoSpacing"/>
      </w:pPr>
      <w:r w:rsidRPr="00F23095">
        <w:t>On September 7, 2023, Templeton received a counseling form for his objection to carrying out a training exercise during high temperatures</w:t>
      </w:r>
      <w:r>
        <w:t xml:space="preserve">…. </w:t>
      </w:r>
      <w:r w:rsidRPr="00A02BF8">
        <w:t>Templeton declares that he has never heard of an HPFD employee being disciplined for deciding to carry out a suicide run or objecting to training exercises during high temperatures.</w:t>
      </w:r>
    </w:p>
    <w:p w14:paraId="0E2E7E06" w14:textId="77777777" w:rsidR="0022286E" w:rsidRDefault="0022286E" w:rsidP="0022286E">
      <w:pPr>
        <w:pStyle w:val="NoSpacing"/>
      </w:pPr>
    </w:p>
    <w:p w14:paraId="28A567AD" w14:textId="77777777" w:rsidR="0022286E" w:rsidRDefault="0022286E" w:rsidP="0022286E">
      <w:pPr>
        <w:pStyle w:val="NoSpacing"/>
      </w:pPr>
      <w:r>
        <w:t>***</w:t>
      </w:r>
    </w:p>
    <w:p w14:paraId="6C8713DD" w14:textId="77777777" w:rsidR="0022286E" w:rsidRDefault="0022286E" w:rsidP="0022286E">
      <w:pPr>
        <w:pStyle w:val="NoSpacing"/>
      </w:pPr>
      <w:r w:rsidRPr="00045AFF">
        <w:t>Templeton was involuntarily transferred to Station 11 from Station 4 on November 27, 2023; he had not requested a transfer</w:t>
      </w:r>
      <w:r>
        <w:t xml:space="preserve">…. </w:t>
      </w:r>
      <w:r w:rsidRPr="00045AFF">
        <w:t xml:space="preserve">Station 11 is a </w:t>
      </w:r>
      <w:r>
        <w:t>‘</w:t>
      </w:r>
      <w:r w:rsidRPr="00045AFF">
        <w:t>punishment station</w:t>
      </w:r>
      <w:r>
        <w:t>’</w:t>
      </w:r>
      <w:r w:rsidRPr="00045AFF">
        <w:t xml:space="preserve"> because, Templeton declares, higher call volume is correlated with higher performance reviews, which in turn corresponds to higher compensation</w:t>
      </w:r>
      <w:r>
        <w:t>….</w:t>
      </w:r>
      <w:r w:rsidRPr="00045AFF">
        <w:t xml:space="preserve"> Station 11 is one of the slowest stations in High Point, while Station 4 is one of the busiest</w:t>
      </w:r>
      <w:r>
        <w:t xml:space="preserve">…. </w:t>
      </w:r>
    </w:p>
    <w:p w14:paraId="1511F215" w14:textId="77777777" w:rsidR="0022286E" w:rsidRDefault="0022286E" w:rsidP="0022286E">
      <w:pPr>
        <w:pStyle w:val="NoSpacing"/>
      </w:pPr>
    </w:p>
    <w:p w14:paraId="6C80DF93" w14:textId="77777777" w:rsidR="0022286E" w:rsidRDefault="0022286E" w:rsidP="0022286E">
      <w:pPr>
        <w:pStyle w:val="NoSpacing"/>
      </w:pPr>
      <w:r>
        <w:t>***</w:t>
      </w:r>
    </w:p>
    <w:p w14:paraId="270E0357" w14:textId="77777777" w:rsidR="0022286E" w:rsidRDefault="0022286E" w:rsidP="0022286E">
      <w:pPr>
        <w:pStyle w:val="NoSpacing"/>
      </w:pPr>
      <w:r w:rsidRPr="0067275E">
        <w:t>On March 29, 2024, Defendant Reid, the fire chief, retired, and Defendant Evans was named interim fire chief</w:t>
      </w:r>
      <w:r>
        <w:t xml:space="preserve">…. </w:t>
      </w:r>
      <w:r w:rsidRPr="0067275E">
        <w:t>In April, Evans met with Templeton about his union speaking and told him that fire department concerns needed to be raised through the chain of command</w:t>
      </w:r>
      <w:r>
        <w:t>….</w:t>
      </w:r>
      <w:r w:rsidRPr="0067275E">
        <w:t>Templeton filed a grievance thereafter</w:t>
      </w:r>
      <w:r>
        <w:t>….</w:t>
      </w:r>
    </w:p>
    <w:p w14:paraId="5FA2DAAC" w14:textId="77777777" w:rsidR="0022286E" w:rsidRDefault="0022286E" w:rsidP="0022286E">
      <w:pPr>
        <w:pStyle w:val="NoSpacing"/>
      </w:pPr>
    </w:p>
    <w:p w14:paraId="05ABEFED" w14:textId="77777777" w:rsidR="0022286E" w:rsidRDefault="0022286E" w:rsidP="0022286E">
      <w:pPr>
        <w:pStyle w:val="NoSpacing"/>
      </w:pPr>
      <w:r>
        <w:t>***</w:t>
      </w:r>
    </w:p>
    <w:p w14:paraId="301FF8BE" w14:textId="77777777" w:rsidR="0022286E" w:rsidRDefault="0022286E" w:rsidP="0022286E">
      <w:pPr>
        <w:pStyle w:val="NoSpacing"/>
      </w:pPr>
      <w:r w:rsidRPr="00C5729B">
        <w:t xml:space="preserve">On April 8, 2024, Templeton received a counseling form signed by Evans, advising him that his </w:t>
      </w:r>
      <w:r>
        <w:t>‘</w:t>
      </w:r>
      <w:r w:rsidRPr="00C5729B">
        <w:t>conversations with members of City Council in reference to Fire Department concerns . . . violate[] departmental policy (chain of command)</w:t>
      </w:r>
      <w:r>
        <w:t xml:space="preserve">…. </w:t>
      </w:r>
    </w:p>
    <w:p w14:paraId="559659DA" w14:textId="77777777" w:rsidR="0022286E" w:rsidRDefault="0022286E" w:rsidP="0022286E">
      <w:pPr>
        <w:pStyle w:val="NoSpacing"/>
      </w:pPr>
    </w:p>
    <w:p w14:paraId="0401EF51" w14:textId="77777777" w:rsidR="0022286E" w:rsidRDefault="0022286E" w:rsidP="0022286E">
      <w:pPr>
        <w:pStyle w:val="NoSpacing"/>
      </w:pPr>
      <w:r>
        <w:t>***</w:t>
      </w:r>
    </w:p>
    <w:p w14:paraId="5946B836" w14:textId="77777777" w:rsidR="0022286E" w:rsidRDefault="0022286E" w:rsidP="0022286E">
      <w:pPr>
        <w:pStyle w:val="NoSpacing"/>
      </w:pPr>
      <w:r w:rsidRPr="00024CDC">
        <w:t>On May 28, Templeton met with High Point officials to discuss his grievance; present at the meeting were High Point Human Resources Director Scherrie Lowery, Angela Kirkwood, and HPFD leadership, including Evans</w:t>
      </w:r>
      <w:r>
        <w:t xml:space="preserve">…. </w:t>
      </w:r>
      <w:r w:rsidRPr="00024CDC">
        <w:t>At this meeting, Kirkwood repeatedly told Templeton that he was not prohibited from speaking as a citizen on matters of public concern. (</w:t>
      </w:r>
      <w:r w:rsidRPr="00024CDC">
        <w:rPr>
          <w:i/>
          <w:iCs/>
        </w:rPr>
        <w:t>See generally</w:t>
      </w:r>
      <w:r w:rsidRPr="00024CDC">
        <w:t xml:space="preserve"> Audio Recording of Plaintiff's May 28, </w:t>
      </w:r>
      <w:proofErr w:type="gramStart"/>
      <w:r w:rsidRPr="00024CDC">
        <w:t>2024</w:t>
      </w:r>
      <w:proofErr w:type="gramEnd"/>
      <w:r w:rsidRPr="00024CDC">
        <w:t xml:space="preserve"> Meeting (Exhibit C to Doc. 26).) But Kirkwood and others </w:t>
      </w:r>
      <w:r w:rsidRPr="00024CDC">
        <w:lastRenderedPageBreak/>
        <w:t xml:space="preserve">repeatedly expressed their view that </w:t>
      </w:r>
      <w:r>
        <w:t>‘</w:t>
      </w:r>
      <w:r w:rsidRPr="00024CDC">
        <w:t>fire department concerns</w:t>
      </w:r>
      <w:r>
        <w:t>’</w:t>
      </w:r>
      <w:r w:rsidRPr="00024CDC">
        <w:t xml:space="preserve"> should be brought up through HPFD's chain of command, rather than directly to members of High Point's governance</w:t>
      </w:r>
      <w:r>
        <w:t xml:space="preserve">…. </w:t>
      </w:r>
      <w:r w:rsidRPr="00024CDC">
        <w:t xml:space="preserve">A member of HPFD leadership, possibly Evans, also expressed a narrow view of what constituted a matter of public concern. He stated as an example that the closure of six fire stations would be a matter of public concern, but that the issues Templeton had been raising were specific to HPFD - and these were </w:t>
      </w:r>
      <w:r>
        <w:t>‘</w:t>
      </w:r>
      <w:r w:rsidRPr="00024CDC">
        <w:t>two different things.</w:t>
      </w:r>
      <w:r>
        <w:t xml:space="preserve">’ </w:t>
      </w:r>
    </w:p>
    <w:p w14:paraId="0915DBE4" w14:textId="77777777" w:rsidR="0022286E" w:rsidRDefault="0022286E" w:rsidP="0022286E">
      <w:pPr>
        <w:pStyle w:val="NoSpacing"/>
      </w:pPr>
    </w:p>
    <w:p w14:paraId="26A17F5D" w14:textId="77777777" w:rsidR="0022286E" w:rsidRDefault="0022286E" w:rsidP="0022286E">
      <w:pPr>
        <w:pStyle w:val="NoSpacing"/>
      </w:pPr>
      <w:r>
        <w:t>***</w:t>
      </w:r>
    </w:p>
    <w:p w14:paraId="1C9FDBD8" w14:textId="77777777" w:rsidR="0022286E" w:rsidRDefault="0022286E" w:rsidP="0022286E">
      <w:pPr>
        <w:pStyle w:val="NoSpacing"/>
      </w:pPr>
      <w:r w:rsidRPr="003D29B6">
        <w:t>Templeton filed this lawsuit on August 9, 2024.</w:t>
      </w:r>
      <w:r>
        <w:t>”</w:t>
      </w:r>
    </w:p>
    <w:p w14:paraId="3BC1A4C4" w14:textId="77777777" w:rsidR="0022286E" w:rsidRDefault="0022286E" w:rsidP="0022286E">
      <w:pPr>
        <w:pStyle w:val="NoSpacing"/>
      </w:pPr>
    </w:p>
    <w:p w14:paraId="0EDACEFE" w14:textId="77777777" w:rsidR="0022286E" w:rsidRDefault="0022286E" w:rsidP="0022286E">
      <w:pPr>
        <w:pStyle w:val="NoSpacing"/>
      </w:pPr>
      <w:r>
        <w:t>***</w:t>
      </w:r>
    </w:p>
    <w:p w14:paraId="7B43AD4D" w14:textId="77777777" w:rsidR="0022286E" w:rsidRDefault="0022286E" w:rsidP="0022286E">
      <w:pPr>
        <w:pStyle w:val="NoSpacing"/>
      </w:pPr>
      <w:r w:rsidRPr="00E57DDD">
        <w:t xml:space="preserve"> On September 6, 2024, Templeton was involved in a </w:t>
      </w:r>
      <w:r>
        <w:t>‘</w:t>
      </w:r>
      <w:r w:rsidRPr="00E57DDD">
        <w:t>verbal altercation</w:t>
      </w:r>
      <w:r>
        <w:t>’</w:t>
      </w:r>
      <w:r w:rsidRPr="00E57DDD">
        <w:t xml:space="preserve"> with a community member while he responded to an emergency call; HPFD ordered him </w:t>
      </w:r>
      <w:r>
        <w:t>‘</w:t>
      </w:r>
      <w:r w:rsidRPr="00E57DDD">
        <w:t xml:space="preserve">to undergo mandatory EAP </w:t>
      </w:r>
      <w:proofErr w:type="gramStart"/>
      <w:r w:rsidRPr="00E57DDD">
        <w:t>sessions</w:t>
      </w:r>
      <w:r>
        <w:t>’</w:t>
      </w:r>
      <w:proofErr w:type="gramEnd"/>
      <w:r w:rsidRPr="00E57DDD">
        <w:t xml:space="preserve"> after the incident. </w:t>
      </w:r>
    </w:p>
    <w:p w14:paraId="6E5C6AAA" w14:textId="77777777" w:rsidR="0022286E" w:rsidRDefault="0022286E" w:rsidP="0022286E">
      <w:pPr>
        <w:pStyle w:val="NoSpacing"/>
      </w:pPr>
    </w:p>
    <w:p w14:paraId="6A74FA29" w14:textId="77777777" w:rsidR="0022286E" w:rsidRDefault="0022286E" w:rsidP="0022286E">
      <w:pPr>
        <w:pStyle w:val="NoSpacing"/>
      </w:pPr>
      <w:r>
        <w:t>***</w:t>
      </w:r>
    </w:p>
    <w:p w14:paraId="24ADE138" w14:textId="77777777" w:rsidR="0022286E" w:rsidRDefault="0022286E" w:rsidP="0022286E">
      <w:pPr>
        <w:pStyle w:val="NoSpacing"/>
      </w:pPr>
      <w:r w:rsidRPr="00E57DDD">
        <w:t>Finally, on December 30, 2024, Templeton was disciplined for failing to timely respond to an emergency call notification.</w:t>
      </w:r>
      <w:r>
        <w:t>”</w:t>
      </w:r>
    </w:p>
    <w:p w14:paraId="3DA5F184" w14:textId="77777777" w:rsidR="0022286E" w:rsidRDefault="0022286E" w:rsidP="0022286E">
      <w:pPr>
        <w:pStyle w:val="NoSpacing"/>
      </w:pPr>
    </w:p>
    <w:p w14:paraId="222F3C6E" w14:textId="77777777" w:rsidR="0022286E" w:rsidRDefault="0022286E" w:rsidP="0022286E">
      <w:pPr>
        <w:pStyle w:val="NoSpacing"/>
        <w:rPr>
          <w:b/>
          <w:bCs/>
        </w:rPr>
      </w:pPr>
      <w:r w:rsidRPr="00E627FC">
        <w:rPr>
          <w:b/>
        </w:rPr>
        <w:t xml:space="preserve">COURT HELD: </w:t>
      </w:r>
    </w:p>
    <w:p w14:paraId="092E1BE2" w14:textId="77777777" w:rsidR="0022286E" w:rsidRDefault="0022286E" w:rsidP="0022286E">
      <w:pPr>
        <w:pStyle w:val="NoSpacing"/>
        <w:rPr>
          <w:b/>
          <w:bCs/>
        </w:rPr>
      </w:pPr>
    </w:p>
    <w:p w14:paraId="48F0715C" w14:textId="77777777" w:rsidR="0022286E" w:rsidRDefault="0022286E" w:rsidP="0022286E">
      <w:pPr>
        <w:pStyle w:val="NoSpacing"/>
      </w:pPr>
      <w:r>
        <w:t>“</w:t>
      </w:r>
      <w:r w:rsidRPr="005C5C80">
        <w:t xml:space="preserve">Templeton has offered evidence that he spoke to mayoral candidates, city council members, fire department employees, and the public at large about </w:t>
      </w:r>
      <w:r>
        <w:t>‘</w:t>
      </w:r>
      <w:r w:rsidRPr="005C5C80">
        <w:t>pay compression issues, recruitment and retention issues, safety-related issues, [and] staffing shortages.</w:t>
      </w:r>
      <w:r>
        <w:t xml:space="preserve">’ … </w:t>
      </w:r>
      <w:r w:rsidRPr="005C5C80">
        <w:t xml:space="preserve">These issues concern the ability of the HPFD to carry out its vital work protecting life and property; indeed, Templeton's concerns go to the safety of the community. Speech on these matters has been clearly established as a matter of public concern within the Fourth Circuit at least as far back as 2002. </w:t>
      </w:r>
      <w:r w:rsidRPr="005C5C80">
        <w:rPr>
          <w:i/>
          <w:iCs/>
        </w:rPr>
        <w:t>See, e.g.</w:t>
      </w:r>
      <w:r w:rsidRPr="005C5C80">
        <w:t xml:space="preserve">, </w:t>
      </w:r>
      <w:r w:rsidRPr="005C5C80">
        <w:rPr>
          <w:i/>
          <w:iCs/>
        </w:rPr>
        <w:t>Lilienthal</w:t>
      </w:r>
      <w:r w:rsidRPr="005C5C80">
        <w:t xml:space="preserve">, 275 F.Supp.2d at 691, 694 (first concluding that </w:t>
      </w:r>
      <w:r>
        <w:t>‘</w:t>
      </w:r>
      <w:r w:rsidRPr="005C5C80">
        <w:t>fire department issues such as safety, equipment, staffing, and response time are subjects in which ‘the public or the community is likely to be truly concerned' and ‘interested,</w:t>
      </w:r>
      <w:r>
        <w:t>’</w:t>
      </w:r>
      <w:r w:rsidRPr="005C5C80">
        <w:t xml:space="preserve"> and then concluding that </w:t>
      </w:r>
      <w:r>
        <w:t>‘</w:t>
      </w:r>
      <w:r w:rsidRPr="005C5C80">
        <w:t>in September 2002, it was clearly established that a fire chief's disagreement with a firefighter's views on fire department safety issues and the firefighter's manner of expressing those views is insufficient to justify conditioning continued employment upon the cessation of the protected expression based on a perceived threat of disruption</w:t>
      </w:r>
      <w:r>
        <w:t>’</w:t>
      </w:r>
      <w:r w:rsidRPr="005C5C80">
        <w:t xml:space="preserve">). </w:t>
      </w:r>
    </w:p>
    <w:p w14:paraId="4B39C278" w14:textId="77777777" w:rsidR="0022286E" w:rsidRDefault="0022286E" w:rsidP="0022286E">
      <w:pPr>
        <w:pStyle w:val="NoSpacing"/>
      </w:pPr>
    </w:p>
    <w:p w14:paraId="01E64C97" w14:textId="77777777" w:rsidR="0022286E" w:rsidRDefault="0022286E" w:rsidP="0022286E">
      <w:pPr>
        <w:pStyle w:val="NoSpacing"/>
      </w:pPr>
      <w:r>
        <w:t>***</w:t>
      </w:r>
    </w:p>
    <w:p w14:paraId="7B14EBE8" w14:textId="77777777" w:rsidR="0022286E" w:rsidRDefault="0022286E" w:rsidP="0022286E">
      <w:pPr>
        <w:pStyle w:val="NoSpacing"/>
      </w:pPr>
      <w:r w:rsidRPr="001661DB">
        <w:t>Because Templeton has shown that his right to speak about the ability of HPFD to carry out its mission was clearly established as a matter of public concern, any retaliation by reducing the speaker's income would constitute a clearly established violation of that right.</w:t>
      </w:r>
      <w:r>
        <w:t>”</w:t>
      </w:r>
    </w:p>
    <w:p w14:paraId="6CAB262E" w14:textId="77777777" w:rsidR="0022286E" w:rsidRDefault="0022286E" w:rsidP="0022286E">
      <w:pPr>
        <w:pStyle w:val="NoSpacing"/>
      </w:pPr>
    </w:p>
    <w:p w14:paraId="7CE4B010" w14:textId="77777777" w:rsidR="0022286E" w:rsidRPr="00DF4879" w:rsidRDefault="0022286E" w:rsidP="0022286E">
      <w:pPr>
        <w:pStyle w:val="NoSpacing"/>
        <w:rPr>
          <w:b/>
          <w:bCs/>
        </w:rPr>
      </w:pPr>
      <w:r>
        <w:rPr>
          <w:b/>
        </w:rPr>
        <w:t>Legal lesson learned: Union President has 1</w:t>
      </w:r>
      <w:r w:rsidRPr="00DF4879">
        <w:rPr>
          <w:b/>
          <w:vertAlign w:val="superscript"/>
        </w:rPr>
        <w:t>st</w:t>
      </w:r>
      <w:r>
        <w:rPr>
          <w:b/>
        </w:rPr>
        <w:t xml:space="preserve"> Amendment right to address City Council on matters of public concern; case will now proceed. </w:t>
      </w:r>
    </w:p>
    <w:p w14:paraId="045311E2" w14:textId="77777777" w:rsidR="001333DA" w:rsidRDefault="001333DA" w:rsidP="00744D51">
      <w:pPr>
        <w:pStyle w:val="NoSpacing"/>
        <w:rPr>
          <w:rFonts w:ascii="Arial Black" w:hAnsi="Arial Black"/>
          <w:sz w:val="24"/>
          <w:szCs w:val="24"/>
        </w:rPr>
      </w:pPr>
    </w:p>
    <w:p w14:paraId="4E197143" w14:textId="77777777" w:rsidR="001333DA" w:rsidRDefault="001333DA" w:rsidP="00744D51">
      <w:pPr>
        <w:pStyle w:val="NoSpacing"/>
        <w:rPr>
          <w:rFonts w:ascii="Arial Black" w:hAnsi="Arial Black"/>
          <w:sz w:val="24"/>
          <w:szCs w:val="24"/>
        </w:rPr>
      </w:pPr>
    </w:p>
    <w:p w14:paraId="42F68B20" w14:textId="77777777" w:rsidR="001333DA" w:rsidRDefault="001333DA" w:rsidP="00744D51">
      <w:pPr>
        <w:pStyle w:val="NoSpacing"/>
        <w:rPr>
          <w:rFonts w:ascii="Arial Black" w:hAnsi="Arial Black"/>
          <w:sz w:val="24"/>
          <w:szCs w:val="24"/>
        </w:rPr>
      </w:pPr>
    </w:p>
    <w:p w14:paraId="56C0C780" w14:textId="411AFA06" w:rsidR="009A2956" w:rsidRDefault="00AB7553" w:rsidP="00744D51">
      <w:pPr>
        <w:pStyle w:val="NoSpacing"/>
        <w:rPr>
          <w:rFonts w:ascii="Arial Black" w:hAnsi="Arial Black"/>
          <w:sz w:val="24"/>
          <w:szCs w:val="24"/>
        </w:rPr>
      </w:pPr>
      <w:r>
        <w:rPr>
          <w:rFonts w:ascii="Arial Black" w:hAnsi="Arial Black"/>
          <w:sz w:val="24"/>
          <w:szCs w:val="24"/>
        </w:rPr>
        <w:t>17-61</w:t>
      </w:r>
    </w:p>
    <w:p w14:paraId="661A31FA" w14:textId="77777777" w:rsidR="00AB7553" w:rsidRDefault="00AB7553" w:rsidP="00744D51">
      <w:pPr>
        <w:pStyle w:val="NoSpacing"/>
        <w:rPr>
          <w:rFonts w:ascii="Arial Black" w:hAnsi="Arial Black"/>
          <w:sz w:val="24"/>
          <w:szCs w:val="24"/>
        </w:rPr>
      </w:pPr>
    </w:p>
    <w:p w14:paraId="29F0D0FD" w14:textId="77777777" w:rsidR="00AB7553" w:rsidRDefault="00AB7553" w:rsidP="00AB7553">
      <w:pPr>
        <w:rPr>
          <w:rFonts w:ascii="Arial Black" w:hAnsi="Arial Black"/>
          <w:sz w:val="28"/>
          <w:szCs w:val="28"/>
        </w:rPr>
      </w:pPr>
      <w:r>
        <w:rPr>
          <w:rFonts w:ascii="Arial Black" w:hAnsi="Arial Black"/>
          <w:sz w:val="28"/>
          <w:szCs w:val="28"/>
        </w:rPr>
        <w:t>LA: IAFF SEC. – CHIEF’S NEW CAR – FIRED / CASE PROCEED</w:t>
      </w:r>
    </w:p>
    <w:p w14:paraId="168E4E48" w14:textId="77777777" w:rsidR="00AB7553" w:rsidRDefault="00AB7553" w:rsidP="00AB7553">
      <w:r>
        <w:t xml:space="preserve">On May 22. 2026, in </w:t>
      </w:r>
      <w:r w:rsidRPr="007E0CBE">
        <w:rPr>
          <w:u w:val="single"/>
        </w:rPr>
        <w:t>Jonathan Gramm v. Desoto Parish Fire District 9, et al</w:t>
      </w:r>
      <w:r>
        <w:t>. , U.S. District Court Judge S. Maurice Hicks, Jr., United States District Court for Western District of Louisiana, Shreveport Division, denied the FD’s motion for summary judgment.  THE COURT WROTE: “</w:t>
      </w:r>
      <w:r w:rsidRPr="002D6022">
        <w:t xml:space="preserve">Accordingly, viewing the evidence in the light most favorable to Gramm, the Court finds that genuine disputes of material fact remain as to whether Gramm spoke as a citizen on a matter of public concern. The record contains evidence from which a reasonable factfinder could conclude that Gramm contacted Commissioners as a citizen and union representative to address a public budget matter, not pursuant to his ordinary </w:t>
      </w:r>
      <w:r w:rsidRPr="002D6022">
        <w:lastRenderedPageBreak/>
        <w:t>duties as a Fire Captain.</w:t>
      </w:r>
      <w:r>
        <w:t xml:space="preserve">”  </w:t>
      </w:r>
      <w:hyperlink r:id="rId2847" w:history="1">
        <w:r w:rsidRPr="00126634">
          <w:rPr>
            <w:rStyle w:val="Hyperlink"/>
          </w:rPr>
          <w:t>https://public.fastcase.com/Jhe1Qn%2BmJndQYQU6z%2FeNm%2FDGnkNPmF%2FGN9ENyHmXzZguwABevXHo%2FJOs4DZQ3ccvXn%2B8i7GPeSKXZ%2FJuUaa2eSmBPBV%2FroWj%2BWUiix8FppM%3D?utm_medium=email&amp;_hsenc=p2ANqtz-9ln45T61k1McKPYzdFhYaqHVpy9H3-ipNGhojNaHNF5Osr6BUzI4NGniJzh20R42JdVxn_jn5CFBBvjphJmsP_Zy8_gA&amp;_hsmi=226712652&amp;utm_content=226712652&amp;utm_source=hs_email</w:t>
        </w:r>
      </w:hyperlink>
      <w:r>
        <w:t xml:space="preserve">      </w:t>
      </w:r>
    </w:p>
    <w:p w14:paraId="6C5DE7DC" w14:textId="77777777" w:rsidR="00AB7553" w:rsidRDefault="00AB7553" w:rsidP="00AB7553">
      <w:r>
        <w:t>THE COUR HELD:</w:t>
      </w:r>
    </w:p>
    <w:p w14:paraId="6994DC9A" w14:textId="77777777" w:rsidR="00AB7553" w:rsidRDefault="00AB7553" w:rsidP="00AB7553">
      <w:pPr>
        <w:ind w:left="720"/>
      </w:pPr>
      <w:r>
        <w:t>“</w:t>
      </w:r>
      <w:r w:rsidRPr="00AC65CE">
        <w:t xml:space="preserve">Gramm was employed by DFD9 as a Fire Captain </w:t>
      </w:r>
      <w:proofErr w:type="gramStart"/>
      <w:r w:rsidRPr="00AC65CE">
        <w:t>and also</w:t>
      </w:r>
      <w:proofErr w:type="gramEnd"/>
      <w:r w:rsidRPr="00AC65CE">
        <w:t xml:space="preserve"> served as secretary</w:t>
      </w:r>
      <w:r>
        <w:t xml:space="preserve"> / </w:t>
      </w:r>
      <w:r w:rsidRPr="00AC65CE">
        <w:t xml:space="preserve">treasurer for Local 5138 (the </w:t>
      </w:r>
      <w:r>
        <w:t>‘</w:t>
      </w:r>
      <w:r w:rsidRPr="00AC65CE">
        <w:t>union</w:t>
      </w:r>
      <w:r>
        <w:t>’</w:t>
      </w:r>
      <w:r w:rsidRPr="00AC65CE">
        <w:t>)</w:t>
      </w:r>
      <w:r>
        <w:t xml:space="preserve">…. </w:t>
      </w:r>
      <w:r w:rsidRPr="00AC65CE">
        <w:t>In September 2023, an agenda for an upcoming Board of Commissioners meeting was posted at the fire station and included an item concerning the proposed purchase of a vehicle for Chief King. Thereafter, firefighters discussed the proposed purchase during working hours at the station and expressed concerns regarding the allocation of district funds. Gramm contends that the firefighters believed available funds would be better spent on firefighting equipment and improvements to station conditions</w:t>
      </w:r>
      <w:r>
        <w:t xml:space="preserve">…. </w:t>
      </w:r>
      <w:r w:rsidRPr="00AC65CE">
        <w:t xml:space="preserve"> Because the firefighters were unable to attend the Board of Commissioner's meeting, they allegedly elected Gramm to contact the Commissioners directly because he was the union secretary</w:t>
      </w:r>
      <w:r>
        <w:t xml:space="preserve"> </w:t>
      </w:r>
      <w:r w:rsidRPr="00AC65CE">
        <w:t xml:space="preserve">treasurer. </w:t>
      </w:r>
    </w:p>
    <w:p w14:paraId="0EDFFF8D" w14:textId="77777777" w:rsidR="00AB7553" w:rsidRDefault="00AB7553" w:rsidP="00AB7553">
      <w:pPr>
        <w:ind w:left="720"/>
      </w:pPr>
      <w:r>
        <w:t>***</w:t>
      </w:r>
    </w:p>
    <w:p w14:paraId="425B8483" w14:textId="77777777" w:rsidR="00AB7553" w:rsidRDefault="00AB7553" w:rsidP="00AB7553">
      <w:pPr>
        <w:ind w:left="720"/>
      </w:pPr>
      <w:r w:rsidRPr="00555B08">
        <w:t>On September 18, 2023, while off duty, Gramm telephoned Commissioners Ross Tilbury and Bobby Ettredge regarding the concerns</w:t>
      </w:r>
      <w:r>
        <w:t xml:space="preserve">…. </w:t>
      </w:r>
      <w:r w:rsidRPr="00555B08">
        <w:t xml:space="preserve"> It is undisputed that Gramm contacted the Commissioners without first discussing the matter with Chief King. It is likewise undisputed that Memorandum 18001 prohibited DFD9 personnel from contacting Board members regarding official district business without first conferring with their immediate supervisor</w:t>
      </w:r>
      <w:r>
        <w:t xml:space="preserve">…. </w:t>
      </w:r>
      <w:r w:rsidRPr="00555B08">
        <w:t xml:space="preserve"> Gramm acknowledges that he reviewed Memorandum 18001 when it was issued and understood that if he failed to comply with its directives, it would be considered insubordination. </w:t>
      </w:r>
    </w:p>
    <w:p w14:paraId="4BF76996" w14:textId="77777777" w:rsidR="00AB7553" w:rsidRDefault="00AB7553" w:rsidP="00AB7553">
      <w:pPr>
        <w:ind w:left="720"/>
      </w:pPr>
      <w:r>
        <w:t>***</w:t>
      </w:r>
    </w:p>
    <w:p w14:paraId="6D9A6AB8" w14:textId="77777777" w:rsidR="00AB7553" w:rsidRDefault="00AB7553" w:rsidP="00AB7553">
      <w:pPr>
        <w:ind w:left="720"/>
      </w:pPr>
      <w:r w:rsidRPr="008F7E43">
        <w:t>However, the speech at issue involved public funds and public safety. Gramm's interest in speaking to government officials about whether taxpayer funds should be spent on a new chief's vehicle or on firefighting equipment is substantial. Moreover, the present record contains little to no evidence that Gramm's speech caused any actual disruption except for his termination and this lawsuit</w:t>
      </w:r>
      <w:r>
        <w:t xml:space="preserve">…. </w:t>
      </w:r>
      <w:r w:rsidRPr="008F7E43">
        <w:t xml:space="preserve">Additionally, Defendants' own position </w:t>
      </w:r>
      <w:proofErr w:type="gramStart"/>
      <w:r w:rsidRPr="008F7E43">
        <w:t>that</w:t>
      </w:r>
      <w:proofErr w:type="gramEnd"/>
      <w:r w:rsidRPr="008F7E43">
        <w:t xml:space="preserve"> Gramm could have raised the same concerns at a Board </w:t>
      </w:r>
      <w:proofErr w:type="gramStart"/>
      <w:r w:rsidRPr="008F7E43">
        <w:t>meeting</w:t>
      </w:r>
      <w:proofErr w:type="gramEnd"/>
      <w:r w:rsidRPr="008F7E43">
        <w:t xml:space="preserve"> weakens the argument that the substance of the speech itself was inherently disruptive. Defendants primarily contend that the manner of communication-calling Commissioners before the meeting rather than appearing publicly at the meeting or first speaking with Chief King-created the discipline problem. That may be a legitimate consideration, but it does not conclusively outweigh Gramm's First Amendment interests at this stage.</w:t>
      </w:r>
      <w:r>
        <w:t>”</w:t>
      </w:r>
    </w:p>
    <w:p w14:paraId="57FCFCC5" w14:textId="77777777" w:rsidR="00AB7553" w:rsidRPr="00655A6F" w:rsidRDefault="00AB7553" w:rsidP="00AB7553">
      <w:pPr>
        <w:rPr>
          <w:b/>
          <w:bCs/>
        </w:rPr>
      </w:pPr>
      <w:r>
        <w:rPr>
          <w:b/>
        </w:rPr>
        <w:t xml:space="preserve">Legal lesson learned: </w:t>
      </w:r>
      <w:r w:rsidRPr="00655A6F">
        <w:rPr>
          <w:b/>
        </w:rPr>
        <w:t>Union Secretary protected</w:t>
      </w:r>
      <w:r>
        <w:rPr>
          <w:b/>
        </w:rPr>
        <w:t xml:space="preserve"> from retaliation under First </w:t>
      </w:r>
      <w:r w:rsidRPr="00655A6F">
        <w:rPr>
          <w:b/>
        </w:rPr>
        <w:t>Amendment if court finds he communicated to Commissioners as a citizen on a matter of public concern.</w:t>
      </w:r>
    </w:p>
    <w:p w14:paraId="08D336FA" w14:textId="77777777" w:rsidR="00AB7553" w:rsidRDefault="00AB7553" w:rsidP="00744D51">
      <w:pPr>
        <w:pStyle w:val="NoSpacing"/>
        <w:rPr>
          <w:rFonts w:ascii="Arial Black" w:hAnsi="Arial Black"/>
          <w:sz w:val="24"/>
          <w:szCs w:val="24"/>
        </w:rPr>
      </w:pPr>
    </w:p>
    <w:p w14:paraId="22870782" w14:textId="77777777" w:rsidR="009A2956" w:rsidRDefault="009A2956" w:rsidP="00744D51">
      <w:pPr>
        <w:pStyle w:val="NoSpacing"/>
        <w:rPr>
          <w:rFonts w:ascii="Arial Black" w:hAnsi="Arial Black"/>
          <w:sz w:val="24"/>
          <w:szCs w:val="24"/>
        </w:rPr>
      </w:pPr>
    </w:p>
    <w:p w14:paraId="462EAE46" w14:textId="77777777" w:rsidR="009A2956" w:rsidRDefault="009A2956" w:rsidP="00744D51">
      <w:pPr>
        <w:pStyle w:val="NoSpacing"/>
        <w:rPr>
          <w:rFonts w:ascii="Arial Black" w:hAnsi="Arial Black"/>
          <w:sz w:val="24"/>
          <w:szCs w:val="24"/>
        </w:rPr>
      </w:pPr>
    </w:p>
    <w:p w14:paraId="606063A9" w14:textId="3137D68D" w:rsidR="00744D51" w:rsidRDefault="00744D51" w:rsidP="00744D51">
      <w:pPr>
        <w:pStyle w:val="NoSpacing"/>
        <w:rPr>
          <w:rFonts w:ascii="Arial Black" w:hAnsi="Arial Black"/>
          <w:sz w:val="24"/>
          <w:szCs w:val="24"/>
        </w:rPr>
      </w:pPr>
      <w:r>
        <w:rPr>
          <w:rFonts w:ascii="Arial Black" w:hAnsi="Arial Black"/>
          <w:sz w:val="24"/>
          <w:szCs w:val="24"/>
        </w:rPr>
        <w:t>17-60</w:t>
      </w:r>
    </w:p>
    <w:p w14:paraId="521A3F22" w14:textId="77777777" w:rsidR="002718E8" w:rsidRDefault="002718E8" w:rsidP="002718E8">
      <w:pPr>
        <w:pStyle w:val="NoSpacing"/>
        <w:rPr>
          <w:rFonts w:ascii="Arial Black" w:hAnsi="Arial Black"/>
          <w:b/>
          <w:sz w:val="28"/>
          <w:szCs w:val="28"/>
        </w:rPr>
      </w:pPr>
    </w:p>
    <w:p w14:paraId="3775D24C" w14:textId="6DC8F98B" w:rsidR="002718E8" w:rsidRPr="00C51375" w:rsidRDefault="002718E8" w:rsidP="002718E8">
      <w:pPr>
        <w:pStyle w:val="NoSpacing"/>
        <w:rPr>
          <w:rFonts w:ascii="Arial Black" w:hAnsi="Arial Black"/>
          <w:b/>
          <w:sz w:val="28"/>
          <w:szCs w:val="28"/>
        </w:rPr>
      </w:pPr>
      <w:r>
        <w:rPr>
          <w:rFonts w:ascii="Arial Black" w:hAnsi="Arial Black"/>
          <w:b/>
          <w:sz w:val="28"/>
          <w:szCs w:val="28"/>
        </w:rPr>
        <w:t>NC: PD UNION – PIO “NASTINESS” – NOT DEFAMATION</w:t>
      </w:r>
    </w:p>
    <w:p w14:paraId="3E1182CE" w14:textId="77777777" w:rsidR="002718E8" w:rsidRDefault="002718E8" w:rsidP="002718E8">
      <w:pPr>
        <w:pStyle w:val="NoSpacing"/>
        <w:rPr>
          <w:b/>
        </w:rPr>
      </w:pPr>
    </w:p>
    <w:p w14:paraId="40D3E078" w14:textId="77777777" w:rsidR="002718E8" w:rsidRDefault="002718E8" w:rsidP="002718E8">
      <w:pPr>
        <w:pStyle w:val="NoSpacing"/>
      </w:pPr>
      <w:r>
        <w:t xml:space="preserve">On March 4, 2026, in </w:t>
      </w:r>
      <w:r w:rsidRPr="00020CF6">
        <w:rPr>
          <w:u w:val="single"/>
        </w:rPr>
        <w:t xml:space="preserve">Sanda </w:t>
      </w:r>
      <w:proofErr w:type="spellStart"/>
      <w:r w:rsidRPr="00020CF6">
        <w:rPr>
          <w:u w:val="single"/>
        </w:rPr>
        <w:t>D’Elosua</w:t>
      </w:r>
      <w:proofErr w:type="spellEnd"/>
      <w:r w:rsidRPr="00020CF6">
        <w:rPr>
          <w:u w:val="single"/>
        </w:rPr>
        <w:t xml:space="preserve"> Vastola v. Charlotte Mecklenburg Lodge 9, Fraternal Order of Police, Inc. and Daniel Redfocd, President</w:t>
      </w:r>
      <w:r w:rsidRPr="005A7818">
        <w:t>, the Court of Appeals of North Carolina</w:t>
      </w:r>
      <w:r>
        <w:t xml:space="preserve"> held (3 to 0) that trial court properly dismissed slander / libel lawsuit by the PD Director of Public Affairs; the Union’s “purely subjective opinion” about PIO is not defamation.  Four police officers were killed on April 29, 2024, and she </w:t>
      </w:r>
      <w:r w:rsidRPr="0073205F">
        <w:t xml:space="preserve">declined to </w:t>
      </w:r>
      <w:r>
        <w:t xml:space="preserve">refute or otherwise </w:t>
      </w:r>
      <w:r w:rsidRPr="0073205F">
        <w:t>respond to many of the</w:t>
      </w:r>
      <w:r>
        <w:t xml:space="preserve"> </w:t>
      </w:r>
      <w:r w:rsidRPr="0073205F">
        <w:t>questions</w:t>
      </w:r>
      <w:r>
        <w:t xml:space="preserve"> by local press that allegedly </w:t>
      </w:r>
      <w:r w:rsidRPr="0072685F">
        <w:t>certain officers of the department “who logged off and did</w:t>
      </w:r>
      <w:r>
        <w:t xml:space="preserve"> </w:t>
      </w:r>
      <w:r w:rsidRPr="0072685F">
        <w:t>not show up during the incident.”</w:t>
      </w:r>
      <w:r>
        <w:t xml:space="preserve">  The Union in </w:t>
      </w:r>
      <w:proofErr w:type="gramStart"/>
      <w:r>
        <w:t>a number of</w:t>
      </w:r>
      <w:proofErr w:type="gramEnd"/>
      <w:r>
        <w:t xml:space="preserve"> FACEBOOK posts and press interviews referenced her “nattiness” and questioner </w:t>
      </w:r>
      <w:r w:rsidRPr="008A2F1A">
        <w:t>her</w:t>
      </w:r>
      <w:r>
        <w:t xml:space="preserve"> </w:t>
      </w:r>
      <w:r w:rsidRPr="008A2F1A">
        <w:t>professionalism</w:t>
      </w:r>
      <w:r>
        <w:t xml:space="preserve"> in responding to a serious press inquiry.  </w:t>
      </w:r>
    </w:p>
    <w:p w14:paraId="1B5727F3" w14:textId="77777777" w:rsidR="002718E8" w:rsidRDefault="002718E8" w:rsidP="002718E8">
      <w:pPr>
        <w:pStyle w:val="NoSpacing"/>
        <w:rPr>
          <w:bCs/>
        </w:rPr>
      </w:pPr>
      <w:hyperlink r:id="rId2848" w:history="1">
        <w:r w:rsidRPr="000855F8">
          <w:rPr>
            <w:rStyle w:val="Hyperlink"/>
          </w:rPr>
          <w:t>https://cases.justia.com/north-carolina/court-of-appeals/2026-25-761.pdf?ts=1772641555</w:t>
        </w:r>
      </w:hyperlink>
    </w:p>
    <w:p w14:paraId="79A44C46" w14:textId="77777777" w:rsidR="002718E8" w:rsidRDefault="002718E8" w:rsidP="002718E8">
      <w:pPr>
        <w:pStyle w:val="NoSpacing"/>
        <w:rPr>
          <w:bCs/>
        </w:rPr>
      </w:pPr>
    </w:p>
    <w:p w14:paraId="2F0EFFB5" w14:textId="77777777" w:rsidR="002718E8" w:rsidRDefault="002718E8" w:rsidP="002718E8">
      <w:pPr>
        <w:pStyle w:val="NoSpacing"/>
      </w:pPr>
      <w:r>
        <w:t xml:space="preserve">THE COURT WROTE: </w:t>
      </w:r>
    </w:p>
    <w:p w14:paraId="6D749A58" w14:textId="77777777" w:rsidR="002718E8" w:rsidRDefault="002718E8" w:rsidP="002718E8">
      <w:pPr>
        <w:pStyle w:val="NoSpacing"/>
      </w:pPr>
    </w:p>
    <w:p w14:paraId="2D5208C6" w14:textId="77777777" w:rsidR="002718E8" w:rsidRDefault="002718E8" w:rsidP="002718E8">
      <w:pPr>
        <w:pStyle w:val="NoSpacing"/>
        <w:ind w:left="720"/>
        <w:rPr>
          <w:bCs/>
        </w:rPr>
      </w:pPr>
      <w:r>
        <w:t>“</w:t>
      </w:r>
      <w:r w:rsidRPr="00604DB5">
        <w:t>A statement expressing a purely subjective opinion about a person—regardless</w:t>
      </w:r>
      <w:r>
        <w:t xml:space="preserve"> </w:t>
      </w:r>
      <w:r w:rsidRPr="00604DB5">
        <w:t xml:space="preserve">of whether that person is </w:t>
      </w:r>
      <w:proofErr w:type="gramStart"/>
      <w:r w:rsidRPr="00604DB5">
        <w:t>a public figure,</w:t>
      </w:r>
      <w:proofErr w:type="gramEnd"/>
      <w:r w:rsidRPr="00604DB5">
        <w:t xml:space="preserve"> whether the statement was made publicly,</w:t>
      </w:r>
      <w:r>
        <w:t xml:space="preserve"> </w:t>
      </w:r>
      <w:r w:rsidRPr="00604DB5">
        <w:t>or whether the statement caused harm—is not defamatory. As the statements here</w:t>
      </w:r>
      <w:r>
        <w:t xml:space="preserve"> </w:t>
      </w:r>
      <w:r w:rsidRPr="00604DB5">
        <w:t>expressed purely subjective opinions, the trial court correctly dismissed Plaintiff’s</w:t>
      </w:r>
      <w:r>
        <w:t xml:space="preserve"> </w:t>
      </w:r>
      <w:r w:rsidRPr="00604DB5">
        <w:t>slander and libel claims.</w:t>
      </w:r>
    </w:p>
    <w:p w14:paraId="3F274F80" w14:textId="77777777" w:rsidR="002718E8" w:rsidRDefault="002718E8" w:rsidP="002718E8">
      <w:pPr>
        <w:pStyle w:val="NoSpacing"/>
        <w:ind w:left="720"/>
        <w:rPr>
          <w:bCs/>
        </w:rPr>
      </w:pPr>
    </w:p>
    <w:p w14:paraId="6221A47C" w14:textId="77777777" w:rsidR="002718E8" w:rsidRDefault="002718E8" w:rsidP="002718E8">
      <w:pPr>
        <w:pStyle w:val="NoSpacing"/>
        <w:ind w:left="720"/>
      </w:pPr>
      <w:r>
        <w:t>***</w:t>
      </w:r>
    </w:p>
    <w:p w14:paraId="3FB011B9" w14:textId="77777777" w:rsidR="002718E8" w:rsidRDefault="002718E8" w:rsidP="002718E8">
      <w:pPr>
        <w:pStyle w:val="NoSpacing"/>
        <w:ind w:left="720"/>
      </w:pPr>
      <w:r>
        <w:t>Plaintiff declined to respond to many of the questions based on the belief that they constituted private personnel records under N.C.G.S. § 160A-</w:t>
      </w:r>
      <w:proofErr w:type="gramStart"/>
      <w:r>
        <w:t>168, and</w:t>
      </w:r>
      <w:proofErr w:type="gramEnd"/>
      <w:r>
        <w:t xml:space="preserve"> described the story as ‘a slam job that would damage the very men and women who are still recovering from this heinous incident.’ When the story was run, it characterized the Charlotte-Mecklenburg Police Department as lacking in transparency.</w:t>
      </w:r>
    </w:p>
    <w:p w14:paraId="60A4B687" w14:textId="77777777" w:rsidR="002718E8" w:rsidRDefault="002718E8" w:rsidP="002718E8">
      <w:pPr>
        <w:pStyle w:val="NoSpacing"/>
        <w:ind w:left="720"/>
      </w:pPr>
    </w:p>
    <w:p w14:paraId="29FB4E75" w14:textId="77777777" w:rsidR="002718E8" w:rsidRDefault="002718E8" w:rsidP="002718E8">
      <w:pPr>
        <w:pStyle w:val="NoSpacing"/>
        <w:ind w:left="720"/>
      </w:pPr>
      <w:r>
        <w:t>***</w:t>
      </w:r>
    </w:p>
    <w:p w14:paraId="28FDAA2F" w14:textId="77777777" w:rsidR="002718E8" w:rsidRDefault="002718E8" w:rsidP="002718E8">
      <w:pPr>
        <w:pStyle w:val="NoSpacing"/>
        <w:ind w:left="720"/>
      </w:pPr>
      <w:r>
        <w:t>Here, none of the statements that Plaintiff identifies in her complaint can be</w:t>
      </w:r>
    </w:p>
    <w:p w14:paraId="26769216" w14:textId="77777777" w:rsidR="002718E8" w:rsidRDefault="002718E8" w:rsidP="002718E8">
      <w:pPr>
        <w:pStyle w:val="NoSpacing"/>
        <w:ind w:left="720"/>
      </w:pPr>
      <w:r>
        <w:t>seriously understood as containing factual content. While perhaps deeply</w:t>
      </w:r>
    </w:p>
    <w:p w14:paraId="2DCF14A2" w14:textId="77777777" w:rsidR="002718E8" w:rsidRDefault="002718E8" w:rsidP="002718E8">
      <w:pPr>
        <w:pStyle w:val="NoSpacing"/>
        <w:ind w:left="720"/>
      </w:pPr>
      <w:r>
        <w:t>unflattering, accusing Plaintiff of ‘nastiness,’ opining that her actions constitute</w:t>
      </w:r>
    </w:p>
    <w:p w14:paraId="7C575EFE" w14:textId="77777777" w:rsidR="002718E8" w:rsidRDefault="002718E8" w:rsidP="002718E8">
      <w:pPr>
        <w:pStyle w:val="NoSpacing"/>
        <w:ind w:left="720"/>
      </w:pPr>
      <w:r>
        <w:t>‘</w:t>
      </w:r>
      <w:proofErr w:type="gramStart"/>
      <w:r>
        <w:t>failures</w:t>
      </w:r>
      <w:proofErr w:type="gramEnd"/>
      <w:r>
        <w:t xml:space="preserve"> as a person with power[,]’ characterizing her statements as ‘dismissive’ or</w:t>
      </w:r>
    </w:p>
    <w:p w14:paraId="3EE435CD" w14:textId="77777777" w:rsidR="002718E8" w:rsidRDefault="002718E8" w:rsidP="002718E8">
      <w:pPr>
        <w:pStyle w:val="NoSpacing"/>
        <w:ind w:left="720"/>
      </w:pPr>
      <w:r>
        <w:t xml:space="preserve">‘snap[ping] back with insults[,]’ or expressing that she made ‘poor </w:t>
      </w:r>
      <w:proofErr w:type="gramStart"/>
      <w:r>
        <w:t>decisions’</w:t>
      </w:r>
      <w:proofErr w:type="gramEnd"/>
      <w:r>
        <w:t xml:space="preserve"> or a</w:t>
      </w:r>
    </w:p>
    <w:p w14:paraId="53F0D94E" w14:textId="77777777" w:rsidR="002718E8" w:rsidRDefault="002718E8" w:rsidP="002718E8">
      <w:pPr>
        <w:pStyle w:val="NoSpacing"/>
        <w:ind w:left="720"/>
      </w:pPr>
      <w:r>
        <w:t>‘[g]</w:t>
      </w:r>
      <w:proofErr w:type="spellStart"/>
      <w:r>
        <w:t>arbage</w:t>
      </w:r>
      <w:proofErr w:type="spellEnd"/>
      <w:r>
        <w:t xml:space="preserve"> response’ are all decidedly subjective opinions offered to characterize her</w:t>
      </w:r>
    </w:p>
    <w:p w14:paraId="59CD6B63" w14:textId="77777777" w:rsidR="002718E8" w:rsidRDefault="002718E8" w:rsidP="002718E8">
      <w:pPr>
        <w:pStyle w:val="NoSpacing"/>
        <w:ind w:left="720"/>
      </w:pPr>
      <w:r>
        <w:t>behavior, not factual claims regarding the contents of her behavior.</w:t>
      </w:r>
    </w:p>
    <w:p w14:paraId="389D9DF1" w14:textId="77777777" w:rsidR="002718E8" w:rsidRDefault="002718E8" w:rsidP="002718E8">
      <w:pPr>
        <w:pStyle w:val="NoSpacing"/>
        <w:ind w:left="720"/>
      </w:pPr>
    </w:p>
    <w:p w14:paraId="11C0EC63" w14:textId="77777777" w:rsidR="002718E8" w:rsidRDefault="002718E8" w:rsidP="002718E8">
      <w:pPr>
        <w:pStyle w:val="NoSpacing"/>
        <w:ind w:left="720"/>
      </w:pPr>
      <w:r>
        <w:t>***</w:t>
      </w:r>
    </w:p>
    <w:p w14:paraId="31395088" w14:textId="77777777" w:rsidR="002718E8" w:rsidRDefault="002718E8" w:rsidP="002718E8">
      <w:pPr>
        <w:pStyle w:val="NoSpacing"/>
        <w:ind w:left="720"/>
      </w:pPr>
      <w:r>
        <w:t>The United States Supreme Court has said that ‘debate on public issues should</w:t>
      </w:r>
    </w:p>
    <w:p w14:paraId="7ED33E94" w14:textId="77777777" w:rsidR="002718E8" w:rsidRDefault="002718E8" w:rsidP="002718E8">
      <w:pPr>
        <w:pStyle w:val="NoSpacing"/>
        <w:ind w:left="720"/>
      </w:pPr>
      <w:r>
        <w:t>be uninhibited, robust, and wide-open, and . . . may well include vehement, caustic,</w:t>
      </w:r>
    </w:p>
    <w:p w14:paraId="0914B76B" w14:textId="77777777" w:rsidR="002718E8" w:rsidRDefault="002718E8" w:rsidP="002718E8">
      <w:pPr>
        <w:pStyle w:val="NoSpacing"/>
        <w:ind w:left="720"/>
      </w:pPr>
      <w:r>
        <w:t>and sometimes unpleasantly sharp attacks on government and public</w:t>
      </w:r>
    </w:p>
    <w:p w14:paraId="7ACD3CE3" w14:textId="77777777" w:rsidR="002718E8" w:rsidRDefault="002718E8" w:rsidP="002718E8">
      <w:pPr>
        <w:pStyle w:val="NoSpacing"/>
        <w:ind w:left="720"/>
      </w:pPr>
      <w:r>
        <w:t>officials[,]’ New York Times Co. v. Sullivan, 376 U.S. 254, 270 (1964); accordingly,</w:t>
      </w:r>
    </w:p>
    <w:p w14:paraId="2EA5D96F" w14:textId="77777777" w:rsidR="002718E8" w:rsidRDefault="002718E8" w:rsidP="002718E8">
      <w:pPr>
        <w:pStyle w:val="NoSpacing"/>
        <w:ind w:left="720"/>
      </w:pPr>
      <w:r>
        <w:t>‘</w:t>
      </w:r>
      <w:proofErr w:type="gramStart"/>
      <w:r>
        <w:t>public</w:t>
      </w:r>
      <w:proofErr w:type="gramEnd"/>
      <w:r>
        <w:t xml:space="preserve"> figures bear the burden of proving that alleged defamatory statements</w:t>
      </w:r>
    </w:p>
    <w:p w14:paraId="2B9352AA" w14:textId="77777777" w:rsidR="002718E8" w:rsidRDefault="002718E8" w:rsidP="002718E8">
      <w:pPr>
        <w:pStyle w:val="NoSpacing"/>
        <w:ind w:left="720"/>
      </w:pPr>
      <w:r>
        <w:t xml:space="preserve">against them were published with actual malice </w:t>
      </w:r>
      <w:proofErr w:type="gramStart"/>
      <w:r>
        <w:t>in order to</w:t>
      </w:r>
      <w:proofErr w:type="gramEnd"/>
      <w:r>
        <w:t xml:space="preserve"> recover damages.’</w:t>
      </w:r>
    </w:p>
    <w:p w14:paraId="4DD70758" w14:textId="77777777" w:rsidR="002718E8" w:rsidRDefault="002718E8" w:rsidP="002718E8">
      <w:pPr>
        <w:pStyle w:val="NoSpacing"/>
        <w:ind w:left="720"/>
      </w:pPr>
    </w:p>
    <w:p w14:paraId="4D418EAA" w14:textId="77777777" w:rsidR="002718E8" w:rsidRDefault="002718E8" w:rsidP="002718E8">
      <w:pPr>
        <w:pStyle w:val="NoSpacing"/>
        <w:ind w:left="720"/>
      </w:pPr>
      <w:r>
        <w:t>***</w:t>
      </w:r>
    </w:p>
    <w:p w14:paraId="670AE579" w14:textId="77777777" w:rsidR="002718E8" w:rsidRDefault="002718E8" w:rsidP="002718E8">
      <w:pPr>
        <w:pStyle w:val="NoSpacing"/>
        <w:ind w:left="720"/>
      </w:pPr>
      <w:r>
        <w:t>Thus, even assuming arguendo that Plaintiff is not a public figure and that these statements publicly disparaged her to her material harm, they contain no factual content and therefore cannot, as a matter of law, be understood as defamatory.”</w:t>
      </w:r>
    </w:p>
    <w:p w14:paraId="28124B5E" w14:textId="77777777" w:rsidR="002718E8" w:rsidRDefault="002718E8" w:rsidP="002718E8">
      <w:pPr>
        <w:pStyle w:val="NoSpacing"/>
        <w:ind w:left="720"/>
      </w:pPr>
    </w:p>
    <w:p w14:paraId="60E22B04" w14:textId="77777777" w:rsidR="002718E8" w:rsidRPr="002A2731" w:rsidRDefault="002718E8" w:rsidP="002718E8">
      <w:pPr>
        <w:pStyle w:val="NoSpacing"/>
        <w:rPr>
          <w:b/>
          <w:bCs/>
        </w:rPr>
      </w:pPr>
      <w:r>
        <w:rPr>
          <w:b/>
        </w:rPr>
        <w:t xml:space="preserve">Legal lesson learned: Pure expression of opinion about person’s lack of professionalism is not defamation; if plaintiff was a “public figure” that she would also have to prove “malice.” </w:t>
      </w:r>
    </w:p>
    <w:p w14:paraId="5F99186F" w14:textId="77777777" w:rsidR="002718E8" w:rsidRDefault="002718E8" w:rsidP="002718E8">
      <w:pPr>
        <w:pStyle w:val="NoSpacing"/>
      </w:pPr>
    </w:p>
    <w:p w14:paraId="0F4B4E51" w14:textId="77777777" w:rsidR="002718E8" w:rsidRDefault="002718E8" w:rsidP="002718E8">
      <w:pPr>
        <w:pStyle w:val="NoSpacing"/>
        <w:ind w:left="720"/>
        <w:rPr>
          <w:b/>
        </w:rPr>
      </w:pPr>
      <w:r>
        <w:t xml:space="preserve">Note: See this </w:t>
      </w:r>
      <w:r w:rsidRPr="00AE38CC">
        <w:t xml:space="preserve">April 8, </w:t>
      </w:r>
      <w:proofErr w:type="gramStart"/>
      <w:r w:rsidRPr="00AE38CC">
        <w:t>2026</w:t>
      </w:r>
      <w:proofErr w:type="gramEnd"/>
      <w:r>
        <w:t xml:space="preserve"> article</w:t>
      </w:r>
      <w:r w:rsidRPr="00AE38CC">
        <w:t>: Court sides with Char-Meck FOP in CMPD employee defamation case.</w:t>
      </w:r>
      <w:r>
        <w:rPr>
          <w:b/>
        </w:rPr>
        <w:t xml:space="preserve"> </w:t>
      </w:r>
      <w:hyperlink r:id="rId2849" w:history="1">
        <w:r w:rsidRPr="007C46E6">
          <w:rPr>
            <w:rStyle w:val="Hyperlink"/>
            <w:b/>
          </w:rPr>
          <w:t>https://www.qcnews.com/charlotte/court-sides-with-char-meck-fop-in-cmpd-employee-defamation-case/</w:t>
        </w:r>
      </w:hyperlink>
      <w:r>
        <w:rPr>
          <w:b/>
        </w:rPr>
        <w:t xml:space="preserve"> </w:t>
      </w:r>
    </w:p>
    <w:p w14:paraId="570833CB" w14:textId="77777777" w:rsidR="002718E8" w:rsidRDefault="002718E8" w:rsidP="002718E8">
      <w:pPr>
        <w:pStyle w:val="NoSpacing"/>
        <w:ind w:left="720"/>
        <w:rPr>
          <w:b/>
        </w:rPr>
      </w:pPr>
    </w:p>
    <w:p w14:paraId="70B7DFB0" w14:textId="77777777" w:rsidR="002718E8" w:rsidRDefault="002718E8" w:rsidP="002718E8">
      <w:pPr>
        <w:pStyle w:val="NoSpacing"/>
        <w:ind w:left="720"/>
        <w:rPr>
          <w:b/>
        </w:rPr>
      </w:pPr>
    </w:p>
    <w:p w14:paraId="590D672F" w14:textId="77777777" w:rsidR="002718E8" w:rsidRDefault="002718E8" w:rsidP="002718E8">
      <w:pPr>
        <w:pStyle w:val="NoSpacing"/>
        <w:ind w:left="720"/>
        <w:rPr>
          <w:bCs/>
        </w:rPr>
      </w:pPr>
      <w:r w:rsidRPr="00885714">
        <w:lastRenderedPageBreak/>
        <w:t>April 29, 2025: One year later: A timeline of the tragic April 29th shootout that shook Charlotte</w:t>
      </w:r>
      <w:r>
        <w:t xml:space="preserve">. </w:t>
      </w:r>
      <w:hyperlink r:id="rId2850" w:history="1">
        <w:r w:rsidRPr="0041562E">
          <w:rPr>
            <w:rStyle w:val="Hyperlink"/>
          </w:rPr>
          <w:t>https://www.qcnews.com/shannon-park-shooting/one-year-later-a-timeline-of-the-tragic-april-29th-shootout-that-shook-charlotte/</w:t>
        </w:r>
      </w:hyperlink>
      <w:r>
        <w:t xml:space="preserve"> </w:t>
      </w:r>
    </w:p>
    <w:p w14:paraId="723C66D7" w14:textId="77777777" w:rsidR="002718E8" w:rsidRDefault="002718E8" w:rsidP="002718E8">
      <w:pPr>
        <w:pStyle w:val="NoSpacing"/>
        <w:ind w:left="720"/>
      </w:pPr>
      <w:r w:rsidRPr="000F59E3">
        <w:t>“1:30 p.m. – Attempted warrant service turns deadly</w:t>
      </w:r>
      <w:r w:rsidRPr="00F1715E">
        <w:br/>
        <w:t>The U.S. Marshals Fugitive Task Force arrived at a home on Galway Drive to serve a warrant to 39-year-old Terry Hughes, wanted for felony gun possession out of Lincoln County. As officers approached the residence, Hughes opened fire without warning.</w:t>
      </w:r>
    </w:p>
    <w:p w14:paraId="12422E1C" w14:textId="77777777" w:rsidR="002718E8" w:rsidRPr="007907B2" w:rsidRDefault="002718E8" w:rsidP="002718E8">
      <w:pPr>
        <w:pStyle w:val="NoSpacing"/>
        <w:ind w:left="720"/>
        <w:rPr>
          <w:bCs/>
        </w:rPr>
      </w:pPr>
      <w:r w:rsidRPr="000F59E3">
        <w:t>Within minutes – officers down</w:t>
      </w:r>
      <w:r w:rsidRPr="007907B2">
        <w:br/>
        <w:t xml:space="preserve">Law enforcement scrambled as bullets tore through the quiet east Charlotte neighborhood. “Shots fired, shots fired!” rang out over police radios. </w:t>
      </w:r>
    </w:p>
    <w:p w14:paraId="0FEFA026" w14:textId="77777777" w:rsidR="002718E8" w:rsidRDefault="002718E8" w:rsidP="002718E8">
      <w:pPr>
        <w:pStyle w:val="NoSpacing"/>
        <w:ind w:left="720"/>
        <w:rPr>
          <w:bCs/>
        </w:rPr>
      </w:pPr>
      <w:r w:rsidRPr="007907B2">
        <w:t>Officers reported being pinned down as Hughes fired from a second-story window using a semi-automatic AR-15 and a 40-caliber handgun.</w:t>
      </w:r>
    </w:p>
    <w:p w14:paraId="76DF7937" w14:textId="77777777" w:rsidR="002718E8" w:rsidRPr="005B3ECE" w:rsidRDefault="002718E8" w:rsidP="002718E8">
      <w:pPr>
        <w:pStyle w:val="NoSpacing"/>
        <w:ind w:left="720"/>
        <w:rPr>
          <w:bCs/>
        </w:rPr>
      </w:pPr>
      <w:r w:rsidRPr="005B3ECE">
        <w:t xml:space="preserve">“I got shots fired. </w:t>
      </w:r>
      <w:proofErr w:type="gramStart"/>
      <w:r w:rsidRPr="005B3ECE">
        <w:t>He’s</w:t>
      </w:r>
      <w:proofErr w:type="gramEnd"/>
      <w:r w:rsidRPr="005B3ECE">
        <w:t xml:space="preserve"> top window barricaded himself. Several officers are pinned,” one responder radioed in.</w:t>
      </w:r>
    </w:p>
    <w:p w14:paraId="763A21A6" w14:textId="77777777" w:rsidR="002718E8" w:rsidRPr="005B3ECE" w:rsidRDefault="002718E8" w:rsidP="002718E8">
      <w:pPr>
        <w:pStyle w:val="NoSpacing"/>
        <w:ind w:left="720"/>
        <w:rPr>
          <w:bCs/>
        </w:rPr>
      </w:pPr>
      <w:r w:rsidRPr="000F59E3">
        <w:t>More than three hours – a barrage of gunfire</w:t>
      </w:r>
      <w:r w:rsidRPr="005B3ECE">
        <w:br/>
        <w:t xml:space="preserve">For over three hours, Hughes exchanged fire with law enforcement, reportedly discharging over 100 rounds. Dozens of police units and SWAT officers swarmed the area </w:t>
      </w:r>
      <w:proofErr w:type="gramStart"/>
      <w:r w:rsidRPr="005B3ECE">
        <w:t>as</w:t>
      </w:r>
      <w:proofErr w:type="gramEnd"/>
      <w:r w:rsidRPr="005B3ECE">
        <w:t xml:space="preserve"> efforts to extract the wounded intensified.</w:t>
      </w:r>
    </w:p>
    <w:p w14:paraId="2F29C216" w14:textId="77777777" w:rsidR="002718E8" w:rsidRPr="005B3ECE" w:rsidRDefault="002718E8" w:rsidP="002718E8">
      <w:pPr>
        <w:pStyle w:val="NoSpacing"/>
        <w:ind w:left="720"/>
        <w:rPr>
          <w:bCs/>
        </w:rPr>
      </w:pPr>
      <w:r w:rsidRPr="000F59E3">
        <w:t>Shortly after 4:30 p.m. – standoff ends</w:t>
      </w:r>
      <w:r w:rsidRPr="005B3ECE">
        <w:br/>
        <w:t>Hughes was eventually shot and killed when he emerged from the second-story window. But the damage had already been done.</w:t>
      </w:r>
    </w:p>
    <w:p w14:paraId="7007854E" w14:textId="77777777" w:rsidR="002718E8" w:rsidRPr="005B3ECE" w:rsidRDefault="002718E8" w:rsidP="002718E8">
      <w:pPr>
        <w:pStyle w:val="NoSpacing"/>
        <w:ind w:left="720"/>
        <w:rPr>
          <w:bCs/>
        </w:rPr>
      </w:pPr>
      <w:r w:rsidRPr="000F59E3">
        <w:t>That evening – officers confirmed dead</w:t>
      </w:r>
      <w:r w:rsidRPr="000F59E3">
        <w:br/>
      </w:r>
      <w:r w:rsidRPr="005B3ECE">
        <w:t>Three members of the Task Force — North Carolina Department of Adult Correction Investigators Sam Poloche and William Elliot, and Deputy U.S. Marshal Thomas Weeks — were pronounced dead at the hospital. CMPD Officer Joshua Eyer, a six-year veteran, was critically injured and passed away later that evening.</w:t>
      </w:r>
      <w:r>
        <w:t>”</w:t>
      </w:r>
    </w:p>
    <w:p w14:paraId="3E1AB0D1" w14:textId="77777777" w:rsidR="00920DD8" w:rsidRDefault="00920DD8" w:rsidP="00F326E5">
      <w:pPr>
        <w:pStyle w:val="NoSpacing"/>
        <w:rPr>
          <w:rFonts w:ascii="Arial Black" w:hAnsi="Arial Black"/>
          <w:sz w:val="24"/>
          <w:szCs w:val="24"/>
        </w:rPr>
      </w:pPr>
    </w:p>
    <w:p w14:paraId="58BF32B5" w14:textId="77777777" w:rsidR="00A70464" w:rsidRDefault="00A70464" w:rsidP="00F326E5">
      <w:pPr>
        <w:pStyle w:val="NoSpacing"/>
        <w:rPr>
          <w:rFonts w:ascii="Arial Black" w:hAnsi="Arial Black"/>
          <w:sz w:val="24"/>
          <w:szCs w:val="24"/>
        </w:rPr>
      </w:pPr>
    </w:p>
    <w:p w14:paraId="0B17965C" w14:textId="77777777" w:rsidR="00A70464" w:rsidRDefault="00A70464" w:rsidP="00F326E5">
      <w:pPr>
        <w:pStyle w:val="NoSpacing"/>
        <w:rPr>
          <w:rFonts w:ascii="Arial Black" w:hAnsi="Arial Black"/>
          <w:sz w:val="24"/>
          <w:szCs w:val="24"/>
        </w:rPr>
      </w:pPr>
    </w:p>
    <w:p w14:paraId="5025983E" w14:textId="3A091FD9" w:rsidR="00920DD8" w:rsidRDefault="00920DD8" w:rsidP="00F326E5">
      <w:pPr>
        <w:pStyle w:val="NoSpacing"/>
        <w:rPr>
          <w:rFonts w:ascii="Arial Black" w:hAnsi="Arial Black"/>
          <w:sz w:val="24"/>
          <w:szCs w:val="24"/>
        </w:rPr>
      </w:pPr>
      <w:r>
        <w:rPr>
          <w:rFonts w:ascii="Arial Black" w:hAnsi="Arial Black"/>
          <w:sz w:val="24"/>
          <w:szCs w:val="24"/>
        </w:rPr>
        <w:t>17-59</w:t>
      </w:r>
    </w:p>
    <w:p w14:paraId="3A6D3D97" w14:textId="77777777" w:rsidR="00920DD8" w:rsidRDefault="00920DD8" w:rsidP="00F326E5">
      <w:pPr>
        <w:pStyle w:val="NoSpacing"/>
        <w:rPr>
          <w:rFonts w:ascii="Arial Black" w:hAnsi="Arial Black"/>
          <w:sz w:val="24"/>
          <w:szCs w:val="24"/>
        </w:rPr>
      </w:pPr>
    </w:p>
    <w:p w14:paraId="10318CC9" w14:textId="77777777" w:rsidR="00920DD8" w:rsidRPr="00694417" w:rsidRDefault="00920DD8" w:rsidP="00920DD8">
      <w:pPr>
        <w:pStyle w:val="NoSpacing"/>
        <w:rPr>
          <w:rFonts w:ascii="Arial Black" w:hAnsi="Arial Black"/>
          <w:sz w:val="28"/>
          <w:szCs w:val="28"/>
        </w:rPr>
      </w:pPr>
      <w:r>
        <w:rPr>
          <w:rFonts w:ascii="Arial Black" w:hAnsi="Arial Black"/>
          <w:sz w:val="28"/>
          <w:szCs w:val="28"/>
        </w:rPr>
        <w:t xml:space="preserve">IL: PREG LEAVE – 112 DAYS - SENIORITY RECORD FIXED </w:t>
      </w:r>
    </w:p>
    <w:p w14:paraId="57F2B8E9" w14:textId="77777777" w:rsidR="00920DD8" w:rsidRDefault="00920DD8" w:rsidP="00920DD8">
      <w:pPr>
        <w:pStyle w:val="NoSpacing"/>
      </w:pPr>
    </w:p>
    <w:p w14:paraId="15AC9DD6" w14:textId="77777777" w:rsidR="00920DD8" w:rsidRDefault="00920DD8" w:rsidP="00920DD8">
      <w:pPr>
        <w:pStyle w:val="NoSpacing"/>
      </w:pPr>
      <w:r>
        <w:t xml:space="preserve">On March 10, 2026, in </w:t>
      </w:r>
      <w:r w:rsidRPr="00D3705A">
        <w:rPr>
          <w:u w:val="single"/>
        </w:rPr>
        <w:t>Sarah Schmidt v. City of Naperville</w:t>
      </w:r>
      <w:r>
        <w:t xml:space="preserve">, U.S. District Court Judge </w:t>
      </w:r>
      <w:r w:rsidRPr="00B729AD">
        <w:t>Steven C. Seeger</w:t>
      </w:r>
      <w:r>
        <w:t xml:space="preserve">. United States District Court for the Northern District of Illinois, Eastern Division, granted the City’s motion for summary judgment.  Plaintiff took maternity leave for first child starting in November 2012, and second child in June 2014, but the Fire Department mistakenly didn’t reduce 112 days of unpaid leave until the 2020 seniority list.  </w:t>
      </w:r>
      <w:r w:rsidRPr="00B36ADD">
        <w:t xml:space="preserve">In September 2022, </w:t>
      </w:r>
      <w:r>
        <w:t xml:space="preserve">it also </w:t>
      </w:r>
      <w:r w:rsidRPr="00B36ADD">
        <w:t>expressly flagged that correction</w:t>
      </w:r>
      <w:r>
        <w:t>, but it never told the firefighter or her union</w:t>
      </w:r>
      <w:r w:rsidRPr="00B36ADD">
        <w:t>.</w:t>
      </w:r>
      <w:r>
        <w:t xml:space="preserve">  She learned about the correction in June 2023 and filed EEOC charge.  EEOC charges must be filed within 300 days – way after the change was flagged, and the Court stated: “</w:t>
      </w:r>
      <w:r w:rsidRPr="00694417">
        <w:t>The bottom line is that Schmidt slept on her rights.</w:t>
      </w:r>
      <w:r>
        <w:t>”</w:t>
      </w:r>
    </w:p>
    <w:p w14:paraId="1A2FD065" w14:textId="77777777" w:rsidR="00920DD8" w:rsidRDefault="00920DD8" w:rsidP="00920DD8">
      <w:pPr>
        <w:pStyle w:val="NoSpacing"/>
      </w:pPr>
      <w:hyperlink r:id="rId2851" w:history="1">
        <w:r w:rsidRPr="00502BCE">
          <w:rPr>
            <w:rStyle w:val="Hyperlink"/>
          </w:rPr>
          <w:t>https://cases.justia.com/federal/district-courts/illinois/ilndce/1:2024cv01517/455667/32/0.pdf?ts=1773244215</w:t>
        </w:r>
      </w:hyperlink>
      <w:r>
        <w:t xml:space="preserve"> </w:t>
      </w:r>
    </w:p>
    <w:p w14:paraId="375A6844" w14:textId="77777777" w:rsidR="00920DD8" w:rsidRDefault="00920DD8" w:rsidP="00920DD8">
      <w:pPr>
        <w:pStyle w:val="NoSpacing"/>
      </w:pPr>
    </w:p>
    <w:p w14:paraId="225ECDAD" w14:textId="77777777" w:rsidR="00920DD8" w:rsidRPr="0020661A" w:rsidRDefault="00920DD8" w:rsidP="00920DD8">
      <w:pPr>
        <w:pStyle w:val="NoSpacing"/>
      </w:pPr>
      <w:r>
        <w:t>THE COURT HELD:  “</w:t>
      </w:r>
      <w:r w:rsidRPr="0020661A">
        <w:t xml:space="preserve">On September 22, 2022, </w:t>
      </w:r>
      <w:r w:rsidRPr="00FB6E6E">
        <w:t> Division Chief Daniel</w:t>
      </w:r>
      <w:r>
        <w:t>]</w:t>
      </w:r>
      <w:r w:rsidRPr="00FB6E6E">
        <w:t xml:space="preserve"> Smith</w:t>
      </w:r>
      <w:r w:rsidRPr="0020661A">
        <w:t xml:space="preserve"> published the 2023 seniority list. For the first time, Smith added a notation that called attention to the reduction in Schmidt's seniority. </w:t>
      </w:r>
    </w:p>
    <w:p w14:paraId="2A051893" w14:textId="77777777" w:rsidR="00920DD8" w:rsidRDefault="00920DD8" w:rsidP="00920DD8">
      <w:pPr>
        <w:pStyle w:val="NoSpacing"/>
        <w:ind w:left="540"/>
      </w:pPr>
    </w:p>
    <w:p w14:paraId="208C981F" w14:textId="77777777" w:rsidR="00920DD8" w:rsidRDefault="00920DD8" w:rsidP="00920DD8">
      <w:pPr>
        <w:pStyle w:val="NoSpacing"/>
        <w:ind w:left="540"/>
      </w:pPr>
      <w:r w:rsidRPr="0020661A">
        <w:t xml:space="preserve">“Schmidt </w:t>
      </w:r>
      <w:proofErr w:type="spellStart"/>
      <w:r w:rsidRPr="0020661A">
        <w:t>seniorty</w:t>
      </w:r>
      <w:proofErr w:type="spellEnd"/>
      <w:r w:rsidRPr="0020661A">
        <w:t xml:space="preserve"> [sic] reduced by 112 days. 2 [leave of absences] 11/12 &amp; 6/14.” </w:t>
      </w:r>
    </w:p>
    <w:p w14:paraId="4CB49322" w14:textId="77777777" w:rsidR="00920DD8" w:rsidRDefault="00920DD8" w:rsidP="00920DD8">
      <w:pPr>
        <w:pStyle w:val="NoSpacing"/>
        <w:ind w:left="540"/>
      </w:pPr>
    </w:p>
    <w:p w14:paraId="467D7032" w14:textId="77777777" w:rsidR="00920DD8" w:rsidRDefault="00920DD8" w:rsidP="00920DD8">
      <w:pPr>
        <w:pStyle w:val="NoSpacing"/>
      </w:pPr>
      <w:r w:rsidRPr="0020661A">
        <w:t xml:space="preserve">The numbers at the end reflected the months and years when Schmidt took leave, meaning November 2012 and June 2014. </w:t>
      </w:r>
    </w:p>
    <w:p w14:paraId="5545F6C5" w14:textId="77777777" w:rsidR="00920DD8" w:rsidRDefault="00920DD8" w:rsidP="00920DD8">
      <w:pPr>
        <w:pStyle w:val="NoSpacing"/>
      </w:pPr>
    </w:p>
    <w:p w14:paraId="7818BDC7" w14:textId="77777777" w:rsidR="00920DD8" w:rsidRDefault="00920DD8" w:rsidP="00920DD8">
      <w:pPr>
        <w:pStyle w:val="NoSpacing"/>
      </w:pPr>
      <w:r>
        <w:t>***</w:t>
      </w:r>
    </w:p>
    <w:p w14:paraId="68356FCE" w14:textId="77777777" w:rsidR="00920DD8" w:rsidRPr="0020661A" w:rsidRDefault="00920DD8" w:rsidP="00920DD8">
      <w:pPr>
        <w:pStyle w:val="NoSpacing"/>
      </w:pPr>
    </w:p>
    <w:p w14:paraId="650F1D0E" w14:textId="77777777" w:rsidR="00920DD8" w:rsidRDefault="00920DD8" w:rsidP="00920DD8">
      <w:pPr>
        <w:pStyle w:val="NoSpacing"/>
      </w:pPr>
      <w:r w:rsidRPr="001D3766">
        <w:t>The list is available to the employees, but the fire department does not send the list directly to the employees, either. Employees do not receive an email or other notification when Smith publishes the seniority list</w:t>
      </w:r>
      <w:r>
        <w:t xml:space="preserve">…. </w:t>
      </w:r>
      <w:r w:rsidRPr="0076125A">
        <w:t xml:space="preserve"> Even so, the </w:t>
      </w:r>
      <w:r w:rsidRPr="0076125A">
        <w:lastRenderedPageBreak/>
        <w:t>publication of the list does take place at the same time as the sweepstakes for vacation time. Every year, the fire department sends an official notice that bidding on the upcoming year's vacation days has begun.</w:t>
      </w:r>
      <w:r>
        <w:t>”</w:t>
      </w:r>
    </w:p>
    <w:p w14:paraId="0FDA9F85" w14:textId="77777777" w:rsidR="00920DD8" w:rsidRDefault="00920DD8" w:rsidP="00920DD8">
      <w:pPr>
        <w:pStyle w:val="NoSpacing"/>
      </w:pPr>
    </w:p>
    <w:p w14:paraId="51266757" w14:textId="77777777" w:rsidR="00920DD8" w:rsidRDefault="00920DD8" w:rsidP="00920DD8">
      <w:pPr>
        <w:pStyle w:val="NoSpacing"/>
        <w:rPr>
          <w:b/>
          <w:bCs/>
        </w:rPr>
      </w:pPr>
      <w:r>
        <w:rPr>
          <w:b/>
        </w:rPr>
        <w:t>***</w:t>
      </w:r>
    </w:p>
    <w:p w14:paraId="49574D05" w14:textId="77777777" w:rsidR="00920DD8" w:rsidRDefault="00920DD8" w:rsidP="00920DD8">
      <w:pPr>
        <w:pStyle w:val="NoSpacing"/>
      </w:pPr>
    </w:p>
    <w:p w14:paraId="35329F8B" w14:textId="77777777" w:rsidR="00920DD8" w:rsidRDefault="00920DD8" w:rsidP="00920DD8">
      <w:pPr>
        <w:pStyle w:val="NoSpacing"/>
      </w:pPr>
      <w:r w:rsidRPr="00EC7E1B">
        <w:t>During her tenure, Schmidt took two pregnancy-related periods of unpaid leave lasting longer than 30 days. In 2012, Schmidt was pregnant and took unpaid leave from November 30, 2012, to January 13, 2013</w:t>
      </w:r>
      <w:r>
        <w:t xml:space="preserve">…. </w:t>
      </w:r>
      <w:r w:rsidRPr="00EC7E1B">
        <w:t>In 2014, Schmidt had another child, taking unpaid leave from June 8 to August 24, 2014</w:t>
      </w:r>
      <w:r>
        <w:t xml:space="preserve">…. </w:t>
      </w:r>
      <w:r w:rsidRPr="00590CEE">
        <w:t xml:space="preserve">So, Schmidt took unpaid leave twice, and each absence lasted longer than 30 consecutive days. She took unpaid leave for a total of 112 days. Under the CBA, Schmidt was not entitled to seniority credit for that </w:t>
      </w:r>
      <w:proofErr w:type="gramStart"/>
      <w:r w:rsidRPr="00590CEE">
        <w:t>period of time</w:t>
      </w:r>
      <w:proofErr w:type="gramEnd"/>
      <w:r w:rsidRPr="00590CEE">
        <w:t xml:space="preserve">. </w:t>
      </w:r>
      <w:r w:rsidRPr="00590CEE">
        <w:rPr>
          <w:i/>
          <w:iCs/>
        </w:rPr>
        <w:t>See</w:t>
      </w:r>
      <w:r w:rsidRPr="00590CEE">
        <w:t xml:space="preserve"> CBA, at § 8.1 (</w:t>
      </w:r>
      <w:proofErr w:type="spellStart"/>
      <w:r w:rsidRPr="00590CEE">
        <w:t>Dckt</w:t>
      </w:r>
      <w:proofErr w:type="spellEnd"/>
      <w:r w:rsidRPr="00590CEE">
        <w:t>. No. 26-2).</w:t>
      </w:r>
      <w:r>
        <w:t>”</w:t>
      </w:r>
    </w:p>
    <w:p w14:paraId="721F7275" w14:textId="77777777" w:rsidR="00920DD8" w:rsidRDefault="00920DD8" w:rsidP="00920DD8">
      <w:pPr>
        <w:pStyle w:val="NoSpacing"/>
      </w:pPr>
    </w:p>
    <w:p w14:paraId="3B76DFFA" w14:textId="77777777" w:rsidR="00920DD8" w:rsidRPr="007E1C7E" w:rsidRDefault="00920DD8" w:rsidP="00920DD8">
      <w:pPr>
        <w:pStyle w:val="NoSpacing"/>
        <w:rPr>
          <w:b/>
          <w:bCs/>
        </w:rPr>
      </w:pPr>
      <w:r w:rsidRPr="007E1C7E">
        <w:rPr>
          <w:b/>
        </w:rPr>
        <w:t>Legal lesson learned:</w:t>
      </w:r>
      <w:r>
        <w:rPr>
          <w:b/>
        </w:rPr>
        <w:t xml:space="preserve"> The Fire Department, when it learned of its mistake in not reducing the seniority, “flagged” the correction on the 2023 seniority list; perhaps they could have avoided the EEOC charge and this litigation if they had simply advised her (and her union) of the correction. </w:t>
      </w:r>
    </w:p>
    <w:p w14:paraId="5A7B3BD5" w14:textId="77777777" w:rsidR="00920DD8" w:rsidRDefault="00920DD8" w:rsidP="00920DD8">
      <w:pPr>
        <w:pStyle w:val="NoSpacing"/>
      </w:pPr>
    </w:p>
    <w:p w14:paraId="44B33531" w14:textId="77777777" w:rsidR="00920DD8" w:rsidRPr="00EF7DF1" w:rsidRDefault="00920DD8" w:rsidP="00920DD8">
      <w:pPr>
        <w:pStyle w:val="NoSpacing"/>
        <w:ind w:left="720"/>
      </w:pPr>
      <w:r>
        <w:t>Note: The Court stated: “</w:t>
      </w:r>
      <w:r w:rsidRPr="00EF7DF1">
        <w:t xml:space="preserve">For whatever reason, no one from the fire department reached out to Schmidt directly and drew her attention to the correction. And for whatever reason, Schmidt did not notice the correction in the 2020 seniority list, or the 2021 seniority list, or the 2022 seniority list. Schmidt didn't realize that the fire department had reduced her seniority until June </w:t>
      </w:r>
      <w:proofErr w:type="gramStart"/>
      <w:r w:rsidRPr="00EF7DF1">
        <w:t>2023.</w:t>
      </w:r>
      <w:r>
        <w:t>”</w:t>
      </w:r>
      <w:proofErr w:type="gramEnd"/>
    </w:p>
    <w:p w14:paraId="2A0C7856" w14:textId="77777777" w:rsidR="00920DD8" w:rsidRDefault="00920DD8" w:rsidP="00920DD8">
      <w:pPr>
        <w:pStyle w:val="NoSpacing"/>
        <w:ind w:left="720"/>
      </w:pPr>
    </w:p>
    <w:p w14:paraId="3B71456C" w14:textId="77777777" w:rsidR="00920DD8" w:rsidRDefault="00920DD8" w:rsidP="00920DD8">
      <w:pPr>
        <w:pStyle w:val="NoSpacing"/>
        <w:ind w:left="720"/>
      </w:pPr>
    </w:p>
    <w:p w14:paraId="03811355" w14:textId="77777777" w:rsidR="00920DD8" w:rsidRDefault="00920DD8" w:rsidP="00920DD8">
      <w:pPr>
        <w:pStyle w:val="NoSpacing"/>
        <w:rPr>
          <w:b/>
        </w:rPr>
      </w:pPr>
    </w:p>
    <w:p w14:paraId="09CF6838" w14:textId="77777777" w:rsidR="00920DD8" w:rsidRDefault="00920DD8" w:rsidP="00920DD8">
      <w:pPr>
        <w:pStyle w:val="NoSpacing"/>
      </w:pPr>
    </w:p>
    <w:p w14:paraId="74DDD2A1" w14:textId="77777777" w:rsidR="00920DD8" w:rsidRDefault="00920DD8" w:rsidP="00920DD8">
      <w:pPr>
        <w:pStyle w:val="NoSpacing"/>
        <w:rPr>
          <w:bCs/>
        </w:rPr>
      </w:pPr>
    </w:p>
    <w:p w14:paraId="440BB528" w14:textId="77777777" w:rsidR="00920DD8" w:rsidRDefault="00920DD8" w:rsidP="00F326E5">
      <w:pPr>
        <w:pStyle w:val="NoSpacing"/>
        <w:rPr>
          <w:rFonts w:ascii="Arial Black" w:hAnsi="Arial Black"/>
          <w:sz w:val="24"/>
          <w:szCs w:val="24"/>
        </w:rPr>
      </w:pPr>
    </w:p>
    <w:p w14:paraId="55F76264" w14:textId="77777777" w:rsidR="00920DD8" w:rsidRDefault="00920DD8" w:rsidP="00F326E5">
      <w:pPr>
        <w:pStyle w:val="NoSpacing"/>
        <w:rPr>
          <w:rFonts w:ascii="Arial Black" w:hAnsi="Arial Black"/>
          <w:sz w:val="24"/>
          <w:szCs w:val="24"/>
        </w:rPr>
      </w:pPr>
    </w:p>
    <w:p w14:paraId="115F9665" w14:textId="4D4E7550" w:rsidR="0022047A" w:rsidRDefault="0022047A" w:rsidP="00F326E5">
      <w:pPr>
        <w:pStyle w:val="NoSpacing"/>
        <w:rPr>
          <w:rFonts w:ascii="Arial Black" w:hAnsi="Arial Black"/>
          <w:sz w:val="24"/>
          <w:szCs w:val="24"/>
        </w:rPr>
      </w:pPr>
      <w:r>
        <w:rPr>
          <w:rFonts w:ascii="Arial Black" w:hAnsi="Arial Black"/>
          <w:sz w:val="24"/>
          <w:szCs w:val="24"/>
        </w:rPr>
        <w:t>17-</w:t>
      </w:r>
      <w:r w:rsidR="00420A23">
        <w:rPr>
          <w:rFonts w:ascii="Arial Black" w:hAnsi="Arial Black"/>
          <w:sz w:val="24"/>
          <w:szCs w:val="24"/>
        </w:rPr>
        <w:t>58</w:t>
      </w:r>
    </w:p>
    <w:p w14:paraId="387E7D68" w14:textId="77777777" w:rsidR="00420A23" w:rsidRPr="00B177C5" w:rsidRDefault="00420A23" w:rsidP="00420A23">
      <w:pPr>
        <w:pStyle w:val="NoSpacing"/>
        <w:rPr>
          <w:rFonts w:ascii="Arial Black" w:hAnsi="Arial Black"/>
          <w:sz w:val="28"/>
          <w:szCs w:val="28"/>
        </w:rPr>
      </w:pPr>
      <w:r>
        <w:rPr>
          <w:rFonts w:ascii="Arial Black" w:hAnsi="Arial Black"/>
          <w:sz w:val="28"/>
          <w:szCs w:val="28"/>
        </w:rPr>
        <w:t>SC: UNION PRES. FIRED – CASE PROCEED – 1</w:t>
      </w:r>
      <w:r w:rsidRPr="005C3937">
        <w:rPr>
          <w:rFonts w:ascii="Arial Black" w:hAnsi="Arial Black"/>
          <w:sz w:val="28"/>
          <w:szCs w:val="28"/>
          <w:vertAlign w:val="superscript"/>
        </w:rPr>
        <w:t>st</w:t>
      </w:r>
      <w:r>
        <w:rPr>
          <w:rFonts w:ascii="Arial Black" w:hAnsi="Arial Black"/>
          <w:sz w:val="28"/>
          <w:szCs w:val="28"/>
        </w:rPr>
        <w:t xml:space="preserve"> AMEND.  </w:t>
      </w:r>
    </w:p>
    <w:p w14:paraId="679DDE63" w14:textId="77777777" w:rsidR="00420A23" w:rsidRDefault="00420A23" w:rsidP="00420A23">
      <w:pPr>
        <w:pStyle w:val="NoSpacing"/>
      </w:pPr>
    </w:p>
    <w:p w14:paraId="2E69737A" w14:textId="77777777" w:rsidR="00420A23" w:rsidRDefault="00420A23" w:rsidP="00420A23">
      <w:r>
        <w:t xml:space="preserve">On February 3, 2026, in </w:t>
      </w:r>
      <w:r w:rsidRPr="004A13ED">
        <w:rPr>
          <w:u w:val="single"/>
        </w:rPr>
        <w:t>Gregory Cargill v. The City of Greenville, et al</w:t>
      </w:r>
      <w:r>
        <w:t>., U.S. District Court Judge Jacquelyn D. Austin</w:t>
      </w:r>
      <w:r w:rsidRPr="002764C6">
        <w:t>, United States District Court for the District of South Carolina, Greenville Division</w:t>
      </w:r>
      <w:r>
        <w:t>. Denied the City’s motion to dismiss. Firefighter Cargill was President of IAFF Local 2261 and requested a meeting with the Fire Chief; o</w:t>
      </w:r>
      <w:r w:rsidRPr="00A04EFF">
        <w:t xml:space="preserve">n August 28, 2024, Chief Horton responded by email stating the City would not engage in collective bargaining with Local 2261 but that he would meet with Plaintiff “Chief to firefighter,” and he directed Plaintiff to go through the chain of command to set up the meeting or for any other communications. </w:t>
      </w:r>
      <w:r>
        <w:t xml:space="preserve">Cargill attended City Council meeting on September 9, 2024, spoke with member of the Council, on October 12, 2024 he sent letter on Union Letterhead to City Manager about poor morale, and then was fired by the Fire Chief on October 20, 2024. </w:t>
      </w:r>
      <w:hyperlink r:id="rId2852" w:history="1">
        <w:r w:rsidRPr="00734647">
          <w:rPr>
            <w:rStyle w:val="Hyperlink"/>
          </w:rPr>
          <w:t>https://public.fastcase.com/Jhe1Qn%2BmJndQYQU6z%2FeNmxCPiZizVlc11JYA3odTB4IhzrCNgoXQd5cis%2BDwnvItMWVDGFMSfq0NQT9Gs0Nt1TNd1VW0h9sJNC6uT%2FjNAHc%3D?utm_medium=email&amp;_hsenc=p2ANqtz-8-aEXaYfaNma4DTW9HUN_1FUQQoclWpkG9e_9BTRsreHlU-cWJ1LgKYyHosOTXLG__w-panONGFSrnN_jSAOz_10UwNA&amp;_hsmi=226712652&amp;utm_content=226712652&amp;utm_source=hs_email</w:t>
        </w:r>
      </w:hyperlink>
      <w:r>
        <w:t xml:space="preserve"> </w:t>
      </w:r>
    </w:p>
    <w:p w14:paraId="1E7FDE4C" w14:textId="77777777" w:rsidR="00420A23" w:rsidRDefault="00420A23" w:rsidP="00420A23">
      <w:pPr>
        <w:pStyle w:val="NoSpacing"/>
      </w:pPr>
      <w:r>
        <w:t>THE COURT HELD: “</w:t>
      </w:r>
      <w:r w:rsidRPr="007B7961">
        <w:t xml:space="preserve">In particular, under the balancing test developed by the Supreme Court in </w:t>
      </w:r>
      <w:r w:rsidRPr="007B7961">
        <w:rPr>
          <w:i/>
          <w:iCs/>
        </w:rPr>
        <w:t>Pickering</w:t>
      </w:r>
      <w:r w:rsidRPr="007B7961">
        <w:t xml:space="preserve"> and </w:t>
      </w:r>
      <w:r w:rsidRPr="007B7961">
        <w:rPr>
          <w:i/>
          <w:iCs/>
        </w:rPr>
        <w:t>Connick</w:t>
      </w:r>
      <w:r w:rsidRPr="007B7961">
        <w:t xml:space="preserve">, “the First Amendment does not protect public employees when their speech interests are outweighed by the government's interest in providing efficient and effective services to the public.” </w:t>
      </w:r>
      <w:r w:rsidRPr="007B7961">
        <w:rPr>
          <w:i/>
          <w:iCs/>
        </w:rPr>
        <w:t xml:space="preserve">Lawson v. Union </w:t>
      </w:r>
      <w:proofErr w:type="spellStart"/>
      <w:r w:rsidRPr="007B7961">
        <w:rPr>
          <w:i/>
          <w:iCs/>
        </w:rPr>
        <w:t>Cty</w:t>
      </w:r>
      <w:proofErr w:type="spellEnd"/>
      <w:r w:rsidRPr="007B7961">
        <w:rPr>
          <w:i/>
          <w:iCs/>
        </w:rPr>
        <w:t>. Clerk of Court</w:t>
      </w:r>
      <w:r w:rsidRPr="007B7961">
        <w:t>, 828 F.3d 239, 247 (4th Cir. 2016).</w:t>
      </w:r>
      <w:r>
        <w:t xml:space="preserve"> </w:t>
      </w:r>
    </w:p>
    <w:p w14:paraId="2A7FCE52" w14:textId="77777777" w:rsidR="00420A23" w:rsidRDefault="00420A23" w:rsidP="00420A23">
      <w:pPr>
        <w:pStyle w:val="NoSpacing"/>
      </w:pPr>
      <w:r w:rsidRPr="00870424">
        <w:t xml:space="preserve">Accordingly, the Court concludes that Plaintiff has adequately pled that his speech was as a private citizen on a matter of public concern. </w:t>
      </w:r>
      <w:r w:rsidRPr="00870424">
        <w:rPr>
          <w:i/>
          <w:iCs/>
        </w:rPr>
        <w:t>See Liverman</w:t>
      </w:r>
      <w:r w:rsidRPr="00870424">
        <w:t xml:space="preserve">, 844 F.3d at 410 (holding speech was on a matter of public concern when the matter </w:t>
      </w:r>
      <w:r>
        <w:t>‘</w:t>
      </w:r>
      <w:r w:rsidRPr="00870424">
        <w:t>addressed was of more than personal import</w:t>
      </w:r>
      <w:r>
        <w:t>’</w:t>
      </w:r>
      <w:r w:rsidRPr="00870424">
        <w:t>).</w:t>
      </w:r>
      <w:r>
        <w:t>”</w:t>
      </w:r>
    </w:p>
    <w:p w14:paraId="041AE8EC" w14:textId="77777777" w:rsidR="00420A23" w:rsidRPr="003F10C2" w:rsidRDefault="00420A23" w:rsidP="00420A23">
      <w:pPr>
        <w:pStyle w:val="NoSpacing"/>
        <w:rPr>
          <w:b/>
          <w:bCs/>
        </w:rPr>
      </w:pPr>
    </w:p>
    <w:p w14:paraId="17666401" w14:textId="77777777" w:rsidR="00420A23" w:rsidRPr="00C45C5D" w:rsidRDefault="00420A23" w:rsidP="00420A23">
      <w:pPr>
        <w:pStyle w:val="NoSpacing"/>
        <w:rPr>
          <w:b/>
          <w:bCs/>
        </w:rPr>
      </w:pPr>
      <w:r w:rsidRPr="003F10C2">
        <w:rPr>
          <w:b/>
        </w:rPr>
        <w:lastRenderedPageBreak/>
        <w:t xml:space="preserve">Legal lesson learned: </w:t>
      </w:r>
      <w:r>
        <w:rPr>
          <w:b/>
        </w:rPr>
        <w:t xml:space="preserve">The Union President was communicating on matters of a public concern. </w:t>
      </w:r>
    </w:p>
    <w:p w14:paraId="4E172BAA" w14:textId="77777777" w:rsidR="00420A23" w:rsidRPr="003F10C2" w:rsidRDefault="00420A23" w:rsidP="00420A23">
      <w:pPr>
        <w:rPr>
          <w:b/>
          <w:bCs/>
        </w:rPr>
      </w:pPr>
    </w:p>
    <w:p w14:paraId="69F30687" w14:textId="77777777" w:rsidR="00420A23" w:rsidRPr="002764C6" w:rsidRDefault="00420A23" w:rsidP="00420A23"/>
    <w:p w14:paraId="19DFC468" w14:textId="77777777" w:rsidR="00420A23" w:rsidRDefault="00420A23" w:rsidP="00F326E5">
      <w:pPr>
        <w:pStyle w:val="NoSpacing"/>
        <w:rPr>
          <w:rFonts w:ascii="Arial Black" w:hAnsi="Arial Black"/>
          <w:sz w:val="24"/>
          <w:szCs w:val="24"/>
        </w:rPr>
      </w:pPr>
    </w:p>
    <w:p w14:paraId="35712AC9" w14:textId="77777777" w:rsidR="0022047A" w:rsidRDefault="0022047A" w:rsidP="00F326E5">
      <w:pPr>
        <w:pStyle w:val="NoSpacing"/>
        <w:rPr>
          <w:rFonts w:ascii="Arial Black" w:hAnsi="Arial Black"/>
          <w:sz w:val="24"/>
          <w:szCs w:val="24"/>
        </w:rPr>
      </w:pPr>
    </w:p>
    <w:p w14:paraId="31D202F7" w14:textId="77777777" w:rsidR="0022047A" w:rsidRDefault="0022047A" w:rsidP="00F326E5">
      <w:pPr>
        <w:pStyle w:val="NoSpacing"/>
        <w:rPr>
          <w:rFonts w:ascii="Arial Black" w:hAnsi="Arial Black"/>
          <w:sz w:val="24"/>
          <w:szCs w:val="24"/>
        </w:rPr>
      </w:pPr>
    </w:p>
    <w:p w14:paraId="0B0F6658" w14:textId="77777777" w:rsidR="0022047A" w:rsidRDefault="0022047A" w:rsidP="00F326E5">
      <w:pPr>
        <w:pStyle w:val="NoSpacing"/>
        <w:rPr>
          <w:rFonts w:ascii="Arial Black" w:hAnsi="Arial Black"/>
          <w:sz w:val="24"/>
          <w:szCs w:val="24"/>
        </w:rPr>
      </w:pPr>
    </w:p>
    <w:p w14:paraId="1EA97DAA" w14:textId="60C89BD7" w:rsidR="00D92FBD" w:rsidRDefault="00D92FBD" w:rsidP="00F326E5">
      <w:pPr>
        <w:pStyle w:val="NoSpacing"/>
        <w:rPr>
          <w:rFonts w:ascii="Arial Black" w:hAnsi="Arial Black"/>
          <w:sz w:val="24"/>
          <w:szCs w:val="24"/>
        </w:rPr>
      </w:pPr>
      <w:r>
        <w:rPr>
          <w:rFonts w:ascii="Arial Black" w:hAnsi="Arial Black"/>
          <w:sz w:val="24"/>
          <w:szCs w:val="24"/>
        </w:rPr>
        <w:t>17-57</w:t>
      </w:r>
    </w:p>
    <w:p w14:paraId="3EC77202" w14:textId="77777777" w:rsidR="00EA62D5" w:rsidRDefault="00EA62D5" w:rsidP="00F326E5">
      <w:pPr>
        <w:pStyle w:val="NoSpacing"/>
        <w:rPr>
          <w:rFonts w:ascii="Arial Black" w:hAnsi="Arial Black"/>
          <w:sz w:val="24"/>
          <w:szCs w:val="24"/>
        </w:rPr>
      </w:pPr>
    </w:p>
    <w:p w14:paraId="1C7453A6" w14:textId="10B1C6B5" w:rsidR="00EA62D5" w:rsidRPr="00753591" w:rsidRDefault="00EA62D5" w:rsidP="00EA62D5">
      <w:pPr>
        <w:pStyle w:val="NoSpacing"/>
        <w:rPr>
          <w:rFonts w:ascii="Arial Black" w:hAnsi="Arial Black"/>
          <w:sz w:val="28"/>
          <w:szCs w:val="28"/>
        </w:rPr>
      </w:pPr>
      <w:r>
        <w:rPr>
          <w:rFonts w:ascii="Arial Black" w:hAnsi="Arial Black"/>
          <w:sz w:val="28"/>
          <w:szCs w:val="28"/>
        </w:rPr>
        <w:t xml:space="preserve">CA: UNION PRES – </w:t>
      </w:r>
      <w:r w:rsidR="00645B9B">
        <w:rPr>
          <w:rFonts w:ascii="Arial Black" w:hAnsi="Arial Black"/>
          <w:sz w:val="28"/>
          <w:szCs w:val="28"/>
        </w:rPr>
        <w:t>STESS –</w:t>
      </w:r>
      <w:r w:rsidR="001276F8">
        <w:rPr>
          <w:rFonts w:ascii="Arial Black" w:hAnsi="Arial Black"/>
          <w:sz w:val="28"/>
          <w:szCs w:val="28"/>
        </w:rPr>
        <w:t xml:space="preserve"> </w:t>
      </w:r>
      <w:r>
        <w:rPr>
          <w:rFonts w:ascii="Arial Black" w:hAnsi="Arial Black"/>
          <w:sz w:val="28"/>
          <w:szCs w:val="28"/>
        </w:rPr>
        <w:t>ORDERED TAKE PSYCH EXAM</w:t>
      </w:r>
    </w:p>
    <w:p w14:paraId="35B9DB4D" w14:textId="77777777" w:rsidR="00EA62D5" w:rsidRDefault="00EA62D5" w:rsidP="00EA62D5">
      <w:pPr>
        <w:pStyle w:val="NoSpacing"/>
      </w:pPr>
    </w:p>
    <w:p w14:paraId="361EE434" w14:textId="77777777" w:rsidR="00EA62D5" w:rsidRDefault="00EA62D5" w:rsidP="00EA62D5">
      <w:pPr>
        <w:pStyle w:val="NoSpacing"/>
      </w:pPr>
      <w:r>
        <w:t xml:space="preserve">On Oct. 13, 2025, in </w:t>
      </w:r>
      <w:r w:rsidRPr="007B5174">
        <w:rPr>
          <w:u w:val="single"/>
        </w:rPr>
        <w:t>Ryan Mack v. City of Guadalupe, et al</w:t>
      </w:r>
      <w:r>
        <w:t xml:space="preserve">., </w:t>
      </w:r>
      <w:r w:rsidRPr="008C0CEB">
        <w:t>California Court of Appeal, Second District</w:t>
      </w:r>
      <w:r>
        <w:t xml:space="preserve"> held (3 to 0, unpublished decision) that trial court properly granted summary judgment to the defendants.  The firefighter was a Captain and a vocal Union President; on March 8, 2022, he took sick leave.  The Fire Chief called him to about his level of stress. and he replied,</w:t>
      </w:r>
      <w:r w:rsidRPr="007C4EF8">
        <w:t xml:space="preserve"> “I do not feel 100 percent, and</w:t>
      </w:r>
      <w:r>
        <w:t xml:space="preserve"> </w:t>
      </w:r>
      <w:r w:rsidRPr="007C4EF8">
        <w:t>I don’t feel capable of doing the job right now.”</w:t>
      </w:r>
      <w:r>
        <w:t xml:space="preserve"> On March 10, 2022, Human Resources manager advised him he was being ordered to take psychological and physical exam; he passed both and returned to work in April.  He continued work for next year and resigned on June 5, 2025. </w:t>
      </w:r>
      <w:hyperlink r:id="rId2853" w:history="1">
        <w:r w:rsidRPr="0024236A">
          <w:rPr>
            <w:rStyle w:val="Hyperlink"/>
          </w:rPr>
          <w:t>https://www4.courts.ca.gov/opinions/nonpub/B342205.PDF</w:t>
        </w:r>
      </w:hyperlink>
      <w:r>
        <w:t xml:space="preserve"> </w:t>
      </w:r>
    </w:p>
    <w:p w14:paraId="5A256074" w14:textId="77777777" w:rsidR="00EA62D5" w:rsidRDefault="00EA62D5" w:rsidP="00EA62D5">
      <w:pPr>
        <w:pStyle w:val="NoSpacing"/>
      </w:pPr>
    </w:p>
    <w:p w14:paraId="66F21981" w14:textId="77777777" w:rsidR="00EA62D5" w:rsidRDefault="00EA62D5" w:rsidP="00EA62D5">
      <w:pPr>
        <w:pStyle w:val="NoSpacing"/>
      </w:pPr>
      <w:r>
        <w:t xml:space="preserve">THE COURT HELD:  </w:t>
      </w:r>
    </w:p>
    <w:p w14:paraId="70C9621F" w14:textId="77777777" w:rsidR="00EA62D5" w:rsidRDefault="00EA62D5" w:rsidP="00EA62D5">
      <w:pPr>
        <w:pStyle w:val="NoSpacing"/>
      </w:pPr>
    </w:p>
    <w:p w14:paraId="78C62D8E" w14:textId="77777777" w:rsidR="00EA62D5" w:rsidRDefault="00EA62D5" w:rsidP="00EA62D5">
      <w:pPr>
        <w:pStyle w:val="NoSpacing"/>
        <w:ind w:left="720"/>
      </w:pPr>
      <w:r>
        <w:t>“We conclude appellant did not suffer an adverse employment action as a matter of law. Thus, summary adjudication was proper as to his discrimination and retaliation claims.</w:t>
      </w:r>
    </w:p>
    <w:p w14:paraId="65CE88CF" w14:textId="77777777" w:rsidR="00EA62D5" w:rsidRDefault="00EA62D5" w:rsidP="00EA62D5">
      <w:pPr>
        <w:pStyle w:val="NoSpacing"/>
        <w:ind w:left="720"/>
      </w:pPr>
    </w:p>
    <w:p w14:paraId="3F636084" w14:textId="77777777" w:rsidR="00EA62D5" w:rsidRDefault="00EA62D5" w:rsidP="00EA62D5">
      <w:pPr>
        <w:pStyle w:val="NoSpacing"/>
        <w:ind w:left="720"/>
      </w:pPr>
      <w:r>
        <w:t>***</w:t>
      </w:r>
    </w:p>
    <w:p w14:paraId="627A7055" w14:textId="77777777" w:rsidR="00EA62D5" w:rsidRDefault="00EA62D5" w:rsidP="00EA62D5">
      <w:pPr>
        <w:pStyle w:val="NoSpacing"/>
        <w:ind w:left="720"/>
      </w:pPr>
      <w:proofErr w:type="spellStart"/>
      <w:r>
        <w:t>Areasonable</w:t>
      </w:r>
      <w:proofErr w:type="spellEnd"/>
      <w:r>
        <w:t xml:space="preserve"> trier of fact could not find that the fitness for duty order was an adverse employment action. The City’s policy manual expressly authorized fitness for duty examinations. The City’s personnel policy does not list fitness for duty examinations in its discipline tiers, and Chief Cash declared he ‘did not mean it as discipline.’ Appellant was paid while on leave pending the two examinations. After passing the examinations, he was </w:t>
      </w:r>
      <w:proofErr w:type="gramStart"/>
      <w:r>
        <w:t>cleared</w:t>
      </w:r>
      <w:proofErr w:type="gramEnd"/>
      <w:r>
        <w:t xml:space="preserve"> to return to full duty in April, the month after the fitness for duty order issued. That order did not cause appellant professional harm, and such harm cannot reasonably be inferred from appellant’s resignation over a year later.”</w:t>
      </w:r>
    </w:p>
    <w:p w14:paraId="0E34588E" w14:textId="77777777" w:rsidR="00EA62D5" w:rsidRDefault="00EA62D5" w:rsidP="00EA62D5">
      <w:pPr>
        <w:pStyle w:val="NoSpacing"/>
        <w:ind w:left="720"/>
      </w:pPr>
    </w:p>
    <w:p w14:paraId="0935F3BD" w14:textId="0208A6D1" w:rsidR="00EA62D5" w:rsidRPr="009A4666" w:rsidRDefault="00EA62D5" w:rsidP="00EA62D5">
      <w:pPr>
        <w:pStyle w:val="NoSpacing"/>
        <w:rPr>
          <w:b/>
          <w:bCs/>
        </w:rPr>
      </w:pPr>
      <w:r>
        <w:rPr>
          <w:b/>
        </w:rPr>
        <w:t xml:space="preserve">Lesson learned: Psychological exam is not an adverse employment action. </w:t>
      </w:r>
    </w:p>
    <w:p w14:paraId="75D45D51" w14:textId="77777777" w:rsidR="00EA62D5" w:rsidRDefault="00EA62D5" w:rsidP="00EA62D5">
      <w:pPr>
        <w:pStyle w:val="NoSpacing"/>
        <w:rPr>
          <w:b/>
        </w:rPr>
      </w:pPr>
    </w:p>
    <w:p w14:paraId="7708821C" w14:textId="77777777" w:rsidR="00EA62D5" w:rsidRDefault="00EA62D5" w:rsidP="00F326E5">
      <w:pPr>
        <w:pStyle w:val="NoSpacing"/>
        <w:rPr>
          <w:rFonts w:ascii="Arial Black" w:hAnsi="Arial Black"/>
          <w:sz w:val="24"/>
          <w:szCs w:val="24"/>
        </w:rPr>
      </w:pPr>
    </w:p>
    <w:p w14:paraId="1DA1A392" w14:textId="77777777" w:rsidR="00D92FBD" w:rsidRDefault="00D92FBD" w:rsidP="00F326E5">
      <w:pPr>
        <w:pStyle w:val="NoSpacing"/>
        <w:rPr>
          <w:rFonts w:ascii="Arial Black" w:hAnsi="Arial Black"/>
          <w:sz w:val="24"/>
          <w:szCs w:val="24"/>
        </w:rPr>
      </w:pPr>
    </w:p>
    <w:p w14:paraId="4FF68C78" w14:textId="77777777" w:rsidR="00D92FBD" w:rsidRDefault="00D92FBD" w:rsidP="00F326E5">
      <w:pPr>
        <w:pStyle w:val="NoSpacing"/>
        <w:rPr>
          <w:rFonts w:ascii="Arial Black" w:hAnsi="Arial Black"/>
          <w:sz w:val="24"/>
          <w:szCs w:val="24"/>
        </w:rPr>
      </w:pPr>
    </w:p>
    <w:p w14:paraId="4A3DC83D" w14:textId="77777777" w:rsidR="00D92FBD" w:rsidRDefault="00D92FBD" w:rsidP="00F326E5">
      <w:pPr>
        <w:pStyle w:val="NoSpacing"/>
        <w:rPr>
          <w:rFonts w:ascii="Arial Black" w:hAnsi="Arial Black"/>
          <w:sz w:val="24"/>
          <w:szCs w:val="24"/>
        </w:rPr>
      </w:pPr>
    </w:p>
    <w:p w14:paraId="483BD300" w14:textId="4077AD3D" w:rsidR="007D54CE" w:rsidRDefault="00AD0728" w:rsidP="00F326E5">
      <w:pPr>
        <w:pStyle w:val="NoSpacing"/>
        <w:rPr>
          <w:rFonts w:ascii="Arial Black" w:hAnsi="Arial Black"/>
          <w:sz w:val="24"/>
          <w:szCs w:val="24"/>
        </w:rPr>
      </w:pPr>
      <w:r>
        <w:rPr>
          <w:rFonts w:ascii="Arial Black" w:hAnsi="Arial Black"/>
          <w:sz w:val="24"/>
          <w:szCs w:val="24"/>
        </w:rPr>
        <w:t>17-</w:t>
      </w:r>
      <w:r w:rsidR="002E26A8">
        <w:rPr>
          <w:rFonts w:ascii="Arial Black" w:hAnsi="Arial Black"/>
          <w:sz w:val="24"/>
          <w:szCs w:val="24"/>
        </w:rPr>
        <w:t>56</w:t>
      </w:r>
    </w:p>
    <w:p w14:paraId="2C14FDE4" w14:textId="77777777" w:rsidR="0079784D" w:rsidRDefault="0079784D" w:rsidP="002E26A8">
      <w:pPr>
        <w:rPr>
          <w:rFonts w:ascii="Arial Black" w:hAnsi="Arial Black"/>
          <w:sz w:val="28"/>
          <w:szCs w:val="28"/>
        </w:rPr>
      </w:pPr>
    </w:p>
    <w:p w14:paraId="0B19B00D" w14:textId="4C81D6A9" w:rsidR="002E26A8" w:rsidRDefault="002E26A8" w:rsidP="002E26A8">
      <w:pPr>
        <w:rPr>
          <w:rFonts w:ascii="Arial Black" w:hAnsi="Arial Black"/>
          <w:sz w:val="28"/>
          <w:szCs w:val="28"/>
        </w:rPr>
      </w:pPr>
      <w:r>
        <w:rPr>
          <w:rFonts w:ascii="Arial Black" w:hAnsi="Arial Black"/>
          <w:sz w:val="28"/>
          <w:szCs w:val="28"/>
        </w:rPr>
        <w:t>GA: FD WENT PART-TIME - NO BENEFITS – EVEN WK 40 HRS</w:t>
      </w:r>
    </w:p>
    <w:p w14:paraId="7383AABA" w14:textId="77777777" w:rsidR="002E26A8" w:rsidRDefault="002E26A8" w:rsidP="002E26A8">
      <w:pPr>
        <w:pStyle w:val="NoSpacing"/>
        <w:rPr>
          <w:bCs/>
        </w:rPr>
      </w:pPr>
      <w:r>
        <w:t xml:space="preserve">On September 8, 2025, in </w:t>
      </w:r>
      <w:r w:rsidRPr="00387901">
        <w:rPr>
          <w:u w:val="single"/>
        </w:rPr>
        <w:t>David Bibble</w:t>
      </w:r>
      <w:r>
        <w:rPr>
          <w:u w:val="single"/>
        </w:rPr>
        <w:t>, et al</w:t>
      </w:r>
      <w:r w:rsidRPr="00387901">
        <w:rPr>
          <w:u w:val="single"/>
        </w:rPr>
        <w:t xml:space="preserve"> v. City of Roswell</w:t>
      </w:r>
      <w:r>
        <w:t xml:space="preserve">, the </w:t>
      </w:r>
      <w:r w:rsidRPr="00C866E2">
        <w:t>Court of Appeals of Georgia, Third Division</w:t>
      </w:r>
      <w:r>
        <w:t xml:space="preserve"> held (3 to 0) that part-time firefighters, who may voluntarily work over 40 hours, are not entitled to retirement or other benefits of full-time city employees, including retirement. In 2000, FD transitioned from mostly career to part-time.</w:t>
      </w:r>
    </w:p>
    <w:p w14:paraId="1D3990C4" w14:textId="77777777" w:rsidR="002E26A8" w:rsidRDefault="002E26A8" w:rsidP="002E26A8">
      <w:pPr>
        <w:pStyle w:val="NoSpacing"/>
        <w:rPr>
          <w:bCs/>
        </w:rPr>
      </w:pPr>
    </w:p>
    <w:p w14:paraId="447377F5" w14:textId="77777777" w:rsidR="002E26A8" w:rsidRDefault="002E26A8" w:rsidP="002E26A8">
      <w:pPr>
        <w:pStyle w:val="NoSpacing"/>
        <w:rPr>
          <w:bCs/>
        </w:rPr>
      </w:pPr>
      <w:r w:rsidRPr="006D5938">
        <w:rPr>
          <w:b/>
        </w:rPr>
        <w:t>THE COURT HELD:</w:t>
      </w:r>
      <w:r>
        <w:t xml:space="preserve"> “[T]</w:t>
      </w:r>
      <w:r w:rsidRPr="00222A64">
        <w:t>he City did not require part-time firefighters to work a full-time</w:t>
      </w:r>
      <w:r>
        <w:t xml:space="preserve"> </w:t>
      </w:r>
      <w:r w:rsidRPr="00222A64">
        <w:t xml:space="preserve">firefighter schedule of 24 hours on/48 hours off, nor </w:t>
      </w:r>
      <w:proofErr w:type="gramStart"/>
      <w:r w:rsidRPr="00222A64">
        <w:t>were</w:t>
      </w:r>
      <w:proofErr w:type="gramEnd"/>
      <w:r w:rsidRPr="00222A64">
        <w:t xml:space="preserve"> they were required to work</w:t>
      </w:r>
      <w:r>
        <w:t xml:space="preserve"> </w:t>
      </w:r>
      <w:r w:rsidRPr="00222A64">
        <w:t>40 hours per week. Rather, part-time firefighters were required to work one twelve-hour weekday shift per week and one twelve-hour weekend shift per week. They were</w:t>
      </w:r>
      <w:r>
        <w:t xml:space="preserve"> </w:t>
      </w:r>
      <w:r w:rsidRPr="00222A64">
        <w:t xml:space="preserve">not required to be </w:t>
      </w:r>
      <w:proofErr w:type="gramStart"/>
      <w:r w:rsidRPr="00222A64">
        <w:t>on-call</w:t>
      </w:r>
      <w:proofErr w:type="gramEnd"/>
      <w:r w:rsidRPr="00222A64">
        <w:t>, they were not subject to being held over, and they were not</w:t>
      </w:r>
      <w:r>
        <w:t xml:space="preserve"> </w:t>
      </w:r>
      <w:r w:rsidRPr="00222A64">
        <w:t>required to work if they were unavailable. And they indicated when they were available</w:t>
      </w:r>
      <w:r>
        <w:t xml:space="preserve"> </w:t>
      </w:r>
      <w:r w:rsidRPr="00222A64">
        <w:t>to work. If any part-time firefighter chose to work more than the minimum</w:t>
      </w:r>
      <w:r>
        <w:t xml:space="preserve"> </w:t>
      </w:r>
      <w:r w:rsidRPr="00222A64">
        <w:t>requirement, they did so voluntarily</w:t>
      </w:r>
      <w:r>
        <w:t xml:space="preserve">….  Although many firefighters in part-time positions often worked more than 40 hours per week, the undisputed facts show that the plaintiffs were employed in part-time positions and worked extra hours voluntarily…. Even if the City’s scheduling of part-time firefighters to work additional hours without extending to them the benefits of full-time employment was unfair in some broad sense, ‘we are not at liberty to ignore the specific terms of the parties’ written agreement and rewrite or revise a contract under the guise of construing it.” Copeland v. Home Grown Music, Inc., 358 Ga. App. 743, 750 (1) (856 SE2d 325) (2021) (punctuation and footnote omitted).” </w:t>
      </w:r>
      <w:hyperlink r:id="rId2854" w:history="1">
        <w:r w:rsidRPr="008C7245">
          <w:rPr>
            <w:rStyle w:val="Hyperlink"/>
          </w:rPr>
          <w:t>https://cases.justia.com/georgia/court-of-appeals/2025-a25a0947.pdf?ts=1757355224</w:t>
        </w:r>
      </w:hyperlink>
    </w:p>
    <w:p w14:paraId="1CCDDA28" w14:textId="77777777" w:rsidR="002E26A8" w:rsidRDefault="002E26A8" w:rsidP="002E26A8">
      <w:pPr>
        <w:rPr>
          <w:bCs/>
        </w:rPr>
      </w:pPr>
    </w:p>
    <w:p w14:paraId="2036F671" w14:textId="77777777" w:rsidR="002E26A8" w:rsidRPr="00EF6273" w:rsidRDefault="002E26A8" w:rsidP="002E26A8">
      <w:pPr>
        <w:rPr>
          <w:b/>
        </w:rPr>
      </w:pPr>
      <w:r w:rsidRPr="00EF6273">
        <w:rPr>
          <w:b/>
        </w:rPr>
        <w:t>KEY FACTS:</w:t>
      </w:r>
    </w:p>
    <w:p w14:paraId="77991295" w14:textId="77777777" w:rsidR="002E26A8" w:rsidRPr="007E2916" w:rsidRDefault="002E26A8" w:rsidP="002E26A8">
      <w:pPr>
        <w:pStyle w:val="NoSpacing"/>
        <w:ind w:left="720"/>
        <w:rPr>
          <w:bCs/>
        </w:rPr>
      </w:pPr>
      <w:r>
        <w:t>“</w:t>
      </w:r>
      <w:r w:rsidRPr="007E2916">
        <w:t>As relevant to these appeals,</w:t>
      </w:r>
      <w:r>
        <w:t xml:space="preserve"> ‘</w:t>
      </w:r>
      <w:r w:rsidRPr="007E2916">
        <w:t>[</w:t>
      </w:r>
      <w:proofErr w:type="spellStart"/>
      <w:r w:rsidRPr="007E2916">
        <w:t>i</w:t>
      </w:r>
      <w:proofErr w:type="spellEnd"/>
      <w:r w:rsidRPr="007E2916">
        <w:t>]n 2000, the City converted from a system of employing mostly full-time</w:t>
      </w:r>
      <w:r>
        <w:t xml:space="preserve">  </w:t>
      </w:r>
      <w:r w:rsidRPr="007E2916">
        <w:t>firefighters – with some reliance on volunteer firefighters – to a system of employing</w:t>
      </w:r>
      <w:r>
        <w:t xml:space="preserve"> </w:t>
      </w:r>
      <w:r w:rsidRPr="007E2916">
        <w:t>a significant number of ‘part-time’ firefighters who are not entitled to the same</w:t>
      </w:r>
      <w:r>
        <w:t xml:space="preserve"> </w:t>
      </w:r>
      <w:r w:rsidRPr="007E2916">
        <w:t>benefits as full-time City employees.</w:t>
      </w:r>
      <w:r>
        <w:t>’</w:t>
      </w:r>
      <w:r w:rsidRPr="007E2916">
        <w:t xml:space="preserve"> Id. at 828. David Bible and Brian Rogers</w:t>
      </w:r>
    </w:p>
    <w:p w14:paraId="466ACD8C" w14:textId="77777777" w:rsidR="002E26A8" w:rsidRPr="007E2916" w:rsidRDefault="002E26A8" w:rsidP="002E26A8">
      <w:pPr>
        <w:pStyle w:val="NoSpacing"/>
        <w:ind w:firstLine="720"/>
        <w:rPr>
          <w:bCs/>
        </w:rPr>
      </w:pPr>
      <w:r w:rsidRPr="007E2916">
        <w:t>worked for the City’s Fire Department from 1992 until 2017, and from 2006 to 2018,</w:t>
      </w:r>
    </w:p>
    <w:p w14:paraId="0A5C5199" w14:textId="77777777" w:rsidR="002E26A8" w:rsidRPr="007E2916" w:rsidRDefault="002E26A8" w:rsidP="002E26A8">
      <w:pPr>
        <w:pStyle w:val="NoSpacing"/>
        <w:ind w:firstLine="720"/>
        <w:rPr>
          <w:bCs/>
        </w:rPr>
      </w:pPr>
      <w:r w:rsidRPr="007E2916">
        <w:t xml:space="preserve">respectively. Id. at 828. In August 2017, Bible and Rogers filed suit against the </w:t>
      </w:r>
      <w:proofErr w:type="gramStart"/>
      <w:r w:rsidRPr="007E2916">
        <w:t>City</w:t>
      </w:r>
      <w:proofErr w:type="gramEnd"/>
    </w:p>
    <w:p w14:paraId="12B316FA" w14:textId="77777777" w:rsidR="002E26A8" w:rsidRPr="007E2916" w:rsidRDefault="002E26A8" w:rsidP="002E26A8">
      <w:pPr>
        <w:pStyle w:val="NoSpacing"/>
        <w:ind w:firstLine="720"/>
        <w:rPr>
          <w:bCs/>
        </w:rPr>
      </w:pPr>
      <w:r w:rsidRPr="007E2916">
        <w:t xml:space="preserve">seeking to represent a class of </w:t>
      </w:r>
      <w:proofErr w:type="gramStart"/>
      <w:r w:rsidRPr="007E2916">
        <w:t>similarly-situated</w:t>
      </w:r>
      <w:proofErr w:type="gramEnd"/>
      <w:r w:rsidRPr="007E2916">
        <w:t xml:space="preserve"> firefighters, claiming that although</w:t>
      </w:r>
    </w:p>
    <w:p w14:paraId="7B8537BA" w14:textId="77777777" w:rsidR="002E26A8" w:rsidRPr="007E2916" w:rsidRDefault="002E26A8" w:rsidP="002E26A8">
      <w:pPr>
        <w:pStyle w:val="NoSpacing"/>
        <w:ind w:firstLine="720"/>
        <w:rPr>
          <w:bCs/>
        </w:rPr>
      </w:pPr>
      <w:proofErr w:type="gramStart"/>
      <w:r w:rsidRPr="007E2916">
        <w:t>they</w:t>
      </w:r>
      <w:proofErr w:type="gramEnd"/>
      <w:r w:rsidRPr="007E2916">
        <w:t xml:space="preserve"> worked at least 40 hours per week, they were improperly classified as part-time,</w:t>
      </w:r>
    </w:p>
    <w:p w14:paraId="40B7E2A4" w14:textId="77777777" w:rsidR="002E26A8" w:rsidRDefault="002E26A8" w:rsidP="002E26A8">
      <w:pPr>
        <w:pStyle w:val="NoSpacing"/>
        <w:ind w:left="720"/>
        <w:rPr>
          <w:bCs/>
        </w:rPr>
      </w:pPr>
      <w:r w:rsidRPr="007E2916">
        <w:t>which deprived them of full-time employee benefits under the City’s Human</w:t>
      </w:r>
      <w:r>
        <w:t xml:space="preserve"> </w:t>
      </w:r>
      <w:r w:rsidRPr="007E2916">
        <w:t>Resources Policies and Procedures Manual (</w:t>
      </w:r>
      <w:r>
        <w:t>‘</w:t>
      </w:r>
      <w:r w:rsidRPr="007E2916">
        <w:t>Policy Manual</w:t>
      </w:r>
      <w:r>
        <w:t>’</w:t>
      </w:r>
      <w:r w:rsidRPr="007E2916">
        <w:t>)</w:t>
      </w:r>
      <w:r>
        <w:t xml:space="preserve"> </w:t>
      </w:r>
      <w:r w:rsidRPr="009C4E57">
        <w:t>Specifically, they</w:t>
      </w:r>
      <w:r>
        <w:t xml:space="preserve"> </w:t>
      </w:r>
      <w:r w:rsidRPr="009C4E57">
        <w:t>sought retirement benefits under the City’s Defined Benefit Pension Plan, which</w:t>
      </w:r>
      <w:r>
        <w:t xml:space="preserve"> </w:t>
      </w:r>
      <w:r w:rsidRPr="009C4E57">
        <w:t>covered employees prior to March 1, 2011, and the City’s Defined Contribution Plan,</w:t>
      </w:r>
      <w:r>
        <w:t xml:space="preserve"> </w:t>
      </w:r>
      <w:r w:rsidRPr="009C4E57">
        <w:t>which covered employees hired on or after March 1, 2011</w:t>
      </w:r>
      <w:r>
        <w:t>.</w:t>
      </w:r>
    </w:p>
    <w:p w14:paraId="697E8205" w14:textId="77777777" w:rsidR="002E26A8" w:rsidRDefault="002E26A8" w:rsidP="002E26A8">
      <w:pPr>
        <w:pStyle w:val="NoSpacing"/>
        <w:ind w:left="720"/>
        <w:rPr>
          <w:bCs/>
        </w:rPr>
      </w:pPr>
    </w:p>
    <w:p w14:paraId="354EEEDB" w14:textId="77777777" w:rsidR="002E26A8" w:rsidRDefault="002E26A8" w:rsidP="002E26A8">
      <w:pPr>
        <w:pStyle w:val="NoSpacing"/>
        <w:ind w:left="720"/>
        <w:rPr>
          <w:bCs/>
        </w:rPr>
      </w:pPr>
      <w:r>
        <w:t>***</w:t>
      </w:r>
    </w:p>
    <w:p w14:paraId="302E16C2" w14:textId="77777777" w:rsidR="002E26A8" w:rsidRDefault="002E26A8" w:rsidP="002E26A8">
      <w:pPr>
        <w:pStyle w:val="NoSpacing"/>
        <w:ind w:left="720"/>
        <w:rPr>
          <w:bCs/>
        </w:rPr>
      </w:pPr>
      <w:r>
        <w:t>S</w:t>
      </w:r>
      <w:r w:rsidRPr="001E7C14">
        <w:t>ince 1983, the Policy Manual, as well as the</w:t>
      </w:r>
      <w:r>
        <w:t xml:space="preserve"> </w:t>
      </w:r>
      <w:r w:rsidRPr="001E7C14">
        <w:t>resolutions implementing it, stated that it could be amended by the City Council at</w:t>
      </w:r>
      <w:r>
        <w:t xml:space="preserve"> </w:t>
      </w:r>
      <w:r w:rsidRPr="001E7C14">
        <w:t xml:space="preserve">any time. The July 2002 version stated that the </w:t>
      </w:r>
      <w:r>
        <w:t>‘</w:t>
      </w:r>
      <w:r w:rsidRPr="001E7C14">
        <w:t>City reserves the right to amend,</w:t>
      </w:r>
      <w:r>
        <w:t xml:space="preserve"> </w:t>
      </w:r>
      <w:r w:rsidRPr="001E7C14">
        <w:t>modify, change, replace, suspend, or cancel any of its policies and procedures,</w:t>
      </w:r>
      <w:r>
        <w:t xml:space="preserve"> </w:t>
      </w:r>
      <w:r w:rsidRPr="001E7C14">
        <w:t>including this Manual, at any time, with or without notice, for any reason or no</w:t>
      </w:r>
      <w:r>
        <w:t xml:space="preserve"> </w:t>
      </w:r>
      <w:r w:rsidRPr="001E7C14">
        <w:t>reason[.]</w:t>
      </w:r>
      <w:r>
        <w:t>’</w:t>
      </w:r>
      <w:r w:rsidRPr="001E7C14">
        <w:t xml:space="preserve"> Once again, both named plaintiffs acknowledged receiving letters from the</w:t>
      </w:r>
      <w:r>
        <w:t xml:space="preserve"> </w:t>
      </w:r>
      <w:r w:rsidRPr="001E7C14">
        <w:t>City which accompanied the Policy Manual and stated that the Policy Manual was</w:t>
      </w:r>
      <w:r>
        <w:t xml:space="preserve"> </w:t>
      </w:r>
      <w:r w:rsidRPr="001E7C14">
        <w:t>subject to review and change by the City at any time. See OCGA § 13-1-1 (</w:t>
      </w:r>
      <w:r>
        <w:t>‘</w:t>
      </w:r>
      <w:r w:rsidRPr="001E7C14">
        <w:t>A contract</w:t>
      </w:r>
      <w:r>
        <w:t xml:space="preserve"> </w:t>
      </w:r>
      <w:r w:rsidRPr="001E7C14">
        <w:t>is an agreement between two or more parties for the doing or not doing of some</w:t>
      </w:r>
      <w:r>
        <w:t xml:space="preserve"> </w:t>
      </w:r>
      <w:r w:rsidRPr="001E7C14">
        <w:t>specified thing.</w:t>
      </w:r>
      <w:r>
        <w:t>’</w:t>
      </w:r>
      <w:r w:rsidRPr="001E7C14">
        <w:t>).</w:t>
      </w:r>
      <w:r>
        <w:t>”</w:t>
      </w:r>
    </w:p>
    <w:p w14:paraId="732BEA17" w14:textId="77777777" w:rsidR="002E26A8" w:rsidRDefault="002E26A8" w:rsidP="002E26A8">
      <w:pPr>
        <w:pStyle w:val="NoSpacing"/>
        <w:ind w:left="720"/>
      </w:pPr>
    </w:p>
    <w:p w14:paraId="76C0577C" w14:textId="77777777" w:rsidR="002E26A8" w:rsidRDefault="002E26A8" w:rsidP="002E26A8">
      <w:pPr>
        <w:pStyle w:val="NoSpacing"/>
        <w:rPr>
          <w:b/>
          <w:bCs/>
        </w:rPr>
      </w:pPr>
      <w:r>
        <w:rPr>
          <w:b/>
        </w:rPr>
        <w:t xml:space="preserve">Legal lesson learned: Part-time personnel who voluntarily offer to work over 40 hours in a work week do not therefore become </w:t>
      </w:r>
      <w:proofErr w:type="gramStart"/>
      <w:r>
        <w:rPr>
          <w:b/>
        </w:rPr>
        <w:t>full time</w:t>
      </w:r>
      <w:proofErr w:type="gramEnd"/>
      <w:r>
        <w:rPr>
          <w:b/>
        </w:rPr>
        <w:t xml:space="preserve"> employees entitled to full-time benefits. </w:t>
      </w:r>
    </w:p>
    <w:p w14:paraId="60893741" w14:textId="77777777" w:rsidR="002E26A8" w:rsidRDefault="002E26A8" w:rsidP="00F326E5">
      <w:pPr>
        <w:pStyle w:val="NoSpacing"/>
        <w:rPr>
          <w:rFonts w:ascii="Arial Black" w:hAnsi="Arial Black"/>
          <w:sz w:val="24"/>
          <w:szCs w:val="24"/>
        </w:rPr>
      </w:pPr>
    </w:p>
    <w:p w14:paraId="2C7A8C2E" w14:textId="77777777" w:rsidR="00AD0728" w:rsidRDefault="00AD0728" w:rsidP="00FD6F7D">
      <w:pPr>
        <w:pStyle w:val="NoSpacing"/>
        <w:rPr>
          <w:rFonts w:ascii="Arial Black" w:hAnsi="Arial Black"/>
          <w:sz w:val="24"/>
          <w:szCs w:val="24"/>
        </w:rPr>
      </w:pPr>
    </w:p>
    <w:p w14:paraId="3586ADE4" w14:textId="77777777" w:rsidR="00AD0728" w:rsidRDefault="00AD0728" w:rsidP="00FD6F7D">
      <w:pPr>
        <w:pStyle w:val="NoSpacing"/>
        <w:rPr>
          <w:rFonts w:ascii="Arial Black" w:hAnsi="Arial Black"/>
          <w:sz w:val="24"/>
          <w:szCs w:val="24"/>
        </w:rPr>
      </w:pPr>
    </w:p>
    <w:p w14:paraId="7D88F7F2" w14:textId="77777777" w:rsidR="00AD0728" w:rsidRDefault="00AD0728" w:rsidP="00FD6F7D">
      <w:pPr>
        <w:pStyle w:val="NoSpacing"/>
        <w:rPr>
          <w:rFonts w:ascii="Arial Black" w:hAnsi="Arial Black"/>
          <w:sz w:val="24"/>
          <w:szCs w:val="24"/>
        </w:rPr>
      </w:pPr>
    </w:p>
    <w:p w14:paraId="35B6232D" w14:textId="0AC9DF52" w:rsidR="00834E72" w:rsidRDefault="00834E72" w:rsidP="00FD6F7D">
      <w:pPr>
        <w:pStyle w:val="NoSpacing"/>
        <w:rPr>
          <w:rFonts w:ascii="Arial Black" w:hAnsi="Arial Black"/>
          <w:sz w:val="24"/>
          <w:szCs w:val="24"/>
        </w:rPr>
      </w:pPr>
      <w:r>
        <w:rPr>
          <w:rFonts w:ascii="Arial Black" w:hAnsi="Arial Black"/>
          <w:sz w:val="24"/>
          <w:szCs w:val="24"/>
        </w:rPr>
        <w:t>17-55</w:t>
      </w:r>
    </w:p>
    <w:p w14:paraId="0A0DAA3F" w14:textId="77777777" w:rsidR="003D1961" w:rsidRDefault="003D1961" w:rsidP="00834E72">
      <w:pPr>
        <w:rPr>
          <w:rFonts w:ascii="Arial Black" w:hAnsi="Arial Black"/>
          <w:b/>
          <w:sz w:val="28"/>
          <w:szCs w:val="28"/>
        </w:rPr>
      </w:pPr>
    </w:p>
    <w:p w14:paraId="79909903" w14:textId="5928B752" w:rsidR="00834E72" w:rsidRDefault="00834E72" w:rsidP="00834E72">
      <w:pPr>
        <w:rPr>
          <w:rFonts w:ascii="Arial Black" w:hAnsi="Arial Black"/>
          <w:b/>
          <w:sz w:val="28"/>
          <w:szCs w:val="28"/>
        </w:rPr>
      </w:pPr>
      <w:r>
        <w:rPr>
          <w:rFonts w:ascii="Arial Black" w:hAnsi="Arial Black"/>
          <w:b/>
          <w:sz w:val="28"/>
          <w:szCs w:val="28"/>
        </w:rPr>
        <w:t>TX: HOUSTON - $650M BACK PAY – A/Cs SUE BE INCLUDED</w:t>
      </w:r>
    </w:p>
    <w:p w14:paraId="3B4B024C" w14:textId="77777777" w:rsidR="00834E72" w:rsidRPr="008E3387" w:rsidRDefault="00834E72" w:rsidP="00834E72">
      <w:pPr>
        <w:pStyle w:val="NoSpacing"/>
        <w:rPr>
          <w:rFonts w:ascii="Times New Roman" w:hAnsi="Times New Roman"/>
          <w:bCs/>
          <w:sz w:val="24"/>
          <w:szCs w:val="24"/>
        </w:rPr>
      </w:pPr>
      <w:r w:rsidRPr="008E3387">
        <w:rPr>
          <w:rFonts w:ascii="Times New Roman" w:hAnsi="Times New Roman"/>
          <w:sz w:val="24"/>
          <w:szCs w:val="24"/>
        </w:rPr>
        <w:lastRenderedPageBreak/>
        <w:t xml:space="preserve">On July 15, 2025, in </w:t>
      </w:r>
      <w:r w:rsidRPr="008E3387">
        <w:rPr>
          <w:rFonts w:ascii="Times New Roman" w:hAnsi="Times New Roman"/>
          <w:sz w:val="24"/>
          <w:szCs w:val="24"/>
          <w:u w:val="single"/>
        </w:rPr>
        <w:t>City of Houston, Texas v. Alfredo Martinez, et al</w:t>
      </w:r>
      <w:r w:rsidRPr="008E3387">
        <w:rPr>
          <w:rFonts w:ascii="Times New Roman" w:hAnsi="Times New Roman"/>
          <w:sz w:val="24"/>
          <w:szCs w:val="24"/>
        </w:rPr>
        <w:t xml:space="preserve">., the Texas Fourteenth Court of Appeals held (3 to 0) that 13 Assistant Fire Chiefs may intervene in case that has been pending for eight years and may sue the Houston Professional Fire Fighters’ Association, Local 341, for breach of the duty of fair representation.  Court also held that City has immunity.  In March 2024, the Association and City negotiated $650 million back pay settlement; the Assistant Fire Chiefs were “shocked” when the Association told them they were not included in the settlement, and they seek declaratory and compensatory relief.  The Association originally acted as the fire fighters’ exclusive bargaining agent and asserted claims on behalf of </w:t>
      </w:r>
      <w:proofErr w:type="gramStart"/>
      <w:r w:rsidRPr="008E3387">
        <w:rPr>
          <w:rFonts w:ascii="Times New Roman" w:hAnsi="Times New Roman"/>
          <w:sz w:val="24"/>
          <w:szCs w:val="24"/>
        </w:rPr>
        <w:t>all of</w:t>
      </w:r>
      <w:proofErr w:type="gramEnd"/>
      <w:r w:rsidRPr="008E3387">
        <w:rPr>
          <w:rFonts w:ascii="Times New Roman" w:hAnsi="Times New Roman"/>
          <w:sz w:val="24"/>
          <w:szCs w:val="24"/>
        </w:rPr>
        <w:t xml:space="preserve"> the City’s “fire fighters.” But then the </w:t>
      </w:r>
      <w:proofErr w:type="gramStart"/>
      <w:r w:rsidRPr="008E3387">
        <w:rPr>
          <w:rFonts w:ascii="Times New Roman" w:hAnsi="Times New Roman"/>
          <w:sz w:val="24"/>
          <w:szCs w:val="24"/>
        </w:rPr>
        <w:t>City</w:t>
      </w:r>
      <w:proofErr w:type="gramEnd"/>
      <w:r w:rsidRPr="008E3387">
        <w:rPr>
          <w:rFonts w:ascii="Times New Roman" w:hAnsi="Times New Roman"/>
          <w:sz w:val="24"/>
          <w:szCs w:val="24"/>
        </w:rPr>
        <w:t xml:space="preserve"> and the Association agreed that the Association would not act as the Assistant Chiefs’ bargaining agent and characterized the back pay as “overtime.” THE COURT HELD: “The gravamen of their complaint against the Association is that the Association, as the fire fighters’ exclusive bargaining agent, owed them the duty to bargain on their behalf for compensation comparable to the prevailing compensation for similar work in the private sector, and that the Association breached that duty by failing to act as their bargaining agent at all or by otherwise preventing them from benefiting from the settlement agreement. Their claims against the Association can properly be characterized as requests for the trial court to enforce the Association’s statutory duty to act as the Intervenors’ [Assistant Fire Chiefs] bargaining agent and to collectively bargain on their behalf. The trial court has jurisdiction to address such claims under section 174.251 of the FPERA [Texas Fire and Police Employee Relations Act] as well as under its general jurisdiction. *** We conclude that the Association has failed to show its entitlement to mandamus relief.” </w:t>
      </w:r>
      <w:hyperlink r:id="rId2855" w:history="1">
        <w:r w:rsidRPr="008E3387">
          <w:rPr>
            <w:rStyle w:val="Hyperlink"/>
            <w:rFonts w:ascii="Times New Roman" w:hAnsi="Times New Roman"/>
            <w:sz w:val="24"/>
            <w:szCs w:val="24"/>
          </w:rPr>
          <w:t>https://cases.justia.com/texas/fourteenth-court-of-appeals/2025-14-24-00613-cv.pdf?ts=1752594731</w:t>
        </w:r>
      </w:hyperlink>
      <w:r w:rsidRPr="008E3387">
        <w:rPr>
          <w:rFonts w:ascii="Times New Roman" w:hAnsi="Times New Roman"/>
          <w:sz w:val="24"/>
          <w:szCs w:val="24"/>
        </w:rPr>
        <w:t xml:space="preserve"> </w:t>
      </w:r>
    </w:p>
    <w:p w14:paraId="496D1A23" w14:textId="77777777" w:rsidR="00834E72" w:rsidRPr="008E3387" w:rsidRDefault="00834E72" w:rsidP="00FD6F7D">
      <w:pPr>
        <w:pStyle w:val="NoSpacing"/>
        <w:rPr>
          <w:rFonts w:ascii="Times New Roman" w:hAnsi="Times New Roman"/>
          <w:sz w:val="24"/>
          <w:szCs w:val="24"/>
        </w:rPr>
      </w:pPr>
    </w:p>
    <w:p w14:paraId="7696809A" w14:textId="77777777" w:rsidR="008E3387" w:rsidRPr="008E3387" w:rsidRDefault="008E3387" w:rsidP="008E3387">
      <w:pPr>
        <w:pStyle w:val="NoSpacing"/>
        <w:rPr>
          <w:rFonts w:ascii="Times New Roman" w:hAnsi="Times New Roman"/>
          <w:b/>
          <w:sz w:val="24"/>
          <w:szCs w:val="24"/>
        </w:rPr>
      </w:pPr>
      <w:r w:rsidRPr="008E3387">
        <w:rPr>
          <w:rFonts w:ascii="Times New Roman" w:hAnsi="Times New Roman"/>
          <w:b/>
          <w:sz w:val="24"/>
          <w:szCs w:val="24"/>
        </w:rPr>
        <w:t xml:space="preserve">Legal lesson learned: Unions have a duty of fair representation of all its members; this case will now proceed to pre-trial discovery. </w:t>
      </w:r>
    </w:p>
    <w:p w14:paraId="06D0956D" w14:textId="77777777" w:rsidR="008E3387" w:rsidRPr="008E3387" w:rsidRDefault="008E3387" w:rsidP="008E3387">
      <w:pPr>
        <w:pStyle w:val="NoSpacing"/>
        <w:rPr>
          <w:rFonts w:ascii="Times New Roman" w:hAnsi="Times New Roman"/>
          <w:bCs/>
          <w:sz w:val="24"/>
          <w:szCs w:val="24"/>
        </w:rPr>
      </w:pPr>
    </w:p>
    <w:p w14:paraId="0B012548" w14:textId="77777777" w:rsidR="008E3387" w:rsidRPr="008E3387" w:rsidRDefault="008E3387" w:rsidP="008E3387">
      <w:pPr>
        <w:pStyle w:val="NoSpacing"/>
        <w:ind w:left="720"/>
        <w:rPr>
          <w:rFonts w:ascii="Times New Roman" w:hAnsi="Times New Roman"/>
          <w:bCs/>
          <w:sz w:val="24"/>
          <w:szCs w:val="24"/>
        </w:rPr>
      </w:pPr>
      <w:r w:rsidRPr="008E3387">
        <w:rPr>
          <w:rFonts w:ascii="Times New Roman" w:hAnsi="Times New Roman"/>
          <w:sz w:val="24"/>
          <w:szCs w:val="24"/>
        </w:rPr>
        <w:t xml:space="preserve">Note: The Court also held that City has immunity in this lawsuit. “The City contends that the FPERA does not waive immunity from the Intervenors’ claims for proceeds from the settlement agreement or for a declaration of their rights under it. In this, the </w:t>
      </w:r>
      <w:proofErr w:type="gramStart"/>
      <w:r w:rsidRPr="008E3387">
        <w:rPr>
          <w:rFonts w:ascii="Times New Roman" w:hAnsi="Times New Roman"/>
          <w:sz w:val="24"/>
          <w:szCs w:val="24"/>
        </w:rPr>
        <w:t>City</w:t>
      </w:r>
      <w:proofErr w:type="gramEnd"/>
      <w:r w:rsidRPr="008E3387">
        <w:rPr>
          <w:rFonts w:ascii="Times New Roman" w:hAnsi="Times New Roman"/>
          <w:sz w:val="24"/>
          <w:szCs w:val="24"/>
        </w:rPr>
        <w:t xml:space="preserve"> is correct…. But we agree with the </w:t>
      </w:r>
      <w:proofErr w:type="gramStart"/>
      <w:r w:rsidRPr="008E3387">
        <w:rPr>
          <w:rFonts w:ascii="Times New Roman" w:hAnsi="Times New Roman"/>
          <w:sz w:val="24"/>
          <w:szCs w:val="24"/>
        </w:rPr>
        <w:t>City</w:t>
      </w:r>
      <w:proofErr w:type="gramEnd"/>
      <w:r w:rsidRPr="008E3387">
        <w:rPr>
          <w:rFonts w:ascii="Times New Roman" w:hAnsi="Times New Roman"/>
          <w:sz w:val="24"/>
          <w:szCs w:val="24"/>
        </w:rPr>
        <w:t xml:space="preserve"> that it is immune from suit on the Intervenors’ foregoing requests for declaratory relief and on their claims for proceeds from the settlement agreement. Because those are not claims to enforce the FPERA, the </w:t>
      </w:r>
      <w:proofErr w:type="gramStart"/>
      <w:r w:rsidRPr="008E3387">
        <w:rPr>
          <w:rFonts w:ascii="Times New Roman" w:hAnsi="Times New Roman"/>
          <w:sz w:val="24"/>
          <w:szCs w:val="24"/>
        </w:rPr>
        <w:t>City</w:t>
      </w:r>
      <w:proofErr w:type="gramEnd"/>
      <w:r w:rsidRPr="008E3387">
        <w:rPr>
          <w:rFonts w:ascii="Times New Roman" w:hAnsi="Times New Roman"/>
          <w:sz w:val="24"/>
          <w:szCs w:val="24"/>
        </w:rPr>
        <w:t xml:space="preserve"> retains immunity as to those claims.</w:t>
      </w:r>
    </w:p>
    <w:p w14:paraId="5C9C6333" w14:textId="77777777" w:rsidR="008E3387" w:rsidRPr="008E3387" w:rsidRDefault="008E3387" w:rsidP="00FD6F7D">
      <w:pPr>
        <w:pStyle w:val="NoSpacing"/>
        <w:rPr>
          <w:rFonts w:ascii="Times New Roman" w:hAnsi="Times New Roman"/>
          <w:sz w:val="24"/>
          <w:szCs w:val="24"/>
        </w:rPr>
      </w:pPr>
    </w:p>
    <w:p w14:paraId="1BBA292E" w14:textId="77777777" w:rsidR="00834E72" w:rsidRDefault="00834E72" w:rsidP="00FD6F7D">
      <w:pPr>
        <w:pStyle w:val="NoSpacing"/>
        <w:rPr>
          <w:rFonts w:ascii="Arial Black" w:hAnsi="Arial Black"/>
          <w:sz w:val="24"/>
          <w:szCs w:val="24"/>
        </w:rPr>
      </w:pPr>
    </w:p>
    <w:p w14:paraId="279B9BD1" w14:textId="77777777" w:rsidR="00834E72" w:rsidRDefault="00834E72" w:rsidP="00FD6F7D">
      <w:pPr>
        <w:pStyle w:val="NoSpacing"/>
        <w:rPr>
          <w:rFonts w:ascii="Arial Black" w:hAnsi="Arial Black"/>
          <w:sz w:val="24"/>
          <w:szCs w:val="24"/>
        </w:rPr>
      </w:pPr>
    </w:p>
    <w:p w14:paraId="0176BBC6" w14:textId="4FCA86A1" w:rsidR="00FD6F7D" w:rsidRDefault="00FD6F7D" w:rsidP="00FD6F7D">
      <w:pPr>
        <w:pStyle w:val="NoSpacing"/>
        <w:rPr>
          <w:rFonts w:ascii="Arial Black" w:hAnsi="Arial Black"/>
          <w:sz w:val="24"/>
          <w:szCs w:val="24"/>
        </w:rPr>
      </w:pPr>
      <w:r>
        <w:rPr>
          <w:rFonts w:ascii="Arial Black" w:hAnsi="Arial Black"/>
          <w:sz w:val="24"/>
          <w:szCs w:val="24"/>
        </w:rPr>
        <w:t>17-54</w:t>
      </w:r>
    </w:p>
    <w:p w14:paraId="4643DA90" w14:textId="7A5A9E45" w:rsidR="00FD6F7D" w:rsidRDefault="00FD6F7D" w:rsidP="00F326E5">
      <w:pPr>
        <w:pStyle w:val="NoSpacing"/>
        <w:rPr>
          <w:rFonts w:ascii="Arial Black" w:hAnsi="Arial Black"/>
          <w:sz w:val="24"/>
          <w:szCs w:val="24"/>
        </w:rPr>
      </w:pPr>
    </w:p>
    <w:p w14:paraId="0102EE78" w14:textId="77777777" w:rsidR="00316D92" w:rsidRPr="005F2110" w:rsidRDefault="00316D92" w:rsidP="00316D92">
      <w:pPr>
        <w:rPr>
          <w:rFonts w:ascii="Arial Black" w:hAnsi="Arial Black"/>
          <w:b/>
          <w:sz w:val="28"/>
          <w:szCs w:val="28"/>
        </w:rPr>
      </w:pPr>
      <w:r>
        <w:rPr>
          <w:rFonts w:ascii="Arial Black" w:hAnsi="Arial Black"/>
          <w:b/>
          <w:sz w:val="28"/>
          <w:szCs w:val="28"/>
        </w:rPr>
        <w:t xml:space="preserve">LA: IAFF OFFICER / CAPT. FIRED – CALLED BOARD MEMBERS </w:t>
      </w:r>
    </w:p>
    <w:p w14:paraId="0A1922EA" w14:textId="1030CAB9" w:rsidR="007D737C" w:rsidRPr="000F7D4E" w:rsidRDefault="00A57516" w:rsidP="00520903">
      <w:pPr>
        <w:pStyle w:val="NoSpacing"/>
        <w:rPr>
          <w:rFonts w:ascii="Times New Roman" w:hAnsi="Times New Roman"/>
          <w:sz w:val="24"/>
          <w:szCs w:val="24"/>
        </w:rPr>
      </w:pPr>
      <w:r w:rsidRPr="000F7D4E">
        <w:rPr>
          <w:rFonts w:ascii="Times New Roman" w:hAnsi="Times New Roman"/>
          <w:sz w:val="24"/>
          <w:szCs w:val="24"/>
        </w:rPr>
        <w:t xml:space="preserve">On June 12, 2025, in </w:t>
      </w:r>
      <w:r w:rsidRPr="000F7D4E">
        <w:rPr>
          <w:rFonts w:ascii="Times New Roman" w:hAnsi="Times New Roman"/>
          <w:sz w:val="24"/>
          <w:szCs w:val="24"/>
          <w:u w:val="single"/>
        </w:rPr>
        <w:t>Jonathan Gramm v. Fire District 9, Desoto Parish, et al</w:t>
      </w:r>
      <w:r w:rsidRPr="000F7D4E">
        <w:rPr>
          <w:rFonts w:ascii="Times New Roman" w:hAnsi="Times New Roman"/>
          <w:sz w:val="24"/>
          <w:szCs w:val="24"/>
        </w:rPr>
        <w:t xml:space="preserve">., U.S. District Court Judge S. Maurice Hicks, Jr., United States District Court for Western District of Louisiana, Shreveport Division, denied the Desoto Parish motion to dismiss the case; Jonathan Gramm has a First Amendment claim that will proceed to pre-trial discovery.  He was hired in 2014, is a Captain, and in July 2017 helped organize IAFF Local 5138, and elected its Secretary-Treasurer. On September 18, </w:t>
      </w:r>
      <w:proofErr w:type="gramStart"/>
      <w:r w:rsidRPr="000F7D4E">
        <w:rPr>
          <w:rFonts w:ascii="Times New Roman" w:hAnsi="Times New Roman"/>
          <w:sz w:val="24"/>
          <w:szCs w:val="24"/>
        </w:rPr>
        <w:t>2023</w:t>
      </w:r>
      <w:proofErr w:type="gramEnd"/>
      <w:r w:rsidRPr="000F7D4E">
        <w:rPr>
          <w:rFonts w:ascii="Times New Roman" w:hAnsi="Times New Roman"/>
          <w:sz w:val="24"/>
          <w:szCs w:val="24"/>
        </w:rPr>
        <w:t xml:space="preserve"> learned that an upcoming meeting of the Fire Board was going to vote on new </w:t>
      </w:r>
      <w:proofErr w:type="gramStart"/>
      <w:r w:rsidRPr="000F7D4E">
        <w:rPr>
          <w:rFonts w:ascii="Times New Roman" w:hAnsi="Times New Roman"/>
          <w:sz w:val="24"/>
          <w:szCs w:val="24"/>
        </w:rPr>
        <w:t>vehicle</w:t>
      </w:r>
      <w:proofErr w:type="gramEnd"/>
      <w:r w:rsidRPr="000F7D4E">
        <w:rPr>
          <w:rFonts w:ascii="Times New Roman" w:hAnsi="Times New Roman"/>
          <w:sz w:val="24"/>
          <w:szCs w:val="24"/>
        </w:rPr>
        <w:t xml:space="preserve"> for the Fire Chief.  At the union’s request, </w:t>
      </w:r>
      <w:proofErr w:type="gramStart"/>
      <w:r w:rsidRPr="000F7D4E">
        <w:rPr>
          <w:rFonts w:ascii="Times New Roman" w:hAnsi="Times New Roman"/>
          <w:sz w:val="24"/>
          <w:szCs w:val="24"/>
        </w:rPr>
        <w:t>Gramm</w:t>
      </w:r>
      <w:proofErr w:type="gramEnd"/>
      <w:r w:rsidRPr="000F7D4E">
        <w:rPr>
          <w:rFonts w:ascii="Times New Roman" w:hAnsi="Times New Roman"/>
          <w:sz w:val="24"/>
          <w:szCs w:val="24"/>
        </w:rPr>
        <w:t xml:space="preserve"> while off </w:t>
      </w:r>
      <w:proofErr w:type="gramStart"/>
      <w:r w:rsidRPr="000F7D4E">
        <w:rPr>
          <w:rFonts w:ascii="Times New Roman" w:hAnsi="Times New Roman"/>
          <w:sz w:val="24"/>
          <w:szCs w:val="24"/>
        </w:rPr>
        <w:t>duty</w:t>
      </w:r>
      <w:proofErr w:type="gramEnd"/>
      <w:r w:rsidRPr="000F7D4E">
        <w:rPr>
          <w:rFonts w:ascii="Times New Roman" w:hAnsi="Times New Roman"/>
          <w:sz w:val="24"/>
          <w:szCs w:val="24"/>
        </w:rPr>
        <w:t xml:space="preserve"> called two Commissioners on their cell phones to express opposition to new vehicle purchase.  The following morning the Fire Chief King put him on administrative leave; he was fired on Nov. 27, 2023.  THE COURT HELD: “[T]he Court finds that Gramm has sufficiently pled a plausible claim for relief as to Counts I and III. He alleges that he engaged in </w:t>
      </w:r>
      <w:proofErr w:type="gramStart"/>
      <w:r w:rsidRPr="000F7D4E">
        <w:rPr>
          <w:rFonts w:ascii="Times New Roman" w:hAnsi="Times New Roman"/>
          <w:sz w:val="24"/>
          <w:szCs w:val="24"/>
        </w:rPr>
        <w:t>an</w:t>
      </w:r>
      <w:r w:rsidR="00FD6F7D">
        <w:rPr>
          <w:rFonts w:ascii="Times New Roman" w:hAnsi="Times New Roman"/>
          <w:sz w:val="24"/>
          <w:szCs w:val="24"/>
        </w:rPr>
        <w:t xml:space="preserve"> </w:t>
      </w:r>
      <w:r w:rsidRPr="000F7D4E">
        <w:rPr>
          <w:rFonts w:ascii="Times New Roman" w:hAnsi="Times New Roman"/>
          <w:sz w:val="24"/>
          <w:szCs w:val="24"/>
        </w:rPr>
        <w:t>external</w:t>
      </w:r>
      <w:proofErr w:type="gramEnd"/>
      <w:r w:rsidRPr="000F7D4E">
        <w:rPr>
          <w:rFonts w:ascii="Times New Roman" w:hAnsi="Times New Roman"/>
          <w:sz w:val="24"/>
          <w:szCs w:val="24"/>
        </w:rPr>
        <w:t xml:space="preserve"> communication when he complained to the Commissioners over the phone regarding the distribution of public funds. This communication can support a claim for free speech retaliation, as it was made outside of Gramm's duty as a firefighter captain and addressed an issue that could qualify as a matter for public concern. Therefore, Defendants' Motion with respect to Counts I and III is DENIED. Gramm's claims under § 1983 for a violation of his rights to free speech and to petition pursuant to the First and Fourteenth </w:t>
      </w:r>
      <w:r w:rsidRPr="000F7D4E">
        <w:rPr>
          <w:rFonts w:ascii="Times New Roman" w:hAnsi="Times New Roman"/>
          <w:sz w:val="24"/>
          <w:szCs w:val="24"/>
        </w:rPr>
        <w:lastRenderedPageBreak/>
        <w:t xml:space="preserve">Amendments remain.” </w:t>
      </w:r>
      <w:hyperlink r:id="rId2856" w:history="1">
        <w:r w:rsidRPr="000F7D4E">
          <w:rPr>
            <w:rStyle w:val="Hyperlink"/>
            <w:rFonts w:ascii="Times New Roman" w:hAnsi="Times New Roman"/>
            <w:sz w:val="24"/>
            <w:szCs w:val="24"/>
          </w:rPr>
          <w:t>https://public.fastcase.com/jaEE2PXzRXmZ99jOLMt1Ir%2Bgd4DeQSRcdUE7IJV4ZHQFjK4R6%2FaVKxoGJags6yJ8?utm_medium=email&amp;_hsenc=p2ANqtz-9_dtoT8MCHWol7MkpFQEKniJ3EcCAHTOONesHADifFFZppYBhmnp0t7X96SaR0z0JseLLFRZzCLhs4WSwU0MvvvFbR6g&amp;_hsmi=226712652&amp;utm_content=226712652&amp;utm_source=hs_email</w:t>
        </w:r>
      </w:hyperlink>
    </w:p>
    <w:p w14:paraId="6A8A222F" w14:textId="77777777" w:rsidR="007D737C" w:rsidRPr="000F7D4E" w:rsidRDefault="007D737C" w:rsidP="00520903">
      <w:pPr>
        <w:pStyle w:val="NoSpacing"/>
        <w:rPr>
          <w:rFonts w:ascii="Times New Roman" w:hAnsi="Times New Roman"/>
          <w:sz w:val="24"/>
          <w:szCs w:val="24"/>
        </w:rPr>
      </w:pPr>
    </w:p>
    <w:p w14:paraId="59CFFFA7" w14:textId="090BD99B" w:rsidR="000F7D4E" w:rsidRPr="000F7D4E" w:rsidRDefault="000F7D4E" w:rsidP="000F7D4E">
      <w:pPr>
        <w:rPr>
          <w:rFonts w:ascii="Times New Roman" w:hAnsi="Times New Roman"/>
          <w:b/>
          <w:sz w:val="24"/>
          <w:szCs w:val="24"/>
        </w:rPr>
      </w:pPr>
      <w:r w:rsidRPr="000F7D4E">
        <w:rPr>
          <w:rFonts w:ascii="Times New Roman" w:hAnsi="Times New Roman"/>
          <w:b/>
          <w:sz w:val="24"/>
          <w:szCs w:val="24"/>
        </w:rPr>
        <w:t xml:space="preserve">Legal lesson learned:  </w:t>
      </w:r>
      <w:r w:rsidRPr="000F7D4E">
        <w:rPr>
          <w:rFonts w:ascii="Times New Roman" w:hAnsi="Times New Roman"/>
          <w:b/>
          <w:bCs/>
          <w:sz w:val="24"/>
          <w:szCs w:val="24"/>
        </w:rPr>
        <w:t xml:space="preserve">When union is going to present to Board, union </w:t>
      </w:r>
      <w:r w:rsidRPr="000F7D4E">
        <w:rPr>
          <w:rFonts w:ascii="Times New Roman" w:hAnsi="Times New Roman"/>
          <w:b/>
          <w:sz w:val="24"/>
          <w:szCs w:val="24"/>
        </w:rPr>
        <w:t xml:space="preserve">President should </w:t>
      </w:r>
      <w:r w:rsidRPr="000F7D4E">
        <w:rPr>
          <w:rFonts w:ascii="Times New Roman" w:hAnsi="Times New Roman"/>
          <w:b/>
          <w:bCs/>
          <w:sz w:val="24"/>
          <w:szCs w:val="24"/>
        </w:rPr>
        <w:t xml:space="preserve">first </w:t>
      </w:r>
      <w:r w:rsidRPr="000F7D4E">
        <w:rPr>
          <w:rFonts w:ascii="Times New Roman" w:hAnsi="Times New Roman"/>
          <w:b/>
          <w:sz w:val="24"/>
          <w:szCs w:val="24"/>
        </w:rPr>
        <w:t>inform Fire Chief</w:t>
      </w:r>
      <w:r w:rsidR="008051F6">
        <w:rPr>
          <w:rFonts w:ascii="Times New Roman" w:hAnsi="Times New Roman"/>
          <w:b/>
          <w:sz w:val="24"/>
          <w:szCs w:val="24"/>
        </w:rPr>
        <w:t xml:space="preserve"> prior to presentation. </w:t>
      </w:r>
      <w:r w:rsidRPr="000F7D4E">
        <w:rPr>
          <w:rFonts w:ascii="Times New Roman" w:hAnsi="Times New Roman"/>
          <w:b/>
          <w:bCs/>
          <w:sz w:val="24"/>
          <w:szCs w:val="24"/>
        </w:rPr>
        <w:t xml:space="preserve"> </w:t>
      </w:r>
    </w:p>
    <w:p w14:paraId="44C1CC86" w14:textId="77777777" w:rsidR="000F7D4E" w:rsidRDefault="000F7D4E" w:rsidP="00520903">
      <w:pPr>
        <w:pStyle w:val="NoSpacing"/>
        <w:rPr>
          <w:rFonts w:ascii="Arial Black" w:hAnsi="Arial Black"/>
          <w:sz w:val="28"/>
          <w:szCs w:val="28"/>
        </w:rPr>
      </w:pPr>
    </w:p>
    <w:p w14:paraId="34DD16E3" w14:textId="2AEF4FCD" w:rsidR="00FD6F7D" w:rsidRDefault="00FD6F7D" w:rsidP="00FD6F7D">
      <w:pPr>
        <w:pStyle w:val="NoSpacing"/>
        <w:rPr>
          <w:rFonts w:ascii="Arial Black" w:hAnsi="Arial Black"/>
          <w:sz w:val="24"/>
          <w:szCs w:val="24"/>
        </w:rPr>
      </w:pPr>
      <w:r>
        <w:rPr>
          <w:rFonts w:ascii="Arial Black" w:hAnsi="Arial Black"/>
          <w:sz w:val="24"/>
          <w:szCs w:val="24"/>
        </w:rPr>
        <w:t>17-53</w:t>
      </w:r>
    </w:p>
    <w:p w14:paraId="6987BDD3" w14:textId="77777777" w:rsidR="007D737C" w:rsidRDefault="007D737C" w:rsidP="00520903">
      <w:pPr>
        <w:pStyle w:val="NoSpacing"/>
        <w:rPr>
          <w:rFonts w:ascii="Arial Black" w:hAnsi="Arial Black"/>
          <w:sz w:val="28"/>
          <w:szCs w:val="28"/>
        </w:rPr>
      </w:pPr>
    </w:p>
    <w:p w14:paraId="30539A88" w14:textId="504E5E62" w:rsidR="00520903" w:rsidRPr="006F2B87" w:rsidRDefault="00520903" w:rsidP="00520903">
      <w:pPr>
        <w:pStyle w:val="NoSpacing"/>
        <w:rPr>
          <w:rFonts w:ascii="Arial Black" w:hAnsi="Arial Black"/>
          <w:sz w:val="28"/>
          <w:szCs w:val="28"/>
        </w:rPr>
      </w:pPr>
      <w:r w:rsidRPr="006F2B87">
        <w:rPr>
          <w:rFonts w:ascii="Arial Black" w:hAnsi="Arial Black"/>
          <w:sz w:val="28"/>
          <w:szCs w:val="28"/>
        </w:rPr>
        <w:t xml:space="preserve">CA:  TWO CAPTAINS </w:t>
      </w:r>
      <w:r w:rsidR="007E3F8D">
        <w:rPr>
          <w:rFonts w:ascii="Arial Black" w:hAnsi="Arial Black"/>
          <w:sz w:val="28"/>
          <w:szCs w:val="28"/>
        </w:rPr>
        <w:t xml:space="preserve">– POOR INTERVIEWS - </w:t>
      </w:r>
      <w:r w:rsidRPr="006F2B87">
        <w:rPr>
          <w:rFonts w:ascii="Arial Black" w:hAnsi="Arial Black"/>
          <w:sz w:val="28"/>
          <w:szCs w:val="28"/>
        </w:rPr>
        <w:t>NO</w:t>
      </w:r>
      <w:r>
        <w:rPr>
          <w:rFonts w:ascii="Arial Black" w:hAnsi="Arial Black"/>
          <w:sz w:val="28"/>
          <w:szCs w:val="28"/>
        </w:rPr>
        <w:t xml:space="preserve">T </w:t>
      </w:r>
      <w:r w:rsidRPr="006F2B87">
        <w:rPr>
          <w:rFonts w:ascii="Arial Black" w:hAnsi="Arial Black"/>
          <w:sz w:val="28"/>
          <w:szCs w:val="28"/>
        </w:rPr>
        <w:t xml:space="preserve">RETALIATION </w:t>
      </w:r>
    </w:p>
    <w:p w14:paraId="125C2708" w14:textId="77777777" w:rsidR="00520903" w:rsidRPr="006F2B87" w:rsidRDefault="00520903" w:rsidP="00520903">
      <w:pPr>
        <w:pStyle w:val="NoSpacing"/>
      </w:pPr>
    </w:p>
    <w:p w14:paraId="7452064A" w14:textId="77777777" w:rsidR="00520903" w:rsidRPr="00520903" w:rsidRDefault="00520903" w:rsidP="00520903">
      <w:pPr>
        <w:pStyle w:val="NoSpacing"/>
        <w:rPr>
          <w:rFonts w:ascii="Times New Roman" w:hAnsi="Times New Roman"/>
          <w:sz w:val="24"/>
          <w:szCs w:val="24"/>
        </w:rPr>
      </w:pPr>
      <w:r w:rsidRPr="00520903">
        <w:rPr>
          <w:rFonts w:ascii="Times New Roman" w:hAnsi="Times New Roman"/>
          <w:sz w:val="24"/>
          <w:szCs w:val="24"/>
        </w:rPr>
        <w:t xml:space="preserve">On May 16, 2025, in </w:t>
      </w:r>
      <w:r w:rsidRPr="00520903">
        <w:rPr>
          <w:rFonts w:ascii="Times New Roman" w:hAnsi="Times New Roman"/>
          <w:sz w:val="24"/>
          <w:szCs w:val="24"/>
          <w:u w:val="single"/>
        </w:rPr>
        <w:t>David Shenbaum and Timothy O'Brien v. City of Manhattan Beach</w:t>
      </w:r>
      <w:r w:rsidRPr="00520903">
        <w:rPr>
          <w:rFonts w:ascii="Times New Roman" w:hAnsi="Times New Roman"/>
          <w:sz w:val="24"/>
          <w:szCs w:val="24"/>
        </w:rPr>
        <w:t xml:space="preserve">, Chief U.S. Magistrate Judge Katen L. Stevenson. </w:t>
      </w:r>
      <w:proofErr w:type="gramStart"/>
      <w:r w:rsidRPr="00520903">
        <w:rPr>
          <w:rFonts w:ascii="Times New Roman" w:hAnsi="Times New Roman"/>
          <w:sz w:val="24"/>
          <w:szCs w:val="24"/>
        </w:rPr>
        <w:t>United States District Court for Central District of California,</w:t>
      </w:r>
      <w:proofErr w:type="gramEnd"/>
      <w:r w:rsidRPr="00520903">
        <w:rPr>
          <w:rFonts w:ascii="Times New Roman" w:hAnsi="Times New Roman"/>
          <w:sz w:val="24"/>
          <w:szCs w:val="24"/>
        </w:rPr>
        <w:t xml:space="preserve"> granted the </w:t>
      </w:r>
      <w:proofErr w:type="gramStart"/>
      <w:r w:rsidRPr="00520903">
        <w:rPr>
          <w:rFonts w:ascii="Times New Roman" w:hAnsi="Times New Roman"/>
          <w:sz w:val="24"/>
          <w:szCs w:val="24"/>
        </w:rPr>
        <w:t>City</w:t>
      </w:r>
      <w:proofErr w:type="gramEnd"/>
      <w:r w:rsidRPr="00520903">
        <w:rPr>
          <w:rFonts w:ascii="Times New Roman" w:hAnsi="Times New Roman"/>
          <w:sz w:val="24"/>
          <w:szCs w:val="24"/>
        </w:rPr>
        <w:t xml:space="preserve"> summary judgment, finding there was no proof of retaliation.  The two Captains claimed they were not promoted in retaliation for (1) their union voting in 2018 “No Confidence” in the fire chief and three battalion chiefs, and (2) union lawsuit on Nov. 3, </w:t>
      </w:r>
      <w:proofErr w:type="gramStart"/>
      <w:r w:rsidRPr="00520903">
        <w:rPr>
          <w:rFonts w:ascii="Times New Roman" w:hAnsi="Times New Roman"/>
          <w:sz w:val="24"/>
          <w:szCs w:val="24"/>
        </w:rPr>
        <w:t>2022</w:t>
      </w:r>
      <w:proofErr w:type="gramEnd"/>
      <w:r w:rsidRPr="00520903">
        <w:rPr>
          <w:rFonts w:ascii="Times New Roman" w:hAnsi="Times New Roman"/>
          <w:sz w:val="24"/>
          <w:szCs w:val="24"/>
        </w:rPr>
        <w:t xml:space="preserve"> challenging city reducing the pay of Battalion Chiefs.  </w:t>
      </w:r>
    </w:p>
    <w:p w14:paraId="09C8416B" w14:textId="77777777" w:rsidR="00520903" w:rsidRPr="00520903" w:rsidRDefault="00520903" w:rsidP="00520903">
      <w:pPr>
        <w:pStyle w:val="NoSpacing"/>
        <w:rPr>
          <w:rFonts w:ascii="Times New Roman" w:hAnsi="Times New Roman"/>
          <w:sz w:val="24"/>
          <w:szCs w:val="24"/>
        </w:rPr>
      </w:pPr>
    </w:p>
    <w:p w14:paraId="62825526" w14:textId="57AE9D86" w:rsidR="00520903" w:rsidRPr="00520903" w:rsidRDefault="00520903" w:rsidP="00520903">
      <w:pPr>
        <w:pStyle w:val="NoSpacing"/>
        <w:rPr>
          <w:rFonts w:ascii="Times New Roman" w:hAnsi="Times New Roman"/>
          <w:sz w:val="24"/>
          <w:szCs w:val="24"/>
        </w:rPr>
      </w:pPr>
      <w:r w:rsidRPr="00520903">
        <w:rPr>
          <w:rFonts w:ascii="Times New Roman" w:hAnsi="Times New Roman"/>
          <w:sz w:val="24"/>
          <w:szCs w:val="24"/>
        </w:rPr>
        <w:t xml:space="preserve">The Court wrote:   “In December 2022, Fire Chief Michael Lang and the City replaced the Battalion Chief position with the Division Chief position and opened the position to internal candidates only… Five internal candidates applied for the Division Chief position, including Plaintiffs…. Chief Lang subsequently announced that the traditional examination and interview process would be replaced with an interview-only process…. Chief Lang selected an external panel of fire chiefs to conduct the Division Chief interviews, which included Monrovia Fire Chief Jeremy Sanchez, Arcadia Fire Chief Chen Suen, and La Verne Fire Chief Chris Nigg (collectively ‘Fire Chief Panelists’)…. On January 17, 2023, the Fire Chief Panelists conducted interviews for all Division Chief candidates, including Plaintiffs…. The Fire Chief Panelists concurred that both </w:t>
      </w:r>
      <w:proofErr w:type="spellStart"/>
      <w:r w:rsidRPr="00520903">
        <w:rPr>
          <w:rFonts w:ascii="Times New Roman" w:hAnsi="Times New Roman"/>
          <w:sz w:val="24"/>
          <w:szCs w:val="24"/>
        </w:rPr>
        <w:t>Shenbaum</w:t>
      </w:r>
      <w:proofErr w:type="spellEnd"/>
      <w:r w:rsidRPr="00520903">
        <w:rPr>
          <w:rFonts w:ascii="Times New Roman" w:hAnsi="Times New Roman"/>
          <w:sz w:val="24"/>
          <w:szCs w:val="24"/>
        </w:rPr>
        <w:t xml:space="preserve"> and O'Brien should receive failing scores based on their responses and conduct during their interviews…. Specifically, the Fire Chief Panelists gave </w:t>
      </w:r>
      <w:proofErr w:type="spellStart"/>
      <w:r w:rsidRPr="00520903">
        <w:rPr>
          <w:rFonts w:ascii="Times New Roman" w:hAnsi="Times New Roman"/>
          <w:sz w:val="24"/>
          <w:szCs w:val="24"/>
        </w:rPr>
        <w:t>Shenbaum</w:t>
      </w:r>
      <w:proofErr w:type="spellEnd"/>
      <w:r w:rsidRPr="00520903">
        <w:rPr>
          <w:rFonts w:ascii="Times New Roman" w:hAnsi="Times New Roman"/>
          <w:sz w:val="24"/>
          <w:szCs w:val="24"/>
        </w:rPr>
        <w:t xml:space="preserve"> a failing score in the ‘Judgment and Decision Making’ category and commented that he used profanity in his interview…. </w:t>
      </w:r>
    </w:p>
    <w:p w14:paraId="62C8C72B" w14:textId="3D09843F" w:rsidR="001F3D0F" w:rsidRDefault="00520903" w:rsidP="00520903">
      <w:pPr>
        <w:pStyle w:val="NoSpacing"/>
        <w:rPr>
          <w:rFonts w:ascii="Times New Roman" w:hAnsi="Times New Roman"/>
          <w:sz w:val="24"/>
          <w:szCs w:val="24"/>
        </w:rPr>
      </w:pPr>
      <w:hyperlink r:id="rId2857" w:history="1">
        <w:r w:rsidRPr="00520903">
          <w:rPr>
            <w:rStyle w:val="Hyperlink"/>
            <w:rFonts w:ascii="Times New Roman" w:hAnsi="Times New Roman"/>
            <w:sz w:val="24"/>
            <w:szCs w:val="24"/>
          </w:rPr>
          <w:t>https://public.fastcase.com/jaEE2PXzRXmZ99jOLMt1IhwREi1fEuXa5IBCMUROo3DApdLLsb4vyoe8B%2BNXnfOO?utm_medium=email&amp;_hsenc=p2ANqtz-8ABWS4rvuUksFiiSiWwUxDOv17WyJKZy-5as8oPUYz_An6byDKPPy12elR6z5qE4TfB84ipL9se-rQu7mIzXpACN0LEw&amp;_hsmi=226712652&amp;utm_content=226712652&amp;utm_source=hs_email</w:t>
        </w:r>
      </w:hyperlink>
    </w:p>
    <w:p w14:paraId="404205E9" w14:textId="77777777" w:rsidR="00FE6DEF" w:rsidRDefault="00FE6DEF" w:rsidP="00520903">
      <w:pPr>
        <w:pStyle w:val="NoSpacing"/>
        <w:rPr>
          <w:rFonts w:ascii="Times New Roman" w:hAnsi="Times New Roman"/>
          <w:sz w:val="24"/>
          <w:szCs w:val="24"/>
        </w:rPr>
      </w:pPr>
    </w:p>
    <w:p w14:paraId="7C190A3F" w14:textId="0C38BC4C" w:rsidR="00FE6DEF" w:rsidRDefault="00FE6DEF" w:rsidP="00520903">
      <w:pPr>
        <w:pStyle w:val="NoSpacing"/>
        <w:rPr>
          <w:rFonts w:ascii="Times New Roman" w:hAnsi="Times New Roman"/>
          <w:sz w:val="24"/>
          <w:szCs w:val="24"/>
        </w:rPr>
      </w:pPr>
      <w:r>
        <w:rPr>
          <w:rFonts w:ascii="Times New Roman" w:hAnsi="Times New Roman"/>
          <w:sz w:val="24"/>
          <w:szCs w:val="24"/>
        </w:rPr>
        <w:t>The Court held:</w:t>
      </w:r>
    </w:p>
    <w:p w14:paraId="4763BFB7" w14:textId="77777777" w:rsidR="00FE6DEF" w:rsidRDefault="00FE6DEF" w:rsidP="00520903">
      <w:pPr>
        <w:pStyle w:val="NoSpacing"/>
        <w:rPr>
          <w:rFonts w:ascii="Times New Roman" w:hAnsi="Times New Roman"/>
          <w:sz w:val="24"/>
          <w:szCs w:val="24"/>
        </w:rPr>
      </w:pPr>
    </w:p>
    <w:p w14:paraId="6267576F" w14:textId="19D92B83" w:rsidR="00FE6DEF" w:rsidRPr="00520903" w:rsidRDefault="00FE6DEF" w:rsidP="00FE6DEF">
      <w:pPr>
        <w:pStyle w:val="NoSpacing"/>
        <w:ind w:left="720"/>
        <w:rPr>
          <w:rFonts w:ascii="Times New Roman" w:hAnsi="Times New Roman"/>
          <w:sz w:val="24"/>
          <w:szCs w:val="24"/>
        </w:rPr>
      </w:pPr>
      <w:r>
        <w:rPr>
          <w:rFonts w:ascii="Times New Roman" w:hAnsi="Times New Roman"/>
          <w:sz w:val="24"/>
          <w:szCs w:val="24"/>
        </w:rPr>
        <w:t>“</w:t>
      </w:r>
      <w:r w:rsidRPr="00520903">
        <w:rPr>
          <w:rFonts w:ascii="Times New Roman" w:hAnsi="Times New Roman"/>
          <w:sz w:val="24"/>
          <w:szCs w:val="24"/>
        </w:rPr>
        <w:t xml:space="preserve">The Fire Chief Panelists gave O'Brien failing scores for ‘Leadership and Management’ and ‘Innovation and Strategic Thinking.’ *** Yet, here, Plaintiffs only speculate that the Fire Panelists had any knowledge of the lawsuit. In fact, all three members of the Fire Chief Panelists attested that they were not aware of or notified of any pending lawsuit by Plaintiffs against the </w:t>
      </w:r>
      <w:proofErr w:type="gramStart"/>
      <w:r w:rsidRPr="00520903">
        <w:rPr>
          <w:rFonts w:ascii="Times New Roman" w:hAnsi="Times New Roman"/>
          <w:sz w:val="24"/>
          <w:szCs w:val="24"/>
        </w:rPr>
        <w:t>City.”</w:t>
      </w:r>
      <w:proofErr w:type="gramEnd"/>
    </w:p>
    <w:p w14:paraId="23111BE1" w14:textId="77777777" w:rsidR="00FE6DEF" w:rsidRDefault="00FE6DEF" w:rsidP="00520903">
      <w:pPr>
        <w:pStyle w:val="NoSpacing"/>
        <w:rPr>
          <w:rFonts w:ascii="Arial Black" w:hAnsi="Arial Black"/>
          <w:sz w:val="24"/>
          <w:szCs w:val="24"/>
        </w:rPr>
      </w:pPr>
    </w:p>
    <w:p w14:paraId="6D30922C" w14:textId="77777777" w:rsidR="00C01A1F" w:rsidRDefault="00C01A1F" w:rsidP="00C01A1F">
      <w:pPr>
        <w:pStyle w:val="NoSpacing"/>
        <w:rPr>
          <w:rFonts w:ascii="Times New Roman" w:hAnsi="Times New Roman"/>
          <w:b/>
          <w:sz w:val="24"/>
          <w:szCs w:val="24"/>
        </w:rPr>
      </w:pPr>
      <w:r w:rsidRPr="00C01A1F">
        <w:rPr>
          <w:rFonts w:ascii="Times New Roman" w:hAnsi="Times New Roman"/>
          <w:b/>
          <w:sz w:val="24"/>
          <w:szCs w:val="24"/>
        </w:rPr>
        <w:t xml:space="preserve">Legal Lesson Learned: No proof that No Confidence vote by union. or recent lawsuit, caused three outside Fire Chiefs to rate two Captains as “failed.” </w:t>
      </w:r>
    </w:p>
    <w:p w14:paraId="4A72D866" w14:textId="77777777" w:rsidR="00A50A87" w:rsidRDefault="00A50A87" w:rsidP="00C01A1F">
      <w:pPr>
        <w:pStyle w:val="NoSpacing"/>
        <w:rPr>
          <w:rFonts w:ascii="Times New Roman" w:hAnsi="Times New Roman"/>
          <w:b/>
          <w:sz w:val="24"/>
          <w:szCs w:val="24"/>
        </w:rPr>
      </w:pPr>
    </w:p>
    <w:p w14:paraId="4C7A1C0E" w14:textId="77777777" w:rsidR="00C2714E" w:rsidRDefault="00C2714E" w:rsidP="00A50A87">
      <w:pPr>
        <w:pStyle w:val="NoSpacing"/>
        <w:rPr>
          <w:rFonts w:ascii="Arial Black" w:hAnsi="Arial Black"/>
          <w:sz w:val="28"/>
          <w:szCs w:val="28"/>
        </w:rPr>
      </w:pPr>
    </w:p>
    <w:p w14:paraId="635D5792" w14:textId="77777777" w:rsidR="00FD6F7D" w:rsidRDefault="00FD6F7D" w:rsidP="00A50A87">
      <w:pPr>
        <w:pStyle w:val="NoSpacing"/>
        <w:rPr>
          <w:rFonts w:ascii="Arial Black" w:hAnsi="Arial Black"/>
          <w:sz w:val="28"/>
          <w:szCs w:val="28"/>
        </w:rPr>
      </w:pPr>
    </w:p>
    <w:p w14:paraId="3A0B53FB" w14:textId="2D1FB7DB" w:rsidR="00FD6F7D" w:rsidRDefault="00FD6F7D" w:rsidP="00FD6F7D">
      <w:pPr>
        <w:pStyle w:val="NoSpacing"/>
        <w:rPr>
          <w:rFonts w:ascii="Arial Black" w:hAnsi="Arial Black"/>
          <w:sz w:val="24"/>
          <w:szCs w:val="24"/>
        </w:rPr>
      </w:pPr>
      <w:r>
        <w:rPr>
          <w:rFonts w:ascii="Arial Black" w:hAnsi="Arial Black"/>
          <w:sz w:val="24"/>
          <w:szCs w:val="24"/>
        </w:rPr>
        <w:t>17-52</w:t>
      </w:r>
    </w:p>
    <w:p w14:paraId="77C0C9D1" w14:textId="77777777" w:rsidR="00FD6F7D" w:rsidRDefault="00FD6F7D" w:rsidP="00A50A87">
      <w:pPr>
        <w:pStyle w:val="NoSpacing"/>
        <w:rPr>
          <w:rFonts w:ascii="Arial Black" w:hAnsi="Arial Black"/>
          <w:sz w:val="28"/>
          <w:szCs w:val="28"/>
        </w:rPr>
      </w:pPr>
    </w:p>
    <w:p w14:paraId="1B2AE45B" w14:textId="0EF568C3" w:rsidR="00A50A87" w:rsidRDefault="00A50A87" w:rsidP="00A50A87">
      <w:pPr>
        <w:pStyle w:val="NoSpacing"/>
        <w:rPr>
          <w:rFonts w:ascii="Arial Black" w:hAnsi="Arial Black"/>
          <w:sz w:val="28"/>
          <w:szCs w:val="28"/>
        </w:rPr>
      </w:pPr>
      <w:r w:rsidRPr="006F2B87">
        <w:rPr>
          <w:rFonts w:ascii="Arial Black" w:hAnsi="Arial Black"/>
          <w:sz w:val="28"/>
          <w:szCs w:val="28"/>
        </w:rPr>
        <w:t xml:space="preserve">CT: </w:t>
      </w:r>
      <w:r w:rsidRPr="004617B4">
        <w:rPr>
          <w:rFonts w:ascii="Arial Black" w:hAnsi="Arial Black"/>
          <w:sz w:val="28"/>
          <w:szCs w:val="28"/>
        </w:rPr>
        <w:t>RETALIATION - LT. JOB - 6 DAYS AFTER GRIEVANCE</w:t>
      </w:r>
    </w:p>
    <w:p w14:paraId="5787419C" w14:textId="77777777" w:rsidR="00A50A87" w:rsidRPr="006F2B87" w:rsidRDefault="00A50A87" w:rsidP="00A50A87">
      <w:pPr>
        <w:pStyle w:val="NoSpacing"/>
        <w:rPr>
          <w:b/>
          <w:bCs/>
        </w:rPr>
      </w:pPr>
    </w:p>
    <w:p w14:paraId="7AECF39B" w14:textId="77777777" w:rsidR="00A50A87" w:rsidRPr="00C2714E" w:rsidRDefault="00A50A87" w:rsidP="00A50A87">
      <w:pPr>
        <w:pStyle w:val="NoSpacing"/>
        <w:rPr>
          <w:rFonts w:ascii="Times New Roman" w:hAnsi="Times New Roman"/>
          <w:bCs/>
          <w:sz w:val="24"/>
          <w:szCs w:val="24"/>
        </w:rPr>
      </w:pPr>
      <w:r w:rsidRPr="00C2714E">
        <w:rPr>
          <w:rFonts w:ascii="Times New Roman" w:hAnsi="Times New Roman"/>
          <w:sz w:val="24"/>
          <w:szCs w:val="24"/>
        </w:rPr>
        <w:t xml:space="preserve">On May 12, 2025, in </w:t>
      </w:r>
      <w:r w:rsidRPr="00C2714E">
        <w:rPr>
          <w:rFonts w:ascii="Times New Roman" w:hAnsi="Times New Roman"/>
          <w:sz w:val="24"/>
          <w:szCs w:val="24"/>
          <w:u w:val="single"/>
        </w:rPr>
        <w:t>Town of Suffield v. State Board of Labor Relations and Suffield Firefighters Assoc. Local 3565, IAFF</w:t>
      </w:r>
      <w:r w:rsidRPr="00C2714E">
        <w:rPr>
          <w:rFonts w:ascii="Times New Roman" w:hAnsi="Times New Roman"/>
          <w:sz w:val="24"/>
          <w:szCs w:val="24"/>
        </w:rPr>
        <w:t xml:space="preserve">, the Superior Court of Connecticut (Judicial District of New Britain) held (Judge Matthew J. Budzik; unpublished decision) that Town’s appeal was denied.  </w:t>
      </w:r>
    </w:p>
    <w:p w14:paraId="6F4A7DC3" w14:textId="77777777" w:rsidR="00A50A87" w:rsidRPr="00C2714E" w:rsidRDefault="00A50A87" w:rsidP="00A50A87">
      <w:pPr>
        <w:pStyle w:val="NoSpacing"/>
        <w:rPr>
          <w:rFonts w:ascii="Times New Roman" w:hAnsi="Times New Roman"/>
          <w:bCs/>
          <w:sz w:val="24"/>
          <w:szCs w:val="24"/>
        </w:rPr>
      </w:pPr>
    </w:p>
    <w:p w14:paraId="09479BA6" w14:textId="17C796CE" w:rsidR="00A50A87" w:rsidRPr="00C2714E" w:rsidRDefault="00A50A87" w:rsidP="00A50A87">
      <w:pPr>
        <w:pStyle w:val="NoSpacing"/>
        <w:rPr>
          <w:rFonts w:ascii="Times New Roman" w:hAnsi="Times New Roman"/>
          <w:b/>
          <w:bCs/>
          <w:sz w:val="24"/>
          <w:szCs w:val="24"/>
        </w:rPr>
      </w:pPr>
      <w:r w:rsidRPr="00C2714E">
        <w:rPr>
          <w:rFonts w:ascii="Times New Roman" w:hAnsi="Times New Roman"/>
          <w:sz w:val="24"/>
          <w:szCs w:val="24"/>
        </w:rPr>
        <w:t xml:space="preserve">The Court wrote: [The State Board] “may make the reasonable factual inference, based on very close temporal proximity, that the board’s [Town’s Board of Selectman] March 15, </w:t>
      </w:r>
      <w:proofErr w:type="gramStart"/>
      <w:r w:rsidRPr="00C2714E">
        <w:rPr>
          <w:rFonts w:ascii="Times New Roman" w:hAnsi="Times New Roman"/>
          <w:sz w:val="24"/>
          <w:szCs w:val="24"/>
        </w:rPr>
        <w:t>2023</w:t>
      </w:r>
      <w:proofErr w:type="gramEnd"/>
      <w:r w:rsidRPr="00C2714E">
        <w:rPr>
          <w:rFonts w:ascii="Times New Roman" w:hAnsi="Times New Roman"/>
          <w:sz w:val="24"/>
          <w:szCs w:val="24"/>
        </w:rPr>
        <w:t xml:space="preserve"> vote to defund the lieutenant position was in retaliation for the [union’s] filing of the March 9, </w:t>
      </w:r>
      <w:proofErr w:type="gramStart"/>
      <w:r w:rsidRPr="00C2714E">
        <w:rPr>
          <w:rFonts w:ascii="Times New Roman" w:hAnsi="Times New Roman"/>
          <w:sz w:val="24"/>
          <w:szCs w:val="24"/>
        </w:rPr>
        <w:t>2023</w:t>
      </w:r>
      <w:proofErr w:type="gramEnd"/>
      <w:r w:rsidRPr="00C2714E">
        <w:rPr>
          <w:rFonts w:ascii="Times New Roman" w:hAnsi="Times New Roman"/>
          <w:sz w:val="24"/>
          <w:szCs w:val="24"/>
        </w:rPr>
        <w:t xml:space="preserve"> grievance.”  </w:t>
      </w:r>
      <w:hyperlink r:id="rId2858" w:history="1">
        <w:r w:rsidRPr="00C2714E">
          <w:rPr>
            <w:rStyle w:val="Hyperlink"/>
            <w:rFonts w:ascii="Times New Roman" w:hAnsi="Times New Roman"/>
            <w:sz w:val="24"/>
            <w:szCs w:val="24"/>
          </w:rPr>
          <w:t>https://civilinquiry.jud.ct.gov/DocumentInquiry/DocumentInquiry.aspx?DocumentNo=29998787</w:t>
        </w:r>
      </w:hyperlink>
    </w:p>
    <w:p w14:paraId="7B649D2A" w14:textId="77777777" w:rsidR="00C01A1F" w:rsidRPr="00C2714E" w:rsidRDefault="00C01A1F" w:rsidP="00C01A1F">
      <w:pPr>
        <w:pStyle w:val="NoSpacing"/>
        <w:rPr>
          <w:rFonts w:ascii="Times New Roman" w:hAnsi="Times New Roman"/>
          <w:b/>
          <w:bCs/>
          <w:sz w:val="24"/>
          <w:szCs w:val="24"/>
        </w:rPr>
      </w:pPr>
    </w:p>
    <w:p w14:paraId="7ED72127" w14:textId="77777777" w:rsidR="00842AFE" w:rsidRPr="00BB45E5" w:rsidRDefault="00842AFE" w:rsidP="00842AFE">
      <w:pPr>
        <w:pStyle w:val="NoSpacing"/>
        <w:rPr>
          <w:rFonts w:ascii="Times New Roman" w:hAnsi="Times New Roman"/>
          <w:b/>
          <w:bCs/>
          <w:sz w:val="24"/>
          <w:szCs w:val="24"/>
        </w:rPr>
      </w:pPr>
      <w:r w:rsidRPr="00BB45E5">
        <w:rPr>
          <w:rFonts w:ascii="Times New Roman" w:hAnsi="Times New Roman"/>
          <w:b/>
          <w:sz w:val="24"/>
          <w:szCs w:val="24"/>
        </w:rPr>
        <w:t xml:space="preserve">Legal Lesson Learned: To avoid a retaliation charge, </w:t>
      </w:r>
      <w:r w:rsidRPr="00BB45E5">
        <w:rPr>
          <w:rFonts w:ascii="Times New Roman" w:hAnsi="Times New Roman"/>
          <w:b/>
          <w:bCs/>
          <w:sz w:val="24"/>
          <w:szCs w:val="24"/>
        </w:rPr>
        <w:t xml:space="preserve">document in </w:t>
      </w:r>
      <w:r w:rsidRPr="00BB45E5">
        <w:rPr>
          <w:rFonts w:ascii="Times New Roman" w:hAnsi="Times New Roman"/>
          <w:b/>
          <w:sz w:val="24"/>
          <w:szCs w:val="24"/>
        </w:rPr>
        <w:t xml:space="preserve">detail the business reasons for eliminating the Lieutenant position and the formal vote of the Board.  </w:t>
      </w:r>
    </w:p>
    <w:p w14:paraId="1E1FD8AB" w14:textId="77777777" w:rsidR="00842AFE" w:rsidRPr="00BB45E5" w:rsidRDefault="00842AFE" w:rsidP="00842AFE">
      <w:pPr>
        <w:pStyle w:val="NoSpacing"/>
        <w:rPr>
          <w:rFonts w:ascii="Times New Roman" w:hAnsi="Times New Roman"/>
          <w:b/>
          <w:bCs/>
          <w:sz w:val="24"/>
          <w:szCs w:val="24"/>
        </w:rPr>
      </w:pPr>
    </w:p>
    <w:p w14:paraId="46C7E991" w14:textId="77777777" w:rsidR="00842AFE" w:rsidRPr="006F2B87" w:rsidRDefault="00842AFE" w:rsidP="00842AFE">
      <w:pPr>
        <w:pStyle w:val="NoSpacing"/>
        <w:ind w:left="720"/>
        <w:rPr>
          <w:b/>
          <w:bCs/>
        </w:rPr>
      </w:pPr>
      <w:r w:rsidRPr="00BB45E5">
        <w:rPr>
          <w:rFonts w:ascii="Times New Roman" w:hAnsi="Times New Roman"/>
          <w:sz w:val="24"/>
          <w:szCs w:val="24"/>
        </w:rPr>
        <w:t xml:space="preserve">Note: See May 21, </w:t>
      </w:r>
      <w:proofErr w:type="gramStart"/>
      <w:r w:rsidRPr="00BB45E5">
        <w:rPr>
          <w:rFonts w:ascii="Times New Roman" w:hAnsi="Times New Roman"/>
          <w:sz w:val="24"/>
          <w:szCs w:val="24"/>
        </w:rPr>
        <w:t>2025</w:t>
      </w:r>
      <w:proofErr w:type="gramEnd"/>
      <w:r w:rsidRPr="00BB45E5">
        <w:rPr>
          <w:rFonts w:ascii="Times New Roman" w:hAnsi="Times New Roman"/>
          <w:sz w:val="24"/>
          <w:szCs w:val="24"/>
        </w:rPr>
        <w:t xml:space="preserve"> article on this decision.  “Court upholds finding of retaliation against Suffield firefighter.” </w:t>
      </w:r>
      <w:hyperlink r:id="rId2859" w:history="1">
        <w:r w:rsidRPr="00BB45E5">
          <w:rPr>
            <w:rStyle w:val="Hyperlink"/>
            <w:rFonts w:ascii="Times New Roman" w:hAnsi="Times New Roman"/>
            <w:sz w:val="24"/>
            <w:szCs w:val="24"/>
          </w:rPr>
          <w:t>https://insideinvestigator.org/court-upholds-finding-of-retaliation-against-suffield-firefighter/</w:t>
        </w:r>
      </w:hyperlink>
      <w:r w:rsidRPr="006F2B87">
        <w:rPr>
          <w:b/>
        </w:rPr>
        <w:t xml:space="preserve"> </w:t>
      </w:r>
    </w:p>
    <w:p w14:paraId="64F57AB0" w14:textId="77777777" w:rsidR="001F3D0F" w:rsidRDefault="001F3D0F" w:rsidP="00F326E5">
      <w:pPr>
        <w:pStyle w:val="NoSpacing"/>
        <w:rPr>
          <w:rFonts w:ascii="Arial Black" w:hAnsi="Arial Black"/>
          <w:sz w:val="24"/>
          <w:szCs w:val="24"/>
        </w:rPr>
      </w:pPr>
    </w:p>
    <w:p w14:paraId="49EDC6DF" w14:textId="77777777" w:rsidR="00C01A1F" w:rsidRDefault="00C01A1F" w:rsidP="00F326E5">
      <w:pPr>
        <w:pStyle w:val="NoSpacing"/>
        <w:rPr>
          <w:rFonts w:ascii="Arial Black" w:hAnsi="Arial Black"/>
          <w:sz w:val="24"/>
          <w:szCs w:val="24"/>
        </w:rPr>
      </w:pPr>
    </w:p>
    <w:p w14:paraId="2A37A3C4" w14:textId="77777777" w:rsidR="00C01A1F" w:rsidRDefault="00C01A1F" w:rsidP="00F326E5">
      <w:pPr>
        <w:pStyle w:val="NoSpacing"/>
        <w:rPr>
          <w:rFonts w:ascii="Arial Black" w:hAnsi="Arial Black"/>
          <w:sz w:val="24"/>
          <w:szCs w:val="24"/>
        </w:rPr>
      </w:pPr>
    </w:p>
    <w:p w14:paraId="107D0EBA" w14:textId="77777777" w:rsidR="00C01A1F" w:rsidRDefault="00C01A1F" w:rsidP="00F326E5">
      <w:pPr>
        <w:pStyle w:val="NoSpacing"/>
        <w:rPr>
          <w:rFonts w:ascii="Arial Black" w:hAnsi="Arial Black"/>
          <w:sz w:val="24"/>
          <w:szCs w:val="24"/>
        </w:rPr>
      </w:pPr>
    </w:p>
    <w:p w14:paraId="51BD56CF" w14:textId="77777777" w:rsidR="001F3D0F" w:rsidRDefault="001F3D0F" w:rsidP="00F326E5">
      <w:pPr>
        <w:pStyle w:val="NoSpacing"/>
        <w:rPr>
          <w:rFonts w:ascii="Arial Black" w:hAnsi="Arial Black"/>
          <w:sz w:val="24"/>
          <w:szCs w:val="24"/>
        </w:rPr>
      </w:pPr>
    </w:p>
    <w:p w14:paraId="250A1293" w14:textId="387092D2" w:rsidR="007D54CE" w:rsidRDefault="007D54CE" w:rsidP="00F326E5">
      <w:pPr>
        <w:pStyle w:val="NoSpacing"/>
        <w:rPr>
          <w:rFonts w:ascii="Arial Black" w:hAnsi="Arial Black"/>
          <w:sz w:val="24"/>
          <w:szCs w:val="24"/>
        </w:rPr>
      </w:pPr>
      <w:r>
        <w:rPr>
          <w:rFonts w:ascii="Arial Black" w:hAnsi="Arial Black"/>
          <w:sz w:val="24"/>
          <w:szCs w:val="24"/>
        </w:rPr>
        <w:t>17-51</w:t>
      </w:r>
    </w:p>
    <w:p w14:paraId="2FBC0744" w14:textId="77777777" w:rsidR="001F3D0F" w:rsidRDefault="001F3D0F" w:rsidP="007D54CE">
      <w:pPr>
        <w:rPr>
          <w:rFonts w:ascii="Arial Black" w:hAnsi="Arial Black"/>
          <w:sz w:val="28"/>
          <w:szCs w:val="28"/>
        </w:rPr>
      </w:pPr>
    </w:p>
    <w:p w14:paraId="45E13185" w14:textId="7C324633" w:rsidR="007D54CE" w:rsidRPr="00226994" w:rsidRDefault="007D54CE" w:rsidP="007D54CE">
      <w:pPr>
        <w:rPr>
          <w:rFonts w:ascii="Arial Black" w:hAnsi="Arial Black"/>
          <w:sz w:val="28"/>
          <w:szCs w:val="28"/>
        </w:rPr>
      </w:pPr>
      <w:r>
        <w:rPr>
          <w:rFonts w:ascii="Arial Black" w:hAnsi="Arial Black"/>
          <w:sz w:val="28"/>
          <w:szCs w:val="28"/>
        </w:rPr>
        <w:t>MA: FF – SUSP. 4 TOURS – UNION E-MAIL FIX SIDEWALK</w:t>
      </w:r>
    </w:p>
    <w:p w14:paraId="4C71D40F" w14:textId="6B358EA2" w:rsidR="007D54CE" w:rsidRPr="00C7167A" w:rsidRDefault="007D54CE" w:rsidP="007D54CE">
      <w:pPr>
        <w:pStyle w:val="NoSpacing"/>
        <w:rPr>
          <w:rFonts w:ascii="Times New Roman" w:hAnsi="Times New Roman"/>
          <w:sz w:val="24"/>
          <w:szCs w:val="24"/>
        </w:rPr>
      </w:pPr>
      <w:r w:rsidRPr="00C7167A">
        <w:rPr>
          <w:rFonts w:ascii="Times New Roman" w:hAnsi="Times New Roman"/>
          <w:sz w:val="24"/>
          <w:szCs w:val="24"/>
        </w:rPr>
        <w:t xml:space="preserve">On April 18, 2025, in </w:t>
      </w:r>
      <w:r w:rsidRPr="00C7167A">
        <w:rPr>
          <w:rFonts w:ascii="Times New Roman" w:hAnsi="Times New Roman"/>
          <w:sz w:val="24"/>
          <w:szCs w:val="24"/>
          <w:u w:val="single"/>
        </w:rPr>
        <w:t>James P. Riley and Boston Fire Firefighters International Association of Firefighters, Local 718 v. City of Boston, et al.</w:t>
      </w:r>
      <w:r w:rsidRPr="00C7167A">
        <w:rPr>
          <w:rFonts w:ascii="Times New Roman" w:hAnsi="Times New Roman"/>
          <w:sz w:val="24"/>
          <w:szCs w:val="24"/>
        </w:rPr>
        <w:t xml:space="preserve">, U.S. District Court Judge Allison D. Burroughs, United States District Court for the District of Massachusetts, denied the City’s motion to dismiss.  Firefighter Riley, a 16-year member of the FD, sent an e-mail on September 26, </w:t>
      </w:r>
      <w:proofErr w:type="gramStart"/>
      <w:r w:rsidRPr="00C7167A">
        <w:rPr>
          <w:rFonts w:ascii="Times New Roman" w:hAnsi="Times New Roman"/>
          <w:sz w:val="24"/>
          <w:szCs w:val="24"/>
        </w:rPr>
        <w:t>2023</w:t>
      </w:r>
      <w:proofErr w:type="gramEnd"/>
      <w:r w:rsidRPr="00C7167A">
        <w:rPr>
          <w:rFonts w:ascii="Times New Roman" w:hAnsi="Times New Roman"/>
          <w:sz w:val="24"/>
          <w:szCs w:val="24"/>
        </w:rPr>
        <w:t xml:space="preserve"> on his Union e-mail as an Executive Board Member of the Union (with permission of Union President) to city’s Chief of Streets Department to repair a sidewalk handicap ramp in front of his Fire Station.  His Captain had previously sent five e-mail requests to the FD’s Facilities Division (April 21, 2021; February 11, 2022; March 20, 2022; June 16, 2022; April 20, 2023).  On Oct. 11, 2023, the FD’s Deputy Chief of Personnel suspended Riley for four shifts, claiming he “used his Local 718 Union title in an attempt to intimidate the City of Boston official into action.” </w:t>
      </w:r>
      <w:hyperlink r:id="rId2860" w:history="1">
        <w:r w:rsidRPr="00C7167A">
          <w:rPr>
            <w:rStyle w:val="Hyperlink"/>
            <w:rFonts w:ascii="Times New Roman" w:hAnsi="Times New Roman"/>
            <w:sz w:val="24"/>
            <w:szCs w:val="24"/>
          </w:rPr>
          <w:t>https://public.fastcase.com/jaEE2PXzRXmZ99jOLMt1IpPvzvvllZ7Rrt4VKwyGVntYyQb9IRuNiNqVshy4%2Bl2z%2BsY6VEZuB3eEVHjKlzOdk%2FP8W50g7Bl84BsJ%2BT14tOs%3D?utm_medium=email&amp;_hsenc=p2ANqtz-8_cjXUjI5LfLOi5ALG6MFLDFJJrn3rZsNciOMXnsNsHK54iflcoWeqPuq6ELEpSWLnjpVW4QqFeFKVqziKDzXrD-fT4Q&amp;_hsmi=226712652&amp;utm_content=226712652&amp;utm_source=hs_email</w:t>
        </w:r>
      </w:hyperlink>
    </w:p>
    <w:p w14:paraId="12496A04" w14:textId="77777777" w:rsidR="007D54CE" w:rsidRDefault="007D54CE" w:rsidP="00F326E5">
      <w:pPr>
        <w:pStyle w:val="NoSpacing"/>
        <w:rPr>
          <w:rFonts w:ascii="Arial Black" w:hAnsi="Arial Black"/>
          <w:sz w:val="24"/>
          <w:szCs w:val="24"/>
        </w:rPr>
      </w:pPr>
    </w:p>
    <w:p w14:paraId="78079659" w14:textId="77777777" w:rsidR="00D364BB" w:rsidRPr="00B82297" w:rsidRDefault="00D364BB" w:rsidP="00D364BB">
      <w:pPr>
        <w:pStyle w:val="NoSpacing"/>
        <w:rPr>
          <w:rFonts w:ascii="Times New Roman" w:hAnsi="Times New Roman"/>
          <w:b/>
          <w:bCs/>
          <w:sz w:val="24"/>
          <w:szCs w:val="24"/>
        </w:rPr>
      </w:pPr>
      <w:r w:rsidRPr="00B82297">
        <w:rPr>
          <w:rFonts w:ascii="Times New Roman" w:hAnsi="Times New Roman"/>
          <w:b/>
          <w:sz w:val="24"/>
          <w:szCs w:val="24"/>
        </w:rPr>
        <w:t>Legal Lesson Learned: Firefighters have 1</w:t>
      </w:r>
      <w:r w:rsidRPr="00B82297">
        <w:rPr>
          <w:rFonts w:ascii="Times New Roman" w:hAnsi="Times New Roman"/>
          <w:b/>
          <w:sz w:val="24"/>
          <w:szCs w:val="24"/>
          <w:vertAlign w:val="superscript"/>
        </w:rPr>
        <w:t>st</w:t>
      </w:r>
      <w:r w:rsidRPr="00B82297">
        <w:rPr>
          <w:rFonts w:ascii="Times New Roman" w:hAnsi="Times New Roman"/>
          <w:b/>
          <w:sz w:val="24"/>
          <w:szCs w:val="24"/>
        </w:rPr>
        <w:t xml:space="preserve"> Amendment right to engage in protected speech not disruptive to the fire department.  </w:t>
      </w:r>
    </w:p>
    <w:p w14:paraId="561FCBD7" w14:textId="77777777" w:rsidR="00D364BB" w:rsidRPr="00B82297" w:rsidRDefault="00D364BB" w:rsidP="00D364BB">
      <w:pPr>
        <w:pStyle w:val="NoSpacing"/>
        <w:rPr>
          <w:rFonts w:ascii="Times New Roman" w:hAnsi="Times New Roman"/>
          <w:b/>
          <w:sz w:val="24"/>
          <w:szCs w:val="24"/>
        </w:rPr>
      </w:pPr>
    </w:p>
    <w:p w14:paraId="1CDBEC85" w14:textId="77777777" w:rsidR="00D364BB" w:rsidRPr="00B82297" w:rsidRDefault="00D364BB" w:rsidP="00D364BB">
      <w:pPr>
        <w:ind w:left="720"/>
        <w:rPr>
          <w:rFonts w:ascii="Times New Roman" w:hAnsi="Times New Roman"/>
          <w:bCs/>
          <w:sz w:val="24"/>
          <w:szCs w:val="24"/>
        </w:rPr>
      </w:pPr>
      <w:r w:rsidRPr="00B82297">
        <w:rPr>
          <w:rFonts w:ascii="Times New Roman" w:hAnsi="Times New Roman"/>
          <w:sz w:val="24"/>
          <w:szCs w:val="24"/>
        </w:rPr>
        <w:t xml:space="preserve">Note: Read the lawsuit Complaint. </w:t>
      </w:r>
      <w:hyperlink r:id="rId2861" w:history="1">
        <w:r w:rsidRPr="00B82297">
          <w:rPr>
            <w:rStyle w:val="Hyperlink"/>
            <w:rFonts w:ascii="Times New Roman" w:hAnsi="Times New Roman"/>
            <w:sz w:val="24"/>
            <w:szCs w:val="24"/>
          </w:rPr>
          <w:t>https://www.universalhub.com/files/jpfirefighter-complaint.pdf</w:t>
        </w:r>
      </w:hyperlink>
    </w:p>
    <w:p w14:paraId="0C7B5A6A" w14:textId="77777777" w:rsidR="007D54CE" w:rsidRDefault="007D54CE" w:rsidP="00F326E5">
      <w:pPr>
        <w:pStyle w:val="NoSpacing"/>
        <w:rPr>
          <w:rFonts w:ascii="Arial Black" w:hAnsi="Arial Black"/>
          <w:sz w:val="24"/>
          <w:szCs w:val="24"/>
        </w:rPr>
      </w:pPr>
    </w:p>
    <w:p w14:paraId="36352946" w14:textId="77777777" w:rsidR="007D54CE" w:rsidRDefault="007D54CE" w:rsidP="00F326E5">
      <w:pPr>
        <w:pStyle w:val="NoSpacing"/>
        <w:rPr>
          <w:rFonts w:ascii="Arial Black" w:hAnsi="Arial Black"/>
          <w:sz w:val="24"/>
          <w:szCs w:val="24"/>
        </w:rPr>
      </w:pPr>
    </w:p>
    <w:p w14:paraId="4897F819" w14:textId="734842BC" w:rsidR="00766306" w:rsidRDefault="00F367A4" w:rsidP="00F326E5">
      <w:pPr>
        <w:pStyle w:val="NoSpacing"/>
        <w:rPr>
          <w:rFonts w:ascii="Arial Black" w:hAnsi="Arial Black"/>
          <w:sz w:val="24"/>
          <w:szCs w:val="24"/>
        </w:rPr>
      </w:pPr>
      <w:r>
        <w:rPr>
          <w:rFonts w:ascii="Arial Black" w:hAnsi="Arial Black"/>
          <w:sz w:val="24"/>
          <w:szCs w:val="24"/>
        </w:rPr>
        <w:t>17-50</w:t>
      </w:r>
    </w:p>
    <w:p w14:paraId="7E9429B4" w14:textId="77777777" w:rsidR="00F367A4" w:rsidRDefault="00F367A4" w:rsidP="00F326E5">
      <w:pPr>
        <w:pStyle w:val="NoSpacing"/>
        <w:rPr>
          <w:rFonts w:ascii="Arial Black" w:hAnsi="Arial Black"/>
          <w:sz w:val="24"/>
          <w:szCs w:val="24"/>
        </w:rPr>
      </w:pPr>
    </w:p>
    <w:p w14:paraId="687F640E" w14:textId="77777777" w:rsidR="006958A3" w:rsidRPr="00620D8B" w:rsidRDefault="006958A3" w:rsidP="006958A3">
      <w:pPr>
        <w:pStyle w:val="NoSpacing"/>
        <w:rPr>
          <w:rFonts w:ascii="Arial Black" w:hAnsi="Arial Black"/>
          <w:bCs/>
          <w:sz w:val="28"/>
          <w:szCs w:val="28"/>
        </w:rPr>
      </w:pPr>
      <w:r>
        <w:rPr>
          <w:rFonts w:ascii="Arial Black" w:hAnsi="Arial Black"/>
          <w:sz w:val="28"/>
          <w:szCs w:val="28"/>
        </w:rPr>
        <w:t>NH: POLICE &amp; FIRE – CAN’T BE IN SAME UNION IN TOWN</w:t>
      </w:r>
    </w:p>
    <w:p w14:paraId="7A2E6199" w14:textId="77777777" w:rsidR="006958A3" w:rsidRDefault="006958A3" w:rsidP="006958A3">
      <w:pPr>
        <w:pStyle w:val="NoSpacing"/>
        <w:rPr>
          <w:bCs/>
        </w:rPr>
      </w:pPr>
    </w:p>
    <w:p w14:paraId="606315BA" w14:textId="77777777" w:rsidR="006958A3" w:rsidRPr="008A2AE6" w:rsidRDefault="006958A3" w:rsidP="006958A3">
      <w:pPr>
        <w:pStyle w:val="NoSpacing"/>
        <w:rPr>
          <w:rFonts w:ascii="Times New Roman" w:hAnsi="Times New Roman"/>
          <w:bCs/>
          <w:sz w:val="24"/>
          <w:szCs w:val="24"/>
        </w:rPr>
      </w:pPr>
      <w:r w:rsidRPr="008A2AE6">
        <w:rPr>
          <w:rFonts w:ascii="Times New Roman" w:hAnsi="Times New Roman"/>
          <w:sz w:val="24"/>
          <w:szCs w:val="24"/>
        </w:rPr>
        <w:t xml:space="preserve">On March 26, 2025, in </w:t>
      </w:r>
      <w:r w:rsidRPr="008A2AE6">
        <w:rPr>
          <w:rFonts w:ascii="Times New Roman" w:hAnsi="Times New Roman"/>
          <w:sz w:val="24"/>
          <w:szCs w:val="24"/>
          <w:u w:val="single"/>
        </w:rPr>
        <w:t xml:space="preserve">Appeal </w:t>
      </w:r>
      <w:proofErr w:type="gramStart"/>
      <w:r w:rsidRPr="008A2AE6">
        <w:rPr>
          <w:rFonts w:ascii="Times New Roman" w:hAnsi="Times New Roman"/>
          <w:sz w:val="24"/>
          <w:szCs w:val="24"/>
          <w:u w:val="single"/>
        </w:rPr>
        <w:t>Of</w:t>
      </w:r>
      <w:proofErr w:type="gramEnd"/>
      <w:r w:rsidRPr="008A2AE6">
        <w:rPr>
          <w:rFonts w:ascii="Times New Roman" w:hAnsi="Times New Roman"/>
          <w:sz w:val="24"/>
          <w:szCs w:val="24"/>
          <w:u w:val="single"/>
        </w:rPr>
        <w:t xml:space="preserve"> Town </w:t>
      </w:r>
      <w:proofErr w:type="gramStart"/>
      <w:r w:rsidRPr="008A2AE6">
        <w:rPr>
          <w:rFonts w:ascii="Times New Roman" w:hAnsi="Times New Roman"/>
          <w:sz w:val="24"/>
          <w:szCs w:val="24"/>
          <w:u w:val="single"/>
        </w:rPr>
        <w:t>Of</w:t>
      </w:r>
      <w:proofErr w:type="gramEnd"/>
      <w:r w:rsidRPr="008A2AE6">
        <w:rPr>
          <w:rFonts w:ascii="Times New Roman" w:hAnsi="Times New Roman"/>
          <w:sz w:val="24"/>
          <w:szCs w:val="24"/>
          <w:u w:val="single"/>
        </w:rPr>
        <w:t xml:space="preserve"> Barnstead, (New Hampshire Public Employee Labor Relations Board)</w:t>
      </w:r>
      <w:r w:rsidRPr="008A2AE6">
        <w:rPr>
          <w:rFonts w:ascii="Times New Roman" w:hAnsi="Times New Roman"/>
          <w:sz w:val="24"/>
          <w:szCs w:val="24"/>
        </w:rPr>
        <w:t xml:space="preserve"> the New Hampshire Supreme Court held (4 to 0) that the New Hampshire Public Employee Labor Relations Board (PELRB) improperly certified a bargaining unit comprised of employees from the Town’s police and fire departments. “Notwithstanding the PELRB’s findings, which derive primarily from the fact that police and fire department employees all work for the Town, we conclude that the record does not support the conclusion that there exists a community of interest in working conditions such that it is reasonable for the employees to negotiate jointly.” </w:t>
      </w:r>
      <w:hyperlink r:id="rId2862" w:history="1">
        <w:r w:rsidRPr="008A2AE6">
          <w:rPr>
            <w:rStyle w:val="Hyperlink"/>
            <w:rFonts w:ascii="Times New Roman" w:hAnsi="Times New Roman"/>
            <w:sz w:val="24"/>
            <w:szCs w:val="24"/>
          </w:rPr>
          <w:t>https://cases.justia.com/new-hampshire/supreme-court/2025-2024-0097.pdf?ts=1742996506</w:t>
        </w:r>
      </w:hyperlink>
      <w:r w:rsidRPr="008A2AE6">
        <w:rPr>
          <w:rFonts w:ascii="Times New Roman" w:hAnsi="Times New Roman"/>
          <w:sz w:val="24"/>
          <w:szCs w:val="24"/>
        </w:rPr>
        <w:t xml:space="preserve"> </w:t>
      </w:r>
    </w:p>
    <w:p w14:paraId="4329DFB0" w14:textId="77777777" w:rsidR="00F367A4" w:rsidRPr="008A2AE6" w:rsidRDefault="00F367A4" w:rsidP="00F326E5">
      <w:pPr>
        <w:pStyle w:val="NoSpacing"/>
        <w:rPr>
          <w:rFonts w:ascii="Times New Roman" w:hAnsi="Times New Roman"/>
          <w:sz w:val="24"/>
          <w:szCs w:val="24"/>
        </w:rPr>
      </w:pPr>
    </w:p>
    <w:p w14:paraId="47C071E1" w14:textId="77777777" w:rsidR="008A2AE6" w:rsidRPr="008A2AE6" w:rsidRDefault="008A2AE6" w:rsidP="008A2AE6">
      <w:pPr>
        <w:pStyle w:val="NoSpacing"/>
        <w:rPr>
          <w:rFonts w:ascii="Times New Roman" w:hAnsi="Times New Roman"/>
          <w:b/>
          <w:sz w:val="24"/>
          <w:szCs w:val="24"/>
        </w:rPr>
      </w:pPr>
      <w:r w:rsidRPr="008A2AE6">
        <w:rPr>
          <w:rFonts w:ascii="Times New Roman" w:hAnsi="Times New Roman"/>
          <w:b/>
          <w:sz w:val="24"/>
          <w:szCs w:val="24"/>
        </w:rPr>
        <w:t xml:space="preserve">Legal Lesson Learned: Police and fire have different duties and under NH law should not be in the same collective bargaining unit. </w:t>
      </w:r>
    </w:p>
    <w:p w14:paraId="3CDDA6D2" w14:textId="77777777" w:rsidR="008A2AE6" w:rsidRPr="008A2AE6" w:rsidRDefault="008A2AE6" w:rsidP="008A2AE6">
      <w:pPr>
        <w:rPr>
          <w:rFonts w:ascii="Times New Roman" w:hAnsi="Times New Roman"/>
          <w:sz w:val="24"/>
          <w:szCs w:val="24"/>
        </w:rPr>
      </w:pPr>
    </w:p>
    <w:p w14:paraId="45CC4002" w14:textId="77777777" w:rsidR="008A2AE6" w:rsidRDefault="008A2AE6" w:rsidP="00F326E5">
      <w:pPr>
        <w:pStyle w:val="NoSpacing"/>
        <w:rPr>
          <w:rFonts w:ascii="Arial Black" w:hAnsi="Arial Black"/>
          <w:sz w:val="24"/>
          <w:szCs w:val="24"/>
        </w:rPr>
      </w:pPr>
    </w:p>
    <w:p w14:paraId="30B3392F" w14:textId="77777777" w:rsidR="00F367A4" w:rsidRDefault="00F367A4" w:rsidP="00F326E5">
      <w:pPr>
        <w:pStyle w:val="NoSpacing"/>
        <w:rPr>
          <w:rFonts w:ascii="Arial Black" w:hAnsi="Arial Black"/>
          <w:sz w:val="24"/>
          <w:szCs w:val="24"/>
        </w:rPr>
      </w:pPr>
    </w:p>
    <w:p w14:paraId="78E0A541" w14:textId="77777777" w:rsidR="00F367A4" w:rsidRDefault="00F367A4" w:rsidP="00F326E5">
      <w:pPr>
        <w:pStyle w:val="NoSpacing"/>
        <w:rPr>
          <w:rFonts w:ascii="Arial Black" w:hAnsi="Arial Black"/>
          <w:sz w:val="24"/>
          <w:szCs w:val="24"/>
        </w:rPr>
      </w:pPr>
    </w:p>
    <w:p w14:paraId="23057ED1" w14:textId="66A5920B" w:rsidR="00766306" w:rsidRDefault="00766306" w:rsidP="00F326E5">
      <w:pPr>
        <w:pStyle w:val="NoSpacing"/>
        <w:rPr>
          <w:rFonts w:ascii="Arial Black" w:hAnsi="Arial Black"/>
          <w:sz w:val="24"/>
          <w:szCs w:val="24"/>
        </w:rPr>
      </w:pPr>
      <w:r>
        <w:rPr>
          <w:rFonts w:ascii="Arial Black" w:hAnsi="Arial Black"/>
          <w:sz w:val="24"/>
          <w:szCs w:val="24"/>
        </w:rPr>
        <w:t>17-49</w:t>
      </w:r>
    </w:p>
    <w:p w14:paraId="11690BCB" w14:textId="77777777" w:rsidR="00766306" w:rsidRDefault="00766306" w:rsidP="00F326E5">
      <w:pPr>
        <w:pStyle w:val="NoSpacing"/>
        <w:rPr>
          <w:rFonts w:ascii="Arial Black" w:hAnsi="Arial Black"/>
          <w:sz w:val="24"/>
          <w:szCs w:val="24"/>
        </w:rPr>
      </w:pPr>
    </w:p>
    <w:p w14:paraId="03376A93" w14:textId="77777777" w:rsidR="00766306" w:rsidRPr="00447084" w:rsidRDefault="00766306" w:rsidP="00766306">
      <w:pPr>
        <w:pStyle w:val="NoSpacing"/>
        <w:rPr>
          <w:rFonts w:ascii="Arial Black" w:hAnsi="Arial Black"/>
          <w:bCs/>
          <w:sz w:val="28"/>
          <w:szCs w:val="28"/>
        </w:rPr>
      </w:pPr>
      <w:r>
        <w:rPr>
          <w:rFonts w:ascii="Arial Black" w:hAnsi="Arial Black"/>
          <w:sz w:val="28"/>
          <w:szCs w:val="28"/>
        </w:rPr>
        <w:t>NY: FDNY - COVID - LEAVE W/O PAY – NO ARBITRABLE</w:t>
      </w:r>
    </w:p>
    <w:p w14:paraId="00002D5F" w14:textId="77777777" w:rsidR="00766306" w:rsidRDefault="00766306" w:rsidP="00766306">
      <w:pPr>
        <w:pStyle w:val="NoSpacing"/>
        <w:rPr>
          <w:bCs/>
        </w:rPr>
      </w:pPr>
    </w:p>
    <w:p w14:paraId="21D9502F" w14:textId="77777777" w:rsidR="00766306" w:rsidRPr="00F367A4" w:rsidRDefault="00766306" w:rsidP="00766306">
      <w:pPr>
        <w:pStyle w:val="NoSpacing"/>
        <w:rPr>
          <w:rFonts w:ascii="Times New Roman" w:hAnsi="Times New Roman"/>
          <w:sz w:val="24"/>
          <w:szCs w:val="24"/>
        </w:rPr>
      </w:pPr>
      <w:r w:rsidRPr="00F367A4">
        <w:rPr>
          <w:rFonts w:ascii="Times New Roman" w:hAnsi="Times New Roman"/>
          <w:sz w:val="24"/>
          <w:szCs w:val="24"/>
        </w:rPr>
        <w:t xml:space="preserve">On March 18, 2025, in </w:t>
      </w:r>
      <w:r w:rsidRPr="00F367A4">
        <w:rPr>
          <w:rFonts w:ascii="Times New Roman" w:hAnsi="Times New Roman"/>
          <w:sz w:val="24"/>
          <w:szCs w:val="24"/>
          <w:u w:val="single"/>
        </w:rPr>
        <w:t xml:space="preserve">In </w:t>
      </w:r>
      <w:proofErr w:type="gramStart"/>
      <w:r w:rsidRPr="00F367A4">
        <w:rPr>
          <w:rFonts w:ascii="Times New Roman" w:hAnsi="Times New Roman"/>
          <w:sz w:val="24"/>
          <w:szCs w:val="24"/>
          <w:u w:val="single"/>
        </w:rPr>
        <w:t>The</w:t>
      </w:r>
      <w:proofErr w:type="gramEnd"/>
      <w:r w:rsidRPr="00F367A4">
        <w:rPr>
          <w:rFonts w:ascii="Times New Roman" w:hAnsi="Times New Roman"/>
          <w:sz w:val="24"/>
          <w:szCs w:val="24"/>
          <w:u w:val="single"/>
        </w:rPr>
        <w:t xml:space="preserve"> Matter of Uniformed Firefighters Association of Greater New York, Local 94, IAFF, AFL-CIO v. The City of New York</w:t>
      </w:r>
      <w:r w:rsidRPr="00F367A4">
        <w:rPr>
          <w:rFonts w:ascii="Times New Roman" w:hAnsi="Times New Roman"/>
          <w:sz w:val="24"/>
          <w:szCs w:val="24"/>
        </w:rPr>
        <w:t xml:space="preserve">, the NY Supreme Court, Appellate Division, First Department, held (5 to 0) that the trial court judge properly upheld the decision of New York City Board of Collective Bargaining (BCB) that the union’s grievance regarding placing firefighters on leave without pay (LWOP) was not arbitrable.  “The Board rationally found … that there was no ‘reasonable relationship between the subject matter of the dispute and the general subject matter of the CBA.’” </w:t>
      </w:r>
      <w:hyperlink r:id="rId2863" w:history="1">
        <w:r w:rsidRPr="00F367A4">
          <w:rPr>
            <w:rStyle w:val="Hyperlink"/>
            <w:rFonts w:ascii="Times New Roman" w:hAnsi="Times New Roman"/>
            <w:sz w:val="24"/>
            <w:szCs w:val="24"/>
          </w:rPr>
          <w:t>https://caselaw.findlaw.com/court/ny-supreme-court-appellate-division/117059772.html</w:t>
        </w:r>
      </w:hyperlink>
      <w:r w:rsidRPr="00F367A4">
        <w:rPr>
          <w:rFonts w:ascii="Times New Roman" w:hAnsi="Times New Roman"/>
          <w:sz w:val="24"/>
          <w:szCs w:val="24"/>
        </w:rPr>
        <w:t xml:space="preserve"> </w:t>
      </w:r>
    </w:p>
    <w:p w14:paraId="28E5EE2A" w14:textId="77777777" w:rsidR="00766306" w:rsidRPr="00F367A4" w:rsidRDefault="00766306" w:rsidP="00766306">
      <w:pPr>
        <w:pStyle w:val="NoSpacing"/>
        <w:rPr>
          <w:rFonts w:ascii="Times New Roman" w:hAnsi="Times New Roman"/>
          <w:sz w:val="24"/>
          <w:szCs w:val="24"/>
        </w:rPr>
      </w:pPr>
    </w:p>
    <w:p w14:paraId="1CC02AD5" w14:textId="77777777" w:rsidR="00F367A4" w:rsidRPr="00F367A4" w:rsidRDefault="00F367A4" w:rsidP="00F367A4">
      <w:pPr>
        <w:pStyle w:val="NoSpacing"/>
        <w:rPr>
          <w:rFonts w:ascii="Times New Roman" w:hAnsi="Times New Roman"/>
          <w:b/>
          <w:bCs/>
          <w:sz w:val="24"/>
          <w:szCs w:val="24"/>
        </w:rPr>
      </w:pPr>
      <w:r w:rsidRPr="00F367A4">
        <w:rPr>
          <w:rFonts w:ascii="Times New Roman" w:hAnsi="Times New Roman"/>
          <w:b/>
          <w:sz w:val="24"/>
          <w:szCs w:val="24"/>
        </w:rPr>
        <w:t>Legal Lesson Learned:  The CBA does not restrict the FD from placing fire department from putting firefighters on leave without pay “when these members fail to satisfy a condition of employment.”</w:t>
      </w:r>
    </w:p>
    <w:p w14:paraId="4EFAB67B" w14:textId="77777777" w:rsidR="00766306" w:rsidRPr="00F367A4" w:rsidRDefault="00766306" w:rsidP="00F326E5">
      <w:pPr>
        <w:pStyle w:val="NoSpacing"/>
        <w:rPr>
          <w:rFonts w:ascii="Times New Roman" w:hAnsi="Times New Roman"/>
          <w:sz w:val="24"/>
          <w:szCs w:val="24"/>
        </w:rPr>
      </w:pPr>
    </w:p>
    <w:p w14:paraId="1775034F" w14:textId="77777777" w:rsidR="00766306" w:rsidRDefault="00766306" w:rsidP="00F326E5">
      <w:pPr>
        <w:pStyle w:val="NoSpacing"/>
        <w:rPr>
          <w:rFonts w:ascii="Arial Black" w:hAnsi="Arial Black"/>
          <w:sz w:val="24"/>
          <w:szCs w:val="24"/>
        </w:rPr>
      </w:pPr>
    </w:p>
    <w:p w14:paraId="269EB134" w14:textId="24DEEE9F" w:rsidR="00673952" w:rsidRDefault="00673952" w:rsidP="00F326E5">
      <w:pPr>
        <w:pStyle w:val="NoSpacing"/>
        <w:rPr>
          <w:rFonts w:ascii="Arial Black" w:hAnsi="Arial Black"/>
          <w:sz w:val="24"/>
          <w:szCs w:val="24"/>
        </w:rPr>
      </w:pPr>
      <w:r>
        <w:rPr>
          <w:rFonts w:ascii="Arial Black" w:hAnsi="Arial Black"/>
          <w:sz w:val="24"/>
          <w:szCs w:val="24"/>
        </w:rPr>
        <w:t>17-48</w:t>
      </w:r>
    </w:p>
    <w:p w14:paraId="43691976" w14:textId="77777777" w:rsidR="00673952" w:rsidRDefault="00673952" w:rsidP="00F326E5">
      <w:pPr>
        <w:pStyle w:val="NoSpacing"/>
        <w:rPr>
          <w:rFonts w:ascii="Arial Black" w:hAnsi="Arial Black"/>
          <w:sz w:val="24"/>
          <w:szCs w:val="24"/>
        </w:rPr>
      </w:pPr>
    </w:p>
    <w:p w14:paraId="7475A88C" w14:textId="77777777" w:rsidR="00673952" w:rsidRPr="00041DFC" w:rsidRDefault="00673952" w:rsidP="00673952">
      <w:pPr>
        <w:pStyle w:val="NoSpacing"/>
        <w:rPr>
          <w:rFonts w:ascii="Arial Black" w:hAnsi="Arial Black"/>
          <w:sz w:val="28"/>
          <w:szCs w:val="28"/>
        </w:rPr>
      </w:pPr>
      <w:r>
        <w:rPr>
          <w:rFonts w:ascii="Arial Black" w:hAnsi="Arial Black"/>
          <w:sz w:val="28"/>
          <w:szCs w:val="28"/>
        </w:rPr>
        <w:t>IL: CBA - INJURED FF – WORK COMP AT PART-TIME RATE</w:t>
      </w:r>
    </w:p>
    <w:p w14:paraId="60CFF8F2" w14:textId="77777777" w:rsidR="00673952" w:rsidRPr="00673952" w:rsidRDefault="00673952" w:rsidP="00673952">
      <w:pPr>
        <w:pStyle w:val="NoSpacing"/>
        <w:rPr>
          <w:rFonts w:ascii="Times New Roman" w:hAnsi="Times New Roman"/>
          <w:sz w:val="24"/>
          <w:szCs w:val="24"/>
        </w:rPr>
      </w:pPr>
    </w:p>
    <w:p w14:paraId="258E3FF2" w14:textId="77777777" w:rsidR="00673952" w:rsidRPr="00673952" w:rsidRDefault="00673952" w:rsidP="00673952">
      <w:pPr>
        <w:pStyle w:val="NoSpacing"/>
        <w:rPr>
          <w:rFonts w:ascii="Times New Roman" w:hAnsi="Times New Roman"/>
          <w:sz w:val="24"/>
          <w:szCs w:val="24"/>
        </w:rPr>
      </w:pPr>
      <w:r w:rsidRPr="00673952">
        <w:rPr>
          <w:rFonts w:ascii="Times New Roman" w:hAnsi="Times New Roman"/>
          <w:sz w:val="24"/>
          <w:szCs w:val="24"/>
        </w:rPr>
        <w:t xml:space="preserve">On Jan. 17, 2025, in </w:t>
      </w:r>
      <w:r w:rsidRPr="00673952">
        <w:rPr>
          <w:rFonts w:ascii="Times New Roman" w:hAnsi="Times New Roman"/>
          <w:sz w:val="24"/>
          <w:szCs w:val="24"/>
          <w:u w:val="single"/>
        </w:rPr>
        <w:t>Village of Roselle v. The Illinois Worker’s Compensation Commission, et al. (Glen Thomas, Appellee)</w:t>
      </w:r>
      <w:r w:rsidRPr="00673952">
        <w:rPr>
          <w:rFonts w:ascii="Times New Roman" w:hAnsi="Times New Roman"/>
          <w:sz w:val="24"/>
          <w:szCs w:val="24"/>
        </w:rPr>
        <w:t xml:space="preserve">, the Court of Appeals of Illinois, Third District held (5 to 0) reversed an Arbitrator and the Commission on the calculation of the “wage-differential” award to Village part-time firefighter Glen Thomas.  He suffered a permanent partial disability (shoulder injury at fire on Feb. 17, 2015) but was able to return to work full time as a public service employee with the Village until </w:t>
      </w:r>
      <w:proofErr w:type="gramStart"/>
      <w:r w:rsidRPr="00673952">
        <w:rPr>
          <w:rFonts w:ascii="Times New Roman" w:hAnsi="Times New Roman"/>
          <w:sz w:val="24"/>
          <w:szCs w:val="24"/>
        </w:rPr>
        <w:t>retiring</w:t>
      </w:r>
      <w:proofErr w:type="gramEnd"/>
      <w:r w:rsidRPr="00673952">
        <w:rPr>
          <w:rFonts w:ascii="Times New Roman" w:hAnsi="Times New Roman"/>
          <w:sz w:val="24"/>
          <w:szCs w:val="24"/>
        </w:rPr>
        <w:t xml:space="preserve"> on April 29, 2022.  He is entitled under state law to a “wage-differential award</w:t>
      </w:r>
      <w:proofErr w:type="gramStart"/>
      <w:r w:rsidRPr="00673952">
        <w:rPr>
          <w:rFonts w:ascii="Times New Roman" w:hAnsi="Times New Roman"/>
          <w:sz w:val="24"/>
          <w:szCs w:val="24"/>
        </w:rPr>
        <w:t>”</w:t>
      </w:r>
      <w:proofErr w:type="gramEnd"/>
      <w:r w:rsidRPr="00673952">
        <w:rPr>
          <w:rFonts w:ascii="Times New Roman" w:hAnsi="Times New Roman"/>
          <w:sz w:val="24"/>
          <w:szCs w:val="24"/>
        </w:rPr>
        <w:t xml:space="preserve"> but the Court held it is to be calculated only based on normal </w:t>
      </w:r>
      <w:r w:rsidRPr="00673952">
        <w:rPr>
          <w:rFonts w:ascii="Times New Roman" w:hAnsi="Times New Roman"/>
          <w:sz w:val="24"/>
          <w:szCs w:val="24"/>
        </w:rPr>
        <w:lastRenderedPageBreak/>
        <w:t xml:space="preserve">firefighter pay of $19.15 per hour, not the CBA rate of 1.5 times his public works pay rate ($32.55, using 1.5 multiplier times $21.70). He will therefore receive $374.19 per week </w:t>
      </w:r>
      <w:proofErr w:type="gramStart"/>
      <w:r w:rsidRPr="00673952">
        <w:rPr>
          <w:rFonts w:ascii="Times New Roman" w:hAnsi="Times New Roman"/>
          <w:sz w:val="24"/>
          <w:szCs w:val="24"/>
        </w:rPr>
        <w:t>until</w:t>
      </w:r>
      <w:proofErr w:type="gramEnd"/>
      <w:r w:rsidRPr="00673952">
        <w:rPr>
          <w:rFonts w:ascii="Times New Roman" w:hAnsi="Times New Roman"/>
          <w:sz w:val="24"/>
          <w:szCs w:val="24"/>
        </w:rPr>
        <w:t xml:space="preserve"> social security and not $636.03 per week that the Arbitrator and Commission awarded him. </w:t>
      </w:r>
      <w:hyperlink r:id="rId2864" w:history="1">
        <w:r w:rsidRPr="00673952">
          <w:rPr>
            <w:rStyle w:val="Hyperlink"/>
            <w:rFonts w:ascii="Times New Roman" w:hAnsi="Times New Roman"/>
            <w:sz w:val="24"/>
            <w:szCs w:val="24"/>
          </w:rPr>
          <w:t>https://ilcourtsaudio.blob.core.windows.net/antilles-resources/resources/7509d61b-3a3a-4986-bb3a-7cce5964f936/Village%20of%20Roselle%20v.%20Illinois%20Workers'%20Compensation%20Comm'n,%202025%20IL%20App%20(3rd)%20240306WC-U.pdf</w:t>
        </w:r>
      </w:hyperlink>
      <w:r w:rsidRPr="00673952">
        <w:rPr>
          <w:rFonts w:ascii="Times New Roman" w:hAnsi="Times New Roman"/>
          <w:sz w:val="24"/>
          <w:szCs w:val="24"/>
        </w:rPr>
        <w:t xml:space="preserve"> </w:t>
      </w:r>
    </w:p>
    <w:p w14:paraId="5D37ED32" w14:textId="77777777" w:rsidR="00673952" w:rsidRPr="00673952" w:rsidRDefault="00673952" w:rsidP="00673952">
      <w:pPr>
        <w:pStyle w:val="NoSpacing"/>
        <w:rPr>
          <w:rFonts w:ascii="Times New Roman" w:hAnsi="Times New Roman"/>
          <w:sz w:val="24"/>
          <w:szCs w:val="24"/>
        </w:rPr>
      </w:pPr>
    </w:p>
    <w:p w14:paraId="45937F8A" w14:textId="77777777" w:rsidR="00673952" w:rsidRPr="00673952" w:rsidRDefault="00673952" w:rsidP="00673952">
      <w:pPr>
        <w:rPr>
          <w:rFonts w:ascii="Times New Roman" w:hAnsi="Times New Roman"/>
          <w:sz w:val="24"/>
          <w:szCs w:val="24"/>
        </w:rPr>
      </w:pPr>
      <w:r w:rsidRPr="00673952">
        <w:rPr>
          <w:rFonts w:ascii="Times New Roman" w:hAnsi="Times New Roman"/>
          <w:sz w:val="24"/>
          <w:szCs w:val="24"/>
        </w:rPr>
        <w:t>The Court held:</w:t>
      </w:r>
    </w:p>
    <w:p w14:paraId="4690ABF2" w14:textId="77777777" w:rsidR="00673952" w:rsidRPr="00673952" w:rsidRDefault="00673952" w:rsidP="00673952">
      <w:pPr>
        <w:pStyle w:val="NoSpacing"/>
        <w:ind w:left="720"/>
        <w:rPr>
          <w:rFonts w:ascii="Times New Roman" w:hAnsi="Times New Roman"/>
          <w:sz w:val="24"/>
          <w:szCs w:val="24"/>
        </w:rPr>
      </w:pPr>
      <w:r w:rsidRPr="00673952">
        <w:rPr>
          <w:rFonts w:ascii="Times New Roman" w:hAnsi="Times New Roman"/>
          <w:sz w:val="24"/>
          <w:szCs w:val="24"/>
        </w:rPr>
        <w:t xml:space="preserve">“On February 17, 2015, he was 48 years old and had been working for the Village for 15 years as a full-time public works employee and as a part-time firefighter paramedic. On that date, claimant was injured while fighting a fire. Although he was unable to ever resume work as a firefighter after the accident, he returned to his full-time duties as a public works employee on September 22, 2016. On September 28, 2021, claimant was involved in a non-work-related motorcycle accident. He was completely off work, using medical leave and </w:t>
      </w:r>
      <w:proofErr w:type="gramStart"/>
      <w:r w:rsidRPr="00673952">
        <w:rPr>
          <w:rFonts w:ascii="Times New Roman" w:hAnsi="Times New Roman"/>
          <w:sz w:val="24"/>
          <w:szCs w:val="24"/>
        </w:rPr>
        <w:t>all of</w:t>
      </w:r>
      <w:proofErr w:type="gramEnd"/>
      <w:r w:rsidRPr="00673952">
        <w:rPr>
          <w:rFonts w:ascii="Times New Roman" w:hAnsi="Times New Roman"/>
          <w:sz w:val="24"/>
          <w:szCs w:val="24"/>
        </w:rPr>
        <w:t xml:space="preserve"> his accrued vacation and sick time, until he retired from the Village on April 29, 2022.</w:t>
      </w:r>
    </w:p>
    <w:p w14:paraId="37214273" w14:textId="77777777" w:rsidR="00673952" w:rsidRPr="00673952" w:rsidRDefault="00673952" w:rsidP="00673952">
      <w:pPr>
        <w:pStyle w:val="NoSpacing"/>
        <w:ind w:left="720"/>
        <w:rPr>
          <w:rFonts w:ascii="Times New Roman" w:hAnsi="Times New Roman"/>
          <w:sz w:val="24"/>
          <w:szCs w:val="24"/>
        </w:rPr>
      </w:pPr>
    </w:p>
    <w:p w14:paraId="11FEFFF6" w14:textId="77777777" w:rsidR="00673952" w:rsidRPr="00673952" w:rsidRDefault="00673952" w:rsidP="00673952">
      <w:pPr>
        <w:pStyle w:val="NoSpacing"/>
        <w:ind w:left="720"/>
        <w:rPr>
          <w:rFonts w:ascii="Times New Roman" w:hAnsi="Times New Roman"/>
          <w:sz w:val="24"/>
          <w:szCs w:val="24"/>
        </w:rPr>
      </w:pPr>
      <w:r w:rsidRPr="00673952">
        <w:rPr>
          <w:rFonts w:ascii="Times New Roman" w:hAnsi="Times New Roman"/>
          <w:sz w:val="24"/>
          <w:szCs w:val="24"/>
        </w:rPr>
        <w:t>***</w:t>
      </w:r>
    </w:p>
    <w:p w14:paraId="7EAE2D19" w14:textId="77777777" w:rsidR="00673952" w:rsidRPr="00673952" w:rsidRDefault="00673952" w:rsidP="00673952">
      <w:pPr>
        <w:ind w:left="720"/>
        <w:rPr>
          <w:rFonts w:ascii="Times New Roman" w:hAnsi="Times New Roman"/>
          <w:sz w:val="24"/>
          <w:szCs w:val="24"/>
        </w:rPr>
      </w:pPr>
      <w:r w:rsidRPr="00673952">
        <w:rPr>
          <w:rFonts w:ascii="Times New Roman" w:hAnsi="Times New Roman"/>
          <w:sz w:val="24"/>
          <w:szCs w:val="24"/>
        </w:rPr>
        <w:t xml:space="preserve">The calculation of wage-differential benefits should be based on claimant’s hourly rate as a part-time firefighter/paramedic. It is claimant’s earning capacity as a firefighter that was affected due to the accident. Applying </w:t>
      </w:r>
      <w:proofErr w:type="gramStart"/>
      <w:r w:rsidRPr="00673952">
        <w:rPr>
          <w:rFonts w:ascii="Times New Roman" w:hAnsi="Times New Roman"/>
          <w:sz w:val="24"/>
          <w:szCs w:val="24"/>
        </w:rPr>
        <w:t>claimant’s</w:t>
      </w:r>
      <w:proofErr w:type="gramEnd"/>
      <w:r w:rsidRPr="00673952">
        <w:rPr>
          <w:rFonts w:ascii="Times New Roman" w:hAnsi="Times New Roman"/>
          <w:sz w:val="24"/>
          <w:szCs w:val="24"/>
        </w:rPr>
        <w:t xml:space="preserve"> public works employee hourly rate and the 1.5 multiplier to a wage-differential calculation would not accurately reflect the reduced earning capacity of a retired full-time village employee who was prevented from ever working as a firefighter due to his work-related injury. In other words, after retiring, claimant is not missing out on his public works full-time position pay due to the accident. Instead, he is missing out on his hourly rate as a firefighter only.</w:t>
      </w:r>
    </w:p>
    <w:p w14:paraId="7B0502C7" w14:textId="77777777" w:rsidR="00673952" w:rsidRPr="00673952" w:rsidRDefault="00673952" w:rsidP="00673952">
      <w:pPr>
        <w:ind w:left="720"/>
        <w:rPr>
          <w:rFonts w:ascii="Times New Roman" w:hAnsi="Times New Roman"/>
          <w:sz w:val="24"/>
          <w:szCs w:val="24"/>
        </w:rPr>
      </w:pPr>
      <w:r w:rsidRPr="00673952">
        <w:rPr>
          <w:rFonts w:ascii="Times New Roman" w:hAnsi="Times New Roman"/>
          <w:sz w:val="24"/>
          <w:szCs w:val="24"/>
        </w:rPr>
        <w:t>***</w:t>
      </w:r>
    </w:p>
    <w:p w14:paraId="0A487F50" w14:textId="77777777" w:rsidR="00673952" w:rsidRPr="00673952" w:rsidRDefault="00673952" w:rsidP="00673952">
      <w:pPr>
        <w:ind w:left="720"/>
        <w:rPr>
          <w:rFonts w:ascii="Times New Roman" w:hAnsi="Times New Roman"/>
          <w:sz w:val="24"/>
          <w:szCs w:val="24"/>
        </w:rPr>
      </w:pPr>
      <w:r w:rsidRPr="00673952">
        <w:rPr>
          <w:rFonts w:ascii="Times New Roman" w:hAnsi="Times New Roman"/>
          <w:sz w:val="24"/>
          <w:szCs w:val="24"/>
        </w:rPr>
        <w:t>The Village is correct that the multiplier does not apply upon claimant’s retirement. However, the Village is incorrect that the calculation of benefits should be based on claimant’s public works employee hourly rate. The calculation of wage-differential benefits should be based on claimant’s hourly rate as a part-time firefighter/paramedic.”</w:t>
      </w:r>
    </w:p>
    <w:p w14:paraId="1A48CCA6" w14:textId="77777777" w:rsidR="00673952" w:rsidRPr="00673952" w:rsidRDefault="00673952" w:rsidP="00673952">
      <w:pPr>
        <w:rPr>
          <w:rFonts w:ascii="Times New Roman" w:hAnsi="Times New Roman"/>
          <w:b/>
          <w:bCs/>
          <w:sz w:val="24"/>
          <w:szCs w:val="24"/>
        </w:rPr>
      </w:pPr>
      <w:r w:rsidRPr="00673952">
        <w:rPr>
          <w:rFonts w:ascii="Times New Roman" w:hAnsi="Times New Roman"/>
          <w:b/>
          <w:sz w:val="24"/>
          <w:szCs w:val="24"/>
        </w:rPr>
        <w:t xml:space="preserve">Legal Lesson Learned:  When drafting CBA for part-time firefighters who are also </w:t>
      </w:r>
      <w:proofErr w:type="gramStart"/>
      <w:r w:rsidRPr="00673952">
        <w:rPr>
          <w:rFonts w:ascii="Times New Roman" w:hAnsi="Times New Roman"/>
          <w:b/>
          <w:sz w:val="24"/>
          <w:szCs w:val="24"/>
        </w:rPr>
        <w:t>full time</w:t>
      </w:r>
      <w:proofErr w:type="gramEnd"/>
      <w:r w:rsidRPr="00673952">
        <w:rPr>
          <w:rFonts w:ascii="Times New Roman" w:hAnsi="Times New Roman"/>
          <w:b/>
          <w:sz w:val="24"/>
          <w:szCs w:val="24"/>
        </w:rPr>
        <w:t xml:space="preserve"> Village </w:t>
      </w:r>
      <w:proofErr w:type="gramStart"/>
      <w:r w:rsidRPr="00673952">
        <w:rPr>
          <w:rFonts w:ascii="Times New Roman" w:hAnsi="Times New Roman"/>
          <w:b/>
          <w:sz w:val="24"/>
          <w:szCs w:val="24"/>
        </w:rPr>
        <w:t>employee</w:t>
      </w:r>
      <w:proofErr w:type="gramEnd"/>
      <w:r w:rsidRPr="00673952">
        <w:rPr>
          <w:rFonts w:ascii="Times New Roman" w:hAnsi="Times New Roman"/>
          <w:b/>
          <w:sz w:val="24"/>
          <w:szCs w:val="24"/>
        </w:rPr>
        <w:t xml:space="preserve">, include a provision on calculation of a wage-differential award. </w:t>
      </w:r>
    </w:p>
    <w:p w14:paraId="297479E9" w14:textId="77777777" w:rsidR="00673952" w:rsidRDefault="00673952" w:rsidP="00F326E5">
      <w:pPr>
        <w:pStyle w:val="NoSpacing"/>
        <w:rPr>
          <w:rFonts w:ascii="Arial Black" w:hAnsi="Arial Black"/>
          <w:sz w:val="24"/>
          <w:szCs w:val="24"/>
        </w:rPr>
      </w:pPr>
    </w:p>
    <w:p w14:paraId="0A4F5B3E" w14:textId="77777777" w:rsidR="00673952" w:rsidRDefault="00673952" w:rsidP="00F326E5">
      <w:pPr>
        <w:pStyle w:val="NoSpacing"/>
        <w:rPr>
          <w:rFonts w:ascii="Arial Black" w:hAnsi="Arial Black"/>
          <w:sz w:val="24"/>
          <w:szCs w:val="24"/>
        </w:rPr>
      </w:pPr>
    </w:p>
    <w:p w14:paraId="480238C5" w14:textId="77777777" w:rsidR="00673952" w:rsidRDefault="00673952" w:rsidP="00F326E5">
      <w:pPr>
        <w:pStyle w:val="NoSpacing"/>
        <w:rPr>
          <w:rFonts w:ascii="Arial Black" w:hAnsi="Arial Black"/>
          <w:sz w:val="24"/>
          <w:szCs w:val="24"/>
        </w:rPr>
      </w:pPr>
    </w:p>
    <w:p w14:paraId="7EFD7357" w14:textId="216C04D6" w:rsidR="004B129E" w:rsidRDefault="009F5629" w:rsidP="00F326E5">
      <w:pPr>
        <w:pStyle w:val="NoSpacing"/>
        <w:rPr>
          <w:rFonts w:ascii="Arial Black" w:hAnsi="Arial Black"/>
          <w:sz w:val="24"/>
          <w:szCs w:val="24"/>
        </w:rPr>
      </w:pPr>
      <w:r>
        <w:rPr>
          <w:rFonts w:ascii="Arial Black" w:hAnsi="Arial Black"/>
          <w:sz w:val="24"/>
          <w:szCs w:val="24"/>
        </w:rPr>
        <w:t>17-47</w:t>
      </w:r>
    </w:p>
    <w:p w14:paraId="7A33D2B3" w14:textId="77777777" w:rsidR="009F5629" w:rsidRDefault="009F5629" w:rsidP="00F326E5">
      <w:pPr>
        <w:pStyle w:val="NoSpacing"/>
        <w:rPr>
          <w:rFonts w:ascii="Arial Black" w:hAnsi="Arial Black"/>
          <w:sz w:val="24"/>
          <w:szCs w:val="24"/>
        </w:rPr>
      </w:pPr>
    </w:p>
    <w:p w14:paraId="176F88BF" w14:textId="77777777" w:rsidR="009F5629" w:rsidRPr="00530558" w:rsidRDefault="009F5629" w:rsidP="009F5629">
      <w:pPr>
        <w:pStyle w:val="NoSpacing"/>
        <w:rPr>
          <w:rFonts w:ascii="Arial Black" w:hAnsi="Arial Black"/>
          <w:b/>
          <w:sz w:val="28"/>
          <w:szCs w:val="28"/>
        </w:rPr>
      </w:pPr>
      <w:r>
        <w:rPr>
          <w:rFonts w:ascii="Arial Black" w:hAnsi="Arial Black"/>
          <w:b/>
          <w:sz w:val="28"/>
          <w:szCs w:val="28"/>
        </w:rPr>
        <w:t>OH: FIRE ENGINE MFG – DELAY – ARBITRATION</w:t>
      </w:r>
    </w:p>
    <w:p w14:paraId="2CDDD131" w14:textId="77777777" w:rsidR="009F5629" w:rsidRDefault="009F5629" w:rsidP="009F5629">
      <w:pPr>
        <w:pStyle w:val="NoSpacing"/>
        <w:rPr>
          <w:b/>
        </w:rPr>
      </w:pPr>
    </w:p>
    <w:p w14:paraId="7DCEE8FC" w14:textId="77777777" w:rsidR="00942EF0" w:rsidRPr="00546738" w:rsidRDefault="00942EF0" w:rsidP="00546738">
      <w:pPr>
        <w:pStyle w:val="NoSpacing"/>
        <w:rPr>
          <w:rFonts w:ascii="Times New Roman" w:hAnsi="Times New Roman"/>
          <w:bCs/>
          <w:sz w:val="24"/>
          <w:szCs w:val="24"/>
        </w:rPr>
      </w:pPr>
      <w:r w:rsidRPr="00546738">
        <w:rPr>
          <w:rFonts w:ascii="Times New Roman" w:hAnsi="Times New Roman"/>
          <w:sz w:val="24"/>
          <w:szCs w:val="24"/>
        </w:rPr>
        <w:t xml:space="preserve">On Dec. 23, 2024, in </w:t>
      </w:r>
      <w:r w:rsidRPr="00546738">
        <w:rPr>
          <w:rFonts w:ascii="Times New Roman" w:hAnsi="Times New Roman"/>
          <w:sz w:val="24"/>
          <w:szCs w:val="24"/>
          <w:u w:val="single"/>
        </w:rPr>
        <w:t>Dorset Township Board of Trustees v. T-Line EV, LLC</w:t>
      </w:r>
      <w:r w:rsidRPr="00546738">
        <w:rPr>
          <w:rFonts w:ascii="Times New Roman" w:hAnsi="Times New Roman"/>
          <w:sz w:val="24"/>
          <w:szCs w:val="24"/>
        </w:rPr>
        <w:t>, the Ohio Court of Appeals for 11</w:t>
      </w:r>
      <w:r w:rsidRPr="00546738">
        <w:rPr>
          <w:rFonts w:ascii="Times New Roman" w:hAnsi="Times New Roman"/>
          <w:sz w:val="24"/>
          <w:szCs w:val="24"/>
          <w:vertAlign w:val="superscript"/>
        </w:rPr>
        <w:t>th</w:t>
      </w:r>
      <w:r w:rsidRPr="00546738">
        <w:rPr>
          <w:rFonts w:ascii="Times New Roman" w:hAnsi="Times New Roman"/>
          <w:sz w:val="24"/>
          <w:szCs w:val="24"/>
        </w:rPr>
        <w:t xml:space="preserve"> Appellate District (Ashtabula County), held (3 to 0) that trial court improperly set aside the arbitrator’s decision that found in favor of the Township.  The arbitrator awarded a “Delay Penalty” under the contract 0.5% per week (80 weeks; $7,500 based on $150,000 contract) and ordered T-Line to return their down payment ($75,000), pay for the 2007 Ferrar chassis supplied by the Township ($35000), and reimburse the </w:t>
      </w:r>
      <w:r w:rsidRPr="00546738">
        <w:rPr>
          <w:rFonts w:ascii="Times New Roman" w:hAnsi="Times New Roman"/>
          <w:sz w:val="24"/>
          <w:szCs w:val="24"/>
        </w:rPr>
        <w:lastRenderedPageBreak/>
        <w:t xml:space="preserve">Township $1,925 filing fee for the American Arbitration Association.  </w:t>
      </w:r>
      <w:hyperlink r:id="rId2865" w:history="1">
        <w:r w:rsidRPr="00546738">
          <w:rPr>
            <w:rStyle w:val="Hyperlink"/>
            <w:rFonts w:ascii="Times New Roman" w:hAnsi="Times New Roman"/>
            <w:sz w:val="24"/>
            <w:szCs w:val="24"/>
          </w:rPr>
          <w:t>https://www.supremecourt.ohio.gov/rod/docs/pdf/11/2024/2024-Ohio-6002.pdf</w:t>
        </w:r>
      </w:hyperlink>
      <w:r w:rsidRPr="00546738">
        <w:rPr>
          <w:rFonts w:ascii="Times New Roman" w:hAnsi="Times New Roman"/>
          <w:sz w:val="24"/>
          <w:szCs w:val="24"/>
        </w:rPr>
        <w:t xml:space="preserve"> </w:t>
      </w:r>
    </w:p>
    <w:p w14:paraId="05CD1771" w14:textId="77777777" w:rsidR="00942EF0" w:rsidRPr="00546738" w:rsidRDefault="00942EF0" w:rsidP="00942EF0">
      <w:pPr>
        <w:pStyle w:val="NoSpacing"/>
        <w:rPr>
          <w:rFonts w:ascii="Times New Roman" w:hAnsi="Times New Roman"/>
          <w:bCs/>
          <w:sz w:val="24"/>
          <w:szCs w:val="24"/>
        </w:rPr>
      </w:pPr>
    </w:p>
    <w:p w14:paraId="54AF1B6B" w14:textId="4F53A7BD" w:rsidR="009F5629" w:rsidRPr="00525719" w:rsidRDefault="009F5629" w:rsidP="009F5629">
      <w:pPr>
        <w:pStyle w:val="NoSpacing"/>
        <w:rPr>
          <w:rFonts w:ascii="Times New Roman" w:hAnsi="Times New Roman"/>
          <w:bCs/>
          <w:sz w:val="24"/>
          <w:szCs w:val="24"/>
        </w:rPr>
      </w:pPr>
      <w:r w:rsidRPr="00525719">
        <w:rPr>
          <w:rFonts w:ascii="Times New Roman" w:hAnsi="Times New Roman"/>
          <w:sz w:val="24"/>
          <w:szCs w:val="24"/>
        </w:rPr>
        <w:t>The Court of Appeals wrote:</w:t>
      </w:r>
    </w:p>
    <w:p w14:paraId="5CBBB0CF" w14:textId="77777777" w:rsidR="009F5629" w:rsidRPr="00525719" w:rsidRDefault="009F5629" w:rsidP="009F5629">
      <w:pPr>
        <w:pStyle w:val="NoSpacing"/>
        <w:rPr>
          <w:rFonts w:ascii="Times New Roman" w:hAnsi="Times New Roman"/>
          <w:bCs/>
          <w:sz w:val="24"/>
          <w:szCs w:val="24"/>
        </w:rPr>
      </w:pPr>
    </w:p>
    <w:p w14:paraId="277AE658"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“T-Line argued that the arbitration award should be vacated because Dorset Township was in possession of the Pumper with the improvements and that it would be inequitable to allow Dorset Township to both have the Pumper and the arbitration award.</w:t>
      </w:r>
    </w:p>
    <w:p w14:paraId="30E37C16" w14:textId="77777777" w:rsidR="009F5629" w:rsidRPr="00525719" w:rsidRDefault="009F5629" w:rsidP="009F5629">
      <w:pPr>
        <w:pStyle w:val="NoSpacing"/>
        <w:ind w:left="720"/>
        <w:rPr>
          <w:rFonts w:ascii="Times New Roman" w:hAnsi="Times New Roman"/>
          <w:bCs/>
          <w:sz w:val="24"/>
          <w:szCs w:val="24"/>
        </w:rPr>
      </w:pPr>
    </w:p>
    <w:p w14:paraId="221C21B9"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w:t>
      </w:r>
    </w:p>
    <w:p w14:paraId="2C4685DB"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The arbitration award was issued on November 22, 2022. Dorset Township filed its complaint seeking confirmation of the award on March 15, 2023. Pursuant to this</w:t>
      </w:r>
    </w:p>
    <w:p w14:paraId="2889FF9F"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provision, R.C. 2711.09, Dorset Township’s application for confirmation of the award was timely filed.</w:t>
      </w:r>
    </w:p>
    <w:p w14:paraId="5120412A" w14:textId="77777777" w:rsidR="009F5629" w:rsidRPr="00525719" w:rsidRDefault="009F5629" w:rsidP="009F5629">
      <w:pPr>
        <w:pStyle w:val="NoSpacing"/>
        <w:ind w:left="720"/>
        <w:rPr>
          <w:rFonts w:ascii="Times New Roman" w:hAnsi="Times New Roman"/>
          <w:bCs/>
          <w:sz w:val="24"/>
          <w:szCs w:val="24"/>
        </w:rPr>
      </w:pPr>
    </w:p>
    <w:p w14:paraId="5D70D042"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w:t>
      </w:r>
    </w:p>
    <w:p w14:paraId="4BF25250"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Ohio case law interpreting R.C. 2711.13 confirms the plain language of the</w:t>
      </w:r>
    </w:p>
    <w:p w14:paraId="2A4C94D7"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statute. ‘A party seeking to modify or vacate an arbitration award has up to three months</w:t>
      </w:r>
    </w:p>
    <w:p w14:paraId="56F6C469"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from the date of the award to file its motion.’ … Here, T-Line’s application to vacate the arbitration award was filed on June 27, 2023, while the arbitration award was issued on November 21, 2022. It is apparent that T-Line’s motion was out of rule.</w:t>
      </w:r>
    </w:p>
    <w:p w14:paraId="53D9D4D9" w14:textId="77777777" w:rsidR="009F5629" w:rsidRPr="00525719" w:rsidRDefault="009F5629" w:rsidP="009F5629">
      <w:pPr>
        <w:pStyle w:val="NoSpacing"/>
        <w:ind w:left="720"/>
        <w:rPr>
          <w:rFonts w:ascii="Times New Roman" w:hAnsi="Times New Roman"/>
          <w:bCs/>
          <w:sz w:val="24"/>
          <w:szCs w:val="24"/>
        </w:rPr>
      </w:pPr>
    </w:p>
    <w:p w14:paraId="66C76777"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w:t>
      </w:r>
    </w:p>
    <w:p w14:paraId="0AD929E2" w14:textId="77777777" w:rsidR="009F5629" w:rsidRPr="00525719" w:rsidRDefault="009F5629" w:rsidP="009F5629">
      <w:pPr>
        <w:pStyle w:val="NoSpacing"/>
        <w:ind w:left="720"/>
        <w:rPr>
          <w:rFonts w:ascii="Times New Roman" w:hAnsi="Times New Roman"/>
          <w:bCs/>
          <w:sz w:val="24"/>
          <w:szCs w:val="24"/>
        </w:rPr>
      </w:pPr>
      <w:r w:rsidRPr="00525719">
        <w:rPr>
          <w:rFonts w:ascii="Times New Roman" w:hAnsi="Times New Roman"/>
          <w:sz w:val="24"/>
          <w:szCs w:val="24"/>
        </w:rPr>
        <w:t xml:space="preserve">Proceeding </w:t>
      </w:r>
      <w:proofErr w:type="gramStart"/>
      <w:r w:rsidRPr="00525719">
        <w:rPr>
          <w:rFonts w:ascii="Times New Roman" w:hAnsi="Times New Roman"/>
          <w:sz w:val="24"/>
          <w:szCs w:val="24"/>
        </w:rPr>
        <w:t>on</w:t>
      </w:r>
      <w:proofErr w:type="gramEnd"/>
      <w:r w:rsidRPr="00525719">
        <w:rPr>
          <w:rFonts w:ascii="Times New Roman" w:hAnsi="Times New Roman"/>
          <w:sz w:val="24"/>
          <w:szCs w:val="24"/>
        </w:rPr>
        <w:t xml:space="preserve"> the timely application of Dorset Township to confirm the award, the trial court was required to confirm the award as no timely application to modify or vacate was made. The record shows that the trial court exceeded its authority in not doing so.”</w:t>
      </w:r>
    </w:p>
    <w:p w14:paraId="4123DA03" w14:textId="3A14797E" w:rsidR="009F5629" w:rsidRPr="00525719" w:rsidRDefault="009F5629" w:rsidP="00525719">
      <w:pPr>
        <w:pStyle w:val="NoSpacing"/>
        <w:ind w:firstLine="720"/>
        <w:rPr>
          <w:rFonts w:ascii="Times New Roman" w:hAnsi="Times New Roman"/>
          <w:sz w:val="24"/>
          <w:szCs w:val="24"/>
        </w:rPr>
      </w:pPr>
      <w:r w:rsidRPr="00525719">
        <w:rPr>
          <w:rFonts w:ascii="Times New Roman" w:hAnsi="Times New Roman"/>
          <w:sz w:val="24"/>
          <w:szCs w:val="24"/>
        </w:rPr>
        <w:t xml:space="preserve"> </w:t>
      </w:r>
    </w:p>
    <w:p w14:paraId="64BFC785" w14:textId="77777777" w:rsidR="009F5629" w:rsidRPr="00525719" w:rsidRDefault="009F5629" w:rsidP="00F326E5">
      <w:pPr>
        <w:pStyle w:val="NoSpacing"/>
        <w:rPr>
          <w:rFonts w:ascii="Times New Roman" w:hAnsi="Times New Roman"/>
          <w:sz w:val="24"/>
          <w:szCs w:val="24"/>
        </w:rPr>
      </w:pPr>
    </w:p>
    <w:p w14:paraId="5B07D855" w14:textId="77777777" w:rsidR="009E2025" w:rsidRPr="009E2025" w:rsidRDefault="009E2025" w:rsidP="009E2025">
      <w:pPr>
        <w:pStyle w:val="NoSpacing"/>
        <w:rPr>
          <w:rFonts w:ascii="Times New Roman" w:hAnsi="Times New Roman"/>
          <w:bCs/>
          <w:sz w:val="24"/>
          <w:szCs w:val="24"/>
        </w:rPr>
      </w:pPr>
      <w:r w:rsidRPr="009E2025">
        <w:rPr>
          <w:rFonts w:ascii="Times New Roman" w:hAnsi="Times New Roman"/>
          <w:sz w:val="24"/>
          <w:szCs w:val="24"/>
        </w:rPr>
        <w:t>HOLDING:</w:t>
      </w:r>
    </w:p>
    <w:p w14:paraId="570310D1" w14:textId="77777777" w:rsidR="009E2025" w:rsidRPr="009E2025" w:rsidRDefault="009E2025" w:rsidP="009E2025">
      <w:pPr>
        <w:pStyle w:val="NoSpacing"/>
        <w:rPr>
          <w:rFonts w:ascii="Times New Roman" w:hAnsi="Times New Roman"/>
          <w:bCs/>
          <w:sz w:val="24"/>
          <w:szCs w:val="24"/>
        </w:rPr>
      </w:pPr>
    </w:p>
    <w:p w14:paraId="2BA8F6E5" w14:textId="77777777" w:rsidR="009E2025" w:rsidRPr="009E2025" w:rsidRDefault="009E2025" w:rsidP="009E2025">
      <w:pPr>
        <w:pStyle w:val="NoSpacing"/>
        <w:ind w:left="720"/>
        <w:rPr>
          <w:rFonts w:ascii="Times New Roman" w:hAnsi="Times New Roman"/>
          <w:bCs/>
          <w:sz w:val="24"/>
          <w:szCs w:val="24"/>
        </w:rPr>
      </w:pPr>
      <w:r w:rsidRPr="009E2025">
        <w:rPr>
          <w:rFonts w:ascii="Times New Roman" w:hAnsi="Times New Roman"/>
          <w:sz w:val="24"/>
          <w:szCs w:val="24"/>
        </w:rPr>
        <w:t>“Accordingly, the decision of the Ashtabula County Court of Common Pleas is reversed and remanded for a decision consistent with this Court’s opinion. As the applicable law and facts do not provide a basis for the trial court to do anything other than confirm the arbitrator’s award, the trial court is expressly directed to do so.”</w:t>
      </w:r>
    </w:p>
    <w:p w14:paraId="0C148849" w14:textId="77777777" w:rsidR="009E2025" w:rsidRPr="009E2025" w:rsidRDefault="009E2025" w:rsidP="009E2025">
      <w:pPr>
        <w:pStyle w:val="NoSpacing"/>
        <w:ind w:left="720"/>
        <w:rPr>
          <w:rFonts w:ascii="Times New Roman" w:hAnsi="Times New Roman"/>
          <w:bCs/>
          <w:sz w:val="24"/>
          <w:szCs w:val="24"/>
        </w:rPr>
      </w:pPr>
    </w:p>
    <w:p w14:paraId="0ABD0AE0" w14:textId="31B5AA31" w:rsidR="009E2025" w:rsidRPr="009E2025" w:rsidRDefault="009E2025" w:rsidP="009E2025">
      <w:pPr>
        <w:pStyle w:val="NoSpacing"/>
        <w:rPr>
          <w:rFonts w:ascii="Times New Roman" w:hAnsi="Times New Roman"/>
          <w:b/>
          <w:sz w:val="24"/>
          <w:szCs w:val="24"/>
        </w:rPr>
      </w:pPr>
      <w:r w:rsidRPr="009E2025">
        <w:rPr>
          <w:rFonts w:ascii="Times New Roman" w:hAnsi="Times New Roman"/>
          <w:b/>
          <w:sz w:val="24"/>
          <w:szCs w:val="24"/>
        </w:rPr>
        <w:t xml:space="preserve">Legal Lesson Learned:  An arbitration provision in a contract to purchase or refurbish an engine is an effective way to resolve </w:t>
      </w:r>
      <w:r>
        <w:rPr>
          <w:rFonts w:ascii="Times New Roman" w:hAnsi="Times New Roman"/>
          <w:b/>
          <w:sz w:val="24"/>
          <w:szCs w:val="24"/>
        </w:rPr>
        <w:t xml:space="preserve">a </w:t>
      </w:r>
      <w:r w:rsidRPr="009E2025">
        <w:rPr>
          <w:rFonts w:ascii="Times New Roman" w:hAnsi="Times New Roman"/>
          <w:b/>
          <w:sz w:val="24"/>
          <w:szCs w:val="24"/>
        </w:rPr>
        <w:t>dispute</w:t>
      </w:r>
      <w:r>
        <w:rPr>
          <w:rFonts w:ascii="Times New Roman" w:hAnsi="Times New Roman"/>
          <w:b/>
          <w:sz w:val="24"/>
          <w:szCs w:val="24"/>
        </w:rPr>
        <w:t xml:space="preserve">.  </w:t>
      </w:r>
      <w:r w:rsidRPr="009E2025">
        <w:rPr>
          <w:rFonts w:ascii="Times New Roman" w:hAnsi="Times New Roman"/>
          <w:b/>
          <w:sz w:val="24"/>
          <w:szCs w:val="24"/>
        </w:rPr>
        <w:t xml:space="preserve"> </w:t>
      </w:r>
    </w:p>
    <w:p w14:paraId="1156E940" w14:textId="77777777" w:rsidR="009E2025" w:rsidRPr="009E2025" w:rsidRDefault="009E2025" w:rsidP="009E2025">
      <w:pPr>
        <w:pStyle w:val="NoSpacing"/>
        <w:rPr>
          <w:rFonts w:ascii="Times New Roman" w:hAnsi="Times New Roman"/>
          <w:bCs/>
          <w:sz w:val="24"/>
          <w:szCs w:val="24"/>
        </w:rPr>
      </w:pPr>
    </w:p>
    <w:p w14:paraId="00FDEB1B" w14:textId="77777777" w:rsidR="009F5629" w:rsidRDefault="009F5629" w:rsidP="00F326E5">
      <w:pPr>
        <w:pStyle w:val="NoSpacing"/>
        <w:rPr>
          <w:rFonts w:ascii="Arial Black" w:hAnsi="Arial Black"/>
          <w:sz w:val="24"/>
          <w:szCs w:val="24"/>
        </w:rPr>
      </w:pPr>
    </w:p>
    <w:p w14:paraId="10DCC2F9" w14:textId="77777777" w:rsidR="009E2025" w:rsidRDefault="009E2025" w:rsidP="00F326E5">
      <w:pPr>
        <w:pStyle w:val="NoSpacing"/>
        <w:rPr>
          <w:rFonts w:ascii="Arial Black" w:hAnsi="Arial Black"/>
          <w:sz w:val="24"/>
          <w:szCs w:val="24"/>
        </w:rPr>
      </w:pPr>
    </w:p>
    <w:p w14:paraId="61A3913E" w14:textId="77777777" w:rsidR="009E2025" w:rsidRDefault="009E2025" w:rsidP="00F326E5">
      <w:pPr>
        <w:pStyle w:val="NoSpacing"/>
        <w:rPr>
          <w:rFonts w:ascii="Arial Black" w:hAnsi="Arial Black"/>
          <w:sz w:val="24"/>
          <w:szCs w:val="24"/>
        </w:rPr>
      </w:pPr>
    </w:p>
    <w:p w14:paraId="455974B2" w14:textId="2C562CB5" w:rsidR="004B129E" w:rsidRDefault="004B129E" w:rsidP="00F326E5">
      <w:pPr>
        <w:pStyle w:val="NoSpacing"/>
        <w:rPr>
          <w:rFonts w:ascii="Arial Black" w:hAnsi="Arial Black"/>
          <w:sz w:val="24"/>
          <w:szCs w:val="24"/>
        </w:rPr>
      </w:pPr>
      <w:r>
        <w:rPr>
          <w:rFonts w:ascii="Arial Black" w:hAnsi="Arial Black"/>
          <w:sz w:val="24"/>
          <w:szCs w:val="24"/>
        </w:rPr>
        <w:t>17-46</w:t>
      </w:r>
    </w:p>
    <w:p w14:paraId="2504D6D1" w14:textId="77777777" w:rsidR="004B129E" w:rsidRDefault="004B129E" w:rsidP="00F326E5">
      <w:pPr>
        <w:pStyle w:val="NoSpacing"/>
        <w:rPr>
          <w:rFonts w:ascii="Arial Black" w:hAnsi="Arial Black"/>
          <w:sz w:val="24"/>
          <w:szCs w:val="24"/>
        </w:rPr>
      </w:pPr>
    </w:p>
    <w:p w14:paraId="02C54256" w14:textId="77777777" w:rsidR="00884D9E" w:rsidRPr="00FB08AF" w:rsidRDefault="00884D9E" w:rsidP="00884D9E">
      <w:pPr>
        <w:rPr>
          <w:rFonts w:ascii="Times New Roman" w:hAnsi="Times New Roman"/>
          <w:b/>
          <w:sz w:val="24"/>
          <w:szCs w:val="24"/>
        </w:rPr>
      </w:pPr>
      <w:r w:rsidRPr="00FB08AF">
        <w:rPr>
          <w:rFonts w:ascii="Times New Roman" w:hAnsi="Times New Roman"/>
          <w:b/>
          <w:sz w:val="24"/>
          <w:szCs w:val="24"/>
        </w:rPr>
        <w:t>OH: FIRE CHIEF – LT. APPOINTED INTERIM – CIVIL SERVICE EXAM - REPLACED BY A/C WHO SCORED HIGHEST</w:t>
      </w:r>
    </w:p>
    <w:p w14:paraId="648E98CF" w14:textId="77777777" w:rsidR="00884D9E" w:rsidRPr="00FB08AF" w:rsidRDefault="00884D9E" w:rsidP="00884D9E">
      <w:pPr>
        <w:pStyle w:val="NoSpacing"/>
        <w:rPr>
          <w:rFonts w:ascii="Times New Roman" w:hAnsi="Times New Roman"/>
          <w:sz w:val="24"/>
          <w:szCs w:val="24"/>
        </w:rPr>
      </w:pPr>
      <w:r w:rsidRPr="00FB08AF">
        <w:rPr>
          <w:rFonts w:ascii="Times New Roman" w:hAnsi="Times New Roman"/>
          <w:sz w:val="24"/>
          <w:szCs w:val="24"/>
        </w:rPr>
        <w:t xml:space="preserve">On Oct. 31, 2024, in </w:t>
      </w:r>
      <w:r w:rsidRPr="00FB08AF">
        <w:rPr>
          <w:rFonts w:ascii="Times New Roman" w:hAnsi="Times New Roman"/>
          <w:sz w:val="24"/>
          <w:szCs w:val="24"/>
          <w:u w:val="single"/>
        </w:rPr>
        <w:t>The State ex rel. Patrick Johnson v. Mark Higgins</w:t>
      </w:r>
      <w:r w:rsidRPr="00FB08AF">
        <w:rPr>
          <w:rFonts w:ascii="Times New Roman" w:hAnsi="Times New Roman"/>
          <w:sz w:val="24"/>
          <w:szCs w:val="24"/>
        </w:rPr>
        <w:t xml:space="preserve">, the Supreme Court of Ohio held (7 to 0): “Higgins is currently serving as chief of the fire department of the City of Brook Park, a position to which Johnson claims legal entitlement. Johnson seeks a writ ousting Higgins from the position and declaring that Johnson is entitled to the position. We deny the writ.” </w:t>
      </w:r>
      <w:hyperlink r:id="rId2866" w:history="1">
        <w:r w:rsidRPr="00FB08AF">
          <w:rPr>
            <w:rStyle w:val="Hyperlink"/>
            <w:rFonts w:ascii="Times New Roman" w:hAnsi="Times New Roman"/>
            <w:b/>
            <w:sz w:val="24"/>
            <w:szCs w:val="24"/>
          </w:rPr>
          <w:t>https://www.supremecourt.ohio.gov/rod/docs/pdf/0/2024/2024-Ohio-5174.pdf</w:t>
        </w:r>
      </w:hyperlink>
    </w:p>
    <w:p w14:paraId="4D89268D" w14:textId="77777777" w:rsidR="00884D9E" w:rsidRPr="00FB08AF" w:rsidRDefault="00884D9E" w:rsidP="00884D9E">
      <w:pPr>
        <w:pStyle w:val="NoSpacing"/>
        <w:rPr>
          <w:rFonts w:ascii="Times New Roman" w:hAnsi="Times New Roman"/>
          <w:sz w:val="24"/>
          <w:szCs w:val="24"/>
        </w:rPr>
      </w:pPr>
    </w:p>
    <w:p w14:paraId="5FFAC62F" w14:textId="77777777" w:rsidR="00F76365" w:rsidRPr="00FB08AF" w:rsidRDefault="00F76365" w:rsidP="00F76365">
      <w:pPr>
        <w:pStyle w:val="NoSpacing"/>
        <w:rPr>
          <w:rFonts w:ascii="Times New Roman" w:hAnsi="Times New Roman"/>
          <w:b/>
          <w:bCs/>
          <w:sz w:val="24"/>
          <w:szCs w:val="24"/>
        </w:rPr>
      </w:pPr>
      <w:r w:rsidRPr="00FB08AF">
        <w:rPr>
          <w:rFonts w:ascii="Times New Roman" w:hAnsi="Times New Roman"/>
          <w:b/>
          <w:sz w:val="24"/>
          <w:szCs w:val="24"/>
        </w:rPr>
        <w:lastRenderedPageBreak/>
        <w:t>Legal Lesson Learned: Civil Service process was followed</w:t>
      </w:r>
      <w:r w:rsidRPr="00FB08AF">
        <w:rPr>
          <w:rFonts w:ascii="Times New Roman" w:hAnsi="Times New Roman"/>
          <w:b/>
          <w:bCs/>
          <w:sz w:val="24"/>
          <w:szCs w:val="24"/>
        </w:rPr>
        <w:t>.</w:t>
      </w:r>
      <w:r w:rsidRPr="00FB08AF">
        <w:rPr>
          <w:rFonts w:ascii="Times New Roman" w:hAnsi="Times New Roman"/>
          <w:b/>
          <w:sz w:val="24"/>
          <w:szCs w:val="24"/>
        </w:rPr>
        <w:t xml:space="preserve"> </w:t>
      </w:r>
    </w:p>
    <w:p w14:paraId="3291D370" w14:textId="77777777" w:rsidR="00F76365" w:rsidRPr="00FB08AF" w:rsidRDefault="00F76365" w:rsidP="00F76365">
      <w:pPr>
        <w:rPr>
          <w:rFonts w:ascii="Times New Roman" w:hAnsi="Times New Roman"/>
          <w:sz w:val="24"/>
          <w:szCs w:val="24"/>
        </w:rPr>
      </w:pPr>
    </w:p>
    <w:p w14:paraId="02362F25" w14:textId="13DEB49F" w:rsidR="004B129E" w:rsidRDefault="004B129E" w:rsidP="00F326E5">
      <w:pPr>
        <w:pStyle w:val="NoSpacing"/>
        <w:rPr>
          <w:rFonts w:ascii="Arial Black" w:hAnsi="Arial Black"/>
          <w:sz w:val="24"/>
          <w:szCs w:val="24"/>
        </w:rPr>
      </w:pPr>
      <w:r>
        <w:rPr>
          <w:rFonts w:ascii="Arial Black" w:hAnsi="Arial Black"/>
          <w:sz w:val="24"/>
          <w:szCs w:val="24"/>
        </w:rPr>
        <w:t>17-45</w:t>
      </w:r>
    </w:p>
    <w:p w14:paraId="762B200F" w14:textId="77777777" w:rsidR="004B129E" w:rsidRDefault="004B129E" w:rsidP="00F326E5">
      <w:pPr>
        <w:pStyle w:val="NoSpacing"/>
        <w:rPr>
          <w:rFonts w:ascii="Arial Black" w:hAnsi="Arial Black"/>
          <w:sz w:val="24"/>
          <w:szCs w:val="24"/>
        </w:rPr>
      </w:pPr>
    </w:p>
    <w:p w14:paraId="1773B998" w14:textId="77777777" w:rsidR="00FE74F8" w:rsidRPr="009376A9" w:rsidRDefault="00FE74F8" w:rsidP="00FE74F8">
      <w:pPr>
        <w:pStyle w:val="NoSpacing"/>
        <w:rPr>
          <w:rFonts w:ascii="Times New Roman" w:hAnsi="Times New Roman"/>
          <w:b/>
          <w:bCs/>
          <w:sz w:val="24"/>
          <w:szCs w:val="24"/>
        </w:rPr>
      </w:pPr>
      <w:r w:rsidRPr="009376A9">
        <w:rPr>
          <w:rFonts w:ascii="Times New Roman" w:hAnsi="Times New Roman"/>
          <w:b/>
          <w:bCs/>
          <w:sz w:val="24"/>
          <w:szCs w:val="24"/>
        </w:rPr>
        <w:t xml:space="preserve">IL: SHIFT TRADES FOR LT.  – FIRE CHIEF CHANGED 25-YR POLICY – ONLY FF ON PROMOTION LIST - MUST BARGAIN </w:t>
      </w:r>
    </w:p>
    <w:p w14:paraId="26CA52F5" w14:textId="77777777" w:rsidR="009376A9" w:rsidRDefault="009376A9" w:rsidP="00452883">
      <w:pPr>
        <w:pStyle w:val="NoSpacing"/>
        <w:rPr>
          <w:rFonts w:ascii="Times New Roman" w:hAnsi="Times New Roman"/>
          <w:sz w:val="24"/>
          <w:szCs w:val="24"/>
        </w:rPr>
      </w:pPr>
    </w:p>
    <w:p w14:paraId="477FCE96" w14:textId="2C85DF0A" w:rsidR="00452883" w:rsidRPr="009376A9" w:rsidRDefault="00452883" w:rsidP="00452883">
      <w:pPr>
        <w:pStyle w:val="NoSpacing"/>
        <w:rPr>
          <w:rFonts w:ascii="Times New Roman" w:hAnsi="Times New Roman"/>
          <w:bCs/>
          <w:sz w:val="24"/>
          <w:szCs w:val="24"/>
        </w:rPr>
      </w:pPr>
      <w:r w:rsidRPr="009376A9">
        <w:rPr>
          <w:rFonts w:ascii="Times New Roman" w:hAnsi="Times New Roman"/>
          <w:sz w:val="24"/>
          <w:szCs w:val="24"/>
        </w:rPr>
        <w:t xml:space="preserve">On Oct. 28, 2024, in </w:t>
      </w:r>
      <w:r w:rsidRPr="009376A9">
        <w:rPr>
          <w:rFonts w:ascii="Times New Roman" w:hAnsi="Times New Roman"/>
          <w:sz w:val="24"/>
          <w:szCs w:val="24"/>
          <w:u w:val="single"/>
        </w:rPr>
        <w:t>City of Park Ridge v. Illinois Labor Relations Board</w:t>
      </w:r>
      <w:r w:rsidRPr="009376A9">
        <w:rPr>
          <w:rFonts w:ascii="Times New Roman" w:hAnsi="Times New Roman"/>
          <w:sz w:val="24"/>
          <w:szCs w:val="24"/>
        </w:rPr>
        <w:t xml:space="preserve">, the Illinois Appellate Court, First Judicial District, held (3 to 0): “(1) the shift trade qualification policy was a mandatory subject of bargaining; (2) the Union did not waive its right to bargain over the qualifications for shift trades; and (3) the City’s unilateral change of the shift trade qualification policy without giving notice and opportunity to bargain the change violated sections 10(a)(1), 10(a)(4), and 14(l) of the Illinois Public Labor Relations Act since the change occurred during interest arbitration.” </w:t>
      </w:r>
    </w:p>
    <w:p w14:paraId="625F27E4" w14:textId="0D2538F2" w:rsidR="00FB08AF" w:rsidRPr="009376A9" w:rsidRDefault="00452883" w:rsidP="00452883">
      <w:pPr>
        <w:pStyle w:val="NoSpacing"/>
        <w:rPr>
          <w:rStyle w:val="Hyperlink"/>
          <w:rFonts w:ascii="Times New Roman" w:hAnsi="Times New Roman"/>
          <w:sz w:val="24"/>
          <w:szCs w:val="24"/>
        </w:rPr>
      </w:pPr>
      <w:hyperlink r:id="rId2867" w:history="1">
        <w:r w:rsidRPr="009376A9">
          <w:rPr>
            <w:rStyle w:val="Hyperlink"/>
            <w:rFonts w:ascii="Times New Roman" w:hAnsi="Times New Roman"/>
            <w:sz w:val="24"/>
            <w:szCs w:val="24"/>
          </w:rPr>
          <w:t>https://ilcourtsaudio.blob.core.windows.net/antilles-resources/resources/a7e1e4b9-d57b-4bd7-9b5d-a27198847cd7/City%20of%20Park%20Ridge%20v.%20IL%20Labor%20Relations%20Bd%202024%20IL%20App%20(1st)%20221924-U.pdf</w:t>
        </w:r>
      </w:hyperlink>
    </w:p>
    <w:p w14:paraId="2F0AE996" w14:textId="77777777" w:rsidR="009376A9" w:rsidRPr="009376A9" w:rsidRDefault="009376A9" w:rsidP="009376A9">
      <w:pPr>
        <w:pStyle w:val="NoSpacing"/>
        <w:rPr>
          <w:rFonts w:ascii="Times New Roman" w:hAnsi="Times New Roman"/>
          <w:b/>
          <w:sz w:val="24"/>
          <w:szCs w:val="24"/>
        </w:rPr>
      </w:pPr>
    </w:p>
    <w:p w14:paraId="22301176" w14:textId="458DC8F1" w:rsidR="009376A9" w:rsidRPr="009376A9" w:rsidRDefault="009376A9" w:rsidP="009376A9">
      <w:pPr>
        <w:pStyle w:val="NoSpacing"/>
        <w:rPr>
          <w:rFonts w:ascii="Times New Roman" w:hAnsi="Times New Roman"/>
          <w:b/>
          <w:sz w:val="24"/>
          <w:szCs w:val="24"/>
        </w:rPr>
      </w:pPr>
      <w:r w:rsidRPr="009376A9">
        <w:rPr>
          <w:rFonts w:ascii="Times New Roman" w:hAnsi="Times New Roman"/>
          <w:b/>
          <w:sz w:val="24"/>
          <w:szCs w:val="24"/>
        </w:rPr>
        <w:t xml:space="preserve">Legal Lesson Learned: Court held that change in shift trade policy is subject of collective bargaining. </w:t>
      </w:r>
    </w:p>
    <w:p w14:paraId="291A9D95" w14:textId="77777777" w:rsidR="009376A9" w:rsidRDefault="009376A9" w:rsidP="009376A9">
      <w:pPr>
        <w:pStyle w:val="NoSpacing"/>
        <w:ind w:left="720"/>
        <w:rPr>
          <w:bCs/>
        </w:rPr>
      </w:pPr>
    </w:p>
    <w:p w14:paraId="69920754" w14:textId="77777777" w:rsidR="009376A9" w:rsidRDefault="009376A9" w:rsidP="00452883">
      <w:pPr>
        <w:pStyle w:val="NoSpacing"/>
        <w:rPr>
          <w:rFonts w:ascii="Arial Black" w:hAnsi="Arial Black"/>
          <w:sz w:val="24"/>
          <w:szCs w:val="24"/>
        </w:rPr>
      </w:pPr>
    </w:p>
    <w:p w14:paraId="556F09C8" w14:textId="73BB5EA7" w:rsidR="004B129E" w:rsidRDefault="004B129E" w:rsidP="00F326E5">
      <w:pPr>
        <w:pStyle w:val="NoSpacing"/>
        <w:rPr>
          <w:rFonts w:ascii="Arial Black" w:hAnsi="Arial Black"/>
          <w:sz w:val="24"/>
          <w:szCs w:val="24"/>
        </w:rPr>
      </w:pPr>
      <w:r>
        <w:rPr>
          <w:rFonts w:ascii="Arial Black" w:hAnsi="Arial Black"/>
          <w:sz w:val="24"/>
          <w:szCs w:val="24"/>
        </w:rPr>
        <w:t>17-44</w:t>
      </w:r>
    </w:p>
    <w:p w14:paraId="1D92A7EF" w14:textId="77777777" w:rsidR="004B129E" w:rsidRDefault="004B129E" w:rsidP="00F326E5">
      <w:pPr>
        <w:pStyle w:val="NoSpacing"/>
        <w:rPr>
          <w:rFonts w:ascii="Arial Black" w:hAnsi="Arial Black"/>
          <w:sz w:val="24"/>
          <w:szCs w:val="24"/>
        </w:rPr>
      </w:pPr>
    </w:p>
    <w:p w14:paraId="752AC39F" w14:textId="77777777" w:rsidR="00B35974" w:rsidRPr="002F0AF8" w:rsidRDefault="00B35974" w:rsidP="00B35974">
      <w:pPr>
        <w:rPr>
          <w:rFonts w:ascii="Times New Roman" w:hAnsi="Times New Roman"/>
          <w:b/>
          <w:bCs/>
          <w:sz w:val="24"/>
          <w:szCs w:val="24"/>
        </w:rPr>
      </w:pPr>
      <w:r w:rsidRPr="002F0AF8">
        <w:rPr>
          <w:rFonts w:ascii="Times New Roman" w:hAnsi="Times New Roman"/>
          <w:b/>
          <w:bCs/>
          <w:sz w:val="24"/>
          <w:szCs w:val="24"/>
        </w:rPr>
        <w:t>NY: ARBITRATOR HELD FOR 2 UTICA FF - CALLED IN FAMILY EMERGENCIES DAY BEFORE SHIFT – NOT COMP TIME</w:t>
      </w:r>
    </w:p>
    <w:p w14:paraId="139A460E" w14:textId="77777777" w:rsidR="004D3039" w:rsidRPr="002F0AF8" w:rsidRDefault="004D3039" w:rsidP="004D3039">
      <w:pPr>
        <w:pStyle w:val="NoSpacing"/>
        <w:rPr>
          <w:rFonts w:ascii="Times New Roman" w:hAnsi="Times New Roman"/>
          <w:sz w:val="24"/>
          <w:szCs w:val="24"/>
        </w:rPr>
      </w:pPr>
      <w:r w:rsidRPr="002F0AF8">
        <w:rPr>
          <w:rFonts w:ascii="Times New Roman" w:hAnsi="Times New Roman"/>
          <w:sz w:val="24"/>
          <w:szCs w:val="24"/>
        </w:rPr>
        <w:t xml:space="preserve">On Oct. 4, 2024, in </w:t>
      </w:r>
      <w:r w:rsidRPr="002F0AF8">
        <w:rPr>
          <w:rFonts w:ascii="Times New Roman" w:hAnsi="Times New Roman"/>
          <w:sz w:val="24"/>
          <w:szCs w:val="24"/>
          <w:u w:val="single"/>
        </w:rPr>
        <w:t>Matter of Local 32, Intl. Assn. of Fire Fighters, A.F.L.-C.I.O.-C.L.C. (City of Utica</w:t>
      </w:r>
      <w:r w:rsidRPr="002F0AF8">
        <w:rPr>
          <w:rFonts w:ascii="Times New Roman" w:hAnsi="Times New Roman"/>
          <w:sz w:val="24"/>
          <w:szCs w:val="24"/>
        </w:rPr>
        <w:t xml:space="preserve">), the New York Appellate Division, Fourth Department, held (5 to 0): “It is hereby ORDERED that the order insofar as appealed from is unanimously reversed on the law without costs, the petition is granted in its entirety and the arbitration award is confirmed in its entirety. *** The arbitrator determined, inter alia, that the firefighters were entitled to paid emergency leave for the time in question and directed respondent to restore the charged compensatory time.” </w:t>
      </w:r>
      <w:hyperlink r:id="rId2868" w:history="1">
        <w:r w:rsidRPr="002F0AF8">
          <w:rPr>
            <w:rStyle w:val="Hyperlink"/>
            <w:rFonts w:ascii="Times New Roman" w:hAnsi="Times New Roman"/>
            <w:sz w:val="24"/>
            <w:szCs w:val="24"/>
          </w:rPr>
          <w:t>https://law.justia.com/cases/new-york/appellate-division-fourth-department/2024/647-ca-23-01601.html</w:t>
        </w:r>
      </w:hyperlink>
      <w:r w:rsidRPr="002F0AF8">
        <w:rPr>
          <w:rFonts w:ascii="Times New Roman" w:hAnsi="Times New Roman"/>
          <w:sz w:val="24"/>
          <w:szCs w:val="24"/>
        </w:rPr>
        <w:t xml:space="preserve"> </w:t>
      </w:r>
    </w:p>
    <w:p w14:paraId="207E4355" w14:textId="77777777" w:rsidR="004D3039" w:rsidRPr="002F0AF8" w:rsidRDefault="004D3039" w:rsidP="004D3039">
      <w:pPr>
        <w:pStyle w:val="NoSpacing"/>
        <w:rPr>
          <w:rFonts w:ascii="Times New Roman" w:hAnsi="Times New Roman"/>
          <w:bCs/>
          <w:sz w:val="24"/>
          <w:szCs w:val="24"/>
        </w:rPr>
      </w:pPr>
    </w:p>
    <w:p w14:paraId="5D0DEAA3" w14:textId="77777777" w:rsidR="002F0AF8" w:rsidRPr="002F0AF8" w:rsidRDefault="002F0AF8" w:rsidP="002F0AF8">
      <w:pPr>
        <w:pStyle w:val="NoSpacing"/>
        <w:rPr>
          <w:rFonts w:ascii="Times New Roman" w:hAnsi="Times New Roman"/>
          <w:b/>
          <w:bCs/>
          <w:sz w:val="24"/>
          <w:szCs w:val="24"/>
        </w:rPr>
      </w:pPr>
      <w:r w:rsidRPr="002F0AF8">
        <w:rPr>
          <w:rFonts w:ascii="Times New Roman" w:hAnsi="Times New Roman"/>
          <w:b/>
          <w:sz w:val="24"/>
          <w:szCs w:val="24"/>
        </w:rPr>
        <w:t xml:space="preserve">Legal Lesson Learned: Arbitrator decision upheld. </w:t>
      </w:r>
    </w:p>
    <w:p w14:paraId="09469E12" w14:textId="77777777" w:rsidR="00B35974" w:rsidRDefault="00B35974" w:rsidP="00F326E5">
      <w:pPr>
        <w:pStyle w:val="NoSpacing"/>
        <w:rPr>
          <w:rFonts w:ascii="Arial Black" w:hAnsi="Arial Black"/>
          <w:sz w:val="24"/>
          <w:szCs w:val="24"/>
        </w:rPr>
      </w:pPr>
    </w:p>
    <w:p w14:paraId="253BE4C1" w14:textId="77777777" w:rsidR="00B35974" w:rsidRDefault="00B35974" w:rsidP="00F326E5">
      <w:pPr>
        <w:pStyle w:val="NoSpacing"/>
        <w:rPr>
          <w:rFonts w:ascii="Arial Black" w:hAnsi="Arial Black"/>
          <w:sz w:val="24"/>
          <w:szCs w:val="24"/>
        </w:rPr>
      </w:pPr>
    </w:p>
    <w:p w14:paraId="00E7EB28" w14:textId="3AF6B2F3" w:rsidR="004B129E" w:rsidRDefault="004B129E" w:rsidP="00F326E5">
      <w:pPr>
        <w:pStyle w:val="NoSpacing"/>
        <w:rPr>
          <w:rFonts w:ascii="Arial Black" w:hAnsi="Arial Black"/>
          <w:sz w:val="24"/>
          <w:szCs w:val="24"/>
        </w:rPr>
      </w:pPr>
      <w:r>
        <w:rPr>
          <w:rFonts w:ascii="Arial Black" w:hAnsi="Arial Black"/>
          <w:sz w:val="24"/>
          <w:szCs w:val="24"/>
        </w:rPr>
        <w:t>17-43</w:t>
      </w:r>
    </w:p>
    <w:p w14:paraId="77C6AED5" w14:textId="77777777" w:rsidR="004B129E" w:rsidRDefault="004B129E" w:rsidP="00F326E5">
      <w:pPr>
        <w:pStyle w:val="NoSpacing"/>
        <w:rPr>
          <w:rFonts w:ascii="Arial Black" w:hAnsi="Arial Black"/>
          <w:sz w:val="24"/>
          <w:szCs w:val="24"/>
        </w:rPr>
      </w:pPr>
    </w:p>
    <w:p w14:paraId="58C17DCD" w14:textId="77777777" w:rsidR="00925AD0" w:rsidRPr="001668D8" w:rsidRDefault="00925AD0" w:rsidP="00925AD0">
      <w:pPr>
        <w:pStyle w:val="NoSpacing"/>
        <w:rPr>
          <w:rFonts w:ascii="Times New Roman" w:hAnsi="Times New Roman"/>
          <w:b/>
          <w:bCs/>
          <w:sz w:val="24"/>
          <w:szCs w:val="24"/>
        </w:rPr>
      </w:pPr>
      <w:r w:rsidRPr="001668D8">
        <w:rPr>
          <w:rFonts w:ascii="Times New Roman" w:hAnsi="Times New Roman"/>
          <w:b/>
          <w:bCs/>
          <w:sz w:val="24"/>
          <w:szCs w:val="24"/>
        </w:rPr>
        <w:t xml:space="preserve">OH: CLEVELAND FD – PLAN TO PUT CAMERAS ON AMBULANCES – CANCELLED -  MUST BE BARGAINING </w:t>
      </w:r>
    </w:p>
    <w:p w14:paraId="5D623BF5" w14:textId="23F76BA4" w:rsidR="002F0AF8" w:rsidRPr="001668D8" w:rsidRDefault="002F0AF8" w:rsidP="00F326E5">
      <w:pPr>
        <w:pStyle w:val="NoSpacing"/>
        <w:rPr>
          <w:rFonts w:ascii="Times New Roman" w:hAnsi="Times New Roman"/>
          <w:sz w:val="24"/>
          <w:szCs w:val="24"/>
        </w:rPr>
      </w:pPr>
    </w:p>
    <w:p w14:paraId="0326CD13" w14:textId="77777777" w:rsidR="00AF72C9" w:rsidRPr="001668D8" w:rsidRDefault="00AF72C9" w:rsidP="00AF72C9">
      <w:pPr>
        <w:pStyle w:val="NoSpacing"/>
        <w:rPr>
          <w:rFonts w:ascii="Times New Roman" w:hAnsi="Times New Roman"/>
          <w:sz w:val="24"/>
          <w:szCs w:val="24"/>
        </w:rPr>
      </w:pPr>
      <w:r w:rsidRPr="001668D8">
        <w:rPr>
          <w:rFonts w:ascii="Times New Roman" w:hAnsi="Times New Roman"/>
          <w:sz w:val="24"/>
          <w:szCs w:val="24"/>
        </w:rPr>
        <w:t xml:space="preserve">On Oct. 3, 2024, in </w:t>
      </w:r>
      <w:r w:rsidRPr="001668D8">
        <w:rPr>
          <w:rFonts w:ascii="Times New Roman" w:hAnsi="Times New Roman"/>
          <w:sz w:val="24"/>
          <w:szCs w:val="24"/>
          <w:u w:val="single"/>
        </w:rPr>
        <w:t>City of Cleveland v. State Employment Relations Board, et al</w:t>
      </w:r>
      <w:r w:rsidRPr="001668D8">
        <w:rPr>
          <w:rFonts w:ascii="Times New Roman" w:hAnsi="Times New Roman"/>
          <w:sz w:val="24"/>
          <w:szCs w:val="24"/>
        </w:rPr>
        <w:t>., the Court of Appeals of Ohio, Eight Appellate District (Cuyahoga County), held (3 to 0): “Plaintiff-appellant City of Cleveland (the ‘City’) appeals the trial court’s judgment affirming the decision of defendant-appellee State Employment Relations Board (the ‘SERB’) in favor of defendant-appellee union Cleveland Association of Rescue Employees (the ‘Union’ or ‘CARE’). The court upheld SERB’s finding that the City violated R.C. 4117.11(A)(5) by refusing to bargain</w:t>
      </w:r>
    </w:p>
    <w:p w14:paraId="029600A9" w14:textId="77777777" w:rsidR="00AF72C9" w:rsidRPr="001668D8" w:rsidRDefault="00AF72C9" w:rsidP="00AF72C9">
      <w:pPr>
        <w:pStyle w:val="NoSpacing"/>
        <w:rPr>
          <w:rFonts w:ascii="Times New Roman" w:hAnsi="Times New Roman"/>
          <w:sz w:val="24"/>
          <w:szCs w:val="24"/>
        </w:rPr>
      </w:pPr>
      <w:r w:rsidRPr="001668D8">
        <w:rPr>
          <w:rFonts w:ascii="Times New Roman" w:hAnsi="Times New Roman"/>
          <w:sz w:val="24"/>
          <w:szCs w:val="24"/>
        </w:rPr>
        <w:lastRenderedPageBreak/>
        <w:t xml:space="preserve">collectively with the Union over the effects of the installation of dashboard audio/visual cameras in the City’s emergency medical </w:t>
      </w:r>
      <w:proofErr w:type="gramStart"/>
      <w:r w:rsidRPr="001668D8">
        <w:rPr>
          <w:rFonts w:ascii="Times New Roman" w:hAnsi="Times New Roman"/>
          <w:sz w:val="24"/>
          <w:szCs w:val="24"/>
        </w:rPr>
        <w:t>service (‘</w:t>
      </w:r>
      <w:proofErr w:type="gramEnd"/>
      <w:r w:rsidRPr="001668D8">
        <w:rPr>
          <w:rFonts w:ascii="Times New Roman" w:hAnsi="Times New Roman"/>
          <w:sz w:val="24"/>
          <w:szCs w:val="24"/>
        </w:rPr>
        <w:t xml:space="preserve">EMS’) </w:t>
      </w:r>
      <w:proofErr w:type="gramStart"/>
      <w:r w:rsidRPr="001668D8">
        <w:rPr>
          <w:rFonts w:ascii="Times New Roman" w:hAnsi="Times New Roman"/>
          <w:sz w:val="24"/>
          <w:szCs w:val="24"/>
        </w:rPr>
        <w:t>vehicles (‘</w:t>
      </w:r>
      <w:proofErr w:type="gramEnd"/>
      <w:r w:rsidRPr="001668D8">
        <w:rPr>
          <w:rFonts w:ascii="Times New Roman" w:hAnsi="Times New Roman"/>
          <w:sz w:val="24"/>
          <w:szCs w:val="24"/>
        </w:rPr>
        <w:t xml:space="preserve">ambulances’). *** For the following reasons, we affirm the trial court’s judgment.”  </w:t>
      </w:r>
    </w:p>
    <w:p w14:paraId="4FA4140F" w14:textId="77777777" w:rsidR="00AF72C9" w:rsidRPr="001668D8" w:rsidRDefault="00AF72C9" w:rsidP="00AF72C9">
      <w:pPr>
        <w:pStyle w:val="NoSpacing"/>
        <w:rPr>
          <w:rFonts w:ascii="Times New Roman" w:hAnsi="Times New Roman"/>
          <w:sz w:val="24"/>
          <w:szCs w:val="24"/>
        </w:rPr>
      </w:pPr>
      <w:hyperlink r:id="rId2869" w:history="1">
        <w:r w:rsidRPr="001668D8">
          <w:rPr>
            <w:rStyle w:val="Hyperlink"/>
            <w:rFonts w:ascii="Times New Roman" w:hAnsi="Times New Roman"/>
            <w:sz w:val="24"/>
            <w:szCs w:val="24"/>
          </w:rPr>
          <w:t>https://www.supremecourt.ohio.gov/rod/docs/pdf/8/2024/2024-Ohio-4787.pdf</w:t>
        </w:r>
      </w:hyperlink>
      <w:r w:rsidRPr="001668D8">
        <w:rPr>
          <w:rFonts w:ascii="Times New Roman" w:hAnsi="Times New Roman"/>
          <w:sz w:val="24"/>
          <w:szCs w:val="24"/>
        </w:rPr>
        <w:t xml:space="preserve"> </w:t>
      </w:r>
    </w:p>
    <w:p w14:paraId="41340168" w14:textId="77777777" w:rsidR="00AF72C9" w:rsidRPr="001668D8" w:rsidRDefault="00AF72C9" w:rsidP="00F326E5">
      <w:pPr>
        <w:pStyle w:val="NoSpacing"/>
        <w:rPr>
          <w:rFonts w:ascii="Times New Roman" w:hAnsi="Times New Roman"/>
          <w:sz w:val="24"/>
          <w:szCs w:val="24"/>
        </w:rPr>
      </w:pPr>
    </w:p>
    <w:p w14:paraId="4C90C5C2" w14:textId="77777777" w:rsidR="00D27807" w:rsidRPr="001668D8" w:rsidRDefault="00D27807" w:rsidP="00D27807">
      <w:pPr>
        <w:pStyle w:val="NoSpacing"/>
        <w:rPr>
          <w:rFonts w:ascii="Times New Roman" w:hAnsi="Times New Roman"/>
          <w:b/>
          <w:bCs/>
          <w:sz w:val="24"/>
          <w:szCs w:val="24"/>
        </w:rPr>
      </w:pPr>
      <w:r w:rsidRPr="001668D8">
        <w:rPr>
          <w:rFonts w:ascii="Times New Roman" w:hAnsi="Times New Roman"/>
          <w:b/>
          <w:sz w:val="24"/>
          <w:szCs w:val="24"/>
        </w:rPr>
        <w:t xml:space="preserve">Legal Lesson Learned: </w:t>
      </w:r>
      <w:r w:rsidRPr="001668D8">
        <w:rPr>
          <w:rFonts w:ascii="Times New Roman" w:hAnsi="Times New Roman"/>
          <w:b/>
          <w:bCs/>
          <w:sz w:val="24"/>
          <w:szCs w:val="24"/>
        </w:rPr>
        <w:t xml:space="preserve">Court held that putting </w:t>
      </w:r>
      <w:r w:rsidRPr="001668D8">
        <w:rPr>
          <w:rFonts w:ascii="Times New Roman" w:hAnsi="Times New Roman"/>
          <w:b/>
          <w:sz w:val="24"/>
          <w:szCs w:val="24"/>
        </w:rPr>
        <w:t>video camera</w:t>
      </w:r>
      <w:r w:rsidRPr="001668D8">
        <w:rPr>
          <w:rFonts w:ascii="Times New Roman" w:hAnsi="Times New Roman"/>
          <w:b/>
          <w:bCs/>
          <w:sz w:val="24"/>
          <w:szCs w:val="24"/>
        </w:rPr>
        <w:t>s</w:t>
      </w:r>
      <w:r w:rsidRPr="001668D8">
        <w:rPr>
          <w:rFonts w:ascii="Times New Roman" w:hAnsi="Times New Roman"/>
          <w:b/>
          <w:sz w:val="24"/>
          <w:szCs w:val="24"/>
        </w:rPr>
        <w:t xml:space="preserve"> in ambulances must be collectively bargained. </w:t>
      </w:r>
    </w:p>
    <w:p w14:paraId="06F6FE91" w14:textId="77777777" w:rsidR="00D27807" w:rsidRPr="001668D8" w:rsidRDefault="00D27807" w:rsidP="00F326E5">
      <w:pPr>
        <w:pStyle w:val="NoSpacing"/>
        <w:rPr>
          <w:rFonts w:ascii="Times New Roman" w:hAnsi="Times New Roman"/>
          <w:sz w:val="24"/>
          <w:szCs w:val="24"/>
        </w:rPr>
      </w:pPr>
    </w:p>
    <w:p w14:paraId="39317A1C" w14:textId="77777777" w:rsidR="002F0AF8" w:rsidRDefault="002F0AF8" w:rsidP="00F326E5">
      <w:pPr>
        <w:pStyle w:val="NoSpacing"/>
        <w:rPr>
          <w:rFonts w:ascii="Arial Black" w:hAnsi="Arial Black"/>
          <w:sz w:val="24"/>
          <w:szCs w:val="24"/>
        </w:rPr>
      </w:pPr>
    </w:p>
    <w:p w14:paraId="7175C004" w14:textId="1CA320E4" w:rsidR="004B129E" w:rsidRDefault="004B129E" w:rsidP="00F326E5">
      <w:pPr>
        <w:pStyle w:val="NoSpacing"/>
        <w:rPr>
          <w:rFonts w:ascii="Arial Black" w:hAnsi="Arial Black"/>
          <w:sz w:val="24"/>
          <w:szCs w:val="24"/>
        </w:rPr>
      </w:pPr>
      <w:r>
        <w:rPr>
          <w:rFonts w:ascii="Arial Black" w:hAnsi="Arial Black"/>
          <w:sz w:val="24"/>
          <w:szCs w:val="24"/>
        </w:rPr>
        <w:t>17-42</w:t>
      </w:r>
    </w:p>
    <w:p w14:paraId="5C6D292F" w14:textId="77777777" w:rsidR="001668D8" w:rsidRDefault="001668D8" w:rsidP="00F326E5">
      <w:pPr>
        <w:pStyle w:val="NoSpacing"/>
        <w:rPr>
          <w:rFonts w:ascii="Arial Black" w:hAnsi="Arial Black"/>
          <w:sz w:val="24"/>
          <w:szCs w:val="24"/>
        </w:rPr>
      </w:pPr>
    </w:p>
    <w:p w14:paraId="61968CB6" w14:textId="5F3677FD" w:rsidR="00D125A2" w:rsidRPr="007B3AE9" w:rsidRDefault="00D125A2" w:rsidP="00D125A2">
      <w:pPr>
        <w:rPr>
          <w:rFonts w:ascii="Times New Roman" w:hAnsi="Times New Roman"/>
          <w:b/>
          <w:bCs/>
          <w:sz w:val="24"/>
          <w:szCs w:val="24"/>
        </w:rPr>
      </w:pPr>
      <w:r w:rsidRPr="007B3AE9">
        <w:rPr>
          <w:rFonts w:ascii="Times New Roman" w:hAnsi="Times New Roman"/>
          <w:b/>
          <w:bCs/>
          <w:sz w:val="24"/>
          <w:szCs w:val="24"/>
        </w:rPr>
        <w:t>IA:  PSO PROGRAM (POLICE &amp; FIRE) - 8 CAREER FF LAYOFF –</w:t>
      </w:r>
      <w:r w:rsidR="007B3AE9" w:rsidRPr="007B3AE9">
        <w:rPr>
          <w:rFonts w:ascii="Times New Roman" w:hAnsi="Times New Roman"/>
          <w:b/>
          <w:bCs/>
          <w:sz w:val="24"/>
          <w:szCs w:val="24"/>
        </w:rPr>
        <w:t xml:space="preserve"> </w:t>
      </w:r>
      <w:r w:rsidRPr="007B3AE9">
        <w:rPr>
          <w:rFonts w:ascii="Times New Roman" w:hAnsi="Times New Roman"/>
          <w:b/>
          <w:bCs/>
          <w:sz w:val="24"/>
          <w:szCs w:val="24"/>
        </w:rPr>
        <w:t xml:space="preserve">UNION ANIMUS – </w:t>
      </w:r>
      <w:r w:rsidR="009073FB" w:rsidRPr="007B3AE9">
        <w:rPr>
          <w:rFonts w:ascii="Times New Roman" w:hAnsi="Times New Roman"/>
          <w:b/>
          <w:bCs/>
          <w:sz w:val="24"/>
          <w:szCs w:val="24"/>
        </w:rPr>
        <w:t xml:space="preserve">CASE REMANDED FOR </w:t>
      </w:r>
      <w:r w:rsidR="00951563" w:rsidRPr="007B3AE9">
        <w:rPr>
          <w:rFonts w:ascii="Times New Roman" w:hAnsi="Times New Roman"/>
          <w:b/>
          <w:bCs/>
          <w:sz w:val="24"/>
          <w:szCs w:val="24"/>
        </w:rPr>
        <w:t>UNION</w:t>
      </w:r>
      <w:r w:rsidR="007B3AE9" w:rsidRPr="007B3AE9">
        <w:rPr>
          <w:rFonts w:ascii="Times New Roman" w:hAnsi="Times New Roman"/>
          <w:b/>
          <w:bCs/>
          <w:sz w:val="24"/>
          <w:szCs w:val="24"/>
        </w:rPr>
        <w:t xml:space="preserve"> REMEDY</w:t>
      </w:r>
    </w:p>
    <w:p w14:paraId="2974B70E" w14:textId="67A11C9F" w:rsidR="001668D8" w:rsidRPr="00951563" w:rsidRDefault="00D125A2" w:rsidP="00D125A2">
      <w:pPr>
        <w:pStyle w:val="NoSpacing"/>
        <w:rPr>
          <w:rStyle w:val="Hyperlink"/>
          <w:rFonts w:ascii="Times New Roman" w:hAnsi="Times New Roman"/>
          <w:sz w:val="24"/>
          <w:szCs w:val="24"/>
        </w:rPr>
      </w:pPr>
      <w:r w:rsidRPr="00951563">
        <w:rPr>
          <w:rFonts w:ascii="Times New Roman" w:hAnsi="Times New Roman"/>
          <w:sz w:val="24"/>
          <w:szCs w:val="24"/>
        </w:rPr>
        <w:t xml:space="preserve">In Oct. 2, 2024, in </w:t>
      </w:r>
      <w:r w:rsidRPr="00951563">
        <w:rPr>
          <w:rFonts w:ascii="Times New Roman" w:hAnsi="Times New Roman"/>
          <w:sz w:val="24"/>
          <w:szCs w:val="24"/>
          <w:u w:val="single"/>
        </w:rPr>
        <w:t>International Association of Fire Fighters, Local 1366 v. City of Cedar Falls</w:t>
      </w:r>
      <w:r w:rsidRPr="00951563">
        <w:rPr>
          <w:rFonts w:ascii="Times New Roman" w:hAnsi="Times New Roman"/>
          <w:sz w:val="24"/>
          <w:szCs w:val="24"/>
        </w:rPr>
        <w:t xml:space="preserve">  </w:t>
      </w:r>
      <w:r w:rsidRPr="00951563">
        <w:rPr>
          <w:rFonts w:ascii="Times New Roman" w:hAnsi="Times New Roman"/>
          <w:sz w:val="24"/>
          <w:szCs w:val="24"/>
          <w:u w:val="single"/>
        </w:rPr>
        <w:t>and the Iowa Public Employment Relations Board</w:t>
      </w:r>
      <w:r w:rsidRPr="00951563">
        <w:rPr>
          <w:rFonts w:ascii="Times New Roman" w:hAnsi="Times New Roman"/>
          <w:sz w:val="24"/>
          <w:szCs w:val="24"/>
        </w:rPr>
        <w:t xml:space="preserve">, where the Court of Appeals of Iowa held: “The International Association of Firefighters, Local 1366 (the Union) filed a prohibited practice complaint against the City of Cedar Falls (the City) after its city council passed a resolution to fully transition to a public safety officer (PSO) program to provide traditional police officer and firefighter services. The passage of the resolution led to eight traditional firefighters represented by the Union being placed on administrative leave pending layoff. *** The agency found ‘overwhelming’ evidence of union animus by the </w:t>
      </w:r>
      <w:proofErr w:type="gramStart"/>
      <w:r w:rsidRPr="00951563">
        <w:rPr>
          <w:rFonts w:ascii="Times New Roman" w:hAnsi="Times New Roman"/>
          <w:sz w:val="24"/>
          <w:szCs w:val="24"/>
        </w:rPr>
        <w:t>City</w:t>
      </w:r>
      <w:proofErr w:type="gramEnd"/>
      <w:r w:rsidRPr="00951563">
        <w:rPr>
          <w:rFonts w:ascii="Times New Roman" w:hAnsi="Times New Roman"/>
          <w:sz w:val="24"/>
          <w:szCs w:val="24"/>
        </w:rPr>
        <w:t xml:space="preserve"> that led to its decision to ‘place the firefighters on administrative leave pending </w:t>
      </w:r>
      <w:proofErr w:type="gramStart"/>
      <w:r w:rsidRPr="00951563">
        <w:rPr>
          <w:rFonts w:ascii="Times New Roman" w:hAnsi="Times New Roman"/>
          <w:sz w:val="24"/>
          <w:szCs w:val="24"/>
        </w:rPr>
        <w:t>layoff’</w:t>
      </w:r>
      <w:proofErr w:type="gramEnd"/>
      <w:r w:rsidRPr="00951563">
        <w:rPr>
          <w:rFonts w:ascii="Times New Roman" w:hAnsi="Times New Roman"/>
          <w:sz w:val="24"/>
          <w:szCs w:val="24"/>
        </w:rPr>
        <w:t xml:space="preserve"> rendering it a prohibited practice. Yet the agency determined the City's decision to lay off the firefighters was not </w:t>
      </w:r>
      <w:proofErr w:type="gramStart"/>
      <w:r w:rsidRPr="00951563">
        <w:rPr>
          <w:rFonts w:ascii="Times New Roman" w:hAnsi="Times New Roman"/>
          <w:sz w:val="24"/>
          <w:szCs w:val="24"/>
        </w:rPr>
        <w:t>a prohibited</w:t>
      </w:r>
      <w:proofErr w:type="gramEnd"/>
      <w:r w:rsidRPr="00951563">
        <w:rPr>
          <w:rFonts w:ascii="Times New Roman" w:hAnsi="Times New Roman"/>
          <w:sz w:val="24"/>
          <w:szCs w:val="24"/>
        </w:rPr>
        <w:t xml:space="preserve"> practice. *** For the reasons set forth above, we hold the agency's decision in its remedy order to deny the Union firefighters' request for damages resulting from the layoff violated </w:t>
      </w:r>
      <w:hyperlink r:id="rId2870" w:history="1">
        <w:r w:rsidRPr="00951563">
          <w:rPr>
            <w:rStyle w:val="Hyperlink"/>
            <w:rFonts w:ascii="Times New Roman" w:hAnsi="Times New Roman"/>
            <w:sz w:val="24"/>
            <w:szCs w:val="24"/>
          </w:rPr>
          <w:t>Iowa Code section 17A.19(10)(i)</w:t>
        </w:r>
      </w:hyperlink>
      <w:r w:rsidRPr="00951563">
        <w:rPr>
          <w:rFonts w:ascii="Times New Roman" w:hAnsi="Times New Roman"/>
          <w:sz w:val="24"/>
          <w:szCs w:val="24"/>
        </w:rPr>
        <w:t xml:space="preserve">. Accordingly, we believe the district court correctly reversed the agency's decision in its remedy order.” </w:t>
      </w:r>
      <w:hyperlink r:id="rId2871" w:history="1">
        <w:r w:rsidRPr="00951563">
          <w:rPr>
            <w:rStyle w:val="Hyperlink"/>
            <w:rFonts w:ascii="Times New Roman" w:hAnsi="Times New Roman"/>
            <w:sz w:val="24"/>
            <w:szCs w:val="24"/>
          </w:rPr>
          <w:t>https://casetext.com/case/intl-assn-of-fire-fighters-local-1366-v-city-of-cedar-falls</w:t>
        </w:r>
      </w:hyperlink>
    </w:p>
    <w:p w14:paraId="56599B81" w14:textId="77777777" w:rsidR="00C115E0" w:rsidRPr="00951563" w:rsidRDefault="00C115E0" w:rsidP="00D125A2">
      <w:pPr>
        <w:pStyle w:val="NoSpacing"/>
        <w:rPr>
          <w:rStyle w:val="Hyperlink"/>
          <w:rFonts w:ascii="Times New Roman" w:hAnsi="Times New Roman"/>
          <w:sz w:val="24"/>
          <w:szCs w:val="24"/>
        </w:rPr>
      </w:pPr>
    </w:p>
    <w:p w14:paraId="62303956" w14:textId="77777777" w:rsidR="00C115E0" w:rsidRPr="00951563" w:rsidRDefault="00C115E0" w:rsidP="00C115E0">
      <w:pPr>
        <w:rPr>
          <w:rFonts w:ascii="Times New Roman" w:hAnsi="Times New Roman"/>
          <w:b/>
          <w:bCs/>
          <w:sz w:val="24"/>
          <w:szCs w:val="24"/>
        </w:rPr>
      </w:pPr>
      <w:r w:rsidRPr="00951563">
        <w:rPr>
          <w:rFonts w:ascii="Times New Roman" w:hAnsi="Times New Roman"/>
          <w:b/>
          <w:sz w:val="24"/>
          <w:szCs w:val="24"/>
        </w:rPr>
        <w:t xml:space="preserve">Legal Lesson Learned: The PERB must now consider an appropriate remedy for the union. </w:t>
      </w:r>
    </w:p>
    <w:p w14:paraId="5437226B" w14:textId="77777777" w:rsidR="00C115E0" w:rsidRDefault="00C115E0" w:rsidP="00D125A2">
      <w:pPr>
        <w:pStyle w:val="NoSpacing"/>
        <w:rPr>
          <w:rFonts w:ascii="Arial Black" w:hAnsi="Arial Black"/>
          <w:sz w:val="24"/>
          <w:szCs w:val="24"/>
        </w:rPr>
      </w:pPr>
    </w:p>
    <w:p w14:paraId="33F2A28A" w14:textId="77777777" w:rsidR="004B129E" w:rsidRDefault="004B129E" w:rsidP="00F326E5">
      <w:pPr>
        <w:pStyle w:val="NoSpacing"/>
        <w:rPr>
          <w:rFonts w:ascii="Arial Black" w:hAnsi="Arial Black"/>
          <w:sz w:val="24"/>
          <w:szCs w:val="24"/>
        </w:rPr>
      </w:pPr>
    </w:p>
    <w:p w14:paraId="5C2ADEC0" w14:textId="4D543E9B" w:rsidR="00F91F9F" w:rsidRDefault="00F51CB3" w:rsidP="00F326E5">
      <w:pPr>
        <w:pStyle w:val="NoSpacing"/>
        <w:rPr>
          <w:rFonts w:ascii="Arial Black" w:hAnsi="Arial Black"/>
          <w:sz w:val="24"/>
          <w:szCs w:val="24"/>
        </w:rPr>
      </w:pPr>
      <w:r>
        <w:rPr>
          <w:rFonts w:ascii="Arial Black" w:hAnsi="Arial Black"/>
          <w:sz w:val="24"/>
          <w:szCs w:val="24"/>
        </w:rPr>
        <w:t>17-41</w:t>
      </w:r>
    </w:p>
    <w:p w14:paraId="338A406B" w14:textId="77777777" w:rsidR="00F51CB3" w:rsidRPr="00FF5CD2" w:rsidRDefault="00F51CB3" w:rsidP="00F51CB3">
      <w:pPr>
        <w:pStyle w:val="NoSpacing"/>
        <w:rPr>
          <w:rFonts w:ascii="Arial Black" w:hAnsi="Arial Black"/>
          <w:b/>
          <w:bCs/>
          <w:sz w:val="28"/>
        </w:rPr>
      </w:pPr>
      <w:r>
        <w:rPr>
          <w:rFonts w:ascii="Arial Black" w:hAnsi="Arial Black"/>
          <w:b/>
          <w:bCs/>
          <w:sz w:val="28"/>
        </w:rPr>
        <w:t xml:space="preserve">OH: CLEVELAND MUST BARGAIN WITH UNION TO HIRE 20 PART-TIME MEDICS – NOT A MANAGEMENT RIGHT </w:t>
      </w:r>
    </w:p>
    <w:p w14:paraId="59D61FF0" w14:textId="77777777" w:rsidR="00F51CB3" w:rsidRDefault="00F51CB3" w:rsidP="00F51CB3">
      <w:pPr>
        <w:pStyle w:val="NoSpacing"/>
        <w:rPr>
          <w:b/>
          <w:bCs/>
          <w:szCs w:val="24"/>
        </w:rPr>
      </w:pPr>
    </w:p>
    <w:p w14:paraId="06941694" w14:textId="77777777" w:rsidR="00F51CB3" w:rsidRPr="00F51CB3" w:rsidRDefault="00F51CB3" w:rsidP="00F51CB3">
      <w:pPr>
        <w:rPr>
          <w:rFonts w:ascii="Times New Roman" w:hAnsi="Times New Roman"/>
          <w:b/>
          <w:bCs/>
          <w:sz w:val="24"/>
          <w:szCs w:val="24"/>
        </w:rPr>
      </w:pPr>
      <w:r w:rsidRPr="00F51CB3">
        <w:rPr>
          <w:rFonts w:ascii="Times New Roman" w:hAnsi="Times New Roman"/>
          <w:sz w:val="24"/>
          <w:szCs w:val="24"/>
        </w:rPr>
        <w:t xml:space="preserve">On August 8, 2024, in </w:t>
      </w:r>
      <w:r w:rsidRPr="00F51CB3">
        <w:rPr>
          <w:rFonts w:ascii="Times New Roman" w:hAnsi="Times New Roman"/>
          <w:sz w:val="24"/>
          <w:szCs w:val="24"/>
          <w:u w:val="single"/>
        </w:rPr>
        <w:t>City of Cleveland v. State Employment Relations Board, et al.</w:t>
      </w:r>
      <w:r w:rsidRPr="00F51CB3">
        <w:rPr>
          <w:rFonts w:ascii="Times New Roman" w:hAnsi="Times New Roman"/>
          <w:sz w:val="24"/>
          <w:szCs w:val="24"/>
        </w:rPr>
        <w:t xml:space="preserve">, the Court of Appeals of Ohio, Eight District (Cuyahoga County) held (3 to 0) that the city has no management right to hire part-time paramedics without bargaining with the Cleveland Association of Rescue Employees, I.L.A, Local 1975 ("CARE").  The city lost before SERB, lost before trial court, and lost on this appeal. The Court wrote: “The issue of whether an employer may reassign bargaining unit work to non-bargaining unit employees has long been held to require negotiation. Because of this, we cannot say the trial court abused its discretion by finding the City's refusal to bargain was not good-faith bargaining. Finally, we cannot say the trial court abused its discretion by finding that the City's actions in approving part-time paramedic positions, posting those positions, accepting applications, and not rescinding its plan made the issue ripe for review by SERB.” </w:t>
      </w:r>
      <w:hyperlink r:id="rId2872" w:history="1">
        <w:r w:rsidRPr="00F51CB3">
          <w:rPr>
            <w:rStyle w:val="Hyperlink"/>
            <w:rFonts w:ascii="Times New Roman" w:hAnsi="Times New Roman"/>
            <w:sz w:val="24"/>
            <w:szCs w:val="24"/>
          </w:rPr>
          <w:t>https://www.supremecourt.ohio.gov/rod/docs/pdf/8/2024/2024-Ohio-3018.pdf</w:t>
        </w:r>
      </w:hyperlink>
      <w:r w:rsidRPr="00F51CB3">
        <w:rPr>
          <w:rFonts w:ascii="Times New Roman" w:hAnsi="Times New Roman"/>
          <w:b/>
          <w:bCs/>
          <w:sz w:val="24"/>
          <w:szCs w:val="24"/>
        </w:rPr>
        <w:t xml:space="preserve"> </w:t>
      </w:r>
    </w:p>
    <w:p w14:paraId="7A32DDD1" w14:textId="77777777" w:rsidR="00F51CB3" w:rsidRPr="00F51CB3" w:rsidRDefault="00F51CB3" w:rsidP="00F51CB3">
      <w:pPr>
        <w:pStyle w:val="NoSpacing"/>
        <w:rPr>
          <w:rFonts w:ascii="Times New Roman" w:hAnsi="Times New Roman"/>
          <w:sz w:val="24"/>
          <w:szCs w:val="24"/>
        </w:rPr>
      </w:pPr>
      <w:r w:rsidRPr="00F51CB3">
        <w:rPr>
          <w:rFonts w:ascii="Times New Roman" w:hAnsi="Times New Roman"/>
          <w:sz w:val="24"/>
          <w:szCs w:val="24"/>
        </w:rPr>
        <w:t xml:space="preserve">THE COURT HELD: </w:t>
      </w:r>
    </w:p>
    <w:p w14:paraId="0C7481A8" w14:textId="77777777" w:rsidR="00F51CB3" w:rsidRPr="00F51CB3" w:rsidRDefault="00F51CB3" w:rsidP="00F51CB3">
      <w:pPr>
        <w:pStyle w:val="NoSpacing"/>
        <w:rPr>
          <w:rFonts w:ascii="Times New Roman" w:hAnsi="Times New Roman"/>
          <w:sz w:val="24"/>
          <w:szCs w:val="24"/>
        </w:rPr>
      </w:pPr>
    </w:p>
    <w:p w14:paraId="6C9EBEB4" w14:textId="77777777" w:rsidR="00F51CB3" w:rsidRPr="00F51CB3" w:rsidRDefault="00F51CB3" w:rsidP="00F51CB3">
      <w:pPr>
        <w:pStyle w:val="NoSpacing"/>
        <w:ind w:left="720"/>
        <w:rPr>
          <w:rFonts w:ascii="Times New Roman" w:hAnsi="Times New Roman"/>
          <w:sz w:val="24"/>
          <w:szCs w:val="24"/>
        </w:rPr>
      </w:pPr>
      <w:r w:rsidRPr="00F51CB3">
        <w:rPr>
          <w:rFonts w:ascii="Times New Roman" w:hAnsi="Times New Roman"/>
          <w:sz w:val="24"/>
          <w:szCs w:val="24"/>
        </w:rPr>
        <w:t>“In order for the City to have the ability to reassign work to non-bargaining unit members</w:t>
      </w:r>
      <w:r w:rsidRPr="00F51CB3">
        <w:rPr>
          <w:rFonts w:ascii="Times New Roman" w:hAnsi="Times New Roman"/>
          <w:b/>
          <w:bCs/>
          <w:sz w:val="24"/>
          <w:szCs w:val="24"/>
        </w:rPr>
        <w:t xml:space="preserve"> without</w:t>
      </w:r>
      <w:r w:rsidRPr="00F51CB3">
        <w:rPr>
          <w:rFonts w:ascii="Times New Roman" w:hAnsi="Times New Roman"/>
          <w:sz w:val="24"/>
          <w:szCs w:val="24"/>
        </w:rPr>
        <w:t xml:space="preserve"> negotiating with CARE, there must be a reservation of that right in the CBA or a specific waiver of such right in the CBA. *** </w:t>
      </w:r>
      <w:proofErr w:type="gramStart"/>
      <w:r w:rsidRPr="00F51CB3">
        <w:rPr>
          <w:rFonts w:ascii="Times New Roman" w:hAnsi="Times New Roman"/>
          <w:sz w:val="24"/>
          <w:szCs w:val="24"/>
        </w:rPr>
        <w:t>In order to</w:t>
      </w:r>
      <w:proofErr w:type="gramEnd"/>
      <w:r w:rsidRPr="00F51CB3">
        <w:rPr>
          <w:rFonts w:ascii="Times New Roman" w:hAnsi="Times New Roman"/>
          <w:sz w:val="24"/>
          <w:szCs w:val="24"/>
        </w:rPr>
        <w:t xml:space="preserve"> unilaterally reassign bargaining unit work, the </w:t>
      </w:r>
      <w:proofErr w:type="gramStart"/>
      <w:r w:rsidRPr="00F51CB3">
        <w:rPr>
          <w:rFonts w:ascii="Times New Roman" w:hAnsi="Times New Roman"/>
          <w:sz w:val="24"/>
          <w:szCs w:val="24"/>
        </w:rPr>
        <w:t>City</w:t>
      </w:r>
      <w:proofErr w:type="gramEnd"/>
      <w:r w:rsidRPr="00F51CB3">
        <w:rPr>
          <w:rFonts w:ascii="Times New Roman" w:hAnsi="Times New Roman"/>
          <w:sz w:val="24"/>
          <w:szCs w:val="24"/>
        </w:rPr>
        <w:t xml:space="preserve"> would have to point to a specific waiver by CARE in the CBA. The CBA does provide a waiver on CARE's part as to ‘the exercise of any rights reserved to and retained by it pursuant to either Section 4117.08(C) of the Revised Code or pursuant to this Article of this Agreement.’ The ability to reassign work does not appear in the list of reserved rights under Article 3(</w:t>
      </w:r>
      <w:proofErr w:type="gramStart"/>
      <w:r w:rsidRPr="00F51CB3">
        <w:rPr>
          <w:rFonts w:ascii="Times New Roman" w:hAnsi="Times New Roman"/>
          <w:sz w:val="24"/>
          <w:szCs w:val="24"/>
        </w:rPr>
        <w:t>A)-</w:t>
      </w:r>
      <w:proofErr w:type="gramEnd"/>
      <w:r w:rsidRPr="00F51CB3">
        <w:rPr>
          <w:rFonts w:ascii="Times New Roman" w:hAnsi="Times New Roman"/>
          <w:sz w:val="24"/>
          <w:szCs w:val="24"/>
        </w:rPr>
        <w:t xml:space="preserve">(K), nor does such appear in R.C. 4117.08(C). Further, R.C. 4117.08(C) specifically requires that a public employer negotiate issues that ‘affect wages, hours, terms and conditions of employment, and the continuation, modification, or deletion of an existing provision of a collective bargaining </w:t>
      </w:r>
      <w:proofErr w:type="gramStart"/>
      <w:r w:rsidRPr="00F51CB3">
        <w:rPr>
          <w:rFonts w:ascii="Times New Roman" w:hAnsi="Times New Roman"/>
          <w:sz w:val="24"/>
          <w:szCs w:val="24"/>
        </w:rPr>
        <w:t>agreement..</w:t>
      </w:r>
      <w:proofErr w:type="gramEnd"/>
      <w:r w:rsidRPr="00F51CB3">
        <w:rPr>
          <w:rFonts w:ascii="Times New Roman" w:hAnsi="Times New Roman"/>
          <w:sz w:val="24"/>
          <w:szCs w:val="24"/>
        </w:rPr>
        <w:t>’”</w:t>
      </w:r>
    </w:p>
    <w:p w14:paraId="2106F3D5" w14:textId="77777777" w:rsidR="00F51CB3" w:rsidRPr="00F51CB3" w:rsidRDefault="00F51CB3" w:rsidP="00F51CB3">
      <w:pPr>
        <w:pStyle w:val="NoSpacing"/>
        <w:rPr>
          <w:rFonts w:ascii="Times New Roman" w:hAnsi="Times New Roman"/>
          <w:sz w:val="24"/>
          <w:szCs w:val="24"/>
        </w:rPr>
      </w:pPr>
    </w:p>
    <w:p w14:paraId="064D23AE" w14:textId="77777777" w:rsidR="00F51CB3" w:rsidRDefault="00F51CB3" w:rsidP="00F51CB3">
      <w:pPr>
        <w:jc w:val="center"/>
        <w:rPr>
          <w:b/>
          <w:bCs/>
          <w:szCs w:val="24"/>
        </w:rPr>
      </w:pPr>
    </w:p>
    <w:p w14:paraId="3970B2DB" w14:textId="77777777" w:rsidR="00F51CB3" w:rsidRDefault="00F51CB3" w:rsidP="00F326E5">
      <w:pPr>
        <w:pStyle w:val="NoSpacing"/>
        <w:rPr>
          <w:rFonts w:ascii="Arial Black" w:hAnsi="Arial Black"/>
          <w:sz w:val="24"/>
          <w:szCs w:val="24"/>
        </w:rPr>
      </w:pPr>
    </w:p>
    <w:p w14:paraId="3416F17B" w14:textId="77777777" w:rsidR="00F51CB3" w:rsidRDefault="00F51CB3" w:rsidP="00F326E5">
      <w:pPr>
        <w:pStyle w:val="NoSpacing"/>
        <w:rPr>
          <w:rFonts w:ascii="Arial Black" w:hAnsi="Arial Black"/>
          <w:sz w:val="24"/>
          <w:szCs w:val="24"/>
        </w:rPr>
      </w:pPr>
    </w:p>
    <w:p w14:paraId="3F29C6D6" w14:textId="77777777" w:rsidR="00F51CB3" w:rsidRDefault="00F51CB3" w:rsidP="00F326E5">
      <w:pPr>
        <w:pStyle w:val="NoSpacing"/>
        <w:rPr>
          <w:rFonts w:ascii="Arial Black" w:hAnsi="Arial Black"/>
          <w:sz w:val="24"/>
          <w:szCs w:val="24"/>
        </w:rPr>
      </w:pPr>
    </w:p>
    <w:p w14:paraId="51FEF0FA" w14:textId="6F3AD5D2" w:rsidR="006428AD" w:rsidRDefault="006428AD" w:rsidP="00F326E5">
      <w:pPr>
        <w:pStyle w:val="NoSpacing"/>
        <w:rPr>
          <w:rFonts w:ascii="Arial Black" w:hAnsi="Arial Black"/>
          <w:sz w:val="24"/>
          <w:szCs w:val="24"/>
        </w:rPr>
      </w:pPr>
      <w:r>
        <w:rPr>
          <w:rFonts w:ascii="Arial Black" w:hAnsi="Arial Black"/>
          <w:sz w:val="24"/>
          <w:szCs w:val="24"/>
        </w:rPr>
        <w:t>17-40</w:t>
      </w:r>
    </w:p>
    <w:p w14:paraId="17F89F76" w14:textId="77777777" w:rsidR="006068BE" w:rsidRDefault="006068BE" w:rsidP="006068BE">
      <w:pPr>
        <w:pStyle w:val="NormalWeb"/>
        <w:rPr>
          <w:rFonts w:ascii="Arial Black" w:hAnsi="Arial Black"/>
          <w:sz w:val="28"/>
          <w:szCs w:val="28"/>
        </w:rPr>
      </w:pPr>
      <w:r>
        <w:rPr>
          <w:rFonts w:ascii="Arial Black" w:hAnsi="Arial Black"/>
          <w:sz w:val="28"/>
          <w:szCs w:val="28"/>
        </w:rPr>
        <w:t>TX: IAFF UNION PRES. FIRED – FOR NOT DISCLOSING PRIOR AUSTIN FD JOB – “BALANCING TEST” – CASE PROCEED</w:t>
      </w:r>
    </w:p>
    <w:p w14:paraId="380A1F59" w14:textId="77777777" w:rsidR="006068BE" w:rsidRDefault="006068BE" w:rsidP="006068BE">
      <w:pPr>
        <w:pStyle w:val="NormalWeb"/>
      </w:pPr>
      <w:r>
        <w:t xml:space="preserve">On May 3, 2024, in </w:t>
      </w:r>
      <w:r w:rsidRPr="009F2444">
        <w:rPr>
          <w:u w:val="single"/>
        </w:rPr>
        <w:t>Michael Teague v. Travis County Emergency Services District 8 and Troy Wenzel</w:t>
      </w:r>
      <w:r>
        <w:t xml:space="preserve">, United State Magistrate Judge Susan Hightower issued a Report and Recommendation the U.S. District Court deny the defendants’ motion to dismiss.  Teague was hired as firefighter in Oct. 2020, and elected President of Local 4820 in Oct. 2022, and served as President until fired in </w:t>
      </w:r>
      <w:proofErr w:type="gramStart"/>
      <w:r>
        <w:t>March,</w:t>
      </w:r>
      <w:proofErr w:type="gramEnd"/>
      <w:r>
        <w:t xml:space="preserve"> 2023. Teague alleges ESD 8 stated in a March 20, </w:t>
      </w:r>
      <w:proofErr w:type="gramStart"/>
      <w:r>
        <w:t>2023</w:t>
      </w:r>
      <w:proofErr w:type="gramEnd"/>
      <w:r>
        <w:t xml:space="preserve"> letter that his employment was terminated because he “falsified” his job application by failing to list his employment with the Austin Fire Department. The Magistrate Judge wrote:  </w:t>
      </w:r>
    </w:p>
    <w:p w14:paraId="77617CFC" w14:textId="77777777" w:rsidR="006068BE" w:rsidRDefault="006068BE" w:rsidP="006068BE">
      <w:pPr>
        <w:pStyle w:val="NormalWeb"/>
        <w:ind w:left="720"/>
      </w:pPr>
      <w:r>
        <w:t xml:space="preserve">“Teague alleges that in his role as Local 4820 President, he repeatedly spoke up about matters of public concern affecting ESD 8 fire fighters in public settings from October 2022 through March 2023. </w:t>
      </w:r>
      <w:proofErr w:type="spellStart"/>
      <w:r>
        <w:t>Dkt</w:t>
      </w:r>
      <w:proofErr w:type="spellEnd"/>
      <w:r>
        <w:t xml:space="preserve">. 10 ¶ 26. He that Defendants were aware of his association with the union and his speech activities. </w:t>
      </w:r>
      <w:r>
        <w:rPr>
          <w:rStyle w:val="Emphasis"/>
          <w:rFonts w:eastAsiaTheme="majorEastAsia"/>
        </w:rPr>
        <w:t>Id.</w:t>
      </w:r>
      <w:r>
        <w:t xml:space="preserve"> ¶ 58. Teague also alleges that he was retaliated against and ultimately terminated for engaging in such speech. </w:t>
      </w:r>
      <w:r>
        <w:rPr>
          <w:rStyle w:val="Emphasis"/>
          <w:rFonts w:eastAsiaTheme="majorEastAsia"/>
        </w:rPr>
        <w:t>Id.</w:t>
      </w:r>
      <w:r>
        <w:t xml:space="preserve"> ¶¶ 34, 36. The Court finds that Teague's allegations and the close timing between his speech activities and his termination are sufficient to show a causal connection at this stage of the proceedings. </w:t>
      </w:r>
      <w:r>
        <w:rPr>
          <w:rStyle w:val="Emphasis"/>
          <w:rFonts w:eastAsiaTheme="majorEastAsia"/>
        </w:rPr>
        <w:t>See Benfield v. Magee</w:t>
      </w:r>
      <w:r>
        <w:t xml:space="preserve">, 945 F.3d 333, 337 (5th Cir. 2019) (‘Close timing between an employee's protected activity and an adverse action against him may provide the causal connection required to make out a prima facie retaliation case.’); </w:t>
      </w:r>
      <w:r>
        <w:rPr>
          <w:rStyle w:val="Emphasis"/>
          <w:rFonts w:eastAsiaTheme="majorEastAsia"/>
        </w:rPr>
        <w:t>Burnside,</w:t>
      </w:r>
      <w:r>
        <w:t xml:space="preserve"> 773 F.3d at 628 (allegations that employee was transferred three weeks after engaging in speech activities were sufficient to allow a plausible inference of a causal connection); </w:t>
      </w:r>
      <w:r>
        <w:rPr>
          <w:rStyle w:val="Emphasis"/>
          <w:rFonts w:eastAsiaTheme="majorEastAsia"/>
        </w:rPr>
        <w:t>Evans v. City of Houston</w:t>
      </w:r>
      <w:r>
        <w:t xml:space="preserve">, 246 F.3d 344, 354 (5th Cir. 2001) (noting that ‘a time lapse of up to four months has been found sufficient to satisfy the causal connection). </w:t>
      </w:r>
    </w:p>
    <w:p w14:paraId="7204BFB6" w14:textId="77777777" w:rsidR="006068BE" w:rsidRDefault="006068BE" w:rsidP="006068BE">
      <w:pPr>
        <w:pStyle w:val="NormalWeb"/>
        <w:ind w:left="720"/>
      </w:pPr>
      <w:r>
        <w:t xml:space="preserve">The Court finds that Teague has alleged sufficient facts to state a plausible </w:t>
      </w:r>
      <w:r>
        <w:rPr>
          <w:rStyle w:val="Emphasis"/>
          <w:rFonts w:eastAsiaTheme="majorEastAsia"/>
        </w:rPr>
        <w:t>prima facie</w:t>
      </w:r>
      <w:r>
        <w:t xml:space="preserve"> case of First Amendment free speech/petition retaliation.” </w:t>
      </w:r>
      <w:hyperlink r:id="rId2873" w:history="1">
        <w:r w:rsidRPr="00FA0156">
          <w:rPr>
            <w:rStyle w:val="Hyperlink"/>
          </w:rPr>
          <w:t>https://casetext.com/case/teague-v-travis-cnty-emergency-servs-dist</w:t>
        </w:r>
      </w:hyperlink>
      <w:r>
        <w:t xml:space="preserve"> </w:t>
      </w:r>
    </w:p>
    <w:p w14:paraId="2582AEDA" w14:textId="77777777" w:rsidR="0085092C" w:rsidRPr="000743CA" w:rsidRDefault="0085092C" w:rsidP="0085092C">
      <w:pPr>
        <w:pStyle w:val="NormalWeb"/>
        <w:rPr>
          <w:b/>
          <w:bCs/>
        </w:rPr>
      </w:pPr>
      <w:r>
        <w:rPr>
          <w:b/>
          <w:bCs/>
        </w:rPr>
        <w:t xml:space="preserve">Legal Lesson Learned:  The lawsuit will now proceed with pre-trial discovery/ </w:t>
      </w:r>
    </w:p>
    <w:p w14:paraId="217AAC93" w14:textId="77777777" w:rsidR="0085092C" w:rsidRDefault="0085092C" w:rsidP="0085092C">
      <w:pPr>
        <w:pStyle w:val="NormalWeb"/>
        <w:spacing w:before="0" w:beforeAutospacing="0"/>
        <w:ind w:left="720"/>
        <w:rPr>
          <w:b/>
          <w:bCs/>
          <w:color w:val="454545"/>
          <w:shd w:val="clear" w:color="auto" w:fill="FFFFFF"/>
        </w:rPr>
      </w:pPr>
      <w:r w:rsidRPr="00E43324">
        <w:rPr>
          <w:color w:val="454545"/>
          <w:shd w:val="clear" w:color="auto" w:fill="FFFFFF"/>
        </w:rPr>
        <w:t>Note:</w:t>
      </w:r>
      <w:r>
        <w:rPr>
          <w:b/>
          <w:bCs/>
          <w:color w:val="454545"/>
          <w:shd w:val="clear" w:color="auto" w:fill="FFFFFF"/>
        </w:rPr>
        <w:t xml:space="preserve"> </w:t>
      </w:r>
      <w:r w:rsidRPr="00E43324">
        <w:rPr>
          <w:color w:val="454545"/>
          <w:shd w:val="clear" w:color="auto" w:fill="FFFFFF"/>
        </w:rPr>
        <w:t>The Magistrate discussed the “balancing test.</w:t>
      </w:r>
      <w:r>
        <w:rPr>
          <w:color w:val="454545"/>
          <w:shd w:val="clear" w:color="auto" w:fill="FFFFFF"/>
        </w:rPr>
        <w:t>”</w:t>
      </w:r>
      <w:r>
        <w:rPr>
          <w:b/>
          <w:bCs/>
          <w:color w:val="454545"/>
          <w:shd w:val="clear" w:color="auto" w:fill="FFFFFF"/>
        </w:rPr>
        <w:t xml:space="preserve">  </w:t>
      </w:r>
    </w:p>
    <w:p w14:paraId="7A3B52E6" w14:textId="77777777" w:rsidR="0085092C" w:rsidRDefault="0085092C" w:rsidP="0085092C">
      <w:pPr>
        <w:pStyle w:val="NormalWeb"/>
        <w:spacing w:before="0" w:beforeAutospacing="0"/>
        <w:ind w:left="1440"/>
      </w:pPr>
      <w:r>
        <w:lastRenderedPageBreak/>
        <w:t xml:space="preserve">“In </w:t>
      </w:r>
      <w:r>
        <w:rPr>
          <w:rStyle w:val="Emphasis"/>
          <w:rFonts w:eastAsiaTheme="majorEastAsia"/>
        </w:rPr>
        <w:t>Pickering v. Bd. of Ed. of Twp. High Sch. Dist. 205, Will Cnty.</w:t>
      </w:r>
      <w:r>
        <w:t xml:space="preserve">, 391 U.S. 563 (1968), the Court laid the framework for analyzing ‘whether the employee's interest or the government's interest should prevail in cases where the government seeks to curtail the speech of its employees.’ </w:t>
      </w:r>
      <w:r>
        <w:rPr>
          <w:rStyle w:val="Emphasis"/>
          <w:rFonts w:eastAsiaTheme="majorEastAsia"/>
        </w:rPr>
        <w:t>Lane</w:t>
      </w:r>
      <w:r>
        <w:t>, 573 U.S. at 236. This balancing test requires’“</w:t>
      </w:r>
      <w:proofErr w:type="spellStart"/>
      <w:r>
        <w:t>balanc</w:t>
      </w:r>
      <w:proofErr w:type="spellEnd"/>
      <w:r>
        <w:t>[</w:t>
      </w:r>
      <w:proofErr w:type="spellStart"/>
      <w:r>
        <w:t>ing</w:t>
      </w:r>
      <w:proofErr w:type="spellEnd"/>
      <w:r>
        <w:t xml:space="preserve">] . . . the interests of the [public employee], as a citizen, in commenting upon matters of public concern and the interest of the State, as an employer, in promoting the efficiency of the public services it performs through its employees.’ </w:t>
      </w:r>
      <w:r>
        <w:rPr>
          <w:rStyle w:val="Emphasis"/>
          <w:rFonts w:eastAsiaTheme="majorEastAsia"/>
        </w:rPr>
        <w:t>Pickering</w:t>
      </w:r>
      <w:r>
        <w:t>, 391 U.S. at 568. This is known as the “</w:t>
      </w:r>
      <w:r>
        <w:rPr>
          <w:rStyle w:val="Emphasis"/>
          <w:rFonts w:eastAsiaTheme="majorEastAsia"/>
        </w:rPr>
        <w:t>Pickering</w:t>
      </w:r>
      <w:r>
        <w:t xml:space="preserve"> balancing test.” </w:t>
      </w:r>
      <w:r>
        <w:rPr>
          <w:rStyle w:val="Emphasis"/>
          <w:rFonts w:eastAsiaTheme="majorEastAsia"/>
        </w:rPr>
        <w:t xml:space="preserve">Bd. of </w:t>
      </w:r>
      <w:proofErr w:type="spellStart"/>
      <w:r>
        <w:rPr>
          <w:rStyle w:val="Emphasis"/>
          <w:rFonts w:eastAsiaTheme="majorEastAsia"/>
        </w:rPr>
        <w:t>Cnty</w:t>
      </w:r>
      <w:proofErr w:type="spellEnd"/>
      <w:r>
        <w:rPr>
          <w:rStyle w:val="Emphasis"/>
          <w:rFonts w:eastAsiaTheme="majorEastAsia"/>
        </w:rPr>
        <w:t xml:space="preserve">. Comm'rs, Wabaunsee </w:t>
      </w:r>
      <w:proofErr w:type="spellStart"/>
      <w:r>
        <w:rPr>
          <w:rStyle w:val="Emphasis"/>
          <w:rFonts w:eastAsiaTheme="majorEastAsia"/>
        </w:rPr>
        <w:t>Cnty</w:t>
      </w:r>
      <w:proofErr w:type="spellEnd"/>
      <w:r>
        <w:rPr>
          <w:rStyle w:val="Emphasis"/>
          <w:rFonts w:eastAsiaTheme="majorEastAsia"/>
        </w:rPr>
        <w:t>., Kan. v. Umbehr</w:t>
      </w:r>
      <w:r>
        <w:t xml:space="preserve">, 518 U.S. 668, 668 (1996). In </w:t>
      </w:r>
      <w:r>
        <w:rPr>
          <w:rStyle w:val="Emphasis"/>
          <w:rFonts w:eastAsiaTheme="majorEastAsia"/>
        </w:rPr>
        <w:t>Pickering</w:t>
      </w:r>
      <w:r>
        <w:t xml:space="preserve">, the Court struck the balance in favor of the public employee, extending First Amendment protection to a teacher who was fired after writing a letter to the editor of a local newspaper criticizing the school board that employed him. </w:t>
      </w:r>
      <w:r>
        <w:rPr>
          <w:rStyle w:val="Emphasis"/>
          <w:rFonts w:eastAsiaTheme="majorEastAsia"/>
        </w:rPr>
        <w:t>Id.</w:t>
      </w:r>
      <w:r>
        <w:t xml:space="preserve"> at 573.”</w:t>
      </w:r>
    </w:p>
    <w:p w14:paraId="1163C8BE" w14:textId="77777777" w:rsidR="006428AD" w:rsidRDefault="006428AD" w:rsidP="00F326E5">
      <w:pPr>
        <w:pStyle w:val="NoSpacing"/>
        <w:rPr>
          <w:rFonts w:ascii="Arial Black" w:hAnsi="Arial Black"/>
          <w:sz w:val="24"/>
          <w:szCs w:val="24"/>
        </w:rPr>
      </w:pPr>
    </w:p>
    <w:p w14:paraId="1D45BDF5" w14:textId="77777777" w:rsidR="006428AD" w:rsidRDefault="006428AD" w:rsidP="00F326E5">
      <w:pPr>
        <w:pStyle w:val="NoSpacing"/>
        <w:rPr>
          <w:rFonts w:ascii="Arial Black" w:hAnsi="Arial Black"/>
          <w:sz w:val="24"/>
          <w:szCs w:val="24"/>
        </w:rPr>
      </w:pPr>
    </w:p>
    <w:p w14:paraId="4C5F040B" w14:textId="3C6F84C8" w:rsidR="00F91F9F" w:rsidRDefault="00026281" w:rsidP="00F326E5">
      <w:pPr>
        <w:pStyle w:val="NoSpacing"/>
        <w:rPr>
          <w:rFonts w:ascii="Arial Black" w:hAnsi="Arial Black"/>
          <w:sz w:val="24"/>
          <w:szCs w:val="24"/>
        </w:rPr>
      </w:pPr>
      <w:r>
        <w:rPr>
          <w:rFonts w:ascii="Arial Black" w:hAnsi="Arial Black"/>
          <w:sz w:val="24"/>
          <w:szCs w:val="24"/>
        </w:rPr>
        <w:t>17-39</w:t>
      </w:r>
    </w:p>
    <w:p w14:paraId="3D0A1195" w14:textId="77777777" w:rsidR="00026281" w:rsidRDefault="00026281" w:rsidP="00F326E5">
      <w:pPr>
        <w:pStyle w:val="NoSpacing"/>
        <w:rPr>
          <w:rFonts w:ascii="Arial Black" w:hAnsi="Arial Black"/>
          <w:sz w:val="24"/>
          <w:szCs w:val="24"/>
        </w:rPr>
      </w:pPr>
    </w:p>
    <w:p w14:paraId="552A4CFA" w14:textId="77777777" w:rsidR="00026281" w:rsidRDefault="00026281" w:rsidP="00026281">
      <w:pPr>
        <w:pStyle w:val="NormalWeb"/>
        <w:spacing w:before="0" w:beforeAutospacing="0"/>
        <w:rPr>
          <w:rFonts w:ascii="Arial Black" w:hAnsi="Arial Black"/>
          <w:sz w:val="28"/>
          <w:szCs w:val="28"/>
        </w:rPr>
      </w:pPr>
      <w:r>
        <w:rPr>
          <w:rFonts w:ascii="Arial Black" w:hAnsi="Arial Black"/>
          <w:sz w:val="28"/>
          <w:szCs w:val="28"/>
        </w:rPr>
        <w:t>OH: CITY ELIMINATED 3 BC – ORDERED TO REINSTATE - GRIEVANCE DELAY – ARBITRATOR DECIDE IF FILED TIMELY</w:t>
      </w:r>
    </w:p>
    <w:p w14:paraId="52D7F234" w14:textId="77777777" w:rsidR="00026281" w:rsidRDefault="00026281" w:rsidP="00026281">
      <w:pPr>
        <w:pStyle w:val="NormalWeb"/>
        <w:spacing w:before="0" w:beforeAutospacing="0"/>
      </w:pPr>
      <w:r>
        <w:t xml:space="preserve">On March 13, 2024, in </w:t>
      </w:r>
      <w:r w:rsidRPr="00BC4EF0">
        <w:rPr>
          <w:u w:val="single"/>
        </w:rPr>
        <w:t>Youngstown Professional Firefighters, IAFF Local 312 v. City of Youngstown</w:t>
      </w:r>
      <w:r>
        <w:t xml:space="preserve">, the Ohio Court of Appeals for Seventh District held (3 to 0) that City cannot refuse to arbitrate because they believe the Grievance was not filed within 14-days; the union says it is a continuing violation of CBA, and the arbitrator can decide this procedural issue.  The parties have been in litigation for five years over Battalion Chief positions.  In September 2019 the City decided to eliminate three Battalion Chief positions through attrition, and union filed charges with State Employment Relations Board that this was in retaliation for union pushing city to upgrade their radios.  The Board ordered City to reinstate those three positions, and in Dec. 2021, the Court of Appeals for the Seventh District agreed with the union and the Board. Two Captains have since been promoted to Battalion Chief (March 2022 and February 2023), but third Battalion Chief position has never been filed since 2021 retirement of Chief Caggiano.  </w:t>
      </w:r>
    </w:p>
    <w:p w14:paraId="60637A20" w14:textId="77777777" w:rsidR="004305B6" w:rsidRPr="004C0299" w:rsidRDefault="004305B6" w:rsidP="004305B6">
      <w:pPr>
        <w:pStyle w:val="NoSpacing"/>
        <w:rPr>
          <w:rFonts w:ascii="Times New Roman" w:hAnsi="Times New Roman"/>
          <w:sz w:val="24"/>
          <w:szCs w:val="24"/>
        </w:rPr>
      </w:pPr>
      <w:r>
        <w:rPr>
          <w:rFonts w:ascii="Times New Roman" w:hAnsi="Times New Roman"/>
          <w:sz w:val="24"/>
          <w:szCs w:val="24"/>
          <w:shd w:val="clear" w:color="auto" w:fill="FFFFFF"/>
        </w:rPr>
        <w:t>THE COURT HELD:</w:t>
      </w:r>
    </w:p>
    <w:p w14:paraId="36D0B057" w14:textId="77777777" w:rsidR="004D2264" w:rsidRDefault="004D2264" w:rsidP="00026281">
      <w:pPr>
        <w:pStyle w:val="NormalWeb"/>
        <w:spacing w:before="0" w:beforeAutospacing="0"/>
        <w:ind w:left="720"/>
      </w:pPr>
    </w:p>
    <w:p w14:paraId="4173977F" w14:textId="030A2240" w:rsidR="00026281" w:rsidRDefault="00026281" w:rsidP="00026281">
      <w:pPr>
        <w:pStyle w:val="NormalWeb"/>
        <w:spacing w:before="0" w:beforeAutospacing="0"/>
        <w:ind w:left="720"/>
      </w:pPr>
      <w:r>
        <w:t>“The grievance at issue in this appeal, Grievance 22-007, asserts ‘the City's refusal to reinstate Battalion Chief positions, violating a [State Employment Relations Board Unfair Labor Practice] decision and other court rulings, has resulted in violations of the CBA, safety concerns and compensation denied to our members since December 2019. (Grievance 22-007, p. 1.) The grievance further asserts the City has ‘yet to acknowledge another vacancy in the rank of Battalion Chief created on 6/5/2021 by the retirement of [Battalion Chief] Sil Caggiano.’</w:t>
      </w:r>
    </w:p>
    <w:p w14:paraId="0A87BE7A" w14:textId="77777777" w:rsidR="00026281" w:rsidRDefault="00026281" w:rsidP="00026281">
      <w:pPr>
        <w:pStyle w:val="NormalWeb"/>
        <w:spacing w:before="0" w:beforeAutospacing="0"/>
        <w:ind w:left="720"/>
      </w:pPr>
      <w:r>
        <w:t>***</w:t>
      </w:r>
    </w:p>
    <w:p w14:paraId="14A311E9" w14:textId="77777777" w:rsidR="00026281" w:rsidRDefault="00026281" w:rsidP="00026281">
      <w:pPr>
        <w:pStyle w:val="NormalWeb"/>
        <w:spacing w:before="0" w:beforeAutospacing="0"/>
        <w:ind w:left="720"/>
      </w:pPr>
      <w:r>
        <w:t xml:space="preserve">For the foregoing reasons, we find the timeliness of </w:t>
      </w:r>
      <w:proofErr w:type="gramStart"/>
      <w:r>
        <w:t>the grievance</w:t>
      </w:r>
      <w:proofErr w:type="gramEnd"/>
      <w:r>
        <w:t xml:space="preserve"> is a procedural issue, which requires an interpretation of the CBA, and must be determined by the arbitrator. </w:t>
      </w:r>
      <w:proofErr w:type="gramStart"/>
      <w:r>
        <w:t>As a consequence</w:t>
      </w:r>
      <w:proofErr w:type="gramEnd"/>
      <w:r>
        <w:t xml:space="preserve">, the City's assignments of error have no merit and the judgment entry of the trial court sustaining the complaint to compel arbitration is affirmed.” </w:t>
      </w:r>
      <w:hyperlink r:id="rId2874" w:history="1">
        <w:r w:rsidRPr="00AA5DF9">
          <w:rPr>
            <w:rStyle w:val="Hyperlink"/>
          </w:rPr>
          <w:t>https://casetext.com/case/youngstown-profl-firefighters-iaff-local-312-v-city-of-youngstown</w:t>
        </w:r>
      </w:hyperlink>
      <w:r>
        <w:t xml:space="preserve"> </w:t>
      </w:r>
    </w:p>
    <w:p w14:paraId="7E9D565F" w14:textId="77777777" w:rsidR="00026281" w:rsidRDefault="00026281" w:rsidP="00026281">
      <w:pPr>
        <w:spacing w:after="100" w:line="240" w:lineRule="auto"/>
        <w:ind w:left="720"/>
        <w:rPr>
          <w:rFonts w:ascii="Times New Roman" w:hAnsi="Times New Roman"/>
          <w:sz w:val="24"/>
          <w:szCs w:val="24"/>
        </w:rPr>
      </w:pPr>
    </w:p>
    <w:p w14:paraId="7507819B" w14:textId="77777777" w:rsidR="00026281" w:rsidRPr="006015DE" w:rsidRDefault="00026281" w:rsidP="00026281">
      <w:pPr>
        <w:spacing w:after="100" w:line="240" w:lineRule="auto"/>
        <w:rPr>
          <w:rFonts w:ascii="Times New Roman" w:eastAsia="Times New Roman" w:hAnsi="Times New Roman"/>
          <w:b/>
          <w:bCs/>
          <w:sz w:val="24"/>
          <w:szCs w:val="24"/>
        </w:rPr>
      </w:pPr>
      <w:r w:rsidRPr="007B7A20">
        <w:rPr>
          <w:rFonts w:ascii="Times New Roman" w:hAnsi="Times New Roman"/>
          <w:b/>
          <w:bCs/>
          <w:sz w:val="24"/>
          <w:szCs w:val="24"/>
        </w:rPr>
        <w:lastRenderedPageBreak/>
        <w:t>Legal Lesson Learned:</w:t>
      </w:r>
      <w:r>
        <w:rPr>
          <w:rFonts w:ascii="Times New Roman" w:hAnsi="Times New Roman"/>
          <w:b/>
          <w:bCs/>
          <w:sz w:val="24"/>
          <w:szCs w:val="24"/>
        </w:rPr>
        <w:t xml:space="preserve"> Arbitrators can decide the timeliness of a grievance. </w:t>
      </w:r>
    </w:p>
    <w:p w14:paraId="3C0412B7" w14:textId="77777777" w:rsidR="00026281" w:rsidRPr="007B7A20" w:rsidRDefault="00026281" w:rsidP="00026281">
      <w:pPr>
        <w:pStyle w:val="NoSpacing"/>
        <w:rPr>
          <w:rFonts w:ascii="Times New Roman" w:hAnsi="Times New Roman"/>
          <w:b/>
          <w:bCs/>
          <w:sz w:val="24"/>
          <w:szCs w:val="24"/>
        </w:rPr>
      </w:pPr>
    </w:p>
    <w:p w14:paraId="034ED69E" w14:textId="77777777" w:rsidR="00026281" w:rsidRPr="004A34D8" w:rsidRDefault="00026281" w:rsidP="00026281">
      <w:pPr>
        <w:pStyle w:val="NoSpacing"/>
        <w:ind w:left="720"/>
        <w:rPr>
          <w:rFonts w:ascii="Times New Roman" w:hAnsi="Times New Roman"/>
          <w:sz w:val="24"/>
          <w:szCs w:val="24"/>
        </w:rPr>
      </w:pPr>
      <w:r>
        <w:rPr>
          <w:rFonts w:ascii="Times New Roman" w:hAnsi="Times New Roman"/>
          <w:sz w:val="24"/>
          <w:szCs w:val="24"/>
        </w:rPr>
        <w:t>Note: See M</w:t>
      </w:r>
      <w:r w:rsidRPr="004A34D8">
        <w:rPr>
          <w:rFonts w:ascii="Times New Roman" w:hAnsi="Times New Roman"/>
          <w:sz w:val="24"/>
          <w:szCs w:val="24"/>
        </w:rPr>
        <w:t xml:space="preserve">arch 16, </w:t>
      </w:r>
      <w:proofErr w:type="gramStart"/>
      <w:r w:rsidRPr="004A34D8">
        <w:rPr>
          <w:rFonts w:ascii="Times New Roman" w:hAnsi="Times New Roman"/>
          <w:sz w:val="24"/>
          <w:szCs w:val="24"/>
        </w:rPr>
        <w:t>2024</w:t>
      </w:r>
      <w:proofErr w:type="gramEnd"/>
      <w:r w:rsidRPr="004A34D8">
        <w:rPr>
          <w:rFonts w:ascii="Times New Roman" w:hAnsi="Times New Roman"/>
          <w:sz w:val="24"/>
          <w:szCs w:val="24"/>
        </w:rPr>
        <w:t xml:space="preserve"> article, “City’s request to dismiss fire union case falters.” </w:t>
      </w:r>
      <w:hyperlink r:id="rId2875" w:history="1">
        <w:r w:rsidRPr="00AA5DF9">
          <w:rPr>
            <w:rStyle w:val="Hyperlink"/>
            <w:rFonts w:ascii="Times New Roman" w:hAnsi="Times New Roman"/>
            <w:sz w:val="24"/>
            <w:szCs w:val="24"/>
          </w:rPr>
          <w:t>https://www.vindy.com/news/local-news/2024/03/citys-request-to-dismiss-fire-union-case-falters/</w:t>
        </w:r>
      </w:hyperlink>
      <w:r w:rsidRPr="004A34D8">
        <w:rPr>
          <w:rFonts w:ascii="Times New Roman" w:hAnsi="Times New Roman"/>
          <w:sz w:val="24"/>
          <w:szCs w:val="24"/>
        </w:rPr>
        <w:t xml:space="preserve"> </w:t>
      </w:r>
    </w:p>
    <w:p w14:paraId="028C209A" w14:textId="77777777" w:rsidR="00026281" w:rsidRDefault="00026281" w:rsidP="00026281">
      <w:pPr>
        <w:pStyle w:val="NormalWeb"/>
        <w:ind w:left="720"/>
      </w:pPr>
      <w:r>
        <w:t>“This issue was the latest in a series of arguments between the two sides on battalion chief positions with the union continuously winning court cases.”</w:t>
      </w:r>
    </w:p>
    <w:p w14:paraId="3852A254" w14:textId="77777777" w:rsidR="00026281" w:rsidRDefault="00026281" w:rsidP="00F326E5">
      <w:pPr>
        <w:pStyle w:val="NoSpacing"/>
        <w:rPr>
          <w:rFonts w:ascii="Arial Black" w:hAnsi="Arial Black"/>
          <w:sz w:val="24"/>
          <w:szCs w:val="24"/>
        </w:rPr>
      </w:pPr>
    </w:p>
    <w:p w14:paraId="31460E7B" w14:textId="77777777" w:rsidR="00F91F9F" w:rsidRDefault="00F91F9F" w:rsidP="00F326E5">
      <w:pPr>
        <w:pStyle w:val="NoSpacing"/>
        <w:rPr>
          <w:rFonts w:ascii="Arial Black" w:hAnsi="Arial Black"/>
          <w:sz w:val="24"/>
          <w:szCs w:val="24"/>
        </w:rPr>
      </w:pPr>
    </w:p>
    <w:p w14:paraId="58C60AEE" w14:textId="742B0404" w:rsidR="004E344B" w:rsidRDefault="007D66BE" w:rsidP="00F326E5">
      <w:pPr>
        <w:pStyle w:val="NoSpacing"/>
        <w:rPr>
          <w:rFonts w:ascii="Arial Black" w:hAnsi="Arial Black"/>
          <w:sz w:val="24"/>
          <w:szCs w:val="24"/>
        </w:rPr>
      </w:pPr>
      <w:r>
        <w:rPr>
          <w:rFonts w:ascii="Arial Black" w:hAnsi="Arial Black"/>
          <w:sz w:val="24"/>
          <w:szCs w:val="24"/>
        </w:rPr>
        <w:t>17-38</w:t>
      </w:r>
    </w:p>
    <w:p w14:paraId="5B581454" w14:textId="77777777" w:rsidR="006D0326" w:rsidRDefault="006D0326" w:rsidP="006D0326">
      <w:pPr>
        <w:pStyle w:val="NormalWeb"/>
      </w:pPr>
      <w:r>
        <w:rPr>
          <w:rFonts w:ascii="Arial Black" w:hAnsi="Arial Black"/>
          <w:sz w:val="28"/>
          <w:szCs w:val="28"/>
        </w:rPr>
        <w:t xml:space="preserve">CT: AMR – CUT SHIFTS DURING COVID – UNION REQ. CALL DATA – CASE BACK TO NLRB – CBA HAS “DISASTER” PROV. </w:t>
      </w:r>
    </w:p>
    <w:p w14:paraId="5D10C357" w14:textId="77777777" w:rsidR="006D0326" w:rsidRPr="00213A36" w:rsidRDefault="006D0326" w:rsidP="006D0326">
      <w:pPr>
        <w:pStyle w:val="NormalWeb"/>
      </w:pPr>
      <w:r>
        <w:t xml:space="preserve">On Feb. 16, 2024, in </w:t>
      </w:r>
      <w:r w:rsidRPr="00213A36">
        <w:rPr>
          <w:u w:val="single"/>
        </w:rPr>
        <w:t>American Response of Connecticut, Inc. v. National Labor Relations Board</w:t>
      </w:r>
      <w:r>
        <w:t xml:space="preserve">, the U.S. Court of Appeals for the District of Columbia, held (3 to 0) that the NLRB must rehear AMR’s defense that the “Local Disaster” provision in collective bargaining agreement excused company from providing call data and other information to union. </w:t>
      </w:r>
    </w:p>
    <w:p w14:paraId="6722BEDD" w14:textId="77777777" w:rsidR="006D0326" w:rsidRDefault="006D0326" w:rsidP="006D0326">
      <w:pPr>
        <w:pStyle w:val="NormalWeb"/>
      </w:pPr>
      <w:r>
        <w:t>The Court held:</w:t>
      </w:r>
    </w:p>
    <w:p w14:paraId="3B011175" w14:textId="77777777" w:rsidR="006D0326" w:rsidRDefault="006D0326" w:rsidP="006D0326">
      <w:pPr>
        <w:pStyle w:val="NoSpacing"/>
        <w:ind w:left="720"/>
        <w:rPr>
          <w:rFonts w:ascii="Times New Roman" w:hAnsi="Times New Roman"/>
          <w:sz w:val="24"/>
          <w:szCs w:val="24"/>
        </w:rPr>
      </w:pPr>
      <w:r>
        <w:rPr>
          <w:rFonts w:ascii="Times New Roman" w:hAnsi="Times New Roman"/>
          <w:sz w:val="24"/>
          <w:szCs w:val="24"/>
        </w:rPr>
        <w:t>“</w:t>
      </w:r>
      <w:r w:rsidRPr="003B7CA1">
        <w:rPr>
          <w:rFonts w:ascii="Times New Roman" w:hAnsi="Times New Roman"/>
          <w:sz w:val="24"/>
          <w:szCs w:val="24"/>
        </w:rPr>
        <w:t>We do not</w:t>
      </w:r>
      <w:r>
        <w:rPr>
          <w:rFonts w:ascii="Times New Roman" w:hAnsi="Times New Roman"/>
          <w:sz w:val="24"/>
          <w:szCs w:val="24"/>
        </w:rPr>
        <w:t xml:space="preserve"> </w:t>
      </w:r>
      <w:r w:rsidRPr="003B7CA1">
        <w:rPr>
          <w:rFonts w:ascii="Times New Roman" w:hAnsi="Times New Roman"/>
          <w:sz w:val="24"/>
          <w:szCs w:val="24"/>
        </w:rPr>
        <w:t>decide whether § 23.03 excused AMR, either directly or</w:t>
      </w:r>
      <w:r>
        <w:rPr>
          <w:rFonts w:ascii="Times New Roman" w:hAnsi="Times New Roman"/>
          <w:sz w:val="24"/>
          <w:szCs w:val="24"/>
        </w:rPr>
        <w:t xml:space="preserve"> </w:t>
      </w:r>
      <w:r w:rsidRPr="003B7CA1">
        <w:rPr>
          <w:rFonts w:ascii="Times New Roman" w:hAnsi="Times New Roman"/>
          <w:sz w:val="24"/>
          <w:szCs w:val="24"/>
        </w:rPr>
        <w:t>indirectly, from the obligation to respond to these information</w:t>
      </w:r>
      <w:r>
        <w:rPr>
          <w:rFonts w:ascii="Times New Roman" w:hAnsi="Times New Roman"/>
          <w:sz w:val="24"/>
          <w:szCs w:val="24"/>
        </w:rPr>
        <w:t xml:space="preserve"> </w:t>
      </w:r>
      <w:r w:rsidRPr="003B7CA1">
        <w:rPr>
          <w:rFonts w:ascii="Times New Roman" w:hAnsi="Times New Roman"/>
          <w:sz w:val="24"/>
          <w:szCs w:val="24"/>
        </w:rPr>
        <w:t>requests. Because these interpretive issues were not fully</w:t>
      </w:r>
      <w:r>
        <w:rPr>
          <w:rFonts w:ascii="Times New Roman" w:hAnsi="Times New Roman"/>
          <w:sz w:val="24"/>
          <w:szCs w:val="24"/>
        </w:rPr>
        <w:t xml:space="preserve"> </w:t>
      </w:r>
      <w:r w:rsidRPr="003B7CA1">
        <w:rPr>
          <w:rFonts w:ascii="Times New Roman" w:hAnsi="Times New Roman"/>
          <w:sz w:val="24"/>
          <w:szCs w:val="24"/>
        </w:rPr>
        <w:t xml:space="preserve">briefed, we vacate the order and </w:t>
      </w:r>
      <w:proofErr w:type="gramStart"/>
      <w:r w:rsidRPr="003B7CA1">
        <w:rPr>
          <w:rFonts w:ascii="Times New Roman" w:hAnsi="Times New Roman"/>
          <w:sz w:val="24"/>
          <w:szCs w:val="24"/>
        </w:rPr>
        <w:t>remand</w:t>
      </w:r>
      <w:proofErr w:type="gramEnd"/>
      <w:r w:rsidRPr="003B7CA1">
        <w:rPr>
          <w:rFonts w:ascii="Times New Roman" w:hAnsi="Times New Roman"/>
          <w:sz w:val="24"/>
          <w:szCs w:val="24"/>
        </w:rPr>
        <w:t xml:space="preserve"> for the Board to</w:t>
      </w:r>
      <w:r>
        <w:rPr>
          <w:rFonts w:ascii="Times New Roman" w:hAnsi="Times New Roman"/>
          <w:sz w:val="24"/>
          <w:szCs w:val="24"/>
        </w:rPr>
        <w:t xml:space="preserve"> </w:t>
      </w:r>
      <w:r w:rsidRPr="003B7CA1">
        <w:rPr>
          <w:rFonts w:ascii="Times New Roman" w:hAnsi="Times New Roman"/>
          <w:sz w:val="24"/>
          <w:szCs w:val="24"/>
        </w:rPr>
        <w:t>consider these issues in the first instance. The Board should</w:t>
      </w:r>
      <w:r>
        <w:rPr>
          <w:rFonts w:ascii="Times New Roman" w:hAnsi="Times New Roman"/>
          <w:sz w:val="24"/>
          <w:szCs w:val="24"/>
        </w:rPr>
        <w:t xml:space="preserve"> </w:t>
      </w:r>
      <w:r w:rsidRPr="003B7CA1">
        <w:rPr>
          <w:rFonts w:ascii="Times New Roman" w:hAnsi="Times New Roman"/>
          <w:sz w:val="24"/>
          <w:szCs w:val="24"/>
        </w:rPr>
        <w:t>also consider whether AMR forfeited or failed to exhaust this</w:t>
      </w:r>
      <w:r>
        <w:rPr>
          <w:rFonts w:ascii="Times New Roman" w:hAnsi="Times New Roman"/>
          <w:sz w:val="24"/>
          <w:szCs w:val="24"/>
        </w:rPr>
        <w:t xml:space="preserve"> </w:t>
      </w:r>
      <w:r w:rsidRPr="003B7CA1">
        <w:rPr>
          <w:rFonts w:ascii="Times New Roman" w:hAnsi="Times New Roman"/>
          <w:sz w:val="24"/>
          <w:szCs w:val="24"/>
        </w:rPr>
        <w:t>defense with respect to any of the information requests. As</w:t>
      </w:r>
      <w:r>
        <w:rPr>
          <w:rFonts w:ascii="Times New Roman" w:hAnsi="Times New Roman"/>
          <w:sz w:val="24"/>
          <w:szCs w:val="24"/>
        </w:rPr>
        <w:t xml:space="preserve"> </w:t>
      </w:r>
      <w:r w:rsidRPr="003B7CA1">
        <w:rPr>
          <w:rFonts w:ascii="Times New Roman" w:hAnsi="Times New Roman"/>
          <w:sz w:val="24"/>
          <w:szCs w:val="24"/>
        </w:rPr>
        <w:t xml:space="preserve">resolution of this threshold contractual issue may </w:t>
      </w:r>
      <w:proofErr w:type="gramStart"/>
      <w:r w:rsidRPr="003B7CA1">
        <w:rPr>
          <w:rFonts w:ascii="Times New Roman" w:hAnsi="Times New Roman"/>
          <w:sz w:val="24"/>
          <w:szCs w:val="24"/>
        </w:rPr>
        <w:t>impact</w:t>
      </w:r>
      <w:proofErr w:type="gramEnd"/>
      <w:r w:rsidRPr="003B7CA1">
        <w:rPr>
          <w:rFonts w:ascii="Times New Roman" w:hAnsi="Times New Roman"/>
          <w:sz w:val="24"/>
          <w:szCs w:val="24"/>
        </w:rPr>
        <w:t xml:space="preserve"> the</w:t>
      </w:r>
      <w:r>
        <w:rPr>
          <w:rFonts w:ascii="Times New Roman" w:hAnsi="Times New Roman"/>
          <w:sz w:val="24"/>
          <w:szCs w:val="24"/>
        </w:rPr>
        <w:t xml:space="preserve"> </w:t>
      </w:r>
      <w:r w:rsidRPr="003B7CA1">
        <w:rPr>
          <w:rFonts w:ascii="Times New Roman" w:hAnsi="Times New Roman"/>
          <w:sz w:val="24"/>
          <w:szCs w:val="24"/>
        </w:rPr>
        <w:t>other issues presented, we do not consider them here.</w:t>
      </w:r>
      <w:r>
        <w:rPr>
          <w:rFonts w:ascii="Times New Roman" w:hAnsi="Times New Roman"/>
          <w:sz w:val="24"/>
          <w:szCs w:val="24"/>
        </w:rPr>
        <w:t xml:space="preserve"> </w:t>
      </w:r>
      <w:r w:rsidRPr="003F32C1">
        <w:rPr>
          <w:rFonts w:ascii="Times New Roman" w:hAnsi="Times New Roman"/>
          <w:sz w:val="24"/>
          <w:szCs w:val="24"/>
        </w:rPr>
        <w:t>We address only</w:t>
      </w:r>
      <w:r>
        <w:rPr>
          <w:rFonts w:ascii="Times New Roman" w:hAnsi="Times New Roman"/>
          <w:sz w:val="24"/>
          <w:szCs w:val="24"/>
        </w:rPr>
        <w:t xml:space="preserve"> </w:t>
      </w:r>
      <w:r w:rsidRPr="003F32C1">
        <w:rPr>
          <w:rFonts w:ascii="Times New Roman" w:hAnsi="Times New Roman"/>
          <w:sz w:val="24"/>
          <w:szCs w:val="24"/>
        </w:rPr>
        <w:t>one of those defenses, namely that the Union, through the</w:t>
      </w:r>
      <w:r>
        <w:rPr>
          <w:rFonts w:ascii="Times New Roman" w:hAnsi="Times New Roman"/>
          <w:sz w:val="24"/>
          <w:szCs w:val="24"/>
        </w:rPr>
        <w:t xml:space="preserve"> </w:t>
      </w:r>
      <w:r w:rsidRPr="003F32C1">
        <w:rPr>
          <w:rFonts w:ascii="Times New Roman" w:hAnsi="Times New Roman"/>
          <w:sz w:val="24"/>
          <w:szCs w:val="24"/>
        </w:rPr>
        <w:t xml:space="preserve">collective bargaining </w:t>
      </w:r>
      <w:proofErr w:type="gramStart"/>
      <w:r w:rsidRPr="003F32C1">
        <w:rPr>
          <w:rFonts w:ascii="Times New Roman" w:hAnsi="Times New Roman"/>
          <w:sz w:val="24"/>
          <w:szCs w:val="24"/>
        </w:rPr>
        <w:t xml:space="preserve">agreement, </w:t>
      </w:r>
      <w:r>
        <w:rPr>
          <w:rFonts w:ascii="Times New Roman" w:hAnsi="Times New Roman"/>
          <w:sz w:val="24"/>
          <w:szCs w:val="24"/>
        </w:rPr>
        <w:t>‘</w:t>
      </w:r>
      <w:proofErr w:type="gramEnd"/>
      <w:r w:rsidRPr="003F32C1">
        <w:rPr>
          <w:rFonts w:ascii="Times New Roman" w:hAnsi="Times New Roman"/>
          <w:sz w:val="24"/>
          <w:szCs w:val="24"/>
        </w:rPr>
        <w:t>waived any rights to the</w:t>
      </w:r>
      <w:r>
        <w:rPr>
          <w:rFonts w:ascii="Times New Roman" w:hAnsi="Times New Roman"/>
          <w:sz w:val="24"/>
          <w:szCs w:val="24"/>
        </w:rPr>
        <w:t xml:space="preserve"> </w:t>
      </w:r>
      <w:r w:rsidRPr="003F32C1">
        <w:rPr>
          <w:rFonts w:ascii="Times New Roman" w:hAnsi="Times New Roman"/>
          <w:sz w:val="24"/>
          <w:szCs w:val="24"/>
        </w:rPr>
        <w:t>requested information.</w:t>
      </w:r>
      <w:r>
        <w:rPr>
          <w:rFonts w:ascii="Times New Roman" w:hAnsi="Times New Roman"/>
          <w:sz w:val="24"/>
          <w:szCs w:val="24"/>
        </w:rPr>
        <w:t>’</w:t>
      </w:r>
    </w:p>
    <w:p w14:paraId="330781EF" w14:textId="77777777" w:rsidR="006D0326" w:rsidRDefault="006D0326" w:rsidP="006D0326">
      <w:pPr>
        <w:pStyle w:val="NoSpacing"/>
        <w:ind w:left="720"/>
        <w:rPr>
          <w:rFonts w:ascii="Times New Roman" w:hAnsi="Times New Roman"/>
          <w:sz w:val="24"/>
          <w:szCs w:val="24"/>
        </w:rPr>
      </w:pPr>
    </w:p>
    <w:p w14:paraId="42106BCA" w14:textId="77777777" w:rsidR="006D0326" w:rsidRDefault="006D0326" w:rsidP="006D0326">
      <w:pPr>
        <w:pStyle w:val="NoSpacing"/>
        <w:ind w:left="720"/>
        <w:rPr>
          <w:rFonts w:ascii="Times New Roman" w:hAnsi="Times New Roman"/>
          <w:sz w:val="24"/>
          <w:szCs w:val="24"/>
        </w:rPr>
      </w:pPr>
      <w:r>
        <w:rPr>
          <w:rFonts w:ascii="Times New Roman" w:hAnsi="Times New Roman"/>
          <w:sz w:val="24"/>
          <w:szCs w:val="24"/>
        </w:rPr>
        <w:t>***</w:t>
      </w:r>
    </w:p>
    <w:p w14:paraId="0B04068B" w14:textId="77777777" w:rsidR="006D0326" w:rsidRPr="001242C8" w:rsidRDefault="006D0326" w:rsidP="006D0326">
      <w:pPr>
        <w:pStyle w:val="NoSpacing"/>
        <w:ind w:left="720"/>
        <w:rPr>
          <w:rFonts w:ascii="Times New Roman" w:hAnsi="Times New Roman"/>
          <w:sz w:val="24"/>
          <w:szCs w:val="24"/>
        </w:rPr>
      </w:pPr>
      <w:r w:rsidRPr="001242C8">
        <w:rPr>
          <w:rFonts w:ascii="Times New Roman" w:hAnsi="Times New Roman"/>
          <w:sz w:val="24"/>
          <w:szCs w:val="24"/>
        </w:rPr>
        <w:t>The Board here concluded that it was unnecessary to</w:t>
      </w:r>
      <w:r>
        <w:rPr>
          <w:rFonts w:ascii="Times New Roman" w:hAnsi="Times New Roman"/>
          <w:sz w:val="24"/>
          <w:szCs w:val="24"/>
        </w:rPr>
        <w:t xml:space="preserve"> </w:t>
      </w:r>
      <w:r w:rsidRPr="001242C8">
        <w:rPr>
          <w:rFonts w:ascii="Times New Roman" w:hAnsi="Times New Roman"/>
          <w:sz w:val="24"/>
          <w:szCs w:val="24"/>
        </w:rPr>
        <w:t>consider AMR’s contractual defense before determining that</w:t>
      </w:r>
      <w:r>
        <w:rPr>
          <w:rFonts w:ascii="Times New Roman" w:hAnsi="Times New Roman"/>
          <w:sz w:val="24"/>
          <w:szCs w:val="24"/>
        </w:rPr>
        <w:t xml:space="preserve"> </w:t>
      </w:r>
      <w:r w:rsidRPr="001242C8">
        <w:rPr>
          <w:rFonts w:ascii="Times New Roman" w:hAnsi="Times New Roman"/>
          <w:sz w:val="24"/>
          <w:szCs w:val="24"/>
        </w:rPr>
        <w:t>AMR’s refusal to provide information constituted a statutory</w:t>
      </w:r>
    </w:p>
    <w:p w14:paraId="347BB406" w14:textId="77777777" w:rsidR="006D0326" w:rsidRDefault="006D0326" w:rsidP="006D0326">
      <w:pPr>
        <w:pStyle w:val="NoSpacing"/>
        <w:ind w:left="720"/>
        <w:rPr>
          <w:rFonts w:ascii="Times New Roman" w:hAnsi="Times New Roman"/>
          <w:sz w:val="24"/>
          <w:szCs w:val="24"/>
        </w:rPr>
      </w:pPr>
      <w:r w:rsidRPr="001242C8">
        <w:rPr>
          <w:rFonts w:ascii="Times New Roman" w:hAnsi="Times New Roman"/>
          <w:sz w:val="24"/>
          <w:szCs w:val="24"/>
        </w:rPr>
        <w:t>failure to bargain. In addition to violating the NLRA’s</w:t>
      </w:r>
      <w:r>
        <w:rPr>
          <w:rFonts w:ascii="Times New Roman" w:hAnsi="Times New Roman"/>
          <w:sz w:val="24"/>
          <w:szCs w:val="24"/>
        </w:rPr>
        <w:t xml:space="preserve"> </w:t>
      </w:r>
      <w:r w:rsidRPr="001242C8">
        <w:rPr>
          <w:rFonts w:ascii="Times New Roman" w:hAnsi="Times New Roman"/>
          <w:sz w:val="24"/>
          <w:szCs w:val="24"/>
        </w:rPr>
        <w:t>requirement that the Board enforce contracts, this approach</w:t>
      </w:r>
      <w:r>
        <w:rPr>
          <w:rFonts w:ascii="Times New Roman" w:hAnsi="Times New Roman"/>
          <w:sz w:val="24"/>
          <w:szCs w:val="24"/>
        </w:rPr>
        <w:t xml:space="preserve"> </w:t>
      </w:r>
      <w:r w:rsidRPr="001242C8">
        <w:rPr>
          <w:rFonts w:ascii="Times New Roman" w:hAnsi="Times New Roman"/>
          <w:sz w:val="24"/>
          <w:szCs w:val="24"/>
        </w:rPr>
        <w:t xml:space="preserve">breaks with longstanding Board </w:t>
      </w:r>
      <w:proofErr w:type="gramStart"/>
      <w:r w:rsidRPr="001242C8">
        <w:rPr>
          <w:rFonts w:ascii="Times New Roman" w:hAnsi="Times New Roman"/>
          <w:sz w:val="24"/>
          <w:szCs w:val="24"/>
        </w:rPr>
        <w:t>precedent.</w:t>
      </w:r>
      <w:r>
        <w:rPr>
          <w:rFonts w:ascii="Times New Roman" w:hAnsi="Times New Roman"/>
          <w:sz w:val="24"/>
          <w:szCs w:val="24"/>
        </w:rPr>
        <w:t>”</w:t>
      </w:r>
      <w:proofErr w:type="gramEnd"/>
    </w:p>
    <w:p w14:paraId="08B6267F" w14:textId="77777777" w:rsidR="006D0326" w:rsidRDefault="006D0326" w:rsidP="006D0326">
      <w:pPr>
        <w:pStyle w:val="NoSpacing"/>
        <w:ind w:left="720"/>
        <w:rPr>
          <w:rFonts w:ascii="Times New Roman" w:hAnsi="Times New Roman"/>
          <w:sz w:val="24"/>
          <w:szCs w:val="24"/>
        </w:rPr>
      </w:pPr>
      <w:hyperlink r:id="rId2876" w:history="1">
        <w:r w:rsidRPr="00E007C4">
          <w:rPr>
            <w:rStyle w:val="Hyperlink"/>
            <w:rFonts w:ascii="Times New Roman" w:hAnsi="Times New Roman"/>
            <w:sz w:val="24"/>
            <w:szCs w:val="24"/>
          </w:rPr>
          <w:t>https://www.cadc.uscourts.gov/internet/opinions.nsf/AF29B804749163DE85258AC500547458/$file/22-1261-2040755.pdf</w:t>
        </w:r>
      </w:hyperlink>
      <w:r>
        <w:rPr>
          <w:rFonts w:ascii="Times New Roman" w:hAnsi="Times New Roman"/>
          <w:sz w:val="24"/>
          <w:szCs w:val="24"/>
        </w:rPr>
        <w:t xml:space="preserve"> </w:t>
      </w:r>
    </w:p>
    <w:p w14:paraId="4EEF8138" w14:textId="77777777" w:rsidR="006D0326" w:rsidRDefault="006D0326" w:rsidP="006D0326">
      <w:pPr>
        <w:pStyle w:val="NoSpacing"/>
        <w:ind w:left="720"/>
        <w:rPr>
          <w:rFonts w:ascii="Times New Roman" w:hAnsi="Times New Roman"/>
          <w:sz w:val="24"/>
          <w:szCs w:val="24"/>
        </w:rPr>
      </w:pPr>
    </w:p>
    <w:p w14:paraId="5E70B0CC" w14:textId="3344CE3B" w:rsidR="006D0326" w:rsidRPr="00815DDD" w:rsidRDefault="006D0326" w:rsidP="006D0326">
      <w:pPr>
        <w:pStyle w:val="NoSpacing"/>
        <w:ind w:left="720"/>
        <w:rPr>
          <w:rFonts w:ascii="Times New Roman" w:hAnsi="Times New Roman"/>
          <w:sz w:val="24"/>
          <w:szCs w:val="24"/>
        </w:rPr>
      </w:pPr>
      <w:r w:rsidRPr="00815DDD">
        <w:rPr>
          <w:rFonts w:ascii="Times New Roman" w:hAnsi="Times New Roman"/>
          <w:sz w:val="24"/>
          <w:szCs w:val="24"/>
        </w:rPr>
        <w:t>.</w:t>
      </w:r>
      <w:r>
        <w:rPr>
          <w:rFonts w:ascii="Times New Roman" w:hAnsi="Times New Roman"/>
          <w:sz w:val="24"/>
          <w:szCs w:val="24"/>
        </w:rPr>
        <w:t>”</w:t>
      </w:r>
    </w:p>
    <w:p w14:paraId="243B76A0" w14:textId="77777777" w:rsidR="006D0326" w:rsidRDefault="006D0326" w:rsidP="006D0326">
      <w:pPr>
        <w:pStyle w:val="NoSpacing"/>
        <w:rPr>
          <w:rFonts w:ascii="Times New Roman" w:hAnsi="Times New Roman"/>
          <w:sz w:val="24"/>
          <w:szCs w:val="24"/>
        </w:rPr>
      </w:pPr>
    </w:p>
    <w:p w14:paraId="18429CE9" w14:textId="77777777" w:rsidR="006D0326" w:rsidRPr="004C10F3" w:rsidRDefault="006D0326" w:rsidP="006D0326">
      <w:pPr>
        <w:pStyle w:val="NoSpacing"/>
        <w:rPr>
          <w:rFonts w:ascii="Times New Roman" w:hAnsi="Times New Roman"/>
          <w:b/>
          <w:bCs/>
          <w:sz w:val="24"/>
          <w:szCs w:val="24"/>
        </w:rPr>
      </w:pPr>
      <w:r w:rsidRPr="004C10F3">
        <w:rPr>
          <w:rFonts w:ascii="Times New Roman" w:hAnsi="Times New Roman"/>
          <w:b/>
          <w:bCs/>
          <w:sz w:val="24"/>
          <w:szCs w:val="24"/>
        </w:rPr>
        <w:t xml:space="preserve">Legal Lesson Learned: </w:t>
      </w:r>
      <w:r>
        <w:rPr>
          <w:rFonts w:ascii="Times New Roman" w:hAnsi="Times New Roman"/>
          <w:b/>
          <w:bCs/>
          <w:sz w:val="24"/>
          <w:szCs w:val="24"/>
        </w:rPr>
        <w:t>Employers and unions are bound by the terms of their CBA, and NLRB must recognize those provisions.</w:t>
      </w:r>
    </w:p>
    <w:p w14:paraId="4E8A66BE" w14:textId="77777777" w:rsidR="006D0326" w:rsidRDefault="006D0326" w:rsidP="006D0326">
      <w:pPr>
        <w:pStyle w:val="NoSpacing"/>
        <w:rPr>
          <w:rFonts w:ascii="Times New Roman" w:hAnsi="Times New Roman"/>
          <w:sz w:val="24"/>
          <w:szCs w:val="24"/>
        </w:rPr>
      </w:pPr>
    </w:p>
    <w:p w14:paraId="2E946788" w14:textId="77777777" w:rsidR="006D0326" w:rsidRDefault="006D0326" w:rsidP="006D0326">
      <w:pPr>
        <w:pStyle w:val="NoSpacing"/>
        <w:rPr>
          <w:rFonts w:ascii="Times New Roman" w:hAnsi="Times New Roman"/>
          <w:sz w:val="24"/>
          <w:szCs w:val="24"/>
        </w:rPr>
      </w:pPr>
    </w:p>
    <w:p w14:paraId="5AF85EDE" w14:textId="77777777" w:rsidR="007D66BE" w:rsidRDefault="007D66BE" w:rsidP="00F326E5">
      <w:pPr>
        <w:pStyle w:val="NoSpacing"/>
        <w:rPr>
          <w:rFonts w:ascii="Arial Black" w:hAnsi="Arial Black"/>
          <w:sz w:val="24"/>
          <w:szCs w:val="24"/>
        </w:rPr>
      </w:pPr>
    </w:p>
    <w:p w14:paraId="073BE876" w14:textId="77777777" w:rsidR="007D66BE" w:rsidRDefault="007D66BE" w:rsidP="00F326E5">
      <w:pPr>
        <w:pStyle w:val="NoSpacing"/>
        <w:rPr>
          <w:rFonts w:ascii="Arial Black" w:hAnsi="Arial Black"/>
          <w:sz w:val="24"/>
          <w:szCs w:val="24"/>
        </w:rPr>
      </w:pPr>
    </w:p>
    <w:p w14:paraId="75ECFB90" w14:textId="77777777" w:rsidR="007D66BE" w:rsidRDefault="007D66BE" w:rsidP="00F326E5">
      <w:pPr>
        <w:pStyle w:val="NoSpacing"/>
        <w:rPr>
          <w:rFonts w:ascii="Arial Black" w:hAnsi="Arial Black"/>
          <w:sz w:val="24"/>
          <w:szCs w:val="24"/>
        </w:rPr>
      </w:pPr>
    </w:p>
    <w:p w14:paraId="113846BB" w14:textId="20519C7C" w:rsidR="004E344B" w:rsidRDefault="004E344B" w:rsidP="00F326E5">
      <w:pPr>
        <w:pStyle w:val="NoSpacing"/>
        <w:rPr>
          <w:rFonts w:ascii="Arial Black" w:hAnsi="Arial Black"/>
          <w:sz w:val="24"/>
          <w:szCs w:val="24"/>
        </w:rPr>
      </w:pPr>
      <w:r>
        <w:rPr>
          <w:rFonts w:ascii="Arial Black" w:hAnsi="Arial Black"/>
          <w:sz w:val="24"/>
          <w:szCs w:val="24"/>
        </w:rPr>
        <w:t>17-37</w:t>
      </w:r>
    </w:p>
    <w:p w14:paraId="6E55B954" w14:textId="77777777" w:rsidR="00C0427B" w:rsidRPr="001150A5" w:rsidRDefault="00C0427B" w:rsidP="00C0427B">
      <w:pPr>
        <w:pStyle w:val="NormalWeb"/>
        <w:rPr>
          <w:rFonts w:ascii="Arial Black" w:hAnsi="Arial Black"/>
          <w:sz w:val="28"/>
          <w:szCs w:val="28"/>
        </w:rPr>
      </w:pPr>
      <w:r>
        <w:rPr>
          <w:rFonts w:ascii="Arial Black" w:hAnsi="Arial Black"/>
          <w:sz w:val="28"/>
          <w:szCs w:val="28"/>
        </w:rPr>
        <w:lastRenderedPageBreak/>
        <w:t xml:space="preserve">OH: ARBITRATION - “RULE OF 3” FOR PROMOTION TO LT. - CITY DIDN’T HAVE SELECT HIGHEST SCORING CANDIDATE </w:t>
      </w:r>
    </w:p>
    <w:p w14:paraId="2E4849DF" w14:textId="16D11A97" w:rsidR="00C0427B" w:rsidRPr="00D01745" w:rsidRDefault="00C0427B" w:rsidP="00C0427B">
      <w:pPr>
        <w:pStyle w:val="NoSpacing"/>
        <w:rPr>
          <w:rFonts w:ascii="Times New Roman" w:hAnsi="Times New Roman"/>
          <w:sz w:val="24"/>
          <w:szCs w:val="24"/>
        </w:rPr>
      </w:pPr>
      <w:r w:rsidRPr="00D01745">
        <w:rPr>
          <w:rFonts w:ascii="Times New Roman" w:hAnsi="Times New Roman"/>
          <w:sz w:val="24"/>
          <w:szCs w:val="24"/>
        </w:rPr>
        <w:t xml:space="preserve">On Dec. 19, 2023, in </w:t>
      </w:r>
      <w:r w:rsidRPr="00D01745">
        <w:rPr>
          <w:rFonts w:ascii="Times New Roman" w:hAnsi="Times New Roman"/>
          <w:sz w:val="24"/>
          <w:szCs w:val="24"/>
          <w:u w:val="single"/>
        </w:rPr>
        <w:t>International Association of Fire Fighters, Local 67 [Brandon Lauck] v. City of Columbus</w:t>
      </w:r>
      <w:r w:rsidRPr="00D01745">
        <w:rPr>
          <w:rFonts w:ascii="Times New Roman" w:hAnsi="Times New Roman"/>
          <w:sz w:val="24"/>
          <w:szCs w:val="24"/>
        </w:rPr>
        <w:t xml:space="preserve">, the Court of Appeals of Ohio, Tenth District held (3 to 0) that Judge on Franklin County Court of Common Pleas incorrectly overturned arbitrator; City did not have to promote firefighter Brandon Lauck to Lieutenant even if he was highest scoring candidate.  The Court wrote: </w:t>
      </w:r>
      <w:r>
        <w:rPr>
          <w:rFonts w:ascii="Times New Roman" w:hAnsi="Times New Roman"/>
          <w:sz w:val="24"/>
          <w:szCs w:val="24"/>
        </w:rPr>
        <w:t>“</w:t>
      </w:r>
      <w:r w:rsidRPr="00D01745">
        <w:rPr>
          <w:rFonts w:ascii="Times New Roman" w:hAnsi="Times New Roman"/>
          <w:sz w:val="24"/>
          <w:szCs w:val="24"/>
        </w:rPr>
        <w:t>Before the arbitrator, the Union argued the promotion decision was improper</w:t>
      </w:r>
      <w:r w:rsidR="00BC649D">
        <w:rPr>
          <w:rFonts w:ascii="Times New Roman" w:hAnsi="Times New Roman"/>
          <w:sz w:val="24"/>
          <w:szCs w:val="24"/>
        </w:rPr>
        <w:t xml:space="preserve"> </w:t>
      </w:r>
      <w:r w:rsidRPr="00D01745">
        <w:rPr>
          <w:rFonts w:ascii="Times New Roman" w:hAnsi="Times New Roman"/>
          <w:sz w:val="24"/>
          <w:szCs w:val="24"/>
        </w:rPr>
        <w:t>and violated CBA Section 10.1 because it was inconsistent with the City’s past practice of</w:t>
      </w:r>
    </w:p>
    <w:p w14:paraId="02E78268" w14:textId="7CB94B83" w:rsidR="00C0427B" w:rsidRPr="00EC48F0" w:rsidRDefault="00C0427B" w:rsidP="00C0427B">
      <w:pPr>
        <w:pStyle w:val="NoSpacing"/>
        <w:rPr>
          <w:rFonts w:ascii="Times New Roman" w:hAnsi="Times New Roman"/>
          <w:sz w:val="24"/>
          <w:szCs w:val="24"/>
        </w:rPr>
      </w:pPr>
      <w:r w:rsidRPr="00D01745">
        <w:rPr>
          <w:rFonts w:ascii="Times New Roman" w:hAnsi="Times New Roman"/>
          <w:sz w:val="24"/>
          <w:szCs w:val="24"/>
        </w:rPr>
        <w:t>selecting the eligible candidate with the highest examination score for promotion, because</w:t>
      </w:r>
      <w:r w:rsidR="00BC649D">
        <w:rPr>
          <w:rFonts w:ascii="Times New Roman" w:hAnsi="Times New Roman"/>
          <w:sz w:val="24"/>
          <w:szCs w:val="24"/>
        </w:rPr>
        <w:t xml:space="preserve"> </w:t>
      </w:r>
      <w:r w:rsidRPr="00D01745">
        <w:rPr>
          <w:rFonts w:ascii="Times New Roman" w:hAnsi="Times New Roman"/>
          <w:sz w:val="24"/>
          <w:szCs w:val="24"/>
        </w:rPr>
        <w:t>Firefighter Lauck was not provided any reason for why he was not promoted, and because</w:t>
      </w:r>
      <w:r w:rsidR="00BC649D">
        <w:rPr>
          <w:rFonts w:ascii="Times New Roman" w:hAnsi="Times New Roman"/>
          <w:sz w:val="24"/>
          <w:szCs w:val="24"/>
        </w:rPr>
        <w:t xml:space="preserve"> </w:t>
      </w:r>
      <w:r w:rsidRPr="00D01745">
        <w:rPr>
          <w:rFonts w:ascii="Times New Roman" w:hAnsi="Times New Roman"/>
          <w:sz w:val="24"/>
          <w:szCs w:val="24"/>
        </w:rPr>
        <w:t>his involvement in a traffic accident years ago may have been considered as a factor against</w:t>
      </w:r>
      <w:r w:rsidR="00BC649D">
        <w:rPr>
          <w:rFonts w:ascii="Times New Roman" w:hAnsi="Times New Roman"/>
          <w:sz w:val="24"/>
          <w:szCs w:val="24"/>
        </w:rPr>
        <w:t xml:space="preserve"> </w:t>
      </w:r>
      <w:r w:rsidRPr="00D01745">
        <w:rPr>
          <w:rFonts w:ascii="Times New Roman" w:hAnsi="Times New Roman"/>
          <w:sz w:val="24"/>
          <w:szCs w:val="24"/>
        </w:rPr>
        <w:t>his promotion.</w:t>
      </w:r>
      <w:r>
        <w:rPr>
          <w:rFonts w:ascii="Times New Roman" w:hAnsi="Times New Roman"/>
          <w:sz w:val="24"/>
          <w:szCs w:val="24"/>
        </w:rPr>
        <w:t xml:space="preserve"> *** I</w:t>
      </w:r>
      <w:r w:rsidRPr="00EC48F0">
        <w:rPr>
          <w:rFonts w:ascii="Times New Roman" w:hAnsi="Times New Roman"/>
          <w:sz w:val="24"/>
          <w:szCs w:val="24"/>
        </w:rPr>
        <w:t>n denying the Union’s grievance, the arbitrator expressly considered and</w:t>
      </w:r>
      <w:r w:rsidR="00BC649D">
        <w:rPr>
          <w:rFonts w:ascii="Times New Roman" w:hAnsi="Times New Roman"/>
          <w:sz w:val="24"/>
          <w:szCs w:val="24"/>
        </w:rPr>
        <w:t xml:space="preserve"> </w:t>
      </w:r>
      <w:r w:rsidRPr="00EC48F0">
        <w:rPr>
          <w:rFonts w:ascii="Times New Roman" w:hAnsi="Times New Roman"/>
          <w:sz w:val="24"/>
          <w:szCs w:val="24"/>
        </w:rPr>
        <w:t>rejected the Union’s contention that Firefighter Lauck was not treated in a reasonable, fair,</w:t>
      </w:r>
    </w:p>
    <w:p w14:paraId="569F1BE9" w14:textId="1797B230" w:rsidR="00C0427B" w:rsidRDefault="00C0427B" w:rsidP="00C0427B">
      <w:pPr>
        <w:pStyle w:val="NoSpacing"/>
      </w:pPr>
      <w:r w:rsidRPr="00EC48F0">
        <w:rPr>
          <w:rFonts w:ascii="Times New Roman" w:hAnsi="Times New Roman"/>
          <w:sz w:val="24"/>
          <w:szCs w:val="24"/>
        </w:rPr>
        <w:t xml:space="preserve">and non-discriminatory </w:t>
      </w:r>
      <w:proofErr w:type="gramStart"/>
      <w:r w:rsidRPr="00EC48F0">
        <w:rPr>
          <w:rFonts w:ascii="Times New Roman" w:hAnsi="Times New Roman"/>
          <w:sz w:val="24"/>
          <w:szCs w:val="24"/>
        </w:rPr>
        <w:t>manner</w:t>
      </w:r>
      <w:proofErr w:type="gramEnd"/>
      <w:r w:rsidRPr="00EC48F0">
        <w:rPr>
          <w:rFonts w:ascii="Times New Roman" w:hAnsi="Times New Roman"/>
          <w:sz w:val="24"/>
          <w:szCs w:val="24"/>
        </w:rPr>
        <w:t xml:space="preserve"> as required by CBA Section 10.1. Thus, the Union’s</w:t>
      </w:r>
      <w:r w:rsidR="00BC649D">
        <w:rPr>
          <w:rFonts w:ascii="Times New Roman" w:hAnsi="Times New Roman"/>
          <w:sz w:val="24"/>
          <w:szCs w:val="24"/>
        </w:rPr>
        <w:t xml:space="preserve"> </w:t>
      </w:r>
      <w:r w:rsidRPr="00EC48F0">
        <w:rPr>
          <w:rFonts w:ascii="Times New Roman" w:hAnsi="Times New Roman"/>
          <w:sz w:val="24"/>
          <w:szCs w:val="24"/>
        </w:rPr>
        <w:t>evidence and related arguments did not persuade the arbitrator</w:t>
      </w:r>
      <w:r>
        <w:rPr>
          <w:rFonts w:ascii="Times New Roman" w:hAnsi="Times New Roman"/>
          <w:sz w:val="24"/>
          <w:szCs w:val="24"/>
        </w:rPr>
        <w:t xml:space="preserve">. *** </w:t>
      </w:r>
      <w:r w:rsidRPr="00890952">
        <w:rPr>
          <w:rFonts w:ascii="Times New Roman" w:hAnsi="Times New Roman"/>
          <w:sz w:val="24"/>
          <w:szCs w:val="24"/>
        </w:rPr>
        <w:t xml:space="preserve">Therefore, we conclude the trial court </w:t>
      </w:r>
      <w:proofErr w:type="gramStart"/>
      <w:r w:rsidRPr="00890952">
        <w:rPr>
          <w:rFonts w:ascii="Times New Roman" w:hAnsi="Times New Roman"/>
          <w:sz w:val="24"/>
          <w:szCs w:val="24"/>
        </w:rPr>
        <w:t>erred</w:t>
      </w:r>
      <w:proofErr w:type="gramEnd"/>
      <w:r w:rsidRPr="00890952">
        <w:rPr>
          <w:rFonts w:ascii="Times New Roman" w:hAnsi="Times New Roman"/>
          <w:sz w:val="24"/>
          <w:szCs w:val="24"/>
        </w:rPr>
        <w:t xml:space="preserve"> in finding the arbitrator failed to</w:t>
      </w:r>
      <w:r>
        <w:rPr>
          <w:rFonts w:ascii="Times New Roman" w:hAnsi="Times New Roman"/>
          <w:sz w:val="24"/>
          <w:szCs w:val="24"/>
        </w:rPr>
        <w:t xml:space="preserve"> </w:t>
      </w:r>
      <w:r w:rsidRPr="00890952">
        <w:rPr>
          <w:rFonts w:ascii="Times New Roman" w:hAnsi="Times New Roman"/>
          <w:sz w:val="24"/>
          <w:szCs w:val="24"/>
        </w:rPr>
        <w:t xml:space="preserve">determine whether the </w:t>
      </w:r>
      <w:proofErr w:type="gramStart"/>
      <w:r w:rsidRPr="00890952">
        <w:rPr>
          <w:rFonts w:ascii="Times New Roman" w:hAnsi="Times New Roman"/>
          <w:sz w:val="24"/>
          <w:szCs w:val="24"/>
        </w:rPr>
        <w:t>City</w:t>
      </w:r>
      <w:proofErr w:type="gramEnd"/>
      <w:r w:rsidRPr="00890952">
        <w:rPr>
          <w:rFonts w:ascii="Times New Roman" w:hAnsi="Times New Roman"/>
          <w:sz w:val="24"/>
          <w:szCs w:val="24"/>
        </w:rPr>
        <w:t xml:space="preserve"> violated CBA Section 10.1’s requirements when it did not</w:t>
      </w:r>
      <w:r>
        <w:rPr>
          <w:rFonts w:ascii="Times New Roman" w:hAnsi="Times New Roman"/>
          <w:sz w:val="24"/>
          <w:szCs w:val="24"/>
        </w:rPr>
        <w:t xml:space="preserve"> </w:t>
      </w:r>
      <w:r w:rsidRPr="0081501B">
        <w:rPr>
          <w:rFonts w:ascii="Times New Roman" w:hAnsi="Times New Roman"/>
          <w:sz w:val="24"/>
          <w:szCs w:val="24"/>
        </w:rPr>
        <w:t>promote Firefighter Lauck to Fire Lieutenant, and the trial court erred in vacating the</w:t>
      </w:r>
      <w:r>
        <w:rPr>
          <w:rFonts w:ascii="Times New Roman" w:hAnsi="Times New Roman"/>
          <w:sz w:val="24"/>
          <w:szCs w:val="24"/>
        </w:rPr>
        <w:t xml:space="preserve"> </w:t>
      </w:r>
      <w:r w:rsidRPr="0081501B">
        <w:rPr>
          <w:rFonts w:ascii="Times New Roman" w:hAnsi="Times New Roman"/>
          <w:sz w:val="24"/>
          <w:szCs w:val="24"/>
        </w:rPr>
        <w:t>arbitrator’s award based on this incorrect finding. On these bases, we sustain the City’s first</w:t>
      </w:r>
      <w:r>
        <w:rPr>
          <w:rFonts w:ascii="Times New Roman" w:hAnsi="Times New Roman"/>
          <w:sz w:val="24"/>
          <w:szCs w:val="24"/>
        </w:rPr>
        <w:t xml:space="preserve"> </w:t>
      </w:r>
      <w:r w:rsidRPr="0081501B">
        <w:rPr>
          <w:rFonts w:ascii="Times New Roman" w:hAnsi="Times New Roman"/>
          <w:sz w:val="24"/>
          <w:szCs w:val="24"/>
        </w:rPr>
        <w:t>and second assignments of error.</w:t>
      </w:r>
      <w:r>
        <w:rPr>
          <w:rFonts w:ascii="Times New Roman" w:hAnsi="Times New Roman"/>
          <w:sz w:val="24"/>
          <w:szCs w:val="24"/>
        </w:rPr>
        <w:t xml:space="preserve">” </w:t>
      </w:r>
      <w:hyperlink r:id="rId2877" w:history="1">
        <w:r w:rsidRPr="0044657D">
          <w:rPr>
            <w:rStyle w:val="Hyperlink"/>
          </w:rPr>
          <w:t>https://cases.justia.com/ohio/tenth-district-court-of-appeals/2023-23ap-37.pdf?ts=1703012831</w:t>
        </w:r>
      </w:hyperlink>
      <w:r>
        <w:t xml:space="preserve"> </w:t>
      </w:r>
    </w:p>
    <w:p w14:paraId="35C8AB05" w14:textId="77777777" w:rsidR="00C0427B" w:rsidRDefault="00C0427B" w:rsidP="00F326E5">
      <w:pPr>
        <w:pStyle w:val="NoSpacing"/>
        <w:rPr>
          <w:rFonts w:ascii="Arial Black" w:hAnsi="Arial Black"/>
          <w:sz w:val="24"/>
          <w:szCs w:val="24"/>
        </w:rPr>
      </w:pPr>
    </w:p>
    <w:p w14:paraId="3C0CA1E6" w14:textId="77777777" w:rsidR="00B15008" w:rsidRPr="008E05C8" w:rsidRDefault="00B15008" w:rsidP="00B15008">
      <w:pPr>
        <w:pStyle w:val="NoSpacing"/>
        <w:rPr>
          <w:rFonts w:ascii="Times New Roman" w:hAnsi="Times New Roman"/>
          <w:b/>
          <w:bCs/>
          <w:sz w:val="24"/>
          <w:szCs w:val="24"/>
        </w:rPr>
      </w:pPr>
      <w:r w:rsidRPr="008E05C8">
        <w:rPr>
          <w:rFonts w:ascii="Times New Roman" w:hAnsi="Times New Roman"/>
          <w:b/>
          <w:bCs/>
          <w:sz w:val="24"/>
          <w:szCs w:val="24"/>
        </w:rPr>
        <w:t>Legal Lesson Learned:</w:t>
      </w:r>
      <w:r>
        <w:rPr>
          <w:rFonts w:ascii="Times New Roman" w:hAnsi="Times New Roman"/>
          <w:b/>
          <w:bCs/>
          <w:sz w:val="24"/>
          <w:szCs w:val="24"/>
        </w:rPr>
        <w:t xml:space="preserve"> “Rule of Three” was followed; City did not need to select the candidate with highest score even that was a common past practice.</w:t>
      </w:r>
    </w:p>
    <w:p w14:paraId="4BABBBE3" w14:textId="77777777" w:rsidR="00B15008" w:rsidRPr="00020C6B" w:rsidRDefault="00B15008" w:rsidP="00B15008">
      <w:pPr>
        <w:pStyle w:val="NormalWeb"/>
        <w:ind w:left="720"/>
      </w:pPr>
      <w:r w:rsidRPr="00020C6B">
        <w:t xml:space="preserve">Note: Union referenced a lawsuit against firefighter Brandon Lauck. See this Complaint filed against Brandon G. Lauck after July 16, </w:t>
      </w:r>
      <w:proofErr w:type="gramStart"/>
      <w:r w:rsidRPr="00020C6B">
        <w:t>2018</w:t>
      </w:r>
      <w:proofErr w:type="gramEnd"/>
      <w:r w:rsidRPr="00020C6B">
        <w:t xml:space="preserve"> rear end accident on I-270. </w:t>
      </w:r>
      <w:hyperlink r:id="rId2878" w:history="1">
        <w:r w:rsidRPr="00020C6B">
          <w:rPr>
            <w:rStyle w:val="Hyperlink"/>
          </w:rPr>
          <w:t>https://trellis.law/doc/60559021/complaint-filed</w:t>
        </w:r>
      </w:hyperlink>
      <w:r w:rsidRPr="00020C6B">
        <w:t xml:space="preserve"> </w:t>
      </w:r>
    </w:p>
    <w:p w14:paraId="22128889" w14:textId="77777777" w:rsidR="00B15008" w:rsidRDefault="00B15008" w:rsidP="00F326E5">
      <w:pPr>
        <w:pStyle w:val="NoSpacing"/>
        <w:rPr>
          <w:rFonts w:ascii="Arial Black" w:hAnsi="Arial Black"/>
          <w:sz w:val="24"/>
          <w:szCs w:val="24"/>
        </w:rPr>
      </w:pPr>
    </w:p>
    <w:p w14:paraId="4F23B9DA" w14:textId="77777777" w:rsidR="004E344B" w:rsidRDefault="004E344B" w:rsidP="00F326E5">
      <w:pPr>
        <w:pStyle w:val="NoSpacing"/>
        <w:rPr>
          <w:rFonts w:ascii="Arial Black" w:hAnsi="Arial Black"/>
          <w:sz w:val="24"/>
          <w:szCs w:val="24"/>
        </w:rPr>
      </w:pPr>
    </w:p>
    <w:p w14:paraId="45168707" w14:textId="77777777" w:rsidR="004E344B" w:rsidRDefault="004E344B" w:rsidP="00F326E5">
      <w:pPr>
        <w:pStyle w:val="NoSpacing"/>
        <w:rPr>
          <w:rFonts w:ascii="Arial Black" w:hAnsi="Arial Black"/>
          <w:sz w:val="24"/>
          <w:szCs w:val="24"/>
        </w:rPr>
      </w:pPr>
    </w:p>
    <w:p w14:paraId="1AC375F6" w14:textId="77777777" w:rsidR="004E344B" w:rsidRDefault="004E344B" w:rsidP="00F326E5">
      <w:pPr>
        <w:pStyle w:val="NoSpacing"/>
        <w:rPr>
          <w:rFonts w:ascii="Arial Black" w:hAnsi="Arial Black"/>
          <w:sz w:val="24"/>
          <w:szCs w:val="24"/>
        </w:rPr>
      </w:pPr>
    </w:p>
    <w:p w14:paraId="645D2355" w14:textId="0C46FF79" w:rsidR="00075DAE" w:rsidRDefault="00075DAE" w:rsidP="00F326E5">
      <w:pPr>
        <w:pStyle w:val="NoSpacing"/>
        <w:rPr>
          <w:rFonts w:ascii="Arial Black" w:hAnsi="Arial Black"/>
          <w:sz w:val="24"/>
          <w:szCs w:val="24"/>
        </w:rPr>
      </w:pPr>
      <w:r>
        <w:rPr>
          <w:rFonts w:ascii="Arial Black" w:hAnsi="Arial Black"/>
          <w:sz w:val="24"/>
          <w:szCs w:val="24"/>
        </w:rPr>
        <w:t>17-36</w:t>
      </w:r>
    </w:p>
    <w:p w14:paraId="1985E476" w14:textId="77777777" w:rsidR="00075DAE" w:rsidRDefault="00075DAE" w:rsidP="00F326E5">
      <w:pPr>
        <w:pStyle w:val="NoSpacing"/>
        <w:rPr>
          <w:rFonts w:ascii="Arial Black" w:hAnsi="Arial Black"/>
          <w:sz w:val="24"/>
          <w:szCs w:val="24"/>
        </w:rPr>
      </w:pPr>
    </w:p>
    <w:p w14:paraId="325CE8B7" w14:textId="77777777" w:rsidR="00B94F72" w:rsidRDefault="00B94F72" w:rsidP="00B94F72">
      <w:pPr>
        <w:pStyle w:val="NoSpacing"/>
        <w:rPr>
          <w:rFonts w:ascii="Arial Black" w:hAnsi="Arial Black"/>
          <w:b/>
          <w:sz w:val="28"/>
          <w:szCs w:val="28"/>
        </w:rPr>
      </w:pPr>
      <w:r>
        <w:rPr>
          <w:rFonts w:ascii="Arial Black" w:hAnsi="Arial Black"/>
          <w:b/>
          <w:sz w:val="28"/>
          <w:szCs w:val="28"/>
        </w:rPr>
        <w:t>CT: ARBITRATOR UPHOLDS DISCIPLINE - COVID19, NO MASK, TEMP CHECK, ARGUMENT - 15 DAYS VACATION</w:t>
      </w:r>
    </w:p>
    <w:p w14:paraId="31589451" w14:textId="77777777" w:rsidR="00B94F72" w:rsidRDefault="00B94F72" w:rsidP="00B94F72">
      <w:pPr>
        <w:pStyle w:val="NoSpacing"/>
        <w:rPr>
          <w:rFonts w:ascii="Arial Black" w:hAnsi="Arial Black"/>
          <w:b/>
          <w:sz w:val="28"/>
          <w:szCs w:val="28"/>
        </w:rPr>
      </w:pPr>
    </w:p>
    <w:p w14:paraId="2E3EA71E" w14:textId="77777777" w:rsidR="00B94F72" w:rsidRPr="009338B7" w:rsidRDefault="00B94F72" w:rsidP="00B94F72">
      <w:pPr>
        <w:pStyle w:val="NoSpacing"/>
        <w:rPr>
          <w:rFonts w:ascii="Times New Roman" w:hAnsi="Times New Roman"/>
          <w:bCs/>
          <w:sz w:val="24"/>
          <w:szCs w:val="24"/>
        </w:rPr>
      </w:pPr>
      <w:r w:rsidRPr="00737152">
        <w:rPr>
          <w:rFonts w:ascii="Times New Roman" w:hAnsi="Times New Roman"/>
          <w:bCs/>
          <w:sz w:val="24"/>
          <w:szCs w:val="24"/>
        </w:rPr>
        <w:t xml:space="preserve">On </w:t>
      </w:r>
      <w:r>
        <w:rPr>
          <w:rFonts w:ascii="Times New Roman" w:hAnsi="Times New Roman"/>
          <w:bCs/>
          <w:sz w:val="24"/>
          <w:szCs w:val="24"/>
        </w:rPr>
        <w:t xml:space="preserve">Nov. 6, 2023, in </w:t>
      </w:r>
      <w:r w:rsidRPr="00555FCC">
        <w:rPr>
          <w:rFonts w:ascii="Times New Roman" w:hAnsi="Times New Roman"/>
          <w:bCs/>
          <w:sz w:val="24"/>
          <w:szCs w:val="24"/>
          <w:u w:val="single"/>
        </w:rPr>
        <w:t>Nicola Tamburo v. City of Stamford</w:t>
      </w:r>
      <w:r>
        <w:rPr>
          <w:rFonts w:ascii="Times New Roman" w:hAnsi="Times New Roman"/>
          <w:bCs/>
          <w:sz w:val="24"/>
          <w:szCs w:val="24"/>
        </w:rPr>
        <w:t xml:space="preserve">, Judge Edward T. Krumeich, judge trial referee of Stamford / Norwalk Judicial District, in unpublished opinion, held that arbitrator properly upheld the discipline of FF / EMT Tamburo, finding there was evidence of “just cause” for the discipline. </w:t>
      </w:r>
      <w:hyperlink r:id="rId2879" w:history="1">
        <w:r w:rsidRPr="00A417BB">
          <w:rPr>
            <w:rStyle w:val="Hyperlink"/>
            <w:rFonts w:ascii="Times New Roman" w:hAnsi="Times New Roman"/>
            <w:bCs/>
            <w:sz w:val="24"/>
            <w:szCs w:val="24"/>
          </w:rPr>
          <w:t>https://jud.ct.gov/Superiorcourt/MOD/DocumentPreview.aspx?RandomKey=6CFC6C5D-9DDA-4D98-859D-8C6104A0B311</w:t>
        </w:r>
      </w:hyperlink>
      <w:r w:rsidRPr="009338B7">
        <w:rPr>
          <w:rFonts w:ascii="Times New Roman" w:hAnsi="Times New Roman"/>
          <w:bCs/>
          <w:sz w:val="24"/>
          <w:szCs w:val="24"/>
        </w:rPr>
        <w:t xml:space="preserve"> </w:t>
      </w:r>
    </w:p>
    <w:p w14:paraId="7699A5D8" w14:textId="77777777" w:rsidR="00075DAE" w:rsidRDefault="00075DAE" w:rsidP="00F326E5">
      <w:pPr>
        <w:pStyle w:val="NoSpacing"/>
        <w:rPr>
          <w:rFonts w:ascii="Arial Black" w:hAnsi="Arial Black"/>
          <w:sz w:val="24"/>
          <w:szCs w:val="24"/>
        </w:rPr>
      </w:pPr>
    </w:p>
    <w:p w14:paraId="31BD6933" w14:textId="77777777" w:rsidR="00D92F5B" w:rsidRDefault="00D92F5B" w:rsidP="00D92F5B">
      <w:pPr>
        <w:pStyle w:val="NoSpacing"/>
        <w:rPr>
          <w:rFonts w:ascii="Times New Roman" w:hAnsi="Times New Roman"/>
          <w:b/>
          <w:sz w:val="24"/>
          <w:szCs w:val="24"/>
        </w:rPr>
      </w:pPr>
      <w:r>
        <w:rPr>
          <w:rFonts w:ascii="Times New Roman" w:hAnsi="Times New Roman"/>
          <w:b/>
          <w:sz w:val="24"/>
          <w:szCs w:val="24"/>
        </w:rPr>
        <w:t xml:space="preserve">Legal Lesson Learned: Just cause for the discipline was proven. </w:t>
      </w:r>
    </w:p>
    <w:p w14:paraId="4A799F3F" w14:textId="77777777" w:rsidR="00D92F5B" w:rsidRDefault="00D92F5B" w:rsidP="00D92F5B">
      <w:pPr>
        <w:rPr>
          <w:rFonts w:ascii="Times New Roman" w:hAnsi="Times New Roman"/>
          <w:sz w:val="24"/>
          <w:szCs w:val="24"/>
        </w:rPr>
      </w:pPr>
    </w:p>
    <w:p w14:paraId="61707174" w14:textId="77777777" w:rsidR="00D92F5B" w:rsidRDefault="00D92F5B" w:rsidP="00F326E5">
      <w:pPr>
        <w:pStyle w:val="NoSpacing"/>
        <w:rPr>
          <w:rFonts w:ascii="Arial Black" w:hAnsi="Arial Black"/>
          <w:sz w:val="24"/>
          <w:szCs w:val="24"/>
        </w:rPr>
      </w:pPr>
    </w:p>
    <w:p w14:paraId="6E9247C9" w14:textId="77777777" w:rsidR="00075DAE" w:rsidRDefault="00075DAE" w:rsidP="00F326E5">
      <w:pPr>
        <w:pStyle w:val="NoSpacing"/>
        <w:rPr>
          <w:rFonts w:ascii="Arial Black" w:hAnsi="Arial Black"/>
          <w:sz w:val="24"/>
          <w:szCs w:val="24"/>
        </w:rPr>
      </w:pPr>
    </w:p>
    <w:p w14:paraId="71A873EF" w14:textId="64215A4E" w:rsidR="002F7B74" w:rsidRDefault="000518BE" w:rsidP="00F326E5">
      <w:pPr>
        <w:pStyle w:val="NoSpacing"/>
        <w:rPr>
          <w:rFonts w:ascii="Arial Black" w:hAnsi="Arial Black"/>
          <w:sz w:val="24"/>
          <w:szCs w:val="24"/>
        </w:rPr>
      </w:pPr>
      <w:r>
        <w:rPr>
          <w:rFonts w:ascii="Arial Black" w:hAnsi="Arial Black"/>
          <w:sz w:val="24"/>
          <w:szCs w:val="24"/>
        </w:rPr>
        <w:t>17-35</w:t>
      </w:r>
    </w:p>
    <w:p w14:paraId="6DF2BBAE" w14:textId="77777777" w:rsidR="000518BE" w:rsidRDefault="000518BE" w:rsidP="000518BE">
      <w:pPr>
        <w:pStyle w:val="NormalWeb"/>
        <w:rPr>
          <w:rFonts w:ascii="Arial Black" w:hAnsi="Arial Black"/>
          <w:b/>
          <w:bCs/>
          <w:sz w:val="28"/>
          <w:szCs w:val="28"/>
        </w:rPr>
      </w:pPr>
      <w:r>
        <w:rPr>
          <w:rFonts w:ascii="Arial Black" w:hAnsi="Arial Black"/>
          <w:b/>
          <w:bCs/>
          <w:sz w:val="28"/>
          <w:szCs w:val="28"/>
        </w:rPr>
        <w:t>AR: UNION VP TOLD CITY IAFF PLANS LAWSUIT – VP FIRED FOR ALLEGED “LYING” JOB APPLICATION - CASE PROCEED</w:t>
      </w:r>
    </w:p>
    <w:p w14:paraId="783A4194" w14:textId="1416F83A" w:rsidR="000518BE" w:rsidRDefault="000518BE" w:rsidP="000518BE">
      <w:pPr>
        <w:pStyle w:val="NoSpacing"/>
        <w:rPr>
          <w:rStyle w:val="Hyperlink"/>
          <w:rFonts w:ascii="Times New Roman" w:hAnsi="Times New Roman"/>
          <w:sz w:val="24"/>
          <w:szCs w:val="24"/>
        </w:rPr>
      </w:pPr>
      <w:r w:rsidRPr="000518BE">
        <w:rPr>
          <w:rFonts w:ascii="Times New Roman" w:hAnsi="Times New Roman"/>
          <w:sz w:val="24"/>
          <w:szCs w:val="24"/>
        </w:rPr>
        <w:t xml:space="preserve">On Oct. 13, 2023, in </w:t>
      </w:r>
      <w:r w:rsidRPr="000518BE">
        <w:rPr>
          <w:rFonts w:ascii="Times New Roman" w:hAnsi="Times New Roman"/>
          <w:sz w:val="24"/>
          <w:szCs w:val="24"/>
          <w:u w:val="single"/>
        </w:rPr>
        <w:t>Shannon Glynn v. City of El Mirage</w:t>
      </w:r>
      <w:r w:rsidRPr="000518BE">
        <w:rPr>
          <w:rFonts w:ascii="Times New Roman" w:hAnsi="Times New Roman"/>
          <w:sz w:val="24"/>
          <w:szCs w:val="24"/>
        </w:rPr>
        <w:t xml:space="preserve">, U.S. District Court Judge Michael T. Liburdi, U.S. District Court for District of Arizona, denied the defense motion for summary judgment on some of the firefighter’s claims.  He had worked at Buckeye FD for 26 years, and in his application to El Mirage FD he disclosed that he resigned in lieu of termination after a citizen complaint. In </w:t>
      </w:r>
      <w:proofErr w:type="gramStart"/>
      <w:r w:rsidRPr="000518BE">
        <w:rPr>
          <w:rFonts w:ascii="Times New Roman" w:hAnsi="Times New Roman"/>
          <w:sz w:val="24"/>
          <w:szCs w:val="24"/>
        </w:rPr>
        <w:t>March,</w:t>
      </w:r>
      <w:proofErr w:type="gramEnd"/>
      <w:r w:rsidRPr="000518BE">
        <w:rPr>
          <w:rFonts w:ascii="Times New Roman" w:hAnsi="Times New Roman"/>
          <w:sz w:val="24"/>
          <w:szCs w:val="24"/>
        </w:rPr>
        <w:t xml:space="preserve"> 2021, he interviewed with the City Hiring Board where he explained that his Buckeye Fire Department resignation related to an incident involving a former girlfriend and her ex-husband (the ‘Buckeye Incident’). He was hired – one-year probationary period - and then promoted in Oct. 2021 as a fire engineer – another one-year probation – and he again disclosed the Buckeye Incident. The Court held: “Drawing all reasonable inferences in Mr. Glynn's favor, and as further explained below, the Court finds that Mr. Glynn pleads sufficient factual allegations to support ‘a series of acts’ that could establish a ‘causal connection’ between Defendants' wrongful conduct and the constitutional violations.” </w:t>
      </w:r>
      <w:hyperlink r:id="rId2880" w:history="1">
        <w:r w:rsidRPr="000518BE">
          <w:rPr>
            <w:rStyle w:val="Hyperlink"/>
            <w:rFonts w:ascii="Times New Roman" w:hAnsi="Times New Roman"/>
            <w:sz w:val="24"/>
            <w:szCs w:val="24"/>
          </w:rPr>
          <w:t>https://cases.justia.com/federal/district-courts/arizona/azdce/2:2023cv00612/1330978/17/0.pdf?ts=1697297155</w:t>
        </w:r>
      </w:hyperlink>
    </w:p>
    <w:p w14:paraId="578145D5" w14:textId="77777777" w:rsidR="000518BE" w:rsidRDefault="000518BE" w:rsidP="000518BE">
      <w:pPr>
        <w:pStyle w:val="NormalWeb"/>
        <w:rPr>
          <w:b/>
          <w:bCs/>
        </w:rPr>
      </w:pPr>
      <w:r>
        <w:rPr>
          <w:b/>
          <w:bCs/>
        </w:rPr>
        <w:t xml:space="preserve">Legal Lesson Learned: Facts alleged by VP certainly raises possible constitutional violations.  </w:t>
      </w:r>
    </w:p>
    <w:p w14:paraId="1254BA71" w14:textId="77777777" w:rsidR="000518BE" w:rsidRDefault="000518BE" w:rsidP="000518BE">
      <w:pPr>
        <w:pStyle w:val="NoSpacing"/>
        <w:rPr>
          <w:rFonts w:ascii="Times New Roman" w:hAnsi="Times New Roman"/>
          <w:sz w:val="24"/>
          <w:szCs w:val="24"/>
        </w:rPr>
      </w:pPr>
    </w:p>
    <w:p w14:paraId="6B3F5CDA" w14:textId="0A97961A" w:rsidR="000518BE" w:rsidRDefault="000518BE" w:rsidP="00F326E5">
      <w:pPr>
        <w:pStyle w:val="NoSpacing"/>
        <w:rPr>
          <w:rFonts w:ascii="Arial Black" w:hAnsi="Arial Black"/>
          <w:sz w:val="24"/>
          <w:szCs w:val="24"/>
        </w:rPr>
      </w:pPr>
      <w:r>
        <w:rPr>
          <w:rFonts w:ascii="Arial Black" w:hAnsi="Arial Black"/>
          <w:sz w:val="24"/>
          <w:szCs w:val="24"/>
        </w:rPr>
        <w:t>17-34</w:t>
      </w:r>
    </w:p>
    <w:p w14:paraId="09FD7F42" w14:textId="77777777" w:rsidR="000518BE" w:rsidRDefault="000518BE" w:rsidP="00F326E5">
      <w:pPr>
        <w:pStyle w:val="NoSpacing"/>
        <w:rPr>
          <w:rFonts w:ascii="Arial Black" w:hAnsi="Arial Black"/>
          <w:sz w:val="24"/>
          <w:szCs w:val="24"/>
        </w:rPr>
      </w:pPr>
    </w:p>
    <w:p w14:paraId="4E2EF1D7" w14:textId="77777777" w:rsidR="000518BE" w:rsidRDefault="000518BE" w:rsidP="000518BE">
      <w:pPr>
        <w:pStyle w:val="NormalWeb"/>
        <w:rPr>
          <w:rFonts w:ascii="Arial Black" w:hAnsi="Arial Black"/>
          <w:sz w:val="28"/>
          <w:szCs w:val="28"/>
        </w:rPr>
      </w:pPr>
      <w:r>
        <w:rPr>
          <w:rFonts w:ascii="Arial Black" w:hAnsi="Arial Black"/>
          <w:sz w:val="28"/>
          <w:szCs w:val="28"/>
        </w:rPr>
        <w:t xml:space="preserve">NJ: ARBITRATION AWARD TO TOWNSHIP SET ASIDE – TWP ADMIN. MUST TESTIFY PLAN TO STOP EMS RESPONSE  </w:t>
      </w:r>
    </w:p>
    <w:p w14:paraId="0B74D23B" w14:textId="7A0091FB" w:rsidR="000518BE" w:rsidRPr="000518BE" w:rsidRDefault="000518BE" w:rsidP="000518BE">
      <w:pPr>
        <w:pStyle w:val="NoSpacing"/>
        <w:rPr>
          <w:rFonts w:ascii="Times New Roman" w:hAnsi="Times New Roman"/>
          <w:sz w:val="24"/>
          <w:szCs w:val="24"/>
        </w:rPr>
      </w:pPr>
      <w:r w:rsidRPr="000518BE">
        <w:rPr>
          <w:rFonts w:ascii="Times New Roman" w:hAnsi="Times New Roman"/>
          <w:sz w:val="24"/>
          <w:szCs w:val="24"/>
        </w:rPr>
        <w:t xml:space="preserve">On Oct. 10, 2023, in </w:t>
      </w:r>
      <w:r w:rsidRPr="000518BE">
        <w:rPr>
          <w:rFonts w:ascii="Times New Roman" w:hAnsi="Times New Roman"/>
          <w:sz w:val="24"/>
          <w:szCs w:val="24"/>
          <w:u w:val="single"/>
        </w:rPr>
        <w:t>International Association of Fire Fighters, Local 1197 v. Township of Edison</w:t>
      </w:r>
      <w:r w:rsidRPr="000518BE">
        <w:rPr>
          <w:rFonts w:ascii="Times New Roman" w:hAnsi="Times New Roman"/>
          <w:sz w:val="24"/>
          <w:szCs w:val="24"/>
        </w:rPr>
        <w:t xml:space="preserve">, the Superior Court of New Jersey, Appellate Division, held (2 to 0) that arbitrator’s decision denying Local’s grievance which trial court affirmed, is reversed.  The Court held: “During oral argument [before trial court], petitioner's counsel asserted that ‘in support of a final offer,’ the Township business administrator on March 13, 2018, had stated ‘in front of everybody’ that ‘the Fire Department was no longer needed for EMS response due to the Police Department responding to all 9-1-1 calls.’ He argued the testimony about the Township business administrator's statement was admissible because it was made ‘in support of a final offer, not a mediator settlement.’*** Because the court erred in failing to find the arbitrator had erroneously excluded the testimony about the Township's business administrator's statement, we reverse the denial of the petition to vacate the arbitration award and remand for proceeding consistent with the opinion.” </w:t>
      </w:r>
      <w:hyperlink r:id="rId2881" w:history="1">
        <w:r w:rsidRPr="000518BE">
          <w:rPr>
            <w:rStyle w:val="Hyperlink"/>
            <w:rFonts w:ascii="Times New Roman" w:hAnsi="Times New Roman"/>
            <w:sz w:val="24"/>
            <w:szCs w:val="24"/>
          </w:rPr>
          <w:t>https://cases.justia.com/new-jersey/appellate-division-unpublished/2023-a-1747-21.pdf?ts=1696950933</w:t>
        </w:r>
      </w:hyperlink>
    </w:p>
    <w:p w14:paraId="11FC6C67" w14:textId="77777777" w:rsidR="000518BE" w:rsidRDefault="000518BE" w:rsidP="00F326E5">
      <w:pPr>
        <w:pStyle w:val="NoSpacing"/>
        <w:rPr>
          <w:rFonts w:ascii="Arial Black" w:hAnsi="Arial Black"/>
          <w:sz w:val="24"/>
          <w:szCs w:val="24"/>
        </w:rPr>
      </w:pPr>
    </w:p>
    <w:p w14:paraId="5BBCEE3F" w14:textId="77777777" w:rsidR="000518BE" w:rsidRDefault="000518BE" w:rsidP="000518BE">
      <w:pPr>
        <w:spacing w:after="100" w:line="240" w:lineRule="auto"/>
        <w:rPr>
          <w:rFonts w:ascii="Times New Roman" w:hAnsi="Times New Roman"/>
          <w:b/>
          <w:bCs/>
          <w:sz w:val="24"/>
          <w:szCs w:val="24"/>
        </w:rPr>
      </w:pPr>
      <w:r>
        <w:rPr>
          <w:rFonts w:ascii="Times New Roman" w:hAnsi="Times New Roman"/>
          <w:b/>
          <w:bCs/>
          <w:sz w:val="24"/>
          <w:szCs w:val="24"/>
        </w:rPr>
        <w:t xml:space="preserve">Legal Lesson Learned: The arbitration award is now vacated; grievance to be proceed back to arbitration. </w:t>
      </w:r>
    </w:p>
    <w:p w14:paraId="7A0CDAB9" w14:textId="77777777" w:rsidR="000518BE" w:rsidRDefault="000518BE" w:rsidP="000518BE">
      <w:pPr>
        <w:spacing w:after="100" w:line="240" w:lineRule="auto"/>
        <w:rPr>
          <w:rFonts w:ascii="Times New Roman" w:hAnsi="Times New Roman"/>
          <w:b/>
          <w:bCs/>
          <w:sz w:val="24"/>
          <w:szCs w:val="24"/>
        </w:rPr>
      </w:pPr>
    </w:p>
    <w:p w14:paraId="343E7936" w14:textId="77777777" w:rsidR="000518BE" w:rsidRDefault="000518BE" w:rsidP="00F326E5">
      <w:pPr>
        <w:pStyle w:val="NoSpacing"/>
        <w:rPr>
          <w:rFonts w:ascii="Arial Black" w:hAnsi="Arial Black"/>
          <w:sz w:val="24"/>
          <w:szCs w:val="24"/>
        </w:rPr>
      </w:pPr>
    </w:p>
    <w:p w14:paraId="222FB3E9" w14:textId="00F251F9" w:rsidR="002F7B74" w:rsidRDefault="002F7B74" w:rsidP="00F326E5">
      <w:pPr>
        <w:pStyle w:val="NoSpacing"/>
        <w:rPr>
          <w:rFonts w:ascii="Arial Black" w:hAnsi="Arial Black"/>
          <w:sz w:val="24"/>
          <w:szCs w:val="24"/>
        </w:rPr>
      </w:pPr>
      <w:r>
        <w:rPr>
          <w:rFonts w:ascii="Arial Black" w:hAnsi="Arial Black"/>
          <w:sz w:val="24"/>
          <w:szCs w:val="24"/>
        </w:rPr>
        <w:t>17-33</w:t>
      </w:r>
    </w:p>
    <w:p w14:paraId="73D01EE4" w14:textId="77777777" w:rsidR="002F7B74" w:rsidRPr="00F2484F" w:rsidRDefault="002F7B74" w:rsidP="002F7B74">
      <w:pPr>
        <w:pStyle w:val="NormalWeb"/>
        <w:rPr>
          <w:rFonts w:ascii="Arial Black" w:hAnsi="Arial Black"/>
          <w:b/>
          <w:bCs/>
          <w:sz w:val="28"/>
          <w:szCs w:val="28"/>
        </w:rPr>
      </w:pPr>
      <w:r>
        <w:rPr>
          <w:rFonts w:ascii="Arial Black" w:hAnsi="Arial Black"/>
          <w:b/>
          <w:bCs/>
          <w:sz w:val="28"/>
          <w:szCs w:val="28"/>
        </w:rPr>
        <w:lastRenderedPageBreak/>
        <w:t xml:space="preserve">OH: FIRE CHIEF “RETIRE / REHIRE” IMPROPER – CITY CIVIL SERVICE COMM. TO HOLD COMPETITVE PROMOTION EXAM </w:t>
      </w:r>
    </w:p>
    <w:p w14:paraId="123DF862" w14:textId="77777777" w:rsidR="002F7B74" w:rsidRDefault="002F7B74" w:rsidP="002F7B74">
      <w:pPr>
        <w:pStyle w:val="NormalWeb"/>
      </w:pPr>
      <w:r>
        <w:t xml:space="preserve">On Aug. 29, 2023, </w:t>
      </w:r>
      <w:r w:rsidRPr="00F2484F">
        <w:t xml:space="preserve">in </w:t>
      </w:r>
      <w:r w:rsidRPr="00C14243">
        <w:rPr>
          <w:u w:val="single"/>
        </w:rPr>
        <w:t xml:space="preserve">State ex rel. </w:t>
      </w:r>
      <w:proofErr w:type="spellStart"/>
      <w:r w:rsidRPr="00C14243">
        <w:rPr>
          <w:u w:val="single"/>
        </w:rPr>
        <w:t>Internatl</w:t>
      </w:r>
      <w:proofErr w:type="spellEnd"/>
      <w:r w:rsidRPr="00C14243">
        <w:rPr>
          <w:u w:val="single"/>
        </w:rPr>
        <w:t xml:space="preserve">. Assn. of Fire Fighters, Local 1536, AFL-CIO v. </w:t>
      </w:r>
      <w:proofErr w:type="spellStart"/>
      <w:r w:rsidRPr="00C14243">
        <w:rPr>
          <w:u w:val="single"/>
        </w:rPr>
        <w:t>Sakacs</w:t>
      </w:r>
      <w:proofErr w:type="spellEnd"/>
      <w:r w:rsidRPr="00C14243">
        <w:rPr>
          <w:u w:val="single"/>
        </w:rPr>
        <w:t>,</w:t>
      </w:r>
      <w:r>
        <w:rPr>
          <w:u w:val="single"/>
        </w:rPr>
        <w:t xml:space="preserve"> </w:t>
      </w:r>
      <w:r w:rsidRPr="00F2484F">
        <w:t>the Ohio Supreme Court</w:t>
      </w:r>
      <w:r>
        <w:rPr>
          <w:u w:val="single"/>
        </w:rPr>
        <w:t xml:space="preserve"> </w:t>
      </w:r>
      <w:r w:rsidRPr="00F2484F">
        <w:t xml:space="preserve">held (7 to 0) </w:t>
      </w:r>
      <w:r>
        <w:t xml:space="preserve">that City of Wickliffe violated Ohio Rev. Code Section 124.48, Fire Department Vacancies, when it allowed Fire Chief James Powers to retire on January 6, 2020, and then rehired him the next day so he could collect both a pension and his salary (a practice known as “double dipping”).  Court held that a “vacancy” occurred when the Fire Chief retired. </w:t>
      </w:r>
    </w:p>
    <w:p w14:paraId="6E6E7C46" w14:textId="77777777" w:rsidR="002F7B74" w:rsidRDefault="002F7B74" w:rsidP="002F7B74">
      <w:pPr>
        <w:pStyle w:val="NormalWeb"/>
        <w:ind w:left="720"/>
      </w:pPr>
      <w:r>
        <w:t>The Court held: “</w:t>
      </w:r>
      <w:r w:rsidRPr="00F2484F">
        <w:t>We conclude that under the plain language of R.C. 124.48, a vacancy occurs when the incumbent in a promoted-rank position in a fire department retires and therefore the position must be filled through the process set forth in R.C. 124.48.</w:t>
      </w:r>
      <w:r>
        <w:t>”</w:t>
      </w:r>
      <w:r w:rsidRPr="005244BC">
        <w:t xml:space="preserve"> </w:t>
      </w:r>
      <w:hyperlink r:id="rId2882" w:history="1">
        <w:r w:rsidRPr="00934E1E">
          <w:rPr>
            <w:rStyle w:val="Hyperlink"/>
            <w:rFonts w:eastAsiaTheme="majorEastAsia"/>
          </w:rPr>
          <w:t>https://www.supremecourt.ohio.gov/rod/docs/pdf/0/2023/2023-Ohio-2976.pdf</w:t>
        </w:r>
      </w:hyperlink>
      <w:r>
        <w:t xml:space="preserve"> </w:t>
      </w:r>
    </w:p>
    <w:p w14:paraId="1FA27DDF" w14:textId="77777777" w:rsidR="002F7B74" w:rsidRDefault="002F7B74" w:rsidP="002F7B74">
      <w:pPr>
        <w:pStyle w:val="NormalWeb"/>
        <w:ind w:left="720" w:firstLine="720"/>
      </w:pPr>
      <w:r>
        <w:t xml:space="preserve">Section 124.48 provides:  </w:t>
      </w:r>
      <w:hyperlink r:id="rId2883" w:history="1">
        <w:r w:rsidRPr="00934E1E">
          <w:rPr>
            <w:rStyle w:val="Hyperlink"/>
            <w:rFonts w:eastAsiaTheme="majorEastAsia"/>
          </w:rPr>
          <w:t>https://codes.ohio.gov/ohio-revised-code/section-124.48</w:t>
        </w:r>
      </w:hyperlink>
      <w:r>
        <w:t xml:space="preserve"> </w:t>
      </w:r>
    </w:p>
    <w:p w14:paraId="37C391FA" w14:textId="77777777" w:rsidR="002F7B74" w:rsidRDefault="002F7B74" w:rsidP="002F7B74">
      <w:pPr>
        <w:pStyle w:val="NormalWeb"/>
        <w:ind w:left="1440"/>
      </w:pPr>
      <w:r>
        <w:t xml:space="preserve">“Whenever a vacancy occurs in a promoted rank in a fire department and no eligible list for that rank exists, the appointing authority shall certify the fact to the civil service commission. The civil service commission, within sixty days of the vacancy, shall conduct a competitive promotional examination. After the examination has been held, an eligible list shall be established, and the civil service commission shall certify to the appointing authority the name of the person on the list receiving the highest grade. Upon the certification, the appointing authority shall appoint the person so certified within ten days. </w:t>
      </w:r>
    </w:p>
    <w:p w14:paraId="64C405F9" w14:textId="77777777" w:rsidR="002F7B74" w:rsidRDefault="002F7B74" w:rsidP="002F7B74">
      <w:pPr>
        <w:pStyle w:val="NormalWeb"/>
        <w:ind w:left="1440"/>
      </w:pPr>
      <w:r>
        <w:t>When an eligible list exists and a vacancy occurs in a position for which the list was established, the appointing authority shall certify the fact to the civil service commission. The person standing highest on the list shall be certified to the appointing authority, and that person shall be appointed within ten days.”</w:t>
      </w:r>
    </w:p>
    <w:p w14:paraId="4BEAB88E" w14:textId="77777777" w:rsidR="002F7B74" w:rsidRPr="004168A4" w:rsidRDefault="002F7B74" w:rsidP="002F7B74">
      <w:pPr>
        <w:pStyle w:val="NoSpacing"/>
        <w:rPr>
          <w:rFonts w:ascii="Times New Roman" w:hAnsi="Times New Roman"/>
          <w:b/>
          <w:bCs/>
          <w:sz w:val="24"/>
          <w:szCs w:val="24"/>
        </w:rPr>
      </w:pPr>
      <w:r w:rsidRPr="004168A4">
        <w:rPr>
          <w:rFonts w:ascii="Times New Roman" w:hAnsi="Times New Roman"/>
          <w:b/>
          <w:bCs/>
          <w:sz w:val="24"/>
          <w:szCs w:val="24"/>
        </w:rPr>
        <w:t>Legal Lesson Learned:</w:t>
      </w:r>
      <w:r>
        <w:rPr>
          <w:rFonts w:ascii="Times New Roman" w:hAnsi="Times New Roman"/>
          <w:b/>
          <w:bCs/>
          <w:sz w:val="24"/>
          <w:szCs w:val="24"/>
        </w:rPr>
        <w:t xml:space="preserve">  This decision impacts all Ohio cities and other political subdivisions with fire officials in a classified civil service position. </w:t>
      </w:r>
    </w:p>
    <w:p w14:paraId="06B70139" w14:textId="77777777" w:rsidR="002F7B74" w:rsidRDefault="002F7B74" w:rsidP="002F7B74">
      <w:pPr>
        <w:pStyle w:val="Heading2"/>
      </w:pPr>
      <w:r>
        <w:tab/>
      </w:r>
    </w:p>
    <w:p w14:paraId="35B68ED2" w14:textId="77777777" w:rsidR="002F7B74" w:rsidRPr="002F7B74" w:rsidRDefault="002F7B74" w:rsidP="002F7B74">
      <w:pPr>
        <w:pStyle w:val="Heading2"/>
        <w:ind w:left="720"/>
        <w:rPr>
          <w:rFonts w:ascii="Times New Roman" w:hAnsi="Times New Roman"/>
          <w:b w:val="0"/>
          <w:bCs w:val="0"/>
          <w:i w:val="0"/>
          <w:iCs w:val="0"/>
          <w:sz w:val="24"/>
          <w:szCs w:val="24"/>
        </w:rPr>
      </w:pPr>
      <w:r w:rsidRPr="002F7B74">
        <w:rPr>
          <w:rFonts w:ascii="Times New Roman" w:hAnsi="Times New Roman"/>
          <w:b w:val="0"/>
          <w:bCs w:val="0"/>
          <w:i w:val="0"/>
          <w:iCs w:val="0"/>
          <w:sz w:val="24"/>
          <w:szCs w:val="24"/>
        </w:rPr>
        <w:t xml:space="preserve">Note:  See Aug. 29, </w:t>
      </w:r>
      <w:proofErr w:type="gramStart"/>
      <w:r w:rsidRPr="002F7B74">
        <w:rPr>
          <w:rFonts w:ascii="Times New Roman" w:hAnsi="Times New Roman"/>
          <w:b w:val="0"/>
          <w:bCs w:val="0"/>
          <w:i w:val="0"/>
          <w:iCs w:val="0"/>
          <w:sz w:val="24"/>
          <w:szCs w:val="24"/>
        </w:rPr>
        <w:t>2023</w:t>
      </w:r>
      <w:proofErr w:type="gramEnd"/>
      <w:r w:rsidRPr="002F7B74">
        <w:rPr>
          <w:rFonts w:ascii="Times New Roman" w:hAnsi="Times New Roman"/>
          <w:b w:val="0"/>
          <w:bCs w:val="0"/>
          <w:i w:val="0"/>
          <w:iCs w:val="0"/>
          <w:sz w:val="24"/>
          <w:szCs w:val="24"/>
        </w:rPr>
        <w:t xml:space="preserve"> article, ‘Retire/Rehire’ Plan Violated Civil Service Law.” </w:t>
      </w:r>
      <w:hyperlink r:id="rId2884" w:history="1">
        <w:r w:rsidRPr="002F7B74">
          <w:rPr>
            <w:rStyle w:val="Hyperlink"/>
            <w:rFonts w:ascii="Times New Roman" w:hAnsi="Times New Roman"/>
            <w:b w:val="0"/>
            <w:bCs w:val="0"/>
            <w:i w:val="0"/>
            <w:iCs w:val="0"/>
            <w:sz w:val="24"/>
            <w:szCs w:val="24"/>
          </w:rPr>
          <w:t>https://www.courtnewsohio.gov/cases/2023/SCO/0829/220988.asp</w:t>
        </w:r>
      </w:hyperlink>
      <w:r w:rsidRPr="002F7B74">
        <w:rPr>
          <w:rFonts w:ascii="Times New Roman" w:hAnsi="Times New Roman"/>
          <w:b w:val="0"/>
          <w:bCs w:val="0"/>
          <w:i w:val="0"/>
          <w:iCs w:val="0"/>
          <w:sz w:val="24"/>
          <w:szCs w:val="24"/>
        </w:rPr>
        <w:t xml:space="preserve"> </w:t>
      </w:r>
    </w:p>
    <w:p w14:paraId="3791E116" w14:textId="77777777" w:rsidR="002F7B74" w:rsidRPr="002F7B74" w:rsidRDefault="002F7B74" w:rsidP="002F7B74">
      <w:pPr>
        <w:spacing w:before="100" w:beforeAutospacing="1" w:after="100" w:afterAutospacing="1" w:line="240" w:lineRule="auto"/>
        <w:jc w:val="center"/>
        <w:rPr>
          <w:rFonts w:ascii="Times New Roman" w:eastAsia="Times New Roman" w:hAnsi="Times New Roman"/>
          <w:b/>
          <w:bCs/>
          <w:sz w:val="24"/>
          <w:szCs w:val="24"/>
        </w:rPr>
      </w:pPr>
    </w:p>
    <w:p w14:paraId="08C11F08" w14:textId="77777777" w:rsidR="002F7B74" w:rsidRDefault="002F7B74" w:rsidP="00F326E5">
      <w:pPr>
        <w:pStyle w:val="NoSpacing"/>
        <w:rPr>
          <w:rFonts w:ascii="Arial Black" w:hAnsi="Arial Black"/>
          <w:sz w:val="24"/>
          <w:szCs w:val="24"/>
        </w:rPr>
      </w:pPr>
    </w:p>
    <w:p w14:paraId="5F8C7D72" w14:textId="77777777" w:rsidR="002F7B74" w:rsidRDefault="002F7B74" w:rsidP="00F326E5">
      <w:pPr>
        <w:pStyle w:val="NoSpacing"/>
        <w:rPr>
          <w:rFonts w:ascii="Arial Black" w:hAnsi="Arial Black"/>
          <w:sz w:val="24"/>
          <w:szCs w:val="24"/>
        </w:rPr>
      </w:pPr>
    </w:p>
    <w:p w14:paraId="5D714CF9" w14:textId="5F97D9D4" w:rsidR="00D33F96" w:rsidRDefault="0055155D" w:rsidP="00F326E5">
      <w:pPr>
        <w:pStyle w:val="NoSpacing"/>
        <w:rPr>
          <w:rFonts w:ascii="Arial Black" w:hAnsi="Arial Black"/>
          <w:sz w:val="24"/>
          <w:szCs w:val="24"/>
        </w:rPr>
      </w:pPr>
      <w:r>
        <w:rPr>
          <w:rFonts w:ascii="Arial Black" w:hAnsi="Arial Black"/>
          <w:sz w:val="24"/>
          <w:szCs w:val="24"/>
        </w:rPr>
        <w:t>17-32</w:t>
      </w:r>
    </w:p>
    <w:p w14:paraId="1A2B75FF" w14:textId="77777777" w:rsidR="0055155D" w:rsidRDefault="0055155D" w:rsidP="00F326E5">
      <w:pPr>
        <w:pStyle w:val="NoSpacing"/>
        <w:rPr>
          <w:rFonts w:ascii="Arial Black" w:hAnsi="Arial Black"/>
          <w:sz w:val="24"/>
          <w:szCs w:val="24"/>
        </w:rPr>
      </w:pPr>
    </w:p>
    <w:p w14:paraId="20022481" w14:textId="77777777" w:rsidR="0055155D" w:rsidRDefault="0055155D" w:rsidP="0055155D">
      <w:pPr>
        <w:spacing w:after="100" w:line="240" w:lineRule="auto"/>
      </w:pPr>
      <w:r>
        <w:rPr>
          <w:rFonts w:ascii="Arial Black" w:hAnsi="Arial Black"/>
          <w:sz w:val="28"/>
          <w:szCs w:val="28"/>
        </w:rPr>
        <w:t>RI:  UNDER CBA - TOWN / UNION SELECTED NEUTRAL 3</w:t>
      </w:r>
      <w:r w:rsidRPr="0024198A">
        <w:rPr>
          <w:rFonts w:ascii="Arial Black" w:hAnsi="Arial Black"/>
          <w:sz w:val="28"/>
          <w:szCs w:val="28"/>
          <w:vertAlign w:val="superscript"/>
        </w:rPr>
        <w:t>rd</w:t>
      </w:r>
      <w:r>
        <w:rPr>
          <w:rFonts w:ascii="Arial Black" w:hAnsi="Arial Black"/>
          <w:sz w:val="28"/>
          <w:szCs w:val="28"/>
        </w:rPr>
        <w:t xml:space="preserve"> PARTY PHYSICIAN - CHEST PAINS NOT JOB RELATED</w:t>
      </w:r>
    </w:p>
    <w:p w14:paraId="0D3F23D6" w14:textId="77777777" w:rsidR="0055155D" w:rsidRDefault="0055155D" w:rsidP="0055155D">
      <w:pPr>
        <w:spacing w:after="100" w:line="240" w:lineRule="auto"/>
        <w:rPr>
          <w:rFonts w:ascii="Times New Roman" w:hAnsi="Times New Roman"/>
          <w:sz w:val="24"/>
          <w:szCs w:val="24"/>
        </w:rPr>
      </w:pPr>
      <w:r>
        <w:rPr>
          <w:rFonts w:ascii="Times New Roman" w:hAnsi="Times New Roman"/>
          <w:sz w:val="24"/>
          <w:szCs w:val="24"/>
        </w:rPr>
        <w:t xml:space="preserve">On Aug. 21, 2023, in </w:t>
      </w:r>
      <w:r w:rsidRPr="004B5612">
        <w:rPr>
          <w:rFonts w:ascii="Times New Roman" w:hAnsi="Times New Roman"/>
          <w:sz w:val="24"/>
          <w:szCs w:val="24"/>
          <w:u w:val="single"/>
        </w:rPr>
        <w:t>Fred Melnyk v, Town of Little Compton</w:t>
      </w:r>
      <w:r>
        <w:rPr>
          <w:rFonts w:ascii="Times New Roman" w:hAnsi="Times New Roman"/>
          <w:sz w:val="24"/>
          <w:szCs w:val="24"/>
        </w:rPr>
        <w:t xml:space="preserve">, the U.S. Court of Appeals for First District (Boston) held (3 to 0; unpublished decision) that trial court judge granted Town’s motion for summary judgment.  The FF was put on Administrative Leave for chest pains from April 13, </w:t>
      </w:r>
      <w:proofErr w:type="gramStart"/>
      <w:r>
        <w:rPr>
          <w:rFonts w:ascii="Times New Roman" w:hAnsi="Times New Roman"/>
          <w:sz w:val="24"/>
          <w:szCs w:val="24"/>
        </w:rPr>
        <w:t>2028</w:t>
      </w:r>
      <w:proofErr w:type="gramEnd"/>
      <w:r>
        <w:rPr>
          <w:rFonts w:ascii="Times New Roman" w:hAnsi="Times New Roman"/>
          <w:sz w:val="24"/>
          <w:szCs w:val="24"/>
        </w:rPr>
        <w:t xml:space="preserve"> until termination in </w:t>
      </w:r>
      <w:proofErr w:type="gramStart"/>
      <w:r>
        <w:rPr>
          <w:rFonts w:ascii="Times New Roman" w:hAnsi="Times New Roman"/>
          <w:sz w:val="24"/>
          <w:szCs w:val="24"/>
        </w:rPr>
        <w:lastRenderedPageBreak/>
        <w:t>March,</w:t>
      </w:r>
      <w:proofErr w:type="gramEnd"/>
      <w:r>
        <w:rPr>
          <w:rFonts w:ascii="Times New Roman" w:hAnsi="Times New Roman"/>
          <w:sz w:val="24"/>
          <w:szCs w:val="24"/>
        </w:rPr>
        <w:t xml:space="preserve"> 2019. There was no breach of the Collective Bargaining Agreement since the CBA provides that when FF’s physician, and Town’s physician disagree on cause of a firefighter’s medical issue, the Town and the Union shall select a neutral 3</w:t>
      </w:r>
      <w:r w:rsidRPr="00B40900">
        <w:rPr>
          <w:rFonts w:ascii="Times New Roman" w:hAnsi="Times New Roman"/>
          <w:sz w:val="24"/>
          <w:szCs w:val="24"/>
          <w:vertAlign w:val="superscript"/>
        </w:rPr>
        <w:t>rd</w:t>
      </w:r>
      <w:r>
        <w:rPr>
          <w:rFonts w:ascii="Times New Roman" w:hAnsi="Times New Roman"/>
          <w:sz w:val="24"/>
          <w:szCs w:val="24"/>
        </w:rPr>
        <w:t xml:space="preserve"> physician whose decision is binding.  That 3</w:t>
      </w:r>
      <w:r w:rsidRPr="001E2B05">
        <w:rPr>
          <w:rFonts w:ascii="Times New Roman" w:hAnsi="Times New Roman"/>
          <w:sz w:val="24"/>
          <w:szCs w:val="24"/>
          <w:vertAlign w:val="superscript"/>
        </w:rPr>
        <w:t>rd</w:t>
      </w:r>
      <w:r>
        <w:rPr>
          <w:rFonts w:ascii="Times New Roman" w:hAnsi="Times New Roman"/>
          <w:sz w:val="24"/>
          <w:szCs w:val="24"/>
        </w:rPr>
        <w:t xml:space="preserve"> physician concluded chest pain </w:t>
      </w:r>
      <w:proofErr w:type="gramStart"/>
      <w:r>
        <w:rPr>
          <w:rFonts w:ascii="Times New Roman" w:hAnsi="Times New Roman"/>
          <w:sz w:val="24"/>
          <w:szCs w:val="24"/>
        </w:rPr>
        <w:t>not</w:t>
      </w:r>
      <w:proofErr w:type="gramEnd"/>
      <w:r>
        <w:rPr>
          <w:rFonts w:ascii="Times New Roman" w:hAnsi="Times New Roman"/>
          <w:sz w:val="24"/>
          <w:szCs w:val="24"/>
        </w:rPr>
        <w:t xml:space="preserve"> caused by the job. </w:t>
      </w:r>
    </w:p>
    <w:p w14:paraId="4A4E7A58" w14:textId="77777777" w:rsidR="0055155D" w:rsidRDefault="0055155D" w:rsidP="0055155D">
      <w:pPr>
        <w:spacing w:after="100" w:line="240" w:lineRule="auto"/>
        <w:rPr>
          <w:rFonts w:ascii="Times New Roman" w:hAnsi="Times New Roman"/>
          <w:sz w:val="24"/>
          <w:szCs w:val="24"/>
        </w:rPr>
      </w:pPr>
      <w:r>
        <w:rPr>
          <w:rFonts w:ascii="Times New Roman" w:hAnsi="Times New Roman"/>
          <w:sz w:val="24"/>
          <w:szCs w:val="24"/>
        </w:rPr>
        <w:tab/>
        <w:t>The Court held:</w:t>
      </w:r>
    </w:p>
    <w:p w14:paraId="3FB86540" w14:textId="77777777" w:rsidR="0055155D" w:rsidRDefault="0055155D" w:rsidP="0055155D">
      <w:pPr>
        <w:spacing w:after="100" w:line="240" w:lineRule="auto"/>
        <w:ind w:left="720"/>
        <w:rPr>
          <w:rFonts w:ascii="Times New Roman" w:hAnsi="Times New Roman"/>
          <w:sz w:val="24"/>
          <w:szCs w:val="24"/>
        </w:rPr>
      </w:pPr>
      <w:r>
        <w:rPr>
          <w:rFonts w:ascii="Times New Roman" w:hAnsi="Times New Roman"/>
          <w:sz w:val="24"/>
          <w:szCs w:val="24"/>
        </w:rPr>
        <w:t>“</w:t>
      </w:r>
      <w:r w:rsidRPr="00B40900">
        <w:rPr>
          <w:rFonts w:ascii="Times New Roman" w:hAnsi="Times New Roman"/>
          <w:sz w:val="24"/>
          <w:szCs w:val="24"/>
        </w:rPr>
        <w:t xml:space="preserve">Melnyk appears to take issue with the form of the opinion rendered by the Town's physician, highlighting how the physician's treatment notes from Melnyk's exam say nothing about whether Melnyk's ailment was job-related. The MOA, however, does not dictate the form of the physician's opinion or prohibit the Town's physician from rendering his opinion after, rather than contemporaneously with, Melnyk's office visit. Moreover, both the Town and the Union agreed that the note from the Town's physician was satisfactory and triggered the need for a third opinion. At bottom, Melnyk has not put forth any evidence to show that the note from the Town's physician did not mean what it said -- his </w:t>
      </w:r>
      <w:r>
        <w:rPr>
          <w:rFonts w:ascii="Times New Roman" w:hAnsi="Times New Roman"/>
          <w:sz w:val="24"/>
          <w:szCs w:val="24"/>
        </w:rPr>
        <w:t>‘</w:t>
      </w:r>
      <w:r w:rsidRPr="00B40900">
        <w:rPr>
          <w:rFonts w:ascii="Times New Roman" w:hAnsi="Times New Roman"/>
          <w:sz w:val="24"/>
          <w:szCs w:val="24"/>
        </w:rPr>
        <w:t>opinion is that [Melnyk's injury] [was] not job-related.</w:t>
      </w:r>
      <w:r>
        <w:rPr>
          <w:rFonts w:ascii="Times New Roman" w:hAnsi="Times New Roman"/>
          <w:sz w:val="24"/>
          <w:szCs w:val="24"/>
        </w:rPr>
        <w:t>’</w:t>
      </w:r>
      <w:r w:rsidRPr="00B40900">
        <w:rPr>
          <w:rFonts w:ascii="Times New Roman" w:hAnsi="Times New Roman"/>
          <w:sz w:val="24"/>
          <w:szCs w:val="24"/>
        </w:rPr>
        <w:t xml:space="preserve"> As such, there is no genuine issue of material fact as to whether the defendants breached the MOA by not obtaining an opinion from the Town's physician.</w:t>
      </w:r>
    </w:p>
    <w:p w14:paraId="20111594" w14:textId="77777777" w:rsidR="0055155D" w:rsidRDefault="0055155D" w:rsidP="0055155D">
      <w:pPr>
        <w:spacing w:after="100" w:line="240" w:lineRule="auto"/>
        <w:ind w:left="720"/>
        <w:rPr>
          <w:rFonts w:ascii="Times New Roman" w:hAnsi="Times New Roman"/>
          <w:sz w:val="24"/>
          <w:szCs w:val="24"/>
        </w:rPr>
      </w:pPr>
      <w:r>
        <w:rPr>
          <w:rFonts w:ascii="Times New Roman" w:hAnsi="Times New Roman"/>
          <w:sz w:val="24"/>
          <w:szCs w:val="24"/>
        </w:rPr>
        <w:t>***</w:t>
      </w:r>
    </w:p>
    <w:p w14:paraId="4A7593A0" w14:textId="77777777" w:rsidR="0055155D" w:rsidRPr="00B40900" w:rsidRDefault="0055155D" w:rsidP="0055155D">
      <w:pPr>
        <w:spacing w:after="100" w:line="240" w:lineRule="auto"/>
        <w:ind w:left="720"/>
        <w:rPr>
          <w:rFonts w:ascii="Times New Roman" w:hAnsi="Times New Roman"/>
          <w:sz w:val="24"/>
          <w:szCs w:val="24"/>
        </w:rPr>
      </w:pPr>
      <w:r w:rsidRPr="00B40900">
        <w:rPr>
          <w:rFonts w:ascii="Times New Roman" w:hAnsi="Times New Roman"/>
          <w:sz w:val="24"/>
          <w:szCs w:val="24"/>
        </w:rPr>
        <w:t>A third physician was selected by the Town and the Union, and he opined that Melnyk's condition was not job-related. Consequently, Melnyk was assessed sick time for time missed. In March 2019, having exhausted his remaining leave time and being unable to return to his duties, Melnyk was terminated.</w:t>
      </w:r>
      <w:r>
        <w:rPr>
          <w:rFonts w:ascii="Times New Roman" w:hAnsi="Times New Roman"/>
          <w:sz w:val="24"/>
          <w:szCs w:val="24"/>
        </w:rPr>
        <w:t xml:space="preserve">” </w:t>
      </w:r>
      <w:hyperlink r:id="rId2885" w:history="1">
        <w:r w:rsidRPr="00CD12AF">
          <w:rPr>
            <w:rStyle w:val="Hyperlink"/>
            <w:rFonts w:ascii="Times New Roman" w:hAnsi="Times New Roman"/>
            <w:sz w:val="24"/>
            <w:szCs w:val="24"/>
          </w:rPr>
          <w:t>http://media.ca1.uscourts.gov/pdf.opinions/22-1320U-01A.pdf</w:t>
        </w:r>
      </w:hyperlink>
      <w:r>
        <w:rPr>
          <w:rFonts w:ascii="Times New Roman" w:hAnsi="Times New Roman"/>
          <w:sz w:val="24"/>
          <w:szCs w:val="24"/>
        </w:rPr>
        <w:t xml:space="preserve"> </w:t>
      </w:r>
    </w:p>
    <w:p w14:paraId="1BAD3832" w14:textId="77777777" w:rsidR="0055155D" w:rsidRDefault="0055155D" w:rsidP="0055155D">
      <w:pPr>
        <w:spacing w:after="100" w:line="240" w:lineRule="auto"/>
        <w:rPr>
          <w:rFonts w:ascii="Times New Roman" w:hAnsi="Times New Roman"/>
          <w:sz w:val="24"/>
          <w:szCs w:val="24"/>
        </w:rPr>
      </w:pPr>
    </w:p>
    <w:p w14:paraId="2E9C301D" w14:textId="77777777" w:rsidR="0055155D" w:rsidRDefault="0055155D" w:rsidP="0055155D">
      <w:pPr>
        <w:pStyle w:val="NormalWeb"/>
      </w:pPr>
      <w:r w:rsidRPr="001E2B05">
        <w:rPr>
          <w:b/>
          <w:bCs/>
        </w:rPr>
        <w:t xml:space="preserve">Legal Lesson Learned: </w:t>
      </w:r>
      <w:r>
        <w:rPr>
          <w:b/>
          <w:bCs/>
        </w:rPr>
        <w:t>Selection by Town and Union of a neutral third physician was consistent with CBA.</w:t>
      </w:r>
    </w:p>
    <w:p w14:paraId="7BD11AE8" w14:textId="77777777" w:rsidR="0055155D" w:rsidRDefault="0055155D" w:rsidP="00F326E5">
      <w:pPr>
        <w:pStyle w:val="NoSpacing"/>
        <w:rPr>
          <w:rFonts w:ascii="Arial Black" w:hAnsi="Arial Black"/>
          <w:sz w:val="24"/>
          <w:szCs w:val="24"/>
        </w:rPr>
      </w:pPr>
    </w:p>
    <w:p w14:paraId="255C0642" w14:textId="77777777" w:rsidR="00D33F96" w:rsidRDefault="00D33F96" w:rsidP="00F326E5">
      <w:pPr>
        <w:pStyle w:val="NoSpacing"/>
        <w:rPr>
          <w:rFonts w:ascii="Arial Black" w:hAnsi="Arial Black"/>
          <w:sz w:val="24"/>
          <w:szCs w:val="24"/>
        </w:rPr>
      </w:pPr>
    </w:p>
    <w:p w14:paraId="0F0F466D" w14:textId="3B23C4DE" w:rsidR="00D33F96" w:rsidRDefault="00D33F96" w:rsidP="00F326E5">
      <w:pPr>
        <w:pStyle w:val="NoSpacing"/>
        <w:rPr>
          <w:rFonts w:ascii="Arial Black" w:hAnsi="Arial Black"/>
          <w:sz w:val="24"/>
          <w:szCs w:val="24"/>
        </w:rPr>
      </w:pPr>
      <w:r>
        <w:rPr>
          <w:rFonts w:ascii="Arial Black" w:hAnsi="Arial Black"/>
          <w:sz w:val="24"/>
          <w:szCs w:val="24"/>
        </w:rPr>
        <w:t>17-31</w:t>
      </w:r>
    </w:p>
    <w:p w14:paraId="5588F274" w14:textId="77777777" w:rsidR="00D33F96" w:rsidRDefault="00D33F96" w:rsidP="00D33F96">
      <w:pPr>
        <w:spacing w:before="100" w:beforeAutospacing="1" w:after="100" w:afterAutospacing="1" w:line="240" w:lineRule="auto"/>
        <w:rPr>
          <w:rFonts w:ascii="Arial Black" w:hAnsi="Arial Black"/>
          <w:sz w:val="28"/>
          <w:szCs w:val="28"/>
        </w:rPr>
      </w:pPr>
      <w:r>
        <w:rPr>
          <w:rFonts w:ascii="Arial Black" w:hAnsi="Arial Black"/>
          <w:sz w:val="28"/>
          <w:szCs w:val="28"/>
        </w:rPr>
        <w:t>OH: YOUNGSTOWN CAPT. – DENIED PROMOTION – UNDER CBA ARBITRATION ONLY REMEDY – EVEN DELAYED UNION</w:t>
      </w:r>
    </w:p>
    <w:p w14:paraId="01CA3F3C" w14:textId="77777777" w:rsidR="00D33F96" w:rsidRDefault="00D33F96" w:rsidP="00D33F96">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July 6, 2023, in </w:t>
      </w:r>
      <w:r w:rsidRPr="001F7141">
        <w:rPr>
          <w:rFonts w:ascii="Times New Roman" w:hAnsi="Times New Roman"/>
          <w:sz w:val="24"/>
          <w:szCs w:val="24"/>
          <w:u w:val="single"/>
        </w:rPr>
        <w:t>The State ex rel. Casey et al. v. Brown, Mayor, et al</w:t>
      </w:r>
      <w:r>
        <w:rPr>
          <w:rFonts w:ascii="Times New Roman" w:hAnsi="Times New Roman"/>
          <w:sz w:val="24"/>
          <w:szCs w:val="24"/>
        </w:rPr>
        <w:t xml:space="preserve">., the Supreme Court of Ohio held (7 to 0), in a per curium decision [not authored by a single judge; appeal was also decided without need for oral argument], that the Ohio Court of Appeals for the Seventh District correctly held that the Captain has an adequate remedy through arbitration under the collection bargaining agreement, even if the arbitration has been delayed because Local 312 President is waiting for an arbitration decision by another Captain. He and others took a promotion exam in Oct. 2021 when a battalion chief retired; if he ultimately wins in arbitration, then he gets back pay with interest. </w:t>
      </w:r>
    </w:p>
    <w:p w14:paraId="6611D799" w14:textId="46E89446" w:rsidR="00D33F96" w:rsidRDefault="00D33F96" w:rsidP="00D33F96">
      <w:pPr>
        <w:pStyle w:val="NoSpacing"/>
        <w:rPr>
          <w:rStyle w:val="Hyperlink"/>
          <w:sz w:val="24"/>
          <w:szCs w:val="24"/>
        </w:rPr>
      </w:pPr>
      <w:r>
        <w:rPr>
          <w:rFonts w:ascii="Times New Roman" w:hAnsi="Times New Roman"/>
          <w:sz w:val="24"/>
          <w:szCs w:val="24"/>
        </w:rPr>
        <w:t xml:space="preserve">The Court held: </w:t>
      </w:r>
      <w:r w:rsidRPr="006B2F09">
        <w:rPr>
          <w:rFonts w:ascii="Times New Roman" w:hAnsi="Times New Roman"/>
          <w:sz w:val="24"/>
          <w:szCs w:val="24"/>
        </w:rPr>
        <w:t xml:space="preserve">“In summary, Casey had an adequate remedy in the ordinary course of the law to advance his grievance by way of the CBA because his claim was </w:t>
      </w:r>
      <w:proofErr w:type="spellStart"/>
      <w:r w:rsidRPr="006B2F09">
        <w:rPr>
          <w:rFonts w:ascii="Times New Roman" w:hAnsi="Times New Roman"/>
          <w:sz w:val="24"/>
          <w:szCs w:val="24"/>
        </w:rPr>
        <w:t>grievable</w:t>
      </w:r>
      <w:proofErr w:type="spellEnd"/>
      <w:r w:rsidRPr="006B2F09">
        <w:rPr>
          <w:rFonts w:ascii="Times New Roman" w:hAnsi="Times New Roman"/>
          <w:sz w:val="24"/>
          <w:szCs w:val="24"/>
        </w:rPr>
        <w:t xml:space="preserve">. *** </w:t>
      </w:r>
      <w:r w:rsidRPr="00D1130B">
        <w:rPr>
          <w:rFonts w:ascii="Times New Roman" w:hAnsi="Times New Roman"/>
          <w:sz w:val="24"/>
          <w:szCs w:val="24"/>
        </w:rPr>
        <w:t>Casey's argument is internally inconsistent. On the one hand, he concedes that so long as he was able to seek relief through the CBA's grievance procedure, his remedy under the CBA was adequate. But, the argument runs, once he received an unfavorable decision by way of the union president's decision to decline to advance his grievance to arbitration, the remedy became inadequate, clearing the way for this action. It follows that if his remedy was at one time adequate-as he concedes that it was-then that is enough.</w:t>
      </w:r>
      <w:r>
        <w:rPr>
          <w:rFonts w:ascii="Times New Roman" w:hAnsi="Times New Roman"/>
          <w:sz w:val="24"/>
          <w:szCs w:val="24"/>
        </w:rPr>
        <w:t>”</w:t>
      </w:r>
      <w:r w:rsidRPr="00D1130B">
        <w:rPr>
          <w:rFonts w:ascii="Times New Roman" w:hAnsi="Times New Roman"/>
          <w:sz w:val="24"/>
          <w:szCs w:val="24"/>
        </w:rPr>
        <w:t xml:space="preserve">  </w:t>
      </w:r>
      <w:hyperlink r:id="rId2886" w:history="1">
        <w:r w:rsidRPr="00812663">
          <w:rPr>
            <w:rStyle w:val="Hyperlink"/>
            <w:sz w:val="24"/>
            <w:szCs w:val="24"/>
          </w:rPr>
          <w:t>https://www.supremecourt.ohio.gov/rod/docs/pdf/0/2023/2023-Ohio-2264.pdf</w:t>
        </w:r>
      </w:hyperlink>
    </w:p>
    <w:p w14:paraId="589B922B" w14:textId="77777777" w:rsidR="005F448F" w:rsidRDefault="005F448F" w:rsidP="00D33F96">
      <w:pPr>
        <w:pStyle w:val="NoSpacing"/>
        <w:rPr>
          <w:rStyle w:val="Hyperlink"/>
          <w:sz w:val="24"/>
          <w:szCs w:val="24"/>
        </w:rPr>
      </w:pPr>
    </w:p>
    <w:p w14:paraId="2812EE79" w14:textId="77777777" w:rsidR="005F448F" w:rsidRDefault="005F448F" w:rsidP="00D33F96">
      <w:pPr>
        <w:pStyle w:val="NoSpacing"/>
        <w:rPr>
          <w:rStyle w:val="Hyperlink"/>
          <w:sz w:val="24"/>
          <w:szCs w:val="24"/>
        </w:rPr>
      </w:pPr>
    </w:p>
    <w:p w14:paraId="273E2FCD" w14:textId="77777777" w:rsidR="005F448F" w:rsidRPr="00742D8E" w:rsidRDefault="005F448F" w:rsidP="005F448F">
      <w:pPr>
        <w:spacing w:before="100" w:beforeAutospacing="1" w:after="100" w:afterAutospacing="1" w:line="240" w:lineRule="auto"/>
        <w:rPr>
          <w:rFonts w:ascii="Times New Roman" w:hAnsi="Times New Roman"/>
          <w:b/>
          <w:bCs/>
          <w:sz w:val="24"/>
          <w:szCs w:val="24"/>
        </w:rPr>
      </w:pPr>
      <w:r w:rsidRPr="00742D8E">
        <w:rPr>
          <w:rFonts w:ascii="Times New Roman" w:hAnsi="Times New Roman"/>
          <w:b/>
          <w:bCs/>
          <w:sz w:val="24"/>
          <w:szCs w:val="24"/>
        </w:rPr>
        <w:t xml:space="preserve">Legal Lesson Learned: </w:t>
      </w:r>
      <w:r>
        <w:rPr>
          <w:rFonts w:ascii="Times New Roman" w:hAnsi="Times New Roman"/>
          <w:b/>
          <w:bCs/>
          <w:sz w:val="24"/>
          <w:szCs w:val="24"/>
        </w:rPr>
        <w:t xml:space="preserve">The </w:t>
      </w:r>
      <w:proofErr w:type="gramStart"/>
      <w:r>
        <w:rPr>
          <w:rFonts w:ascii="Times New Roman" w:hAnsi="Times New Roman"/>
          <w:b/>
          <w:bCs/>
          <w:sz w:val="24"/>
          <w:szCs w:val="24"/>
        </w:rPr>
        <w:t>Captain’s</w:t>
      </w:r>
      <w:proofErr w:type="gramEnd"/>
      <w:r>
        <w:rPr>
          <w:rFonts w:ascii="Times New Roman" w:hAnsi="Times New Roman"/>
          <w:b/>
          <w:bCs/>
          <w:sz w:val="24"/>
          <w:szCs w:val="24"/>
        </w:rPr>
        <w:t xml:space="preserve"> sole remedy is to seek arbitration under CBA. </w:t>
      </w:r>
    </w:p>
    <w:p w14:paraId="17BC8984" w14:textId="77777777" w:rsidR="005F448F" w:rsidRPr="00D67B2F" w:rsidRDefault="005F448F" w:rsidP="005F448F">
      <w:pPr>
        <w:spacing w:before="100" w:beforeAutospacing="1" w:after="100" w:afterAutospacing="1" w:line="240" w:lineRule="auto"/>
        <w:ind w:left="720" w:firstLine="50"/>
        <w:rPr>
          <w:rFonts w:ascii="Times New Roman" w:hAnsi="Times New Roman"/>
          <w:sz w:val="24"/>
          <w:szCs w:val="24"/>
        </w:rPr>
      </w:pPr>
      <w:r>
        <w:rPr>
          <w:rFonts w:ascii="Times New Roman" w:hAnsi="Times New Roman"/>
          <w:sz w:val="24"/>
          <w:szCs w:val="24"/>
        </w:rPr>
        <w:t xml:space="preserve">Note: See decision in </w:t>
      </w:r>
      <w:r w:rsidRPr="00D67B2F">
        <w:rPr>
          <w:rFonts w:ascii="Times New Roman" w:hAnsi="Times New Roman"/>
          <w:i/>
          <w:iCs/>
          <w:sz w:val="24"/>
          <w:szCs w:val="24"/>
        </w:rPr>
        <w:t>Youngstown II</w:t>
      </w:r>
      <w:r>
        <w:rPr>
          <w:rFonts w:ascii="Times New Roman" w:hAnsi="Times New Roman"/>
          <w:sz w:val="24"/>
          <w:szCs w:val="24"/>
        </w:rPr>
        <w:t xml:space="preserve">; Dec. 13, 2021; </w:t>
      </w:r>
      <w:hyperlink r:id="rId2887" w:history="1">
        <w:r w:rsidRPr="00E97EE7">
          <w:rPr>
            <w:rStyle w:val="Hyperlink"/>
            <w:sz w:val="24"/>
            <w:szCs w:val="24"/>
          </w:rPr>
          <w:t>https://casetext.com/case/state-v-state-empt-relations-bd-2</w:t>
        </w:r>
      </w:hyperlink>
      <w:r>
        <w:rPr>
          <w:rFonts w:ascii="Times New Roman" w:hAnsi="Times New Roman"/>
          <w:sz w:val="24"/>
          <w:szCs w:val="24"/>
        </w:rPr>
        <w:t xml:space="preserve"> </w:t>
      </w:r>
    </w:p>
    <w:p w14:paraId="36F44FB7" w14:textId="77777777" w:rsidR="005F448F" w:rsidRDefault="005F448F" w:rsidP="005F448F">
      <w:pPr>
        <w:spacing w:before="100" w:beforeAutospacing="1" w:after="100" w:afterAutospacing="1" w:line="240" w:lineRule="auto"/>
        <w:ind w:left="1440" w:firstLine="60"/>
      </w:pPr>
      <w:r>
        <w:rPr>
          <w:rFonts w:ascii="Times New Roman" w:hAnsi="Times New Roman"/>
          <w:sz w:val="24"/>
          <w:szCs w:val="24"/>
        </w:rPr>
        <w:t>“</w:t>
      </w:r>
      <w:r w:rsidRPr="00D67B2F">
        <w:rPr>
          <w:rFonts w:ascii="Times New Roman" w:hAnsi="Times New Roman"/>
          <w:sz w:val="24"/>
          <w:szCs w:val="24"/>
        </w:rPr>
        <w:t>On November 12, 2019, Union learned that City planned to pass legislation to eliminate the three Battalion Chief positions</w:t>
      </w:r>
      <w:r>
        <w:rPr>
          <w:rFonts w:ascii="Times New Roman" w:hAnsi="Times New Roman"/>
          <w:sz w:val="24"/>
          <w:szCs w:val="24"/>
        </w:rPr>
        <w:t xml:space="preserve"> [apparently to pay for $285,000 radio upgrade demanded by Union]. </w:t>
      </w:r>
      <w:r w:rsidRPr="00D67B2F">
        <w:rPr>
          <w:rFonts w:ascii="Times New Roman" w:hAnsi="Times New Roman"/>
          <w:sz w:val="24"/>
          <w:szCs w:val="24"/>
        </w:rPr>
        <w:t>The next day, City Council passed Ordinance No. 19-336 to amend Section 1 of Ordinance 19-47, to abolish three Battalion Chief positions by attrition. That Ordinance was later determined to be an unlawful retaliation against Union.</w:t>
      </w:r>
      <w:r>
        <w:rPr>
          <w:rFonts w:ascii="Times New Roman" w:hAnsi="Times New Roman"/>
          <w:sz w:val="24"/>
          <w:szCs w:val="24"/>
        </w:rPr>
        <w:t xml:space="preserve">” </w:t>
      </w:r>
    </w:p>
    <w:p w14:paraId="55A2F340" w14:textId="77777777" w:rsidR="005F448F" w:rsidRDefault="005F448F" w:rsidP="005F448F"/>
    <w:p w14:paraId="0FB4C2A2" w14:textId="77777777" w:rsidR="005F448F" w:rsidRDefault="005F448F" w:rsidP="00D33F96">
      <w:pPr>
        <w:pStyle w:val="NoSpacing"/>
        <w:rPr>
          <w:rStyle w:val="Hyperlink"/>
          <w:sz w:val="24"/>
          <w:szCs w:val="24"/>
        </w:rPr>
      </w:pPr>
    </w:p>
    <w:p w14:paraId="79B69899" w14:textId="77777777" w:rsidR="005F448F" w:rsidRDefault="005F448F" w:rsidP="00D33F96">
      <w:pPr>
        <w:pStyle w:val="NoSpacing"/>
        <w:rPr>
          <w:rFonts w:ascii="Arial Black" w:hAnsi="Arial Black"/>
          <w:sz w:val="24"/>
          <w:szCs w:val="24"/>
        </w:rPr>
      </w:pPr>
    </w:p>
    <w:p w14:paraId="16255685" w14:textId="77777777" w:rsidR="00D33F96" w:rsidRDefault="00D33F96" w:rsidP="00F326E5">
      <w:pPr>
        <w:pStyle w:val="NoSpacing"/>
        <w:rPr>
          <w:rFonts w:ascii="Arial Black" w:hAnsi="Arial Black"/>
          <w:sz w:val="24"/>
          <w:szCs w:val="24"/>
        </w:rPr>
      </w:pPr>
    </w:p>
    <w:p w14:paraId="7DABB8AD" w14:textId="580D6D42" w:rsidR="00D66BAA" w:rsidRDefault="006A02A4" w:rsidP="00F326E5">
      <w:pPr>
        <w:pStyle w:val="NoSpacing"/>
        <w:rPr>
          <w:rFonts w:ascii="Arial Black" w:hAnsi="Arial Black"/>
          <w:sz w:val="24"/>
          <w:szCs w:val="24"/>
        </w:rPr>
      </w:pPr>
      <w:r>
        <w:rPr>
          <w:rFonts w:ascii="Arial Black" w:hAnsi="Arial Black"/>
          <w:sz w:val="24"/>
          <w:szCs w:val="24"/>
        </w:rPr>
        <w:t>17-30</w:t>
      </w:r>
    </w:p>
    <w:p w14:paraId="58F27F57" w14:textId="77777777" w:rsidR="006A02A4" w:rsidRDefault="006A02A4" w:rsidP="006A02A4">
      <w:pPr>
        <w:pStyle w:val="NoSpacing"/>
        <w:rPr>
          <w:rFonts w:ascii="Arial Black" w:hAnsi="Arial Black"/>
          <w:sz w:val="28"/>
          <w:szCs w:val="28"/>
        </w:rPr>
      </w:pPr>
    </w:p>
    <w:p w14:paraId="42AF42DD" w14:textId="784061BD" w:rsidR="006A02A4" w:rsidRPr="003036A7" w:rsidRDefault="006A02A4" w:rsidP="006A02A4">
      <w:pPr>
        <w:pStyle w:val="NoSpacing"/>
        <w:rPr>
          <w:rFonts w:ascii="Arial Black" w:hAnsi="Arial Black"/>
          <w:sz w:val="28"/>
          <w:szCs w:val="28"/>
        </w:rPr>
      </w:pPr>
      <w:r w:rsidRPr="003036A7">
        <w:rPr>
          <w:rFonts w:ascii="Arial Black" w:hAnsi="Arial Black"/>
          <w:sz w:val="28"/>
          <w:szCs w:val="28"/>
        </w:rPr>
        <w:t>VA (4/20/2023): FIRE CAPT / IAFF OFFICIAL - BACKED MAYOR</w:t>
      </w:r>
      <w:r>
        <w:rPr>
          <w:rFonts w:ascii="Arial Black" w:hAnsi="Arial Black"/>
          <w:sz w:val="28"/>
          <w:szCs w:val="28"/>
        </w:rPr>
        <w:t>’S</w:t>
      </w:r>
      <w:r w:rsidRPr="003036A7">
        <w:rPr>
          <w:rFonts w:ascii="Arial Black" w:hAnsi="Arial Black"/>
          <w:sz w:val="28"/>
          <w:szCs w:val="28"/>
        </w:rPr>
        <w:t xml:space="preserve"> OPPONENT – FACEBOOK - FIRED - CASE PROCEED</w:t>
      </w:r>
    </w:p>
    <w:p w14:paraId="58A4FB6A" w14:textId="77777777" w:rsidR="006A02A4" w:rsidRDefault="006A02A4" w:rsidP="006A02A4">
      <w:pPr>
        <w:pStyle w:val="NoSpacing"/>
      </w:pPr>
    </w:p>
    <w:p w14:paraId="648AFA40" w14:textId="4C4DF743" w:rsidR="006A02A4" w:rsidRDefault="006A02A4" w:rsidP="006A02A4">
      <w:pPr>
        <w:pStyle w:val="NoSpacing"/>
        <w:rPr>
          <w:rStyle w:val="Hyperlink"/>
          <w:rFonts w:ascii="Times New Roman" w:hAnsi="Times New Roman"/>
          <w:sz w:val="24"/>
          <w:szCs w:val="24"/>
        </w:rPr>
      </w:pPr>
      <w:r w:rsidRPr="003C1643">
        <w:rPr>
          <w:rFonts w:ascii="Times New Roman" w:hAnsi="Times New Roman"/>
          <w:sz w:val="24"/>
          <w:szCs w:val="24"/>
          <w:u w:val="single"/>
        </w:rPr>
        <w:t xml:space="preserve">Martin J. </w:t>
      </w:r>
      <w:proofErr w:type="spellStart"/>
      <w:r w:rsidRPr="003C1643">
        <w:rPr>
          <w:rFonts w:ascii="Times New Roman" w:hAnsi="Times New Roman"/>
          <w:sz w:val="24"/>
          <w:szCs w:val="24"/>
          <w:u w:val="single"/>
        </w:rPr>
        <w:t>Misjuns</w:t>
      </w:r>
      <w:proofErr w:type="spellEnd"/>
      <w:r w:rsidRPr="003C1643">
        <w:rPr>
          <w:rFonts w:ascii="Times New Roman" w:hAnsi="Times New Roman"/>
          <w:sz w:val="24"/>
          <w:szCs w:val="24"/>
          <w:u w:val="single"/>
        </w:rPr>
        <w:t xml:space="preserve"> v. Lynchburg Fire Department</w:t>
      </w:r>
      <w:r w:rsidRPr="003C1643">
        <w:rPr>
          <w:rFonts w:ascii="Times New Roman" w:hAnsi="Times New Roman"/>
          <w:sz w:val="24"/>
          <w:szCs w:val="24"/>
        </w:rPr>
        <w:t xml:space="preserve">, U.S. District Court Judge Norman K. Moon, U.S. District Court for Western District of Virginia, Lynchburg District. </w:t>
      </w:r>
      <w:hyperlink r:id="rId2888" w:history="1">
        <w:r w:rsidRPr="003C1643">
          <w:rPr>
            <w:rStyle w:val="Hyperlink"/>
            <w:rFonts w:ascii="Times New Roman" w:hAnsi="Times New Roman"/>
            <w:sz w:val="24"/>
            <w:szCs w:val="24"/>
          </w:rPr>
          <w:t>https://law.justia.com/cases/federal/district-courts/virginia/vawdce/6:2021cv00025/122367/36/</w:t>
        </w:r>
      </w:hyperlink>
    </w:p>
    <w:p w14:paraId="6AA6F2A7" w14:textId="77777777" w:rsidR="006A02A4" w:rsidRPr="003C1643" w:rsidRDefault="006A02A4" w:rsidP="006A02A4">
      <w:pPr>
        <w:pStyle w:val="NormalWeb"/>
        <w:rPr>
          <w:b/>
          <w:bCs/>
        </w:rPr>
      </w:pPr>
      <w:r w:rsidRPr="003C1643">
        <w:rPr>
          <w:b/>
          <w:bCs/>
        </w:rPr>
        <w:t xml:space="preserve">Legal Lesson Learned:  Firefighters enjoy First Amendment rights on matters of public concern. </w:t>
      </w:r>
    </w:p>
    <w:p w14:paraId="07C6A4A5" w14:textId="77777777" w:rsidR="006A02A4" w:rsidRDefault="006A02A4" w:rsidP="006A02A4">
      <w:pPr>
        <w:pStyle w:val="NoSpacing"/>
        <w:rPr>
          <w:rFonts w:ascii="Arial Black" w:hAnsi="Arial Black"/>
          <w:sz w:val="24"/>
          <w:szCs w:val="24"/>
        </w:rPr>
      </w:pPr>
    </w:p>
    <w:p w14:paraId="1C4E9D27" w14:textId="77777777" w:rsidR="006A02A4" w:rsidRDefault="006A02A4" w:rsidP="00F326E5">
      <w:pPr>
        <w:pStyle w:val="NoSpacing"/>
        <w:rPr>
          <w:rFonts w:ascii="Arial Black" w:hAnsi="Arial Black"/>
          <w:sz w:val="24"/>
          <w:szCs w:val="24"/>
        </w:rPr>
      </w:pPr>
    </w:p>
    <w:p w14:paraId="19E3F293" w14:textId="77777777" w:rsidR="006A02A4" w:rsidRDefault="006A02A4" w:rsidP="00F326E5">
      <w:pPr>
        <w:pStyle w:val="NoSpacing"/>
        <w:rPr>
          <w:rFonts w:ascii="Arial Black" w:hAnsi="Arial Black"/>
          <w:sz w:val="24"/>
          <w:szCs w:val="24"/>
        </w:rPr>
      </w:pPr>
    </w:p>
    <w:p w14:paraId="774C153A" w14:textId="0EEFA043" w:rsidR="00D66BAA" w:rsidRDefault="00D66BAA" w:rsidP="00F326E5">
      <w:pPr>
        <w:pStyle w:val="NoSpacing"/>
        <w:rPr>
          <w:rFonts w:ascii="Arial Black" w:hAnsi="Arial Black"/>
          <w:sz w:val="24"/>
          <w:szCs w:val="24"/>
        </w:rPr>
      </w:pPr>
      <w:r>
        <w:rPr>
          <w:rFonts w:ascii="Arial Black" w:hAnsi="Arial Black"/>
          <w:sz w:val="24"/>
          <w:szCs w:val="24"/>
        </w:rPr>
        <w:t>17-29</w:t>
      </w:r>
    </w:p>
    <w:p w14:paraId="594A5E35" w14:textId="77777777" w:rsidR="00D66BAA" w:rsidRDefault="00D66BAA" w:rsidP="00D66BAA">
      <w:pPr>
        <w:pStyle w:val="NormalWeb"/>
        <w:rPr>
          <w:rFonts w:ascii="Arial Black" w:hAnsi="Arial Black"/>
          <w:sz w:val="28"/>
          <w:szCs w:val="28"/>
        </w:rPr>
      </w:pPr>
      <w:r>
        <w:rPr>
          <w:rFonts w:ascii="Arial Black" w:hAnsi="Arial Black"/>
          <w:sz w:val="28"/>
          <w:szCs w:val="28"/>
        </w:rPr>
        <w:t>TX: STATE SUP. CT. STRIKES DOWN CITY OF HOUSTON FIRE / POLICE “PAY PARITY” – VOTED BY RESIDENTS 2018</w:t>
      </w:r>
    </w:p>
    <w:p w14:paraId="150D0DA5" w14:textId="77777777" w:rsidR="00D66BAA" w:rsidRDefault="00D66BAA" w:rsidP="00D66BAA">
      <w:pPr>
        <w:pStyle w:val="NormalWeb"/>
        <w:rPr>
          <w:vertAlign w:val="superscript"/>
        </w:rPr>
      </w:pPr>
      <w:r>
        <w:t xml:space="preserve">On March 31, 2023, </w:t>
      </w:r>
      <w:r>
        <w:rPr>
          <w:u w:val="single"/>
        </w:rPr>
        <w:t>in City of Houston v. Houston Professional Fire Fighters’ Association, Local 341</w:t>
      </w:r>
      <w:r>
        <w:t xml:space="preserve">, consolidated with </w:t>
      </w:r>
      <w:r>
        <w:rPr>
          <w:u w:val="single"/>
        </w:rPr>
        <w:t>Houston Police Officer’s Union v. Houston</w:t>
      </w:r>
      <w:r>
        <w:t xml:space="preserve"> </w:t>
      </w:r>
      <w:r>
        <w:rPr>
          <w:u w:val="single"/>
        </w:rPr>
        <w:t>Professional Fire Fighters’ Association, Local 341</w:t>
      </w:r>
      <w:r>
        <w:t>, the Texas Supreme Court held that the 2018 “Pay-Parity” change to City Charter [known as Proposition B], requiring firefighters be paid same as police officers, violates State law.  The State law is known as “The Fire and Police Employee Relations Act in Local Government Code Chapter 174.” Chapter 174 is a comprehensive framework that governs collective bargaining for those municipal employers whose voters have adopted it [adopted by Houston voters in 2003], and under that State law since Local 341 has reached an impasse with the City [last CBA was 2011-2017], they are entitled to Court intervention to reach  pay agreement that is "substantially equal" to those in comparable private-sector employment.</w:t>
      </w:r>
    </w:p>
    <w:p w14:paraId="30D1261E" w14:textId="77777777" w:rsidR="00D66BAA" w:rsidRDefault="00D66BAA" w:rsidP="00D66BAA">
      <w:pPr>
        <w:pStyle w:val="NormalWeb"/>
      </w:pPr>
      <w:r>
        <w:lastRenderedPageBreak/>
        <w:t>The Texas Supreme Court held:</w:t>
      </w:r>
    </w:p>
    <w:p w14:paraId="62B0290F" w14:textId="77777777" w:rsidR="00D66BAA" w:rsidRDefault="00D66BAA" w:rsidP="00D66BAA">
      <w:pPr>
        <w:pStyle w:val="NormalWeb"/>
        <w:ind w:left="720"/>
      </w:pPr>
      <w:r>
        <w:t xml:space="preserve">“We hold that Chapter 174 establishes reasonable standards for judicial enforcement such that it does not violate the constitutional separation of powers. Accordingly, we reject the City's constitutional challenge to judicial enforcement of the statute's compensation standard. We further hold that the Fire Fighters met all prerequisites for seeking Chapter 174 enforcement, and thus the statute waives the City's immunity from the Fire Fighters' lawsuit for Chapter 174 compensation. Finally, we hold that Chapter 174 preempts the pay-parity amendment. Local law may not supplant Chapter 174's rule of decision by requiring an inconsistent compensation measurement. Because the court of appeals held differently, we </w:t>
      </w:r>
      <w:proofErr w:type="gramStart"/>
      <w:r>
        <w:t>reverse</w:t>
      </w:r>
      <w:proofErr w:type="gramEnd"/>
      <w:r>
        <w:t xml:space="preserve"> its judgment in the second suit. We affirm its judgment in the initial suit and remand the case to the trial court for further proceedings to establish whether the City has complied with Chapter 174's compensation standards and, if not, to set appropriate firefighter compensation.” </w:t>
      </w:r>
      <w:hyperlink r:id="rId2889" w:history="1">
        <w:r>
          <w:rPr>
            <w:rStyle w:val="Hyperlink"/>
          </w:rPr>
          <w:t>https://search.txcourts.gov/SearchMedia.aspx?MediaVersionID=b6a5eb11-d9ee-4713-9079-a7fc018a0d0c&amp;coa=cossup&amp;DT=OPINION&amp;MediaID=180a364b-e3a9-4c3b-bb68-7b88944c20ad</w:t>
        </w:r>
      </w:hyperlink>
      <w:r>
        <w:t xml:space="preserve"> </w:t>
      </w:r>
    </w:p>
    <w:p w14:paraId="1B240E53" w14:textId="77777777" w:rsidR="00D66BAA" w:rsidRDefault="00D66BAA" w:rsidP="00D66BAA">
      <w:pPr>
        <w:pStyle w:val="NormalWeb"/>
        <w:ind w:left="720"/>
      </w:pPr>
      <w:r>
        <w:t xml:space="preserve">“Local regulations are preempted when they prescribe a governing rule that is inconsistent with a state statute's standards, even if enforcement of the local law might hypothetically result in the same outcome as enforcement of the statute. A court enforcing Chapter 174 may happen to reach a result consistent with the pay-parity amendment. In such cases, no inconsistency exists. The pay-parity amendment, however, never functions as the governing rule of decision in such an instance because it can never force a result different from that which Chapter 174 compels. Local regulations are not ‘ancillary </w:t>
      </w:r>
      <w:proofErr w:type="gramStart"/>
      <w:r>
        <w:t>to</w:t>
      </w:r>
      <w:proofErr w:type="gramEnd"/>
      <w:r>
        <w:t xml:space="preserve"> and in harmony with’ state statutes when they prescribe a different rule of decision that coincidentally converges with the statutory </w:t>
      </w:r>
      <w:proofErr w:type="gramStart"/>
      <w:r>
        <w:t>rule.”</w:t>
      </w:r>
      <w:proofErr w:type="gramEnd"/>
    </w:p>
    <w:p w14:paraId="514652E1" w14:textId="77777777" w:rsidR="00D66BAA" w:rsidRDefault="00D66BAA" w:rsidP="00D66BAA">
      <w:pPr>
        <w:pStyle w:val="NormalWeb"/>
        <w:rPr>
          <w:b/>
          <w:bCs/>
        </w:rPr>
      </w:pPr>
      <w:r>
        <w:rPr>
          <w:b/>
          <w:bCs/>
        </w:rPr>
        <w:t xml:space="preserve">Legal Lesson Learned:  The City of Houston and Police Union have won their challenge to Prob B; but the City must now go to collective bargaining with Local 341. </w:t>
      </w:r>
    </w:p>
    <w:p w14:paraId="11E65B95" w14:textId="77777777" w:rsidR="00D66BAA" w:rsidRDefault="00D66BAA" w:rsidP="00D66BAA">
      <w:pPr>
        <w:pStyle w:val="ekqk"/>
        <w:ind w:left="720"/>
        <w:rPr>
          <w:b/>
          <w:bCs/>
        </w:rPr>
      </w:pPr>
      <w:r>
        <w:t xml:space="preserve">Note: See March 31, </w:t>
      </w:r>
      <w:proofErr w:type="gramStart"/>
      <w:r>
        <w:t>2023</w:t>
      </w:r>
      <w:proofErr w:type="gramEnd"/>
      <w:r>
        <w:t xml:space="preserve"> article, “Texas Supreme Court strikes down 'Prop B' years after Houston voted for firefighter pay parity.” Both Houston city officials and the </w:t>
      </w:r>
      <w:proofErr w:type="gramStart"/>
      <w:r>
        <w:t>firefighters</w:t>
      </w:r>
      <w:proofErr w:type="gramEnd"/>
      <w:r>
        <w:t xml:space="preserve"> union took home a win in the ruling, and both are claiming victory… However, Thursday's decision wasn't just a win for those opposed to Prop B. The court also ruled in favor of the firefighter's union in another case about a state law that handles firefighter pay. The law, which the Supreme Court ruled is constitutional, says firefighters </w:t>
      </w:r>
      <w:proofErr w:type="gramStart"/>
      <w:r>
        <w:t>have to</w:t>
      </w:r>
      <w:proofErr w:type="gramEnd"/>
      <w:r>
        <w:t xml:space="preserve"> be paid substantially equal to similar jobs in the private sector, and that the two sides should use collective bargaining to reach a </w:t>
      </w:r>
      <w:proofErr w:type="gramStart"/>
      <w:r>
        <w:t>deal.”</w:t>
      </w:r>
      <w:proofErr w:type="gramEnd"/>
      <w:r>
        <w:t xml:space="preserve"> </w:t>
      </w:r>
      <w:hyperlink r:id="rId2890" w:history="1">
        <w:r>
          <w:rPr>
            <w:rStyle w:val="Hyperlink"/>
          </w:rPr>
          <w:t>https://abc13.com/prop-b-update-houston-firefighter-pay-parity-texas-supreme-court-proposition-struck-down/13057363/</w:t>
        </w:r>
      </w:hyperlink>
      <w:r>
        <w:rPr>
          <w:b/>
          <w:bCs/>
        </w:rPr>
        <w:t xml:space="preserve"> </w:t>
      </w:r>
    </w:p>
    <w:p w14:paraId="4D540E70" w14:textId="77777777" w:rsidR="00D66BAA" w:rsidRDefault="00D66BAA" w:rsidP="00D66BAA">
      <w:pPr>
        <w:pStyle w:val="NormalWeb"/>
      </w:pPr>
    </w:p>
    <w:p w14:paraId="4B09FD61" w14:textId="0ABF6B9E" w:rsidR="00D66BAA" w:rsidRDefault="00D66BAA" w:rsidP="00F326E5">
      <w:pPr>
        <w:pStyle w:val="NoSpacing"/>
        <w:rPr>
          <w:rFonts w:ascii="Arial Black" w:hAnsi="Arial Black"/>
          <w:sz w:val="24"/>
          <w:szCs w:val="24"/>
        </w:rPr>
      </w:pPr>
      <w:r>
        <w:rPr>
          <w:rFonts w:ascii="Arial Black" w:hAnsi="Arial Black"/>
          <w:sz w:val="24"/>
          <w:szCs w:val="24"/>
        </w:rPr>
        <w:t>17-28</w:t>
      </w:r>
    </w:p>
    <w:p w14:paraId="290A746F" w14:textId="77777777" w:rsidR="00D66BAA" w:rsidRDefault="00D66BAA" w:rsidP="00D66BAA">
      <w:pPr>
        <w:pStyle w:val="NormalWeb"/>
        <w:rPr>
          <w:rFonts w:ascii="Arial Black" w:hAnsi="Arial Black"/>
          <w:sz w:val="28"/>
          <w:szCs w:val="28"/>
        </w:rPr>
      </w:pPr>
      <w:r>
        <w:rPr>
          <w:rFonts w:ascii="Arial Black" w:hAnsi="Arial Black"/>
          <w:sz w:val="28"/>
          <w:szCs w:val="28"/>
        </w:rPr>
        <w:t>CT: CBA UNCLEAR ON SICK PAY – TWO FF RESIGNED, NOW  GETTING PENSION - CITY WINS NEW TRIAL ON SICK PAY</w:t>
      </w:r>
    </w:p>
    <w:p w14:paraId="11217EAC" w14:textId="77777777" w:rsidR="00D66BAA" w:rsidRDefault="00D66BAA" w:rsidP="00D66BAA">
      <w:pPr>
        <w:pStyle w:val="NormalWeb"/>
      </w:pPr>
      <w:r>
        <w:t xml:space="preserve">On March 28, 2023, in </w:t>
      </w:r>
      <w:r>
        <w:rPr>
          <w:u w:val="single"/>
        </w:rPr>
        <w:t>Dickie K. Murchison, Jr. and John J. Bigham v. City of Waterbury</w:t>
      </w:r>
      <w:r>
        <w:t xml:space="preserve">, the Court of Appeals of Connecticut held that the trial court’s award of sick pay of $28,307.98 to Murchison, and $33,451.55 to Bigham is reversed. Each firefighter resigned after 20 years, but prior to 25 years to be eligible for retirement.  Now each firefighter is eligible for deferred vested pension benefits after the twenty-fifth anniversary of their respective hire dates, and they also now want unused sick pay.  The CBA does not explicitly address whether they are now entitled to unused sick pay. On appeal the City first claims that the trial court erred in awarding the </w:t>
      </w:r>
      <w:r>
        <w:lastRenderedPageBreak/>
        <w:t xml:space="preserve">plaintiffs terminal leave </w:t>
      </w:r>
      <w:proofErr w:type="gramStart"/>
      <w:r>
        <w:t>pay</w:t>
      </w:r>
      <w:proofErr w:type="gramEnd"/>
      <w:r>
        <w:t xml:space="preserve">, arguing that the plaintiffs only </w:t>
      </w:r>
      <w:r>
        <w:rPr>
          <w:rStyle w:val="Emphasis"/>
        </w:rPr>
        <w:t>resigned</w:t>
      </w:r>
      <w:r>
        <w:t xml:space="preserve"> from employment with the defendant, and did not "retire," for purposes of the terminal leave pay provision.  </w:t>
      </w:r>
    </w:p>
    <w:p w14:paraId="4D0556BD" w14:textId="77777777" w:rsidR="00D66BAA" w:rsidRDefault="00D66BAA" w:rsidP="00D66BAA">
      <w:pPr>
        <w:pStyle w:val="NormalWeb"/>
        <w:ind w:left="720"/>
      </w:pPr>
      <w:r>
        <w:t xml:space="preserve">The Court of Appeals agreed. “The [City] claims that, because there was no evidence in the record that it drafted the agreement, the trial court erred in construing any ambiguity in the terminal leave pay provision against it. The plaintiffs counter that, regardless of any ambiguity in the provision, the evidence established that the term ‘retirement’ refers to the date that they became eligible to collect, and/or began collecting, their pension benefits. We agree with the defendant.” </w:t>
      </w:r>
      <w:hyperlink r:id="rId2891" w:history="1">
        <w:r>
          <w:rPr>
            <w:rStyle w:val="Hyperlink"/>
          </w:rPr>
          <w:t>https://www.jud.ct.gov/external/supapp/Cases/AROap/AP218/218AP115.pdf</w:t>
        </w:r>
      </w:hyperlink>
      <w:r>
        <w:t xml:space="preserve"> </w:t>
      </w:r>
    </w:p>
    <w:p w14:paraId="60DD6AB9" w14:textId="77777777" w:rsidR="00D66BAA" w:rsidRDefault="00D66BAA" w:rsidP="00D66BAA">
      <w:pPr>
        <w:pStyle w:val="NormalWeb"/>
        <w:ind w:left="720"/>
      </w:pPr>
      <w:r>
        <w:t xml:space="preserve">“The language at issue in the present case is found in the terminal leave pay provision of the agreement, the relevant text of which previously has been set forth in full in this opinion. That provision details that firefighter employees become eligible for terminal leave </w:t>
      </w:r>
      <w:proofErr w:type="gramStart"/>
      <w:r>
        <w:t>pay ‘[</w:t>
      </w:r>
      <w:proofErr w:type="gramEnd"/>
      <w:r>
        <w:t>u]</w:t>
      </w:r>
      <w:proofErr w:type="spellStart"/>
      <w:r>
        <w:t>pon</w:t>
      </w:r>
      <w:proofErr w:type="spellEnd"/>
      <w:r>
        <w:t xml:space="preserve"> . . . retirement,’ where the first of four installments is due, as is relevant here, on the ‘date of retirement.’ The term ‘retirement’ is not defined in the terminal leave pay provision or anywhere else in the agreement. In the absence of such a definition and in order to interpret the use of that term in the terminal leave pay provision, the parties have turned to the various uses and definitions of the term "retirement" in the ordinance, the relevant text of which also has been set forth previously in this opinion.</w:t>
      </w:r>
    </w:p>
    <w:p w14:paraId="295421C9" w14:textId="77777777" w:rsidR="00D66BAA" w:rsidRDefault="00D66BAA" w:rsidP="00D66BAA">
      <w:pPr>
        <w:pStyle w:val="NormalWeb"/>
        <w:ind w:left="720"/>
      </w:pPr>
      <w:r>
        <w:t>***</w:t>
      </w:r>
    </w:p>
    <w:p w14:paraId="1BA0E90C" w14:textId="77777777" w:rsidR="00D66BAA" w:rsidRDefault="00D66BAA" w:rsidP="00D66BAA">
      <w:pPr>
        <w:pStyle w:val="NormalWeb"/>
        <w:ind w:left="720"/>
      </w:pPr>
      <w:r>
        <w:t>In sum, we conclude that the term ‘retirement’ as used in the terminal leave pay provision is ambiguous because it is susceptible to more than one reasonable interpretation. Because the [trial] court failed to resolve that ambiguity, it could not have properly found that the plaintiffs were entitled to terminal leave pay.</w:t>
      </w:r>
    </w:p>
    <w:p w14:paraId="071940B6" w14:textId="77777777" w:rsidR="00D66BAA" w:rsidRDefault="00D66BAA" w:rsidP="00D66BAA">
      <w:pPr>
        <w:pStyle w:val="NormalWeb"/>
        <w:ind w:left="720"/>
      </w:pPr>
      <w:r>
        <w:t>***</w:t>
      </w:r>
    </w:p>
    <w:p w14:paraId="6ED4474D" w14:textId="77777777" w:rsidR="00D66BAA" w:rsidRDefault="00D66BAA" w:rsidP="00D66BAA">
      <w:pPr>
        <w:pStyle w:val="NormalWeb"/>
        <w:ind w:left="720"/>
      </w:pPr>
      <w:r>
        <w:t xml:space="preserve">The judgment is reversed and the case is remanded for a new </w:t>
      </w:r>
      <w:proofErr w:type="gramStart"/>
      <w:r>
        <w:t>trial.”</w:t>
      </w:r>
      <w:proofErr w:type="gramEnd"/>
    </w:p>
    <w:p w14:paraId="60C05639" w14:textId="77777777" w:rsidR="00D66BAA" w:rsidRDefault="00D66BAA" w:rsidP="00D66BAA">
      <w:pPr>
        <w:pStyle w:val="NormalWeb"/>
        <w:rPr>
          <w:b/>
          <w:bCs/>
        </w:rPr>
      </w:pPr>
      <w:r>
        <w:rPr>
          <w:b/>
          <w:bCs/>
        </w:rPr>
        <w:t xml:space="preserve">Legal Lesson Learned: When a CBA is unclear about when firefighters are eligible for unused sick pay, the ambiguity cannot be used against the City without proof the City drafted the CBA provision. </w:t>
      </w:r>
    </w:p>
    <w:p w14:paraId="4DB8AF49" w14:textId="77777777" w:rsidR="00D66BAA" w:rsidRDefault="00D66BAA" w:rsidP="00D66BAA">
      <w:pPr>
        <w:pStyle w:val="NormalWeb"/>
        <w:ind w:left="720"/>
      </w:pPr>
      <w:r>
        <w:t xml:space="preserve">Note: On </w:t>
      </w:r>
      <w:proofErr w:type="gramStart"/>
      <w:r>
        <w:t>Aug,</w:t>
      </w:r>
      <w:proofErr w:type="gramEnd"/>
      <w:r>
        <w:t xml:space="preserve"> 14, 2018, Judge Brazzel-Massaro denied summary judgment for either side, and ordered the case be tried. “In sum, the bargaining agreement and ordinance are susceptible to more than one reasonable interpretation and are therefore ambiguous.” See unpublished decision. </w:t>
      </w:r>
      <w:hyperlink r:id="rId2892" w:history="1">
        <w:r>
          <w:rPr>
            <w:rStyle w:val="Hyperlink"/>
          </w:rPr>
          <w:t>https://casetext.com/case/murchison-v-city-of-waterbury</w:t>
        </w:r>
      </w:hyperlink>
      <w:r>
        <w:t xml:space="preserve"> </w:t>
      </w:r>
    </w:p>
    <w:p w14:paraId="4129508C" w14:textId="77777777" w:rsidR="00D66BAA" w:rsidRDefault="00D66BAA" w:rsidP="00D66BAA">
      <w:pPr>
        <w:pStyle w:val="NormalWeb"/>
        <w:ind w:left="720"/>
      </w:pPr>
      <w:r>
        <w:t xml:space="preserve">On Nov. 7, 2019, the case went to trial before a different Judge – bench trial (no jury) before Judge Gordon.  On October 1, 2021, the trial court judge issued a memorandum of decision rendering judgment in favor of the plaintiffs, awarding terminal leave pay in the amounts of $28,307.98 to Murchison and $33,451.55 to Bigham. This appeal followed. </w:t>
      </w:r>
    </w:p>
    <w:p w14:paraId="6903DA35" w14:textId="77777777" w:rsidR="00D66BAA" w:rsidRDefault="00D66BAA" w:rsidP="00D66BAA">
      <w:pPr>
        <w:pStyle w:val="NormalWeb"/>
        <w:jc w:val="center"/>
        <w:rPr>
          <w:b/>
          <w:bCs/>
        </w:rPr>
      </w:pPr>
    </w:p>
    <w:p w14:paraId="74023875" w14:textId="143CE01C" w:rsidR="00D66BAA" w:rsidRDefault="00D66BAA" w:rsidP="00F326E5">
      <w:pPr>
        <w:pStyle w:val="NoSpacing"/>
        <w:rPr>
          <w:rFonts w:ascii="Arial Black" w:hAnsi="Arial Black"/>
          <w:sz w:val="24"/>
          <w:szCs w:val="24"/>
        </w:rPr>
      </w:pPr>
    </w:p>
    <w:p w14:paraId="4FFDEF8E" w14:textId="77777777" w:rsidR="00D66BAA" w:rsidRDefault="00D66BAA" w:rsidP="00F326E5">
      <w:pPr>
        <w:pStyle w:val="NoSpacing"/>
        <w:rPr>
          <w:rFonts w:ascii="Arial Black" w:hAnsi="Arial Black"/>
          <w:sz w:val="24"/>
          <w:szCs w:val="24"/>
        </w:rPr>
      </w:pPr>
    </w:p>
    <w:p w14:paraId="29964F1C" w14:textId="77777777" w:rsidR="00D66BAA" w:rsidRDefault="00D66BAA" w:rsidP="00F326E5">
      <w:pPr>
        <w:pStyle w:val="NoSpacing"/>
        <w:rPr>
          <w:rFonts w:ascii="Arial Black" w:hAnsi="Arial Black"/>
          <w:sz w:val="24"/>
          <w:szCs w:val="24"/>
        </w:rPr>
      </w:pPr>
    </w:p>
    <w:p w14:paraId="576D8954" w14:textId="3CD7459C" w:rsidR="00465DC0" w:rsidRDefault="00465DC0" w:rsidP="00F326E5">
      <w:pPr>
        <w:pStyle w:val="NoSpacing"/>
        <w:rPr>
          <w:rFonts w:ascii="Arial Black" w:hAnsi="Arial Black"/>
          <w:sz w:val="24"/>
          <w:szCs w:val="24"/>
        </w:rPr>
      </w:pPr>
      <w:r>
        <w:rPr>
          <w:rFonts w:ascii="Arial Black" w:hAnsi="Arial Black"/>
          <w:sz w:val="24"/>
          <w:szCs w:val="24"/>
        </w:rPr>
        <w:t>17-27</w:t>
      </w:r>
    </w:p>
    <w:p w14:paraId="34A39FA0" w14:textId="77777777" w:rsidR="00465DC0" w:rsidRPr="00F3276E" w:rsidRDefault="00465DC0" w:rsidP="00465DC0">
      <w:pPr>
        <w:pStyle w:val="NormalWeb"/>
        <w:rPr>
          <w:rFonts w:ascii="Arial Black" w:hAnsi="Arial Black"/>
          <w:sz w:val="28"/>
          <w:szCs w:val="28"/>
        </w:rPr>
      </w:pPr>
      <w:r w:rsidRPr="00F3276E">
        <w:rPr>
          <w:rFonts w:ascii="Arial Black" w:hAnsi="Arial Black"/>
          <w:sz w:val="28"/>
          <w:szCs w:val="28"/>
        </w:rPr>
        <w:lastRenderedPageBreak/>
        <w:t xml:space="preserve">NLRB – REVERSES TWO PRIOR RULINGS - SEVERANCE AGREEMENTS </w:t>
      </w:r>
      <w:r>
        <w:rPr>
          <w:rFonts w:ascii="Arial Black" w:hAnsi="Arial Black"/>
          <w:sz w:val="28"/>
          <w:szCs w:val="28"/>
        </w:rPr>
        <w:t xml:space="preserve">– NO </w:t>
      </w:r>
      <w:r w:rsidRPr="00F3276E">
        <w:rPr>
          <w:rFonts w:ascii="Arial Black" w:hAnsi="Arial Black"/>
          <w:sz w:val="28"/>
          <w:szCs w:val="28"/>
        </w:rPr>
        <w:t xml:space="preserve">DISCLOSURE </w:t>
      </w:r>
      <w:r>
        <w:rPr>
          <w:rFonts w:ascii="Arial Black" w:hAnsi="Arial Black"/>
          <w:sz w:val="28"/>
          <w:szCs w:val="28"/>
        </w:rPr>
        <w:t xml:space="preserve">/ NO </w:t>
      </w:r>
      <w:r w:rsidRPr="00F3276E">
        <w:rPr>
          <w:rFonts w:ascii="Arial Black" w:hAnsi="Arial Black"/>
          <w:sz w:val="28"/>
          <w:szCs w:val="28"/>
        </w:rPr>
        <w:t xml:space="preserve">“DISPARAGE” </w:t>
      </w:r>
    </w:p>
    <w:p w14:paraId="042F7E8B" w14:textId="77777777" w:rsidR="00465DC0" w:rsidRDefault="00465DC0" w:rsidP="00465DC0">
      <w:pPr>
        <w:pStyle w:val="Heading1"/>
        <w:rPr>
          <w:rStyle w:val="field"/>
          <w:b w:val="0"/>
          <w:bCs w:val="0"/>
          <w:sz w:val="24"/>
          <w:szCs w:val="24"/>
        </w:rPr>
      </w:pPr>
      <w:r w:rsidRPr="00216DC5">
        <w:rPr>
          <w:rStyle w:val="field"/>
          <w:b w:val="0"/>
          <w:bCs w:val="0"/>
          <w:sz w:val="24"/>
          <w:szCs w:val="24"/>
        </w:rPr>
        <w:t xml:space="preserve">On Feb. 21, 2023, </w:t>
      </w:r>
      <w:r>
        <w:rPr>
          <w:rStyle w:val="field"/>
          <w:b w:val="0"/>
          <w:bCs w:val="0"/>
          <w:sz w:val="24"/>
          <w:szCs w:val="24"/>
        </w:rPr>
        <w:t xml:space="preserve">in </w:t>
      </w:r>
      <w:r w:rsidRPr="00216DC5">
        <w:rPr>
          <w:b w:val="0"/>
          <w:bCs w:val="0"/>
          <w:sz w:val="24"/>
          <w:szCs w:val="24"/>
          <w:u w:val="single"/>
        </w:rPr>
        <w:t>McLaren Macomb and Local 40 RN Staff Council, Office and Professional Employees, International Union (OPEIU), AFL–CIO</w:t>
      </w:r>
      <w:r>
        <w:rPr>
          <w:b w:val="0"/>
          <w:bCs w:val="0"/>
          <w:sz w:val="24"/>
          <w:szCs w:val="24"/>
        </w:rPr>
        <w:t>, the National Labor Relations Board departed from two prior decisions in 2020, and held (3 to 1) that a hospital in Mt. Clemens, Michigan, with 2,300 employees, during the COVID period in June 2020 permanently furloughed 11 service employees who were members of this Local. Each employee signed a Severance Agreement that not only released the hospital from any claims arising from their employment, but further prohibited then from disparaging the hospital, and required confidentiality about the terms of the agreement, except to spouse or tax preparer or attorney. The NLRB General Counsel filed a complaint against the hospital, since breach of these provisions could lead to loss of severance benefits.  The NLRB agreed: “</w:t>
      </w:r>
      <w:r w:rsidRPr="006F2BFB">
        <w:rPr>
          <w:b w:val="0"/>
          <w:bCs w:val="0"/>
          <w:sz w:val="24"/>
          <w:szCs w:val="24"/>
        </w:rPr>
        <w:t>Examining the language of the severance agreement</w:t>
      </w:r>
      <w:r>
        <w:rPr>
          <w:b w:val="0"/>
          <w:bCs w:val="0"/>
          <w:sz w:val="24"/>
          <w:szCs w:val="24"/>
        </w:rPr>
        <w:t xml:space="preserve"> </w:t>
      </w:r>
      <w:r w:rsidRPr="006F2BFB">
        <w:rPr>
          <w:b w:val="0"/>
          <w:bCs w:val="0"/>
          <w:sz w:val="24"/>
          <w:szCs w:val="24"/>
        </w:rPr>
        <w:t>here, we conclude that the non</w:t>
      </w:r>
      <w:r>
        <w:rPr>
          <w:b w:val="0"/>
          <w:bCs w:val="0"/>
          <w:sz w:val="24"/>
          <w:szCs w:val="24"/>
        </w:rPr>
        <w:t>-</w:t>
      </w:r>
      <w:r w:rsidRPr="006F2BFB">
        <w:rPr>
          <w:b w:val="0"/>
          <w:bCs w:val="0"/>
          <w:sz w:val="24"/>
          <w:szCs w:val="24"/>
        </w:rPr>
        <w:t>disparagement and confidentiality provisions interfere with, restrain, or coerce</w:t>
      </w:r>
      <w:r>
        <w:rPr>
          <w:b w:val="0"/>
          <w:bCs w:val="0"/>
          <w:sz w:val="24"/>
          <w:szCs w:val="24"/>
        </w:rPr>
        <w:t xml:space="preserve"> </w:t>
      </w:r>
      <w:r w:rsidRPr="006F2BFB">
        <w:rPr>
          <w:b w:val="0"/>
          <w:bCs w:val="0"/>
          <w:sz w:val="24"/>
          <w:szCs w:val="24"/>
        </w:rPr>
        <w:t>employees’ exercise of Section 7 rights.</w:t>
      </w:r>
      <w:r>
        <w:rPr>
          <w:b w:val="0"/>
          <w:bCs w:val="0"/>
          <w:sz w:val="24"/>
          <w:szCs w:val="24"/>
        </w:rPr>
        <w:t xml:space="preserve">” </w:t>
      </w:r>
      <w:hyperlink r:id="rId2893" w:history="1">
        <w:r w:rsidRPr="003F256B">
          <w:rPr>
            <w:rStyle w:val="Hyperlink"/>
            <w:rFonts w:eastAsiaTheme="majorEastAsia"/>
            <w:b w:val="0"/>
            <w:bCs w:val="0"/>
            <w:sz w:val="24"/>
            <w:szCs w:val="24"/>
          </w:rPr>
          <w:t>file:///C:/Users/lawre/Downloads/Board%20Decision.pdf</w:t>
        </w:r>
      </w:hyperlink>
      <w:r>
        <w:rPr>
          <w:rStyle w:val="field"/>
          <w:b w:val="0"/>
          <w:bCs w:val="0"/>
          <w:sz w:val="24"/>
          <w:szCs w:val="24"/>
        </w:rPr>
        <w:t xml:space="preserve"> </w:t>
      </w:r>
    </w:p>
    <w:p w14:paraId="2D163D90" w14:textId="77777777" w:rsidR="00465DC0" w:rsidRDefault="00465DC0" w:rsidP="00465DC0">
      <w:pPr>
        <w:pStyle w:val="Heading1"/>
        <w:rPr>
          <w:rStyle w:val="field"/>
          <w:b w:val="0"/>
          <w:bCs w:val="0"/>
          <w:sz w:val="24"/>
          <w:szCs w:val="24"/>
        </w:rPr>
      </w:pPr>
      <w:r>
        <w:rPr>
          <w:rStyle w:val="field"/>
          <w:b w:val="0"/>
          <w:bCs w:val="0"/>
          <w:sz w:val="24"/>
          <w:szCs w:val="24"/>
        </w:rPr>
        <w:tab/>
        <w:t xml:space="preserve">The NLRB issued a Press Release about this significant decision. </w:t>
      </w:r>
    </w:p>
    <w:p w14:paraId="49449773" w14:textId="77777777" w:rsidR="00465DC0" w:rsidRPr="00216DC5" w:rsidRDefault="00465DC0" w:rsidP="00465DC0">
      <w:pPr>
        <w:pStyle w:val="Heading1"/>
        <w:ind w:left="720"/>
        <w:rPr>
          <w:sz w:val="24"/>
          <w:szCs w:val="24"/>
        </w:rPr>
      </w:pPr>
      <w:r>
        <w:rPr>
          <w:rStyle w:val="field"/>
          <w:sz w:val="24"/>
          <w:szCs w:val="24"/>
        </w:rPr>
        <w:t>“</w:t>
      </w:r>
      <w:r w:rsidRPr="00216DC5">
        <w:rPr>
          <w:rStyle w:val="field"/>
          <w:sz w:val="24"/>
          <w:szCs w:val="24"/>
        </w:rPr>
        <w:t xml:space="preserve">Board Rules that Employers May Not Offer Severance Agreements Requiring Employees to Broadly Waive Labor Law Rights </w:t>
      </w:r>
    </w:p>
    <w:p w14:paraId="67730452" w14:textId="77777777" w:rsidR="00465DC0" w:rsidRDefault="00465DC0" w:rsidP="00465DC0">
      <w:pPr>
        <w:pStyle w:val="NormalWeb"/>
        <w:ind w:left="720"/>
      </w:pPr>
      <w:r>
        <w:t xml:space="preserve">Today, the Board </w:t>
      </w:r>
      <w:hyperlink r:id="rId2894" w:history="1">
        <w:r>
          <w:rPr>
            <w:rStyle w:val="Hyperlink"/>
            <w:rFonts w:eastAsiaTheme="majorEastAsia"/>
          </w:rPr>
          <w:t xml:space="preserve">issued a decision in </w:t>
        </w:r>
        <w:r>
          <w:rPr>
            <w:rStyle w:val="Emphasis"/>
            <w:color w:val="0000FF"/>
            <w:u w:val="single"/>
          </w:rPr>
          <w:t>McLaren Macomb</w:t>
        </w:r>
      </w:hyperlink>
      <w:r>
        <w:rPr>
          <w:rStyle w:val="Emphasis"/>
        </w:rPr>
        <w:t xml:space="preserve">, </w:t>
      </w:r>
      <w:r>
        <w:t>returning to longstanding precedent holding that employers may not offer employees severance agreements that require employees to broadly waive their rights under the National Labor Relations Act. The decision involved severance agreements offered to furloughed employees that prohibited them from making statements that could disparage the employer and from disclosing the terms of the agreement itself.  </w:t>
      </w:r>
    </w:p>
    <w:p w14:paraId="4279AD0F" w14:textId="77777777" w:rsidR="00465DC0" w:rsidRDefault="00465DC0" w:rsidP="00465DC0">
      <w:pPr>
        <w:pStyle w:val="NormalWeb"/>
        <w:ind w:left="720"/>
      </w:pPr>
      <w:r>
        <w:t xml:space="preserve">The decision reverses the previous Board’s decisions in </w:t>
      </w:r>
      <w:r>
        <w:rPr>
          <w:rStyle w:val="Emphasis"/>
        </w:rPr>
        <w:t>Baylor University Medical Center</w:t>
      </w:r>
      <w:r>
        <w:t xml:space="preserve"> and </w:t>
      </w:r>
      <w:r>
        <w:rPr>
          <w:rStyle w:val="Emphasis"/>
        </w:rPr>
        <w:t xml:space="preserve">IGT d/b/a International Game Technology, </w:t>
      </w:r>
      <w:r>
        <w:t>issued in 2020</w:t>
      </w:r>
      <w:r>
        <w:rPr>
          <w:rStyle w:val="Emphasis"/>
        </w:rPr>
        <w:t>,</w:t>
      </w:r>
      <w:r>
        <w:t xml:space="preserve"> which abandoned prior precedent in finding that offering similar severance agreements to employees was not unlawful, by itself.  </w:t>
      </w:r>
    </w:p>
    <w:p w14:paraId="50F0E82C" w14:textId="77777777" w:rsidR="00465DC0" w:rsidRDefault="00465DC0" w:rsidP="00465DC0">
      <w:pPr>
        <w:pStyle w:val="NormalWeb"/>
        <w:ind w:left="720"/>
      </w:pPr>
      <w:r>
        <w:t xml:space="preserve">Today’s decision, in contrast, explains that simply offering employees a severance agreement that requires them to broadly give up their rights under Section 7 of the Act violates Section 8(a)(1) of the Act. The Board observed that the employer’s offer </w:t>
      </w:r>
      <w:proofErr w:type="gramStart"/>
      <w:r>
        <w:t>is itself</w:t>
      </w:r>
      <w:proofErr w:type="gramEnd"/>
      <w:r>
        <w:t xml:space="preserve"> an attempt to deter employees from exercising their statutory rights, at a time when employees may feel they must give up their rights </w:t>
      </w:r>
      <w:proofErr w:type="gramStart"/>
      <w:r>
        <w:t>in order to</w:t>
      </w:r>
      <w:proofErr w:type="gramEnd"/>
      <w:r>
        <w:t xml:space="preserve"> get the benefits provided in the agreement.      </w:t>
      </w:r>
    </w:p>
    <w:p w14:paraId="4507C403" w14:textId="77777777" w:rsidR="00465DC0" w:rsidRDefault="00465DC0" w:rsidP="00465DC0">
      <w:pPr>
        <w:pStyle w:val="NormalWeb"/>
        <w:ind w:left="720"/>
      </w:pPr>
      <w:r>
        <w:t>‘It’s long been understood by the Board and the courts that employers cannot ask individual employees to choose between receiving benefits and exercising their rights under the National Labor Relations Act.  Today’s decision upholds this important principle and restores longstanding precedent,’ said Chairman Lauren McFerran.   </w:t>
      </w:r>
    </w:p>
    <w:p w14:paraId="55F793BC" w14:textId="77777777" w:rsidR="00465DC0" w:rsidRDefault="00465DC0" w:rsidP="00465DC0">
      <w:pPr>
        <w:pStyle w:val="NormalWeb"/>
        <w:ind w:left="720"/>
      </w:pPr>
      <w:r>
        <w:t xml:space="preserve">Members Wilcox and Prouty joined Chairman McFerran in issuing the decision. Member Kaplan dissented.” </w:t>
      </w:r>
      <w:hyperlink r:id="rId2895" w:history="1">
        <w:r w:rsidRPr="003F256B">
          <w:rPr>
            <w:rStyle w:val="Hyperlink"/>
            <w:rFonts w:eastAsiaTheme="majorEastAsia"/>
          </w:rPr>
          <w:t>https://www.nlrb.gov/news-outreach/news-story/board-rules-that-employers-may-not-offer-severance-agreements-requiring</w:t>
        </w:r>
      </w:hyperlink>
      <w:r>
        <w:t xml:space="preserve"> </w:t>
      </w:r>
    </w:p>
    <w:p w14:paraId="15EB7BAD" w14:textId="77777777" w:rsidR="00465DC0" w:rsidRPr="006F2BFB" w:rsidRDefault="00465DC0" w:rsidP="00465DC0">
      <w:pPr>
        <w:pStyle w:val="Heading1"/>
        <w:rPr>
          <w:rStyle w:val="field"/>
          <w:sz w:val="24"/>
          <w:szCs w:val="24"/>
        </w:rPr>
      </w:pPr>
      <w:r w:rsidRPr="006F2BFB">
        <w:rPr>
          <w:rStyle w:val="field"/>
          <w:sz w:val="24"/>
          <w:szCs w:val="24"/>
        </w:rPr>
        <w:t xml:space="preserve">Legal Lesson Learned: </w:t>
      </w:r>
      <w:r>
        <w:rPr>
          <w:rStyle w:val="field"/>
          <w:sz w:val="24"/>
          <w:szCs w:val="24"/>
        </w:rPr>
        <w:t xml:space="preserve">Fire &amp; EMS Departments should consult Legal Counsel about this significant change by NLRB. See two prior decisions, and dissenting opinion by NLRB Member Marvin Kaplan. </w:t>
      </w:r>
    </w:p>
    <w:p w14:paraId="05F4504D" w14:textId="77777777" w:rsidR="00465DC0" w:rsidRDefault="00465DC0" w:rsidP="00465DC0">
      <w:pPr>
        <w:pStyle w:val="Heading1"/>
        <w:ind w:left="720"/>
        <w:rPr>
          <w:rStyle w:val="field"/>
          <w:b w:val="0"/>
          <w:bCs w:val="0"/>
          <w:sz w:val="24"/>
          <w:szCs w:val="24"/>
        </w:rPr>
      </w:pPr>
      <w:r>
        <w:rPr>
          <w:rStyle w:val="field"/>
          <w:b w:val="0"/>
          <w:bCs w:val="0"/>
          <w:sz w:val="24"/>
          <w:szCs w:val="24"/>
        </w:rPr>
        <w:t xml:space="preserve">Note: See two decisions in 2020 now being rejected. </w:t>
      </w:r>
    </w:p>
    <w:p w14:paraId="08B95326" w14:textId="77777777" w:rsidR="00465DC0" w:rsidRPr="009F5DB1" w:rsidRDefault="00465DC0" w:rsidP="00465DC0">
      <w:pPr>
        <w:pStyle w:val="Heading1"/>
        <w:ind w:left="1440"/>
        <w:rPr>
          <w:rStyle w:val="field"/>
          <w:b w:val="0"/>
          <w:bCs w:val="0"/>
          <w:sz w:val="24"/>
          <w:szCs w:val="24"/>
        </w:rPr>
      </w:pPr>
      <w:r w:rsidRPr="00A00396">
        <w:rPr>
          <w:b w:val="0"/>
          <w:bCs w:val="0"/>
          <w:sz w:val="24"/>
          <w:szCs w:val="24"/>
          <w:u w:val="single"/>
        </w:rPr>
        <w:lastRenderedPageBreak/>
        <w:t>Baylor University Medical Center and Dora S. Camacho</w:t>
      </w:r>
      <w:r w:rsidRPr="00CB15E1">
        <w:rPr>
          <w:b w:val="0"/>
          <w:bCs w:val="0"/>
          <w:sz w:val="24"/>
          <w:szCs w:val="24"/>
        </w:rPr>
        <w:t>. Case 16–CA–195335</w:t>
      </w:r>
      <w:r w:rsidRPr="00CB15E1">
        <w:rPr>
          <w:b w:val="0"/>
          <w:bCs w:val="0"/>
          <w:sz w:val="24"/>
          <w:szCs w:val="24"/>
        </w:rPr>
        <w:br/>
        <w:t>March 16, 2020</w:t>
      </w:r>
      <w:r>
        <w:rPr>
          <w:b w:val="0"/>
          <w:bCs w:val="0"/>
          <w:sz w:val="24"/>
          <w:szCs w:val="24"/>
        </w:rPr>
        <w:t xml:space="preserve">.  </w:t>
      </w:r>
      <w:hyperlink r:id="rId2896" w:history="1">
        <w:r w:rsidRPr="003F256B">
          <w:rPr>
            <w:rStyle w:val="Hyperlink"/>
            <w:rFonts w:eastAsiaTheme="majorEastAsia"/>
            <w:b w:val="0"/>
            <w:bCs w:val="0"/>
            <w:sz w:val="24"/>
            <w:szCs w:val="24"/>
          </w:rPr>
          <w:t>http://www.lanermuchin.com/assets/htmldocuments/Board%20Decision-%20Baylor.pdf</w:t>
        </w:r>
      </w:hyperlink>
      <w:r>
        <w:rPr>
          <w:b w:val="0"/>
          <w:bCs w:val="0"/>
          <w:sz w:val="24"/>
          <w:szCs w:val="24"/>
        </w:rPr>
        <w:t xml:space="preserve"> </w:t>
      </w:r>
      <w:r w:rsidRPr="00CB15E1">
        <w:rPr>
          <w:b w:val="0"/>
          <w:bCs w:val="0"/>
          <w:sz w:val="24"/>
          <w:szCs w:val="24"/>
        </w:rPr>
        <w:br/>
      </w:r>
      <w:r>
        <w:rPr>
          <w:b w:val="0"/>
          <w:bCs w:val="0"/>
          <w:sz w:val="24"/>
          <w:szCs w:val="24"/>
        </w:rPr>
        <w:t>“</w:t>
      </w:r>
      <w:r w:rsidRPr="00CB15E1">
        <w:rPr>
          <w:b w:val="0"/>
          <w:bCs w:val="0"/>
          <w:sz w:val="24"/>
          <w:szCs w:val="24"/>
        </w:rPr>
        <w:t>Baylor fired Camacho on September 30, 2016.</w:t>
      </w:r>
      <w:r>
        <w:rPr>
          <w:b w:val="0"/>
          <w:bCs w:val="0"/>
          <w:sz w:val="24"/>
          <w:szCs w:val="24"/>
        </w:rPr>
        <w:t xml:space="preserve"> </w:t>
      </w:r>
      <w:r w:rsidRPr="00CB15E1">
        <w:rPr>
          <w:b w:val="0"/>
          <w:bCs w:val="0"/>
          <w:sz w:val="24"/>
          <w:szCs w:val="24"/>
        </w:rPr>
        <w:t>On October</w:t>
      </w:r>
      <w:r>
        <w:rPr>
          <w:b w:val="0"/>
          <w:bCs w:val="0"/>
          <w:sz w:val="24"/>
          <w:szCs w:val="24"/>
        </w:rPr>
        <w:t xml:space="preserve"> </w:t>
      </w:r>
      <w:r w:rsidRPr="00CB15E1">
        <w:rPr>
          <w:b w:val="0"/>
          <w:bCs w:val="0"/>
          <w:sz w:val="24"/>
          <w:szCs w:val="24"/>
        </w:rPr>
        <w:t xml:space="preserve">4, it offered her over $10,000 in exchange for signing a </w:t>
      </w:r>
      <w:r>
        <w:rPr>
          <w:b w:val="0"/>
          <w:bCs w:val="0"/>
          <w:sz w:val="24"/>
          <w:szCs w:val="24"/>
        </w:rPr>
        <w:t xml:space="preserve">… </w:t>
      </w:r>
      <w:r w:rsidRPr="00CB15E1">
        <w:rPr>
          <w:b w:val="0"/>
          <w:bCs w:val="0"/>
          <w:sz w:val="24"/>
          <w:szCs w:val="24"/>
        </w:rPr>
        <w:t>Separation Agreement</w:t>
      </w:r>
      <w:r>
        <w:rPr>
          <w:b w:val="0"/>
          <w:bCs w:val="0"/>
          <w:sz w:val="24"/>
          <w:szCs w:val="24"/>
        </w:rPr>
        <w:t xml:space="preserve"> [that contained waiver of future claims; non-disparagement; non-disclosure.]</w:t>
      </w:r>
      <w:r w:rsidRPr="00CB15E1">
        <w:rPr>
          <w:b w:val="0"/>
          <w:bCs w:val="0"/>
          <w:sz w:val="24"/>
          <w:szCs w:val="24"/>
        </w:rPr>
        <w:t xml:space="preserve"> She refused to sign the Separation Agreement</w:t>
      </w:r>
      <w:r>
        <w:rPr>
          <w:b w:val="0"/>
          <w:bCs w:val="0"/>
          <w:sz w:val="24"/>
          <w:szCs w:val="24"/>
        </w:rPr>
        <w:t xml:space="preserve"> </w:t>
      </w:r>
      <w:r w:rsidRPr="00CB15E1">
        <w:rPr>
          <w:b w:val="0"/>
          <w:bCs w:val="0"/>
          <w:sz w:val="24"/>
          <w:szCs w:val="24"/>
        </w:rPr>
        <w:t>and, instead, brought the instant charge challenging the legality</w:t>
      </w:r>
      <w:r>
        <w:rPr>
          <w:b w:val="0"/>
          <w:bCs w:val="0"/>
          <w:sz w:val="24"/>
          <w:szCs w:val="24"/>
        </w:rPr>
        <w:t xml:space="preserve"> </w:t>
      </w:r>
      <w:r w:rsidRPr="00CB15E1">
        <w:rPr>
          <w:b w:val="0"/>
          <w:bCs w:val="0"/>
          <w:sz w:val="24"/>
          <w:szCs w:val="24"/>
        </w:rPr>
        <w:t>of the agreement.</w:t>
      </w:r>
      <w:r>
        <w:rPr>
          <w:b w:val="0"/>
          <w:bCs w:val="0"/>
          <w:sz w:val="24"/>
          <w:szCs w:val="24"/>
        </w:rPr>
        <w:t xml:space="preserve"> *** </w:t>
      </w:r>
      <w:r w:rsidRPr="009F5DB1">
        <w:rPr>
          <w:b w:val="0"/>
          <w:bCs w:val="0"/>
          <w:sz w:val="24"/>
          <w:szCs w:val="24"/>
        </w:rPr>
        <w:t>In these circumstances, we find that the mere proffer of</w:t>
      </w:r>
      <w:r>
        <w:rPr>
          <w:b w:val="0"/>
          <w:bCs w:val="0"/>
          <w:sz w:val="24"/>
          <w:szCs w:val="24"/>
        </w:rPr>
        <w:t xml:space="preserve"> </w:t>
      </w:r>
      <w:r w:rsidRPr="009F5DB1">
        <w:rPr>
          <w:b w:val="0"/>
          <w:bCs w:val="0"/>
          <w:sz w:val="24"/>
          <w:szCs w:val="24"/>
        </w:rPr>
        <w:t>severance agreements containing the three challenged provisions did not reasonably tend to interfere with, restrain,</w:t>
      </w:r>
      <w:r>
        <w:rPr>
          <w:b w:val="0"/>
          <w:bCs w:val="0"/>
          <w:sz w:val="24"/>
          <w:szCs w:val="24"/>
        </w:rPr>
        <w:t xml:space="preserve"> </w:t>
      </w:r>
      <w:r w:rsidRPr="009F5DB1">
        <w:rPr>
          <w:b w:val="0"/>
          <w:bCs w:val="0"/>
          <w:sz w:val="24"/>
          <w:szCs w:val="24"/>
        </w:rPr>
        <w:t>or coerce employees in the exercise of rights under the</w:t>
      </w:r>
      <w:r>
        <w:rPr>
          <w:b w:val="0"/>
          <w:bCs w:val="0"/>
          <w:sz w:val="24"/>
          <w:szCs w:val="24"/>
        </w:rPr>
        <w:t xml:space="preserve"> </w:t>
      </w:r>
      <w:r w:rsidRPr="009F5DB1">
        <w:rPr>
          <w:b w:val="0"/>
          <w:bCs w:val="0"/>
          <w:sz w:val="24"/>
          <w:szCs w:val="24"/>
        </w:rPr>
        <w:t>Act.7 Accordingly, we reverse the judge in part and dismiss the complaint.</w:t>
      </w:r>
    </w:p>
    <w:p w14:paraId="48B77C9F" w14:textId="77777777" w:rsidR="00465DC0" w:rsidRPr="00A00396" w:rsidRDefault="00465DC0" w:rsidP="00465DC0">
      <w:pPr>
        <w:pStyle w:val="Heading1"/>
        <w:ind w:left="1440"/>
        <w:rPr>
          <w:rStyle w:val="field"/>
          <w:b w:val="0"/>
          <w:bCs w:val="0"/>
          <w:sz w:val="24"/>
          <w:szCs w:val="24"/>
        </w:rPr>
      </w:pPr>
      <w:r w:rsidRPr="00A00396">
        <w:rPr>
          <w:b w:val="0"/>
          <w:bCs w:val="0"/>
          <w:sz w:val="24"/>
          <w:szCs w:val="24"/>
          <w:u w:val="single"/>
        </w:rPr>
        <w:t>GT d/b/a International Game Technology and International Union of Operating Engineers Local Union 501, AFL-CIO</w:t>
      </w:r>
      <w:r w:rsidRPr="009F5DB1">
        <w:rPr>
          <w:b w:val="0"/>
          <w:bCs w:val="0"/>
          <w:sz w:val="24"/>
          <w:szCs w:val="24"/>
        </w:rPr>
        <w:t>. November 24, 2020</w:t>
      </w:r>
      <w:r>
        <w:rPr>
          <w:b w:val="0"/>
          <w:bCs w:val="0"/>
          <w:sz w:val="24"/>
          <w:szCs w:val="24"/>
        </w:rPr>
        <w:t xml:space="preserve">. </w:t>
      </w:r>
      <w:hyperlink r:id="rId2897" w:history="1">
        <w:r w:rsidRPr="003F256B">
          <w:rPr>
            <w:rStyle w:val="Hyperlink"/>
            <w:rFonts w:eastAsiaTheme="majorEastAsia"/>
            <w:b w:val="0"/>
            <w:bCs w:val="0"/>
            <w:sz w:val="24"/>
            <w:szCs w:val="24"/>
          </w:rPr>
          <w:t>https://www.jacksonlewis.com/sites/default/files/docs/IGTBoardDecision.pdf</w:t>
        </w:r>
      </w:hyperlink>
      <w:r>
        <w:rPr>
          <w:b w:val="0"/>
          <w:bCs w:val="0"/>
          <w:sz w:val="24"/>
          <w:szCs w:val="24"/>
        </w:rPr>
        <w:t xml:space="preserve">  “</w:t>
      </w:r>
      <w:r w:rsidRPr="009F5DB1">
        <w:rPr>
          <w:b w:val="0"/>
          <w:bCs w:val="0"/>
          <w:sz w:val="24"/>
          <w:szCs w:val="24"/>
        </w:rPr>
        <w:t>The Respondent is a multinational company that assembles, installs, removes, services, and repairs gaming machines. It has a practice of offering the Agreement to employees terminated as a result of the elimination of their</w:t>
      </w:r>
      <w:r>
        <w:rPr>
          <w:b w:val="0"/>
          <w:bCs w:val="0"/>
          <w:sz w:val="24"/>
          <w:szCs w:val="24"/>
        </w:rPr>
        <w:t xml:space="preserve"> </w:t>
      </w:r>
      <w:r w:rsidRPr="009F5DB1">
        <w:rPr>
          <w:b w:val="0"/>
          <w:bCs w:val="0"/>
          <w:sz w:val="24"/>
          <w:szCs w:val="24"/>
        </w:rPr>
        <w:t>positions</w:t>
      </w:r>
      <w:r>
        <w:rPr>
          <w:b w:val="0"/>
          <w:bCs w:val="0"/>
          <w:sz w:val="24"/>
          <w:szCs w:val="24"/>
        </w:rPr>
        <w:t xml:space="preserve"> [with two weeks of pay]….I</w:t>
      </w:r>
      <w:r w:rsidRPr="00A00396">
        <w:rPr>
          <w:b w:val="0"/>
          <w:bCs w:val="0"/>
          <w:sz w:val="24"/>
          <w:szCs w:val="24"/>
        </w:rPr>
        <w:t>n conclusion, because the Agreement is entirely voluntary, does not affect pay or benefits that were established</w:t>
      </w:r>
      <w:r>
        <w:rPr>
          <w:b w:val="0"/>
          <w:bCs w:val="0"/>
          <w:sz w:val="24"/>
          <w:szCs w:val="24"/>
        </w:rPr>
        <w:t xml:space="preserve"> </w:t>
      </w:r>
      <w:r w:rsidRPr="00A00396">
        <w:rPr>
          <w:b w:val="0"/>
          <w:bCs w:val="0"/>
          <w:sz w:val="24"/>
          <w:szCs w:val="24"/>
        </w:rPr>
        <w:t xml:space="preserve">as terms of employment, and has not been proffered coercively, we find that the </w:t>
      </w:r>
      <w:proofErr w:type="spellStart"/>
      <w:r w:rsidRPr="00A00396">
        <w:rPr>
          <w:b w:val="0"/>
          <w:bCs w:val="0"/>
          <w:sz w:val="24"/>
          <w:szCs w:val="24"/>
        </w:rPr>
        <w:t>nondisparagement</w:t>
      </w:r>
      <w:proofErr w:type="spellEnd"/>
      <w:r w:rsidRPr="00A00396">
        <w:rPr>
          <w:b w:val="0"/>
          <w:bCs w:val="0"/>
          <w:sz w:val="24"/>
          <w:szCs w:val="24"/>
        </w:rPr>
        <w:t xml:space="preserve"> provision</w:t>
      </w:r>
      <w:r>
        <w:rPr>
          <w:b w:val="0"/>
          <w:bCs w:val="0"/>
          <w:sz w:val="24"/>
          <w:szCs w:val="24"/>
        </w:rPr>
        <w:t xml:space="preserve"> </w:t>
      </w:r>
      <w:r w:rsidRPr="00A00396">
        <w:rPr>
          <w:b w:val="0"/>
          <w:bCs w:val="0"/>
          <w:sz w:val="24"/>
          <w:szCs w:val="24"/>
        </w:rPr>
        <w:t>would not tend to interfere with, restrain, or coerce employees in the exercise of their rights under the Act.</w:t>
      </w:r>
      <w:r>
        <w:rPr>
          <w:b w:val="0"/>
          <w:bCs w:val="0"/>
          <w:sz w:val="24"/>
          <w:szCs w:val="24"/>
        </w:rPr>
        <w:t>”</w:t>
      </w:r>
    </w:p>
    <w:p w14:paraId="4234B2DB" w14:textId="77777777" w:rsidR="00465DC0" w:rsidRDefault="00465DC0" w:rsidP="00465DC0">
      <w:pPr>
        <w:pStyle w:val="Heading1"/>
        <w:ind w:left="720"/>
        <w:rPr>
          <w:rStyle w:val="field"/>
          <w:b w:val="0"/>
          <w:bCs w:val="0"/>
          <w:sz w:val="24"/>
          <w:szCs w:val="24"/>
        </w:rPr>
      </w:pPr>
      <w:r>
        <w:rPr>
          <w:rStyle w:val="field"/>
          <w:b w:val="0"/>
          <w:bCs w:val="0"/>
          <w:sz w:val="24"/>
          <w:szCs w:val="24"/>
        </w:rPr>
        <w:t xml:space="preserve">See dissent </w:t>
      </w:r>
      <w:proofErr w:type="gramStart"/>
      <w:r>
        <w:rPr>
          <w:rStyle w:val="field"/>
          <w:b w:val="0"/>
          <w:bCs w:val="0"/>
          <w:sz w:val="24"/>
          <w:szCs w:val="24"/>
        </w:rPr>
        <w:t>by</w:t>
      </w:r>
      <w:proofErr w:type="gramEnd"/>
      <w:r>
        <w:rPr>
          <w:rStyle w:val="field"/>
          <w:b w:val="0"/>
          <w:bCs w:val="0"/>
          <w:sz w:val="24"/>
          <w:szCs w:val="24"/>
        </w:rPr>
        <w:t xml:space="preserve"> NLRB member Marvin E. Kaplan: </w:t>
      </w:r>
    </w:p>
    <w:p w14:paraId="7ABE6641" w14:textId="77777777" w:rsidR="00465DC0" w:rsidRPr="00CB15E1" w:rsidRDefault="00465DC0" w:rsidP="00465DC0">
      <w:pPr>
        <w:pStyle w:val="Heading1"/>
        <w:ind w:left="1440"/>
        <w:rPr>
          <w:rStyle w:val="field"/>
          <w:b w:val="0"/>
          <w:bCs w:val="0"/>
          <w:sz w:val="24"/>
          <w:szCs w:val="24"/>
        </w:rPr>
      </w:pPr>
      <w:r>
        <w:rPr>
          <w:b w:val="0"/>
          <w:bCs w:val="0"/>
          <w:sz w:val="24"/>
          <w:szCs w:val="24"/>
        </w:rPr>
        <w:t>“</w:t>
      </w:r>
      <w:r w:rsidRPr="00CB15E1">
        <w:rPr>
          <w:b w:val="0"/>
          <w:bCs w:val="0"/>
          <w:sz w:val="24"/>
          <w:szCs w:val="24"/>
        </w:rPr>
        <w:t>Baylor and IGT were sound, pragmatic decisions fully</w:t>
      </w:r>
      <w:r>
        <w:rPr>
          <w:b w:val="0"/>
          <w:bCs w:val="0"/>
          <w:sz w:val="24"/>
          <w:szCs w:val="24"/>
        </w:rPr>
        <w:t xml:space="preserve"> </w:t>
      </w:r>
      <w:r w:rsidRPr="00CB15E1">
        <w:rPr>
          <w:b w:val="0"/>
          <w:bCs w:val="0"/>
          <w:sz w:val="24"/>
          <w:szCs w:val="24"/>
        </w:rPr>
        <w:t>consistent with the Act, and my colleagues have failed to</w:t>
      </w:r>
      <w:r>
        <w:rPr>
          <w:b w:val="0"/>
          <w:bCs w:val="0"/>
          <w:sz w:val="24"/>
          <w:szCs w:val="24"/>
        </w:rPr>
        <w:t xml:space="preserve"> </w:t>
      </w:r>
      <w:r w:rsidRPr="00CB15E1">
        <w:rPr>
          <w:b w:val="0"/>
          <w:bCs w:val="0"/>
          <w:sz w:val="24"/>
          <w:szCs w:val="24"/>
        </w:rPr>
        <w:t xml:space="preserve">establish sufficient grounds for overturning those decisions. Contrary to my colleagues’ assertions, the holdings in Baylor and IGT did not conflict with </w:t>
      </w:r>
      <w:r>
        <w:rPr>
          <w:b w:val="0"/>
          <w:bCs w:val="0"/>
          <w:sz w:val="24"/>
          <w:szCs w:val="24"/>
        </w:rPr>
        <w:t>‘</w:t>
      </w:r>
      <w:r w:rsidRPr="00CB15E1">
        <w:rPr>
          <w:b w:val="0"/>
          <w:bCs w:val="0"/>
          <w:sz w:val="24"/>
          <w:szCs w:val="24"/>
        </w:rPr>
        <w:t>long-standing precedent.</w:t>
      </w:r>
      <w:r>
        <w:rPr>
          <w:b w:val="0"/>
          <w:bCs w:val="0"/>
          <w:sz w:val="24"/>
          <w:szCs w:val="24"/>
        </w:rPr>
        <w:t>’</w:t>
      </w:r>
      <w:r w:rsidRPr="00CB15E1">
        <w:rPr>
          <w:b w:val="0"/>
          <w:bCs w:val="0"/>
          <w:sz w:val="24"/>
          <w:szCs w:val="24"/>
        </w:rPr>
        <w:t xml:space="preserve"> None of the cases cited by my colleagues found that an employer, never having suggested</w:t>
      </w:r>
      <w:r>
        <w:rPr>
          <w:b w:val="0"/>
          <w:bCs w:val="0"/>
          <w:sz w:val="24"/>
          <w:szCs w:val="24"/>
        </w:rPr>
        <w:t xml:space="preserve"> </w:t>
      </w:r>
      <w:r w:rsidRPr="00CB15E1">
        <w:rPr>
          <w:b w:val="0"/>
          <w:bCs w:val="0"/>
          <w:sz w:val="24"/>
          <w:szCs w:val="24"/>
        </w:rPr>
        <w:t xml:space="preserve">any proclivity to </w:t>
      </w:r>
      <w:proofErr w:type="gramStart"/>
      <w:r w:rsidRPr="00CB15E1">
        <w:rPr>
          <w:b w:val="0"/>
          <w:bCs w:val="0"/>
          <w:sz w:val="24"/>
          <w:szCs w:val="24"/>
        </w:rPr>
        <w:t>violate</w:t>
      </w:r>
      <w:proofErr w:type="gramEnd"/>
      <w:r w:rsidRPr="00CB15E1">
        <w:rPr>
          <w:b w:val="0"/>
          <w:bCs w:val="0"/>
          <w:sz w:val="24"/>
          <w:szCs w:val="24"/>
        </w:rPr>
        <w:t xml:space="preserve"> the Act, violated the Act by</w:t>
      </w:r>
      <w:r>
        <w:rPr>
          <w:b w:val="0"/>
          <w:bCs w:val="0"/>
          <w:sz w:val="24"/>
          <w:szCs w:val="24"/>
        </w:rPr>
        <w:t xml:space="preserve"> </w:t>
      </w:r>
      <w:r w:rsidRPr="00CB15E1">
        <w:rPr>
          <w:b w:val="0"/>
          <w:bCs w:val="0"/>
          <w:sz w:val="24"/>
          <w:szCs w:val="24"/>
        </w:rPr>
        <w:t>proffering a severance agreement that could possibly be</w:t>
      </w:r>
      <w:r>
        <w:rPr>
          <w:b w:val="0"/>
          <w:bCs w:val="0"/>
          <w:sz w:val="24"/>
          <w:szCs w:val="24"/>
        </w:rPr>
        <w:t xml:space="preserve"> </w:t>
      </w:r>
      <w:r w:rsidRPr="00CB15E1">
        <w:rPr>
          <w:b w:val="0"/>
          <w:bCs w:val="0"/>
          <w:sz w:val="24"/>
          <w:szCs w:val="24"/>
        </w:rPr>
        <w:t>interpreted as limiting Section 7 rights. Indeed, the instant case does not present those circumstances. Nevertheless, my colleagues have used this case to overrule</w:t>
      </w:r>
      <w:r>
        <w:rPr>
          <w:b w:val="0"/>
          <w:bCs w:val="0"/>
          <w:sz w:val="24"/>
          <w:szCs w:val="24"/>
        </w:rPr>
        <w:t xml:space="preserve"> </w:t>
      </w:r>
      <w:r w:rsidRPr="00CB15E1">
        <w:rPr>
          <w:b w:val="0"/>
          <w:bCs w:val="0"/>
          <w:sz w:val="24"/>
          <w:szCs w:val="24"/>
        </w:rPr>
        <w:t xml:space="preserve">extant </w:t>
      </w:r>
      <w:proofErr w:type="gramStart"/>
      <w:r w:rsidRPr="00CB15E1">
        <w:rPr>
          <w:b w:val="0"/>
          <w:bCs w:val="0"/>
          <w:sz w:val="24"/>
          <w:szCs w:val="24"/>
        </w:rPr>
        <w:t>law</w:t>
      </w:r>
      <w:proofErr w:type="gramEnd"/>
      <w:r w:rsidRPr="00CB15E1">
        <w:rPr>
          <w:b w:val="0"/>
          <w:bCs w:val="0"/>
          <w:sz w:val="24"/>
          <w:szCs w:val="24"/>
        </w:rPr>
        <w:t xml:space="preserve"> that </w:t>
      </w:r>
      <w:proofErr w:type="gramStart"/>
      <w:r w:rsidRPr="00CB15E1">
        <w:rPr>
          <w:b w:val="0"/>
          <w:bCs w:val="0"/>
          <w:sz w:val="24"/>
          <w:szCs w:val="24"/>
        </w:rPr>
        <w:t>was</w:t>
      </w:r>
      <w:proofErr w:type="gramEnd"/>
      <w:r w:rsidRPr="00CB15E1">
        <w:rPr>
          <w:b w:val="0"/>
          <w:bCs w:val="0"/>
          <w:sz w:val="24"/>
          <w:szCs w:val="24"/>
        </w:rPr>
        <w:t xml:space="preserve"> consistent with finding the violation</w:t>
      </w:r>
      <w:r>
        <w:rPr>
          <w:b w:val="0"/>
          <w:bCs w:val="0"/>
          <w:sz w:val="24"/>
          <w:szCs w:val="24"/>
        </w:rPr>
        <w:t xml:space="preserve"> </w:t>
      </w:r>
      <w:r w:rsidRPr="00CB15E1">
        <w:rPr>
          <w:b w:val="0"/>
          <w:bCs w:val="0"/>
          <w:sz w:val="24"/>
          <w:szCs w:val="24"/>
        </w:rPr>
        <w:t xml:space="preserve">in this case </w:t>
      </w:r>
      <w:proofErr w:type="gramStart"/>
      <w:r w:rsidRPr="00CB15E1">
        <w:rPr>
          <w:b w:val="0"/>
          <w:bCs w:val="0"/>
          <w:sz w:val="24"/>
          <w:szCs w:val="24"/>
        </w:rPr>
        <w:t>in order to</w:t>
      </w:r>
      <w:proofErr w:type="gramEnd"/>
      <w:r w:rsidRPr="00CB15E1">
        <w:rPr>
          <w:b w:val="0"/>
          <w:bCs w:val="0"/>
          <w:sz w:val="24"/>
          <w:szCs w:val="24"/>
        </w:rPr>
        <w:t xml:space="preserve"> change the law, in effect, for cases</w:t>
      </w:r>
      <w:r>
        <w:rPr>
          <w:b w:val="0"/>
          <w:bCs w:val="0"/>
          <w:sz w:val="24"/>
          <w:szCs w:val="24"/>
        </w:rPr>
        <w:t xml:space="preserve"> </w:t>
      </w:r>
      <w:r w:rsidRPr="00CB15E1">
        <w:rPr>
          <w:b w:val="0"/>
          <w:bCs w:val="0"/>
          <w:sz w:val="24"/>
          <w:szCs w:val="24"/>
        </w:rPr>
        <w:t>not involving the facts presented in this case. Not only</w:t>
      </w:r>
      <w:r>
        <w:rPr>
          <w:b w:val="0"/>
          <w:bCs w:val="0"/>
          <w:sz w:val="24"/>
          <w:szCs w:val="24"/>
        </w:rPr>
        <w:t xml:space="preserve"> </w:t>
      </w:r>
      <w:r w:rsidRPr="00CB15E1">
        <w:rPr>
          <w:b w:val="0"/>
          <w:bCs w:val="0"/>
          <w:sz w:val="24"/>
          <w:szCs w:val="24"/>
        </w:rPr>
        <w:t>does this new standard go beyond what is necessary to</w:t>
      </w:r>
      <w:r w:rsidRPr="00CB15E1">
        <w:rPr>
          <w:b w:val="0"/>
          <w:bCs w:val="0"/>
          <w:sz w:val="24"/>
          <w:szCs w:val="24"/>
        </w:rPr>
        <w:br/>
        <w:t>decide this case but, for the reasons I have discussed, my</w:t>
      </w:r>
      <w:r>
        <w:rPr>
          <w:b w:val="0"/>
          <w:bCs w:val="0"/>
          <w:sz w:val="24"/>
          <w:szCs w:val="24"/>
        </w:rPr>
        <w:t xml:space="preserve"> </w:t>
      </w:r>
      <w:r w:rsidRPr="00CB15E1">
        <w:rPr>
          <w:b w:val="0"/>
          <w:bCs w:val="0"/>
          <w:sz w:val="24"/>
          <w:szCs w:val="24"/>
        </w:rPr>
        <w:t>colleagues’ finding of a threat violation under this new</w:t>
      </w:r>
      <w:r>
        <w:rPr>
          <w:b w:val="0"/>
          <w:bCs w:val="0"/>
          <w:sz w:val="24"/>
          <w:szCs w:val="24"/>
        </w:rPr>
        <w:t xml:space="preserve"> </w:t>
      </w:r>
      <w:r w:rsidRPr="00CB15E1">
        <w:rPr>
          <w:b w:val="0"/>
          <w:bCs w:val="0"/>
          <w:sz w:val="24"/>
          <w:szCs w:val="24"/>
        </w:rPr>
        <w:t>standard is neither correct under Board law nor consistent with the General Counsel’s complaint and litigation of this matter. Accordingly, I must respectfully dissent from this aspect of my colleagues’ decision.</w:t>
      </w:r>
      <w:r>
        <w:rPr>
          <w:b w:val="0"/>
          <w:bCs w:val="0"/>
          <w:sz w:val="24"/>
          <w:szCs w:val="24"/>
        </w:rPr>
        <w:t>”</w:t>
      </w:r>
    </w:p>
    <w:p w14:paraId="540B75CB" w14:textId="6CC4D6F8" w:rsidR="00D478CB" w:rsidRDefault="0055155D" w:rsidP="00F326E5">
      <w:pPr>
        <w:pStyle w:val="NoSpacing"/>
        <w:rPr>
          <w:rFonts w:ascii="Arial Black" w:hAnsi="Arial Black"/>
          <w:sz w:val="24"/>
          <w:szCs w:val="24"/>
        </w:rPr>
      </w:pPr>
      <w:r>
        <w:rPr>
          <w:rFonts w:ascii="Arial Black" w:hAnsi="Arial Black"/>
          <w:sz w:val="24"/>
          <w:szCs w:val="24"/>
        </w:rPr>
        <w:t>17-26</w:t>
      </w:r>
    </w:p>
    <w:p w14:paraId="6D9866CD" w14:textId="77777777" w:rsidR="000C3B06" w:rsidRDefault="000C3B06" w:rsidP="000C3B06">
      <w:pPr>
        <w:pStyle w:val="Heading1"/>
        <w:rPr>
          <w:rStyle w:val="markedcontent"/>
          <w:rFonts w:ascii="Arial Black" w:hAnsi="Arial Black"/>
          <w:sz w:val="28"/>
          <w:szCs w:val="28"/>
        </w:rPr>
      </w:pPr>
      <w:r>
        <w:rPr>
          <w:rStyle w:val="markedcontent"/>
          <w:rFonts w:ascii="Arial Black" w:hAnsi="Arial Black"/>
          <w:sz w:val="28"/>
          <w:szCs w:val="28"/>
        </w:rPr>
        <w:t>IN: MAYOR RETALIATED AGAINST UNION– CHANGED SCHEDULE 24/48 TO 8/24 -  INJUNCTION AGAINST CHANGE</w:t>
      </w:r>
    </w:p>
    <w:p w14:paraId="0AACB7FE" w14:textId="77777777" w:rsidR="000C3B06" w:rsidRDefault="000C3B06" w:rsidP="000C3B06">
      <w:pPr>
        <w:pStyle w:val="Heading1"/>
        <w:rPr>
          <w:rStyle w:val="markedcontent"/>
          <w:b w:val="0"/>
          <w:bCs w:val="0"/>
          <w:sz w:val="24"/>
          <w:szCs w:val="24"/>
        </w:rPr>
      </w:pPr>
      <w:r w:rsidRPr="00C605B3">
        <w:rPr>
          <w:rStyle w:val="markedcontent"/>
          <w:b w:val="0"/>
          <w:bCs w:val="0"/>
          <w:sz w:val="24"/>
          <w:szCs w:val="24"/>
        </w:rPr>
        <w:t xml:space="preserve">On Dec. 21, 2022, in </w:t>
      </w:r>
      <w:r w:rsidRPr="00C605B3">
        <w:rPr>
          <w:rStyle w:val="markedcontent"/>
          <w:b w:val="0"/>
          <w:bCs w:val="0"/>
          <w:sz w:val="24"/>
          <w:szCs w:val="24"/>
          <w:u w:val="single"/>
        </w:rPr>
        <w:t>International Association of Firefighters, Local 365, et al. v. City of East Chicago and Anthony Copeland</w:t>
      </w:r>
      <w:r>
        <w:rPr>
          <w:rStyle w:val="markedcontent"/>
          <w:b w:val="0"/>
          <w:bCs w:val="0"/>
          <w:sz w:val="24"/>
          <w:szCs w:val="24"/>
        </w:rPr>
        <w:t xml:space="preserve">, the U.S. Court of Appeals for Seventh Circuit (Chicago), held (3 to 0) that the change in work schedule from 24/48 to 8/24 was in retaliation for union’s First Amendment activities, including support of the Mayor Anthony Copeland’s opponent in 2019, firefighters’ protest at his inauguration, their endorsement and election of six members of city’s Common Council,  their successful lobbying for increase in firefighter pay ordinance [which Mayor vetoed], and union rejection on Dec. 2, 2019 of proposed agreement to return to 24/48 schedule if union agreed to stop all lobbying.  </w:t>
      </w:r>
      <w:r w:rsidRPr="00545D9F">
        <w:rPr>
          <w:rStyle w:val="markedcontent"/>
          <w:b w:val="0"/>
          <w:bCs w:val="0"/>
          <w:sz w:val="24"/>
          <w:szCs w:val="24"/>
        </w:rPr>
        <w:t>On December 23, 2019, the Common</w:t>
      </w:r>
      <w:r>
        <w:rPr>
          <w:rStyle w:val="markedcontent"/>
          <w:b w:val="0"/>
          <w:bCs w:val="0"/>
          <w:sz w:val="24"/>
          <w:szCs w:val="24"/>
        </w:rPr>
        <w:t xml:space="preserve"> </w:t>
      </w:r>
      <w:r w:rsidRPr="00545D9F">
        <w:rPr>
          <w:rStyle w:val="markedcontent"/>
          <w:b w:val="0"/>
          <w:bCs w:val="0"/>
          <w:sz w:val="24"/>
          <w:szCs w:val="24"/>
        </w:rPr>
        <w:t>Council passed Ordinance 19-0029, which set the firefighters’</w:t>
      </w:r>
      <w:r>
        <w:rPr>
          <w:rStyle w:val="markedcontent"/>
          <w:b w:val="0"/>
          <w:bCs w:val="0"/>
          <w:sz w:val="24"/>
          <w:szCs w:val="24"/>
        </w:rPr>
        <w:t xml:space="preserve"> </w:t>
      </w:r>
      <w:r w:rsidRPr="00545D9F">
        <w:rPr>
          <w:rStyle w:val="markedcontent"/>
          <w:b w:val="0"/>
          <w:bCs w:val="0"/>
          <w:sz w:val="24"/>
          <w:szCs w:val="24"/>
        </w:rPr>
        <w:t>work schedule back to the 24/48 schedule. Copeland vetoed</w:t>
      </w:r>
      <w:r>
        <w:rPr>
          <w:rStyle w:val="markedcontent"/>
          <w:b w:val="0"/>
          <w:bCs w:val="0"/>
          <w:sz w:val="24"/>
          <w:szCs w:val="24"/>
        </w:rPr>
        <w:t xml:space="preserve"> </w:t>
      </w:r>
      <w:r w:rsidRPr="00545D9F">
        <w:rPr>
          <w:rStyle w:val="markedcontent"/>
          <w:b w:val="0"/>
          <w:bCs w:val="0"/>
          <w:sz w:val="24"/>
          <w:szCs w:val="24"/>
        </w:rPr>
        <w:t xml:space="preserve">the ordinance, </w:t>
      </w:r>
      <w:r w:rsidRPr="00545D9F">
        <w:rPr>
          <w:rStyle w:val="markedcontent"/>
          <w:b w:val="0"/>
          <w:bCs w:val="0"/>
          <w:sz w:val="24"/>
          <w:szCs w:val="24"/>
        </w:rPr>
        <w:lastRenderedPageBreak/>
        <w:t>but the Council passed the ordinance over the</w:t>
      </w:r>
      <w:r>
        <w:rPr>
          <w:rStyle w:val="markedcontent"/>
          <w:b w:val="0"/>
          <w:bCs w:val="0"/>
          <w:sz w:val="24"/>
          <w:szCs w:val="24"/>
        </w:rPr>
        <w:t xml:space="preserve"> </w:t>
      </w:r>
      <w:r w:rsidRPr="00545D9F">
        <w:rPr>
          <w:rStyle w:val="markedcontent"/>
          <w:b w:val="0"/>
          <w:bCs w:val="0"/>
          <w:sz w:val="24"/>
          <w:szCs w:val="24"/>
        </w:rPr>
        <w:t>veto.</w:t>
      </w:r>
      <w:r>
        <w:rPr>
          <w:rStyle w:val="markedcontent"/>
          <w:b w:val="0"/>
          <w:bCs w:val="0"/>
          <w:sz w:val="24"/>
          <w:szCs w:val="24"/>
        </w:rPr>
        <w:t xml:space="preserve"> </w:t>
      </w:r>
      <w:r w:rsidRPr="00545D9F">
        <w:rPr>
          <w:rStyle w:val="markedcontent"/>
          <w:b w:val="0"/>
          <w:bCs w:val="0"/>
          <w:sz w:val="24"/>
          <w:szCs w:val="24"/>
        </w:rPr>
        <w:t>On March 4, 2021, the Lake County Superior Court issued a decision agreeing with Copeland and</w:t>
      </w:r>
      <w:r>
        <w:rPr>
          <w:rStyle w:val="markedcontent"/>
          <w:b w:val="0"/>
          <w:bCs w:val="0"/>
          <w:sz w:val="24"/>
          <w:szCs w:val="24"/>
        </w:rPr>
        <w:t xml:space="preserve"> </w:t>
      </w:r>
      <w:r w:rsidRPr="00545D9F">
        <w:rPr>
          <w:rStyle w:val="markedcontent"/>
          <w:b w:val="0"/>
          <w:bCs w:val="0"/>
          <w:sz w:val="24"/>
          <w:szCs w:val="24"/>
        </w:rPr>
        <w:t>struck down the ordinance—leaving the 8/24 schedule in effect.</w:t>
      </w:r>
      <w:r>
        <w:rPr>
          <w:rStyle w:val="markedcontent"/>
          <w:b w:val="0"/>
          <w:bCs w:val="0"/>
          <w:sz w:val="24"/>
          <w:szCs w:val="24"/>
        </w:rPr>
        <w:t xml:space="preserve"> The union then sought a preliminary injunction in Federal court.  U.S. District Court Judge Phillip P. Simon (Northern District of Indiana) concluded after a two-day preliminary injunction hearing that the </w:t>
      </w:r>
      <w:proofErr w:type="gramStart"/>
      <w:r>
        <w:rPr>
          <w:rStyle w:val="markedcontent"/>
          <w:b w:val="0"/>
          <w:bCs w:val="0"/>
          <w:sz w:val="24"/>
          <w:szCs w:val="24"/>
        </w:rPr>
        <w:t>Mayor’s</w:t>
      </w:r>
      <w:proofErr w:type="gramEnd"/>
      <w:r>
        <w:rPr>
          <w:rStyle w:val="markedcontent"/>
          <w:b w:val="0"/>
          <w:bCs w:val="0"/>
          <w:sz w:val="24"/>
          <w:szCs w:val="24"/>
        </w:rPr>
        <w:t xml:space="preserve"> actions were motivated by the Local 365 First Amendment activities and on March 28, </w:t>
      </w:r>
      <w:proofErr w:type="gramStart"/>
      <w:r>
        <w:rPr>
          <w:rStyle w:val="markedcontent"/>
          <w:b w:val="0"/>
          <w:bCs w:val="0"/>
          <w:sz w:val="24"/>
          <w:szCs w:val="24"/>
        </w:rPr>
        <w:t>2021</w:t>
      </w:r>
      <w:proofErr w:type="gramEnd"/>
      <w:r>
        <w:rPr>
          <w:rStyle w:val="markedcontent"/>
          <w:b w:val="0"/>
          <w:bCs w:val="0"/>
          <w:sz w:val="24"/>
          <w:szCs w:val="24"/>
        </w:rPr>
        <w:t xml:space="preserve"> ordered City to return to 24/48 schedule.   </w:t>
      </w:r>
    </w:p>
    <w:p w14:paraId="1F1B45F2" w14:textId="77777777" w:rsidR="000C3B06" w:rsidRDefault="000C3B06" w:rsidP="000C3B06">
      <w:pPr>
        <w:pStyle w:val="Heading1"/>
        <w:ind w:left="720"/>
        <w:rPr>
          <w:rStyle w:val="markedcontent"/>
          <w:b w:val="0"/>
          <w:bCs w:val="0"/>
          <w:sz w:val="24"/>
          <w:szCs w:val="24"/>
        </w:rPr>
      </w:pPr>
      <w:r>
        <w:rPr>
          <w:rStyle w:val="markedcontent"/>
          <w:b w:val="0"/>
          <w:bCs w:val="0"/>
          <w:sz w:val="24"/>
          <w:szCs w:val="24"/>
        </w:rPr>
        <w:t>“[W]e f</w:t>
      </w:r>
      <w:r w:rsidRPr="00036C7B">
        <w:rPr>
          <w:rStyle w:val="markedcontent"/>
          <w:b w:val="0"/>
          <w:bCs w:val="0"/>
          <w:sz w:val="24"/>
          <w:szCs w:val="24"/>
        </w:rPr>
        <w:t>ind that the district court did</w:t>
      </w:r>
      <w:r>
        <w:rPr>
          <w:rStyle w:val="markedcontent"/>
          <w:b w:val="0"/>
          <w:bCs w:val="0"/>
          <w:sz w:val="24"/>
          <w:szCs w:val="24"/>
        </w:rPr>
        <w:t xml:space="preserve"> </w:t>
      </w:r>
      <w:r w:rsidRPr="00036C7B">
        <w:rPr>
          <w:rStyle w:val="markedcontent"/>
          <w:b w:val="0"/>
          <w:bCs w:val="0"/>
          <w:sz w:val="24"/>
          <w:szCs w:val="24"/>
        </w:rPr>
        <w:t>not err in determining that the defendants’ actions were motivated by the Fire Fighters’ First Amendment activity; that</w:t>
      </w:r>
      <w:r>
        <w:rPr>
          <w:rStyle w:val="markedcontent"/>
          <w:b w:val="0"/>
          <w:bCs w:val="0"/>
          <w:sz w:val="24"/>
          <w:szCs w:val="24"/>
        </w:rPr>
        <w:t xml:space="preserve"> </w:t>
      </w:r>
      <w:r w:rsidRPr="00036C7B">
        <w:rPr>
          <w:rStyle w:val="markedcontent"/>
          <w:b w:val="0"/>
          <w:bCs w:val="0"/>
          <w:sz w:val="24"/>
          <w:szCs w:val="24"/>
        </w:rPr>
        <w:t>there was no evidence that the 8/24 schedule was expected to</w:t>
      </w:r>
      <w:r>
        <w:rPr>
          <w:rStyle w:val="markedcontent"/>
          <w:b w:val="0"/>
          <w:bCs w:val="0"/>
          <w:sz w:val="24"/>
          <w:szCs w:val="24"/>
        </w:rPr>
        <w:t xml:space="preserve"> </w:t>
      </w:r>
      <w:r w:rsidRPr="00036C7B">
        <w:rPr>
          <w:rStyle w:val="markedcontent"/>
          <w:b w:val="0"/>
          <w:bCs w:val="0"/>
          <w:sz w:val="24"/>
          <w:szCs w:val="24"/>
        </w:rPr>
        <w:t xml:space="preserve">result in cost-savings for the </w:t>
      </w:r>
      <w:proofErr w:type="gramStart"/>
      <w:r w:rsidRPr="00036C7B">
        <w:rPr>
          <w:rStyle w:val="markedcontent"/>
          <w:b w:val="0"/>
          <w:bCs w:val="0"/>
          <w:sz w:val="24"/>
          <w:szCs w:val="24"/>
        </w:rPr>
        <w:t>City</w:t>
      </w:r>
      <w:proofErr w:type="gramEnd"/>
      <w:r w:rsidRPr="00036C7B">
        <w:rPr>
          <w:rStyle w:val="markedcontent"/>
          <w:b w:val="0"/>
          <w:bCs w:val="0"/>
          <w:sz w:val="24"/>
          <w:szCs w:val="24"/>
        </w:rPr>
        <w:t>; and that the Fire Fighters</w:t>
      </w:r>
      <w:r>
        <w:rPr>
          <w:rStyle w:val="markedcontent"/>
          <w:b w:val="0"/>
          <w:bCs w:val="0"/>
          <w:sz w:val="24"/>
          <w:szCs w:val="24"/>
        </w:rPr>
        <w:t xml:space="preserve"> </w:t>
      </w:r>
      <w:r w:rsidRPr="00036C7B">
        <w:rPr>
          <w:rStyle w:val="markedcontent"/>
          <w:b w:val="0"/>
          <w:bCs w:val="0"/>
          <w:sz w:val="24"/>
          <w:szCs w:val="24"/>
        </w:rPr>
        <w:t xml:space="preserve">would suffer irreparable harms without an injunction. We </w:t>
      </w:r>
      <w:r>
        <w:rPr>
          <w:rStyle w:val="markedcontent"/>
          <w:b w:val="0"/>
          <w:bCs w:val="0"/>
          <w:sz w:val="24"/>
          <w:szCs w:val="24"/>
        </w:rPr>
        <w:t xml:space="preserve"> </w:t>
      </w:r>
      <w:r w:rsidRPr="00036C7B">
        <w:rPr>
          <w:rStyle w:val="markedcontent"/>
          <w:b w:val="0"/>
          <w:bCs w:val="0"/>
          <w:sz w:val="24"/>
          <w:szCs w:val="24"/>
        </w:rPr>
        <w:t>additionally find that the district court did not abuse its discretion in balancing the equities in this case, considering the severity of the harms the Fire Fighters have experienced and the</w:t>
      </w:r>
      <w:r>
        <w:rPr>
          <w:rStyle w:val="markedcontent"/>
          <w:b w:val="0"/>
          <w:bCs w:val="0"/>
          <w:sz w:val="24"/>
          <w:szCs w:val="24"/>
        </w:rPr>
        <w:t xml:space="preserve"> </w:t>
      </w:r>
      <w:r w:rsidRPr="00036C7B">
        <w:rPr>
          <w:rStyle w:val="markedcontent"/>
          <w:b w:val="0"/>
          <w:bCs w:val="0"/>
          <w:sz w:val="24"/>
          <w:szCs w:val="24"/>
        </w:rPr>
        <w:t>lack of evidence supporting the defendants’ alleged harms.</w:t>
      </w:r>
      <w:r w:rsidRPr="00036C7B">
        <w:rPr>
          <w:b w:val="0"/>
          <w:bCs w:val="0"/>
          <w:sz w:val="24"/>
          <w:szCs w:val="24"/>
        </w:rPr>
        <w:br/>
      </w:r>
      <w:r w:rsidRPr="00036C7B">
        <w:rPr>
          <w:rStyle w:val="markedcontent"/>
          <w:b w:val="0"/>
          <w:bCs w:val="0"/>
          <w:sz w:val="24"/>
          <w:szCs w:val="24"/>
        </w:rPr>
        <w:t>The decision of the district court is therefore AFFIRMED.</w:t>
      </w:r>
      <w:r>
        <w:rPr>
          <w:rStyle w:val="markedcontent"/>
          <w:b w:val="0"/>
          <w:bCs w:val="0"/>
          <w:sz w:val="24"/>
          <w:szCs w:val="24"/>
        </w:rPr>
        <w:t xml:space="preserve">” </w:t>
      </w:r>
      <w:hyperlink r:id="rId2898" w:history="1">
        <w:r w:rsidRPr="00BA5840">
          <w:rPr>
            <w:rStyle w:val="Hyperlink"/>
            <w:rFonts w:eastAsiaTheme="majorEastAsia"/>
            <w:b w:val="0"/>
            <w:bCs w:val="0"/>
            <w:sz w:val="24"/>
            <w:szCs w:val="24"/>
          </w:rPr>
          <w:t>https://caselaw.findlaw.com/us-7th-circuit/2104809.html</w:t>
        </w:r>
      </w:hyperlink>
      <w:r>
        <w:rPr>
          <w:rStyle w:val="markedcontent"/>
          <w:b w:val="0"/>
          <w:bCs w:val="0"/>
          <w:sz w:val="24"/>
          <w:szCs w:val="24"/>
        </w:rPr>
        <w:t xml:space="preserve"> </w:t>
      </w:r>
    </w:p>
    <w:p w14:paraId="74571101" w14:textId="77777777" w:rsidR="000C3B06" w:rsidRPr="00112028" w:rsidRDefault="000C3B06" w:rsidP="000C3B06">
      <w:pPr>
        <w:pStyle w:val="Heading1"/>
        <w:rPr>
          <w:rStyle w:val="markedcontent"/>
          <w:sz w:val="24"/>
          <w:szCs w:val="24"/>
        </w:rPr>
      </w:pPr>
      <w:r w:rsidRPr="00112028">
        <w:rPr>
          <w:rStyle w:val="markedcontent"/>
          <w:sz w:val="24"/>
          <w:szCs w:val="24"/>
        </w:rPr>
        <w:t xml:space="preserve">Legal Lesson Learned: Union’s First Amendment rights were protected from retaliation by the </w:t>
      </w:r>
      <w:proofErr w:type="gramStart"/>
      <w:r w:rsidRPr="00112028">
        <w:rPr>
          <w:rStyle w:val="markedcontent"/>
          <w:sz w:val="24"/>
          <w:szCs w:val="24"/>
        </w:rPr>
        <w:t>Mayor</w:t>
      </w:r>
      <w:proofErr w:type="gramEnd"/>
      <w:r w:rsidRPr="00112028">
        <w:rPr>
          <w:rStyle w:val="markedcontent"/>
          <w:sz w:val="24"/>
          <w:szCs w:val="24"/>
        </w:rPr>
        <w:t>. Interesting fact: Mayor Anthony Copeland</w:t>
      </w:r>
      <w:r>
        <w:rPr>
          <w:rStyle w:val="markedcontent"/>
          <w:sz w:val="24"/>
          <w:szCs w:val="24"/>
        </w:rPr>
        <w:t xml:space="preserve"> was </w:t>
      </w:r>
      <w:r w:rsidRPr="00112028">
        <w:rPr>
          <w:rStyle w:val="markedcontent"/>
          <w:sz w:val="24"/>
          <w:szCs w:val="24"/>
        </w:rPr>
        <w:t xml:space="preserve">a former firefighter of twenty-six years. </w:t>
      </w:r>
      <w:r w:rsidRPr="00112028">
        <w:rPr>
          <w:sz w:val="24"/>
          <w:szCs w:val="24"/>
        </w:rPr>
        <w:br/>
      </w:r>
    </w:p>
    <w:p w14:paraId="7F15422B" w14:textId="77777777" w:rsidR="000C3B06" w:rsidRDefault="000C3B06" w:rsidP="00F326E5">
      <w:pPr>
        <w:pStyle w:val="NoSpacing"/>
        <w:rPr>
          <w:rFonts w:ascii="Arial Black" w:hAnsi="Arial Black"/>
          <w:sz w:val="24"/>
          <w:szCs w:val="24"/>
        </w:rPr>
      </w:pPr>
    </w:p>
    <w:p w14:paraId="4B83653C" w14:textId="77777777" w:rsidR="000C3B06" w:rsidRDefault="000C3B06" w:rsidP="00F326E5">
      <w:pPr>
        <w:pStyle w:val="NoSpacing"/>
        <w:rPr>
          <w:rFonts w:ascii="Arial Black" w:hAnsi="Arial Black"/>
          <w:sz w:val="24"/>
          <w:szCs w:val="24"/>
        </w:rPr>
      </w:pPr>
    </w:p>
    <w:p w14:paraId="56E1E513" w14:textId="77777777" w:rsidR="000C3B06" w:rsidRDefault="000C3B06" w:rsidP="00F326E5">
      <w:pPr>
        <w:pStyle w:val="NoSpacing"/>
        <w:rPr>
          <w:rFonts w:ascii="Arial Black" w:hAnsi="Arial Black"/>
          <w:sz w:val="24"/>
          <w:szCs w:val="24"/>
        </w:rPr>
      </w:pPr>
    </w:p>
    <w:p w14:paraId="161B1174" w14:textId="0ACF89B0" w:rsidR="000C3B06" w:rsidRDefault="000C3B06" w:rsidP="00F326E5">
      <w:pPr>
        <w:pStyle w:val="NoSpacing"/>
        <w:rPr>
          <w:rFonts w:ascii="Arial Black" w:hAnsi="Arial Black"/>
          <w:sz w:val="24"/>
          <w:szCs w:val="24"/>
        </w:rPr>
      </w:pPr>
      <w:r>
        <w:rPr>
          <w:rFonts w:ascii="Arial Black" w:hAnsi="Arial Black"/>
          <w:sz w:val="24"/>
          <w:szCs w:val="24"/>
        </w:rPr>
        <w:t>17-25</w:t>
      </w:r>
    </w:p>
    <w:p w14:paraId="3ADFD6BE" w14:textId="77777777" w:rsidR="000C3B06" w:rsidRPr="002631BE" w:rsidRDefault="000C3B06" w:rsidP="000C3B06">
      <w:pPr>
        <w:pStyle w:val="NormalWeb"/>
        <w:rPr>
          <w:rFonts w:ascii="Arial Black" w:hAnsi="Arial Black"/>
          <w:sz w:val="28"/>
          <w:szCs w:val="28"/>
        </w:rPr>
      </w:pPr>
      <w:r>
        <w:rPr>
          <w:rFonts w:ascii="Arial Black" w:hAnsi="Arial Black"/>
          <w:sz w:val="28"/>
          <w:szCs w:val="28"/>
        </w:rPr>
        <w:t xml:space="preserve">NY: YONKERS MUST CONTINUE TO PAY DISABELED FFs UNDER AGE 65 – HOLIDAY, CHECK-IN, BUT NOT NIGHT PAY </w:t>
      </w:r>
    </w:p>
    <w:p w14:paraId="383DF849" w14:textId="77777777" w:rsidR="000C3B06" w:rsidRDefault="000C3B06" w:rsidP="000C3B06">
      <w:pPr>
        <w:pStyle w:val="NormalWeb"/>
      </w:pPr>
      <w:r>
        <w:t xml:space="preserve">On Dec. 15, 2022, in </w:t>
      </w:r>
      <w:r w:rsidRPr="00126012">
        <w:rPr>
          <w:u w:val="single"/>
        </w:rPr>
        <w:t>In The Matter Of John Borelli, et al. v. City of Younkers</w:t>
      </w:r>
      <w:r>
        <w:t>, the New York Court of Appeals held (4 to 2) that 39 disabled firefighters, who are under age 65 and therefore by State law receive supplemental payments to equal the pay of current firefighters at same pay grade, are entitled to Holiday Pay and Check-In Pay (required to report for duty 12 minutes early) since all current firefighters receive, but they are not entitled to Night Differential since only firefighters work nights get that pay.  The State of New York has had statutes since 1938 protecting firefighters disabled in the line of duty, and in 1977 enacted General Municipal Law § 207-a (2) which provides that until a disabled firefighter reaches the mandatory retirement age of 65, their municipal employer must make up the difference between the state's disability pension benefits and the firefighters' "regular salary or wages."</w:t>
      </w:r>
    </w:p>
    <w:p w14:paraId="3C6AEA60" w14:textId="77777777" w:rsidR="000C3B06" w:rsidRPr="00C9121A" w:rsidRDefault="000C3B06" w:rsidP="000C3B06">
      <w:pPr>
        <w:pStyle w:val="NormalWeb"/>
        <w:ind w:left="1440"/>
      </w:pPr>
      <w:r>
        <w:t xml:space="preserve">“It is clear from the CBAs that all firefighters are entitled to receive holiday pay and check-in pay based solely on the performance of regular job duties. The provisions of the CBAs governing check-in pay require that firefighters be present for duty 12 minutes prior to the commencement of their tours of duty to receive instruction, equipment, and for other miscellaneous duties. They specify, without qualification, that each employee "shall receive an additional [5½] days [of pay]" per year. The provisions governing holiday pay provide that firefighters shall be paid for 12 holidays," </w:t>
      </w:r>
      <w:r>
        <w:rPr>
          <w:rStyle w:val="Emphasis"/>
        </w:rPr>
        <w:t>whether worked or not</w:t>
      </w:r>
      <w:r>
        <w:t xml:space="preserve">" (emphasis added). Hence, all active-duty firefighters performing their regular job duties are contractually entitled to receive both check-in pay and holiday pay. “ </w:t>
      </w:r>
      <w:hyperlink r:id="rId2899" w:history="1">
        <w:r w:rsidRPr="00237809">
          <w:rPr>
            <w:rStyle w:val="Hyperlink"/>
            <w:rFonts w:eastAsiaTheme="majorEastAsia"/>
          </w:rPr>
          <w:t>https://law.justia.com/cases/new-york/court-of-appeals/2022/95.html</w:t>
        </w:r>
      </w:hyperlink>
      <w:r>
        <w:t xml:space="preserve"> </w:t>
      </w:r>
    </w:p>
    <w:p w14:paraId="6CAE4741" w14:textId="77777777" w:rsidR="000C3B06" w:rsidRPr="00D15F79" w:rsidRDefault="000C3B06" w:rsidP="000C3B06">
      <w:pPr>
        <w:pStyle w:val="NormalWeb"/>
        <w:rPr>
          <w:b/>
          <w:bCs/>
        </w:rPr>
      </w:pPr>
      <w:r w:rsidRPr="00D15F79">
        <w:rPr>
          <w:b/>
          <w:bCs/>
        </w:rPr>
        <w:t>Legal Lesson Learned:</w:t>
      </w:r>
      <w:r>
        <w:rPr>
          <w:b/>
          <w:bCs/>
        </w:rPr>
        <w:t xml:space="preserve"> For decades Yonkers has made these “special pays</w:t>
      </w:r>
      <w:proofErr w:type="gramStart"/>
      <w:r>
        <w:rPr>
          <w:b/>
          <w:bCs/>
        </w:rPr>
        <w:t>”</w:t>
      </w:r>
      <w:proofErr w:type="gramEnd"/>
      <w:r>
        <w:rPr>
          <w:b/>
          <w:bCs/>
        </w:rPr>
        <w:t xml:space="preserve"> and the NY’s Highest court will require they continue this practice. </w:t>
      </w:r>
    </w:p>
    <w:p w14:paraId="74F07568" w14:textId="77777777" w:rsidR="000C3B06" w:rsidRPr="002476FF" w:rsidRDefault="000C3B06" w:rsidP="000C3B06">
      <w:pPr>
        <w:pStyle w:val="NormalWeb"/>
        <w:ind w:left="720"/>
      </w:pPr>
      <w:r w:rsidRPr="002476FF">
        <w:lastRenderedPageBreak/>
        <w:t>Note: Two dissenting Justices</w:t>
      </w:r>
      <w:r>
        <w:t xml:space="preserve"> noted </w:t>
      </w:r>
      <w:r w:rsidRPr="002476FF">
        <w:t>“A proper interpretation of this statutory term is critical; any unwarranted expansion of the definition undermines the goals of the legislation, forcing municipalities to spend more on disability payments and less on active fire protection.”</w:t>
      </w:r>
      <w:r>
        <w:t xml:space="preserve"> The Justices noted that City of Yonkers has faced a financial difficulty, including $7.4 million gap in their Public School District budget. </w:t>
      </w:r>
      <w:hyperlink r:id="rId2900" w:history="1">
        <w:r w:rsidRPr="002C395C">
          <w:rPr>
            <w:rStyle w:val="Hyperlink"/>
          </w:rPr>
          <w:t>https://law.justia.com/cases/new-york/court-of-appeals/2022/95.html</w:t>
        </w:r>
      </w:hyperlink>
      <w:r>
        <w:t xml:space="preserve"> </w:t>
      </w:r>
    </w:p>
    <w:p w14:paraId="47D50D18" w14:textId="77777777" w:rsidR="000C3B06" w:rsidRDefault="000C3B06" w:rsidP="000C3B06">
      <w:pPr>
        <w:pStyle w:val="NormalWeb"/>
        <w:ind w:left="720"/>
      </w:pPr>
      <w:r w:rsidRPr="003C6E0D">
        <w:t xml:space="preserve">Note: </w:t>
      </w:r>
      <w:r>
        <w:t xml:space="preserve">See this companion case.  On Dec. 15, 2022, in </w:t>
      </w:r>
      <w:r w:rsidRPr="001D3F7D">
        <w:rPr>
          <w:u w:val="single"/>
        </w:rPr>
        <w:t>In The Matter Of City of Yonkers v. Yonkers Fire Fighters, Local 628</w:t>
      </w:r>
      <w:r>
        <w:t xml:space="preserve">, the New York Court of Appeals held (6 to 0) that the City must arbitrate with Local 628 over their plan to discontinue their practice since at least 1995 to pay “special pay” (including holiday pay, check-in pay for reporting to duty 12 minutes early, and night differential) not only to active duty firefighters, but also to disabled firefighters who have not yet reached age 65. </w:t>
      </w:r>
      <w:hyperlink r:id="rId2901" w:history="1">
        <w:r w:rsidRPr="00237809">
          <w:rPr>
            <w:rStyle w:val="Hyperlink"/>
            <w:rFonts w:eastAsiaTheme="majorEastAsia"/>
          </w:rPr>
          <w:t>https://www.nycourts.gov/ctapps/Decisions/2022/Dec22/96opn22-Decision.pdf \</w:t>
        </w:r>
      </w:hyperlink>
    </w:p>
    <w:p w14:paraId="306557A3" w14:textId="77777777" w:rsidR="000C3B06" w:rsidRDefault="000C3B06" w:rsidP="00F326E5">
      <w:pPr>
        <w:pStyle w:val="NoSpacing"/>
        <w:rPr>
          <w:rFonts w:ascii="Arial Black" w:hAnsi="Arial Black"/>
          <w:sz w:val="24"/>
          <w:szCs w:val="24"/>
        </w:rPr>
      </w:pPr>
    </w:p>
    <w:p w14:paraId="74BDB962" w14:textId="77777777" w:rsidR="000C3B06" w:rsidRDefault="000C3B06" w:rsidP="00F326E5">
      <w:pPr>
        <w:pStyle w:val="NoSpacing"/>
        <w:rPr>
          <w:rFonts w:ascii="Arial Black" w:hAnsi="Arial Black"/>
          <w:sz w:val="24"/>
          <w:szCs w:val="24"/>
        </w:rPr>
      </w:pPr>
    </w:p>
    <w:p w14:paraId="6289588B" w14:textId="277954FA" w:rsidR="009C612E" w:rsidRDefault="009C612E" w:rsidP="00F326E5">
      <w:pPr>
        <w:pStyle w:val="NoSpacing"/>
        <w:rPr>
          <w:rFonts w:ascii="Arial Black" w:hAnsi="Arial Black"/>
          <w:sz w:val="24"/>
          <w:szCs w:val="24"/>
        </w:rPr>
      </w:pPr>
      <w:r>
        <w:rPr>
          <w:rFonts w:ascii="Arial Black" w:hAnsi="Arial Black"/>
          <w:sz w:val="24"/>
          <w:szCs w:val="24"/>
        </w:rPr>
        <w:t>17-24</w:t>
      </w:r>
    </w:p>
    <w:p w14:paraId="76FAC3CB" w14:textId="77777777" w:rsidR="009C612E" w:rsidRDefault="009C612E" w:rsidP="009C612E">
      <w:pPr>
        <w:pStyle w:val="NormalWeb"/>
        <w:rPr>
          <w:rFonts w:ascii="Arial Black" w:hAnsi="Arial Black"/>
          <w:sz w:val="28"/>
          <w:szCs w:val="28"/>
        </w:rPr>
      </w:pPr>
      <w:r>
        <w:rPr>
          <w:rFonts w:ascii="Arial Black" w:hAnsi="Arial Black"/>
          <w:sz w:val="28"/>
          <w:szCs w:val="28"/>
        </w:rPr>
        <w:t>TX: AUSTIN - CBA 5,600 HOURS FOR UNION OFFICERS IS LAWFUL – TAXPAYERS LAWSUIT FRIVOLOUS, PENALTY</w:t>
      </w:r>
    </w:p>
    <w:p w14:paraId="0D363C49" w14:textId="77777777" w:rsidR="009C612E" w:rsidRDefault="009C612E" w:rsidP="009C612E">
      <w:pPr>
        <w:pStyle w:val="NormalWeb"/>
      </w:pPr>
      <w:r>
        <w:t xml:space="preserve">On Nov. 22, 2022, in </w:t>
      </w:r>
      <w:r w:rsidRPr="00825D12">
        <w:rPr>
          <w:u w:val="single"/>
        </w:rPr>
        <w:t>Roger Borgelt</w:t>
      </w:r>
      <w:r>
        <w:rPr>
          <w:u w:val="single"/>
        </w:rPr>
        <w:t xml:space="preserve">, Mark Pulliam, Jay Wiley, </w:t>
      </w:r>
      <w:r w:rsidRPr="00825D12">
        <w:rPr>
          <w:u w:val="single"/>
        </w:rPr>
        <w:t>et al. v. Austin Firefighters Association, IAFF Local 975, et al</w:t>
      </w:r>
      <w:r>
        <w:t xml:space="preserve">., the Court of Appeals of Texas, Third District (Austin) held (3 to 0) that trial court properly dismissed lawsuit by two taxpayers who claimed the granting of paid time to Association President violated the Texas Constitution's "Gift Clauses." Trial court also imposed $75,000 </w:t>
      </w:r>
      <w:proofErr w:type="gramStart"/>
      <w:r>
        <w:t>sanction</w:t>
      </w:r>
      <w:proofErr w:type="gramEnd"/>
      <w:r>
        <w:t xml:space="preserve"> and attorney fees against Pulliam and Wiley for filing a frivolous lawsuit. </w:t>
      </w:r>
    </w:p>
    <w:p w14:paraId="74B3619B" w14:textId="77777777" w:rsidR="009C612E" w:rsidRDefault="009C612E" w:rsidP="009C612E">
      <w:pPr>
        <w:pStyle w:val="NormalWeb"/>
        <w:ind w:left="720"/>
      </w:pPr>
      <w:r>
        <w:t>“Borgelt and the State's argument fails because Borgelt and the State ignore the fact that, as the trial court found, the Association's mission-facilitating good labor relations between the AFD and its public-servant employees, furthering professional standards for firefighters, and promoting firefighter and public safety-overlaps with the mission of the AFD, and the two organizations' missions are not mutually exclusive. Thus, work done on behalf of the Association by firefighters who are using Association Leave not only furthers the mission of the Association but also furthers AFD's mission and public purpose of providing safe and efficient fire safety and emergency services.</w:t>
      </w:r>
    </w:p>
    <w:p w14:paraId="20B47424" w14:textId="77777777" w:rsidR="009C612E" w:rsidRDefault="009C612E" w:rsidP="009C612E">
      <w:pPr>
        <w:pStyle w:val="NormalWeb"/>
        <w:ind w:left="720"/>
      </w:pPr>
      <w:r>
        <w:t>***</w:t>
      </w:r>
    </w:p>
    <w:p w14:paraId="45D8543B" w14:textId="77777777" w:rsidR="009C612E" w:rsidRDefault="009C612E" w:rsidP="009C612E">
      <w:pPr>
        <w:pStyle w:val="NormalWeb"/>
        <w:ind w:left="720"/>
      </w:pPr>
      <w:r>
        <w:t xml:space="preserve">We conclude that the trial court did not abuse its discretion by determining that a $75,000 sanction was required to deter further similar actions by Pulliam or Wiley…. Wiley admitted to using the lawsuit as publicity to support his political platform as a ’fiscal conservative’ seeking ‘union reform’ and ‘right-to-work laws’ in Texas. In 2016, when this suit was initially filed, and again in 2018, Wiley ran in the Republican primaries for seats in the Texas House of Representatives.”  </w:t>
      </w:r>
      <w:hyperlink r:id="rId2902" w:history="1">
        <w:r w:rsidRPr="00386BA5">
          <w:rPr>
            <w:rStyle w:val="Hyperlink"/>
            <w:rFonts w:eastAsiaTheme="majorEastAsia"/>
          </w:rPr>
          <w:t>https://law.justia.com/cases/texas/third-court-of-appeals/2022/03-21-00227-cv.html</w:t>
        </w:r>
      </w:hyperlink>
      <w:r>
        <w:rPr>
          <w:rStyle w:val="Hyperlink"/>
          <w:rFonts w:eastAsiaTheme="majorEastAsia"/>
        </w:rPr>
        <w:t xml:space="preserve"> </w:t>
      </w:r>
    </w:p>
    <w:p w14:paraId="2829A5C7" w14:textId="77777777" w:rsidR="009C612E" w:rsidRPr="00BF256B" w:rsidRDefault="009C612E" w:rsidP="009C612E">
      <w:pPr>
        <w:pStyle w:val="NormalWeb"/>
        <w:rPr>
          <w:b/>
          <w:bCs/>
        </w:rPr>
      </w:pPr>
      <w:r w:rsidRPr="00BF256B">
        <w:rPr>
          <w:b/>
          <w:bCs/>
        </w:rPr>
        <w:t>Legal Lesson Learned:</w:t>
      </w:r>
      <w:r>
        <w:rPr>
          <w:b/>
          <w:bCs/>
        </w:rPr>
        <w:t xml:space="preserve"> CBA provision for paid time for union officers is lawful. </w:t>
      </w:r>
    </w:p>
    <w:p w14:paraId="65AF781B" w14:textId="77777777" w:rsidR="009C612E" w:rsidRDefault="009C612E" w:rsidP="00F326E5">
      <w:pPr>
        <w:pStyle w:val="NoSpacing"/>
        <w:rPr>
          <w:rFonts w:ascii="Arial Black" w:hAnsi="Arial Black"/>
          <w:sz w:val="24"/>
          <w:szCs w:val="24"/>
        </w:rPr>
      </w:pPr>
    </w:p>
    <w:p w14:paraId="5F1F5E65" w14:textId="77777777" w:rsidR="009C612E" w:rsidRDefault="009C612E" w:rsidP="00F326E5">
      <w:pPr>
        <w:pStyle w:val="NoSpacing"/>
        <w:rPr>
          <w:rFonts w:ascii="Arial Black" w:hAnsi="Arial Black"/>
          <w:sz w:val="24"/>
          <w:szCs w:val="24"/>
        </w:rPr>
      </w:pPr>
    </w:p>
    <w:p w14:paraId="000CCD96" w14:textId="7B42FC91" w:rsidR="009C612E" w:rsidRDefault="009C612E" w:rsidP="00F326E5">
      <w:pPr>
        <w:pStyle w:val="NoSpacing"/>
        <w:rPr>
          <w:rFonts w:ascii="Arial Black" w:hAnsi="Arial Black"/>
          <w:sz w:val="24"/>
          <w:szCs w:val="24"/>
        </w:rPr>
      </w:pPr>
      <w:r>
        <w:rPr>
          <w:rFonts w:ascii="Arial Black" w:hAnsi="Arial Black"/>
          <w:sz w:val="24"/>
          <w:szCs w:val="24"/>
        </w:rPr>
        <w:t>17-23</w:t>
      </w:r>
    </w:p>
    <w:p w14:paraId="53E040CF" w14:textId="5D232209" w:rsidR="009C612E" w:rsidRDefault="009C612E" w:rsidP="00F326E5">
      <w:pPr>
        <w:pStyle w:val="NoSpacing"/>
        <w:rPr>
          <w:rFonts w:ascii="Arial Black" w:hAnsi="Arial Black"/>
          <w:sz w:val="24"/>
          <w:szCs w:val="24"/>
        </w:rPr>
      </w:pPr>
    </w:p>
    <w:p w14:paraId="79C8D959" w14:textId="77777777" w:rsidR="009C612E" w:rsidRPr="00483F12" w:rsidRDefault="009C612E" w:rsidP="009C612E">
      <w:pPr>
        <w:pStyle w:val="NormalWeb"/>
        <w:rPr>
          <w:rFonts w:ascii="Arial Black" w:hAnsi="Arial Black"/>
          <w:b/>
          <w:bCs/>
          <w:sz w:val="28"/>
          <w:szCs w:val="28"/>
        </w:rPr>
      </w:pPr>
      <w:r w:rsidRPr="00483F12">
        <w:rPr>
          <w:rFonts w:ascii="Arial Black" w:hAnsi="Arial Black"/>
          <w:b/>
          <w:bCs/>
          <w:sz w:val="28"/>
          <w:szCs w:val="28"/>
        </w:rPr>
        <w:lastRenderedPageBreak/>
        <w:t xml:space="preserve">PA: </w:t>
      </w:r>
      <w:r>
        <w:rPr>
          <w:rFonts w:ascii="Arial Black" w:hAnsi="Arial Black"/>
          <w:b/>
          <w:bCs/>
          <w:sz w:val="28"/>
          <w:szCs w:val="28"/>
        </w:rPr>
        <w:t xml:space="preserve"> CBA - FF PENSION 75% - ARBITRATOR UPHELD - CITY ORDINANCE CAN’T REDUCE WIDOWS PENSION TO 50%</w:t>
      </w:r>
    </w:p>
    <w:p w14:paraId="29472EE8" w14:textId="77777777" w:rsidR="009C612E" w:rsidRDefault="009C612E" w:rsidP="009C612E">
      <w:pPr>
        <w:pStyle w:val="NormalWeb"/>
      </w:pPr>
      <w:r w:rsidRPr="00B936FB">
        <w:t xml:space="preserve">On </w:t>
      </w:r>
      <w:r>
        <w:t xml:space="preserve">Nov. 22, 2022, in </w:t>
      </w:r>
      <w:r w:rsidRPr="00B936FB">
        <w:rPr>
          <w:u w:val="single"/>
        </w:rPr>
        <w:t>City of New Castle v. International Association of Firefighters, Local 160</w:t>
      </w:r>
      <w:r>
        <w:t xml:space="preserve">, the Commonwealth Court of Pennsylvania held (3 to 0) that the arbitrator’s decision will be enforced; firefighter’s widow is entitled to the same 75% of final average compensation he was receiving per CBA.  The </w:t>
      </w:r>
      <w:proofErr w:type="gramStart"/>
      <w:r>
        <w:t>City</w:t>
      </w:r>
      <w:proofErr w:type="gramEnd"/>
      <w:r>
        <w:t xml:space="preserve"> cannot pass an ordinance that violates the CBA and </w:t>
      </w:r>
      <w:proofErr w:type="gramStart"/>
      <w:r>
        <w:t>pay</w:t>
      </w:r>
      <w:proofErr w:type="gramEnd"/>
      <w:r>
        <w:t xml:space="preserve"> the widow only 50%. </w:t>
      </w:r>
    </w:p>
    <w:p w14:paraId="2ADF52A0" w14:textId="77777777" w:rsidR="009C612E" w:rsidRDefault="009C612E" w:rsidP="009C612E">
      <w:pPr>
        <w:pStyle w:val="NormalWeb"/>
        <w:ind w:left="720"/>
      </w:pPr>
      <w:r>
        <w:rPr>
          <w:rStyle w:val="markedcontent"/>
        </w:rPr>
        <w:t>“</w:t>
      </w:r>
      <w:r w:rsidRPr="006B2B41">
        <w:rPr>
          <w:rStyle w:val="markedcontent"/>
        </w:rPr>
        <w:t>The arbitrator found that the parties did not agree to change the survivor</w:t>
      </w:r>
      <w:r>
        <w:rPr>
          <w:rStyle w:val="markedcontent"/>
        </w:rPr>
        <w:t xml:space="preserve"> </w:t>
      </w:r>
      <w:r w:rsidRPr="006B2B41">
        <w:rPr>
          <w:rStyle w:val="markedcontent"/>
        </w:rPr>
        <w:t>benefit in the 1998 CBA from what it had been in 1997; the Union was not aware</w:t>
      </w:r>
      <w:r>
        <w:rPr>
          <w:rStyle w:val="markedcontent"/>
        </w:rPr>
        <w:t xml:space="preserve"> </w:t>
      </w:r>
      <w:r w:rsidRPr="006B2B41">
        <w:rPr>
          <w:rStyle w:val="markedcontent"/>
        </w:rPr>
        <w:t>that Ordinance 7343 had been enacted in December of 1997; and the Union never</w:t>
      </w:r>
      <w:r>
        <w:rPr>
          <w:rStyle w:val="markedcontent"/>
        </w:rPr>
        <w:t xml:space="preserve"> </w:t>
      </w:r>
      <w:r w:rsidRPr="006B2B41">
        <w:rPr>
          <w:rStyle w:val="markedcontent"/>
        </w:rPr>
        <w:t>agreed to reduce the survivor benefit to 50% as provided in Ordinance 7343</w:t>
      </w:r>
      <w:r>
        <w:rPr>
          <w:rStyle w:val="markedcontent"/>
        </w:rPr>
        <w:t xml:space="preserve">…. </w:t>
      </w:r>
      <w:r w:rsidRPr="006B2B41">
        <w:rPr>
          <w:rStyle w:val="markedcontent"/>
        </w:rPr>
        <w:t>The arbitrator arrived at a reasoned interpretation of the 1998 CBA,</w:t>
      </w:r>
      <w:r>
        <w:rPr>
          <w:rStyle w:val="markedcontent"/>
        </w:rPr>
        <w:t xml:space="preserve"> </w:t>
      </w:r>
      <w:r w:rsidRPr="006B2B41">
        <w:rPr>
          <w:rStyle w:val="markedcontent"/>
        </w:rPr>
        <w:t>concluding that the City violated the parties’ agreement by paying Stone’s surviving</w:t>
      </w:r>
      <w:r>
        <w:rPr>
          <w:rStyle w:val="markedcontent"/>
        </w:rPr>
        <w:t xml:space="preserve"> </w:t>
      </w:r>
      <w:r w:rsidRPr="006B2B41">
        <w:rPr>
          <w:rStyle w:val="markedcontent"/>
        </w:rPr>
        <w:t xml:space="preserve">spouse a pension lower than what Stone had received in his </w:t>
      </w:r>
      <w:proofErr w:type="gramStart"/>
      <w:r w:rsidRPr="006B2B41">
        <w:rPr>
          <w:rStyle w:val="markedcontent"/>
        </w:rPr>
        <w:t>lifetime.</w:t>
      </w:r>
      <w:r>
        <w:rPr>
          <w:rStyle w:val="markedcontent"/>
        </w:rPr>
        <w:t>”</w:t>
      </w:r>
      <w:proofErr w:type="gramEnd"/>
      <w:r>
        <w:rPr>
          <w:rStyle w:val="markedcontent"/>
        </w:rPr>
        <w:t xml:space="preserve">  </w:t>
      </w:r>
      <w:hyperlink r:id="rId2903" w:history="1">
        <w:r w:rsidRPr="00236501">
          <w:rPr>
            <w:rStyle w:val="Hyperlink"/>
            <w:rFonts w:eastAsiaTheme="majorEastAsia"/>
          </w:rPr>
          <w:t>https://law.justia.com/cases/pennsylvania/commonwealth-court/2022/242-c-d-2022.html</w:t>
        </w:r>
      </w:hyperlink>
    </w:p>
    <w:p w14:paraId="2EB7A9E8" w14:textId="77777777" w:rsidR="009C612E" w:rsidRPr="00514515" w:rsidRDefault="009C612E" w:rsidP="009C612E">
      <w:pPr>
        <w:spacing w:before="100" w:beforeAutospacing="1" w:after="100" w:afterAutospacing="1" w:line="240" w:lineRule="auto"/>
        <w:rPr>
          <w:rFonts w:ascii="Times New Roman" w:eastAsia="Times New Roman" w:hAnsi="Times New Roman"/>
          <w:b/>
          <w:bCs/>
          <w:sz w:val="24"/>
          <w:szCs w:val="24"/>
        </w:rPr>
      </w:pPr>
      <w:r w:rsidRPr="00483F12">
        <w:rPr>
          <w:rFonts w:ascii="Times New Roman" w:hAnsi="Times New Roman"/>
          <w:b/>
          <w:bCs/>
          <w:sz w:val="24"/>
          <w:szCs w:val="24"/>
        </w:rPr>
        <w:t>Legal Lesson Learned:</w:t>
      </w:r>
      <w:r>
        <w:rPr>
          <w:rFonts w:ascii="Times New Roman" w:hAnsi="Times New Roman"/>
          <w:b/>
          <w:bCs/>
          <w:sz w:val="24"/>
          <w:szCs w:val="24"/>
        </w:rPr>
        <w:t xml:space="preserve">  The collectively bargained CBA controls; not a unilaterally enacted ordinance. </w:t>
      </w:r>
    </w:p>
    <w:p w14:paraId="27DD8F22" w14:textId="77777777" w:rsidR="009C612E" w:rsidRDefault="009C612E" w:rsidP="00F326E5">
      <w:pPr>
        <w:pStyle w:val="NoSpacing"/>
        <w:rPr>
          <w:rFonts w:ascii="Arial Black" w:hAnsi="Arial Black"/>
          <w:sz w:val="24"/>
          <w:szCs w:val="24"/>
        </w:rPr>
      </w:pPr>
    </w:p>
    <w:p w14:paraId="1DC8A3E5" w14:textId="77777777" w:rsidR="009C612E" w:rsidRDefault="009C612E" w:rsidP="00F326E5">
      <w:pPr>
        <w:pStyle w:val="NoSpacing"/>
        <w:rPr>
          <w:rFonts w:ascii="Arial Black" w:hAnsi="Arial Black"/>
          <w:sz w:val="24"/>
          <w:szCs w:val="24"/>
        </w:rPr>
      </w:pPr>
    </w:p>
    <w:p w14:paraId="112AA814" w14:textId="063797D6" w:rsidR="00804F3A" w:rsidRDefault="00804F3A" w:rsidP="00F326E5">
      <w:pPr>
        <w:pStyle w:val="NoSpacing"/>
        <w:rPr>
          <w:rFonts w:ascii="Arial Black" w:hAnsi="Arial Black"/>
          <w:sz w:val="24"/>
          <w:szCs w:val="24"/>
        </w:rPr>
      </w:pPr>
      <w:r>
        <w:rPr>
          <w:rFonts w:ascii="Arial Black" w:hAnsi="Arial Black"/>
          <w:sz w:val="24"/>
          <w:szCs w:val="24"/>
        </w:rPr>
        <w:t>17-22</w:t>
      </w:r>
    </w:p>
    <w:p w14:paraId="75467A12" w14:textId="77777777" w:rsidR="00804F3A" w:rsidRPr="00F17782" w:rsidRDefault="00804F3A" w:rsidP="00804F3A">
      <w:pPr>
        <w:pStyle w:val="NormalWeb"/>
        <w:rPr>
          <w:rFonts w:ascii="Arial Black" w:hAnsi="Arial Black"/>
          <w:b/>
          <w:bCs/>
          <w:sz w:val="28"/>
          <w:szCs w:val="28"/>
        </w:rPr>
      </w:pPr>
      <w:r>
        <w:rPr>
          <w:rFonts w:ascii="Arial Black" w:hAnsi="Arial Black"/>
          <w:b/>
          <w:bCs/>
          <w:sz w:val="28"/>
          <w:szCs w:val="28"/>
        </w:rPr>
        <w:t xml:space="preserve">OH: MINIMUM MANNING 10 FF – CITY IN 2016 BELOW FOR THREE YEARS – OWES BACKPAY / INTEREST $1,188.219 </w:t>
      </w:r>
    </w:p>
    <w:p w14:paraId="2BC5F4C9" w14:textId="77777777" w:rsidR="00804F3A" w:rsidRDefault="00804F3A" w:rsidP="00804F3A">
      <w:pPr>
        <w:pStyle w:val="NormalWeb"/>
      </w:pPr>
      <w:r w:rsidRPr="00F17782">
        <w:t xml:space="preserve">On </w:t>
      </w:r>
      <w:r>
        <w:t xml:space="preserve">Oct. 13, 2022, in </w:t>
      </w:r>
      <w:r w:rsidRPr="00F17782">
        <w:rPr>
          <w:u w:val="single"/>
        </w:rPr>
        <w:t>East Cleveland IAFF 500, et al. v. City of East Cleveland, et al</w:t>
      </w:r>
      <w:r>
        <w:t xml:space="preserve">.,  the Court of appeals of Ohio, Eight District (Cuyahoga County) held (3 to 0) that the March 2017 arbitration award for the union is enforceable. The arbitrator found that the City breached the CBA starting April 12, </w:t>
      </w:r>
      <w:proofErr w:type="gramStart"/>
      <w:r>
        <w:t>2016</w:t>
      </w:r>
      <w:proofErr w:type="gramEnd"/>
      <w:r>
        <w:t xml:space="preserve"> and required the City to immediately restoring staffing to ten (10) firefighters per shift and restore back pay to all affected firefighters who would have been entitled to overtime on the call-out list after April 12, 2016. </w:t>
      </w:r>
    </w:p>
    <w:p w14:paraId="182C4457" w14:textId="398908A2" w:rsidR="00804F3A" w:rsidRDefault="00804F3A" w:rsidP="00804F3A">
      <w:pPr>
        <w:pStyle w:val="NoSpacing"/>
        <w:rPr>
          <w:rStyle w:val="Hyperlink"/>
          <w:rFonts w:eastAsiaTheme="majorEastAsia"/>
        </w:rPr>
      </w:pPr>
      <w:r>
        <w:t xml:space="preserve">“We find that the trial court's award of damages in the amount of $1,188,219.36 is consistent with the March 12, </w:t>
      </w:r>
      <w:proofErr w:type="gramStart"/>
      <w:r>
        <w:t>2017</w:t>
      </w:r>
      <w:proofErr w:type="gramEnd"/>
      <w:r>
        <w:t xml:space="preserve"> Arbitration Award. The trial court heard testimony that through 2018, 2019, and 2020 the City had not restored staffing to ten firefighters per shift for every shift as required by the Arbitration Award and determined, consistent with the evidence presented, that certain affected firefighters were owed a total aggregated amount of $1,188,219.36 in backpay.” </w:t>
      </w:r>
      <w:hyperlink r:id="rId2904" w:history="1">
        <w:r w:rsidRPr="007662E8">
          <w:rPr>
            <w:rStyle w:val="Hyperlink"/>
            <w:rFonts w:eastAsiaTheme="majorEastAsia"/>
          </w:rPr>
          <w:t>https://public.fastcase.com/J%2FJP6pdidelsXxEE4k%2BLMtVWis%2BjrVT91gBFG4uyJWEPcpNLWXxLmz%2FQC7BVJHEFVVKmRnSKx2JFHo6ASClx4LYOJwrUPHRSA%2B3C21y5uNo%3D?utm_medium=email&amp;_hsmi=226712652&amp;_hsenc=p2ANqtz-_Z7uUMGtz89TwJ8h7fDGtfvV3sIYognKNnX4gprWQ41uEM6WKF6eTc5YmYCWiY12JCxBXlLKEbrm5nDUGgSrncCZSdVg&amp;utm_content=226712652&amp;utm_source=hs_email</w:t>
        </w:r>
      </w:hyperlink>
    </w:p>
    <w:p w14:paraId="591D1308" w14:textId="4B6FEE20" w:rsidR="00804F3A" w:rsidRDefault="00804F3A" w:rsidP="00804F3A">
      <w:pPr>
        <w:pStyle w:val="NoSpacing"/>
        <w:rPr>
          <w:rStyle w:val="Hyperlink"/>
          <w:rFonts w:eastAsiaTheme="majorEastAsia"/>
        </w:rPr>
      </w:pPr>
    </w:p>
    <w:p w14:paraId="7F8EEB09" w14:textId="77777777" w:rsidR="00804F3A" w:rsidRPr="008B1952" w:rsidRDefault="00804F3A" w:rsidP="00804F3A">
      <w:pPr>
        <w:pStyle w:val="NormalWeb"/>
        <w:rPr>
          <w:b/>
          <w:bCs/>
        </w:rPr>
      </w:pPr>
      <w:r w:rsidRPr="008B1952">
        <w:rPr>
          <w:b/>
          <w:bCs/>
        </w:rPr>
        <w:t>Legal Lesson Learned:</w:t>
      </w:r>
      <w:r>
        <w:rPr>
          <w:b/>
          <w:bCs/>
        </w:rPr>
        <w:t xml:space="preserve"> The arbitration award has been upheld. </w:t>
      </w:r>
    </w:p>
    <w:p w14:paraId="200F21C3" w14:textId="77777777" w:rsidR="00804F3A" w:rsidRDefault="00804F3A" w:rsidP="00804F3A">
      <w:pPr>
        <w:pStyle w:val="NoSpacing"/>
        <w:rPr>
          <w:rFonts w:ascii="Arial Black" w:hAnsi="Arial Black"/>
          <w:sz w:val="24"/>
          <w:szCs w:val="24"/>
        </w:rPr>
      </w:pPr>
    </w:p>
    <w:p w14:paraId="1513D998" w14:textId="77777777" w:rsidR="00804F3A" w:rsidRDefault="00804F3A" w:rsidP="00F326E5">
      <w:pPr>
        <w:pStyle w:val="NoSpacing"/>
        <w:rPr>
          <w:rFonts w:ascii="Arial Black" w:hAnsi="Arial Black"/>
          <w:sz w:val="24"/>
          <w:szCs w:val="24"/>
        </w:rPr>
      </w:pPr>
    </w:p>
    <w:p w14:paraId="584CD62D" w14:textId="77777777" w:rsidR="00804F3A" w:rsidRDefault="00804F3A" w:rsidP="00F326E5">
      <w:pPr>
        <w:pStyle w:val="NoSpacing"/>
        <w:rPr>
          <w:rFonts w:ascii="Arial Black" w:hAnsi="Arial Black"/>
          <w:sz w:val="24"/>
          <w:szCs w:val="24"/>
        </w:rPr>
      </w:pPr>
    </w:p>
    <w:p w14:paraId="0330FA48" w14:textId="358F5F6E" w:rsidR="00755E16" w:rsidRDefault="00755E16" w:rsidP="00F326E5">
      <w:pPr>
        <w:pStyle w:val="NoSpacing"/>
        <w:rPr>
          <w:rFonts w:ascii="Arial Black" w:hAnsi="Arial Black"/>
          <w:sz w:val="24"/>
          <w:szCs w:val="24"/>
        </w:rPr>
      </w:pPr>
      <w:r>
        <w:rPr>
          <w:rFonts w:ascii="Arial Black" w:hAnsi="Arial Black"/>
          <w:sz w:val="24"/>
          <w:szCs w:val="24"/>
        </w:rPr>
        <w:t>17-21</w:t>
      </w:r>
    </w:p>
    <w:p w14:paraId="60FD7AB3" w14:textId="775913C5" w:rsidR="00755E16" w:rsidRDefault="00755E16" w:rsidP="00F326E5">
      <w:pPr>
        <w:pStyle w:val="NoSpacing"/>
        <w:rPr>
          <w:rFonts w:ascii="Arial Black" w:hAnsi="Arial Black"/>
          <w:sz w:val="24"/>
          <w:szCs w:val="24"/>
        </w:rPr>
      </w:pPr>
    </w:p>
    <w:p w14:paraId="1E2C8E64" w14:textId="77777777" w:rsidR="00755E16" w:rsidRDefault="00755E16" w:rsidP="00755E16">
      <w:pPr>
        <w:pStyle w:val="NormalWeb"/>
        <w:rPr>
          <w:rFonts w:ascii="Arial Black" w:hAnsi="Arial Black"/>
          <w:b/>
          <w:bCs/>
          <w:sz w:val="28"/>
          <w:szCs w:val="28"/>
        </w:rPr>
      </w:pPr>
      <w:r>
        <w:rPr>
          <w:rFonts w:ascii="Arial Black" w:hAnsi="Arial Black"/>
          <w:b/>
          <w:bCs/>
          <w:sz w:val="28"/>
          <w:szCs w:val="28"/>
        </w:rPr>
        <w:t>FL: FF INJURIES OVER 11 YRS – SHORT TERM DISABILITY BENEFITS BUT USED SICK LEAVE – WINS BACK SICK LEAVE</w:t>
      </w:r>
    </w:p>
    <w:p w14:paraId="2E5F5012" w14:textId="77777777" w:rsidR="00755E16" w:rsidRDefault="00755E16" w:rsidP="00755E16">
      <w:pPr>
        <w:pStyle w:val="NormalWeb"/>
      </w:pPr>
      <w:r>
        <w:t xml:space="preserve">On Sept. 30, 2022, in </w:t>
      </w:r>
      <w:r>
        <w:rPr>
          <w:u w:val="single"/>
        </w:rPr>
        <w:t>Metro Dade Firefighters, IAFF Local 1403 v. Miami-Dade County</w:t>
      </w:r>
      <w:r>
        <w:t xml:space="preserve">, the Florida Court of Appeals, Third District, held (3 to 0) that the arbitrator did not exceed his authority when awarding the restoration of sick leave to a firefighter for an eleven-year period [Oct. 2006 until Nov. 2017] preceding an award of long-term disability benefits.  Per CBA and City Code, “an employee who suffers a service-connected disability shall not use or be charged sick leave if he is granted disability leave or disability payments.” </w:t>
      </w:r>
    </w:p>
    <w:p w14:paraId="198F8FCB" w14:textId="77777777" w:rsidR="00755E16" w:rsidRDefault="00755E16" w:rsidP="00755E16">
      <w:pPr>
        <w:pStyle w:val="NormalWeb"/>
        <w:ind w:left="720"/>
      </w:pPr>
      <w:r>
        <w:t xml:space="preserve">:Because we find that the arbitrator did not exceed his powers, we are constrained to reverse the circuit court's order vacating the arbitration award. *** The arbitrator decided only the issue submitted to arbitration. He interpreted and applied Section 2-56.26, finding that the provision required the County to restore all of Mr. Calvo's leave time for the period of time from his first on-the-job injury through his retirement after a finding of long-term disability because all of this time was taken as a result of Mr. Calvo's various compensable injuries and the lingering effects of these injuries.”  </w:t>
      </w:r>
      <w:hyperlink r:id="rId2905" w:history="1">
        <w:r>
          <w:rPr>
            <w:rStyle w:val="Hyperlink"/>
          </w:rPr>
          <w:t>https://public.fastcase.com/J%2FJP6pdidelsXxEE4k%2BLMpuDgtfUlpNK4l%2BfqZzcsS95ieNoHEqDlI1ajn81HayMXO5%2FuX2%2ByvyKSn9EyfaN7KpFENL2lTAAz2wo8HtdPeY%3D?utm_medium=email&amp;_hsmi=226712652&amp;_hsenc=p2ANqtz-9t2-miGpzcz6HjEKBpKrn-zhw54ySyRz_VGgy44f1dByScW7c1n8avO_4RXLWc5afGZGbJubbxw9DhHyQbca8WHl796A&amp;utm_content=226712652&amp;utm_source=hs_email</w:t>
        </w:r>
      </w:hyperlink>
      <w:r>
        <w:t xml:space="preserve"> </w:t>
      </w:r>
    </w:p>
    <w:p w14:paraId="4AB91874" w14:textId="77777777" w:rsidR="00755E16" w:rsidRDefault="00755E16" w:rsidP="00755E16">
      <w:pPr>
        <w:pStyle w:val="NormalWeb"/>
        <w:rPr>
          <w:b/>
          <w:bCs/>
        </w:rPr>
      </w:pPr>
      <w:r>
        <w:rPr>
          <w:rFonts w:eastAsiaTheme="minorHAnsi"/>
          <w:b/>
          <w:bCs/>
        </w:rPr>
        <w:t xml:space="preserve">Legal Lesson Learned: Grievances and arbitrations can be avoided if CBA is explicit about whether sick leave can be charged for an employee who suffers a service-connected disability. </w:t>
      </w:r>
    </w:p>
    <w:p w14:paraId="2D44FD60" w14:textId="77777777" w:rsidR="00755E16" w:rsidRDefault="00755E16" w:rsidP="00F326E5">
      <w:pPr>
        <w:pStyle w:val="NoSpacing"/>
        <w:rPr>
          <w:rFonts w:ascii="Arial Black" w:hAnsi="Arial Black"/>
          <w:sz w:val="24"/>
          <w:szCs w:val="24"/>
        </w:rPr>
      </w:pPr>
    </w:p>
    <w:p w14:paraId="1E44D6E9" w14:textId="77777777" w:rsidR="00755E16" w:rsidRDefault="00755E16" w:rsidP="00F326E5">
      <w:pPr>
        <w:pStyle w:val="NoSpacing"/>
        <w:rPr>
          <w:rFonts w:ascii="Arial Black" w:hAnsi="Arial Black"/>
          <w:sz w:val="24"/>
          <w:szCs w:val="24"/>
        </w:rPr>
      </w:pPr>
    </w:p>
    <w:p w14:paraId="4D17E43E" w14:textId="77777777" w:rsidR="00755E16" w:rsidRDefault="00755E16" w:rsidP="00F326E5">
      <w:pPr>
        <w:pStyle w:val="NoSpacing"/>
        <w:rPr>
          <w:rFonts w:ascii="Arial Black" w:hAnsi="Arial Black"/>
          <w:sz w:val="24"/>
          <w:szCs w:val="24"/>
        </w:rPr>
      </w:pPr>
    </w:p>
    <w:p w14:paraId="799D704E" w14:textId="51F55DAF" w:rsidR="00D478CB" w:rsidRDefault="00D478CB" w:rsidP="00F326E5">
      <w:pPr>
        <w:pStyle w:val="NoSpacing"/>
        <w:rPr>
          <w:rFonts w:ascii="Arial Black" w:hAnsi="Arial Black"/>
          <w:sz w:val="24"/>
          <w:szCs w:val="24"/>
        </w:rPr>
      </w:pPr>
      <w:r>
        <w:rPr>
          <w:rFonts w:ascii="Arial Black" w:hAnsi="Arial Black"/>
          <w:sz w:val="24"/>
          <w:szCs w:val="24"/>
        </w:rPr>
        <w:t>17-20</w:t>
      </w:r>
    </w:p>
    <w:p w14:paraId="5C74311E" w14:textId="27D276D3" w:rsidR="00D478CB" w:rsidRDefault="00D478CB" w:rsidP="00F326E5">
      <w:pPr>
        <w:pStyle w:val="NoSpacing"/>
        <w:rPr>
          <w:rFonts w:ascii="Arial Black" w:hAnsi="Arial Black"/>
          <w:sz w:val="24"/>
          <w:szCs w:val="24"/>
        </w:rPr>
      </w:pPr>
    </w:p>
    <w:p w14:paraId="62E44961" w14:textId="77777777" w:rsidR="00311ABE" w:rsidRPr="00182E4B" w:rsidRDefault="00311ABE" w:rsidP="00311ABE">
      <w:pPr>
        <w:spacing w:before="100" w:beforeAutospacing="1" w:after="100" w:afterAutospacing="1" w:line="240" w:lineRule="auto"/>
        <w:rPr>
          <w:rFonts w:ascii="Arial Black" w:eastAsia="Times New Roman" w:hAnsi="Arial Black"/>
          <w:sz w:val="28"/>
          <w:szCs w:val="28"/>
        </w:rPr>
      </w:pPr>
      <w:bookmarkStart w:id="631" w:name="_Hlk112724937"/>
      <w:r>
        <w:rPr>
          <w:rFonts w:ascii="Arial Black" w:eastAsia="Times New Roman" w:hAnsi="Arial Black"/>
          <w:sz w:val="28"/>
          <w:szCs w:val="28"/>
        </w:rPr>
        <w:t>AK: FORMER UNION PRESIDENT – PASSED OVER PROMOTION B/C – CHIEF LEARNED “BELITTLING” CREWS</w:t>
      </w:r>
    </w:p>
    <w:p w14:paraId="6AE007D8" w14:textId="77777777" w:rsidR="00311ABE" w:rsidRDefault="00311ABE" w:rsidP="00311AB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Aug. 24, 2022, in </w:t>
      </w:r>
      <w:r w:rsidRPr="00182E4B">
        <w:rPr>
          <w:rFonts w:ascii="Times New Roman" w:hAnsi="Times New Roman"/>
          <w:sz w:val="24"/>
          <w:szCs w:val="24"/>
          <w:u w:val="single"/>
        </w:rPr>
        <w:t>Damon Reed v. City of Conway, Arkansas, et al.</w:t>
      </w:r>
      <w:r>
        <w:rPr>
          <w:rFonts w:ascii="Times New Roman" w:hAnsi="Times New Roman"/>
          <w:sz w:val="24"/>
          <w:szCs w:val="24"/>
        </w:rPr>
        <w:t xml:space="preserve">,  U.S. District Court Judge Lee , P. Rudofssky, U.S. District Court for Eastern District of Arkansas (Central Division) granted summary judgment for the City and Fire Chief Michael Winter on Captain Reed’s complaint alleging First Amendment retaliation.  </w:t>
      </w:r>
      <w:r w:rsidRPr="00C300FC">
        <w:rPr>
          <w:rFonts w:ascii="Times New Roman" w:hAnsi="Times New Roman"/>
          <w:sz w:val="24"/>
          <w:szCs w:val="24"/>
        </w:rPr>
        <w:t xml:space="preserve">“First, Mr. Reed points to the fact that he was the unanimous vote of the Chiefs panel for the May 2018 promotion. He says that this </w:t>
      </w:r>
      <w:r>
        <w:rPr>
          <w:rFonts w:ascii="Times New Roman" w:hAnsi="Times New Roman"/>
          <w:sz w:val="24"/>
          <w:szCs w:val="24"/>
        </w:rPr>
        <w:t>‘</w:t>
      </w:r>
      <w:r w:rsidRPr="00C300FC">
        <w:rPr>
          <w:rFonts w:ascii="Times New Roman" w:hAnsi="Times New Roman"/>
          <w:sz w:val="24"/>
          <w:szCs w:val="24"/>
        </w:rPr>
        <w:t>favorable review</w:t>
      </w:r>
      <w:r>
        <w:rPr>
          <w:rFonts w:ascii="Times New Roman" w:hAnsi="Times New Roman"/>
          <w:sz w:val="24"/>
          <w:szCs w:val="24"/>
        </w:rPr>
        <w:t>’</w:t>
      </w:r>
      <w:r w:rsidRPr="00C300FC">
        <w:rPr>
          <w:rFonts w:ascii="Times New Roman" w:hAnsi="Times New Roman"/>
          <w:sz w:val="24"/>
          <w:szCs w:val="24"/>
        </w:rPr>
        <w:t xml:space="preserve"> is evidence of pretext. The fatal flaw with this argument is timing. Recall that the Chiefs panel voted for Mr. Reed in January of 2018. Chief Winter did not receive the complaints about Mr. Reed until months after the vote, when word got out that Mr. Reed would be getting promoted. </w:t>
      </w:r>
      <w:proofErr w:type="gramStart"/>
      <w:r w:rsidRPr="00C300FC">
        <w:rPr>
          <w:rFonts w:ascii="Times New Roman" w:hAnsi="Times New Roman"/>
          <w:sz w:val="24"/>
          <w:szCs w:val="24"/>
        </w:rPr>
        <w:t>So</w:t>
      </w:r>
      <w:proofErr w:type="gramEnd"/>
      <w:r w:rsidRPr="00C300FC">
        <w:rPr>
          <w:rFonts w:ascii="Times New Roman" w:hAnsi="Times New Roman"/>
          <w:sz w:val="24"/>
          <w:szCs w:val="24"/>
        </w:rPr>
        <w:t xml:space="preserve"> neither Chief Winter nor the Chiefs panel knew, at the time of this so-called favorable review, that Mr. Reed was belittling subordinates.</w:t>
      </w:r>
      <w:r>
        <w:rPr>
          <w:rFonts w:ascii="Times New Roman" w:hAnsi="Times New Roman"/>
          <w:sz w:val="24"/>
          <w:szCs w:val="24"/>
        </w:rPr>
        <w:t xml:space="preserve">” </w:t>
      </w:r>
      <w:hyperlink r:id="rId2906" w:history="1">
        <w:r w:rsidRPr="005B4B72">
          <w:rPr>
            <w:rStyle w:val="Hyperlink"/>
            <w:rFonts w:ascii="Times New Roman" w:hAnsi="Times New Roman"/>
          </w:rPr>
          <w:t>https://casetext.com/case/reed-v-city-of-conway</w:t>
        </w:r>
      </w:hyperlink>
      <w:r>
        <w:rPr>
          <w:rFonts w:ascii="Times New Roman" w:hAnsi="Times New Roman"/>
          <w:sz w:val="24"/>
          <w:szCs w:val="24"/>
        </w:rPr>
        <w:t xml:space="preserve"> </w:t>
      </w:r>
    </w:p>
    <w:bookmarkEnd w:id="631"/>
    <w:p w14:paraId="50254F13" w14:textId="77777777" w:rsidR="00311ABE" w:rsidRDefault="00311ABE" w:rsidP="00F326E5">
      <w:pPr>
        <w:pStyle w:val="NoSpacing"/>
        <w:rPr>
          <w:rFonts w:ascii="Arial Black" w:hAnsi="Arial Black"/>
          <w:sz w:val="24"/>
          <w:szCs w:val="24"/>
        </w:rPr>
      </w:pPr>
    </w:p>
    <w:p w14:paraId="6494EABE" w14:textId="77777777" w:rsidR="00D478CB" w:rsidRDefault="00D478CB" w:rsidP="00F326E5">
      <w:pPr>
        <w:pStyle w:val="NoSpacing"/>
        <w:rPr>
          <w:rFonts w:ascii="Arial Black" w:hAnsi="Arial Black"/>
          <w:sz w:val="24"/>
          <w:szCs w:val="24"/>
        </w:rPr>
      </w:pPr>
    </w:p>
    <w:p w14:paraId="22E980A2" w14:textId="27EA5A3F" w:rsidR="00D478CB" w:rsidRDefault="00D478CB" w:rsidP="00F326E5">
      <w:pPr>
        <w:pStyle w:val="NoSpacing"/>
        <w:rPr>
          <w:rFonts w:ascii="Arial Black" w:hAnsi="Arial Black"/>
          <w:sz w:val="24"/>
          <w:szCs w:val="24"/>
        </w:rPr>
      </w:pPr>
      <w:r>
        <w:rPr>
          <w:rFonts w:ascii="Arial Black" w:hAnsi="Arial Black"/>
          <w:sz w:val="24"/>
          <w:szCs w:val="24"/>
        </w:rPr>
        <w:t>17-19</w:t>
      </w:r>
    </w:p>
    <w:p w14:paraId="143388E6" w14:textId="77777777" w:rsidR="00D478CB" w:rsidRPr="0066767F" w:rsidRDefault="00D478CB" w:rsidP="00D478CB">
      <w:pPr>
        <w:spacing w:before="100" w:beforeAutospacing="1" w:after="100" w:afterAutospacing="1" w:line="240" w:lineRule="auto"/>
        <w:rPr>
          <w:rFonts w:ascii="Arial Black" w:hAnsi="Arial Black"/>
          <w:sz w:val="28"/>
          <w:szCs w:val="28"/>
        </w:rPr>
      </w:pPr>
      <w:r>
        <w:rPr>
          <w:rFonts w:ascii="Arial Black" w:hAnsi="Arial Black"/>
          <w:sz w:val="28"/>
          <w:szCs w:val="28"/>
        </w:rPr>
        <w:lastRenderedPageBreak/>
        <w:t xml:space="preserve">OH: CAPTAIN NO. 1 LIST B/C – CITY DOESN’T WANT TO FILL JOB - UNION WON’T ARBITRATE – LAWSUIT DISMISSED </w:t>
      </w:r>
    </w:p>
    <w:p w14:paraId="6C2CF803" w14:textId="18179222" w:rsidR="00D478CB" w:rsidRDefault="00D478CB" w:rsidP="00D478CB">
      <w:pPr>
        <w:pStyle w:val="NoSpacing"/>
        <w:rPr>
          <w:rFonts w:ascii="Arial Black" w:hAnsi="Arial Black"/>
          <w:sz w:val="24"/>
          <w:szCs w:val="24"/>
        </w:rPr>
      </w:pPr>
      <w:r>
        <w:rPr>
          <w:rFonts w:ascii="Times New Roman" w:hAnsi="Times New Roman"/>
          <w:sz w:val="24"/>
          <w:szCs w:val="24"/>
        </w:rPr>
        <w:t xml:space="preserve">On Aug. 11, 2022, in </w:t>
      </w:r>
      <w:r w:rsidRPr="00636166">
        <w:rPr>
          <w:rFonts w:ascii="Times New Roman" w:hAnsi="Times New Roman"/>
          <w:sz w:val="24"/>
          <w:szCs w:val="24"/>
          <w:u w:val="single"/>
        </w:rPr>
        <w:t>The State Of Ohio, Ex Re. John M. Casey, et al. v. Jamael Tito Brown, et al</w:t>
      </w:r>
      <w:r>
        <w:rPr>
          <w:rFonts w:ascii="Times New Roman" w:hAnsi="Times New Roman"/>
          <w:sz w:val="24"/>
          <w:szCs w:val="24"/>
        </w:rPr>
        <w:t xml:space="preserve">., the Court of Appeals of Ohio, Seventh District (Mahoning County), </w:t>
      </w:r>
      <w:r w:rsidRPr="00636166">
        <w:rPr>
          <w:rFonts w:ascii="Times New Roman" w:eastAsia="Times New Roman" w:hAnsi="Times New Roman"/>
          <w:sz w:val="24"/>
          <w:szCs w:val="24"/>
        </w:rPr>
        <w:t>2022-Ohio-2843</w:t>
      </w:r>
      <w:r>
        <w:rPr>
          <w:rFonts w:ascii="Times New Roman" w:eastAsia="Times New Roman" w:hAnsi="Times New Roman"/>
          <w:sz w:val="24"/>
          <w:szCs w:val="24"/>
        </w:rPr>
        <w:t xml:space="preserve">, </w:t>
      </w:r>
      <w:r>
        <w:rPr>
          <w:rFonts w:ascii="Times New Roman" w:hAnsi="Times New Roman"/>
          <w:sz w:val="24"/>
          <w:szCs w:val="24"/>
        </w:rPr>
        <w:t xml:space="preserve">held (3 to 0) that the </w:t>
      </w:r>
      <w:proofErr w:type="gramStart"/>
      <w:r>
        <w:rPr>
          <w:rFonts w:ascii="Times New Roman" w:hAnsi="Times New Roman"/>
          <w:sz w:val="24"/>
          <w:szCs w:val="24"/>
        </w:rPr>
        <w:t>Captain’s</w:t>
      </w:r>
      <w:proofErr w:type="gramEnd"/>
      <w:r>
        <w:rPr>
          <w:rFonts w:ascii="Times New Roman" w:hAnsi="Times New Roman"/>
          <w:sz w:val="24"/>
          <w:szCs w:val="24"/>
        </w:rPr>
        <w:t xml:space="preserve"> taxpayer lawsuit against the City is dismissed.   Plaintiff as a </w:t>
      </w:r>
      <w:r w:rsidRPr="00E20815">
        <w:rPr>
          <w:rFonts w:ascii="Times New Roman" w:hAnsi="Times New Roman"/>
          <w:sz w:val="24"/>
          <w:szCs w:val="24"/>
        </w:rPr>
        <w:t>member of the Youngstown Professional Firefighters, IAFF, Local 312</w:t>
      </w:r>
      <w:r>
        <w:rPr>
          <w:rFonts w:ascii="Times New Roman" w:hAnsi="Times New Roman"/>
          <w:sz w:val="24"/>
          <w:szCs w:val="24"/>
        </w:rPr>
        <w:t xml:space="preserve">; Union President under CBA decides when to pursue arbitration.    Plaintiff’s so option is to file unfair labor </w:t>
      </w:r>
      <w:proofErr w:type="gramStart"/>
      <w:r>
        <w:rPr>
          <w:rFonts w:ascii="Times New Roman" w:hAnsi="Times New Roman"/>
          <w:sz w:val="24"/>
          <w:szCs w:val="24"/>
        </w:rPr>
        <w:t>charge</w:t>
      </w:r>
      <w:proofErr w:type="gramEnd"/>
      <w:r>
        <w:rPr>
          <w:rFonts w:ascii="Times New Roman" w:hAnsi="Times New Roman"/>
          <w:sz w:val="24"/>
          <w:szCs w:val="24"/>
        </w:rPr>
        <w:t xml:space="preserve"> against the union. </w:t>
      </w:r>
      <w:hyperlink r:id="rId2907" w:history="1">
        <w:r w:rsidRPr="00696C47">
          <w:rPr>
            <w:rStyle w:val="Hyperlink"/>
            <w:rFonts w:ascii="Times New Roman" w:hAnsi="Times New Roman"/>
          </w:rPr>
          <w:t>https://public.fastcase.com/J%2FJP6pdidelsXxEE4k%2BLMgRuGoPztfGYl4rgyWIW4hR9R3ye4G%2Brlx4oNbvfkD7bo5Sl3SUFyCNYsXscEScOvl5B7KBk99Bt%2FA1OCEhfyl0%3D</w:t>
        </w:r>
      </w:hyperlink>
    </w:p>
    <w:p w14:paraId="5616EA70" w14:textId="77777777" w:rsidR="00D478CB" w:rsidRPr="00E94E96" w:rsidRDefault="00D478CB" w:rsidP="00D478CB">
      <w:pPr>
        <w:spacing w:before="100" w:beforeAutospacing="1" w:after="100" w:afterAutospacing="1" w:line="240" w:lineRule="auto"/>
        <w:rPr>
          <w:rFonts w:ascii="Times New Roman" w:hAnsi="Times New Roman"/>
          <w:b/>
          <w:bCs/>
          <w:sz w:val="24"/>
          <w:szCs w:val="24"/>
        </w:rPr>
      </w:pPr>
      <w:r w:rsidRPr="00E94E96">
        <w:rPr>
          <w:rFonts w:ascii="Times New Roman" w:hAnsi="Times New Roman"/>
          <w:b/>
          <w:bCs/>
          <w:sz w:val="24"/>
          <w:szCs w:val="24"/>
        </w:rPr>
        <w:t xml:space="preserve">Legal Lesson Learned: </w:t>
      </w:r>
      <w:r>
        <w:rPr>
          <w:rFonts w:ascii="Times New Roman" w:hAnsi="Times New Roman"/>
          <w:b/>
          <w:bCs/>
          <w:sz w:val="24"/>
          <w:szCs w:val="24"/>
        </w:rPr>
        <w:t>The Union under the CBA has sole discretion on when to pursue an arbitration.</w:t>
      </w:r>
    </w:p>
    <w:p w14:paraId="5B60A40A" w14:textId="77777777" w:rsidR="00D478CB" w:rsidRDefault="00D478CB" w:rsidP="00F326E5">
      <w:pPr>
        <w:pStyle w:val="NoSpacing"/>
        <w:rPr>
          <w:rFonts w:ascii="Arial Black" w:hAnsi="Arial Black"/>
          <w:sz w:val="24"/>
          <w:szCs w:val="24"/>
        </w:rPr>
      </w:pPr>
    </w:p>
    <w:p w14:paraId="06B0936A" w14:textId="77777777" w:rsidR="00D478CB" w:rsidRDefault="00D478CB" w:rsidP="00F326E5">
      <w:pPr>
        <w:pStyle w:val="NoSpacing"/>
        <w:rPr>
          <w:rFonts w:ascii="Arial Black" w:hAnsi="Arial Black"/>
          <w:sz w:val="24"/>
          <w:szCs w:val="24"/>
        </w:rPr>
      </w:pPr>
    </w:p>
    <w:p w14:paraId="2932F533" w14:textId="2581FC16" w:rsidR="00C24A79" w:rsidRDefault="00C24A79" w:rsidP="00F326E5">
      <w:pPr>
        <w:pStyle w:val="NoSpacing"/>
        <w:rPr>
          <w:rFonts w:ascii="Arial Black" w:hAnsi="Arial Black"/>
          <w:sz w:val="24"/>
          <w:szCs w:val="24"/>
        </w:rPr>
      </w:pPr>
      <w:r>
        <w:rPr>
          <w:rFonts w:ascii="Arial Black" w:hAnsi="Arial Black"/>
          <w:sz w:val="24"/>
          <w:szCs w:val="24"/>
        </w:rPr>
        <w:t>17-18</w:t>
      </w:r>
    </w:p>
    <w:p w14:paraId="0877C9C5" w14:textId="77777777" w:rsidR="00C24A79" w:rsidRPr="007B00F4" w:rsidRDefault="00C24A79" w:rsidP="00C24A79">
      <w:pPr>
        <w:spacing w:before="100" w:beforeAutospacing="1" w:after="100" w:afterAutospacing="1" w:line="240" w:lineRule="auto"/>
        <w:rPr>
          <w:rFonts w:ascii="Arial Black" w:hAnsi="Arial Black"/>
          <w:sz w:val="28"/>
          <w:szCs w:val="28"/>
        </w:rPr>
      </w:pPr>
      <w:r>
        <w:rPr>
          <w:rFonts w:ascii="Arial Black" w:hAnsi="Arial Black"/>
          <w:sz w:val="28"/>
          <w:szCs w:val="28"/>
        </w:rPr>
        <w:t xml:space="preserve">OH: CBA IMPASSE – FACT-FINDING, ARBITRATION, COURT -16 EMS CAPTAINS WIN 2% PAY INCREASE BACK TO 2016 </w:t>
      </w:r>
    </w:p>
    <w:p w14:paraId="76844455" w14:textId="77777777" w:rsidR="00C24A79" w:rsidRPr="0039678C" w:rsidRDefault="00C24A79" w:rsidP="00C24A79">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On July 21, 2022, in </w:t>
      </w:r>
      <w:r w:rsidRPr="007B00F4">
        <w:rPr>
          <w:rFonts w:ascii="Times New Roman" w:hAnsi="Times New Roman"/>
          <w:sz w:val="24"/>
          <w:szCs w:val="24"/>
          <w:u w:val="single"/>
        </w:rPr>
        <w:t>City of Cleveland v. Communication Workers Of America, Local 4340</w:t>
      </w:r>
      <w:r>
        <w:rPr>
          <w:rFonts w:ascii="Times New Roman" w:hAnsi="Times New Roman"/>
          <w:sz w:val="24"/>
          <w:szCs w:val="24"/>
        </w:rPr>
        <w:t xml:space="preserve">, the </w:t>
      </w:r>
      <w:r w:rsidRPr="007B00F4">
        <w:rPr>
          <w:rFonts w:ascii="Times New Roman" w:eastAsia="Times New Roman" w:hAnsi="Times New Roman"/>
          <w:sz w:val="24"/>
          <w:szCs w:val="24"/>
        </w:rPr>
        <w:t>Court of Appeals of Ohio, Eighth District</w:t>
      </w:r>
      <w:r>
        <w:rPr>
          <w:rFonts w:ascii="Times New Roman" w:eastAsia="Times New Roman" w:hAnsi="Times New Roman"/>
          <w:sz w:val="24"/>
          <w:szCs w:val="24"/>
        </w:rPr>
        <w:t xml:space="preserve"> (</w:t>
      </w:r>
      <w:r w:rsidRPr="007B00F4">
        <w:rPr>
          <w:rFonts w:ascii="Times New Roman" w:eastAsia="Times New Roman" w:hAnsi="Times New Roman"/>
          <w:sz w:val="24"/>
          <w:szCs w:val="24"/>
        </w:rPr>
        <w:t>Cuyahoga</w:t>
      </w:r>
      <w:r>
        <w:rPr>
          <w:rFonts w:ascii="Times New Roman" w:eastAsia="Times New Roman" w:hAnsi="Times New Roman"/>
          <w:sz w:val="24"/>
          <w:szCs w:val="24"/>
        </w:rPr>
        <w:t xml:space="preserve"> County), </w:t>
      </w:r>
      <w:r w:rsidRPr="00633DB2">
        <w:rPr>
          <w:rFonts w:ascii="Times New Roman" w:eastAsia="Times New Roman" w:hAnsi="Times New Roman"/>
          <w:sz w:val="24"/>
          <w:szCs w:val="24"/>
        </w:rPr>
        <w:t xml:space="preserve">2022-Ohio-2498, </w:t>
      </w:r>
      <w:r>
        <w:rPr>
          <w:rFonts w:ascii="Times New Roman" w:eastAsia="Times New Roman" w:hAnsi="Times New Roman"/>
          <w:sz w:val="24"/>
          <w:szCs w:val="24"/>
        </w:rPr>
        <w:t xml:space="preserve">held 3 to 0 that trial court properly upheld the arbitrator’s decision; 12 EMS Captains entitled to 2% pay increase for 2016-2019 period based on fact-finders’ Final Report.  </w:t>
      </w:r>
      <w:hyperlink r:id="rId2908" w:history="1">
        <w:r w:rsidRPr="00355029">
          <w:rPr>
            <w:rStyle w:val="Hyperlink"/>
            <w:rFonts w:ascii="Times New Roman" w:eastAsia="Times New Roman" w:hAnsi="Times New Roman"/>
            <w:sz w:val="24"/>
            <w:szCs w:val="24"/>
          </w:rPr>
          <w:t>https://www.supremecourt.ohio.gov/rod/docs/pdf/8/2022/2022-Ohio-2498.pdf</w:t>
        </w:r>
      </w:hyperlink>
      <w:r>
        <w:rPr>
          <w:rFonts w:ascii="Times New Roman" w:eastAsia="Times New Roman" w:hAnsi="Times New Roman"/>
          <w:sz w:val="24"/>
          <w:szCs w:val="24"/>
        </w:rPr>
        <w:t xml:space="preserve"> </w:t>
      </w:r>
    </w:p>
    <w:p w14:paraId="2C5FBD17" w14:textId="77777777" w:rsidR="00C24A79" w:rsidRPr="00633DB2" w:rsidRDefault="00C24A79" w:rsidP="00C24A79">
      <w:pPr>
        <w:spacing w:before="100" w:beforeAutospacing="1" w:after="100" w:afterAutospacing="1" w:line="240" w:lineRule="auto"/>
        <w:rPr>
          <w:rFonts w:ascii="Times New Roman" w:eastAsia="Times New Roman" w:hAnsi="Times New Roman"/>
          <w:b/>
          <w:bCs/>
          <w:sz w:val="24"/>
          <w:szCs w:val="24"/>
        </w:rPr>
      </w:pPr>
      <w:r w:rsidRPr="006450B8">
        <w:rPr>
          <w:rFonts w:ascii="Times New Roman" w:hAnsi="Times New Roman"/>
          <w:b/>
          <w:bCs/>
          <w:sz w:val="24"/>
          <w:szCs w:val="24"/>
        </w:rPr>
        <w:t>Legal Lesson Learned: The Ohio Revised Code provides for fact-finding for resolution of bargaining impasse</w:t>
      </w:r>
      <w:r>
        <w:rPr>
          <w:rFonts w:ascii="Times New Roman" w:hAnsi="Times New Roman"/>
          <w:b/>
          <w:bCs/>
          <w:sz w:val="24"/>
          <w:szCs w:val="24"/>
        </w:rPr>
        <w:t xml:space="preserve">; the Courts will generally uphold. </w:t>
      </w:r>
    </w:p>
    <w:p w14:paraId="4162DAFC" w14:textId="77777777" w:rsidR="00C24A79" w:rsidRDefault="00C24A79" w:rsidP="00F326E5">
      <w:pPr>
        <w:pStyle w:val="NoSpacing"/>
        <w:rPr>
          <w:rFonts w:ascii="Arial Black" w:hAnsi="Arial Black"/>
          <w:sz w:val="24"/>
          <w:szCs w:val="24"/>
        </w:rPr>
      </w:pPr>
    </w:p>
    <w:p w14:paraId="3EC24F38" w14:textId="77777777" w:rsidR="00C24A79" w:rsidRDefault="00C24A79" w:rsidP="00F326E5">
      <w:pPr>
        <w:pStyle w:val="NoSpacing"/>
        <w:rPr>
          <w:rFonts w:ascii="Arial Black" w:hAnsi="Arial Black"/>
          <w:sz w:val="24"/>
          <w:szCs w:val="24"/>
        </w:rPr>
      </w:pPr>
    </w:p>
    <w:p w14:paraId="42D1818B" w14:textId="77777777" w:rsidR="00C24A79" w:rsidRDefault="00C24A79" w:rsidP="00F326E5">
      <w:pPr>
        <w:pStyle w:val="NoSpacing"/>
        <w:rPr>
          <w:rFonts w:ascii="Arial Black" w:hAnsi="Arial Black"/>
          <w:sz w:val="24"/>
          <w:szCs w:val="24"/>
        </w:rPr>
      </w:pPr>
    </w:p>
    <w:p w14:paraId="5A7642EF" w14:textId="3F65E365" w:rsidR="00156E5D" w:rsidRDefault="00156E5D" w:rsidP="00F326E5">
      <w:pPr>
        <w:pStyle w:val="NoSpacing"/>
        <w:rPr>
          <w:rFonts w:ascii="Arial Black" w:hAnsi="Arial Black"/>
          <w:sz w:val="24"/>
          <w:szCs w:val="24"/>
        </w:rPr>
      </w:pPr>
      <w:r>
        <w:rPr>
          <w:rFonts w:ascii="Arial Black" w:hAnsi="Arial Black"/>
          <w:sz w:val="24"/>
          <w:szCs w:val="24"/>
        </w:rPr>
        <w:t>17-17</w:t>
      </w:r>
    </w:p>
    <w:p w14:paraId="29FEA5E1" w14:textId="292E7C36" w:rsidR="00156E5D" w:rsidRDefault="00156E5D" w:rsidP="00F326E5">
      <w:pPr>
        <w:pStyle w:val="NoSpacing"/>
        <w:rPr>
          <w:rFonts w:ascii="Arial Black" w:hAnsi="Arial Black"/>
          <w:sz w:val="24"/>
          <w:szCs w:val="24"/>
        </w:rPr>
      </w:pPr>
    </w:p>
    <w:p w14:paraId="34CB2E5F" w14:textId="37851BF4" w:rsidR="00156E5D" w:rsidRDefault="00156E5D" w:rsidP="00156E5D">
      <w:pPr>
        <w:rPr>
          <w:rFonts w:ascii="Arial Black" w:hAnsi="Arial Black"/>
          <w:b/>
          <w:sz w:val="24"/>
          <w:szCs w:val="24"/>
        </w:rPr>
      </w:pPr>
      <w:r>
        <w:rPr>
          <w:rFonts w:ascii="Arial Black" w:hAnsi="Arial Black"/>
          <w:b/>
          <w:sz w:val="24"/>
          <w:szCs w:val="24"/>
        </w:rPr>
        <w:t>6-92 [also filed, Chap. 6]</w:t>
      </w:r>
    </w:p>
    <w:p w14:paraId="71BEC741" w14:textId="77777777" w:rsidR="00156E5D" w:rsidRDefault="00156E5D" w:rsidP="00156E5D">
      <w:pPr>
        <w:spacing w:before="100" w:beforeAutospacing="1" w:after="100" w:afterAutospacing="1" w:line="240" w:lineRule="auto"/>
        <w:rPr>
          <w:rFonts w:ascii="Arial Black" w:eastAsia="Times New Roman" w:hAnsi="Arial Black"/>
          <w:sz w:val="28"/>
          <w:szCs w:val="28"/>
        </w:rPr>
      </w:pPr>
      <w:r>
        <w:rPr>
          <w:rFonts w:ascii="Arial Black" w:eastAsia="Times New Roman" w:hAnsi="Arial Black"/>
          <w:sz w:val="28"/>
          <w:szCs w:val="28"/>
        </w:rPr>
        <w:t xml:space="preserve">OH: FIRE CHIEF “RETIRE / REHIRE” NEXT DAY IS LAWFUL – CIVIL SERVICE POSTING JOB ONLY WHEN A “VACANCY” </w:t>
      </w:r>
    </w:p>
    <w:p w14:paraId="3EEEF329" w14:textId="77777777" w:rsidR="00156E5D" w:rsidRDefault="00156E5D" w:rsidP="00156E5D">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June 27, 2022, in </w:t>
      </w:r>
      <w:r>
        <w:rPr>
          <w:rFonts w:ascii="Times New Roman" w:hAnsi="Times New Roman"/>
          <w:sz w:val="24"/>
          <w:szCs w:val="24"/>
          <w:u w:val="single"/>
        </w:rPr>
        <w:t xml:space="preserve">State of Ohio ex re. The International Association of Fire Fighters, Local 1536, AFL-CIO v. John Barbush, In His Official Capacity </w:t>
      </w:r>
      <w:proofErr w:type="gramStart"/>
      <w:r>
        <w:rPr>
          <w:rFonts w:ascii="Times New Roman" w:hAnsi="Times New Roman"/>
          <w:sz w:val="24"/>
          <w:szCs w:val="24"/>
          <w:u w:val="single"/>
        </w:rPr>
        <w:t>As</w:t>
      </w:r>
      <w:proofErr w:type="gramEnd"/>
      <w:r>
        <w:rPr>
          <w:rFonts w:ascii="Times New Roman" w:hAnsi="Times New Roman"/>
          <w:sz w:val="24"/>
          <w:szCs w:val="24"/>
          <w:u w:val="single"/>
        </w:rPr>
        <w:t xml:space="preserve"> Maor </w:t>
      </w:r>
      <w:proofErr w:type="gramStart"/>
      <w:r>
        <w:rPr>
          <w:rFonts w:ascii="Times New Roman" w:hAnsi="Times New Roman"/>
          <w:sz w:val="24"/>
          <w:szCs w:val="24"/>
          <w:u w:val="single"/>
        </w:rPr>
        <w:t>And</w:t>
      </w:r>
      <w:proofErr w:type="gramEnd"/>
      <w:r>
        <w:rPr>
          <w:rFonts w:ascii="Times New Roman" w:hAnsi="Times New Roman"/>
          <w:sz w:val="24"/>
          <w:szCs w:val="24"/>
          <w:u w:val="single"/>
        </w:rPr>
        <w:t xml:space="preserve"> Director </w:t>
      </w:r>
      <w:proofErr w:type="gramStart"/>
      <w:r>
        <w:rPr>
          <w:rFonts w:ascii="Times New Roman" w:hAnsi="Times New Roman"/>
          <w:sz w:val="24"/>
          <w:szCs w:val="24"/>
          <w:u w:val="single"/>
        </w:rPr>
        <w:t>Of</w:t>
      </w:r>
      <w:proofErr w:type="gramEnd"/>
      <w:r>
        <w:rPr>
          <w:rFonts w:ascii="Times New Roman" w:hAnsi="Times New Roman"/>
          <w:sz w:val="24"/>
          <w:szCs w:val="24"/>
          <w:u w:val="single"/>
        </w:rPr>
        <w:t xml:space="preserve"> Public Safety, et. al., and James G. Powers</w:t>
      </w:r>
      <w:r>
        <w:rPr>
          <w:rFonts w:ascii="Times New Roman" w:hAnsi="Times New Roman"/>
          <w:sz w:val="24"/>
          <w:szCs w:val="24"/>
        </w:rPr>
        <w:t xml:space="preserve">, the Court of Appeals of Ohio, Eleventh District (Lake County), held (2 to 1) that trial court properly held that there was no “vacancy” in the Fire Chiefs position since he retired on Jan. 6, 2020, and was rehired the next day. Local 1536 argued [and the Dissenting Judge agreed] that the position should have been </w:t>
      </w:r>
      <w:proofErr w:type="gramStart"/>
      <w:r>
        <w:rPr>
          <w:rFonts w:ascii="Times New Roman" w:hAnsi="Times New Roman"/>
          <w:sz w:val="24"/>
          <w:szCs w:val="24"/>
        </w:rPr>
        <w:t>submitted</w:t>
      </w:r>
      <w:proofErr w:type="gramEnd"/>
      <w:r>
        <w:rPr>
          <w:rFonts w:ascii="Times New Roman" w:hAnsi="Times New Roman"/>
          <w:sz w:val="24"/>
          <w:szCs w:val="24"/>
        </w:rPr>
        <w:t xml:space="preserve"> the City’s Civil Service Commission, and the position filled through a competitive promotional examination process where four Captains were eligible to apply. </w:t>
      </w:r>
      <w:hyperlink r:id="rId2909" w:history="1">
        <w:r>
          <w:rPr>
            <w:rStyle w:val="Hyperlink"/>
            <w:sz w:val="24"/>
            <w:szCs w:val="24"/>
          </w:rPr>
          <w:t>https://www.leagle.com/decision/inohco20220627386</w:t>
        </w:r>
      </w:hyperlink>
      <w:r>
        <w:rPr>
          <w:rFonts w:ascii="Times New Roman" w:hAnsi="Times New Roman"/>
          <w:sz w:val="24"/>
          <w:szCs w:val="24"/>
        </w:rPr>
        <w:t xml:space="preserve"> </w:t>
      </w:r>
    </w:p>
    <w:p w14:paraId="6FF3511F" w14:textId="77777777" w:rsidR="00156E5D" w:rsidRDefault="00156E5D" w:rsidP="00156E5D">
      <w:pPr>
        <w:spacing w:before="100" w:beforeAutospacing="1" w:after="100" w:afterAutospacing="1" w:line="240" w:lineRule="auto"/>
        <w:rPr>
          <w:rFonts w:ascii="Times New Roman" w:eastAsia="Times New Roman" w:hAnsi="Times New Roman"/>
          <w:b/>
          <w:bCs/>
          <w:sz w:val="24"/>
          <w:szCs w:val="24"/>
        </w:rPr>
      </w:pPr>
      <w:r>
        <w:rPr>
          <w:rFonts w:ascii="Times New Roman" w:hAnsi="Times New Roman"/>
          <w:b/>
          <w:bCs/>
          <w:sz w:val="24"/>
          <w:szCs w:val="24"/>
        </w:rPr>
        <w:t xml:space="preserve">Legal Lesson Learned: In Ohio, other fire chiefs have also done “retire / rehire.” </w:t>
      </w:r>
    </w:p>
    <w:p w14:paraId="647BFB4F" w14:textId="77777777" w:rsidR="00156E5D" w:rsidRPr="00102BDF" w:rsidRDefault="00156E5D" w:rsidP="00156E5D">
      <w:pPr>
        <w:pStyle w:val="Heading1"/>
        <w:ind w:left="720"/>
        <w:rPr>
          <w:b w:val="0"/>
          <w:bCs w:val="0"/>
          <w:sz w:val="24"/>
          <w:szCs w:val="24"/>
        </w:rPr>
      </w:pPr>
      <w:r w:rsidRPr="00102BDF">
        <w:rPr>
          <w:b w:val="0"/>
          <w:bCs w:val="0"/>
          <w:sz w:val="24"/>
          <w:szCs w:val="24"/>
        </w:rPr>
        <w:lastRenderedPageBreak/>
        <w:t xml:space="preserve">For example, see: “Fairfield able to rehire retired fire chief” (March 15, 2011): </w:t>
      </w:r>
      <w:hyperlink r:id="rId2910" w:history="1">
        <w:r w:rsidRPr="00102BDF">
          <w:rPr>
            <w:rStyle w:val="Hyperlink"/>
            <w:b w:val="0"/>
            <w:bCs w:val="0"/>
            <w:sz w:val="24"/>
            <w:szCs w:val="24"/>
          </w:rPr>
          <w:t>https://www.journal-news.com/news/local/fairfield-able-rehire-retired-fire-chief/JMPkJQCqJ2eIDqbu2eI8RK/</w:t>
        </w:r>
      </w:hyperlink>
      <w:r w:rsidRPr="00102BDF">
        <w:rPr>
          <w:b w:val="0"/>
          <w:bCs w:val="0"/>
          <w:sz w:val="24"/>
          <w:szCs w:val="24"/>
        </w:rPr>
        <w:t xml:space="preserve"> </w:t>
      </w:r>
    </w:p>
    <w:p w14:paraId="0364F905" w14:textId="77777777" w:rsidR="00156E5D" w:rsidRPr="00102BDF" w:rsidRDefault="00156E5D" w:rsidP="00156E5D">
      <w:pPr>
        <w:pStyle w:val="Heading1"/>
        <w:ind w:left="720"/>
        <w:rPr>
          <w:b w:val="0"/>
          <w:bCs w:val="0"/>
          <w:sz w:val="24"/>
          <w:szCs w:val="24"/>
        </w:rPr>
      </w:pPr>
      <w:r w:rsidRPr="00102BDF">
        <w:rPr>
          <w:b w:val="0"/>
          <w:bCs w:val="0"/>
          <w:sz w:val="24"/>
          <w:szCs w:val="24"/>
        </w:rPr>
        <w:t xml:space="preserve">“West Carrollton to rehire fire chief after Valentine’s week retirement” (Feb. 13, 2019): </w:t>
      </w:r>
      <w:hyperlink r:id="rId2911" w:history="1">
        <w:r w:rsidRPr="00102BDF">
          <w:rPr>
            <w:rStyle w:val="Hyperlink"/>
            <w:b w:val="0"/>
            <w:bCs w:val="0"/>
            <w:sz w:val="24"/>
            <w:szCs w:val="24"/>
          </w:rPr>
          <w:t>https://www.daytondailynews.com/news/west-carrollton-rehire-fire-chief-after-valentine-week-retirement/XSsYoJpSmxdkIIZtoGUpzJ/</w:t>
        </w:r>
      </w:hyperlink>
      <w:r w:rsidRPr="00102BDF">
        <w:rPr>
          <w:b w:val="0"/>
          <w:bCs w:val="0"/>
          <w:sz w:val="24"/>
          <w:szCs w:val="24"/>
        </w:rPr>
        <w:t xml:space="preserve"> </w:t>
      </w:r>
    </w:p>
    <w:p w14:paraId="53B1D6D5" w14:textId="77777777" w:rsidR="00156E5D" w:rsidRDefault="00156E5D" w:rsidP="00156E5D">
      <w:pPr>
        <w:rPr>
          <w:rFonts w:ascii="Arial Black" w:hAnsi="Arial Black"/>
          <w:b/>
          <w:sz w:val="24"/>
          <w:szCs w:val="24"/>
        </w:rPr>
      </w:pPr>
    </w:p>
    <w:p w14:paraId="688B950C" w14:textId="77777777" w:rsidR="00156E5D" w:rsidRDefault="00156E5D" w:rsidP="00156E5D">
      <w:pPr>
        <w:rPr>
          <w:rFonts w:ascii="Arial Black" w:hAnsi="Arial Black"/>
          <w:b/>
          <w:sz w:val="24"/>
          <w:szCs w:val="24"/>
        </w:rPr>
      </w:pPr>
    </w:p>
    <w:p w14:paraId="775FE46D" w14:textId="77777777" w:rsidR="00156E5D" w:rsidRDefault="00156E5D" w:rsidP="00F326E5">
      <w:pPr>
        <w:pStyle w:val="NoSpacing"/>
        <w:rPr>
          <w:rFonts w:ascii="Arial Black" w:hAnsi="Arial Black"/>
          <w:sz w:val="24"/>
          <w:szCs w:val="24"/>
        </w:rPr>
      </w:pPr>
    </w:p>
    <w:p w14:paraId="4C0DB81D" w14:textId="77777777" w:rsidR="00156E5D" w:rsidRDefault="00156E5D" w:rsidP="00F326E5">
      <w:pPr>
        <w:pStyle w:val="NoSpacing"/>
        <w:rPr>
          <w:rFonts w:ascii="Arial Black" w:hAnsi="Arial Black"/>
          <w:sz w:val="24"/>
          <w:szCs w:val="24"/>
        </w:rPr>
      </w:pPr>
    </w:p>
    <w:p w14:paraId="2060F756" w14:textId="05F2BB72" w:rsidR="009579EB" w:rsidRDefault="009579EB" w:rsidP="00F326E5">
      <w:pPr>
        <w:pStyle w:val="NoSpacing"/>
        <w:rPr>
          <w:rFonts w:ascii="Arial Black" w:hAnsi="Arial Black"/>
          <w:sz w:val="24"/>
          <w:szCs w:val="24"/>
        </w:rPr>
      </w:pPr>
      <w:r>
        <w:rPr>
          <w:rFonts w:ascii="Arial Black" w:hAnsi="Arial Black"/>
          <w:sz w:val="24"/>
          <w:szCs w:val="24"/>
        </w:rPr>
        <w:t>17-16</w:t>
      </w:r>
    </w:p>
    <w:p w14:paraId="70E76EA8" w14:textId="77777777" w:rsidR="009579EB" w:rsidRPr="003E559C" w:rsidRDefault="009579EB" w:rsidP="009579EB">
      <w:pPr>
        <w:spacing w:before="100" w:beforeAutospacing="1" w:after="100" w:afterAutospacing="1" w:line="240" w:lineRule="auto"/>
        <w:rPr>
          <w:rFonts w:ascii="Arial Black" w:hAnsi="Arial Black"/>
          <w:sz w:val="28"/>
          <w:szCs w:val="28"/>
        </w:rPr>
      </w:pPr>
      <w:r>
        <w:rPr>
          <w:rFonts w:ascii="Arial Black" w:hAnsi="Arial Black"/>
          <w:sz w:val="28"/>
          <w:szCs w:val="28"/>
        </w:rPr>
        <w:t>NY: NEW SICK LEAVE POLICY – FD MUST BARGAIN - DOCTOR’S NOTE AFTER 2 WORKDAYS SICK, WAS 3 DAYS</w:t>
      </w:r>
    </w:p>
    <w:p w14:paraId="798D245B" w14:textId="77777777" w:rsidR="009579EB" w:rsidRPr="003E559C" w:rsidRDefault="009579EB" w:rsidP="009579EB">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 xml:space="preserve">On May 25, 2022, in </w:t>
      </w:r>
      <w:r w:rsidRPr="003E559C">
        <w:rPr>
          <w:rFonts w:ascii="Times New Roman" w:eastAsia="Times New Roman" w:hAnsi="Times New Roman"/>
          <w:sz w:val="24"/>
          <w:szCs w:val="24"/>
        </w:rPr>
        <w:t xml:space="preserve">the </w:t>
      </w:r>
      <w:r w:rsidRPr="003E559C">
        <w:rPr>
          <w:rFonts w:ascii="Times New Roman" w:eastAsia="Times New Roman" w:hAnsi="Times New Roman"/>
          <w:sz w:val="24"/>
          <w:szCs w:val="24"/>
          <w:u w:val="single"/>
        </w:rPr>
        <w:t>Matter of Village of Scarsdale v. New York State Public Employment Relations Board, et al</w:t>
      </w:r>
      <w:r w:rsidRPr="003E559C">
        <w:rPr>
          <w:rFonts w:ascii="Times New Roman" w:eastAsia="Times New Roman" w:hAnsi="Times New Roman"/>
          <w:sz w:val="24"/>
          <w:szCs w:val="24"/>
        </w:rPr>
        <w:t>.</w:t>
      </w:r>
      <w:r>
        <w:rPr>
          <w:rFonts w:ascii="Times New Roman" w:eastAsia="Times New Roman" w:hAnsi="Times New Roman"/>
          <w:b/>
          <w:bCs/>
          <w:sz w:val="24"/>
          <w:szCs w:val="24"/>
        </w:rPr>
        <w:t xml:space="preserve">, </w:t>
      </w:r>
      <w:r w:rsidRPr="009155CF">
        <w:rPr>
          <w:rFonts w:ascii="Times New Roman" w:eastAsia="Times New Roman" w:hAnsi="Times New Roman"/>
          <w:sz w:val="24"/>
          <w:szCs w:val="24"/>
        </w:rPr>
        <w:t>2022 NY Slip Op 03392,</w:t>
      </w:r>
      <w:r>
        <w:rPr>
          <w:rFonts w:ascii="Times New Roman" w:eastAsia="Times New Roman" w:hAnsi="Times New Roman"/>
          <w:b/>
          <w:bCs/>
          <w:sz w:val="24"/>
          <w:szCs w:val="24"/>
        </w:rPr>
        <w:t xml:space="preserve"> </w:t>
      </w:r>
      <w:r w:rsidRPr="003E559C">
        <w:rPr>
          <w:rFonts w:ascii="Times New Roman" w:eastAsia="Times New Roman" w:hAnsi="Times New Roman"/>
          <w:sz w:val="24"/>
          <w:szCs w:val="24"/>
        </w:rPr>
        <w:t>the</w:t>
      </w:r>
      <w:r>
        <w:rPr>
          <w:rFonts w:ascii="Times New Roman" w:eastAsia="Times New Roman" w:hAnsi="Times New Roman"/>
          <w:b/>
          <w:bCs/>
          <w:sz w:val="24"/>
          <w:szCs w:val="24"/>
        </w:rPr>
        <w:t xml:space="preserve"> </w:t>
      </w:r>
      <w:r w:rsidRPr="003E559C">
        <w:rPr>
          <w:rFonts w:ascii="Times New Roman" w:eastAsia="Times New Roman" w:hAnsi="Times New Roman"/>
          <w:sz w:val="24"/>
          <w:szCs w:val="24"/>
        </w:rPr>
        <w:t>Supreme Court of New York, Second Department, held</w:t>
      </w:r>
      <w:r>
        <w:rPr>
          <w:rFonts w:ascii="Times New Roman" w:eastAsia="Times New Roman" w:hAnsi="Times New Roman"/>
          <w:b/>
          <w:bCs/>
          <w:sz w:val="24"/>
          <w:szCs w:val="24"/>
        </w:rPr>
        <w:t xml:space="preserve"> </w:t>
      </w:r>
      <w:r w:rsidRPr="009155CF">
        <w:rPr>
          <w:rFonts w:ascii="Times New Roman" w:eastAsia="Times New Roman" w:hAnsi="Times New Roman"/>
          <w:sz w:val="24"/>
          <w:szCs w:val="24"/>
        </w:rPr>
        <w:t>(4 to 0)</w:t>
      </w:r>
      <w:r>
        <w:rPr>
          <w:rFonts w:ascii="Times New Roman" w:eastAsia="Times New Roman" w:hAnsi="Times New Roman"/>
          <w:b/>
          <w:bCs/>
          <w:sz w:val="24"/>
          <w:szCs w:val="24"/>
        </w:rPr>
        <w:t xml:space="preserve"> </w:t>
      </w:r>
      <w:r>
        <w:rPr>
          <w:rFonts w:ascii="Times New Roman" w:eastAsia="Times New Roman" w:hAnsi="Times New Roman"/>
          <w:sz w:val="24"/>
          <w:szCs w:val="24"/>
        </w:rPr>
        <w:t xml:space="preserve">that the Board properly held that the new “Sick Leave Management Program” (SLMP) was a change in work conditions that must be bargained, including (a) doctor’s note after 2 missed work days, rather than three work days; (b) new rules on off-duty employment on sick leave; (c) eligibility for voluntary overtime; (d) quarterly and annual counseling for excessive sick leave. </w:t>
      </w:r>
      <w:hyperlink r:id="rId2912" w:history="1">
        <w:r w:rsidRPr="00682519">
          <w:rPr>
            <w:rStyle w:val="Hyperlink"/>
            <w:rFonts w:ascii="Times New Roman" w:eastAsia="Times New Roman" w:hAnsi="Times New Roman"/>
            <w:sz w:val="24"/>
            <w:szCs w:val="24"/>
          </w:rPr>
          <w:t>https://public.fastcase.com/waZtJvSA54UAurM2rmIZzyOaN7WzTWghSlgppuqvnsAjPkds9FfvjtUo5GbcF9G%2FNhiGhSGO5JepPmFj8bD%2B4C9gVbj%2FhO0NJpef3auh%2BAw%3D</w:t>
        </w:r>
      </w:hyperlink>
      <w:r>
        <w:rPr>
          <w:rFonts w:ascii="Times New Roman" w:eastAsia="Times New Roman" w:hAnsi="Times New Roman"/>
          <w:sz w:val="24"/>
          <w:szCs w:val="24"/>
        </w:rPr>
        <w:t xml:space="preserve"> </w:t>
      </w:r>
    </w:p>
    <w:p w14:paraId="128AB0A9" w14:textId="77777777" w:rsidR="009579EB" w:rsidRPr="00514E42" w:rsidRDefault="009579EB" w:rsidP="009579EB">
      <w:pPr>
        <w:spacing w:before="100" w:beforeAutospacing="1" w:after="100" w:afterAutospacing="1" w:line="240" w:lineRule="auto"/>
        <w:rPr>
          <w:rFonts w:ascii="Times New Roman" w:hAnsi="Times New Roman"/>
          <w:b/>
          <w:bCs/>
          <w:sz w:val="24"/>
          <w:szCs w:val="24"/>
        </w:rPr>
      </w:pPr>
      <w:r w:rsidRPr="00514E42">
        <w:rPr>
          <w:rFonts w:ascii="Times New Roman" w:hAnsi="Times New Roman"/>
          <w:b/>
          <w:bCs/>
          <w:sz w:val="24"/>
          <w:szCs w:val="24"/>
        </w:rPr>
        <w:t xml:space="preserve">Legal Lesson Learned: </w:t>
      </w:r>
      <w:r>
        <w:rPr>
          <w:rFonts w:ascii="Times New Roman" w:hAnsi="Times New Roman"/>
          <w:b/>
          <w:bCs/>
          <w:sz w:val="24"/>
          <w:szCs w:val="24"/>
        </w:rPr>
        <w:t xml:space="preserve">Under New York law, these substantial changes in sick leave policy had to be collectively bargained. </w:t>
      </w:r>
    </w:p>
    <w:p w14:paraId="00F2596B" w14:textId="77777777" w:rsidR="009579EB" w:rsidRDefault="009579EB" w:rsidP="00F326E5">
      <w:pPr>
        <w:pStyle w:val="NoSpacing"/>
        <w:rPr>
          <w:rFonts w:ascii="Arial Black" w:hAnsi="Arial Black"/>
          <w:sz w:val="24"/>
          <w:szCs w:val="24"/>
        </w:rPr>
      </w:pPr>
    </w:p>
    <w:p w14:paraId="35FD0ED8" w14:textId="77777777" w:rsidR="009579EB" w:rsidRDefault="009579EB" w:rsidP="00F326E5">
      <w:pPr>
        <w:pStyle w:val="NoSpacing"/>
        <w:rPr>
          <w:rFonts w:ascii="Arial Black" w:hAnsi="Arial Black"/>
          <w:sz w:val="24"/>
          <w:szCs w:val="24"/>
        </w:rPr>
      </w:pPr>
    </w:p>
    <w:p w14:paraId="5AA53551" w14:textId="31BB9909" w:rsidR="009579EB" w:rsidRDefault="009579EB" w:rsidP="00F326E5">
      <w:pPr>
        <w:pStyle w:val="NoSpacing"/>
        <w:rPr>
          <w:rFonts w:ascii="Arial Black" w:hAnsi="Arial Black"/>
          <w:sz w:val="24"/>
          <w:szCs w:val="24"/>
        </w:rPr>
      </w:pPr>
      <w:r>
        <w:rPr>
          <w:rFonts w:ascii="Arial Black" w:hAnsi="Arial Black"/>
          <w:sz w:val="24"/>
          <w:szCs w:val="24"/>
        </w:rPr>
        <w:t>17-15</w:t>
      </w:r>
    </w:p>
    <w:p w14:paraId="5A426956" w14:textId="77777777" w:rsidR="009579EB" w:rsidRDefault="009579EB" w:rsidP="00F326E5">
      <w:pPr>
        <w:pStyle w:val="NoSpacing"/>
        <w:rPr>
          <w:rFonts w:ascii="Arial Black" w:hAnsi="Arial Black"/>
          <w:sz w:val="24"/>
          <w:szCs w:val="24"/>
        </w:rPr>
      </w:pPr>
    </w:p>
    <w:p w14:paraId="1E0818D0" w14:textId="77777777" w:rsidR="00E13917" w:rsidRDefault="00E13917" w:rsidP="00E13917">
      <w:pPr>
        <w:spacing w:before="100" w:beforeAutospacing="1" w:after="100" w:afterAutospacing="1" w:line="240" w:lineRule="auto"/>
        <w:rPr>
          <w:rStyle w:val="markedcontent"/>
          <w:rFonts w:ascii="Arial Black" w:hAnsi="Arial Black" w:cs="Arial"/>
          <w:sz w:val="28"/>
          <w:szCs w:val="28"/>
        </w:rPr>
      </w:pPr>
      <w:r>
        <w:rPr>
          <w:rStyle w:val="markedcontent"/>
          <w:rFonts w:ascii="Arial Black" w:hAnsi="Arial Black" w:cs="Arial"/>
          <w:sz w:val="28"/>
          <w:szCs w:val="28"/>
        </w:rPr>
        <w:t>FL: IAFF PRESIDENT, 2 LTs – RETALIATION - AFTER UNFAIR LABOR CHARGE - ANNUAL PHYSICALS OMITTED KEY TESTS</w:t>
      </w:r>
    </w:p>
    <w:p w14:paraId="37ACB2B0" w14:textId="77777777" w:rsidR="00E13917" w:rsidRPr="00AA23CE" w:rsidRDefault="00E13917" w:rsidP="00E13917">
      <w:pPr>
        <w:spacing w:before="100" w:beforeAutospacing="1" w:after="100" w:afterAutospacing="1" w:line="240" w:lineRule="auto"/>
        <w:rPr>
          <w:rStyle w:val="markedcontent"/>
          <w:rFonts w:ascii="Times New Roman" w:hAnsi="Times New Roman"/>
          <w:sz w:val="24"/>
          <w:szCs w:val="24"/>
        </w:rPr>
      </w:pPr>
      <w:r>
        <w:rPr>
          <w:rStyle w:val="markedcontent"/>
          <w:rFonts w:ascii="Times New Roman" w:hAnsi="Times New Roman"/>
          <w:sz w:val="24"/>
          <w:szCs w:val="24"/>
        </w:rPr>
        <w:t xml:space="preserve">On May 19, 2022, in </w:t>
      </w:r>
      <w:r w:rsidRPr="007529E0">
        <w:rPr>
          <w:rStyle w:val="markedcontent"/>
          <w:rFonts w:ascii="Times New Roman" w:hAnsi="Times New Roman"/>
          <w:sz w:val="24"/>
          <w:szCs w:val="24"/>
          <w:u w:val="single"/>
        </w:rPr>
        <w:t>Lakeland Profession Firefighters Local 4173 v. City of Lakeland</w:t>
      </w:r>
      <w:r>
        <w:rPr>
          <w:rStyle w:val="markedcontent"/>
          <w:rFonts w:ascii="Times New Roman" w:hAnsi="Times New Roman"/>
          <w:sz w:val="24"/>
          <w:szCs w:val="24"/>
        </w:rPr>
        <w:t xml:space="preserve">, Hearing Officer Robert W. Hanson with the State of Florida Public Employees Relations Commission, after a hearing, issued a Recommended Order that the FD: (a) immediately rescind the written reprimand issued against Union President Shannon Turbeville; (b) expunge all personnel files concerning the reprimand; (c) immediately return two Lieutenants, Matthew Burns and Michael Gilman, to their original stations; (d) pay the Union’s attorney fees.  The Union President was reprimanded after he asked to bargain over why Life Span company, that provided annual physicals were omitting testing required under CBA and NFPA 1582.  </w:t>
      </w:r>
      <w:r w:rsidRPr="00AA23CE">
        <w:rPr>
          <w:rStyle w:val="markedcontent"/>
          <w:rFonts w:ascii="Times New Roman" w:hAnsi="Times New Roman"/>
          <w:sz w:val="24"/>
          <w:szCs w:val="24"/>
        </w:rPr>
        <w:t xml:space="preserve">“The omitted tests and screenings included a chest x-ray, various cancer screenings, a tuberculosis skin test, a pulmonary function test, and infectious disease screenings.” </w:t>
      </w:r>
      <w:hyperlink r:id="rId2913" w:history="1">
        <w:r w:rsidRPr="00682519">
          <w:rPr>
            <w:rStyle w:val="Hyperlink"/>
            <w:rFonts w:ascii="Times New Roman" w:hAnsi="Times New Roman"/>
            <w:sz w:val="24"/>
            <w:szCs w:val="24"/>
          </w:rPr>
          <w:t>http://perc.myflorida.com/download.aspx/Prefix=CA/CaseYr=21/CaseNo=012/File=CA21012_Ord10_05192022_163540.pdf</w:t>
        </w:r>
      </w:hyperlink>
      <w:r>
        <w:rPr>
          <w:rStyle w:val="markedcontent"/>
          <w:rFonts w:ascii="Times New Roman" w:hAnsi="Times New Roman"/>
          <w:sz w:val="24"/>
          <w:szCs w:val="24"/>
        </w:rPr>
        <w:t xml:space="preserve"> </w:t>
      </w:r>
    </w:p>
    <w:p w14:paraId="17627867" w14:textId="77777777" w:rsidR="00E13917" w:rsidRPr="00370437" w:rsidRDefault="00E13917" w:rsidP="00E13917">
      <w:pPr>
        <w:spacing w:before="100" w:beforeAutospacing="1" w:after="100" w:afterAutospacing="1" w:line="240" w:lineRule="auto"/>
        <w:rPr>
          <w:rStyle w:val="markedcontent"/>
          <w:rFonts w:ascii="Times New Roman" w:hAnsi="Times New Roman"/>
          <w:b/>
          <w:bCs/>
          <w:sz w:val="24"/>
          <w:szCs w:val="24"/>
        </w:rPr>
      </w:pPr>
      <w:r w:rsidRPr="00370437">
        <w:rPr>
          <w:rStyle w:val="markedcontent"/>
          <w:rFonts w:ascii="Times New Roman" w:hAnsi="Times New Roman"/>
          <w:b/>
          <w:bCs/>
          <w:sz w:val="24"/>
          <w:szCs w:val="24"/>
        </w:rPr>
        <w:t xml:space="preserve">Legal Lesson Learned: </w:t>
      </w:r>
      <w:r>
        <w:rPr>
          <w:rStyle w:val="markedcontent"/>
          <w:rFonts w:ascii="Times New Roman" w:hAnsi="Times New Roman"/>
          <w:b/>
          <w:bCs/>
          <w:sz w:val="24"/>
          <w:szCs w:val="24"/>
        </w:rPr>
        <w:t xml:space="preserve">Retaliation for lawful Union activities is a serious charge; transferring a Lt. 18 days after he submitted a sworn statement in support of Union President’s unfair labor charge is very questionable management decision. The City may decide to appeal to the full Commission. </w:t>
      </w:r>
    </w:p>
    <w:p w14:paraId="31CDAF41" w14:textId="37B1D711" w:rsidR="00E13917" w:rsidRDefault="00E13917" w:rsidP="00E13917">
      <w:pPr>
        <w:pStyle w:val="NoSpacing"/>
        <w:rPr>
          <w:rFonts w:ascii="Arial Black" w:hAnsi="Arial Black"/>
          <w:sz w:val="24"/>
          <w:szCs w:val="24"/>
        </w:rPr>
      </w:pPr>
      <w:r w:rsidRPr="00882956">
        <w:rPr>
          <w:rStyle w:val="markedcontent"/>
          <w:sz w:val="24"/>
          <w:szCs w:val="24"/>
        </w:rPr>
        <w:t xml:space="preserve">Note: See May 20, </w:t>
      </w:r>
      <w:proofErr w:type="gramStart"/>
      <w:r w:rsidRPr="00882956">
        <w:rPr>
          <w:rStyle w:val="markedcontent"/>
          <w:sz w:val="24"/>
          <w:szCs w:val="24"/>
        </w:rPr>
        <w:t>2022</w:t>
      </w:r>
      <w:proofErr w:type="gramEnd"/>
      <w:r w:rsidRPr="00882956">
        <w:rPr>
          <w:rStyle w:val="markedcontent"/>
          <w:sz w:val="24"/>
          <w:szCs w:val="24"/>
        </w:rPr>
        <w:t xml:space="preserve"> article, “</w:t>
      </w:r>
      <w:r w:rsidRPr="00882956">
        <w:rPr>
          <w:sz w:val="24"/>
          <w:szCs w:val="24"/>
        </w:rPr>
        <w:t>Lakeland cited for unfair labor practices in retaliation against fire department employees.”</w:t>
      </w:r>
      <w:r>
        <w:t xml:space="preserve"> </w:t>
      </w:r>
      <w:hyperlink r:id="rId2914" w:history="1">
        <w:r w:rsidRPr="00882956">
          <w:rPr>
            <w:rStyle w:val="Hyperlink"/>
            <w:sz w:val="24"/>
            <w:szCs w:val="24"/>
          </w:rPr>
          <w:t>https://www.theledger.com/story/news/local/2022/05/20/lakeland-fire-department-leaders-retaliated-against-union-members-commission-says/9852984002/?mc_cid=a677467851&amp;mc_eid=3f2d24c371</w:t>
        </w:r>
      </w:hyperlink>
    </w:p>
    <w:p w14:paraId="5132440A" w14:textId="77777777" w:rsidR="00E13917" w:rsidRDefault="00E13917" w:rsidP="00F326E5">
      <w:pPr>
        <w:pStyle w:val="NoSpacing"/>
        <w:rPr>
          <w:rFonts w:ascii="Arial Black" w:hAnsi="Arial Black"/>
          <w:sz w:val="24"/>
          <w:szCs w:val="24"/>
        </w:rPr>
      </w:pPr>
    </w:p>
    <w:p w14:paraId="28173990" w14:textId="77777777" w:rsidR="00E13917" w:rsidRDefault="00E13917" w:rsidP="00F326E5">
      <w:pPr>
        <w:pStyle w:val="NoSpacing"/>
        <w:rPr>
          <w:rFonts w:ascii="Arial Black" w:hAnsi="Arial Black"/>
          <w:sz w:val="24"/>
          <w:szCs w:val="24"/>
        </w:rPr>
      </w:pPr>
    </w:p>
    <w:p w14:paraId="27B723B1" w14:textId="106905FB" w:rsidR="007F5C26" w:rsidRDefault="007F5C26" w:rsidP="00F326E5">
      <w:pPr>
        <w:pStyle w:val="NoSpacing"/>
        <w:rPr>
          <w:rFonts w:ascii="Arial Black" w:hAnsi="Arial Black"/>
          <w:sz w:val="24"/>
          <w:szCs w:val="24"/>
        </w:rPr>
      </w:pPr>
      <w:r>
        <w:rPr>
          <w:rFonts w:ascii="Arial Black" w:hAnsi="Arial Black"/>
          <w:sz w:val="24"/>
          <w:szCs w:val="24"/>
        </w:rPr>
        <w:t>17-14</w:t>
      </w:r>
    </w:p>
    <w:p w14:paraId="497D7230" w14:textId="77777777" w:rsidR="007F5C26" w:rsidRPr="00BB59F3" w:rsidRDefault="007F5C26" w:rsidP="007F5C26">
      <w:pPr>
        <w:spacing w:before="100" w:beforeAutospacing="1" w:after="100" w:afterAutospacing="1" w:line="240" w:lineRule="auto"/>
        <w:rPr>
          <w:rFonts w:ascii="Arial Black" w:eastAsia="Times New Roman" w:hAnsi="Arial Black"/>
          <w:b/>
          <w:bCs/>
          <w:sz w:val="28"/>
          <w:szCs w:val="28"/>
        </w:rPr>
      </w:pPr>
      <w:bookmarkStart w:id="632" w:name="_Hlk99462812"/>
      <w:r w:rsidRPr="00BB59F3">
        <w:rPr>
          <w:rFonts w:ascii="Arial Black" w:eastAsia="Times New Roman" w:hAnsi="Arial Black"/>
          <w:b/>
          <w:bCs/>
          <w:sz w:val="28"/>
          <w:szCs w:val="28"/>
        </w:rPr>
        <w:t xml:space="preserve">IN: IAFF </w:t>
      </w:r>
      <w:r>
        <w:rPr>
          <w:rFonts w:ascii="Arial Black" w:eastAsia="Times New Roman" w:hAnsi="Arial Black"/>
          <w:b/>
          <w:bCs/>
          <w:sz w:val="28"/>
          <w:szCs w:val="28"/>
        </w:rPr>
        <w:t xml:space="preserve">LOCAL </w:t>
      </w:r>
      <w:r w:rsidRPr="00BB59F3">
        <w:rPr>
          <w:rFonts w:ascii="Arial Black" w:eastAsia="Times New Roman" w:hAnsi="Arial Black"/>
          <w:b/>
          <w:bCs/>
          <w:sz w:val="28"/>
          <w:szCs w:val="28"/>
        </w:rPr>
        <w:t>GETS INJUNCTION – SHIFTS</w:t>
      </w:r>
      <w:r>
        <w:rPr>
          <w:rFonts w:ascii="Arial Black" w:eastAsia="Times New Roman" w:hAnsi="Arial Black"/>
          <w:b/>
          <w:bCs/>
          <w:sz w:val="28"/>
          <w:szCs w:val="28"/>
        </w:rPr>
        <w:t xml:space="preserve"> CHANGED 8/24 - </w:t>
      </w:r>
      <w:r w:rsidRPr="00BB59F3">
        <w:rPr>
          <w:rFonts w:ascii="Arial Black" w:eastAsia="Times New Roman" w:hAnsi="Arial Black"/>
          <w:b/>
          <w:bCs/>
          <w:sz w:val="28"/>
          <w:szCs w:val="28"/>
        </w:rPr>
        <w:t xml:space="preserve">RETALIATION </w:t>
      </w:r>
      <w:r>
        <w:rPr>
          <w:rFonts w:ascii="Arial Black" w:eastAsia="Times New Roman" w:hAnsi="Arial Black"/>
          <w:b/>
          <w:bCs/>
          <w:sz w:val="28"/>
          <w:szCs w:val="28"/>
        </w:rPr>
        <w:t xml:space="preserve">BY </w:t>
      </w:r>
      <w:r w:rsidRPr="00BB59F3">
        <w:rPr>
          <w:rFonts w:ascii="Arial Black" w:eastAsia="Times New Roman" w:hAnsi="Arial Black"/>
          <w:b/>
          <w:bCs/>
          <w:sz w:val="28"/>
          <w:szCs w:val="28"/>
        </w:rPr>
        <w:t xml:space="preserve">MAYOR </w:t>
      </w:r>
      <w:r>
        <w:rPr>
          <w:rFonts w:ascii="Arial Black" w:eastAsia="Times New Roman" w:hAnsi="Arial Black"/>
          <w:b/>
          <w:bCs/>
          <w:sz w:val="28"/>
          <w:szCs w:val="28"/>
        </w:rPr>
        <w:t xml:space="preserve">– UNION </w:t>
      </w:r>
      <w:r w:rsidRPr="00BB59F3">
        <w:rPr>
          <w:rFonts w:ascii="Arial Black" w:eastAsia="Times New Roman" w:hAnsi="Arial Black"/>
          <w:b/>
          <w:bCs/>
          <w:sz w:val="28"/>
          <w:szCs w:val="28"/>
        </w:rPr>
        <w:t>SUPPORTED OPPONENT</w:t>
      </w:r>
    </w:p>
    <w:p w14:paraId="6C92871B" w14:textId="77777777" w:rsidR="007F5C26" w:rsidRPr="00D96F1A" w:rsidRDefault="007F5C26" w:rsidP="007F5C26">
      <w:p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 xml:space="preserve">On March 24, 2022, in </w:t>
      </w:r>
      <w:r w:rsidRPr="00527093">
        <w:rPr>
          <w:rFonts w:ascii="Times New Roman" w:hAnsi="Times New Roman"/>
          <w:sz w:val="24"/>
          <w:szCs w:val="24"/>
          <w:u w:val="single"/>
        </w:rPr>
        <w:t>IAFF Local 365, et al. v. City of East Chicago</w:t>
      </w:r>
      <w:r>
        <w:rPr>
          <w:rFonts w:ascii="Times New Roman" w:hAnsi="Times New Roman"/>
          <w:sz w:val="24"/>
          <w:szCs w:val="24"/>
        </w:rPr>
        <w:t xml:space="preserve">, U.S. District Court Judge Philip P. Simon, U.S. District Court for Northern District of Indiana (Hammond Division) issued a preliminary injunction against the City, finding the Mayor (a retired firefighter) changed the 24 / 48 shift in retaliation for the Local (which does not have a CBA) supporting an opponent in 2019.  The judge held a hearing in Oct. 2021, and held the city offered little financial proof the </w:t>
      </w:r>
      <w:proofErr w:type="gramStart"/>
      <w:r>
        <w:rPr>
          <w:rFonts w:ascii="Times New Roman" w:hAnsi="Times New Roman"/>
          <w:sz w:val="24"/>
          <w:szCs w:val="24"/>
        </w:rPr>
        <w:t>Mayor’s</w:t>
      </w:r>
      <w:proofErr w:type="gramEnd"/>
      <w:r>
        <w:rPr>
          <w:rFonts w:ascii="Times New Roman" w:hAnsi="Times New Roman"/>
          <w:sz w:val="24"/>
          <w:szCs w:val="24"/>
        </w:rPr>
        <w:t xml:space="preserve"> swing shift saves money. In his Preliminary Injunction, the judge ordered the </w:t>
      </w:r>
      <w:proofErr w:type="gramStart"/>
      <w:r>
        <w:rPr>
          <w:rFonts w:ascii="Times New Roman" w:hAnsi="Times New Roman"/>
          <w:sz w:val="24"/>
          <w:szCs w:val="24"/>
        </w:rPr>
        <w:t>City</w:t>
      </w:r>
      <w:proofErr w:type="gramEnd"/>
      <w:r>
        <w:rPr>
          <w:rFonts w:ascii="Times New Roman" w:hAnsi="Times New Roman"/>
          <w:sz w:val="24"/>
          <w:szCs w:val="24"/>
        </w:rPr>
        <w:t xml:space="preserve"> to “</w:t>
      </w:r>
      <w:r w:rsidRPr="00527093">
        <w:rPr>
          <w:rFonts w:ascii="Times New Roman" w:hAnsi="Times New Roman"/>
          <w:sz w:val="24"/>
          <w:szCs w:val="24"/>
        </w:rPr>
        <w:t>immediately begin the process of reinstating the 24/48 schedule for its firefighters. Because it may take a few weeks to fully implement the new schedule, East Chicago will have until April 18, 2022, to have the schedule in place.</w:t>
      </w:r>
      <w:r>
        <w:rPr>
          <w:rFonts w:ascii="Times New Roman" w:hAnsi="Times New Roman"/>
          <w:sz w:val="24"/>
          <w:szCs w:val="24"/>
        </w:rPr>
        <w:t xml:space="preserve">” </w:t>
      </w:r>
      <w:hyperlink r:id="rId2915" w:history="1">
        <w:r w:rsidRPr="00CA2C0A">
          <w:rPr>
            <w:rStyle w:val="Hyperlink"/>
            <w:rFonts w:ascii="Times New Roman" w:eastAsia="Times New Roman" w:hAnsi="Times New Roman"/>
            <w:sz w:val="24"/>
            <w:szCs w:val="24"/>
          </w:rPr>
          <w:t>https://law.justia.com/cases/federal/district-courts/indiana/inndce/2:2021cv00154/106960/76/</w:t>
        </w:r>
      </w:hyperlink>
      <w:r>
        <w:rPr>
          <w:rFonts w:ascii="Times New Roman" w:eastAsia="Times New Roman" w:hAnsi="Times New Roman"/>
          <w:sz w:val="24"/>
          <w:szCs w:val="24"/>
        </w:rPr>
        <w:t xml:space="preserve"> </w:t>
      </w:r>
    </w:p>
    <w:p w14:paraId="4C5617AF" w14:textId="77777777" w:rsidR="007F5C26" w:rsidRPr="00D96F1A" w:rsidRDefault="007F5C26" w:rsidP="007F5C26">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D96F1A">
        <w:rPr>
          <w:rFonts w:ascii="Times New Roman" w:eastAsia="Times New Roman" w:hAnsi="Times New Roman"/>
          <w:sz w:val="24"/>
          <w:szCs w:val="24"/>
        </w:rPr>
        <w:t xml:space="preserve">Firefighters across the nation generally work a 24/48-hour shift, that is, they are on duty for 24 hours and then off for 48 hours. Most fire departments in the country adhere to this schedule. The City of East Chicago does not. Instead, East Chicago requires its firefighters to work 8 hours on, then 24 hours off. This leads to a perpetually rotating schedule which can wreak havoc on the lives of firefighters. It </w:t>
      </w:r>
      <w:proofErr w:type="gramStart"/>
      <w:r w:rsidRPr="00D96F1A">
        <w:rPr>
          <w:rFonts w:ascii="Times New Roman" w:eastAsia="Times New Roman" w:hAnsi="Times New Roman"/>
          <w:sz w:val="24"/>
          <w:szCs w:val="24"/>
        </w:rPr>
        <w:t>effects</w:t>
      </w:r>
      <w:proofErr w:type="gramEnd"/>
      <w:r w:rsidRPr="00D96F1A">
        <w:rPr>
          <w:rFonts w:ascii="Times New Roman" w:eastAsia="Times New Roman" w:hAnsi="Times New Roman"/>
          <w:sz w:val="24"/>
          <w:szCs w:val="24"/>
        </w:rPr>
        <w:t xml:space="preserve"> their personal lives and health, prevents a consistent sleep schedule, and makes it difficult to obtain reliable childcare. No. other department in the country imposes this schedule. </w:t>
      </w:r>
    </w:p>
    <w:p w14:paraId="1DD77E9A" w14:textId="77777777" w:rsidR="007F5C26" w:rsidRPr="00D96F1A" w:rsidRDefault="007F5C26" w:rsidP="007F5C26">
      <w:pPr>
        <w:spacing w:before="100" w:beforeAutospacing="1" w:after="100" w:afterAutospacing="1" w:line="240" w:lineRule="auto"/>
        <w:ind w:left="720"/>
        <w:rPr>
          <w:rFonts w:ascii="Times New Roman" w:eastAsia="Times New Roman" w:hAnsi="Times New Roman"/>
          <w:sz w:val="24"/>
          <w:szCs w:val="24"/>
        </w:rPr>
      </w:pPr>
      <w:r w:rsidRPr="00D96F1A">
        <w:rPr>
          <w:rFonts w:ascii="Times New Roman" w:eastAsia="Times New Roman" w:hAnsi="Times New Roman"/>
          <w:sz w:val="24"/>
          <w:szCs w:val="24"/>
        </w:rPr>
        <w:t xml:space="preserve">Why is East Chicago an outlier? The firefighters say it is retaliation from Mayor Anthony Copeland because they exercised their First Amendment rights in their backing of a rival mayoral candidate and in their lobbying efforts with East Chicago's legislative body, the Common Council. The firefighters seek a preliminary injunction ordering the </w:t>
      </w:r>
      <w:proofErr w:type="gramStart"/>
      <w:r w:rsidRPr="00D96F1A">
        <w:rPr>
          <w:rFonts w:ascii="Times New Roman" w:eastAsia="Times New Roman" w:hAnsi="Times New Roman"/>
          <w:sz w:val="24"/>
          <w:szCs w:val="24"/>
        </w:rPr>
        <w:t>City</w:t>
      </w:r>
      <w:proofErr w:type="gramEnd"/>
      <w:r w:rsidRPr="00D96F1A">
        <w:rPr>
          <w:rFonts w:ascii="Times New Roman" w:eastAsia="Times New Roman" w:hAnsi="Times New Roman"/>
          <w:sz w:val="24"/>
          <w:szCs w:val="24"/>
        </w:rPr>
        <w:t xml:space="preserve"> to </w:t>
      </w:r>
      <w:proofErr w:type="gramStart"/>
      <w:r w:rsidRPr="00D96F1A">
        <w:rPr>
          <w:rFonts w:ascii="Times New Roman" w:eastAsia="Times New Roman" w:hAnsi="Times New Roman"/>
          <w:sz w:val="24"/>
          <w:szCs w:val="24"/>
        </w:rPr>
        <w:t>revert back</w:t>
      </w:r>
      <w:proofErr w:type="gramEnd"/>
      <w:r w:rsidRPr="00D96F1A">
        <w:rPr>
          <w:rFonts w:ascii="Times New Roman" w:eastAsia="Times New Roman" w:hAnsi="Times New Roman"/>
          <w:sz w:val="24"/>
          <w:szCs w:val="24"/>
        </w:rPr>
        <w:t xml:space="preserve"> to the 24/48 schedule. East Chicago says it is a cost saving measure. I held a two-day hearing to get to the bottom of the issue. Because the firefighters have established a likelihood of succeeding on their First Amendment political retaliation claim, and they will suffer irreparable harm if the schedule remains intact, a preliminary injunction will be issued.</w:t>
      </w:r>
      <w:r>
        <w:rPr>
          <w:rFonts w:ascii="Times New Roman" w:eastAsia="Times New Roman" w:hAnsi="Times New Roman"/>
          <w:sz w:val="24"/>
          <w:szCs w:val="24"/>
        </w:rPr>
        <w:t xml:space="preserve">” </w:t>
      </w:r>
      <w:hyperlink r:id="rId2916" w:history="1">
        <w:r w:rsidRPr="00CA2C0A">
          <w:rPr>
            <w:rStyle w:val="Hyperlink"/>
            <w:rFonts w:ascii="Times New Roman" w:eastAsia="Times New Roman" w:hAnsi="Times New Roman"/>
            <w:sz w:val="24"/>
            <w:szCs w:val="24"/>
          </w:rPr>
          <w:t>https://law.justia.com/cases/federal/district-courts/indiana/inndce/2:2021cv00154/106960/76/</w:t>
        </w:r>
      </w:hyperlink>
      <w:r>
        <w:rPr>
          <w:rFonts w:ascii="Times New Roman" w:eastAsia="Times New Roman" w:hAnsi="Times New Roman"/>
          <w:sz w:val="24"/>
          <w:szCs w:val="24"/>
        </w:rPr>
        <w:t xml:space="preserve"> </w:t>
      </w:r>
    </w:p>
    <w:bookmarkEnd w:id="632"/>
    <w:p w14:paraId="5871E0ED" w14:textId="77777777" w:rsidR="007F5C26" w:rsidRPr="005D7300" w:rsidRDefault="007F5C26" w:rsidP="007F5C26">
      <w:pPr>
        <w:pStyle w:val="NormalWeb"/>
        <w:rPr>
          <w:b/>
          <w:bCs/>
        </w:rPr>
      </w:pPr>
      <w:r w:rsidRPr="005D7300">
        <w:rPr>
          <w:b/>
          <w:bCs/>
        </w:rPr>
        <w:t xml:space="preserve">Legal Lesson Learned: </w:t>
      </w:r>
      <w:r>
        <w:rPr>
          <w:b/>
          <w:bCs/>
        </w:rPr>
        <w:t xml:space="preserve"> An IAFF Local’s support of a </w:t>
      </w:r>
      <w:proofErr w:type="gramStart"/>
      <w:r>
        <w:rPr>
          <w:b/>
          <w:bCs/>
        </w:rPr>
        <w:t>Mayor’s</w:t>
      </w:r>
      <w:proofErr w:type="gramEnd"/>
      <w:r>
        <w:rPr>
          <w:b/>
          <w:bCs/>
        </w:rPr>
        <w:t xml:space="preserve"> opponent in an election is protected under the First Amendment.  The city will likely appeal this Preliminary Injunction.</w:t>
      </w:r>
    </w:p>
    <w:p w14:paraId="6D2F452B" w14:textId="23CEBB17" w:rsidR="007F5C26" w:rsidRDefault="007F5C26" w:rsidP="007F5C26">
      <w:pPr>
        <w:pStyle w:val="NoSpacing"/>
        <w:rPr>
          <w:rFonts w:ascii="Arial Black" w:hAnsi="Arial Black"/>
          <w:sz w:val="24"/>
          <w:szCs w:val="24"/>
        </w:rPr>
      </w:pPr>
      <w:r w:rsidRPr="000C5C0C">
        <w:rPr>
          <w:sz w:val="24"/>
          <w:szCs w:val="24"/>
        </w:rPr>
        <w:t xml:space="preserve">Note: See March 29, </w:t>
      </w:r>
      <w:proofErr w:type="gramStart"/>
      <w:r w:rsidRPr="000C5C0C">
        <w:rPr>
          <w:sz w:val="24"/>
          <w:szCs w:val="24"/>
        </w:rPr>
        <w:t>2022</w:t>
      </w:r>
      <w:proofErr w:type="gramEnd"/>
      <w:r w:rsidRPr="000C5C0C">
        <w:rPr>
          <w:sz w:val="24"/>
          <w:szCs w:val="24"/>
        </w:rPr>
        <w:t xml:space="preserve"> article about the case: “Judge orders East Chicago to give firefighters back their old work shifts.” </w:t>
      </w:r>
      <w:hyperlink r:id="rId2917" w:history="1">
        <w:r w:rsidRPr="008956D3">
          <w:rPr>
            <w:rStyle w:val="Hyperlink"/>
            <w:rFonts w:eastAsiaTheme="majorEastAsia"/>
            <w:sz w:val="24"/>
            <w:szCs w:val="24"/>
          </w:rPr>
          <w:t>https://www.nwitimes.com/news/local/lake/east-chicago/judge-orders-east-chicago-to-give-firefighters-back-their-old-work-shifts/article_0a0ebd36-f823-513f-a2fc-d1d6d95613d7.html</w:t>
        </w:r>
      </w:hyperlink>
    </w:p>
    <w:p w14:paraId="4D817CF2" w14:textId="77777777" w:rsidR="007F5C26" w:rsidRDefault="007F5C26" w:rsidP="00F326E5">
      <w:pPr>
        <w:pStyle w:val="NoSpacing"/>
        <w:rPr>
          <w:rFonts w:ascii="Arial Black" w:hAnsi="Arial Black"/>
          <w:sz w:val="24"/>
          <w:szCs w:val="24"/>
        </w:rPr>
      </w:pPr>
    </w:p>
    <w:p w14:paraId="3CC22B94" w14:textId="77777777" w:rsidR="007F5C26" w:rsidRDefault="007F5C26" w:rsidP="00F326E5">
      <w:pPr>
        <w:pStyle w:val="NoSpacing"/>
        <w:rPr>
          <w:rFonts w:ascii="Arial Black" w:hAnsi="Arial Black"/>
          <w:sz w:val="24"/>
          <w:szCs w:val="24"/>
        </w:rPr>
      </w:pPr>
    </w:p>
    <w:p w14:paraId="7941ED4E" w14:textId="7BA324A8" w:rsidR="007F5C26" w:rsidRDefault="007F5C26" w:rsidP="00F326E5">
      <w:pPr>
        <w:pStyle w:val="NoSpacing"/>
        <w:rPr>
          <w:rFonts w:ascii="Arial Black" w:hAnsi="Arial Black"/>
          <w:sz w:val="24"/>
          <w:szCs w:val="24"/>
        </w:rPr>
      </w:pPr>
      <w:r>
        <w:rPr>
          <w:rFonts w:ascii="Arial Black" w:hAnsi="Arial Black"/>
          <w:sz w:val="24"/>
          <w:szCs w:val="24"/>
        </w:rPr>
        <w:t>17-13 [also filed, Chap. 16]</w:t>
      </w:r>
    </w:p>
    <w:p w14:paraId="25F468D7" w14:textId="2C66D6CD" w:rsidR="007F5C26" w:rsidRDefault="007F5C26" w:rsidP="00F326E5">
      <w:pPr>
        <w:pStyle w:val="NoSpacing"/>
        <w:rPr>
          <w:rFonts w:ascii="Arial Black" w:hAnsi="Arial Black"/>
          <w:sz w:val="24"/>
          <w:szCs w:val="24"/>
        </w:rPr>
      </w:pPr>
    </w:p>
    <w:p w14:paraId="12D95429" w14:textId="77777777" w:rsidR="007F5C26" w:rsidRDefault="007F5C26" w:rsidP="007F5C26">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OH: ARBITRATOR MAY REDUCE PENALTY – NEW SHIFT RELIEF - ASSISTANT CHIEF’S LOSS PAY OVERTURNED</w:t>
      </w:r>
    </w:p>
    <w:p w14:paraId="367E5F38" w14:textId="77777777" w:rsidR="007F5C26" w:rsidRPr="00AA2A35" w:rsidRDefault="007F5C26" w:rsidP="007F5C26">
      <w:pPr>
        <w:spacing w:before="100" w:beforeAutospacing="1" w:after="100" w:afterAutospacing="1" w:line="240" w:lineRule="auto"/>
        <w:rPr>
          <w:rFonts w:ascii="Times New Roman" w:eastAsia="Times New Roman" w:hAnsi="Times New Roman"/>
          <w:sz w:val="24"/>
          <w:szCs w:val="24"/>
        </w:rPr>
      </w:pPr>
      <w:r w:rsidRPr="00AA2A35">
        <w:rPr>
          <w:rFonts w:ascii="Times New Roman" w:hAnsi="Times New Roman"/>
          <w:sz w:val="24"/>
          <w:szCs w:val="24"/>
        </w:rPr>
        <w:t xml:space="preserve">On March 17, 2022, in </w:t>
      </w:r>
      <w:r w:rsidRPr="00AA2A35">
        <w:rPr>
          <w:rFonts w:ascii="Times New Roman" w:hAnsi="Times New Roman"/>
          <w:sz w:val="24"/>
          <w:szCs w:val="24"/>
          <w:u w:val="single"/>
        </w:rPr>
        <w:t>Association of Cleveland Fire Fighters, Local 93 v. City of Cleveland</w:t>
      </w:r>
      <w:r w:rsidRPr="00AA2A35">
        <w:rPr>
          <w:rFonts w:ascii="Times New Roman" w:hAnsi="Times New Roman"/>
          <w:sz w:val="24"/>
          <w:szCs w:val="24"/>
        </w:rPr>
        <w:t>, the Court of Appeals of Ohio, 8</w:t>
      </w:r>
      <w:r w:rsidRPr="00AA2A35">
        <w:rPr>
          <w:rFonts w:ascii="Times New Roman" w:hAnsi="Times New Roman"/>
          <w:sz w:val="24"/>
          <w:szCs w:val="24"/>
          <w:vertAlign w:val="superscript"/>
        </w:rPr>
        <w:t>th</w:t>
      </w:r>
      <w:r w:rsidRPr="00AA2A35">
        <w:rPr>
          <w:rFonts w:ascii="Times New Roman" w:hAnsi="Times New Roman"/>
          <w:sz w:val="24"/>
          <w:szCs w:val="24"/>
        </w:rPr>
        <w:t xml:space="preserve"> District (Cuyahoga County), held (3 to 0) that a Common Pleas judge improperly set aside the arbitrator’s award which found the charge of “gross insubordination” by Assistant Fire Chief was not proven, but the facts supported a “conduct unbecoming” charge. The Assistant Fire Chief was charged with 16 charges for trying to get the vacationing Fire Chief to overturn Acting Fire Chiefs order to follow the new shift relief procedure (to save overtime money, when the incoming Assistant Chief called off, he can only be replaced by on duty officer of lesser rank).  The arbitrator had authority to vacate the most serious charge of “gross insubordination” and the 24-hour suspension, and to direct the FD to change in his personnel file with an official reprimand for one of the lesser charges, “conduct unbecoming an employee in the public service,” with no loss of wages. </w:t>
      </w:r>
      <w:hyperlink r:id="rId2918" w:history="1">
        <w:r w:rsidRPr="00AA2A35">
          <w:rPr>
            <w:rStyle w:val="Hyperlink"/>
            <w:rFonts w:ascii="Times New Roman" w:eastAsia="Times New Roman" w:hAnsi="Times New Roman"/>
            <w:sz w:val="24"/>
            <w:szCs w:val="24"/>
          </w:rPr>
          <w:t>https://www.supremecourt.ohio.gov/rod/docs/pdf/8/2022/2022-Ohio-824.pdf</w:t>
        </w:r>
      </w:hyperlink>
      <w:r w:rsidRPr="00AA2A35">
        <w:rPr>
          <w:rFonts w:ascii="Times New Roman" w:eastAsia="Times New Roman" w:hAnsi="Times New Roman"/>
          <w:sz w:val="24"/>
          <w:szCs w:val="24"/>
        </w:rPr>
        <w:t xml:space="preserve"> </w:t>
      </w:r>
    </w:p>
    <w:p w14:paraId="2917B545" w14:textId="77777777" w:rsidR="007F5C26" w:rsidRPr="00892AD5" w:rsidRDefault="007F5C26" w:rsidP="007F5C26">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r w:rsidRPr="00892AD5">
        <w:rPr>
          <w:rFonts w:ascii="Times New Roman" w:eastAsia="Times New Roman" w:hAnsi="Times New Roman"/>
          <w:sz w:val="24"/>
          <w:szCs w:val="24"/>
        </w:rPr>
        <w:t xml:space="preserve">In focusing solely on the question of gross insubordination, the Union disregards the fact that the parties stipulated to </w:t>
      </w:r>
      <w:r w:rsidRPr="00892AD5">
        <w:rPr>
          <w:rFonts w:ascii="Times New Roman" w:eastAsia="Times New Roman" w:hAnsi="Times New Roman"/>
          <w:i/>
          <w:iCs/>
          <w:sz w:val="24"/>
          <w:szCs w:val="24"/>
        </w:rPr>
        <w:t>two</w:t>
      </w:r>
      <w:r w:rsidRPr="00892AD5">
        <w:rPr>
          <w:rFonts w:ascii="Times New Roman" w:eastAsia="Times New Roman" w:hAnsi="Times New Roman"/>
          <w:sz w:val="24"/>
          <w:szCs w:val="24"/>
        </w:rPr>
        <w:t xml:space="preserve"> questions before submitting the matter to arbitration. The first question was whether the city had just cause to suspend </w:t>
      </w:r>
      <w:proofErr w:type="spellStart"/>
      <w:r w:rsidRPr="00892AD5">
        <w:rPr>
          <w:rFonts w:ascii="Times New Roman" w:eastAsia="Times New Roman" w:hAnsi="Times New Roman"/>
          <w:sz w:val="24"/>
          <w:szCs w:val="24"/>
        </w:rPr>
        <w:t>Viancourt</w:t>
      </w:r>
      <w:proofErr w:type="spellEnd"/>
      <w:r w:rsidRPr="00892AD5">
        <w:rPr>
          <w:rFonts w:ascii="Times New Roman" w:eastAsia="Times New Roman" w:hAnsi="Times New Roman"/>
          <w:sz w:val="24"/>
          <w:szCs w:val="24"/>
        </w:rPr>
        <w:t xml:space="preserve"> for a day and issue him an official reprimand. The question of just cause was not confined to "gross insubordination." Rather, the question concerned whether the city had just </w:t>
      </w:r>
      <w:proofErr w:type="gramStart"/>
      <w:r w:rsidRPr="00892AD5">
        <w:rPr>
          <w:rFonts w:ascii="Times New Roman" w:eastAsia="Times New Roman" w:hAnsi="Times New Roman"/>
          <w:sz w:val="24"/>
          <w:szCs w:val="24"/>
        </w:rPr>
        <w:t>cause</w:t>
      </w:r>
      <w:proofErr w:type="gramEnd"/>
      <w:r w:rsidRPr="00892AD5">
        <w:rPr>
          <w:rFonts w:ascii="Times New Roman" w:eastAsia="Times New Roman" w:hAnsi="Times New Roman"/>
          <w:sz w:val="24"/>
          <w:szCs w:val="24"/>
        </w:rPr>
        <w:t xml:space="preserve"> discipline </w:t>
      </w:r>
      <w:proofErr w:type="spellStart"/>
      <w:r w:rsidRPr="00892AD5">
        <w:rPr>
          <w:rFonts w:ascii="Times New Roman" w:eastAsia="Times New Roman" w:hAnsi="Times New Roman"/>
          <w:sz w:val="24"/>
          <w:szCs w:val="24"/>
        </w:rPr>
        <w:t>Viancourt</w:t>
      </w:r>
      <w:proofErr w:type="spellEnd"/>
      <w:r w:rsidRPr="00892AD5">
        <w:rPr>
          <w:rFonts w:ascii="Times New Roman" w:eastAsia="Times New Roman" w:hAnsi="Times New Roman"/>
          <w:sz w:val="24"/>
          <w:szCs w:val="24"/>
        </w:rPr>
        <w:t xml:space="preserve"> for his conduct. </w:t>
      </w:r>
    </w:p>
    <w:p w14:paraId="0D91EE50" w14:textId="77777777" w:rsidR="007F5C26" w:rsidRDefault="007F5C26" w:rsidP="007F5C26">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 ***</w:t>
      </w:r>
    </w:p>
    <w:p w14:paraId="32702929" w14:textId="77777777" w:rsidR="007F5C26" w:rsidRDefault="007F5C26" w:rsidP="007F5C26">
      <w:pPr>
        <w:pStyle w:val="NoSpacing"/>
        <w:rPr>
          <w:rFonts w:ascii="Arial Black" w:hAnsi="Arial Black"/>
          <w:sz w:val="24"/>
          <w:szCs w:val="24"/>
        </w:rPr>
      </w:pPr>
      <w:r w:rsidRPr="0091695D">
        <w:rPr>
          <w:rFonts w:ascii="Times New Roman" w:hAnsi="Times New Roman"/>
          <w:sz w:val="24"/>
          <w:szCs w:val="24"/>
        </w:rPr>
        <w:t xml:space="preserve">The Union nevertheless maintains that the arbitrator exceeded his powers by creating a new charge not submitted to arbitration and issuing a penalty based on that charge. The charge of conduct unbecoming was not expressly submitted to arbitration in the parties' stipulated questions, but neither were the charges of gross insubordination or insubordination expressly submitted to arbitration. The questions to which the parties stipulated focused on remedies: the penalties </w:t>
      </w:r>
      <w:proofErr w:type="spellStart"/>
      <w:r w:rsidRPr="0091695D">
        <w:rPr>
          <w:rFonts w:ascii="Times New Roman" w:hAnsi="Times New Roman"/>
          <w:sz w:val="24"/>
          <w:szCs w:val="24"/>
        </w:rPr>
        <w:t>Viancourt</w:t>
      </w:r>
      <w:proofErr w:type="spellEnd"/>
      <w:r w:rsidRPr="0091695D">
        <w:rPr>
          <w:rFonts w:ascii="Times New Roman" w:hAnsi="Times New Roman"/>
          <w:sz w:val="24"/>
          <w:szCs w:val="24"/>
        </w:rPr>
        <w:t xml:space="preserve"> had received for his conduct and, if these penalties were unjustified, the penalty the arbitrator determined that </w:t>
      </w:r>
      <w:proofErr w:type="spellStart"/>
      <w:r w:rsidRPr="0091695D">
        <w:rPr>
          <w:rFonts w:ascii="Times New Roman" w:hAnsi="Times New Roman"/>
          <w:sz w:val="24"/>
          <w:szCs w:val="24"/>
        </w:rPr>
        <w:t>Viancourt</w:t>
      </w:r>
      <w:proofErr w:type="spellEnd"/>
      <w:r w:rsidRPr="0091695D">
        <w:rPr>
          <w:rFonts w:ascii="Times New Roman" w:hAnsi="Times New Roman"/>
          <w:sz w:val="24"/>
          <w:szCs w:val="24"/>
        </w:rPr>
        <w:t xml:space="preserve"> should receive for his conduct. The Union's claim that the arbitrator created a new charge by finding that </w:t>
      </w:r>
      <w:proofErr w:type="spellStart"/>
      <w:r w:rsidRPr="0091695D">
        <w:rPr>
          <w:rFonts w:ascii="Times New Roman" w:hAnsi="Times New Roman"/>
          <w:sz w:val="24"/>
          <w:szCs w:val="24"/>
        </w:rPr>
        <w:t>Viancourt</w:t>
      </w:r>
      <w:proofErr w:type="spellEnd"/>
      <w:r w:rsidRPr="0091695D">
        <w:rPr>
          <w:rFonts w:ascii="Times New Roman" w:hAnsi="Times New Roman"/>
          <w:sz w:val="24"/>
          <w:szCs w:val="24"/>
        </w:rPr>
        <w:t xml:space="preserve"> engaged in conduct unbecoming is not supported by the record. </w:t>
      </w:r>
      <w:proofErr w:type="spellStart"/>
      <w:r w:rsidRPr="0091695D">
        <w:rPr>
          <w:rFonts w:ascii="Times New Roman" w:hAnsi="Times New Roman"/>
          <w:sz w:val="24"/>
          <w:szCs w:val="24"/>
        </w:rPr>
        <w:t>Viancourt</w:t>
      </w:r>
      <w:proofErr w:type="spellEnd"/>
      <w:r w:rsidRPr="0091695D">
        <w:rPr>
          <w:rFonts w:ascii="Times New Roman" w:hAnsi="Times New Roman"/>
          <w:sz w:val="24"/>
          <w:szCs w:val="24"/>
        </w:rPr>
        <w:t xml:space="preserve"> was charged with 16 violations, which included the charge of conduct unbecoming. The Union's claim that any penalty based on that charge was improper is also not supported by the record because conduct unbecoming is punishable by official reprimand. The arbitrator's leaving this penalty intact is consistent with the discipline </w:t>
      </w:r>
      <w:proofErr w:type="gramStart"/>
      <w:r w:rsidRPr="0091695D">
        <w:rPr>
          <w:rFonts w:ascii="Times New Roman" w:hAnsi="Times New Roman"/>
          <w:sz w:val="24"/>
          <w:szCs w:val="24"/>
        </w:rPr>
        <w:t>guide.</w:t>
      </w:r>
      <w:r>
        <w:rPr>
          <w:rFonts w:ascii="Times New Roman" w:hAnsi="Times New Roman"/>
          <w:sz w:val="24"/>
          <w:szCs w:val="24"/>
        </w:rPr>
        <w:t>”</w:t>
      </w:r>
      <w:proofErr w:type="gramEnd"/>
      <w:r>
        <w:rPr>
          <w:rFonts w:ascii="Times New Roman" w:hAnsi="Times New Roman"/>
          <w:sz w:val="24"/>
          <w:szCs w:val="24"/>
        </w:rPr>
        <w:t xml:space="preserve"> </w:t>
      </w:r>
      <w:hyperlink r:id="rId2919" w:history="1">
        <w:r w:rsidRPr="0083693C">
          <w:rPr>
            <w:rStyle w:val="Hyperlink"/>
            <w:rFonts w:ascii="Times New Roman" w:eastAsia="Times New Roman" w:hAnsi="Times New Roman"/>
            <w:sz w:val="24"/>
            <w:szCs w:val="24"/>
          </w:rPr>
          <w:t>https://www.supremecourt.ohio.gov/rod/docs/pdf/8/2022/2022-Ohio-824.pdf</w:t>
        </w:r>
      </w:hyperlink>
    </w:p>
    <w:p w14:paraId="13E7E948" w14:textId="77777777" w:rsidR="007F5C26" w:rsidRDefault="007F5C26" w:rsidP="007F5C26">
      <w:pPr>
        <w:pStyle w:val="NoSpacing"/>
        <w:rPr>
          <w:rFonts w:ascii="Arial Black" w:hAnsi="Arial Black"/>
          <w:sz w:val="24"/>
          <w:szCs w:val="24"/>
        </w:rPr>
      </w:pPr>
    </w:p>
    <w:p w14:paraId="42ED2B66" w14:textId="77777777" w:rsidR="007F5C26" w:rsidRPr="00FE655C" w:rsidRDefault="007F5C26" w:rsidP="007F5C26">
      <w:pPr>
        <w:spacing w:before="100" w:beforeAutospacing="1" w:after="100" w:afterAutospacing="1" w:line="240" w:lineRule="auto"/>
        <w:rPr>
          <w:rFonts w:ascii="Times New Roman" w:eastAsia="Times New Roman" w:hAnsi="Times New Roman"/>
          <w:b/>
          <w:bCs/>
          <w:sz w:val="24"/>
          <w:szCs w:val="24"/>
        </w:rPr>
      </w:pPr>
      <w:r w:rsidRPr="00FE655C">
        <w:rPr>
          <w:rFonts w:ascii="Times New Roman" w:eastAsia="Times New Roman" w:hAnsi="Times New Roman"/>
          <w:b/>
          <w:bCs/>
          <w:sz w:val="24"/>
          <w:szCs w:val="24"/>
        </w:rPr>
        <w:t xml:space="preserve">Legal Lesson Learned: </w:t>
      </w:r>
      <w:r>
        <w:rPr>
          <w:rFonts w:ascii="Times New Roman" w:eastAsia="Times New Roman" w:hAnsi="Times New Roman"/>
          <w:b/>
          <w:bCs/>
          <w:sz w:val="24"/>
          <w:szCs w:val="24"/>
        </w:rPr>
        <w:t xml:space="preserve">When submitting a disciplinary matter to arbitration, be very careful in the questions being submitted to the arbitrator. </w:t>
      </w:r>
    </w:p>
    <w:p w14:paraId="004B3006" w14:textId="77777777" w:rsidR="007F5C26" w:rsidRDefault="007F5C26" w:rsidP="00F326E5">
      <w:pPr>
        <w:pStyle w:val="NoSpacing"/>
        <w:rPr>
          <w:rFonts w:ascii="Arial Black" w:hAnsi="Arial Black"/>
          <w:sz w:val="24"/>
          <w:szCs w:val="24"/>
        </w:rPr>
      </w:pPr>
    </w:p>
    <w:p w14:paraId="51F27980" w14:textId="77777777" w:rsidR="007F5C26" w:rsidRDefault="007F5C26" w:rsidP="00F326E5">
      <w:pPr>
        <w:pStyle w:val="NoSpacing"/>
        <w:rPr>
          <w:rFonts w:ascii="Arial Black" w:hAnsi="Arial Black"/>
          <w:sz w:val="24"/>
          <w:szCs w:val="24"/>
        </w:rPr>
      </w:pPr>
    </w:p>
    <w:p w14:paraId="5704D6E6" w14:textId="77777777" w:rsidR="007F5C26" w:rsidRDefault="007F5C26" w:rsidP="00F326E5">
      <w:pPr>
        <w:pStyle w:val="NoSpacing"/>
        <w:rPr>
          <w:rFonts w:ascii="Arial Black" w:hAnsi="Arial Black"/>
          <w:sz w:val="24"/>
          <w:szCs w:val="24"/>
        </w:rPr>
      </w:pPr>
    </w:p>
    <w:p w14:paraId="0C49F57D" w14:textId="5E2BF28C" w:rsidR="00680939" w:rsidRDefault="00680939" w:rsidP="00F326E5">
      <w:pPr>
        <w:pStyle w:val="NoSpacing"/>
        <w:rPr>
          <w:rFonts w:ascii="Arial Black" w:hAnsi="Arial Black"/>
          <w:sz w:val="24"/>
          <w:szCs w:val="24"/>
        </w:rPr>
      </w:pPr>
      <w:r>
        <w:rPr>
          <w:rFonts w:ascii="Arial Black" w:hAnsi="Arial Black"/>
          <w:sz w:val="24"/>
          <w:szCs w:val="24"/>
        </w:rPr>
        <w:t>17-12 [also filed, Chap. 2]</w:t>
      </w:r>
    </w:p>
    <w:p w14:paraId="6E775F67" w14:textId="77777777" w:rsidR="00680939" w:rsidRPr="000007E3" w:rsidRDefault="00680939" w:rsidP="00680939">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lastRenderedPageBreak/>
        <w:t>NY: CBA – 5 FF MINIMUM MANNING – CHIEF CANNOT UNILATERALLY CHANGE – ARBITRATION TO PROCEED</w:t>
      </w:r>
    </w:p>
    <w:p w14:paraId="7493E907" w14:textId="77777777" w:rsidR="00680939" w:rsidRDefault="00680939" w:rsidP="00680939">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t xml:space="preserve">On Jan. 13, 2022, </w:t>
      </w:r>
      <w:r w:rsidRPr="00DA4E6C">
        <w:rPr>
          <w:rFonts w:ascii="Times New Roman" w:eastAsia="Times New Roman" w:hAnsi="Times New Roman"/>
          <w:sz w:val="24"/>
          <w:szCs w:val="24"/>
          <w:u w:val="single"/>
        </w:rPr>
        <w:t xml:space="preserve">In the Matter of the Arbitration Between </w:t>
      </w:r>
      <w:proofErr w:type="gramStart"/>
      <w:r w:rsidRPr="00DA4E6C">
        <w:rPr>
          <w:rFonts w:ascii="Times New Roman" w:eastAsia="Times New Roman" w:hAnsi="Times New Roman"/>
          <w:sz w:val="24"/>
          <w:szCs w:val="24"/>
          <w:u w:val="single"/>
        </w:rPr>
        <w:t>The</w:t>
      </w:r>
      <w:proofErr w:type="gramEnd"/>
      <w:r w:rsidRPr="00DA4E6C">
        <w:rPr>
          <w:rFonts w:ascii="Times New Roman" w:eastAsia="Times New Roman" w:hAnsi="Times New Roman"/>
          <w:sz w:val="24"/>
          <w:szCs w:val="24"/>
          <w:u w:val="single"/>
        </w:rPr>
        <w:t xml:space="preserve"> City of Ogdensburg and IAFF Local 1792</w:t>
      </w:r>
      <w:r>
        <w:rPr>
          <w:rFonts w:ascii="Times New Roman" w:eastAsia="Times New Roman" w:hAnsi="Times New Roman"/>
          <w:sz w:val="24"/>
          <w:szCs w:val="24"/>
        </w:rPr>
        <w:t xml:space="preserve">, the Superior Court of New York (Third Department), held (5 to 0) that the trial court improperly granted the City’s </w:t>
      </w:r>
      <w:proofErr w:type="gramStart"/>
      <w:r>
        <w:rPr>
          <w:rFonts w:ascii="Times New Roman" w:eastAsia="Times New Roman" w:hAnsi="Times New Roman"/>
          <w:sz w:val="24"/>
          <w:szCs w:val="24"/>
        </w:rPr>
        <w:t>motion to</w:t>
      </w:r>
      <w:proofErr w:type="gramEnd"/>
      <w:r>
        <w:rPr>
          <w:rFonts w:ascii="Times New Roman" w:eastAsia="Times New Roman" w:hAnsi="Times New Roman"/>
          <w:sz w:val="24"/>
          <w:szCs w:val="24"/>
        </w:rPr>
        <w:t xml:space="preserve"> </w:t>
      </w:r>
      <w:r w:rsidRPr="00DA4E6C">
        <w:rPr>
          <w:rFonts w:ascii="Times New Roman" w:hAnsi="Times New Roman"/>
          <w:sz w:val="24"/>
          <w:szCs w:val="24"/>
        </w:rPr>
        <w:t>permanently stay arbitration between the parties.</w:t>
      </w:r>
      <w:r>
        <w:rPr>
          <w:rFonts w:ascii="Times New Roman" w:hAnsi="Times New Roman"/>
          <w:sz w:val="24"/>
          <w:szCs w:val="24"/>
        </w:rPr>
        <w:t xml:space="preserve">  The CBA provides for arbitration, and “</w:t>
      </w:r>
      <w:r w:rsidRPr="00BA6C00">
        <w:rPr>
          <w:rFonts w:ascii="Times New Roman" w:hAnsi="Times New Roman"/>
          <w:sz w:val="24"/>
          <w:szCs w:val="24"/>
        </w:rPr>
        <w:t>having adequate personnel on hand would be essential to ensure firefighter safety as well as success in fighting the fires.</w:t>
      </w:r>
      <w:r>
        <w:rPr>
          <w:rFonts w:ascii="Times New Roman" w:hAnsi="Times New Roman"/>
          <w:sz w:val="24"/>
          <w:szCs w:val="24"/>
        </w:rPr>
        <w:t xml:space="preserve">” </w:t>
      </w:r>
      <w:hyperlink r:id="rId2920" w:history="1">
        <w:r w:rsidRPr="00A83547">
          <w:rPr>
            <w:rStyle w:val="Hyperlink"/>
            <w:rFonts w:ascii="Times New Roman" w:hAnsi="Times New Roman"/>
            <w:sz w:val="24"/>
            <w:szCs w:val="24"/>
          </w:rPr>
          <w:t>https://casetext.com/case/in-re-arbitration-between-city-of-ogdensburg</w:t>
        </w:r>
      </w:hyperlink>
      <w:r>
        <w:rPr>
          <w:rFonts w:ascii="Times New Roman" w:hAnsi="Times New Roman"/>
          <w:sz w:val="24"/>
          <w:szCs w:val="24"/>
        </w:rPr>
        <w:t xml:space="preserve"> </w:t>
      </w:r>
    </w:p>
    <w:p w14:paraId="0042665F" w14:textId="77777777" w:rsidR="00680939" w:rsidRDefault="00680939" w:rsidP="00680939">
      <w:pPr>
        <w:spacing w:before="100" w:beforeAutospacing="1" w:after="100" w:afterAutospacing="1" w:line="240" w:lineRule="auto"/>
      </w:pPr>
      <w:r>
        <w:rPr>
          <w:rFonts w:ascii="Times New Roman" w:eastAsia="Times New Roman" w:hAnsi="Times New Roman"/>
          <w:b/>
          <w:bCs/>
          <w:sz w:val="24"/>
          <w:szCs w:val="24"/>
        </w:rPr>
        <w:t xml:space="preserve">Legal Lesson Learned:  If CBA includes provision on minimum manning per shift, it cannot be unilaterally changed. </w:t>
      </w:r>
    </w:p>
    <w:p w14:paraId="726A2E19" w14:textId="77777777" w:rsidR="00680939" w:rsidRDefault="00680939" w:rsidP="00F326E5">
      <w:pPr>
        <w:pStyle w:val="NoSpacing"/>
        <w:rPr>
          <w:rFonts w:ascii="Arial Black" w:hAnsi="Arial Black"/>
          <w:sz w:val="24"/>
          <w:szCs w:val="24"/>
        </w:rPr>
      </w:pPr>
    </w:p>
    <w:p w14:paraId="28C3C174" w14:textId="77777777" w:rsidR="00680939" w:rsidRDefault="00680939" w:rsidP="00F326E5">
      <w:pPr>
        <w:pStyle w:val="NoSpacing"/>
        <w:rPr>
          <w:rFonts w:ascii="Arial Black" w:hAnsi="Arial Black"/>
          <w:sz w:val="24"/>
          <w:szCs w:val="24"/>
        </w:rPr>
      </w:pPr>
    </w:p>
    <w:p w14:paraId="115DD7F8" w14:textId="0C5B61CE" w:rsidR="00644810" w:rsidRDefault="00644810" w:rsidP="00F326E5">
      <w:pPr>
        <w:pStyle w:val="NoSpacing"/>
        <w:rPr>
          <w:rFonts w:ascii="Arial Black" w:hAnsi="Arial Black"/>
          <w:sz w:val="24"/>
          <w:szCs w:val="24"/>
        </w:rPr>
      </w:pPr>
      <w:r>
        <w:rPr>
          <w:rFonts w:ascii="Arial Black" w:hAnsi="Arial Black"/>
          <w:sz w:val="24"/>
          <w:szCs w:val="24"/>
        </w:rPr>
        <w:t>17-11</w:t>
      </w:r>
    </w:p>
    <w:p w14:paraId="33389946" w14:textId="77777777" w:rsidR="00644810" w:rsidRDefault="00644810" w:rsidP="00644810">
      <w:pPr>
        <w:spacing w:before="100" w:beforeAutospacing="1" w:after="100" w:afterAutospacing="1" w:line="240" w:lineRule="auto"/>
        <w:rPr>
          <w:rFonts w:ascii="Arial Black" w:eastAsia="Times New Roman" w:hAnsi="Arial Black"/>
          <w:b/>
          <w:bCs/>
          <w:sz w:val="28"/>
          <w:szCs w:val="28"/>
        </w:rPr>
      </w:pPr>
      <w:r>
        <w:rPr>
          <w:rFonts w:ascii="Arial Black" w:eastAsia="Times New Roman" w:hAnsi="Arial Black"/>
          <w:b/>
          <w:bCs/>
          <w:sz w:val="28"/>
          <w:szCs w:val="28"/>
        </w:rPr>
        <w:t>OH: UNFAIR LABOR PRACTICE – UNION’S GRIEVANCE FIX RADIOS – RETALIATION – CITY ORDINANCE BCs 6 TO 3</w:t>
      </w:r>
    </w:p>
    <w:p w14:paraId="1D5CE514" w14:textId="77777777" w:rsidR="00644810" w:rsidRPr="00C95A92" w:rsidRDefault="00644810" w:rsidP="00644810">
      <w:pPr>
        <w:spacing w:before="100" w:beforeAutospacing="1" w:after="100" w:afterAutospacing="1" w:line="240" w:lineRule="auto"/>
        <w:rPr>
          <w:rFonts w:ascii="Times New Roman" w:eastAsia="Times New Roman" w:hAnsi="Times New Roman"/>
          <w:sz w:val="24"/>
          <w:szCs w:val="24"/>
        </w:rPr>
      </w:pPr>
      <w:r w:rsidRPr="0004196A">
        <w:rPr>
          <w:rFonts w:ascii="Times New Roman" w:eastAsia="Times New Roman" w:hAnsi="Times New Roman"/>
          <w:sz w:val="24"/>
          <w:szCs w:val="24"/>
        </w:rPr>
        <w:t xml:space="preserve">On </w:t>
      </w:r>
      <w:r>
        <w:rPr>
          <w:rFonts w:ascii="Times New Roman" w:eastAsia="Times New Roman" w:hAnsi="Times New Roman"/>
          <w:sz w:val="24"/>
          <w:szCs w:val="24"/>
        </w:rPr>
        <w:t xml:space="preserve">Dec. 13, 2021, in </w:t>
      </w:r>
      <w:r w:rsidRPr="0004196A">
        <w:rPr>
          <w:rFonts w:ascii="Times New Roman" w:eastAsia="Times New Roman" w:hAnsi="Times New Roman"/>
          <w:sz w:val="24"/>
          <w:szCs w:val="24"/>
          <w:u w:val="single"/>
        </w:rPr>
        <w:t>State of Ohio, City of Youngstown v. State Employment Relations Board</w:t>
      </w:r>
      <w:r>
        <w:rPr>
          <w:rFonts w:ascii="Times New Roman" w:eastAsia="Times New Roman" w:hAnsi="Times New Roman"/>
          <w:sz w:val="24"/>
          <w:szCs w:val="24"/>
        </w:rPr>
        <w:t xml:space="preserve">, the Ohio Court of Appeals, Seventh District (Mahoning County) held (3 to 0) that trial court, and SERB properly found that the City’s ordinance </w:t>
      </w:r>
      <w:r w:rsidRPr="00975F2E">
        <w:rPr>
          <w:rFonts w:ascii="Times New Roman" w:eastAsia="Times New Roman" w:hAnsi="Times New Roman"/>
          <w:sz w:val="24"/>
          <w:szCs w:val="24"/>
        </w:rPr>
        <w:t>eliminati</w:t>
      </w:r>
      <w:r>
        <w:rPr>
          <w:rFonts w:ascii="Times New Roman" w:eastAsia="Times New Roman" w:hAnsi="Times New Roman"/>
          <w:sz w:val="24"/>
          <w:szCs w:val="24"/>
        </w:rPr>
        <w:t xml:space="preserve">ng three </w:t>
      </w:r>
      <w:r w:rsidRPr="00975F2E">
        <w:rPr>
          <w:rFonts w:ascii="Times New Roman" w:eastAsia="Times New Roman" w:hAnsi="Times New Roman"/>
          <w:sz w:val="24"/>
          <w:szCs w:val="24"/>
        </w:rPr>
        <w:t>Battalion Chief positions was in retaliation for [Union's] pursuing the radio equipment grievance</w:t>
      </w:r>
      <w:r>
        <w:rPr>
          <w:rFonts w:ascii="Times New Roman" w:eastAsia="Times New Roman" w:hAnsi="Times New Roman"/>
          <w:sz w:val="24"/>
          <w:szCs w:val="24"/>
        </w:rPr>
        <w:t xml:space="preserve"> (2017 new portage radio system; needed fixes at cost of about </w:t>
      </w:r>
      <w:r w:rsidRPr="00347FD8">
        <w:rPr>
          <w:rFonts w:ascii="Times New Roman" w:eastAsia="Times New Roman" w:hAnsi="Times New Roman"/>
          <w:sz w:val="24"/>
          <w:szCs w:val="24"/>
        </w:rPr>
        <w:t>$285,000</w:t>
      </w:r>
      <w:r>
        <w:rPr>
          <w:rFonts w:ascii="Times New Roman" w:eastAsia="Times New Roman" w:hAnsi="Times New Roman"/>
          <w:sz w:val="24"/>
          <w:szCs w:val="24"/>
        </w:rPr>
        <w:t xml:space="preserve">). </w:t>
      </w:r>
      <w:r w:rsidRPr="00347FD8">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C95A92">
        <w:rPr>
          <w:rFonts w:ascii="Times New Roman" w:hAnsi="Times New Roman"/>
          <w:sz w:val="24"/>
          <w:szCs w:val="24"/>
        </w:rPr>
        <w:t>Each battalion chief reduction saves about $130,000 annually.</w:t>
      </w:r>
    </w:p>
    <w:p w14:paraId="0FCCF128" w14:textId="77777777" w:rsidR="00644810" w:rsidRPr="00614F11" w:rsidRDefault="00644810" w:rsidP="00644810">
      <w:pPr>
        <w:spacing w:after="100" w:line="240" w:lineRule="auto"/>
        <w:ind w:left="720"/>
        <w:rPr>
          <w:rFonts w:ascii="Times New Roman" w:eastAsia="Times New Roman" w:hAnsi="Times New Roman"/>
          <w:sz w:val="24"/>
          <w:szCs w:val="24"/>
        </w:rPr>
      </w:pPr>
      <w:r>
        <w:rPr>
          <w:rFonts w:ascii="Times New Roman" w:hAnsi="Times New Roman"/>
          <w:sz w:val="24"/>
          <w:szCs w:val="24"/>
        </w:rPr>
        <w:t>“</w:t>
      </w:r>
      <w:r w:rsidRPr="00975F2E">
        <w:rPr>
          <w:rFonts w:ascii="Times New Roman" w:hAnsi="Times New Roman"/>
          <w:sz w:val="24"/>
          <w:szCs w:val="24"/>
        </w:rPr>
        <w:t xml:space="preserve">City's alleged inability to pay </w:t>
      </w:r>
      <w:r>
        <w:rPr>
          <w:rFonts w:ascii="Times New Roman" w:hAnsi="Times New Roman"/>
          <w:sz w:val="24"/>
          <w:szCs w:val="24"/>
        </w:rPr>
        <w:t>[</w:t>
      </w:r>
      <w:r w:rsidRPr="00347FD8">
        <w:rPr>
          <w:rFonts w:ascii="Times New Roman" w:eastAsia="Times New Roman" w:hAnsi="Times New Roman"/>
          <w:sz w:val="24"/>
          <w:szCs w:val="24"/>
        </w:rPr>
        <w:t xml:space="preserve">$285, 000 </w:t>
      </w:r>
      <w:r>
        <w:rPr>
          <w:rFonts w:ascii="Times New Roman" w:eastAsia="Times New Roman" w:hAnsi="Times New Roman"/>
          <w:sz w:val="24"/>
          <w:szCs w:val="24"/>
        </w:rPr>
        <w:t xml:space="preserve">to fix the radio problem] </w:t>
      </w:r>
      <w:r w:rsidRPr="00975F2E">
        <w:rPr>
          <w:rFonts w:ascii="Times New Roman" w:hAnsi="Times New Roman"/>
          <w:sz w:val="24"/>
          <w:szCs w:val="24"/>
        </w:rPr>
        <w:t xml:space="preserve">did not constitute a managerial business reason for eliminating the positions. The record supports SERB's determination that City's claim that its elimination of bargaining unit positions was a part of City's restructuring or reorganizing plan for the Fire Department was baseless and not a legitimate reason to eliminate the three positions. In fact, City failed to provide details or supporting information for its </w:t>
      </w:r>
      <w:r>
        <w:rPr>
          <w:rFonts w:ascii="Times New Roman" w:hAnsi="Times New Roman"/>
          <w:sz w:val="24"/>
          <w:szCs w:val="24"/>
        </w:rPr>
        <w:t>‘</w:t>
      </w:r>
      <w:r w:rsidRPr="00975F2E">
        <w:rPr>
          <w:rFonts w:ascii="Times New Roman" w:hAnsi="Times New Roman"/>
          <w:sz w:val="24"/>
          <w:szCs w:val="24"/>
        </w:rPr>
        <w:t>restructuring</w:t>
      </w:r>
      <w:r>
        <w:rPr>
          <w:rFonts w:ascii="Times New Roman" w:hAnsi="Times New Roman"/>
          <w:sz w:val="24"/>
          <w:szCs w:val="24"/>
        </w:rPr>
        <w:t>’</w:t>
      </w:r>
      <w:r w:rsidRPr="00975F2E">
        <w:rPr>
          <w:rFonts w:ascii="Times New Roman" w:hAnsi="Times New Roman"/>
          <w:sz w:val="24"/>
          <w:szCs w:val="24"/>
        </w:rPr>
        <w:t xml:space="preserve"> plan. Also, the total 2019 call data </w:t>
      </w:r>
      <w:proofErr w:type="gramStart"/>
      <w:r w:rsidRPr="00975F2E">
        <w:rPr>
          <w:rFonts w:ascii="Times New Roman" w:hAnsi="Times New Roman"/>
          <w:sz w:val="24"/>
          <w:szCs w:val="24"/>
        </w:rPr>
        <w:t>illustrates</w:t>
      </w:r>
      <w:proofErr w:type="gramEnd"/>
      <w:r w:rsidRPr="00975F2E">
        <w:rPr>
          <w:rFonts w:ascii="Times New Roman" w:hAnsi="Times New Roman"/>
          <w:sz w:val="24"/>
          <w:szCs w:val="24"/>
        </w:rPr>
        <w:t xml:space="preserve"> that fire calls </w:t>
      </w:r>
      <w:proofErr w:type="gramStart"/>
      <w:r w:rsidRPr="00975F2E">
        <w:rPr>
          <w:rFonts w:ascii="Times New Roman" w:hAnsi="Times New Roman"/>
          <w:sz w:val="24"/>
          <w:szCs w:val="24"/>
        </w:rPr>
        <w:t>were not decreasing</w:t>
      </w:r>
      <w:proofErr w:type="gramEnd"/>
      <w:r w:rsidRPr="00975F2E">
        <w:rPr>
          <w:rFonts w:ascii="Times New Roman" w:hAnsi="Times New Roman"/>
          <w:sz w:val="24"/>
          <w:szCs w:val="24"/>
        </w:rPr>
        <w:t xml:space="preserve"> over the past six years. SERB clearly determined City's proffered reasons for eliminating the positions were pretextual and thus, Ordinance 19-336, i.e., the </w:t>
      </w:r>
      <w:r>
        <w:rPr>
          <w:rFonts w:ascii="Times New Roman" w:hAnsi="Times New Roman"/>
          <w:sz w:val="24"/>
          <w:szCs w:val="24"/>
        </w:rPr>
        <w:t>‘</w:t>
      </w:r>
      <w:r w:rsidRPr="00975F2E">
        <w:rPr>
          <w:rFonts w:ascii="Times New Roman" w:hAnsi="Times New Roman"/>
          <w:sz w:val="24"/>
          <w:szCs w:val="24"/>
        </w:rPr>
        <w:t>attrition</w:t>
      </w:r>
      <w:r>
        <w:rPr>
          <w:rFonts w:ascii="Times New Roman" w:hAnsi="Times New Roman"/>
          <w:sz w:val="24"/>
          <w:szCs w:val="24"/>
        </w:rPr>
        <w:t>’</w:t>
      </w:r>
      <w:r w:rsidRPr="00975F2E">
        <w:rPr>
          <w:rFonts w:ascii="Times New Roman" w:hAnsi="Times New Roman"/>
          <w:sz w:val="24"/>
          <w:szCs w:val="24"/>
        </w:rPr>
        <w:t xml:space="preserve"> Ordinance, was an unlawful retaliation against Union for advancing a grievance to arbitration.</w:t>
      </w:r>
      <w:r>
        <w:rPr>
          <w:rFonts w:ascii="Times New Roman" w:hAnsi="Times New Roman"/>
          <w:sz w:val="24"/>
          <w:szCs w:val="24"/>
          <w:vertAlign w:val="superscript"/>
        </w:rPr>
        <w:t>”</w:t>
      </w:r>
      <w:r w:rsidRPr="00614F11">
        <w:rPr>
          <w:rFonts w:ascii="Times New Roman" w:eastAsia="Times New Roman" w:hAnsi="Times New Roman"/>
          <w:sz w:val="24"/>
          <w:szCs w:val="24"/>
        </w:rPr>
        <w:t xml:space="preserve"> </w:t>
      </w:r>
      <w:r>
        <w:rPr>
          <w:rFonts w:ascii="Times New Roman" w:eastAsia="Times New Roman" w:hAnsi="Times New Roman"/>
          <w:sz w:val="24"/>
          <w:szCs w:val="24"/>
        </w:rPr>
        <w:t xml:space="preserve"> </w:t>
      </w:r>
      <w:hyperlink r:id="rId2921" w:history="1">
        <w:r w:rsidRPr="00E6191A">
          <w:rPr>
            <w:rStyle w:val="Hyperlink"/>
            <w:rFonts w:ascii="Times New Roman" w:eastAsia="Times New Roman" w:hAnsi="Times New Roman"/>
            <w:sz w:val="24"/>
            <w:szCs w:val="24"/>
          </w:rPr>
          <w:t>https://www.supremecourt.ohio.gov/rod/docs/pdf/7/2021/2021-Ohio-4552.pdf</w:t>
        </w:r>
      </w:hyperlink>
      <w:r>
        <w:rPr>
          <w:rFonts w:ascii="Times New Roman" w:eastAsia="Times New Roman" w:hAnsi="Times New Roman"/>
          <w:sz w:val="24"/>
          <w:szCs w:val="24"/>
        </w:rPr>
        <w:t xml:space="preserve"> </w:t>
      </w:r>
    </w:p>
    <w:p w14:paraId="28FC673B" w14:textId="77777777" w:rsidR="00644810" w:rsidRPr="00213018" w:rsidRDefault="00644810" w:rsidP="00644810">
      <w:pPr>
        <w:pStyle w:val="Heading1"/>
        <w:ind w:left="720"/>
        <w:rPr>
          <w:b w:val="0"/>
          <w:bCs w:val="0"/>
          <w:sz w:val="24"/>
          <w:szCs w:val="24"/>
        </w:rPr>
      </w:pPr>
      <w:r w:rsidRPr="009241CF">
        <w:rPr>
          <w:b w:val="0"/>
          <w:bCs w:val="0"/>
          <w:sz w:val="24"/>
          <w:szCs w:val="24"/>
        </w:rPr>
        <w:t xml:space="preserve">Note:  The City of Youngstown has had serious financial issues </w:t>
      </w:r>
      <w:proofErr w:type="gramStart"/>
      <w:r w:rsidRPr="009241CF">
        <w:rPr>
          <w:b w:val="0"/>
          <w:bCs w:val="0"/>
          <w:sz w:val="24"/>
          <w:szCs w:val="24"/>
        </w:rPr>
        <w:t>impacting</w:t>
      </w:r>
      <w:proofErr w:type="gramEnd"/>
      <w:r w:rsidRPr="009241CF">
        <w:rPr>
          <w:b w:val="0"/>
          <w:bCs w:val="0"/>
          <w:sz w:val="24"/>
          <w:szCs w:val="24"/>
        </w:rPr>
        <w:t xml:space="preserve"> the fire department. See Feb. 28, </w:t>
      </w:r>
      <w:proofErr w:type="gramStart"/>
      <w:r w:rsidRPr="009241CF">
        <w:rPr>
          <w:b w:val="0"/>
          <w:bCs w:val="0"/>
          <w:sz w:val="24"/>
          <w:szCs w:val="24"/>
        </w:rPr>
        <w:t>2021</w:t>
      </w:r>
      <w:proofErr w:type="gramEnd"/>
      <w:r w:rsidRPr="009241CF">
        <w:rPr>
          <w:b w:val="0"/>
          <w:bCs w:val="0"/>
          <w:sz w:val="24"/>
          <w:szCs w:val="24"/>
        </w:rPr>
        <w:t xml:space="preserve"> article, “Judge rules city treated fire union unfairly.”</w:t>
      </w:r>
      <w:r w:rsidRPr="009241CF">
        <w:t xml:space="preserve"> </w:t>
      </w:r>
      <w:hyperlink r:id="rId2922" w:history="1">
        <w:r w:rsidRPr="00213018">
          <w:rPr>
            <w:rStyle w:val="Hyperlink"/>
            <w:b w:val="0"/>
            <w:bCs w:val="0"/>
            <w:sz w:val="24"/>
            <w:szCs w:val="24"/>
          </w:rPr>
          <w:t>https://www.vindy.com/news/local-news/2021/02/judge-rules-city-treated-fire-union-unfairly/</w:t>
        </w:r>
      </w:hyperlink>
      <w:r w:rsidRPr="00213018">
        <w:rPr>
          <w:b w:val="0"/>
          <w:bCs w:val="0"/>
          <w:sz w:val="24"/>
          <w:szCs w:val="24"/>
        </w:rPr>
        <w:t xml:space="preserve"> </w:t>
      </w:r>
    </w:p>
    <w:p w14:paraId="7610FCCD" w14:textId="77777777" w:rsidR="00644810" w:rsidRPr="009241CF" w:rsidRDefault="00644810" w:rsidP="00644810">
      <w:pPr>
        <w:spacing w:before="100" w:beforeAutospacing="1" w:after="100" w:afterAutospacing="1" w:line="240" w:lineRule="auto"/>
        <w:ind w:left="1440"/>
        <w:rPr>
          <w:rFonts w:ascii="Times New Roman" w:eastAsia="Times New Roman" w:hAnsi="Times New Roman"/>
          <w:sz w:val="24"/>
          <w:szCs w:val="24"/>
        </w:rPr>
      </w:pPr>
      <w:r>
        <w:rPr>
          <w:rFonts w:ascii="Times New Roman" w:eastAsia="Times New Roman" w:hAnsi="Times New Roman"/>
          <w:sz w:val="24"/>
          <w:szCs w:val="24"/>
        </w:rPr>
        <w:t>“</w:t>
      </w:r>
      <w:r w:rsidRPr="009241CF">
        <w:rPr>
          <w:rFonts w:ascii="Times New Roman" w:eastAsia="Times New Roman" w:hAnsi="Times New Roman"/>
          <w:sz w:val="24"/>
          <w:szCs w:val="24"/>
        </w:rPr>
        <w:t>The administration closed fire stations last June on a rotating basis because the fire department exceeded its yearly overtime budget in the first five months of the year. The union objected, saying the decision was dangerous and the city not filling positions caused the overtime issue.</w:t>
      </w:r>
    </w:p>
    <w:p w14:paraId="04BF316C" w14:textId="77777777" w:rsidR="00644810" w:rsidRPr="009241CF" w:rsidRDefault="00644810" w:rsidP="00644810">
      <w:pPr>
        <w:spacing w:before="100" w:beforeAutospacing="1" w:after="100" w:afterAutospacing="1" w:line="240" w:lineRule="auto"/>
        <w:ind w:left="1440"/>
        <w:rPr>
          <w:rFonts w:ascii="Times New Roman" w:eastAsia="Times New Roman" w:hAnsi="Times New Roman"/>
          <w:sz w:val="24"/>
          <w:szCs w:val="24"/>
        </w:rPr>
      </w:pPr>
      <w:r w:rsidRPr="009241CF">
        <w:rPr>
          <w:rFonts w:ascii="Times New Roman" w:eastAsia="Times New Roman" w:hAnsi="Times New Roman"/>
          <w:sz w:val="24"/>
          <w:szCs w:val="24"/>
        </w:rPr>
        <w:t>The city closed stations on a rotating basis for about three months in 2018 because of overtime costs.</w:t>
      </w:r>
    </w:p>
    <w:p w14:paraId="35D7B3E8" w14:textId="77777777" w:rsidR="00644810" w:rsidRPr="009241CF" w:rsidRDefault="00644810" w:rsidP="00644810">
      <w:pPr>
        <w:spacing w:before="100" w:beforeAutospacing="1" w:after="100" w:afterAutospacing="1" w:line="240" w:lineRule="auto"/>
        <w:ind w:left="1440"/>
        <w:rPr>
          <w:rFonts w:ascii="Times New Roman" w:eastAsia="Times New Roman" w:hAnsi="Times New Roman"/>
          <w:sz w:val="24"/>
          <w:szCs w:val="24"/>
        </w:rPr>
      </w:pPr>
      <w:r w:rsidRPr="009241CF">
        <w:rPr>
          <w:rFonts w:ascii="Times New Roman" w:eastAsia="Times New Roman" w:hAnsi="Times New Roman"/>
          <w:sz w:val="24"/>
          <w:szCs w:val="24"/>
        </w:rPr>
        <w:t xml:space="preserve">The union issued a no-confidence vote against </w:t>
      </w:r>
      <w:r>
        <w:rPr>
          <w:rFonts w:ascii="Times New Roman" w:eastAsia="Times New Roman" w:hAnsi="Times New Roman"/>
          <w:sz w:val="24"/>
          <w:szCs w:val="24"/>
        </w:rPr>
        <w:t xml:space="preserve">[Fire Chief Barry] </w:t>
      </w:r>
      <w:r w:rsidRPr="009241CF">
        <w:rPr>
          <w:rFonts w:ascii="Times New Roman" w:eastAsia="Times New Roman" w:hAnsi="Times New Roman"/>
          <w:sz w:val="24"/>
          <w:szCs w:val="24"/>
        </w:rPr>
        <w:t xml:space="preserve">Finley in December 2019 after expressing concern about his leadership, and the city closed Fire Station No. 7 on the North Side that same month over the objections of the </w:t>
      </w:r>
      <w:proofErr w:type="gramStart"/>
      <w:r w:rsidRPr="009241CF">
        <w:rPr>
          <w:rFonts w:ascii="Times New Roman" w:eastAsia="Times New Roman" w:hAnsi="Times New Roman"/>
          <w:sz w:val="24"/>
          <w:szCs w:val="24"/>
        </w:rPr>
        <w:t>union.</w:t>
      </w:r>
      <w:r>
        <w:rPr>
          <w:rFonts w:ascii="Times New Roman" w:eastAsia="Times New Roman" w:hAnsi="Times New Roman"/>
          <w:sz w:val="24"/>
          <w:szCs w:val="24"/>
        </w:rPr>
        <w:t>”</w:t>
      </w:r>
      <w:proofErr w:type="gramEnd"/>
    </w:p>
    <w:p w14:paraId="6CD1445D" w14:textId="77777777" w:rsidR="00644810" w:rsidRDefault="00644810" w:rsidP="00F326E5">
      <w:pPr>
        <w:pStyle w:val="NoSpacing"/>
        <w:rPr>
          <w:rFonts w:ascii="Arial Black" w:hAnsi="Arial Black"/>
          <w:sz w:val="24"/>
          <w:szCs w:val="24"/>
        </w:rPr>
      </w:pPr>
    </w:p>
    <w:p w14:paraId="3984A789" w14:textId="77777777" w:rsidR="00644810" w:rsidRDefault="00644810" w:rsidP="00F326E5">
      <w:pPr>
        <w:pStyle w:val="NoSpacing"/>
        <w:rPr>
          <w:rFonts w:ascii="Arial Black" w:hAnsi="Arial Black"/>
          <w:sz w:val="24"/>
          <w:szCs w:val="24"/>
        </w:rPr>
      </w:pPr>
    </w:p>
    <w:p w14:paraId="1AC95D9B" w14:textId="77777777" w:rsidR="00644810" w:rsidRDefault="00644810" w:rsidP="00F326E5">
      <w:pPr>
        <w:pStyle w:val="NoSpacing"/>
        <w:rPr>
          <w:rFonts w:ascii="Arial Black" w:hAnsi="Arial Black"/>
          <w:sz w:val="24"/>
          <w:szCs w:val="24"/>
        </w:rPr>
      </w:pPr>
    </w:p>
    <w:p w14:paraId="64FA62B8" w14:textId="77777777" w:rsidR="00644810" w:rsidRDefault="00644810" w:rsidP="00F326E5">
      <w:pPr>
        <w:pStyle w:val="NoSpacing"/>
        <w:rPr>
          <w:rFonts w:ascii="Arial Black" w:hAnsi="Arial Black"/>
          <w:sz w:val="24"/>
          <w:szCs w:val="24"/>
        </w:rPr>
      </w:pPr>
    </w:p>
    <w:p w14:paraId="06EFD7A5" w14:textId="3A18D043" w:rsidR="007E3A28" w:rsidRDefault="007E3A28" w:rsidP="00F326E5">
      <w:pPr>
        <w:pStyle w:val="NoSpacing"/>
        <w:rPr>
          <w:rFonts w:ascii="Arial Black" w:hAnsi="Arial Black"/>
          <w:sz w:val="24"/>
          <w:szCs w:val="24"/>
        </w:rPr>
      </w:pPr>
      <w:r>
        <w:rPr>
          <w:rFonts w:ascii="Arial Black" w:hAnsi="Arial Black"/>
          <w:sz w:val="24"/>
          <w:szCs w:val="24"/>
        </w:rPr>
        <w:t>17-10</w:t>
      </w:r>
    </w:p>
    <w:p w14:paraId="24DCD890" w14:textId="77777777" w:rsidR="007E3A28" w:rsidRDefault="007E3A28" w:rsidP="007E3A28">
      <w:pPr>
        <w:spacing w:before="100" w:beforeAutospacing="1" w:after="100" w:afterAutospacing="1" w:line="240" w:lineRule="auto"/>
      </w:pPr>
      <w:r>
        <w:rPr>
          <w:rFonts w:ascii="Arial Black" w:hAnsi="Arial Black"/>
          <w:sz w:val="28"/>
          <w:szCs w:val="28"/>
        </w:rPr>
        <w:t>NJ: “RULE OF THREE” – NO. 1 ON LIST BYPASSED – NO. 2 PROMOTED DEPUTY CHIEF – NO PROOF FIRE CHIEF / CITY WAS ANTI-UNION</w:t>
      </w:r>
    </w:p>
    <w:p w14:paraId="476CD3DE" w14:textId="77777777" w:rsidR="007E3A28" w:rsidRDefault="007E3A28" w:rsidP="007E3A28">
      <w:pPr>
        <w:spacing w:before="100" w:beforeAutospacing="1" w:after="100" w:afterAutospacing="1" w:line="240" w:lineRule="auto"/>
        <w:rPr>
          <w:rFonts w:ascii="Times New Roman" w:hAnsi="Times New Roman"/>
          <w:sz w:val="24"/>
          <w:szCs w:val="24"/>
        </w:rPr>
      </w:pPr>
      <w:r w:rsidRPr="00394F8F">
        <w:rPr>
          <w:rFonts w:ascii="Times New Roman" w:hAnsi="Times New Roman"/>
          <w:sz w:val="24"/>
          <w:szCs w:val="24"/>
        </w:rPr>
        <w:t xml:space="preserve">On </w:t>
      </w:r>
      <w:r>
        <w:rPr>
          <w:rFonts w:ascii="Times New Roman" w:hAnsi="Times New Roman"/>
          <w:sz w:val="24"/>
          <w:szCs w:val="24"/>
        </w:rPr>
        <w:t xml:space="preserve">Nov. 3, 2021, </w:t>
      </w:r>
      <w:r w:rsidRPr="00325E3C">
        <w:rPr>
          <w:rFonts w:ascii="Times New Roman" w:hAnsi="Times New Roman"/>
          <w:sz w:val="24"/>
          <w:szCs w:val="24"/>
          <w:u w:val="single"/>
        </w:rPr>
        <w:t>In</w:t>
      </w:r>
      <w:r>
        <w:rPr>
          <w:rFonts w:ascii="Times New Roman" w:hAnsi="Times New Roman"/>
          <w:sz w:val="24"/>
          <w:szCs w:val="24"/>
          <w:u w:val="single"/>
        </w:rPr>
        <w:t xml:space="preserve"> </w:t>
      </w:r>
      <w:r w:rsidRPr="00325E3C">
        <w:rPr>
          <w:rFonts w:ascii="Times New Roman" w:hAnsi="Times New Roman"/>
          <w:sz w:val="24"/>
          <w:szCs w:val="24"/>
          <w:u w:val="single"/>
        </w:rPr>
        <w:t>The Matter Of Jason Ryan, Hamilton Township Fire District Number 2</w:t>
      </w:r>
      <w:r>
        <w:rPr>
          <w:rFonts w:ascii="Times New Roman" w:hAnsi="Times New Roman"/>
          <w:sz w:val="24"/>
          <w:szCs w:val="24"/>
        </w:rPr>
        <w:t xml:space="preserve">, the Superior Court of New Jersey, Appellate Division, held (2 to 0; unpublished decision) that Jason Ryan, while having the highest promotion exam score, failed to present evidence that the Board of Fire Commissioners and the Fire Chief bypassed him because he was a union steward and Vice President for the New Jersey Firefighters’ Mutual Benevolent Association (Local No. 284).  The Board has previously promoted union officers, and in 2008 Ryan was promoted to Captain, bypassing a candidate ahead of him on the eligibility list. The Board sent him a detailed “Statement of Reasons” letter that reviewed the reasons for selecting Sullivan, as required under the New Jersey “Rule of Three” statute. </w:t>
      </w:r>
    </w:p>
    <w:p w14:paraId="3508D765" w14:textId="77777777" w:rsidR="007E3A28" w:rsidRDefault="007E3A28" w:rsidP="007E3A28">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1C412B">
        <w:rPr>
          <w:rFonts w:ascii="Times New Roman" w:hAnsi="Times New Roman"/>
          <w:sz w:val="24"/>
          <w:szCs w:val="24"/>
        </w:rPr>
        <w:t>Petitioner did not meet his initial burden because he failed to present any evidence that he was bypassed because of his union involvement. Indeed, the only evidence petitioner offered was his characterization of several incidents and resulting discipline. These incidents, however, are insufficient to demonstrate the Board or the Commission was motivated by anti-union animus.</w:t>
      </w:r>
    </w:p>
    <w:p w14:paraId="2F3C1F2D" w14:textId="77777777" w:rsidR="007E3A28" w:rsidRPr="00394F8F" w:rsidRDefault="007E3A28" w:rsidP="007E3A28">
      <w:pPr>
        <w:spacing w:before="100" w:beforeAutospacing="1" w:after="100" w:afterAutospacing="1" w:line="240" w:lineRule="auto"/>
        <w:ind w:left="720"/>
        <w:rPr>
          <w:rFonts w:ascii="Times New Roman" w:eastAsia="Times New Roman" w:hAnsi="Times New Roman"/>
          <w:sz w:val="24"/>
          <w:szCs w:val="24"/>
        </w:rPr>
      </w:pPr>
      <w:r w:rsidRPr="00394F8F">
        <w:rPr>
          <w:rFonts w:ascii="Times New Roman" w:eastAsia="Times New Roman" w:hAnsi="Times New Roman"/>
          <w:sz w:val="24"/>
          <w:szCs w:val="24"/>
        </w:rPr>
        <w:t xml:space="preserve">And, as the Commission noted, the Board had recently promoted two union-affiliated firefighters. </w:t>
      </w:r>
    </w:p>
    <w:p w14:paraId="3084C0E3" w14:textId="77777777" w:rsidR="007E3A28" w:rsidRPr="00394F8F" w:rsidRDefault="007E3A28" w:rsidP="007E3A28">
      <w:pPr>
        <w:spacing w:before="100" w:beforeAutospacing="1" w:after="100" w:afterAutospacing="1" w:line="240" w:lineRule="auto"/>
        <w:ind w:left="720"/>
        <w:rPr>
          <w:rFonts w:ascii="Times New Roman" w:eastAsia="Times New Roman" w:hAnsi="Times New Roman"/>
          <w:sz w:val="24"/>
          <w:szCs w:val="24"/>
        </w:rPr>
      </w:pPr>
      <w:r w:rsidRPr="00394F8F">
        <w:rPr>
          <w:rFonts w:ascii="Times New Roman" w:eastAsia="Times New Roman" w:hAnsi="Times New Roman"/>
          <w:sz w:val="24"/>
          <w:szCs w:val="24"/>
        </w:rPr>
        <w:t xml:space="preserve">Moreover, the Commission correctly concluded the Board had provided legitimate, non-discriminatory reasons for bypassing petitioner. Although </w:t>
      </w:r>
      <w:r>
        <w:rPr>
          <w:rFonts w:ascii="Times New Roman" w:eastAsia="Times New Roman" w:hAnsi="Times New Roman"/>
          <w:sz w:val="24"/>
          <w:szCs w:val="24"/>
        </w:rPr>
        <w:t xml:space="preserve">[Blair] </w:t>
      </w:r>
      <w:r w:rsidRPr="00394F8F">
        <w:rPr>
          <w:rFonts w:ascii="Times New Roman" w:eastAsia="Times New Roman" w:hAnsi="Times New Roman"/>
          <w:sz w:val="24"/>
          <w:szCs w:val="24"/>
        </w:rPr>
        <w:t xml:space="preserve">Sullivan had a slightly lower test score, the Commission explained why he was the </w:t>
      </w:r>
      <w:r>
        <w:rPr>
          <w:rFonts w:ascii="Times New Roman" w:eastAsia="Times New Roman" w:hAnsi="Times New Roman"/>
          <w:sz w:val="24"/>
          <w:szCs w:val="24"/>
        </w:rPr>
        <w:t>‘</w:t>
      </w:r>
      <w:r w:rsidRPr="00394F8F">
        <w:rPr>
          <w:rFonts w:ascii="Times New Roman" w:eastAsia="Times New Roman" w:hAnsi="Times New Roman"/>
          <w:sz w:val="24"/>
          <w:szCs w:val="24"/>
        </w:rPr>
        <w:t xml:space="preserve">best candidate for the position based on his fitness, merit, experience, service to the </w:t>
      </w:r>
      <w:proofErr w:type="gramStart"/>
      <w:r w:rsidRPr="00394F8F">
        <w:rPr>
          <w:rFonts w:ascii="Times New Roman" w:eastAsia="Times New Roman" w:hAnsi="Times New Roman"/>
          <w:sz w:val="24"/>
          <w:szCs w:val="24"/>
        </w:rPr>
        <w:t>District</w:t>
      </w:r>
      <w:proofErr w:type="gramEnd"/>
      <w:r w:rsidRPr="00394F8F">
        <w:rPr>
          <w:rFonts w:ascii="Times New Roman" w:eastAsia="Times New Roman" w:hAnsi="Times New Roman"/>
          <w:sz w:val="24"/>
          <w:szCs w:val="24"/>
        </w:rPr>
        <w:t>, and passion for the Deputy Fire Chief Position.</w:t>
      </w:r>
      <w:r>
        <w:rPr>
          <w:rFonts w:ascii="Times New Roman" w:eastAsia="Times New Roman" w:hAnsi="Times New Roman"/>
          <w:sz w:val="24"/>
          <w:szCs w:val="24"/>
        </w:rPr>
        <w:t xml:space="preserve">’” </w:t>
      </w:r>
      <w:hyperlink r:id="rId2923" w:history="1">
        <w:r w:rsidRPr="00316766">
          <w:rPr>
            <w:rStyle w:val="Hyperlink"/>
            <w:rFonts w:ascii="Times New Roman" w:eastAsia="Times New Roman" w:hAnsi="Times New Roman"/>
            <w:sz w:val="24"/>
            <w:szCs w:val="24"/>
          </w:rPr>
          <w:t>https://casetext.com/case/in-re-ryan-542034</w:t>
        </w:r>
      </w:hyperlink>
      <w:r>
        <w:rPr>
          <w:rFonts w:ascii="Times New Roman" w:eastAsia="Times New Roman" w:hAnsi="Times New Roman"/>
          <w:sz w:val="24"/>
          <w:szCs w:val="24"/>
        </w:rPr>
        <w:t xml:space="preserve"> </w:t>
      </w:r>
    </w:p>
    <w:p w14:paraId="187A061D" w14:textId="77777777" w:rsidR="007E3A28" w:rsidRPr="00D9180B" w:rsidRDefault="007E3A28" w:rsidP="007E3A28">
      <w:pPr>
        <w:spacing w:before="100" w:beforeAutospacing="1" w:after="100" w:afterAutospacing="1" w:line="240" w:lineRule="auto"/>
        <w:rPr>
          <w:rFonts w:ascii="Times New Roman" w:eastAsia="Times New Roman" w:hAnsi="Times New Roman"/>
          <w:b/>
          <w:bCs/>
          <w:sz w:val="24"/>
          <w:szCs w:val="24"/>
        </w:rPr>
      </w:pPr>
      <w:r w:rsidRPr="00107160">
        <w:rPr>
          <w:rFonts w:ascii="Times New Roman" w:eastAsia="Times New Roman" w:hAnsi="Times New Roman"/>
          <w:b/>
          <w:bCs/>
          <w:sz w:val="24"/>
          <w:szCs w:val="24"/>
        </w:rPr>
        <w:t>Legal Lesson Learned:</w:t>
      </w:r>
      <w:r>
        <w:rPr>
          <w:rFonts w:ascii="Times New Roman" w:eastAsia="Times New Roman" w:hAnsi="Times New Roman"/>
          <w:b/>
          <w:bCs/>
          <w:sz w:val="24"/>
          <w:szCs w:val="24"/>
        </w:rPr>
        <w:t xml:space="preserve"> The Board wisely prepared a detailed “Statement of Reasons” for selecting No. 2 person as the Deputy Fire Chief. </w:t>
      </w:r>
    </w:p>
    <w:p w14:paraId="436F6E07" w14:textId="77777777" w:rsidR="007E3A28" w:rsidRDefault="007E3A28" w:rsidP="00F326E5">
      <w:pPr>
        <w:pStyle w:val="NoSpacing"/>
        <w:rPr>
          <w:rFonts w:ascii="Arial Black" w:hAnsi="Arial Black"/>
          <w:sz w:val="24"/>
          <w:szCs w:val="24"/>
        </w:rPr>
      </w:pPr>
    </w:p>
    <w:p w14:paraId="718412D6" w14:textId="77777777" w:rsidR="007E3A28" w:rsidRDefault="007E3A28" w:rsidP="00F326E5">
      <w:pPr>
        <w:pStyle w:val="NoSpacing"/>
        <w:rPr>
          <w:rFonts w:ascii="Arial Black" w:hAnsi="Arial Black"/>
          <w:sz w:val="24"/>
          <w:szCs w:val="24"/>
        </w:rPr>
      </w:pPr>
    </w:p>
    <w:p w14:paraId="5D72F480" w14:textId="3A307EFA" w:rsidR="005217D5" w:rsidRDefault="002F610D" w:rsidP="00F326E5">
      <w:pPr>
        <w:pStyle w:val="NoSpacing"/>
        <w:rPr>
          <w:rFonts w:ascii="Arial Black" w:hAnsi="Arial Black"/>
          <w:sz w:val="24"/>
          <w:szCs w:val="24"/>
        </w:rPr>
      </w:pPr>
      <w:r>
        <w:rPr>
          <w:rFonts w:ascii="Arial Black" w:hAnsi="Arial Black"/>
          <w:sz w:val="24"/>
          <w:szCs w:val="24"/>
        </w:rPr>
        <w:t>17-9</w:t>
      </w:r>
    </w:p>
    <w:p w14:paraId="7DE7FC92" w14:textId="77777777" w:rsidR="002F610D" w:rsidRPr="008952B2" w:rsidRDefault="002F610D" w:rsidP="002F610D">
      <w:pPr>
        <w:pStyle w:val="NormalWeb"/>
        <w:rPr>
          <w:rStyle w:val="markedcontent"/>
          <w:rFonts w:ascii="Arial Black" w:hAnsi="Arial Black"/>
          <w:sz w:val="28"/>
          <w:szCs w:val="28"/>
        </w:rPr>
      </w:pPr>
      <w:bookmarkStart w:id="633" w:name="_Hlk81842929"/>
      <w:r>
        <w:rPr>
          <w:rStyle w:val="markedcontent"/>
          <w:rFonts w:ascii="Arial Black" w:hAnsi="Arial Black"/>
          <w:sz w:val="28"/>
          <w:szCs w:val="28"/>
        </w:rPr>
        <w:t xml:space="preserve">NB: UNION PRES. FIRED - ASSAULT IN BAR, “WHITE POWER” – ARBITRATOR REVERSES, 5 SHIFT SUSPENSION </w:t>
      </w:r>
    </w:p>
    <w:bookmarkEnd w:id="633"/>
    <w:p w14:paraId="47D16F0A" w14:textId="77777777" w:rsidR="002F610D" w:rsidRPr="00BC5562" w:rsidRDefault="002F610D" w:rsidP="002F610D">
      <w:pPr>
        <w:pStyle w:val="NormalWeb"/>
        <w:rPr>
          <w:rStyle w:val="markedcontent"/>
        </w:rPr>
      </w:pPr>
      <w:r w:rsidRPr="00BC5562">
        <w:rPr>
          <w:rStyle w:val="markedcontent"/>
        </w:rPr>
        <w:t xml:space="preserve">On Aug. 6, 2021, in </w:t>
      </w:r>
      <w:r w:rsidRPr="00BC5562">
        <w:rPr>
          <w:rStyle w:val="markedcontent"/>
          <w:u w:val="single"/>
        </w:rPr>
        <w:t xml:space="preserve">City of Omaha v. Professional Firefighters Association of Omaha, </w:t>
      </w:r>
      <w:r w:rsidRPr="00BC5562">
        <w:rPr>
          <w:u w:val="single"/>
        </w:rPr>
        <w:br/>
      </w:r>
      <w:r w:rsidRPr="00BC5562">
        <w:rPr>
          <w:rStyle w:val="markedcontent"/>
          <w:u w:val="single"/>
        </w:rPr>
        <w:t>Local 385, AFL-CIO</w:t>
      </w:r>
      <w:r w:rsidRPr="00BC5562">
        <w:rPr>
          <w:rStyle w:val="markedcontent"/>
        </w:rPr>
        <w:t xml:space="preserve">, the Nebraska Supreme Court held (6 to 0) that the arbitrator’s decision reinstating Union President Steve LeClair must be enforced; the city failed to prove that the arbitration award because the arbitrator exceeded her powers. The City appealed to state District Court, which dismissed the City’s appeal and ordered the City to reimburse union for $16,000 in attorney fees for filing a “frivolous” appeal.  The Nebraska Supreme Court agreed that termination was too </w:t>
      </w:r>
      <w:proofErr w:type="gramStart"/>
      <w:r w:rsidRPr="00BC5562">
        <w:rPr>
          <w:rStyle w:val="markedcontent"/>
        </w:rPr>
        <w:t>harsh, but</w:t>
      </w:r>
      <w:proofErr w:type="gramEnd"/>
      <w:r w:rsidRPr="00BC5562">
        <w:rPr>
          <w:rStyle w:val="markedcontent"/>
        </w:rPr>
        <w:t xml:space="preserve"> set aside the attorney fees award. </w:t>
      </w:r>
    </w:p>
    <w:p w14:paraId="10B766E2" w14:textId="489DB22B" w:rsidR="002F610D" w:rsidRDefault="002F610D" w:rsidP="002F610D">
      <w:pPr>
        <w:pStyle w:val="NoSpacing"/>
        <w:rPr>
          <w:rFonts w:ascii="Arial Black" w:hAnsi="Arial Black"/>
          <w:sz w:val="24"/>
          <w:szCs w:val="24"/>
        </w:rPr>
      </w:pPr>
      <w:r w:rsidRPr="002F610D">
        <w:rPr>
          <w:rStyle w:val="markedcontent"/>
          <w:rFonts w:ascii="Times New Roman" w:hAnsi="Times New Roman"/>
          <w:sz w:val="24"/>
          <w:szCs w:val="24"/>
        </w:rPr>
        <w:lastRenderedPageBreak/>
        <w:t>“Equally quick work can be made of the City’s claim that the arbitrator exceeded her powers by ‘</w:t>
      </w:r>
      <w:proofErr w:type="spellStart"/>
      <w:r w:rsidRPr="002F610D">
        <w:rPr>
          <w:rStyle w:val="markedcontent"/>
          <w:rFonts w:ascii="Times New Roman" w:hAnsi="Times New Roman"/>
          <w:sz w:val="24"/>
          <w:szCs w:val="24"/>
        </w:rPr>
        <w:t>substitut</w:t>
      </w:r>
      <w:proofErr w:type="spellEnd"/>
      <w:r w:rsidRPr="002F610D">
        <w:rPr>
          <w:rStyle w:val="markedcontent"/>
          <w:rFonts w:ascii="Times New Roman" w:hAnsi="Times New Roman"/>
          <w:sz w:val="24"/>
          <w:szCs w:val="24"/>
        </w:rPr>
        <w:t>[</w:t>
      </w:r>
      <w:proofErr w:type="spellStart"/>
      <w:r w:rsidRPr="002F610D">
        <w:rPr>
          <w:rStyle w:val="markedcontent"/>
          <w:rFonts w:ascii="Times New Roman" w:hAnsi="Times New Roman"/>
          <w:sz w:val="24"/>
          <w:szCs w:val="24"/>
        </w:rPr>
        <w:t>ing</w:t>
      </w:r>
      <w:proofErr w:type="spellEnd"/>
      <w:r w:rsidRPr="002F610D">
        <w:rPr>
          <w:rStyle w:val="markedcontent"/>
          <w:rFonts w:ascii="Times New Roman" w:hAnsi="Times New Roman"/>
          <w:sz w:val="24"/>
          <w:szCs w:val="24"/>
        </w:rPr>
        <w:t xml:space="preserve">] her own discipline.’ Brief for appellant at 31. This objection is aimed at the arbitrator’s order that LeClair should lose five shifts of backpay for his actions. The </w:t>
      </w:r>
      <w:proofErr w:type="gramStart"/>
      <w:r w:rsidRPr="002F610D">
        <w:rPr>
          <w:rStyle w:val="markedcontent"/>
          <w:rFonts w:ascii="Times New Roman" w:hAnsi="Times New Roman"/>
          <w:sz w:val="24"/>
          <w:szCs w:val="24"/>
        </w:rPr>
        <w:t>City</w:t>
      </w:r>
      <w:proofErr w:type="gramEnd"/>
      <w:r w:rsidRPr="002F610D">
        <w:rPr>
          <w:rStyle w:val="markedcontent"/>
          <w:rFonts w:ascii="Times New Roman" w:hAnsi="Times New Roman"/>
          <w:sz w:val="24"/>
          <w:szCs w:val="24"/>
        </w:rPr>
        <w:t xml:space="preserve"> claims the arbitrator did not have the power to craft her own discipline for LeClair’s actions. The City, however, has not directed us to authority that supports its argument.”</w:t>
      </w:r>
      <w:r w:rsidRPr="007365A2">
        <w:t xml:space="preserve"> </w:t>
      </w:r>
      <w:hyperlink r:id="rId2924" w:history="1">
        <w:r w:rsidRPr="007365A2">
          <w:rPr>
            <w:rStyle w:val="Hyperlink"/>
          </w:rPr>
          <w:t>file:///C:/Users/lawre/AppData/Local/Temp/N00008009PUB.pdf</w:t>
        </w:r>
      </w:hyperlink>
    </w:p>
    <w:p w14:paraId="13FD71FE" w14:textId="21FEC079" w:rsidR="002F610D" w:rsidRDefault="002F610D" w:rsidP="00F326E5">
      <w:pPr>
        <w:pStyle w:val="NoSpacing"/>
        <w:rPr>
          <w:rFonts w:ascii="Arial Black" w:hAnsi="Arial Black"/>
          <w:sz w:val="24"/>
          <w:szCs w:val="24"/>
        </w:rPr>
      </w:pPr>
    </w:p>
    <w:p w14:paraId="1128ED2B" w14:textId="77777777" w:rsidR="002F610D" w:rsidRPr="006D4E82" w:rsidRDefault="002F610D" w:rsidP="002F610D">
      <w:pPr>
        <w:pStyle w:val="NormalWeb"/>
        <w:tabs>
          <w:tab w:val="left" w:pos="3330"/>
        </w:tabs>
        <w:rPr>
          <w:b/>
          <w:bCs/>
        </w:rPr>
      </w:pPr>
      <w:r w:rsidRPr="006D4E82">
        <w:rPr>
          <w:rStyle w:val="markedcontent"/>
          <w:b/>
          <w:bCs/>
        </w:rPr>
        <w:t>Legal Lesson Learned:</w:t>
      </w:r>
      <w:r>
        <w:rPr>
          <w:rStyle w:val="markedcontent"/>
          <w:b/>
          <w:bCs/>
        </w:rPr>
        <w:t xml:space="preserve"> Courts generally enforce arbitrator decisions.  </w:t>
      </w:r>
      <w:r>
        <w:rPr>
          <w:rStyle w:val="markedcontent"/>
          <w:b/>
          <w:bCs/>
        </w:rPr>
        <w:tab/>
        <w:t xml:space="preserve"> </w:t>
      </w:r>
    </w:p>
    <w:p w14:paraId="452AAC83" w14:textId="6A1F3A59" w:rsidR="002F610D" w:rsidRDefault="002F610D" w:rsidP="002F610D">
      <w:pPr>
        <w:pStyle w:val="NoSpacing"/>
        <w:rPr>
          <w:rFonts w:ascii="Arial Black" w:hAnsi="Arial Black"/>
          <w:sz w:val="24"/>
          <w:szCs w:val="24"/>
        </w:rPr>
      </w:pPr>
      <w:r>
        <w:t xml:space="preserve">Note: See Aug. 11, </w:t>
      </w:r>
      <w:proofErr w:type="gramStart"/>
      <w:r>
        <w:t>2021</w:t>
      </w:r>
      <w:proofErr w:type="gramEnd"/>
      <w:r>
        <w:t xml:space="preserve"> article, “</w:t>
      </w:r>
      <w:r w:rsidRPr="00826CE9">
        <w:t xml:space="preserve">Nebraska Supreme Court Sides </w:t>
      </w:r>
      <w:proofErr w:type="gramStart"/>
      <w:r w:rsidRPr="00826CE9">
        <w:t>With</w:t>
      </w:r>
      <w:proofErr w:type="gramEnd"/>
      <w:r w:rsidRPr="00826CE9">
        <w:t xml:space="preserve"> Omaha Fire Union Chief </w:t>
      </w:r>
      <w:proofErr w:type="gramStart"/>
      <w:r w:rsidRPr="00826CE9">
        <w:t>In</w:t>
      </w:r>
      <w:proofErr w:type="gramEnd"/>
      <w:r w:rsidRPr="00826CE9">
        <w:t xml:space="preserve"> Dispute </w:t>
      </w:r>
      <w:proofErr w:type="gramStart"/>
      <w:r w:rsidRPr="00826CE9">
        <w:t>With</w:t>
      </w:r>
      <w:proofErr w:type="gramEnd"/>
      <w:r w:rsidRPr="00826CE9">
        <w:t xml:space="preserve"> City.   </w:t>
      </w:r>
      <w:r w:rsidRPr="00492A28">
        <w:t>appeal the discipline to an independent arbitrator.</w:t>
      </w:r>
      <w:r>
        <w:t xml:space="preserve">” </w:t>
      </w:r>
      <w:hyperlink r:id="rId2925" w:history="1">
        <w:r w:rsidRPr="00472D9E">
          <w:rPr>
            <w:rStyle w:val="Hyperlink"/>
          </w:rPr>
          <w:t>https://www.ketv.com/article/nebraska-supreme-court-sides-with-omaha-fire-union-chief-in-dispute-with-city/37244601#</w:t>
        </w:r>
      </w:hyperlink>
    </w:p>
    <w:p w14:paraId="254FEC65" w14:textId="77777777" w:rsidR="002F610D" w:rsidRDefault="002F610D" w:rsidP="00F326E5">
      <w:pPr>
        <w:pStyle w:val="NoSpacing"/>
        <w:rPr>
          <w:rFonts w:ascii="Arial Black" w:hAnsi="Arial Black"/>
          <w:sz w:val="24"/>
          <w:szCs w:val="24"/>
        </w:rPr>
      </w:pPr>
    </w:p>
    <w:p w14:paraId="0157EB83" w14:textId="7D0AE068" w:rsidR="005217D5" w:rsidRDefault="005217D5" w:rsidP="00F326E5">
      <w:pPr>
        <w:pStyle w:val="NoSpacing"/>
        <w:rPr>
          <w:rFonts w:ascii="Arial Black" w:hAnsi="Arial Black"/>
          <w:sz w:val="24"/>
          <w:szCs w:val="24"/>
        </w:rPr>
      </w:pPr>
      <w:r>
        <w:rPr>
          <w:rFonts w:ascii="Arial Black" w:hAnsi="Arial Black"/>
          <w:sz w:val="24"/>
          <w:szCs w:val="24"/>
        </w:rPr>
        <w:t>17-8</w:t>
      </w:r>
    </w:p>
    <w:p w14:paraId="30C4BB9D" w14:textId="065E42B1" w:rsidR="005217D5" w:rsidRDefault="005217D5" w:rsidP="00F326E5">
      <w:pPr>
        <w:pStyle w:val="NoSpacing"/>
        <w:rPr>
          <w:rFonts w:ascii="Arial Black" w:hAnsi="Arial Black"/>
          <w:sz w:val="24"/>
          <w:szCs w:val="24"/>
        </w:rPr>
      </w:pPr>
    </w:p>
    <w:p w14:paraId="1E90D6FF" w14:textId="77777777" w:rsidR="005217D5" w:rsidRPr="001F43B5" w:rsidRDefault="005217D5" w:rsidP="005217D5">
      <w:pPr>
        <w:rPr>
          <w:rStyle w:val="markedcontent"/>
          <w:rFonts w:ascii="Arial Black" w:hAnsi="Arial Black"/>
          <w:sz w:val="28"/>
          <w:szCs w:val="28"/>
        </w:rPr>
      </w:pPr>
      <w:r w:rsidRPr="001F43B5">
        <w:rPr>
          <w:rStyle w:val="markedcontent"/>
          <w:rFonts w:ascii="Arial Black" w:hAnsi="Arial Black"/>
          <w:sz w:val="28"/>
          <w:szCs w:val="28"/>
        </w:rPr>
        <w:t xml:space="preserve">DE: </w:t>
      </w:r>
      <w:r>
        <w:rPr>
          <w:rStyle w:val="markedcontent"/>
          <w:rFonts w:ascii="Arial Black" w:hAnsi="Arial Black"/>
          <w:sz w:val="28"/>
          <w:szCs w:val="28"/>
        </w:rPr>
        <w:t>STATION BROWNOUTS - FIRE CHIEF SCHEDULE CHANGE 24/72 TO 24/48 – NEW CBA MUST BE SPECIFIC</w:t>
      </w:r>
    </w:p>
    <w:p w14:paraId="3594A74A" w14:textId="77777777" w:rsidR="005217D5" w:rsidRDefault="005217D5" w:rsidP="005217D5">
      <w:pPr>
        <w:rPr>
          <w:rStyle w:val="markedcontent"/>
          <w:rFonts w:ascii="Times New Roman" w:hAnsi="Times New Roman"/>
          <w:sz w:val="24"/>
          <w:szCs w:val="24"/>
        </w:rPr>
      </w:pPr>
      <w:r>
        <w:rPr>
          <w:rStyle w:val="markedcontent"/>
          <w:rFonts w:ascii="Times New Roman" w:hAnsi="Times New Roman"/>
          <w:sz w:val="24"/>
          <w:szCs w:val="24"/>
        </w:rPr>
        <w:t xml:space="preserve">On June 28, 2021, in </w:t>
      </w:r>
      <w:r w:rsidRPr="001F43B5">
        <w:rPr>
          <w:rStyle w:val="markedcontent"/>
          <w:rFonts w:ascii="Times New Roman" w:hAnsi="Times New Roman"/>
          <w:sz w:val="24"/>
          <w:szCs w:val="24"/>
          <w:u w:val="single"/>
        </w:rPr>
        <w:t>International Association of Firefighters, Local 1590 v. City of Wilmington</w:t>
      </w:r>
      <w:r>
        <w:rPr>
          <w:rStyle w:val="markedcontent"/>
          <w:rFonts w:ascii="Times New Roman" w:hAnsi="Times New Roman"/>
          <w:sz w:val="24"/>
          <w:szCs w:val="24"/>
        </w:rPr>
        <w:t xml:space="preserve">, the Court of Chancery of the State of Delaware (Vice Chancellor </w:t>
      </w:r>
      <w:r w:rsidRPr="001F43B5">
        <w:rPr>
          <w:rStyle w:val="markedcontent"/>
          <w:rFonts w:ascii="Times New Roman" w:hAnsi="Times New Roman"/>
          <w:sz w:val="24"/>
          <w:szCs w:val="24"/>
        </w:rPr>
        <w:t>Paul A. Fioravanti, Jr.</w:t>
      </w:r>
      <w:r>
        <w:rPr>
          <w:rStyle w:val="markedcontent"/>
          <w:rFonts w:ascii="Times New Roman" w:hAnsi="Times New Roman"/>
          <w:sz w:val="24"/>
          <w:szCs w:val="24"/>
        </w:rPr>
        <w:t xml:space="preserve">) ordered the case back to the Public Employee Relations Board because the city’s final offer only described the new schedule (24/48 schedule with 17 Kelly Days) “as an example” in the Collective Bargaining Agreement. Judge agreed with IAFF that this gave the  Fire Chief inappropriate discretion to change the schedule in future without collective bargaining. </w:t>
      </w:r>
    </w:p>
    <w:p w14:paraId="22E293A2" w14:textId="77777777" w:rsidR="005217D5" w:rsidRDefault="005217D5" w:rsidP="005217D5">
      <w:pPr>
        <w:ind w:left="720"/>
        <w:rPr>
          <w:rStyle w:val="markedcontent"/>
          <w:rFonts w:ascii="Times New Roman" w:hAnsi="Times New Roman"/>
          <w:sz w:val="24"/>
          <w:szCs w:val="24"/>
        </w:rPr>
      </w:pPr>
      <w:r>
        <w:rPr>
          <w:rStyle w:val="markedcontent"/>
          <w:rFonts w:ascii="Times New Roman" w:hAnsi="Times New Roman"/>
          <w:sz w:val="24"/>
          <w:szCs w:val="24"/>
        </w:rPr>
        <w:t>“</w:t>
      </w:r>
      <w:r w:rsidRPr="00C4258E">
        <w:rPr>
          <w:rStyle w:val="markedcontent"/>
          <w:rFonts w:ascii="Times New Roman" w:hAnsi="Times New Roman"/>
          <w:sz w:val="24"/>
          <w:szCs w:val="24"/>
        </w:rPr>
        <w:t xml:space="preserve">The City’s LBFO, however, did not establish a 24/48 schedule. Although the BIA Decision states that the City’s proposal </w:t>
      </w:r>
      <w:r>
        <w:rPr>
          <w:rStyle w:val="markedcontent"/>
          <w:rFonts w:ascii="Times New Roman" w:hAnsi="Times New Roman"/>
          <w:sz w:val="24"/>
          <w:szCs w:val="24"/>
        </w:rPr>
        <w:t>‘</w:t>
      </w:r>
      <w:r w:rsidRPr="00C4258E">
        <w:rPr>
          <w:rStyle w:val="markedcontent"/>
          <w:rFonts w:ascii="Times New Roman" w:hAnsi="Times New Roman"/>
          <w:sz w:val="24"/>
          <w:szCs w:val="24"/>
        </w:rPr>
        <w:t>specifically</w:t>
      </w:r>
      <w:r>
        <w:rPr>
          <w:rStyle w:val="markedcontent"/>
          <w:rFonts w:ascii="Times New Roman" w:hAnsi="Times New Roman"/>
          <w:sz w:val="24"/>
          <w:szCs w:val="24"/>
        </w:rPr>
        <w:t>’</w:t>
      </w:r>
      <w:r w:rsidRPr="00C4258E">
        <w:rPr>
          <w:rStyle w:val="markedcontent"/>
          <w:rFonts w:ascii="Times New Roman" w:hAnsi="Times New Roman"/>
          <w:sz w:val="24"/>
          <w:szCs w:val="24"/>
        </w:rPr>
        <w:t xml:space="preserve"> called for a 24/48 schedule to replace the 24/72 schedule, the plain language of the City’s LBFO does not support that construction. The City’s LBFO struck the language from the 2016 CBA that outlined a 24/72 </w:t>
      </w:r>
      <w:proofErr w:type="gramStart"/>
      <w:r w:rsidRPr="00C4258E">
        <w:rPr>
          <w:rStyle w:val="markedcontent"/>
          <w:rFonts w:ascii="Times New Roman" w:hAnsi="Times New Roman"/>
          <w:sz w:val="24"/>
          <w:szCs w:val="24"/>
        </w:rPr>
        <w:t>schedule</w:t>
      </w:r>
      <w:r>
        <w:rPr>
          <w:rStyle w:val="markedcontent"/>
          <w:rFonts w:ascii="Times New Roman" w:hAnsi="Times New Roman"/>
          <w:sz w:val="24"/>
          <w:szCs w:val="24"/>
        </w:rPr>
        <w:t xml:space="preserve">, </w:t>
      </w:r>
      <w:r w:rsidRPr="00C4258E">
        <w:rPr>
          <w:rStyle w:val="markedcontent"/>
          <w:rFonts w:ascii="Times New Roman" w:hAnsi="Times New Roman"/>
          <w:sz w:val="24"/>
          <w:szCs w:val="24"/>
        </w:rPr>
        <w:t>but</w:t>
      </w:r>
      <w:proofErr w:type="gramEnd"/>
      <w:r w:rsidRPr="00C4258E">
        <w:rPr>
          <w:rStyle w:val="markedcontent"/>
          <w:rFonts w:ascii="Times New Roman" w:hAnsi="Times New Roman"/>
          <w:sz w:val="24"/>
          <w:szCs w:val="24"/>
        </w:rPr>
        <w:t xml:space="preserve"> did not replace it with analogous language providing a 24/48 schedule. Tab 4 at 1, 10. Instead, the City’s LBFO </w:t>
      </w:r>
      <w:proofErr w:type="gramStart"/>
      <w:r w:rsidRPr="00C4258E">
        <w:rPr>
          <w:rStyle w:val="markedcontent"/>
          <w:rFonts w:ascii="Times New Roman" w:hAnsi="Times New Roman"/>
          <w:sz w:val="24"/>
          <w:szCs w:val="24"/>
        </w:rPr>
        <w:t>provided that</w:t>
      </w:r>
      <w:proofErr w:type="gramEnd"/>
      <w:r w:rsidRPr="00C4258E">
        <w:rPr>
          <w:rStyle w:val="markedcontent"/>
          <w:rFonts w:ascii="Times New Roman" w:hAnsi="Times New Roman"/>
          <w:sz w:val="24"/>
          <w:szCs w:val="24"/>
        </w:rPr>
        <w:t xml:space="preserve"> firefighters would work a shift of an unspecified length </w:t>
      </w:r>
      <w:r>
        <w:rPr>
          <w:rStyle w:val="markedcontent"/>
          <w:rFonts w:ascii="Times New Roman" w:hAnsi="Times New Roman"/>
          <w:sz w:val="24"/>
          <w:szCs w:val="24"/>
        </w:rPr>
        <w:t>‘</w:t>
      </w:r>
      <w:r w:rsidRPr="00C4258E">
        <w:rPr>
          <w:rStyle w:val="markedcontent"/>
          <w:rFonts w:ascii="Times New Roman" w:hAnsi="Times New Roman"/>
          <w:sz w:val="24"/>
          <w:szCs w:val="24"/>
        </w:rPr>
        <w:t xml:space="preserve">as determined off </w:t>
      </w:r>
      <w:r>
        <w:rPr>
          <w:rStyle w:val="markedcontent"/>
          <w:rFonts w:ascii="Times New Roman" w:hAnsi="Times New Roman"/>
          <w:sz w:val="24"/>
          <w:szCs w:val="24"/>
        </w:rPr>
        <w:t>‘</w:t>
      </w:r>
      <w:r w:rsidRPr="00C4258E">
        <w:rPr>
          <w:rStyle w:val="markedcontent"/>
          <w:rFonts w:ascii="Times New Roman" w:hAnsi="Times New Roman"/>
          <w:sz w:val="24"/>
          <w:szCs w:val="24"/>
        </w:rPr>
        <w:t>under a work schedule as established by the Chief of Fire.</w:t>
      </w:r>
      <w:r>
        <w:rPr>
          <w:rStyle w:val="markedcontent"/>
          <w:rFonts w:ascii="Times New Roman" w:hAnsi="Times New Roman"/>
          <w:sz w:val="24"/>
          <w:szCs w:val="24"/>
        </w:rPr>
        <w:t>’</w:t>
      </w:r>
      <w:r w:rsidRPr="00C4258E">
        <w:rPr>
          <w:rStyle w:val="markedcontent"/>
          <w:rFonts w:ascii="Times New Roman" w:hAnsi="Times New Roman"/>
          <w:sz w:val="24"/>
          <w:szCs w:val="24"/>
        </w:rPr>
        <w:t xml:space="preserve"> Id. To be sure, the City’s LBFO stated, </w:t>
      </w:r>
      <w:r>
        <w:rPr>
          <w:rStyle w:val="markedcontent"/>
          <w:rFonts w:ascii="Times New Roman" w:hAnsi="Times New Roman"/>
          <w:sz w:val="24"/>
          <w:szCs w:val="24"/>
        </w:rPr>
        <w:t>‘</w:t>
      </w:r>
      <w:r w:rsidRPr="00C4258E">
        <w:rPr>
          <w:rStyle w:val="markedcontent"/>
          <w:rFonts w:ascii="Times New Roman" w:hAnsi="Times New Roman"/>
          <w:sz w:val="24"/>
          <w:szCs w:val="24"/>
        </w:rPr>
        <w:t>[a]s an example,</w:t>
      </w:r>
      <w:r>
        <w:rPr>
          <w:rStyle w:val="markedcontent"/>
          <w:rFonts w:ascii="Times New Roman" w:hAnsi="Times New Roman"/>
          <w:sz w:val="24"/>
          <w:szCs w:val="24"/>
        </w:rPr>
        <w:t>’</w:t>
      </w:r>
      <w:r w:rsidRPr="00C4258E">
        <w:rPr>
          <w:rStyle w:val="markedcontent"/>
          <w:rFonts w:ascii="Times New Roman" w:hAnsi="Times New Roman"/>
          <w:sz w:val="24"/>
          <w:szCs w:val="24"/>
        </w:rPr>
        <w:t xml:space="preserve"> that the Chief of Fire could </w:t>
      </w:r>
      <w:r>
        <w:rPr>
          <w:rStyle w:val="markedcontent"/>
          <w:rFonts w:ascii="Times New Roman" w:hAnsi="Times New Roman"/>
          <w:sz w:val="24"/>
          <w:szCs w:val="24"/>
        </w:rPr>
        <w:t>‘</w:t>
      </w:r>
      <w:r w:rsidRPr="00C4258E">
        <w:rPr>
          <w:rStyle w:val="markedcontent"/>
          <w:rFonts w:ascii="Times New Roman" w:hAnsi="Times New Roman"/>
          <w:sz w:val="24"/>
          <w:szCs w:val="24"/>
        </w:rPr>
        <w:t>implement a three[-]platoon system with a Complete Tour of Duty of [24] hours on, followed by [48] hours off.</w:t>
      </w:r>
      <w:r>
        <w:rPr>
          <w:rStyle w:val="markedcontent"/>
          <w:rFonts w:ascii="Times New Roman" w:hAnsi="Times New Roman"/>
          <w:sz w:val="24"/>
          <w:szCs w:val="24"/>
        </w:rPr>
        <w:t>’</w:t>
      </w:r>
      <w:r w:rsidRPr="00C4258E">
        <w:rPr>
          <w:rStyle w:val="markedcontent"/>
          <w:rFonts w:ascii="Times New Roman" w:hAnsi="Times New Roman"/>
          <w:sz w:val="24"/>
          <w:szCs w:val="24"/>
        </w:rPr>
        <w:t xml:space="preserve"> Id. at 10. But that schedule is expressly identified only as </w:t>
      </w:r>
      <w:r>
        <w:rPr>
          <w:rStyle w:val="markedcontent"/>
          <w:rFonts w:ascii="Times New Roman" w:hAnsi="Times New Roman"/>
          <w:sz w:val="24"/>
          <w:szCs w:val="24"/>
        </w:rPr>
        <w:t>‘</w:t>
      </w:r>
      <w:r w:rsidRPr="00C4258E">
        <w:rPr>
          <w:rStyle w:val="markedcontent"/>
          <w:rFonts w:ascii="Times New Roman" w:hAnsi="Times New Roman"/>
          <w:sz w:val="24"/>
          <w:szCs w:val="24"/>
        </w:rPr>
        <w:t>an example,</w:t>
      </w:r>
      <w:r>
        <w:rPr>
          <w:rStyle w:val="markedcontent"/>
          <w:rFonts w:ascii="Times New Roman" w:hAnsi="Times New Roman"/>
          <w:sz w:val="24"/>
          <w:szCs w:val="24"/>
        </w:rPr>
        <w:t>’</w:t>
      </w:r>
      <w:r w:rsidRPr="00C4258E">
        <w:rPr>
          <w:rStyle w:val="markedcontent"/>
          <w:rFonts w:ascii="Times New Roman" w:hAnsi="Times New Roman"/>
          <w:sz w:val="24"/>
          <w:szCs w:val="24"/>
        </w:rPr>
        <w:t xml:space="preserve"> and the City’s LBFO does not bind the Chief of Fire to any </w:t>
      </w:r>
      <w:proofErr w:type="gramStart"/>
      <w:r w:rsidRPr="00C4258E">
        <w:rPr>
          <w:rStyle w:val="markedcontent"/>
          <w:rFonts w:ascii="Times New Roman" w:hAnsi="Times New Roman"/>
          <w:sz w:val="24"/>
          <w:szCs w:val="24"/>
        </w:rPr>
        <w:t>particular work</w:t>
      </w:r>
      <w:proofErr w:type="gramEnd"/>
      <w:r w:rsidRPr="00C4258E">
        <w:rPr>
          <w:rStyle w:val="markedcontent"/>
          <w:rFonts w:ascii="Times New Roman" w:hAnsi="Times New Roman"/>
          <w:sz w:val="24"/>
          <w:szCs w:val="24"/>
        </w:rPr>
        <w:t xml:space="preserve"> schedule, even from the outset of the new system’s implementation.</w:t>
      </w:r>
      <w:r w:rsidRPr="00C4258E">
        <w:rPr>
          <w:rFonts w:ascii="Times New Roman" w:hAnsi="Times New Roman"/>
          <w:sz w:val="24"/>
          <w:szCs w:val="24"/>
        </w:rPr>
        <w:br/>
      </w:r>
    </w:p>
    <w:p w14:paraId="694667D8" w14:textId="77777777" w:rsidR="005217D5" w:rsidRPr="00C4258E" w:rsidRDefault="005217D5" w:rsidP="005217D5">
      <w:pPr>
        <w:ind w:left="720"/>
        <w:rPr>
          <w:rStyle w:val="markedcontent"/>
          <w:rFonts w:ascii="Times New Roman" w:hAnsi="Times New Roman"/>
          <w:sz w:val="24"/>
          <w:szCs w:val="24"/>
        </w:rPr>
      </w:pPr>
      <w:r>
        <w:rPr>
          <w:rStyle w:val="markedcontent"/>
          <w:rFonts w:ascii="Times New Roman" w:hAnsi="Times New Roman"/>
          <w:sz w:val="24"/>
          <w:szCs w:val="24"/>
        </w:rPr>
        <w:t>***</w:t>
      </w:r>
    </w:p>
    <w:p w14:paraId="69312CCE" w14:textId="4F32F2BD" w:rsidR="005217D5" w:rsidRDefault="005217D5" w:rsidP="005217D5">
      <w:pPr>
        <w:pStyle w:val="NoSpacing"/>
        <w:ind w:left="720"/>
        <w:rPr>
          <w:rStyle w:val="Hyperlink"/>
          <w:sz w:val="24"/>
          <w:szCs w:val="24"/>
        </w:rPr>
      </w:pPr>
      <w:r>
        <w:rPr>
          <w:rStyle w:val="markedcontent"/>
          <w:rFonts w:ascii="Times New Roman" w:hAnsi="Times New Roman"/>
          <w:sz w:val="24"/>
          <w:szCs w:val="24"/>
        </w:rPr>
        <w:t>“</w:t>
      </w:r>
      <w:r w:rsidRPr="001F43B5">
        <w:rPr>
          <w:rStyle w:val="markedcontent"/>
          <w:rFonts w:ascii="Times New Roman" w:hAnsi="Times New Roman"/>
          <w:sz w:val="24"/>
          <w:szCs w:val="24"/>
        </w:rPr>
        <w:t xml:space="preserve">The Executive Director </w:t>
      </w:r>
      <w:r>
        <w:rPr>
          <w:rStyle w:val="markedcontent"/>
          <w:rFonts w:ascii="Times New Roman" w:hAnsi="Times New Roman"/>
          <w:sz w:val="24"/>
          <w:szCs w:val="24"/>
        </w:rPr>
        <w:t xml:space="preserve">[of the PERB] </w:t>
      </w:r>
      <w:r w:rsidRPr="001F43B5">
        <w:rPr>
          <w:rStyle w:val="markedcontent"/>
          <w:rFonts w:ascii="Times New Roman" w:hAnsi="Times New Roman"/>
          <w:sz w:val="24"/>
          <w:szCs w:val="24"/>
        </w:rPr>
        <w:t>erred by performing her statutory analysis only</w:t>
      </w:r>
      <w:r>
        <w:rPr>
          <w:rStyle w:val="markedcontent"/>
          <w:rFonts w:ascii="Times New Roman" w:hAnsi="Times New Roman"/>
          <w:sz w:val="24"/>
          <w:szCs w:val="24"/>
        </w:rPr>
        <w:t xml:space="preserve"> </w:t>
      </w:r>
      <w:r w:rsidRPr="001F43B5">
        <w:rPr>
          <w:rStyle w:val="markedcontent"/>
          <w:rFonts w:ascii="Times New Roman" w:hAnsi="Times New Roman"/>
          <w:sz w:val="24"/>
          <w:szCs w:val="24"/>
        </w:rPr>
        <w:t xml:space="preserve">on the unwritten </w:t>
      </w:r>
      <w:r>
        <w:rPr>
          <w:rStyle w:val="markedcontent"/>
          <w:rFonts w:ascii="Times New Roman" w:hAnsi="Times New Roman"/>
          <w:sz w:val="24"/>
          <w:szCs w:val="24"/>
        </w:rPr>
        <w:t>‘</w:t>
      </w:r>
      <w:r w:rsidRPr="001F43B5">
        <w:rPr>
          <w:rStyle w:val="markedcontent"/>
          <w:rFonts w:ascii="Times New Roman" w:hAnsi="Times New Roman"/>
          <w:sz w:val="24"/>
          <w:szCs w:val="24"/>
        </w:rPr>
        <w:t>essence</w:t>
      </w:r>
      <w:r>
        <w:rPr>
          <w:rStyle w:val="markedcontent"/>
          <w:rFonts w:ascii="Times New Roman" w:hAnsi="Times New Roman"/>
          <w:sz w:val="24"/>
          <w:szCs w:val="24"/>
        </w:rPr>
        <w:t xml:space="preserve">’ </w:t>
      </w:r>
      <w:r w:rsidRPr="001F43B5">
        <w:rPr>
          <w:rStyle w:val="markedcontent"/>
          <w:rFonts w:ascii="Times New Roman" w:hAnsi="Times New Roman"/>
          <w:sz w:val="24"/>
          <w:szCs w:val="24"/>
        </w:rPr>
        <w:t>of the City’s LBFO</w:t>
      </w:r>
      <w:r>
        <w:rPr>
          <w:rStyle w:val="markedcontent"/>
          <w:rFonts w:ascii="Times New Roman" w:hAnsi="Times New Roman"/>
          <w:sz w:val="24"/>
          <w:szCs w:val="24"/>
        </w:rPr>
        <w:t xml:space="preserve"> [Last Best Final Offer]….</w:t>
      </w:r>
      <w:r w:rsidRPr="001F43B5">
        <w:rPr>
          <w:rStyle w:val="markedcontent"/>
          <w:rFonts w:ascii="Times New Roman" w:hAnsi="Times New Roman"/>
          <w:sz w:val="24"/>
          <w:szCs w:val="24"/>
        </w:rPr>
        <w:t>The PERB’s affirmance of the BIA Decision therefore constituted an error as a matter of law. For the foregoing reasons, the PERB’s decision affirming the BIA Decision is hereby reversed. The parties’ dispute is remanded to the PERB for further proceedings consistent with this Order.</w:t>
      </w:r>
      <w:r>
        <w:rPr>
          <w:rStyle w:val="markedcontent"/>
          <w:rFonts w:ascii="Times New Roman" w:hAnsi="Times New Roman"/>
          <w:sz w:val="24"/>
          <w:szCs w:val="24"/>
        </w:rPr>
        <w:t xml:space="preserve">” </w:t>
      </w:r>
      <w:hyperlink r:id="rId2926" w:history="1">
        <w:r w:rsidRPr="002F4BDF">
          <w:rPr>
            <w:rStyle w:val="Hyperlink"/>
            <w:sz w:val="24"/>
            <w:szCs w:val="24"/>
          </w:rPr>
          <w:t>https://perb.delaware.gov/wp-content/uploads/sites/127/2021/07/2020-0765-Order-of-reversal-and-remand-6-28-21-website.pdf</w:t>
        </w:r>
      </w:hyperlink>
    </w:p>
    <w:p w14:paraId="709717EC" w14:textId="6F7D9BB6" w:rsidR="005217D5" w:rsidRDefault="005217D5" w:rsidP="005217D5">
      <w:pPr>
        <w:pStyle w:val="NoSpacing"/>
        <w:ind w:left="720"/>
        <w:rPr>
          <w:rStyle w:val="Hyperlink"/>
          <w:sz w:val="24"/>
          <w:szCs w:val="24"/>
        </w:rPr>
      </w:pPr>
    </w:p>
    <w:p w14:paraId="5CE17FE6" w14:textId="77777777" w:rsidR="005217D5" w:rsidRPr="00C4258E" w:rsidRDefault="005217D5" w:rsidP="005217D5">
      <w:pPr>
        <w:rPr>
          <w:rStyle w:val="markedcontent"/>
          <w:rFonts w:ascii="Times New Roman" w:hAnsi="Times New Roman"/>
          <w:b/>
          <w:bCs/>
          <w:sz w:val="24"/>
          <w:szCs w:val="24"/>
        </w:rPr>
      </w:pPr>
      <w:r w:rsidRPr="00C4258E">
        <w:rPr>
          <w:rStyle w:val="markedcontent"/>
          <w:rFonts w:ascii="Times New Roman" w:hAnsi="Times New Roman"/>
          <w:b/>
          <w:bCs/>
          <w:sz w:val="24"/>
          <w:szCs w:val="24"/>
        </w:rPr>
        <w:t>Legal Lesson Learned:</w:t>
      </w:r>
      <w:r>
        <w:rPr>
          <w:rStyle w:val="markedcontent"/>
          <w:rFonts w:ascii="Times New Roman" w:hAnsi="Times New Roman"/>
          <w:b/>
          <w:bCs/>
          <w:sz w:val="24"/>
          <w:szCs w:val="24"/>
        </w:rPr>
        <w:t xml:space="preserve"> Collective Bargaining Agreements should contain clear and precise language on work schedule, Kelly Days, and minimum manning.</w:t>
      </w:r>
    </w:p>
    <w:p w14:paraId="51F472F8" w14:textId="77777777" w:rsidR="005217D5" w:rsidRPr="00C4258E" w:rsidRDefault="005217D5" w:rsidP="005217D5">
      <w:pPr>
        <w:pStyle w:val="Heading1"/>
        <w:ind w:left="720"/>
        <w:rPr>
          <w:b w:val="0"/>
          <w:bCs w:val="0"/>
          <w:sz w:val="24"/>
          <w:szCs w:val="24"/>
        </w:rPr>
      </w:pPr>
      <w:r w:rsidRPr="00EA0A4B">
        <w:rPr>
          <w:rStyle w:val="markedcontent"/>
          <w:b w:val="0"/>
          <w:bCs w:val="0"/>
          <w:sz w:val="24"/>
          <w:szCs w:val="24"/>
        </w:rPr>
        <w:lastRenderedPageBreak/>
        <w:t xml:space="preserve">Note: See June 30, </w:t>
      </w:r>
      <w:proofErr w:type="gramStart"/>
      <w:r w:rsidRPr="00EA0A4B">
        <w:rPr>
          <w:rStyle w:val="markedcontent"/>
          <w:b w:val="0"/>
          <w:bCs w:val="0"/>
          <w:sz w:val="24"/>
          <w:szCs w:val="24"/>
        </w:rPr>
        <w:t>2021</w:t>
      </w:r>
      <w:proofErr w:type="gramEnd"/>
      <w:r w:rsidRPr="00EA0A4B">
        <w:rPr>
          <w:rStyle w:val="markedcontent"/>
          <w:b w:val="0"/>
          <w:bCs w:val="0"/>
          <w:sz w:val="24"/>
          <w:szCs w:val="24"/>
        </w:rPr>
        <w:t xml:space="preserve"> article:</w:t>
      </w:r>
      <w:r>
        <w:rPr>
          <w:rStyle w:val="markedcontent"/>
          <w:sz w:val="24"/>
          <w:szCs w:val="24"/>
        </w:rPr>
        <w:t xml:space="preserve"> “</w:t>
      </w:r>
      <w:r w:rsidRPr="00C4258E">
        <w:rPr>
          <w:b w:val="0"/>
          <w:bCs w:val="0"/>
          <w:sz w:val="24"/>
          <w:szCs w:val="24"/>
        </w:rPr>
        <w:t>Wilmington firefighters union wins Chancery Court appeal in battle over shift change</w:t>
      </w:r>
      <w:r>
        <w:rPr>
          <w:b w:val="0"/>
          <w:bCs w:val="0"/>
          <w:sz w:val="24"/>
          <w:szCs w:val="24"/>
        </w:rPr>
        <w:t xml:space="preserve">.” </w:t>
      </w:r>
      <w:hyperlink r:id="rId2927" w:history="1">
        <w:r w:rsidRPr="00DB7C29">
          <w:rPr>
            <w:rStyle w:val="Hyperlink"/>
            <w:sz w:val="24"/>
            <w:szCs w:val="24"/>
          </w:rPr>
          <w:t>https://www.wdel.com/news/wilmington-firefighters-union-wins-chancery-court-appeal-in-battle-over-shift-change/article_9402edda-d9b1-11eb-909c-07bcb0bff090.html</w:t>
        </w:r>
      </w:hyperlink>
      <w:r w:rsidRPr="00DB7C29">
        <w:rPr>
          <w:b w:val="0"/>
          <w:bCs w:val="0"/>
          <w:sz w:val="24"/>
          <w:szCs w:val="24"/>
        </w:rPr>
        <w:t xml:space="preserve">  </w:t>
      </w:r>
    </w:p>
    <w:p w14:paraId="29EB7AD2" w14:textId="77777777" w:rsidR="005217D5" w:rsidRPr="005217D5" w:rsidRDefault="005217D5" w:rsidP="005217D5">
      <w:pPr>
        <w:pStyle w:val="Heading2"/>
        <w:ind w:left="720"/>
        <w:rPr>
          <w:rFonts w:ascii="Times New Roman" w:hAnsi="Times New Roman"/>
          <w:b w:val="0"/>
          <w:bCs w:val="0"/>
          <w:i w:val="0"/>
          <w:iCs w:val="0"/>
          <w:sz w:val="24"/>
          <w:szCs w:val="24"/>
        </w:rPr>
      </w:pPr>
      <w:r w:rsidRPr="005217D5">
        <w:rPr>
          <w:rStyle w:val="markedcontent"/>
          <w:rFonts w:ascii="Times New Roman" w:hAnsi="Times New Roman"/>
          <w:b w:val="0"/>
          <w:bCs w:val="0"/>
          <w:i w:val="0"/>
          <w:iCs w:val="0"/>
          <w:sz w:val="24"/>
          <w:szCs w:val="24"/>
        </w:rPr>
        <w:t xml:space="preserve">July 2, </w:t>
      </w:r>
      <w:proofErr w:type="gramStart"/>
      <w:r w:rsidRPr="005217D5">
        <w:rPr>
          <w:rStyle w:val="markedcontent"/>
          <w:rFonts w:ascii="Times New Roman" w:hAnsi="Times New Roman"/>
          <w:b w:val="0"/>
          <w:bCs w:val="0"/>
          <w:i w:val="0"/>
          <w:iCs w:val="0"/>
          <w:sz w:val="24"/>
          <w:szCs w:val="24"/>
        </w:rPr>
        <w:t>2021</w:t>
      </w:r>
      <w:proofErr w:type="gramEnd"/>
      <w:r w:rsidRPr="005217D5">
        <w:rPr>
          <w:rStyle w:val="markedcontent"/>
          <w:rFonts w:ascii="Times New Roman" w:hAnsi="Times New Roman"/>
          <w:b w:val="0"/>
          <w:bCs w:val="0"/>
          <w:i w:val="0"/>
          <w:iCs w:val="0"/>
          <w:sz w:val="24"/>
          <w:szCs w:val="24"/>
        </w:rPr>
        <w:t xml:space="preserve"> article: “</w:t>
      </w:r>
      <w:r w:rsidRPr="005217D5">
        <w:rPr>
          <w:rFonts w:ascii="Times New Roman" w:hAnsi="Times New Roman"/>
          <w:b w:val="0"/>
          <w:bCs w:val="0"/>
          <w:i w:val="0"/>
          <w:iCs w:val="0"/>
          <w:sz w:val="24"/>
          <w:szCs w:val="24"/>
        </w:rPr>
        <w:t xml:space="preserve">Wilmington firefighters union wins Chancery Court appeal in battle over shift change.” </w:t>
      </w:r>
      <w:hyperlink r:id="rId2928" w:history="1">
        <w:r w:rsidRPr="005217D5">
          <w:rPr>
            <w:rStyle w:val="Hyperlink"/>
            <w:rFonts w:ascii="Times New Roman" w:hAnsi="Times New Roman"/>
            <w:b w:val="0"/>
            <w:bCs w:val="0"/>
            <w:i w:val="0"/>
            <w:iCs w:val="0"/>
            <w:sz w:val="24"/>
            <w:szCs w:val="24"/>
          </w:rPr>
          <w:t>https://www.dailydispatch.com/StateNews/DE/2021/July/02/Wilmington.firefighters.union.wins.Chancery.Court.appeal.in.battle.over.shift.change.aspx</w:t>
        </w:r>
      </w:hyperlink>
      <w:r w:rsidRPr="005217D5">
        <w:rPr>
          <w:rFonts w:ascii="Times New Roman" w:hAnsi="Times New Roman"/>
          <w:b w:val="0"/>
          <w:bCs w:val="0"/>
          <w:i w:val="0"/>
          <w:iCs w:val="0"/>
          <w:sz w:val="24"/>
          <w:szCs w:val="24"/>
        </w:rPr>
        <w:t xml:space="preserve"> </w:t>
      </w:r>
    </w:p>
    <w:p w14:paraId="40CB935F" w14:textId="77777777" w:rsidR="005217D5" w:rsidRPr="005217D5" w:rsidRDefault="005217D5" w:rsidP="005217D5">
      <w:pPr>
        <w:pStyle w:val="NoSpacing"/>
        <w:ind w:left="720"/>
        <w:rPr>
          <w:rFonts w:ascii="Times New Roman" w:hAnsi="Times New Roman"/>
          <w:sz w:val="24"/>
          <w:szCs w:val="24"/>
        </w:rPr>
      </w:pPr>
    </w:p>
    <w:p w14:paraId="0F2C13C1" w14:textId="77777777" w:rsidR="005217D5" w:rsidRPr="005217D5" w:rsidRDefault="005217D5" w:rsidP="00F326E5">
      <w:pPr>
        <w:pStyle w:val="NoSpacing"/>
        <w:rPr>
          <w:rFonts w:ascii="Times New Roman" w:hAnsi="Times New Roman"/>
          <w:sz w:val="24"/>
          <w:szCs w:val="24"/>
        </w:rPr>
      </w:pPr>
    </w:p>
    <w:p w14:paraId="28341132" w14:textId="24F2BC3C" w:rsidR="00407100" w:rsidRDefault="007B49E7" w:rsidP="00F326E5">
      <w:pPr>
        <w:pStyle w:val="NoSpacing"/>
        <w:rPr>
          <w:rFonts w:ascii="Arial Black" w:hAnsi="Arial Black"/>
          <w:sz w:val="24"/>
          <w:szCs w:val="24"/>
        </w:rPr>
      </w:pPr>
      <w:r>
        <w:rPr>
          <w:rFonts w:ascii="Arial Black" w:hAnsi="Arial Black"/>
          <w:sz w:val="24"/>
          <w:szCs w:val="24"/>
        </w:rPr>
        <w:t>17-7</w:t>
      </w:r>
    </w:p>
    <w:p w14:paraId="162A1E60" w14:textId="68DC14DA" w:rsidR="007B49E7" w:rsidRDefault="007B49E7" w:rsidP="00F326E5">
      <w:pPr>
        <w:pStyle w:val="NoSpacing"/>
        <w:rPr>
          <w:rFonts w:ascii="Arial Black" w:hAnsi="Arial Black"/>
          <w:sz w:val="24"/>
          <w:szCs w:val="24"/>
        </w:rPr>
      </w:pPr>
    </w:p>
    <w:p w14:paraId="78F363C8" w14:textId="119764C9" w:rsidR="007B49E7" w:rsidRDefault="007B49E7" w:rsidP="007B49E7">
      <w:pPr>
        <w:rPr>
          <w:rFonts w:ascii="Arial Black" w:hAnsi="Arial Black"/>
          <w:sz w:val="28"/>
          <w:szCs w:val="28"/>
        </w:rPr>
      </w:pPr>
      <w:r>
        <w:rPr>
          <w:rFonts w:ascii="Arial Black" w:hAnsi="Arial Black"/>
          <w:sz w:val="28"/>
          <w:szCs w:val="28"/>
        </w:rPr>
        <w:t>IL: MASTERBATING FF - PUBLIC AREA OUTSIDE FIRE STATION – ARBITRATOR REVERSED - TERMINATION UPHELD</w:t>
      </w:r>
    </w:p>
    <w:p w14:paraId="2C47EBAA" w14:textId="77777777" w:rsidR="007B49E7" w:rsidRDefault="007B49E7" w:rsidP="007B49E7">
      <w:pPr>
        <w:rPr>
          <w:rFonts w:ascii="Times New Roman" w:hAnsi="Times New Roman"/>
          <w:sz w:val="24"/>
          <w:szCs w:val="24"/>
        </w:rPr>
      </w:pPr>
      <w:r>
        <w:rPr>
          <w:rFonts w:ascii="Times New Roman" w:hAnsi="Times New Roman"/>
          <w:sz w:val="24"/>
          <w:szCs w:val="24"/>
        </w:rPr>
        <w:t xml:space="preserve">On Oct. 2, 2020, in </w:t>
      </w:r>
      <w:r w:rsidRPr="00E3069C">
        <w:rPr>
          <w:rFonts w:ascii="Times New Roman" w:hAnsi="Times New Roman"/>
          <w:sz w:val="24"/>
          <w:szCs w:val="24"/>
          <w:u w:val="single"/>
        </w:rPr>
        <w:t>City of Chicago v. Chicago Fire Fighters Union, Local No. 2, and James Gray</w:t>
      </w:r>
      <w:r>
        <w:rPr>
          <w:rFonts w:ascii="Times New Roman" w:hAnsi="Times New Roman"/>
          <w:sz w:val="24"/>
          <w:szCs w:val="24"/>
        </w:rPr>
        <w:t xml:space="preserve">, Judge Celia Gamrath, Circuit Court of Cook County, Illinois (Chancery Division), granted the City’s motion to vacate the Arbitrator’s decision to reinstate the firefighter.  </w:t>
      </w:r>
    </w:p>
    <w:p w14:paraId="5E28A3E9" w14:textId="77777777" w:rsidR="007B49E7" w:rsidRDefault="007B49E7" w:rsidP="007B49E7">
      <w:pPr>
        <w:ind w:left="720"/>
        <w:rPr>
          <w:bCs/>
        </w:rPr>
      </w:pPr>
      <w:r>
        <w:rPr>
          <w:rFonts w:ascii="Times New Roman" w:hAnsi="Times New Roman"/>
          <w:sz w:val="24"/>
          <w:szCs w:val="24"/>
        </w:rPr>
        <w:t>“</w:t>
      </w:r>
      <w:r w:rsidRPr="00E3069C">
        <w:rPr>
          <w:rFonts w:ascii="Times New Roman" w:hAnsi="Times New Roman"/>
          <w:sz w:val="24"/>
          <w:szCs w:val="24"/>
        </w:rPr>
        <w:t xml:space="preserve">Ultimately, this Court is charged with determining whether (1) there is a public policy against sexual harassment in the workplace, and (2) whether </w:t>
      </w:r>
      <w:r>
        <w:rPr>
          <w:rFonts w:ascii="Times New Roman" w:hAnsi="Times New Roman"/>
          <w:sz w:val="24"/>
          <w:szCs w:val="24"/>
        </w:rPr>
        <w:t xml:space="preserve">[Arbitrator] </w:t>
      </w:r>
      <w:proofErr w:type="spellStart"/>
      <w:r w:rsidRPr="00E3069C">
        <w:rPr>
          <w:rFonts w:ascii="Times New Roman" w:hAnsi="Times New Roman"/>
          <w:sz w:val="24"/>
          <w:szCs w:val="24"/>
        </w:rPr>
        <w:t>Roumell's</w:t>
      </w:r>
      <w:proofErr w:type="spellEnd"/>
      <w:r w:rsidRPr="00E3069C">
        <w:rPr>
          <w:rFonts w:ascii="Times New Roman" w:hAnsi="Times New Roman"/>
          <w:sz w:val="24"/>
          <w:szCs w:val="24"/>
        </w:rPr>
        <w:t xml:space="preserve"> Award and Supplemental Award violated said public policy by mandating the reinstatement of an employee who, by the arbitrator's o\ m findings, engaged in viewing pornography, exposed himself, and masturbated while at work, capable of being seen by passersby.</w:t>
      </w:r>
      <w:r>
        <w:rPr>
          <w:rFonts w:ascii="Times New Roman" w:hAnsi="Times New Roman"/>
          <w:sz w:val="24"/>
          <w:szCs w:val="24"/>
        </w:rPr>
        <w:t xml:space="preserve"> </w:t>
      </w:r>
      <w:r w:rsidRPr="00E3069C">
        <w:rPr>
          <w:rFonts w:ascii="Times New Roman" w:hAnsi="Times New Roman"/>
          <w:sz w:val="24"/>
          <w:szCs w:val="24"/>
        </w:rPr>
        <w:t xml:space="preserve">Despite </w:t>
      </w:r>
      <w:proofErr w:type="spellStart"/>
      <w:r w:rsidRPr="00E3069C">
        <w:rPr>
          <w:rFonts w:ascii="Times New Roman" w:hAnsi="Times New Roman"/>
          <w:sz w:val="24"/>
          <w:szCs w:val="24"/>
        </w:rPr>
        <w:t>Roumell's</w:t>
      </w:r>
      <w:proofErr w:type="spellEnd"/>
      <w:r w:rsidRPr="00E3069C">
        <w:rPr>
          <w:rFonts w:ascii="Times New Roman" w:hAnsi="Times New Roman"/>
          <w:sz w:val="24"/>
          <w:szCs w:val="24"/>
        </w:rPr>
        <w:t xml:space="preserve"> reliance on the Dr. O'Grady letter as demonstrative of the unlikelihood that Gray would repeat this behavior again, the fact of the matter is that Gray's actions, spanning years, were acts of sexual harassment that alienated his coworkers and created a hostile work environment. The arbitrator's decision to essentially impose no discipline and to reinstate Gray with full seniority is incongruous with the dominant public policy against sexual harassment in the workp</w:t>
      </w:r>
      <w:r>
        <w:rPr>
          <w:rFonts w:ascii="Times New Roman" w:hAnsi="Times New Roman"/>
          <w:sz w:val="24"/>
          <w:szCs w:val="24"/>
        </w:rPr>
        <w:t>l</w:t>
      </w:r>
      <w:r w:rsidRPr="00E3069C">
        <w:rPr>
          <w:rFonts w:ascii="Times New Roman" w:hAnsi="Times New Roman"/>
          <w:sz w:val="24"/>
          <w:szCs w:val="24"/>
        </w:rPr>
        <w:t>ace. It also has the impermissible effect of eviscerating the City's ability to take appropriate actions to enforce this clear and dominant public policy and prevent and discourage future acts of harassment.</w:t>
      </w:r>
      <w:r>
        <w:rPr>
          <w:rFonts w:ascii="Times New Roman" w:hAnsi="Times New Roman"/>
          <w:sz w:val="24"/>
          <w:szCs w:val="24"/>
        </w:rPr>
        <w:t xml:space="preserve">” </w:t>
      </w:r>
    </w:p>
    <w:p w14:paraId="5825029A" w14:textId="77777777" w:rsidR="007B49E7" w:rsidRPr="004267A1" w:rsidRDefault="007B49E7" w:rsidP="007B49E7">
      <w:pPr>
        <w:pStyle w:val="NormalWeb"/>
        <w:jc w:val="center"/>
        <w:rPr>
          <w:bCs/>
        </w:rPr>
      </w:pPr>
      <w:hyperlink r:id="rId2929" w:history="1">
        <w:r w:rsidRPr="00E10E69">
          <w:rPr>
            <w:rStyle w:val="Hyperlink"/>
            <w:bCs/>
          </w:rPr>
          <w:t>file:///C:/Users/lawre/AppData/Local/Temp/%7BC42BFBAC-7840-4BDD-BFF7-18D383BA9C81%7D/19%20CH%2012662%20City%20of%20Chicago%20v.%20Chicago%20Fire%20Fighters%20Union%20Final%20Order%20(12.2.20).pdf</w:t>
        </w:r>
      </w:hyperlink>
      <w:r w:rsidRPr="004267A1">
        <w:rPr>
          <w:bCs/>
        </w:rPr>
        <w:t xml:space="preserve"> </w:t>
      </w:r>
    </w:p>
    <w:p w14:paraId="1EE1A96F" w14:textId="77777777" w:rsidR="007B49E7" w:rsidRPr="00FA5981" w:rsidRDefault="007B49E7" w:rsidP="007B49E7">
      <w:pPr>
        <w:pStyle w:val="NormalWeb"/>
        <w:rPr>
          <w:b/>
        </w:rPr>
      </w:pPr>
      <w:r w:rsidRPr="00FA5981">
        <w:rPr>
          <w:b/>
        </w:rPr>
        <w:t>Legal Lesson Learned:</w:t>
      </w:r>
      <w:r>
        <w:rPr>
          <w:b/>
        </w:rPr>
        <w:t xml:space="preserve"> Report this type of conduct immediately; urge FF to seek help through EAP or other psychological care. </w:t>
      </w:r>
    </w:p>
    <w:p w14:paraId="5E18D013" w14:textId="77777777" w:rsidR="007B49E7" w:rsidRDefault="007B49E7" w:rsidP="00F326E5">
      <w:pPr>
        <w:pStyle w:val="NoSpacing"/>
        <w:rPr>
          <w:rFonts w:ascii="Arial Black" w:hAnsi="Arial Black"/>
          <w:sz w:val="24"/>
          <w:szCs w:val="24"/>
        </w:rPr>
      </w:pPr>
    </w:p>
    <w:p w14:paraId="2A4EA7CF" w14:textId="77777777" w:rsidR="007B49E7" w:rsidRDefault="007B49E7" w:rsidP="00F326E5">
      <w:pPr>
        <w:pStyle w:val="NoSpacing"/>
        <w:rPr>
          <w:rFonts w:ascii="Arial Black" w:hAnsi="Arial Black"/>
          <w:sz w:val="24"/>
          <w:szCs w:val="24"/>
        </w:rPr>
      </w:pPr>
    </w:p>
    <w:p w14:paraId="5E1EDF12" w14:textId="77777777" w:rsidR="007B49E7" w:rsidRDefault="007B49E7" w:rsidP="00F326E5">
      <w:pPr>
        <w:pStyle w:val="NoSpacing"/>
        <w:rPr>
          <w:rFonts w:ascii="Arial Black" w:hAnsi="Arial Black"/>
          <w:sz w:val="24"/>
          <w:szCs w:val="24"/>
        </w:rPr>
      </w:pPr>
    </w:p>
    <w:p w14:paraId="70AF7EB3" w14:textId="26888339" w:rsidR="00B532F6" w:rsidRDefault="00B532F6" w:rsidP="00F326E5">
      <w:pPr>
        <w:pStyle w:val="NoSpacing"/>
        <w:rPr>
          <w:rFonts w:ascii="Arial Black" w:hAnsi="Arial Black"/>
          <w:sz w:val="24"/>
          <w:szCs w:val="24"/>
        </w:rPr>
      </w:pPr>
      <w:r>
        <w:rPr>
          <w:rFonts w:ascii="Arial Black" w:hAnsi="Arial Black"/>
          <w:sz w:val="24"/>
          <w:szCs w:val="24"/>
        </w:rPr>
        <w:t>17-6</w:t>
      </w:r>
    </w:p>
    <w:p w14:paraId="5E639729" w14:textId="2DAAEE6A" w:rsidR="00B532F6" w:rsidRDefault="00B532F6" w:rsidP="00F326E5">
      <w:pPr>
        <w:pStyle w:val="NoSpacing"/>
        <w:rPr>
          <w:rFonts w:ascii="Arial Black" w:hAnsi="Arial Black"/>
          <w:sz w:val="24"/>
          <w:szCs w:val="24"/>
        </w:rPr>
      </w:pPr>
    </w:p>
    <w:p w14:paraId="56E7774E" w14:textId="77777777" w:rsidR="00B532F6" w:rsidRPr="006E50D9" w:rsidRDefault="00B532F6" w:rsidP="00B532F6">
      <w:pPr>
        <w:rPr>
          <w:rFonts w:ascii="Arial Black" w:hAnsi="Arial Black"/>
          <w:sz w:val="28"/>
          <w:szCs w:val="28"/>
        </w:rPr>
      </w:pPr>
      <w:r w:rsidRPr="006E50D9">
        <w:rPr>
          <w:rFonts w:ascii="Arial Black" w:hAnsi="Arial Black"/>
          <w:sz w:val="28"/>
          <w:szCs w:val="28"/>
        </w:rPr>
        <w:lastRenderedPageBreak/>
        <w:t>OR: $25M BUDGET SHORTFALL – UNION PRES. AGREED TO STAFFING, CHANGES - 26 FF JOBS SAVED – UNFAIR LABOR CHARGE DISMISSED</w:t>
      </w:r>
    </w:p>
    <w:p w14:paraId="08D8D43D" w14:textId="77777777" w:rsidR="00B532F6" w:rsidRPr="000B00E6" w:rsidRDefault="00B532F6" w:rsidP="00B532F6">
      <w:pPr>
        <w:pStyle w:val="NoSpacing"/>
        <w:rPr>
          <w:rFonts w:ascii="Times New Roman" w:hAnsi="Times New Roman"/>
          <w:sz w:val="24"/>
          <w:szCs w:val="24"/>
        </w:rPr>
      </w:pPr>
      <w:r>
        <w:rPr>
          <w:rFonts w:ascii="Times New Roman" w:hAnsi="Times New Roman"/>
          <w:sz w:val="24"/>
          <w:szCs w:val="24"/>
        </w:rPr>
        <w:t xml:space="preserve">On Sept. 24, 2020, in </w:t>
      </w:r>
      <w:r w:rsidRPr="00323A71">
        <w:rPr>
          <w:rFonts w:ascii="Times New Roman" w:hAnsi="Times New Roman"/>
          <w:sz w:val="24"/>
          <w:szCs w:val="24"/>
          <w:u w:val="single"/>
        </w:rPr>
        <w:t>Portland Fire Firefighters’ Association, IAFF Local 43 v. City of Portland</w:t>
      </w:r>
      <w:r>
        <w:rPr>
          <w:rFonts w:ascii="Times New Roman" w:hAnsi="Times New Roman"/>
          <w:sz w:val="24"/>
          <w:szCs w:val="24"/>
        </w:rPr>
        <w:t xml:space="preserve">, the Employment Relations Board of the State of Oregon, held that union is bound by its agreement not to file contest to budget cuts and eliminating Dive Team, transferring Safety Chief and Chief Investigator to management positions, and other management changes. </w:t>
      </w:r>
      <w:r w:rsidRPr="000B00E6">
        <w:rPr>
          <w:rFonts w:ascii="Times New Roman" w:hAnsi="Times New Roman"/>
          <w:sz w:val="24"/>
          <w:szCs w:val="24"/>
        </w:rPr>
        <w:t xml:space="preserve">The </w:t>
      </w:r>
      <w:r>
        <w:rPr>
          <w:rFonts w:ascii="Times New Roman" w:hAnsi="Times New Roman"/>
          <w:sz w:val="24"/>
          <w:szCs w:val="24"/>
        </w:rPr>
        <w:t xml:space="preserve">FD </w:t>
      </w:r>
      <w:r w:rsidRPr="000B00E6">
        <w:rPr>
          <w:rFonts w:ascii="Times New Roman" w:hAnsi="Times New Roman"/>
          <w:sz w:val="24"/>
          <w:szCs w:val="24"/>
        </w:rPr>
        <w:t xml:space="preserve">developed its proposed budget through a budgetary advisory committee (BAC). The Union's president, </w:t>
      </w:r>
      <w:r>
        <w:rPr>
          <w:rFonts w:ascii="Times New Roman" w:hAnsi="Times New Roman"/>
          <w:sz w:val="24"/>
          <w:szCs w:val="24"/>
        </w:rPr>
        <w:t xml:space="preserve">Alan </w:t>
      </w:r>
      <w:r w:rsidRPr="000B00E6">
        <w:rPr>
          <w:rFonts w:ascii="Times New Roman" w:hAnsi="Times New Roman"/>
          <w:sz w:val="24"/>
          <w:szCs w:val="24"/>
        </w:rPr>
        <w:t>Ferschweiler, served on the BAC.</w:t>
      </w:r>
      <w:r>
        <w:rPr>
          <w:rFonts w:ascii="Times New Roman" w:hAnsi="Times New Roman"/>
          <w:sz w:val="24"/>
          <w:szCs w:val="24"/>
        </w:rPr>
        <w:t xml:space="preserve"> </w:t>
      </w:r>
      <w:r w:rsidRPr="000B00E6">
        <w:rPr>
          <w:rFonts w:ascii="Times New Roman" w:hAnsi="Times New Roman"/>
          <w:sz w:val="24"/>
          <w:szCs w:val="24"/>
        </w:rPr>
        <w:t xml:space="preserve">Between May 9 and approximately May 23, </w:t>
      </w:r>
      <w:proofErr w:type="gramStart"/>
      <w:r>
        <w:rPr>
          <w:rFonts w:ascii="Times New Roman" w:hAnsi="Times New Roman"/>
          <w:sz w:val="24"/>
          <w:szCs w:val="24"/>
        </w:rPr>
        <w:t>2013</w:t>
      </w:r>
      <w:proofErr w:type="gramEnd"/>
      <w:r>
        <w:rPr>
          <w:rFonts w:ascii="Times New Roman" w:hAnsi="Times New Roman"/>
          <w:sz w:val="24"/>
          <w:szCs w:val="24"/>
        </w:rPr>
        <w:t xml:space="preserve"> </w:t>
      </w:r>
      <w:r w:rsidRPr="000B00E6">
        <w:rPr>
          <w:rFonts w:ascii="Times New Roman" w:hAnsi="Times New Roman"/>
          <w:sz w:val="24"/>
          <w:szCs w:val="24"/>
        </w:rPr>
        <w:t>Ferschweiler met three times with Siegel, the mayor's budget liaison, to discuss and negotiate how the Bureau would implement the budget cuts, including consideration of the availability of a federal grant (the SAFER grant) that might fill budget gaps. Fire Chief Janssens attended one of those meetings.</w:t>
      </w:r>
    </w:p>
    <w:p w14:paraId="0152E707" w14:textId="77777777" w:rsidR="00B532F6" w:rsidRDefault="00B532F6" w:rsidP="00B532F6">
      <w:pPr>
        <w:pStyle w:val="NoSpacing"/>
        <w:rPr>
          <w:rFonts w:ascii="Times New Roman" w:hAnsi="Times New Roman"/>
          <w:sz w:val="24"/>
          <w:szCs w:val="24"/>
        </w:rPr>
      </w:pPr>
    </w:p>
    <w:p w14:paraId="6475BA3A" w14:textId="77777777" w:rsidR="00B532F6" w:rsidRDefault="00B532F6" w:rsidP="00B532F6">
      <w:pPr>
        <w:pStyle w:val="NoSpacing"/>
        <w:ind w:left="720"/>
        <w:rPr>
          <w:rFonts w:ascii="Times New Roman" w:hAnsi="Times New Roman"/>
          <w:sz w:val="24"/>
          <w:szCs w:val="24"/>
        </w:rPr>
      </w:pPr>
      <w:r>
        <w:rPr>
          <w:rFonts w:ascii="Times New Roman" w:hAnsi="Times New Roman"/>
          <w:sz w:val="24"/>
          <w:szCs w:val="24"/>
        </w:rPr>
        <w:t>“</w:t>
      </w:r>
      <w:r w:rsidRPr="006B1711">
        <w:rPr>
          <w:rFonts w:ascii="Times New Roman" w:hAnsi="Times New Roman"/>
          <w:sz w:val="24"/>
          <w:szCs w:val="24"/>
        </w:rPr>
        <w:t xml:space="preserve">Thus, the City and the Union agreed to the following terms: (1) two double companies would be consolidated into single companies with each station's truck and engine being replaced with a quint; (2) two additional RRVs </w:t>
      </w:r>
      <w:r>
        <w:rPr>
          <w:rFonts w:ascii="Times New Roman" w:hAnsi="Times New Roman"/>
          <w:sz w:val="24"/>
          <w:szCs w:val="24"/>
        </w:rPr>
        <w:t xml:space="preserve">[Rapid Response Vehicles] </w:t>
      </w:r>
      <w:r w:rsidRPr="006B1711">
        <w:rPr>
          <w:rFonts w:ascii="Times New Roman" w:hAnsi="Times New Roman"/>
          <w:sz w:val="24"/>
          <w:szCs w:val="24"/>
        </w:rPr>
        <w:t>would be added (for a total of four); (3) the Union would not oppose or contest these changes; (4) the bargaining unit members would retain their COLA; (5) all stations would be kept open; and (6) the City would apply for the SAFER grant, notwithstanding the mayor's earlier concern that a short-term funding mechanism was merely a "band-aid," with the understanding that receiving the grant would prevent 26 bargaining unit members from being laid off.</w:t>
      </w:r>
    </w:p>
    <w:p w14:paraId="1376363D" w14:textId="77777777" w:rsidR="00B532F6" w:rsidRDefault="00B532F6" w:rsidP="00B532F6">
      <w:pPr>
        <w:pStyle w:val="NoSpacing"/>
        <w:ind w:left="720"/>
        <w:rPr>
          <w:rFonts w:ascii="Times New Roman" w:hAnsi="Times New Roman"/>
          <w:sz w:val="24"/>
          <w:szCs w:val="24"/>
        </w:rPr>
      </w:pPr>
    </w:p>
    <w:p w14:paraId="390B8812" w14:textId="77777777" w:rsidR="00B532F6" w:rsidRDefault="00B532F6" w:rsidP="00B532F6">
      <w:pPr>
        <w:pStyle w:val="NoSpacing"/>
        <w:ind w:left="720"/>
        <w:rPr>
          <w:rFonts w:ascii="Times New Roman" w:hAnsi="Times New Roman"/>
          <w:sz w:val="24"/>
          <w:szCs w:val="24"/>
        </w:rPr>
      </w:pPr>
      <w:r>
        <w:rPr>
          <w:rFonts w:ascii="Times New Roman" w:hAnsi="Times New Roman"/>
          <w:sz w:val="24"/>
          <w:szCs w:val="24"/>
        </w:rPr>
        <w:t>***</w:t>
      </w:r>
    </w:p>
    <w:p w14:paraId="0A6FE013" w14:textId="77777777" w:rsidR="00B532F6" w:rsidRDefault="00B532F6" w:rsidP="00B532F6">
      <w:pPr>
        <w:pStyle w:val="NoSpacing"/>
        <w:ind w:left="720"/>
        <w:rPr>
          <w:rFonts w:ascii="Times New Roman" w:hAnsi="Times New Roman"/>
          <w:sz w:val="24"/>
          <w:szCs w:val="24"/>
        </w:rPr>
      </w:pPr>
    </w:p>
    <w:p w14:paraId="00F401F6" w14:textId="77777777" w:rsidR="00B532F6" w:rsidRDefault="00B532F6" w:rsidP="00B532F6">
      <w:pPr>
        <w:pStyle w:val="NoSpacing"/>
        <w:ind w:left="720"/>
        <w:rPr>
          <w:rFonts w:ascii="Times New Roman" w:hAnsi="Times New Roman"/>
          <w:sz w:val="24"/>
          <w:szCs w:val="24"/>
        </w:rPr>
      </w:pPr>
      <w:r w:rsidRPr="006B1711">
        <w:rPr>
          <w:rFonts w:ascii="Times New Roman" w:hAnsi="Times New Roman"/>
          <w:sz w:val="24"/>
          <w:szCs w:val="24"/>
        </w:rPr>
        <w:t>The Union never requested to bargain about any of the operational changes agreed to above, which are also the subject of this unfair labor practice complaint.</w:t>
      </w:r>
    </w:p>
    <w:p w14:paraId="2BFBF1AA" w14:textId="77777777" w:rsidR="00B532F6" w:rsidRDefault="00B532F6" w:rsidP="00B532F6">
      <w:pPr>
        <w:pStyle w:val="NoSpacing"/>
        <w:ind w:left="720"/>
        <w:rPr>
          <w:rFonts w:ascii="Times New Roman" w:hAnsi="Times New Roman"/>
          <w:sz w:val="24"/>
          <w:szCs w:val="24"/>
        </w:rPr>
      </w:pPr>
    </w:p>
    <w:p w14:paraId="7B72E28B" w14:textId="77777777" w:rsidR="00B532F6" w:rsidRDefault="00B532F6" w:rsidP="00B532F6">
      <w:pPr>
        <w:pStyle w:val="NoSpacing"/>
        <w:ind w:left="720"/>
        <w:rPr>
          <w:rFonts w:ascii="Times New Roman" w:hAnsi="Times New Roman"/>
          <w:sz w:val="24"/>
          <w:szCs w:val="24"/>
        </w:rPr>
      </w:pPr>
      <w:r>
        <w:rPr>
          <w:rFonts w:ascii="Times New Roman" w:hAnsi="Times New Roman"/>
          <w:sz w:val="24"/>
          <w:szCs w:val="24"/>
        </w:rPr>
        <w:t>***</w:t>
      </w:r>
    </w:p>
    <w:p w14:paraId="0169E766" w14:textId="77777777" w:rsidR="00B532F6" w:rsidRDefault="00B532F6" w:rsidP="00B532F6">
      <w:pPr>
        <w:pStyle w:val="NoSpacing"/>
        <w:ind w:left="720"/>
        <w:rPr>
          <w:rFonts w:ascii="Times New Roman" w:hAnsi="Times New Roman"/>
          <w:sz w:val="24"/>
          <w:szCs w:val="24"/>
        </w:rPr>
      </w:pPr>
      <w:r w:rsidRPr="006B1711">
        <w:rPr>
          <w:rFonts w:ascii="Times New Roman" w:hAnsi="Times New Roman"/>
          <w:sz w:val="24"/>
          <w:szCs w:val="24"/>
        </w:rPr>
        <w:t xml:space="preserve">Finally, we disagree with any contention that the Union should prevail on a (1)(e) unilateral change claim where the Union agreed not to contest those unilateral changes. Rather, as set forth above, we conclude that such an express action precludes the filing of </w:t>
      </w:r>
      <w:proofErr w:type="gramStart"/>
      <w:r w:rsidRPr="006B1711">
        <w:rPr>
          <w:rFonts w:ascii="Times New Roman" w:hAnsi="Times New Roman"/>
          <w:sz w:val="24"/>
          <w:szCs w:val="24"/>
        </w:rPr>
        <w:t>a (1)(e)</w:t>
      </w:r>
      <w:proofErr w:type="gramEnd"/>
      <w:r w:rsidRPr="006B1711">
        <w:rPr>
          <w:rFonts w:ascii="Times New Roman" w:hAnsi="Times New Roman"/>
          <w:sz w:val="24"/>
          <w:szCs w:val="24"/>
        </w:rPr>
        <w:t xml:space="preserve"> unilateral change claim. In reaching this conclusion, we reiterate that, unlike other budget discussions, the agreement here included a Union agreement not to contest the specific operational changes that are now the bases for the (1)(e) claim.</w:t>
      </w:r>
      <w:r>
        <w:rPr>
          <w:rFonts w:ascii="Times New Roman" w:hAnsi="Times New Roman"/>
          <w:sz w:val="24"/>
          <w:szCs w:val="24"/>
        </w:rPr>
        <w:t>”</w:t>
      </w:r>
    </w:p>
    <w:p w14:paraId="56DED758" w14:textId="77777777" w:rsidR="00B532F6" w:rsidRPr="00C7458A" w:rsidRDefault="00B532F6" w:rsidP="00B532F6">
      <w:pPr>
        <w:ind w:left="720"/>
        <w:rPr>
          <w:rFonts w:ascii="Times New Roman" w:eastAsia="Times New Roman" w:hAnsi="Times New Roman"/>
          <w:sz w:val="24"/>
          <w:szCs w:val="24"/>
        </w:rPr>
      </w:pPr>
      <w:hyperlink r:id="rId2930" w:history="1">
        <w:r w:rsidRPr="00C7458A">
          <w:rPr>
            <w:rStyle w:val="Hyperlink"/>
            <w:rFonts w:ascii="Times New Roman" w:eastAsia="Times New Roman" w:hAnsi="Times New Roman"/>
            <w:sz w:val="24"/>
            <w:szCs w:val="24"/>
          </w:rPr>
          <w:t>https://public.fastcase.com/Wl%2B2t%2BeVuI35%2FN70vAMFZl7A1gE73iKGMMI%2FPLrMqXgHwn%2FVp9h90PlANd5CkjNU</w:t>
        </w:r>
      </w:hyperlink>
      <w:r w:rsidRPr="00C7458A">
        <w:rPr>
          <w:rFonts w:ascii="Times New Roman" w:eastAsia="Times New Roman" w:hAnsi="Times New Roman"/>
          <w:sz w:val="24"/>
          <w:szCs w:val="24"/>
        </w:rPr>
        <w:t xml:space="preserve"> </w:t>
      </w:r>
    </w:p>
    <w:p w14:paraId="21F2E384" w14:textId="77777777" w:rsidR="00B532F6" w:rsidRPr="006B1711" w:rsidRDefault="00B532F6" w:rsidP="00B532F6">
      <w:pPr>
        <w:rPr>
          <w:rFonts w:ascii="Times New Roman" w:hAnsi="Times New Roman"/>
          <w:b/>
          <w:bCs/>
          <w:sz w:val="24"/>
          <w:szCs w:val="24"/>
        </w:rPr>
      </w:pPr>
      <w:r w:rsidRPr="006B1711">
        <w:rPr>
          <w:rFonts w:ascii="Times New Roman" w:hAnsi="Times New Roman"/>
          <w:b/>
          <w:bCs/>
          <w:sz w:val="24"/>
          <w:szCs w:val="24"/>
        </w:rPr>
        <w:t xml:space="preserve">Legal Lessons Learned: </w:t>
      </w:r>
      <w:r>
        <w:rPr>
          <w:rFonts w:ascii="Times New Roman" w:hAnsi="Times New Roman"/>
          <w:b/>
          <w:bCs/>
          <w:sz w:val="24"/>
          <w:szCs w:val="24"/>
        </w:rPr>
        <w:t xml:space="preserve"> Unfair Labor Practice complaint properly dismissed; Union President was active participant in budget process. </w:t>
      </w:r>
    </w:p>
    <w:p w14:paraId="11892F47" w14:textId="77777777" w:rsidR="00B532F6" w:rsidRDefault="00B532F6" w:rsidP="00F326E5">
      <w:pPr>
        <w:pStyle w:val="NoSpacing"/>
        <w:rPr>
          <w:rFonts w:ascii="Arial Black" w:hAnsi="Arial Black"/>
          <w:sz w:val="24"/>
          <w:szCs w:val="24"/>
        </w:rPr>
      </w:pPr>
    </w:p>
    <w:p w14:paraId="6DC91CF0" w14:textId="77777777" w:rsidR="00B532F6" w:rsidRDefault="00B532F6" w:rsidP="00F326E5">
      <w:pPr>
        <w:pStyle w:val="NoSpacing"/>
        <w:rPr>
          <w:rFonts w:ascii="Arial Black" w:hAnsi="Arial Black"/>
          <w:sz w:val="24"/>
          <w:szCs w:val="24"/>
        </w:rPr>
      </w:pPr>
    </w:p>
    <w:p w14:paraId="692E6A21" w14:textId="179C99E8" w:rsidR="0003275C" w:rsidRDefault="0003275C" w:rsidP="00F326E5">
      <w:pPr>
        <w:pStyle w:val="NoSpacing"/>
        <w:rPr>
          <w:rFonts w:ascii="Arial Black" w:hAnsi="Arial Black"/>
          <w:sz w:val="24"/>
          <w:szCs w:val="24"/>
        </w:rPr>
      </w:pPr>
      <w:r>
        <w:rPr>
          <w:rFonts w:ascii="Arial Black" w:hAnsi="Arial Black"/>
          <w:sz w:val="24"/>
          <w:szCs w:val="24"/>
        </w:rPr>
        <w:t>17-5</w:t>
      </w:r>
    </w:p>
    <w:p w14:paraId="196596E2" w14:textId="695A1246" w:rsidR="0003275C" w:rsidRDefault="0003275C" w:rsidP="00F326E5">
      <w:pPr>
        <w:pStyle w:val="NoSpacing"/>
        <w:rPr>
          <w:rFonts w:ascii="Arial Black" w:hAnsi="Arial Black"/>
          <w:sz w:val="24"/>
          <w:szCs w:val="24"/>
        </w:rPr>
      </w:pPr>
    </w:p>
    <w:p w14:paraId="105DF025" w14:textId="77777777" w:rsidR="0003275C" w:rsidRDefault="0003275C" w:rsidP="0003275C">
      <w:pPr>
        <w:pStyle w:val="NoSpacing"/>
        <w:rPr>
          <w:rFonts w:ascii="Arial Black" w:hAnsi="Arial Black"/>
          <w:sz w:val="28"/>
          <w:szCs w:val="28"/>
        </w:rPr>
      </w:pPr>
      <w:bookmarkStart w:id="634" w:name="_Hlk66950562"/>
      <w:r>
        <w:rPr>
          <w:rFonts w:ascii="Arial Black" w:hAnsi="Arial Black"/>
          <w:sz w:val="28"/>
          <w:szCs w:val="28"/>
        </w:rPr>
        <w:t>NJ</w:t>
      </w:r>
      <w:r w:rsidRPr="002E3EF7">
        <w:rPr>
          <w:rFonts w:ascii="Arial Black" w:hAnsi="Arial Black"/>
          <w:sz w:val="28"/>
          <w:szCs w:val="28"/>
        </w:rPr>
        <w:t xml:space="preserve">: </w:t>
      </w:r>
      <w:r>
        <w:rPr>
          <w:rFonts w:ascii="Arial Black" w:hAnsi="Arial Black"/>
          <w:sz w:val="28"/>
          <w:szCs w:val="28"/>
        </w:rPr>
        <w:t>FD REORGANIZED - 4 NEW LT. POSITIONS – REVERSED ARBITRATOR – NOT ENTITLED TO “ACTING CAPTAIN” PAY</w:t>
      </w:r>
    </w:p>
    <w:p w14:paraId="7ED270C9" w14:textId="77777777" w:rsidR="0003275C" w:rsidRDefault="0003275C" w:rsidP="0003275C">
      <w:pPr>
        <w:pStyle w:val="NoSpacing"/>
        <w:rPr>
          <w:rFonts w:ascii="Times New Roman" w:hAnsi="Times New Roman"/>
          <w:sz w:val="24"/>
          <w:szCs w:val="24"/>
        </w:rPr>
      </w:pPr>
    </w:p>
    <w:p w14:paraId="622679BA" w14:textId="7840484B" w:rsidR="0003275C" w:rsidRDefault="0003275C" w:rsidP="0003275C">
      <w:pPr>
        <w:pStyle w:val="NoSpacing"/>
        <w:rPr>
          <w:rFonts w:ascii="Times New Roman" w:hAnsi="Times New Roman"/>
          <w:sz w:val="24"/>
          <w:szCs w:val="24"/>
        </w:rPr>
      </w:pPr>
      <w:r w:rsidRPr="00002A3F">
        <w:rPr>
          <w:rFonts w:ascii="Times New Roman" w:hAnsi="Times New Roman"/>
          <w:sz w:val="24"/>
          <w:szCs w:val="24"/>
        </w:rPr>
        <w:t xml:space="preserve">On </w:t>
      </w:r>
      <w:r>
        <w:rPr>
          <w:rFonts w:ascii="Times New Roman" w:hAnsi="Times New Roman"/>
          <w:sz w:val="24"/>
          <w:szCs w:val="24"/>
        </w:rPr>
        <w:t xml:space="preserve">June 25, 2020, in </w:t>
      </w:r>
      <w:r w:rsidRPr="00002A3F">
        <w:rPr>
          <w:rFonts w:ascii="Times New Roman" w:hAnsi="Times New Roman"/>
          <w:sz w:val="24"/>
          <w:szCs w:val="24"/>
          <w:u w:val="single"/>
        </w:rPr>
        <w:t>Borough of Carteret v. Firefighters Mutual Benefit Association, Local 67</w:t>
      </w:r>
      <w:r>
        <w:rPr>
          <w:rFonts w:ascii="Times New Roman" w:hAnsi="Times New Roman"/>
          <w:sz w:val="24"/>
          <w:szCs w:val="24"/>
        </w:rPr>
        <w:t xml:space="preserve">,  the Superior Court of New Jersey, Appellate Division held (2 to 0; unpublished decision) that the trial judge improperly </w:t>
      </w:r>
      <w:r>
        <w:rPr>
          <w:rFonts w:ascii="Times New Roman" w:hAnsi="Times New Roman"/>
          <w:sz w:val="24"/>
          <w:szCs w:val="24"/>
        </w:rPr>
        <w:lastRenderedPageBreak/>
        <w:t xml:space="preserve">upheld the Arbitrator’s award of “acting Captain” back pay to the four Lieutenants.  Under the Collective Bargaining Agreement in effect when the Lieutenants were hired, senior firefighters who filled in for Captains were paid the </w:t>
      </w:r>
      <w:proofErr w:type="gramStart"/>
      <w:r>
        <w:rPr>
          <w:rFonts w:ascii="Times New Roman" w:hAnsi="Times New Roman"/>
          <w:sz w:val="24"/>
          <w:szCs w:val="24"/>
        </w:rPr>
        <w:t>Captains</w:t>
      </w:r>
      <w:proofErr w:type="gramEnd"/>
      <w:r>
        <w:rPr>
          <w:rFonts w:ascii="Times New Roman" w:hAnsi="Times New Roman"/>
          <w:sz w:val="24"/>
          <w:szCs w:val="24"/>
        </w:rPr>
        <w:t xml:space="preserve"> hourly rate.  When the Union filed the Grievance, the four new Lieutenants have been working for the past four years on the Lieutenant’s pay ($1,500 per year above FF pay) and never requested “Acting Captain” pay when fulfilling a Captain’s shift duties. The Court held, “</w:t>
      </w:r>
      <w:r w:rsidRPr="00A362F1">
        <w:rPr>
          <w:rFonts w:ascii="Times New Roman" w:hAnsi="Times New Roman"/>
          <w:sz w:val="24"/>
          <w:szCs w:val="24"/>
        </w:rPr>
        <w:t xml:space="preserve">It is not insignificant the arbitrator rejected the Borough's </w:t>
      </w:r>
      <w:r>
        <w:rPr>
          <w:rFonts w:ascii="Times New Roman" w:hAnsi="Times New Roman"/>
          <w:sz w:val="24"/>
          <w:szCs w:val="24"/>
        </w:rPr>
        <w:t>‘</w:t>
      </w:r>
      <w:r w:rsidRPr="00A362F1">
        <w:rPr>
          <w:rFonts w:ascii="Times New Roman" w:hAnsi="Times New Roman"/>
          <w:sz w:val="24"/>
          <w:szCs w:val="24"/>
        </w:rPr>
        <w:t>past practice</w:t>
      </w:r>
      <w:r>
        <w:rPr>
          <w:rFonts w:ascii="Times New Roman" w:hAnsi="Times New Roman"/>
          <w:sz w:val="24"/>
          <w:szCs w:val="24"/>
        </w:rPr>
        <w:t>’</w:t>
      </w:r>
      <w:r w:rsidRPr="00A362F1">
        <w:rPr>
          <w:rFonts w:ascii="Times New Roman" w:hAnsi="Times New Roman"/>
          <w:sz w:val="24"/>
          <w:szCs w:val="24"/>
        </w:rPr>
        <w:t xml:space="preserve"> argument and gave virtually no consideration to the lieutenants performing their job duties, including acting in the place of a fire captain in his or her absence, for four years without a request for any pay beyond that to </w:t>
      </w:r>
    </w:p>
    <w:p w14:paraId="7918B320" w14:textId="77777777" w:rsidR="0003275C" w:rsidRDefault="0003275C" w:rsidP="0003275C">
      <w:pPr>
        <w:pStyle w:val="NoSpacing"/>
        <w:rPr>
          <w:rFonts w:ascii="Times New Roman" w:eastAsia="Times New Roman" w:hAnsi="Times New Roman"/>
          <w:b/>
          <w:bCs/>
          <w:sz w:val="24"/>
          <w:szCs w:val="24"/>
        </w:rPr>
      </w:pPr>
      <w:r w:rsidRPr="00A362F1">
        <w:rPr>
          <w:rFonts w:ascii="Times New Roman" w:hAnsi="Times New Roman"/>
          <w:sz w:val="24"/>
          <w:szCs w:val="24"/>
        </w:rPr>
        <w:t>which they were entitled</w:t>
      </w:r>
      <w:r>
        <w:rPr>
          <w:rFonts w:ascii="Times New Roman" w:hAnsi="Times New Roman"/>
          <w:sz w:val="24"/>
          <w:szCs w:val="24"/>
        </w:rPr>
        <w:t xml:space="preserve"> </w:t>
      </w:r>
      <w:r w:rsidRPr="00A362F1">
        <w:rPr>
          <w:rFonts w:ascii="Times New Roman" w:hAnsi="Times New Roman"/>
          <w:sz w:val="24"/>
          <w:szCs w:val="24"/>
        </w:rPr>
        <w:t>under</w:t>
      </w:r>
      <w:r>
        <w:rPr>
          <w:rFonts w:ascii="Times New Roman" w:hAnsi="Times New Roman"/>
          <w:sz w:val="24"/>
          <w:szCs w:val="24"/>
        </w:rPr>
        <w:t xml:space="preserve"> </w:t>
      </w:r>
      <w:r w:rsidRPr="00A362F1">
        <w:rPr>
          <w:rFonts w:ascii="Times New Roman" w:hAnsi="Times New Roman"/>
          <w:sz w:val="24"/>
          <w:szCs w:val="24"/>
        </w:rPr>
        <w:t>the Borough's salary ordinance.</w:t>
      </w:r>
      <w:r>
        <w:rPr>
          <w:rFonts w:ascii="Times New Roman" w:hAnsi="Times New Roman"/>
          <w:sz w:val="24"/>
          <w:szCs w:val="24"/>
        </w:rPr>
        <w:t xml:space="preserve">” </w:t>
      </w:r>
      <w:hyperlink r:id="rId2931" w:history="1">
        <w:r w:rsidRPr="006B0F65">
          <w:rPr>
            <w:rStyle w:val="Hyperlink"/>
            <w:rFonts w:ascii="Times New Roman" w:hAnsi="Times New Roman"/>
            <w:sz w:val="24"/>
            <w:szCs w:val="24"/>
          </w:rPr>
          <w:t>https://njcourts.gov/attorneys/assets/opinions/appellate/unpublished/a2277-18.pdf</w:t>
        </w:r>
      </w:hyperlink>
      <w:r>
        <w:rPr>
          <w:rFonts w:ascii="Times New Roman" w:hAnsi="Times New Roman"/>
          <w:sz w:val="24"/>
          <w:szCs w:val="24"/>
        </w:rPr>
        <w:t xml:space="preserve"> </w:t>
      </w:r>
    </w:p>
    <w:p w14:paraId="3F7BEDC8" w14:textId="77777777" w:rsidR="0003275C" w:rsidRDefault="0003275C" w:rsidP="00F326E5">
      <w:pPr>
        <w:pStyle w:val="NoSpacing"/>
        <w:rPr>
          <w:rFonts w:ascii="Arial Black" w:hAnsi="Arial Black"/>
          <w:sz w:val="24"/>
          <w:szCs w:val="24"/>
        </w:rPr>
      </w:pPr>
    </w:p>
    <w:p w14:paraId="49C4AC30" w14:textId="77777777" w:rsidR="0003275C" w:rsidRPr="00BF19C3" w:rsidRDefault="0003275C" w:rsidP="0003275C">
      <w:pPr>
        <w:pStyle w:val="NoSpacing"/>
        <w:tabs>
          <w:tab w:val="left" w:pos="2800"/>
        </w:tabs>
        <w:rPr>
          <w:rFonts w:ascii="Times New Roman" w:hAnsi="Times New Roman"/>
          <w:b/>
          <w:bCs/>
        </w:rPr>
      </w:pPr>
      <w:r w:rsidRPr="00BF19C3">
        <w:rPr>
          <w:rFonts w:ascii="Times New Roman" w:hAnsi="Times New Roman"/>
          <w:b/>
          <w:bCs/>
        </w:rPr>
        <w:t>Legal Lessons Learned</w:t>
      </w:r>
      <w:r>
        <w:rPr>
          <w:rFonts w:ascii="Times New Roman" w:hAnsi="Times New Roman"/>
          <w:b/>
          <w:bCs/>
        </w:rPr>
        <w:t xml:space="preserve">: If FD is reorganizing with new Lieutenant positions, negotiate an amended Collective Bargaining Agreement so that the City, the Union and all personal have a clear agreement on the pay and duties of the new Lieutenants, and whether they are eligible for “Acting Captain” pay. </w:t>
      </w:r>
    </w:p>
    <w:bookmarkEnd w:id="634"/>
    <w:p w14:paraId="06F0F33D" w14:textId="221F4F99" w:rsidR="0003275C" w:rsidRDefault="0003275C" w:rsidP="00F326E5">
      <w:pPr>
        <w:pStyle w:val="NoSpacing"/>
        <w:rPr>
          <w:rFonts w:ascii="Arial Black" w:hAnsi="Arial Black"/>
          <w:sz w:val="24"/>
          <w:szCs w:val="24"/>
        </w:rPr>
      </w:pPr>
    </w:p>
    <w:p w14:paraId="263D6179" w14:textId="1BD11DF9" w:rsidR="0003275C" w:rsidRDefault="0003275C" w:rsidP="00F326E5">
      <w:pPr>
        <w:pStyle w:val="NoSpacing"/>
        <w:rPr>
          <w:rFonts w:ascii="Arial Black" w:hAnsi="Arial Black"/>
          <w:sz w:val="24"/>
          <w:szCs w:val="24"/>
        </w:rPr>
      </w:pPr>
    </w:p>
    <w:p w14:paraId="4077AA15" w14:textId="77777777" w:rsidR="0003275C" w:rsidRDefault="0003275C" w:rsidP="00F326E5">
      <w:pPr>
        <w:pStyle w:val="NoSpacing"/>
        <w:rPr>
          <w:rFonts w:ascii="Arial Black" w:hAnsi="Arial Black"/>
          <w:sz w:val="24"/>
          <w:szCs w:val="24"/>
        </w:rPr>
      </w:pPr>
    </w:p>
    <w:p w14:paraId="43BB32A5" w14:textId="34AA5E50" w:rsidR="00407100" w:rsidRDefault="00407100" w:rsidP="00F326E5">
      <w:pPr>
        <w:pStyle w:val="NoSpacing"/>
        <w:rPr>
          <w:rFonts w:ascii="Arial Black" w:hAnsi="Arial Black"/>
          <w:sz w:val="24"/>
          <w:szCs w:val="24"/>
        </w:rPr>
      </w:pPr>
      <w:bookmarkStart w:id="635" w:name="_Hlk66950624"/>
      <w:r>
        <w:rPr>
          <w:rFonts w:ascii="Arial Black" w:hAnsi="Arial Black"/>
          <w:sz w:val="24"/>
          <w:szCs w:val="24"/>
        </w:rPr>
        <w:t>17-4</w:t>
      </w:r>
    </w:p>
    <w:p w14:paraId="5171C576" w14:textId="77777777" w:rsidR="00407100" w:rsidRPr="00714787" w:rsidRDefault="00407100" w:rsidP="00407100">
      <w:pPr>
        <w:pStyle w:val="NormalWeb"/>
        <w:rPr>
          <w:rFonts w:ascii="Arial Black" w:hAnsi="Arial Black" w:cs="Arial"/>
          <w:sz w:val="28"/>
          <w:szCs w:val="28"/>
        </w:rPr>
      </w:pPr>
      <w:bookmarkStart w:id="636" w:name="_Hlk39773193"/>
      <w:r w:rsidRPr="00714787">
        <w:rPr>
          <w:rFonts w:ascii="Arial Black" w:hAnsi="Arial Black" w:cs="Arial"/>
          <w:sz w:val="28"/>
          <w:szCs w:val="28"/>
        </w:rPr>
        <w:t xml:space="preserve">TX: </w:t>
      </w:r>
      <w:r>
        <w:rPr>
          <w:rFonts w:ascii="Arial Black" w:hAnsi="Arial Black" w:cs="Arial"/>
          <w:sz w:val="28"/>
          <w:szCs w:val="28"/>
        </w:rPr>
        <w:t xml:space="preserve">HOUSTON FD – 3 FFs FAILED PARAMEDIC SCHOOL – FIRED, NO ADMIN APPEAL - ARBITRATOR ORDERS RE-HIRED </w:t>
      </w:r>
    </w:p>
    <w:p w14:paraId="67D89F3B" w14:textId="7CD72420" w:rsidR="00407100" w:rsidRDefault="00407100" w:rsidP="00407100">
      <w:pPr>
        <w:pStyle w:val="NormalWeb"/>
      </w:pPr>
      <w:r w:rsidRPr="007D12E1">
        <w:t xml:space="preserve">On </w:t>
      </w:r>
      <w:bookmarkStart w:id="637" w:name="_Hlk39860160"/>
      <w:r>
        <w:t xml:space="preserve">March 31, 2020, in </w:t>
      </w:r>
      <w:r w:rsidRPr="007D12E1">
        <w:rPr>
          <w:u w:val="single"/>
        </w:rPr>
        <w:t>City of Houston v. Houston Professional Fire Fighters’ Association, Local 341</w:t>
      </w:r>
      <w:bookmarkEnd w:id="637"/>
      <w:r>
        <w:t>, the Texas Fourteenth Court of Appeals held (3 to 0) that the trial court properly upheld the Arbitrator’s decision.  The grievance was filed after the FD in 2014 for the first time fired three permanent, non-probationary firefighters without an administrative appeal “f</w:t>
      </w:r>
      <w:r w:rsidRPr="007D12E1">
        <w:t>or failure to achieve paramedic certification.</w:t>
      </w:r>
      <w:r>
        <w:t xml:space="preserve">”  The arbitrator held that the grievance was filed timely, that the FD changed </w:t>
      </w:r>
      <w:proofErr w:type="gramStart"/>
      <w:r>
        <w:t>a working condition</w:t>
      </w:r>
      <w:proofErr w:type="gramEnd"/>
      <w:r>
        <w:t xml:space="preserve"> in breach of the CBA, and the appropriate remedy was reinstatement </w:t>
      </w:r>
      <w:proofErr w:type="gramStart"/>
      <w:r>
        <w:t>of</w:t>
      </w:r>
      <w:proofErr w:type="gramEnd"/>
      <w:r>
        <w:t xml:space="preserve"> three firefighters. </w:t>
      </w:r>
    </w:p>
    <w:bookmarkEnd w:id="635"/>
    <w:p w14:paraId="352B192E" w14:textId="5BC830B3" w:rsidR="00407100" w:rsidRDefault="00407100" w:rsidP="00407100">
      <w:pPr>
        <w:pStyle w:val="NoSpacing"/>
        <w:ind w:left="720"/>
        <w:rPr>
          <w:rStyle w:val="Hyperlink"/>
          <w:rFonts w:ascii="Times New Roman" w:hAnsi="Times New Roman"/>
          <w:sz w:val="24"/>
          <w:szCs w:val="24"/>
        </w:rPr>
      </w:pPr>
      <w:r w:rsidRPr="00407100">
        <w:rPr>
          <w:rFonts w:ascii="Times New Roman" w:hAnsi="Times New Roman"/>
          <w:sz w:val="24"/>
          <w:szCs w:val="24"/>
        </w:rPr>
        <w:t xml:space="preserve">“The City asserts the arbitrator had no jurisdiction to order reinstatement of the terminated employees because the CBA did not specifically grant the arbitrator the authority to reinstate…. Texas courts likewise have reached the conclusion that ‘an arbitrator has broad discretion in fashioning an appropriate remedy.’ Forest Oil Corp. v. El </w:t>
      </w:r>
      <w:proofErr w:type="spellStart"/>
      <w:r w:rsidRPr="00407100">
        <w:rPr>
          <w:rFonts w:ascii="Times New Roman" w:hAnsi="Times New Roman"/>
          <w:sz w:val="24"/>
          <w:szCs w:val="24"/>
        </w:rPr>
        <w:t>Rucio</w:t>
      </w:r>
      <w:proofErr w:type="spellEnd"/>
      <w:r w:rsidRPr="00407100">
        <w:rPr>
          <w:rFonts w:ascii="Times New Roman" w:hAnsi="Times New Roman"/>
          <w:sz w:val="24"/>
          <w:szCs w:val="24"/>
        </w:rPr>
        <w:t xml:space="preserve"> Land &amp; Cattle Co., Inc., 446 S.W.3d 58, 82 (Tex. App.—Houston [1st Dist.] 2014), aff’d,518 S.W.3d 422 (Tex. 2017); see </w:t>
      </w:r>
      <w:proofErr w:type="spellStart"/>
      <w:r w:rsidRPr="00407100">
        <w:rPr>
          <w:rFonts w:ascii="Times New Roman" w:hAnsi="Times New Roman"/>
          <w:sz w:val="24"/>
          <w:szCs w:val="24"/>
        </w:rPr>
        <w:t>Daniewicz</w:t>
      </w:r>
      <w:proofErr w:type="spellEnd"/>
      <w:r w:rsidRPr="00407100">
        <w:rPr>
          <w:rFonts w:ascii="Times New Roman" w:hAnsi="Times New Roman"/>
          <w:sz w:val="24"/>
          <w:szCs w:val="24"/>
        </w:rPr>
        <w:t xml:space="preserve"> v. </w:t>
      </w:r>
      <w:proofErr w:type="spellStart"/>
      <w:r w:rsidRPr="00407100">
        <w:rPr>
          <w:rFonts w:ascii="Times New Roman" w:hAnsi="Times New Roman"/>
          <w:sz w:val="24"/>
          <w:szCs w:val="24"/>
        </w:rPr>
        <w:t>Thermo</w:t>
      </w:r>
      <w:proofErr w:type="spellEnd"/>
      <w:r w:rsidRPr="00407100">
        <w:rPr>
          <w:rFonts w:ascii="Times New Roman" w:hAnsi="Times New Roman"/>
          <w:sz w:val="24"/>
          <w:szCs w:val="24"/>
        </w:rPr>
        <w:t xml:space="preserve"> Instrument Sys., Inc., 992 S.W.2d 713, 718 (Tex. App.—Austin 1999, pet. denied</w:t>
      </w:r>
      <w:proofErr w:type="gramStart"/>
      <w:r w:rsidRPr="00407100">
        <w:rPr>
          <w:rFonts w:ascii="Times New Roman" w:hAnsi="Times New Roman"/>
          <w:sz w:val="24"/>
          <w:szCs w:val="24"/>
        </w:rPr>
        <w:t>)(‘</w:t>
      </w:r>
      <w:proofErr w:type="gramEnd"/>
      <w:r w:rsidRPr="00407100">
        <w:rPr>
          <w:rFonts w:ascii="Times New Roman" w:hAnsi="Times New Roman"/>
          <w:sz w:val="24"/>
          <w:szCs w:val="24"/>
        </w:rPr>
        <w:t>[A]</w:t>
      </w:r>
      <w:proofErr w:type="spellStart"/>
      <w:r w:rsidRPr="00407100">
        <w:rPr>
          <w:rFonts w:ascii="Times New Roman" w:hAnsi="Times New Roman"/>
          <w:sz w:val="24"/>
          <w:szCs w:val="24"/>
        </w:rPr>
        <w:t>rbitrators</w:t>
      </w:r>
      <w:proofErr w:type="spellEnd"/>
      <w:r w:rsidRPr="00407100">
        <w:rPr>
          <w:rFonts w:ascii="Times New Roman" w:hAnsi="Times New Roman"/>
          <w:sz w:val="24"/>
          <w:szCs w:val="24"/>
        </w:rPr>
        <w:t xml:space="preserve"> have traditionally enjoyed broad leeway to fashion remedies.’). In the CBA, the parties do not prohibit reinstatement as a remedy. The common-law grounds for vacating an arbitration award are exceedingly narrow and do not include an arbitrator’s error in applying the law. See Jefferson </w:t>
      </w:r>
      <w:proofErr w:type="spellStart"/>
      <w:r w:rsidRPr="00407100">
        <w:rPr>
          <w:rFonts w:ascii="Times New Roman" w:hAnsi="Times New Roman"/>
          <w:sz w:val="24"/>
          <w:szCs w:val="24"/>
        </w:rPr>
        <w:t>Cty</w:t>
      </w:r>
      <w:proofErr w:type="spellEnd"/>
      <w:r w:rsidRPr="00407100">
        <w:rPr>
          <w:rFonts w:ascii="Times New Roman" w:hAnsi="Times New Roman"/>
          <w:sz w:val="24"/>
          <w:szCs w:val="24"/>
        </w:rPr>
        <w:t xml:space="preserve">., 546 S.W.3d at 674.We conclude that the arbitrator did not exceed her authority in ordering reinstatement of the terminated employees.” </w:t>
      </w:r>
      <w:bookmarkStart w:id="638" w:name="_Hlk39860179"/>
      <w:bookmarkStart w:id="639" w:name="_Hlk66950656"/>
      <w:r w:rsidR="00B0089C">
        <w:fldChar w:fldCharType="begin"/>
      </w:r>
      <w:r w:rsidR="00B0089C">
        <w:instrText xml:space="preserve"> HYPERLINK "http://www.search.txcourts.gov/SearchMedia.aspx?MediaVersionID=626f97ca-ee1f-49a9-84b9-cd95d90130e2&amp;MediaID=cb138ca2-8cd7-449e-b059-6b73f43cbe76&amp;coa=%22%20+%20this.CurrentWebState.CurrentCourt%20+%20@%22&amp;DT=Opinion" </w:instrText>
      </w:r>
      <w:r w:rsidR="00B0089C">
        <w:fldChar w:fldCharType="separate"/>
      </w:r>
      <w:r w:rsidRPr="00407100">
        <w:rPr>
          <w:rStyle w:val="Hyperlink"/>
          <w:rFonts w:ascii="Times New Roman" w:hAnsi="Times New Roman"/>
          <w:sz w:val="24"/>
          <w:szCs w:val="24"/>
        </w:rPr>
        <w:t>http://www.search.txcourts.gov/SearchMedia.aspx?MediaVersionID=626f97ca-ee1f-49a9-84b9-cd95d90130e2&amp;MediaID=cb138ca2-8cd7-449e-b059-6b73f43cbe76&amp;coa=%22%20+%20this.CurrentWebState.CurrentCourt%20+%20@%22&amp;DT=Opinion</w:t>
      </w:r>
      <w:r w:rsidR="00B0089C">
        <w:rPr>
          <w:rStyle w:val="Hyperlink"/>
          <w:rFonts w:ascii="Times New Roman" w:hAnsi="Times New Roman"/>
          <w:sz w:val="24"/>
          <w:szCs w:val="24"/>
        </w:rPr>
        <w:fldChar w:fldCharType="end"/>
      </w:r>
    </w:p>
    <w:bookmarkEnd w:id="636"/>
    <w:p w14:paraId="2A013931" w14:textId="0BFBD170" w:rsidR="00407100" w:rsidRDefault="00407100" w:rsidP="00407100">
      <w:pPr>
        <w:pStyle w:val="NoSpacing"/>
        <w:ind w:left="720"/>
        <w:rPr>
          <w:rStyle w:val="Hyperlink"/>
          <w:rFonts w:ascii="Times New Roman" w:hAnsi="Times New Roman"/>
          <w:sz w:val="24"/>
          <w:szCs w:val="24"/>
        </w:rPr>
      </w:pPr>
    </w:p>
    <w:p w14:paraId="1868A896" w14:textId="77777777" w:rsidR="00407100" w:rsidRPr="00EE7DDA" w:rsidRDefault="00407100" w:rsidP="00407100">
      <w:pPr>
        <w:pStyle w:val="NoSpacing"/>
        <w:rPr>
          <w:rFonts w:ascii="Times New Roman" w:hAnsi="Times New Roman"/>
          <w:b/>
          <w:bCs/>
          <w:sz w:val="24"/>
          <w:szCs w:val="24"/>
        </w:rPr>
      </w:pPr>
      <w:bookmarkStart w:id="640" w:name="_Hlk40517172"/>
      <w:bookmarkEnd w:id="638"/>
      <w:r w:rsidRPr="00EE7DDA">
        <w:rPr>
          <w:rFonts w:ascii="Times New Roman" w:hAnsi="Times New Roman"/>
          <w:b/>
          <w:bCs/>
          <w:sz w:val="24"/>
          <w:szCs w:val="24"/>
        </w:rPr>
        <w:t xml:space="preserve">Legal Lessons Learned: Arbitrators have broad authority to determine timeliness of </w:t>
      </w:r>
      <w:proofErr w:type="gramStart"/>
      <w:r w:rsidRPr="00EE7DDA">
        <w:rPr>
          <w:rFonts w:ascii="Times New Roman" w:hAnsi="Times New Roman"/>
          <w:b/>
          <w:bCs/>
          <w:sz w:val="24"/>
          <w:szCs w:val="24"/>
        </w:rPr>
        <w:t>a grievance</w:t>
      </w:r>
      <w:proofErr w:type="gramEnd"/>
      <w:r w:rsidRPr="00EE7DDA">
        <w:rPr>
          <w:rFonts w:ascii="Times New Roman" w:hAnsi="Times New Roman"/>
          <w:b/>
          <w:bCs/>
          <w:sz w:val="24"/>
          <w:szCs w:val="24"/>
        </w:rPr>
        <w:t xml:space="preserve">, and appropriate remedy for breach of CBA. </w:t>
      </w:r>
    </w:p>
    <w:bookmarkEnd w:id="639"/>
    <w:bookmarkEnd w:id="640"/>
    <w:p w14:paraId="569E77D9" w14:textId="77777777" w:rsidR="00407100" w:rsidRPr="00407100" w:rsidRDefault="00407100" w:rsidP="00407100">
      <w:pPr>
        <w:pStyle w:val="NoSpacing"/>
        <w:ind w:left="720"/>
        <w:rPr>
          <w:rFonts w:ascii="Times New Roman" w:hAnsi="Times New Roman"/>
          <w:sz w:val="24"/>
          <w:szCs w:val="24"/>
        </w:rPr>
      </w:pPr>
    </w:p>
    <w:p w14:paraId="2EB103C6" w14:textId="77777777" w:rsidR="00407100" w:rsidRDefault="00407100" w:rsidP="00F326E5">
      <w:pPr>
        <w:pStyle w:val="NoSpacing"/>
        <w:rPr>
          <w:rFonts w:ascii="Arial Black" w:hAnsi="Arial Black"/>
          <w:sz w:val="24"/>
          <w:szCs w:val="24"/>
        </w:rPr>
      </w:pPr>
    </w:p>
    <w:p w14:paraId="72AF88B5" w14:textId="3EFDEE70" w:rsidR="007A1E7A" w:rsidRDefault="007A1E7A" w:rsidP="00F326E5">
      <w:pPr>
        <w:pStyle w:val="NoSpacing"/>
        <w:rPr>
          <w:rFonts w:ascii="Arial Black" w:hAnsi="Arial Black"/>
          <w:sz w:val="24"/>
          <w:szCs w:val="24"/>
        </w:rPr>
      </w:pPr>
      <w:r>
        <w:rPr>
          <w:rFonts w:ascii="Arial Black" w:hAnsi="Arial Black"/>
          <w:sz w:val="24"/>
          <w:szCs w:val="24"/>
        </w:rPr>
        <w:t>17-3</w:t>
      </w:r>
    </w:p>
    <w:p w14:paraId="44BC6CD3" w14:textId="5660370E" w:rsidR="007A1E7A" w:rsidRDefault="007A1E7A" w:rsidP="007A1E7A">
      <w:pPr>
        <w:spacing w:before="100" w:beforeAutospacing="1" w:after="100" w:afterAutospacing="1" w:line="240" w:lineRule="auto"/>
        <w:rPr>
          <w:rFonts w:ascii="Arial Black" w:hAnsi="Arial Black"/>
          <w:sz w:val="28"/>
          <w:szCs w:val="28"/>
        </w:rPr>
      </w:pPr>
      <w:bookmarkStart w:id="641" w:name="_Hlk39773254"/>
      <w:r>
        <w:rPr>
          <w:rFonts w:ascii="Arial Black" w:hAnsi="Arial Black"/>
          <w:sz w:val="28"/>
          <w:szCs w:val="28"/>
        </w:rPr>
        <w:lastRenderedPageBreak/>
        <w:t xml:space="preserve">OH: COLUMBUS FD SOUGHT TO CONVERT NUMEROUS FD JOBS </w:t>
      </w:r>
      <w:r w:rsidR="00407100">
        <w:rPr>
          <w:rFonts w:ascii="Arial Black" w:hAnsi="Arial Black"/>
          <w:sz w:val="28"/>
          <w:szCs w:val="28"/>
        </w:rPr>
        <w:t xml:space="preserve">TO </w:t>
      </w:r>
      <w:r>
        <w:rPr>
          <w:rFonts w:ascii="Arial Black" w:hAnsi="Arial Black"/>
          <w:sz w:val="28"/>
          <w:szCs w:val="28"/>
        </w:rPr>
        <w:t xml:space="preserve">“CIVIL” POSITIONS - LOCAL 67 </w:t>
      </w:r>
      <w:proofErr w:type="gramStart"/>
      <w:r>
        <w:rPr>
          <w:rFonts w:ascii="Arial Black" w:hAnsi="Arial Black"/>
          <w:sz w:val="28"/>
          <w:szCs w:val="28"/>
        </w:rPr>
        <w:t>GRIEVANCE</w:t>
      </w:r>
      <w:proofErr w:type="gramEnd"/>
      <w:r>
        <w:rPr>
          <w:rFonts w:ascii="Arial Black" w:hAnsi="Arial Black"/>
          <w:sz w:val="28"/>
          <w:szCs w:val="28"/>
        </w:rPr>
        <w:t xml:space="preserve"> UPHELD</w:t>
      </w:r>
    </w:p>
    <w:p w14:paraId="0BA7AF1A" w14:textId="77777777" w:rsidR="007A1E7A" w:rsidRPr="004B30C8" w:rsidRDefault="007A1E7A" w:rsidP="007A1E7A">
      <w:pPr>
        <w:spacing w:before="100" w:beforeAutospacing="1" w:after="100" w:afterAutospacing="1" w:line="240" w:lineRule="auto"/>
        <w:rPr>
          <w:rFonts w:ascii="Times New Roman" w:hAnsi="Times New Roman"/>
          <w:sz w:val="24"/>
          <w:szCs w:val="24"/>
        </w:rPr>
      </w:pPr>
      <w:r w:rsidRPr="004B30C8">
        <w:rPr>
          <w:rFonts w:ascii="Times New Roman" w:hAnsi="Times New Roman"/>
          <w:sz w:val="24"/>
          <w:szCs w:val="24"/>
        </w:rPr>
        <w:t xml:space="preserve">On </w:t>
      </w:r>
      <w:bookmarkStart w:id="642" w:name="_Hlk39860957"/>
      <w:r w:rsidRPr="004B30C8">
        <w:rPr>
          <w:rFonts w:ascii="Times New Roman" w:hAnsi="Times New Roman"/>
          <w:sz w:val="24"/>
          <w:szCs w:val="24"/>
        </w:rPr>
        <w:t xml:space="preserve">Feb. 4, 2020, in </w:t>
      </w:r>
      <w:r w:rsidRPr="004B30C8">
        <w:rPr>
          <w:rFonts w:ascii="Times New Roman" w:hAnsi="Times New Roman"/>
          <w:sz w:val="24"/>
          <w:szCs w:val="24"/>
          <w:u w:val="single"/>
        </w:rPr>
        <w:t>City of Columbus v. IAFF Local 67</w:t>
      </w:r>
      <w:bookmarkEnd w:id="642"/>
      <w:r w:rsidRPr="004B30C8">
        <w:rPr>
          <w:rFonts w:ascii="Times New Roman" w:hAnsi="Times New Roman"/>
          <w:sz w:val="24"/>
          <w:szCs w:val="24"/>
        </w:rPr>
        <w:t xml:space="preserve">, the Ohio Court of Appeals </w:t>
      </w:r>
      <w:proofErr w:type="gramStart"/>
      <w:r w:rsidRPr="004B30C8">
        <w:rPr>
          <w:rFonts w:ascii="Times New Roman" w:hAnsi="Times New Roman"/>
          <w:sz w:val="24"/>
          <w:szCs w:val="24"/>
        </w:rPr>
        <w:t>For</w:t>
      </w:r>
      <w:proofErr w:type="gramEnd"/>
      <w:r w:rsidRPr="004B30C8">
        <w:rPr>
          <w:rFonts w:ascii="Times New Roman" w:hAnsi="Times New Roman"/>
          <w:sz w:val="24"/>
          <w:szCs w:val="24"/>
        </w:rPr>
        <w:t xml:space="preserve"> Tenth District, held (3 to 0) </w:t>
      </w:r>
      <w:proofErr w:type="gramStart"/>
      <w:r w:rsidRPr="004B30C8">
        <w:rPr>
          <w:rFonts w:ascii="Times New Roman" w:hAnsi="Times New Roman"/>
          <w:sz w:val="24"/>
          <w:szCs w:val="24"/>
        </w:rPr>
        <w:t>affirmed</w:t>
      </w:r>
      <w:proofErr w:type="gramEnd"/>
      <w:r w:rsidRPr="004B30C8">
        <w:rPr>
          <w:rFonts w:ascii="Times New Roman" w:hAnsi="Times New Roman"/>
          <w:sz w:val="24"/>
          <w:szCs w:val="24"/>
        </w:rPr>
        <w:t xml:space="preserve"> the decision of the Franklin County Court of Common Pleas judge  upholding the arbitrator’s decision in favor of Local 67. </w:t>
      </w:r>
      <w:r w:rsidRPr="004B30C8">
        <w:rPr>
          <w:rFonts w:ascii="Times New Roman" w:hAnsi="Times New Roman"/>
          <w:sz w:val="24"/>
          <w:szCs w:val="24"/>
        </w:rPr>
        <w:tab/>
      </w:r>
    </w:p>
    <w:p w14:paraId="3AF520C2" w14:textId="7B81FA57" w:rsidR="007A1E7A" w:rsidRPr="004B30C8" w:rsidRDefault="007A1E7A" w:rsidP="007A1E7A">
      <w:pPr>
        <w:pStyle w:val="NoSpacing"/>
        <w:ind w:left="720"/>
        <w:rPr>
          <w:rFonts w:ascii="Times New Roman" w:hAnsi="Times New Roman"/>
          <w:b/>
          <w:bCs/>
          <w:sz w:val="24"/>
          <w:szCs w:val="24"/>
        </w:rPr>
      </w:pPr>
      <w:r w:rsidRPr="004B30C8">
        <w:rPr>
          <w:rFonts w:ascii="Times New Roman" w:hAnsi="Times New Roman"/>
          <w:bCs/>
          <w:sz w:val="24"/>
          <w:szCs w:val="24"/>
        </w:rPr>
        <w:t>“On October 19, 2015, a battalion chief representing the Office of the Fire Chief for the City of Columbus Division of Fire (</w:t>
      </w:r>
      <w:r w:rsidR="000209F5">
        <w:rPr>
          <w:rFonts w:ascii="Times New Roman" w:hAnsi="Times New Roman"/>
          <w:bCs/>
          <w:sz w:val="24"/>
          <w:szCs w:val="24"/>
        </w:rPr>
        <w:t>‘</w:t>
      </w:r>
      <w:r w:rsidRPr="004B30C8">
        <w:rPr>
          <w:rFonts w:ascii="Times New Roman" w:hAnsi="Times New Roman"/>
          <w:bCs/>
          <w:sz w:val="24"/>
          <w:szCs w:val="24"/>
        </w:rPr>
        <w:t>Division</w:t>
      </w:r>
      <w:r w:rsidR="000209F5">
        <w:rPr>
          <w:rFonts w:ascii="Times New Roman" w:hAnsi="Times New Roman"/>
          <w:bCs/>
          <w:sz w:val="24"/>
          <w:szCs w:val="24"/>
        </w:rPr>
        <w:t>’</w:t>
      </w:r>
      <w:r w:rsidRPr="004B30C8">
        <w:rPr>
          <w:rFonts w:ascii="Times New Roman" w:hAnsi="Times New Roman"/>
          <w:bCs/>
          <w:sz w:val="24"/>
          <w:szCs w:val="24"/>
        </w:rPr>
        <w:t xml:space="preserve">), sent an e-mail to the President of Local 67. (Ex. JT2 at 4, exhibit to July 27, </w:t>
      </w:r>
      <w:proofErr w:type="gramStart"/>
      <w:r w:rsidRPr="004B30C8">
        <w:rPr>
          <w:rFonts w:ascii="Times New Roman" w:hAnsi="Times New Roman"/>
          <w:bCs/>
          <w:sz w:val="24"/>
          <w:szCs w:val="24"/>
        </w:rPr>
        <w:t>2017</w:t>
      </w:r>
      <w:proofErr w:type="gramEnd"/>
      <w:r w:rsidRPr="004B30C8">
        <w:rPr>
          <w:rFonts w:ascii="Times New Roman" w:hAnsi="Times New Roman"/>
          <w:bCs/>
          <w:sz w:val="24"/>
          <w:szCs w:val="24"/>
        </w:rPr>
        <w:t xml:space="preserve"> Local 67 Application to Confirm.) The e-mail indicated that the </w:t>
      </w:r>
      <w:r w:rsidR="000209F5">
        <w:rPr>
          <w:rFonts w:ascii="Times New Roman" w:hAnsi="Times New Roman"/>
          <w:bCs/>
          <w:sz w:val="24"/>
          <w:szCs w:val="24"/>
        </w:rPr>
        <w:t>‘</w:t>
      </w:r>
      <w:r w:rsidRPr="004B30C8">
        <w:rPr>
          <w:rFonts w:ascii="Times New Roman" w:hAnsi="Times New Roman"/>
          <w:bCs/>
          <w:sz w:val="24"/>
          <w:szCs w:val="24"/>
        </w:rPr>
        <w:t>directors office decided</w:t>
      </w:r>
      <w:r w:rsidR="000209F5">
        <w:rPr>
          <w:rFonts w:ascii="Times New Roman" w:hAnsi="Times New Roman"/>
          <w:bCs/>
          <w:sz w:val="24"/>
          <w:szCs w:val="24"/>
        </w:rPr>
        <w:t>’</w:t>
      </w:r>
      <w:r w:rsidRPr="004B30C8">
        <w:rPr>
          <w:rFonts w:ascii="Times New Roman" w:hAnsi="Times New Roman"/>
          <w:bCs/>
          <w:sz w:val="24"/>
          <w:szCs w:val="24"/>
        </w:rPr>
        <w:t xml:space="preserve"> to </w:t>
      </w:r>
      <w:proofErr w:type="gramStart"/>
      <w:r w:rsidRPr="004B30C8">
        <w:rPr>
          <w:rFonts w:ascii="Times New Roman" w:hAnsi="Times New Roman"/>
          <w:bCs/>
          <w:sz w:val="24"/>
          <w:szCs w:val="24"/>
        </w:rPr>
        <w:t>civilianize</w:t>
      </w:r>
      <w:proofErr w:type="gramEnd"/>
      <w:r w:rsidRPr="004B30C8">
        <w:rPr>
          <w:rFonts w:ascii="Times New Roman" w:hAnsi="Times New Roman"/>
          <w:bCs/>
          <w:sz w:val="24"/>
          <w:szCs w:val="24"/>
        </w:rPr>
        <w:t xml:space="preserve"> certain special assignments then filled by uniformed firefighters. Id. Attached to the e-mail was a document listing 17 positions that the City intended to civilianize: ‘RMS,’ ‘Fitness Coordinator,’ ‘Special Events Coord,’ ‘EMS Supply Tech,’ ‘ES-1 Liaison,’ ‘Training Video,’ ‘FAO Radio Specialist,’ ‘Public CPR Trainer,’ ‘R&amp;D Specialist,’ ‘R&amp;D Specialist,’ ‘R&amp;D Specification,’ ‘I.T. Coordinator,’ ‘Apprenticeship Asst.,’ ‘FAO Trainer,’ ‘Community Relations,’ ‘In Service Training, and ‘ES-1 Office Aid. ***  The CBA nowhere asserts, affirms, or implies a broad right of the City to </w:t>
      </w:r>
      <w:proofErr w:type="gramStart"/>
      <w:r w:rsidRPr="004B30C8">
        <w:rPr>
          <w:rFonts w:ascii="Times New Roman" w:hAnsi="Times New Roman"/>
          <w:bCs/>
          <w:sz w:val="24"/>
          <w:szCs w:val="24"/>
        </w:rPr>
        <w:t>civilianize</w:t>
      </w:r>
      <w:proofErr w:type="gramEnd"/>
      <w:r w:rsidRPr="004B30C8">
        <w:rPr>
          <w:rFonts w:ascii="Times New Roman" w:hAnsi="Times New Roman"/>
          <w:bCs/>
          <w:sz w:val="24"/>
          <w:szCs w:val="24"/>
        </w:rPr>
        <w:t xml:space="preserve"> bargaining unit positions. The CBA provides no general right to </w:t>
      </w:r>
      <w:proofErr w:type="gramStart"/>
      <w:r w:rsidRPr="004B30C8">
        <w:rPr>
          <w:rFonts w:ascii="Times New Roman" w:hAnsi="Times New Roman"/>
          <w:bCs/>
          <w:sz w:val="24"/>
          <w:szCs w:val="24"/>
        </w:rPr>
        <w:t>civilianize</w:t>
      </w:r>
      <w:proofErr w:type="gramEnd"/>
      <w:r w:rsidRPr="004B30C8">
        <w:rPr>
          <w:rFonts w:ascii="Times New Roman" w:hAnsi="Times New Roman"/>
          <w:bCs/>
          <w:sz w:val="24"/>
          <w:szCs w:val="24"/>
        </w:rPr>
        <w:t xml:space="preserve"> the City. Nor do the terms of the CBA, taken as a whole, suggest that Section 7.2 should be read as a narrow exception to a general right to </w:t>
      </w:r>
      <w:proofErr w:type="gramStart"/>
      <w:r w:rsidRPr="004B30C8">
        <w:rPr>
          <w:rFonts w:ascii="Times New Roman" w:hAnsi="Times New Roman"/>
          <w:bCs/>
          <w:sz w:val="24"/>
          <w:szCs w:val="24"/>
        </w:rPr>
        <w:t>civilianize</w:t>
      </w:r>
      <w:proofErr w:type="gramEnd"/>
      <w:r w:rsidRPr="004B30C8">
        <w:rPr>
          <w:rFonts w:ascii="Times New Roman" w:hAnsi="Times New Roman"/>
          <w:bCs/>
          <w:sz w:val="24"/>
          <w:szCs w:val="24"/>
        </w:rPr>
        <w:t xml:space="preserve">. Rather the CBA contains, and the arbitrator found, a broad prohibition on civilianizing positions within the Division.  </w:t>
      </w:r>
      <w:bookmarkStart w:id="643" w:name="_Hlk39860985"/>
      <w:r w:rsidR="00B0089C">
        <w:fldChar w:fldCharType="begin"/>
      </w:r>
      <w:r w:rsidR="00B0089C">
        <w:instrText xml:space="preserve"> HYPERLINK "https://www.supremecourt.ohio.gov/rod/docs/pdf/10/2020/2020-Ohio-356.pdf" </w:instrText>
      </w:r>
      <w:r w:rsidR="00B0089C">
        <w:fldChar w:fldCharType="separate"/>
      </w:r>
      <w:r w:rsidRPr="004B30C8">
        <w:rPr>
          <w:rStyle w:val="Hyperlink"/>
          <w:rFonts w:ascii="Times New Roman" w:hAnsi="Times New Roman"/>
          <w:bCs/>
          <w:sz w:val="24"/>
          <w:szCs w:val="24"/>
        </w:rPr>
        <w:t>https://www.supremecourt.ohio.gov/rod/docs/pdf/10/2020/2020-Ohio-356.pdf</w:t>
      </w:r>
      <w:r w:rsidR="00B0089C">
        <w:rPr>
          <w:rStyle w:val="Hyperlink"/>
          <w:rFonts w:ascii="Times New Roman" w:hAnsi="Times New Roman"/>
          <w:bCs/>
          <w:sz w:val="24"/>
          <w:szCs w:val="24"/>
        </w:rPr>
        <w:fldChar w:fldCharType="end"/>
      </w:r>
      <w:r w:rsidRPr="004B30C8">
        <w:rPr>
          <w:rFonts w:ascii="Times New Roman" w:hAnsi="Times New Roman"/>
          <w:bCs/>
          <w:sz w:val="24"/>
          <w:szCs w:val="24"/>
        </w:rPr>
        <w:t xml:space="preserve"> </w:t>
      </w:r>
      <w:bookmarkEnd w:id="643"/>
    </w:p>
    <w:bookmarkEnd w:id="641"/>
    <w:p w14:paraId="488F1F8B" w14:textId="53D9A376" w:rsidR="007A1E7A" w:rsidRDefault="007A1E7A" w:rsidP="00F326E5">
      <w:pPr>
        <w:pStyle w:val="NoSpacing"/>
        <w:rPr>
          <w:rFonts w:ascii="Arial Black" w:hAnsi="Arial Black"/>
          <w:sz w:val="24"/>
          <w:szCs w:val="24"/>
        </w:rPr>
      </w:pPr>
    </w:p>
    <w:p w14:paraId="1F0BC464" w14:textId="40814CBB" w:rsidR="007A1E7A" w:rsidRPr="004B30C8" w:rsidRDefault="007A1E7A" w:rsidP="007A1E7A">
      <w:pPr>
        <w:pStyle w:val="NoSpacing"/>
        <w:rPr>
          <w:rFonts w:ascii="Times New Roman" w:hAnsi="Times New Roman"/>
          <w:b/>
          <w:bCs/>
          <w:sz w:val="24"/>
          <w:szCs w:val="24"/>
        </w:rPr>
      </w:pPr>
      <w:bookmarkStart w:id="644" w:name="_Hlk40517239"/>
      <w:r w:rsidRPr="004B30C8">
        <w:rPr>
          <w:rFonts w:ascii="Times New Roman" w:hAnsi="Times New Roman"/>
          <w:b/>
          <w:bCs/>
          <w:sz w:val="24"/>
          <w:szCs w:val="24"/>
        </w:rPr>
        <w:t>Legal Lessons Learned: The arbitrator, and the Courts, relied heavily on the City’s prior cooperation with Local 67</w:t>
      </w:r>
      <w:r w:rsidR="00A76634">
        <w:rPr>
          <w:rFonts w:ascii="Times New Roman" w:hAnsi="Times New Roman"/>
          <w:b/>
          <w:bCs/>
          <w:sz w:val="24"/>
          <w:szCs w:val="24"/>
        </w:rPr>
        <w:t>.</w:t>
      </w:r>
    </w:p>
    <w:bookmarkEnd w:id="644"/>
    <w:p w14:paraId="5F60C8FF" w14:textId="77777777" w:rsidR="007A1E7A" w:rsidRDefault="007A1E7A" w:rsidP="00F326E5">
      <w:pPr>
        <w:pStyle w:val="NoSpacing"/>
        <w:rPr>
          <w:rFonts w:ascii="Arial Black" w:hAnsi="Arial Black"/>
          <w:sz w:val="24"/>
          <w:szCs w:val="24"/>
        </w:rPr>
      </w:pPr>
    </w:p>
    <w:p w14:paraId="0750E27F" w14:textId="77777777" w:rsidR="007A1E7A" w:rsidRDefault="007A1E7A" w:rsidP="00F326E5">
      <w:pPr>
        <w:pStyle w:val="NoSpacing"/>
        <w:rPr>
          <w:rFonts w:ascii="Arial Black" w:hAnsi="Arial Black"/>
          <w:sz w:val="24"/>
          <w:szCs w:val="24"/>
        </w:rPr>
      </w:pPr>
    </w:p>
    <w:p w14:paraId="412CFE29" w14:textId="77777777" w:rsidR="007A1E7A" w:rsidRDefault="007A1E7A" w:rsidP="00F326E5">
      <w:pPr>
        <w:pStyle w:val="NoSpacing"/>
        <w:rPr>
          <w:rFonts w:ascii="Arial Black" w:hAnsi="Arial Black"/>
          <w:sz w:val="24"/>
          <w:szCs w:val="24"/>
        </w:rPr>
      </w:pPr>
    </w:p>
    <w:p w14:paraId="293ACADC" w14:textId="77777777" w:rsidR="007A1E7A" w:rsidRDefault="007A1E7A" w:rsidP="00F326E5">
      <w:pPr>
        <w:pStyle w:val="NoSpacing"/>
        <w:rPr>
          <w:rFonts w:ascii="Arial Black" w:hAnsi="Arial Black"/>
          <w:sz w:val="24"/>
          <w:szCs w:val="24"/>
        </w:rPr>
      </w:pPr>
    </w:p>
    <w:p w14:paraId="7DEB1699" w14:textId="761F48DA" w:rsidR="00A06387" w:rsidRPr="00A06387" w:rsidRDefault="00A06387" w:rsidP="00F326E5">
      <w:pPr>
        <w:pStyle w:val="NoSpacing"/>
        <w:rPr>
          <w:rFonts w:ascii="Arial Black" w:hAnsi="Arial Black"/>
          <w:sz w:val="24"/>
          <w:szCs w:val="24"/>
        </w:rPr>
      </w:pPr>
      <w:r w:rsidRPr="00A06387">
        <w:rPr>
          <w:rFonts w:ascii="Arial Black" w:hAnsi="Arial Black"/>
          <w:sz w:val="24"/>
          <w:szCs w:val="24"/>
        </w:rPr>
        <w:t xml:space="preserve">17-2  </w:t>
      </w:r>
    </w:p>
    <w:p w14:paraId="20866ECF" w14:textId="77777777" w:rsidR="00A06387" w:rsidRDefault="00A06387" w:rsidP="00F326E5">
      <w:pPr>
        <w:pStyle w:val="NoSpacing"/>
        <w:rPr>
          <w:rFonts w:ascii="Arial Black" w:hAnsi="Arial Black"/>
          <w:sz w:val="28"/>
          <w:szCs w:val="28"/>
        </w:rPr>
      </w:pPr>
    </w:p>
    <w:p w14:paraId="5F2F81ED" w14:textId="6A73F7E8" w:rsidR="00F326E5" w:rsidRPr="00A06387" w:rsidRDefault="00A06387" w:rsidP="00F326E5">
      <w:pPr>
        <w:pStyle w:val="NoSpacing"/>
        <w:rPr>
          <w:rFonts w:ascii="Arial Black" w:hAnsi="Arial Black"/>
          <w:sz w:val="28"/>
          <w:szCs w:val="28"/>
        </w:rPr>
      </w:pPr>
      <w:bookmarkStart w:id="645" w:name="_Hlk23516868"/>
      <w:bookmarkStart w:id="646" w:name="_Hlk39773361"/>
      <w:r>
        <w:rPr>
          <w:rFonts w:ascii="Arial Black" w:hAnsi="Arial Black"/>
          <w:sz w:val="28"/>
          <w:szCs w:val="28"/>
        </w:rPr>
        <w:t xml:space="preserve">NY: </w:t>
      </w:r>
      <w:r w:rsidRPr="00A06387">
        <w:rPr>
          <w:rFonts w:ascii="Arial Black" w:hAnsi="Arial Black"/>
          <w:sz w:val="28"/>
          <w:szCs w:val="28"/>
        </w:rPr>
        <w:t>NEW FD PARAMEDIC TRAINING – UNION ALLEGES BREACH OF CBA – GRIEVANCE CAN GO TO ARBITRATION</w:t>
      </w:r>
    </w:p>
    <w:bookmarkEnd w:id="645"/>
    <w:p w14:paraId="458EE45A" w14:textId="77777777" w:rsidR="00A06387" w:rsidRDefault="00A06387" w:rsidP="00A06387">
      <w:pPr>
        <w:pStyle w:val="NoSpacing"/>
        <w:rPr>
          <w:rFonts w:ascii="On Times New Roman" w:hAnsi="On Times New Roman"/>
          <w:bCs/>
          <w:sz w:val="24"/>
          <w:szCs w:val="24"/>
        </w:rPr>
      </w:pPr>
    </w:p>
    <w:p w14:paraId="4971F7D4" w14:textId="122FB023" w:rsidR="00A06387" w:rsidRPr="00E600C4" w:rsidRDefault="00A06387" w:rsidP="00A06387">
      <w:pPr>
        <w:pStyle w:val="NoSpacing"/>
        <w:rPr>
          <w:rFonts w:ascii="Times New Roman" w:hAnsi="Times New Roman"/>
          <w:b/>
          <w:bCs/>
          <w:sz w:val="24"/>
          <w:szCs w:val="24"/>
        </w:rPr>
      </w:pPr>
      <w:r w:rsidRPr="00E600C4">
        <w:rPr>
          <w:rFonts w:ascii="Times New Roman" w:hAnsi="Times New Roman"/>
          <w:bCs/>
          <w:sz w:val="24"/>
          <w:szCs w:val="24"/>
        </w:rPr>
        <w:t xml:space="preserve">On Oct. 30, 2019, in </w:t>
      </w:r>
      <w:r w:rsidRPr="00E600C4">
        <w:rPr>
          <w:rFonts w:ascii="Times New Roman" w:hAnsi="Times New Roman"/>
          <w:bCs/>
          <w:sz w:val="24"/>
          <w:szCs w:val="24"/>
          <w:u w:val="single"/>
        </w:rPr>
        <w:t xml:space="preserve">Matter </w:t>
      </w:r>
      <w:proofErr w:type="gramStart"/>
      <w:r w:rsidRPr="00E600C4">
        <w:rPr>
          <w:rFonts w:ascii="Times New Roman" w:hAnsi="Times New Roman"/>
          <w:bCs/>
          <w:sz w:val="24"/>
          <w:szCs w:val="24"/>
          <w:u w:val="single"/>
        </w:rPr>
        <w:t>Of</w:t>
      </w:r>
      <w:proofErr w:type="gramEnd"/>
      <w:r w:rsidRPr="00E600C4">
        <w:rPr>
          <w:rFonts w:ascii="Times New Roman" w:hAnsi="Times New Roman"/>
          <w:bCs/>
          <w:sz w:val="24"/>
          <w:szCs w:val="24"/>
          <w:u w:val="single"/>
        </w:rPr>
        <w:t xml:space="preserve"> City of Yonkers v. Yonkers Fire Fighters, Local 628,</w:t>
      </w:r>
      <w:r w:rsidRPr="00E600C4">
        <w:rPr>
          <w:rFonts w:ascii="Times New Roman" w:hAnsi="Times New Roman"/>
          <w:bCs/>
          <w:sz w:val="24"/>
          <w:szCs w:val="24"/>
        </w:rPr>
        <w:t xml:space="preserve"> the Supreme Court of New York,  Appellate Division (Second Judicial District), held 5 to 0 that a Judge in Westchester County (dated September 20, 2016) improperly granted the City’s petition to permanently stay arbitration.   </w:t>
      </w:r>
    </w:p>
    <w:p w14:paraId="343D676B" w14:textId="77777777" w:rsidR="00A06387" w:rsidRPr="00E600C4" w:rsidRDefault="00A06387" w:rsidP="00A06387">
      <w:pPr>
        <w:pStyle w:val="NoSpacing"/>
        <w:rPr>
          <w:rFonts w:ascii="Times New Roman" w:hAnsi="Times New Roman"/>
          <w:b/>
          <w:bCs/>
          <w:sz w:val="24"/>
          <w:szCs w:val="24"/>
        </w:rPr>
      </w:pPr>
    </w:p>
    <w:p w14:paraId="7208C993" w14:textId="77C54431" w:rsidR="00A06387" w:rsidRPr="00E600C4" w:rsidRDefault="00A06387" w:rsidP="00A06387">
      <w:pPr>
        <w:pStyle w:val="NoSpacing"/>
        <w:ind w:left="720"/>
        <w:rPr>
          <w:rFonts w:ascii="Times New Roman" w:hAnsi="Times New Roman"/>
          <w:b/>
          <w:bCs/>
          <w:sz w:val="24"/>
          <w:szCs w:val="24"/>
        </w:rPr>
      </w:pPr>
      <w:r w:rsidRPr="00E600C4">
        <w:rPr>
          <w:rFonts w:ascii="Times New Roman" w:hAnsi="Times New Roman"/>
          <w:bCs/>
          <w:sz w:val="24"/>
          <w:szCs w:val="24"/>
        </w:rPr>
        <w:t>“According to Local 628, the City, by offering a paramedic training course to its firefighters, violated article 33 of the CBA, which contains various provisions concerning the EMS Program, including a provision stating that the ‘EMS Program shall mean the level of services provided as of the date of this Agreement.’ Contrary to the City's contention, a reasonable relationship exists between Local 628's grievance and the general subject matter of the CBA.</w:t>
      </w:r>
      <w:r w:rsidR="005B7BBD">
        <w:rPr>
          <w:rFonts w:ascii="Times New Roman" w:hAnsi="Times New Roman"/>
          <w:bCs/>
          <w:sz w:val="24"/>
          <w:szCs w:val="24"/>
        </w:rPr>
        <w:t xml:space="preserve"> </w:t>
      </w:r>
      <w:r w:rsidRPr="00E600C4">
        <w:rPr>
          <w:rFonts w:ascii="Times New Roman" w:hAnsi="Times New Roman"/>
          <w:bCs/>
          <w:sz w:val="24"/>
          <w:szCs w:val="24"/>
        </w:rPr>
        <w:t>***</w:t>
      </w:r>
      <w:r w:rsidR="005B7BBD">
        <w:rPr>
          <w:rFonts w:ascii="Times New Roman" w:hAnsi="Times New Roman"/>
          <w:bCs/>
          <w:sz w:val="24"/>
          <w:szCs w:val="24"/>
        </w:rPr>
        <w:t xml:space="preserve"> </w:t>
      </w:r>
      <w:r w:rsidRPr="00E600C4">
        <w:rPr>
          <w:rFonts w:ascii="Times New Roman" w:hAnsi="Times New Roman"/>
          <w:bCs/>
          <w:sz w:val="24"/>
          <w:szCs w:val="24"/>
        </w:rPr>
        <w:t>Where, as here, the relevant arbitration provision of the CBA is broad, providing for arbitration of any grievance ‘involving the interpretation or application of any provision of this Agreement,’ a court ‘should merely determine whether there is a reasonable relationship between the subject matter of the dispute and the general subject matter of the CBA.’”</w:t>
      </w:r>
    </w:p>
    <w:p w14:paraId="562A0D5A" w14:textId="77777777" w:rsidR="00A06387" w:rsidRPr="00E600C4" w:rsidRDefault="00A06387" w:rsidP="00A06387">
      <w:pPr>
        <w:pStyle w:val="NoSpacing"/>
        <w:ind w:left="720"/>
        <w:rPr>
          <w:rFonts w:ascii="Times New Roman" w:hAnsi="Times New Roman"/>
          <w:b/>
          <w:bCs/>
          <w:sz w:val="24"/>
          <w:szCs w:val="24"/>
        </w:rPr>
      </w:pPr>
      <w:hyperlink r:id="rId2932" w:history="1">
        <w:r w:rsidRPr="00E600C4">
          <w:rPr>
            <w:rStyle w:val="Hyperlink"/>
            <w:rFonts w:ascii="Times New Roman" w:hAnsi="Times New Roman"/>
            <w:bCs/>
            <w:sz w:val="24"/>
            <w:szCs w:val="24"/>
          </w:rPr>
          <w:t>https://law.justia.com/cases/new-york/appellate-division-second-department/2019/2016-10658.html</w:t>
        </w:r>
      </w:hyperlink>
      <w:r w:rsidRPr="00E600C4">
        <w:rPr>
          <w:rFonts w:ascii="Times New Roman" w:hAnsi="Times New Roman"/>
          <w:bCs/>
          <w:sz w:val="24"/>
          <w:szCs w:val="24"/>
        </w:rPr>
        <w:t xml:space="preserve"> </w:t>
      </w:r>
    </w:p>
    <w:bookmarkEnd w:id="646"/>
    <w:p w14:paraId="683B8002" w14:textId="77777777" w:rsidR="00A06387" w:rsidRPr="00E600C4" w:rsidRDefault="00A06387" w:rsidP="00A06387">
      <w:pPr>
        <w:pStyle w:val="NoSpacing"/>
        <w:rPr>
          <w:rFonts w:ascii="Times New Roman" w:hAnsi="Times New Roman"/>
          <w:b/>
          <w:bCs/>
          <w:sz w:val="24"/>
          <w:szCs w:val="24"/>
        </w:rPr>
      </w:pPr>
    </w:p>
    <w:p w14:paraId="4B6129AF" w14:textId="609832D4" w:rsidR="00A06387" w:rsidRPr="00E600C4" w:rsidRDefault="00A06387" w:rsidP="00F326E5">
      <w:pPr>
        <w:pStyle w:val="NoSpacing"/>
        <w:rPr>
          <w:rFonts w:ascii="Times New Roman" w:hAnsi="Times New Roman"/>
          <w:sz w:val="24"/>
          <w:szCs w:val="24"/>
        </w:rPr>
      </w:pPr>
      <w:bookmarkStart w:id="647" w:name="_Hlk40517276"/>
      <w:r w:rsidRPr="00E600C4">
        <w:rPr>
          <w:rFonts w:ascii="Times New Roman" w:hAnsi="Times New Roman"/>
          <w:b/>
          <w:bCs/>
          <w:sz w:val="24"/>
          <w:szCs w:val="24"/>
        </w:rPr>
        <w:lastRenderedPageBreak/>
        <w:t>Legal Lessons Learned: Courts favor arbitration to resolve labor disputes</w:t>
      </w:r>
      <w:r w:rsidRPr="00E600C4">
        <w:rPr>
          <w:rFonts w:ascii="Times New Roman" w:hAnsi="Times New Roman"/>
          <w:sz w:val="24"/>
          <w:szCs w:val="24"/>
        </w:rPr>
        <w:t xml:space="preserve">.  </w:t>
      </w:r>
    </w:p>
    <w:p w14:paraId="57848C94" w14:textId="32A6D4F1" w:rsidR="00A06387" w:rsidRDefault="00A06387" w:rsidP="000C4DF5">
      <w:pPr>
        <w:pStyle w:val="NoSpacing"/>
        <w:rPr>
          <w:rFonts w:ascii="Arial Black" w:hAnsi="Arial Black"/>
          <w:sz w:val="24"/>
          <w:szCs w:val="24"/>
        </w:rPr>
      </w:pPr>
      <w:bookmarkStart w:id="648" w:name="_Hlk6757078"/>
      <w:bookmarkEnd w:id="647"/>
    </w:p>
    <w:p w14:paraId="311BDA0F" w14:textId="77777777" w:rsidR="00A06387" w:rsidRDefault="00A06387" w:rsidP="000C4DF5">
      <w:pPr>
        <w:pStyle w:val="NoSpacing"/>
        <w:rPr>
          <w:rFonts w:ascii="Arial Black" w:hAnsi="Arial Black"/>
          <w:sz w:val="24"/>
          <w:szCs w:val="24"/>
        </w:rPr>
      </w:pPr>
    </w:p>
    <w:p w14:paraId="0205C73B" w14:textId="1311E8C7" w:rsidR="000C4DF5" w:rsidRDefault="000C4DF5" w:rsidP="000C4DF5">
      <w:pPr>
        <w:pStyle w:val="NoSpacing"/>
        <w:rPr>
          <w:rFonts w:ascii="Arial Black" w:hAnsi="Arial Black"/>
          <w:sz w:val="24"/>
          <w:szCs w:val="24"/>
        </w:rPr>
      </w:pPr>
      <w:r>
        <w:rPr>
          <w:rFonts w:ascii="Arial Black" w:hAnsi="Arial Black"/>
          <w:sz w:val="24"/>
          <w:szCs w:val="24"/>
        </w:rPr>
        <w:t>17-1</w:t>
      </w:r>
    </w:p>
    <w:p w14:paraId="790B5E4D" w14:textId="6B832E97" w:rsidR="002B1283" w:rsidRPr="00EE07D9" w:rsidRDefault="002B1283" w:rsidP="002B1283">
      <w:pPr>
        <w:rPr>
          <w:rFonts w:ascii="Arial Black" w:hAnsi="Arial Black"/>
          <w:sz w:val="28"/>
          <w:szCs w:val="28"/>
        </w:rPr>
      </w:pPr>
      <w:r>
        <w:rPr>
          <w:rFonts w:ascii="Arial Black" w:hAnsi="Arial Black"/>
          <w:sz w:val="28"/>
          <w:szCs w:val="28"/>
        </w:rPr>
        <w:t xml:space="preserve">IL:  CT OVERTURNS ARBITRATOR – PURGING POLICE DISCIPLINE RECORDS IS VIOLATION OF STATE’S PUBLIC POLICY </w:t>
      </w:r>
    </w:p>
    <w:p w14:paraId="442DA037" w14:textId="77777777" w:rsidR="002B1283" w:rsidRDefault="002B1283" w:rsidP="002B1283">
      <w:pPr>
        <w:pStyle w:val="NoSpacing"/>
        <w:rPr>
          <w:rFonts w:ascii="Times New Roman" w:hAnsi="Times New Roman"/>
          <w:sz w:val="24"/>
          <w:szCs w:val="24"/>
        </w:rPr>
      </w:pPr>
      <w:r w:rsidRPr="009F6E0A">
        <w:rPr>
          <w:rFonts w:ascii="Times New Roman" w:hAnsi="Times New Roman"/>
          <w:sz w:val="24"/>
          <w:szCs w:val="24"/>
        </w:rPr>
        <w:t xml:space="preserve">On March 29, 2019, in </w:t>
      </w:r>
      <w:r w:rsidRPr="009F6E0A">
        <w:rPr>
          <w:rFonts w:ascii="Times New Roman" w:hAnsi="Times New Roman"/>
          <w:sz w:val="24"/>
          <w:szCs w:val="24"/>
          <w:u w:val="single"/>
        </w:rPr>
        <w:t>City of Chicago v. Fraternal Order of Police, Chicago Lodge No. 7</w:t>
      </w:r>
      <w:r w:rsidRPr="009F6E0A">
        <w:rPr>
          <w:rFonts w:ascii="Times New Roman" w:hAnsi="Times New Roman"/>
          <w:sz w:val="24"/>
          <w:szCs w:val="24"/>
        </w:rPr>
        <w:t>, the Illinois Appellate Court (1</w:t>
      </w:r>
      <w:r w:rsidRPr="009F6E0A">
        <w:rPr>
          <w:rFonts w:ascii="Times New Roman" w:hAnsi="Times New Roman"/>
          <w:sz w:val="24"/>
          <w:szCs w:val="24"/>
          <w:vertAlign w:val="superscript"/>
        </w:rPr>
        <w:t>st</w:t>
      </w:r>
      <w:r w:rsidRPr="009F6E0A">
        <w:rPr>
          <w:rFonts w:ascii="Times New Roman" w:hAnsi="Times New Roman"/>
          <w:sz w:val="24"/>
          <w:szCs w:val="24"/>
        </w:rPr>
        <w:t xml:space="preserve"> District) held (3 to</w:t>
      </w:r>
      <w:r>
        <w:rPr>
          <w:rFonts w:ascii="Times New Roman" w:hAnsi="Times New Roman"/>
          <w:sz w:val="24"/>
          <w:szCs w:val="24"/>
        </w:rPr>
        <w:t xml:space="preserve"> 0</w:t>
      </w:r>
      <w:r w:rsidRPr="009F6E0A">
        <w:rPr>
          <w:rFonts w:ascii="Times New Roman" w:hAnsi="Times New Roman"/>
          <w:sz w:val="24"/>
          <w:szCs w:val="24"/>
        </w:rPr>
        <w:t>) that an arbitrator’s decision upholding FOP’s grievance must be set aside</w:t>
      </w:r>
      <w:r>
        <w:rPr>
          <w:rFonts w:ascii="Times New Roman" w:hAnsi="Times New Roman"/>
          <w:sz w:val="24"/>
          <w:szCs w:val="24"/>
        </w:rPr>
        <w:t xml:space="preserve">. </w:t>
      </w:r>
    </w:p>
    <w:p w14:paraId="4BD9ED12" w14:textId="77777777" w:rsidR="002B1283" w:rsidRDefault="002B1283" w:rsidP="002B1283">
      <w:pPr>
        <w:pStyle w:val="NoSpacing"/>
        <w:ind w:left="720"/>
        <w:rPr>
          <w:rFonts w:ascii="Times New Roman" w:hAnsi="Times New Roman"/>
          <w:sz w:val="24"/>
          <w:szCs w:val="24"/>
        </w:rPr>
      </w:pPr>
    </w:p>
    <w:p w14:paraId="0268AD40" w14:textId="77777777" w:rsidR="002B1283" w:rsidRDefault="002B1283" w:rsidP="002B1283">
      <w:pPr>
        <w:pStyle w:val="NoSpacing"/>
        <w:ind w:left="720"/>
        <w:rPr>
          <w:rFonts w:ascii="Times New Roman" w:hAnsi="Times New Roman"/>
          <w:sz w:val="24"/>
          <w:szCs w:val="24"/>
        </w:rPr>
      </w:pPr>
      <w:r>
        <w:rPr>
          <w:rFonts w:ascii="Times New Roman" w:hAnsi="Times New Roman"/>
          <w:sz w:val="24"/>
          <w:szCs w:val="24"/>
        </w:rPr>
        <w:t>“</w:t>
      </w:r>
      <w:r w:rsidRPr="009F6E0A">
        <w:rPr>
          <w:rFonts w:ascii="Times New Roman" w:hAnsi="Times New Roman"/>
          <w:sz w:val="24"/>
          <w:szCs w:val="24"/>
        </w:rPr>
        <w:t>The arbitration award requiring destruction of the records pursuant to section 8.4 of the CBA clearly violated well-defined Illinois public policy requiring the proper retention of important public records.</w:t>
      </w:r>
      <w:r>
        <w:rPr>
          <w:rFonts w:ascii="Times New Roman" w:hAnsi="Times New Roman"/>
          <w:sz w:val="24"/>
          <w:szCs w:val="24"/>
        </w:rPr>
        <w:t>”</w:t>
      </w:r>
    </w:p>
    <w:p w14:paraId="04CB1E56" w14:textId="77777777" w:rsidR="002B1283" w:rsidRDefault="002B1283" w:rsidP="002B1283">
      <w:pPr>
        <w:pStyle w:val="NoSpacing"/>
        <w:ind w:firstLine="720"/>
      </w:pPr>
      <w:r>
        <w:rPr>
          <w:rFonts w:ascii="Times New Roman" w:hAnsi="Times New Roman"/>
          <w:sz w:val="24"/>
          <w:szCs w:val="24"/>
        </w:rPr>
        <w:t xml:space="preserve"> </w:t>
      </w:r>
      <w:hyperlink r:id="rId2933" w:history="1">
        <w:r w:rsidRPr="00EA4578">
          <w:rPr>
            <w:rStyle w:val="Hyperlink"/>
          </w:rPr>
          <w:t>http://www.illinoiscourts.gov/Opinions/AppellateCourt/2019/1stDistrict/1172907.pdf</w:t>
        </w:r>
      </w:hyperlink>
      <w:r>
        <w:t xml:space="preserve"> </w:t>
      </w:r>
    </w:p>
    <w:p w14:paraId="7F57718D" w14:textId="77777777" w:rsidR="002B1283" w:rsidRDefault="002B1283" w:rsidP="002B1283">
      <w:pPr>
        <w:pStyle w:val="NoSpacing"/>
        <w:ind w:left="720"/>
        <w:rPr>
          <w:rFonts w:ascii="Times New Roman" w:hAnsi="Times New Roman"/>
          <w:sz w:val="24"/>
          <w:szCs w:val="24"/>
        </w:rPr>
      </w:pPr>
    </w:p>
    <w:p w14:paraId="44F61CE6" w14:textId="77777777" w:rsidR="002B1283" w:rsidRDefault="002B1283" w:rsidP="002B1283">
      <w:pPr>
        <w:pStyle w:val="NoSpacing"/>
        <w:rPr>
          <w:rFonts w:ascii="Times New Roman" w:hAnsi="Times New Roman"/>
          <w:b/>
          <w:bCs/>
          <w:sz w:val="24"/>
          <w:szCs w:val="24"/>
        </w:rPr>
      </w:pPr>
      <w:r w:rsidRPr="00FE69A5">
        <w:rPr>
          <w:rFonts w:ascii="Times New Roman" w:hAnsi="Times New Roman"/>
          <w:b/>
          <w:bCs/>
          <w:sz w:val="24"/>
          <w:szCs w:val="24"/>
        </w:rPr>
        <w:t xml:space="preserve">Legal Lessons Learned: </w:t>
      </w:r>
      <w:r>
        <w:rPr>
          <w:rFonts w:ascii="Times New Roman" w:hAnsi="Times New Roman"/>
          <w:b/>
          <w:bCs/>
          <w:sz w:val="24"/>
          <w:szCs w:val="24"/>
        </w:rPr>
        <w:t xml:space="preserve"> Purging of disciplinary records, even if authorized under a CBA,  can result in public records litigation.  </w:t>
      </w:r>
    </w:p>
    <w:p w14:paraId="30BF6D83" w14:textId="77777777" w:rsidR="002B1283" w:rsidRDefault="002B1283" w:rsidP="002B1283">
      <w:pPr>
        <w:pStyle w:val="NoSpacing"/>
        <w:rPr>
          <w:rFonts w:ascii="Times New Roman" w:hAnsi="Times New Roman"/>
          <w:b/>
          <w:bCs/>
          <w:sz w:val="24"/>
          <w:szCs w:val="24"/>
        </w:rPr>
      </w:pPr>
    </w:p>
    <w:p w14:paraId="3AD8F8C8" w14:textId="77777777" w:rsidR="002B1283" w:rsidRPr="00224971" w:rsidRDefault="002B1283" w:rsidP="002B1283">
      <w:pPr>
        <w:pStyle w:val="NoSpacing"/>
        <w:ind w:left="720"/>
        <w:rPr>
          <w:rFonts w:ascii="Times New Roman" w:hAnsi="Times New Roman"/>
          <w:sz w:val="24"/>
          <w:szCs w:val="24"/>
        </w:rPr>
      </w:pPr>
      <w:r>
        <w:rPr>
          <w:rFonts w:ascii="Times New Roman" w:hAnsi="Times New Roman"/>
          <w:sz w:val="24"/>
          <w:szCs w:val="24"/>
        </w:rPr>
        <w:t xml:space="preserve">The Court referenced a Chicago FD case where an arbitrator was overturned based on public policy.  </w:t>
      </w:r>
      <w:r w:rsidRPr="005E3D73">
        <w:rPr>
          <w:rFonts w:ascii="Times New Roman" w:hAnsi="Times New Roman"/>
          <w:sz w:val="24"/>
          <w:szCs w:val="24"/>
          <w:u w:val="single"/>
        </w:rPr>
        <w:t>Chicago Fire Fighters Union Local No. 2 v. City of Chicago</w:t>
      </w:r>
      <w:r w:rsidRPr="00224971">
        <w:rPr>
          <w:rFonts w:ascii="Times New Roman" w:hAnsi="Times New Roman"/>
          <w:sz w:val="24"/>
          <w:szCs w:val="24"/>
        </w:rPr>
        <w:t>, 323 Ill. App. 3d 168, 176-77 (2001)</w:t>
      </w:r>
      <w:r>
        <w:rPr>
          <w:rFonts w:ascii="Times New Roman" w:hAnsi="Times New Roman"/>
          <w:sz w:val="24"/>
          <w:szCs w:val="24"/>
        </w:rPr>
        <w:t>:</w:t>
      </w:r>
      <w:r w:rsidRPr="00224971">
        <w:rPr>
          <w:rFonts w:ascii="Times New Roman" w:hAnsi="Times New Roman"/>
          <w:sz w:val="24"/>
          <w:szCs w:val="24"/>
        </w:rPr>
        <w:t xml:space="preserve">  </w:t>
      </w:r>
      <w:hyperlink r:id="rId2934" w:history="1">
        <w:r w:rsidRPr="00823390">
          <w:rPr>
            <w:rStyle w:val="Hyperlink"/>
            <w:rFonts w:ascii="Times New Roman" w:hAnsi="Times New Roman"/>
            <w:sz w:val="24"/>
            <w:szCs w:val="24"/>
          </w:rPr>
          <w:t>https://law.justia.com/cases/illinois/court-of-appeals-first-appellate-district/2000/1992647.html</w:t>
        </w:r>
      </w:hyperlink>
      <w:r w:rsidRPr="00224971">
        <w:rPr>
          <w:rFonts w:ascii="Times New Roman" w:hAnsi="Times New Roman"/>
          <w:sz w:val="24"/>
          <w:szCs w:val="24"/>
        </w:rPr>
        <w:t xml:space="preserve"> </w:t>
      </w:r>
    </w:p>
    <w:p w14:paraId="30CCE15B" w14:textId="77777777" w:rsidR="002B1283" w:rsidRDefault="002B1283" w:rsidP="002B1283">
      <w:pPr>
        <w:pStyle w:val="NoSpacing"/>
        <w:ind w:left="1440"/>
        <w:rPr>
          <w:rFonts w:ascii="Times New Roman" w:hAnsi="Times New Roman"/>
          <w:sz w:val="24"/>
          <w:szCs w:val="24"/>
        </w:rPr>
      </w:pPr>
    </w:p>
    <w:p w14:paraId="3EEE2B96" w14:textId="77777777" w:rsidR="002B1283" w:rsidRPr="005E3D73" w:rsidRDefault="002B1283" w:rsidP="002B1283">
      <w:pPr>
        <w:pStyle w:val="NoSpacing"/>
        <w:ind w:left="1440"/>
        <w:rPr>
          <w:rFonts w:ascii="Times New Roman" w:hAnsi="Times New Roman"/>
          <w:sz w:val="24"/>
          <w:szCs w:val="24"/>
        </w:rPr>
      </w:pPr>
      <w:r w:rsidRPr="005E3D73">
        <w:rPr>
          <w:rFonts w:ascii="Times New Roman" w:hAnsi="Times New Roman"/>
          <w:sz w:val="24"/>
          <w:szCs w:val="24"/>
        </w:rPr>
        <w:t xml:space="preserve">“In May 1997, CFD Internal Affairs Division (‘IAD’) Executive Assistant Mark Edinburg learned of the existence of a videotape of an unauthorized retirement party held on April 12, 1990, at the CFD firehouse known as Engine 100. The videotape depicted firefighters drinking alcoholic beverages inside the firehouse; leaving the firehouse in fire trucks to respond to fire calls; some participants making offensive racial, gender and ethnic slurs; and some engaging in other conduct such as exposing their bare buttocks and genitals. Edinburg viewed the videotape on May 9, 1997. *** This matter calls upon the court to address a serious matter of public policy affecting the health, safety and welfare of the citizens of the city of Chicago.  *** The conduct at issue in the present case was recorded on </w:t>
      </w:r>
      <w:proofErr w:type="gramStart"/>
      <w:r w:rsidRPr="005E3D73">
        <w:rPr>
          <w:rFonts w:ascii="Times New Roman" w:hAnsi="Times New Roman"/>
          <w:sz w:val="24"/>
          <w:szCs w:val="24"/>
        </w:rPr>
        <w:t>video-tape</w:t>
      </w:r>
      <w:proofErr w:type="gramEnd"/>
      <w:r w:rsidRPr="005E3D73">
        <w:rPr>
          <w:rFonts w:ascii="Times New Roman" w:hAnsi="Times New Roman"/>
          <w:sz w:val="24"/>
          <w:szCs w:val="24"/>
        </w:rPr>
        <w:t xml:space="preserve"> and reveals public safety workers in an on-going state of intoxication, some participants setting about to perform their duties by way of responding to an alarm for a fire. Nevertheless, the arbitrator ordered reinstatement and barred all discipline and sanctions without considering the merits of the case. Firefighters have </w:t>
      </w:r>
      <w:proofErr w:type="gramStart"/>
      <w:r w:rsidRPr="005E3D73">
        <w:rPr>
          <w:rFonts w:ascii="Times New Roman" w:hAnsi="Times New Roman"/>
          <w:sz w:val="24"/>
          <w:szCs w:val="24"/>
        </w:rPr>
        <w:t>the</w:t>
      </w:r>
      <w:proofErr w:type="gramEnd"/>
      <w:r w:rsidRPr="005E3D73">
        <w:rPr>
          <w:rFonts w:ascii="Times New Roman" w:hAnsi="Times New Roman"/>
          <w:sz w:val="24"/>
          <w:szCs w:val="24"/>
        </w:rPr>
        <w:t xml:space="preserve"> extraordinary responsibility for carrying out the well-stated public policy of safe and effective fire prevention. Firefighters must be prepared to respond immediately to emergency conditions at all times, and in all weather conditions, whenever the alarm bell in the firehouse sounds. For these reasons, and for </w:t>
      </w:r>
      <w:proofErr w:type="gramStart"/>
      <w:r w:rsidRPr="005E3D73">
        <w:rPr>
          <w:rFonts w:ascii="Times New Roman" w:hAnsi="Times New Roman"/>
          <w:sz w:val="24"/>
          <w:szCs w:val="24"/>
        </w:rPr>
        <w:t>all of</w:t>
      </w:r>
      <w:proofErr w:type="gramEnd"/>
      <w:r w:rsidRPr="005E3D73">
        <w:rPr>
          <w:rFonts w:ascii="Times New Roman" w:hAnsi="Times New Roman"/>
          <w:sz w:val="24"/>
          <w:szCs w:val="24"/>
        </w:rPr>
        <w:t xml:space="preserve"> the reasons cited by our supreme court in AFCSME II, 173 Ill. 2d 299 et seq., we adhere to our original opinion as set forth above.”]</w:t>
      </w:r>
    </w:p>
    <w:p w14:paraId="520AF6ED" w14:textId="77777777" w:rsidR="002B1283" w:rsidRPr="005E3D73" w:rsidRDefault="002B1283" w:rsidP="002B1283">
      <w:pPr>
        <w:pStyle w:val="NoSpacing"/>
        <w:rPr>
          <w:rFonts w:ascii="Times New Roman" w:hAnsi="Times New Roman"/>
          <w:sz w:val="24"/>
          <w:szCs w:val="24"/>
        </w:rPr>
      </w:pPr>
    </w:p>
    <w:p w14:paraId="53FBA1B8" w14:textId="77777777" w:rsidR="00AE0ACC" w:rsidRDefault="00AE0ACC" w:rsidP="00AE0ACC">
      <w:pPr>
        <w:pStyle w:val="NoSpacing"/>
        <w:rPr>
          <w:sz w:val="24"/>
          <w:szCs w:val="24"/>
        </w:rPr>
      </w:pPr>
    </w:p>
    <w:p w14:paraId="02C9FCFD" w14:textId="77777777" w:rsidR="000C4DF5" w:rsidRDefault="000C4DF5" w:rsidP="00F326E5">
      <w:pPr>
        <w:rPr>
          <w:rFonts w:ascii="Arial Black" w:hAnsi="Arial Black"/>
          <w:sz w:val="28"/>
          <w:szCs w:val="28"/>
        </w:rPr>
      </w:pPr>
    </w:p>
    <w:p w14:paraId="71D7A959" w14:textId="0DDFC4E6" w:rsidR="000C4DF5" w:rsidRDefault="000C4DF5" w:rsidP="000C4DF5">
      <w:pPr>
        <w:pStyle w:val="NoSpacing"/>
        <w:rPr>
          <w:rFonts w:ascii="Arial Black" w:hAnsi="Arial Black"/>
          <w:sz w:val="24"/>
          <w:szCs w:val="24"/>
        </w:rPr>
      </w:pPr>
      <w:r>
        <w:rPr>
          <w:rFonts w:ascii="Arial Black" w:hAnsi="Arial Black"/>
          <w:sz w:val="24"/>
          <w:szCs w:val="24"/>
        </w:rPr>
        <w:t>17-2</w:t>
      </w:r>
    </w:p>
    <w:p w14:paraId="51D19F43" w14:textId="77777777" w:rsidR="000C4DF5" w:rsidRDefault="000C4DF5" w:rsidP="00F326E5">
      <w:pPr>
        <w:rPr>
          <w:rFonts w:ascii="Arial Black" w:hAnsi="Arial Black"/>
          <w:sz w:val="28"/>
          <w:szCs w:val="28"/>
        </w:rPr>
      </w:pPr>
    </w:p>
    <w:p w14:paraId="3C985A68" w14:textId="19FB1E99" w:rsidR="00F326E5" w:rsidRDefault="00F326E5" w:rsidP="00F326E5">
      <w:pPr>
        <w:rPr>
          <w:rFonts w:ascii="Arial Black" w:hAnsi="Arial Black"/>
          <w:sz w:val="28"/>
          <w:szCs w:val="28"/>
        </w:rPr>
      </w:pPr>
      <w:r w:rsidRPr="00252C5C">
        <w:rPr>
          <w:rFonts w:ascii="Arial Black" w:hAnsi="Arial Black"/>
          <w:sz w:val="28"/>
          <w:szCs w:val="28"/>
        </w:rPr>
        <w:t>NY: MIN</w:t>
      </w:r>
      <w:r>
        <w:rPr>
          <w:rFonts w:ascii="Arial Black" w:hAnsi="Arial Black"/>
          <w:sz w:val="28"/>
          <w:szCs w:val="28"/>
        </w:rPr>
        <w:t xml:space="preserve">IMUM </w:t>
      </w:r>
      <w:r w:rsidRPr="00252C5C">
        <w:rPr>
          <w:rFonts w:ascii="Arial Black" w:hAnsi="Arial Black"/>
          <w:sz w:val="28"/>
          <w:szCs w:val="28"/>
        </w:rPr>
        <w:t>MANNING</w:t>
      </w:r>
      <w:r>
        <w:rPr>
          <w:rFonts w:ascii="Arial Black" w:hAnsi="Arial Black"/>
          <w:sz w:val="28"/>
          <w:szCs w:val="28"/>
        </w:rPr>
        <w:t xml:space="preserve"> PER SHIFT - ARBITRATION - 15 FF / SHIFT – 8 CAPTAINS DEMOTED IN 2015 </w:t>
      </w:r>
    </w:p>
    <w:p w14:paraId="3BD1248B" w14:textId="77777777" w:rsidR="00F326E5" w:rsidRPr="00E600C4" w:rsidRDefault="00F326E5" w:rsidP="00F326E5">
      <w:pPr>
        <w:rPr>
          <w:rFonts w:ascii="Times New Roman" w:hAnsi="Times New Roman"/>
          <w:sz w:val="24"/>
          <w:szCs w:val="24"/>
        </w:rPr>
      </w:pPr>
      <w:r w:rsidRPr="00E600C4">
        <w:rPr>
          <w:rFonts w:ascii="Times New Roman" w:hAnsi="Times New Roman"/>
          <w:sz w:val="24"/>
          <w:szCs w:val="24"/>
        </w:rPr>
        <w:lastRenderedPageBreak/>
        <w:t xml:space="preserve">On </w:t>
      </w:r>
      <w:bookmarkStart w:id="649" w:name="_Hlk39861135"/>
      <w:r w:rsidRPr="00E600C4">
        <w:rPr>
          <w:rFonts w:ascii="Times New Roman" w:hAnsi="Times New Roman"/>
          <w:sz w:val="24"/>
          <w:szCs w:val="24"/>
        </w:rPr>
        <w:t xml:space="preserve">Feb. 1, 2019, </w:t>
      </w:r>
      <w:r w:rsidRPr="00E600C4">
        <w:rPr>
          <w:rFonts w:ascii="Times New Roman" w:hAnsi="Times New Roman"/>
          <w:sz w:val="24"/>
          <w:szCs w:val="24"/>
          <w:u w:val="single"/>
        </w:rPr>
        <w:t>City of Watertown v. Watertown Professional Firefighters Association, Local 191</w:t>
      </w:r>
      <w:bookmarkEnd w:id="649"/>
      <w:r w:rsidRPr="00E600C4">
        <w:rPr>
          <w:rFonts w:ascii="Times New Roman" w:hAnsi="Times New Roman"/>
          <w:sz w:val="24"/>
          <w:szCs w:val="24"/>
          <w:u w:val="single"/>
        </w:rPr>
        <w:t>,</w:t>
      </w:r>
      <w:r w:rsidRPr="00E600C4">
        <w:rPr>
          <w:rFonts w:ascii="Times New Roman" w:hAnsi="Times New Roman"/>
          <w:sz w:val="24"/>
          <w:szCs w:val="24"/>
        </w:rPr>
        <w:t xml:space="preserve"> </w:t>
      </w:r>
      <w:r w:rsidRPr="00E600C4">
        <w:rPr>
          <w:rFonts w:ascii="Times New Roman" w:hAnsi="Times New Roman"/>
          <w:bCs/>
          <w:sz w:val="24"/>
          <w:szCs w:val="24"/>
        </w:rPr>
        <w:t xml:space="preserve">2019 NY Slip Op 00753, </w:t>
      </w:r>
      <w:r w:rsidRPr="00E600C4">
        <w:rPr>
          <w:rFonts w:ascii="Times New Roman" w:hAnsi="Times New Roman"/>
          <w:sz w:val="24"/>
          <w:szCs w:val="24"/>
        </w:rPr>
        <w:t xml:space="preserve">the New York Supreme Court, Appellant Division, overturned a lower court’s decision and held (5 to 0) that any changes in minimum manning shall go to arbitration under the collective bargaining agreement. “Contrary to the City's contention, the staffing provisions do not operate to mandate a total number of firefighters that must be employed; rather, they relate solely to the minimum number of firefighters required to be present during shifts and regular operations….”  </w:t>
      </w:r>
      <w:bookmarkStart w:id="650" w:name="_Hlk39861149"/>
      <w:r w:rsidR="00B0089C">
        <w:fldChar w:fldCharType="begin"/>
      </w:r>
      <w:r w:rsidR="00B0089C">
        <w:instrText xml:space="preserve"> HYPERLINK "https://law.justia.com/cases/new-york/appellate-division-fourth-department/2019/1134-ca-18-00961.html" </w:instrText>
      </w:r>
      <w:r w:rsidR="00B0089C">
        <w:fldChar w:fldCharType="separate"/>
      </w:r>
      <w:r w:rsidRPr="00E600C4">
        <w:rPr>
          <w:rStyle w:val="Hyperlink"/>
          <w:rFonts w:ascii="Times New Roman" w:hAnsi="Times New Roman"/>
          <w:sz w:val="24"/>
          <w:szCs w:val="24"/>
        </w:rPr>
        <w:t>https://law.justia.com/cases/new-york/appellate-division-fourth-department/2019/1134-ca-18-00961.html</w:t>
      </w:r>
      <w:r w:rsidR="00B0089C">
        <w:rPr>
          <w:rStyle w:val="Hyperlink"/>
          <w:rFonts w:ascii="Times New Roman" w:hAnsi="Times New Roman"/>
          <w:sz w:val="24"/>
          <w:szCs w:val="24"/>
        </w:rPr>
        <w:fldChar w:fldCharType="end"/>
      </w:r>
      <w:r w:rsidRPr="00E600C4">
        <w:rPr>
          <w:rFonts w:ascii="Times New Roman" w:hAnsi="Times New Roman"/>
          <w:sz w:val="24"/>
          <w:szCs w:val="24"/>
        </w:rPr>
        <w:t xml:space="preserve"> </w:t>
      </w:r>
    </w:p>
    <w:bookmarkEnd w:id="650"/>
    <w:p w14:paraId="6173BD63" w14:textId="77777777" w:rsidR="00F326E5" w:rsidRPr="00E600C4" w:rsidRDefault="00F326E5" w:rsidP="00F326E5">
      <w:pPr>
        <w:pStyle w:val="NormalWeb"/>
        <w:rPr>
          <w:b/>
        </w:rPr>
      </w:pPr>
      <w:r w:rsidRPr="00E600C4">
        <w:rPr>
          <w:b/>
        </w:rPr>
        <w:t xml:space="preserve">Legal Lessons Learned:  Courts favor arbitration regarding CBA disputes, unless it </w:t>
      </w:r>
      <w:proofErr w:type="gramStart"/>
      <w:r w:rsidRPr="00E600C4">
        <w:rPr>
          <w:b/>
        </w:rPr>
        <w:t>involved</w:t>
      </w:r>
      <w:proofErr w:type="gramEnd"/>
      <w:r w:rsidRPr="00E600C4">
        <w:rPr>
          <w:b/>
        </w:rPr>
        <w:t xml:space="preserve"> items that are clearly management right (such as </w:t>
      </w:r>
      <w:proofErr w:type="gramStart"/>
      <w:r w:rsidRPr="00E600C4">
        <w:rPr>
          <w:b/>
        </w:rPr>
        <w:t>lay-offs</w:t>
      </w:r>
      <w:proofErr w:type="gramEnd"/>
      <w:r w:rsidRPr="00E600C4">
        <w:rPr>
          <w:b/>
        </w:rPr>
        <w:t xml:space="preserve">). </w:t>
      </w:r>
    </w:p>
    <w:p w14:paraId="0E34539E" w14:textId="77777777" w:rsidR="00F326E5" w:rsidRPr="00E600C4" w:rsidRDefault="00F326E5" w:rsidP="00F326E5">
      <w:pPr>
        <w:pStyle w:val="NormalWeb"/>
        <w:ind w:left="720"/>
      </w:pPr>
      <w:r w:rsidRPr="00E600C4">
        <w:t xml:space="preserve">Note: The City has reportedly decided to ask New York’s highest court [Court of Appeals – 7 Justices] to hear their appeal.  See Feb. 5, </w:t>
      </w:r>
      <w:proofErr w:type="gramStart"/>
      <w:r w:rsidRPr="00E600C4">
        <w:t>2019</w:t>
      </w:r>
      <w:proofErr w:type="gramEnd"/>
      <w:r w:rsidRPr="00E600C4">
        <w:t xml:space="preserve"> article: “</w:t>
      </w:r>
      <w:r w:rsidRPr="00E600C4">
        <w:rPr>
          <w:color w:val="000000"/>
        </w:rPr>
        <w:t xml:space="preserve">City to Take Firefighters Union to NY Supreme Court.”  </w:t>
      </w:r>
      <w:r w:rsidRPr="00E600C4">
        <w:t xml:space="preserve">“WATERTOWN — Three days after losing a lower court’s ruling, the city is taking steps to take an arbitration case against the city’s firefighters’ union to the state’s highest court. *** Coming out of a lengthy executive session, Mayor Joseph M. Butler Jr. said on Monday night the City Council agreed to file the appeal with the Court of Appeals, the state’s highest court…. With the highest court granting just a few of those requests, the city must petition the Court of Appeals and convince the seven-judge panel to take the case because the lower court’s decision was unanimous. ‘It’s a long shot,’ the mayor </w:t>
      </w:r>
      <w:proofErr w:type="gramStart"/>
      <w:r w:rsidRPr="00E600C4">
        <w:t>said.”</w:t>
      </w:r>
      <w:proofErr w:type="gramEnd"/>
      <w:r w:rsidRPr="00E600C4">
        <w:t xml:space="preserve">  </w:t>
      </w:r>
      <w:hyperlink r:id="rId2935" w:history="1">
        <w:r w:rsidRPr="00E600C4">
          <w:rPr>
            <w:rStyle w:val="Hyperlink"/>
          </w:rPr>
          <w:t>https://www.firehouse.com/careers-education/news/21056124/watertownofficials-wants-to-take-firefighters-union-to-new-york-supreme-court</w:t>
        </w:r>
      </w:hyperlink>
      <w:r w:rsidRPr="00E600C4">
        <w:t xml:space="preserve"> </w:t>
      </w:r>
    </w:p>
    <w:p w14:paraId="087889E7" w14:textId="77777777" w:rsidR="00F326E5" w:rsidRPr="00E600C4" w:rsidRDefault="00F326E5" w:rsidP="00F326E5">
      <w:pPr>
        <w:pStyle w:val="NormalWeb"/>
        <w:ind w:left="720"/>
      </w:pPr>
      <w:r w:rsidRPr="00E600C4">
        <w:t xml:space="preserve">See also Feb. 7, </w:t>
      </w:r>
      <w:proofErr w:type="gramStart"/>
      <w:r w:rsidRPr="00E600C4">
        <w:t>2019</w:t>
      </w:r>
      <w:proofErr w:type="gramEnd"/>
      <w:r w:rsidRPr="00E600C4">
        <w:t xml:space="preserve"> article: “Lawyer Fees </w:t>
      </w:r>
      <w:proofErr w:type="gramStart"/>
      <w:r w:rsidRPr="00E600C4">
        <w:t>For</w:t>
      </w:r>
      <w:proofErr w:type="gramEnd"/>
      <w:r w:rsidRPr="00E600C4">
        <w:t xml:space="preserve"> Watertown Fire Department Dispute Nearing $800,000.” </w:t>
      </w:r>
      <w:hyperlink r:id="rId2936" w:history="1">
        <w:r w:rsidRPr="00E600C4">
          <w:rPr>
            <w:rStyle w:val="Hyperlink"/>
          </w:rPr>
          <w:t>https://www.watertowndailytimes.com/news03/lawyer-fees-for-watertown-fire-department-dispute-nearing-800000-20190207</w:t>
        </w:r>
      </w:hyperlink>
      <w:r w:rsidRPr="00E600C4">
        <w:t xml:space="preserve"> </w:t>
      </w:r>
    </w:p>
    <w:p w14:paraId="5A54C6CC" w14:textId="2D23F488" w:rsidR="00F326E5" w:rsidRPr="00E600C4" w:rsidRDefault="00F326E5" w:rsidP="00E600C4">
      <w:pPr>
        <w:pStyle w:val="NormalWeb"/>
        <w:ind w:left="720"/>
      </w:pPr>
      <w:bookmarkStart w:id="651" w:name="_Hlk39861081"/>
      <w:r w:rsidRPr="00E600C4">
        <w:t xml:space="preserve">Feb. 1, 2019: NY - Watertown Firefighters Win Legal </w:t>
      </w:r>
      <w:r w:rsidR="00E600C4">
        <w:t xml:space="preserve">Victory: </w:t>
      </w:r>
      <w:hyperlink r:id="rId2937" w:history="1">
        <w:r w:rsidRPr="00E600C4">
          <w:rPr>
            <w:rStyle w:val="Hyperlink"/>
          </w:rPr>
          <w:t>https://www.wwnytv.com/story/39893183/watertown-firefighters-win-legal-victory</w:t>
        </w:r>
      </w:hyperlink>
      <w:bookmarkEnd w:id="651"/>
      <w:r w:rsidRPr="00E600C4">
        <w:t xml:space="preserve"> </w:t>
      </w:r>
    </w:p>
    <w:p w14:paraId="348ED6E4" w14:textId="77777777" w:rsidR="00CA57F1" w:rsidRDefault="00CA57F1" w:rsidP="00F326E5">
      <w:pPr>
        <w:rPr>
          <w:sz w:val="24"/>
          <w:szCs w:val="24"/>
        </w:rPr>
      </w:pPr>
      <w:bookmarkStart w:id="652" w:name="_Hlk7349662"/>
      <w:bookmarkEnd w:id="648"/>
    </w:p>
    <w:p w14:paraId="54D21001" w14:textId="77777777" w:rsidR="00CA57F1" w:rsidRDefault="00CA57F1" w:rsidP="00F326E5">
      <w:pPr>
        <w:rPr>
          <w:sz w:val="24"/>
          <w:szCs w:val="24"/>
        </w:rPr>
      </w:pPr>
    </w:p>
    <w:p w14:paraId="7BEDE829" w14:textId="77777777" w:rsidR="00CA57F1" w:rsidRDefault="00CA57F1" w:rsidP="00F326E5">
      <w:pPr>
        <w:rPr>
          <w:sz w:val="24"/>
          <w:szCs w:val="24"/>
        </w:rPr>
      </w:pPr>
    </w:p>
    <w:p w14:paraId="795075B7" w14:textId="77777777" w:rsidR="000C4DF5" w:rsidRDefault="000C4DF5" w:rsidP="00F326E5">
      <w:pPr>
        <w:rPr>
          <w:rFonts w:ascii="Arial Black" w:hAnsi="Arial Black"/>
          <w:b/>
          <w:sz w:val="28"/>
          <w:szCs w:val="28"/>
        </w:rPr>
      </w:pPr>
    </w:p>
    <w:p w14:paraId="2D825C6D" w14:textId="6514FF16" w:rsidR="000C4DF5" w:rsidRDefault="000C4DF5" w:rsidP="000C4DF5">
      <w:pPr>
        <w:pStyle w:val="NoSpacing"/>
        <w:rPr>
          <w:rFonts w:ascii="Arial Black" w:hAnsi="Arial Black"/>
          <w:sz w:val="24"/>
          <w:szCs w:val="24"/>
        </w:rPr>
      </w:pPr>
      <w:r>
        <w:rPr>
          <w:rFonts w:ascii="Arial Black" w:hAnsi="Arial Black"/>
          <w:sz w:val="24"/>
          <w:szCs w:val="24"/>
        </w:rPr>
        <w:t>17-1</w:t>
      </w:r>
    </w:p>
    <w:p w14:paraId="695CF07A" w14:textId="77777777" w:rsidR="000C4DF5" w:rsidRDefault="000C4DF5" w:rsidP="00F326E5">
      <w:pPr>
        <w:rPr>
          <w:rFonts w:ascii="Arial Black" w:hAnsi="Arial Black"/>
          <w:b/>
          <w:sz w:val="28"/>
          <w:szCs w:val="28"/>
        </w:rPr>
      </w:pPr>
    </w:p>
    <w:p w14:paraId="285D138A" w14:textId="1EC0E6A4" w:rsidR="00F326E5" w:rsidRPr="005157CA" w:rsidRDefault="00F326E5" w:rsidP="00F326E5">
      <w:pPr>
        <w:rPr>
          <w:b/>
          <w:sz w:val="24"/>
          <w:szCs w:val="24"/>
        </w:rPr>
      </w:pPr>
      <w:r w:rsidRPr="00512C93">
        <w:rPr>
          <w:rFonts w:ascii="Arial Black" w:hAnsi="Arial Black"/>
          <w:b/>
          <w:sz w:val="28"/>
          <w:szCs w:val="28"/>
        </w:rPr>
        <w:t xml:space="preserve">U.S. </w:t>
      </w:r>
      <w:r>
        <w:rPr>
          <w:rFonts w:ascii="Arial Black" w:hAnsi="Arial Black"/>
          <w:b/>
          <w:sz w:val="28"/>
          <w:szCs w:val="28"/>
        </w:rPr>
        <w:t xml:space="preserve">SUPREME COURT: ARBITRATION BINDING ON ACCOUNTANT – EMPLOYEE THEREFORE CAN’T SUE </w:t>
      </w:r>
    </w:p>
    <w:p w14:paraId="15C34DDC" w14:textId="77777777" w:rsidR="00F326E5" w:rsidRPr="00E600C4" w:rsidRDefault="00F326E5" w:rsidP="00F326E5">
      <w:pPr>
        <w:pStyle w:val="NoSpacing"/>
        <w:rPr>
          <w:rFonts w:ascii="Times New Roman" w:hAnsi="Times New Roman"/>
          <w:sz w:val="24"/>
          <w:szCs w:val="24"/>
        </w:rPr>
      </w:pPr>
      <w:r w:rsidRPr="00E600C4">
        <w:rPr>
          <w:rFonts w:ascii="Times New Roman" w:hAnsi="Times New Roman"/>
          <w:sz w:val="24"/>
          <w:szCs w:val="24"/>
        </w:rPr>
        <w:t xml:space="preserve">On May 21, 2018, in </w:t>
      </w:r>
      <w:r w:rsidRPr="00E600C4">
        <w:rPr>
          <w:rFonts w:ascii="Times New Roman" w:hAnsi="Times New Roman"/>
          <w:sz w:val="24"/>
          <w:szCs w:val="24"/>
          <w:u w:val="single"/>
        </w:rPr>
        <w:t>Epic Systems Corp. v. Lewis</w:t>
      </w:r>
      <w:r w:rsidRPr="00E600C4">
        <w:rPr>
          <w:rFonts w:ascii="Times New Roman" w:hAnsi="Times New Roman"/>
          <w:sz w:val="24"/>
          <w:szCs w:val="24"/>
        </w:rPr>
        <w:t>, the U.S. Supreme Court (5 to 4), 584 U.S. ___ (2018), in a decision written by newly appointed Justice Gorsuch, held:</w:t>
      </w:r>
    </w:p>
    <w:p w14:paraId="54B05E62" w14:textId="77777777" w:rsidR="00E600C4" w:rsidRDefault="00E600C4" w:rsidP="00F326E5">
      <w:pPr>
        <w:pStyle w:val="NoSpacing"/>
        <w:ind w:left="720"/>
        <w:rPr>
          <w:rFonts w:ascii="Times New Roman" w:eastAsia="Times New Roman" w:hAnsi="Times New Roman"/>
          <w:sz w:val="24"/>
          <w:szCs w:val="24"/>
        </w:rPr>
      </w:pPr>
    </w:p>
    <w:p w14:paraId="008E9CCC" w14:textId="57F45D69" w:rsidR="00F326E5" w:rsidRPr="00E600C4" w:rsidRDefault="00F326E5" w:rsidP="00F326E5">
      <w:pPr>
        <w:pStyle w:val="NoSpacing"/>
        <w:ind w:left="720"/>
        <w:rPr>
          <w:rFonts w:ascii="Times New Roman" w:hAnsi="Times New Roman"/>
          <w:sz w:val="24"/>
          <w:szCs w:val="24"/>
        </w:rPr>
      </w:pPr>
      <w:r w:rsidRPr="00E600C4">
        <w:rPr>
          <w:rFonts w:ascii="Times New Roman" w:eastAsia="Times New Roman" w:hAnsi="Times New Roman"/>
          <w:sz w:val="24"/>
          <w:szCs w:val="24"/>
        </w:rPr>
        <w:t xml:space="preserve">“Should employees and employers be allowed to agree that any disputes between them will be resolved through one-on-one arbitration? Or should employees always be permitted to bring their claims in class or collective actions, no matter what they agreed with their employers?  As a matter of policy these </w:t>
      </w:r>
      <w:r w:rsidRPr="00E600C4">
        <w:rPr>
          <w:rFonts w:ascii="Times New Roman" w:eastAsia="Times New Roman" w:hAnsi="Times New Roman"/>
          <w:sz w:val="24"/>
          <w:szCs w:val="24"/>
        </w:rPr>
        <w:lastRenderedPageBreak/>
        <w:t xml:space="preserve">questions are surely debatable. But as a matter of law the answer is clear. In the Federal Arbitration Act, Congress has instructed federal courts to enforce arbitration agreements according to their terms—including terms providing for individualized proceedings.” </w:t>
      </w:r>
      <w:hyperlink r:id="rId2938" w:history="1">
        <w:r w:rsidRPr="00E600C4">
          <w:rPr>
            <w:rStyle w:val="Hyperlink"/>
            <w:rFonts w:ascii="Times New Roman" w:hAnsi="Times New Roman"/>
            <w:sz w:val="24"/>
            <w:szCs w:val="24"/>
          </w:rPr>
          <w:t>https://www.supremecourt.gov/opinions/17pdf/16-285_q8l1.pdf</w:t>
        </w:r>
      </w:hyperlink>
    </w:p>
    <w:p w14:paraId="7A21EBDA" w14:textId="36776981" w:rsidR="00F326E5" w:rsidRPr="00E600C4" w:rsidRDefault="00F326E5" w:rsidP="00F326E5">
      <w:pPr>
        <w:pStyle w:val="statutory-body-3em"/>
        <w:rPr>
          <w:b/>
        </w:rPr>
      </w:pPr>
      <w:r w:rsidRPr="00E600C4">
        <w:rPr>
          <w:b/>
        </w:rPr>
        <w:t xml:space="preserve">Legal Lessons Learned:  Many employers, including private ambulance companies, will now be encouraged to have new hires sign an arbitration document.  </w:t>
      </w:r>
      <w:r w:rsidR="000C4DF5" w:rsidRPr="00E600C4">
        <w:rPr>
          <w:b/>
        </w:rPr>
        <w:t xml:space="preserve">  </w:t>
      </w:r>
    </w:p>
    <w:p w14:paraId="0261F310" w14:textId="77777777" w:rsidR="00F326E5" w:rsidRPr="00E600C4" w:rsidRDefault="00F326E5" w:rsidP="00F326E5">
      <w:pPr>
        <w:pStyle w:val="statutory-body-3em"/>
        <w:ind w:left="720"/>
      </w:pPr>
      <w:r w:rsidRPr="00E600C4">
        <w:t xml:space="preserve">AFL-CIO President Richard Trauma was quoted, “Five justices on the Supreme Court decided that it is acceptable for working people to have their legal rights taken away by corporations in order to keep their jobs.” </w:t>
      </w:r>
      <w:hyperlink r:id="rId2939" w:history="1">
        <w:r w:rsidRPr="00E600C4">
          <w:rPr>
            <w:rStyle w:val="Hyperlink"/>
          </w:rPr>
          <w:t>https://www.sfgate.com/news/article/Supreme-Court-rules-that-companies-can-require-12931130.php</w:t>
        </w:r>
      </w:hyperlink>
      <w:r w:rsidRPr="00E600C4">
        <w:t xml:space="preserve"> </w:t>
      </w:r>
    </w:p>
    <w:p w14:paraId="02B66098" w14:textId="67A86A1F" w:rsidR="00F326E5" w:rsidRPr="00E600C4" w:rsidRDefault="00F326E5" w:rsidP="00F326E5">
      <w:pPr>
        <w:pStyle w:val="NormalWeb"/>
        <w:ind w:left="720"/>
      </w:pPr>
      <w:r w:rsidRPr="00E600C4">
        <w:t xml:space="preserve">Note:  </w:t>
      </w:r>
      <w:r w:rsidR="0003275C">
        <w:t>S</w:t>
      </w:r>
      <w:r w:rsidRPr="00E600C4">
        <w:t xml:space="preserve">ee Jan. 15, 2019 U.S. Supreme Court decision in New Prime, Inc. v. Oliveira, </w:t>
      </w:r>
      <w:r w:rsidRPr="00E600C4">
        <w:rPr>
          <w:rStyle w:val="Strong"/>
        </w:rPr>
        <w:t>Holding</w:t>
      </w:r>
      <w:r w:rsidRPr="00E600C4">
        <w:rPr>
          <w:b/>
        </w:rPr>
        <w:t>:</w:t>
      </w:r>
      <w:r w:rsidRPr="00E600C4">
        <w:t xml:space="preserve"> A court should determine whether the Federal Arbitration Act’s Section 1 exclusion for disputes involving the “contracts of employment” of certain transportation workers applies before ordering arbitration; here, truck driver Dominic Oliveira’s independent contractor operating agreement with New Prime Inc. falls within that exception. </w:t>
      </w:r>
      <w:r w:rsidRPr="00E600C4">
        <w:rPr>
          <w:rStyle w:val="Strong"/>
        </w:rPr>
        <w:t>Judgment</w:t>
      </w:r>
      <w:r w:rsidRPr="00E600C4">
        <w:rPr>
          <w:b/>
        </w:rPr>
        <w:t xml:space="preserve">: </w:t>
      </w:r>
      <w:hyperlink r:id="rId2940" w:tgtFrame="_blank" w:history="1">
        <w:r w:rsidRPr="00E600C4">
          <w:rPr>
            <w:rStyle w:val="Hyperlink"/>
          </w:rPr>
          <w:t>Affirmed</w:t>
        </w:r>
      </w:hyperlink>
      <w:r w:rsidRPr="00E600C4">
        <w:t xml:space="preserve">, 8-0, in an opinion by Justice Gorsuch on January 15, 2019. Justice Ginsburg filed a concurring opinion. Justice Kavanaugh took no part in the consideration or decision of the case. </w:t>
      </w:r>
      <w:hyperlink r:id="rId2941" w:history="1">
        <w:r w:rsidRPr="00E600C4">
          <w:rPr>
            <w:rStyle w:val="Hyperlink"/>
          </w:rPr>
          <w:t>https://www.scotusblog.com/case-files/cases/new-prime-inc-v-oliveira/</w:t>
        </w:r>
      </w:hyperlink>
      <w:r w:rsidRPr="00E600C4">
        <w:t xml:space="preserve"> </w:t>
      </w:r>
    </w:p>
    <w:p w14:paraId="29A4480B" w14:textId="77777777" w:rsidR="00F326E5" w:rsidRPr="0038317F" w:rsidRDefault="00F326E5" w:rsidP="00F326E5">
      <w:pPr>
        <w:pStyle w:val="NoSpacing"/>
        <w:rPr>
          <w:rFonts w:ascii="Arial Black" w:hAnsi="Arial Black"/>
          <w:sz w:val="40"/>
          <w:szCs w:val="40"/>
        </w:rPr>
      </w:pPr>
    </w:p>
    <w:p w14:paraId="1E6C878A" w14:textId="77777777" w:rsidR="00F326E5" w:rsidRDefault="00F326E5" w:rsidP="00F326E5">
      <w:pPr>
        <w:pStyle w:val="NoSpacing"/>
        <w:rPr>
          <w:rFonts w:ascii="Arial Black" w:hAnsi="Arial Black"/>
          <w:sz w:val="40"/>
          <w:szCs w:val="40"/>
        </w:rPr>
      </w:pPr>
    </w:p>
    <w:bookmarkEnd w:id="652"/>
    <w:p w14:paraId="44987826" w14:textId="77777777" w:rsidR="00F326E5" w:rsidRDefault="00F326E5" w:rsidP="00F326E5">
      <w:pPr>
        <w:rPr>
          <w:rFonts w:ascii="Arial Black" w:hAnsi="Arial Black"/>
          <w:sz w:val="40"/>
          <w:szCs w:val="40"/>
        </w:rPr>
      </w:pPr>
      <w:r>
        <w:rPr>
          <w:rFonts w:ascii="Arial Black" w:hAnsi="Arial Black"/>
          <w:sz w:val="40"/>
          <w:szCs w:val="40"/>
        </w:rPr>
        <w:br w:type="page"/>
      </w:r>
    </w:p>
    <w:p w14:paraId="0D227104" w14:textId="6F47691A" w:rsidR="00DF36E6" w:rsidRDefault="00DF36E6">
      <w:pPr>
        <w:spacing w:after="0" w:line="240" w:lineRule="auto"/>
        <w:rPr>
          <w:rFonts w:ascii="Arial Black" w:hAnsi="Arial Black"/>
          <w:sz w:val="40"/>
          <w:szCs w:val="40"/>
        </w:rPr>
      </w:pPr>
      <w:r>
        <w:rPr>
          <w:rFonts w:ascii="Arial Black" w:hAnsi="Arial Black"/>
          <w:sz w:val="40"/>
          <w:szCs w:val="40"/>
        </w:rPr>
        <w:lastRenderedPageBreak/>
        <w:br w:type="page"/>
      </w:r>
    </w:p>
    <w:p w14:paraId="28461A6E" w14:textId="6E7A6496" w:rsidR="00F326E5" w:rsidRPr="007732FA" w:rsidRDefault="00F326E5" w:rsidP="00F326E5">
      <w:pPr>
        <w:pStyle w:val="NoSpacing"/>
        <w:rPr>
          <w:rFonts w:ascii="Arial Black" w:hAnsi="Arial Black"/>
          <w:sz w:val="40"/>
          <w:szCs w:val="40"/>
        </w:rPr>
      </w:pPr>
      <w:r w:rsidRPr="007732FA">
        <w:rPr>
          <w:rFonts w:ascii="Arial Black" w:hAnsi="Arial Black"/>
          <w:sz w:val="40"/>
          <w:szCs w:val="40"/>
        </w:rPr>
        <w:lastRenderedPageBreak/>
        <w:t xml:space="preserve">Chap. 18 </w:t>
      </w:r>
      <w:r w:rsidRPr="007732FA">
        <w:rPr>
          <w:rFonts w:ascii="Arial Black" w:hAnsi="Arial Black"/>
          <w:sz w:val="40"/>
          <w:szCs w:val="40"/>
        </w:rPr>
        <w:tab/>
      </w:r>
      <w:r w:rsidRPr="007732FA">
        <w:rPr>
          <w:rFonts w:ascii="Arial Black" w:hAnsi="Arial Black"/>
          <w:sz w:val="40"/>
          <w:szCs w:val="40"/>
        </w:rPr>
        <w:tab/>
        <w:t>Legislation</w:t>
      </w:r>
      <w:r w:rsidR="00B15008">
        <w:rPr>
          <w:rFonts w:ascii="Arial Black" w:hAnsi="Arial Black"/>
          <w:sz w:val="40"/>
          <w:szCs w:val="40"/>
        </w:rPr>
        <w:t>, incl. Public Records</w:t>
      </w:r>
      <w:r w:rsidRPr="007732FA">
        <w:rPr>
          <w:rFonts w:ascii="Arial Black" w:hAnsi="Arial Black"/>
          <w:sz w:val="40"/>
          <w:szCs w:val="40"/>
        </w:rPr>
        <w:tab/>
      </w:r>
    </w:p>
    <w:p w14:paraId="2470B286" w14:textId="77777777" w:rsidR="00F326E5" w:rsidRDefault="00F326E5" w:rsidP="00F326E5">
      <w:pPr>
        <w:pStyle w:val="NoSpacing"/>
        <w:rPr>
          <w:rFonts w:ascii="Arial Black" w:hAnsi="Arial Black"/>
          <w:sz w:val="28"/>
          <w:szCs w:val="28"/>
        </w:rPr>
      </w:pPr>
    </w:p>
    <w:p w14:paraId="6724B861" w14:textId="342FC2E5" w:rsidR="00D008F2" w:rsidRDefault="00D008F2" w:rsidP="00D008F2">
      <w:pPr>
        <w:rPr>
          <w:rFonts w:ascii="Arial Black" w:hAnsi="Arial Black"/>
          <w:b/>
          <w:sz w:val="28"/>
          <w:szCs w:val="28"/>
        </w:rPr>
      </w:pPr>
      <w:bookmarkStart w:id="653" w:name="_Hlk66950840"/>
      <w:bookmarkStart w:id="654" w:name="_Hlk7349738"/>
      <w:r>
        <w:rPr>
          <w:rFonts w:ascii="Arial Black" w:hAnsi="Arial Black"/>
          <w:b/>
          <w:sz w:val="28"/>
          <w:szCs w:val="28"/>
        </w:rPr>
        <w:t>18-35</w:t>
      </w:r>
    </w:p>
    <w:p w14:paraId="6EFC6011" w14:textId="242629F7" w:rsidR="00D008F2" w:rsidRPr="00E318ED" w:rsidRDefault="00D008F2" w:rsidP="00D008F2">
      <w:pPr>
        <w:rPr>
          <w:rFonts w:ascii="Arial Black" w:hAnsi="Arial Black"/>
          <w:b/>
          <w:sz w:val="28"/>
          <w:szCs w:val="28"/>
        </w:rPr>
      </w:pPr>
      <w:r>
        <w:rPr>
          <w:rFonts w:ascii="Arial Black" w:hAnsi="Arial Black"/>
          <w:b/>
          <w:sz w:val="28"/>
          <w:szCs w:val="28"/>
        </w:rPr>
        <w:t>TX: NO SURPRISE ACT – AIR AMBUL / FED. REGS SET ASIDE</w:t>
      </w:r>
    </w:p>
    <w:p w14:paraId="62FE64A9" w14:textId="77777777" w:rsidR="00D008F2" w:rsidRPr="002B066E" w:rsidRDefault="00D008F2" w:rsidP="00D008F2">
      <w:pPr>
        <w:pStyle w:val="NoSpacing"/>
        <w:rPr>
          <w:bCs/>
        </w:rPr>
      </w:pPr>
      <w:r w:rsidRPr="00BC1DBE">
        <w:t xml:space="preserve">On August 11, 2026, in </w:t>
      </w:r>
      <w:r w:rsidRPr="00741B73">
        <w:rPr>
          <w:u w:val="single"/>
        </w:rPr>
        <w:t>Texas Medical Association, et al. v. United States Department of Health and Human Services</w:t>
      </w:r>
      <w:r>
        <w:t xml:space="preserve">, the United States Court of Appeals for Fifth Circuit (New Orleans) held in an </w:t>
      </w:r>
      <w:proofErr w:type="spellStart"/>
      <w:r>
        <w:t>en</w:t>
      </w:r>
      <w:proofErr w:type="spellEnd"/>
      <w:r>
        <w:t xml:space="preserve"> banc decision (all 17 Judges) set aside the Federal reimbursement rate rule for medical providers such as air ambulance companies and insurance companies.  </w:t>
      </w:r>
      <w:r w:rsidRPr="002B066E">
        <w:t>In July 2021, the</w:t>
      </w:r>
    </w:p>
    <w:p w14:paraId="5468843B" w14:textId="77777777" w:rsidR="00D008F2" w:rsidRDefault="00D008F2" w:rsidP="00D008F2">
      <w:pPr>
        <w:pStyle w:val="NoSpacing"/>
        <w:rPr>
          <w:bCs/>
        </w:rPr>
      </w:pPr>
      <w:r w:rsidRPr="002B066E">
        <w:t>agencies promulgated the so-called July Rule</w:t>
      </w:r>
      <w:r>
        <w:t xml:space="preserve"> …. </w:t>
      </w:r>
      <w:r w:rsidRPr="002B066E">
        <w:t>The July Rule is</w:t>
      </w:r>
      <w:r>
        <w:t xml:space="preserve"> </w:t>
      </w:r>
      <w:r w:rsidRPr="002B066E">
        <w:t>an interim-final rule, meaning that the agencies promulgated it without notice</w:t>
      </w:r>
      <w:r>
        <w:t xml:space="preserve"> </w:t>
      </w:r>
      <w:r w:rsidRPr="002B066E">
        <w:t>and comment</w:t>
      </w:r>
      <w:r>
        <w:t xml:space="preserve">…. </w:t>
      </w:r>
      <w:r w:rsidRPr="0010380E">
        <w:t>Because the agencies directed</w:t>
      </w:r>
      <w:r>
        <w:t xml:space="preserve"> </w:t>
      </w:r>
      <w:r w:rsidRPr="006F12D7">
        <w:t>insurers to include non-negotiated ghost rates, the resulting QPAs</w:t>
      </w:r>
      <w:r>
        <w:t xml:space="preserve"> [</w:t>
      </w:r>
      <w:r w:rsidRPr="00AB69E0">
        <w:t>qualifying payment amount</w:t>
      </w:r>
      <w:r>
        <w:t xml:space="preserve">] </w:t>
      </w:r>
      <w:r w:rsidRPr="006F12D7">
        <w:t>were</w:t>
      </w:r>
      <w:r>
        <w:t xml:space="preserve"> </w:t>
      </w:r>
      <w:r w:rsidRPr="006F12D7">
        <w:t>artificially low. How do we know? For one, the number of arbitrations</w:t>
      </w:r>
      <w:r>
        <w:t xml:space="preserve"> </w:t>
      </w:r>
      <w:r w:rsidRPr="006F12D7">
        <w:t>dwarfed the agencies’ expectations by a factor of 84. For two, providers</w:t>
      </w:r>
      <w:r>
        <w:t xml:space="preserve"> </w:t>
      </w:r>
      <w:proofErr w:type="gramStart"/>
      <w:r w:rsidRPr="006F12D7">
        <w:t xml:space="preserve">prevailed </w:t>
      </w:r>
      <w:r>
        <w:t>in</w:t>
      </w:r>
      <w:proofErr w:type="gramEnd"/>
      <w:r>
        <w:t xml:space="preserve"> </w:t>
      </w:r>
      <w:r w:rsidRPr="006F12D7">
        <w:t>over 80% of arbitrations. And for three, arbitrators selected a</w:t>
      </w:r>
      <w:r>
        <w:t xml:space="preserve"> </w:t>
      </w:r>
      <w:r w:rsidRPr="006F12D7">
        <w:t>reimbursement rate higher than the QPA in a whopping 85% of arbitrations.</w:t>
      </w:r>
      <w:r>
        <w:t xml:space="preserve"> </w:t>
      </w:r>
      <w:r w:rsidRPr="006F12D7">
        <w:t>These statistics underscore that the agency’s inclusion of artificially low</w:t>
      </w:r>
      <w:r>
        <w:t xml:space="preserve"> </w:t>
      </w:r>
      <w:r w:rsidRPr="006F12D7">
        <w:t>reimbursement rates is contrary to the statutory text</w:t>
      </w:r>
      <w:r>
        <w:t>.</w:t>
      </w:r>
    </w:p>
    <w:p w14:paraId="48A5A74C" w14:textId="77777777" w:rsidR="00D008F2" w:rsidRDefault="00D008F2" w:rsidP="00D008F2">
      <w:pPr>
        <w:rPr>
          <w:b/>
        </w:rPr>
      </w:pPr>
      <w:hyperlink r:id="rId2942" w:history="1">
        <w:r w:rsidRPr="00280F1F">
          <w:rPr>
            <w:rStyle w:val="Hyperlink"/>
            <w:b/>
          </w:rPr>
          <w:t>https://www.ca5.uscourts.gov/opinions/pub/23/23-40605-CV1.pdf</w:t>
        </w:r>
      </w:hyperlink>
      <w:r>
        <w:rPr>
          <w:b/>
        </w:rPr>
        <w:t xml:space="preserve"> </w:t>
      </w:r>
    </w:p>
    <w:p w14:paraId="160FDC9D" w14:textId="77777777" w:rsidR="00D008F2" w:rsidRDefault="00D008F2" w:rsidP="00D008F2">
      <w:pPr>
        <w:pStyle w:val="NoSpacing"/>
        <w:rPr>
          <w:bCs/>
        </w:rPr>
      </w:pPr>
    </w:p>
    <w:p w14:paraId="798F29E1" w14:textId="77777777" w:rsidR="00D008F2" w:rsidRDefault="00D008F2" w:rsidP="00D008F2">
      <w:pPr>
        <w:pStyle w:val="NoSpacing"/>
        <w:rPr>
          <w:bCs/>
        </w:rPr>
      </w:pPr>
      <w:r>
        <w:t>THE COURT WROTE:</w:t>
      </w:r>
    </w:p>
    <w:p w14:paraId="04469B72" w14:textId="77777777" w:rsidR="00D008F2" w:rsidRDefault="00D008F2" w:rsidP="00D008F2">
      <w:pPr>
        <w:pStyle w:val="NoSpacing"/>
        <w:rPr>
          <w:bCs/>
        </w:rPr>
      </w:pPr>
    </w:p>
    <w:p w14:paraId="23C61DE3" w14:textId="77777777" w:rsidR="00D008F2" w:rsidRDefault="00D008F2" w:rsidP="00D008F2">
      <w:pPr>
        <w:pStyle w:val="NoSpacing"/>
        <w:ind w:left="720"/>
        <w:rPr>
          <w:bCs/>
        </w:rPr>
      </w:pPr>
      <w:r>
        <w:t>“</w:t>
      </w:r>
      <w:r w:rsidRPr="00027955">
        <w:t>The No Surprises Act (</w:t>
      </w:r>
      <w:r>
        <w:t>‘</w:t>
      </w:r>
      <w:r w:rsidRPr="00027955">
        <w:t>NSA</w:t>
      </w:r>
      <w:r>
        <w:t>’</w:t>
      </w:r>
      <w:r w:rsidRPr="00027955">
        <w:t xml:space="preserve"> or </w:t>
      </w:r>
      <w:r>
        <w:t>‘</w:t>
      </w:r>
      <w:r w:rsidRPr="00027955">
        <w:t>the Act</w:t>
      </w:r>
      <w:r>
        <w:t>’</w:t>
      </w:r>
      <w:r w:rsidRPr="00027955">
        <w:t>) mitigates unexpected</w:t>
      </w:r>
      <w:r>
        <w:t xml:space="preserve"> </w:t>
      </w:r>
      <w:r w:rsidRPr="00027955">
        <w:t>medical bills from out-of-network healthcare providers, especially in</w:t>
      </w:r>
      <w:r>
        <w:t xml:space="preserve"> </w:t>
      </w:r>
      <w:r w:rsidRPr="00027955">
        <w:t>emergencies. The Act directs insurers and healthcare providers to negotiate</w:t>
      </w:r>
      <w:r>
        <w:t xml:space="preserve"> </w:t>
      </w:r>
      <w:r w:rsidRPr="00027955">
        <w:t xml:space="preserve">reimbursement rates via an </w:t>
      </w:r>
      <w:r>
        <w:t>‘</w:t>
      </w:r>
      <w:r w:rsidRPr="00027955">
        <w:t>independent dispute resolution process,</w:t>
      </w:r>
      <w:r>
        <w:t xml:space="preserve">’ </w:t>
      </w:r>
      <w:r w:rsidRPr="00027955">
        <w:t>42</w:t>
      </w:r>
      <w:r>
        <w:t xml:space="preserve"> </w:t>
      </w:r>
      <w:r w:rsidRPr="00027955">
        <w:t>U.S.C. § 300gg-111(c), rather than leaving patients responsible for the</w:t>
      </w:r>
      <w:r>
        <w:t xml:space="preserve"> </w:t>
      </w:r>
      <w:r w:rsidRPr="00027955">
        <w:t>(potentially staggering) full balance of their treatment. That negotiation</w:t>
      </w:r>
      <w:r>
        <w:t xml:space="preserve"> </w:t>
      </w:r>
      <w:r w:rsidRPr="00027955">
        <w:t xml:space="preserve">process centers on the </w:t>
      </w:r>
      <w:r>
        <w:t>‘</w:t>
      </w:r>
      <w:r w:rsidRPr="00027955">
        <w:t>qualifying payment amount,</w:t>
      </w:r>
      <w:r>
        <w:t>’</w:t>
      </w:r>
      <w:r w:rsidRPr="00027955">
        <w:t xml:space="preserve"> or QPA.</w:t>
      </w:r>
    </w:p>
    <w:p w14:paraId="02754D28" w14:textId="77777777" w:rsidR="00D008F2" w:rsidRDefault="00D008F2" w:rsidP="00D008F2">
      <w:pPr>
        <w:pStyle w:val="NoSpacing"/>
        <w:ind w:left="720"/>
        <w:rPr>
          <w:bCs/>
        </w:rPr>
      </w:pPr>
    </w:p>
    <w:p w14:paraId="691DBA24" w14:textId="77777777" w:rsidR="00D008F2" w:rsidRDefault="00D008F2" w:rsidP="00D008F2">
      <w:pPr>
        <w:pStyle w:val="NoSpacing"/>
        <w:ind w:left="720"/>
        <w:rPr>
          <w:bCs/>
        </w:rPr>
      </w:pPr>
      <w:r>
        <w:t>***</w:t>
      </w:r>
    </w:p>
    <w:p w14:paraId="347AE347" w14:textId="77777777" w:rsidR="00D008F2" w:rsidRDefault="00D008F2" w:rsidP="00D008F2">
      <w:pPr>
        <w:pStyle w:val="NoSpacing"/>
        <w:ind w:left="720"/>
        <w:rPr>
          <w:bCs/>
        </w:rPr>
      </w:pPr>
    </w:p>
    <w:p w14:paraId="696DF05C" w14:textId="77777777" w:rsidR="00D008F2" w:rsidRDefault="00D008F2" w:rsidP="00D008F2">
      <w:pPr>
        <w:pStyle w:val="NoSpacing"/>
        <w:ind w:left="720"/>
        <w:rPr>
          <w:bCs/>
        </w:rPr>
      </w:pPr>
      <w:r w:rsidRPr="00F53AF9">
        <w:t>Because the air ambulance business model is built</w:t>
      </w:r>
      <w:r>
        <w:t xml:space="preserve"> </w:t>
      </w:r>
      <w:r w:rsidRPr="00F53AF9">
        <w:t>on avoiding in-network contracts, we cannot say it was arbitrary or capricious</w:t>
      </w:r>
      <w:r>
        <w:t xml:space="preserve"> </w:t>
      </w:r>
      <w:r w:rsidRPr="00F53AF9">
        <w:t>to exclude them from a scheme built on in-network contracts</w:t>
      </w:r>
      <w:r>
        <w:t>.</w:t>
      </w:r>
    </w:p>
    <w:p w14:paraId="39AAE3E5" w14:textId="77777777" w:rsidR="00D008F2" w:rsidRDefault="00D008F2" w:rsidP="00D008F2">
      <w:pPr>
        <w:pStyle w:val="NoSpacing"/>
        <w:ind w:left="720"/>
        <w:rPr>
          <w:bCs/>
        </w:rPr>
      </w:pPr>
    </w:p>
    <w:p w14:paraId="6BF5A64D" w14:textId="77777777" w:rsidR="00D008F2" w:rsidRDefault="00D008F2" w:rsidP="00D008F2">
      <w:pPr>
        <w:pStyle w:val="NoSpacing"/>
        <w:ind w:left="720"/>
        <w:rPr>
          <w:bCs/>
        </w:rPr>
      </w:pPr>
      <w:r>
        <w:t>***</w:t>
      </w:r>
    </w:p>
    <w:p w14:paraId="49F9B735" w14:textId="77777777" w:rsidR="00D008F2" w:rsidRPr="00E65A24" w:rsidRDefault="00D008F2" w:rsidP="00D008F2">
      <w:pPr>
        <w:pStyle w:val="NoSpacing"/>
        <w:ind w:left="720"/>
        <w:rPr>
          <w:bCs/>
        </w:rPr>
      </w:pPr>
      <w:r w:rsidRPr="00E65A24">
        <w:t>As</w:t>
      </w:r>
      <w:r>
        <w:t xml:space="preserve"> </w:t>
      </w:r>
      <w:r w:rsidRPr="00E65A24">
        <w:t xml:space="preserve">the district court put it, the QPA serves to approximate the </w:t>
      </w:r>
      <w:r>
        <w:t>‘</w:t>
      </w:r>
      <w:r w:rsidRPr="00E65A24">
        <w:t>median rate the</w:t>
      </w:r>
      <w:r>
        <w:t xml:space="preserve"> </w:t>
      </w:r>
      <w:r w:rsidRPr="00E65A24">
        <w:t>insurer would have paid for the service if provided by an in-network provider</w:t>
      </w:r>
      <w:r>
        <w:t xml:space="preserve"> </w:t>
      </w:r>
      <w:r w:rsidRPr="00E65A24">
        <w:t>or facility.</w:t>
      </w:r>
      <w:r>
        <w:t>’</w:t>
      </w:r>
      <w:r w:rsidRPr="00E65A24">
        <w:t xml:space="preserve"> But single-case agreements involve out-of-network providers’</w:t>
      </w:r>
      <w:r>
        <w:t xml:space="preserve"> </w:t>
      </w:r>
      <w:r w:rsidRPr="00E65A24">
        <w:t xml:space="preserve">performing emergency services that result in </w:t>
      </w:r>
      <w:proofErr w:type="gramStart"/>
      <w:r w:rsidRPr="00E65A24">
        <w:t>exorbitant,</w:t>
      </w:r>
      <w:r>
        <w:t xml:space="preserve"> ‘</w:t>
      </w:r>
      <w:r w:rsidRPr="00E65A24">
        <w:t>surprise</w:t>
      </w:r>
      <w:proofErr w:type="gramEnd"/>
      <w:r>
        <w:t xml:space="preserve">’ </w:t>
      </w:r>
      <w:r w:rsidRPr="00E65A24">
        <w:t xml:space="preserve"> charges</w:t>
      </w:r>
      <w:r>
        <w:t xml:space="preserve"> </w:t>
      </w:r>
      <w:r w:rsidRPr="00E65A24">
        <w:t>to unwitting patients. That the No Surprises Act would incorporate such</w:t>
      </w:r>
      <w:r>
        <w:t xml:space="preserve"> </w:t>
      </w:r>
      <w:r w:rsidRPr="00E65A24">
        <w:t>surprise rates into the QPA makes little sense. The point of the QPA is to</w:t>
      </w:r>
      <w:r>
        <w:t xml:space="preserve"> ‘</w:t>
      </w:r>
      <w:r w:rsidRPr="00E65A24">
        <w:t>reflect[] market rates under typical contract negotiations.</w:t>
      </w:r>
      <w:r>
        <w:t>’</w:t>
      </w:r>
      <w:r w:rsidRPr="00E65A24">
        <w:t xml:space="preserve"> 86 Fed. Reg. at</w:t>
      </w:r>
    </w:p>
    <w:p w14:paraId="0BF64100" w14:textId="77777777" w:rsidR="00D008F2" w:rsidRDefault="00D008F2" w:rsidP="00D008F2">
      <w:pPr>
        <w:pStyle w:val="NoSpacing"/>
        <w:ind w:left="720"/>
        <w:rPr>
          <w:bCs/>
        </w:rPr>
      </w:pPr>
      <w:r w:rsidRPr="00E65A24">
        <w:t>36,889; see also supra, Part I. Out-of-network charges for emergency care do</w:t>
      </w:r>
      <w:r>
        <w:t xml:space="preserve"> </w:t>
      </w:r>
      <w:r w:rsidRPr="00E65A24">
        <w:t>not factor into this calculus.</w:t>
      </w:r>
      <w:r>
        <w:t>”</w:t>
      </w:r>
    </w:p>
    <w:p w14:paraId="01286130" w14:textId="77777777" w:rsidR="00D008F2" w:rsidRDefault="00D008F2" w:rsidP="00D008F2">
      <w:pPr>
        <w:pStyle w:val="NoSpacing"/>
        <w:ind w:left="720"/>
        <w:rPr>
          <w:bCs/>
        </w:rPr>
      </w:pPr>
    </w:p>
    <w:p w14:paraId="05252D28" w14:textId="77777777" w:rsidR="00D008F2" w:rsidRPr="00DC3C2B" w:rsidRDefault="00D008F2" w:rsidP="00D008F2">
      <w:pPr>
        <w:rPr>
          <w:b/>
        </w:rPr>
      </w:pPr>
      <w:r>
        <w:rPr>
          <w:b/>
        </w:rPr>
        <w:t xml:space="preserve">Legal lesson learned: Reimbursement rates for air ambulance companies and other medical providers is a “hot issue.” Federal agencies need to follow APA when drafting a rule, including public notice and comment period. </w:t>
      </w:r>
    </w:p>
    <w:p w14:paraId="7E420C47" w14:textId="77777777" w:rsidR="00D008F2" w:rsidRPr="00294CD7" w:rsidRDefault="00D008F2" w:rsidP="00D008F2">
      <w:pPr>
        <w:pStyle w:val="NoSpacing"/>
        <w:ind w:left="720"/>
        <w:rPr>
          <w:b/>
        </w:rPr>
      </w:pPr>
      <w:r>
        <w:t>Note: Read this article: “</w:t>
      </w:r>
      <w:r w:rsidRPr="00767CAA">
        <w:t>The No Surprises Act: A Litigation Status Check</w:t>
      </w:r>
      <w:r>
        <w:t xml:space="preserve">” </w:t>
      </w:r>
      <w:r w:rsidRPr="00767CAA">
        <w:t xml:space="preserve">(Aug. 26, 2026). </w:t>
      </w:r>
      <w:hyperlink r:id="rId2943" w:history="1">
        <w:r w:rsidRPr="00767CAA">
          <w:rPr>
            <w:rStyle w:val="Hyperlink"/>
          </w:rPr>
          <w:t>https://www.healthaffairs.org/content/forefront/no-surprises-act-litigation-status-check</w:t>
        </w:r>
      </w:hyperlink>
      <w:r>
        <w:rPr>
          <w:b/>
        </w:rPr>
        <w:t xml:space="preserve"> </w:t>
      </w:r>
    </w:p>
    <w:p w14:paraId="46DE06B2" w14:textId="77777777" w:rsidR="00D008F2" w:rsidRDefault="00D008F2" w:rsidP="00D008F2">
      <w:pPr>
        <w:pStyle w:val="NoSpacing"/>
        <w:ind w:left="720"/>
        <w:rPr>
          <w:bCs/>
        </w:rPr>
      </w:pPr>
    </w:p>
    <w:p w14:paraId="4EB3C1D7" w14:textId="77777777" w:rsidR="00D008F2" w:rsidRDefault="00D008F2" w:rsidP="00D008F2">
      <w:pPr>
        <w:pStyle w:val="NoSpacing"/>
        <w:ind w:left="720"/>
        <w:rPr>
          <w:bCs/>
        </w:rPr>
      </w:pPr>
      <w:r>
        <w:t>“</w:t>
      </w:r>
      <w:r w:rsidRPr="005523A3">
        <w:t xml:space="preserve">Nearly five years ago, President Trump signed the </w:t>
      </w:r>
      <w:hyperlink r:id="rId2944" w:tgtFrame="_blank" w:history="1">
        <w:r w:rsidRPr="005523A3">
          <w:rPr>
            <w:rStyle w:val="Hyperlink"/>
          </w:rPr>
          <w:t>No Surprises Act</w:t>
        </w:r>
      </w:hyperlink>
      <w:r w:rsidRPr="005523A3">
        <w:t xml:space="preserve"> into law, establishing new patient protections against surprise medical bills. Since the law took effect in 2022, </w:t>
      </w:r>
      <w:hyperlink r:id="rId2945" w:tgtFrame="_blank" w:history="1">
        <w:r w:rsidRPr="005523A3">
          <w:rPr>
            <w:rStyle w:val="Hyperlink"/>
          </w:rPr>
          <w:t>millions of consumers</w:t>
        </w:r>
      </w:hyperlink>
      <w:r w:rsidRPr="005523A3">
        <w:t xml:space="preserve"> have been protected from unexpected bills for out-of-network care—from emergency services to anesthesia to air ambulance rides. While the law has </w:t>
      </w:r>
      <w:hyperlink r:id="rId2946" w:tgtFrame="_blank" w:history="1">
        <w:r w:rsidRPr="005523A3">
          <w:rPr>
            <w:rStyle w:val="Hyperlink"/>
          </w:rPr>
          <w:t>successfully protected consumers</w:t>
        </w:r>
      </w:hyperlink>
      <w:r w:rsidRPr="005523A3">
        <w:t xml:space="preserve"> from the most common types of surprise </w:t>
      </w:r>
      <w:r w:rsidRPr="005523A3">
        <w:lastRenderedPageBreak/>
        <w:t xml:space="preserve">out-of-network bills, its implementation has been hobbled by </w:t>
      </w:r>
      <w:hyperlink r:id="rId2947" w:tgtFrame="_blank" w:history="1">
        <w:r w:rsidRPr="005523A3">
          <w:rPr>
            <w:rStyle w:val="Hyperlink"/>
          </w:rPr>
          <w:t>aggressive litigation</w:t>
        </w:r>
      </w:hyperlink>
      <w:r>
        <w:t xml:space="preserve">…. </w:t>
      </w:r>
      <w:r w:rsidRPr="00640405">
        <w:t xml:space="preserve">The first wave of litigation began in fall </w:t>
      </w:r>
      <w:proofErr w:type="gramStart"/>
      <w:r w:rsidRPr="00640405">
        <w:t>2021</w:t>
      </w:r>
      <w:proofErr w:type="gramEnd"/>
      <w:r w:rsidRPr="00640405">
        <w:t xml:space="preserve"> beginning with </w:t>
      </w:r>
      <w:hyperlink r:id="rId2948" w:tgtFrame="_blank" w:history="1">
        <w:r w:rsidRPr="00640405">
          <w:rPr>
            <w:rStyle w:val="Hyperlink"/>
          </w:rPr>
          <w:t>six lawsuits</w:t>
        </w:r>
      </w:hyperlink>
      <w:r w:rsidRPr="00640405">
        <w:t xml:space="preserve"> by doctors, hospitals, and air ambulance companies across five different jurisdictions. These lawsuits are now over, but these early challenges laid the groundwork for successful follow-on challenges over the next four </w:t>
      </w:r>
      <w:proofErr w:type="gramStart"/>
      <w:r w:rsidRPr="00640405">
        <w:t>years—</w:t>
      </w:r>
      <w:proofErr w:type="gramEnd"/>
      <w:r w:rsidRPr="00640405">
        <w:t xml:space="preserve">especially in the eastern district of </w:t>
      </w:r>
      <w:proofErr w:type="gramStart"/>
      <w:r w:rsidRPr="00640405">
        <w:t>Texas.</w:t>
      </w:r>
      <w:r>
        <w:t>”</w:t>
      </w:r>
      <w:proofErr w:type="gramEnd"/>
    </w:p>
    <w:p w14:paraId="61203383" w14:textId="77777777" w:rsidR="00D008F2" w:rsidRDefault="00D008F2" w:rsidP="00D008F2">
      <w:pPr>
        <w:pStyle w:val="NoSpacing"/>
        <w:ind w:left="720"/>
        <w:rPr>
          <w:bCs/>
        </w:rPr>
      </w:pPr>
    </w:p>
    <w:p w14:paraId="303E79CC" w14:textId="77777777" w:rsidR="00A26432" w:rsidRDefault="00A26432" w:rsidP="00237A65">
      <w:pPr>
        <w:pStyle w:val="NoSpacing"/>
        <w:rPr>
          <w:rFonts w:ascii="Arial Black" w:hAnsi="Arial Black"/>
          <w:sz w:val="24"/>
          <w:szCs w:val="24"/>
        </w:rPr>
      </w:pPr>
    </w:p>
    <w:p w14:paraId="2EC02F8D" w14:textId="77777777" w:rsidR="00A26432" w:rsidRDefault="00A26432" w:rsidP="00237A65">
      <w:pPr>
        <w:pStyle w:val="NoSpacing"/>
        <w:rPr>
          <w:rFonts w:ascii="Arial Black" w:hAnsi="Arial Black"/>
          <w:sz w:val="24"/>
          <w:szCs w:val="24"/>
        </w:rPr>
      </w:pPr>
    </w:p>
    <w:p w14:paraId="2963F772" w14:textId="77777777" w:rsidR="00A26432" w:rsidRDefault="00A26432" w:rsidP="00237A65">
      <w:pPr>
        <w:pStyle w:val="NoSpacing"/>
        <w:rPr>
          <w:rFonts w:ascii="Arial Black" w:hAnsi="Arial Black"/>
          <w:sz w:val="24"/>
          <w:szCs w:val="24"/>
        </w:rPr>
      </w:pPr>
    </w:p>
    <w:p w14:paraId="07083131" w14:textId="1DED084B" w:rsidR="00A4294E" w:rsidRDefault="00A4294E" w:rsidP="00237A65">
      <w:pPr>
        <w:pStyle w:val="NoSpacing"/>
        <w:rPr>
          <w:rFonts w:ascii="Arial Black" w:hAnsi="Arial Black"/>
          <w:sz w:val="28"/>
          <w:szCs w:val="28"/>
        </w:rPr>
      </w:pPr>
      <w:r>
        <w:rPr>
          <w:rFonts w:ascii="Arial Black" w:hAnsi="Arial Black"/>
          <w:sz w:val="24"/>
          <w:szCs w:val="24"/>
        </w:rPr>
        <w:t>18-34 [also filed Chap.13]</w:t>
      </w:r>
    </w:p>
    <w:p w14:paraId="0A01DFF6" w14:textId="77777777" w:rsidR="00A4294E" w:rsidRDefault="00A4294E" w:rsidP="00237A65">
      <w:pPr>
        <w:pStyle w:val="NoSpacing"/>
        <w:rPr>
          <w:rFonts w:ascii="Arial Black" w:hAnsi="Arial Black"/>
          <w:sz w:val="28"/>
          <w:szCs w:val="28"/>
        </w:rPr>
      </w:pPr>
    </w:p>
    <w:p w14:paraId="5A62591E" w14:textId="6053CD8F" w:rsidR="00237A65" w:rsidRPr="00554749" w:rsidRDefault="00237A65" w:rsidP="00237A65">
      <w:pPr>
        <w:pStyle w:val="NoSpacing"/>
        <w:rPr>
          <w:rFonts w:ascii="Arial Black" w:hAnsi="Arial Black"/>
          <w:sz w:val="28"/>
          <w:szCs w:val="28"/>
        </w:rPr>
      </w:pPr>
      <w:r>
        <w:rPr>
          <w:rFonts w:ascii="Arial Black" w:hAnsi="Arial Black"/>
          <w:sz w:val="28"/>
          <w:szCs w:val="28"/>
        </w:rPr>
        <w:t>CO: BABY “SAFE HAVEN LAW” – MOM STAYS “ANONYMOUS”</w:t>
      </w:r>
    </w:p>
    <w:p w14:paraId="0A01C139" w14:textId="77777777" w:rsidR="00237A65" w:rsidRDefault="00237A65" w:rsidP="00237A65">
      <w:pPr>
        <w:pStyle w:val="NoSpacing"/>
      </w:pPr>
    </w:p>
    <w:p w14:paraId="005E5BB6" w14:textId="77777777" w:rsidR="00237A65" w:rsidRDefault="00237A65" w:rsidP="00237A65">
      <w:r>
        <w:t xml:space="preserve">On June 8, 2026, </w:t>
      </w:r>
      <w:r w:rsidRPr="0018279B">
        <w:rPr>
          <w:u w:val="single"/>
        </w:rPr>
        <w:t>In Re The People of the State of Colorado, In The Interest of Minor Child:</w:t>
      </w:r>
      <w:r>
        <w:rPr>
          <w:u w:val="single"/>
        </w:rPr>
        <w:t xml:space="preserve"> </w:t>
      </w:r>
      <w:r w:rsidRPr="0018279B">
        <w:rPr>
          <w:u w:val="single"/>
        </w:rPr>
        <w:t>G.D.M. v. Morgan County Department of Human Services</w:t>
      </w:r>
      <w:r>
        <w:t xml:space="preserve">, </w:t>
      </w:r>
      <w:r w:rsidRPr="0018279B">
        <w:t>the Supreme Court of Colorado, En Banc</w:t>
      </w:r>
      <w:r>
        <w:t xml:space="preserve"> (6 to 1) held that with baby born in ambulance in hospital parking lot, and mother told EMS she wanted to give the baby up for adoption, the County Department of Human Services had no right to know mother’s or father’s identity. The Court wrote: “</w:t>
      </w:r>
      <w:r w:rsidRPr="00B548EE">
        <w:t>Together, these tools of construction speak in a quiet but unmistakable voice, leading us to infer that parents who avail themselves of this law are entitled to anonymity and confidentiality.</w:t>
      </w:r>
      <w:r>
        <w:t xml:space="preserve">” </w:t>
      </w:r>
      <w:hyperlink r:id="rId2949" w:history="1">
        <w:r w:rsidRPr="003E6F82">
          <w:rPr>
            <w:rStyle w:val="Hyperlink"/>
          </w:rPr>
          <w:t>https://caselaw.findlaw.com/court/co-supreme-court/111256.html</w:t>
        </w:r>
      </w:hyperlink>
      <w:r>
        <w:t xml:space="preserve"> </w:t>
      </w:r>
    </w:p>
    <w:p w14:paraId="3EF10AD7" w14:textId="77777777" w:rsidR="00237A65" w:rsidRDefault="00237A65" w:rsidP="00237A65">
      <w:pPr>
        <w:rPr>
          <w:b/>
        </w:rPr>
      </w:pPr>
    </w:p>
    <w:p w14:paraId="4039BD03" w14:textId="77777777" w:rsidR="00237A65" w:rsidRDefault="00237A65" w:rsidP="00237A65">
      <w:pPr>
        <w:rPr>
          <w:b/>
        </w:rPr>
      </w:pPr>
      <w:r>
        <w:rPr>
          <w:b/>
        </w:rPr>
        <w:t>FACTS:</w:t>
      </w:r>
    </w:p>
    <w:p w14:paraId="0214FB54" w14:textId="77777777" w:rsidR="00237A65" w:rsidRPr="00CA4A65" w:rsidRDefault="00237A65" w:rsidP="00237A65">
      <w:pPr>
        <w:pStyle w:val="NoSpacing"/>
      </w:pPr>
      <w:r>
        <w:t>“</w:t>
      </w:r>
      <w:r w:rsidRPr="00CA4A65">
        <w:t>In this case, M.O.M. (</w:t>
      </w:r>
      <w:r>
        <w:t>‘</w:t>
      </w:r>
      <w:r w:rsidRPr="00CA4A65">
        <w:t>Birth Mother</w:t>
      </w:r>
      <w:r>
        <w:t>’</w:t>
      </w:r>
      <w:r w:rsidRPr="00CA4A65">
        <w:t xml:space="preserve">) gave birth to G.D.M. in the back of an ambulance in the parking lot of a hospital. She immediately told medical staff that she neither wanted nor had the means to care for G.D.M. She added that the baby's father was not in the picture, so she wanted to give the baby up for adoption. </w:t>
      </w:r>
    </w:p>
    <w:p w14:paraId="79FA73D1" w14:textId="77777777" w:rsidR="00237A65" w:rsidRDefault="00237A65" w:rsidP="00237A65">
      <w:pPr>
        <w:pStyle w:val="NoSpacing"/>
      </w:pPr>
      <w:r w:rsidRPr="00CA4A65">
        <w:t>       </w:t>
      </w:r>
    </w:p>
    <w:p w14:paraId="183A22E0" w14:textId="77777777" w:rsidR="00237A65" w:rsidRDefault="00237A65" w:rsidP="00237A65">
      <w:pPr>
        <w:pStyle w:val="NoSpacing"/>
      </w:pPr>
      <w:r w:rsidRPr="00CA4A65">
        <w:t xml:space="preserve">The Morgan County Department of Human </w:t>
      </w:r>
      <w:proofErr w:type="gramStart"/>
      <w:r w:rsidRPr="00CA4A65">
        <w:t>Services (</w:t>
      </w:r>
      <w:r>
        <w:t>‘</w:t>
      </w:r>
      <w:r w:rsidRPr="00CA4A65">
        <w:t>MCDHS</w:t>
      </w:r>
      <w:r>
        <w:t>’</w:t>
      </w:r>
      <w:r w:rsidRPr="00CA4A65">
        <w:t>)</w:t>
      </w:r>
      <w:proofErr w:type="gramEnd"/>
      <w:r w:rsidRPr="00CA4A65">
        <w:t xml:space="preserve"> promptly initiated this dependency or </w:t>
      </w:r>
      <w:proofErr w:type="gramStart"/>
      <w:r w:rsidRPr="00CA4A65">
        <w:t>neglect</w:t>
      </w:r>
      <w:proofErr w:type="gramEnd"/>
      <w:r w:rsidRPr="00CA4A65">
        <w:t xml:space="preserve"> proceeding. Treating this case like any other abandonment matter, MCDHS </w:t>
      </w:r>
      <w:proofErr w:type="gramStart"/>
      <w:r w:rsidRPr="00CA4A65">
        <w:t>conducted an investigation</w:t>
      </w:r>
      <w:proofErr w:type="gramEnd"/>
      <w:r w:rsidRPr="00CA4A65">
        <w:t xml:space="preserve"> and, after discovering Birth Mother's identity, undertook </w:t>
      </w:r>
      <w:r>
        <w:t>‘</w:t>
      </w:r>
      <w:r w:rsidRPr="00CA4A65">
        <w:t xml:space="preserve">due </w:t>
      </w:r>
      <w:proofErr w:type="gramStart"/>
      <w:r w:rsidRPr="00CA4A65">
        <w:t>diligence</w:t>
      </w:r>
      <w:r>
        <w:t>’</w:t>
      </w:r>
      <w:proofErr w:type="gramEnd"/>
      <w:r>
        <w:t xml:space="preserve"> </w:t>
      </w:r>
      <w:r w:rsidRPr="00CA4A65">
        <w:t xml:space="preserve">efforts by contacting her family members in search of appropriate placement options. When the juvenile court realized what was occurring, it intervened to </w:t>
      </w:r>
      <w:proofErr w:type="gramStart"/>
      <w:r w:rsidRPr="00CA4A65">
        <w:t>course correct</w:t>
      </w:r>
      <w:proofErr w:type="gramEnd"/>
      <w:r w:rsidRPr="00CA4A65">
        <w:t xml:space="preserve"> by written order. The </w:t>
      </w:r>
      <w:r>
        <w:t xml:space="preserve"> </w:t>
      </w:r>
      <w:r w:rsidRPr="00CA4A65">
        <w:t>court halted MCDHS's efforts, concluding that Birth Mother had a right to anonymity and confidentiality under the Safe Haven Law.</w:t>
      </w:r>
    </w:p>
    <w:p w14:paraId="09589EDB" w14:textId="77777777" w:rsidR="00237A65" w:rsidRDefault="00237A65" w:rsidP="00237A65">
      <w:pPr>
        <w:pStyle w:val="NoSpacing"/>
      </w:pPr>
    </w:p>
    <w:p w14:paraId="27D2E2DE" w14:textId="77777777" w:rsidR="00237A65" w:rsidRDefault="00237A65" w:rsidP="00237A65">
      <w:pPr>
        <w:pStyle w:val="NoSpacing"/>
      </w:pPr>
      <w:r w:rsidRPr="00DC2200">
        <w:t>MCDHS disagreed. It filed a C.A.R. 21 petition asking us to shed light on the question, and we issued an order to show cause. MCDHS contends that the juvenile court went astray in determining that Birth Mother is entitled to anonymity and confidentiality under the Safe Haven Law. As a result, MCDHS asserts, the court improperly blocked its efforts to identify appropriate placement options for G.D.M. among Birth Mother's family members</w:t>
      </w:r>
      <w:r>
        <w:t xml:space="preserve">.” </w:t>
      </w:r>
    </w:p>
    <w:p w14:paraId="60563809" w14:textId="77777777" w:rsidR="00237A65" w:rsidRDefault="00237A65" w:rsidP="00237A65">
      <w:pPr>
        <w:pStyle w:val="NoSpacing"/>
      </w:pPr>
    </w:p>
    <w:p w14:paraId="66B0A5DB" w14:textId="77777777" w:rsidR="00237A65" w:rsidRDefault="00237A65" w:rsidP="00237A65">
      <w:pPr>
        <w:pStyle w:val="NoSpacing"/>
        <w:rPr>
          <w:b/>
          <w:bCs/>
        </w:rPr>
      </w:pPr>
      <w:r w:rsidRPr="001F38F4">
        <w:rPr>
          <w:b/>
        </w:rPr>
        <w:t xml:space="preserve">COURT HELD: </w:t>
      </w:r>
    </w:p>
    <w:p w14:paraId="21D7B4AD" w14:textId="77777777" w:rsidR="00237A65" w:rsidRDefault="00237A65" w:rsidP="00237A65">
      <w:pPr>
        <w:pStyle w:val="NoSpacing"/>
        <w:rPr>
          <w:b/>
          <w:bCs/>
        </w:rPr>
      </w:pPr>
    </w:p>
    <w:p w14:paraId="6B3B1CD3" w14:textId="77777777" w:rsidR="00237A65" w:rsidRDefault="00237A65" w:rsidP="00237A65">
      <w:pPr>
        <w:pStyle w:val="NoSpacing"/>
      </w:pPr>
      <w:r>
        <w:t>“</w:t>
      </w:r>
      <w:r w:rsidRPr="0090196A">
        <w:t xml:space="preserve">Colorado's Safe Haven Law, section 19-3-304.5(1)(b), C.R.S. (2025), affords parents of newborns a vital refuge: It allows them to voluntarily relinquish a child who is seventy-two hours old or younger into the protective hands of either a firefighter (when the firefighter is at a fire station) or certain hospital or clinic staff members (when they are at a hospital or community clinic emergency center), as long as the parent does </w:t>
      </w:r>
      <w:r>
        <w:t>‘</w:t>
      </w:r>
      <w:r w:rsidRPr="0090196A">
        <w:t>not express an intent to return for the child.</w:t>
      </w:r>
      <w:r>
        <w:t>’</w:t>
      </w:r>
      <w:r w:rsidRPr="0090196A">
        <w:t xml:space="preserve"> In extending this lifeline, the legislature also provided an assurance: Any parent who takes advantage of the Safe Haven Law</w:t>
      </w:r>
      <w:r>
        <w:t xml:space="preserve">’ </w:t>
      </w:r>
      <w:r w:rsidRPr="0090196A">
        <w:t>shall not, for that reason alone, be found to be responsible in a confirmed report of abuse or neglect.</w:t>
      </w:r>
      <w:r>
        <w:t>’</w:t>
      </w:r>
      <w:r w:rsidRPr="0090196A">
        <w:t xml:space="preserve"> § 19-3-304.5(8). </w:t>
      </w:r>
    </w:p>
    <w:p w14:paraId="55CDAB89" w14:textId="77777777" w:rsidR="00237A65" w:rsidRDefault="00237A65" w:rsidP="00237A65">
      <w:pPr>
        <w:pStyle w:val="NoSpacing"/>
      </w:pPr>
    </w:p>
    <w:p w14:paraId="4E3A7B5D" w14:textId="77777777" w:rsidR="00237A65" w:rsidRDefault="00237A65" w:rsidP="00237A65">
      <w:pPr>
        <w:pStyle w:val="NoSpacing"/>
      </w:pPr>
      <w:r>
        <w:t>***</w:t>
      </w:r>
    </w:p>
    <w:p w14:paraId="349B7B66" w14:textId="77777777" w:rsidR="00237A65" w:rsidRDefault="00237A65" w:rsidP="00237A65">
      <w:pPr>
        <w:pStyle w:val="NoSpacing"/>
      </w:pPr>
      <w:r w:rsidRPr="0082533A">
        <w:lastRenderedPageBreak/>
        <w:t>In short, the statute's broader provisions and the architecture they blueprint signal that the legislature meant to bestow a parent who properly invokes the Safe Haven Law with anonymity and confidentiality.</w:t>
      </w:r>
      <w:r>
        <w:t>”</w:t>
      </w:r>
    </w:p>
    <w:p w14:paraId="4BD9BF03" w14:textId="77777777" w:rsidR="00237A65" w:rsidRDefault="00237A65" w:rsidP="00237A65">
      <w:pPr>
        <w:pStyle w:val="NoSpacing"/>
      </w:pPr>
    </w:p>
    <w:p w14:paraId="7B81B073" w14:textId="77777777" w:rsidR="00237A65" w:rsidRDefault="00237A65" w:rsidP="00237A65">
      <w:pPr>
        <w:pStyle w:val="NoSpacing"/>
        <w:rPr>
          <w:b/>
          <w:bCs/>
        </w:rPr>
      </w:pPr>
      <w:r w:rsidRPr="0082533A">
        <w:rPr>
          <w:b/>
        </w:rPr>
        <w:t xml:space="preserve">Legal lesson learned: </w:t>
      </w:r>
      <w:r>
        <w:rPr>
          <w:b/>
        </w:rPr>
        <w:t xml:space="preserve">Excellent decision; helpful if statutes are explicit that mother can remain anonymous. </w:t>
      </w:r>
    </w:p>
    <w:p w14:paraId="4F5FE8AE" w14:textId="77777777" w:rsidR="00237A65" w:rsidRDefault="00237A65" w:rsidP="000C4DF5">
      <w:pPr>
        <w:pStyle w:val="NoSpacing"/>
        <w:rPr>
          <w:rFonts w:ascii="Arial Black" w:hAnsi="Arial Black"/>
          <w:sz w:val="24"/>
          <w:szCs w:val="24"/>
        </w:rPr>
      </w:pPr>
    </w:p>
    <w:p w14:paraId="7B9C3B5C" w14:textId="77777777" w:rsidR="00237A65" w:rsidRDefault="00237A65" w:rsidP="000C4DF5">
      <w:pPr>
        <w:pStyle w:val="NoSpacing"/>
        <w:rPr>
          <w:rFonts w:ascii="Arial Black" w:hAnsi="Arial Black"/>
          <w:sz w:val="24"/>
          <w:szCs w:val="24"/>
        </w:rPr>
      </w:pPr>
    </w:p>
    <w:p w14:paraId="585F3EE7" w14:textId="77777777" w:rsidR="00237A65" w:rsidRDefault="00237A65" w:rsidP="000C4DF5">
      <w:pPr>
        <w:pStyle w:val="NoSpacing"/>
        <w:rPr>
          <w:rFonts w:ascii="Arial Black" w:hAnsi="Arial Black"/>
          <w:sz w:val="24"/>
          <w:szCs w:val="24"/>
        </w:rPr>
      </w:pPr>
    </w:p>
    <w:p w14:paraId="7D8E6269" w14:textId="77777777" w:rsidR="00237A65" w:rsidRDefault="00237A65" w:rsidP="000C4DF5">
      <w:pPr>
        <w:pStyle w:val="NoSpacing"/>
        <w:rPr>
          <w:rFonts w:ascii="Arial Black" w:hAnsi="Arial Black"/>
          <w:sz w:val="24"/>
          <w:szCs w:val="24"/>
        </w:rPr>
      </w:pPr>
    </w:p>
    <w:p w14:paraId="301CBB46" w14:textId="58FD03FA" w:rsidR="006F24F3" w:rsidRDefault="006F24F3" w:rsidP="000C4DF5">
      <w:pPr>
        <w:pStyle w:val="NoSpacing"/>
        <w:rPr>
          <w:rFonts w:ascii="Arial Black" w:hAnsi="Arial Black"/>
          <w:sz w:val="24"/>
          <w:szCs w:val="24"/>
        </w:rPr>
      </w:pPr>
      <w:r>
        <w:rPr>
          <w:rFonts w:ascii="Arial Black" w:hAnsi="Arial Black"/>
          <w:sz w:val="24"/>
          <w:szCs w:val="24"/>
        </w:rPr>
        <w:t>18-3</w:t>
      </w:r>
      <w:r w:rsidR="00191CD7">
        <w:rPr>
          <w:rFonts w:ascii="Arial Black" w:hAnsi="Arial Black"/>
          <w:sz w:val="24"/>
          <w:szCs w:val="24"/>
        </w:rPr>
        <w:t>3</w:t>
      </w:r>
    </w:p>
    <w:p w14:paraId="480B3161" w14:textId="77777777" w:rsidR="00191CD7" w:rsidRDefault="00191CD7" w:rsidP="000C4DF5">
      <w:pPr>
        <w:pStyle w:val="NoSpacing"/>
        <w:rPr>
          <w:rFonts w:ascii="Arial Black" w:hAnsi="Arial Black"/>
          <w:sz w:val="24"/>
          <w:szCs w:val="24"/>
        </w:rPr>
      </w:pPr>
    </w:p>
    <w:p w14:paraId="58D0AEEC" w14:textId="188D256F" w:rsidR="00191CD7" w:rsidRPr="00191CD7" w:rsidRDefault="00191CD7" w:rsidP="00191CD7">
      <w:pPr>
        <w:pStyle w:val="NoSpacing"/>
        <w:rPr>
          <w:rFonts w:ascii="Times New Roman" w:hAnsi="Times New Roman"/>
          <w:b/>
          <w:sz w:val="24"/>
          <w:szCs w:val="24"/>
        </w:rPr>
      </w:pPr>
      <w:r>
        <w:rPr>
          <w:rFonts w:ascii="Arial Black" w:hAnsi="Arial Black"/>
          <w:b/>
          <w:sz w:val="28"/>
          <w:szCs w:val="28"/>
        </w:rPr>
        <w:t xml:space="preserve">CT: NEW DROP LAW – NOT FF UNDER 55 – CASE PROCEED  </w:t>
      </w:r>
      <w:r w:rsidRPr="00191CD7">
        <w:rPr>
          <w:rFonts w:ascii="Times New Roman" w:hAnsi="Times New Roman"/>
          <w:b/>
          <w:sz w:val="24"/>
          <w:szCs w:val="24"/>
        </w:rPr>
        <w:t xml:space="preserve">[also filed, Chap. </w:t>
      </w:r>
      <w:r w:rsidR="00D95AF9">
        <w:rPr>
          <w:rFonts w:ascii="Times New Roman" w:hAnsi="Times New Roman"/>
          <w:b/>
          <w:sz w:val="24"/>
          <w:szCs w:val="24"/>
        </w:rPr>
        <w:t>6</w:t>
      </w:r>
      <w:r w:rsidRPr="00191CD7">
        <w:rPr>
          <w:rFonts w:ascii="Times New Roman" w:hAnsi="Times New Roman"/>
          <w:b/>
          <w:sz w:val="24"/>
          <w:szCs w:val="24"/>
        </w:rPr>
        <w:t>]</w:t>
      </w:r>
    </w:p>
    <w:p w14:paraId="58D37B95" w14:textId="77777777" w:rsidR="00191CD7" w:rsidRDefault="00191CD7" w:rsidP="00191CD7">
      <w:pPr>
        <w:pStyle w:val="NoSpacing"/>
      </w:pPr>
    </w:p>
    <w:p w14:paraId="4438F9E4" w14:textId="77777777" w:rsidR="00191CD7" w:rsidRDefault="00191CD7" w:rsidP="00191CD7">
      <w:pPr>
        <w:pStyle w:val="NoSpacing"/>
      </w:pPr>
      <w:r>
        <w:t xml:space="preserve">On February 4, 2026, in </w:t>
      </w:r>
      <w:r w:rsidRPr="004C7896">
        <w:rPr>
          <w:u w:val="single"/>
        </w:rPr>
        <w:t>David Dobbs, IAFF Local 834</w:t>
      </w:r>
      <w:r>
        <w:rPr>
          <w:u w:val="single"/>
        </w:rPr>
        <w:t xml:space="preserve">, et al. </w:t>
      </w:r>
      <w:r w:rsidRPr="004C7896">
        <w:rPr>
          <w:u w:val="single"/>
        </w:rPr>
        <w:t xml:space="preserve"> v. Brian Vahey, Chair of the State of Connecticut Municipal Employees Retirement Commission, et al</w:t>
      </w:r>
      <w:r w:rsidRPr="004C7896">
        <w:t>., U.S.</w:t>
      </w:r>
      <w:r>
        <w:rPr>
          <w:u w:val="single"/>
        </w:rPr>
        <w:t xml:space="preserve"> </w:t>
      </w:r>
      <w:r>
        <w:t xml:space="preserve">District Court Judge </w:t>
      </w:r>
    </w:p>
    <w:p w14:paraId="58D775D8" w14:textId="77777777" w:rsidR="00191CD7" w:rsidRDefault="00191CD7" w:rsidP="00191CD7">
      <w:pPr>
        <w:pStyle w:val="NoSpacing"/>
      </w:pPr>
      <w:r w:rsidRPr="004F64AC">
        <w:t xml:space="preserve">Sarala V. </w:t>
      </w:r>
      <w:proofErr w:type="spellStart"/>
      <w:r w:rsidRPr="004F64AC">
        <w:t>Nagala</w:t>
      </w:r>
      <w:proofErr w:type="spellEnd"/>
      <w:r w:rsidRPr="00357297">
        <w:t>, United States United States District Court for the District of Connecticut</w:t>
      </w:r>
      <w:r>
        <w:t>, denied the Commission’s motion to dismiss (</w:t>
      </w:r>
      <w:proofErr w:type="gramStart"/>
      <w:r>
        <w:t>and also</w:t>
      </w:r>
      <w:proofErr w:type="gramEnd"/>
      <w:r>
        <w:t xml:space="preserve"> Bridgeport firefighters and Union’s motion for preliminary injunction); case will now proceed with pre-trial discovery.  The Bridgeport firefighters and Local 834 argue that it is age discrimination under the new DROP program to allow some public safety employees (including Plaintiffs) to be eligible to retire—for instance, if they have completed twenty-five years of service—but ineligible to enter the DROP, because they are not yet age 55 and have not completed thirty years of service.  </w:t>
      </w:r>
      <w:hyperlink r:id="rId2950" w:history="1">
        <w:r w:rsidRPr="00FF19A6">
          <w:rPr>
            <w:rStyle w:val="Hyperlink"/>
          </w:rPr>
          <w:t>https://ecf.ctd.uscourts.gov/cgi-bin/show_public_doc?2025cv0824-74</w:t>
        </w:r>
      </w:hyperlink>
      <w:r>
        <w:t xml:space="preserve"> </w:t>
      </w:r>
    </w:p>
    <w:p w14:paraId="5CD0CD63" w14:textId="77777777" w:rsidR="00191CD7" w:rsidRDefault="00191CD7" w:rsidP="00191CD7">
      <w:pPr>
        <w:pStyle w:val="NoSpacing"/>
      </w:pPr>
    </w:p>
    <w:p w14:paraId="51643AB6" w14:textId="77777777" w:rsidR="00191CD7" w:rsidRDefault="00191CD7" w:rsidP="00191CD7">
      <w:pPr>
        <w:pStyle w:val="NoSpacing"/>
      </w:pPr>
      <w:r>
        <w:t xml:space="preserve">THE COURT HELD: “Effective July 1, 2025, certain members of the Connecticut Municipal Employees’ Retirement System who are otherwise eligible to retire can elect to defer their retirement allowance, while continuing their employment for up to five years, under a Deferred Retirement Option Plan (‘DROP’)…. </w:t>
      </w:r>
      <w:r w:rsidRPr="00D22380">
        <w:t>Under the statute adopted by the Connecticut legislature, the Connecticut State Employees</w:t>
      </w:r>
      <w:r>
        <w:t xml:space="preserve"> </w:t>
      </w:r>
      <w:r w:rsidRPr="00D22380">
        <w:t xml:space="preserve">Retirement Commission </w:t>
      </w:r>
      <w:r>
        <w:t>‘</w:t>
      </w:r>
      <w:r w:rsidRPr="00D22380">
        <w:t>may create</w:t>
      </w:r>
      <w:r>
        <w:t>’</w:t>
      </w:r>
      <w:r w:rsidRPr="00D22380">
        <w:t xml:space="preserve"> a DROP, which </w:t>
      </w:r>
      <w:r>
        <w:t>‘</w:t>
      </w:r>
      <w:r w:rsidRPr="00D22380">
        <w:t>shall include a fixed period of time for</w:t>
      </w:r>
      <w:r>
        <w:t xml:space="preserve"> </w:t>
      </w:r>
      <w:r w:rsidRPr="00D22380">
        <w:t>member participation, not to exceed five years, and a specified rate of interest credit for member</w:t>
      </w:r>
      <w:r>
        <w:t xml:space="preserve"> </w:t>
      </w:r>
      <w:r w:rsidRPr="00D22380">
        <w:t>accounts.” Conn. Gen. Stat. § 7-459b(b)</w:t>
      </w:r>
      <w:r>
        <w:t xml:space="preserve">…. As relevant here, retirement-eligible firefighters may join the DROP at age 57 with five years of continuous service, at age 55 with 25 years of aggregate service, or with 30 years of aggregate service regardless of age. The Individual Plaintiffs, firefighters with the Bridgeport Fire Department,1 are eligible for retirement allowances by virtue of their tenure with the Fire Department, but are all under age 55, and therefore ineligible to join the DROP. *** First, the Court notes that Defendants’ argument about the rationality of the age classification—that it incentivizes skilled employees to delay their retirement beyond the date they are first eligible to collect pension benefits, thereby extending the period during which the employees contribute to the plan and delaying the time at which they begin to receive payments— are not in fact arguments about the rationality of the challenged age classification at all: they are simply arguments about the rationality of adopting a DROP as a whole….  </w:t>
      </w:r>
      <w:proofErr w:type="gramStart"/>
      <w:r>
        <w:t>(‘[</w:t>
      </w:r>
      <w:proofErr w:type="gramEnd"/>
      <w:r>
        <w:t>The DROP] is also intended to encourage . . . skilled employees to stick around and delay their retirement’). Defendants do not meaningfully explain why this reasoning would apply differently to retirement-eligible firefighters who are under age 55 than to those who are age 55 or older. The desire to keep skilled employees working for a longer period and to delay paying benefits applies to all employees, regardless of age, and therefore does not squarely address the age-55 requirement Plaintiffs challenge here.”</w:t>
      </w:r>
    </w:p>
    <w:p w14:paraId="0D2D399A" w14:textId="77777777" w:rsidR="00191CD7" w:rsidRDefault="00191CD7" w:rsidP="00191CD7">
      <w:pPr>
        <w:pStyle w:val="NoSpacing"/>
      </w:pPr>
    </w:p>
    <w:p w14:paraId="1B07887D" w14:textId="77777777" w:rsidR="00191CD7" w:rsidRDefault="00191CD7" w:rsidP="00191CD7">
      <w:pPr>
        <w:pStyle w:val="NoSpacing"/>
        <w:rPr>
          <w:b/>
          <w:bCs/>
        </w:rPr>
      </w:pPr>
      <w:r w:rsidRPr="007A4F40">
        <w:rPr>
          <w:b/>
        </w:rPr>
        <w:t xml:space="preserve">Legal lesson learned: </w:t>
      </w:r>
      <w:r>
        <w:rPr>
          <w:b/>
        </w:rPr>
        <w:t xml:space="preserve">The case will now proceed with pre-trial discovery; the Commission will then likely file a motion for summary judgment that addresses the cost reasons for keeping eligibility at age 55 or older. </w:t>
      </w:r>
    </w:p>
    <w:p w14:paraId="0B0BD817" w14:textId="77777777" w:rsidR="00191CD7" w:rsidRDefault="00191CD7" w:rsidP="00191CD7">
      <w:pPr>
        <w:pStyle w:val="NoSpacing"/>
        <w:rPr>
          <w:b/>
          <w:bCs/>
        </w:rPr>
      </w:pPr>
    </w:p>
    <w:p w14:paraId="606D9211" w14:textId="77777777" w:rsidR="00191CD7" w:rsidRDefault="00191CD7" w:rsidP="00191CD7">
      <w:pPr>
        <w:pStyle w:val="NoSpacing"/>
      </w:pPr>
      <w:r>
        <w:tab/>
        <w:t xml:space="preserve">Note: See Ohio DROP. </w:t>
      </w:r>
      <w:hyperlink r:id="rId2951" w:history="1">
        <w:r w:rsidRPr="00FF19A6">
          <w:rPr>
            <w:rStyle w:val="Hyperlink"/>
          </w:rPr>
          <w:t>https://www.op-f.org/files/mgdrop.pdf</w:t>
        </w:r>
      </w:hyperlink>
      <w:r>
        <w:t xml:space="preserve"> </w:t>
      </w:r>
    </w:p>
    <w:p w14:paraId="66897A5A" w14:textId="77777777" w:rsidR="00191CD7" w:rsidRDefault="00191CD7" w:rsidP="00191CD7">
      <w:pPr>
        <w:pStyle w:val="NoSpacing"/>
        <w:ind w:left="720"/>
      </w:pPr>
      <w:r>
        <w:t>“If you are eligible for a normal service retirement you can enter the DROP</w:t>
      </w:r>
    </w:p>
    <w:p w14:paraId="4327C947" w14:textId="77777777" w:rsidR="00191CD7" w:rsidRDefault="00191CD7" w:rsidP="00191CD7">
      <w:pPr>
        <w:pStyle w:val="NoSpacing"/>
        <w:ind w:firstLine="720"/>
      </w:pPr>
      <w:r>
        <w:t>program by delaying retirement and continuing to work as a police officer or</w:t>
      </w:r>
    </w:p>
    <w:p w14:paraId="686188EC" w14:textId="77777777" w:rsidR="00191CD7" w:rsidRDefault="00191CD7" w:rsidP="00191CD7">
      <w:pPr>
        <w:pStyle w:val="NoSpacing"/>
        <w:ind w:firstLine="720"/>
      </w:pPr>
      <w:r>
        <w:t>firefighter. For those who were OP&amp;F members on or before July 1, 2013,</w:t>
      </w:r>
    </w:p>
    <w:p w14:paraId="00CEC7AA" w14:textId="77777777" w:rsidR="00191CD7" w:rsidRDefault="00191CD7" w:rsidP="00191CD7">
      <w:pPr>
        <w:pStyle w:val="NoSpacing"/>
        <w:ind w:firstLine="720"/>
      </w:pPr>
      <w:proofErr w:type="gramStart"/>
      <w:r>
        <w:t>normal</w:t>
      </w:r>
      <w:proofErr w:type="gramEnd"/>
      <w:r>
        <w:t xml:space="preserve"> service retirement eligibility is at least 48 years of age with at least 25 years</w:t>
      </w:r>
    </w:p>
    <w:p w14:paraId="17CE76E3" w14:textId="77777777" w:rsidR="00191CD7" w:rsidRDefault="00191CD7" w:rsidP="00191CD7">
      <w:pPr>
        <w:pStyle w:val="NoSpacing"/>
        <w:ind w:firstLine="720"/>
      </w:pPr>
      <w:r>
        <w:t>of service. For members hired into an OP&amp;F-covered position after July 1, 2013,</w:t>
      </w:r>
    </w:p>
    <w:p w14:paraId="66B3A9CC" w14:textId="77777777" w:rsidR="00191CD7" w:rsidRPr="004749CB" w:rsidRDefault="00191CD7" w:rsidP="00191CD7">
      <w:pPr>
        <w:pStyle w:val="NoSpacing"/>
        <w:ind w:firstLine="720"/>
      </w:pPr>
      <w:r>
        <w:lastRenderedPageBreak/>
        <w:t>normal service retirement is age 52 with at least 25 years of service.”</w:t>
      </w:r>
    </w:p>
    <w:p w14:paraId="1585D975" w14:textId="77777777" w:rsidR="00191CD7" w:rsidRDefault="00191CD7" w:rsidP="00191CD7">
      <w:pPr>
        <w:pStyle w:val="NoSpacing"/>
      </w:pPr>
    </w:p>
    <w:p w14:paraId="4AF40D4F" w14:textId="77777777" w:rsidR="00191CD7" w:rsidRDefault="00191CD7" w:rsidP="00191CD7">
      <w:pPr>
        <w:pStyle w:val="NoSpacing"/>
      </w:pPr>
    </w:p>
    <w:p w14:paraId="6A51A26A" w14:textId="77777777" w:rsidR="00191CD7" w:rsidRDefault="00191CD7" w:rsidP="000C4DF5">
      <w:pPr>
        <w:pStyle w:val="NoSpacing"/>
        <w:rPr>
          <w:rFonts w:ascii="Arial Black" w:hAnsi="Arial Black"/>
          <w:sz w:val="24"/>
          <w:szCs w:val="24"/>
        </w:rPr>
      </w:pPr>
    </w:p>
    <w:p w14:paraId="6B8C9190" w14:textId="77777777" w:rsidR="006F24F3" w:rsidRDefault="006F24F3" w:rsidP="000C4DF5">
      <w:pPr>
        <w:pStyle w:val="NoSpacing"/>
        <w:rPr>
          <w:rFonts w:ascii="Arial Black" w:hAnsi="Arial Black"/>
          <w:sz w:val="24"/>
          <w:szCs w:val="24"/>
        </w:rPr>
      </w:pPr>
    </w:p>
    <w:p w14:paraId="7E4D0B21" w14:textId="33AF242C" w:rsidR="006F24F3" w:rsidRDefault="00D95AF9" w:rsidP="000C4DF5">
      <w:pPr>
        <w:pStyle w:val="NoSpacing"/>
        <w:rPr>
          <w:rFonts w:ascii="Arial Black" w:hAnsi="Arial Black"/>
          <w:sz w:val="24"/>
          <w:szCs w:val="24"/>
        </w:rPr>
      </w:pPr>
      <w:r>
        <w:rPr>
          <w:rFonts w:ascii="Arial Black" w:hAnsi="Arial Black"/>
          <w:sz w:val="24"/>
          <w:szCs w:val="24"/>
        </w:rPr>
        <w:t>18-32</w:t>
      </w:r>
    </w:p>
    <w:p w14:paraId="5FF7FDD2" w14:textId="77777777" w:rsidR="00740EF2" w:rsidRDefault="00740EF2" w:rsidP="000C4DF5">
      <w:pPr>
        <w:pStyle w:val="NoSpacing"/>
        <w:rPr>
          <w:rFonts w:ascii="Arial Black" w:hAnsi="Arial Black"/>
          <w:sz w:val="24"/>
          <w:szCs w:val="24"/>
        </w:rPr>
      </w:pPr>
    </w:p>
    <w:p w14:paraId="19BC6712" w14:textId="37DFFE8F" w:rsidR="00740EF2" w:rsidRPr="00956699" w:rsidRDefault="00740EF2" w:rsidP="00740EF2">
      <w:pPr>
        <w:pStyle w:val="NoSpacing"/>
        <w:rPr>
          <w:rFonts w:ascii="Times New Roman" w:hAnsi="Times New Roman"/>
          <w:b/>
          <w:bCs/>
          <w:sz w:val="24"/>
          <w:szCs w:val="24"/>
        </w:rPr>
      </w:pPr>
      <w:r>
        <w:rPr>
          <w:rFonts w:ascii="Arial Black" w:hAnsi="Arial Black"/>
          <w:sz w:val="28"/>
          <w:szCs w:val="28"/>
        </w:rPr>
        <w:t>FL: “HALO LAW”  – 25 FEET NO APPROACH ZONE</w:t>
      </w:r>
      <w:r>
        <w:t xml:space="preserve">  </w:t>
      </w:r>
      <w:r w:rsidRPr="00E96FEA">
        <w:rPr>
          <w:rFonts w:ascii="Arial Black" w:hAnsi="Arial Black"/>
          <w:sz w:val="28"/>
          <w:szCs w:val="28"/>
        </w:rPr>
        <w:t xml:space="preserve">- </w:t>
      </w:r>
      <w:r>
        <w:rPr>
          <w:rFonts w:ascii="Arial Black" w:hAnsi="Arial Black"/>
          <w:sz w:val="28"/>
          <w:szCs w:val="28"/>
        </w:rPr>
        <w:t xml:space="preserve">Eff. </w:t>
      </w:r>
      <w:r w:rsidRPr="00E96FEA">
        <w:rPr>
          <w:rFonts w:ascii="Arial Black" w:hAnsi="Arial Black"/>
          <w:sz w:val="28"/>
          <w:szCs w:val="28"/>
        </w:rPr>
        <w:t>1/1/2025</w:t>
      </w:r>
      <w:r>
        <w:rPr>
          <w:rFonts w:ascii="Arial Black" w:hAnsi="Arial Black"/>
          <w:sz w:val="28"/>
          <w:szCs w:val="28"/>
        </w:rPr>
        <w:t xml:space="preserve">  </w:t>
      </w:r>
      <w:r w:rsidRPr="00956699">
        <w:rPr>
          <w:rFonts w:ascii="Times New Roman" w:hAnsi="Times New Roman"/>
          <w:b/>
          <w:bCs/>
          <w:sz w:val="24"/>
          <w:szCs w:val="24"/>
        </w:rPr>
        <w:t>[als</w:t>
      </w:r>
      <w:r w:rsidR="00956699" w:rsidRPr="00956699">
        <w:rPr>
          <w:rFonts w:ascii="Times New Roman" w:hAnsi="Times New Roman"/>
          <w:b/>
          <w:bCs/>
          <w:sz w:val="24"/>
          <w:szCs w:val="24"/>
        </w:rPr>
        <w:t>o filed, Chap. 2]</w:t>
      </w:r>
    </w:p>
    <w:p w14:paraId="6BCAD223" w14:textId="77777777" w:rsidR="00740EF2" w:rsidRDefault="00740EF2" w:rsidP="00740EF2">
      <w:pPr>
        <w:pStyle w:val="NoSpacing"/>
      </w:pPr>
    </w:p>
    <w:p w14:paraId="5EEC762F" w14:textId="77777777" w:rsidR="00740EF2" w:rsidRPr="009564B9" w:rsidRDefault="00740EF2" w:rsidP="00740EF2">
      <w:pPr>
        <w:pStyle w:val="NoSpacing"/>
        <w:rPr>
          <w:b/>
        </w:rPr>
      </w:pPr>
      <w:r>
        <w:t xml:space="preserve">On January 1, 2025, the new “Halo Law” became effective. On April 12, 2024, Governor Ron DeSantis </w:t>
      </w:r>
      <w:proofErr w:type="gramStart"/>
      <w:r>
        <w:t>signed into law</w:t>
      </w:r>
      <w:proofErr w:type="gramEnd"/>
      <w:r>
        <w:t xml:space="preserve"> the Halo Law, passed under House Bill 184, </w:t>
      </w:r>
      <w:r w:rsidRPr="009564B9">
        <w:t>Impeding, Threatening, or Harassing First Responders</w:t>
      </w:r>
      <w:r>
        <w:t xml:space="preserve">. </w:t>
      </w:r>
      <w:hyperlink r:id="rId2952" w:history="1">
        <w:r w:rsidRPr="00734647">
          <w:rPr>
            <w:rStyle w:val="Hyperlink"/>
          </w:rPr>
          <w:t>https://www.flhouse.gov/Sections/Bills/billsdetail.aspx?BillId=78745</w:t>
        </w:r>
      </w:hyperlink>
      <w:r>
        <w:t xml:space="preserve"> </w:t>
      </w:r>
    </w:p>
    <w:p w14:paraId="307ED173" w14:textId="77777777" w:rsidR="00740EF2" w:rsidRDefault="00740EF2" w:rsidP="00740EF2">
      <w:pPr>
        <w:pStyle w:val="NoSpacing"/>
      </w:pPr>
    </w:p>
    <w:p w14:paraId="0C360398" w14:textId="77777777" w:rsidR="00740EF2" w:rsidRDefault="00740EF2" w:rsidP="00740EF2">
      <w:pPr>
        <w:pStyle w:val="NoSpacing"/>
      </w:pPr>
      <w:r>
        <w:t xml:space="preserve">Read the statute: </w:t>
      </w:r>
      <w:hyperlink r:id="rId2953" w:history="1">
        <w:r w:rsidRPr="00734647">
          <w:rPr>
            <w:rStyle w:val="Hyperlink"/>
          </w:rPr>
          <w:t>https://www.flhouse.gov/Sections/Documents/loaddoc.aspx?FileName=_s0184er.DOCX&amp;DocumentType=Bill&amp;BillNumber=184&amp;Session=2024</w:t>
        </w:r>
      </w:hyperlink>
      <w:r>
        <w:t xml:space="preserve"> </w:t>
      </w:r>
    </w:p>
    <w:p w14:paraId="0F349764" w14:textId="77777777" w:rsidR="00740EF2" w:rsidRDefault="00740EF2" w:rsidP="00740EF2">
      <w:pPr>
        <w:pStyle w:val="NoSpacing"/>
      </w:pPr>
      <w:r>
        <w:t>Section 1</w:t>
      </w:r>
    </w:p>
    <w:p w14:paraId="6FA0A181" w14:textId="77777777" w:rsidR="00740EF2" w:rsidRDefault="00740EF2" w:rsidP="00740EF2">
      <w:pPr>
        <w:pStyle w:val="NoSpacing"/>
      </w:pPr>
      <w:r>
        <w:t>Approaching a first responder with specified intent after a warning</w:t>
      </w:r>
    </w:p>
    <w:p w14:paraId="0060CB54" w14:textId="77777777" w:rsidR="00740EF2" w:rsidRDefault="00740EF2" w:rsidP="00740EF2">
      <w:pPr>
        <w:pStyle w:val="NoSpacing"/>
      </w:pPr>
      <w:r>
        <w:t>(1) As used in this section, the term:</w:t>
      </w:r>
    </w:p>
    <w:p w14:paraId="1C64F390" w14:textId="77777777" w:rsidR="00740EF2" w:rsidRDefault="00740EF2" w:rsidP="00740EF2">
      <w:pPr>
        <w:pStyle w:val="NoSpacing"/>
      </w:pPr>
      <w:r>
        <w:t>(a) “First responder” includes a law enforcement officer as defined in s. 943.10(1), a correctional probation officer as defined in s. 943.10(3), a firefighter as defined in s784.07(1), and an emergency medical care provider as defined in s. 784.07(1)</w:t>
      </w:r>
    </w:p>
    <w:p w14:paraId="67E0AEEF" w14:textId="77777777" w:rsidR="00740EF2" w:rsidRDefault="00740EF2" w:rsidP="00740EF2">
      <w:pPr>
        <w:pStyle w:val="NoSpacing"/>
      </w:pPr>
      <w:r>
        <w:t>(b) “Harass” means to willfully engage in a course of conduct directed at a first responder which intentionally causes substantial emotional distress in that first responder and serves no legitimate purpose.</w:t>
      </w:r>
    </w:p>
    <w:p w14:paraId="31A3E3F6" w14:textId="77777777" w:rsidR="00740EF2" w:rsidRDefault="00740EF2" w:rsidP="00740EF2">
      <w:pPr>
        <w:pStyle w:val="NoSpacing"/>
      </w:pPr>
      <w:r>
        <w:t>(2)(a) It is unlawful for a person, after receiving a verbal warning not to approach from a person he or she knows or reasonably should know is a first responder, who is engaged in the lawful performance of a legal duty, to knowingly and willfully violate such warning and approach or remain within 25 feet of the first responder with the intent to:</w:t>
      </w:r>
    </w:p>
    <w:p w14:paraId="776D25BC" w14:textId="77777777" w:rsidR="00740EF2" w:rsidRDefault="00740EF2" w:rsidP="00740EF2">
      <w:pPr>
        <w:pStyle w:val="NoSpacing"/>
      </w:pPr>
      <w:r>
        <w:t>1. Impede or interfere with the first responder’s ability to perform such duty;</w:t>
      </w:r>
    </w:p>
    <w:p w14:paraId="314DA78A" w14:textId="77777777" w:rsidR="00740EF2" w:rsidRDefault="00740EF2" w:rsidP="00740EF2">
      <w:pPr>
        <w:pStyle w:val="NoSpacing"/>
      </w:pPr>
      <w:r>
        <w:t>2. Threaten the first responder with physical harm; or</w:t>
      </w:r>
    </w:p>
    <w:p w14:paraId="0B2137EC" w14:textId="77777777" w:rsidR="00740EF2" w:rsidRDefault="00740EF2" w:rsidP="00740EF2">
      <w:pPr>
        <w:pStyle w:val="NoSpacing"/>
      </w:pPr>
      <w:r>
        <w:t>3. Harass the first responder.</w:t>
      </w:r>
    </w:p>
    <w:p w14:paraId="146B0399" w14:textId="77777777" w:rsidR="00740EF2" w:rsidRDefault="00740EF2" w:rsidP="00740EF2">
      <w:pPr>
        <w:pStyle w:val="NoSpacing"/>
      </w:pPr>
      <w:r>
        <w:t>(b) A person who violates this subsection commits a misdemeanor of the second degree, punishable as provided in s. 775.082 or s. 775.083.40</w:t>
      </w:r>
    </w:p>
    <w:p w14:paraId="6875B429" w14:textId="77777777" w:rsidR="00740EF2" w:rsidRDefault="00740EF2" w:rsidP="00740EF2">
      <w:pPr>
        <w:pStyle w:val="NoSpacing"/>
      </w:pPr>
      <w:r>
        <w:t>Section 2. This act shall take effect January 1, 2025.</w:t>
      </w:r>
    </w:p>
    <w:p w14:paraId="068D6FDA" w14:textId="77777777" w:rsidR="00740EF2" w:rsidRDefault="00740EF2" w:rsidP="00740EF2">
      <w:pPr>
        <w:pStyle w:val="NoSpacing"/>
      </w:pPr>
    </w:p>
    <w:p w14:paraId="7B08A155" w14:textId="77777777" w:rsidR="00740EF2" w:rsidRPr="00313F24" w:rsidRDefault="00740EF2" w:rsidP="00740EF2">
      <w:pPr>
        <w:pStyle w:val="NoSpacing"/>
        <w:rPr>
          <w:b/>
          <w:bCs/>
        </w:rPr>
      </w:pPr>
      <w:r>
        <w:rPr>
          <w:b/>
        </w:rPr>
        <w:t xml:space="preserve">Legal lesson learned: An excellent statute; hopefully similar laws will be enacted in many other </w:t>
      </w:r>
      <w:proofErr w:type="gramStart"/>
      <w:r>
        <w:rPr>
          <w:b/>
        </w:rPr>
        <w:t>state</w:t>
      </w:r>
      <w:proofErr w:type="gramEnd"/>
      <w:r>
        <w:rPr>
          <w:b/>
        </w:rPr>
        <w:t xml:space="preserve">. </w:t>
      </w:r>
    </w:p>
    <w:p w14:paraId="1522415A" w14:textId="77777777" w:rsidR="00740EF2" w:rsidRDefault="00740EF2" w:rsidP="00740EF2">
      <w:pPr>
        <w:pStyle w:val="NoSpacing"/>
      </w:pPr>
    </w:p>
    <w:p w14:paraId="5E31DCC1" w14:textId="77777777" w:rsidR="00740EF2" w:rsidRPr="00F642E3" w:rsidRDefault="00740EF2" w:rsidP="00740EF2">
      <w:pPr>
        <w:pStyle w:val="NoSpacing"/>
        <w:ind w:left="720"/>
        <w:rPr>
          <w:b/>
        </w:rPr>
      </w:pPr>
      <w:r>
        <w:t xml:space="preserve">Note: Jan. 28, 2026:  </w:t>
      </w:r>
      <w:r w:rsidRPr="00F642E3">
        <w:rPr>
          <w:b/>
        </w:rPr>
        <w:t>Man arrested under Florida's Halo Law</w:t>
      </w:r>
      <w:r>
        <w:rPr>
          <w:b/>
        </w:rPr>
        <w:t xml:space="preserve">. </w:t>
      </w:r>
      <w:hyperlink r:id="rId2954" w:history="1">
        <w:r w:rsidRPr="00734647">
          <w:rPr>
            <w:rStyle w:val="Hyperlink"/>
            <w:b/>
          </w:rPr>
          <w:t>https://www.youtube.com/watch?v=US5dFGLzqQo</w:t>
        </w:r>
      </w:hyperlink>
      <w:r>
        <w:rPr>
          <w:b/>
        </w:rPr>
        <w:t xml:space="preserve"> </w:t>
      </w:r>
    </w:p>
    <w:p w14:paraId="39EEC7C2" w14:textId="77777777" w:rsidR="00740EF2" w:rsidRPr="00210AB7" w:rsidRDefault="00740EF2" w:rsidP="00740EF2">
      <w:pPr>
        <w:pStyle w:val="NoSpacing"/>
        <w:ind w:firstLine="720"/>
        <w:rPr>
          <w:b/>
        </w:rPr>
      </w:pPr>
      <w:r w:rsidRPr="00210AB7">
        <w:rPr>
          <w:b/>
        </w:rPr>
        <w:t>What Is the Halo Law?</w:t>
      </w:r>
    </w:p>
    <w:p w14:paraId="187229AE" w14:textId="77777777" w:rsidR="00740EF2" w:rsidRPr="00210AB7" w:rsidRDefault="00740EF2" w:rsidP="00740EF2">
      <w:pPr>
        <w:pStyle w:val="NoSpacing"/>
        <w:ind w:left="720"/>
      </w:pPr>
      <w:r w:rsidRPr="00210AB7">
        <w:t xml:space="preserve">The Halo Law, passed under </w:t>
      </w:r>
      <w:r w:rsidRPr="00210AB7">
        <w:rPr>
          <w:b/>
        </w:rPr>
        <w:t>House Bill 184</w:t>
      </w:r>
      <w:r w:rsidRPr="00210AB7">
        <w:t xml:space="preserve">, was signed into law by Governor Ron DeSantis in April 2024. It establishes a </w:t>
      </w:r>
      <w:r w:rsidRPr="00210AB7">
        <w:rPr>
          <w:b/>
        </w:rPr>
        <w:t>25-foot no-approach zone</w:t>
      </w:r>
      <w:r w:rsidRPr="00210AB7">
        <w:t xml:space="preserve"> around first responders engaged in their official duties. If someone is verbally warned to stay back and continues to approach within this zone, they could face penalties, including fines and potential jail time.</w:t>
      </w:r>
    </w:p>
    <w:p w14:paraId="6EB5C7A2" w14:textId="77777777" w:rsidR="00740EF2" w:rsidRPr="00210AB7" w:rsidRDefault="00740EF2" w:rsidP="00740EF2">
      <w:pPr>
        <w:pStyle w:val="NoSpacing"/>
        <w:ind w:left="720"/>
      </w:pPr>
      <w:r w:rsidRPr="00210AB7">
        <w:t>Sheriff Grady Judd of Polk County has been a vocal advocate for the law, emphasizing that it does not restrict the public’s right to record first responders but aims to prevent interference or harassment while they work.</w:t>
      </w:r>
      <w:r>
        <w:t xml:space="preserve"> </w:t>
      </w:r>
      <w:hyperlink r:id="rId2955" w:history="1">
        <w:r w:rsidRPr="00FF51FB">
          <w:rPr>
            <w:rStyle w:val="Hyperlink"/>
          </w:rPr>
          <w:t>https://www.muscalaw.com/blog/understanding-floridas-new-halo-law-and-its-impact-first-amendment-rights</w:t>
        </w:r>
      </w:hyperlink>
      <w:r>
        <w:t xml:space="preserve"> </w:t>
      </w:r>
    </w:p>
    <w:p w14:paraId="4EB8805F" w14:textId="77777777" w:rsidR="00740EF2" w:rsidRDefault="00740EF2" w:rsidP="00740EF2">
      <w:pPr>
        <w:pStyle w:val="NoSpacing"/>
      </w:pPr>
    </w:p>
    <w:p w14:paraId="1721935B" w14:textId="77777777" w:rsidR="00740EF2" w:rsidRDefault="00740EF2" w:rsidP="00740EF2">
      <w:pPr>
        <w:pStyle w:val="NoSpacing"/>
      </w:pPr>
    </w:p>
    <w:p w14:paraId="7E1ED189" w14:textId="77777777" w:rsidR="00740EF2" w:rsidRDefault="00740EF2" w:rsidP="00740EF2">
      <w:pPr>
        <w:pStyle w:val="NoSpacing"/>
        <w:ind w:left="720"/>
        <w:rPr>
          <w:b/>
        </w:rPr>
      </w:pPr>
      <w:r>
        <w:t xml:space="preserve">See also: ACLU of Florida: </w:t>
      </w:r>
      <w:r w:rsidRPr="00F41534">
        <w:t>HB 75/SB 184 - Criminalizing Bystanders for Exercising First Amendment Rights</w:t>
      </w:r>
      <w:r>
        <w:t xml:space="preserve">. </w:t>
      </w:r>
      <w:r w:rsidRPr="00910752">
        <w:rPr>
          <w:b/>
        </w:rPr>
        <w:t xml:space="preserve"> </w:t>
      </w:r>
      <w:hyperlink r:id="rId2956" w:history="1">
        <w:r w:rsidRPr="00FF51FB">
          <w:rPr>
            <w:rStyle w:val="Hyperlink"/>
            <w:b/>
          </w:rPr>
          <w:t>https://www.aclufl.org/legislation/hb-75sb-184-criminalizing-bystanders-exercising-first-amendment-rights/</w:t>
        </w:r>
      </w:hyperlink>
      <w:r>
        <w:rPr>
          <w:b/>
        </w:rPr>
        <w:t xml:space="preserve"> </w:t>
      </w:r>
    </w:p>
    <w:p w14:paraId="7F597FE8" w14:textId="77777777" w:rsidR="00740EF2" w:rsidRDefault="00740EF2" w:rsidP="00740EF2">
      <w:pPr>
        <w:pStyle w:val="NoSpacing"/>
        <w:rPr>
          <w:b/>
        </w:rPr>
      </w:pPr>
    </w:p>
    <w:p w14:paraId="278CF353" w14:textId="77777777" w:rsidR="00740EF2" w:rsidRDefault="00740EF2" w:rsidP="00740EF2">
      <w:pPr>
        <w:pStyle w:val="NoSpacing"/>
      </w:pPr>
    </w:p>
    <w:p w14:paraId="4137EE43" w14:textId="77777777" w:rsidR="00740EF2" w:rsidRDefault="00740EF2" w:rsidP="000C4DF5">
      <w:pPr>
        <w:pStyle w:val="NoSpacing"/>
        <w:rPr>
          <w:rFonts w:ascii="Arial Black" w:hAnsi="Arial Black"/>
          <w:sz w:val="24"/>
          <w:szCs w:val="24"/>
        </w:rPr>
      </w:pPr>
    </w:p>
    <w:p w14:paraId="5BF38D08" w14:textId="77777777" w:rsidR="006F24F3" w:rsidRDefault="006F24F3" w:rsidP="000C4DF5">
      <w:pPr>
        <w:pStyle w:val="NoSpacing"/>
        <w:rPr>
          <w:rFonts w:ascii="Arial Black" w:hAnsi="Arial Black"/>
          <w:sz w:val="24"/>
          <w:szCs w:val="24"/>
        </w:rPr>
      </w:pPr>
    </w:p>
    <w:p w14:paraId="1B5D8C12" w14:textId="6CB0F6A8" w:rsidR="008A2AE6" w:rsidRDefault="002E26A8" w:rsidP="000C4DF5">
      <w:pPr>
        <w:pStyle w:val="NoSpacing"/>
        <w:rPr>
          <w:rFonts w:ascii="Arial Black" w:hAnsi="Arial Black"/>
          <w:sz w:val="24"/>
          <w:szCs w:val="24"/>
        </w:rPr>
      </w:pPr>
      <w:r>
        <w:rPr>
          <w:rFonts w:ascii="Arial Black" w:hAnsi="Arial Black"/>
          <w:sz w:val="24"/>
          <w:szCs w:val="24"/>
        </w:rPr>
        <w:t>18-31</w:t>
      </w:r>
    </w:p>
    <w:p w14:paraId="7B1625E2" w14:textId="77777777" w:rsidR="002E26A8" w:rsidRDefault="002E26A8" w:rsidP="000C4DF5">
      <w:pPr>
        <w:pStyle w:val="NoSpacing"/>
        <w:rPr>
          <w:rFonts w:ascii="Arial Black" w:hAnsi="Arial Black"/>
          <w:sz w:val="24"/>
          <w:szCs w:val="24"/>
        </w:rPr>
      </w:pPr>
    </w:p>
    <w:p w14:paraId="024D8734" w14:textId="4702676D" w:rsidR="00841783" w:rsidRPr="001225D3" w:rsidRDefault="00841783" w:rsidP="00841783">
      <w:pPr>
        <w:pStyle w:val="NoSpacing"/>
        <w:rPr>
          <w:rFonts w:ascii="Arial Black" w:hAnsi="Arial Black"/>
          <w:sz w:val="28"/>
          <w:szCs w:val="28"/>
        </w:rPr>
      </w:pPr>
      <w:r>
        <w:rPr>
          <w:rFonts w:ascii="Arial Black" w:hAnsi="Arial Black"/>
          <w:sz w:val="28"/>
          <w:szCs w:val="28"/>
        </w:rPr>
        <w:t xml:space="preserve">OH: ETHICS COMMISSION – </w:t>
      </w:r>
      <w:r w:rsidR="000C567D">
        <w:rPr>
          <w:rFonts w:ascii="Arial Black" w:hAnsi="Arial Black"/>
          <w:sz w:val="28"/>
          <w:szCs w:val="28"/>
        </w:rPr>
        <w:t xml:space="preserve">CAN </w:t>
      </w:r>
      <w:r>
        <w:rPr>
          <w:rFonts w:ascii="Arial Black" w:hAnsi="Arial Black"/>
          <w:sz w:val="28"/>
          <w:szCs w:val="28"/>
        </w:rPr>
        <w:t>KEEP FREQUENT FLYER MILES</w:t>
      </w:r>
    </w:p>
    <w:p w14:paraId="734892CE" w14:textId="77777777" w:rsidR="00841783" w:rsidRDefault="00841783" w:rsidP="00841783">
      <w:pPr>
        <w:pStyle w:val="NoSpacing"/>
      </w:pPr>
    </w:p>
    <w:p w14:paraId="4234DC87" w14:textId="77777777" w:rsidR="00841783" w:rsidRDefault="00841783" w:rsidP="00841783">
      <w:pPr>
        <w:pStyle w:val="NoSpacing"/>
      </w:pPr>
      <w:r>
        <w:t xml:space="preserve">On August 4, 2025, the Ohio Ethics Commission approved an Advisory Opinion allowing public officials to keep airline frequent flyer miles earned on official travel. </w:t>
      </w:r>
    </w:p>
    <w:p w14:paraId="00FD02FC" w14:textId="77777777" w:rsidR="00841783" w:rsidRDefault="00841783" w:rsidP="00841783">
      <w:pPr>
        <w:pStyle w:val="NoSpacing"/>
      </w:pPr>
    </w:p>
    <w:p w14:paraId="05682C28" w14:textId="77777777" w:rsidR="00841783" w:rsidRDefault="00841783" w:rsidP="00841783">
      <w:pPr>
        <w:pStyle w:val="NoSpacing"/>
      </w:pPr>
      <w:r w:rsidRPr="00BF2E3F">
        <w:t>INFORMATION SHEET: ADVISORY OPINION NO. 2025-02 FREQUENT FLYER MILES AND REWARDS POINTS</w:t>
      </w:r>
    </w:p>
    <w:p w14:paraId="0872AD43" w14:textId="77777777" w:rsidR="00841783" w:rsidRDefault="00841783" w:rsidP="00841783">
      <w:pPr>
        <w:pStyle w:val="NoSpacing"/>
      </w:pPr>
      <w:hyperlink r:id="rId2957" w:history="1">
        <w:r w:rsidRPr="00B2179F">
          <w:rPr>
            <w:rStyle w:val="Hyperlink"/>
          </w:rPr>
          <w:t>https://ethics.ohio.gov/advice/opinions/2025-02.pdf</w:t>
        </w:r>
      </w:hyperlink>
      <w:r>
        <w:t xml:space="preserve"> </w:t>
      </w:r>
    </w:p>
    <w:p w14:paraId="326DA131" w14:textId="77777777" w:rsidR="00841783" w:rsidRDefault="00841783" w:rsidP="00841783">
      <w:pPr>
        <w:pStyle w:val="NoSpacing"/>
      </w:pPr>
    </w:p>
    <w:p w14:paraId="32CD91B3" w14:textId="77777777" w:rsidR="00841783" w:rsidRDefault="00841783" w:rsidP="00841783">
      <w:pPr>
        <w:pStyle w:val="NoSpacing"/>
        <w:ind w:firstLine="720"/>
      </w:pPr>
      <w:r w:rsidRPr="00605C01">
        <w:t>Frequent Flyer Miles &amp; Reward Points Advisory Opinion</w:t>
      </w:r>
    </w:p>
    <w:p w14:paraId="135B5539" w14:textId="77777777" w:rsidR="00841783" w:rsidRDefault="00841783" w:rsidP="00841783">
      <w:pPr>
        <w:pStyle w:val="NoSpacing"/>
        <w:ind w:firstLine="720"/>
      </w:pPr>
      <w:hyperlink r:id="rId2958" w:history="1">
        <w:r w:rsidRPr="00CD4E54">
          <w:rPr>
            <w:rStyle w:val="Hyperlink"/>
          </w:rPr>
          <w:t>https://ethics.ohio.gov/education/newsletters/VOE_25Q3.pdf</w:t>
        </w:r>
      </w:hyperlink>
      <w:r>
        <w:t xml:space="preserve"> </w:t>
      </w:r>
    </w:p>
    <w:p w14:paraId="31E13357" w14:textId="77777777" w:rsidR="00841783" w:rsidRDefault="00841783" w:rsidP="00841783">
      <w:pPr>
        <w:pStyle w:val="NoSpacing"/>
        <w:ind w:left="720"/>
      </w:pPr>
      <w:r>
        <w:t>“</w:t>
      </w:r>
      <w:r w:rsidRPr="00605C01">
        <w:t>At its meeting on August 4, 2025, the Ohio Ethics Commission approved Formal Advisory Opinion 2025 – 02 which allows public officials or employees to use frequent flyer miles that were earned during official travel for personal travel. Although the Commission had previously restricted the use of frequent flyer miles accrued during official travel for personal use, this advisory opinion states that public officials and employees may use frequent flyer miles that were earned during official travel for personal travel if they earn the miles under the same conditions as the public and at no additional cost to their public agencies. While this Advisory Opinion primarily references frequent flyer miles, the analysis also applies to other reward points programs.</w:t>
      </w:r>
    </w:p>
    <w:p w14:paraId="277B5CF6" w14:textId="77777777" w:rsidR="00841783" w:rsidRDefault="00841783" w:rsidP="00841783">
      <w:pPr>
        <w:ind w:left="720"/>
      </w:pPr>
      <w:r>
        <w:t>***</w:t>
      </w:r>
    </w:p>
    <w:p w14:paraId="42AA005D" w14:textId="77777777" w:rsidR="00841783" w:rsidRDefault="00841783" w:rsidP="00841783">
      <w:pPr>
        <w:ind w:left="720"/>
        <w:rPr>
          <w:bCs/>
        </w:rPr>
      </w:pPr>
      <w:r w:rsidRPr="00FC71C9">
        <w:t>The opinion notes that public official</w:t>
      </w:r>
      <w:r>
        <w:t>s</w:t>
      </w:r>
      <w:r w:rsidRPr="00FC71C9">
        <w:t xml:space="preserve"> and employees are prohibited from choosing an airline, vendor, or service based solely on whether it provides frequent flyer miles or other rewards points. Additionally, a planner who books a group trip for multiple travelers and could therefore earn a substantial number of frequent flyer miles or reward points from one event is prohibited from personally using rewards earned in connection to booking the group travel.</w:t>
      </w:r>
      <w:r>
        <w:t>”</w:t>
      </w:r>
    </w:p>
    <w:p w14:paraId="0EDCD611" w14:textId="77777777" w:rsidR="00841783" w:rsidRPr="00211784" w:rsidRDefault="00841783" w:rsidP="00841783">
      <w:pPr>
        <w:pStyle w:val="NoSpacing"/>
        <w:rPr>
          <w:b/>
          <w:bCs/>
        </w:rPr>
      </w:pPr>
      <w:r>
        <w:rPr>
          <w:b/>
        </w:rPr>
        <w:t xml:space="preserve">Legal lesson learned: Fire &amp; EMS departments should consider adopting a policy that formally recognizes this Advisory Opinion. </w:t>
      </w:r>
    </w:p>
    <w:p w14:paraId="490CFB54" w14:textId="77777777" w:rsidR="00841783" w:rsidRDefault="00841783" w:rsidP="00841783">
      <w:pPr>
        <w:pStyle w:val="NoSpacing"/>
        <w:rPr>
          <w:b/>
          <w:bCs/>
        </w:rPr>
      </w:pPr>
    </w:p>
    <w:p w14:paraId="1212A55A" w14:textId="77777777" w:rsidR="00841783" w:rsidRDefault="00841783" w:rsidP="00841783">
      <w:pPr>
        <w:pStyle w:val="NoSpacing"/>
        <w:rPr>
          <w:rFonts w:ascii="Arial Black" w:hAnsi="Arial Black"/>
          <w:b/>
          <w:sz w:val="28"/>
          <w:szCs w:val="28"/>
        </w:rPr>
      </w:pPr>
    </w:p>
    <w:p w14:paraId="705E2D62" w14:textId="77777777" w:rsidR="00841783" w:rsidRDefault="00841783" w:rsidP="00841783">
      <w:pPr>
        <w:pStyle w:val="NoSpacing"/>
        <w:rPr>
          <w:rFonts w:ascii="Arial Black" w:hAnsi="Arial Black"/>
          <w:b/>
          <w:sz w:val="28"/>
          <w:szCs w:val="28"/>
        </w:rPr>
      </w:pPr>
    </w:p>
    <w:p w14:paraId="05B0B894" w14:textId="77777777" w:rsidR="002E26A8" w:rsidRDefault="002E26A8" w:rsidP="000C4DF5">
      <w:pPr>
        <w:pStyle w:val="NoSpacing"/>
        <w:rPr>
          <w:rFonts w:ascii="Arial Black" w:hAnsi="Arial Black"/>
          <w:sz w:val="24"/>
          <w:szCs w:val="24"/>
        </w:rPr>
      </w:pPr>
    </w:p>
    <w:p w14:paraId="05697DD4" w14:textId="77777777" w:rsidR="002E26A8" w:rsidRDefault="002E26A8" w:rsidP="000C4DF5">
      <w:pPr>
        <w:pStyle w:val="NoSpacing"/>
        <w:rPr>
          <w:rFonts w:ascii="Arial Black" w:hAnsi="Arial Black"/>
          <w:sz w:val="24"/>
          <w:szCs w:val="24"/>
        </w:rPr>
      </w:pPr>
    </w:p>
    <w:p w14:paraId="7A781651" w14:textId="77777777" w:rsidR="002E26A8" w:rsidRDefault="002E26A8" w:rsidP="000C4DF5">
      <w:pPr>
        <w:pStyle w:val="NoSpacing"/>
        <w:rPr>
          <w:rFonts w:ascii="Arial Black" w:hAnsi="Arial Black"/>
          <w:sz w:val="24"/>
          <w:szCs w:val="24"/>
        </w:rPr>
      </w:pPr>
    </w:p>
    <w:p w14:paraId="5F3B45B7" w14:textId="3B0CF0A1" w:rsidR="00072607" w:rsidRDefault="00072607" w:rsidP="000C4DF5">
      <w:pPr>
        <w:pStyle w:val="NoSpacing"/>
        <w:rPr>
          <w:rFonts w:ascii="Arial Black" w:hAnsi="Arial Black"/>
          <w:sz w:val="24"/>
          <w:szCs w:val="24"/>
        </w:rPr>
      </w:pPr>
      <w:r>
        <w:rPr>
          <w:rFonts w:ascii="Arial Black" w:hAnsi="Arial Black"/>
          <w:sz w:val="24"/>
          <w:szCs w:val="24"/>
        </w:rPr>
        <w:t>18-30</w:t>
      </w:r>
    </w:p>
    <w:p w14:paraId="27CC2933" w14:textId="77777777" w:rsidR="00072607" w:rsidRDefault="00072607" w:rsidP="000C4DF5">
      <w:pPr>
        <w:pStyle w:val="NoSpacing"/>
        <w:rPr>
          <w:rFonts w:ascii="Arial Black" w:hAnsi="Arial Black"/>
          <w:sz w:val="24"/>
          <w:szCs w:val="24"/>
        </w:rPr>
      </w:pPr>
    </w:p>
    <w:p w14:paraId="7CF15988" w14:textId="657D1F8B" w:rsidR="00072607" w:rsidRPr="006F2B87" w:rsidRDefault="00072607" w:rsidP="00072607">
      <w:pPr>
        <w:pStyle w:val="NoSpacing"/>
        <w:rPr>
          <w:rFonts w:ascii="Arial Black" w:hAnsi="Arial Black"/>
          <w:b/>
          <w:bCs/>
          <w:sz w:val="28"/>
          <w:szCs w:val="28"/>
        </w:rPr>
      </w:pPr>
      <w:r w:rsidRPr="006F2B87">
        <w:rPr>
          <w:rFonts w:ascii="Arial Black" w:hAnsi="Arial Black"/>
          <w:b/>
          <w:sz w:val="28"/>
          <w:szCs w:val="28"/>
        </w:rPr>
        <w:t xml:space="preserve">CT: “NO SURPRISE ACT” – </w:t>
      </w:r>
      <w:r>
        <w:rPr>
          <w:rFonts w:ascii="Arial Black" w:hAnsi="Arial Black"/>
          <w:b/>
          <w:sz w:val="28"/>
          <w:szCs w:val="28"/>
        </w:rPr>
        <w:t>AIR MED CAN SUE INSURANCE</w:t>
      </w:r>
      <w:r w:rsidR="000C6C88">
        <w:rPr>
          <w:rFonts w:ascii="Arial Black" w:hAnsi="Arial Black"/>
          <w:b/>
          <w:sz w:val="28"/>
          <w:szCs w:val="28"/>
        </w:rPr>
        <w:t xml:space="preserve"> CO.</w:t>
      </w:r>
    </w:p>
    <w:p w14:paraId="5204BFF9" w14:textId="77777777" w:rsidR="00072607" w:rsidRDefault="00072607" w:rsidP="00072607">
      <w:pPr>
        <w:pStyle w:val="NoSpacing"/>
        <w:rPr>
          <w:bCs/>
        </w:rPr>
      </w:pPr>
    </w:p>
    <w:p w14:paraId="1B45A02E" w14:textId="77777777" w:rsidR="00072607" w:rsidRPr="00B44918" w:rsidRDefault="00072607" w:rsidP="00072607">
      <w:pPr>
        <w:pStyle w:val="NoSpacing"/>
        <w:rPr>
          <w:rFonts w:ascii="Times New Roman" w:hAnsi="Times New Roman"/>
          <w:bCs/>
          <w:sz w:val="24"/>
          <w:szCs w:val="24"/>
        </w:rPr>
      </w:pPr>
      <w:r w:rsidRPr="00B44918">
        <w:rPr>
          <w:rFonts w:ascii="Times New Roman" w:hAnsi="Times New Roman"/>
          <w:sz w:val="24"/>
          <w:szCs w:val="24"/>
        </w:rPr>
        <w:t xml:space="preserve">On May 14, 2025, in </w:t>
      </w:r>
      <w:r w:rsidRPr="00B44918">
        <w:rPr>
          <w:rFonts w:ascii="Times New Roman" w:hAnsi="Times New Roman"/>
          <w:sz w:val="24"/>
          <w:szCs w:val="24"/>
          <w:u w:val="single"/>
        </w:rPr>
        <w:t xml:space="preserve">Guarding Flight LLC, Reach Air Medical Services LLC, </w:t>
      </w:r>
      <w:proofErr w:type="spellStart"/>
      <w:r w:rsidRPr="00B44918">
        <w:rPr>
          <w:rFonts w:ascii="Times New Roman" w:hAnsi="Times New Roman"/>
          <w:sz w:val="24"/>
          <w:szCs w:val="24"/>
          <w:u w:val="single"/>
        </w:rPr>
        <w:t>Calstar</w:t>
      </w:r>
      <w:proofErr w:type="spellEnd"/>
      <w:r w:rsidRPr="00B44918">
        <w:rPr>
          <w:rFonts w:ascii="Times New Roman" w:hAnsi="Times New Roman"/>
          <w:sz w:val="24"/>
          <w:szCs w:val="24"/>
          <w:u w:val="single"/>
        </w:rPr>
        <w:t xml:space="preserve"> Air Medical Services LLC, Med-Trans Corporation, and Air Evac EMS, Inc. v. Aetna Life Insurance Company, Aetna Health, Inc., Aetna Health and Life Insurance Company, and Cigna Health and Life Insurance Company</w:t>
      </w:r>
      <w:r w:rsidRPr="00B44918">
        <w:rPr>
          <w:rFonts w:ascii="Times New Roman" w:hAnsi="Times New Roman"/>
          <w:sz w:val="24"/>
          <w:szCs w:val="24"/>
        </w:rPr>
        <w:t>, U.S. District Court Judge Michael P. Shea, United States District Court for the District of Connecticut, denied the insurance companies motion to dismiss;  the Air Medical companies allege a “low pay, late pay or no pay” scheme has become a widespread business practice.</w:t>
      </w:r>
    </w:p>
    <w:p w14:paraId="591ECDB1" w14:textId="77777777" w:rsidR="00072607" w:rsidRPr="00B44918" w:rsidRDefault="00072607" w:rsidP="00072607">
      <w:pPr>
        <w:pStyle w:val="NoSpacing"/>
        <w:rPr>
          <w:rFonts w:ascii="Times New Roman" w:hAnsi="Times New Roman"/>
          <w:bCs/>
          <w:sz w:val="24"/>
          <w:szCs w:val="24"/>
        </w:rPr>
      </w:pPr>
      <w:r w:rsidRPr="00B44918">
        <w:rPr>
          <w:rFonts w:ascii="Times New Roman" w:hAnsi="Times New Roman"/>
          <w:sz w:val="24"/>
          <w:szCs w:val="24"/>
        </w:rPr>
        <w:lastRenderedPageBreak/>
        <w:t xml:space="preserve">   </w:t>
      </w:r>
    </w:p>
    <w:p w14:paraId="55CA3EBB" w14:textId="6DA85870" w:rsidR="00072607" w:rsidRPr="00B44918" w:rsidRDefault="00072607" w:rsidP="00072607">
      <w:pPr>
        <w:pStyle w:val="NoSpacing"/>
        <w:rPr>
          <w:rFonts w:ascii="Times New Roman" w:hAnsi="Times New Roman"/>
          <w:bCs/>
          <w:sz w:val="24"/>
          <w:szCs w:val="24"/>
        </w:rPr>
      </w:pPr>
      <w:r w:rsidRPr="00B44918">
        <w:rPr>
          <w:rFonts w:ascii="Times New Roman" w:hAnsi="Times New Roman"/>
          <w:sz w:val="24"/>
          <w:szCs w:val="24"/>
        </w:rPr>
        <w:t>The Court wrote:  “Though Defendants received the benefit of Plaintiffs’ services, they made unreasonably low initial payments for these transports…. Defendants have failed to comply with these IDR [Independent Dispute Resolution] determinations [under the 2021 No Surprise Act]…. In some cases, they made late payments and did not include interest to account for their payment delays….  In other instances, they have made only partial payments or have not made any payments whatsoever. Id.  At the time Plaintiffs’ complaint was filed, several of these</w:t>
      </w:r>
      <w:r w:rsidR="00B44918">
        <w:rPr>
          <w:rFonts w:ascii="Times New Roman" w:hAnsi="Times New Roman"/>
          <w:sz w:val="24"/>
          <w:szCs w:val="24"/>
        </w:rPr>
        <w:t xml:space="preserve"> </w:t>
      </w:r>
      <w:r w:rsidRPr="00B44918">
        <w:rPr>
          <w:rFonts w:ascii="Times New Roman" w:hAnsi="Times New Roman"/>
          <w:sz w:val="24"/>
          <w:szCs w:val="24"/>
        </w:rPr>
        <w:t xml:space="preserve">awards were more than 500 days past due and Defendants had </w:t>
      </w:r>
      <w:proofErr w:type="gramStart"/>
      <w:r w:rsidRPr="00B44918">
        <w:rPr>
          <w:rFonts w:ascii="Times New Roman" w:hAnsi="Times New Roman"/>
          <w:sz w:val="24"/>
          <w:szCs w:val="24"/>
        </w:rPr>
        <w:t>late-paid</w:t>
      </w:r>
      <w:proofErr w:type="gramEnd"/>
      <w:r w:rsidRPr="00B44918">
        <w:rPr>
          <w:rFonts w:ascii="Times New Roman" w:hAnsi="Times New Roman"/>
          <w:sz w:val="24"/>
          <w:szCs w:val="24"/>
        </w:rPr>
        <w:t xml:space="preserve"> or not paid over $20</w:t>
      </w:r>
      <w:r w:rsidR="00B44918">
        <w:rPr>
          <w:rFonts w:ascii="Times New Roman" w:hAnsi="Times New Roman"/>
          <w:sz w:val="24"/>
          <w:szCs w:val="24"/>
        </w:rPr>
        <w:t xml:space="preserve"> </w:t>
      </w:r>
      <w:r w:rsidRPr="00B44918">
        <w:rPr>
          <w:rFonts w:ascii="Times New Roman" w:hAnsi="Times New Roman"/>
          <w:sz w:val="24"/>
          <w:szCs w:val="24"/>
        </w:rPr>
        <w:t xml:space="preserve">million in IDR awards. *** Defendants’ alleged failure to timely pay these awards is sufficiently frequent to constitute a general business practice. Plaintiffs have thus plausibly alleged that Defendants engaged in ‘unfair methods of competition and unfair and deceptive acts or practices in the business of insurance’ in violation of CUIPA [Connecticut Unfair Trade Practices Act] and so have stated a plausible CUTPA claim. See Conn. Gen. Stat. § 38a-816(6)(F).”  </w:t>
      </w:r>
      <w:hyperlink r:id="rId2959" w:history="1">
        <w:r w:rsidRPr="00B44918">
          <w:rPr>
            <w:rStyle w:val="Hyperlink"/>
            <w:rFonts w:ascii="Times New Roman" w:hAnsi="Times New Roman"/>
            <w:sz w:val="24"/>
            <w:szCs w:val="24"/>
          </w:rPr>
          <w:t>https://cases.justia.com/federal/district-courts/connecticut/ctdce/3:2024cv00680/159059/264/0.pdf?ts=1747297635</w:t>
        </w:r>
      </w:hyperlink>
      <w:r w:rsidRPr="00B44918">
        <w:rPr>
          <w:rFonts w:ascii="Times New Roman" w:hAnsi="Times New Roman"/>
          <w:sz w:val="24"/>
          <w:szCs w:val="24"/>
        </w:rPr>
        <w:t xml:space="preserve"> </w:t>
      </w:r>
    </w:p>
    <w:p w14:paraId="4AD570DD" w14:textId="77777777" w:rsidR="00072607" w:rsidRDefault="00072607" w:rsidP="00072607">
      <w:pPr>
        <w:pStyle w:val="NoSpacing"/>
        <w:rPr>
          <w:rFonts w:ascii="Times New Roman" w:hAnsi="Times New Roman"/>
          <w:sz w:val="24"/>
          <w:szCs w:val="24"/>
        </w:rPr>
      </w:pPr>
    </w:p>
    <w:p w14:paraId="1C504A85" w14:textId="77777777" w:rsidR="00C47507" w:rsidRPr="001D5E22" w:rsidRDefault="00C47507" w:rsidP="00C47507">
      <w:pPr>
        <w:pStyle w:val="NoSpacing"/>
        <w:rPr>
          <w:rFonts w:ascii="Times New Roman" w:hAnsi="Times New Roman"/>
          <w:b/>
          <w:bCs/>
          <w:sz w:val="24"/>
          <w:szCs w:val="24"/>
        </w:rPr>
      </w:pPr>
      <w:r w:rsidRPr="001D5E22">
        <w:rPr>
          <w:rFonts w:ascii="Times New Roman" w:hAnsi="Times New Roman"/>
          <w:b/>
          <w:sz w:val="24"/>
          <w:szCs w:val="24"/>
        </w:rPr>
        <w:t>Legal Lesson Learned: This is a significant win for Air Medical industry; hopefully patient insurance companies will “get the message” that they are facing liability for low pay, late pay or no pay’ scheme.</w:t>
      </w:r>
    </w:p>
    <w:p w14:paraId="4F47854A" w14:textId="77777777" w:rsidR="00C47507" w:rsidRPr="006F2B87" w:rsidRDefault="00C47507" w:rsidP="00C47507">
      <w:pPr>
        <w:pStyle w:val="NoSpacing"/>
        <w:rPr>
          <w:b/>
          <w:bCs/>
        </w:rPr>
      </w:pPr>
    </w:p>
    <w:p w14:paraId="7EABB51E" w14:textId="77777777" w:rsidR="00C47507" w:rsidRPr="00B44918" w:rsidRDefault="00C47507" w:rsidP="00072607">
      <w:pPr>
        <w:pStyle w:val="NoSpacing"/>
        <w:rPr>
          <w:rFonts w:ascii="Times New Roman" w:hAnsi="Times New Roman"/>
          <w:sz w:val="24"/>
          <w:szCs w:val="24"/>
        </w:rPr>
      </w:pPr>
    </w:p>
    <w:p w14:paraId="07B319CC" w14:textId="77777777" w:rsidR="00072607" w:rsidRDefault="00072607" w:rsidP="000C4DF5">
      <w:pPr>
        <w:pStyle w:val="NoSpacing"/>
        <w:rPr>
          <w:rFonts w:ascii="Arial Black" w:hAnsi="Arial Black"/>
          <w:sz w:val="24"/>
          <w:szCs w:val="24"/>
        </w:rPr>
      </w:pPr>
    </w:p>
    <w:p w14:paraId="799AE84A" w14:textId="77777777" w:rsidR="00072607" w:rsidRDefault="00072607" w:rsidP="000C4DF5">
      <w:pPr>
        <w:pStyle w:val="NoSpacing"/>
        <w:rPr>
          <w:rFonts w:ascii="Arial Black" w:hAnsi="Arial Black"/>
          <w:sz w:val="24"/>
          <w:szCs w:val="24"/>
        </w:rPr>
      </w:pPr>
    </w:p>
    <w:p w14:paraId="7411B888" w14:textId="77777777" w:rsidR="00072607" w:rsidRDefault="00072607" w:rsidP="000C4DF5">
      <w:pPr>
        <w:pStyle w:val="NoSpacing"/>
        <w:rPr>
          <w:rFonts w:ascii="Arial Black" w:hAnsi="Arial Black"/>
          <w:sz w:val="24"/>
          <w:szCs w:val="24"/>
        </w:rPr>
      </w:pPr>
    </w:p>
    <w:p w14:paraId="39958541" w14:textId="46CE514C" w:rsidR="008A2AE6" w:rsidRDefault="008A2AE6" w:rsidP="000C4DF5">
      <w:pPr>
        <w:pStyle w:val="NoSpacing"/>
        <w:rPr>
          <w:rFonts w:ascii="Arial Black" w:hAnsi="Arial Black"/>
          <w:sz w:val="24"/>
          <w:szCs w:val="24"/>
        </w:rPr>
      </w:pPr>
      <w:r>
        <w:rPr>
          <w:rFonts w:ascii="Arial Black" w:hAnsi="Arial Black"/>
          <w:sz w:val="24"/>
          <w:szCs w:val="24"/>
        </w:rPr>
        <w:t>18-29</w:t>
      </w:r>
    </w:p>
    <w:p w14:paraId="78BD20B8" w14:textId="77777777" w:rsidR="008A2AE6" w:rsidRDefault="008A2AE6" w:rsidP="000C4DF5">
      <w:pPr>
        <w:pStyle w:val="NoSpacing"/>
        <w:rPr>
          <w:rFonts w:ascii="Arial Black" w:hAnsi="Arial Black"/>
          <w:sz w:val="24"/>
          <w:szCs w:val="24"/>
        </w:rPr>
      </w:pPr>
    </w:p>
    <w:p w14:paraId="6F21B8A7" w14:textId="6DA565B9" w:rsidR="00727EFE" w:rsidRPr="0072111B" w:rsidRDefault="00727EFE" w:rsidP="00C47507">
      <w:pPr>
        <w:pStyle w:val="NoSpacing"/>
        <w:rPr>
          <w:rFonts w:ascii="Arial Black" w:hAnsi="Arial Black"/>
          <w:b/>
          <w:sz w:val="28"/>
          <w:szCs w:val="28"/>
        </w:rPr>
      </w:pPr>
      <w:r>
        <w:rPr>
          <w:rFonts w:ascii="Arial Black" w:hAnsi="Arial Black"/>
          <w:b/>
          <w:sz w:val="28"/>
          <w:szCs w:val="28"/>
        </w:rPr>
        <w:t xml:space="preserve">ID: GOOD SAMARITAN LAW -  CAN ARREST </w:t>
      </w:r>
      <w:r w:rsidR="000C567D">
        <w:rPr>
          <w:rFonts w:ascii="Arial Black" w:hAnsi="Arial Black"/>
          <w:b/>
          <w:sz w:val="28"/>
          <w:szCs w:val="28"/>
        </w:rPr>
        <w:t xml:space="preserve">PT / </w:t>
      </w:r>
      <w:r w:rsidR="00C47507">
        <w:rPr>
          <w:rFonts w:ascii="Arial Black" w:hAnsi="Arial Black"/>
          <w:b/>
          <w:sz w:val="28"/>
          <w:szCs w:val="28"/>
        </w:rPr>
        <w:t xml:space="preserve">WANTED </w:t>
      </w:r>
      <w:r>
        <w:rPr>
          <w:rFonts w:ascii="Arial Black" w:hAnsi="Arial Black"/>
          <w:b/>
          <w:sz w:val="28"/>
          <w:szCs w:val="28"/>
        </w:rPr>
        <w:t>WARRANT</w:t>
      </w:r>
    </w:p>
    <w:p w14:paraId="7BB5D8DF" w14:textId="77777777" w:rsidR="00727EFE" w:rsidRDefault="00727EFE" w:rsidP="00727EFE">
      <w:pPr>
        <w:pStyle w:val="NoSpacing"/>
        <w:rPr>
          <w:b/>
        </w:rPr>
      </w:pPr>
    </w:p>
    <w:p w14:paraId="0A4DED1C" w14:textId="77777777" w:rsidR="00727EFE" w:rsidRPr="00004EEC" w:rsidRDefault="00727EFE" w:rsidP="00727EFE">
      <w:pPr>
        <w:pStyle w:val="NoSpacing"/>
        <w:rPr>
          <w:rFonts w:ascii="Times New Roman" w:hAnsi="Times New Roman"/>
          <w:sz w:val="24"/>
          <w:szCs w:val="24"/>
        </w:rPr>
      </w:pPr>
      <w:r w:rsidRPr="00004EEC">
        <w:rPr>
          <w:rFonts w:ascii="Times New Roman" w:hAnsi="Times New Roman"/>
          <w:sz w:val="24"/>
          <w:szCs w:val="24"/>
        </w:rPr>
        <w:t xml:space="preserve">On March 19, 2025, in </w:t>
      </w:r>
      <w:r w:rsidRPr="00004EEC">
        <w:rPr>
          <w:rFonts w:ascii="Times New Roman" w:hAnsi="Times New Roman"/>
          <w:sz w:val="24"/>
          <w:szCs w:val="24"/>
          <w:u w:val="single"/>
        </w:rPr>
        <w:t xml:space="preserve">State of Idaho v. </w:t>
      </w:r>
      <w:proofErr w:type="spellStart"/>
      <w:r w:rsidRPr="00004EEC">
        <w:rPr>
          <w:rFonts w:ascii="Times New Roman" w:hAnsi="Times New Roman"/>
          <w:sz w:val="24"/>
          <w:szCs w:val="24"/>
          <w:u w:val="single"/>
        </w:rPr>
        <w:t>Ismiel</w:t>
      </w:r>
      <w:proofErr w:type="spellEnd"/>
      <w:r w:rsidRPr="00004EEC">
        <w:rPr>
          <w:rFonts w:ascii="Times New Roman" w:hAnsi="Times New Roman"/>
          <w:sz w:val="24"/>
          <w:szCs w:val="24"/>
          <w:u w:val="single"/>
        </w:rPr>
        <w:t xml:space="preserve"> Emannuel </w:t>
      </w:r>
      <w:proofErr w:type="spellStart"/>
      <w:r w:rsidRPr="00004EEC">
        <w:rPr>
          <w:rFonts w:ascii="Times New Roman" w:hAnsi="Times New Roman"/>
          <w:sz w:val="24"/>
          <w:szCs w:val="24"/>
          <w:u w:val="single"/>
        </w:rPr>
        <w:t>Meeds</w:t>
      </w:r>
      <w:proofErr w:type="spellEnd"/>
      <w:r w:rsidRPr="00004EEC">
        <w:rPr>
          <w:rFonts w:ascii="Times New Roman" w:hAnsi="Times New Roman"/>
          <w:sz w:val="24"/>
          <w:szCs w:val="24"/>
        </w:rPr>
        <w:t xml:space="preserve">, the Court of Appeals of Idaho held (3 to 0; unpublished decision) that the states’ Good Samaritan law does not protect a person helping an overdose patient from arrest for an outstanding warrant, and the statute also doesn’t protect from being charged with bringing drugs into jail after their arrest.  The trial court </w:t>
      </w:r>
      <w:proofErr w:type="gramStart"/>
      <w:r w:rsidRPr="00004EEC">
        <w:rPr>
          <w:rFonts w:ascii="Times New Roman" w:hAnsi="Times New Roman"/>
          <w:sz w:val="24"/>
          <w:szCs w:val="24"/>
        </w:rPr>
        <w:t>judge did drop</w:t>
      </w:r>
      <w:proofErr w:type="gramEnd"/>
      <w:r w:rsidRPr="00004EEC">
        <w:rPr>
          <w:rFonts w:ascii="Times New Roman" w:hAnsi="Times New Roman"/>
          <w:sz w:val="24"/>
          <w:szCs w:val="24"/>
        </w:rPr>
        <w:t xml:space="preserve"> charges of possession  since this is covered by </w:t>
      </w:r>
      <w:proofErr w:type="gramStart"/>
      <w:r w:rsidRPr="00004EEC">
        <w:rPr>
          <w:rFonts w:ascii="Times New Roman" w:hAnsi="Times New Roman"/>
          <w:sz w:val="24"/>
          <w:szCs w:val="24"/>
        </w:rPr>
        <w:t>the Good</w:t>
      </w:r>
      <w:proofErr w:type="gramEnd"/>
      <w:r w:rsidRPr="00004EEC">
        <w:rPr>
          <w:rFonts w:ascii="Times New Roman" w:hAnsi="Times New Roman"/>
          <w:sz w:val="24"/>
          <w:szCs w:val="24"/>
        </w:rPr>
        <w:t xml:space="preserve"> Samaritan law.  “During the booking process, an intake search was conducted and officers found methamphetamine and marijuana concealed in his anal cavity. </w:t>
      </w:r>
      <w:proofErr w:type="spellStart"/>
      <w:r w:rsidRPr="00004EEC">
        <w:rPr>
          <w:rFonts w:ascii="Times New Roman" w:hAnsi="Times New Roman"/>
          <w:sz w:val="24"/>
          <w:szCs w:val="24"/>
        </w:rPr>
        <w:t>Meeds</w:t>
      </w:r>
      <w:proofErr w:type="spellEnd"/>
      <w:r w:rsidRPr="00004EEC">
        <w:rPr>
          <w:rFonts w:ascii="Times New Roman" w:hAnsi="Times New Roman"/>
          <w:sz w:val="24"/>
          <w:szCs w:val="24"/>
        </w:rPr>
        <w:t xml:space="preserve"> was charged with possession, introduction, or removal of certain articles into or from a correctional facility…. Whether prosecution for additional crimes or arrests on outstanding warrants should be prohibited by I.C. § 37-2739C is a matter for the legislature, not this Court.” </w:t>
      </w:r>
      <w:hyperlink r:id="rId2960" w:history="1">
        <w:r w:rsidRPr="00004EEC">
          <w:rPr>
            <w:rStyle w:val="Hyperlink"/>
            <w:rFonts w:ascii="Times New Roman" w:hAnsi="Times New Roman"/>
            <w:sz w:val="24"/>
            <w:szCs w:val="24"/>
          </w:rPr>
          <w:t>https://isc.idaho.gov/opinions/51312.pdf</w:t>
        </w:r>
      </w:hyperlink>
    </w:p>
    <w:p w14:paraId="10C4F618" w14:textId="77777777" w:rsidR="00727EFE" w:rsidRPr="00004EEC" w:rsidRDefault="00727EFE" w:rsidP="000C4DF5">
      <w:pPr>
        <w:pStyle w:val="NoSpacing"/>
        <w:rPr>
          <w:rFonts w:ascii="Times New Roman" w:hAnsi="Times New Roman"/>
          <w:sz w:val="24"/>
          <w:szCs w:val="24"/>
        </w:rPr>
      </w:pPr>
    </w:p>
    <w:p w14:paraId="6D2E862E" w14:textId="77777777" w:rsidR="00004EEC" w:rsidRPr="00004EEC" w:rsidRDefault="00004EEC" w:rsidP="00004EEC">
      <w:pPr>
        <w:pStyle w:val="NoSpacing"/>
        <w:rPr>
          <w:rFonts w:ascii="Times New Roman" w:hAnsi="Times New Roman"/>
          <w:b/>
          <w:bCs/>
          <w:sz w:val="24"/>
          <w:szCs w:val="24"/>
        </w:rPr>
      </w:pPr>
      <w:r w:rsidRPr="00004EEC">
        <w:rPr>
          <w:rFonts w:ascii="Times New Roman" w:hAnsi="Times New Roman"/>
          <w:b/>
          <w:sz w:val="24"/>
          <w:szCs w:val="24"/>
        </w:rPr>
        <w:t>Legal Lesson Learned: Court enforces statute that is “plain and unambiguous.”</w:t>
      </w:r>
    </w:p>
    <w:p w14:paraId="2CDE7F49" w14:textId="77777777" w:rsidR="00004EEC" w:rsidRPr="00004EEC" w:rsidRDefault="00004EEC" w:rsidP="00004EEC">
      <w:pPr>
        <w:pStyle w:val="NoSpacing"/>
        <w:ind w:left="720"/>
        <w:rPr>
          <w:rFonts w:ascii="Times New Roman" w:hAnsi="Times New Roman"/>
          <w:sz w:val="24"/>
          <w:szCs w:val="24"/>
        </w:rPr>
      </w:pPr>
    </w:p>
    <w:p w14:paraId="2948E965" w14:textId="77777777" w:rsidR="00004EEC" w:rsidRPr="00004EEC" w:rsidRDefault="00004EEC" w:rsidP="000C4DF5">
      <w:pPr>
        <w:pStyle w:val="NoSpacing"/>
        <w:rPr>
          <w:rFonts w:ascii="Times New Roman" w:hAnsi="Times New Roman"/>
          <w:sz w:val="24"/>
          <w:szCs w:val="24"/>
        </w:rPr>
      </w:pPr>
    </w:p>
    <w:p w14:paraId="21E33559" w14:textId="77777777" w:rsidR="008A2AE6" w:rsidRDefault="008A2AE6" w:rsidP="000C4DF5">
      <w:pPr>
        <w:pStyle w:val="NoSpacing"/>
        <w:rPr>
          <w:rFonts w:ascii="Arial Black" w:hAnsi="Arial Black"/>
          <w:sz w:val="24"/>
          <w:szCs w:val="24"/>
        </w:rPr>
      </w:pPr>
    </w:p>
    <w:p w14:paraId="39091001" w14:textId="77777777" w:rsidR="008A2AE6" w:rsidRDefault="008A2AE6" w:rsidP="000C4DF5">
      <w:pPr>
        <w:pStyle w:val="NoSpacing"/>
        <w:rPr>
          <w:rFonts w:ascii="Arial Black" w:hAnsi="Arial Black"/>
          <w:sz w:val="24"/>
          <w:szCs w:val="24"/>
        </w:rPr>
      </w:pPr>
    </w:p>
    <w:p w14:paraId="5B09835D" w14:textId="2482627D" w:rsidR="00FD3A33" w:rsidRPr="00C23DCB" w:rsidRDefault="00C568F9" w:rsidP="000C4DF5">
      <w:pPr>
        <w:pStyle w:val="NoSpacing"/>
        <w:rPr>
          <w:rFonts w:ascii="Arial Black" w:hAnsi="Arial Black"/>
          <w:sz w:val="28"/>
          <w:szCs w:val="28"/>
        </w:rPr>
      </w:pPr>
      <w:r w:rsidRPr="00C23DCB">
        <w:rPr>
          <w:rFonts w:ascii="Arial Black" w:hAnsi="Arial Black"/>
          <w:sz w:val="28"/>
          <w:szCs w:val="28"/>
        </w:rPr>
        <w:t>18-28</w:t>
      </w:r>
    </w:p>
    <w:p w14:paraId="0694B8D7" w14:textId="77777777" w:rsidR="00C568F9" w:rsidRDefault="00C568F9" w:rsidP="000C4DF5">
      <w:pPr>
        <w:pStyle w:val="NoSpacing"/>
        <w:rPr>
          <w:rFonts w:ascii="Arial Black" w:hAnsi="Arial Black"/>
          <w:sz w:val="24"/>
          <w:szCs w:val="24"/>
        </w:rPr>
      </w:pPr>
    </w:p>
    <w:p w14:paraId="78B5D844" w14:textId="77777777" w:rsidR="00B23BDB" w:rsidRPr="000B7F2C" w:rsidRDefault="00B23BDB" w:rsidP="00B23BDB">
      <w:pPr>
        <w:rPr>
          <w:rFonts w:ascii="Arial Black" w:hAnsi="Arial Black"/>
          <w:sz w:val="28"/>
          <w:szCs w:val="28"/>
        </w:rPr>
      </w:pPr>
      <w:r w:rsidRPr="000B7F2C">
        <w:rPr>
          <w:rFonts w:ascii="Arial Black" w:hAnsi="Arial Black"/>
          <w:sz w:val="28"/>
          <w:szCs w:val="28"/>
        </w:rPr>
        <w:t xml:space="preserve">MD: HUD “GOOD NEIGHBOR” HOMES </w:t>
      </w:r>
      <w:r>
        <w:rPr>
          <w:rFonts w:ascii="Arial Black" w:hAnsi="Arial Black"/>
          <w:sz w:val="28"/>
          <w:szCs w:val="28"/>
        </w:rPr>
        <w:t xml:space="preserve">– POLICE / FIRE </w:t>
      </w:r>
    </w:p>
    <w:p w14:paraId="73369532" w14:textId="77777777" w:rsidR="00B23BDB" w:rsidRPr="00B23BDB" w:rsidRDefault="00B23BDB" w:rsidP="00B23BDB">
      <w:pPr>
        <w:rPr>
          <w:rFonts w:ascii="Times New Roman" w:hAnsi="Times New Roman"/>
          <w:sz w:val="24"/>
          <w:szCs w:val="24"/>
        </w:rPr>
      </w:pPr>
      <w:r w:rsidRPr="00B23BDB">
        <w:rPr>
          <w:rFonts w:ascii="Times New Roman" w:hAnsi="Times New Roman"/>
          <w:sz w:val="24"/>
          <w:szCs w:val="24"/>
        </w:rPr>
        <w:t xml:space="preserve">On Feb. 24, 2025, in </w:t>
      </w:r>
      <w:r w:rsidRPr="00B23BDB">
        <w:rPr>
          <w:rFonts w:ascii="Times New Roman" w:hAnsi="Times New Roman"/>
          <w:sz w:val="24"/>
          <w:szCs w:val="24"/>
          <w:u w:val="single"/>
        </w:rPr>
        <w:t xml:space="preserve">Robert D. Kaetzel v. The Secretary of Housing </w:t>
      </w:r>
      <w:proofErr w:type="gramStart"/>
      <w:r w:rsidRPr="00B23BDB">
        <w:rPr>
          <w:rFonts w:ascii="Times New Roman" w:hAnsi="Times New Roman"/>
          <w:sz w:val="24"/>
          <w:szCs w:val="24"/>
          <w:u w:val="single"/>
        </w:rPr>
        <w:t>And</w:t>
      </w:r>
      <w:proofErr w:type="gramEnd"/>
      <w:r w:rsidRPr="00B23BDB">
        <w:rPr>
          <w:rFonts w:ascii="Times New Roman" w:hAnsi="Times New Roman"/>
          <w:sz w:val="24"/>
          <w:szCs w:val="24"/>
          <w:u w:val="single"/>
        </w:rPr>
        <w:t xml:space="preserve"> Urban Development</w:t>
      </w:r>
      <w:r w:rsidRPr="00B23BDB">
        <w:rPr>
          <w:rFonts w:ascii="Times New Roman" w:hAnsi="Times New Roman"/>
          <w:sz w:val="24"/>
          <w:szCs w:val="24"/>
        </w:rPr>
        <w:t xml:space="preserve">, United State District Judge Brendan A. Hurson granted HUD motion to dismiss because the plaintiff real estate agent (pro se; acting without an attorney) does not have standing because he did not include his two firefighter clients in the case.  The two firefighters sought to buy homes with 50% discount from list price under the HUD “Good </w:t>
      </w:r>
      <w:r w:rsidRPr="00B23BDB">
        <w:rPr>
          <w:rFonts w:ascii="Times New Roman" w:hAnsi="Times New Roman"/>
          <w:sz w:val="24"/>
          <w:szCs w:val="24"/>
        </w:rPr>
        <w:lastRenderedPageBreak/>
        <w:t>Neighbor Next Door”</w:t>
      </w:r>
      <w:r w:rsidRPr="00B23BDB">
        <w:rPr>
          <w:rFonts w:ascii="Times New Roman" w:hAnsi="Times New Roman"/>
          <w:b/>
          <w:sz w:val="24"/>
          <w:szCs w:val="24"/>
        </w:rPr>
        <w:t xml:space="preserve"> </w:t>
      </w:r>
      <w:r w:rsidRPr="00B23BDB">
        <w:rPr>
          <w:rFonts w:ascii="Times New Roman" w:hAnsi="Times New Roman"/>
          <w:sz w:val="24"/>
          <w:szCs w:val="24"/>
        </w:rPr>
        <w:t xml:space="preserve">program in </w:t>
      </w:r>
      <w:hyperlink r:id="rId2961" w:history="1">
        <w:r w:rsidRPr="00B23BDB">
          <w:rPr>
            <w:rStyle w:val="Hyperlink"/>
            <w:rFonts w:ascii="Times New Roman" w:hAnsi="Times New Roman"/>
            <w:sz w:val="24"/>
            <w:szCs w:val="24"/>
          </w:rPr>
          <w:t>revitalization areas</w:t>
        </w:r>
      </w:hyperlink>
      <w:r w:rsidRPr="00B23BDB">
        <w:rPr>
          <w:rFonts w:ascii="Times New Roman" w:hAnsi="Times New Roman"/>
          <w:sz w:val="24"/>
          <w:szCs w:val="24"/>
        </w:rPr>
        <w:t xml:space="preserve">.  Firefighter Kendra L. Slydell, a career firefighter with Princes George County fire department was denied HUD reduced price home in Capitol Heights, a town in PG County; firefighter Kenneth Hudson, a career firefighter with  Baltimore City fire department was denied a home in Baltimore City.  The real estate agent alleged HUD determined “that the individual purchaser[s'] regular work locations are not within the same ‘neighborhood or community' as the property, [and] therefore [the purchasers] do not qualify.”   </w:t>
      </w:r>
      <w:hyperlink r:id="rId2962" w:history="1">
        <w:r w:rsidRPr="00B23BDB">
          <w:rPr>
            <w:rStyle w:val="Hyperlink"/>
            <w:rFonts w:ascii="Times New Roman" w:hAnsi="Times New Roman"/>
            <w:sz w:val="24"/>
            <w:szCs w:val="24"/>
          </w:rPr>
          <w:t>https://public.fastcase.com/jaEE2PXzRXmZ99jOLMt1InNcYbqVaI0RKJVNmSUWwC4uBfhrqEaMCXW4t6jftSIgD4%2FHoHLdH48y39slr7kZWrEMnvLTwJnn0bFKh%2B9XZVQ%3D?utm_medium=email&amp;_hsenc=p2ANqtz-9jIRW7ECQxdsfZzinN3lzy-N6WwmOPS0xWaDDWCvHvPAgLyigDSOvaGk0u5IT3PeW4EZ19aOxVZon74RIrJmMQwWSuhw&amp;_hsmi=226712652&amp;utm_content=226712652&amp;utm_source=hs_email</w:t>
        </w:r>
      </w:hyperlink>
      <w:r w:rsidRPr="00B23BDB">
        <w:rPr>
          <w:rFonts w:ascii="Times New Roman" w:hAnsi="Times New Roman"/>
          <w:sz w:val="24"/>
          <w:szCs w:val="24"/>
        </w:rPr>
        <w:t xml:space="preserve"> </w:t>
      </w:r>
    </w:p>
    <w:p w14:paraId="10069FF8" w14:textId="77777777" w:rsidR="00B23BDB" w:rsidRPr="00B23BDB" w:rsidRDefault="00B23BDB" w:rsidP="00B23BDB">
      <w:pPr>
        <w:pStyle w:val="NoSpacing"/>
        <w:rPr>
          <w:rFonts w:ascii="Times New Roman" w:hAnsi="Times New Roman"/>
          <w:sz w:val="24"/>
          <w:szCs w:val="24"/>
        </w:rPr>
      </w:pPr>
      <w:r w:rsidRPr="00B23BDB">
        <w:rPr>
          <w:rFonts w:ascii="Times New Roman" w:hAnsi="Times New Roman"/>
          <w:sz w:val="24"/>
          <w:szCs w:val="24"/>
        </w:rPr>
        <w:t>The Court wrote:</w:t>
      </w:r>
    </w:p>
    <w:p w14:paraId="6933A9DC" w14:textId="77777777" w:rsidR="00B23BDB" w:rsidRPr="00B23BDB" w:rsidRDefault="00B23BDB" w:rsidP="00B23BDB">
      <w:pPr>
        <w:pStyle w:val="NoSpacing"/>
        <w:rPr>
          <w:rFonts w:ascii="Times New Roman" w:hAnsi="Times New Roman"/>
          <w:sz w:val="24"/>
          <w:szCs w:val="24"/>
        </w:rPr>
      </w:pPr>
    </w:p>
    <w:p w14:paraId="7E0842AC" w14:textId="77777777" w:rsidR="00B23BDB" w:rsidRPr="00B23BDB" w:rsidRDefault="00B23BDB" w:rsidP="00B23BDB">
      <w:pPr>
        <w:pStyle w:val="NoSpacing"/>
        <w:ind w:left="720"/>
        <w:rPr>
          <w:rFonts w:ascii="Times New Roman" w:hAnsi="Times New Roman"/>
          <w:sz w:val="24"/>
          <w:szCs w:val="24"/>
        </w:rPr>
      </w:pPr>
      <w:r w:rsidRPr="00B23BDB">
        <w:rPr>
          <w:rFonts w:ascii="Times New Roman" w:hAnsi="Times New Roman"/>
          <w:sz w:val="24"/>
          <w:szCs w:val="24"/>
        </w:rPr>
        <w:t xml:space="preserve">“Plaintiff Robert D. Kaetzel …proceeding pro se, </w:t>
      </w:r>
      <w:proofErr w:type="gramStart"/>
      <w:r w:rsidRPr="00B23BDB">
        <w:rPr>
          <w:rFonts w:ascii="Times New Roman" w:hAnsi="Times New Roman"/>
          <w:sz w:val="24"/>
          <w:szCs w:val="24"/>
        </w:rPr>
        <w:t>brought suit against</w:t>
      </w:r>
      <w:proofErr w:type="gramEnd"/>
      <w:r w:rsidRPr="00B23BDB">
        <w:rPr>
          <w:rFonts w:ascii="Times New Roman" w:hAnsi="Times New Roman"/>
          <w:sz w:val="24"/>
          <w:szCs w:val="24"/>
        </w:rPr>
        <w:t xml:space="preserve"> the Secretary of Housing and Urban Development  … challenging HUD's implementation of its Good Neighbor Next Door (“GNND”) Program…. </w:t>
      </w:r>
    </w:p>
    <w:p w14:paraId="1DF2B3F4" w14:textId="77777777" w:rsidR="00B23BDB" w:rsidRPr="00B23BDB" w:rsidRDefault="00B23BDB" w:rsidP="00B23BDB">
      <w:pPr>
        <w:pStyle w:val="NoSpacing"/>
        <w:rPr>
          <w:rFonts w:ascii="Times New Roman" w:hAnsi="Times New Roman"/>
          <w:sz w:val="24"/>
          <w:szCs w:val="24"/>
        </w:rPr>
      </w:pPr>
    </w:p>
    <w:p w14:paraId="02EE47AC" w14:textId="77777777" w:rsidR="00B23BDB" w:rsidRPr="00B23BDB" w:rsidRDefault="00B23BDB" w:rsidP="00B23BDB">
      <w:pPr>
        <w:pStyle w:val="NoSpacing"/>
        <w:ind w:firstLine="720"/>
        <w:rPr>
          <w:rFonts w:ascii="Times New Roman" w:hAnsi="Times New Roman"/>
          <w:sz w:val="24"/>
          <w:szCs w:val="24"/>
        </w:rPr>
      </w:pPr>
      <w:r w:rsidRPr="00B23BDB">
        <w:rPr>
          <w:rFonts w:ascii="Times New Roman" w:hAnsi="Times New Roman"/>
          <w:sz w:val="24"/>
          <w:szCs w:val="24"/>
        </w:rPr>
        <w:t>***</w:t>
      </w:r>
    </w:p>
    <w:p w14:paraId="0A405586" w14:textId="77777777" w:rsidR="00B23BDB" w:rsidRPr="00B23BDB" w:rsidRDefault="00B23BDB" w:rsidP="00B23BDB">
      <w:pPr>
        <w:pStyle w:val="NoSpacing"/>
        <w:rPr>
          <w:rFonts w:ascii="Times New Roman" w:hAnsi="Times New Roman"/>
          <w:sz w:val="24"/>
          <w:szCs w:val="24"/>
        </w:rPr>
      </w:pPr>
    </w:p>
    <w:p w14:paraId="611DA675" w14:textId="77777777" w:rsidR="00B23BDB" w:rsidRPr="00B23BDB" w:rsidRDefault="00B23BDB" w:rsidP="00B23BDB">
      <w:pPr>
        <w:pStyle w:val="NoSpacing"/>
        <w:ind w:left="720"/>
        <w:rPr>
          <w:rFonts w:ascii="Times New Roman" w:hAnsi="Times New Roman"/>
          <w:sz w:val="24"/>
          <w:szCs w:val="24"/>
        </w:rPr>
      </w:pPr>
      <w:r w:rsidRPr="00B23BDB">
        <w:rPr>
          <w:rFonts w:ascii="Times New Roman" w:hAnsi="Times New Roman"/>
          <w:sz w:val="24"/>
          <w:szCs w:val="24"/>
        </w:rPr>
        <w:t>HUD created the GNND Program ‘to improve the quality of life in distressed urban communities ... by encouraging law enforcement officers, teachers, and firefighters/emergency medical technicians to purchase and live in homes that are located in the same communities where they perform their daily responsibilities and duties.’ 24 C.F.R. § 291.500. The Program allows eligible purchasers to ‘purchase a specifically designated HUD-acquired home located in a HUD-designated revitalization area’ ‘[a]t a 50 percent discount from the list price’ and ‘[w]</w:t>
      </w:r>
      <w:proofErr w:type="spellStart"/>
      <w:r w:rsidRPr="00B23BDB">
        <w:rPr>
          <w:rFonts w:ascii="Times New Roman" w:hAnsi="Times New Roman"/>
          <w:sz w:val="24"/>
          <w:szCs w:val="24"/>
        </w:rPr>
        <w:t>ith</w:t>
      </w:r>
      <w:proofErr w:type="spellEnd"/>
      <w:r w:rsidRPr="00B23BDB">
        <w:rPr>
          <w:rFonts w:ascii="Times New Roman" w:hAnsi="Times New Roman"/>
          <w:sz w:val="24"/>
          <w:szCs w:val="24"/>
        </w:rPr>
        <w:t xml:space="preserve"> a downpayment of $100, but only if the [eligible purchaser] finances the home through a Federal Housing Administration (FHA) insured mortgage.’ § 291.510(a)(1)-(2). </w:t>
      </w:r>
    </w:p>
    <w:p w14:paraId="4987D0DA" w14:textId="77777777" w:rsidR="00B23BDB" w:rsidRPr="00B23BDB" w:rsidRDefault="00B23BDB" w:rsidP="00B23BDB">
      <w:pPr>
        <w:pStyle w:val="NoSpacing"/>
        <w:rPr>
          <w:rFonts w:ascii="Times New Roman" w:hAnsi="Times New Roman"/>
          <w:sz w:val="24"/>
          <w:szCs w:val="24"/>
        </w:rPr>
      </w:pPr>
    </w:p>
    <w:p w14:paraId="7A641D7F" w14:textId="77777777" w:rsidR="00B23BDB" w:rsidRPr="00B23BDB" w:rsidRDefault="00B23BDB" w:rsidP="00B23BDB">
      <w:pPr>
        <w:pStyle w:val="NoSpacing"/>
        <w:ind w:firstLine="720"/>
        <w:rPr>
          <w:rFonts w:ascii="Times New Roman" w:hAnsi="Times New Roman"/>
          <w:sz w:val="24"/>
          <w:szCs w:val="24"/>
        </w:rPr>
      </w:pPr>
      <w:r w:rsidRPr="00B23BDB">
        <w:rPr>
          <w:rFonts w:ascii="Times New Roman" w:hAnsi="Times New Roman"/>
          <w:sz w:val="24"/>
          <w:szCs w:val="24"/>
        </w:rPr>
        <w:t>***</w:t>
      </w:r>
    </w:p>
    <w:p w14:paraId="6DCC9D53" w14:textId="77777777" w:rsidR="00B23BDB" w:rsidRPr="00B23BDB" w:rsidRDefault="00B23BDB" w:rsidP="00B23BDB">
      <w:pPr>
        <w:pStyle w:val="NoSpacing"/>
        <w:rPr>
          <w:rFonts w:ascii="Times New Roman" w:hAnsi="Times New Roman"/>
          <w:sz w:val="24"/>
          <w:szCs w:val="24"/>
        </w:rPr>
      </w:pPr>
    </w:p>
    <w:p w14:paraId="5DBC73A9" w14:textId="77777777" w:rsidR="00B23BDB" w:rsidRPr="00B23BDB" w:rsidRDefault="00B23BDB" w:rsidP="00B23BDB">
      <w:pPr>
        <w:pStyle w:val="NoSpacing"/>
        <w:ind w:left="720"/>
        <w:rPr>
          <w:rFonts w:ascii="Times New Roman" w:hAnsi="Times New Roman"/>
          <w:sz w:val="24"/>
          <w:szCs w:val="24"/>
        </w:rPr>
      </w:pPr>
      <w:r w:rsidRPr="00B23BDB">
        <w:rPr>
          <w:rFonts w:ascii="Times New Roman" w:hAnsi="Times New Roman"/>
          <w:sz w:val="24"/>
          <w:szCs w:val="24"/>
        </w:rPr>
        <w:t xml:space="preserve">Here, </w:t>
      </w:r>
      <w:proofErr w:type="gramStart"/>
      <w:r w:rsidRPr="00B23BDB">
        <w:rPr>
          <w:rFonts w:ascii="Times New Roman" w:hAnsi="Times New Roman"/>
          <w:sz w:val="24"/>
          <w:szCs w:val="24"/>
        </w:rPr>
        <w:t>Plaintiffs</w:t>
      </w:r>
      <w:proofErr w:type="gramEnd"/>
      <w:r w:rsidRPr="00B23BDB">
        <w:rPr>
          <w:rFonts w:ascii="Times New Roman" w:hAnsi="Times New Roman"/>
          <w:sz w:val="24"/>
          <w:szCs w:val="24"/>
        </w:rPr>
        <w:t xml:space="preserve"> claims are entirely derivative of those of his clients, who are not parties </w:t>
      </w:r>
      <w:proofErr w:type="gramStart"/>
      <w:r w:rsidRPr="00B23BDB">
        <w:rPr>
          <w:rFonts w:ascii="Times New Roman" w:hAnsi="Times New Roman"/>
          <w:sz w:val="24"/>
          <w:szCs w:val="24"/>
        </w:rPr>
        <w:t>in</w:t>
      </w:r>
      <w:proofErr w:type="gramEnd"/>
      <w:r w:rsidRPr="00B23BDB">
        <w:rPr>
          <w:rFonts w:ascii="Times New Roman" w:hAnsi="Times New Roman"/>
          <w:sz w:val="24"/>
          <w:szCs w:val="24"/>
        </w:rPr>
        <w:t xml:space="preserve"> this suit. Even assuming Plaintiff has met the first two criteria, there is nothing before the Court to suggest that Plaintiffs clients are unable to bring suit on their own behalf challenging HUD's application of its own GNND Program regulations. Plaintiff therefore cannot establish third-party standing.”</w:t>
      </w:r>
    </w:p>
    <w:p w14:paraId="21ADF3A3" w14:textId="77777777" w:rsidR="00B23BDB" w:rsidRPr="00B23BDB" w:rsidRDefault="00B23BDB" w:rsidP="00B23BDB">
      <w:pPr>
        <w:pStyle w:val="NoSpacing"/>
        <w:rPr>
          <w:rFonts w:ascii="Times New Roman" w:hAnsi="Times New Roman"/>
          <w:sz w:val="24"/>
          <w:szCs w:val="24"/>
        </w:rPr>
      </w:pPr>
    </w:p>
    <w:p w14:paraId="29687481" w14:textId="77777777" w:rsidR="00B23BDB" w:rsidRPr="00B23BDB" w:rsidRDefault="00B23BDB" w:rsidP="00B23BDB">
      <w:pPr>
        <w:pStyle w:val="NoSpacing"/>
        <w:rPr>
          <w:rFonts w:ascii="Times New Roman" w:hAnsi="Times New Roman"/>
          <w:b/>
          <w:bCs/>
          <w:sz w:val="24"/>
          <w:szCs w:val="24"/>
        </w:rPr>
      </w:pPr>
      <w:r w:rsidRPr="00B23BDB">
        <w:rPr>
          <w:rFonts w:ascii="Times New Roman" w:hAnsi="Times New Roman"/>
          <w:b/>
          <w:sz w:val="24"/>
          <w:szCs w:val="24"/>
        </w:rPr>
        <w:t xml:space="preserve">Legal Lesson Learned:  The two firefighters who were denied HUD approval of “Good Neighbor Next Door” purchases may bring a lawsuit. </w:t>
      </w:r>
    </w:p>
    <w:p w14:paraId="274A4CDC" w14:textId="77777777" w:rsidR="00B23BDB" w:rsidRPr="00B23BDB" w:rsidRDefault="00B23BDB" w:rsidP="00B23BDB">
      <w:pPr>
        <w:rPr>
          <w:rFonts w:ascii="Times New Roman" w:hAnsi="Times New Roman"/>
          <w:b/>
          <w:bCs/>
          <w:sz w:val="24"/>
          <w:szCs w:val="24"/>
        </w:rPr>
      </w:pPr>
    </w:p>
    <w:p w14:paraId="68735F26" w14:textId="77777777" w:rsidR="00B23BDB" w:rsidRPr="00B23BDB" w:rsidRDefault="00B23BDB" w:rsidP="00B23BDB">
      <w:pPr>
        <w:ind w:left="720"/>
        <w:rPr>
          <w:rFonts w:ascii="Times New Roman" w:hAnsi="Times New Roman"/>
          <w:sz w:val="24"/>
          <w:szCs w:val="24"/>
        </w:rPr>
      </w:pPr>
      <w:r w:rsidRPr="00B23BDB">
        <w:rPr>
          <w:rFonts w:ascii="Times New Roman" w:hAnsi="Times New Roman"/>
          <w:sz w:val="24"/>
          <w:szCs w:val="24"/>
        </w:rPr>
        <w:t xml:space="preserve">Note: See HUD Good Neighbor Next Door program: </w:t>
      </w:r>
      <w:hyperlink r:id="rId2963" w:history="1">
        <w:r w:rsidRPr="00B23BDB">
          <w:rPr>
            <w:rStyle w:val="Hyperlink"/>
            <w:rFonts w:ascii="Times New Roman" w:hAnsi="Times New Roman"/>
            <w:sz w:val="24"/>
            <w:szCs w:val="24"/>
          </w:rPr>
          <w:t>https://www.hud.gov/program_offices/housing/sfh/reo/goodn/gnndabot</w:t>
        </w:r>
      </w:hyperlink>
      <w:r w:rsidRPr="00B23BDB">
        <w:rPr>
          <w:rFonts w:ascii="Times New Roman" w:hAnsi="Times New Roman"/>
          <w:sz w:val="24"/>
          <w:szCs w:val="24"/>
        </w:rPr>
        <w:t xml:space="preserve"> </w:t>
      </w:r>
    </w:p>
    <w:p w14:paraId="2D161CBB" w14:textId="77777777" w:rsidR="00B23BDB" w:rsidRPr="00B23BDB" w:rsidRDefault="00B23BDB" w:rsidP="00B23BDB">
      <w:pPr>
        <w:pStyle w:val="NoSpacing"/>
        <w:ind w:firstLine="720"/>
        <w:rPr>
          <w:rFonts w:ascii="Times New Roman" w:hAnsi="Times New Roman"/>
          <w:sz w:val="24"/>
          <w:szCs w:val="24"/>
        </w:rPr>
      </w:pPr>
      <w:r w:rsidRPr="00B23BDB">
        <w:rPr>
          <w:rFonts w:ascii="Times New Roman" w:hAnsi="Times New Roman"/>
          <w:sz w:val="24"/>
          <w:szCs w:val="24"/>
        </w:rPr>
        <w:t xml:space="preserve">See Regulation: </w:t>
      </w:r>
    </w:p>
    <w:p w14:paraId="4459094D" w14:textId="77777777" w:rsidR="00B23BDB" w:rsidRPr="00B23BDB" w:rsidRDefault="00B23BDB" w:rsidP="00B23BDB">
      <w:pPr>
        <w:pStyle w:val="NoSpacing"/>
        <w:rPr>
          <w:rFonts w:ascii="Times New Roman" w:hAnsi="Times New Roman"/>
          <w:sz w:val="24"/>
          <w:szCs w:val="24"/>
        </w:rPr>
      </w:pPr>
      <w:r w:rsidRPr="00B23BDB">
        <w:rPr>
          <w:rFonts w:ascii="Times New Roman" w:hAnsi="Times New Roman"/>
          <w:sz w:val="24"/>
          <w:szCs w:val="24"/>
        </w:rPr>
        <w:t>      </w:t>
      </w:r>
    </w:p>
    <w:p w14:paraId="26C6A0DF" w14:textId="77777777" w:rsidR="00B23BDB" w:rsidRPr="00B23BDB" w:rsidRDefault="00B23BDB" w:rsidP="00B23BDB">
      <w:pPr>
        <w:pStyle w:val="NoSpacing"/>
        <w:ind w:left="720"/>
        <w:rPr>
          <w:rFonts w:ascii="Times New Roman" w:hAnsi="Times New Roman"/>
          <w:sz w:val="24"/>
          <w:szCs w:val="24"/>
        </w:rPr>
      </w:pPr>
      <w:r w:rsidRPr="00B23BDB">
        <w:rPr>
          <w:rFonts w:ascii="Times New Roman" w:hAnsi="Times New Roman"/>
          <w:sz w:val="24"/>
          <w:szCs w:val="24"/>
        </w:rPr>
        <w:t xml:space="preserve">“§ 291.530 Eligible firefighter/emergency medical technicians. A person qualifies as a firefighter/emergency medical technician for the purposes of the GNND Sales Program if the person is: </w:t>
      </w:r>
    </w:p>
    <w:p w14:paraId="2D1652F2" w14:textId="77777777" w:rsidR="00B23BDB" w:rsidRPr="00B23BDB" w:rsidRDefault="00B23BDB" w:rsidP="00B23BDB">
      <w:pPr>
        <w:pStyle w:val="NoSpacing"/>
        <w:ind w:left="720"/>
        <w:rPr>
          <w:rFonts w:ascii="Times New Roman" w:hAnsi="Times New Roman"/>
          <w:sz w:val="24"/>
          <w:szCs w:val="24"/>
        </w:rPr>
      </w:pPr>
      <w:r w:rsidRPr="00B23BDB">
        <w:rPr>
          <w:rFonts w:ascii="Times New Roman" w:hAnsi="Times New Roman"/>
          <w:sz w:val="24"/>
          <w:szCs w:val="24"/>
        </w:rPr>
        <w:t xml:space="preserve">(a) Employed full-time as a firefighter or emergency medical technician by a fire department or emergency medical services responder unit of the Federal Government, a </w:t>
      </w:r>
      <w:hyperlink r:id="rId2964" w:history="1">
        <w:r w:rsidRPr="00B23BDB">
          <w:rPr>
            <w:rStyle w:val="Hyperlink"/>
            <w:rFonts w:ascii="Times New Roman" w:hAnsi="Times New Roman"/>
            <w:sz w:val="24"/>
            <w:szCs w:val="24"/>
          </w:rPr>
          <w:t>State</w:t>
        </w:r>
      </w:hyperlink>
      <w:r w:rsidRPr="00B23BDB">
        <w:rPr>
          <w:rFonts w:ascii="Times New Roman" w:hAnsi="Times New Roman"/>
          <w:sz w:val="24"/>
          <w:szCs w:val="24"/>
        </w:rPr>
        <w:t xml:space="preserve">, </w:t>
      </w:r>
      <w:hyperlink r:id="rId2965" w:history="1">
        <w:r w:rsidRPr="00B23BDB">
          <w:rPr>
            <w:rStyle w:val="Hyperlink"/>
            <w:rFonts w:ascii="Times New Roman" w:hAnsi="Times New Roman"/>
            <w:sz w:val="24"/>
            <w:szCs w:val="24"/>
          </w:rPr>
          <w:t>unit of general local government</w:t>
        </w:r>
      </w:hyperlink>
      <w:r w:rsidRPr="00B23BDB">
        <w:rPr>
          <w:rFonts w:ascii="Times New Roman" w:hAnsi="Times New Roman"/>
          <w:sz w:val="24"/>
          <w:szCs w:val="24"/>
        </w:rPr>
        <w:t xml:space="preserve">, or an Indian tribal government; and </w:t>
      </w:r>
    </w:p>
    <w:p w14:paraId="4C78CFC7" w14:textId="77777777" w:rsidR="00B23BDB" w:rsidRPr="00B23BDB" w:rsidRDefault="00B23BDB" w:rsidP="00B23BDB">
      <w:pPr>
        <w:pStyle w:val="NoSpacing"/>
        <w:ind w:left="720"/>
        <w:rPr>
          <w:rFonts w:ascii="Times New Roman" w:hAnsi="Times New Roman"/>
          <w:sz w:val="24"/>
          <w:szCs w:val="24"/>
        </w:rPr>
      </w:pPr>
      <w:r w:rsidRPr="00B23BDB">
        <w:rPr>
          <w:rFonts w:ascii="Times New Roman" w:hAnsi="Times New Roman"/>
          <w:sz w:val="24"/>
          <w:szCs w:val="24"/>
        </w:rPr>
        <w:lastRenderedPageBreak/>
        <w:t xml:space="preserve">(b) The full-time employment in </w:t>
      </w:r>
      <w:hyperlink r:id="rId2966" w:anchor="a" w:history="1">
        <w:r w:rsidRPr="00B23BDB">
          <w:rPr>
            <w:rStyle w:val="Hyperlink"/>
            <w:rFonts w:ascii="Times New Roman" w:hAnsi="Times New Roman"/>
            <w:sz w:val="24"/>
            <w:szCs w:val="24"/>
          </w:rPr>
          <w:t>paragraph (a)</w:t>
        </w:r>
      </w:hyperlink>
      <w:r w:rsidRPr="00B23BDB">
        <w:rPr>
          <w:rFonts w:ascii="Times New Roman" w:hAnsi="Times New Roman"/>
          <w:sz w:val="24"/>
          <w:szCs w:val="24"/>
        </w:rPr>
        <w:t xml:space="preserve"> of this section must, in the normal course of business, directly serve the </w:t>
      </w:r>
      <w:hyperlink r:id="rId2967" w:history="1">
        <w:r w:rsidRPr="00B23BDB">
          <w:rPr>
            <w:rStyle w:val="Hyperlink"/>
            <w:rFonts w:ascii="Times New Roman" w:hAnsi="Times New Roman"/>
            <w:sz w:val="24"/>
            <w:szCs w:val="24"/>
          </w:rPr>
          <w:t>locality</w:t>
        </w:r>
      </w:hyperlink>
      <w:r w:rsidRPr="00B23BDB">
        <w:rPr>
          <w:rFonts w:ascii="Times New Roman" w:hAnsi="Times New Roman"/>
          <w:sz w:val="24"/>
          <w:szCs w:val="24"/>
        </w:rPr>
        <w:t xml:space="preserve"> where the home is located. </w:t>
      </w:r>
    </w:p>
    <w:p w14:paraId="63606365" w14:textId="51C7D22B" w:rsidR="00C568F9" w:rsidRPr="00B23BDB" w:rsidRDefault="00B23BDB" w:rsidP="00B23BDB">
      <w:pPr>
        <w:pStyle w:val="NoSpacing"/>
        <w:ind w:firstLine="720"/>
        <w:rPr>
          <w:rFonts w:ascii="Times New Roman" w:hAnsi="Times New Roman"/>
          <w:sz w:val="24"/>
          <w:szCs w:val="24"/>
        </w:rPr>
      </w:pPr>
      <w:r w:rsidRPr="00B23BDB">
        <w:rPr>
          <w:rFonts w:ascii="Times New Roman" w:hAnsi="Times New Roman"/>
          <w:sz w:val="24"/>
          <w:szCs w:val="24"/>
        </w:rPr>
        <w:t>[</w:t>
      </w:r>
      <w:hyperlink r:id="rId2968" w:history="1">
        <w:r w:rsidRPr="00B23BDB">
          <w:rPr>
            <w:rStyle w:val="Hyperlink"/>
            <w:rFonts w:ascii="Times New Roman" w:hAnsi="Times New Roman"/>
            <w:sz w:val="24"/>
            <w:szCs w:val="24"/>
          </w:rPr>
          <w:t>81 FR 53003</w:t>
        </w:r>
      </w:hyperlink>
      <w:r w:rsidRPr="00B23BDB">
        <w:rPr>
          <w:rFonts w:ascii="Times New Roman" w:hAnsi="Times New Roman"/>
          <w:sz w:val="24"/>
          <w:szCs w:val="24"/>
        </w:rPr>
        <w:t xml:space="preserve">, Aug. 11, 2016] </w:t>
      </w:r>
      <w:hyperlink r:id="rId2969" w:history="1">
        <w:r w:rsidRPr="00B23BDB">
          <w:rPr>
            <w:rStyle w:val="Hyperlink"/>
            <w:rFonts w:ascii="Times New Roman" w:hAnsi="Times New Roman"/>
            <w:sz w:val="24"/>
            <w:szCs w:val="24"/>
          </w:rPr>
          <w:t>https://www.law.cornell.edu/cfr/text/24/291.530</w:t>
        </w:r>
      </w:hyperlink>
    </w:p>
    <w:p w14:paraId="2B277B2C" w14:textId="77777777" w:rsidR="00C568F9" w:rsidRPr="00B23BDB" w:rsidRDefault="00C568F9" w:rsidP="000C4DF5">
      <w:pPr>
        <w:pStyle w:val="NoSpacing"/>
        <w:rPr>
          <w:rFonts w:ascii="Times New Roman" w:hAnsi="Times New Roman"/>
          <w:sz w:val="24"/>
          <w:szCs w:val="24"/>
        </w:rPr>
      </w:pPr>
    </w:p>
    <w:p w14:paraId="6AB413C5" w14:textId="77777777" w:rsidR="00B23BDB" w:rsidRDefault="00B23BDB" w:rsidP="000C4DF5">
      <w:pPr>
        <w:pStyle w:val="NoSpacing"/>
        <w:rPr>
          <w:rFonts w:ascii="Arial Black" w:hAnsi="Arial Black"/>
          <w:sz w:val="28"/>
          <w:szCs w:val="28"/>
        </w:rPr>
      </w:pPr>
    </w:p>
    <w:p w14:paraId="5941033D" w14:textId="7A6AB524" w:rsidR="002100FE" w:rsidRPr="00B23BDB" w:rsidRDefault="002100FE" w:rsidP="000C4DF5">
      <w:pPr>
        <w:pStyle w:val="NoSpacing"/>
        <w:rPr>
          <w:rFonts w:ascii="Arial Black" w:hAnsi="Arial Black"/>
          <w:sz w:val="28"/>
          <w:szCs w:val="28"/>
        </w:rPr>
      </w:pPr>
      <w:r w:rsidRPr="00B23BDB">
        <w:rPr>
          <w:rFonts w:ascii="Arial Black" w:hAnsi="Arial Black"/>
          <w:sz w:val="28"/>
          <w:szCs w:val="28"/>
        </w:rPr>
        <w:t>18-27</w:t>
      </w:r>
    </w:p>
    <w:p w14:paraId="59610DE8" w14:textId="77777777" w:rsidR="002100FE" w:rsidRDefault="002100FE" w:rsidP="000C4DF5">
      <w:pPr>
        <w:pStyle w:val="NoSpacing"/>
        <w:rPr>
          <w:rFonts w:ascii="Arial Black" w:hAnsi="Arial Black"/>
          <w:sz w:val="24"/>
          <w:szCs w:val="24"/>
        </w:rPr>
      </w:pPr>
    </w:p>
    <w:p w14:paraId="0E908DF7" w14:textId="2B15EBC0" w:rsidR="002100FE" w:rsidRPr="00EA5F06" w:rsidRDefault="002100FE" w:rsidP="002100FE">
      <w:pPr>
        <w:pStyle w:val="NoSpacing"/>
        <w:rPr>
          <w:rFonts w:ascii="Arial Black" w:hAnsi="Arial Black"/>
          <w:bCs/>
          <w:sz w:val="28"/>
          <w:szCs w:val="28"/>
        </w:rPr>
      </w:pPr>
      <w:r>
        <w:rPr>
          <w:rFonts w:ascii="Arial Black" w:hAnsi="Arial Black"/>
          <w:sz w:val="28"/>
          <w:szCs w:val="28"/>
        </w:rPr>
        <w:t>NM: FOREST FIRE ACT</w:t>
      </w:r>
      <w:r>
        <w:rPr>
          <w:rFonts w:ascii="Arial Black" w:hAnsi="Arial Black"/>
          <w:bCs/>
          <w:sz w:val="28"/>
          <w:szCs w:val="28"/>
        </w:rPr>
        <w:t xml:space="preserve"> </w:t>
      </w:r>
      <w:r>
        <w:rPr>
          <w:rFonts w:ascii="Arial Black" w:hAnsi="Arial Black"/>
          <w:sz w:val="28"/>
          <w:szCs w:val="28"/>
        </w:rPr>
        <w:t>– PROP. &amp; EMOTIONAL D</w:t>
      </w:r>
      <w:r>
        <w:rPr>
          <w:rFonts w:ascii="Arial Black" w:hAnsi="Arial Black"/>
          <w:bCs/>
          <w:sz w:val="28"/>
          <w:szCs w:val="28"/>
        </w:rPr>
        <w:t>AM</w:t>
      </w:r>
      <w:r w:rsidR="00861268">
        <w:rPr>
          <w:rFonts w:ascii="Arial Black" w:hAnsi="Arial Black"/>
          <w:bCs/>
          <w:sz w:val="28"/>
          <w:szCs w:val="28"/>
        </w:rPr>
        <w:t>AGES</w:t>
      </w:r>
      <w:r>
        <w:rPr>
          <w:rFonts w:ascii="Arial Black" w:hAnsi="Arial Black"/>
          <w:sz w:val="28"/>
          <w:szCs w:val="28"/>
        </w:rPr>
        <w:t xml:space="preserve"> </w:t>
      </w:r>
    </w:p>
    <w:p w14:paraId="5AA304A9" w14:textId="77777777" w:rsidR="002100FE" w:rsidRDefault="002100FE" w:rsidP="002100FE">
      <w:pPr>
        <w:pStyle w:val="NoSpacing"/>
        <w:rPr>
          <w:bCs/>
        </w:rPr>
      </w:pPr>
    </w:p>
    <w:p w14:paraId="5D2946C7" w14:textId="77777777" w:rsidR="006D6BE3" w:rsidRPr="006D6BE3" w:rsidRDefault="006D6BE3" w:rsidP="006D6BE3">
      <w:pPr>
        <w:pStyle w:val="NoSpacing"/>
        <w:rPr>
          <w:rFonts w:ascii="Times New Roman" w:hAnsi="Times New Roman"/>
          <w:sz w:val="24"/>
          <w:szCs w:val="24"/>
        </w:rPr>
      </w:pPr>
      <w:r w:rsidRPr="006D6BE3">
        <w:rPr>
          <w:rFonts w:ascii="Times New Roman" w:hAnsi="Times New Roman"/>
          <w:sz w:val="24"/>
          <w:szCs w:val="24"/>
        </w:rPr>
        <w:t xml:space="preserve">On Dec. 17, 2024, in </w:t>
      </w:r>
      <w:r w:rsidRPr="006D6BE3">
        <w:rPr>
          <w:rFonts w:ascii="Times New Roman" w:hAnsi="Times New Roman"/>
          <w:sz w:val="24"/>
          <w:szCs w:val="24"/>
          <w:u w:val="single"/>
        </w:rPr>
        <w:t>Tobin Dolan, et al. v. FEMA</w:t>
      </w:r>
      <w:r w:rsidRPr="006D6BE3">
        <w:rPr>
          <w:rFonts w:ascii="Times New Roman" w:hAnsi="Times New Roman"/>
          <w:sz w:val="24"/>
          <w:szCs w:val="24"/>
        </w:rPr>
        <w:t xml:space="preserve">, United States District Court Judge James O. Browning, U.S. District Court for District of New Mexico, held that when Congress in 2022 passed the Hermit's Peak Fire Assistance Act, and directed FEMA to disburse $3.95 billion in compensation for property owners damaged by the Hermit’s Peak/Calf Canyon Fire, that compensation can include noneconomic damages, including damages for emotional distress.  </w:t>
      </w:r>
      <w:hyperlink r:id="rId2970" w:history="1">
        <w:r w:rsidRPr="006D6BE3">
          <w:rPr>
            <w:rStyle w:val="Hyperlink"/>
            <w:rFonts w:ascii="Times New Roman" w:hAnsi="Times New Roman"/>
            <w:sz w:val="24"/>
            <w:szCs w:val="24"/>
          </w:rPr>
          <w:t>https://casetext.com/case/dolan-v-fed-emergency-mgmt-agency</w:t>
        </w:r>
      </w:hyperlink>
      <w:r w:rsidRPr="006D6BE3">
        <w:rPr>
          <w:rFonts w:ascii="Times New Roman" w:hAnsi="Times New Roman"/>
          <w:sz w:val="24"/>
          <w:szCs w:val="24"/>
        </w:rPr>
        <w:t xml:space="preserve"> </w:t>
      </w:r>
    </w:p>
    <w:p w14:paraId="258AE72E" w14:textId="77777777" w:rsidR="006D6BE3" w:rsidRDefault="006D6BE3" w:rsidP="002100FE">
      <w:pPr>
        <w:pStyle w:val="NoSpacing"/>
        <w:rPr>
          <w:rFonts w:ascii="Times New Roman" w:hAnsi="Times New Roman"/>
          <w:sz w:val="24"/>
          <w:szCs w:val="24"/>
        </w:rPr>
      </w:pPr>
    </w:p>
    <w:p w14:paraId="3AF6AF9F" w14:textId="2BB3A342" w:rsidR="002100FE" w:rsidRPr="00B14B92" w:rsidRDefault="002100FE" w:rsidP="002100FE">
      <w:pPr>
        <w:pStyle w:val="NoSpacing"/>
        <w:rPr>
          <w:rFonts w:ascii="Times New Roman" w:hAnsi="Times New Roman"/>
          <w:bCs/>
          <w:sz w:val="24"/>
          <w:szCs w:val="24"/>
        </w:rPr>
      </w:pPr>
      <w:r w:rsidRPr="00B14B92">
        <w:rPr>
          <w:rFonts w:ascii="Times New Roman" w:hAnsi="Times New Roman"/>
          <w:sz w:val="24"/>
          <w:szCs w:val="24"/>
        </w:rPr>
        <w:t>The Court wrote:</w:t>
      </w:r>
    </w:p>
    <w:p w14:paraId="24BC33A4" w14:textId="77777777" w:rsidR="002100FE" w:rsidRPr="00B14B92" w:rsidRDefault="002100FE" w:rsidP="002100FE">
      <w:pPr>
        <w:pStyle w:val="NoSpacing"/>
        <w:rPr>
          <w:rFonts w:ascii="Times New Roman" w:hAnsi="Times New Roman"/>
          <w:bCs/>
          <w:sz w:val="24"/>
          <w:szCs w:val="24"/>
        </w:rPr>
      </w:pPr>
    </w:p>
    <w:p w14:paraId="145EA946" w14:textId="35E38C62" w:rsidR="002100FE" w:rsidRDefault="002100FE" w:rsidP="00077FB4">
      <w:pPr>
        <w:pStyle w:val="NoSpacing"/>
        <w:ind w:left="720"/>
        <w:rPr>
          <w:rFonts w:ascii="Times New Roman" w:hAnsi="Times New Roman"/>
          <w:sz w:val="24"/>
          <w:szCs w:val="24"/>
        </w:rPr>
      </w:pPr>
      <w:r w:rsidRPr="00B14B92">
        <w:rPr>
          <w:rFonts w:ascii="Times New Roman" w:hAnsi="Times New Roman"/>
          <w:sz w:val="24"/>
          <w:szCs w:val="24"/>
        </w:rPr>
        <w:t>“The Court held a hearing on October 15, 2024…. The primary issues are: (</w:t>
      </w:r>
      <w:proofErr w:type="spellStart"/>
      <w:r w:rsidRPr="00B14B92">
        <w:rPr>
          <w:rFonts w:ascii="Times New Roman" w:hAnsi="Times New Roman"/>
          <w:sz w:val="24"/>
          <w:szCs w:val="24"/>
        </w:rPr>
        <w:t>i</w:t>
      </w:r>
      <w:proofErr w:type="spellEnd"/>
      <w:r w:rsidRPr="00B14B92">
        <w:rPr>
          <w:rFonts w:ascii="Times New Roman" w:hAnsi="Times New Roman"/>
          <w:sz w:val="24"/>
          <w:szCs w:val="24"/>
        </w:rPr>
        <w:t xml:space="preserve">) whether the Hermit's Peak Fire Assistance Act, Pub. L. No. 117-180, § 104, 136 Stat. 2114, 2168 (2022)(‘Hermit's Peak Act’) allows victims of the Hermit's Peak/Calf Canyon Fire to recover noneconomic damages for discomfort, annoyance, inconvenience, and emotional distress under New Mexico State law; and (ii) whether the Defendant Federal Emergency Management Agency's (‘FEMA's’) refusal to compensate noneconomic damages under the Hermit's Peak Act is arbitrary or capricious in violation of the Administrative Procedure Act, </w:t>
      </w:r>
      <w:hyperlink r:id="rId2971" w:history="1">
        <w:r w:rsidRPr="00B14B92">
          <w:rPr>
            <w:rStyle w:val="Hyperlink"/>
            <w:rFonts w:ascii="Times New Roman" w:hAnsi="Times New Roman"/>
            <w:sz w:val="24"/>
            <w:szCs w:val="24"/>
          </w:rPr>
          <w:t>5 U.S.C. § 706(2)(A)</w:t>
        </w:r>
      </w:hyperlink>
      <w:r w:rsidRPr="00B14B92">
        <w:rPr>
          <w:rFonts w:ascii="Times New Roman" w:hAnsi="Times New Roman"/>
          <w:sz w:val="24"/>
          <w:szCs w:val="24"/>
        </w:rPr>
        <w:t>. The Court concludes that: (</w:t>
      </w:r>
      <w:proofErr w:type="spellStart"/>
      <w:r w:rsidRPr="00B14B92">
        <w:rPr>
          <w:rFonts w:ascii="Times New Roman" w:hAnsi="Times New Roman"/>
          <w:sz w:val="24"/>
          <w:szCs w:val="24"/>
        </w:rPr>
        <w:t>i</w:t>
      </w:r>
      <w:proofErr w:type="spellEnd"/>
      <w:r w:rsidRPr="00B14B92">
        <w:rPr>
          <w:rFonts w:ascii="Times New Roman" w:hAnsi="Times New Roman"/>
          <w:sz w:val="24"/>
          <w:szCs w:val="24"/>
        </w:rPr>
        <w:t xml:space="preserve">) the Hermit's Peak Act waives FEMA's sovereign immunity for claims pursuing damages resulting from the Hermit's Peak/Calf Canyon Fire that are available under New Mexico State law; (ii) New Mexico State law allows victims of the Hermit's Peak/Calf Canyon Fire to recover noneconomic damages for nuisance, trespass, and personal injury, such as damages for emotional distress, discomfort, annoyance, and inconvenience; (iii) the correct interpretation of the ‘actual compensatory damages’ recoverable in the Hermit's Peak Act's includes noneconomic damages; and (iv) FEMA's refusal to award noneconomic  c damages under the Hermit's Peak Act is arbitrary and capricious in violation of the APA; and (v) the Court compels FEMA to award noneconomic damages under the APA.” </w:t>
      </w:r>
    </w:p>
    <w:p w14:paraId="4C8C59EF" w14:textId="77777777" w:rsidR="00077FB4" w:rsidRDefault="00077FB4" w:rsidP="00077FB4">
      <w:pPr>
        <w:pStyle w:val="NoSpacing"/>
        <w:ind w:left="720"/>
        <w:rPr>
          <w:rFonts w:ascii="Times New Roman" w:hAnsi="Times New Roman"/>
          <w:sz w:val="24"/>
          <w:szCs w:val="24"/>
        </w:rPr>
      </w:pPr>
    </w:p>
    <w:p w14:paraId="3D543666" w14:textId="77777777" w:rsidR="000A72DE" w:rsidRPr="00FA140F" w:rsidRDefault="000A72DE" w:rsidP="000A72DE">
      <w:pPr>
        <w:pStyle w:val="NoSpacing"/>
        <w:rPr>
          <w:rFonts w:ascii="Times New Roman" w:hAnsi="Times New Roman"/>
          <w:bCs/>
          <w:sz w:val="24"/>
          <w:szCs w:val="24"/>
        </w:rPr>
      </w:pPr>
      <w:r w:rsidRPr="00FA140F">
        <w:rPr>
          <w:rFonts w:ascii="Times New Roman" w:hAnsi="Times New Roman"/>
          <w:sz w:val="24"/>
          <w:szCs w:val="24"/>
        </w:rPr>
        <w:t xml:space="preserve">HOLDING: </w:t>
      </w:r>
    </w:p>
    <w:p w14:paraId="62B7C78F" w14:textId="77777777" w:rsidR="000A72DE" w:rsidRPr="00FA140F" w:rsidRDefault="000A72DE" w:rsidP="000A72DE">
      <w:pPr>
        <w:pStyle w:val="NoSpacing"/>
        <w:ind w:left="720"/>
        <w:rPr>
          <w:rFonts w:ascii="Times New Roman" w:hAnsi="Times New Roman"/>
          <w:bCs/>
          <w:sz w:val="24"/>
          <w:szCs w:val="24"/>
        </w:rPr>
      </w:pPr>
    </w:p>
    <w:p w14:paraId="3F6FB75B" w14:textId="77777777" w:rsidR="000A72DE" w:rsidRPr="00FA140F" w:rsidRDefault="000A72DE" w:rsidP="000A72DE">
      <w:pPr>
        <w:pStyle w:val="NoSpacing"/>
        <w:ind w:left="720"/>
        <w:rPr>
          <w:rFonts w:ascii="Times New Roman" w:hAnsi="Times New Roman"/>
          <w:sz w:val="24"/>
          <w:szCs w:val="24"/>
        </w:rPr>
      </w:pPr>
      <w:r w:rsidRPr="00FA140F">
        <w:rPr>
          <w:rFonts w:ascii="Times New Roman" w:hAnsi="Times New Roman"/>
          <w:sz w:val="24"/>
          <w:szCs w:val="24"/>
        </w:rPr>
        <w:t xml:space="preserve">“In </w:t>
      </w:r>
      <w:r w:rsidRPr="00FA140F">
        <w:rPr>
          <w:rFonts w:ascii="Times New Roman" w:hAnsi="Times New Roman"/>
          <w:i/>
          <w:iCs/>
          <w:sz w:val="24"/>
          <w:szCs w:val="24"/>
        </w:rPr>
        <w:t>Loper Bright</w:t>
      </w:r>
      <w:r w:rsidRPr="00FA140F">
        <w:rPr>
          <w:rFonts w:ascii="Times New Roman" w:hAnsi="Times New Roman"/>
          <w:sz w:val="24"/>
          <w:szCs w:val="24"/>
        </w:rPr>
        <w:t xml:space="preserve">, [June 28, 2024; </w:t>
      </w:r>
      <w:hyperlink r:id="rId2972" w:history="1">
        <w:r w:rsidRPr="00FA140F">
          <w:rPr>
            <w:rStyle w:val="Hyperlink"/>
            <w:rFonts w:ascii="Times New Roman" w:hAnsi="Times New Roman"/>
            <w:sz w:val="24"/>
            <w:szCs w:val="24"/>
          </w:rPr>
          <w:t>https://www.supremecourt.gov/opinions/23pdf/22-451_7m58.pdf</w:t>
        </w:r>
      </w:hyperlink>
      <w:r w:rsidRPr="00FA140F">
        <w:rPr>
          <w:rFonts w:ascii="Times New Roman" w:hAnsi="Times New Roman"/>
          <w:sz w:val="24"/>
          <w:szCs w:val="24"/>
        </w:rPr>
        <w:t xml:space="preserve"> ]  in an opinion that the Honorable John Roberts, Chief Justice of the United States Supreme Court, authors, the Supreme Court reviews the traditional understandings of the judicial function, quoting Alexander Hamilton for the proposition that ‘[t]he Framers . . . envisioned that the final ‘interpretation of the laws' would be ‘the proper and peculiar province of the courts,’ </w:t>
      </w:r>
      <w:r w:rsidRPr="00FA140F">
        <w:rPr>
          <w:rFonts w:ascii="Times New Roman" w:hAnsi="Times New Roman"/>
          <w:i/>
          <w:iCs/>
          <w:sz w:val="24"/>
          <w:szCs w:val="24"/>
        </w:rPr>
        <w:t>Loper Bright</w:t>
      </w:r>
      <w:r w:rsidRPr="00FA140F">
        <w:rPr>
          <w:rFonts w:ascii="Times New Roman" w:hAnsi="Times New Roman"/>
          <w:sz w:val="24"/>
          <w:szCs w:val="24"/>
        </w:rPr>
        <w:t xml:space="preserve">, 144 </w:t>
      </w:r>
      <w:proofErr w:type="spellStart"/>
      <w:r w:rsidRPr="00FA140F">
        <w:rPr>
          <w:rFonts w:ascii="Times New Roman" w:hAnsi="Times New Roman"/>
          <w:sz w:val="24"/>
          <w:szCs w:val="24"/>
        </w:rPr>
        <w:t>S.Ct</w:t>
      </w:r>
      <w:proofErr w:type="spellEnd"/>
      <w:r w:rsidRPr="00FA140F">
        <w:rPr>
          <w:rFonts w:ascii="Times New Roman" w:hAnsi="Times New Roman"/>
          <w:sz w:val="24"/>
          <w:szCs w:val="24"/>
        </w:rPr>
        <w:t xml:space="preserve">. at 2257 (quoting </w:t>
      </w:r>
      <w:r w:rsidRPr="00FA140F">
        <w:rPr>
          <w:rFonts w:ascii="Times New Roman" w:hAnsi="Times New Roman"/>
          <w:i/>
          <w:iCs/>
          <w:sz w:val="24"/>
          <w:szCs w:val="24"/>
        </w:rPr>
        <w:t>The Federalist no. 78</w:t>
      </w:r>
      <w:r w:rsidRPr="00FA140F">
        <w:rPr>
          <w:rFonts w:ascii="Times New Roman" w:hAnsi="Times New Roman"/>
          <w:sz w:val="24"/>
          <w:szCs w:val="24"/>
        </w:rPr>
        <w:t xml:space="preserve"> (Hamilton)), and the Honorable John Marshall, former Chief Justice of the United States, for the oft-cited principle that ‘[</w:t>
      </w:r>
      <w:proofErr w:type="spellStart"/>
      <w:r w:rsidRPr="00FA140F">
        <w:rPr>
          <w:rFonts w:ascii="Times New Roman" w:hAnsi="Times New Roman"/>
          <w:sz w:val="24"/>
          <w:szCs w:val="24"/>
        </w:rPr>
        <w:t>i</w:t>
      </w:r>
      <w:proofErr w:type="spellEnd"/>
      <w:r w:rsidRPr="00FA140F">
        <w:rPr>
          <w:rFonts w:ascii="Times New Roman" w:hAnsi="Times New Roman"/>
          <w:sz w:val="24"/>
          <w:szCs w:val="24"/>
        </w:rPr>
        <w:t xml:space="preserve">]t is emphatically the province and duty of the judicial department to say what the law is,'’ </w:t>
      </w:r>
      <w:r w:rsidRPr="00FA140F">
        <w:rPr>
          <w:rFonts w:ascii="Times New Roman" w:hAnsi="Times New Roman"/>
          <w:i/>
          <w:iCs/>
          <w:sz w:val="24"/>
          <w:szCs w:val="24"/>
        </w:rPr>
        <w:t>Loper Bright</w:t>
      </w:r>
      <w:r w:rsidRPr="00FA140F">
        <w:rPr>
          <w:rFonts w:ascii="Times New Roman" w:hAnsi="Times New Roman"/>
          <w:sz w:val="24"/>
          <w:szCs w:val="24"/>
        </w:rPr>
        <w:t xml:space="preserve">, 144 </w:t>
      </w:r>
      <w:proofErr w:type="spellStart"/>
      <w:r w:rsidRPr="00FA140F">
        <w:rPr>
          <w:rFonts w:ascii="Times New Roman" w:hAnsi="Times New Roman"/>
          <w:sz w:val="24"/>
          <w:szCs w:val="24"/>
        </w:rPr>
        <w:t>S.Ct</w:t>
      </w:r>
      <w:proofErr w:type="spellEnd"/>
      <w:r w:rsidRPr="00FA140F">
        <w:rPr>
          <w:rFonts w:ascii="Times New Roman" w:hAnsi="Times New Roman"/>
          <w:sz w:val="24"/>
          <w:szCs w:val="24"/>
        </w:rPr>
        <w:t xml:space="preserve">. at 2257 (quoting </w:t>
      </w:r>
      <w:r w:rsidRPr="00FA140F">
        <w:rPr>
          <w:rFonts w:ascii="Times New Roman" w:hAnsi="Times New Roman"/>
          <w:i/>
          <w:iCs/>
          <w:sz w:val="24"/>
          <w:szCs w:val="24"/>
        </w:rPr>
        <w:t>Marbury v. Madison</w:t>
      </w:r>
      <w:r w:rsidRPr="00FA140F">
        <w:rPr>
          <w:rFonts w:ascii="Times New Roman" w:hAnsi="Times New Roman"/>
          <w:sz w:val="24"/>
          <w:szCs w:val="24"/>
        </w:rPr>
        <w:t xml:space="preserve">, 1 </w:t>
      </w:r>
      <w:proofErr w:type="spellStart"/>
      <w:r w:rsidRPr="00FA140F">
        <w:rPr>
          <w:rFonts w:ascii="Times New Roman" w:hAnsi="Times New Roman"/>
          <w:sz w:val="24"/>
          <w:szCs w:val="24"/>
        </w:rPr>
        <w:t>Cranch</w:t>
      </w:r>
      <w:proofErr w:type="spellEnd"/>
      <w:r w:rsidRPr="00FA140F">
        <w:rPr>
          <w:rFonts w:ascii="Times New Roman" w:hAnsi="Times New Roman"/>
          <w:sz w:val="24"/>
          <w:szCs w:val="24"/>
        </w:rPr>
        <w:t xml:space="preserve"> 137, 177 (1803)). </w:t>
      </w:r>
    </w:p>
    <w:p w14:paraId="3BD9E1F2" w14:textId="77777777" w:rsidR="000A72DE" w:rsidRPr="00FA140F" w:rsidRDefault="000A72DE" w:rsidP="000A72DE">
      <w:pPr>
        <w:pStyle w:val="NoSpacing"/>
        <w:ind w:left="720"/>
        <w:rPr>
          <w:rFonts w:ascii="Times New Roman" w:hAnsi="Times New Roman"/>
          <w:sz w:val="24"/>
          <w:szCs w:val="24"/>
        </w:rPr>
      </w:pPr>
    </w:p>
    <w:p w14:paraId="30BDCA1F" w14:textId="77777777" w:rsidR="000A72DE" w:rsidRPr="00FA140F" w:rsidRDefault="000A72DE" w:rsidP="000A72DE">
      <w:pPr>
        <w:pStyle w:val="NoSpacing"/>
        <w:ind w:left="720"/>
        <w:rPr>
          <w:rFonts w:ascii="Times New Roman" w:hAnsi="Times New Roman"/>
          <w:sz w:val="24"/>
          <w:szCs w:val="24"/>
        </w:rPr>
      </w:pPr>
      <w:r w:rsidRPr="00FA140F">
        <w:rPr>
          <w:rFonts w:ascii="Times New Roman" w:hAnsi="Times New Roman"/>
          <w:sz w:val="24"/>
          <w:szCs w:val="24"/>
        </w:rPr>
        <w:t>***</w:t>
      </w:r>
    </w:p>
    <w:p w14:paraId="7BFFCC7E" w14:textId="77777777" w:rsidR="000A72DE" w:rsidRPr="00FA140F" w:rsidRDefault="000A72DE" w:rsidP="000A72DE">
      <w:pPr>
        <w:pStyle w:val="NoSpacing"/>
        <w:ind w:left="720"/>
        <w:rPr>
          <w:rFonts w:ascii="Times New Roman" w:hAnsi="Times New Roman"/>
          <w:sz w:val="24"/>
          <w:szCs w:val="24"/>
        </w:rPr>
      </w:pPr>
      <w:r w:rsidRPr="00FA140F">
        <w:rPr>
          <w:rFonts w:ascii="Times New Roman" w:hAnsi="Times New Roman"/>
          <w:sz w:val="24"/>
          <w:szCs w:val="24"/>
        </w:rPr>
        <w:t xml:space="preserve">The Supreme Court then explains that ‘[t]he deference that </w:t>
      </w:r>
      <w:r w:rsidRPr="00FA140F">
        <w:rPr>
          <w:rFonts w:ascii="Times New Roman" w:hAnsi="Times New Roman"/>
          <w:i/>
          <w:iCs/>
          <w:sz w:val="24"/>
          <w:szCs w:val="24"/>
        </w:rPr>
        <w:t>Chevron</w:t>
      </w:r>
      <w:r w:rsidRPr="00FA140F">
        <w:rPr>
          <w:rFonts w:ascii="Times New Roman" w:hAnsi="Times New Roman"/>
          <w:sz w:val="24"/>
          <w:szCs w:val="24"/>
        </w:rPr>
        <w:t xml:space="preserve"> requires of courts reviewing agency action cannot be squared with the APA,’ </w:t>
      </w:r>
      <w:r w:rsidRPr="00FA140F">
        <w:rPr>
          <w:rFonts w:ascii="Times New Roman" w:hAnsi="Times New Roman"/>
          <w:i/>
          <w:iCs/>
          <w:sz w:val="24"/>
          <w:szCs w:val="24"/>
        </w:rPr>
        <w:t>Loper Bright</w:t>
      </w:r>
      <w:r w:rsidRPr="00FA140F">
        <w:rPr>
          <w:rFonts w:ascii="Times New Roman" w:hAnsi="Times New Roman"/>
          <w:sz w:val="24"/>
          <w:szCs w:val="24"/>
        </w:rPr>
        <w:t xml:space="preserve">, 144 </w:t>
      </w:r>
      <w:proofErr w:type="spellStart"/>
      <w:r w:rsidRPr="00FA140F">
        <w:rPr>
          <w:rFonts w:ascii="Times New Roman" w:hAnsi="Times New Roman"/>
          <w:sz w:val="24"/>
          <w:szCs w:val="24"/>
        </w:rPr>
        <w:t>S.Ct</w:t>
      </w:r>
      <w:proofErr w:type="spellEnd"/>
      <w:r w:rsidRPr="00FA140F">
        <w:rPr>
          <w:rFonts w:ascii="Times New Roman" w:hAnsi="Times New Roman"/>
          <w:sz w:val="24"/>
          <w:szCs w:val="24"/>
        </w:rPr>
        <w:t xml:space="preserve">. at 2263, largely because ‘[t]he ‘law of deference' . . . built on the foundation laid in </w:t>
      </w:r>
      <w:r w:rsidRPr="00FA140F">
        <w:rPr>
          <w:rFonts w:ascii="Times New Roman" w:hAnsi="Times New Roman"/>
          <w:i/>
          <w:iCs/>
          <w:sz w:val="24"/>
          <w:szCs w:val="24"/>
        </w:rPr>
        <w:t>Chevron</w:t>
      </w:r>
      <w:r w:rsidRPr="00FA140F">
        <w:rPr>
          <w:rFonts w:ascii="Times New Roman" w:hAnsi="Times New Roman"/>
          <w:sz w:val="24"/>
          <w:szCs w:val="24"/>
        </w:rPr>
        <w:t xml:space="preserve"> [is] ‘[h]</w:t>
      </w:r>
      <w:proofErr w:type="spellStart"/>
      <w:r w:rsidRPr="00FA140F">
        <w:rPr>
          <w:rFonts w:ascii="Times New Roman" w:hAnsi="Times New Roman"/>
          <w:sz w:val="24"/>
          <w:szCs w:val="24"/>
        </w:rPr>
        <w:t>eedless</w:t>
      </w:r>
      <w:proofErr w:type="spellEnd"/>
      <w:r w:rsidRPr="00FA140F">
        <w:rPr>
          <w:rFonts w:ascii="Times New Roman" w:hAnsi="Times New Roman"/>
          <w:sz w:val="24"/>
          <w:szCs w:val="24"/>
        </w:rPr>
        <w:t xml:space="preserve"> of the original design' of the APA,’ </w:t>
      </w:r>
      <w:r w:rsidRPr="00FA140F">
        <w:rPr>
          <w:rFonts w:ascii="Times New Roman" w:hAnsi="Times New Roman"/>
          <w:i/>
          <w:iCs/>
          <w:sz w:val="24"/>
          <w:szCs w:val="24"/>
        </w:rPr>
        <w:lastRenderedPageBreak/>
        <w:t>Loper Bright</w:t>
      </w:r>
      <w:r w:rsidRPr="00FA140F">
        <w:rPr>
          <w:rFonts w:ascii="Times New Roman" w:hAnsi="Times New Roman"/>
          <w:sz w:val="24"/>
          <w:szCs w:val="24"/>
        </w:rPr>
        <w:t xml:space="preserve">, 144 </w:t>
      </w:r>
      <w:proofErr w:type="spellStart"/>
      <w:r w:rsidRPr="00FA140F">
        <w:rPr>
          <w:rFonts w:ascii="Times New Roman" w:hAnsi="Times New Roman"/>
          <w:sz w:val="24"/>
          <w:szCs w:val="24"/>
        </w:rPr>
        <w:t>S.Ct</w:t>
      </w:r>
      <w:proofErr w:type="spellEnd"/>
      <w:r w:rsidRPr="00FA140F">
        <w:rPr>
          <w:rFonts w:ascii="Times New Roman" w:hAnsi="Times New Roman"/>
          <w:sz w:val="24"/>
          <w:szCs w:val="24"/>
        </w:rPr>
        <w:t xml:space="preserve">. at 2265 (quoting </w:t>
      </w:r>
      <w:r w:rsidRPr="00FA140F">
        <w:rPr>
          <w:rFonts w:ascii="Times New Roman" w:hAnsi="Times New Roman"/>
          <w:i/>
          <w:iCs/>
          <w:sz w:val="24"/>
          <w:szCs w:val="24"/>
        </w:rPr>
        <w:t xml:space="preserve">Perez v. Mortg. Bankers </w:t>
      </w:r>
      <w:proofErr w:type="spellStart"/>
      <w:r w:rsidRPr="00FA140F">
        <w:rPr>
          <w:rFonts w:ascii="Times New Roman" w:hAnsi="Times New Roman"/>
          <w:i/>
          <w:iCs/>
          <w:sz w:val="24"/>
          <w:szCs w:val="24"/>
        </w:rPr>
        <w:t>Ass'n</w:t>
      </w:r>
      <w:proofErr w:type="spellEnd"/>
      <w:r w:rsidRPr="00FA140F">
        <w:rPr>
          <w:rFonts w:ascii="Times New Roman" w:hAnsi="Times New Roman"/>
          <w:sz w:val="24"/>
          <w:szCs w:val="24"/>
        </w:rPr>
        <w:t xml:space="preserve">, </w:t>
      </w:r>
      <w:hyperlink r:id="rId2973" w:anchor="p109" w:history="1">
        <w:r w:rsidRPr="00FA140F">
          <w:rPr>
            <w:rStyle w:val="Hyperlink"/>
            <w:rFonts w:ascii="Times New Roman" w:hAnsi="Times New Roman"/>
            <w:sz w:val="24"/>
            <w:szCs w:val="24"/>
          </w:rPr>
          <w:t>575 U.S. 92, 109</w:t>
        </w:r>
      </w:hyperlink>
      <w:r w:rsidRPr="00FA140F">
        <w:rPr>
          <w:rFonts w:ascii="Times New Roman" w:hAnsi="Times New Roman"/>
          <w:sz w:val="24"/>
          <w:szCs w:val="24"/>
        </w:rPr>
        <w:t xml:space="preserve"> (2015)(Scalia, J., concurring in the judgment)).</w:t>
      </w:r>
    </w:p>
    <w:p w14:paraId="1F54F7AF" w14:textId="77777777" w:rsidR="000A72DE" w:rsidRPr="00FA140F" w:rsidRDefault="000A72DE" w:rsidP="000A72DE">
      <w:pPr>
        <w:pStyle w:val="NoSpacing"/>
        <w:ind w:left="720"/>
        <w:rPr>
          <w:rFonts w:ascii="Times New Roman" w:hAnsi="Times New Roman"/>
          <w:sz w:val="24"/>
          <w:szCs w:val="24"/>
        </w:rPr>
      </w:pPr>
    </w:p>
    <w:p w14:paraId="19AEBC6F" w14:textId="77777777" w:rsidR="000A72DE" w:rsidRPr="00FA140F" w:rsidRDefault="000A72DE" w:rsidP="000A72DE">
      <w:pPr>
        <w:pStyle w:val="NoSpacing"/>
        <w:ind w:left="720"/>
        <w:rPr>
          <w:rFonts w:ascii="Times New Roman" w:hAnsi="Times New Roman"/>
          <w:sz w:val="24"/>
          <w:szCs w:val="24"/>
        </w:rPr>
      </w:pPr>
      <w:r w:rsidRPr="00FA140F">
        <w:rPr>
          <w:rFonts w:ascii="Times New Roman" w:hAnsi="Times New Roman"/>
          <w:sz w:val="24"/>
          <w:szCs w:val="24"/>
        </w:rPr>
        <w:t>***</w:t>
      </w:r>
    </w:p>
    <w:p w14:paraId="5F7FA937" w14:textId="77777777" w:rsidR="000A72DE" w:rsidRPr="00FA140F" w:rsidRDefault="000A72DE" w:rsidP="000A72DE">
      <w:pPr>
        <w:pStyle w:val="NoSpacing"/>
        <w:ind w:left="720"/>
        <w:rPr>
          <w:rFonts w:ascii="Times New Roman" w:hAnsi="Times New Roman"/>
          <w:sz w:val="24"/>
          <w:szCs w:val="24"/>
        </w:rPr>
      </w:pPr>
      <w:r w:rsidRPr="00FA140F">
        <w:rPr>
          <w:rFonts w:ascii="Times New Roman" w:hAnsi="Times New Roman"/>
          <w:sz w:val="24"/>
          <w:szCs w:val="24"/>
        </w:rPr>
        <w:t xml:space="preserve">The Court concludes that the Hermit's Peak Act waives FEMA's sovereign immunity for the Plaintiffs' claims seeking noneconomic damages in three ways. First, the NM State law provision § 104(c)(2), allows the Plaintiffs to recover damages that are available under New Mexico State law, which includes noneconomic damages for nuisance, and which the Court predicts also includes noneconomic damages for trespass. Second, the Extent of Damages provision § 104(c)(3)'s use of ‘actual compensatory damages’ includes noneconomic damages, because the only explicit exclusions are punitive damages and pre-judgment interest. Third, the Allowable Damages provision § 104(d)(4)'s list of property, business, and financial loss is not exhaustive of the types of allowable damages; these categories, therefore, are recoverable in addition to ‘actual compensatory damages’ such as noneconomic damages. The Court concludes, therefore, that FEMA's Hermit's Peak Regulation that precludes recovery of noneconomic damages is arbitrary and capricious in violation of the APA, 5. U.S.C. </w:t>
      </w:r>
      <w:hyperlink r:id="rId2974" w:history="1">
        <w:r w:rsidRPr="00FA140F">
          <w:rPr>
            <w:rStyle w:val="Hyperlink"/>
            <w:rFonts w:ascii="Times New Roman" w:hAnsi="Times New Roman"/>
            <w:sz w:val="24"/>
            <w:szCs w:val="24"/>
          </w:rPr>
          <w:t>§ 706(2)(A)</w:t>
        </w:r>
      </w:hyperlink>
      <w:r w:rsidRPr="00FA140F">
        <w:rPr>
          <w:rFonts w:ascii="Times New Roman" w:hAnsi="Times New Roman"/>
          <w:sz w:val="24"/>
          <w:szCs w:val="24"/>
        </w:rPr>
        <w:t xml:space="preserve">, and compels FEMA to award noneconomic damages under the Hermit's Peak Act under the APA, 5. U.S.C. </w:t>
      </w:r>
      <w:hyperlink r:id="rId2975" w:history="1">
        <w:r w:rsidRPr="00FA140F">
          <w:rPr>
            <w:rStyle w:val="Hyperlink"/>
            <w:rFonts w:ascii="Times New Roman" w:hAnsi="Times New Roman"/>
            <w:sz w:val="24"/>
            <w:szCs w:val="24"/>
          </w:rPr>
          <w:t>§ 706(1)</w:t>
        </w:r>
      </w:hyperlink>
      <w:r w:rsidRPr="00FA140F">
        <w:rPr>
          <w:rFonts w:ascii="Times New Roman" w:hAnsi="Times New Roman"/>
          <w:sz w:val="24"/>
          <w:szCs w:val="24"/>
        </w:rPr>
        <w:t>.”</w:t>
      </w:r>
    </w:p>
    <w:p w14:paraId="3F8B9A57" w14:textId="77777777" w:rsidR="000A72DE" w:rsidRPr="00FA140F" w:rsidRDefault="000A72DE" w:rsidP="000A72DE">
      <w:pPr>
        <w:pStyle w:val="NoSpacing"/>
        <w:ind w:left="720"/>
        <w:rPr>
          <w:rFonts w:ascii="Times New Roman" w:hAnsi="Times New Roman"/>
          <w:sz w:val="24"/>
          <w:szCs w:val="24"/>
        </w:rPr>
      </w:pPr>
    </w:p>
    <w:p w14:paraId="69ACE301" w14:textId="77777777" w:rsidR="000A72DE" w:rsidRPr="00FA140F" w:rsidRDefault="000A72DE" w:rsidP="000A72DE">
      <w:pPr>
        <w:pStyle w:val="NoSpacing"/>
        <w:rPr>
          <w:rFonts w:ascii="Times New Roman" w:hAnsi="Times New Roman"/>
          <w:b/>
          <w:bCs/>
          <w:sz w:val="24"/>
          <w:szCs w:val="24"/>
        </w:rPr>
      </w:pPr>
      <w:r w:rsidRPr="00FA140F">
        <w:rPr>
          <w:rFonts w:ascii="Times New Roman" w:hAnsi="Times New Roman"/>
          <w:b/>
          <w:sz w:val="24"/>
          <w:szCs w:val="24"/>
        </w:rPr>
        <w:t xml:space="preserve">Legal Lesson Learned:  Another example where courts, per U.S. Supreme Court’s June 28, </w:t>
      </w:r>
      <w:proofErr w:type="gramStart"/>
      <w:r w:rsidRPr="00FA140F">
        <w:rPr>
          <w:rFonts w:ascii="Times New Roman" w:hAnsi="Times New Roman"/>
          <w:b/>
          <w:sz w:val="24"/>
          <w:szCs w:val="24"/>
        </w:rPr>
        <w:t>2024</w:t>
      </w:r>
      <w:proofErr w:type="gramEnd"/>
      <w:r w:rsidRPr="00FA140F">
        <w:rPr>
          <w:rFonts w:ascii="Times New Roman" w:hAnsi="Times New Roman"/>
          <w:b/>
          <w:sz w:val="24"/>
          <w:szCs w:val="24"/>
        </w:rPr>
        <w:t xml:space="preserve"> decision in </w:t>
      </w:r>
      <w:r w:rsidRPr="00FA140F">
        <w:rPr>
          <w:rFonts w:ascii="Times New Roman" w:hAnsi="Times New Roman"/>
          <w:b/>
          <w:i/>
          <w:iCs/>
          <w:sz w:val="24"/>
          <w:szCs w:val="24"/>
        </w:rPr>
        <w:t>Loper Bright</w:t>
      </w:r>
      <w:r w:rsidRPr="00FA140F">
        <w:rPr>
          <w:rFonts w:ascii="Times New Roman" w:hAnsi="Times New Roman"/>
          <w:b/>
          <w:sz w:val="24"/>
          <w:szCs w:val="24"/>
        </w:rPr>
        <w:t xml:space="preserve">, are no longer routinely following federal regulations under the  former “Chevron doctrine.” </w:t>
      </w:r>
    </w:p>
    <w:p w14:paraId="288D90AE" w14:textId="77777777" w:rsidR="000A72DE" w:rsidRPr="00FA140F" w:rsidRDefault="000A72DE" w:rsidP="000A72DE">
      <w:pPr>
        <w:pStyle w:val="NoSpacing"/>
        <w:ind w:left="720"/>
        <w:rPr>
          <w:rFonts w:ascii="Times New Roman" w:hAnsi="Times New Roman"/>
          <w:sz w:val="24"/>
          <w:szCs w:val="24"/>
        </w:rPr>
      </w:pPr>
    </w:p>
    <w:p w14:paraId="59F42B97" w14:textId="77777777" w:rsidR="000A72DE" w:rsidRPr="00FA140F" w:rsidRDefault="000A72DE" w:rsidP="000A72DE">
      <w:pPr>
        <w:pStyle w:val="NoSpacing"/>
        <w:ind w:left="720"/>
        <w:rPr>
          <w:rFonts w:ascii="Times New Roman" w:hAnsi="Times New Roman"/>
          <w:bCs/>
          <w:sz w:val="24"/>
          <w:szCs w:val="24"/>
        </w:rPr>
      </w:pPr>
      <w:r w:rsidRPr="00FA140F">
        <w:rPr>
          <w:rFonts w:ascii="Times New Roman" w:hAnsi="Times New Roman"/>
          <w:sz w:val="24"/>
          <w:szCs w:val="24"/>
        </w:rPr>
        <w:t xml:space="preserve">Note: If Congress had not enacted this statute, the property owners could not sue the Forest Service for “discretionary” decisions under the Federal Tort Claims Act.  See, for example, </w:t>
      </w:r>
      <w:r w:rsidRPr="00FA140F">
        <w:rPr>
          <w:rFonts w:ascii="Times New Roman" w:hAnsi="Times New Roman"/>
          <w:i/>
          <w:iCs/>
          <w:sz w:val="24"/>
          <w:szCs w:val="24"/>
        </w:rPr>
        <w:t>Freres Timber, Inc. v. The United States</w:t>
      </w:r>
      <w:r w:rsidRPr="00FA140F">
        <w:rPr>
          <w:rFonts w:ascii="Times New Roman" w:hAnsi="Times New Roman"/>
          <w:sz w:val="24"/>
          <w:szCs w:val="24"/>
        </w:rPr>
        <w:t xml:space="preserve">, </w:t>
      </w:r>
      <w:r w:rsidRPr="00FA140F">
        <w:rPr>
          <w:rFonts w:ascii="Times New Roman" w:hAnsi="Times New Roman"/>
          <w:bCs/>
          <w:sz w:val="24"/>
          <w:szCs w:val="24"/>
        </w:rPr>
        <w:t xml:space="preserve">Oregon; </w:t>
      </w:r>
      <w:r w:rsidRPr="00FA140F">
        <w:rPr>
          <w:rFonts w:ascii="Times New Roman" w:hAnsi="Times New Roman"/>
          <w:sz w:val="24"/>
          <w:szCs w:val="24"/>
        </w:rPr>
        <w:t>Dec. 6, 2024</w:t>
      </w:r>
      <w:r w:rsidRPr="00FA140F">
        <w:rPr>
          <w:rFonts w:ascii="Times New Roman" w:hAnsi="Times New Roman"/>
          <w:bCs/>
          <w:sz w:val="24"/>
          <w:szCs w:val="24"/>
        </w:rPr>
        <w:t>.</w:t>
      </w:r>
      <w:r w:rsidRPr="00FA140F">
        <w:rPr>
          <w:rFonts w:ascii="Times New Roman" w:hAnsi="Times New Roman"/>
          <w:sz w:val="24"/>
          <w:szCs w:val="24"/>
        </w:rPr>
        <w:t xml:space="preserve"> “Plaintiffs Freres Timber and Freres Lumber, sister lumber companies, filed this action against the United States Forest Service, seeking over $30 million in damages under the Federal Tort Claims Act (‘FTCA’) for lumber and profits lost in the Beachie Creek fire. *** Because the challenged decisions [by Incident Commanders] fall within the discretionary function exception, this Court lacks jurisdiction, and Plaintiffs' FTCA claims must be dismissed.” </w:t>
      </w:r>
      <w:hyperlink r:id="rId2976" w:history="1">
        <w:r w:rsidRPr="00FA140F">
          <w:rPr>
            <w:rStyle w:val="Hyperlink"/>
            <w:rFonts w:ascii="Times New Roman" w:hAnsi="Times New Roman"/>
            <w:sz w:val="24"/>
            <w:szCs w:val="24"/>
          </w:rPr>
          <w:t>https://casetext.com/case/freres-timber-inc-v-the-united-states</w:t>
        </w:r>
      </w:hyperlink>
      <w:r w:rsidRPr="00FA140F">
        <w:rPr>
          <w:rFonts w:ascii="Times New Roman" w:hAnsi="Times New Roman"/>
          <w:sz w:val="24"/>
          <w:szCs w:val="24"/>
        </w:rPr>
        <w:t xml:space="preserve"> </w:t>
      </w:r>
    </w:p>
    <w:p w14:paraId="07392B88" w14:textId="77777777" w:rsidR="000A72DE" w:rsidRPr="00FA140F" w:rsidRDefault="000A72DE" w:rsidP="000A72DE">
      <w:pPr>
        <w:pStyle w:val="NoSpacing"/>
        <w:rPr>
          <w:rFonts w:ascii="Times New Roman" w:hAnsi="Times New Roman"/>
          <w:b/>
          <w:sz w:val="24"/>
          <w:szCs w:val="24"/>
        </w:rPr>
      </w:pPr>
    </w:p>
    <w:p w14:paraId="525260B1" w14:textId="77777777" w:rsidR="000A72DE" w:rsidRPr="00FA140F" w:rsidRDefault="000A72DE" w:rsidP="000C4DF5">
      <w:pPr>
        <w:pStyle w:val="NoSpacing"/>
        <w:rPr>
          <w:rFonts w:ascii="Times New Roman" w:hAnsi="Times New Roman"/>
          <w:sz w:val="24"/>
          <w:szCs w:val="24"/>
        </w:rPr>
      </w:pPr>
    </w:p>
    <w:p w14:paraId="091CAEDA" w14:textId="77777777" w:rsidR="002100FE" w:rsidRDefault="002100FE" w:rsidP="000C4DF5">
      <w:pPr>
        <w:pStyle w:val="NoSpacing"/>
        <w:rPr>
          <w:rFonts w:ascii="Arial Black" w:hAnsi="Arial Black"/>
          <w:sz w:val="24"/>
          <w:szCs w:val="24"/>
        </w:rPr>
      </w:pPr>
    </w:p>
    <w:p w14:paraId="5DE66CC4" w14:textId="77777777" w:rsidR="002100FE" w:rsidRDefault="002100FE" w:rsidP="000C4DF5">
      <w:pPr>
        <w:pStyle w:val="NoSpacing"/>
        <w:rPr>
          <w:rFonts w:ascii="Arial Black" w:hAnsi="Arial Black"/>
          <w:sz w:val="24"/>
          <w:szCs w:val="24"/>
        </w:rPr>
      </w:pPr>
    </w:p>
    <w:p w14:paraId="0F7A7C46" w14:textId="2C6C9D97" w:rsidR="00B15008" w:rsidRDefault="001B23B7" w:rsidP="000C4DF5">
      <w:pPr>
        <w:pStyle w:val="NoSpacing"/>
        <w:rPr>
          <w:rFonts w:ascii="Arial Black" w:hAnsi="Arial Black"/>
          <w:sz w:val="24"/>
          <w:szCs w:val="24"/>
        </w:rPr>
      </w:pPr>
      <w:r>
        <w:rPr>
          <w:rFonts w:ascii="Arial Black" w:hAnsi="Arial Black"/>
          <w:sz w:val="24"/>
          <w:szCs w:val="24"/>
        </w:rPr>
        <w:t>18-26</w:t>
      </w:r>
    </w:p>
    <w:p w14:paraId="6AC7EFF6" w14:textId="77777777" w:rsidR="008575D7" w:rsidRDefault="008575D7" w:rsidP="000C4DF5">
      <w:pPr>
        <w:pStyle w:val="NoSpacing"/>
        <w:rPr>
          <w:rFonts w:ascii="Arial Black" w:hAnsi="Arial Black"/>
          <w:sz w:val="24"/>
          <w:szCs w:val="24"/>
        </w:rPr>
      </w:pPr>
    </w:p>
    <w:p w14:paraId="7A1FC21F" w14:textId="77777777" w:rsidR="008575D7" w:rsidRPr="00DC665F" w:rsidRDefault="008575D7" w:rsidP="008575D7">
      <w:pPr>
        <w:rPr>
          <w:rFonts w:ascii="Arial Black" w:hAnsi="Arial Black"/>
          <w:b/>
          <w:bCs/>
          <w:sz w:val="28"/>
        </w:rPr>
      </w:pPr>
      <w:r>
        <w:rPr>
          <w:rFonts w:ascii="Arial Black" w:hAnsi="Arial Black"/>
          <w:b/>
          <w:bCs/>
          <w:sz w:val="28"/>
        </w:rPr>
        <w:t xml:space="preserve">MI: FIREWORKS – CITY CAN’T REQ. SAFETY FLYERS - MI SUP. CT. CHIEF JUSTICE / STATE LAW SHOULD REQUIRE </w:t>
      </w:r>
    </w:p>
    <w:p w14:paraId="2F67181F" w14:textId="77777777" w:rsidR="008575D7" w:rsidRPr="0019067C" w:rsidRDefault="008575D7" w:rsidP="008575D7">
      <w:pPr>
        <w:pStyle w:val="NoSpacing"/>
        <w:rPr>
          <w:rFonts w:ascii="Times New Roman" w:hAnsi="Times New Roman"/>
          <w:sz w:val="24"/>
          <w:szCs w:val="24"/>
        </w:rPr>
      </w:pPr>
      <w:r w:rsidRPr="0019067C">
        <w:rPr>
          <w:rFonts w:ascii="Times New Roman" w:hAnsi="Times New Roman"/>
          <w:sz w:val="24"/>
          <w:szCs w:val="24"/>
        </w:rPr>
        <w:t xml:space="preserve">On September 27, 2024, in </w:t>
      </w:r>
      <w:r w:rsidRPr="0019067C">
        <w:rPr>
          <w:rFonts w:ascii="Times New Roman" w:hAnsi="Times New Roman"/>
          <w:sz w:val="24"/>
          <w:szCs w:val="24"/>
          <w:u w:val="single"/>
        </w:rPr>
        <w:t>People of the City of Sterling Heights v. Robert Bahnke</w:t>
      </w:r>
      <w:r w:rsidRPr="0019067C">
        <w:rPr>
          <w:rFonts w:ascii="Times New Roman" w:hAnsi="Times New Roman"/>
          <w:sz w:val="24"/>
          <w:szCs w:val="24"/>
        </w:rPr>
        <w:t xml:space="preserve">, the Michigan Supreme Court declined to hear the City’s appeal which sought to fine the manager of the fireworks store $150 for not handing out safety flyer required by City code; the Court of Appeals struck down the ordinance since it conflicted with state’s fireworks statute. Chief Justice Elizabeth Clement of the Michigan Supreme Court wrote in her concurring opinion:  “The city ordinance here is a relatively small burden on fireworks vendors and provides useful information to purchasers regarding relevant laws.” </w:t>
      </w:r>
      <w:hyperlink r:id="rId2977" w:history="1">
        <w:r w:rsidRPr="0019067C">
          <w:rPr>
            <w:rStyle w:val="Hyperlink"/>
            <w:rFonts w:ascii="Times New Roman" w:hAnsi="Times New Roman"/>
            <w:sz w:val="24"/>
            <w:szCs w:val="24"/>
          </w:rPr>
          <w:t>https://www.courts.michigan.gov/4a7b7c/siteassets/case-documents/uploads/sct/public/orders/166885_47_01.pdf</w:t>
        </w:r>
      </w:hyperlink>
      <w:r w:rsidRPr="0019067C">
        <w:rPr>
          <w:rFonts w:ascii="Times New Roman" w:hAnsi="Times New Roman"/>
          <w:sz w:val="24"/>
          <w:szCs w:val="24"/>
        </w:rPr>
        <w:t xml:space="preserve"> </w:t>
      </w:r>
    </w:p>
    <w:p w14:paraId="211536A7" w14:textId="77777777" w:rsidR="008575D7" w:rsidRPr="0019067C" w:rsidRDefault="008575D7" w:rsidP="008575D7">
      <w:pPr>
        <w:rPr>
          <w:rFonts w:ascii="Times New Roman" w:hAnsi="Times New Roman"/>
          <w:sz w:val="24"/>
          <w:szCs w:val="24"/>
        </w:rPr>
      </w:pPr>
      <w:r w:rsidRPr="0019067C">
        <w:rPr>
          <w:rFonts w:ascii="Times New Roman" w:hAnsi="Times New Roman"/>
          <w:sz w:val="24"/>
          <w:szCs w:val="24"/>
        </w:rPr>
        <w:t xml:space="preserve"> </w:t>
      </w:r>
    </w:p>
    <w:p w14:paraId="45DE72E5" w14:textId="77777777" w:rsidR="008575D7" w:rsidRPr="0019067C" w:rsidRDefault="008575D7" w:rsidP="008575D7">
      <w:pPr>
        <w:rPr>
          <w:rFonts w:ascii="Times New Roman" w:hAnsi="Times New Roman"/>
          <w:sz w:val="24"/>
          <w:szCs w:val="24"/>
        </w:rPr>
      </w:pPr>
      <w:r w:rsidRPr="0019067C">
        <w:rPr>
          <w:rFonts w:ascii="Times New Roman" w:hAnsi="Times New Roman"/>
          <w:sz w:val="24"/>
          <w:szCs w:val="24"/>
        </w:rPr>
        <w:t xml:space="preserve">THE CHIEF JUSTICE’S CONCURRING OPINION: </w:t>
      </w:r>
    </w:p>
    <w:p w14:paraId="01EA86F3" w14:textId="77777777" w:rsidR="008575D7" w:rsidRPr="0019067C" w:rsidRDefault="008575D7" w:rsidP="008575D7">
      <w:pPr>
        <w:ind w:left="720"/>
        <w:rPr>
          <w:rFonts w:ascii="Times New Roman" w:hAnsi="Times New Roman"/>
          <w:sz w:val="24"/>
          <w:szCs w:val="24"/>
        </w:rPr>
      </w:pPr>
      <w:r w:rsidRPr="0019067C">
        <w:rPr>
          <w:rFonts w:ascii="Times New Roman" w:hAnsi="Times New Roman"/>
          <w:sz w:val="24"/>
          <w:szCs w:val="24"/>
        </w:rPr>
        <w:lastRenderedPageBreak/>
        <w:t xml:space="preserve">“In this case, defendant, Robert Bahnke, was ticketed for violating the city code because he had not handed out the required flyers when he sold fireworks. The district court and the circuit court affirmed the $150 fine that the magistrate had ordered. But the Court of Appeals reversed in a published opinion, holding that Sterling Heights Code, § 20-115(I) was preempted by MCL 28.457. </w:t>
      </w:r>
    </w:p>
    <w:p w14:paraId="1D47BDE5" w14:textId="77777777" w:rsidR="008575D7" w:rsidRPr="0019067C" w:rsidRDefault="008575D7" w:rsidP="008575D7">
      <w:pPr>
        <w:ind w:left="720"/>
        <w:rPr>
          <w:rFonts w:ascii="Times New Roman" w:hAnsi="Times New Roman"/>
          <w:sz w:val="24"/>
          <w:szCs w:val="24"/>
        </w:rPr>
      </w:pPr>
      <w:r w:rsidRPr="0019067C">
        <w:rPr>
          <w:rFonts w:ascii="Times New Roman" w:hAnsi="Times New Roman"/>
          <w:sz w:val="24"/>
          <w:szCs w:val="24"/>
        </w:rPr>
        <w:t>***</w:t>
      </w:r>
    </w:p>
    <w:p w14:paraId="644CB4B6" w14:textId="77777777" w:rsidR="008575D7" w:rsidRPr="0019067C" w:rsidRDefault="008575D7" w:rsidP="008575D7">
      <w:pPr>
        <w:pStyle w:val="NoSpacing"/>
        <w:ind w:firstLine="720"/>
        <w:rPr>
          <w:rFonts w:ascii="Times New Roman" w:hAnsi="Times New Roman"/>
          <w:sz w:val="24"/>
          <w:szCs w:val="24"/>
        </w:rPr>
      </w:pPr>
      <w:r w:rsidRPr="0019067C">
        <w:rPr>
          <w:rFonts w:ascii="Times New Roman" w:hAnsi="Times New Roman"/>
          <w:sz w:val="24"/>
          <w:szCs w:val="24"/>
        </w:rPr>
        <w:t xml:space="preserve">But I question whether invalidating city ordinances such as the one at issue here </w:t>
      </w:r>
      <w:proofErr w:type="gramStart"/>
      <w:r w:rsidRPr="0019067C">
        <w:rPr>
          <w:rFonts w:ascii="Times New Roman" w:hAnsi="Times New Roman"/>
          <w:sz w:val="24"/>
          <w:szCs w:val="24"/>
        </w:rPr>
        <w:t>is</w:t>
      </w:r>
      <w:proofErr w:type="gramEnd"/>
    </w:p>
    <w:p w14:paraId="6DBD95A3" w14:textId="77777777" w:rsidR="008575D7" w:rsidRPr="0019067C" w:rsidRDefault="008575D7" w:rsidP="008575D7">
      <w:pPr>
        <w:pStyle w:val="NoSpacing"/>
        <w:ind w:firstLine="720"/>
        <w:rPr>
          <w:rFonts w:ascii="Times New Roman" w:hAnsi="Times New Roman"/>
          <w:sz w:val="24"/>
          <w:szCs w:val="24"/>
        </w:rPr>
      </w:pPr>
      <w:r w:rsidRPr="0019067C">
        <w:rPr>
          <w:rFonts w:ascii="Times New Roman" w:hAnsi="Times New Roman"/>
          <w:sz w:val="24"/>
          <w:szCs w:val="24"/>
        </w:rPr>
        <w:t>truly what the Legislature intended when it passed MCL 28.457. While I understand that</w:t>
      </w:r>
    </w:p>
    <w:p w14:paraId="1D228128" w14:textId="77777777" w:rsidR="008575D7" w:rsidRPr="0019067C" w:rsidRDefault="008575D7" w:rsidP="008575D7">
      <w:pPr>
        <w:pStyle w:val="NoSpacing"/>
        <w:ind w:firstLine="720"/>
        <w:rPr>
          <w:rFonts w:ascii="Times New Roman" w:hAnsi="Times New Roman"/>
          <w:sz w:val="24"/>
          <w:szCs w:val="24"/>
        </w:rPr>
      </w:pPr>
      <w:r w:rsidRPr="0019067C">
        <w:rPr>
          <w:rFonts w:ascii="Times New Roman" w:hAnsi="Times New Roman"/>
          <w:sz w:val="24"/>
          <w:szCs w:val="24"/>
        </w:rPr>
        <w:t>the Legislature may have reasonably sought to prohibit local units of government from</w:t>
      </w:r>
    </w:p>
    <w:p w14:paraId="4FC1A795" w14:textId="77777777" w:rsidR="008575D7" w:rsidRPr="0019067C" w:rsidRDefault="008575D7" w:rsidP="008575D7">
      <w:pPr>
        <w:pStyle w:val="NoSpacing"/>
        <w:ind w:firstLine="720"/>
        <w:rPr>
          <w:rFonts w:ascii="Times New Roman" w:hAnsi="Times New Roman"/>
          <w:sz w:val="24"/>
          <w:szCs w:val="24"/>
        </w:rPr>
      </w:pPr>
      <w:r w:rsidRPr="0019067C">
        <w:rPr>
          <w:rFonts w:ascii="Times New Roman" w:hAnsi="Times New Roman"/>
          <w:sz w:val="24"/>
          <w:szCs w:val="24"/>
        </w:rPr>
        <w:t>passing more substantive regulations of the sale of fireworks, it is difficult for me to</w:t>
      </w:r>
    </w:p>
    <w:p w14:paraId="5346E6FB" w14:textId="77777777" w:rsidR="008575D7" w:rsidRPr="0019067C" w:rsidRDefault="008575D7" w:rsidP="008575D7">
      <w:pPr>
        <w:pStyle w:val="NoSpacing"/>
        <w:ind w:firstLine="720"/>
        <w:rPr>
          <w:rFonts w:ascii="Times New Roman" w:hAnsi="Times New Roman"/>
          <w:sz w:val="24"/>
          <w:szCs w:val="24"/>
        </w:rPr>
      </w:pPr>
      <w:r w:rsidRPr="0019067C">
        <w:rPr>
          <w:rFonts w:ascii="Times New Roman" w:hAnsi="Times New Roman"/>
          <w:sz w:val="24"/>
          <w:szCs w:val="24"/>
        </w:rPr>
        <w:t>imagine that the Legislature intended to prohibit cities from ensuring that fireworks</w:t>
      </w:r>
    </w:p>
    <w:p w14:paraId="6217FB94" w14:textId="77777777" w:rsidR="008575D7" w:rsidRPr="0019067C" w:rsidRDefault="008575D7" w:rsidP="008575D7">
      <w:pPr>
        <w:pStyle w:val="NoSpacing"/>
        <w:ind w:firstLine="720"/>
        <w:rPr>
          <w:rFonts w:ascii="Times New Roman" w:hAnsi="Times New Roman"/>
          <w:sz w:val="24"/>
          <w:szCs w:val="24"/>
        </w:rPr>
      </w:pPr>
      <w:r w:rsidRPr="0019067C">
        <w:rPr>
          <w:rFonts w:ascii="Times New Roman" w:hAnsi="Times New Roman"/>
          <w:sz w:val="24"/>
          <w:szCs w:val="24"/>
        </w:rPr>
        <w:t>purchasers are adequately advised of applicable laws. The city ordinance here is a</w:t>
      </w:r>
    </w:p>
    <w:p w14:paraId="4D1B5925" w14:textId="77777777" w:rsidR="008575D7" w:rsidRPr="0019067C" w:rsidRDefault="008575D7" w:rsidP="008575D7">
      <w:pPr>
        <w:pStyle w:val="NoSpacing"/>
        <w:ind w:left="720"/>
        <w:rPr>
          <w:rFonts w:ascii="Times New Roman" w:hAnsi="Times New Roman"/>
          <w:sz w:val="24"/>
          <w:szCs w:val="24"/>
        </w:rPr>
      </w:pPr>
      <w:r w:rsidRPr="0019067C">
        <w:rPr>
          <w:rFonts w:ascii="Times New Roman" w:hAnsi="Times New Roman"/>
          <w:sz w:val="24"/>
          <w:szCs w:val="24"/>
        </w:rPr>
        <w:t xml:space="preserve">relatively small burden on fireworks vendors and provides useful information to purchasers regarding relevant laws. For these reasons, I question whether the text of MCL 28.457 is achieving the result the Legislature intended, and I encourage the Legislature to review the statutory </w:t>
      </w:r>
      <w:proofErr w:type="gramStart"/>
      <w:r w:rsidRPr="0019067C">
        <w:rPr>
          <w:rFonts w:ascii="Times New Roman" w:hAnsi="Times New Roman"/>
          <w:sz w:val="24"/>
          <w:szCs w:val="24"/>
        </w:rPr>
        <w:t>language.”</w:t>
      </w:r>
      <w:proofErr w:type="gramEnd"/>
    </w:p>
    <w:p w14:paraId="2D37CE5D" w14:textId="77777777" w:rsidR="008575D7" w:rsidRPr="0019067C" w:rsidRDefault="008575D7" w:rsidP="008575D7">
      <w:pPr>
        <w:rPr>
          <w:rFonts w:ascii="Times New Roman" w:hAnsi="Times New Roman"/>
          <w:sz w:val="24"/>
          <w:szCs w:val="24"/>
        </w:rPr>
      </w:pPr>
    </w:p>
    <w:p w14:paraId="5F8C3D86" w14:textId="77777777" w:rsidR="008575D7" w:rsidRPr="0019067C" w:rsidRDefault="008575D7" w:rsidP="008575D7">
      <w:pPr>
        <w:pStyle w:val="NoSpacing"/>
        <w:rPr>
          <w:rFonts w:ascii="Times New Roman" w:hAnsi="Times New Roman"/>
          <w:b/>
          <w:bCs/>
          <w:sz w:val="24"/>
          <w:szCs w:val="24"/>
        </w:rPr>
      </w:pPr>
      <w:r w:rsidRPr="0019067C">
        <w:rPr>
          <w:rFonts w:ascii="Times New Roman" w:hAnsi="Times New Roman"/>
          <w:b/>
          <w:bCs/>
          <w:sz w:val="24"/>
          <w:szCs w:val="24"/>
        </w:rPr>
        <w:t xml:space="preserve">Legal Lesson Learned:  Hopefully the state Legislature will amend its fireworks statute to include a safety flyer requirement. </w:t>
      </w:r>
    </w:p>
    <w:p w14:paraId="2595AD22" w14:textId="77777777" w:rsidR="008575D7" w:rsidRDefault="008575D7" w:rsidP="000C4DF5">
      <w:pPr>
        <w:pStyle w:val="NoSpacing"/>
        <w:rPr>
          <w:rFonts w:ascii="Arial Black" w:hAnsi="Arial Black"/>
          <w:sz w:val="24"/>
          <w:szCs w:val="24"/>
        </w:rPr>
      </w:pPr>
    </w:p>
    <w:p w14:paraId="4B805961" w14:textId="77777777" w:rsidR="001B23B7" w:rsidRDefault="001B23B7" w:rsidP="000C4DF5">
      <w:pPr>
        <w:pStyle w:val="NoSpacing"/>
        <w:rPr>
          <w:rFonts w:ascii="Arial Black" w:hAnsi="Arial Black"/>
          <w:sz w:val="24"/>
          <w:szCs w:val="24"/>
        </w:rPr>
      </w:pPr>
    </w:p>
    <w:p w14:paraId="742A14B4" w14:textId="77777777" w:rsidR="001B23B7" w:rsidRDefault="001B23B7" w:rsidP="000C4DF5">
      <w:pPr>
        <w:pStyle w:val="NoSpacing"/>
        <w:rPr>
          <w:rFonts w:ascii="Arial Black" w:hAnsi="Arial Black"/>
          <w:sz w:val="24"/>
          <w:szCs w:val="24"/>
        </w:rPr>
      </w:pPr>
    </w:p>
    <w:p w14:paraId="7ED4C688" w14:textId="15F1B143" w:rsidR="00B15008" w:rsidRDefault="002B2323" w:rsidP="000C4DF5">
      <w:pPr>
        <w:pStyle w:val="NoSpacing"/>
        <w:rPr>
          <w:rFonts w:ascii="Arial Black" w:hAnsi="Arial Black"/>
          <w:sz w:val="24"/>
          <w:szCs w:val="24"/>
        </w:rPr>
      </w:pPr>
      <w:r>
        <w:rPr>
          <w:rFonts w:ascii="Arial Black" w:hAnsi="Arial Black"/>
          <w:sz w:val="24"/>
          <w:szCs w:val="24"/>
        </w:rPr>
        <w:t>18-25</w:t>
      </w:r>
    </w:p>
    <w:p w14:paraId="07B706EE" w14:textId="77777777" w:rsidR="002B2323" w:rsidRDefault="002B2323" w:rsidP="000C4DF5">
      <w:pPr>
        <w:pStyle w:val="NoSpacing"/>
        <w:rPr>
          <w:rFonts w:ascii="Arial Black" w:hAnsi="Arial Black"/>
          <w:sz w:val="24"/>
          <w:szCs w:val="24"/>
        </w:rPr>
      </w:pPr>
    </w:p>
    <w:p w14:paraId="58B324F0" w14:textId="77777777" w:rsidR="00C30293" w:rsidRDefault="00C30293" w:rsidP="00C30293">
      <w:pPr>
        <w:pStyle w:val="NoSpacing"/>
        <w:rPr>
          <w:rFonts w:ascii="Arial Black" w:hAnsi="Arial Black"/>
          <w:sz w:val="28"/>
          <w:szCs w:val="28"/>
        </w:rPr>
      </w:pPr>
      <w:r>
        <w:rPr>
          <w:rFonts w:ascii="Arial Black" w:hAnsi="Arial Black"/>
          <w:sz w:val="28"/>
          <w:szCs w:val="28"/>
        </w:rPr>
        <w:t xml:space="preserve">OH: PUBLIC RECORDS - INJURY “TOP THRILL DRAGSTER” AT PARK – PARK PD “FUNCTIONAL EQUIVALENT” PUBLIC PD </w:t>
      </w:r>
    </w:p>
    <w:p w14:paraId="6B9CFB34" w14:textId="77777777" w:rsidR="00C30293" w:rsidRDefault="00C30293" w:rsidP="00C30293">
      <w:pPr>
        <w:pStyle w:val="NoSpacing"/>
        <w:rPr>
          <w:rFonts w:ascii="Times New Roman" w:hAnsi="Times New Roman"/>
          <w:sz w:val="24"/>
          <w:szCs w:val="24"/>
        </w:rPr>
      </w:pPr>
    </w:p>
    <w:p w14:paraId="36AB68F8" w14:textId="77777777" w:rsidR="004D2264" w:rsidRDefault="00C30293" w:rsidP="00C30293">
      <w:pPr>
        <w:pStyle w:val="NoSpacing"/>
        <w:rPr>
          <w:rFonts w:ascii="Times New Roman" w:hAnsi="Times New Roman"/>
          <w:sz w:val="24"/>
          <w:szCs w:val="24"/>
        </w:rPr>
      </w:pPr>
      <w:r w:rsidRPr="007919C0">
        <w:rPr>
          <w:rFonts w:ascii="Times New Roman" w:hAnsi="Times New Roman"/>
          <w:sz w:val="24"/>
          <w:szCs w:val="24"/>
        </w:rPr>
        <w:t xml:space="preserve">On Dec. 20, 2023, in </w:t>
      </w:r>
      <w:r w:rsidRPr="007919C0">
        <w:rPr>
          <w:rFonts w:ascii="Times New Roman" w:hAnsi="Times New Roman"/>
          <w:sz w:val="24"/>
          <w:szCs w:val="24"/>
          <w:u w:val="single"/>
        </w:rPr>
        <w:t>The State Ex Rel. WTOP Television, L.L.C., WKYC, L.L.C. , and WBNS-TV, Inc. v. Cedar Fair, L.P., dba Cedar Fair Entertainment Company, et al.</w:t>
      </w:r>
      <w:r w:rsidRPr="007919C0">
        <w:rPr>
          <w:rFonts w:ascii="Times New Roman" w:hAnsi="Times New Roman"/>
          <w:sz w:val="24"/>
          <w:szCs w:val="24"/>
        </w:rPr>
        <w:t xml:space="preserve">, the Ohio Supreme Court held (7 to 0) that </w:t>
      </w:r>
      <w:r>
        <w:rPr>
          <w:rFonts w:ascii="Times New Roman" w:hAnsi="Times New Roman"/>
          <w:sz w:val="24"/>
          <w:szCs w:val="24"/>
        </w:rPr>
        <w:t xml:space="preserve">the Park’s police department is “functional equivalent” of police department, and therefore must respond to Ohio Public Records requests, including </w:t>
      </w:r>
      <w:r w:rsidRPr="007919C0">
        <w:rPr>
          <w:rFonts w:ascii="Times New Roman" w:hAnsi="Times New Roman"/>
          <w:sz w:val="24"/>
          <w:szCs w:val="24"/>
        </w:rPr>
        <w:t xml:space="preserve">Aug. 15, 2021 injury of female guest near the Top Thrill Dragster ride, and records concerning </w:t>
      </w:r>
      <w:r>
        <w:rPr>
          <w:rFonts w:ascii="Times New Roman" w:hAnsi="Times New Roman"/>
          <w:sz w:val="24"/>
          <w:szCs w:val="24"/>
        </w:rPr>
        <w:t xml:space="preserve">TV station’s investigation into </w:t>
      </w:r>
      <w:r w:rsidRPr="007919C0">
        <w:rPr>
          <w:rFonts w:ascii="Times New Roman" w:hAnsi="Times New Roman"/>
          <w:sz w:val="24"/>
          <w:szCs w:val="24"/>
        </w:rPr>
        <w:t>sexual assaults at Park’s employee housing.  The Court also awarded TV stations court costs</w:t>
      </w:r>
      <w:r>
        <w:rPr>
          <w:rFonts w:ascii="Times New Roman" w:hAnsi="Times New Roman"/>
          <w:sz w:val="24"/>
          <w:szCs w:val="24"/>
        </w:rPr>
        <w:t xml:space="preserve">; </w:t>
      </w:r>
      <w:r w:rsidRPr="007919C0">
        <w:rPr>
          <w:rFonts w:ascii="Times New Roman" w:hAnsi="Times New Roman"/>
          <w:sz w:val="24"/>
          <w:szCs w:val="24"/>
        </w:rPr>
        <w:t>but declined to award statutory damages ($100 / day; max $1,000) or attorney fees to each TV station because this was unsettled law in Ohio (two Justices dissenting and would award attorney fees)</w:t>
      </w:r>
      <w:r>
        <w:rPr>
          <w:rFonts w:ascii="Times New Roman" w:hAnsi="Times New Roman"/>
          <w:sz w:val="24"/>
          <w:szCs w:val="24"/>
        </w:rPr>
        <w:t xml:space="preserve">. </w:t>
      </w:r>
    </w:p>
    <w:p w14:paraId="7907E30B" w14:textId="77777777" w:rsidR="004D2264" w:rsidRDefault="004D2264" w:rsidP="00C30293">
      <w:pPr>
        <w:pStyle w:val="NoSpacing"/>
        <w:rPr>
          <w:rFonts w:ascii="Times New Roman" w:hAnsi="Times New Roman"/>
          <w:sz w:val="24"/>
          <w:szCs w:val="24"/>
        </w:rPr>
      </w:pPr>
    </w:p>
    <w:p w14:paraId="005DE8F0" w14:textId="68E6CB08" w:rsidR="00C30293" w:rsidRDefault="00C30293" w:rsidP="00C30293">
      <w:pPr>
        <w:pStyle w:val="NoSpacing"/>
        <w:rPr>
          <w:rFonts w:ascii="Times New Roman" w:hAnsi="Times New Roman"/>
          <w:sz w:val="24"/>
          <w:szCs w:val="24"/>
        </w:rPr>
      </w:pPr>
      <w:r w:rsidRPr="007919C0">
        <w:rPr>
          <w:rFonts w:ascii="Times New Roman" w:hAnsi="Times New Roman"/>
          <w:sz w:val="24"/>
          <w:szCs w:val="24"/>
        </w:rPr>
        <w:t xml:space="preserve">The Court held: </w:t>
      </w:r>
      <w:r>
        <w:rPr>
          <w:rFonts w:ascii="Times New Roman" w:hAnsi="Times New Roman"/>
          <w:sz w:val="24"/>
          <w:szCs w:val="24"/>
        </w:rPr>
        <w:t>“</w:t>
      </w:r>
      <w:r w:rsidRPr="007919C0">
        <w:rPr>
          <w:rFonts w:ascii="Times New Roman" w:hAnsi="Times New Roman"/>
          <w:sz w:val="24"/>
          <w:szCs w:val="24"/>
        </w:rPr>
        <w:t xml:space="preserve">Here, Cedar Fair and </w:t>
      </w:r>
      <w:r>
        <w:rPr>
          <w:rFonts w:ascii="Times New Roman" w:hAnsi="Times New Roman"/>
          <w:sz w:val="24"/>
          <w:szCs w:val="24"/>
        </w:rPr>
        <w:t xml:space="preserve">[Police Chief Ronald E.} </w:t>
      </w:r>
      <w:r w:rsidRPr="007919C0">
        <w:rPr>
          <w:rFonts w:ascii="Times New Roman" w:hAnsi="Times New Roman"/>
          <w:sz w:val="24"/>
          <w:szCs w:val="24"/>
        </w:rPr>
        <w:t>Gilson asserted as affirmative defenses that</w:t>
      </w:r>
      <w:r>
        <w:rPr>
          <w:rFonts w:ascii="Times New Roman" w:hAnsi="Times New Roman"/>
          <w:sz w:val="24"/>
          <w:szCs w:val="24"/>
        </w:rPr>
        <w:t xml:space="preserve"> </w:t>
      </w:r>
      <w:r w:rsidRPr="007919C0">
        <w:rPr>
          <w:rFonts w:ascii="Times New Roman" w:hAnsi="Times New Roman"/>
          <w:sz w:val="24"/>
          <w:szCs w:val="24"/>
        </w:rPr>
        <w:t>they are not required to release privileged records or confidential law-enforcement</w:t>
      </w:r>
      <w:r>
        <w:rPr>
          <w:rFonts w:ascii="Times New Roman" w:hAnsi="Times New Roman"/>
          <w:sz w:val="24"/>
          <w:szCs w:val="24"/>
        </w:rPr>
        <w:t xml:space="preserve"> </w:t>
      </w:r>
      <w:r w:rsidRPr="007919C0">
        <w:rPr>
          <w:rFonts w:ascii="Times New Roman" w:hAnsi="Times New Roman"/>
          <w:sz w:val="24"/>
          <w:szCs w:val="24"/>
        </w:rPr>
        <w:t>investigatory records. But they have not offered any argument explaining how any</w:t>
      </w:r>
      <w:r>
        <w:rPr>
          <w:rFonts w:ascii="Times New Roman" w:hAnsi="Times New Roman"/>
          <w:sz w:val="24"/>
          <w:szCs w:val="24"/>
        </w:rPr>
        <w:t xml:space="preserve"> </w:t>
      </w:r>
      <w:r w:rsidRPr="007919C0">
        <w:rPr>
          <w:rFonts w:ascii="Times New Roman" w:hAnsi="Times New Roman"/>
          <w:sz w:val="24"/>
          <w:szCs w:val="24"/>
        </w:rPr>
        <w:t>record requested by relators meets the requirements for either of these exceptions</w:t>
      </w:r>
      <w:r>
        <w:rPr>
          <w:rFonts w:ascii="Times New Roman" w:hAnsi="Times New Roman"/>
          <w:sz w:val="24"/>
          <w:szCs w:val="24"/>
        </w:rPr>
        <w:t xml:space="preserve"> </w:t>
      </w:r>
      <w:r w:rsidRPr="007919C0">
        <w:rPr>
          <w:rFonts w:ascii="Times New Roman" w:hAnsi="Times New Roman"/>
          <w:sz w:val="24"/>
          <w:szCs w:val="24"/>
        </w:rPr>
        <w:t xml:space="preserve">to apply. Nor have they submitted any documents </w:t>
      </w:r>
      <w:proofErr w:type="gramStart"/>
      <w:r w:rsidRPr="007919C0">
        <w:rPr>
          <w:rFonts w:ascii="Times New Roman" w:hAnsi="Times New Roman"/>
          <w:sz w:val="24"/>
          <w:szCs w:val="24"/>
        </w:rPr>
        <w:t>for in</w:t>
      </w:r>
      <w:proofErr w:type="gramEnd"/>
      <w:r w:rsidRPr="007919C0">
        <w:rPr>
          <w:rFonts w:ascii="Times New Roman" w:hAnsi="Times New Roman"/>
          <w:sz w:val="24"/>
          <w:szCs w:val="24"/>
        </w:rPr>
        <w:t xml:space="preserve"> camera inspection. Thus,</w:t>
      </w:r>
      <w:r>
        <w:rPr>
          <w:rFonts w:ascii="Times New Roman" w:hAnsi="Times New Roman"/>
          <w:sz w:val="24"/>
          <w:szCs w:val="24"/>
        </w:rPr>
        <w:t xml:space="preserve"> </w:t>
      </w:r>
      <w:r w:rsidRPr="007919C0">
        <w:rPr>
          <w:rFonts w:ascii="Times New Roman" w:hAnsi="Times New Roman"/>
          <w:sz w:val="24"/>
          <w:szCs w:val="24"/>
        </w:rPr>
        <w:t>Cedar Fair and Gilson have not met their burden to show that these documents, to</w:t>
      </w:r>
      <w:r>
        <w:rPr>
          <w:rFonts w:ascii="Times New Roman" w:hAnsi="Times New Roman"/>
          <w:sz w:val="24"/>
          <w:szCs w:val="24"/>
        </w:rPr>
        <w:t xml:space="preserve"> </w:t>
      </w:r>
      <w:r w:rsidRPr="007919C0">
        <w:rPr>
          <w:rFonts w:ascii="Times New Roman" w:hAnsi="Times New Roman"/>
          <w:sz w:val="24"/>
          <w:szCs w:val="24"/>
        </w:rPr>
        <w:t>the extent that they exist, are exempt from disclosure.</w:t>
      </w:r>
      <w:r>
        <w:rPr>
          <w:rFonts w:ascii="Times New Roman" w:hAnsi="Times New Roman"/>
          <w:sz w:val="24"/>
          <w:szCs w:val="24"/>
        </w:rPr>
        <w:t xml:space="preserve"> *** </w:t>
      </w:r>
      <w:r w:rsidRPr="0031579C">
        <w:rPr>
          <w:rFonts w:ascii="Times New Roman" w:hAnsi="Times New Roman"/>
          <w:sz w:val="24"/>
          <w:szCs w:val="24"/>
        </w:rPr>
        <w:t>However, we do not order the production of incident or investigative</w:t>
      </w:r>
      <w:r>
        <w:rPr>
          <w:rFonts w:ascii="Times New Roman" w:hAnsi="Times New Roman"/>
          <w:sz w:val="24"/>
          <w:szCs w:val="24"/>
        </w:rPr>
        <w:t xml:space="preserve"> </w:t>
      </w:r>
      <w:r w:rsidRPr="0031579C">
        <w:rPr>
          <w:rFonts w:ascii="Times New Roman" w:hAnsi="Times New Roman"/>
          <w:sz w:val="24"/>
          <w:szCs w:val="24"/>
        </w:rPr>
        <w:t>reports created by emergency-medical-</w:t>
      </w:r>
      <w:proofErr w:type="gramStart"/>
      <w:r w:rsidRPr="0031579C">
        <w:rPr>
          <w:rFonts w:ascii="Times New Roman" w:hAnsi="Times New Roman"/>
          <w:sz w:val="24"/>
          <w:szCs w:val="24"/>
        </w:rPr>
        <w:t>services (</w:t>
      </w:r>
      <w:r>
        <w:rPr>
          <w:rFonts w:ascii="Times New Roman" w:hAnsi="Times New Roman"/>
          <w:sz w:val="24"/>
          <w:szCs w:val="24"/>
        </w:rPr>
        <w:t>‘</w:t>
      </w:r>
      <w:proofErr w:type="gramEnd"/>
      <w:r w:rsidRPr="0031579C">
        <w:rPr>
          <w:rFonts w:ascii="Times New Roman" w:hAnsi="Times New Roman"/>
          <w:sz w:val="24"/>
          <w:szCs w:val="24"/>
        </w:rPr>
        <w:t>EMS</w:t>
      </w:r>
      <w:r>
        <w:rPr>
          <w:rFonts w:ascii="Times New Roman" w:hAnsi="Times New Roman"/>
          <w:sz w:val="24"/>
          <w:szCs w:val="24"/>
        </w:rPr>
        <w:t>’</w:t>
      </w:r>
      <w:r w:rsidRPr="0031579C">
        <w:rPr>
          <w:rFonts w:ascii="Times New Roman" w:hAnsi="Times New Roman"/>
          <w:sz w:val="24"/>
          <w:szCs w:val="24"/>
        </w:rPr>
        <w:t>) personnel or related to</w:t>
      </w:r>
      <w:r>
        <w:rPr>
          <w:rFonts w:ascii="Times New Roman" w:hAnsi="Times New Roman"/>
          <w:sz w:val="24"/>
          <w:szCs w:val="24"/>
        </w:rPr>
        <w:t xml:space="preserve"> </w:t>
      </w:r>
      <w:r w:rsidRPr="0031579C">
        <w:rPr>
          <w:rFonts w:ascii="Times New Roman" w:hAnsi="Times New Roman"/>
          <w:sz w:val="24"/>
          <w:szCs w:val="24"/>
        </w:rPr>
        <w:t>EMS services. WKYC requested, among other things, incident reports and relate</w:t>
      </w:r>
      <w:r>
        <w:rPr>
          <w:rFonts w:ascii="Times New Roman" w:hAnsi="Times New Roman"/>
          <w:sz w:val="24"/>
          <w:szCs w:val="24"/>
        </w:rPr>
        <w:t>d r</w:t>
      </w:r>
      <w:r w:rsidRPr="00791E9A">
        <w:rPr>
          <w:rFonts w:ascii="Times New Roman" w:hAnsi="Times New Roman"/>
          <w:sz w:val="24"/>
          <w:szCs w:val="24"/>
        </w:rPr>
        <w:t>ecords created by EMS personnel during the alleged Top Thrill Dragster incident.</w:t>
      </w:r>
      <w:r>
        <w:rPr>
          <w:rFonts w:ascii="Times New Roman" w:hAnsi="Times New Roman"/>
          <w:sz w:val="24"/>
          <w:szCs w:val="24"/>
        </w:rPr>
        <w:t xml:space="preserve"> </w:t>
      </w:r>
      <w:r w:rsidRPr="00791E9A">
        <w:rPr>
          <w:rFonts w:ascii="Times New Roman" w:hAnsi="Times New Roman"/>
          <w:sz w:val="24"/>
          <w:szCs w:val="24"/>
        </w:rPr>
        <w:t>EMS services are not police services, and there is no evidence in the record</w:t>
      </w:r>
      <w:r>
        <w:rPr>
          <w:rFonts w:ascii="Times New Roman" w:hAnsi="Times New Roman"/>
          <w:sz w:val="24"/>
          <w:szCs w:val="24"/>
        </w:rPr>
        <w:t xml:space="preserve"> </w:t>
      </w:r>
      <w:r w:rsidRPr="00791E9A">
        <w:rPr>
          <w:rFonts w:ascii="Times New Roman" w:hAnsi="Times New Roman"/>
          <w:sz w:val="24"/>
          <w:szCs w:val="24"/>
        </w:rPr>
        <w:t>indicating that the CPPD provides EMS services or employs EMS personnel. To</w:t>
      </w:r>
      <w:r>
        <w:rPr>
          <w:rFonts w:ascii="Times New Roman" w:hAnsi="Times New Roman"/>
          <w:sz w:val="24"/>
          <w:szCs w:val="24"/>
        </w:rPr>
        <w:t xml:space="preserve"> </w:t>
      </w:r>
      <w:r w:rsidRPr="00791E9A">
        <w:rPr>
          <w:rFonts w:ascii="Times New Roman" w:hAnsi="Times New Roman"/>
          <w:sz w:val="24"/>
          <w:szCs w:val="24"/>
        </w:rPr>
        <w:t>the extent that Cedar Fair provided EMS services related to the alleged Top Thrill</w:t>
      </w:r>
      <w:r>
        <w:rPr>
          <w:rFonts w:ascii="Times New Roman" w:hAnsi="Times New Roman"/>
          <w:sz w:val="24"/>
          <w:szCs w:val="24"/>
        </w:rPr>
        <w:t xml:space="preserve"> </w:t>
      </w:r>
      <w:r w:rsidRPr="00791E9A">
        <w:rPr>
          <w:rFonts w:ascii="Times New Roman" w:hAnsi="Times New Roman"/>
          <w:sz w:val="24"/>
          <w:szCs w:val="24"/>
        </w:rPr>
        <w:t>Dragster incident, relators have produced no evidence showing that these services</w:t>
      </w:r>
      <w:r>
        <w:rPr>
          <w:rFonts w:ascii="Times New Roman" w:hAnsi="Times New Roman"/>
          <w:sz w:val="24"/>
          <w:szCs w:val="24"/>
        </w:rPr>
        <w:t xml:space="preserve"> </w:t>
      </w:r>
      <w:r w:rsidRPr="00791E9A">
        <w:rPr>
          <w:rFonts w:ascii="Times New Roman" w:hAnsi="Times New Roman"/>
          <w:sz w:val="24"/>
          <w:szCs w:val="24"/>
        </w:rPr>
        <w:t xml:space="preserve">were provided through the </w:t>
      </w:r>
      <w:proofErr w:type="gramStart"/>
      <w:r w:rsidRPr="00791E9A">
        <w:rPr>
          <w:rFonts w:ascii="Times New Roman" w:hAnsi="Times New Roman"/>
          <w:sz w:val="24"/>
          <w:szCs w:val="24"/>
        </w:rPr>
        <w:t>CPPD</w:t>
      </w:r>
      <w:r>
        <w:rPr>
          <w:rFonts w:ascii="Times New Roman" w:hAnsi="Times New Roman"/>
          <w:sz w:val="24"/>
          <w:szCs w:val="24"/>
        </w:rPr>
        <w:t>.”</w:t>
      </w:r>
      <w:proofErr w:type="gramEnd"/>
      <w:r>
        <w:rPr>
          <w:rFonts w:ascii="Times New Roman" w:hAnsi="Times New Roman"/>
          <w:sz w:val="24"/>
          <w:szCs w:val="24"/>
        </w:rPr>
        <w:t xml:space="preserve"> </w:t>
      </w:r>
    </w:p>
    <w:p w14:paraId="2DBDFA28" w14:textId="77777777" w:rsidR="00C30293" w:rsidRDefault="00C30293" w:rsidP="00C30293">
      <w:pPr>
        <w:pStyle w:val="NoSpacing"/>
        <w:rPr>
          <w:rFonts w:ascii="Times New Roman" w:hAnsi="Times New Roman"/>
          <w:sz w:val="24"/>
          <w:szCs w:val="24"/>
        </w:rPr>
      </w:pPr>
      <w:hyperlink r:id="rId2978" w:history="1">
        <w:r w:rsidRPr="0044657D">
          <w:rPr>
            <w:rStyle w:val="Hyperlink"/>
            <w:rFonts w:ascii="Times New Roman" w:hAnsi="Times New Roman"/>
            <w:sz w:val="24"/>
            <w:szCs w:val="24"/>
          </w:rPr>
          <w:t>https://www.supremecourt.ohio.gov/rod/docs/pdf/0/2023/2023-Ohio-4593.pdf</w:t>
        </w:r>
      </w:hyperlink>
      <w:r>
        <w:rPr>
          <w:rFonts w:ascii="Times New Roman" w:hAnsi="Times New Roman"/>
          <w:sz w:val="24"/>
          <w:szCs w:val="24"/>
        </w:rPr>
        <w:t xml:space="preserve"> </w:t>
      </w:r>
    </w:p>
    <w:p w14:paraId="6C32A87F" w14:textId="77777777" w:rsidR="00C30293" w:rsidRDefault="00C30293" w:rsidP="00C30293">
      <w:pPr>
        <w:pStyle w:val="NoSpacing"/>
        <w:rPr>
          <w:rFonts w:ascii="Times New Roman" w:hAnsi="Times New Roman"/>
          <w:sz w:val="24"/>
          <w:szCs w:val="24"/>
        </w:rPr>
      </w:pPr>
    </w:p>
    <w:p w14:paraId="0F2A3B67" w14:textId="77777777" w:rsidR="00FB70BC" w:rsidRPr="001D76FE" w:rsidRDefault="00FB70BC" w:rsidP="00FB70BC">
      <w:pPr>
        <w:pStyle w:val="NoSpacing"/>
        <w:rPr>
          <w:rFonts w:ascii="Times New Roman" w:hAnsi="Times New Roman"/>
          <w:b/>
          <w:bCs/>
          <w:sz w:val="24"/>
          <w:szCs w:val="24"/>
        </w:rPr>
      </w:pPr>
      <w:r w:rsidRPr="001D76FE">
        <w:rPr>
          <w:rFonts w:ascii="Times New Roman" w:hAnsi="Times New Roman"/>
          <w:b/>
          <w:bCs/>
          <w:sz w:val="24"/>
          <w:szCs w:val="24"/>
        </w:rPr>
        <w:t>Legal Lesson Learned:</w:t>
      </w:r>
      <w:r>
        <w:rPr>
          <w:rFonts w:ascii="Times New Roman" w:hAnsi="Times New Roman"/>
          <w:b/>
          <w:bCs/>
          <w:sz w:val="24"/>
          <w:szCs w:val="24"/>
        </w:rPr>
        <w:t xml:space="preserve"> The Park should have submitted records for “in camera” review by trial court, so they could then assert investigative exemption. </w:t>
      </w:r>
      <w:r w:rsidRPr="001D76FE">
        <w:rPr>
          <w:rFonts w:ascii="Times New Roman" w:hAnsi="Times New Roman"/>
          <w:b/>
          <w:bCs/>
          <w:sz w:val="24"/>
          <w:szCs w:val="24"/>
        </w:rPr>
        <w:t xml:space="preserve"> </w:t>
      </w:r>
      <w:r>
        <w:rPr>
          <w:rFonts w:ascii="Times New Roman" w:hAnsi="Times New Roman"/>
          <w:b/>
          <w:bCs/>
          <w:sz w:val="24"/>
          <w:szCs w:val="24"/>
        </w:rPr>
        <w:t xml:space="preserve">Private EMS companies providing 911 public service would likewise be subject to Ohio Public Records Act. </w:t>
      </w:r>
    </w:p>
    <w:p w14:paraId="62358D9F" w14:textId="77777777" w:rsidR="00FB70BC" w:rsidRDefault="00FB70BC" w:rsidP="00FB70BC">
      <w:pPr>
        <w:pStyle w:val="NoSpacing"/>
        <w:ind w:left="720"/>
        <w:rPr>
          <w:rFonts w:ascii="Times New Roman" w:hAnsi="Times New Roman"/>
          <w:sz w:val="24"/>
          <w:szCs w:val="24"/>
        </w:rPr>
      </w:pPr>
    </w:p>
    <w:p w14:paraId="3B86F73C" w14:textId="77777777" w:rsidR="00FB70BC" w:rsidRDefault="00FB70BC" w:rsidP="00FB70BC">
      <w:pPr>
        <w:pStyle w:val="NoSpacing"/>
        <w:ind w:left="720"/>
        <w:rPr>
          <w:rFonts w:ascii="Times New Roman" w:hAnsi="Times New Roman"/>
          <w:sz w:val="24"/>
          <w:szCs w:val="24"/>
        </w:rPr>
      </w:pPr>
      <w:r>
        <w:rPr>
          <w:rFonts w:ascii="Times New Roman" w:hAnsi="Times New Roman"/>
          <w:sz w:val="24"/>
          <w:szCs w:val="24"/>
        </w:rPr>
        <w:t>Note: DISSENT BY CHIEF JUSTICE SHARON L. KENNEDY – TV STATIONS SHOULD BE AWARDED STATUTORY DAMAGES AND ATTORNEY FEES</w:t>
      </w:r>
    </w:p>
    <w:p w14:paraId="43C796E8" w14:textId="77777777" w:rsidR="00FB70BC" w:rsidRDefault="00FB70BC" w:rsidP="00FB70BC">
      <w:pPr>
        <w:pStyle w:val="NoSpacing"/>
        <w:ind w:left="720"/>
        <w:rPr>
          <w:rFonts w:ascii="Times New Roman" w:hAnsi="Times New Roman"/>
          <w:sz w:val="24"/>
          <w:szCs w:val="24"/>
        </w:rPr>
      </w:pPr>
    </w:p>
    <w:p w14:paraId="5AF52184" w14:textId="77777777" w:rsidR="00FB70BC" w:rsidRDefault="00FB70BC" w:rsidP="00FB70BC">
      <w:pPr>
        <w:pStyle w:val="NoSpacing"/>
        <w:ind w:left="720"/>
        <w:rPr>
          <w:rFonts w:ascii="Times New Roman" w:hAnsi="Times New Roman"/>
          <w:sz w:val="24"/>
          <w:szCs w:val="24"/>
        </w:rPr>
      </w:pPr>
      <w:r>
        <w:rPr>
          <w:rFonts w:ascii="Times New Roman" w:hAnsi="Times New Roman"/>
          <w:sz w:val="24"/>
          <w:szCs w:val="24"/>
        </w:rPr>
        <w:t xml:space="preserve"> “</w:t>
      </w:r>
      <w:r w:rsidRPr="00356695">
        <w:rPr>
          <w:rFonts w:ascii="Times New Roman" w:hAnsi="Times New Roman"/>
          <w:sz w:val="24"/>
          <w:szCs w:val="24"/>
        </w:rPr>
        <w:t>I part ways with the majority, however, in its denial of awards of</w:t>
      </w:r>
      <w:r>
        <w:rPr>
          <w:rFonts w:ascii="Times New Roman" w:hAnsi="Times New Roman"/>
          <w:sz w:val="24"/>
          <w:szCs w:val="24"/>
        </w:rPr>
        <w:t xml:space="preserve"> </w:t>
      </w:r>
      <w:r w:rsidRPr="00356695">
        <w:rPr>
          <w:rFonts w:ascii="Times New Roman" w:hAnsi="Times New Roman"/>
          <w:sz w:val="24"/>
          <w:szCs w:val="24"/>
        </w:rPr>
        <w:t xml:space="preserve">statutory damages and attorney fees to relators. Based on the </w:t>
      </w:r>
      <w:proofErr w:type="gramStart"/>
      <w:r w:rsidRPr="00356695">
        <w:rPr>
          <w:rFonts w:ascii="Times New Roman" w:hAnsi="Times New Roman"/>
          <w:sz w:val="24"/>
          <w:szCs w:val="24"/>
        </w:rPr>
        <w:t>law existing</w:t>
      </w:r>
      <w:proofErr w:type="gramEnd"/>
      <w:r w:rsidRPr="00356695">
        <w:rPr>
          <w:rFonts w:ascii="Times New Roman" w:hAnsi="Times New Roman"/>
          <w:sz w:val="24"/>
          <w:szCs w:val="24"/>
        </w:rPr>
        <w:t xml:space="preserve"> at the</w:t>
      </w:r>
      <w:r>
        <w:rPr>
          <w:rFonts w:ascii="Times New Roman" w:hAnsi="Times New Roman"/>
          <w:sz w:val="24"/>
          <w:szCs w:val="24"/>
        </w:rPr>
        <w:t xml:space="preserve"> </w:t>
      </w:r>
      <w:r w:rsidRPr="00356695">
        <w:rPr>
          <w:rFonts w:ascii="Times New Roman" w:hAnsi="Times New Roman"/>
          <w:sz w:val="24"/>
          <w:szCs w:val="24"/>
        </w:rPr>
        <w:t>time of relators’ requests, a well-informed person responsible for the requested</w:t>
      </w:r>
      <w:r>
        <w:rPr>
          <w:rFonts w:ascii="Times New Roman" w:hAnsi="Times New Roman"/>
          <w:sz w:val="24"/>
          <w:szCs w:val="24"/>
        </w:rPr>
        <w:t xml:space="preserve"> </w:t>
      </w:r>
      <w:r w:rsidRPr="00356695">
        <w:rPr>
          <w:rFonts w:ascii="Times New Roman" w:hAnsi="Times New Roman"/>
          <w:sz w:val="24"/>
          <w:szCs w:val="24"/>
        </w:rPr>
        <w:t>public records would have reasonably believed that respondents had an obligation</w:t>
      </w:r>
      <w:r>
        <w:rPr>
          <w:rFonts w:ascii="Times New Roman" w:hAnsi="Times New Roman"/>
          <w:sz w:val="24"/>
          <w:szCs w:val="24"/>
        </w:rPr>
        <w:t xml:space="preserve"> </w:t>
      </w:r>
      <w:r w:rsidRPr="00356695">
        <w:rPr>
          <w:rFonts w:ascii="Times New Roman" w:hAnsi="Times New Roman"/>
          <w:sz w:val="24"/>
          <w:szCs w:val="24"/>
        </w:rPr>
        <w:t>under the Public Records Act to produce the requested records. Therefore, relators</w:t>
      </w:r>
      <w:r>
        <w:rPr>
          <w:rFonts w:ascii="Times New Roman" w:hAnsi="Times New Roman"/>
          <w:sz w:val="24"/>
          <w:szCs w:val="24"/>
        </w:rPr>
        <w:t xml:space="preserve"> </w:t>
      </w:r>
      <w:r w:rsidRPr="00356695">
        <w:rPr>
          <w:rFonts w:ascii="Times New Roman" w:hAnsi="Times New Roman"/>
          <w:sz w:val="24"/>
          <w:szCs w:val="24"/>
        </w:rPr>
        <w:t xml:space="preserve">are entitled to statutory </w:t>
      </w:r>
      <w:proofErr w:type="gramStart"/>
      <w:r w:rsidRPr="00356695">
        <w:rPr>
          <w:rFonts w:ascii="Times New Roman" w:hAnsi="Times New Roman"/>
          <w:sz w:val="24"/>
          <w:szCs w:val="24"/>
        </w:rPr>
        <w:t>damages</w:t>
      </w:r>
      <w:proofErr w:type="gramEnd"/>
      <w:r w:rsidRPr="00356695">
        <w:rPr>
          <w:rFonts w:ascii="Times New Roman" w:hAnsi="Times New Roman"/>
          <w:sz w:val="24"/>
          <w:szCs w:val="24"/>
        </w:rPr>
        <w:t xml:space="preserve"> and this court should award attorney fees.</w:t>
      </w:r>
    </w:p>
    <w:p w14:paraId="091399A0" w14:textId="77777777" w:rsidR="00FB70BC" w:rsidRDefault="00FB70BC" w:rsidP="00FB70BC">
      <w:pPr>
        <w:pStyle w:val="NoSpacing"/>
        <w:ind w:left="720"/>
        <w:rPr>
          <w:rFonts w:ascii="Times New Roman" w:hAnsi="Times New Roman"/>
          <w:sz w:val="24"/>
          <w:szCs w:val="24"/>
        </w:rPr>
      </w:pPr>
    </w:p>
    <w:p w14:paraId="4FF94C57" w14:textId="77777777" w:rsidR="00FB70BC" w:rsidRDefault="00FB70BC" w:rsidP="00FB70BC">
      <w:pPr>
        <w:pStyle w:val="NoSpacing"/>
        <w:ind w:left="720"/>
        <w:rPr>
          <w:rFonts w:ascii="Times New Roman" w:hAnsi="Times New Roman"/>
          <w:sz w:val="24"/>
          <w:szCs w:val="24"/>
        </w:rPr>
      </w:pPr>
      <w:r>
        <w:rPr>
          <w:rFonts w:ascii="Times New Roman" w:hAnsi="Times New Roman"/>
          <w:sz w:val="24"/>
          <w:szCs w:val="24"/>
        </w:rPr>
        <w:t>***</w:t>
      </w:r>
    </w:p>
    <w:p w14:paraId="29F28ECE" w14:textId="77777777" w:rsidR="00FB70BC" w:rsidRDefault="00FB70BC" w:rsidP="00FB70BC">
      <w:pPr>
        <w:pStyle w:val="NoSpacing"/>
        <w:ind w:left="720"/>
        <w:rPr>
          <w:rFonts w:ascii="Times New Roman" w:hAnsi="Times New Roman"/>
          <w:sz w:val="24"/>
          <w:szCs w:val="24"/>
        </w:rPr>
      </w:pPr>
    </w:p>
    <w:p w14:paraId="595D4F93" w14:textId="77777777" w:rsidR="00FB70BC" w:rsidRPr="00A9125A" w:rsidRDefault="00FB70BC" w:rsidP="00FB70BC">
      <w:pPr>
        <w:pStyle w:val="NoSpacing"/>
        <w:ind w:left="720"/>
        <w:rPr>
          <w:rFonts w:ascii="Times New Roman" w:hAnsi="Times New Roman"/>
          <w:sz w:val="24"/>
          <w:szCs w:val="24"/>
        </w:rPr>
      </w:pPr>
      <w:r w:rsidRPr="00FD2DAA">
        <w:rPr>
          <w:rFonts w:ascii="Times New Roman" w:hAnsi="Times New Roman"/>
          <w:sz w:val="24"/>
          <w:szCs w:val="24"/>
        </w:rPr>
        <w:t>The Sandusky City Manager, a government official, appoints and</w:t>
      </w:r>
      <w:r>
        <w:rPr>
          <w:rFonts w:ascii="Times New Roman" w:hAnsi="Times New Roman"/>
          <w:sz w:val="24"/>
          <w:szCs w:val="24"/>
        </w:rPr>
        <w:t xml:space="preserve"> </w:t>
      </w:r>
      <w:r w:rsidRPr="00FD2DAA">
        <w:rPr>
          <w:rFonts w:ascii="Times New Roman" w:hAnsi="Times New Roman"/>
          <w:sz w:val="24"/>
          <w:szCs w:val="24"/>
        </w:rPr>
        <w:t xml:space="preserve">maintains the Department’s police officers. These officers contractually </w:t>
      </w:r>
      <w:proofErr w:type="gramStart"/>
      <w:r w:rsidRPr="00FD2DAA">
        <w:rPr>
          <w:rFonts w:ascii="Times New Roman" w:hAnsi="Times New Roman"/>
          <w:sz w:val="24"/>
          <w:szCs w:val="24"/>
        </w:rPr>
        <w:t>serve at</w:t>
      </w:r>
      <w:proofErr w:type="gramEnd"/>
      <w:r>
        <w:rPr>
          <w:rFonts w:ascii="Times New Roman" w:hAnsi="Times New Roman"/>
          <w:sz w:val="24"/>
          <w:szCs w:val="24"/>
        </w:rPr>
        <w:t xml:space="preserve"> </w:t>
      </w:r>
      <w:r w:rsidRPr="00FD2DAA">
        <w:rPr>
          <w:rFonts w:ascii="Times New Roman" w:hAnsi="Times New Roman"/>
          <w:sz w:val="24"/>
          <w:szCs w:val="24"/>
        </w:rPr>
        <w:t>the pleasure of the city manager. These officers also must be qualified to serve as</w:t>
      </w:r>
      <w:r>
        <w:rPr>
          <w:rFonts w:ascii="Times New Roman" w:hAnsi="Times New Roman"/>
          <w:sz w:val="24"/>
          <w:szCs w:val="24"/>
        </w:rPr>
        <w:t xml:space="preserve"> </w:t>
      </w:r>
      <w:r w:rsidRPr="00FD2DAA">
        <w:rPr>
          <w:rFonts w:ascii="Times New Roman" w:hAnsi="Times New Roman"/>
          <w:sz w:val="24"/>
          <w:szCs w:val="24"/>
        </w:rPr>
        <w:t>law-enforcement officers in Ohio, pursuant to both a Sandusky ordinance and the</w:t>
      </w:r>
      <w:r>
        <w:rPr>
          <w:rFonts w:ascii="Times New Roman" w:hAnsi="Times New Roman"/>
          <w:sz w:val="24"/>
          <w:szCs w:val="24"/>
        </w:rPr>
        <w:t xml:space="preserve"> </w:t>
      </w:r>
      <w:r w:rsidRPr="00FD2DAA">
        <w:rPr>
          <w:rFonts w:ascii="Times New Roman" w:hAnsi="Times New Roman"/>
          <w:sz w:val="24"/>
          <w:szCs w:val="24"/>
        </w:rPr>
        <w:t>agreement between Sandusky and Cedar Fair, and they swear an oath before the</w:t>
      </w:r>
      <w:r>
        <w:rPr>
          <w:rFonts w:ascii="Times New Roman" w:hAnsi="Times New Roman"/>
          <w:sz w:val="24"/>
          <w:szCs w:val="24"/>
        </w:rPr>
        <w:t xml:space="preserve"> </w:t>
      </w:r>
      <w:r w:rsidRPr="00FD2DAA">
        <w:rPr>
          <w:rFonts w:ascii="Times New Roman" w:hAnsi="Times New Roman"/>
          <w:sz w:val="24"/>
          <w:szCs w:val="24"/>
        </w:rPr>
        <w:t>city manager to uphold the laws of Sandusky, the state of Ohio, and the United</w:t>
      </w:r>
      <w:r>
        <w:rPr>
          <w:rFonts w:ascii="Times New Roman" w:hAnsi="Times New Roman"/>
          <w:sz w:val="24"/>
          <w:szCs w:val="24"/>
        </w:rPr>
        <w:t xml:space="preserve"> </w:t>
      </w:r>
      <w:r w:rsidRPr="00FD2DAA">
        <w:rPr>
          <w:rFonts w:ascii="Times New Roman" w:hAnsi="Times New Roman"/>
          <w:sz w:val="24"/>
          <w:szCs w:val="24"/>
        </w:rPr>
        <w:t xml:space="preserve">States. Further, the Ohio Peace Officer Training Commission lists </w:t>
      </w:r>
      <w:r>
        <w:rPr>
          <w:rFonts w:ascii="Times New Roman" w:hAnsi="Times New Roman"/>
          <w:sz w:val="24"/>
          <w:szCs w:val="24"/>
        </w:rPr>
        <w:t>‘</w:t>
      </w:r>
      <w:r w:rsidRPr="00FD2DAA">
        <w:rPr>
          <w:rFonts w:ascii="Times New Roman" w:hAnsi="Times New Roman"/>
          <w:sz w:val="24"/>
          <w:szCs w:val="24"/>
        </w:rPr>
        <w:t>Sandusky</w:t>
      </w:r>
      <w:r>
        <w:rPr>
          <w:rFonts w:ascii="Times New Roman" w:hAnsi="Times New Roman"/>
          <w:sz w:val="24"/>
          <w:szCs w:val="24"/>
        </w:rPr>
        <w:t xml:space="preserve"> </w:t>
      </w:r>
      <w:r w:rsidRPr="00FD2DAA">
        <w:rPr>
          <w:rFonts w:ascii="Times New Roman" w:hAnsi="Times New Roman"/>
          <w:sz w:val="24"/>
          <w:szCs w:val="24"/>
        </w:rPr>
        <w:t>Police/Cedar Point Division</w:t>
      </w:r>
      <w:r>
        <w:rPr>
          <w:rFonts w:ascii="Times New Roman" w:hAnsi="Times New Roman"/>
          <w:sz w:val="24"/>
          <w:szCs w:val="24"/>
        </w:rPr>
        <w:t>’</w:t>
      </w:r>
      <w:r w:rsidRPr="00FD2DAA">
        <w:rPr>
          <w:rFonts w:ascii="Times New Roman" w:hAnsi="Times New Roman"/>
          <w:sz w:val="24"/>
          <w:szCs w:val="24"/>
        </w:rPr>
        <w:t xml:space="preserve"> as a police agency.</w:t>
      </w:r>
      <w:r>
        <w:rPr>
          <w:rFonts w:ascii="Times New Roman" w:hAnsi="Times New Roman"/>
          <w:sz w:val="24"/>
          <w:szCs w:val="24"/>
        </w:rPr>
        <w:t>”</w:t>
      </w:r>
    </w:p>
    <w:p w14:paraId="6BC292F7" w14:textId="77777777" w:rsidR="00FB70BC" w:rsidRDefault="00FB70BC" w:rsidP="00FB70BC">
      <w:pPr>
        <w:pStyle w:val="NormalWeb"/>
        <w:jc w:val="center"/>
      </w:pPr>
    </w:p>
    <w:p w14:paraId="51FD047F" w14:textId="77777777" w:rsidR="002B2323" w:rsidRDefault="002B2323" w:rsidP="000C4DF5">
      <w:pPr>
        <w:pStyle w:val="NoSpacing"/>
        <w:rPr>
          <w:rFonts w:ascii="Arial Black" w:hAnsi="Arial Black"/>
          <w:sz w:val="24"/>
          <w:szCs w:val="24"/>
        </w:rPr>
      </w:pPr>
    </w:p>
    <w:p w14:paraId="61357726" w14:textId="77777777" w:rsidR="002B2323" w:rsidRDefault="002B2323" w:rsidP="000C4DF5">
      <w:pPr>
        <w:pStyle w:val="NoSpacing"/>
        <w:rPr>
          <w:rFonts w:ascii="Arial Black" w:hAnsi="Arial Black"/>
          <w:sz w:val="24"/>
          <w:szCs w:val="24"/>
        </w:rPr>
      </w:pPr>
    </w:p>
    <w:p w14:paraId="4AC326CA" w14:textId="77777777" w:rsidR="002B2323" w:rsidRDefault="002B2323" w:rsidP="000C4DF5">
      <w:pPr>
        <w:pStyle w:val="NoSpacing"/>
        <w:rPr>
          <w:rFonts w:ascii="Arial Black" w:hAnsi="Arial Black"/>
          <w:sz w:val="24"/>
          <w:szCs w:val="24"/>
        </w:rPr>
      </w:pPr>
    </w:p>
    <w:p w14:paraId="7F502482" w14:textId="77777777" w:rsidR="002B2323" w:rsidRDefault="002B2323" w:rsidP="000C4DF5">
      <w:pPr>
        <w:pStyle w:val="NoSpacing"/>
        <w:rPr>
          <w:rFonts w:ascii="Arial Black" w:hAnsi="Arial Black"/>
          <w:sz w:val="24"/>
          <w:szCs w:val="24"/>
        </w:rPr>
      </w:pPr>
    </w:p>
    <w:p w14:paraId="51241731" w14:textId="3BB3E475" w:rsidR="00B15008" w:rsidRDefault="00B15008" w:rsidP="000C4DF5">
      <w:pPr>
        <w:pStyle w:val="NoSpacing"/>
        <w:rPr>
          <w:rFonts w:ascii="Arial Black" w:hAnsi="Arial Black"/>
          <w:sz w:val="24"/>
          <w:szCs w:val="24"/>
        </w:rPr>
      </w:pPr>
      <w:r>
        <w:rPr>
          <w:rFonts w:ascii="Arial Black" w:hAnsi="Arial Black"/>
          <w:sz w:val="24"/>
          <w:szCs w:val="24"/>
        </w:rPr>
        <w:t>18-24</w:t>
      </w:r>
    </w:p>
    <w:p w14:paraId="6AB8CB58" w14:textId="77777777" w:rsidR="00B15008" w:rsidRDefault="00B15008" w:rsidP="000C4DF5">
      <w:pPr>
        <w:pStyle w:val="NoSpacing"/>
        <w:rPr>
          <w:rFonts w:ascii="Arial Black" w:hAnsi="Arial Black"/>
          <w:sz w:val="24"/>
          <w:szCs w:val="24"/>
        </w:rPr>
      </w:pPr>
    </w:p>
    <w:p w14:paraId="111AA394" w14:textId="77777777" w:rsidR="00FD530A" w:rsidRPr="008F56DF" w:rsidRDefault="00FD530A" w:rsidP="00FD530A">
      <w:pPr>
        <w:pStyle w:val="NoSpacing"/>
        <w:rPr>
          <w:rFonts w:ascii="Arial Black" w:hAnsi="Arial Black"/>
          <w:sz w:val="28"/>
          <w:szCs w:val="28"/>
        </w:rPr>
      </w:pPr>
      <w:r>
        <w:rPr>
          <w:rFonts w:ascii="Arial Black" w:hAnsi="Arial Black"/>
          <w:sz w:val="28"/>
          <w:szCs w:val="28"/>
        </w:rPr>
        <w:t xml:space="preserve">FL: PUBLIC RECORDS - MARSY’S LAW VICTIMS RIGHTS – TWO PD WHO KILLED TWO ASSAILANTS – NAMES PUBLIC </w:t>
      </w:r>
    </w:p>
    <w:p w14:paraId="46020E33" w14:textId="77777777" w:rsidR="00FD530A" w:rsidRDefault="00FD530A" w:rsidP="00FD530A">
      <w:pPr>
        <w:pStyle w:val="NoSpacing"/>
        <w:rPr>
          <w:rFonts w:ascii="Times New Roman" w:hAnsi="Times New Roman"/>
          <w:sz w:val="24"/>
          <w:szCs w:val="24"/>
        </w:rPr>
      </w:pPr>
    </w:p>
    <w:p w14:paraId="0448A130" w14:textId="57E7A586" w:rsidR="00B15008" w:rsidRDefault="00FD530A" w:rsidP="00FD530A">
      <w:pPr>
        <w:pStyle w:val="NoSpacing"/>
        <w:rPr>
          <w:rStyle w:val="Hyperlink"/>
          <w:rFonts w:ascii="Times New Roman" w:hAnsi="Times New Roman"/>
          <w:sz w:val="24"/>
          <w:szCs w:val="24"/>
        </w:rPr>
      </w:pPr>
      <w:r>
        <w:rPr>
          <w:rFonts w:ascii="Times New Roman" w:hAnsi="Times New Roman"/>
          <w:sz w:val="24"/>
          <w:szCs w:val="24"/>
        </w:rPr>
        <w:t xml:space="preserve">On Nov. 30, 2023, in </w:t>
      </w:r>
      <w:r w:rsidRPr="00B478B5">
        <w:rPr>
          <w:rFonts w:ascii="Times New Roman" w:hAnsi="Times New Roman"/>
          <w:sz w:val="24"/>
          <w:szCs w:val="24"/>
          <w:u w:val="single"/>
        </w:rPr>
        <w:t>City of Tallahassee, Florida v. Florida Police Benevolent Association, Inc., et al.</w:t>
      </w:r>
      <w:r>
        <w:rPr>
          <w:rFonts w:ascii="Times New Roman" w:hAnsi="Times New Roman"/>
          <w:sz w:val="24"/>
          <w:szCs w:val="24"/>
        </w:rPr>
        <w:t>, the Supreme Court of Florida, the Court held (5 to 0) that two policers had no right to prevent their names being released to reporters.   Each officer, in separate incidents, killed assailants in self-defense and were cleared by a grand jury, and now claimed their names were protected as “victims” under Marsy’s Law.   Florida residents in 2018 voted to amend the state Constitution so that victim’s location information would not be made public, and victims would be kept informed on status of a defendant’s case.  The Court held: “</w:t>
      </w:r>
      <w:r w:rsidRPr="006573E3">
        <w:rPr>
          <w:rFonts w:ascii="Times New Roman" w:hAnsi="Times New Roman"/>
          <w:sz w:val="24"/>
          <w:szCs w:val="24"/>
        </w:rPr>
        <w:t>Marsy’s Law</w:t>
      </w:r>
      <w:r>
        <w:rPr>
          <w:rFonts w:ascii="Times New Roman" w:hAnsi="Times New Roman"/>
          <w:sz w:val="24"/>
          <w:szCs w:val="24"/>
        </w:rPr>
        <w:t xml:space="preserve"> </w:t>
      </w:r>
      <w:r w:rsidRPr="006573E3">
        <w:rPr>
          <w:rFonts w:ascii="Times New Roman" w:hAnsi="Times New Roman"/>
          <w:sz w:val="24"/>
          <w:szCs w:val="24"/>
        </w:rPr>
        <w:t>does not preclude the City from releasing the</w:t>
      </w:r>
      <w:r>
        <w:rPr>
          <w:rFonts w:ascii="Times New Roman" w:hAnsi="Times New Roman"/>
          <w:sz w:val="24"/>
          <w:szCs w:val="24"/>
        </w:rPr>
        <w:t xml:space="preserve"> </w:t>
      </w:r>
      <w:r w:rsidRPr="006573E3">
        <w:rPr>
          <w:rFonts w:ascii="Times New Roman" w:hAnsi="Times New Roman"/>
          <w:sz w:val="24"/>
          <w:szCs w:val="24"/>
        </w:rPr>
        <w:t>names of the two police officers whose conduct is at issue in this</w:t>
      </w:r>
      <w:r>
        <w:rPr>
          <w:rFonts w:ascii="Times New Roman" w:hAnsi="Times New Roman"/>
          <w:sz w:val="24"/>
          <w:szCs w:val="24"/>
        </w:rPr>
        <w:t xml:space="preserve"> </w:t>
      </w:r>
      <w:r w:rsidRPr="006573E3">
        <w:rPr>
          <w:rFonts w:ascii="Times New Roman" w:hAnsi="Times New Roman"/>
          <w:sz w:val="24"/>
          <w:szCs w:val="24"/>
        </w:rPr>
        <w:t>case.</w:t>
      </w:r>
      <w:r>
        <w:rPr>
          <w:rFonts w:ascii="Times New Roman" w:hAnsi="Times New Roman"/>
          <w:sz w:val="24"/>
          <w:szCs w:val="24"/>
        </w:rPr>
        <w:t xml:space="preserve"> *** </w:t>
      </w:r>
      <w:r w:rsidRPr="00DF01CF">
        <w:rPr>
          <w:rFonts w:ascii="Times New Roman" w:hAnsi="Times New Roman"/>
          <w:sz w:val="24"/>
          <w:szCs w:val="24"/>
        </w:rPr>
        <w:t>Applying these interpretive principles to this case, we conclude</w:t>
      </w:r>
      <w:r>
        <w:rPr>
          <w:rFonts w:ascii="Times New Roman" w:hAnsi="Times New Roman"/>
          <w:sz w:val="24"/>
          <w:szCs w:val="24"/>
        </w:rPr>
        <w:t xml:space="preserve"> </w:t>
      </w:r>
      <w:r w:rsidRPr="00DF01CF">
        <w:rPr>
          <w:rFonts w:ascii="Times New Roman" w:hAnsi="Times New Roman"/>
          <w:sz w:val="24"/>
          <w:szCs w:val="24"/>
        </w:rPr>
        <w:t xml:space="preserve">that Marsy’s Law does not </w:t>
      </w:r>
      <w:proofErr w:type="gramStart"/>
      <w:r w:rsidRPr="00DF01CF">
        <w:rPr>
          <w:rFonts w:ascii="Times New Roman" w:hAnsi="Times New Roman"/>
          <w:sz w:val="24"/>
          <w:szCs w:val="24"/>
        </w:rPr>
        <w:t>guarantee to</w:t>
      </w:r>
      <w:proofErr w:type="gramEnd"/>
      <w:r w:rsidRPr="00DF01CF">
        <w:rPr>
          <w:rFonts w:ascii="Times New Roman" w:hAnsi="Times New Roman"/>
          <w:sz w:val="24"/>
          <w:szCs w:val="24"/>
        </w:rPr>
        <w:t xml:space="preserve"> a victim the categorical</w:t>
      </w:r>
      <w:r>
        <w:rPr>
          <w:rFonts w:ascii="Times New Roman" w:hAnsi="Times New Roman"/>
          <w:sz w:val="24"/>
          <w:szCs w:val="24"/>
        </w:rPr>
        <w:t xml:space="preserve"> </w:t>
      </w:r>
      <w:r w:rsidRPr="00DF01CF">
        <w:rPr>
          <w:rFonts w:ascii="Times New Roman" w:hAnsi="Times New Roman"/>
          <w:sz w:val="24"/>
          <w:szCs w:val="24"/>
        </w:rPr>
        <w:t>right to withhold his or her name from disclosure. In their ordinary</w:t>
      </w:r>
      <w:r>
        <w:rPr>
          <w:rFonts w:ascii="Times New Roman" w:hAnsi="Times New Roman"/>
          <w:sz w:val="24"/>
          <w:szCs w:val="24"/>
        </w:rPr>
        <w:t xml:space="preserve"> </w:t>
      </w:r>
      <w:r w:rsidRPr="00DF01CF">
        <w:rPr>
          <w:rFonts w:ascii="Times New Roman" w:hAnsi="Times New Roman"/>
          <w:sz w:val="24"/>
          <w:szCs w:val="24"/>
        </w:rPr>
        <w:t>and plain usage, the relevant words of our Constitution</w:t>
      </w:r>
      <w:r>
        <w:rPr>
          <w:rFonts w:ascii="Times New Roman" w:hAnsi="Times New Roman"/>
          <w:sz w:val="24"/>
          <w:szCs w:val="24"/>
        </w:rPr>
        <w:t xml:space="preserve"> [amended to include Marsy’s Law</w:t>
      </w:r>
      <w:proofErr w:type="gramStart"/>
      <w:r>
        <w:rPr>
          <w:rFonts w:ascii="Times New Roman" w:hAnsi="Times New Roman"/>
          <w:sz w:val="24"/>
          <w:szCs w:val="24"/>
        </w:rPr>
        <w:t>]</w:t>
      </w:r>
      <w:r w:rsidRPr="00DF01CF">
        <w:rPr>
          <w:rFonts w:ascii="Times New Roman" w:hAnsi="Times New Roman"/>
          <w:sz w:val="24"/>
          <w:szCs w:val="24"/>
        </w:rPr>
        <w:t>,</w:t>
      </w:r>
      <w:r>
        <w:rPr>
          <w:rFonts w:ascii="Times New Roman" w:hAnsi="Times New Roman"/>
          <w:sz w:val="24"/>
          <w:szCs w:val="24"/>
        </w:rPr>
        <w:t xml:space="preserve"> ‘</w:t>
      </w:r>
      <w:proofErr w:type="gramEnd"/>
      <w:r w:rsidRPr="00DF01CF">
        <w:rPr>
          <w:rFonts w:ascii="Times New Roman" w:hAnsi="Times New Roman"/>
          <w:sz w:val="24"/>
          <w:szCs w:val="24"/>
        </w:rPr>
        <w:t>information or records that could be used to locate or harass the</w:t>
      </w:r>
      <w:r>
        <w:rPr>
          <w:rFonts w:ascii="Times New Roman" w:hAnsi="Times New Roman"/>
          <w:sz w:val="24"/>
          <w:szCs w:val="24"/>
        </w:rPr>
        <w:t xml:space="preserve"> </w:t>
      </w:r>
      <w:r w:rsidRPr="00DF01CF">
        <w:rPr>
          <w:rFonts w:ascii="Times New Roman" w:hAnsi="Times New Roman"/>
          <w:sz w:val="24"/>
          <w:szCs w:val="24"/>
        </w:rPr>
        <w:t>victim or the victim’s family, or which could disclose confidential or</w:t>
      </w:r>
      <w:r>
        <w:rPr>
          <w:rFonts w:ascii="Times New Roman" w:hAnsi="Times New Roman"/>
          <w:sz w:val="24"/>
          <w:szCs w:val="24"/>
        </w:rPr>
        <w:t xml:space="preserve"> </w:t>
      </w:r>
      <w:r w:rsidRPr="00DF01CF">
        <w:rPr>
          <w:rFonts w:ascii="Times New Roman" w:hAnsi="Times New Roman"/>
          <w:sz w:val="24"/>
          <w:szCs w:val="24"/>
        </w:rPr>
        <w:t xml:space="preserve">privileged information of the </w:t>
      </w:r>
      <w:proofErr w:type="gramStart"/>
      <w:r w:rsidRPr="00DF01CF">
        <w:rPr>
          <w:rFonts w:ascii="Times New Roman" w:hAnsi="Times New Roman"/>
          <w:sz w:val="24"/>
          <w:szCs w:val="24"/>
        </w:rPr>
        <w:t>victim,</w:t>
      </w:r>
      <w:r>
        <w:rPr>
          <w:rFonts w:ascii="Times New Roman" w:hAnsi="Times New Roman"/>
          <w:sz w:val="24"/>
          <w:szCs w:val="24"/>
        </w:rPr>
        <w:t>’</w:t>
      </w:r>
      <w:proofErr w:type="gramEnd"/>
      <w:r w:rsidRPr="00DF01CF">
        <w:rPr>
          <w:rFonts w:ascii="Times New Roman" w:hAnsi="Times New Roman"/>
          <w:sz w:val="24"/>
          <w:szCs w:val="24"/>
        </w:rPr>
        <w:t xml:space="preserve"> art. I, § 16(b)(5), Fla. Const.,</w:t>
      </w:r>
      <w:r>
        <w:rPr>
          <w:rFonts w:ascii="Times New Roman" w:hAnsi="Times New Roman"/>
          <w:sz w:val="24"/>
          <w:szCs w:val="24"/>
        </w:rPr>
        <w:t xml:space="preserve"> </w:t>
      </w:r>
      <w:r w:rsidRPr="00DF01CF">
        <w:rPr>
          <w:rFonts w:ascii="Times New Roman" w:hAnsi="Times New Roman"/>
          <w:sz w:val="24"/>
          <w:szCs w:val="24"/>
        </w:rPr>
        <w:t>do not encompass the victim’s identity.</w:t>
      </w:r>
      <w:r>
        <w:rPr>
          <w:rFonts w:ascii="Times New Roman" w:hAnsi="Times New Roman"/>
          <w:sz w:val="24"/>
          <w:szCs w:val="24"/>
        </w:rPr>
        <w:t xml:space="preserve">” </w:t>
      </w:r>
      <w:hyperlink r:id="rId2979" w:history="1">
        <w:r w:rsidRPr="00E359E2">
          <w:rPr>
            <w:rStyle w:val="Hyperlink"/>
            <w:rFonts w:ascii="Times New Roman" w:hAnsi="Times New Roman"/>
            <w:sz w:val="24"/>
            <w:szCs w:val="24"/>
          </w:rPr>
          <w:t>https://supremecourt.flcourts.gov/content/download/1172655/opinion/Opinion_SC2021-0651.pdf</w:t>
        </w:r>
      </w:hyperlink>
    </w:p>
    <w:p w14:paraId="023BE753" w14:textId="77777777" w:rsidR="002B2323" w:rsidRDefault="002B2323" w:rsidP="00FD530A">
      <w:pPr>
        <w:pStyle w:val="NoSpacing"/>
        <w:rPr>
          <w:rStyle w:val="Hyperlink"/>
          <w:rFonts w:ascii="Times New Roman" w:hAnsi="Times New Roman"/>
          <w:sz w:val="24"/>
          <w:szCs w:val="24"/>
        </w:rPr>
      </w:pPr>
    </w:p>
    <w:p w14:paraId="5BBBA4D9" w14:textId="77777777" w:rsidR="002B2323" w:rsidRDefault="002B2323" w:rsidP="002B2323">
      <w:pPr>
        <w:pStyle w:val="NoSpacing"/>
        <w:rPr>
          <w:rFonts w:ascii="Times New Roman" w:hAnsi="Times New Roman"/>
          <w:b/>
          <w:bCs/>
          <w:sz w:val="24"/>
          <w:szCs w:val="24"/>
        </w:rPr>
      </w:pPr>
      <w:r w:rsidRPr="00A048D2">
        <w:rPr>
          <w:rFonts w:ascii="Times New Roman" w:hAnsi="Times New Roman"/>
          <w:b/>
          <w:bCs/>
          <w:sz w:val="24"/>
          <w:szCs w:val="24"/>
        </w:rPr>
        <w:lastRenderedPageBreak/>
        <w:t>Legal Lesson Learned:</w:t>
      </w:r>
      <w:r>
        <w:rPr>
          <w:rFonts w:ascii="Times New Roman" w:hAnsi="Times New Roman"/>
          <w:b/>
          <w:bCs/>
          <w:sz w:val="24"/>
          <w:szCs w:val="24"/>
        </w:rPr>
        <w:t xml:space="preserve">  Many states have enacted laws protecting from </w:t>
      </w:r>
      <w:proofErr w:type="gramStart"/>
      <w:r>
        <w:rPr>
          <w:rFonts w:ascii="Times New Roman" w:hAnsi="Times New Roman"/>
          <w:b/>
          <w:bCs/>
          <w:sz w:val="24"/>
          <w:szCs w:val="24"/>
        </w:rPr>
        <w:t>disclosure</w:t>
      </w:r>
      <w:proofErr w:type="gramEnd"/>
      <w:r>
        <w:rPr>
          <w:rFonts w:ascii="Times New Roman" w:hAnsi="Times New Roman"/>
          <w:b/>
          <w:bCs/>
          <w:sz w:val="24"/>
          <w:szCs w:val="24"/>
        </w:rPr>
        <w:t xml:space="preserve"> the home addresses of police, fire, EMS and other public officials. </w:t>
      </w:r>
    </w:p>
    <w:p w14:paraId="48B005DB" w14:textId="77777777" w:rsidR="002B2323" w:rsidRPr="007F1753" w:rsidRDefault="002B2323" w:rsidP="002B2323">
      <w:pPr>
        <w:pStyle w:val="NoSpacing"/>
        <w:rPr>
          <w:rFonts w:ascii="Times New Roman" w:hAnsi="Times New Roman"/>
          <w:sz w:val="24"/>
          <w:szCs w:val="24"/>
        </w:rPr>
      </w:pPr>
    </w:p>
    <w:p w14:paraId="23DD780E" w14:textId="77777777" w:rsidR="002B2323" w:rsidRDefault="002B2323" w:rsidP="002B2323">
      <w:pPr>
        <w:pStyle w:val="NoSpacing"/>
        <w:ind w:left="720"/>
        <w:rPr>
          <w:rFonts w:ascii="Times New Roman" w:hAnsi="Times New Roman"/>
          <w:sz w:val="24"/>
          <w:szCs w:val="24"/>
        </w:rPr>
      </w:pPr>
      <w:r w:rsidRPr="007F1753">
        <w:rPr>
          <w:rFonts w:ascii="Times New Roman" w:hAnsi="Times New Roman"/>
          <w:sz w:val="24"/>
          <w:szCs w:val="24"/>
        </w:rPr>
        <w:t xml:space="preserve">Note: </w:t>
      </w:r>
    </w:p>
    <w:p w14:paraId="02536E3B" w14:textId="77777777" w:rsidR="002B2323" w:rsidRPr="007B075D" w:rsidRDefault="002B2323" w:rsidP="002B2323">
      <w:pPr>
        <w:pStyle w:val="Heading1"/>
        <w:ind w:left="720"/>
        <w:rPr>
          <w:b w:val="0"/>
          <w:bCs w:val="0"/>
          <w:sz w:val="24"/>
          <w:szCs w:val="24"/>
        </w:rPr>
      </w:pPr>
      <w:r w:rsidRPr="007B075D">
        <w:rPr>
          <w:b w:val="0"/>
          <w:bCs w:val="0"/>
          <w:sz w:val="24"/>
          <w:szCs w:val="24"/>
        </w:rPr>
        <w:t xml:space="preserve">See article, “Florida court rules Marsy's Law doesn't apply to police; similar case pending in Ohio.” Nov. 30, 2023. </w:t>
      </w:r>
      <w:hyperlink r:id="rId2980" w:history="1">
        <w:r w:rsidRPr="007B075D">
          <w:rPr>
            <w:rStyle w:val="Hyperlink"/>
            <w:b w:val="0"/>
            <w:bCs w:val="0"/>
            <w:sz w:val="24"/>
            <w:szCs w:val="24"/>
          </w:rPr>
          <w:t>https://www.dispatch.com/story/news/courts/2023/11/30/florida-supreme-court-rules-that-marsys-law-privacy-doesnt-apply-to-police-officers/71758347007/?utm_source=columbusdispatch-dailybriefing-strada&amp;utm_medium=email&amp;utm_campaign=dailybriefing-headline-stack&amp;utm_term=Content%20List%20-%20Stacking%20-%20optimized&amp;utm_content=ncod-columbus-nletter65</w:t>
        </w:r>
      </w:hyperlink>
      <w:r w:rsidRPr="007B075D">
        <w:rPr>
          <w:b w:val="0"/>
          <w:bCs w:val="0"/>
          <w:sz w:val="24"/>
          <w:szCs w:val="24"/>
        </w:rPr>
        <w:t xml:space="preserve"> </w:t>
      </w:r>
    </w:p>
    <w:p w14:paraId="021787A6" w14:textId="77777777" w:rsidR="002B2323" w:rsidRDefault="002B2323" w:rsidP="00FD530A">
      <w:pPr>
        <w:pStyle w:val="NoSpacing"/>
        <w:rPr>
          <w:rFonts w:ascii="Arial Black" w:hAnsi="Arial Black"/>
          <w:sz w:val="24"/>
          <w:szCs w:val="24"/>
        </w:rPr>
      </w:pPr>
    </w:p>
    <w:p w14:paraId="761A89D7" w14:textId="77777777" w:rsidR="00B15008" w:rsidRDefault="00B15008" w:rsidP="000C4DF5">
      <w:pPr>
        <w:pStyle w:val="NoSpacing"/>
        <w:rPr>
          <w:rFonts w:ascii="Arial Black" w:hAnsi="Arial Black"/>
          <w:sz w:val="24"/>
          <w:szCs w:val="24"/>
        </w:rPr>
      </w:pPr>
    </w:p>
    <w:p w14:paraId="386DFF38" w14:textId="709A9A33" w:rsidR="00804F3A" w:rsidRDefault="006A02A4" w:rsidP="000C4DF5">
      <w:pPr>
        <w:pStyle w:val="NoSpacing"/>
        <w:rPr>
          <w:rFonts w:ascii="Arial Black" w:hAnsi="Arial Black"/>
          <w:sz w:val="24"/>
          <w:szCs w:val="24"/>
        </w:rPr>
      </w:pPr>
      <w:r>
        <w:rPr>
          <w:rFonts w:ascii="Arial Black" w:hAnsi="Arial Black"/>
          <w:sz w:val="24"/>
          <w:szCs w:val="24"/>
        </w:rPr>
        <w:t>18-23</w:t>
      </w:r>
    </w:p>
    <w:p w14:paraId="0DC5D690" w14:textId="77777777" w:rsidR="006A02A4" w:rsidRDefault="006A02A4" w:rsidP="000C4DF5">
      <w:pPr>
        <w:pStyle w:val="NoSpacing"/>
        <w:rPr>
          <w:rFonts w:ascii="Arial Black" w:hAnsi="Arial Black"/>
          <w:sz w:val="24"/>
          <w:szCs w:val="24"/>
        </w:rPr>
      </w:pPr>
    </w:p>
    <w:p w14:paraId="3C7A0AE0" w14:textId="77777777" w:rsidR="006A02A4" w:rsidRPr="003D49D7" w:rsidRDefault="006A02A4" w:rsidP="006A02A4">
      <w:pPr>
        <w:pStyle w:val="NoSpacing"/>
        <w:rPr>
          <w:rFonts w:ascii="Arial Black" w:hAnsi="Arial Black"/>
          <w:sz w:val="28"/>
          <w:szCs w:val="28"/>
        </w:rPr>
      </w:pPr>
      <w:r w:rsidRPr="003D49D7">
        <w:rPr>
          <w:rFonts w:ascii="Arial Black" w:hAnsi="Arial Black"/>
          <w:sz w:val="28"/>
          <w:szCs w:val="28"/>
        </w:rPr>
        <w:t xml:space="preserve">CA (4/17/2023) – NATURAL GAS PIPING – CITY OF BERKLEY </w:t>
      </w:r>
      <w:r>
        <w:rPr>
          <w:rFonts w:ascii="Arial Black" w:hAnsi="Arial Black"/>
          <w:sz w:val="28"/>
          <w:szCs w:val="28"/>
        </w:rPr>
        <w:t xml:space="preserve">ORD. </w:t>
      </w:r>
      <w:r w:rsidRPr="003D49D7">
        <w:rPr>
          <w:rFonts w:ascii="Arial Black" w:hAnsi="Arial Black"/>
          <w:sz w:val="28"/>
          <w:szCs w:val="28"/>
        </w:rPr>
        <w:t xml:space="preserve">NEW BUILDINGS STOP </w:t>
      </w:r>
      <w:r>
        <w:rPr>
          <w:rFonts w:ascii="Arial Black" w:hAnsi="Arial Black"/>
          <w:sz w:val="28"/>
          <w:szCs w:val="28"/>
        </w:rPr>
        <w:t>NATURAL GAS VIOL. FED LAW</w:t>
      </w:r>
    </w:p>
    <w:p w14:paraId="30FFFDDB" w14:textId="77777777" w:rsidR="006A02A4" w:rsidRDefault="006A02A4" w:rsidP="006A02A4">
      <w:pPr>
        <w:pStyle w:val="NoSpacing"/>
      </w:pPr>
    </w:p>
    <w:p w14:paraId="67BA8329" w14:textId="77777777" w:rsidR="006A02A4" w:rsidRPr="003C1643" w:rsidRDefault="006A02A4" w:rsidP="006A02A4">
      <w:pPr>
        <w:pStyle w:val="NoSpacing"/>
        <w:rPr>
          <w:rFonts w:ascii="Times New Roman" w:hAnsi="Times New Roman"/>
          <w:sz w:val="24"/>
          <w:szCs w:val="24"/>
        </w:rPr>
      </w:pPr>
      <w:r w:rsidRPr="003C1643">
        <w:rPr>
          <w:rFonts w:ascii="Times New Roman" w:hAnsi="Times New Roman"/>
          <w:sz w:val="24"/>
          <w:szCs w:val="24"/>
          <w:u w:val="single"/>
        </w:rPr>
        <w:t>California Restaurant Association v. City of Berkeley</w:t>
      </w:r>
      <w:r w:rsidRPr="003C1643">
        <w:rPr>
          <w:rFonts w:ascii="Times New Roman" w:hAnsi="Times New Roman"/>
          <w:sz w:val="24"/>
          <w:szCs w:val="24"/>
        </w:rPr>
        <w:t>, U.S. Court of Appeals for 9</w:t>
      </w:r>
      <w:r w:rsidRPr="003C1643">
        <w:rPr>
          <w:rFonts w:ascii="Times New Roman" w:hAnsi="Times New Roman"/>
          <w:sz w:val="24"/>
          <w:szCs w:val="24"/>
          <w:vertAlign w:val="superscript"/>
        </w:rPr>
        <w:t>th</w:t>
      </w:r>
      <w:r w:rsidRPr="003C1643">
        <w:rPr>
          <w:rFonts w:ascii="Times New Roman" w:hAnsi="Times New Roman"/>
          <w:sz w:val="24"/>
          <w:szCs w:val="24"/>
        </w:rPr>
        <w:t xml:space="preserve"> Circuit. </w:t>
      </w:r>
      <w:hyperlink r:id="rId2981" w:history="1">
        <w:r w:rsidRPr="003C1643">
          <w:rPr>
            <w:rStyle w:val="Hyperlink"/>
            <w:rFonts w:ascii="Times New Roman" w:hAnsi="Times New Roman"/>
            <w:sz w:val="24"/>
            <w:szCs w:val="24"/>
          </w:rPr>
          <w:t>https://cdn.ca9.uscourts.gov/datastore/opinions/2023/04/17/21-16278.pdf</w:t>
        </w:r>
      </w:hyperlink>
      <w:r w:rsidRPr="003C1643">
        <w:rPr>
          <w:rFonts w:ascii="Times New Roman" w:hAnsi="Times New Roman"/>
          <w:sz w:val="24"/>
          <w:szCs w:val="24"/>
        </w:rPr>
        <w:t xml:space="preserve"> </w:t>
      </w:r>
    </w:p>
    <w:p w14:paraId="15035900" w14:textId="77777777" w:rsidR="006A02A4" w:rsidRDefault="006A02A4" w:rsidP="000C4DF5">
      <w:pPr>
        <w:pStyle w:val="NoSpacing"/>
        <w:rPr>
          <w:rFonts w:ascii="Arial Black" w:hAnsi="Arial Black"/>
          <w:sz w:val="24"/>
          <w:szCs w:val="24"/>
        </w:rPr>
      </w:pPr>
    </w:p>
    <w:p w14:paraId="3084C9F6" w14:textId="7144B190" w:rsidR="0012739E" w:rsidRDefault="0012739E" w:rsidP="000C4DF5">
      <w:pPr>
        <w:pStyle w:val="NoSpacing"/>
        <w:rPr>
          <w:rFonts w:ascii="Times New Roman" w:hAnsi="Times New Roman"/>
          <w:b/>
          <w:bCs/>
          <w:sz w:val="24"/>
          <w:szCs w:val="24"/>
        </w:rPr>
      </w:pPr>
      <w:r w:rsidRPr="003C1643">
        <w:rPr>
          <w:rFonts w:ascii="Times New Roman" w:hAnsi="Times New Roman"/>
          <w:b/>
          <w:bCs/>
          <w:sz w:val="24"/>
          <w:szCs w:val="24"/>
        </w:rPr>
        <w:t>Legal Lesson Learned: Federal statute pre</w:t>
      </w:r>
      <w:r>
        <w:rPr>
          <w:rFonts w:ascii="Times New Roman" w:hAnsi="Times New Roman"/>
          <w:b/>
          <w:bCs/>
          <w:sz w:val="24"/>
          <w:szCs w:val="24"/>
        </w:rPr>
        <w:t>emption of</w:t>
      </w:r>
      <w:r w:rsidRPr="003C1643">
        <w:rPr>
          <w:rFonts w:ascii="Times New Roman" w:hAnsi="Times New Roman"/>
          <w:b/>
          <w:bCs/>
          <w:sz w:val="24"/>
          <w:szCs w:val="24"/>
        </w:rPr>
        <w:t xml:space="preserve"> City of Berkeley </w:t>
      </w:r>
      <w:r>
        <w:rPr>
          <w:rFonts w:ascii="Times New Roman" w:hAnsi="Times New Roman"/>
          <w:b/>
          <w:bCs/>
          <w:sz w:val="24"/>
          <w:szCs w:val="24"/>
        </w:rPr>
        <w:t>ordinance.</w:t>
      </w:r>
    </w:p>
    <w:p w14:paraId="217BD654" w14:textId="77777777" w:rsidR="0012739E" w:rsidRDefault="0012739E" w:rsidP="000C4DF5">
      <w:pPr>
        <w:pStyle w:val="NoSpacing"/>
        <w:rPr>
          <w:rFonts w:ascii="Times New Roman" w:hAnsi="Times New Roman"/>
          <w:b/>
          <w:bCs/>
          <w:sz w:val="24"/>
          <w:szCs w:val="24"/>
        </w:rPr>
      </w:pPr>
    </w:p>
    <w:p w14:paraId="161B0551" w14:textId="77777777" w:rsidR="0012739E" w:rsidRDefault="0012739E" w:rsidP="000C4DF5">
      <w:pPr>
        <w:pStyle w:val="NoSpacing"/>
        <w:rPr>
          <w:rFonts w:ascii="Times New Roman" w:hAnsi="Times New Roman"/>
          <w:b/>
          <w:bCs/>
          <w:sz w:val="24"/>
          <w:szCs w:val="24"/>
        </w:rPr>
      </w:pPr>
    </w:p>
    <w:p w14:paraId="2F9E4F87" w14:textId="7A9F113C" w:rsidR="0012739E" w:rsidRPr="0012739E" w:rsidRDefault="0012739E" w:rsidP="000C4DF5">
      <w:pPr>
        <w:pStyle w:val="NoSpacing"/>
        <w:rPr>
          <w:rFonts w:ascii="Arial Black" w:hAnsi="Arial Black"/>
          <w:b/>
          <w:bCs/>
          <w:sz w:val="24"/>
          <w:szCs w:val="24"/>
        </w:rPr>
      </w:pPr>
      <w:r w:rsidRPr="0012739E">
        <w:rPr>
          <w:rFonts w:ascii="Arial Black" w:hAnsi="Arial Black"/>
          <w:b/>
          <w:bCs/>
          <w:sz w:val="24"/>
          <w:szCs w:val="24"/>
        </w:rPr>
        <w:t>18-22</w:t>
      </w:r>
    </w:p>
    <w:p w14:paraId="1B4C2F75" w14:textId="77777777" w:rsidR="0012739E" w:rsidRDefault="0012739E" w:rsidP="000C4DF5">
      <w:pPr>
        <w:pStyle w:val="NoSpacing"/>
        <w:rPr>
          <w:rFonts w:ascii="Times New Roman" w:hAnsi="Times New Roman"/>
          <w:b/>
          <w:bCs/>
          <w:sz w:val="24"/>
          <w:szCs w:val="24"/>
        </w:rPr>
      </w:pPr>
    </w:p>
    <w:p w14:paraId="04F629B2" w14:textId="77777777" w:rsidR="0012739E" w:rsidRPr="0097436D" w:rsidRDefault="0012739E" w:rsidP="0012739E">
      <w:pPr>
        <w:pStyle w:val="NoSpacing"/>
        <w:rPr>
          <w:rFonts w:ascii="Arial Black" w:hAnsi="Arial Black"/>
          <w:sz w:val="28"/>
          <w:szCs w:val="28"/>
        </w:rPr>
      </w:pPr>
      <w:r w:rsidRPr="0097436D">
        <w:rPr>
          <w:rFonts w:ascii="Arial Black" w:hAnsi="Arial Black"/>
          <w:sz w:val="28"/>
          <w:szCs w:val="28"/>
        </w:rPr>
        <w:t>OH (4/6/2023) – VICTIM RIGHTS</w:t>
      </w:r>
      <w:r>
        <w:rPr>
          <w:rFonts w:ascii="Arial Black" w:hAnsi="Arial Black"/>
          <w:sz w:val="28"/>
          <w:szCs w:val="28"/>
        </w:rPr>
        <w:t xml:space="preserve"> </w:t>
      </w:r>
      <w:r w:rsidRPr="0097436D">
        <w:rPr>
          <w:rFonts w:ascii="Arial Black" w:hAnsi="Arial Black"/>
          <w:sz w:val="28"/>
          <w:szCs w:val="28"/>
        </w:rPr>
        <w:t>- HOUSE BILL 343 – NAMES / ADDRESSES NOT PUBLIC – NEW FORM FOR PD</w:t>
      </w:r>
      <w:r>
        <w:rPr>
          <w:rFonts w:ascii="Arial Black" w:hAnsi="Arial Black"/>
          <w:sz w:val="28"/>
          <w:szCs w:val="28"/>
        </w:rPr>
        <w:t xml:space="preserve"> TO USE</w:t>
      </w:r>
    </w:p>
    <w:p w14:paraId="72AA3447" w14:textId="77777777" w:rsidR="0012739E" w:rsidRPr="003C1643" w:rsidRDefault="0012739E" w:rsidP="0012739E">
      <w:pPr>
        <w:pStyle w:val="NoSpacing"/>
        <w:rPr>
          <w:rStyle w:val="markedcontent"/>
          <w:rFonts w:ascii="Times New Roman" w:hAnsi="Times New Roman"/>
          <w:sz w:val="24"/>
          <w:szCs w:val="24"/>
        </w:rPr>
      </w:pPr>
      <w:r w:rsidRPr="003C1643">
        <w:rPr>
          <w:rStyle w:val="markedcontent"/>
          <w:rFonts w:ascii="Times New Roman" w:hAnsi="Times New Roman"/>
          <w:sz w:val="24"/>
          <w:szCs w:val="24"/>
        </w:rPr>
        <w:t>“Entitles a victim and victim’s representative to be present during any public proceeding,</w:t>
      </w:r>
      <w:r w:rsidRPr="003C1643">
        <w:rPr>
          <w:rFonts w:ascii="Times New Roman" w:hAnsi="Times New Roman"/>
          <w:sz w:val="24"/>
          <w:szCs w:val="24"/>
        </w:rPr>
        <w:br/>
      </w:r>
      <w:r w:rsidRPr="003C1643">
        <w:rPr>
          <w:rStyle w:val="markedcontent"/>
          <w:rFonts w:ascii="Times New Roman" w:hAnsi="Times New Roman"/>
          <w:sz w:val="24"/>
          <w:szCs w:val="24"/>
        </w:rPr>
        <w:t>other than a grand jury proceeding, and grants the victim, victim’s representative, and</w:t>
      </w:r>
      <w:r w:rsidRPr="003C1643">
        <w:rPr>
          <w:rFonts w:ascii="Times New Roman" w:hAnsi="Times New Roman"/>
          <w:sz w:val="24"/>
          <w:szCs w:val="24"/>
        </w:rPr>
        <w:br/>
      </w:r>
      <w:r w:rsidRPr="003C1643">
        <w:rPr>
          <w:rStyle w:val="markedcontent"/>
          <w:rFonts w:ascii="Times New Roman" w:hAnsi="Times New Roman"/>
          <w:sz w:val="24"/>
          <w:szCs w:val="24"/>
        </w:rPr>
        <w:t>victim’s attorney the right to be heard by the court at any proceeding in which any right</w:t>
      </w:r>
      <w:r w:rsidRPr="003C1643">
        <w:rPr>
          <w:rFonts w:ascii="Times New Roman" w:hAnsi="Times New Roman"/>
          <w:sz w:val="24"/>
          <w:szCs w:val="24"/>
        </w:rPr>
        <w:br/>
      </w:r>
      <w:r w:rsidRPr="003C1643">
        <w:rPr>
          <w:rStyle w:val="markedcontent"/>
          <w:rFonts w:ascii="Times New Roman" w:hAnsi="Times New Roman"/>
          <w:sz w:val="24"/>
          <w:szCs w:val="24"/>
        </w:rPr>
        <w:t xml:space="preserve">of the victim is implicated. *** Requires that a victim’s name and identifying information be documented on a separate page in law enforcement records and court filings, which is not a public record. ***Requires the Supreme Court to create the victim’s rights request form. </w:t>
      </w:r>
      <w:hyperlink r:id="rId2982" w:history="1">
        <w:r w:rsidRPr="003C1643">
          <w:rPr>
            <w:rStyle w:val="Hyperlink"/>
            <w:rFonts w:ascii="Times New Roman" w:hAnsi="Times New Roman"/>
            <w:sz w:val="24"/>
            <w:szCs w:val="24"/>
          </w:rPr>
          <w:t>https://www.legislature.ohio.gov/download?key=20348&amp;format=pdf</w:t>
        </w:r>
      </w:hyperlink>
      <w:r w:rsidRPr="003C1643">
        <w:rPr>
          <w:rStyle w:val="markedcontent"/>
          <w:rFonts w:ascii="Times New Roman" w:hAnsi="Times New Roman"/>
          <w:sz w:val="24"/>
          <w:szCs w:val="24"/>
        </w:rPr>
        <w:t>.</w:t>
      </w:r>
    </w:p>
    <w:p w14:paraId="06A484DA" w14:textId="77777777" w:rsidR="0012739E" w:rsidRPr="003C1643" w:rsidRDefault="0012739E" w:rsidP="0012739E">
      <w:pPr>
        <w:pStyle w:val="NoSpacing"/>
        <w:rPr>
          <w:rStyle w:val="markedcontent"/>
          <w:rFonts w:ascii="Times New Roman" w:hAnsi="Times New Roman"/>
          <w:sz w:val="24"/>
          <w:szCs w:val="24"/>
        </w:rPr>
      </w:pPr>
    </w:p>
    <w:p w14:paraId="708958D0" w14:textId="77777777" w:rsidR="0012739E" w:rsidRPr="003C1643" w:rsidRDefault="0012739E" w:rsidP="0012739E">
      <w:pPr>
        <w:pStyle w:val="NoSpacing"/>
        <w:rPr>
          <w:rStyle w:val="markedcontent"/>
          <w:rFonts w:ascii="Times New Roman" w:hAnsi="Times New Roman"/>
          <w:b/>
          <w:bCs/>
          <w:sz w:val="24"/>
          <w:szCs w:val="24"/>
        </w:rPr>
      </w:pPr>
      <w:r w:rsidRPr="003C1643">
        <w:rPr>
          <w:rStyle w:val="markedcontent"/>
          <w:rFonts w:ascii="Times New Roman" w:hAnsi="Times New Roman"/>
          <w:b/>
          <w:bCs/>
          <w:sz w:val="24"/>
          <w:szCs w:val="24"/>
        </w:rPr>
        <w:t xml:space="preserve">Legal Lesson Learned: Ohio </w:t>
      </w:r>
      <w:proofErr w:type="gramStart"/>
      <w:r w:rsidRPr="003C1643">
        <w:rPr>
          <w:rStyle w:val="markedcontent"/>
          <w:rFonts w:ascii="Times New Roman" w:hAnsi="Times New Roman"/>
          <w:b/>
          <w:bCs/>
          <w:sz w:val="24"/>
          <w:szCs w:val="24"/>
        </w:rPr>
        <w:t>fire</w:t>
      </w:r>
      <w:proofErr w:type="gramEnd"/>
      <w:r w:rsidRPr="003C1643">
        <w:rPr>
          <w:rStyle w:val="markedcontent"/>
          <w:rFonts w:ascii="Times New Roman" w:hAnsi="Times New Roman"/>
          <w:b/>
          <w:bCs/>
          <w:sz w:val="24"/>
          <w:szCs w:val="24"/>
        </w:rPr>
        <w:t xml:space="preserve"> and EMS will deal with crime victims; </w:t>
      </w:r>
      <w:proofErr w:type="gramStart"/>
      <w:r w:rsidRPr="003C1643">
        <w:rPr>
          <w:rStyle w:val="markedcontent"/>
          <w:rFonts w:ascii="Times New Roman" w:hAnsi="Times New Roman"/>
          <w:b/>
          <w:bCs/>
          <w:sz w:val="24"/>
          <w:szCs w:val="24"/>
        </w:rPr>
        <w:t>important</w:t>
      </w:r>
      <w:proofErr w:type="gramEnd"/>
      <w:r w:rsidRPr="003C1643">
        <w:rPr>
          <w:rStyle w:val="markedcontent"/>
          <w:rFonts w:ascii="Times New Roman" w:hAnsi="Times New Roman"/>
          <w:b/>
          <w:bCs/>
          <w:sz w:val="24"/>
          <w:szCs w:val="24"/>
        </w:rPr>
        <w:t xml:space="preserve"> that they understand rights of the victims in the criminal system. </w:t>
      </w:r>
    </w:p>
    <w:p w14:paraId="6021178D" w14:textId="77777777" w:rsidR="0012739E" w:rsidRPr="003C1643" w:rsidRDefault="0012739E" w:rsidP="0012739E">
      <w:pPr>
        <w:pStyle w:val="NoSpacing"/>
        <w:rPr>
          <w:rStyle w:val="markedcontent"/>
          <w:rFonts w:ascii="Times New Roman" w:hAnsi="Times New Roman"/>
          <w:sz w:val="24"/>
          <w:szCs w:val="24"/>
        </w:rPr>
      </w:pPr>
    </w:p>
    <w:p w14:paraId="70915CF4" w14:textId="77777777" w:rsidR="0012739E" w:rsidRPr="003C1643" w:rsidRDefault="0012739E" w:rsidP="0012739E">
      <w:pPr>
        <w:pStyle w:val="NoSpacing"/>
        <w:ind w:left="720"/>
        <w:rPr>
          <w:rStyle w:val="markedcontent"/>
          <w:rFonts w:ascii="Times New Roman" w:hAnsi="Times New Roman"/>
          <w:sz w:val="24"/>
          <w:szCs w:val="24"/>
        </w:rPr>
      </w:pPr>
      <w:r w:rsidRPr="003C1643">
        <w:rPr>
          <w:rStyle w:val="markedcontent"/>
          <w:rFonts w:ascii="Times New Roman" w:hAnsi="Times New Roman"/>
          <w:sz w:val="24"/>
          <w:szCs w:val="24"/>
        </w:rPr>
        <w:t xml:space="preserve">Note:  See the new form to be used by PD: </w:t>
      </w:r>
      <w:hyperlink r:id="rId2983" w:history="1">
        <w:r w:rsidRPr="003C1643">
          <w:rPr>
            <w:rStyle w:val="Hyperlink"/>
            <w:rFonts w:ascii="Times New Roman" w:hAnsi="Times New Roman"/>
            <w:sz w:val="24"/>
            <w:szCs w:val="24"/>
          </w:rPr>
          <w:t>https://www.supremecourt.ohio.gov/marsy-s-law-and-crime-victim-rights/</w:t>
        </w:r>
      </w:hyperlink>
      <w:r w:rsidRPr="003C1643">
        <w:rPr>
          <w:rStyle w:val="markedcontent"/>
          <w:rFonts w:ascii="Times New Roman" w:hAnsi="Times New Roman"/>
          <w:sz w:val="24"/>
          <w:szCs w:val="24"/>
        </w:rPr>
        <w:t xml:space="preserve"> . </w:t>
      </w:r>
    </w:p>
    <w:p w14:paraId="13A7E997" w14:textId="77777777" w:rsidR="0012739E" w:rsidRPr="003C1643" w:rsidRDefault="0012739E" w:rsidP="0012739E">
      <w:pPr>
        <w:pStyle w:val="NoSpacing"/>
        <w:ind w:left="720"/>
        <w:rPr>
          <w:rStyle w:val="markedcontent"/>
          <w:rFonts w:ascii="Times New Roman" w:hAnsi="Times New Roman"/>
          <w:sz w:val="24"/>
          <w:szCs w:val="24"/>
        </w:rPr>
      </w:pPr>
    </w:p>
    <w:p w14:paraId="31009E85" w14:textId="77777777" w:rsidR="0012739E" w:rsidRDefault="0012739E" w:rsidP="000C4DF5">
      <w:pPr>
        <w:pStyle w:val="NoSpacing"/>
        <w:rPr>
          <w:rFonts w:ascii="Arial Black" w:hAnsi="Arial Black"/>
          <w:sz w:val="24"/>
          <w:szCs w:val="24"/>
        </w:rPr>
      </w:pPr>
    </w:p>
    <w:p w14:paraId="60092C3A" w14:textId="77777777" w:rsidR="006A02A4" w:rsidRDefault="006A02A4" w:rsidP="000C4DF5">
      <w:pPr>
        <w:pStyle w:val="NoSpacing"/>
        <w:rPr>
          <w:rFonts w:ascii="Arial Black" w:hAnsi="Arial Black"/>
          <w:sz w:val="24"/>
          <w:szCs w:val="24"/>
        </w:rPr>
      </w:pPr>
    </w:p>
    <w:p w14:paraId="251D368F" w14:textId="77777777" w:rsidR="006A02A4" w:rsidRDefault="006A02A4" w:rsidP="000C4DF5">
      <w:pPr>
        <w:pStyle w:val="NoSpacing"/>
        <w:rPr>
          <w:rFonts w:ascii="Arial Black" w:hAnsi="Arial Black"/>
          <w:sz w:val="24"/>
          <w:szCs w:val="24"/>
        </w:rPr>
      </w:pPr>
    </w:p>
    <w:p w14:paraId="5CEA81E4" w14:textId="5AF28676" w:rsidR="00804F3A" w:rsidRDefault="00804F3A" w:rsidP="000C4DF5">
      <w:pPr>
        <w:pStyle w:val="NoSpacing"/>
        <w:rPr>
          <w:rFonts w:ascii="Arial Black" w:hAnsi="Arial Black"/>
          <w:sz w:val="24"/>
          <w:szCs w:val="24"/>
        </w:rPr>
      </w:pPr>
      <w:r>
        <w:rPr>
          <w:rFonts w:ascii="Arial Black" w:hAnsi="Arial Black"/>
          <w:sz w:val="24"/>
          <w:szCs w:val="24"/>
        </w:rPr>
        <w:t>18-2</w:t>
      </w:r>
      <w:r w:rsidR="00465DC0">
        <w:rPr>
          <w:rFonts w:ascii="Arial Black" w:hAnsi="Arial Black"/>
          <w:sz w:val="24"/>
          <w:szCs w:val="24"/>
        </w:rPr>
        <w:t>1</w:t>
      </w:r>
    </w:p>
    <w:p w14:paraId="666748B9" w14:textId="77777777" w:rsidR="00804F3A" w:rsidRDefault="00804F3A" w:rsidP="00804F3A">
      <w:pPr>
        <w:pStyle w:val="NormalWeb"/>
        <w:rPr>
          <w:rStyle w:val="markedcontent"/>
          <w:rFonts w:ascii="Arial Black" w:hAnsi="Arial Black"/>
          <w:sz w:val="28"/>
          <w:szCs w:val="28"/>
        </w:rPr>
      </w:pPr>
      <w:r>
        <w:rPr>
          <w:rStyle w:val="markedcontent"/>
          <w:rFonts w:ascii="Arial Black" w:hAnsi="Arial Black"/>
          <w:sz w:val="28"/>
          <w:szCs w:val="28"/>
        </w:rPr>
        <w:lastRenderedPageBreak/>
        <w:t>FL: OVARIAN CANCER IN 2017 - FIVE YEARS AFTER HER RETIREMENT – NEW CANCER LAW 2019 NOT RETROACTIVE</w:t>
      </w:r>
    </w:p>
    <w:p w14:paraId="235DBC52" w14:textId="77777777" w:rsidR="00804F3A" w:rsidRDefault="00804F3A" w:rsidP="00804F3A">
      <w:pPr>
        <w:pStyle w:val="NormalWeb"/>
        <w:rPr>
          <w:rStyle w:val="markedcontent"/>
        </w:rPr>
      </w:pPr>
      <w:r>
        <w:rPr>
          <w:rStyle w:val="markedcontent"/>
        </w:rPr>
        <w:t xml:space="preserve">On Oct. 21, 2022, in </w:t>
      </w:r>
      <w:r w:rsidRPr="00AC460C">
        <w:rPr>
          <w:rStyle w:val="markedcontent"/>
        </w:rPr>
        <w:t>Kathleen Weaver v. Volusia County, Florida</w:t>
      </w:r>
      <w:r>
        <w:rPr>
          <w:rStyle w:val="markedcontent"/>
        </w:rPr>
        <w:t xml:space="preserve">, the Florida Court of Appeals, Fifth District, held (3 to 0) that the trial court properly held (3 to 0) that the new statute is not retroactive.  When she learned of her cancer in 2017 her only remedy was a workers’ comp claim, which would have required her to prove the cancer was caused by her job.  She didn’t file such a claim and cannot now benefit from the new law creating a presumption that it was caused by the job.  </w:t>
      </w:r>
    </w:p>
    <w:p w14:paraId="018EC7F8" w14:textId="2B4F83A7" w:rsidR="00804F3A" w:rsidRDefault="00804F3A" w:rsidP="00FD581A">
      <w:pPr>
        <w:pStyle w:val="NoSpacing"/>
        <w:ind w:left="720"/>
        <w:rPr>
          <w:rStyle w:val="Hyperlink"/>
          <w:rFonts w:eastAsiaTheme="majorEastAsia"/>
        </w:rPr>
      </w:pPr>
      <w:r w:rsidRPr="00FD581A">
        <w:rPr>
          <w:rStyle w:val="markedcontent"/>
          <w:rFonts w:ascii="Times New Roman" w:hAnsi="Times New Roman"/>
          <w:sz w:val="24"/>
          <w:szCs w:val="24"/>
        </w:rPr>
        <w:t xml:space="preserve">“As a substantive law, section 112.1816 is presumed to apply prospectively unless the text ‘provides for retroactive application,’ and ‘such application is constitutionally permissible.’… For these reasons, we find that section 112.1816 is not retroactive and, thus, </w:t>
      </w:r>
      <w:proofErr w:type="gramStart"/>
      <w:r w:rsidRPr="00FD581A">
        <w:rPr>
          <w:rStyle w:val="markedcontent"/>
          <w:rFonts w:ascii="Times New Roman" w:hAnsi="Times New Roman"/>
          <w:sz w:val="24"/>
          <w:szCs w:val="24"/>
        </w:rPr>
        <w:t>affirm</w:t>
      </w:r>
      <w:proofErr w:type="gramEnd"/>
      <w:r w:rsidRPr="00FD581A">
        <w:rPr>
          <w:rStyle w:val="markedcontent"/>
          <w:rFonts w:ascii="Times New Roman" w:hAnsi="Times New Roman"/>
          <w:sz w:val="24"/>
          <w:szCs w:val="24"/>
        </w:rPr>
        <w:t xml:space="preserve"> </w:t>
      </w:r>
      <w:proofErr w:type="gramStart"/>
      <w:r w:rsidRPr="00FD581A">
        <w:rPr>
          <w:rStyle w:val="markedcontent"/>
          <w:rFonts w:ascii="Times New Roman" w:hAnsi="Times New Roman"/>
          <w:sz w:val="24"/>
          <w:szCs w:val="24"/>
        </w:rPr>
        <w:t>the trial</w:t>
      </w:r>
      <w:proofErr w:type="gramEnd"/>
      <w:r w:rsidRPr="00FD581A">
        <w:rPr>
          <w:rStyle w:val="markedcontent"/>
          <w:rFonts w:ascii="Times New Roman" w:hAnsi="Times New Roman"/>
          <w:sz w:val="24"/>
          <w:szCs w:val="24"/>
        </w:rPr>
        <w:t xml:space="preserve"> court’s order granting the County summary </w:t>
      </w:r>
      <w:proofErr w:type="gramStart"/>
      <w:r w:rsidRPr="00FD581A">
        <w:rPr>
          <w:rStyle w:val="markedcontent"/>
          <w:rFonts w:ascii="Times New Roman" w:hAnsi="Times New Roman"/>
          <w:sz w:val="24"/>
          <w:szCs w:val="24"/>
        </w:rPr>
        <w:t>judgment.”</w:t>
      </w:r>
      <w:proofErr w:type="gramEnd"/>
      <w:r>
        <w:rPr>
          <w:rStyle w:val="markedcontent"/>
        </w:rPr>
        <w:t xml:space="preserve"> </w:t>
      </w:r>
      <w:hyperlink r:id="rId2984" w:history="1">
        <w:r w:rsidRPr="007662E8">
          <w:rPr>
            <w:rStyle w:val="Hyperlink"/>
            <w:rFonts w:eastAsiaTheme="majorEastAsia"/>
          </w:rPr>
          <w:t>https://cases.justia.com/florida/fifth-district-court-of-appeal/2022-5d21-1620.pdf?ts=1666365198</w:t>
        </w:r>
      </w:hyperlink>
    </w:p>
    <w:p w14:paraId="247A75C9" w14:textId="09056AE0" w:rsidR="00804F3A" w:rsidRDefault="00804F3A" w:rsidP="00804F3A">
      <w:pPr>
        <w:pStyle w:val="NoSpacing"/>
        <w:rPr>
          <w:rStyle w:val="Hyperlink"/>
          <w:rFonts w:eastAsiaTheme="majorEastAsia"/>
        </w:rPr>
      </w:pPr>
    </w:p>
    <w:p w14:paraId="0639EC7B" w14:textId="77777777" w:rsidR="00804F3A" w:rsidRDefault="00804F3A" w:rsidP="00804F3A">
      <w:pPr>
        <w:pStyle w:val="NormalWeb"/>
        <w:rPr>
          <w:rStyle w:val="markedcontent"/>
          <w:b/>
          <w:bCs/>
        </w:rPr>
      </w:pPr>
      <w:r w:rsidRPr="00AC460C">
        <w:rPr>
          <w:rStyle w:val="markedcontent"/>
          <w:b/>
          <w:bCs/>
        </w:rPr>
        <w:t>Legal Lesson Learned:</w:t>
      </w:r>
      <w:r>
        <w:rPr>
          <w:rStyle w:val="markedcontent"/>
          <w:b/>
          <w:bCs/>
        </w:rPr>
        <w:t xml:space="preserve"> Firefighter cancer law very helpful; but State legislature did not make it retroactive. </w:t>
      </w:r>
    </w:p>
    <w:p w14:paraId="7C36102D" w14:textId="40741EDF" w:rsidR="00804F3A" w:rsidRDefault="00465DC0" w:rsidP="000C4DF5">
      <w:pPr>
        <w:pStyle w:val="NoSpacing"/>
        <w:rPr>
          <w:rFonts w:ascii="Arial Black" w:hAnsi="Arial Black"/>
          <w:sz w:val="24"/>
          <w:szCs w:val="24"/>
        </w:rPr>
      </w:pPr>
      <w:r>
        <w:rPr>
          <w:rFonts w:ascii="Arial Black" w:hAnsi="Arial Black"/>
          <w:sz w:val="24"/>
          <w:szCs w:val="24"/>
        </w:rPr>
        <w:t>18-20</w:t>
      </w:r>
    </w:p>
    <w:p w14:paraId="115FD39E" w14:textId="77777777" w:rsidR="00465DC0" w:rsidRPr="00BE4A62" w:rsidRDefault="00465DC0" w:rsidP="00465DC0">
      <w:pPr>
        <w:rPr>
          <w:rStyle w:val="markedcontent"/>
          <w:rFonts w:ascii="Arial Black" w:hAnsi="Arial Black"/>
          <w:b/>
          <w:bCs/>
          <w:sz w:val="28"/>
          <w:szCs w:val="28"/>
        </w:rPr>
      </w:pPr>
      <w:bookmarkStart w:id="655" w:name="_Hlk127705813"/>
      <w:r>
        <w:rPr>
          <w:rStyle w:val="markedcontent"/>
          <w:rFonts w:ascii="Arial Black" w:hAnsi="Arial Black"/>
          <w:b/>
          <w:bCs/>
          <w:sz w:val="28"/>
          <w:szCs w:val="28"/>
        </w:rPr>
        <w:t xml:space="preserve">OH: OHIO PUBLIC RECORDS ACT - DISPATCHER RESIDENCE / FAMILY INFO EXEMPTED FROM DISCLOSURE </w:t>
      </w:r>
    </w:p>
    <w:p w14:paraId="24462087" w14:textId="77777777" w:rsidR="00465DC0" w:rsidRPr="007C0020" w:rsidRDefault="00465DC0" w:rsidP="00465DC0">
      <w:pPr>
        <w:rPr>
          <w:rFonts w:ascii="Times New Roman" w:hAnsi="Times New Roman"/>
          <w:sz w:val="24"/>
          <w:szCs w:val="24"/>
        </w:rPr>
      </w:pPr>
      <w:r w:rsidRPr="007818B5">
        <w:rPr>
          <w:rFonts w:ascii="Times New Roman" w:hAnsi="Times New Roman"/>
          <w:sz w:val="24"/>
          <w:szCs w:val="24"/>
        </w:rPr>
        <w:t>On June 13, 2022, Governor Mike DeWine signed House Bill 99</w:t>
      </w:r>
      <w:r>
        <w:rPr>
          <w:rFonts w:ascii="Times New Roman" w:hAnsi="Times New Roman"/>
          <w:sz w:val="24"/>
          <w:szCs w:val="24"/>
        </w:rPr>
        <w:t xml:space="preserve">, allowing teachers to carry firearms.  In addition, the </w:t>
      </w:r>
      <w:r>
        <w:rPr>
          <w:rStyle w:val="markedcontent"/>
          <w:rFonts w:ascii="Times New Roman" w:hAnsi="Times New Roman"/>
          <w:sz w:val="24"/>
          <w:szCs w:val="24"/>
        </w:rPr>
        <w:t xml:space="preserve">Bill also expanded the list </w:t>
      </w:r>
      <w:r w:rsidRPr="00DF5D1F">
        <w:rPr>
          <w:rFonts w:ascii="Times New Roman" w:hAnsi="Times New Roman"/>
          <w:sz w:val="24"/>
          <w:szCs w:val="24"/>
        </w:rPr>
        <w:t>“public service workers</w:t>
      </w:r>
      <w:r>
        <w:rPr>
          <w:rFonts w:ascii="Times New Roman" w:hAnsi="Times New Roman"/>
          <w:sz w:val="24"/>
          <w:szCs w:val="24"/>
        </w:rPr>
        <w:t>” whose home addresses and other family information is exempt from release under Ohio Public Records law, including “t</w:t>
      </w:r>
      <w:r w:rsidRPr="007C0020">
        <w:rPr>
          <w:rFonts w:ascii="Times New Roman" w:hAnsi="Times New Roman"/>
          <w:sz w:val="24"/>
          <w:szCs w:val="24"/>
        </w:rPr>
        <w:t>he name, the residential address, the name of the employer, the address of the employer, the social security number, the residential telephone number, any bank account, debit card, charge card, or credit card number, or the emergency telephone number of the spouse, a former spouse, or any child of a designated public service worker</w:t>
      </w:r>
      <w:r>
        <w:rPr>
          <w:rFonts w:ascii="Times New Roman" w:hAnsi="Times New Roman"/>
          <w:sz w:val="24"/>
          <w:szCs w:val="24"/>
        </w:rPr>
        <w:t>.  Ohio Revised Code 149.43(A)(8)(f).</w:t>
      </w:r>
    </w:p>
    <w:p w14:paraId="315AA380" w14:textId="77777777" w:rsidR="00465DC0" w:rsidRDefault="00465DC0" w:rsidP="00465DC0">
      <w:pPr>
        <w:ind w:left="720"/>
        <w:rPr>
          <w:rFonts w:ascii="Times New Roman" w:hAnsi="Times New Roman"/>
          <w:sz w:val="24"/>
          <w:szCs w:val="24"/>
        </w:rPr>
      </w:pPr>
      <w:r w:rsidRPr="00DF5D1F">
        <w:rPr>
          <w:rFonts w:ascii="Times New Roman" w:hAnsi="Times New Roman"/>
          <w:sz w:val="24"/>
          <w:szCs w:val="24"/>
        </w:rPr>
        <w:t>The exemption now includes dispatchers (“emergency service telecommunicators”) and Ohio National Guard members, protective services workers, forensic mental health providers, mental health evaluation providers, and regional psychiatric hospital employees.</w:t>
      </w:r>
      <w:r>
        <w:rPr>
          <w:rFonts w:ascii="Times New Roman" w:hAnsi="Times New Roman"/>
          <w:sz w:val="24"/>
          <w:szCs w:val="24"/>
        </w:rPr>
        <w:t xml:space="preserve"> See Ohio Revised Code 149.43(A)(7):  </w:t>
      </w:r>
    </w:p>
    <w:p w14:paraId="7D3F31C6" w14:textId="77777777" w:rsidR="00465DC0" w:rsidRDefault="00465DC0" w:rsidP="00465DC0">
      <w:pPr>
        <w:ind w:left="1440"/>
        <w:rPr>
          <w:rFonts w:ascii="Times New Roman" w:hAnsi="Times New Roman"/>
          <w:sz w:val="24"/>
          <w:szCs w:val="24"/>
        </w:rPr>
      </w:pPr>
      <w:r w:rsidRPr="007C0020">
        <w:rPr>
          <w:rFonts w:ascii="Times New Roman" w:hAnsi="Times New Roman"/>
          <w:sz w:val="24"/>
          <w:szCs w:val="24"/>
        </w:rPr>
        <w:t>(7) "Designated public service worker" means a peace officer, parole officer, probation officer, bailiff, prosecuting attorney, assistant prosecuting attorney, correctional employee, county or multicounty corrections officer, community-based correctional facility employee, designated Ohio national guard member, protective services worker, youth services employee, firefighter, EMT, medical director or member of a cooperating physician advisory board of an emergency medical service organization, state board of pharmacy employee, investigator of the bureau of criminal identification and investigation, emergency service telecommunicator, forensic mental health provider, mental health evaluation provider, regional psychiatric hospital employee, judge, magistrate, or federal law enforcement officer.</w:t>
      </w:r>
      <w:r>
        <w:rPr>
          <w:rFonts w:ascii="Times New Roman" w:hAnsi="Times New Roman"/>
          <w:sz w:val="24"/>
          <w:szCs w:val="24"/>
        </w:rPr>
        <w:t xml:space="preserve"> </w:t>
      </w:r>
      <w:hyperlink r:id="rId2985" w:history="1">
        <w:r w:rsidRPr="006169C4">
          <w:rPr>
            <w:rStyle w:val="Hyperlink"/>
            <w:rFonts w:ascii="Times New Roman" w:hAnsi="Times New Roman"/>
            <w:sz w:val="24"/>
            <w:szCs w:val="24"/>
          </w:rPr>
          <w:t>https://codes.ohio.gov/ohio-revised-code/section-149.43</w:t>
        </w:r>
      </w:hyperlink>
      <w:r>
        <w:rPr>
          <w:rFonts w:ascii="Times New Roman" w:hAnsi="Times New Roman"/>
          <w:sz w:val="24"/>
          <w:szCs w:val="24"/>
        </w:rPr>
        <w:t xml:space="preserve"> </w:t>
      </w:r>
    </w:p>
    <w:p w14:paraId="7C6575AF" w14:textId="77777777" w:rsidR="00465DC0" w:rsidRPr="00E17E11" w:rsidRDefault="00465DC0" w:rsidP="00465DC0">
      <w:pPr>
        <w:rPr>
          <w:rFonts w:ascii="Times New Roman" w:hAnsi="Times New Roman"/>
          <w:b/>
          <w:bCs/>
          <w:sz w:val="24"/>
          <w:szCs w:val="24"/>
        </w:rPr>
      </w:pPr>
      <w:r w:rsidRPr="00E17E11">
        <w:rPr>
          <w:rFonts w:ascii="Times New Roman" w:hAnsi="Times New Roman"/>
          <w:b/>
          <w:bCs/>
          <w:sz w:val="24"/>
          <w:szCs w:val="24"/>
        </w:rPr>
        <w:t xml:space="preserve">Legal Lesson Learned: </w:t>
      </w:r>
      <w:r>
        <w:rPr>
          <w:rFonts w:ascii="Times New Roman" w:hAnsi="Times New Roman"/>
          <w:b/>
          <w:bCs/>
          <w:sz w:val="24"/>
          <w:szCs w:val="24"/>
        </w:rPr>
        <w:t xml:space="preserve">Ohio 911 Communication Centers should educate their staff on this new law. </w:t>
      </w:r>
    </w:p>
    <w:p w14:paraId="5B60A50C" w14:textId="77777777" w:rsidR="00465DC0" w:rsidRPr="00DF5D1F" w:rsidRDefault="00465DC0" w:rsidP="00465DC0">
      <w:pPr>
        <w:ind w:left="720"/>
        <w:rPr>
          <w:b/>
          <w:bCs/>
          <w:sz w:val="24"/>
          <w:szCs w:val="24"/>
        </w:rPr>
      </w:pPr>
      <w:r>
        <w:rPr>
          <w:rFonts w:ascii="Times New Roman" w:hAnsi="Times New Roman"/>
          <w:sz w:val="24"/>
          <w:szCs w:val="24"/>
        </w:rPr>
        <w:lastRenderedPageBreak/>
        <w:t xml:space="preserve">Note: See this article on the Bill. </w:t>
      </w:r>
      <w:hyperlink r:id="rId2986" w:history="1">
        <w:r w:rsidRPr="00B71FA0">
          <w:rPr>
            <w:rStyle w:val="Hyperlink"/>
            <w:rFonts w:ascii="Times New Roman" w:hAnsi="Times New Roman"/>
            <w:sz w:val="24"/>
            <w:szCs w:val="24"/>
          </w:rPr>
          <w:t>https://fisheldowney.com/new-changes-ohios-public-records-law-new-changes-ohios-public-records-law/</w:t>
        </w:r>
      </w:hyperlink>
      <w:r w:rsidRPr="00DF5D1F">
        <w:rPr>
          <w:rFonts w:ascii="Times New Roman" w:hAnsi="Times New Roman"/>
          <w:sz w:val="24"/>
          <w:szCs w:val="24"/>
        </w:rPr>
        <w:t xml:space="preserve"> </w:t>
      </w:r>
    </w:p>
    <w:p w14:paraId="25A89B8C" w14:textId="77777777" w:rsidR="00465DC0" w:rsidRDefault="00465DC0" w:rsidP="00465DC0">
      <w:pPr>
        <w:pStyle w:val="NormalWeb"/>
        <w:rPr>
          <w:b/>
          <w:bCs/>
        </w:rPr>
      </w:pPr>
    </w:p>
    <w:bookmarkEnd w:id="655"/>
    <w:p w14:paraId="41D1315F" w14:textId="77777777" w:rsidR="00465DC0" w:rsidRDefault="00465DC0" w:rsidP="000C4DF5">
      <w:pPr>
        <w:pStyle w:val="NoSpacing"/>
        <w:rPr>
          <w:rFonts w:ascii="Arial Black" w:hAnsi="Arial Black"/>
          <w:sz w:val="24"/>
          <w:szCs w:val="24"/>
        </w:rPr>
      </w:pPr>
    </w:p>
    <w:p w14:paraId="4E8A7C9D" w14:textId="77777777" w:rsidR="00804F3A" w:rsidRDefault="00804F3A" w:rsidP="000C4DF5">
      <w:pPr>
        <w:pStyle w:val="NoSpacing"/>
        <w:rPr>
          <w:rFonts w:ascii="Arial Black" w:hAnsi="Arial Black"/>
          <w:sz w:val="24"/>
          <w:szCs w:val="24"/>
        </w:rPr>
      </w:pPr>
    </w:p>
    <w:p w14:paraId="320C18F3" w14:textId="2B85FEBE" w:rsidR="00644810" w:rsidRDefault="00B73B03" w:rsidP="000C4DF5">
      <w:pPr>
        <w:pStyle w:val="NoSpacing"/>
        <w:rPr>
          <w:rFonts w:ascii="Arial Black" w:hAnsi="Arial Black"/>
          <w:sz w:val="24"/>
          <w:szCs w:val="24"/>
        </w:rPr>
      </w:pPr>
      <w:r>
        <w:rPr>
          <w:rFonts w:ascii="Arial Black" w:hAnsi="Arial Black"/>
          <w:sz w:val="24"/>
          <w:szCs w:val="24"/>
        </w:rPr>
        <w:t>18-19 [also filed, Chap. 7]</w:t>
      </w:r>
    </w:p>
    <w:p w14:paraId="421E4C14" w14:textId="77777777" w:rsidR="00B73B03" w:rsidRPr="00D61E07" w:rsidRDefault="00B73B03" w:rsidP="00B73B03">
      <w:pPr>
        <w:pStyle w:val="Heading1"/>
        <w:rPr>
          <w:rFonts w:ascii="Arial Black" w:hAnsi="Arial Black"/>
          <w:sz w:val="28"/>
          <w:szCs w:val="28"/>
        </w:rPr>
      </w:pPr>
      <w:r>
        <w:rPr>
          <w:rFonts w:ascii="Arial Black" w:hAnsi="Arial Black"/>
          <w:sz w:val="28"/>
          <w:szCs w:val="28"/>
        </w:rPr>
        <w:t>DC: SEXUAL HARASSMENT OR ASSAULT – NEW FEDERAL LAW - INVALID EMPLOYEE MANDATORY ARBITRATIONS</w:t>
      </w:r>
    </w:p>
    <w:p w14:paraId="1F597914" w14:textId="77777777" w:rsidR="00B73B03" w:rsidRPr="00D61E07" w:rsidRDefault="00B73B03" w:rsidP="00B73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rPr>
      </w:pPr>
      <w:r>
        <w:rPr>
          <w:rFonts w:ascii="Times New Roman" w:eastAsia="Times New Roman" w:hAnsi="Times New Roman"/>
          <w:sz w:val="24"/>
          <w:szCs w:val="24"/>
        </w:rPr>
        <w:t>On March 3, 2022, President Biden signed into law the “</w:t>
      </w:r>
      <w:r w:rsidRPr="00D61E07">
        <w:rPr>
          <w:rFonts w:ascii="Times New Roman" w:hAnsi="Times New Roman"/>
          <w:sz w:val="24"/>
          <w:szCs w:val="24"/>
        </w:rPr>
        <w:t>Ending Forced Arbitration of Sexual Assault and Sexual Harassment Act</w:t>
      </w:r>
      <w:r>
        <w:rPr>
          <w:rFonts w:ascii="Times New Roman" w:hAnsi="Times New Roman"/>
          <w:sz w:val="24"/>
          <w:szCs w:val="24"/>
        </w:rPr>
        <w:t xml:space="preserve">.”  The law amends the Federal Arbitration Act to prohibit mandatory arbitration of sexual harassment and sexual assault claims in arbitration agreements. </w:t>
      </w:r>
      <w:hyperlink r:id="rId2987" w:history="1">
        <w:r w:rsidRPr="005A2A16">
          <w:rPr>
            <w:rStyle w:val="Hyperlink"/>
            <w:rFonts w:ascii="Times New Roman" w:eastAsia="Times New Roman" w:hAnsi="Times New Roman"/>
            <w:sz w:val="24"/>
            <w:szCs w:val="24"/>
          </w:rPr>
          <w:t>https://www.congress.gov/bill/117th-congress/house-bill/4445/text</w:t>
        </w:r>
      </w:hyperlink>
    </w:p>
    <w:p w14:paraId="4686B7A0" w14:textId="77777777" w:rsidR="00B73B03" w:rsidRPr="00AD3667" w:rsidRDefault="00B73B03" w:rsidP="00B73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rPr>
      </w:pPr>
    </w:p>
    <w:p w14:paraId="393F5A47" w14:textId="77777777" w:rsidR="00B73B03" w:rsidRPr="00BC5C71" w:rsidRDefault="00B73B03" w:rsidP="00B73B03">
      <w:pPr>
        <w:pStyle w:val="ListParagraph"/>
        <w:numPr>
          <w:ilvl w:val="0"/>
          <w:numId w:val="15"/>
        </w:numPr>
        <w:tabs>
          <w:tab w:val="left" w:pos="916"/>
          <w:tab w:val="left" w:pos="9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BC5C71">
        <w:rPr>
          <w:rFonts w:ascii="Times New Roman" w:eastAsia="Times New Roman" w:hAnsi="Times New Roman" w:cs="Times New Roman"/>
          <w:sz w:val="24"/>
          <w:szCs w:val="24"/>
        </w:rPr>
        <w:t xml:space="preserve">In General - Notwithstanding any other provision of this title, at the election of the person alleging conduct constituting a sexual harassment dispute or sexual assault dispute, or the named representative of a class or in a collective action alleging such conduct, no </w:t>
      </w:r>
      <w:proofErr w:type="spellStart"/>
      <w:r w:rsidRPr="00BC5C71">
        <w:rPr>
          <w:rFonts w:ascii="Times New Roman" w:eastAsia="Times New Roman" w:hAnsi="Times New Roman" w:cs="Times New Roman"/>
          <w:sz w:val="24"/>
          <w:szCs w:val="24"/>
        </w:rPr>
        <w:t>predispute</w:t>
      </w:r>
      <w:proofErr w:type="spellEnd"/>
      <w:r w:rsidRPr="00BC5C71">
        <w:rPr>
          <w:rFonts w:ascii="Times New Roman" w:eastAsia="Times New Roman" w:hAnsi="Times New Roman" w:cs="Times New Roman"/>
          <w:sz w:val="24"/>
          <w:szCs w:val="24"/>
        </w:rPr>
        <w:t xml:space="preserve"> arbitration agreement or </w:t>
      </w:r>
      <w:proofErr w:type="spellStart"/>
      <w:r w:rsidRPr="00BC5C71">
        <w:rPr>
          <w:rFonts w:ascii="Times New Roman" w:eastAsia="Times New Roman" w:hAnsi="Times New Roman" w:cs="Times New Roman"/>
          <w:sz w:val="24"/>
          <w:szCs w:val="24"/>
        </w:rPr>
        <w:t>predispute</w:t>
      </w:r>
      <w:proofErr w:type="spellEnd"/>
      <w:r w:rsidRPr="00BC5C71">
        <w:rPr>
          <w:rFonts w:ascii="Times New Roman" w:eastAsia="Times New Roman" w:hAnsi="Times New Roman" w:cs="Times New Roman"/>
          <w:sz w:val="24"/>
          <w:szCs w:val="24"/>
        </w:rPr>
        <w:t xml:space="preserve"> joint-action waiver shall be valid or enforceable with respect to a case which is filed under Federal, Tribal, or State law and relates to the sexual assault dispute or the sexual harassment dispute.</w:t>
      </w:r>
    </w:p>
    <w:p w14:paraId="4E7737E0" w14:textId="77777777" w:rsidR="00B73B03" w:rsidRDefault="00B73B03" w:rsidP="00B73B03">
      <w:pPr>
        <w:pStyle w:val="HTMLPreformatted"/>
        <w:jc w:val="both"/>
        <w:rPr>
          <w:rFonts w:ascii="Times New Roman" w:hAnsi="Times New Roman" w:cs="Times New Roman"/>
          <w:sz w:val="24"/>
          <w:szCs w:val="24"/>
        </w:rPr>
      </w:pPr>
    </w:p>
    <w:p w14:paraId="4EA75D4C" w14:textId="77777777" w:rsidR="00B73B03" w:rsidRPr="002D6970" w:rsidRDefault="00B73B03" w:rsidP="00B73B03">
      <w:pPr>
        <w:pStyle w:val="HTMLPreformatted"/>
        <w:numPr>
          <w:ilvl w:val="0"/>
          <w:numId w:val="15"/>
        </w:numPr>
        <w:jc w:val="both"/>
        <w:rPr>
          <w:rFonts w:ascii="Times New Roman" w:hAnsi="Times New Roman" w:cs="Times New Roman"/>
          <w:sz w:val="24"/>
          <w:szCs w:val="24"/>
        </w:rPr>
      </w:pPr>
      <w:r w:rsidRPr="002D6970">
        <w:rPr>
          <w:rFonts w:ascii="Times New Roman" w:hAnsi="Times New Roman" w:cs="Times New Roman"/>
          <w:sz w:val="24"/>
          <w:szCs w:val="24"/>
        </w:rPr>
        <w:t>Determination of Applicability. An issue as to whether this chapter applies with respect to a dispute shall be determined under Federal law. The applicability of this chapter to an agreement to arbitrate and the validity and enforceability of an agreement to which this chapter applies shall be determined by a court, rather than an arbitrator, irrespective of whether the party resisting arbitration challenges the arbitration agreement specifically or in conjunction with other terms of the contract containing such agreement, and irrespective of whether the agreement purports to delegate such determinations to an arbitrator.''</w:t>
      </w:r>
    </w:p>
    <w:p w14:paraId="05B30D0C" w14:textId="77777777" w:rsidR="00B73B03" w:rsidRPr="00D61E07" w:rsidRDefault="00B73B03" w:rsidP="00B73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sz w:val="24"/>
          <w:szCs w:val="24"/>
        </w:rPr>
      </w:pPr>
      <w:hyperlink r:id="rId2988" w:history="1">
        <w:r w:rsidRPr="005A2A16">
          <w:rPr>
            <w:rStyle w:val="Hyperlink"/>
            <w:rFonts w:ascii="Times New Roman" w:eastAsia="Times New Roman" w:hAnsi="Times New Roman"/>
            <w:sz w:val="24"/>
            <w:szCs w:val="24"/>
          </w:rPr>
          <w:t>https://www.congress.gov/bill/117th-congress/house-bill/4445/text</w:t>
        </w:r>
      </w:hyperlink>
    </w:p>
    <w:p w14:paraId="41083012" w14:textId="77777777" w:rsidR="00B73B03" w:rsidRDefault="00B73B03" w:rsidP="00B73B03">
      <w:pPr>
        <w:pStyle w:val="Heading1"/>
        <w:rPr>
          <w:sz w:val="24"/>
          <w:szCs w:val="24"/>
        </w:rPr>
      </w:pPr>
      <w:r w:rsidRPr="002D6970">
        <w:rPr>
          <w:sz w:val="24"/>
          <w:szCs w:val="24"/>
        </w:rPr>
        <w:t xml:space="preserve">Legal Lesson Learned: </w:t>
      </w:r>
      <w:r>
        <w:rPr>
          <w:sz w:val="24"/>
          <w:szCs w:val="24"/>
        </w:rPr>
        <w:t xml:space="preserve">Fire &amp; EMS departments should review their Employee Handbooks and other documents and remove any provision requiring arbitration for claims of sexual harassment or sexual assault. </w:t>
      </w:r>
    </w:p>
    <w:p w14:paraId="663EE00E" w14:textId="2493E0DD" w:rsidR="00B73B03" w:rsidRPr="00B73B03" w:rsidRDefault="00B73B03" w:rsidP="00465DC0">
      <w:pPr>
        <w:pStyle w:val="Heading1"/>
        <w:ind w:left="720"/>
        <w:rPr>
          <w:b w:val="0"/>
          <w:bCs w:val="0"/>
          <w:i/>
          <w:iCs/>
          <w:sz w:val="24"/>
          <w:szCs w:val="24"/>
        </w:rPr>
      </w:pPr>
      <w:r>
        <w:rPr>
          <w:b w:val="0"/>
          <w:bCs w:val="0"/>
          <w:sz w:val="24"/>
          <w:szCs w:val="24"/>
        </w:rPr>
        <w:t xml:space="preserve">Note:  </w:t>
      </w:r>
      <w:r w:rsidRPr="00B73B03">
        <w:rPr>
          <w:b w:val="0"/>
          <w:bCs w:val="0"/>
          <w:sz w:val="24"/>
          <w:szCs w:val="24"/>
        </w:rPr>
        <w:t xml:space="preserve">March 28, 2022: “Moving Away from Mandatory Arbitration Over Sexual Assault and Harassment Claims.” </w:t>
      </w:r>
      <w:hyperlink r:id="rId2989" w:history="1">
        <w:r w:rsidRPr="00B73B03">
          <w:rPr>
            <w:rStyle w:val="Hyperlink"/>
            <w:b w:val="0"/>
            <w:bCs w:val="0"/>
            <w:sz w:val="24"/>
            <w:szCs w:val="24"/>
          </w:rPr>
          <w:t>https://fisheldowney.com/moving-away-mandatory-arbitration-sexual-assault-harassment-claims/</w:t>
        </w:r>
      </w:hyperlink>
      <w:r w:rsidRPr="00B73B03">
        <w:rPr>
          <w:b w:val="0"/>
          <w:bCs w:val="0"/>
          <w:sz w:val="24"/>
          <w:szCs w:val="24"/>
        </w:rPr>
        <w:t xml:space="preserve"> </w:t>
      </w:r>
    </w:p>
    <w:p w14:paraId="1526613D" w14:textId="77777777" w:rsidR="00B73B03" w:rsidRPr="00AD3667" w:rsidRDefault="00B73B03" w:rsidP="00B73B03">
      <w:pPr>
        <w:pStyle w:val="Heading1"/>
        <w:ind w:left="1440"/>
        <w:rPr>
          <w:b w:val="0"/>
          <w:bCs w:val="0"/>
          <w:sz w:val="24"/>
          <w:szCs w:val="24"/>
        </w:rPr>
      </w:pPr>
      <w:r>
        <w:rPr>
          <w:b w:val="0"/>
          <w:bCs w:val="0"/>
          <w:sz w:val="24"/>
          <w:szCs w:val="24"/>
        </w:rPr>
        <w:t>“</w:t>
      </w:r>
      <w:r w:rsidRPr="00AD3667">
        <w:rPr>
          <w:b w:val="0"/>
          <w:bCs w:val="0"/>
          <w:sz w:val="24"/>
          <w:szCs w:val="24"/>
        </w:rPr>
        <w:t xml:space="preserve">Given these changes to the FAA, it is critical for employers to review their arbitration agreements and remove any language indicating sexual assault or harassment claims must be arbitrated. The existence of such provisions could invalidate the agreement </w:t>
      </w:r>
      <w:proofErr w:type="gramStart"/>
      <w:r w:rsidRPr="00AD3667">
        <w:rPr>
          <w:b w:val="0"/>
          <w:bCs w:val="0"/>
          <w:sz w:val="24"/>
          <w:szCs w:val="24"/>
        </w:rPr>
        <w:t>in whole</w:t>
      </w:r>
      <w:proofErr w:type="gramEnd"/>
      <w:r w:rsidRPr="00AD3667">
        <w:rPr>
          <w:b w:val="0"/>
          <w:bCs w:val="0"/>
          <w:sz w:val="24"/>
          <w:szCs w:val="24"/>
        </w:rPr>
        <w:t xml:space="preserve"> or in part. In addition to revising the arbitration agreement provisions in the employee handbook or collective bargaining agreement, employers should also tighten their procedures and requirements for investigating and reporting sexual harassment and assault to avoid liability. In terms of reporting procedures, employers should have clearly defined persons of contact for reporting.</w:t>
      </w:r>
      <w:r>
        <w:rPr>
          <w:b w:val="0"/>
          <w:bCs w:val="0"/>
          <w:sz w:val="24"/>
          <w:szCs w:val="24"/>
        </w:rPr>
        <w:t>”</w:t>
      </w:r>
    </w:p>
    <w:p w14:paraId="7C6D2711" w14:textId="77777777" w:rsidR="00B73B03" w:rsidRDefault="00B73B03" w:rsidP="00B73B03">
      <w:pPr>
        <w:pStyle w:val="Heading1"/>
        <w:ind w:left="720"/>
        <w:rPr>
          <w:b w:val="0"/>
          <w:bCs w:val="0"/>
          <w:sz w:val="24"/>
          <w:szCs w:val="24"/>
        </w:rPr>
      </w:pPr>
      <w:r w:rsidRPr="002D6970">
        <w:rPr>
          <w:b w:val="0"/>
          <w:bCs w:val="0"/>
          <w:sz w:val="24"/>
          <w:szCs w:val="24"/>
        </w:rPr>
        <w:t xml:space="preserve">March 3, 2022: “Biden signs bill to end forced arbitration in sexual harassment, assault cases.” </w:t>
      </w:r>
      <w:hyperlink r:id="rId2990" w:history="1">
        <w:r w:rsidRPr="005A2A16">
          <w:rPr>
            <w:rStyle w:val="Hyperlink"/>
            <w:rFonts w:eastAsiaTheme="majorEastAsia"/>
            <w:b w:val="0"/>
            <w:bCs w:val="0"/>
            <w:sz w:val="24"/>
            <w:szCs w:val="24"/>
          </w:rPr>
          <w:t>https://www.kktv.com/2022/03/03/biden-sign-bill-ending-forced-arbitration-sexual-harassment-assault-cases/</w:t>
        </w:r>
      </w:hyperlink>
    </w:p>
    <w:p w14:paraId="0280A314" w14:textId="77777777" w:rsidR="00B73B03" w:rsidRPr="002D6970" w:rsidRDefault="00B73B03" w:rsidP="00B73B03">
      <w:pPr>
        <w:pStyle w:val="Heading1"/>
        <w:ind w:left="1440"/>
        <w:rPr>
          <w:b w:val="0"/>
          <w:bCs w:val="0"/>
          <w:sz w:val="24"/>
          <w:szCs w:val="24"/>
        </w:rPr>
      </w:pPr>
      <w:r w:rsidRPr="00E42A32">
        <w:rPr>
          <w:b w:val="0"/>
          <w:bCs w:val="0"/>
          <w:sz w:val="24"/>
          <w:szCs w:val="24"/>
        </w:rPr>
        <w:lastRenderedPageBreak/>
        <w:t xml:space="preserve">The law is retroactive, freeing individuals who have been bound by </w:t>
      </w:r>
      <w:proofErr w:type="gramStart"/>
      <w:r w:rsidRPr="00E42A32">
        <w:rPr>
          <w:b w:val="0"/>
          <w:bCs w:val="0"/>
          <w:sz w:val="24"/>
          <w:szCs w:val="24"/>
        </w:rPr>
        <w:t>arbitration language</w:t>
      </w:r>
      <w:proofErr w:type="gramEnd"/>
      <w:r w:rsidRPr="00E42A32">
        <w:rPr>
          <w:b w:val="0"/>
          <w:bCs w:val="0"/>
          <w:sz w:val="24"/>
          <w:szCs w:val="24"/>
        </w:rPr>
        <w:t xml:space="preserve"> to pursue legal action against their harassers.</w:t>
      </w:r>
      <w:r>
        <w:rPr>
          <w:b w:val="0"/>
          <w:bCs w:val="0"/>
          <w:sz w:val="24"/>
          <w:szCs w:val="24"/>
        </w:rPr>
        <w:t xml:space="preserve"> </w:t>
      </w:r>
    </w:p>
    <w:p w14:paraId="4F3940D1" w14:textId="1BFCD8F6" w:rsidR="00B73B03" w:rsidRDefault="00B73B03" w:rsidP="00B73B03">
      <w:pPr>
        <w:pStyle w:val="NoSpacing"/>
        <w:rPr>
          <w:rFonts w:ascii="Arial Black" w:hAnsi="Arial Black"/>
          <w:sz w:val="24"/>
          <w:szCs w:val="24"/>
        </w:rPr>
      </w:pPr>
      <w:r>
        <w:rPr>
          <w:sz w:val="24"/>
          <w:szCs w:val="24"/>
        </w:rPr>
        <w:t>March 1, 2022: “</w:t>
      </w:r>
      <w:r w:rsidRPr="00E42A32">
        <w:rPr>
          <w:sz w:val="24"/>
          <w:szCs w:val="24"/>
        </w:rPr>
        <w:t xml:space="preserve">Congress Votes </w:t>
      </w:r>
      <w:proofErr w:type="gramStart"/>
      <w:r w:rsidRPr="00E42A32">
        <w:rPr>
          <w:sz w:val="24"/>
          <w:szCs w:val="24"/>
        </w:rPr>
        <w:t>To</w:t>
      </w:r>
      <w:proofErr w:type="gramEnd"/>
      <w:r w:rsidRPr="00E42A32">
        <w:rPr>
          <w:sz w:val="24"/>
          <w:szCs w:val="24"/>
        </w:rPr>
        <w:t xml:space="preserve"> End Mandatory Arbitration </w:t>
      </w:r>
      <w:proofErr w:type="gramStart"/>
      <w:r w:rsidRPr="00E42A32">
        <w:rPr>
          <w:sz w:val="24"/>
          <w:szCs w:val="24"/>
        </w:rPr>
        <w:t>Of</w:t>
      </w:r>
      <w:proofErr w:type="gramEnd"/>
      <w:r w:rsidRPr="00E42A32">
        <w:rPr>
          <w:sz w:val="24"/>
          <w:szCs w:val="24"/>
        </w:rPr>
        <w:t xml:space="preserve"> Sexual Assault </w:t>
      </w:r>
      <w:proofErr w:type="gramStart"/>
      <w:r w:rsidRPr="00E42A32">
        <w:rPr>
          <w:sz w:val="24"/>
          <w:szCs w:val="24"/>
        </w:rPr>
        <w:t>And</w:t>
      </w:r>
      <w:proofErr w:type="gramEnd"/>
      <w:r w:rsidRPr="00E42A32">
        <w:rPr>
          <w:sz w:val="24"/>
          <w:szCs w:val="24"/>
        </w:rPr>
        <w:t xml:space="preserve"> Sexual Harassment Claims</w:t>
      </w:r>
      <w:r>
        <w:rPr>
          <w:sz w:val="24"/>
          <w:szCs w:val="24"/>
        </w:rPr>
        <w:t xml:space="preserve">.: </w:t>
      </w:r>
      <w:hyperlink r:id="rId2991" w:history="1">
        <w:r w:rsidRPr="005A2A16">
          <w:rPr>
            <w:rStyle w:val="Hyperlink"/>
            <w:rFonts w:eastAsiaTheme="majorEastAsia"/>
            <w:sz w:val="24"/>
            <w:szCs w:val="24"/>
          </w:rPr>
          <w:t>https://www.natlawreview.com/article/congress-votes-to-end-mandatory-arbitration-sexual-assault-and-sexual-harassment</w:t>
        </w:r>
      </w:hyperlink>
    </w:p>
    <w:p w14:paraId="3FC99BC0" w14:textId="77777777" w:rsidR="00B73B03" w:rsidRDefault="00B73B03" w:rsidP="000C4DF5">
      <w:pPr>
        <w:pStyle w:val="NoSpacing"/>
        <w:rPr>
          <w:rFonts w:ascii="Arial Black" w:hAnsi="Arial Black"/>
          <w:sz w:val="24"/>
          <w:szCs w:val="24"/>
        </w:rPr>
      </w:pPr>
    </w:p>
    <w:p w14:paraId="37511724" w14:textId="77777777" w:rsidR="00B73B03" w:rsidRDefault="00B73B03" w:rsidP="000C4DF5">
      <w:pPr>
        <w:pStyle w:val="NoSpacing"/>
        <w:rPr>
          <w:rFonts w:ascii="Arial Black" w:hAnsi="Arial Black"/>
          <w:sz w:val="24"/>
          <w:szCs w:val="24"/>
        </w:rPr>
      </w:pPr>
    </w:p>
    <w:p w14:paraId="6AC1F989" w14:textId="3468E620" w:rsidR="00644810" w:rsidRDefault="00644810" w:rsidP="000C4DF5">
      <w:pPr>
        <w:pStyle w:val="NoSpacing"/>
        <w:rPr>
          <w:rFonts w:ascii="Arial Black" w:hAnsi="Arial Black"/>
          <w:sz w:val="24"/>
          <w:szCs w:val="24"/>
        </w:rPr>
      </w:pPr>
      <w:r>
        <w:rPr>
          <w:rFonts w:ascii="Arial Black" w:hAnsi="Arial Black"/>
          <w:sz w:val="24"/>
          <w:szCs w:val="24"/>
        </w:rPr>
        <w:t>18-18</w:t>
      </w:r>
    </w:p>
    <w:p w14:paraId="25DEB51C" w14:textId="1F357431" w:rsidR="00644810" w:rsidRDefault="00644810" w:rsidP="000C4DF5">
      <w:pPr>
        <w:pStyle w:val="NoSpacing"/>
        <w:rPr>
          <w:rFonts w:ascii="Arial Black" w:hAnsi="Arial Black"/>
          <w:sz w:val="24"/>
          <w:szCs w:val="24"/>
        </w:rPr>
      </w:pPr>
    </w:p>
    <w:p w14:paraId="6FD9BA3D" w14:textId="77777777" w:rsidR="00644810" w:rsidRPr="00F95E1F" w:rsidRDefault="00644810" w:rsidP="00644810">
      <w:pPr>
        <w:rPr>
          <w:rFonts w:ascii="Arial Black" w:hAnsi="Arial Black"/>
          <w:sz w:val="28"/>
          <w:szCs w:val="28"/>
        </w:rPr>
      </w:pPr>
      <w:r>
        <w:rPr>
          <w:rFonts w:ascii="Arial Black" w:hAnsi="Arial Black"/>
          <w:sz w:val="28"/>
          <w:szCs w:val="28"/>
        </w:rPr>
        <w:t xml:space="preserve">DC: NEW FED. LAW - DISABLED EMER. RESP. CAN GET PUB. SAFETY OFFICER BENEFITS WHILE PAID SIMPLE TASKS </w:t>
      </w:r>
    </w:p>
    <w:p w14:paraId="0ECA9699" w14:textId="77777777" w:rsidR="00644810" w:rsidRPr="00213018" w:rsidRDefault="00644810" w:rsidP="00644810">
      <w:pPr>
        <w:spacing w:after="225"/>
        <w:rPr>
          <w:rFonts w:ascii="Times New Roman" w:hAnsi="Times New Roman"/>
          <w:b/>
          <w:bCs/>
          <w:sz w:val="24"/>
          <w:szCs w:val="24"/>
        </w:rPr>
      </w:pPr>
      <w:r>
        <w:t xml:space="preserve"> </w:t>
      </w:r>
      <w:r w:rsidRPr="00213018">
        <w:rPr>
          <w:rFonts w:ascii="Times New Roman" w:hAnsi="Times New Roman"/>
          <w:sz w:val="24"/>
          <w:szCs w:val="24"/>
        </w:rPr>
        <w:t>On Dec. 4, 2021, President Biden signed into law the “P</w:t>
      </w:r>
      <w:r w:rsidRPr="00213018">
        <w:rPr>
          <w:rFonts w:ascii="Times New Roman" w:hAnsi="Times New Roman"/>
          <w:color w:val="000000"/>
          <w:sz w:val="24"/>
          <w:szCs w:val="24"/>
          <w:bdr w:val="none" w:sz="0" w:space="0" w:color="auto" w:frame="1"/>
        </w:rPr>
        <w:t xml:space="preserve">rotecting America’s First Responders Act of 2021” which assures that first responders and law enforcement have prompt access to federal benefits even if able to perform compensated work that is </w:t>
      </w:r>
      <w:r w:rsidRPr="00213018">
        <w:rPr>
          <w:rFonts w:ascii="Times New Roman" w:hAnsi="Times New Roman"/>
          <w:sz w:val="24"/>
          <w:szCs w:val="24"/>
        </w:rPr>
        <w:t xml:space="preserve">de minimis, nominal, honorary, or mere reimbursement of incidental expenses.  The two sponsors, Congressman Bill Pascrell, Jr. (D-NJ), and Senator Charles Grassley (R-IA), described the statute. </w:t>
      </w:r>
    </w:p>
    <w:p w14:paraId="60B73784" w14:textId="0D00165F" w:rsidR="00644810" w:rsidRDefault="00644810" w:rsidP="00644810">
      <w:pPr>
        <w:pStyle w:val="NoSpacing"/>
        <w:ind w:left="720"/>
        <w:rPr>
          <w:rFonts w:ascii="Arial Black" w:hAnsi="Arial Black"/>
          <w:sz w:val="24"/>
          <w:szCs w:val="24"/>
        </w:rPr>
      </w:pPr>
      <w:r w:rsidRPr="00213018">
        <w:rPr>
          <w:rFonts w:ascii="Times New Roman" w:hAnsi="Times New Roman"/>
          <w:sz w:val="24"/>
          <w:szCs w:val="24"/>
        </w:rPr>
        <w:t xml:space="preserve">“Currently, first responders permanently disabled in the line of duty are only eligible for Public Safety Officer Benefits (PSOB) if they can never again perform any compensated work. This high bar leaves behind far too many public safety officers. PAFRA corrects this by ensuring disabled first responders whose work is for therapeutic purposes, involves simple tasks, or provides special accommodations can still receive benefits. The bill also provides for retroactive disability benefits to public safety officers who responded to the September 11, </w:t>
      </w:r>
      <w:proofErr w:type="gramStart"/>
      <w:r w:rsidRPr="00213018">
        <w:rPr>
          <w:rFonts w:ascii="Times New Roman" w:hAnsi="Times New Roman"/>
          <w:sz w:val="24"/>
          <w:szCs w:val="24"/>
        </w:rPr>
        <w:t>2001</w:t>
      </w:r>
      <w:proofErr w:type="gramEnd"/>
      <w:r w:rsidRPr="00213018">
        <w:rPr>
          <w:rFonts w:ascii="Times New Roman" w:hAnsi="Times New Roman"/>
          <w:sz w:val="24"/>
          <w:szCs w:val="24"/>
        </w:rPr>
        <w:t xml:space="preserve"> terrorist attacks, allowing those first responders who became permanently disabled from their heroic work at Ground Zero to re-apply for disability benefits.” </w:t>
      </w:r>
      <w:hyperlink r:id="rId2992" w:history="1">
        <w:r w:rsidRPr="00EC5853">
          <w:rPr>
            <w:rStyle w:val="Hyperlink"/>
            <w:rFonts w:ascii="Times New Roman" w:hAnsi="Times New Roman"/>
            <w:sz w:val="24"/>
            <w:szCs w:val="24"/>
          </w:rPr>
          <w:t>https://pascrell.house.gov/news/documentsingle.aspx?DocumentID=4933</w:t>
        </w:r>
      </w:hyperlink>
    </w:p>
    <w:p w14:paraId="3ED66AC4" w14:textId="77777777" w:rsidR="00644810" w:rsidRDefault="00644810" w:rsidP="000C4DF5">
      <w:pPr>
        <w:pStyle w:val="NoSpacing"/>
        <w:rPr>
          <w:rFonts w:ascii="Arial Black" w:hAnsi="Arial Black"/>
          <w:sz w:val="24"/>
          <w:szCs w:val="24"/>
        </w:rPr>
      </w:pPr>
    </w:p>
    <w:p w14:paraId="59F964DE" w14:textId="77777777" w:rsidR="00644810" w:rsidRPr="00213018" w:rsidRDefault="00644810" w:rsidP="00644810">
      <w:pPr>
        <w:rPr>
          <w:rFonts w:ascii="Times New Roman" w:hAnsi="Times New Roman"/>
          <w:b/>
          <w:bCs/>
          <w:sz w:val="24"/>
          <w:szCs w:val="24"/>
        </w:rPr>
      </w:pPr>
      <w:r w:rsidRPr="00213018">
        <w:rPr>
          <w:rFonts w:ascii="Times New Roman" w:hAnsi="Times New Roman"/>
          <w:b/>
          <w:bCs/>
          <w:sz w:val="24"/>
          <w:szCs w:val="24"/>
        </w:rPr>
        <w:t>Legal Lesson Learned: Helpful statute.</w:t>
      </w:r>
    </w:p>
    <w:p w14:paraId="4F9F8DE9" w14:textId="77777777" w:rsidR="00644810" w:rsidRPr="00213018" w:rsidRDefault="00644810" w:rsidP="00644810">
      <w:pPr>
        <w:spacing w:after="225"/>
        <w:ind w:left="720"/>
        <w:rPr>
          <w:rFonts w:ascii="Times New Roman" w:hAnsi="Times New Roman"/>
          <w:b/>
          <w:bCs/>
          <w:sz w:val="24"/>
          <w:szCs w:val="24"/>
        </w:rPr>
      </w:pPr>
      <w:r w:rsidRPr="00213018">
        <w:rPr>
          <w:rFonts w:ascii="Times New Roman" w:hAnsi="Times New Roman"/>
          <w:sz w:val="24"/>
          <w:szCs w:val="24"/>
        </w:rPr>
        <w:t xml:space="preserve">Note: The two sponsors, Congressman Bill Pascrell, Jr. (D-NJ), and Senator Charles Grassley (R-IA), also described the increased   federal benefits.  </w:t>
      </w:r>
    </w:p>
    <w:p w14:paraId="7795D9BB" w14:textId="371407C0" w:rsidR="00644810" w:rsidRDefault="00644810" w:rsidP="00644810">
      <w:pPr>
        <w:pStyle w:val="NoSpacing"/>
        <w:ind w:left="1440"/>
        <w:rPr>
          <w:rFonts w:ascii="Arial Black" w:hAnsi="Arial Black"/>
          <w:sz w:val="24"/>
          <w:szCs w:val="24"/>
        </w:rPr>
      </w:pPr>
      <w:r w:rsidRPr="00213018">
        <w:rPr>
          <w:rFonts w:ascii="Times New Roman" w:hAnsi="Times New Roman"/>
          <w:sz w:val="24"/>
          <w:szCs w:val="24"/>
        </w:rPr>
        <w:t>“This bipartisan legislation was sponsored in the House (</w:t>
      </w:r>
      <w:hyperlink r:id="rId2993" w:history="1">
        <w:r w:rsidRPr="00213018">
          <w:rPr>
            <w:rFonts w:ascii="Times New Roman" w:hAnsi="Times New Roman"/>
            <w:sz w:val="24"/>
            <w:szCs w:val="24"/>
          </w:rPr>
          <w:t>H.R. 2936</w:t>
        </w:r>
      </w:hyperlink>
      <w:r w:rsidRPr="00213018">
        <w:rPr>
          <w:rFonts w:ascii="Times New Roman" w:hAnsi="Times New Roman"/>
          <w:sz w:val="24"/>
          <w:szCs w:val="24"/>
        </w:rPr>
        <w:t>) by Rep. Pascrell and in the Senate (</w:t>
      </w:r>
      <w:hyperlink r:id="rId2994" w:history="1">
        <w:r w:rsidRPr="00213018">
          <w:rPr>
            <w:rFonts w:ascii="Times New Roman" w:hAnsi="Times New Roman"/>
            <w:sz w:val="24"/>
            <w:szCs w:val="24"/>
          </w:rPr>
          <w:t>S. 1511</w:t>
        </w:r>
      </w:hyperlink>
      <w:r w:rsidRPr="00213018">
        <w:rPr>
          <w:rFonts w:ascii="Times New Roman" w:hAnsi="Times New Roman"/>
          <w:sz w:val="24"/>
          <w:szCs w:val="24"/>
        </w:rPr>
        <w:t xml:space="preserve">) by Sen. Grassley. PAFRA makes significant improvements to the Department of Justice’s (DOJ) Public Safety Officer Benefits (PSOB) program, which provides first responders who die or are permanently disabled in the line of duty with a federal benefit of $370,000 and education assistance of $1,200 a month to their children or spouse.” </w:t>
      </w:r>
      <w:hyperlink r:id="rId2995" w:history="1">
        <w:r w:rsidRPr="00EC5853">
          <w:rPr>
            <w:rStyle w:val="Hyperlink"/>
            <w:rFonts w:ascii="Times New Roman" w:hAnsi="Times New Roman"/>
            <w:sz w:val="24"/>
            <w:szCs w:val="24"/>
          </w:rPr>
          <w:t>https://pascrell.house.gov/news/documentsingle.aspx?DocumentID=4933</w:t>
        </w:r>
      </w:hyperlink>
    </w:p>
    <w:p w14:paraId="4BBE2483" w14:textId="588B9738" w:rsidR="00644810" w:rsidRDefault="00644810" w:rsidP="000C4DF5">
      <w:pPr>
        <w:pStyle w:val="NoSpacing"/>
        <w:rPr>
          <w:rFonts w:ascii="Arial Black" w:hAnsi="Arial Black"/>
          <w:sz w:val="24"/>
          <w:szCs w:val="24"/>
        </w:rPr>
      </w:pPr>
    </w:p>
    <w:p w14:paraId="7E35332E" w14:textId="77777777" w:rsidR="00644810" w:rsidRDefault="00644810" w:rsidP="000C4DF5">
      <w:pPr>
        <w:pStyle w:val="NoSpacing"/>
        <w:rPr>
          <w:rFonts w:ascii="Arial Black" w:hAnsi="Arial Black"/>
          <w:sz w:val="24"/>
          <w:szCs w:val="24"/>
        </w:rPr>
      </w:pPr>
    </w:p>
    <w:p w14:paraId="7BE0B5F2" w14:textId="42CAC289" w:rsidR="004B6144" w:rsidRDefault="004B6144" w:rsidP="000C4DF5">
      <w:pPr>
        <w:pStyle w:val="NoSpacing"/>
        <w:rPr>
          <w:rFonts w:ascii="Arial Black" w:hAnsi="Arial Black"/>
          <w:sz w:val="24"/>
          <w:szCs w:val="24"/>
        </w:rPr>
      </w:pPr>
      <w:r>
        <w:rPr>
          <w:rFonts w:ascii="Arial Black" w:hAnsi="Arial Black"/>
          <w:sz w:val="24"/>
          <w:szCs w:val="24"/>
        </w:rPr>
        <w:t>18-7</w:t>
      </w:r>
    </w:p>
    <w:p w14:paraId="7EDAD68E" w14:textId="77777777" w:rsidR="004B6144" w:rsidRPr="001E6223" w:rsidRDefault="004B6144" w:rsidP="004B6144">
      <w:pPr>
        <w:spacing w:before="100" w:beforeAutospacing="1" w:after="100" w:afterAutospacing="1" w:line="240" w:lineRule="auto"/>
        <w:rPr>
          <w:rFonts w:ascii="Arial Black" w:eastAsia="Times New Roman" w:hAnsi="Arial Black"/>
          <w:sz w:val="28"/>
          <w:szCs w:val="28"/>
        </w:rPr>
      </w:pPr>
      <w:r w:rsidRPr="001E6223">
        <w:rPr>
          <w:rFonts w:ascii="Arial Black" w:eastAsia="Times New Roman" w:hAnsi="Arial Black"/>
          <w:sz w:val="28"/>
          <w:szCs w:val="28"/>
        </w:rPr>
        <w:t>NY</w:t>
      </w:r>
      <w:r>
        <w:rPr>
          <w:rFonts w:ascii="Arial Black" w:eastAsia="Times New Roman" w:hAnsi="Arial Black"/>
          <w:sz w:val="28"/>
          <w:szCs w:val="28"/>
        </w:rPr>
        <w:t xml:space="preserve">: PUBLIC RECORDS – CITIZEN COMPLAINTS - NY LEGISLATURE REPEALED STATUTE – PROTECTED POLICE &amp; FIRE PERFORM. RECORDS </w:t>
      </w:r>
    </w:p>
    <w:p w14:paraId="2C65FF32" w14:textId="77777777" w:rsidR="004B6144" w:rsidRDefault="004B6144" w:rsidP="004B6144">
      <w:pPr>
        <w:spacing w:before="100" w:beforeAutospacing="1" w:after="100" w:afterAutospacing="1" w:line="240" w:lineRule="auto"/>
        <w:rPr>
          <w:rFonts w:ascii="Times New Roman" w:hAnsi="Times New Roman"/>
          <w:sz w:val="24"/>
          <w:szCs w:val="24"/>
        </w:rPr>
      </w:pPr>
      <w:r>
        <w:rPr>
          <w:rFonts w:ascii="Times New Roman" w:eastAsia="Times New Roman" w:hAnsi="Times New Roman"/>
          <w:sz w:val="24"/>
          <w:szCs w:val="24"/>
        </w:rPr>
        <w:lastRenderedPageBreak/>
        <w:t xml:space="preserve">On Oct. 9, 2020, in </w:t>
      </w:r>
      <w:r w:rsidRPr="007A5C5E">
        <w:rPr>
          <w:rFonts w:ascii="Times New Roman" w:eastAsia="Times New Roman" w:hAnsi="Times New Roman"/>
          <w:sz w:val="24"/>
          <w:szCs w:val="24"/>
          <w:u w:val="single"/>
        </w:rPr>
        <w:t>Buffalo Police Benevolent Association, Inc. and Buffalo Professional Firefighters Association, Inc. v. Byron W. Brown, Mayor of City of Buffalo</w:t>
      </w:r>
      <w:r>
        <w:rPr>
          <w:rFonts w:ascii="Times New Roman" w:eastAsia="Times New Roman" w:hAnsi="Times New Roman"/>
          <w:sz w:val="24"/>
          <w:szCs w:val="24"/>
        </w:rPr>
        <w:t xml:space="preserve">, Judge Frank A. Sedita III, Superior Court, Erie County, </w:t>
      </w:r>
      <w:r w:rsidRPr="007A5C5E">
        <w:rPr>
          <w:rFonts w:ascii="Times New Roman" w:hAnsi="Times New Roman"/>
          <w:sz w:val="24"/>
          <w:szCs w:val="24"/>
        </w:rPr>
        <w:t>2020 NY Slip Op 20257</w:t>
      </w:r>
      <w:r>
        <w:rPr>
          <w:rFonts w:ascii="Times New Roman" w:hAnsi="Times New Roman"/>
          <w:sz w:val="24"/>
          <w:szCs w:val="24"/>
        </w:rPr>
        <w:t>, while recognizing that many other professionals (including judges and attorneys) are protected from public disclosure of unfounded complaints, declined to declare the New York repeal a violation of State or U.S. Constitution.</w:t>
      </w:r>
    </w:p>
    <w:bookmarkEnd w:id="653"/>
    <w:p w14:paraId="5FFBF382" w14:textId="77777777" w:rsidR="004B6144" w:rsidRDefault="004B6144" w:rsidP="004B6144">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r w:rsidRPr="00B42C1C">
        <w:rPr>
          <w:rFonts w:ascii="Times New Roman" w:hAnsi="Times New Roman"/>
          <w:sz w:val="24"/>
          <w:szCs w:val="24"/>
        </w:rPr>
        <w:t>§50-a of the NY Civil Rights Law (50-a) was repealed on June 12, 2020. Enacted in 1976, 50-a provided, in relevant part, that personnel records used to evaluate the performance of police officers and firefighters could not be publicly disclosed unless the officer/firefighter consented to it or a court ordered it.</w:t>
      </w:r>
    </w:p>
    <w:p w14:paraId="5FB9B3F7" w14:textId="77777777" w:rsidR="004B6144" w:rsidRDefault="004B6144" w:rsidP="004B6144">
      <w:pPr>
        <w:spacing w:before="100" w:beforeAutospacing="1" w:after="100" w:afterAutospacing="1" w:line="240" w:lineRule="auto"/>
        <w:ind w:left="720"/>
        <w:rPr>
          <w:rFonts w:ascii="Times New Roman" w:hAnsi="Times New Roman"/>
          <w:sz w:val="24"/>
          <w:szCs w:val="24"/>
        </w:rPr>
      </w:pPr>
      <w:r>
        <w:rPr>
          <w:rFonts w:ascii="Times New Roman" w:hAnsi="Times New Roman"/>
          <w:sz w:val="24"/>
          <w:szCs w:val="24"/>
        </w:rPr>
        <w:t>***</w:t>
      </w:r>
    </w:p>
    <w:p w14:paraId="723A0097" w14:textId="77777777" w:rsidR="004B6144" w:rsidRDefault="004B6144" w:rsidP="004B6144">
      <w:pPr>
        <w:spacing w:before="100" w:beforeAutospacing="1" w:after="100" w:afterAutospacing="1" w:line="240" w:lineRule="auto"/>
        <w:ind w:left="720"/>
        <w:rPr>
          <w:rFonts w:ascii="Times New Roman" w:eastAsia="Times New Roman" w:hAnsi="Times New Roman"/>
          <w:sz w:val="24"/>
          <w:szCs w:val="24"/>
        </w:rPr>
      </w:pPr>
      <w:r w:rsidRPr="00B42C1C">
        <w:rPr>
          <w:rFonts w:ascii="Times New Roman" w:eastAsia="Times New Roman" w:hAnsi="Times New Roman"/>
          <w:sz w:val="24"/>
          <w:szCs w:val="24"/>
        </w:rPr>
        <w:t>At the core of this case, is Petitioners' dismay that FOIL</w:t>
      </w:r>
      <w:r>
        <w:rPr>
          <w:rFonts w:ascii="Times New Roman" w:eastAsia="Times New Roman" w:hAnsi="Times New Roman"/>
          <w:sz w:val="24"/>
          <w:szCs w:val="24"/>
        </w:rPr>
        <w:t xml:space="preserve"> [Freedom of Information]</w:t>
      </w:r>
      <w:r w:rsidRPr="00B42C1C">
        <w:rPr>
          <w:rFonts w:ascii="Times New Roman" w:eastAsia="Times New Roman" w:hAnsi="Times New Roman"/>
          <w:sz w:val="24"/>
          <w:szCs w:val="24"/>
        </w:rPr>
        <w:t xml:space="preserve"> officers will release unfiltered information that serves not to inform but to defame, especially when revealed to those </w:t>
      </w:r>
      <w:proofErr w:type="gramStart"/>
      <w:r w:rsidRPr="00B42C1C">
        <w:rPr>
          <w:rFonts w:ascii="Times New Roman" w:eastAsia="Times New Roman" w:hAnsi="Times New Roman"/>
          <w:sz w:val="24"/>
          <w:szCs w:val="24"/>
        </w:rPr>
        <w:t>whom</w:t>
      </w:r>
      <w:proofErr w:type="gramEnd"/>
      <w:r w:rsidRPr="00B42C1C">
        <w:rPr>
          <w:rFonts w:ascii="Times New Roman" w:eastAsia="Times New Roman" w:hAnsi="Times New Roman"/>
          <w:sz w:val="24"/>
          <w:szCs w:val="24"/>
        </w:rPr>
        <w:t xml:space="preserve"> already view police officers with disdain. The prospect of such irreparable harm is viewed as especially inequitable given the fact that members of so many other occupations and professions — including lawyers and judges — are protected by statutes that prevent the disclosure of misconduct allegations made against them, unless and until they are actually proven to be true.</w:t>
      </w:r>
    </w:p>
    <w:p w14:paraId="36359658" w14:textId="77777777" w:rsidR="004B6144" w:rsidRPr="00B42C1C" w:rsidRDefault="004B6144" w:rsidP="004B6144">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w:t>
      </w:r>
    </w:p>
    <w:p w14:paraId="7F7677B2" w14:textId="040CA905" w:rsidR="004B6144" w:rsidRDefault="004B6144" w:rsidP="004B6144">
      <w:pPr>
        <w:pStyle w:val="NoSpacing"/>
        <w:rPr>
          <w:rStyle w:val="Hyperlink"/>
          <w:rFonts w:ascii="Times New Roman" w:eastAsia="Times New Roman" w:hAnsi="Times New Roman"/>
          <w:sz w:val="24"/>
          <w:szCs w:val="24"/>
        </w:rPr>
      </w:pPr>
      <w:r>
        <w:rPr>
          <w:rFonts w:ascii="Times New Roman" w:eastAsia="Times New Roman" w:hAnsi="Times New Roman"/>
          <w:sz w:val="24"/>
          <w:szCs w:val="24"/>
        </w:rPr>
        <w:t>“</w:t>
      </w:r>
      <w:r w:rsidRPr="001E6223">
        <w:rPr>
          <w:rFonts w:ascii="Times New Roman" w:eastAsia="Times New Roman" w:hAnsi="Times New Roman"/>
          <w:sz w:val="24"/>
          <w:szCs w:val="24"/>
        </w:rPr>
        <w:t xml:space="preserve">What Petitioners essentially seek — a pre-emptive strike that will serve as a blanket prohibition on the release of </w:t>
      </w:r>
      <w:proofErr w:type="gramStart"/>
      <w:r w:rsidRPr="001E6223">
        <w:rPr>
          <w:rFonts w:ascii="Times New Roman" w:eastAsia="Times New Roman" w:hAnsi="Times New Roman"/>
          <w:sz w:val="24"/>
          <w:szCs w:val="24"/>
        </w:rPr>
        <w:t>any and all</w:t>
      </w:r>
      <w:proofErr w:type="gramEnd"/>
      <w:r w:rsidRPr="001E6223">
        <w:rPr>
          <w:rFonts w:ascii="Times New Roman" w:eastAsia="Times New Roman" w:hAnsi="Times New Roman"/>
          <w:sz w:val="24"/>
          <w:szCs w:val="24"/>
        </w:rPr>
        <w:t xml:space="preserve"> information regarding any complaint deemed </w:t>
      </w:r>
      <w:r>
        <w:rPr>
          <w:rFonts w:ascii="Times New Roman" w:eastAsia="Times New Roman" w:hAnsi="Times New Roman"/>
          <w:sz w:val="24"/>
          <w:szCs w:val="24"/>
        </w:rPr>
        <w:t>‘</w:t>
      </w:r>
      <w:r w:rsidRPr="001E6223">
        <w:rPr>
          <w:rFonts w:ascii="Times New Roman" w:eastAsia="Times New Roman" w:hAnsi="Times New Roman"/>
          <w:sz w:val="24"/>
          <w:szCs w:val="24"/>
        </w:rPr>
        <w:t>unsubstantiated</w:t>
      </w:r>
      <w:r>
        <w:rPr>
          <w:rFonts w:ascii="Times New Roman" w:eastAsia="Times New Roman" w:hAnsi="Times New Roman"/>
          <w:sz w:val="24"/>
          <w:szCs w:val="24"/>
        </w:rPr>
        <w:t>’</w:t>
      </w:r>
      <w:r w:rsidRPr="001E6223">
        <w:rPr>
          <w:rFonts w:ascii="Times New Roman" w:eastAsia="Times New Roman" w:hAnsi="Times New Roman"/>
          <w:sz w:val="24"/>
          <w:szCs w:val="24"/>
        </w:rPr>
        <w:t xml:space="preserve"> — is not merely drastic remedy, it is an inappropriate one. Petitioners advance no persuasive arguments as to why the controlling statutes violate due process, equal protection or any other provision of the Federal and State Constitutions.</w:t>
      </w:r>
      <w:r>
        <w:rPr>
          <w:rFonts w:ascii="Times New Roman" w:eastAsia="Times New Roman" w:hAnsi="Times New Roman"/>
          <w:sz w:val="24"/>
          <w:szCs w:val="24"/>
        </w:rPr>
        <w:t xml:space="preserve">” </w:t>
      </w:r>
      <w:hyperlink r:id="rId2996" w:history="1">
        <w:r w:rsidRPr="00C93B62">
          <w:rPr>
            <w:rStyle w:val="Hyperlink"/>
            <w:rFonts w:ascii="Times New Roman" w:eastAsia="Times New Roman" w:hAnsi="Times New Roman"/>
            <w:sz w:val="24"/>
            <w:szCs w:val="24"/>
          </w:rPr>
          <w:t>https://public.fastcase.com/Wl%2B2t%2BeVuI35%2FN70vAMFZlFt1LsN7FOv8IeLOLQpT2HmGMXcCWoYq2MigYjsxegu</w:t>
        </w:r>
      </w:hyperlink>
    </w:p>
    <w:p w14:paraId="74BCDF2F" w14:textId="0CCAFB06" w:rsidR="004B6144" w:rsidRDefault="004B6144" w:rsidP="004B6144">
      <w:pPr>
        <w:pStyle w:val="NoSpacing"/>
        <w:rPr>
          <w:rStyle w:val="Hyperlink"/>
          <w:rFonts w:ascii="Times New Roman" w:eastAsia="Times New Roman" w:hAnsi="Times New Roman"/>
          <w:sz w:val="24"/>
          <w:szCs w:val="24"/>
        </w:rPr>
      </w:pPr>
    </w:p>
    <w:p w14:paraId="201B9F77" w14:textId="77777777" w:rsidR="004B6144" w:rsidRDefault="004B6144" w:rsidP="004B6144">
      <w:pPr>
        <w:spacing w:before="100" w:beforeAutospacing="1" w:after="100" w:afterAutospacing="1" w:line="240" w:lineRule="auto"/>
        <w:rPr>
          <w:rFonts w:ascii="Times New Roman" w:hAnsi="Times New Roman"/>
          <w:b/>
          <w:bCs/>
          <w:sz w:val="24"/>
          <w:szCs w:val="24"/>
        </w:rPr>
      </w:pPr>
      <w:r w:rsidRPr="00C97C76">
        <w:rPr>
          <w:rFonts w:ascii="Times New Roman" w:hAnsi="Times New Roman"/>
          <w:b/>
          <w:bCs/>
          <w:sz w:val="24"/>
          <w:szCs w:val="24"/>
        </w:rPr>
        <w:t>Legal Lesson</w:t>
      </w:r>
      <w:r>
        <w:rPr>
          <w:rFonts w:ascii="Times New Roman" w:hAnsi="Times New Roman"/>
          <w:b/>
          <w:bCs/>
          <w:sz w:val="24"/>
          <w:szCs w:val="24"/>
        </w:rPr>
        <w:t xml:space="preserve"> </w:t>
      </w:r>
      <w:r w:rsidRPr="00C97C76">
        <w:rPr>
          <w:rFonts w:ascii="Times New Roman" w:hAnsi="Times New Roman"/>
          <w:b/>
          <w:bCs/>
          <w:sz w:val="24"/>
          <w:szCs w:val="24"/>
        </w:rPr>
        <w:t>Learned:</w:t>
      </w:r>
      <w:r>
        <w:rPr>
          <w:rFonts w:ascii="Times New Roman" w:hAnsi="Times New Roman"/>
          <w:b/>
          <w:bCs/>
          <w:sz w:val="24"/>
          <w:szCs w:val="24"/>
        </w:rPr>
        <w:t xml:space="preserve">  It is unfortunate to make mere complaints of misconduct “public records. </w:t>
      </w:r>
    </w:p>
    <w:p w14:paraId="5EC14AA8" w14:textId="77777777" w:rsidR="004B6144" w:rsidRDefault="004B6144" w:rsidP="004B6144">
      <w:pPr>
        <w:pStyle w:val="NormalWeb"/>
        <w:ind w:left="720"/>
      </w:pPr>
      <w:r w:rsidRPr="009C5E9D">
        <w:t xml:space="preserve">Note: </w:t>
      </w:r>
    </w:p>
    <w:p w14:paraId="3859F23D" w14:textId="77777777" w:rsidR="004B6144" w:rsidRPr="009C5E9D" w:rsidRDefault="004B6144" w:rsidP="004B6144">
      <w:pPr>
        <w:pStyle w:val="Heading1"/>
        <w:ind w:left="720"/>
        <w:rPr>
          <w:b w:val="0"/>
          <w:bCs w:val="0"/>
          <w:sz w:val="24"/>
          <w:szCs w:val="24"/>
        </w:rPr>
      </w:pPr>
      <w:r>
        <w:rPr>
          <w:b w:val="0"/>
          <w:bCs w:val="0"/>
          <w:sz w:val="24"/>
          <w:szCs w:val="24"/>
        </w:rPr>
        <w:t xml:space="preserve">See </w:t>
      </w:r>
      <w:r w:rsidRPr="009C5E9D">
        <w:rPr>
          <w:b w:val="0"/>
          <w:bCs w:val="0"/>
          <w:sz w:val="24"/>
          <w:szCs w:val="24"/>
        </w:rPr>
        <w:t xml:space="preserve">Aug. 20, </w:t>
      </w:r>
      <w:proofErr w:type="gramStart"/>
      <w:r w:rsidRPr="009C5E9D">
        <w:rPr>
          <w:b w:val="0"/>
          <w:bCs w:val="0"/>
          <w:sz w:val="24"/>
          <w:szCs w:val="24"/>
        </w:rPr>
        <w:t>2020</w:t>
      </w:r>
      <w:proofErr w:type="gramEnd"/>
      <w:r>
        <w:rPr>
          <w:b w:val="0"/>
          <w:bCs w:val="0"/>
          <w:sz w:val="24"/>
          <w:szCs w:val="24"/>
        </w:rPr>
        <w:t xml:space="preserve"> article: “</w:t>
      </w:r>
      <w:r w:rsidRPr="009C5E9D">
        <w:rPr>
          <w:b w:val="0"/>
          <w:bCs w:val="0"/>
          <w:sz w:val="24"/>
          <w:szCs w:val="24"/>
        </w:rPr>
        <w:t>323,911 Accusations of N.Y.P.D. Misconduct Are Released Online</w:t>
      </w:r>
      <w:r>
        <w:rPr>
          <w:b w:val="0"/>
          <w:bCs w:val="0"/>
          <w:sz w:val="24"/>
          <w:szCs w:val="24"/>
        </w:rPr>
        <w:t xml:space="preserve">.” </w:t>
      </w:r>
      <w:r w:rsidRPr="009C5E9D">
        <w:rPr>
          <w:b w:val="0"/>
          <w:bCs w:val="0"/>
          <w:sz w:val="24"/>
          <w:szCs w:val="24"/>
        </w:rPr>
        <w:t xml:space="preserve">The records had been sealed for decades, but last month, New York repealed a law keeping them secret after national </w:t>
      </w:r>
      <w:proofErr w:type="gramStart"/>
      <w:r w:rsidRPr="009C5E9D">
        <w:rPr>
          <w:b w:val="0"/>
          <w:bCs w:val="0"/>
          <w:sz w:val="24"/>
          <w:szCs w:val="24"/>
        </w:rPr>
        <w:t>protests against</w:t>
      </w:r>
      <w:proofErr w:type="gramEnd"/>
      <w:r w:rsidRPr="009C5E9D">
        <w:rPr>
          <w:b w:val="0"/>
          <w:bCs w:val="0"/>
          <w:sz w:val="24"/>
          <w:szCs w:val="24"/>
        </w:rPr>
        <w:t xml:space="preserve"> police brutality. </w:t>
      </w:r>
      <w:r>
        <w:rPr>
          <w:b w:val="0"/>
          <w:bCs w:val="0"/>
          <w:sz w:val="24"/>
          <w:szCs w:val="24"/>
        </w:rPr>
        <w:t xml:space="preserve">*** </w:t>
      </w:r>
      <w:r w:rsidRPr="009C5E9D">
        <w:rPr>
          <w:b w:val="0"/>
          <w:bCs w:val="0"/>
          <w:sz w:val="24"/>
          <w:szCs w:val="24"/>
        </w:rPr>
        <w:t xml:space="preserve">The complaints were published in an online database by the New York Civil Liberties Union, which obtained the records from the review board after state lawmakers </w:t>
      </w:r>
      <w:hyperlink r:id="rId2997" w:history="1">
        <w:r w:rsidRPr="009C5E9D">
          <w:rPr>
            <w:rStyle w:val="Hyperlink"/>
            <w:rFonts w:eastAsiaTheme="majorEastAsia"/>
            <w:b w:val="0"/>
            <w:bCs w:val="0"/>
            <w:sz w:val="24"/>
            <w:szCs w:val="24"/>
          </w:rPr>
          <w:t>repealed a law</w:t>
        </w:r>
      </w:hyperlink>
      <w:r w:rsidRPr="009C5E9D">
        <w:rPr>
          <w:b w:val="0"/>
          <w:bCs w:val="0"/>
          <w:sz w:val="24"/>
          <w:szCs w:val="24"/>
        </w:rPr>
        <w:t xml:space="preserve"> that had kept them secret.</w:t>
      </w:r>
      <w:bookmarkStart w:id="656" w:name="_Hlk66950954"/>
      <w:r w:rsidR="00F00958">
        <w:fldChar w:fldCharType="begin"/>
      </w:r>
      <w:r w:rsidR="00F00958">
        <w:instrText xml:space="preserve"> HYPERLINK "https://www.nytimes.com/2020/08/20/nyregion/nypd-ccrb-records-published.html" </w:instrText>
      </w:r>
      <w:r w:rsidR="00F00958">
        <w:fldChar w:fldCharType="separate"/>
      </w:r>
      <w:r w:rsidRPr="009C5E9D">
        <w:rPr>
          <w:rStyle w:val="Hyperlink"/>
          <w:b w:val="0"/>
          <w:bCs w:val="0"/>
          <w:sz w:val="24"/>
          <w:szCs w:val="24"/>
        </w:rPr>
        <w:t>https://www.nytimes.com/2020/08/20/nyregion/nypd-ccrb-records-published.html</w:t>
      </w:r>
      <w:r w:rsidR="00F00958">
        <w:rPr>
          <w:rStyle w:val="Hyperlink"/>
          <w:b w:val="0"/>
          <w:bCs w:val="0"/>
          <w:sz w:val="24"/>
          <w:szCs w:val="24"/>
        </w:rPr>
        <w:fldChar w:fldCharType="end"/>
      </w:r>
      <w:r w:rsidRPr="009C5E9D">
        <w:rPr>
          <w:b w:val="0"/>
          <w:bCs w:val="0"/>
          <w:sz w:val="24"/>
          <w:szCs w:val="24"/>
        </w:rPr>
        <w:t xml:space="preserve"> </w:t>
      </w:r>
    </w:p>
    <w:bookmarkEnd w:id="656"/>
    <w:p w14:paraId="6DAED484" w14:textId="77777777" w:rsidR="004B6144" w:rsidRPr="00C97C76" w:rsidRDefault="004B6144" w:rsidP="004B6144">
      <w:pPr>
        <w:pStyle w:val="NormalWeb"/>
        <w:ind w:left="720"/>
      </w:pPr>
      <w:r>
        <w:t xml:space="preserve">See review of state statutes on police disciplinary records.  </w:t>
      </w:r>
      <w:r w:rsidRPr="009C5E9D">
        <w:t xml:space="preserve">In </w:t>
      </w:r>
      <w:r>
        <w:t xml:space="preserve">12 </w:t>
      </w:r>
      <w:r w:rsidRPr="009C5E9D">
        <w:t>states where</w:t>
      </w:r>
      <w:r>
        <w:rPr>
          <w:b/>
          <w:bCs/>
        </w:rPr>
        <w:t xml:space="preserve"> “</w:t>
      </w:r>
      <w:r w:rsidRPr="00C97C76">
        <w:t>police disciplinary records are generally available to the public.</w:t>
      </w:r>
      <w:r>
        <w:t xml:space="preserve"> </w:t>
      </w:r>
      <w:r w:rsidRPr="00C97C76">
        <w:t>Many of these states still make records of unsubstantiated complaints or active investigations confidential.</w:t>
      </w:r>
      <w:r>
        <w:t xml:space="preserve">”  </w:t>
      </w:r>
      <w:hyperlink r:id="rId2998" w:history="1">
        <w:r w:rsidRPr="00C93B62">
          <w:rPr>
            <w:rStyle w:val="Hyperlink"/>
          </w:rPr>
          <w:t>https://project.wnyc.org/disciplinary-records/</w:t>
        </w:r>
      </w:hyperlink>
      <w:r>
        <w:t xml:space="preserve"> </w:t>
      </w:r>
    </w:p>
    <w:p w14:paraId="620CCCDA" w14:textId="77777777" w:rsidR="004B6144" w:rsidRDefault="004B6144" w:rsidP="004B6144">
      <w:pPr>
        <w:pStyle w:val="NoSpacing"/>
        <w:rPr>
          <w:rFonts w:ascii="Arial Black" w:hAnsi="Arial Black"/>
          <w:sz w:val="24"/>
          <w:szCs w:val="24"/>
        </w:rPr>
      </w:pPr>
    </w:p>
    <w:p w14:paraId="7D6C40AE" w14:textId="77777777" w:rsidR="004B6144" w:rsidRDefault="004B6144" w:rsidP="000C4DF5">
      <w:pPr>
        <w:pStyle w:val="NoSpacing"/>
        <w:rPr>
          <w:rFonts w:ascii="Arial Black" w:hAnsi="Arial Black"/>
          <w:sz w:val="24"/>
          <w:szCs w:val="24"/>
        </w:rPr>
      </w:pPr>
    </w:p>
    <w:p w14:paraId="4224944C" w14:textId="76B0F321" w:rsidR="00B532F6" w:rsidRDefault="00B532F6" w:rsidP="000C4DF5">
      <w:pPr>
        <w:pStyle w:val="NoSpacing"/>
        <w:rPr>
          <w:rFonts w:ascii="Arial Black" w:hAnsi="Arial Black"/>
          <w:sz w:val="24"/>
          <w:szCs w:val="24"/>
        </w:rPr>
      </w:pPr>
      <w:r>
        <w:rPr>
          <w:rFonts w:ascii="Arial Black" w:hAnsi="Arial Black"/>
          <w:sz w:val="24"/>
          <w:szCs w:val="24"/>
        </w:rPr>
        <w:t xml:space="preserve">18-6 </w:t>
      </w:r>
      <w:r w:rsidRPr="00695AE8">
        <w:rPr>
          <w:rFonts w:ascii="Times New Roman" w:hAnsi="Times New Roman"/>
          <w:sz w:val="24"/>
          <w:szCs w:val="24"/>
        </w:rPr>
        <w:t>[also filed, Chap. 13]</w:t>
      </w:r>
    </w:p>
    <w:p w14:paraId="58DC4A87" w14:textId="77777777" w:rsidR="00B532F6" w:rsidRDefault="00B532F6" w:rsidP="000C4DF5">
      <w:pPr>
        <w:pStyle w:val="NoSpacing"/>
        <w:rPr>
          <w:rFonts w:ascii="Arial Black" w:hAnsi="Arial Black"/>
          <w:sz w:val="24"/>
          <w:szCs w:val="24"/>
        </w:rPr>
      </w:pPr>
    </w:p>
    <w:p w14:paraId="4A05D0B4" w14:textId="77777777" w:rsidR="00B532F6" w:rsidRPr="004D5BFC" w:rsidRDefault="00B532F6" w:rsidP="00B532F6">
      <w:pPr>
        <w:rPr>
          <w:rFonts w:ascii="Arial Black" w:hAnsi="Arial Black"/>
          <w:sz w:val="28"/>
          <w:szCs w:val="28"/>
        </w:rPr>
      </w:pPr>
      <w:r>
        <w:rPr>
          <w:rFonts w:ascii="Arial Black" w:hAnsi="Arial Black"/>
          <w:sz w:val="28"/>
          <w:szCs w:val="28"/>
        </w:rPr>
        <w:lastRenderedPageBreak/>
        <w:t xml:space="preserve">OH:  TEMPORARY IMMUNITY DURING COVID-19 PANDEMIC – EMERGENCY RESPONDERS, SCHOOLS PROTECTED TORT LIABILITY  </w:t>
      </w:r>
    </w:p>
    <w:p w14:paraId="5C246806" w14:textId="77777777" w:rsidR="00B532F6" w:rsidRPr="00820E9C" w:rsidRDefault="00B532F6" w:rsidP="00B532F6">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On Sept. 14, 2020, Ohio Governor Mike DeWine signed House Bill 606 into law.  </w:t>
      </w:r>
      <w:r w:rsidRPr="00820E9C">
        <w:rPr>
          <w:rFonts w:ascii="Times New Roman" w:hAnsi="Times New Roman"/>
          <w:sz w:val="24"/>
          <w:szCs w:val="24"/>
        </w:rPr>
        <w:t xml:space="preserve">“The bill ensures civil immunity to individuals, schools, health care providers, businesses and other entities from lawsuits arising from exposure, transmission or contraction of COVID-19, or any mutation of the virus, </w:t>
      </w:r>
      <w:proofErr w:type="gramStart"/>
      <w:r w:rsidRPr="00820E9C">
        <w:rPr>
          <w:rFonts w:ascii="Times New Roman" w:hAnsi="Times New Roman"/>
          <w:sz w:val="24"/>
          <w:szCs w:val="24"/>
        </w:rPr>
        <w:t>as long as</w:t>
      </w:r>
      <w:proofErr w:type="gramEnd"/>
      <w:r w:rsidRPr="00820E9C">
        <w:rPr>
          <w:rFonts w:ascii="Times New Roman" w:hAnsi="Times New Roman"/>
          <w:sz w:val="24"/>
          <w:szCs w:val="24"/>
        </w:rPr>
        <w:t xml:space="preserve"> they were not showing reckless, intentional or willful misconduct. It also shields health care providers from liability in tort actions regarding the care and services they provide during this pandemic unless they were acting recklessly or displaying intentional </w:t>
      </w:r>
      <w:proofErr w:type="gramStart"/>
      <w:r w:rsidRPr="00820E9C">
        <w:rPr>
          <w:rFonts w:ascii="Times New Roman" w:hAnsi="Times New Roman"/>
          <w:sz w:val="24"/>
          <w:szCs w:val="24"/>
        </w:rPr>
        <w:t>misconduct.</w:t>
      </w:r>
      <w:r>
        <w:rPr>
          <w:rFonts w:ascii="Times New Roman" w:hAnsi="Times New Roman"/>
          <w:sz w:val="24"/>
          <w:szCs w:val="24"/>
        </w:rPr>
        <w:t>”</w:t>
      </w:r>
      <w:proofErr w:type="gramEnd"/>
      <w:r w:rsidRPr="00820E9C">
        <w:rPr>
          <w:rFonts w:ascii="Times New Roman" w:hAnsi="Times New Roman"/>
          <w:sz w:val="24"/>
          <w:szCs w:val="24"/>
        </w:rPr>
        <w:t xml:space="preserve"> </w:t>
      </w:r>
      <w:hyperlink r:id="rId2999" w:history="1">
        <w:r w:rsidRPr="00EA25E1">
          <w:rPr>
            <w:rStyle w:val="Hyperlink"/>
            <w:rFonts w:ascii="Times New Roman" w:hAnsi="Times New Roman"/>
            <w:sz w:val="24"/>
            <w:szCs w:val="24"/>
          </w:rPr>
          <w:t>https://www.wkbn.com/news/coronavirus/dewine-signs-law-giving-covid-19-lawsuit-immunity/</w:t>
        </w:r>
      </w:hyperlink>
      <w:r>
        <w:rPr>
          <w:rFonts w:ascii="Times New Roman" w:hAnsi="Times New Roman"/>
          <w:sz w:val="24"/>
          <w:szCs w:val="24"/>
        </w:rPr>
        <w:t xml:space="preserve">  This will be particularly helpful to FDs that host paramedic and EMS students needing “ride time” for their certifications. See the statute: </w:t>
      </w:r>
      <w:hyperlink r:id="rId3000" w:history="1">
        <w:r w:rsidRPr="00EA25E1">
          <w:rPr>
            <w:rStyle w:val="Hyperlink"/>
            <w:rFonts w:ascii="Times New Roman" w:hAnsi="Times New Roman"/>
            <w:sz w:val="24"/>
            <w:szCs w:val="24"/>
          </w:rPr>
          <w:t>https://www.hannah.com/ShowDocument.aspx?BTextID=219206</w:t>
        </w:r>
      </w:hyperlink>
      <w:r>
        <w:rPr>
          <w:rFonts w:ascii="Times New Roman" w:hAnsi="Times New Roman"/>
          <w:sz w:val="24"/>
          <w:szCs w:val="24"/>
        </w:rPr>
        <w:t xml:space="preserve"> </w:t>
      </w:r>
    </w:p>
    <w:p w14:paraId="7BB797D3" w14:textId="77777777" w:rsidR="00B532F6" w:rsidRDefault="00B532F6" w:rsidP="00B532F6">
      <w:pPr>
        <w:spacing w:before="100" w:beforeAutospacing="1" w:after="100" w:afterAutospacing="1" w:line="24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Legal Lessons Learned: The statute is an excellent example of legislation providing immunity from tort liability during the pandemic for those serving others, including emergency responders.  </w:t>
      </w:r>
    </w:p>
    <w:p w14:paraId="4D487E33" w14:textId="77777777" w:rsidR="00B532F6" w:rsidRPr="00E85202" w:rsidRDefault="00B532F6" w:rsidP="00B532F6">
      <w:pPr>
        <w:spacing w:before="100" w:beforeAutospacing="1" w:after="100" w:afterAutospacing="1" w:line="240" w:lineRule="auto"/>
        <w:ind w:left="720"/>
        <w:rPr>
          <w:rFonts w:ascii="Times New Roman" w:eastAsia="Times New Roman" w:hAnsi="Times New Roman"/>
          <w:sz w:val="24"/>
          <w:szCs w:val="24"/>
        </w:rPr>
      </w:pPr>
      <w:r w:rsidRPr="00E85202">
        <w:rPr>
          <w:rFonts w:ascii="Times New Roman" w:eastAsia="Times New Roman" w:hAnsi="Times New Roman"/>
          <w:sz w:val="24"/>
          <w:szCs w:val="24"/>
        </w:rPr>
        <w:t xml:space="preserve">Note: See legislative history: </w:t>
      </w:r>
      <w:hyperlink r:id="rId3001" w:history="1">
        <w:r w:rsidRPr="00EA25E1">
          <w:rPr>
            <w:rStyle w:val="Hyperlink"/>
            <w:rFonts w:ascii="Times New Roman" w:eastAsia="Times New Roman" w:hAnsi="Times New Roman"/>
            <w:sz w:val="24"/>
            <w:szCs w:val="24"/>
          </w:rPr>
          <w:t>https://www.legislature.ohio.gov/legislation/legislation-documents?id=GA133-HB-606</w:t>
        </w:r>
      </w:hyperlink>
      <w:r w:rsidRPr="00E85202">
        <w:rPr>
          <w:rFonts w:ascii="Times New Roman" w:eastAsia="Times New Roman" w:hAnsi="Times New Roman"/>
          <w:sz w:val="24"/>
          <w:szCs w:val="24"/>
        </w:rPr>
        <w:t xml:space="preserve"> </w:t>
      </w:r>
    </w:p>
    <w:p w14:paraId="711E50CD" w14:textId="77777777" w:rsidR="00B532F6" w:rsidRDefault="00B532F6" w:rsidP="00B532F6">
      <w:pPr>
        <w:rPr>
          <w:rFonts w:ascii="Arial Black" w:hAnsi="Arial Black"/>
          <w:b/>
          <w:bCs/>
          <w:sz w:val="28"/>
          <w:szCs w:val="28"/>
        </w:rPr>
      </w:pPr>
    </w:p>
    <w:p w14:paraId="43F5DC00" w14:textId="77777777" w:rsidR="00B532F6" w:rsidRDefault="00B532F6" w:rsidP="000C4DF5">
      <w:pPr>
        <w:pStyle w:val="NoSpacing"/>
        <w:rPr>
          <w:rFonts w:ascii="Arial Black" w:hAnsi="Arial Black"/>
          <w:sz w:val="24"/>
          <w:szCs w:val="24"/>
        </w:rPr>
      </w:pPr>
    </w:p>
    <w:p w14:paraId="66279F45" w14:textId="77777777" w:rsidR="00B532F6" w:rsidRDefault="00B532F6" w:rsidP="000C4DF5">
      <w:pPr>
        <w:pStyle w:val="NoSpacing"/>
        <w:rPr>
          <w:rFonts w:ascii="Arial Black" w:hAnsi="Arial Black"/>
          <w:sz w:val="24"/>
          <w:szCs w:val="24"/>
        </w:rPr>
      </w:pPr>
    </w:p>
    <w:p w14:paraId="545E9CDF" w14:textId="1059F563" w:rsidR="0003275C" w:rsidRPr="0003275C" w:rsidRDefault="0003275C" w:rsidP="000C4DF5">
      <w:pPr>
        <w:pStyle w:val="NoSpacing"/>
        <w:rPr>
          <w:rFonts w:ascii="Times New Roman" w:hAnsi="Times New Roman"/>
          <w:sz w:val="24"/>
          <w:szCs w:val="24"/>
        </w:rPr>
      </w:pPr>
      <w:r>
        <w:rPr>
          <w:rFonts w:ascii="Arial Black" w:hAnsi="Arial Black"/>
          <w:sz w:val="24"/>
          <w:szCs w:val="24"/>
        </w:rPr>
        <w:t xml:space="preserve">18-5 </w:t>
      </w:r>
    </w:p>
    <w:p w14:paraId="4BBD5A37" w14:textId="3A3AC2ED" w:rsidR="0003275C" w:rsidRDefault="0003275C" w:rsidP="000C4DF5">
      <w:pPr>
        <w:pStyle w:val="NoSpacing"/>
        <w:rPr>
          <w:rFonts w:ascii="Arial Black" w:hAnsi="Arial Black"/>
          <w:sz w:val="24"/>
          <w:szCs w:val="24"/>
        </w:rPr>
      </w:pPr>
    </w:p>
    <w:p w14:paraId="451E8559" w14:textId="77777777" w:rsidR="0003275C" w:rsidRPr="001D76B8" w:rsidRDefault="0003275C" w:rsidP="0003275C">
      <w:pPr>
        <w:pStyle w:val="NoSpacing"/>
        <w:rPr>
          <w:rFonts w:ascii="Arial Black" w:hAnsi="Arial Black"/>
          <w:sz w:val="28"/>
          <w:szCs w:val="28"/>
        </w:rPr>
      </w:pPr>
      <w:r w:rsidRPr="00DE7C27">
        <w:rPr>
          <w:rFonts w:ascii="Arial Black" w:hAnsi="Arial Black"/>
          <w:sz w:val="28"/>
          <w:szCs w:val="28"/>
        </w:rPr>
        <w:t>TX</w:t>
      </w:r>
      <w:r>
        <w:rPr>
          <w:rFonts w:ascii="Arial Black" w:hAnsi="Arial Black"/>
          <w:sz w:val="28"/>
          <w:szCs w:val="28"/>
        </w:rPr>
        <w:t>: AIR AMBULANCE – WORKERS COMP – FED. AIRLINE DEREGULATION ACT NOT REQUIRE PAY FULL CHARGES</w:t>
      </w:r>
    </w:p>
    <w:p w14:paraId="3EEE7E06" w14:textId="77777777" w:rsidR="0003275C" w:rsidRPr="00AA3FDF" w:rsidRDefault="0003275C" w:rsidP="0003275C">
      <w:pPr>
        <w:pStyle w:val="NoSpacing"/>
        <w:rPr>
          <w:rFonts w:ascii="Times New Roman" w:hAnsi="Times New Roman"/>
          <w:sz w:val="24"/>
          <w:szCs w:val="24"/>
        </w:rPr>
      </w:pPr>
    </w:p>
    <w:p w14:paraId="7B54DADB" w14:textId="6DE68114" w:rsidR="0003275C" w:rsidRDefault="0003275C" w:rsidP="0003275C">
      <w:pPr>
        <w:pStyle w:val="NoSpacing"/>
        <w:rPr>
          <w:rStyle w:val="Hyperlink"/>
          <w:rFonts w:ascii="Times New Roman" w:hAnsi="Times New Roman"/>
          <w:sz w:val="24"/>
          <w:szCs w:val="24"/>
        </w:rPr>
      </w:pPr>
      <w:r w:rsidRPr="00AA3FDF">
        <w:rPr>
          <w:rFonts w:ascii="Times New Roman" w:hAnsi="Times New Roman"/>
          <w:sz w:val="24"/>
          <w:szCs w:val="24"/>
        </w:rPr>
        <w:t xml:space="preserve">On </w:t>
      </w:r>
      <w:r>
        <w:rPr>
          <w:rFonts w:ascii="Times New Roman" w:hAnsi="Times New Roman"/>
          <w:sz w:val="24"/>
          <w:szCs w:val="24"/>
        </w:rPr>
        <w:t xml:space="preserve">June 26, 2020, in </w:t>
      </w:r>
      <w:r w:rsidRPr="00AA3FDF">
        <w:rPr>
          <w:rFonts w:ascii="Times New Roman" w:hAnsi="Times New Roman"/>
          <w:sz w:val="24"/>
          <w:szCs w:val="24"/>
          <w:u w:val="single"/>
        </w:rPr>
        <w:t>Texas Mutual Insurance Company, et al. v. PHI Air Medical, LLC</w:t>
      </w:r>
      <w:r>
        <w:rPr>
          <w:rFonts w:ascii="Times New Roman" w:hAnsi="Times New Roman"/>
          <w:sz w:val="24"/>
          <w:szCs w:val="24"/>
        </w:rPr>
        <w:t xml:space="preserve">, the Texas Supreme Court held (7 to 2) that workers comp insurance companies in Texas are only required to pay using the Texas “general reimbursement standards” and the federal Airline Deregulation Act does not provide require Texas to change their reimbursement standards. </w:t>
      </w:r>
      <w:r w:rsidRPr="00AA3FDF">
        <w:rPr>
          <w:rFonts w:ascii="Times New Roman" w:hAnsi="Times New Roman"/>
          <w:sz w:val="24"/>
          <w:szCs w:val="24"/>
        </w:rPr>
        <w:t xml:space="preserve">“This is a case about federalism. When joining our Union, each State retained fundamental aspects of its sovereignty. This sovereignty includes the </w:t>
      </w:r>
      <w:proofErr w:type="gramStart"/>
      <w:r w:rsidRPr="00AA3FDF">
        <w:rPr>
          <w:rFonts w:ascii="Times New Roman" w:hAnsi="Times New Roman"/>
          <w:sz w:val="24"/>
          <w:szCs w:val="24"/>
        </w:rPr>
        <w:t>police</w:t>
      </w:r>
      <w:proofErr w:type="gramEnd"/>
      <w:r w:rsidRPr="00AA3FDF">
        <w:rPr>
          <w:rFonts w:ascii="Times New Roman" w:hAnsi="Times New Roman"/>
          <w:sz w:val="24"/>
          <w:szCs w:val="24"/>
        </w:rPr>
        <w:t xml:space="preserve"> power to provide a compensation system for injured workers. Although the Federal Government can preempt a </w:t>
      </w:r>
      <w:proofErr w:type="gramStart"/>
      <w:r w:rsidRPr="00AA3FDF">
        <w:rPr>
          <w:rFonts w:ascii="Times New Roman" w:hAnsi="Times New Roman"/>
          <w:sz w:val="24"/>
          <w:szCs w:val="24"/>
        </w:rPr>
        <w:t>State's</w:t>
      </w:r>
      <w:proofErr w:type="gramEnd"/>
      <w:r w:rsidRPr="00AA3FDF">
        <w:rPr>
          <w:rFonts w:ascii="Times New Roman" w:hAnsi="Times New Roman"/>
          <w:sz w:val="24"/>
          <w:szCs w:val="24"/>
        </w:rPr>
        <w:t xml:space="preserve"> exercise of sovereignty by enacting an inconsistent federal law on a subject within its constitutionally enumerated powers, it has no power to order that State to regulate the subject in a particular way.”</w:t>
      </w:r>
      <w:r>
        <w:rPr>
          <w:rFonts w:ascii="Times New Roman" w:hAnsi="Times New Roman"/>
          <w:sz w:val="24"/>
          <w:szCs w:val="24"/>
        </w:rPr>
        <w:t xml:space="preserve"> </w:t>
      </w:r>
      <w:hyperlink r:id="rId3002" w:history="1">
        <w:r w:rsidRPr="007062AF">
          <w:rPr>
            <w:rStyle w:val="Hyperlink"/>
            <w:rFonts w:ascii="Times New Roman" w:hAnsi="Times New Roman"/>
            <w:sz w:val="24"/>
            <w:szCs w:val="24"/>
          </w:rPr>
          <w:t>https://public.fastcase.com/Wl%2B2t%2BeVuI35%2FN70vAMFZk1fYI9cwrY3IkIgZcFpE1Hk%2FIolkI7JdZ%2BewTVypbzK</w:t>
        </w:r>
      </w:hyperlink>
    </w:p>
    <w:p w14:paraId="3EF2CFCE" w14:textId="041AEF47" w:rsidR="0003275C" w:rsidRDefault="0003275C" w:rsidP="0003275C">
      <w:pPr>
        <w:pStyle w:val="NoSpacing"/>
        <w:rPr>
          <w:rStyle w:val="Hyperlink"/>
          <w:rFonts w:ascii="Times New Roman" w:hAnsi="Times New Roman"/>
          <w:sz w:val="24"/>
          <w:szCs w:val="24"/>
        </w:rPr>
      </w:pPr>
    </w:p>
    <w:p w14:paraId="533D2B75" w14:textId="77777777" w:rsidR="0003275C" w:rsidRDefault="0003275C" w:rsidP="0003275C">
      <w:pPr>
        <w:pStyle w:val="NoSpacing"/>
        <w:rPr>
          <w:rFonts w:ascii="Times New Roman" w:eastAsia="Times New Roman" w:hAnsi="Times New Roman"/>
          <w:b/>
          <w:bCs/>
          <w:sz w:val="24"/>
          <w:szCs w:val="24"/>
        </w:rPr>
      </w:pPr>
      <w:r>
        <w:rPr>
          <w:rFonts w:ascii="Times New Roman" w:eastAsia="Times New Roman" w:hAnsi="Times New Roman"/>
          <w:b/>
          <w:bCs/>
          <w:sz w:val="24"/>
          <w:szCs w:val="24"/>
        </w:rPr>
        <w:t>Legal Lessons Learned: The federal Airline Deregulation Act contains no reimbursement requirement for air ambulances.</w:t>
      </w:r>
    </w:p>
    <w:p w14:paraId="6CB907B6" w14:textId="77777777" w:rsidR="0003275C" w:rsidRPr="00D54047" w:rsidRDefault="0003275C" w:rsidP="0003275C">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Note:  The two dissenting </w:t>
      </w:r>
      <w:proofErr w:type="gramStart"/>
      <w:r>
        <w:rPr>
          <w:rFonts w:ascii="Times New Roman" w:eastAsia="Times New Roman" w:hAnsi="Times New Roman"/>
          <w:sz w:val="24"/>
          <w:szCs w:val="24"/>
        </w:rPr>
        <w:t>Justices</w:t>
      </w:r>
      <w:proofErr w:type="gramEnd"/>
      <w:r>
        <w:rPr>
          <w:rFonts w:ascii="Times New Roman" w:eastAsia="Times New Roman" w:hAnsi="Times New Roman"/>
          <w:sz w:val="24"/>
          <w:szCs w:val="24"/>
        </w:rPr>
        <w:t xml:space="preserve"> opinion:</w:t>
      </w:r>
    </w:p>
    <w:p w14:paraId="1169B3A7" w14:textId="77777777" w:rsidR="0003275C" w:rsidRDefault="0003275C" w:rsidP="0003275C">
      <w:pPr>
        <w:pStyle w:val="NoSpacing"/>
        <w:ind w:left="720"/>
        <w:rPr>
          <w:rFonts w:ascii="Times New Roman" w:hAnsi="Times New Roman"/>
          <w:sz w:val="24"/>
          <w:szCs w:val="24"/>
        </w:rPr>
      </w:pPr>
      <w:r>
        <w:rPr>
          <w:rFonts w:ascii="Times New Roman" w:eastAsia="Times New Roman" w:hAnsi="Times New Roman"/>
          <w:b/>
          <w:bCs/>
          <w:sz w:val="24"/>
          <w:szCs w:val="24"/>
        </w:rPr>
        <w:t>“</w:t>
      </w:r>
      <w:r w:rsidRPr="00D54047">
        <w:rPr>
          <w:rFonts w:ascii="Times New Roman" w:hAnsi="Times New Roman"/>
          <w:sz w:val="24"/>
          <w:szCs w:val="24"/>
        </w:rPr>
        <w:t>And Congress, when it decided to deregulate air carrier prices</w:t>
      </w:r>
      <w:r>
        <w:rPr>
          <w:rFonts w:ascii="Times New Roman" w:hAnsi="Times New Roman"/>
          <w:sz w:val="24"/>
          <w:szCs w:val="24"/>
        </w:rPr>
        <w:t xml:space="preserve"> [1978 Airline Deregulation Act]</w:t>
      </w:r>
      <w:r w:rsidRPr="00D54047">
        <w:rPr>
          <w:rFonts w:ascii="Times New Roman" w:hAnsi="Times New Roman"/>
          <w:sz w:val="24"/>
          <w:szCs w:val="24"/>
        </w:rPr>
        <w:t>, did so with the understanding that its deregulation would allow air carriers to set their own prices—not the state or those who pay air carriers consistent with state guidelines.</w:t>
      </w:r>
      <w:r>
        <w:rPr>
          <w:rFonts w:ascii="Times New Roman" w:hAnsi="Times New Roman"/>
          <w:sz w:val="24"/>
          <w:szCs w:val="24"/>
        </w:rPr>
        <w:t xml:space="preserve"> *** </w:t>
      </w:r>
      <w:r w:rsidRPr="00D54047">
        <w:rPr>
          <w:rFonts w:ascii="Times New Roman" w:hAnsi="Times New Roman"/>
          <w:sz w:val="24"/>
          <w:szCs w:val="24"/>
        </w:rPr>
        <w:t xml:space="preserve">After the insurers paid PHI based on the reimbursement scheme, PHI sought a medical fee dispute resolution before the Division, which </w:t>
      </w:r>
      <w:r w:rsidRPr="00D54047">
        <w:rPr>
          <w:rFonts w:ascii="Times New Roman" w:hAnsi="Times New Roman"/>
          <w:sz w:val="24"/>
          <w:szCs w:val="24"/>
        </w:rPr>
        <w:lastRenderedPageBreak/>
        <w:t xml:space="preserve">ultimately concluded that reimbursement should be </w:t>
      </w:r>
      <w:r>
        <w:rPr>
          <w:rFonts w:ascii="Times New Roman" w:hAnsi="Times New Roman"/>
          <w:sz w:val="24"/>
          <w:szCs w:val="24"/>
        </w:rPr>
        <w:t>‘</w:t>
      </w:r>
      <w:r w:rsidRPr="00D54047">
        <w:rPr>
          <w:rFonts w:ascii="Times New Roman" w:hAnsi="Times New Roman"/>
          <w:sz w:val="24"/>
          <w:szCs w:val="24"/>
        </w:rPr>
        <w:t>fair and reasonable,</w:t>
      </w:r>
      <w:r>
        <w:rPr>
          <w:rFonts w:ascii="Times New Roman" w:hAnsi="Times New Roman"/>
          <w:sz w:val="24"/>
          <w:szCs w:val="24"/>
        </w:rPr>
        <w:t>’</w:t>
      </w:r>
      <w:r w:rsidRPr="00D54047">
        <w:rPr>
          <w:rFonts w:ascii="Times New Roman" w:hAnsi="Times New Roman"/>
          <w:sz w:val="24"/>
          <w:szCs w:val="24"/>
        </w:rPr>
        <w:t xml:space="preserve"> amounting to 125 percent of Medicare service rates. The administrative law judge determined</w:t>
      </w:r>
      <w:r>
        <w:rPr>
          <w:rFonts w:ascii="Times New Roman" w:hAnsi="Times New Roman"/>
          <w:sz w:val="24"/>
          <w:szCs w:val="24"/>
        </w:rPr>
        <w:t xml:space="preserve"> </w:t>
      </w:r>
      <w:r w:rsidRPr="00D54047">
        <w:rPr>
          <w:rFonts w:ascii="Times New Roman" w:hAnsi="Times New Roman"/>
          <w:sz w:val="24"/>
          <w:szCs w:val="24"/>
        </w:rPr>
        <w:t>on appeal</w:t>
      </w:r>
      <w:r>
        <w:rPr>
          <w:rFonts w:ascii="Times New Roman" w:hAnsi="Times New Roman"/>
          <w:sz w:val="24"/>
          <w:szCs w:val="24"/>
        </w:rPr>
        <w:t xml:space="preserve"> </w:t>
      </w:r>
      <w:r w:rsidRPr="00D54047">
        <w:rPr>
          <w:rFonts w:ascii="Times New Roman" w:hAnsi="Times New Roman"/>
          <w:sz w:val="24"/>
          <w:szCs w:val="24"/>
        </w:rPr>
        <w:t>that the “fair and reasonable” rate was 149 percent of Medicare service rates.</w:t>
      </w:r>
      <w:r>
        <w:rPr>
          <w:rFonts w:ascii="Times New Roman" w:hAnsi="Times New Roman"/>
          <w:sz w:val="24"/>
          <w:szCs w:val="24"/>
        </w:rPr>
        <w:t xml:space="preserve"> </w:t>
      </w:r>
      <w:r w:rsidRPr="00D54047">
        <w:rPr>
          <w:rFonts w:ascii="Times New Roman" w:hAnsi="Times New Roman"/>
          <w:sz w:val="24"/>
          <w:szCs w:val="24"/>
        </w:rPr>
        <w:t xml:space="preserve">The administrative law judge then ordered the insurers to pay an amount consistent with this newly determined “fair and reasonable” amount. Under both approaches—125 or 149 percent—the amount owed was less than the amount PHI charged. After the adjustment, the requisite payment </w:t>
      </w:r>
      <w:proofErr w:type="gramStart"/>
      <w:r w:rsidRPr="00D54047">
        <w:rPr>
          <w:rFonts w:ascii="Times New Roman" w:hAnsi="Times New Roman"/>
          <w:sz w:val="24"/>
          <w:szCs w:val="24"/>
        </w:rPr>
        <w:t>foreach</w:t>
      </w:r>
      <w:proofErr w:type="gramEnd"/>
      <w:r w:rsidRPr="00D54047">
        <w:rPr>
          <w:rFonts w:ascii="Times New Roman" w:hAnsi="Times New Roman"/>
          <w:sz w:val="24"/>
          <w:szCs w:val="24"/>
        </w:rPr>
        <w:t xml:space="preserve"> transport would be between $9,989 and</w:t>
      </w:r>
      <w:r>
        <w:rPr>
          <w:rFonts w:ascii="Times New Roman" w:hAnsi="Times New Roman"/>
          <w:sz w:val="24"/>
          <w:szCs w:val="24"/>
        </w:rPr>
        <w:t xml:space="preserve"> </w:t>
      </w:r>
      <w:r w:rsidRPr="00D54047">
        <w:rPr>
          <w:rFonts w:ascii="Times New Roman" w:hAnsi="Times New Roman"/>
          <w:sz w:val="24"/>
          <w:szCs w:val="24"/>
        </w:rPr>
        <w:t xml:space="preserve">$28,000 </w:t>
      </w:r>
    </w:p>
    <w:p w14:paraId="1F1DBBC0" w14:textId="77777777" w:rsidR="0003275C" w:rsidRDefault="0003275C" w:rsidP="0003275C">
      <w:pPr>
        <w:pStyle w:val="NoSpacing"/>
        <w:ind w:left="720"/>
        <w:rPr>
          <w:rFonts w:ascii="Times New Roman" w:hAnsi="Times New Roman"/>
          <w:sz w:val="24"/>
          <w:szCs w:val="24"/>
        </w:rPr>
      </w:pPr>
      <w:hyperlink r:id="rId3003" w:history="1">
        <w:r w:rsidRPr="007062AF">
          <w:rPr>
            <w:rStyle w:val="Hyperlink"/>
            <w:rFonts w:ascii="Times New Roman" w:hAnsi="Times New Roman"/>
            <w:sz w:val="24"/>
            <w:szCs w:val="24"/>
          </w:rPr>
          <w:t>https://cases.justia.com/texas/supreme-court/2020-18-0216-1.pdf?ts=1593180294</w:t>
        </w:r>
      </w:hyperlink>
      <w:r>
        <w:rPr>
          <w:rFonts w:ascii="Times New Roman" w:hAnsi="Times New Roman"/>
          <w:sz w:val="24"/>
          <w:szCs w:val="24"/>
        </w:rPr>
        <w:t xml:space="preserve"> </w:t>
      </w:r>
      <w:r w:rsidRPr="00537A08">
        <w:rPr>
          <w:rFonts w:ascii="Times New Roman" w:hAnsi="Times New Roman"/>
          <w:sz w:val="24"/>
          <w:szCs w:val="24"/>
        </w:rPr>
        <w:t xml:space="preserve"> </w:t>
      </w:r>
    </w:p>
    <w:p w14:paraId="185A1751" w14:textId="77777777" w:rsidR="0003275C" w:rsidRDefault="0003275C" w:rsidP="0003275C">
      <w:pPr>
        <w:pStyle w:val="NoSpacing"/>
        <w:rPr>
          <w:rFonts w:ascii="Arial Black" w:hAnsi="Arial Black"/>
          <w:sz w:val="24"/>
          <w:szCs w:val="24"/>
        </w:rPr>
      </w:pPr>
    </w:p>
    <w:p w14:paraId="559120F8" w14:textId="77777777" w:rsidR="0003275C" w:rsidRDefault="0003275C" w:rsidP="000C4DF5">
      <w:pPr>
        <w:pStyle w:val="NoSpacing"/>
        <w:rPr>
          <w:rFonts w:ascii="Arial Black" w:hAnsi="Arial Black"/>
          <w:sz w:val="24"/>
          <w:szCs w:val="24"/>
        </w:rPr>
      </w:pPr>
    </w:p>
    <w:p w14:paraId="1D60BCAE" w14:textId="4CB4F7BE" w:rsidR="00420322" w:rsidRDefault="00420322" w:rsidP="000C4DF5">
      <w:pPr>
        <w:pStyle w:val="NoSpacing"/>
        <w:rPr>
          <w:rFonts w:ascii="Arial Black" w:hAnsi="Arial Black"/>
          <w:sz w:val="24"/>
          <w:szCs w:val="24"/>
        </w:rPr>
      </w:pPr>
      <w:bookmarkStart w:id="657" w:name="_Hlk66951044"/>
      <w:r>
        <w:rPr>
          <w:rFonts w:ascii="Arial Black" w:hAnsi="Arial Black"/>
          <w:sz w:val="24"/>
          <w:szCs w:val="24"/>
        </w:rPr>
        <w:t>18-4</w:t>
      </w:r>
    </w:p>
    <w:p w14:paraId="49E99C21" w14:textId="22177DD3" w:rsidR="00420322" w:rsidRDefault="00420322" w:rsidP="000C4DF5">
      <w:pPr>
        <w:pStyle w:val="NoSpacing"/>
        <w:rPr>
          <w:rFonts w:ascii="Arial Black" w:hAnsi="Arial Black"/>
          <w:sz w:val="24"/>
          <w:szCs w:val="24"/>
        </w:rPr>
      </w:pPr>
    </w:p>
    <w:p w14:paraId="2AACC266" w14:textId="77777777" w:rsidR="00420322" w:rsidRPr="00B01F90" w:rsidRDefault="00420322" w:rsidP="00420322">
      <w:pPr>
        <w:rPr>
          <w:rFonts w:ascii="Arial Black" w:hAnsi="Arial Black"/>
          <w:sz w:val="28"/>
          <w:szCs w:val="28"/>
        </w:rPr>
      </w:pPr>
      <w:bookmarkStart w:id="658" w:name="_Hlk39773435"/>
      <w:r w:rsidRPr="00B01F90">
        <w:rPr>
          <w:rFonts w:ascii="Arial Black" w:hAnsi="Arial Black"/>
          <w:sz w:val="28"/>
          <w:szCs w:val="28"/>
        </w:rPr>
        <w:t>PA</w:t>
      </w:r>
      <w:r>
        <w:rPr>
          <w:rFonts w:ascii="Arial Black" w:hAnsi="Arial Black"/>
          <w:sz w:val="28"/>
          <w:szCs w:val="28"/>
        </w:rPr>
        <w:t xml:space="preserve">: </w:t>
      </w:r>
      <w:r w:rsidRPr="00B01F90">
        <w:rPr>
          <w:rFonts w:ascii="Arial Black" w:hAnsi="Arial Black"/>
          <w:sz w:val="28"/>
          <w:szCs w:val="28"/>
        </w:rPr>
        <w:t>PHIL</w:t>
      </w:r>
      <w:r>
        <w:rPr>
          <w:rFonts w:ascii="Arial Black" w:hAnsi="Arial Black"/>
          <w:sz w:val="28"/>
          <w:szCs w:val="28"/>
        </w:rPr>
        <w:t xml:space="preserve">ADEPHIA </w:t>
      </w:r>
      <w:r w:rsidRPr="00B01F90">
        <w:rPr>
          <w:rFonts w:ascii="Arial Black" w:hAnsi="Arial Black"/>
          <w:sz w:val="28"/>
          <w:szCs w:val="28"/>
        </w:rPr>
        <w:t xml:space="preserve">FF WITH LUNG CANCER – SMOKER </w:t>
      </w:r>
      <w:r>
        <w:rPr>
          <w:rFonts w:ascii="Arial Black" w:hAnsi="Arial Black"/>
          <w:sz w:val="28"/>
          <w:szCs w:val="28"/>
        </w:rPr>
        <w:t>–</w:t>
      </w:r>
      <w:r w:rsidRPr="00B01F90">
        <w:rPr>
          <w:rFonts w:ascii="Arial Black" w:hAnsi="Arial Black"/>
          <w:sz w:val="28"/>
          <w:szCs w:val="28"/>
        </w:rPr>
        <w:t xml:space="preserve"> </w:t>
      </w:r>
      <w:r>
        <w:rPr>
          <w:rFonts w:ascii="Arial Black" w:hAnsi="Arial Black"/>
          <w:sz w:val="28"/>
          <w:szCs w:val="28"/>
        </w:rPr>
        <w:t xml:space="preserve">WILL RECEIVE WORKERS COMP BENEFITS – 2011 </w:t>
      </w:r>
      <w:r w:rsidRPr="00B01F90">
        <w:rPr>
          <w:rFonts w:ascii="Arial Black" w:hAnsi="Arial Black"/>
          <w:sz w:val="28"/>
          <w:szCs w:val="28"/>
        </w:rPr>
        <w:t>STATUTORY PRESUMPTION</w:t>
      </w:r>
      <w:r>
        <w:rPr>
          <w:rFonts w:ascii="Arial Black" w:hAnsi="Arial Black"/>
          <w:sz w:val="28"/>
          <w:szCs w:val="28"/>
        </w:rPr>
        <w:t xml:space="preserve"> LAW</w:t>
      </w:r>
    </w:p>
    <w:p w14:paraId="40AA9F4B" w14:textId="77777777" w:rsidR="00420322" w:rsidRDefault="00420322" w:rsidP="00420322">
      <w:pPr>
        <w:rPr>
          <w:rFonts w:ascii="Times New Roman" w:hAnsi="Times New Roman"/>
          <w:sz w:val="24"/>
          <w:szCs w:val="24"/>
        </w:rPr>
      </w:pPr>
      <w:r w:rsidRPr="00B01F90">
        <w:rPr>
          <w:rFonts w:ascii="Times New Roman" w:hAnsi="Times New Roman"/>
          <w:sz w:val="24"/>
          <w:szCs w:val="24"/>
        </w:rPr>
        <w:t xml:space="preserve">On </w:t>
      </w:r>
      <w:bookmarkStart w:id="659" w:name="_Hlk39861439"/>
      <w:r w:rsidRPr="00B01F90">
        <w:rPr>
          <w:rFonts w:ascii="Times New Roman" w:hAnsi="Times New Roman"/>
          <w:sz w:val="24"/>
          <w:szCs w:val="24"/>
        </w:rPr>
        <w:t xml:space="preserve">Jan. 3, 2020, in </w:t>
      </w:r>
      <w:r w:rsidRPr="00B01F90">
        <w:rPr>
          <w:rFonts w:ascii="Times New Roman" w:hAnsi="Times New Roman"/>
          <w:sz w:val="24"/>
          <w:szCs w:val="24"/>
          <w:u w:val="single"/>
        </w:rPr>
        <w:t>Wayne Deloatch v. Workers’ Compensation Appeal Board (City of Philadelphia)</w:t>
      </w:r>
      <w:r>
        <w:rPr>
          <w:rFonts w:ascii="Times New Roman" w:hAnsi="Times New Roman"/>
          <w:sz w:val="24"/>
          <w:szCs w:val="24"/>
        </w:rPr>
        <w:t xml:space="preserve">, </w:t>
      </w:r>
      <w:bookmarkEnd w:id="659"/>
      <w:r>
        <w:rPr>
          <w:rFonts w:ascii="Times New Roman" w:hAnsi="Times New Roman"/>
          <w:sz w:val="24"/>
          <w:szCs w:val="24"/>
        </w:rPr>
        <w:t xml:space="preserve">the Commonwealth Court of Pennsylvania held (3 to 0) that the firefighter is entitled to benefits.  </w:t>
      </w:r>
    </w:p>
    <w:bookmarkEnd w:id="657"/>
    <w:p w14:paraId="6CADCAB9" w14:textId="77777777" w:rsidR="00420322" w:rsidRPr="00F56F6D" w:rsidRDefault="00420322" w:rsidP="00420322">
      <w:pPr>
        <w:spacing w:before="100" w:beforeAutospacing="1" w:after="100" w:afterAutospacing="1" w:line="240" w:lineRule="auto"/>
        <w:ind w:left="720"/>
        <w:rPr>
          <w:rFonts w:ascii="Times New Roman" w:eastAsia="Times New Roman" w:hAnsi="Times New Roman"/>
          <w:sz w:val="24"/>
          <w:szCs w:val="24"/>
        </w:rPr>
      </w:pPr>
      <w:r w:rsidRPr="00B01F90">
        <w:rPr>
          <w:rFonts w:ascii="Times New Roman" w:eastAsia="Times New Roman" w:hAnsi="Times New Roman"/>
          <w:sz w:val="24"/>
          <w:szCs w:val="24"/>
        </w:rPr>
        <w:t>“</w:t>
      </w:r>
      <w:r w:rsidRPr="00B01F90">
        <w:rPr>
          <w:rFonts w:ascii="Times New Roman" w:hAnsi="Times New Roman"/>
          <w:sz w:val="24"/>
          <w:szCs w:val="24"/>
        </w:rPr>
        <w:t>During Claimant's firefighting career (20 years), he fought approximately 200-300 fires, including building, house, car, dumpster, trash, grass, and field fires, which exposed him to smoke.</w:t>
      </w:r>
      <w:r>
        <w:rPr>
          <w:rFonts w:ascii="Times New Roman" w:hAnsi="Times New Roman"/>
          <w:sz w:val="24"/>
          <w:szCs w:val="24"/>
        </w:rPr>
        <w:t xml:space="preserve"> *** </w:t>
      </w:r>
      <w:r w:rsidRPr="00B01F90">
        <w:rPr>
          <w:rFonts w:ascii="Times New Roman" w:eastAsia="Times New Roman" w:hAnsi="Times New Roman"/>
          <w:sz w:val="24"/>
          <w:szCs w:val="24"/>
        </w:rPr>
        <w:t>Claimant did not use the SCBA during exterior firefighting—</w:t>
      </w:r>
      <w:r w:rsidRPr="00B01F90">
        <w:rPr>
          <w:rFonts w:ascii="Times New Roman" w:eastAsia="Times New Roman" w:hAnsi="Times New Roman"/>
          <w:i/>
          <w:iCs/>
          <w:sz w:val="24"/>
          <w:szCs w:val="24"/>
        </w:rPr>
        <w:t>i</w:t>
      </w:r>
      <w:r w:rsidRPr="00B01F90">
        <w:rPr>
          <w:rFonts w:ascii="Times New Roman" w:eastAsia="Times New Roman" w:hAnsi="Times New Roman"/>
          <w:sz w:val="24"/>
          <w:szCs w:val="24"/>
        </w:rPr>
        <w:t>.</w:t>
      </w:r>
      <w:r w:rsidRPr="00B01F90">
        <w:rPr>
          <w:rFonts w:ascii="Times New Roman" w:eastAsia="Times New Roman" w:hAnsi="Times New Roman"/>
          <w:i/>
          <w:iCs/>
          <w:sz w:val="24"/>
          <w:szCs w:val="24"/>
        </w:rPr>
        <w:t>e</w:t>
      </w:r>
      <w:r w:rsidRPr="00B01F90">
        <w:rPr>
          <w:rFonts w:ascii="Times New Roman" w:eastAsia="Times New Roman" w:hAnsi="Times New Roman"/>
          <w:sz w:val="24"/>
          <w:szCs w:val="24"/>
        </w:rPr>
        <w:t xml:space="preserve">., outdoor firefighting—or overhaul, which entailed </w:t>
      </w:r>
      <w:r>
        <w:rPr>
          <w:rFonts w:ascii="Times New Roman" w:eastAsia="Times New Roman" w:hAnsi="Times New Roman"/>
          <w:sz w:val="24"/>
          <w:szCs w:val="24"/>
        </w:rPr>
        <w:t>‘</w:t>
      </w:r>
      <w:r w:rsidRPr="00B01F90">
        <w:rPr>
          <w:rFonts w:ascii="Times New Roman" w:eastAsia="Times New Roman" w:hAnsi="Times New Roman"/>
          <w:sz w:val="24"/>
          <w:szCs w:val="24"/>
        </w:rPr>
        <w:t>ripping of walls, ceilings, searching for any hidden fire and extinguishing that if it's visible.</w:t>
      </w:r>
      <w:r>
        <w:rPr>
          <w:rFonts w:ascii="Times New Roman" w:eastAsia="Times New Roman" w:hAnsi="Times New Roman"/>
          <w:sz w:val="24"/>
          <w:szCs w:val="24"/>
        </w:rPr>
        <w:t xml:space="preserve">’… </w:t>
      </w:r>
      <w:r w:rsidRPr="00B01F90">
        <w:rPr>
          <w:rFonts w:ascii="Times New Roman" w:eastAsia="Times New Roman" w:hAnsi="Times New Roman"/>
          <w:sz w:val="24"/>
          <w:szCs w:val="24"/>
        </w:rPr>
        <w:t>After exposure to each fire incident, Claimant's body would be coated in soot, and Claimant would often find soot in his nasal secretions up to a week after exposure</w:t>
      </w:r>
      <w:r>
        <w:rPr>
          <w:rFonts w:ascii="Times New Roman" w:eastAsia="Times New Roman" w:hAnsi="Times New Roman"/>
          <w:sz w:val="24"/>
          <w:szCs w:val="24"/>
        </w:rPr>
        <w:t xml:space="preserve">…. </w:t>
      </w:r>
      <w:r w:rsidRPr="00B01F90">
        <w:rPr>
          <w:rFonts w:ascii="Times New Roman" w:eastAsia="Times New Roman" w:hAnsi="Times New Roman"/>
          <w:sz w:val="24"/>
          <w:szCs w:val="24"/>
        </w:rPr>
        <w:t>Claimant further testified that he stopped smoking cigarettes in 2011, but had a 30 to 35-year-long smoking history</w:t>
      </w:r>
      <w:r>
        <w:rPr>
          <w:rFonts w:ascii="Times New Roman" w:eastAsia="Times New Roman" w:hAnsi="Times New Roman"/>
          <w:sz w:val="24"/>
          <w:szCs w:val="24"/>
        </w:rPr>
        <w:t xml:space="preserve">… </w:t>
      </w:r>
      <w:r w:rsidRPr="00B01F90">
        <w:rPr>
          <w:rFonts w:ascii="Times New Roman" w:eastAsia="Times New Roman" w:hAnsi="Times New Roman"/>
          <w:sz w:val="24"/>
          <w:szCs w:val="24"/>
        </w:rPr>
        <w:t>During that period, Claimant recalled smoking only one pack of cigarettes per week</w:t>
      </w:r>
      <w:r>
        <w:rPr>
          <w:rFonts w:ascii="Times New Roman" w:eastAsia="Times New Roman" w:hAnsi="Times New Roman"/>
          <w:sz w:val="24"/>
          <w:szCs w:val="24"/>
        </w:rPr>
        <w:t xml:space="preserve">…. </w:t>
      </w:r>
      <w:r w:rsidRPr="00B01F90">
        <w:rPr>
          <w:rFonts w:ascii="Times New Roman" w:eastAsia="Times New Roman" w:hAnsi="Times New Roman"/>
          <w:sz w:val="24"/>
          <w:szCs w:val="24"/>
        </w:rPr>
        <w:t xml:space="preserve">Firefighters were permitted to smoke in the fire stations, and Claimant worked with smokers during his career as a firefighter. </w:t>
      </w:r>
      <w:r>
        <w:rPr>
          <w:rFonts w:ascii="Times New Roman" w:eastAsia="Times New Roman" w:hAnsi="Times New Roman"/>
          <w:sz w:val="24"/>
          <w:szCs w:val="24"/>
        </w:rPr>
        <w:t xml:space="preserve">*** </w:t>
      </w:r>
      <w:r w:rsidRPr="00F56F6D">
        <w:rPr>
          <w:rFonts w:ascii="Times New Roman" w:eastAsia="Times New Roman" w:hAnsi="Times New Roman"/>
          <w:sz w:val="24"/>
          <w:szCs w:val="24"/>
        </w:rPr>
        <w:t>For the reasons set forth above, Claimant established that he was entitled to the statutory presumption under Section 301(f) of the Act, being that his lung cancer was caused by the occupation of firefighting. Employer failed to rebut the statutory presumption with substantial competent evidence that Claimant's</w:t>
      </w:r>
      <w:r>
        <w:rPr>
          <w:rFonts w:ascii="Times New Roman" w:eastAsia="Times New Roman" w:hAnsi="Times New Roman"/>
          <w:sz w:val="24"/>
          <w:szCs w:val="24"/>
        </w:rPr>
        <w:t xml:space="preserve"> </w:t>
      </w:r>
      <w:r w:rsidRPr="00F56F6D">
        <w:rPr>
          <w:rFonts w:ascii="Times New Roman" w:eastAsia="Times New Roman" w:hAnsi="Times New Roman"/>
          <w:sz w:val="24"/>
          <w:szCs w:val="24"/>
        </w:rPr>
        <w:t xml:space="preserve">cancer was caused by something other than his workplace exposure to IARC Group 1 carcinogens linked to lung cancer. </w:t>
      </w:r>
      <w:bookmarkStart w:id="660" w:name="_Hlk39861416"/>
      <w:bookmarkStart w:id="661" w:name="_Hlk66951065"/>
      <w:r w:rsidR="00B0089C">
        <w:fldChar w:fldCharType="begin"/>
      </w:r>
      <w:r w:rsidR="00B0089C">
        <w:instrText xml:space="preserve"> HYPERLINK "https://public.fastcase.com/Wl%2B2t%2BeVuI35%2FN70vAMFZi2NtCwkTvdiKyrWKXTmtjwARSxGp50rXf7QoqUpwr%2BO" </w:instrText>
      </w:r>
      <w:r w:rsidR="00B0089C">
        <w:fldChar w:fldCharType="separate"/>
      </w:r>
      <w:r w:rsidRPr="00B01F90">
        <w:rPr>
          <w:rStyle w:val="Hyperlink"/>
          <w:rFonts w:ascii="Times New Roman" w:eastAsia="Times New Roman" w:hAnsi="Times New Roman"/>
          <w:sz w:val="24"/>
          <w:szCs w:val="24"/>
        </w:rPr>
        <w:t>https://public.fastcase.com/Wl%2B2t%2BeVuI35%2FN70vAMFZi2NtCwkTvdiKyrWKXTmtjwARSxGp50rXf7QoqUpwr%2BO</w:t>
      </w:r>
      <w:r w:rsidR="00B0089C">
        <w:rPr>
          <w:rStyle w:val="Hyperlink"/>
          <w:rFonts w:ascii="Times New Roman" w:eastAsia="Times New Roman" w:hAnsi="Times New Roman"/>
          <w:sz w:val="24"/>
          <w:szCs w:val="24"/>
        </w:rPr>
        <w:fldChar w:fldCharType="end"/>
      </w:r>
      <w:r w:rsidRPr="00B01F90">
        <w:rPr>
          <w:rFonts w:ascii="Times New Roman" w:eastAsia="Times New Roman" w:hAnsi="Times New Roman"/>
          <w:sz w:val="24"/>
          <w:szCs w:val="24"/>
        </w:rPr>
        <w:t xml:space="preserve"> </w:t>
      </w:r>
    </w:p>
    <w:p w14:paraId="7A42C757" w14:textId="159DF03F" w:rsidR="00420322" w:rsidRPr="00E600C4" w:rsidRDefault="00E600C4" w:rsidP="000C4DF5">
      <w:pPr>
        <w:pStyle w:val="NoSpacing"/>
        <w:rPr>
          <w:rFonts w:ascii="Times New Roman" w:hAnsi="Times New Roman"/>
          <w:b/>
          <w:bCs/>
          <w:sz w:val="24"/>
          <w:szCs w:val="24"/>
        </w:rPr>
      </w:pPr>
      <w:bookmarkStart w:id="662" w:name="_Hlk40517361"/>
      <w:bookmarkEnd w:id="658"/>
      <w:bookmarkEnd w:id="660"/>
      <w:r w:rsidRPr="00E600C4">
        <w:rPr>
          <w:rFonts w:ascii="Times New Roman" w:hAnsi="Times New Roman"/>
          <w:b/>
          <w:bCs/>
          <w:sz w:val="24"/>
          <w:szCs w:val="24"/>
        </w:rPr>
        <w:t xml:space="preserve">Legal Lessons Learned:  Statutory presumption laws are being enacted throughout our Nation. </w:t>
      </w:r>
    </w:p>
    <w:bookmarkEnd w:id="661"/>
    <w:bookmarkEnd w:id="662"/>
    <w:p w14:paraId="7D34EF81" w14:textId="77777777" w:rsidR="00420322" w:rsidRPr="00E600C4" w:rsidRDefault="00420322" w:rsidP="000C4DF5">
      <w:pPr>
        <w:pStyle w:val="NoSpacing"/>
        <w:rPr>
          <w:rFonts w:ascii="Times New Roman" w:hAnsi="Times New Roman"/>
          <w:sz w:val="24"/>
          <w:szCs w:val="24"/>
        </w:rPr>
      </w:pPr>
    </w:p>
    <w:p w14:paraId="787CEE54" w14:textId="77777777" w:rsidR="00420322" w:rsidRDefault="00420322" w:rsidP="000C4DF5">
      <w:pPr>
        <w:pStyle w:val="NoSpacing"/>
        <w:rPr>
          <w:rFonts w:ascii="Arial Black" w:hAnsi="Arial Black"/>
          <w:sz w:val="24"/>
          <w:szCs w:val="24"/>
        </w:rPr>
      </w:pPr>
    </w:p>
    <w:p w14:paraId="25C454C4" w14:textId="77777777" w:rsidR="00420322" w:rsidRDefault="00420322" w:rsidP="000C4DF5">
      <w:pPr>
        <w:pStyle w:val="NoSpacing"/>
        <w:rPr>
          <w:rFonts w:ascii="Arial Black" w:hAnsi="Arial Black"/>
          <w:sz w:val="24"/>
          <w:szCs w:val="24"/>
        </w:rPr>
      </w:pPr>
    </w:p>
    <w:p w14:paraId="230AD1B8" w14:textId="6BD00107" w:rsidR="00420322" w:rsidRDefault="00420322" w:rsidP="000C4DF5">
      <w:pPr>
        <w:pStyle w:val="NoSpacing"/>
        <w:rPr>
          <w:rFonts w:ascii="Arial Black" w:hAnsi="Arial Black"/>
          <w:sz w:val="24"/>
          <w:szCs w:val="24"/>
        </w:rPr>
      </w:pPr>
      <w:r>
        <w:rPr>
          <w:rFonts w:ascii="Arial Black" w:hAnsi="Arial Black"/>
          <w:sz w:val="24"/>
          <w:szCs w:val="24"/>
        </w:rPr>
        <w:t>18-3</w:t>
      </w:r>
    </w:p>
    <w:p w14:paraId="0E3E2593" w14:textId="013427E9" w:rsidR="00420322" w:rsidRDefault="00420322" w:rsidP="000C4DF5">
      <w:pPr>
        <w:pStyle w:val="NoSpacing"/>
        <w:rPr>
          <w:rFonts w:ascii="Arial Black" w:hAnsi="Arial Black"/>
          <w:sz w:val="24"/>
          <w:szCs w:val="24"/>
        </w:rPr>
      </w:pPr>
    </w:p>
    <w:p w14:paraId="29B93F8A" w14:textId="5E8ED5B8" w:rsidR="00420322" w:rsidRDefault="00420322" w:rsidP="00420322">
      <w:pPr>
        <w:rPr>
          <w:rFonts w:ascii="Arial Black" w:hAnsi="Arial Black"/>
          <w:sz w:val="28"/>
          <w:szCs w:val="28"/>
        </w:rPr>
      </w:pPr>
      <w:bookmarkStart w:id="663" w:name="_Hlk39773484"/>
      <w:bookmarkStart w:id="664" w:name="_Hlk41314621"/>
      <w:r w:rsidRPr="00407E0E">
        <w:rPr>
          <w:rFonts w:ascii="Arial Black" w:hAnsi="Arial Black"/>
          <w:sz w:val="28"/>
          <w:szCs w:val="28"/>
        </w:rPr>
        <w:t>RI:</w:t>
      </w:r>
      <w:r>
        <w:rPr>
          <w:rFonts w:ascii="Arial Black" w:hAnsi="Arial Black"/>
          <w:sz w:val="28"/>
          <w:szCs w:val="28"/>
        </w:rPr>
        <w:t xml:space="preserve"> CRANSTON FF – 20 YRS ON FD - DIED COLON CANCER 2017 – RI SUPREME COURT DENIES WIDOW ACCIDENTAL DISABILITY PENSION </w:t>
      </w:r>
    </w:p>
    <w:p w14:paraId="42C7480E" w14:textId="77777777" w:rsidR="00420322" w:rsidRDefault="00420322" w:rsidP="00420322">
      <w:pPr>
        <w:rPr>
          <w:b/>
          <w:bCs/>
        </w:rPr>
      </w:pPr>
      <w:r w:rsidRPr="00212873">
        <w:rPr>
          <w:rFonts w:ascii="Times New Roman" w:hAnsi="Times New Roman"/>
          <w:sz w:val="24"/>
          <w:szCs w:val="24"/>
        </w:rPr>
        <w:t xml:space="preserve">On </w:t>
      </w:r>
      <w:bookmarkStart w:id="665" w:name="_Hlk39861640"/>
      <w:r w:rsidRPr="00212873">
        <w:rPr>
          <w:rFonts w:ascii="Times New Roman" w:hAnsi="Times New Roman"/>
          <w:sz w:val="24"/>
          <w:szCs w:val="24"/>
        </w:rPr>
        <w:t xml:space="preserve">Dec. 18, </w:t>
      </w:r>
      <w:proofErr w:type="gramStart"/>
      <w:r w:rsidRPr="00212873">
        <w:rPr>
          <w:rFonts w:ascii="Times New Roman" w:hAnsi="Times New Roman"/>
          <w:sz w:val="24"/>
          <w:szCs w:val="24"/>
        </w:rPr>
        <w:t>2019</w:t>
      </w:r>
      <w:proofErr w:type="gramEnd"/>
      <w:r w:rsidRPr="00212873">
        <w:rPr>
          <w:rFonts w:ascii="Times New Roman" w:hAnsi="Times New Roman"/>
          <w:sz w:val="24"/>
          <w:szCs w:val="24"/>
        </w:rPr>
        <w:t xml:space="preserve"> in </w:t>
      </w:r>
      <w:r w:rsidRPr="00212873">
        <w:rPr>
          <w:rFonts w:ascii="Times New Roman" w:hAnsi="Times New Roman"/>
          <w:sz w:val="24"/>
          <w:szCs w:val="24"/>
          <w:u w:val="single"/>
        </w:rPr>
        <w:t>Corrine A. Lang as Executrix of Estate of Kevin Land v. Municipal Employees’ Retirement System of Rhode Island</w:t>
      </w:r>
      <w:bookmarkEnd w:id="665"/>
      <w:r w:rsidRPr="00212873">
        <w:rPr>
          <w:rFonts w:ascii="Times New Roman" w:hAnsi="Times New Roman"/>
          <w:sz w:val="24"/>
          <w:szCs w:val="24"/>
        </w:rPr>
        <w:t xml:space="preserve">, the Supreme Court of Rode Island </w:t>
      </w:r>
      <w:r>
        <w:rPr>
          <w:rFonts w:ascii="Times New Roman" w:hAnsi="Times New Roman"/>
          <w:sz w:val="24"/>
          <w:szCs w:val="24"/>
        </w:rPr>
        <w:t xml:space="preserve">ruled </w:t>
      </w:r>
      <w:r w:rsidRPr="00212873">
        <w:rPr>
          <w:rFonts w:ascii="Times New Roman" w:hAnsi="Times New Roman"/>
          <w:sz w:val="24"/>
          <w:szCs w:val="24"/>
        </w:rPr>
        <w:t>(4 to 1)</w:t>
      </w:r>
      <w:r>
        <w:rPr>
          <w:rFonts w:ascii="Times New Roman" w:hAnsi="Times New Roman"/>
          <w:sz w:val="24"/>
          <w:szCs w:val="24"/>
        </w:rPr>
        <w:t xml:space="preserve"> that the widow was not entitled to an award of accidental disability benefits, reversing the </w:t>
      </w:r>
      <w:r w:rsidRPr="00212873">
        <w:rPr>
          <w:rFonts w:ascii="Times New Roman" w:hAnsi="Times New Roman"/>
          <w:sz w:val="24"/>
          <w:szCs w:val="24"/>
        </w:rPr>
        <w:t>Appellate Division of the Workers’ Compensation Court</w:t>
      </w:r>
      <w:r>
        <w:rPr>
          <w:rFonts w:ascii="Times New Roman" w:hAnsi="Times New Roman"/>
          <w:sz w:val="24"/>
          <w:szCs w:val="24"/>
        </w:rPr>
        <w:t>.</w:t>
      </w:r>
    </w:p>
    <w:p w14:paraId="72242064" w14:textId="77777777" w:rsidR="00420322" w:rsidRDefault="00420322" w:rsidP="00420322">
      <w:pPr>
        <w:pStyle w:val="NoSpacing"/>
        <w:ind w:left="720"/>
        <w:rPr>
          <w:rFonts w:ascii="Times New Roman" w:hAnsi="Times New Roman"/>
          <w:sz w:val="24"/>
          <w:szCs w:val="24"/>
        </w:rPr>
      </w:pPr>
      <w:r>
        <w:rPr>
          <w:rFonts w:ascii="Times New Roman" w:hAnsi="Times New Roman"/>
          <w:sz w:val="24"/>
          <w:szCs w:val="24"/>
        </w:rPr>
        <w:lastRenderedPageBreak/>
        <w:t>“</w:t>
      </w:r>
      <w:r w:rsidRPr="00212873">
        <w:rPr>
          <w:rFonts w:ascii="Times New Roman" w:hAnsi="Times New Roman"/>
          <w:sz w:val="24"/>
          <w:szCs w:val="24"/>
        </w:rPr>
        <w:t>To conclude that the language in § 45-19.1-1 creates a conclusive presumption would not only render the statutory definition of occupational cancer in § 45-19.1-2(d) meaningless</w:t>
      </w:r>
      <w:r>
        <w:rPr>
          <w:rFonts w:ascii="Times New Roman" w:hAnsi="Times New Roman"/>
          <w:sz w:val="24"/>
          <w:szCs w:val="24"/>
        </w:rPr>
        <w:t xml:space="preserve"> </w:t>
      </w:r>
      <w:r w:rsidRPr="00212873">
        <w:rPr>
          <w:rFonts w:ascii="Times New Roman" w:hAnsi="Times New Roman"/>
          <w:sz w:val="24"/>
          <w:szCs w:val="24"/>
        </w:rPr>
        <w:t xml:space="preserve">and create a right not found within the </w:t>
      </w:r>
      <w:proofErr w:type="gramStart"/>
      <w:r w:rsidRPr="00212873">
        <w:rPr>
          <w:rFonts w:ascii="Times New Roman" w:hAnsi="Times New Roman"/>
          <w:sz w:val="24"/>
          <w:szCs w:val="24"/>
        </w:rPr>
        <w:t>statute,</w:t>
      </w:r>
      <w:r>
        <w:rPr>
          <w:rFonts w:ascii="Times New Roman" w:hAnsi="Times New Roman"/>
          <w:sz w:val="24"/>
          <w:szCs w:val="24"/>
        </w:rPr>
        <w:t xml:space="preserve"> </w:t>
      </w:r>
      <w:r w:rsidRPr="00212873">
        <w:rPr>
          <w:rFonts w:ascii="Times New Roman" w:hAnsi="Times New Roman"/>
          <w:sz w:val="24"/>
          <w:szCs w:val="24"/>
        </w:rPr>
        <w:t>but</w:t>
      </w:r>
      <w:proofErr w:type="gramEnd"/>
      <w:r w:rsidRPr="00212873">
        <w:rPr>
          <w:rFonts w:ascii="Times New Roman" w:hAnsi="Times New Roman"/>
          <w:sz w:val="24"/>
          <w:szCs w:val="24"/>
        </w:rPr>
        <w:t xml:space="preserve"> would also construe the statute to reach an absurd result. For example, a conclusive presumption that all cancers in firefighters are occupational cancers would mean that a firefighter who</w:t>
      </w:r>
      <w:r>
        <w:rPr>
          <w:rFonts w:ascii="Times New Roman" w:hAnsi="Times New Roman"/>
          <w:sz w:val="24"/>
          <w:szCs w:val="24"/>
        </w:rPr>
        <w:t xml:space="preserve"> </w:t>
      </w:r>
      <w:r w:rsidRPr="00212873">
        <w:rPr>
          <w:rFonts w:ascii="Times New Roman" w:hAnsi="Times New Roman"/>
          <w:sz w:val="24"/>
          <w:szCs w:val="24"/>
        </w:rPr>
        <w:t>smoked four packs</w:t>
      </w:r>
      <w:r>
        <w:rPr>
          <w:rFonts w:ascii="Times New Roman" w:hAnsi="Times New Roman"/>
          <w:sz w:val="24"/>
          <w:szCs w:val="24"/>
        </w:rPr>
        <w:t xml:space="preserve"> </w:t>
      </w:r>
      <w:r w:rsidRPr="00212873">
        <w:rPr>
          <w:rFonts w:ascii="Times New Roman" w:hAnsi="Times New Roman"/>
          <w:sz w:val="24"/>
          <w:szCs w:val="24"/>
        </w:rPr>
        <w:t>of cigarettes a day</w:t>
      </w:r>
      <w:r>
        <w:rPr>
          <w:rFonts w:ascii="Times New Roman" w:hAnsi="Times New Roman"/>
          <w:sz w:val="24"/>
          <w:szCs w:val="24"/>
        </w:rPr>
        <w:t xml:space="preserve"> </w:t>
      </w:r>
      <w:r w:rsidRPr="00212873">
        <w:rPr>
          <w:rFonts w:ascii="Times New Roman" w:hAnsi="Times New Roman"/>
          <w:sz w:val="24"/>
          <w:szCs w:val="24"/>
        </w:rPr>
        <w:t>for decades</w:t>
      </w:r>
      <w:r>
        <w:rPr>
          <w:rFonts w:ascii="Times New Roman" w:hAnsi="Times New Roman"/>
          <w:sz w:val="24"/>
          <w:szCs w:val="24"/>
        </w:rPr>
        <w:t xml:space="preserve"> </w:t>
      </w:r>
      <w:r w:rsidRPr="00212873">
        <w:rPr>
          <w:rFonts w:ascii="Times New Roman" w:hAnsi="Times New Roman"/>
          <w:sz w:val="24"/>
          <w:szCs w:val="24"/>
        </w:rPr>
        <w:t>would receive an occupational cancer disability benefit despite not having proved</w:t>
      </w:r>
      <w:r>
        <w:rPr>
          <w:rFonts w:ascii="Times New Roman" w:hAnsi="Times New Roman"/>
          <w:sz w:val="24"/>
          <w:szCs w:val="24"/>
        </w:rPr>
        <w:t xml:space="preserve"> </w:t>
      </w:r>
      <w:r w:rsidRPr="00212873">
        <w:rPr>
          <w:rFonts w:ascii="Times New Roman" w:hAnsi="Times New Roman"/>
          <w:sz w:val="24"/>
          <w:szCs w:val="24"/>
        </w:rPr>
        <w:t>that his cancer was related</w:t>
      </w:r>
      <w:r>
        <w:rPr>
          <w:rFonts w:ascii="Times New Roman" w:hAnsi="Times New Roman"/>
          <w:sz w:val="24"/>
          <w:szCs w:val="24"/>
        </w:rPr>
        <w:t xml:space="preserve"> </w:t>
      </w:r>
      <w:r w:rsidRPr="00212873">
        <w:rPr>
          <w:rFonts w:ascii="Times New Roman" w:hAnsi="Times New Roman"/>
          <w:sz w:val="24"/>
          <w:szCs w:val="24"/>
        </w:rPr>
        <w:t>to exposure on the job.</w:t>
      </w:r>
      <w:r>
        <w:rPr>
          <w:rFonts w:ascii="Times New Roman" w:hAnsi="Times New Roman"/>
          <w:sz w:val="24"/>
          <w:szCs w:val="24"/>
        </w:rPr>
        <w:t xml:space="preserve"> </w:t>
      </w:r>
      <w:r w:rsidRPr="00212873">
        <w:rPr>
          <w:rFonts w:ascii="Times New Roman" w:hAnsi="Times New Roman"/>
          <w:sz w:val="24"/>
          <w:szCs w:val="24"/>
        </w:rPr>
        <w:t xml:space="preserve">Similarly, a conclusive presumption would provide occupational cancer benefits to a firefighter who contracted cancer </w:t>
      </w:r>
      <w:proofErr w:type="gramStart"/>
      <w:r w:rsidRPr="00212873">
        <w:rPr>
          <w:rFonts w:ascii="Times New Roman" w:hAnsi="Times New Roman"/>
          <w:sz w:val="24"/>
          <w:szCs w:val="24"/>
        </w:rPr>
        <w:t>as a result of</w:t>
      </w:r>
      <w:proofErr w:type="gramEnd"/>
      <w:r w:rsidRPr="00212873">
        <w:rPr>
          <w:rFonts w:ascii="Times New Roman" w:hAnsi="Times New Roman"/>
          <w:sz w:val="24"/>
          <w:szCs w:val="24"/>
        </w:rPr>
        <w:t xml:space="preserve"> exposure to</w:t>
      </w:r>
      <w:r>
        <w:rPr>
          <w:rFonts w:ascii="Times New Roman" w:hAnsi="Times New Roman"/>
          <w:sz w:val="24"/>
          <w:szCs w:val="24"/>
        </w:rPr>
        <w:t xml:space="preserve"> </w:t>
      </w:r>
      <w:r w:rsidRPr="00212873">
        <w:rPr>
          <w:rFonts w:ascii="Times New Roman" w:hAnsi="Times New Roman"/>
          <w:sz w:val="24"/>
          <w:szCs w:val="24"/>
        </w:rPr>
        <w:t>pesticides while landscaping in his</w:t>
      </w:r>
      <w:r>
        <w:rPr>
          <w:rFonts w:ascii="Times New Roman" w:hAnsi="Times New Roman"/>
          <w:sz w:val="24"/>
          <w:szCs w:val="24"/>
        </w:rPr>
        <w:t xml:space="preserve"> </w:t>
      </w:r>
      <w:r w:rsidRPr="00212873">
        <w:rPr>
          <w:rFonts w:ascii="Times New Roman" w:hAnsi="Times New Roman"/>
          <w:sz w:val="24"/>
          <w:szCs w:val="24"/>
        </w:rPr>
        <w:t>or her</w:t>
      </w:r>
      <w:r>
        <w:rPr>
          <w:rFonts w:ascii="Times New Roman" w:hAnsi="Times New Roman"/>
          <w:sz w:val="24"/>
          <w:szCs w:val="24"/>
        </w:rPr>
        <w:t xml:space="preserve"> </w:t>
      </w:r>
      <w:r w:rsidRPr="00212873">
        <w:rPr>
          <w:rFonts w:ascii="Times New Roman" w:hAnsi="Times New Roman"/>
          <w:sz w:val="24"/>
          <w:szCs w:val="24"/>
        </w:rPr>
        <w:t>yard.</w:t>
      </w:r>
      <w:r>
        <w:rPr>
          <w:rFonts w:ascii="Times New Roman" w:hAnsi="Times New Roman"/>
          <w:sz w:val="24"/>
          <w:szCs w:val="24"/>
        </w:rPr>
        <w:t xml:space="preserve"> </w:t>
      </w:r>
      <w:r w:rsidRPr="00212873">
        <w:rPr>
          <w:rFonts w:ascii="Times New Roman" w:hAnsi="Times New Roman"/>
          <w:sz w:val="24"/>
          <w:szCs w:val="24"/>
        </w:rPr>
        <w:t>We do not believe the General Assembly would have extended such broad</w:t>
      </w:r>
      <w:r>
        <w:rPr>
          <w:rFonts w:ascii="Times New Roman" w:hAnsi="Times New Roman"/>
          <w:sz w:val="24"/>
          <w:szCs w:val="24"/>
        </w:rPr>
        <w:t xml:space="preserve"> </w:t>
      </w:r>
      <w:r w:rsidRPr="00212873">
        <w:rPr>
          <w:rFonts w:ascii="Times New Roman" w:hAnsi="Times New Roman"/>
          <w:sz w:val="24"/>
          <w:szCs w:val="24"/>
        </w:rPr>
        <w:t>benefits to all firefighters without expressly providing for</w:t>
      </w:r>
      <w:r>
        <w:rPr>
          <w:rFonts w:ascii="Times New Roman" w:hAnsi="Times New Roman"/>
          <w:sz w:val="24"/>
          <w:szCs w:val="24"/>
        </w:rPr>
        <w:t xml:space="preserve"> </w:t>
      </w:r>
      <w:r w:rsidRPr="00212873">
        <w:rPr>
          <w:rFonts w:ascii="Times New Roman" w:hAnsi="Times New Roman"/>
          <w:sz w:val="24"/>
          <w:szCs w:val="24"/>
        </w:rPr>
        <w:t>such</w:t>
      </w:r>
      <w:r>
        <w:rPr>
          <w:rFonts w:ascii="Times New Roman" w:hAnsi="Times New Roman"/>
          <w:sz w:val="24"/>
          <w:szCs w:val="24"/>
        </w:rPr>
        <w:t xml:space="preserve"> </w:t>
      </w:r>
      <w:r w:rsidRPr="00212873">
        <w:rPr>
          <w:rFonts w:ascii="Times New Roman" w:hAnsi="Times New Roman"/>
          <w:sz w:val="24"/>
          <w:szCs w:val="24"/>
        </w:rPr>
        <w:t>in clear and unambiguous language.</w:t>
      </w:r>
      <w:r>
        <w:rPr>
          <w:rFonts w:ascii="Times New Roman" w:hAnsi="Times New Roman"/>
          <w:sz w:val="24"/>
          <w:szCs w:val="24"/>
        </w:rPr>
        <w:t xml:space="preserve">” </w:t>
      </w:r>
      <w:bookmarkStart w:id="666" w:name="_Hlk39861655"/>
      <w:r w:rsidR="00B0089C">
        <w:fldChar w:fldCharType="begin"/>
      </w:r>
      <w:r w:rsidR="00B0089C">
        <w:instrText xml:space="preserve"> HYPERLINK "https://www.courts.ri.gov/Courts/SupremeCourt/SupremeOpinions/17-295.pdf" </w:instrText>
      </w:r>
      <w:r w:rsidR="00B0089C">
        <w:fldChar w:fldCharType="separate"/>
      </w:r>
      <w:r w:rsidRPr="005F7F38">
        <w:rPr>
          <w:rStyle w:val="Hyperlink"/>
          <w:rFonts w:ascii="Times New Roman" w:hAnsi="Times New Roman"/>
          <w:sz w:val="24"/>
          <w:szCs w:val="24"/>
        </w:rPr>
        <w:t>https://www.courts.ri.gov/Courts/SupremeCourt/SupremeOpinions/17-295.pdf</w:t>
      </w:r>
      <w:r w:rsidR="00B0089C">
        <w:rPr>
          <w:rStyle w:val="Hyperlink"/>
          <w:rFonts w:ascii="Times New Roman" w:hAnsi="Times New Roman"/>
          <w:sz w:val="24"/>
          <w:szCs w:val="24"/>
        </w:rPr>
        <w:fldChar w:fldCharType="end"/>
      </w:r>
      <w:bookmarkEnd w:id="666"/>
      <w:r>
        <w:rPr>
          <w:rFonts w:ascii="Times New Roman" w:hAnsi="Times New Roman"/>
          <w:sz w:val="24"/>
          <w:szCs w:val="24"/>
        </w:rPr>
        <w:t xml:space="preserve"> </w:t>
      </w:r>
    </w:p>
    <w:bookmarkEnd w:id="663"/>
    <w:p w14:paraId="48EBCF44" w14:textId="77777777" w:rsidR="00420322" w:rsidRDefault="00420322" w:rsidP="000C4DF5">
      <w:pPr>
        <w:pStyle w:val="NoSpacing"/>
        <w:rPr>
          <w:rFonts w:ascii="Arial Black" w:hAnsi="Arial Black"/>
          <w:sz w:val="24"/>
          <w:szCs w:val="24"/>
        </w:rPr>
      </w:pPr>
    </w:p>
    <w:p w14:paraId="62625D07" w14:textId="418B9D40" w:rsidR="00420322" w:rsidRPr="00E600C4" w:rsidRDefault="00E600C4" w:rsidP="000C4DF5">
      <w:pPr>
        <w:pStyle w:val="NoSpacing"/>
        <w:rPr>
          <w:rFonts w:ascii="Times New Roman" w:hAnsi="Times New Roman"/>
          <w:b/>
          <w:bCs/>
          <w:sz w:val="24"/>
          <w:szCs w:val="24"/>
        </w:rPr>
      </w:pPr>
      <w:bookmarkStart w:id="667" w:name="_Hlk40517720"/>
      <w:r w:rsidRPr="00E600C4">
        <w:rPr>
          <w:rFonts w:ascii="Times New Roman" w:hAnsi="Times New Roman"/>
          <w:b/>
          <w:bCs/>
          <w:sz w:val="24"/>
          <w:szCs w:val="24"/>
        </w:rPr>
        <w:t xml:space="preserve">Legal Lessons Learned:  </w:t>
      </w:r>
      <w:r w:rsidR="00A76634">
        <w:rPr>
          <w:rFonts w:ascii="Times New Roman" w:hAnsi="Times New Roman"/>
          <w:b/>
          <w:bCs/>
          <w:sz w:val="24"/>
          <w:szCs w:val="24"/>
        </w:rPr>
        <w:t>Firefighter statutory presumption s</w:t>
      </w:r>
      <w:r w:rsidRPr="00E600C4">
        <w:rPr>
          <w:rFonts w:ascii="Times New Roman" w:hAnsi="Times New Roman"/>
          <w:b/>
          <w:bCs/>
          <w:sz w:val="24"/>
          <w:szCs w:val="24"/>
        </w:rPr>
        <w:t>tatut</w:t>
      </w:r>
      <w:r>
        <w:rPr>
          <w:rFonts w:ascii="Times New Roman" w:hAnsi="Times New Roman"/>
          <w:b/>
          <w:bCs/>
          <w:sz w:val="24"/>
          <w:szCs w:val="24"/>
        </w:rPr>
        <w:t>es</w:t>
      </w:r>
      <w:r w:rsidR="00A76634">
        <w:rPr>
          <w:rFonts w:ascii="Times New Roman" w:hAnsi="Times New Roman"/>
          <w:b/>
          <w:bCs/>
          <w:sz w:val="24"/>
          <w:szCs w:val="24"/>
        </w:rPr>
        <w:t xml:space="preserve">  should</w:t>
      </w:r>
      <w:r w:rsidRPr="00E600C4">
        <w:rPr>
          <w:rFonts w:ascii="Times New Roman" w:hAnsi="Times New Roman"/>
          <w:b/>
          <w:bCs/>
          <w:sz w:val="24"/>
          <w:szCs w:val="24"/>
        </w:rPr>
        <w:t xml:space="preserve"> have </w:t>
      </w:r>
      <w:r>
        <w:rPr>
          <w:rFonts w:ascii="Times New Roman" w:hAnsi="Times New Roman"/>
          <w:b/>
          <w:bCs/>
          <w:sz w:val="24"/>
          <w:szCs w:val="24"/>
        </w:rPr>
        <w:t>“</w:t>
      </w:r>
      <w:r w:rsidRPr="00E600C4">
        <w:rPr>
          <w:rFonts w:ascii="Times New Roman" w:hAnsi="Times New Roman"/>
          <w:b/>
          <w:bCs/>
          <w:sz w:val="24"/>
          <w:szCs w:val="24"/>
        </w:rPr>
        <w:t>clear</w:t>
      </w:r>
      <w:r>
        <w:rPr>
          <w:rFonts w:ascii="Times New Roman" w:hAnsi="Times New Roman"/>
          <w:b/>
          <w:bCs/>
          <w:sz w:val="24"/>
          <w:szCs w:val="24"/>
        </w:rPr>
        <w:t xml:space="preserve"> and </w:t>
      </w:r>
      <w:r w:rsidRPr="00E600C4">
        <w:rPr>
          <w:rFonts w:ascii="Times New Roman" w:hAnsi="Times New Roman"/>
          <w:b/>
          <w:bCs/>
          <w:sz w:val="24"/>
          <w:szCs w:val="24"/>
        </w:rPr>
        <w:t>unambiguous</w:t>
      </w:r>
      <w:r>
        <w:rPr>
          <w:rFonts w:ascii="Times New Roman" w:hAnsi="Times New Roman"/>
          <w:b/>
          <w:bCs/>
          <w:sz w:val="24"/>
          <w:szCs w:val="24"/>
        </w:rPr>
        <w:t>”</w:t>
      </w:r>
      <w:r w:rsidRPr="00E600C4">
        <w:rPr>
          <w:rFonts w:ascii="Times New Roman" w:hAnsi="Times New Roman"/>
          <w:b/>
          <w:bCs/>
          <w:sz w:val="24"/>
          <w:szCs w:val="24"/>
        </w:rPr>
        <w:t xml:space="preserve"> language. </w:t>
      </w:r>
    </w:p>
    <w:bookmarkEnd w:id="667"/>
    <w:p w14:paraId="42ED74B8" w14:textId="77777777" w:rsidR="00420322" w:rsidRDefault="00420322" w:rsidP="000C4DF5">
      <w:pPr>
        <w:pStyle w:val="NoSpacing"/>
        <w:rPr>
          <w:rFonts w:ascii="Arial Black" w:hAnsi="Arial Black"/>
          <w:sz w:val="24"/>
          <w:szCs w:val="24"/>
        </w:rPr>
      </w:pPr>
    </w:p>
    <w:bookmarkEnd w:id="664"/>
    <w:p w14:paraId="473A7B9F" w14:textId="7297C1A9" w:rsidR="000C4DF5" w:rsidRDefault="000C4DF5" w:rsidP="000C4DF5">
      <w:pPr>
        <w:pStyle w:val="NoSpacing"/>
        <w:rPr>
          <w:rFonts w:ascii="Arial Black" w:hAnsi="Arial Black"/>
          <w:sz w:val="24"/>
          <w:szCs w:val="24"/>
        </w:rPr>
      </w:pPr>
      <w:r>
        <w:rPr>
          <w:rFonts w:ascii="Arial Black" w:hAnsi="Arial Black"/>
          <w:sz w:val="24"/>
          <w:szCs w:val="24"/>
        </w:rPr>
        <w:t>18-2</w:t>
      </w:r>
    </w:p>
    <w:p w14:paraId="1069D5C4" w14:textId="77777777" w:rsidR="000C4DF5" w:rsidRDefault="000C4DF5" w:rsidP="00F326E5">
      <w:pPr>
        <w:pStyle w:val="NoSpacing"/>
        <w:rPr>
          <w:rFonts w:ascii="Arial Black" w:hAnsi="Arial Black"/>
          <w:b/>
          <w:sz w:val="28"/>
          <w:szCs w:val="28"/>
        </w:rPr>
      </w:pPr>
    </w:p>
    <w:p w14:paraId="127D79E0" w14:textId="0E1D2D91" w:rsidR="00F326E5" w:rsidRPr="0047741D" w:rsidRDefault="00F326E5" w:rsidP="00F326E5">
      <w:pPr>
        <w:pStyle w:val="NoSpacing"/>
        <w:rPr>
          <w:rFonts w:ascii="Times New Roman" w:hAnsi="Times New Roman"/>
          <w:sz w:val="24"/>
          <w:szCs w:val="24"/>
        </w:rPr>
      </w:pPr>
      <w:bookmarkStart w:id="668" w:name="_Hlk39773638"/>
      <w:r w:rsidRPr="0047741D">
        <w:rPr>
          <w:rFonts w:ascii="Arial Black" w:hAnsi="Arial Black"/>
          <w:b/>
          <w:sz w:val="28"/>
          <w:szCs w:val="28"/>
        </w:rPr>
        <w:t xml:space="preserve">WY:  STATE STATUTE, VOLUNTEER FF WHO GETS PAID PER RUN ENTITLED TO BE IN THE UNION </w:t>
      </w:r>
      <w:r w:rsidRPr="0047741D">
        <w:rPr>
          <w:rFonts w:ascii="Times New Roman" w:hAnsi="Times New Roman"/>
          <w:sz w:val="24"/>
          <w:szCs w:val="24"/>
        </w:rPr>
        <w:t>[also filed, Chap. 6]</w:t>
      </w:r>
    </w:p>
    <w:p w14:paraId="72B94CE1" w14:textId="77777777" w:rsidR="00F326E5" w:rsidRPr="00E600C4" w:rsidRDefault="00F326E5" w:rsidP="00F326E5">
      <w:pPr>
        <w:pStyle w:val="NormalWeb"/>
        <w:rPr>
          <w:bCs/>
        </w:rPr>
      </w:pPr>
      <w:r w:rsidRPr="00E600C4">
        <w:rPr>
          <w:bCs/>
        </w:rPr>
        <w:t xml:space="preserve">On July 6, 2018, in </w:t>
      </w:r>
      <w:r w:rsidRPr="00E600C4">
        <w:rPr>
          <w:bCs/>
          <w:u w:val="single"/>
        </w:rPr>
        <w:t>IAFF Local 5058 v. Gillette / Wright / Campbell County Fire Protection Joint Powers Board, and IAFF Local 5067 v. Teton County and Town of Jackson</w:t>
      </w:r>
      <w:r w:rsidRPr="00E600C4">
        <w:rPr>
          <w:bCs/>
        </w:rPr>
        <w:t xml:space="preserve">, the Wyoming Supreme Court held (5 to 0) that the two new unions were not properly elected, and the Fire Districts did not need to negotiate collective bargaining agreements, because the “volunteer” and “pool” firefighters all receive pay for making runs.  </w:t>
      </w:r>
    </w:p>
    <w:p w14:paraId="49C75105"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“The district courts in both cases held that the Wyoming Collective </w:t>
      </w:r>
    </w:p>
    <w:p w14:paraId="7E7BFB43"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Bargaining for Fire Fighters Act’s definition of ‘fire fighters’ </w:t>
      </w:r>
    </w:p>
    <w:p w14:paraId="7563405C"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includes volunteers because they are ‘paid members of . . . regularly </w:t>
      </w:r>
    </w:p>
    <w:p w14:paraId="7BA8EF8C"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constituted fire department[s].’ Consequently, the district courts concluded </w:t>
      </w:r>
    </w:p>
    <w:p w14:paraId="1AFABDE1"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that IAFF Local 5058 and IAFF Local 5067, which were formed by and </w:t>
      </w:r>
    </w:p>
    <w:p w14:paraId="2053297F"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consist of only full-time, career fire fighters, were not properly constituted </w:t>
      </w:r>
    </w:p>
    <w:p w14:paraId="316BAEED" w14:textId="77777777" w:rsidR="00F326E5" w:rsidRPr="00E600C4" w:rsidRDefault="00F326E5" w:rsidP="00F326E5">
      <w:pPr>
        <w:pStyle w:val="NoSpacing"/>
        <w:ind w:firstLine="720"/>
        <w:rPr>
          <w:rFonts w:ascii="Times New Roman" w:hAnsi="Times New Roman"/>
          <w:bCs/>
          <w:sz w:val="24"/>
          <w:szCs w:val="24"/>
        </w:rPr>
      </w:pPr>
      <w:r w:rsidRPr="00E600C4">
        <w:rPr>
          <w:rFonts w:ascii="Times New Roman" w:hAnsi="Times New Roman"/>
          <w:sz w:val="24"/>
          <w:szCs w:val="24"/>
        </w:rPr>
        <w:t>bargaining units under the Act. We affirm.”</w:t>
      </w:r>
    </w:p>
    <w:p w14:paraId="0B228002" w14:textId="77777777" w:rsidR="00F326E5" w:rsidRPr="00E600C4" w:rsidRDefault="00F326E5" w:rsidP="00F326E5">
      <w:pPr>
        <w:ind w:firstLine="720"/>
        <w:rPr>
          <w:rFonts w:ascii="Times New Roman" w:hAnsi="Times New Roman"/>
          <w:b/>
          <w:bCs/>
          <w:sz w:val="24"/>
          <w:szCs w:val="24"/>
        </w:rPr>
      </w:pPr>
      <w:hyperlink r:id="rId3004" w:history="1">
        <w:r w:rsidRPr="00E600C4">
          <w:rPr>
            <w:rStyle w:val="Hyperlink"/>
            <w:rFonts w:ascii="Times New Roman" w:hAnsi="Times New Roman"/>
            <w:sz w:val="24"/>
            <w:szCs w:val="24"/>
          </w:rPr>
          <w:t>https://services.courts.state.wy.us/Documents/Opinions/2018WY75.pdf</w:t>
        </w:r>
      </w:hyperlink>
      <w:r w:rsidRPr="00E600C4">
        <w:rPr>
          <w:rFonts w:ascii="Times New Roman" w:hAnsi="Times New Roman"/>
          <w:b/>
          <w:bCs/>
          <w:sz w:val="24"/>
          <w:szCs w:val="24"/>
        </w:rPr>
        <w:t xml:space="preserve"> </w:t>
      </w:r>
    </w:p>
    <w:bookmarkEnd w:id="668"/>
    <w:p w14:paraId="45959243" w14:textId="54706AE9" w:rsidR="00F326E5" w:rsidRPr="00E600C4" w:rsidRDefault="00F326E5" w:rsidP="00F326E5">
      <w:pPr>
        <w:pStyle w:val="NoSpacing"/>
        <w:rPr>
          <w:rFonts w:ascii="Times New Roman" w:hAnsi="Times New Roman"/>
          <w:b/>
          <w:sz w:val="24"/>
          <w:szCs w:val="24"/>
        </w:rPr>
      </w:pPr>
      <w:r w:rsidRPr="00E600C4">
        <w:rPr>
          <w:rFonts w:ascii="Times New Roman" w:hAnsi="Times New Roman"/>
          <w:b/>
          <w:sz w:val="24"/>
          <w:szCs w:val="24"/>
        </w:rPr>
        <w:t xml:space="preserve">Legal Lessons Learned:  </w:t>
      </w:r>
      <w:r w:rsidR="00000960">
        <w:rPr>
          <w:rFonts w:ascii="Times New Roman" w:hAnsi="Times New Roman"/>
          <w:b/>
          <w:sz w:val="24"/>
          <w:szCs w:val="24"/>
        </w:rPr>
        <w:t>When d</w:t>
      </w:r>
      <w:r w:rsidRPr="00E600C4">
        <w:rPr>
          <w:rFonts w:ascii="Times New Roman" w:hAnsi="Times New Roman"/>
          <w:b/>
          <w:sz w:val="24"/>
          <w:szCs w:val="24"/>
        </w:rPr>
        <w:t>rafting legislative</w:t>
      </w:r>
      <w:r w:rsidR="00000960">
        <w:rPr>
          <w:rFonts w:ascii="Times New Roman" w:hAnsi="Times New Roman"/>
          <w:b/>
          <w:sz w:val="24"/>
          <w:szCs w:val="24"/>
        </w:rPr>
        <w:t xml:space="preserve">, using clear </w:t>
      </w:r>
      <w:r w:rsidRPr="00E600C4">
        <w:rPr>
          <w:rFonts w:ascii="Times New Roman" w:hAnsi="Times New Roman"/>
          <w:b/>
          <w:sz w:val="24"/>
          <w:szCs w:val="24"/>
        </w:rPr>
        <w:t>language is very important, along with creating a “legislative history” to avoid any question about whether volunteer and part-time firefighters can be covered in a collective bargaining agreement.</w:t>
      </w:r>
    </w:p>
    <w:p w14:paraId="1618DD66" w14:textId="77777777" w:rsidR="00F326E5" w:rsidRPr="0047741D" w:rsidRDefault="00F326E5" w:rsidP="00F326E5">
      <w:pPr>
        <w:rPr>
          <w:b/>
          <w:bCs/>
          <w:sz w:val="24"/>
          <w:szCs w:val="24"/>
        </w:rPr>
      </w:pPr>
    </w:p>
    <w:bookmarkEnd w:id="654"/>
    <w:p w14:paraId="5E0F6751" w14:textId="3ED55C98" w:rsidR="000C4DF5" w:rsidRDefault="000C4DF5" w:rsidP="000C4DF5">
      <w:pPr>
        <w:pStyle w:val="NoSpacing"/>
        <w:rPr>
          <w:rFonts w:ascii="Arial Black" w:hAnsi="Arial Black"/>
          <w:sz w:val="24"/>
          <w:szCs w:val="24"/>
        </w:rPr>
      </w:pPr>
      <w:r>
        <w:rPr>
          <w:rFonts w:ascii="Arial Black" w:hAnsi="Arial Black"/>
          <w:sz w:val="24"/>
          <w:szCs w:val="24"/>
        </w:rPr>
        <w:t>18-1</w:t>
      </w:r>
    </w:p>
    <w:p w14:paraId="3F1E4CB5" w14:textId="77777777" w:rsidR="000C4DF5" w:rsidRDefault="000C4DF5" w:rsidP="00F326E5">
      <w:pPr>
        <w:rPr>
          <w:rFonts w:ascii="Arial Black" w:hAnsi="Arial Black"/>
          <w:sz w:val="28"/>
          <w:szCs w:val="28"/>
        </w:rPr>
      </w:pPr>
      <w:bookmarkStart w:id="669" w:name="_Hlk7349781"/>
      <w:bookmarkStart w:id="670" w:name="_Hlk7349854"/>
    </w:p>
    <w:p w14:paraId="33F4DD7C" w14:textId="42E11262" w:rsidR="00F326E5" w:rsidRPr="00012487" w:rsidRDefault="00F326E5" w:rsidP="00F326E5">
      <w:pPr>
        <w:rPr>
          <w:rFonts w:ascii="Arial Black" w:hAnsi="Arial Black"/>
          <w:sz w:val="24"/>
          <w:szCs w:val="24"/>
        </w:rPr>
      </w:pPr>
      <w:bookmarkStart w:id="671" w:name="_Hlk40517902"/>
      <w:r w:rsidRPr="00BF01EE">
        <w:rPr>
          <w:rFonts w:ascii="Arial Black" w:hAnsi="Arial Black"/>
          <w:sz w:val="28"/>
          <w:szCs w:val="28"/>
        </w:rPr>
        <w:t xml:space="preserve">OH: </w:t>
      </w:r>
      <w:r>
        <w:rPr>
          <w:rFonts w:ascii="Arial Black" w:hAnsi="Arial Black"/>
          <w:sz w:val="28"/>
          <w:szCs w:val="28"/>
        </w:rPr>
        <w:t>911 “GOOD SAMARITAN LAW”</w:t>
      </w:r>
      <w:r w:rsidR="00CA57F1">
        <w:rPr>
          <w:rFonts w:ascii="Arial Black" w:hAnsi="Arial Black"/>
          <w:sz w:val="28"/>
          <w:szCs w:val="28"/>
        </w:rPr>
        <w:t xml:space="preserve"> </w:t>
      </w:r>
      <w:r>
        <w:rPr>
          <w:rFonts w:ascii="Arial Black" w:hAnsi="Arial Black"/>
          <w:sz w:val="28"/>
          <w:szCs w:val="28"/>
        </w:rPr>
        <w:t xml:space="preserve">– </w:t>
      </w:r>
      <w:r w:rsidR="00E600C4">
        <w:rPr>
          <w:rFonts w:ascii="Arial Black" w:hAnsi="Arial Black"/>
          <w:sz w:val="28"/>
          <w:szCs w:val="28"/>
        </w:rPr>
        <w:t xml:space="preserve">DRUG USERS - </w:t>
      </w:r>
      <w:r>
        <w:rPr>
          <w:rFonts w:ascii="Arial Black" w:hAnsi="Arial Black"/>
          <w:sz w:val="28"/>
          <w:szCs w:val="28"/>
        </w:rPr>
        <w:t xml:space="preserve">AVOID PROSECUTION IF CALL 911 - TREATMENT IN 30 DAYS </w:t>
      </w:r>
      <w:r w:rsidRPr="003D6884">
        <w:rPr>
          <w:b/>
          <w:sz w:val="24"/>
          <w:szCs w:val="24"/>
        </w:rPr>
        <w:t>[also filed, Chap. 1</w:t>
      </w:r>
      <w:r>
        <w:rPr>
          <w:b/>
          <w:sz w:val="24"/>
          <w:szCs w:val="24"/>
        </w:rPr>
        <w:t>3</w:t>
      </w:r>
      <w:r w:rsidRPr="003D6884">
        <w:rPr>
          <w:b/>
          <w:sz w:val="24"/>
          <w:szCs w:val="24"/>
        </w:rPr>
        <w:t>]</w:t>
      </w:r>
    </w:p>
    <w:p w14:paraId="53E1A514" w14:textId="77777777" w:rsidR="00F326E5" w:rsidRPr="00E600C4" w:rsidRDefault="00F326E5" w:rsidP="00F326E5">
      <w:pPr>
        <w:rPr>
          <w:rStyle w:val="Hyperlink"/>
          <w:rFonts w:ascii="Times New Roman" w:hAnsi="Times New Roman"/>
          <w:sz w:val="24"/>
          <w:szCs w:val="24"/>
        </w:rPr>
      </w:pPr>
      <w:r w:rsidRPr="00E600C4">
        <w:rPr>
          <w:rFonts w:ascii="Times New Roman" w:eastAsia="Times New Roman" w:hAnsi="Times New Roman"/>
          <w:sz w:val="24"/>
          <w:szCs w:val="24"/>
        </w:rPr>
        <w:t xml:space="preserve">On May 18, 2018, in </w:t>
      </w:r>
      <w:r w:rsidRPr="00E600C4">
        <w:rPr>
          <w:rFonts w:ascii="Times New Roman" w:eastAsia="Times New Roman" w:hAnsi="Times New Roman"/>
          <w:sz w:val="24"/>
          <w:szCs w:val="24"/>
          <w:u w:val="single"/>
        </w:rPr>
        <w:t>State of Ohio v. Andrew Melms</w:t>
      </w:r>
      <w:r w:rsidRPr="00E600C4">
        <w:rPr>
          <w:rFonts w:ascii="Times New Roman" w:eastAsia="Times New Roman" w:hAnsi="Times New Roman"/>
          <w:sz w:val="24"/>
          <w:szCs w:val="24"/>
        </w:rPr>
        <w:t xml:space="preserve">, the Court of Appeals For Second District (Montgomery County), held (3 to 0) that an overdose victim, arrested with </w:t>
      </w:r>
      <w:r w:rsidRPr="00E600C4">
        <w:rPr>
          <w:rFonts w:ascii="Times New Roman" w:hAnsi="Times New Roman"/>
          <w:sz w:val="24"/>
          <w:szCs w:val="24"/>
        </w:rPr>
        <w:t xml:space="preserve">six gel caps of fentanyl, was not eligible for immunity; he was in jail and did not enroll in treatment within the 30-day limit set under the new Ohio statute </w:t>
      </w:r>
      <w:r w:rsidRPr="00E600C4">
        <w:rPr>
          <w:rFonts w:ascii="Times New Roman" w:hAnsi="Times New Roman"/>
          <w:sz w:val="24"/>
          <w:szCs w:val="24"/>
        </w:rPr>
        <w:lastRenderedPageBreak/>
        <w:t>enacted in 2016.  The Court urged the Ohio General Assembly to modify the law: “</w:t>
      </w:r>
      <w:r w:rsidRPr="00E600C4">
        <w:rPr>
          <w:rFonts w:ascii="Times New Roman" w:eastAsia="Times New Roman" w:hAnsi="Times New Roman"/>
          <w:sz w:val="24"/>
          <w:szCs w:val="24"/>
        </w:rPr>
        <w:t xml:space="preserve">Granted Melms seemingly was an ideal candidate for immunity, but for the clear and unambiguous 30-day window set forth by the legislature. </w:t>
      </w:r>
      <w:bookmarkEnd w:id="671"/>
      <w:r w:rsidRPr="00E600C4">
        <w:rPr>
          <w:rFonts w:ascii="Times New Roman" w:eastAsia="Times New Roman" w:hAnsi="Times New Roman"/>
          <w:sz w:val="24"/>
          <w:szCs w:val="24"/>
        </w:rPr>
        <w:t xml:space="preserve">The remedy lies with the </w:t>
      </w:r>
      <w:proofErr w:type="gramStart"/>
      <w:r w:rsidRPr="00E600C4">
        <w:rPr>
          <w:rFonts w:ascii="Times New Roman" w:eastAsia="Times New Roman" w:hAnsi="Times New Roman"/>
          <w:sz w:val="24"/>
          <w:szCs w:val="24"/>
        </w:rPr>
        <w:t>legislature to</w:t>
      </w:r>
      <w:proofErr w:type="gramEnd"/>
      <w:r w:rsidRPr="00E600C4">
        <w:rPr>
          <w:rFonts w:ascii="Times New Roman" w:eastAsia="Times New Roman" w:hAnsi="Times New Roman"/>
          <w:sz w:val="24"/>
          <w:szCs w:val="24"/>
        </w:rPr>
        <w:t xml:space="preserve"> either eliminate the 30-day restriction or </w:t>
      </w:r>
      <w:proofErr w:type="gramStart"/>
      <w:r w:rsidRPr="00E600C4">
        <w:rPr>
          <w:rFonts w:ascii="Times New Roman" w:eastAsia="Times New Roman" w:hAnsi="Times New Roman"/>
          <w:sz w:val="24"/>
          <w:szCs w:val="24"/>
        </w:rPr>
        <w:t>to provide</w:t>
      </w:r>
      <w:proofErr w:type="gramEnd"/>
      <w:r w:rsidRPr="00E600C4">
        <w:rPr>
          <w:rFonts w:ascii="Times New Roman" w:eastAsia="Times New Roman" w:hAnsi="Times New Roman"/>
          <w:sz w:val="24"/>
          <w:szCs w:val="24"/>
        </w:rPr>
        <w:t xml:space="preserve"> for the exercise of judicial discretion, particularly in those cases of the most vulnerable, often indigent, incarcerated individuals who are unaware of the time limit until after counsel is appointed on the drug offense. In our view, an immediate legislative fix is warranted so that this legislation achieves its laudable </w:t>
      </w:r>
      <w:proofErr w:type="gramStart"/>
      <w:r w:rsidRPr="00E600C4">
        <w:rPr>
          <w:rFonts w:ascii="Times New Roman" w:eastAsia="Times New Roman" w:hAnsi="Times New Roman"/>
          <w:sz w:val="24"/>
          <w:szCs w:val="24"/>
        </w:rPr>
        <w:t>goals.”</w:t>
      </w:r>
      <w:proofErr w:type="gramEnd"/>
      <w:r w:rsidRPr="00E600C4">
        <w:rPr>
          <w:rFonts w:ascii="Times New Roman" w:eastAsia="Times New Roman" w:hAnsi="Times New Roman"/>
          <w:sz w:val="24"/>
          <w:szCs w:val="24"/>
        </w:rPr>
        <w:t xml:space="preserve"> </w:t>
      </w:r>
      <w:bookmarkStart w:id="672" w:name="_Hlk40517955"/>
      <w:r w:rsidR="009B50E8">
        <w:fldChar w:fldCharType="begin"/>
      </w:r>
      <w:r w:rsidR="009B50E8">
        <w:instrText xml:space="preserve"> HYPERLINK "https://cases.justia.com/ohio/second-district-court-of-appeals/2018-27685.pdf?ts=1526679598" </w:instrText>
      </w:r>
      <w:r w:rsidR="009B50E8">
        <w:fldChar w:fldCharType="separate"/>
      </w:r>
      <w:r w:rsidRPr="00E600C4">
        <w:rPr>
          <w:rStyle w:val="Hyperlink"/>
          <w:rFonts w:ascii="Times New Roman" w:hAnsi="Times New Roman"/>
          <w:sz w:val="24"/>
          <w:szCs w:val="24"/>
        </w:rPr>
        <w:t>https://cases.justia.com/ohio/second-district-court-of-appeals/2018-27685.pdf?ts=1526679598</w:t>
      </w:r>
      <w:r w:rsidR="009B50E8">
        <w:rPr>
          <w:rStyle w:val="Hyperlink"/>
          <w:rFonts w:ascii="Times New Roman" w:hAnsi="Times New Roman"/>
          <w:sz w:val="24"/>
          <w:szCs w:val="24"/>
        </w:rPr>
        <w:fldChar w:fldCharType="end"/>
      </w:r>
    </w:p>
    <w:p w14:paraId="1286D19A" w14:textId="77777777" w:rsidR="00F326E5" w:rsidRPr="00E600C4" w:rsidRDefault="00F326E5" w:rsidP="00F326E5">
      <w:pPr>
        <w:rPr>
          <w:rFonts w:ascii="Times New Roman" w:eastAsia="Times New Roman" w:hAnsi="Times New Roman"/>
          <w:b/>
          <w:sz w:val="24"/>
          <w:szCs w:val="24"/>
        </w:rPr>
      </w:pPr>
      <w:r w:rsidRPr="00E600C4">
        <w:rPr>
          <w:rFonts w:ascii="Times New Roman" w:eastAsia="Times New Roman" w:hAnsi="Times New Roman"/>
          <w:b/>
          <w:sz w:val="24"/>
          <w:szCs w:val="24"/>
        </w:rPr>
        <w:t xml:space="preserve">Legal Lessons Learned:  The “911 Good Samaritan” immunity statute is to encourage drug users and their associates to call 911 for an overdose, and to promptly seek treatment (can receive immunity only twice). </w:t>
      </w:r>
    </w:p>
    <w:bookmarkEnd w:id="669"/>
    <w:p w14:paraId="5923B28C" w14:textId="77777777" w:rsidR="00F326E5" w:rsidRPr="00E600C4" w:rsidRDefault="00F326E5" w:rsidP="00F326E5">
      <w:pPr>
        <w:ind w:firstLine="720"/>
        <w:rPr>
          <w:rFonts w:ascii="Times New Roman" w:hAnsi="Times New Roman"/>
          <w:sz w:val="24"/>
          <w:szCs w:val="24"/>
        </w:rPr>
      </w:pPr>
      <w:r w:rsidRPr="00E600C4">
        <w:rPr>
          <w:rFonts w:ascii="Times New Roman" w:eastAsia="Times New Roman" w:hAnsi="Times New Roman"/>
          <w:sz w:val="24"/>
          <w:szCs w:val="24"/>
        </w:rPr>
        <w:t>Note: 911 Dispatchers ae required to inform overdose patients about the new law:</w:t>
      </w:r>
    </w:p>
    <w:p w14:paraId="49858824"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R.C. 128.04 provides as follows: </w:t>
      </w:r>
    </w:p>
    <w:p w14:paraId="22C49A68"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(A) Public safety answering point personnel who are certified as emergency service </w:t>
      </w:r>
    </w:p>
    <w:p w14:paraId="6B644CA3"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telecommunicators under section 4742.03 of the Revised Code shall receive training in </w:t>
      </w:r>
    </w:p>
    <w:p w14:paraId="01DD06A6" w14:textId="77777777" w:rsidR="00F326E5" w:rsidRPr="00E600C4" w:rsidRDefault="00F326E5" w:rsidP="00F326E5">
      <w:pPr>
        <w:pStyle w:val="NoSpacing"/>
        <w:ind w:left="720"/>
        <w:rPr>
          <w:rFonts w:ascii="Times New Roman" w:hAnsi="Times New Roman"/>
          <w:sz w:val="24"/>
          <w:szCs w:val="24"/>
        </w:rPr>
      </w:pPr>
      <w:proofErr w:type="gramStart"/>
      <w:r w:rsidRPr="00E600C4">
        <w:rPr>
          <w:rFonts w:ascii="Times New Roman" w:hAnsi="Times New Roman"/>
          <w:sz w:val="24"/>
          <w:szCs w:val="24"/>
        </w:rPr>
        <w:t>informing</w:t>
      </w:r>
      <w:proofErr w:type="gramEnd"/>
      <w:r w:rsidRPr="00E600C4">
        <w:rPr>
          <w:rFonts w:ascii="Times New Roman" w:hAnsi="Times New Roman"/>
          <w:sz w:val="24"/>
          <w:szCs w:val="24"/>
        </w:rPr>
        <w:t xml:space="preserve"> individuals who call about an apparent drug overdose about the immunity from prosecution for a minor drug possession offense created by section 2925.11 of the Revised Code. </w:t>
      </w:r>
    </w:p>
    <w:p w14:paraId="1754C47B"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(B) Public safety answering point personnel who receive a call about an apparent drug </w:t>
      </w:r>
    </w:p>
    <w:p w14:paraId="2A0262AD"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overdose shall make reasonable efforts, upon the caller's inquiry, to inform the caller </w:t>
      </w:r>
    </w:p>
    <w:p w14:paraId="389055F9"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about the immunity from prosecution for a minor drug possession offense created </w:t>
      </w:r>
    </w:p>
    <w:p w14:paraId="143F041B" w14:textId="77777777" w:rsidR="00F326E5" w:rsidRPr="00E600C4" w:rsidRDefault="00F326E5" w:rsidP="00F326E5">
      <w:pPr>
        <w:pStyle w:val="NoSpacing"/>
        <w:ind w:firstLine="720"/>
        <w:rPr>
          <w:rFonts w:ascii="Times New Roman" w:hAnsi="Times New Roman"/>
          <w:sz w:val="24"/>
          <w:szCs w:val="24"/>
        </w:rPr>
      </w:pPr>
      <w:r w:rsidRPr="00E600C4">
        <w:rPr>
          <w:rFonts w:ascii="Times New Roman" w:hAnsi="Times New Roman"/>
          <w:sz w:val="24"/>
          <w:szCs w:val="24"/>
        </w:rPr>
        <w:t xml:space="preserve">by section 2925.11 of the Revised Code. </w:t>
      </w:r>
    </w:p>
    <w:bookmarkEnd w:id="672"/>
    <w:p w14:paraId="508D40B2" w14:textId="77777777" w:rsidR="00F326E5" w:rsidRPr="00E600C4" w:rsidRDefault="00F326E5" w:rsidP="00F326E5">
      <w:pPr>
        <w:rPr>
          <w:rFonts w:ascii="Times New Roman" w:eastAsia="Times New Roman" w:hAnsi="Times New Roman"/>
          <w:sz w:val="24"/>
          <w:szCs w:val="24"/>
        </w:rPr>
      </w:pPr>
    </w:p>
    <w:p w14:paraId="55F7D20B" w14:textId="77777777" w:rsidR="00F326E5" w:rsidRDefault="00F326E5" w:rsidP="00F326E5">
      <w:pPr>
        <w:rPr>
          <w:rFonts w:eastAsia="Times New Roman"/>
          <w:sz w:val="24"/>
          <w:szCs w:val="24"/>
        </w:rPr>
      </w:pPr>
    </w:p>
    <w:bookmarkEnd w:id="670"/>
    <w:p w14:paraId="1F41C09F" w14:textId="77777777" w:rsidR="00F326E5" w:rsidRPr="007732FA" w:rsidRDefault="00F326E5" w:rsidP="00F326E5">
      <w:pPr>
        <w:spacing w:before="100" w:beforeAutospacing="1" w:after="100" w:afterAutospacing="1" w:line="240" w:lineRule="auto"/>
        <w:rPr>
          <w:rFonts w:ascii="Arial Black" w:hAnsi="Arial Black"/>
          <w:sz w:val="40"/>
          <w:szCs w:val="40"/>
        </w:rPr>
      </w:pPr>
    </w:p>
    <w:p w14:paraId="38875852" w14:textId="77777777" w:rsidR="00F326E5" w:rsidRPr="007732FA" w:rsidRDefault="00F326E5" w:rsidP="00F326E5">
      <w:pPr>
        <w:spacing w:before="100" w:beforeAutospacing="1" w:after="100" w:afterAutospacing="1" w:line="240" w:lineRule="auto"/>
        <w:rPr>
          <w:rFonts w:ascii="Arial Black" w:hAnsi="Arial Black"/>
          <w:sz w:val="40"/>
          <w:szCs w:val="40"/>
        </w:rPr>
      </w:pPr>
    </w:p>
    <w:p w14:paraId="3B542359" w14:textId="77777777" w:rsidR="00F326E5" w:rsidRDefault="00F326E5" w:rsidP="00F326E5">
      <w:pPr>
        <w:spacing w:before="100" w:beforeAutospacing="1" w:after="100" w:afterAutospacing="1" w:line="240" w:lineRule="auto"/>
        <w:rPr>
          <w:rFonts w:ascii="Times New Roman" w:hAnsi="Times New Roman"/>
          <w:sz w:val="24"/>
          <w:szCs w:val="24"/>
        </w:rPr>
      </w:pPr>
    </w:p>
    <w:p w14:paraId="25DCD3D7" w14:textId="77777777" w:rsidR="00F326E5" w:rsidRPr="00A50673" w:rsidRDefault="00F326E5" w:rsidP="00F326E5">
      <w:pPr>
        <w:pStyle w:val="NoSpacing"/>
        <w:rPr>
          <w:b/>
          <w:sz w:val="24"/>
          <w:szCs w:val="24"/>
        </w:rPr>
      </w:pPr>
      <w:r>
        <w:rPr>
          <w:b/>
          <w:sz w:val="24"/>
          <w:szCs w:val="24"/>
        </w:rPr>
        <w:t xml:space="preserve"> </w:t>
      </w:r>
    </w:p>
    <w:p w14:paraId="23B7B606" w14:textId="77777777" w:rsidR="00F326E5" w:rsidRDefault="00F326E5" w:rsidP="00F326E5">
      <w:pPr>
        <w:spacing w:before="100" w:beforeAutospacing="1" w:after="100" w:afterAutospacing="1" w:line="240" w:lineRule="auto"/>
        <w:rPr>
          <w:rFonts w:ascii="Times New Roman" w:hAnsi="Times New Roman"/>
          <w:sz w:val="24"/>
          <w:szCs w:val="24"/>
        </w:rPr>
      </w:pPr>
    </w:p>
    <w:p w14:paraId="59CED2A1" w14:textId="77777777" w:rsidR="00F326E5" w:rsidRPr="00AA42D4" w:rsidRDefault="00F326E5" w:rsidP="00F326E5">
      <w:pPr>
        <w:spacing w:before="100" w:beforeAutospacing="1" w:after="100" w:afterAutospacing="1" w:line="240" w:lineRule="auto"/>
        <w:rPr>
          <w:rFonts w:ascii="Times New Roman" w:hAnsi="Times New Roman"/>
          <w:sz w:val="24"/>
          <w:szCs w:val="24"/>
        </w:rPr>
      </w:pPr>
    </w:p>
    <w:p w14:paraId="6E734B25" w14:textId="77777777" w:rsidR="00F326E5" w:rsidRPr="00C80872" w:rsidRDefault="00F326E5" w:rsidP="00F326E5">
      <w:pPr>
        <w:rPr>
          <w:rFonts w:ascii="Times New Roman" w:eastAsiaTheme="majorEastAsia" w:hAnsi="Times New Roman"/>
          <w:sz w:val="28"/>
          <w:szCs w:val="28"/>
        </w:rPr>
      </w:pPr>
    </w:p>
    <w:bookmarkEnd w:id="0"/>
    <w:p w14:paraId="37E7CFA5" w14:textId="77777777" w:rsidR="00F326E5" w:rsidRDefault="00F326E5" w:rsidP="007C45CA">
      <w:pPr>
        <w:pStyle w:val="NoSpacing"/>
        <w:jc w:val="center"/>
      </w:pPr>
    </w:p>
    <w:sectPr w:rsidR="00F326E5" w:rsidSect="00BC70F8">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49255" w14:textId="77777777" w:rsidR="00A95634" w:rsidRDefault="00A95634" w:rsidP="00E265AB">
      <w:pPr>
        <w:spacing w:after="0" w:line="240" w:lineRule="auto"/>
      </w:pPr>
      <w:r>
        <w:separator/>
      </w:r>
    </w:p>
  </w:endnote>
  <w:endnote w:type="continuationSeparator" w:id="0">
    <w:p w14:paraId="5DEF7D7A" w14:textId="77777777" w:rsidR="00A95634" w:rsidRDefault="00A95634" w:rsidP="00E26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On Times New Roman">
    <w:altName w:val="Cambria"/>
    <w:panose1 w:val="00000000000000000000"/>
    <w:charset w:val="00"/>
    <w:family w:val="roman"/>
    <w:notTrueType/>
    <w:pitch w:val="default"/>
  </w:font>
  <w:font w:name="PArial Black">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OnTimes New Roman">
    <w:altName w:val="Cambria"/>
    <w:panose1 w:val="00000000000000000000"/>
    <w:charset w:val="00"/>
    <w:family w:val="roman"/>
    <w:notTrueType/>
    <w:pitch w:val="default"/>
  </w:font>
  <w:font w:name="MIArial Black">
    <w:altName w:val="Cambria"/>
    <w:panose1 w:val="00000000000000000000"/>
    <w:charset w:val="00"/>
    <w:family w:val="roman"/>
    <w:notTrueType/>
    <w:pitch w:val="default"/>
  </w:font>
  <w:font w:name="AATimes New Roman">
    <w:altName w:val="Cambria"/>
    <w:panose1 w:val="00000000000000000000"/>
    <w:charset w:val="00"/>
    <w:family w:val="roman"/>
    <w:notTrueType/>
    <w:pitch w:val="default"/>
  </w:font>
  <w:font w:name="[">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quot;Times New Roman">
    <w:altName w:val="Cambria"/>
    <w:panose1 w:val="00000000000000000000"/>
    <w:charset w:val="00"/>
    <w:family w:val="roman"/>
    <w:notTrueType/>
    <w:pitch w:val="default"/>
  </w:font>
  <w:font w:name="NYArial Black">
    <w:altName w:val="Cambria"/>
    <w:panose1 w:val="00000000000000000000"/>
    <w:charset w:val="00"/>
    <w:family w:val="roman"/>
    <w:notTrueType/>
    <w:pitch w:val="default"/>
  </w:font>
  <w:font w:name="SeeTimes New Roman">
    <w:altName w:val="Cambria"/>
    <w:panose1 w:val="00000000000000000000"/>
    <w:charset w:val="00"/>
    <w:family w:val="roman"/>
    <w:notTrueType/>
    <w:pitch w:val="default"/>
  </w:font>
  <w:font w:name="Aptos Black">
    <w:charset w:val="00"/>
    <w:family w:val="swiss"/>
    <w:pitch w:val="variable"/>
    <w:sig w:usb0="20000287" w:usb1="00000003" w:usb2="00000000" w:usb3="00000000" w:csb0="0000019F" w:csb1="00000000"/>
  </w:font>
  <w:font w:name="EArial Black">
    <w:altName w:val="Cambria"/>
    <w:panose1 w:val="00000000000000000000"/>
    <w:charset w:val="00"/>
    <w:family w:val="roman"/>
    <w:notTrueType/>
    <w:pitch w:val="default"/>
  </w:font>
  <w:font w:name="On On">
    <w:altName w:val="Cambria"/>
    <w:panose1 w:val="00000000000000000000"/>
    <w:charset w:val="00"/>
    <w:family w:val="roman"/>
    <w:notTrueType/>
    <w:pitch w:val="default"/>
  </w:font>
  <w:font w:name="DArial Black">
    <w:altName w:val="Cambria"/>
    <w:panose1 w:val="00000000000000000000"/>
    <w:charset w:val="00"/>
    <w:family w:val="roman"/>
    <w:notTrueType/>
    <w:pitch w:val="default"/>
  </w:font>
  <w:font w:name="KYArial Black">
    <w:altName w:val="Cambria"/>
    <w:panose1 w:val="00000000000000000000"/>
    <w:charset w:val="00"/>
    <w:family w:val="roman"/>
    <w:notTrueType/>
    <w:pitch w:val="default"/>
  </w:font>
  <w:font w:name="acumin-pro">
    <w:altName w:val="Cambria"/>
    <w:panose1 w:val="00000000000000000000"/>
    <w:charset w:val="00"/>
    <w:family w:val="roman"/>
    <w:notTrueType/>
    <w:pitch w:val="default"/>
  </w:font>
  <w:font w:name="In">
    <w:altName w:val="Cambria"/>
    <w:panose1 w:val="00000000000000000000"/>
    <w:charset w:val="00"/>
    <w:family w:val="roman"/>
    <w:notTrueType/>
    <w:pitch w:val="default"/>
  </w:font>
  <w:font w:name="[Times New Roman">
    <w:altName w:val="Cambria"/>
    <w:panose1 w:val="00000000000000000000"/>
    <w:charset w:val="00"/>
    <w:family w:val="roman"/>
    <w:notTrueType/>
    <w:pitch w:val="default"/>
  </w:font>
  <w:font w:name="FeTimes New Roman">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AArial Black">
    <w:altName w:val="Cambria"/>
    <w:panose1 w:val="00000000000000000000"/>
    <w:charset w:val="00"/>
    <w:family w:val="roman"/>
    <w:notTrueType/>
    <w:pitch w:val="default"/>
  </w:font>
  <w:font w:name="TXArial Black">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05D64" w14:textId="77777777" w:rsidR="00A95634" w:rsidRDefault="00A95634" w:rsidP="00E265AB">
      <w:pPr>
        <w:spacing w:after="0" w:line="240" w:lineRule="auto"/>
      </w:pPr>
      <w:r>
        <w:separator/>
      </w:r>
    </w:p>
  </w:footnote>
  <w:footnote w:type="continuationSeparator" w:id="0">
    <w:p w14:paraId="572785D5" w14:textId="77777777" w:rsidR="00A95634" w:rsidRDefault="00A95634" w:rsidP="00E265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7B37"/>
    <w:multiLevelType w:val="hybridMultilevel"/>
    <w:tmpl w:val="F61409C6"/>
    <w:lvl w:ilvl="0" w:tplc="04090001">
      <w:start w:val="1"/>
      <w:numFmt w:val="bullet"/>
      <w:lvlText w:val=""/>
      <w:lvlJc w:val="left"/>
      <w:pPr>
        <w:ind w:left="1440" w:hanging="360"/>
      </w:pPr>
      <w:rPr>
        <w:rFonts w:ascii="Symbol" w:hAnsi="Symbol" w:hint="default"/>
      </w:rPr>
    </w:lvl>
    <w:lvl w:ilvl="1" w:tplc="51768D94">
      <w:numFmt w:val="bullet"/>
      <w:lvlText w:val="•"/>
      <w:lvlJc w:val="left"/>
      <w:pPr>
        <w:ind w:left="2160" w:hanging="360"/>
      </w:pPr>
      <w:rPr>
        <w:rFonts w:ascii="Times New Roman" w:eastAsiaTheme="minorHAnsi"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9129D6"/>
    <w:multiLevelType w:val="multilevel"/>
    <w:tmpl w:val="69DEC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F6780"/>
    <w:multiLevelType w:val="hybridMultilevel"/>
    <w:tmpl w:val="C13A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6580E"/>
    <w:multiLevelType w:val="multilevel"/>
    <w:tmpl w:val="99EA3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440A36"/>
    <w:multiLevelType w:val="hybridMultilevel"/>
    <w:tmpl w:val="3BAC7D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AE47DC2"/>
    <w:multiLevelType w:val="multilevel"/>
    <w:tmpl w:val="946C585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6" w15:restartNumberingAfterBreak="0">
    <w:nsid w:val="0B0D1414"/>
    <w:multiLevelType w:val="hybridMultilevel"/>
    <w:tmpl w:val="CB0ACB1A"/>
    <w:lvl w:ilvl="0" w:tplc="0592F9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5315D2"/>
    <w:multiLevelType w:val="hybridMultilevel"/>
    <w:tmpl w:val="CB0ACB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7909D9"/>
    <w:multiLevelType w:val="multilevel"/>
    <w:tmpl w:val="D91237B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183276D1"/>
    <w:multiLevelType w:val="hybridMultilevel"/>
    <w:tmpl w:val="18D29058"/>
    <w:lvl w:ilvl="0" w:tplc="C06430D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E2A7B27"/>
    <w:multiLevelType w:val="hybridMultilevel"/>
    <w:tmpl w:val="99583C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FB645D5"/>
    <w:multiLevelType w:val="multilevel"/>
    <w:tmpl w:val="6BB68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5251A5"/>
    <w:multiLevelType w:val="multilevel"/>
    <w:tmpl w:val="BB7AE42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251C5A5A"/>
    <w:multiLevelType w:val="multilevel"/>
    <w:tmpl w:val="11986E1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5D6363F"/>
    <w:multiLevelType w:val="hybridMultilevel"/>
    <w:tmpl w:val="44D890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899229E"/>
    <w:multiLevelType w:val="hybridMultilevel"/>
    <w:tmpl w:val="EA568B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1F5166"/>
    <w:multiLevelType w:val="hybridMultilevel"/>
    <w:tmpl w:val="A740C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271366"/>
    <w:multiLevelType w:val="hybridMultilevel"/>
    <w:tmpl w:val="2DDCCA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39F115E"/>
    <w:multiLevelType w:val="hybridMultilevel"/>
    <w:tmpl w:val="7294F5F2"/>
    <w:lvl w:ilvl="0" w:tplc="611034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D82B2E"/>
    <w:multiLevelType w:val="hybridMultilevel"/>
    <w:tmpl w:val="628AE4FA"/>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0" w15:restartNumberingAfterBreak="0">
    <w:nsid w:val="377E2D57"/>
    <w:multiLevelType w:val="hybridMultilevel"/>
    <w:tmpl w:val="1B366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D77E54"/>
    <w:multiLevelType w:val="multilevel"/>
    <w:tmpl w:val="A3B4BD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B0605E"/>
    <w:multiLevelType w:val="multilevel"/>
    <w:tmpl w:val="7EE0E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2020C5"/>
    <w:multiLevelType w:val="multilevel"/>
    <w:tmpl w:val="94FCF1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AD65C70"/>
    <w:multiLevelType w:val="multilevel"/>
    <w:tmpl w:val="1D22042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41D411D8"/>
    <w:multiLevelType w:val="hybridMultilevel"/>
    <w:tmpl w:val="3DE037E4"/>
    <w:lvl w:ilvl="0" w:tplc="77F44B6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38D371D"/>
    <w:multiLevelType w:val="hybridMultilevel"/>
    <w:tmpl w:val="F88E2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7118CC"/>
    <w:multiLevelType w:val="hybridMultilevel"/>
    <w:tmpl w:val="1A266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0D43BA"/>
    <w:multiLevelType w:val="multilevel"/>
    <w:tmpl w:val="A3B4BD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CE25F8"/>
    <w:multiLevelType w:val="hybridMultilevel"/>
    <w:tmpl w:val="06123D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0804BF"/>
    <w:multiLevelType w:val="hybridMultilevel"/>
    <w:tmpl w:val="E0DE5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961722"/>
    <w:multiLevelType w:val="multilevel"/>
    <w:tmpl w:val="49886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89703F"/>
    <w:multiLevelType w:val="multilevel"/>
    <w:tmpl w:val="E2265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D84A5D"/>
    <w:multiLevelType w:val="hybridMultilevel"/>
    <w:tmpl w:val="581E06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A2A1B5D"/>
    <w:multiLevelType w:val="multilevel"/>
    <w:tmpl w:val="FF98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7D1B3C"/>
    <w:multiLevelType w:val="hybridMultilevel"/>
    <w:tmpl w:val="FFCCC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8038AE"/>
    <w:multiLevelType w:val="multilevel"/>
    <w:tmpl w:val="3756555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7" w15:restartNumberingAfterBreak="0">
    <w:nsid w:val="70293092"/>
    <w:multiLevelType w:val="hybridMultilevel"/>
    <w:tmpl w:val="D262727A"/>
    <w:lvl w:ilvl="0" w:tplc="04090001">
      <w:start w:val="1"/>
      <w:numFmt w:val="bullet"/>
      <w:lvlText w:val=""/>
      <w:lvlJc w:val="left"/>
      <w:pPr>
        <w:ind w:left="1152" w:hanging="360"/>
      </w:pPr>
      <w:rPr>
        <w:rFonts w:ascii="Symbol" w:hAnsi="Symbol"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start w:val="1"/>
      <w:numFmt w:val="bullet"/>
      <w:lvlText w:val=""/>
      <w:lvlJc w:val="left"/>
      <w:pPr>
        <w:ind w:left="3312" w:hanging="360"/>
      </w:pPr>
      <w:rPr>
        <w:rFonts w:ascii="Symbol" w:hAnsi="Symbol" w:hint="default"/>
      </w:rPr>
    </w:lvl>
    <w:lvl w:ilvl="4" w:tplc="04090003">
      <w:start w:val="1"/>
      <w:numFmt w:val="bullet"/>
      <w:lvlText w:val="o"/>
      <w:lvlJc w:val="left"/>
      <w:pPr>
        <w:ind w:left="4032" w:hanging="360"/>
      </w:pPr>
      <w:rPr>
        <w:rFonts w:ascii="Courier New" w:hAnsi="Courier New" w:cs="Courier New" w:hint="default"/>
      </w:rPr>
    </w:lvl>
    <w:lvl w:ilvl="5" w:tplc="04090005">
      <w:start w:val="1"/>
      <w:numFmt w:val="bullet"/>
      <w:lvlText w:val=""/>
      <w:lvlJc w:val="left"/>
      <w:pPr>
        <w:ind w:left="4752" w:hanging="360"/>
      </w:pPr>
      <w:rPr>
        <w:rFonts w:ascii="Wingdings" w:hAnsi="Wingdings" w:hint="default"/>
      </w:rPr>
    </w:lvl>
    <w:lvl w:ilvl="6" w:tplc="04090001">
      <w:start w:val="1"/>
      <w:numFmt w:val="bullet"/>
      <w:lvlText w:val=""/>
      <w:lvlJc w:val="left"/>
      <w:pPr>
        <w:ind w:left="5472" w:hanging="360"/>
      </w:pPr>
      <w:rPr>
        <w:rFonts w:ascii="Symbol" w:hAnsi="Symbol" w:hint="default"/>
      </w:rPr>
    </w:lvl>
    <w:lvl w:ilvl="7" w:tplc="04090003">
      <w:start w:val="1"/>
      <w:numFmt w:val="bullet"/>
      <w:lvlText w:val="o"/>
      <w:lvlJc w:val="left"/>
      <w:pPr>
        <w:ind w:left="6192" w:hanging="360"/>
      </w:pPr>
      <w:rPr>
        <w:rFonts w:ascii="Courier New" w:hAnsi="Courier New" w:cs="Courier New" w:hint="default"/>
      </w:rPr>
    </w:lvl>
    <w:lvl w:ilvl="8" w:tplc="04090005">
      <w:start w:val="1"/>
      <w:numFmt w:val="bullet"/>
      <w:lvlText w:val=""/>
      <w:lvlJc w:val="left"/>
      <w:pPr>
        <w:ind w:left="6912" w:hanging="360"/>
      </w:pPr>
      <w:rPr>
        <w:rFonts w:ascii="Wingdings" w:hAnsi="Wingdings" w:hint="default"/>
      </w:rPr>
    </w:lvl>
  </w:abstractNum>
  <w:abstractNum w:abstractNumId="38" w15:restartNumberingAfterBreak="0">
    <w:nsid w:val="7617299D"/>
    <w:multiLevelType w:val="multilevel"/>
    <w:tmpl w:val="6DCA602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9" w15:restartNumberingAfterBreak="0">
    <w:nsid w:val="7B2D493A"/>
    <w:multiLevelType w:val="hybridMultilevel"/>
    <w:tmpl w:val="591AD1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41771545">
    <w:abstractNumId w:val="1"/>
  </w:num>
  <w:num w:numId="2" w16cid:durableId="1323004026">
    <w:abstractNumId w:val="34"/>
  </w:num>
  <w:num w:numId="3" w16cid:durableId="1504397155">
    <w:abstractNumId w:val="38"/>
  </w:num>
  <w:num w:numId="4" w16cid:durableId="329334035">
    <w:abstractNumId w:val="17"/>
  </w:num>
  <w:num w:numId="5" w16cid:durableId="1976131357">
    <w:abstractNumId w:val="9"/>
  </w:num>
  <w:num w:numId="6" w16cid:durableId="293995344">
    <w:abstractNumId w:val="3"/>
  </w:num>
  <w:num w:numId="7" w16cid:durableId="18937296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33145372">
    <w:abstractNumId w:val="21"/>
  </w:num>
  <w:num w:numId="9" w16cid:durableId="917523769">
    <w:abstractNumId w:val="28"/>
  </w:num>
  <w:num w:numId="10" w16cid:durableId="155726141">
    <w:abstractNumId w:val="31"/>
  </w:num>
  <w:num w:numId="11" w16cid:durableId="2028216650">
    <w:abstractNumId w:val="26"/>
  </w:num>
  <w:num w:numId="12" w16cid:durableId="125704761">
    <w:abstractNumId w:val="37"/>
  </w:num>
  <w:num w:numId="13" w16cid:durableId="2071608991">
    <w:abstractNumId w:val="16"/>
  </w:num>
  <w:num w:numId="14" w16cid:durableId="975991674">
    <w:abstractNumId w:val="6"/>
  </w:num>
  <w:num w:numId="15" w16cid:durableId="1137726237">
    <w:abstractNumId w:val="7"/>
  </w:num>
  <w:num w:numId="16" w16cid:durableId="1155293072">
    <w:abstractNumId w:val="36"/>
  </w:num>
  <w:num w:numId="17" w16cid:durableId="119425451">
    <w:abstractNumId w:val="30"/>
  </w:num>
  <w:num w:numId="18" w16cid:durableId="1509637965">
    <w:abstractNumId w:val="20"/>
  </w:num>
  <w:num w:numId="19" w16cid:durableId="1660570764">
    <w:abstractNumId w:val="22"/>
  </w:num>
  <w:num w:numId="20" w16cid:durableId="970284595">
    <w:abstractNumId w:val="14"/>
  </w:num>
  <w:num w:numId="21" w16cid:durableId="689259317">
    <w:abstractNumId w:val="8"/>
  </w:num>
  <w:num w:numId="22" w16cid:durableId="1587378363">
    <w:abstractNumId w:val="39"/>
  </w:num>
  <w:num w:numId="23" w16cid:durableId="1214854445">
    <w:abstractNumId w:val="5"/>
  </w:num>
  <w:num w:numId="24" w16cid:durableId="1662079317">
    <w:abstractNumId w:val="11"/>
  </w:num>
  <w:num w:numId="25" w16cid:durableId="1301181501">
    <w:abstractNumId w:val="2"/>
  </w:num>
  <w:num w:numId="26" w16cid:durableId="1725252877">
    <w:abstractNumId w:val="25"/>
  </w:num>
  <w:num w:numId="27" w16cid:durableId="6715960">
    <w:abstractNumId w:val="12"/>
  </w:num>
  <w:num w:numId="28" w16cid:durableId="19056021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510073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56856519">
    <w:abstractNumId w:val="4"/>
  </w:num>
  <w:num w:numId="31" w16cid:durableId="1786608873">
    <w:abstractNumId w:val="27"/>
  </w:num>
  <w:num w:numId="32" w16cid:durableId="1494488361">
    <w:abstractNumId w:val="35"/>
  </w:num>
  <w:num w:numId="33" w16cid:durableId="1226573208">
    <w:abstractNumId w:val="19"/>
  </w:num>
  <w:num w:numId="34" w16cid:durableId="1136726821">
    <w:abstractNumId w:val="15"/>
  </w:num>
  <w:num w:numId="35" w16cid:durableId="1784306685">
    <w:abstractNumId w:val="29"/>
  </w:num>
  <w:num w:numId="36" w16cid:durableId="524556718">
    <w:abstractNumId w:val="33"/>
  </w:num>
  <w:num w:numId="37" w16cid:durableId="384643277">
    <w:abstractNumId w:val="32"/>
  </w:num>
  <w:num w:numId="38" w16cid:durableId="202255307">
    <w:abstractNumId w:val="13"/>
  </w:num>
  <w:num w:numId="39" w16cid:durableId="388194121">
    <w:abstractNumId w:val="15"/>
  </w:num>
  <w:num w:numId="40" w16cid:durableId="639724427">
    <w:abstractNumId w:val="37"/>
  </w:num>
  <w:num w:numId="41" w16cid:durableId="1542325366">
    <w:abstractNumId w:val="24"/>
  </w:num>
  <w:num w:numId="42" w16cid:durableId="57409879">
    <w:abstractNumId w:val="37"/>
  </w:num>
  <w:num w:numId="43" w16cid:durableId="667513454">
    <w:abstractNumId w:val="18"/>
  </w:num>
  <w:num w:numId="44" w16cid:durableId="86371187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357"/>
    <w:rsid w:val="00000960"/>
    <w:rsid w:val="000010F2"/>
    <w:rsid w:val="00001707"/>
    <w:rsid w:val="0000182B"/>
    <w:rsid w:val="00001A04"/>
    <w:rsid w:val="00001D9A"/>
    <w:rsid w:val="00004498"/>
    <w:rsid w:val="00004638"/>
    <w:rsid w:val="00004BED"/>
    <w:rsid w:val="00004EEC"/>
    <w:rsid w:val="0000697E"/>
    <w:rsid w:val="00006AE3"/>
    <w:rsid w:val="00006B8D"/>
    <w:rsid w:val="00010BB9"/>
    <w:rsid w:val="00012426"/>
    <w:rsid w:val="00012C74"/>
    <w:rsid w:val="00013141"/>
    <w:rsid w:val="00014738"/>
    <w:rsid w:val="00014898"/>
    <w:rsid w:val="00015208"/>
    <w:rsid w:val="00015CB5"/>
    <w:rsid w:val="000160B4"/>
    <w:rsid w:val="00016469"/>
    <w:rsid w:val="000164B1"/>
    <w:rsid w:val="0001738E"/>
    <w:rsid w:val="000174EF"/>
    <w:rsid w:val="00020106"/>
    <w:rsid w:val="000209F5"/>
    <w:rsid w:val="0002141E"/>
    <w:rsid w:val="00021A20"/>
    <w:rsid w:val="00021E64"/>
    <w:rsid w:val="00022BE4"/>
    <w:rsid w:val="00022E5C"/>
    <w:rsid w:val="00024992"/>
    <w:rsid w:val="00024A0D"/>
    <w:rsid w:val="00025B22"/>
    <w:rsid w:val="00026281"/>
    <w:rsid w:val="0002742E"/>
    <w:rsid w:val="00027641"/>
    <w:rsid w:val="000301F2"/>
    <w:rsid w:val="000306C7"/>
    <w:rsid w:val="00031316"/>
    <w:rsid w:val="000318C6"/>
    <w:rsid w:val="00032074"/>
    <w:rsid w:val="0003275C"/>
    <w:rsid w:val="00032BF1"/>
    <w:rsid w:val="000338D1"/>
    <w:rsid w:val="00034955"/>
    <w:rsid w:val="00034C75"/>
    <w:rsid w:val="00035385"/>
    <w:rsid w:val="00037999"/>
    <w:rsid w:val="00037CB8"/>
    <w:rsid w:val="00040383"/>
    <w:rsid w:val="0004072E"/>
    <w:rsid w:val="000408CA"/>
    <w:rsid w:val="00041342"/>
    <w:rsid w:val="00042223"/>
    <w:rsid w:val="00042C6A"/>
    <w:rsid w:val="000438D5"/>
    <w:rsid w:val="00043E2B"/>
    <w:rsid w:val="000449B4"/>
    <w:rsid w:val="00044FB1"/>
    <w:rsid w:val="00045450"/>
    <w:rsid w:val="0004575D"/>
    <w:rsid w:val="00045E64"/>
    <w:rsid w:val="000462DC"/>
    <w:rsid w:val="000509A0"/>
    <w:rsid w:val="000516E6"/>
    <w:rsid w:val="000518BE"/>
    <w:rsid w:val="00051A4A"/>
    <w:rsid w:val="00054335"/>
    <w:rsid w:val="00054479"/>
    <w:rsid w:val="0005503D"/>
    <w:rsid w:val="00056D43"/>
    <w:rsid w:val="000617DD"/>
    <w:rsid w:val="00061BDB"/>
    <w:rsid w:val="000624FD"/>
    <w:rsid w:val="00062DA4"/>
    <w:rsid w:val="000630E9"/>
    <w:rsid w:val="000636AB"/>
    <w:rsid w:val="000637E4"/>
    <w:rsid w:val="00063A86"/>
    <w:rsid w:val="00063E80"/>
    <w:rsid w:val="000644B6"/>
    <w:rsid w:val="00064669"/>
    <w:rsid w:val="00064875"/>
    <w:rsid w:val="00066EA4"/>
    <w:rsid w:val="00066F05"/>
    <w:rsid w:val="000672CE"/>
    <w:rsid w:val="00067499"/>
    <w:rsid w:val="000676A0"/>
    <w:rsid w:val="00072607"/>
    <w:rsid w:val="00072F19"/>
    <w:rsid w:val="00073292"/>
    <w:rsid w:val="00073CC7"/>
    <w:rsid w:val="0007510D"/>
    <w:rsid w:val="00075181"/>
    <w:rsid w:val="00075B1D"/>
    <w:rsid w:val="00075CD4"/>
    <w:rsid w:val="00075D20"/>
    <w:rsid w:val="00075DAE"/>
    <w:rsid w:val="00076F13"/>
    <w:rsid w:val="00077FB4"/>
    <w:rsid w:val="00080178"/>
    <w:rsid w:val="00080FC6"/>
    <w:rsid w:val="000816F9"/>
    <w:rsid w:val="00081AD1"/>
    <w:rsid w:val="00083814"/>
    <w:rsid w:val="000839D4"/>
    <w:rsid w:val="00084D68"/>
    <w:rsid w:val="00084E0A"/>
    <w:rsid w:val="00084E13"/>
    <w:rsid w:val="00085E85"/>
    <w:rsid w:val="00085FE6"/>
    <w:rsid w:val="00086D22"/>
    <w:rsid w:val="00087209"/>
    <w:rsid w:val="000915C1"/>
    <w:rsid w:val="00092D5A"/>
    <w:rsid w:val="00092DAC"/>
    <w:rsid w:val="00094264"/>
    <w:rsid w:val="0009438D"/>
    <w:rsid w:val="000946BC"/>
    <w:rsid w:val="0009744A"/>
    <w:rsid w:val="00097703"/>
    <w:rsid w:val="00097DD5"/>
    <w:rsid w:val="000A0CD1"/>
    <w:rsid w:val="000A15E4"/>
    <w:rsid w:val="000A1F4E"/>
    <w:rsid w:val="000A21C0"/>
    <w:rsid w:val="000A2B47"/>
    <w:rsid w:val="000A35E0"/>
    <w:rsid w:val="000A4BD5"/>
    <w:rsid w:val="000A5A6C"/>
    <w:rsid w:val="000A5D63"/>
    <w:rsid w:val="000A5F54"/>
    <w:rsid w:val="000A6C09"/>
    <w:rsid w:val="000A72DE"/>
    <w:rsid w:val="000A7B66"/>
    <w:rsid w:val="000B1261"/>
    <w:rsid w:val="000B18F3"/>
    <w:rsid w:val="000B228A"/>
    <w:rsid w:val="000B2F15"/>
    <w:rsid w:val="000B3321"/>
    <w:rsid w:val="000B35FC"/>
    <w:rsid w:val="000B47B1"/>
    <w:rsid w:val="000B4D9F"/>
    <w:rsid w:val="000B584F"/>
    <w:rsid w:val="000B5EEC"/>
    <w:rsid w:val="000B6343"/>
    <w:rsid w:val="000B6881"/>
    <w:rsid w:val="000B78DC"/>
    <w:rsid w:val="000C0691"/>
    <w:rsid w:val="000C0B7B"/>
    <w:rsid w:val="000C1D8F"/>
    <w:rsid w:val="000C3B06"/>
    <w:rsid w:val="000C4268"/>
    <w:rsid w:val="000C4DF5"/>
    <w:rsid w:val="000C567D"/>
    <w:rsid w:val="000C584B"/>
    <w:rsid w:val="000C62A1"/>
    <w:rsid w:val="000C6C88"/>
    <w:rsid w:val="000C6DB9"/>
    <w:rsid w:val="000C756B"/>
    <w:rsid w:val="000D0769"/>
    <w:rsid w:val="000D0A3D"/>
    <w:rsid w:val="000D0D5F"/>
    <w:rsid w:val="000D1C4B"/>
    <w:rsid w:val="000D1CC1"/>
    <w:rsid w:val="000D2571"/>
    <w:rsid w:val="000D47A7"/>
    <w:rsid w:val="000D4A64"/>
    <w:rsid w:val="000D5056"/>
    <w:rsid w:val="000E1441"/>
    <w:rsid w:val="000E2F42"/>
    <w:rsid w:val="000E47F1"/>
    <w:rsid w:val="000E50DE"/>
    <w:rsid w:val="000F0163"/>
    <w:rsid w:val="000F03D9"/>
    <w:rsid w:val="000F060C"/>
    <w:rsid w:val="000F0910"/>
    <w:rsid w:val="000F18B0"/>
    <w:rsid w:val="000F1A96"/>
    <w:rsid w:val="000F2630"/>
    <w:rsid w:val="000F3890"/>
    <w:rsid w:val="000F4170"/>
    <w:rsid w:val="000F483A"/>
    <w:rsid w:val="000F4991"/>
    <w:rsid w:val="000F7C85"/>
    <w:rsid w:val="000F7D4E"/>
    <w:rsid w:val="00100878"/>
    <w:rsid w:val="00100B4F"/>
    <w:rsid w:val="00102FD0"/>
    <w:rsid w:val="001031C3"/>
    <w:rsid w:val="00103226"/>
    <w:rsid w:val="001033A4"/>
    <w:rsid w:val="00104A4C"/>
    <w:rsid w:val="00105EF2"/>
    <w:rsid w:val="0010642B"/>
    <w:rsid w:val="00107D14"/>
    <w:rsid w:val="0011091B"/>
    <w:rsid w:val="00110AE2"/>
    <w:rsid w:val="00110BB4"/>
    <w:rsid w:val="001112CF"/>
    <w:rsid w:val="00111714"/>
    <w:rsid w:val="0011264F"/>
    <w:rsid w:val="00113436"/>
    <w:rsid w:val="00113A3A"/>
    <w:rsid w:val="00113D38"/>
    <w:rsid w:val="00114A81"/>
    <w:rsid w:val="001150EA"/>
    <w:rsid w:val="00116265"/>
    <w:rsid w:val="00120DAE"/>
    <w:rsid w:val="00120F10"/>
    <w:rsid w:val="0012290C"/>
    <w:rsid w:val="00122CBC"/>
    <w:rsid w:val="00123C3F"/>
    <w:rsid w:val="00123E5E"/>
    <w:rsid w:val="00124FAD"/>
    <w:rsid w:val="00125039"/>
    <w:rsid w:val="0012517E"/>
    <w:rsid w:val="001257CC"/>
    <w:rsid w:val="00127024"/>
    <w:rsid w:val="0012739E"/>
    <w:rsid w:val="001276F8"/>
    <w:rsid w:val="00127BB3"/>
    <w:rsid w:val="00127BCE"/>
    <w:rsid w:val="00130523"/>
    <w:rsid w:val="00131912"/>
    <w:rsid w:val="001333DA"/>
    <w:rsid w:val="00133884"/>
    <w:rsid w:val="0013686B"/>
    <w:rsid w:val="00140433"/>
    <w:rsid w:val="0014047F"/>
    <w:rsid w:val="00140966"/>
    <w:rsid w:val="00140B2A"/>
    <w:rsid w:val="00141CEC"/>
    <w:rsid w:val="00142FA2"/>
    <w:rsid w:val="00144037"/>
    <w:rsid w:val="001447DC"/>
    <w:rsid w:val="001463F4"/>
    <w:rsid w:val="00146709"/>
    <w:rsid w:val="00146711"/>
    <w:rsid w:val="00147626"/>
    <w:rsid w:val="0015021B"/>
    <w:rsid w:val="00150E5B"/>
    <w:rsid w:val="00151EBE"/>
    <w:rsid w:val="0015207E"/>
    <w:rsid w:val="00153742"/>
    <w:rsid w:val="0015512D"/>
    <w:rsid w:val="00155A2B"/>
    <w:rsid w:val="001567BB"/>
    <w:rsid w:val="0015698F"/>
    <w:rsid w:val="00156E5D"/>
    <w:rsid w:val="001603B7"/>
    <w:rsid w:val="0016102B"/>
    <w:rsid w:val="0016116D"/>
    <w:rsid w:val="00161ED7"/>
    <w:rsid w:val="00162E4F"/>
    <w:rsid w:val="001631DA"/>
    <w:rsid w:val="001647FF"/>
    <w:rsid w:val="0016497A"/>
    <w:rsid w:val="00165526"/>
    <w:rsid w:val="00165A41"/>
    <w:rsid w:val="00165BBD"/>
    <w:rsid w:val="001668D8"/>
    <w:rsid w:val="001678CD"/>
    <w:rsid w:val="001713FB"/>
    <w:rsid w:val="00171FE4"/>
    <w:rsid w:val="00174109"/>
    <w:rsid w:val="0017434A"/>
    <w:rsid w:val="00174D48"/>
    <w:rsid w:val="00175401"/>
    <w:rsid w:val="001762AD"/>
    <w:rsid w:val="00177094"/>
    <w:rsid w:val="00177852"/>
    <w:rsid w:val="00177D4A"/>
    <w:rsid w:val="0018059E"/>
    <w:rsid w:val="001806CE"/>
    <w:rsid w:val="00180F76"/>
    <w:rsid w:val="00181AD0"/>
    <w:rsid w:val="00182433"/>
    <w:rsid w:val="00182CF1"/>
    <w:rsid w:val="001858F2"/>
    <w:rsid w:val="0018621C"/>
    <w:rsid w:val="00186708"/>
    <w:rsid w:val="0019067C"/>
    <w:rsid w:val="0019082A"/>
    <w:rsid w:val="00190EAB"/>
    <w:rsid w:val="00191CD7"/>
    <w:rsid w:val="00192A5E"/>
    <w:rsid w:val="00194050"/>
    <w:rsid w:val="00194CC1"/>
    <w:rsid w:val="00195FD1"/>
    <w:rsid w:val="001968CD"/>
    <w:rsid w:val="001A08FA"/>
    <w:rsid w:val="001A19F9"/>
    <w:rsid w:val="001A2F0B"/>
    <w:rsid w:val="001A3D7F"/>
    <w:rsid w:val="001A434A"/>
    <w:rsid w:val="001A4CAA"/>
    <w:rsid w:val="001A5080"/>
    <w:rsid w:val="001A57F9"/>
    <w:rsid w:val="001A5908"/>
    <w:rsid w:val="001A5AE3"/>
    <w:rsid w:val="001A609B"/>
    <w:rsid w:val="001A653A"/>
    <w:rsid w:val="001A6C67"/>
    <w:rsid w:val="001B1351"/>
    <w:rsid w:val="001B16D0"/>
    <w:rsid w:val="001B1970"/>
    <w:rsid w:val="001B219E"/>
    <w:rsid w:val="001B23B7"/>
    <w:rsid w:val="001B28A9"/>
    <w:rsid w:val="001B35B2"/>
    <w:rsid w:val="001B367D"/>
    <w:rsid w:val="001B383B"/>
    <w:rsid w:val="001B3B5F"/>
    <w:rsid w:val="001B4518"/>
    <w:rsid w:val="001B50E9"/>
    <w:rsid w:val="001B6C81"/>
    <w:rsid w:val="001B7551"/>
    <w:rsid w:val="001B7DE1"/>
    <w:rsid w:val="001C06FF"/>
    <w:rsid w:val="001C1380"/>
    <w:rsid w:val="001C15DD"/>
    <w:rsid w:val="001C18B0"/>
    <w:rsid w:val="001C1BE8"/>
    <w:rsid w:val="001C1C3A"/>
    <w:rsid w:val="001C1F8D"/>
    <w:rsid w:val="001C2A03"/>
    <w:rsid w:val="001C2F88"/>
    <w:rsid w:val="001C33D3"/>
    <w:rsid w:val="001C563D"/>
    <w:rsid w:val="001C5665"/>
    <w:rsid w:val="001C5889"/>
    <w:rsid w:val="001C59E5"/>
    <w:rsid w:val="001C617A"/>
    <w:rsid w:val="001C6208"/>
    <w:rsid w:val="001C7270"/>
    <w:rsid w:val="001D002A"/>
    <w:rsid w:val="001D1462"/>
    <w:rsid w:val="001D1878"/>
    <w:rsid w:val="001D190A"/>
    <w:rsid w:val="001D1D6D"/>
    <w:rsid w:val="001D2278"/>
    <w:rsid w:val="001D26BA"/>
    <w:rsid w:val="001D2E7B"/>
    <w:rsid w:val="001D4188"/>
    <w:rsid w:val="001D520E"/>
    <w:rsid w:val="001D5809"/>
    <w:rsid w:val="001D5E22"/>
    <w:rsid w:val="001D6E51"/>
    <w:rsid w:val="001E0B30"/>
    <w:rsid w:val="001E264B"/>
    <w:rsid w:val="001E28A4"/>
    <w:rsid w:val="001E2F50"/>
    <w:rsid w:val="001E4307"/>
    <w:rsid w:val="001E56C7"/>
    <w:rsid w:val="001E5BE7"/>
    <w:rsid w:val="001E7A60"/>
    <w:rsid w:val="001F0359"/>
    <w:rsid w:val="001F0C4C"/>
    <w:rsid w:val="001F1BB0"/>
    <w:rsid w:val="001F2A28"/>
    <w:rsid w:val="001F3C9E"/>
    <w:rsid w:val="001F3D0F"/>
    <w:rsid w:val="001F4349"/>
    <w:rsid w:val="001F4CDF"/>
    <w:rsid w:val="001F4DA2"/>
    <w:rsid w:val="001F52D2"/>
    <w:rsid w:val="001F5522"/>
    <w:rsid w:val="001F58ED"/>
    <w:rsid w:val="001F5D19"/>
    <w:rsid w:val="001F6C95"/>
    <w:rsid w:val="001F6D9E"/>
    <w:rsid w:val="001F6F71"/>
    <w:rsid w:val="00200222"/>
    <w:rsid w:val="00204511"/>
    <w:rsid w:val="0020461D"/>
    <w:rsid w:val="00206727"/>
    <w:rsid w:val="0020758F"/>
    <w:rsid w:val="002077DA"/>
    <w:rsid w:val="002100FE"/>
    <w:rsid w:val="0021158A"/>
    <w:rsid w:val="002119A9"/>
    <w:rsid w:val="00213946"/>
    <w:rsid w:val="002147DA"/>
    <w:rsid w:val="00215578"/>
    <w:rsid w:val="00215605"/>
    <w:rsid w:val="002202B5"/>
    <w:rsid w:val="0022047A"/>
    <w:rsid w:val="0022097E"/>
    <w:rsid w:val="00221640"/>
    <w:rsid w:val="00221DD4"/>
    <w:rsid w:val="002225D0"/>
    <w:rsid w:val="0022286E"/>
    <w:rsid w:val="0022427B"/>
    <w:rsid w:val="002249FF"/>
    <w:rsid w:val="0022600D"/>
    <w:rsid w:val="002270FF"/>
    <w:rsid w:val="00227BDE"/>
    <w:rsid w:val="00230904"/>
    <w:rsid w:val="00230D1C"/>
    <w:rsid w:val="00231839"/>
    <w:rsid w:val="00231A5A"/>
    <w:rsid w:val="00233326"/>
    <w:rsid w:val="002333BA"/>
    <w:rsid w:val="00233F5D"/>
    <w:rsid w:val="00235836"/>
    <w:rsid w:val="00237599"/>
    <w:rsid w:val="00237A65"/>
    <w:rsid w:val="00240A53"/>
    <w:rsid w:val="00240D3F"/>
    <w:rsid w:val="002410DA"/>
    <w:rsid w:val="002422E0"/>
    <w:rsid w:val="002429BA"/>
    <w:rsid w:val="00243663"/>
    <w:rsid w:val="00243A7F"/>
    <w:rsid w:val="002450F2"/>
    <w:rsid w:val="00245274"/>
    <w:rsid w:val="002457B1"/>
    <w:rsid w:val="002470FD"/>
    <w:rsid w:val="00247719"/>
    <w:rsid w:val="0025018F"/>
    <w:rsid w:val="0025049B"/>
    <w:rsid w:val="002506B2"/>
    <w:rsid w:val="00250987"/>
    <w:rsid w:val="002511FF"/>
    <w:rsid w:val="00251B6F"/>
    <w:rsid w:val="0025382C"/>
    <w:rsid w:val="00253954"/>
    <w:rsid w:val="00254EDF"/>
    <w:rsid w:val="00255984"/>
    <w:rsid w:val="00255E41"/>
    <w:rsid w:val="00257457"/>
    <w:rsid w:val="00257D9A"/>
    <w:rsid w:val="0026092A"/>
    <w:rsid w:val="002616A6"/>
    <w:rsid w:val="00261BA4"/>
    <w:rsid w:val="002628DB"/>
    <w:rsid w:val="0026368F"/>
    <w:rsid w:val="00264893"/>
    <w:rsid w:val="00264998"/>
    <w:rsid w:val="0026657A"/>
    <w:rsid w:val="002665B4"/>
    <w:rsid w:val="00267A43"/>
    <w:rsid w:val="00267F30"/>
    <w:rsid w:val="002714EB"/>
    <w:rsid w:val="002718E8"/>
    <w:rsid w:val="00271F23"/>
    <w:rsid w:val="0027209B"/>
    <w:rsid w:val="002720DE"/>
    <w:rsid w:val="002729C0"/>
    <w:rsid w:val="002744EE"/>
    <w:rsid w:val="00274525"/>
    <w:rsid w:val="00274E82"/>
    <w:rsid w:val="00274FB2"/>
    <w:rsid w:val="00275738"/>
    <w:rsid w:val="002762A7"/>
    <w:rsid w:val="00277909"/>
    <w:rsid w:val="00277A51"/>
    <w:rsid w:val="002824DF"/>
    <w:rsid w:val="00282976"/>
    <w:rsid w:val="00282AF3"/>
    <w:rsid w:val="00283EDF"/>
    <w:rsid w:val="00284724"/>
    <w:rsid w:val="0028642A"/>
    <w:rsid w:val="00286CE9"/>
    <w:rsid w:val="00286F24"/>
    <w:rsid w:val="00286FE7"/>
    <w:rsid w:val="0029038E"/>
    <w:rsid w:val="00290B7D"/>
    <w:rsid w:val="00290C93"/>
    <w:rsid w:val="00291569"/>
    <w:rsid w:val="002917C5"/>
    <w:rsid w:val="00292532"/>
    <w:rsid w:val="00292E1C"/>
    <w:rsid w:val="00293570"/>
    <w:rsid w:val="0029560A"/>
    <w:rsid w:val="00295D7B"/>
    <w:rsid w:val="002972FF"/>
    <w:rsid w:val="00297434"/>
    <w:rsid w:val="00297B95"/>
    <w:rsid w:val="002A0697"/>
    <w:rsid w:val="002A2715"/>
    <w:rsid w:val="002A313D"/>
    <w:rsid w:val="002A4D86"/>
    <w:rsid w:val="002A66F2"/>
    <w:rsid w:val="002A6AA8"/>
    <w:rsid w:val="002B0414"/>
    <w:rsid w:val="002B1283"/>
    <w:rsid w:val="002B1FAF"/>
    <w:rsid w:val="002B205A"/>
    <w:rsid w:val="002B2323"/>
    <w:rsid w:val="002B2465"/>
    <w:rsid w:val="002B4AA6"/>
    <w:rsid w:val="002B5A76"/>
    <w:rsid w:val="002B7386"/>
    <w:rsid w:val="002C09AE"/>
    <w:rsid w:val="002C0B2A"/>
    <w:rsid w:val="002C0E67"/>
    <w:rsid w:val="002C10A9"/>
    <w:rsid w:val="002C1FF2"/>
    <w:rsid w:val="002C229D"/>
    <w:rsid w:val="002C25D5"/>
    <w:rsid w:val="002C34C9"/>
    <w:rsid w:val="002C381D"/>
    <w:rsid w:val="002C54F5"/>
    <w:rsid w:val="002C6181"/>
    <w:rsid w:val="002C6862"/>
    <w:rsid w:val="002C6A29"/>
    <w:rsid w:val="002C7131"/>
    <w:rsid w:val="002D00F5"/>
    <w:rsid w:val="002D139D"/>
    <w:rsid w:val="002D13B2"/>
    <w:rsid w:val="002D1C2B"/>
    <w:rsid w:val="002D2F90"/>
    <w:rsid w:val="002D4402"/>
    <w:rsid w:val="002D45B5"/>
    <w:rsid w:val="002D5487"/>
    <w:rsid w:val="002D64A4"/>
    <w:rsid w:val="002D6690"/>
    <w:rsid w:val="002D7291"/>
    <w:rsid w:val="002E00D9"/>
    <w:rsid w:val="002E04CE"/>
    <w:rsid w:val="002E0A5D"/>
    <w:rsid w:val="002E0D85"/>
    <w:rsid w:val="002E1260"/>
    <w:rsid w:val="002E2246"/>
    <w:rsid w:val="002E2535"/>
    <w:rsid w:val="002E26A8"/>
    <w:rsid w:val="002E2775"/>
    <w:rsid w:val="002E29BE"/>
    <w:rsid w:val="002E2CF4"/>
    <w:rsid w:val="002E38BF"/>
    <w:rsid w:val="002E3928"/>
    <w:rsid w:val="002E60CA"/>
    <w:rsid w:val="002E67EB"/>
    <w:rsid w:val="002E6C71"/>
    <w:rsid w:val="002F06DE"/>
    <w:rsid w:val="002F079A"/>
    <w:rsid w:val="002F0AF8"/>
    <w:rsid w:val="002F1349"/>
    <w:rsid w:val="002F205D"/>
    <w:rsid w:val="002F270A"/>
    <w:rsid w:val="002F409C"/>
    <w:rsid w:val="002F4ACE"/>
    <w:rsid w:val="002F5070"/>
    <w:rsid w:val="002F610D"/>
    <w:rsid w:val="002F63E3"/>
    <w:rsid w:val="002F6591"/>
    <w:rsid w:val="002F7727"/>
    <w:rsid w:val="002F7A23"/>
    <w:rsid w:val="002F7B74"/>
    <w:rsid w:val="002F7C80"/>
    <w:rsid w:val="002F7FB0"/>
    <w:rsid w:val="00300506"/>
    <w:rsid w:val="00300DA5"/>
    <w:rsid w:val="003016F0"/>
    <w:rsid w:val="00301D50"/>
    <w:rsid w:val="00301E8E"/>
    <w:rsid w:val="00303E7B"/>
    <w:rsid w:val="0030405E"/>
    <w:rsid w:val="003054C5"/>
    <w:rsid w:val="00306E28"/>
    <w:rsid w:val="00307899"/>
    <w:rsid w:val="003101E1"/>
    <w:rsid w:val="00310992"/>
    <w:rsid w:val="00310D6B"/>
    <w:rsid w:val="00311014"/>
    <w:rsid w:val="0031119E"/>
    <w:rsid w:val="003114A6"/>
    <w:rsid w:val="00311857"/>
    <w:rsid w:val="00311ABE"/>
    <w:rsid w:val="00311BBE"/>
    <w:rsid w:val="00311CE7"/>
    <w:rsid w:val="003122E5"/>
    <w:rsid w:val="00312498"/>
    <w:rsid w:val="003135AB"/>
    <w:rsid w:val="00316842"/>
    <w:rsid w:val="00316D92"/>
    <w:rsid w:val="0031703F"/>
    <w:rsid w:val="00320105"/>
    <w:rsid w:val="0032029E"/>
    <w:rsid w:val="003204A1"/>
    <w:rsid w:val="003209F9"/>
    <w:rsid w:val="00320F77"/>
    <w:rsid w:val="00321766"/>
    <w:rsid w:val="00324C50"/>
    <w:rsid w:val="00325688"/>
    <w:rsid w:val="00325997"/>
    <w:rsid w:val="003271B2"/>
    <w:rsid w:val="003271B7"/>
    <w:rsid w:val="003275FF"/>
    <w:rsid w:val="00327B64"/>
    <w:rsid w:val="0033057F"/>
    <w:rsid w:val="003306E6"/>
    <w:rsid w:val="003312BD"/>
    <w:rsid w:val="00331400"/>
    <w:rsid w:val="00334308"/>
    <w:rsid w:val="00334940"/>
    <w:rsid w:val="003358D9"/>
    <w:rsid w:val="00336514"/>
    <w:rsid w:val="00336B00"/>
    <w:rsid w:val="00336CB5"/>
    <w:rsid w:val="003373B6"/>
    <w:rsid w:val="003376BE"/>
    <w:rsid w:val="003378B6"/>
    <w:rsid w:val="00340F0D"/>
    <w:rsid w:val="0034221B"/>
    <w:rsid w:val="00344E40"/>
    <w:rsid w:val="00345B75"/>
    <w:rsid w:val="00345C8F"/>
    <w:rsid w:val="003464C5"/>
    <w:rsid w:val="00347723"/>
    <w:rsid w:val="003502A8"/>
    <w:rsid w:val="00351E0A"/>
    <w:rsid w:val="0035274D"/>
    <w:rsid w:val="00352DD8"/>
    <w:rsid w:val="00354767"/>
    <w:rsid w:val="003568B1"/>
    <w:rsid w:val="00357AB9"/>
    <w:rsid w:val="00357F5D"/>
    <w:rsid w:val="00362EB6"/>
    <w:rsid w:val="0036327D"/>
    <w:rsid w:val="00363F33"/>
    <w:rsid w:val="0036420D"/>
    <w:rsid w:val="00364F21"/>
    <w:rsid w:val="00365F63"/>
    <w:rsid w:val="00366097"/>
    <w:rsid w:val="00366CDD"/>
    <w:rsid w:val="00367465"/>
    <w:rsid w:val="003701BD"/>
    <w:rsid w:val="00372379"/>
    <w:rsid w:val="0037332F"/>
    <w:rsid w:val="0037347A"/>
    <w:rsid w:val="00373EF8"/>
    <w:rsid w:val="003741FE"/>
    <w:rsid w:val="00374417"/>
    <w:rsid w:val="00374747"/>
    <w:rsid w:val="003748CB"/>
    <w:rsid w:val="00374C8E"/>
    <w:rsid w:val="00375900"/>
    <w:rsid w:val="00375DDB"/>
    <w:rsid w:val="00376E23"/>
    <w:rsid w:val="0038005B"/>
    <w:rsid w:val="003814D0"/>
    <w:rsid w:val="003814D7"/>
    <w:rsid w:val="00382F02"/>
    <w:rsid w:val="00383E22"/>
    <w:rsid w:val="00383EFC"/>
    <w:rsid w:val="0038442B"/>
    <w:rsid w:val="00384B2F"/>
    <w:rsid w:val="0038653D"/>
    <w:rsid w:val="00386A58"/>
    <w:rsid w:val="0038724B"/>
    <w:rsid w:val="003872BF"/>
    <w:rsid w:val="00387756"/>
    <w:rsid w:val="00387D84"/>
    <w:rsid w:val="00387E6C"/>
    <w:rsid w:val="0039158C"/>
    <w:rsid w:val="0039177C"/>
    <w:rsid w:val="003923C6"/>
    <w:rsid w:val="00392405"/>
    <w:rsid w:val="00392A85"/>
    <w:rsid w:val="00393C3E"/>
    <w:rsid w:val="00393C99"/>
    <w:rsid w:val="00393E4D"/>
    <w:rsid w:val="00394037"/>
    <w:rsid w:val="0039559E"/>
    <w:rsid w:val="003956F7"/>
    <w:rsid w:val="00395BD1"/>
    <w:rsid w:val="00395EA8"/>
    <w:rsid w:val="003A0275"/>
    <w:rsid w:val="003A037C"/>
    <w:rsid w:val="003A1362"/>
    <w:rsid w:val="003A1658"/>
    <w:rsid w:val="003A2816"/>
    <w:rsid w:val="003A29BE"/>
    <w:rsid w:val="003A305F"/>
    <w:rsid w:val="003A3C89"/>
    <w:rsid w:val="003A45A2"/>
    <w:rsid w:val="003A64EA"/>
    <w:rsid w:val="003A6D31"/>
    <w:rsid w:val="003B0476"/>
    <w:rsid w:val="003B2850"/>
    <w:rsid w:val="003B3DED"/>
    <w:rsid w:val="003B4DA5"/>
    <w:rsid w:val="003B725F"/>
    <w:rsid w:val="003B7F1C"/>
    <w:rsid w:val="003C0545"/>
    <w:rsid w:val="003C080C"/>
    <w:rsid w:val="003C08FD"/>
    <w:rsid w:val="003C1133"/>
    <w:rsid w:val="003C2A76"/>
    <w:rsid w:val="003C2AA4"/>
    <w:rsid w:val="003C3E2B"/>
    <w:rsid w:val="003C4AE2"/>
    <w:rsid w:val="003C62F5"/>
    <w:rsid w:val="003C65E7"/>
    <w:rsid w:val="003C742B"/>
    <w:rsid w:val="003D057D"/>
    <w:rsid w:val="003D0C4C"/>
    <w:rsid w:val="003D134E"/>
    <w:rsid w:val="003D1961"/>
    <w:rsid w:val="003D1F16"/>
    <w:rsid w:val="003D20B2"/>
    <w:rsid w:val="003D2AAD"/>
    <w:rsid w:val="003D367F"/>
    <w:rsid w:val="003D4642"/>
    <w:rsid w:val="003D47D0"/>
    <w:rsid w:val="003D5ECA"/>
    <w:rsid w:val="003D66C7"/>
    <w:rsid w:val="003D707F"/>
    <w:rsid w:val="003E0062"/>
    <w:rsid w:val="003E03D6"/>
    <w:rsid w:val="003E054D"/>
    <w:rsid w:val="003E0872"/>
    <w:rsid w:val="003E0A22"/>
    <w:rsid w:val="003E1AD0"/>
    <w:rsid w:val="003E2FC8"/>
    <w:rsid w:val="003E33B5"/>
    <w:rsid w:val="003E3554"/>
    <w:rsid w:val="003E35D8"/>
    <w:rsid w:val="003E41BB"/>
    <w:rsid w:val="003E45EB"/>
    <w:rsid w:val="003E7DB8"/>
    <w:rsid w:val="003E7FA5"/>
    <w:rsid w:val="003F06DA"/>
    <w:rsid w:val="003F1038"/>
    <w:rsid w:val="003F134A"/>
    <w:rsid w:val="003F14B8"/>
    <w:rsid w:val="003F1E51"/>
    <w:rsid w:val="003F2037"/>
    <w:rsid w:val="003F2075"/>
    <w:rsid w:val="003F3074"/>
    <w:rsid w:val="003F325A"/>
    <w:rsid w:val="003F3B30"/>
    <w:rsid w:val="003F4271"/>
    <w:rsid w:val="003F4AA0"/>
    <w:rsid w:val="003F4E70"/>
    <w:rsid w:val="003F5F35"/>
    <w:rsid w:val="003F660F"/>
    <w:rsid w:val="003F6691"/>
    <w:rsid w:val="003F788B"/>
    <w:rsid w:val="003F7B1A"/>
    <w:rsid w:val="00400A81"/>
    <w:rsid w:val="00400EC5"/>
    <w:rsid w:val="00400F67"/>
    <w:rsid w:val="00400FF9"/>
    <w:rsid w:val="00403244"/>
    <w:rsid w:val="004035C1"/>
    <w:rsid w:val="00404C02"/>
    <w:rsid w:val="004059E0"/>
    <w:rsid w:val="00407100"/>
    <w:rsid w:val="004102A6"/>
    <w:rsid w:val="00411936"/>
    <w:rsid w:val="00411E0E"/>
    <w:rsid w:val="00411F2A"/>
    <w:rsid w:val="00411FDF"/>
    <w:rsid w:val="0041296B"/>
    <w:rsid w:val="00416001"/>
    <w:rsid w:val="004160C7"/>
    <w:rsid w:val="00416BB6"/>
    <w:rsid w:val="004170CE"/>
    <w:rsid w:val="0042014B"/>
    <w:rsid w:val="00420162"/>
    <w:rsid w:val="00420322"/>
    <w:rsid w:val="00420A23"/>
    <w:rsid w:val="00421B7C"/>
    <w:rsid w:val="00421D18"/>
    <w:rsid w:val="0042214E"/>
    <w:rsid w:val="0042334A"/>
    <w:rsid w:val="0042436E"/>
    <w:rsid w:val="004246F0"/>
    <w:rsid w:val="00424793"/>
    <w:rsid w:val="00424D1C"/>
    <w:rsid w:val="00425E76"/>
    <w:rsid w:val="00426520"/>
    <w:rsid w:val="004305B6"/>
    <w:rsid w:val="00433119"/>
    <w:rsid w:val="00433EE5"/>
    <w:rsid w:val="00434296"/>
    <w:rsid w:val="004348E5"/>
    <w:rsid w:val="00437034"/>
    <w:rsid w:val="004378B8"/>
    <w:rsid w:val="00440081"/>
    <w:rsid w:val="004406A8"/>
    <w:rsid w:val="00440B47"/>
    <w:rsid w:val="0044195B"/>
    <w:rsid w:val="00441AB2"/>
    <w:rsid w:val="00441F95"/>
    <w:rsid w:val="004432C8"/>
    <w:rsid w:val="004433DA"/>
    <w:rsid w:val="004441B2"/>
    <w:rsid w:val="00444FB7"/>
    <w:rsid w:val="00447518"/>
    <w:rsid w:val="00447612"/>
    <w:rsid w:val="004504A6"/>
    <w:rsid w:val="0045092A"/>
    <w:rsid w:val="00451608"/>
    <w:rsid w:val="00452883"/>
    <w:rsid w:val="004529D8"/>
    <w:rsid w:val="00452CAA"/>
    <w:rsid w:val="00452CAC"/>
    <w:rsid w:val="004538AA"/>
    <w:rsid w:val="0045392E"/>
    <w:rsid w:val="00453E02"/>
    <w:rsid w:val="00455B5B"/>
    <w:rsid w:val="00456C91"/>
    <w:rsid w:val="00456DFA"/>
    <w:rsid w:val="00457219"/>
    <w:rsid w:val="00457441"/>
    <w:rsid w:val="004578CE"/>
    <w:rsid w:val="00460215"/>
    <w:rsid w:val="00460471"/>
    <w:rsid w:val="00460C0D"/>
    <w:rsid w:val="004612E3"/>
    <w:rsid w:val="00461AF1"/>
    <w:rsid w:val="00461E13"/>
    <w:rsid w:val="00462481"/>
    <w:rsid w:val="0046271A"/>
    <w:rsid w:val="004647F6"/>
    <w:rsid w:val="00465650"/>
    <w:rsid w:val="00465DC0"/>
    <w:rsid w:val="00466092"/>
    <w:rsid w:val="004668C7"/>
    <w:rsid w:val="0046766E"/>
    <w:rsid w:val="00467FCE"/>
    <w:rsid w:val="004704EF"/>
    <w:rsid w:val="004705C6"/>
    <w:rsid w:val="004729CB"/>
    <w:rsid w:val="0047376F"/>
    <w:rsid w:val="00473C4B"/>
    <w:rsid w:val="00474B94"/>
    <w:rsid w:val="00474F4B"/>
    <w:rsid w:val="00475136"/>
    <w:rsid w:val="00477016"/>
    <w:rsid w:val="00480C34"/>
    <w:rsid w:val="00480F72"/>
    <w:rsid w:val="00483671"/>
    <w:rsid w:val="0048537E"/>
    <w:rsid w:val="004854DD"/>
    <w:rsid w:val="00485FED"/>
    <w:rsid w:val="004864A1"/>
    <w:rsid w:val="00487B06"/>
    <w:rsid w:val="00487B33"/>
    <w:rsid w:val="0049084F"/>
    <w:rsid w:val="00491371"/>
    <w:rsid w:val="00491756"/>
    <w:rsid w:val="004926AF"/>
    <w:rsid w:val="00493015"/>
    <w:rsid w:val="00493A6B"/>
    <w:rsid w:val="0049457B"/>
    <w:rsid w:val="0049781A"/>
    <w:rsid w:val="004A0A63"/>
    <w:rsid w:val="004A1004"/>
    <w:rsid w:val="004A35B3"/>
    <w:rsid w:val="004A436F"/>
    <w:rsid w:val="004A5514"/>
    <w:rsid w:val="004A59EC"/>
    <w:rsid w:val="004A5E38"/>
    <w:rsid w:val="004B09B1"/>
    <w:rsid w:val="004B0DC2"/>
    <w:rsid w:val="004B129E"/>
    <w:rsid w:val="004B21EA"/>
    <w:rsid w:val="004B2E70"/>
    <w:rsid w:val="004B3399"/>
    <w:rsid w:val="004B4757"/>
    <w:rsid w:val="004B4BE8"/>
    <w:rsid w:val="004B4DF6"/>
    <w:rsid w:val="004B5399"/>
    <w:rsid w:val="004B6144"/>
    <w:rsid w:val="004B6753"/>
    <w:rsid w:val="004B7284"/>
    <w:rsid w:val="004B7CDA"/>
    <w:rsid w:val="004C0E50"/>
    <w:rsid w:val="004C1440"/>
    <w:rsid w:val="004C2189"/>
    <w:rsid w:val="004C22AB"/>
    <w:rsid w:val="004C28EA"/>
    <w:rsid w:val="004C2EC5"/>
    <w:rsid w:val="004C3A23"/>
    <w:rsid w:val="004C5670"/>
    <w:rsid w:val="004C62A0"/>
    <w:rsid w:val="004C756A"/>
    <w:rsid w:val="004D0741"/>
    <w:rsid w:val="004D1A91"/>
    <w:rsid w:val="004D2264"/>
    <w:rsid w:val="004D3039"/>
    <w:rsid w:val="004D3972"/>
    <w:rsid w:val="004D6D56"/>
    <w:rsid w:val="004D6FB2"/>
    <w:rsid w:val="004D70DC"/>
    <w:rsid w:val="004D713D"/>
    <w:rsid w:val="004D78BC"/>
    <w:rsid w:val="004E152C"/>
    <w:rsid w:val="004E22A2"/>
    <w:rsid w:val="004E22C3"/>
    <w:rsid w:val="004E2ADB"/>
    <w:rsid w:val="004E2C6A"/>
    <w:rsid w:val="004E33CF"/>
    <w:rsid w:val="004E344B"/>
    <w:rsid w:val="004E3CA7"/>
    <w:rsid w:val="004E4468"/>
    <w:rsid w:val="004E46C8"/>
    <w:rsid w:val="004E4AEF"/>
    <w:rsid w:val="004E4DCF"/>
    <w:rsid w:val="004E5E7F"/>
    <w:rsid w:val="004E6CA7"/>
    <w:rsid w:val="004E7570"/>
    <w:rsid w:val="004F158D"/>
    <w:rsid w:val="004F15A5"/>
    <w:rsid w:val="004F240F"/>
    <w:rsid w:val="004F2D19"/>
    <w:rsid w:val="004F2EB6"/>
    <w:rsid w:val="004F4D0F"/>
    <w:rsid w:val="004F5159"/>
    <w:rsid w:val="004F68B4"/>
    <w:rsid w:val="004F69EA"/>
    <w:rsid w:val="004F7489"/>
    <w:rsid w:val="005001AC"/>
    <w:rsid w:val="00500351"/>
    <w:rsid w:val="005017C5"/>
    <w:rsid w:val="00501BDD"/>
    <w:rsid w:val="00502261"/>
    <w:rsid w:val="00502E07"/>
    <w:rsid w:val="005035FF"/>
    <w:rsid w:val="00503691"/>
    <w:rsid w:val="005039BC"/>
    <w:rsid w:val="0050538A"/>
    <w:rsid w:val="00506EE7"/>
    <w:rsid w:val="0050742B"/>
    <w:rsid w:val="00507580"/>
    <w:rsid w:val="00510098"/>
    <w:rsid w:val="0051041F"/>
    <w:rsid w:val="005105E7"/>
    <w:rsid w:val="00510F3A"/>
    <w:rsid w:val="00511258"/>
    <w:rsid w:val="00511F99"/>
    <w:rsid w:val="0051265E"/>
    <w:rsid w:val="005127F9"/>
    <w:rsid w:val="00512B13"/>
    <w:rsid w:val="00512D69"/>
    <w:rsid w:val="005142F0"/>
    <w:rsid w:val="00515316"/>
    <w:rsid w:val="00515C56"/>
    <w:rsid w:val="00515C5E"/>
    <w:rsid w:val="00516078"/>
    <w:rsid w:val="0051616C"/>
    <w:rsid w:val="00516941"/>
    <w:rsid w:val="005178A4"/>
    <w:rsid w:val="00520903"/>
    <w:rsid w:val="00520B72"/>
    <w:rsid w:val="005217D5"/>
    <w:rsid w:val="005235E2"/>
    <w:rsid w:val="00523A11"/>
    <w:rsid w:val="0052426F"/>
    <w:rsid w:val="00524647"/>
    <w:rsid w:val="00524648"/>
    <w:rsid w:val="005251B2"/>
    <w:rsid w:val="00525719"/>
    <w:rsid w:val="00525E67"/>
    <w:rsid w:val="005262E1"/>
    <w:rsid w:val="005263F1"/>
    <w:rsid w:val="0052665B"/>
    <w:rsid w:val="0052716C"/>
    <w:rsid w:val="00527AEF"/>
    <w:rsid w:val="00527EDF"/>
    <w:rsid w:val="00530943"/>
    <w:rsid w:val="00532D2D"/>
    <w:rsid w:val="00533809"/>
    <w:rsid w:val="00534272"/>
    <w:rsid w:val="005353F2"/>
    <w:rsid w:val="005356DD"/>
    <w:rsid w:val="00535EBD"/>
    <w:rsid w:val="00536545"/>
    <w:rsid w:val="00536594"/>
    <w:rsid w:val="00537DF9"/>
    <w:rsid w:val="00540451"/>
    <w:rsid w:val="0054197D"/>
    <w:rsid w:val="00541D60"/>
    <w:rsid w:val="00542190"/>
    <w:rsid w:val="00542851"/>
    <w:rsid w:val="00542F1E"/>
    <w:rsid w:val="0054339C"/>
    <w:rsid w:val="00543983"/>
    <w:rsid w:val="005441DE"/>
    <w:rsid w:val="00545323"/>
    <w:rsid w:val="00546738"/>
    <w:rsid w:val="005467E9"/>
    <w:rsid w:val="00546A79"/>
    <w:rsid w:val="005471EA"/>
    <w:rsid w:val="00547BA3"/>
    <w:rsid w:val="00550025"/>
    <w:rsid w:val="0055155D"/>
    <w:rsid w:val="0055225B"/>
    <w:rsid w:val="00552763"/>
    <w:rsid w:val="00552D25"/>
    <w:rsid w:val="00554741"/>
    <w:rsid w:val="00554962"/>
    <w:rsid w:val="00554AAF"/>
    <w:rsid w:val="00555E2A"/>
    <w:rsid w:val="00557000"/>
    <w:rsid w:val="00557CA2"/>
    <w:rsid w:val="005611CE"/>
    <w:rsid w:val="0056123D"/>
    <w:rsid w:val="00562A25"/>
    <w:rsid w:val="00562ACD"/>
    <w:rsid w:val="00563700"/>
    <w:rsid w:val="00563D38"/>
    <w:rsid w:val="00563EC5"/>
    <w:rsid w:val="005644A4"/>
    <w:rsid w:val="005646A1"/>
    <w:rsid w:val="005677A6"/>
    <w:rsid w:val="0057078B"/>
    <w:rsid w:val="00571037"/>
    <w:rsid w:val="00571DF6"/>
    <w:rsid w:val="00572A91"/>
    <w:rsid w:val="00572FDA"/>
    <w:rsid w:val="00573D08"/>
    <w:rsid w:val="005745F5"/>
    <w:rsid w:val="00574CD1"/>
    <w:rsid w:val="005758F6"/>
    <w:rsid w:val="00575946"/>
    <w:rsid w:val="0057595C"/>
    <w:rsid w:val="00576439"/>
    <w:rsid w:val="00576DAC"/>
    <w:rsid w:val="005779CA"/>
    <w:rsid w:val="00582E9B"/>
    <w:rsid w:val="00583923"/>
    <w:rsid w:val="00583C7D"/>
    <w:rsid w:val="00584728"/>
    <w:rsid w:val="0058488D"/>
    <w:rsid w:val="00584F66"/>
    <w:rsid w:val="0058644D"/>
    <w:rsid w:val="00587311"/>
    <w:rsid w:val="005904B5"/>
    <w:rsid w:val="00592673"/>
    <w:rsid w:val="00592CB5"/>
    <w:rsid w:val="005939B8"/>
    <w:rsid w:val="00594C0D"/>
    <w:rsid w:val="00594E74"/>
    <w:rsid w:val="00595A8A"/>
    <w:rsid w:val="0059612C"/>
    <w:rsid w:val="005967C5"/>
    <w:rsid w:val="00597590"/>
    <w:rsid w:val="00597923"/>
    <w:rsid w:val="005A0082"/>
    <w:rsid w:val="005A04E2"/>
    <w:rsid w:val="005A0ABF"/>
    <w:rsid w:val="005A220C"/>
    <w:rsid w:val="005A289A"/>
    <w:rsid w:val="005A324A"/>
    <w:rsid w:val="005A38AE"/>
    <w:rsid w:val="005A395B"/>
    <w:rsid w:val="005A4098"/>
    <w:rsid w:val="005A414F"/>
    <w:rsid w:val="005A4D75"/>
    <w:rsid w:val="005A5089"/>
    <w:rsid w:val="005A7ED2"/>
    <w:rsid w:val="005B065B"/>
    <w:rsid w:val="005B0774"/>
    <w:rsid w:val="005B18E4"/>
    <w:rsid w:val="005B2CD1"/>
    <w:rsid w:val="005B3758"/>
    <w:rsid w:val="005B3FFE"/>
    <w:rsid w:val="005B4276"/>
    <w:rsid w:val="005B675E"/>
    <w:rsid w:val="005B72EF"/>
    <w:rsid w:val="005B7BBD"/>
    <w:rsid w:val="005C09B0"/>
    <w:rsid w:val="005C1E4D"/>
    <w:rsid w:val="005C30A4"/>
    <w:rsid w:val="005C3A2A"/>
    <w:rsid w:val="005C3F7B"/>
    <w:rsid w:val="005C4739"/>
    <w:rsid w:val="005C48CA"/>
    <w:rsid w:val="005C499C"/>
    <w:rsid w:val="005C5C79"/>
    <w:rsid w:val="005C606F"/>
    <w:rsid w:val="005C6596"/>
    <w:rsid w:val="005C69EF"/>
    <w:rsid w:val="005C77FB"/>
    <w:rsid w:val="005D2B81"/>
    <w:rsid w:val="005D334E"/>
    <w:rsid w:val="005D3D7E"/>
    <w:rsid w:val="005D4218"/>
    <w:rsid w:val="005D4D24"/>
    <w:rsid w:val="005D56E5"/>
    <w:rsid w:val="005D5A0C"/>
    <w:rsid w:val="005D5BAD"/>
    <w:rsid w:val="005D6817"/>
    <w:rsid w:val="005D6C9F"/>
    <w:rsid w:val="005D74B5"/>
    <w:rsid w:val="005E132A"/>
    <w:rsid w:val="005E16F7"/>
    <w:rsid w:val="005E2E1A"/>
    <w:rsid w:val="005E33B5"/>
    <w:rsid w:val="005E497B"/>
    <w:rsid w:val="005E5044"/>
    <w:rsid w:val="005E5108"/>
    <w:rsid w:val="005E544B"/>
    <w:rsid w:val="005E60AF"/>
    <w:rsid w:val="005E6D64"/>
    <w:rsid w:val="005E79E8"/>
    <w:rsid w:val="005F0E6D"/>
    <w:rsid w:val="005F2DAC"/>
    <w:rsid w:val="005F2FF6"/>
    <w:rsid w:val="005F3DA4"/>
    <w:rsid w:val="005F448F"/>
    <w:rsid w:val="005F4889"/>
    <w:rsid w:val="005F4A66"/>
    <w:rsid w:val="005F526D"/>
    <w:rsid w:val="005F5492"/>
    <w:rsid w:val="005F6638"/>
    <w:rsid w:val="005F7130"/>
    <w:rsid w:val="005F75CC"/>
    <w:rsid w:val="005F76D4"/>
    <w:rsid w:val="005F7D6B"/>
    <w:rsid w:val="0060031B"/>
    <w:rsid w:val="006004D6"/>
    <w:rsid w:val="00601540"/>
    <w:rsid w:val="0060197A"/>
    <w:rsid w:val="00601F58"/>
    <w:rsid w:val="0060201F"/>
    <w:rsid w:val="0060205D"/>
    <w:rsid w:val="0060296F"/>
    <w:rsid w:val="00603DEB"/>
    <w:rsid w:val="006043BC"/>
    <w:rsid w:val="00605129"/>
    <w:rsid w:val="006063CB"/>
    <w:rsid w:val="0060682A"/>
    <w:rsid w:val="006068BE"/>
    <w:rsid w:val="0060697B"/>
    <w:rsid w:val="00607129"/>
    <w:rsid w:val="00607FA6"/>
    <w:rsid w:val="0061065C"/>
    <w:rsid w:val="00610D0A"/>
    <w:rsid w:val="006114FF"/>
    <w:rsid w:val="0061348F"/>
    <w:rsid w:val="00614665"/>
    <w:rsid w:val="0061488E"/>
    <w:rsid w:val="00615F4E"/>
    <w:rsid w:val="006164CF"/>
    <w:rsid w:val="00616603"/>
    <w:rsid w:val="0061722F"/>
    <w:rsid w:val="006216EF"/>
    <w:rsid w:val="006222A0"/>
    <w:rsid w:val="00622D53"/>
    <w:rsid w:val="00623CB0"/>
    <w:rsid w:val="00623D71"/>
    <w:rsid w:val="00625F79"/>
    <w:rsid w:val="00627190"/>
    <w:rsid w:val="0062739C"/>
    <w:rsid w:val="00627649"/>
    <w:rsid w:val="0062764C"/>
    <w:rsid w:val="0062797C"/>
    <w:rsid w:val="00627EB5"/>
    <w:rsid w:val="006309AC"/>
    <w:rsid w:val="006323EA"/>
    <w:rsid w:val="006325EF"/>
    <w:rsid w:val="00635D7C"/>
    <w:rsid w:val="006361FE"/>
    <w:rsid w:val="00636395"/>
    <w:rsid w:val="0063723E"/>
    <w:rsid w:val="00637A12"/>
    <w:rsid w:val="00637EBA"/>
    <w:rsid w:val="00641A78"/>
    <w:rsid w:val="006428AD"/>
    <w:rsid w:val="00642CE9"/>
    <w:rsid w:val="00643222"/>
    <w:rsid w:val="00644344"/>
    <w:rsid w:val="00644810"/>
    <w:rsid w:val="00644E1A"/>
    <w:rsid w:val="00645350"/>
    <w:rsid w:val="0064577F"/>
    <w:rsid w:val="00645B9B"/>
    <w:rsid w:val="0064695D"/>
    <w:rsid w:val="00646EE3"/>
    <w:rsid w:val="00647EAC"/>
    <w:rsid w:val="00650507"/>
    <w:rsid w:val="006508FC"/>
    <w:rsid w:val="00650B85"/>
    <w:rsid w:val="006515AC"/>
    <w:rsid w:val="00651625"/>
    <w:rsid w:val="006528FB"/>
    <w:rsid w:val="00652BF0"/>
    <w:rsid w:val="006547A0"/>
    <w:rsid w:val="00655CE7"/>
    <w:rsid w:val="00656F1D"/>
    <w:rsid w:val="00656FDD"/>
    <w:rsid w:val="00660046"/>
    <w:rsid w:val="0066298F"/>
    <w:rsid w:val="00662E1A"/>
    <w:rsid w:val="00663160"/>
    <w:rsid w:val="006634F6"/>
    <w:rsid w:val="00663A6A"/>
    <w:rsid w:val="00664013"/>
    <w:rsid w:val="00664482"/>
    <w:rsid w:val="006645D5"/>
    <w:rsid w:val="006648D0"/>
    <w:rsid w:val="00664ABE"/>
    <w:rsid w:val="0066724F"/>
    <w:rsid w:val="006672D1"/>
    <w:rsid w:val="00671182"/>
    <w:rsid w:val="00671D64"/>
    <w:rsid w:val="006728B9"/>
    <w:rsid w:val="00673952"/>
    <w:rsid w:val="00674346"/>
    <w:rsid w:val="006744D3"/>
    <w:rsid w:val="00674AAB"/>
    <w:rsid w:val="00675DAD"/>
    <w:rsid w:val="006764DB"/>
    <w:rsid w:val="006774B3"/>
    <w:rsid w:val="006801BF"/>
    <w:rsid w:val="00680234"/>
    <w:rsid w:val="00680939"/>
    <w:rsid w:val="00680CC3"/>
    <w:rsid w:val="00680D61"/>
    <w:rsid w:val="0068177A"/>
    <w:rsid w:val="00683095"/>
    <w:rsid w:val="00683497"/>
    <w:rsid w:val="00683602"/>
    <w:rsid w:val="00683F2A"/>
    <w:rsid w:val="00684499"/>
    <w:rsid w:val="0068464C"/>
    <w:rsid w:val="00684A51"/>
    <w:rsid w:val="00684B8D"/>
    <w:rsid w:val="00684C64"/>
    <w:rsid w:val="006858CE"/>
    <w:rsid w:val="00685A30"/>
    <w:rsid w:val="00687306"/>
    <w:rsid w:val="006875F3"/>
    <w:rsid w:val="006878FB"/>
    <w:rsid w:val="00687C24"/>
    <w:rsid w:val="0069023D"/>
    <w:rsid w:val="006905F6"/>
    <w:rsid w:val="0069094F"/>
    <w:rsid w:val="00691181"/>
    <w:rsid w:val="00691DA8"/>
    <w:rsid w:val="00693009"/>
    <w:rsid w:val="00693E53"/>
    <w:rsid w:val="00694217"/>
    <w:rsid w:val="00694503"/>
    <w:rsid w:val="006958A3"/>
    <w:rsid w:val="0069598C"/>
    <w:rsid w:val="006959F8"/>
    <w:rsid w:val="00695AE8"/>
    <w:rsid w:val="006967A6"/>
    <w:rsid w:val="006970E1"/>
    <w:rsid w:val="006974E0"/>
    <w:rsid w:val="00697C86"/>
    <w:rsid w:val="006A02A4"/>
    <w:rsid w:val="006A0C24"/>
    <w:rsid w:val="006A13EA"/>
    <w:rsid w:val="006A2254"/>
    <w:rsid w:val="006A5294"/>
    <w:rsid w:val="006A5EFE"/>
    <w:rsid w:val="006A662D"/>
    <w:rsid w:val="006A67C1"/>
    <w:rsid w:val="006A6D1D"/>
    <w:rsid w:val="006A6DD1"/>
    <w:rsid w:val="006A6ED6"/>
    <w:rsid w:val="006B067A"/>
    <w:rsid w:val="006B071F"/>
    <w:rsid w:val="006B0C80"/>
    <w:rsid w:val="006B2083"/>
    <w:rsid w:val="006B4271"/>
    <w:rsid w:val="006B7287"/>
    <w:rsid w:val="006B7C41"/>
    <w:rsid w:val="006C0951"/>
    <w:rsid w:val="006C0A0C"/>
    <w:rsid w:val="006C14C0"/>
    <w:rsid w:val="006C4753"/>
    <w:rsid w:val="006C4AD8"/>
    <w:rsid w:val="006C4BDE"/>
    <w:rsid w:val="006C6601"/>
    <w:rsid w:val="006C79BE"/>
    <w:rsid w:val="006C7F17"/>
    <w:rsid w:val="006D0326"/>
    <w:rsid w:val="006D14CC"/>
    <w:rsid w:val="006D160C"/>
    <w:rsid w:val="006D1817"/>
    <w:rsid w:val="006D1B8F"/>
    <w:rsid w:val="006D1F52"/>
    <w:rsid w:val="006D28A9"/>
    <w:rsid w:val="006D28DE"/>
    <w:rsid w:val="006D2C51"/>
    <w:rsid w:val="006D2D4A"/>
    <w:rsid w:val="006D2F6D"/>
    <w:rsid w:val="006D3018"/>
    <w:rsid w:val="006D37B6"/>
    <w:rsid w:val="006D488D"/>
    <w:rsid w:val="006D52C4"/>
    <w:rsid w:val="006D545F"/>
    <w:rsid w:val="006D5E9F"/>
    <w:rsid w:val="006D63F9"/>
    <w:rsid w:val="006D679A"/>
    <w:rsid w:val="006D6BE3"/>
    <w:rsid w:val="006D6CFA"/>
    <w:rsid w:val="006D72C5"/>
    <w:rsid w:val="006E00CC"/>
    <w:rsid w:val="006E0471"/>
    <w:rsid w:val="006E0FA5"/>
    <w:rsid w:val="006E2D44"/>
    <w:rsid w:val="006E2F85"/>
    <w:rsid w:val="006E3103"/>
    <w:rsid w:val="006E4B4F"/>
    <w:rsid w:val="006E4F09"/>
    <w:rsid w:val="006E50D9"/>
    <w:rsid w:val="006E51B1"/>
    <w:rsid w:val="006E56A8"/>
    <w:rsid w:val="006E58D7"/>
    <w:rsid w:val="006E6416"/>
    <w:rsid w:val="006E70F8"/>
    <w:rsid w:val="006E75ED"/>
    <w:rsid w:val="006E77A8"/>
    <w:rsid w:val="006E7CA0"/>
    <w:rsid w:val="006F0C54"/>
    <w:rsid w:val="006F0C6A"/>
    <w:rsid w:val="006F1059"/>
    <w:rsid w:val="006F24F3"/>
    <w:rsid w:val="006F4352"/>
    <w:rsid w:val="006F4E6C"/>
    <w:rsid w:val="006F6E5A"/>
    <w:rsid w:val="006F7539"/>
    <w:rsid w:val="006F79CC"/>
    <w:rsid w:val="006F79FB"/>
    <w:rsid w:val="006F7F26"/>
    <w:rsid w:val="007008DA"/>
    <w:rsid w:val="00702774"/>
    <w:rsid w:val="00702E90"/>
    <w:rsid w:val="007035CA"/>
    <w:rsid w:val="007051EE"/>
    <w:rsid w:val="00705D47"/>
    <w:rsid w:val="00706FEC"/>
    <w:rsid w:val="00707821"/>
    <w:rsid w:val="007100AC"/>
    <w:rsid w:val="00710575"/>
    <w:rsid w:val="007105B3"/>
    <w:rsid w:val="00710CC9"/>
    <w:rsid w:val="00713785"/>
    <w:rsid w:val="00713EF6"/>
    <w:rsid w:val="00715650"/>
    <w:rsid w:val="00715CF2"/>
    <w:rsid w:val="007179A1"/>
    <w:rsid w:val="007209A9"/>
    <w:rsid w:val="0072252E"/>
    <w:rsid w:val="00723036"/>
    <w:rsid w:val="00725A91"/>
    <w:rsid w:val="007265BA"/>
    <w:rsid w:val="00727472"/>
    <w:rsid w:val="007276B8"/>
    <w:rsid w:val="0072781E"/>
    <w:rsid w:val="00727951"/>
    <w:rsid w:val="00727EFE"/>
    <w:rsid w:val="007302FF"/>
    <w:rsid w:val="00730526"/>
    <w:rsid w:val="007328CD"/>
    <w:rsid w:val="00733BB2"/>
    <w:rsid w:val="007348C2"/>
    <w:rsid w:val="007353DC"/>
    <w:rsid w:val="0073564D"/>
    <w:rsid w:val="00735F6B"/>
    <w:rsid w:val="00736741"/>
    <w:rsid w:val="007369A1"/>
    <w:rsid w:val="00737963"/>
    <w:rsid w:val="00737B49"/>
    <w:rsid w:val="00740EF2"/>
    <w:rsid w:val="007411E2"/>
    <w:rsid w:val="00741889"/>
    <w:rsid w:val="00741F62"/>
    <w:rsid w:val="007426EF"/>
    <w:rsid w:val="0074280C"/>
    <w:rsid w:val="00742E47"/>
    <w:rsid w:val="00742EC0"/>
    <w:rsid w:val="00742F52"/>
    <w:rsid w:val="0074334C"/>
    <w:rsid w:val="007438A3"/>
    <w:rsid w:val="00743B05"/>
    <w:rsid w:val="00744788"/>
    <w:rsid w:val="007448D6"/>
    <w:rsid w:val="00744AE5"/>
    <w:rsid w:val="00744D51"/>
    <w:rsid w:val="00745B4B"/>
    <w:rsid w:val="0074687D"/>
    <w:rsid w:val="00746DF3"/>
    <w:rsid w:val="007470EA"/>
    <w:rsid w:val="007471AF"/>
    <w:rsid w:val="00747DAC"/>
    <w:rsid w:val="007506C7"/>
    <w:rsid w:val="00751196"/>
    <w:rsid w:val="00751EBA"/>
    <w:rsid w:val="00752286"/>
    <w:rsid w:val="00752531"/>
    <w:rsid w:val="007528C7"/>
    <w:rsid w:val="0075297C"/>
    <w:rsid w:val="00752D61"/>
    <w:rsid w:val="00752E25"/>
    <w:rsid w:val="0075332D"/>
    <w:rsid w:val="007540BD"/>
    <w:rsid w:val="00754784"/>
    <w:rsid w:val="00755E16"/>
    <w:rsid w:val="00756ACB"/>
    <w:rsid w:val="00761812"/>
    <w:rsid w:val="007620E2"/>
    <w:rsid w:val="0076241C"/>
    <w:rsid w:val="007637B0"/>
    <w:rsid w:val="00763EF6"/>
    <w:rsid w:val="00765ABF"/>
    <w:rsid w:val="00766306"/>
    <w:rsid w:val="00766805"/>
    <w:rsid w:val="00767686"/>
    <w:rsid w:val="00767EBD"/>
    <w:rsid w:val="007700C7"/>
    <w:rsid w:val="00771197"/>
    <w:rsid w:val="0077176C"/>
    <w:rsid w:val="0077274E"/>
    <w:rsid w:val="00772D62"/>
    <w:rsid w:val="00774A91"/>
    <w:rsid w:val="00776614"/>
    <w:rsid w:val="007774D2"/>
    <w:rsid w:val="00780354"/>
    <w:rsid w:val="007807F7"/>
    <w:rsid w:val="00780B64"/>
    <w:rsid w:val="007811A4"/>
    <w:rsid w:val="00781D35"/>
    <w:rsid w:val="00782139"/>
    <w:rsid w:val="00783ED0"/>
    <w:rsid w:val="00784419"/>
    <w:rsid w:val="00784981"/>
    <w:rsid w:val="00785987"/>
    <w:rsid w:val="00785AA7"/>
    <w:rsid w:val="00785DBA"/>
    <w:rsid w:val="007867D4"/>
    <w:rsid w:val="00787369"/>
    <w:rsid w:val="00787BFA"/>
    <w:rsid w:val="00787F0B"/>
    <w:rsid w:val="0079037C"/>
    <w:rsid w:val="00790D60"/>
    <w:rsid w:val="00791CA3"/>
    <w:rsid w:val="007921BC"/>
    <w:rsid w:val="007945EC"/>
    <w:rsid w:val="0079584F"/>
    <w:rsid w:val="007959C9"/>
    <w:rsid w:val="007959FD"/>
    <w:rsid w:val="00795A89"/>
    <w:rsid w:val="00795A9B"/>
    <w:rsid w:val="007963B6"/>
    <w:rsid w:val="0079730A"/>
    <w:rsid w:val="0079784D"/>
    <w:rsid w:val="007A053D"/>
    <w:rsid w:val="007A07DD"/>
    <w:rsid w:val="007A0B60"/>
    <w:rsid w:val="007A0E71"/>
    <w:rsid w:val="007A1954"/>
    <w:rsid w:val="007A1E7A"/>
    <w:rsid w:val="007A2A30"/>
    <w:rsid w:val="007A2E32"/>
    <w:rsid w:val="007A3239"/>
    <w:rsid w:val="007A4CFB"/>
    <w:rsid w:val="007A4EAE"/>
    <w:rsid w:val="007A51E6"/>
    <w:rsid w:val="007A57EC"/>
    <w:rsid w:val="007A5DCD"/>
    <w:rsid w:val="007A61C9"/>
    <w:rsid w:val="007A6AA5"/>
    <w:rsid w:val="007B08FB"/>
    <w:rsid w:val="007B0FFF"/>
    <w:rsid w:val="007B3AE4"/>
    <w:rsid w:val="007B3AE9"/>
    <w:rsid w:val="007B4499"/>
    <w:rsid w:val="007B49E7"/>
    <w:rsid w:val="007B5945"/>
    <w:rsid w:val="007B5BD2"/>
    <w:rsid w:val="007B6232"/>
    <w:rsid w:val="007B6899"/>
    <w:rsid w:val="007B72B3"/>
    <w:rsid w:val="007B7FD8"/>
    <w:rsid w:val="007C073D"/>
    <w:rsid w:val="007C0834"/>
    <w:rsid w:val="007C0C5D"/>
    <w:rsid w:val="007C2154"/>
    <w:rsid w:val="007C22F6"/>
    <w:rsid w:val="007C3144"/>
    <w:rsid w:val="007C45CA"/>
    <w:rsid w:val="007C4755"/>
    <w:rsid w:val="007C4C98"/>
    <w:rsid w:val="007C5017"/>
    <w:rsid w:val="007C55A4"/>
    <w:rsid w:val="007C5936"/>
    <w:rsid w:val="007C6D1E"/>
    <w:rsid w:val="007C6FEF"/>
    <w:rsid w:val="007C7655"/>
    <w:rsid w:val="007D0001"/>
    <w:rsid w:val="007D178F"/>
    <w:rsid w:val="007D294B"/>
    <w:rsid w:val="007D33D8"/>
    <w:rsid w:val="007D512D"/>
    <w:rsid w:val="007D54CE"/>
    <w:rsid w:val="007D62C3"/>
    <w:rsid w:val="007D66BE"/>
    <w:rsid w:val="007D66F8"/>
    <w:rsid w:val="007D737C"/>
    <w:rsid w:val="007E0BE0"/>
    <w:rsid w:val="007E1E51"/>
    <w:rsid w:val="007E2431"/>
    <w:rsid w:val="007E2EC4"/>
    <w:rsid w:val="007E3560"/>
    <w:rsid w:val="007E3A28"/>
    <w:rsid w:val="007E3F0F"/>
    <w:rsid w:val="007E3F8D"/>
    <w:rsid w:val="007E43E4"/>
    <w:rsid w:val="007E6FE3"/>
    <w:rsid w:val="007E74FE"/>
    <w:rsid w:val="007E7FBC"/>
    <w:rsid w:val="007F03DE"/>
    <w:rsid w:val="007F1354"/>
    <w:rsid w:val="007F336D"/>
    <w:rsid w:val="007F398B"/>
    <w:rsid w:val="007F3C7D"/>
    <w:rsid w:val="007F3F5A"/>
    <w:rsid w:val="007F4958"/>
    <w:rsid w:val="007F56D6"/>
    <w:rsid w:val="007F5C26"/>
    <w:rsid w:val="007F5FF3"/>
    <w:rsid w:val="007F6B94"/>
    <w:rsid w:val="007F7423"/>
    <w:rsid w:val="00800ACD"/>
    <w:rsid w:val="008019DB"/>
    <w:rsid w:val="00801D3A"/>
    <w:rsid w:val="00802D6B"/>
    <w:rsid w:val="008032EA"/>
    <w:rsid w:val="0080370D"/>
    <w:rsid w:val="00803906"/>
    <w:rsid w:val="008041EF"/>
    <w:rsid w:val="00804F3A"/>
    <w:rsid w:val="008051F6"/>
    <w:rsid w:val="0080529A"/>
    <w:rsid w:val="008060F0"/>
    <w:rsid w:val="0080636C"/>
    <w:rsid w:val="0080750A"/>
    <w:rsid w:val="008110A3"/>
    <w:rsid w:val="00811255"/>
    <w:rsid w:val="00812C71"/>
    <w:rsid w:val="00812F8E"/>
    <w:rsid w:val="00814FB6"/>
    <w:rsid w:val="00815641"/>
    <w:rsid w:val="00815DD8"/>
    <w:rsid w:val="00816740"/>
    <w:rsid w:val="00816870"/>
    <w:rsid w:val="00816951"/>
    <w:rsid w:val="00816988"/>
    <w:rsid w:val="00817397"/>
    <w:rsid w:val="008201B3"/>
    <w:rsid w:val="0082055F"/>
    <w:rsid w:val="00820998"/>
    <w:rsid w:val="008213D0"/>
    <w:rsid w:val="00821AC9"/>
    <w:rsid w:val="00821DD1"/>
    <w:rsid w:val="0082202A"/>
    <w:rsid w:val="00822052"/>
    <w:rsid w:val="008226AC"/>
    <w:rsid w:val="008229A3"/>
    <w:rsid w:val="00823634"/>
    <w:rsid w:val="00823BBB"/>
    <w:rsid w:val="0082472B"/>
    <w:rsid w:val="00824C08"/>
    <w:rsid w:val="00824D3D"/>
    <w:rsid w:val="00824E5F"/>
    <w:rsid w:val="00826327"/>
    <w:rsid w:val="00826432"/>
    <w:rsid w:val="00830C38"/>
    <w:rsid w:val="00830D9F"/>
    <w:rsid w:val="0083128E"/>
    <w:rsid w:val="00831847"/>
    <w:rsid w:val="008326CD"/>
    <w:rsid w:val="00832745"/>
    <w:rsid w:val="00833C81"/>
    <w:rsid w:val="008343E2"/>
    <w:rsid w:val="00834490"/>
    <w:rsid w:val="00834E72"/>
    <w:rsid w:val="00835773"/>
    <w:rsid w:val="00840283"/>
    <w:rsid w:val="008409F5"/>
    <w:rsid w:val="008410AA"/>
    <w:rsid w:val="00841783"/>
    <w:rsid w:val="00841FB9"/>
    <w:rsid w:val="00842503"/>
    <w:rsid w:val="00842AFE"/>
    <w:rsid w:val="0084504D"/>
    <w:rsid w:val="00846216"/>
    <w:rsid w:val="008477BA"/>
    <w:rsid w:val="0085092C"/>
    <w:rsid w:val="00850F47"/>
    <w:rsid w:val="008519D7"/>
    <w:rsid w:val="00851CFA"/>
    <w:rsid w:val="00853142"/>
    <w:rsid w:val="008545A2"/>
    <w:rsid w:val="00854C1C"/>
    <w:rsid w:val="00854EFF"/>
    <w:rsid w:val="00855C01"/>
    <w:rsid w:val="008575D7"/>
    <w:rsid w:val="008578DE"/>
    <w:rsid w:val="00860C00"/>
    <w:rsid w:val="00861268"/>
    <w:rsid w:val="008619DE"/>
    <w:rsid w:val="00861EE9"/>
    <w:rsid w:val="0086215E"/>
    <w:rsid w:val="008626B6"/>
    <w:rsid w:val="00863F9E"/>
    <w:rsid w:val="0086464C"/>
    <w:rsid w:val="008653A5"/>
    <w:rsid w:val="00866413"/>
    <w:rsid w:val="00867718"/>
    <w:rsid w:val="00867B9D"/>
    <w:rsid w:val="008712E6"/>
    <w:rsid w:val="008724A1"/>
    <w:rsid w:val="008749CD"/>
    <w:rsid w:val="00874DB0"/>
    <w:rsid w:val="008750D9"/>
    <w:rsid w:val="0087511D"/>
    <w:rsid w:val="0087684E"/>
    <w:rsid w:val="00876E96"/>
    <w:rsid w:val="00877589"/>
    <w:rsid w:val="0087760A"/>
    <w:rsid w:val="00880B66"/>
    <w:rsid w:val="00881475"/>
    <w:rsid w:val="00881693"/>
    <w:rsid w:val="00882D61"/>
    <w:rsid w:val="00883B5F"/>
    <w:rsid w:val="00883BD6"/>
    <w:rsid w:val="00883F9B"/>
    <w:rsid w:val="008843BB"/>
    <w:rsid w:val="00884D9E"/>
    <w:rsid w:val="008850A4"/>
    <w:rsid w:val="00885321"/>
    <w:rsid w:val="008853F3"/>
    <w:rsid w:val="0089006F"/>
    <w:rsid w:val="00891811"/>
    <w:rsid w:val="0089183C"/>
    <w:rsid w:val="00891E1D"/>
    <w:rsid w:val="0089221B"/>
    <w:rsid w:val="00893575"/>
    <w:rsid w:val="00893FEB"/>
    <w:rsid w:val="0089400B"/>
    <w:rsid w:val="0089488E"/>
    <w:rsid w:val="008954B6"/>
    <w:rsid w:val="00895720"/>
    <w:rsid w:val="00895C05"/>
    <w:rsid w:val="00896019"/>
    <w:rsid w:val="008963C8"/>
    <w:rsid w:val="00896888"/>
    <w:rsid w:val="00896D75"/>
    <w:rsid w:val="0089737B"/>
    <w:rsid w:val="0089742A"/>
    <w:rsid w:val="008A0333"/>
    <w:rsid w:val="008A0A0B"/>
    <w:rsid w:val="008A1352"/>
    <w:rsid w:val="008A1F84"/>
    <w:rsid w:val="008A2A7D"/>
    <w:rsid w:val="008A2AE6"/>
    <w:rsid w:val="008A379A"/>
    <w:rsid w:val="008A4127"/>
    <w:rsid w:val="008A4533"/>
    <w:rsid w:val="008A4986"/>
    <w:rsid w:val="008A4A9B"/>
    <w:rsid w:val="008A4FC3"/>
    <w:rsid w:val="008A552F"/>
    <w:rsid w:val="008A677D"/>
    <w:rsid w:val="008A7077"/>
    <w:rsid w:val="008A71A3"/>
    <w:rsid w:val="008A731F"/>
    <w:rsid w:val="008A774F"/>
    <w:rsid w:val="008B065C"/>
    <w:rsid w:val="008B0978"/>
    <w:rsid w:val="008B1BD1"/>
    <w:rsid w:val="008B1F33"/>
    <w:rsid w:val="008B2721"/>
    <w:rsid w:val="008B2E73"/>
    <w:rsid w:val="008B5C50"/>
    <w:rsid w:val="008B64DA"/>
    <w:rsid w:val="008B7206"/>
    <w:rsid w:val="008C05B9"/>
    <w:rsid w:val="008C116F"/>
    <w:rsid w:val="008C18A2"/>
    <w:rsid w:val="008C3834"/>
    <w:rsid w:val="008C538A"/>
    <w:rsid w:val="008C5EE7"/>
    <w:rsid w:val="008C66A0"/>
    <w:rsid w:val="008C6EC1"/>
    <w:rsid w:val="008C7243"/>
    <w:rsid w:val="008C7F06"/>
    <w:rsid w:val="008D07C2"/>
    <w:rsid w:val="008D0D25"/>
    <w:rsid w:val="008D0D51"/>
    <w:rsid w:val="008D170A"/>
    <w:rsid w:val="008D1A90"/>
    <w:rsid w:val="008D250F"/>
    <w:rsid w:val="008D258F"/>
    <w:rsid w:val="008D3A9B"/>
    <w:rsid w:val="008D4459"/>
    <w:rsid w:val="008D4905"/>
    <w:rsid w:val="008D499E"/>
    <w:rsid w:val="008D618F"/>
    <w:rsid w:val="008D7007"/>
    <w:rsid w:val="008D7892"/>
    <w:rsid w:val="008D7CEA"/>
    <w:rsid w:val="008E0903"/>
    <w:rsid w:val="008E0AE9"/>
    <w:rsid w:val="008E12BA"/>
    <w:rsid w:val="008E16D8"/>
    <w:rsid w:val="008E1A23"/>
    <w:rsid w:val="008E1AE0"/>
    <w:rsid w:val="008E1D82"/>
    <w:rsid w:val="008E2491"/>
    <w:rsid w:val="008E25B6"/>
    <w:rsid w:val="008E3387"/>
    <w:rsid w:val="008E3395"/>
    <w:rsid w:val="008E38FF"/>
    <w:rsid w:val="008E4442"/>
    <w:rsid w:val="008E5BB2"/>
    <w:rsid w:val="008E743B"/>
    <w:rsid w:val="008E7464"/>
    <w:rsid w:val="008F02C3"/>
    <w:rsid w:val="008F05D1"/>
    <w:rsid w:val="008F109A"/>
    <w:rsid w:val="008F1833"/>
    <w:rsid w:val="008F1BBB"/>
    <w:rsid w:val="008F20A6"/>
    <w:rsid w:val="008F24E3"/>
    <w:rsid w:val="008F287B"/>
    <w:rsid w:val="008F4842"/>
    <w:rsid w:val="008F4B50"/>
    <w:rsid w:val="008F5629"/>
    <w:rsid w:val="008F60B6"/>
    <w:rsid w:val="008F6632"/>
    <w:rsid w:val="008F7EBA"/>
    <w:rsid w:val="009002CD"/>
    <w:rsid w:val="009005FF"/>
    <w:rsid w:val="00902336"/>
    <w:rsid w:val="00902B18"/>
    <w:rsid w:val="00903FC7"/>
    <w:rsid w:val="0090461E"/>
    <w:rsid w:val="009048F3"/>
    <w:rsid w:val="00905074"/>
    <w:rsid w:val="00906E10"/>
    <w:rsid w:val="009070B2"/>
    <w:rsid w:val="009073FB"/>
    <w:rsid w:val="00907B6A"/>
    <w:rsid w:val="00907CBF"/>
    <w:rsid w:val="00910090"/>
    <w:rsid w:val="00910AD4"/>
    <w:rsid w:val="00911EB2"/>
    <w:rsid w:val="00912048"/>
    <w:rsid w:val="0091209E"/>
    <w:rsid w:val="009135A7"/>
    <w:rsid w:val="0091463E"/>
    <w:rsid w:val="00915BCF"/>
    <w:rsid w:val="00916D00"/>
    <w:rsid w:val="0091755D"/>
    <w:rsid w:val="00920338"/>
    <w:rsid w:val="00920DD8"/>
    <w:rsid w:val="00921B8A"/>
    <w:rsid w:val="0092209D"/>
    <w:rsid w:val="00922A0A"/>
    <w:rsid w:val="00924257"/>
    <w:rsid w:val="0092471F"/>
    <w:rsid w:val="00924F58"/>
    <w:rsid w:val="009256C3"/>
    <w:rsid w:val="00925AD0"/>
    <w:rsid w:val="00926A91"/>
    <w:rsid w:val="009303C6"/>
    <w:rsid w:val="009312DC"/>
    <w:rsid w:val="00931DA8"/>
    <w:rsid w:val="00932110"/>
    <w:rsid w:val="00932D3A"/>
    <w:rsid w:val="00932FB7"/>
    <w:rsid w:val="009330C5"/>
    <w:rsid w:val="009334CD"/>
    <w:rsid w:val="009344F3"/>
    <w:rsid w:val="009352C7"/>
    <w:rsid w:val="009353BA"/>
    <w:rsid w:val="00935817"/>
    <w:rsid w:val="009358C6"/>
    <w:rsid w:val="009361DE"/>
    <w:rsid w:val="00936792"/>
    <w:rsid w:val="0093712E"/>
    <w:rsid w:val="009371E7"/>
    <w:rsid w:val="009376A9"/>
    <w:rsid w:val="00937BBC"/>
    <w:rsid w:val="00940FEF"/>
    <w:rsid w:val="009414DC"/>
    <w:rsid w:val="00942EF0"/>
    <w:rsid w:val="0094336F"/>
    <w:rsid w:val="009438F6"/>
    <w:rsid w:val="00943FAF"/>
    <w:rsid w:val="00944B7E"/>
    <w:rsid w:val="009453FA"/>
    <w:rsid w:val="00945BA7"/>
    <w:rsid w:val="0094602E"/>
    <w:rsid w:val="00946518"/>
    <w:rsid w:val="0094704B"/>
    <w:rsid w:val="009477EB"/>
    <w:rsid w:val="009504C8"/>
    <w:rsid w:val="009506CE"/>
    <w:rsid w:val="00951563"/>
    <w:rsid w:val="00951721"/>
    <w:rsid w:val="009525F2"/>
    <w:rsid w:val="00954D68"/>
    <w:rsid w:val="00954F48"/>
    <w:rsid w:val="00954F76"/>
    <w:rsid w:val="00955FF9"/>
    <w:rsid w:val="00956215"/>
    <w:rsid w:val="00956699"/>
    <w:rsid w:val="00956FD5"/>
    <w:rsid w:val="00957259"/>
    <w:rsid w:val="009579EB"/>
    <w:rsid w:val="00957E3A"/>
    <w:rsid w:val="009601CD"/>
    <w:rsid w:val="0096096B"/>
    <w:rsid w:val="00961DF4"/>
    <w:rsid w:val="009622FF"/>
    <w:rsid w:val="00962CFF"/>
    <w:rsid w:val="00963FA9"/>
    <w:rsid w:val="00964D1B"/>
    <w:rsid w:val="009652EC"/>
    <w:rsid w:val="00965872"/>
    <w:rsid w:val="00965945"/>
    <w:rsid w:val="00966476"/>
    <w:rsid w:val="009665CE"/>
    <w:rsid w:val="009701FE"/>
    <w:rsid w:val="0097062D"/>
    <w:rsid w:val="00971DDF"/>
    <w:rsid w:val="00972D0B"/>
    <w:rsid w:val="0097333B"/>
    <w:rsid w:val="009733C6"/>
    <w:rsid w:val="00973D14"/>
    <w:rsid w:val="0097592D"/>
    <w:rsid w:val="00977A84"/>
    <w:rsid w:val="00977F30"/>
    <w:rsid w:val="009800D6"/>
    <w:rsid w:val="00980EAD"/>
    <w:rsid w:val="00980FEF"/>
    <w:rsid w:val="00981C5A"/>
    <w:rsid w:val="009821C1"/>
    <w:rsid w:val="009851F6"/>
    <w:rsid w:val="00985434"/>
    <w:rsid w:val="00985578"/>
    <w:rsid w:val="00985FB3"/>
    <w:rsid w:val="0098663B"/>
    <w:rsid w:val="00986728"/>
    <w:rsid w:val="00986B93"/>
    <w:rsid w:val="009903C4"/>
    <w:rsid w:val="00990FB6"/>
    <w:rsid w:val="00991260"/>
    <w:rsid w:val="00991BC0"/>
    <w:rsid w:val="0099399D"/>
    <w:rsid w:val="00994EBB"/>
    <w:rsid w:val="00994FE9"/>
    <w:rsid w:val="00997329"/>
    <w:rsid w:val="00997E2F"/>
    <w:rsid w:val="00997F6F"/>
    <w:rsid w:val="009A03D1"/>
    <w:rsid w:val="009A0402"/>
    <w:rsid w:val="009A1732"/>
    <w:rsid w:val="009A27F2"/>
    <w:rsid w:val="009A2956"/>
    <w:rsid w:val="009A3152"/>
    <w:rsid w:val="009A36C9"/>
    <w:rsid w:val="009A3D9F"/>
    <w:rsid w:val="009A3DAE"/>
    <w:rsid w:val="009A460A"/>
    <w:rsid w:val="009A6126"/>
    <w:rsid w:val="009A7014"/>
    <w:rsid w:val="009A7300"/>
    <w:rsid w:val="009B0593"/>
    <w:rsid w:val="009B0B5B"/>
    <w:rsid w:val="009B1B97"/>
    <w:rsid w:val="009B2200"/>
    <w:rsid w:val="009B2323"/>
    <w:rsid w:val="009B2566"/>
    <w:rsid w:val="009B2B57"/>
    <w:rsid w:val="009B2B83"/>
    <w:rsid w:val="009B3709"/>
    <w:rsid w:val="009B38FF"/>
    <w:rsid w:val="009B3A7B"/>
    <w:rsid w:val="009B50E8"/>
    <w:rsid w:val="009B5296"/>
    <w:rsid w:val="009B668A"/>
    <w:rsid w:val="009B6783"/>
    <w:rsid w:val="009B6BFE"/>
    <w:rsid w:val="009B6C6E"/>
    <w:rsid w:val="009B6C7F"/>
    <w:rsid w:val="009B7871"/>
    <w:rsid w:val="009C0CA8"/>
    <w:rsid w:val="009C17D7"/>
    <w:rsid w:val="009C19A1"/>
    <w:rsid w:val="009C21FE"/>
    <w:rsid w:val="009C2555"/>
    <w:rsid w:val="009C2906"/>
    <w:rsid w:val="009C4318"/>
    <w:rsid w:val="009C4A80"/>
    <w:rsid w:val="009C5942"/>
    <w:rsid w:val="009C594C"/>
    <w:rsid w:val="009C612E"/>
    <w:rsid w:val="009C6350"/>
    <w:rsid w:val="009C6DC9"/>
    <w:rsid w:val="009C6F45"/>
    <w:rsid w:val="009C6FAC"/>
    <w:rsid w:val="009C7451"/>
    <w:rsid w:val="009C7552"/>
    <w:rsid w:val="009C7749"/>
    <w:rsid w:val="009D0025"/>
    <w:rsid w:val="009D06F9"/>
    <w:rsid w:val="009D283D"/>
    <w:rsid w:val="009D30FC"/>
    <w:rsid w:val="009D37DC"/>
    <w:rsid w:val="009D4DCE"/>
    <w:rsid w:val="009D5C36"/>
    <w:rsid w:val="009D6B1D"/>
    <w:rsid w:val="009D7C4A"/>
    <w:rsid w:val="009E033B"/>
    <w:rsid w:val="009E093C"/>
    <w:rsid w:val="009E11A0"/>
    <w:rsid w:val="009E13D3"/>
    <w:rsid w:val="009E2025"/>
    <w:rsid w:val="009E27B4"/>
    <w:rsid w:val="009E2FA4"/>
    <w:rsid w:val="009E4718"/>
    <w:rsid w:val="009E4790"/>
    <w:rsid w:val="009E4854"/>
    <w:rsid w:val="009E48AB"/>
    <w:rsid w:val="009E49BD"/>
    <w:rsid w:val="009E4F52"/>
    <w:rsid w:val="009E6A3C"/>
    <w:rsid w:val="009E754F"/>
    <w:rsid w:val="009E7672"/>
    <w:rsid w:val="009F02E2"/>
    <w:rsid w:val="009F0F05"/>
    <w:rsid w:val="009F0FF3"/>
    <w:rsid w:val="009F1660"/>
    <w:rsid w:val="009F16C8"/>
    <w:rsid w:val="009F1927"/>
    <w:rsid w:val="009F1D79"/>
    <w:rsid w:val="009F234F"/>
    <w:rsid w:val="009F41E7"/>
    <w:rsid w:val="009F439F"/>
    <w:rsid w:val="009F4BF5"/>
    <w:rsid w:val="009F4E32"/>
    <w:rsid w:val="009F546C"/>
    <w:rsid w:val="009F5629"/>
    <w:rsid w:val="009F6174"/>
    <w:rsid w:val="009F6EA5"/>
    <w:rsid w:val="009F725F"/>
    <w:rsid w:val="00A0064F"/>
    <w:rsid w:val="00A00FF7"/>
    <w:rsid w:val="00A01262"/>
    <w:rsid w:val="00A0129E"/>
    <w:rsid w:val="00A01ACA"/>
    <w:rsid w:val="00A0378C"/>
    <w:rsid w:val="00A05722"/>
    <w:rsid w:val="00A0601A"/>
    <w:rsid w:val="00A06387"/>
    <w:rsid w:val="00A0752D"/>
    <w:rsid w:val="00A10031"/>
    <w:rsid w:val="00A10C14"/>
    <w:rsid w:val="00A110F1"/>
    <w:rsid w:val="00A126EB"/>
    <w:rsid w:val="00A132BA"/>
    <w:rsid w:val="00A13485"/>
    <w:rsid w:val="00A14CA1"/>
    <w:rsid w:val="00A15AF9"/>
    <w:rsid w:val="00A16B10"/>
    <w:rsid w:val="00A17EA1"/>
    <w:rsid w:val="00A2043F"/>
    <w:rsid w:val="00A20997"/>
    <w:rsid w:val="00A20CA7"/>
    <w:rsid w:val="00A21A2D"/>
    <w:rsid w:val="00A221FA"/>
    <w:rsid w:val="00A23B88"/>
    <w:rsid w:val="00A2473C"/>
    <w:rsid w:val="00A247E4"/>
    <w:rsid w:val="00A24839"/>
    <w:rsid w:val="00A25359"/>
    <w:rsid w:val="00A25870"/>
    <w:rsid w:val="00A25CDF"/>
    <w:rsid w:val="00A26432"/>
    <w:rsid w:val="00A26558"/>
    <w:rsid w:val="00A27AC6"/>
    <w:rsid w:val="00A304E4"/>
    <w:rsid w:val="00A307BA"/>
    <w:rsid w:val="00A313D5"/>
    <w:rsid w:val="00A318FA"/>
    <w:rsid w:val="00A3367E"/>
    <w:rsid w:val="00A33C55"/>
    <w:rsid w:val="00A34572"/>
    <w:rsid w:val="00A34683"/>
    <w:rsid w:val="00A35301"/>
    <w:rsid w:val="00A35726"/>
    <w:rsid w:val="00A359DC"/>
    <w:rsid w:val="00A36FDB"/>
    <w:rsid w:val="00A37EAD"/>
    <w:rsid w:val="00A40065"/>
    <w:rsid w:val="00A420E9"/>
    <w:rsid w:val="00A4294E"/>
    <w:rsid w:val="00A445BE"/>
    <w:rsid w:val="00A44AF2"/>
    <w:rsid w:val="00A45D5D"/>
    <w:rsid w:val="00A4617E"/>
    <w:rsid w:val="00A47FDE"/>
    <w:rsid w:val="00A50A87"/>
    <w:rsid w:val="00A50C92"/>
    <w:rsid w:val="00A51E2D"/>
    <w:rsid w:val="00A52188"/>
    <w:rsid w:val="00A52325"/>
    <w:rsid w:val="00A5402C"/>
    <w:rsid w:val="00A54901"/>
    <w:rsid w:val="00A56D2D"/>
    <w:rsid w:val="00A56D83"/>
    <w:rsid w:val="00A56F69"/>
    <w:rsid w:val="00A57516"/>
    <w:rsid w:val="00A615C7"/>
    <w:rsid w:val="00A61CD2"/>
    <w:rsid w:val="00A62433"/>
    <w:rsid w:val="00A6573F"/>
    <w:rsid w:val="00A65FD8"/>
    <w:rsid w:val="00A66020"/>
    <w:rsid w:val="00A662A1"/>
    <w:rsid w:val="00A663AC"/>
    <w:rsid w:val="00A66F20"/>
    <w:rsid w:val="00A672EE"/>
    <w:rsid w:val="00A67672"/>
    <w:rsid w:val="00A676A4"/>
    <w:rsid w:val="00A67C57"/>
    <w:rsid w:val="00A67DBF"/>
    <w:rsid w:val="00A70464"/>
    <w:rsid w:val="00A707E2"/>
    <w:rsid w:val="00A70E45"/>
    <w:rsid w:val="00A72DC8"/>
    <w:rsid w:val="00A755CA"/>
    <w:rsid w:val="00A763AF"/>
    <w:rsid w:val="00A76634"/>
    <w:rsid w:val="00A76898"/>
    <w:rsid w:val="00A76F8F"/>
    <w:rsid w:val="00A77ADF"/>
    <w:rsid w:val="00A77EB9"/>
    <w:rsid w:val="00A81133"/>
    <w:rsid w:val="00A819D5"/>
    <w:rsid w:val="00A81A81"/>
    <w:rsid w:val="00A82016"/>
    <w:rsid w:val="00A82898"/>
    <w:rsid w:val="00A84216"/>
    <w:rsid w:val="00A84727"/>
    <w:rsid w:val="00A84B8B"/>
    <w:rsid w:val="00A84C9A"/>
    <w:rsid w:val="00A84F86"/>
    <w:rsid w:val="00A85CFB"/>
    <w:rsid w:val="00A905C2"/>
    <w:rsid w:val="00A91BAB"/>
    <w:rsid w:val="00A931FC"/>
    <w:rsid w:val="00A935F8"/>
    <w:rsid w:val="00A93BF7"/>
    <w:rsid w:val="00A93EB6"/>
    <w:rsid w:val="00A94598"/>
    <w:rsid w:val="00A950CC"/>
    <w:rsid w:val="00A95634"/>
    <w:rsid w:val="00A95D36"/>
    <w:rsid w:val="00A96BBF"/>
    <w:rsid w:val="00A971EA"/>
    <w:rsid w:val="00AA11C3"/>
    <w:rsid w:val="00AA344E"/>
    <w:rsid w:val="00AA4BA6"/>
    <w:rsid w:val="00AA539D"/>
    <w:rsid w:val="00AA584B"/>
    <w:rsid w:val="00AA589C"/>
    <w:rsid w:val="00AA6324"/>
    <w:rsid w:val="00AA73EC"/>
    <w:rsid w:val="00AB0436"/>
    <w:rsid w:val="00AB0466"/>
    <w:rsid w:val="00AB14AC"/>
    <w:rsid w:val="00AB14CC"/>
    <w:rsid w:val="00AB1F1C"/>
    <w:rsid w:val="00AB3777"/>
    <w:rsid w:val="00AB3819"/>
    <w:rsid w:val="00AB532E"/>
    <w:rsid w:val="00AB5980"/>
    <w:rsid w:val="00AB637D"/>
    <w:rsid w:val="00AB65C3"/>
    <w:rsid w:val="00AB6735"/>
    <w:rsid w:val="00AB682E"/>
    <w:rsid w:val="00AB6ADC"/>
    <w:rsid w:val="00AB754A"/>
    <w:rsid w:val="00AB7553"/>
    <w:rsid w:val="00AB7754"/>
    <w:rsid w:val="00AC1E3A"/>
    <w:rsid w:val="00AC1F80"/>
    <w:rsid w:val="00AC2AA9"/>
    <w:rsid w:val="00AC37DC"/>
    <w:rsid w:val="00AC3CB5"/>
    <w:rsid w:val="00AC3E10"/>
    <w:rsid w:val="00AC44B8"/>
    <w:rsid w:val="00AC4CDD"/>
    <w:rsid w:val="00AC58C5"/>
    <w:rsid w:val="00AC5A3A"/>
    <w:rsid w:val="00AC5D29"/>
    <w:rsid w:val="00AC5D33"/>
    <w:rsid w:val="00AC5DED"/>
    <w:rsid w:val="00AC5FED"/>
    <w:rsid w:val="00AD0728"/>
    <w:rsid w:val="00AD1701"/>
    <w:rsid w:val="00AD53DF"/>
    <w:rsid w:val="00AD5461"/>
    <w:rsid w:val="00AD550E"/>
    <w:rsid w:val="00AD5EF8"/>
    <w:rsid w:val="00AD6C0A"/>
    <w:rsid w:val="00AD6C17"/>
    <w:rsid w:val="00AD7949"/>
    <w:rsid w:val="00AD7E21"/>
    <w:rsid w:val="00AD7ECA"/>
    <w:rsid w:val="00AE05CE"/>
    <w:rsid w:val="00AE0ACC"/>
    <w:rsid w:val="00AE0E95"/>
    <w:rsid w:val="00AE1943"/>
    <w:rsid w:val="00AE2AF4"/>
    <w:rsid w:val="00AE2F67"/>
    <w:rsid w:val="00AE3176"/>
    <w:rsid w:val="00AE32D3"/>
    <w:rsid w:val="00AE3DBB"/>
    <w:rsid w:val="00AE4A33"/>
    <w:rsid w:val="00AE4AE1"/>
    <w:rsid w:val="00AE5515"/>
    <w:rsid w:val="00AE6599"/>
    <w:rsid w:val="00AE6CF5"/>
    <w:rsid w:val="00AE7F1F"/>
    <w:rsid w:val="00AF0D0A"/>
    <w:rsid w:val="00AF2973"/>
    <w:rsid w:val="00AF2FA3"/>
    <w:rsid w:val="00AF46AA"/>
    <w:rsid w:val="00AF49D1"/>
    <w:rsid w:val="00AF60A4"/>
    <w:rsid w:val="00AF713A"/>
    <w:rsid w:val="00AF72C9"/>
    <w:rsid w:val="00AF7EA6"/>
    <w:rsid w:val="00B0089C"/>
    <w:rsid w:val="00B00E74"/>
    <w:rsid w:val="00B03268"/>
    <w:rsid w:val="00B03969"/>
    <w:rsid w:val="00B05E78"/>
    <w:rsid w:val="00B068BE"/>
    <w:rsid w:val="00B06C3F"/>
    <w:rsid w:val="00B07EC1"/>
    <w:rsid w:val="00B12A0F"/>
    <w:rsid w:val="00B13773"/>
    <w:rsid w:val="00B13D59"/>
    <w:rsid w:val="00B14B92"/>
    <w:rsid w:val="00B15008"/>
    <w:rsid w:val="00B1569B"/>
    <w:rsid w:val="00B15D17"/>
    <w:rsid w:val="00B15FBB"/>
    <w:rsid w:val="00B170D7"/>
    <w:rsid w:val="00B17210"/>
    <w:rsid w:val="00B20474"/>
    <w:rsid w:val="00B207FB"/>
    <w:rsid w:val="00B22623"/>
    <w:rsid w:val="00B22CD4"/>
    <w:rsid w:val="00B2318F"/>
    <w:rsid w:val="00B232CB"/>
    <w:rsid w:val="00B23332"/>
    <w:rsid w:val="00B23BDB"/>
    <w:rsid w:val="00B242F8"/>
    <w:rsid w:val="00B276FE"/>
    <w:rsid w:val="00B32E9A"/>
    <w:rsid w:val="00B33F53"/>
    <w:rsid w:val="00B34746"/>
    <w:rsid w:val="00B34767"/>
    <w:rsid w:val="00B34A49"/>
    <w:rsid w:val="00B35478"/>
    <w:rsid w:val="00B35974"/>
    <w:rsid w:val="00B3611E"/>
    <w:rsid w:val="00B36C3F"/>
    <w:rsid w:val="00B404C3"/>
    <w:rsid w:val="00B40D58"/>
    <w:rsid w:val="00B44918"/>
    <w:rsid w:val="00B46C83"/>
    <w:rsid w:val="00B52921"/>
    <w:rsid w:val="00B5296F"/>
    <w:rsid w:val="00B52DF4"/>
    <w:rsid w:val="00B530A1"/>
    <w:rsid w:val="00B532F6"/>
    <w:rsid w:val="00B53CC8"/>
    <w:rsid w:val="00B540BC"/>
    <w:rsid w:val="00B54163"/>
    <w:rsid w:val="00B54A72"/>
    <w:rsid w:val="00B55AFC"/>
    <w:rsid w:val="00B571BC"/>
    <w:rsid w:val="00B571D6"/>
    <w:rsid w:val="00B5724A"/>
    <w:rsid w:val="00B572BA"/>
    <w:rsid w:val="00B5776F"/>
    <w:rsid w:val="00B61790"/>
    <w:rsid w:val="00B63DAD"/>
    <w:rsid w:val="00B64E48"/>
    <w:rsid w:val="00B65738"/>
    <w:rsid w:val="00B67614"/>
    <w:rsid w:val="00B67ABF"/>
    <w:rsid w:val="00B70B06"/>
    <w:rsid w:val="00B71A6D"/>
    <w:rsid w:val="00B73017"/>
    <w:rsid w:val="00B73B03"/>
    <w:rsid w:val="00B743EC"/>
    <w:rsid w:val="00B75613"/>
    <w:rsid w:val="00B75685"/>
    <w:rsid w:val="00B7577F"/>
    <w:rsid w:val="00B7693D"/>
    <w:rsid w:val="00B77073"/>
    <w:rsid w:val="00B77E9E"/>
    <w:rsid w:val="00B80B7F"/>
    <w:rsid w:val="00B81EBD"/>
    <w:rsid w:val="00B82297"/>
    <w:rsid w:val="00B82986"/>
    <w:rsid w:val="00B82AF0"/>
    <w:rsid w:val="00B8368A"/>
    <w:rsid w:val="00B83C64"/>
    <w:rsid w:val="00B83DEF"/>
    <w:rsid w:val="00B8435D"/>
    <w:rsid w:val="00B8457C"/>
    <w:rsid w:val="00B85B57"/>
    <w:rsid w:val="00B85F14"/>
    <w:rsid w:val="00B86628"/>
    <w:rsid w:val="00B877B2"/>
    <w:rsid w:val="00B87D79"/>
    <w:rsid w:val="00B9006C"/>
    <w:rsid w:val="00B90800"/>
    <w:rsid w:val="00B9138D"/>
    <w:rsid w:val="00B921CF"/>
    <w:rsid w:val="00B927E4"/>
    <w:rsid w:val="00B92F73"/>
    <w:rsid w:val="00B94F72"/>
    <w:rsid w:val="00B9560C"/>
    <w:rsid w:val="00B95B05"/>
    <w:rsid w:val="00B96918"/>
    <w:rsid w:val="00B96B6D"/>
    <w:rsid w:val="00B973D2"/>
    <w:rsid w:val="00B97A1B"/>
    <w:rsid w:val="00B97A5F"/>
    <w:rsid w:val="00BA2BFB"/>
    <w:rsid w:val="00BA2C39"/>
    <w:rsid w:val="00BA3C9D"/>
    <w:rsid w:val="00BA3CDE"/>
    <w:rsid w:val="00BA46B9"/>
    <w:rsid w:val="00BA51CC"/>
    <w:rsid w:val="00BA592A"/>
    <w:rsid w:val="00BA59D3"/>
    <w:rsid w:val="00BA6717"/>
    <w:rsid w:val="00BA6D04"/>
    <w:rsid w:val="00BA7C2E"/>
    <w:rsid w:val="00BB04B0"/>
    <w:rsid w:val="00BB145E"/>
    <w:rsid w:val="00BB3D8E"/>
    <w:rsid w:val="00BB43DD"/>
    <w:rsid w:val="00BB45E5"/>
    <w:rsid w:val="00BB49C5"/>
    <w:rsid w:val="00BB5B4E"/>
    <w:rsid w:val="00BB73D4"/>
    <w:rsid w:val="00BC0732"/>
    <w:rsid w:val="00BC0D37"/>
    <w:rsid w:val="00BC17B3"/>
    <w:rsid w:val="00BC204B"/>
    <w:rsid w:val="00BC2A27"/>
    <w:rsid w:val="00BC38B6"/>
    <w:rsid w:val="00BC3D08"/>
    <w:rsid w:val="00BC3D44"/>
    <w:rsid w:val="00BC4628"/>
    <w:rsid w:val="00BC4752"/>
    <w:rsid w:val="00BC4C9B"/>
    <w:rsid w:val="00BC5936"/>
    <w:rsid w:val="00BC5DCB"/>
    <w:rsid w:val="00BC649D"/>
    <w:rsid w:val="00BC64C2"/>
    <w:rsid w:val="00BC70A3"/>
    <w:rsid w:val="00BC70F8"/>
    <w:rsid w:val="00BC7264"/>
    <w:rsid w:val="00BD1702"/>
    <w:rsid w:val="00BD2431"/>
    <w:rsid w:val="00BD263B"/>
    <w:rsid w:val="00BD31D3"/>
    <w:rsid w:val="00BD3AC0"/>
    <w:rsid w:val="00BD3C3D"/>
    <w:rsid w:val="00BD3FE4"/>
    <w:rsid w:val="00BD3FE6"/>
    <w:rsid w:val="00BD4978"/>
    <w:rsid w:val="00BD4E9A"/>
    <w:rsid w:val="00BD564D"/>
    <w:rsid w:val="00BD70DD"/>
    <w:rsid w:val="00BD7394"/>
    <w:rsid w:val="00BD7B94"/>
    <w:rsid w:val="00BD7C29"/>
    <w:rsid w:val="00BE0BB3"/>
    <w:rsid w:val="00BE2264"/>
    <w:rsid w:val="00BE2C12"/>
    <w:rsid w:val="00BE2EF9"/>
    <w:rsid w:val="00BE44CB"/>
    <w:rsid w:val="00BE4CD4"/>
    <w:rsid w:val="00BE5492"/>
    <w:rsid w:val="00BE5B68"/>
    <w:rsid w:val="00BE6877"/>
    <w:rsid w:val="00BE6A72"/>
    <w:rsid w:val="00BE6E82"/>
    <w:rsid w:val="00BE7AC1"/>
    <w:rsid w:val="00BF131C"/>
    <w:rsid w:val="00BF13E7"/>
    <w:rsid w:val="00BF1D89"/>
    <w:rsid w:val="00BF3437"/>
    <w:rsid w:val="00BF3522"/>
    <w:rsid w:val="00BF4219"/>
    <w:rsid w:val="00BF4DDE"/>
    <w:rsid w:val="00BF588C"/>
    <w:rsid w:val="00BF6110"/>
    <w:rsid w:val="00BF6824"/>
    <w:rsid w:val="00BF6F6C"/>
    <w:rsid w:val="00BF78AE"/>
    <w:rsid w:val="00C0038F"/>
    <w:rsid w:val="00C00A2F"/>
    <w:rsid w:val="00C01200"/>
    <w:rsid w:val="00C01718"/>
    <w:rsid w:val="00C01A1F"/>
    <w:rsid w:val="00C02A64"/>
    <w:rsid w:val="00C02BB1"/>
    <w:rsid w:val="00C03046"/>
    <w:rsid w:val="00C032D6"/>
    <w:rsid w:val="00C0412C"/>
    <w:rsid w:val="00C0427B"/>
    <w:rsid w:val="00C049AD"/>
    <w:rsid w:val="00C063AC"/>
    <w:rsid w:val="00C0703E"/>
    <w:rsid w:val="00C07DAE"/>
    <w:rsid w:val="00C07F42"/>
    <w:rsid w:val="00C113D5"/>
    <w:rsid w:val="00C1151D"/>
    <w:rsid w:val="00C115E0"/>
    <w:rsid w:val="00C11ACF"/>
    <w:rsid w:val="00C12BB0"/>
    <w:rsid w:val="00C134B7"/>
    <w:rsid w:val="00C137EF"/>
    <w:rsid w:val="00C143F8"/>
    <w:rsid w:val="00C14B11"/>
    <w:rsid w:val="00C16AA1"/>
    <w:rsid w:val="00C16DC8"/>
    <w:rsid w:val="00C16DE2"/>
    <w:rsid w:val="00C17A9D"/>
    <w:rsid w:val="00C20E41"/>
    <w:rsid w:val="00C2103A"/>
    <w:rsid w:val="00C2217B"/>
    <w:rsid w:val="00C222A8"/>
    <w:rsid w:val="00C222F4"/>
    <w:rsid w:val="00C2230E"/>
    <w:rsid w:val="00C22EBB"/>
    <w:rsid w:val="00C235E8"/>
    <w:rsid w:val="00C23DCB"/>
    <w:rsid w:val="00C23EAA"/>
    <w:rsid w:val="00C24A79"/>
    <w:rsid w:val="00C24BBC"/>
    <w:rsid w:val="00C26E25"/>
    <w:rsid w:val="00C2714E"/>
    <w:rsid w:val="00C27853"/>
    <w:rsid w:val="00C279AC"/>
    <w:rsid w:val="00C27E37"/>
    <w:rsid w:val="00C30293"/>
    <w:rsid w:val="00C305D0"/>
    <w:rsid w:val="00C30ADD"/>
    <w:rsid w:val="00C32834"/>
    <w:rsid w:val="00C32C23"/>
    <w:rsid w:val="00C337ED"/>
    <w:rsid w:val="00C34177"/>
    <w:rsid w:val="00C342C1"/>
    <w:rsid w:val="00C35503"/>
    <w:rsid w:val="00C35636"/>
    <w:rsid w:val="00C36635"/>
    <w:rsid w:val="00C37020"/>
    <w:rsid w:val="00C37677"/>
    <w:rsid w:val="00C37775"/>
    <w:rsid w:val="00C42282"/>
    <w:rsid w:val="00C4249D"/>
    <w:rsid w:val="00C437E2"/>
    <w:rsid w:val="00C4400E"/>
    <w:rsid w:val="00C443C1"/>
    <w:rsid w:val="00C466BB"/>
    <w:rsid w:val="00C4674F"/>
    <w:rsid w:val="00C47166"/>
    <w:rsid w:val="00C471D1"/>
    <w:rsid w:val="00C47507"/>
    <w:rsid w:val="00C47C1F"/>
    <w:rsid w:val="00C5039F"/>
    <w:rsid w:val="00C50CC7"/>
    <w:rsid w:val="00C510D7"/>
    <w:rsid w:val="00C519F1"/>
    <w:rsid w:val="00C52D60"/>
    <w:rsid w:val="00C53301"/>
    <w:rsid w:val="00C5485C"/>
    <w:rsid w:val="00C54866"/>
    <w:rsid w:val="00C568F9"/>
    <w:rsid w:val="00C56FC8"/>
    <w:rsid w:val="00C60483"/>
    <w:rsid w:val="00C60EC1"/>
    <w:rsid w:val="00C61041"/>
    <w:rsid w:val="00C6187D"/>
    <w:rsid w:val="00C61FBA"/>
    <w:rsid w:val="00C62457"/>
    <w:rsid w:val="00C62C35"/>
    <w:rsid w:val="00C630E7"/>
    <w:rsid w:val="00C63CEB"/>
    <w:rsid w:val="00C6504D"/>
    <w:rsid w:val="00C6586C"/>
    <w:rsid w:val="00C67090"/>
    <w:rsid w:val="00C67A78"/>
    <w:rsid w:val="00C67B2A"/>
    <w:rsid w:val="00C70FC1"/>
    <w:rsid w:val="00C710A9"/>
    <w:rsid w:val="00C7167A"/>
    <w:rsid w:val="00C7232B"/>
    <w:rsid w:val="00C72475"/>
    <w:rsid w:val="00C72905"/>
    <w:rsid w:val="00C7342A"/>
    <w:rsid w:val="00C74618"/>
    <w:rsid w:val="00C760FE"/>
    <w:rsid w:val="00C7649B"/>
    <w:rsid w:val="00C76965"/>
    <w:rsid w:val="00C76A59"/>
    <w:rsid w:val="00C76B17"/>
    <w:rsid w:val="00C8032B"/>
    <w:rsid w:val="00C80464"/>
    <w:rsid w:val="00C812C2"/>
    <w:rsid w:val="00C81642"/>
    <w:rsid w:val="00C81D01"/>
    <w:rsid w:val="00C825BD"/>
    <w:rsid w:val="00C82A49"/>
    <w:rsid w:val="00C833FD"/>
    <w:rsid w:val="00C85F4E"/>
    <w:rsid w:val="00C9355B"/>
    <w:rsid w:val="00C93B37"/>
    <w:rsid w:val="00C94191"/>
    <w:rsid w:val="00C9473D"/>
    <w:rsid w:val="00C95AF6"/>
    <w:rsid w:val="00C96532"/>
    <w:rsid w:val="00C97A49"/>
    <w:rsid w:val="00CA0115"/>
    <w:rsid w:val="00CA01BF"/>
    <w:rsid w:val="00CA1367"/>
    <w:rsid w:val="00CA14CD"/>
    <w:rsid w:val="00CA2B3F"/>
    <w:rsid w:val="00CA2F82"/>
    <w:rsid w:val="00CA3B7B"/>
    <w:rsid w:val="00CA4477"/>
    <w:rsid w:val="00CA4898"/>
    <w:rsid w:val="00CA57F1"/>
    <w:rsid w:val="00CA73AA"/>
    <w:rsid w:val="00CA7C2F"/>
    <w:rsid w:val="00CB0898"/>
    <w:rsid w:val="00CB0BF3"/>
    <w:rsid w:val="00CB0F04"/>
    <w:rsid w:val="00CB194C"/>
    <w:rsid w:val="00CB4012"/>
    <w:rsid w:val="00CB49A1"/>
    <w:rsid w:val="00CB542E"/>
    <w:rsid w:val="00CB5E21"/>
    <w:rsid w:val="00CB79E4"/>
    <w:rsid w:val="00CC049C"/>
    <w:rsid w:val="00CC165D"/>
    <w:rsid w:val="00CC212B"/>
    <w:rsid w:val="00CC2139"/>
    <w:rsid w:val="00CC2362"/>
    <w:rsid w:val="00CC293C"/>
    <w:rsid w:val="00CC347E"/>
    <w:rsid w:val="00CC37FA"/>
    <w:rsid w:val="00CC3C11"/>
    <w:rsid w:val="00CC56F9"/>
    <w:rsid w:val="00CC770C"/>
    <w:rsid w:val="00CC7E4B"/>
    <w:rsid w:val="00CD02AE"/>
    <w:rsid w:val="00CD1570"/>
    <w:rsid w:val="00CD1833"/>
    <w:rsid w:val="00CD190D"/>
    <w:rsid w:val="00CD1F10"/>
    <w:rsid w:val="00CD2ECE"/>
    <w:rsid w:val="00CD461F"/>
    <w:rsid w:val="00CD4C27"/>
    <w:rsid w:val="00CD4F1A"/>
    <w:rsid w:val="00CD5950"/>
    <w:rsid w:val="00CD6C01"/>
    <w:rsid w:val="00CE10E8"/>
    <w:rsid w:val="00CE14C4"/>
    <w:rsid w:val="00CE27F4"/>
    <w:rsid w:val="00CE4A70"/>
    <w:rsid w:val="00CE5242"/>
    <w:rsid w:val="00CE6795"/>
    <w:rsid w:val="00CE6BF6"/>
    <w:rsid w:val="00CF133C"/>
    <w:rsid w:val="00CF1572"/>
    <w:rsid w:val="00CF19EA"/>
    <w:rsid w:val="00CF4DE5"/>
    <w:rsid w:val="00CF4E72"/>
    <w:rsid w:val="00CF5424"/>
    <w:rsid w:val="00CF5761"/>
    <w:rsid w:val="00CF5DF6"/>
    <w:rsid w:val="00CF5F2B"/>
    <w:rsid w:val="00CF6299"/>
    <w:rsid w:val="00CF6AB5"/>
    <w:rsid w:val="00CF7974"/>
    <w:rsid w:val="00D008F2"/>
    <w:rsid w:val="00D022EF"/>
    <w:rsid w:val="00D03249"/>
    <w:rsid w:val="00D035D9"/>
    <w:rsid w:val="00D0461C"/>
    <w:rsid w:val="00D07E6E"/>
    <w:rsid w:val="00D104F2"/>
    <w:rsid w:val="00D1090F"/>
    <w:rsid w:val="00D10F07"/>
    <w:rsid w:val="00D1140F"/>
    <w:rsid w:val="00D11443"/>
    <w:rsid w:val="00D116D3"/>
    <w:rsid w:val="00D11FBB"/>
    <w:rsid w:val="00D11FFB"/>
    <w:rsid w:val="00D125A2"/>
    <w:rsid w:val="00D161A5"/>
    <w:rsid w:val="00D168B5"/>
    <w:rsid w:val="00D17755"/>
    <w:rsid w:val="00D178B8"/>
    <w:rsid w:val="00D20D16"/>
    <w:rsid w:val="00D22AE9"/>
    <w:rsid w:val="00D25072"/>
    <w:rsid w:val="00D262D0"/>
    <w:rsid w:val="00D27807"/>
    <w:rsid w:val="00D3078F"/>
    <w:rsid w:val="00D3167A"/>
    <w:rsid w:val="00D32102"/>
    <w:rsid w:val="00D33471"/>
    <w:rsid w:val="00D33F96"/>
    <w:rsid w:val="00D364BB"/>
    <w:rsid w:val="00D37834"/>
    <w:rsid w:val="00D43015"/>
    <w:rsid w:val="00D430E2"/>
    <w:rsid w:val="00D4353F"/>
    <w:rsid w:val="00D44294"/>
    <w:rsid w:val="00D443B4"/>
    <w:rsid w:val="00D44956"/>
    <w:rsid w:val="00D45282"/>
    <w:rsid w:val="00D4542A"/>
    <w:rsid w:val="00D46618"/>
    <w:rsid w:val="00D46D41"/>
    <w:rsid w:val="00D46F1E"/>
    <w:rsid w:val="00D476F8"/>
    <w:rsid w:val="00D4774D"/>
    <w:rsid w:val="00D478CB"/>
    <w:rsid w:val="00D47B53"/>
    <w:rsid w:val="00D503B4"/>
    <w:rsid w:val="00D507CB"/>
    <w:rsid w:val="00D50A15"/>
    <w:rsid w:val="00D5141D"/>
    <w:rsid w:val="00D515CA"/>
    <w:rsid w:val="00D517D0"/>
    <w:rsid w:val="00D52961"/>
    <w:rsid w:val="00D5354A"/>
    <w:rsid w:val="00D53A66"/>
    <w:rsid w:val="00D54FD5"/>
    <w:rsid w:val="00D55139"/>
    <w:rsid w:val="00D553CE"/>
    <w:rsid w:val="00D55B6E"/>
    <w:rsid w:val="00D55E63"/>
    <w:rsid w:val="00D57238"/>
    <w:rsid w:val="00D5755F"/>
    <w:rsid w:val="00D57FD2"/>
    <w:rsid w:val="00D60720"/>
    <w:rsid w:val="00D60A72"/>
    <w:rsid w:val="00D610F1"/>
    <w:rsid w:val="00D61A6B"/>
    <w:rsid w:val="00D6205D"/>
    <w:rsid w:val="00D63907"/>
    <w:rsid w:val="00D66285"/>
    <w:rsid w:val="00D666EE"/>
    <w:rsid w:val="00D66BAA"/>
    <w:rsid w:val="00D6731C"/>
    <w:rsid w:val="00D704A4"/>
    <w:rsid w:val="00D71F38"/>
    <w:rsid w:val="00D7210B"/>
    <w:rsid w:val="00D72CFF"/>
    <w:rsid w:val="00D72EC2"/>
    <w:rsid w:val="00D735D6"/>
    <w:rsid w:val="00D73F92"/>
    <w:rsid w:val="00D753A8"/>
    <w:rsid w:val="00D757ED"/>
    <w:rsid w:val="00D75C81"/>
    <w:rsid w:val="00D7606A"/>
    <w:rsid w:val="00D773BE"/>
    <w:rsid w:val="00D77B56"/>
    <w:rsid w:val="00D77D85"/>
    <w:rsid w:val="00D802B6"/>
    <w:rsid w:val="00D8032C"/>
    <w:rsid w:val="00D81107"/>
    <w:rsid w:val="00D811D3"/>
    <w:rsid w:val="00D81CE6"/>
    <w:rsid w:val="00D83012"/>
    <w:rsid w:val="00D839F8"/>
    <w:rsid w:val="00D8433A"/>
    <w:rsid w:val="00D84F3A"/>
    <w:rsid w:val="00D85226"/>
    <w:rsid w:val="00D85969"/>
    <w:rsid w:val="00D86881"/>
    <w:rsid w:val="00D87B7D"/>
    <w:rsid w:val="00D90293"/>
    <w:rsid w:val="00D90945"/>
    <w:rsid w:val="00D91CD7"/>
    <w:rsid w:val="00D92A75"/>
    <w:rsid w:val="00D92F5B"/>
    <w:rsid w:val="00D92FBD"/>
    <w:rsid w:val="00D93C20"/>
    <w:rsid w:val="00D94DC4"/>
    <w:rsid w:val="00D95AF9"/>
    <w:rsid w:val="00D95F2C"/>
    <w:rsid w:val="00D96E5D"/>
    <w:rsid w:val="00D973CE"/>
    <w:rsid w:val="00D97A78"/>
    <w:rsid w:val="00DA1200"/>
    <w:rsid w:val="00DA1A0E"/>
    <w:rsid w:val="00DA1DFC"/>
    <w:rsid w:val="00DA23FE"/>
    <w:rsid w:val="00DA3352"/>
    <w:rsid w:val="00DA39AB"/>
    <w:rsid w:val="00DA3CAA"/>
    <w:rsid w:val="00DA4990"/>
    <w:rsid w:val="00DA55B0"/>
    <w:rsid w:val="00DA5AD6"/>
    <w:rsid w:val="00DA5BB7"/>
    <w:rsid w:val="00DA5EE8"/>
    <w:rsid w:val="00DA71F5"/>
    <w:rsid w:val="00DB0696"/>
    <w:rsid w:val="00DB0A44"/>
    <w:rsid w:val="00DB152D"/>
    <w:rsid w:val="00DB199F"/>
    <w:rsid w:val="00DB1A8A"/>
    <w:rsid w:val="00DB1FBE"/>
    <w:rsid w:val="00DB3D9D"/>
    <w:rsid w:val="00DB482B"/>
    <w:rsid w:val="00DB4BC6"/>
    <w:rsid w:val="00DB5557"/>
    <w:rsid w:val="00DB5954"/>
    <w:rsid w:val="00DB6D5F"/>
    <w:rsid w:val="00DB72C4"/>
    <w:rsid w:val="00DB7722"/>
    <w:rsid w:val="00DB7CAF"/>
    <w:rsid w:val="00DC020F"/>
    <w:rsid w:val="00DC0660"/>
    <w:rsid w:val="00DC0946"/>
    <w:rsid w:val="00DC17BF"/>
    <w:rsid w:val="00DC2632"/>
    <w:rsid w:val="00DC3117"/>
    <w:rsid w:val="00DC3D8E"/>
    <w:rsid w:val="00DC4A38"/>
    <w:rsid w:val="00DC4D94"/>
    <w:rsid w:val="00DC51D4"/>
    <w:rsid w:val="00DC68EE"/>
    <w:rsid w:val="00DC77F7"/>
    <w:rsid w:val="00DC786E"/>
    <w:rsid w:val="00DC7E22"/>
    <w:rsid w:val="00DD0039"/>
    <w:rsid w:val="00DD03E3"/>
    <w:rsid w:val="00DD1605"/>
    <w:rsid w:val="00DD2FCE"/>
    <w:rsid w:val="00DD3267"/>
    <w:rsid w:val="00DD3D7A"/>
    <w:rsid w:val="00DD4DF6"/>
    <w:rsid w:val="00DD6FAF"/>
    <w:rsid w:val="00DE0F03"/>
    <w:rsid w:val="00DE14B4"/>
    <w:rsid w:val="00DE19F9"/>
    <w:rsid w:val="00DE2376"/>
    <w:rsid w:val="00DE2D7C"/>
    <w:rsid w:val="00DE3247"/>
    <w:rsid w:val="00DE37CD"/>
    <w:rsid w:val="00DE42DC"/>
    <w:rsid w:val="00DE4B6F"/>
    <w:rsid w:val="00DE4DCA"/>
    <w:rsid w:val="00DE6B12"/>
    <w:rsid w:val="00DE6BEF"/>
    <w:rsid w:val="00DE7312"/>
    <w:rsid w:val="00DE7A31"/>
    <w:rsid w:val="00DF0083"/>
    <w:rsid w:val="00DF3214"/>
    <w:rsid w:val="00DF36E6"/>
    <w:rsid w:val="00DF71DE"/>
    <w:rsid w:val="00DF7446"/>
    <w:rsid w:val="00E00C23"/>
    <w:rsid w:val="00E017A6"/>
    <w:rsid w:val="00E018F9"/>
    <w:rsid w:val="00E0229F"/>
    <w:rsid w:val="00E0233D"/>
    <w:rsid w:val="00E024F9"/>
    <w:rsid w:val="00E02F60"/>
    <w:rsid w:val="00E03026"/>
    <w:rsid w:val="00E0376C"/>
    <w:rsid w:val="00E04403"/>
    <w:rsid w:val="00E04891"/>
    <w:rsid w:val="00E04C78"/>
    <w:rsid w:val="00E052A6"/>
    <w:rsid w:val="00E077F6"/>
    <w:rsid w:val="00E078DD"/>
    <w:rsid w:val="00E10630"/>
    <w:rsid w:val="00E11253"/>
    <w:rsid w:val="00E118E6"/>
    <w:rsid w:val="00E13167"/>
    <w:rsid w:val="00E135DF"/>
    <w:rsid w:val="00E13917"/>
    <w:rsid w:val="00E13EDA"/>
    <w:rsid w:val="00E147E0"/>
    <w:rsid w:val="00E14BE6"/>
    <w:rsid w:val="00E155C9"/>
    <w:rsid w:val="00E16202"/>
    <w:rsid w:val="00E16493"/>
    <w:rsid w:val="00E1676B"/>
    <w:rsid w:val="00E16BDA"/>
    <w:rsid w:val="00E16EA7"/>
    <w:rsid w:val="00E16F2F"/>
    <w:rsid w:val="00E17B10"/>
    <w:rsid w:val="00E17B16"/>
    <w:rsid w:val="00E206FF"/>
    <w:rsid w:val="00E209BC"/>
    <w:rsid w:val="00E20FDE"/>
    <w:rsid w:val="00E22376"/>
    <w:rsid w:val="00E237FA"/>
    <w:rsid w:val="00E24913"/>
    <w:rsid w:val="00E2555A"/>
    <w:rsid w:val="00E265AB"/>
    <w:rsid w:val="00E26D58"/>
    <w:rsid w:val="00E26EA8"/>
    <w:rsid w:val="00E27D7C"/>
    <w:rsid w:val="00E306E9"/>
    <w:rsid w:val="00E33095"/>
    <w:rsid w:val="00E33450"/>
    <w:rsid w:val="00E3473F"/>
    <w:rsid w:val="00E3505D"/>
    <w:rsid w:val="00E36204"/>
    <w:rsid w:val="00E37B00"/>
    <w:rsid w:val="00E40E39"/>
    <w:rsid w:val="00E41166"/>
    <w:rsid w:val="00E42133"/>
    <w:rsid w:val="00E43890"/>
    <w:rsid w:val="00E45687"/>
    <w:rsid w:val="00E47580"/>
    <w:rsid w:val="00E47A1F"/>
    <w:rsid w:val="00E50F47"/>
    <w:rsid w:val="00E51408"/>
    <w:rsid w:val="00E5256D"/>
    <w:rsid w:val="00E53544"/>
    <w:rsid w:val="00E5379E"/>
    <w:rsid w:val="00E5401A"/>
    <w:rsid w:val="00E55966"/>
    <w:rsid w:val="00E55A98"/>
    <w:rsid w:val="00E55C9D"/>
    <w:rsid w:val="00E56ACD"/>
    <w:rsid w:val="00E575E6"/>
    <w:rsid w:val="00E5760A"/>
    <w:rsid w:val="00E57AE8"/>
    <w:rsid w:val="00E600C4"/>
    <w:rsid w:val="00E6034E"/>
    <w:rsid w:val="00E60B67"/>
    <w:rsid w:val="00E631C5"/>
    <w:rsid w:val="00E63984"/>
    <w:rsid w:val="00E63B44"/>
    <w:rsid w:val="00E63D2F"/>
    <w:rsid w:val="00E64573"/>
    <w:rsid w:val="00E64DE3"/>
    <w:rsid w:val="00E65362"/>
    <w:rsid w:val="00E658E1"/>
    <w:rsid w:val="00E66493"/>
    <w:rsid w:val="00E66578"/>
    <w:rsid w:val="00E6658C"/>
    <w:rsid w:val="00E66D91"/>
    <w:rsid w:val="00E67B28"/>
    <w:rsid w:val="00E67D3C"/>
    <w:rsid w:val="00E67DEA"/>
    <w:rsid w:val="00E71BA9"/>
    <w:rsid w:val="00E73444"/>
    <w:rsid w:val="00E73B34"/>
    <w:rsid w:val="00E75F2A"/>
    <w:rsid w:val="00E75F94"/>
    <w:rsid w:val="00E761A8"/>
    <w:rsid w:val="00E7637D"/>
    <w:rsid w:val="00E775DC"/>
    <w:rsid w:val="00E77EA7"/>
    <w:rsid w:val="00E8117B"/>
    <w:rsid w:val="00E81C05"/>
    <w:rsid w:val="00E81DD1"/>
    <w:rsid w:val="00E82675"/>
    <w:rsid w:val="00E84210"/>
    <w:rsid w:val="00E844E5"/>
    <w:rsid w:val="00E8499A"/>
    <w:rsid w:val="00E851B0"/>
    <w:rsid w:val="00E858DE"/>
    <w:rsid w:val="00E85FA5"/>
    <w:rsid w:val="00E869C9"/>
    <w:rsid w:val="00E869E6"/>
    <w:rsid w:val="00E86D59"/>
    <w:rsid w:val="00E90661"/>
    <w:rsid w:val="00E91357"/>
    <w:rsid w:val="00E9297E"/>
    <w:rsid w:val="00E9307E"/>
    <w:rsid w:val="00E930D2"/>
    <w:rsid w:val="00E9566D"/>
    <w:rsid w:val="00E97069"/>
    <w:rsid w:val="00E97D63"/>
    <w:rsid w:val="00EA21DB"/>
    <w:rsid w:val="00EA2F62"/>
    <w:rsid w:val="00EA4EB5"/>
    <w:rsid w:val="00EA62D5"/>
    <w:rsid w:val="00EA6854"/>
    <w:rsid w:val="00EA6BBC"/>
    <w:rsid w:val="00EA7C42"/>
    <w:rsid w:val="00EB0265"/>
    <w:rsid w:val="00EB050B"/>
    <w:rsid w:val="00EB07EC"/>
    <w:rsid w:val="00EB2493"/>
    <w:rsid w:val="00EB291F"/>
    <w:rsid w:val="00EB2F97"/>
    <w:rsid w:val="00EB30E7"/>
    <w:rsid w:val="00EB376E"/>
    <w:rsid w:val="00EB44F4"/>
    <w:rsid w:val="00EB490D"/>
    <w:rsid w:val="00EB5A84"/>
    <w:rsid w:val="00EB63ED"/>
    <w:rsid w:val="00EB6EC6"/>
    <w:rsid w:val="00EB725C"/>
    <w:rsid w:val="00EC0328"/>
    <w:rsid w:val="00EC0331"/>
    <w:rsid w:val="00EC0577"/>
    <w:rsid w:val="00EC1348"/>
    <w:rsid w:val="00EC1BFB"/>
    <w:rsid w:val="00EC252C"/>
    <w:rsid w:val="00EC2796"/>
    <w:rsid w:val="00EC35DF"/>
    <w:rsid w:val="00EC3DBD"/>
    <w:rsid w:val="00EC4F07"/>
    <w:rsid w:val="00EC50D5"/>
    <w:rsid w:val="00EC5A2A"/>
    <w:rsid w:val="00EC5C38"/>
    <w:rsid w:val="00EC5D4A"/>
    <w:rsid w:val="00EC5DAB"/>
    <w:rsid w:val="00EC68FC"/>
    <w:rsid w:val="00EC7374"/>
    <w:rsid w:val="00EC7466"/>
    <w:rsid w:val="00ED1FF6"/>
    <w:rsid w:val="00ED4EAF"/>
    <w:rsid w:val="00ED5101"/>
    <w:rsid w:val="00ED5F90"/>
    <w:rsid w:val="00ED63B1"/>
    <w:rsid w:val="00ED6448"/>
    <w:rsid w:val="00ED64DA"/>
    <w:rsid w:val="00ED66A0"/>
    <w:rsid w:val="00ED6D00"/>
    <w:rsid w:val="00ED7660"/>
    <w:rsid w:val="00ED7AC5"/>
    <w:rsid w:val="00EE0562"/>
    <w:rsid w:val="00EE2DFE"/>
    <w:rsid w:val="00EE4546"/>
    <w:rsid w:val="00EE45D8"/>
    <w:rsid w:val="00EE4CA4"/>
    <w:rsid w:val="00EE5426"/>
    <w:rsid w:val="00EE5744"/>
    <w:rsid w:val="00EE6BDE"/>
    <w:rsid w:val="00EE763C"/>
    <w:rsid w:val="00EF0450"/>
    <w:rsid w:val="00EF0BEC"/>
    <w:rsid w:val="00EF1133"/>
    <w:rsid w:val="00EF27C0"/>
    <w:rsid w:val="00EF2CE3"/>
    <w:rsid w:val="00EF4D50"/>
    <w:rsid w:val="00EF4D70"/>
    <w:rsid w:val="00EF564C"/>
    <w:rsid w:val="00EF5695"/>
    <w:rsid w:val="00EF7B5C"/>
    <w:rsid w:val="00F00958"/>
    <w:rsid w:val="00F02AD2"/>
    <w:rsid w:val="00F039A1"/>
    <w:rsid w:val="00F039D1"/>
    <w:rsid w:val="00F04117"/>
    <w:rsid w:val="00F04A7D"/>
    <w:rsid w:val="00F065F7"/>
    <w:rsid w:val="00F0728A"/>
    <w:rsid w:val="00F07B2D"/>
    <w:rsid w:val="00F12213"/>
    <w:rsid w:val="00F12753"/>
    <w:rsid w:val="00F1458A"/>
    <w:rsid w:val="00F14AA0"/>
    <w:rsid w:val="00F15183"/>
    <w:rsid w:val="00F17F7A"/>
    <w:rsid w:val="00F20BC1"/>
    <w:rsid w:val="00F20BCE"/>
    <w:rsid w:val="00F22A0D"/>
    <w:rsid w:val="00F23ECF"/>
    <w:rsid w:val="00F260DB"/>
    <w:rsid w:val="00F2621E"/>
    <w:rsid w:val="00F27467"/>
    <w:rsid w:val="00F27CD5"/>
    <w:rsid w:val="00F30E91"/>
    <w:rsid w:val="00F31C1B"/>
    <w:rsid w:val="00F32141"/>
    <w:rsid w:val="00F326E5"/>
    <w:rsid w:val="00F33C79"/>
    <w:rsid w:val="00F33E0E"/>
    <w:rsid w:val="00F34917"/>
    <w:rsid w:val="00F34D2E"/>
    <w:rsid w:val="00F35C26"/>
    <w:rsid w:val="00F366B5"/>
    <w:rsid w:val="00F367A4"/>
    <w:rsid w:val="00F37A4B"/>
    <w:rsid w:val="00F37D60"/>
    <w:rsid w:val="00F37F48"/>
    <w:rsid w:val="00F40B03"/>
    <w:rsid w:val="00F41FAA"/>
    <w:rsid w:val="00F423F1"/>
    <w:rsid w:val="00F42915"/>
    <w:rsid w:val="00F429B5"/>
    <w:rsid w:val="00F42C64"/>
    <w:rsid w:val="00F42EBB"/>
    <w:rsid w:val="00F42EFD"/>
    <w:rsid w:val="00F44623"/>
    <w:rsid w:val="00F4486C"/>
    <w:rsid w:val="00F448F2"/>
    <w:rsid w:val="00F44CEC"/>
    <w:rsid w:val="00F46BC0"/>
    <w:rsid w:val="00F47375"/>
    <w:rsid w:val="00F50283"/>
    <w:rsid w:val="00F515BD"/>
    <w:rsid w:val="00F515EB"/>
    <w:rsid w:val="00F51CB3"/>
    <w:rsid w:val="00F52698"/>
    <w:rsid w:val="00F52DB6"/>
    <w:rsid w:val="00F53F21"/>
    <w:rsid w:val="00F54DBD"/>
    <w:rsid w:val="00F55395"/>
    <w:rsid w:val="00F55498"/>
    <w:rsid w:val="00F55DAF"/>
    <w:rsid w:val="00F55EA2"/>
    <w:rsid w:val="00F56294"/>
    <w:rsid w:val="00F567E0"/>
    <w:rsid w:val="00F5681B"/>
    <w:rsid w:val="00F60056"/>
    <w:rsid w:val="00F607C4"/>
    <w:rsid w:val="00F609DB"/>
    <w:rsid w:val="00F60B85"/>
    <w:rsid w:val="00F616CC"/>
    <w:rsid w:val="00F62795"/>
    <w:rsid w:val="00F64036"/>
    <w:rsid w:val="00F641A8"/>
    <w:rsid w:val="00F642D1"/>
    <w:rsid w:val="00F64499"/>
    <w:rsid w:val="00F6759E"/>
    <w:rsid w:val="00F70392"/>
    <w:rsid w:val="00F7048C"/>
    <w:rsid w:val="00F72BA0"/>
    <w:rsid w:val="00F73364"/>
    <w:rsid w:val="00F733DE"/>
    <w:rsid w:val="00F74343"/>
    <w:rsid w:val="00F755DB"/>
    <w:rsid w:val="00F76365"/>
    <w:rsid w:val="00F76593"/>
    <w:rsid w:val="00F771FA"/>
    <w:rsid w:val="00F779AB"/>
    <w:rsid w:val="00F80F71"/>
    <w:rsid w:val="00F81147"/>
    <w:rsid w:val="00F824FE"/>
    <w:rsid w:val="00F82922"/>
    <w:rsid w:val="00F838A9"/>
    <w:rsid w:val="00F841C3"/>
    <w:rsid w:val="00F84DC5"/>
    <w:rsid w:val="00F85109"/>
    <w:rsid w:val="00F8544A"/>
    <w:rsid w:val="00F86334"/>
    <w:rsid w:val="00F90EE5"/>
    <w:rsid w:val="00F91919"/>
    <w:rsid w:val="00F91F9F"/>
    <w:rsid w:val="00F92E13"/>
    <w:rsid w:val="00F93AE8"/>
    <w:rsid w:val="00F94D94"/>
    <w:rsid w:val="00F95C6C"/>
    <w:rsid w:val="00F969E7"/>
    <w:rsid w:val="00F97332"/>
    <w:rsid w:val="00FA140F"/>
    <w:rsid w:val="00FA16E6"/>
    <w:rsid w:val="00FA1A86"/>
    <w:rsid w:val="00FA1C06"/>
    <w:rsid w:val="00FA2662"/>
    <w:rsid w:val="00FA2E76"/>
    <w:rsid w:val="00FA466B"/>
    <w:rsid w:val="00FA5992"/>
    <w:rsid w:val="00FA7170"/>
    <w:rsid w:val="00FA7543"/>
    <w:rsid w:val="00FA7646"/>
    <w:rsid w:val="00FA7B26"/>
    <w:rsid w:val="00FB04CF"/>
    <w:rsid w:val="00FB0696"/>
    <w:rsid w:val="00FB08AF"/>
    <w:rsid w:val="00FB1248"/>
    <w:rsid w:val="00FB133E"/>
    <w:rsid w:val="00FB156D"/>
    <w:rsid w:val="00FB15FE"/>
    <w:rsid w:val="00FB5A0A"/>
    <w:rsid w:val="00FB70BC"/>
    <w:rsid w:val="00FB71EA"/>
    <w:rsid w:val="00FB73E3"/>
    <w:rsid w:val="00FB79CF"/>
    <w:rsid w:val="00FB7D37"/>
    <w:rsid w:val="00FC09B8"/>
    <w:rsid w:val="00FC2C67"/>
    <w:rsid w:val="00FC33D2"/>
    <w:rsid w:val="00FC4335"/>
    <w:rsid w:val="00FC5BB1"/>
    <w:rsid w:val="00FC62FF"/>
    <w:rsid w:val="00FC6682"/>
    <w:rsid w:val="00FC6D48"/>
    <w:rsid w:val="00FC6DB5"/>
    <w:rsid w:val="00FC75DD"/>
    <w:rsid w:val="00FC76E4"/>
    <w:rsid w:val="00FC77F5"/>
    <w:rsid w:val="00FD0F15"/>
    <w:rsid w:val="00FD1C9E"/>
    <w:rsid w:val="00FD3A33"/>
    <w:rsid w:val="00FD4027"/>
    <w:rsid w:val="00FD4B7F"/>
    <w:rsid w:val="00FD5150"/>
    <w:rsid w:val="00FD530A"/>
    <w:rsid w:val="00FD581A"/>
    <w:rsid w:val="00FD6F5E"/>
    <w:rsid w:val="00FD6F7D"/>
    <w:rsid w:val="00FE0B61"/>
    <w:rsid w:val="00FE1489"/>
    <w:rsid w:val="00FE158F"/>
    <w:rsid w:val="00FE25A3"/>
    <w:rsid w:val="00FE343A"/>
    <w:rsid w:val="00FE3665"/>
    <w:rsid w:val="00FE372C"/>
    <w:rsid w:val="00FE4FB4"/>
    <w:rsid w:val="00FE60DA"/>
    <w:rsid w:val="00FE650A"/>
    <w:rsid w:val="00FE6DEF"/>
    <w:rsid w:val="00FE74F8"/>
    <w:rsid w:val="00FF0339"/>
    <w:rsid w:val="00FF1DBD"/>
    <w:rsid w:val="00FF5264"/>
    <w:rsid w:val="00FF5FCF"/>
    <w:rsid w:val="00FF7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03383"/>
  <w15:docId w15:val="{3A756325-12FA-4880-B0E1-E14157A19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BB3"/>
    <w:pPr>
      <w:spacing w:after="200" w:line="276" w:lineRule="auto"/>
    </w:pPr>
    <w:rPr>
      <w:sz w:val="22"/>
      <w:szCs w:val="22"/>
    </w:rPr>
  </w:style>
  <w:style w:type="paragraph" w:styleId="Heading1">
    <w:name w:val="heading 1"/>
    <w:basedOn w:val="Normal"/>
    <w:link w:val="Heading1Char"/>
    <w:uiPriority w:val="9"/>
    <w:qFormat/>
    <w:rsid w:val="00E67D3C"/>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E67D3C"/>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0D0769"/>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326E5"/>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F326E5"/>
    <w:pPr>
      <w:keepNext/>
      <w:keepLines/>
      <w:spacing w:before="40" w:after="0" w:line="259" w:lineRule="auto"/>
      <w:outlineLvl w:val="4"/>
    </w:pPr>
    <w:rPr>
      <w:rFonts w:asciiTheme="majorHAnsi" w:eastAsiaTheme="majorEastAsia" w:hAnsiTheme="majorHAnsi" w:cstheme="majorBidi"/>
      <w:color w:val="2E74B5" w:themeColor="accent1" w:themeShade="BF"/>
    </w:rPr>
  </w:style>
  <w:style w:type="paragraph" w:styleId="Heading7">
    <w:name w:val="heading 7"/>
    <w:basedOn w:val="Normal"/>
    <w:next w:val="Normal"/>
    <w:link w:val="Heading7Char"/>
    <w:uiPriority w:val="9"/>
    <w:semiHidden/>
    <w:unhideWhenUsed/>
    <w:qFormat/>
    <w:rsid w:val="004F15A5"/>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6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66A0"/>
    <w:rPr>
      <w:rFonts w:ascii="Tahoma" w:hAnsi="Tahoma" w:cs="Tahoma"/>
      <w:sz w:val="16"/>
      <w:szCs w:val="16"/>
    </w:rPr>
  </w:style>
  <w:style w:type="paragraph" w:styleId="NoSpacing">
    <w:name w:val="No Spacing"/>
    <w:aliases w:val="Basic Info"/>
    <w:uiPriority w:val="1"/>
    <w:qFormat/>
    <w:rsid w:val="008C66A0"/>
    <w:rPr>
      <w:sz w:val="22"/>
      <w:szCs w:val="22"/>
    </w:rPr>
  </w:style>
  <w:style w:type="character" w:styleId="Hyperlink">
    <w:name w:val="Hyperlink"/>
    <w:basedOn w:val="DefaultParagraphFont"/>
    <w:uiPriority w:val="99"/>
    <w:unhideWhenUsed/>
    <w:rsid w:val="001968CD"/>
    <w:rPr>
      <w:color w:val="0563C1" w:themeColor="hyperlink"/>
      <w:u w:val="single"/>
    </w:rPr>
  </w:style>
  <w:style w:type="character" w:customStyle="1" w:styleId="Heading1Char">
    <w:name w:val="Heading 1 Char"/>
    <w:basedOn w:val="DefaultParagraphFont"/>
    <w:link w:val="Heading1"/>
    <w:uiPriority w:val="9"/>
    <w:rsid w:val="00E67D3C"/>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rsid w:val="00E67D3C"/>
    <w:rPr>
      <w:rFonts w:ascii="Cambria" w:eastAsia="Times New Roman" w:hAnsi="Cambria"/>
      <w:b/>
      <w:bCs/>
      <w:i/>
      <w:iCs/>
      <w:sz w:val="28"/>
      <w:szCs w:val="28"/>
    </w:rPr>
  </w:style>
  <w:style w:type="paragraph" w:styleId="NormalWeb">
    <w:name w:val="Normal (Web)"/>
    <w:basedOn w:val="Normal"/>
    <w:uiPriority w:val="99"/>
    <w:unhideWhenUsed/>
    <w:rsid w:val="00E67D3C"/>
    <w:pPr>
      <w:spacing w:before="100" w:beforeAutospacing="1" w:after="100" w:afterAutospacing="1" w:line="240" w:lineRule="auto"/>
    </w:pPr>
    <w:rPr>
      <w:rFonts w:ascii="Times New Roman" w:eastAsia="Times New Roman" w:hAnsi="Times New Roman"/>
      <w:sz w:val="24"/>
      <w:szCs w:val="24"/>
    </w:rPr>
  </w:style>
  <w:style w:type="paragraph" w:customStyle="1" w:styleId="speakable-p-1">
    <w:name w:val="speakable-p-1"/>
    <w:basedOn w:val="Normal"/>
    <w:rsid w:val="00E67D3C"/>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67D3C"/>
    <w:rPr>
      <w:i/>
      <w:iCs/>
    </w:rPr>
  </w:style>
  <w:style w:type="character" w:styleId="FollowedHyperlink">
    <w:name w:val="FollowedHyperlink"/>
    <w:basedOn w:val="DefaultParagraphFont"/>
    <w:uiPriority w:val="99"/>
    <w:semiHidden/>
    <w:unhideWhenUsed/>
    <w:rsid w:val="0001738E"/>
    <w:rPr>
      <w:color w:val="954F72" w:themeColor="followedHyperlink"/>
      <w:u w:val="single"/>
    </w:rPr>
  </w:style>
  <w:style w:type="character" w:styleId="UnresolvedMention">
    <w:name w:val="Unresolved Mention"/>
    <w:basedOn w:val="DefaultParagraphFont"/>
    <w:uiPriority w:val="99"/>
    <w:semiHidden/>
    <w:unhideWhenUsed/>
    <w:rsid w:val="00310D6B"/>
    <w:rPr>
      <w:color w:val="808080"/>
      <w:shd w:val="clear" w:color="auto" w:fill="E6E6E6"/>
    </w:rPr>
  </w:style>
  <w:style w:type="character" w:customStyle="1" w:styleId="unlinked-ref">
    <w:name w:val="unlinked-ref"/>
    <w:rsid w:val="007C45CA"/>
  </w:style>
  <w:style w:type="character" w:customStyle="1" w:styleId="headertext">
    <w:name w:val="headertext"/>
    <w:rsid w:val="007C45CA"/>
  </w:style>
  <w:style w:type="paragraph" w:customStyle="1" w:styleId="Default">
    <w:name w:val="Default"/>
    <w:rsid w:val="007C45CA"/>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qFormat/>
    <w:rsid w:val="00C67090"/>
    <w:pPr>
      <w:spacing w:after="160" w:line="259" w:lineRule="auto"/>
      <w:ind w:left="720"/>
      <w:contextualSpacing/>
    </w:pPr>
    <w:rPr>
      <w:rFonts w:asciiTheme="minorHAnsi" w:eastAsiaTheme="minorHAnsi" w:hAnsiTheme="minorHAnsi" w:cstheme="minorBidi"/>
    </w:rPr>
  </w:style>
  <w:style w:type="paragraph" w:customStyle="1" w:styleId="fp">
    <w:name w:val="fp"/>
    <w:basedOn w:val="Normal"/>
    <w:rsid w:val="00C67090"/>
    <w:pPr>
      <w:spacing w:before="200" w:after="100" w:afterAutospacing="1" w:line="240" w:lineRule="auto"/>
    </w:pPr>
    <w:rPr>
      <w:rFonts w:ascii="Times New Roman" w:eastAsia="Times New Roman" w:hAnsi="Times New Roman"/>
      <w:sz w:val="24"/>
      <w:szCs w:val="24"/>
    </w:rPr>
  </w:style>
  <w:style w:type="character" w:customStyle="1" w:styleId="Heading3Char">
    <w:name w:val="Heading 3 Char"/>
    <w:basedOn w:val="DefaultParagraphFont"/>
    <w:link w:val="Heading3"/>
    <w:uiPriority w:val="9"/>
    <w:rsid w:val="000D0769"/>
    <w:rPr>
      <w:rFonts w:asciiTheme="majorHAnsi" w:eastAsiaTheme="majorEastAsia" w:hAnsiTheme="majorHAnsi" w:cstheme="majorBidi"/>
      <w:color w:val="1F4D78" w:themeColor="accent1" w:themeShade="7F"/>
      <w:sz w:val="24"/>
      <w:szCs w:val="24"/>
    </w:rPr>
  </w:style>
  <w:style w:type="paragraph" w:styleId="HTMLPreformatted">
    <w:name w:val="HTML Preformatted"/>
    <w:basedOn w:val="Normal"/>
    <w:link w:val="HTMLPreformattedChar"/>
    <w:uiPriority w:val="99"/>
    <w:unhideWhenUsed/>
    <w:rsid w:val="00AD53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D53DF"/>
    <w:rPr>
      <w:rFonts w:ascii="Courier New" w:eastAsia="Times New Roman" w:hAnsi="Courier New" w:cs="Courier New"/>
    </w:rPr>
  </w:style>
  <w:style w:type="paragraph" w:customStyle="1" w:styleId="statutory-body-2em">
    <w:name w:val="statutory-body-2em"/>
    <w:basedOn w:val="Normal"/>
    <w:rsid w:val="00AD53DF"/>
    <w:pPr>
      <w:spacing w:before="100" w:beforeAutospacing="1" w:after="100" w:afterAutospacing="1" w:line="240" w:lineRule="auto"/>
    </w:pPr>
    <w:rPr>
      <w:rFonts w:ascii="Times New Roman" w:eastAsia="Times New Roman" w:hAnsi="Times New Roman"/>
      <w:sz w:val="24"/>
      <w:szCs w:val="24"/>
    </w:rPr>
  </w:style>
  <w:style w:type="paragraph" w:customStyle="1" w:styleId="statutory-body-3em">
    <w:name w:val="statutory-body-3em"/>
    <w:basedOn w:val="Normal"/>
    <w:rsid w:val="00AD53DF"/>
    <w:pPr>
      <w:spacing w:before="100" w:beforeAutospacing="1" w:after="100" w:afterAutospacing="1" w:line="240" w:lineRule="auto"/>
    </w:pPr>
    <w:rPr>
      <w:rFonts w:ascii="Times New Roman" w:eastAsia="Times New Roman" w:hAnsi="Times New Roman"/>
      <w:sz w:val="24"/>
      <w:szCs w:val="24"/>
    </w:rPr>
  </w:style>
  <w:style w:type="character" w:customStyle="1" w:styleId="UnresolvedMention1">
    <w:name w:val="Unresolved Mention1"/>
    <w:basedOn w:val="DefaultParagraphFont"/>
    <w:uiPriority w:val="99"/>
    <w:semiHidden/>
    <w:unhideWhenUsed/>
    <w:rsid w:val="0018621C"/>
    <w:rPr>
      <w:color w:val="605E5C"/>
      <w:shd w:val="clear" w:color="auto" w:fill="E1DFDD"/>
    </w:rPr>
  </w:style>
  <w:style w:type="paragraph" w:customStyle="1" w:styleId="active">
    <w:name w:val="active"/>
    <w:basedOn w:val="Normal"/>
    <w:rsid w:val="00CC2139"/>
    <w:pPr>
      <w:spacing w:before="100" w:beforeAutospacing="1" w:after="100" w:afterAutospacing="1" w:line="240" w:lineRule="auto"/>
    </w:pPr>
    <w:rPr>
      <w:rFonts w:ascii="Times New Roman" w:eastAsia="Times New Roman" w:hAnsi="Times New Roman"/>
      <w:sz w:val="24"/>
      <w:szCs w:val="24"/>
    </w:rPr>
  </w:style>
  <w:style w:type="paragraph" w:customStyle="1" w:styleId="decision-tab">
    <w:name w:val="decision-tab"/>
    <w:basedOn w:val="Normal"/>
    <w:rsid w:val="000306C7"/>
    <w:pPr>
      <w:spacing w:before="100" w:beforeAutospacing="1" w:after="100" w:afterAutospacing="1" w:line="240" w:lineRule="auto"/>
    </w:pPr>
    <w:rPr>
      <w:rFonts w:ascii="Times New Roman" w:eastAsia="Times New Roman" w:hAnsi="Times New Roman"/>
      <w:sz w:val="24"/>
      <w:szCs w:val="24"/>
    </w:rPr>
  </w:style>
  <w:style w:type="character" w:customStyle="1" w:styleId="highlight">
    <w:name w:val="highlight"/>
    <w:basedOn w:val="DefaultParagraphFont"/>
    <w:rsid w:val="000306C7"/>
  </w:style>
  <w:style w:type="character" w:customStyle="1" w:styleId="nanospell-typo">
    <w:name w:val="nanospell-typo"/>
    <w:basedOn w:val="DefaultParagraphFont"/>
    <w:rsid w:val="000D47A7"/>
  </w:style>
  <w:style w:type="character" w:styleId="Strong">
    <w:name w:val="Strong"/>
    <w:basedOn w:val="DefaultParagraphFont"/>
    <w:uiPriority w:val="22"/>
    <w:qFormat/>
    <w:rsid w:val="000D47A7"/>
    <w:rPr>
      <w:b/>
      <w:bCs/>
    </w:rPr>
  </w:style>
  <w:style w:type="character" w:customStyle="1" w:styleId="posted-time">
    <w:name w:val="posted-time"/>
    <w:basedOn w:val="DefaultParagraphFont"/>
    <w:rsid w:val="000D47A7"/>
  </w:style>
  <w:style w:type="character" w:customStyle="1" w:styleId="updated-time">
    <w:name w:val="updated-time"/>
    <w:basedOn w:val="DefaultParagraphFont"/>
    <w:rsid w:val="000D47A7"/>
  </w:style>
  <w:style w:type="paragraph" w:customStyle="1" w:styleId="speakable-p-2">
    <w:name w:val="speakable-p-2"/>
    <w:basedOn w:val="Normal"/>
    <w:rsid w:val="000D47A7"/>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0D47A7"/>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0D47A7"/>
    <w:rPr>
      <w:rFonts w:asciiTheme="minorHAnsi" w:eastAsiaTheme="minorHAnsi" w:hAnsiTheme="minorHAnsi" w:cstheme="minorBidi"/>
      <w:sz w:val="22"/>
      <w:szCs w:val="22"/>
    </w:rPr>
  </w:style>
  <w:style w:type="paragraph" w:styleId="Footer">
    <w:name w:val="footer"/>
    <w:basedOn w:val="Normal"/>
    <w:link w:val="FooterChar"/>
    <w:uiPriority w:val="99"/>
    <w:unhideWhenUsed/>
    <w:rsid w:val="000D47A7"/>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0D47A7"/>
    <w:rPr>
      <w:rFonts w:asciiTheme="minorHAnsi" w:eastAsiaTheme="minorHAnsi" w:hAnsiTheme="minorHAnsi" w:cstheme="minorBidi"/>
      <w:sz w:val="22"/>
      <w:szCs w:val="22"/>
    </w:rPr>
  </w:style>
  <w:style w:type="character" w:customStyle="1" w:styleId="value">
    <w:name w:val="value"/>
    <w:basedOn w:val="DefaultParagraphFont"/>
    <w:rsid w:val="00084E0A"/>
  </w:style>
  <w:style w:type="character" w:customStyle="1" w:styleId="access">
    <w:name w:val="access"/>
    <w:basedOn w:val="DefaultParagraphFont"/>
    <w:rsid w:val="00084E0A"/>
  </w:style>
  <w:style w:type="paragraph" w:styleId="PlainText">
    <w:name w:val="Plain Text"/>
    <w:basedOn w:val="Normal"/>
    <w:link w:val="PlainTextChar"/>
    <w:uiPriority w:val="99"/>
    <w:unhideWhenUsed/>
    <w:rsid w:val="00D95F2C"/>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D95F2C"/>
    <w:rPr>
      <w:rFonts w:eastAsiaTheme="minorHAnsi" w:cstheme="minorBidi"/>
      <w:sz w:val="22"/>
      <w:szCs w:val="21"/>
    </w:rPr>
  </w:style>
  <w:style w:type="character" w:customStyle="1" w:styleId="share-txt">
    <w:name w:val="share-txt"/>
    <w:basedOn w:val="DefaultParagraphFont"/>
    <w:rsid w:val="00AA344E"/>
  </w:style>
  <w:style w:type="paragraph" w:customStyle="1" w:styleId="textbody">
    <w:name w:val="text_body"/>
    <w:basedOn w:val="Normal"/>
    <w:rsid w:val="00AA344E"/>
    <w:pPr>
      <w:spacing w:before="100" w:beforeAutospacing="1" w:after="100" w:afterAutospacing="1" w:line="240" w:lineRule="auto"/>
    </w:pPr>
    <w:rPr>
      <w:rFonts w:ascii="Times New Roman" w:eastAsia="Times New Roman" w:hAnsi="Times New Roman"/>
      <w:sz w:val="24"/>
      <w:szCs w:val="24"/>
    </w:rPr>
  </w:style>
  <w:style w:type="paragraph" w:customStyle="1" w:styleId="textendnote">
    <w:name w:val="text_endnote"/>
    <w:basedOn w:val="Normal"/>
    <w:rsid w:val="00AA344E"/>
    <w:pPr>
      <w:spacing w:before="100" w:beforeAutospacing="1" w:after="100" w:afterAutospacing="1" w:line="240" w:lineRule="auto"/>
    </w:pPr>
    <w:rPr>
      <w:rFonts w:ascii="Times New Roman" w:eastAsia="Times New Roman" w:hAnsi="Times New Roman"/>
      <w:sz w:val="24"/>
      <w:szCs w:val="24"/>
    </w:rPr>
  </w:style>
  <w:style w:type="character" w:customStyle="1" w:styleId="Heading4Char">
    <w:name w:val="Heading 4 Char"/>
    <w:basedOn w:val="DefaultParagraphFont"/>
    <w:link w:val="Heading4"/>
    <w:uiPriority w:val="9"/>
    <w:semiHidden/>
    <w:rsid w:val="00F326E5"/>
    <w:rPr>
      <w:rFonts w:asciiTheme="majorHAnsi" w:eastAsiaTheme="majorEastAsia"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9"/>
    <w:rsid w:val="00F326E5"/>
    <w:rPr>
      <w:rFonts w:asciiTheme="majorHAnsi" w:eastAsiaTheme="majorEastAsia" w:hAnsiTheme="majorHAnsi" w:cstheme="majorBidi"/>
      <w:color w:val="2E74B5" w:themeColor="accent1" w:themeShade="BF"/>
      <w:sz w:val="22"/>
      <w:szCs w:val="22"/>
    </w:rPr>
  </w:style>
  <w:style w:type="character" w:customStyle="1" w:styleId="ilfuvd">
    <w:name w:val="ilfuvd"/>
    <w:basedOn w:val="DefaultParagraphFont"/>
    <w:rsid w:val="00F326E5"/>
  </w:style>
  <w:style w:type="character" w:customStyle="1" w:styleId="mw-headline">
    <w:name w:val="mw-headline"/>
    <w:basedOn w:val="DefaultParagraphFont"/>
    <w:rsid w:val="00F326E5"/>
  </w:style>
  <w:style w:type="character" w:customStyle="1" w:styleId="lrzxr">
    <w:name w:val="lrzxr"/>
    <w:basedOn w:val="DefaultParagraphFont"/>
    <w:rsid w:val="00F326E5"/>
  </w:style>
  <w:style w:type="paragraph" w:customStyle="1" w:styleId="trt0xe">
    <w:name w:val="trt0xe"/>
    <w:basedOn w:val="Normal"/>
    <w:rsid w:val="00F326E5"/>
    <w:pPr>
      <w:spacing w:before="100" w:beforeAutospacing="1" w:after="100" w:afterAutospacing="1" w:line="240" w:lineRule="auto"/>
    </w:pPr>
    <w:rPr>
      <w:rFonts w:ascii="Times New Roman" w:eastAsia="Times New Roman" w:hAnsi="Times New Roman"/>
      <w:sz w:val="24"/>
      <w:szCs w:val="24"/>
    </w:rPr>
  </w:style>
  <w:style w:type="paragraph" w:customStyle="1" w:styleId="copy">
    <w:name w:val="copy"/>
    <w:basedOn w:val="Normal"/>
    <w:rsid w:val="00F326E5"/>
    <w:pPr>
      <w:spacing w:before="100" w:beforeAutospacing="1" w:after="100" w:afterAutospacing="1" w:line="240" w:lineRule="auto"/>
    </w:pPr>
    <w:rPr>
      <w:rFonts w:ascii="Times New Roman" w:eastAsia="Times New Roman" w:hAnsi="Times New Roman"/>
      <w:sz w:val="24"/>
      <w:szCs w:val="24"/>
    </w:rPr>
  </w:style>
  <w:style w:type="character" w:customStyle="1" w:styleId="st">
    <w:name w:val="st"/>
    <w:basedOn w:val="DefaultParagraphFont"/>
    <w:rsid w:val="00F326E5"/>
  </w:style>
  <w:style w:type="paragraph" w:customStyle="1" w:styleId="subtext">
    <w:name w:val="subtext"/>
    <w:basedOn w:val="Normal"/>
    <w:rsid w:val="00F326E5"/>
    <w:pPr>
      <w:spacing w:before="100" w:beforeAutospacing="1" w:after="100" w:afterAutospacing="1" w:line="240" w:lineRule="auto"/>
    </w:pPr>
    <w:rPr>
      <w:rFonts w:ascii="Times New Roman" w:eastAsia="Times New Roman" w:hAnsi="Times New Roman"/>
      <w:sz w:val="24"/>
      <w:szCs w:val="24"/>
    </w:rPr>
  </w:style>
  <w:style w:type="character" w:customStyle="1" w:styleId="w8qarf">
    <w:name w:val="w8qarf"/>
    <w:basedOn w:val="DefaultParagraphFont"/>
    <w:rsid w:val="00F326E5"/>
  </w:style>
  <w:style w:type="character" w:customStyle="1" w:styleId="Date1">
    <w:name w:val="Date1"/>
    <w:basedOn w:val="DefaultParagraphFont"/>
    <w:rsid w:val="00F326E5"/>
  </w:style>
  <w:style w:type="character" w:customStyle="1" w:styleId="date-display-single">
    <w:name w:val="date-display-single"/>
    <w:basedOn w:val="DefaultParagraphFont"/>
    <w:rsid w:val="00F326E5"/>
  </w:style>
  <w:style w:type="character" w:customStyle="1" w:styleId="partyletter">
    <w:name w:val="partyletter"/>
    <w:basedOn w:val="DefaultParagraphFont"/>
    <w:rsid w:val="00F326E5"/>
  </w:style>
  <w:style w:type="paragraph" w:customStyle="1" w:styleId="p-text">
    <w:name w:val="p-text"/>
    <w:basedOn w:val="Normal"/>
    <w:rsid w:val="00F326E5"/>
    <w:pPr>
      <w:spacing w:before="100" w:beforeAutospacing="1" w:after="100" w:afterAutospacing="1" w:line="240" w:lineRule="auto"/>
    </w:pPr>
    <w:rPr>
      <w:rFonts w:ascii="Times New Roman" w:eastAsia="Times New Roman" w:hAnsi="Times New Roman"/>
      <w:sz w:val="24"/>
      <w:szCs w:val="24"/>
    </w:rPr>
  </w:style>
  <w:style w:type="character" w:styleId="HTMLAcronym">
    <w:name w:val="HTML Acronym"/>
    <w:basedOn w:val="DefaultParagraphFont"/>
    <w:uiPriority w:val="99"/>
    <w:semiHidden/>
    <w:unhideWhenUsed/>
    <w:rsid w:val="00F326E5"/>
  </w:style>
  <w:style w:type="character" w:customStyle="1" w:styleId="l-leftover">
    <w:name w:val="l-leftover"/>
    <w:basedOn w:val="DefaultParagraphFont"/>
    <w:rsid w:val="00F326E5"/>
  </w:style>
  <w:style w:type="character" w:customStyle="1" w:styleId="accent">
    <w:name w:val="accent"/>
    <w:basedOn w:val="DefaultParagraphFont"/>
    <w:rsid w:val="00F326E5"/>
  </w:style>
  <w:style w:type="character" w:customStyle="1" w:styleId="Title1">
    <w:name w:val="Title1"/>
    <w:basedOn w:val="DefaultParagraphFont"/>
    <w:rsid w:val="00F326E5"/>
  </w:style>
  <w:style w:type="character" w:customStyle="1" w:styleId="Subtitle1">
    <w:name w:val="Subtitle1"/>
    <w:basedOn w:val="DefaultParagraphFont"/>
    <w:rsid w:val="00F326E5"/>
  </w:style>
  <w:style w:type="character" w:customStyle="1" w:styleId="nowrap">
    <w:name w:val="nowrap"/>
    <w:basedOn w:val="DefaultParagraphFont"/>
    <w:rsid w:val="00F326E5"/>
  </w:style>
  <w:style w:type="character" w:customStyle="1" w:styleId="heading">
    <w:name w:val="heading"/>
    <w:basedOn w:val="DefaultParagraphFont"/>
    <w:rsid w:val="00F326E5"/>
  </w:style>
  <w:style w:type="character" w:customStyle="1" w:styleId="gltxt">
    <w:name w:val="gltxt"/>
    <w:basedOn w:val="DefaultParagraphFont"/>
    <w:rsid w:val="00F326E5"/>
  </w:style>
  <w:style w:type="paragraph" w:styleId="z-TopofForm">
    <w:name w:val="HTML Top of Form"/>
    <w:basedOn w:val="Normal"/>
    <w:next w:val="Normal"/>
    <w:link w:val="z-TopofFormChar"/>
    <w:hidden/>
    <w:uiPriority w:val="99"/>
    <w:semiHidden/>
    <w:unhideWhenUsed/>
    <w:rsid w:val="00F326E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326E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326E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326E5"/>
    <w:rPr>
      <w:rFonts w:ascii="Arial" w:eastAsia="Times New Roman" w:hAnsi="Arial" w:cs="Arial"/>
      <w:vanish/>
      <w:sz w:val="16"/>
      <w:szCs w:val="16"/>
    </w:rPr>
  </w:style>
  <w:style w:type="paragraph" w:customStyle="1" w:styleId="menu-item">
    <w:name w:val="menu-item"/>
    <w:basedOn w:val="Normal"/>
    <w:rsid w:val="00F326E5"/>
    <w:pPr>
      <w:spacing w:before="100" w:beforeAutospacing="1" w:after="100" w:afterAutospacing="1" w:line="240" w:lineRule="auto"/>
    </w:pPr>
    <w:rPr>
      <w:rFonts w:ascii="Times New Roman" w:eastAsia="Times New Roman" w:hAnsi="Times New Roman"/>
      <w:sz w:val="24"/>
      <w:szCs w:val="24"/>
    </w:rPr>
  </w:style>
  <w:style w:type="character" w:styleId="FootnoteReference">
    <w:name w:val="footnote reference"/>
    <w:basedOn w:val="DefaultParagraphFont"/>
    <w:uiPriority w:val="99"/>
    <w:semiHidden/>
    <w:unhideWhenUsed/>
    <w:rsid w:val="00F326E5"/>
  </w:style>
  <w:style w:type="character" w:customStyle="1" w:styleId="dfm-title">
    <w:name w:val="dfm-title"/>
    <w:rsid w:val="00F326E5"/>
  </w:style>
  <w:style w:type="character" w:customStyle="1" w:styleId="field">
    <w:name w:val="field"/>
    <w:basedOn w:val="DefaultParagraphFont"/>
    <w:rsid w:val="00527EDF"/>
  </w:style>
  <w:style w:type="character" w:customStyle="1" w:styleId="grame">
    <w:name w:val="grame"/>
    <w:basedOn w:val="DefaultParagraphFont"/>
    <w:rsid w:val="002B1283"/>
  </w:style>
  <w:style w:type="character" w:customStyle="1" w:styleId="outlineheading2">
    <w:name w:val="outline_heading_2"/>
    <w:basedOn w:val="DefaultParagraphFont"/>
    <w:rsid w:val="00297434"/>
  </w:style>
  <w:style w:type="character" w:customStyle="1" w:styleId="annotation">
    <w:name w:val="annotation"/>
    <w:basedOn w:val="DefaultParagraphFont"/>
    <w:rsid w:val="00297434"/>
  </w:style>
  <w:style w:type="character" w:customStyle="1" w:styleId="balancedheadline">
    <w:name w:val="balancedheadline"/>
    <w:basedOn w:val="DefaultParagraphFont"/>
    <w:rsid w:val="00A247E4"/>
  </w:style>
  <w:style w:type="character" w:customStyle="1" w:styleId="num">
    <w:name w:val="num"/>
    <w:basedOn w:val="DefaultParagraphFont"/>
    <w:rsid w:val="0066298F"/>
  </w:style>
  <w:style w:type="character" w:customStyle="1" w:styleId="chapeau">
    <w:name w:val="chapeau"/>
    <w:basedOn w:val="DefaultParagraphFont"/>
    <w:rsid w:val="0066298F"/>
  </w:style>
  <w:style w:type="character" w:customStyle="1" w:styleId="citation">
    <w:name w:val="citation"/>
    <w:basedOn w:val="DefaultParagraphFont"/>
    <w:rsid w:val="00A01ACA"/>
  </w:style>
  <w:style w:type="paragraph" w:customStyle="1" w:styleId="gdp">
    <w:name w:val="gd_p"/>
    <w:basedOn w:val="Normal"/>
    <w:uiPriority w:val="99"/>
    <w:semiHidden/>
    <w:rsid w:val="0020758F"/>
    <w:pPr>
      <w:spacing w:before="100" w:beforeAutospacing="1" w:after="100" w:afterAutospacing="1" w:line="240" w:lineRule="auto"/>
    </w:pPr>
    <w:rPr>
      <w:rFonts w:eastAsiaTheme="minorHAnsi" w:cs="Calibri"/>
    </w:rPr>
  </w:style>
  <w:style w:type="character" w:customStyle="1" w:styleId="timestamp">
    <w:name w:val="timestamp"/>
    <w:basedOn w:val="DefaultParagraphFont"/>
    <w:rsid w:val="006B2083"/>
  </w:style>
  <w:style w:type="paragraph" w:customStyle="1" w:styleId="text">
    <w:name w:val="text"/>
    <w:basedOn w:val="Normal"/>
    <w:rsid w:val="00B532F6"/>
    <w:pPr>
      <w:spacing w:before="100" w:beforeAutospacing="1" w:after="100" w:afterAutospacing="1" w:line="240" w:lineRule="auto"/>
    </w:pPr>
    <w:rPr>
      <w:rFonts w:ascii="Times New Roman" w:eastAsia="Times New Roman" w:hAnsi="Times New Roman"/>
      <w:sz w:val="24"/>
      <w:szCs w:val="24"/>
    </w:rPr>
  </w:style>
  <w:style w:type="character" w:customStyle="1" w:styleId="font-weight-bold">
    <w:name w:val="font-weight-bold"/>
    <w:basedOn w:val="DefaultParagraphFont"/>
    <w:rsid w:val="00DD03E3"/>
  </w:style>
  <w:style w:type="paragraph" w:customStyle="1" w:styleId="xxxxmsonormal">
    <w:name w:val="x_x_x_xmsonormal"/>
    <w:basedOn w:val="Normal"/>
    <w:uiPriority w:val="99"/>
    <w:rsid w:val="005E132A"/>
    <w:pPr>
      <w:spacing w:before="100" w:beforeAutospacing="1" w:after="100" w:afterAutospacing="1" w:line="240" w:lineRule="auto"/>
    </w:pPr>
    <w:rPr>
      <w:rFonts w:eastAsiaTheme="minorHAnsi" w:cs="Calibri"/>
    </w:rPr>
  </w:style>
  <w:style w:type="paragraph" w:customStyle="1" w:styleId="xxxxxmsonormal">
    <w:name w:val="x_x_x_xxmsonormal"/>
    <w:basedOn w:val="Normal"/>
    <w:uiPriority w:val="99"/>
    <w:rsid w:val="005E132A"/>
    <w:pPr>
      <w:spacing w:after="0" w:line="240" w:lineRule="auto"/>
    </w:pPr>
    <w:rPr>
      <w:rFonts w:eastAsiaTheme="minorHAnsi" w:cs="Calibri"/>
    </w:rPr>
  </w:style>
  <w:style w:type="paragraph" w:customStyle="1" w:styleId="paragraph">
    <w:name w:val="paragraph"/>
    <w:basedOn w:val="Normal"/>
    <w:rsid w:val="007F3C7D"/>
    <w:pPr>
      <w:spacing w:before="100" w:beforeAutospacing="1" w:after="100" w:afterAutospacing="1" w:line="240" w:lineRule="auto"/>
    </w:pPr>
    <w:rPr>
      <w:rFonts w:ascii="Times New Roman" w:eastAsia="Times New Roman" w:hAnsi="Times New Roman"/>
      <w:sz w:val="24"/>
      <w:szCs w:val="24"/>
    </w:rPr>
  </w:style>
  <w:style w:type="paragraph" w:customStyle="1" w:styleId="statutory-body">
    <w:name w:val="statutory-body"/>
    <w:basedOn w:val="Normal"/>
    <w:rsid w:val="000915C1"/>
    <w:pPr>
      <w:spacing w:before="100" w:beforeAutospacing="1" w:after="100" w:afterAutospacing="1" w:line="240" w:lineRule="auto"/>
    </w:pPr>
    <w:rPr>
      <w:rFonts w:ascii="Times New Roman" w:eastAsia="Times New Roman" w:hAnsi="Times New Roman"/>
      <w:sz w:val="24"/>
      <w:szCs w:val="24"/>
    </w:rPr>
  </w:style>
  <w:style w:type="paragraph" w:customStyle="1" w:styleId="source-credit">
    <w:name w:val="source-credit"/>
    <w:basedOn w:val="Normal"/>
    <w:rsid w:val="000915C1"/>
    <w:pPr>
      <w:spacing w:before="100" w:beforeAutospacing="1" w:after="100" w:afterAutospacing="1" w:line="240" w:lineRule="auto"/>
    </w:pPr>
    <w:rPr>
      <w:rFonts w:ascii="Times New Roman" w:eastAsia="Times New Roman" w:hAnsi="Times New Roman"/>
      <w:sz w:val="24"/>
      <w:szCs w:val="24"/>
    </w:rPr>
  </w:style>
  <w:style w:type="paragraph" w:customStyle="1" w:styleId="gntarbp">
    <w:name w:val="gnt_ar_b_p"/>
    <w:basedOn w:val="Normal"/>
    <w:rsid w:val="0077274E"/>
    <w:pPr>
      <w:spacing w:before="100" w:beforeAutospacing="1" w:after="100" w:afterAutospacing="1" w:line="240" w:lineRule="auto"/>
    </w:pPr>
    <w:rPr>
      <w:rFonts w:ascii="Times New Roman" w:eastAsia="Times New Roman" w:hAnsi="Times New Roman"/>
      <w:sz w:val="24"/>
      <w:szCs w:val="24"/>
    </w:rPr>
  </w:style>
  <w:style w:type="character" w:customStyle="1" w:styleId="codes-separator">
    <w:name w:val="codes-separator"/>
    <w:basedOn w:val="DefaultParagraphFont"/>
    <w:rsid w:val="00F27CD5"/>
  </w:style>
  <w:style w:type="character" w:customStyle="1" w:styleId="markedcontent">
    <w:name w:val="markedcontent"/>
    <w:basedOn w:val="DefaultParagraphFont"/>
    <w:rsid w:val="00A82898"/>
  </w:style>
  <w:style w:type="paragraph" w:customStyle="1" w:styleId="p1">
    <w:name w:val="p1"/>
    <w:basedOn w:val="Normal"/>
    <w:rsid w:val="008A0333"/>
    <w:pPr>
      <w:spacing w:before="100" w:beforeAutospacing="1" w:after="100" w:afterAutospacing="1" w:line="240" w:lineRule="auto"/>
    </w:pPr>
    <w:rPr>
      <w:rFonts w:ascii="Times New Roman" w:eastAsia="Times New Roman" w:hAnsi="Times New Roman"/>
      <w:sz w:val="24"/>
      <w:szCs w:val="24"/>
    </w:rPr>
  </w:style>
  <w:style w:type="character" w:customStyle="1" w:styleId="gold">
    <w:name w:val="gold"/>
    <w:basedOn w:val="DefaultParagraphFont"/>
    <w:rsid w:val="005217D5"/>
  </w:style>
  <w:style w:type="paragraph" w:customStyle="1" w:styleId="articleparagraph">
    <w:name w:val="article__paragraph"/>
    <w:basedOn w:val="Normal"/>
    <w:rsid w:val="00382F02"/>
    <w:pPr>
      <w:spacing w:before="100" w:beforeAutospacing="1" w:after="100" w:afterAutospacing="1" w:line="240" w:lineRule="auto"/>
    </w:pPr>
    <w:rPr>
      <w:rFonts w:ascii="Times New Roman" w:eastAsia="Times New Roman" w:hAnsi="Times New Roman"/>
      <w:sz w:val="24"/>
      <w:szCs w:val="24"/>
    </w:rPr>
  </w:style>
  <w:style w:type="character" w:customStyle="1" w:styleId="screenreader-only">
    <w:name w:val="screenreader-only"/>
    <w:basedOn w:val="DefaultParagraphFont"/>
    <w:rsid w:val="00BD263B"/>
  </w:style>
  <w:style w:type="character" w:customStyle="1" w:styleId="style-scope">
    <w:name w:val="style-scope"/>
    <w:basedOn w:val="DefaultParagraphFont"/>
    <w:rsid w:val="002F610D"/>
  </w:style>
  <w:style w:type="paragraph" w:customStyle="1" w:styleId="docdate">
    <w:name w:val="docdate"/>
    <w:basedOn w:val="Normal"/>
    <w:uiPriority w:val="99"/>
    <w:rsid w:val="00BD1702"/>
    <w:pPr>
      <w:spacing w:before="100" w:beforeAutospacing="1" w:after="100" w:afterAutospacing="1" w:line="240" w:lineRule="auto"/>
    </w:pPr>
    <w:rPr>
      <w:rFonts w:ascii="Times New Roman" w:eastAsia="Times New Roman" w:hAnsi="Times New Roman"/>
      <w:sz w:val="24"/>
      <w:szCs w:val="24"/>
    </w:rPr>
  </w:style>
  <w:style w:type="character" w:customStyle="1" w:styleId="Date2">
    <w:name w:val="Date2"/>
    <w:basedOn w:val="DefaultParagraphFont"/>
    <w:rsid w:val="00C67B2A"/>
  </w:style>
  <w:style w:type="paragraph" w:customStyle="1" w:styleId="dropcap">
    <w:name w:val="dropcap"/>
    <w:basedOn w:val="Normal"/>
    <w:rsid w:val="00774A91"/>
    <w:pPr>
      <w:spacing w:before="100" w:beforeAutospacing="1" w:after="100" w:afterAutospacing="1" w:line="240" w:lineRule="auto"/>
    </w:pPr>
    <w:rPr>
      <w:rFonts w:ascii="Times New Roman" w:eastAsia="Times New Roman" w:hAnsi="Times New Roman"/>
      <w:sz w:val="24"/>
      <w:szCs w:val="24"/>
    </w:rPr>
  </w:style>
  <w:style w:type="character" w:customStyle="1" w:styleId="post-title">
    <w:name w:val="post-title"/>
    <w:basedOn w:val="DefaultParagraphFont"/>
    <w:rsid w:val="00365F63"/>
  </w:style>
  <w:style w:type="character" w:styleId="HTMLCode">
    <w:name w:val="HTML Code"/>
    <w:basedOn w:val="DefaultParagraphFont"/>
    <w:uiPriority w:val="99"/>
    <w:semiHidden/>
    <w:unhideWhenUsed/>
    <w:rsid w:val="00E8117B"/>
    <w:rPr>
      <w:rFonts w:ascii="Courier New" w:eastAsia="Times New Roman" w:hAnsi="Courier New" w:cs="Courier New" w:hint="default"/>
      <w:sz w:val="20"/>
      <w:szCs w:val="20"/>
    </w:rPr>
  </w:style>
  <w:style w:type="character" w:customStyle="1" w:styleId="normaltextrun">
    <w:name w:val="normaltextrun"/>
    <w:basedOn w:val="DefaultParagraphFont"/>
    <w:rsid w:val="006C79BE"/>
  </w:style>
  <w:style w:type="paragraph" w:customStyle="1" w:styleId="ekqk">
    <w:name w:val="ekqk"/>
    <w:basedOn w:val="Normal"/>
    <w:uiPriority w:val="99"/>
    <w:rsid w:val="008A4533"/>
    <w:pPr>
      <w:spacing w:before="100" w:beforeAutospacing="1" w:after="100" w:afterAutospacing="1" w:line="240" w:lineRule="auto"/>
    </w:pPr>
    <w:rPr>
      <w:rFonts w:ascii="Times New Roman" w:eastAsia="Times New Roman" w:hAnsi="Times New Roman"/>
      <w:sz w:val="24"/>
      <w:szCs w:val="24"/>
    </w:rPr>
  </w:style>
  <w:style w:type="character" w:customStyle="1" w:styleId="s1">
    <w:name w:val="s1"/>
    <w:basedOn w:val="DefaultParagraphFont"/>
    <w:rsid w:val="00F55395"/>
  </w:style>
  <w:style w:type="character" w:customStyle="1" w:styleId="field-formatter--string">
    <w:name w:val="field-formatter--string"/>
    <w:basedOn w:val="DefaultParagraphFont"/>
    <w:rsid w:val="007A0E71"/>
  </w:style>
  <w:style w:type="character" w:customStyle="1" w:styleId="hgkelc">
    <w:name w:val="hgkelc"/>
    <w:basedOn w:val="DefaultParagraphFont"/>
    <w:rsid w:val="00237599"/>
  </w:style>
  <w:style w:type="paragraph" w:customStyle="1" w:styleId="css-1n0orw4">
    <w:name w:val="css-1n0orw4"/>
    <w:basedOn w:val="Normal"/>
    <w:rsid w:val="00237599"/>
    <w:pPr>
      <w:spacing w:before="100" w:beforeAutospacing="1" w:after="100" w:afterAutospacing="1" w:line="240" w:lineRule="auto"/>
    </w:pPr>
    <w:rPr>
      <w:rFonts w:ascii="Times New Roman" w:eastAsia="Times New Roman" w:hAnsi="Times New Roman"/>
      <w:sz w:val="24"/>
      <w:szCs w:val="24"/>
    </w:rPr>
  </w:style>
  <w:style w:type="paragraph" w:customStyle="1" w:styleId="css-at9mc1">
    <w:name w:val="css-at9mc1"/>
    <w:basedOn w:val="Normal"/>
    <w:rsid w:val="00FE60DA"/>
    <w:pPr>
      <w:spacing w:before="100" w:beforeAutospacing="1" w:after="100" w:afterAutospacing="1" w:line="240" w:lineRule="auto"/>
    </w:pPr>
    <w:rPr>
      <w:rFonts w:ascii="Times New Roman" w:eastAsia="Times New Roman" w:hAnsi="Times New Roman"/>
      <w:sz w:val="24"/>
      <w:szCs w:val="24"/>
    </w:rPr>
  </w:style>
  <w:style w:type="paragraph" w:customStyle="1" w:styleId="first-paragraph">
    <w:name w:val="first-paragraph"/>
    <w:basedOn w:val="Normal"/>
    <w:rsid w:val="00FE60DA"/>
    <w:pPr>
      <w:spacing w:before="100" w:beforeAutospacing="1" w:after="100" w:afterAutospacing="1" w:line="240" w:lineRule="auto"/>
    </w:pPr>
    <w:rPr>
      <w:rFonts w:ascii="Times New Roman" w:eastAsia="Times New Roman" w:hAnsi="Times New Roman"/>
      <w:sz w:val="24"/>
      <w:szCs w:val="24"/>
    </w:rPr>
  </w:style>
  <w:style w:type="paragraph" w:customStyle="1" w:styleId="defaultstyledtext-tl066j-0">
    <w:name w:val="default__styledtext-tl066j-0"/>
    <w:basedOn w:val="Normal"/>
    <w:rsid w:val="00A65FD8"/>
    <w:pPr>
      <w:spacing w:before="100" w:beforeAutospacing="1" w:after="100" w:afterAutospacing="1" w:line="240" w:lineRule="auto"/>
    </w:pPr>
    <w:rPr>
      <w:rFonts w:ascii="Times New Roman" w:eastAsia="Times New Roman" w:hAnsi="Times New Roman"/>
      <w:sz w:val="24"/>
      <w:szCs w:val="24"/>
    </w:rPr>
  </w:style>
  <w:style w:type="paragraph" w:customStyle="1" w:styleId="p0">
    <w:name w:val="p0"/>
    <w:basedOn w:val="Normal"/>
    <w:next w:val="Normal"/>
    <w:qFormat/>
    <w:rsid w:val="00C22EBB"/>
    <w:pPr>
      <w:spacing w:after="120" w:line="240" w:lineRule="auto"/>
      <w:ind w:firstLine="432"/>
      <w:jc w:val="both"/>
    </w:pPr>
    <w:rPr>
      <w:rFonts w:ascii="Arial" w:eastAsia="Arial" w:hAnsi="Arial" w:cs="Arial"/>
      <w:sz w:val="20"/>
    </w:rPr>
  </w:style>
  <w:style w:type="paragraph" w:customStyle="1" w:styleId="byline">
    <w:name w:val="byline"/>
    <w:basedOn w:val="Normal"/>
    <w:rsid w:val="00267A43"/>
    <w:pPr>
      <w:spacing w:before="100" w:beforeAutospacing="1" w:after="100" w:afterAutospacing="1" w:line="240" w:lineRule="auto"/>
    </w:pPr>
    <w:rPr>
      <w:rFonts w:ascii="Times New Roman" w:eastAsia="Times New Roman" w:hAnsi="Times New Roman"/>
      <w:sz w:val="24"/>
      <w:szCs w:val="24"/>
    </w:rPr>
  </w:style>
  <w:style w:type="paragraph" w:customStyle="1" w:styleId="indent-1">
    <w:name w:val="indent-1"/>
    <w:basedOn w:val="Normal"/>
    <w:rsid w:val="009371E7"/>
    <w:pPr>
      <w:spacing w:before="100" w:beforeAutospacing="1" w:after="100" w:afterAutospacing="1" w:line="240" w:lineRule="auto"/>
    </w:pPr>
    <w:rPr>
      <w:rFonts w:ascii="Times New Roman" w:eastAsia="Times New Roman" w:hAnsi="Times New Roman"/>
      <w:sz w:val="24"/>
      <w:szCs w:val="24"/>
    </w:rPr>
  </w:style>
  <w:style w:type="character" w:customStyle="1" w:styleId="paragraph-hierarchy">
    <w:name w:val="paragraph-hierarchy"/>
    <w:basedOn w:val="DefaultParagraphFont"/>
    <w:rsid w:val="009371E7"/>
  </w:style>
  <w:style w:type="character" w:customStyle="1" w:styleId="paren">
    <w:name w:val="paren"/>
    <w:basedOn w:val="DefaultParagraphFont"/>
    <w:rsid w:val="009371E7"/>
  </w:style>
  <w:style w:type="character" w:customStyle="1" w:styleId="title-main">
    <w:name w:val="title-main"/>
    <w:basedOn w:val="DefaultParagraphFont"/>
    <w:rsid w:val="001C2F88"/>
  </w:style>
  <w:style w:type="character" w:customStyle="1" w:styleId="Heading7Char">
    <w:name w:val="Heading 7 Char"/>
    <w:basedOn w:val="DefaultParagraphFont"/>
    <w:link w:val="Heading7"/>
    <w:uiPriority w:val="9"/>
    <w:semiHidden/>
    <w:rsid w:val="004F15A5"/>
    <w:rPr>
      <w:rFonts w:asciiTheme="majorHAnsi" w:eastAsiaTheme="majorEastAsia" w:hAnsiTheme="majorHAnsi" w:cstheme="majorBidi"/>
      <w:i/>
      <w:iCs/>
      <w:color w:val="1F4D78" w:themeColor="accent1" w:themeShade="7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2852">
      <w:bodyDiv w:val="1"/>
      <w:marLeft w:val="0"/>
      <w:marRight w:val="0"/>
      <w:marTop w:val="0"/>
      <w:marBottom w:val="0"/>
      <w:divBdr>
        <w:top w:val="none" w:sz="0" w:space="0" w:color="auto"/>
        <w:left w:val="none" w:sz="0" w:space="0" w:color="auto"/>
        <w:bottom w:val="none" w:sz="0" w:space="0" w:color="auto"/>
        <w:right w:val="none" w:sz="0" w:space="0" w:color="auto"/>
      </w:divBdr>
      <w:divsChild>
        <w:div w:id="599264552">
          <w:marLeft w:val="0"/>
          <w:marRight w:val="0"/>
          <w:marTop w:val="0"/>
          <w:marBottom w:val="0"/>
          <w:divBdr>
            <w:top w:val="none" w:sz="0" w:space="0" w:color="auto"/>
            <w:left w:val="none" w:sz="0" w:space="0" w:color="auto"/>
            <w:bottom w:val="none" w:sz="0" w:space="0" w:color="auto"/>
            <w:right w:val="none" w:sz="0" w:space="0" w:color="auto"/>
          </w:divBdr>
        </w:div>
        <w:div w:id="876237426">
          <w:marLeft w:val="0"/>
          <w:marRight w:val="0"/>
          <w:marTop w:val="0"/>
          <w:marBottom w:val="0"/>
          <w:divBdr>
            <w:top w:val="none" w:sz="0" w:space="0" w:color="auto"/>
            <w:left w:val="none" w:sz="0" w:space="0" w:color="auto"/>
            <w:bottom w:val="none" w:sz="0" w:space="0" w:color="auto"/>
            <w:right w:val="none" w:sz="0" w:space="0" w:color="auto"/>
          </w:divBdr>
        </w:div>
        <w:div w:id="5716198">
          <w:marLeft w:val="0"/>
          <w:marRight w:val="0"/>
          <w:marTop w:val="0"/>
          <w:marBottom w:val="0"/>
          <w:divBdr>
            <w:top w:val="none" w:sz="0" w:space="0" w:color="auto"/>
            <w:left w:val="none" w:sz="0" w:space="0" w:color="auto"/>
            <w:bottom w:val="none" w:sz="0" w:space="0" w:color="auto"/>
            <w:right w:val="none" w:sz="0" w:space="0" w:color="auto"/>
          </w:divBdr>
        </w:div>
        <w:div w:id="1743596477">
          <w:marLeft w:val="0"/>
          <w:marRight w:val="0"/>
          <w:marTop w:val="0"/>
          <w:marBottom w:val="0"/>
          <w:divBdr>
            <w:top w:val="none" w:sz="0" w:space="0" w:color="auto"/>
            <w:left w:val="none" w:sz="0" w:space="0" w:color="auto"/>
            <w:bottom w:val="none" w:sz="0" w:space="0" w:color="auto"/>
            <w:right w:val="none" w:sz="0" w:space="0" w:color="auto"/>
          </w:divBdr>
        </w:div>
        <w:div w:id="255482026">
          <w:marLeft w:val="0"/>
          <w:marRight w:val="0"/>
          <w:marTop w:val="0"/>
          <w:marBottom w:val="0"/>
          <w:divBdr>
            <w:top w:val="none" w:sz="0" w:space="0" w:color="auto"/>
            <w:left w:val="none" w:sz="0" w:space="0" w:color="auto"/>
            <w:bottom w:val="none" w:sz="0" w:space="0" w:color="auto"/>
            <w:right w:val="none" w:sz="0" w:space="0" w:color="auto"/>
          </w:divBdr>
        </w:div>
        <w:div w:id="567308065">
          <w:marLeft w:val="0"/>
          <w:marRight w:val="0"/>
          <w:marTop w:val="0"/>
          <w:marBottom w:val="0"/>
          <w:divBdr>
            <w:top w:val="none" w:sz="0" w:space="0" w:color="auto"/>
            <w:left w:val="none" w:sz="0" w:space="0" w:color="auto"/>
            <w:bottom w:val="none" w:sz="0" w:space="0" w:color="auto"/>
            <w:right w:val="none" w:sz="0" w:space="0" w:color="auto"/>
          </w:divBdr>
        </w:div>
        <w:div w:id="1838567849">
          <w:marLeft w:val="0"/>
          <w:marRight w:val="0"/>
          <w:marTop w:val="0"/>
          <w:marBottom w:val="0"/>
          <w:divBdr>
            <w:top w:val="none" w:sz="0" w:space="0" w:color="auto"/>
            <w:left w:val="none" w:sz="0" w:space="0" w:color="auto"/>
            <w:bottom w:val="none" w:sz="0" w:space="0" w:color="auto"/>
            <w:right w:val="none" w:sz="0" w:space="0" w:color="auto"/>
          </w:divBdr>
        </w:div>
        <w:div w:id="1795903128">
          <w:marLeft w:val="0"/>
          <w:marRight w:val="0"/>
          <w:marTop w:val="0"/>
          <w:marBottom w:val="0"/>
          <w:divBdr>
            <w:top w:val="none" w:sz="0" w:space="0" w:color="auto"/>
            <w:left w:val="none" w:sz="0" w:space="0" w:color="auto"/>
            <w:bottom w:val="none" w:sz="0" w:space="0" w:color="auto"/>
            <w:right w:val="none" w:sz="0" w:space="0" w:color="auto"/>
          </w:divBdr>
        </w:div>
        <w:div w:id="1020854742">
          <w:marLeft w:val="0"/>
          <w:marRight w:val="0"/>
          <w:marTop w:val="0"/>
          <w:marBottom w:val="0"/>
          <w:divBdr>
            <w:top w:val="none" w:sz="0" w:space="0" w:color="auto"/>
            <w:left w:val="none" w:sz="0" w:space="0" w:color="auto"/>
            <w:bottom w:val="none" w:sz="0" w:space="0" w:color="auto"/>
            <w:right w:val="none" w:sz="0" w:space="0" w:color="auto"/>
          </w:divBdr>
        </w:div>
      </w:divsChild>
    </w:div>
    <w:div w:id="20981496">
      <w:bodyDiv w:val="1"/>
      <w:marLeft w:val="0"/>
      <w:marRight w:val="0"/>
      <w:marTop w:val="0"/>
      <w:marBottom w:val="0"/>
      <w:divBdr>
        <w:top w:val="none" w:sz="0" w:space="0" w:color="auto"/>
        <w:left w:val="none" w:sz="0" w:space="0" w:color="auto"/>
        <w:bottom w:val="none" w:sz="0" w:space="0" w:color="auto"/>
        <w:right w:val="none" w:sz="0" w:space="0" w:color="auto"/>
      </w:divBdr>
      <w:divsChild>
        <w:div w:id="226234525">
          <w:marLeft w:val="0"/>
          <w:marRight w:val="0"/>
          <w:marTop w:val="0"/>
          <w:marBottom w:val="0"/>
          <w:divBdr>
            <w:top w:val="none" w:sz="0" w:space="0" w:color="auto"/>
            <w:left w:val="none" w:sz="0" w:space="0" w:color="auto"/>
            <w:bottom w:val="none" w:sz="0" w:space="0" w:color="auto"/>
            <w:right w:val="none" w:sz="0" w:space="0" w:color="auto"/>
          </w:divBdr>
        </w:div>
        <w:div w:id="1705905997">
          <w:marLeft w:val="0"/>
          <w:marRight w:val="0"/>
          <w:marTop w:val="0"/>
          <w:marBottom w:val="0"/>
          <w:divBdr>
            <w:top w:val="none" w:sz="0" w:space="0" w:color="auto"/>
            <w:left w:val="none" w:sz="0" w:space="0" w:color="auto"/>
            <w:bottom w:val="none" w:sz="0" w:space="0" w:color="auto"/>
            <w:right w:val="none" w:sz="0" w:space="0" w:color="auto"/>
          </w:divBdr>
        </w:div>
        <w:div w:id="459425429">
          <w:marLeft w:val="0"/>
          <w:marRight w:val="0"/>
          <w:marTop w:val="0"/>
          <w:marBottom w:val="0"/>
          <w:divBdr>
            <w:top w:val="none" w:sz="0" w:space="0" w:color="auto"/>
            <w:left w:val="none" w:sz="0" w:space="0" w:color="auto"/>
            <w:bottom w:val="none" w:sz="0" w:space="0" w:color="auto"/>
            <w:right w:val="none" w:sz="0" w:space="0" w:color="auto"/>
          </w:divBdr>
        </w:div>
        <w:div w:id="1473446644">
          <w:marLeft w:val="0"/>
          <w:marRight w:val="0"/>
          <w:marTop w:val="0"/>
          <w:marBottom w:val="0"/>
          <w:divBdr>
            <w:top w:val="none" w:sz="0" w:space="0" w:color="auto"/>
            <w:left w:val="none" w:sz="0" w:space="0" w:color="auto"/>
            <w:bottom w:val="none" w:sz="0" w:space="0" w:color="auto"/>
            <w:right w:val="none" w:sz="0" w:space="0" w:color="auto"/>
          </w:divBdr>
        </w:div>
        <w:div w:id="1221281512">
          <w:marLeft w:val="0"/>
          <w:marRight w:val="0"/>
          <w:marTop w:val="0"/>
          <w:marBottom w:val="0"/>
          <w:divBdr>
            <w:top w:val="none" w:sz="0" w:space="0" w:color="auto"/>
            <w:left w:val="none" w:sz="0" w:space="0" w:color="auto"/>
            <w:bottom w:val="none" w:sz="0" w:space="0" w:color="auto"/>
            <w:right w:val="none" w:sz="0" w:space="0" w:color="auto"/>
          </w:divBdr>
        </w:div>
        <w:div w:id="1018429785">
          <w:marLeft w:val="0"/>
          <w:marRight w:val="0"/>
          <w:marTop w:val="0"/>
          <w:marBottom w:val="0"/>
          <w:divBdr>
            <w:top w:val="none" w:sz="0" w:space="0" w:color="auto"/>
            <w:left w:val="none" w:sz="0" w:space="0" w:color="auto"/>
            <w:bottom w:val="none" w:sz="0" w:space="0" w:color="auto"/>
            <w:right w:val="none" w:sz="0" w:space="0" w:color="auto"/>
          </w:divBdr>
        </w:div>
        <w:div w:id="796610630">
          <w:marLeft w:val="0"/>
          <w:marRight w:val="0"/>
          <w:marTop w:val="0"/>
          <w:marBottom w:val="0"/>
          <w:divBdr>
            <w:top w:val="none" w:sz="0" w:space="0" w:color="auto"/>
            <w:left w:val="none" w:sz="0" w:space="0" w:color="auto"/>
            <w:bottom w:val="none" w:sz="0" w:space="0" w:color="auto"/>
            <w:right w:val="none" w:sz="0" w:space="0" w:color="auto"/>
          </w:divBdr>
        </w:div>
        <w:div w:id="610285005">
          <w:marLeft w:val="0"/>
          <w:marRight w:val="0"/>
          <w:marTop w:val="0"/>
          <w:marBottom w:val="0"/>
          <w:divBdr>
            <w:top w:val="none" w:sz="0" w:space="0" w:color="auto"/>
            <w:left w:val="none" w:sz="0" w:space="0" w:color="auto"/>
            <w:bottom w:val="none" w:sz="0" w:space="0" w:color="auto"/>
            <w:right w:val="none" w:sz="0" w:space="0" w:color="auto"/>
          </w:divBdr>
        </w:div>
        <w:div w:id="558322622">
          <w:marLeft w:val="0"/>
          <w:marRight w:val="0"/>
          <w:marTop w:val="0"/>
          <w:marBottom w:val="0"/>
          <w:divBdr>
            <w:top w:val="none" w:sz="0" w:space="0" w:color="auto"/>
            <w:left w:val="none" w:sz="0" w:space="0" w:color="auto"/>
            <w:bottom w:val="none" w:sz="0" w:space="0" w:color="auto"/>
            <w:right w:val="none" w:sz="0" w:space="0" w:color="auto"/>
          </w:divBdr>
        </w:div>
        <w:div w:id="1256788806">
          <w:marLeft w:val="0"/>
          <w:marRight w:val="0"/>
          <w:marTop w:val="0"/>
          <w:marBottom w:val="0"/>
          <w:divBdr>
            <w:top w:val="none" w:sz="0" w:space="0" w:color="auto"/>
            <w:left w:val="none" w:sz="0" w:space="0" w:color="auto"/>
            <w:bottom w:val="none" w:sz="0" w:space="0" w:color="auto"/>
            <w:right w:val="none" w:sz="0" w:space="0" w:color="auto"/>
          </w:divBdr>
        </w:div>
        <w:div w:id="1795900576">
          <w:marLeft w:val="0"/>
          <w:marRight w:val="0"/>
          <w:marTop w:val="0"/>
          <w:marBottom w:val="0"/>
          <w:divBdr>
            <w:top w:val="none" w:sz="0" w:space="0" w:color="auto"/>
            <w:left w:val="none" w:sz="0" w:space="0" w:color="auto"/>
            <w:bottom w:val="none" w:sz="0" w:space="0" w:color="auto"/>
            <w:right w:val="none" w:sz="0" w:space="0" w:color="auto"/>
          </w:divBdr>
        </w:div>
        <w:div w:id="1307861056">
          <w:marLeft w:val="0"/>
          <w:marRight w:val="0"/>
          <w:marTop w:val="0"/>
          <w:marBottom w:val="0"/>
          <w:divBdr>
            <w:top w:val="none" w:sz="0" w:space="0" w:color="auto"/>
            <w:left w:val="none" w:sz="0" w:space="0" w:color="auto"/>
            <w:bottom w:val="none" w:sz="0" w:space="0" w:color="auto"/>
            <w:right w:val="none" w:sz="0" w:space="0" w:color="auto"/>
          </w:divBdr>
        </w:div>
        <w:div w:id="655183363">
          <w:marLeft w:val="0"/>
          <w:marRight w:val="0"/>
          <w:marTop w:val="0"/>
          <w:marBottom w:val="0"/>
          <w:divBdr>
            <w:top w:val="none" w:sz="0" w:space="0" w:color="auto"/>
            <w:left w:val="none" w:sz="0" w:space="0" w:color="auto"/>
            <w:bottom w:val="none" w:sz="0" w:space="0" w:color="auto"/>
            <w:right w:val="none" w:sz="0" w:space="0" w:color="auto"/>
          </w:divBdr>
        </w:div>
        <w:div w:id="1950431030">
          <w:marLeft w:val="0"/>
          <w:marRight w:val="0"/>
          <w:marTop w:val="0"/>
          <w:marBottom w:val="0"/>
          <w:divBdr>
            <w:top w:val="none" w:sz="0" w:space="0" w:color="auto"/>
            <w:left w:val="none" w:sz="0" w:space="0" w:color="auto"/>
            <w:bottom w:val="none" w:sz="0" w:space="0" w:color="auto"/>
            <w:right w:val="none" w:sz="0" w:space="0" w:color="auto"/>
          </w:divBdr>
        </w:div>
        <w:div w:id="925841371">
          <w:marLeft w:val="0"/>
          <w:marRight w:val="0"/>
          <w:marTop w:val="0"/>
          <w:marBottom w:val="0"/>
          <w:divBdr>
            <w:top w:val="none" w:sz="0" w:space="0" w:color="auto"/>
            <w:left w:val="none" w:sz="0" w:space="0" w:color="auto"/>
            <w:bottom w:val="none" w:sz="0" w:space="0" w:color="auto"/>
            <w:right w:val="none" w:sz="0" w:space="0" w:color="auto"/>
          </w:divBdr>
        </w:div>
        <w:div w:id="1458716745">
          <w:marLeft w:val="0"/>
          <w:marRight w:val="0"/>
          <w:marTop w:val="0"/>
          <w:marBottom w:val="0"/>
          <w:divBdr>
            <w:top w:val="none" w:sz="0" w:space="0" w:color="auto"/>
            <w:left w:val="none" w:sz="0" w:space="0" w:color="auto"/>
            <w:bottom w:val="none" w:sz="0" w:space="0" w:color="auto"/>
            <w:right w:val="none" w:sz="0" w:space="0" w:color="auto"/>
          </w:divBdr>
        </w:div>
        <w:div w:id="1505782658">
          <w:marLeft w:val="0"/>
          <w:marRight w:val="0"/>
          <w:marTop w:val="0"/>
          <w:marBottom w:val="0"/>
          <w:divBdr>
            <w:top w:val="none" w:sz="0" w:space="0" w:color="auto"/>
            <w:left w:val="none" w:sz="0" w:space="0" w:color="auto"/>
            <w:bottom w:val="none" w:sz="0" w:space="0" w:color="auto"/>
            <w:right w:val="none" w:sz="0" w:space="0" w:color="auto"/>
          </w:divBdr>
        </w:div>
        <w:div w:id="356472511">
          <w:marLeft w:val="0"/>
          <w:marRight w:val="0"/>
          <w:marTop w:val="0"/>
          <w:marBottom w:val="0"/>
          <w:divBdr>
            <w:top w:val="none" w:sz="0" w:space="0" w:color="auto"/>
            <w:left w:val="none" w:sz="0" w:space="0" w:color="auto"/>
            <w:bottom w:val="none" w:sz="0" w:space="0" w:color="auto"/>
            <w:right w:val="none" w:sz="0" w:space="0" w:color="auto"/>
          </w:divBdr>
        </w:div>
        <w:div w:id="1979650504">
          <w:marLeft w:val="0"/>
          <w:marRight w:val="0"/>
          <w:marTop w:val="0"/>
          <w:marBottom w:val="0"/>
          <w:divBdr>
            <w:top w:val="none" w:sz="0" w:space="0" w:color="auto"/>
            <w:left w:val="none" w:sz="0" w:space="0" w:color="auto"/>
            <w:bottom w:val="none" w:sz="0" w:space="0" w:color="auto"/>
            <w:right w:val="none" w:sz="0" w:space="0" w:color="auto"/>
          </w:divBdr>
        </w:div>
        <w:div w:id="697118668">
          <w:marLeft w:val="0"/>
          <w:marRight w:val="0"/>
          <w:marTop w:val="0"/>
          <w:marBottom w:val="0"/>
          <w:divBdr>
            <w:top w:val="none" w:sz="0" w:space="0" w:color="auto"/>
            <w:left w:val="none" w:sz="0" w:space="0" w:color="auto"/>
            <w:bottom w:val="none" w:sz="0" w:space="0" w:color="auto"/>
            <w:right w:val="none" w:sz="0" w:space="0" w:color="auto"/>
          </w:divBdr>
        </w:div>
        <w:div w:id="1179124146">
          <w:marLeft w:val="0"/>
          <w:marRight w:val="0"/>
          <w:marTop w:val="0"/>
          <w:marBottom w:val="0"/>
          <w:divBdr>
            <w:top w:val="none" w:sz="0" w:space="0" w:color="auto"/>
            <w:left w:val="none" w:sz="0" w:space="0" w:color="auto"/>
            <w:bottom w:val="none" w:sz="0" w:space="0" w:color="auto"/>
            <w:right w:val="none" w:sz="0" w:space="0" w:color="auto"/>
          </w:divBdr>
        </w:div>
        <w:div w:id="60375666">
          <w:marLeft w:val="0"/>
          <w:marRight w:val="0"/>
          <w:marTop w:val="0"/>
          <w:marBottom w:val="0"/>
          <w:divBdr>
            <w:top w:val="none" w:sz="0" w:space="0" w:color="auto"/>
            <w:left w:val="none" w:sz="0" w:space="0" w:color="auto"/>
            <w:bottom w:val="none" w:sz="0" w:space="0" w:color="auto"/>
            <w:right w:val="none" w:sz="0" w:space="0" w:color="auto"/>
          </w:divBdr>
        </w:div>
        <w:div w:id="734863476">
          <w:marLeft w:val="0"/>
          <w:marRight w:val="0"/>
          <w:marTop w:val="0"/>
          <w:marBottom w:val="0"/>
          <w:divBdr>
            <w:top w:val="none" w:sz="0" w:space="0" w:color="auto"/>
            <w:left w:val="none" w:sz="0" w:space="0" w:color="auto"/>
            <w:bottom w:val="none" w:sz="0" w:space="0" w:color="auto"/>
            <w:right w:val="none" w:sz="0" w:space="0" w:color="auto"/>
          </w:divBdr>
        </w:div>
      </w:divsChild>
    </w:div>
    <w:div w:id="33625055">
      <w:bodyDiv w:val="1"/>
      <w:marLeft w:val="0"/>
      <w:marRight w:val="0"/>
      <w:marTop w:val="0"/>
      <w:marBottom w:val="0"/>
      <w:divBdr>
        <w:top w:val="none" w:sz="0" w:space="0" w:color="auto"/>
        <w:left w:val="none" w:sz="0" w:space="0" w:color="auto"/>
        <w:bottom w:val="none" w:sz="0" w:space="0" w:color="auto"/>
        <w:right w:val="none" w:sz="0" w:space="0" w:color="auto"/>
      </w:divBdr>
    </w:div>
    <w:div w:id="36241436">
      <w:bodyDiv w:val="1"/>
      <w:marLeft w:val="0"/>
      <w:marRight w:val="0"/>
      <w:marTop w:val="0"/>
      <w:marBottom w:val="0"/>
      <w:divBdr>
        <w:top w:val="none" w:sz="0" w:space="0" w:color="auto"/>
        <w:left w:val="none" w:sz="0" w:space="0" w:color="auto"/>
        <w:bottom w:val="none" w:sz="0" w:space="0" w:color="auto"/>
        <w:right w:val="none" w:sz="0" w:space="0" w:color="auto"/>
      </w:divBdr>
      <w:divsChild>
        <w:div w:id="1684671190">
          <w:marLeft w:val="0"/>
          <w:marRight w:val="0"/>
          <w:marTop w:val="0"/>
          <w:marBottom w:val="0"/>
          <w:divBdr>
            <w:top w:val="none" w:sz="0" w:space="0" w:color="auto"/>
            <w:left w:val="none" w:sz="0" w:space="0" w:color="auto"/>
            <w:bottom w:val="none" w:sz="0" w:space="0" w:color="auto"/>
            <w:right w:val="none" w:sz="0" w:space="0" w:color="auto"/>
          </w:divBdr>
        </w:div>
        <w:div w:id="735015124">
          <w:marLeft w:val="0"/>
          <w:marRight w:val="0"/>
          <w:marTop w:val="0"/>
          <w:marBottom w:val="0"/>
          <w:divBdr>
            <w:top w:val="none" w:sz="0" w:space="0" w:color="auto"/>
            <w:left w:val="none" w:sz="0" w:space="0" w:color="auto"/>
            <w:bottom w:val="none" w:sz="0" w:space="0" w:color="auto"/>
            <w:right w:val="none" w:sz="0" w:space="0" w:color="auto"/>
          </w:divBdr>
        </w:div>
        <w:div w:id="202866640">
          <w:marLeft w:val="0"/>
          <w:marRight w:val="0"/>
          <w:marTop w:val="0"/>
          <w:marBottom w:val="0"/>
          <w:divBdr>
            <w:top w:val="none" w:sz="0" w:space="0" w:color="auto"/>
            <w:left w:val="none" w:sz="0" w:space="0" w:color="auto"/>
            <w:bottom w:val="none" w:sz="0" w:space="0" w:color="auto"/>
            <w:right w:val="none" w:sz="0" w:space="0" w:color="auto"/>
          </w:divBdr>
        </w:div>
        <w:div w:id="215358153">
          <w:marLeft w:val="0"/>
          <w:marRight w:val="0"/>
          <w:marTop w:val="0"/>
          <w:marBottom w:val="0"/>
          <w:divBdr>
            <w:top w:val="none" w:sz="0" w:space="0" w:color="auto"/>
            <w:left w:val="none" w:sz="0" w:space="0" w:color="auto"/>
            <w:bottom w:val="none" w:sz="0" w:space="0" w:color="auto"/>
            <w:right w:val="none" w:sz="0" w:space="0" w:color="auto"/>
          </w:divBdr>
        </w:div>
        <w:div w:id="661272433">
          <w:marLeft w:val="0"/>
          <w:marRight w:val="0"/>
          <w:marTop w:val="0"/>
          <w:marBottom w:val="0"/>
          <w:divBdr>
            <w:top w:val="none" w:sz="0" w:space="0" w:color="auto"/>
            <w:left w:val="none" w:sz="0" w:space="0" w:color="auto"/>
            <w:bottom w:val="none" w:sz="0" w:space="0" w:color="auto"/>
            <w:right w:val="none" w:sz="0" w:space="0" w:color="auto"/>
          </w:divBdr>
        </w:div>
        <w:div w:id="1882092376">
          <w:marLeft w:val="0"/>
          <w:marRight w:val="0"/>
          <w:marTop w:val="0"/>
          <w:marBottom w:val="0"/>
          <w:divBdr>
            <w:top w:val="none" w:sz="0" w:space="0" w:color="auto"/>
            <w:left w:val="none" w:sz="0" w:space="0" w:color="auto"/>
            <w:bottom w:val="none" w:sz="0" w:space="0" w:color="auto"/>
            <w:right w:val="none" w:sz="0" w:space="0" w:color="auto"/>
          </w:divBdr>
        </w:div>
        <w:div w:id="867447931">
          <w:marLeft w:val="0"/>
          <w:marRight w:val="0"/>
          <w:marTop w:val="0"/>
          <w:marBottom w:val="0"/>
          <w:divBdr>
            <w:top w:val="none" w:sz="0" w:space="0" w:color="auto"/>
            <w:left w:val="none" w:sz="0" w:space="0" w:color="auto"/>
            <w:bottom w:val="none" w:sz="0" w:space="0" w:color="auto"/>
            <w:right w:val="none" w:sz="0" w:space="0" w:color="auto"/>
          </w:divBdr>
        </w:div>
        <w:div w:id="1666591984">
          <w:marLeft w:val="0"/>
          <w:marRight w:val="0"/>
          <w:marTop w:val="0"/>
          <w:marBottom w:val="0"/>
          <w:divBdr>
            <w:top w:val="none" w:sz="0" w:space="0" w:color="auto"/>
            <w:left w:val="none" w:sz="0" w:space="0" w:color="auto"/>
            <w:bottom w:val="none" w:sz="0" w:space="0" w:color="auto"/>
            <w:right w:val="none" w:sz="0" w:space="0" w:color="auto"/>
          </w:divBdr>
        </w:div>
        <w:div w:id="453719494">
          <w:marLeft w:val="0"/>
          <w:marRight w:val="0"/>
          <w:marTop w:val="0"/>
          <w:marBottom w:val="0"/>
          <w:divBdr>
            <w:top w:val="none" w:sz="0" w:space="0" w:color="auto"/>
            <w:left w:val="none" w:sz="0" w:space="0" w:color="auto"/>
            <w:bottom w:val="none" w:sz="0" w:space="0" w:color="auto"/>
            <w:right w:val="none" w:sz="0" w:space="0" w:color="auto"/>
          </w:divBdr>
        </w:div>
        <w:div w:id="1945305130">
          <w:marLeft w:val="0"/>
          <w:marRight w:val="0"/>
          <w:marTop w:val="0"/>
          <w:marBottom w:val="0"/>
          <w:divBdr>
            <w:top w:val="none" w:sz="0" w:space="0" w:color="auto"/>
            <w:left w:val="none" w:sz="0" w:space="0" w:color="auto"/>
            <w:bottom w:val="none" w:sz="0" w:space="0" w:color="auto"/>
            <w:right w:val="none" w:sz="0" w:space="0" w:color="auto"/>
          </w:divBdr>
        </w:div>
        <w:div w:id="1272203554">
          <w:marLeft w:val="0"/>
          <w:marRight w:val="0"/>
          <w:marTop w:val="0"/>
          <w:marBottom w:val="0"/>
          <w:divBdr>
            <w:top w:val="none" w:sz="0" w:space="0" w:color="auto"/>
            <w:left w:val="none" w:sz="0" w:space="0" w:color="auto"/>
            <w:bottom w:val="none" w:sz="0" w:space="0" w:color="auto"/>
            <w:right w:val="none" w:sz="0" w:space="0" w:color="auto"/>
          </w:divBdr>
        </w:div>
        <w:div w:id="941451978">
          <w:marLeft w:val="0"/>
          <w:marRight w:val="0"/>
          <w:marTop w:val="0"/>
          <w:marBottom w:val="0"/>
          <w:divBdr>
            <w:top w:val="none" w:sz="0" w:space="0" w:color="auto"/>
            <w:left w:val="none" w:sz="0" w:space="0" w:color="auto"/>
            <w:bottom w:val="none" w:sz="0" w:space="0" w:color="auto"/>
            <w:right w:val="none" w:sz="0" w:space="0" w:color="auto"/>
          </w:divBdr>
        </w:div>
        <w:div w:id="1929775874">
          <w:marLeft w:val="0"/>
          <w:marRight w:val="0"/>
          <w:marTop w:val="0"/>
          <w:marBottom w:val="0"/>
          <w:divBdr>
            <w:top w:val="none" w:sz="0" w:space="0" w:color="auto"/>
            <w:left w:val="none" w:sz="0" w:space="0" w:color="auto"/>
            <w:bottom w:val="none" w:sz="0" w:space="0" w:color="auto"/>
            <w:right w:val="none" w:sz="0" w:space="0" w:color="auto"/>
          </w:divBdr>
        </w:div>
        <w:div w:id="1438986527">
          <w:marLeft w:val="0"/>
          <w:marRight w:val="0"/>
          <w:marTop w:val="0"/>
          <w:marBottom w:val="0"/>
          <w:divBdr>
            <w:top w:val="none" w:sz="0" w:space="0" w:color="auto"/>
            <w:left w:val="none" w:sz="0" w:space="0" w:color="auto"/>
            <w:bottom w:val="none" w:sz="0" w:space="0" w:color="auto"/>
            <w:right w:val="none" w:sz="0" w:space="0" w:color="auto"/>
          </w:divBdr>
        </w:div>
      </w:divsChild>
    </w:div>
    <w:div w:id="118955063">
      <w:bodyDiv w:val="1"/>
      <w:marLeft w:val="0"/>
      <w:marRight w:val="0"/>
      <w:marTop w:val="0"/>
      <w:marBottom w:val="0"/>
      <w:divBdr>
        <w:top w:val="none" w:sz="0" w:space="0" w:color="auto"/>
        <w:left w:val="none" w:sz="0" w:space="0" w:color="auto"/>
        <w:bottom w:val="none" w:sz="0" w:space="0" w:color="auto"/>
        <w:right w:val="none" w:sz="0" w:space="0" w:color="auto"/>
      </w:divBdr>
      <w:divsChild>
        <w:div w:id="2027361260">
          <w:marLeft w:val="0"/>
          <w:marRight w:val="0"/>
          <w:marTop w:val="0"/>
          <w:marBottom w:val="0"/>
          <w:divBdr>
            <w:top w:val="none" w:sz="0" w:space="0" w:color="auto"/>
            <w:left w:val="none" w:sz="0" w:space="0" w:color="auto"/>
            <w:bottom w:val="none" w:sz="0" w:space="0" w:color="auto"/>
            <w:right w:val="none" w:sz="0" w:space="0" w:color="auto"/>
          </w:divBdr>
        </w:div>
        <w:div w:id="1654136271">
          <w:marLeft w:val="0"/>
          <w:marRight w:val="0"/>
          <w:marTop w:val="0"/>
          <w:marBottom w:val="0"/>
          <w:divBdr>
            <w:top w:val="none" w:sz="0" w:space="0" w:color="auto"/>
            <w:left w:val="none" w:sz="0" w:space="0" w:color="auto"/>
            <w:bottom w:val="none" w:sz="0" w:space="0" w:color="auto"/>
            <w:right w:val="none" w:sz="0" w:space="0" w:color="auto"/>
          </w:divBdr>
        </w:div>
        <w:div w:id="764957715">
          <w:marLeft w:val="0"/>
          <w:marRight w:val="0"/>
          <w:marTop w:val="0"/>
          <w:marBottom w:val="0"/>
          <w:divBdr>
            <w:top w:val="none" w:sz="0" w:space="0" w:color="auto"/>
            <w:left w:val="none" w:sz="0" w:space="0" w:color="auto"/>
            <w:bottom w:val="none" w:sz="0" w:space="0" w:color="auto"/>
            <w:right w:val="none" w:sz="0" w:space="0" w:color="auto"/>
          </w:divBdr>
        </w:div>
        <w:div w:id="1973897699">
          <w:marLeft w:val="0"/>
          <w:marRight w:val="0"/>
          <w:marTop w:val="0"/>
          <w:marBottom w:val="0"/>
          <w:divBdr>
            <w:top w:val="none" w:sz="0" w:space="0" w:color="auto"/>
            <w:left w:val="none" w:sz="0" w:space="0" w:color="auto"/>
            <w:bottom w:val="none" w:sz="0" w:space="0" w:color="auto"/>
            <w:right w:val="none" w:sz="0" w:space="0" w:color="auto"/>
          </w:divBdr>
        </w:div>
        <w:div w:id="588084401">
          <w:marLeft w:val="0"/>
          <w:marRight w:val="0"/>
          <w:marTop w:val="0"/>
          <w:marBottom w:val="0"/>
          <w:divBdr>
            <w:top w:val="none" w:sz="0" w:space="0" w:color="auto"/>
            <w:left w:val="none" w:sz="0" w:space="0" w:color="auto"/>
            <w:bottom w:val="none" w:sz="0" w:space="0" w:color="auto"/>
            <w:right w:val="none" w:sz="0" w:space="0" w:color="auto"/>
          </w:divBdr>
        </w:div>
        <w:div w:id="1617326984">
          <w:marLeft w:val="0"/>
          <w:marRight w:val="0"/>
          <w:marTop w:val="0"/>
          <w:marBottom w:val="0"/>
          <w:divBdr>
            <w:top w:val="none" w:sz="0" w:space="0" w:color="auto"/>
            <w:left w:val="none" w:sz="0" w:space="0" w:color="auto"/>
            <w:bottom w:val="none" w:sz="0" w:space="0" w:color="auto"/>
            <w:right w:val="none" w:sz="0" w:space="0" w:color="auto"/>
          </w:divBdr>
        </w:div>
        <w:div w:id="1413502187">
          <w:marLeft w:val="0"/>
          <w:marRight w:val="0"/>
          <w:marTop w:val="0"/>
          <w:marBottom w:val="0"/>
          <w:divBdr>
            <w:top w:val="none" w:sz="0" w:space="0" w:color="auto"/>
            <w:left w:val="none" w:sz="0" w:space="0" w:color="auto"/>
            <w:bottom w:val="none" w:sz="0" w:space="0" w:color="auto"/>
            <w:right w:val="none" w:sz="0" w:space="0" w:color="auto"/>
          </w:divBdr>
        </w:div>
        <w:div w:id="1486240307">
          <w:marLeft w:val="0"/>
          <w:marRight w:val="0"/>
          <w:marTop w:val="0"/>
          <w:marBottom w:val="0"/>
          <w:divBdr>
            <w:top w:val="none" w:sz="0" w:space="0" w:color="auto"/>
            <w:left w:val="none" w:sz="0" w:space="0" w:color="auto"/>
            <w:bottom w:val="none" w:sz="0" w:space="0" w:color="auto"/>
            <w:right w:val="none" w:sz="0" w:space="0" w:color="auto"/>
          </w:divBdr>
        </w:div>
        <w:div w:id="1386249077">
          <w:marLeft w:val="0"/>
          <w:marRight w:val="0"/>
          <w:marTop w:val="0"/>
          <w:marBottom w:val="0"/>
          <w:divBdr>
            <w:top w:val="none" w:sz="0" w:space="0" w:color="auto"/>
            <w:left w:val="none" w:sz="0" w:space="0" w:color="auto"/>
            <w:bottom w:val="none" w:sz="0" w:space="0" w:color="auto"/>
            <w:right w:val="none" w:sz="0" w:space="0" w:color="auto"/>
          </w:divBdr>
        </w:div>
        <w:div w:id="1480658936">
          <w:marLeft w:val="0"/>
          <w:marRight w:val="0"/>
          <w:marTop w:val="0"/>
          <w:marBottom w:val="0"/>
          <w:divBdr>
            <w:top w:val="none" w:sz="0" w:space="0" w:color="auto"/>
            <w:left w:val="none" w:sz="0" w:space="0" w:color="auto"/>
            <w:bottom w:val="none" w:sz="0" w:space="0" w:color="auto"/>
            <w:right w:val="none" w:sz="0" w:space="0" w:color="auto"/>
          </w:divBdr>
        </w:div>
        <w:div w:id="725180454">
          <w:marLeft w:val="0"/>
          <w:marRight w:val="0"/>
          <w:marTop w:val="0"/>
          <w:marBottom w:val="0"/>
          <w:divBdr>
            <w:top w:val="none" w:sz="0" w:space="0" w:color="auto"/>
            <w:left w:val="none" w:sz="0" w:space="0" w:color="auto"/>
            <w:bottom w:val="none" w:sz="0" w:space="0" w:color="auto"/>
            <w:right w:val="none" w:sz="0" w:space="0" w:color="auto"/>
          </w:divBdr>
        </w:div>
        <w:div w:id="1137407691">
          <w:marLeft w:val="0"/>
          <w:marRight w:val="0"/>
          <w:marTop w:val="0"/>
          <w:marBottom w:val="0"/>
          <w:divBdr>
            <w:top w:val="none" w:sz="0" w:space="0" w:color="auto"/>
            <w:left w:val="none" w:sz="0" w:space="0" w:color="auto"/>
            <w:bottom w:val="none" w:sz="0" w:space="0" w:color="auto"/>
            <w:right w:val="none" w:sz="0" w:space="0" w:color="auto"/>
          </w:divBdr>
        </w:div>
        <w:div w:id="70540309">
          <w:marLeft w:val="0"/>
          <w:marRight w:val="0"/>
          <w:marTop w:val="0"/>
          <w:marBottom w:val="0"/>
          <w:divBdr>
            <w:top w:val="none" w:sz="0" w:space="0" w:color="auto"/>
            <w:left w:val="none" w:sz="0" w:space="0" w:color="auto"/>
            <w:bottom w:val="none" w:sz="0" w:space="0" w:color="auto"/>
            <w:right w:val="none" w:sz="0" w:space="0" w:color="auto"/>
          </w:divBdr>
        </w:div>
        <w:div w:id="1161308632">
          <w:marLeft w:val="0"/>
          <w:marRight w:val="0"/>
          <w:marTop w:val="0"/>
          <w:marBottom w:val="0"/>
          <w:divBdr>
            <w:top w:val="none" w:sz="0" w:space="0" w:color="auto"/>
            <w:left w:val="none" w:sz="0" w:space="0" w:color="auto"/>
            <w:bottom w:val="none" w:sz="0" w:space="0" w:color="auto"/>
            <w:right w:val="none" w:sz="0" w:space="0" w:color="auto"/>
          </w:divBdr>
        </w:div>
        <w:div w:id="1193350071">
          <w:marLeft w:val="0"/>
          <w:marRight w:val="0"/>
          <w:marTop w:val="0"/>
          <w:marBottom w:val="0"/>
          <w:divBdr>
            <w:top w:val="none" w:sz="0" w:space="0" w:color="auto"/>
            <w:left w:val="none" w:sz="0" w:space="0" w:color="auto"/>
            <w:bottom w:val="none" w:sz="0" w:space="0" w:color="auto"/>
            <w:right w:val="none" w:sz="0" w:space="0" w:color="auto"/>
          </w:divBdr>
        </w:div>
        <w:div w:id="1573151577">
          <w:marLeft w:val="0"/>
          <w:marRight w:val="0"/>
          <w:marTop w:val="0"/>
          <w:marBottom w:val="0"/>
          <w:divBdr>
            <w:top w:val="none" w:sz="0" w:space="0" w:color="auto"/>
            <w:left w:val="none" w:sz="0" w:space="0" w:color="auto"/>
            <w:bottom w:val="none" w:sz="0" w:space="0" w:color="auto"/>
            <w:right w:val="none" w:sz="0" w:space="0" w:color="auto"/>
          </w:divBdr>
        </w:div>
        <w:div w:id="1922255578">
          <w:marLeft w:val="0"/>
          <w:marRight w:val="0"/>
          <w:marTop w:val="0"/>
          <w:marBottom w:val="0"/>
          <w:divBdr>
            <w:top w:val="none" w:sz="0" w:space="0" w:color="auto"/>
            <w:left w:val="none" w:sz="0" w:space="0" w:color="auto"/>
            <w:bottom w:val="none" w:sz="0" w:space="0" w:color="auto"/>
            <w:right w:val="none" w:sz="0" w:space="0" w:color="auto"/>
          </w:divBdr>
        </w:div>
        <w:div w:id="1034766312">
          <w:marLeft w:val="0"/>
          <w:marRight w:val="0"/>
          <w:marTop w:val="0"/>
          <w:marBottom w:val="0"/>
          <w:divBdr>
            <w:top w:val="none" w:sz="0" w:space="0" w:color="auto"/>
            <w:left w:val="none" w:sz="0" w:space="0" w:color="auto"/>
            <w:bottom w:val="none" w:sz="0" w:space="0" w:color="auto"/>
            <w:right w:val="none" w:sz="0" w:space="0" w:color="auto"/>
          </w:divBdr>
        </w:div>
        <w:div w:id="882255410">
          <w:marLeft w:val="0"/>
          <w:marRight w:val="0"/>
          <w:marTop w:val="0"/>
          <w:marBottom w:val="0"/>
          <w:divBdr>
            <w:top w:val="none" w:sz="0" w:space="0" w:color="auto"/>
            <w:left w:val="none" w:sz="0" w:space="0" w:color="auto"/>
            <w:bottom w:val="none" w:sz="0" w:space="0" w:color="auto"/>
            <w:right w:val="none" w:sz="0" w:space="0" w:color="auto"/>
          </w:divBdr>
        </w:div>
        <w:div w:id="1806389559">
          <w:marLeft w:val="0"/>
          <w:marRight w:val="0"/>
          <w:marTop w:val="0"/>
          <w:marBottom w:val="0"/>
          <w:divBdr>
            <w:top w:val="none" w:sz="0" w:space="0" w:color="auto"/>
            <w:left w:val="none" w:sz="0" w:space="0" w:color="auto"/>
            <w:bottom w:val="none" w:sz="0" w:space="0" w:color="auto"/>
            <w:right w:val="none" w:sz="0" w:space="0" w:color="auto"/>
          </w:divBdr>
        </w:div>
        <w:div w:id="1497768483">
          <w:marLeft w:val="0"/>
          <w:marRight w:val="0"/>
          <w:marTop w:val="0"/>
          <w:marBottom w:val="0"/>
          <w:divBdr>
            <w:top w:val="none" w:sz="0" w:space="0" w:color="auto"/>
            <w:left w:val="none" w:sz="0" w:space="0" w:color="auto"/>
            <w:bottom w:val="none" w:sz="0" w:space="0" w:color="auto"/>
            <w:right w:val="none" w:sz="0" w:space="0" w:color="auto"/>
          </w:divBdr>
        </w:div>
        <w:div w:id="540829405">
          <w:marLeft w:val="0"/>
          <w:marRight w:val="0"/>
          <w:marTop w:val="0"/>
          <w:marBottom w:val="0"/>
          <w:divBdr>
            <w:top w:val="none" w:sz="0" w:space="0" w:color="auto"/>
            <w:left w:val="none" w:sz="0" w:space="0" w:color="auto"/>
            <w:bottom w:val="none" w:sz="0" w:space="0" w:color="auto"/>
            <w:right w:val="none" w:sz="0" w:space="0" w:color="auto"/>
          </w:divBdr>
        </w:div>
        <w:div w:id="1691755696">
          <w:marLeft w:val="0"/>
          <w:marRight w:val="0"/>
          <w:marTop w:val="0"/>
          <w:marBottom w:val="0"/>
          <w:divBdr>
            <w:top w:val="none" w:sz="0" w:space="0" w:color="auto"/>
            <w:left w:val="none" w:sz="0" w:space="0" w:color="auto"/>
            <w:bottom w:val="none" w:sz="0" w:space="0" w:color="auto"/>
            <w:right w:val="none" w:sz="0" w:space="0" w:color="auto"/>
          </w:divBdr>
        </w:div>
        <w:div w:id="432478374">
          <w:marLeft w:val="0"/>
          <w:marRight w:val="0"/>
          <w:marTop w:val="0"/>
          <w:marBottom w:val="0"/>
          <w:divBdr>
            <w:top w:val="none" w:sz="0" w:space="0" w:color="auto"/>
            <w:left w:val="none" w:sz="0" w:space="0" w:color="auto"/>
            <w:bottom w:val="none" w:sz="0" w:space="0" w:color="auto"/>
            <w:right w:val="none" w:sz="0" w:space="0" w:color="auto"/>
          </w:divBdr>
        </w:div>
        <w:div w:id="964702100">
          <w:marLeft w:val="0"/>
          <w:marRight w:val="0"/>
          <w:marTop w:val="0"/>
          <w:marBottom w:val="0"/>
          <w:divBdr>
            <w:top w:val="none" w:sz="0" w:space="0" w:color="auto"/>
            <w:left w:val="none" w:sz="0" w:space="0" w:color="auto"/>
            <w:bottom w:val="none" w:sz="0" w:space="0" w:color="auto"/>
            <w:right w:val="none" w:sz="0" w:space="0" w:color="auto"/>
          </w:divBdr>
        </w:div>
        <w:div w:id="1486624466">
          <w:marLeft w:val="0"/>
          <w:marRight w:val="0"/>
          <w:marTop w:val="0"/>
          <w:marBottom w:val="0"/>
          <w:divBdr>
            <w:top w:val="none" w:sz="0" w:space="0" w:color="auto"/>
            <w:left w:val="none" w:sz="0" w:space="0" w:color="auto"/>
            <w:bottom w:val="none" w:sz="0" w:space="0" w:color="auto"/>
            <w:right w:val="none" w:sz="0" w:space="0" w:color="auto"/>
          </w:divBdr>
        </w:div>
        <w:div w:id="2004550008">
          <w:marLeft w:val="0"/>
          <w:marRight w:val="0"/>
          <w:marTop w:val="0"/>
          <w:marBottom w:val="0"/>
          <w:divBdr>
            <w:top w:val="none" w:sz="0" w:space="0" w:color="auto"/>
            <w:left w:val="none" w:sz="0" w:space="0" w:color="auto"/>
            <w:bottom w:val="none" w:sz="0" w:space="0" w:color="auto"/>
            <w:right w:val="none" w:sz="0" w:space="0" w:color="auto"/>
          </w:divBdr>
        </w:div>
        <w:div w:id="1920406642">
          <w:marLeft w:val="0"/>
          <w:marRight w:val="0"/>
          <w:marTop w:val="0"/>
          <w:marBottom w:val="0"/>
          <w:divBdr>
            <w:top w:val="none" w:sz="0" w:space="0" w:color="auto"/>
            <w:left w:val="none" w:sz="0" w:space="0" w:color="auto"/>
            <w:bottom w:val="none" w:sz="0" w:space="0" w:color="auto"/>
            <w:right w:val="none" w:sz="0" w:space="0" w:color="auto"/>
          </w:divBdr>
        </w:div>
        <w:div w:id="1790853681">
          <w:marLeft w:val="0"/>
          <w:marRight w:val="0"/>
          <w:marTop w:val="0"/>
          <w:marBottom w:val="0"/>
          <w:divBdr>
            <w:top w:val="none" w:sz="0" w:space="0" w:color="auto"/>
            <w:left w:val="none" w:sz="0" w:space="0" w:color="auto"/>
            <w:bottom w:val="none" w:sz="0" w:space="0" w:color="auto"/>
            <w:right w:val="none" w:sz="0" w:space="0" w:color="auto"/>
          </w:divBdr>
        </w:div>
        <w:div w:id="1588271649">
          <w:marLeft w:val="0"/>
          <w:marRight w:val="0"/>
          <w:marTop w:val="0"/>
          <w:marBottom w:val="0"/>
          <w:divBdr>
            <w:top w:val="none" w:sz="0" w:space="0" w:color="auto"/>
            <w:left w:val="none" w:sz="0" w:space="0" w:color="auto"/>
            <w:bottom w:val="none" w:sz="0" w:space="0" w:color="auto"/>
            <w:right w:val="none" w:sz="0" w:space="0" w:color="auto"/>
          </w:divBdr>
        </w:div>
        <w:div w:id="2060085688">
          <w:marLeft w:val="0"/>
          <w:marRight w:val="0"/>
          <w:marTop w:val="0"/>
          <w:marBottom w:val="0"/>
          <w:divBdr>
            <w:top w:val="none" w:sz="0" w:space="0" w:color="auto"/>
            <w:left w:val="none" w:sz="0" w:space="0" w:color="auto"/>
            <w:bottom w:val="none" w:sz="0" w:space="0" w:color="auto"/>
            <w:right w:val="none" w:sz="0" w:space="0" w:color="auto"/>
          </w:divBdr>
        </w:div>
        <w:div w:id="1717922899">
          <w:marLeft w:val="0"/>
          <w:marRight w:val="0"/>
          <w:marTop w:val="0"/>
          <w:marBottom w:val="0"/>
          <w:divBdr>
            <w:top w:val="none" w:sz="0" w:space="0" w:color="auto"/>
            <w:left w:val="none" w:sz="0" w:space="0" w:color="auto"/>
            <w:bottom w:val="none" w:sz="0" w:space="0" w:color="auto"/>
            <w:right w:val="none" w:sz="0" w:space="0" w:color="auto"/>
          </w:divBdr>
        </w:div>
        <w:div w:id="1180656196">
          <w:marLeft w:val="0"/>
          <w:marRight w:val="0"/>
          <w:marTop w:val="0"/>
          <w:marBottom w:val="0"/>
          <w:divBdr>
            <w:top w:val="none" w:sz="0" w:space="0" w:color="auto"/>
            <w:left w:val="none" w:sz="0" w:space="0" w:color="auto"/>
            <w:bottom w:val="none" w:sz="0" w:space="0" w:color="auto"/>
            <w:right w:val="none" w:sz="0" w:space="0" w:color="auto"/>
          </w:divBdr>
        </w:div>
        <w:div w:id="15808923">
          <w:marLeft w:val="0"/>
          <w:marRight w:val="0"/>
          <w:marTop w:val="0"/>
          <w:marBottom w:val="0"/>
          <w:divBdr>
            <w:top w:val="none" w:sz="0" w:space="0" w:color="auto"/>
            <w:left w:val="none" w:sz="0" w:space="0" w:color="auto"/>
            <w:bottom w:val="none" w:sz="0" w:space="0" w:color="auto"/>
            <w:right w:val="none" w:sz="0" w:space="0" w:color="auto"/>
          </w:divBdr>
        </w:div>
        <w:div w:id="2009290386">
          <w:marLeft w:val="0"/>
          <w:marRight w:val="0"/>
          <w:marTop w:val="0"/>
          <w:marBottom w:val="0"/>
          <w:divBdr>
            <w:top w:val="none" w:sz="0" w:space="0" w:color="auto"/>
            <w:left w:val="none" w:sz="0" w:space="0" w:color="auto"/>
            <w:bottom w:val="none" w:sz="0" w:space="0" w:color="auto"/>
            <w:right w:val="none" w:sz="0" w:space="0" w:color="auto"/>
          </w:divBdr>
        </w:div>
        <w:div w:id="1310093275">
          <w:marLeft w:val="0"/>
          <w:marRight w:val="0"/>
          <w:marTop w:val="0"/>
          <w:marBottom w:val="0"/>
          <w:divBdr>
            <w:top w:val="none" w:sz="0" w:space="0" w:color="auto"/>
            <w:left w:val="none" w:sz="0" w:space="0" w:color="auto"/>
            <w:bottom w:val="none" w:sz="0" w:space="0" w:color="auto"/>
            <w:right w:val="none" w:sz="0" w:space="0" w:color="auto"/>
          </w:divBdr>
        </w:div>
        <w:div w:id="1361052112">
          <w:marLeft w:val="0"/>
          <w:marRight w:val="0"/>
          <w:marTop w:val="0"/>
          <w:marBottom w:val="0"/>
          <w:divBdr>
            <w:top w:val="none" w:sz="0" w:space="0" w:color="auto"/>
            <w:left w:val="none" w:sz="0" w:space="0" w:color="auto"/>
            <w:bottom w:val="none" w:sz="0" w:space="0" w:color="auto"/>
            <w:right w:val="none" w:sz="0" w:space="0" w:color="auto"/>
          </w:divBdr>
        </w:div>
        <w:div w:id="227111888">
          <w:marLeft w:val="0"/>
          <w:marRight w:val="0"/>
          <w:marTop w:val="0"/>
          <w:marBottom w:val="0"/>
          <w:divBdr>
            <w:top w:val="none" w:sz="0" w:space="0" w:color="auto"/>
            <w:left w:val="none" w:sz="0" w:space="0" w:color="auto"/>
            <w:bottom w:val="none" w:sz="0" w:space="0" w:color="auto"/>
            <w:right w:val="none" w:sz="0" w:space="0" w:color="auto"/>
          </w:divBdr>
        </w:div>
        <w:div w:id="378941381">
          <w:marLeft w:val="0"/>
          <w:marRight w:val="0"/>
          <w:marTop w:val="0"/>
          <w:marBottom w:val="0"/>
          <w:divBdr>
            <w:top w:val="none" w:sz="0" w:space="0" w:color="auto"/>
            <w:left w:val="none" w:sz="0" w:space="0" w:color="auto"/>
            <w:bottom w:val="none" w:sz="0" w:space="0" w:color="auto"/>
            <w:right w:val="none" w:sz="0" w:space="0" w:color="auto"/>
          </w:divBdr>
        </w:div>
        <w:div w:id="532617435">
          <w:marLeft w:val="0"/>
          <w:marRight w:val="0"/>
          <w:marTop w:val="0"/>
          <w:marBottom w:val="0"/>
          <w:divBdr>
            <w:top w:val="none" w:sz="0" w:space="0" w:color="auto"/>
            <w:left w:val="none" w:sz="0" w:space="0" w:color="auto"/>
            <w:bottom w:val="none" w:sz="0" w:space="0" w:color="auto"/>
            <w:right w:val="none" w:sz="0" w:space="0" w:color="auto"/>
          </w:divBdr>
        </w:div>
        <w:div w:id="223225579">
          <w:marLeft w:val="0"/>
          <w:marRight w:val="0"/>
          <w:marTop w:val="0"/>
          <w:marBottom w:val="0"/>
          <w:divBdr>
            <w:top w:val="none" w:sz="0" w:space="0" w:color="auto"/>
            <w:left w:val="none" w:sz="0" w:space="0" w:color="auto"/>
            <w:bottom w:val="none" w:sz="0" w:space="0" w:color="auto"/>
            <w:right w:val="none" w:sz="0" w:space="0" w:color="auto"/>
          </w:divBdr>
        </w:div>
        <w:div w:id="526139123">
          <w:marLeft w:val="0"/>
          <w:marRight w:val="0"/>
          <w:marTop w:val="0"/>
          <w:marBottom w:val="0"/>
          <w:divBdr>
            <w:top w:val="none" w:sz="0" w:space="0" w:color="auto"/>
            <w:left w:val="none" w:sz="0" w:space="0" w:color="auto"/>
            <w:bottom w:val="none" w:sz="0" w:space="0" w:color="auto"/>
            <w:right w:val="none" w:sz="0" w:space="0" w:color="auto"/>
          </w:divBdr>
        </w:div>
        <w:div w:id="448941325">
          <w:marLeft w:val="0"/>
          <w:marRight w:val="0"/>
          <w:marTop w:val="0"/>
          <w:marBottom w:val="0"/>
          <w:divBdr>
            <w:top w:val="none" w:sz="0" w:space="0" w:color="auto"/>
            <w:left w:val="none" w:sz="0" w:space="0" w:color="auto"/>
            <w:bottom w:val="none" w:sz="0" w:space="0" w:color="auto"/>
            <w:right w:val="none" w:sz="0" w:space="0" w:color="auto"/>
          </w:divBdr>
        </w:div>
      </w:divsChild>
    </w:div>
    <w:div w:id="133372235">
      <w:bodyDiv w:val="1"/>
      <w:marLeft w:val="0"/>
      <w:marRight w:val="0"/>
      <w:marTop w:val="0"/>
      <w:marBottom w:val="0"/>
      <w:divBdr>
        <w:top w:val="none" w:sz="0" w:space="0" w:color="auto"/>
        <w:left w:val="none" w:sz="0" w:space="0" w:color="auto"/>
        <w:bottom w:val="none" w:sz="0" w:space="0" w:color="auto"/>
        <w:right w:val="none" w:sz="0" w:space="0" w:color="auto"/>
      </w:divBdr>
    </w:div>
    <w:div w:id="161748562">
      <w:bodyDiv w:val="1"/>
      <w:marLeft w:val="0"/>
      <w:marRight w:val="0"/>
      <w:marTop w:val="0"/>
      <w:marBottom w:val="0"/>
      <w:divBdr>
        <w:top w:val="none" w:sz="0" w:space="0" w:color="auto"/>
        <w:left w:val="none" w:sz="0" w:space="0" w:color="auto"/>
        <w:bottom w:val="none" w:sz="0" w:space="0" w:color="auto"/>
        <w:right w:val="none" w:sz="0" w:space="0" w:color="auto"/>
      </w:divBdr>
      <w:divsChild>
        <w:div w:id="1835876148">
          <w:marLeft w:val="0"/>
          <w:marRight w:val="0"/>
          <w:marTop w:val="0"/>
          <w:marBottom w:val="0"/>
          <w:divBdr>
            <w:top w:val="none" w:sz="0" w:space="0" w:color="auto"/>
            <w:left w:val="none" w:sz="0" w:space="0" w:color="auto"/>
            <w:bottom w:val="none" w:sz="0" w:space="0" w:color="auto"/>
            <w:right w:val="none" w:sz="0" w:space="0" w:color="auto"/>
          </w:divBdr>
        </w:div>
        <w:div w:id="1117606117">
          <w:marLeft w:val="0"/>
          <w:marRight w:val="0"/>
          <w:marTop w:val="0"/>
          <w:marBottom w:val="0"/>
          <w:divBdr>
            <w:top w:val="none" w:sz="0" w:space="0" w:color="auto"/>
            <w:left w:val="none" w:sz="0" w:space="0" w:color="auto"/>
            <w:bottom w:val="none" w:sz="0" w:space="0" w:color="auto"/>
            <w:right w:val="none" w:sz="0" w:space="0" w:color="auto"/>
          </w:divBdr>
        </w:div>
      </w:divsChild>
    </w:div>
    <w:div w:id="170724313">
      <w:bodyDiv w:val="1"/>
      <w:marLeft w:val="0"/>
      <w:marRight w:val="0"/>
      <w:marTop w:val="0"/>
      <w:marBottom w:val="0"/>
      <w:divBdr>
        <w:top w:val="none" w:sz="0" w:space="0" w:color="auto"/>
        <w:left w:val="none" w:sz="0" w:space="0" w:color="auto"/>
        <w:bottom w:val="none" w:sz="0" w:space="0" w:color="auto"/>
        <w:right w:val="none" w:sz="0" w:space="0" w:color="auto"/>
      </w:divBdr>
      <w:divsChild>
        <w:div w:id="1054811596">
          <w:marLeft w:val="0"/>
          <w:marRight w:val="0"/>
          <w:marTop w:val="0"/>
          <w:marBottom w:val="0"/>
          <w:divBdr>
            <w:top w:val="none" w:sz="0" w:space="0" w:color="auto"/>
            <w:left w:val="none" w:sz="0" w:space="0" w:color="auto"/>
            <w:bottom w:val="none" w:sz="0" w:space="0" w:color="auto"/>
            <w:right w:val="none" w:sz="0" w:space="0" w:color="auto"/>
          </w:divBdr>
        </w:div>
        <w:div w:id="287201506">
          <w:marLeft w:val="0"/>
          <w:marRight w:val="0"/>
          <w:marTop w:val="0"/>
          <w:marBottom w:val="0"/>
          <w:divBdr>
            <w:top w:val="none" w:sz="0" w:space="0" w:color="auto"/>
            <w:left w:val="none" w:sz="0" w:space="0" w:color="auto"/>
            <w:bottom w:val="none" w:sz="0" w:space="0" w:color="auto"/>
            <w:right w:val="none" w:sz="0" w:space="0" w:color="auto"/>
          </w:divBdr>
        </w:div>
        <w:div w:id="1997682110">
          <w:marLeft w:val="0"/>
          <w:marRight w:val="0"/>
          <w:marTop w:val="0"/>
          <w:marBottom w:val="0"/>
          <w:divBdr>
            <w:top w:val="none" w:sz="0" w:space="0" w:color="auto"/>
            <w:left w:val="none" w:sz="0" w:space="0" w:color="auto"/>
            <w:bottom w:val="none" w:sz="0" w:space="0" w:color="auto"/>
            <w:right w:val="none" w:sz="0" w:space="0" w:color="auto"/>
          </w:divBdr>
        </w:div>
        <w:div w:id="1233273044">
          <w:marLeft w:val="0"/>
          <w:marRight w:val="0"/>
          <w:marTop w:val="0"/>
          <w:marBottom w:val="0"/>
          <w:divBdr>
            <w:top w:val="none" w:sz="0" w:space="0" w:color="auto"/>
            <w:left w:val="none" w:sz="0" w:space="0" w:color="auto"/>
            <w:bottom w:val="none" w:sz="0" w:space="0" w:color="auto"/>
            <w:right w:val="none" w:sz="0" w:space="0" w:color="auto"/>
          </w:divBdr>
        </w:div>
        <w:div w:id="599486012">
          <w:marLeft w:val="0"/>
          <w:marRight w:val="0"/>
          <w:marTop w:val="0"/>
          <w:marBottom w:val="0"/>
          <w:divBdr>
            <w:top w:val="none" w:sz="0" w:space="0" w:color="auto"/>
            <w:left w:val="none" w:sz="0" w:space="0" w:color="auto"/>
            <w:bottom w:val="none" w:sz="0" w:space="0" w:color="auto"/>
            <w:right w:val="none" w:sz="0" w:space="0" w:color="auto"/>
          </w:divBdr>
        </w:div>
      </w:divsChild>
    </w:div>
    <w:div w:id="182986507">
      <w:bodyDiv w:val="1"/>
      <w:marLeft w:val="0"/>
      <w:marRight w:val="0"/>
      <w:marTop w:val="0"/>
      <w:marBottom w:val="0"/>
      <w:divBdr>
        <w:top w:val="none" w:sz="0" w:space="0" w:color="auto"/>
        <w:left w:val="none" w:sz="0" w:space="0" w:color="auto"/>
        <w:bottom w:val="none" w:sz="0" w:space="0" w:color="auto"/>
        <w:right w:val="none" w:sz="0" w:space="0" w:color="auto"/>
      </w:divBdr>
      <w:divsChild>
        <w:div w:id="1275139752">
          <w:marLeft w:val="0"/>
          <w:marRight w:val="0"/>
          <w:marTop w:val="0"/>
          <w:marBottom w:val="0"/>
          <w:divBdr>
            <w:top w:val="none" w:sz="0" w:space="0" w:color="auto"/>
            <w:left w:val="none" w:sz="0" w:space="0" w:color="auto"/>
            <w:bottom w:val="none" w:sz="0" w:space="0" w:color="auto"/>
            <w:right w:val="none" w:sz="0" w:space="0" w:color="auto"/>
          </w:divBdr>
        </w:div>
        <w:div w:id="693727256">
          <w:marLeft w:val="0"/>
          <w:marRight w:val="0"/>
          <w:marTop w:val="0"/>
          <w:marBottom w:val="0"/>
          <w:divBdr>
            <w:top w:val="none" w:sz="0" w:space="0" w:color="auto"/>
            <w:left w:val="none" w:sz="0" w:space="0" w:color="auto"/>
            <w:bottom w:val="none" w:sz="0" w:space="0" w:color="auto"/>
            <w:right w:val="none" w:sz="0" w:space="0" w:color="auto"/>
          </w:divBdr>
        </w:div>
        <w:div w:id="1675496131">
          <w:marLeft w:val="0"/>
          <w:marRight w:val="0"/>
          <w:marTop w:val="0"/>
          <w:marBottom w:val="0"/>
          <w:divBdr>
            <w:top w:val="none" w:sz="0" w:space="0" w:color="auto"/>
            <w:left w:val="none" w:sz="0" w:space="0" w:color="auto"/>
            <w:bottom w:val="none" w:sz="0" w:space="0" w:color="auto"/>
            <w:right w:val="none" w:sz="0" w:space="0" w:color="auto"/>
          </w:divBdr>
        </w:div>
        <w:div w:id="1975020170">
          <w:marLeft w:val="0"/>
          <w:marRight w:val="0"/>
          <w:marTop w:val="0"/>
          <w:marBottom w:val="0"/>
          <w:divBdr>
            <w:top w:val="none" w:sz="0" w:space="0" w:color="auto"/>
            <w:left w:val="none" w:sz="0" w:space="0" w:color="auto"/>
            <w:bottom w:val="none" w:sz="0" w:space="0" w:color="auto"/>
            <w:right w:val="none" w:sz="0" w:space="0" w:color="auto"/>
          </w:divBdr>
        </w:div>
        <w:div w:id="1581910291">
          <w:marLeft w:val="0"/>
          <w:marRight w:val="0"/>
          <w:marTop w:val="0"/>
          <w:marBottom w:val="0"/>
          <w:divBdr>
            <w:top w:val="none" w:sz="0" w:space="0" w:color="auto"/>
            <w:left w:val="none" w:sz="0" w:space="0" w:color="auto"/>
            <w:bottom w:val="none" w:sz="0" w:space="0" w:color="auto"/>
            <w:right w:val="none" w:sz="0" w:space="0" w:color="auto"/>
          </w:divBdr>
        </w:div>
        <w:div w:id="832526943">
          <w:marLeft w:val="0"/>
          <w:marRight w:val="0"/>
          <w:marTop w:val="0"/>
          <w:marBottom w:val="0"/>
          <w:divBdr>
            <w:top w:val="none" w:sz="0" w:space="0" w:color="auto"/>
            <w:left w:val="none" w:sz="0" w:space="0" w:color="auto"/>
            <w:bottom w:val="none" w:sz="0" w:space="0" w:color="auto"/>
            <w:right w:val="none" w:sz="0" w:space="0" w:color="auto"/>
          </w:divBdr>
        </w:div>
        <w:div w:id="116148513">
          <w:marLeft w:val="0"/>
          <w:marRight w:val="0"/>
          <w:marTop w:val="0"/>
          <w:marBottom w:val="0"/>
          <w:divBdr>
            <w:top w:val="none" w:sz="0" w:space="0" w:color="auto"/>
            <w:left w:val="none" w:sz="0" w:space="0" w:color="auto"/>
            <w:bottom w:val="none" w:sz="0" w:space="0" w:color="auto"/>
            <w:right w:val="none" w:sz="0" w:space="0" w:color="auto"/>
          </w:divBdr>
        </w:div>
        <w:div w:id="39136885">
          <w:marLeft w:val="0"/>
          <w:marRight w:val="0"/>
          <w:marTop w:val="0"/>
          <w:marBottom w:val="0"/>
          <w:divBdr>
            <w:top w:val="none" w:sz="0" w:space="0" w:color="auto"/>
            <w:left w:val="none" w:sz="0" w:space="0" w:color="auto"/>
            <w:bottom w:val="none" w:sz="0" w:space="0" w:color="auto"/>
            <w:right w:val="none" w:sz="0" w:space="0" w:color="auto"/>
          </w:divBdr>
        </w:div>
        <w:div w:id="1538817529">
          <w:marLeft w:val="0"/>
          <w:marRight w:val="0"/>
          <w:marTop w:val="0"/>
          <w:marBottom w:val="0"/>
          <w:divBdr>
            <w:top w:val="none" w:sz="0" w:space="0" w:color="auto"/>
            <w:left w:val="none" w:sz="0" w:space="0" w:color="auto"/>
            <w:bottom w:val="none" w:sz="0" w:space="0" w:color="auto"/>
            <w:right w:val="none" w:sz="0" w:space="0" w:color="auto"/>
          </w:divBdr>
        </w:div>
        <w:div w:id="1947617486">
          <w:marLeft w:val="0"/>
          <w:marRight w:val="0"/>
          <w:marTop w:val="0"/>
          <w:marBottom w:val="0"/>
          <w:divBdr>
            <w:top w:val="none" w:sz="0" w:space="0" w:color="auto"/>
            <w:left w:val="none" w:sz="0" w:space="0" w:color="auto"/>
            <w:bottom w:val="none" w:sz="0" w:space="0" w:color="auto"/>
            <w:right w:val="none" w:sz="0" w:space="0" w:color="auto"/>
          </w:divBdr>
        </w:div>
        <w:div w:id="577252481">
          <w:marLeft w:val="0"/>
          <w:marRight w:val="0"/>
          <w:marTop w:val="0"/>
          <w:marBottom w:val="0"/>
          <w:divBdr>
            <w:top w:val="none" w:sz="0" w:space="0" w:color="auto"/>
            <w:left w:val="none" w:sz="0" w:space="0" w:color="auto"/>
            <w:bottom w:val="none" w:sz="0" w:space="0" w:color="auto"/>
            <w:right w:val="none" w:sz="0" w:space="0" w:color="auto"/>
          </w:divBdr>
        </w:div>
        <w:div w:id="1836533302">
          <w:marLeft w:val="0"/>
          <w:marRight w:val="0"/>
          <w:marTop w:val="0"/>
          <w:marBottom w:val="0"/>
          <w:divBdr>
            <w:top w:val="none" w:sz="0" w:space="0" w:color="auto"/>
            <w:left w:val="none" w:sz="0" w:space="0" w:color="auto"/>
            <w:bottom w:val="none" w:sz="0" w:space="0" w:color="auto"/>
            <w:right w:val="none" w:sz="0" w:space="0" w:color="auto"/>
          </w:divBdr>
        </w:div>
        <w:div w:id="484663777">
          <w:marLeft w:val="0"/>
          <w:marRight w:val="0"/>
          <w:marTop w:val="0"/>
          <w:marBottom w:val="0"/>
          <w:divBdr>
            <w:top w:val="none" w:sz="0" w:space="0" w:color="auto"/>
            <w:left w:val="none" w:sz="0" w:space="0" w:color="auto"/>
            <w:bottom w:val="none" w:sz="0" w:space="0" w:color="auto"/>
            <w:right w:val="none" w:sz="0" w:space="0" w:color="auto"/>
          </w:divBdr>
        </w:div>
        <w:div w:id="503126155">
          <w:marLeft w:val="0"/>
          <w:marRight w:val="0"/>
          <w:marTop w:val="0"/>
          <w:marBottom w:val="0"/>
          <w:divBdr>
            <w:top w:val="none" w:sz="0" w:space="0" w:color="auto"/>
            <w:left w:val="none" w:sz="0" w:space="0" w:color="auto"/>
            <w:bottom w:val="none" w:sz="0" w:space="0" w:color="auto"/>
            <w:right w:val="none" w:sz="0" w:space="0" w:color="auto"/>
          </w:divBdr>
        </w:div>
        <w:div w:id="595133764">
          <w:marLeft w:val="0"/>
          <w:marRight w:val="0"/>
          <w:marTop w:val="0"/>
          <w:marBottom w:val="0"/>
          <w:divBdr>
            <w:top w:val="none" w:sz="0" w:space="0" w:color="auto"/>
            <w:left w:val="none" w:sz="0" w:space="0" w:color="auto"/>
            <w:bottom w:val="none" w:sz="0" w:space="0" w:color="auto"/>
            <w:right w:val="none" w:sz="0" w:space="0" w:color="auto"/>
          </w:divBdr>
        </w:div>
        <w:div w:id="192505082">
          <w:marLeft w:val="0"/>
          <w:marRight w:val="0"/>
          <w:marTop w:val="0"/>
          <w:marBottom w:val="0"/>
          <w:divBdr>
            <w:top w:val="none" w:sz="0" w:space="0" w:color="auto"/>
            <w:left w:val="none" w:sz="0" w:space="0" w:color="auto"/>
            <w:bottom w:val="none" w:sz="0" w:space="0" w:color="auto"/>
            <w:right w:val="none" w:sz="0" w:space="0" w:color="auto"/>
          </w:divBdr>
        </w:div>
        <w:div w:id="1595093655">
          <w:marLeft w:val="0"/>
          <w:marRight w:val="0"/>
          <w:marTop w:val="0"/>
          <w:marBottom w:val="0"/>
          <w:divBdr>
            <w:top w:val="none" w:sz="0" w:space="0" w:color="auto"/>
            <w:left w:val="none" w:sz="0" w:space="0" w:color="auto"/>
            <w:bottom w:val="none" w:sz="0" w:space="0" w:color="auto"/>
            <w:right w:val="none" w:sz="0" w:space="0" w:color="auto"/>
          </w:divBdr>
        </w:div>
        <w:div w:id="1813670423">
          <w:marLeft w:val="0"/>
          <w:marRight w:val="0"/>
          <w:marTop w:val="0"/>
          <w:marBottom w:val="0"/>
          <w:divBdr>
            <w:top w:val="none" w:sz="0" w:space="0" w:color="auto"/>
            <w:left w:val="none" w:sz="0" w:space="0" w:color="auto"/>
            <w:bottom w:val="none" w:sz="0" w:space="0" w:color="auto"/>
            <w:right w:val="none" w:sz="0" w:space="0" w:color="auto"/>
          </w:divBdr>
        </w:div>
        <w:div w:id="183173814">
          <w:marLeft w:val="0"/>
          <w:marRight w:val="0"/>
          <w:marTop w:val="0"/>
          <w:marBottom w:val="0"/>
          <w:divBdr>
            <w:top w:val="none" w:sz="0" w:space="0" w:color="auto"/>
            <w:left w:val="none" w:sz="0" w:space="0" w:color="auto"/>
            <w:bottom w:val="none" w:sz="0" w:space="0" w:color="auto"/>
            <w:right w:val="none" w:sz="0" w:space="0" w:color="auto"/>
          </w:divBdr>
        </w:div>
        <w:div w:id="223223326">
          <w:marLeft w:val="0"/>
          <w:marRight w:val="0"/>
          <w:marTop w:val="0"/>
          <w:marBottom w:val="0"/>
          <w:divBdr>
            <w:top w:val="none" w:sz="0" w:space="0" w:color="auto"/>
            <w:left w:val="none" w:sz="0" w:space="0" w:color="auto"/>
            <w:bottom w:val="none" w:sz="0" w:space="0" w:color="auto"/>
            <w:right w:val="none" w:sz="0" w:space="0" w:color="auto"/>
          </w:divBdr>
        </w:div>
        <w:div w:id="1672030053">
          <w:marLeft w:val="0"/>
          <w:marRight w:val="0"/>
          <w:marTop w:val="0"/>
          <w:marBottom w:val="0"/>
          <w:divBdr>
            <w:top w:val="none" w:sz="0" w:space="0" w:color="auto"/>
            <w:left w:val="none" w:sz="0" w:space="0" w:color="auto"/>
            <w:bottom w:val="none" w:sz="0" w:space="0" w:color="auto"/>
            <w:right w:val="none" w:sz="0" w:space="0" w:color="auto"/>
          </w:divBdr>
        </w:div>
        <w:div w:id="1480223986">
          <w:marLeft w:val="0"/>
          <w:marRight w:val="0"/>
          <w:marTop w:val="0"/>
          <w:marBottom w:val="0"/>
          <w:divBdr>
            <w:top w:val="none" w:sz="0" w:space="0" w:color="auto"/>
            <w:left w:val="none" w:sz="0" w:space="0" w:color="auto"/>
            <w:bottom w:val="none" w:sz="0" w:space="0" w:color="auto"/>
            <w:right w:val="none" w:sz="0" w:space="0" w:color="auto"/>
          </w:divBdr>
        </w:div>
        <w:div w:id="715814069">
          <w:marLeft w:val="0"/>
          <w:marRight w:val="0"/>
          <w:marTop w:val="0"/>
          <w:marBottom w:val="0"/>
          <w:divBdr>
            <w:top w:val="none" w:sz="0" w:space="0" w:color="auto"/>
            <w:left w:val="none" w:sz="0" w:space="0" w:color="auto"/>
            <w:bottom w:val="none" w:sz="0" w:space="0" w:color="auto"/>
            <w:right w:val="none" w:sz="0" w:space="0" w:color="auto"/>
          </w:divBdr>
        </w:div>
        <w:div w:id="1827044618">
          <w:marLeft w:val="0"/>
          <w:marRight w:val="0"/>
          <w:marTop w:val="0"/>
          <w:marBottom w:val="0"/>
          <w:divBdr>
            <w:top w:val="none" w:sz="0" w:space="0" w:color="auto"/>
            <w:left w:val="none" w:sz="0" w:space="0" w:color="auto"/>
            <w:bottom w:val="none" w:sz="0" w:space="0" w:color="auto"/>
            <w:right w:val="none" w:sz="0" w:space="0" w:color="auto"/>
          </w:divBdr>
        </w:div>
        <w:div w:id="549731511">
          <w:marLeft w:val="0"/>
          <w:marRight w:val="0"/>
          <w:marTop w:val="0"/>
          <w:marBottom w:val="0"/>
          <w:divBdr>
            <w:top w:val="none" w:sz="0" w:space="0" w:color="auto"/>
            <w:left w:val="none" w:sz="0" w:space="0" w:color="auto"/>
            <w:bottom w:val="none" w:sz="0" w:space="0" w:color="auto"/>
            <w:right w:val="none" w:sz="0" w:space="0" w:color="auto"/>
          </w:divBdr>
        </w:div>
        <w:div w:id="1419136189">
          <w:marLeft w:val="0"/>
          <w:marRight w:val="0"/>
          <w:marTop w:val="0"/>
          <w:marBottom w:val="0"/>
          <w:divBdr>
            <w:top w:val="none" w:sz="0" w:space="0" w:color="auto"/>
            <w:left w:val="none" w:sz="0" w:space="0" w:color="auto"/>
            <w:bottom w:val="none" w:sz="0" w:space="0" w:color="auto"/>
            <w:right w:val="none" w:sz="0" w:space="0" w:color="auto"/>
          </w:divBdr>
        </w:div>
        <w:div w:id="430509328">
          <w:marLeft w:val="0"/>
          <w:marRight w:val="0"/>
          <w:marTop w:val="0"/>
          <w:marBottom w:val="0"/>
          <w:divBdr>
            <w:top w:val="none" w:sz="0" w:space="0" w:color="auto"/>
            <w:left w:val="none" w:sz="0" w:space="0" w:color="auto"/>
            <w:bottom w:val="none" w:sz="0" w:space="0" w:color="auto"/>
            <w:right w:val="none" w:sz="0" w:space="0" w:color="auto"/>
          </w:divBdr>
        </w:div>
        <w:div w:id="852568905">
          <w:marLeft w:val="0"/>
          <w:marRight w:val="0"/>
          <w:marTop w:val="0"/>
          <w:marBottom w:val="0"/>
          <w:divBdr>
            <w:top w:val="none" w:sz="0" w:space="0" w:color="auto"/>
            <w:left w:val="none" w:sz="0" w:space="0" w:color="auto"/>
            <w:bottom w:val="none" w:sz="0" w:space="0" w:color="auto"/>
            <w:right w:val="none" w:sz="0" w:space="0" w:color="auto"/>
          </w:divBdr>
        </w:div>
        <w:div w:id="726879214">
          <w:marLeft w:val="0"/>
          <w:marRight w:val="0"/>
          <w:marTop w:val="0"/>
          <w:marBottom w:val="0"/>
          <w:divBdr>
            <w:top w:val="none" w:sz="0" w:space="0" w:color="auto"/>
            <w:left w:val="none" w:sz="0" w:space="0" w:color="auto"/>
            <w:bottom w:val="none" w:sz="0" w:space="0" w:color="auto"/>
            <w:right w:val="none" w:sz="0" w:space="0" w:color="auto"/>
          </w:divBdr>
        </w:div>
        <w:div w:id="303119150">
          <w:marLeft w:val="0"/>
          <w:marRight w:val="0"/>
          <w:marTop w:val="0"/>
          <w:marBottom w:val="0"/>
          <w:divBdr>
            <w:top w:val="none" w:sz="0" w:space="0" w:color="auto"/>
            <w:left w:val="none" w:sz="0" w:space="0" w:color="auto"/>
            <w:bottom w:val="none" w:sz="0" w:space="0" w:color="auto"/>
            <w:right w:val="none" w:sz="0" w:space="0" w:color="auto"/>
          </w:divBdr>
        </w:div>
        <w:div w:id="1913739588">
          <w:marLeft w:val="0"/>
          <w:marRight w:val="0"/>
          <w:marTop w:val="0"/>
          <w:marBottom w:val="0"/>
          <w:divBdr>
            <w:top w:val="none" w:sz="0" w:space="0" w:color="auto"/>
            <w:left w:val="none" w:sz="0" w:space="0" w:color="auto"/>
            <w:bottom w:val="none" w:sz="0" w:space="0" w:color="auto"/>
            <w:right w:val="none" w:sz="0" w:space="0" w:color="auto"/>
          </w:divBdr>
        </w:div>
        <w:div w:id="584727450">
          <w:marLeft w:val="0"/>
          <w:marRight w:val="0"/>
          <w:marTop w:val="0"/>
          <w:marBottom w:val="0"/>
          <w:divBdr>
            <w:top w:val="none" w:sz="0" w:space="0" w:color="auto"/>
            <w:left w:val="none" w:sz="0" w:space="0" w:color="auto"/>
            <w:bottom w:val="none" w:sz="0" w:space="0" w:color="auto"/>
            <w:right w:val="none" w:sz="0" w:space="0" w:color="auto"/>
          </w:divBdr>
        </w:div>
        <w:div w:id="517813395">
          <w:marLeft w:val="0"/>
          <w:marRight w:val="0"/>
          <w:marTop w:val="0"/>
          <w:marBottom w:val="0"/>
          <w:divBdr>
            <w:top w:val="none" w:sz="0" w:space="0" w:color="auto"/>
            <w:left w:val="none" w:sz="0" w:space="0" w:color="auto"/>
            <w:bottom w:val="none" w:sz="0" w:space="0" w:color="auto"/>
            <w:right w:val="none" w:sz="0" w:space="0" w:color="auto"/>
          </w:divBdr>
        </w:div>
        <w:div w:id="2086030272">
          <w:marLeft w:val="0"/>
          <w:marRight w:val="0"/>
          <w:marTop w:val="0"/>
          <w:marBottom w:val="0"/>
          <w:divBdr>
            <w:top w:val="none" w:sz="0" w:space="0" w:color="auto"/>
            <w:left w:val="none" w:sz="0" w:space="0" w:color="auto"/>
            <w:bottom w:val="none" w:sz="0" w:space="0" w:color="auto"/>
            <w:right w:val="none" w:sz="0" w:space="0" w:color="auto"/>
          </w:divBdr>
        </w:div>
        <w:div w:id="530802621">
          <w:marLeft w:val="0"/>
          <w:marRight w:val="0"/>
          <w:marTop w:val="0"/>
          <w:marBottom w:val="0"/>
          <w:divBdr>
            <w:top w:val="none" w:sz="0" w:space="0" w:color="auto"/>
            <w:left w:val="none" w:sz="0" w:space="0" w:color="auto"/>
            <w:bottom w:val="none" w:sz="0" w:space="0" w:color="auto"/>
            <w:right w:val="none" w:sz="0" w:space="0" w:color="auto"/>
          </w:divBdr>
        </w:div>
        <w:div w:id="1696540416">
          <w:marLeft w:val="0"/>
          <w:marRight w:val="0"/>
          <w:marTop w:val="0"/>
          <w:marBottom w:val="0"/>
          <w:divBdr>
            <w:top w:val="none" w:sz="0" w:space="0" w:color="auto"/>
            <w:left w:val="none" w:sz="0" w:space="0" w:color="auto"/>
            <w:bottom w:val="none" w:sz="0" w:space="0" w:color="auto"/>
            <w:right w:val="none" w:sz="0" w:space="0" w:color="auto"/>
          </w:divBdr>
        </w:div>
        <w:div w:id="1149639778">
          <w:marLeft w:val="0"/>
          <w:marRight w:val="0"/>
          <w:marTop w:val="0"/>
          <w:marBottom w:val="0"/>
          <w:divBdr>
            <w:top w:val="none" w:sz="0" w:space="0" w:color="auto"/>
            <w:left w:val="none" w:sz="0" w:space="0" w:color="auto"/>
            <w:bottom w:val="none" w:sz="0" w:space="0" w:color="auto"/>
            <w:right w:val="none" w:sz="0" w:space="0" w:color="auto"/>
          </w:divBdr>
        </w:div>
        <w:div w:id="1944412994">
          <w:marLeft w:val="0"/>
          <w:marRight w:val="0"/>
          <w:marTop w:val="0"/>
          <w:marBottom w:val="0"/>
          <w:divBdr>
            <w:top w:val="none" w:sz="0" w:space="0" w:color="auto"/>
            <w:left w:val="none" w:sz="0" w:space="0" w:color="auto"/>
            <w:bottom w:val="none" w:sz="0" w:space="0" w:color="auto"/>
            <w:right w:val="none" w:sz="0" w:space="0" w:color="auto"/>
          </w:divBdr>
        </w:div>
        <w:div w:id="318732405">
          <w:marLeft w:val="0"/>
          <w:marRight w:val="0"/>
          <w:marTop w:val="0"/>
          <w:marBottom w:val="0"/>
          <w:divBdr>
            <w:top w:val="none" w:sz="0" w:space="0" w:color="auto"/>
            <w:left w:val="none" w:sz="0" w:space="0" w:color="auto"/>
            <w:bottom w:val="none" w:sz="0" w:space="0" w:color="auto"/>
            <w:right w:val="none" w:sz="0" w:space="0" w:color="auto"/>
          </w:divBdr>
        </w:div>
        <w:div w:id="1537890079">
          <w:marLeft w:val="0"/>
          <w:marRight w:val="0"/>
          <w:marTop w:val="0"/>
          <w:marBottom w:val="0"/>
          <w:divBdr>
            <w:top w:val="none" w:sz="0" w:space="0" w:color="auto"/>
            <w:left w:val="none" w:sz="0" w:space="0" w:color="auto"/>
            <w:bottom w:val="none" w:sz="0" w:space="0" w:color="auto"/>
            <w:right w:val="none" w:sz="0" w:space="0" w:color="auto"/>
          </w:divBdr>
        </w:div>
        <w:div w:id="1450273513">
          <w:marLeft w:val="0"/>
          <w:marRight w:val="0"/>
          <w:marTop w:val="0"/>
          <w:marBottom w:val="0"/>
          <w:divBdr>
            <w:top w:val="none" w:sz="0" w:space="0" w:color="auto"/>
            <w:left w:val="none" w:sz="0" w:space="0" w:color="auto"/>
            <w:bottom w:val="none" w:sz="0" w:space="0" w:color="auto"/>
            <w:right w:val="none" w:sz="0" w:space="0" w:color="auto"/>
          </w:divBdr>
        </w:div>
        <w:div w:id="603996683">
          <w:marLeft w:val="0"/>
          <w:marRight w:val="0"/>
          <w:marTop w:val="0"/>
          <w:marBottom w:val="0"/>
          <w:divBdr>
            <w:top w:val="none" w:sz="0" w:space="0" w:color="auto"/>
            <w:left w:val="none" w:sz="0" w:space="0" w:color="auto"/>
            <w:bottom w:val="none" w:sz="0" w:space="0" w:color="auto"/>
            <w:right w:val="none" w:sz="0" w:space="0" w:color="auto"/>
          </w:divBdr>
        </w:div>
        <w:div w:id="1197740807">
          <w:marLeft w:val="0"/>
          <w:marRight w:val="0"/>
          <w:marTop w:val="0"/>
          <w:marBottom w:val="0"/>
          <w:divBdr>
            <w:top w:val="none" w:sz="0" w:space="0" w:color="auto"/>
            <w:left w:val="none" w:sz="0" w:space="0" w:color="auto"/>
            <w:bottom w:val="none" w:sz="0" w:space="0" w:color="auto"/>
            <w:right w:val="none" w:sz="0" w:space="0" w:color="auto"/>
          </w:divBdr>
        </w:div>
      </w:divsChild>
    </w:div>
    <w:div w:id="208420178">
      <w:bodyDiv w:val="1"/>
      <w:marLeft w:val="0"/>
      <w:marRight w:val="0"/>
      <w:marTop w:val="0"/>
      <w:marBottom w:val="0"/>
      <w:divBdr>
        <w:top w:val="none" w:sz="0" w:space="0" w:color="auto"/>
        <w:left w:val="none" w:sz="0" w:space="0" w:color="auto"/>
        <w:bottom w:val="none" w:sz="0" w:space="0" w:color="auto"/>
        <w:right w:val="none" w:sz="0" w:space="0" w:color="auto"/>
      </w:divBdr>
      <w:divsChild>
        <w:div w:id="1031955792">
          <w:marLeft w:val="0"/>
          <w:marRight w:val="0"/>
          <w:marTop w:val="0"/>
          <w:marBottom w:val="0"/>
          <w:divBdr>
            <w:top w:val="none" w:sz="0" w:space="0" w:color="auto"/>
            <w:left w:val="none" w:sz="0" w:space="0" w:color="auto"/>
            <w:bottom w:val="none" w:sz="0" w:space="0" w:color="auto"/>
            <w:right w:val="none" w:sz="0" w:space="0" w:color="auto"/>
          </w:divBdr>
        </w:div>
        <w:div w:id="1437946289">
          <w:marLeft w:val="0"/>
          <w:marRight w:val="0"/>
          <w:marTop w:val="0"/>
          <w:marBottom w:val="0"/>
          <w:divBdr>
            <w:top w:val="none" w:sz="0" w:space="0" w:color="auto"/>
            <w:left w:val="none" w:sz="0" w:space="0" w:color="auto"/>
            <w:bottom w:val="none" w:sz="0" w:space="0" w:color="auto"/>
            <w:right w:val="none" w:sz="0" w:space="0" w:color="auto"/>
          </w:divBdr>
        </w:div>
        <w:div w:id="291981943">
          <w:marLeft w:val="0"/>
          <w:marRight w:val="0"/>
          <w:marTop w:val="0"/>
          <w:marBottom w:val="0"/>
          <w:divBdr>
            <w:top w:val="none" w:sz="0" w:space="0" w:color="auto"/>
            <w:left w:val="none" w:sz="0" w:space="0" w:color="auto"/>
            <w:bottom w:val="none" w:sz="0" w:space="0" w:color="auto"/>
            <w:right w:val="none" w:sz="0" w:space="0" w:color="auto"/>
          </w:divBdr>
        </w:div>
        <w:div w:id="1384210134">
          <w:marLeft w:val="0"/>
          <w:marRight w:val="0"/>
          <w:marTop w:val="0"/>
          <w:marBottom w:val="0"/>
          <w:divBdr>
            <w:top w:val="none" w:sz="0" w:space="0" w:color="auto"/>
            <w:left w:val="none" w:sz="0" w:space="0" w:color="auto"/>
            <w:bottom w:val="none" w:sz="0" w:space="0" w:color="auto"/>
            <w:right w:val="none" w:sz="0" w:space="0" w:color="auto"/>
          </w:divBdr>
        </w:div>
        <w:div w:id="1755780532">
          <w:marLeft w:val="0"/>
          <w:marRight w:val="0"/>
          <w:marTop w:val="0"/>
          <w:marBottom w:val="0"/>
          <w:divBdr>
            <w:top w:val="none" w:sz="0" w:space="0" w:color="auto"/>
            <w:left w:val="none" w:sz="0" w:space="0" w:color="auto"/>
            <w:bottom w:val="none" w:sz="0" w:space="0" w:color="auto"/>
            <w:right w:val="none" w:sz="0" w:space="0" w:color="auto"/>
          </w:divBdr>
        </w:div>
        <w:div w:id="712655631">
          <w:marLeft w:val="0"/>
          <w:marRight w:val="0"/>
          <w:marTop w:val="0"/>
          <w:marBottom w:val="0"/>
          <w:divBdr>
            <w:top w:val="none" w:sz="0" w:space="0" w:color="auto"/>
            <w:left w:val="none" w:sz="0" w:space="0" w:color="auto"/>
            <w:bottom w:val="none" w:sz="0" w:space="0" w:color="auto"/>
            <w:right w:val="none" w:sz="0" w:space="0" w:color="auto"/>
          </w:divBdr>
        </w:div>
        <w:div w:id="602688991">
          <w:marLeft w:val="0"/>
          <w:marRight w:val="0"/>
          <w:marTop w:val="0"/>
          <w:marBottom w:val="0"/>
          <w:divBdr>
            <w:top w:val="none" w:sz="0" w:space="0" w:color="auto"/>
            <w:left w:val="none" w:sz="0" w:space="0" w:color="auto"/>
            <w:bottom w:val="none" w:sz="0" w:space="0" w:color="auto"/>
            <w:right w:val="none" w:sz="0" w:space="0" w:color="auto"/>
          </w:divBdr>
        </w:div>
        <w:div w:id="28652720">
          <w:marLeft w:val="0"/>
          <w:marRight w:val="0"/>
          <w:marTop w:val="0"/>
          <w:marBottom w:val="0"/>
          <w:divBdr>
            <w:top w:val="none" w:sz="0" w:space="0" w:color="auto"/>
            <w:left w:val="none" w:sz="0" w:space="0" w:color="auto"/>
            <w:bottom w:val="none" w:sz="0" w:space="0" w:color="auto"/>
            <w:right w:val="none" w:sz="0" w:space="0" w:color="auto"/>
          </w:divBdr>
        </w:div>
        <w:div w:id="1474255991">
          <w:marLeft w:val="0"/>
          <w:marRight w:val="0"/>
          <w:marTop w:val="0"/>
          <w:marBottom w:val="0"/>
          <w:divBdr>
            <w:top w:val="none" w:sz="0" w:space="0" w:color="auto"/>
            <w:left w:val="none" w:sz="0" w:space="0" w:color="auto"/>
            <w:bottom w:val="none" w:sz="0" w:space="0" w:color="auto"/>
            <w:right w:val="none" w:sz="0" w:space="0" w:color="auto"/>
          </w:divBdr>
        </w:div>
        <w:div w:id="1898009139">
          <w:marLeft w:val="0"/>
          <w:marRight w:val="0"/>
          <w:marTop w:val="0"/>
          <w:marBottom w:val="0"/>
          <w:divBdr>
            <w:top w:val="none" w:sz="0" w:space="0" w:color="auto"/>
            <w:left w:val="none" w:sz="0" w:space="0" w:color="auto"/>
            <w:bottom w:val="none" w:sz="0" w:space="0" w:color="auto"/>
            <w:right w:val="none" w:sz="0" w:space="0" w:color="auto"/>
          </w:divBdr>
        </w:div>
      </w:divsChild>
    </w:div>
    <w:div w:id="214051611">
      <w:bodyDiv w:val="1"/>
      <w:marLeft w:val="0"/>
      <w:marRight w:val="0"/>
      <w:marTop w:val="0"/>
      <w:marBottom w:val="0"/>
      <w:divBdr>
        <w:top w:val="none" w:sz="0" w:space="0" w:color="auto"/>
        <w:left w:val="none" w:sz="0" w:space="0" w:color="auto"/>
        <w:bottom w:val="none" w:sz="0" w:space="0" w:color="auto"/>
        <w:right w:val="none" w:sz="0" w:space="0" w:color="auto"/>
      </w:divBdr>
      <w:divsChild>
        <w:div w:id="979724542">
          <w:marLeft w:val="0"/>
          <w:marRight w:val="0"/>
          <w:marTop w:val="0"/>
          <w:marBottom w:val="0"/>
          <w:divBdr>
            <w:top w:val="none" w:sz="0" w:space="0" w:color="auto"/>
            <w:left w:val="none" w:sz="0" w:space="0" w:color="auto"/>
            <w:bottom w:val="none" w:sz="0" w:space="0" w:color="auto"/>
            <w:right w:val="none" w:sz="0" w:space="0" w:color="auto"/>
          </w:divBdr>
        </w:div>
        <w:div w:id="1941141676">
          <w:marLeft w:val="0"/>
          <w:marRight w:val="0"/>
          <w:marTop w:val="0"/>
          <w:marBottom w:val="0"/>
          <w:divBdr>
            <w:top w:val="none" w:sz="0" w:space="0" w:color="auto"/>
            <w:left w:val="none" w:sz="0" w:space="0" w:color="auto"/>
            <w:bottom w:val="none" w:sz="0" w:space="0" w:color="auto"/>
            <w:right w:val="none" w:sz="0" w:space="0" w:color="auto"/>
          </w:divBdr>
        </w:div>
      </w:divsChild>
    </w:div>
    <w:div w:id="216817526">
      <w:bodyDiv w:val="1"/>
      <w:marLeft w:val="0"/>
      <w:marRight w:val="0"/>
      <w:marTop w:val="0"/>
      <w:marBottom w:val="0"/>
      <w:divBdr>
        <w:top w:val="none" w:sz="0" w:space="0" w:color="auto"/>
        <w:left w:val="none" w:sz="0" w:space="0" w:color="auto"/>
        <w:bottom w:val="none" w:sz="0" w:space="0" w:color="auto"/>
        <w:right w:val="none" w:sz="0" w:space="0" w:color="auto"/>
      </w:divBdr>
      <w:divsChild>
        <w:div w:id="297106562">
          <w:marLeft w:val="0"/>
          <w:marRight w:val="0"/>
          <w:marTop w:val="0"/>
          <w:marBottom w:val="0"/>
          <w:divBdr>
            <w:top w:val="none" w:sz="0" w:space="0" w:color="auto"/>
            <w:left w:val="none" w:sz="0" w:space="0" w:color="auto"/>
            <w:bottom w:val="none" w:sz="0" w:space="0" w:color="auto"/>
            <w:right w:val="none" w:sz="0" w:space="0" w:color="auto"/>
          </w:divBdr>
        </w:div>
        <w:div w:id="904072897">
          <w:marLeft w:val="0"/>
          <w:marRight w:val="0"/>
          <w:marTop w:val="0"/>
          <w:marBottom w:val="0"/>
          <w:divBdr>
            <w:top w:val="none" w:sz="0" w:space="0" w:color="auto"/>
            <w:left w:val="none" w:sz="0" w:space="0" w:color="auto"/>
            <w:bottom w:val="none" w:sz="0" w:space="0" w:color="auto"/>
            <w:right w:val="none" w:sz="0" w:space="0" w:color="auto"/>
          </w:divBdr>
        </w:div>
        <w:div w:id="432022091">
          <w:marLeft w:val="0"/>
          <w:marRight w:val="0"/>
          <w:marTop w:val="0"/>
          <w:marBottom w:val="0"/>
          <w:divBdr>
            <w:top w:val="none" w:sz="0" w:space="0" w:color="auto"/>
            <w:left w:val="none" w:sz="0" w:space="0" w:color="auto"/>
            <w:bottom w:val="none" w:sz="0" w:space="0" w:color="auto"/>
            <w:right w:val="none" w:sz="0" w:space="0" w:color="auto"/>
          </w:divBdr>
        </w:div>
        <w:div w:id="686830844">
          <w:marLeft w:val="0"/>
          <w:marRight w:val="0"/>
          <w:marTop w:val="0"/>
          <w:marBottom w:val="0"/>
          <w:divBdr>
            <w:top w:val="none" w:sz="0" w:space="0" w:color="auto"/>
            <w:left w:val="none" w:sz="0" w:space="0" w:color="auto"/>
            <w:bottom w:val="none" w:sz="0" w:space="0" w:color="auto"/>
            <w:right w:val="none" w:sz="0" w:space="0" w:color="auto"/>
          </w:divBdr>
        </w:div>
        <w:div w:id="1290623036">
          <w:marLeft w:val="0"/>
          <w:marRight w:val="0"/>
          <w:marTop w:val="0"/>
          <w:marBottom w:val="0"/>
          <w:divBdr>
            <w:top w:val="none" w:sz="0" w:space="0" w:color="auto"/>
            <w:left w:val="none" w:sz="0" w:space="0" w:color="auto"/>
            <w:bottom w:val="none" w:sz="0" w:space="0" w:color="auto"/>
            <w:right w:val="none" w:sz="0" w:space="0" w:color="auto"/>
          </w:divBdr>
        </w:div>
      </w:divsChild>
    </w:div>
    <w:div w:id="241650086">
      <w:bodyDiv w:val="1"/>
      <w:marLeft w:val="0"/>
      <w:marRight w:val="0"/>
      <w:marTop w:val="0"/>
      <w:marBottom w:val="0"/>
      <w:divBdr>
        <w:top w:val="none" w:sz="0" w:space="0" w:color="auto"/>
        <w:left w:val="none" w:sz="0" w:space="0" w:color="auto"/>
        <w:bottom w:val="none" w:sz="0" w:space="0" w:color="auto"/>
        <w:right w:val="none" w:sz="0" w:space="0" w:color="auto"/>
      </w:divBdr>
      <w:divsChild>
        <w:div w:id="306208762">
          <w:marLeft w:val="0"/>
          <w:marRight w:val="0"/>
          <w:marTop w:val="0"/>
          <w:marBottom w:val="0"/>
          <w:divBdr>
            <w:top w:val="none" w:sz="0" w:space="0" w:color="auto"/>
            <w:left w:val="none" w:sz="0" w:space="0" w:color="auto"/>
            <w:bottom w:val="none" w:sz="0" w:space="0" w:color="auto"/>
            <w:right w:val="none" w:sz="0" w:space="0" w:color="auto"/>
          </w:divBdr>
        </w:div>
        <w:div w:id="633022613">
          <w:marLeft w:val="0"/>
          <w:marRight w:val="0"/>
          <w:marTop w:val="0"/>
          <w:marBottom w:val="0"/>
          <w:divBdr>
            <w:top w:val="none" w:sz="0" w:space="0" w:color="auto"/>
            <w:left w:val="none" w:sz="0" w:space="0" w:color="auto"/>
            <w:bottom w:val="none" w:sz="0" w:space="0" w:color="auto"/>
            <w:right w:val="none" w:sz="0" w:space="0" w:color="auto"/>
          </w:divBdr>
        </w:div>
        <w:div w:id="2047948442">
          <w:marLeft w:val="0"/>
          <w:marRight w:val="0"/>
          <w:marTop w:val="0"/>
          <w:marBottom w:val="0"/>
          <w:divBdr>
            <w:top w:val="none" w:sz="0" w:space="0" w:color="auto"/>
            <w:left w:val="none" w:sz="0" w:space="0" w:color="auto"/>
            <w:bottom w:val="none" w:sz="0" w:space="0" w:color="auto"/>
            <w:right w:val="none" w:sz="0" w:space="0" w:color="auto"/>
          </w:divBdr>
        </w:div>
        <w:div w:id="1269855931">
          <w:marLeft w:val="0"/>
          <w:marRight w:val="0"/>
          <w:marTop w:val="0"/>
          <w:marBottom w:val="0"/>
          <w:divBdr>
            <w:top w:val="none" w:sz="0" w:space="0" w:color="auto"/>
            <w:left w:val="none" w:sz="0" w:space="0" w:color="auto"/>
            <w:bottom w:val="none" w:sz="0" w:space="0" w:color="auto"/>
            <w:right w:val="none" w:sz="0" w:space="0" w:color="auto"/>
          </w:divBdr>
        </w:div>
        <w:div w:id="200751037">
          <w:marLeft w:val="0"/>
          <w:marRight w:val="0"/>
          <w:marTop w:val="0"/>
          <w:marBottom w:val="0"/>
          <w:divBdr>
            <w:top w:val="none" w:sz="0" w:space="0" w:color="auto"/>
            <w:left w:val="none" w:sz="0" w:space="0" w:color="auto"/>
            <w:bottom w:val="none" w:sz="0" w:space="0" w:color="auto"/>
            <w:right w:val="none" w:sz="0" w:space="0" w:color="auto"/>
          </w:divBdr>
        </w:div>
        <w:div w:id="1732844174">
          <w:marLeft w:val="0"/>
          <w:marRight w:val="0"/>
          <w:marTop w:val="0"/>
          <w:marBottom w:val="0"/>
          <w:divBdr>
            <w:top w:val="none" w:sz="0" w:space="0" w:color="auto"/>
            <w:left w:val="none" w:sz="0" w:space="0" w:color="auto"/>
            <w:bottom w:val="none" w:sz="0" w:space="0" w:color="auto"/>
            <w:right w:val="none" w:sz="0" w:space="0" w:color="auto"/>
          </w:divBdr>
        </w:div>
        <w:div w:id="1488933241">
          <w:marLeft w:val="0"/>
          <w:marRight w:val="0"/>
          <w:marTop w:val="0"/>
          <w:marBottom w:val="0"/>
          <w:divBdr>
            <w:top w:val="none" w:sz="0" w:space="0" w:color="auto"/>
            <w:left w:val="none" w:sz="0" w:space="0" w:color="auto"/>
            <w:bottom w:val="none" w:sz="0" w:space="0" w:color="auto"/>
            <w:right w:val="none" w:sz="0" w:space="0" w:color="auto"/>
          </w:divBdr>
        </w:div>
        <w:div w:id="926425140">
          <w:marLeft w:val="0"/>
          <w:marRight w:val="0"/>
          <w:marTop w:val="0"/>
          <w:marBottom w:val="0"/>
          <w:divBdr>
            <w:top w:val="none" w:sz="0" w:space="0" w:color="auto"/>
            <w:left w:val="none" w:sz="0" w:space="0" w:color="auto"/>
            <w:bottom w:val="none" w:sz="0" w:space="0" w:color="auto"/>
            <w:right w:val="none" w:sz="0" w:space="0" w:color="auto"/>
          </w:divBdr>
        </w:div>
      </w:divsChild>
    </w:div>
    <w:div w:id="257370830">
      <w:bodyDiv w:val="1"/>
      <w:marLeft w:val="0"/>
      <w:marRight w:val="0"/>
      <w:marTop w:val="0"/>
      <w:marBottom w:val="0"/>
      <w:divBdr>
        <w:top w:val="none" w:sz="0" w:space="0" w:color="auto"/>
        <w:left w:val="none" w:sz="0" w:space="0" w:color="auto"/>
        <w:bottom w:val="none" w:sz="0" w:space="0" w:color="auto"/>
        <w:right w:val="none" w:sz="0" w:space="0" w:color="auto"/>
      </w:divBdr>
      <w:divsChild>
        <w:div w:id="1385251686">
          <w:marLeft w:val="0"/>
          <w:marRight w:val="0"/>
          <w:marTop w:val="0"/>
          <w:marBottom w:val="0"/>
          <w:divBdr>
            <w:top w:val="none" w:sz="0" w:space="0" w:color="auto"/>
            <w:left w:val="none" w:sz="0" w:space="0" w:color="auto"/>
            <w:bottom w:val="none" w:sz="0" w:space="0" w:color="auto"/>
            <w:right w:val="none" w:sz="0" w:space="0" w:color="auto"/>
          </w:divBdr>
        </w:div>
        <w:div w:id="1227490770">
          <w:marLeft w:val="0"/>
          <w:marRight w:val="0"/>
          <w:marTop w:val="0"/>
          <w:marBottom w:val="0"/>
          <w:divBdr>
            <w:top w:val="none" w:sz="0" w:space="0" w:color="auto"/>
            <w:left w:val="none" w:sz="0" w:space="0" w:color="auto"/>
            <w:bottom w:val="none" w:sz="0" w:space="0" w:color="auto"/>
            <w:right w:val="none" w:sz="0" w:space="0" w:color="auto"/>
          </w:divBdr>
        </w:div>
        <w:div w:id="1482576459">
          <w:marLeft w:val="0"/>
          <w:marRight w:val="0"/>
          <w:marTop w:val="0"/>
          <w:marBottom w:val="0"/>
          <w:divBdr>
            <w:top w:val="none" w:sz="0" w:space="0" w:color="auto"/>
            <w:left w:val="none" w:sz="0" w:space="0" w:color="auto"/>
            <w:bottom w:val="none" w:sz="0" w:space="0" w:color="auto"/>
            <w:right w:val="none" w:sz="0" w:space="0" w:color="auto"/>
          </w:divBdr>
        </w:div>
        <w:div w:id="456142134">
          <w:marLeft w:val="0"/>
          <w:marRight w:val="0"/>
          <w:marTop w:val="0"/>
          <w:marBottom w:val="0"/>
          <w:divBdr>
            <w:top w:val="none" w:sz="0" w:space="0" w:color="auto"/>
            <w:left w:val="none" w:sz="0" w:space="0" w:color="auto"/>
            <w:bottom w:val="none" w:sz="0" w:space="0" w:color="auto"/>
            <w:right w:val="none" w:sz="0" w:space="0" w:color="auto"/>
          </w:divBdr>
        </w:div>
        <w:div w:id="36131243">
          <w:marLeft w:val="0"/>
          <w:marRight w:val="0"/>
          <w:marTop w:val="0"/>
          <w:marBottom w:val="0"/>
          <w:divBdr>
            <w:top w:val="none" w:sz="0" w:space="0" w:color="auto"/>
            <w:left w:val="none" w:sz="0" w:space="0" w:color="auto"/>
            <w:bottom w:val="none" w:sz="0" w:space="0" w:color="auto"/>
            <w:right w:val="none" w:sz="0" w:space="0" w:color="auto"/>
          </w:divBdr>
        </w:div>
        <w:div w:id="591938886">
          <w:marLeft w:val="0"/>
          <w:marRight w:val="0"/>
          <w:marTop w:val="0"/>
          <w:marBottom w:val="0"/>
          <w:divBdr>
            <w:top w:val="none" w:sz="0" w:space="0" w:color="auto"/>
            <w:left w:val="none" w:sz="0" w:space="0" w:color="auto"/>
            <w:bottom w:val="none" w:sz="0" w:space="0" w:color="auto"/>
            <w:right w:val="none" w:sz="0" w:space="0" w:color="auto"/>
          </w:divBdr>
        </w:div>
        <w:div w:id="648444006">
          <w:marLeft w:val="0"/>
          <w:marRight w:val="0"/>
          <w:marTop w:val="0"/>
          <w:marBottom w:val="0"/>
          <w:divBdr>
            <w:top w:val="none" w:sz="0" w:space="0" w:color="auto"/>
            <w:left w:val="none" w:sz="0" w:space="0" w:color="auto"/>
            <w:bottom w:val="none" w:sz="0" w:space="0" w:color="auto"/>
            <w:right w:val="none" w:sz="0" w:space="0" w:color="auto"/>
          </w:divBdr>
        </w:div>
        <w:div w:id="477112213">
          <w:marLeft w:val="0"/>
          <w:marRight w:val="0"/>
          <w:marTop w:val="0"/>
          <w:marBottom w:val="0"/>
          <w:divBdr>
            <w:top w:val="none" w:sz="0" w:space="0" w:color="auto"/>
            <w:left w:val="none" w:sz="0" w:space="0" w:color="auto"/>
            <w:bottom w:val="none" w:sz="0" w:space="0" w:color="auto"/>
            <w:right w:val="none" w:sz="0" w:space="0" w:color="auto"/>
          </w:divBdr>
        </w:div>
        <w:div w:id="585385489">
          <w:marLeft w:val="0"/>
          <w:marRight w:val="0"/>
          <w:marTop w:val="0"/>
          <w:marBottom w:val="0"/>
          <w:divBdr>
            <w:top w:val="none" w:sz="0" w:space="0" w:color="auto"/>
            <w:left w:val="none" w:sz="0" w:space="0" w:color="auto"/>
            <w:bottom w:val="none" w:sz="0" w:space="0" w:color="auto"/>
            <w:right w:val="none" w:sz="0" w:space="0" w:color="auto"/>
          </w:divBdr>
        </w:div>
        <w:div w:id="227541103">
          <w:marLeft w:val="0"/>
          <w:marRight w:val="0"/>
          <w:marTop w:val="0"/>
          <w:marBottom w:val="0"/>
          <w:divBdr>
            <w:top w:val="none" w:sz="0" w:space="0" w:color="auto"/>
            <w:left w:val="none" w:sz="0" w:space="0" w:color="auto"/>
            <w:bottom w:val="none" w:sz="0" w:space="0" w:color="auto"/>
            <w:right w:val="none" w:sz="0" w:space="0" w:color="auto"/>
          </w:divBdr>
        </w:div>
        <w:div w:id="745105414">
          <w:marLeft w:val="0"/>
          <w:marRight w:val="0"/>
          <w:marTop w:val="0"/>
          <w:marBottom w:val="0"/>
          <w:divBdr>
            <w:top w:val="none" w:sz="0" w:space="0" w:color="auto"/>
            <w:left w:val="none" w:sz="0" w:space="0" w:color="auto"/>
            <w:bottom w:val="none" w:sz="0" w:space="0" w:color="auto"/>
            <w:right w:val="none" w:sz="0" w:space="0" w:color="auto"/>
          </w:divBdr>
        </w:div>
        <w:div w:id="1259753211">
          <w:marLeft w:val="0"/>
          <w:marRight w:val="0"/>
          <w:marTop w:val="0"/>
          <w:marBottom w:val="0"/>
          <w:divBdr>
            <w:top w:val="none" w:sz="0" w:space="0" w:color="auto"/>
            <w:left w:val="none" w:sz="0" w:space="0" w:color="auto"/>
            <w:bottom w:val="none" w:sz="0" w:space="0" w:color="auto"/>
            <w:right w:val="none" w:sz="0" w:space="0" w:color="auto"/>
          </w:divBdr>
        </w:div>
        <w:div w:id="470901734">
          <w:marLeft w:val="0"/>
          <w:marRight w:val="0"/>
          <w:marTop w:val="0"/>
          <w:marBottom w:val="0"/>
          <w:divBdr>
            <w:top w:val="none" w:sz="0" w:space="0" w:color="auto"/>
            <w:left w:val="none" w:sz="0" w:space="0" w:color="auto"/>
            <w:bottom w:val="none" w:sz="0" w:space="0" w:color="auto"/>
            <w:right w:val="none" w:sz="0" w:space="0" w:color="auto"/>
          </w:divBdr>
        </w:div>
        <w:div w:id="234125222">
          <w:marLeft w:val="0"/>
          <w:marRight w:val="0"/>
          <w:marTop w:val="0"/>
          <w:marBottom w:val="0"/>
          <w:divBdr>
            <w:top w:val="none" w:sz="0" w:space="0" w:color="auto"/>
            <w:left w:val="none" w:sz="0" w:space="0" w:color="auto"/>
            <w:bottom w:val="none" w:sz="0" w:space="0" w:color="auto"/>
            <w:right w:val="none" w:sz="0" w:space="0" w:color="auto"/>
          </w:divBdr>
        </w:div>
        <w:div w:id="1218974454">
          <w:marLeft w:val="0"/>
          <w:marRight w:val="0"/>
          <w:marTop w:val="0"/>
          <w:marBottom w:val="0"/>
          <w:divBdr>
            <w:top w:val="none" w:sz="0" w:space="0" w:color="auto"/>
            <w:left w:val="none" w:sz="0" w:space="0" w:color="auto"/>
            <w:bottom w:val="none" w:sz="0" w:space="0" w:color="auto"/>
            <w:right w:val="none" w:sz="0" w:space="0" w:color="auto"/>
          </w:divBdr>
        </w:div>
        <w:div w:id="1709142022">
          <w:marLeft w:val="0"/>
          <w:marRight w:val="0"/>
          <w:marTop w:val="0"/>
          <w:marBottom w:val="0"/>
          <w:divBdr>
            <w:top w:val="none" w:sz="0" w:space="0" w:color="auto"/>
            <w:left w:val="none" w:sz="0" w:space="0" w:color="auto"/>
            <w:bottom w:val="none" w:sz="0" w:space="0" w:color="auto"/>
            <w:right w:val="none" w:sz="0" w:space="0" w:color="auto"/>
          </w:divBdr>
        </w:div>
        <w:div w:id="986124636">
          <w:marLeft w:val="0"/>
          <w:marRight w:val="0"/>
          <w:marTop w:val="0"/>
          <w:marBottom w:val="0"/>
          <w:divBdr>
            <w:top w:val="none" w:sz="0" w:space="0" w:color="auto"/>
            <w:left w:val="none" w:sz="0" w:space="0" w:color="auto"/>
            <w:bottom w:val="none" w:sz="0" w:space="0" w:color="auto"/>
            <w:right w:val="none" w:sz="0" w:space="0" w:color="auto"/>
          </w:divBdr>
        </w:div>
        <w:div w:id="193268693">
          <w:marLeft w:val="0"/>
          <w:marRight w:val="0"/>
          <w:marTop w:val="0"/>
          <w:marBottom w:val="0"/>
          <w:divBdr>
            <w:top w:val="none" w:sz="0" w:space="0" w:color="auto"/>
            <w:left w:val="none" w:sz="0" w:space="0" w:color="auto"/>
            <w:bottom w:val="none" w:sz="0" w:space="0" w:color="auto"/>
            <w:right w:val="none" w:sz="0" w:space="0" w:color="auto"/>
          </w:divBdr>
        </w:div>
        <w:div w:id="90324595">
          <w:marLeft w:val="0"/>
          <w:marRight w:val="0"/>
          <w:marTop w:val="0"/>
          <w:marBottom w:val="0"/>
          <w:divBdr>
            <w:top w:val="none" w:sz="0" w:space="0" w:color="auto"/>
            <w:left w:val="none" w:sz="0" w:space="0" w:color="auto"/>
            <w:bottom w:val="none" w:sz="0" w:space="0" w:color="auto"/>
            <w:right w:val="none" w:sz="0" w:space="0" w:color="auto"/>
          </w:divBdr>
        </w:div>
        <w:div w:id="1322003585">
          <w:marLeft w:val="0"/>
          <w:marRight w:val="0"/>
          <w:marTop w:val="0"/>
          <w:marBottom w:val="0"/>
          <w:divBdr>
            <w:top w:val="none" w:sz="0" w:space="0" w:color="auto"/>
            <w:left w:val="none" w:sz="0" w:space="0" w:color="auto"/>
            <w:bottom w:val="none" w:sz="0" w:space="0" w:color="auto"/>
            <w:right w:val="none" w:sz="0" w:space="0" w:color="auto"/>
          </w:divBdr>
        </w:div>
        <w:div w:id="1908877060">
          <w:marLeft w:val="0"/>
          <w:marRight w:val="0"/>
          <w:marTop w:val="0"/>
          <w:marBottom w:val="0"/>
          <w:divBdr>
            <w:top w:val="none" w:sz="0" w:space="0" w:color="auto"/>
            <w:left w:val="none" w:sz="0" w:space="0" w:color="auto"/>
            <w:bottom w:val="none" w:sz="0" w:space="0" w:color="auto"/>
            <w:right w:val="none" w:sz="0" w:space="0" w:color="auto"/>
          </w:divBdr>
        </w:div>
        <w:div w:id="1768961573">
          <w:marLeft w:val="0"/>
          <w:marRight w:val="0"/>
          <w:marTop w:val="0"/>
          <w:marBottom w:val="0"/>
          <w:divBdr>
            <w:top w:val="none" w:sz="0" w:space="0" w:color="auto"/>
            <w:left w:val="none" w:sz="0" w:space="0" w:color="auto"/>
            <w:bottom w:val="none" w:sz="0" w:space="0" w:color="auto"/>
            <w:right w:val="none" w:sz="0" w:space="0" w:color="auto"/>
          </w:divBdr>
        </w:div>
        <w:div w:id="1383217508">
          <w:marLeft w:val="0"/>
          <w:marRight w:val="0"/>
          <w:marTop w:val="0"/>
          <w:marBottom w:val="0"/>
          <w:divBdr>
            <w:top w:val="none" w:sz="0" w:space="0" w:color="auto"/>
            <w:left w:val="none" w:sz="0" w:space="0" w:color="auto"/>
            <w:bottom w:val="none" w:sz="0" w:space="0" w:color="auto"/>
            <w:right w:val="none" w:sz="0" w:space="0" w:color="auto"/>
          </w:divBdr>
        </w:div>
        <w:div w:id="1459301873">
          <w:marLeft w:val="0"/>
          <w:marRight w:val="0"/>
          <w:marTop w:val="0"/>
          <w:marBottom w:val="0"/>
          <w:divBdr>
            <w:top w:val="none" w:sz="0" w:space="0" w:color="auto"/>
            <w:left w:val="none" w:sz="0" w:space="0" w:color="auto"/>
            <w:bottom w:val="none" w:sz="0" w:space="0" w:color="auto"/>
            <w:right w:val="none" w:sz="0" w:space="0" w:color="auto"/>
          </w:divBdr>
        </w:div>
        <w:div w:id="459540497">
          <w:marLeft w:val="0"/>
          <w:marRight w:val="0"/>
          <w:marTop w:val="0"/>
          <w:marBottom w:val="0"/>
          <w:divBdr>
            <w:top w:val="none" w:sz="0" w:space="0" w:color="auto"/>
            <w:left w:val="none" w:sz="0" w:space="0" w:color="auto"/>
            <w:bottom w:val="none" w:sz="0" w:space="0" w:color="auto"/>
            <w:right w:val="none" w:sz="0" w:space="0" w:color="auto"/>
          </w:divBdr>
        </w:div>
      </w:divsChild>
    </w:div>
    <w:div w:id="274793302">
      <w:bodyDiv w:val="1"/>
      <w:marLeft w:val="0"/>
      <w:marRight w:val="0"/>
      <w:marTop w:val="0"/>
      <w:marBottom w:val="0"/>
      <w:divBdr>
        <w:top w:val="none" w:sz="0" w:space="0" w:color="auto"/>
        <w:left w:val="none" w:sz="0" w:space="0" w:color="auto"/>
        <w:bottom w:val="none" w:sz="0" w:space="0" w:color="auto"/>
        <w:right w:val="none" w:sz="0" w:space="0" w:color="auto"/>
      </w:divBdr>
      <w:divsChild>
        <w:div w:id="820540939">
          <w:marLeft w:val="0"/>
          <w:marRight w:val="0"/>
          <w:marTop w:val="0"/>
          <w:marBottom w:val="0"/>
          <w:divBdr>
            <w:top w:val="none" w:sz="0" w:space="0" w:color="auto"/>
            <w:left w:val="none" w:sz="0" w:space="0" w:color="auto"/>
            <w:bottom w:val="none" w:sz="0" w:space="0" w:color="auto"/>
            <w:right w:val="none" w:sz="0" w:space="0" w:color="auto"/>
          </w:divBdr>
        </w:div>
        <w:div w:id="870531291">
          <w:marLeft w:val="0"/>
          <w:marRight w:val="0"/>
          <w:marTop w:val="0"/>
          <w:marBottom w:val="0"/>
          <w:divBdr>
            <w:top w:val="none" w:sz="0" w:space="0" w:color="auto"/>
            <w:left w:val="none" w:sz="0" w:space="0" w:color="auto"/>
            <w:bottom w:val="none" w:sz="0" w:space="0" w:color="auto"/>
            <w:right w:val="none" w:sz="0" w:space="0" w:color="auto"/>
          </w:divBdr>
        </w:div>
        <w:div w:id="743987649">
          <w:marLeft w:val="0"/>
          <w:marRight w:val="0"/>
          <w:marTop w:val="0"/>
          <w:marBottom w:val="0"/>
          <w:divBdr>
            <w:top w:val="none" w:sz="0" w:space="0" w:color="auto"/>
            <w:left w:val="none" w:sz="0" w:space="0" w:color="auto"/>
            <w:bottom w:val="none" w:sz="0" w:space="0" w:color="auto"/>
            <w:right w:val="none" w:sz="0" w:space="0" w:color="auto"/>
          </w:divBdr>
        </w:div>
        <w:div w:id="1554318049">
          <w:marLeft w:val="0"/>
          <w:marRight w:val="0"/>
          <w:marTop w:val="0"/>
          <w:marBottom w:val="0"/>
          <w:divBdr>
            <w:top w:val="none" w:sz="0" w:space="0" w:color="auto"/>
            <w:left w:val="none" w:sz="0" w:space="0" w:color="auto"/>
            <w:bottom w:val="none" w:sz="0" w:space="0" w:color="auto"/>
            <w:right w:val="none" w:sz="0" w:space="0" w:color="auto"/>
          </w:divBdr>
        </w:div>
        <w:div w:id="199175424">
          <w:marLeft w:val="0"/>
          <w:marRight w:val="0"/>
          <w:marTop w:val="0"/>
          <w:marBottom w:val="0"/>
          <w:divBdr>
            <w:top w:val="none" w:sz="0" w:space="0" w:color="auto"/>
            <w:left w:val="none" w:sz="0" w:space="0" w:color="auto"/>
            <w:bottom w:val="none" w:sz="0" w:space="0" w:color="auto"/>
            <w:right w:val="none" w:sz="0" w:space="0" w:color="auto"/>
          </w:divBdr>
        </w:div>
        <w:div w:id="1818255157">
          <w:marLeft w:val="0"/>
          <w:marRight w:val="0"/>
          <w:marTop w:val="0"/>
          <w:marBottom w:val="0"/>
          <w:divBdr>
            <w:top w:val="none" w:sz="0" w:space="0" w:color="auto"/>
            <w:left w:val="none" w:sz="0" w:space="0" w:color="auto"/>
            <w:bottom w:val="none" w:sz="0" w:space="0" w:color="auto"/>
            <w:right w:val="none" w:sz="0" w:space="0" w:color="auto"/>
          </w:divBdr>
        </w:div>
        <w:div w:id="196965346">
          <w:marLeft w:val="0"/>
          <w:marRight w:val="0"/>
          <w:marTop w:val="0"/>
          <w:marBottom w:val="0"/>
          <w:divBdr>
            <w:top w:val="none" w:sz="0" w:space="0" w:color="auto"/>
            <w:left w:val="none" w:sz="0" w:space="0" w:color="auto"/>
            <w:bottom w:val="none" w:sz="0" w:space="0" w:color="auto"/>
            <w:right w:val="none" w:sz="0" w:space="0" w:color="auto"/>
          </w:divBdr>
        </w:div>
        <w:div w:id="1155995402">
          <w:marLeft w:val="0"/>
          <w:marRight w:val="0"/>
          <w:marTop w:val="0"/>
          <w:marBottom w:val="0"/>
          <w:divBdr>
            <w:top w:val="none" w:sz="0" w:space="0" w:color="auto"/>
            <w:left w:val="none" w:sz="0" w:space="0" w:color="auto"/>
            <w:bottom w:val="none" w:sz="0" w:space="0" w:color="auto"/>
            <w:right w:val="none" w:sz="0" w:space="0" w:color="auto"/>
          </w:divBdr>
        </w:div>
        <w:div w:id="1755590503">
          <w:marLeft w:val="0"/>
          <w:marRight w:val="0"/>
          <w:marTop w:val="0"/>
          <w:marBottom w:val="0"/>
          <w:divBdr>
            <w:top w:val="none" w:sz="0" w:space="0" w:color="auto"/>
            <w:left w:val="none" w:sz="0" w:space="0" w:color="auto"/>
            <w:bottom w:val="none" w:sz="0" w:space="0" w:color="auto"/>
            <w:right w:val="none" w:sz="0" w:space="0" w:color="auto"/>
          </w:divBdr>
        </w:div>
        <w:div w:id="514927484">
          <w:marLeft w:val="0"/>
          <w:marRight w:val="0"/>
          <w:marTop w:val="0"/>
          <w:marBottom w:val="0"/>
          <w:divBdr>
            <w:top w:val="none" w:sz="0" w:space="0" w:color="auto"/>
            <w:left w:val="none" w:sz="0" w:space="0" w:color="auto"/>
            <w:bottom w:val="none" w:sz="0" w:space="0" w:color="auto"/>
            <w:right w:val="none" w:sz="0" w:space="0" w:color="auto"/>
          </w:divBdr>
        </w:div>
        <w:div w:id="925265302">
          <w:marLeft w:val="0"/>
          <w:marRight w:val="0"/>
          <w:marTop w:val="0"/>
          <w:marBottom w:val="0"/>
          <w:divBdr>
            <w:top w:val="none" w:sz="0" w:space="0" w:color="auto"/>
            <w:left w:val="none" w:sz="0" w:space="0" w:color="auto"/>
            <w:bottom w:val="none" w:sz="0" w:space="0" w:color="auto"/>
            <w:right w:val="none" w:sz="0" w:space="0" w:color="auto"/>
          </w:divBdr>
        </w:div>
        <w:div w:id="1017390191">
          <w:marLeft w:val="0"/>
          <w:marRight w:val="0"/>
          <w:marTop w:val="0"/>
          <w:marBottom w:val="0"/>
          <w:divBdr>
            <w:top w:val="none" w:sz="0" w:space="0" w:color="auto"/>
            <w:left w:val="none" w:sz="0" w:space="0" w:color="auto"/>
            <w:bottom w:val="none" w:sz="0" w:space="0" w:color="auto"/>
            <w:right w:val="none" w:sz="0" w:space="0" w:color="auto"/>
          </w:divBdr>
        </w:div>
        <w:div w:id="1198204642">
          <w:marLeft w:val="0"/>
          <w:marRight w:val="0"/>
          <w:marTop w:val="0"/>
          <w:marBottom w:val="0"/>
          <w:divBdr>
            <w:top w:val="none" w:sz="0" w:space="0" w:color="auto"/>
            <w:left w:val="none" w:sz="0" w:space="0" w:color="auto"/>
            <w:bottom w:val="none" w:sz="0" w:space="0" w:color="auto"/>
            <w:right w:val="none" w:sz="0" w:space="0" w:color="auto"/>
          </w:divBdr>
        </w:div>
        <w:div w:id="1375275293">
          <w:marLeft w:val="0"/>
          <w:marRight w:val="0"/>
          <w:marTop w:val="0"/>
          <w:marBottom w:val="0"/>
          <w:divBdr>
            <w:top w:val="none" w:sz="0" w:space="0" w:color="auto"/>
            <w:left w:val="none" w:sz="0" w:space="0" w:color="auto"/>
            <w:bottom w:val="none" w:sz="0" w:space="0" w:color="auto"/>
            <w:right w:val="none" w:sz="0" w:space="0" w:color="auto"/>
          </w:divBdr>
        </w:div>
        <w:div w:id="816801659">
          <w:marLeft w:val="0"/>
          <w:marRight w:val="0"/>
          <w:marTop w:val="0"/>
          <w:marBottom w:val="0"/>
          <w:divBdr>
            <w:top w:val="none" w:sz="0" w:space="0" w:color="auto"/>
            <w:left w:val="none" w:sz="0" w:space="0" w:color="auto"/>
            <w:bottom w:val="none" w:sz="0" w:space="0" w:color="auto"/>
            <w:right w:val="none" w:sz="0" w:space="0" w:color="auto"/>
          </w:divBdr>
        </w:div>
        <w:div w:id="1867207585">
          <w:marLeft w:val="0"/>
          <w:marRight w:val="0"/>
          <w:marTop w:val="0"/>
          <w:marBottom w:val="0"/>
          <w:divBdr>
            <w:top w:val="none" w:sz="0" w:space="0" w:color="auto"/>
            <w:left w:val="none" w:sz="0" w:space="0" w:color="auto"/>
            <w:bottom w:val="none" w:sz="0" w:space="0" w:color="auto"/>
            <w:right w:val="none" w:sz="0" w:space="0" w:color="auto"/>
          </w:divBdr>
        </w:div>
        <w:div w:id="1643316479">
          <w:marLeft w:val="0"/>
          <w:marRight w:val="0"/>
          <w:marTop w:val="0"/>
          <w:marBottom w:val="0"/>
          <w:divBdr>
            <w:top w:val="none" w:sz="0" w:space="0" w:color="auto"/>
            <w:left w:val="none" w:sz="0" w:space="0" w:color="auto"/>
            <w:bottom w:val="none" w:sz="0" w:space="0" w:color="auto"/>
            <w:right w:val="none" w:sz="0" w:space="0" w:color="auto"/>
          </w:divBdr>
        </w:div>
        <w:div w:id="1001003994">
          <w:marLeft w:val="0"/>
          <w:marRight w:val="0"/>
          <w:marTop w:val="0"/>
          <w:marBottom w:val="0"/>
          <w:divBdr>
            <w:top w:val="none" w:sz="0" w:space="0" w:color="auto"/>
            <w:left w:val="none" w:sz="0" w:space="0" w:color="auto"/>
            <w:bottom w:val="none" w:sz="0" w:space="0" w:color="auto"/>
            <w:right w:val="none" w:sz="0" w:space="0" w:color="auto"/>
          </w:divBdr>
        </w:div>
        <w:div w:id="153839105">
          <w:marLeft w:val="0"/>
          <w:marRight w:val="0"/>
          <w:marTop w:val="0"/>
          <w:marBottom w:val="0"/>
          <w:divBdr>
            <w:top w:val="none" w:sz="0" w:space="0" w:color="auto"/>
            <w:left w:val="none" w:sz="0" w:space="0" w:color="auto"/>
            <w:bottom w:val="none" w:sz="0" w:space="0" w:color="auto"/>
            <w:right w:val="none" w:sz="0" w:space="0" w:color="auto"/>
          </w:divBdr>
        </w:div>
        <w:div w:id="1638341770">
          <w:marLeft w:val="0"/>
          <w:marRight w:val="0"/>
          <w:marTop w:val="0"/>
          <w:marBottom w:val="0"/>
          <w:divBdr>
            <w:top w:val="none" w:sz="0" w:space="0" w:color="auto"/>
            <w:left w:val="none" w:sz="0" w:space="0" w:color="auto"/>
            <w:bottom w:val="none" w:sz="0" w:space="0" w:color="auto"/>
            <w:right w:val="none" w:sz="0" w:space="0" w:color="auto"/>
          </w:divBdr>
        </w:div>
        <w:div w:id="1907645596">
          <w:marLeft w:val="0"/>
          <w:marRight w:val="0"/>
          <w:marTop w:val="0"/>
          <w:marBottom w:val="0"/>
          <w:divBdr>
            <w:top w:val="none" w:sz="0" w:space="0" w:color="auto"/>
            <w:left w:val="none" w:sz="0" w:space="0" w:color="auto"/>
            <w:bottom w:val="none" w:sz="0" w:space="0" w:color="auto"/>
            <w:right w:val="none" w:sz="0" w:space="0" w:color="auto"/>
          </w:divBdr>
        </w:div>
        <w:div w:id="1941332876">
          <w:marLeft w:val="0"/>
          <w:marRight w:val="0"/>
          <w:marTop w:val="0"/>
          <w:marBottom w:val="0"/>
          <w:divBdr>
            <w:top w:val="none" w:sz="0" w:space="0" w:color="auto"/>
            <w:left w:val="none" w:sz="0" w:space="0" w:color="auto"/>
            <w:bottom w:val="none" w:sz="0" w:space="0" w:color="auto"/>
            <w:right w:val="none" w:sz="0" w:space="0" w:color="auto"/>
          </w:divBdr>
        </w:div>
        <w:div w:id="127629371">
          <w:marLeft w:val="0"/>
          <w:marRight w:val="0"/>
          <w:marTop w:val="0"/>
          <w:marBottom w:val="0"/>
          <w:divBdr>
            <w:top w:val="none" w:sz="0" w:space="0" w:color="auto"/>
            <w:left w:val="none" w:sz="0" w:space="0" w:color="auto"/>
            <w:bottom w:val="none" w:sz="0" w:space="0" w:color="auto"/>
            <w:right w:val="none" w:sz="0" w:space="0" w:color="auto"/>
          </w:divBdr>
        </w:div>
        <w:div w:id="137648333">
          <w:marLeft w:val="0"/>
          <w:marRight w:val="0"/>
          <w:marTop w:val="0"/>
          <w:marBottom w:val="0"/>
          <w:divBdr>
            <w:top w:val="none" w:sz="0" w:space="0" w:color="auto"/>
            <w:left w:val="none" w:sz="0" w:space="0" w:color="auto"/>
            <w:bottom w:val="none" w:sz="0" w:space="0" w:color="auto"/>
            <w:right w:val="none" w:sz="0" w:space="0" w:color="auto"/>
          </w:divBdr>
        </w:div>
        <w:div w:id="1495997061">
          <w:marLeft w:val="0"/>
          <w:marRight w:val="0"/>
          <w:marTop w:val="0"/>
          <w:marBottom w:val="0"/>
          <w:divBdr>
            <w:top w:val="none" w:sz="0" w:space="0" w:color="auto"/>
            <w:left w:val="none" w:sz="0" w:space="0" w:color="auto"/>
            <w:bottom w:val="none" w:sz="0" w:space="0" w:color="auto"/>
            <w:right w:val="none" w:sz="0" w:space="0" w:color="auto"/>
          </w:divBdr>
        </w:div>
        <w:div w:id="1766343778">
          <w:marLeft w:val="0"/>
          <w:marRight w:val="0"/>
          <w:marTop w:val="0"/>
          <w:marBottom w:val="0"/>
          <w:divBdr>
            <w:top w:val="none" w:sz="0" w:space="0" w:color="auto"/>
            <w:left w:val="none" w:sz="0" w:space="0" w:color="auto"/>
            <w:bottom w:val="none" w:sz="0" w:space="0" w:color="auto"/>
            <w:right w:val="none" w:sz="0" w:space="0" w:color="auto"/>
          </w:divBdr>
        </w:div>
        <w:div w:id="285507519">
          <w:marLeft w:val="0"/>
          <w:marRight w:val="0"/>
          <w:marTop w:val="0"/>
          <w:marBottom w:val="0"/>
          <w:divBdr>
            <w:top w:val="none" w:sz="0" w:space="0" w:color="auto"/>
            <w:left w:val="none" w:sz="0" w:space="0" w:color="auto"/>
            <w:bottom w:val="none" w:sz="0" w:space="0" w:color="auto"/>
            <w:right w:val="none" w:sz="0" w:space="0" w:color="auto"/>
          </w:divBdr>
        </w:div>
        <w:div w:id="1711226621">
          <w:marLeft w:val="0"/>
          <w:marRight w:val="0"/>
          <w:marTop w:val="0"/>
          <w:marBottom w:val="0"/>
          <w:divBdr>
            <w:top w:val="none" w:sz="0" w:space="0" w:color="auto"/>
            <w:left w:val="none" w:sz="0" w:space="0" w:color="auto"/>
            <w:bottom w:val="none" w:sz="0" w:space="0" w:color="auto"/>
            <w:right w:val="none" w:sz="0" w:space="0" w:color="auto"/>
          </w:divBdr>
        </w:div>
        <w:div w:id="100103541">
          <w:marLeft w:val="0"/>
          <w:marRight w:val="0"/>
          <w:marTop w:val="0"/>
          <w:marBottom w:val="0"/>
          <w:divBdr>
            <w:top w:val="none" w:sz="0" w:space="0" w:color="auto"/>
            <w:left w:val="none" w:sz="0" w:space="0" w:color="auto"/>
            <w:bottom w:val="none" w:sz="0" w:space="0" w:color="auto"/>
            <w:right w:val="none" w:sz="0" w:space="0" w:color="auto"/>
          </w:divBdr>
        </w:div>
        <w:div w:id="632908103">
          <w:marLeft w:val="0"/>
          <w:marRight w:val="0"/>
          <w:marTop w:val="0"/>
          <w:marBottom w:val="0"/>
          <w:divBdr>
            <w:top w:val="none" w:sz="0" w:space="0" w:color="auto"/>
            <w:left w:val="none" w:sz="0" w:space="0" w:color="auto"/>
            <w:bottom w:val="none" w:sz="0" w:space="0" w:color="auto"/>
            <w:right w:val="none" w:sz="0" w:space="0" w:color="auto"/>
          </w:divBdr>
        </w:div>
        <w:div w:id="39019872">
          <w:marLeft w:val="0"/>
          <w:marRight w:val="0"/>
          <w:marTop w:val="0"/>
          <w:marBottom w:val="0"/>
          <w:divBdr>
            <w:top w:val="none" w:sz="0" w:space="0" w:color="auto"/>
            <w:left w:val="none" w:sz="0" w:space="0" w:color="auto"/>
            <w:bottom w:val="none" w:sz="0" w:space="0" w:color="auto"/>
            <w:right w:val="none" w:sz="0" w:space="0" w:color="auto"/>
          </w:divBdr>
        </w:div>
        <w:div w:id="690103529">
          <w:marLeft w:val="0"/>
          <w:marRight w:val="0"/>
          <w:marTop w:val="0"/>
          <w:marBottom w:val="0"/>
          <w:divBdr>
            <w:top w:val="none" w:sz="0" w:space="0" w:color="auto"/>
            <w:left w:val="none" w:sz="0" w:space="0" w:color="auto"/>
            <w:bottom w:val="none" w:sz="0" w:space="0" w:color="auto"/>
            <w:right w:val="none" w:sz="0" w:space="0" w:color="auto"/>
          </w:divBdr>
        </w:div>
        <w:div w:id="537935898">
          <w:marLeft w:val="0"/>
          <w:marRight w:val="0"/>
          <w:marTop w:val="0"/>
          <w:marBottom w:val="0"/>
          <w:divBdr>
            <w:top w:val="none" w:sz="0" w:space="0" w:color="auto"/>
            <w:left w:val="none" w:sz="0" w:space="0" w:color="auto"/>
            <w:bottom w:val="none" w:sz="0" w:space="0" w:color="auto"/>
            <w:right w:val="none" w:sz="0" w:space="0" w:color="auto"/>
          </w:divBdr>
        </w:div>
        <w:div w:id="1136794081">
          <w:marLeft w:val="0"/>
          <w:marRight w:val="0"/>
          <w:marTop w:val="0"/>
          <w:marBottom w:val="0"/>
          <w:divBdr>
            <w:top w:val="none" w:sz="0" w:space="0" w:color="auto"/>
            <w:left w:val="none" w:sz="0" w:space="0" w:color="auto"/>
            <w:bottom w:val="none" w:sz="0" w:space="0" w:color="auto"/>
            <w:right w:val="none" w:sz="0" w:space="0" w:color="auto"/>
          </w:divBdr>
        </w:div>
        <w:div w:id="1384864818">
          <w:marLeft w:val="0"/>
          <w:marRight w:val="0"/>
          <w:marTop w:val="0"/>
          <w:marBottom w:val="0"/>
          <w:divBdr>
            <w:top w:val="none" w:sz="0" w:space="0" w:color="auto"/>
            <w:left w:val="none" w:sz="0" w:space="0" w:color="auto"/>
            <w:bottom w:val="none" w:sz="0" w:space="0" w:color="auto"/>
            <w:right w:val="none" w:sz="0" w:space="0" w:color="auto"/>
          </w:divBdr>
        </w:div>
        <w:div w:id="404452434">
          <w:marLeft w:val="0"/>
          <w:marRight w:val="0"/>
          <w:marTop w:val="0"/>
          <w:marBottom w:val="0"/>
          <w:divBdr>
            <w:top w:val="none" w:sz="0" w:space="0" w:color="auto"/>
            <w:left w:val="none" w:sz="0" w:space="0" w:color="auto"/>
            <w:bottom w:val="none" w:sz="0" w:space="0" w:color="auto"/>
            <w:right w:val="none" w:sz="0" w:space="0" w:color="auto"/>
          </w:divBdr>
        </w:div>
        <w:div w:id="298848019">
          <w:marLeft w:val="0"/>
          <w:marRight w:val="0"/>
          <w:marTop w:val="0"/>
          <w:marBottom w:val="0"/>
          <w:divBdr>
            <w:top w:val="none" w:sz="0" w:space="0" w:color="auto"/>
            <w:left w:val="none" w:sz="0" w:space="0" w:color="auto"/>
            <w:bottom w:val="none" w:sz="0" w:space="0" w:color="auto"/>
            <w:right w:val="none" w:sz="0" w:space="0" w:color="auto"/>
          </w:divBdr>
        </w:div>
        <w:div w:id="1737781431">
          <w:marLeft w:val="0"/>
          <w:marRight w:val="0"/>
          <w:marTop w:val="0"/>
          <w:marBottom w:val="0"/>
          <w:divBdr>
            <w:top w:val="none" w:sz="0" w:space="0" w:color="auto"/>
            <w:left w:val="none" w:sz="0" w:space="0" w:color="auto"/>
            <w:bottom w:val="none" w:sz="0" w:space="0" w:color="auto"/>
            <w:right w:val="none" w:sz="0" w:space="0" w:color="auto"/>
          </w:divBdr>
        </w:div>
        <w:div w:id="988747892">
          <w:marLeft w:val="0"/>
          <w:marRight w:val="0"/>
          <w:marTop w:val="0"/>
          <w:marBottom w:val="0"/>
          <w:divBdr>
            <w:top w:val="none" w:sz="0" w:space="0" w:color="auto"/>
            <w:left w:val="none" w:sz="0" w:space="0" w:color="auto"/>
            <w:bottom w:val="none" w:sz="0" w:space="0" w:color="auto"/>
            <w:right w:val="none" w:sz="0" w:space="0" w:color="auto"/>
          </w:divBdr>
        </w:div>
        <w:div w:id="378088728">
          <w:marLeft w:val="0"/>
          <w:marRight w:val="0"/>
          <w:marTop w:val="0"/>
          <w:marBottom w:val="0"/>
          <w:divBdr>
            <w:top w:val="none" w:sz="0" w:space="0" w:color="auto"/>
            <w:left w:val="none" w:sz="0" w:space="0" w:color="auto"/>
            <w:bottom w:val="none" w:sz="0" w:space="0" w:color="auto"/>
            <w:right w:val="none" w:sz="0" w:space="0" w:color="auto"/>
          </w:divBdr>
        </w:div>
        <w:div w:id="405303102">
          <w:marLeft w:val="0"/>
          <w:marRight w:val="0"/>
          <w:marTop w:val="0"/>
          <w:marBottom w:val="0"/>
          <w:divBdr>
            <w:top w:val="none" w:sz="0" w:space="0" w:color="auto"/>
            <w:left w:val="none" w:sz="0" w:space="0" w:color="auto"/>
            <w:bottom w:val="none" w:sz="0" w:space="0" w:color="auto"/>
            <w:right w:val="none" w:sz="0" w:space="0" w:color="auto"/>
          </w:divBdr>
        </w:div>
        <w:div w:id="1191797991">
          <w:marLeft w:val="0"/>
          <w:marRight w:val="0"/>
          <w:marTop w:val="0"/>
          <w:marBottom w:val="0"/>
          <w:divBdr>
            <w:top w:val="none" w:sz="0" w:space="0" w:color="auto"/>
            <w:left w:val="none" w:sz="0" w:space="0" w:color="auto"/>
            <w:bottom w:val="none" w:sz="0" w:space="0" w:color="auto"/>
            <w:right w:val="none" w:sz="0" w:space="0" w:color="auto"/>
          </w:divBdr>
        </w:div>
        <w:div w:id="483282959">
          <w:marLeft w:val="0"/>
          <w:marRight w:val="0"/>
          <w:marTop w:val="0"/>
          <w:marBottom w:val="0"/>
          <w:divBdr>
            <w:top w:val="none" w:sz="0" w:space="0" w:color="auto"/>
            <w:left w:val="none" w:sz="0" w:space="0" w:color="auto"/>
            <w:bottom w:val="none" w:sz="0" w:space="0" w:color="auto"/>
            <w:right w:val="none" w:sz="0" w:space="0" w:color="auto"/>
          </w:divBdr>
        </w:div>
        <w:div w:id="1886792150">
          <w:marLeft w:val="0"/>
          <w:marRight w:val="0"/>
          <w:marTop w:val="0"/>
          <w:marBottom w:val="0"/>
          <w:divBdr>
            <w:top w:val="none" w:sz="0" w:space="0" w:color="auto"/>
            <w:left w:val="none" w:sz="0" w:space="0" w:color="auto"/>
            <w:bottom w:val="none" w:sz="0" w:space="0" w:color="auto"/>
            <w:right w:val="none" w:sz="0" w:space="0" w:color="auto"/>
          </w:divBdr>
        </w:div>
      </w:divsChild>
    </w:div>
    <w:div w:id="281618347">
      <w:bodyDiv w:val="1"/>
      <w:marLeft w:val="0"/>
      <w:marRight w:val="0"/>
      <w:marTop w:val="0"/>
      <w:marBottom w:val="0"/>
      <w:divBdr>
        <w:top w:val="none" w:sz="0" w:space="0" w:color="auto"/>
        <w:left w:val="none" w:sz="0" w:space="0" w:color="auto"/>
        <w:bottom w:val="none" w:sz="0" w:space="0" w:color="auto"/>
        <w:right w:val="none" w:sz="0" w:space="0" w:color="auto"/>
      </w:divBdr>
      <w:divsChild>
        <w:div w:id="853418880">
          <w:marLeft w:val="0"/>
          <w:marRight w:val="0"/>
          <w:marTop w:val="0"/>
          <w:marBottom w:val="0"/>
          <w:divBdr>
            <w:top w:val="none" w:sz="0" w:space="0" w:color="auto"/>
            <w:left w:val="none" w:sz="0" w:space="0" w:color="auto"/>
            <w:bottom w:val="none" w:sz="0" w:space="0" w:color="auto"/>
            <w:right w:val="none" w:sz="0" w:space="0" w:color="auto"/>
          </w:divBdr>
        </w:div>
        <w:div w:id="34544890">
          <w:marLeft w:val="0"/>
          <w:marRight w:val="0"/>
          <w:marTop w:val="0"/>
          <w:marBottom w:val="0"/>
          <w:divBdr>
            <w:top w:val="none" w:sz="0" w:space="0" w:color="auto"/>
            <w:left w:val="none" w:sz="0" w:space="0" w:color="auto"/>
            <w:bottom w:val="none" w:sz="0" w:space="0" w:color="auto"/>
            <w:right w:val="none" w:sz="0" w:space="0" w:color="auto"/>
          </w:divBdr>
        </w:div>
        <w:div w:id="1036272435">
          <w:marLeft w:val="0"/>
          <w:marRight w:val="0"/>
          <w:marTop w:val="0"/>
          <w:marBottom w:val="0"/>
          <w:divBdr>
            <w:top w:val="none" w:sz="0" w:space="0" w:color="auto"/>
            <w:left w:val="none" w:sz="0" w:space="0" w:color="auto"/>
            <w:bottom w:val="none" w:sz="0" w:space="0" w:color="auto"/>
            <w:right w:val="none" w:sz="0" w:space="0" w:color="auto"/>
          </w:divBdr>
        </w:div>
        <w:div w:id="132597548">
          <w:marLeft w:val="0"/>
          <w:marRight w:val="0"/>
          <w:marTop w:val="0"/>
          <w:marBottom w:val="0"/>
          <w:divBdr>
            <w:top w:val="none" w:sz="0" w:space="0" w:color="auto"/>
            <w:left w:val="none" w:sz="0" w:space="0" w:color="auto"/>
            <w:bottom w:val="none" w:sz="0" w:space="0" w:color="auto"/>
            <w:right w:val="none" w:sz="0" w:space="0" w:color="auto"/>
          </w:divBdr>
        </w:div>
        <w:div w:id="1894465845">
          <w:marLeft w:val="0"/>
          <w:marRight w:val="0"/>
          <w:marTop w:val="0"/>
          <w:marBottom w:val="0"/>
          <w:divBdr>
            <w:top w:val="none" w:sz="0" w:space="0" w:color="auto"/>
            <w:left w:val="none" w:sz="0" w:space="0" w:color="auto"/>
            <w:bottom w:val="none" w:sz="0" w:space="0" w:color="auto"/>
            <w:right w:val="none" w:sz="0" w:space="0" w:color="auto"/>
          </w:divBdr>
        </w:div>
        <w:div w:id="728578471">
          <w:marLeft w:val="0"/>
          <w:marRight w:val="0"/>
          <w:marTop w:val="0"/>
          <w:marBottom w:val="0"/>
          <w:divBdr>
            <w:top w:val="none" w:sz="0" w:space="0" w:color="auto"/>
            <w:left w:val="none" w:sz="0" w:space="0" w:color="auto"/>
            <w:bottom w:val="none" w:sz="0" w:space="0" w:color="auto"/>
            <w:right w:val="none" w:sz="0" w:space="0" w:color="auto"/>
          </w:divBdr>
        </w:div>
        <w:div w:id="1137995538">
          <w:marLeft w:val="0"/>
          <w:marRight w:val="0"/>
          <w:marTop w:val="0"/>
          <w:marBottom w:val="0"/>
          <w:divBdr>
            <w:top w:val="none" w:sz="0" w:space="0" w:color="auto"/>
            <w:left w:val="none" w:sz="0" w:space="0" w:color="auto"/>
            <w:bottom w:val="none" w:sz="0" w:space="0" w:color="auto"/>
            <w:right w:val="none" w:sz="0" w:space="0" w:color="auto"/>
          </w:divBdr>
        </w:div>
        <w:div w:id="1033578516">
          <w:marLeft w:val="0"/>
          <w:marRight w:val="0"/>
          <w:marTop w:val="0"/>
          <w:marBottom w:val="0"/>
          <w:divBdr>
            <w:top w:val="none" w:sz="0" w:space="0" w:color="auto"/>
            <w:left w:val="none" w:sz="0" w:space="0" w:color="auto"/>
            <w:bottom w:val="none" w:sz="0" w:space="0" w:color="auto"/>
            <w:right w:val="none" w:sz="0" w:space="0" w:color="auto"/>
          </w:divBdr>
        </w:div>
      </w:divsChild>
    </w:div>
    <w:div w:id="291401561">
      <w:bodyDiv w:val="1"/>
      <w:marLeft w:val="0"/>
      <w:marRight w:val="0"/>
      <w:marTop w:val="0"/>
      <w:marBottom w:val="0"/>
      <w:divBdr>
        <w:top w:val="none" w:sz="0" w:space="0" w:color="auto"/>
        <w:left w:val="none" w:sz="0" w:space="0" w:color="auto"/>
        <w:bottom w:val="none" w:sz="0" w:space="0" w:color="auto"/>
        <w:right w:val="none" w:sz="0" w:space="0" w:color="auto"/>
      </w:divBdr>
      <w:divsChild>
        <w:div w:id="625046138">
          <w:marLeft w:val="0"/>
          <w:marRight w:val="0"/>
          <w:marTop w:val="0"/>
          <w:marBottom w:val="0"/>
          <w:divBdr>
            <w:top w:val="none" w:sz="0" w:space="0" w:color="auto"/>
            <w:left w:val="none" w:sz="0" w:space="0" w:color="auto"/>
            <w:bottom w:val="none" w:sz="0" w:space="0" w:color="auto"/>
            <w:right w:val="none" w:sz="0" w:space="0" w:color="auto"/>
          </w:divBdr>
        </w:div>
        <w:div w:id="1639796985">
          <w:marLeft w:val="0"/>
          <w:marRight w:val="0"/>
          <w:marTop w:val="0"/>
          <w:marBottom w:val="0"/>
          <w:divBdr>
            <w:top w:val="none" w:sz="0" w:space="0" w:color="auto"/>
            <w:left w:val="none" w:sz="0" w:space="0" w:color="auto"/>
            <w:bottom w:val="none" w:sz="0" w:space="0" w:color="auto"/>
            <w:right w:val="none" w:sz="0" w:space="0" w:color="auto"/>
          </w:divBdr>
        </w:div>
        <w:div w:id="1864511106">
          <w:marLeft w:val="0"/>
          <w:marRight w:val="0"/>
          <w:marTop w:val="0"/>
          <w:marBottom w:val="0"/>
          <w:divBdr>
            <w:top w:val="none" w:sz="0" w:space="0" w:color="auto"/>
            <w:left w:val="none" w:sz="0" w:space="0" w:color="auto"/>
            <w:bottom w:val="none" w:sz="0" w:space="0" w:color="auto"/>
            <w:right w:val="none" w:sz="0" w:space="0" w:color="auto"/>
          </w:divBdr>
        </w:div>
        <w:div w:id="885021921">
          <w:marLeft w:val="0"/>
          <w:marRight w:val="0"/>
          <w:marTop w:val="0"/>
          <w:marBottom w:val="0"/>
          <w:divBdr>
            <w:top w:val="none" w:sz="0" w:space="0" w:color="auto"/>
            <w:left w:val="none" w:sz="0" w:space="0" w:color="auto"/>
            <w:bottom w:val="none" w:sz="0" w:space="0" w:color="auto"/>
            <w:right w:val="none" w:sz="0" w:space="0" w:color="auto"/>
          </w:divBdr>
        </w:div>
        <w:div w:id="1342581559">
          <w:marLeft w:val="0"/>
          <w:marRight w:val="0"/>
          <w:marTop w:val="0"/>
          <w:marBottom w:val="0"/>
          <w:divBdr>
            <w:top w:val="none" w:sz="0" w:space="0" w:color="auto"/>
            <w:left w:val="none" w:sz="0" w:space="0" w:color="auto"/>
            <w:bottom w:val="none" w:sz="0" w:space="0" w:color="auto"/>
            <w:right w:val="none" w:sz="0" w:space="0" w:color="auto"/>
          </w:divBdr>
        </w:div>
        <w:div w:id="1597054345">
          <w:marLeft w:val="0"/>
          <w:marRight w:val="0"/>
          <w:marTop w:val="0"/>
          <w:marBottom w:val="0"/>
          <w:divBdr>
            <w:top w:val="none" w:sz="0" w:space="0" w:color="auto"/>
            <w:left w:val="none" w:sz="0" w:space="0" w:color="auto"/>
            <w:bottom w:val="none" w:sz="0" w:space="0" w:color="auto"/>
            <w:right w:val="none" w:sz="0" w:space="0" w:color="auto"/>
          </w:divBdr>
        </w:div>
        <w:div w:id="852039035">
          <w:marLeft w:val="0"/>
          <w:marRight w:val="0"/>
          <w:marTop w:val="0"/>
          <w:marBottom w:val="0"/>
          <w:divBdr>
            <w:top w:val="none" w:sz="0" w:space="0" w:color="auto"/>
            <w:left w:val="none" w:sz="0" w:space="0" w:color="auto"/>
            <w:bottom w:val="none" w:sz="0" w:space="0" w:color="auto"/>
            <w:right w:val="none" w:sz="0" w:space="0" w:color="auto"/>
          </w:divBdr>
        </w:div>
        <w:div w:id="356736253">
          <w:marLeft w:val="0"/>
          <w:marRight w:val="0"/>
          <w:marTop w:val="0"/>
          <w:marBottom w:val="0"/>
          <w:divBdr>
            <w:top w:val="none" w:sz="0" w:space="0" w:color="auto"/>
            <w:left w:val="none" w:sz="0" w:space="0" w:color="auto"/>
            <w:bottom w:val="none" w:sz="0" w:space="0" w:color="auto"/>
            <w:right w:val="none" w:sz="0" w:space="0" w:color="auto"/>
          </w:divBdr>
        </w:div>
        <w:div w:id="161089290">
          <w:marLeft w:val="0"/>
          <w:marRight w:val="0"/>
          <w:marTop w:val="0"/>
          <w:marBottom w:val="0"/>
          <w:divBdr>
            <w:top w:val="none" w:sz="0" w:space="0" w:color="auto"/>
            <w:left w:val="none" w:sz="0" w:space="0" w:color="auto"/>
            <w:bottom w:val="none" w:sz="0" w:space="0" w:color="auto"/>
            <w:right w:val="none" w:sz="0" w:space="0" w:color="auto"/>
          </w:divBdr>
        </w:div>
        <w:div w:id="103038622">
          <w:marLeft w:val="0"/>
          <w:marRight w:val="0"/>
          <w:marTop w:val="0"/>
          <w:marBottom w:val="0"/>
          <w:divBdr>
            <w:top w:val="none" w:sz="0" w:space="0" w:color="auto"/>
            <w:left w:val="none" w:sz="0" w:space="0" w:color="auto"/>
            <w:bottom w:val="none" w:sz="0" w:space="0" w:color="auto"/>
            <w:right w:val="none" w:sz="0" w:space="0" w:color="auto"/>
          </w:divBdr>
        </w:div>
        <w:div w:id="1337465499">
          <w:marLeft w:val="0"/>
          <w:marRight w:val="0"/>
          <w:marTop w:val="0"/>
          <w:marBottom w:val="0"/>
          <w:divBdr>
            <w:top w:val="none" w:sz="0" w:space="0" w:color="auto"/>
            <w:left w:val="none" w:sz="0" w:space="0" w:color="auto"/>
            <w:bottom w:val="none" w:sz="0" w:space="0" w:color="auto"/>
            <w:right w:val="none" w:sz="0" w:space="0" w:color="auto"/>
          </w:divBdr>
        </w:div>
        <w:div w:id="919171120">
          <w:marLeft w:val="0"/>
          <w:marRight w:val="0"/>
          <w:marTop w:val="0"/>
          <w:marBottom w:val="0"/>
          <w:divBdr>
            <w:top w:val="none" w:sz="0" w:space="0" w:color="auto"/>
            <w:left w:val="none" w:sz="0" w:space="0" w:color="auto"/>
            <w:bottom w:val="none" w:sz="0" w:space="0" w:color="auto"/>
            <w:right w:val="none" w:sz="0" w:space="0" w:color="auto"/>
          </w:divBdr>
        </w:div>
        <w:div w:id="54284789">
          <w:marLeft w:val="0"/>
          <w:marRight w:val="0"/>
          <w:marTop w:val="0"/>
          <w:marBottom w:val="0"/>
          <w:divBdr>
            <w:top w:val="none" w:sz="0" w:space="0" w:color="auto"/>
            <w:left w:val="none" w:sz="0" w:space="0" w:color="auto"/>
            <w:bottom w:val="none" w:sz="0" w:space="0" w:color="auto"/>
            <w:right w:val="none" w:sz="0" w:space="0" w:color="auto"/>
          </w:divBdr>
        </w:div>
        <w:div w:id="1241020762">
          <w:marLeft w:val="0"/>
          <w:marRight w:val="0"/>
          <w:marTop w:val="0"/>
          <w:marBottom w:val="0"/>
          <w:divBdr>
            <w:top w:val="none" w:sz="0" w:space="0" w:color="auto"/>
            <w:left w:val="none" w:sz="0" w:space="0" w:color="auto"/>
            <w:bottom w:val="none" w:sz="0" w:space="0" w:color="auto"/>
            <w:right w:val="none" w:sz="0" w:space="0" w:color="auto"/>
          </w:divBdr>
        </w:div>
        <w:div w:id="389497337">
          <w:marLeft w:val="0"/>
          <w:marRight w:val="0"/>
          <w:marTop w:val="0"/>
          <w:marBottom w:val="0"/>
          <w:divBdr>
            <w:top w:val="none" w:sz="0" w:space="0" w:color="auto"/>
            <w:left w:val="none" w:sz="0" w:space="0" w:color="auto"/>
            <w:bottom w:val="none" w:sz="0" w:space="0" w:color="auto"/>
            <w:right w:val="none" w:sz="0" w:space="0" w:color="auto"/>
          </w:divBdr>
        </w:div>
        <w:div w:id="347679463">
          <w:marLeft w:val="0"/>
          <w:marRight w:val="0"/>
          <w:marTop w:val="0"/>
          <w:marBottom w:val="0"/>
          <w:divBdr>
            <w:top w:val="none" w:sz="0" w:space="0" w:color="auto"/>
            <w:left w:val="none" w:sz="0" w:space="0" w:color="auto"/>
            <w:bottom w:val="none" w:sz="0" w:space="0" w:color="auto"/>
            <w:right w:val="none" w:sz="0" w:space="0" w:color="auto"/>
          </w:divBdr>
        </w:div>
        <w:div w:id="1877499848">
          <w:marLeft w:val="0"/>
          <w:marRight w:val="0"/>
          <w:marTop w:val="0"/>
          <w:marBottom w:val="0"/>
          <w:divBdr>
            <w:top w:val="none" w:sz="0" w:space="0" w:color="auto"/>
            <w:left w:val="none" w:sz="0" w:space="0" w:color="auto"/>
            <w:bottom w:val="none" w:sz="0" w:space="0" w:color="auto"/>
            <w:right w:val="none" w:sz="0" w:space="0" w:color="auto"/>
          </w:divBdr>
        </w:div>
        <w:div w:id="678120689">
          <w:marLeft w:val="0"/>
          <w:marRight w:val="0"/>
          <w:marTop w:val="0"/>
          <w:marBottom w:val="0"/>
          <w:divBdr>
            <w:top w:val="none" w:sz="0" w:space="0" w:color="auto"/>
            <w:left w:val="none" w:sz="0" w:space="0" w:color="auto"/>
            <w:bottom w:val="none" w:sz="0" w:space="0" w:color="auto"/>
            <w:right w:val="none" w:sz="0" w:space="0" w:color="auto"/>
          </w:divBdr>
        </w:div>
        <w:div w:id="1396509457">
          <w:marLeft w:val="0"/>
          <w:marRight w:val="0"/>
          <w:marTop w:val="0"/>
          <w:marBottom w:val="0"/>
          <w:divBdr>
            <w:top w:val="none" w:sz="0" w:space="0" w:color="auto"/>
            <w:left w:val="none" w:sz="0" w:space="0" w:color="auto"/>
            <w:bottom w:val="none" w:sz="0" w:space="0" w:color="auto"/>
            <w:right w:val="none" w:sz="0" w:space="0" w:color="auto"/>
          </w:divBdr>
        </w:div>
        <w:div w:id="369184960">
          <w:marLeft w:val="0"/>
          <w:marRight w:val="0"/>
          <w:marTop w:val="0"/>
          <w:marBottom w:val="0"/>
          <w:divBdr>
            <w:top w:val="none" w:sz="0" w:space="0" w:color="auto"/>
            <w:left w:val="none" w:sz="0" w:space="0" w:color="auto"/>
            <w:bottom w:val="none" w:sz="0" w:space="0" w:color="auto"/>
            <w:right w:val="none" w:sz="0" w:space="0" w:color="auto"/>
          </w:divBdr>
        </w:div>
        <w:div w:id="1822578133">
          <w:marLeft w:val="0"/>
          <w:marRight w:val="0"/>
          <w:marTop w:val="0"/>
          <w:marBottom w:val="0"/>
          <w:divBdr>
            <w:top w:val="none" w:sz="0" w:space="0" w:color="auto"/>
            <w:left w:val="none" w:sz="0" w:space="0" w:color="auto"/>
            <w:bottom w:val="none" w:sz="0" w:space="0" w:color="auto"/>
            <w:right w:val="none" w:sz="0" w:space="0" w:color="auto"/>
          </w:divBdr>
        </w:div>
        <w:div w:id="2046366821">
          <w:marLeft w:val="0"/>
          <w:marRight w:val="0"/>
          <w:marTop w:val="0"/>
          <w:marBottom w:val="0"/>
          <w:divBdr>
            <w:top w:val="none" w:sz="0" w:space="0" w:color="auto"/>
            <w:left w:val="none" w:sz="0" w:space="0" w:color="auto"/>
            <w:bottom w:val="none" w:sz="0" w:space="0" w:color="auto"/>
            <w:right w:val="none" w:sz="0" w:space="0" w:color="auto"/>
          </w:divBdr>
        </w:div>
        <w:div w:id="1841192123">
          <w:marLeft w:val="0"/>
          <w:marRight w:val="0"/>
          <w:marTop w:val="0"/>
          <w:marBottom w:val="0"/>
          <w:divBdr>
            <w:top w:val="none" w:sz="0" w:space="0" w:color="auto"/>
            <w:left w:val="none" w:sz="0" w:space="0" w:color="auto"/>
            <w:bottom w:val="none" w:sz="0" w:space="0" w:color="auto"/>
            <w:right w:val="none" w:sz="0" w:space="0" w:color="auto"/>
          </w:divBdr>
        </w:div>
        <w:div w:id="581261822">
          <w:marLeft w:val="0"/>
          <w:marRight w:val="0"/>
          <w:marTop w:val="0"/>
          <w:marBottom w:val="0"/>
          <w:divBdr>
            <w:top w:val="none" w:sz="0" w:space="0" w:color="auto"/>
            <w:left w:val="none" w:sz="0" w:space="0" w:color="auto"/>
            <w:bottom w:val="none" w:sz="0" w:space="0" w:color="auto"/>
            <w:right w:val="none" w:sz="0" w:space="0" w:color="auto"/>
          </w:divBdr>
        </w:div>
        <w:div w:id="349188930">
          <w:marLeft w:val="0"/>
          <w:marRight w:val="0"/>
          <w:marTop w:val="0"/>
          <w:marBottom w:val="0"/>
          <w:divBdr>
            <w:top w:val="none" w:sz="0" w:space="0" w:color="auto"/>
            <w:left w:val="none" w:sz="0" w:space="0" w:color="auto"/>
            <w:bottom w:val="none" w:sz="0" w:space="0" w:color="auto"/>
            <w:right w:val="none" w:sz="0" w:space="0" w:color="auto"/>
          </w:divBdr>
        </w:div>
        <w:div w:id="222638605">
          <w:marLeft w:val="0"/>
          <w:marRight w:val="0"/>
          <w:marTop w:val="0"/>
          <w:marBottom w:val="0"/>
          <w:divBdr>
            <w:top w:val="none" w:sz="0" w:space="0" w:color="auto"/>
            <w:left w:val="none" w:sz="0" w:space="0" w:color="auto"/>
            <w:bottom w:val="none" w:sz="0" w:space="0" w:color="auto"/>
            <w:right w:val="none" w:sz="0" w:space="0" w:color="auto"/>
          </w:divBdr>
        </w:div>
        <w:div w:id="1132362963">
          <w:marLeft w:val="0"/>
          <w:marRight w:val="0"/>
          <w:marTop w:val="0"/>
          <w:marBottom w:val="0"/>
          <w:divBdr>
            <w:top w:val="none" w:sz="0" w:space="0" w:color="auto"/>
            <w:left w:val="none" w:sz="0" w:space="0" w:color="auto"/>
            <w:bottom w:val="none" w:sz="0" w:space="0" w:color="auto"/>
            <w:right w:val="none" w:sz="0" w:space="0" w:color="auto"/>
          </w:divBdr>
        </w:div>
        <w:div w:id="1511945004">
          <w:marLeft w:val="0"/>
          <w:marRight w:val="0"/>
          <w:marTop w:val="0"/>
          <w:marBottom w:val="0"/>
          <w:divBdr>
            <w:top w:val="none" w:sz="0" w:space="0" w:color="auto"/>
            <w:left w:val="none" w:sz="0" w:space="0" w:color="auto"/>
            <w:bottom w:val="none" w:sz="0" w:space="0" w:color="auto"/>
            <w:right w:val="none" w:sz="0" w:space="0" w:color="auto"/>
          </w:divBdr>
        </w:div>
        <w:div w:id="91050055">
          <w:marLeft w:val="0"/>
          <w:marRight w:val="0"/>
          <w:marTop w:val="0"/>
          <w:marBottom w:val="0"/>
          <w:divBdr>
            <w:top w:val="none" w:sz="0" w:space="0" w:color="auto"/>
            <w:left w:val="none" w:sz="0" w:space="0" w:color="auto"/>
            <w:bottom w:val="none" w:sz="0" w:space="0" w:color="auto"/>
            <w:right w:val="none" w:sz="0" w:space="0" w:color="auto"/>
          </w:divBdr>
        </w:div>
        <w:div w:id="1694648635">
          <w:marLeft w:val="0"/>
          <w:marRight w:val="0"/>
          <w:marTop w:val="0"/>
          <w:marBottom w:val="0"/>
          <w:divBdr>
            <w:top w:val="none" w:sz="0" w:space="0" w:color="auto"/>
            <w:left w:val="none" w:sz="0" w:space="0" w:color="auto"/>
            <w:bottom w:val="none" w:sz="0" w:space="0" w:color="auto"/>
            <w:right w:val="none" w:sz="0" w:space="0" w:color="auto"/>
          </w:divBdr>
        </w:div>
        <w:div w:id="24790731">
          <w:marLeft w:val="0"/>
          <w:marRight w:val="0"/>
          <w:marTop w:val="0"/>
          <w:marBottom w:val="0"/>
          <w:divBdr>
            <w:top w:val="none" w:sz="0" w:space="0" w:color="auto"/>
            <w:left w:val="none" w:sz="0" w:space="0" w:color="auto"/>
            <w:bottom w:val="none" w:sz="0" w:space="0" w:color="auto"/>
            <w:right w:val="none" w:sz="0" w:space="0" w:color="auto"/>
          </w:divBdr>
        </w:div>
        <w:div w:id="2025672335">
          <w:marLeft w:val="0"/>
          <w:marRight w:val="0"/>
          <w:marTop w:val="0"/>
          <w:marBottom w:val="0"/>
          <w:divBdr>
            <w:top w:val="none" w:sz="0" w:space="0" w:color="auto"/>
            <w:left w:val="none" w:sz="0" w:space="0" w:color="auto"/>
            <w:bottom w:val="none" w:sz="0" w:space="0" w:color="auto"/>
            <w:right w:val="none" w:sz="0" w:space="0" w:color="auto"/>
          </w:divBdr>
        </w:div>
        <w:div w:id="1900048984">
          <w:marLeft w:val="0"/>
          <w:marRight w:val="0"/>
          <w:marTop w:val="0"/>
          <w:marBottom w:val="0"/>
          <w:divBdr>
            <w:top w:val="none" w:sz="0" w:space="0" w:color="auto"/>
            <w:left w:val="none" w:sz="0" w:space="0" w:color="auto"/>
            <w:bottom w:val="none" w:sz="0" w:space="0" w:color="auto"/>
            <w:right w:val="none" w:sz="0" w:space="0" w:color="auto"/>
          </w:divBdr>
        </w:div>
        <w:div w:id="867764711">
          <w:marLeft w:val="0"/>
          <w:marRight w:val="0"/>
          <w:marTop w:val="0"/>
          <w:marBottom w:val="0"/>
          <w:divBdr>
            <w:top w:val="none" w:sz="0" w:space="0" w:color="auto"/>
            <w:left w:val="none" w:sz="0" w:space="0" w:color="auto"/>
            <w:bottom w:val="none" w:sz="0" w:space="0" w:color="auto"/>
            <w:right w:val="none" w:sz="0" w:space="0" w:color="auto"/>
          </w:divBdr>
        </w:div>
        <w:div w:id="1820540219">
          <w:marLeft w:val="0"/>
          <w:marRight w:val="0"/>
          <w:marTop w:val="0"/>
          <w:marBottom w:val="0"/>
          <w:divBdr>
            <w:top w:val="none" w:sz="0" w:space="0" w:color="auto"/>
            <w:left w:val="none" w:sz="0" w:space="0" w:color="auto"/>
            <w:bottom w:val="none" w:sz="0" w:space="0" w:color="auto"/>
            <w:right w:val="none" w:sz="0" w:space="0" w:color="auto"/>
          </w:divBdr>
        </w:div>
        <w:div w:id="541524277">
          <w:marLeft w:val="0"/>
          <w:marRight w:val="0"/>
          <w:marTop w:val="0"/>
          <w:marBottom w:val="0"/>
          <w:divBdr>
            <w:top w:val="none" w:sz="0" w:space="0" w:color="auto"/>
            <w:left w:val="none" w:sz="0" w:space="0" w:color="auto"/>
            <w:bottom w:val="none" w:sz="0" w:space="0" w:color="auto"/>
            <w:right w:val="none" w:sz="0" w:space="0" w:color="auto"/>
          </w:divBdr>
        </w:div>
        <w:div w:id="1136412785">
          <w:marLeft w:val="0"/>
          <w:marRight w:val="0"/>
          <w:marTop w:val="0"/>
          <w:marBottom w:val="0"/>
          <w:divBdr>
            <w:top w:val="none" w:sz="0" w:space="0" w:color="auto"/>
            <w:left w:val="none" w:sz="0" w:space="0" w:color="auto"/>
            <w:bottom w:val="none" w:sz="0" w:space="0" w:color="auto"/>
            <w:right w:val="none" w:sz="0" w:space="0" w:color="auto"/>
          </w:divBdr>
        </w:div>
        <w:div w:id="738865838">
          <w:marLeft w:val="0"/>
          <w:marRight w:val="0"/>
          <w:marTop w:val="0"/>
          <w:marBottom w:val="0"/>
          <w:divBdr>
            <w:top w:val="none" w:sz="0" w:space="0" w:color="auto"/>
            <w:left w:val="none" w:sz="0" w:space="0" w:color="auto"/>
            <w:bottom w:val="none" w:sz="0" w:space="0" w:color="auto"/>
            <w:right w:val="none" w:sz="0" w:space="0" w:color="auto"/>
          </w:divBdr>
        </w:div>
        <w:div w:id="1624266577">
          <w:marLeft w:val="0"/>
          <w:marRight w:val="0"/>
          <w:marTop w:val="0"/>
          <w:marBottom w:val="0"/>
          <w:divBdr>
            <w:top w:val="none" w:sz="0" w:space="0" w:color="auto"/>
            <w:left w:val="none" w:sz="0" w:space="0" w:color="auto"/>
            <w:bottom w:val="none" w:sz="0" w:space="0" w:color="auto"/>
            <w:right w:val="none" w:sz="0" w:space="0" w:color="auto"/>
          </w:divBdr>
        </w:div>
        <w:div w:id="1560936495">
          <w:marLeft w:val="0"/>
          <w:marRight w:val="0"/>
          <w:marTop w:val="0"/>
          <w:marBottom w:val="0"/>
          <w:divBdr>
            <w:top w:val="none" w:sz="0" w:space="0" w:color="auto"/>
            <w:left w:val="none" w:sz="0" w:space="0" w:color="auto"/>
            <w:bottom w:val="none" w:sz="0" w:space="0" w:color="auto"/>
            <w:right w:val="none" w:sz="0" w:space="0" w:color="auto"/>
          </w:divBdr>
        </w:div>
        <w:div w:id="541749049">
          <w:marLeft w:val="0"/>
          <w:marRight w:val="0"/>
          <w:marTop w:val="0"/>
          <w:marBottom w:val="0"/>
          <w:divBdr>
            <w:top w:val="none" w:sz="0" w:space="0" w:color="auto"/>
            <w:left w:val="none" w:sz="0" w:space="0" w:color="auto"/>
            <w:bottom w:val="none" w:sz="0" w:space="0" w:color="auto"/>
            <w:right w:val="none" w:sz="0" w:space="0" w:color="auto"/>
          </w:divBdr>
        </w:div>
        <w:div w:id="76169734">
          <w:marLeft w:val="0"/>
          <w:marRight w:val="0"/>
          <w:marTop w:val="0"/>
          <w:marBottom w:val="0"/>
          <w:divBdr>
            <w:top w:val="none" w:sz="0" w:space="0" w:color="auto"/>
            <w:left w:val="none" w:sz="0" w:space="0" w:color="auto"/>
            <w:bottom w:val="none" w:sz="0" w:space="0" w:color="auto"/>
            <w:right w:val="none" w:sz="0" w:space="0" w:color="auto"/>
          </w:divBdr>
        </w:div>
        <w:div w:id="2015181654">
          <w:marLeft w:val="0"/>
          <w:marRight w:val="0"/>
          <w:marTop w:val="0"/>
          <w:marBottom w:val="0"/>
          <w:divBdr>
            <w:top w:val="none" w:sz="0" w:space="0" w:color="auto"/>
            <w:left w:val="none" w:sz="0" w:space="0" w:color="auto"/>
            <w:bottom w:val="none" w:sz="0" w:space="0" w:color="auto"/>
            <w:right w:val="none" w:sz="0" w:space="0" w:color="auto"/>
          </w:divBdr>
        </w:div>
        <w:div w:id="2112771765">
          <w:marLeft w:val="0"/>
          <w:marRight w:val="0"/>
          <w:marTop w:val="0"/>
          <w:marBottom w:val="0"/>
          <w:divBdr>
            <w:top w:val="none" w:sz="0" w:space="0" w:color="auto"/>
            <w:left w:val="none" w:sz="0" w:space="0" w:color="auto"/>
            <w:bottom w:val="none" w:sz="0" w:space="0" w:color="auto"/>
            <w:right w:val="none" w:sz="0" w:space="0" w:color="auto"/>
          </w:divBdr>
        </w:div>
        <w:div w:id="2052656457">
          <w:marLeft w:val="0"/>
          <w:marRight w:val="0"/>
          <w:marTop w:val="0"/>
          <w:marBottom w:val="0"/>
          <w:divBdr>
            <w:top w:val="none" w:sz="0" w:space="0" w:color="auto"/>
            <w:left w:val="none" w:sz="0" w:space="0" w:color="auto"/>
            <w:bottom w:val="none" w:sz="0" w:space="0" w:color="auto"/>
            <w:right w:val="none" w:sz="0" w:space="0" w:color="auto"/>
          </w:divBdr>
        </w:div>
        <w:div w:id="841358273">
          <w:marLeft w:val="0"/>
          <w:marRight w:val="0"/>
          <w:marTop w:val="0"/>
          <w:marBottom w:val="0"/>
          <w:divBdr>
            <w:top w:val="none" w:sz="0" w:space="0" w:color="auto"/>
            <w:left w:val="none" w:sz="0" w:space="0" w:color="auto"/>
            <w:bottom w:val="none" w:sz="0" w:space="0" w:color="auto"/>
            <w:right w:val="none" w:sz="0" w:space="0" w:color="auto"/>
          </w:divBdr>
        </w:div>
        <w:div w:id="960770584">
          <w:marLeft w:val="0"/>
          <w:marRight w:val="0"/>
          <w:marTop w:val="0"/>
          <w:marBottom w:val="0"/>
          <w:divBdr>
            <w:top w:val="none" w:sz="0" w:space="0" w:color="auto"/>
            <w:left w:val="none" w:sz="0" w:space="0" w:color="auto"/>
            <w:bottom w:val="none" w:sz="0" w:space="0" w:color="auto"/>
            <w:right w:val="none" w:sz="0" w:space="0" w:color="auto"/>
          </w:divBdr>
        </w:div>
        <w:div w:id="1287662359">
          <w:marLeft w:val="0"/>
          <w:marRight w:val="0"/>
          <w:marTop w:val="0"/>
          <w:marBottom w:val="0"/>
          <w:divBdr>
            <w:top w:val="none" w:sz="0" w:space="0" w:color="auto"/>
            <w:left w:val="none" w:sz="0" w:space="0" w:color="auto"/>
            <w:bottom w:val="none" w:sz="0" w:space="0" w:color="auto"/>
            <w:right w:val="none" w:sz="0" w:space="0" w:color="auto"/>
          </w:divBdr>
        </w:div>
        <w:div w:id="546722140">
          <w:marLeft w:val="0"/>
          <w:marRight w:val="0"/>
          <w:marTop w:val="0"/>
          <w:marBottom w:val="0"/>
          <w:divBdr>
            <w:top w:val="none" w:sz="0" w:space="0" w:color="auto"/>
            <w:left w:val="none" w:sz="0" w:space="0" w:color="auto"/>
            <w:bottom w:val="none" w:sz="0" w:space="0" w:color="auto"/>
            <w:right w:val="none" w:sz="0" w:space="0" w:color="auto"/>
          </w:divBdr>
        </w:div>
        <w:div w:id="1349601526">
          <w:marLeft w:val="0"/>
          <w:marRight w:val="0"/>
          <w:marTop w:val="0"/>
          <w:marBottom w:val="0"/>
          <w:divBdr>
            <w:top w:val="none" w:sz="0" w:space="0" w:color="auto"/>
            <w:left w:val="none" w:sz="0" w:space="0" w:color="auto"/>
            <w:bottom w:val="none" w:sz="0" w:space="0" w:color="auto"/>
            <w:right w:val="none" w:sz="0" w:space="0" w:color="auto"/>
          </w:divBdr>
        </w:div>
        <w:div w:id="329867233">
          <w:marLeft w:val="0"/>
          <w:marRight w:val="0"/>
          <w:marTop w:val="0"/>
          <w:marBottom w:val="0"/>
          <w:divBdr>
            <w:top w:val="none" w:sz="0" w:space="0" w:color="auto"/>
            <w:left w:val="none" w:sz="0" w:space="0" w:color="auto"/>
            <w:bottom w:val="none" w:sz="0" w:space="0" w:color="auto"/>
            <w:right w:val="none" w:sz="0" w:space="0" w:color="auto"/>
          </w:divBdr>
        </w:div>
        <w:div w:id="1757245265">
          <w:marLeft w:val="0"/>
          <w:marRight w:val="0"/>
          <w:marTop w:val="0"/>
          <w:marBottom w:val="0"/>
          <w:divBdr>
            <w:top w:val="none" w:sz="0" w:space="0" w:color="auto"/>
            <w:left w:val="none" w:sz="0" w:space="0" w:color="auto"/>
            <w:bottom w:val="none" w:sz="0" w:space="0" w:color="auto"/>
            <w:right w:val="none" w:sz="0" w:space="0" w:color="auto"/>
          </w:divBdr>
        </w:div>
        <w:div w:id="433402571">
          <w:marLeft w:val="0"/>
          <w:marRight w:val="0"/>
          <w:marTop w:val="0"/>
          <w:marBottom w:val="0"/>
          <w:divBdr>
            <w:top w:val="none" w:sz="0" w:space="0" w:color="auto"/>
            <w:left w:val="none" w:sz="0" w:space="0" w:color="auto"/>
            <w:bottom w:val="none" w:sz="0" w:space="0" w:color="auto"/>
            <w:right w:val="none" w:sz="0" w:space="0" w:color="auto"/>
          </w:divBdr>
        </w:div>
        <w:div w:id="437721730">
          <w:marLeft w:val="0"/>
          <w:marRight w:val="0"/>
          <w:marTop w:val="0"/>
          <w:marBottom w:val="0"/>
          <w:divBdr>
            <w:top w:val="none" w:sz="0" w:space="0" w:color="auto"/>
            <w:left w:val="none" w:sz="0" w:space="0" w:color="auto"/>
            <w:bottom w:val="none" w:sz="0" w:space="0" w:color="auto"/>
            <w:right w:val="none" w:sz="0" w:space="0" w:color="auto"/>
          </w:divBdr>
        </w:div>
        <w:div w:id="1951204535">
          <w:marLeft w:val="0"/>
          <w:marRight w:val="0"/>
          <w:marTop w:val="0"/>
          <w:marBottom w:val="0"/>
          <w:divBdr>
            <w:top w:val="none" w:sz="0" w:space="0" w:color="auto"/>
            <w:left w:val="none" w:sz="0" w:space="0" w:color="auto"/>
            <w:bottom w:val="none" w:sz="0" w:space="0" w:color="auto"/>
            <w:right w:val="none" w:sz="0" w:space="0" w:color="auto"/>
          </w:divBdr>
        </w:div>
        <w:div w:id="1617062386">
          <w:marLeft w:val="0"/>
          <w:marRight w:val="0"/>
          <w:marTop w:val="0"/>
          <w:marBottom w:val="0"/>
          <w:divBdr>
            <w:top w:val="none" w:sz="0" w:space="0" w:color="auto"/>
            <w:left w:val="none" w:sz="0" w:space="0" w:color="auto"/>
            <w:bottom w:val="none" w:sz="0" w:space="0" w:color="auto"/>
            <w:right w:val="none" w:sz="0" w:space="0" w:color="auto"/>
          </w:divBdr>
        </w:div>
        <w:div w:id="505829762">
          <w:marLeft w:val="0"/>
          <w:marRight w:val="0"/>
          <w:marTop w:val="0"/>
          <w:marBottom w:val="0"/>
          <w:divBdr>
            <w:top w:val="none" w:sz="0" w:space="0" w:color="auto"/>
            <w:left w:val="none" w:sz="0" w:space="0" w:color="auto"/>
            <w:bottom w:val="none" w:sz="0" w:space="0" w:color="auto"/>
            <w:right w:val="none" w:sz="0" w:space="0" w:color="auto"/>
          </w:divBdr>
        </w:div>
        <w:div w:id="2139030460">
          <w:marLeft w:val="0"/>
          <w:marRight w:val="0"/>
          <w:marTop w:val="0"/>
          <w:marBottom w:val="0"/>
          <w:divBdr>
            <w:top w:val="none" w:sz="0" w:space="0" w:color="auto"/>
            <w:left w:val="none" w:sz="0" w:space="0" w:color="auto"/>
            <w:bottom w:val="none" w:sz="0" w:space="0" w:color="auto"/>
            <w:right w:val="none" w:sz="0" w:space="0" w:color="auto"/>
          </w:divBdr>
        </w:div>
        <w:div w:id="1481194567">
          <w:marLeft w:val="0"/>
          <w:marRight w:val="0"/>
          <w:marTop w:val="0"/>
          <w:marBottom w:val="0"/>
          <w:divBdr>
            <w:top w:val="none" w:sz="0" w:space="0" w:color="auto"/>
            <w:left w:val="none" w:sz="0" w:space="0" w:color="auto"/>
            <w:bottom w:val="none" w:sz="0" w:space="0" w:color="auto"/>
            <w:right w:val="none" w:sz="0" w:space="0" w:color="auto"/>
          </w:divBdr>
        </w:div>
        <w:div w:id="379018697">
          <w:marLeft w:val="0"/>
          <w:marRight w:val="0"/>
          <w:marTop w:val="0"/>
          <w:marBottom w:val="0"/>
          <w:divBdr>
            <w:top w:val="none" w:sz="0" w:space="0" w:color="auto"/>
            <w:left w:val="none" w:sz="0" w:space="0" w:color="auto"/>
            <w:bottom w:val="none" w:sz="0" w:space="0" w:color="auto"/>
            <w:right w:val="none" w:sz="0" w:space="0" w:color="auto"/>
          </w:divBdr>
        </w:div>
        <w:div w:id="167796716">
          <w:marLeft w:val="0"/>
          <w:marRight w:val="0"/>
          <w:marTop w:val="0"/>
          <w:marBottom w:val="0"/>
          <w:divBdr>
            <w:top w:val="none" w:sz="0" w:space="0" w:color="auto"/>
            <w:left w:val="none" w:sz="0" w:space="0" w:color="auto"/>
            <w:bottom w:val="none" w:sz="0" w:space="0" w:color="auto"/>
            <w:right w:val="none" w:sz="0" w:space="0" w:color="auto"/>
          </w:divBdr>
        </w:div>
        <w:div w:id="11877623">
          <w:marLeft w:val="0"/>
          <w:marRight w:val="0"/>
          <w:marTop w:val="0"/>
          <w:marBottom w:val="0"/>
          <w:divBdr>
            <w:top w:val="none" w:sz="0" w:space="0" w:color="auto"/>
            <w:left w:val="none" w:sz="0" w:space="0" w:color="auto"/>
            <w:bottom w:val="none" w:sz="0" w:space="0" w:color="auto"/>
            <w:right w:val="none" w:sz="0" w:space="0" w:color="auto"/>
          </w:divBdr>
        </w:div>
        <w:div w:id="1477143818">
          <w:marLeft w:val="0"/>
          <w:marRight w:val="0"/>
          <w:marTop w:val="0"/>
          <w:marBottom w:val="0"/>
          <w:divBdr>
            <w:top w:val="none" w:sz="0" w:space="0" w:color="auto"/>
            <w:left w:val="none" w:sz="0" w:space="0" w:color="auto"/>
            <w:bottom w:val="none" w:sz="0" w:space="0" w:color="auto"/>
            <w:right w:val="none" w:sz="0" w:space="0" w:color="auto"/>
          </w:divBdr>
        </w:div>
        <w:div w:id="1136066771">
          <w:marLeft w:val="0"/>
          <w:marRight w:val="0"/>
          <w:marTop w:val="0"/>
          <w:marBottom w:val="0"/>
          <w:divBdr>
            <w:top w:val="none" w:sz="0" w:space="0" w:color="auto"/>
            <w:left w:val="none" w:sz="0" w:space="0" w:color="auto"/>
            <w:bottom w:val="none" w:sz="0" w:space="0" w:color="auto"/>
            <w:right w:val="none" w:sz="0" w:space="0" w:color="auto"/>
          </w:divBdr>
        </w:div>
        <w:div w:id="460196586">
          <w:marLeft w:val="0"/>
          <w:marRight w:val="0"/>
          <w:marTop w:val="0"/>
          <w:marBottom w:val="0"/>
          <w:divBdr>
            <w:top w:val="none" w:sz="0" w:space="0" w:color="auto"/>
            <w:left w:val="none" w:sz="0" w:space="0" w:color="auto"/>
            <w:bottom w:val="none" w:sz="0" w:space="0" w:color="auto"/>
            <w:right w:val="none" w:sz="0" w:space="0" w:color="auto"/>
          </w:divBdr>
        </w:div>
        <w:div w:id="1014383816">
          <w:marLeft w:val="0"/>
          <w:marRight w:val="0"/>
          <w:marTop w:val="0"/>
          <w:marBottom w:val="0"/>
          <w:divBdr>
            <w:top w:val="none" w:sz="0" w:space="0" w:color="auto"/>
            <w:left w:val="none" w:sz="0" w:space="0" w:color="auto"/>
            <w:bottom w:val="none" w:sz="0" w:space="0" w:color="auto"/>
            <w:right w:val="none" w:sz="0" w:space="0" w:color="auto"/>
          </w:divBdr>
        </w:div>
        <w:div w:id="1396589035">
          <w:marLeft w:val="0"/>
          <w:marRight w:val="0"/>
          <w:marTop w:val="0"/>
          <w:marBottom w:val="0"/>
          <w:divBdr>
            <w:top w:val="none" w:sz="0" w:space="0" w:color="auto"/>
            <w:left w:val="none" w:sz="0" w:space="0" w:color="auto"/>
            <w:bottom w:val="none" w:sz="0" w:space="0" w:color="auto"/>
            <w:right w:val="none" w:sz="0" w:space="0" w:color="auto"/>
          </w:divBdr>
        </w:div>
        <w:div w:id="2013289151">
          <w:marLeft w:val="0"/>
          <w:marRight w:val="0"/>
          <w:marTop w:val="0"/>
          <w:marBottom w:val="0"/>
          <w:divBdr>
            <w:top w:val="none" w:sz="0" w:space="0" w:color="auto"/>
            <w:left w:val="none" w:sz="0" w:space="0" w:color="auto"/>
            <w:bottom w:val="none" w:sz="0" w:space="0" w:color="auto"/>
            <w:right w:val="none" w:sz="0" w:space="0" w:color="auto"/>
          </w:divBdr>
        </w:div>
        <w:div w:id="1926186048">
          <w:marLeft w:val="0"/>
          <w:marRight w:val="0"/>
          <w:marTop w:val="0"/>
          <w:marBottom w:val="0"/>
          <w:divBdr>
            <w:top w:val="none" w:sz="0" w:space="0" w:color="auto"/>
            <w:left w:val="none" w:sz="0" w:space="0" w:color="auto"/>
            <w:bottom w:val="none" w:sz="0" w:space="0" w:color="auto"/>
            <w:right w:val="none" w:sz="0" w:space="0" w:color="auto"/>
          </w:divBdr>
        </w:div>
        <w:div w:id="1816027279">
          <w:marLeft w:val="0"/>
          <w:marRight w:val="0"/>
          <w:marTop w:val="0"/>
          <w:marBottom w:val="0"/>
          <w:divBdr>
            <w:top w:val="none" w:sz="0" w:space="0" w:color="auto"/>
            <w:left w:val="none" w:sz="0" w:space="0" w:color="auto"/>
            <w:bottom w:val="none" w:sz="0" w:space="0" w:color="auto"/>
            <w:right w:val="none" w:sz="0" w:space="0" w:color="auto"/>
          </w:divBdr>
        </w:div>
        <w:div w:id="2109229818">
          <w:marLeft w:val="0"/>
          <w:marRight w:val="0"/>
          <w:marTop w:val="0"/>
          <w:marBottom w:val="0"/>
          <w:divBdr>
            <w:top w:val="none" w:sz="0" w:space="0" w:color="auto"/>
            <w:left w:val="none" w:sz="0" w:space="0" w:color="auto"/>
            <w:bottom w:val="none" w:sz="0" w:space="0" w:color="auto"/>
            <w:right w:val="none" w:sz="0" w:space="0" w:color="auto"/>
          </w:divBdr>
        </w:div>
        <w:div w:id="2002125229">
          <w:marLeft w:val="0"/>
          <w:marRight w:val="0"/>
          <w:marTop w:val="0"/>
          <w:marBottom w:val="0"/>
          <w:divBdr>
            <w:top w:val="none" w:sz="0" w:space="0" w:color="auto"/>
            <w:left w:val="none" w:sz="0" w:space="0" w:color="auto"/>
            <w:bottom w:val="none" w:sz="0" w:space="0" w:color="auto"/>
            <w:right w:val="none" w:sz="0" w:space="0" w:color="auto"/>
          </w:divBdr>
        </w:div>
        <w:div w:id="1305626900">
          <w:marLeft w:val="0"/>
          <w:marRight w:val="0"/>
          <w:marTop w:val="0"/>
          <w:marBottom w:val="0"/>
          <w:divBdr>
            <w:top w:val="none" w:sz="0" w:space="0" w:color="auto"/>
            <w:left w:val="none" w:sz="0" w:space="0" w:color="auto"/>
            <w:bottom w:val="none" w:sz="0" w:space="0" w:color="auto"/>
            <w:right w:val="none" w:sz="0" w:space="0" w:color="auto"/>
          </w:divBdr>
        </w:div>
        <w:div w:id="886070978">
          <w:marLeft w:val="0"/>
          <w:marRight w:val="0"/>
          <w:marTop w:val="0"/>
          <w:marBottom w:val="0"/>
          <w:divBdr>
            <w:top w:val="none" w:sz="0" w:space="0" w:color="auto"/>
            <w:left w:val="none" w:sz="0" w:space="0" w:color="auto"/>
            <w:bottom w:val="none" w:sz="0" w:space="0" w:color="auto"/>
            <w:right w:val="none" w:sz="0" w:space="0" w:color="auto"/>
          </w:divBdr>
        </w:div>
        <w:div w:id="1394622538">
          <w:marLeft w:val="0"/>
          <w:marRight w:val="0"/>
          <w:marTop w:val="0"/>
          <w:marBottom w:val="0"/>
          <w:divBdr>
            <w:top w:val="none" w:sz="0" w:space="0" w:color="auto"/>
            <w:left w:val="none" w:sz="0" w:space="0" w:color="auto"/>
            <w:bottom w:val="none" w:sz="0" w:space="0" w:color="auto"/>
            <w:right w:val="none" w:sz="0" w:space="0" w:color="auto"/>
          </w:divBdr>
        </w:div>
        <w:div w:id="1743018705">
          <w:marLeft w:val="0"/>
          <w:marRight w:val="0"/>
          <w:marTop w:val="0"/>
          <w:marBottom w:val="0"/>
          <w:divBdr>
            <w:top w:val="none" w:sz="0" w:space="0" w:color="auto"/>
            <w:left w:val="none" w:sz="0" w:space="0" w:color="auto"/>
            <w:bottom w:val="none" w:sz="0" w:space="0" w:color="auto"/>
            <w:right w:val="none" w:sz="0" w:space="0" w:color="auto"/>
          </w:divBdr>
        </w:div>
        <w:div w:id="928345852">
          <w:marLeft w:val="0"/>
          <w:marRight w:val="0"/>
          <w:marTop w:val="0"/>
          <w:marBottom w:val="0"/>
          <w:divBdr>
            <w:top w:val="none" w:sz="0" w:space="0" w:color="auto"/>
            <w:left w:val="none" w:sz="0" w:space="0" w:color="auto"/>
            <w:bottom w:val="none" w:sz="0" w:space="0" w:color="auto"/>
            <w:right w:val="none" w:sz="0" w:space="0" w:color="auto"/>
          </w:divBdr>
        </w:div>
        <w:div w:id="1351639975">
          <w:marLeft w:val="0"/>
          <w:marRight w:val="0"/>
          <w:marTop w:val="0"/>
          <w:marBottom w:val="0"/>
          <w:divBdr>
            <w:top w:val="none" w:sz="0" w:space="0" w:color="auto"/>
            <w:left w:val="none" w:sz="0" w:space="0" w:color="auto"/>
            <w:bottom w:val="none" w:sz="0" w:space="0" w:color="auto"/>
            <w:right w:val="none" w:sz="0" w:space="0" w:color="auto"/>
          </w:divBdr>
        </w:div>
      </w:divsChild>
    </w:div>
    <w:div w:id="303891656">
      <w:bodyDiv w:val="1"/>
      <w:marLeft w:val="0"/>
      <w:marRight w:val="0"/>
      <w:marTop w:val="0"/>
      <w:marBottom w:val="0"/>
      <w:divBdr>
        <w:top w:val="none" w:sz="0" w:space="0" w:color="auto"/>
        <w:left w:val="none" w:sz="0" w:space="0" w:color="auto"/>
        <w:bottom w:val="none" w:sz="0" w:space="0" w:color="auto"/>
        <w:right w:val="none" w:sz="0" w:space="0" w:color="auto"/>
      </w:divBdr>
      <w:divsChild>
        <w:div w:id="1549606071">
          <w:marLeft w:val="0"/>
          <w:marRight w:val="0"/>
          <w:marTop w:val="0"/>
          <w:marBottom w:val="0"/>
          <w:divBdr>
            <w:top w:val="none" w:sz="0" w:space="0" w:color="auto"/>
            <w:left w:val="none" w:sz="0" w:space="0" w:color="auto"/>
            <w:bottom w:val="none" w:sz="0" w:space="0" w:color="auto"/>
            <w:right w:val="none" w:sz="0" w:space="0" w:color="auto"/>
          </w:divBdr>
        </w:div>
        <w:div w:id="697464706">
          <w:marLeft w:val="0"/>
          <w:marRight w:val="0"/>
          <w:marTop w:val="0"/>
          <w:marBottom w:val="0"/>
          <w:divBdr>
            <w:top w:val="none" w:sz="0" w:space="0" w:color="auto"/>
            <w:left w:val="none" w:sz="0" w:space="0" w:color="auto"/>
            <w:bottom w:val="none" w:sz="0" w:space="0" w:color="auto"/>
            <w:right w:val="none" w:sz="0" w:space="0" w:color="auto"/>
          </w:divBdr>
        </w:div>
        <w:div w:id="1374696159">
          <w:marLeft w:val="0"/>
          <w:marRight w:val="0"/>
          <w:marTop w:val="0"/>
          <w:marBottom w:val="0"/>
          <w:divBdr>
            <w:top w:val="none" w:sz="0" w:space="0" w:color="auto"/>
            <w:left w:val="none" w:sz="0" w:space="0" w:color="auto"/>
            <w:bottom w:val="none" w:sz="0" w:space="0" w:color="auto"/>
            <w:right w:val="none" w:sz="0" w:space="0" w:color="auto"/>
          </w:divBdr>
        </w:div>
        <w:div w:id="466356322">
          <w:marLeft w:val="0"/>
          <w:marRight w:val="0"/>
          <w:marTop w:val="0"/>
          <w:marBottom w:val="0"/>
          <w:divBdr>
            <w:top w:val="none" w:sz="0" w:space="0" w:color="auto"/>
            <w:left w:val="none" w:sz="0" w:space="0" w:color="auto"/>
            <w:bottom w:val="none" w:sz="0" w:space="0" w:color="auto"/>
            <w:right w:val="none" w:sz="0" w:space="0" w:color="auto"/>
          </w:divBdr>
        </w:div>
      </w:divsChild>
    </w:div>
    <w:div w:id="310720970">
      <w:bodyDiv w:val="1"/>
      <w:marLeft w:val="0"/>
      <w:marRight w:val="0"/>
      <w:marTop w:val="0"/>
      <w:marBottom w:val="0"/>
      <w:divBdr>
        <w:top w:val="none" w:sz="0" w:space="0" w:color="auto"/>
        <w:left w:val="none" w:sz="0" w:space="0" w:color="auto"/>
        <w:bottom w:val="none" w:sz="0" w:space="0" w:color="auto"/>
        <w:right w:val="none" w:sz="0" w:space="0" w:color="auto"/>
      </w:divBdr>
      <w:divsChild>
        <w:div w:id="1594244020">
          <w:marLeft w:val="0"/>
          <w:marRight w:val="0"/>
          <w:marTop w:val="0"/>
          <w:marBottom w:val="0"/>
          <w:divBdr>
            <w:top w:val="none" w:sz="0" w:space="0" w:color="auto"/>
            <w:left w:val="none" w:sz="0" w:space="0" w:color="auto"/>
            <w:bottom w:val="none" w:sz="0" w:space="0" w:color="auto"/>
            <w:right w:val="none" w:sz="0" w:space="0" w:color="auto"/>
          </w:divBdr>
        </w:div>
        <w:div w:id="1970083930">
          <w:marLeft w:val="0"/>
          <w:marRight w:val="0"/>
          <w:marTop w:val="0"/>
          <w:marBottom w:val="0"/>
          <w:divBdr>
            <w:top w:val="none" w:sz="0" w:space="0" w:color="auto"/>
            <w:left w:val="none" w:sz="0" w:space="0" w:color="auto"/>
            <w:bottom w:val="none" w:sz="0" w:space="0" w:color="auto"/>
            <w:right w:val="none" w:sz="0" w:space="0" w:color="auto"/>
          </w:divBdr>
        </w:div>
        <w:div w:id="1011488985">
          <w:marLeft w:val="0"/>
          <w:marRight w:val="0"/>
          <w:marTop w:val="0"/>
          <w:marBottom w:val="0"/>
          <w:divBdr>
            <w:top w:val="none" w:sz="0" w:space="0" w:color="auto"/>
            <w:left w:val="none" w:sz="0" w:space="0" w:color="auto"/>
            <w:bottom w:val="none" w:sz="0" w:space="0" w:color="auto"/>
            <w:right w:val="none" w:sz="0" w:space="0" w:color="auto"/>
          </w:divBdr>
        </w:div>
        <w:div w:id="1528835740">
          <w:marLeft w:val="0"/>
          <w:marRight w:val="0"/>
          <w:marTop w:val="0"/>
          <w:marBottom w:val="0"/>
          <w:divBdr>
            <w:top w:val="none" w:sz="0" w:space="0" w:color="auto"/>
            <w:left w:val="none" w:sz="0" w:space="0" w:color="auto"/>
            <w:bottom w:val="none" w:sz="0" w:space="0" w:color="auto"/>
            <w:right w:val="none" w:sz="0" w:space="0" w:color="auto"/>
          </w:divBdr>
        </w:div>
        <w:div w:id="657418082">
          <w:marLeft w:val="0"/>
          <w:marRight w:val="0"/>
          <w:marTop w:val="0"/>
          <w:marBottom w:val="0"/>
          <w:divBdr>
            <w:top w:val="none" w:sz="0" w:space="0" w:color="auto"/>
            <w:left w:val="none" w:sz="0" w:space="0" w:color="auto"/>
            <w:bottom w:val="none" w:sz="0" w:space="0" w:color="auto"/>
            <w:right w:val="none" w:sz="0" w:space="0" w:color="auto"/>
          </w:divBdr>
        </w:div>
        <w:div w:id="1123305705">
          <w:marLeft w:val="0"/>
          <w:marRight w:val="0"/>
          <w:marTop w:val="0"/>
          <w:marBottom w:val="0"/>
          <w:divBdr>
            <w:top w:val="none" w:sz="0" w:space="0" w:color="auto"/>
            <w:left w:val="none" w:sz="0" w:space="0" w:color="auto"/>
            <w:bottom w:val="none" w:sz="0" w:space="0" w:color="auto"/>
            <w:right w:val="none" w:sz="0" w:space="0" w:color="auto"/>
          </w:divBdr>
        </w:div>
        <w:div w:id="614946101">
          <w:marLeft w:val="0"/>
          <w:marRight w:val="0"/>
          <w:marTop w:val="0"/>
          <w:marBottom w:val="0"/>
          <w:divBdr>
            <w:top w:val="none" w:sz="0" w:space="0" w:color="auto"/>
            <w:left w:val="none" w:sz="0" w:space="0" w:color="auto"/>
            <w:bottom w:val="none" w:sz="0" w:space="0" w:color="auto"/>
            <w:right w:val="none" w:sz="0" w:space="0" w:color="auto"/>
          </w:divBdr>
        </w:div>
        <w:div w:id="2075278688">
          <w:marLeft w:val="0"/>
          <w:marRight w:val="0"/>
          <w:marTop w:val="0"/>
          <w:marBottom w:val="0"/>
          <w:divBdr>
            <w:top w:val="none" w:sz="0" w:space="0" w:color="auto"/>
            <w:left w:val="none" w:sz="0" w:space="0" w:color="auto"/>
            <w:bottom w:val="none" w:sz="0" w:space="0" w:color="auto"/>
            <w:right w:val="none" w:sz="0" w:space="0" w:color="auto"/>
          </w:divBdr>
        </w:div>
        <w:div w:id="728381845">
          <w:marLeft w:val="0"/>
          <w:marRight w:val="0"/>
          <w:marTop w:val="0"/>
          <w:marBottom w:val="0"/>
          <w:divBdr>
            <w:top w:val="none" w:sz="0" w:space="0" w:color="auto"/>
            <w:left w:val="none" w:sz="0" w:space="0" w:color="auto"/>
            <w:bottom w:val="none" w:sz="0" w:space="0" w:color="auto"/>
            <w:right w:val="none" w:sz="0" w:space="0" w:color="auto"/>
          </w:divBdr>
        </w:div>
        <w:div w:id="696081462">
          <w:marLeft w:val="0"/>
          <w:marRight w:val="0"/>
          <w:marTop w:val="0"/>
          <w:marBottom w:val="0"/>
          <w:divBdr>
            <w:top w:val="none" w:sz="0" w:space="0" w:color="auto"/>
            <w:left w:val="none" w:sz="0" w:space="0" w:color="auto"/>
            <w:bottom w:val="none" w:sz="0" w:space="0" w:color="auto"/>
            <w:right w:val="none" w:sz="0" w:space="0" w:color="auto"/>
          </w:divBdr>
        </w:div>
        <w:div w:id="682975530">
          <w:marLeft w:val="0"/>
          <w:marRight w:val="0"/>
          <w:marTop w:val="0"/>
          <w:marBottom w:val="0"/>
          <w:divBdr>
            <w:top w:val="none" w:sz="0" w:space="0" w:color="auto"/>
            <w:left w:val="none" w:sz="0" w:space="0" w:color="auto"/>
            <w:bottom w:val="none" w:sz="0" w:space="0" w:color="auto"/>
            <w:right w:val="none" w:sz="0" w:space="0" w:color="auto"/>
          </w:divBdr>
        </w:div>
        <w:div w:id="553153735">
          <w:marLeft w:val="0"/>
          <w:marRight w:val="0"/>
          <w:marTop w:val="0"/>
          <w:marBottom w:val="0"/>
          <w:divBdr>
            <w:top w:val="none" w:sz="0" w:space="0" w:color="auto"/>
            <w:left w:val="none" w:sz="0" w:space="0" w:color="auto"/>
            <w:bottom w:val="none" w:sz="0" w:space="0" w:color="auto"/>
            <w:right w:val="none" w:sz="0" w:space="0" w:color="auto"/>
          </w:divBdr>
        </w:div>
      </w:divsChild>
    </w:div>
    <w:div w:id="318383079">
      <w:bodyDiv w:val="1"/>
      <w:marLeft w:val="0"/>
      <w:marRight w:val="0"/>
      <w:marTop w:val="0"/>
      <w:marBottom w:val="0"/>
      <w:divBdr>
        <w:top w:val="none" w:sz="0" w:space="0" w:color="auto"/>
        <w:left w:val="none" w:sz="0" w:space="0" w:color="auto"/>
        <w:bottom w:val="none" w:sz="0" w:space="0" w:color="auto"/>
        <w:right w:val="none" w:sz="0" w:space="0" w:color="auto"/>
      </w:divBdr>
      <w:divsChild>
        <w:div w:id="727535208">
          <w:marLeft w:val="0"/>
          <w:marRight w:val="0"/>
          <w:marTop w:val="0"/>
          <w:marBottom w:val="0"/>
          <w:divBdr>
            <w:top w:val="none" w:sz="0" w:space="0" w:color="auto"/>
            <w:left w:val="none" w:sz="0" w:space="0" w:color="auto"/>
            <w:bottom w:val="none" w:sz="0" w:space="0" w:color="auto"/>
            <w:right w:val="none" w:sz="0" w:space="0" w:color="auto"/>
          </w:divBdr>
        </w:div>
        <w:div w:id="147406618">
          <w:marLeft w:val="0"/>
          <w:marRight w:val="0"/>
          <w:marTop w:val="0"/>
          <w:marBottom w:val="0"/>
          <w:divBdr>
            <w:top w:val="none" w:sz="0" w:space="0" w:color="auto"/>
            <w:left w:val="none" w:sz="0" w:space="0" w:color="auto"/>
            <w:bottom w:val="none" w:sz="0" w:space="0" w:color="auto"/>
            <w:right w:val="none" w:sz="0" w:space="0" w:color="auto"/>
          </w:divBdr>
        </w:div>
        <w:div w:id="1626808453">
          <w:marLeft w:val="0"/>
          <w:marRight w:val="0"/>
          <w:marTop w:val="0"/>
          <w:marBottom w:val="0"/>
          <w:divBdr>
            <w:top w:val="none" w:sz="0" w:space="0" w:color="auto"/>
            <w:left w:val="none" w:sz="0" w:space="0" w:color="auto"/>
            <w:bottom w:val="none" w:sz="0" w:space="0" w:color="auto"/>
            <w:right w:val="none" w:sz="0" w:space="0" w:color="auto"/>
          </w:divBdr>
        </w:div>
        <w:div w:id="639266470">
          <w:marLeft w:val="0"/>
          <w:marRight w:val="0"/>
          <w:marTop w:val="0"/>
          <w:marBottom w:val="0"/>
          <w:divBdr>
            <w:top w:val="none" w:sz="0" w:space="0" w:color="auto"/>
            <w:left w:val="none" w:sz="0" w:space="0" w:color="auto"/>
            <w:bottom w:val="none" w:sz="0" w:space="0" w:color="auto"/>
            <w:right w:val="none" w:sz="0" w:space="0" w:color="auto"/>
          </w:divBdr>
        </w:div>
        <w:div w:id="2045447387">
          <w:marLeft w:val="0"/>
          <w:marRight w:val="0"/>
          <w:marTop w:val="0"/>
          <w:marBottom w:val="0"/>
          <w:divBdr>
            <w:top w:val="none" w:sz="0" w:space="0" w:color="auto"/>
            <w:left w:val="none" w:sz="0" w:space="0" w:color="auto"/>
            <w:bottom w:val="none" w:sz="0" w:space="0" w:color="auto"/>
            <w:right w:val="none" w:sz="0" w:space="0" w:color="auto"/>
          </w:divBdr>
        </w:div>
        <w:div w:id="1206719352">
          <w:marLeft w:val="0"/>
          <w:marRight w:val="0"/>
          <w:marTop w:val="0"/>
          <w:marBottom w:val="0"/>
          <w:divBdr>
            <w:top w:val="none" w:sz="0" w:space="0" w:color="auto"/>
            <w:left w:val="none" w:sz="0" w:space="0" w:color="auto"/>
            <w:bottom w:val="none" w:sz="0" w:space="0" w:color="auto"/>
            <w:right w:val="none" w:sz="0" w:space="0" w:color="auto"/>
          </w:divBdr>
        </w:div>
        <w:div w:id="1659383191">
          <w:marLeft w:val="0"/>
          <w:marRight w:val="0"/>
          <w:marTop w:val="0"/>
          <w:marBottom w:val="0"/>
          <w:divBdr>
            <w:top w:val="none" w:sz="0" w:space="0" w:color="auto"/>
            <w:left w:val="none" w:sz="0" w:space="0" w:color="auto"/>
            <w:bottom w:val="none" w:sz="0" w:space="0" w:color="auto"/>
            <w:right w:val="none" w:sz="0" w:space="0" w:color="auto"/>
          </w:divBdr>
        </w:div>
      </w:divsChild>
    </w:div>
    <w:div w:id="349649300">
      <w:bodyDiv w:val="1"/>
      <w:marLeft w:val="0"/>
      <w:marRight w:val="0"/>
      <w:marTop w:val="0"/>
      <w:marBottom w:val="0"/>
      <w:divBdr>
        <w:top w:val="none" w:sz="0" w:space="0" w:color="auto"/>
        <w:left w:val="none" w:sz="0" w:space="0" w:color="auto"/>
        <w:bottom w:val="none" w:sz="0" w:space="0" w:color="auto"/>
        <w:right w:val="none" w:sz="0" w:space="0" w:color="auto"/>
      </w:divBdr>
    </w:div>
    <w:div w:id="364791733">
      <w:bodyDiv w:val="1"/>
      <w:marLeft w:val="0"/>
      <w:marRight w:val="0"/>
      <w:marTop w:val="0"/>
      <w:marBottom w:val="0"/>
      <w:divBdr>
        <w:top w:val="none" w:sz="0" w:space="0" w:color="auto"/>
        <w:left w:val="none" w:sz="0" w:space="0" w:color="auto"/>
        <w:bottom w:val="none" w:sz="0" w:space="0" w:color="auto"/>
        <w:right w:val="none" w:sz="0" w:space="0" w:color="auto"/>
      </w:divBdr>
      <w:divsChild>
        <w:div w:id="95028101">
          <w:marLeft w:val="0"/>
          <w:marRight w:val="0"/>
          <w:marTop w:val="0"/>
          <w:marBottom w:val="0"/>
          <w:divBdr>
            <w:top w:val="none" w:sz="0" w:space="0" w:color="auto"/>
            <w:left w:val="none" w:sz="0" w:space="0" w:color="auto"/>
            <w:bottom w:val="none" w:sz="0" w:space="0" w:color="auto"/>
            <w:right w:val="none" w:sz="0" w:space="0" w:color="auto"/>
          </w:divBdr>
        </w:div>
        <w:div w:id="158008508">
          <w:marLeft w:val="0"/>
          <w:marRight w:val="0"/>
          <w:marTop w:val="0"/>
          <w:marBottom w:val="0"/>
          <w:divBdr>
            <w:top w:val="none" w:sz="0" w:space="0" w:color="auto"/>
            <w:left w:val="none" w:sz="0" w:space="0" w:color="auto"/>
            <w:bottom w:val="none" w:sz="0" w:space="0" w:color="auto"/>
            <w:right w:val="none" w:sz="0" w:space="0" w:color="auto"/>
          </w:divBdr>
        </w:div>
        <w:div w:id="486672736">
          <w:marLeft w:val="0"/>
          <w:marRight w:val="0"/>
          <w:marTop w:val="0"/>
          <w:marBottom w:val="0"/>
          <w:divBdr>
            <w:top w:val="none" w:sz="0" w:space="0" w:color="auto"/>
            <w:left w:val="none" w:sz="0" w:space="0" w:color="auto"/>
            <w:bottom w:val="none" w:sz="0" w:space="0" w:color="auto"/>
            <w:right w:val="none" w:sz="0" w:space="0" w:color="auto"/>
          </w:divBdr>
        </w:div>
        <w:div w:id="921259108">
          <w:marLeft w:val="0"/>
          <w:marRight w:val="0"/>
          <w:marTop w:val="0"/>
          <w:marBottom w:val="0"/>
          <w:divBdr>
            <w:top w:val="none" w:sz="0" w:space="0" w:color="auto"/>
            <w:left w:val="none" w:sz="0" w:space="0" w:color="auto"/>
            <w:bottom w:val="none" w:sz="0" w:space="0" w:color="auto"/>
            <w:right w:val="none" w:sz="0" w:space="0" w:color="auto"/>
          </w:divBdr>
        </w:div>
        <w:div w:id="906039875">
          <w:marLeft w:val="0"/>
          <w:marRight w:val="0"/>
          <w:marTop w:val="0"/>
          <w:marBottom w:val="0"/>
          <w:divBdr>
            <w:top w:val="none" w:sz="0" w:space="0" w:color="auto"/>
            <w:left w:val="none" w:sz="0" w:space="0" w:color="auto"/>
            <w:bottom w:val="none" w:sz="0" w:space="0" w:color="auto"/>
            <w:right w:val="none" w:sz="0" w:space="0" w:color="auto"/>
          </w:divBdr>
        </w:div>
      </w:divsChild>
    </w:div>
    <w:div w:id="402022162">
      <w:bodyDiv w:val="1"/>
      <w:marLeft w:val="0"/>
      <w:marRight w:val="0"/>
      <w:marTop w:val="0"/>
      <w:marBottom w:val="0"/>
      <w:divBdr>
        <w:top w:val="none" w:sz="0" w:space="0" w:color="auto"/>
        <w:left w:val="none" w:sz="0" w:space="0" w:color="auto"/>
        <w:bottom w:val="none" w:sz="0" w:space="0" w:color="auto"/>
        <w:right w:val="none" w:sz="0" w:space="0" w:color="auto"/>
      </w:divBdr>
      <w:divsChild>
        <w:div w:id="1746685682">
          <w:marLeft w:val="0"/>
          <w:marRight w:val="0"/>
          <w:marTop w:val="0"/>
          <w:marBottom w:val="0"/>
          <w:divBdr>
            <w:top w:val="none" w:sz="0" w:space="0" w:color="auto"/>
            <w:left w:val="none" w:sz="0" w:space="0" w:color="auto"/>
            <w:bottom w:val="none" w:sz="0" w:space="0" w:color="auto"/>
            <w:right w:val="none" w:sz="0" w:space="0" w:color="auto"/>
          </w:divBdr>
        </w:div>
        <w:div w:id="835656737">
          <w:marLeft w:val="0"/>
          <w:marRight w:val="0"/>
          <w:marTop w:val="0"/>
          <w:marBottom w:val="0"/>
          <w:divBdr>
            <w:top w:val="none" w:sz="0" w:space="0" w:color="auto"/>
            <w:left w:val="none" w:sz="0" w:space="0" w:color="auto"/>
            <w:bottom w:val="none" w:sz="0" w:space="0" w:color="auto"/>
            <w:right w:val="none" w:sz="0" w:space="0" w:color="auto"/>
          </w:divBdr>
        </w:div>
        <w:div w:id="463350598">
          <w:marLeft w:val="0"/>
          <w:marRight w:val="0"/>
          <w:marTop w:val="0"/>
          <w:marBottom w:val="0"/>
          <w:divBdr>
            <w:top w:val="none" w:sz="0" w:space="0" w:color="auto"/>
            <w:left w:val="none" w:sz="0" w:space="0" w:color="auto"/>
            <w:bottom w:val="none" w:sz="0" w:space="0" w:color="auto"/>
            <w:right w:val="none" w:sz="0" w:space="0" w:color="auto"/>
          </w:divBdr>
        </w:div>
        <w:div w:id="797408762">
          <w:marLeft w:val="0"/>
          <w:marRight w:val="0"/>
          <w:marTop w:val="0"/>
          <w:marBottom w:val="0"/>
          <w:divBdr>
            <w:top w:val="none" w:sz="0" w:space="0" w:color="auto"/>
            <w:left w:val="none" w:sz="0" w:space="0" w:color="auto"/>
            <w:bottom w:val="none" w:sz="0" w:space="0" w:color="auto"/>
            <w:right w:val="none" w:sz="0" w:space="0" w:color="auto"/>
          </w:divBdr>
        </w:div>
        <w:div w:id="187332329">
          <w:marLeft w:val="0"/>
          <w:marRight w:val="0"/>
          <w:marTop w:val="0"/>
          <w:marBottom w:val="0"/>
          <w:divBdr>
            <w:top w:val="none" w:sz="0" w:space="0" w:color="auto"/>
            <w:left w:val="none" w:sz="0" w:space="0" w:color="auto"/>
            <w:bottom w:val="none" w:sz="0" w:space="0" w:color="auto"/>
            <w:right w:val="none" w:sz="0" w:space="0" w:color="auto"/>
          </w:divBdr>
        </w:div>
        <w:div w:id="1717242808">
          <w:marLeft w:val="0"/>
          <w:marRight w:val="0"/>
          <w:marTop w:val="0"/>
          <w:marBottom w:val="0"/>
          <w:divBdr>
            <w:top w:val="none" w:sz="0" w:space="0" w:color="auto"/>
            <w:left w:val="none" w:sz="0" w:space="0" w:color="auto"/>
            <w:bottom w:val="none" w:sz="0" w:space="0" w:color="auto"/>
            <w:right w:val="none" w:sz="0" w:space="0" w:color="auto"/>
          </w:divBdr>
        </w:div>
        <w:div w:id="414591237">
          <w:marLeft w:val="0"/>
          <w:marRight w:val="0"/>
          <w:marTop w:val="0"/>
          <w:marBottom w:val="0"/>
          <w:divBdr>
            <w:top w:val="none" w:sz="0" w:space="0" w:color="auto"/>
            <w:left w:val="none" w:sz="0" w:space="0" w:color="auto"/>
            <w:bottom w:val="none" w:sz="0" w:space="0" w:color="auto"/>
            <w:right w:val="none" w:sz="0" w:space="0" w:color="auto"/>
          </w:divBdr>
        </w:div>
        <w:div w:id="905798020">
          <w:marLeft w:val="0"/>
          <w:marRight w:val="0"/>
          <w:marTop w:val="0"/>
          <w:marBottom w:val="0"/>
          <w:divBdr>
            <w:top w:val="none" w:sz="0" w:space="0" w:color="auto"/>
            <w:left w:val="none" w:sz="0" w:space="0" w:color="auto"/>
            <w:bottom w:val="none" w:sz="0" w:space="0" w:color="auto"/>
            <w:right w:val="none" w:sz="0" w:space="0" w:color="auto"/>
          </w:divBdr>
        </w:div>
      </w:divsChild>
    </w:div>
    <w:div w:id="410394610">
      <w:bodyDiv w:val="1"/>
      <w:marLeft w:val="0"/>
      <w:marRight w:val="0"/>
      <w:marTop w:val="0"/>
      <w:marBottom w:val="0"/>
      <w:divBdr>
        <w:top w:val="none" w:sz="0" w:space="0" w:color="auto"/>
        <w:left w:val="none" w:sz="0" w:space="0" w:color="auto"/>
        <w:bottom w:val="none" w:sz="0" w:space="0" w:color="auto"/>
        <w:right w:val="none" w:sz="0" w:space="0" w:color="auto"/>
      </w:divBdr>
      <w:divsChild>
        <w:div w:id="978000259">
          <w:marLeft w:val="0"/>
          <w:marRight w:val="0"/>
          <w:marTop w:val="0"/>
          <w:marBottom w:val="0"/>
          <w:divBdr>
            <w:top w:val="none" w:sz="0" w:space="0" w:color="auto"/>
            <w:left w:val="none" w:sz="0" w:space="0" w:color="auto"/>
            <w:bottom w:val="none" w:sz="0" w:space="0" w:color="auto"/>
            <w:right w:val="none" w:sz="0" w:space="0" w:color="auto"/>
          </w:divBdr>
        </w:div>
        <w:div w:id="1459565027">
          <w:marLeft w:val="0"/>
          <w:marRight w:val="0"/>
          <w:marTop w:val="0"/>
          <w:marBottom w:val="0"/>
          <w:divBdr>
            <w:top w:val="none" w:sz="0" w:space="0" w:color="auto"/>
            <w:left w:val="none" w:sz="0" w:space="0" w:color="auto"/>
            <w:bottom w:val="none" w:sz="0" w:space="0" w:color="auto"/>
            <w:right w:val="none" w:sz="0" w:space="0" w:color="auto"/>
          </w:divBdr>
        </w:div>
        <w:div w:id="1488933037">
          <w:marLeft w:val="0"/>
          <w:marRight w:val="0"/>
          <w:marTop w:val="0"/>
          <w:marBottom w:val="0"/>
          <w:divBdr>
            <w:top w:val="none" w:sz="0" w:space="0" w:color="auto"/>
            <w:left w:val="none" w:sz="0" w:space="0" w:color="auto"/>
            <w:bottom w:val="none" w:sz="0" w:space="0" w:color="auto"/>
            <w:right w:val="none" w:sz="0" w:space="0" w:color="auto"/>
          </w:divBdr>
        </w:div>
      </w:divsChild>
    </w:div>
    <w:div w:id="415248140">
      <w:bodyDiv w:val="1"/>
      <w:marLeft w:val="0"/>
      <w:marRight w:val="0"/>
      <w:marTop w:val="0"/>
      <w:marBottom w:val="0"/>
      <w:divBdr>
        <w:top w:val="none" w:sz="0" w:space="0" w:color="auto"/>
        <w:left w:val="none" w:sz="0" w:space="0" w:color="auto"/>
        <w:bottom w:val="none" w:sz="0" w:space="0" w:color="auto"/>
        <w:right w:val="none" w:sz="0" w:space="0" w:color="auto"/>
      </w:divBdr>
      <w:divsChild>
        <w:div w:id="1733656455">
          <w:marLeft w:val="0"/>
          <w:marRight w:val="0"/>
          <w:marTop w:val="0"/>
          <w:marBottom w:val="0"/>
          <w:divBdr>
            <w:top w:val="none" w:sz="0" w:space="0" w:color="auto"/>
            <w:left w:val="none" w:sz="0" w:space="0" w:color="auto"/>
            <w:bottom w:val="none" w:sz="0" w:space="0" w:color="auto"/>
            <w:right w:val="none" w:sz="0" w:space="0" w:color="auto"/>
          </w:divBdr>
        </w:div>
        <w:div w:id="108202613">
          <w:marLeft w:val="0"/>
          <w:marRight w:val="0"/>
          <w:marTop w:val="0"/>
          <w:marBottom w:val="0"/>
          <w:divBdr>
            <w:top w:val="none" w:sz="0" w:space="0" w:color="auto"/>
            <w:left w:val="none" w:sz="0" w:space="0" w:color="auto"/>
            <w:bottom w:val="none" w:sz="0" w:space="0" w:color="auto"/>
            <w:right w:val="none" w:sz="0" w:space="0" w:color="auto"/>
          </w:divBdr>
        </w:div>
        <w:div w:id="721097507">
          <w:marLeft w:val="0"/>
          <w:marRight w:val="0"/>
          <w:marTop w:val="0"/>
          <w:marBottom w:val="0"/>
          <w:divBdr>
            <w:top w:val="none" w:sz="0" w:space="0" w:color="auto"/>
            <w:left w:val="none" w:sz="0" w:space="0" w:color="auto"/>
            <w:bottom w:val="none" w:sz="0" w:space="0" w:color="auto"/>
            <w:right w:val="none" w:sz="0" w:space="0" w:color="auto"/>
          </w:divBdr>
        </w:div>
        <w:div w:id="1127507089">
          <w:marLeft w:val="0"/>
          <w:marRight w:val="0"/>
          <w:marTop w:val="0"/>
          <w:marBottom w:val="0"/>
          <w:divBdr>
            <w:top w:val="none" w:sz="0" w:space="0" w:color="auto"/>
            <w:left w:val="none" w:sz="0" w:space="0" w:color="auto"/>
            <w:bottom w:val="none" w:sz="0" w:space="0" w:color="auto"/>
            <w:right w:val="none" w:sz="0" w:space="0" w:color="auto"/>
          </w:divBdr>
        </w:div>
        <w:div w:id="818427272">
          <w:marLeft w:val="0"/>
          <w:marRight w:val="0"/>
          <w:marTop w:val="0"/>
          <w:marBottom w:val="0"/>
          <w:divBdr>
            <w:top w:val="none" w:sz="0" w:space="0" w:color="auto"/>
            <w:left w:val="none" w:sz="0" w:space="0" w:color="auto"/>
            <w:bottom w:val="none" w:sz="0" w:space="0" w:color="auto"/>
            <w:right w:val="none" w:sz="0" w:space="0" w:color="auto"/>
          </w:divBdr>
        </w:div>
        <w:div w:id="1255436224">
          <w:marLeft w:val="0"/>
          <w:marRight w:val="0"/>
          <w:marTop w:val="0"/>
          <w:marBottom w:val="0"/>
          <w:divBdr>
            <w:top w:val="none" w:sz="0" w:space="0" w:color="auto"/>
            <w:left w:val="none" w:sz="0" w:space="0" w:color="auto"/>
            <w:bottom w:val="none" w:sz="0" w:space="0" w:color="auto"/>
            <w:right w:val="none" w:sz="0" w:space="0" w:color="auto"/>
          </w:divBdr>
        </w:div>
        <w:div w:id="1094597591">
          <w:marLeft w:val="0"/>
          <w:marRight w:val="0"/>
          <w:marTop w:val="0"/>
          <w:marBottom w:val="0"/>
          <w:divBdr>
            <w:top w:val="none" w:sz="0" w:space="0" w:color="auto"/>
            <w:left w:val="none" w:sz="0" w:space="0" w:color="auto"/>
            <w:bottom w:val="none" w:sz="0" w:space="0" w:color="auto"/>
            <w:right w:val="none" w:sz="0" w:space="0" w:color="auto"/>
          </w:divBdr>
        </w:div>
        <w:div w:id="795950650">
          <w:marLeft w:val="0"/>
          <w:marRight w:val="0"/>
          <w:marTop w:val="0"/>
          <w:marBottom w:val="0"/>
          <w:divBdr>
            <w:top w:val="none" w:sz="0" w:space="0" w:color="auto"/>
            <w:left w:val="none" w:sz="0" w:space="0" w:color="auto"/>
            <w:bottom w:val="none" w:sz="0" w:space="0" w:color="auto"/>
            <w:right w:val="none" w:sz="0" w:space="0" w:color="auto"/>
          </w:divBdr>
        </w:div>
        <w:div w:id="1050230921">
          <w:marLeft w:val="0"/>
          <w:marRight w:val="0"/>
          <w:marTop w:val="0"/>
          <w:marBottom w:val="0"/>
          <w:divBdr>
            <w:top w:val="none" w:sz="0" w:space="0" w:color="auto"/>
            <w:left w:val="none" w:sz="0" w:space="0" w:color="auto"/>
            <w:bottom w:val="none" w:sz="0" w:space="0" w:color="auto"/>
            <w:right w:val="none" w:sz="0" w:space="0" w:color="auto"/>
          </w:divBdr>
        </w:div>
        <w:div w:id="1508135300">
          <w:marLeft w:val="0"/>
          <w:marRight w:val="0"/>
          <w:marTop w:val="0"/>
          <w:marBottom w:val="0"/>
          <w:divBdr>
            <w:top w:val="none" w:sz="0" w:space="0" w:color="auto"/>
            <w:left w:val="none" w:sz="0" w:space="0" w:color="auto"/>
            <w:bottom w:val="none" w:sz="0" w:space="0" w:color="auto"/>
            <w:right w:val="none" w:sz="0" w:space="0" w:color="auto"/>
          </w:divBdr>
        </w:div>
        <w:div w:id="1602835099">
          <w:marLeft w:val="0"/>
          <w:marRight w:val="0"/>
          <w:marTop w:val="0"/>
          <w:marBottom w:val="0"/>
          <w:divBdr>
            <w:top w:val="none" w:sz="0" w:space="0" w:color="auto"/>
            <w:left w:val="none" w:sz="0" w:space="0" w:color="auto"/>
            <w:bottom w:val="none" w:sz="0" w:space="0" w:color="auto"/>
            <w:right w:val="none" w:sz="0" w:space="0" w:color="auto"/>
          </w:divBdr>
        </w:div>
        <w:div w:id="793522849">
          <w:marLeft w:val="0"/>
          <w:marRight w:val="0"/>
          <w:marTop w:val="0"/>
          <w:marBottom w:val="0"/>
          <w:divBdr>
            <w:top w:val="none" w:sz="0" w:space="0" w:color="auto"/>
            <w:left w:val="none" w:sz="0" w:space="0" w:color="auto"/>
            <w:bottom w:val="none" w:sz="0" w:space="0" w:color="auto"/>
            <w:right w:val="none" w:sz="0" w:space="0" w:color="auto"/>
          </w:divBdr>
        </w:div>
        <w:div w:id="1828128272">
          <w:marLeft w:val="0"/>
          <w:marRight w:val="0"/>
          <w:marTop w:val="0"/>
          <w:marBottom w:val="0"/>
          <w:divBdr>
            <w:top w:val="none" w:sz="0" w:space="0" w:color="auto"/>
            <w:left w:val="none" w:sz="0" w:space="0" w:color="auto"/>
            <w:bottom w:val="none" w:sz="0" w:space="0" w:color="auto"/>
            <w:right w:val="none" w:sz="0" w:space="0" w:color="auto"/>
          </w:divBdr>
        </w:div>
      </w:divsChild>
    </w:div>
    <w:div w:id="440303337">
      <w:bodyDiv w:val="1"/>
      <w:marLeft w:val="0"/>
      <w:marRight w:val="0"/>
      <w:marTop w:val="0"/>
      <w:marBottom w:val="0"/>
      <w:divBdr>
        <w:top w:val="none" w:sz="0" w:space="0" w:color="auto"/>
        <w:left w:val="none" w:sz="0" w:space="0" w:color="auto"/>
        <w:bottom w:val="none" w:sz="0" w:space="0" w:color="auto"/>
        <w:right w:val="none" w:sz="0" w:space="0" w:color="auto"/>
      </w:divBdr>
    </w:div>
    <w:div w:id="455947884">
      <w:bodyDiv w:val="1"/>
      <w:marLeft w:val="0"/>
      <w:marRight w:val="0"/>
      <w:marTop w:val="0"/>
      <w:marBottom w:val="0"/>
      <w:divBdr>
        <w:top w:val="none" w:sz="0" w:space="0" w:color="auto"/>
        <w:left w:val="none" w:sz="0" w:space="0" w:color="auto"/>
        <w:bottom w:val="none" w:sz="0" w:space="0" w:color="auto"/>
        <w:right w:val="none" w:sz="0" w:space="0" w:color="auto"/>
      </w:divBdr>
    </w:div>
    <w:div w:id="531574295">
      <w:bodyDiv w:val="1"/>
      <w:marLeft w:val="0"/>
      <w:marRight w:val="0"/>
      <w:marTop w:val="0"/>
      <w:marBottom w:val="0"/>
      <w:divBdr>
        <w:top w:val="none" w:sz="0" w:space="0" w:color="auto"/>
        <w:left w:val="none" w:sz="0" w:space="0" w:color="auto"/>
        <w:bottom w:val="none" w:sz="0" w:space="0" w:color="auto"/>
        <w:right w:val="none" w:sz="0" w:space="0" w:color="auto"/>
      </w:divBdr>
    </w:div>
    <w:div w:id="554975074">
      <w:bodyDiv w:val="1"/>
      <w:marLeft w:val="0"/>
      <w:marRight w:val="0"/>
      <w:marTop w:val="0"/>
      <w:marBottom w:val="0"/>
      <w:divBdr>
        <w:top w:val="none" w:sz="0" w:space="0" w:color="auto"/>
        <w:left w:val="none" w:sz="0" w:space="0" w:color="auto"/>
        <w:bottom w:val="none" w:sz="0" w:space="0" w:color="auto"/>
        <w:right w:val="none" w:sz="0" w:space="0" w:color="auto"/>
      </w:divBdr>
      <w:divsChild>
        <w:div w:id="1984506820">
          <w:marLeft w:val="0"/>
          <w:marRight w:val="0"/>
          <w:marTop w:val="0"/>
          <w:marBottom w:val="0"/>
          <w:divBdr>
            <w:top w:val="none" w:sz="0" w:space="0" w:color="auto"/>
            <w:left w:val="none" w:sz="0" w:space="0" w:color="auto"/>
            <w:bottom w:val="none" w:sz="0" w:space="0" w:color="auto"/>
            <w:right w:val="none" w:sz="0" w:space="0" w:color="auto"/>
          </w:divBdr>
          <w:divsChild>
            <w:div w:id="1135179364">
              <w:marLeft w:val="0"/>
              <w:marRight w:val="0"/>
              <w:marTop w:val="0"/>
              <w:marBottom w:val="0"/>
              <w:divBdr>
                <w:top w:val="none" w:sz="0" w:space="0" w:color="auto"/>
                <w:left w:val="none" w:sz="0" w:space="0" w:color="auto"/>
                <w:bottom w:val="none" w:sz="0" w:space="0" w:color="auto"/>
                <w:right w:val="none" w:sz="0" w:space="0" w:color="auto"/>
              </w:divBdr>
              <w:divsChild>
                <w:div w:id="87774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787495">
      <w:bodyDiv w:val="1"/>
      <w:marLeft w:val="0"/>
      <w:marRight w:val="0"/>
      <w:marTop w:val="0"/>
      <w:marBottom w:val="0"/>
      <w:divBdr>
        <w:top w:val="none" w:sz="0" w:space="0" w:color="auto"/>
        <w:left w:val="none" w:sz="0" w:space="0" w:color="auto"/>
        <w:bottom w:val="none" w:sz="0" w:space="0" w:color="auto"/>
        <w:right w:val="none" w:sz="0" w:space="0" w:color="auto"/>
      </w:divBdr>
      <w:divsChild>
        <w:div w:id="545608482">
          <w:marLeft w:val="0"/>
          <w:marRight w:val="0"/>
          <w:marTop w:val="0"/>
          <w:marBottom w:val="0"/>
          <w:divBdr>
            <w:top w:val="none" w:sz="0" w:space="0" w:color="auto"/>
            <w:left w:val="none" w:sz="0" w:space="0" w:color="auto"/>
            <w:bottom w:val="none" w:sz="0" w:space="0" w:color="auto"/>
            <w:right w:val="none" w:sz="0" w:space="0" w:color="auto"/>
          </w:divBdr>
        </w:div>
        <w:div w:id="1667316876">
          <w:marLeft w:val="0"/>
          <w:marRight w:val="0"/>
          <w:marTop w:val="0"/>
          <w:marBottom w:val="0"/>
          <w:divBdr>
            <w:top w:val="none" w:sz="0" w:space="0" w:color="auto"/>
            <w:left w:val="none" w:sz="0" w:space="0" w:color="auto"/>
            <w:bottom w:val="none" w:sz="0" w:space="0" w:color="auto"/>
            <w:right w:val="none" w:sz="0" w:space="0" w:color="auto"/>
          </w:divBdr>
        </w:div>
        <w:div w:id="1902790061">
          <w:marLeft w:val="0"/>
          <w:marRight w:val="0"/>
          <w:marTop w:val="0"/>
          <w:marBottom w:val="0"/>
          <w:divBdr>
            <w:top w:val="none" w:sz="0" w:space="0" w:color="auto"/>
            <w:left w:val="none" w:sz="0" w:space="0" w:color="auto"/>
            <w:bottom w:val="none" w:sz="0" w:space="0" w:color="auto"/>
            <w:right w:val="none" w:sz="0" w:space="0" w:color="auto"/>
          </w:divBdr>
        </w:div>
        <w:div w:id="322969399">
          <w:marLeft w:val="0"/>
          <w:marRight w:val="0"/>
          <w:marTop w:val="0"/>
          <w:marBottom w:val="0"/>
          <w:divBdr>
            <w:top w:val="none" w:sz="0" w:space="0" w:color="auto"/>
            <w:left w:val="none" w:sz="0" w:space="0" w:color="auto"/>
            <w:bottom w:val="none" w:sz="0" w:space="0" w:color="auto"/>
            <w:right w:val="none" w:sz="0" w:space="0" w:color="auto"/>
          </w:divBdr>
        </w:div>
      </w:divsChild>
    </w:div>
    <w:div w:id="560405051">
      <w:bodyDiv w:val="1"/>
      <w:marLeft w:val="0"/>
      <w:marRight w:val="0"/>
      <w:marTop w:val="0"/>
      <w:marBottom w:val="0"/>
      <w:divBdr>
        <w:top w:val="none" w:sz="0" w:space="0" w:color="auto"/>
        <w:left w:val="none" w:sz="0" w:space="0" w:color="auto"/>
        <w:bottom w:val="none" w:sz="0" w:space="0" w:color="auto"/>
        <w:right w:val="none" w:sz="0" w:space="0" w:color="auto"/>
      </w:divBdr>
      <w:divsChild>
        <w:div w:id="548035937">
          <w:marLeft w:val="0"/>
          <w:marRight w:val="0"/>
          <w:marTop w:val="0"/>
          <w:marBottom w:val="0"/>
          <w:divBdr>
            <w:top w:val="none" w:sz="0" w:space="0" w:color="auto"/>
            <w:left w:val="none" w:sz="0" w:space="0" w:color="auto"/>
            <w:bottom w:val="none" w:sz="0" w:space="0" w:color="auto"/>
            <w:right w:val="none" w:sz="0" w:space="0" w:color="auto"/>
          </w:divBdr>
        </w:div>
        <w:div w:id="1938709068">
          <w:marLeft w:val="0"/>
          <w:marRight w:val="0"/>
          <w:marTop w:val="0"/>
          <w:marBottom w:val="0"/>
          <w:divBdr>
            <w:top w:val="none" w:sz="0" w:space="0" w:color="auto"/>
            <w:left w:val="none" w:sz="0" w:space="0" w:color="auto"/>
            <w:bottom w:val="none" w:sz="0" w:space="0" w:color="auto"/>
            <w:right w:val="none" w:sz="0" w:space="0" w:color="auto"/>
          </w:divBdr>
        </w:div>
        <w:div w:id="930351561">
          <w:marLeft w:val="0"/>
          <w:marRight w:val="0"/>
          <w:marTop w:val="0"/>
          <w:marBottom w:val="0"/>
          <w:divBdr>
            <w:top w:val="none" w:sz="0" w:space="0" w:color="auto"/>
            <w:left w:val="none" w:sz="0" w:space="0" w:color="auto"/>
            <w:bottom w:val="none" w:sz="0" w:space="0" w:color="auto"/>
            <w:right w:val="none" w:sz="0" w:space="0" w:color="auto"/>
          </w:divBdr>
        </w:div>
        <w:div w:id="1691299632">
          <w:marLeft w:val="0"/>
          <w:marRight w:val="0"/>
          <w:marTop w:val="0"/>
          <w:marBottom w:val="0"/>
          <w:divBdr>
            <w:top w:val="none" w:sz="0" w:space="0" w:color="auto"/>
            <w:left w:val="none" w:sz="0" w:space="0" w:color="auto"/>
            <w:bottom w:val="none" w:sz="0" w:space="0" w:color="auto"/>
            <w:right w:val="none" w:sz="0" w:space="0" w:color="auto"/>
          </w:divBdr>
        </w:div>
        <w:div w:id="1330251631">
          <w:marLeft w:val="0"/>
          <w:marRight w:val="0"/>
          <w:marTop w:val="0"/>
          <w:marBottom w:val="0"/>
          <w:divBdr>
            <w:top w:val="none" w:sz="0" w:space="0" w:color="auto"/>
            <w:left w:val="none" w:sz="0" w:space="0" w:color="auto"/>
            <w:bottom w:val="none" w:sz="0" w:space="0" w:color="auto"/>
            <w:right w:val="none" w:sz="0" w:space="0" w:color="auto"/>
          </w:divBdr>
        </w:div>
        <w:div w:id="740103850">
          <w:marLeft w:val="0"/>
          <w:marRight w:val="0"/>
          <w:marTop w:val="0"/>
          <w:marBottom w:val="0"/>
          <w:divBdr>
            <w:top w:val="none" w:sz="0" w:space="0" w:color="auto"/>
            <w:left w:val="none" w:sz="0" w:space="0" w:color="auto"/>
            <w:bottom w:val="none" w:sz="0" w:space="0" w:color="auto"/>
            <w:right w:val="none" w:sz="0" w:space="0" w:color="auto"/>
          </w:divBdr>
        </w:div>
        <w:div w:id="110168753">
          <w:marLeft w:val="0"/>
          <w:marRight w:val="0"/>
          <w:marTop w:val="0"/>
          <w:marBottom w:val="0"/>
          <w:divBdr>
            <w:top w:val="none" w:sz="0" w:space="0" w:color="auto"/>
            <w:left w:val="none" w:sz="0" w:space="0" w:color="auto"/>
            <w:bottom w:val="none" w:sz="0" w:space="0" w:color="auto"/>
            <w:right w:val="none" w:sz="0" w:space="0" w:color="auto"/>
          </w:divBdr>
        </w:div>
        <w:div w:id="852493577">
          <w:marLeft w:val="0"/>
          <w:marRight w:val="0"/>
          <w:marTop w:val="0"/>
          <w:marBottom w:val="0"/>
          <w:divBdr>
            <w:top w:val="none" w:sz="0" w:space="0" w:color="auto"/>
            <w:left w:val="none" w:sz="0" w:space="0" w:color="auto"/>
            <w:bottom w:val="none" w:sz="0" w:space="0" w:color="auto"/>
            <w:right w:val="none" w:sz="0" w:space="0" w:color="auto"/>
          </w:divBdr>
        </w:div>
        <w:div w:id="717821462">
          <w:marLeft w:val="0"/>
          <w:marRight w:val="0"/>
          <w:marTop w:val="0"/>
          <w:marBottom w:val="0"/>
          <w:divBdr>
            <w:top w:val="none" w:sz="0" w:space="0" w:color="auto"/>
            <w:left w:val="none" w:sz="0" w:space="0" w:color="auto"/>
            <w:bottom w:val="none" w:sz="0" w:space="0" w:color="auto"/>
            <w:right w:val="none" w:sz="0" w:space="0" w:color="auto"/>
          </w:divBdr>
        </w:div>
        <w:div w:id="1456174272">
          <w:marLeft w:val="0"/>
          <w:marRight w:val="0"/>
          <w:marTop w:val="0"/>
          <w:marBottom w:val="0"/>
          <w:divBdr>
            <w:top w:val="none" w:sz="0" w:space="0" w:color="auto"/>
            <w:left w:val="none" w:sz="0" w:space="0" w:color="auto"/>
            <w:bottom w:val="none" w:sz="0" w:space="0" w:color="auto"/>
            <w:right w:val="none" w:sz="0" w:space="0" w:color="auto"/>
          </w:divBdr>
        </w:div>
        <w:div w:id="168258925">
          <w:marLeft w:val="0"/>
          <w:marRight w:val="0"/>
          <w:marTop w:val="0"/>
          <w:marBottom w:val="0"/>
          <w:divBdr>
            <w:top w:val="none" w:sz="0" w:space="0" w:color="auto"/>
            <w:left w:val="none" w:sz="0" w:space="0" w:color="auto"/>
            <w:bottom w:val="none" w:sz="0" w:space="0" w:color="auto"/>
            <w:right w:val="none" w:sz="0" w:space="0" w:color="auto"/>
          </w:divBdr>
        </w:div>
      </w:divsChild>
    </w:div>
    <w:div w:id="572395646">
      <w:bodyDiv w:val="1"/>
      <w:marLeft w:val="0"/>
      <w:marRight w:val="0"/>
      <w:marTop w:val="0"/>
      <w:marBottom w:val="0"/>
      <w:divBdr>
        <w:top w:val="none" w:sz="0" w:space="0" w:color="auto"/>
        <w:left w:val="none" w:sz="0" w:space="0" w:color="auto"/>
        <w:bottom w:val="none" w:sz="0" w:space="0" w:color="auto"/>
        <w:right w:val="none" w:sz="0" w:space="0" w:color="auto"/>
      </w:divBdr>
      <w:divsChild>
        <w:div w:id="1921333934">
          <w:marLeft w:val="0"/>
          <w:marRight w:val="0"/>
          <w:marTop w:val="0"/>
          <w:marBottom w:val="0"/>
          <w:divBdr>
            <w:top w:val="none" w:sz="0" w:space="0" w:color="auto"/>
            <w:left w:val="none" w:sz="0" w:space="0" w:color="auto"/>
            <w:bottom w:val="none" w:sz="0" w:space="0" w:color="auto"/>
            <w:right w:val="none" w:sz="0" w:space="0" w:color="auto"/>
          </w:divBdr>
        </w:div>
        <w:div w:id="1337998066">
          <w:marLeft w:val="0"/>
          <w:marRight w:val="0"/>
          <w:marTop w:val="0"/>
          <w:marBottom w:val="0"/>
          <w:divBdr>
            <w:top w:val="none" w:sz="0" w:space="0" w:color="auto"/>
            <w:left w:val="none" w:sz="0" w:space="0" w:color="auto"/>
            <w:bottom w:val="none" w:sz="0" w:space="0" w:color="auto"/>
            <w:right w:val="none" w:sz="0" w:space="0" w:color="auto"/>
          </w:divBdr>
        </w:div>
        <w:div w:id="2075544531">
          <w:marLeft w:val="0"/>
          <w:marRight w:val="0"/>
          <w:marTop w:val="0"/>
          <w:marBottom w:val="0"/>
          <w:divBdr>
            <w:top w:val="none" w:sz="0" w:space="0" w:color="auto"/>
            <w:left w:val="none" w:sz="0" w:space="0" w:color="auto"/>
            <w:bottom w:val="none" w:sz="0" w:space="0" w:color="auto"/>
            <w:right w:val="none" w:sz="0" w:space="0" w:color="auto"/>
          </w:divBdr>
        </w:div>
        <w:div w:id="177280458">
          <w:marLeft w:val="0"/>
          <w:marRight w:val="0"/>
          <w:marTop w:val="0"/>
          <w:marBottom w:val="0"/>
          <w:divBdr>
            <w:top w:val="none" w:sz="0" w:space="0" w:color="auto"/>
            <w:left w:val="none" w:sz="0" w:space="0" w:color="auto"/>
            <w:bottom w:val="none" w:sz="0" w:space="0" w:color="auto"/>
            <w:right w:val="none" w:sz="0" w:space="0" w:color="auto"/>
          </w:divBdr>
        </w:div>
        <w:div w:id="2032299882">
          <w:marLeft w:val="0"/>
          <w:marRight w:val="0"/>
          <w:marTop w:val="0"/>
          <w:marBottom w:val="0"/>
          <w:divBdr>
            <w:top w:val="none" w:sz="0" w:space="0" w:color="auto"/>
            <w:left w:val="none" w:sz="0" w:space="0" w:color="auto"/>
            <w:bottom w:val="none" w:sz="0" w:space="0" w:color="auto"/>
            <w:right w:val="none" w:sz="0" w:space="0" w:color="auto"/>
          </w:divBdr>
        </w:div>
        <w:div w:id="1614090087">
          <w:marLeft w:val="0"/>
          <w:marRight w:val="0"/>
          <w:marTop w:val="0"/>
          <w:marBottom w:val="0"/>
          <w:divBdr>
            <w:top w:val="none" w:sz="0" w:space="0" w:color="auto"/>
            <w:left w:val="none" w:sz="0" w:space="0" w:color="auto"/>
            <w:bottom w:val="none" w:sz="0" w:space="0" w:color="auto"/>
            <w:right w:val="none" w:sz="0" w:space="0" w:color="auto"/>
          </w:divBdr>
        </w:div>
        <w:div w:id="1909880307">
          <w:marLeft w:val="0"/>
          <w:marRight w:val="0"/>
          <w:marTop w:val="0"/>
          <w:marBottom w:val="0"/>
          <w:divBdr>
            <w:top w:val="none" w:sz="0" w:space="0" w:color="auto"/>
            <w:left w:val="none" w:sz="0" w:space="0" w:color="auto"/>
            <w:bottom w:val="none" w:sz="0" w:space="0" w:color="auto"/>
            <w:right w:val="none" w:sz="0" w:space="0" w:color="auto"/>
          </w:divBdr>
        </w:div>
        <w:div w:id="135415582">
          <w:marLeft w:val="0"/>
          <w:marRight w:val="0"/>
          <w:marTop w:val="0"/>
          <w:marBottom w:val="0"/>
          <w:divBdr>
            <w:top w:val="none" w:sz="0" w:space="0" w:color="auto"/>
            <w:left w:val="none" w:sz="0" w:space="0" w:color="auto"/>
            <w:bottom w:val="none" w:sz="0" w:space="0" w:color="auto"/>
            <w:right w:val="none" w:sz="0" w:space="0" w:color="auto"/>
          </w:divBdr>
        </w:div>
        <w:div w:id="1552427440">
          <w:marLeft w:val="0"/>
          <w:marRight w:val="0"/>
          <w:marTop w:val="0"/>
          <w:marBottom w:val="0"/>
          <w:divBdr>
            <w:top w:val="none" w:sz="0" w:space="0" w:color="auto"/>
            <w:left w:val="none" w:sz="0" w:space="0" w:color="auto"/>
            <w:bottom w:val="none" w:sz="0" w:space="0" w:color="auto"/>
            <w:right w:val="none" w:sz="0" w:space="0" w:color="auto"/>
          </w:divBdr>
        </w:div>
        <w:div w:id="1657372141">
          <w:marLeft w:val="0"/>
          <w:marRight w:val="0"/>
          <w:marTop w:val="0"/>
          <w:marBottom w:val="0"/>
          <w:divBdr>
            <w:top w:val="none" w:sz="0" w:space="0" w:color="auto"/>
            <w:left w:val="none" w:sz="0" w:space="0" w:color="auto"/>
            <w:bottom w:val="none" w:sz="0" w:space="0" w:color="auto"/>
            <w:right w:val="none" w:sz="0" w:space="0" w:color="auto"/>
          </w:divBdr>
        </w:div>
        <w:div w:id="485585783">
          <w:marLeft w:val="0"/>
          <w:marRight w:val="0"/>
          <w:marTop w:val="0"/>
          <w:marBottom w:val="0"/>
          <w:divBdr>
            <w:top w:val="none" w:sz="0" w:space="0" w:color="auto"/>
            <w:left w:val="none" w:sz="0" w:space="0" w:color="auto"/>
            <w:bottom w:val="none" w:sz="0" w:space="0" w:color="auto"/>
            <w:right w:val="none" w:sz="0" w:space="0" w:color="auto"/>
          </w:divBdr>
        </w:div>
        <w:div w:id="1471900563">
          <w:marLeft w:val="0"/>
          <w:marRight w:val="0"/>
          <w:marTop w:val="0"/>
          <w:marBottom w:val="0"/>
          <w:divBdr>
            <w:top w:val="none" w:sz="0" w:space="0" w:color="auto"/>
            <w:left w:val="none" w:sz="0" w:space="0" w:color="auto"/>
            <w:bottom w:val="none" w:sz="0" w:space="0" w:color="auto"/>
            <w:right w:val="none" w:sz="0" w:space="0" w:color="auto"/>
          </w:divBdr>
        </w:div>
        <w:div w:id="509756475">
          <w:marLeft w:val="0"/>
          <w:marRight w:val="0"/>
          <w:marTop w:val="0"/>
          <w:marBottom w:val="0"/>
          <w:divBdr>
            <w:top w:val="none" w:sz="0" w:space="0" w:color="auto"/>
            <w:left w:val="none" w:sz="0" w:space="0" w:color="auto"/>
            <w:bottom w:val="none" w:sz="0" w:space="0" w:color="auto"/>
            <w:right w:val="none" w:sz="0" w:space="0" w:color="auto"/>
          </w:divBdr>
        </w:div>
        <w:div w:id="411589840">
          <w:marLeft w:val="0"/>
          <w:marRight w:val="0"/>
          <w:marTop w:val="0"/>
          <w:marBottom w:val="0"/>
          <w:divBdr>
            <w:top w:val="none" w:sz="0" w:space="0" w:color="auto"/>
            <w:left w:val="none" w:sz="0" w:space="0" w:color="auto"/>
            <w:bottom w:val="none" w:sz="0" w:space="0" w:color="auto"/>
            <w:right w:val="none" w:sz="0" w:space="0" w:color="auto"/>
          </w:divBdr>
        </w:div>
        <w:div w:id="963316417">
          <w:marLeft w:val="0"/>
          <w:marRight w:val="0"/>
          <w:marTop w:val="0"/>
          <w:marBottom w:val="0"/>
          <w:divBdr>
            <w:top w:val="none" w:sz="0" w:space="0" w:color="auto"/>
            <w:left w:val="none" w:sz="0" w:space="0" w:color="auto"/>
            <w:bottom w:val="none" w:sz="0" w:space="0" w:color="auto"/>
            <w:right w:val="none" w:sz="0" w:space="0" w:color="auto"/>
          </w:divBdr>
        </w:div>
        <w:div w:id="408773454">
          <w:marLeft w:val="0"/>
          <w:marRight w:val="0"/>
          <w:marTop w:val="0"/>
          <w:marBottom w:val="0"/>
          <w:divBdr>
            <w:top w:val="none" w:sz="0" w:space="0" w:color="auto"/>
            <w:left w:val="none" w:sz="0" w:space="0" w:color="auto"/>
            <w:bottom w:val="none" w:sz="0" w:space="0" w:color="auto"/>
            <w:right w:val="none" w:sz="0" w:space="0" w:color="auto"/>
          </w:divBdr>
        </w:div>
        <w:div w:id="1295796125">
          <w:marLeft w:val="0"/>
          <w:marRight w:val="0"/>
          <w:marTop w:val="0"/>
          <w:marBottom w:val="0"/>
          <w:divBdr>
            <w:top w:val="none" w:sz="0" w:space="0" w:color="auto"/>
            <w:left w:val="none" w:sz="0" w:space="0" w:color="auto"/>
            <w:bottom w:val="none" w:sz="0" w:space="0" w:color="auto"/>
            <w:right w:val="none" w:sz="0" w:space="0" w:color="auto"/>
          </w:divBdr>
        </w:div>
        <w:div w:id="2138913308">
          <w:marLeft w:val="0"/>
          <w:marRight w:val="0"/>
          <w:marTop w:val="0"/>
          <w:marBottom w:val="0"/>
          <w:divBdr>
            <w:top w:val="none" w:sz="0" w:space="0" w:color="auto"/>
            <w:left w:val="none" w:sz="0" w:space="0" w:color="auto"/>
            <w:bottom w:val="none" w:sz="0" w:space="0" w:color="auto"/>
            <w:right w:val="none" w:sz="0" w:space="0" w:color="auto"/>
          </w:divBdr>
        </w:div>
        <w:div w:id="1382171491">
          <w:marLeft w:val="0"/>
          <w:marRight w:val="0"/>
          <w:marTop w:val="0"/>
          <w:marBottom w:val="0"/>
          <w:divBdr>
            <w:top w:val="none" w:sz="0" w:space="0" w:color="auto"/>
            <w:left w:val="none" w:sz="0" w:space="0" w:color="auto"/>
            <w:bottom w:val="none" w:sz="0" w:space="0" w:color="auto"/>
            <w:right w:val="none" w:sz="0" w:space="0" w:color="auto"/>
          </w:divBdr>
        </w:div>
        <w:div w:id="955213005">
          <w:marLeft w:val="0"/>
          <w:marRight w:val="0"/>
          <w:marTop w:val="0"/>
          <w:marBottom w:val="0"/>
          <w:divBdr>
            <w:top w:val="none" w:sz="0" w:space="0" w:color="auto"/>
            <w:left w:val="none" w:sz="0" w:space="0" w:color="auto"/>
            <w:bottom w:val="none" w:sz="0" w:space="0" w:color="auto"/>
            <w:right w:val="none" w:sz="0" w:space="0" w:color="auto"/>
          </w:divBdr>
        </w:div>
        <w:div w:id="1113134646">
          <w:marLeft w:val="0"/>
          <w:marRight w:val="0"/>
          <w:marTop w:val="0"/>
          <w:marBottom w:val="0"/>
          <w:divBdr>
            <w:top w:val="none" w:sz="0" w:space="0" w:color="auto"/>
            <w:left w:val="none" w:sz="0" w:space="0" w:color="auto"/>
            <w:bottom w:val="none" w:sz="0" w:space="0" w:color="auto"/>
            <w:right w:val="none" w:sz="0" w:space="0" w:color="auto"/>
          </w:divBdr>
        </w:div>
        <w:div w:id="511604155">
          <w:marLeft w:val="0"/>
          <w:marRight w:val="0"/>
          <w:marTop w:val="0"/>
          <w:marBottom w:val="0"/>
          <w:divBdr>
            <w:top w:val="none" w:sz="0" w:space="0" w:color="auto"/>
            <w:left w:val="none" w:sz="0" w:space="0" w:color="auto"/>
            <w:bottom w:val="none" w:sz="0" w:space="0" w:color="auto"/>
            <w:right w:val="none" w:sz="0" w:space="0" w:color="auto"/>
          </w:divBdr>
        </w:div>
        <w:div w:id="1096827290">
          <w:marLeft w:val="0"/>
          <w:marRight w:val="0"/>
          <w:marTop w:val="0"/>
          <w:marBottom w:val="0"/>
          <w:divBdr>
            <w:top w:val="none" w:sz="0" w:space="0" w:color="auto"/>
            <w:left w:val="none" w:sz="0" w:space="0" w:color="auto"/>
            <w:bottom w:val="none" w:sz="0" w:space="0" w:color="auto"/>
            <w:right w:val="none" w:sz="0" w:space="0" w:color="auto"/>
          </w:divBdr>
        </w:div>
        <w:div w:id="969164391">
          <w:marLeft w:val="0"/>
          <w:marRight w:val="0"/>
          <w:marTop w:val="0"/>
          <w:marBottom w:val="0"/>
          <w:divBdr>
            <w:top w:val="none" w:sz="0" w:space="0" w:color="auto"/>
            <w:left w:val="none" w:sz="0" w:space="0" w:color="auto"/>
            <w:bottom w:val="none" w:sz="0" w:space="0" w:color="auto"/>
            <w:right w:val="none" w:sz="0" w:space="0" w:color="auto"/>
          </w:divBdr>
        </w:div>
        <w:div w:id="1806502647">
          <w:marLeft w:val="0"/>
          <w:marRight w:val="0"/>
          <w:marTop w:val="0"/>
          <w:marBottom w:val="0"/>
          <w:divBdr>
            <w:top w:val="none" w:sz="0" w:space="0" w:color="auto"/>
            <w:left w:val="none" w:sz="0" w:space="0" w:color="auto"/>
            <w:bottom w:val="none" w:sz="0" w:space="0" w:color="auto"/>
            <w:right w:val="none" w:sz="0" w:space="0" w:color="auto"/>
          </w:divBdr>
        </w:div>
        <w:div w:id="604115099">
          <w:marLeft w:val="0"/>
          <w:marRight w:val="0"/>
          <w:marTop w:val="0"/>
          <w:marBottom w:val="0"/>
          <w:divBdr>
            <w:top w:val="none" w:sz="0" w:space="0" w:color="auto"/>
            <w:left w:val="none" w:sz="0" w:space="0" w:color="auto"/>
            <w:bottom w:val="none" w:sz="0" w:space="0" w:color="auto"/>
            <w:right w:val="none" w:sz="0" w:space="0" w:color="auto"/>
          </w:divBdr>
        </w:div>
        <w:div w:id="374014654">
          <w:marLeft w:val="0"/>
          <w:marRight w:val="0"/>
          <w:marTop w:val="0"/>
          <w:marBottom w:val="0"/>
          <w:divBdr>
            <w:top w:val="none" w:sz="0" w:space="0" w:color="auto"/>
            <w:left w:val="none" w:sz="0" w:space="0" w:color="auto"/>
            <w:bottom w:val="none" w:sz="0" w:space="0" w:color="auto"/>
            <w:right w:val="none" w:sz="0" w:space="0" w:color="auto"/>
          </w:divBdr>
        </w:div>
        <w:div w:id="1166438552">
          <w:marLeft w:val="0"/>
          <w:marRight w:val="0"/>
          <w:marTop w:val="0"/>
          <w:marBottom w:val="0"/>
          <w:divBdr>
            <w:top w:val="none" w:sz="0" w:space="0" w:color="auto"/>
            <w:left w:val="none" w:sz="0" w:space="0" w:color="auto"/>
            <w:bottom w:val="none" w:sz="0" w:space="0" w:color="auto"/>
            <w:right w:val="none" w:sz="0" w:space="0" w:color="auto"/>
          </w:divBdr>
        </w:div>
      </w:divsChild>
    </w:div>
    <w:div w:id="611979780">
      <w:bodyDiv w:val="1"/>
      <w:marLeft w:val="0"/>
      <w:marRight w:val="0"/>
      <w:marTop w:val="0"/>
      <w:marBottom w:val="0"/>
      <w:divBdr>
        <w:top w:val="none" w:sz="0" w:space="0" w:color="auto"/>
        <w:left w:val="none" w:sz="0" w:space="0" w:color="auto"/>
        <w:bottom w:val="none" w:sz="0" w:space="0" w:color="auto"/>
        <w:right w:val="none" w:sz="0" w:space="0" w:color="auto"/>
      </w:divBdr>
      <w:divsChild>
        <w:div w:id="392117987">
          <w:marLeft w:val="0"/>
          <w:marRight w:val="0"/>
          <w:marTop w:val="0"/>
          <w:marBottom w:val="0"/>
          <w:divBdr>
            <w:top w:val="none" w:sz="0" w:space="0" w:color="auto"/>
            <w:left w:val="none" w:sz="0" w:space="0" w:color="auto"/>
            <w:bottom w:val="none" w:sz="0" w:space="0" w:color="auto"/>
            <w:right w:val="none" w:sz="0" w:space="0" w:color="auto"/>
          </w:divBdr>
        </w:div>
        <w:div w:id="664163301">
          <w:marLeft w:val="0"/>
          <w:marRight w:val="0"/>
          <w:marTop w:val="0"/>
          <w:marBottom w:val="0"/>
          <w:divBdr>
            <w:top w:val="none" w:sz="0" w:space="0" w:color="auto"/>
            <w:left w:val="none" w:sz="0" w:space="0" w:color="auto"/>
            <w:bottom w:val="none" w:sz="0" w:space="0" w:color="auto"/>
            <w:right w:val="none" w:sz="0" w:space="0" w:color="auto"/>
          </w:divBdr>
        </w:div>
        <w:div w:id="380524417">
          <w:marLeft w:val="0"/>
          <w:marRight w:val="0"/>
          <w:marTop w:val="0"/>
          <w:marBottom w:val="0"/>
          <w:divBdr>
            <w:top w:val="none" w:sz="0" w:space="0" w:color="auto"/>
            <w:left w:val="none" w:sz="0" w:space="0" w:color="auto"/>
            <w:bottom w:val="none" w:sz="0" w:space="0" w:color="auto"/>
            <w:right w:val="none" w:sz="0" w:space="0" w:color="auto"/>
          </w:divBdr>
        </w:div>
      </w:divsChild>
    </w:div>
    <w:div w:id="623577319">
      <w:bodyDiv w:val="1"/>
      <w:marLeft w:val="0"/>
      <w:marRight w:val="0"/>
      <w:marTop w:val="0"/>
      <w:marBottom w:val="0"/>
      <w:divBdr>
        <w:top w:val="none" w:sz="0" w:space="0" w:color="auto"/>
        <w:left w:val="none" w:sz="0" w:space="0" w:color="auto"/>
        <w:bottom w:val="none" w:sz="0" w:space="0" w:color="auto"/>
        <w:right w:val="none" w:sz="0" w:space="0" w:color="auto"/>
      </w:divBdr>
      <w:divsChild>
        <w:div w:id="1597210133">
          <w:marLeft w:val="0"/>
          <w:marRight w:val="0"/>
          <w:marTop w:val="0"/>
          <w:marBottom w:val="0"/>
          <w:divBdr>
            <w:top w:val="none" w:sz="0" w:space="0" w:color="auto"/>
            <w:left w:val="none" w:sz="0" w:space="0" w:color="auto"/>
            <w:bottom w:val="none" w:sz="0" w:space="0" w:color="auto"/>
            <w:right w:val="none" w:sz="0" w:space="0" w:color="auto"/>
          </w:divBdr>
        </w:div>
        <w:div w:id="722486981">
          <w:marLeft w:val="0"/>
          <w:marRight w:val="0"/>
          <w:marTop w:val="0"/>
          <w:marBottom w:val="0"/>
          <w:divBdr>
            <w:top w:val="none" w:sz="0" w:space="0" w:color="auto"/>
            <w:left w:val="none" w:sz="0" w:space="0" w:color="auto"/>
            <w:bottom w:val="none" w:sz="0" w:space="0" w:color="auto"/>
            <w:right w:val="none" w:sz="0" w:space="0" w:color="auto"/>
          </w:divBdr>
        </w:div>
        <w:div w:id="368998194">
          <w:marLeft w:val="0"/>
          <w:marRight w:val="0"/>
          <w:marTop w:val="0"/>
          <w:marBottom w:val="0"/>
          <w:divBdr>
            <w:top w:val="none" w:sz="0" w:space="0" w:color="auto"/>
            <w:left w:val="none" w:sz="0" w:space="0" w:color="auto"/>
            <w:bottom w:val="none" w:sz="0" w:space="0" w:color="auto"/>
            <w:right w:val="none" w:sz="0" w:space="0" w:color="auto"/>
          </w:divBdr>
        </w:div>
        <w:div w:id="1657302358">
          <w:marLeft w:val="0"/>
          <w:marRight w:val="0"/>
          <w:marTop w:val="0"/>
          <w:marBottom w:val="0"/>
          <w:divBdr>
            <w:top w:val="none" w:sz="0" w:space="0" w:color="auto"/>
            <w:left w:val="none" w:sz="0" w:space="0" w:color="auto"/>
            <w:bottom w:val="none" w:sz="0" w:space="0" w:color="auto"/>
            <w:right w:val="none" w:sz="0" w:space="0" w:color="auto"/>
          </w:divBdr>
        </w:div>
        <w:div w:id="802115806">
          <w:marLeft w:val="0"/>
          <w:marRight w:val="0"/>
          <w:marTop w:val="0"/>
          <w:marBottom w:val="0"/>
          <w:divBdr>
            <w:top w:val="none" w:sz="0" w:space="0" w:color="auto"/>
            <w:left w:val="none" w:sz="0" w:space="0" w:color="auto"/>
            <w:bottom w:val="none" w:sz="0" w:space="0" w:color="auto"/>
            <w:right w:val="none" w:sz="0" w:space="0" w:color="auto"/>
          </w:divBdr>
        </w:div>
        <w:div w:id="86465842">
          <w:marLeft w:val="0"/>
          <w:marRight w:val="0"/>
          <w:marTop w:val="0"/>
          <w:marBottom w:val="0"/>
          <w:divBdr>
            <w:top w:val="none" w:sz="0" w:space="0" w:color="auto"/>
            <w:left w:val="none" w:sz="0" w:space="0" w:color="auto"/>
            <w:bottom w:val="none" w:sz="0" w:space="0" w:color="auto"/>
            <w:right w:val="none" w:sz="0" w:space="0" w:color="auto"/>
          </w:divBdr>
        </w:div>
        <w:div w:id="1935935400">
          <w:marLeft w:val="0"/>
          <w:marRight w:val="0"/>
          <w:marTop w:val="0"/>
          <w:marBottom w:val="0"/>
          <w:divBdr>
            <w:top w:val="none" w:sz="0" w:space="0" w:color="auto"/>
            <w:left w:val="none" w:sz="0" w:space="0" w:color="auto"/>
            <w:bottom w:val="none" w:sz="0" w:space="0" w:color="auto"/>
            <w:right w:val="none" w:sz="0" w:space="0" w:color="auto"/>
          </w:divBdr>
        </w:div>
        <w:div w:id="1026638444">
          <w:marLeft w:val="0"/>
          <w:marRight w:val="0"/>
          <w:marTop w:val="0"/>
          <w:marBottom w:val="0"/>
          <w:divBdr>
            <w:top w:val="none" w:sz="0" w:space="0" w:color="auto"/>
            <w:left w:val="none" w:sz="0" w:space="0" w:color="auto"/>
            <w:bottom w:val="none" w:sz="0" w:space="0" w:color="auto"/>
            <w:right w:val="none" w:sz="0" w:space="0" w:color="auto"/>
          </w:divBdr>
        </w:div>
        <w:div w:id="1052532967">
          <w:marLeft w:val="0"/>
          <w:marRight w:val="0"/>
          <w:marTop w:val="0"/>
          <w:marBottom w:val="0"/>
          <w:divBdr>
            <w:top w:val="none" w:sz="0" w:space="0" w:color="auto"/>
            <w:left w:val="none" w:sz="0" w:space="0" w:color="auto"/>
            <w:bottom w:val="none" w:sz="0" w:space="0" w:color="auto"/>
            <w:right w:val="none" w:sz="0" w:space="0" w:color="auto"/>
          </w:divBdr>
        </w:div>
        <w:div w:id="819424418">
          <w:marLeft w:val="0"/>
          <w:marRight w:val="0"/>
          <w:marTop w:val="0"/>
          <w:marBottom w:val="0"/>
          <w:divBdr>
            <w:top w:val="none" w:sz="0" w:space="0" w:color="auto"/>
            <w:left w:val="none" w:sz="0" w:space="0" w:color="auto"/>
            <w:bottom w:val="none" w:sz="0" w:space="0" w:color="auto"/>
            <w:right w:val="none" w:sz="0" w:space="0" w:color="auto"/>
          </w:divBdr>
        </w:div>
      </w:divsChild>
    </w:div>
    <w:div w:id="629556614">
      <w:bodyDiv w:val="1"/>
      <w:marLeft w:val="0"/>
      <w:marRight w:val="0"/>
      <w:marTop w:val="0"/>
      <w:marBottom w:val="0"/>
      <w:divBdr>
        <w:top w:val="none" w:sz="0" w:space="0" w:color="auto"/>
        <w:left w:val="none" w:sz="0" w:space="0" w:color="auto"/>
        <w:bottom w:val="none" w:sz="0" w:space="0" w:color="auto"/>
        <w:right w:val="none" w:sz="0" w:space="0" w:color="auto"/>
      </w:divBdr>
      <w:divsChild>
        <w:div w:id="416947118">
          <w:marLeft w:val="0"/>
          <w:marRight w:val="0"/>
          <w:marTop w:val="0"/>
          <w:marBottom w:val="0"/>
          <w:divBdr>
            <w:top w:val="none" w:sz="0" w:space="0" w:color="auto"/>
            <w:left w:val="none" w:sz="0" w:space="0" w:color="auto"/>
            <w:bottom w:val="none" w:sz="0" w:space="0" w:color="auto"/>
            <w:right w:val="none" w:sz="0" w:space="0" w:color="auto"/>
          </w:divBdr>
        </w:div>
        <w:div w:id="1793476357">
          <w:marLeft w:val="0"/>
          <w:marRight w:val="0"/>
          <w:marTop w:val="0"/>
          <w:marBottom w:val="0"/>
          <w:divBdr>
            <w:top w:val="none" w:sz="0" w:space="0" w:color="auto"/>
            <w:left w:val="none" w:sz="0" w:space="0" w:color="auto"/>
            <w:bottom w:val="none" w:sz="0" w:space="0" w:color="auto"/>
            <w:right w:val="none" w:sz="0" w:space="0" w:color="auto"/>
          </w:divBdr>
        </w:div>
        <w:div w:id="714889404">
          <w:marLeft w:val="0"/>
          <w:marRight w:val="0"/>
          <w:marTop w:val="0"/>
          <w:marBottom w:val="0"/>
          <w:divBdr>
            <w:top w:val="none" w:sz="0" w:space="0" w:color="auto"/>
            <w:left w:val="none" w:sz="0" w:space="0" w:color="auto"/>
            <w:bottom w:val="none" w:sz="0" w:space="0" w:color="auto"/>
            <w:right w:val="none" w:sz="0" w:space="0" w:color="auto"/>
          </w:divBdr>
        </w:div>
        <w:div w:id="1409771274">
          <w:marLeft w:val="0"/>
          <w:marRight w:val="0"/>
          <w:marTop w:val="0"/>
          <w:marBottom w:val="0"/>
          <w:divBdr>
            <w:top w:val="none" w:sz="0" w:space="0" w:color="auto"/>
            <w:left w:val="none" w:sz="0" w:space="0" w:color="auto"/>
            <w:bottom w:val="none" w:sz="0" w:space="0" w:color="auto"/>
            <w:right w:val="none" w:sz="0" w:space="0" w:color="auto"/>
          </w:divBdr>
        </w:div>
        <w:div w:id="590283290">
          <w:marLeft w:val="0"/>
          <w:marRight w:val="0"/>
          <w:marTop w:val="0"/>
          <w:marBottom w:val="0"/>
          <w:divBdr>
            <w:top w:val="none" w:sz="0" w:space="0" w:color="auto"/>
            <w:left w:val="none" w:sz="0" w:space="0" w:color="auto"/>
            <w:bottom w:val="none" w:sz="0" w:space="0" w:color="auto"/>
            <w:right w:val="none" w:sz="0" w:space="0" w:color="auto"/>
          </w:divBdr>
        </w:div>
        <w:div w:id="487593218">
          <w:marLeft w:val="0"/>
          <w:marRight w:val="0"/>
          <w:marTop w:val="0"/>
          <w:marBottom w:val="0"/>
          <w:divBdr>
            <w:top w:val="none" w:sz="0" w:space="0" w:color="auto"/>
            <w:left w:val="none" w:sz="0" w:space="0" w:color="auto"/>
            <w:bottom w:val="none" w:sz="0" w:space="0" w:color="auto"/>
            <w:right w:val="none" w:sz="0" w:space="0" w:color="auto"/>
          </w:divBdr>
        </w:div>
        <w:div w:id="1803185604">
          <w:marLeft w:val="0"/>
          <w:marRight w:val="0"/>
          <w:marTop w:val="0"/>
          <w:marBottom w:val="0"/>
          <w:divBdr>
            <w:top w:val="none" w:sz="0" w:space="0" w:color="auto"/>
            <w:left w:val="none" w:sz="0" w:space="0" w:color="auto"/>
            <w:bottom w:val="none" w:sz="0" w:space="0" w:color="auto"/>
            <w:right w:val="none" w:sz="0" w:space="0" w:color="auto"/>
          </w:divBdr>
        </w:div>
      </w:divsChild>
    </w:div>
    <w:div w:id="649866605">
      <w:bodyDiv w:val="1"/>
      <w:marLeft w:val="0"/>
      <w:marRight w:val="0"/>
      <w:marTop w:val="0"/>
      <w:marBottom w:val="0"/>
      <w:divBdr>
        <w:top w:val="none" w:sz="0" w:space="0" w:color="auto"/>
        <w:left w:val="none" w:sz="0" w:space="0" w:color="auto"/>
        <w:bottom w:val="none" w:sz="0" w:space="0" w:color="auto"/>
        <w:right w:val="none" w:sz="0" w:space="0" w:color="auto"/>
      </w:divBdr>
      <w:divsChild>
        <w:div w:id="1088576752">
          <w:marLeft w:val="0"/>
          <w:marRight w:val="0"/>
          <w:marTop w:val="0"/>
          <w:marBottom w:val="0"/>
          <w:divBdr>
            <w:top w:val="none" w:sz="0" w:space="0" w:color="auto"/>
            <w:left w:val="none" w:sz="0" w:space="0" w:color="auto"/>
            <w:bottom w:val="none" w:sz="0" w:space="0" w:color="auto"/>
            <w:right w:val="none" w:sz="0" w:space="0" w:color="auto"/>
          </w:divBdr>
        </w:div>
        <w:div w:id="1988045843">
          <w:marLeft w:val="0"/>
          <w:marRight w:val="0"/>
          <w:marTop w:val="0"/>
          <w:marBottom w:val="0"/>
          <w:divBdr>
            <w:top w:val="none" w:sz="0" w:space="0" w:color="auto"/>
            <w:left w:val="none" w:sz="0" w:space="0" w:color="auto"/>
            <w:bottom w:val="none" w:sz="0" w:space="0" w:color="auto"/>
            <w:right w:val="none" w:sz="0" w:space="0" w:color="auto"/>
          </w:divBdr>
        </w:div>
        <w:div w:id="2026901254">
          <w:marLeft w:val="0"/>
          <w:marRight w:val="0"/>
          <w:marTop w:val="0"/>
          <w:marBottom w:val="0"/>
          <w:divBdr>
            <w:top w:val="none" w:sz="0" w:space="0" w:color="auto"/>
            <w:left w:val="none" w:sz="0" w:space="0" w:color="auto"/>
            <w:bottom w:val="none" w:sz="0" w:space="0" w:color="auto"/>
            <w:right w:val="none" w:sz="0" w:space="0" w:color="auto"/>
          </w:divBdr>
        </w:div>
        <w:div w:id="1388526089">
          <w:marLeft w:val="0"/>
          <w:marRight w:val="0"/>
          <w:marTop w:val="0"/>
          <w:marBottom w:val="0"/>
          <w:divBdr>
            <w:top w:val="none" w:sz="0" w:space="0" w:color="auto"/>
            <w:left w:val="none" w:sz="0" w:space="0" w:color="auto"/>
            <w:bottom w:val="none" w:sz="0" w:space="0" w:color="auto"/>
            <w:right w:val="none" w:sz="0" w:space="0" w:color="auto"/>
          </w:divBdr>
        </w:div>
        <w:div w:id="2044010988">
          <w:marLeft w:val="0"/>
          <w:marRight w:val="0"/>
          <w:marTop w:val="0"/>
          <w:marBottom w:val="0"/>
          <w:divBdr>
            <w:top w:val="none" w:sz="0" w:space="0" w:color="auto"/>
            <w:left w:val="none" w:sz="0" w:space="0" w:color="auto"/>
            <w:bottom w:val="none" w:sz="0" w:space="0" w:color="auto"/>
            <w:right w:val="none" w:sz="0" w:space="0" w:color="auto"/>
          </w:divBdr>
        </w:div>
        <w:div w:id="1743142164">
          <w:marLeft w:val="0"/>
          <w:marRight w:val="0"/>
          <w:marTop w:val="0"/>
          <w:marBottom w:val="0"/>
          <w:divBdr>
            <w:top w:val="none" w:sz="0" w:space="0" w:color="auto"/>
            <w:left w:val="none" w:sz="0" w:space="0" w:color="auto"/>
            <w:bottom w:val="none" w:sz="0" w:space="0" w:color="auto"/>
            <w:right w:val="none" w:sz="0" w:space="0" w:color="auto"/>
          </w:divBdr>
        </w:div>
        <w:div w:id="1239092792">
          <w:marLeft w:val="0"/>
          <w:marRight w:val="0"/>
          <w:marTop w:val="0"/>
          <w:marBottom w:val="0"/>
          <w:divBdr>
            <w:top w:val="none" w:sz="0" w:space="0" w:color="auto"/>
            <w:left w:val="none" w:sz="0" w:space="0" w:color="auto"/>
            <w:bottom w:val="none" w:sz="0" w:space="0" w:color="auto"/>
            <w:right w:val="none" w:sz="0" w:space="0" w:color="auto"/>
          </w:divBdr>
        </w:div>
        <w:div w:id="2029869419">
          <w:marLeft w:val="0"/>
          <w:marRight w:val="0"/>
          <w:marTop w:val="0"/>
          <w:marBottom w:val="0"/>
          <w:divBdr>
            <w:top w:val="none" w:sz="0" w:space="0" w:color="auto"/>
            <w:left w:val="none" w:sz="0" w:space="0" w:color="auto"/>
            <w:bottom w:val="none" w:sz="0" w:space="0" w:color="auto"/>
            <w:right w:val="none" w:sz="0" w:space="0" w:color="auto"/>
          </w:divBdr>
        </w:div>
        <w:div w:id="94133639">
          <w:marLeft w:val="0"/>
          <w:marRight w:val="0"/>
          <w:marTop w:val="0"/>
          <w:marBottom w:val="0"/>
          <w:divBdr>
            <w:top w:val="none" w:sz="0" w:space="0" w:color="auto"/>
            <w:left w:val="none" w:sz="0" w:space="0" w:color="auto"/>
            <w:bottom w:val="none" w:sz="0" w:space="0" w:color="auto"/>
            <w:right w:val="none" w:sz="0" w:space="0" w:color="auto"/>
          </w:divBdr>
        </w:div>
        <w:div w:id="730156209">
          <w:marLeft w:val="0"/>
          <w:marRight w:val="0"/>
          <w:marTop w:val="0"/>
          <w:marBottom w:val="0"/>
          <w:divBdr>
            <w:top w:val="none" w:sz="0" w:space="0" w:color="auto"/>
            <w:left w:val="none" w:sz="0" w:space="0" w:color="auto"/>
            <w:bottom w:val="none" w:sz="0" w:space="0" w:color="auto"/>
            <w:right w:val="none" w:sz="0" w:space="0" w:color="auto"/>
          </w:divBdr>
        </w:div>
        <w:div w:id="924725569">
          <w:marLeft w:val="0"/>
          <w:marRight w:val="0"/>
          <w:marTop w:val="0"/>
          <w:marBottom w:val="0"/>
          <w:divBdr>
            <w:top w:val="none" w:sz="0" w:space="0" w:color="auto"/>
            <w:left w:val="none" w:sz="0" w:space="0" w:color="auto"/>
            <w:bottom w:val="none" w:sz="0" w:space="0" w:color="auto"/>
            <w:right w:val="none" w:sz="0" w:space="0" w:color="auto"/>
          </w:divBdr>
        </w:div>
      </w:divsChild>
    </w:div>
    <w:div w:id="655105932">
      <w:bodyDiv w:val="1"/>
      <w:marLeft w:val="0"/>
      <w:marRight w:val="0"/>
      <w:marTop w:val="0"/>
      <w:marBottom w:val="0"/>
      <w:divBdr>
        <w:top w:val="none" w:sz="0" w:space="0" w:color="auto"/>
        <w:left w:val="none" w:sz="0" w:space="0" w:color="auto"/>
        <w:bottom w:val="none" w:sz="0" w:space="0" w:color="auto"/>
        <w:right w:val="none" w:sz="0" w:space="0" w:color="auto"/>
      </w:divBdr>
      <w:divsChild>
        <w:div w:id="1455977619">
          <w:marLeft w:val="0"/>
          <w:marRight w:val="0"/>
          <w:marTop w:val="0"/>
          <w:marBottom w:val="0"/>
          <w:divBdr>
            <w:top w:val="none" w:sz="0" w:space="0" w:color="auto"/>
            <w:left w:val="none" w:sz="0" w:space="0" w:color="auto"/>
            <w:bottom w:val="none" w:sz="0" w:space="0" w:color="auto"/>
            <w:right w:val="none" w:sz="0" w:space="0" w:color="auto"/>
          </w:divBdr>
        </w:div>
        <w:div w:id="1352032489">
          <w:marLeft w:val="0"/>
          <w:marRight w:val="0"/>
          <w:marTop w:val="0"/>
          <w:marBottom w:val="0"/>
          <w:divBdr>
            <w:top w:val="none" w:sz="0" w:space="0" w:color="auto"/>
            <w:left w:val="none" w:sz="0" w:space="0" w:color="auto"/>
            <w:bottom w:val="none" w:sz="0" w:space="0" w:color="auto"/>
            <w:right w:val="none" w:sz="0" w:space="0" w:color="auto"/>
          </w:divBdr>
        </w:div>
        <w:div w:id="2002346437">
          <w:marLeft w:val="0"/>
          <w:marRight w:val="0"/>
          <w:marTop w:val="0"/>
          <w:marBottom w:val="0"/>
          <w:divBdr>
            <w:top w:val="none" w:sz="0" w:space="0" w:color="auto"/>
            <w:left w:val="none" w:sz="0" w:space="0" w:color="auto"/>
            <w:bottom w:val="none" w:sz="0" w:space="0" w:color="auto"/>
            <w:right w:val="none" w:sz="0" w:space="0" w:color="auto"/>
          </w:divBdr>
        </w:div>
        <w:div w:id="1772117121">
          <w:marLeft w:val="0"/>
          <w:marRight w:val="0"/>
          <w:marTop w:val="0"/>
          <w:marBottom w:val="0"/>
          <w:divBdr>
            <w:top w:val="none" w:sz="0" w:space="0" w:color="auto"/>
            <w:left w:val="none" w:sz="0" w:space="0" w:color="auto"/>
            <w:bottom w:val="none" w:sz="0" w:space="0" w:color="auto"/>
            <w:right w:val="none" w:sz="0" w:space="0" w:color="auto"/>
          </w:divBdr>
        </w:div>
        <w:div w:id="1451164940">
          <w:marLeft w:val="0"/>
          <w:marRight w:val="0"/>
          <w:marTop w:val="0"/>
          <w:marBottom w:val="0"/>
          <w:divBdr>
            <w:top w:val="none" w:sz="0" w:space="0" w:color="auto"/>
            <w:left w:val="none" w:sz="0" w:space="0" w:color="auto"/>
            <w:bottom w:val="none" w:sz="0" w:space="0" w:color="auto"/>
            <w:right w:val="none" w:sz="0" w:space="0" w:color="auto"/>
          </w:divBdr>
        </w:div>
        <w:div w:id="434860023">
          <w:marLeft w:val="0"/>
          <w:marRight w:val="0"/>
          <w:marTop w:val="0"/>
          <w:marBottom w:val="0"/>
          <w:divBdr>
            <w:top w:val="none" w:sz="0" w:space="0" w:color="auto"/>
            <w:left w:val="none" w:sz="0" w:space="0" w:color="auto"/>
            <w:bottom w:val="none" w:sz="0" w:space="0" w:color="auto"/>
            <w:right w:val="none" w:sz="0" w:space="0" w:color="auto"/>
          </w:divBdr>
        </w:div>
        <w:div w:id="2132749223">
          <w:marLeft w:val="0"/>
          <w:marRight w:val="0"/>
          <w:marTop w:val="0"/>
          <w:marBottom w:val="0"/>
          <w:divBdr>
            <w:top w:val="none" w:sz="0" w:space="0" w:color="auto"/>
            <w:left w:val="none" w:sz="0" w:space="0" w:color="auto"/>
            <w:bottom w:val="none" w:sz="0" w:space="0" w:color="auto"/>
            <w:right w:val="none" w:sz="0" w:space="0" w:color="auto"/>
          </w:divBdr>
        </w:div>
        <w:div w:id="979270271">
          <w:marLeft w:val="0"/>
          <w:marRight w:val="0"/>
          <w:marTop w:val="0"/>
          <w:marBottom w:val="0"/>
          <w:divBdr>
            <w:top w:val="none" w:sz="0" w:space="0" w:color="auto"/>
            <w:left w:val="none" w:sz="0" w:space="0" w:color="auto"/>
            <w:bottom w:val="none" w:sz="0" w:space="0" w:color="auto"/>
            <w:right w:val="none" w:sz="0" w:space="0" w:color="auto"/>
          </w:divBdr>
        </w:div>
        <w:div w:id="39593564">
          <w:marLeft w:val="0"/>
          <w:marRight w:val="0"/>
          <w:marTop w:val="0"/>
          <w:marBottom w:val="0"/>
          <w:divBdr>
            <w:top w:val="none" w:sz="0" w:space="0" w:color="auto"/>
            <w:left w:val="none" w:sz="0" w:space="0" w:color="auto"/>
            <w:bottom w:val="none" w:sz="0" w:space="0" w:color="auto"/>
            <w:right w:val="none" w:sz="0" w:space="0" w:color="auto"/>
          </w:divBdr>
        </w:div>
      </w:divsChild>
    </w:div>
    <w:div w:id="656304218">
      <w:bodyDiv w:val="1"/>
      <w:marLeft w:val="0"/>
      <w:marRight w:val="0"/>
      <w:marTop w:val="0"/>
      <w:marBottom w:val="0"/>
      <w:divBdr>
        <w:top w:val="none" w:sz="0" w:space="0" w:color="auto"/>
        <w:left w:val="none" w:sz="0" w:space="0" w:color="auto"/>
        <w:bottom w:val="none" w:sz="0" w:space="0" w:color="auto"/>
        <w:right w:val="none" w:sz="0" w:space="0" w:color="auto"/>
      </w:divBdr>
      <w:divsChild>
        <w:div w:id="1142163677">
          <w:marLeft w:val="0"/>
          <w:marRight w:val="0"/>
          <w:marTop w:val="0"/>
          <w:marBottom w:val="0"/>
          <w:divBdr>
            <w:top w:val="none" w:sz="0" w:space="0" w:color="auto"/>
            <w:left w:val="none" w:sz="0" w:space="0" w:color="auto"/>
            <w:bottom w:val="none" w:sz="0" w:space="0" w:color="auto"/>
            <w:right w:val="none" w:sz="0" w:space="0" w:color="auto"/>
          </w:divBdr>
        </w:div>
        <w:div w:id="128331433">
          <w:marLeft w:val="0"/>
          <w:marRight w:val="0"/>
          <w:marTop w:val="0"/>
          <w:marBottom w:val="0"/>
          <w:divBdr>
            <w:top w:val="none" w:sz="0" w:space="0" w:color="auto"/>
            <w:left w:val="none" w:sz="0" w:space="0" w:color="auto"/>
            <w:bottom w:val="none" w:sz="0" w:space="0" w:color="auto"/>
            <w:right w:val="none" w:sz="0" w:space="0" w:color="auto"/>
          </w:divBdr>
        </w:div>
      </w:divsChild>
    </w:div>
    <w:div w:id="710306661">
      <w:bodyDiv w:val="1"/>
      <w:marLeft w:val="0"/>
      <w:marRight w:val="0"/>
      <w:marTop w:val="0"/>
      <w:marBottom w:val="0"/>
      <w:divBdr>
        <w:top w:val="none" w:sz="0" w:space="0" w:color="auto"/>
        <w:left w:val="none" w:sz="0" w:space="0" w:color="auto"/>
        <w:bottom w:val="none" w:sz="0" w:space="0" w:color="auto"/>
        <w:right w:val="none" w:sz="0" w:space="0" w:color="auto"/>
      </w:divBdr>
      <w:divsChild>
        <w:div w:id="578248640">
          <w:marLeft w:val="0"/>
          <w:marRight w:val="0"/>
          <w:marTop w:val="0"/>
          <w:marBottom w:val="0"/>
          <w:divBdr>
            <w:top w:val="none" w:sz="0" w:space="0" w:color="auto"/>
            <w:left w:val="none" w:sz="0" w:space="0" w:color="auto"/>
            <w:bottom w:val="none" w:sz="0" w:space="0" w:color="auto"/>
            <w:right w:val="none" w:sz="0" w:space="0" w:color="auto"/>
          </w:divBdr>
        </w:div>
        <w:div w:id="2128154406">
          <w:marLeft w:val="0"/>
          <w:marRight w:val="0"/>
          <w:marTop w:val="0"/>
          <w:marBottom w:val="0"/>
          <w:divBdr>
            <w:top w:val="none" w:sz="0" w:space="0" w:color="auto"/>
            <w:left w:val="none" w:sz="0" w:space="0" w:color="auto"/>
            <w:bottom w:val="none" w:sz="0" w:space="0" w:color="auto"/>
            <w:right w:val="none" w:sz="0" w:space="0" w:color="auto"/>
          </w:divBdr>
        </w:div>
        <w:div w:id="646399038">
          <w:marLeft w:val="0"/>
          <w:marRight w:val="0"/>
          <w:marTop w:val="0"/>
          <w:marBottom w:val="0"/>
          <w:divBdr>
            <w:top w:val="none" w:sz="0" w:space="0" w:color="auto"/>
            <w:left w:val="none" w:sz="0" w:space="0" w:color="auto"/>
            <w:bottom w:val="none" w:sz="0" w:space="0" w:color="auto"/>
            <w:right w:val="none" w:sz="0" w:space="0" w:color="auto"/>
          </w:divBdr>
        </w:div>
        <w:div w:id="763762696">
          <w:marLeft w:val="0"/>
          <w:marRight w:val="0"/>
          <w:marTop w:val="0"/>
          <w:marBottom w:val="0"/>
          <w:divBdr>
            <w:top w:val="none" w:sz="0" w:space="0" w:color="auto"/>
            <w:left w:val="none" w:sz="0" w:space="0" w:color="auto"/>
            <w:bottom w:val="none" w:sz="0" w:space="0" w:color="auto"/>
            <w:right w:val="none" w:sz="0" w:space="0" w:color="auto"/>
          </w:divBdr>
        </w:div>
        <w:div w:id="110513304">
          <w:marLeft w:val="0"/>
          <w:marRight w:val="0"/>
          <w:marTop w:val="0"/>
          <w:marBottom w:val="0"/>
          <w:divBdr>
            <w:top w:val="none" w:sz="0" w:space="0" w:color="auto"/>
            <w:left w:val="none" w:sz="0" w:space="0" w:color="auto"/>
            <w:bottom w:val="none" w:sz="0" w:space="0" w:color="auto"/>
            <w:right w:val="none" w:sz="0" w:space="0" w:color="auto"/>
          </w:divBdr>
        </w:div>
        <w:div w:id="2002780788">
          <w:marLeft w:val="0"/>
          <w:marRight w:val="0"/>
          <w:marTop w:val="0"/>
          <w:marBottom w:val="0"/>
          <w:divBdr>
            <w:top w:val="none" w:sz="0" w:space="0" w:color="auto"/>
            <w:left w:val="none" w:sz="0" w:space="0" w:color="auto"/>
            <w:bottom w:val="none" w:sz="0" w:space="0" w:color="auto"/>
            <w:right w:val="none" w:sz="0" w:space="0" w:color="auto"/>
          </w:divBdr>
        </w:div>
        <w:div w:id="885070009">
          <w:marLeft w:val="0"/>
          <w:marRight w:val="0"/>
          <w:marTop w:val="0"/>
          <w:marBottom w:val="0"/>
          <w:divBdr>
            <w:top w:val="none" w:sz="0" w:space="0" w:color="auto"/>
            <w:left w:val="none" w:sz="0" w:space="0" w:color="auto"/>
            <w:bottom w:val="none" w:sz="0" w:space="0" w:color="auto"/>
            <w:right w:val="none" w:sz="0" w:space="0" w:color="auto"/>
          </w:divBdr>
        </w:div>
        <w:div w:id="2085493498">
          <w:marLeft w:val="0"/>
          <w:marRight w:val="0"/>
          <w:marTop w:val="0"/>
          <w:marBottom w:val="0"/>
          <w:divBdr>
            <w:top w:val="none" w:sz="0" w:space="0" w:color="auto"/>
            <w:left w:val="none" w:sz="0" w:space="0" w:color="auto"/>
            <w:bottom w:val="none" w:sz="0" w:space="0" w:color="auto"/>
            <w:right w:val="none" w:sz="0" w:space="0" w:color="auto"/>
          </w:divBdr>
        </w:div>
        <w:div w:id="8217751">
          <w:marLeft w:val="0"/>
          <w:marRight w:val="0"/>
          <w:marTop w:val="0"/>
          <w:marBottom w:val="0"/>
          <w:divBdr>
            <w:top w:val="none" w:sz="0" w:space="0" w:color="auto"/>
            <w:left w:val="none" w:sz="0" w:space="0" w:color="auto"/>
            <w:bottom w:val="none" w:sz="0" w:space="0" w:color="auto"/>
            <w:right w:val="none" w:sz="0" w:space="0" w:color="auto"/>
          </w:divBdr>
        </w:div>
      </w:divsChild>
    </w:div>
    <w:div w:id="721372331">
      <w:bodyDiv w:val="1"/>
      <w:marLeft w:val="0"/>
      <w:marRight w:val="0"/>
      <w:marTop w:val="0"/>
      <w:marBottom w:val="0"/>
      <w:divBdr>
        <w:top w:val="none" w:sz="0" w:space="0" w:color="auto"/>
        <w:left w:val="none" w:sz="0" w:space="0" w:color="auto"/>
        <w:bottom w:val="none" w:sz="0" w:space="0" w:color="auto"/>
        <w:right w:val="none" w:sz="0" w:space="0" w:color="auto"/>
      </w:divBdr>
      <w:divsChild>
        <w:div w:id="1330478872">
          <w:marLeft w:val="0"/>
          <w:marRight w:val="0"/>
          <w:marTop w:val="0"/>
          <w:marBottom w:val="0"/>
          <w:divBdr>
            <w:top w:val="none" w:sz="0" w:space="0" w:color="auto"/>
            <w:left w:val="none" w:sz="0" w:space="0" w:color="auto"/>
            <w:bottom w:val="none" w:sz="0" w:space="0" w:color="auto"/>
            <w:right w:val="none" w:sz="0" w:space="0" w:color="auto"/>
          </w:divBdr>
        </w:div>
        <w:div w:id="1833372283">
          <w:marLeft w:val="0"/>
          <w:marRight w:val="0"/>
          <w:marTop w:val="0"/>
          <w:marBottom w:val="0"/>
          <w:divBdr>
            <w:top w:val="none" w:sz="0" w:space="0" w:color="auto"/>
            <w:left w:val="none" w:sz="0" w:space="0" w:color="auto"/>
            <w:bottom w:val="none" w:sz="0" w:space="0" w:color="auto"/>
            <w:right w:val="none" w:sz="0" w:space="0" w:color="auto"/>
          </w:divBdr>
        </w:div>
        <w:div w:id="347635256">
          <w:marLeft w:val="0"/>
          <w:marRight w:val="0"/>
          <w:marTop w:val="0"/>
          <w:marBottom w:val="0"/>
          <w:divBdr>
            <w:top w:val="none" w:sz="0" w:space="0" w:color="auto"/>
            <w:left w:val="none" w:sz="0" w:space="0" w:color="auto"/>
            <w:bottom w:val="none" w:sz="0" w:space="0" w:color="auto"/>
            <w:right w:val="none" w:sz="0" w:space="0" w:color="auto"/>
          </w:divBdr>
        </w:div>
        <w:div w:id="1725834741">
          <w:marLeft w:val="0"/>
          <w:marRight w:val="0"/>
          <w:marTop w:val="0"/>
          <w:marBottom w:val="0"/>
          <w:divBdr>
            <w:top w:val="none" w:sz="0" w:space="0" w:color="auto"/>
            <w:left w:val="none" w:sz="0" w:space="0" w:color="auto"/>
            <w:bottom w:val="none" w:sz="0" w:space="0" w:color="auto"/>
            <w:right w:val="none" w:sz="0" w:space="0" w:color="auto"/>
          </w:divBdr>
        </w:div>
        <w:div w:id="1143085182">
          <w:marLeft w:val="0"/>
          <w:marRight w:val="0"/>
          <w:marTop w:val="0"/>
          <w:marBottom w:val="0"/>
          <w:divBdr>
            <w:top w:val="none" w:sz="0" w:space="0" w:color="auto"/>
            <w:left w:val="none" w:sz="0" w:space="0" w:color="auto"/>
            <w:bottom w:val="none" w:sz="0" w:space="0" w:color="auto"/>
            <w:right w:val="none" w:sz="0" w:space="0" w:color="auto"/>
          </w:divBdr>
        </w:div>
        <w:div w:id="985668010">
          <w:marLeft w:val="0"/>
          <w:marRight w:val="0"/>
          <w:marTop w:val="0"/>
          <w:marBottom w:val="0"/>
          <w:divBdr>
            <w:top w:val="none" w:sz="0" w:space="0" w:color="auto"/>
            <w:left w:val="none" w:sz="0" w:space="0" w:color="auto"/>
            <w:bottom w:val="none" w:sz="0" w:space="0" w:color="auto"/>
            <w:right w:val="none" w:sz="0" w:space="0" w:color="auto"/>
          </w:divBdr>
        </w:div>
        <w:div w:id="318194724">
          <w:marLeft w:val="0"/>
          <w:marRight w:val="0"/>
          <w:marTop w:val="0"/>
          <w:marBottom w:val="0"/>
          <w:divBdr>
            <w:top w:val="none" w:sz="0" w:space="0" w:color="auto"/>
            <w:left w:val="none" w:sz="0" w:space="0" w:color="auto"/>
            <w:bottom w:val="none" w:sz="0" w:space="0" w:color="auto"/>
            <w:right w:val="none" w:sz="0" w:space="0" w:color="auto"/>
          </w:divBdr>
        </w:div>
        <w:div w:id="634875820">
          <w:marLeft w:val="0"/>
          <w:marRight w:val="0"/>
          <w:marTop w:val="0"/>
          <w:marBottom w:val="0"/>
          <w:divBdr>
            <w:top w:val="none" w:sz="0" w:space="0" w:color="auto"/>
            <w:left w:val="none" w:sz="0" w:space="0" w:color="auto"/>
            <w:bottom w:val="none" w:sz="0" w:space="0" w:color="auto"/>
            <w:right w:val="none" w:sz="0" w:space="0" w:color="auto"/>
          </w:divBdr>
        </w:div>
        <w:div w:id="1345283908">
          <w:marLeft w:val="0"/>
          <w:marRight w:val="0"/>
          <w:marTop w:val="0"/>
          <w:marBottom w:val="0"/>
          <w:divBdr>
            <w:top w:val="none" w:sz="0" w:space="0" w:color="auto"/>
            <w:left w:val="none" w:sz="0" w:space="0" w:color="auto"/>
            <w:bottom w:val="none" w:sz="0" w:space="0" w:color="auto"/>
            <w:right w:val="none" w:sz="0" w:space="0" w:color="auto"/>
          </w:divBdr>
        </w:div>
        <w:div w:id="875311665">
          <w:marLeft w:val="0"/>
          <w:marRight w:val="0"/>
          <w:marTop w:val="0"/>
          <w:marBottom w:val="0"/>
          <w:divBdr>
            <w:top w:val="none" w:sz="0" w:space="0" w:color="auto"/>
            <w:left w:val="none" w:sz="0" w:space="0" w:color="auto"/>
            <w:bottom w:val="none" w:sz="0" w:space="0" w:color="auto"/>
            <w:right w:val="none" w:sz="0" w:space="0" w:color="auto"/>
          </w:divBdr>
        </w:div>
        <w:div w:id="419060197">
          <w:marLeft w:val="0"/>
          <w:marRight w:val="0"/>
          <w:marTop w:val="0"/>
          <w:marBottom w:val="0"/>
          <w:divBdr>
            <w:top w:val="none" w:sz="0" w:space="0" w:color="auto"/>
            <w:left w:val="none" w:sz="0" w:space="0" w:color="auto"/>
            <w:bottom w:val="none" w:sz="0" w:space="0" w:color="auto"/>
            <w:right w:val="none" w:sz="0" w:space="0" w:color="auto"/>
          </w:divBdr>
        </w:div>
        <w:div w:id="1386877064">
          <w:marLeft w:val="0"/>
          <w:marRight w:val="0"/>
          <w:marTop w:val="0"/>
          <w:marBottom w:val="0"/>
          <w:divBdr>
            <w:top w:val="none" w:sz="0" w:space="0" w:color="auto"/>
            <w:left w:val="none" w:sz="0" w:space="0" w:color="auto"/>
            <w:bottom w:val="none" w:sz="0" w:space="0" w:color="auto"/>
            <w:right w:val="none" w:sz="0" w:space="0" w:color="auto"/>
          </w:divBdr>
        </w:div>
        <w:div w:id="1000625226">
          <w:marLeft w:val="0"/>
          <w:marRight w:val="0"/>
          <w:marTop w:val="0"/>
          <w:marBottom w:val="0"/>
          <w:divBdr>
            <w:top w:val="none" w:sz="0" w:space="0" w:color="auto"/>
            <w:left w:val="none" w:sz="0" w:space="0" w:color="auto"/>
            <w:bottom w:val="none" w:sz="0" w:space="0" w:color="auto"/>
            <w:right w:val="none" w:sz="0" w:space="0" w:color="auto"/>
          </w:divBdr>
        </w:div>
        <w:div w:id="1187018062">
          <w:marLeft w:val="0"/>
          <w:marRight w:val="0"/>
          <w:marTop w:val="0"/>
          <w:marBottom w:val="0"/>
          <w:divBdr>
            <w:top w:val="none" w:sz="0" w:space="0" w:color="auto"/>
            <w:left w:val="none" w:sz="0" w:space="0" w:color="auto"/>
            <w:bottom w:val="none" w:sz="0" w:space="0" w:color="auto"/>
            <w:right w:val="none" w:sz="0" w:space="0" w:color="auto"/>
          </w:divBdr>
        </w:div>
        <w:div w:id="1343122655">
          <w:marLeft w:val="0"/>
          <w:marRight w:val="0"/>
          <w:marTop w:val="0"/>
          <w:marBottom w:val="0"/>
          <w:divBdr>
            <w:top w:val="none" w:sz="0" w:space="0" w:color="auto"/>
            <w:left w:val="none" w:sz="0" w:space="0" w:color="auto"/>
            <w:bottom w:val="none" w:sz="0" w:space="0" w:color="auto"/>
            <w:right w:val="none" w:sz="0" w:space="0" w:color="auto"/>
          </w:divBdr>
        </w:div>
        <w:div w:id="1395078072">
          <w:marLeft w:val="0"/>
          <w:marRight w:val="0"/>
          <w:marTop w:val="0"/>
          <w:marBottom w:val="0"/>
          <w:divBdr>
            <w:top w:val="none" w:sz="0" w:space="0" w:color="auto"/>
            <w:left w:val="none" w:sz="0" w:space="0" w:color="auto"/>
            <w:bottom w:val="none" w:sz="0" w:space="0" w:color="auto"/>
            <w:right w:val="none" w:sz="0" w:space="0" w:color="auto"/>
          </w:divBdr>
        </w:div>
        <w:div w:id="1120145094">
          <w:marLeft w:val="0"/>
          <w:marRight w:val="0"/>
          <w:marTop w:val="0"/>
          <w:marBottom w:val="0"/>
          <w:divBdr>
            <w:top w:val="none" w:sz="0" w:space="0" w:color="auto"/>
            <w:left w:val="none" w:sz="0" w:space="0" w:color="auto"/>
            <w:bottom w:val="none" w:sz="0" w:space="0" w:color="auto"/>
            <w:right w:val="none" w:sz="0" w:space="0" w:color="auto"/>
          </w:divBdr>
        </w:div>
        <w:div w:id="1582643258">
          <w:marLeft w:val="0"/>
          <w:marRight w:val="0"/>
          <w:marTop w:val="0"/>
          <w:marBottom w:val="0"/>
          <w:divBdr>
            <w:top w:val="none" w:sz="0" w:space="0" w:color="auto"/>
            <w:left w:val="none" w:sz="0" w:space="0" w:color="auto"/>
            <w:bottom w:val="none" w:sz="0" w:space="0" w:color="auto"/>
            <w:right w:val="none" w:sz="0" w:space="0" w:color="auto"/>
          </w:divBdr>
        </w:div>
        <w:div w:id="715816866">
          <w:marLeft w:val="0"/>
          <w:marRight w:val="0"/>
          <w:marTop w:val="0"/>
          <w:marBottom w:val="0"/>
          <w:divBdr>
            <w:top w:val="none" w:sz="0" w:space="0" w:color="auto"/>
            <w:left w:val="none" w:sz="0" w:space="0" w:color="auto"/>
            <w:bottom w:val="none" w:sz="0" w:space="0" w:color="auto"/>
            <w:right w:val="none" w:sz="0" w:space="0" w:color="auto"/>
          </w:divBdr>
        </w:div>
        <w:div w:id="634992481">
          <w:marLeft w:val="0"/>
          <w:marRight w:val="0"/>
          <w:marTop w:val="0"/>
          <w:marBottom w:val="0"/>
          <w:divBdr>
            <w:top w:val="none" w:sz="0" w:space="0" w:color="auto"/>
            <w:left w:val="none" w:sz="0" w:space="0" w:color="auto"/>
            <w:bottom w:val="none" w:sz="0" w:space="0" w:color="auto"/>
            <w:right w:val="none" w:sz="0" w:space="0" w:color="auto"/>
          </w:divBdr>
        </w:div>
        <w:div w:id="339235783">
          <w:marLeft w:val="0"/>
          <w:marRight w:val="0"/>
          <w:marTop w:val="0"/>
          <w:marBottom w:val="0"/>
          <w:divBdr>
            <w:top w:val="none" w:sz="0" w:space="0" w:color="auto"/>
            <w:left w:val="none" w:sz="0" w:space="0" w:color="auto"/>
            <w:bottom w:val="none" w:sz="0" w:space="0" w:color="auto"/>
            <w:right w:val="none" w:sz="0" w:space="0" w:color="auto"/>
          </w:divBdr>
        </w:div>
        <w:div w:id="322973656">
          <w:marLeft w:val="0"/>
          <w:marRight w:val="0"/>
          <w:marTop w:val="0"/>
          <w:marBottom w:val="0"/>
          <w:divBdr>
            <w:top w:val="none" w:sz="0" w:space="0" w:color="auto"/>
            <w:left w:val="none" w:sz="0" w:space="0" w:color="auto"/>
            <w:bottom w:val="none" w:sz="0" w:space="0" w:color="auto"/>
            <w:right w:val="none" w:sz="0" w:space="0" w:color="auto"/>
          </w:divBdr>
        </w:div>
        <w:div w:id="372390908">
          <w:marLeft w:val="0"/>
          <w:marRight w:val="0"/>
          <w:marTop w:val="0"/>
          <w:marBottom w:val="0"/>
          <w:divBdr>
            <w:top w:val="none" w:sz="0" w:space="0" w:color="auto"/>
            <w:left w:val="none" w:sz="0" w:space="0" w:color="auto"/>
            <w:bottom w:val="none" w:sz="0" w:space="0" w:color="auto"/>
            <w:right w:val="none" w:sz="0" w:space="0" w:color="auto"/>
          </w:divBdr>
        </w:div>
        <w:div w:id="1168717349">
          <w:marLeft w:val="0"/>
          <w:marRight w:val="0"/>
          <w:marTop w:val="0"/>
          <w:marBottom w:val="0"/>
          <w:divBdr>
            <w:top w:val="none" w:sz="0" w:space="0" w:color="auto"/>
            <w:left w:val="none" w:sz="0" w:space="0" w:color="auto"/>
            <w:bottom w:val="none" w:sz="0" w:space="0" w:color="auto"/>
            <w:right w:val="none" w:sz="0" w:space="0" w:color="auto"/>
          </w:divBdr>
        </w:div>
        <w:div w:id="1309553456">
          <w:marLeft w:val="0"/>
          <w:marRight w:val="0"/>
          <w:marTop w:val="0"/>
          <w:marBottom w:val="0"/>
          <w:divBdr>
            <w:top w:val="none" w:sz="0" w:space="0" w:color="auto"/>
            <w:left w:val="none" w:sz="0" w:space="0" w:color="auto"/>
            <w:bottom w:val="none" w:sz="0" w:space="0" w:color="auto"/>
            <w:right w:val="none" w:sz="0" w:space="0" w:color="auto"/>
          </w:divBdr>
        </w:div>
        <w:div w:id="1500005288">
          <w:marLeft w:val="0"/>
          <w:marRight w:val="0"/>
          <w:marTop w:val="0"/>
          <w:marBottom w:val="0"/>
          <w:divBdr>
            <w:top w:val="none" w:sz="0" w:space="0" w:color="auto"/>
            <w:left w:val="none" w:sz="0" w:space="0" w:color="auto"/>
            <w:bottom w:val="none" w:sz="0" w:space="0" w:color="auto"/>
            <w:right w:val="none" w:sz="0" w:space="0" w:color="auto"/>
          </w:divBdr>
        </w:div>
        <w:div w:id="729579049">
          <w:marLeft w:val="0"/>
          <w:marRight w:val="0"/>
          <w:marTop w:val="0"/>
          <w:marBottom w:val="0"/>
          <w:divBdr>
            <w:top w:val="none" w:sz="0" w:space="0" w:color="auto"/>
            <w:left w:val="none" w:sz="0" w:space="0" w:color="auto"/>
            <w:bottom w:val="none" w:sz="0" w:space="0" w:color="auto"/>
            <w:right w:val="none" w:sz="0" w:space="0" w:color="auto"/>
          </w:divBdr>
        </w:div>
        <w:div w:id="476385908">
          <w:marLeft w:val="0"/>
          <w:marRight w:val="0"/>
          <w:marTop w:val="0"/>
          <w:marBottom w:val="0"/>
          <w:divBdr>
            <w:top w:val="none" w:sz="0" w:space="0" w:color="auto"/>
            <w:left w:val="none" w:sz="0" w:space="0" w:color="auto"/>
            <w:bottom w:val="none" w:sz="0" w:space="0" w:color="auto"/>
            <w:right w:val="none" w:sz="0" w:space="0" w:color="auto"/>
          </w:divBdr>
        </w:div>
        <w:div w:id="1856962568">
          <w:marLeft w:val="0"/>
          <w:marRight w:val="0"/>
          <w:marTop w:val="0"/>
          <w:marBottom w:val="0"/>
          <w:divBdr>
            <w:top w:val="none" w:sz="0" w:space="0" w:color="auto"/>
            <w:left w:val="none" w:sz="0" w:space="0" w:color="auto"/>
            <w:bottom w:val="none" w:sz="0" w:space="0" w:color="auto"/>
            <w:right w:val="none" w:sz="0" w:space="0" w:color="auto"/>
          </w:divBdr>
        </w:div>
        <w:div w:id="1133908925">
          <w:marLeft w:val="0"/>
          <w:marRight w:val="0"/>
          <w:marTop w:val="0"/>
          <w:marBottom w:val="0"/>
          <w:divBdr>
            <w:top w:val="none" w:sz="0" w:space="0" w:color="auto"/>
            <w:left w:val="none" w:sz="0" w:space="0" w:color="auto"/>
            <w:bottom w:val="none" w:sz="0" w:space="0" w:color="auto"/>
            <w:right w:val="none" w:sz="0" w:space="0" w:color="auto"/>
          </w:divBdr>
        </w:div>
        <w:div w:id="1174757003">
          <w:marLeft w:val="0"/>
          <w:marRight w:val="0"/>
          <w:marTop w:val="0"/>
          <w:marBottom w:val="0"/>
          <w:divBdr>
            <w:top w:val="none" w:sz="0" w:space="0" w:color="auto"/>
            <w:left w:val="none" w:sz="0" w:space="0" w:color="auto"/>
            <w:bottom w:val="none" w:sz="0" w:space="0" w:color="auto"/>
            <w:right w:val="none" w:sz="0" w:space="0" w:color="auto"/>
          </w:divBdr>
        </w:div>
        <w:div w:id="590621037">
          <w:marLeft w:val="0"/>
          <w:marRight w:val="0"/>
          <w:marTop w:val="0"/>
          <w:marBottom w:val="0"/>
          <w:divBdr>
            <w:top w:val="none" w:sz="0" w:space="0" w:color="auto"/>
            <w:left w:val="none" w:sz="0" w:space="0" w:color="auto"/>
            <w:bottom w:val="none" w:sz="0" w:space="0" w:color="auto"/>
            <w:right w:val="none" w:sz="0" w:space="0" w:color="auto"/>
          </w:divBdr>
        </w:div>
        <w:div w:id="1418595642">
          <w:marLeft w:val="0"/>
          <w:marRight w:val="0"/>
          <w:marTop w:val="0"/>
          <w:marBottom w:val="0"/>
          <w:divBdr>
            <w:top w:val="none" w:sz="0" w:space="0" w:color="auto"/>
            <w:left w:val="none" w:sz="0" w:space="0" w:color="auto"/>
            <w:bottom w:val="none" w:sz="0" w:space="0" w:color="auto"/>
            <w:right w:val="none" w:sz="0" w:space="0" w:color="auto"/>
          </w:divBdr>
        </w:div>
        <w:div w:id="25058173">
          <w:marLeft w:val="0"/>
          <w:marRight w:val="0"/>
          <w:marTop w:val="0"/>
          <w:marBottom w:val="0"/>
          <w:divBdr>
            <w:top w:val="none" w:sz="0" w:space="0" w:color="auto"/>
            <w:left w:val="none" w:sz="0" w:space="0" w:color="auto"/>
            <w:bottom w:val="none" w:sz="0" w:space="0" w:color="auto"/>
            <w:right w:val="none" w:sz="0" w:space="0" w:color="auto"/>
          </w:divBdr>
        </w:div>
        <w:div w:id="2015958575">
          <w:marLeft w:val="0"/>
          <w:marRight w:val="0"/>
          <w:marTop w:val="0"/>
          <w:marBottom w:val="0"/>
          <w:divBdr>
            <w:top w:val="none" w:sz="0" w:space="0" w:color="auto"/>
            <w:left w:val="none" w:sz="0" w:space="0" w:color="auto"/>
            <w:bottom w:val="none" w:sz="0" w:space="0" w:color="auto"/>
            <w:right w:val="none" w:sz="0" w:space="0" w:color="auto"/>
          </w:divBdr>
        </w:div>
        <w:div w:id="456722223">
          <w:marLeft w:val="0"/>
          <w:marRight w:val="0"/>
          <w:marTop w:val="0"/>
          <w:marBottom w:val="0"/>
          <w:divBdr>
            <w:top w:val="none" w:sz="0" w:space="0" w:color="auto"/>
            <w:left w:val="none" w:sz="0" w:space="0" w:color="auto"/>
            <w:bottom w:val="none" w:sz="0" w:space="0" w:color="auto"/>
            <w:right w:val="none" w:sz="0" w:space="0" w:color="auto"/>
          </w:divBdr>
        </w:div>
        <w:div w:id="552081944">
          <w:marLeft w:val="0"/>
          <w:marRight w:val="0"/>
          <w:marTop w:val="0"/>
          <w:marBottom w:val="0"/>
          <w:divBdr>
            <w:top w:val="none" w:sz="0" w:space="0" w:color="auto"/>
            <w:left w:val="none" w:sz="0" w:space="0" w:color="auto"/>
            <w:bottom w:val="none" w:sz="0" w:space="0" w:color="auto"/>
            <w:right w:val="none" w:sz="0" w:space="0" w:color="auto"/>
          </w:divBdr>
        </w:div>
        <w:div w:id="467210505">
          <w:marLeft w:val="0"/>
          <w:marRight w:val="0"/>
          <w:marTop w:val="0"/>
          <w:marBottom w:val="0"/>
          <w:divBdr>
            <w:top w:val="none" w:sz="0" w:space="0" w:color="auto"/>
            <w:left w:val="none" w:sz="0" w:space="0" w:color="auto"/>
            <w:bottom w:val="none" w:sz="0" w:space="0" w:color="auto"/>
            <w:right w:val="none" w:sz="0" w:space="0" w:color="auto"/>
          </w:divBdr>
        </w:div>
        <w:div w:id="465319787">
          <w:marLeft w:val="0"/>
          <w:marRight w:val="0"/>
          <w:marTop w:val="0"/>
          <w:marBottom w:val="0"/>
          <w:divBdr>
            <w:top w:val="none" w:sz="0" w:space="0" w:color="auto"/>
            <w:left w:val="none" w:sz="0" w:space="0" w:color="auto"/>
            <w:bottom w:val="none" w:sz="0" w:space="0" w:color="auto"/>
            <w:right w:val="none" w:sz="0" w:space="0" w:color="auto"/>
          </w:divBdr>
        </w:div>
        <w:div w:id="388964399">
          <w:marLeft w:val="0"/>
          <w:marRight w:val="0"/>
          <w:marTop w:val="0"/>
          <w:marBottom w:val="0"/>
          <w:divBdr>
            <w:top w:val="none" w:sz="0" w:space="0" w:color="auto"/>
            <w:left w:val="none" w:sz="0" w:space="0" w:color="auto"/>
            <w:bottom w:val="none" w:sz="0" w:space="0" w:color="auto"/>
            <w:right w:val="none" w:sz="0" w:space="0" w:color="auto"/>
          </w:divBdr>
        </w:div>
        <w:div w:id="959142869">
          <w:marLeft w:val="0"/>
          <w:marRight w:val="0"/>
          <w:marTop w:val="0"/>
          <w:marBottom w:val="0"/>
          <w:divBdr>
            <w:top w:val="none" w:sz="0" w:space="0" w:color="auto"/>
            <w:left w:val="none" w:sz="0" w:space="0" w:color="auto"/>
            <w:bottom w:val="none" w:sz="0" w:space="0" w:color="auto"/>
            <w:right w:val="none" w:sz="0" w:space="0" w:color="auto"/>
          </w:divBdr>
        </w:div>
      </w:divsChild>
    </w:div>
    <w:div w:id="735014042">
      <w:bodyDiv w:val="1"/>
      <w:marLeft w:val="0"/>
      <w:marRight w:val="0"/>
      <w:marTop w:val="0"/>
      <w:marBottom w:val="0"/>
      <w:divBdr>
        <w:top w:val="none" w:sz="0" w:space="0" w:color="auto"/>
        <w:left w:val="none" w:sz="0" w:space="0" w:color="auto"/>
        <w:bottom w:val="none" w:sz="0" w:space="0" w:color="auto"/>
        <w:right w:val="none" w:sz="0" w:space="0" w:color="auto"/>
      </w:divBdr>
      <w:divsChild>
        <w:div w:id="649797839">
          <w:marLeft w:val="0"/>
          <w:marRight w:val="0"/>
          <w:marTop w:val="0"/>
          <w:marBottom w:val="0"/>
          <w:divBdr>
            <w:top w:val="none" w:sz="0" w:space="0" w:color="auto"/>
            <w:left w:val="none" w:sz="0" w:space="0" w:color="auto"/>
            <w:bottom w:val="none" w:sz="0" w:space="0" w:color="auto"/>
            <w:right w:val="none" w:sz="0" w:space="0" w:color="auto"/>
          </w:divBdr>
        </w:div>
        <w:div w:id="1227910874">
          <w:marLeft w:val="0"/>
          <w:marRight w:val="0"/>
          <w:marTop w:val="0"/>
          <w:marBottom w:val="0"/>
          <w:divBdr>
            <w:top w:val="none" w:sz="0" w:space="0" w:color="auto"/>
            <w:left w:val="none" w:sz="0" w:space="0" w:color="auto"/>
            <w:bottom w:val="none" w:sz="0" w:space="0" w:color="auto"/>
            <w:right w:val="none" w:sz="0" w:space="0" w:color="auto"/>
          </w:divBdr>
        </w:div>
        <w:div w:id="987899809">
          <w:marLeft w:val="0"/>
          <w:marRight w:val="0"/>
          <w:marTop w:val="0"/>
          <w:marBottom w:val="0"/>
          <w:divBdr>
            <w:top w:val="none" w:sz="0" w:space="0" w:color="auto"/>
            <w:left w:val="none" w:sz="0" w:space="0" w:color="auto"/>
            <w:bottom w:val="none" w:sz="0" w:space="0" w:color="auto"/>
            <w:right w:val="none" w:sz="0" w:space="0" w:color="auto"/>
          </w:divBdr>
        </w:div>
        <w:div w:id="1851723998">
          <w:marLeft w:val="0"/>
          <w:marRight w:val="0"/>
          <w:marTop w:val="0"/>
          <w:marBottom w:val="0"/>
          <w:divBdr>
            <w:top w:val="none" w:sz="0" w:space="0" w:color="auto"/>
            <w:left w:val="none" w:sz="0" w:space="0" w:color="auto"/>
            <w:bottom w:val="none" w:sz="0" w:space="0" w:color="auto"/>
            <w:right w:val="none" w:sz="0" w:space="0" w:color="auto"/>
          </w:divBdr>
        </w:div>
        <w:div w:id="535822908">
          <w:marLeft w:val="0"/>
          <w:marRight w:val="0"/>
          <w:marTop w:val="0"/>
          <w:marBottom w:val="0"/>
          <w:divBdr>
            <w:top w:val="none" w:sz="0" w:space="0" w:color="auto"/>
            <w:left w:val="none" w:sz="0" w:space="0" w:color="auto"/>
            <w:bottom w:val="none" w:sz="0" w:space="0" w:color="auto"/>
            <w:right w:val="none" w:sz="0" w:space="0" w:color="auto"/>
          </w:divBdr>
        </w:div>
        <w:div w:id="894124705">
          <w:marLeft w:val="0"/>
          <w:marRight w:val="0"/>
          <w:marTop w:val="0"/>
          <w:marBottom w:val="0"/>
          <w:divBdr>
            <w:top w:val="none" w:sz="0" w:space="0" w:color="auto"/>
            <w:left w:val="none" w:sz="0" w:space="0" w:color="auto"/>
            <w:bottom w:val="none" w:sz="0" w:space="0" w:color="auto"/>
            <w:right w:val="none" w:sz="0" w:space="0" w:color="auto"/>
          </w:divBdr>
        </w:div>
        <w:div w:id="662590970">
          <w:marLeft w:val="0"/>
          <w:marRight w:val="0"/>
          <w:marTop w:val="0"/>
          <w:marBottom w:val="0"/>
          <w:divBdr>
            <w:top w:val="none" w:sz="0" w:space="0" w:color="auto"/>
            <w:left w:val="none" w:sz="0" w:space="0" w:color="auto"/>
            <w:bottom w:val="none" w:sz="0" w:space="0" w:color="auto"/>
            <w:right w:val="none" w:sz="0" w:space="0" w:color="auto"/>
          </w:divBdr>
        </w:div>
        <w:div w:id="159778391">
          <w:marLeft w:val="0"/>
          <w:marRight w:val="0"/>
          <w:marTop w:val="0"/>
          <w:marBottom w:val="0"/>
          <w:divBdr>
            <w:top w:val="none" w:sz="0" w:space="0" w:color="auto"/>
            <w:left w:val="none" w:sz="0" w:space="0" w:color="auto"/>
            <w:bottom w:val="none" w:sz="0" w:space="0" w:color="auto"/>
            <w:right w:val="none" w:sz="0" w:space="0" w:color="auto"/>
          </w:divBdr>
        </w:div>
        <w:div w:id="1321543321">
          <w:marLeft w:val="0"/>
          <w:marRight w:val="0"/>
          <w:marTop w:val="0"/>
          <w:marBottom w:val="0"/>
          <w:divBdr>
            <w:top w:val="none" w:sz="0" w:space="0" w:color="auto"/>
            <w:left w:val="none" w:sz="0" w:space="0" w:color="auto"/>
            <w:bottom w:val="none" w:sz="0" w:space="0" w:color="auto"/>
            <w:right w:val="none" w:sz="0" w:space="0" w:color="auto"/>
          </w:divBdr>
        </w:div>
        <w:div w:id="1256860270">
          <w:marLeft w:val="0"/>
          <w:marRight w:val="0"/>
          <w:marTop w:val="0"/>
          <w:marBottom w:val="0"/>
          <w:divBdr>
            <w:top w:val="none" w:sz="0" w:space="0" w:color="auto"/>
            <w:left w:val="none" w:sz="0" w:space="0" w:color="auto"/>
            <w:bottom w:val="none" w:sz="0" w:space="0" w:color="auto"/>
            <w:right w:val="none" w:sz="0" w:space="0" w:color="auto"/>
          </w:divBdr>
        </w:div>
        <w:div w:id="1459453545">
          <w:marLeft w:val="0"/>
          <w:marRight w:val="0"/>
          <w:marTop w:val="0"/>
          <w:marBottom w:val="0"/>
          <w:divBdr>
            <w:top w:val="none" w:sz="0" w:space="0" w:color="auto"/>
            <w:left w:val="none" w:sz="0" w:space="0" w:color="auto"/>
            <w:bottom w:val="none" w:sz="0" w:space="0" w:color="auto"/>
            <w:right w:val="none" w:sz="0" w:space="0" w:color="auto"/>
          </w:divBdr>
        </w:div>
        <w:div w:id="733546455">
          <w:marLeft w:val="0"/>
          <w:marRight w:val="0"/>
          <w:marTop w:val="0"/>
          <w:marBottom w:val="0"/>
          <w:divBdr>
            <w:top w:val="none" w:sz="0" w:space="0" w:color="auto"/>
            <w:left w:val="none" w:sz="0" w:space="0" w:color="auto"/>
            <w:bottom w:val="none" w:sz="0" w:space="0" w:color="auto"/>
            <w:right w:val="none" w:sz="0" w:space="0" w:color="auto"/>
          </w:divBdr>
        </w:div>
        <w:div w:id="1473988100">
          <w:marLeft w:val="0"/>
          <w:marRight w:val="0"/>
          <w:marTop w:val="0"/>
          <w:marBottom w:val="0"/>
          <w:divBdr>
            <w:top w:val="none" w:sz="0" w:space="0" w:color="auto"/>
            <w:left w:val="none" w:sz="0" w:space="0" w:color="auto"/>
            <w:bottom w:val="none" w:sz="0" w:space="0" w:color="auto"/>
            <w:right w:val="none" w:sz="0" w:space="0" w:color="auto"/>
          </w:divBdr>
        </w:div>
        <w:div w:id="875239833">
          <w:marLeft w:val="0"/>
          <w:marRight w:val="0"/>
          <w:marTop w:val="0"/>
          <w:marBottom w:val="0"/>
          <w:divBdr>
            <w:top w:val="none" w:sz="0" w:space="0" w:color="auto"/>
            <w:left w:val="none" w:sz="0" w:space="0" w:color="auto"/>
            <w:bottom w:val="none" w:sz="0" w:space="0" w:color="auto"/>
            <w:right w:val="none" w:sz="0" w:space="0" w:color="auto"/>
          </w:divBdr>
        </w:div>
        <w:div w:id="623117609">
          <w:marLeft w:val="0"/>
          <w:marRight w:val="0"/>
          <w:marTop w:val="0"/>
          <w:marBottom w:val="0"/>
          <w:divBdr>
            <w:top w:val="none" w:sz="0" w:space="0" w:color="auto"/>
            <w:left w:val="none" w:sz="0" w:space="0" w:color="auto"/>
            <w:bottom w:val="none" w:sz="0" w:space="0" w:color="auto"/>
            <w:right w:val="none" w:sz="0" w:space="0" w:color="auto"/>
          </w:divBdr>
        </w:div>
        <w:div w:id="2092971119">
          <w:marLeft w:val="0"/>
          <w:marRight w:val="0"/>
          <w:marTop w:val="0"/>
          <w:marBottom w:val="0"/>
          <w:divBdr>
            <w:top w:val="none" w:sz="0" w:space="0" w:color="auto"/>
            <w:left w:val="none" w:sz="0" w:space="0" w:color="auto"/>
            <w:bottom w:val="none" w:sz="0" w:space="0" w:color="auto"/>
            <w:right w:val="none" w:sz="0" w:space="0" w:color="auto"/>
          </w:divBdr>
        </w:div>
        <w:div w:id="341668152">
          <w:marLeft w:val="0"/>
          <w:marRight w:val="0"/>
          <w:marTop w:val="0"/>
          <w:marBottom w:val="0"/>
          <w:divBdr>
            <w:top w:val="none" w:sz="0" w:space="0" w:color="auto"/>
            <w:left w:val="none" w:sz="0" w:space="0" w:color="auto"/>
            <w:bottom w:val="none" w:sz="0" w:space="0" w:color="auto"/>
            <w:right w:val="none" w:sz="0" w:space="0" w:color="auto"/>
          </w:divBdr>
        </w:div>
        <w:div w:id="758988919">
          <w:marLeft w:val="0"/>
          <w:marRight w:val="0"/>
          <w:marTop w:val="0"/>
          <w:marBottom w:val="0"/>
          <w:divBdr>
            <w:top w:val="none" w:sz="0" w:space="0" w:color="auto"/>
            <w:left w:val="none" w:sz="0" w:space="0" w:color="auto"/>
            <w:bottom w:val="none" w:sz="0" w:space="0" w:color="auto"/>
            <w:right w:val="none" w:sz="0" w:space="0" w:color="auto"/>
          </w:divBdr>
        </w:div>
      </w:divsChild>
    </w:div>
    <w:div w:id="773288841">
      <w:bodyDiv w:val="1"/>
      <w:marLeft w:val="0"/>
      <w:marRight w:val="0"/>
      <w:marTop w:val="0"/>
      <w:marBottom w:val="0"/>
      <w:divBdr>
        <w:top w:val="none" w:sz="0" w:space="0" w:color="auto"/>
        <w:left w:val="none" w:sz="0" w:space="0" w:color="auto"/>
        <w:bottom w:val="none" w:sz="0" w:space="0" w:color="auto"/>
        <w:right w:val="none" w:sz="0" w:space="0" w:color="auto"/>
      </w:divBdr>
      <w:divsChild>
        <w:div w:id="880172049">
          <w:marLeft w:val="0"/>
          <w:marRight w:val="0"/>
          <w:marTop w:val="0"/>
          <w:marBottom w:val="0"/>
          <w:divBdr>
            <w:top w:val="none" w:sz="0" w:space="0" w:color="auto"/>
            <w:left w:val="none" w:sz="0" w:space="0" w:color="auto"/>
            <w:bottom w:val="none" w:sz="0" w:space="0" w:color="auto"/>
            <w:right w:val="none" w:sz="0" w:space="0" w:color="auto"/>
          </w:divBdr>
        </w:div>
        <w:div w:id="646205718">
          <w:marLeft w:val="0"/>
          <w:marRight w:val="0"/>
          <w:marTop w:val="0"/>
          <w:marBottom w:val="0"/>
          <w:divBdr>
            <w:top w:val="none" w:sz="0" w:space="0" w:color="auto"/>
            <w:left w:val="none" w:sz="0" w:space="0" w:color="auto"/>
            <w:bottom w:val="none" w:sz="0" w:space="0" w:color="auto"/>
            <w:right w:val="none" w:sz="0" w:space="0" w:color="auto"/>
          </w:divBdr>
        </w:div>
        <w:div w:id="1300304251">
          <w:marLeft w:val="0"/>
          <w:marRight w:val="0"/>
          <w:marTop w:val="0"/>
          <w:marBottom w:val="0"/>
          <w:divBdr>
            <w:top w:val="none" w:sz="0" w:space="0" w:color="auto"/>
            <w:left w:val="none" w:sz="0" w:space="0" w:color="auto"/>
            <w:bottom w:val="none" w:sz="0" w:space="0" w:color="auto"/>
            <w:right w:val="none" w:sz="0" w:space="0" w:color="auto"/>
          </w:divBdr>
        </w:div>
        <w:div w:id="582953361">
          <w:marLeft w:val="0"/>
          <w:marRight w:val="0"/>
          <w:marTop w:val="0"/>
          <w:marBottom w:val="0"/>
          <w:divBdr>
            <w:top w:val="none" w:sz="0" w:space="0" w:color="auto"/>
            <w:left w:val="none" w:sz="0" w:space="0" w:color="auto"/>
            <w:bottom w:val="none" w:sz="0" w:space="0" w:color="auto"/>
            <w:right w:val="none" w:sz="0" w:space="0" w:color="auto"/>
          </w:divBdr>
        </w:div>
        <w:div w:id="795635465">
          <w:marLeft w:val="0"/>
          <w:marRight w:val="0"/>
          <w:marTop w:val="0"/>
          <w:marBottom w:val="0"/>
          <w:divBdr>
            <w:top w:val="none" w:sz="0" w:space="0" w:color="auto"/>
            <w:left w:val="none" w:sz="0" w:space="0" w:color="auto"/>
            <w:bottom w:val="none" w:sz="0" w:space="0" w:color="auto"/>
            <w:right w:val="none" w:sz="0" w:space="0" w:color="auto"/>
          </w:divBdr>
        </w:div>
        <w:div w:id="1659652695">
          <w:marLeft w:val="0"/>
          <w:marRight w:val="0"/>
          <w:marTop w:val="0"/>
          <w:marBottom w:val="0"/>
          <w:divBdr>
            <w:top w:val="none" w:sz="0" w:space="0" w:color="auto"/>
            <w:left w:val="none" w:sz="0" w:space="0" w:color="auto"/>
            <w:bottom w:val="none" w:sz="0" w:space="0" w:color="auto"/>
            <w:right w:val="none" w:sz="0" w:space="0" w:color="auto"/>
          </w:divBdr>
        </w:div>
        <w:div w:id="19087508">
          <w:marLeft w:val="0"/>
          <w:marRight w:val="0"/>
          <w:marTop w:val="0"/>
          <w:marBottom w:val="0"/>
          <w:divBdr>
            <w:top w:val="none" w:sz="0" w:space="0" w:color="auto"/>
            <w:left w:val="none" w:sz="0" w:space="0" w:color="auto"/>
            <w:bottom w:val="none" w:sz="0" w:space="0" w:color="auto"/>
            <w:right w:val="none" w:sz="0" w:space="0" w:color="auto"/>
          </w:divBdr>
        </w:div>
        <w:div w:id="230122668">
          <w:marLeft w:val="0"/>
          <w:marRight w:val="0"/>
          <w:marTop w:val="0"/>
          <w:marBottom w:val="0"/>
          <w:divBdr>
            <w:top w:val="none" w:sz="0" w:space="0" w:color="auto"/>
            <w:left w:val="none" w:sz="0" w:space="0" w:color="auto"/>
            <w:bottom w:val="none" w:sz="0" w:space="0" w:color="auto"/>
            <w:right w:val="none" w:sz="0" w:space="0" w:color="auto"/>
          </w:divBdr>
        </w:div>
        <w:div w:id="1225407130">
          <w:marLeft w:val="0"/>
          <w:marRight w:val="0"/>
          <w:marTop w:val="0"/>
          <w:marBottom w:val="0"/>
          <w:divBdr>
            <w:top w:val="none" w:sz="0" w:space="0" w:color="auto"/>
            <w:left w:val="none" w:sz="0" w:space="0" w:color="auto"/>
            <w:bottom w:val="none" w:sz="0" w:space="0" w:color="auto"/>
            <w:right w:val="none" w:sz="0" w:space="0" w:color="auto"/>
          </w:divBdr>
        </w:div>
      </w:divsChild>
    </w:div>
    <w:div w:id="789668381">
      <w:bodyDiv w:val="1"/>
      <w:marLeft w:val="0"/>
      <w:marRight w:val="0"/>
      <w:marTop w:val="0"/>
      <w:marBottom w:val="0"/>
      <w:divBdr>
        <w:top w:val="none" w:sz="0" w:space="0" w:color="auto"/>
        <w:left w:val="none" w:sz="0" w:space="0" w:color="auto"/>
        <w:bottom w:val="none" w:sz="0" w:space="0" w:color="auto"/>
        <w:right w:val="none" w:sz="0" w:space="0" w:color="auto"/>
      </w:divBdr>
      <w:divsChild>
        <w:div w:id="1048264021">
          <w:marLeft w:val="0"/>
          <w:marRight w:val="0"/>
          <w:marTop w:val="0"/>
          <w:marBottom w:val="0"/>
          <w:divBdr>
            <w:top w:val="none" w:sz="0" w:space="0" w:color="auto"/>
            <w:left w:val="none" w:sz="0" w:space="0" w:color="auto"/>
            <w:bottom w:val="none" w:sz="0" w:space="0" w:color="auto"/>
            <w:right w:val="none" w:sz="0" w:space="0" w:color="auto"/>
          </w:divBdr>
        </w:div>
        <w:div w:id="2120181701">
          <w:marLeft w:val="0"/>
          <w:marRight w:val="0"/>
          <w:marTop w:val="0"/>
          <w:marBottom w:val="0"/>
          <w:divBdr>
            <w:top w:val="none" w:sz="0" w:space="0" w:color="auto"/>
            <w:left w:val="none" w:sz="0" w:space="0" w:color="auto"/>
            <w:bottom w:val="none" w:sz="0" w:space="0" w:color="auto"/>
            <w:right w:val="none" w:sz="0" w:space="0" w:color="auto"/>
          </w:divBdr>
        </w:div>
        <w:div w:id="308218585">
          <w:marLeft w:val="0"/>
          <w:marRight w:val="0"/>
          <w:marTop w:val="0"/>
          <w:marBottom w:val="0"/>
          <w:divBdr>
            <w:top w:val="none" w:sz="0" w:space="0" w:color="auto"/>
            <w:left w:val="none" w:sz="0" w:space="0" w:color="auto"/>
            <w:bottom w:val="none" w:sz="0" w:space="0" w:color="auto"/>
            <w:right w:val="none" w:sz="0" w:space="0" w:color="auto"/>
          </w:divBdr>
        </w:div>
      </w:divsChild>
    </w:div>
    <w:div w:id="801534470">
      <w:bodyDiv w:val="1"/>
      <w:marLeft w:val="0"/>
      <w:marRight w:val="0"/>
      <w:marTop w:val="0"/>
      <w:marBottom w:val="0"/>
      <w:divBdr>
        <w:top w:val="none" w:sz="0" w:space="0" w:color="auto"/>
        <w:left w:val="none" w:sz="0" w:space="0" w:color="auto"/>
        <w:bottom w:val="none" w:sz="0" w:space="0" w:color="auto"/>
        <w:right w:val="none" w:sz="0" w:space="0" w:color="auto"/>
      </w:divBdr>
      <w:divsChild>
        <w:div w:id="1721131050">
          <w:marLeft w:val="0"/>
          <w:marRight w:val="0"/>
          <w:marTop w:val="0"/>
          <w:marBottom w:val="0"/>
          <w:divBdr>
            <w:top w:val="none" w:sz="0" w:space="0" w:color="auto"/>
            <w:left w:val="none" w:sz="0" w:space="0" w:color="auto"/>
            <w:bottom w:val="none" w:sz="0" w:space="0" w:color="auto"/>
            <w:right w:val="none" w:sz="0" w:space="0" w:color="auto"/>
          </w:divBdr>
        </w:div>
        <w:div w:id="1120758831">
          <w:marLeft w:val="0"/>
          <w:marRight w:val="0"/>
          <w:marTop w:val="0"/>
          <w:marBottom w:val="0"/>
          <w:divBdr>
            <w:top w:val="none" w:sz="0" w:space="0" w:color="auto"/>
            <w:left w:val="none" w:sz="0" w:space="0" w:color="auto"/>
            <w:bottom w:val="none" w:sz="0" w:space="0" w:color="auto"/>
            <w:right w:val="none" w:sz="0" w:space="0" w:color="auto"/>
          </w:divBdr>
        </w:div>
        <w:div w:id="2001544690">
          <w:marLeft w:val="0"/>
          <w:marRight w:val="0"/>
          <w:marTop w:val="0"/>
          <w:marBottom w:val="0"/>
          <w:divBdr>
            <w:top w:val="none" w:sz="0" w:space="0" w:color="auto"/>
            <w:left w:val="none" w:sz="0" w:space="0" w:color="auto"/>
            <w:bottom w:val="none" w:sz="0" w:space="0" w:color="auto"/>
            <w:right w:val="none" w:sz="0" w:space="0" w:color="auto"/>
          </w:divBdr>
        </w:div>
        <w:div w:id="1323510048">
          <w:marLeft w:val="0"/>
          <w:marRight w:val="0"/>
          <w:marTop w:val="0"/>
          <w:marBottom w:val="0"/>
          <w:divBdr>
            <w:top w:val="none" w:sz="0" w:space="0" w:color="auto"/>
            <w:left w:val="none" w:sz="0" w:space="0" w:color="auto"/>
            <w:bottom w:val="none" w:sz="0" w:space="0" w:color="auto"/>
            <w:right w:val="none" w:sz="0" w:space="0" w:color="auto"/>
          </w:divBdr>
        </w:div>
        <w:div w:id="1376127152">
          <w:marLeft w:val="0"/>
          <w:marRight w:val="0"/>
          <w:marTop w:val="0"/>
          <w:marBottom w:val="0"/>
          <w:divBdr>
            <w:top w:val="none" w:sz="0" w:space="0" w:color="auto"/>
            <w:left w:val="none" w:sz="0" w:space="0" w:color="auto"/>
            <w:bottom w:val="none" w:sz="0" w:space="0" w:color="auto"/>
            <w:right w:val="none" w:sz="0" w:space="0" w:color="auto"/>
          </w:divBdr>
        </w:div>
        <w:div w:id="1245921675">
          <w:marLeft w:val="0"/>
          <w:marRight w:val="0"/>
          <w:marTop w:val="0"/>
          <w:marBottom w:val="0"/>
          <w:divBdr>
            <w:top w:val="none" w:sz="0" w:space="0" w:color="auto"/>
            <w:left w:val="none" w:sz="0" w:space="0" w:color="auto"/>
            <w:bottom w:val="none" w:sz="0" w:space="0" w:color="auto"/>
            <w:right w:val="none" w:sz="0" w:space="0" w:color="auto"/>
          </w:divBdr>
        </w:div>
        <w:div w:id="2066366608">
          <w:marLeft w:val="0"/>
          <w:marRight w:val="0"/>
          <w:marTop w:val="0"/>
          <w:marBottom w:val="0"/>
          <w:divBdr>
            <w:top w:val="none" w:sz="0" w:space="0" w:color="auto"/>
            <w:left w:val="none" w:sz="0" w:space="0" w:color="auto"/>
            <w:bottom w:val="none" w:sz="0" w:space="0" w:color="auto"/>
            <w:right w:val="none" w:sz="0" w:space="0" w:color="auto"/>
          </w:divBdr>
        </w:div>
        <w:div w:id="1930045864">
          <w:marLeft w:val="0"/>
          <w:marRight w:val="0"/>
          <w:marTop w:val="0"/>
          <w:marBottom w:val="0"/>
          <w:divBdr>
            <w:top w:val="none" w:sz="0" w:space="0" w:color="auto"/>
            <w:left w:val="none" w:sz="0" w:space="0" w:color="auto"/>
            <w:bottom w:val="none" w:sz="0" w:space="0" w:color="auto"/>
            <w:right w:val="none" w:sz="0" w:space="0" w:color="auto"/>
          </w:divBdr>
        </w:div>
        <w:div w:id="571740633">
          <w:marLeft w:val="0"/>
          <w:marRight w:val="0"/>
          <w:marTop w:val="0"/>
          <w:marBottom w:val="0"/>
          <w:divBdr>
            <w:top w:val="none" w:sz="0" w:space="0" w:color="auto"/>
            <w:left w:val="none" w:sz="0" w:space="0" w:color="auto"/>
            <w:bottom w:val="none" w:sz="0" w:space="0" w:color="auto"/>
            <w:right w:val="none" w:sz="0" w:space="0" w:color="auto"/>
          </w:divBdr>
        </w:div>
        <w:div w:id="912157454">
          <w:marLeft w:val="0"/>
          <w:marRight w:val="0"/>
          <w:marTop w:val="0"/>
          <w:marBottom w:val="0"/>
          <w:divBdr>
            <w:top w:val="none" w:sz="0" w:space="0" w:color="auto"/>
            <w:left w:val="none" w:sz="0" w:space="0" w:color="auto"/>
            <w:bottom w:val="none" w:sz="0" w:space="0" w:color="auto"/>
            <w:right w:val="none" w:sz="0" w:space="0" w:color="auto"/>
          </w:divBdr>
        </w:div>
      </w:divsChild>
    </w:div>
    <w:div w:id="811407472">
      <w:bodyDiv w:val="1"/>
      <w:marLeft w:val="0"/>
      <w:marRight w:val="0"/>
      <w:marTop w:val="0"/>
      <w:marBottom w:val="0"/>
      <w:divBdr>
        <w:top w:val="none" w:sz="0" w:space="0" w:color="auto"/>
        <w:left w:val="none" w:sz="0" w:space="0" w:color="auto"/>
        <w:bottom w:val="none" w:sz="0" w:space="0" w:color="auto"/>
        <w:right w:val="none" w:sz="0" w:space="0" w:color="auto"/>
      </w:divBdr>
      <w:divsChild>
        <w:div w:id="1411584817">
          <w:marLeft w:val="0"/>
          <w:marRight w:val="0"/>
          <w:marTop w:val="0"/>
          <w:marBottom w:val="0"/>
          <w:divBdr>
            <w:top w:val="none" w:sz="0" w:space="0" w:color="auto"/>
            <w:left w:val="none" w:sz="0" w:space="0" w:color="auto"/>
            <w:bottom w:val="none" w:sz="0" w:space="0" w:color="auto"/>
            <w:right w:val="none" w:sz="0" w:space="0" w:color="auto"/>
          </w:divBdr>
        </w:div>
        <w:div w:id="1246453927">
          <w:marLeft w:val="0"/>
          <w:marRight w:val="0"/>
          <w:marTop w:val="0"/>
          <w:marBottom w:val="0"/>
          <w:divBdr>
            <w:top w:val="none" w:sz="0" w:space="0" w:color="auto"/>
            <w:left w:val="none" w:sz="0" w:space="0" w:color="auto"/>
            <w:bottom w:val="none" w:sz="0" w:space="0" w:color="auto"/>
            <w:right w:val="none" w:sz="0" w:space="0" w:color="auto"/>
          </w:divBdr>
        </w:div>
        <w:div w:id="2032488023">
          <w:marLeft w:val="0"/>
          <w:marRight w:val="0"/>
          <w:marTop w:val="0"/>
          <w:marBottom w:val="0"/>
          <w:divBdr>
            <w:top w:val="none" w:sz="0" w:space="0" w:color="auto"/>
            <w:left w:val="none" w:sz="0" w:space="0" w:color="auto"/>
            <w:bottom w:val="none" w:sz="0" w:space="0" w:color="auto"/>
            <w:right w:val="none" w:sz="0" w:space="0" w:color="auto"/>
          </w:divBdr>
        </w:div>
        <w:div w:id="1983728015">
          <w:marLeft w:val="0"/>
          <w:marRight w:val="0"/>
          <w:marTop w:val="0"/>
          <w:marBottom w:val="0"/>
          <w:divBdr>
            <w:top w:val="none" w:sz="0" w:space="0" w:color="auto"/>
            <w:left w:val="none" w:sz="0" w:space="0" w:color="auto"/>
            <w:bottom w:val="none" w:sz="0" w:space="0" w:color="auto"/>
            <w:right w:val="none" w:sz="0" w:space="0" w:color="auto"/>
          </w:divBdr>
        </w:div>
        <w:div w:id="375324973">
          <w:marLeft w:val="0"/>
          <w:marRight w:val="0"/>
          <w:marTop w:val="0"/>
          <w:marBottom w:val="0"/>
          <w:divBdr>
            <w:top w:val="none" w:sz="0" w:space="0" w:color="auto"/>
            <w:left w:val="none" w:sz="0" w:space="0" w:color="auto"/>
            <w:bottom w:val="none" w:sz="0" w:space="0" w:color="auto"/>
            <w:right w:val="none" w:sz="0" w:space="0" w:color="auto"/>
          </w:divBdr>
        </w:div>
      </w:divsChild>
    </w:div>
    <w:div w:id="816729409">
      <w:bodyDiv w:val="1"/>
      <w:marLeft w:val="0"/>
      <w:marRight w:val="0"/>
      <w:marTop w:val="0"/>
      <w:marBottom w:val="0"/>
      <w:divBdr>
        <w:top w:val="none" w:sz="0" w:space="0" w:color="auto"/>
        <w:left w:val="none" w:sz="0" w:space="0" w:color="auto"/>
        <w:bottom w:val="none" w:sz="0" w:space="0" w:color="auto"/>
        <w:right w:val="none" w:sz="0" w:space="0" w:color="auto"/>
      </w:divBdr>
      <w:divsChild>
        <w:div w:id="356008446">
          <w:marLeft w:val="0"/>
          <w:marRight w:val="0"/>
          <w:marTop w:val="0"/>
          <w:marBottom w:val="0"/>
          <w:divBdr>
            <w:top w:val="none" w:sz="0" w:space="0" w:color="auto"/>
            <w:left w:val="none" w:sz="0" w:space="0" w:color="auto"/>
            <w:bottom w:val="none" w:sz="0" w:space="0" w:color="auto"/>
            <w:right w:val="none" w:sz="0" w:space="0" w:color="auto"/>
          </w:divBdr>
        </w:div>
        <w:div w:id="952442883">
          <w:marLeft w:val="0"/>
          <w:marRight w:val="0"/>
          <w:marTop w:val="0"/>
          <w:marBottom w:val="0"/>
          <w:divBdr>
            <w:top w:val="none" w:sz="0" w:space="0" w:color="auto"/>
            <w:left w:val="none" w:sz="0" w:space="0" w:color="auto"/>
            <w:bottom w:val="none" w:sz="0" w:space="0" w:color="auto"/>
            <w:right w:val="none" w:sz="0" w:space="0" w:color="auto"/>
          </w:divBdr>
        </w:div>
        <w:div w:id="374354875">
          <w:marLeft w:val="0"/>
          <w:marRight w:val="0"/>
          <w:marTop w:val="0"/>
          <w:marBottom w:val="0"/>
          <w:divBdr>
            <w:top w:val="none" w:sz="0" w:space="0" w:color="auto"/>
            <w:left w:val="none" w:sz="0" w:space="0" w:color="auto"/>
            <w:bottom w:val="none" w:sz="0" w:space="0" w:color="auto"/>
            <w:right w:val="none" w:sz="0" w:space="0" w:color="auto"/>
          </w:divBdr>
        </w:div>
      </w:divsChild>
    </w:div>
    <w:div w:id="860313648">
      <w:bodyDiv w:val="1"/>
      <w:marLeft w:val="0"/>
      <w:marRight w:val="0"/>
      <w:marTop w:val="0"/>
      <w:marBottom w:val="0"/>
      <w:divBdr>
        <w:top w:val="none" w:sz="0" w:space="0" w:color="auto"/>
        <w:left w:val="none" w:sz="0" w:space="0" w:color="auto"/>
        <w:bottom w:val="none" w:sz="0" w:space="0" w:color="auto"/>
        <w:right w:val="none" w:sz="0" w:space="0" w:color="auto"/>
      </w:divBdr>
      <w:divsChild>
        <w:div w:id="395855578">
          <w:marLeft w:val="0"/>
          <w:marRight w:val="0"/>
          <w:marTop w:val="0"/>
          <w:marBottom w:val="0"/>
          <w:divBdr>
            <w:top w:val="none" w:sz="0" w:space="0" w:color="auto"/>
            <w:left w:val="none" w:sz="0" w:space="0" w:color="auto"/>
            <w:bottom w:val="none" w:sz="0" w:space="0" w:color="auto"/>
            <w:right w:val="none" w:sz="0" w:space="0" w:color="auto"/>
          </w:divBdr>
        </w:div>
        <w:div w:id="697897741">
          <w:marLeft w:val="0"/>
          <w:marRight w:val="0"/>
          <w:marTop w:val="0"/>
          <w:marBottom w:val="0"/>
          <w:divBdr>
            <w:top w:val="none" w:sz="0" w:space="0" w:color="auto"/>
            <w:left w:val="none" w:sz="0" w:space="0" w:color="auto"/>
            <w:bottom w:val="none" w:sz="0" w:space="0" w:color="auto"/>
            <w:right w:val="none" w:sz="0" w:space="0" w:color="auto"/>
          </w:divBdr>
        </w:div>
        <w:div w:id="1552183638">
          <w:marLeft w:val="0"/>
          <w:marRight w:val="0"/>
          <w:marTop w:val="0"/>
          <w:marBottom w:val="0"/>
          <w:divBdr>
            <w:top w:val="none" w:sz="0" w:space="0" w:color="auto"/>
            <w:left w:val="none" w:sz="0" w:space="0" w:color="auto"/>
            <w:bottom w:val="none" w:sz="0" w:space="0" w:color="auto"/>
            <w:right w:val="none" w:sz="0" w:space="0" w:color="auto"/>
          </w:divBdr>
        </w:div>
        <w:div w:id="591089752">
          <w:marLeft w:val="0"/>
          <w:marRight w:val="0"/>
          <w:marTop w:val="0"/>
          <w:marBottom w:val="0"/>
          <w:divBdr>
            <w:top w:val="none" w:sz="0" w:space="0" w:color="auto"/>
            <w:left w:val="none" w:sz="0" w:space="0" w:color="auto"/>
            <w:bottom w:val="none" w:sz="0" w:space="0" w:color="auto"/>
            <w:right w:val="none" w:sz="0" w:space="0" w:color="auto"/>
          </w:divBdr>
        </w:div>
        <w:div w:id="1424254013">
          <w:marLeft w:val="0"/>
          <w:marRight w:val="0"/>
          <w:marTop w:val="0"/>
          <w:marBottom w:val="0"/>
          <w:divBdr>
            <w:top w:val="none" w:sz="0" w:space="0" w:color="auto"/>
            <w:left w:val="none" w:sz="0" w:space="0" w:color="auto"/>
            <w:bottom w:val="none" w:sz="0" w:space="0" w:color="auto"/>
            <w:right w:val="none" w:sz="0" w:space="0" w:color="auto"/>
          </w:divBdr>
        </w:div>
        <w:div w:id="411439670">
          <w:marLeft w:val="0"/>
          <w:marRight w:val="0"/>
          <w:marTop w:val="0"/>
          <w:marBottom w:val="0"/>
          <w:divBdr>
            <w:top w:val="none" w:sz="0" w:space="0" w:color="auto"/>
            <w:left w:val="none" w:sz="0" w:space="0" w:color="auto"/>
            <w:bottom w:val="none" w:sz="0" w:space="0" w:color="auto"/>
            <w:right w:val="none" w:sz="0" w:space="0" w:color="auto"/>
          </w:divBdr>
        </w:div>
        <w:div w:id="839612947">
          <w:marLeft w:val="0"/>
          <w:marRight w:val="0"/>
          <w:marTop w:val="0"/>
          <w:marBottom w:val="0"/>
          <w:divBdr>
            <w:top w:val="none" w:sz="0" w:space="0" w:color="auto"/>
            <w:left w:val="none" w:sz="0" w:space="0" w:color="auto"/>
            <w:bottom w:val="none" w:sz="0" w:space="0" w:color="auto"/>
            <w:right w:val="none" w:sz="0" w:space="0" w:color="auto"/>
          </w:divBdr>
        </w:div>
        <w:div w:id="1668441616">
          <w:marLeft w:val="0"/>
          <w:marRight w:val="0"/>
          <w:marTop w:val="0"/>
          <w:marBottom w:val="0"/>
          <w:divBdr>
            <w:top w:val="none" w:sz="0" w:space="0" w:color="auto"/>
            <w:left w:val="none" w:sz="0" w:space="0" w:color="auto"/>
            <w:bottom w:val="none" w:sz="0" w:space="0" w:color="auto"/>
            <w:right w:val="none" w:sz="0" w:space="0" w:color="auto"/>
          </w:divBdr>
        </w:div>
        <w:div w:id="511188149">
          <w:marLeft w:val="0"/>
          <w:marRight w:val="0"/>
          <w:marTop w:val="0"/>
          <w:marBottom w:val="0"/>
          <w:divBdr>
            <w:top w:val="none" w:sz="0" w:space="0" w:color="auto"/>
            <w:left w:val="none" w:sz="0" w:space="0" w:color="auto"/>
            <w:bottom w:val="none" w:sz="0" w:space="0" w:color="auto"/>
            <w:right w:val="none" w:sz="0" w:space="0" w:color="auto"/>
          </w:divBdr>
        </w:div>
        <w:div w:id="1366950980">
          <w:marLeft w:val="0"/>
          <w:marRight w:val="0"/>
          <w:marTop w:val="0"/>
          <w:marBottom w:val="0"/>
          <w:divBdr>
            <w:top w:val="none" w:sz="0" w:space="0" w:color="auto"/>
            <w:left w:val="none" w:sz="0" w:space="0" w:color="auto"/>
            <w:bottom w:val="none" w:sz="0" w:space="0" w:color="auto"/>
            <w:right w:val="none" w:sz="0" w:space="0" w:color="auto"/>
          </w:divBdr>
        </w:div>
        <w:div w:id="804158973">
          <w:marLeft w:val="0"/>
          <w:marRight w:val="0"/>
          <w:marTop w:val="0"/>
          <w:marBottom w:val="0"/>
          <w:divBdr>
            <w:top w:val="none" w:sz="0" w:space="0" w:color="auto"/>
            <w:left w:val="none" w:sz="0" w:space="0" w:color="auto"/>
            <w:bottom w:val="none" w:sz="0" w:space="0" w:color="auto"/>
            <w:right w:val="none" w:sz="0" w:space="0" w:color="auto"/>
          </w:divBdr>
        </w:div>
        <w:div w:id="1882594971">
          <w:marLeft w:val="0"/>
          <w:marRight w:val="0"/>
          <w:marTop w:val="0"/>
          <w:marBottom w:val="0"/>
          <w:divBdr>
            <w:top w:val="none" w:sz="0" w:space="0" w:color="auto"/>
            <w:left w:val="none" w:sz="0" w:space="0" w:color="auto"/>
            <w:bottom w:val="none" w:sz="0" w:space="0" w:color="auto"/>
            <w:right w:val="none" w:sz="0" w:space="0" w:color="auto"/>
          </w:divBdr>
        </w:div>
        <w:div w:id="750004089">
          <w:marLeft w:val="0"/>
          <w:marRight w:val="0"/>
          <w:marTop w:val="0"/>
          <w:marBottom w:val="0"/>
          <w:divBdr>
            <w:top w:val="none" w:sz="0" w:space="0" w:color="auto"/>
            <w:left w:val="none" w:sz="0" w:space="0" w:color="auto"/>
            <w:bottom w:val="none" w:sz="0" w:space="0" w:color="auto"/>
            <w:right w:val="none" w:sz="0" w:space="0" w:color="auto"/>
          </w:divBdr>
        </w:div>
        <w:div w:id="1752043259">
          <w:marLeft w:val="0"/>
          <w:marRight w:val="0"/>
          <w:marTop w:val="0"/>
          <w:marBottom w:val="0"/>
          <w:divBdr>
            <w:top w:val="none" w:sz="0" w:space="0" w:color="auto"/>
            <w:left w:val="none" w:sz="0" w:space="0" w:color="auto"/>
            <w:bottom w:val="none" w:sz="0" w:space="0" w:color="auto"/>
            <w:right w:val="none" w:sz="0" w:space="0" w:color="auto"/>
          </w:divBdr>
        </w:div>
      </w:divsChild>
    </w:div>
    <w:div w:id="863978616">
      <w:bodyDiv w:val="1"/>
      <w:marLeft w:val="0"/>
      <w:marRight w:val="0"/>
      <w:marTop w:val="0"/>
      <w:marBottom w:val="0"/>
      <w:divBdr>
        <w:top w:val="none" w:sz="0" w:space="0" w:color="auto"/>
        <w:left w:val="none" w:sz="0" w:space="0" w:color="auto"/>
        <w:bottom w:val="none" w:sz="0" w:space="0" w:color="auto"/>
        <w:right w:val="none" w:sz="0" w:space="0" w:color="auto"/>
      </w:divBdr>
      <w:divsChild>
        <w:div w:id="263463771">
          <w:marLeft w:val="0"/>
          <w:marRight w:val="0"/>
          <w:marTop w:val="0"/>
          <w:marBottom w:val="0"/>
          <w:divBdr>
            <w:top w:val="none" w:sz="0" w:space="0" w:color="auto"/>
            <w:left w:val="none" w:sz="0" w:space="0" w:color="auto"/>
            <w:bottom w:val="none" w:sz="0" w:space="0" w:color="auto"/>
            <w:right w:val="none" w:sz="0" w:space="0" w:color="auto"/>
          </w:divBdr>
        </w:div>
        <w:div w:id="1546601192">
          <w:marLeft w:val="0"/>
          <w:marRight w:val="0"/>
          <w:marTop w:val="0"/>
          <w:marBottom w:val="0"/>
          <w:divBdr>
            <w:top w:val="none" w:sz="0" w:space="0" w:color="auto"/>
            <w:left w:val="none" w:sz="0" w:space="0" w:color="auto"/>
            <w:bottom w:val="none" w:sz="0" w:space="0" w:color="auto"/>
            <w:right w:val="none" w:sz="0" w:space="0" w:color="auto"/>
          </w:divBdr>
        </w:div>
        <w:div w:id="1575434428">
          <w:marLeft w:val="0"/>
          <w:marRight w:val="0"/>
          <w:marTop w:val="0"/>
          <w:marBottom w:val="0"/>
          <w:divBdr>
            <w:top w:val="none" w:sz="0" w:space="0" w:color="auto"/>
            <w:left w:val="none" w:sz="0" w:space="0" w:color="auto"/>
            <w:bottom w:val="none" w:sz="0" w:space="0" w:color="auto"/>
            <w:right w:val="none" w:sz="0" w:space="0" w:color="auto"/>
          </w:divBdr>
        </w:div>
        <w:div w:id="274561734">
          <w:marLeft w:val="0"/>
          <w:marRight w:val="0"/>
          <w:marTop w:val="0"/>
          <w:marBottom w:val="0"/>
          <w:divBdr>
            <w:top w:val="none" w:sz="0" w:space="0" w:color="auto"/>
            <w:left w:val="none" w:sz="0" w:space="0" w:color="auto"/>
            <w:bottom w:val="none" w:sz="0" w:space="0" w:color="auto"/>
            <w:right w:val="none" w:sz="0" w:space="0" w:color="auto"/>
          </w:divBdr>
        </w:div>
        <w:div w:id="881753022">
          <w:marLeft w:val="0"/>
          <w:marRight w:val="0"/>
          <w:marTop w:val="0"/>
          <w:marBottom w:val="0"/>
          <w:divBdr>
            <w:top w:val="none" w:sz="0" w:space="0" w:color="auto"/>
            <w:left w:val="none" w:sz="0" w:space="0" w:color="auto"/>
            <w:bottom w:val="none" w:sz="0" w:space="0" w:color="auto"/>
            <w:right w:val="none" w:sz="0" w:space="0" w:color="auto"/>
          </w:divBdr>
        </w:div>
        <w:div w:id="1638602756">
          <w:marLeft w:val="0"/>
          <w:marRight w:val="0"/>
          <w:marTop w:val="0"/>
          <w:marBottom w:val="0"/>
          <w:divBdr>
            <w:top w:val="none" w:sz="0" w:space="0" w:color="auto"/>
            <w:left w:val="none" w:sz="0" w:space="0" w:color="auto"/>
            <w:bottom w:val="none" w:sz="0" w:space="0" w:color="auto"/>
            <w:right w:val="none" w:sz="0" w:space="0" w:color="auto"/>
          </w:divBdr>
        </w:div>
        <w:div w:id="1376588005">
          <w:marLeft w:val="0"/>
          <w:marRight w:val="0"/>
          <w:marTop w:val="0"/>
          <w:marBottom w:val="0"/>
          <w:divBdr>
            <w:top w:val="none" w:sz="0" w:space="0" w:color="auto"/>
            <w:left w:val="none" w:sz="0" w:space="0" w:color="auto"/>
            <w:bottom w:val="none" w:sz="0" w:space="0" w:color="auto"/>
            <w:right w:val="none" w:sz="0" w:space="0" w:color="auto"/>
          </w:divBdr>
        </w:div>
        <w:div w:id="1080327089">
          <w:marLeft w:val="0"/>
          <w:marRight w:val="0"/>
          <w:marTop w:val="0"/>
          <w:marBottom w:val="0"/>
          <w:divBdr>
            <w:top w:val="none" w:sz="0" w:space="0" w:color="auto"/>
            <w:left w:val="none" w:sz="0" w:space="0" w:color="auto"/>
            <w:bottom w:val="none" w:sz="0" w:space="0" w:color="auto"/>
            <w:right w:val="none" w:sz="0" w:space="0" w:color="auto"/>
          </w:divBdr>
        </w:div>
        <w:div w:id="1571387182">
          <w:marLeft w:val="0"/>
          <w:marRight w:val="0"/>
          <w:marTop w:val="0"/>
          <w:marBottom w:val="0"/>
          <w:divBdr>
            <w:top w:val="none" w:sz="0" w:space="0" w:color="auto"/>
            <w:left w:val="none" w:sz="0" w:space="0" w:color="auto"/>
            <w:bottom w:val="none" w:sz="0" w:space="0" w:color="auto"/>
            <w:right w:val="none" w:sz="0" w:space="0" w:color="auto"/>
          </w:divBdr>
        </w:div>
        <w:div w:id="1246384214">
          <w:marLeft w:val="0"/>
          <w:marRight w:val="0"/>
          <w:marTop w:val="0"/>
          <w:marBottom w:val="0"/>
          <w:divBdr>
            <w:top w:val="none" w:sz="0" w:space="0" w:color="auto"/>
            <w:left w:val="none" w:sz="0" w:space="0" w:color="auto"/>
            <w:bottom w:val="none" w:sz="0" w:space="0" w:color="auto"/>
            <w:right w:val="none" w:sz="0" w:space="0" w:color="auto"/>
          </w:divBdr>
        </w:div>
        <w:div w:id="39983878">
          <w:marLeft w:val="0"/>
          <w:marRight w:val="0"/>
          <w:marTop w:val="0"/>
          <w:marBottom w:val="0"/>
          <w:divBdr>
            <w:top w:val="none" w:sz="0" w:space="0" w:color="auto"/>
            <w:left w:val="none" w:sz="0" w:space="0" w:color="auto"/>
            <w:bottom w:val="none" w:sz="0" w:space="0" w:color="auto"/>
            <w:right w:val="none" w:sz="0" w:space="0" w:color="auto"/>
          </w:divBdr>
        </w:div>
        <w:div w:id="889808797">
          <w:marLeft w:val="0"/>
          <w:marRight w:val="0"/>
          <w:marTop w:val="0"/>
          <w:marBottom w:val="0"/>
          <w:divBdr>
            <w:top w:val="none" w:sz="0" w:space="0" w:color="auto"/>
            <w:left w:val="none" w:sz="0" w:space="0" w:color="auto"/>
            <w:bottom w:val="none" w:sz="0" w:space="0" w:color="auto"/>
            <w:right w:val="none" w:sz="0" w:space="0" w:color="auto"/>
          </w:divBdr>
        </w:div>
        <w:div w:id="666401151">
          <w:marLeft w:val="0"/>
          <w:marRight w:val="0"/>
          <w:marTop w:val="0"/>
          <w:marBottom w:val="0"/>
          <w:divBdr>
            <w:top w:val="none" w:sz="0" w:space="0" w:color="auto"/>
            <w:left w:val="none" w:sz="0" w:space="0" w:color="auto"/>
            <w:bottom w:val="none" w:sz="0" w:space="0" w:color="auto"/>
            <w:right w:val="none" w:sz="0" w:space="0" w:color="auto"/>
          </w:divBdr>
        </w:div>
        <w:div w:id="444425309">
          <w:marLeft w:val="0"/>
          <w:marRight w:val="0"/>
          <w:marTop w:val="0"/>
          <w:marBottom w:val="0"/>
          <w:divBdr>
            <w:top w:val="none" w:sz="0" w:space="0" w:color="auto"/>
            <w:left w:val="none" w:sz="0" w:space="0" w:color="auto"/>
            <w:bottom w:val="none" w:sz="0" w:space="0" w:color="auto"/>
            <w:right w:val="none" w:sz="0" w:space="0" w:color="auto"/>
          </w:divBdr>
        </w:div>
        <w:div w:id="1749692352">
          <w:marLeft w:val="0"/>
          <w:marRight w:val="0"/>
          <w:marTop w:val="0"/>
          <w:marBottom w:val="0"/>
          <w:divBdr>
            <w:top w:val="none" w:sz="0" w:space="0" w:color="auto"/>
            <w:left w:val="none" w:sz="0" w:space="0" w:color="auto"/>
            <w:bottom w:val="none" w:sz="0" w:space="0" w:color="auto"/>
            <w:right w:val="none" w:sz="0" w:space="0" w:color="auto"/>
          </w:divBdr>
        </w:div>
        <w:div w:id="1883518130">
          <w:marLeft w:val="0"/>
          <w:marRight w:val="0"/>
          <w:marTop w:val="0"/>
          <w:marBottom w:val="0"/>
          <w:divBdr>
            <w:top w:val="none" w:sz="0" w:space="0" w:color="auto"/>
            <w:left w:val="none" w:sz="0" w:space="0" w:color="auto"/>
            <w:bottom w:val="none" w:sz="0" w:space="0" w:color="auto"/>
            <w:right w:val="none" w:sz="0" w:space="0" w:color="auto"/>
          </w:divBdr>
        </w:div>
        <w:div w:id="380633508">
          <w:marLeft w:val="0"/>
          <w:marRight w:val="0"/>
          <w:marTop w:val="0"/>
          <w:marBottom w:val="0"/>
          <w:divBdr>
            <w:top w:val="none" w:sz="0" w:space="0" w:color="auto"/>
            <w:left w:val="none" w:sz="0" w:space="0" w:color="auto"/>
            <w:bottom w:val="none" w:sz="0" w:space="0" w:color="auto"/>
            <w:right w:val="none" w:sz="0" w:space="0" w:color="auto"/>
          </w:divBdr>
        </w:div>
        <w:div w:id="1863977676">
          <w:marLeft w:val="0"/>
          <w:marRight w:val="0"/>
          <w:marTop w:val="0"/>
          <w:marBottom w:val="0"/>
          <w:divBdr>
            <w:top w:val="none" w:sz="0" w:space="0" w:color="auto"/>
            <w:left w:val="none" w:sz="0" w:space="0" w:color="auto"/>
            <w:bottom w:val="none" w:sz="0" w:space="0" w:color="auto"/>
            <w:right w:val="none" w:sz="0" w:space="0" w:color="auto"/>
          </w:divBdr>
        </w:div>
        <w:div w:id="1211309682">
          <w:marLeft w:val="0"/>
          <w:marRight w:val="0"/>
          <w:marTop w:val="0"/>
          <w:marBottom w:val="0"/>
          <w:divBdr>
            <w:top w:val="none" w:sz="0" w:space="0" w:color="auto"/>
            <w:left w:val="none" w:sz="0" w:space="0" w:color="auto"/>
            <w:bottom w:val="none" w:sz="0" w:space="0" w:color="auto"/>
            <w:right w:val="none" w:sz="0" w:space="0" w:color="auto"/>
          </w:divBdr>
        </w:div>
        <w:div w:id="452795280">
          <w:marLeft w:val="0"/>
          <w:marRight w:val="0"/>
          <w:marTop w:val="0"/>
          <w:marBottom w:val="0"/>
          <w:divBdr>
            <w:top w:val="none" w:sz="0" w:space="0" w:color="auto"/>
            <w:left w:val="none" w:sz="0" w:space="0" w:color="auto"/>
            <w:bottom w:val="none" w:sz="0" w:space="0" w:color="auto"/>
            <w:right w:val="none" w:sz="0" w:space="0" w:color="auto"/>
          </w:divBdr>
        </w:div>
        <w:div w:id="1646080349">
          <w:marLeft w:val="0"/>
          <w:marRight w:val="0"/>
          <w:marTop w:val="0"/>
          <w:marBottom w:val="0"/>
          <w:divBdr>
            <w:top w:val="none" w:sz="0" w:space="0" w:color="auto"/>
            <w:left w:val="none" w:sz="0" w:space="0" w:color="auto"/>
            <w:bottom w:val="none" w:sz="0" w:space="0" w:color="auto"/>
            <w:right w:val="none" w:sz="0" w:space="0" w:color="auto"/>
          </w:divBdr>
        </w:div>
        <w:div w:id="1570964609">
          <w:marLeft w:val="0"/>
          <w:marRight w:val="0"/>
          <w:marTop w:val="0"/>
          <w:marBottom w:val="0"/>
          <w:divBdr>
            <w:top w:val="none" w:sz="0" w:space="0" w:color="auto"/>
            <w:left w:val="none" w:sz="0" w:space="0" w:color="auto"/>
            <w:bottom w:val="none" w:sz="0" w:space="0" w:color="auto"/>
            <w:right w:val="none" w:sz="0" w:space="0" w:color="auto"/>
          </w:divBdr>
        </w:div>
        <w:div w:id="1486124355">
          <w:marLeft w:val="0"/>
          <w:marRight w:val="0"/>
          <w:marTop w:val="0"/>
          <w:marBottom w:val="0"/>
          <w:divBdr>
            <w:top w:val="none" w:sz="0" w:space="0" w:color="auto"/>
            <w:left w:val="none" w:sz="0" w:space="0" w:color="auto"/>
            <w:bottom w:val="none" w:sz="0" w:space="0" w:color="auto"/>
            <w:right w:val="none" w:sz="0" w:space="0" w:color="auto"/>
          </w:divBdr>
        </w:div>
      </w:divsChild>
    </w:div>
    <w:div w:id="865488971">
      <w:bodyDiv w:val="1"/>
      <w:marLeft w:val="0"/>
      <w:marRight w:val="0"/>
      <w:marTop w:val="0"/>
      <w:marBottom w:val="0"/>
      <w:divBdr>
        <w:top w:val="none" w:sz="0" w:space="0" w:color="auto"/>
        <w:left w:val="none" w:sz="0" w:space="0" w:color="auto"/>
        <w:bottom w:val="none" w:sz="0" w:space="0" w:color="auto"/>
        <w:right w:val="none" w:sz="0" w:space="0" w:color="auto"/>
      </w:divBdr>
      <w:divsChild>
        <w:div w:id="1135756146">
          <w:marLeft w:val="0"/>
          <w:marRight w:val="0"/>
          <w:marTop w:val="0"/>
          <w:marBottom w:val="0"/>
          <w:divBdr>
            <w:top w:val="none" w:sz="0" w:space="0" w:color="auto"/>
            <w:left w:val="none" w:sz="0" w:space="0" w:color="auto"/>
            <w:bottom w:val="none" w:sz="0" w:space="0" w:color="auto"/>
            <w:right w:val="none" w:sz="0" w:space="0" w:color="auto"/>
          </w:divBdr>
        </w:div>
        <w:div w:id="2138638541">
          <w:marLeft w:val="0"/>
          <w:marRight w:val="0"/>
          <w:marTop w:val="0"/>
          <w:marBottom w:val="0"/>
          <w:divBdr>
            <w:top w:val="none" w:sz="0" w:space="0" w:color="auto"/>
            <w:left w:val="none" w:sz="0" w:space="0" w:color="auto"/>
            <w:bottom w:val="none" w:sz="0" w:space="0" w:color="auto"/>
            <w:right w:val="none" w:sz="0" w:space="0" w:color="auto"/>
          </w:divBdr>
        </w:div>
        <w:div w:id="943264645">
          <w:marLeft w:val="0"/>
          <w:marRight w:val="0"/>
          <w:marTop w:val="0"/>
          <w:marBottom w:val="0"/>
          <w:divBdr>
            <w:top w:val="none" w:sz="0" w:space="0" w:color="auto"/>
            <w:left w:val="none" w:sz="0" w:space="0" w:color="auto"/>
            <w:bottom w:val="none" w:sz="0" w:space="0" w:color="auto"/>
            <w:right w:val="none" w:sz="0" w:space="0" w:color="auto"/>
          </w:divBdr>
        </w:div>
        <w:div w:id="1627657308">
          <w:marLeft w:val="0"/>
          <w:marRight w:val="0"/>
          <w:marTop w:val="0"/>
          <w:marBottom w:val="0"/>
          <w:divBdr>
            <w:top w:val="none" w:sz="0" w:space="0" w:color="auto"/>
            <w:left w:val="none" w:sz="0" w:space="0" w:color="auto"/>
            <w:bottom w:val="none" w:sz="0" w:space="0" w:color="auto"/>
            <w:right w:val="none" w:sz="0" w:space="0" w:color="auto"/>
          </w:divBdr>
        </w:div>
        <w:div w:id="329137572">
          <w:marLeft w:val="0"/>
          <w:marRight w:val="0"/>
          <w:marTop w:val="0"/>
          <w:marBottom w:val="0"/>
          <w:divBdr>
            <w:top w:val="none" w:sz="0" w:space="0" w:color="auto"/>
            <w:left w:val="none" w:sz="0" w:space="0" w:color="auto"/>
            <w:bottom w:val="none" w:sz="0" w:space="0" w:color="auto"/>
            <w:right w:val="none" w:sz="0" w:space="0" w:color="auto"/>
          </w:divBdr>
        </w:div>
        <w:div w:id="1510875914">
          <w:marLeft w:val="0"/>
          <w:marRight w:val="0"/>
          <w:marTop w:val="0"/>
          <w:marBottom w:val="0"/>
          <w:divBdr>
            <w:top w:val="none" w:sz="0" w:space="0" w:color="auto"/>
            <w:left w:val="none" w:sz="0" w:space="0" w:color="auto"/>
            <w:bottom w:val="none" w:sz="0" w:space="0" w:color="auto"/>
            <w:right w:val="none" w:sz="0" w:space="0" w:color="auto"/>
          </w:divBdr>
        </w:div>
        <w:div w:id="1228614716">
          <w:marLeft w:val="0"/>
          <w:marRight w:val="0"/>
          <w:marTop w:val="0"/>
          <w:marBottom w:val="0"/>
          <w:divBdr>
            <w:top w:val="none" w:sz="0" w:space="0" w:color="auto"/>
            <w:left w:val="none" w:sz="0" w:space="0" w:color="auto"/>
            <w:bottom w:val="none" w:sz="0" w:space="0" w:color="auto"/>
            <w:right w:val="none" w:sz="0" w:space="0" w:color="auto"/>
          </w:divBdr>
        </w:div>
        <w:div w:id="216859872">
          <w:marLeft w:val="0"/>
          <w:marRight w:val="0"/>
          <w:marTop w:val="0"/>
          <w:marBottom w:val="0"/>
          <w:divBdr>
            <w:top w:val="none" w:sz="0" w:space="0" w:color="auto"/>
            <w:left w:val="none" w:sz="0" w:space="0" w:color="auto"/>
            <w:bottom w:val="none" w:sz="0" w:space="0" w:color="auto"/>
            <w:right w:val="none" w:sz="0" w:space="0" w:color="auto"/>
          </w:divBdr>
        </w:div>
        <w:div w:id="379129439">
          <w:marLeft w:val="0"/>
          <w:marRight w:val="0"/>
          <w:marTop w:val="0"/>
          <w:marBottom w:val="0"/>
          <w:divBdr>
            <w:top w:val="none" w:sz="0" w:space="0" w:color="auto"/>
            <w:left w:val="none" w:sz="0" w:space="0" w:color="auto"/>
            <w:bottom w:val="none" w:sz="0" w:space="0" w:color="auto"/>
            <w:right w:val="none" w:sz="0" w:space="0" w:color="auto"/>
          </w:divBdr>
        </w:div>
        <w:div w:id="1753773331">
          <w:marLeft w:val="0"/>
          <w:marRight w:val="0"/>
          <w:marTop w:val="0"/>
          <w:marBottom w:val="0"/>
          <w:divBdr>
            <w:top w:val="none" w:sz="0" w:space="0" w:color="auto"/>
            <w:left w:val="none" w:sz="0" w:space="0" w:color="auto"/>
            <w:bottom w:val="none" w:sz="0" w:space="0" w:color="auto"/>
            <w:right w:val="none" w:sz="0" w:space="0" w:color="auto"/>
          </w:divBdr>
        </w:div>
        <w:div w:id="2127774970">
          <w:marLeft w:val="0"/>
          <w:marRight w:val="0"/>
          <w:marTop w:val="0"/>
          <w:marBottom w:val="0"/>
          <w:divBdr>
            <w:top w:val="none" w:sz="0" w:space="0" w:color="auto"/>
            <w:left w:val="none" w:sz="0" w:space="0" w:color="auto"/>
            <w:bottom w:val="none" w:sz="0" w:space="0" w:color="auto"/>
            <w:right w:val="none" w:sz="0" w:space="0" w:color="auto"/>
          </w:divBdr>
        </w:div>
        <w:div w:id="1433667793">
          <w:marLeft w:val="0"/>
          <w:marRight w:val="0"/>
          <w:marTop w:val="0"/>
          <w:marBottom w:val="0"/>
          <w:divBdr>
            <w:top w:val="none" w:sz="0" w:space="0" w:color="auto"/>
            <w:left w:val="none" w:sz="0" w:space="0" w:color="auto"/>
            <w:bottom w:val="none" w:sz="0" w:space="0" w:color="auto"/>
            <w:right w:val="none" w:sz="0" w:space="0" w:color="auto"/>
          </w:divBdr>
        </w:div>
        <w:div w:id="910699466">
          <w:marLeft w:val="0"/>
          <w:marRight w:val="0"/>
          <w:marTop w:val="0"/>
          <w:marBottom w:val="0"/>
          <w:divBdr>
            <w:top w:val="none" w:sz="0" w:space="0" w:color="auto"/>
            <w:left w:val="none" w:sz="0" w:space="0" w:color="auto"/>
            <w:bottom w:val="none" w:sz="0" w:space="0" w:color="auto"/>
            <w:right w:val="none" w:sz="0" w:space="0" w:color="auto"/>
          </w:divBdr>
        </w:div>
        <w:div w:id="2078893525">
          <w:marLeft w:val="0"/>
          <w:marRight w:val="0"/>
          <w:marTop w:val="0"/>
          <w:marBottom w:val="0"/>
          <w:divBdr>
            <w:top w:val="none" w:sz="0" w:space="0" w:color="auto"/>
            <w:left w:val="none" w:sz="0" w:space="0" w:color="auto"/>
            <w:bottom w:val="none" w:sz="0" w:space="0" w:color="auto"/>
            <w:right w:val="none" w:sz="0" w:space="0" w:color="auto"/>
          </w:divBdr>
        </w:div>
        <w:div w:id="1090807077">
          <w:marLeft w:val="0"/>
          <w:marRight w:val="0"/>
          <w:marTop w:val="0"/>
          <w:marBottom w:val="0"/>
          <w:divBdr>
            <w:top w:val="none" w:sz="0" w:space="0" w:color="auto"/>
            <w:left w:val="none" w:sz="0" w:space="0" w:color="auto"/>
            <w:bottom w:val="none" w:sz="0" w:space="0" w:color="auto"/>
            <w:right w:val="none" w:sz="0" w:space="0" w:color="auto"/>
          </w:divBdr>
        </w:div>
        <w:div w:id="1877543910">
          <w:marLeft w:val="0"/>
          <w:marRight w:val="0"/>
          <w:marTop w:val="0"/>
          <w:marBottom w:val="0"/>
          <w:divBdr>
            <w:top w:val="none" w:sz="0" w:space="0" w:color="auto"/>
            <w:left w:val="none" w:sz="0" w:space="0" w:color="auto"/>
            <w:bottom w:val="none" w:sz="0" w:space="0" w:color="auto"/>
            <w:right w:val="none" w:sz="0" w:space="0" w:color="auto"/>
          </w:divBdr>
        </w:div>
        <w:div w:id="2032562555">
          <w:marLeft w:val="0"/>
          <w:marRight w:val="0"/>
          <w:marTop w:val="0"/>
          <w:marBottom w:val="0"/>
          <w:divBdr>
            <w:top w:val="none" w:sz="0" w:space="0" w:color="auto"/>
            <w:left w:val="none" w:sz="0" w:space="0" w:color="auto"/>
            <w:bottom w:val="none" w:sz="0" w:space="0" w:color="auto"/>
            <w:right w:val="none" w:sz="0" w:space="0" w:color="auto"/>
          </w:divBdr>
        </w:div>
        <w:div w:id="334310823">
          <w:marLeft w:val="0"/>
          <w:marRight w:val="0"/>
          <w:marTop w:val="0"/>
          <w:marBottom w:val="0"/>
          <w:divBdr>
            <w:top w:val="none" w:sz="0" w:space="0" w:color="auto"/>
            <w:left w:val="none" w:sz="0" w:space="0" w:color="auto"/>
            <w:bottom w:val="none" w:sz="0" w:space="0" w:color="auto"/>
            <w:right w:val="none" w:sz="0" w:space="0" w:color="auto"/>
          </w:divBdr>
        </w:div>
        <w:div w:id="121533140">
          <w:marLeft w:val="0"/>
          <w:marRight w:val="0"/>
          <w:marTop w:val="0"/>
          <w:marBottom w:val="0"/>
          <w:divBdr>
            <w:top w:val="none" w:sz="0" w:space="0" w:color="auto"/>
            <w:left w:val="none" w:sz="0" w:space="0" w:color="auto"/>
            <w:bottom w:val="none" w:sz="0" w:space="0" w:color="auto"/>
            <w:right w:val="none" w:sz="0" w:space="0" w:color="auto"/>
          </w:divBdr>
        </w:div>
        <w:div w:id="1625772046">
          <w:marLeft w:val="0"/>
          <w:marRight w:val="0"/>
          <w:marTop w:val="0"/>
          <w:marBottom w:val="0"/>
          <w:divBdr>
            <w:top w:val="none" w:sz="0" w:space="0" w:color="auto"/>
            <w:left w:val="none" w:sz="0" w:space="0" w:color="auto"/>
            <w:bottom w:val="none" w:sz="0" w:space="0" w:color="auto"/>
            <w:right w:val="none" w:sz="0" w:space="0" w:color="auto"/>
          </w:divBdr>
        </w:div>
        <w:div w:id="1362441301">
          <w:marLeft w:val="0"/>
          <w:marRight w:val="0"/>
          <w:marTop w:val="0"/>
          <w:marBottom w:val="0"/>
          <w:divBdr>
            <w:top w:val="none" w:sz="0" w:space="0" w:color="auto"/>
            <w:left w:val="none" w:sz="0" w:space="0" w:color="auto"/>
            <w:bottom w:val="none" w:sz="0" w:space="0" w:color="auto"/>
            <w:right w:val="none" w:sz="0" w:space="0" w:color="auto"/>
          </w:divBdr>
        </w:div>
        <w:div w:id="942297636">
          <w:marLeft w:val="0"/>
          <w:marRight w:val="0"/>
          <w:marTop w:val="0"/>
          <w:marBottom w:val="0"/>
          <w:divBdr>
            <w:top w:val="none" w:sz="0" w:space="0" w:color="auto"/>
            <w:left w:val="none" w:sz="0" w:space="0" w:color="auto"/>
            <w:bottom w:val="none" w:sz="0" w:space="0" w:color="auto"/>
            <w:right w:val="none" w:sz="0" w:space="0" w:color="auto"/>
          </w:divBdr>
        </w:div>
        <w:div w:id="1536500377">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635864703">
          <w:marLeft w:val="0"/>
          <w:marRight w:val="0"/>
          <w:marTop w:val="0"/>
          <w:marBottom w:val="0"/>
          <w:divBdr>
            <w:top w:val="none" w:sz="0" w:space="0" w:color="auto"/>
            <w:left w:val="none" w:sz="0" w:space="0" w:color="auto"/>
            <w:bottom w:val="none" w:sz="0" w:space="0" w:color="auto"/>
            <w:right w:val="none" w:sz="0" w:space="0" w:color="auto"/>
          </w:divBdr>
        </w:div>
        <w:div w:id="833880473">
          <w:marLeft w:val="0"/>
          <w:marRight w:val="0"/>
          <w:marTop w:val="0"/>
          <w:marBottom w:val="0"/>
          <w:divBdr>
            <w:top w:val="none" w:sz="0" w:space="0" w:color="auto"/>
            <w:left w:val="none" w:sz="0" w:space="0" w:color="auto"/>
            <w:bottom w:val="none" w:sz="0" w:space="0" w:color="auto"/>
            <w:right w:val="none" w:sz="0" w:space="0" w:color="auto"/>
          </w:divBdr>
        </w:div>
        <w:div w:id="1653174512">
          <w:marLeft w:val="0"/>
          <w:marRight w:val="0"/>
          <w:marTop w:val="0"/>
          <w:marBottom w:val="0"/>
          <w:divBdr>
            <w:top w:val="none" w:sz="0" w:space="0" w:color="auto"/>
            <w:left w:val="none" w:sz="0" w:space="0" w:color="auto"/>
            <w:bottom w:val="none" w:sz="0" w:space="0" w:color="auto"/>
            <w:right w:val="none" w:sz="0" w:space="0" w:color="auto"/>
          </w:divBdr>
        </w:div>
        <w:div w:id="1502117070">
          <w:marLeft w:val="0"/>
          <w:marRight w:val="0"/>
          <w:marTop w:val="0"/>
          <w:marBottom w:val="0"/>
          <w:divBdr>
            <w:top w:val="none" w:sz="0" w:space="0" w:color="auto"/>
            <w:left w:val="none" w:sz="0" w:space="0" w:color="auto"/>
            <w:bottom w:val="none" w:sz="0" w:space="0" w:color="auto"/>
            <w:right w:val="none" w:sz="0" w:space="0" w:color="auto"/>
          </w:divBdr>
        </w:div>
        <w:div w:id="615405968">
          <w:marLeft w:val="0"/>
          <w:marRight w:val="0"/>
          <w:marTop w:val="0"/>
          <w:marBottom w:val="0"/>
          <w:divBdr>
            <w:top w:val="none" w:sz="0" w:space="0" w:color="auto"/>
            <w:left w:val="none" w:sz="0" w:space="0" w:color="auto"/>
            <w:bottom w:val="none" w:sz="0" w:space="0" w:color="auto"/>
            <w:right w:val="none" w:sz="0" w:space="0" w:color="auto"/>
          </w:divBdr>
        </w:div>
        <w:div w:id="20713568">
          <w:marLeft w:val="0"/>
          <w:marRight w:val="0"/>
          <w:marTop w:val="0"/>
          <w:marBottom w:val="0"/>
          <w:divBdr>
            <w:top w:val="none" w:sz="0" w:space="0" w:color="auto"/>
            <w:left w:val="none" w:sz="0" w:space="0" w:color="auto"/>
            <w:bottom w:val="none" w:sz="0" w:space="0" w:color="auto"/>
            <w:right w:val="none" w:sz="0" w:space="0" w:color="auto"/>
          </w:divBdr>
        </w:div>
        <w:div w:id="1350184305">
          <w:marLeft w:val="0"/>
          <w:marRight w:val="0"/>
          <w:marTop w:val="0"/>
          <w:marBottom w:val="0"/>
          <w:divBdr>
            <w:top w:val="none" w:sz="0" w:space="0" w:color="auto"/>
            <w:left w:val="none" w:sz="0" w:space="0" w:color="auto"/>
            <w:bottom w:val="none" w:sz="0" w:space="0" w:color="auto"/>
            <w:right w:val="none" w:sz="0" w:space="0" w:color="auto"/>
          </w:divBdr>
        </w:div>
        <w:div w:id="1562985539">
          <w:marLeft w:val="0"/>
          <w:marRight w:val="0"/>
          <w:marTop w:val="0"/>
          <w:marBottom w:val="0"/>
          <w:divBdr>
            <w:top w:val="none" w:sz="0" w:space="0" w:color="auto"/>
            <w:left w:val="none" w:sz="0" w:space="0" w:color="auto"/>
            <w:bottom w:val="none" w:sz="0" w:space="0" w:color="auto"/>
            <w:right w:val="none" w:sz="0" w:space="0" w:color="auto"/>
          </w:divBdr>
        </w:div>
        <w:div w:id="1697923289">
          <w:marLeft w:val="0"/>
          <w:marRight w:val="0"/>
          <w:marTop w:val="0"/>
          <w:marBottom w:val="0"/>
          <w:divBdr>
            <w:top w:val="none" w:sz="0" w:space="0" w:color="auto"/>
            <w:left w:val="none" w:sz="0" w:space="0" w:color="auto"/>
            <w:bottom w:val="none" w:sz="0" w:space="0" w:color="auto"/>
            <w:right w:val="none" w:sz="0" w:space="0" w:color="auto"/>
          </w:divBdr>
        </w:div>
        <w:div w:id="1732541417">
          <w:marLeft w:val="0"/>
          <w:marRight w:val="0"/>
          <w:marTop w:val="0"/>
          <w:marBottom w:val="0"/>
          <w:divBdr>
            <w:top w:val="none" w:sz="0" w:space="0" w:color="auto"/>
            <w:left w:val="none" w:sz="0" w:space="0" w:color="auto"/>
            <w:bottom w:val="none" w:sz="0" w:space="0" w:color="auto"/>
            <w:right w:val="none" w:sz="0" w:space="0" w:color="auto"/>
          </w:divBdr>
        </w:div>
        <w:div w:id="881022061">
          <w:marLeft w:val="0"/>
          <w:marRight w:val="0"/>
          <w:marTop w:val="0"/>
          <w:marBottom w:val="0"/>
          <w:divBdr>
            <w:top w:val="none" w:sz="0" w:space="0" w:color="auto"/>
            <w:left w:val="none" w:sz="0" w:space="0" w:color="auto"/>
            <w:bottom w:val="none" w:sz="0" w:space="0" w:color="auto"/>
            <w:right w:val="none" w:sz="0" w:space="0" w:color="auto"/>
          </w:divBdr>
        </w:div>
        <w:div w:id="1815290088">
          <w:marLeft w:val="0"/>
          <w:marRight w:val="0"/>
          <w:marTop w:val="0"/>
          <w:marBottom w:val="0"/>
          <w:divBdr>
            <w:top w:val="none" w:sz="0" w:space="0" w:color="auto"/>
            <w:left w:val="none" w:sz="0" w:space="0" w:color="auto"/>
            <w:bottom w:val="none" w:sz="0" w:space="0" w:color="auto"/>
            <w:right w:val="none" w:sz="0" w:space="0" w:color="auto"/>
          </w:divBdr>
        </w:div>
        <w:div w:id="1741323705">
          <w:marLeft w:val="0"/>
          <w:marRight w:val="0"/>
          <w:marTop w:val="0"/>
          <w:marBottom w:val="0"/>
          <w:divBdr>
            <w:top w:val="none" w:sz="0" w:space="0" w:color="auto"/>
            <w:left w:val="none" w:sz="0" w:space="0" w:color="auto"/>
            <w:bottom w:val="none" w:sz="0" w:space="0" w:color="auto"/>
            <w:right w:val="none" w:sz="0" w:space="0" w:color="auto"/>
          </w:divBdr>
        </w:div>
        <w:div w:id="1461460078">
          <w:marLeft w:val="0"/>
          <w:marRight w:val="0"/>
          <w:marTop w:val="0"/>
          <w:marBottom w:val="0"/>
          <w:divBdr>
            <w:top w:val="none" w:sz="0" w:space="0" w:color="auto"/>
            <w:left w:val="none" w:sz="0" w:space="0" w:color="auto"/>
            <w:bottom w:val="none" w:sz="0" w:space="0" w:color="auto"/>
            <w:right w:val="none" w:sz="0" w:space="0" w:color="auto"/>
          </w:divBdr>
        </w:div>
        <w:div w:id="1206143260">
          <w:marLeft w:val="0"/>
          <w:marRight w:val="0"/>
          <w:marTop w:val="0"/>
          <w:marBottom w:val="0"/>
          <w:divBdr>
            <w:top w:val="none" w:sz="0" w:space="0" w:color="auto"/>
            <w:left w:val="none" w:sz="0" w:space="0" w:color="auto"/>
            <w:bottom w:val="none" w:sz="0" w:space="0" w:color="auto"/>
            <w:right w:val="none" w:sz="0" w:space="0" w:color="auto"/>
          </w:divBdr>
        </w:div>
        <w:div w:id="1340767326">
          <w:marLeft w:val="0"/>
          <w:marRight w:val="0"/>
          <w:marTop w:val="0"/>
          <w:marBottom w:val="0"/>
          <w:divBdr>
            <w:top w:val="none" w:sz="0" w:space="0" w:color="auto"/>
            <w:left w:val="none" w:sz="0" w:space="0" w:color="auto"/>
            <w:bottom w:val="none" w:sz="0" w:space="0" w:color="auto"/>
            <w:right w:val="none" w:sz="0" w:space="0" w:color="auto"/>
          </w:divBdr>
        </w:div>
        <w:div w:id="1498105953">
          <w:marLeft w:val="0"/>
          <w:marRight w:val="0"/>
          <w:marTop w:val="0"/>
          <w:marBottom w:val="0"/>
          <w:divBdr>
            <w:top w:val="none" w:sz="0" w:space="0" w:color="auto"/>
            <w:left w:val="none" w:sz="0" w:space="0" w:color="auto"/>
            <w:bottom w:val="none" w:sz="0" w:space="0" w:color="auto"/>
            <w:right w:val="none" w:sz="0" w:space="0" w:color="auto"/>
          </w:divBdr>
        </w:div>
        <w:div w:id="1383941924">
          <w:marLeft w:val="0"/>
          <w:marRight w:val="0"/>
          <w:marTop w:val="0"/>
          <w:marBottom w:val="0"/>
          <w:divBdr>
            <w:top w:val="none" w:sz="0" w:space="0" w:color="auto"/>
            <w:left w:val="none" w:sz="0" w:space="0" w:color="auto"/>
            <w:bottom w:val="none" w:sz="0" w:space="0" w:color="auto"/>
            <w:right w:val="none" w:sz="0" w:space="0" w:color="auto"/>
          </w:divBdr>
        </w:div>
        <w:div w:id="1481189529">
          <w:marLeft w:val="0"/>
          <w:marRight w:val="0"/>
          <w:marTop w:val="0"/>
          <w:marBottom w:val="0"/>
          <w:divBdr>
            <w:top w:val="none" w:sz="0" w:space="0" w:color="auto"/>
            <w:left w:val="none" w:sz="0" w:space="0" w:color="auto"/>
            <w:bottom w:val="none" w:sz="0" w:space="0" w:color="auto"/>
            <w:right w:val="none" w:sz="0" w:space="0" w:color="auto"/>
          </w:divBdr>
        </w:div>
        <w:div w:id="388236730">
          <w:marLeft w:val="0"/>
          <w:marRight w:val="0"/>
          <w:marTop w:val="0"/>
          <w:marBottom w:val="0"/>
          <w:divBdr>
            <w:top w:val="none" w:sz="0" w:space="0" w:color="auto"/>
            <w:left w:val="none" w:sz="0" w:space="0" w:color="auto"/>
            <w:bottom w:val="none" w:sz="0" w:space="0" w:color="auto"/>
            <w:right w:val="none" w:sz="0" w:space="0" w:color="auto"/>
          </w:divBdr>
        </w:div>
        <w:div w:id="826674816">
          <w:marLeft w:val="0"/>
          <w:marRight w:val="0"/>
          <w:marTop w:val="0"/>
          <w:marBottom w:val="0"/>
          <w:divBdr>
            <w:top w:val="none" w:sz="0" w:space="0" w:color="auto"/>
            <w:left w:val="none" w:sz="0" w:space="0" w:color="auto"/>
            <w:bottom w:val="none" w:sz="0" w:space="0" w:color="auto"/>
            <w:right w:val="none" w:sz="0" w:space="0" w:color="auto"/>
          </w:divBdr>
        </w:div>
        <w:div w:id="1268924627">
          <w:marLeft w:val="0"/>
          <w:marRight w:val="0"/>
          <w:marTop w:val="0"/>
          <w:marBottom w:val="0"/>
          <w:divBdr>
            <w:top w:val="none" w:sz="0" w:space="0" w:color="auto"/>
            <w:left w:val="none" w:sz="0" w:space="0" w:color="auto"/>
            <w:bottom w:val="none" w:sz="0" w:space="0" w:color="auto"/>
            <w:right w:val="none" w:sz="0" w:space="0" w:color="auto"/>
          </w:divBdr>
        </w:div>
        <w:div w:id="1817719391">
          <w:marLeft w:val="0"/>
          <w:marRight w:val="0"/>
          <w:marTop w:val="0"/>
          <w:marBottom w:val="0"/>
          <w:divBdr>
            <w:top w:val="none" w:sz="0" w:space="0" w:color="auto"/>
            <w:left w:val="none" w:sz="0" w:space="0" w:color="auto"/>
            <w:bottom w:val="none" w:sz="0" w:space="0" w:color="auto"/>
            <w:right w:val="none" w:sz="0" w:space="0" w:color="auto"/>
          </w:divBdr>
        </w:div>
        <w:div w:id="2135975427">
          <w:marLeft w:val="0"/>
          <w:marRight w:val="0"/>
          <w:marTop w:val="0"/>
          <w:marBottom w:val="0"/>
          <w:divBdr>
            <w:top w:val="none" w:sz="0" w:space="0" w:color="auto"/>
            <w:left w:val="none" w:sz="0" w:space="0" w:color="auto"/>
            <w:bottom w:val="none" w:sz="0" w:space="0" w:color="auto"/>
            <w:right w:val="none" w:sz="0" w:space="0" w:color="auto"/>
          </w:divBdr>
        </w:div>
        <w:div w:id="379520017">
          <w:marLeft w:val="0"/>
          <w:marRight w:val="0"/>
          <w:marTop w:val="0"/>
          <w:marBottom w:val="0"/>
          <w:divBdr>
            <w:top w:val="none" w:sz="0" w:space="0" w:color="auto"/>
            <w:left w:val="none" w:sz="0" w:space="0" w:color="auto"/>
            <w:bottom w:val="none" w:sz="0" w:space="0" w:color="auto"/>
            <w:right w:val="none" w:sz="0" w:space="0" w:color="auto"/>
          </w:divBdr>
        </w:div>
        <w:div w:id="391125996">
          <w:marLeft w:val="0"/>
          <w:marRight w:val="0"/>
          <w:marTop w:val="0"/>
          <w:marBottom w:val="0"/>
          <w:divBdr>
            <w:top w:val="none" w:sz="0" w:space="0" w:color="auto"/>
            <w:left w:val="none" w:sz="0" w:space="0" w:color="auto"/>
            <w:bottom w:val="none" w:sz="0" w:space="0" w:color="auto"/>
            <w:right w:val="none" w:sz="0" w:space="0" w:color="auto"/>
          </w:divBdr>
        </w:div>
        <w:div w:id="865946743">
          <w:marLeft w:val="0"/>
          <w:marRight w:val="0"/>
          <w:marTop w:val="0"/>
          <w:marBottom w:val="0"/>
          <w:divBdr>
            <w:top w:val="none" w:sz="0" w:space="0" w:color="auto"/>
            <w:left w:val="none" w:sz="0" w:space="0" w:color="auto"/>
            <w:bottom w:val="none" w:sz="0" w:space="0" w:color="auto"/>
            <w:right w:val="none" w:sz="0" w:space="0" w:color="auto"/>
          </w:divBdr>
        </w:div>
        <w:div w:id="245267679">
          <w:marLeft w:val="0"/>
          <w:marRight w:val="0"/>
          <w:marTop w:val="0"/>
          <w:marBottom w:val="0"/>
          <w:divBdr>
            <w:top w:val="none" w:sz="0" w:space="0" w:color="auto"/>
            <w:left w:val="none" w:sz="0" w:space="0" w:color="auto"/>
            <w:bottom w:val="none" w:sz="0" w:space="0" w:color="auto"/>
            <w:right w:val="none" w:sz="0" w:space="0" w:color="auto"/>
          </w:divBdr>
        </w:div>
        <w:div w:id="849367361">
          <w:marLeft w:val="0"/>
          <w:marRight w:val="0"/>
          <w:marTop w:val="0"/>
          <w:marBottom w:val="0"/>
          <w:divBdr>
            <w:top w:val="none" w:sz="0" w:space="0" w:color="auto"/>
            <w:left w:val="none" w:sz="0" w:space="0" w:color="auto"/>
            <w:bottom w:val="none" w:sz="0" w:space="0" w:color="auto"/>
            <w:right w:val="none" w:sz="0" w:space="0" w:color="auto"/>
          </w:divBdr>
        </w:div>
        <w:div w:id="1427995490">
          <w:marLeft w:val="0"/>
          <w:marRight w:val="0"/>
          <w:marTop w:val="0"/>
          <w:marBottom w:val="0"/>
          <w:divBdr>
            <w:top w:val="none" w:sz="0" w:space="0" w:color="auto"/>
            <w:left w:val="none" w:sz="0" w:space="0" w:color="auto"/>
            <w:bottom w:val="none" w:sz="0" w:space="0" w:color="auto"/>
            <w:right w:val="none" w:sz="0" w:space="0" w:color="auto"/>
          </w:divBdr>
        </w:div>
        <w:div w:id="9915841">
          <w:marLeft w:val="0"/>
          <w:marRight w:val="0"/>
          <w:marTop w:val="0"/>
          <w:marBottom w:val="0"/>
          <w:divBdr>
            <w:top w:val="none" w:sz="0" w:space="0" w:color="auto"/>
            <w:left w:val="none" w:sz="0" w:space="0" w:color="auto"/>
            <w:bottom w:val="none" w:sz="0" w:space="0" w:color="auto"/>
            <w:right w:val="none" w:sz="0" w:space="0" w:color="auto"/>
          </w:divBdr>
        </w:div>
        <w:div w:id="2032563677">
          <w:marLeft w:val="0"/>
          <w:marRight w:val="0"/>
          <w:marTop w:val="0"/>
          <w:marBottom w:val="0"/>
          <w:divBdr>
            <w:top w:val="none" w:sz="0" w:space="0" w:color="auto"/>
            <w:left w:val="none" w:sz="0" w:space="0" w:color="auto"/>
            <w:bottom w:val="none" w:sz="0" w:space="0" w:color="auto"/>
            <w:right w:val="none" w:sz="0" w:space="0" w:color="auto"/>
          </w:divBdr>
        </w:div>
        <w:div w:id="1191263490">
          <w:marLeft w:val="0"/>
          <w:marRight w:val="0"/>
          <w:marTop w:val="0"/>
          <w:marBottom w:val="0"/>
          <w:divBdr>
            <w:top w:val="none" w:sz="0" w:space="0" w:color="auto"/>
            <w:left w:val="none" w:sz="0" w:space="0" w:color="auto"/>
            <w:bottom w:val="none" w:sz="0" w:space="0" w:color="auto"/>
            <w:right w:val="none" w:sz="0" w:space="0" w:color="auto"/>
          </w:divBdr>
        </w:div>
        <w:div w:id="296957320">
          <w:marLeft w:val="0"/>
          <w:marRight w:val="0"/>
          <w:marTop w:val="0"/>
          <w:marBottom w:val="0"/>
          <w:divBdr>
            <w:top w:val="none" w:sz="0" w:space="0" w:color="auto"/>
            <w:left w:val="none" w:sz="0" w:space="0" w:color="auto"/>
            <w:bottom w:val="none" w:sz="0" w:space="0" w:color="auto"/>
            <w:right w:val="none" w:sz="0" w:space="0" w:color="auto"/>
          </w:divBdr>
        </w:div>
        <w:div w:id="1167983088">
          <w:marLeft w:val="0"/>
          <w:marRight w:val="0"/>
          <w:marTop w:val="0"/>
          <w:marBottom w:val="0"/>
          <w:divBdr>
            <w:top w:val="none" w:sz="0" w:space="0" w:color="auto"/>
            <w:left w:val="none" w:sz="0" w:space="0" w:color="auto"/>
            <w:bottom w:val="none" w:sz="0" w:space="0" w:color="auto"/>
            <w:right w:val="none" w:sz="0" w:space="0" w:color="auto"/>
          </w:divBdr>
        </w:div>
        <w:div w:id="1262645124">
          <w:marLeft w:val="0"/>
          <w:marRight w:val="0"/>
          <w:marTop w:val="0"/>
          <w:marBottom w:val="0"/>
          <w:divBdr>
            <w:top w:val="none" w:sz="0" w:space="0" w:color="auto"/>
            <w:left w:val="none" w:sz="0" w:space="0" w:color="auto"/>
            <w:bottom w:val="none" w:sz="0" w:space="0" w:color="auto"/>
            <w:right w:val="none" w:sz="0" w:space="0" w:color="auto"/>
          </w:divBdr>
        </w:div>
        <w:div w:id="1005278872">
          <w:marLeft w:val="0"/>
          <w:marRight w:val="0"/>
          <w:marTop w:val="0"/>
          <w:marBottom w:val="0"/>
          <w:divBdr>
            <w:top w:val="none" w:sz="0" w:space="0" w:color="auto"/>
            <w:left w:val="none" w:sz="0" w:space="0" w:color="auto"/>
            <w:bottom w:val="none" w:sz="0" w:space="0" w:color="auto"/>
            <w:right w:val="none" w:sz="0" w:space="0" w:color="auto"/>
          </w:divBdr>
        </w:div>
      </w:divsChild>
    </w:div>
    <w:div w:id="873343960">
      <w:bodyDiv w:val="1"/>
      <w:marLeft w:val="0"/>
      <w:marRight w:val="0"/>
      <w:marTop w:val="0"/>
      <w:marBottom w:val="0"/>
      <w:divBdr>
        <w:top w:val="none" w:sz="0" w:space="0" w:color="auto"/>
        <w:left w:val="none" w:sz="0" w:space="0" w:color="auto"/>
        <w:bottom w:val="none" w:sz="0" w:space="0" w:color="auto"/>
        <w:right w:val="none" w:sz="0" w:space="0" w:color="auto"/>
      </w:divBdr>
      <w:divsChild>
        <w:div w:id="1082143957">
          <w:marLeft w:val="0"/>
          <w:marRight w:val="0"/>
          <w:marTop w:val="0"/>
          <w:marBottom w:val="0"/>
          <w:divBdr>
            <w:top w:val="none" w:sz="0" w:space="0" w:color="auto"/>
            <w:left w:val="none" w:sz="0" w:space="0" w:color="auto"/>
            <w:bottom w:val="none" w:sz="0" w:space="0" w:color="auto"/>
            <w:right w:val="none" w:sz="0" w:space="0" w:color="auto"/>
          </w:divBdr>
        </w:div>
        <w:div w:id="1832404679">
          <w:marLeft w:val="0"/>
          <w:marRight w:val="0"/>
          <w:marTop w:val="0"/>
          <w:marBottom w:val="0"/>
          <w:divBdr>
            <w:top w:val="none" w:sz="0" w:space="0" w:color="auto"/>
            <w:left w:val="none" w:sz="0" w:space="0" w:color="auto"/>
            <w:bottom w:val="none" w:sz="0" w:space="0" w:color="auto"/>
            <w:right w:val="none" w:sz="0" w:space="0" w:color="auto"/>
          </w:divBdr>
        </w:div>
        <w:div w:id="1880168682">
          <w:marLeft w:val="0"/>
          <w:marRight w:val="0"/>
          <w:marTop w:val="0"/>
          <w:marBottom w:val="0"/>
          <w:divBdr>
            <w:top w:val="none" w:sz="0" w:space="0" w:color="auto"/>
            <w:left w:val="none" w:sz="0" w:space="0" w:color="auto"/>
            <w:bottom w:val="none" w:sz="0" w:space="0" w:color="auto"/>
            <w:right w:val="none" w:sz="0" w:space="0" w:color="auto"/>
          </w:divBdr>
        </w:div>
        <w:div w:id="1197546751">
          <w:marLeft w:val="0"/>
          <w:marRight w:val="0"/>
          <w:marTop w:val="0"/>
          <w:marBottom w:val="0"/>
          <w:divBdr>
            <w:top w:val="none" w:sz="0" w:space="0" w:color="auto"/>
            <w:left w:val="none" w:sz="0" w:space="0" w:color="auto"/>
            <w:bottom w:val="none" w:sz="0" w:space="0" w:color="auto"/>
            <w:right w:val="none" w:sz="0" w:space="0" w:color="auto"/>
          </w:divBdr>
        </w:div>
        <w:div w:id="1667243321">
          <w:marLeft w:val="0"/>
          <w:marRight w:val="0"/>
          <w:marTop w:val="0"/>
          <w:marBottom w:val="0"/>
          <w:divBdr>
            <w:top w:val="none" w:sz="0" w:space="0" w:color="auto"/>
            <w:left w:val="none" w:sz="0" w:space="0" w:color="auto"/>
            <w:bottom w:val="none" w:sz="0" w:space="0" w:color="auto"/>
            <w:right w:val="none" w:sz="0" w:space="0" w:color="auto"/>
          </w:divBdr>
        </w:div>
        <w:div w:id="368989521">
          <w:marLeft w:val="0"/>
          <w:marRight w:val="0"/>
          <w:marTop w:val="0"/>
          <w:marBottom w:val="0"/>
          <w:divBdr>
            <w:top w:val="none" w:sz="0" w:space="0" w:color="auto"/>
            <w:left w:val="none" w:sz="0" w:space="0" w:color="auto"/>
            <w:bottom w:val="none" w:sz="0" w:space="0" w:color="auto"/>
            <w:right w:val="none" w:sz="0" w:space="0" w:color="auto"/>
          </w:divBdr>
        </w:div>
        <w:div w:id="540021118">
          <w:marLeft w:val="0"/>
          <w:marRight w:val="0"/>
          <w:marTop w:val="0"/>
          <w:marBottom w:val="0"/>
          <w:divBdr>
            <w:top w:val="none" w:sz="0" w:space="0" w:color="auto"/>
            <w:left w:val="none" w:sz="0" w:space="0" w:color="auto"/>
            <w:bottom w:val="none" w:sz="0" w:space="0" w:color="auto"/>
            <w:right w:val="none" w:sz="0" w:space="0" w:color="auto"/>
          </w:divBdr>
        </w:div>
        <w:div w:id="422991439">
          <w:marLeft w:val="0"/>
          <w:marRight w:val="0"/>
          <w:marTop w:val="0"/>
          <w:marBottom w:val="0"/>
          <w:divBdr>
            <w:top w:val="none" w:sz="0" w:space="0" w:color="auto"/>
            <w:left w:val="none" w:sz="0" w:space="0" w:color="auto"/>
            <w:bottom w:val="none" w:sz="0" w:space="0" w:color="auto"/>
            <w:right w:val="none" w:sz="0" w:space="0" w:color="auto"/>
          </w:divBdr>
        </w:div>
      </w:divsChild>
    </w:div>
    <w:div w:id="886139192">
      <w:bodyDiv w:val="1"/>
      <w:marLeft w:val="0"/>
      <w:marRight w:val="0"/>
      <w:marTop w:val="0"/>
      <w:marBottom w:val="0"/>
      <w:divBdr>
        <w:top w:val="none" w:sz="0" w:space="0" w:color="auto"/>
        <w:left w:val="none" w:sz="0" w:space="0" w:color="auto"/>
        <w:bottom w:val="none" w:sz="0" w:space="0" w:color="auto"/>
        <w:right w:val="none" w:sz="0" w:space="0" w:color="auto"/>
      </w:divBdr>
      <w:divsChild>
        <w:div w:id="1280994896">
          <w:marLeft w:val="0"/>
          <w:marRight w:val="0"/>
          <w:marTop w:val="0"/>
          <w:marBottom w:val="0"/>
          <w:divBdr>
            <w:top w:val="none" w:sz="0" w:space="0" w:color="auto"/>
            <w:left w:val="none" w:sz="0" w:space="0" w:color="auto"/>
            <w:bottom w:val="none" w:sz="0" w:space="0" w:color="auto"/>
            <w:right w:val="none" w:sz="0" w:space="0" w:color="auto"/>
          </w:divBdr>
        </w:div>
        <w:div w:id="608899921">
          <w:marLeft w:val="0"/>
          <w:marRight w:val="0"/>
          <w:marTop w:val="0"/>
          <w:marBottom w:val="0"/>
          <w:divBdr>
            <w:top w:val="none" w:sz="0" w:space="0" w:color="auto"/>
            <w:left w:val="none" w:sz="0" w:space="0" w:color="auto"/>
            <w:bottom w:val="none" w:sz="0" w:space="0" w:color="auto"/>
            <w:right w:val="none" w:sz="0" w:space="0" w:color="auto"/>
          </w:divBdr>
        </w:div>
        <w:div w:id="326903951">
          <w:marLeft w:val="0"/>
          <w:marRight w:val="0"/>
          <w:marTop w:val="0"/>
          <w:marBottom w:val="0"/>
          <w:divBdr>
            <w:top w:val="none" w:sz="0" w:space="0" w:color="auto"/>
            <w:left w:val="none" w:sz="0" w:space="0" w:color="auto"/>
            <w:bottom w:val="none" w:sz="0" w:space="0" w:color="auto"/>
            <w:right w:val="none" w:sz="0" w:space="0" w:color="auto"/>
          </w:divBdr>
        </w:div>
        <w:div w:id="2037997796">
          <w:marLeft w:val="0"/>
          <w:marRight w:val="0"/>
          <w:marTop w:val="0"/>
          <w:marBottom w:val="0"/>
          <w:divBdr>
            <w:top w:val="none" w:sz="0" w:space="0" w:color="auto"/>
            <w:left w:val="none" w:sz="0" w:space="0" w:color="auto"/>
            <w:bottom w:val="none" w:sz="0" w:space="0" w:color="auto"/>
            <w:right w:val="none" w:sz="0" w:space="0" w:color="auto"/>
          </w:divBdr>
        </w:div>
        <w:div w:id="988362055">
          <w:marLeft w:val="0"/>
          <w:marRight w:val="0"/>
          <w:marTop w:val="0"/>
          <w:marBottom w:val="0"/>
          <w:divBdr>
            <w:top w:val="none" w:sz="0" w:space="0" w:color="auto"/>
            <w:left w:val="none" w:sz="0" w:space="0" w:color="auto"/>
            <w:bottom w:val="none" w:sz="0" w:space="0" w:color="auto"/>
            <w:right w:val="none" w:sz="0" w:space="0" w:color="auto"/>
          </w:divBdr>
        </w:div>
        <w:div w:id="1837989735">
          <w:marLeft w:val="0"/>
          <w:marRight w:val="0"/>
          <w:marTop w:val="0"/>
          <w:marBottom w:val="0"/>
          <w:divBdr>
            <w:top w:val="none" w:sz="0" w:space="0" w:color="auto"/>
            <w:left w:val="none" w:sz="0" w:space="0" w:color="auto"/>
            <w:bottom w:val="none" w:sz="0" w:space="0" w:color="auto"/>
            <w:right w:val="none" w:sz="0" w:space="0" w:color="auto"/>
          </w:divBdr>
        </w:div>
        <w:div w:id="958142827">
          <w:marLeft w:val="0"/>
          <w:marRight w:val="0"/>
          <w:marTop w:val="0"/>
          <w:marBottom w:val="0"/>
          <w:divBdr>
            <w:top w:val="none" w:sz="0" w:space="0" w:color="auto"/>
            <w:left w:val="none" w:sz="0" w:space="0" w:color="auto"/>
            <w:bottom w:val="none" w:sz="0" w:space="0" w:color="auto"/>
            <w:right w:val="none" w:sz="0" w:space="0" w:color="auto"/>
          </w:divBdr>
        </w:div>
        <w:div w:id="699890036">
          <w:marLeft w:val="0"/>
          <w:marRight w:val="0"/>
          <w:marTop w:val="0"/>
          <w:marBottom w:val="0"/>
          <w:divBdr>
            <w:top w:val="none" w:sz="0" w:space="0" w:color="auto"/>
            <w:left w:val="none" w:sz="0" w:space="0" w:color="auto"/>
            <w:bottom w:val="none" w:sz="0" w:space="0" w:color="auto"/>
            <w:right w:val="none" w:sz="0" w:space="0" w:color="auto"/>
          </w:divBdr>
        </w:div>
        <w:div w:id="1887571223">
          <w:marLeft w:val="0"/>
          <w:marRight w:val="0"/>
          <w:marTop w:val="0"/>
          <w:marBottom w:val="0"/>
          <w:divBdr>
            <w:top w:val="none" w:sz="0" w:space="0" w:color="auto"/>
            <w:left w:val="none" w:sz="0" w:space="0" w:color="auto"/>
            <w:bottom w:val="none" w:sz="0" w:space="0" w:color="auto"/>
            <w:right w:val="none" w:sz="0" w:space="0" w:color="auto"/>
          </w:divBdr>
        </w:div>
        <w:div w:id="991982465">
          <w:marLeft w:val="0"/>
          <w:marRight w:val="0"/>
          <w:marTop w:val="0"/>
          <w:marBottom w:val="0"/>
          <w:divBdr>
            <w:top w:val="none" w:sz="0" w:space="0" w:color="auto"/>
            <w:left w:val="none" w:sz="0" w:space="0" w:color="auto"/>
            <w:bottom w:val="none" w:sz="0" w:space="0" w:color="auto"/>
            <w:right w:val="none" w:sz="0" w:space="0" w:color="auto"/>
          </w:divBdr>
        </w:div>
      </w:divsChild>
    </w:div>
    <w:div w:id="909274358">
      <w:bodyDiv w:val="1"/>
      <w:marLeft w:val="0"/>
      <w:marRight w:val="0"/>
      <w:marTop w:val="0"/>
      <w:marBottom w:val="0"/>
      <w:divBdr>
        <w:top w:val="none" w:sz="0" w:space="0" w:color="auto"/>
        <w:left w:val="none" w:sz="0" w:space="0" w:color="auto"/>
        <w:bottom w:val="none" w:sz="0" w:space="0" w:color="auto"/>
        <w:right w:val="none" w:sz="0" w:space="0" w:color="auto"/>
      </w:divBdr>
      <w:divsChild>
        <w:div w:id="948391931">
          <w:marLeft w:val="0"/>
          <w:marRight w:val="0"/>
          <w:marTop w:val="0"/>
          <w:marBottom w:val="0"/>
          <w:divBdr>
            <w:top w:val="none" w:sz="0" w:space="0" w:color="auto"/>
            <w:left w:val="none" w:sz="0" w:space="0" w:color="auto"/>
            <w:bottom w:val="none" w:sz="0" w:space="0" w:color="auto"/>
            <w:right w:val="none" w:sz="0" w:space="0" w:color="auto"/>
          </w:divBdr>
        </w:div>
        <w:div w:id="1867938134">
          <w:marLeft w:val="0"/>
          <w:marRight w:val="0"/>
          <w:marTop w:val="0"/>
          <w:marBottom w:val="0"/>
          <w:divBdr>
            <w:top w:val="none" w:sz="0" w:space="0" w:color="auto"/>
            <w:left w:val="none" w:sz="0" w:space="0" w:color="auto"/>
            <w:bottom w:val="none" w:sz="0" w:space="0" w:color="auto"/>
            <w:right w:val="none" w:sz="0" w:space="0" w:color="auto"/>
          </w:divBdr>
        </w:div>
        <w:div w:id="2105566811">
          <w:marLeft w:val="0"/>
          <w:marRight w:val="0"/>
          <w:marTop w:val="0"/>
          <w:marBottom w:val="0"/>
          <w:divBdr>
            <w:top w:val="none" w:sz="0" w:space="0" w:color="auto"/>
            <w:left w:val="none" w:sz="0" w:space="0" w:color="auto"/>
            <w:bottom w:val="none" w:sz="0" w:space="0" w:color="auto"/>
            <w:right w:val="none" w:sz="0" w:space="0" w:color="auto"/>
          </w:divBdr>
        </w:div>
        <w:div w:id="1763794545">
          <w:marLeft w:val="0"/>
          <w:marRight w:val="0"/>
          <w:marTop w:val="0"/>
          <w:marBottom w:val="0"/>
          <w:divBdr>
            <w:top w:val="none" w:sz="0" w:space="0" w:color="auto"/>
            <w:left w:val="none" w:sz="0" w:space="0" w:color="auto"/>
            <w:bottom w:val="none" w:sz="0" w:space="0" w:color="auto"/>
            <w:right w:val="none" w:sz="0" w:space="0" w:color="auto"/>
          </w:divBdr>
        </w:div>
        <w:div w:id="1254823127">
          <w:marLeft w:val="0"/>
          <w:marRight w:val="0"/>
          <w:marTop w:val="0"/>
          <w:marBottom w:val="0"/>
          <w:divBdr>
            <w:top w:val="none" w:sz="0" w:space="0" w:color="auto"/>
            <w:left w:val="none" w:sz="0" w:space="0" w:color="auto"/>
            <w:bottom w:val="none" w:sz="0" w:space="0" w:color="auto"/>
            <w:right w:val="none" w:sz="0" w:space="0" w:color="auto"/>
          </w:divBdr>
        </w:div>
        <w:div w:id="488445049">
          <w:marLeft w:val="0"/>
          <w:marRight w:val="0"/>
          <w:marTop w:val="0"/>
          <w:marBottom w:val="0"/>
          <w:divBdr>
            <w:top w:val="none" w:sz="0" w:space="0" w:color="auto"/>
            <w:left w:val="none" w:sz="0" w:space="0" w:color="auto"/>
            <w:bottom w:val="none" w:sz="0" w:space="0" w:color="auto"/>
            <w:right w:val="none" w:sz="0" w:space="0" w:color="auto"/>
          </w:divBdr>
        </w:div>
        <w:div w:id="1775176466">
          <w:marLeft w:val="0"/>
          <w:marRight w:val="0"/>
          <w:marTop w:val="0"/>
          <w:marBottom w:val="0"/>
          <w:divBdr>
            <w:top w:val="none" w:sz="0" w:space="0" w:color="auto"/>
            <w:left w:val="none" w:sz="0" w:space="0" w:color="auto"/>
            <w:bottom w:val="none" w:sz="0" w:space="0" w:color="auto"/>
            <w:right w:val="none" w:sz="0" w:space="0" w:color="auto"/>
          </w:divBdr>
        </w:div>
        <w:div w:id="1225600483">
          <w:marLeft w:val="0"/>
          <w:marRight w:val="0"/>
          <w:marTop w:val="0"/>
          <w:marBottom w:val="0"/>
          <w:divBdr>
            <w:top w:val="none" w:sz="0" w:space="0" w:color="auto"/>
            <w:left w:val="none" w:sz="0" w:space="0" w:color="auto"/>
            <w:bottom w:val="none" w:sz="0" w:space="0" w:color="auto"/>
            <w:right w:val="none" w:sz="0" w:space="0" w:color="auto"/>
          </w:divBdr>
        </w:div>
        <w:div w:id="1793282104">
          <w:marLeft w:val="0"/>
          <w:marRight w:val="0"/>
          <w:marTop w:val="0"/>
          <w:marBottom w:val="0"/>
          <w:divBdr>
            <w:top w:val="none" w:sz="0" w:space="0" w:color="auto"/>
            <w:left w:val="none" w:sz="0" w:space="0" w:color="auto"/>
            <w:bottom w:val="none" w:sz="0" w:space="0" w:color="auto"/>
            <w:right w:val="none" w:sz="0" w:space="0" w:color="auto"/>
          </w:divBdr>
        </w:div>
        <w:div w:id="103354521">
          <w:marLeft w:val="0"/>
          <w:marRight w:val="0"/>
          <w:marTop w:val="0"/>
          <w:marBottom w:val="0"/>
          <w:divBdr>
            <w:top w:val="none" w:sz="0" w:space="0" w:color="auto"/>
            <w:left w:val="none" w:sz="0" w:space="0" w:color="auto"/>
            <w:bottom w:val="none" w:sz="0" w:space="0" w:color="auto"/>
            <w:right w:val="none" w:sz="0" w:space="0" w:color="auto"/>
          </w:divBdr>
        </w:div>
        <w:div w:id="1040862214">
          <w:marLeft w:val="0"/>
          <w:marRight w:val="0"/>
          <w:marTop w:val="0"/>
          <w:marBottom w:val="0"/>
          <w:divBdr>
            <w:top w:val="none" w:sz="0" w:space="0" w:color="auto"/>
            <w:left w:val="none" w:sz="0" w:space="0" w:color="auto"/>
            <w:bottom w:val="none" w:sz="0" w:space="0" w:color="auto"/>
            <w:right w:val="none" w:sz="0" w:space="0" w:color="auto"/>
          </w:divBdr>
        </w:div>
        <w:div w:id="483358211">
          <w:marLeft w:val="0"/>
          <w:marRight w:val="0"/>
          <w:marTop w:val="0"/>
          <w:marBottom w:val="0"/>
          <w:divBdr>
            <w:top w:val="none" w:sz="0" w:space="0" w:color="auto"/>
            <w:left w:val="none" w:sz="0" w:space="0" w:color="auto"/>
            <w:bottom w:val="none" w:sz="0" w:space="0" w:color="auto"/>
            <w:right w:val="none" w:sz="0" w:space="0" w:color="auto"/>
          </w:divBdr>
        </w:div>
        <w:div w:id="79572739">
          <w:marLeft w:val="0"/>
          <w:marRight w:val="0"/>
          <w:marTop w:val="0"/>
          <w:marBottom w:val="0"/>
          <w:divBdr>
            <w:top w:val="none" w:sz="0" w:space="0" w:color="auto"/>
            <w:left w:val="none" w:sz="0" w:space="0" w:color="auto"/>
            <w:bottom w:val="none" w:sz="0" w:space="0" w:color="auto"/>
            <w:right w:val="none" w:sz="0" w:space="0" w:color="auto"/>
          </w:divBdr>
        </w:div>
        <w:div w:id="422653486">
          <w:marLeft w:val="0"/>
          <w:marRight w:val="0"/>
          <w:marTop w:val="0"/>
          <w:marBottom w:val="0"/>
          <w:divBdr>
            <w:top w:val="none" w:sz="0" w:space="0" w:color="auto"/>
            <w:left w:val="none" w:sz="0" w:space="0" w:color="auto"/>
            <w:bottom w:val="none" w:sz="0" w:space="0" w:color="auto"/>
            <w:right w:val="none" w:sz="0" w:space="0" w:color="auto"/>
          </w:divBdr>
        </w:div>
        <w:div w:id="685643459">
          <w:marLeft w:val="0"/>
          <w:marRight w:val="0"/>
          <w:marTop w:val="0"/>
          <w:marBottom w:val="0"/>
          <w:divBdr>
            <w:top w:val="none" w:sz="0" w:space="0" w:color="auto"/>
            <w:left w:val="none" w:sz="0" w:space="0" w:color="auto"/>
            <w:bottom w:val="none" w:sz="0" w:space="0" w:color="auto"/>
            <w:right w:val="none" w:sz="0" w:space="0" w:color="auto"/>
          </w:divBdr>
        </w:div>
        <w:div w:id="1458178684">
          <w:marLeft w:val="0"/>
          <w:marRight w:val="0"/>
          <w:marTop w:val="0"/>
          <w:marBottom w:val="0"/>
          <w:divBdr>
            <w:top w:val="none" w:sz="0" w:space="0" w:color="auto"/>
            <w:left w:val="none" w:sz="0" w:space="0" w:color="auto"/>
            <w:bottom w:val="none" w:sz="0" w:space="0" w:color="auto"/>
            <w:right w:val="none" w:sz="0" w:space="0" w:color="auto"/>
          </w:divBdr>
        </w:div>
        <w:div w:id="990600360">
          <w:marLeft w:val="0"/>
          <w:marRight w:val="0"/>
          <w:marTop w:val="0"/>
          <w:marBottom w:val="0"/>
          <w:divBdr>
            <w:top w:val="none" w:sz="0" w:space="0" w:color="auto"/>
            <w:left w:val="none" w:sz="0" w:space="0" w:color="auto"/>
            <w:bottom w:val="none" w:sz="0" w:space="0" w:color="auto"/>
            <w:right w:val="none" w:sz="0" w:space="0" w:color="auto"/>
          </w:divBdr>
        </w:div>
      </w:divsChild>
    </w:div>
    <w:div w:id="923487789">
      <w:bodyDiv w:val="1"/>
      <w:marLeft w:val="0"/>
      <w:marRight w:val="0"/>
      <w:marTop w:val="0"/>
      <w:marBottom w:val="0"/>
      <w:divBdr>
        <w:top w:val="none" w:sz="0" w:space="0" w:color="auto"/>
        <w:left w:val="none" w:sz="0" w:space="0" w:color="auto"/>
        <w:bottom w:val="none" w:sz="0" w:space="0" w:color="auto"/>
        <w:right w:val="none" w:sz="0" w:space="0" w:color="auto"/>
      </w:divBdr>
      <w:divsChild>
        <w:div w:id="65614087">
          <w:marLeft w:val="0"/>
          <w:marRight w:val="0"/>
          <w:marTop w:val="0"/>
          <w:marBottom w:val="0"/>
          <w:divBdr>
            <w:top w:val="none" w:sz="0" w:space="0" w:color="auto"/>
            <w:left w:val="none" w:sz="0" w:space="0" w:color="auto"/>
            <w:bottom w:val="none" w:sz="0" w:space="0" w:color="auto"/>
            <w:right w:val="none" w:sz="0" w:space="0" w:color="auto"/>
          </w:divBdr>
        </w:div>
        <w:div w:id="1576626004">
          <w:marLeft w:val="0"/>
          <w:marRight w:val="0"/>
          <w:marTop w:val="0"/>
          <w:marBottom w:val="0"/>
          <w:divBdr>
            <w:top w:val="none" w:sz="0" w:space="0" w:color="auto"/>
            <w:left w:val="none" w:sz="0" w:space="0" w:color="auto"/>
            <w:bottom w:val="none" w:sz="0" w:space="0" w:color="auto"/>
            <w:right w:val="none" w:sz="0" w:space="0" w:color="auto"/>
          </w:divBdr>
        </w:div>
      </w:divsChild>
    </w:div>
    <w:div w:id="975642957">
      <w:bodyDiv w:val="1"/>
      <w:marLeft w:val="0"/>
      <w:marRight w:val="0"/>
      <w:marTop w:val="0"/>
      <w:marBottom w:val="0"/>
      <w:divBdr>
        <w:top w:val="none" w:sz="0" w:space="0" w:color="auto"/>
        <w:left w:val="none" w:sz="0" w:space="0" w:color="auto"/>
        <w:bottom w:val="none" w:sz="0" w:space="0" w:color="auto"/>
        <w:right w:val="none" w:sz="0" w:space="0" w:color="auto"/>
      </w:divBdr>
      <w:divsChild>
        <w:div w:id="1945723795">
          <w:marLeft w:val="0"/>
          <w:marRight w:val="0"/>
          <w:marTop w:val="0"/>
          <w:marBottom w:val="0"/>
          <w:divBdr>
            <w:top w:val="none" w:sz="0" w:space="0" w:color="auto"/>
            <w:left w:val="none" w:sz="0" w:space="0" w:color="auto"/>
            <w:bottom w:val="none" w:sz="0" w:space="0" w:color="auto"/>
            <w:right w:val="none" w:sz="0" w:space="0" w:color="auto"/>
          </w:divBdr>
        </w:div>
        <w:div w:id="888491759">
          <w:marLeft w:val="0"/>
          <w:marRight w:val="0"/>
          <w:marTop w:val="0"/>
          <w:marBottom w:val="0"/>
          <w:divBdr>
            <w:top w:val="none" w:sz="0" w:space="0" w:color="auto"/>
            <w:left w:val="none" w:sz="0" w:space="0" w:color="auto"/>
            <w:bottom w:val="none" w:sz="0" w:space="0" w:color="auto"/>
            <w:right w:val="none" w:sz="0" w:space="0" w:color="auto"/>
          </w:divBdr>
        </w:div>
        <w:div w:id="951087405">
          <w:marLeft w:val="0"/>
          <w:marRight w:val="0"/>
          <w:marTop w:val="0"/>
          <w:marBottom w:val="0"/>
          <w:divBdr>
            <w:top w:val="none" w:sz="0" w:space="0" w:color="auto"/>
            <w:left w:val="none" w:sz="0" w:space="0" w:color="auto"/>
            <w:bottom w:val="none" w:sz="0" w:space="0" w:color="auto"/>
            <w:right w:val="none" w:sz="0" w:space="0" w:color="auto"/>
          </w:divBdr>
        </w:div>
        <w:div w:id="2069067221">
          <w:marLeft w:val="0"/>
          <w:marRight w:val="0"/>
          <w:marTop w:val="0"/>
          <w:marBottom w:val="0"/>
          <w:divBdr>
            <w:top w:val="none" w:sz="0" w:space="0" w:color="auto"/>
            <w:left w:val="none" w:sz="0" w:space="0" w:color="auto"/>
            <w:bottom w:val="none" w:sz="0" w:space="0" w:color="auto"/>
            <w:right w:val="none" w:sz="0" w:space="0" w:color="auto"/>
          </w:divBdr>
        </w:div>
        <w:div w:id="300621564">
          <w:marLeft w:val="0"/>
          <w:marRight w:val="0"/>
          <w:marTop w:val="0"/>
          <w:marBottom w:val="0"/>
          <w:divBdr>
            <w:top w:val="none" w:sz="0" w:space="0" w:color="auto"/>
            <w:left w:val="none" w:sz="0" w:space="0" w:color="auto"/>
            <w:bottom w:val="none" w:sz="0" w:space="0" w:color="auto"/>
            <w:right w:val="none" w:sz="0" w:space="0" w:color="auto"/>
          </w:divBdr>
        </w:div>
        <w:div w:id="761992310">
          <w:marLeft w:val="0"/>
          <w:marRight w:val="0"/>
          <w:marTop w:val="0"/>
          <w:marBottom w:val="0"/>
          <w:divBdr>
            <w:top w:val="none" w:sz="0" w:space="0" w:color="auto"/>
            <w:left w:val="none" w:sz="0" w:space="0" w:color="auto"/>
            <w:bottom w:val="none" w:sz="0" w:space="0" w:color="auto"/>
            <w:right w:val="none" w:sz="0" w:space="0" w:color="auto"/>
          </w:divBdr>
        </w:div>
        <w:div w:id="1888645758">
          <w:marLeft w:val="0"/>
          <w:marRight w:val="0"/>
          <w:marTop w:val="0"/>
          <w:marBottom w:val="0"/>
          <w:divBdr>
            <w:top w:val="none" w:sz="0" w:space="0" w:color="auto"/>
            <w:left w:val="none" w:sz="0" w:space="0" w:color="auto"/>
            <w:bottom w:val="none" w:sz="0" w:space="0" w:color="auto"/>
            <w:right w:val="none" w:sz="0" w:space="0" w:color="auto"/>
          </w:divBdr>
        </w:div>
        <w:div w:id="1868712039">
          <w:marLeft w:val="0"/>
          <w:marRight w:val="0"/>
          <w:marTop w:val="0"/>
          <w:marBottom w:val="0"/>
          <w:divBdr>
            <w:top w:val="none" w:sz="0" w:space="0" w:color="auto"/>
            <w:left w:val="none" w:sz="0" w:space="0" w:color="auto"/>
            <w:bottom w:val="none" w:sz="0" w:space="0" w:color="auto"/>
            <w:right w:val="none" w:sz="0" w:space="0" w:color="auto"/>
          </w:divBdr>
        </w:div>
        <w:div w:id="868641586">
          <w:marLeft w:val="0"/>
          <w:marRight w:val="0"/>
          <w:marTop w:val="0"/>
          <w:marBottom w:val="0"/>
          <w:divBdr>
            <w:top w:val="none" w:sz="0" w:space="0" w:color="auto"/>
            <w:left w:val="none" w:sz="0" w:space="0" w:color="auto"/>
            <w:bottom w:val="none" w:sz="0" w:space="0" w:color="auto"/>
            <w:right w:val="none" w:sz="0" w:space="0" w:color="auto"/>
          </w:divBdr>
        </w:div>
        <w:div w:id="394478144">
          <w:marLeft w:val="0"/>
          <w:marRight w:val="0"/>
          <w:marTop w:val="0"/>
          <w:marBottom w:val="0"/>
          <w:divBdr>
            <w:top w:val="none" w:sz="0" w:space="0" w:color="auto"/>
            <w:left w:val="none" w:sz="0" w:space="0" w:color="auto"/>
            <w:bottom w:val="none" w:sz="0" w:space="0" w:color="auto"/>
            <w:right w:val="none" w:sz="0" w:space="0" w:color="auto"/>
          </w:divBdr>
        </w:div>
        <w:div w:id="596257378">
          <w:marLeft w:val="0"/>
          <w:marRight w:val="0"/>
          <w:marTop w:val="0"/>
          <w:marBottom w:val="0"/>
          <w:divBdr>
            <w:top w:val="none" w:sz="0" w:space="0" w:color="auto"/>
            <w:left w:val="none" w:sz="0" w:space="0" w:color="auto"/>
            <w:bottom w:val="none" w:sz="0" w:space="0" w:color="auto"/>
            <w:right w:val="none" w:sz="0" w:space="0" w:color="auto"/>
          </w:divBdr>
        </w:div>
        <w:div w:id="210193562">
          <w:marLeft w:val="0"/>
          <w:marRight w:val="0"/>
          <w:marTop w:val="0"/>
          <w:marBottom w:val="0"/>
          <w:divBdr>
            <w:top w:val="none" w:sz="0" w:space="0" w:color="auto"/>
            <w:left w:val="none" w:sz="0" w:space="0" w:color="auto"/>
            <w:bottom w:val="none" w:sz="0" w:space="0" w:color="auto"/>
            <w:right w:val="none" w:sz="0" w:space="0" w:color="auto"/>
          </w:divBdr>
        </w:div>
        <w:div w:id="1436483824">
          <w:marLeft w:val="0"/>
          <w:marRight w:val="0"/>
          <w:marTop w:val="0"/>
          <w:marBottom w:val="0"/>
          <w:divBdr>
            <w:top w:val="none" w:sz="0" w:space="0" w:color="auto"/>
            <w:left w:val="none" w:sz="0" w:space="0" w:color="auto"/>
            <w:bottom w:val="none" w:sz="0" w:space="0" w:color="auto"/>
            <w:right w:val="none" w:sz="0" w:space="0" w:color="auto"/>
          </w:divBdr>
        </w:div>
        <w:div w:id="1855224881">
          <w:marLeft w:val="0"/>
          <w:marRight w:val="0"/>
          <w:marTop w:val="0"/>
          <w:marBottom w:val="0"/>
          <w:divBdr>
            <w:top w:val="none" w:sz="0" w:space="0" w:color="auto"/>
            <w:left w:val="none" w:sz="0" w:space="0" w:color="auto"/>
            <w:bottom w:val="none" w:sz="0" w:space="0" w:color="auto"/>
            <w:right w:val="none" w:sz="0" w:space="0" w:color="auto"/>
          </w:divBdr>
        </w:div>
        <w:div w:id="358942524">
          <w:marLeft w:val="0"/>
          <w:marRight w:val="0"/>
          <w:marTop w:val="0"/>
          <w:marBottom w:val="0"/>
          <w:divBdr>
            <w:top w:val="none" w:sz="0" w:space="0" w:color="auto"/>
            <w:left w:val="none" w:sz="0" w:space="0" w:color="auto"/>
            <w:bottom w:val="none" w:sz="0" w:space="0" w:color="auto"/>
            <w:right w:val="none" w:sz="0" w:space="0" w:color="auto"/>
          </w:divBdr>
        </w:div>
        <w:div w:id="326250926">
          <w:marLeft w:val="0"/>
          <w:marRight w:val="0"/>
          <w:marTop w:val="0"/>
          <w:marBottom w:val="0"/>
          <w:divBdr>
            <w:top w:val="none" w:sz="0" w:space="0" w:color="auto"/>
            <w:left w:val="none" w:sz="0" w:space="0" w:color="auto"/>
            <w:bottom w:val="none" w:sz="0" w:space="0" w:color="auto"/>
            <w:right w:val="none" w:sz="0" w:space="0" w:color="auto"/>
          </w:divBdr>
        </w:div>
        <w:div w:id="1754426454">
          <w:marLeft w:val="0"/>
          <w:marRight w:val="0"/>
          <w:marTop w:val="0"/>
          <w:marBottom w:val="0"/>
          <w:divBdr>
            <w:top w:val="none" w:sz="0" w:space="0" w:color="auto"/>
            <w:left w:val="none" w:sz="0" w:space="0" w:color="auto"/>
            <w:bottom w:val="none" w:sz="0" w:space="0" w:color="auto"/>
            <w:right w:val="none" w:sz="0" w:space="0" w:color="auto"/>
          </w:divBdr>
        </w:div>
        <w:div w:id="1019624469">
          <w:marLeft w:val="0"/>
          <w:marRight w:val="0"/>
          <w:marTop w:val="0"/>
          <w:marBottom w:val="0"/>
          <w:divBdr>
            <w:top w:val="none" w:sz="0" w:space="0" w:color="auto"/>
            <w:left w:val="none" w:sz="0" w:space="0" w:color="auto"/>
            <w:bottom w:val="none" w:sz="0" w:space="0" w:color="auto"/>
            <w:right w:val="none" w:sz="0" w:space="0" w:color="auto"/>
          </w:divBdr>
        </w:div>
        <w:div w:id="136923704">
          <w:marLeft w:val="0"/>
          <w:marRight w:val="0"/>
          <w:marTop w:val="0"/>
          <w:marBottom w:val="0"/>
          <w:divBdr>
            <w:top w:val="none" w:sz="0" w:space="0" w:color="auto"/>
            <w:left w:val="none" w:sz="0" w:space="0" w:color="auto"/>
            <w:bottom w:val="none" w:sz="0" w:space="0" w:color="auto"/>
            <w:right w:val="none" w:sz="0" w:space="0" w:color="auto"/>
          </w:divBdr>
        </w:div>
        <w:div w:id="1423182890">
          <w:marLeft w:val="0"/>
          <w:marRight w:val="0"/>
          <w:marTop w:val="0"/>
          <w:marBottom w:val="0"/>
          <w:divBdr>
            <w:top w:val="none" w:sz="0" w:space="0" w:color="auto"/>
            <w:left w:val="none" w:sz="0" w:space="0" w:color="auto"/>
            <w:bottom w:val="none" w:sz="0" w:space="0" w:color="auto"/>
            <w:right w:val="none" w:sz="0" w:space="0" w:color="auto"/>
          </w:divBdr>
        </w:div>
        <w:div w:id="926309988">
          <w:marLeft w:val="0"/>
          <w:marRight w:val="0"/>
          <w:marTop w:val="0"/>
          <w:marBottom w:val="0"/>
          <w:divBdr>
            <w:top w:val="none" w:sz="0" w:space="0" w:color="auto"/>
            <w:left w:val="none" w:sz="0" w:space="0" w:color="auto"/>
            <w:bottom w:val="none" w:sz="0" w:space="0" w:color="auto"/>
            <w:right w:val="none" w:sz="0" w:space="0" w:color="auto"/>
          </w:divBdr>
        </w:div>
        <w:div w:id="1093092387">
          <w:marLeft w:val="0"/>
          <w:marRight w:val="0"/>
          <w:marTop w:val="0"/>
          <w:marBottom w:val="0"/>
          <w:divBdr>
            <w:top w:val="none" w:sz="0" w:space="0" w:color="auto"/>
            <w:left w:val="none" w:sz="0" w:space="0" w:color="auto"/>
            <w:bottom w:val="none" w:sz="0" w:space="0" w:color="auto"/>
            <w:right w:val="none" w:sz="0" w:space="0" w:color="auto"/>
          </w:divBdr>
        </w:div>
        <w:div w:id="128327835">
          <w:marLeft w:val="0"/>
          <w:marRight w:val="0"/>
          <w:marTop w:val="0"/>
          <w:marBottom w:val="0"/>
          <w:divBdr>
            <w:top w:val="none" w:sz="0" w:space="0" w:color="auto"/>
            <w:left w:val="none" w:sz="0" w:space="0" w:color="auto"/>
            <w:bottom w:val="none" w:sz="0" w:space="0" w:color="auto"/>
            <w:right w:val="none" w:sz="0" w:space="0" w:color="auto"/>
          </w:divBdr>
        </w:div>
        <w:div w:id="1946694777">
          <w:marLeft w:val="0"/>
          <w:marRight w:val="0"/>
          <w:marTop w:val="0"/>
          <w:marBottom w:val="0"/>
          <w:divBdr>
            <w:top w:val="none" w:sz="0" w:space="0" w:color="auto"/>
            <w:left w:val="none" w:sz="0" w:space="0" w:color="auto"/>
            <w:bottom w:val="none" w:sz="0" w:space="0" w:color="auto"/>
            <w:right w:val="none" w:sz="0" w:space="0" w:color="auto"/>
          </w:divBdr>
        </w:div>
        <w:div w:id="446706526">
          <w:marLeft w:val="0"/>
          <w:marRight w:val="0"/>
          <w:marTop w:val="0"/>
          <w:marBottom w:val="0"/>
          <w:divBdr>
            <w:top w:val="none" w:sz="0" w:space="0" w:color="auto"/>
            <w:left w:val="none" w:sz="0" w:space="0" w:color="auto"/>
            <w:bottom w:val="none" w:sz="0" w:space="0" w:color="auto"/>
            <w:right w:val="none" w:sz="0" w:space="0" w:color="auto"/>
          </w:divBdr>
        </w:div>
        <w:div w:id="879130380">
          <w:marLeft w:val="0"/>
          <w:marRight w:val="0"/>
          <w:marTop w:val="0"/>
          <w:marBottom w:val="0"/>
          <w:divBdr>
            <w:top w:val="none" w:sz="0" w:space="0" w:color="auto"/>
            <w:left w:val="none" w:sz="0" w:space="0" w:color="auto"/>
            <w:bottom w:val="none" w:sz="0" w:space="0" w:color="auto"/>
            <w:right w:val="none" w:sz="0" w:space="0" w:color="auto"/>
          </w:divBdr>
        </w:div>
        <w:div w:id="991980624">
          <w:marLeft w:val="0"/>
          <w:marRight w:val="0"/>
          <w:marTop w:val="0"/>
          <w:marBottom w:val="0"/>
          <w:divBdr>
            <w:top w:val="none" w:sz="0" w:space="0" w:color="auto"/>
            <w:left w:val="none" w:sz="0" w:space="0" w:color="auto"/>
            <w:bottom w:val="none" w:sz="0" w:space="0" w:color="auto"/>
            <w:right w:val="none" w:sz="0" w:space="0" w:color="auto"/>
          </w:divBdr>
        </w:div>
        <w:div w:id="1875996393">
          <w:marLeft w:val="0"/>
          <w:marRight w:val="0"/>
          <w:marTop w:val="0"/>
          <w:marBottom w:val="0"/>
          <w:divBdr>
            <w:top w:val="none" w:sz="0" w:space="0" w:color="auto"/>
            <w:left w:val="none" w:sz="0" w:space="0" w:color="auto"/>
            <w:bottom w:val="none" w:sz="0" w:space="0" w:color="auto"/>
            <w:right w:val="none" w:sz="0" w:space="0" w:color="auto"/>
          </w:divBdr>
        </w:div>
        <w:div w:id="164635732">
          <w:marLeft w:val="0"/>
          <w:marRight w:val="0"/>
          <w:marTop w:val="0"/>
          <w:marBottom w:val="0"/>
          <w:divBdr>
            <w:top w:val="none" w:sz="0" w:space="0" w:color="auto"/>
            <w:left w:val="none" w:sz="0" w:space="0" w:color="auto"/>
            <w:bottom w:val="none" w:sz="0" w:space="0" w:color="auto"/>
            <w:right w:val="none" w:sz="0" w:space="0" w:color="auto"/>
          </w:divBdr>
        </w:div>
        <w:div w:id="1008872470">
          <w:marLeft w:val="0"/>
          <w:marRight w:val="0"/>
          <w:marTop w:val="0"/>
          <w:marBottom w:val="0"/>
          <w:divBdr>
            <w:top w:val="none" w:sz="0" w:space="0" w:color="auto"/>
            <w:left w:val="none" w:sz="0" w:space="0" w:color="auto"/>
            <w:bottom w:val="none" w:sz="0" w:space="0" w:color="auto"/>
            <w:right w:val="none" w:sz="0" w:space="0" w:color="auto"/>
          </w:divBdr>
        </w:div>
        <w:div w:id="1665622928">
          <w:marLeft w:val="0"/>
          <w:marRight w:val="0"/>
          <w:marTop w:val="0"/>
          <w:marBottom w:val="0"/>
          <w:divBdr>
            <w:top w:val="none" w:sz="0" w:space="0" w:color="auto"/>
            <w:left w:val="none" w:sz="0" w:space="0" w:color="auto"/>
            <w:bottom w:val="none" w:sz="0" w:space="0" w:color="auto"/>
            <w:right w:val="none" w:sz="0" w:space="0" w:color="auto"/>
          </w:divBdr>
        </w:div>
        <w:div w:id="560751983">
          <w:marLeft w:val="0"/>
          <w:marRight w:val="0"/>
          <w:marTop w:val="0"/>
          <w:marBottom w:val="0"/>
          <w:divBdr>
            <w:top w:val="none" w:sz="0" w:space="0" w:color="auto"/>
            <w:left w:val="none" w:sz="0" w:space="0" w:color="auto"/>
            <w:bottom w:val="none" w:sz="0" w:space="0" w:color="auto"/>
            <w:right w:val="none" w:sz="0" w:space="0" w:color="auto"/>
          </w:divBdr>
        </w:div>
        <w:div w:id="2022587087">
          <w:marLeft w:val="0"/>
          <w:marRight w:val="0"/>
          <w:marTop w:val="0"/>
          <w:marBottom w:val="0"/>
          <w:divBdr>
            <w:top w:val="none" w:sz="0" w:space="0" w:color="auto"/>
            <w:left w:val="none" w:sz="0" w:space="0" w:color="auto"/>
            <w:bottom w:val="none" w:sz="0" w:space="0" w:color="auto"/>
            <w:right w:val="none" w:sz="0" w:space="0" w:color="auto"/>
          </w:divBdr>
        </w:div>
        <w:div w:id="944001396">
          <w:marLeft w:val="0"/>
          <w:marRight w:val="0"/>
          <w:marTop w:val="0"/>
          <w:marBottom w:val="0"/>
          <w:divBdr>
            <w:top w:val="none" w:sz="0" w:space="0" w:color="auto"/>
            <w:left w:val="none" w:sz="0" w:space="0" w:color="auto"/>
            <w:bottom w:val="none" w:sz="0" w:space="0" w:color="auto"/>
            <w:right w:val="none" w:sz="0" w:space="0" w:color="auto"/>
          </w:divBdr>
        </w:div>
        <w:div w:id="2118720259">
          <w:marLeft w:val="0"/>
          <w:marRight w:val="0"/>
          <w:marTop w:val="0"/>
          <w:marBottom w:val="0"/>
          <w:divBdr>
            <w:top w:val="none" w:sz="0" w:space="0" w:color="auto"/>
            <w:left w:val="none" w:sz="0" w:space="0" w:color="auto"/>
            <w:bottom w:val="none" w:sz="0" w:space="0" w:color="auto"/>
            <w:right w:val="none" w:sz="0" w:space="0" w:color="auto"/>
          </w:divBdr>
        </w:div>
        <w:div w:id="1265771289">
          <w:marLeft w:val="0"/>
          <w:marRight w:val="0"/>
          <w:marTop w:val="0"/>
          <w:marBottom w:val="0"/>
          <w:divBdr>
            <w:top w:val="none" w:sz="0" w:space="0" w:color="auto"/>
            <w:left w:val="none" w:sz="0" w:space="0" w:color="auto"/>
            <w:bottom w:val="none" w:sz="0" w:space="0" w:color="auto"/>
            <w:right w:val="none" w:sz="0" w:space="0" w:color="auto"/>
          </w:divBdr>
        </w:div>
        <w:div w:id="2144420418">
          <w:marLeft w:val="0"/>
          <w:marRight w:val="0"/>
          <w:marTop w:val="0"/>
          <w:marBottom w:val="0"/>
          <w:divBdr>
            <w:top w:val="none" w:sz="0" w:space="0" w:color="auto"/>
            <w:left w:val="none" w:sz="0" w:space="0" w:color="auto"/>
            <w:bottom w:val="none" w:sz="0" w:space="0" w:color="auto"/>
            <w:right w:val="none" w:sz="0" w:space="0" w:color="auto"/>
          </w:divBdr>
        </w:div>
        <w:div w:id="1990478174">
          <w:marLeft w:val="0"/>
          <w:marRight w:val="0"/>
          <w:marTop w:val="0"/>
          <w:marBottom w:val="0"/>
          <w:divBdr>
            <w:top w:val="none" w:sz="0" w:space="0" w:color="auto"/>
            <w:left w:val="none" w:sz="0" w:space="0" w:color="auto"/>
            <w:bottom w:val="none" w:sz="0" w:space="0" w:color="auto"/>
            <w:right w:val="none" w:sz="0" w:space="0" w:color="auto"/>
          </w:divBdr>
        </w:div>
        <w:div w:id="1207448606">
          <w:marLeft w:val="0"/>
          <w:marRight w:val="0"/>
          <w:marTop w:val="0"/>
          <w:marBottom w:val="0"/>
          <w:divBdr>
            <w:top w:val="none" w:sz="0" w:space="0" w:color="auto"/>
            <w:left w:val="none" w:sz="0" w:space="0" w:color="auto"/>
            <w:bottom w:val="none" w:sz="0" w:space="0" w:color="auto"/>
            <w:right w:val="none" w:sz="0" w:space="0" w:color="auto"/>
          </w:divBdr>
        </w:div>
        <w:div w:id="2075540529">
          <w:marLeft w:val="0"/>
          <w:marRight w:val="0"/>
          <w:marTop w:val="0"/>
          <w:marBottom w:val="0"/>
          <w:divBdr>
            <w:top w:val="none" w:sz="0" w:space="0" w:color="auto"/>
            <w:left w:val="none" w:sz="0" w:space="0" w:color="auto"/>
            <w:bottom w:val="none" w:sz="0" w:space="0" w:color="auto"/>
            <w:right w:val="none" w:sz="0" w:space="0" w:color="auto"/>
          </w:divBdr>
        </w:div>
      </w:divsChild>
    </w:div>
    <w:div w:id="982544193">
      <w:bodyDiv w:val="1"/>
      <w:marLeft w:val="0"/>
      <w:marRight w:val="0"/>
      <w:marTop w:val="0"/>
      <w:marBottom w:val="0"/>
      <w:divBdr>
        <w:top w:val="none" w:sz="0" w:space="0" w:color="auto"/>
        <w:left w:val="none" w:sz="0" w:space="0" w:color="auto"/>
        <w:bottom w:val="none" w:sz="0" w:space="0" w:color="auto"/>
        <w:right w:val="none" w:sz="0" w:space="0" w:color="auto"/>
      </w:divBdr>
      <w:divsChild>
        <w:div w:id="1468015412">
          <w:marLeft w:val="0"/>
          <w:marRight w:val="0"/>
          <w:marTop w:val="0"/>
          <w:marBottom w:val="0"/>
          <w:divBdr>
            <w:top w:val="none" w:sz="0" w:space="0" w:color="auto"/>
            <w:left w:val="none" w:sz="0" w:space="0" w:color="auto"/>
            <w:bottom w:val="none" w:sz="0" w:space="0" w:color="auto"/>
            <w:right w:val="none" w:sz="0" w:space="0" w:color="auto"/>
          </w:divBdr>
        </w:div>
        <w:div w:id="581914580">
          <w:marLeft w:val="0"/>
          <w:marRight w:val="0"/>
          <w:marTop w:val="0"/>
          <w:marBottom w:val="0"/>
          <w:divBdr>
            <w:top w:val="none" w:sz="0" w:space="0" w:color="auto"/>
            <w:left w:val="none" w:sz="0" w:space="0" w:color="auto"/>
            <w:bottom w:val="none" w:sz="0" w:space="0" w:color="auto"/>
            <w:right w:val="none" w:sz="0" w:space="0" w:color="auto"/>
          </w:divBdr>
        </w:div>
        <w:div w:id="500659655">
          <w:marLeft w:val="0"/>
          <w:marRight w:val="0"/>
          <w:marTop w:val="0"/>
          <w:marBottom w:val="0"/>
          <w:divBdr>
            <w:top w:val="none" w:sz="0" w:space="0" w:color="auto"/>
            <w:left w:val="none" w:sz="0" w:space="0" w:color="auto"/>
            <w:bottom w:val="none" w:sz="0" w:space="0" w:color="auto"/>
            <w:right w:val="none" w:sz="0" w:space="0" w:color="auto"/>
          </w:divBdr>
        </w:div>
        <w:div w:id="2037850391">
          <w:marLeft w:val="0"/>
          <w:marRight w:val="0"/>
          <w:marTop w:val="0"/>
          <w:marBottom w:val="0"/>
          <w:divBdr>
            <w:top w:val="none" w:sz="0" w:space="0" w:color="auto"/>
            <w:left w:val="none" w:sz="0" w:space="0" w:color="auto"/>
            <w:bottom w:val="none" w:sz="0" w:space="0" w:color="auto"/>
            <w:right w:val="none" w:sz="0" w:space="0" w:color="auto"/>
          </w:divBdr>
        </w:div>
        <w:div w:id="102766640">
          <w:marLeft w:val="0"/>
          <w:marRight w:val="0"/>
          <w:marTop w:val="0"/>
          <w:marBottom w:val="0"/>
          <w:divBdr>
            <w:top w:val="none" w:sz="0" w:space="0" w:color="auto"/>
            <w:left w:val="none" w:sz="0" w:space="0" w:color="auto"/>
            <w:bottom w:val="none" w:sz="0" w:space="0" w:color="auto"/>
            <w:right w:val="none" w:sz="0" w:space="0" w:color="auto"/>
          </w:divBdr>
        </w:div>
        <w:div w:id="1994721964">
          <w:marLeft w:val="0"/>
          <w:marRight w:val="0"/>
          <w:marTop w:val="0"/>
          <w:marBottom w:val="0"/>
          <w:divBdr>
            <w:top w:val="none" w:sz="0" w:space="0" w:color="auto"/>
            <w:left w:val="none" w:sz="0" w:space="0" w:color="auto"/>
            <w:bottom w:val="none" w:sz="0" w:space="0" w:color="auto"/>
            <w:right w:val="none" w:sz="0" w:space="0" w:color="auto"/>
          </w:divBdr>
        </w:div>
        <w:div w:id="1838567781">
          <w:marLeft w:val="0"/>
          <w:marRight w:val="0"/>
          <w:marTop w:val="0"/>
          <w:marBottom w:val="0"/>
          <w:divBdr>
            <w:top w:val="none" w:sz="0" w:space="0" w:color="auto"/>
            <w:left w:val="none" w:sz="0" w:space="0" w:color="auto"/>
            <w:bottom w:val="none" w:sz="0" w:space="0" w:color="auto"/>
            <w:right w:val="none" w:sz="0" w:space="0" w:color="auto"/>
          </w:divBdr>
        </w:div>
      </w:divsChild>
    </w:div>
    <w:div w:id="1053238603">
      <w:bodyDiv w:val="1"/>
      <w:marLeft w:val="0"/>
      <w:marRight w:val="0"/>
      <w:marTop w:val="0"/>
      <w:marBottom w:val="0"/>
      <w:divBdr>
        <w:top w:val="none" w:sz="0" w:space="0" w:color="auto"/>
        <w:left w:val="none" w:sz="0" w:space="0" w:color="auto"/>
        <w:bottom w:val="none" w:sz="0" w:space="0" w:color="auto"/>
        <w:right w:val="none" w:sz="0" w:space="0" w:color="auto"/>
      </w:divBdr>
      <w:divsChild>
        <w:div w:id="1508867987">
          <w:marLeft w:val="0"/>
          <w:marRight w:val="0"/>
          <w:marTop w:val="0"/>
          <w:marBottom w:val="0"/>
          <w:divBdr>
            <w:top w:val="none" w:sz="0" w:space="0" w:color="auto"/>
            <w:left w:val="none" w:sz="0" w:space="0" w:color="auto"/>
            <w:bottom w:val="none" w:sz="0" w:space="0" w:color="auto"/>
            <w:right w:val="none" w:sz="0" w:space="0" w:color="auto"/>
          </w:divBdr>
        </w:div>
        <w:div w:id="1669139999">
          <w:marLeft w:val="0"/>
          <w:marRight w:val="0"/>
          <w:marTop w:val="0"/>
          <w:marBottom w:val="0"/>
          <w:divBdr>
            <w:top w:val="none" w:sz="0" w:space="0" w:color="auto"/>
            <w:left w:val="none" w:sz="0" w:space="0" w:color="auto"/>
            <w:bottom w:val="none" w:sz="0" w:space="0" w:color="auto"/>
            <w:right w:val="none" w:sz="0" w:space="0" w:color="auto"/>
          </w:divBdr>
        </w:div>
        <w:div w:id="1464809865">
          <w:marLeft w:val="0"/>
          <w:marRight w:val="0"/>
          <w:marTop w:val="0"/>
          <w:marBottom w:val="0"/>
          <w:divBdr>
            <w:top w:val="none" w:sz="0" w:space="0" w:color="auto"/>
            <w:left w:val="none" w:sz="0" w:space="0" w:color="auto"/>
            <w:bottom w:val="none" w:sz="0" w:space="0" w:color="auto"/>
            <w:right w:val="none" w:sz="0" w:space="0" w:color="auto"/>
          </w:divBdr>
        </w:div>
        <w:div w:id="1533886333">
          <w:marLeft w:val="0"/>
          <w:marRight w:val="0"/>
          <w:marTop w:val="0"/>
          <w:marBottom w:val="0"/>
          <w:divBdr>
            <w:top w:val="none" w:sz="0" w:space="0" w:color="auto"/>
            <w:left w:val="none" w:sz="0" w:space="0" w:color="auto"/>
            <w:bottom w:val="none" w:sz="0" w:space="0" w:color="auto"/>
            <w:right w:val="none" w:sz="0" w:space="0" w:color="auto"/>
          </w:divBdr>
        </w:div>
        <w:div w:id="978150017">
          <w:marLeft w:val="0"/>
          <w:marRight w:val="0"/>
          <w:marTop w:val="0"/>
          <w:marBottom w:val="0"/>
          <w:divBdr>
            <w:top w:val="none" w:sz="0" w:space="0" w:color="auto"/>
            <w:left w:val="none" w:sz="0" w:space="0" w:color="auto"/>
            <w:bottom w:val="none" w:sz="0" w:space="0" w:color="auto"/>
            <w:right w:val="none" w:sz="0" w:space="0" w:color="auto"/>
          </w:divBdr>
        </w:div>
        <w:div w:id="612054343">
          <w:marLeft w:val="0"/>
          <w:marRight w:val="0"/>
          <w:marTop w:val="0"/>
          <w:marBottom w:val="0"/>
          <w:divBdr>
            <w:top w:val="none" w:sz="0" w:space="0" w:color="auto"/>
            <w:left w:val="none" w:sz="0" w:space="0" w:color="auto"/>
            <w:bottom w:val="none" w:sz="0" w:space="0" w:color="auto"/>
            <w:right w:val="none" w:sz="0" w:space="0" w:color="auto"/>
          </w:divBdr>
        </w:div>
        <w:div w:id="2102675140">
          <w:marLeft w:val="0"/>
          <w:marRight w:val="0"/>
          <w:marTop w:val="0"/>
          <w:marBottom w:val="0"/>
          <w:divBdr>
            <w:top w:val="none" w:sz="0" w:space="0" w:color="auto"/>
            <w:left w:val="none" w:sz="0" w:space="0" w:color="auto"/>
            <w:bottom w:val="none" w:sz="0" w:space="0" w:color="auto"/>
            <w:right w:val="none" w:sz="0" w:space="0" w:color="auto"/>
          </w:divBdr>
        </w:div>
        <w:div w:id="1614091788">
          <w:marLeft w:val="0"/>
          <w:marRight w:val="0"/>
          <w:marTop w:val="0"/>
          <w:marBottom w:val="0"/>
          <w:divBdr>
            <w:top w:val="none" w:sz="0" w:space="0" w:color="auto"/>
            <w:left w:val="none" w:sz="0" w:space="0" w:color="auto"/>
            <w:bottom w:val="none" w:sz="0" w:space="0" w:color="auto"/>
            <w:right w:val="none" w:sz="0" w:space="0" w:color="auto"/>
          </w:divBdr>
        </w:div>
        <w:div w:id="1402216920">
          <w:marLeft w:val="0"/>
          <w:marRight w:val="0"/>
          <w:marTop w:val="0"/>
          <w:marBottom w:val="0"/>
          <w:divBdr>
            <w:top w:val="none" w:sz="0" w:space="0" w:color="auto"/>
            <w:left w:val="none" w:sz="0" w:space="0" w:color="auto"/>
            <w:bottom w:val="none" w:sz="0" w:space="0" w:color="auto"/>
            <w:right w:val="none" w:sz="0" w:space="0" w:color="auto"/>
          </w:divBdr>
        </w:div>
        <w:div w:id="1686398470">
          <w:marLeft w:val="0"/>
          <w:marRight w:val="0"/>
          <w:marTop w:val="0"/>
          <w:marBottom w:val="0"/>
          <w:divBdr>
            <w:top w:val="none" w:sz="0" w:space="0" w:color="auto"/>
            <w:left w:val="none" w:sz="0" w:space="0" w:color="auto"/>
            <w:bottom w:val="none" w:sz="0" w:space="0" w:color="auto"/>
            <w:right w:val="none" w:sz="0" w:space="0" w:color="auto"/>
          </w:divBdr>
        </w:div>
        <w:div w:id="487091325">
          <w:marLeft w:val="0"/>
          <w:marRight w:val="0"/>
          <w:marTop w:val="0"/>
          <w:marBottom w:val="0"/>
          <w:divBdr>
            <w:top w:val="none" w:sz="0" w:space="0" w:color="auto"/>
            <w:left w:val="none" w:sz="0" w:space="0" w:color="auto"/>
            <w:bottom w:val="none" w:sz="0" w:space="0" w:color="auto"/>
            <w:right w:val="none" w:sz="0" w:space="0" w:color="auto"/>
          </w:divBdr>
        </w:div>
        <w:div w:id="440149446">
          <w:marLeft w:val="0"/>
          <w:marRight w:val="0"/>
          <w:marTop w:val="0"/>
          <w:marBottom w:val="0"/>
          <w:divBdr>
            <w:top w:val="none" w:sz="0" w:space="0" w:color="auto"/>
            <w:left w:val="none" w:sz="0" w:space="0" w:color="auto"/>
            <w:bottom w:val="none" w:sz="0" w:space="0" w:color="auto"/>
            <w:right w:val="none" w:sz="0" w:space="0" w:color="auto"/>
          </w:divBdr>
        </w:div>
        <w:div w:id="888346593">
          <w:marLeft w:val="0"/>
          <w:marRight w:val="0"/>
          <w:marTop w:val="0"/>
          <w:marBottom w:val="0"/>
          <w:divBdr>
            <w:top w:val="none" w:sz="0" w:space="0" w:color="auto"/>
            <w:left w:val="none" w:sz="0" w:space="0" w:color="auto"/>
            <w:bottom w:val="none" w:sz="0" w:space="0" w:color="auto"/>
            <w:right w:val="none" w:sz="0" w:space="0" w:color="auto"/>
          </w:divBdr>
        </w:div>
        <w:div w:id="295764774">
          <w:marLeft w:val="0"/>
          <w:marRight w:val="0"/>
          <w:marTop w:val="0"/>
          <w:marBottom w:val="0"/>
          <w:divBdr>
            <w:top w:val="none" w:sz="0" w:space="0" w:color="auto"/>
            <w:left w:val="none" w:sz="0" w:space="0" w:color="auto"/>
            <w:bottom w:val="none" w:sz="0" w:space="0" w:color="auto"/>
            <w:right w:val="none" w:sz="0" w:space="0" w:color="auto"/>
          </w:divBdr>
        </w:div>
        <w:div w:id="1186821704">
          <w:marLeft w:val="0"/>
          <w:marRight w:val="0"/>
          <w:marTop w:val="0"/>
          <w:marBottom w:val="0"/>
          <w:divBdr>
            <w:top w:val="none" w:sz="0" w:space="0" w:color="auto"/>
            <w:left w:val="none" w:sz="0" w:space="0" w:color="auto"/>
            <w:bottom w:val="none" w:sz="0" w:space="0" w:color="auto"/>
            <w:right w:val="none" w:sz="0" w:space="0" w:color="auto"/>
          </w:divBdr>
        </w:div>
        <w:div w:id="1681927297">
          <w:marLeft w:val="0"/>
          <w:marRight w:val="0"/>
          <w:marTop w:val="0"/>
          <w:marBottom w:val="0"/>
          <w:divBdr>
            <w:top w:val="none" w:sz="0" w:space="0" w:color="auto"/>
            <w:left w:val="none" w:sz="0" w:space="0" w:color="auto"/>
            <w:bottom w:val="none" w:sz="0" w:space="0" w:color="auto"/>
            <w:right w:val="none" w:sz="0" w:space="0" w:color="auto"/>
          </w:divBdr>
        </w:div>
        <w:div w:id="1778286319">
          <w:marLeft w:val="0"/>
          <w:marRight w:val="0"/>
          <w:marTop w:val="0"/>
          <w:marBottom w:val="0"/>
          <w:divBdr>
            <w:top w:val="none" w:sz="0" w:space="0" w:color="auto"/>
            <w:left w:val="none" w:sz="0" w:space="0" w:color="auto"/>
            <w:bottom w:val="none" w:sz="0" w:space="0" w:color="auto"/>
            <w:right w:val="none" w:sz="0" w:space="0" w:color="auto"/>
          </w:divBdr>
        </w:div>
        <w:div w:id="888541706">
          <w:marLeft w:val="0"/>
          <w:marRight w:val="0"/>
          <w:marTop w:val="0"/>
          <w:marBottom w:val="0"/>
          <w:divBdr>
            <w:top w:val="none" w:sz="0" w:space="0" w:color="auto"/>
            <w:left w:val="none" w:sz="0" w:space="0" w:color="auto"/>
            <w:bottom w:val="none" w:sz="0" w:space="0" w:color="auto"/>
            <w:right w:val="none" w:sz="0" w:space="0" w:color="auto"/>
          </w:divBdr>
        </w:div>
        <w:div w:id="480148885">
          <w:marLeft w:val="0"/>
          <w:marRight w:val="0"/>
          <w:marTop w:val="0"/>
          <w:marBottom w:val="0"/>
          <w:divBdr>
            <w:top w:val="none" w:sz="0" w:space="0" w:color="auto"/>
            <w:left w:val="none" w:sz="0" w:space="0" w:color="auto"/>
            <w:bottom w:val="none" w:sz="0" w:space="0" w:color="auto"/>
            <w:right w:val="none" w:sz="0" w:space="0" w:color="auto"/>
          </w:divBdr>
        </w:div>
        <w:div w:id="1484079332">
          <w:marLeft w:val="0"/>
          <w:marRight w:val="0"/>
          <w:marTop w:val="0"/>
          <w:marBottom w:val="0"/>
          <w:divBdr>
            <w:top w:val="none" w:sz="0" w:space="0" w:color="auto"/>
            <w:left w:val="none" w:sz="0" w:space="0" w:color="auto"/>
            <w:bottom w:val="none" w:sz="0" w:space="0" w:color="auto"/>
            <w:right w:val="none" w:sz="0" w:space="0" w:color="auto"/>
          </w:divBdr>
        </w:div>
        <w:div w:id="2093160419">
          <w:marLeft w:val="0"/>
          <w:marRight w:val="0"/>
          <w:marTop w:val="0"/>
          <w:marBottom w:val="0"/>
          <w:divBdr>
            <w:top w:val="none" w:sz="0" w:space="0" w:color="auto"/>
            <w:left w:val="none" w:sz="0" w:space="0" w:color="auto"/>
            <w:bottom w:val="none" w:sz="0" w:space="0" w:color="auto"/>
            <w:right w:val="none" w:sz="0" w:space="0" w:color="auto"/>
          </w:divBdr>
        </w:div>
        <w:div w:id="1856993964">
          <w:marLeft w:val="0"/>
          <w:marRight w:val="0"/>
          <w:marTop w:val="0"/>
          <w:marBottom w:val="0"/>
          <w:divBdr>
            <w:top w:val="none" w:sz="0" w:space="0" w:color="auto"/>
            <w:left w:val="none" w:sz="0" w:space="0" w:color="auto"/>
            <w:bottom w:val="none" w:sz="0" w:space="0" w:color="auto"/>
            <w:right w:val="none" w:sz="0" w:space="0" w:color="auto"/>
          </w:divBdr>
        </w:div>
        <w:div w:id="1019697451">
          <w:marLeft w:val="0"/>
          <w:marRight w:val="0"/>
          <w:marTop w:val="0"/>
          <w:marBottom w:val="0"/>
          <w:divBdr>
            <w:top w:val="none" w:sz="0" w:space="0" w:color="auto"/>
            <w:left w:val="none" w:sz="0" w:space="0" w:color="auto"/>
            <w:bottom w:val="none" w:sz="0" w:space="0" w:color="auto"/>
            <w:right w:val="none" w:sz="0" w:space="0" w:color="auto"/>
          </w:divBdr>
        </w:div>
        <w:div w:id="1623490419">
          <w:marLeft w:val="0"/>
          <w:marRight w:val="0"/>
          <w:marTop w:val="0"/>
          <w:marBottom w:val="0"/>
          <w:divBdr>
            <w:top w:val="none" w:sz="0" w:space="0" w:color="auto"/>
            <w:left w:val="none" w:sz="0" w:space="0" w:color="auto"/>
            <w:bottom w:val="none" w:sz="0" w:space="0" w:color="auto"/>
            <w:right w:val="none" w:sz="0" w:space="0" w:color="auto"/>
          </w:divBdr>
        </w:div>
        <w:div w:id="536968435">
          <w:marLeft w:val="0"/>
          <w:marRight w:val="0"/>
          <w:marTop w:val="0"/>
          <w:marBottom w:val="0"/>
          <w:divBdr>
            <w:top w:val="none" w:sz="0" w:space="0" w:color="auto"/>
            <w:left w:val="none" w:sz="0" w:space="0" w:color="auto"/>
            <w:bottom w:val="none" w:sz="0" w:space="0" w:color="auto"/>
            <w:right w:val="none" w:sz="0" w:space="0" w:color="auto"/>
          </w:divBdr>
        </w:div>
        <w:div w:id="674765872">
          <w:marLeft w:val="0"/>
          <w:marRight w:val="0"/>
          <w:marTop w:val="0"/>
          <w:marBottom w:val="0"/>
          <w:divBdr>
            <w:top w:val="none" w:sz="0" w:space="0" w:color="auto"/>
            <w:left w:val="none" w:sz="0" w:space="0" w:color="auto"/>
            <w:bottom w:val="none" w:sz="0" w:space="0" w:color="auto"/>
            <w:right w:val="none" w:sz="0" w:space="0" w:color="auto"/>
          </w:divBdr>
        </w:div>
        <w:div w:id="1680617333">
          <w:marLeft w:val="0"/>
          <w:marRight w:val="0"/>
          <w:marTop w:val="0"/>
          <w:marBottom w:val="0"/>
          <w:divBdr>
            <w:top w:val="none" w:sz="0" w:space="0" w:color="auto"/>
            <w:left w:val="none" w:sz="0" w:space="0" w:color="auto"/>
            <w:bottom w:val="none" w:sz="0" w:space="0" w:color="auto"/>
            <w:right w:val="none" w:sz="0" w:space="0" w:color="auto"/>
          </w:divBdr>
        </w:div>
        <w:div w:id="1121729376">
          <w:marLeft w:val="0"/>
          <w:marRight w:val="0"/>
          <w:marTop w:val="0"/>
          <w:marBottom w:val="0"/>
          <w:divBdr>
            <w:top w:val="none" w:sz="0" w:space="0" w:color="auto"/>
            <w:left w:val="none" w:sz="0" w:space="0" w:color="auto"/>
            <w:bottom w:val="none" w:sz="0" w:space="0" w:color="auto"/>
            <w:right w:val="none" w:sz="0" w:space="0" w:color="auto"/>
          </w:divBdr>
        </w:div>
        <w:div w:id="1837064734">
          <w:marLeft w:val="0"/>
          <w:marRight w:val="0"/>
          <w:marTop w:val="0"/>
          <w:marBottom w:val="0"/>
          <w:divBdr>
            <w:top w:val="none" w:sz="0" w:space="0" w:color="auto"/>
            <w:left w:val="none" w:sz="0" w:space="0" w:color="auto"/>
            <w:bottom w:val="none" w:sz="0" w:space="0" w:color="auto"/>
            <w:right w:val="none" w:sz="0" w:space="0" w:color="auto"/>
          </w:divBdr>
        </w:div>
        <w:div w:id="894707649">
          <w:marLeft w:val="0"/>
          <w:marRight w:val="0"/>
          <w:marTop w:val="0"/>
          <w:marBottom w:val="0"/>
          <w:divBdr>
            <w:top w:val="none" w:sz="0" w:space="0" w:color="auto"/>
            <w:left w:val="none" w:sz="0" w:space="0" w:color="auto"/>
            <w:bottom w:val="none" w:sz="0" w:space="0" w:color="auto"/>
            <w:right w:val="none" w:sz="0" w:space="0" w:color="auto"/>
          </w:divBdr>
        </w:div>
        <w:div w:id="644428589">
          <w:marLeft w:val="0"/>
          <w:marRight w:val="0"/>
          <w:marTop w:val="0"/>
          <w:marBottom w:val="0"/>
          <w:divBdr>
            <w:top w:val="none" w:sz="0" w:space="0" w:color="auto"/>
            <w:left w:val="none" w:sz="0" w:space="0" w:color="auto"/>
            <w:bottom w:val="none" w:sz="0" w:space="0" w:color="auto"/>
            <w:right w:val="none" w:sz="0" w:space="0" w:color="auto"/>
          </w:divBdr>
        </w:div>
        <w:div w:id="1619680938">
          <w:marLeft w:val="0"/>
          <w:marRight w:val="0"/>
          <w:marTop w:val="0"/>
          <w:marBottom w:val="0"/>
          <w:divBdr>
            <w:top w:val="none" w:sz="0" w:space="0" w:color="auto"/>
            <w:left w:val="none" w:sz="0" w:space="0" w:color="auto"/>
            <w:bottom w:val="none" w:sz="0" w:space="0" w:color="auto"/>
            <w:right w:val="none" w:sz="0" w:space="0" w:color="auto"/>
          </w:divBdr>
        </w:div>
        <w:div w:id="1193111985">
          <w:marLeft w:val="0"/>
          <w:marRight w:val="0"/>
          <w:marTop w:val="0"/>
          <w:marBottom w:val="0"/>
          <w:divBdr>
            <w:top w:val="none" w:sz="0" w:space="0" w:color="auto"/>
            <w:left w:val="none" w:sz="0" w:space="0" w:color="auto"/>
            <w:bottom w:val="none" w:sz="0" w:space="0" w:color="auto"/>
            <w:right w:val="none" w:sz="0" w:space="0" w:color="auto"/>
          </w:divBdr>
        </w:div>
      </w:divsChild>
    </w:div>
    <w:div w:id="1126852503">
      <w:bodyDiv w:val="1"/>
      <w:marLeft w:val="0"/>
      <w:marRight w:val="0"/>
      <w:marTop w:val="0"/>
      <w:marBottom w:val="0"/>
      <w:divBdr>
        <w:top w:val="none" w:sz="0" w:space="0" w:color="auto"/>
        <w:left w:val="none" w:sz="0" w:space="0" w:color="auto"/>
        <w:bottom w:val="none" w:sz="0" w:space="0" w:color="auto"/>
        <w:right w:val="none" w:sz="0" w:space="0" w:color="auto"/>
      </w:divBdr>
      <w:divsChild>
        <w:div w:id="1676762847">
          <w:marLeft w:val="0"/>
          <w:marRight w:val="0"/>
          <w:marTop w:val="0"/>
          <w:marBottom w:val="0"/>
          <w:divBdr>
            <w:top w:val="none" w:sz="0" w:space="0" w:color="auto"/>
            <w:left w:val="none" w:sz="0" w:space="0" w:color="auto"/>
            <w:bottom w:val="none" w:sz="0" w:space="0" w:color="auto"/>
            <w:right w:val="none" w:sz="0" w:space="0" w:color="auto"/>
          </w:divBdr>
        </w:div>
        <w:div w:id="1131365871">
          <w:marLeft w:val="0"/>
          <w:marRight w:val="0"/>
          <w:marTop w:val="0"/>
          <w:marBottom w:val="0"/>
          <w:divBdr>
            <w:top w:val="none" w:sz="0" w:space="0" w:color="auto"/>
            <w:left w:val="none" w:sz="0" w:space="0" w:color="auto"/>
            <w:bottom w:val="none" w:sz="0" w:space="0" w:color="auto"/>
            <w:right w:val="none" w:sz="0" w:space="0" w:color="auto"/>
          </w:divBdr>
        </w:div>
        <w:div w:id="190925298">
          <w:marLeft w:val="0"/>
          <w:marRight w:val="0"/>
          <w:marTop w:val="0"/>
          <w:marBottom w:val="0"/>
          <w:divBdr>
            <w:top w:val="none" w:sz="0" w:space="0" w:color="auto"/>
            <w:left w:val="none" w:sz="0" w:space="0" w:color="auto"/>
            <w:bottom w:val="none" w:sz="0" w:space="0" w:color="auto"/>
            <w:right w:val="none" w:sz="0" w:space="0" w:color="auto"/>
          </w:divBdr>
        </w:div>
        <w:div w:id="1437752007">
          <w:marLeft w:val="0"/>
          <w:marRight w:val="0"/>
          <w:marTop w:val="0"/>
          <w:marBottom w:val="0"/>
          <w:divBdr>
            <w:top w:val="none" w:sz="0" w:space="0" w:color="auto"/>
            <w:left w:val="none" w:sz="0" w:space="0" w:color="auto"/>
            <w:bottom w:val="none" w:sz="0" w:space="0" w:color="auto"/>
            <w:right w:val="none" w:sz="0" w:space="0" w:color="auto"/>
          </w:divBdr>
        </w:div>
        <w:div w:id="877469353">
          <w:marLeft w:val="0"/>
          <w:marRight w:val="0"/>
          <w:marTop w:val="0"/>
          <w:marBottom w:val="0"/>
          <w:divBdr>
            <w:top w:val="none" w:sz="0" w:space="0" w:color="auto"/>
            <w:left w:val="none" w:sz="0" w:space="0" w:color="auto"/>
            <w:bottom w:val="none" w:sz="0" w:space="0" w:color="auto"/>
            <w:right w:val="none" w:sz="0" w:space="0" w:color="auto"/>
          </w:divBdr>
        </w:div>
      </w:divsChild>
    </w:div>
    <w:div w:id="1136528768">
      <w:bodyDiv w:val="1"/>
      <w:marLeft w:val="0"/>
      <w:marRight w:val="0"/>
      <w:marTop w:val="0"/>
      <w:marBottom w:val="0"/>
      <w:divBdr>
        <w:top w:val="none" w:sz="0" w:space="0" w:color="auto"/>
        <w:left w:val="none" w:sz="0" w:space="0" w:color="auto"/>
        <w:bottom w:val="none" w:sz="0" w:space="0" w:color="auto"/>
        <w:right w:val="none" w:sz="0" w:space="0" w:color="auto"/>
      </w:divBdr>
      <w:divsChild>
        <w:div w:id="1989288547">
          <w:marLeft w:val="0"/>
          <w:marRight w:val="0"/>
          <w:marTop w:val="0"/>
          <w:marBottom w:val="0"/>
          <w:divBdr>
            <w:top w:val="none" w:sz="0" w:space="0" w:color="auto"/>
            <w:left w:val="none" w:sz="0" w:space="0" w:color="auto"/>
            <w:bottom w:val="none" w:sz="0" w:space="0" w:color="auto"/>
            <w:right w:val="none" w:sz="0" w:space="0" w:color="auto"/>
          </w:divBdr>
        </w:div>
        <w:div w:id="1240677223">
          <w:marLeft w:val="0"/>
          <w:marRight w:val="0"/>
          <w:marTop w:val="0"/>
          <w:marBottom w:val="0"/>
          <w:divBdr>
            <w:top w:val="none" w:sz="0" w:space="0" w:color="auto"/>
            <w:left w:val="none" w:sz="0" w:space="0" w:color="auto"/>
            <w:bottom w:val="none" w:sz="0" w:space="0" w:color="auto"/>
            <w:right w:val="none" w:sz="0" w:space="0" w:color="auto"/>
          </w:divBdr>
        </w:div>
        <w:div w:id="2103262229">
          <w:marLeft w:val="0"/>
          <w:marRight w:val="0"/>
          <w:marTop w:val="0"/>
          <w:marBottom w:val="0"/>
          <w:divBdr>
            <w:top w:val="none" w:sz="0" w:space="0" w:color="auto"/>
            <w:left w:val="none" w:sz="0" w:space="0" w:color="auto"/>
            <w:bottom w:val="none" w:sz="0" w:space="0" w:color="auto"/>
            <w:right w:val="none" w:sz="0" w:space="0" w:color="auto"/>
          </w:divBdr>
        </w:div>
        <w:div w:id="80878784">
          <w:marLeft w:val="0"/>
          <w:marRight w:val="0"/>
          <w:marTop w:val="0"/>
          <w:marBottom w:val="0"/>
          <w:divBdr>
            <w:top w:val="none" w:sz="0" w:space="0" w:color="auto"/>
            <w:left w:val="none" w:sz="0" w:space="0" w:color="auto"/>
            <w:bottom w:val="none" w:sz="0" w:space="0" w:color="auto"/>
            <w:right w:val="none" w:sz="0" w:space="0" w:color="auto"/>
          </w:divBdr>
        </w:div>
        <w:div w:id="1945336172">
          <w:marLeft w:val="0"/>
          <w:marRight w:val="0"/>
          <w:marTop w:val="0"/>
          <w:marBottom w:val="0"/>
          <w:divBdr>
            <w:top w:val="none" w:sz="0" w:space="0" w:color="auto"/>
            <w:left w:val="none" w:sz="0" w:space="0" w:color="auto"/>
            <w:bottom w:val="none" w:sz="0" w:space="0" w:color="auto"/>
            <w:right w:val="none" w:sz="0" w:space="0" w:color="auto"/>
          </w:divBdr>
        </w:div>
      </w:divsChild>
    </w:div>
    <w:div w:id="1149513631">
      <w:bodyDiv w:val="1"/>
      <w:marLeft w:val="0"/>
      <w:marRight w:val="0"/>
      <w:marTop w:val="0"/>
      <w:marBottom w:val="0"/>
      <w:divBdr>
        <w:top w:val="none" w:sz="0" w:space="0" w:color="auto"/>
        <w:left w:val="none" w:sz="0" w:space="0" w:color="auto"/>
        <w:bottom w:val="none" w:sz="0" w:space="0" w:color="auto"/>
        <w:right w:val="none" w:sz="0" w:space="0" w:color="auto"/>
      </w:divBdr>
      <w:divsChild>
        <w:div w:id="614286122">
          <w:marLeft w:val="0"/>
          <w:marRight w:val="0"/>
          <w:marTop w:val="0"/>
          <w:marBottom w:val="0"/>
          <w:divBdr>
            <w:top w:val="none" w:sz="0" w:space="0" w:color="auto"/>
            <w:left w:val="none" w:sz="0" w:space="0" w:color="auto"/>
            <w:bottom w:val="none" w:sz="0" w:space="0" w:color="auto"/>
            <w:right w:val="none" w:sz="0" w:space="0" w:color="auto"/>
          </w:divBdr>
        </w:div>
        <w:div w:id="1248467381">
          <w:marLeft w:val="0"/>
          <w:marRight w:val="0"/>
          <w:marTop w:val="0"/>
          <w:marBottom w:val="0"/>
          <w:divBdr>
            <w:top w:val="none" w:sz="0" w:space="0" w:color="auto"/>
            <w:left w:val="none" w:sz="0" w:space="0" w:color="auto"/>
            <w:bottom w:val="none" w:sz="0" w:space="0" w:color="auto"/>
            <w:right w:val="none" w:sz="0" w:space="0" w:color="auto"/>
          </w:divBdr>
        </w:div>
        <w:div w:id="1037972478">
          <w:marLeft w:val="0"/>
          <w:marRight w:val="0"/>
          <w:marTop w:val="0"/>
          <w:marBottom w:val="0"/>
          <w:divBdr>
            <w:top w:val="none" w:sz="0" w:space="0" w:color="auto"/>
            <w:left w:val="none" w:sz="0" w:space="0" w:color="auto"/>
            <w:bottom w:val="none" w:sz="0" w:space="0" w:color="auto"/>
            <w:right w:val="none" w:sz="0" w:space="0" w:color="auto"/>
          </w:divBdr>
        </w:div>
        <w:div w:id="481047583">
          <w:marLeft w:val="0"/>
          <w:marRight w:val="0"/>
          <w:marTop w:val="0"/>
          <w:marBottom w:val="0"/>
          <w:divBdr>
            <w:top w:val="none" w:sz="0" w:space="0" w:color="auto"/>
            <w:left w:val="none" w:sz="0" w:space="0" w:color="auto"/>
            <w:bottom w:val="none" w:sz="0" w:space="0" w:color="auto"/>
            <w:right w:val="none" w:sz="0" w:space="0" w:color="auto"/>
          </w:divBdr>
        </w:div>
        <w:div w:id="492648212">
          <w:marLeft w:val="0"/>
          <w:marRight w:val="0"/>
          <w:marTop w:val="0"/>
          <w:marBottom w:val="0"/>
          <w:divBdr>
            <w:top w:val="none" w:sz="0" w:space="0" w:color="auto"/>
            <w:left w:val="none" w:sz="0" w:space="0" w:color="auto"/>
            <w:bottom w:val="none" w:sz="0" w:space="0" w:color="auto"/>
            <w:right w:val="none" w:sz="0" w:space="0" w:color="auto"/>
          </w:divBdr>
        </w:div>
        <w:div w:id="404571586">
          <w:marLeft w:val="0"/>
          <w:marRight w:val="0"/>
          <w:marTop w:val="0"/>
          <w:marBottom w:val="0"/>
          <w:divBdr>
            <w:top w:val="none" w:sz="0" w:space="0" w:color="auto"/>
            <w:left w:val="none" w:sz="0" w:space="0" w:color="auto"/>
            <w:bottom w:val="none" w:sz="0" w:space="0" w:color="auto"/>
            <w:right w:val="none" w:sz="0" w:space="0" w:color="auto"/>
          </w:divBdr>
        </w:div>
        <w:div w:id="967122602">
          <w:marLeft w:val="0"/>
          <w:marRight w:val="0"/>
          <w:marTop w:val="0"/>
          <w:marBottom w:val="0"/>
          <w:divBdr>
            <w:top w:val="none" w:sz="0" w:space="0" w:color="auto"/>
            <w:left w:val="none" w:sz="0" w:space="0" w:color="auto"/>
            <w:bottom w:val="none" w:sz="0" w:space="0" w:color="auto"/>
            <w:right w:val="none" w:sz="0" w:space="0" w:color="auto"/>
          </w:divBdr>
        </w:div>
        <w:div w:id="26764364">
          <w:marLeft w:val="0"/>
          <w:marRight w:val="0"/>
          <w:marTop w:val="0"/>
          <w:marBottom w:val="0"/>
          <w:divBdr>
            <w:top w:val="none" w:sz="0" w:space="0" w:color="auto"/>
            <w:left w:val="none" w:sz="0" w:space="0" w:color="auto"/>
            <w:bottom w:val="none" w:sz="0" w:space="0" w:color="auto"/>
            <w:right w:val="none" w:sz="0" w:space="0" w:color="auto"/>
          </w:divBdr>
        </w:div>
        <w:div w:id="1800607496">
          <w:marLeft w:val="0"/>
          <w:marRight w:val="0"/>
          <w:marTop w:val="0"/>
          <w:marBottom w:val="0"/>
          <w:divBdr>
            <w:top w:val="none" w:sz="0" w:space="0" w:color="auto"/>
            <w:left w:val="none" w:sz="0" w:space="0" w:color="auto"/>
            <w:bottom w:val="none" w:sz="0" w:space="0" w:color="auto"/>
            <w:right w:val="none" w:sz="0" w:space="0" w:color="auto"/>
          </w:divBdr>
        </w:div>
        <w:div w:id="176428715">
          <w:marLeft w:val="0"/>
          <w:marRight w:val="0"/>
          <w:marTop w:val="0"/>
          <w:marBottom w:val="0"/>
          <w:divBdr>
            <w:top w:val="none" w:sz="0" w:space="0" w:color="auto"/>
            <w:left w:val="none" w:sz="0" w:space="0" w:color="auto"/>
            <w:bottom w:val="none" w:sz="0" w:space="0" w:color="auto"/>
            <w:right w:val="none" w:sz="0" w:space="0" w:color="auto"/>
          </w:divBdr>
        </w:div>
        <w:div w:id="958950604">
          <w:marLeft w:val="0"/>
          <w:marRight w:val="0"/>
          <w:marTop w:val="0"/>
          <w:marBottom w:val="0"/>
          <w:divBdr>
            <w:top w:val="none" w:sz="0" w:space="0" w:color="auto"/>
            <w:left w:val="none" w:sz="0" w:space="0" w:color="auto"/>
            <w:bottom w:val="none" w:sz="0" w:space="0" w:color="auto"/>
            <w:right w:val="none" w:sz="0" w:space="0" w:color="auto"/>
          </w:divBdr>
        </w:div>
        <w:div w:id="2026438791">
          <w:marLeft w:val="0"/>
          <w:marRight w:val="0"/>
          <w:marTop w:val="0"/>
          <w:marBottom w:val="0"/>
          <w:divBdr>
            <w:top w:val="none" w:sz="0" w:space="0" w:color="auto"/>
            <w:left w:val="none" w:sz="0" w:space="0" w:color="auto"/>
            <w:bottom w:val="none" w:sz="0" w:space="0" w:color="auto"/>
            <w:right w:val="none" w:sz="0" w:space="0" w:color="auto"/>
          </w:divBdr>
        </w:div>
      </w:divsChild>
    </w:div>
    <w:div w:id="1157957632">
      <w:bodyDiv w:val="1"/>
      <w:marLeft w:val="0"/>
      <w:marRight w:val="0"/>
      <w:marTop w:val="0"/>
      <w:marBottom w:val="0"/>
      <w:divBdr>
        <w:top w:val="none" w:sz="0" w:space="0" w:color="auto"/>
        <w:left w:val="none" w:sz="0" w:space="0" w:color="auto"/>
        <w:bottom w:val="none" w:sz="0" w:space="0" w:color="auto"/>
        <w:right w:val="none" w:sz="0" w:space="0" w:color="auto"/>
      </w:divBdr>
      <w:divsChild>
        <w:div w:id="962418344">
          <w:marLeft w:val="0"/>
          <w:marRight w:val="0"/>
          <w:marTop w:val="0"/>
          <w:marBottom w:val="0"/>
          <w:divBdr>
            <w:top w:val="none" w:sz="0" w:space="0" w:color="auto"/>
            <w:left w:val="none" w:sz="0" w:space="0" w:color="auto"/>
            <w:bottom w:val="none" w:sz="0" w:space="0" w:color="auto"/>
            <w:right w:val="none" w:sz="0" w:space="0" w:color="auto"/>
          </w:divBdr>
        </w:div>
        <w:div w:id="243347428">
          <w:marLeft w:val="0"/>
          <w:marRight w:val="0"/>
          <w:marTop w:val="0"/>
          <w:marBottom w:val="0"/>
          <w:divBdr>
            <w:top w:val="none" w:sz="0" w:space="0" w:color="auto"/>
            <w:left w:val="none" w:sz="0" w:space="0" w:color="auto"/>
            <w:bottom w:val="none" w:sz="0" w:space="0" w:color="auto"/>
            <w:right w:val="none" w:sz="0" w:space="0" w:color="auto"/>
          </w:divBdr>
        </w:div>
        <w:div w:id="1316302766">
          <w:marLeft w:val="0"/>
          <w:marRight w:val="0"/>
          <w:marTop w:val="0"/>
          <w:marBottom w:val="0"/>
          <w:divBdr>
            <w:top w:val="none" w:sz="0" w:space="0" w:color="auto"/>
            <w:left w:val="none" w:sz="0" w:space="0" w:color="auto"/>
            <w:bottom w:val="none" w:sz="0" w:space="0" w:color="auto"/>
            <w:right w:val="none" w:sz="0" w:space="0" w:color="auto"/>
          </w:divBdr>
        </w:div>
        <w:div w:id="1180654905">
          <w:marLeft w:val="0"/>
          <w:marRight w:val="0"/>
          <w:marTop w:val="0"/>
          <w:marBottom w:val="0"/>
          <w:divBdr>
            <w:top w:val="none" w:sz="0" w:space="0" w:color="auto"/>
            <w:left w:val="none" w:sz="0" w:space="0" w:color="auto"/>
            <w:bottom w:val="none" w:sz="0" w:space="0" w:color="auto"/>
            <w:right w:val="none" w:sz="0" w:space="0" w:color="auto"/>
          </w:divBdr>
        </w:div>
        <w:div w:id="158929560">
          <w:marLeft w:val="0"/>
          <w:marRight w:val="0"/>
          <w:marTop w:val="0"/>
          <w:marBottom w:val="0"/>
          <w:divBdr>
            <w:top w:val="none" w:sz="0" w:space="0" w:color="auto"/>
            <w:left w:val="none" w:sz="0" w:space="0" w:color="auto"/>
            <w:bottom w:val="none" w:sz="0" w:space="0" w:color="auto"/>
            <w:right w:val="none" w:sz="0" w:space="0" w:color="auto"/>
          </w:divBdr>
        </w:div>
        <w:div w:id="1356080545">
          <w:marLeft w:val="0"/>
          <w:marRight w:val="0"/>
          <w:marTop w:val="0"/>
          <w:marBottom w:val="0"/>
          <w:divBdr>
            <w:top w:val="none" w:sz="0" w:space="0" w:color="auto"/>
            <w:left w:val="none" w:sz="0" w:space="0" w:color="auto"/>
            <w:bottom w:val="none" w:sz="0" w:space="0" w:color="auto"/>
            <w:right w:val="none" w:sz="0" w:space="0" w:color="auto"/>
          </w:divBdr>
        </w:div>
        <w:div w:id="470632556">
          <w:marLeft w:val="0"/>
          <w:marRight w:val="0"/>
          <w:marTop w:val="0"/>
          <w:marBottom w:val="0"/>
          <w:divBdr>
            <w:top w:val="none" w:sz="0" w:space="0" w:color="auto"/>
            <w:left w:val="none" w:sz="0" w:space="0" w:color="auto"/>
            <w:bottom w:val="none" w:sz="0" w:space="0" w:color="auto"/>
            <w:right w:val="none" w:sz="0" w:space="0" w:color="auto"/>
          </w:divBdr>
        </w:div>
        <w:div w:id="14499112">
          <w:marLeft w:val="0"/>
          <w:marRight w:val="0"/>
          <w:marTop w:val="0"/>
          <w:marBottom w:val="0"/>
          <w:divBdr>
            <w:top w:val="none" w:sz="0" w:space="0" w:color="auto"/>
            <w:left w:val="none" w:sz="0" w:space="0" w:color="auto"/>
            <w:bottom w:val="none" w:sz="0" w:space="0" w:color="auto"/>
            <w:right w:val="none" w:sz="0" w:space="0" w:color="auto"/>
          </w:divBdr>
        </w:div>
        <w:div w:id="973145911">
          <w:marLeft w:val="0"/>
          <w:marRight w:val="0"/>
          <w:marTop w:val="0"/>
          <w:marBottom w:val="0"/>
          <w:divBdr>
            <w:top w:val="none" w:sz="0" w:space="0" w:color="auto"/>
            <w:left w:val="none" w:sz="0" w:space="0" w:color="auto"/>
            <w:bottom w:val="none" w:sz="0" w:space="0" w:color="auto"/>
            <w:right w:val="none" w:sz="0" w:space="0" w:color="auto"/>
          </w:divBdr>
        </w:div>
        <w:div w:id="1107308716">
          <w:marLeft w:val="0"/>
          <w:marRight w:val="0"/>
          <w:marTop w:val="0"/>
          <w:marBottom w:val="0"/>
          <w:divBdr>
            <w:top w:val="none" w:sz="0" w:space="0" w:color="auto"/>
            <w:left w:val="none" w:sz="0" w:space="0" w:color="auto"/>
            <w:bottom w:val="none" w:sz="0" w:space="0" w:color="auto"/>
            <w:right w:val="none" w:sz="0" w:space="0" w:color="auto"/>
          </w:divBdr>
        </w:div>
        <w:div w:id="1281914441">
          <w:marLeft w:val="0"/>
          <w:marRight w:val="0"/>
          <w:marTop w:val="0"/>
          <w:marBottom w:val="0"/>
          <w:divBdr>
            <w:top w:val="none" w:sz="0" w:space="0" w:color="auto"/>
            <w:left w:val="none" w:sz="0" w:space="0" w:color="auto"/>
            <w:bottom w:val="none" w:sz="0" w:space="0" w:color="auto"/>
            <w:right w:val="none" w:sz="0" w:space="0" w:color="auto"/>
          </w:divBdr>
        </w:div>
        <w:div w:id="1999379852">
          <w:marLeft w:val="0"/>
          <w:marRight w:val="0"/>
          <w:marTop w:val="0"/>
          <w:marBottom w:val="0"/>
          <w:divBdr>
            <w:top w:val="none" w:sz="0" w:space="0" w:color="auto"/>
            <w:left w:val="none" w:sz="0" w:space="0" w:color="auto"/>
            <w:bottom w:val="none" w:sz="0" w:space="0" w:color="auto"/>
            <w:right w:val="none" w:sz="0" w:space="0" w:color="auto"/>
          </w:divBdr>
        </w:div>
        <w:div w:id="315961859">
          <w:marLeft w:val="0"/>
          <w:marRight w:val="0"/>
          <w:marTop w:val="0"/>
          <w:marBottom w:val="0"/>
          <w:divBdr>
            <w:top w:val="none" w:sz="0" w:space="0" w:color="auto"/>
            <w:left w:val="none" w:sz="0" w:space="0" w:color="auto"/>
            <w:bottom w:val="none" w:sz="0" w:space="0" w:color="auto"/>
            <w:right w:val="none" w:sz="0" w:space="0" w:color="auto"/>
          </w:divBdr>
        </w:div>
        <w:div w:id="1186091165">
          <w:marLeft w:val="0"/>
          <w:marRight w:val="0"/>
          <w:marTop w:val="0"/>
          <w:marBottom w:val="0"/>
          <w:divBdr>
            <w:top w:val="none" w:sz="0" w:space="0" w:color="auto"/>
            <w:left w:val="none" w:sz="0" w:space="0" w:color="auto"/>
            <w:bottom w:val="none" w:sz="0" w:space="0" w:color="auto"/>
            <w:right w:val="none" w:sz="0" w:space="0" w:color="auto"/>
          </w:divBdr>
        </w:div>
        <w:div w:id="1222598234">
          <w:marLeft w:val="0"/>
          <w:marRight w:val="0"/>
          <w:marTop w:val="0"/>
          <w:marBottom w:val="0"/>
          <w:divBdr>
            <w:top w:val="none" w:sz="0" w:space="0" w:color="auto"/>
            <w:left w:val="none" w:sz="0" w:space="0" w:color="auto"/>
            <w:bottom w:val="none" w:sz="0" w:space="0" w:color="auto"/>
            <w:right w:val="none" w:sz="0" w:space="0" w:color="auto"/>
          </w:divBdr>
        </w:div>
        <w:div w:id="1492525241">
          <w:marLeft w:val="0"/>
          <w:marRight w:val="0"/>
          <w:marTop w:val="0"/>
          <w:marBottom w:val="0"/>
          <w:divBdr>
            <w:top w:val="none" w:sz="0" w:space="0" w:color="auto"/>
            <w:left w:val="none" w:sz="0" w:space="0" w:color="auto"/>
            <w:bottom w:val="none" w:sz="0" w:space="0" w:color="auto"/>
            <w:right w:val="none" w:sz="0" w:space="0" w:color="auto"/>
          </w:divBdr>
        </w:div>
        <w:div w:id="2066440897">
          <w:marLeft w:val="0"/>
          <w:marRight w:val="0"/>
          <w:marTop w:val="0"/>
          <w:marBottom w:val="0"/>
          <w:divBdr>
            <w:top w:val="none" w:sz="0" w:space="0" w:color="auto"/>
            <w:left w:val="none" w:sz="0" w:space="0" w:color="auto"/>
            <w:bottom w:val="none" w:sz="0" w:space="0" w:color="auto"/>
            <w:right w:val="none" w:sz="0" w:space="0" w:color="auto"/>
          </w:divBdr>
        </w:div>
        <w:div w:id="600650314">
          <w:marLeft w:val="0"/>
          <w:marRight w:val="0"/>
          <w:marTop w:val="0"/>
          <w:marBottom w:val="0"/>
          <w:divBdr>
            <w:top w:val="none" w:sz="0" w:space="0" w:color="auto"/>
            <w:left w:val="none" w:sz="0" w:space="0" w:color="auto"/>
            <w:bottom w:val="none" w:sz="0" w:space="0" w:color="auto"/>
            <w:right w:val="none" w:sz="0" w:space="0" w:color="auto"/>
          </w:divBdr>
        </w:div>
        <w:div w:id="1398819564">
          <w:marLeft w:val="0"/>
          <w:marRight w:val="0"/>
          <w:marTop w:val="0"/>
          <w:marBottom w:val="0"/>
          <w:divBdr>
            <w:top w:val="none" w:sz="0" w:space="0" w:color="auto"/>
            <w:left w:val="none" w:sz="0" w:space="0" w:color="auto"/>
            <w:bottom w:val="none" w:sz="0" w:space="0" w:color="auto"/>
            <w:right w:val="none" w:sz="0" w:space="0" w:color="auto"/>
          </w:divBdr>
        </w:div>
        <w:div w:id="1721980775">
          <w:marLeft w:val="0"/>
          <w:marRight w:val="0"/>
          <w:marTop w:val="0"/>
          <w:marBottom w:val="0"/>
          <w:divBdr>
            <w:top w:val="none" w:sz="0" w:space="0" w:color="auto"/>
            <w:left w:val="none" w:sz="0" w:space="0" w:color="auto"/>
            <w:bottom w:val="none" w:sz="0" w:space="0" w:color="auto"/>
            <w:right w:val="none" w:sz="0" w:space="0" w:color="auto"/>
          </w:divBdr>
        </w:div>
        <w:div w:id="958414206">
          <w:marLeft w:val="0"/>
          <w:marRight w:val="0"/>
          <w:marTop w:val="0"/>
          <w:marBottom w:val="0"/>
          <w:divBdr>
            <w:top w:val="none" w:sz="0" w:space="0" w:color="auto"/>
            <w:left w:val="none" w:sz="0" w:space="0" w:color="auto"/>
            <w:bottom w:val="none" w:sz="0" w:space="0" w:color="auto"/>
            <w:right w:val="none" w:sz="0" w:space="0" w:color="auto"/>
          </w:divBdr>
        </w:div>
        <w:div w:id="720137550">
          <w:marLeft w:val="0"/>
          <w:marRight w:val="0"/>
          <w:marTop w:val="0"/>
          <w:marBottom w:val="0"/>
          <w:divBdr>
            <w:top w:val="none" w:sz="0" w:space="0" w:color="auto"/>
            <w:left w:val="none" w:sz="0" w:space="0" w:color="auto"/>
            <w:bottom w:val="none" w:sz="0" w:space="0" w:color="auto"/>
            <w:right w:val="none" w:sz="0" w:space="0" w:color="auto"/>
          </w:divBdr>
        </w:div>
        <w:div w:id="1630162161">
          <w:marLeft w:val="0"/>
          <w:marRight w:val="0"/>
          <w:marTop w:val="0"/>
          <w:marBottom w:val="0"/>
          <w:divBdr>
            <w:top w:val="none" w:sz="0" w:space="0" w:color="auto"/>
            <w:left w:val="none" w:sz="0" w:space="0" w:color="auto"/>
            <w:bottom w:val="none" w:sz="0" w:space="0" w:color="auto"/>
            <w:right w:val="none" w:sz="0" w:space="0" w:color="auto"/>
          </w:divBdr>
        </w:div>
        <w:div w:id="1700010566">
          <w:marLeft w:val="0"/>
          <w:marRight w:val="0"/>
          <w:marTop w:val="0"/>
          <w:marBottom w:val="0"/>
          <w:divBdr>
            <w:top w:val="none" w:sz="0" w:space="0" w:color="auto"/>
            <w:left w:val="none" w:sz="0" w:space="0" w:color="auto"/>
            <w:bottom w:val="none" w:sz="0" w:space="0" w:color="auto"/>
            <w:right w:val="none" w:sz="0" w:space="0" w:color="auto"/>
          </w:divBdr>
        </w:div>
        <w:div w:id="1853257651">
          <w:marLeft w:val="0"/>
          <w:marRight w:val="0"/>
          <w:marTop w:val="0"/>
          <w:marBottom w:val="0"/>
          <w:divBdr>
            <w:top w:val="none" w:sz="0" w:space="0" w:color="auto"/>
            <w:left w:val="none" w:sz="0" w:space="0" w:color="auto"/>
            <w:bottom w:val="none" w:sz="0" w:space="0" w:color="auto"/>
            <w:right w:val="none" w:sz="0" w:space="0" w:color="auto"/>
          </w:divBdr>
        </w:div>
        <w:div w:id="877470149">
          <w:marLeft w:val="0"/>
          <w:marRight w:val="0"/>
          <w:marTop w:val="0"/>
          <w:marBottom w:val="0"/>
          <w:divBdr>
            <w:top w:val="none" w:sz="0" w:space="0" w:color="auto"/>
            <w:left w:val="none" w:sz="0" w:space="0" w:color="auto"/>
            <w:bottom w:val="none" w:sz="0" w:space="0" w:color="auto"/>
            <w:right w:val="none" w:sz="0" w:space="0" w:color="auto"/>
          </w:divBdr>
        </w:div>
        <w:div w:id="474562783">
          <w:marLeft w:val="0"/>
          <w:marRight w:val="0"/>
          <w:marTop w:val="0"/>
          <w:marBottom w:val="0"/>
          <w:divBdr>
            <w:top w:val="none" w:sz="0" w:space="0" w:color="auto"/>
            <w:left w:val="none" w:sz="0" w:space="0" w:color="auto"/>
            <w:bottom w:val="none" w:sz="0" w:space="0" w:color="auto"/>
            <w:right w:val="none" w:sz="0" w:space="0" w:color="auto"/>
          </w:divBdr>
        </w:div>
        <w:div w:id="1261527866">
          <w:marLeft w:val="0"/>
          <w:marRight w:val="0"/>
          <w:marTop w:val="0"/>
          <w:marBottom w:val="0"/>
          <w:divBdr>
            <w:top w:val="none" w:sz="0" w:space="0" w:color="auto"/>
            <w:left w:val="none" w:sz="0" w:space="0" w:color="auto"/>
            <w:bottom w:val="none" w:sz="0" w:space="0" w:color="auto"/>
            <w:right w:val="none" w:sz="0" w:space="0" w:color="auto"/>
          </w:divBdr>
        </w:div>
        <w:div w:id="1309239465">
          <w:marLeft w:val="0"/>
          <w:marRight w:val="0"/>
          <w:marTop w:val="0"/>
          <w:marBottom w:val="0"/>
          <w:divBdr>
            <w:top w:val="none" w:sz="0" w:space="0" w:color="auto"/>
            <w:left w:val="none" w:sz="0" w:space="0" w:color="auto"/>
            <w:bottom w:val="none" w:sz="0" w:space="0" w:color="auto"/>
            <w:right w:val="none" w:sz="0" w:space="0" w:color="auto"/>
          </w:divBdr>
        </w:div>
        <w:div w:id="1358628383">
          <w:marLeft w:val="0"/>
          <w:marRight w:val="0"/>
          <w:marTop w:val="0"/>
          <w:marBottom w:val="0"/>
          <w:divBdr>
            <w:top w:val="none" w:sz="0" w:space="0" w:color="auto"/>
            <w:left w:val="none" w:sz="0" w:space="0" w:color="auto"/>
            <w:bottom w:val="none" w:sz="0" w:space="0" w:color="auto"/>
            <w:right w:val="none" w:sz="0" w:space="0" w:color="auto"/>
          </w:divBdr>
        </w:div>
        <w:div w:id="1701003646">
          <w:marLeft w:val="0"/>
          <w:marRight w:val="0"/>
          <w:marTop w:val="0"/>
          <w:marBottom w:val="0"/>
          <w:divBdr>
            <w:top w:val="none" w:sz="0" w:space="0" w:color="auto"/>
            <w:left w:val="none" w:sz="0" w:space="0" w:color="auto"/>
            <w:bottom w:val="none" w:sz="0" w:space="0" w:color="auto"/>
            <w:right w:val="none" w:sz="0" w:space="0" w:color="auto"/>
          </w:divBdr>
        </w:div>
        <w:div w:id="736325041">
          <w:marLeft w:val="0"/>
          <w:marRight w:val="0"/>
          <w:marTop w:val="0"/>
          <w:marBottom w:val="0"/>
          <w:divBdr>
            <w:top w:val="none" w:sz="0" w:space="0" w:color="auto"/>
            <w:left w:val="none" w:sz="0" w:space="0" w:color="auto"/>
            <w:bottom w:val="none" w:sz="0" w:space="0" w:color="auto"/>
            <w:right w:val="none" w:sz="0" w:space="0" w:color="auto"/>
          </w:divBdr>
        </w:div>
        <w:div w:id="1373457189">
          <w:marLeft w:val="0"/>
          <w:marRight w:val="0"/>
          <w:marTop w:val="0"/>
          <w:marBottom w:val="0"/>
          <w:divBdr>
            <w:top w:val="none" w:sz="0" w:space="0" w:color="auto"/>
            <w:left w:val="none" w:sz="0" w:space="0" w:color="auto"/>
            <w:bottom w:val="none" w:sz="0" w:space="0" w:color="auto"/>
            <w:right w:val="none" w:sz="0" w:space="0" w:color="auto"/>
          </w:divBdr>
        </w:div>
        <w:div w:id="1745181262">
          <w:marLeft w:val="0"/>
          <w:marRight w:val="0"/>
          <w:marTop w:val="0"/>
          <w:marBottom w:val="0"/>
          <w:divBdr>
            <w:top w:val="none" w:sz="0" w:space="0" w:color="auto"/>
            <w:left w:val="none" w:sz="0" w:space="0" w:color="auto"/>
            <w:bottom w:val="none" w:sz="0" w:space="0" w:color="auto"/>
            <w:right w:val="none" w:sz="0" w:space="0" w:color="auto"/>
          </w:divBdr>
        </w:div>
        <w:div w:id="2119517207">
          <w:marLeft w:val="0"/>
          <w:marRight w:val="0"/>
          <w:marTop w:val="0"/>
          <w:marBottom w:val="0"/>
          <w:divBdr>
            <w:top w:val="none" w:sz="0" w:space="0" w:color="auto"/>
            <w:left w:val="none" w:sz="0" w:space="0" w:color="auto"/>
            <w:bottom w:val="none" w:sz="0" w:space="0" w:color="auto"/>
            <w:right w:val="none" w:sz="0" w:space="0" w:color="auto"/>
          </w:divBdr>
        </w:div>
        <w:div w:id="827132067">
          <w:marLeft w:val="0"/>
          <w:marRight w:val="0"/>
          <w:marTop w:val="0"/>
          <w:marBottom w:val="0"/>
          <w:divBdr>
            <w:top w:val="none" w:sz="0" w:space="0" w:color="auto"/>
            <w:left w:val="none" w:sz="0" w:space="0" w:color="auto"/>
            <w:bottom w:val="none" w:sz="0" w:space="0" w:color="auto"/>
            <w:right w:val="none" w:sz="0" w:space="0" w:color="auto"/>
          </w:divBdr>
        </w:div>
        <w:div w:id="1802460254">
          <w:marLeft w:val="0"/>
          <w:marRight w:val="0"/>
          <w:marTop w:val="0"/>
          <w:marBottom w:val="0"/>
          <w:divBdr>
            <w:top w:val="none" w:sz="0" w:space="0" w:color="auto"/>
            <w:left w:val="none" w:sz="0" w:space="0" w:color="auto"/>
            <w:bottom w:val="none" w:sz="0" w:space="0" w:color="auto"/>
            <w:right w:val="none" w:sz="0" w:space="0" w:color="auto"/>
          </w:divBdr>
        </w:div>
        <w:div w:id="837382505">
          <w:marLeft w:val="0"/>
          <w:marRight w:val="0"/>
          <w:marTop w:val="0"/>
          <w:marBottom w:val="0"/>
          <w:divBdr>
            <w:top w:val="none" w:sz="0" w:space="0" w:color="auto"/>
            <w:left w:val="none" w:sz="0" w:space="0" w:color="auto"/>
            <w:bottom w:val="none" w:sz="0" w:space="0" w:color="auto"/>
            <w:right w:val="none" w:sz="0" w:space="0" w:color="auto"/>
          </w:divBdr>
        </w:div>
        <w:div w:id="2005160565">
          <w:marLeft w:val="0"/>
          <w:marRight w:val="0"/>
          <w:marTop w:val="0"/>
          <w:marBottom w:val="0"/>
          <w:divBdr>
            <w:top w:val="none" w:sz="0" w:space="0" w:color="auto"/>
            <w:left w:val="none" w:sz="0" w:space="0" w:color="auto"/>
            <w:bottom w:val="none" w:sz="0" w:space="0" w:color="auto"/>
            <w:right w:val="none" w:sz="0" w:space="0" w:color="auto"/>
          </w:divBdr>
        </w:div>
        <w:div w:id="1664505419">
          <w:marLeft w:val="0"/>
          <w:marRight w:val="0"/>
          <w:marTop w:val="0"/>
          <w:marBottom w:val="0"/>
          <w:divBdr>
            <w:top w:val="none" w:sz="0" w:space="0" w:color="auto"/>
            <w:left w:val="none" w:sz="0" w:space="0" w:color="auto"/>
            <w:bottom w:val="none" w:sz="0" w:space="0" w:color="auto"/>
            <w:right w:val="none" w:sz="0" w:space="0" w:color="auto"/>
          </w:divBdr>
        </w:div>
        <w:div w:id="561142809">
          <w:marLeft w:val="0"/>
          <w:marRight w:val="0"/>
          <w:marTop w:val="0"/>
          <w:marBottom w:val="0"/>
          <w:divBdr>
            <w:top w:val="none" w:sz="0" w:space="0" w:color="auto"/>
            <w:left w:val="none" w:sz="0" w:space="0" w:color="auto"/>
            <w:bottom w:val="none" w:sz="0" w:space="0" w:color="auto"/>
            <w:right w:val="none" w:sz="0" w:space="0" w:color="auto"/>
          </w:divBdr>
        </w:div>
        <w:div w:id="1513881754">
          <w:marLeft w:val="0"/>
          <w:marRight w:val="0"/>
          <w:marTop w:val="0"/>
          <w:marBottom w:val="0"/>
          <w:divBdr>
            <w:top w:val="none" w:sz="0" w:space="0" w:color="auto"/>
            <w:left w:val="none" w:sz="0" w:space="0" w:color="auto"/>
            <w:bottom w:val="none" w:sz="0" w:space="0" w:color="auto"/>
            <w:right w:val="none" w:sz="0" w:space="0" w:color="auto"/>
          </w:divBdr>
        </w:div>
        <w:div w:id="770779429">
          <w:marLeft w:val="0"/>
          <w:marRight w:val="0"/>
          <w:marTop w:val="0"/>
          <w:marBottom w:val="0"/>
          <w:divBdr>
            <w:top w:val="none" w:sz="0" w:space="0" w:color="auto"/>
            <w:left w:val="none" w:sz="0" w:space="0" w:color="auto"/>
            <w:bottom w:val="none" w:sz="0" w:space="0" w:color="auto"/>
            <w:right w:val="none" w:sz="0" w:space="0" w:color="auto"/>
          </w:divBdr>
        </w:div>
        <w:div w:id="239340376">
          <w:marLeft w:val="0"/>
          <w:marRight w:val="0"/>
          <w:marTop w:val="0"/>
          <w:marBottom w:val="0"/>
          <w:divBdr>
            <w:top w:val="none" w:sz="0" w:space="0" w:color="auto"/>
            <w:left w:val="none" w:sz="0" w:space="0" w:color="auto"/>
            <w:bottom w:val="none" w:sz="0" w:space="0" w:color="auto"/>
            <w:right w:val="none" w:sz="0" w:space="0" w:color="auto"/>
          </w:divBdr>
        </w:div>
        <w:div w:id="1143696501">
          <w:marLeft w:val="0"/>
          <w:marRight w:val="0"/>
          <w:marTop w:val="0"/>
          <w:marBottom w:val="0"/>
          <w:divBdr>
            <w:top w:val="none" w:sz="0" w:space="0" w:color="auto"/>
            <w:left w:val="none" w:sz="0" w:space="0" w:color="auto"/>
            <w:bottom w:val="none" w:sz="0" w:space="0" w:color="auto"/>
            <w:right w:val="none" w:sz="0" w:space="0" w:color="auto"/>
          </w:divBdr>
        </w:div>
        <w:div w:id="1600793527">
          <w:marLeft w:val="0"/>
          <w:marRight w:val="0"/>
          <w:marTop w:val="0"/>
          <w:marBottom w:val="0"/>
          <w:divBdr>
            <w:top w:val="none" w:sz="0" w:space="0" w:color="auto"/>
            <w:left w:val="none" w:sz="0" w:space="0" w:color="auto"/>
            <w:bottom w:val="none" w:sz="0" w:space="0" w:color="auto"/>
            <w:right w:val="none" w:sz="0" w:space="0" w:color="auto"/>
          </w:divBdr>
        </w:div>
        <w:div w:id="281377781">
          <w:marLeft w:val="0"/>
          <w:marRight w:val="0"/>
          <w:marTop w:val="0"/>
          <w:marBottom w:val="0"/>
          <w:divBdr>
            <w:top w:val="none" w:sz="0" w:space="0" w:color="auto"/>
            <w:left w:val="none" w:sz="0" w:space="0" w:color="auto"/>
            <w:bottom w:val="none" w:sz="0" w:space="0" w:color="auto"/>
            <w:right w:val="none" w:sz="0" w:space="0" w:color="auto"/>
          </w:divBdr>
        </w:div>
        <w:div w:id="498739790">
          <w:marLeft w:val="0"/>
          <w:marRight w:val="0"/>
          <w:marTop w:val="0"/>
          <w:marBottom w:val="0"/>
          <w:divBdr>
            <w:top w:val="none" w:sz="0" w:space="0" w:color="auto"/>
            <w:left w:val="none" w:sz="0" w:space="0" w:color="auto"/>
            <w:bottom w:val="none" w:sz="0" w:space="0" w:color="auto"/>
            <w:right w:val="none" w:sz="0" w:space="0" w:color="auto"/>
          </w:divBdr>
        </w:div>
        <w:div w:id="187178893">
          <w:marLeft w:val="0"/>
          <w:marRight w:val="0"/>
          <w:marTop w:val="0"/>
          <w:marBottom w:val="0"/>
          <w:divBdr>
            <w:top w:val="none" w:sz="0" w:space="0" w:color="auto"/>
            <w:left w:val="none" w:sz="0" w:space="0" w:color="auto"/>
            <w:bottom w:val="none" w:sz="0" w:space="0" w:color="auto"/>
            <w:right w:val="none" w:sz="0" w:space="0" w:color="auto"/>
          </w:divBdr>
        </w:div>
        <w:div w:id="1792701099">
          <w:marLeft w:val="0"/>
          <w:marRight w:val="0"/>
          <w:marTop w:val="0"/>
          <w:marBottom w:val="0"/>
          <w:divBdr>
            <w:top w:val="none" w:sz="0" w:space="0" w:color="auto"/>
            <w:left w:val="none" w:sz="0" w:space="0" w:color="auto"/>
            <w:bottom w:val="none" w:sz="0" w:space="0" w:color="auto"/>
            <w:right w:val="none" w:sz="0" w:space="0" w:color="auto"/>
          </w:divBdr>
        </w:div>
        <w:div w:id="998653275">
          <w:marLeft w:val="0"/>
          <w:marRight w:val="0"/>
          <w:marTop w:val="0"/>
          <w:marBottom w:val="0"/>
          <w:divBdr>
            <w:top w:val="none" w:sz="0" w:space="0" w:color="auto"/>
            <w:left w:val="none" w:sz="0" w:space="0" w:color="auto"/>
            <w:bottom w:val="none" w:sz="0" w:space="0" w:color="auto"/>
            <w:right w:val="none" w:sz="0" w:space="0" w:color="auto"/>
          </w:divBdr>
        </w:div>
        <w:div w:id="1787846051">
          <w:marLeft w:val="0"/>
          <w:marRight w:val="0"/>
          <w:marTop w:val="0"/>
          <w:marBottom w:val="0"/>
          <w:divBdr>
            <w:top w:val="none" w:sz="0" w:space="0" w:color="auto"/>
            <w:left w:val="none" w:sz="0" w:space="0" w:color="auto"/>
            <w:bottom w:val="none" w:sz="0" w:space="0" w:color="auto"/>
            <w:right w:val="none" w:sz="0" w:space="0" w:color="auto"/>
          </w:divBdr>
        </w:div>
        <w:div w:id="1341547672">
          <w:marLeft w:val="0"/>
          <w:marRight w:val="0"/>
          <w:marTop w:val="0"/>
          <w:marBottom w:val="0"/>
          <w:divBdr>
            <w:top w:val="none" w:sz="0" w:space="0" w:color="auto"/>
            <w:left w:val="none" w:sz="0" w:space="0" w:color="auto"/>
            <w:bottom w:val="none" w:sz="0" w:space="0" w:color="auto"/>
            <w:right w:val="none" w:sz="0" w:space="0" w:color="auto"/>
          </w:divBdr>
        </w:div>
        <w:div w:id="1166483941">
          <w:marLeft w:val="0"/>
          <w:marRight w:val="0"/>
          <w:marTop w:val="0"/>
          <w:marBottom w:val="0"/>
          <w:divBdr>
            <w:top w:val="none" w:sz="0" w:space="0" w:color="auto"/>
            <w:left w:val="none" w:sz="0" w:space="0" w:color="auto"/>
            <w:bottom w:val="none" w:sz="0" w:space="0" w:color="auto"/>
            <w:right w:val="none" w:sz="0" w:space="0" w:color="auto"/>
          </w:divBdr>
        </w:div>
        <w:div w:id="1672100373">
          <w:marLeft w:val="0"/>
          <w:marRight w:val="0"/>
          <w:marTop w:val="0"/>
          <w:marBottom w:val="0"/>
          <w:divBdr>
            <w:top w:val="none" w:sz="0" w:space="0" w:color="auto"/>
            <w:left w:val="none" w:sz="0" w:space="0" w:color="auto"/>
            <w:bottom w:val="none" w:sz="0" w:space="0" w:color="auto"/>
            <w:right w:val="none" w:sz="0" w:space="0" w:color="auto"/>
          </w:divBdr>
        </w:div>
        <w:div w:id="1147278916">
          <w:marLeft w:val="0"/>
          <w:marRight w:val="0"/>
          <w:marTop w:val="0"/>
          <w:marBottom w:val="0"/>
          <w:divBdr>
            <w:top w:val="none" w:sz="0" w:space="0" w:color="auto"/>
            <w:left w:val="none" w:sz="0" w:space="0" w:color="auto"/>
            <w:bottom w:val="none" w:sz="0" w:space="0" w:color="auto"/>
            <w:right w:val="none" w:sz="0" w:space="0" w:color="auto"/>
          </w:divBdr>
        </w:div>
        <w:div w:id="1120487573">
          <w:marLeft w:val="0"/>
          <w:marRight w:val="0"/>
          <w:marTop w:val="0"/>
          <w:marBottom w:val="0"/>
          <w:divBdr>
            <w:top w:val="none" w:sz="0" w:space="0" w:color="auto"/>
            <w:left w:val="none" w:sz="0" w:space="0" w:color="auto"/>
            <w:bottom w:val="none" w:sz="0" w:space="0" w:color="auto"/>
            <w:right w:val="none" w:sz="0" w:space="0" w:color="auto"/>
          </w:divBdr>
        </w:div>
        <w:div w:id="221990000">
          <w:marLeft w:val="0"/>
          <w:marRight w:val="0"/>
          <w:marTop w:val="0"/>
          <w:marBottom w:val="0"/>
          <w:divBdr>
            <w:top w:val="none" w:sz="0" w:space="0" w:color="auto"/>
            <w:left w:val="none" w:sz="0" w:space="0" w:color="auto"/>
            <w:bottom w:val="none" w:sz="0" w:space="0" w:color="auto"/>
            <w:right w:val="none" w:sz="0" w:space="0" w:color="auto"/>
          </w:divBdr>
        </w:div>
        <w:div w:id="2056419389">
          <w:marLeft w:val="0"/>
          <w:marRight w:val="0"/>
          <w:marTop w:val="0"/>
          <w:marBottom w:val="0"/>
          <w:divBdr>
            <w:top w:val="none" w:sz="0" w:space="0" w:color="auto"/>
            <w:left w:val="none" w:sz="0" w:space="0" w:color="auto"/>
            <w:bottom w:val="none" w:sz="0" w:space="0" w:color="auto"/>
            <w:right w:val="none" w:sz="0" w:space="0" w:color="auto"/>
          </w:divBdr>
        </w:div>
        <w:div w:id="1838499382">
          <w:marLeft w:val="0"/>
          <w:marRight w:val="0"/>
          <w:marTop w:val="0"/>
          <w:marBottom w:val="0"/>
          <w:divBdr>
            <w:top w:val="none" w:sz="0" w:space="0" w:color="auto"/>
            <w:left w:val="none" w:sz="0" w:space="0" w:color="auto"/>
            <w:bottom w:val="none" w:sz="0" w:space="0" w:color="auto"/>
            <w:right w:val="none" w:sz="0" w:space="0" w:color="auto"/>
          </w:divBdr>
        </w:div>
        <w:div w:id="578373132">
          <w:marLeft w:val="0"/>
          <w:marRight w:val="0"/>
          <w:marTop w:val="0"/>
          <w:marBottom w:val="0"/>
          <w:divBdr>
            <w:top w:val="none" w:sz="0" w:space="0" w:color="auto"/>
            <w:left w:val="none" w:sz="0" w:space="0" w:color="auto"/>
            <w:bottom w:val="none" w:sz="0" w:space="0" w:color="auto"/>
            <w:right w:val="none" w:sz="0" w:space="0" w:color="auto"/>
          </w:divBdr>
        </w:div>
        <w:div w:id="1488672866">
          <w:marLeft w:val="0"/>
          <w:marRight w:val="0"/>
          <w:marTop w:val="0"/>
          <w:marBottom w:val="0"/>
          <w:divBdr>
            <w:top w:val="none" w:sz="0" w:space="0" w:color="auto"/>
            <w:left w:val="none" w:sz="0" w:space="0" w:color="auto"/>
            <w:bottom w:val="none" w:sz="0" w:space="0" w:color="auto"/>
            <w:right w:val="none" w:sz="0" w:space="0" w:color="auto"/>
          </w:divBdr>
        </w:div>
        <w:div w:id="1384911978">
          <w:marLeft w:val="0"/>
          <w:marRight w:val="0"/>
          <w:marTop w:val="0"/>
          <w:marBottom w:val="0"/>
          <w:divBdr>
            <w:top w:val="none" w:sz="0" w:space="0" w:color="auto"/>
            <w:left w:val="none" w:sz="0" w:space="0" w:color="auto"/>
            <w:bottom w:val="none" w:sz="0" w:space="0" w:color="auto"/>
            <w:right w:val="none" w:sz="0" w:space="0" w:color="auto"/>
          </w:divBdr>
        </w:div>
        <w:div w:id="891160774">
          <w:marLeft w:val="0"/>
          <w:marRight w:val="0"/>
          <w:marTop w:val="0"/>
          <w:marBottom w:val="0"/>
          <w:divBdr>
            <w:top w:val="none" w:sz="0" w:space="0" w:color="auto"/>
            <w:left w:val="none" w:sz="0" w:space="0" w:color="auto"/>
            <w:bottom w:val="none" w:sz="0" w:space="0" w:color="auto"/>
            <w:right w:val="none" w:sz="0" w:space="0" w:color="auto"/>
          </w:divBdr>
        </w:div>
        <w:div w:id="206645679">
          <w:marLeft w:val="0"/>
          <w:marRight w:val="0"/>
          <w:marTop w:val="0"/>
          <w:marBottom w:val="0"/>
          <w:divBdr>
            <w:top w:val="none" w:sz="0" w:space="0" w:color="auto"/>
            <w:left w:val="none" w:sz="0" w:space="0" w:color="auto"/>
            <w:bottom w:val="none" w:sz="0" w:space="0" w:color="auto"/>
            <w:right w:val="none" w:sz="0" w:space="0" w:color="auto"/>
          </w:divBdr>
        </w:div>
        <w:div w:id="587812846">
          <w:marLeft w:val="0"/>
          <w:marRight w:val="0"/>
          <w:marTop w:val="0"/>
          <w:marBottom w:val="0"/>
          <w:divBdr>
            <w:top w:val="none" w:sz="0" w:space="0" w:color="auto"/>
            <w:left w:val="none" w:sz="0" w:space="0" w:color="auto"/>
            <w:bottom w:val="none" w:sz="0" w:space="0" w:color="auto"/>
            <w:right w:val="none" w:sz="0" w:space="0" w:color="auto"/>
          </w:divBdr>
        </w:div>
        <w:div w:id="2116172512">
          <w:marLeft w:val="0"/>
          <w:marRight w:val="0"/>
          <w:marTop w:val="0"/>
          <w:marBottom w:val="0"/>
          <w:divBdr>
            <w:top w:val="none" w:sz="0" w:space="0" w:color="auto"/>
            <w:left w:val="none" w:sz="0" w:space="0" w:color="auto"/>
            <w:bottom w:val="none" w:sz="0" w:space="0" w:color="auto"/>
            <w:right w:val="none" w:sz="0" w:space="0" w:color="auto"/>
          </w:divBdr>
        </w:div>
        <w:div w:id="699748417">
          <w:marLeft w:val="0"/>
          <w:marRight w:val="0"/>
          <w:marTop w:val="0"/>
          <w:marBottom w:val="0"/>
          <w:divBdr>
            <w:top w:val="none" w:sz="0" w:space="0" w:color="auto"/>
            <w:left w:val="none" w:sz="0" w:space="0" w:color="auto"/>
            <w:bottom w:val="none" w:sz="0" w:space="0" w:color="auto"/>
            <w:right w:val="none" w:sz="0" w:space="0" w:color="auto"/>
          </w:divBdr>
        </w:div>
        <w:div w:id="1828132162">
          <w:marLeft w:val="0"/>
          <w:marRight w:val="0"/>
          <w:marTop w:val="0"/>
          <w:marBottom w:val="0"/>
          <w:divBdr>
            <w:top w:val="none" w:sz="0" w:space="0" w:color="auto"/>
            <w:left w:val="none" w:sz="0" w:space="0" w:color="auto"/>
            <w:bottom w:val="none" w:sz="0" w:space="0" w:color="auto"/>
            <w:right w:val="none" w:sz="0" w:space="0" w:color="auto"/>
          </w:divBdr>
        </w:div>
        <w:div w:id="158353794">
          <w:marLeft w:val="0"/>
          <w:marRight w:val="0"/>
          <w:marTop w:val="0"/>
          <w:marBottom w:val="0"/>
          <w:divBdr>
            <w:top w:val="none" w:sz="0" w:space="0" w:color="auto"/>
            <w:left w:val="none" w:sz="0" w:space="0" w:color="auto"/>
            <w:bottom w:val="none" w:sz="0" w:space="0" w:color="auto"/>
            <w:right w:val="none" w:sz="0" w:space="0" w:color="auto"/>
          </w:divBdr>
        </w:div>
        <w:div w:id="502352623">
          <w:marLeft w:val="0"/>
          <w:marRight w:val="0"/>
          <w:marTop w:val="0"/>
          <w:marBottom w:val="0"/>
          <w:divBdr>
            <w:top w:val="none" w:sz="0" w:space="0" w:color="auto"/>
            <w:left w:val="none" w:sz="0" w:space="0" w:color="auto"/>
            <w:bottom w:val="none" w:sz="0" w:space="0" w:color="auto"/>
            <w:right w:val="none" w:sz="0" w:space="0" w:color="auto"/>
          </w:divBdr>
        </w:div>
        <w:div w:id="1508641017">
          <w:marLeft w:val="0"/>
          <w:marRight w:val="0"/>
          <w:marTop w:val="0"/>
          <w:marBottom w:val="0"/>
          <w:divBdr>
            <w:top w:val="none" w:sz="0" w:space="0" w:color="auto"/>
            <w:left w:val="none" w:sz="0" w:space="0" w:color="auto"/>
            <w:bottom w:val="none" w:sz="0" w:space="0" w:color="auto"/>
            <w:right w:val="none" w:sz="0" w:space="0" w:color="auto"/>
          </w:divBdr>
        </w:div>
        <w:div w:id="1388410666">
          <w:marLeft w:val="0"/>
          <w:marRight w:val="0"/>
          <w:marTop w:val="0"/>
          <w:marBottom w:val="0"/>
          <w:divBdr>
            <w:top w:val="none" w:sz="0" w:space="0" w:color="auto"/>
            <w:left w:val="none" w:sz="0" w:space="0" w:color="auto"/>
            <w:bottom w:val="none" w:sz="0" w:space="0" w:color="auto"/>
            <w:right w:val="none" w:sz="0" w:space="0" w:color="auto"/>
          </w:divBdr>
        </w:div>
        <w:div w:id="1054505309">
          <w:marLeft w:val="0"/>
          <w:marRight w:val="0"/>
          <w:marTop w:val="0"/>
          <w:marBottom w:val="0"/>
          <w:divBdr>
            <w:top w:val="none" w:sz="0" w:space="0" w:color="auto"/>
            <w:left w:val="none" w:sz="0" w:space="0" w:color="auto"/>
            <w:bottom w:val="none" w:sz="0" w:space="0" w:color="auto"/>
            <w:right w:val="none" w:sz="0" w:space="0" w:color="auto"/>
          </w:divBdr>
        </w:div>
        <w:div w:id="242226426">
          <w:marLeft w:val="0"/>
          <w:marRight w:val="0"/>
          <w:marTop w:val="0"/>
          <w:marBottom w:val="0"/>
          <w:divBdr>
            <w:top w:val="none" w:sz="0" w:space="0" w:color="auto"/>
            <w:left w:val="none" w:sz="0" w:space="0" w:color="auto"/>
            <w:bottom w:val="none" w:sz="0" w:space="0" w:color="auto"/>
            <w:right w:val="none" w:sz="0" w:space="0" w:color="auto"/>
          </w:divBdr>
        </w:div>
        <w:div w:id="953173780">
          <w:marLeft w:val="0"/>
          <w:marRight w:val="0"/>
          <w:marTop w:val="0"/>
          <w:marBottom w:val="0"/>
          <w:divBdr>
            <w:top w:val="none" w:sz="0" w:space="0" w:color="auto"/>
            <w:left w:val="none" w:sz="0" w:space="0" w:color="auto"/>
            <w:bottom w:val="none" w:sz="0" w:space="0" w:color="auto"/>
            <w:right w:val="none" w:sz="0" w:space="0" w:color="auto"/>
          </w:divBdr>
        </w:div>
        <w:div w:id="1440101158">
          <w:marLeft w:val="0"/>
          <w:marRight w:val="0"/>
          <w:marTop w:val="0"/>
          <w:marBottom w:val="0"/>
          <w:divBdr>
            <w:top w:val="none" w:sz="0" w:space="0" w:color="auto"/>
            <w:left w:val="none" w:sz="0" w:space="0" w:color="auto"/>
            <w:bottom w:val="none" w:sz="0" w:space="0" w:color="auto"/>
            <w:right w:val="none" w:sz="0" w:space="0" w:color="auto"/>
          </w:divBdr>
        </w:div>
        <w:div w:id="1359622098">
          <w:marLeft w:val="0"/>
          <w:marRight w:val="0"/>
          <w:marTop w:val="0"/>
          <w:marBottom w:val="0"/>
          <w:divBdr>
            <w:top w:val="none" w:sz="0" w:space="0" w:color="auto"/>
            <w:left w:val="none" w:sz="0" w:space="0" w:color="auto"/>
            <w:bottom w:val="none" w:sz="0" w:space="0" w:color="auto"/>
            <w:right w:val="none" w:sz="0" w:space="0" w:color="auto"/>
          </w:divBdr>
        </w:div>
        <w:div w:id="562568946">
          <w:marLeft w:val="0"/>
          <w:marRight w:val="0"/>
          <w:marTop w:val="0"/>
          <w:marBottom w:val="0"/>
          <w:divBdr>
            <w:top w:val="none" w:sz="0" w:space="0" w:color="auto"/>
            <w:left w:val="none" w:sz="0" w:space="0" w:color="auto"/>
            <w:bottom w:val="none" w:sz="0" w:space="0" w:color="auto"/>
            <w:right w:val="none" w:sz="0" w:space="0" w:color="auto"/>
          </w:divBdr>
        </w:div>
      </w:divsChild>
    </w:div>
    <w:div w:id="1163936264">
      <w:bodyDiv w:val="1"/>
      <w:marLeft w:val="0"/>
      <w:marRight w:val="0"/>
      <w:marTop w:val="0"/>
      <w:marBottom w:val="0"/>
      <w:divBdr>
        <w:top w:val="none" w:sz="0" w:space="0" w:color="auto"/>
        <w:left w:val="none" w:sz="0" w:space="0" w:color="auto"/>
        <w:bottom w:val="none" w:sz="0" w:space="0" w:color="auto"/>
        <w:right w:val="none" w:sz="0" w:space="0" w:color="auto"/>
      </w:divBdr>
    </w:div>
    <w:div w:id="1178034550">
      <w:bodyDiv w:val="1"/>
      <w:marLeft w:val="0"/>
      <w:marRight w:val="0"/>
      <w:marTop w:val="0"/>
      <w:marBottom w:val="0"/>
      <w:divBdr>
        <w:top w:val="none" w:sz="0" w:space="0" w:color="auto"/>
        <w:left w:val="none" w:sz="0" w:space="0" w:color="auto"/>
        <w:bottom w:val="none" w:sz="0" w:space="0" w:color="auto"/>
        <w:right w:val="none" w:sz="0" w:space="0" w:color="auto"/>
      </w:divBdr>
      <w:divsChild>
        <w:div w:id="183439993">
          <w:marLeft w:val="0"/>
          <w:marRight w:val="0"/>
          <w:marTop w:val="0"/>
          <w:marBottom w:val="0"/>
          <w:divBdr>
            <w:top w:val="none" w:sz="0" w:space="0" w:color="auto"/>
            <w:left w:val="none" w:sz="0" w:space="0" w:color="auto"/>
            <w:bottom w:val="none" w:sz="0" w:space="0" w:color="auto"/>
            <w:right w:val="none" w:sz="0" w:space="0" w:color="auto"/>
          </w:divBdr>
        </w:div>
        <w:div w:id="964432916">
          <w:marLeft w:val="0"/>
          <w:marRight w:val="0"/>
          <w:marTop w:val="0"/>
          <w:marBottom w:val="0"/>
          <w:divBdr>
            <w:top w:val="none" w:sz="0" w:space="0" w:color="auto"/>
            <w:left w:val="none" w:sz="0" w:space="0" w:color="auto"/>
            <w:bottom w:val="none" w:sz="0" w:space="0" w:color="auto"/>
            <w:right w:val="none" w:sz="0" w:space="0" w:color="auto"/>
          </w:divBdr>
        </w:div>
        <w:div w:id="1595166343">
          <w:marLeft w:val="0"/>
          <w:marRight w:val="0"/>
          <w:marTop w:val="0"/>
          <w:marBottom w:val="0"/>
          <w:divBdr>
            <w:top w:val="none" w:sz="0" w:space="0" w:color="auto"/>
            <w:left w:val="none" w:sz="0" w:space="0" w:color="auto"/>
            <w:bottom w:val="none" w:sz="0" w:space="0" w:color="auto"/>
            <w:right w:val="none" w:sz="0" w:space="0" w:color="auto"/>
          </w:divBdr>
        </w:div>
        <w:div w:id="549732838">
          <w:marLeft w:val="0"/>
          <w:marRight w:val="0"/>
          <w:marTop w:val="0"/>
          <w:marBottom w:val="0"/>
          <w:divBdr>
            <w:top w:val="none" w:sz="0" w:space="0" w:color="auto"/>
            <w:left w:val="none" w:sz="0" w:space="0" w:color="auto"/>
            <w:bottom w:val="none" w:sz="0" w:space="0" w:color="auto"/>
            <w:right w:val="none" w:sz="0" w:space="0" w:color="auto"/>
          </w:divBdr>
        </w:div>
        <w:div w:id="696153457">
          <w:marLeft w:val="0"/>
          <w:marRight w:val="0"/>
          <w:marTop w:val="0"/>
          <w:marBottom w:val="0"/>
          <w:divBdr>
            <w:top w:val="none" w:sz="0" w:space="0" w:color="auto"/>
            <w:left w:val="none" w:sz="0" w:space="0" w:color="auto"/>
            <w:bottom w:val="none" w:sz="0" w:space="0" w:color="auto"/>
            <w:right w:val="none" w:sz="0" w:space="0" w:color="auto"/>
          </w:divBdr>
        </w:div>
        <w:div w:id="371539481">
          <w:marLeft w:val="0"/>
          <w:marRight w:val="0"/>
          <w:marTop w:val="0"/>
          <w:marBottom w:val="0"/>
          <w:divBdr>
            <w:top w:val="none" w:sz="0" w:space="0" w:color="auto"/>
            <w:left w:val="none" w:sz="0" w:space="0" w:color="auto"/>
            <w:bottom w:val="none" w:sz="0" w:space="0" w:color="auto"/>
            <w:right w:val="none" w:sz="0" w:space="0" w:color="auto"/>
          </w:divBdr>
        </w:div>
        <w:div w:id="1739981010">
          <w:marLeft w:val="0"/>
          <w:marRight w:val="0"/>
          <w:marTop w:val="0"/>
          <w:marBottom w:val="0"/>
          <w:divBdr>
            <w:top w:val="none" w:sz="0" w:space="0" w:color="auto"/>
            <w:left w:val="none" w:sz="0" w:space="0" w:color="auto"/>
            <w:bottom w:val="none" w:sz="0" w:space="0" w:color="auto"/>
            <w:right w:val="none" w:sz="0" w:space="0" w:color="auto"/>
          </w:divBdr>
        </w:div>
        <w:div w:id="2110274480">
          <w:marLeft w:val="0"/>
          <w:marRight w:val="0"/>
          <w:marTop w:val="0"/>
          <w:marBottom w:val="0"/>
          <w:divBdr>
            <w:top w:val="none" w:sz="0" w:space="0" w:color="auto"/>
            <w:left w:val="none" w:sz="0" w:space="0" w:color="auto"/>
            <w:bottom w:val="none" w:sz="0" w:space="0" w:color="auto"/>
            <w:right w:val="none" w:sz="0" w:space="0" w:color="auto"/>
          </w:divBdr>
        </w:div>
        <w:div w:id="1728258604">
          <w:marLeft w:val="0"/>
          <w:marRight w:val="0"/>
          <w:marTop w:val="0"/>
          <w:marBottom w:val="0"/>
          <w:divBdr>
            <w:top w:val="none" w:sz="0" w:space="0" w:color="auto"/>
            <w:left w:val="none" w:sz="0" w:space="0" w:color="auto"/>
            <w:bottom w:val="none" w:sz="0" w:space="0" w:color="auto"/>
            <w:right w:val="none" w:sz="0" w:space="0" w:color="auto"/>
          </w:divBdr>
        </w:div>
        <w:div w:id="41907322">
          <w:marLeft w:val="0"/>
          <w:marRight w:val="0"/>
          <w:marTop w:val="0"/>
          <w:marBottom w:val="0"/>
          <w:divBdr>
            <w:top w:val="none" w:sz="0" w:space="0" w:color="auto"/>
            <w:left w:val="none" w:sz="0" w:space="0" w:color="auto"/>
            <w:bottom w:val="none" w:sz="0" w:space="0" w:color="auto"/>
            <w:right w:val="none" w:sz="0" w:space="0" w:color="auto"/>
          </w:divBdr>
        </w:div>
        <w:div w:id="638730470">
          <w:marLeft w:val="0"/>
          <w:marRight w:val="0"/>
          <w:marTop w:val="0"/>
          <w:marBottom w:val="0"/>
          <w:divBdr>
            <w:top w:val="none" w:sz="0" w:space="0" w:color="auto"/>
            <w:left w:val="none" w:sz="0" w:space="0" w:color="auto"/>
            <w:bottom w:val="none" w:sz="0" w:space="0" w:color="auto"/>
            <w:right w:val="none" w:sz="0" w:space="0" w:color="auto"/>
          </w:divBdr>
        </w:div>
      </w:divsChild>
    </w:div>
    <w:div w:id="1207450567">
      <w:bodyDiv w:val="1"/>
      <w:marLeft w:val="0"/>
      <w:marRight w:val="0"/>
      <w:marTop w:val="0"/>
      <w:marBottom w:val="0"/>
      <w:divBdr>
        <w:top w:val="none" w:sz="0" w:space="0" w:color="auto"/>
        <w:left w:val="none" w:sz="0" w:space="0" w:color="auto"/>
        <w:bottom w:val="none" w:sz="0" w:space="0" w:color="auto"/>
        <w:right w:val="none" w:sz="0" w:space="0" w:color="auto"/>
      </w:divBdr>
    </w:div>
    <w:div w:id="1218661712">
      <w:bodyDiv w:val="1"/>
      <w:marLeft w:val="0"/>
      <w:marRight w:val="0"/>
      <w:marTop w:val="0"/>
      <w:marBottom w:val="0"/>
      <w:divBdr>
        <w:top w:val="none" w:sz="0" w:space="0" w:color="auto"/>
        <w:left w:val="none" w:sz="0" w:space="0" w:color="auto"/>
        <w:bottom w:val="none" w:sz="0" w:space="0" w:color="auto"/>
        <w:right w:val="none" w:sz="0" w:space="0" w:color="auto"/>
      </w:divBdr>
      <w:divsChild>
        <w:div w:id="405961195">
          <w:marLeft w:val="0"/>
          <w:marRight w:val="0"/>
          <w:marTop w:val="0"/>
          <w:marBottom w:val="0"/>
          <w:divBdr>
            <w:top w:val="none" w:sz="0" w:space="0" w:color="auto"/>
            <w:left w:val="none" w:sz="0" w:space="0" w:color="auto"/>
            <w:bottom w:val="none" w:sz="0" w:space="0" w:color="auto"/>
            <w:right w:val="none" w:sz="0" w:space="0" w:color="auto"/>
          </w:divBdr>
        </w:div>
        <w:div w:id="1397896529">
          <w:marLeft w:val="0"/>
          <w:marRight w:val="0"/>
          <w:marTop w:val="0"/>
          <w:marBottom w:val="0"/>
          <w:divBdr>
            <w:top w:val="none" w:sz="0" w:space="0" w:color="auto"/>
            <w:left w:val="none" w:sz="0" w:space="0" w:color="auto"/>
            <w:bottom w:val="none" w:sz="0" w:space="0" w:color="auto"/>
            <w:right w:val="none" w:sz="0" w:space="0" w:color="auto"/>
          </w:divBdr>
        </w:div>
        <w:div w:id="226308252">
          <w:marLeft w:val="0"/>
          <w:marRight w:val="0"/>
          <w:marTop w:val="0"/>
          <w:marBottom w:val="0"/>
          <w:divBdr>
            <w:top w:val="none" w:sz="0" w:space="0" w:color="auto"/>
            <w:left w:val="none" w:sz="0" w:space="0" w:color="auto"/>
            <w:bottom w:val="none" w:sz="0" w:space="0" w:color="auto"/>
            <w:right w:val="none" w:sz="0" w:space="0" w:color="auto"/>
          </w:divBdr>
        </w:div>
        <w:div w:id="1872448146">
          <w:marLeft w:val="0"/>
          <w:marRight w:val="0"/>
          <w:marTop w:val="0"/>
          <w:marBottom w:val="0"/>
          <w:divBdr>
            <w:top w:val="none" w:sz="0" w:space="0" w:color="auto"/>
            <w:left w:val="none" w:sz="0" w:space="0" w:color="auto"/>
            <w:bottom w:val="none" w:sz="0" w:space="0" w:color="auto"/>
            <w:right w:val="none" w:sz="0" w:space="0" w:color="auto"/>
          </w:divBdr>
        </w:div>
        <w:div w:id="1777561562">
          <w:marLeft w:val="0"/>
          <w:marRight w:val="0"/>
          <w:marTop w:val="0"/>
          <w:marBottom w:val="0"/>
          <w:divBdr>
            <w:top w:val="none" w:sz="0" w:space="0" w:color="auto"/>
            <w:left w:val="none" w:sz="0" w:space="0" w:color="auto"/>
            <w:bottom w:val="none" w:sz="0" w:space="0" w:color="auto"/>
            <w:right w:val="none" w:sz="0" w:space="0" w:color="auto"/>
          </w:divBdr>
        </w:div>
        <w:div w:id="978997115">
          <w:marLeft w:val="0"/>
          <w:marRight w:val="0"/>
          <w:marTop w:val="0"/>
          <w:marBottom w:val="0"/>
          <w:divBdr>
            <w:top w:val="none" w:sz="0" w:space="0" w:color="auto"/>
            <w:left w:val="none" w:sz="0" w:space="0" w:color="auto"/>
            <w:bottom w:val="none" w:sz="0" w:space="0" w:color="auto"/>
            <w:right w:val="none" w:sz="0" w:space="0" w:color="auto"/>
          </w:divBdr>
        </w:div>
        <w:div w:id="1247492218">
          <w:marLeft w:val="0"/>
          <w:marRight w:val="0"/>
          <w:marTop w:val="0"/>
          <w:marBottom w:val="0"/>
          <w:divBdr>
            <w:top w:val="none" w:sz="0" w:space="0" w:color="auto"/>
            <w:left w:val="none" w:sz="0" w:space="0" w:color="auto"/>
            <w:bottom w:val="none" w:sz="0" w:space="0" w:color="auto"/>
            <w:right w:val="none" w:sz="0" w:space="0" w:color="auto"/>
          </w:divBdr>
        </w:div>
      </w:divsChild>
    </w:div>
    <w:div w:id="1227187685">
      <w:bodyDiv w:val="1"/>
      <w:marLeft w:val="0"/>
      <w:marRight w:val="0"/>
      <w:marTop w:val="0"/>
      <w:marBottom w:val="0"/>
      <w:divBdr>
        <w:top w:val="none" w:sz="0" w:space="0" w:color="auto"/>
        <w:left w:val="none" w:sz="0" w:space="0" w:color="auto"/>
        <w:bottom w:val="none" w:sz="0" w:space="0" w:color="auto"/>
        <w:right w:val="none" w:sz="0" w:space="0" w:color="auto"/>
      </w:divBdr>
      <w:divsChild>
        <w:div w:id="1190409987">
          <w:marLeft w:val="0"/>
          <w:marRight w:val="0"/>
          <w:marTop w:val="0"/>
          <w:marBottom w:val="0"/>
          <w:divBdr>
            <w:top w:val="none" w:sz="0" w:space="0" w:color="auto"/>
            <w:left w:val="none" w:sz="0" w:space="0" w:color="auto"/>
            <w:bottom w:val="none" w:sz="0" w:space="0" w:color="auto"/>
            <w:right w:val="none" w:sz="0" w:space="0" w:color="auto"/>
          </w:divBdr>
        </w:div>
        <w:div w:id="79375512">
          <w:marLeft w:val="0"/>
          <w:marRight w:val="0"/>
          <w:marTop w:val="0"/>
          <w:marBottom w:val="0"/>
          <w:divBdr>
            <w:top w:val="none" w:sz="0" w:space="0" w:color="auto"/>
            <w:left w:val="none" w:sz="0" w:space="0" w:color="auto"/>
            <w:bottom w:val="none" w:sz="0" w:space="0" w:color="auto"/>
            <w:right w:val="none" w:sz="0" w:space="0" w:color="auto"/>
          </w:divBdr>
        </w:div>
      </w:divsChild>
    </w:div>
    <w:div w:id="1235047978">
      <w:bodyDiv w:val="1"/>
      <w:marLeft w:val="0"/>
      <w:marRight w:val="0"/>
      <w:marTop w:val="0"/>
      <w:marBottom w:val="0"/>
      <w:divBdr>
        <w:top w:val="none" w:sz="0" w:space="0" w:color="auto"/>
        <w:left w:val="none" w:sz="0" w:space="0" w:color="auto"/>
        <w:bottom w:val="none" w:sz="0" w:space="0" w:color="auto"/>
        <w:right w:val="none" w:sz="0" w:space="0" w:color="auto"/>
      </w:divBdr>
      <w:divsChild>
        <w:div w:id="944191147">
          <w:marLeft w:val="0"/>
          <w:marRight w:val="0"/>
          <w:marTop w:val="0"/>
          <w:marBottom w:val="0"/>
          <w:divBdr>
            <w:top w:val="none" w:sz="0" w:space="0" w:color="auto"/>
            <w:left w:val="none" w:sz="0" w:space="0" w:color="auto"/>
            <w:bottom w:val="none" w:sz="0" w:space="0" w:color="auto"/>
            <w:right w:val="none" w:sz="0" w:space="0" w:color="auto"/>
          </w:divBdr>
        </w:div>
        <w:div w:id="1629121387">
          <w:marLeft w:val="0"/>
          <w:marRight w:val="0"/>
          <w:marTop w:val="0"/>
          <w:marBottom w:val="0"/>
          <w:divBdr>
            <w:top w:val="none" w:sz="0" w:space="0" w:color="auto"/>
            <w:left w:val="none" w:sz="0" w:space="0" w:color="auto"/>
            <w:bottom w:val="none" w:sz="0" w:space="0" w:color="auto"/>
            <w:right w:val="none" w:sz="0" w:space="0" w:color="auto"/>
          </w:divBdr>
        </w:div>
        <w:div w:id="387724010">
          <w:marLeft w:val="0"/>
          <w:marRight w:val="0"/>
          <w:marTop w:val="0"/>
          <w:marBottom w:val="0"/>
          <w:divBdr>
            <w:top w:val="none" w:sz="0" w:space="0" w:color="auto"/>
            <w:left w:val="none" w:sz="0" w:space="0" w:color="auto"/>
            <w:bottom w:val="none" w:sz="0" w:space="0" w:color="auto"/>
            <w:right w:val="none" w:sz="0" w:space="0" w:color="auto"/>
          </w:divBdr>
        </w:div>
        <w:div w:id="1243221185">
          <w:marLeft w:val="0"/>
          <w:marRight w:val="0"/>
          <w:marTop w:val="0"/>
          <w:marBottom w:val="0"/>
          <w:divBdr>
            <w:top w:val="none" w:sz="0" w:space="0" w:color="auto"/>
            <w:left w:val="none" w:sz="0" w:space="0" w:color="auto"/>
            <w:bottom w:val="none" w:sz="0" w:space="0" w:color="auto"/>
            <w:right w:val="none" w:sz="0" w:space="0" w:color="auto"/>
          </w:divBdr>
        </w:div>
        <w:div w:id="1411583136">
          <w:marLeft w:val="0"/>
          <w:marRight w:val="0"/>
          <w:marTop w:val="0"/>
          <w:marBottom w:val="0"/>
          <w:divBdr>
            <w:top w:val="none" w:sz="0" w:space="0" w:color="auto"/>
            <w:left w:val="none" w:sz="0" w:space="0" w:color="auto"/>
            <w:bottom w:val="none" w:sz="0" w:space="0" w:color="auto"/>
            <w:right w:val="none" w:sz="0" w:space="0" w:color="auto"/>
          </w:divBdr>
        </w:div>
        <w:div w:id="1759446414">
          <w:marLeft w:val="0"/>
          <w:marRight w:val="0"/>
          <w:marTop w:val="0"/>
          <w:marBottom w:val="0"/>
          <w:divBdr>
            <w:top w:val="none" w:sz="0" w:space="0" w:color="auto"/>
            <w:left w:val="none" w:sz="0" w:space="0" w:color="auto"/>
            <w:bottom w:val="none" w:sz="0" w:space="0" w:color="auto"/>
            <w:right w:val="none" w:sz="0" w:space="0" w:color="auto"/>
          </w:divBdr>
        </w:div>
        <w:div w:id="677927561">
          <w:marLeft w:val="0"/>
          <w:marRight w:val="0"/>
          <w:marTop w:val="0"/>
          <w:marBottom w:val="0"/>
          <w:divBdr>
            <w:top w:val="none" w:sz="0" w:space="0" w:color="auto"/>
            <w:left w:val="none" w:sz="0" w:space="0" w:color="auto"/>
            <w:bottom w:val="none" w:sz="0" w:space="0" w:color="auto"/>
            <w:right w:val="none" w:sz="0" w:space="0" w:color="auto"/>
          </w:divBdr>
        </w:div>
        <w:div w:id="1556893074">
          <w:marLeft w:val="0"/>
          <w:marRight w:val="0"/>
          <w:marTop w:val="0"/>
          <w:marBottom w:val="0"/>
          <w:divBdr>
            <w:top w:val="none" w:sz="0" w:space="0" w:color="auto"/>
            <w:left w:val="none" w:sz="0" w:space="0" w:color="auto"/>
            <w:bottom w:val="none" w:sz="0" w:space="0" w:color="auto"/>
            <w:right w:val="none" w:sz="0" w:space="0" w:color="auto"/>
          </w:divBdr>
        </w:div>
        <w:div w:id="72708661">
          <w:marLeft w:val="0"/>
          <w:marRight w:val="0"/>
          <w:marTop w:val="0"/>
          <w:marBottom w:val="0"/>
          <w:divBdr>
            <w:top w:val="none" w:sz="0" w:space="0" w:color="auto"/>
            <w:left w:val="none" w:sz="0" w:space="0" w:color="auto"/>
            <w:bottom w:val="none" w:sz="0" w:space="0" w:color="auto"/>
            <w:right w:val="none" w:sz="0" w:space="0" w:color="auto"/>
          </w:divBdr>
        </w:div>
        <w:div w:id="115369840">
          <w:marLeft w:val="0"/>
          <w:marRight w:val="0"/>
          <w:marTop w:val="0"/>
          <w:marBottom w:val="0"/>
          <w:divBdr>
            <w:top w:val="none" w:sz="0" w:space="0" w:color="auto"/>
            <w:left w:val="none" w:sz="0" w:space="0" w:color="auto"/>
            <w:bottom w:val="none" w:sz="0" w:space="0" w:color="auto"/>
            <w:right w:val="none" w:sz="0" w:space="0" w:color="auto"/>
          </w:divBdr>
        </w:div>
        <w:div w:id="1630434821">
          <w:marLeft w:val="0"/>
          <w:marRight w:val="0"/>
          <w:marTop w:val="0"/>
          <w:marBottom w:val="0"/>
          <w:divBdr>
            <w:top w:val="none" w:sz="0" w:space="0" w:color="auto"/>
            <w:left w:val="none" w:sz="0" w:space="0" w:color="auto"/>
            <w:bottom w:val="none" w:sz="0" w:space="0" w:color="auto"/>
            <w:right w:val="none" w:sz="0" w:space="0" w:color="auto"/>
          </w:divBdr>
        </w:div>
        <w:div w:id="1107121236">
          <w:marLeft w:val="0"/>
          <w:marRight w:val="0"/>
          <w:marTop w:val="0"/>
          <w:marBottom w:val="0"/>
          <w:divBdr>
            <w:top w:val="none" w:sz="0" w:space="0" w:color="auto"/>
            <w:left w:val="none" w:sz="0" w:space="0" w:color="auto"/>
            <w:bottom w:val="none" w:sz="0" w:space="0" w:color="auto"/>
            <w:right w:val="none" w:sz="0" w:space="0" w:color="auto"/>
          </w:divBdr>
        </w:div>
      </w:divsChild>
    </w:div>
    <w:div w:id="1247421465">
      <w:bodyDiv w:val="1"/>
      <w:marLeft w:val="0"/>
      <w:marRight w:val="0"/>
      <w:marTop w:val="0"/>
      <w:marBottom w:val="0"/>
      <w:divBdr>
        <w:top w:val="none" w:sz="0" w:space="0" w:color="auto"/>
        <w:left w:val="none" w:sz="0" w:space="0" w:color="auto"/>
        <w:bottom w:val="none" w:sz="0" w:space="0" w:color="auto"/>
        <w:right w:val="none" w:sz="0" w:space="0" w:color="auto"/>
      </w:divBdr>
      <w:divsChild>
        <w:div w:id="1258294560">
          <w:marLeft w:val="0"/>
          <w:marRight w:val="0"/>
          <w:marTop w:val="0"/>
          <w:marBottom w:val="0"/>
          <w:divBdr>
            <w:top w:val="none" w:sz="0" w:space="0" w:color="auto"/>
            <w:left w:val="none" w:sz="0" w:space="0" w:color="auto"/>
            <w:bottom w:val="none" w:sz="0" w:space="0" w:color="auto"/>
            <w:right w:val="none" w:sz="0" w:space="0" w:color="auto"/>
          </w:divBdr>
        </w:div>
        <w:div w:id="410083678">
          <w:marLeft w:val="0"/>
          <w:marRight w:val="0"/>
          <w:marTop w:val="0"/>
          <w:marBottom w:val="0"/>
          <w:divBdr>
            <w:top w:val="none" w:sz="0" w:space="0" w:color="auto"/>
            <w:left w:val="none" w:sz="0" w:space="0" w:color="auto"/>
            <w:bottom w:val="none" w:sz="0" w:space="0" w:color="auto"/>
            <w:right w:val="none" w:sz="0" w:space="0" w:color="auto"/>
          </w:divBdr>
        </w:div>
        <w:div w:id="1848446370">
          <w:marLeft w:val="0"/>
          <w:marRight w:val="0"/>
          <w:marTop w:val="0"/>
          <w:marBottom w:val="0"/>
          <w:divBdr>
            <w:top w:val="none" w:sz="0" w:space="0" w:color="auto"/>
            <w:left w:val="none" w:sz="0" w:space="0" w:color="auto"/>
            <w:bottom w:val="none" w:sz="0" w:space="0" w:color="auto"/>
            <w:right w:val="none" w:sz="0" w:space="0" w:color="auto"/>
          </w:divBdr>
        </w:div>
        <w:div w:id="2063938728">
          <w:marLeft w:val="0"/>
          <w:marRight w:val="0"/>
          <w:marTop w:val="0"/>
          <w:marBottom w:val="0"/>
          <w:divBdr>
            <w:top w:val="none" w:sz="0" w:space="0" w:color="auto"/>
            <w:left w:val="none" w:sz="0" w:space="0" w:color="auto"/>
            <w:bottom w:val="none" w:sz="0" w:space="0" w:color="auto"/>
            <w:right w:val="none" w:sz="0" w:space="0" w:color="auto"/>
          </w:divBdr>
        </w:div>
        <w:div w:id="586112202">
          <w:marLeft w:val="0"/>
          <w:marRight w:val="0"/>
          <w:marTop w:val="0"/>
          <w:marBottom w:val="0"/>
          <w:divBdr>
            <w:top w:val="none" w:sz="0" w:space="0" w:color="auto"/>
            <w:left w:val="none" w:sz="0" w:space="0" w:color="auto"/>
            <w:bottom w:val="none" w:sz="0" w:space="0" w:color="auto"/>
            <w:right w:val="none" w:sz="0" w:space="0" w:color="auto"/>
          </w:divBdr>
        </w:div>
        <w:div w:id="1194148491">
          <w:marLeft w:val="0"/>
          <w:marRight w:val="0"/>
          <w:marTop w:val="0"/>
          <w:marBottom w:val="0"/>
          <w:divBdr>
            <w:top w:val="none" w:sz="0" w:space="0" w:color="auto"/>
            <w:left w:val="none" w:sz="0" w:space="0" w:color="auto"/>
            <w:bottom w:val="none" w:sz="0" w:space="0" w:color="auto"/>
            <w:right w:val="none" w:sz="0" w:space="0" w:color="auto"/>
          </w:divBdr>
        </w:div>
        <w:div w:id="1897082063">
          <w:marLeft w:val="0"/>
          <w:marRight w:val="0"/>
          <w:marTop w:val="0"/>
          <w:marBottom w:val="0"/>
          <w:divBdr>
            <w:top w:val="none" w:sz="0" w:space="0" w:color="auto"/>
            <w:left w:val="none" w:sz="0" w:space="0" w:color="auto"/>
            <w:bottom w:val="none" w:sz="0" w:space="0" w:color="auto"/>
            <w:right w:val="none" w:sz="0" w:space="0" w:color="auto"/>
          </w:divBdr>
        </w:div>
        <w:div w:id="568421379">
          <w:marLeft w:val="0"/>
          <w:marRight w:val="0"/>
          <w:marTop w:val="0"/>
          <w:marBottom w:val="0"/>
          <w:divBdr>
            <w:top w:val="none" w:sz="0" w:space="0" w:color="auto"/>
            <w:left w:val="none" w:sz="0" w:space="0" w:color="auto"/>
            <w:bottom w:val="none" w:sz="0" w:space="0" w:color="auto"/>
            <w:right w:val="none" w:sz="0" w:space="0" w:color="auto"/>
          </w:divBdr>
        </w:div>
        <w:div w:id="1362130697">
          <w:marLeft w:val="0"/>
          <w:marRight w:val="0"/>
          <w:marTop w:val="0"/>
          <w:marBottom w:val="0"/>
          <w:divBdr>
            <w:top w:val="none" w:sz="0" w:space="0" w:color="auto"/>
            <w:left w:val="none" w:sz="0" w:space="0" w:color="auto"/>
            <w:bottom w:val="none" w:sz="0" w:space="0" w:color="auto"/>
            <w:right w:val="none" w:sz="0" w:space="0" w:color="auto"/>
          </w:divBdr>
        </w:div>
        <w:div w:id="1372076903">
          <w:marLeft w:val="0"/>
          <w:marRight w:val="0"/>
          <w:marTop w:val="0"/>
          <w:marBottom w:val="0"/>
          <w:divBdr>
            <w:top w:val="none" w:sz="0" w:space="0" w:color="auto"/>
            <w:left w:val="none" w:sz="0" w:space="0" w:color="auto"/>
            <w:bottom w:val="none" w:sz="0" w:space="0" w:color="auto"/>
            <w:right w:val="none" w:sz="0" w:space="0" w:color="auto"/>
          </w:divBdr>
        </w:div>
        <w:div w:id="2112777250">
          <w:marLeft w:val="0"/>
          <w:marRight w:val="0"/>
          <w:marTop w:val="0"/>
          <w:marBottom w:val="0"/>
          <w:divBdr>
            <w:top w:val="none" w:sz="0" w:space="0" w:color="auto"/>
            <w:left w:val="none" w:sz="0" w:space="0" w:color="auto"/>
            <w:bottom w:val="none" w:sz="0" w:space="0" w:color="auto"/>
            <w:right w:val="none" w:sz="0" w:space="0" w:color="auto"/>
          </w:divBdr>
        </w:div>
        <w:div w:id="2112772605">
          <w:marLeft w:val="0"/>
          <w:marRight w:val="0"/>
          <w:marTop w:val="0"/>
          <w:marBottom w:val="0"/>
          <w:divBdr>
            <w:top w:val="none" w:sz="0" w:space="0" w:color="auto"/>
            <w:left w:val="none" w:sz="0" w:space="0" w:color="auto"/>
            <w:bottom w:val="none" w:sz="0" w:space="0" w:color="auto"/>
            <w:right w:val="none" w:sz="0" w:space="0" w:color="auto"/>
          </w:divBdr>
        </w:div>
        <w:div w:id="1464541085">
          <w:marLeft w:val="0"/>
          <w:marRight w:val="0"/>
          <w:marTop w:val="0"/>
          <w:marBottom w:val="0"/>
          <w:divBdr>
            <w:top w:val="none" w:sz="0" w:space="0" w:color="auto"/>
            <w:left w:val="none" w:sz="0" w:space="0" w:color="auto"/>
            <w:bottom w:val="none" w:sz="0" w:space="0" w:color="auto"/>
            <w:right w:val="none" w:sz="0" w:space="0" w:color="auto"/>
          </w:divBdr>
        </w:div>
        <w:div w:id="1518158805">
          <w:marLeft w:val="0"/>
          <w:marRight w:val="0"/>
          <w:marTop w:val="0"/>
          <w:marBottom w:val="0"/>
          <w:divBdr>
            <w:top w:val="none" w:sz="0" w:space="0" w:color="auto"/>
            <w:left w:val="none" w:sz="0" w:space="0" w:color="auto"/>
            <w:bottom w:val="none" w:sz="0" w:space="0" w:color="auto"/>
            <w:right w:val="none" w:sz="0" w:space="0" w:color="auto"/>
          </w:divBdr>
        </w:div>
        <w:div w:id="1288783277">
          <w:marLeft w:val="0"/>
          <w:marRight w:val="0"/>
          <w:marTop w:val="0"/>
          <w:marBottom w:val="0"/>
          <w:divBdr>
            <w:top w:val="none" w:sz="0" w:space="0" w:color="auto"/>
            <w:left w:val="none" w:sz="0" w:space="0" w:color="auto"/>
            <w:bottom w:val="none" w:sz="0" w:space="0" w:color="auto"/>
            <w:right w:val="none" w:sz="0" w:space="0" w:color="auto"/>
          </w:divBdr>
        </w:div>
        <w:div w:id="604315308">
          <w:marLeft w:val="0"/>
          <w:marRight w:val="0"/>
          <w:marTop w:val="0"/>
          <w:marBottom w:val="0"/>
          <w:divBdr>
            <w:top w:val="none" w:sz="0" w:space="0" w:color="auto"/>
            <w:left w:val="none" w:sz="0" w:space="0" w:color="auto"/>
            <w:bottom w:val="none" w:sz="0" w:space="0" w:color="auto"/>
            <w:right w:val="none" w:sz="0" w:space="0" w:color="auto"/>
          </w:divBdr>
        </w:div>
        <w:div w:id="1234507592">
          <w:marLeft w:val="0"/>
          <w:marRight w:val="0"/>
          <w:marTop w:val="0"/>
          <w:marBottom w:val="0"/>
          <w:divBdr>
            <w:top w:val="none" w:sz="0" w:space="0" w:color="auto"/>
            <w:left w:val="none" w:sz="0" w:space="0" w:color="auto"/>
            <w:bottom w:val="none" w:sz="0" w:space="0" w:color="auto"/>
            <w:right w:val="none" w:sz="0" w:space="0" w:color="auto"/>
          </w:divBdr>
        </w:div>
        <w:div w:id="988438991">
          <w:marLeft w:val="0"/>
          <w:marRight w:val="0"/>
          <w:marTop w:val="0"/>
          <w:marBottom w:val="0"/>
          <w:divBdr>
            <w:top w:val="none" w:sz="0" w:space="0" w:color="auto"/>
            <w:left w:val="none" w:sz="0" w:space="0" w:color="auto"/>
            <w:bottom w:val="none" w:sz="0" w:space="0" w:color="auto"/>
            <w:right w:val="none" w:sz="0" w:space="0" w:color="auto"/>
          </w:divBdr>
        </w:div>
        <w:div w:id="2032953392">
          <w:marLeft w:val="0"/>
          <w:marRight w:val="0"/>
          <w:marTop w:val="0"/>
          <w:marBottom w:val="0"/>
          <w:divBdr>
            <w:top w:val="none" w:sz="0" w:space="0" w:color="auto"/>
            <w:left w:val="none" w:sz="0" w:space="0" w:color="auto"/>
            <w:bottom w:val="none" w:sz="0" w:space="0" w:color="auto"/>
            <w:right w:val="none" w:sz="0" w:space="0" w:color="auto"/>
          </w:divBdr>
        </w:div>
        <w:div w:id="383680173">
          <w:marLeft w:val="0"/>
          <w:marRight w:val="0"/>
          <w:marTop w:val="0"/>
          <w:marBottom w:val="0"/>
          <w:divBdr>
            <w:top w:val="none" w:sz="0" w:space="0" w:color="auto"/>
            <w:left w:val="none" w:sz="0" w:space="0" w:color="auto"/>
            <w:bottom w:val="none" w:sz="0" w:space="0" w:color="auto"/>
            <w:right w:val="none" w:sz="0" w:space="0" w:color="auto"/>
          </w:divBdr>
        </w:div>
        <w:div w:id="1627422567">
          <w:marLeft w:val="0"/>
          <w:marRight w:val="0"/>
          <w:marTop w:val="0"/>
          <w:marBottom w:val="0"/>
          <w:divBdr>
            <w:top w:val="none" w:sz="0" w:space="0" w:color="auto"/>
            <w:left w:val="none" w:sz="0" w:space="0" w:color="auto"/>
            <w:bottom w:val="none" w:sz="0" w:space="0" w:color="auto"/>
            <w:right w:val="none" w:sz="0" w:space="0" w:color="auto"/>
          </w:divBdr>
        </w:div>
        <w:div w:id="1390612473">
          <w:marLeft w:val="0"/>
          <w:marRight w:val="0"/>
          <w:marTop w:val="0"/>
          <w:marBottom w:val="0"/>
          <w:divBdr>
            <w:top w:val="none" w:sz="0" w:space="0" w:color="auto"/>
            <w:left w:val="none" w:sz="0" w:space="0" w:color="auto"/>
            <w:bottom w:val="none" w:sz="0" w:space="0" w:color="auto"/>
            <w:right w:val="none" w:sz="0" w:space="0" w:color="auto"/>
          </w:divBdr>
        </w:div>
        <w:div w:id="1552418380">
          <w:marLeft w:val="0"/>
          <w:marRight w:val="0"/>
          <w:marTop w:val="0"/>
          <w:marBottom w:val="0"/>
          <w:divBdr>
            <w:top w:val="none" w:sz="0" w:space="0" w:color="auto"/>
            <w:left w:val="none" w:sz="0" w:space="0" w:color="auto"/>
            <w:bottom w:val="none" w:sz="0" w:space="0" w:color="auto"/>
            <w:right w:val="none" w:sz="0" w:space="0" w:color="auto"/>
          </w:divBdr>
        </w:div>
        <w:div w:id="587732221">
          <w:marLeft w:val="0"/>
          <w:marRight w:val="0"/>
          <w:marTop w:val="0"/>
          <w:marBottom w:val="0"/>
          <w:divBdr>
            <w:top w:val="none" w:sz="0" w:space="0" w:color="auto"/>
            <w:left w:val="none" w:sz="0" w:space="0" w:color="auto"/>
            <w:bottom w:val="none" w:sz="0" w:space="0" w:color="auto"/>
            <w:right w:val="none" w:sz="0" w:space="0" w:color="auto"/>
          </w:divBdr>
        </w:div>
        <w:div w:id="802582544">
          <w:marLeft w:val="0"/>
          <w:marRight w:val="0"/>
          <w:marTop w:val="0"/>
          <w:marBottom w:val="0"/>
          <w:divBdr>
            <w:top w:val="none" w:sz="0" w:space="0" w:color="auto"/>
            <w:left w:val="none" w:sz="0" w:space="0" w:color="auto"/>
            <w:bottom w:val="none" w:sz="0" w:space="0" w:color="auto"/>
            <w:right w:val="none" w:sz="0" w:space="0" w:color="auto"/>
          </w:divBdr>
        </w:div>
        <w:div w:id="1249655745">
          <w:marLeft w:val="0"/>
          <w:marRight w:val="0"/>
          <w:marTop w:val="0"/>
          <w:marBottom w:val="0"/>
          <w:divBdr>
            <w:top w:val="none" w:sz="0" w:space="0" w:color="auto"/>
            <w:left w:val="none" w:sz="0" w:space="0" w:color="auto"/>
            <w:bottom w:val="none" w:sz="0" w:space="0" w:color="auto"/>
            <w:right w:val="none" w:sz="0" w:space="0" w:color="auto"/>
          </w:divBdr>
        </w:div>
        <w:div w:id="34741553">
          <w:marLeft w:val="0"/>
          <w:marRight w:val="0"/>
          <w:marTop w:val="0"/>
          <w:marBottom w:val="0"/>
          <w:divBdr>
            <w:top w:val="none" w:sz="0" w:space="0" w:color="auto"/>
            <w:left w:val="none" w:sz="0" w:space="0" w:color="auto"/>
            <w:bottom w:val="none" w:sz="0" w:space="0" w:color="auto"/>
            <w:right w:val="none" w:sz="0" w:space="0" w:color="auto"/>
          </w:divBdr>
        </w:div>
        <w:div w:id="2034259538">
          <w:marLeft w:val="0"/>
          <w:marRight w:val="0"/>
          <w:marTop w:val="0"/>
          <w:marBottom w:val="0"/>
          <w:divBdr>
            <w:top w:val="none" w:sz="0" w:space="0" w:color="auto"/>
            <w:left w:val="none" w:sz="0" w:space="0" w:color="auto"/>
            <w:bottom w:val="none" w:sz="0" w:space="0" w:color="auto"/>
            <w:right w:val="none" w:sz="0" w:space="0" w:color="auto"/>
          </w:divBdr>
        </w:div>
        <w:div w:id="568536772">
          <w:marLeft w:val="0"/>
          <w:marRight w:val="0"/>
          <w:marTop w:val="0"/>
          <w:marBottom w:val="0"/>
          <w:divBdr>
            <w:top w:val="none" w:sz="0" w:space="0" w:color="auto"/>
            <w:left w:val="none" w:sz="0" w:space="0" w:color="auto"/>
            <w:bottom w:val="none" w:sz="0" w:space="0" w:color="auto"/>
            <w:right w:val="none" w:sz="0" w:space="0" w:color="auto"/>
          </w:divBdr>
        </w:div>
        <w:div w:id="445737177">
          <w:marLeft w:val="0"/>
          <w:marRight w:val="0"/>
          <w:marTop w:val="0"/>
          <w:marBottom w:val="0"/>
          <w:divBdr>
            <w:top w:val="none" w:sz="0" w:space="0" w:color="auto"/>
            <w:left w:val="none" w:sz="0" w:space="0" w:color="auto"/>
            <w:bottom w:val="none" w:sz="0" w:space="0" w:color="auto"/>
            <w:right w:val="none" w:sz="0" w:space="0" w:color="auto"/>
          </w:divBdr>
        </w:div>
        <w:div w:id="1806315856">
          <w:marLeft w:val="0"/>
          <w:marRight w:val="0"/>
          <w:marTop w:val="0"/>
          <w:marBottom w:val="0"/>
          <w:divBdr>
            <w:top w:val="none" w:sz="0" w:space="0" w:color="auto"/>
            <w:left w:val="none" w:sz="0" w:space="0" w:color="auto"/>
            <w:bottom w:val="none" w:sz="0" w:space="0" w:color="auto"/>
            <w:right w:val="none" w:sz="0" w:space="0" w:color="auto"/>
          </w:divBdr>
        </w:div>
        <w:div w:id="1749304738">
          <w:marLeft w:val="0"/>
          <w:marRight w:val="0"/>
          <w:marTop w:val="0"/>
          <w:marBottom w:val="0"/>
          <w:divBdr>
            <w:top w:val="none" w:sz="0" w:space="0" w:color="auto"/>
            <w:left w:val="none" w:sz="0" w:space="0" w:color="auto"/>
            <w:bottom w:val="none" w:sz="0" w:space="0" w:color="auto"/>
            <w:right w:val="none" w:sz="0" w:space="0" w:color="auto"/>
          </w:divBdr>
        </w:div>
        <w:div w:id="1921599265">
          <w:marLeft w:val="0"/>
          <w:marRight w:val="0"/>
          <w:marTop w:val="0"/>
          <w:marBottom w:val="0"/>
          <w:divBdr>
            <w:top w:val="none" w:sz="0" w:space="0" w:color="auto"/>
            <w:left w:val="none" w:sz="0" w:space="0" w:color="auto"/>
            <w:bottom w:val="none" w:sz="0" w:space="0" w:color="auto"/>
            <w:right w:val="none" w:sz="0" w:space="0" w:color="auto"/>
          </w:divBdr>
        </w:div>
        <w:div w:id="1787851630">
          <w:marLeft w:val="0"/>
          <w:marRight w:val="0"/>
          <w:marTop w:val="0"/>
          <w:marBottom w:val="0"/>
          <w:divBdr>
            <w:top w:val="none" w:sz="0" w:space="0" w:color="auto"/>
            <w:left w:val="none" w:sz="0" w:space="0" w:color="auto"/>
            <w:bottom w:val="none" w:sz="0" w:space="0" w:color="auto"/>
            <w:right w:val="none" w:sz="0" w:space="0" w:color="auto"/>
          </w:divBdr>
        </w:div>
        <w:div w:id="1558323158">
          <w:marLeft w:val="0"/>
          <w:marRight w:val="0"/>
          <w:marTop w:val="0"/>
          <w:marBottom w:val="0"/>
          <w:divBdr>
            <w:top w:val="none" w:sz="0" w:space="0" w:color="auto"/>
            <w:left w:val="none" w:sz="0" w:space="0" w:color="auto"/>
            <w:bottom w:val="none" w:sz="0" w:space="0" w:color="auto"/>
            <w:right w:val="none" w:sz="0" w:space="0" w:color="auto"/>
          </w:divBdr>
        </w:div>
        <w:div w:id="1576665764">
          <w:marLeft w:val="0"/>
          <w:marRight w:val="0"/>
          <w:marTop w:val="0"/>
          <w:marBottom w:val="0"/>
          <w:divBdr>
            <w:top w:val="none" w:sz="0" w:space="0" w:color="auto"/>
            <w:left w:val="none" w:sz="0" w:space="0" w:color="auto"/>
            <w:bottom w:val="none" w:sz="0" w:space="0" w:color="auto"/>
            <w:right w:val="none" w:sz="0" w:space="0" w:color="auto"/>
          </w:divBdr>
        </w:div>
        <w:div w:id="1731688087">
          <w:marLeft w:val="0"/>
          <w:marRight w:val="0"/>
          <w:marTop w:val="0"/>
          <w:marBottom w:val="0"/>
          <w:divBdr>
            <w:top w:val="none" w:sz="0" w:space="0" w:color="auto"/>
            <w:left w:val="none" w:sz="0" w:space="0" w:color="auto"/>
            <w:bottom w:val="none" w:sz="0" w:space="0" w:color="auto"/>
            <w:right w:val="none" w:sz="0" w:space="0" w:color="auto"/>
          </w:divBdr>
        </w:div>
        <w:div w:id="932393717">
          <w:marLeft w:val="0"/>
          <w:marRight w:val="0"/>
          <w:marTop w:val="0"/>
          <w:marBottom w:val="0"/>
          <w:divBdr>
            <w:top w:val="none" w:sz="0" w:space="0" w:color="auto"/>
            <w:left w:val="none" w:sz="0" w:space="0" w:color="auto"/>
            <w:bottom w:val="none" w:sz="0" w:space="0" w:color="auto"/>
            <w:right w:val="none" w:sz="0" w:space="0" w:color="auto"/>
          </w:divBdr>
        </w:div>
        <w:div w:id="1895458944">
          <w:marLeft w:val="0"/>
          <w:marRight w:val="0"/>
          <w:marTop w:val="0"/>
          <w:marBottom w:val="0"/>
          <w:divBdr>
            <w:top w:val="none" w:sz="0" w:space="0" w:color="auto"/>
            <w:left w:val="none" w:sz="0" w:space="0" w:color="auto"/>
            <w:bottom w:val="none" w:sz="0" w:space="0" w:color="auto"/>
            <w:right w:val="none" w:sz="0" w:space="0" w:color="auto"/>
          </w:divBdr>
        </w:div>
        <w:div w:id="244653391">
          <w:marLeft w:val="0"/>
          <w:marRight w:val="0"/>
          <w:marTop w:val="0"/>
          <w:marBottom w:val="0"/>
          <w:divBdr>
            <w:top w:val="none" w:sz="0" w:space="0" w:color="auto"/>
            <w:left w:val="none" w:sz="0" w:space="0" w:color="auto"/>
            <w:bottom w:val="none" w:sz="0" w:space="0" w:color="auto"/>
            <w:right w:val="none" w:sz="0" w:space="0" w:color="auto"/>
          </w:divBdr>
        </w:div>
        <w:div w:id="2081054352">
          <w:marLeft w:val="0"/>
          <w:marRight w:val="0"/>
          <w:marTop w:val="0"/>
          <w:marBottom w:val="0"/>
          <w:divBdr>
            <w:top w:val="none" w:sz="0" w:space="0" w:color="auto"/>
            <w:left w:val="none" w:sz="0" w:space="0" w:color="auto"/>
            <w:bottom w:val="none" w:sz="0" w:space="0" w:color="auto"/>
            <w:right w:val="none" w:sz="0" w:space="0" w:color="auto"/>
          </w:divBdr>
        </w:div>
        <w:div w:id="1445228939">
          <w:marLeft w:val="0"/>
          <w:marRight w:val="0"/>
          <w:marTop w:val="0"/>
          <w:marBottom w:val="0"/>
          <w:divBdr>
            <w:top w:val="none" w:sz="0" w:space="0" w:color="auto"/>
            <w:left w:val="none" w:sz="0" w:space="0" w:color="auto"/>
            <w:bottom w:val="none" w:sz="0" w:space="0" w:color="auto"/>
            <w:right w:val="none" w:sz="0" w:space="0" w:color="auto"/>
          </w:divBdr>
        </w:div>
        <w:div w:id="474025645">
          <w:marLeft w:val="0"/>
          <w:marRight w:val="0"/>
          <w:marTop w:val="0"/>
          <w:marBottom w:val="0"/>
          <w:divBdr>
            <w:top w:val="none" w:sz="0" w:space="0" w:color="auto"/>
            <w:left w:val="none" w:sz="0" w:space="0" w:color="auto"/>
            <w:bottom w:val="none" w:sz="0" w:space="0" w:color="auto"/>
            <w:right w:val="none" w:sz="0" w:space="0" w:color="auto"/>
          </w:divBdr>
        </w:div>
        <w:div w:id="507184005">
          <w:marLeft w:val="0"/>
          <w:marRight w:val="0"/>
          <w:marTop w:val="0"/>
          <w:marBottom w:val="0"/>
          <w:divBdr>
            <w:top w:val="none" w:sz="0" w:space="0" w:color="auto"/>
            <w:left w:val="none" w:sz="0" w:space="0" w:color="auto"/>
            <w:bottom w:val="none" w:sz="0" w:space="0" w:color="auto"/>
            <w:right w:val="none" w:sz="0" w:space="0" w:color="auto"/>
          </w:divBdr>
        </w:div>
        <w:div w:id="441416339">
          <w:marLeft w:val="0"/>
          <w:marRight w:val="0"/>
          <w:marTop w:val="0"/>
          <w:marBottom w:val="0"/>
          <w:divBdr>
            <w:top w:val="none" w:sz="0" w:space="0" w:color="auto"/>
            <w:left w:val="none" w:sz="0" w:space="0" w:color="auto"/>
            <w:bottom w:val="none" w:sz="0" w:space="0" w:color="auto"/>
            <w:right w:val="none" w:sz="0" w:space="0" w:color="auto"/>
          </w:divBdr>
        </w:div>
        <w:div w:id="2101490643">
          <w:marLeft w:val="0"/>
          <w:marRight w:val="0"/>
          <w:marTop w:val="0"/>
          <w:marBottom w:val="0"/>
          <w:divBdr>
            <w:top w:val="none" w:sz="0" w:space="0" w:color="auto"/>
            <w:left w:val="none" w:sz="0" w:space="0" w:color="auto"/>
            <w:bottom w:val="none" w:sz="0" w:space="0" w:color="auto"/>
            <w:right w:val="none" w:sz="0" w:space="0" w:color="auto"/>
          </w:divBdr>
        </w:div>
        <w:div w:id="1204093427">
          <w:marLeft w:val="0"/>
          <w:marRight w:val="0"/>
          <w:marTop w:val="0"/>
          <w:marBottom w:val="0"/>
          <w:divBdr>
            <w:top w:val="none" w:sz="0" w:space="0" w:color="auto"/>
            <w:left w:val="none" w:sz="0" w:space="0" w:color="auto"/>
            <w:bottom w:val="none" w:sz="0" w:space="0" w:color="auto"/>
            <w:right w:val="none" w:sz="0" w:space="0" w:color="auto"/>
          </w:divBdr>
        </w:div>
        <w:div w:id="1187984154">
          <w:marLeft w:val="0"/>
          <w:marRight w:val="0"/>
          <w:marTop w:val="0"/>
          <w:marBottom w:val="0"/>
          <w:divBdr>
            <w:top w:val="none" w:sz="0" w:space="0" w:color="auto"/>
            <w:left w:val="none" w:sz="0" w:space="0" w:color="auto"/>
            <w:bottom w:val="none" w:sz="0" w:space="0" w:color="auto"/>
            <w:right w:val="none" w:sz="0" w:space="0" w:color="auto"/>
          </w:divBdr>
        </w:div>
        <w:div w:id="345788648">
          <w:marLeft w:val="0"/>
          <w:marRight w:val="0"/>
          <w:marTop w:val="0"/>
          <w:marBottom w:val="0"/>
          <w:divBdr>
            <w:top w:val="none" w:sz="0" w:space="0" w:color="auto"/>
            <w:left w:val="none" w:sz="0" w:space="0" w:color="auto"/>
            <w:bottom w:val="none" w:sz="0" w:space="0" w:color="auto"/>
            <w:right w:val="none" w:sz="0" w:space="0" w:color="auto"/>
          </w:divBdr>
        </w:div>
        <w:div w:id="1738092383">
          <w:marLeft w:val="0"/>
          <w:marRight w:val="0"/>
          <w:marTop w:val="0"/>
          <w:marBottom w:val="0"/>
          <w:divBdr>
            <w:top w:val="none" w:sz="0" w:space="0" w:color="auto"/>
            <w:left w:val="none" w:sz="0" w:space="0" w:color="auto"/>
            <w:bottom w:val="none" w:sz="0" w:space="0" w:color="auto"/>
            <w:right w:val="none" w:sz="0" w:space="0" w:color="auto"/>
          </w:divBdr>
        </w:div>
        <w:div w:id="1962107605">
          <w:marLeft w:val="0"/>
          <w:marRight w:val="0"/>
          <w:marTop w:val="0"/>
          <w:marBottom w:val="0"/>
          <w:divBdr>
            <w:top w:val="none" w:sz="0" w:space="0" w:color="auto"/>
            <w:left w:val="none" w:sz="0" w:space="0" w:color="auto"/>
            <w:bottom w:val="none" w:sz="0" w:space="0" w:color="auto"/>
            <w:right w:val="none" w:sz="0" w:space="0" w:color="auto"/>
          </w:divBdr>
        </w:div>
        <w:div w:id="691567373">
          <w:marLeft w:val="0"/>
          <w:marRight w:val="0"/>
          <w:marTop w:val="0"/>
          <w:marBottom w:val="0"/>
          <w:divBdr>
            <w:top w:val="none" w:sz="0" w:space="0" w:color="auto"/>
            <w:left w:val="none" w:sz="0" w:space="0" w:color="auto"/>
            <w:bottom w:val="none" w:sz="0" w:space="0" w:color="auto"/>
            <w:right w:val="none" w:sz="0" w:space="0" w:color="auto"/>
          </w:divBdr>
        </w:div>
      </w:divsChild>
    </w:div>
    <w:div w:id="1290353027">
      <w:bodyDiv w:val="1"/>
      <w:marLeft w:val="0"/>
      <w:marRight w:val="0"/>
      <w:marTop w:val="0"/>
      <w:marBottom w:val="0"/>
      <w:divBdr>
        <w:top w:val="none" w:sz="0" w:space="0" w:color="auto"/>
        <w:left w:val="none" w:sz="0" w:space="0" w:color="auto"/>
        <w:bottom w:val="none" w:sz="0" w:space="0" w:color="auto"/>
        <w:right w:val="none" w:sz="0" w:space="0" w:color="auto"/>
      </w:divBdr>
      <w:divsChild>
        <w:div w:id="1606687777">
          <w:marLeft w:val="0"/>
          <w:marRight w:val="0"/>
          <w:marTop w:val="0"/>
          <w:marBottom w:val="0"/>
          <w:divBdr>
            <w:top w:val="none" w:sz="0" w:space="0" w:color="auto"/>
            <w:left w:val="none" w:sz="0" w:space="0" w:color="auto"/>
            <w:bottom w:val="none" w:sz="0" w:space="0" w:color="auto"/>
            <w:right w:val="none" w:sz="0" w:space="0" w:color="auto"/>
          </w:divBdr>
        </w:div>
        <w:div w:id="910851766">
          <w:marLeft w:val="0"/>
          <w:marRight w:val="0"/>
          <w:marTop w:val="0"/>
          <w:marBottom w:val="0"/>
          <w:divBdr>
            <w:top w:val="none" w:sz="0" w:space="0" w:color="auto"/>
            <w:left w:val="none" w:sz="0" w:space="0" w:color="auto"/>
            <w:bottom w:val="none" w:sz="0" w:space="0" w:color="auto"/>
            <w:right w:val="none" w:sz="0" w:space="0" w:color="auto"/>
          </w:divBdr>
        </w:div>
      </w:divsChild>
    </w:div>
    <w:div w:id="1305349500">
      <w:bodyDiv w:val="1"/>
      <w:marLeft w:val="0"/>
      <w:marRight w:val="0"/>
      <w:marTop w:val="0"/>
      <w:marBottom w:val="0"/>
      <w:divBdr>
        <w:top w:val="none" w:sz="0" w:space="0" w:color="auto"/>
        <w:left w:val="none" w:sz="0" w:space="0" w:color="auto"/>
        <w:bottom w:val="none" w:sz="0" w:space="0" w:color="auto"/>
        <w:right w:val="none" w:sz="0" w:space="0" w:color="auto"/>
      </w:divBdr>
      <w:divsChild>
        <w:div w:id="344476270">
          <w:marLeft w:val="0"/>
          <w:marRight w:val="0"/>
          <w:marTop w:val="0"/>
          <w:marBottom w:val="0"/>
          <w:divBdr>
            <w:top w:val="none" w:sz="0" w:space="0" w:color="auto"/>
            <w:left w:val="none" w:sz="0" w:space="0" w:color="auto"/>
            <w:bottom w:val="none" w:sz="0" w:space="0" w:color="auto"/>
            <w:right w:val="none" w:sz="0" w:space="0" w:color="auto"/>
          </w:divBdr>
        </w:div>
        <w:div w:id="2146771825">
          <w:marLeft w:val="0"/>
          <w:marRight w:val="0"/>
          <w:marTop w:val="0"/>
          <w:marBottom w:val="0"/>
          <w:divBdr>
            <w:top w:val="none" w:sz="0" w:space="0" w:color="auto"/>
            <w:left w:val="none" w:sz="0" w:space="0" w:color="auto"/>
            <w:bottom w:val="none" w:sz="0" w:space="0" w:color="auto"/>
            <w:right w:val="none" w:sz="0" w:space="0" w:color="auto"/>
          </w:divBdr>
        </w:div>
        <w:div w:id="1224874588">
          <w:marLeft w:val="0"/>
          <w:marRight w:val="0"/>
          <w:marTop w:val="0"/>
          <w:marBottom w:val="0"/>
          <w:divBdr>
            <w:top w:val="none" w:sz="0" w:space="0" w:color="auto"/>
            <w:left w:val="none" w:sz="0" w:space="0" w:color="auto"/>
            <w:bottom w:val="none" w:sz="0" w:space="0" w:color="auto"/>
            <w:right w:val="none" w:sz="0" w:space="0" w:color="auto"/>
          </w:divBdr>
        </w:div>
        <w:div w:id="1545677976">
          <w:marLeft w:val="0"/>
          <w:marRight w:val="0"/>
          <w:marTop w:val="0"/>
          <w:marBottom w:val="0"/>
          <w:divBdr>
            <w:top w:val="none" w:sz="0" w:space="0" w:color="auto"/>
            <w:left w:val="none" w:sz="0" w:space="0" w:color="auto"/>
            <w:bottom w:val="none" w:sz="0" w:space="0" w:color="auto"/>
            <w:right w:val="none" w:sz="0" w:space="0" w:color="auto"/>
          </w:divBdr>
        </w:div>
        <w:div w:id="1454179567">
          <w:marLeft w:val="0"/>
          <w:marRight w:val="0"/>
          <w:marTop w:val="0"/>
          <w:marBottom w:val="0"/>
          <w:divBdr>
            <w:top w:val="none" w:sz="0" w:space="0" w:color="auto"/>
            <w:left w:val="none" w:sz="0" w:space="0" w:color="auto"/>
            <w:bottom w:val="none" w:sz="0" w:space="0" w:color="auto"/>
            <w:right w:val="none" w:sz="0" w:space="0" w:color="auto"/>
          </w:divBdr>
        </w:div>
        <w:div w:id="1358655339">
          <w:marLeft w:val="0"/>
          <w:marRight w:val="0"/>
          <w:marTop w:val="0"/>
          <w:marBottom w:val="0"/>
          <w:divBdr>
            <w:top w:val="none" w:sz="0" w:space="0" w:color="auto"/>
            <w:left w:val="none" w:sz="0" w:space="0" w:color="auto"/>
            <w:bottom w:val="none" w:sz="0" w:space="0" w:color="auto"/>
            <w:right w:val="none" w:sz="0" w:space="0" w:color="auto"/>
          </w:divBdr>
        </w:div>
        <w:div w:id="53700827">
          <w:marLeft w:val="0"/>
          <w:marRight w:val="0"/>
          <w:marTop w:val="0"/>
          <w:marBottom w:val="0"/>
          <w:divBdr>
            <w:top w:val="none" w:sz="0" w:space="0" w:color="auto"/>
            <w:left w:val="none" w:sz="0" w:space="0" w:color="auto"/>
            <w:bottom w:val="none" w:sz="0" w:space="0" w:color="auto"/>
            <w:right w:val="none" w:sz="0" w:space="0" w:color="auto"/>
          </w:divBdr>
        </w:div>
        <w:div w:id="874585897">
          <w:marLeft w:val="0"/>
          <w:marRight w:val="0"/>
          <w:marTop w:val="0"/>
          <w:marBottom w:val="0"/>
          <w:divBdr>
            <w:top w:val="none" w:sz="0" w:space="0" w:color="auto"/>
            <w:left w:val="none" w:sz="0" w:space="0" w:color="auto"/>
            <w:bottom w:val="none" w:sz="0" w:space="0" w:color="auto"/>
            <w:right w:val="none" w:sz="0" w:space="0" w:color="auto"/>
          </w:divBdr>
        </w:div>
        <w:div w:id="81684926">
          <w:marLeft w:val="0"/>
          <w:marRight w:val="0"/>
          <w:marTop w:val="0"/>
          <w:marBottom w:val="0"/>
          <w:divBdr>
            <w:top w:val="none" w:sz="0" w:space="0" w:color="auto"/>
            <w:left w:val="none" w:sz="0" w:space="0" w:color="auto"/>
            <w:bottom w:val="none" w:sz="0" w:space="0" w:color="auto"/>
            <w:right w:val="none" w:sz="0" w:space="0" w:color="auto"/>
          </w:divBdr>
        </w:div>
        <w:div w:id="1235160764">
          <w:marLeft w:val="0"/>
          <w:marRight w:val="0"/>
          <w:marTop w:val="0"/>
          <w:marBottom w:val="0"/>
          <w:divBdr>
            <w:top w:val="none" w:sz="0" w:space="0" w:color="auto"/>
            <w:left w:val="none" w:sz="0" w:space="0" w:color="auto"/>
            <w:bottom w:val="none" w:sz="0" w:space="0" w:color="auto"/>
            <w:right w:val="none" w:sz="0" w:space="0" w:color="auto"/>
          </w:divBdr>
        </w:div>
        <w:div w:id="1460218531">
          <w:marLeft w:val="0"/>
          <w:marRight w:val="0"/>
          <w:marTop w:val="0"/>
          <w:marBottom w:val="0"/>
          <w:divBdr>
            <w:top w:val="none" w:sz="0" w:space="0" w:color="auto"/>
            <w:left w:val="none" w:sz="0" w:space="0" w:color="auto"/>
            <w:bottom w:val="none" w:sz="0" w:space="0" w:color="auto"/>
            <w:right w:val="none" w:sz="0" w:space="0" w:color="auto"/>
          </w:divBdr>
        </w:div>
      </w:divsChild>
    </w:div>
    <w:div w:id="1339768118">
      <w:bodyDiv w:val="1"/>
      <w:marLeft w:val="0"/>
      <w:marRight w:val="0"/>
      <w:marTop w:val="0"/>
      <w:marBottom w:val="0"/>
      <w:divBdr>
        <w:top w:val="none" w:sz="0" w:space="0" w:color="auto"/>
        <w:left w:val="none" w:sz="0" w:space="0" w:color="auto"/>
        <w:bottom w:val="none" w:sz="0" w:space="0" w:color="auto"/>
        <w:right w:val="none" w:sz="0" w:space="0" w:color="auto"/>
      </w:divBdr>
      <w:divsChild>
        <w:div w:id="128279314">
          <w:marLeft w:val="0"/>
          <w:marRight w:val="0"/>
          <w:marTop w:val="0"/>
          <w:marBottom w:val="0"/>
          <w:divBdr>
            <w:top w:val="none" w:sz="0" w:space="0" w:color="auto"/>
            <w:left w:val="none" w:sz="0" w:space="0" w:color="auto"/>
            <w:bottom w:val="none" w:sz="0" w:space="0" w:color="auto"/>
            <w:right w:val="none" w:sz="0" w:space="0" w:color="auto"/>
          </w:divBdr>
          <w:divsChild>
            <w:div w:id="318115407">
              <w:marLeft w:val="0"/>
              <w:marRight w:val="0"/>
              <w:marTop w:val="0"/>
              <w:marBottom w:val="0"/>
              <w:divBdr>
                <w:top w:val="none" w:sz="0" w:space="0" w:color="auto"/>
                <w:left w:val="none" w:sz="0" w:space="0" w:color="auto"/>
                <w:bottom w:val="none" w:sz="0" w:space="0" w:color="auto"/>
                <w:right w:val="none" w:sz="0" w:space="0" w:color="auto"/>
              </w:divBdr>
            </w:div>
            <w:div w:id="197474222">
              <w:marLeft w:val="0"/>
              <w:marRight w:val="0"/>
              <w:marTop w:val="0"/>
              <w:marBottom w:val="0"/>
              <w:divBdr>
                <w:top w:val="none" w:sz="0" w:space="0" w:color="auto"/>
                <w:left w:val="none" w:sz="0" w:space="0" w:color="auto"/>
                <w:bottom w:val="none" w:sz="0" w:space="0" w:color="auto"/>
                <w:right w:val="none" w:sz="0" w:space="0" w:color="auto"/>
              </w:divBdr>
            </w:div>
            <w:div w:id="519201907">
              <w:marLeft w:val="0"/>
              <w:marRight w:val="0"/>
              <w:marTop w:val="0"/>
              <w:marBottom w:val="0"/>
              <w:divBdr>
                <w:top w:val="none" w:sz="0" w:space="0" w:color="auto"/>
                <w:left w:val="none" w:sz="0" w:space="0" w:color="auto"/>
                <w:bottom w:val="none" w:sz="0" w:space="0" w:color="auto"/>
                <w:right w:val="none" w:sz="0" w:space="0" w:color="auto"/>
              </w:divBdr>
            </w:div>
            <w:div w:id="1072462128">
              <w:marLeft w:val="0"/>
              <w:marRight w:val="0"/>
              <w:marTop w:val="0"/>
              <w:marBottom w:val="0"/>
              <w:divBdr>
                <w:top w:val="none" w:sz="0" w:space="0" w:color="auto"/>
                <w:left w:val="none" w:sz="0" w:space="0" w:color="auto"/>
                <w:bottom w:val="none" w:sz="0" w:space="0" w:color="auto"/>
                <w:right w:val="none" w:sz="0" w:space="0" w:color="auto"/>
              </w:divBdr>
            </w:div>
            <w:div w:id="1526792512">
              <w:marLeft w:val="0"/>
              <w:marRight w:val="0"/>
              <w:marTop w:val="0"/>
              <w:marBottom w:val="0"/>
              <w:divBdr>
                <w:top w:val="none" w:sz="0" w:space="0" w:color="auto"/>
                <w:left w:val="none" w:sz="0" w:space="0" w:color="auto"/>
                <w:bottom w:val="none" w:sz="0" w:space="0" w:color="auto"/>
                <w:right w:val="none" w:sz="0" w:space="0" w:color="auto"/>
              </w:divBdr>
            </w:div>
            <w:div w:id="73017103">
              <w:marLeft w:val="0"/>
              <w:marRight w:val="0"/>
              <w:marTop w:val="0"/>
              <w:marBottom w:val="0"/>
              <w:divBdr>
                <w:top w:val="none" w:sz="0" w:space="0" w:color="auto"/>
                <w:left w:val="none" w:sz="0" w:space="0" w:color="auto"/>
                <w:bottom w:val="none" w:sz="0" w:space="0" w:color="auto"/>
                <w:right w:val="none" w:sz="0" w:space="0" w:color="auto"/>
              </w:divBdr>
            </w:div>
            <w:div w:id="75516111">
              <w:marLeft w:val="0"/>
              <w:marRight w:val="0"/>
              <w:marTop w:val="0"/>
              <w:marBottom w:val="0"/>
              <w:divBdr>
                <w:top w:val="none" w:sz="0" w:space="0" w:color="auto"/>
                <w:left w:val="none" w:sz="0" w:space="0" w:color="auto"/>
                <w:bottom w:val="none" w:sz="0" w:space="0" w:color="auto"/>
                <w:right w:val="none" w:sz="0" w:space="0" w:color="auto"/>
              </w:divBdr>
            </w:div>
            <w:div w:id="1513908594">
              <w:marLeft w:val="0"/>
              <w:marRight w:val="0"/>
              <w:marTop w:val="0"/>
              <w:marBottom w:val="0"/>
              <w:divBdr>
                <w:top w:val="none" w:sz="0" w:space="0" w:color="auto"/>
                <w:left w:val="none" w:sz="0" w:space="0" w:color="auto"/>
                <w:bottom w:val="none" w:sz="0" w:space="0" w:color="auto"/>
                <w:right w:val="none" w:sz="0" w:space="0" w:color="auto"/>
              </w:divBdr>
            </w:div>
            <w:div w:id="1717700815">
              <w:marLeft w:val="0"/>
              <w:marRight w:val="0"/>
              <w:marTop w:val="0"/>
              <w:marBottom w:val="0"/>
              <w:divBdr>
                <w:top w:val="none" w:sz="0" w:space="0" w:color="auto"/>
                <w:left w:val="none" w:sz="0" w:space="0" w:color="auto"/>
                <w:bottom w:val="none" w:sz="0" w:space="0" w:color="auto"/>
                <w:right w:val="none" w:sz="0" w:space="0" w:color="auto"/>
              </w:divBdr>
            </w:div>
            <w:div w:id="1906527311">
              <w:marLeft w:val="0"/>
              <w:marRight w:val="0"/>
              <w:marTop w:val="0"/>
              <w:marBottom w:val="0"/>
              <w:divBdr>
                <w:top w:val="none" w:sz="0" w:space="0" w:color="auto"/>
                <w:left w:val="none" w:sz="0" w:space="0" w:color="auto"/>
                <w:bottom w:val="none" w:sz="0" w:space="0" w:color="auto"/>
                <w:right w:val="none" w:sz="0" w:space="0" w:color="auto"/>
              </w:divBdr>
            </w:div>
            <w:div w:id="181358713">
              <w:marLeft w:val="0"/>
              <w:marRight w:val="0"/>
              <w:marTop w:val="0"/>
              <w:marBottom w:val="0"/>
              <w:divBdr>
                <w:top w:val="none" w:sz="0" w:space="0" w:color="auto"/>
                <w:left w:val="none" w:sz="0" w:space="0" w:color="auto"/>
                <w:bottom w:val="none" w:sz="0" w:space="0" w:color="auto"/>
                <w:right w:val="none" w:sz="0" w:space="0" w:color="auto"/>
              </w:divBdr>
            </w:div>
            <w:div w:id="1386832887">
              <w:marLeft w:val="0"/>
              <w:marRight w:val="0"/>
              <w:marTop w:val="0"/>
              <w:marBottom w:val="0"/>
              <w:divBdr>
                <w:top w:val="none" w:sz="0" w:space="0" w:color="auto"/>
                <w:left w:val="none" w:sz="0" w:space="0" w:color="auto"/>
                <w:bottom w:val="none" w:sz="0" w:space="0" w:color="auto"/>
                <w:right w:val="none" w:sz="0" w:space="0" w:color="auto"/>
              </w:divBdr>
            </w:div>
            <w:div w:id="616178141">
              <w:marLeft w:val="0"/>
              <w:marRight w:val="0"/>
              <w:marTop w:val="0"/>
              <w:marBottom w:val="0"/>
              <w:divBdr>
                <w:top w:val="none" w:sz="0" w:space="0" w:color="auto"/>
                <w:left w:val="none" w:sz="0" w:space="0" w:color="auto"/>
                <w:bottom w:val="none" w:sz="0" w:space="0" w:color="auto"/>
                <w:right w:val="none" w:sz="0" w:space="0" w:color="auto"/>
              </w:divBdr>
            </w:div>
            <w:div w:id="968897968">
              <w:marLeft w:val="0"/>
              <w:marRight w:val="0"/>
              <w:marTop w:val="0"/>
              <w:marBottom w:val="0"/>
              <w:divBdr>
                <w:top w:val="none" w:sz="0" w:space="0" w:color="auto"/>
                <w:left w:val="none" w:sz="0" w:space="0" w:color="auto"/>
                <w:bottom w:val="none" w:sz="0" w:space="0" w:color="auto"/>
                <w:right w:val="none" w:sz="0" w:space="0" w:color="auto"/>
              </w:divBdr>
            </w:div>
            <w:div w:id="1269194773">
              <w:marLeft w:val="0"/>
              <w:marRight w:val="0"/>
              <w:marTop w:val="0"/>
              <w:marBottom w:val="0"/>
              <w:divBdr>
                <w:top w:val="none" w:sz="0" w:space="0" w:color="auto"/>
                <w:left w:val="none" w:sz="0" w:space="0" w:color="auto"/>
                <w:bottom w:val="none" w:sz="0" w:space="0" w:color="auto"/>
                <w:right w:val="none" w:sz="0" w:space="0" w:color="auto"/>
              </w:divBdr>
            </w:div>
            <w:div w:id="484123159">
              <w:marLeft w:val="0"/>
              <w:marRight w:val="0"/>
              <w:marTop w:val="0"/>
              <w:marBottom w:val="0"/>
              <w:divBdr>
                <w:top w:val="none" w:sz="0" w:space="0" w:color="auto"/>
                <w:left w:val="none" w:sz="0" w:space="0" w:color="auto"/>
                <w:bottom w:val="none" w:sz="0" w:space="0" w:color="auto"/>
                <w:right w:val="none" w:sz="0" w:space="0" w:color="auto"/>
              </w:divBdr>
            </w:div>
            <w:div w:id="1854372156">
              <w:marLeft w:val="0"/>
              <w:marRight w:val="0"/>
              <w:marTop w:val="0"/>
              <w:marBottom w:val="0"/>
              <w:divBdr>
                <w:top w:val="none" w:sz="0" w:space="0" w:color="auto"/>
                <w:left w:val="none" w:sz="0" w:space="0" w:color="auto"/>
                <w:bottom w:val="none" w:sz="0" w:space="0" w:color="auto"/>
                <w:right w:val="none" w:sz="0" w:space="0" w:color="auto"/>
              </w:divBdr>
            </w:div>
            <w:div w:id="291863818">
              <w:marLeft w:val="0"/>
              <w:marRight w:val="0"/>
              <w:marTop w:val="0"/>
              <w:marBottom w:val="0"/>
              <w:divBdr>
                <w:top w:val="none" w:sz="0" w:space="0" w:color="auto"/>
                <w:left w:val="none" w:sz="0" w:space="0" w:color="auto"/>
                <w:bottom w:val="none" w:sz="0" w:space="0" w:color="auto"/>
                <w:right w:val="none" w:sz="0" w:space="0" w:color="auto"/>
              </w:divBdr>
            </w:div>
            <w:div w:id="117265808">
              <w:marLeft w:val="0"/>
              <w:marRight w:val="0"/>
              <w:marTop w:val="0"/>
              <w:marBottom w:val="0"/>
              <w:divBdr>
                <w:top w:val="none" w:sz="0" w:space="0" w:color="auto"/>
                <w:left w:val="none" w:sz="0" w:space="0" w:color="auto"/>
                <w:bottom w:val="none" w:sz="0" w:space="0" w:color="auto"/>
                <w:right w:val="none" w:sz="0" w:space="0" w:color="auto"/>
              </w:divBdr>
            </w:div>
            <w:div w:id="589655267">
              <w:marLeft w:val="0"/>
              <w:marRight w:val="0"/>
              <w:marTop w:val="0"/>
              <w:marBottom w:val="0"/>
              <w:divBdr>
                <w:top w:val="none" w:sz="0" w:space="0" w:color="auto"/>
                <w:left w:val="none" w:sz="0" w:space="0" w:color="auto"/>
                <w:bottom w:val="none" w:sz="0" w:space="0" w:color="auto"/>
                <w:right w:val="none" w:sz="0" w:space="0" w:color="auto"/>
              </w:divBdr>
            </w:div>
            <w:div w:id="1831209273">
              <w:marLeft w:val="0"/>
              <w:marRight w:val="0"/>
              <w:marTop w:val="0"/>
              <w:marBottom w:val="0"/>
              <w:divBdr>
                <w:top w:val="none" w:sz="0" w:space="0" w:color="auto"/>
                <w:left w:val="none" w:sz="0" w:space="0" w:color="auto"/>
                <w:bottom w:val="none" w:sz="0" w:space="0" w:color="auto"/>
                <w:right w:val="none" w:sz="0" w:space="0" w:color="auto"/>
              </w:divBdr>
            </w:div>
            <w:div w:id="1632663228">
              <w:marLeft w:val="0"/>
              <w:marRight w:val="0"/>
              <w:marTop w:val="0"/>
              <w:marBottom w:val="0"/>
              <w:divBdr>
                <w:top w:val="none" w:sz="0" w:space="0" w:color="auto"/>
                <w:left w:val="none" w:sz="0" w:space="0" w:color="auto"/>
                <w:bottom w:val="none" w:sz="0" w:space="0" w:color="auto"/>
                <w:right w:val="none" w:sz="0" w:space="0" w:color="auto"/>
              </w:divBdr>
            </w:div>
            <w:div w:id="663168865">
              <w:marLeft w:val="0"/>
              <w:marRight w:val="0"/>
              <w:marTop w:val="0"/>
              <w:marBottom w:val="0"/>
              <w:divBdr>
                <w:top w:val="none" w:sz="0" w:space="0" w:color="auto"/>
                <w:left w:val="none" w:sz="0" w:space="0" w:color="auto"/>
                <w:bottom w:val="none" w:sz="0" w:space="0" w:color="auto"/>
                <w:right w:val="none" w:sz="0" w:space="0" w:color="auto"/>
              </w:divBdr>
            </w:div>
            <w:div w:id="1352949288">
              <w:marLeft w:val="0"/>
              <w:marRight w:val="0"/>
              <w:marTop w:val="0"/>
              <w:marBottom w:val="0"/>
              <w:divBdr>
                <w:top w:val="none" w:sz="0" w:space="0" w:color="auto"/>
                <w:left w:val="none" w:sz="0" w:space="0" w:color="auto"/>
                <w:bottom w:val="none" w:sz="0" w:space="0" w:color="auto"/>
                <w:right w:val="none" w:sz="0" w:space="0" w:color="auto"/>
              </w:divBdr>
            </w:div>
            <w:div w:id="1308048515">
              <w:marLeft w:val="0"/>
              <w:marRight w:val="0"/>
              <w:marTop w:val="0"/>
              <w:marBottom w:val="0"/>
              <w:divBdr>
                <w:top w:val="none" w:sz="0" w:space="0" w:color="auto"/>
                <w:left w:val="none" w:sz="0" w:space="0" w:color="auto"/>
                <w:bottom w:val="none" w:sz="0" w:space="0" w:color="auto"/>
                <w:right w:val="none" w:sz="0" w:space="0" w:color="auto"/>
              </w:divBdr>
            </w:div>
            <w:div w:id="126047796">
              <w:marLeft w:val="0"/>
              <w:marRight w:val="0"/>
              <w:marTop w:val="0"/>
              <w:marBottom w:val="0"/>
              <w:divBdr>
                <w:top w:val="none" w:sz="0" w:space="0" w:color="auto"/>
                <w:left w:val="none" w:sz="0" w:space="0" w:color="auto"/>
                <w:bottom w:val="none" w:sz="0" w:space="0" w:color="auto"/>
                <w:right w:val="none" w:sz="0" w:space="0" w:color="auto"/>
              </w:divBdr>
            </w:div>
            <w:div w:id="1018237768">
              <w:marLeft w:val="0"/>
              <w:marRight w:val="0"/>
              <w:marTop w:val="0"/>
              <w:marBottom w:val="0"/>
              <w:divBdr>
                <w:top w:val="none" w:sz="0" w:space="0" w:color="auto"/>
                <w:left w:val="none" w:sz="0" w:space="0" w:color="auto"/>
                <w:bottom w:val="none" w:sz="0" w:space="0" w:color="auto"/>
                <w:right w:val="none" w:sz="0" w:space="0" w:color="auto"/>
              </w:divBdr>
            </w:div>
            <w:div w:id="1037269387">
              <w:marLeft w:val="0"/>
              <w:marRight w:val="0"/>
              <w:marTop w:val="0"/>
              <w:marBottom w:val="0"/>
              <w:divBdr>
                <w:top w:val="none" w:sz="0" w:space="0" w:color="auto"/>
                <w:left w:val="none" w:sz="0" w:space="0" w:color="auto"/>
                <w:bottom w:val="none" w:sz="0" w:space="0" w:color="auto"/>
                <w:right w:val="none" w:sz="0" w:space="0" w:color="auto"/>
              </w:divBdr>
            </w:div>
            <w:div w:id="1735155469">
              <w:marLeft w:val="0"/>
              <w:marRight w:val="0"/>
              <w:marTop w:val="0"/>
              <w:marBottom w:val="0"/>
              <w:divBdr>
                <w:top w:val="none" w:sz="0" w:space="0" w:color="auto"/>
                <w:left w:val="none" w:sz="0" w:space="0" w:color="auto"/>
                <w:bottom w:val="none" w:sz="0" w:space="0" w:color="auto"/>
                <w:right w:val="none" w:sz="0" w:space="0" w:color="auto"/>
              </w:divBdr>
            </w:div>
            <w:div w:id="620452381">
              <w:marLeft w:val="0"/>
              <w:marRight w:val="0"/>
              <w:marTop w:val="0"/>
              <w:marBottom w:val="0"/>
              <w:divBdr>
                <w:top w:val="none" w:sz="0" w:space="0" w:color="auto"/>
                <w:left w:val="none" w:sz="0" w:space="0" w:color="auto"/>
                <w:bottom w:val="none" w:sz="0" w:space="0" w:color="auto"/>
                <w:right w:val="none" w:sz="0" w:space="0" w:color="auto"/>
              </w:divBdr>
            </w:div>
            <w:div w:id="656110033">
              <w:marLeft w:val="0"/>
              <w:marRight w:val="0"/>
              <w:marTop w:val="0"/>
              <w:marBottom w:val="0"/>
              <w:divBdr>
                <w:top w:val="none" w:sz="0" w:space="0" w:color="auto"/>
                <w:left w:val="none" w:sz="0" w:space="0" w:color="auto"/>
                <w:bottom w:val="none" w:sz="0" w:space="0" w:color="auto"/>
                <w:right w:val="none" w:sz="0" w:space="0" w:color="auto"/>
              </w:divBdr>
            </w:div>
            <w:div w:id="2135097910">
              <w:marLeft w:val="0"/>
              <w:marRight w:val="0"/>
              <w:marTop w:val="0"/>
              <w:marBottom w:val="0"/>
              <w:divBdr>
                <w:top w:val="none" w:sz="0" w:space="0" w:color="auto"/>
                <w:left w:val="none" w:sz="0" w:space="0" w:color="auto"/>
                <w:bottom w:val="none" w:sz="0" w:space="0" w:color="auto"/>
                <w:right w:val="none" w:sz="0" w:space="0" w:color="auto"/>
              </w:divBdr>
            </w:div>
            <w:div w:id="1736471638">
              <w:marLeft w:val="0"/>
              <w:marRight w:val="0"/>
              <w:marTop w:val="0"/>
              <w:marBottom w:val="0"/>
              <w:divBdr>
                <w:top w:val="none" w:sz="0" w:space="0" w:color="auto"/>
                <w:left w:val="none" w:sz="0" w:space="0" w:color="auto"/>
                <w:bottom w:val="none" w:sz="0" w:space="0" w:color="auto"/>
                <w:right w:val="none" w:sz="0" w:space="0" w:color="auto"/>
              </w:divBdr>
            </w:div>
            <w:div w:id="104826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9218">
      <w:bodyDiv w:val="1"/>
      <w:marLeft w:val="0"/>
      <w:marRight w:val="0"/>
      <w:marTop w:val="0"/>
      <w:marBottom w:val="0"/>
      <w:divBdr>
        <w:top w:val="none" w:sz="0" w:space="0" w:color="auto"/>
        <w:left w:val="none" w:sz="0" w:space="0" w:color="auto"/>
        <w:bottom w:val="none" w:sz="0" w:space="0" w:color="auto"/>
        <w:right w:val="none" w:sz="0" w:space="0" w:color="auto"/>
      </w:divBdr>
      <w:divsChild>
        <w:div w:id="1822890159">
          <w:marLeft w:val="0"/>
          <w:marRight w:val="0"/>
          <w:marTop w:val="0"/>
          <w:marBottom w:val="0"/>
          <w:divBdr>
            <w:top w:val="none" w:sz="0" w:space="0" w:color="auto"/>
            <w:left w:val="none" w:sz="0" w:space="0" w:color="auto"/>
            <w:bottom w:val="none" w:sz="0" w:space="0" w:color="auto"/>
            <w:right w:val="none" w:sz="0" w:space="0" w:color="auto"/>
          </w:divBdr>
        </w:div>
        <w:div w:id="231083979">
          <w:marLeft w:val="0"/>
          <w:marRight w:val="0"/>
          <w:marTop w:val="0"/>
          <w:marBottom w:val="0"/>
          <w:divBdr>
            <w:top w:val="none" w:sz="0" w:space="0" w:color="auto"/>
            <w:left w:val="none" w:sz="0" w:space="0" w:color="auto"/>
            <w:bottom w:val="none" w:sz="0" w:space="0" w:color="auto"/>
            <w:right w:val="none" w:sz="0" w:space="0" w:color="auto"/>
          </w:divBdr>
        </w:div>
        <w:div w:id="1855993786">
          <w:marLeft w:val="0"/>
          <w:marRight w:val="0"/>
          <w:marTop w:val="0"/>
          <w:marBottom w:val="0"/>
          <w:divBdr>
            <w:top w:val="none" w:sz="0" w:space="0" w:color="auto"/>
            <w:left w:val="none" w:sz="0" w:space="0" w:color="auto"/>
            <w:bottom w:val="none" w:sz="0" w:space="0" w:color="auto"/>
            <w:right w:val="none" w:sz="0" w:space="0" w:color="auto"/>
          </w:divBdr>
        </w:div>
        <w:div w:id="1944413855">
          <w:marLeft w:val="0"/>
          <w:marRight w:val="0"/>
          <w:marTop w:val="0"/>
          <w:marBottom w:val="0"/>
          <w:divBdr>
            <w:top w:val="none" w:sz="0" w:space="0" w:color="auto"/>
            <w:left w:val="none" w:sz="0" w:space="0" w:color="auto"/>
            <w:bottom w:val="none" w:sz="0" w:space="0" w:color="auto"/>
            <w:right w:val="none" w:sz="0" w:space="0" w:color="auto"/>
          </w:divBdr>
        </w:div>
        <w:div w:id="391346817">
          <w:marLeft w:val="0"/>
          <w:marRight w:val="0"/>
          <w:marTop w:val="0"/>
          <w:marBottom w:val="0"/>
          <w:divBdr>
            <w:top w:val="none" w:sz="0" w:space="0" w:color="auto"/>
            <w:left w:val="none" w:sz="0" w:space="0" w:color="auto"/>
            <w:bottom w:val="none" w:sz="0" w:space="0" w:color="auto"/>
            <w:right w:val="none" w:sz="0" w:space="0" w:color="auto"/>
          </w:divBdr>
        </w:div>
      </w:divsChild>
    </w:div>
    <w:div w:id="1343708058">
      <w:bodyDiv w:val="1"/>
      <w:marLeft w:val="0"/>
      <w:marRight w:val="0"/>
      <w:marTop w:val="0"/>
      <w:marBottom w:val="0"/>
      <w:divBdr>
        <w:top w:val="none" w:sz="0" w:space="0" w:color="auto"/>
        <w:left w:val="none" w:sz="0" w:space="0" w:color="auto"/>
        <w:bottom w:val="none" w:sz="0" w:space="0" w:color="auto"/>
        <w:right w:val="none" w:sz="0" w:space="0" w:color="auto"/>
      </w:divBdr>
      <w:divsChild>
        <w:div w:id="1375077281">
          <w:marLeft w:val="0"/>
          <w:marRight w:val="0"/>
          <w:marTop w:val="0"/>
          <w:marBottom w:val="0"/>
          <w:divBdr>
            <w:top w:val="none" w:sz="0" w:space="0" w:color="auto"/>
            <w:left w:val="none" w:sz="0" w:space="0" w:color="auto"/>
            <w:bottom w:val="none" w:sz="0" w:space="0" w:color="auto"/>
            <w:right w:val="none" w:sz="0" w:space="0" w:color="auto"/>
          </w:divBdr>
        </w:div>
        <w:div w:id="1182670070">
          <w:marLeft w:val="0"/>
          <w:marRight w:val="0"/>
          <w:marTop w:val="0"/>
          <w:marBottom w:val="0"/>
          <w:divBdr>
            <w:top w:val="none" w:sz="0" w:space="0" w:color="auto"/>
            <w:left w:val="none" w:sz="0" w:space="0" w:color="auto"/>
            <w:bottom w:val="none" w:sz="0" w:space="0" w:color="auto"/>
            <w:right w:val="none" w:sz="0" w:space="0" w:color="auto"/>
          </w:divBdr>
        </w:div>
        <w:div w:id="579943192">
          <w:marLeft w:val="0"/>
          <w:marRight w:val="0"/>
          <w:marTop w:val="0"/>
          <w:marBottom w:val="0"/>
          <w:divBdr>
            <w:top w:val="none" w:sz="0" w:space="0" w:color="auto"/>
            <w:left w:val="none" w:sz="0" w:space="0" w:color="auto"/>
            <w:bottom w:val="none" w:sz="0" w:space="0" w:color="auto"/>
            <w:right w:val="none" w:sz="0" w:space="0" w:color="auto"/>
          </w:divBdr>
        </w:div>
        <w:div w:id="324817306">
          <w:marLeft w:val="0"/>
          <w:marRight w:val="0"/>
          <w:marTop w:val="0"/>
          <w:marBottom w:val="0"/>
          <w:divBdr>
            <w:top w:val="none" w:sz="0" w:space="0" w:color="auto"/>
            <w:left w:val="none" w:sz="0" w:space="0" w:color="auto"/>
            <w:bottom w:val="none" w:sz="0" w:space="0" w:color="auto"/>
            <w:right w:val="none" w:sz="0" w:space="0" w:color="auto"/>
          </w:divBdr>
        </w:div>
        <w:div w:id="800226521">
          <w:marLeft w:val="0"/>
          <w:marRight w:val="0"/>
          <w:marTop w:val="0"/>
          <w:marBottom w:val="0"/>
          <w:divBdr>
            <w:top w:val="none" w:sz="0" w:space="0" w:color="auto"/>
            <w:left w:val="none" w:sz="0" w:space="0" w:color="auto"/>
            <w:bottom w:val="none" w:sz="0" w:space="0" w:color="auto"/>
            <w:right w:val="none" w:sz="0" w:space="0" w:color="auto"/>
          </w:divBdr>
        </w:div>
        <w:div w:id="1223836348">
          <w:marLeft w:val="0"/>
          <w:marRight w:val="0"/>
          <w:marTop w:val="0"/>
          <w:marBottom w:val="0"/>
          <w:divBdr>
            <w:top w:val="none" w:sz="0" w:space="0" w:color="auto"/>
            <w:left w:val="none" w:sz="0" w:space="0" w:color="auto"/>
            <w:bottom w:val="none" w:sz="0" w:space="0" w:color="auto"/>
            <w:right w:val="none" w:sz="0" w:space="0" w:color="auto"/>
          </w:divBdr>
        </w:div>
        <w:div w:id="1189105793">
          <w:marLeft w:val="0"/>
          <w:marRight w:val="0"/>
          <w:marTop w:val="0"/>
          <w:marBottom w:val="0"/>
          <w:divBdr>
            <w:top w:val="none" w:sz="0" w:space="0" w:color="auto"/>
            <w:left w:val="none" w:sz="0" w:space="0" w:color="auto"/>
            <w:bottom w:val="none" w:sz="0" w:space="0" w:color="auto"/>
            <w:right w:val="none" w:sz="0" w:space="0" w:color="auto"/>
          </w:divBdr>
        </w:div>
        <w:div w:id="12415830">
          <w:marLeft w:val="0"/>
          <w:marRight w:val="0"/>
          <w:marTop w:val="0"/>
          <w:marBottom w:val="0"/>
          <w:divBdr>
            <w:top w:val="none" w:sz="0" w:space="0" w:color="auto"/>
            <w:left w:val="none" w:sz="0" w:space="0" w:color="auto"/>
            <w:bottom w:val="none" w:sz="0" w:space="0" w:color="auto"/>
            <w:right w:val="none" w:sz="0" w:space="0" w:color="auto"/>
          </w:divBdr>
        </w:div>
        <w:div w:id="1194538121">
          <w:marLeft w:val="0"/>
          <w:marRight w:val="0"/>
          <w:marTop w:val="0"/>
          <w:marBottom w:val="0"/>
          <w:divBdr>
            <w:top w:val="none" w:sz="0" w:space="0" w:color="auto"/>
            <w:left w:val="none" w:sz="0" w:space="0" w:color="auto"/>
            <w:bottom w:val="none" w:sz="0" w:space="0" w:color="auto"/>
            <w:right w:val="none" w:sz="0" w:space="0" w:color="auto"/>
          </w:divBdr>
        </w:div>
        <w:div w:id="184877195">
          <w:marLeft w:val="0"/>
          <w:marRight w:val="0"/>
          <w:marTop w:val="0"/>
          <w:marBottom w:val="0"/>
          <w:divBdr>
            <w:top w:val="none" w:sz="0" w:space="0" w:color="auto"/>
            <w:left w:val="none" w:sz="0" w:space="0" w:color="auto"/>
            <w:bottom w:val="none" w:sz="0" w:space="0" w:color="auto"/>
            <w:right w:val="none" w:sz="0" w:space="0" w:color="auto"/>
          </w:divBdr>
        </w:div>
        <w:div w:id="1583642887">
          <w:marLeft w:val="0"/>
          <w:marRight w:val="0"/>
          <w:marTop w:val="0"/>
          <w:marBottom w:val="0"/>
          <w:divBdr>
            <w:top w:val="none" w:sz="0" w:space="0" w:color="auto"/>
            <w:left w:val="none" w:sz="0" w:space="0" w:color="auto"/>
            <w:bottom w:val="none" w:sz="0" w:space="0" w:color="auto"/>
            <w:right w:val="none" w:sz="0" w:space="0" w:color="auto"/>
          </w:divBdr>
        </w:div>
        <w:div w:id="721445568">
          <w:marLeft w:val="0"/>
          <w:marRight w:val="0"/>
          <w:marTop w:val="0"/>
          <w:marBottom w:val="0"/>
          <w:divBdr>
            <w:top w:val="none" w:sz="0" w:space="0" w:color="auto"/>
            <w:left w:val="none" w:sz="0" w:space="0" w:color="auto"/>
            <w:bottom w:val="none" w:sz="0" w:space="0" w:color="auto"/>
            <w:right w:val="none" w:sz="0" w:space="0" w:color="auto"/>
          </w:divBdr>
        </w:div>
        <w:div w:id="1938756811">
          <w:marLeft w:val="0"/>
          <w:marRight w:val="0"/>
          <w:marTop w:val="0"/>
          <w:marBottom w:val="0"/>
          <w:divBdr>
            <w:top w:val="none" w:sz="0" w:space="0" w:color="auto"/>
            <w:left w:val="none" w:sz="0" w:space="0" w:color="auto"/>
            <w:bottom w:val="none" w:sz="0" w:space="0" w:color="auto"/>
            <w:right w:val="none" w:sz="0" w:space="0" w:color="auto"/>
          </w:divBdr>
        </w:div>
      </w:divsChild>
    </w:div>
    <w:div w:id="1358895396">
      <w:bodyDiv w:val="1"/>
      <w:marLeft w:val="0"/>
      <w:marRight w:val="0"/>
      <w:marTop w:val="0"/>
      <w:marBottom w:val="0"/>
      <w:divBdr>
        <w:top w:val="none" w:sz="0" w:space="0" w:color="auto"/>
        <w:left w:val="none" w:sz="0" w:space="0" w:color="auto"/>
        <w:bottom w:val="none" w:sz="0" w:space="0" w:color="auto"/>
        <w:right w:val="none" w:sz="0" w:space="0" w:color="auto"/>
      </w:divBdr>
      <w:divsChild>
        <w:div w:id="1320379108">
          <w:marLeft w:val="0"/>
          <w:marRight w:val="0"/>
          <w:marTop w:val="0"/>
          <w:marBottom w:val="0"/>
          <w:divBdr>
            <w:top w:val="none" w:sz="0" w:space="0" w:color="auto"/>
            <w:left w:val="none" w:sz="0" w:space="0" w:color="auto"/>
            <w:bottom w:val="none" w:sz="0" w:space="0" w:color="auto"/>
            <w:right w:val="none" w:sz="0" w:space="0" w:color="auto"/>
          </w:divBdr>
        </w:div>
        <w:div w:id="1850440672">
          <w:marLeft w:val="0"/>
          <w:marRight w:val="0"/>
          <w:marTop w:val="0"/>
          <w:marBottom w:val="0"/>
          <w:divBdr>
            <w:top w:val="none" w:sz="0" w:space="0" w:color="auto"/>
            <w:left w:val="none" w:sz="0" w:space="0" w:color="auto"/>
            <w:bottom w:val="none" w:sz="0" w:space="0" w:color="auto"/>
            <w:right w:val="none" w:sz="0" w:space="0" w:color="auto"/>
          </w:divBdr>
        </w:div>
        <w:div w:id="1945379213">
          <w:marLeft w:val="0"/>
          <w:marRight w:val="0"/>
          <w:marTop w:val="0"/>
          <w:marBottom w:val="0"/>
          <w:divBdr>
            <w:top w:val="none" w:sz="0" w:space="0" w:color="auto"/>
            <w:left w:val="none" w:sz="0" w:space="0" w:color="auto"/>
            <w:bottom w:val="none" w:sz="0" w:space="0" w:color="auto"/>
            <w:right w:val="none" w:sz="0" w:space="0" w:color="auto"/>
          </w:divBdr>
        </w:div>
        <w:div w:id="626468785">
          <w:marLeft w:val="0"/>
          <w:marRight w:val="0"/>
          <w:marTop w:val="0"/>
          <w:marBottom w:val="0"/>
          <w:divBdr>
            <w:top w:val="none" w:sz="0" w:space="0" w:color="auto"/>
            <w:left w:val="none" w:sz="0" w:space="0" w:color="auto"/>
            <w:bottom w:val="none" w:sz="0" w:space="0" w:color="auto"/>
            <w:right w:val="none" w:sz="0" w:space="0" w:color="auto"/>
          </w:divBdr>
        </w:div>
        <w:div w:id="1316715370">
          <w:marLeft w:val="0"/>
          <w:marRight w:val="0"/>
          <w:marTop w:val="0"/>
          <w:marBottom w:val="0"/>
          <w:divBdr>
            <w:top w:val="none" w:sz="0" w:space="0" w:color="auto"/>
            <w:left w:val="none" w:sz="0" w:space="0" w:color="auto"/>
            <w:bottom w:val="none" w:sz="0" w:space="0" w:color="auto"/>
            <w:right w:val="none" w:sz="0" w:space="0" w:color="auto"/>
          </w:divBdr>
        </w:div>
      </w:divsChild>
    </w:div>
    <w:div w:id="1375421658">
      <w:bodyDiv w:val="1"/>
      <w:marLeft w:val="0"/>
      <w:marRight w:val="0"/>
      <w:marTop w:val="0"/>
      <w:marBottom w:val="0"/>
      <w:divBdr>
        <w:top w:val="none" w:sz="0" w:space="0" w:color="auto"/>
        <w:left w:val="none" w:sz="0" w:space="0" w:color="auto"/>
        <w:bottom w:val="none" w:sz="0" w:space="0" w:color="auto"/>
        <w:right w:val="none" w:sz="0" w:space="0" w:color="auto"/>
      </w:divBdr>
    </w:div>
    <w:div w:id="1408503853">
      <w:bodyDiv w:val="1"/>
      <w:marLeft w:val="0"/>
      <w:marRight w:val="0"/>
      <w:marTop w:val="0"/>
      <w:marBottom w:val="0"/>
      <w:divBdr>
        <w:top w:val="none" w:sz="0" w:space="0" w:color="auto"/>
        <w:left w:val="none" w:sz="0" w:space="0" w:color="auto"/>
        <w:bottom w:val="none" w:sz="0" w:space="0" w:color="auto"/>
        <w:right w:val="none" w:sz="0" w:space="0" w:color="auto"/>
      </w:divBdr>
      <w:divsChild>
        <w:div w:id="684095534">
          <w:marLeft w:val="0"/>
          <w:marRight w:val="0"/>
          <w:marTop w:val="0"/>
          <w:marBottom w:val="0"/>
          <w:divBdr>
            <w:top w:val="none" w:sz="0" w:space="0" w:color="auto"/>
            <w:left w:val="none" w:sz="0" w:space="0" w:color="auto"/>
            <w:bottom w:val="none" w:sz="0" w:space="0" w:color="auto"/>
            <w:right w:val="none" w:sz="0" w:space="0" w:color="auto"/>
          </w:divBdr>
        </w:div>
        <w:div w:id="800802228">
          <w:marLeft w:val="0"/>
          <w:marRight w:val="0"/>
          <w:marTop w:val="0"/>
          <w:marBottom w:val="0"/>
          <w:divBdr>
            <w:top w:val="none" w:sz="0" w:space="0" w:color="auto"/>
            <w:left w:val="none" w:sz="0" w:space="0" w:color="auto"/>
            <w:bottom w:val="none" w:sz="0" w:space="0" w:color="auto"/>
            <w:right w:val="none" w:sz="0" w:space="0" w:color="auto"/>
          </w:divBdr>
        </w:div>
        <w:div w:id="456990656">
          <w:marLeft w:val="0"/>
          <w:marRight w:val="0"/>
          <w:marTop w:val="0"/>
          <w:marBottom w:val="0"/>
          <w:divBdr>
            <w:top w:val="none" w:sz="0" w:space="0" w:color="auto"/>
            <w:left w:val="none" w:sz="0" w:space="0" w:color="auto"/>
            <w:bottom w:val="none" w:sz="0" w:space="0" w:color="auto"/>
            <w:right w:val="none" w:sz="0" w:space="0" w:color="auto"/>
          </w:divBdr>
        </w:div>
        <w:div w:id="117067975">
          <w:marLeft w:val="0"/>
          <w:marRight w:val="0"/>
          <w:marTop w:val="0"/>
          <w:marBottom w:val="0"/>
          <w:divBdr>
            <w:top w:val="none" w:sz="0" w:space="0" w:color="auto"/>
            <w:left w:val="none" w:sz="0" w:space="0" w:color="auto"/>
            <w:bottom w:val="none" w:sz="0" w:space="0" w:color="auto"/>
            <w:right w:val="none" w:sz="0" w:space="0" w:color="auto"/>
          </w:divBdr>
        </w:div>
        <w:div w:id="2004165234">
          <w:marLeft w:val="0"/>
          <w:marRight w:val="0"/>
          <w:marTop w:val="0"/>
          <w:marBottom w:val="0"/>
          <w:divBdr>
            <w:top w:val="none" w:sz="0" w:space="0" w:color="auto"/>
            <w:left w:val="none" w:sz="0" w:space="0" w:color="auto"/>
            <w:bottom w:val="none" w:sz="0" w:space="0" w:color="auto"/>
            <w:right w:val="none" w:sz="0" w:space="0" w:color="auto"/>
          </w:divBdr>
        </w:div>
        <w:div w:id="341788283">
          <w:marLeft w:val="0"/>
          <w:marRight w:val="0"/>
          <w:marTop w:val="0"/>
          <w:marBottom w:val="0"/>
          <w:divBdr>
            <w:top w:val="none" w:sz="0" w:space="0" w:color="auto"/>
            <w:left w:val="none" w:sz="0" w:space="0" w:color="auto"/>
            <w:bottom w:val="none" w:sz="0" w:space="0" w:color="auto"/>
            <w:right w:val="none" w:sz="0" w:space="0" w:color="auto"/>
          </w:divBdr>
        </w:div>
        <w:div w:id="1885095600">
          <w:marLeft w:val="0"/>
          <w:marRight w:val="0"/>
          <w:marTop w:val="0"/>
          <w:marBottom w:val="0"/>
          <w:divBdr>
            <w:top w:val="none" w:sz="0" w:space="0" w:color="auto"/>
            <w:left w:val="none" w:sz="0" w:space="0" w:color="auto"/>
            <w:bottom w:val="none" w:sz="0" w:space="0" w:color="auto"/>
            <w:right w:val="none" w:sz="0" w:space="0" w:color="auto"/>
          </w:divBdr>
        </w:div>
        <w:div w:id="1782456725">
          <w:marLeft w:val="0"/>
          <w:marRight w:val="0"/>
          <w:marTop w:val="0"/>
          <w:marBottom w:val="0"/>
          <w:divBdr>
            <w:top w:val="none" w:sz="0" w:space="0" w:color="auto"/>
            <w:left w:val="none" w:sz="0" w:space="0" w:color="auto"/>
            <w:bottom w:val="none" w:sz="0" w:space="0" w:color="auto"/>
            <w:right w:val="none" w:sz="0" w:space="0" w:color="auto"/>
          </w:divBdr>
        </w:div>
        <w:div w:id="1466436305">
          <w:marLeft w:val="0"/>
          <w:marRight w:val="0"/>
          <w:marTop w:val="0"/>
          <w:marBottom w:val="0"/>
          <w:divBdr>
            <w:top w:val="none" w:sz="0" w:space="0" w:color="auto"/>
            <w:left w:val="none" w:sz="0" w:space="0" w:color="auto"/>
            <w:bottom w:val="none" w:sz="0" w:space="0" w:color="auto"/>
            <w:right w:val="none" w:sz="0" w:space="0" w:color="auto"/>
          </w:divBdr>
        </w:div>
        <w:div w:id="169030427">
          <w:marLeft w:val="0"/>
          <w:marRight w:val="0"/>
          <w:marTop w:val="0"/>
          <w:marBottom w:val="0"/>
          <w:divBdr>
            <w:top w:val="none" w:sz="0" w:space="0" w:color="auto"/>
            <w:left w:val="none" w:sz="0" w:space="0" w:color="auto"/>
            <w:bottom w:val="none" w:sz="0" w:space="0" w:color="auto"/>
            <w:right w:val="none" w:sz="0" w:space="0" w:color="auto"/>
          </w:divBdr>
        </w:div>
        <w:div w:id="399602480">
          <w:marLeft w:val="0"/>
          <w:marRight w:val="0"/>
          <w:marTop w:val="0"/>
          <w:marBottom w:val="0"/>
          <w:divBdr>
            <w:top w:val="none" w:sz="0" w:space="0" w:color="auto"/>
            <w:left w:val="none" w:sz="0" w:space="0" w:color="auto"/>
            <w:bottom w:val="none" w:sz="0" w:space="0" w:color="auto"/>
            <w:right w:val="none" w:sz="0" w:space="0" w:color="auto"/>
          </w:divBdr>
        </w:div>
        <w:div w:id="462310179">
          <w:marLeft w:val="0"/>
          <w:marRight w:val="0"/>
          <w:marTop w:val="0"/>
          <w:marBottom w:val="0"/>
          <w:divBdr>
            <w:top w:val="none" w:sz="0" w:space="0" w:color="auto"/>
            <w:left w:val="none" w:sz="0" w:space="0" w:color="auto"/>
            <w:bottom w:val="none" w:sz="0" w:space="0" w:color="auto"/>
            <w:right w:val="none" w:sz="0" w:space="0" w:color="auto"/>
          </w:divBdr>
        </w:div>
        <w:div w:id="277492603">
          <w:marLeft w:val="0"/>
          <w:marRight w:val="0"/>
          <w:marTop w:val="0"/>
          <w:marBottom w:val="0"/>
          <w:divBdr>
            <w:top w:val="none" w:sz="0" w:space="0" w:color="auto"/>
            <w:left w:val="none" w:sz="0" w:space="0" w:color="auto"/>
            <w:bottom w:val="none" w:sz="0" w:space="0" w:color="auto"/>
            <w:right w:val="none" w:sz="0" w:space="0" w:color="auto"/>
          </w:divBdr>
        </w:div>
        <w:div w:id="281308957">
          <w:marLeft w:val="0"/>
          <w:marRight w:val="0"/>
          <w:marTop w:val="0"/>
          <w:marBottom w:val="0"/>
          <w:divBdr>
            <w:top w:val="none" w:sz="0" w:space="0" w:color="auto"/>
            <w:left w:val="none" w:sz="0" w:space="0" w:color="auto"/>
            <w:bottom w:val="none" w:sz="0" w:space="0" w:color="auto"/>
            <w:right w:val="none" w:sz="0" w:space="0" w:color="auto"/>
          </w:divBdr>
        </w:div>
        <w:div w:id="1519847825">
          <w:marLeft w:val="0"/>
          <w:marRight w:val="0"/>
          <w:marTop w:val="0"/>
          <w:marBottom w:val="0"/>
          <w:divBdr>
            <w:top w:val="none" w:sz="0" w:space="0" w:color="auto"/>
            <w:left w:val="none" w:sz="0" w:space="0" w:color="auto"/>
            <w:bottom w:val="none" w:sz="0" w:space="0" w:color="auto"/>
            <w:right w:val="none" w:sz="0" w:space="0" w:color="auto"/>
          </w:divBdr>
        </w:div>
        <w:div w:id="237325330">
          <w:marLeft w:val="0"/>
          <w:marRight w:val="0"/>
          <w:marTop w:val="0"/>
          <w:marBottom w:val="0"/>
          <w:divBdr>
            <w:top w:val="none" w:sz="0" w:space="0" w:color="auto"/>
            <w:left w:val="none" w:sz="0" w:space="0" w:color="auto"/>
            <w:bottom w:val="none" w:sz="0" w:space="0" w:color="auto"/>
            <w:right w:val="none" w:sz="0" w:space="0" w:color="auto"/>
          </w:divBdr>
        </w:div>
        <w:div w:id="1750807088">
          <w:marLeft w:val="0"/>
          <w:marRight w:val="0"/>
          <w:marTop w:val="0"/>
          <w:marBottom w:val="0"/>
          <w:divBdr>
            <w:top w:val="none" w:sz="0" w:space="0" w:color="auto"/>
            <w:left w:val="none" w:sz="0" w:space="0" w:color="auto"/>
            <w:bottom w:val="none" w:sz="0" w:space="0" w:color="auto"/>
            <w:right w:val="none" w:sz="0" w:space="0" w:color="auto"/>
          </w:divBdr>
        </w:div>
        <w:div w:id="1614166121">
          <w:marLeft w:val="0"/>
          <w:marRight w:val="0"/>
          <w:marTop w:val="0"/>
          <w:marBottom w:val="0"/>
          <w:divBdr>
            <w:top w:val="none" w:sz="0" w:space="0" w:color="auto"/>
            <w:left w:val="none" w:sz="0" w:space="0" w:color="auto"/>
            <w:bottom w:val="none" w:sz="0" w:space="0" w:color="auto"/>
            <w:right w:val="none" w:sz="0" w:space="0" w:color="auto"/>
          </w:divBdr>
        </w:div>
        <w:div w:id="1043478284">
          <w:marLeft w:val="0"/>
          <w:marRight w:val="0"/>
          <w:marTop w:val="0"/>
          <w:marBottom w:val="0"/>
          <w:divBdr>
            <w:top w:val="none" w:sz="0" w:space="0" w:color="auto"/>
            <w:left w:val="none" w:sz="0" w:space="0" w:color="auto"/>
            <w:bottom w:val="none" w:sz="0" w:space="0" w:color="auto"/>
            <w:right w:val="none" w:sz="0" w:space="0" w:color="auto"/>
          </w:divBdr>
        </w:div>
        <w:div w:id="1389495384">
          <w:marLeft w:val="0"/>
          <w:marRight w:val="0"/>
          <w:marTop w:val="0"/>
          <w:marBottom w:val="0"/>
          <w:divBdr>
            <w:top w:val="none" w:sz="0" w:space="0" w:color="auto"/>
            <w:left w:val="none" w:sz="0" w:space="0" w:color="auto"/>
            <w:bottom w:val="none" w:sz="0" w:space="0" w:color="auto"/>
            <w:right w:val="none" w:sz="0" w:space="0" w:color="auto"/>
          </w:divBdr>
        </w:div>
        <w:div w:id="1012419965">
          <w:marLeft w:val="0"/>
          <w:marRight w:val="0"/>
          <w:marTop w:val="0"/>
          <w:marBottom w:val="0"/>
          <w:divBdr>
            <w:top w:val="none" w:sz="0" w:space="0" w:color="auto"/>
            <w:left w:val="none" w:sz="0" w:space="0" w:color="auto"/>
            <w:bottom w:val="none" w:sz="0" w:space="0" w:color="auto"/>
            <w:right w:val="none" w:sz="0" w:space="0" w:color="auto"/>
          </w:divBdr>
        </w:div>
        <w:div w:id="1232736946">
          <w:marLeft w:val="0"/>
          <w:marRight w:val="0"/>
          <w:marTop w:val="0"/>
          <w:marBottom w:val="0"/>
          <w:divBdr>
            <w:top w:val="none" w:sz="0" w:space="0" w:color="auto"/>
            <w:left w:val="none" w:sz="0" w:space="0" w:color="auto"/>
            <w:bottom w:val="none" w:sz="0" w:space="0" w:color="auto"/>
            <w:right w:val="none" w:sz="0" w:space="0" w:color="auto"/>
          </w:divBdr>
        </w:div>
      </w:divsChild>
    </w:div>
    <w:div w:id="1436947735">
      <w:bodyDiv w:val="1"/>
      <w:marLeft w:val="0"/>
      <w:marRight w:val="0"/>
      <w:marTop w:val="0"/>
      <w:marBottom w:val="0"/>
      <w:divBdr>
        <w:top w:val="none" w:sz="0" w:space="0" w:color="auto"/>
        <w:left w:val="none" w:sz="0" w:space="0" w:color="auto"/>
        <w:bottom w:val="none" w:sz="0" w:space="0" w:color="auto"/>
        <w:right w:val="none" w:sz="0" w:space="0" w:color="auto"/>
      </w:divBdr>
      <w:divsChild>
        <w:div w:id="1655256417">
          <w:marLeft w:val="0"/>
          <w:marRight w:val="0"/>
          <w:marTop w:val="0"/>
          <w:marBottom w:val="0"/>
          <w:divBdr>
            <w:top w:val="none" w:sz="0" w:space="0" w:color="auto"/>
            <w:left w:val="none" w:sz="0" w:space="0" w:color="auto"/>
            <w:bottom w:val="none" w:sz="0" w:space="0" w:color="auto"/>
            <w:right w:val="none" w:sz="0" w:space="0" w:color="auto"/>
          </w:divBdr>
        </w:div>
        <w:div w:id="1424958372">
          <w:marLeft w:val="0"/>
          <w:marRight w:val="0"/>
          <w:marTop w:val="0"/>
          <w:marBottom w:val="0"/>
          <w:divBdr>
            <w:top w:val="none" w:sz="0" w:space="0" w:color="auto"/>
            <w:left w:val="none" w:sz="0" w:space="0" w:color="auto"/>
            <w:bottom w:val="none" w:sz="0" w:space="0" w:color="auto"/>
            <w:right w:val="none" w:sz="0" w:space="0" w:color="auto"/>
          </w:divBdr>
        </w:div>
        <w:div w:id="1882783941">
          <w:marLeft w:val="0"/>
          <w:marRight w:val="0"/>
          <w:marTop w:val="0"/>
          <w:marBottom w:val="0"/>
          <w:divBdr>
            <w:top w:val="none" w:sz="0" w:space="0" w:color="auto"/>
            <w:left w:val="none" w:sz="0" w:space="0" w:color="auto"/>
            <w:bottom w:val="none" w:sz="0" w:space="0" w:color="auto"/>
            <w:right w:val="none" w:sz="0" w:space="0" w:color="auto"/>
          </w:divBdr>
        </w:div>
        <w:div w:id="404646983">
          <w:marLeft w:val="0"/>
          <w:marRight w:val="0"/>
          <w:marTop w:val="0"/>
          <w:marBottom w:val="0"/>
          <w:divBdr>
            <w:top w:val="none" w:sz="0" w:space="0" w:color="auto"/>
            <w:left w:val="none" w:sz="0" w:space="0" w:color="auto"/>
            <w:bottom w:val="none" w:sz="0" w:space="0" w:color="auto"/>
            <w:right w:val="none" w:sz="0" w:space="0" w:color="auto"/>
          </w:divBdr>
        </w:div>
        <w:div w:id="360203798">
          <w:marLeft w:val="0"/>
          <w:marRight w:val="0"/>
          <w:marTop w:val="0"/>
          <w:marBottom w:val="0"/>
          <w:divBdr>
            <w:top w:val="none" w:sz="0" w:space="0" w:color="auto"/>
            <w:left w:val="none" w:sz="0" w:space="0" w:color="auto"/>
            <w:bottom w:val="none" w:sz="0" w:space="0" w:color="auto"/>
            <w:right w:val="none" w:sz="0" w:space="0" w:color="auto"/>
          </w:divBdr>
        </w:div>
        <w:div w:id="1518084092">
          <w:marLeft w:val="0"/>
          <w:marRight w:val="0"/>
          <w:marTop w:val="0"/>
          <w:marBottom w:val="0"/>
          <w:divBdr>
            <w:top w:val="none" w:sz="0" w:space="0" w:color="auto"/>
            <w:left w:val="none" w:sz="0" w:space="0" w:color="auto"/>
            <w:bottom w:val="none" w:sz="0" w:space="0" w:color="auto"/>
            <w:right w:val="none" w:sz="0" w:space="0" w:color="auto"/>
          </w:divBdr>
        </w:div>
        <w:div w:id="172457061">
          <w:marLeft w:val="0"/>
          <w:marRight w:val="0"/>
          <w:marTop w:val="0"/>
          <w:marBottom w:val="0"/>
          <w:divBdr>
            <w:top w:val="none" w:sz="0" w:space="0" w:color="auto"/>
            <w:left w:val="none" w:sz="0" w:space="0" w:color="auto"/>
            <w:bottom w:val="none" w:sz="0" w:space="0" w:color="auto"/>
            <w:right w:val="none" w:sz="0" w:space="0" w:color="auto"/>
          </w:divBdr>
        </w:div>
        <w:div w:id="1359627432">
          <w:marLeft w:val="0"/>
          <w:marRight w:val="0"/>
          <w:marTop w:val="0"/>
          <w:marBottom w:val="0"/>
          <w:divBdr>
            <w:top w:val="none" w:sz="0" w:space="0" w:color="auto"/>
            <w:left w:val="none" w:sz="0" w:space="0" w:color="auto"/>
            <w:bottom w:val="none" w:sz="0" w:space="0" w:color="auto"/>
            <w:right w:val="none" w:sz="0" w:space="0" w:color="auto"/>
          </w:divBdr>
        </w:div>
        <w:div w:id="2136605648">
          <w:marLeft w:val="0"/>
          <w:marRight w:val="0"/>
          <w:marTop w:val="0"/>
          <w:marBottom w:val="0"/>
          <w:divBdr>
            <w:top w:val="none" w:sz="0" w:space="0" w:color="auto"/>
            <w:left w:val="none" w:sz="0" w:space="0" w:color="auto"/>
            <w:bottom w:val="none" w:sz="0" w:space="0" w:color="auto"/>
            <w:right w:val="none" w:sz="0" w:space="0" w:color="auto"/>
          </w:divBdr>
        </w:div>
      </w:divsChild>
    </w:div>
    <w:div w:id="1494564419">
      <w:bodyDiv w:val="1"/>
      <w:marLeft w:val="0"/>
      <w:marRight w:val="0"/>
      <w:marTop w:val="0"/>
      <w:marBottom w:val="0"/>
      <w:divBdr>
        <w:top w:val="none" w:sz="0" w:space="0" w:color="auto"/>
        <w:left w:val="none" w:sz="0" w:space="0" w:color="auto"/>
        <w:bottom w:val="none" w:sz="0" w:space="0" w:color="auto"/>
        <w:right w:val="none" w:sz="0" w:space="0" w:color="auto"/>
      </w:divBdr>
      <w:divsChild>
        <w:div w:id="1674338767">
          <w:marLeft w:val="0"/>
          <w:marRight w:val="0"/>
          <w:marTop w:val="0"/>
          <w:marBottom w:val="0"/>
          <w:divBdr>
            <w:top w:val="none" w:sz="0" w:space="0" w:color="auto"/>
            <w:left w:val="none" w:sz="0" w:space="0" w:color="auto"/>
            <w:bottom w:val="none" w:sz="0" w:space="0" w:color="auto"/>
            <w:right w:val="none" w:sz="0" w:space="0" w:color="auto"/>
          </w:divBdr>
        </w:div>
        <w:div w:id="1681198106">
          <w:marLeft w:val="0"/>
          <w:marRight w:val="0"/>
          <w:marTop w:val="0"/>
          <w:marBottom w:val="0"/>
          <w:divBdr>
            <w:top w:val="none" w:sz="0" w:space="0" w:color="auto"/>
            <w:left w:val="none" w:sz="0" w:space="0" w:color="auto"/>
            <w:bottom w:val="none" w:sz="0" w:space="0" w:color="auto"/>
            <w:right w:val="none" w:sz="0" w:space="0" w:color="auto"/>
          </w:divBdr>
        </w:div>
        <w:div w:id="1403603758">
          <w:marLeft w:val="0"/>
          <w:marRight w:val="0"/>
          <w:marTop w:val="0"/>
          <w:marBottom w:val="0"/>
          <w:divBdr>
            <w:top w:val="none" w:sz="0" w:space="0" w:color="auto"/>
            <w:left w:val="none" w:sz="0" w:space="0" w:color="auto"/>
            <w:bottom w:val="none" w:sz="0" w:space="0" w:color="auto"/>
            <w:right w:val="none" w:sz="0" w:space="0" w:color="auto"/>
          </w:divBdr>
        </w:div>
        <w:div w:id="1227765925">
          <w:marLeft w:val="0"/>
          <w:marRight w:val="0"/>
          <w:marTop w:val="0"/>
          <w:marBottom w:val="0"/>
          <w:divBdr>
            <w:top w:val="none" w:sz="0" w:space="0" w:color="auto"/>
            <w:left w:val="none" w:sz="0" w:space="0" w:color="auto"/>
            <w:bottom w:val="none" w:sz="0" w:space="0" w:color="auto"/>
            <w:right w:val="none" w:sz="0" w:space="0" w:color="auto"/>
          </w:divBdr>
        </w:div>
        <w:div w:id="545138336">
          <w:marLeft w:val="0"/>
          <w:marRight w:val="0"/>
          <w:marTop w:val="0"/>
          <w:marBottom w:val="0"/>
          <w:divBdr>
            <w:top w:val="none" w:sz="0" w:space="0" w:color="auto"/>
            <w:left w:val="none" w:sz="0" w:space="0" w:color="auto"/>
            <w:bottom w:val="none" w:sz="0" w:space="0" w:color="auto"/>
            <w:right w:val="none" w:sz="0" w:space="0" w:color="auto"/>
          </w:divBdr>
        </w:div>
        <w:div w:id="1491363400">
          <w:marLeft w:val="0"/>
          <w:marRight w:val="0"/>
          <w:marTop w:val="0"/>
          <w:marBottom w:val="0"/>
          <w:divBdr>
            <w:top w:val="none" w:sz="0" w:space="0" w:color="auto"/>
            <w:left w:val="none" w:sz="0" w:space="0" w:color="auto"/>
            <w:bottom w:val="none" w:sz="0" w:space="0" w:color="auto"/>
            <w:right w:val="none" w:sz="0" w:space="0" w:color="auto"/>
          </w:divBdr>
        </w:div>
        <w:div w:id="85149795">
          <w:marLeft w:val="0"/>
          <w:marRight w:val="0"/>
          <w:marTop w:val="0"/>
          <w:marBottom w:val="0"/>
          <w:divBdr>
            <w:top w:val="none" w:sz="0" w:space="0" w:color="auto"/>
            <w:left w:val="none" w:sz="0" w:space="0" w:color="auto"/>
            <w:bottom w:val="none" w:sz="0" w:space="0" w:color="auto"/>
            <w:right w:val="none" w:sz="0" w:space="0" w:color="auto"/>
          </w:divBdr>
        </w:div>
        <w:div w:id="182129267">
          <w:marLeft w:val="0"/>
          <w:marRight w:val="0"/>
          <w:marTop w:val="0"/>
          <w:marBottom w:val="0"/>
          <w:divBdr>
            <w:top w:val="none" w:sz="0" w:space="0" w:color="auto"/>
            <w:left w:val="none" w:sz="0" w:space="0" w:color="auto"/>
            <w:bottom w:val="none" w:sz="0" w:space="0" w:color="auto"/>
            <w:right w:val="none" w:sz="0" w:space="0" w:color="auto"/>
          </w:divBdr>
        </w:div>
      </w:divsChild>
    </w:div>
    <w:div w:id="1522356905">
      <w:bodyDiv w:val="1"/>
      <w:marLeft w:val="0"/>
      <w:marRight w:val="0"/>
      <w:marTop w:val="0"/>
      <w:marBottom w:val="0"/>
      <w:divBdr>
        <w:top w:val="none" w:sz="0" w:space="0" w:color="auto"/>
        <w:left w:val="none" w:sz="0" w:space="0" w:color="auto"/>
        <w:bottom w:val="none" w:sz="0" w:space="0" w:color="auto"/>
        <w:right w:val="none" w:sz="0" w:space="0" w:color="auto"/>
      </w:divBdr>
      <w:divsChild>
        <w:div w:id="1136147383">
          <w:marLeft w:val="0"/>
          <w:marRight w:val="0"/>
          <w:marTop w:val="0"/>
          <w:marBottom w:val="0"/>
          <w:divBdr>
            <w:top w:val="none" w:sz="0" w:space="0" w:color="auto"/>
            <w:left w:val="none" w:sz="0" w:space="0" w:color="auto"/>
            <w:bottom w:val="none" w:sz="0" w:space="0" w:color="auto"/>
            <w:right w:val="none" w:sz="0" w:space="0" w:color="auto"/>
          </w:divBdr>
        </w:div>
        <w:div w:id="69156407">
          <w:marLeft w:val="0"/>
          <w:marRight w:val="0"/>
          <w:marTop w:val="0"/>
          <w:marBottom w:val="0"/>
          <w:divBdr>
            <w:top w:val="none" w:sz="0" w:space="0" w:color="auto"/>
            <w:left w:val="none" w:sz="0" w:space="0" w:color="auto"/>
            <w:bottom w:val="none" w:sz="0" w:space="0" w:color="auto"/>
            <w:right w:val="none" w:sz="0" w:space="0" w:color="auto"/>
          </w:divBdr>
        </w:div>
        <w:div w:id="1870795626">
          <w:marLeft w:val="0"/>
          <w:marRight w:val="0"/>
          <w:marTop w:val="0"/>
          <w:marBottom w:val="0"/>
          <w:divBdr>
            <w:top w:val="none" w:sz="0" w:space="0" w:color="auto"/>
            <w:left w:val="none" w:sz="0" w:space="0" w:color="auto"/>
            <w:bottom w:val="none" w:sz="0" w:space="0" w:color="auto"/>
            <w:right w:val="none" w:sz="0" w:space="0" w:color="auto"/>
          </w:divBdr>
        </w:div>
        <w:div w:id="1184397201">
          <w:marLeft w:val="0"/>
          <w:marRight w:val="0"/>
          <w:marTop w:val="0"/>
          <w:marBottom w:val="0"/>
          <w:divBdr>
            <w:top w:val="none" w:sz="0" w:space="0" w:color="auto"/>
            <w:left w:val="none" w:sz="0" w:space="0" w:color="auto"/>
            <w:bottom w:val="none" w:sz="0" w:space="0" w:color="auto"/>
            <w:right w:val="none" w:sz="0" w:space="0" w:color="auto"/>
          </w:divBdr>
        </w:div>
        <w:div w:id="573391942">
          <w:marLeft w:val="0"/>
          <w:marRight w:val="0"/>
          <w:marTop w:val="0"/>
          <w:marBottom w:val="0"/>
          <w:divBdr>
            <w:top w:val="none" w:sz="0" w:space="0" w:color="auto"/>
            <w:left w:val="none" w:sz="0" w:space="0" w:color="auto"/>
            <w:bottom w:val="none" w:sz="0" w:space="0" w:color="auto"/>
            <w:right w:val="none" w:sz="0" w:space="0" w:color="auto"/>
          </w:divBdr>
        </w:div>
        <w:div w:id="1336417889">
          <w:marLeft w:val="0"/>
          <w:marRight w:val="0"/>
          <w:marTop w:val="0"/>
          <w:marBottom w:val="0"/>
          <w:divBdr>
            <w:top w:val="none" w:sz="0" w:space="0" w:color="auto"/>
            <w:left w:val="none" w:sz="0" w:space="0" w:color="auto"/>
            <w:bottom w:val="none" w:sz="0" w:space="0" w:color="auto"/>
            <w:right w:val="none" w:sz="0" w:space="0" w:color="auto"/>
          </w:divBdr>
        </w:div>
        <w:div w:id="279190211">
          <w:marLeft w:val="0"/>
          <w:marRight w:val="0"/>
          <w:marTop w:val="0"/>
          <w:marBottom w:val="0"/>
          <w:divBdr>
            <w:top w:val="none" w:sz="0" w:space="0" w:color="auto"/>
            <w:left w:val="none" w:sz="0" w:space="0" w:color="auto"/>
            <w:bottom w:val="none" w:sz="0" w:space="0" w:color="auto"/>
            <w:right w:val="none" w:sz="0" w:space="0" w:color="auto"/>
          </w:divBdr>
        </w:div>
        <w:div w:id="1174956916">
          <w:marLeft w:val="0"/>
          <w:marRight w:val="0"/>
          <w:marTop w:val="0"/>
          <w:marBottom w:val="0"/>
          <w:divBdr>
            <w:top w:val="none" w:sz="0" w:space="0" w:color="auto"/>
            <w:left w:val="none" w:sz="0" w:space="0" w:color="auto"/>
            <w:bottom w:val="none" w:sz="0" w:space="0" w:color="auto"/>
            <w:right w:val="none" w:sz="0" w:space="0" w:color="auto"/>
          </w:divBdr>
        </w:div>
        <w:div w:id="1685159748">
          <w:marLeft w:val="0"/>
          <w:marRight w:val="0"/>
          <w:marTop w:val="0"/>
          <w:marBottom w:val="0"/>
          <w:divBdr>
            <w:top w:val="none" w:sz="0" w:space="0" w:color="auto"/>
            <w:left w:val="none" w:sz="0" w:space="0" w:color="auto"/>
            <w:bottom w:val="none" w:sz="0" w:space="0" w:color="auto"/>
            <w:right w:val="none" w:sz="0" w:space="0" w:color="auto"/>
          </w:divBdr>
        </w:div>
        <w:div w:id="2143961748">
          <w:marLeft w:val="0"/>
          <w:marRight w:val="0"/>
          <w:marTop w:val="0"/>
          <w:marBottom w:val="0"/>
          <w:divBdr>
            <w:top w:val="none" w:sz="0" w:space="0" w:color="auto"/>
            <w:left w:val="none" w:sz="0" w:space="0" w:color="auto"/>
            <w:bottom w:val="none" w:sz="0" w:space="0" w:color="auto"/>
            <w:right w:val="none" w:sz="0" w:space="0" w:color="auto"/>
          </w:divBdr>
        </w:div>
        <w:div w:id="1012804303">
          <w:marLeft w:val="0"/>
          <w:marRight w:val="0"/>
          <w:marTop w:val="0"/>
          <w:marBottom w:val="0"/>
          <w:divBdr>
            <w:top w:val="none" w:sz="0" w:space="0" w:color="auto"/>
            <w:left w:val="none" w:sz="0" w:space="0" w:color="auto"/>
            <w:bottom w:val="none" w:sz="0" w:space="0" w:color="auto"/>
            <w:right w:val="none" w:sz="0" w:space="0" w:color="auto"/>
          </w:divBdr>
        </w:div>
        <w:div w:id="1441804155">
          <w:marLeft w:val="0"/>
          <w:marRight w:val="0"/>
          <w:marTop w:val="0"/>
          <w:marBottom w:val="0"/>
          <w:divBdr>
            <w:top w:val="none" w:sz="0" w:space="0" w:color="auto"/>
            <w:left w:val="none" w:sz="0" w:space="0" w:color="auto"/>
            <w:bottom w:val="none" w:sz="0" w:space="0" w:color="auto"/>
            <w:right w:val="none" w:sz="0" w:space="0" w:color="auto"/>
          </w:divBdr>
        </w:div>
        <w:div w:id="153693681">
          <w:marLeft w:val="0"/>
          <w:marRight w:val="0"/>
          <w:marTop w:val="0"/>
          <w:marBottom w:val="0"/>
          <w:divBdr>
            <w:top w:val="none" w:sz="0" w:space="0" w:color="auto"/>
            <w:left w:val="none" w:sz="0" w:space="0" w:color="auto"/>
            <w:bottom w:val="none" w:sz="0" w:space="0" w:color="auto"/>
            <w:right w:val="none" w:sz="0" w:space="0" w:color="auto"/>
          </w:divBdr>
        </w:div>
        <w:div w:id="122191573">
          <w:marLeft w:val="0"/>
          <w:marRight w:val="0"/>
          <w:marTop w:val="0"/>
          <w:marBottom w:val="0"/>
          <w:divBdr>
            <w:top w:val="none" w:sz="0" w:space="0" w:color="auto"/>
            <w:left w:val="none" w:sz="0" w:space="0" w:color="auto"/>
            <w:bottom w:val="none" w:sz="0" w:space="0" w:color="auto"/>
            <w:right w:val="none" w:sz="0" w:space="0" w:color="auto"/>
          </w:divBdr>
        </w:div>
        <w:div w:id="1787043543">
          <w:marLeft w:val="0"/>
          <w:marRight w:val="0"/>
          <w:marTop w:val="0"/>
          <w:marBottom w:val="0"/>
          <w:divBdr>
            <w:top w:val="none" w:sz="0" w:space="0" w:color="auto"/>
            <w:left w:val="none" w:sz="0" w:space="0" w:color="auto"/>
            <w:bottom w:val="none" w:sz="0" w:space="0" w:color="auto"/>
            <w:right w:val="none" w:sz="0" w:space="0" w:color="auto"/>
          </w:divBdr>
        </w:div>
        <w:div w:id="891424648">
          <w:marLeft w:val="0"/>
          <w:marRight w:val="0"/>
          <w:marTop w:val="0"/>
          <w:marBottom w:val="0"/>
          <w:divBdr>
            <w:top w:val="none" w:sz="0" w:space="0" w:color="auto"/>
            <w:left w:val="none" w:sz="0" w:space="0" w:color="auto"/>
            <w:bottom w:val="none" w:sz="0" w:space="0" w:color="auto"/>
            <w:right w:val="none" w:sz="0" w:space="0" w:color="auto"/>
          </w:divBdr>
        </w:div>
        <w:div w:id="1736321129">
          <w:marLeft w:val="0"/>
          <w:marRight w:val="0"/>
          <w:marTop w:val="0"/>
          <w:marBottom w:val="0"/>
          <w:divBdr>
            <w:top w:val="none" w:sz="0" w:space="0" w:color="auto"/>
            <w:left w:val="none" w:sz="0" w:space="0" w:color="auto"/>
            <w:bottom w:val="none" w:sz="0" w:space="0" w:color="auto"/>
            <w:right w:val="none" w:sz="0" w:space="0" w:color="auto"/>
          </w:divBdr>
        </w:div>
        <w:div w:id="1202353531">
          <w:marLeft w:val="0"/>
          <w:marRight w:val="0"/>
          <w:marTop w:val="0"/>
          <w:marBottom w:val="0"/>
          <w:divBdr>
            <w:top w:val="none" w:sz="0" w:space="0" w:color="auto"/>
            <w:left w:val="none" w:sz="0" w:space="0" w:color="auto"/>
            <w:bottom w:val="none" w:sz="0" w:space="0" w:color="auto"/>
            <w:right w:val="none" w:sz="0" w:space="0" w:color="auto"/>
          </w:divBdr>
        </w:div>
        <w:div w:id="282155624">
          <w:marLeft w:val="0"/>
          <w:marRight w:val="0"/>
          <w:marTop w:val="0"/>
          <w:marBottom w:val="0"/>
          <w:divBdr>
            <w:top w:val="none" w:sz="0" w:space="0" w:color="auto"/>
            <w:left w:val="none" w:sz="0" w:space="0" w:color="auto"/>
            <w:bottom w:val="none" w:sz="0" w:space="0" w:color="auto"/>
            <w:right w:val="none" w:sz="0" w:space="0" w:color="auto"/>
          </w:divBdr>
        </w:div>
      </w:divsChild>
    </w:div>
    <w:div w:id="1541745871">
      <w:bodyDiv w:val="1"/>
      <w:marLeft w:val="0"/>
      <w:marRight w:val="0"/>
      <w:marTop w:val="0"/>
      <w:marBottom w:val="0"/>
      <w:divBdr>
        <w:top w:val="none" w:sz="0" w:space="0" w:color="auto"/>
        <w:left w:val="none" w:sz="0" w:space="0" w:color="auto"/>
        <w:bottom w:val="none" w:sz="0" w:space="0" w:color="auto"/>
        <w:right w:val="none" w:sz="0" w:space="0" w:color="auto"/>
      </w:divBdr>
      <w:divsChild>
        <w:div w:id="1836918307">
          <w:marLeft w:val="0"/>
          <w:marRight w:val="0"/>
          <w:marTop w:val="0"/>
          <w:marBottom w:val="0"/>
          <w:divBdr>
            <w:top w:val="none" w:sz="0" w:space="0" w:color="auto"/>
            <w:left w:val="none" w:sz="0" w:space="0" w:color="auto"/>
            <w:bottom w:val="none" w:sz="0" w:space="0" w:color="auto"/>
            <w:right w:val="none" w:sz="0" w:space="0" w:color="auto"/>
          </w:divBdr>
        </w:div>
        <w:div w:id="417604924">
          <w:marLeft w:val="0"/>
          <w:marRight w:val="0"/>
          <w:marTop w:val="0"/>
          <w:marBottom w:val="0"/>
          <w:divBdr>
            <w:top w:val="none" w:sz="0" w:space="0" w:color="auto"/>
            <w:left w:val="none" w:sz="0" w:space="0" w:color="auto"/>
            <w:bottom w:val="none" w:sz="0" w:space="0" w:color="auto"/>
            <w:right w:val="none" w:sz="0" w:space="0" w:color="auto"/>
          </w:divBdr>
        </w:div>
        <w:div w:id="1947350836">
          <w:marLeft w:val="0"/>
          <w:marRight w:val="0"/>
          <w:marTop w:val="0"/>
          <w:marBottom w:val="0"/>
          <w:divBdr>
            <w:top w:val="none" w:sz="0" w:space="0" w:color="auto"/>
            <w:left w:val="none" w:sz="0" w:space="0" w:color="auto"/>
            <w:bottom w:val="none" w:sz="0" w:space="0" w:color="auto"/>
            <w:right w:val="none" w:sz="0" w:space="0" w:color="auto"/>
          </w:divBdr>
        </w:div>
        <w:div w:id="1404185831">
          <w:marLeft w:val="0"/>
          <w:marRight w:val="0"/>
          <w:marTop w:val="0"/>
          <w:marBottom w:val="0"/>
          <w:divBdr>
            <w:top w:val="none" w:sz="0" w:space="0" w:color="auto"/>
            <w:left w:val="none" w:sz="0" w:space="0" w:color="auto"/>
            <w:bottom w:val="none" w:sz="0" w:space="0" w:color="auto"/>
            <w:right w:val="none" w:sz="0" w:space="0" w:color="auto"/>
          </w:divBdr>
        </w:div>
        <w:div w:id="994913108">
          <w:marLeft w:val="0"/>
          <w:marRight w:val="0"/>
          <w:marTop w:val="0"/>
          <w:marBottom w:val="0"/>
          <w:divBdr>
            <w:top w:val="none" w:sz="0" w:space="0" w:color="auto"/>
            <w:left w:val="none" w:sz="0" w:space="0" w:color="auto"/>
            <w:bottom w:val="none" w:sz="0" w:space="0" w:color="auto"/>
            <w:right w:val="none" w:sz="0" w:space="0" w:color="auto"/>
          </w:divBdr>
        </w:div>
        <w:div w:id="1336152384">
          <w:marLeft w:val="0"/>
          <w:marRight w:val="0"/>
          <w:marTop w:val="0"/>
          <w:marBottom w:val="0"/>
          <w:divBdr>
            <w:top w:val="none" w:sz="0" w:space="0" w:color="auto"/>
            <w:left w:val="none" w:sz="0" w:space="0" w:color="auto"/>
            <w:bottom w:val="none" w:sz="0" w:space="0" w:color="auto"/>
            <w:right w:val="none" w:sz="0" w:space="0" w:color="auto"/>
          </w:divBdr>
        </w:div>
        <w:div w:id="1297182371">
          <w:marLeft w:val="0"/>
          <w:marRight w:val="0"/>
          <w:marTop w:val="0"/>
          <w:marBottom w:val="0"/>
          <w:divBdr>
            <w:top w:val="none" w:sz="0" w:space="0" w:color="auto"/>
            <w:left w:val="none" w:sz="0" w:space="0" w:color="auto"/>
            <w:bottom w:val="none" w:sz="0" w:space="0" w:color="auto"/>
            <w:right w:val="none" w:sz="0" w:space="0" w:color="auto"/>
          </w:divBdr>
        </w:div>
        <w:div w:id="204874993">
          <w:marLeft w:val="0"/>
          <w:marRight w:val="0"/>
          <w:marTop w:val="0"/>
          <w:marBottom w:val="0"/>
          <w:divBdr>
            <w:top w:val="none" w:sz="0" w:space="0" w:color="auto"/>
            <w:left w:val="none" w:sz="0" w:space="0" w:color="auto"/>
            <w:bottom w:val="none" w:sz="0" w:space="0" w:color="auto"/>
            <w:right w:val="none" w:sz="0" w:space="0" w:color="auto"/>
          </w:divBdr>
        </w:div>
        <w:div w:id="839663299">
          <w:marLeft w:val="0"/>
          <w:marRight w:val="0"/>
          <w:marTop w:val="0"/>
          <w:marBottom w:val="0"/>
          <w:divBdr>
            <w:top w:val="none" w:sz="0" w:space="0" w:color="auto"/>
            <w:left w:val="none" w:sz="0" w:space="0" w:color="auto"/>
            <w:bottom w:val="none" w:sz="0" w:space="0" w:color="auto"/>
            <w:right w:val="none" w:sz="0" w:space="0" w:color="auto"/>
          </w:divBdr>
        </w:div>
        <w:div w:id="1195078415">
          <w:marLeft w:val="0"/>
          <w:marRight w:val="0"/>
          <w:marTop w:val="0"/>
          <w:marBottom w:val="0"/>
          <w:divBdr>
            <w:top w:val="none" w:sz="0" w:space="0" w:color="auto"/>
            <w:left w:val="none" w:sz="0" w:space="0" w:color="auto"/>
            <w:bottom w:val="none" w:sz="0" w:space="0" w:color="auto"/>
            <w:right w:val="none" w:sz="0" w:space="0" w:color="auto"/>
          </w:divBdr>
        </w:div>
        <w:div w:id="984894209">
          <w:marLeft w:val="0"/>
          <w:marRight w:val="0"/>
          <w:marTop w:val="0"/>
          <w:marBottom w:val="0"/>
          <w:divBdr>
            <w:top w:val="none" w:sz="0" w:space="0" w:color="auto"/>
            <w:left w:val="none" w:sz="0" w:space="0" w:color="auto"/>
            <w:bottom w:val="none" w:sz="0" w:space="0" w:color="auto"/>
            <w:right w:val="none" w:sz="0" w:space="0" w:color="auto"/>
          </w:divBdr>
        </w:div>
        <w:div w:id="2136170962">
          <w:marLeft w:val="0"/>
          <w:marRight w:val="0"/>
          <w:marTop w:val="0"/>
          <w:marBottom w:val="0"/>
          <w:divBdr>
            <w:top w:val="none" w:sz="0" w:space="0" w:color="auto"/>
            <w:left w:val="none" w:sz="0" w:space="0" w:color="auto"/>
            <w:bottom w:val="none" w:sz="0" w:space="0" w:color="auto"/>
            <w:right w:val="none" w:sz="0" w:space="0" w:color="auto"/>
          </w:divBdr>
        </w:div>
        <w:div w:id="1649166522">
          <w:marLeft w:val="0"/>
          <w:marRight w:val="0"/>
          <w:marTop w:val="0"/>
          <w:marBottom w:val="0"/>
          <w:divBdr>
            <w:top w:val="none" w:sz="0" w:space="0" w:color="auto"/>
            <w:left w:val="none" w:sz="0" w:space="0" w:color="auto"/>
            <w:bottom w:val="none" w:sz="0" w:space="0" w:color="auto"/>
            <w:right w:val="none" w:sz="0" w:space="0" w:color="auto"/>
          </w:divBdr>
        </w:div>
        <w:div w:id="773786946">
          <w:marLeft w:val="0"/>
          <w:marRight w:val="0"/>
          <w:marTop w:val="0"/>
          <w:marBottom w:val="0"/>
          <w:divBdr>
            <w:top w:val="none" w:sz="0" w:space="0" w:color="auto"/>
            <w:left w:val="none" w:sz="0" w:space="0" w:color="auto"/>
            <w:bottom w:val="none" w:sz="0" w:space="0" w:color="auto"/>
            <w:right w:val="none" w:sz="0" w:space="0" w:color="auto"/>
          </w:divBdr>
        </w:div>
        <w:div w:id="457533651">
          <w:marLeft w:val="0"/>
          <w:marRight w:val="0"/>
          <w:marTop w:val="0"/>
          <w:marBottom w:val="0"/>
          <w:divBdr>
            <w:top w:val="none" w:sz="0" w:space="0" w:color="auto"/>
            <w:left w:val="none" w:sz="0" w:space="0" w:color="auto"/>
            <w:bottom w:val="none" w:sz="0" w:space="0" w:color="auto"/>
            <w:right w:val="none" w:sz="0" w:space="0" w:color="auto"/>
          </w:divBdr>
        </w:div>
        <w:div w:id="256330289">
          <w:marLeft w:val="0"/>
          <w:marRight w:val="0"/>
          <w:marTop w:val="0"/>
          <w:marBottom w:val="0"/>
          <w:divBdr>
            <w:top w:val="none" w:sz="0" w:space="0" w:color="auto"/>
            <w:left w:val="none" w:sz="0" w:space="0" w:color="auto"/>
            <w:bottom w:val="none" w:sz="0" w:space="0" w:color="auto"/>
            <w:right w:val="none" w:sz="0" w:space="0" w:color="auto"/>
          </w:divBdr>
        </w:div>
      </w:divsChild>
    </w:div>
    <w:div w:id="1568688610">
      <w:bodyDiv w:val="1"/>
      <w:marLeft w:val="0"/>
      <w:marRight w:val="0"/>
      <w:marTop w:val="0"/>
      <w:marBottom w:val="0"/>
      <w:divBdr>
        <w:top w:val="none" w:sz="0" w:space="0" w:color="auto"/>
        <w:left w:val="none" w:sz="0" w:space="0" w:color="auto"/>
        <w:bottom w:val="none" w:sz="0" w:space="0" w:color="auto"/>
        <w:right w:val="none" w:sz="0" w:space="0" w:color="auto"/>
      </w:divBdr>
      <w:divsChild>
        <w:div w:id="1516113187">
          <w:marLeft w:val="0"/>
          <w:marRight w:val="0"/>
          <w:marTop w:val="0"/>
          <w:marBottom w:val="0"/>
          <w:divBdr>
            <w:top w:val="none" w:sz="0" w:space="0" w:color="auto"/>
            <w:left w:val="none" w:sz="0" w:space="0" w:color="auto"/>
            <w:bottom w:val="none" w:sz="0" w:space="0" w:color="auto"/>
            <w:right w:val="none" w:sz="0" w:space="0" w:color="auto"/>
          </w:divBdr>
        </w:div>
        <w:div w:id="148908148">
          <w:marLeft w:val="0"/>
          <w:marRight w:val="0"/>
          <w:marTop w:val="0"/>
          <w:marBottom w:val="0"/>
          <w:divBdr>
            <w:top w:val="none" w:sz="0" w:space="0" w:color="auto"/>
            <w:left w:val="none" w:sz="0" w:space="0" w:color="auto"/>
            <w:bottom w:val="none" w:sz="0" w:space="0" w:color="auto"/>
            <w:right w:val="none" w:sz="0" w:space="0" w:color="auto"/>
          </w:divBdr>
        </w:div>
        <w:div w:id="284655186">
          <w:marLeft w:val="0"/>
          <w:marRight w:val="0"/>
          <w:marTop w:val="0"/>
          <w:marBottom w:val="0"/>
          <w:divBdr>
            <w:top w:val="none" w:sz="0" w:space="0" w:color="auto"/>
            <w:left w:val="none" w:sz="0" w:space="0" w:color="auto"/>
            <w:bottom w:val="none" w:sz="0" w:space="0" w:color="auto"/>
            <w:right w:val="none" w:sz="0" w:space="0" w:color="auto"/>
          </w:divBdr>
        </w:div>
        <w:div w:id="1290671139">
          <w:marLeft w:val="0"/>
          <w:marRight w:val="0"/>
          <w:marTop w:val="0"/>
          <w:marBottom w:val="0"/>
          <w:divBdr>
            <w:top w:val="none" w:sz="0" w:space="0" w:color="auto"/>
            <w:left w:val="none" w:sz="0" w:space="0" w:color="auto"/>
            <w:bottom w:val="none" w:sz="0" w:space="0" w:color="auto"/>
            <w:right w:val="none" w:sz="0" w:space="0" w:color="auto"/>
          </w:divBdr>
        </w:div>
        <w:div w:id="144860002">
          <w:marLeft w:val="0"/>
          <w:marRight w:val="0"/>
          <w:marTop w:val="0"/>
          <w:marBottom w:val="0"/>
          <w:divBdr>
            <w:top w:val="none" w:sz="0" w:space="0" w:color="auto"/>
            <w:left w:val="none" w:sz="0" w:space="0" w:color="auto"/>
            <w:bottom w:val="none" w:sz="0" w:space="0" w:color="auto"/>
            <w:right w:val="none" w:sz="0" w:space="0" w:color="auto"/>
          </w:divBdr>
        </w:div>
      </w:divsChild>
    </w:div>
    <w:div w:id="1568758936">
      <w:bodyDiv w:val="1"/>
      <w:marLeft w:val="0"/>
      <w:marRight w:val="0"/>
      <w:marTop w:val="0"/>
      <w:marBottom w:val="0"/>
      <w:divBdr>
        <w:top w:val="none" w:sz="0" w:space="0" w:color="auto"/>
        <w:left w:val="none" w:sz="0" w:space="0" w:color="auto"/>
        <w:bottom w:val="none" w:sz="0" w:space="0" w:color="auto"/>
        <w:right w:val="none" w:sz="0" w:space="0" w:color="auto"/>
      </w:divBdr>
      <w:divsChild>
        <w:div w:id="1796363599">
          <w:marLeft w:val="0"/>
          <w:marRight w:val="0"/>
          <w:marTop w:val="0"/>
          <w:marBottom w:val="0"/>
          <w:divBdr>
            <w:top w:val="none" w:sz="0" w:space="0" w:color="auto"/>
            <w:left w:val="none" w:sz="0" w:space="0" w:color="auto"/>
            <w:bottom w:val="none" w:sz="0" w:space="0" w:color="auto"/>
            <w:right w:val="none" w:sz="0" w:space="0" w:color="auto"/>
          </w:divBdr>
        </w:div>
        <w:div w:id="1226725710">
          <w:marLeft w:val="0"/>
          <w:marRight w:val="0"/>
          <w:marTop w:val="0"/>
          <w:marBottom w:val="0"/>
          <w:divBdr>
            <w:top w:val="none" w:sz="0" w:space="0" w:color="auto"/>
            <w:left w:val="none" w:sz="0" w:space="0" w:color="auto"/>
            <w:bottom w:val="none" w:sz="0" w:space="0" w:color="auto"/>
            <w:right w:val="none" w:sz="0" w:space="0" w:color="auto"/>
          </w:divBdr>
        </w:div>
        <w:div w:id="570307262">
          <w:marLeft w:val="0"/>
          <w:marRight w:val="0"/>
          <w:marTop w:val="0"/>
          <w:marBottom w:val="0"/>
          <w:divBdr>
            <w:top w:val="none" w:sz="0" w:space="0" w:color="auto"/>
            <w:left w:val="none" w:sz="0" w:space="0" w:color="auto"/>
            <w:bottom w:val="none" w:sz="0" w:space="0" w:color="auto"/>
            <w:right w:val="none" w:sz="0" w:space="0" w:color="auto"/>
          </w:divBdr>
        </w:div>
        <w:div w:id="1208760335">
          <w:marLeft w:val="0"/>
          <w:marRight w:val="0"/>
          <w:marTop w:val="0"/>
          <w:marBottom w:val="0"/>
          <w:divBdr>
            <w:top w:val="none" w:sz="0" w:space="0" w:color="auto"/>
            <w:left w:val="none" w:sz="0" w:space="0" w:color="auto"/>
            <w:bottom w:val="none" w:sz="0" w:space="0" w:color="auto"/>
            <w:right w:val="none" w:sz="0" w:space="0" w:color="auto"/>
          </w:divBdr>
        </w:div>
        <w:div w:id="569267889">
          <w:marLeft w:val="0"/>
          <w:marRight w:val="0"/>
          <w:marTop w:val="0"/>
          <w:marBottom w:val="0"/>
          <w:divBdr>
            <w:top w:val="none" w:sz="0" w:space="0" w:color="auto"/>
            <w:left w:val="none" w:sz="0" w:space="0" w:color="auto"/>
            <w:bottom w:val="none" w:sz="0" w:space="0" w:color="auto"/>
            <w:right w:val="none" w:sz="0" w:space="0" w:color="auto"/>
          </w:divBdr>
        </w:div>
        <w:div w:id="1842350498">
          <w:marLeft w:val="0"/>
          <w:marRight w:val="0"/>
          <w:marTop w:val="0"/>
          <w:marBottom w:val="0"/>
          <w:divBdr>
            <w:top w:val="none" w:sz="0" w:space="0" w:color="auto"/>
            <w:left w:val="none" w:sz="0" w:space="0" w:color="auto"/>
            <w:bottom w:val="none" w:sz="0" w:space="0" w:color="auto"/>
            <w:right w:val="none" w:sz="0" w:space="0" w:color="auto"/>
          </w:divBdr>
        </w:div>
        <w:div w:id="548226085">
          <w:marLeft w:val="0"/>
          <w:marRight w:val="0"/>
          <w:marTop w:val="0"/>
          <w:marBottom w:val="0"/>
          <w:divBdr>
            <w:top w:val="none" w:sz="0" w:space="0" w:color="auto"/>
            <w:left w:val="none" w:sz="0" w:space="0" w:color="auto"/>
            <w:bottom w:val="none" w:sz="0" w:space="0" w:color="auto"/>
            <w:right w:val="none" w:sz="0" w:space="0" w:color="auto"/>
          </w:divBdr>
        </w:div>
      </w:divsChild>
    </w:div>
    <w:div w:id="1573082081">
      <w:bodyDiv w:val="1"/>
      <w:marLeft w:val="0"/>
      <w:marRight w:val="0"/>
      <w:marTop w:val="0"/>
      <w:marBottom w:val="0"/>
      <w:divBdr>
        <w:top w:val="none" w:sz="0" w:space="0" w:color="auto"/>
        <w:left w:val="none" w:sz="0" w:space="0" w:color="auto"/>
        <w:bottom w:val="none" w:sz="0" w:space="0" w:color="auto"/>
        <w:right w:val="none" w:sz="0" w:space="0" w:color="auto"/>
      </w:divBdr>
      <w:divsChild>
        <w:div w:id="280381624">
          <w:marLeft w:val="0"/>
          <w:marRight w:val="0"/>
          <w:marTop w:val="0"/>
          <w:marBottom w:val="0"/>
          <w:divBdr>
            <w:top w:val="none" w:sz="0" w:space="0" w:color="auto"/>
            <w:left w:val="none" w:sz="0" w:space="0" w:color="auto"/>
            <w:bottom w:val="none" w:sz="0" w:space="0" w:color="auto"/>
            <w:right w:val="none" w:sz="0" w:space="0" w:color="auto"/>
          </w:divBdr>
        </w:div>
        <w:div w:id="1587225705">
          <w:marLeft w:val="0"/>
          <w:marRight w:val="0"/>
          <w:marTop w:val="0"/>
          <w:marBottom w:val="0"/>
          <w:divBdr>
            <w:top w:val="none" w:sz="0" w:space="0" w:color="auto"/>
            <w:left w:val="none" w:sz="0" w:space="0" w:color="auto"/>
            <w:bottom w:val="none" w:sz="0" w:space="0" w:color="auto"/>
            <w:right w:val="none" w:sz="0" w:space="0" w:color="auto"/>
          </w:divBdr>
        </w:div>
        <w:div w:id="1667394565">
          <w:marLeft w:val="0"/>
          <w:marRight w:val="0"/>
          <w:marTop w:val="0"/>
          <w:marBottom w:val="0"/>
          <w:divBdr>
            <w:top w:val="none" w:sz="0" w:space="0" w:color="auto"/>
            <w:left w:val="none" w:sz="0" w:space="0" w:color="auto"/>
            <w:bottom w:val="none" w:sz="0" w:space="0" w:color="auto"/>
            <w:right w:val="none" w:sz="0" w:space="0" w:color="auto"/>
          </w:divBdr>
        </w:div>
        <w:div w:id="671494734">
          <w:marLeft w:val="0"/>
          <w:marRight w:val="0"/>
          <w:marTop w:val="0"/>
          <w:marBottom w:val="0"/>
          <w:divBdr>
            <w:top w:val="none" w:sz="0" w:space="0" w:color="auto"/>
            <w:left w:val="none" w:sz="0" w:space="0" w:color="auto"/>
            <w:bottom w:val="none" w:sz="0" w:space="0" w:color="auto"/>
            <w:right w:val="none" w:sz="0" w:space="0" w:color="auto"/>
          </w:divBdr>
        </w:div>
        <w:div w:id="1772314409">
          <w:marLeft w:val="0"/>
          <w:marRight w:val="0"/>
          <w:marTop w:val="0"/>
          <w:marBottom w:val="0"/>
          <w:divBdr>
            <w:top w:val="none" w:sz="0" w:space="0" w:color="auto"/>
            <w:left w:val="none" w:sz="0" w:space="0" w:color="auto"/>
            <w:bottom w:val="none" w:sz="0" w:space="0" w:color="auto"/>
            <w:right w:val="none" w:sz="0" w:space="0" w:color="auto"/>
          </w:divBdr>
        </w:div>
        <w:div w:id="986083251">
          <w:marLeft w:val="0"/>
          <w:marRight w:val="0"/>
          <w:marTop w:val="0"/>
          <w:marBottom w:val="0"/>
          <w:divBdr>
            <w:top w:val="none" w:sz="0" w:space="0" w:color="auto"/>
            <w:left w:val="none" w:sz="0" w:space="0" w:color="auto"/>
            <w:bottom w:val="none" w:sz="0" w:space="0" w:color="auto"/>
            <w:right w:val="none" w:sz="0" w:space="0" w:color="auto"/>
          </w:divBdr>
        </w:div>
      </w:divsChild>
    </w:div>
    <w:div w:id="1577476338">
      <w:bodyDiv w:val="1"/>
      <w:marLeft w:val="0"/>
      <w:marRight w:val="0"/>
      <w:marTop w:val="0"/>
      <w:marBottom w:val="0"/>
      <w:divBdr>
        <w:top w:val="none" w:sz="0" w:space="0" w:color="auto"/>
        <w:left w:val="none" w:sz="0" w:space="0" w:color="auto"/>
        <w:bottom w:val="none" w:sz="0" w:space="0" w:color="auto"/>
        <w:right w:val="none" w:sz="0" w:space="0" w:color="auto"/>
      </w:divBdr>
      <w:divsChild>
        <w:div w:id="746458789">
          <w:marLeft w:val="0"/>
          <w:marRight w:val="0"/>
          <w:marTop w:val="0"/>
          <w:marBottom w:val="0"/>
          <w:divBdr>
            <w:top w:val="none" w:sz="0" w:space="0" w:color="auto"/>
            <w:left w:val="none" w:sz="0" w:space="0" w:color="auto"/>
            <w:bottom w:val="none" w:sz="0" w:space="0" w:color="auto"/>
            <w:right w:val="none" w:sz="0" w:space="0" w:color="auto"/>
          </w:divBdr>
        </w:div>
        <w:div w:id="1822690392">
          <w:marLeft w:val="0"/>
          <w:marRight w:val="0"/>
          <w:marTop w:val="0"/>
          <w:marBottom w:val="0"/>
          <w:divBdr>
            <w:top w:val="none" w:sz="0" w:space="0" w:color="auto"/>
            <w:left w:val="none" w:sz="0" w:space="0" w:color="auto"/>
            <w:bottom w:val="none" w:sz="0" w:space="0" w:color="auto"/>
            <w:right w:val="none" w:sz="0" w:space="0" w:color="auto"/>
          </w:divBdr>
        </w:div>
        <w:div w:id="76099021">
          <w:marLeft w:val="0"/>
          <w:marRight w:val="0"/>
          <w:marTop w:val="0"/>
          <w:marBottom w:val="0"/>
          <w:divBdr>
            <w:top w:val="none" w:sz="0" w:space="0" w:color="auto"/>
            <w:left w:val="none" w:sz="0" w:space="0" w:color="auto"/>
            <w:bottom w:val="none" w:sz="0" w:space="0" w:color="auto"/>
            <w:right w:val="none" w:sz="0" w:space="0" w:color="auto"/>
          </w:divBdr>
        </w:div>
        <w:div w:id="531769551">
          <w:marLeft w:val="0"/>
          <w:marRight w:val="0"/>
          <w:marTop w:val="0"/>
          <w:marBottom w:val="0"/>
          <w:divBdr>
            <w:top w:val="none" w:sz="0" w:space="0" w:color="auto"/>
            <w:left w:val="none" w:sz="0" w:space="0" w:color="auto"/>
            <w:bottom w:val="none" w:sz="0" w:space="0" w:color="auto"/>
            <w:right w:val="none" w:sz="0" w:space="0" w:color="auto"/>
          </w:divBdr>
        </w:div>
        <w:div w:id="789513482">
          <w:marLeft w:val="0"/>
          <w:marRight w:val="0"/>
          <w:marTop w:val="0"/>
          <w:marBottom w:val="0"/>
          <w:divBdr>
            <w:top w:val="none" w:sz="0" w:space="0" w:color="auto"/>
            <w:left w:val="none" w:sz="0" w:space="0" w:color="auto"/>
            <w:bottom w:val="none" w:sz="0" w:space="0" w:color="auto"/>
            <w:right w:val="none" w:sz="0" w:space="0" w:color="auto"/>
          </w:divBdr>
        </w:div>
      </w:divsChild>
    </w:div>
    <w:div w:id="1596472892">
      <w:bodyDiv w:val="1"/>
      <w:marLeft w:val="0"/>
      <w:marRight w:val="0"/>
      <w:marTop w:val="0"/>
      <w:marBottom w:val="0"/>
      <w:divBdr>
        <w:top w:val="none" w:sz="0" w:space="0" w:color="auto"/>
        <w:left w:val="none" w:sz="0" w:space="0" w:color="auto"/>
        <w:bottom w:val="none" w:sz="0" w:space="0" w:color="auto"/>
        <w:right w:val="none" w:sz="0" w:space="0" w:color="auto"/>
      </w:divBdr>
      <w:divsChild>
        <w:div w:id="1101411226">
          <w:marLeft w:val="0"/>
          <w:marRight w:val="0"/>
          <w:marTop w:val="0"/>
          <w:marBottom w:val="0"/>
          <w:divBdr>
            <w:top w:val="none" w:sz="0" w:space="0" w:color="auto"/>
            <w:left w:val="none" w:sz="0" w:space="0" w:color="auto"/>
            <w:bottom w:val="none" w:sz="0" w:space="0" w:color="auto"/>
            <w:right w:val="none" w:sz="0" w:space="0" w:color="auto"/>
          </w:divBdr>
        </w:div>
        <w:div w:id="721834414">
          <w:marLeft w:val="0"/>
          <w:marRight w:val="0"/>
          <w:marTop w:val="0"/>
          <w:marBottom w:val="0"/>
          <w:divBdr>
            <w:top w:val="none" w:sz="0" w:space="0" w:color="auto"/>
            <w:left w:val="none" w:sz="0" w:space="0" w:color="auto"/>
            <w:bottom w:val="none" w:sz="0" w:space="0" w:color="auto"/>
            <w:right w:val="none" w:sz="0" w:space="0" w:color="auto"/>
          </w:divBdr>
        </w:div>
        <w:div w:id="672294243">
          <w:marLeft w:val="0"/>
          <w:marRight w:val="0"/>
          <w:marTop w:val="0"/>
          <w:marBottom w:val="0"/>
          <w:divBdr>
            <w:top w:val="none" w:sz="0" w:space="0" w:color="auto"/>
            <w:left w:val="none" w:sz="0" w:space="0" w:color="auto"/>
            <w:bottom w:val="none" w:sz="0" w:space="0" w:color="auto"/>
            <w:right w:val="none" w:sz="0" w:space="0" w:color="auto"/>
          </w:divBdr>
        </w:div>
        <w:div w:id="1045908914">
          <w:marLeft w:val="0"/>
          <w:marRight w:val="0"/>
          <w:marTop w:val="0"/>
          <w:marBottom w:val="0"/>
          <w:divBdr>
            <w:top w:val="none" w:sz="0" w:space="0" w:color="auto"/>
            <w:left w:val="none" w:sz="0" w:space="0" w:color="auto"/>
            <w:bottom w:val="none" w:sz="0" w:space="0" w:color="auto"/>
            <w:right w:val="none" w:sz="0" w:space="0" w:color="auto"/>
          </w:divBdr>
        </w:div>
        <w:div w:id="1066027132">
          <w:marLeft w:val="0"/>
          <w:marRight w:val="0"/>
          <w:marTop w:val="0"/>
          <w:marBottom w:val="0"/>
          <w:divBdr>
            <w:top w:val="none" w:sz="0" w:space="0" w:color="auto"/>
            <w:left w:val="none" w:sz="0" w:space="0" w:color="auto"/>
            <w:bottom w:val="none" w:sz="0" w:space="0" w:color="auto"/>
            <w:right w:val="none" w:sz="0" w:space="0" w:color="auto"/>
          </w:divBdr>
        </w:div>
        <w:div w:id="1310134905">
          <w:marLeft w:val="0"/>
          <w:marRight w:val="0"/>
          <w:marTop w:val="0"/>
          <w:marBottom w:val="0"/>
          <w:divBdr>
            <w:top w:val="none" w:sz="0" w:space="0" w:color="auto"/>
            <w:left w:val="none" w:sz="0" w:space="0" w:color="auto"/>
            <w:bottom w:val="none" w:sz="0" w:space="0" w:color="auto"/>
            <w:right w:val="none" w:sz="0" w:space="0" w:color="auto"/>
          </w:divBdr>
        </w:div>
        <w:div w:id="1268729414">
          <w:marLeft w:val="0"/>
          <w:marRight w:val="0"/>
          <w:marTop w:val="0"/>
          <w:marBottom w:val="0"/>
          <w:divBdr>
            <w:top w:val="none" w:sz="0" w:space="0" w:color="auto"/>
            <w:left w:val="none" w:sz="0" w:space="0" w:color="auto"/>
            <w:bottom w:val="none" w:sz="0" w:space="0" w:color="auto"/>
            <w:right w:val="none" w:sz="0" w:space="0" w:color="auto"/>
          </w:divBdr>
        </w:div>
        <w:div w:id="421999113">
          <w:marLeft w:val="0"/>
          <w:marRight w:val="0"/>
          <w:marTop w:val="0"/>
          <w:marBottom w:val="0"/>
          <w:divBdr>
            <w:top w:val="none" w:sz="0" w:space="0" w:color="auto"/>
            <w:left w:val="none" w:sz="0" w:space="0" w:color="auto"/>
            <w:bottom w:val="none" w:sz="0" w:space="0" w:color="auto"/>
            <w:right w:val="none" w:sz="0" w:space="0" w:color="auto"/>
          </w:divBdr>
        </w:div>
        <w:div w:id="250552221">
          <w:marLeft w:val="0"/>
          <w:marRight w:val="0"/>
          <w:marTop w:val="0"/>
          <w:marBottom w:val="0"/>
          <w:divBdr>
            <w:top w:val="none" w:sz="0" w:space="0" w:color="auto"/>
            <w:left w:val="none" w:sz="0" w:space="0" w:color="auto"/>
            <w:bottom w:val="none" w:sz="0" w:space="0" w:color="auto"/>
            <w:right w:val="none" w:sz="0" w:space="0" w:color="auto"/>
          </w:divBdr>
        </w:div>
      </w:divsChild>
    </w:div>
    <w:div w:id="1611741565">
      <w:bodyDiv w:val="1"/>
      <w:marLeft w:val="0"/>
      <w:marRight w:val="0"/>
      <w:marTop w:val="0"/>
      <w:marBottom w:val="0"/>
      <w:divBdr>
        <w:top w:val="none" w:sz="0" w:space="0" w:color="auto"/>
        <w:left w:val="none" w:sz="0" w:space="0" w:color="auto"/>
        <w:bottom w:val="none" w:sz="0" w:space="0" w:color="auto"/>
        <w:right w:val="none" w:sz="0" w:space="0" w:color="auto"/>
      </w:divBdr>
      <w:divsChild>
        <w:div w:id="1483424526">
          <w:marLeft w:val="0"/>
          <w:marRight w:val="0"/>
          <w:marTop w:val="0"/>
          <w:marBottom w:val="0"/>
          <w:divBdr>
            <w:top w:val="none" w:sz="0" w:space="0" w:color="auto"/>
            <w:left w:val="none" w:sz="0" w:space="0" w:color="auto"/>
            <w:bottom w:val="none" w:sz="0" w:space="0" w:color="auto"/>
            <w:right w:val="none" w:sz="0" w:space="0" w:color="auto"/>
          </w:divBdr>
        </w:div>
        <w:div w:id="47464219">
          <w:marLeft w:val="0"/>
          <w:marRight w:val="0"/>
          <w:marTop w:val="0"/>
          <w:marBottom w:val="0"/>
          <w:divBdr>
            <w:top w:val="none" w:sz="0" w:space="0" w:color="auto"/>
            <w:left w:val="none" w:sz="0" w:space="0" w:color="auto"/>
            <w:bottom w:val="none" w:sz="0" w:space="0" w:color="auto"/>
            <w:right w:val="none" w:sz="0" w:space="0" w:color="auto"/>
          </w:divBdr>
        </w:div>
        <w:div w:id="13196278">
          <w:marLeft w:val="0"/>
          <w:marRight w:val="0"/>
          <w:marTop w:val="0"/>
          <w:marBottom w:val="0"/>
          <w:divBdr>
            <w:top w:val="none" w:sz="0" w:space="0" w:color="auto"/>
            <w:left w:val="none" w:sz="0" w:space="0" w:color="auto"/>
            <w:bottom w:val="none" w:sz="0" w:space="0" w:color="auto"/>
            <w:right w:val="none" w:sz="0" w:space="0" w:color="auto"/>
          </w:divBdr>
        </w:div>
        <w:div w:id="150222719">
          <w:marLeft w:val="0"/>
          <w:marRight w:val="0"/>
          <w:marTop w:val="0"/>
          <w:marBottom w:val="0"/>
          <w:divBdr>
            <w:top w:val="none" w:sz="0" w:space="0" w:color="auto"/>
            <w:left w:val="none" w:sz="0" w:space="0" w:color="auto"/>
            <w:bottom w:val="none" w:sz="0" w:space="0" w:color="auto"/>
            <w:right w:val="none" w:sz="0" w:space="0" w:color="auto"/>
          </w:divBdr>
        </w:div>
        <w:div w:id="493958789">
          <w:marLeft w:val="0"/>
          <w:marRight w:val="0"/>
          <w:marTop w:val="0"/>
          <w:marBottom w:val="0"/>
          <w:divBdr>
            <w:top w:val="none" w:sz="0" w:space="0" w:color="auto"/>
            <w:left w:val="none" w:sz="0" w:space="0" w:color="auto"/>
            <w:bottom w:val="none" w:sz="0" w:space="0" w:color="auto"/>
            <w:right w:val="none" w:sz="0" w:space="0" w:color="auto"/>
          </w:divBdr>
        </w:div>
        <w:div w:id="698773532">
          <w:marLeft w:val="0"/>
          <w:marRight w:val="0"/>
          <w:marTop w:val="0"/>
          <w:marBottom w:val="0"/>
          <w:divBdr>
            <w:top w:val="none" w:sz="0" w:space="0" w:color="auto"/>
            <w:left w:val="none" w:sz="0" w:space="0" w:color="auto"/>
            <w:bottom w:val="none" w:sz="0" w:space="0" w:color="auto"/>
            <w:right w:val="none" w:sz="0" w:space="0" w:color="auto"/>
          </w:divBdr>
        </w:div>
        <w:div w:id="2131588968">
          <w:marLeft w:val="0"/>
          <w:marRight w:val="0"/>
          <w:marTop w:val="0"/>
          <w:marBottom w:val="0"/>
          <w:divBdr>
            <w:top w:val="none" w:sz="0" w:space="0" w:color="auto"/>
            <w:left w:val="none" w:sz="0" w:space="0" w:color="auto"/>
            <w:bottom w:val="none" w:sz="0" w:space="0" w:color="auto"/>
            <w:right w:val="none" w:sz="0" w:space="0" w:color="auto"/>
          </w:divBdr>
        </w:div>
        <w:div w:id="11879296">
          <w:marLeft w:val="0"/>
          <w:marRight w:val="0"/>
          <w:marTop w:val="0"/>
          <w:marBottom w:val="0"/>
          <w:divBdr>
            <w:top w:val="none" w:sz="0" w:space="0" w:color="auto"/>
            <w:left w:val="none" w:sz="0" w:space="0" w:color="auto"/>
            <w:bottom w:val="none" w:sz="0" w:space="0" w:color="auto"/>
            <w:right w:val="none" w:sz="0" w:space="0" w:color="auto"/>
          </w:divBdr>
        </w:div>
        <w:div w:id="548030875">
          <w:marLeft w:val="0"/>
          <w:marRight w:val="0"/>
          <w:marTop w:val="0"/>
          <w:marBottom w:val="0"/>
          <w:divBdr>
            <w:top w:val="none" w:sz="0" w:space="0" w:color="auto"/>
            <w:left w:val="none" w:sz="0" w:space="0" w:color="auto"/>
            <w:bottom w:val="none" w:sz="0" w:space="0" w:color="auto"/>
            <w:right w:val="none" w:sz="0" w:space="0" w:color="auto"/>
          </w:divBdr>
        </w:div>
        <w:div w:id="1704555633">
          <w:marLeft w:val="0"/>
          <w:marRight w:val="0"/>
          <w:marTop w:val="0"/>
          <w:marBottom w:val="0"/>
          <w:divBdr>
            <w:top w:val="none" w:sz="0" w:space="0" w:color="auto"/>
            <w:left w:val="none" w:sz="0" w:space="0" w:color="auto"/>
            <w:bottom w:val="none" w:sz="0" w:space="0" w:color="auto"/>
            <w:right w:val="none" w:sz="0" w:space="0" w:color="auto"/>
          </w:divBdr>
        </w:div>
        <w:div w:id="791752513">
          <w:marLeft w:val="0"/>
          <w:marRight w:val="0"/>
          <w:marTop w:val="0"/>
          <w:marBottom w:val="0"/>
          <w:divBdr>
            <w:top w:val="none" w:sz="0" w:space="0" w:color="auto"/>
            <w:left w:val="none" w:sz="0" w:space="0" w:color="auto"/>
            <w:bottom w:val="none" w:sz="0" w:space="0" w:color="auto"/>
            <w:right w:val="none" w:sz="0" w:space="0" w:color="auto"/>
          </w:divBdr>
        </w:div>
      </w:divsChild>
    </w:div>
    <w:div w:id="1613243439">
      <w:bodyDiv w:val="1"/>
      <w:marLeft w:val="0"/>
      <w:marRight w:val="0"/>
      <w:marTop w:val="0"/>
      <w:marBottom w:val="0"/>
      <w:divBdr>
        <w:top w:val="none" w:sz="0" w:space="0" w:color="auto"/>
        <w:left w:val="none" w:sz="0" w:space="0" w:color="auto"/>
        <w:bottom w:val="none" w:sz="0" w:space="0" w:color="auto"/>
        <w:right w:val="none" w:sz="0" w:space="0" w:color="auto"/>
      </w:divBdr>
      <w:divsChild>
        <w:div w:id="1763331421">
          <w:marLeft w:val="0"/>
          <w:marRight w:val="0"/>
          <w:marTop w:val="0"/>
          <w:marBottom w:val="0"/>
          <w:divBdr>
            <w:top w:val="none" w:sz="0" w:space="0" w:color="auto"/>
            <w:left w:val="none" w:sz="0" w:space="0" w:color="auto"/>
            <w:bottom w:val="none" w:sz="0" w:space="0" w:color="auto"/>
            <w:right w:val="none" w:sz="0" w:space="0" w:color="auto"/>
          </w:divBdr>
        </w:div>
        <w:div w:id="1996370403">
          <w:marLeft w:val="0"/>
          <w:marRight w:val="0"/>
          <w:marTop w:val="0"/>
          <w:marBottom w:val="0"/>
          <w:divBdr>
            <w:top w:val="none" w:sz="0" w:space="0" w:color="auto"/>
            <w:left w:val="none" w:sz="0" w:space="0" w:color="auto"/>
            <w:bottom w:val="none" w:sz="0" w:space="0" w:color="auto"/>
            <w:right w:val="none" w:sz="0" w:space="0" w:color="auto"/>
          </w:divBdr>
        </w:div>
        <w:div w:id="2052533154">
          <w:marLeft w:val="0"/>
          <w:marRight w:val="0"/>
          <w:marTop w:val="0"/>
          <w:marBottom w:val="0"/>
          <w:divBdr>
            <w:top w:val="none" w:sz="0" w:space="0" w:color="auto"/>
            <w:left w:val="none" w:sz="0" w:space="0" w:color="auto"/>
            <w:bottom w:val="none" w:sz="0" w:space="0" w:color="auto"/>
            <w:right w:val="none" w:sz="0" w:space="0" w:color="auto"/>
          </w:divBdr>
        </w:div>
        <w:div w:id="2118790637">
          <w:marLeft w:val="0"/>
          <w:marRight w:val="0"/>
          <w:marTop w:val="0"/>
          <w:marBottom w:val="0"/>
          <w:divBdr>
            <w:top w:val="none" w:sz="0" w:space="0" w:color="auto"/>
            <w:left w:val="none" w:sz="0" w:space="0" w:color="auto"/>
            <w:bottom w:val="none" w:sz="0" w:space="0" w:color="auto"/>
            <w:right w:val="none" w:sz="0" w:space="0" w:color="auto"/>
          </w:divBdr>
        </w:div>
      </w:divsChild>
    </w:div>
    <w:div w:id="1619413344">
      <w:bodyDiv w:val="1"/>
      <w:marLeft w:val="0"/>
      <w:marRight w:val="0"/>
      <w:marTop w:val="0"/>
      <w:marBottom w:val="0"/>
      <w:divBdr>
        <w:top w:val="none" w:sz="0" w:space="0" w:color="auto"/>
        <w:left w:val="none" w:sz="0" w:space="0" w:color="auto"/>
        <w:bottom w:val="none" w:sz="0" w:space="0" w:color="auto"/>
        <w:right w:val="none" w:sz="0" w:space="0" w:color="auto"/>
      </w:divBdr>
      <w:divsChild>
        <w:div w:id="659424801">
          <w:marLeft w:val="0"/>
          <w:marRight w:val="0"/>
          <w:marTop w:val="0"/>
          <w:marBottom w:val="0"/>
          <w:divBdr>
            <w:top w:val="none" w:sz="0" w:space="0" w:color="auto"/>
            <w:left w:val="none" w:sz="0" w:space="0" w:color="auto"/>
            <w:bottom w:val="none" w:sz="0" w:space="0" w:color="auto"/>
            <w:right w:val="none" w:sz="0" w:space="0" w:color="auto"/>
          </w:divBdr>
        </w:div>
        <w:div w:id="884416693">
          <w:marLeft w:val="0"/>
          <w:marRight w:val="0"/>
          <w:marTop w:val="0"/>
          <w:marBottom w:val="0"/>
          <w:divBdr>
            <w:top w:val="none" w:sz="0" w:space="0" w:color="auto"/>
            <w:left w:val="none" w:sz="0" w:space="0" w:color="auto"/>
            <w:bottom w:val="none" w:sz="0" w:space="0" w:color="auto"/>
            <w:right w:val="none" w:sz="0" w:space="0" w:color="auto"/>
          </w:divBdr>
        </w:div>
        <w:div w:id="1189955571">
          <w:marLeft w:val="0"/>
          <w:marRight w:val="0"/>
          <w:marTop w:val="0"/>
          <w:marBottom w:val="0"/>
          <w:divBdr>
            <w:top w:val="none" w:sz="0" w:space="0" w:color="auto"/>
            <w:left w:val="none" w:sz="0" w:space="0" w:color="auto"/>
            <w:bottom w:val="none" w:sz="0" w:space="0" w:color="auto"/>
            <w:right w:val="none" w:sz="0" w:space="0" w:color="auto"/>
          </w:divBdr>
        </w:div>
        <w:div w:id="1465083170">
          <w:marLeft w:val="0"/>
          <w:marRight w:val="0"/>
          <w:marTop w:val="0"/>
          <w:marBottom w:val="0"/>
          <w:divBdr>
            <w:top w:val="none" w:sz="0" w:space="0" w:color="auto"/>
            <w:left w:val="none" w:sz="0" w:space="0" w:color="auto"/>
            <w:bottom w:val="none" w:sz="0" w:space="0" w:color="auto"/>
            <w:right w:val="none" w:sz="0" w:space="0" w:color="auto"/>
          </w:divBdr>
        </w:div>
      </w:divsChild>
    </w:div>
    <w:div w:id="1637417151">
      <w:bodyDiv w:val="1"/>
      <w:marLeft w:val="0"/>
      <w:marRight w:val="0"/>
      <w:marTop w:val="0"/>
      <w:marBottom w:val="0"/>
      <w:divBdr>
        <w:top w:val="none" w:sz="0" w:space="0" w:color="auto"/>
        <w:left w:val="none" w:sz="0" w:space="0" w:color="auto"/>
        <w:bottom w:val="none" w:sz="0" w:space="0" w:color="auto"/>
        <w:right w:val="none" w:sz="0" w:space="0" w:color="auto"/>
      </w:divBdr>
      <w:divsChild>
        <w:div w:id="1005788368">
          <w:marLeft w:val="0"/>
          <w:marRight w:val="0"/>
          <w:marTop w:val="0"/>
          <w:marBottom w:val="0"/>
          <w:divBdr>
            <w:top w:val="none" w:sz="0" w:space="0" w:color="auto"/>
            <w:left w:val="none" w:sz="0" w:space="0" w:color="auto"/>
            <w:bottom w:val="none" w:sz="0" w:space="0" w:color="auto"/>
            <w:right w:val="none" w:sz="0" w:space="0" w:color="auto"/>
          </w:divBdr>
        </w:div>
        <w:div w:id="1965502215">
          <w:marLeft w:val="0"/>
          <w:marRight w:val="0"/>
          <w:marTop w:val="0"/>
          <w:marBottom w:val="0"/>
          <w:divBdr>
            <w:top w:val="none" w:sz="0" w:space="0" w:color="auto"/>
            <w:left w:val="none" w:sz="0" w:space="0" w:color="auto"/>
            <w:bottom w:val="none" w:sz="0" w:space="0" w:color="auto"/>
            <w:right w:val="none" w:sz="0" w:space="0" w:color="auto"/>
          </w:divBdr>
        </w:div>
        <w:div w:id="947660966">
          <w:marLeft w:val="0"/>
          <w:marRight w:val="0"/>
          <w:marTop w:val="0"/>
          <w:marBottom w:val="0"/>
          <w:divBdr>
            <w:top w:val="none" w:sz="0" w:space="0" w:color="auto"/>
            <w:left w:val="none" w:sz="0" w:space="0" w:color="auto"/>
            <w:bottom w:val="none" w:sz="0" w:space="0" w:color="auto"/>
            <w:right w:val="none" w:sz="0" w:space="0" w:color="auto"/>
          </w:divBdr>
        </w:div>
        <w:div w:id="2001542121">
          <w:marLeft w:val="0"/>
          <w:marRight w:val="0"/>
          <w:marTop w:val="0"/>
          <w:marBottom w:val="0"/>
          <w:divBdr>
            <w:top w:val="none" w:sz="0" w:space="0" w:color="auto"/>
            <w:left w:val="none" w:sz="0" w:space="0" w:color="auto"/>
            <w:bottom w:val="none" w:sz="0" w:space="0" w:color="auto"/>
            <w:right w:val="none" w:sz="0" w:space="0" w:color="auto"/>
          </w:divBdr>
        </w:div>
        <w:div w:id="1157111300">
          <w:marLeft w:val="0"/>
          <w:marRight w:val="0"/>
          <w:marTop w:val="0"/>
          <w:marBottom w:val="0"/>
          <w:divBdr>
            <w:top w:val="none" w:sz="0" w:space="0" w:color="auto"/>
            <w:left w:val="none" w:sz="0" w:space="0" w:color="auto"/>
            <w:bottom w:val="none" w:sz="0" w:space="0" w:color="auto"/>
            <w:right w:val="none" w:sz="0" w:space="0" w:color="auto"/>
          </w:divBdr>
        </w:div>
        <w:div w:id="323094611">
          <w:marLeft w:val="0"/>
          <w:marRight w:val="0"/>
          <w:marTop w:val="0"/>
          <w:marBottom w:val="0"/>
          <w:divBdr>
            <w:top w:val="none" w:sz="0" w:space="0" w:color="auto"/>
            <w:left w:val="none" w:sz="0" w:space="0" w:color="auto"/>
            <w:bottom w:val="none" w:sz="0" w:space="0" w:color="auto"/>
            <w:right w:val="none" w:sz="0" w:space="0" w:color="auto"/>
          </w:divBdr>
        </w:div>
      </w:divsChild>
    </w:div>
    <w:div w:id="1640719832">
      <w:bodyDiv w:val="1"/>
      <w:marLeft w:val="0"/>
      <w:marRight w:val="0"/>
      <w:marTop w:val="0"/>
      <w:marBottom w:val="0"/>
      <w:divBdr>
        <w:top w:val="none" w:sz="0" w:space="0" w:color="auto"/>
        <w:left w:val="none" w:sz="0" w:space="0" w:color="auto"/>
        <w:bottom w:val="none" w:sz="0" w:space="0" w:color="auto"/>
        <w:right w:val="none" w:sz="0" w:space="0" w:color="auto"/>
      </w:divBdr>
      <w:divsChild>
        <w:div w:id="940601203">
          <w:marLeft w:val="0"/>
          <w:marRight w:val="0"/>
          <w:marTop w:val="0"/>
          <w:marBottom w:val="0"/>
          <w:divBdr>
            <w:top w:val="none" w:sz="0" w:space="0" w:color="auto"/>
            <w:left w:val="none" w:sz="0" w:space="0" w:color="auto"/>
            <w:bottom w:val="none" w:sz="0" w:space="0" w:color="auto"/>
            <w:right w:val="none" w:sz="0" w:space="0" w:color="auto"/>
          </w:divBdr>
        </w:div>
        <w:div w:id="794711009">
          <w:marLeft w:val="0"/>
          <w:marRight w:val="0"/>
          <w:marTop w:val="0"/>
          <w:marBottom w:val="0"/>
          <w:divBdr>
            <w:top w:val="none" w:sz="0" w:space="0" w:color="auto"/>
            <w:left w:val="none" w:sz="0" w:space="0" w:color="auto"/>
            <w:bottom w:val="none" w:sz="0" w:space="0" w:color="auto"/>
            <w:right w:val="none" w:sz="0" w:space="0" w:color="auto"/>
          </w:divBdr>
        </w:div>
        <w:div w:id="1928074177">
          <w:marLeft w:val="0"/>
          <w:marRight w:val="0"/>
          <w:marTop w:val="0"/>
          <w:marBottom w:val="0"/>
          <w:divBdr>
            <w:top w:val="none" w:sz="0" w:space="0" w:color="auto"/>
            <w:left w:val="none" w:sz="0" w:space="0" w:color="auto"/>
            <w:bottom w:val="none" w:sz="0" w:space="0" w:color="auto"/>
            <w:right w:val="none" w:sz="0" w:space="0" w:color="auto"/>
          </w:divBdr>
        </w:div>
        <w:div w:id="1741707960">
          <w:marLeft w:val="0"/>
          <w:marRight w:val="0"/>
          <w:marTop w:val="0"/>
          <w:marBottom w:val="0"/>
          <w:divBdr>
            <w:top w:val="none" w:sz="0" w:space="0" w:color="auto"/>
            <w:left w:val="none" w:sz="0" w:space="0" w:color="auto"/>
            <w:bottom w:val="none" w:sz="0" w:space="0" w:color="auto"/>
            <w:right w:val="none" w:sz="0" w:space="0" w:color="auto"/>
          </w:divBdr>
        </w:div>
        <w:div w:id="1597133002">
          <w:marLeft w:val="0"/>
          <w:marRight w:val="0"/>
          <w:marTop w:val="0"/>
          <w:marBottom w:val="0"/>
          <w:divBdr>
            <w:top w:val="none" w:sz="0" w:space="0" w:color="auto"/>
            <w:left w:val="none" w:sz="0" w:space="0" w:color="auto"/>
            <w:bottom w:val="none" w:sz="0" w:space="0" w:color="auto"/>
            <w:right w:val="none" w:sz="0" w:space="0" w:color="auto"/>
          </w:divBdr>
        </w:div>
        <w:div w:id="1693647589">
          <w:marLeft w:val="0"/>
          <w:marRight w:val="0"/>
          <w:marTop w:val="0"/>
          <w:marBottom w:val="0"/>
          <w:divBdr>
            <w:top w:val="none" w:sz="0" w:space="0" w:color="auto"/>
            <w:left w:val="none" w:sz="0" w:space="0" w:color="auto"/>
            <w:bottom w:val="none" w:sz="0" w:space="0" w:color="auto"/>
            <w:right w:val="none" w:sz="0" w:space="0" w:color="auto"/>
          </w:divBdr>
        </w:div>
        <w:div w:id="267733950">
          <w:marLeft w:val="0"/>
          <w:marRight w:val="0"/>
          <w:marTop w:val="0"/>
          <w:marBottom w:val="0"/>
          <w:divBdr>
            <w:top w:val="none" w:sz="0" w:space="0" w:color="auto"/>
            <w:left w:val="none" w:sz="0" w:space="0" w:color="auto"/>
            <w:bottom w:val="none" w:sz="0" w:space="0" w:color="auto"/>
            <w:right w:val="none" w:sz="0" w:space="0" w:color="auto"/>
          </w:divBdr>
        </w:div>
        <w:div w:id="1467893456">
          <w:marLeft w:val="0"/>
          <w:marRight w:val="0"/>
          <w:marTop w:val="0"/>
          <w:marBottom w:val="0"/>
          <w:divBdr>
            <w:top w:val="none" w:sz="0" w:space="0" w:color="auto"/>
            <w:left w:val="none" w:sz="0" w:space="0" w:color="auto"/>
            <w:bottom w:val="none" w:sz="0" w:space="0" w:color="auto"/>
            <w:right w:val="none" w:sz="0" w:space="0" w:color="auto"/>
          </w:divBdr>
        </w:div>
        <w:div w:id="736704546">
          <w:marLeft w:val="0"/>
          <w:marRight w:val="0"/>
          <w:marTop w:val="0"/>
          <w:marBottom w:val="0"/>
          <w:divBdr>
            <w:top w:val="none" w:sz="0" w:space="0" w:color="auto"/>
            <w:left w:val="none" w:sz="0" w:space="0" w:color="auto"/>
            <w:bottom w:val="none" w:sz="0" w:space="0" w:color="auto"/>
            <w:right w:val="none" w:sz="0" w:space="0" w:color="auto"/>
          </w:divBdr>
        </w:div>
        <w:div w:id="436410671">
          <w:marLeft w:val="0"/>
          <w:marRight w:val="0"/>
          <w:marTop w:val="0"/>
          <w:marBottom w:val="0"/>
          <w:divBdr>
            <w:top w:val="none" w:sz="0" w:space="0" w:color="auto"/>
            <w:left w:val="none" w:sz="0" w:space="0" w:color="auto"/>
            <w:bottom w:val="none" w:sz="0" w:space="0" w:color="auto"/>
            <w:right w:val="none" w:sz="0" w:space="0" w:color="auto"/>
          </w:divBdr>
        </w:div>
        <w:div w:id="1081176355">
          <w:marLeft w:val="0"/>
          <w:marRight w:val="0"/>
          <w:marTop w:val="0"/>
          <w:marBottom w:val="0"/>
          <w:divBdr>
            <w:top w:val="none" w:sz="0" w:space="0" w:color="auto"/>
            <w:left w:val="none" w:sz="0" w:space="0" w:color="auto"/>
            <w:bottom w:val="none" w:sz="0" w:space="0" w:color="auto"/>
            <w:right w:val="none" w:sz="0" w:space="0" w:color="auto"/>
          </w:divBdr>
        </w:div>
        <w:div w:id="1982735036">
          <w:marLeft w:val="0"/>
          <w:marRight w:val="0"/>
          <w:marTop w:val="0"/>
          <w:marBottom w:val="0"/>
          <w:divBdr>
            <w:top w:val="none" w:sz="0" w:space="0" w:color="auto"/>
            <w:left w:val="none" w:sz="0" w:space="0" w:color="auto"/>
            <w:bottom w:val="none" w:sz="0" w:space="0" w:color="auto"/>
            <w:right w:val="none" w:sz="0" w:space="0" w:color="auto"/>
          </w:divBdr>
        </w:div>
        <w:div w:id="628440070">
          <w:marLeft w:val="0"/>
          <w:marRight w:val="0"/>
          <w:marTop w:val="0"/>
          <w:marBottom w:val="0"/>
          <w:divBdr>
            <w:top w:val="none" w:sz="0" w:space="0" w:color="auto"/>
            <w:left w:val="none" w:sz="0" w:space="0" w:color="auto"/>
            <w:bottom w:val="none" w:sz="0" w:space="0" w:color="auto"/>
            <w:right w:val="none" w:sz="0" w:space="0" w:color="auto"/>
          </w:divBdr>
        </w:div>
        <w:div w:id="1353612449">
          <w:marLeft w:val="0"/>
          <w:marRight w:val="0"/>
          <w:marTop w:val="0"/>
          <w:marBottom w:val="0"/>
          <w:divBdr>
            <w:top w:val="none" w:sz="0" w:space="0" w:color="auto"/>
            <w:left w:val="none" w:sz="0" w:space="0" w:color="auto"/>
            <w:bottom w:val="none" w:sz="0" w:space="0" w:color="auto"/>
            <w:right w:val="none" w:sz="0" w:space="0" w:color="auto"/>
          </w:divBdr>
        </w:div>
        <w:div w:id="1523931682">
          <w:marLeft w:val="0"/>
          <w:marRight w:val="0"/>
          <w:marTop w:val="0"/>
          <w:marBottom w:val="0"/>
          <w:divBdr>
            <w:top w:val="none" w:sz="0" w:space="0" w:color="auto"/>
            <w:left w:val="none" w:sz="0" w:space="0" w:color="auto"/>
            <w:bottom w:val="none" w:sz="0" w:space="0" w:color="auto"/>
            <w:right w:val="none" w:sz="0" w:space="0" w:color="auto"/>
          </w:divBdr>
        </w:div>
      </w:divsChild>
    </w:div>
    <w:div w:id="1653873406">
      <w:bodyDiv w:val="1"/>
      <w:marLeft w:val="0"/>
      <w:marRight w:val="0"/>
      <w:marTop w:val="0"/>
      <w:marBottom w:val="0"/>
      <w:divBdr>
        <w:top w:val="none" w:sz="0" w:space="0" w:color="auto"/>
        <w:left w:val="none" w:sz="0" w:space="0" w:color="auto"/>
        <w:bottom w:val="none" w:sz="0" w:space="0" w:color="auto"/>
        <w:right w:val="none" w:sz="0" w:space="0" w:color="auto"/>
      </w:divBdr>
      <w:divsChild>
        <w:div w:id="472868550">
          <w:marLeft w:val="0"/>
          <w:marRight w:val="0"/>
          <w:marTop w:val="0"/>
          <w:marBottom w:val="0"/>
          <w:divBdr>
            <w:top w:val="none" w:sz="0" w:space="0" w:color="auto"/>
            <w:left w:val="none" w:sz="0" w:space="0" w:color="auto"/>
            <w:bottom w:val="none" w:sz="0" w:space="0" w:color="auto"/>
            <w:right w:val="none" w:sz="0" w:space="0" w:color="auto"/>
          </w:divBdr>
        </w:div>
        <w:div w:id="1549105774">
          <w:marLeft w:val="0"/>
          <w:marRight w:val="0"/>
          <w:marTop w:val="0"/>
          <w:marBottom w:val="0"/>
          <w:divBdr>
            <w:top w:val="none" w:sz="0" w:space="0" w:color="auto"/>
            <w:left w:val="none" w:sz="0" w:space="0" w:color="auto"/>
            <w:bottom w:val="none" w:sz="0" w:space="0" w:color="auto"/>
            <w:right w:val="none" w:sz="0" w:space="0" w:color="auto"/>
          </w:divBdr>
        </w:div>
        <w:div w:id="1898590966">
          <w:marLeft w:val="0"/>
          <w:marRight w:val="0"/>
          <w:marTop w:val="0"/>
          <w:marBottom w:val="0"/>
          <w:divBdr>
            <w:top w:val="none" w:sz="0" w:space="0" w:color="auto"/>
            <w:left w:val="none" w:sz="0" w:space="0" w:color="auto"/>
            <w:bottom w:val="none" w:sz="0" w:space="0" w:color="auto"/>
            <w:right w:val="none" w:sz="0" w:space="0" w:color="auto"/>
          </w:divBdr>
        </w:div>
        <w:div w:id="398795244">
          <w:marLeft w:val="0"/>
          <w:marRight w:val="0"/>
          <w:marTop w:val="0"/>
          <w:marBottom w:val="0"/>
          <w:divBdr>
            <w:top w:val="none" w:sz="0" w:space="0" w:color="auto"/>
            <w:left w:val="none" w:sz="0" w:space="0" w:color="auto"/>
            <w:bottom w:val="none" w:sz="0" w:space="0" w:color="auto"/>
            <w:right w:val="none" w:sz="0" w:space="0" w:color="auto"/>
          </w:divBdr>
        </w:div>
        <w:div w:id="1623882943">
          <w:marLeft w:val="0"/>
          <w:marRight w:val="0"/>
          <w:marTop w:val="0"/>
          <w:marBottom w:val="0"/>
          <w:divBdr>
            <w:top w:val="none" w:sz="0" w:space="0" w:color="auto"/>
            <w:left w:val="none" w:sz="0" w:space="0" w:color="auto"/>
            <w:bottom w:val="none" w:sz="0" w:space="0" w:color="auto"/>
            <w:right w:val="none" w:sz="0" w:space="0" w:color="auto"/>
          </w:divBdr>
        </w:div>
        <w:div w:id="1422489250">
          <w:marLeft w:val="0"/>
          <w:marRight w:val="0"/>
          <w:marTop w:val="0"/>
          <w:marBottom w:val="0"/>
          <w:divBdr>
            <w:top w:val="none" w:sz="0" w:space="0" w:color="auto"/>
            <w:left w:val="none" w:sz="0" w:space="0" w:color="auto"/>
            <w:bottom w:val="none" w:sz="0" w:space="0" w:color="auto"/>
            <w:right w:val="none" w:sz="0" w:space="0" w:color="auto"/>
          </w:divBdr>
        </w:div>
        <w:div w:id="1385830902">
          <w:marLeft w:val="0"/>
          <w:marRight w:val="0"/>
          <w:marTop w:val="0"/>
          <w:marBottom w:val="0"/>
          <w:divBdr>
            <w:top w:val="none" w:sz="0" w:space="0" w:color="auto"/>
            <w:left w:val="none" w:sz="0" w:space="0" w:color="auto"/>
            <w:bottom w:val="none" w:sz="0" w:space="0" w:color="auto"/>
            <w:right w:val="none" w:sz="0" w:space="0" w:color="auto"/>
          </w:divBdr>
        </w:div>
        <w:div w:id="170946995">
          <w:marLeft w:val="0"/>
          <w:marRight w:val="0"/>
          <w:marTop w:val="0"/>
          <w:marBottom w:val="0"/>
          <w:divBdr>
            <w:top w:val="none" w:sz="0" w:space="0" w:color="auto"/>
            <w:left w:val="none" w:sz="0" w:space="0" w:color="auto"/>
            <w:bottom w:val="none" w:sz="0" w:space="0" w:color="auto"/>
            <w:right w:val="none" w:sz="0" w:space="0" w:color="auto"/>
          </w:divBdr>
        </w:div>
        <w:div w:id="233708326">
          <w:marLeft w:val="0"/>
          <w:marRight w:val="0"/>
          <w:marTop w:val="0"/>
          <w:marBottom w:val="0"/>
          <w:divBdr>
            <w:top w:val="none" w:sz="0" w:space="0" w:color="auto"/>
            <w:left w:val="none" w:sz="0" w:space="0" w:color="auto"/>
            <w:bottom w:val="none" w:sz="0" w:space="0" w:color="auto"/>
            <w:right w:val="none" w:sz="0" w:space="0" w:color="auto"/>
          </w:divBdr>
        </w:div>
        <w:div w:id="496964873">
          <w:marLeft w:val="0"/>
          <w:marRight w:val="0"/>
          <w:marTop w:val="0"/>
          <w:marBottom w:val="0"/>
          <w:divBdr>
            <w:top w:val="none" w:sz="0" w:space="0" w:color="auto"/>
            <w:left w:val="none" w:sz="0" w:space="0" w:color="auto"/>
            <w:bottom w:val="none" w:sz="0" w:space="0" w:color="auto"/>
            <w:right w:val="none" w:sz="0" w:space="0" w:color="auto"/>
          </w:divBdr>
        </w:div>
        <w:div w:id="2037392230">
          <w:marLeft w:val="0"/>
          <w:marRight w:val="0"/>
          <w:marTop w:val="0"/>
          <w:marBottom w:val="0"/>
          <w:divBdr>
            <w:top w:val="none" w:sz="0" w:space="0" w:color="auto"/>
            <w:left w:val="none" w:sz="0" w:space="0" w:color="auto"/>
            <w:bottom w:val="none" w:sz="0" w:space="0" w:color="auto"/>
            <w:right w:val="none" w:sz="0" w:space="0" w:color="auto"/>
          </w:divBdr>
        </w:div>
        <w:div w:id="2140999175">
          <w:marLeft w:val="0"/>
          <w:marRight w:val="0"/>
          <w:marTop w:val="0"/>
          <w:marBottom w:val="0"/>
          <w:divBdr>
            <w:top w:val="none" w:sz="0" w:space="0" w:color="auto"/>
            <w:left w:val="none" w:sz="0" w:space="0" w:color="auto"/>
            <w:bottom w:val="none" w:sz="0" w:space="0" w:color="auto"/>
            <w:right w:val="none" w:sz="0" w:space="0" w:color="auto"/>
          </w:divBdr>
        </w:div>
        <w:div w:id="638346953">
          <w:marLeft w:val="0"/>
          <w:marRight w:val="0"/>
          <w:marTop w:val="0"/>
          <w:marBottom w:val="0"/>
          <w:divBdr>
            <w:top w:val="none" w:sz="0" w:space="0" w:color="auto"/>
            <w:left w:val="none" w:sz="0" w:space="0" w:color="auto"/>
            <w:bottom w:val="none" w:sz="0" w:space="0" w:color="auto"/>
            <w:right w:val="none" w:sz="0" w:space="0" w:color="auto"/>
          </w:divBdr>
        </w:div>
      </w:divsChild>
    </w:div>
    <w:div w:id="1661539475">
      <w:bodyDiv w:val="1"/>
      <w:marLeft w:val="0"/>
      <w:marRight w:val="0"/>
      <w:marTop w:val="0"/>
      <w:marBottom w:val="0"/>
      <w:divBdr>
        <w:top w:val="none" w:sz="0" w:space="0" w:color="auto"/>
        <w:left w:val="none" w:sz="0" w:space="0" w:color="auto"/>
        <w:bottom w:val="none" w:sz="0" w:space="0" w:color="auto"/>
        <w:right w:val="none" w:sz="0" w:space="0" w:color="auto"/>
      </w:divBdr>
      <w:divsChild>
        <w:div w:id="1125080588">
          <w:marLeft w:val="0"/>
          <w:marRight w:val="0"/>
          <w:marTop w:val="0"/>
          <w:marBottom w:val="0"/>
          <w:divBdr>
            <w:top w:val="none" w:sz="0" w:space="0" w:color="auto"/>
            <w:left w:val="none" w:sz="0" w:space="0" w:color="auto"/>
            <w:bottom w:val="none" w:sz="0" w:space="0" w:color="auto"/>
            <w:right w:val="none" w:sz="0" w:space="0" w:color="auto"/>
          </w:divBdr>
        </w:div>
        <w:div w:id="201672490">
          <w:marLeft w:val="0"/>
          <w:marRight w:val="0"/>
          <w:marTop w:val="0"/>
          <w:marBottom w:val="0"/>
          <w:divBdr>
            <w:top w:val="none" w:sz="0" w:space="0" w:color="auto"/>
            <w:left w:val="none" w:sz="0" w:space="0" w:color="auto"/>
            <w:bottom w:val="none" w:sz="0" w:space="0" w:color="auto"/>
            <w:right w:val="none" w:sz="0" w:space="0" w:color="auto"/>
          </w:divBdr>
        </w:div>
        <w:div w:id="800878756">
          <w:marLeft w:val="0"/>
          <w:marRight w:val="0"/>
          <w:marTop w:val="0"/>
          <w:marBottom w:val="0"/>
          <w:divBdr>
            <w:top w:val="none" w:sz="0" w:space="0" w:color="auto"/>
            <w:left w:val="none" w:sz="0" w:space="0" w:color="auto"/>
            <w:bottom w:val="none" w:sz="0" w:space="0" w:color="auto"/>
            <w:right w:val="none" w:sz="0" w:space="0" w:color="auto"/>
          </w:divBdr>
        </w:div>
        <w:div w:id="1948544157">
          <w:marLeft w:val="0"/>
          <w:marRight w:val="0"/>
          <w:marTop w:val="0"/>
          <w:marBottom w:val="0"/>
          <w:divBdr>
            <w:top w:val="none" w:sz="0" w:space="0" w:color="auto"/>
            <w:left w:val="none" w:sz="0" w:space="0" w:color="auto"/>
            <w:bottom w:val="none" w:sz="0" w:space="0" w:color="auto"/>
            <w:right w:val="none" w:sz="0" w:space="0" w:color="auto"/>
          </w:divBdr>
        </w:div>
        <w:div w:id="1849442659">
          <w:marLeft w:val="0"/>
          <w:marRight w:val="0"/>
          <w:marTop w:val="0"/>
          <w:marBottom w:val="0"/>
          <w:divBdr>
            <w:top w:val="none" w:sz="0" w:space="0" w:color="auto"/>
            <w:left w:val="none" w:sz="0" w:space="0" w:color="auto"/>
            <w:bottom w:val="none" w:sz="0" w:space="0" w:color="auto"/>
            <w:right w:val="none" w:sz="0" w:space="0" w:color="auto"/>
          </w:divBdr>
        </w:div>
        <w:div w:id="2108886411">
          <w:marLeft w:val="0"/>
          <w:marRight w:val="0"/>
          <w:marTop w:val="0"/>
          <w:marBottom w:val="0"/>
          <w:divBdr>
            <w:top w:val="none" w:sz="0" w:space="0" w:color="auto"/>
            <w:left w:val="none" w:sz="0" w:space="0" w:color="auto"/>
            <w:bottom w:val="none" w:sz="0" w:space="0" w:color="auto"/>
            <w:right w:val="none" w:sz="0" w:space="0" w:color="auto"/>
          </w:divBdr>
        </w:div>
        <w:div w:id="129982159">
          <w:marLeft w:val="0"/>
          <w:marRight w:val="0"/>
          <w:marTop w:val="0"/>
          <w:marBottom w:val="0"/>
          <w:divBdr>
            <w:top w:val="none" w:sz="0" w:space="0" w:color="auto"/>
            <w:left w:val="none" w:sz="0" w:space="0" w:color="auto"/>
            <w:bottom w:val="none" w:sz="0" w:space="0" w:color="auto"/>
            <w:right w:val="none" w:sz="0" w:space="0" w:color="auto"/>
          </w:divBdr>
        </w:div>
        <w:div w:id="1599479505">
          <w:marLeft w:val="0"/>
          <w:marRight w:val="0"/>
          <w:marTop w:val="0"/>
          <w:marBottom w:val="0"/>
          <w:divBdr>
            <w:top w:val="none" w:sz="0" w:space="0" w:color="auto"/>
            <w:left w:val="none" w:sz="0" w:space="0" w:color="auto"/>
            <w:bottom w:val="none" w:sz="0" w:space="0" w:color="auto"/>
            <w:right w:val="none" w:sz="0" w:space="0" w:color="auto"/>
          </w:divBdr>
        </w:div>
        <w:div w:id="1194272918">
          <w:marLeft w:val="0"/>
          <w:marRight w:val="0"/>
          <w:marTop w:val="0"/>
          <w:marBottom w:val="0"/>
          <w:divBdr>
            <w:top w:val="none" w:sz="0" w:space="0" w:color="auto"/>
            <w:left w:val="none" w:sz="0" w:space="0" w:color="auto"/>
            <w:bottom w:val="none" w:sz="0" w:space="0" w:color="auto"/>
            <w:right w:val="none" w:sz="0" w:space="0" w:color="auto"/>
          </w:divBdr>
        </w:div>
        <w:div w:id="107966223">
          <w:marLeft w:val="0"/>
          <w:marRight w:val="0"/>
          <w:marTop w:val="0"/>
          <w:marBottom w:val="0"/>
          <w:divBdr>
            <w:top w:val="none" w:sz="0" w:space="0" w:color="auto"/>
            <w:left w:val="none" w:sz="0" w:space="0" w:color="auto"/>
            <w:bottom w:val="none" w:sz="0" w:space="0" w:color="auto"/>
            <w:right w:val="none" w:sz="0" w:space="0" w:color="auto"/>
          </w:divBdr>
        </w:div>
        <w:div w:id="1204438517">
          <w:marLeft w:val="0"/>
          <w:marRight w:val="0"/>
          <w:marTop w:val="0"/>
          <w:marBottom w:val="0"/>
          <w:divBdr>
            <w:top w:val="none" w:sz="0" w:space="0" w:color="auto"/>
            <w:left w:val="none" w:sz="0" w:space="0" w:color="auto"/>
            <w:bottom w:val="none" w:sz="0" w:space="0" w:color="auto"/>
            <w:right w:val="none" w:sz="0" w:space="0" w:color="auto"/>
          </w:divBdr>
        </w:div>
        <w:div w:id="1965118145">
          <w:marLeft w:val="0"/>
          <w:marRight w:val="0"/>
          <w:marTop w:val="0"/>
          <w:marBottom w:val="0"/>
          <w:divBdr>
            <w:top w:val="none" w:sz="0" w:space="0" w:color="auto"/>
            <w:left w:val="none" w:sz="0" w:space="0" w:color="auto"/>
            <w:bottom w:val="none" w:sz="0" w:space="0" w:color="auto"/>
            <w:right w:val="none" w:sz="0" w:space="0" w:color="auto"/>
          </w:divBdr>
        </w:div>
      </w:divsChild>
    </w:div>
    <w:div w:id="1696153662">
      <w:bodyDiv w:val="1"/>
      <w:marLeft w:val="0"/>
      <w:marRight w:val="0"/>
      <w:marTop w:val="0"/>
      <w:marBottom w:val="0"/>
      <w:divBdr>
        <w:top w:val="none" w:sz="0" w:space="0" w:color="auto"/>
        <w:left w:val="none" w:sz="0" w:space="0" w:color="auto"/>
        <w:bottom w:val="none" w:sz="0" w:space="0" w:color="auto"/>
        <w:right w:val="none" w:sz="0" w:space="0" w:color="auto"/>
      </w:divBdr>
    </w:div>
    <w:div w:id="1701708218">
      <w:bodyDiv w:val="1"/>
      <w:marLeft w:val="0"/>
      <w:marRight w:val="0"/>
      <w:marTop w:val="0"/>
      <w:marBottom w:val="0"/>
      <w:divBdr>
        <w:top w:val="none" w:sz="0" w:space="0" w:color="auto"/>
        <w:left w:val="none" w:sz="0" w:space="0" w:color="auto"/>
        <w:bottom w:val="none" w:sz="0" w:space="0" w:color="auto"/>
        <w:right w:val="none" w:sz="0" w:space="0" w:color="auto"/>
      </w:divBdr>
    </w:div>
    <w:div w:id="1708917158">
      <w:bodyDiv w:val="1"/>
      <w:marLeft w:val="0"/>
      <w:marRight w:val="0"/>
      <w:marTop w:val="0"/>
      <w:marBottom w:val="0"/>
      <w:divBdr>
        <w:top w:val="none" w:sz="0" w:space="0" w:color="auto"/>
        <w:left w:val="none" w:sz="0" w:space="0" w:color="auto"/>
        <w:bottom w:val="none" w:sz="0" w:space="0" w:color="auto"/>
        <w:right w:val="none" w:sz="0" w:space="0" w:color="auto"/>
      </w:divBdr>
      <w:divsChild>
        <w:div w:id="1305814813">
          <w:marLeft w:val="0"/>
          <w:marRight w:val="0"/>
          <w:marTop w:val="0"/>
          <w:marBottom w:val="0"/>
          <w:divBdr>
            <w:top w:val="none" w:sz="0" w:space="0" w:color="auto"/>
            <w:left w:val="none" w:sz="0" w:space="0" w:color="auto"/>
            <w:bottom w:val="none" w:sz="0" w:space="0" w:color="auto"/>
            <w:right w:val="none" w:sz="0" w:space="0" w:color="auto"/>
          </w:divBdr>
        </w:div>
        <w:div w:id="491602564">
          <w:marLeft w:val="0"/>
          <w:marRight w:val="0"/>
          <w:marTop w:val="0"/>
          <w:marBottom w:val="0"/>
          <w:divBdr>
            <w:top w:val="none" w:sz="0" w:space="0" w:color="auto"/>
            <w:left w:val="none" w:sz="0" w:space="0" w:color="auto"/>
            <w:bottom w:val="none" w:sz="0" w:space="0" w:color="auto"/>
            <w:right w:val="none" w:sz="0" w:space="0" w:color="auto"/>
          </w:divBdr>
        </w:div>
        <w:div w:id="1829516039">
          <w:marLeft w:val="0"/>
          <w:marRight w:val="0"/>
          <w:marTop w:val="0"/>
          <w:marBottom w:val="0"/>
          <w:divBdr>
            <w:top w:val="none" w:sz="0" w:space="0" w:color="auto"/>
            <w:left w:val="none" w:sz="0" w:space="0" w:color="auto"/>
            <w:bottom w:val="none" w:sz="0" w:space="0" w:color="auto"/>
            <w:right w:val="none" w:sz="0" w:space="0" w:color="auto"/>
          </w:divBdr>
        </w:div>
        <w:div w:id="973297132">
          <w:marLeft w:val="0"/>
          <w:marRight w:val="0"/>
          <w:marTop w:val="0"/>
          <w:marBottom w:val="0"/>
          <w:divBdr>
            <w:top w:val="none" w:sz="0" w:space="0" w:color="auto"/>
            <w:left w:val="none" w:sz="0" w:space="0" w:color="auto"/>
            <w:bottom w:val="none" w:sz="0" w:space="0" w:color="auto"/>
            <w:right w:val="none" w:sz="0" w:space="0" w:color="auto"/>
          </w:divBdr>
        </w:div>
        <w:div w:id="1737241927">
          <w:marLeft w:val="0"/>
          <w:marRight w:val="0"/>
          <w:marTop w:val="0"/>
          <w:marBottom w:val="0"/>
          <w:divBdr>
            <w:top w:val="none" w:sz="0" w:space="0" w:color="auto"/>
            <w:left w:val="none" w:sz="0" w:space="0" w:color="auto"/>
            <w:bottom w:val="none" w:sz="0" w:space="0" w:color="auto"/>
            <w:right w:val="none" w:sz="0" w:space="0" w:color="auto"/>
          </w:divBdr>
        </w:div>
        <w:div w:id="1871528008">
          <w:marLeft w:val="0"/>
          <w:marRight w:val="0"/>
          <w:marTop w:val="0"/>
          <w:marBottom w:val="0"/>
          <w:divBdr>
            <w:top w:val="none" w:sz="0" w:space="0" w:color="auto"/>
            <w:left w:val="none" w:sz="0" w:space="0" w:color="auto"/>
            <w:bottom w:val="none" w:sz="0" w:space="0" w:color="auto"/>
            <w:right w:val="none" w:sz="0" w:space="0" w:color="auto"/>
          </w:divBdr>
        </w:div>
        <w:div w:id="807211029">
          <w:marLeft w:val="0"/>
          <w:marRight w:val="0"/>
          <w:marTop w:val="0"/>
          <w:marBottom w:val="0"/>
          <w:divBdr>
            <w:top w:val="none" w:sz="0" w:space="0" w:color="auto"/>
            <w:left w:val="none" w:sz="0" w:space="0" w:color="auto"/>
            <w:bottom w:val="none" w:sz="0" w:space="0" w:color="auto"/>
            <w:right w:val="none" w:sz="0" w:space="0" w:color="auto"/>
          </w:divBdr>
        </w:div>
        <w:div w:id="1868715071">
          <w:marLeft w:val="0"/>
          <w:marRight w:val="0"/>
          <w:marTop w:val="0"/>
          <w:marBottom w:val="0"/>
          <w:divBdr>
            <w:top w:val="none" w:sz="0" w:space="0" w:color="auto"/>
            <w:left w:val="none" w:sz="0" w:space="0" w:color="auto"/>
            <w:bottom w:val="none" w:sz="0" w:space="0" w:color="auto"/>
            <w:right w:val="none" w:sz="0" w:space="0" w:color="auto"/>
          </w:divBdr>
        </w:div>
        <w:div w:id="132717998">
          <w:marLeft w:val="0"/>
          <w:marRight w:val="0"/>
          <w:marTop w:val="0"/>
          <w:marBottom w:val="0"/>
          <w:divBdr>
            <w:top w:val="none" w:sz="0" w:space="0" w:color="auto"/>
            <w:left w:val="none" w:sz="0" w:space="0" w:color="auto"/>
            <w:bottom w:val="none" w:sz="0" w:space="0" w:color="auto"/>
            <w:right w:val="none" w:sz="0" w:space="0" w:color="auto"/>
          </w:divBdr>
        </w:div>
        <w:div w:id="894318400">
          <w:marLeft w:val="0"/>
          <w:marRight w:val="0"/>
          <w:marTop w:val="0"/>
          <w:marBottom w:val="0"/>
          <w:divBdr>
            <w:top w:val="none" w:sz="0" w:space="0" w:color="auto"/>
            <w:left w:val="none" w:sz="0" w:space="0" w:color="auto"/>
            <w:bottom w:val="none" w:sz="0" w:space="0" w:color="auto"/>
            <w:right w:val="none" w:sz="0" w:space="0" w:color="auto"/>
          </w:divBdr>
        </w:div>
        <w:div w:id="861675513">
          <w:marLeft w:val="0"/>
          <w:marRight w:val="0"/>
          <w:marTop w:val="0"/>
          <w:marBottom w:val="0"/>
          <w:divBdr>
            <w:top w:val="none" w:sz="0" w:space="0" w:color="auto"/>
            <w:left w:val="none" w:sz="0" w:space="0" w:color="auto"/>
            <w:bottom w:val="none" w:sz="0" w:space="0" w:color="auto"/>
            <w:right w:val="none" w:sz="0" w:space="0" w:color="auto"/>
          </w:divBdr>
        </w:div>
        <w:div w:id="607856144">
          <w:marLeft w:val="0"/>
          <w:marRight w:val="0"/>
          <w:marTop w:val="0"/>
          <w:marBottom w:val="0"/>
          <w:divBdr>
            <w:top w:val="none" w:sz="0" w:space="0" w:color="auto"/>
            <w:left w:val="none" w:sz="0" w:space="0" w:color="auto"/>
            <w:bottom w:val="none" w:sz="0" w:space="0" w:color="auto"/>
            <w:right w:val="none" w:sz="0" w:space="0" w:color="auto"/>
          </w:divBdr>
        </w:div>
        <w:div w:id="1024331942">
          <w:marLeft w:val="0"/>
          <w:marRight w:val="0"/>
          <w:marTop w:val="0"/>
          <w:marBottom w:val="0"/>
          <w:divBdr>
            <w:top w:val="none" w:sz="0" w:space="0" w:color="auto"/>
            <w:left w:val="none" w:sz="0" w:space="0" w:color="auto"/>
            <w:bottom w:val="none" w:sz="0" w:space="0" w:color="auto"/>
            <w:right w:val="none" w:sz="0" w:space="0" w:color="auto"/>
          </w:divBdr>
        </w:div>
        <w:div w:id="1333683114">
          <w:marLeft w:val="0"/>
          <w:marRight w:val="0"/>
          <w:marTop w:val="0"/>
          <w:marBottom w:val="0"/>
          <w:divBdr>
            <w:top w:val="none" w:sz="0" w:space="0" w:color="auto"/>
            <w:left w:val="none" w:sz="0" w:space="0" w:color="auto"/>
            <w:bottom w:val="none" w:sz="0" w:space="0" w:color="auto"/>
            <w:right w:val="none" w:sz="0" w:space="0" w:color="auto"/>
          </w:divBdr>
        </w:div>
        <w:div w:id="327757442">
          <w:marLeft w:val="0"/>
          <w:marRight w:val="0"/>
          <w:marTop w:val="0"/>
          <w:marBottom w:val="0"/>
          <w:divBdr>
            <w:top w:val="none" w:sz="0" w:space="0" w:color="auto"/>
            <w:left w:val="none" w:sz="0" w:space="0" w:color="auto"/>
            <w:bottom w:val="none" w:sz="0" w:space="0" w:color="auto"/>
            <w:right w:val="none" w:sz="0" w:space="0" w:color="auto"/>
          </w:divBdr>
        </w:div>
        <w:div w:id="921571235">
          <w:marLeft w:val="0"/>
          <w:marRight w:val="0"/>
          <w:marTop w:val="0"/>
          <w:marBottom w:val="0"/>
          <w:divBdr>
            <w:top w:val="none" w:sz="0" w:space="0" w:color="auto"/>
            <w:left w:val="none" w:sz="0" w:space="0" w:color="auto"/>
            <w:bottom w:val="none" w:sz="0" w:space="0" w:color="auto"/>
            <w:right w:val="none" w:sz="0" w:space="0" w:color="auto"/>
          </w:divBdr>
        </w:div>
      </w:divsChild>
    </w:div>
    <w:div w:id="1733042430">
      <w:bodyDiv w:val="1"/>
      <w:marLeft w:val="0"/>
      <w:marRight w:val="0"/>
      <w:marTop w:val="0"/>
      <w:marBottom w:val="0"/>
      <w:divBdr>
        <w:top w:val="none" w:sz="0" w:space="0" w:color="auto"/>
        <w:left w:val="none" w:sz="0" w:space="0" w:color="auto"/>
        <w:bottom w:val="none" w:sz="0" w:space="0" w:color="auto"/>
        <w:right w:val="none" w:sz="0" w:space="0" w:color="auto"/>
      </w:divBdr>
      <w:divsChild>
        <w:div w:id="756248493">
          <w:marLeft w:val="0"/>
          <w:marRight w:val="0"/>
          <w:marTop w:val="0"/>
          <w:marBottom w:val="0"/>
          <w:divBdr>
            <w:top w:val="none" w:sz="0" w:space="0" w:color="auto"/>
            <w:left w:val="none" w:sz="0" w:space="0" w:color="auto"/>
            <w:bottom w:val="none" w:sz="0" w:space="0" w:color="auto"/>
            <w:right w:val="none" w:sz="0" w:space="0" w:color="auto"/>
          </w:divBdr>
        </w:div>
        <w:div w:id="1856727498">
          <w:marLeft w:val="0"/>
          <w:marRight w:val="0"/>
          <w:marTop w:val="0"/>
          <w:marBottom w:val="0"/>
          <w:divBdr>
            <w:top w:val="none" w:sz="0" w:space="0" w:color="auto"/>
            <w:left w:val="none" w:sz="0" w:space="0" w:color="auto"/>
            <w:bottom w:val="none" w:sz="0" w:space="0" w:color="auto"/>
            <w:right w:val="none" w:sz="0" w:space="0" w:color="auto"/>
          </w:divBdr>
        </w:div>
        <w:div w:id="125664282">
          <w:marLeft w:val="0"/>
          <w:marRight w:val="0"/>
          <w:marTop w:val="0"/>
          <w:marBottom w:val="0"/>
          <w:divBdr>
            <w:top w:val="none" w:sz="0" w:space="0" w:color="auto"/>
            <w:left w:val="none" w:sz="0" w:space="0" w:color="auto"/>
            <w:bottom w:val="none" w:sz="0" w:space="0" w:color="auto"/>
            <w:right w:val="none" w:sz="0" w:space="0" w:color="auto"/>
          </w:divBdr>
        </w:div>
        <w:div w:id="718478271">
          <w:marLeft w:val="0"/>
          <w:marRight w:val="0"/>
          <w:marTop w:val="0"/>
          <w:marBottom w:val="0"/>
          <w:divBdr>
            <w:top w:val="none" w:sz="0" w:space="0" w:color="auto"/>
            <w:left w:val="none" w:sz="0" w:space="0" w:color="auto"/>
            <w:bottom w:val="none" w:sz="0" w:space="0" w:color="auto"/>
            <w:right w:val="none" w:sz="0" w:space="0" w:color="auto"/>
          </w:divBdr>
        </w:div>
        <w:div w:id="2012219674">
          <w:marLeft w:val="0"/>
          <w:marRight w:val="0"/>
          <w:marTop w:val="0"/>
          <w:marBottom w:val="0"/>
          <w:divBdr>
            <w:top w:val="none" w:sz="0" w:space="0" w:color="auto"/>
            <w:left w:val="none" w:sz="0" w:space="0" w:color="auto"/>
            <w:bottom w:val="none" w:sz="0" w:space="0" w:color="auto"/>
            <w:right w:val="none" w:sz="0" w:space="0" w:color="auto"/>
          </w:divBdr>
        </w:div>
        <w:div w:id="846481274">
          <w:marLeft w:val="0"/>
          <w:marRight w:val="0"/>
          <w:marTop w:val="0"/>
          <w:marBottom w:val="0"/>
          <w:divBdr>
            <w:top w:val="none" w:sz="0" w:space="0" w:color="auto"/>
            <w:left w:val="none" w:sz="0" w:space="0" w:color="auto"/>
            <w:bottom w:val="none" w:sz="0" w:space="0" w:color="auto"/>
            <w:right w:val="none" w:sz="0" w:space="0" w:color="auto"/>
          </w:divBdr>
        </w:div>
        <w:div w:id="866413391">
          <w:marLeft w:val="0"/>
          <w:marRight w:val="0"/>
          <w:marTop w:val="0"/>
          <w:marBottom w:val="0"/>
          <w:divBdr>
            <w:top w:val="none" w:sz="0" w:space="0" w:color="auto"/>
            <w:left w:val="none" w:sz="0" w:space="0" w:color="auto"/>
            <w:bottom w:val="none" w:sz="0" w:space="0" w:color="auto"/>
            <w:right w:val="none" w:sz="0" w:space="0" w:color="auto"/>
          </w:divBdr>
        </w:div>
        <w:div w:id="1567110383">
          <w:marLeft w:val="0"/>
          <w:marRight w:val="0"/>
          <w:marTop w:val="0"/>
          <w:marBottom w:val="0"/>
          <w:divBdr>
            <w:top w:val="none" w:sz="0" w:space="0" w:color="auto"/>
            <w:left w:val="none" w:sz="0" w:space="0" w:color="auto"/>
            <w:bottom w:val="none" w:sz="0" w:space="0" w:color="auto"/>
            <w:right w:val="none" w:sz="0" w:space="0" w:color="auto"/>
          </w:divBdr>
        </w:div>
        <w:div w:id="1326741276">
          <w:marLeft w:val="0"/>
          <w:marRight w:val="0"/>
          <w:marTop w:val="0"/>
          <w:marBottom w:val="0"/>
          <w:divBdr>
            <w:top w:val="none" w:sz="0" w:space="0" w:color="auto"/>
            <w:left w:val="none" w:sz="0" w:space="0" w:color="auto"/>
            <w:bottom w:val="none" w:sz="0" w:space="0" w:color="auto"/>
            <w:right w:val="none" w:sz="0" w:space="0" w:color="auto"/>
          </w:divBdr>
        </w:div>
        <w:div w:id="273482115">
          <w:marLeft w:val="0"/>
          <w:marRight w:val="0"/>
          <w:marTop w:val="0"/>
          <w:marBottom w:val="0"/>
          <w:divBdr>
            <w:top w:val="none" w:sz="0" w:space="0" w:color="auto"/>
            <w:left w:val="none" w:sz="0" w:space="0" w:color="auto"/>
            <w:bottom w:val="none" w:sz="0" w:space="0" w:color="auto"/>
            <w:right w:val="none" w:sz="0" w:space="0" w:color="auto"/>
          </w:divBdr>
        </w:div>
        <w:div w:id="313223281">
          <w:marLeft w:val="0"/>
          <w:marRight w:val="0"/>
          <w:marTop w:val="0"/>
          <w:marBottom w:val="0"/>
          <w:divBdr>
            <w:top w:val="none" w:sz="0" w:space="0" w:color="auto"/>
            <w:left w:val="none" w:sz="0" w:space="0" w:color="auto"/>
            <w:bottom w:val="none" w:sz="0" w:space="0" w:color="auto"/>
            <w:right w:val="none" w:sz="0" w:space="0" w:color="auto"/>
          </w:divBdr>
        </w:div>
      </w:divsChild>
    </w:div>
    <w:div w:id="1758819130">
      <w:bodyDiv w:val="1"/>
      <w:marLeft w:val="0"/>
      <w:marRight w:val="0"/>
      <w:marTop w:val="0"/>
      <w:marBottom w:val="0"/>
      <w:divBdr>
        <w:top w:val="none" w:sz="0" w:space="0" w:color="auto"/>
        <w:left w:val="none" w:sz="0" w:space="0" w:color="auto"/>
        <w:bottom w:val="none" w:sz="0" w:space="0" w:color="auto"/>
        <w:right w:val="none" w:sz="0" w:space="0" w:color="auto"/>
      </w:divBdr>
      <w:divsChild>
        <w:div w:id="1141774020">
          <w:marLeft w:val="0"/>
          <w:marRight w:val="0"/>
          <w:marTop w:val="0"/>
          <w:marBottom w:val="0"/>
          <w:divBdr>
            <w:top w:val="none" w:sz="0" w:space="0" w:color="auto"/>
            <w:left w:val="none" w:sz="0" w:space="0" w:color="auto"/>
            <w:bottom w:val="none" w:sz="0" w:space="0" w:color="auto"/>
            <w:right w:val="none" w:sz="0" w:space="0" w:color="auto"/>
          </w:divBdr>
        </w:div>
        <w:div w:id="1590431065">
          <w:marLeft w:val="0"/>
          <w:marRight w:val="0"/>
          <w:marTop w:val="0"/>
          <w:marBottom w:val="0"/>
          <w:divBdr>
            <w:top w:val="none" w:sz="0" w:space="0" w:color="auto"/>
            <w:left w:val="none" w:sz="0" w:space="0" w:color="auto"/>
            <w:bottom w:val="none" w:sz="0" w:space="0" w:color="auto"/>
            <w:right w:val="none" w:sz="0" w:space="0" w:color="auto"/>
          </w:divBdr>
        </w:div>
        <w:div w:id="666907718">
          <w:marLeft w:val="0"/>
          <w:marRight w:val="0"/>
          <w:marTop w:val="0"/>
          <w:marBottom w:val="0"/>
          <w:divBdr>
            <w:top w:val="none" w:sz="0" w:space="0" w:color="auto"/>
            <w:left w:val="none" w:sz="0" w:space="0" w:color="auto"/>
            <w:bottom w:val="none" w:sz="0" w:space="0" w:color="auto"/>
            <w:right w:val="none" w:sz="0" w:space="0" w:color="auto"/>
          </w:divBdr>
        </w:div>
      </w:divsChild>
    </w:div>
    <w:div w:id="1760059949">
      <w:bodyDiv w:val="1"/>
      <w:marLeft w:val="0"/>
      <w:marRight w:val="0"/>
      <w:marTop w:val="0"/>
      <w:marBottom w:val="0"/>
      <w:divBdr>
        <w:top w:val="none" w:sz="0" w:space="0" w:color="auto"/>
        <w:left w:val="none" w:sz="0" w:space="0" w:color="auto"/>
        <w:bottom w:val="none" w:sz="0" w:space="0" w:color="auto"/>
        <w:right w:val="none" w:sz="0" w:space="0" w:color="auto"/>
      </w:divBdr>
      <w:divsChild>
        <w:div w:id="791558021">
          <w:marLeft w:val="0"/>
          <w:marRight w:val="0"/>
          <w:marTop w:val="0"/>
          <w:marBottom w:val="0"/>
          <w:divBdr>
            <w:top w:val="none" w:sz="0" w:space="0" w:color="auto"/>
            <w:left w:val="none" w:sz="0" w:space="0" w:color="auto"/>
            <w:bottom w:val="none" w:sz="0" w:space="0" w:color="auto"/>
            <w:right w:val="none" w:sz="0" w:space="0" w:color="auto"/>
          </w:divBdr>
        </w:div>
        <w:div w:id="1936669044">
          <w:marLeft w:val="0"/>
          <w:marRight w:val="0"/>
          <w:marTop w:val="0"/>
          <w:marBottom w:val="0"/>
          <w:divBdr>
            <w:top w:val="none" w:sz="0" w:space="0" w:color="auto"/>
            <w:left w:val="none" w:sz="0" w:space="0" w:color="auto"/>
            <w:bottom w:val="none" w:sz="0" w:space="0" w:color="auto"/>
            <w:right w:val="none" w:sz="0" w:space="0" w:color="auto"/>
          </w:divBdr>
        </w:div>
        <w:div w:id="947929931">
          <w:marLeft w:val="0"/>
          <w:marRight w:val="0"/>
          <w:marTop w:val="0"/>
          <w:marBottom w:val="0"/>
          <w:divBdr>
            <w:top w:val="none" w:sz="0" w:space="0" w:color="auto"/>
            <w:left w:val="none" w:sz="0" w:space="0" w:color="auto"/>
            <w:bottom w:val="none" w:sz="0" w:space="0" w:color="auto"/>
            <w:right w:val="none" w:sz="0" w:space="0" w:color="auto"/>
          </w:divBdr>
        </w:div>
        <w:div w:id="865758097">
          <w:marLeft w:val="0"/>
          <w:marRight w:val="0"/>
          <w:marTop w:val="0"/>
          <w:marBottom w:val="0"/>
          <w:divBdr>
            <w:top w:val="none" w:sz="0" w:space="0" w:color="auto"/>
            <w:left w:val="none" w:sz="0" w:space="0" w:color="auto"/>
            <w:bottom w:val="none" w:sz="0" w:space="0" w:color="auto"/>
            <w:right w:val="none" w:sz="0" w:space="0" w:color="auto"/>
          </w:divBdr>
        </w:div>
        <w:div w:id="1145708290">
          <w:marLeft w:val="0"/>
          <w:marRight w:val="0"/>
          <w:marTop w:val="0"/>
          <w:marBottom w:val="0"/>
          <w:divBdr>
            <w:top w:val="none" w:sz="0" w:space="0" w:color="auto"/>
            <w:left w:val="none" w:sz="0" w:space="0" w:color="auto"/>
            <w:bottom w:val="none" w:sz="0" w:space="0" w:color="auto"/>
            <w:right w:val="none" w:sz="0" w:space="0" w:color="auto"/>
          </w:divBdr>
        </w:div>
        <w:div w:id="511728530">
          <w:marLeft w:val="0"/>
          <w:marRight w:val="0"/>
          <w:marTop w:val="0"/>
          <w:marBottom w:val="0"/>
          <w:divBdr>
            <w:top w:val="none" w:sz="0" w:space="0" w:color="auto"/>
            <w:left w:val="none" w:sz="0" w:space="0" w:color="auto"/>
            <w:bottom w:val="none" w:sz="0" w:space="0" w:color="auto"/>
            <w:right w:val="none" w:sz="0" w:space="0" w:color="auto"/>
          </w:divBdr>
        </w:div>
        <w:div w:id="546839389">
          <w:marLeft w:val="0"/>
          <w:marRight w:val="0"/>
          <w:marTop w:val="0"/>
          <w:marBottom w:val="0"/>
          <w:divBdr>
            <w:top w:val="none" w:sz="0" w:space="0" w:color="auto"/>
            <w:left w:val="none" w:sz="0" w:space="0" w:color="auto"/>
            <w:bottom w:val="none" w:sz="0" w:space="0" w:color="auto"/>
            <w:right w:val="none" w:sz="0" w:space="0" w:color="auto"/>
          </w:divBdr>
        </w:div>
        <w:div w:id="1349257714">
          <w:marLeft w:val="0"/>
          <w:marRight w:val="0"/>
          <w:marTop w:val="0"/>
          <w:marBottom w:val="0"/>
          <w:divBdr>
            <w:top w:val="none" w:sz="0" w:space="0" w:color="auto"/>
            <w:left w:val="none" w:sz="0" w:space="0" w:color="auto"/>
            <w:bottom w:val="none" w:sz="0" w:space="0" w:color="auto"/>
            <w:right w:val="none" w:sz="0" w:space="0" w:color="auto"/>
          </w:divBdr>
        </w:div>
        <w:div w:id="437530708">
          <w:marLeft w:val="0"/>
          <w:marRight w:val="0"/>
          <w:marTop w:val="0"/>
          <w:marBottom w:val="0"/>
          <w:divBdr>
            <w:top w:val="none" w:sz="0" w:space="0" w:color="auto"/>
            <w:left w:val="none" w:sz="0" w:space="0" w:color="auto"/>
            <w:bottom w:val="none" w:sz="0" w:space="0" w:color="auto"/>
            <w:right w:val="none" w:sz="0" w:space="0" w:color="auto"/>
          </w:divBdr>
        </w:div>
        <w:div w:id="474220319">
          <w:marLeft w:val="0"/>
          <w:marRight w:val="0"/>
          <w:marTop w:val="0"/>
          <w:marBottom w:val="0"/>
          <w:divBdr>
            <w:top w:val="none" w:sz="0" w:space="0" w:color="auto"/>
            <w:left w:val="none" w:sz="0" w:space="0" w:color="auto"/>
            <w:bottom w:val="none" w:sz="0" w:space="0" w:color="auto"/>
            <w:right w:val="none" w:sz="0" w:space="0" w:color="auto"/>
          </w:divBdr>
        </w:div>
        <w:div w:id="762921402">
          <w:marLeft w:val="0"/>
          <w:marRight w:val="0"/>
          <w:marTop w:val="0"/>
          <w:marBottom w:val="0"/>
          <w:divBdr>
            <w:top w:val="none" w:sz="0" w:space="0" w:color="auto"/>
            <w:left w:val="none" w:sz="0" w:space="0" w:color="auto"/>
            <w:bottom w:val="none" w:sz="0" w:space="0" w:color="auto"/>
            <w:right w:val="none" w:sz="0" w:space="0" w:color="auto"/>
          </w:divBdr>
        </w:div>
        <w:div w:id="653142511">
          <w:marLeft w:val="0"/>
          <w:marRight w:val="0"/>
          <w:marTop w:val="0"/>
          <w:marBottom w:val="0"/>
          <w:divBdr>
            <w:top w:val="none" w:sz="0" w:space="0" w:color="auto"/>
            <w:left w:val="none" w:sz="0" w:space="0" w:color="auto"/>
            <w:bottom w:val="none" w:sz="0" w:space="0" w:color="auto"/>
            <w:right w:val="none" w:sz="0" w:space="0" w:color="auto"/>
          </w:divBdr>
        </w:div>
        <w:div w:id="1391225690">
          <w:marLeft w:val="0"/>
          <w:marRight w:val="0"/>
          <w:marTop w:val="0"/>
          <w:marBottom w:val="0"/>
          <w:divBdr>
            <w:top w:val="none" w:sz="0" w:space="0" w:color="auto"/>
            <w:left w:val="none" w:sz="0" w:space="0" w:color="auto"/>
            <w:bottom w:val="none" w:sz="0" w:space="0" w:color="auto"/>
            <w:right w:val="none" w:sz="0" w:space="0" w:color="auto"/>
          </w:divBdr>
        </w:div>
        <w:div w:id="321736367">
          <w:marLeft w:val="0"/>
          <w:marRight w:val="0"/>
          <w:marTop w:val="0"/>
          <w:marBottom w:val="0"/>
          <w:divBdr>
            <w:top w:val="none" w:sz="0" w:space="0" w:color="auto"/>
            <w:left w:val="none" w:sz="0" w:space="0" w:color="auto"/>
            <w:bottom w:val="none" w:sz="0" w:space="0" w:color="auto"/>
            <w:right w:val="none" w:sz="0" w:space="0" w:color="auto"/>
          </w:divBdr>
        </w:div>
        <w:div w:id="909314258">
          <w:marLeft w:val="0"/>
          <w:marRight w:val="0"/>
          <w:marTop w:val="0"/>
          <w:marBottom w:val="0"/>
          <w:divBdr>
            <w:top w:val="none" w:sz="0" w:space="0" w:color="auto"/>
            <w:left w:val="none" w:sz="0" w:space="0" w:color="auto"/>
            <w:bottom w:val="none" w:sz="0" w:space="0" w:color="auto"/>
            <w:right w:val="none" w:sz="0" w:space="0" w:color="auto"/>
          </w:divBdr>
        </w:div>
        <w:div w:id="1534030820">
          <w:marLeft w:val="0"/>
          <w:marRight w:val="0"/>
          <w:marTop w:val="0"/>
          <w:marBottom w:val="0"/>
          <w:divBdr>
            <w:top w:val="none" w:sz="0" w:space="0" w:color="auto"/>
            <w:left w:val="none" w:sz="0" w:space="0" w:color="auto"/>
            <w:bottom w:val="none" w:sz="0" w:space="0" w:color="auto"/>
            <w:right w:val="none" w:sz="0" w:space="0" w:color="auto"/>
          </w:divBdr>
        </w:div>
        <w:div w:id="306013230">
          <w:marLeft w:val="0"/>
          <w:marRight w:val="0"/>
          <w:marTop w:val="0"/>
          <w:marBottom w:val="0"/>
          <w:divBdr>
            <w:top w:val="none" w:sz="0" w:space="0" w:color="auto"/>
            <w:left w:val="none" w:sz="0" w:space="0" w:color="auto"/>
            <w:bottom w:val="none" w:sz="0" w:space="0" w:color="auto"/>
            <w:right w:val="none" w:sz="0" w:space="0" w:color="auto"/>
          </w:divBdr>
        </w:div>
        <w:div w:id="1700935436">
          <w:marLeft w:val="0"/>
          <w:marRight w:val="0"/>
          <w:marTop w:val="0"/>
          <w:marBottom w:val="0"/>
          <w:divBdr>
            <w:top w:val="none" w:sz="0" w:space="0" w:color="auto"/>
            <w:left w:val="none" w:sz="0" w:space="0" w:color="auto"/>
            <w:bottom w:val="none" w:sz="0" w:space="0" w:color="auto"/>
            <w:right w:val="none" w:sz="0" w:space="0" w:color="auto"/>
          </w:divBdr>
        </w:div>
        <w:div w:id="1394084960">
          <w:marLeft w:val="0"/>
          <w:marRight w:val="0"/>
          <w:marTop w:val="0"/>
          <w:marBottom w:val="0"/>
          <w:divBdr>
            <w:top w:val="none" w:sz="0" w:space="0" w:color="auto"/>
            <w:left w:val="none" w:sz="0" w:space="0" w:color="auto"/>
            <w:bottom w:val="none" w:sz="0" w:space="0" w:color="auto"/>
            <w:right w:val="none" w:sz="0" w:space="0" w:color="auto"/>
          </w:divBdr>
        </w:div>
        <w:div w:id="1112089292">
          <w:marLeft w:val="0"/>
          <w:marRight w:val="0"/>
          <w:marTop w:val="0"/>
          <w:marBottom w:val="0"/>
          <w:divBdr>
            <w:top w:val="none" w:sz="0" w:space="0" w:color="auto"/>
            <w:left w:val="none" w:sz="0" w:space="0" w:color="auto"/>
            <w:bottom w:val="none" w:sz="0" w:space="0" w:color="auto"/>
            <w:right w:val="none" w:sz="0" w:space="0" w:color="auto"/>
          </w:divBdr>
        </w:div>
        <w:div w:id="214436623">
          <w:marLeft w:val="0"/>
          <w:marRight w:val="0"/>
          <w:marTop w:val="0"/>
          <w:marBottom w:val="0"/>
          <w:divBdr>
            <w:top w:val="none" w:sz="0" w:space="0" w:color="auto"/>
            <w:left w:val="none" w:sz="0" w:space="0" w:color="auto"/>
            <w:bottom w:val="none" w:sz="0" w:space="0" w:color="auto"/>
            <w:right w:val="none" w:sz="0" w:space="0" w:color="auto"/>
          </w:divBdr>
        </w:div>
        <w:div w:id="1211960430">
          <w:marLeft w:val="0"/>
          <w:marRight w:val="0"/>
          <w:marTop w:val="0"/>
          <w:marBottom w:val="0"/>
          <w:divBdr>
            <w:top w:val="none" w:sz="0" w:space="0" w:color="auto"/>
            <w:left w:val="none" w:sz="0" w:space="0" w:color="auto"/>
            <w:bottom w:val="none" w:sz="0" w:space="0" w:color="auto"/>
            <w:right w:val="none" w:sz="0" w:space="0" w:color="auto"/>
          </w:divBdr>
        </w:div>
      </w:divsChild>
    </w:div>
    <w:div w:id="1794057741">
      <w:bodyDiv w:val="1"/>
      <w:marLeft w:val="0"/>
      <w:marRight w:val="0"/>
      <w:marTop w:val="0"/>
      <w:marBottom w:val="0"/>
      <w:divBdr>
        <w:top w:val="none" w:sz="0" w:space="0" w:color="auto"/>
        <w:left w:val="none" w:sz="0" w:space="0" w:color="auto"/>
        <w:bottom w:val="none" w:sz="0" w:space="0" w:color="auto"/>
        <w:right w:val="none" w:sz="0" w:space="0" w:color="auto"/>
      </w:divBdr>
    </w:div>
    <w:div w:id="1794250457">
      <w:bodyDiv w:val="1"/>
      <w:marLeft w:val="0"/>
      <w:marRight w:val="0"/>
      <w:marTop w:val="0"/>
      <w:marBottom w:val="0"/>
      <w:divBdr>
        <w:top w:val="none" w:sz="0" w:space="0" w:color="auto"/>
        <w:left w:val="none" w:sz="0" w:space="0" w:color="auto"/>
        <w:bottom w:val="none" w:sz="0" w:space="0" w:color="auto"/>
        <w:right w:val="none" w:sz="0" w:space="0" w:color="auto"/>
      </w:divBdr>
      <w:divsChild>
        <w:div w:id="179511300">
          <w:marLeft w:val="0"/>
          <w:marRight w:val="0"/>
          <w:marTop w:val="0"/>
          <w:marBottom w:val="0"/>
          <w:divBdr>
            <w:top w:val="none" w:sz="0" w:space="0" w:color="auto"/>
            <w:left w:val="none" w:sz="0" w:space="0" w:color="auto"/>
            <w:bottom w:val="none" w:sz="0" w:space="0" w:color="auto"/>
            <w:right w:val="none" w:sz="0" w:space="0" w:color="auto"/>
          </w:divBdr>
        </w:div>
        <w:div w:id="1297370143">
          <w:marLeft w:val="0"/>
          <w:marRight w:val="0"/>
          <w:marTop w:val="0"/>
          <w:marBottom w:val="0"/>
          <w:divBdr>
            <w:top w:val="none" w:sz="0" w:space="0" w:color="auto"/>
            <w:left w:val="none" w:sz="0" w:space="0" w:color="auto"/>
            <w:bottom w:val="none" w:sz="0" w:space="0" w:color="auto"/>
            <w:right w:val="none" w:sz="0" w:space="0" w:color="auto"/>
          </w:divBdr>
        </w:div>
      </w:divsChild>
    </w:div>
    <w:div w:id="1803229029">
      <w:bodyDiv w:val="1"/>
      <w:marLeft w:val="0"/>
      <w:marRight w:val="0"/>
      <w:marTop w:val="0"/>
      <w:marBottom w:val="0"/>
      <w:divBdr>
        <w:top w:val="none" w:sz="0" w:space="0" w:color="auto"/>
        <w:left w:val="none" w:sz="0" w:space="0" w:color="auto"/>
        <w:bottom w:val="none" w:sz="0" w:space="0" w:color="auto"/>
        <w:right w:val="none" w:sz="0" w:space="0" w:color="auto"/>
      </w:divBdr>
      <w:divsChild>
        <w:div w:id="1918439793">
          <w:marLeft w:val="0"/>
          <w:marRight w:val="0"/>
          <w:marTop w:val="0"/>
          <w:marBottom w:val="0"/>
          <w:divBdr>
            <w:top w:val="none" w:sz="0" w:space="0" w:color="auto"/>
            <w:left w:val="none" w:sz="0" w:space="0" w:color="auto"/>
            <w:bottom w:val="none" w:sz="0" w:space="0" w:color="auto"/>
            <w:right w:val="none" w:sz="0" w:space="0" w:color="auto"/>
          </w:divBdr>
        </w:div>
        <w:div w:id="465782311">
          <w:marLeft w:val="0"/>
          <w:marRight w:val="0"/>
          <w:marTop w:val="0"/>
          <w:marBottom w:val="0"/>
          <w:divBdr>
            <w:top w:val="none" w:sz="0" w:space="0" w:color="auto"/>
            <w:left w:val="none" w:sz="0" w:space="0" w:color="auto"/>
            <w:bottom w:val="none" w:sz="0" w:space="0" w:color="auto"/>
            <w:right w:val="none" w:sz="0" w:space="0" w:color="auto"/>
          </w:divBdr>
        </w:div>
      </w:divsChild>
    </w:div>
    <w:div w:id="1809122901">
      <w:bodyDiv w:val="1"/>
      <w:marLeft w:val="0"/>
      <w:marRight w:val="0"/>
      <w:marTop w:val="0"/>
      <w:marBottom w:val="0"/>
      <w:divBdr>
        <w:top w:val="none" w:sz="0" w:space="0" w:color="auto"/>
        <w:left w:val="none" w:sz="0" w:space="0" w:color="auto"/>
        <w:bottom w:val="none" w:sz="0" w:space="0" w:color="auto"/>
        <w:right w:val="none" w:sz="0" w:space="0" w:color="auto"/>
      </w:divBdr>
      <w:divsChild>
        <w:div w:id="1078944729">
          <w:marLeft w:val="0"/>
          <w:marRight w:val="0"/>
          <w:marTop w:val="0"/>
          <w:marBottom w:val="0"/>
          <w:divBdr>
            <w:top w:val="none" w:sz="0" w:space="0" w:color="auto"/>
            <w:left w:val="none" w:sz="0" w:space="0" w:color="auto"/>
            <w:bottom w:val="none" w:sz="0" w:space="0" w:color="auto"/>
            <w:right w:val="none" w:sz="0" w:space="0" w:color="auto"/>
          </w:divBdr>
        </w:div>
        <w:div w:id="685519987">
          <w:marLeft w:val="0"/>
          <w:marRight w:val="0"/>
          <w:marTop w:val="0"/>
          <w:marBottom w:val="0"/>
          <w:divBdr>
            <w:top w:val="none" w:sz="0" w:space="0" w:color="auto"/>
            <w:left w:val="none" w:sz="0" w:space="0" w:color="auto"/>
            <w:bottom w:val="none" w:sz="0" w:space="0" w:color="auto"/>
            <w:right w:val="none" w:sz="0" w:space="0" w:color="auto"/>
          </w:divBdr>
        </w:div>
        <w:div w:id="865480606">
          <w:marLeft w:val="0"/>
          <w:marRight w:val="0"/>
          <w:marTop w:val="0"/>
          <w:marBottom w:val="0"/>
          <w:divBdr>
            <w:top w:val="none" w:sz="0" w:space="0" w:color="auto"/>
            <w:left w:val="none" w:sz="0" w:space="0" w:color="auto"/>
            <w:bottom w:val="none" w:sz="0" w:space="0" w:color="auto"/>
            <w:right w:val="none" w:sz="0" w:space="0" w:color="auto"/>
          </w:divBdr>
        </w:div>
        <w:div w:id="1453787072">
          <w:marLeft w:val="0"/>
          <w:marRight w:val="0"/>
          <w:marTop w:val="0"/>
          <w:marBottom w:val="0"/>
          <w:divBdr>
            <w:top w:val="none" w:sz="0" w:space="0" w:color="auto"/>
            <w:left w:val="none" w:sz="0" w:space="0" w:color="auto"/>
            <w:bottom w:val="none" w:sz="0" w:space="0" w:color="auto"/>
            <w:right w:val="none" w:sz="0" w:space="0" w:color="auto"/>
          </w:divBdr>
        </w:div>
        <w:div w:id="1299605613">
          <w:marLeft w:val="0"/>
          <w:marRight w:val="0"/>
          <w:marTop w:val="0"/>
          <w:marBottom w:val="0"/>
          <w:divBdr>
            <w:top w:val="none" w:sz="0" w:space="0" w:color="auto"/>
            <w:left w:val="none" w:sz="0" w:space="0" w:color="auto"/>
            <w:bottom w:val="none" w:sz="0" w:space="0" w:color="auto"/>
            <w:right w:val="none" w:sz="0" w:space="0" w:color="auto"/>
          </w:divBdr>
        </w:div>
        <w:div w:id="1179463544">
          <w:marLeft w:val="0"/>
          <w:marRight w:val="0"/>
          <w:marTop w:val="0"/>
          <w:marBottom w:val="0"/>
          <w:divBdr>
            <w:top w:val="none" w:sz="0" w:space="0" w:color="auto"/>
            <w:left w:val="none" w:sz="0" w:space="0" w:color="auto"/>
            <w:bottom w:val="none" w:sz="0" w:space="0" w:color="auto"/>
            <w:right w:val="none" w:sz="0" w:space="0" w:color="auto"/>
          </w:divBdr>
        </w:div>
        <w:div w:id="926767367">
          <w:marLeft w:val="0"/>
          <w:marRight w:val="0"/>
          <w:marTop w:val="0"/>
          <w:marBottom w:val="0"/>
          <w:divBdr>
            <w:top w:val="none" w:sz="0" w:space="0" w:color="auto"/>
            <w:left w:val="none" w:sz="0" w:space="0" w:color="auto"/>
            <w:bottom w:val="none" w:sz="0" w:space="0" w:color="auto"/>
            <w:right w:val="none" w:sz="0" w:space="0" w:color="auto"/>
          </w:divBdr>
        </w:div>
        <w:div w:id="2018000292">
          <w:marLeft w:val="0"/>
          <w:marRight w:val="0"/>
          <w:marTop w:val="0"/>
          <w:marBottom w:val="0"/>
          <w:divBdr>
            <w:top w:val="none" w:sz="0" w:space="0" w:color="auto"/>
            <w:left w:val="none" w:sz="0" w:space="0" w:color="auto"/>
            <w:bottom w:val="none" w:sz="0" w:space="0" w:color="auto"/>
            <w:right w:val="none" w:sz="0" w:space="0" w:color="auto"/>
          </w:divBdr>
        </w:div>
        <w:div w:id="1526598187">
          <w:marLeft w:val="0"/>
          <w:marRight w:val="0"/>
          <w:marTop w:val="0"/>
          <w:marBottom w:val="0"/>
          <w:divBdr>
            <w:top w:val="none" w:sz="0" w:space="0" w:color="auto"/>
            <w:left w:val="none" w:sz="0" w:space="0" w:color="auto"/>
            <w:bottom w:val="none" w:sz="0" w:space="0" w:color="auto"/>
            <w:right w:val="none" w:sz="0" w:space="0" w:color="auto"/>
          </w:divBdr>
        </w:div>
        <w:div w:id="791561266">
          <w:marLeft w:val="0"/>
          <w:marRight w:val="0"/>
          <w:marTop w:val="0"/>
          <w:marBottom w:val="0"/>
          <w:divBdr>
            <w:top w:val="none" w:sz="0" w:space="0" w:color="auto"/>
            <w:left w:val="none" w:sz="0" w:space="0" w:color="auto"/>
            <w:bottom w:val="none" w:sz="0" w:space="0" w:color="auto"/>
            <w:right w:val="none" w:sz="0" w:space="0" w:color="auto"/>
          </w:divBdr>
        </w:div>
        <w:div w:id="1462310696">
          <w:marLeft w:val="0"/>
          <w:marRight w:val="0"/>
          <w:marTop w:val="0"/>
          <w:marBottom w:val="0"/>
          <w:divBdr>
            <w:top w:val="none" w:sz="0" w:space="0" w:color="auto"/>
            <w:left w:val="none" w:sz="0" w:space="0" w:color="auto"/>
            <w:bottom w:val="none" w:sz="0" w:space="0" w:color="auto"/>
            <w:right w:val="none" w:sz="0" w:space="0" w:color="auto"/>
          </w:divBdr>
        </w:div>
        <w:div w:id="1646859867">
          <w:marLeft w:val="0"/>
          <w:marRight w:val="0"/>
          <w:marTop w:val="0"/>
          <w:marBottom w:val="0"/>
          <w:divBdr>
            <w:top w:val="none" w:sz="0" w:space="0" w:color="auto"/>
            <w:left w:val="none" w:sz="0" w:space="0" w:color="auto"/>
            <w:bottom w:val="none" w:sz="0" w:space="0" w:color="auto"/>
            <w:right w:val="none" w:sz="0" w:space="0" w:color="auto"/>
          </w:divBdr>
        </w:div>
        <w:div w:id="647394398">
          <w:marLeft w:val="0"/>
          <w:marRight w:val="0"/>
          <w:marTop w:val="0"/>
          <w:marBottom w:val="0"/>
          <w:divBdr>
            <w:top w:val="none" w:sz="0" w:space="0" w:color="auto"/>
            <w:left w:val="none" w:sz="0" w:space="0" w:color="auto"/>
            <w:bottom w:val="none" w:sz="0" w:space="0" w:color="auto"/>
            <w:right w:val="none" w:sz="0" w:space="0" w:color="auto"/>
          </w:divBdr>
        </w:div>
      </w:divsChild>
    </w:div>
    <w:div w:id="1816337846">
      <w:bodyDiv w:val="1"/>
      <w:marLeft w:val="0"/>
      <w:marRight w:val="0"/>
      <w:marTop w:val="0"/>
      <w:marBottom w:val="0"/>
      <w:divBdr>
        <w:top w:val="none" w:sz="0" w:space="0" w:color="auto"/>
        <w:left w:val="none" w:sz="0" w:space="0" w:color="auto"/>
        <w:bottom w:val="none" w:sz="0" w:space="0" w:color="auto"/>
        <w:right w:val="none" w:sz="0" w:space="0" w:color="auto"/>
      </w:divBdr>
      <w:divsChild>
        <w:div w:id="280193244">
          <w:marLeft w:val="0"/>
          <w:marRight w:val="0"/>
          <w:marTop w:val="0"/>
          <w:marBottom w:val="0"/>
          <w:divBdr>
            <w:top w:val="none" w:sz="0" w:space="0" w:color="auto"/>
            <w:left w:val="none" w:sz="0" w:space="0" w:color="auto"/>
            <w:bottom w:val="none" w:sz="0" w:space="0" w:color="auto"/>
            <w:right w:val="none" w:sz="0" w:space="0" w:color="auto"/>
          </w:divBdr>
        </w:div>
        <w:div w:id="1993486343">
          <w:marLeft w:val="0"/>
          <w:marRight w:val="0"/>
          <w:marTop w:val="0"/>
          <w:marBottom w:val="0"/>
          <w:divBdr>
            <w:top w:val="none" w:sz="0" w:space="0" w:color="auto"/>
            <w:left w:val="none" w:sz="0" w:space="0" w:color="auto"/>
            <w:bottom w:val="none" w:sz="0" w:space="0" w:color="auto"/>
            <w:right w:val="none" w:sz="0" w:space="0" w:color="auto"/>
          </w:divBdr>
        </w:div>
        <w:div w:id="184711981">
          <w:marLeft w:val="0"/>
          <w:marRight w:val="0"/>
          <w:marTop w:val="0"/>
          <w:marBottom w:val="0"/>
          <w:divBdr>
            <w:top w:val="none" w:sz="0" w:space="0" w:color="auto"/>
            <w:left w:val="none" w:sz="0" w:space="0" w:color="auto"/>
            <w:bottom w:val="none" w:sz="0" w:space="0" w:color="auto"/>
            <w:right w:val="none" w:sz="0" w:space="0" w:color="auto"/>
          </w:divBdr>
        </w:div>
        <w:div w:id="689182490">
          <w:marLeft w:val="0"/>
          <w:marRight w:val="0"/>
          <w:marTop w:val="0"/>
          <w:marBottom w:val="0"/>
          <w:divBdr>
            <w:top w:val="none" w:sz="0" w:space="0" w:color="auto"/>
            <w:left w:val="none" w:sz="0" w:space="0" w:color="auto"/>
            <w:bottom w:val="none" w:sz="0" w:space="0" w:color="auto"/>
            <w:right w:val="none" w:sz="0" w:space="0" w:color="auto"/>
          </w:divBdr>
        </w:div>
        <w:div w:id="1288046344">
          <w:marLeft w:val="0"/>
          <w:marRight w:val="0"/>
          <w:marTop w:val="0"/>
          <w:marBottom w:val="0"/>
          <w:divBdr>
            <w:top w:val="none" w:sz="0" w:space="0" w:color="auto"/>
            <w:left w:val="none" w:sz="0" w:space="0" w:color="auto"/>
            <w:bottom w:val="none" w:sz="0" w:space="0" w:color="auto"/>
            <w:right w:val="none" w:sz="0" w:space="0" w:color="auto"/>
          </w:divBdr>
        </w:div>
        <w:div w:id="940453372">
          <w:marLeft w:val="0"/>
          <w:marRight w:val="0"/>
          <w:marTop w:val="0"/>
          <w:marBottom w:val="0"/>
          <w:divBdr>
            <w:top w:val="none" w:sz="0" w:space="0" w:color="auto"/>
            <w:left w:val="none" w:sz="0" w:space="0" w:color="auto"/>
            <w:bottom w:val="none" w:sz="0" w:space="0" w:color="auto"/>
            <w:right w:val="none" w:sz="0" w:space="0" w:color="auto"/>
          </w:divBdr>
        </w:div>
        <w:div w:id="787046968">
          <w:marLeft w:val="0"/>
          <w:marRight w:val="0"/>
          <w:marTop w:val="0"/>
          <w:marBottom w:val="0"/>
          <w:divBdr>
            <w:top w:val="none" w:sz="0" w:space="0" w:color="auto"/>
            <w:left w:val="none" w:sz="0" w:space="0" w:color="auto"/>
            <w:bottom w:val="none" w:sz="0" w:space="0" w:color="auto"/>
            <w:right w:val="none" w:sz="0" w:space="0" w:color="auto"/>
          </w:divBdr>
        </w:div>
        <w:div w:id="341278385">
          <w:marLeft w:val="0"/>
          <w:marRight w:val="0"/>
          <w:marTop w:val="0"/>
          <w:marBottom w:val="0"/>
          <w:divBdr>
            <w:top w:val="none" w:sz="0" w:space="0" w:color="auto"/>
            <w:left w:val="none" w:sz="0" w:space="0" w:color="auto"/>
            <w:bottom w:val="none" w:sz="0" w:space="0" w:color="auto"/>
            <w:right w:val="none" w:sz="0" w:space="0" w:color="auto"/>
          </w:divBdr>
        </w:div>
        <w:div w:id="1852599939">
          <w:marLeft w:val="0"/>
          <w:marRight w:val="0"/>
          <w:marTop w:val="0"/>
          <w:marBottom w:val="0"/>
          <w:divBdr>
            <w:top w:val="none" w:sz="0" w:space="0" w:color="auto"/>
            <w:left w:val="none" w:sz="0" w:space="0" w:color="auto"/>
            <w:bottom w:val="none" w:sz="0" w:space="0" w:color="auto"/>
            <w:right w:val="none" w:sz="0" w:space="0" w:color="auto"/>
          </w:divBdr>
        </w:div>
        <w:div w:id="1079055441">
          <w:marLeft w:val="0"/>
          <w:marRight w:val="0"/>
          <w:marTop w:val="0"/>
          <w:marBottom w:val="0"/>
          <w:divBdr>
            <w:top w:val="none" w:sz="0" w:space="0" w:color="auto"/>
            <w:left w:val="none" w:sz="0" w:space="0" w:color="auto"/>
            <w:bottom w:val="none" w:sz="0" w:space="0" w:color="auto"/>
            <w:right w:val="none" w:sz="0" w:space="0" w:color="auto"/>
          </w:divBdr>
        </w:div>
      </w:divsChild>
    </w:div>
    <w:div w:id="1820076401">
      <w:bodyDiv w:val="1"/>
      <w:marLeft w:val="0"/>
      <w:marRight w:val="0"/>
      <w:marTop w:val="0"/>
      <w:marBottom w:val="0"/>
      <w:divBdr>
        <w:top w:val="none" w:sz="0" w:space="0" w:color="auto"/>
        <w:left w:val="none" w:sz="0" w:space="0" w:color="auto"/>
        <w:bottom w:val="none" w:sz="0" w:space="0" w:color="auto"/>
        <w:right w:val="none" w:sz="0" w:space="0" w:color="auto"/>
      </w:divBdr>
      <w:divsChild>
        <w:div w:id="771972238">
          <w:marLeft w:val="0"/>
          <w:marRight w:val="0"/>
          <w:marTop w:val="0"/>
          <w:marBottom w:val="0"/>
          <w:divBdr>
            <w:top w:val="none" w:sz="0" w:space="0" w:color="auto"/>
            <w:left w:val="none" w:sz="0" w:space="0" w:color="auto"/>
            <w:bottom w:val="none" w:sz="0" w:space="0" w:color="auto"/>
            <w:right w:val="none" w:sz="0" w:space="0" w:color="auto"/>
          </w:divBdr>
        </w:div>
        <w:div w:id="1282802254">
          <w:marLeft w:val="0"/>
          <w:marRight w:val="0"/>
          <w:marTop w:val="0"/>
          <w:marBottom w:val="0"/>
          <w:divBdr>
            <w:top w:val="none" w:sz="0" w:space="0" w:color="auto"/>
            <w:left w:val="none" w:sz="0" w:space="0" w:color="auto"/>
            <w:bottom w:val="none" w:sz="0" w:space="0" w:color="auto"/>
            <w:right w:val="none" w:sz="0" w:space="0" w:color="auto"/>
          </w:divBdr>
        </w:div>
        <w:div w:id="2134902875">
          <w:marLeft w:val="0"/>
          <w:marRight w:val="0"/>
          <w:marTop w:val="0"/>
          <w:marBottom w:val="0"/>
          <w:divBdr>
            <w:top w:val="none" w:sz="0" w:space="0" w:color="auto"/>
            <w:left w:val="none" w:sz="0" w:space="0" w:color="auto"/>
            <w:bottom w:val="none" w:sz="0" w:space="0" w:color="auto"/>
            <w:right w:val="none" w:sz="0" w:space="0" w:color="auto"/>
          </w:divBdr>
        </w:div>
        <w:div w:id="465315355">
          <w:marLeft w:val="0"/>
          <w:marRight w:val="0"/>
          <w:marTop w:val="0"/>
          <w:marBottom w:val="0"/>
          <w:divBdr>
            <w:top w:val="none" w:sz="0" w:space="0" w:color="auto"/>
            <w:left w:val="none" w:sz="0" w:space="0" w:color="auto"/>
            <w:bottom w:val="none" w:sz="0" w:space="0" w:color="auto"/>
            <w:right w:val="none" w:sz="0" w:space="0" w:color="auto"/>
          </w:divBdr>
        </w:div>
        <w:div w:id="1572807815">
          <w:marLeft w:val="0"/>
          <w:marRight w:val="0"/>
          <w:marTop w:val="0"/>
          <w:marBottom w:val="0"/>
          <w:divBdr>
            <w:top w:val="none" w:sz="0" w:space="0" w:color="auto"/>
            <w:left w:val="none" w:sz="0" w:space="0" w:color="auto"/>
            <w:bottom w:val="none" w:sz="0" w:space="0" w:color="auto"/>
            <w:right w:val="none" w:sz="0" w:space="0" w:color="auto"/>
          </w:divBdr>
        </w:div>
        <w:div w:id="1675917992">
          <w:marLeft w:val="0"/>
          <w:marRight w:val="0"/>
          <w:marTop w:val="0"/>
          <w:marBottom w:val="0"/>
          <w:divBdr>
            <w:top w:val="none" w:sz="0" w:space="0" w:color="auto"/>
            <w:left w:val="none" w:sz="0" w:space="0" w:color="auto"/>
            <w:bottom w:val="none" w:sz="0" w:space="0" w:color="auto"/>
            <w:right w:val="none" w:sz="0" w:space="0" w:color="auto"/>
          </w:divBdr>
        </w:div>
        <w:div w:id="736167860">
          <w:marLeft w:val="0"/>
          <w:marRight w:val="0"/>
          <w:marTop w:val="0"/>
          <w:marBottom w:val="0"/>
          <w:divBdr>
            <w:top w:val="none" w:sz="0" w:space="0" w:color="auto"/>
            <w:left w:val="none" w:sz="0" w:space="0" w:color="auto"/>
            <w:bottom w:val="none" w:sz="0" w:space="0" w:color="auto"/>
            <w:right w:val="none" w:sz="0" w:space="0" w:color="auto"/>
          </w:divBdr>
        </w:div>
        <w:div w:id="200944126">
          <w:marLeft w:val="0"/>
          <w:marRight w:val="0"/>
          <w:marTop w:val="0"/>
          <w:marBottom w:val="0"/>
          <w:divBdr>
            <w:top w:val="none" w:sz="0" w:space="0" w:color="auto"/>
            <w:left w:val="none" w:sz="0" w:space="0" w:color="auto"/>
            <w:bottom w:val="none" w:sz="0" w:space="0" w:color="auto"/>
            <w:right w:val="none" w:sz="0" w:space="0" w:color="auto"/>
          </w:divBdr>
        </w:div>
        <w:div w:id="108017019">
          <w:marLeft w:val="0"/>
          <w:marRight w:val="0"/>
          <w:marTop w:val="0"/>
          <w:marBottom w:val="0"/>
          <w:divBdr>
            <w:top w:val="none" w:sz="0" w:space="0" w:color="auto"/>
            <w:left w:val="none" w:sz="0" w:space="0" w:color="auto"/>
            <w:bottom w:val="none" w:sz="0" w:space="0" w:color="auto"/>
            <w:right w:val="none" w:sz="0" w:space="0" w:color="auto"/>
          </w:divBdr>
        </w:div>
        <w:div w:id="1172649411">
          <w:marLeft w:val="0"/>
          <w:marRight w:val="0"/>
          <w:marTop w:val="0"/>
          <w:marBottom w:val="0"/>
          <w:divBdr>
            <w:top w:val="none" w:sz="0" w:space="0" w:color="auto"/>
            <w:left w:val="none" w:sz="0" w:space="0" w:color="auto"/>
            <w:bottom w:val="none" w:sz="0" w:space="0" w:color="auto"/>
            <w:right w:val="none" w:sz="0" w:space="0" w:color="auto"/>
          </w:divBdr>
        </w:div>
        <w:div w:id="159471952">
          <w:marLeft w:val="0"/>
          <w:marRight w:val="0"/>
          <w:marTop w:val="0"/>
          <w:marBottom w:val="0"/>
          <w:divBdr>
            <w:top w:val="none" w:sz="0" w:space="0" w:color="auto"/>
            <w:left w:val="none" w:sz="0" w:space="0" w:color="auto"/>
            <w:bottom w:val="none" w:sz="0" w:space="0" w:color="auto"/>
            <w:right w:val="none" w:sz="0" w:space="0" w:color="auto"/>
          </w:divBdr>
        </w:div>
        <w:div w:id="1912039427">
          <w:marLeft w:val="0"/>
          <w:marRight w:val="0"/>
          <w:marTop w:val="0"/>
          <w:marBottom w:val="0"/>
          <w:divBdr>
            <w:top w:val="none" w:sz="0" w:space="0" w:color="auto"/>
            <w:left w:val="none" w:sz="0" w:space="0" w:color="auto"/>
            <w:bottom w:val="none" w:sz="0" w:space="0" w:color="auto"/>
            <w:right w:val="none" w:sz="0" w:space="0" w:color="auto"/>
          </w:divBdr>
        </w:div>
        <w:div w:id="1343362991">
          <w:marLeft w:val="0"/>
          <w:marRight w:val="0"/>
          <w:marTop w:val="0"/>
          <w:marBottom w:val="0"/>
          <w:divBdr>
            <w:top w:val="none" w:sz="0" w:space="0" w:color="auto"/>
            <w:left w:val="none" w:sz="0" w:space="0" w:color="auto"/>
            <w:bottom w:val="none" w:sz="0" w:space="0" w:color="auto"/>
            <w:right w:val="none" w:sz="0" w:space="0" w:color="auto"/>
          </w:divBdr>
        </w:div>
        <w:div w:id="442456706">
          <w:marLeft w:val="0"/>
          <w:marRight w:val="0"/>
          <w:marTop w:val="0"/>
          <w:marBottom w:val="0"/>
          <w:divBdr>
            <w:top w:val="none" w:sz="0" w:space="0" w:color="auto"/>
            <w:left w:val="none" w:sz="0" w:space="0" w:color="auto"/>
            <w:bottom w:val="none" w:sz="0" w:space="0" w:color="auto"/>
            <w:right w:val="none" w:sz="0" w:space="0" w:color="auto"/>
          </w:divBdr>
        </w:div>
        <w:div w:id="1206792830">
          <w:marLeft w:val="0"/>
          <w:marRight w:val="0"/>
          <w:marTop w:val="0"/>
          <w:marBottom w:val="0"/>
          <w:divBdr>
            <w:top w:val="none" w:sz="0" w:space="0" w:color="auto"/>
            <w:left w:val="none" w:sz="0" w:space="0" w:color="auto"/>
            <w:bottom w:val="none" w:sz="0" w:space="0" w:color="auto"/>
            <w:right w:val="none" w:sz="0" w:space="0" w:color="auto"/>
          </w:divBdr>
        </w:div>
        <w:div w:id="295913663">
          <w:marLeft w:val="0"/>
          <w:marRight w:val="0"/>
          <w:marTop w:val="0"/>
          <w:marBottom w:val="0"/>
          <w:divBdr>
            <w:top w:val="none" w:sz="0" w:space="0" w:color="auto"/>
            <w:left w:val="none" w:sz="0" w:space="0" w:color="auto"/>
            <w:bottom w:val="none" w:sz="0" w:space="0" w:color="auto"/>
            <w:right w:val="none" w:sz="0" w:space="0" w:color="auto"/>
          </w:divBdr>
        </w:div>
        <w:div w:id="1673990152">
          <w:marLeft w:val="0"/>
          <w:marRight w:val="0"/>
          <w:marTop w:val="0"/>
          <w:marBottom w:val="0"/>
          <w:divBdr>
            <w:top w:val="none" w:sz="0" w:space="0" w:color="auto"/>
            <w:left w:val="none" w:sz="0" w:space="0" w:color="auto"/>
            <w:bottom w:val="none" w:sz="0" w:space="0" w:color="auto"/>
            <w:right w:val="none" w:sz="0" w:space="0" w:color="auto"/>
          </w:divBdr>
        </w:div>
        <w:div w:id="425931413">
          <w:marLeft w:val="0"/>
          <w:marRight w:val="0"/>
          <w:marTop w:val="0"/>
          <w:marBottom w:val="0"/>
          <w:divBdr>
            <w:top w:val="none" w:sz="0" w:space="0" w:color="auto"/>
            <w:left w:val="none" w:sz="0" w:space="0" w:color="auto"/>
            <w:bottom w:val="none" w:sz="0" w:space="0" w:color="auto"/>
            <w:right w:val="none" w:sz="0" w:space="0" w:color="auto"/>
          </w:divBdr>
        </w:div>
        <w:div w:id="436826764">
          <w:marLeft w:val="0"/>
          <w:marRight w:val="0"/>
          <w:marTop w:val="0"/>
          <w:marBottom w:val="0"/>
          <w:divBdr>
            <w:top w:val="none" w:sz="0" w:space="0" w:color="auto"/>
            <w:left w:val="none" w:sz="0" w:space="0" w:color="auto"/>
            <w:bottom w:val="none" w:sz="0" w:space="0" w:color="auto"/>
            <w:right w:val="none" w:sz="0" w:space="0" w:color="auto"/>
          </w:divBdr>
        </w:div>
        <w:div w:id="525994261">
          <w:marLeft w:val="0"/>
          <w:marRight w:val="0"/>
          <w:marTop w:val="0"/>
          <w:marBottom w:val="0"/>
          <w:divBdr>
            <w:top w:val="none" w:sz="0" w:space="0" w:color="auto"/>
            <w:left w:val="none" w:sz="0" w:space="0" w:color="auto"/>
            <w:bottom w:val="none" w:sz="0" w:space="0" w:color="auto"/>
            <w:right w:val="none" w:sz="0" w:space="0" w:color="auto"/>
          </w:divBdr>
        </w:div>
        <w:div w:id="1915897264">
          <w:marLeft w:val="0"/>
          <w:marRight w:val="0"/>
          <w:marTop w:val="0"/>
          <w:marBottom w:val="0"/>
          <w:divBdr>
            <w:top w:val="none" w:sz="0" w:space="0" w:color="auto"/>
            <w:left w:val="none" w:sz="0" w:space="0" w:color="auto"/>
            <w:bottom w:val="none" w:sz="0" w:space="0" w:color="auto"/>
            <w:right w:val="none" w:sz="0" w:space="0" w:color="auto"/>
          </w:divBdr>
        </w:div>
        <w:div w:id="530463273">
          <w:marLeft w:val="0"/>
          <w:marRight w:val="0"/>
          <w:marTop w:val="0"/>
          <w:marBottom w:val="0"/>
          <w:divBdr>
            <w:top w:val="none" w:sz="0" w:space="0" w:color="auto"/>
            <w:left w:val="none" w:sz="0" w:space="0" w:color="auto"/>
            <w:bottom w:val="none" w:sz="0" w:space="0" w:color="auto"/>
            <w:right w:val="none" w:sz="0" w:space="0" w:color="auto"/>
          </w:divBdr>
        </w:div>
        <w:div w:id="1139802826">
          <w:marLeft w:val="0"/>
          <w:marRight w:val="0"/>
          <w:marTop w:val="0"/>
          <w:marBottom w:val="0"/>
          <w:divBdr>
            <w:top w:val="none" w:sz="0" w:space="0" w:color="auto"/>
            <w:left w:val="none" w:sz="0" w:space="0" w:color="auto"/>
            <w:bottom w:val="none" w:sz="0" w:space="0" w:color="auto"/>
            <w:right w:val="none" w:sz="0" w:space="0" w:color="auto"/>
          </w:divBdr>
        </w:div>
        <w:div w:id="367876916">
          <w:marLeft w:val="0"/>
          <w:marRight w:val="0"/>
          <w:marTop w:val="0"/>
          <w:marBottom w:val="0"/>
          <w:divBdr>
            <w:top w:val="none" w:sz="0" w:space="0" w:color="auto"/>
            <w:left w:val="none" w:sz="0" w:space="0" w:color="auto"/>
            <w:bottom w:val="none" w:sz="0" w:space="0" w:color="auto"/>
            <w:right w:val="none" w:sz="0" w:space="0" w:color="auto"/>
          </w:divBdr>
        </w:div>
        <w:div w:id="1926062391">
          <w:marLeft w:val="0"/>
          <w:marRight w:val="0"/>
          <w:marTop w:val="0"/>
          <w:marBottom w:val="0"/>
          <w:divBdr>
            <w:top w:val="none" w:sz="0" w:space="0" w:color="auto"/>
            <w:left w:val="none" w:sz="0" w:space="0" w:color="auto"/>
            <w:bottom w:val="none" w:sz="0" w:space="0" w:color="auto"/>
            <w:right w:val="none" w:sz="0" w:space="0" w:color="auto"/>
          </w:divBdr>
        </w:div>
        <w:div w:id="355156017">
          <w:marLeft w:val="0"/>
          <w:marRight w:val="0"/>
          <w:marTop w:val="0"/>
          <w:marBottom w:val="0"/>
          <w:divBdr>
            <w:top w:val="none" w:sz="0" w:space="0" w:color="auto"/>
            <w:left w:val="none" w:sz="0" w:space="0" w:color="auto"/>
            <w:bottom w:val="none" w:sz="0" w:space="0" w:color="auto"/>
            <w:right w:val="none" w:sz="0" w:space="0" w:color="auto"/>
          </w:divBdr>
        </w:div>
        <w:div w:id="836772649">
          <w:marLeft w:val="0"/>
          <w:marRight w:val="0"/>
          <w:marTop w:val="0"/>
          <w:marBottom w:val="0"/>
          <w:divBdr>
            <w:top w:val="none" w:sz="0" w:space="0" w:color="auto"/>
            <w:left w:val="none" w:sz="0" w:space="0" w:color="auto"/>
            <w:bottom w:val="none" w:sz="0" w:space="0" w:color="auto"/>
            <w:right w:val="none" w:sz="0" w:space="0" w:color="auto"/>
          </w:divBdr>
        </w:div>
        <w:div w:id="1824352641">
          <w:marLeft w:val="0"/>
          <w:marRight w:val="0"/>
          <w:marTop w:val="0"/>
          <w:marBottom w:val="0"/>
          <w:divBdr>
            <w:top w:val="none" w:sz="0" w:space="0" w:color="auto"/>
            <w:left w:val="none" w:sz="0" w:space="0" w:color="auto"/>
            <w:bottom w:val="none" w:sz="0" w:space="0" w:color="auto"/>
            <w:right w:val="none" w:sz="0" w:space="0" w:color="auto"/>
          </w:divBdr>
        </w:div>
        <w:div w:id="362823388">
          <w:marLeft w:val="0"/>
          <w:marRight w:val="0"/>
          <w:marTop w:val="0"/>
          <w:marBottom w:val="0"/>
          <w:divBdr>
            <w:top w:val="none" w:sz="0" w:space="0" w:color="auto"/>
            <w:left w:val="none" w:sz="0" w:space="0" w:color="auto"/>
            <w:bottom w:val="none" w:sz="0" w:space="0" w:color="auto"/>
            <w:right w:val="none" w:sz="0" w:space="0" w:color="auto"/>
          </w:divBdr>
        </w:div>
        <w:div w:id="477504433">
          <w:marLeft w:val="0"/>
          <w:marRight w:val="0"/>
          <w:marTop w:val="0"/>
          <w:marBottom w:val="0"/>
          <w:divBdr>
            <w:top w:val="none" w:sz="0" w:space="0" w:color="auto"/>
            <w:left w:val="none" w:sz="0" w:space="0" w:color="auto"/>
            <w:bottom w:val="none" w:sz="0" w:space="0" w:color="auto"/>
            <w:right w:val="none" w:sz="0" w:space="0" w:color="auto"/>
          </w:divBdr>
        </w:div>
        <w:div w:id="1475634457">
          <w:marLeft w:val="0"/>
          <w:marRight w:val="0"/>
          <w:marTop w:val="0"/>
          <w:marBottom w:val="0"/>
          <w:divBdr>
            <w:top w:val="none" w:sz="0" w:space="0" w:color="auto"/>
            <w:left w:val="none" w:sz="0" w:space="0" w:color="auto"/>
            <w:bottom w:val="none" w:sz="0" w:space="0" w:color="auto"/>
            <w:right w:val="none" w:sz="0" w:space="0" w:color="auto"/>
          </w:divBdr>
        </w:div>
        <w:div w:id="55713783">
          <w:marLeft w:val="0"/>
          <w:marRight w:val="0"/>
          <w:marTop w:val="0"/>
          <w:marBottom w:val="0"/>
          <w:divBdr>
            <w:top w:val="none" w:sz="0" w:space="0" w:color="auto"/>
            <w:left w:val="none" w:sz="0" w:space="0" w:color="auto"/>
            <w:bottom w:val="none" w:sz="0" w:space="0" w:color="auto"/>
            <w:right w:val="none" w:sz="0" w:space="0" w:color="auto"/>
          </w:divBdr>
        </w:div>
        <w:div w:id="1787308096">
          <w:marLeft w:val="0"/>
          <w:marRight w:val="0"/>
          <w:marTop w:val="0"/>
          <w:marBottom w:val="0"/>
          <w:divBdr>
            <w:top w:val="none" w:sz="0" w:space="0" w:color="auto"/>
            <w:left w:val="none" w:sz="0" w:space="0" w:color="auto"/>
            <w:bottom w:val="none" w:sz="0" w:space="0" w:color="auto"/>
            <w:right w:val="none" w:sz="0" w:space="0" w:color="auto"/>
          </w:divBdr>
        </w:div>
        <w:div w:id="716128874">
          <w:marLeft w:val="0"/>
          <w:marRight w:val="0"/>
          <w:marTop w:val="0"/>
          <w:marBottom w:val="0"/>
          <w:divBdr>
            <w:top w:val="none" w:sz="0" w:space="0" w:color="auto"/>
            <w:left w:val="none" w:sz="0" w:space="0" w:color="auto"/>
            <w:bottom w:val="none" w:sz="0" w:space="0" w:color="auto"/>
            <w:right w:val="none" w:sz="0" w:space="0" w:color="auto"/>
          </w:divBdr>
        </w:div>
        <w:div w:id="2036073626">
          <w:marLeft w:val="0"/>
          <w:marRight w:val="0"/>
          <w:marTop w:val="0"/>
          <w:marBottom w:val="0"/>
          <w:divBdr>
            <w:top w:val="none" w:sz="0" w:space="0" w:color="auto"/>
            <w:left w:val="none" w:sz="0" w:space="0" w:color="auto"/>
            <w:bottom w:val="none" w:sz="0" w:space="0" w:color="auto"/>
            <w:right w:val="none" w:sz="0" w:space="0" w:color="auto"/>
          </w:divBdr>
        </w:div>
        <w:div w:id="338504066">
          <w:marLeft w:val="0"/>
          <w:marRight w:val="0"/>
          <w:marTop w:val="0"/>
          <w:marBottom w:val="0"/>
          <w:divBdr>
            <w:top w:val="none" w:sz="0" w:space="0" w:color="auto"/>
            <w:left w:val="none" w:sz="0" w:space="0" w:color="auto"/>
            <w:bottom w:val="none" w:sz="0" w:space="0" w:color="auto"/>
            <w:right w:val="none" w:sz="0" w:space="0" w:color="auto"/>
          </w:divBdr>
        </w:div>
        <w:div w:id="1903636692">
          <w:marLeft w:val="0"/>
          <w:marRight w:val="0"/>
          <w:marTop w:val="0"/>
          <w:marBottom w:val="0"/>
          <w:divBdr>
            <w:top w:val="none" w:sz="0" w:space="0" w:color="auto"/>
            <w:left w:val="none" w:sz="0" w:space="0" w:color="auto"/>
            <w:bottom w:val="none" w:sz="0" w:space="0" w:color="auto"/>
            <w:right w:val="none" w:sz="0" w:space="0" w:color="auto"/>
          </w:divBdr>
        </w:div>
        <w:div w:id="1339383899">
          <w:marLeft w:val="0"/>
          <w:marRight w:val="0"/>
          <w:marTop w:val="0"/>
          <w:marBottom w:val="0"/>
          <w:divBdr>
            <w:top w:val="none" w:sz="0" w:space="0" w:color="auto"/>
            <w:left w:val="none" w:sz="0" w:space="0" w:color="auto"/>
            <w:bottom w:val="none" w:sz="0" w:space="0" w:color="auto"/>
            <w:right w:val="none" w:sz="0" w:space="0" w:color="auto"/>
          </w:divBdr>
        </w:div>
        <w:div w:id="454519060">
          <w:marLeft w:val="0"/>
          <w:marRight w:val="0"/>
          <w:marTop w:val="0"/>
          <w:marBottom w:val="0"/>
          <w:divBdr>
            <w:top w:val="none" w:sz="0" w:space="0" w:color="auto"/>
            <w:left w:val="none" w:sz="0" w:space="0" w:color="auto"/>
            <w:bottom w:val="none" w:sz="0" w:space="0" w:color="auto"/>
            <w:right w:val="none" w:sz="0" w:space="0" w:color="auto"/>
          </w:divBdr>
        </w:div>
        <w:div w:id="1375697136">
          <w:marLeft w:val="0"/>
          <w:marRight w:val="0"/>
          <w:marTop w:val="0"/>
          <w:marBottom w:val="0"/>
          <w:divBdr>
            <w:top w:val="none" w:sz="0" w:space="0" w:color="auto"/>
            <w:left w:val="none" w:sz="0" w:space="0" w:color="auto"/>
            <w:bottom w:val="none" w:sz="0" w:space="0" w:color="auto"/>
            <w:right w:val="none" w:sz="0" w:space="0" w:color="auto"/>
          </w:divBdr>
        </w:div>
        <w:div w:id="890458142">
          <w:marLeft w:val="0"/>
          <w:marRight w:val="0"/>
          <w:marTop w:val="0"/>
          <w:marBottom w:val="0"/>
          <w:divBdr>
            <w:top w:val="none" w:sz="0" w:space="0" w:color="auto"/>
            <w:left w:val="none" w:sz="0" w:space="0" w:color="auto"/>
            <w:bottom w:val="none" w:sz="0" w:space="0" w:color="auto"/>
            <w:right w:val="none" w:sz="0" w:space="0" w:color="auto"/>
          </w:divBdr>
        </w:div>
        <w:div w:id="851799278">
          <w:marLeft w:val="0"/>
          <w:marRight w:val="0"/>
          <w:marTop w:val="0"/>
          <w:marBottom w:val="0"/>
          <w:divBdr>
            <w:top w:val="none" w:sz="0" w:space="0" w:color="auto"/>
            <w:left w:val="none" w:sz="0" w:space="0" w:color="auto"/>
            <w:bottom w:val="none" w:sz="0" w:space="0" w:color="auto"/>
            <w:right w:val="none" w:sz="0" w:space="0" w:color="auto"/>
          </w:divBdr>
        </w:div>
        <w:div w:id="441531919">
          <w:marLeft w:val="0"/>
          <w:marRight w:val="0"/>
          <w:marTop w:val="0"/>
          <w:marBottom w:val="0"/>
          <w:divBdr>
            <w:top w:val="none" w:sz="0" w:space="0" w:color="auto"/>
            <w:left w:val="none" w:sz="0" w:space="0" w:color="auto"/>
            <w:bottom w:val="none" w:sz="0" w:space="0" w:color="auto"/>
            <w:right w:val="none" w:sz="0" w:space="0" w:color="auto"/>
          </w:divBdr>
        </w:div>
        <w:div w:id="1333921365">
          <w:marLeft w:val="0"/>
          <w:marRight w:val="0"/>
          <w:marTop w:val="0"/>
          <w:marBottom w:val="0"/>
          <w:divBdr>
            <w:top w:val="none" w:sz="0" w:space="0" w:color="auto"/>
            <w:left w:val="none" w:sz="0" w:space="0" w:color="auto"/>
            <w:bottom w:val="none" w:sz="0" w:space="0" w:color="auto"/>
            <w:right w:val="none" w:sz="0" w:space="0" w:color="auto"/>
          </w:divBdr>
        </w:div>
        <w:div w:id="1648821592">
          <w:marLeft w:val="0"/>
          <w:marRight w:val="0"/>
          <w:marTop w:val="0"/>
          <w:marBottom w:val="0"/>
          <w:divBdr>
            <w:top w:val="none" w:sz="0" w:space="0" w:color="auto"/>
            <w:left w:val="none" w:sz="0" w:space="0" w:color="auto"/>
            <w:bottom w:val="none" w:sz="0" w:space="0" w:color="auto"/>
            <w:right w:val="none" w:sz="0" w:space="0" w:color="auto"/>
          </w:divBdr>
        </w:div>
        <w:div w:id="241646289">
          <w:marLeft w:val="0"/>
          <w:marRight w:val="0"/>
          <w:marTop w:val="0"/>
          <w:marBottom w:val="0"/>
          <w:divBdr>
            <w:top w:val="none" w:sz="0" w:space="0" w:color="auto"/>
            <w:left w:val="none" w:sz="0" w:space="0" w:color="auto"/>
            <w:bottom w:val="none" w:sz="0" w:space="0" w:color="auto"/>
            <w:right w:val="none" w:sz="0" w:space="0" w:color="auto"/>
          </w:divBdr>
        </w:div>
        <w:div w:id="2047949869">
          <w:marLeft w:val="0"/>
          <w:marRight w:val="0"/>
          <w:marTop w:val="0"/>
          <w:marBottom w:val="0"/>
          <w:divBdr>
            <w:top w:val="none" w:sz="0" w:space="0" w:color="auto"/>
            <w:left w:val="none" w:sz="0" w:space="0" w:color="auto"/>
            <w:bottom w:val="none" w:sz="0" w:space="0" w:color="auto"/>
            <w:right w:val="none" w:sz="0" w:space="0" w:color="auto"/>
          </w:divBdr>
        </w:div>
        <w:div w:id="339048624">
          <w:marLeft w:val="0"/>
          <w:marRight w:val="0"/>
          <w:marTop w:val="0"/>
          <w:marBottom w:val="0"/>
          <w:divBdr>
            <w:top w:val="none" w:sz="0" w:space="0" w:color="auto"/>
            <w:left w:val="none" w:sz="0" w:space="0" w:color="auto"/>
            <w:bottom w:val="none" w:sz="0" w:space="0" w:color="auto"/>
            <w:right w:val="none" w:sz="0" w:space="0" w:color="auto"/>
          </w:divBdr>
        </w:div>
        <w:div w:id="898596227">
          <w:marLeft w:val="0"/>
          <w:marRight w:val="0"/>
          <w:marTop w:val="0"/>
          <w:marBottom w:val="0"/>
          <w:divBdr>
            <w:top w:val="none" w:sz="0" w:space="0" w:color="auto"/>
            <w:left w:val="none" w:sz="0" w:space="0" w:color="auto"/>
            <w:bottom w:val="none" w:sz="0" w:space="0" w:color="auto"/>
            <w:right w:val="none" w:sz="0" w:space="0" w:color="auto"/>
          </w:divBdr>
        </w:div>
        <w:div w:id="623124119">
          <w:marLeft w:val="0"/>
          <w:marRight w:val="0"/>
          <w:marTop w:val="0"/>
          <w:marBottom w:val="0"/>
          <w:divBdr>
            <w:top w:val="none" w:sz="0" w:space="0" w:color="auto"/>
            <w:left w:val="none" w:sz="0" w:space="0" w:color="auto"/>
            <w:bottom w:val="none" w:sz="0" w:space="0" w:color="auto"/>
            <w:right w:val="none" w:sz="0" w:space="0" w:color="auto"/>
          </w:divBdr>
        </w:div>
        <w:div w:id="163399795">
          <w:marLeft w:val="0"/>
          <w:marRight w:val="0"/>
          <w:marTop w:val="0"/>
          <w:marBottom w:val="0"/>
          <w:divBdr>
            <w:top w:val="none" w:sz="0" w:space="0" w:color="auto"/>
            <w:left w:val="none" w:sz="0" w:space="0" w:color="auto"/>
            <w:bottom w:val="none" w:sz="0" w:space="0" w:color="auto"/>
            <w:right w:val="none" w:sz="0" w:space="0" w:color="auto"/>
          </w:divBdr>
        </w:div>
        <w:div w:id="2123182270">
          <w:marLeft w:val="0"/>
          <w:marRight w:val="0"/>
          <w:marTop w:val="0"/>
          <w:marBottom w:val="0"/>
          <w:divBdr>
            <w:top w:val="none" w:sz="0" w:space="0" w:color="auto"/>
            <w:left w:val="none" w:sz="0" w:space="0" w:color="auto"/>
            <w:bottom w:val="none" w:sz="0" w:space="0" w:color="auto"/>
            <w:right w:val="none" w:sz="0" w:space="0" w:color="auto"/>
          </w:divBdr>
        </w:div>
        <w:div w:id="1857233607">
          <w:marLeft w:val="0"/>
          <w:marRight w:val="0"/>
          <w:marTop w:val="0"/>
          <w:marBottom w:val="0"/>
          <w:divBdr>
            <w:top w:val="none" w:sz="0" w:space="0" w:color="auto"/>
            <w:left w:val="none" w:sz="0" w:space="0" w:color="auto"/>
            <w:bottom w:val="none" w:sz="0" w:space="0" w:color="auto"/>
            <w:right w:val="none" w:sz="0" w:space="0" w:color="auto"/>
          </w:divBdr>
        </w:div>
        <w:div w:id="835463777">
          <w:marLeft w:val="0"/>
          <w:marRight w:val="0"/>
          <w:marTop w:val="0"/>
          <w:marBottom w:val="0"/>
          <w:divBdr>
            <w:top w:val="none" w:sz="0" w:space="0" w:color="auto"/>
            <w:left w:val="none" w:sz="0" w:space="0" w:color="auto"/>
            <w:bottom w:val="none" w:sz="0" w:space="0" w:color="auto"/>
            <w:right w:val="none" w:sz="0" w:space="0" w:color="auto"/>
          </w:divBdr>
        </w:div>
        <w:div w:id="1415973111">
          <w:marLeft w:val="0"/>
          <w:marRight w:val="0"/>
          <w:marTop w:val="0"/>
          <w:marBottom w:val="0"/>
          <w:divBdr>
            <w:top w:val="none" w:sz="0" w:space="0" w:color="auto"/>
            <w:left w:val="none" w:sz="0" w:space="0" w:color="auto"/>
            <w:bottom w:val="none" w:sz="0" w:space="0" w:color="auto"/>
            <w:right w:val="none" w:sz="0" w:space="0" w:color="auto"/>
          </w:divBdr>
        </w:div>
        <w:div w:id="1902788444">
          <w:marLeft w:val="0"/>
          <w:marRight w:val="0"/>
          <w:marTop w:val="0"/>
          <w:marBottom w:val="0"/>
          <w:divBdr>
            <w:top w:val="none" w:sz="0" w:space="0" w:color="auto"/>
            <w:left w:val="none" w:sz="0" w:space="0" w:color="auto"/>
            <w:bottom w:val="none" w:sz="0" w:space="0" w:color="auto"/>
            <w:right w:val="none" w:sz="0" w:space="0" w:color="auto"/>
          </w:divBdr>
        </w:div>
        <w:div w:id="1476873778">
          <w:marLeft w:val="0"/>
          <w:marRight w:val="0"/>
          <w:marTop w:val="0"/>
          <w:marBottom w:val="0"/>
          <w:divBdr>
            <w:top w:val="none" w:sz="0" w:space="0" w:color="auto"/>
            <w:left w:val="none" w:sz="0" w:space="0" w:color="auto"/>
            <w:bottom w:val="none" w:sz="0" w:space="0" w:color="auto"/>
            <w:right w:val="none" w:sz="0" w:space="0" w:color="auto"/>
          </w:divBdr>
        </w:div>
        <w:div w:id="2025472027">
          <w:marLeft w:val="0"/>
          <w:marRight w:val="0"/>
          <w:marTop w:val="0"/>
          <w:marBottom w:val="0"/>
          <w:divBdr>
            <w:top w:val="none" w:sz="0" w:space="0" w:color="auto"/>
            <w:left w:val="none" w:sz="0" w:space="0" w:color="auto"/>
            <w:bottom w:val="none" w:sz="0" w:space="0" w:color="auto"/>
            <w:right w:val="none" w:sz="0" w:space="0" w:color="auto"/>
          </w:divBdr>
        </w:div>
        <w:div w:id="1737195433">
          <w:marLeft w:val="0"/>
          <w:marRight w:val="0"/>
          <w:marTop w:val="0"/>
          <w:marBottom w:val="0"/>
          <w:divBdr>
            <w:top w:val="none" w:sz="0" w:space="0" w:color="auto"/>
            <w:left w:val="none" w:sz="0" w:space="0" w:color="auto"/>
            <w:bottom w:val="none" w:sz="0" w:space="0" w:color="auto"/>
            <w:right w:val="none" w:sz="0" w:space="0" w:color="auto"/>
          </w:divBdr>
        </w:div>
        <w:div w:id="867913439">
          <w:marLeft w:val="0"/>
          <w:marRight w:val="0"/>
          <w:marTop w:val="0"/>
          <w:marBottom w:val="0"/>
          <w:divBdr>
            <w:top w:val="none" w:sz="0" w:space="0" w:color="auto"/>
            <w:left w:val="none" w:sz="0" w:space="0" w:color="auto"/>
            <w:bottom w:val="none" w:sz="0" w:space="0" w:color="auto"/>
            <w:right w:val="none" w:sz="0" w:space="0" w:color="auto"/>
          </w:divBdr>
        </w:div>
        <w:div w:id="1900169828">
          <w:marLeft w:val="0"/>
          <w:marRight w:val="0"/>
          <w:marTop w:val="0"/>
          <w:marBottom w:val="0"/>
          <w:divBdr>
            <w:top w:val="none" w:sz="0" w:space="0" w:color="auto"/>
            <w:left w:val="none" w:sz="0" w:space="0" w:color="auto"/>
            <w:bottom w:val="none" w:sz="0" w:space="0" w:color="auto"/>
            <w:right w:val="none" w:sz="0" w:space="0" w:color="auto"/>
          </w:divBdr>
        </w:div>
        <w:div w:id="166598673">
          <w:marLeft w:val="0"/>
          <w:marRight w:val="0"/>
          <w:marTop w:val="0"/>
          <w:marBottom w:val="0"/>
          <w:divBdr>
            <w:top w:val="none" w:sz="0" w:space="0" w:color="auto"/>
            <w:left w:val="none" w:sz="0" w:space="0" w:color="auto"/>
            <w:bottom w:val="none" w:sz="0" w:space="0" w:color="auto"/>
            <w:right w:val="none" w:sz="0" w:space="0" w:color="auto"/>
          </w:divBdr>
        </w:div>
        <w:div w:id="1250625979">
          <w:marLeft w:val="0"/>
          <w:marRight w:val="0"/>
          <w:marTop w:val="0"/>
          <w:marBottom w:val="0"/>
          <w:divBdr>
            <w:top w:val="none" w:sz="0" w:space="0" w:color="auto"/>
            <w:left w:val="none" w:sz="0" w:space="0" w:color="auto"/>
            <w:bottom w:val="none" w:sz="0" w:space="0" w:color="auto"/>
            <w:right w:val="none" w:sz="0" w:space="0" w:color="auto"/>
          </w:divBdr>
        </w:div>
        <w:div w:id="1376544483">
          <w:marLeft w:val="0"/>
          <w:marRight w:val="0"/>
          <w:marTop w:val="0"/>
          <w:marBottom w:val="0"/>
          <w:divBdr>
            <w:top w:val="none" w:sz="0" w:space="0" w:color="auto"/>
            <w:left w:val="none" w:sz="0" w:space="0" w:color="auto"/>
            <w:bottom w:val="none" w:sz="0" w:space="0" w:color="auto"/>
            <w:right w:val="none" w:sz="0" w:space="0" w:color="auto"/>
          </w:divBdr>
        </w:div>
        <w:div w:id="1205678456">
          <w:marLeft w:val="0"/>
          <w:marRight w:val="0"/>
          <w:marTop w:val="0"/>
          <w:marBottom w:val="0"/>
          <w:divBdr>
            <w:top w:val="none" w:sz="0" w:space="0" w:color="auto"/>
            <w:left w:val="none" w:sz="0" w:space="0" w:color="auto"/>
            <w:bottom w:val="none" w:sz="0" w:space="0" w:color="auto"/>
            <w:right w:val="none" w:sz="0" w:space="0" w:color="auto"/>
          </w:divBdr>
        </w:div>
        <w:div w:id="1346051526">
          <w:marLeft w:val="0"/>
          <w:marRight w:val="0"/>
          <w:marTop w:val="0"/>
          <w:marBottom w:val="0"/>
          <w:divBdr>
            <w:top w:val="none" w:sz="0" w:space="0" w:color="auto"/>
            <w:left w:val="none" w:sz="0" w:space="0" w:color="auto"/>
            <w:bottom w:val="none" w:sz="0" w:space="0" w:color="auto"/>
            <w:right w:val="none" w:sz="0" w:space="0" w:color="auto"/>
          </w:divBdr>
        </w:div>
        <w:div w:id="1394499426">
          <w:marLeft w:val="0"/>
          <w:marRight w:val="0"/>
          <w:marTop w:val="0"/>
          <w:marBottom w:val="0"/>
          <w:divBdr>
            <w:top w:val="none" w:sz="0" w:space="0" w:color="auto"/>
            <w:left w:val="none" w:sz="0" w:space="0" w:color="auto"/>
            <w:bottom w:val="none" w:sz="0" w:space="0" w:color="auto"/>
            <w:right w:val="none" w:sz="0" w:space="0" w:color="auto"/>
          </w:divBdr>
        </w:div>
        <w:div w:id="1636986199">
          <w:marLeft w:val="0"/>
          <w:marRight w:val="0"/>
          <w:marTop w:val="0"/>
          <w:marBottom w:val="0"/>
          <w:divBdr>
            <w:top w:val="none" w:sz="0" w:space="0" w:color="auto"/>
            <w:left w:val="none" w:sz="0" w:space="0" w:color="auto"/>
            <w:bottom w:val="none" w:sz="0" w:space="0" w:color="auto"/>
            <w:right w:val="none" w:sz="0" w:space="0" w:color="auto"/>
          </w:divBdr>
        </w:div>
        <w:div w:id="1299526680">
          <w:marLeft w:val="0"/>
          <w:marRight w:val="0"/>
          <w:marTop w:val="0"/>
          <w:marBottom w:val="0"/>
          <w:divBdr>
            <w:top w:val="none" w:sz="0" w:space="0" w:color="auto"/>
            <w:left w:val="none" w:sz="0" w:space="0" w:color="auto"/>
            <w:bottom w:val="none" w:sz="0" w:space="0" w:color="auto"/>
            <w:right w:val="none" w:sz="0" w:space="0" w:color="auto"/>
          </w:divBdr>
        </w:div>
        <w:div w:id="175506295">
          <w:marLeft w:val="0"/>
          <w:marRight w:val="0"/>
          <w:marTop w:val="0"/>
          <w:marBottom w:val="0"/>
          <w:divBdr>
            <w:top w:val="none" w:sz="0" w:space="0" w:color="auto"/>
            <w:left w:val="none" w:sz="0" w:space="0" w:color="auto"/>
            <w:bottom w:val="none" w:sz="0" w:space="0" w:color="auto"/>
            <w:right w:val="none" w:sz="0" w:space="0" w:color="auto"/>
          </w:divBdr>
        </w:div>
        <w:div w:id="54280919">
          <w:marLeft w:val="0"/>
          <w:marRight w:val="0"/>
          <w:marTop w:val="0"/>
          <w:marBottom w:val="0"/>
          <w:divBdr>
            <w:top w:val="none" w:sz="0" w:space="0" w:color="auto"/>
            <w:left w:val="none" w:sz="0" w:space="0" w:color="auto"/>
            <w:bottom w:val="none" w:sz="0" w:space="0" w:color="auto"/>
            <w:right w:val="none" w:sz="0" w:space="0" w:color="auto"/>
          </w:divBdr>
        </w:div>
        <w:div w:id="1625505839">
          <w:marLeft w:val="0"/>
          <w:marRight w:val="0"/>
          <w:marTop w:val="0"/>
          <w:marBottom w:val="0"/>
          <w:divBdr>
            <w:top w:val="none" w:sz="0" w:space="0" w:color="auto"/>
            <w:left w:val="none" w:sz="0" w:space="0" w:color="auto"/>
            <w:bottom w:val="none" w:sz="0" w:space="0" w:color="auto"/>
            <w:right w:val="none" w:sz="0" w:space="0" w:color="auto"/>
          </w:divBdr>
        </w:div>
      </w:divsChild>
    </w:div>
    <w:div w:id="1826505984">
      <w:bodyDiv w:val="1"/>
      <w:marLeft w:val="0"/>
      <w:marRight w:val="0"/>
      <w:marTop w:val="0"/>
      <w:marBottom w:val="0"/>
      <w:divBdr>
        <w:top w:val="none" w:sz="0" w:space="0" w:color="auto"/>
        <w:left w:val="none" w:sz="0" w:space="0" w:color="auto"/>
        <w:bottom w:val="none" w:sz="0" w:space="0" w:color="auto"/>
        <w:right w:val="none" w:sz="0" w:space="0" w:color="auto"/>
      </w:divBdr>
      <w:divsChild>
        <w:div w:id="138114912">
          <w:marLeft w:val="0"/>
          <w:marRight w:val="0"/>
          <w:marTop w:val="0"/>
          <w:marBottom w:val="0"/>
          <w:divBdr>
            <w:top w:val="none" w:sz="0" w:space="0" w:color="auto"/>
            <w:left w:val="none" w:sz="0" w:space="0" w:color="auto"/>
            <w:bottom w:val="none" w:sz="0" w:space="0" w:color="auto"/>
            <w:right w:val="none" w:sz="0" w:space="0" w:color="auto"/>
          </w:divBdr>
        </w:div>
        <w:div w:id="1231428201">
          <w:marLeft w:val="0"/>
          <w:marRight w:val="0"/>
          <w:marTop w:val="0"/>
          <w:marBottom w:val="0"/>
          <w:divBdr>
            <w:top w:val="none" w:sz="0" w:space="0" w:color="auto"/>
            <w:left w:val="none" w:sz="0" w:space="0" w:color="auto"/>
            <w:bottom w:val="none" w:sz="0" w:space="0" w:color="auto"/>
            <w:right w:val="none" w:sz="0" w:space="0" w:color="auto"/>
          </w:divBdr>
        </w:div>
        <w:div w:id="1146045747">
          <w:marLeft w:val="0"/>
          <w:marRight w:val="0"/>
          <w:marTop w:val="0"/>
          <w:marBottom w:val="0"/>
          <w:divBdr>
            <w:top w:val="none" w:sz="0" w:space="0" w:color="auto"/>
            <w:left w:val="none" w:sz="0" w:space="0" w:color="auto"/>
            <w:bottom w:val="none" w:sz="0" w:space="0" w:color="auto"/>
            <w:right w:val="none" w:sz="0" w:space="0" w:color="auto"/>
          </w:divBdr>
        </w:div>
        <w:div w:id="1057819190">
          <w:marLeft w:val="0"/>
          <w:marRight w:val="0"/>
          <w:marTop w:val="0"/>
          <w:marBottom w:val="0"/>
          <w:divBdr>
            <w:top w:val="none" w:sz="0" w:space="0" w:color="auto"/>
            <w:left w:val="none" w:sz="0" w:space="0" w:color="auto"/>
            <w:bottom w:val="none" w:sz="0" w:space="0" w:color="auto"/>
            <w:right w:val="none" w:sz="0" w:space="0" w:color="auto"/>
          </w:divBdr>
        </w:div>
        <w:div w:id="1346055646">
          <w:marLeft w:val="0"/>
          <w:marRight w:val="0"/>
          <w:marTop w:val="0"/>
          <w:marBottom w:val="0"/>
          <w:divBdr>
            <w:top w:val="none" w:sz="0" w:space="0" w:color="auto"/>
            <w:left w:val="none" w:sz="0" w:space="0" w:color="auto"/>
            <w:bottom w:val="none" w:sz="0" w:space="0" w:color="auto"/>
            <w:right w:val="none" w:sz="0" w:space="0" w:color="auto"/>
          </w:divBdr>
        </w:div>
        <w:div w:id="961964583">
          <w:marLeft w:val="0"/>
          <w:marRight w:val="0"/>
          <w:marTop w:val="0"/>
          <w:marBottom w:val="0"/>
          <w:divBdr>
            <w:top w:val="none" w:sz="0" w:space="0" w:color="auto"/>
            <w:left w:val="none" w:sz="0" w:space="0" w:color="auto"/>
            <w:bottom w:val="none" w:sz="0" w:space="0" w:color="auto"/>
            <w:right w:val="none" w:sz="0" w:space="0" w:color="auto"/>
          </w:divBdr>
        </w:div>
        <w:div w:id="2083915857">
          <w:marLeft w:val="0"/>
          <w:marRight w:val="0"/>
          <w:marTop w:val="0"/>
          <w:marBottom w:val="0"/>
          <w:divBdr>
            <w:top w:val="none" w:sz="0" w:space="0" w:color="auto"/>
            <w:left w:val="none" w:sz="0" w:space="0" w:color="auto"/>
            <w:bottom w:val="none" w:sz="0" w:space="0" w:color="auto"/>
            <w:right w:val="none" w:sz="0" w:space="0" w:color="auto"/>
          </w:divBdr>
        </w:div>
        <w:div w:id="576481771">
          <w:marLeft w:val="0"/>
          <w:marRight w:val="0"/>
          <w:marTop w:val="0"/>
          <w:marBottom w:val="0"/>
          <w:divBdr>
            <w:top w:val="none" w:sz="0" w:space="0" w:color="auto"/>
            <w:left w:val="none" w:sz="0" w:space="0" w:color="auto"/>
            <w:bottom w:val="none" w:sz="0" w:space="0" w:color="auto"/>
            <w:right w:val="none" w:sz="0" w:space="0" w:color="auto"/>
          </w:divBdr>
        </w:div>
        <w:div w:id="246885796">
          <w:marLeft w:val="0"/>
          <w:marRight w:val="0"/>
          <w:marTop w:val="0"/>
          <w:marBottom w:val="0"/>
          <w:divBdr>
            <w:top w:val="none" w:sz="0" w:space="0" w:color="auto"/>
            <w:left w:val="none" w:sz="0" w:space="0" w:color="auto"/>
            <w:bottom w:val="none" w:sz="0" w:space="0" w:color="auto"/>
            <w:right w:val="none" w:sz="0" w:space="0" w:color="auto"/>
          </w:divBdr>
        </w:div>
        <w:div w:id="306932740">
          <w:marLeft w:val="0"/>
          <w:marRight w:val="0"/>
          <w:marTop w:val="0"/>
          <w:marBottom w:val="0"/>
          <w:divBdr>
            <w:top w:val="none" w:sz="0" w:space="0" w:color="auto"/>
            <w:left w:val="none" w:sz="0" w:space="0" w:color="auto"/>
            <w:bottom w:val="none" w:sz="0" w:space="0" w:color="auto"/>
            <w:right w:val="none" w:sz="0" w:space="0" w:color="auto"/>
          </w:divBdr>
        </w:div>
        <w:div w:id="35008812">
          <w:marLeft w:val="0"/>
          <w:marRight w:val="0"/>
          <w:marTop w:val="0"/>
          <w:marBottom w:val="0"/>
          <w:divBdr>
            <w:top w:val="none" w:sz="0" w:space="0" w:color="auto"/>
            <w:left w:val="none" w:sz="0" w:space="0" w:color="auto"/>
            <w:bottom w:val="none" w:sz="0" w:space="0" w:color="auto"/>
            <w:right w:val="none" w:sz="0" w:space="0" w:color="auto"/>
          </w:divBdr>
        </w:div>
        <w:div w:id="118107121">
          <w:marLeft w:val="0"/>
          <w:marRight w:val="0"/>
          <w:marTop w:val="0"/>
          <w:marBottom w:val="0"/>
          <w:divBdr>
            <w:top w:val="none" w:sz="0" w:space="0" w:color="auto"/>
            <w:left w:val="none" w:sz="0" w:space="0" w:color="auto"/>
            <w:bottom w:val="none" w:sz="0" w:space="0" w:color="auto"/>
            <w:right w:val="none" w:sz="0" w:space="0" w:color="auto"/>
          </w:divBdr>
        </w:div>
        <w:div w:id="1364549825">
          <w:marLeft w:val="0"/>
          <w:marRight w:val="0"/>
          <w:marTop w:val="0"/>
          <w:marBottom w:val="0"/>
          <w:divBdr>
            <w:top w:val="none" w:sz="0" w:space="0" w:color="auto"/>
            <w:left w:val="none" w:sz="0" w:space="0" w:color="auto"/>
            <w:bottom w:val="none" w:sz="0" w:space="0" w:color="auto"/>
            <w:right w:val="none" w:sz="0" w:space="0" w:color="auto"/>
          </w:divBdr>
        </w:div>
        <w:div w:id="2106228125">
          <w:marLeft w:val="0"/>
          <w:marRight w:val="0"/>
          <w:marTop w:val="0"/>
          <w:marBottom w:val="0"/>
          <w:divBdr>
            <w:top w:val="none" w:sz="0" w:space="0" w:color="auto"/>
            <w:left w:val="none" w:sz="0" w:space="0" w:color="auto"/>
            <w:bottom w:val="none" w:sz="0" w:space="0" w:color="auto"/>
            <w:right w:val="none" w:sz="0" w:space="0" w:color="auto"/>
          </w:divBdr>
        </w:div>
        <w:div w:id="487140291">
          <w:marLeft w:val="0"/>
          <w:marRight w:val="0"/>
          <w:marTop w:val="0"/>
          <w:marBottom w:val="0"/>
          <w:divBdr>
            <w:top w:val="none" w:sz="0" w:space="0" w:color="auto"/>
            <w:left w:val="none" w:sz="0" w:space="0" w:color="auto"/>
            <w:bottom w:val="none" w:sz="0" w:space="0" w:color="auto"/>
            <w:right w:val="none" w:sz="0" w:space="0" w:color="auto"/>
          </w:divBdr>
        </w:div>
        <w:div w:id="1975939872">
          <w:marLeft w:val="0"/>
          <w:marRight w:val="0"/>
          <w:marTop w:val="0"/>
          <w:marBottom w:val="0"/>
          <w:divBdr>
            <w:top w:val="none" w:sz="0" w:space="0" w:color="auto"/>
            <w:left w:val="none" w:sz="0" w:space="0" w:color="auto"/>
            <w:bottom w:val="none" w:sz="0" w:space="0" w:color="auto"/>
            <w:right w:val="none" w:sz="0" w:space="0" w:color="auto"/>
          </w:divBdr>
        </w:div>
        <w:div w:id="1095901919">
          <w:marLeft w:val="0"/>
          <w:marRight w:val="0"/>
          <w:marTop w:val="0"/>
          <w:marBottom w:val="0"/>
          <w:divBdr>
            <w:top w:val="none" w:sz="0" w:space="0" w:color="auto"/>
            <w:left w:val="none" w:sz="0" w:space="0" w:color="auto"/>
            <w:bottom w:val="none" w:sz="0" w:space="0" w:color="auto"/>
            <w:right w:val="none" w:sz="0" w:space="0" w:color="auto"/>
          </w:divBdr>
        </w:div>
        <w:div w:id="1191147580">
          <w:marLeft w:val="0"/>
          <w:marRight w:val="0"/>
          <w:marTop w:val="0"/>
          <w:marBottom w:val="0"/>
          <w:divBdr>
            <w:top w:val="none" w:sz="0" w:space="0" w:color="auto"/>
            <w:left w:val="none" w:sz="0" w:space="0" w:color="auto"/>
            <w:bottom w:val="none" w:sz="0" w:space="0" w:color="auto"/>
            <w:right w:val="none" w:sz="0" w:space="0" w:color="auto"/>
          </w:divBdr>
        </w:div>
        <w:div w:id="919682618">
          <w:marLeft w:val="0"/>
          <w:marRight w:val="0"/>
          <w:marTop w:val="0"/>
          <w:marBottom w:val="0"/>
          <w:divBdr>
            <w:top w:val="none" w:sz="0" w:space="0" w:color="auto"/>
            <w:left w:val="none" w:sz="0" w:space="0" w:color="auto"/>
            <w:bottom w:val="none" w:sz="0" w:space="0" w:color="auto"/>
            <w:right w:val="none" w:sz="0" w:space="0" w:color="auto"/>
          </w:divBdr>
        </w:div>
        <w:div w:id="1449665295">
          <w:marLeft w:val="0"/>
          <w:marRight w:val="0"/>
          <w:marTop w:val="0"/>
          <w:marBottom w:val="0"/>
          <w:divBdr>
            <w:top w:val="none" w:sz="0" w:space="0" w:color="auto"/>
            <w:left w:val="none" w:sz="0" w:space="0" w:color="auto"/>
            <w:bottom w:val="none" w:sz="0" w:space="0" w:color="auto"/>
            <w:right w:val="none" w:sz="0" w:space="0" w:color="auto"/>
          </w:divBdr>
        </w:div>
        <w:div w:id="2100757488">
          <w:marLeft w:val="0"/>
          <w:marRight w:val="0"/>
          <w:marTop w:val="0"/>
          <w:marBottom w:val="0"/>
          <w:divBdr>
            <w:top w:val="none" w:sz="0" w:space="0" w:color="auto"/>
            <w:left w:val="none" w:sz="0" w:space="0" w:color="auto"/>
            <w:bottom w:val="none" w:sz="0" w:space="0" w:color="auto"/>
            <w:right w:val="none" w:sz="0" w:space="0" w:color="auto"/>
          </w:divBdr>
        </w:div>
        <w:div w:id="123236036">
          <w:marLeft w:val="0"/>
          <w:marRight w:val="0"/>
          <w:marTop w:val="0"/>
          <w:marBottom w:val="0"/>
          <w:divBdr>
            <w:top w:val="none" w:sz="0" w:space="0" w:color="auto"/>
            <w:left w:val="none" w:sz="0" w:space="0" w:color="auto"/>
            <w:bottom w:val="none" w:sz="0" w:space="0" w:color="auto"/>
            <w:right w:val="none" w:sz="0" w:space="0" w:color="auto"/>
          </w:divBdr>
        </w:div>
        <w:div w:id="1858077174">
          <w:marLeft w:val="0"/>
          <w:marRight w:val="0"/>
          <w:marTop w:val="0"/>
          <w:marBottom w:val="0"/>
          <w:divBdr>
            <w:top w:val="none" w:sz="0" w:space="0" w:color="auto"/>
            <w:left w:val="none" w:sz="0" w:space="0" w:color="auto"/>
            <w:bottom w:val="none" w:sz="0" w:space="0" w:color="auto"/>
            <w:right w:val="none" w:sz="0" w:space="0" w:color="auto"/>
          </w:divBdr>
        </w:div>
        <w:div w:id="1387684678">
          <w:marLeft w:val="0"/>
          <w:marRight w:val="0"/>
          <w:marTop w:val="0"/>
          <w:marBottom w:val="0"/>
          <w:divBdr>
            <w:top w:val="none" w:sz="0" w:space="0" w:color="auto"/>
            <w:left w:val="none" w:sz="0" w:space="0" w:color="auto"/>
            <w:bottom w:val="none" w:sz="0" w:space="0" w:color="auto"/>
            <w:right w:val="none" w:sz="0" w:space="0" w:color="auto"/>
          </w:divBdr>
        </w:div>
        <w:div w:id="229733561">
          <w:marLeft w:val="0"/>
          <w:marRight w:val="0"/>
          <w:marTop w:val="0"/>
          <w:marBottom w:val="0"/>
          <w:divBdr>
            <w:top w:val="none" w:sz="0" w:space="0" w:color="auto"/>
            <w:left w:val="none" w:sz="0" w:space="0" w:color="auto"/>
            <w:bottom w:val="none" w:sz="0" w:space="0" w:color="auto"/>
            <w:right w:val="none" w:sz="0" w:space="0" w:color="auto"/>
          </w:divBdr>
        </w:div>
        <w:div w:id="2054382859">
          <w:marLeft w:val="0"/>
          <w:marRight w:val="0"/>
          <w:marTop w:val="0"/>
          <w:marBottom w:val="0"/>
          <w:divBdr>
            <w:top w:val="none" w:sz="0" w:space="0" w:color="auto"/>
            <w:left w:val="none" w:sz="0" w:space="0" w:color="auto"/>
            <w:bottom w:val="none" w:sz="0" w:space="0" w:color="auto"/>
            <w:right w:val="none" w:sz="0" w:space="0" w:color="auto"/>
          </w:divBdr>
        </w:div>
        <w:div w:id="84692261">
          <w:marLeft w:val="0"/>
          <w:marRight w:val="0"/>
          <w:marTop w:val="0"/>
          <w:marBottom w:val="0"/>
          <w:divBdr>
            <w:top w:val="none" w:sz="0" w:space="0" w:color="auto"/>
            <w:left w:val="none" w:sz="0" w:space="0" w:color="auto"/>
            <w:bottom w:val="none" w:sz="0" w:space="0" w:color="auto"/>
            <w:right w:val="none" w:sz="0" w:space="0" w:color="auto"/>
          </w:divBdr>
        </w:div>
        <w:div w:id="488978811">
          <w:marLeft w:val="0"/>
          <w:marRight w:val="0"/>
          <w:marTop w:val="0"/>
          <w:marBottom w:val="0"/>
          <w:divBdr>
            <w:top w:val="none" w:sz="0" w:space="0" w:color="auto"/>
            <w:left w:val="none" w:sz="0" w:space="0" w:color="auto"/>
            <w:bottom w:val="none" w:sz="0" w:space="0" w:color="auto"/>
            <w:right w:val="none" w:sz="0" w:space="0" w:color="auto"/>
          </w:divBdr>
        </w:div>
        <w:div w:id="883055579">
          <w:marLeft w:val="0"/>
          <w:marRight w:val="0"/>
          <w:marTop w:val="0"/>
          <w:marBottom w:val="0"/>
          <w:divBdr>
            <w:top w:val="none" w:sz="0" w:space="0" w:color="auto"/>
            <w:left w:val="none" w:sz="0" w:space="0" w:color="auto"/>
            <w:bottom w:val="none" w:sz="0" w:space="0" w:color="auto"/>
            <w:right w:val="none" w:sz="0" w:space="0" w:color="auto"/>
          </w:divBdr>
        </w:div>
        <w:div w:id="2105370651">
          <w:marLeft w:val="0"/>
          <w:marRight w:val="0"/>
          <w:marTop w:val="0"/>
          <w:marBottom w:val="0"/>
          <w:divBdr>
            <w:top w:val="none" w:sz="0" w:space="0" w:color="auto"/>
            <w:left w:val="none" w:sz="0" w:space="0" w:color="auto"/>
            <w:bottom w:val="none" w:sz="0" w:space="0" w:color="auto"/>
            <w:right w:val="none" w:sz="0" w:space="0" w:color="auto"/>
          </w:divBdr>
        </w:div>
        <w:div w:id="2072535694">
          <w:marLeft w:val="0"/>
          <w:marRight w:val="0"/>
          <w:marTop w:val="0"/>
          <w:marBottom w:val="0"/>
          <w:divBdr>
            <w:top w:val="none" w:sz="0" w:space="0" w:color="auto"/>
            <w:left w:val="none" w:sz="0" w:space="0" w:color="auto"/>
            <w:bottom w:val="none" w:sz="0" w:space="0" w:color="auto"/>
            <w:right w:val="none" w:sz="0" w:space="0" w:color="auto"/>
          </w:divBdr>
        </w:div>
        <w:div w:id="268663065">
          <w:marLeft w:val="0"/>
          <w:marRight w:val="0"/>
          <w:marTop w:val="0"/>
          <w:marBottom w:val="0"/>
          <w:divBdr>
            <w:top w:val="none" w:sz="0" w:space="0" w:color="auto"/>
            <w:left w:val="none" w:sz="0" w:space="0" w:color="auto"/>
            <w:bottom w:val="none" w:sz="0" w:space="0" w:color="auto"/>
            <w:right w:val="none" w:sz="0" w:space="0" w:color="auto"/>
          </w:divBdr>
        </w:div>
        <w:div w:id="1625695793">
          <w:marLeft w:val="0"/>
          <w:marRight w:val="0"/>
          <w:marTop w:val="0"/>
          <w:marBottom w:val="0"/>
          <w:divBdr>
            <w:top w:val="none" w:sz="0" w:space="0" w:color="auto"/>
            <w:left w:val="none" w:sz="0" w:space="0" w:color="auto"/>
            <w:bottom w:val="none" w:sz="0" w:space="0" w:color="auto"/>
            <w:right w:val="none" w:sz="0" w:space="0" w:color="auto"/>
          </w:divBdr>
        </w:div>
        <w:div w:id="1226720560">
          <w:marLeft w:val="0"/>
          <w:marRight w:val="0"/>
          <w:marTop w:val="0"/>
          <w:marBottom w:val="0"/>
          <w:divBdr>
            <w:top w:val="none" w:sz="0" w:space="0" w:color="auto"/>
            <w:left w:val="none" w:sz="0" w:space="0" w:color="auto"/>
            <w:bottom w:val="none" w:sz="0" w:space="0" w:color="auto"/>
            <w:right w:val="none" w:sz="0" w:space="0" w:color="auto"/>
          </w:divBdr>
        </w:div>
        <w:div w:id="1286227939">
          <w:marLeft w:val="0"/>
          <w:marRight w:val="0"/>
          <w:marTop w:val="0"/>
          <w:marBottom w:val="0"/>
          <w:divBdr>
            <w:top w:val="none" w:sz="0" w:space="0" w:color="auto"/>
            <w:left w:val="none" w:sz="0" w:space="0" w:color="auto"/>
            <w:bottom w:val="none" w:sz="0" w:space="0" w:color="auto"/>
            <w:right w:val="none" w:sz="0" w:space="0" w:color="auto"/>
          </w:divBdr>
        </w:div>
      </w:divsChild>
    </w:div>
    <w:div w:id="18580788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78">
          <w:marLeft w:val="0"/>
          <w:marRight w:val="0"/>
          <w:marTop w:val="0"/>
          <w:marBottom w:val="0"/>
          <w:divBdr>
            <w:top w:val="none" w:sz="0" w:space="0" w:color="auto"/>
            <w:left w:val="none" w:sz="0" w:space="0" w:color="auto"/>
            <w:bottom w:val="none" w:sz="0" w:space="0" w:color="auto"/>
            <w:right w:val="none" w:sz="0" w:space="0" w:color="auto"/>
          </w:divBdr>
        </w:div>
        <w:div w:id="1138567837">
          <w:marLeft w:val="0"/>
          <w:marRight w:val="0"/>
          <w:marTop w:val="0"/>
          <w:marBottom w:val="0"/>
          <w:divBdr>
            <w:top w:val="none" w:sz="0" w:space="0" w:color="auto"/>
            <w:left w:val="none" w:sz="0" w:space="0" w:color="auto"/>
            <w:bottom w:val="none" w:sz="0" w:space="0" w:color="auto"/>
            <w:right w:val="none" w:sz="0" w:space="0" w:color="auto"/>
          </w:divBdr>
        </w:div>
        <w:div w:id="1675916672">
          <w:marLeft w:val="0"/>
          <w:marRight w:val="0"/>
          <w:marTop w:val="0"/>
          <w:marBottom w:val="0"/>
          <w:divBdr>
            <w:top w:val="none" w:sz="0" w:space="0" w:color="auto"/>
            <w:left w:val="none" w:sz="0" w:space="0" w:color="auto"/>
            <w:bottom w:val="none" w:sz="0" w:space="0" w:color="auto"/>
            <w:right w:val="none" w:sz="0" w:space="0" w:color="auto"/>
          </w:divBdr>
        </w:div>
        <w:div w:id="1324821971">
          <w:marLeft w:val="0"/>
          <w:marRight w:val="0"/>
          <w:marTop w:val="0"/>
          <w:marBottom w:val="0"/>
          <w:divBdr>
            <w:top w:val="none" w:sz="0" w:space="0" w:color="auto"/>
            <w:left w:val="none" w:sz="0" w:space="0" w:color="auto"/>
            <w:bottom w:val="none" w:sz="0" w:space="0" w:color="auto"/>
            <w:right w:val="none" w:sz="0" w:space="0" w:color="auto"/>
          </w:divBdr>
        </w:div>
        <w:div w:id="424497481">
          <w:marLeft w:val="0"/>
          <w:marRight w:val="0"/>
          <w:marTop w:val="0"/>
          <w:marBottom w:val="0"/>
          <w:divBdr>
            <w:top w:val="none" w:sz="0" w:space="0" w:color="auto"/>
            <w:left w:val="none" w:sz="0" w:space="0" w:color="auto"/>
            <w:bottom w:val="none" w:sz="0" w:space="0" w:color="auto"/>
            <w:right w:val="none" w:sz="0" w:space="0" w:color="auto"/>
          </w:divBdr>
        </w:div>
        <w:div w:id="2013289657">
          <w:marLeft w:val="0"/>
          <w:marRight w:val="0"/>
          <w:marTop w:val="0"/>
          <w:marBottom w:val="0"/>
          <w:divBdr>
            <w:top w:val="none" w:sz="0" w:space="0" w:color="auto"/>
            <w:left w:val="none" w:sz="0" w:space="0" w:color="auto"/>
            <w:bottom w:val="none" w:sz="0" w:space="0" w:color="auto"/>
            <w:right w:val="none" w:sz="0" w:space="0" w:color="auto"/>
          </w:divBdr>
        </w:div>
        <w:div w:id="1147744735">
          <w:marLeft w:val="0"/>
          <w:marRight w:val="0"/>
          <w:marTop w:val="0"/>
          <w:marBottom w:val="0"/>
          <w:divBdr>
            <w:top w:val="none" w:sz="0" w:space="0" w:color="auto"/>
            <w:left w:val="none" w:sz="0" w:space="0" w:color="auto"/>
            <w:bottom w:val="none" w:sz="0" w:space="0" w:color="auto"/>
            <w:right w:val="none" w:sz="0" w:space="0" w:color="auto"/>
          </w:divBdr>
        </w:div>
        <w:div w:id="1483498870">
          <w:marLeft w:val="0"/>
          <w:marRight w:val="0"/>
          <w:marTop w:val="0"/>
          <w:marBottom w:val="0"/>
          <w:divBdr>
            <w:top w:val="none" w:sz="0" w:space="0" w:color="auto"/>
            <w:left w:val="none" w:sz="0" w:space="0" w:color="auto"/>
            <w:bottom w:val="none" w:sz="0" w:space="0" w:color="auto"/>
            <w:right w:val="none" w:sz="0" w:space="0" w:color="auto"/>
          </w:divBdr>
        </w:div>
        <w:div w:id="374627411">
          <w:marLeft w:val="0"/>
          <w:marRight w:val="0"/>
          <w:marTop w:val="0"/>
          <w:marBottom w:val="0"/>
          <w:divBdr>
            <w:top w:val="none" w:sz="0" w:space="0" w:color="auto"/>
            <w:left w:val="none" w:sz="0" w:space="0" w:color="auto"/>
            <w:bottom w:val="none" w:sz="0" w:space="0" w:color="auto"/>
            <w:right w:val="none" w:sz="0" w:space="0" w:color="auto"/>
          </w:divBdr>
        </w:div>
        <w:div w:id="1864710306">
          <w:marLeft w:val="0"/>
          <w:marRight w:val="0"/>
          <w:marTop w:val="0"/>
          <w:marBottom w:val="0"/>
          <w:divBdr>
            <w:top w:val="none" w:sz="0" w:space="0" w:color="auto"/>
            <w:left w:val="none" w:sz="0" w:space="0" w:color="auto"/>
            <w:bottom w:val="none" w:sz="0" w:space="0" w:color="auto"/>
            <w:right w:val="none" w:sz="0" w:space="0" w:color="auto"/>
          </w:divBdr>
        </w:div>
        <w:div w:id="810829120">
          <w:marLeft w:val="0"/>
          <w:marRight w:val="0"/>
          <w:marTop w:val="0"/>
          <w:marBottom w:val="0"/>
          <w:divBdr>
            <w:top w:val="none" w:sz="0" w:space="0" w:color="auto"/>
            <w:left w:val="none" w:sz="0" w:space="0" w:color="auto"/>
            <w:bottom w:val="none" w:sz="0" w:space="0" w:color="auto"/>
            <w:right w:val="none" w:sz="0" w:space="0" w:color="auto"/>
          </w:divBdr>
        </w:div>
        <w:div w:id="1400597480">
          <w:marLeft w:val="0"/>
          <w:marRight w:val="0"/>
          <w:marTop w:val="0"/>
          <w:marBottom w:val="0"/>
          <w:divBdr>
            <w:top w:val="none" w:sz="0" w:space="0" w:color="auto"/>
            <w:left w:val="none" w:sz="0" w:space="0" w:color="auto"/>
            <w:bottom w:val="none" w:sz="0" w:space="0" w:color="auto"/>
            <w:right w:val="none" w:sz="0" w:space="0" w:color="auto"/>
          </w:divBdr>
        </w:div>
        <w:div w:id="1449860224">
          <w:marLeft w:val="0"/>
          <w:marRight w:val="0"/>
          <w:marTop w:val="0"/>
          <w:marBottom w:val="0"/>
          <w:divBdr>
            <w:top w:val="none" w:sz="0" w:space="0" w:color="auto"/>
            <w:left w:val="none" w:sz="0" w:space="0" w:color="auto"/>
            <w:bottom w:val="none" w:sz="0" w:space="0" w:color="auto"/>
            <w:right w:val="none" w:sz="0" w:space="0" w:color="auto"/>
          </w:divBdr>
        </w:div>
        <w:div w:id="1966040226">
          <w:marLeft w:val="0"/>
          <w:marRight w:val="0"/>
          <w:marTop w:val="0"/>
          <w:marBottom w:val="0"/>
          <w:divBdr>
            <w:top w:val="none" w:sz="0" w:space="0" w:color="auto"/>
            <w:left w:val="none" w:sz="0" w:space="0" w:color="auto"/>
            <w:bottom w:val="none" w:sz="0" w:space="0" w:color="auto"/>
            <w:right w:val="none" w:sz="0" w:space="0" w:color="auto"/>
          </w:divBdr>
        </w:div>
        <w:div w:id="1363827876">
          <w:marLeft w:val="0"/>
          <w:marRight w:val="0"/>
          <w:marTop w:val="0"/>
          <w:marBottom w:val="0"/>
          <w:divBdr>
            <w:top w:val="none" w:sz="0" w:space="0" w:color="auto"/>
            <w:left w:val="none" w:sz="0" w:space="0" w:color="auto"/>
            <w:bottom w:val="none" w:sz="0" w:space="0" w:color="auto"/>
            <w:right w:val="none" w:sz="0" w:space="0" w:color="auto"/>
          </w:divBdr>
        </w:div>
        <w:div w:id="532617385">
          <w:marLeft w:val="0"/>
          <w:marRight w:val="0"/>
          <w:marTop w:val="0"/>
          <w:marBottom w:val="0"/>
          <w:divBdr>
            <w:top w:val="none" w:sz="0" w:space="0" w:color="auto"/>
            <w:left w:val="none" w:sz="0" w:space="0" w:color="auto"/>
            <w:bottom w:val="none" w:sz="0" w:space="0" w:color="auto"/>
            <w:right w:val="none" w:sz="0" w:space="0" w:color="auto"/>
          </w:divBdr>
        </w:div>
        <w:div w:id="216555221">
          <w:marLeft w:val="0"/>
          <w:marRight w:val="0"/>
          <w:marTop w:val="0"/>
          <w:marBottom w:val="0"/>
          <w:divBdr>
            <w:top w:val="none" w:sz="0" w:space="0" w:color="auto"/>
            <w:left w:val="none" w:sz="0" w:space="0" w:color="auto"/>
            <w:bottom w:val="none" w:sz="0" w:space="0" w:color="auto"/>
            <w:right w:val="none" w:sz="0" w:space="0" w:color="auto"/>
          </w:divBdr>
        </w:div>
        <w:div w:id="953287112">
          <w:marLeft w:val="0"/>
          <w:marRight w:val="0"/>
          <w:marTop w:val="0"/>
          <w:marBottom w:val="0"/>
          <w:divBdr>
            <w:top w:val="none" w:sz="0" w:space="0" w:color="auto"/>
            <w:left w:val="none" w:sz="0" w:space="0" w:color="auto"/>
            <w:bottom w:val="none" w:sz="0" w:space="0" w:color="auto"/>
            <w:right w:val="none" w:sz="0" w:space="0" w:color="auto"/>
          </w:divBdr>
        </w:div>
        <w:div w:id="1405685490">
          <w:marLeft w:val="0"/>
          <w:marRight w:val="0"/>
          <w:marTop w:val="0"/>
          <w:marBottom w:val="0"/>
          <w:divBdr>
            <w:top w:val="none" w:sz="0" w:space="0" w:color="auto"/>
            <w:left w:val="none" w:sz="0" w:space="0" w:color="auto"/>
            <w:bottom w:val="none" w:sz="0" w:space="0" w:color="auto"/>
            <w:right w:val="none" w:sz="0" w:space="0" w:color="auto"/>
          </w:divBdr>
        </w:div>
        <w:div w:id="2006202473">
          <w:marLeft w:val="0"/>
          <w:marRight w:val="0"/>
          <w:marTop w:val="0"/>
          <w:marBottom w:val="0"/>
          <w:divBdr>
            <w:top w:val="none" w:sz="0" w:space="0" w:color="auto"/>
            <w:left w:val="none" w:sz="0" w:space="0" w:color="auto"/>
            <w:bottom w:val="none" w:sz="0" w:space="0" w:color="auto"/>
            <w:right w:val="none" w:sz="0" w:space="0" w:color="auto"/>
          </w:divBdr>
        </w:div>
        <w:div w:id="908080292">
          <w:marLeft w:val="0"/>
          <w:marRight w:val="0"/>
          <w:marTop w:val="0"/>
          <w:marBottom w:val="0"/>
          <w:divBdr>
            <w:top w:val="none" w:sz="0" w:space="0" w:color="auto"/>
            <w:left w:val="none" w:sz="0" w:space="0" w:color="auto"/>
            <w:bottom w:val="none" w:sz="0" w:space="0" w:color="auto"/>
            <w:right w:val="none" w:sz="0" w:space="0" w:color="auto"/>
          </w:divBdr>
        </w:div>
        <w:div w:id="176889644">
          <w:marLeft w:val="0"/>
          <w:marRight w:val="0"/>
          <w:marTop w:val="0"/>
          <w:marBottom w:val="0"/>
          <w:divBdr>
            <w:top w:val="none" w:sz="0" w:space="0" w:color="auto"/>
            <w:left w:val="none" w:sz="0" w:space="0" w:color="auto"/>
            <w:bottom w:val="none" w:sz="0" w:space="0" w:color="auto"/>
            <w:right w:val="none" w:sz="0" w:space="0" w:color="auto"/>
          </w:divBdr>
        </w:div>
      </w:divsChild>
    </w:div>
    <w:div w:id="1868447651">
      <w:bodyDiv w:val="1"/>
      <w:marLeft w:val="0"/>
      <w:marRight w:val="0"/>
      <w:marTop w:val="0"/>
      <w:marBottom w:val="0"/>
      <w:divBdr>
        <w:top w:val="none" w:sz="0" w:space="0" w:color="auto"/>
        <w:left w:val="none" w:sz="0" w:space="0" w:color="auto"/>
        <w:bottom w:val="none" w:sz="0" w:space="0" w:color="auto"/>
        <w:right w:val="none" w:sz="0" w:space="0" w:color="auto"/>
      </w:divBdr>
      <w:divsChild>
        <w:div w:id="1127511203">
          <w:marLeft w:val="0"/>
          <w:marRight w:val="0"/>
          <w:marTop w:val="0"/>
          <w:marBottom w:val="0"/>
          <w:divBdr>
            <w:top w:val="none" w:sz="0" w:space="0" w:color="auto"/>
            <w:left w:val="none" w:sz="0" w:space="0" w:color="auto"/>
            <w:bottom w:val="none" w:sz="0" w:space="0" w:color="auto"/>
            <w:right w:val="none" w:sz="0" w:space="0" w:color="auto"/>
          </w:divBdr>
        </w:div>
        <w:div w:id="1124427154">
          <w:marLeft w:val="0"/>
          <w:marRight w:val="0"/>
          <w:marTop w:val="0"/>
          <w:marBottom w:val="0"/>
          <w:divBdr>
            <w:top w:val="none" w:sz="0" w:space="0" w:color="auto"/>
            <w:left w:val="none" w:sz="0" w:space="0" w:color="auto"/>
            <w:bottom w:val="none" w:sz="0" w:space="0" w:color="auto"/>
            <w:right w:val="none" w:sz="0" w:space="0" w:color="auto"/>
          </w:divBdr>
        </w:div>
        <w:div w:id="749737948">
          <w:marLeft w:val="0"/>
          <w:marRight w:val="0"/>
          <w:marTop w:val="0"/>
          <w:marBottom w:val="0"/>
          <w:divBdr>
            <w:top w:val="none" w:sz="0" w:space="0" w:color="auto"/>
            <w:left w:val="none" w:sz="0" w:space="0" w:color="auto"/>
            <w:bottom w:val="none" w:sz="0" w:space="0" w:color="auto"/>
            <w:right w:val="none" w:sz="0" w:space="0" w:color="auto"/>
          </w:divBdr>
        </w:div>
      </w:divsChild>
    </w:div>
    <w:div w:id="1877809208">
      <w:bodyDiv w:val="1"/>
      <w:marLeft w:val="0"/>
      <w:marRight w:val="0"/>
      <w:marTop w:val="0"/>
      <w:marBottom w:val="0"/>
      <w:divBdr>
        <w:top w:val="none" w:sz="0" w:space="0" w:color="auto"/>
        <w:left w:val="none" w:sz="0" w:space="0" w:color="auto"/>
        <w:bottom w:val="none" w:sz="0" w:space="0" w:color="auto"/>
        <w:right w:val="none" w:sz="0" w:space="0" w:color="auto"/>
      </w:divBdr>
    </w:div>
    <w:div w:id="1884948172">
      <w:bodyDiv w:val="1"/>
      <w:marLeft w:val="0"/>
      <w:marRight w:val="0"/>
      <w:marTop w:val="0"/>
      <w:marBottom w:val="0"/>
      <w:divBdr>
        <w:top w:val="none" w:sz="0" w:space="0" w:color="auto"/>
        <w:left w:val="none" w:sz="0" w:space="0" w:color="auto"/>
        <w:bottom w:val="none" w:sz="0" w:space="0" w:color="auto"/>
        <w:right w:val="none" w:sz="0" w:space="0" w:color="auto"/>
      </w:divBdr>
      <w:divsChild>
        <w:div w:id="30812345">
          <w:marLeft w:val="0"/>
          <w:marRight w:val="0"/>
          <w:marTop w:val="0"/>
          <w:marBottom w:val="0"/>
          <w:divBdr>
            <w:top w:val="none" w:sz="0" w:space="0" w:color="auto"/>
            <w:left w:val="none" w:sz="0" w:space="0" w:color="auto"/>
            <w:bottom w:val="none" w:sz="0" w:space="0" w:color="auto"/>
            <w:right w:val="none" w:sz="0" w:space="0" w:color="auto"/>
          </w:divBdr>
        </w:div>
        <w:div w:id="1460026017">
          <w:marLeft w:val="0"/>
          <w:marRight w:val="0"/>
          <w:marTop w:val="0"/>
          <w:marBottom w:val="0"/>
          <w:divBdr>
            <w:top w:val="none" w:sz="0" w:space="0" w:color="auto"/>
            <w:left w:val="none" w:sz="0" w:space="0" w:color="auto"/>
            <w:bottom w:val="none" w:sz="0" w:space="0" w:color="auto"/>
            <w:right w:val="none" w:sz="0" w:space="0" w:color="auto"/>
          </w:divBdr>
        </w:div>
        <w:div w:id="1087731188">
          <w:marLeft w:val="0"/>
          <w:marRight w:val="0"/>
          <w:marTop w:val="0"/>
          <w:marBottom w:val="0"/>
          <w:divBdr>
            <w:top w:val="none" w:sz="0" w:space="0" w:color="auto"/>
            <w:left w:val="none" w:sz="0" w:space="0" w:color="auto"/>
            <w:bottom w:val="none" w:sz="0" w:space="0" w:color="auto"/>
            <w:right w:val="none" w:sz="0" w:space="0" w:color="auto"/>
          </w:divBdr>
        </w:div>
        <w:div w:id="1079594726">
          <w:marLeft w:val="0"/>
          <w:marRight w:val="0"/>
          <w:marTop w:val="0"/>
          <w:marBottom w:val="0"/>
          <w:divBdr>
            <w:top w:val="none" w:sz="0" w:space="0" w:color="auto"/>
            <w:left w:val="none" w:sz="0" w:space="0" w:color="auto"/>
            <w:bottom w:val="none" w:sz="0" w:space="0" w:color="auto"/>
            <w:right w:val="none" w:sz="0" w:space="0" w:color="auto"/>
          </w:divBdr>
        </w:div>
      </w:divsChild>
    </w:div>
    <w:div w:id="1914702721">
      <w:bodyDiv w:val="1"/>
      <w:marLeft w:val="0"/>
      <w:marRight w:val="0"/>
      <w:marTop w:val="0"/>
      <w:marBottom w:val="0"/>
      <w:divBdr>
        <w:top w:val="none" w:sz="0" w:space="0" w:color="auto"/>
        <w:left w:val="none" w:sz="0" w:space="0" w:color="auto"/>
        <w:bottom w:val="none" w:sz="0" w:space="0" w:color="auto"/>
        <w:right w:val="none" w:sz="0" w:space="0" w:color="auto"/>
      </w:divBdr>
      <w:divsChild>
        <w:div w:id="1703241428">
          <w:marLeft w:val="0"/>
          <w:marRight w:val="0"/>
          <w:marTop w:val="0"/>
          <w:marBottom w:val="0"/>
          <w:divBdr>
            <w:top w:val="none" w:sz="0" w:space="0" w:color="auto"/>
            <w:left w:val="none" w:sz="0" w:space="0" w:color="auto"/>
            <w:bottom w:val="none" w:sz="0" w:space="0" w:color="auto"/>
            <w:right w:val="none" w:sz="0" w:space="0" w:color="auto"/>
          </w:divBdr>
        </w:div>
        <w:div w:id="1866403860">
          <w:marLeft w:val="0"/>
          <w:marRight w:val="0"/>
          <w:marTop w:val="0"/>
          <w:marBottom w:val="0"/>
          <w:divBdr>
            <w:top w:val="none" w:sz="0" w:space="0" w:color="auto"/>
            <w:left w:val="none" w:sz="0" w:space="0" w:color="auto"/>
            <w:bottom w:val="none" w:sz="0" w:space="0" w:color="auto"/>
            <w:right w:val="none" w:sz="0" w:space="0" w:color="auto"/>
          </w:divBdr>
        </w:div>
        <w:div w:id="1639728803">
          <w:marLeft w:val="0"/>
          <w:marRight w:val="0"/>
          <w:marTop w:val="0"/>
          <w:marBottom w:val="0"/>
          <w:divBdr>
            <w:top w:val="none" w:sz="0" w:space="0" w:color="auto"/>
            <w:left w:val="none" w:sz="0" w:space="0" w:color="auto"/>
            <w:bottom w:val="none" w:sz="0" w:space="0" w:color="auto"/>
            <w:right w:val="none" w:sz="0" w:space="0" w:color="auto"/>
          </w:divBdr>
        </w:div>
      </w:divsChild>
    </w:div>
    <w:div w:id="1943415229">
      <w:bodyDiv w:val="1"/>
      <w:marLeft w:val="0"/>
      <w:marRight w:val="0"/>
      <w:marTop w:val="0"/>
      <w:marBottom w:val="0"/>
      <w:divBdr>
        <w:top w:val="none" w:sz="0" w:space="0" w:color="auto"/>
        <w:left w:val="none" w:sz="0" w:space="0" w:color="auto"/>
        <w:bottom w:val="none" w:sz="0" w:space="0" w:color="auto"/>
        <w:right w:val="none" w:sz="0" w:space="0" w:color="auto"/>
      </w:divBdr>
    </w:div>
    <w:div w:id="1949653027">
      <w:bodyDiv w:val="1"/>
      <w:marLeft w:val="0"/>
      <w:marRight w:val="0"/>
      <w:marTop w:val="0"/>
      <w:marBottom w:val="0"/>
      <w:divBdr>
        <w:top w:val="none" w:sz="0" w:space="0" w:color="auto"/>
        <w:left w:val="none" w:sz="0" w:space="0" w:color="auto"/>
        <w:bottom w:val="none" w:sz="0" w:space="0" w:color="auto"/>
        <w:right w:val="none" w:sz="0" w:space="0" w:color="auto"/>
      </w:divBdr>
      <w:divsChild>
        <w:div w:id="2094163517">
          <w:marLeft w:val="0"/>
          <w:marRight w:val="0"/>
          <w:marTop w:val="0"/>
          <w:marBottom w:val="0"/>
          <w:divBdr>
            <w:top w:val="none" w:sz="0" w:space="0" w:color="auto"/>
            <w:left w:val="none" w:sz="0" w:space="0" w:color="auto"/>
            <w:bottom w:val="none" w:sz="0" w:space="0" w:color="auto"/>
            <w:right w:val="none" w:sz="0" w:space="0" w:color="auto"/>
          </w:divBdr>
        </w:div>
        <w:div w:id="1558007628">
          <w:marLeft w:val="0"/>
          <w:marRight w:val="0"/>
          <w:marTop w:val="0"/>
          <w:marBottom w:val="0"/>
          <w:divBdr>
            <w:top w:val="none" w:sz="0" w:space="0" w:color="auto"/>
            <w:left w:val="none" w:sz="0" w:space="0" w:color="auto"/>
            <w:bottom w:val="none" w:sz="0" w:space="0" w:color="auto"/>
            <w:right w:val="none" w:sz="0" w:space="0" w:color="auto"/>
          </w:divBdr>
        </w:div>
        <w:div w:id="937251757">
          <w:marLeft w:val="0"/>
          <w:marRight w:val="0"/>
          <w:marTop w:val="0"/>
          <w:marBottom w:val="0"/>
          <w:divBdr>
            <w:top w:val="none" w:sz="0" w:space="0" w:color="auto"/>
            <w:left w:val="none" w:sz="0" w:space="0" w:color="auto"/>
            <w:bottom w:val="none" w:sz="0" w:space="0" w:color="auto"/>
            <w:right w:val="none" w:sz="0" w:space="0" w:color="auto"/>
          </w:divBdr>
        </w:div>
        <w:div w:id="1155101721">
          <w:marLeft w:val="0"/>
          <w:marRight w:val="0"/>
          <w:marTop w:val="0"/>
          <w:marBottom w:val="0"/>
          <w:divBdr>
            <w:top w:val="none" w:sz="0" w:space="0" w:color="auto"/>
            <w:left w:val="none" w:sz="0" w:space="0" w:color="auto"/>
            <w:bottom w:val="none" w:sz="0" w:space="0" w:color="auto"/>
            <w:right w:val="none" w:sz="0" w:space="0" w:color="auto"/>
          </w:divBdr>
        </w:div>
        <w:div w:id="480774753">
          <w:marLeft w:val="0"/>
          <w:marRight w:val="0"/>
          <w:marTop w:val="0"/>
          <w:marBottom w:val="0"/>
          <w:divBdr>
            <w:top w:val="none" w:sz="0" w:space="0" w:color="auto"/>
            <w:left w:val="none" w:sz="0" w:space="0" w:color="auto"/>
            <w:bottom w:val="none" w:sz="0" w:space="0" w:color="auto"/>
            <w:right w:val="none" w:sz="0" w:space="0" w:color="auto"/>
          </w:divBdr>
        </w:div>
        <w:div w:id="814104768">
          <w:marLeft w:val="0"/>
          <w:marRight w:val="0"/>
          <w:marTop w:val="0"/>
          <w:marBottom w:val="0"/>
          <w:divBdr>
            <w:top w:val="none" w:sz="0" w:space="0" w:color="auto"/>
            <w:left w:val="none" w:sz="0" w:space="0" w:color="auto"/>
            <w:bottom w:val="none" w:sz="0" w:space="0" w:color="auto"/>
            <w:right w:val="none" w:sz="0" w:space="0" w:color="auto"/>
          </w:divBdr>
        </w:div>
        <w:div w:id="710030366">
          <w:marLeft w:val="0"/>
          <w:marRight w:val="0"/>
          <w:marTop w:val="0"/>
          <w:marBottom w:val="0"/>
          <w:divBdr>
            <w:top w:val="none" w:sz="0" w:space="0" w:color="auto"/>
            <w:left w:val="none" w:sz="0" w:space="0" w:color="auto"/>
            <w:bottom w:val="none" w:sz="0" w:space="0" w:color="auto"/>
            <w:right w:val="none" w:sz="0" w:space="0" w:color="auto"/>
          </w:divBdr>
        </w:div>
        <w:div w:id="216480910">
          <w:marLeft w:val="0"/>
          <w:marRight w:val="0"/>
          <w:marTop w:val="0"/>
          <w:marBottom w:val="0"/>
          <w:divBdr>
            <w:top w:val="none" w:sz="0" w:space="0" w:color="auto"/>
            <w:left w:val="none" w:sz="0" w:space="0" w:color="auto"/>
            <w:bottom w:val="none" w:sz="0" w:space="0" w:color="auto"/>
            <w:right w:val="none" w:sz="0" w:space="0" w:color="auto"/>
          </w:divBdr>
        </w:div>
        <w:div w:id="844707480">
          <w:marLeft w:val="0"/>
          <w:marRight w:val="0"/>
          <w:marTop w:val="0"/>
          <w:marBottom w:val="0"/>
          <w:divBdr>
            <w:top w:val="none" w:sz="0" w:space="0" w:color="auto"/>
            <w:left w:val="none" w:sz="0" w:space="0" w:color="auto"/>
            <w:bottom w:val="none" w:sz="0" w:space="0" w:color="auto"/>
            <w:right w:val="none" w:sz="0" w:space="0" w:color="auto"/>
          </w:divBdr>
        </w:div>
        <w:div w:id="2034846005">
          <w:marLeft w:val="0"/>
          <w:marRight w:val="0"/>
          <w:marTop w:val="0"/>
          <w:marBottom w:val="0"/>
          <w:divBdr>
            <w:top w:val="none" w:sz="0" w:space="0" w:color="auto"/>
            <w:left w:val="none" w:sz="0" w:space="0" w:color="auto"/>
            <w:bottom w:val="none" w:sz="0" w:space="0" w:color="auto"/>
            <w:right w:val="none" w:sz="0" w:space="0" w:color="auto"/>
          </w:divBdr>
        </w:div>
        <w:div w:id="483015420">
          <w:marLeft w:val="0"/>
          <w:marRight w:val="0"/>
          <w:marTop w:val="0"/>
          <w:marBottom w:val="0"/>
          <w:divBdr>
            <w:top w:val="none" w:sz="0" w:space="0" w:color="auto"/>
            <w:left w:val="none" w:sz="0" w:space="0" w:color="auto"/>
            <w:bottom w:val="none" w:sz="0" w:space="0" w:color="auto"/>
            <w:right w:val="none" w:sz="0" w:space="0" w:color="auto"/>
          </w:divBdr>
        </w:div>
        <w:div w:id="1626623751">
          <w:marLeft w:val="0"/>
          <w:marRight w:val="0"/>
          <w:marTop w:val="0"/>
          <w:marBottom w:val="0"/>
          <w:divBdr>
            <w:top w:val="none" w:sz="0" w:space="0" w:color="auto"/>
            <w:left w:val="none" w:sz="0" w:space="0" w:color="auto"/>
            <w:bottom w:val="none" w:sz="0" w:space="0" w:color="auto"/>
            <w:right w:val="none" w:sz="0" w:space="0" w:color="auto"/>
          </w:divBdr>
        </w:div>
        <w:div w:id="1805998814">
          <w:marLeft w:val="0"/>
          <w:marRight w:val="0"/>
          <w:marTop w:val="0"/>
          <w:marBottom w:val="0"/>
          <w:divBdr>
            <w:top w:val="none" w:sz="0" w:space="0" w:color="auto"/>
            <w:left w:val="none" w:sz="0" w:space="0" w:color="auto"/>
            <w:bottom w:val="none" w:sz="0" w:space="0" w:color="auto"/>
            <w:right w:val="none" w:sz="0" w:space="0" w:color="auto"/>
          </w:divBdr>
        </w:div>
        <w:div w:id="228923928">
          <w:marLeft w:val="0"/>
          <w:marRight w:val="0"/>
          <w:marTop w:val="0"/>
          <w:marBottom w:val="0"/>
          <w:divBdr>
            <w:top w:val="none" w:sz="0" w:space="0" w:color="auto"/>
            <w:left w:val="none" w:sz="0" w:space="0" w:color="auto"/>
            <w:bottom w:val="none" w:sz="0" w:space="0" w:color="auto"/>
            <w:right w:val="none" w:sz="0" w:space="0" w:color="auto"/>
          </w:divBdr>
        </w:div>
        <w:div w:id="731192149">
          <w:marLeft w:val="0"/>
          <w:marRight w:val="0"/>
          <w:marTop w:val="0"/>
          <w:marBottom w:val="0"/>
          <w:divBdr>
            <w:top w:val="none" w:sz="0" w:space="0" w:color="auto"/>
            <w:left w:val="none" w:sz="0" w:space="0" w:color="auto"/>
            <w:bottom w:val="none" w:sz="0" w:space="0" w:color="auto"/>
            <w:right w:val="none" w:sz="0" w:space="0" w:color="auto"/>
          </w:divBdr>
        </w:div>
        <w:div w:id="646712651">
          <w:marLeft w:val="0"/>
          <w:marRight w:val="0"/>
          <w:marTop w:val="0"/>
          <w:marBottom w:val="0"/>
          <w:divBdr>
            <w:top w:val="none" w:sz="0" w:space="0" w:color="auto"/>
            <w:left w:val="none" w:sz="0" w:space="0" w:color="auto"/>
            <w:bottom w:val="none" w:sz="0" w:space="0" w:color="auto"/>
            <w:right w:val="none" w:sz="0" w:space="0" w:color="auto"/>
          </w:divBdr>
        </w:div>
        <w:div w:id="224948791">
          <w:marLeft w:val="0"/>
          <w:marRight w:val="0"/>
          <w:marTop w:val="0"/>
          <w:marBottom w:val="0"/>
          <w:divBdr>
            <w:top w:val="none" w:sz="0" w:space="0" w:color="auto"/>
            <w:left w:val="none" w:sz="0" w:space="0" w:color="auto"/>
            <w:bottom w:val="none" w:sz="0" w:space="0" w:color="auto"/>
            <w:right w:val="none" w:sz="0" w:space="0" w:color="auto"/>
          </w:divBdr>
        </w:div>
        <w:div w:id="1174147311">
          <w:marLeft w:val="0"/>
          <w:marRight w:val="0"/>
          <w:marTop w:val="0"/>
          <w:marBottom w:val="0"/>
          <w:divBdr>
            <w:top w:val="none" w:sz="0" w:space="0" w:color="auto"/>
            <w:left w:val="none" w:sz="0" w:space="0" w:color="auto"/>
            <w:bottom w:val="none" w:sz="0" w:space="0" w:color="auto"/>
            <w:right w:val="none" w:sz="0" w:space="0" w:color="auto"/>
          </w:divBdr>
        </w:div>
        <w:div w:id="850611475">
          <w:marLeft w:val="0"/>
          <w:marRight w:val="0"/>
          <w:marTop w:val="0"/>
          <w:marBottom w:val="0"/>
          <w:divBdr>
            <w:top w:val="none" w:sz="0" w:space="0" w:color="auto"/>
            <w:left w:val="none" w:sz="0" w:space="0" w:color="auto"/>
            <w:bottom w:val="none" w:sz="0" w:space="0" w:color="auto"/>
            <w:right w:val="none" w:sz="0" w:space="0" w:color="auto"/>
          </w:divBdr>
        </w:div>
        <w:div w:id="1967198153">
          <w:marLeft w:val="0"/>
          <w:marRight w:val="0"/>
          <w:marTop w:val="0"/>
          <w:marBottom w:val="0"/>
          <w:divBdr>
            <w:top w:val="none" w:sz="0" w:space="0" w:color="auto"/>
            <w:left w:val="none" w:sz="0" w:space="0" w:color="auto"/>
            <w:bottom w:val="none" w:sz="0" w:space="0" w:color="auto"/>
            <w:right w:val="none" w:sz="0" w:space="0" w:color="auto"/>
          </w:divBdr>
        </w:div>
        <w:div w:id="635720821">
          <w:marLeft w:val="0"/>
          <w:marRight w:val="0"/>
          <w:marTop w:val="0"/>
          <w:marBottom w:val="0"/>
          <w:divBdr>
            <w:top w:val="none" w:sz="0" w:space="0" w:color="auto"/>
            <w:left w:val="none" w:sz="0" w:space="0" w:color="auto"/>
            <w:bottom w:val="none" w:sz="0" w:space="0" w:color="auto"/>
            <w:right w:val="none" w:sz="0" w:space="0" w:color="auto"/>
          </w:divBdr>
        </w:div>
        <w:div w:id="445777037">
          <w:marLeft w:val="0"/>
          <w:marRight w:val="0"/>
          <w:marTop w:val="0"/>
          <w:marBottom w:val="0"/>
          <w:divBdr>
            <w:top w:val="none" w:sz="0" w:space="0" w:color="auto"/>
            <w:left w:val="none" w:sz="0" w:space="0" w:color="auto"/>
            <w:bottom w:val="none" w:sz="0" w:space="0" w:color="auto"/>
            <w:right w:val="none" w:sz="0" w:space="0" w:color="auto"/>
          </w:divBdr>
        </w:div>
        <w:div w:id="527253021">
          <w:marLeft w:val="0"/>
          <w:marRight w:val="0"/>
          <w:marTop w:val="0"/>
          <w:marBottom w:val="0"/>
          <w:divBdr>
            <w:top w:val="none" w:sz="0" w:space="0" w:color="auto"/>
            <w:left w:val="none" w:sz="0" w:space="0" w:color="auto"/>
            <w:bottom w:val="none" w:sz="0" w:space="0" w:color="auto"/>
            <w:right w:val="none" w:sz="0" w:space="0" w:color="auto"/>
          </w:divBdr>
        </w:div>
      </w:divsChild>
    </w:div>
    <w:div w:id="1965233268">
      <w:bodyDiv w:val="1"/>
      <w:marLeft w:val="0"/>
      <w:marRight w:val="0"/>
      <w:marTop w:val="0"/>
      <w:marBottom w:val="0"/>
      <w:divBdr>
        <w:top w:val="none" w:sz="0" w:space="0" w:color="auto"/>
        <w:left w:val="none" w:sz="0" w:space="0" w:color="auto"/>
        <w:bottom w:val="none" w:sz="0" w:space="0" w:color="auto"/>
        <w:right w:val="none" w:sz="0" w:space="0" w:color="auto"/>
      </w:divBdr>
      <w:divsChild>
        <w:div w:id="2013872787">
          <w:marLeft w:val="0"/>
          <w:marRight w:val="0"/>
          <w:marTop w:val="0"/>
          <w:marBottom w:val="0"/>
          <w:divBdr>
            <w:top w:val="none" w:sz="0" w:space="0" w:color="auto"/>
            <w:left w:val="none" w:sz="0" w:space="0" w:color="auto"/>
            <w:bottom w:val="none" w:sz="0" w:space="0" w:color="auto"/>
            <w:right w:val="none" w:sz="0" w:space="0" w:color="auto"/>
          </w:divBdr>
        </w:div>
        <w:div w:id="471404770">
          <w:marLeft w:val="0"/>
          <w:marRight w:val="0"/>
          <w:marTop w:val="0"/>
          <w:marBottom w:val="0"/>
          <w:divBdr>
            <w:top w:val="none" w:sz="0" w:space="0" w:color="auto"/>
            <w:left w:val="none" w:sz="0" w:space="0" w:color="auto"/>
            <w:bottom w:val="none" w:sz="0" w:space="0" w:color="auto"/>
            <w:right w:val="none" w:sz="0" w:space="0" w:color="auto"/>
          </w:divBdr>
        </w:div>
        <w:div w:id="1030841843">
          <w:marLeft w:val="0"/>
          <w:marRight w:val="0"/>
          <w:marTop w:val="0"/>
          <w:marBottom w:val="0"/>
          <w:divBdr>
            <w:top w:val="none" w:sz="0" w:space="0" w:color="auto"/>
            <w:left w:val="none" w:sz="0" w:space="0" w:color="auto"/>
            <w:bottom w:val="none" w:sz="0" w:space="0" w:color="auto"/>
            <w:right w:val="none" w:sz="0" w:space="0" w:color="auto"/>
          </w:divBdr>
        </w:div>
        <w:div w:id="981693878">
          <w:marLeft w:val="0"/>
          <w:marRight w:val="0"/>
          <w:marTop w:val="0"/>
          <w:marBottom w:val="0"/>
          <w:divBdr>
            <w:top w:val="none" w:sz="0" w:space="0" w:color="auto"/>
            <w:left w:val="none" w:sz="0" w:space="0" w:color="auto"/>
            <w:bottom w:val="none" w:sz="0" w:space="0" w:color="auto"/>
            <w:right w:val="none" w:sz="0" w:space="0" w:color="auto"/>
          </w:divBdr>
        </w:div>
        <w:div w:id="1849055791">
          <w:marLeft w:val="0"/>
          <w:marRight w:val="0"/>
          <w:marTop w:val="0"/>
          <w:marBottom w:val="0"/>
          <w:divBdr>
            <w:top w:val="none" w:sz="0" w:space="0" w:color="auto"/>
            <w:left w:val="none" w:sz="0" w:space="0" w:color="auto"/>
            <w:bottom w:val="none" w:sz="0" w:space="0" w:color="auto"/>
            <w:right w:val="none" w:sz="0" w:space="0" w:color="auto"/>
          </w:divBdr>
        </w:div>
        <w:div w:id="1408845223">
          <w:marLeft w:val="0"/>
          <w:marRight w:val="0"/>
          <w:marTop w:val="0"/>
          <w:marBottom w:val="0"/>
          <w:divBdr>
            <w:top w:val="none" w:sz="0" w:space="0" w:color="auto"/>
            <w:left w:val="none" w:sz="0" w:space="0" w:color="auto"/>
            <w:bottom w:val="none" w:sz="0" w:space="0" w:color="auto"/>
            <w:right w:val="none" w:sz="0" w:space="0" w:color="auto"/>
          </w:divBdr>
        </w:div>
        <w:div w:id="718865368">
          <w:marLeft w:val="0"/>
          <w:marRight w:val="0"/>
          <w:marTop w:val="0"/>
          <w:marBottom w:val="0"/>
          <w:divBdr>
            <w:top w:val="none" w:sz="0" w:space="0" w:color="auto"/>
            <w:left w:val="none" w:sz="0" w:space="0" w:color="auto"/>
            <w:bottom w:val="none" w:sz="0" w:space="0" w:color="auto"/>
            <w:right w:val="none" w:sz="0" w:space="0" w:color="auto"/>
          </w:divBdr>
        </w:div>
        <w:div w:id="2080596321">
          <w:marLeft w:val="0"/>
          <w:marRight w:val="0"/>
          <w:marTop w:val="0"/>
          <w:marBottom w:val="0"/>
          <w:divBdr>
            <w:top w:val="none" w:sz="0" w:space="0" w:color="auto"/>
            <w:left w:val="none" w:sz="0" w:space="0" w:color="auto"/>
            <w:bottom w:val="none" w:sz="0" w:space="0" w:color="auto"/>
            <w:right w:val="none" w:sz="0" w:space="0" w:color="auto"/>
          </w:divBdr>
        </w:div>
        <w:div w:id="1717927142">
          <w:marLeft w:val="0"/>
          <w:marRight w:val="0"/>
          <w:marTop w:val="0"/>
          <w:marBottom w:val="0"/>
          <w:divBdr>
            <w:top w:val="none" w:sz="0" w:space="0" w:color="auto"/>
            <w:left w:val="none" w:sz="0" w:space="0" w:color="auto"/>
            <w:bottom w:val="none" w:sz="0" w:space="0" w:color="auto"/>
            <w:right w:val="none" w:sz="0" w:space="0" w:color="auto"/>
          </w:divBdr>
        </w:div>
        <w:div w:id="851601179">
          <w:marLeft w:val="0"/>
          <w:marRight w:val="0"/>
          <w:marTop w:val="0"/>
          <w:marBottom w:val="0"/>
          <w:divBdr>
            <w:top w:val="none" w:sz="0" w:space="0" w:color="auto"/>
            <w:left w:val="none" w:sz="0" w:space="0" w:color="auto"/>
            <w:bottom w:val="none" w:sz="0" w:space="0" w:color="auto"/>
            <w:right w:val="none" w:sz="0" w:space="0" w:color="auto"/>
          </w:divBdr>
        </w:div>
        <w:div w:id="462046362">
          <w:marLeft w:val="0"/>
          <w:marRight w:val="0"/>
          <w:marTop w:val="0"/>
          <w:marBottom w:val="0"/>
          <w:divBdr>
            <w:top w:val="none" w:sz="0" w:space="0" w:color="auto"/>
            <w:left w:val="none" w:sz="0" w:space="0" w:color="auto"/>
            <w:bottom w:val="none" w:sz="0" w:space="0" w:color="auto"/>
            <w:right w:val="none" w:sz="0" w:space="0" w:color="auto"/>
          </w:divBdr>
        </w:div>
      </w:divsChild>
    </w:div>
    <w:div w:id="1970553607">
      <w:bodyDiv w:val="1"/>
      <w:marLeft w:val="0"/>
      <w:marRight w:val="0"/>
      <w:marTop w:val="0"/>
      <w:marBottom w:val="0"/>
      <w:divBdr>
        <w:top w:val="none" w:sz="0" w:space="0" w:color="auto"/>
        <w:left w:val="none" w:sz="0" w:space="0" w:color="auto"/>
        <w:bottom w:val="none" w:sz="0" w:space="0" w:color="auto"/>
        <w:right w:val="none" w:sz="0" w:space="0" w:color="auto"/>
      </w:divBdr>
      <w:divsChild>
        <w:div w:id="1649548751">
          <w:marLeft w:val="0"/>
          <w:marRight w:val="0"/>
          <w:marTop w:val="0"/>
          <w:marBottom w:val="0"/>
          <w:divBdr>
            <w:top w:val="none" w:sz="0" w:space="0" w:color="auto"/>
            <w:left w:val="none" w:sz="0" w:space="0" w:color="auto"/>
            <w:bottom w:val="none" w:sz="0" w:space="0" w:color="auto"/>
            <w:right w:val="none" w:sz="0" w:space="0" w:color="auto"/>
          </w:divBdr>
        </w:div>
        <w:div w:id="713122176">
          <w:marLeft w:val="0"/>
          <w:marRight w:val="0"/>
          <w:marTop w:val="0"/>
          <w:marBottom w:val="0"/>
          <w:divBdr>
            <w:top w:val="none" w:sz="0" w:space="0" w:color="auto"/>
            <w:left w:val="none" w:sz="0" w:space="0" w:color="auto"/>
            <w:bottom w:val="none" w:sz="0" w:space="0" w:color="auto"/>
            <w:right w:val="none" w:sz="0" w:space="0" w:color="auto"/>
          </w:divBdr>
        </w:div>
        <w:div w:id="63188861">
          <w:marLeft w:val="0"/>
          <w:marRight w:val="0"/>
          <w:marTop w:val="0"/>
          <w:marBottom w:val="0"/>
          <w:divBdr>
            <w:top w:val="none" w:sz="0" w:space="0" w:color="auto"/>
            <w:left w:val="none" w:sz="0" w:space="0" w:color="auto"/>
            <w:bottom w:val="none" w:sz="0" w:space="0" w:color="auto"/>
            <w:right w:val="none" w:sz="0" w:space="0" w:color="auto"/>
          </w:divBdr>
        </w:div>
        <w:div w:id="1857647214">
          <w:marLeft w:val="0"/>
          <w:marRight w:val="0"/>
          <w:marTop w:val="0"/>
          <w:marBottom w:val="0"/>
          <w:divBdr>
            <w:top w:val="none" w:sz="0" w:space="0" w:color="auto"/>
            <w:left w:val="none" w:sz="0" w:space="0" w:color="auto"/>
            <w:bottom w:val="none" w:sz="0" w:space="0" w:color="auto"/>
            <w:right w:val="none" w:sz="0" w:space="0" w:color="auto"/>
          </w:divBdr>
        </w:div>
        <w:div w:id="589581538">
          <w:marLeft w:val="0"/>
          <w:marRight w:val="0"/>
          <w:marTop w:val="0"/>
          <w:marBottom w:val="0"/>
          <w:divBdr>
            <w:top w:val="none" w:sz="0" w:space="0" w:color="auto"/>
            <w:left w:val="none" w:sz="0" w:space="0" w:color="auto"/>
            <w:bottom w:val="none" w:sz="0" w:space="0" w:color="auto"/>
            <w:right w:val="none" w:sz="0" w:space="0" w:color="auto"/>
          </w:divBdr>
        </w:div>
        <w:div w:id="427846643">
          <w:marLeft w:val="0"/>
          <w:marRight w:val="0"/>
          <w:marTop w:val="0"/>
          <w:marBottom w:val="0"/>
          <w:divBdr>
            <w:top w:val="none" w:sz="0" w:space="0" w:color="auto"/>
            <w:left w:val="none" w:sz="0" w:space="0" w:color="auto"/>
            <w:bottom w:val="none" w:sz="0" w:space="0" w:color="auto"/>
            <w:right w:val="none" w:sz="0" w:space="0" w:color="auto"/>
          </w:divBdr>
        </w:div>
        <w:div w:id="2070760482">
          <w:marLeft w:val="0"/>
          <w:marRight w:val="0"/>
          <w:marTop w:val="0"/>
          <w:marBottom w:val="0"/>
          <w:divBdr>
            <w:top w:val="none" w:sz="0" w:space="0" w:color="auto"/>
            <w:left w:val="none" w:sz="0" w:space="0" w:color="auto"/>
            <w:bottom w:val="none" w:sz="0" w:space="0" w:color="auto"/>
            <w:right w:val="none" w:sz="0" w:space="0" w:color="auto"/>
          </w:divBdr>
        </w:div>
        <w:div w:id="1445463204">
          <w:marLeft w:val="0"/>
          <w:marRight w:val="0"/>
          <w:marTop w:val="0"/>
          <w:marBottom w:val="0"/>
          <w:divBdr>
            <w:top w:val="none" w:sz="0" w:space="0" w:color="auto"/>
            <w:left w:val="none" w:sz="0" w:space="0" w:color="auto"/>
            <w:bottom w:val="none" w:sz="0" w:space="0" w:color="auto"/>
            <w:right w:val="none" w:sz="0" w:space="0" w:color="auto"/>
          </w:divBdr>
        </w:div>
        <w:div w:id="156045620">
          <w:marLeft w:val="0"/>
          <w:marRight w:val="0"/>
          <w:marTop w:val="0"/>
          <w:marBottom w:val="0"/>
          <w:divBdr>
            <w:top w:val="none" w:sz="0" w:space="0" w:color="auto"/>
            <w:left w:val="none" w:sz="0" w:space="0" w:color="auto"/>
            <w:bottom w:val="none" w:sz="0" w:space="0" w:color="auto"/>
            <w:right w:val="none" w:sz="0" w:space="0" w:color="auto"/>
          </w:divBdr>
        </w:div>
        <w:div w:id="288048770">
          <w:marLeft w:val="0"/>
          <w:marRight w:val="0"/>
          <w:marTop w:val="0"/>
          <w:marBottom w:val="0"/>
          <w:divBdr>
            <w:top w:val="none" w:sz="0" w:space="0" w:color="auto"/>
            <w:left w:val="none" w:sz="0" w:space="0" w:color="auto"/>
            <w:bottom w:val="none" w:sz="0" w:space="0" w:color="auto"/>
            <w:right w:val="none" w:sz="0" w:space="0" w:color="auto"/>
          </w:divBdr>
        </w:div>
        <w:div w:id="160051190">
          <w:marLeft w:val="0"/>
          <w:marRight w:val="0"/>
          <w:marTop w:val="0"/>
          <w:marBottom w:val="0"/>
          <w:divBdr>
            <w:top w:val="none" w:sz="0" w:space="0" w:color="auto"/>
            <w:left w:val="none" w:sz="0" w:space="0" w:color="auto"/>
            <w:bottom w:val="none" w:sz="0" w:space="0" w:color="auto"/>
            <w:right w:val="none" w:sz="0" w:space="0" w:color="auto"/>
          </w:divBdr>
        </w:div>
      </w:divsChild>
    </w:div>
    <w:div w:id="1986201535">
      <w:bodyDiv w:val="1"/>
      <w:marLeft w:val="0"/>
      <w:marRight w:val="0"/>
      <w:marTop w:val="0"/>
      <w:marBottom w:val="0"/>
      <w:divBdr>
        <w:top w:val="none" w:sz="0" w:space="0" w:color="auto"/>
        <w:left w:val="none" w:sz="0" w:space="0" w:color="auto"/>
        <w:bottom w:val="none" w:sz="0" w:space="0" w:color="auto"/>
        <w:right w:val="none" w:sz="0" w:space="0" w:color="auto"/>
      </w:divBdr>
    </w:div>
    <w:div w:id="2033796826">
      <w:bodyDiv w:val="1"/>
      <w:marLeft w:val="0"/>
      <w:marRight w:val="0"/>
      <w:marTop w:val="0"/>
      <w:marBottom w:val="0"/>
      <w:divBdr>
        <w:top w:val="none" w:sz="0" w:space="0" w:color="auto"/>
        <w:left w:val="none" w:sz="0" w:space="0" w:color="auto"/>
        <w:bottom w:val="none" w:sz="0" w:space="0" w:color="auto"/>
        <w:right w:val="none" w:sz="0" w:space="0" w:color="auto"/>
      </w:divBdr>
      <w:divsChild>
        <w:div w:id="1180897766">
          <w:marLeft w:val="0"/>
          <w:marRight w:val="0"/>
          <w:marTop w:val="0"/>
          <w:marBottom w:val="0"/>
          <w:divBdr>
            <w:top w:val="none" w:sz="0" w:space="0" w:color="auto"/>
            <w:left w:val="none" w:sz="0" w:space="0" w:color="auto"/>
            <w:bottom w:val="none" w:sz="0" w:space="0" w:color="auto"/>
            <w:right w:val="none" w:sz="0" w:space="0" w:color="auto"/>
          </w:divBdr>
        </w:div>
        <w:div w:id="761292043">
          <w:marLeft w:val="0"/>
          <w:marRight w:val="0"/>
          <w:marTop w:val="0"/>
          <w:marBottom w:val="0"/>
          <w:divBdr>
            <w:top w:val="none" w:sz="0" w:space="0" w:color="auto"/>
            <w:left w:val="none" w:sz="0" w:space="0" w:color="auto"/>
            <w:bottom w:val="none" w:sz="0" w:space="0" w:color="auto"/>
            <w:right w:val="none" w:sz="0" w:space="0" w:color="auto"/>
          </w:divBdr>
        </w:div>
        <w:div w:id="134566230">
          <w:marLeft w:val="0"/>
          <w:marRight w:val="0"/>
          <w:marTop w:val="0"/>
          <w:marBottom w:val="0"/>
          <w:divBdr>
            <w:top w:val="none" w:sz="0" w:space="0" w:color="auto"/>
            <w:left w:val="none" w:sz="0" w:space="0" w:color="auto"/>
            <w:bottom w:val="none" w:sz="0" w:space="0" w:color="auto"/>
            <w:right w:val="none" w:sz="0" w:space="0" w:color="auto"/>
          </w:divBdr>
        </w:div>
      </w:divsChild>
    </w:div>
    <w:div w:id="2053799662">
      <w:bodyDiv w:val="1"/>
      <w:marLeft w:val="0"/>
      <w:marRight w:val="0"/>
      <w:marTop w:val="0"/>
      <w:marBottom w:val="0"/>
      <w:divBdr>
        <w:top w:val="none" w:sz="0" w:space="0" w:color="auto"/>
        <w:left w:val="none" w:sz="0" w:space="0" w:color="auto"/>
        <w:bottom w:val="none" w:sz="0" w:space="0" w:color="auto"/>
        <w:right w:val="none" w:sz="0" w:space="0" w:color="auto"/>
      </w:divBdr>
    </w:div>
    <w:div w:id="2054890697">
      <w:bodyDiv w:val="1"/>
      <w:marLeft w:val="0"/>
      <w:marRight w:val="0"/>
      <w:marTop w:val="0"/>
      <w:marBottom w:val="0"/>
      <w:divBdr>
        <w:top w:val="none" w:sz="0" w:space="0" w:color="auto"/>
        <w:left w:val="none" w:sz="0" w:space="0" w:color="auto"/>
        <w:bottom w:val="none" w:sz="0" w:space="0" w:color="auto"/>
        <w:right w:val="none" w:sz="0" w:space="0" w:color="auto"/>
      </w:divBdr>
      <w:divsChild>
        <w:div w:id="685449735">
          <w:marLeft w:val="0"/>
          <w:marRight w:val="0"/>
          <w:marTop w:val="0"/>
          <w:marBottom w:val="0"/>
          <w:divBdr>
            <w:top w:val="none" w:sz="0" w:space="0" w:color="auto"/>
            <w:left w:val="none" w:sz="0" w:space="0" w:color="auto"/>
            <w:bottom w:val="none" w:sz="0" w:space="0" w:color="auto"/>
            <w:right w:val="none" w:sz="0" w:space="0" w:color="auto"/>
          </w:divBdr>
        </w:div>
        <w:div w:id="1959868640">
          <w:marLeft w:val="0"/>
          <w:marRight w:val="0"/>
          <w:marTop w:val="0"/>
          <w:marBottom w:val="0"/>
          <w:divBdr>
            <w:top w:val="none" w:sz="0" w:space="0" w:color="auto"/>
            <w:left w:val="none" w:sz="0" w:space="0" w:color="auto"/>
            <w:bottom w:val="none" w:sz="0" w:space="0" w:color="auto"/>
            <w:right w:val="none" w:sz="0" w:space="0" w:color="auto"/>
          </w:divBdr>
        </w:div>
        <w:div w:id="185873919">
          <w:marLeft w:val="0"/>
          <w:marRight w:val="0"/>
          <w:marTop w:val="0"/>
          <w:marBottom w:val="0"/>
          <w:divBdr>
            <w:top w:val="none" w:sz="0" w:space="0" w:color="auto"/>
            <w:left w:val="none" w:sz="0" w:space="0" w:color="auto"/>
            <w:bottom w:val="none" w:sz="0" w:space="0" w:color="auto"/>
            <w:right w:val="none" w:sz="0" w:space="0" w:color="auto"/>
          </w:divBdr>
        </w:div>
        <w:div w:id="443814139">
          <w:marLeft w:val="0"/>
          <w:marRight w:val="0"/>
          <w:marTop w:val="0"/>
          <w:marBottom w:val="0"/>
          <w:divBdr>
            <w:top w:val="none" w:sz="0" w:space="0" w:color="auto"/>
            <w:left w:val="none" w:sz="0" w:space="0" w:color="auto"/>
            <w:bottom w:val="none" w:sz="0" w:space="0" w:color="auto"/>
            <w:right w:val="none" w:sz="0" w:space="0" w:color="auto"/>
          </w:divBdr>
        </w:div>
        <w:div w:id="18436598">
          <w:marLeft w:val="0"/>
          <w:marRight w:val="0"/>
          <w:marTop w:val="0"/>
          <w:marBottom w:val="0"/>
          <w:divBdr>
            <w:top w:val="none" w:sz="0" w:space="0" w:color="auto"/>
            <w:left w:val="none" w:sz="0" w:space="0" w:color="auto"/>
            <w:bottom w:val="none" w:sz="0" w:space="0" w:color="auto"/>
            <w:right w:val="none" w:sz="0" w:space="0" w:color="auto"/>
          </w:divBdr>
        </w:div>
      </w:divsChild>
    </w:div>
    <w:div w:id="2060667439">
      <w:bodyDiv w:val="1"/>
      <w:marLeft w:val="0"/>
      <w:marRight w:val="0"/>
      <w:marTop w:val="0"/>
      <w:marBottom w:val="0"/>
      <w:divBdr>
        <w:top w:val="none" w:sz="0" w:space="0" w:color="auto"/>
        <w:left w:val="none" w:sz="0" w:space="0" w:color="auto"/>
        <w:bottom w:val="none" w:sz="0" w:space="0" w:color="auto"/>
        <w:right w:val="none" w:sz="0" w:space="0" w:color="auto"/>
      </w:divBdr>
      <w:divsChild>
        <w:div w:id="1440486384">
          <w:marLeft w:val="0"/>
          <w:marRight w:val="0"/>
          <w:marTop w:val="0"/>
          <w:marBottom w:val="0"/>
          <w:divBdr>
            <w:top w:val="none" w:sz="0" w:space="0" w:color="auto"/>
            <w:left w:val="none" w:sz="0" w:space="0" w:color="auto"/>
            <w:bottom w:val="none" w:sz="0" w:space="0" w:color="auto"/>
            <w:right w:val="none" w:sz="0" w:space="0" w:color="auto"/>
          </w:divBdr>
        </w:div>
        <w:div w:id="1662852100">
          <w:marLeft w:val="0"/>
          <w:marRight w:val="0"/>
          <w:marTop w:val="0"/>
          <w:marBottom w:val="0"/>
          <w:divBdr>
            <w:top w:val="none" w:sz="0" w:space="0" w:color="auto"/>
            <w:left w:val="none" w:sz="0" w:space="0" w:color="auto"/>
            <w:bottom w:val="none" w:sz="0" w:space="0" w:color="auto"/>
            <w:right w:val="none" w:sz="0" w:space="0" w:color="auto"/>
          </w:divBdr>
        </w:div>
        <w:div w:id="1330402275">
          <w:marLeft w:val="0"/>
          <w:marRight w:val="0"/>
          <w:marTop w:val="0"/>
          <w:marBottom w:val="0"/>
          <w:divBdr>
            <w:top w:val="none" w:sz="0" w:space="0" w:color="auto"/>
            <w:left w:val="none" w:sz="0" w:space="0" w:color="auto"/>
            <w:bottom w:val="none" w:sz="0" w:space="0" w:color="auto"/>
            <w:right w:val="none" w:sz="0" w:space="0" w:color="auto"/>
          </w:divBdr>
        </w:div>
        <w:div w:id="1155537553">
          <w:marLeft w:val="0"/>
          <w:marRight w:val="0"/>
          <w:marTop w:val="0"/>
          <w:marBottom w:val="0"/>
          <w:divBdr>
            <w:top w:val="none" w:sz="0" w:space="0" w:color="auto"/>
            <w:left w:val="none" w:sz="0" w:space="0" w:color="auto"/>
            <w:bottom w:val="none" w:sz="0" w:space="0" w:color="auto"/>
            <w:right w:val="none" w:sz="0" w:space="0" w:color="auto"/>
          </w:divBdr>
        </w:div>
        <w:div w:id="907417090">
          <w:marLeft w:val="0"/>
          <w:marRight w:val="0"/>
          <w:marTop w:val="0"/>
          <w:marBottom w:val="0"/>
          <w:divBdr>
            <w:top w:val="none" w:sz="0" w:space="0" w:color="auto"/>
            <w:left w:val="none" w:sz="0" w:space="0" w:color="auto"/>
            <w:bottom w:val="none" w:sz="0" w:space="0" w:color="auto"/>
            <w:right w:val="none" w:sz="0" w:space="0" w:color="auto"/>
          </w:divBdr>
        </w:div>
        <w:div w:id="1591311518">
          <w:marLeft w:val="0"/>
          <w:marRight w:val="0"/>
          <w:marTop w:val="0"/>
          <w:marBottom w:val="0"/>
          <w:divBdr>
            <w:top w:val="none" w:sz="0" w:space="0" w:color="auto"/>
            <w:left w:val="none" w:sz="0" w:space="0" w:color="auto"/>
            <w:bottom w:val="none" w:sz="0" w:space="0" w:color="auto"/>
            <w:right w:val="none" w:sz="0" w:space="0" w:color="auto"/>
          </w:divBdr>
        </w:div>
        <w:div w:id="1539733504">
          <w:marLeft w:val="0"/>
          <w:marRight w:val="0"/>
          <w:marTop w:val="0"/>
          <w:marBottom w:val="0"/>
          <w:divBdr>
            <w:top w:val="none" w:sz="0" w:space="0" w:color="auto"/>
            <w:left w:val="none" w:sz="0" w:space="0" w:color="auto"/>
            <w:bottom w:val="none" w:sz="0" w:space="0" w:color="auto"/>
            <w:right w:val="none" w:sz="0" w:space="0" w:color="auto"/>
          </w:divBdr>
        </w:div>
        <w:div w:id="1317294909">
          <w:marLeft w:val="0"/>
          <w:marRight w:val="0"/>
          <w:marTop w:val="0"/>
          <w:marBottom w:val="0"/>
          <w:divBdr>
            <w:top w:val="none" w:sz="0" w:space="0" w:color="auto"/>
            <w:left w:val="none" w:sz="0" w:space="0" w:color="auto"/>
            <w:bottom w:val="none" w:sz="0" w:space="0" w:color="auto"/>
            <w:right w:val="none" w:sz="0" w:space="0" w:color="auto"/>
          </w:divBdr>
        </w:div>
        <w:div w:id="2091268593">
          <w:marLeft w:val="0"/>
          <w:marRight w:val="0"/>
          <w:marTop w:val="0"/>
          <w:marBottom w:val="0"/>
          <w:divBdr>
            <w:top w:val="none" w:sz="0" w:space="0" w:color="auto"/>
            <w:left w:val="none" w:sz="0" w:space="0" w:color="auto"/>
            <w:bottom w:val="none" w:sz="0" w:space="0" w:color="auto"/>
            <w:right w:val="none" w:sz="0" w:space="0" w:color="auto"/>
          </w:divBdr>
        </w:div>
      </w:divsChild>
    </w:div>
    <w:div w:id="2062290762">
      <w:bodyDiv w:val="1"/>
      <w:marLeft w:val="0"/>
      <w:marRight w:val="0"/>
      <w:marTop w:val="0"/>
      <w:marBottom w:val="0"/>
      <w:divBdr>
        <w:top w:val="none" w:sz="0" w:space="0" w:color="auto"/>
        <w:left w:val="none" w:sz="0" w:space="0" w:color="auto"/>
        <w:bottom w:val="none" w:sz="0" w:space="0" w:color="auto"/>
        <w:right w:val="none" w:sz="0" w:space="0" w:color="auto"/>
      </w:divBdr>
      <w:divsChild>
        <w:div w:id="1581285133">
          <w:marLeft w:val="0"/>
          <w:marRight w:val="0"/>
          <w:marTop w:val="0"/>
          <w:marBottom w:val="0"/>
          <w:divBdr>
            <w:top w:val="none" w:sz="0" w:space="0" w:color="auto"/>
            <w:left w:val="none" w:sz="0" w:space="0" w:color="auto"/>
            <w:bottom w:val="none" w:sz="0" w:space="0" w:color="auto"/>
            <w:right w:val="none" w:sz="0" w:space="0" w:color="auto"/>
          </w:divBdr>
        </w:div>
        <w:div w:id="1152866058">
          <w:marLeft w:val="0"/>
          <w:marRight w:val="0"/>
          <w:marTop w:val="0"/>
          <w:marBottom w:val="0"/>
          <w:divBdr>
            <w:top w:val="none" w:sz="0" w:space="0" w:color="auto"/>
            <w:left w:val="none" w:sz="0" w:space="0" w:color="auto"/>
            <w:bottom w:val="none" w:sz="0" w:space="0" w:color="auto"/>
            <w:right w:val="none" w:sz="0" w:space="0" w:color="auto"/>
          </w:divBdr>
        </w:div>
        <w:div w:id="1009680381">
          <w:marLeft w:val="0"/>
          <w:marRight w:val="0"/>
          <w:marTop w:val="0"/>
          <w:marBottom w:val="0"/>
          <w:divBdr>
            <w:top w:val="none" w:sz="0" w:space="0" w:color="auto"/>
            <w:left w:val="none" w:sz="0" w:space="0" w:color="auto"/>
            <w:bottom w:val="none" w:sz="0" w:space="0" w:color="auto"/>
            <w:right w:val="none" w:sz="0" w:space="0" w:color="auto"/>
          </w:divBdr>
        </w:div>
        <w:div w:id="707686402">
          <w:marLeft w:val="0"/>
          <w:marRight w:val="0"/>
          <w:marTop w:val="0"/>
          <w:marBottom w:val="0"/>
          <w:divBdr>
            <w:top w:val="none" w:sz="0" w:space="0" w:color="auto"/>
            <w:left w:val="none" w:sz="0" w:space="0" w:color="auto"/>
            <w:bottom w:val="none" w:sz="0" w:space="0" w:color="auto"/>
            <w:right w:val="none" w:sz="0" w:space="0" w:color="auto"/>
          </w:divBdr>
        </w:div>
        <w:div w:id="425882149">
          <w:marLeft w:val="0"/>
          <w:marRight w:val="0"/>
          <w:marTop w:val="0"/>
          <w:marBottom w:val="0"/>
          <w:divBdr>
            <w:top w:val="none" w:sz="0" w:space="0" w:color="auto"/>
            <w:left w:val="none" w:sz="0" w:space="0" w:color="auto"/>
            <w:bottom w:val="none" w:sz="0" w:space="0" w:color="auto"/>
            <w:right w:val="none" w:sz="0" w:space="0" w:color="auto"/>
          </w:divBdr>
        </w:div>
        <w:div w:id="291130597">
          <w:marLeft w:val="0"/>
          <w:marRight w:val="0"/>
          <w:marTop w:val="0"/>
          <w:marBottom w:val="0"/>
          <w:divBdr>
            <w:top w:val="none" w:sz="0" w:space="0" w:color="auto"/>
            <w:left w:val="none" w:sz="0" w:space="0" w:color="auto"/>
            <w:bottom w:val="none" w:sz="0" w:space="0" w:color="auto"/>
            <w:right w:val="none" w:sz="0" w:space="0" w:color="auto"/>
          </w:divBdr>
        </w:div>
      </w:divsChild>
    </w:div>
    <w:div w:id="2067340197">
      <w:bodyDiv w:val="1"/>
      <w:marLeft w:val="0"/>
      <w:marRight w:val="0"/>
      <w:marTop w:val="0"/>
      <w:marBottom w:val="0"/>
      <w:divBdr>
        <w:top w:val="none" w:sz="0" w:space="0" w:color="auto"/>
        <w:left w:val="none" w:sz="0" w:space="0" w:color="auto"/>
        <w:bottom w:val="none" w:sz="0" w:space="0" w:color="auto"/>
        <w:right w:val="none" w:sz="0" w:space="0" w:color="auto"/>
      </w:divBdr>
      <w:divsChild>
        <w:div w:id="1521967962">
          <w:marLeft w:val="0"/>
          <w:marRight w:val="0"/>
          <w:marTop w:val="0"/>
          <w:marBottom w:val="0"/>
          <w:divBdr>
            <w:top w:val="none" w:sz="0" w:space="0" w:color="auto"/>
            <w:left w:val="none" w:sz="0" w:space="0" w:color="auto"/>
            <w:bottom w:val="none" w:sz="0" w:space="0" w:color="auto"/>
            <w:right w:val="none" w:sz="0" w:space="0" w:color="auto"/>
          </w:divBdr>
        </w:div>
        <w:div w:id="254244865">
          <w:marLeft w:val="0"/>
          <w:marRight w:val="0"/>
          <w:marTop w:val="0"/>
          <w:marBottom w:val="0"/>
          <w:divBdr>
            <w:top w:val="none" w:sz="0" w:space="0" w:color="auto"/>
            <w:left w:val="none" w:sz="0" w:space="0" w:color="auto"/>
            <w:bottom w:val="none" w:sz="0" w:space="0" w:color="auto"/>
            <w:right w:val="none" w:sz="0" w:space="0" w:color="auto"/>
          </w:divBdr>
        </w:div>
        <w:div w:id="2020741318">
          <w:marLeft w:val="0"/>
          <w:marRight w:val="0"/>
          <w:marTop w:val="0"/>
          <w:marBottom w:val="0"/>
          <w:divBdr>
            <w:top w:val="none" w:sz="0" w:space="0" w:color="auto"/>
            <w:left w:val="none" w:sz="0" w:space="0" w:color="auto"/>
            <w:bottom w:val="none" w:sz="0" w:space="0" w:color="auto"/>
            <w:right w:val="none" w:sz="0" w:space="0" w:color="auto"/>
          </w:divBdr>
        </w:div>
        <w:div w:id="2084526046">
          <w:marLeft w:val="0"/>
          <w:marRight w:val="0"/>
          <w:marTop w:val="0"/>
          <w:marBottom w:val="0"/>
          <w:divBdr>
            <w:top w:val="none" w:sz="0" w:space="0" w:color="auto"/>
            <w:left w:val="none" w:sz="0" w:space="0" w:color="auto"/>
            <w:bottom w:val="none" w:sz="0" w:space="0" w:color="auto"/>
            <w:right w:val="none" w:sz="0" w:space="0" w:color="auto"/>
          </w:divBdr>
        </w:div>
        <w:div w:id="1864514281">
          <w:marLeft w:val="0"/>
          <w:marRight w:val="0"/>
          <w:marTop w:val="0"/>
          <w:marBottom w:val="0"/>
          <w:divBdr>
            <w:top w:val="none" w:sz="0" w:space="0" w:color="auto"/>
            <w:left w:val="none" w:sz="0" w:space="0" w:color="auto"/>
            <w:bottom w:val="none" w:sz="0" w:space="0" w:color="auto"/>
            <w:right w:val="none" w:sz="0" w:space="0" w:color="auto"/>
          </w:divBdr>
        </w:div>
        <w:div w:id="347755379">
          <w:marLeft w:val="0"/>
          <w:marRight w:val="0"/>
          <w:marTop w:val="0"/>
          <w:marBottom w:val="0"/>
          <w:divBdr>
            <w:top w:val="none" w:sz="0" w:space="0" w:color="auto"/>
            <w:left w:val="none" w:sz="0" w:space="0" w:color="auto"/>
            <w:bottom w:val="none" w:sz="0" w:space="0" w:color="auto"/>
            <w:right w:val="none" w:sz="0" w:space="0" w:color="auto"/>
          </w:divBdr>
        </w:div>
      </w:divsChild>
    </w:div>
    <w:div w:id="2081321946">
      <w:bodyDiv w:val="1"/>
      <w:marLeft w:val="0"/>
      <w:marRight w:val="0"/>
      <w:marTop w:val="0"/>
      <w:marBottom w:val="0"/>
      <w:divBdr>
        <w:top w:val="none" w:sz="0" w:space="0" w:color="auto"/>
        <w:left w:val="none" w:sz="0" w:space="0" w:color="auto"/>
        <w:bottom w:val="none" w:sz="0" w:space="0" w:color="auto"/>
        <w:right w:val="none" w:sz="0" w:space="0" w:color="auto"/>
      </w:divBdr>
      <w:divsChild>
        <w:div w:id="255988566">
          <w:marLeft w:val="0"/>
          <w:marRight w:val="0"/>
          <w:marTop w:val="0"/>
          <w:marBottom w:val="0"/>
          <w:divBdr>
            <w:top w:val="none" w:sz="0" w:space="0" w:color="auto"/>
            <w:left w:val="none" w:sz="0" w:space="0" w:color="auto"/>
            <w:bottom w:val="none" w:sz="0" w:space="0" w:color="auto"/>
            <w:right w:val="none" w:sz="0" w:space="0" w:color="auto"/>
          </w:divBdr>
        </w:div>
        <w:div w:id="1291209202">
          <w:marLeft w:val="0"/>
          <w:marRight w:val="0"/>
          <w:marTop w:val="0"/>
          <w:marBottom w:val="0"/>
          <w:divBdr>
            <w:top w:val="none" w:sz="0" w:space="0" w:color="auto"/>
            <w:left w:val="none" w:sz="0" w:space="0" w:color="auto"/>
            <w:bottom w:val="none" w:sz="0" w:space="0" w:color="auto"/>
            <w:right w:val="none" w:sz="0" w:space="0" w:color="auto"/>
          </w:divBdr>
        </w:div>
        <w:div w:id="1872961359">
          <w:marLeft w:val="0"/>
          <w:marRight w:val="0"/>
          <w:marTop w:val="0"/>
          <w:marBottom w:val="0"/>
          <w:divBdr>
            <w:top w:val="none" w:sz="0" w:space="0" w:color="auto"/>
            <w:left w:val="none" w:sz="0" w:space="0" w:color="auto"/>
            <w:bottom w:val="none" w:sz="0" w:space="0" w:color="auto"/>
            <w:right w:val="none" w:sz="0" w:space="0" w:color="auto"/>
          </w:divBdr>
        </w:div>
        <w:div w:id="822307638">
          <w:marLeft w:val="0"/>
          <w:marRight w:val="0"/>
          <w:marTop w:val="0"/>
          <w:marBottom w:val="0"/>
          <w:divBdr>
            <w:top w:val="none" w:sz="0" w:space="0" w:color="auto"/>
            <w:left w:val="none" w:sz="0" w:space="0" w:color="auto"/>
            <w:bottom w:val="none" w:sz="0" w:space="0" w:color="auto"/>
            <w:right w:val="none" w:sz="0" w:space="0" w:color="auto"/>
          </w:divBdr>
        </w:div>
        <w:div w:id="243227434">
          <w:marLeft w:val="0"/>
          <w:marRight w:val="0"/>
          <w:marTop w:val="0"/>
          <w:marBottom w:val="0"/>
          <w:divBdr>
            <w:top w:val="none" w:sz="0" w:space="0" w:color="auto"/>
            <w:left w:val="none" w:sz="0" w:space="0" w:color="auto"/>
            <w:bottom w:val="none" w:sz="0" w:space="0" w:color="auto"/>
            <w:right w:val="none" w:sz="0" w:space="0" w:color="auto"/>
          </w:divBdr>
        </w:div>
        <w:div w:id="202058683">
          <w:marLeft w:val="0"/>
          <w:marRight w:val="0"/>
          <w:marTop w:val="0"/>
          <w:marBottom w:val="0"/>
          <w:divBdr>
            <w:top w:val="none" w:sz="0" w:space="0" w:color="auto"/>
            <w:left w:val="none" w:sz="0" w:space="0" w:color="auto"/>
            <w:bottom w:val="none" w:sz="0" w:space="0" w:color="auto"/>
            <w:right w:val="none" w:sz="0" w:space="0" w:color="auto"/>
          </w:divBdr>
        </w:div>
        <w:div w:id="934752581">
          <w:marLeft w:val="0"/>
          <w:marRight w:val="0"/>
          <w:marTop w:val="0"/>
          <w:marBottom w:val="0"/>
          <w:divBdr>
            <w:top w:val="none" w:sz="0" w:space="0" w:color="auto"/>
            <w:left w:val="none" w:sz="0" w:space="0" w:color="auto"/>
            <w:bottom w:val="none" w:sz="0" w:space="0" w:color="auto"/>
            <w:right w:val="none" w:sz="0" w:space="0" w:color="auto"/>
          </w:divBdr>
        </w:div>
        <w:div w:id="1262958746">
          <w:marLeft w:val="0"/>
          <w:marRight w:val="0"/>
          <w:marTop w:val="0"/>
          <w:marBottom w:val="0"/>
          <w:divBdr>
            <w:top w:val="none" w:sz="0" w:space="0" w:color="auto"/>
            <w:left w:val="none" w:sz="0" w:space="0" w:color="auto"/>
            <w:bottom w:val="none" w:sz="0" w:space="0" w:color="auto"/>
            <w:right w:val="none" w:sz="0" w:space="0" w:color="auto"/>
          </w:divBdr>
        </w:div>
        <w:div w:id="1988631290">
          <w:marLeft w:val="0"/>
          <w:marRight w:val="0"/>
          <w:marTop w:val="0"/>
          <w:marBottom w:val="0"/>
          <w:divBdr>
            <w:top w:val="none" w:sz="0" w:space="0" w:color="auto"/>
            <w:left w:val="none" w:sz="0" w:space="0" w:color="auto"/>
            <w:bottom w:val="none" w:sz="0" w:space="0" w:color="auto"/>
            <w:right w:val="none" w:sz="0" w:space="0" w:color="auto"/>
          </w:divBdr>
        </w:div>
        <w:div w:id="164903766">
          <w:marLeft w:val="0"/>
          <w:marRight w:val="0"/>
          <w:marTop w:val="0"/>
          <w:marBottom w:val="0"/>
          <w:divBdr>
            <w:top w:val="none" w:sz="0" w:space="0" w:color="auto"/>
            <w:left w:val="none" w:sz="0" w:space="0" w:color="auto"/>
            <w:bottom w:val="none" w:sz="0" w:space="0" w:color="auto"/>
            <w:right w:val="none" w:sz="0" w:space="0" w:color="auto"/>
          </w:divBdr>
        </w:div>
        <w:div w:id="1491290040">
          <w:marLeft w:val="0"/>
          <w:marRight w:val="0"/>
          <w:marTop w:val="0"/>
          <w:marBottom w:val="0"/>
          <w:divBdr>
            <w:top w:val="none" w:sz="0" w:space="0" w:color="auto"/>
            <w:left w:val="none" w:sz="0" w:space="0" w:color="auto"/>
            <w:bottom w:val="none" w:sz="0" w:space="0" w:color="auto"/>
            <w:right w:val="none" w:sz="0" w:space="0" w:color="auto"/>
          </w:divBdr>
        </w:div>
        <w:div w:id="1895464392">
          <w:marLeft w:val="0"/>
          <w:marRight w:val="0"/>
          <w:marTop w:val="0"/>
          <w:marBottom w:val="0"/>
          <w:divBdr>
            <w:top w:val="none" w:sz="0" w:space="0" w:color="auto"/>
            <w:left w:val="none" w:sz="0" w:space="0" w:color="auto"/>
            <w:bottom w:val="none" w:sz="0" w:space="0" w:color="auto"/>
            <w:right w:val="none" w:sz="0" w:space="0" w:color="auto"/>
          </w:divBdr>
        </w:div>
        <w:div w:id="2098625391">
          <w:marLeft w:val="0"/>
          <w:marRight w:val="0"/>
          <w:marTop w:val="0"/>
          <w:marBottom w:val="0"/>
          <w:divBdr>
            <w:top w:val="none" w:sz="0" w:space="0" w:color="auto"/>
            <w:left w:val="none" w:sz="0" w:space="0" w:color="auto"/>
            <w:bottom w:val="none" w:sz="0" w:space="0" w:color="auto"/>
            <w:right w:val="none" w:sz="0" w:space="0" w:color="auto"/>
          </w:divBdr>
        </w:div>
        <w:div w:id="1972246323">
          <w:marLeft w:val="0"/>
          <w:marRight w:val="0"/>
          <w:marTop w:val="0"/>
          <w:marBottom w:val="0"/>
          <w:divBdr>
            <w:top w:val="none" w:sz="0" w:space="0" w:color="auto"/>
            <w:left w:val="none" w:sz="0" w:space="0" w:color="auto"/>
            <w:bottom w:val="none" w:sz="0" w:space="0" w:color="auto"/>
            <w:right w:val="none" w:sz="0" w:space="0" w:color="auto"/>
          </w:divBdr>
        </w:div>
      </w:divsChild>
    </w:div>
    <w:div w:id="2114856060">
      <w:bodyDiv w:val="1"/>
      <w:marLeft w:val="0"/>
      <w:marRight w:val="0"/>
      <w:marTop w:val="0"/>
      <w:marBottom w:val="0"/>
      <w:divBdr>
        <w:top w:val="none" w:sz="0" w:space="0" w:color="auto"/>
        <w:left w:val="none" w:sz="0" w:space="0" w:color="auto"/>
        <w:bottom w:val="none" w:sz="0" w:space="0" w:color="auto"/>
        <w:right w:val="none" w:sz="0" w:space="0" w:color="auto"/>
      </w:divBdr>
      <w:divsChild>
        <w:div w:id="1390610311">
          <w:marLeft w:val="0"/>
          <w:marRight w:val="0"/>
          <w:marTop w:val="0"/>
          <w:marBottom w:val="0"/>
          <w:divBdr>
            <w:top w:val="none" w:sz="0" w:space="0" w:color="auto"/>
            <w:left w:val="none" w:sz="0" w:space="0" w:color="auto"/>
            <w:bottom w:val="none" w:sz="0" w:space="0" w:color="auto"/>
            <w:right w:val="none" w:sz="0" w:space="0" w:color="auto"/>
          </w:divBdr>
        </w:div>
        <w:div w:id="1089617930">
          <w:marLeft w:val="0"/>
          <w:marRight w:val="0"/>
          <w:marTop w:val="0"/>
          <w:marBottom w:val="0"/>
          <w:divBdr>
            <w:top w:val="none" w:sz="0" w:space="0" w:color="auto"/>
            <w:left w:val="none" w:sz="0" w:space="0" w:color="auto"/>
            <w:bottom w:val="none" w:sz="0" w:space="0" w:color="auto"/>
            <w:right w:val="none" w:sz="0" w:space="0" w:color="auto"/>
          </w:divBdr>
        </w:div>
        <w:div w:id="1403140831">
          <w:marLeft w:val="0"/>
          <w:marRight w:val="0"/>
          <w:marTop w:val="0"/>
          <w:marBottom w:val="0"/>
          <w:divBdr>
            <w:top w:val="none" w:sz="0" w:space="0" w:color="auto"/>
            <w:left w:val="none" w:sz="0" w:space="0" w:color="auto"/>
            <w:bottom w:val="none" w:sz="0" w:space="0" w:color="auto"/>
            <w:right w:val="none" w:sz="0" w:space="0" w:color="auto"/>
          </w:divBdr>
        </w:div>
        <w:div w:id="587924482">
          <w:marLeft w:val="0"/>
          <w:marRight w:val="0"/>
          <w:marTop w:val="0"/>
          <w:marBottom w:val="0"/>
          <w:divBdr>
            <w:top w:val="none" w:sz="0" w:space="0" w:color="auto"/>
            <w:left w:val="none" w:sz="0" w:space="0" w:color="auto"/>
            <w:bottom w:val="none" w:sz="0" w:space="0" w:color="auto"/>
            <w:right w:val="none" w:sz="0" w:space="0" w:color="auto"/>
          </w:divBdr>
        </w:div>
        <w:div w:id="1251354628">
          <w:marLeft w:val="0"/>
          <w:marRight w:val="0"/>
          <w:marTop w:val="0"/>
          <w:marBottom w:val="0"/>
          <w:divBdr>
            <w:top w:val="none" w:sz="0" w:space="0" w:color="auto"/>
            <w:left w:val="none" w:sz="0" w:space="0" w:color="auto"/>
            <w:bottom w:val="none" w:sz="0" w:space="0" w:color="auto"/>
            <w:right w:val="none" w:sz="0" w:space="0" w:color="auto"/>
          </w:divBdr>
        </w:div>
        <w:div w:id="717364234">
          <w:marLeft w:val="0"/>
          <w:marRight w:val="0"/>
          <w:marTop w:val="0"/>
          <w:marBottom w:val="0"/>
          <w:divBdr>
            <w:top w:val="none" w:sz="0" w:space="0" w:color="auto"/>
            <w:left w:val="none" w:sz="0" w:space="0" w:color="auto"/>
            <w:bottom w:val="none" w:sz="0" w:space="0" w:color="auto"/>
            <w:right w:val="none" w:sz="0" w:space="0" w:color="auto"/>
          </w:divBdr>
        </w:div>
        <w:div w:id="900752313">
          <w:marLeft w:val="0"/>
          <w:marRight w:val="0"/>
          <w:marTop w:val="0"/>
          <w:marBottom w:val="0"/>
          <w:divBdr>
            <w:top w:val="none" w:sz="0" w:space="0" w:color="auto"/>
            <w:left w:val="none" w:sz="0" w:space="0" w:color="auto"/>
            <w:bottom w:val="none" w:sz="0" w:space="0" w:color="auto"/>
            <w:right w:val="none" w:sz="0" w:space="0" w:color="auto"/>
          </w:divBdr>
        </w:div>
        <w:div w:id="1346781917">
          <w:marLeft w:val="0"/>
          <w:marRight w:val="0"/>
          <w:marTop w:val="0"/>
          <w:marBottom w:val="0"/>
          <w:divBdr>
            <w:top w:val="none" w:sz="0" w:space="0" w:color="auto"/>
            <w:left w:val="none" w:sz="0" w:space="0" w:color="auto"/>
            <w:bottom w:val="none" w:sz="0" w:space="0" w:color="auto"/>
            <w:right w:val="none" w:sz="0" w:space="0" w:color="auto"/>
          </w:divBdr>
        </w:div>
        <w:div w:id="1181627701">
          <w:marLeft w:val="0"/>
          <w:marRight w:val="0"/>
          <w:marTop w:val="0"/>
          <w:marBottom w:val="0"/>
          <w:divBdr>
            <w:top w:val="none" w:sz="0" w:space="0" w:color="auto"/>
            <w:left w:val="none" w:sz="0" w:space="0" w:color="auto"/>
            <w:bottom w:val="none" w:sz="0" w:space="0" w:color="auto"/>
            <w:right w:val="none" w:sz="0" w:space="0" w:color="auto"/>
          </w:divBdr>
        </w:div>
        <w:div w:id="1154955412">
          <w:marLeft w:val="0"/>
          <w:marRight w:val="0"/>
          <w:marTop w:val="0"/>
          <w:marBottom w:val="0"/>
          <w:divBdr>
            <w:top w:val="none" w:sz="0" w:space="0" w:color="auto"/>
            <w:left w:val="none" w:sz="0" w:space="0" w:color="auto"/>
            <w:bottom w:val="none" w:sz="0" w:space="0" w:color="auto"/>
            <w:right w:val="none" w:sz="0" w:space="0" w:color="auto"/>
          </w:divBdr>
        </w:div>
        <w:div w:id="789399867">
          <w:marLeft w:val="0"/>
          <w:marRight w:val="0"/>
          <w:marTop w:val="0"/>
          <w:marBottom w:val="0"/>
          <w:divBdr>
            <w:top w:val="none" w:sz="0" w:space="0" w:color="auto"/>
            <w:left w:val="none" w:sz="0" w:space="0" w:color="auto"/>
            <w:bottom w:val="none" w:sz="0" w:space="0" w:color="auto"/>
            <w:right w:val="none" w:sz="0" w:space="0" w:color="auto"/>
          </w:divBdr>
        </w:div>
        <w:div w:id="1853833186">
          <w:marLeft w:val="0"/>
          <w:marRight w:val="0"/>
          <w:marTop w:val="0"/>
          <w:marBottom w:val="0"/>
          <w:divBdr>
            <w:top w:val="none" w:sz="0" w:space="0" w:color="auto"/>
            <w:left w:val="none" w:sz="0" w:space="0" w:color="auto"/>
            <w:bottom w:val="none" w:sz="0" w:space="0" w:color="auto"/>
            <w:right w:val="none" w:sz="0" w:space="0" w:color="auto"/>
          </w:divBdr>
        </w:div>
        <w:div w:id="1312521820">
          <w:marLeft w:val="0"/>
          <w:marRight w:val="0"/>
          <w:marTop w:val="0"/>
          <w:marBottom w:val="0"/>
          <w:divBdr>
            <w:top w:val="none" w:sz="0" w:space="0" w:color="auto"/>
            <w:left w:val="none" w:sz="0" w:space="0" w:color="auto"/>
            <w:bottom w:val="none" w:sz="0" w:space="0" w:color="auto"/>
            <w:right w:val="none" w:sz="0" w:space="0" w:color="auto"/>
          </w:divBdr>
        </w:div>
        <w:div w:id="1121998064">
          <w:marLeft w:val="0"/>
          <w:marRight w:val="0"/>
          <w:marTop w:val="0"/>
          <w:marBottom w:val="0"/>
          <w:divBdr>
            <w:top w:val="none" w:sz="0" w:space="0" w:color="auto"/>
            <w:left w:val="none" w:sz="0" w:space="0" w:color="auto"/>
            <w:bottom w:val="none" w:sz="0" w:space="0" w:color="auto"/>
            <w:right w:val="none" w:sz="0" w:space="0" w:color="auto"/>
          </w:divBdr>
        </w:div>
        <w:div w:id="358818876">
          <w:marLeft w:val="0"/>
          <w:marRight w:val="0"/>
          <w:marTop w:val="0"/>
          <w:marBottom w:val="0"/>
          <w:divBdr>
            <w:top w:val="none" w:sz="0" w:space="0" w:color="auto"/>
            <w:left w:val="none" w:sz="0" w:space="0" w:color="auto"/>
            <w:bottom w:val="none" w:sz="0" w:space="0" w:color="auto"/>
            <w:right w:val="none" w:sz="0" w:space="0" w:color="auto"/>
          </w:divBdr>
        </w:div>
        <w:div w:id="710688937">
          <w:marLeft w:val="0"/>
          <w:marRight w:val="0"/>
          <w:marTop w:val="0"/>
          <w:marBottom w:val="0"/>
          <w:divBdr>
            <w:top w:val="none" w:sz="0" w:space="0" w:color="auto"/>
            <w:left w:val="none" w:sz="0" w:space="0" w:color="auto"/>
            <w:bottom w:val="none" w:sz="0" w:space="0" w:color="auto"/>
            <w:right w:val="none" w:sz="0" w:space="0" w:color="auto"/>
          </w:divBdr>
        </w:div>
        <w:div w:id="469447228">
          <w:marLeft w:val="0"/>
          <w:marRight w:val="0"/>
          <w:marTop w:val="0"/>
          <w:marBottom w:val="0"/>
          <w:divBdr>
            <w:top w:val="none" w:sz="0" w:space="0" w:color="auto"/>
            <w:left w:val="none" w:sz="0" w:space="0" w:color="auto"/>
            <w:bottom w:val="none" w:sz="0" w:space="0" w:color="auto"/>
            <w:right w:val="none" w:sz="0" w:space="0" w:color="auto"/>
          </w:divBdr>
        </w:div>
        <w:div w:id="1014109488">
          <w:marLeft w:val="0"/>
          <w:marRight w:val="0"/>
          <w:marTop w:val="0"/>
          <w:marBottom w:val="0"/>
          <w:divBdr>
            <w:top w:val="none" w:sz="0" w:space="0" w:color="auto"/>
            <w:left w:val="none" w:sz="0" w:space="0" w:color="auto"/>
            <w:bottom w:val="none" w:sz="0" w:space="0" w:color="auto"/>
            <w:right w:val="none" w:sz="0" w:space="0" w:color="auto"/>
          </w:divBdr>
        </w:div>
        <w:div w:id="1535650797">
          <w:marLeft w:val="0"/>
          <w:marRight w:val="0"/>
          <w:marTop w:val="0"/>
          <w:marBottom w:val="0"/>
          <w:divBdr>
            <w:top w:val="none" w:sz="0" w:space="0" w:color="auto"/>
            <w:left w:val="none" w:sz="0" w:space="0" w:color="auto"/>
            <w:bottom w:val="none" w:sz="0" w:space="0" w:color="auto"/>
            <w:right w:val="none" w:sz="0" w:space="0" w:color="auto"/>
          </w:divBdr>
        </w:div>
        <w:div w:id="674267071">
          <w:marLeft w:val="0"/>
          <w:marRight w:val="0"/>
          <w:marTop w:val="0"/>
          <w:marBottom w:val="0"/>
          <w:divBdr>
            <w:top w:val="none" w:sz="0" w:space="0" w:color="auto"/>
            <w:left w:val="none" w:sz="0" w:space="0" w:color="auto"/>
            <w:bottom w:val="none" w:sz="0" w:space="0" w:color="auto"/>
            <w:right w:val="none" w:sz="0" w:space="0" w:color="auto"/>
          </w:divBdr>
        </w:div>
        <w:div w:id="2106414352">
          <w:marLeft w:val="0"/>
          <w:marRight w:val="0"/>
          <w:marTop w:val="0"/>
          <w:marBottom w:val="0"/>
          <w:divBdr>
            <w:top w:val="none" w:sz="0" w:space="0" w:color="auto"/>
            <w:left w:val="none" w:sz="0" w:space="0" w:color="auto"/>
            <w:bottom w:val="none" w:sz="0" w:space="0" w:color="auto"/>
            <w:right w:val="none" w:sz="0" w:space="0" w:color="auto"/>
          </w:divBdr>
        </w:div>
        <w:div w:id="1918709776">
          <w:marLeft w:val="0"/>
          <w:marRight w:val="0"/>
          <w:marTop w:val="0"/>
          <w:marBottom w:val="0"/>
          <w:divBdr>
            <w:top w:val="none" w:sz="0" w:space="0" w:color="auto"/>
            <w:left w:val="none" w:sz="0" w:space="0" w:color="auto"/>
            <w:bottom w:val="none" w:sz="0" w:space="0" w:color="auto"/>
            <w:right w:val="none" w:sz="0" w:space="0" w:color="auto"/>
          </w:divBdr>
        </w:div>
      </w:divsChild>
    </w:div>
    <w:div w:id="2118521468">
      <w:bodyDiv w:val="1"/>
      <w:marLeft w:val="0"/>
      <w:marRight w:val="0"/>
      <w:marTop w:val="0"/>
      <w:marBottom w:val="0"/>
      <w:divBdr>
        <w:top w:val="none" w:sz="0" w:space="0" w:color="auto"/>
        <w:left w:val="none" w:sz="0" w:space="0" w:color="auto"/>
        <w:bottom w:val="none" w:sz="0" w:space="0" w:color="auto"/>
        <w:right w:val="none" w:sz="0" w:space="0" w:color="auto"/>
      </w:divBdr>
      <w:divsChild>
        <w:div w:id="1243491994">
          <w:marLeft w:val="0"/>
          <w:marRight w:val="0"/>
          <w:marTop w:val="0"/>
          <w:marBottom w:val="0"/>
          <w:divBdr>
            <w:top w:val="none" w:sz="0" w:space="0" w:color="auto"/>
            <w:left w:val="none" w:sz="0" w:space="0" w:color="auto"/>
            <w:bottom w:val="none" w:sz="0" w:space="0" w:color="auto"/>
            <w:right w:val="none" w:sz="0" w:space="0" w:color="auto"/>
          </w:divBdr>
        </w:div>
        <w:div w:id="1778527769">
          <w:marLeft w:val="0"/>
          <w:marRight w:val="0"/>
          <w:marTop w:val="0"/>
          <w:marBottom w:val="0"/>
          <w:divBdr>
            <w:top w:val="none" w:sz="0" w:space="0" w:color="auto"/>
            <w:left w:val="none" w:sz="0" w:space="0" w:color="auto"/>
            <w:bottom w:val="none" w:sz="0" w:space="0" w:color="auto"/>
            <w:right w:val="none" w:sz="0" w:space="0" w:color="auto"/>
          </w:divBdr>
        </w:div>
        <w:div w:id="4945585">
          <w:marLeft w:val="0"/>
          <w:marRight w:val="0"/>
          <w:marTop w:val="0"/>
          <w:marBottom w:val="0"/>
          <w:divBdr>
            <w:top w:val="none" w:sz="0" w:space="0" w:color="auto"/>
            <w:left w:val="none" w:sz="0" w:space="0" w:color="auto"/>
            <w:bottom w:val="none" w:sz="0" w:space="0" w:color="auto"/>
            <w:right w:val="none" w:sz="0" w:space="0" w:color="auto"/>
          </w:divBdr>
        </w:div>
        <w:div w:id="250627988">
          <w:marLeft w:val="0"/>
          <w:marRight w:val="0"/>
          <w:marTop w:val="0"/>
          <w:marBottom w:val="0"/>
          <w:divBdr>
            <w:top w:val="none" w:sz="0" w:space="0" w:color="auto"/>
            <w:left w:val="none" w:sz="0" w:space="0" w:color="auto"/>
            <w:bottom w:val="none" w:sz="0" w:space="0" w:color="auto"/>
            <w:right w:val="none" w:sz="0" w:space="0" w:color="auto"/>
          </w:divBdr>
        </w:div>
        <w:div w:id="678697291">
          <w:marLeft w:val="0"/>
          <w:marRight w:val="0"/>
          <w:marTop w:val="0"/>
          <w:marBottom w:val="0"/>
          <w:divBdr>
            <w:top w:val="none" w:sz="0" w:space="0" w:color="auto"/>
            <w:left w:val="none" w:sz="0" w:space="0" w:color="auto"/>
            <w:bottom w:val="none" w:sz="0" w:space="0" w:color="auto"/>
            <w:right w:val="none" w:sz="0" w:space="0" w:color="auto"/>
          </w:divBdr>
        </w:div>
        <w:div w:id="1447695221">
          <w:marLeft w:val="0"/>
          <w:marRight w:val="0"/>
          <w:marTop w:val="0"/>
          <w:marBottom w:val="0"/>
          <w:divBdr>
            <w:top w:val="none" w:sz="0" w:space="0" w:color="auto"/>
            <w:left w:val="none" w:sz="0" w:space="0" w:color="auto"/>
            <w:bottom w:val="none" w:sz="0" w:space="0" w:color="auto"/>
            <w:right w:val="none" w:sz="0" w:space="0" w:color="auto"/>
          </w:divBdr>
        </w:div>
        <w:div w:id="178393997">
          <w:marLeft w:val="0"/>
          <w:marRight w:val="0"/>
          <w:marTop w:val="0"/>
          <w:marBottom w:val="0"/>
          <w:divBdr>
            <w:top w:val="none" w:sz="0" w:space="0" w:color="auto"/>
            <w:left w:val="none" w:sz="0" w:space="0" w:color="auto"/>
            <w:bottom w:val="none" w:sz="0" w:space="0" w:color="auto"/>
            <w:right w:val="none" w:sz="0" w:space="0" w:color="auto"/>
          </w:divBdr>
        </w:div>
        <w:div w:id="600725327">
          <w:marLeft w:val="0"/>
          <w:marRight w:val="0"/>
          <w:marTop w:val="0"/>
          <w:marBottom w:val="0"/>
          <w:divBdr>
            <w:top w:val="none" w:sz="0" w:space="0" w:color="auto"/>
            <w:left w:val="none" w:sz="0" w:space="0" w:color="auto"/>
            <w:bottom w:val="none" w:sz="0" w:space="0" w:color="auto"/>
            <w:right w:val="none" w:sz="0" w:space="0" w:color="auto"/>
          </w:divBdr>
        </w:div>
        <w:div w:id="551036353">
          <w:marLeft w:val="0"/>
          <w:marRight w:val="0"/>
          <w:marTop w:val="0"/>
          <w:marBottom w:val="0"/>
          <w:divBdr>
            <w:top w:val="none" w:sz="0" w:space="0" w:color="auto"/>
            <w:left w:val="none" w:sz="0" w:space="0" w:color="auto"/>
            <w:bottom w:val="none" w:sz="0" w:space="0" w:color="auto"/>
            <w:right w:val="none" w:sz="0" w:space="0" w:color="auto"/>
          </w:divBdr>
        </w:div>
        <w:div w:id="1801997812">
          <w:marLeft w:val="0"/>
          <w:marRight w:val="0"/>
          <w:marTop w:val="0"/>
          <w:marBottom w:val="0"/>
          <w:divBdr>
            <w:top w:val="none" w:sz="0" w:space="0" w:color="auto"/>
            <w:left w:val="none" w:sz="0" w:space="0" w:color="auto"/>
            <w:bottom w:val="none" w:sz="0" w:space="0" w:color="auto"/>
            <w:right w:val="none" w:sz="0" w:space="0" w:color="auto"/>
          </w:divBdr>
        </w:div>
        <w:div w:id="482814773">
          <w:marLeft w:val="0"/>
          <w:marRight w:val="0"/>
          <w:marTop w:val="0"/>
          <w:marBottom w:val="0"/>
          <w:divBdr>
            <w:top w:val="none" w:sz="0" w:space="0" w:color="auto"/>
            <w:left w:val="none" w:sz="0" w:space="0" w:color="auto"/>
            <w:bottom w:val="none" w:sz="0" w:space="0" w:color="auto"/>
            <w:right w:val="none" w:sz="0" w:space="0" w:color="auto"/>
          </w:divBdr>
        </w:div>
        <w:div w:id="839613598">
          <w:marLeft w:val="0"/>
          <w:marRight w:val="0"/>
          <w:marTop w:val="0"/>
          <w:marBottom w:val="0"/>
          <w:divBdr>
            <w:top w:val="none" w:sz="0" w:space="0" w:color="auto"/>
            <w:left w:val="none" w:sz="0" w:space="0" w:color="auto"/>
            <w:bottom w:val="none" w:sz="0" w:space="0" w:color="auto"/>
            <w:right w:val="none" w:sz="0" w:space="0" w:color="auto"/>
          </w:divBdr>
        </w:div>
        <w:div w:id="1886796583">
          <w:marLeft w:val="0"/>
          <w:marRight w:val="0"/>
          <w:marTop w:val="0"/>
          <w:marBottom w:val="0"/>
          <w:divBdr>
            <w:top w:val="none" w:sz="0" w:space="0" w:color="auto"/>
            <w:left w:val="none" w:sz="0" w:space="0" w:color="auto"/>
            <w:bottom w:val="none" w:sz="0" w:space="0" w:color="auto"/>
            <w:right w:val="none" w:sz="0" w:space="0" w:color="auto"/>
          </w:divBdr>
        </w:div>
        <w:div w:id="1368406215">
          <w:marLeft w:val="0"/>
          <w:marRight w:val="0"/>
          <w:marTop w:val="0"/>
          <w:marBottom w:val="0"/>
          <w:divBdr>
            <w:top w:val="none" w:sz="0" w:space="0" w:color="auto"/>
            <w:left w:val="none" w:sz="0" w:space="0" w:color="auto"/>
            <w:bottom w:val="none" w:sz="0" w:space="0" w:color="auto"/>
            <w:right w:val="none" w:sz="0" w:space="0" w:color="auto"/>
          </w:divBdr>
        </w:div>
        <w:div w:id="1149520931">
          <w:marLeft w:val="0"/>
          <w:marRight w:val="0"/>
          <w:marTop w:val="0"/>
          <w:marBottom w:val="0"/>
          <w:divBdr>
            <w:top w:val="none" w:sz="0" w:space="0" w:color="auto"/>
            <w:left w:val="none" w:sz="0" w:space="0" w:color="auto"/>
            <w:bottom w:val="none" w:sz="0" w:space="0" w:color="auto"/>
            <w:right w:val="none" w:sz="0" w:space="0" w:color="auto"/>
          </w:divBdr>
        </w:div>
        <w:div w:id="1900702976">
          <w:marLeft w:val="0"/>
          <w:marRight w:val="0"/>
          <w:marTop w:val="0"/>
          <w:marBottom w:val="0"/>
          <w:divBdr>
            <w:top w:val="none" w:sz="0" w:space="0" w:color="auto"/>
            <w:left w:val="none" w:sz="0" w:space="0" w:color="auto"/>
            <w:bottom w:val="none" w:sz="0" w:space="0" w:color="auto"/>
            <w:right w:val="none" w:sz="0" w:space="0" w:color="auto"/>
          </w:divBdr>
        </w:div>
        <w:div w:id="893124881">
          <w:marLeft w:val="0"/>
          <w:marRight w:val="0"/>
          <w:marTop w:val="0"/>
          <w:marBottom w:val="0"/>
          <w:divBdr>
            <w:top w:val="none" w:sz="0" w:space="0" w:color="auto"/>
            <w:left w:val="none" w:sz="0" w:space="0" w:color="auto"/>
            <w:bottom w:val="none" w:sz="0" w:space="0" w:color="auto"/>
            <w:right w:val="none" w:sz="0" w:space="0" w:color="auto"/>
          </w:divBdr>
        </w:div>
        <w:div w:id="2136020200">
          <w:marLeft w:val="0"/>
          <w:marRight w:val="0"/>
          <w:marTop w:val="0"/>
          <w:marBottom w:val="0"/>
          <w:divBdr>
            <w:top w:val="none" w:sz="0" w:space="0" w:color="auto"/>
            <w:left w:val="none" w:sz="0" w:space="0" w:color="auto"/>
            <w:bottom w:val="none" w:sz="0" w:space="0" w:color="auto"/>
            <w:right w:val="none" w:sz="0" w:space="0" w:color="auto"/>
          </w:divBdr>
        </w:div>
        <w:div w:id="592856755">
          <w:marLeft w:val="0"/>
          <w:marRight w:val="0"/>
          <w:marTop w:val="0"/>
          <w:marBottom w:val="0"/>
          <w:divBdr>
            <w:top w:val="none" w:sz="0" w:space="0" w:color="auto"/>
            <w:left w:val="none" w:sz="0" w:space="0" w:color="auto"/>
            <w:bottom w:val="none" w:sz="0" w:space="0" w:color="auto"/>
            <w:right w:val="none" w:sz="0" w:space="0" w:color="auto"/>
          </w:divBdr>
        </w:div>
        <w:div w:id="1289780638">
          <w:marLeft w:val="0"/>
          <w:marRight w:val="0"/>
          <w:marTop w:val="0"/>
          <w:marBottom w:val="0"/>
          <w:divBdr>
            <w:top w:val="none" w:sz="0" w:space="0" w:color="auto"/>
            <w:left w:val="none" w:sz="0" w:space="0" w:color="auto"/>
            <w:bottom w:val="none" w:sz="0" w:space="0" w:color="auto"/>
            <w:right w:val="none" w:sz="0" w:space="0" w:color="auto"/>
          </w:divBdr>
        </w:div>
        <w:div w:id="857617781">
          <w:marLeft w:val="0"/>
          <w:marRight w:val="0"/>
          <w:marTop w:val="0"/>
          <w:marBottom w:val="0"/>
          <w:divBdr>
            <w:top w:val="none" w:sz="0" w:space="0" w:color="auto"/>
            <w:left w:val="none" w:sz="0" w:space="0" w:color="auto"/>
            <w:bottom w:val="none" w:sz="0" w:space="0" w:color="auto"/>
            <w:right w:val="none" w:sz="0" w:space="0" w:color="auto"/>
          </w:divBdr>
        </w:div>
        <w:div w:id="1487819573">
          <w:marLeft w:val="0"/>
          <w:marRight w:val="0"/>
          <w:marTop w:val="0"/>
          <w:marBottom w:val="0"/>
          <w:divBdr>
            <w:top w:val="none" w:sz="0" w:space="0" w:color="auto"/>
            <w:left w:val="none" w:sz="0" w:space="0" w:color="auto"/>
            <w:bottom w:val="none" w:sz="0" w:space="0" w:color="auto"/>
            <w:right w:val="none" w:sz="0" w:space="0" w:color="auto"/>
          </w:divBdr>
        </w:div>
        <w:div w:id="694385828">
          <w:marLeft w:val="0"/>
          <w:marRight w:val="0"/>
          <w:marTop w:val="0"/>
          <w:marBottom w:val="0"/>
          <w:divBdr>
            <w:top w:val="none" w:sz="0" w:space="0" w:color="auto"/>
            <w:left w:val="none" w:sz="0" w:space="0" w:color="auto"/>
            <w:bottom w:val="none" w:sz="0" w:space="0" w:color="auto"/>
            <w:right w:val="none" w:sz="0" w:space="0" w:color="auto"/>
          </w:divBdr>
        </w:div>
        <w:div w:id="1017194839">
          <w:marLeft w:val="0"/>
          <w:marRight w:val="0"/>
          <w:marTop w:val="0"/>
          <w:marBottom w:val="0"/>
          <w:divBdr>
            <w:top w:val="none" w:sz="0" w:space="0" w:color="auto"/>
            <w:left w:val="none" w:sz="0" w:space="0" w:color="auto"/>
            <w:bottom w:val="none" w:sz="0" w:space="0" w:color="auto"/>
            <w:right w:val="none" w:sz="0" w:space="0" w:color="auto"/>
          </w:divBdr>
        </w:div>
        <w:div w:id="167185536">
          <w:marLeft w:val="0"/>
          <w:marRight w:val="0"/>
          <w:marTop w:val="0"/>
          <w:marBottom w:val="0"/>
          <w:divBdr>
            <w:top w:val="none" w:sz="0" w:space="0" w:color="auto"/>
            <w:left w:val="none" w:sz="0" w:space="0" w:color="auto"/>
            <w:bottom w:val="none" w:sz="0" w:space="0" w:color="auto"/>
            <w:right w:val="none" w:sz="0" w:space="0" w:color="auto"/>
          </w:divBdr>
        </w:div>
        <w:div w:id="341861102">
          <w:marLeft w:val="0"/>
          <w:marRight w:val="0"/>
          <w:marTop w:val="0"/>
          <w:marBottom w:val="0"/>
          <w:divBdr>
            <w:top w:val="none" w:sz="0" w:space="0" w:color="auto"/>
            <w:left w:val="none" w:sz="0" w:space="0" w:color="auto"/>
            <w:bottom w:val="none" w:sz="0" w:space="0" w:color="auto"/>
            <w:right w:val="none" w:sz="0" w:space="0" w:color="auto"/>
          </w:divBdr>
        </w:div>
        <w:div w:id="1733889854">
          <w:marLeft w:val="0"/>
          <w:marRight w:val="0"/>
          <w:marTop w:val="0"/>
          <w:marBottom w:val="0"/>
          <w:divBdr>
            <w:top w:val="none" w:sz="0" w:space="0" w:color="auto"/>
            <w:left w:val="none" w:sz="0" w:space="0" w:color="auto"/>
            <w:bottom w:val="none" w:sz="0" w:space="0" w:color="auto"/>
            <w:right w:val="none" w:sz="0" w:space="0" w:color="auto"/>
          </w:divBdr>
        </w:div>
        <w:div w:id="1230572793">
          <w:marLeft w:val="0"/>
          <w:marRight w:val="0"/>
          <w:marTop w:val="0"/>
          <w:marBottom w:val="0"/>
          <w:divBdr>
            <w:top w:val="none" w:sz="0" w:space="0" w:color="auto"/>
            <w:left w:val="none" w:sz="0" w:space="0" w:color="auto"/>
            <w:bottom w:val="none" w:sz="0" w:space="0" w:color="auto"/>
            <w:right w:val="none" w:sz="0" w:space="0" w:color="auto"/>
          </w:divBdr>
        </w:div>
        <w:div w:id="1136141720">
          <w:marLeft w:val="0"/>
          <w:marRight w:val="0"/>
          <w:marTop w:val="0"/>
          <w:marBottom w:val="0"/>
          <w:divBdr>
            <w:top w:val="none" w:sz="0" w:space="0" w:color="auto"/>
            <w:left w:val="none" w:sz="0" w:space="0" w:color="auto"/>
            <w:bottom w:val="none" w:sz="0" w:space="0" w:color="auto"/>
            <w:right w:val="none" w:sz="0" w:space="0" w:color="auto"/>
          </w:divBdr>
        </w:div>
        <w:div w:id="1063724310">
          <w:marLeft w:val="0"/>
          <w:marRight w:val="0"/>
          <w:marTop w:val="0"/>
          <w:marBottom w:val="0"/>
          <w:divBdr>
            <w:top w:val="none" w:sz="0" w:space="0" w:color="auto"/>
            <w:left w:val="none" w:sz="0" w:space="0" w:color="auto"/>
            <w:bottom w:val="none" w:sz="0" w:space="0" w:color="auto"/>
            <w:right w:val="none" w:sz="0" w:space="0" w:color="auto"/>
          </w:divBdr>
        </w:div>
        <w:div w:id="1089543247">
          <w:marLeft w:val="0"/>
          <w:marRight w:val="0"/>
          <w:marTop w:val="0"/>
          <w:marBottom w:val="0"/>
          <w:divBdr>
            <w:top w:val="none" w:sz="0" w:space="0" w:color="auto"/>
            <w:left w:val="none" w:sz="0" w:space="0" w:color="auto"/>
            <w:bottom w:val="none" w:sz="0" w:space="0" w:color="auto"/>
            <w:right w:val="none" w:sz="0" w:space="0" w:color="auto"/>
          </w:divBdr>
        </w:div>
        <w:div w:id="607006860">
          <w:marLeft w:val="0"/>
          <w:marRight w:val="0"/>
          <w:marTop w:val="0"/>
          <w:marBottom w:val="0"/>
          <w:divBdr>
            <w:top w:val="none" w:sz="0" w:space="0" w:color="auto"/>
            <w:left w:val="none" w:sz="0" w:space="0" w:color="auto"/>
            <w:bottom w:val="none" w:sz="0" w:space="0" w:color="auto"/>
            <w:right w:val="none" w:sz="0" w:space="0" w:color="auto"/>
          </w:divBdr>
        </w:div>
        <w:div w:id="2056393149">
          <w:marLeft w:val="0"/>
          <w:marRight w:val="0"/>
          <w:marTop w:val="0"/>
          <w:marBottom w:val="0"/>
          <w:divBdr>
            <w:top w:val="none" w:sz="0" w:space="0" w:color="auto"/>
            <w:left w:val="none" w:sz="0" w:space="0" w:color="auto"/>
            <w:bottom w:val="none" w:sz="0" w:space="0" w:color="auto"/>
            <w:right w:val="none" w:sz="0" w:space="0" w:color="auto"/>
          </w:divBdr>
        </w:div>
      </w:divsChild>
    </w:div>
    <w:div w:id="212745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cases.justia.com/federal/district-courts/virginia/vaedce/3:2024cv00108/549376/71/0.pdf?ts=1749905770" TargetMode="External"/><Relationship Id="rId1827" Type="http://schemas.openxmlformats.org/officeDocument/2006/relationships/hyperlink" Target="http://www.courtswv.gov/supreme-court/docs/fall2023/22-0185-hutchison-p.pdf" TargetMode="External"/><Relationship Id="rId21" Type="http://schemas.openxmlformats.org/officeDocument/2006/relationships/hyperlink" Target="http://www.waveland.com/browse.php?t=708" TargetMode="External"/><Relationship Id="rId2089" Type="http://schemas.openxmlformats.org/officeDocument/2006/relationships/hyperlink" Target="https://www.mass.gov/doc/commonwealth-v-verrier-ac-g24p446/download" TargetMode="External"/><Relationship Id="rId170" Type="http://schemas.openxmlformats.org/officeDocument/2006/relationships/hyperlink" Target="https://public.fastcase.com/ppbqSQpNDaJE%2F8PlIk0b8ECWv6%2F0KW8eOOGtTNlYs%2F2eCExN%2BikZLxSyxw9X8iC%2F" TargetMode="External"/><Relationship Id="rId2296" Type="http://schemas.openxmlformats.org/officeDocument/2006/relationships/hyperlink" Target="https://www.supremecourt.gov/opinions/21pdf/21a145_gfbi.pdf" TargetMode="External"/><Relationship Id="rId268" Type="http://schemas.openxmlformats.org/officeDocument/2006/relationships/hyperlink" Target="https://media.ca11.uscourts.gov/opinions/pub/files/201713526.pdf" TargetMode="External"/><Relationship Id="rId475" Type="http://schemas.openxmlformats.org/officeDocument/2006/relationships/hyperlink" Target="https://www.hometownlife.com/story/news/local/westland/2016/04/15/report-released-westland-firefighter-death/83087498/" TargetMode="External"/><Relationship Id="rId682" Type="http://schemas.openxmlformats.org/officeDocument/2006/relationships/hyperlink" Target="https://www.supremecourt.gov/opinions/24pdf/24a949_lkhn.pdf" TargetMode="External"/><Relationship Id="rId2156" Type="http://schemas.openxmlformats.org/officeDocument/2006/relationships/hyperlink" Target="http://www.opn.ca6.uscourts.gov/opinions.pdf/08a0140p-06.pdf" TargetMode="External"/><Relationship Id="rId2363" Type="http://schemas.openxmlformats.org/officeDocument/2006/relationships/hyperlink" Target="file:///C:/Users/lawre/AppData/Local/Temp/hb151_05_EN.pdf" TargetMode="External"/><Relationship Id="rId2570" Type="http://schemas.openxmlformats.org/officeDocument/2006/relationships/hyperlink" Target="https://public.fastcase.com/Jhe1Qn%2BmJndQYQU6z%2FeNm3FkCM2jWCAdlM1JWFE9c8I4cu8UE8nnROw9g8pQru3qX50wM6VA5Q6C6W7bTimjewt8baK5LV89G9hOJ3Hoqaw%3D?utm_medium=email&amp;_hsenc=p2ANqtz-_BuWF_rVxZJ_ThXodME56Qn02TlxXtEPZR0pM596-W86IiSz4xrEN_MpysqbI906jQkVOKXR9ddhRRIzUH7APhy4Ve8A&amp;_hsmi=226712652&amp;utm_content=226712652&amp;utm_source=hs_email" TargetMode="External"/><Relationship Id="rId128" Type="http://schemas.openxmlformats.org/officeDocument/2006/relationships/hyperlink" Target="https://www.yahoo.com/news/ohio-county-cold-case-ends-102300006.html" TargetMode="External"/><Relationship Id="rId335" Type="http://schemas.openxmlformats.org/officeDocument/2006/relationships/hyperlink" Target="https://catalog.nfpa.org/NFPA-921-Guide-for-Fire-and-Explosion-Investigations-C472.aspx?order_src=C900&amp;gclid=EAIaIQobChMI3pOKsKem5gIVJIVaBR1UwAkCEAAYASAAEgLHSvD_BwE" TargetMode="External"/><Relationship Id="rId542" Type="http://schemas.openxmlformats.org/officeDocument/2006/relationships/hyperlink" Target="https://www.supremecourt.gov/opinions/21pdf/20-843_7j80.pdf" TargetMode="External"/><Relationship Id="rId987" Type="http://schemas.openxmlformats.org/officeDocument/2006/relationships/hyperlink" Target="https://www.njcourts.gov/system/files/court-opinions/2023/a0009-22.pdf" TargetMode="External"/><Relationship Id="rId1172" Type="http://schemas.openxmlformats.org/officeDocument/2006/relationships/hyperlink" Target="https://casetext.com/case/city-of-henderson-v-law" TargetMode="External"/><Relationship Id="rId2016" Type="http://schemas.openxmlformats.org/officeDocument/2006/relationships/hyperlink" Target="http://www.diversionspecialists.com/wp-content/uploads/Considerations-When-Tampering-Occurs.pdf" TargetMode="External"/><Relationship Id="rId2223" Type="http://schemas.openxmlformats.org/officeDocument/2006/relationships/hyperlink" Target="https://s3.amazonaws.com/jnswire/jns-media/e9/3e/12863006/unions_v_chicago_vax_ilrb_alj.pdf" TargetMode="External"/><Relationship Id="rId2430" Type="http://schemas.openxmlformats.org/officeDocument/2006/relationships/hyperlink" Target="https://www.bizjournals.com/columbus/news/2018/09/20/new-ohio-law-incentivizes-businesses-that-comply.html" TargetMode="External"/><Relationship Id="rId2668" Type="http://schemas.openxmlformats.org/officeDocument/2006/relationships/hyperlink" Target="https://casetext.com/case/zahn-v-kenner-mun-fire-police-civil-serv-bd" TargetMode="External"/><Relationship Id="rId2875" Type="http://schemas.openxmlformats.org/officeDocument/2006/relationships/hyperlink" Target="https://www.vindy.com/news/local-news/2024/03/citys-request-to-dismiss-fire-union-case-falters/" TargetMode="External"/><Relationship Id="rId402" Type="http://schemas.openxmlformats.org/officeDocument/2006/relationships/hyperlink" Target="https://www.newsbreak.com/news-12-2283883/4553774051867-today-is-the-fifth-anniversary-of-a-rockland-county-fire-that-killed-two-including-a-local-firefighter" TargetMode="External"/><Relationship Id="rId847" Type="http://schemas.openxmlformats.org/officeDocument/2006/relationships/hyperlink" Target="https://www.supremecourt.gov/opinions/17pdf/16-402_h315.pdf" TargetMode="External"/><Relationship Id="rId1032" Type="http://schemas.openxmlformats.org/officeDocument/2006/relationships/hyperlink" Target="http://www.cantonrep.com/news/20160713/massillon-family-awarded-362k-in-2008-firetruck-crash-settlement" TargetMode="External"/><Relationship Id="rId1477" Type="http://schemas.openxmlformats.org/officeDocument/2006/relationships/hyperlink" Target="https://www.eeoc.gov/laws/types/harassment.cfm" TargetMode="External"/><Relationship Id="rId1684" Type="http://schemas.openxmlformats.org/officeDocument/2006/relationships/hyperlink" Target="https://cases.justia.com/federal/appellate-courts/ca11/22-10002/22-10002-2023-10-11.pdf?ts=1697045568" TargetMode="External"/><Relationship Id="rId1891" Type="http://schemas.openxmlformats.org/officeDocument/2006/relationships/hyperlink" Target="https://www.leagle.com/decision/infco20170803124" TargetMode="External"/><Relationship Id="rId2528" Type="http://schemas.openxmlformats.org/officeDocument/2006/relationships/hyperlink" Target="mailto:Birkleea@ucmail.uc.edu" TargetMode="External"/><Relationship Id="rId2735" Type="http://schemas.openxmlformats.org/officeDocument/2006/relationships/hyperlink" Target="https://codes.ohio.gov/ohio-revised-code/section-9.481" TargetMode="External"/><Relationship Id="rId2942" Type="http://schemas.openxmlformats.org/officeDocument/2006/relationships/hyperlink" Target="https://www.ca5.uscourts.gov/opinions/pub/23/23-40605-CV1.pdf" TargetMode="External"/><Relationship Id="rId707" Type="http://schemas.openxmlformats.org/officeDocument/2006/relationships/hyperlink" Target="https://storage.courtlistener.com/recap/gov.uscourts.cadc.39605/gov.uscourts.cadc.39605.1208600933.0.pdf" TargetMode="External"/><Relationship Id="rId914" Type="http://schemas.openxmlformats.org/officeDocument/2006/relationships/hyperlink" Target="https://codes.ohio.gov/ohio-revised-code/section-3314.07" TargetMode="External"/><Relationship Id="rId1337" Type="http://schemas.openxmlformats.org/officeDocument/2006/relationships/hyperlink" Target="https://www.supremecourt.gov/opinions/17pdf/16-285_q8l1.pdf" TargetMode="External"/><Relationship Id="rId1544" Type="http://schemas.openxmlformats.org/officeDocument/2006/relationships/hyperlink" Target="https://casetext.com/case/corbin-v-black-jack-fire-prot-dist" TargetMode="External"/><Relationship Id="rId1751" Type="http://schemas.openxmlformats.org/officeDocument/2006/relationships/hyperlink" Target="https://casetext.com/case/gilbert-v-city-of-newport" TargetMode="External"/><Relationship Id="rId1989" Type="http://schemas.openxmlformats.org/officeDocument/2006/relationships/hyperlink" Target="https://www.npr.org/2021/11/09/1054000996/oklahoma-supreme-court-465-million-opioid-ruling" TargetMode="External"/><Relationship Id="rId2802" Type="http://schemas.openxmlformats.org/officeDocument/2006/relationships/hyperlink" Target="https://public.fastcase.com/Wl%2B2t%2BeVuI35%2FN70vAMFZlZAOd3Yf30gW5GUDA4he8qcwsisxdvBFlR%2Bm9b1UDwt" TargetMode="External"/><Relationship Id="rId43" Type="http://schemas.openxmlformats.org/officeDocument/2006/relationships/hyperlink" Target="https://www.casemine.com/judgement/us/6995c147d22bd43f3d89db5b" TargetMode="External"/><Relationship Id="rId1404" Type="http://schemas.openxmlformats.org/officeDocument/2006/relationships/hyperlink" Target="https://public.fastcase.com/ZZhmr5v9wN%2FXOe5IsQ%2FqD%2FNGb7gFooJuC7EPCkPbb8zYGJ%2BdPMtTRazA4SgxbA0Hq%2Bqtj6iK5eurCbJj4Cn6ySK1qzuHHpkHA9cN2Vx6eWo%3D?utm_medium=email&amp;_hsmi=226712652&amp;_hsenc=p2ANqtz-_M4ZQ75NqvFrlpX3gz1MCu7xTgTM0sg-yZbWDDZft-2cApXVRPMU-C3jBD2GmP4Ff9YuyLw19xTYwQuDOoCvQcSGp93w&amp;utm_content=226712652&amp;utm_source=hs_email" TargetMode="External"/><Relationship Id="rId1611" Type="http://schemas.openxmlformats.org/officeDocument/2006/relationships/hyperlink" Target="https://casetext.com/case/alamo-v-city-of-chi-2" TargetMode="External"/><Relationship Id="rId1849" Type="http://schemas.openxmlformats.org/officeDocument/2006/relationships/hyperlink" Target="https://www.providencejournal.com/story/news/courts/2020/10/20/central-coventry-firefighters-say-district-stiffed-them-overtime/5990213002/" TargetMode="External"/><Relationship Id="rId192" Type="http://schemas.openxmlformats.org/officeDocument/2006/relationships/hyperlink" Target="https://www.justice.gov/opa/pr/false-claims-act-settlements-and-judgments-exceed-2-billion-fiscal-year-2022" TargetMode="External"/><Relationship Id="rId1709" Type="http://schemas.openxmlformats.org/officeDocument/2006/relationships/hyperlink" Target="https://public.fastcase.com/J%2FJP6pdidelsXxEE4k%2BLMkpx4Tc1lqsghN0FDa1gb3wMFLVhhLo5FWrnkmMj5%2F%2BBVQtdjf8pXYj06hYu%2BnGwGl7dOZtJUpPBXfNPjPwixAs%3D?utm_medium=email&amp;_hsmi=226712652&amp;_hsenc=p2ANqtz--C2h-0vhrKpmBZ-sfV5NXYWdtLuQagg3T7ZppydHXd8lRUQhheIKUZNhzvLNm0zeXmkYrDIZXEzHKpdEczURzqVa6roA&amp;utm_content=226712652&amp;utm_source=hs_email" TargetMode="External"/><Relationship Id="rId1916" Type="http://schemas.openxmlformats.org/officeDocument/2006/relationships/hyperlink" Target="https://www.dol.gov/whd/overtime/regularrate2019.htm" TargetMode="External"/><Relationship Id="rId497" Type="http://schemas.openxmlformats.org/officeDocument/2006/relationships/hyperlink" Target="https://casetext.com/statute/consolidated-laws-of-new-york/chapter-volunteer-firefighters-benefit/article-2-coverage-and-benefits/section-19-exclusiveness-of-remedy" TargetMode="External"/><Relationship Id="rId2080" Type="http://schemas.openxmlformats.org/officeDocument/2006/relationships/hyperlink" Target="https://cases.justia.com/federal/district-courts/california/candce/3:2022cv02130/394009/131/0.pdf" TargetMode="External"/><Relationship Id="rId2178" Type="http://schemas.openxmlformats.org/officeDocument/2006/relationships/hyperlink" Target="https://public.fastcase.com/H1P9uiW3J20SFp%2BGCG%2BxLaemfayQbOUv%2BEh6FB5s8DQhIQ87YMziPJITlyqe%2FhSH?utm_medium=email&amp;_hsmi=226712652&amp;_hsenc=p2ANqtz-8exNZIeYxIQOzMK262tD3IHaMXGJDKKAxfpMPtjNaE7kcerp9c9vm-ypoKl8zd2ZG1HbM5kXW5cAGwdVsTDfl2ZJRdHw&amp;utm_content=226712652&amp;utm_source=hs_email" TargetMode="External"/><Relationship Id="rId2385" Type="http://schemas.openxmlformats.org/officeDocument/2006/relationships/hyperlink" Target="https://iapps.courts.state.ny.us/search/wicket/page?2-IResourceListener-pnlResultContainer-pnlResult-2-lnkDocument" TargetMode="External"/><Relationship Id="rId357" Type="http://schemas.openxmlformats.org/officeDocument/2006/relationships/hyperlink" Target="https://cases.justia.com/pennsylvania/superior-court/2019-1121-mda-2017.pdf?ts=1547235373" TargetMode="External"/><Relationship Id="rId1194" Type="http://schemas.openxmlformats.org/officeDocument/2006/relationships/hyperlink" Target="https://www.opn.ca6.uscourts.gov/opinions.pdf/21a0204p-06.pdf" TargetMode="External"/><Relationship Id="rId2038" Type="http://schemas.openxmlformats.org/officeDocument/2006/relationships/hyperlink" Target="https://www.legalnewsline.com/cook-county-record/chicago-firefighter-says-city-forced-him-to-refuse-all-other-meds-before-granting-covid-vax/article_68ad87a4-9b1a-50d4-8779-f38508fd4aad.html" TargetMode="External"/><Relationship Id="rId2592" Type="http://schemas.openxmlformats.org/officeDocument/2006/relationships/hyperlink" Target="https://public.fastcase.com/Jhe1Qn%2BmJndQYQU6z%2FeNmypmOFzJk4IjV67xdVBvH10%2BbioR%2BE7hDrSDKPa8oeXy4gUzK0dNFlYVAdtPS9qapAikGtcKVY%2BDC%2Fxrd0A1wWk%3D?utm_medium=email&amp;_hsenc=p2ANqtz--Rb3GwipZHtCJJMLiUWpVHk6Q4w73GSXOI_LD5Raf1axu72BnOP1L2YEQ80fNqXbpHCp329zbZOj3hD1ZT_BRNOO8R9w&amp;_hsmi=226712652&amp;utm_content=226712652&amp;utm_source=hs_email" TargetMode="External"/><Relationship Id="rId2897" Type="http://schemas.openxmlformats.org/officeDocument/2006/relationships/hyperlink" Target="https://www.jacksonlewis.com/sites/default/files/docs/IGTBoardDecision.pdf" TargetMode="External"/><Relationship Id="rId217" Type="http://schemas.openxmlformats.org/officeDocument/2006/relationships/hyperlink" Target="https://www.supremecourt.ohio.gov/rod/docs/pdf/0/2022/2022-Ohio-2832.pdf" TargetMode="External"/><Relationship Id="rId564" Type="http://schemas.openxmlformats.org/officeDocument/2006/relationships/hyperlink" Target="https://law.justia.com/cases/michigan/court-of-appeals-unpublished/2021/350129.html" TargetMode="External"/><Relationship Id="rId771" Type="http://schemas.openxmlformats.org/officeDocument/2006/relationships/hyperlink" Target="https://www.washingtonpost.com/opinions/2021/07/18/federal-appeals-court-decisions-handguns-opens-door-more-violence/?utm_campaign=wp_todays_headlines&amp;utm_medium=email&amp;utm_source=newsletter&amp;wpisrc=nl_headlines&amp;carta-url=https%3A%2F%2Fs2.washingtonpost.com%2Fcar-ln-tr%2F342e6a3%2F60f54d379d2fda945a0c336b%2F59731235ade4e21a848a56ed%2F42%2F67%2F60f54d379d2fda945a0c336b" TargetMode="External"/><Relationship Id="rId869" Type="http://schemas.openxmlformats.org/officeDocument/2006/relationships/hyperlink" Target="https://cases.justia.com/federal/appellate-courts/ca5/24-50970/24-50970-2025-06-05.pdf?ts=1749144644" TargetMode="External"/><Relationship Id="rId1499" Type="http://schemas.openxmlformats.org/officeDocument/2006/relationships/hyperlink" Target="https://www.oyez.org/cases/1967/510" TargetMode="External"/><Relationship Id="rId2245" Type="http://schemas.openxmlformats.org/officeDocument/2006/relationships/hyperlink" Target="https://www.law.cornell.edu/definitions/uscode.php?width=840&amp;height=800&amp;iframe=true&amp;def_id=42-USC-543811625-140307164&amp;term_occur=999&amp;term_src=" TargetMode="External"/><Relationship Id="rId2452" Type="http://schemas.openxmlformats.org/officeDocument/2006/relationships/hyperlink" Target="https://cdn.ca9.uscourts.gov/datastore/memoranda/2025/04/30/24-3195.pdf" TargetMode="External"/><Relationship Id="rId424" Type="http://schemas.openxmlformats.org/officeDocument/2006/relationships/hyperlink" Target="https://www.aclufl.org/legislation/hb-75sb-184-criminalizing-bystanders-exercising-first-amendment-rights/" TargetMode="External"/><Relationship Id="rId631" Type="http://schemas.openxmlformats.org/officeDocument/2006/relationships/hyperlink" Target="https://d.docs.live.net/bd9b2eaf6053242e/AppData/Roaming/Microsoft/AppData/Local/Microsoft/Windows/INetCache/IE/CTCRXJ99/Alvarez-v-American-LaFrance.pdf" TargetMode="External"/><Relationship Id="rId729" Type="http://schemas.openxmlformats.org/officeDocument/2006/relationships/hyperlink" Target="https://www.supremecourt.gov/opinions/22pdf/21-1496_d18f.pdf" TargetMode="External"/><Relationship Id="rId1054" Type="http://schemas.openxmlformats.org/officeDocument/2006/relationships/hyperlink" Target="https://cases.justia.com/delaware/supreme-court/2025-152-2025.pdf?ts=1764862317" TargetMode="External"/><Relationship Id="rId1261" Type="http://schemas.openxmlformats.org/officeDocument/2006/relationships/hyperlink" Target="http://codes.ohio.gov/orc/4113.52" TargetMode="External"/><Relationship Id="rId1359" Type="http://schemas.openxmlformats.org/officeDocument/2006/relationships/hyperlink" Target="https://www.courthousenews.com/wp-content/uploads/2025/07/illinois-court-allows-firefighter-emt-to-sue-over-sexually-hostile-environment.pdf" TargetMode="External"/><Relationship Id="rId2105" Type="http://schemas.openxmlformats.org/officeDocument/2006/relationships/hyperlink" Target="https://law.justia.com/cases/new-york/other-courts/2025/2025-ny-slip-op-50759-u.html" TargetMode="External"/><Relationship Id="rId2312" Type="http://schemas.openxmlformats.org/officeDocument/2006/relationships/hyperlink" Target="https://public.fastcase.com/9SKwsfNqTc6OieYDhNMyMwbSkTth7KSxZerJ72xuPASz0hfrLKBLsSHZ5wSTH5hTHTRhpFz%2FSUPG8m6eckQDfkjqtfnRAdXjc9mLaHWodGM%3D" TargetMode="External"/><Relationship Id="rId2757" Type="http://schemas.openxmlformats.org/officeDocument/2006/relationships/hyperlink" Target="https://public.fastcase.com/Wl%2B2t%2BeVuI35%2FN70vAMFZry7Wdfw%2FJOcYD0w2Kcl2Q1FxaIYO1NAtHxZOlhNOguL" TargetMode="External"/><Relationship Id="rId2964" Type="http://schemas.openxmlformats.org/officeDocument/2006/relationships/hyperlink" Target="https://www.law.cornell.edu/definitions/index.php?width=840&amp;height=800&amp;iframe=true&amp;def_id=a1910d2b023f8b0308e18d82edf940f8&amp;term_occur=999&amp;term_src=Title:24:Subtitle:B:Chapter:II:Subchapter:I:Part:291:Subpart:F:291.530" TargetMode="External"/><Relationship Id="rId936" Type="http://schemas.openxmlformats.org/officeDocument/2006/relationships/hyperlink" Target="https://ktla.com/news/local-news/gov-newsom-signs-new-law-prompted-by-photo-scandal-in-crash-that-killed-kobe-bryant-8-others-in-calabasas/" TargetMode="External"/><Relationship Id="rId1121" Type="http://schemas.openxmlformats.org/officeDocument/2006/relationships/hyperlink" Target="https://casetext.com/case/pastrana-v-nyc-fire-pension-fund" TargetMode="External"/><Relationship Id="rId1219" Type="http://schemas.openxmlformats.org/officeDocument/2006/relationships/hyperlink" Target="https://www.monastlaw.com/library/scheduled-loss-compensation-after-amputation-or-loss-of-use.cfm" TargetMode="External"/><Relationship Id="rId1566" Type="http://schemas.openxmlformats.org/officeDocument/2006/relationships/hyperlink" Target="https://casetext.com/case/roper-v-city-of-cincinnati" TargetMode="External"/><Relationship Id="rId1773" Type="http://schemas.openxmlformats.org/officeDocument/2006/relationships/hyperlink" Target="https://www.njcourts.gov/system/files/court-opinions/2026/a1218-25.pdf" TargetMode="External"/><Relationship Id="rId1980" Type="http://schemas.openxmlformats.org/officeDocument/2006/relationships/hyperlink" Target="https://www.supremecourt.gov/opinions/21pdf/20-1410_1an2.pdf" TargetMode="External"/><Relationship Id="rId2617" Type="http://schemas.openxmlformats.org/officeDocument/2006/relationships/hyperlink" Target="https://www.supremecourt.ohio.gov/rod/docs/pdf/6/2025/2025-Ohio-3100.pdf" TargetMode="External"/><Relationship Id="rId2824" Type="http://schemas.openxmlformats.org/officeDocument/2006/relationships/hyperlink" Target="https://www.courtlistener.com/recap/gov.uscourts.mad.185693/gov.uscourts.mad.185693.65.0.pdf" TargetMode="External"/><Relationship Id="rId65" Type="http://schemas.openxmlformats.org/officeDocument/2006/relationships/hyperlink" Target="https://cases.justia.com/ohio/tenth-district-court-of-appeals/2025-24ap-255.pdf?ts=1757620491" TargetMode="External"/><Relationship Id="rId1426" Type="http://schemas.openxmlformats.org/officeDocument/2006/relationships/hyperlink" Target="https://www.congress.gov/bill/117th-congress/house-bill/4445/text" TargetMode="External"/><Relationship Id="rId1633" Type="http://schemas.openxmlformats.org/officeDocument/2006/relationships/hyperlink" Target="https://ecf.gamd.uscourts.gov/cgi-bin/show_public_doc?2018-00132-29-7-cv" TargetMode="External"/><Relationship Id="rId1840" Type="http://schemas.openxmlformats.org/officeDocument/2006/relationships/hyperlink" Target="https://ecf.ksd.uscourts.gov/cgi-bin/show_public_doc?2022cv4020-41" TargetMode="External"/><Relationship Id="rId1700" Type="http://schemas.openxmlformats.org/officeDocument/2006/relationships/hyperlink" Target="https://www.eeoc.gov/publications/ada-your-responsibilities-employer" TargetMode="External"/><Relationship Id="rId1938" Type="http://schemas.openxmlformats.org/officeDocument/2006/relationships/hyperlink" Target="https://www.youtube.com/watch?v=wVEUB8WSdp8" TargetMode="External"/><Relationship Id="rId281" Type="http://schemas.openxmlformats.org/officeDocument/2006/relationships/hyperlink" Target="https://ethics.ohio.gov/education/newsletters/VOE_21Q1.pdf" TargetMode="External"/><Relationship Id="rId141" Type="http://schemas.openxmlformats.org/officeDocument/2006/relationships/hyperlink" Target="https://caselaw.findlaw.com/court/in-court-of-appeals/116435959.html" TargetMode="External"/><Relationship Id="rId379" Type="http://schemas.openxmlformats.org/officeDocument/2006/relationships/hyperlink" Target="https://caselaw.findlaw.com/sc-court-of-appeals/1893632.html" TargetMode="External"/><Relationship Id="rId586" Type="http://schemas.openxmlformats.org/officeDocument/2006/relationships/hyperlink" Target="https://www.fox29.com/news/woman-gets-30-year-sentence-in-arson-that-killed-3-wilmington-firefighters" TargetMode="External"/><Relationship Id="rId793" Type="http://schemas.openxmlformats.org/officeDocument/2006/relationships/hyperlink" Target="https://www.law.cornell.edu/uscode/text/8/1227" TargetMode="External"/><Relationship Id="rId2267" Type="http://schemas.openxmlformats.org/officeDocument/2006/relationships/hyperlink" Target="https://public.fastcase.com/waZtJvSA54UAurM2rmIZz2loI3SMK51lisNXjYZKph2xHHDuTcicSNaYOQdhESxu4yBG2%2FvlbYv%2BMp6LYbH6Xh9C0n%2BJCkyXjjUwyrGDKNg%3D" TargetMode="External"/><Relationship Id="rId2474" Type="http://schemas.openxmlformats.org/officeDocument/2006/relationships/hyperlink" Target="https://www.tncourts.gov/sites/default/files/OpinionsPDFVersion/Majority%20Opinion%20-%20E2022-01151-SC-R11-CV.pdf" TargetMode="External"/><Relationship Id="rId2681" Type="http://schemas.openxmlformats.org/officeDocument/2006/relationships/hyperlink" Target="https://supreme.justia.com/cases/federal/us/405/150/" TargetMode="External"/><Relationship Id="rId7" Type="http://schemas.openxmlformats.org/officeDocument/2006/relationships/endnotes" Target="endnotes.xml"/><Relationship Id="rId239" Type="http://schemas.openxmlformats.org/officeDocument/2006/relationships/hyperlink" Target="https://www.aar.org/wp-content/uploads/2020/02/AAR-Occupied-Crossings-Fact-Sheet.pdf" TargetMode="External"/><Relationship Id="rId446" Type="http://schemas.openxmlformats.org/officeDocument/2006/relationships/hyperlink" Target="https://www.ktmc.com/featured-case/norfolk-southern-corporation" TargetMode="External"/><Relationship Id="rId653" Type="http://schemas.openxmlformats.org/officeDocument/2006/relationships/hyperlink" Target="https://www.casemine.com/judgement/us/694a977ac92f54bb3c63226d" TargetMode="External"/><Relationship Id="rId1076" Type="http://schemas.openxmlformats.org/officeDocument/2006/relationships/hyperlink" Target="https://cases.justia.com/kentucky/court-of-appeals/2025-2024-ca-0152-mr.pdf?ts=1748009113" TargetMode="External"/><Relationship Id="rId1283" Type="http://schemas.openxmlformats.org/officeDocument/2006/relationships/hyperlink" Target="http://41af3k34gprx4f6bg12df75i.wpengine.netdna-cdn.com/wp-content/uploads/sites/19/2020/05/Hartman-v.-St.-Bernard-Parish-Fire-Dep_t_-2020-La.-App.pdf" TargetMode="External"/><Relationship Id="rId1490" Type="http://schemas.openxmlformats.org/officeDocument/2006/relationships/hyperlink" Target="https://law.justia.com/cases/federal/district-courts/alabama/alndce/4:2016cv01604/160190/55/" TargetMode="External"/><Relationship Id="rId2127" Type="http://schemas.openxmlformats.org/officeDocument/2006/relationships/hyperlink" Target="https://www.njcourts.gov/system/files/court-opinions/2024/a2968-22.pdf" TargetMode="External"/><Relationship Id="rId2334" Type="http://schemas.openxmlformats.org/officeDocument/2006/relationships/hyperlink" Target="https://www.supremecourt.gov/opinions/11pdf/10-1018.pdf" TargetMode="External"/><Relationship Id="rId2779" Type="http://schemas.openxmlformats.org/officeDocument/2006/relationships/hyperlink" Target="https://www.courts.ca.gov/opinions/nonpub/H046246.PDF" TargetMode="External"/><Relationship Id="rId2986" Type="http://schemas.openxmlformats.org/officeDocument/2006/relationships/hyperlink" Target="https://fisheldowney.com/new-changes-ohios-public-records-law-new-changes-ohios-public-records-law/" TargetMode="External"/><Relationship Id="rId306" Type="http://schemas.openxmlformats.org/officeDocument/2006/relationships/hyperlink" Target="https://public.fastcase.com/Wl%2B2t%2BeVuI35%2FN70vAMFZuQf%2BCvER%2BbrYG4WrLB4YIQfdBBmlMCsuqEI%2FSqG9cxo" TargetMode="External"/><Relationship Id="rId860" Type="http://schemas.openxmlformats.org/officeDocument/2006/relationships/hyperlink" Target="https://appellate.nccourts.org/opinions/?c=2&amp;pdf=44475" TargetMode="External"/><Relationship Id="rId958" Type="http://schemas.openxmlformats.org/officeDocument/2006/relationships/hyperlink" Target="https://caselaw.findlaw.com/court/tx-court-of-appeals/117928954.html" TargetMode="External"/><Relationship Id="rId1143" Type="http://schemas.openxmlformats.org/officeDocument/2006/relationships/hyperlink" Target="https://casetext.com/case/lexington-fayette-urban-cnty-govt-v-gosper-1" TargetMode="External"/><Relationship Id="rId1588" Type="http://schemas.openxmlformats.org/officeDocument/2006/relationships/hyperlink" Target="https://www.supremecourt.ohio.gov/rod/docs/pdf/0/2009/2009-ohio-2597.pdf" TargetMode="External"/><Relationship Id="rId1795" Type="http://schemas.openxmlformats.org/officeDocument/2006/relationships/hyperlink" Target="https://cases.justia.com/federal/district-courts/minnesota/mndce/0:2023cv01780/208467/146/0.pdf?ts=1750499803" TargetMode="External"/><Relationship Id="rId2541" Type="http://schemas.openxmlformats.org/officeDocument/2006/relationships/hyperlink" Target="https://public.fastcase.com/Wl%2B2t%2BeVuI35%2FN70vAMFZhAr68AdbratCNmy2dcHSKg4lqOPhLPvbyL5oFysv%2FPr" TargetMode="External"/><Relationship Id="rId2639" Type="http://schemas.openxmlformats.org/officeDocument/2006/relationships/hyperlink" Target="https://www.govinfo.gov/content/pkg/USCOURTS-cod-1_23-cv-01798/pdf/USCOURTS-cod-1_23-cv-01798-0.pdf" TargetMode="External"/><Relationship Id="rId2846" Type="http://schemas.openxmlformats.org/officeDocument/2006/relationships/hyperlink" Target="https://www.casemine.com/judgement/us/6a367934174bb89f9fdb2ff2" TargetMode="External"/><Relationship Id="rId87" Type="http://schemas.openxmlformats.org/officeDocument/2006/relationships/hyperlink" Target="https://cases.justia.com/indiana/court-of-appeals/2025-24a-cr-01673.pdf?ts=1746121391" TargetMode="External"/><Relationship Id="rId513" Type="http://schemas.openxmlformats.org/officeDocument/2006/relationships/hyperlink" Target="https://casetext.com/case/boon-v-rivera" TargetMode="External"/><Relationship Id="rId720" Type="http://schemas.openxmlformats.org/officeDocument/2006/relationships/hyperlink" Target="https://cases.justia.com/federal/appellate-courts/ca5/22-50212/22-50212-2023-10-27.pdf?ts=1698427826" TargetMode="External"/><Relationship Id="rId818" Type="http://schemas.openxmlformats.org/officeDocument/2006/relationships/hyperlink" Target="https://www.prnewswire.com/news-releases/over-95-of-plaintiffs-accept-world-trade-center-settlement-109252704.html" TargetMode="External"/><Relationship Id="rId1350" Type="http://schemas.openxmlformats.org/officeDocument/2006/relationships/hyperlink" Target="https://cases.justia.com/federal/district-courts/ohio/ohsdce/1:2023cv00273/279746/32/0.pdf?ts=1759344788" TargetMode="External"/><Relationship Id="rId1448" Type="http://schemas.openxmlformats.org/officeDocument/2006/relationships/hyperlink" Target="https://scholar.google.com/scholar_case?case=3751539261550257111&amp;q=Rachel+MOSBY+v.+CITY+OF+BYRON,+GEORGIA,&amp;hl=en&amp;as_sdt=6,36" TargetMode="External"/><Relationship Id="rId1655" Type="http://schemas.openxmlformats.org/officeDocument/2006/relationships/hyperlink" Target="https://cases.justia.com/texas/twelfth-court-of-appeals/2026-12-25-00273-cv.pdf?ts=1775749638" TargetMode="External"/><Relationship Id="rId2401" Type="http://schemas.openxmlformats.org/officeDocument/2006/relationships/hyperlink" Target="https://ecf.flmd.uscourts.gov/cgi-bin/show_public_doc?2019-00439-60-2-cv" TargetMode="External"/><Relationship Id="rId2706" Type="http://schemas.openxmlformats.org/officeDocument/2006/relationships/hyperlink" Target="https://www.nvfc.org/firefighter-arson/" TargetMode="External"/><Relationship Id="rId1003" Type="http://schemas.openxmlformats.org/officeDocument/2006/relationships/hyperlink" Target="https://law.justia.com/cases/texas/thirteenth-court-of-appeals/2022/13-20-00315-cv.html" TargetMode="External"/><Relationship Id="rId1210" Type="http://schemas.openxmlformats.org/officeDocument/2006/relationships/hyperlink" Target="https://www.courts.state.md.us/data/opinions/coa/2021/36a20.pdf" TargetMode="External"/><Relationship Id="rId1308" Type="http://schemas.openxmlformats.org/officeDocument/2006/relationships/hyperlink" Target="http://www.pacourts.us/assets/opinions/Commonwealth/out/877CD18_3-25-19.pdf?cb=1" TargetMode="External"/><Relationship Id="rId1862" Type="http://schemas.openxmlformats.org/officeDocument/2006/relationships/hyperlink" Target="http://www.firefighterovertime.org/2021/11/08/va-beach-settles-flsa-lawsuit/" TargetMode="External"/><Relationship Id="rId2913" Type="http://schemas.openxmlformats.org/officeDocument/2006/relationships/hyperlink" Target="http://perc.myflorida.com/download.aspx/Prefix=CA/CaseYr=21/CaseNo=012/File=CA21012_Ord10_05192022_163540.pdf" TargetMode="External"/><Relationship Id="rId1515" Type="http://schemas.openxmlformats.org/officeDocument/2006/relationships/hyperlink" Target="https://www.ca5.uscourts.gov/opinions/pub/24/24-30777-CV0.pdf" TargetMode="External"/><Relationship Id="rId1722" Type="http://schemas.openxmlformats.org/officeDocument/2006/relationships/hyperlink" Target="https://www.jacksonville.com/story/news/courts/2020/11/25/jacksonville-lawsuit-cleanshaven-rule-unfair-black-firefighters/6406374002/" TargetMode="External"/><Relationship Id="rId14" Type="http://schemas.openxmlformats.org/officeDocument/2006/relationships/hyperlink" Target="mailto:Lawrence.bennett@uc.edu" TargetMode="External"/><Relationship Id="rId2191" Type="http://schemas.openxmlformats.org/officeDocument/2006/relationships/hyperlink" Target="https://codes.ohio.gov/ohio-revised-code/section-505.381" TargetMode="External"/><Relationship Id="rId163" Type="http://schemas.openxmlformats.org/officeDocument/2006/relationships/hyperlink" Target="https://www.anylaw.com/case/state-v-messer/ohio-court-of-appeals/12-04-2023/hMqWTIwBqcoRgE-I70tV" TargetMode="External"/><Relationship Id="rId370" Type="http://schemas.openxmlformats.org/officeDocument/2006/relationships/hyperlink" Target="https://cases.justia.com/federal/district-courts/michigan/miedce/2:2015cv13050/304138/9/0.pdf?ts=1532512098" TargetMode="External"/><Relationship Id="rId2051" Type="http://schemas.openxmlformats.org/officeDocument/2006/relationships/hyperlink" Target="https://www.pacourts.us/assets/opinions/Commonwealth/out/196CD25_4-23-26.pdf?cb=1" TargetMode="External"/><Relationship Id="rId2289" Type="http://schemas.openxmlformats.org/officeDocument/2006/relationships/hyperlink" Target="https://cms7files1.revize.com/starkcountyoh/S21-57.pdf" TargetMode="External"/><Relationship Id="rId2496" Type="http://schemas.openxmlformats.org/officeDocument/2006/relationships/hyperlink" Target="https://cases.justia.com/arkansas/court-of-appeals/2024-cv-22-650.pdf?ts=1713971302" TargetMode="External"/><Relationship Id="rId230" Type="http://schemas.openxmlformats.org/officeDocument/2006/relationships/hyperlink" Target="https://www.supremecourt.gov/opinions/21pdf/20-1800_7lho.pdf" TargetMode="External"/><Relationship Id="rId468" Type="http://schemas.openxmlformats.org/officeDocument/2006/relationships/hyperlink" Target="https://www.courthousenews.com/wp-content/uploads/2024/09/wholesale-fireworks-ruling.pdf" TargetMode="External"/><Relationship Id="rId675" Type="http://schemas.openxmlformats.org/officeDocument/2006/relationships/hyperlink" Target="https://storage.courtlistener.com/recap/gov.uscourts.mad.282404/gov.uscourts.mad.282404.119.0_1.pdf" TargetMode="External"/><Relationship Id="rId882" Type="http://schemas.openxmlformats.org/officeDocument/2006/relationships/hyperlink" Target="https://cases.justia.com/kentucky/court-of-appeals/2024-2023-ca-1204-mr.pdf?ts=1722002681" TargetMode="External"/><Relationship Id="rId1098" Type="http://schemas.openxmlformats.org/officeDocument/2006/relationships/hyperlink" Target="https://cases.justia.com/pennsylvania/commonwealth-court/2024-739-c-d-2023.pdf?ts=1732034168" TargetMode="External"/><Relationship Id="rId2149" Type="http://schemas.openxmlformats.org/officeDocument/2006/relationships/hyperlink" Target="https://www.law.cornell.edu/wex/hearsay" TargetMode="External"/><Relationship Id="rId2356" Type="http://schemas.openxmlformats.org/officeDocument/2006/relationships/hyperlink" Target="https://beta.documentcloud.org/documents/20433223-covid-19-relief-bill" TargetMode="External"/><Relationship Id="rId2563" Type="http://schemas.openxmlformats.org/officeDocument/2006/relationships/hyperlink" Target="https://www.supremecourt.ohio.gov/rod/docs/pdf/7/2026/2026-Ohio-2671.pdf" TargetMode="External"/><Relationship Id="rId2770" Type="http://schemas.openxmlformats.org/officeDocument/2006/relationships/hyperlink" Target="http://www.ca5.uscourts.gov/opinions/unpub/20/20-20087.0.pdf" TargetMode="External"/><Relationship Id="rId328" Type="http://schemas.openxmlformats.org/officeDocument/2006/relationships/hyperlink" Target="https://drive.google.com/file/d/1VWwIseEl7gdzhv6UxgyZNZeTX7Y_8-m_/view" TargetMode="External"/><Relationship Id="rId535" Type="http://schemas.openxmlformats.org/officeDocument/2006/relationships/hyperlink" Target="https://law.justia.com/cases/delaware/court-of-chancery/2022/c-a-no-2020-0226-sem.html" TargetMode="External"/><Relationship Id="rId742" Type="http://schemas.openxmlformats.org/officeDocument/2006/relationships/hyperlink" Target="https://docs-cdn-prod.news-engineering.aws.wapo.pub/publish_document/5c87d9b8-631f-41c7-92e8-129f412d0e0f/published/5c87d9b8-631f-41c7-92e8-129f412d0e0f.pdf" TargetMode="External"/><Relationship Id="rId1165" Type="http://schemas.openxmlformats.org/officeDocument/2006/relationships/hyperlink" Target="https://www.ilga.gov/legislation/ilcs/ilcs3.asp?ActID=2431&amp;ChapterID=68" TargetMode="External"/><Relationship Id="rId1372" Type="http://schemas.openxmlformats.org/officeDocument/2006/relationships/hyperlink" Target="https://casetext.com/case/lundberg-v-delta-response-team-llc-1" TargetMode="External"/><Relationship Id="rId2009" Type="http://schemas.openxmlformats.org/officeDocument/2006/relationships/hyperlink" Target="https://www.networkforphl.org/news-insights/overdose-good-samaritan-laws-should-protect-not-punish/" TargetMode="External"/><Relationship Id="rId2216" Type="http://schemas.openxmlformats.org/officeDocument/2006/relationships/hyperlink" Target="https://public.fastcase.com/ZZhmr5v9wN%2FXOe5IsQ%2FqD48qScyjnns4BvOFYThqD1VKn2oC3YL9HIinTf%2Fp30r2wBlFtUUFvRMyBphGDo8K28IC4vVctJZhhayY6V%2Bfn28%3D?utm_medium=email&amp;_hsmi=226712652&amp;_hsenc=p2ANqtz--TIjwUVFjOo5damiP3K6KiM86Ts0N1olRqZ_ArClgxTthTEvnZAd5hvf4I6P2KEFN6nH9cQVmvAvnMp9eheEIqoLW5ew&amp;utm_content=226712652&amp;utm_source=hs_email" TargetMode="External"/><Relationship Id="rId2423" Type="http://schemas.openxmlformats.org/officeDocument/2006/relationships/hyperlink" Target="https://oig.hhs.gov/fraud/docs/advisoryopinions/2019/AdvOpn19-03.pdf" TargetMode="External"/><Relationship Id="rId2630" Type="http://schemas.openxmlformats.org/officeDocument/2006/relationships/hyperlink" Target="https://cases.justia.com/delaware/superior-court/2024-2301003924.pdf?ts=1718040749" TargetMode="External"/><Relationship Id="rId2868" Type="http://schemas.openxmlformats.org/officeDocument/2006/relationships/hyperlink" Target="https://law.justia.com/cases/new-york/appellate-division-fourth-department/2024/647-ca-23-01601.html" TargetMode="External"/><Relationship Id="rId602" Type="http://schemas.openxmlformats.org/officeDocument/2006/relationships/hyperlink" Target="https://comped.net/opinions_recentdisp.php?ID=7270" TargetMode="External"/><Relationship Id="rId1025" Type="http://schemas.openxmlformats.org/officeDocument/2006/relationships/hyperlink" Target="https://cases.justia.com/illinois/court-of-appeals-first-appellate-district/2019-1-18-0696.pdf?ts=1549320383" TargetMode="External"/><Relationship Id="rId1232" Type="http://schemas.openxmlformats.org/officeDocument/2006/relationships/hyperlink" Target="https://apps.leg.wa.gov/rcw/default.aspx?cite=51.32.185" TargetMode="External"/><Relationship Id="rId1677" Type="http://schemas.openxmlformats.org/officeDocument/2006/relationships/hyperlink" Target="https://www.mspb.gov/decisions/nonprecedential/Remillard_MauricePH-0752-20-0259-I-1_Final_Order.pdf" TargetMode="External"/><Relationship Id="rId1884" Type="http://schemas.openxmlformats.org/officeDocument/2006/relationships/hyperlink" Target="https://public.fastcase.com/Wl%2B2t%2BeVuI35%2FN70vAMFZsSjCAViXICEJmEyj88%2Bo6FVmb%2F3MefopOCGEPTmoSc%2F" TargetMode="External"/><Relationship Id="rId2728" Type="http://schemas.openxmlformats.org/officeDocument/2006/relationships/hyperlink" Target="https://law.justia.com/cases/federal/appellate-courts/cafc/20-2147/20-2147-2022-04-18.html" TargetMode="External"/><Relationship Id="rId2935" Type="http://schemas.openxmlformats.org/officeDocument/2006/relationships/hyperlink" Target="https://www.firehouse.com/careers-education/news/21056124/watertownofficials-wants-to-take-firefighters-union-to-new-york-supreme-court" TargetMode="External"/><Relationship Id="rId907" Type="http://schemas.openxmlformats.org/officeDocument/2006/relationships/hyperlink" Target="https://public.fastcase.com/waZtJvSA54UAurM2rmIZz%2BDBDza2Dcvrp2SE0zpDRm3uGB65hvSCPfK4VjLpx5do7UnCIAIPH2MB5FJFO94Wb3w6W7ePwbFST%2FncfNL0phQ%3D" TargetMode="External"/><Relationship Id="rId1537" Type="http://schemas.openxmlformats.org/officeDocument/2006/relationships/hyperlink" Target="https://apnews.com/article/police-discrimination-race-and-ethnicity-racial-injustice-f2c6b37bb79c744582a54652cb86b9d7" TargetMode="External"/><Relationship Id="rId1744" Type="http://schemas.openxmlformats.org/officeDocument/2006/relationships/hyperlink" Target="https://www.verywellmind.com/rates-of-ptsd-in-firefighters-2797428" TargetMode="External"/><Relationship Id="rId1951" Type="http://schemas.openxmlformats.org/officeDocument/2006/relationships/hyperlink" Target="https://casetext.com/statute/montana-code/title-39-labor/chapter-31-collective-bargaining-for-public-employees/part-4-unfair-labor-practices/section-39-31-406-hearing-on-complaint-findings-order" TargetMode="External"/><Relationship Id="rId36" Type="http://schemas.openxmlformats.org/officeDocument/2006/relationships/hyperlink" Target="https://cases.justia.com/federal/appellate-courts/ca6/25-1089/25-1089-2026-05-20.pdf?ts=1779309039" TargetMode="External"/><Relationship Id="rId1604" Type="http://schemas.openxmlformats.org/officeDocument/2006/relationships/hyperlink" Target="https://fox8.com/news/i-team-race-and-sex-used-to-schedule-ems-bosses/" TargetMode="External"/><Relationship Id="rId185" Type="http://schemas.openxmlformats.org/officeDocument/2006/relationships/hyperlink" Target="https://casetext.com/case/commonwealth-v-smith-1490" TargetMode="External"/><Relationship Id="rId1811" Type="http://schemas.openxmlformats.org/officeDocument/2006/relationships/hyperlink" Target="https://public.fastcase.com/H1P9uiW3J20SFp%2BGCG%2BxLZy365%2FN0MVDalUuZRIy4n4W%2BHhfv4X1Vzo9ca%2F3mj3k?utm_medium=email&amp;_hsenc=p2ANqtz-8KCYiZyhHUOjRg0MO9pgx_C58MSGHRNzoS8NOUFD5AstP_fG6MazYJg2nKApB1QIRI0-vQrIVEAwfGYCTHYw0GOi6xfA&amp;_hsmi=226712652&amp;utm_content=226712652&amp;utm_source=hs_email" TargetMode="External"/><Relationship Id="rId1909" Type="http://schemas.openxmlformats.org/officeDocument/2006/relationships/hyperlink" Target="http://codes.ohio.gov/orc/505.60" TargetMode="External"/><Relationship Id="rId392" Type="http://schemas.openxmlformats.org/officeDocument/2006/relationships/hyperlink" Target="https://codes.ohio.gov/ohio-revised-code/section-4123.68" TargetMode="External"/><Relationship Id="rId697" Type="http://schemas.openxmlformats.org/officeDocument/2006/relationships/hyperlink" Target="https://media.cadc.uscourts.gov/opinions/docs/2024/10/22-3042-2081254.pdf" TargetMode="External"/><Relationship Id="rId2073" Type="http://schemas.openxmlformats.org/officeDocument/2006/relationships/hyperlink" Target="https://law.justia.com/cases/new-york/appellate-division-fourth-department/2025/816-1-ca-24-01193.html" TargetMode="External"/><Relationship Id="rId2280" Type="http://schemas.openxmlformats.org/officeDocument/2006/relationships/hyperlink" Target="https://www.leagle.com/decision/infdco20220324d64" TargetMode="External"/><Relationship Id="rId2378" Type="http://schemas.openxmlformats.org/officeDocument/2006/relationships/hyperlink" Target="https://www.courts.state.md.us/sites/default/files/unreported-opinions/0318s19.pdf" TargetMode="External"/><Relationship Id="rId252" Type="http://schemas.openxmlformats.org/officeDocument/2006/relationships/hyperlink" Target="https://public.fastcase.com/9SKwsfNqTc6OieYDhNMyMxCncQbdnZBHHYClkb%2F5rq5vAcucBX21mkOLoZWomgOrkfyB0T1fu8X9VBZqJtLwyHdQaAVKSMi9mGC9zU6KrUc%3D" TargetMode="External"/><Relationship Id="rId1187" Type="http://schemas.openxmlformats.org/officeDocument/2006/relationships/hyperlink" Target="http://app.leg.wa.gov/RCW/default.aspx?cite=41.26.030" TargetMode="External"/><Relationship Id="rId2140" Type="http://schemas.openxmlformats.org/officeDocument/2006/relationships/hyperlink" Target="https://revisor.mo.gov/main/OneSection.aspx?section=579.020" TargetMode="External"/><Relationship Id="rId2585" Type="http://schemas.openxmlformats.org/officeDocument/2006/relationships/hyperlink" Target="https://cases.justia.com/federal/district-courts/florida/flmdce/8:2025cv02787/448658/35/0.pdf" TargetMode="External"/><Relationship Id="rId2792" Type="http://schemas.openxmlformats.org/officeDocument/2006/relationships/hyperlink" Target="https://public.fastcase.com/Wl%2B2t%2BeVuI35%2FN70vAMFZpe9nZQy4%2Fh5OlPwYBiXwZiKHRqMJ6M13sKp4yP4%2F%2BSx" TargetMode="External"/><Relationship Id="rId112" Type="http://schemas.openxmlformats.org/officeDocument/2006/relationships/hyperlink" Target="https://cases.justia.com/iowa/court-of-appeals/2024-23-0625.pdf?ts=1730301434" TargetMode="External"/><Relationship Id="rId557" Type="http://schemas.openxmlformats.org/officeDocument/2006/relationships/hyperlink" Target="https://public.fastcase.com/9SKwsfNqTc6OieYDhNMyM3m3eL%2Bu4x8bx%2FFPqQ706C1Bfi57%2Fsm8VTkLX0Q5d2JY3Hl0cE%2BCK3yDi%2BV1afLDAxYamaVWukse%2F0EpEJzWMdw%3D" TargetMode="External"/><Relationship Id="rId764" Type="http://schemas.openxmlformats.org/officeDocument/2006/relationships/hyperlink" Target="https://www.law.cornell.edu/definitions/uscode.php?width=840&amp;height=800&amp;iframe=true&amp;def_id=18-USC-849457050-909420280&amp;term_occur=999&amp;term_src=title:18:part:I:chapter:13:section:249" TargetMode="External"/><Relationship Id="rId971" Type="http://schemas.openxmlformats.org/officeDocument/2006/relationships/hyperlink" Target="https://www.youtube.com/watch?v=4rwA-whTxmQ" TargetMode="External"/><Relationship Id="rId1394" Type="http://schemas.openxmlformats.org/officeDocument/2006/relationships/hyperlink" Target="https://www.supremecourt.gov/opinions/23pdf/22-193_q86b.pdf" TargetMode="External"/><Relationship Id="rId1699" Type="http://schemas.openxmlformats.org/officeDocument/2006/relationships/hyperlink" Target="https://www.supremecourt.gov/opinions/22pdf/22-174_k536.pdf" TargetMode="External"/><Relationship Id="rId2000" Type="http://schemas.openxmlformats.org/officeDocument/2006/relationships/hyperlink" Target="https://casetext.com/case/coppage-v-city-of-raleigh-1" TargetMode="External"/><Relationship Id="rId2238" Type="http://schemas.openxmlformats.org/officeDocument/2006/relationships/hyperlink" Target="https://caselaw.findlaw.com/ny-supreme-court/2147274.html" TargetMode="External"/><Relationship Id="rId2445" Type="http://schemas.openxmlformats.org/officeDocument/2006/relationships/hyperlink" Target="https://cases.justia.com/michigan/court-of-appeals-unpublished/2018-335366.pdf?ts=1524229247" TargetMode="External"/><Relationship Id="rId2652" Type="http://schemas.openxmlformats.org/officeDocument/2006/relationships/hyperlink" Target="https://cdn.ca9.uscourts.gov/datastore/opinions/2023/08/04/22-15485.pdf" TargetMode="External"/><Relationship Id="rId417" Type="http://schemas.openxmlformats.org/officeDocument/2006/relationships/hyperlink" Target="https://www.hbsslaw.com/cases/pfas-firefighter-turnout-gear" TargetMode="External"/><Relationship Id="rId624" Type="http://schemas.openxmlformats.org/officeDocument/2006/relationships/hyperlink" Target="https://d.docs.live.net/bd9b2eaf6053242e/AppData/Roaming/Microsoft/AppData/Local/Temp/0182139.PDF" TargetMode="External"/><Relationship Id="rId831" Type="http://schemas.openxmlformats.org/officeDocument/2006/relationships/hyperlink" Target="http://www.ca2.uscourts.gov/decisions/isysquery/67a05b34-20ad-4c39-bc1a-260008502d15/1/doc/18-1604_complete_opn.pdf" TargetMode="External"/><Relationship Id="rId1047" Type="http://schemas.openxmlformats.org/officeDocument/2006/relationships/hyperlink" Target="https://cases.justia.com/federal/appellate-courts/ca2/23-1218/23-1218-2026-04-30.pdf?ts=1777566611" TargetMode="External"/><Relationship Id="rId1254" Type="http://schemas.openxmlformats.org/officeDocument/2006/relationships/hyperlink" Target="https://public.fastcase.com/Wl%2B2t%2BeVuI35%2FN70vAMFZvIVF%2BSpwi61gSoehD%2F89NWJSNvj394DBr50iS5GXrLH" TargetMode="External"/><Relationship Id="rId1461" Type="http://schemas.openxmlformats.org/officeDocument/2006/relationships/hyperlink" Target="https://public.fastcase.com/Wl%2B2t%2BeVuI35%2FN70vAMFZkY2nPlYZ3wtvIBy3YjdhH4Hysc14LIFQvAQrJXSfUWa" TargetMode="External"/><Relationship Id="rId2305" Type="http://schemas.openxmlformats.org/officeDocument/2006/relationships/hyperlink" Target="https://casetext.com/case/ortiz-v-renteria" TargetMode="External"/><Relationship Id="rId2512" Type="http://schemas.openxmlformats.org/officeDocument/2006/relationships/hyperlink" Target="https://mn.gov/workcomp-stat/2021/Juntunen%20-%2012-28-21.html" TargetMode="External"/><Relationship Id="rId2957" Type="http://schemas.openxmlformats.org/officeDocument/2006/relationships/hyperlink" Target="https://ethics.ohio.gov/advice/opinions/2025-02.pdf" TargetMode="External"/><Relationship Id="rId929" Type="http://schemas.openxmlformats.org/officeDocument/2006/relationships/hyperlink" Target="https://casetext.com/case/schladetzky-v-doe-1" TargetMode="External"/><Relationship Id="rId1114" Type="http://schemas.openxmlformats.org/officeDocument/2006/relationships/hyperlink" Target="https://casetext.com/case/doe-v-city-of-philadelphia-5" TargetMode="External"/><Relationship Id="rId1321" Type="http://schemas.openxmlformats.org/officeDocument/2006/relationships/hyperlink" Target="https://www.ada.gov/filing_eeoc_complaint.htm" TargetMode="External"/><Relationship Id="rId1559" Type="http://schemas.openxmlformats.org/officeDocument/2006/relationships/hyperlink" Target="https://www.supremecourt.gov/opinions/22pdf/600us1r53_4g15.pdf" TargetMode="External"/><Relationship Id="rId1766" Type="http://schemas.openxmlformats.org/officeDocument/2006/relationships/hyperlink" Target="https://public.fastcase.com/Jhe1Qn%2BmJndQYQU6z%2FeNmwWDswf%2FyfkgPyip6VS0cDWpWwpvHNfVEfbuP6bmDGomWWWRX0Ufxoes%2FPslB3S6PX9NV7eOjHrVnzZJYNtoh0E%3D?utm_medium=email&amp;_hsenc=p2ANqtz--Q5-zUfHtAae_7brt-BPUOknX_2kWtg7ggG2Ns0WUhsWss6pJixlwIFz2YiAn3Gomhhu6vVBkR2r-IsrShAW9NE10b9Q&amp;_hsmi=226712652&amp;utm_content=226712652&amp;utm_source=hs_email" TargetMode="External"/><Relationship Id="rId1973" Type="http://schemas.openxmlformats.org/officeDocument/2006/relationships/hyperlink" Target="https://www.justice.gov/opa/pr/justice-department-announces-global-resolution-criminal-and-civil-investigations-opioid" TargetMode="External"/><Relationship Id="rId2817" Type="http://schemas.openxmlformats.org/officeDocument/2006/relationships/hyperlink" Target="https://www.cleveland.com/cityhall/2009/06/ohio_supreme_court_deals_a_leg.html" TargetMode="External"/><Relationship Id="rId58" Type="http://schemas.openxmlformats.org/officeDocument/2006/relationships/hyperlink" Target="https://cases.justia.com/new-york/other-courts/2025-2025-ny-slip-op-33961-u.pdf?ts=1761686709" TargetMode="External"/><Relationship Id="rId1419" Type="http://schemas.openxmlformats.org/officeDocument/2006/relationships/hyperlink" Target="https://media.ca11.uscourts.gov/opinions/unpub/files/202110377.pdf" TargetMode="External"/><Relationship Id="rId1626" Type="http://schemas.openxmlformats.org/officeDocument/2006/relationships/hyperlink" Target="https://public.fastcase.com/Wl%2B2t%2BeVuI35%2FN70vAMFZjxlcnGgF4KmxTbsHmdpUnhrKX1xZ8%2F1BaT4X1Cm7%2Fji" TargetMode="External"/><Relationship Id="rId1833" Type="http://schemas.openxmlformats.org/officeDocument/2006/relationships/hyperlink" Target="https://www.opb.org/article/2023/05/28/private-oregon-firefighting-company-fined-180000-dollars-after-us-labor-investigation/" TargetMode="External"/><Relationship Id="rId1900" Type="http://schemas.openxmlformats.org/officeDocument/2006/relationships/hyperlink" Target="https://www.law.cornell.edu/uscode/text/29/207" TargetMode="External"/><Relationship Id="rId2095" Type="http://schemas.openxmlformats.org/officeDocument/2006/relationships/hyperlink" Target="https://law.justia.com/cases/new-york/other-courts/2025/2025-ny-slip-op-51480-u.html" TargetMode="External"/><Relationship Id="rId274" Type="http://schemas.openxmlformats.org/officeDocument/2006/relationships/hyperlink" Target="https://ktla.com/news/nationworld/supreme-court-sides-with-new-mexico-woman-shot-by-police-while-fleeing/" TargetMode="External"/><Relationship Id="rId481" Type="http://schemas.openxmlformats.org/officeDocument/2006/relationships/hyperlink" Target="https://www.firehero.org/fallen-firefighter/thomas-e-royds/" TargetMode="External"/><Relationship Id="rId2162" Type="http://schemas.openxmlformats.org/officeDocument/2006/relationships/hyperlink" Target="https://casetext.com/case/currie-v-aswegan-1" TargetMode="External"/><Relationship Id="rId3006" Type="http://schemas.openxmlformats.org/officeDocument/2006/relationships/theme" Target="theme/theme1.xml"/><Relationship Id="rId134" Type="http://schemas.openxmlformats.org/officeDocument/2006/relationships/hyperlink" Target="https://www.law.cornell.edu/wex/inadmissible" TargetMode="External"/><Relationship Id="rId579" Type="http://schemas.openxmlformats.org/officeDocument/2006/relationships/hyperlink" Target="https://www.firerescue1.com/firefighter-training/articles/firefighters-death-highlights-municipal-storm-drain-dangers-VaH0e7nB3CMWpKRS/" TargetMode="External"/><Relationship Id="rId786" Type="http://schemas.openxmlformats.org/officeDocument/2006/relationships/hyperlink" Target="https://www.law.cornell.edu/definitions/uscode.php?width=840&amp;height=800&amp;iframe=true&amp;def_id=8-USC-92903111-1485256781&amp;term_occur=999&amp;term_src=" TargetMode="External"/><Relationship Id="rId993" Type="http://schemas.openxmlformats.org/officeDocument/2006/relationships/hyperlink" Target="https://public.courts.in.gov/Decisions/api/Document/Opinion?Id=rJRDncpWPHQbq7P5uv2HFHli7-yY9NDpUsGFV_2xhbEFoKT6dBGW8VG2YJisX0M_0" TargetMode="External"/><Relationship Id="rId2467" Type="http://schemas.openxmlformats.org/officeDocument/2006/relationships/hyperlink" Target="https://cases.justia.com/texas/twelfth-court-of-appeals/2026-12-25-00273-cv.pdf?ts=1775749638" TargetMode="External"/><Relationship Id="rId2674" Type="http://schemas.openxmlformats.org/officeDocument/2006/relationships/hyperlink" Target="https://caselaw.findlaw.com/court/ma-court-of-appeals/115411600.html" TargetMode="External"/><Relationship Id="rId341" Type="http://schemas.openxmlformats.org/officeDocument/2006/relationships/hyperlink" Target="https://www.supremecourt.gov/orders/courtorders/052819zor_2dq3.pdf" TargetMode="External"/><Relationship Id="rId439" Type="http://schemas.openxmlformats.org/officeDocument/2006/relationships/hyperlink" Target="https://www.nj.com/atlantic/2025/06/jersey-shore-firefighter-wins-court-battle-over-growing-beard-on-religious-grounds.html?mc_cid=2cb6755cd5&amp;mc_eid=cbaa4ade01" TargetMode="External"/><Relationship Id="rId646" Type="http://schemas.openxmlformats.org/officeDocument/2006/relationships/hyperlink" Target="https://www.firehero.org/fallen-firefighter/albert-a-filosa/" TargetMode="External"/><Relationship Id="rId1069" Type="http://schemas.openxmlformats.org/officeDocument/2006/relationships/hyperlink" Target="https://www.ilga.gov/legislation/BillStatus.asp?DocNum=3392&amp;GAID=17&amp;DocTypeID=HB&amp;LegId=148558&amp;SessionID=112&amp;GA=103" TargetMode="External"/><Relationship Id="rId1276" Type="http://schemas.openxmlformats.org/officeDocument/2006/relationships/hyperlink" Target="https://www.courts.ri.gov/Courts/SupremeCourt/SupremeOpinions/17-255,256,257,260.pdf" TargetMode="External"/><Relationship Id="rId1483" Type="http://schemas.openxmlformats.org/officeDocument/2006/relationships/hyperlink" Target="https://journalstar.com/news/local/crime-and-courts/female-firefighter-s-discrimination-case-against-the-city-of-lincoln/article_97cf8ac8-bb20-5343-8e10-3faf315b0dd8.html" TargetMode="External"/><Relationship Id="rId2022" Type="http://schemas.openxmlformats.org/officeDocument/2006/relationships/hyperlink" Target="https://cases.justia.com/oregon/court-of-appeals/2026-a185059.pdf?ts=1784734294" TargetMode="External"/><Relationship Id="rId2327" Type="http://schemas.openxmlformats.org/officeDocument/2006/relationships/hyperlink" Target="http://codes.ohio.gov/oac/4765-9-01" TargetMode="External"/><Relationship Id="rId2881" Type="http://schemas.openxmlformats.org/officeDocument/2006/relationships/hyperlink" Target="https://cases.justia.com/new-jersey/appellate-division-unpublished/2023-a-1747-21.pdf?ts=1696950933" TargetMode="External"/><Relationship Id="rId2979" Type="http://schemas.openxmlformats.org/officeDocument/2006/relationships/hyperlink" Target="https://supremecourt.flcourts.gov/content/download/1172655/opinion/Opinion_SC2021-0651.pdf" TargetMode="External"/><Relationship Id="rId201" Type="http://schemas.openxmlformats.org/officeDocument/2006/relationships/hyperlink" Target="https://www.legislature.ohio.gov/legislation/134/hb99" TargetMode="External"/><Relationship Id="rId506" Type="http://schemas.openxmlformats.org/officeDocument/2006/relationships/hyperlink" Target="https://molawyersmedia.com/2024/01/18/volunteer-firefighters-widow-wins-chance-for-higher-benefits/" TargetMode="External"/><Relationship Id="rId853" Type="http://schemas.openxmlformats.org/officeDocument/2006/relationships/hyperlink" Target="https://d.docs.live.net/bd9b2eaf6053242e/AppData/Roaming/Microsoft/AppData/Local/Microsoft/Windows/INetCache/IE/XO250S7T/Glomar-decision.pdf" TargetMode="External"/><Relationship Id="rId1136" Type="http://schemas.openxmlformats.org/officeDocument/2006/relationships/hyperlink" Target="https://www.njcourts.gov/system/files/court-opinions/2023/a3333-21.pdf" TargetMode="External"/><Relationship Id="rId1690" Type="http://schemas.openxmlformats.org/officeDocument/2006/relationships/hyperlink" Target="https://www.casemine.com/judgement/us/65a0c054bfe6241981ef91c8" TargetMode="External"/><Relationship Id="rId1788" Type="http://schemas.openxmlformats.org/officeDocument/2006/relationships/hyperlink" Target="https://www.mass.gov/doc/driscoll-v-city-of-melrose-ac-s24p1114/download" TargetMode="External"/><Relationship Id="rId1995" Type="http://schemas.openxmlformats.org/officeDocument/2006/relationships/hyperlink" Target="https://www.supremecourt.gov/opinions/20pdf/20-645_9p6b.pdf" TargetMode="External"/><Relationship Id="rId2534" Type="http://schemas.openxmlformats.org/officeDocument/2006/relationships/hyperlink" Target="https://dailyvoice.com/pennsylvania/chester/news/comfort-dogs-allowed-for-some-during-criminal-trials-pa-supreme-court-rules/816798/" TargetMode="External"/><Relationship Id="rId2741" Type="http://schemas.openxmlformats.org/officeDocument/2006/relationships/hyperlink" Target="https://public.fastcase.com/9SKwsfNqTc6OieYDhNMyMwLbquMieQJJAkWYEouDi7ix05WUlxmQyjrVFv7KR6XMi0MhNDFBQq54%2Fpuo4ib1qnZU%2F1hDs4fMcaW2pIa9a%2BY%3D" TargetMode="External"/><Relationship Id="rId2839" Type="http://schemas.openxmlformats.org/officeDocument/2006/relationships/hyperlink" Target="https://casetext.com/case/banske-v-city-of-calumet-city" TargetMode="External"/><Relationship Id="rId713" Type="http://schemas.openxmlformats.org/officeDocument/2006/relationships/hyperlink" Target="https://www.smithsonianmag.com/history/the-history-of-californias-inmate-firefighter-program-180980662/" TargetMode="External"/><Relationship Id="rId920" Type="http://schemas.openxmlformats.org/officeDocument/2006/relationships/hyperlink" Target="https://casetext.com/case/reyes-v-monroe-cnty" TargetMode="External"/><Relationship Id="rId1343" Type="http://schemas.openxmlformats.org/officeDocument/2006/relationships/hyperlink" Target="https://www4.courts.ca.gov/opinions/documents/B334953.PDF" TargetMode="External"/><Relationship Id="rId1550" Type="http://schemas.openxmlformats.org/officeDocument/2006/relationships/hyperlink" Target="https://local2507.com/wp-content/uploads/2024/09/Decision-on-Class-Action.pdf" TargetMode="External"/><Relationship Id="rId1648" Type="http://schemas.openxmlformats.org/officeDocument/2006/relationships/hyperlink" Target="https://www.ca1.uscourts.gov/sites/ca1/files/opnfiles/25-1732P-01A.pdf" TargetMode="External"/><Relationship Id="rId2601" Type="http://schemas.openxmlformats.org/officeDocument/2006/relationships/hyperlink" Target="https://cases.justia.com/federal/appellate-courts/ca7/24-1297/24-1297-2025-12-22.pdf?ts=1766437242" TargetMode="External"/><Relationship Id="rId1203" Type="http://schemas.openxmlformats.org/officeDocument/2006/relationships/hyperlink" Target="https://law.justia.com/cases/new-york/appellate-division-third-department/2021/532333.html" TargetMode="External"/><Relationship Id="rId1410" Type="http://schemas.openxmlformats.org/officeDocument/2006/relationships/hyperlink" Target="https://www.justice.gov/usao-sdny/pr/united-states-sues-townvillage-harrison-new-york-and-its-fire-department-discrimination" TargetMode="External"/><Relationship Id="rId1508" Type="http://schemas.openxmlformats.org/officeDocument/2006/relationships/hyperlink" Target="https://cases.justia.com/federal/appellate-courts/ca7/24-3262/24-3262-2026-06-08.pdf?ts=1780948846" TargetMode="External"/><Relationship Id="rId1855" Type="http://schemas.openxmlformats.org/officeDocument/2006/relationships/hyperlink" Target="https://www.law.cornell.edu/uscode/text/29/201" TargetMode="External"/><Relationship Id="rId2906" Type="http://schemas.openxmlformats.org/officeDocument/2006/relationships/hyperlink" Target="https://casetext.com/case/reed-v-city-of-conway" TargetMode="External"/><Relationship Id="rId1715" Type="http://schemas.openxmlformats.org/officeDocument/2006/relationships/hyperlink" Target="https://www.leagle.com/decision/infdco20211215796" TargetMode="External"/><Relationship Id="rId1922" Type="http://schemas.openxmlformats.org/officeDocument/2006/relationships/hyperlink" Target="https://www.dol.gov/whd/opinion/FLSA/2018/2018_01_05_16_FLSA.pdf" TargetMode="External"/><Relationship Id="rId296" Type="http://schemas.openxmlformats.org/officeDocument/2006/relationships/hyperlink" Target="https://public.fastcase.com/Wl%2B2t%2BeVuI35%2FN70vAMFZn5gKg3cdbP6IN7E7ywDm7QNgGMGGIVm2eo9gH1WNWLv" TargetMode="External"/><Relationship Id="rId2184" Type="http://schemas.openxmlformats.org/officeDocument/2006/relationships/hyperlink" Target="https://cases.justia.com/kentucky/court-of-appeals/2024-2022-ca-1330-mr.pdf?ts=1709910288" TargetMode="External"/><Relationship Id="rId2391" Type="http://schemas.openxmlformats.org/officeDocument/2006/relationships/hyperlink" Target="http://www.pacourts.us/assets/opinions/Supreme/out/68MM2020mo%20-%2010439399799476700.pdf?cb=1" TargetMode="External"/><Relationship Id="rId156" Type="http://schemas.openxmlformats.org/officeDocument/2006/relationships/hyperlink" Target="https://www.supremecourt.gov/opinions/23pdf/22-324_09m1.pdf" TargetMode="External"/><Relationship Id="rId363" Type="http://schemas.openxmlformats.org/officeDocument/2006/relationships/hyperlink" Target="http://client.prod.iaff.org/" TargetMode="External"/><Relationship Id="rId570" Type="http://schemas.openxmlformats.org/officeDocument/2006/relationships/hyperlink" Target="https://www.opn.ca6.uscourts.gov/opinions.pdf/20a0203p-06.pdf" TargetMode="External"/><Relationship Id="rId2044" Type="http://schemas.openxmlformats.org/officeDocument/2006/relationships/hyperlink" Target="https://cases.justia.com/michigan/court-of-appeals-unpublished/2026-371690.pdf?ts=1779282004" TargetMode="External"/><Relationship Id="rId2251" Type="http://schemas.openxmlformats.org/officeDocument/2006/relationships/hyperlink" Target="https://law.justia.com/cases/michigan/court-of-appeals-unpublished/2022/357887.html" TargetMode="External"/><Relationship Id="rId2489" Type="http://schemas.openxmlformats.org/officeDocument/2006/relationships/hyperlink" Target="https://caselaw.findlaw.com/court/us-1st-circuit/116442772.html" TargetMode="External"/><Relationship Id="rId2696" Type="http://schemas.openxmlformats.org/officeDocument/2006/relationships/hyperlink" Target="https://www.tncourts.gov/sites/default/files/OpinionsPDFVersion/MOSS%20-%20Majority%20Opinion.pdf" TargetMode="External"/><Relationship Id="rId223" Type="http://schemas.openxmlformats.org/officeDocument/2006/relationships/hyperlink" Target="https://www.cunninghambounds.com/blogs/2022/june/state-immunity-state-agent-immunity-deputy-fire-/" TargetMode="External"/><Relationship Id="rId430" Type="http://schemas.openxmlformats.org/officeDocument/2006/relationships/hyperlink" Target="https://law.justia.com/cases/new-york/appellate-division-second-department/2025/2024-09583.html" TargetMode="External"/><Relationship Id="rId668" Type="http://schemas.openxmlformats.org/officeDocument/2006/relationships/hyperlink" Target="https://cdn.ca9.uscourts.gov/datastore/opinions/2025/10/30/25-6268.pdf" TargetMode="External"/><Relationship Id="rId875" Type="http://schemas.openxmlformats.org/officeDocument/2006/relationships/hyperlink" Target="https://www.wfaa.com/article/news/local/collin-county/supreme-court-declines-case-swat-team-mckinney-hostage-standoff/287-73f00e4e-b131-4285-b541-236c48ef79d0" TargetMode="External"/><Relationship Id="rId1060" Type="http://schemas.openxmlformats.org/officeDocument/2006/relationships/hyperlink" Target="https://www.kvoa.com/news/arizona/arizona-supreme-court-rules-in-favor-of-firefighter-in-compensation-claim/article_63a696b0-5894-4bcc-94e3-966091411b00.html" TargetMode="External"/><Relationship Id="rId1298" Type="http://schemas.openxmlformats.org/officeDocument/2006/relationships/hyperlink" Target="https://www.leagle.com/decision/inohco20200205714" TargetMode="External"/><Relationship Id="rId2111" Type="http://schemas.openxmlformats.org/officeDocument/2006/relationships/hyperlink" Target="https://storage.courtlistener.com/recap/gov.uscourts.cod.231472/gov.uscourts.cod.231472.63.0.pdf" TargetMode="External"/><Relationship Id="rId2349" Type="http://schemas.openxmlformats.org/officeDocument/2006/relationships/hyperlink" Target="https://www.thecut.com/2020/08/the-killing-of-elijah-mcclain-everything-we-know.html" TargetMode="External"/><Relationship Id="rId2556" Type="http://schemas.openxmlformats.org/officeDocument/2006/relationships/hyperlink" Target="https://cases.justia.com/tennessee/court-of-criminal-appeals/2026-e2025-00835-cca-r3-cd.pdf?ts=1787176489" TargetMode="External"/><Relationship Id="rId2763" Type="http://schemas.openxmlformats.org/officeDocument/2006/relationships/hyperlink" Target="https://casetext.com/case/parmenter-v-city-of-nowata" TargetMode="External"/><Relationship Id="rId2970" Type="http://schemas.openxmlformats.org/officeDocument/2006/relationships/hyperlink" Target="https://casetext.com/case/dolan-v-fed-emergency-mgmt-agency" TargetMode="External"/><Relationship Id="rId528" Type="http://schemas.openxmlformats.org/officeDocument/2006/relationships/hyperlink" Target="https://www.documentcloud.org/documents/23589006-firefighter-suit-terrance-jones-et-al-v-coj-order-finalizing-case011323" TargetMode="External"/><Relationship Id="rId735" Type="http://schemas.openxmlformats.org/officeDocument/2006/relationships/hyperlink" Target="https://www.supremecourt.gov/opinions/21pdf/20-843_7j80.pdf" TargetMode="External"/><Relationship Id="rId942" Type="http://schemas.openxmlformats.org/officeDocument/2006/relationships/hyperlink" Target="https://www.in.gov/judiciary/opinions/pdf/10241902eft.pdf" TargetMode="External"/><Relationship Id="rId1158" Type="http://schemas.openxmlformats.org/officeDocument/2006/relationships/hyperlink" Target="https://ilcourtsaudio.blob.core.windows.net/antilles-resources/resources/aec16a44-b27a-4304-97c1-5c133043b2dd/Brucki%20v.%20Orland%20Fire%20Protection%20District,%202022%20IL%20App%20(1st)%20220288-U.pdf" TargetMode="External"/><Relationship Id="rId1365" Type="http://schemas.openxmlformats.org/officeDocument/2006/relationships/hyperlink" Target="https://cases.justia.com/california/court-of-appeal/2025-b327196.pdf?ts=1748039442" TargetMode="External"/><Relationship Id="rId1572" Type="http://schemas.openxmlformats.org/officeDocument/2006/relationships/hyperlink" Target="https://public.fastcase.com/ZZhmr5v9wN%2FXOe5IsQ%2FqDz1M0c7XntbkBFAKdHDge9e%2F8CSFXEi88W%2FVfdIRS4Pi97nH6Fo0Jpcpv2L%2BsFvZPbsE0qA7KMgQlRndt4L6foA%3D?utm_medium=email&amp;_hsmi=226712652&amp;_hsenc=p2ANqtz--PxjvF13xKDxQ7J7F-ifitmDmVZpuVXf36_4emKUQzFhwmn1WPofSx1ry4m9mCDedrl6XMHnLVa4UU0oKcRVjso9raZQ&amp;utm_content=226712652&amp;utm_source=hs_email" TargetMode="External"/><Relationship Id="rId2209" Type="http://schemas.openxmlformats.org/officeDocument/2006/relationships/hyperlink" Target="https://public.fastcase.com/ZZhmr5v9wN%2FXOe5IsQ%2FqDwASFNWp2rhZooTaAZ4JTmSP%2Ba577zfXOKFdhmxj2NNxZ%2BfUfh8HTXLnmAlto%2FfEgpJtIv6O1WLjBzQZiKVSV8A%3D?utm_medium=email&amp;_hsmi=226712652&amp;_hsenc=p2ANqtz-9KUYaeGFguXeYoSZu4M54zm4xcFhouQPplq1qZXjy7nqatE34VLjsx4SN3mygo2_n2CHhg7EjDYW1VqsMoJq110-zPJg&amp;utm_content=226712652&amp;utm_source=hs_email" TargetMode="External"/><Relationship Id="rId2416" Type="http://schemas.openxmlformats.org/officeDocument/2006/relationships/hyperlink" Target="http://www.opn.ca6.uscourts.gov/opinions.pdf/19a0272n-06.pdf" TargetMode="External"/><Relationship Id="rId2623" Type="http://schemas.openxmlformats.org/officeDocument/2006/relationships/hyperlink" Target="https://indianacapitalchronicle.com/2024/10/14/former-indiana-sheriff-jamey-noel-sentenced-to-15-years-in-prison-as-part-of-plea-deal/" TargetMode="External"/><Relationship Id="rId1018" Type="http://schemas.openxmlformats.org/officeDocument/2006/relationships/hyperlink" Target="https://acis.alabama.gov/displaydocs.cfm?no=1022968&amp;event=5S20LIXMT" TargetMode="External"/><Relationship Id="rId1225" Type="http://schemas.openxmlformats.org/officeDocument/2006/relationships/hyperlink" Target="https://www.govexec.com/pay-benefits/2001/08/firefighter-retirement-age-rises-to-57/9846/" TargetMode="External"/><Relationship Id="rId1432" Type="http://schemas.openxmlformats.org/officeDocument/2006/relationships/hyperlink" Target="https://www.mass.gov/doc/blanchette-tracy-v-city-of-methuen-111821/download" TargetMode="External"/><Relationship Id="rId1877" Type="http://schemas.openxmlformats.org/officeDocument/2006/relationships/hyperlink" Target="https://public.fastcase.com/Wl%2B2t%2BeVuI35%2FN70vAMFZjQ0yk8eNGgy%2FibI6B2NDAJYgZ2PRe3I9j%2FKWgfFbNa7" TargetMode="External"/><Relationship Id="rId2830" Type="http://schemas.openxmlformats.org/officeDocument/2006/relationships/hyperlink" Target="http://media.ca11.uscourts.gov/opinions/unpub/files/201715398.pdf" TargetMode="External"/><Relationship Id="rId2928" Type="http://schemas.openxmlformats.org/officeDocument/2006/relationships/hyperlink" Target="https://www.dailydispatch.com/StateNews/DE/2021/July/02/Wilmington.firefighters.union.wins.Chancery.Court.appeal.in.battle.over.shift.change.aspx" TargetMode="External"/><Relationship Id="rId71" Type="http://schemas.openxmlformats.org/officeDocument/2006/relationships/hyperlink" Target="https://cases.justia.com/federal/district-courts/texas/txsdce/3:2023cv00356/1939756/67/0.pdf?ts=1752929790" TargetMode="External"/><Relationship Id="rId802" Type="http://schemas.openxmlformats.org/officeDocument/2006/relationships/hyperlink" Target="https://casetext.com/case/stahl-v-dept-of-justice" TargetMode="External"/><Relationship Id="rId1737" Type="http://schemas.openxmlformats.org/officeDocument/2006/relationships/hyperlink" Target="https://www.justice.gov/opa/pr/justice-department-settles-college-resolve-disability-discrimination-complaint" TargetMode="External"/><Relationship Id="rId1944" Type="http://schemas.openxmlformats.org/officeDocument/2006/relationships/hyperlink" Target="https://cases.justia.com/louisiana/first-circuit-court-of-appeal/2025-2023ca0459.pdf?ts=1749828408" TargetMode="External"/><Relationship Id="rId29" Type="http://schemas.openxmlformats.org/officeDocument/2006/relationships/hyperlink" Target="https://www4.courts.ca.gov/opinions/documents/E087834.PDF" TargetMode="External"/><Relationship Id="rId178" Type="http://schemas.openxmlformats.org/officeDocument/2006/relationships/hyperlink" Target="https://public.fastcase.com/ZZhmr5v9wN%2FXOe5IsQ%2FqD3QWuMgnFl%2B3o%2F4uUFiu6RUK1p7KFM%2BXOmaedKhzNCbabAKegQ7cA7QRQh6Aya7idRlRF78qeqCUoqW17wj1IUw%3D?utm_medium=email&amp;_hsmi=226712652&amp;_hsenc=p2ANqtz-87CRXhJMi7biUmbeSml1AgtAY_NVYdYjA00lD_OXsZo9fEN5Imr0EyPY0zfsM2_JyagzI4vAzpnYyJYIEoZ9qDDKxGPw&amp;utm_content=226712652&amp;utm_source=hs_email" TargetMode="External"/><Relationship Id="rId1804" Type="http://schemas.openxmlformats.org/officeDocument/2006/relationships/hyperlink" Target="https://cases.justia.com/federal/district-courts/oklahoma/okedce/6:2023cv00241/34830/33/0.pdf?ts=1732294058" TargetMode="External"/><Relationship Id="rId385" Type="http://schemas.openxmlformats.org/officeDocument/2006/relationships/hyperlink" Target="https://public.fastcase.com/Jhe1Qn%2BmJndQYQU6z%2FeNmxUKEbGbaFlexcqUctyrnFvzVwwOmAVBm%2FWENjBOa41qr2N0tipNbogFx7Hzz9DDPoKHACO1lVQSrxkGgspUxq8%3D?utm_medium=email&amp;_hsenc=p2ANqtz-_D8uetZhSrdYqgOH6RbHUGR4NBkHGJgxz2M-KgfAGsZ-SE4dcuskkSbWcZUd-KZIzGe72P5qRDJGEH2ZuuPQ98-RV4iA&amp;_hsmi=226712652&amp;utm_content=226712652&amp;utm_source=hs_email" TargetMode="External"/><Relationship Id="rId592" Type="http://schemas.openxmlformats.org/officeDocument/2006/relationships/hyperlink" Target="https://law.justia.com/cases/new-york/appellate-division-second-department/2019/2016-10855.html" TargetMode="External"/><Relationship Id="rId2066" Type="http://schemas.openxmlformats.org/officeDocument/2006/relationships/hyperlink" Target="https://www.govinfo.gov/content/pkg/USCOURTS-ca11-25-11434/pdf/USCOURTS-ca11-25-11434-0.pdf" TargetMode="External"/><Relationship Id="rId2273" Type="http://schemas.openxmlformats.org/officeDocument/2006/relationships/hyperlink" Target="https://law.justia.com/cases/new-york/other-courts/2022/2022-ny-slip-op-22137.html" TargetMode="External"/><Relationship Id="rId2480" Type="http://schemas.openxmlformats.org/officeDocument/2006/relationships/hyperlink" Target="https://cases.justia.com/arizona/court-of-appeals-division-one-published/2025-1-ca-ic-24-0009.pdf?ts=1745946035" TargetMode="External"/><Relationship Id="rId245" Type="http://schemas.openxmlformats.org/officeDocument/2006/relationships/hyperlink" Target="https://www.mainelegislature.org/legis/statutes/17/title17sec2851.html" TargetMode="External"/><Relationship Id="rId452" Type="http://schemas.openxmlformats.org/officeDocument/2006/relationships/hyperlink" Target="https://supreme.justia.com/cases/federal/us/503/115/" TargetMode="External"/><Relationship Id="rId897" Type="http://schemas.openxmlformats.org/officeDocument/2006/relationships/hyperlink" Target="https://public.fastcase.com/J%2FJP6pdidelsXxEE4k%2BLMku%2FobbeA4O7XFFZreFgRQx%2BWZ7fzC1IhmGay6LSjTfKJi%2F0lJWfruI6T6uwjyLWcTFUlKk%2FJDuh9Eyt0JVbsGk%3D?utm_medium=email&amp;_hsmi=226712652&amp;_hsenc=p2ANqtz-8osvFL3X0gyhLaJKRyW92xrD2GPamYVB-ledl39OimVvrR3SDszthVFmIjtescLBDKIYLBKlOi8FN2nFy4wMQT_YiRlg&amp;utm_content=226712652&amp;utm_source=hs_email" TargetMode="External"/><Relationship Id="rId1082" Type="http://schemas.openxmlformats.org/officeDocument/2006/relationships/hyperlink" Target="https://caselaw.findlaw.com/court/ny-supreme-court/117196656.html" TargetMode="External"/><Relationship Id="rId2133" Type="http://schemas.openxmlformats.org/officeDocument/2006/relationships/hyperlink" Target="https://casetext.com/case/kuhler-v-phi-health-llc" TargetMode="External"/><Relationship Id="rId2340" Type="http://schemas.openxmlformats.org/officeDocument/2006/relationships/hyperlink" Target="https://casetext.com/case/county-of-sacramento-v-lewis" TargetMode="External"/><Relationship Id="rId2578" Type="http://schemas.openxmlformats.org/officeDocument/2006/relationships/hyperlink" Target="https://public.fastcase.com/" TargetMode="External"/><Relationship Id="rId2785" Type="http://schemas.openxmlformats.org/officeDocument/2006/relationships/hyperlink" Target="http://codes.ohio.gov/orc/2933.52" TargetMode="External"/><Relationship Id="rId2992" Type="http://schemas.openxmlformats.org/officeDocument/2006/relationships/hyperlink" Target="https://pascrell.house.gov/news/documentsingle.aspx?DocumentID=4933" TargetMode="External"/><Relationship Id="rId105" Type="http://schemas.openxmlformats.org/officeDocument/2006/relationships/hyperlink" Target="https://casetext.com/statute/united-states-code/title-18-crimes-and-criminal-procedure/part-i-crimes/chapter-40-importation-manufacture-distribution-and-storage-of-explosive-materials/section-844-penalties" TargetMode="External"/><Relationship Id="rId312" Type="http://schemas.openxmlformats.org/officeDocument/2006/relationships/hyperlink" Target="http://www.firelawblog.com/wp-content/uploads/sites/19/2011/02/becker_final_ruling1.pdf" TargetMode="External"/><Relationship Id="rId757" Type="http://schemas.openxmlformats.org/officeDocument/2006/relationships/hyperlink" Target="https://public.fastcase.com/9SKwsfNqTc6OieYDhNMyMwgnH2rEWQiRpx4SwB8tOsl9D8EiwJnekd530roHqTrENez3wWnOYZMVTxSfKTsOEtbG3zaICMf20ttzqQEEaDo" TargetMode="External"/><Relationship Id="rId964" Type="http://schemas.openxmlformats.org/officeDocument/2006/relationships/hyperlink" Target="https://cases.justia.com/colorado/court-of-appeals/2025-24ca1544.pdf?ts=1751643339" TargetMode="External"/><Relationship Id="rId1387" Type="http://schemas.openxmlformats.org/officeDocument/2006/relationships/hyperlink" Target="https://www.supremecourt.gov/opinions/23pdf/22-193_q86b.pdf" TargetMode="External"/><Relationship Id="rId1594" Type="http://schemas.openxmlformats.org/officeDocument/2006/relationships/hyperlink" Target="https://law.justia.com/cases/federal/district-courts/california/caedce/1:2018cv00824/337796/49/" TargetMode="External"/><Relationship Id="rId2200" Type="http://schemas.openxmlformats.org/officeDocument/2006/relationships/hyperlink" Target="https://casetext.com/case/baker-v-city-of-woodbury" TargetMode="External"/><Relationship Id="rId2438" Type="http://schemas.openxmlformats.org/officeDocument/2006/relationships/hyperlink" Target="https://cases.justia.com/ohio/ninth-district-court-of-appeals/2018-28746.pdf?ts=1532525904" TargetMode="External"/><Relationship Id="rId2645" Type="http://schemas.openxmlformats.org/officeDocument/2006/relationships/hyperlink" Target="https://law.justia.com/cases/new-york/appellate-division-third-department/2024/cv-23-1185.html" TargetMode="External"/><Relationship Id="rId2852" Type="http://schemas.openxmlformats.org/officeDocument/2006/relationships/hyperlink" Target="https://public.fastcase.com/Jhe1Qn%2BmJndQYQU6z%2FeNmxCPiZizVlc11JYA3odTB4IhzrCNgoXQd5cis%2BDwnvItMWVDGFMSfq0NQT9Gs0Nt1TNd1VW0h9sJNC6uT%2FjNAHc%3D?utm_medium=email&amp;_hsenc=p2ANqtz-8-aEXaYfaNma4DTW9HUN_1FUQQoclWpkG9e_9BTRsreHlU-cWJ1LgKYyHosOTXLG__w-panONGFSrnN_jSAOz_10UwNA&amp;_hsmi=226712652&amp;utm_content=226712652&amp;utm_source=hs_email" TargetMode="External"/><Relationship Id="rId93" Type="http://schemas.openxmlformats.org/officeDocument/2006/relationships/hyperlink" Target="https://supreme.justia.com/cases/federal/us/360/264/" TargetMode="External"/><Relationship Id="rId617" Type="http://schemas.openxmlformats.org/officeDocument/2006/relationships/hyperlink" Target="http://www.caohc.org/updatearticles/2017/Update_v29-i1.pdf" TargetMode="External"/><Relationship Id="rId824" Type="http://schemas.openxmlformats.org/officeDocument/2006/relationships/hyperlink" Target="http://www.ca2.uscourts.gov/decisions/isysquery/d136f88b-cd40-4720-ac80-979ab5d9e37d/2/doc/18-943_opn.pdf" TargetMode="External"/><Relationship Id="rId1247" Type="http://schemas.openxmlformats.org/officeDocument/2006/relationships/hyperlink" Target="https://www.massmunilaw.org/wp-content/uploads/2020/12/DIANE-LAWLESS-v.-CHERYL-ESTRELLA.pdf" TargetMode="External"/><Relationship Id="rId1454" Type="http://schemas.openxmlformats.org/officeDocument/2006/relationships/hyperlink" Target="https://www.uticaod.com/news/20190925/ex-utica-firefighter-found-guilty-on-all-charges" TargetMode="External"/><Relationship Id="rId1661" Type="http://schemas.openxmlformats.org/officeDocument/2006/relationships/hyperlink" Target="https://www.iafc.org/docs/default-source/1safehealthshs/vws_rrkit_nfpa-1582.pdf?sfvrsn=ca9b9f0d_4" TargetMode="External"/><Relationship Id="rId1899" Type="http://schemas.openxmlformats.org/officeDocument/2006/relationships/hyperlink" Target="https://www.law.cornell.edu/definitions/uscode.php?width=840&amp;height=800&amp;iframe=true&amp;def_id=29-USC-1193469614-1597622566&amp;term_occur=999&amp;term_src=" TargetMode="External"/><Relationship Id="rId2505" Type="http://schemas.openxmlformats.org/officeDocument/2006/relationships/hyperlink" Target="https://public.fastcase.com/ZZhmr5v9wN%2FXOe5IsQ%2FqD7d2ApzwrZCQvAZQlM%2B4VVcvgALpNi2VKyyjI%2Bz22f3P?utm_medium=email&amp;_hsmi=226712652&amp;_hsenc=p2ANqtz-9QV0nznODHw4_m_j0AE4K8p0b7Wes2e9d7AzOOyb86IGbeyJ8jbpovdpcqHFVtvrmWyxti44YX_ZuNCNTYmJshWS7Dxw&amp;utm_content=226712652&amp;utm_source=hs_email" TargetMode="External"/><Relationship Id="rId2712" Type="http://schemas.openxmlformats.org/officeDocument/2006/relationships/hyperlink" Target="https://casetext.com/case/olguin-v-city-of-hollister" TargetMode="External"/><Relationship Id="rId1107" Type="http://schemas.openxmlformats.org/officeDocument/2006/relationships/hyperlink" Target="https://caselaw.findlaw.com/court/ma-court-of-appeals/116528710.html" TargetMode="External"/><Relationship Id="rId1314" Type="http://schemas.openxmlformats.org/officeDocument/2006/relationships/hyperlink" Target="http://www.pacourts.us/assets/opinions/Commonwealth/out/877CD18_3-25-19.pdf?cb=1" TargetMode="External"/><Relationship Id="rId1521" Type="http://schemas.openxmlformats.org/officeDocument/2006/relationships/hyperlink" Target="https://www.cincinnati-oh.gov/hr/eligible-lists1/promotional/fire-lieutenant/" TargetMode="External"/><Relationship Id="rId1759" Type="http://schemas.openxmlformats.org/officeDocument/2006/relationships/hyperlink" Target="https://www.dol.gov/sites/dolgov/files/WHD/legacy/files/fab_2020_7.pdf" TargetMode="External"/><Relationship Id="rId1966" Type="http://schemas.openxmlformats.org/officeDocument/2006/relationships/hyperlink" Target="https://cases.justia.com/federal/appellate-courts/ca5/22-20380/22-20380-2023-07-24.pdf?ts=1690219861" TargetMode="External"/><Relationship Id="rId1619" Type="http://schemas.openxmlformats.org/officeDocument/2006/relationships/hyperlink" Target="https://casetext.com/case/bey-v-city-of-ny-7" TargetMode="External"/><Relationship Id="rId1826" Type="http://schemas.openxmlformats.org/officeDocument/2006/relationships/hyperlink" Target="https://cdn.ca9.uscourts.gov/datastore/opinions/2023/11/30/22-55663.pdf" TargetMode="External"/><Relationship Id="rId20" Type="http://schemas.openxmlformats.org/officeDocument/2006/relationships/hyperlink" Target="https://scholar.uc.edu/show/ks65hd707" TargetMode="External"/><Relationship Id="rId2088" Type="http://schemas.openxmlformats.org/officeDocument/2006/relationships/hyperlink" Target="https://www.pacourts.us/assets/opinions/Superior/out/J-S30019-25o%20-%20106515413327511102.pdf?cb=1" TargetMode="External"/><Relationship Id="rId2295" Type="http://schemas.openxmlformats.org/officeDocument/2006/relationships/hyperlink" Target="https://www.opn.ca6.uscourts.gov/opinions.pdf/21a0287p-06.pdf" TargetMode="External"/><Relationship Id="rId267" Type="http://schemas.openxmlformats.org/officeDocument/2006/relationships/hyperlink" Target="https://media.ca11.uscourts.gov/opinions/pub/files/201814682.pdf" TargetMode="External"/><Relationship Id="rId474" Type="http://schemas.openxmlformats.org/officeDocument/2006/relationships/hyperlink" Target="https://www.hometownlife.com/story/news/local/westland/2016/04/15/report-released-westland-firefighter-death/83087498/" TargetMode="External"/><Relationship Id="rId2155" Type="http://schemas.openxmlformats.org/officeDocument/2006/relationships/hyperlink" Target="https://www.youtube.com/watch?v=o3-MrFOLXFs" TargetMode="External"/><Relationship Id="rId127" Type="http://schemas.openxmlformats.org/officeDocument/2006/relationships/hyperlink" Target="https://casetext.com/case/lear-v-commonwealth-95" TargetMode="External"/><Relationship Id="rId681" Type="http://schemas.openxmlformats.org/officeDocument/2006/relationships/hyperlink" Target="https://www.pbs.org/newshour/politics/what-is-the-legal-process-for-deporting-u-s-green-card-and-visa-holders" TargetMode="External"/><Relationship Id="rId779" Type="http://schemas.openxmlformats.org/officeDocument/2006/relationships/hyperlink" Target="https://www.law.cornell.edu/definitions/uscode.php?width=840&amp;height=800&amp;iframe=true&amp;def_id=8-USC-92903111-1485256781&amp;term_occur=999&amp;term_src=" TargetMode="External"/><Relationship Id="rId986" Type="http://schemas.openxmlformats.org/officeDocument/2006/relationships/hyperlink" Target="https://search.txcourts.gov/SearchMedia.aspx?MediaVersionID=ce66bb80-60c8-4a68-9e10-0d461411b53e&amp;coa=coa14&amp;DT=Opinion&amp;MediaID=4a32394c-a506-4577-9679-e2747d0b06c4" TargetMode="External"/><Relationship Id="rId2362" Type="http://schemas.openxmlformats.org/officeDocument/2006/relationships/hyperlink" Target="https://www.exploregeorgia.org/city/sapelo-island" TargetMode="External"/><Relationship Id="rId2667" Type="http://schemas.openxmlformats.org/officeDocument/2006/relationships/hyperlink" Target="https://casetext.com/case/zahn-v-kenner-mun-fire-police-civil-serv-bd" TargetMode="External"/><Relationship Id="rId334" Type="http://schemas.openxmlformats.org/officeDocument/2006/relationships/hyperlink" Target="https://www.courts.wa.gov/opinions/pdf/953961.pdf" TargetMode="External"/><Relationship Id="rId541" Type="http://schemas.openxmlformats.org/officeDocument/2006/relationships/hyperlink" Target="https://law.justia.com/cases/ohio/twelfth-district-court-of-appeals/2022/ca2022-02-020.html" TargetMode="External"/><Relationship Id="rId639" Type="http://schemas.openxmlformats.org/officeDocument/2006/relationships/hyperlink" Target="https://www.sf.gov/news-federal-court-blocks-trump-administration-from-withholding-funds-to-sanctuary-jurisdictions" TargetMode="External"/><Relationship Id="rId1171" Type="http://schemas.openxmlformats.org/officeDocument/2006/relationships/hyperlink" Target="https://isc.idaho.gov/opinions/49171.pdf" TargetMode="External"/><Relationship Id="rId1269" Type="http://schemas.openxmlformats.org/officeDocument/2006/relationships/hyperlink" Target="https://law.justia.com/cases/maryland/court-of-special-appeals/2020/2498-17.html" TargetMode="External"/><Relationship Id="rId1476" Type="http://schemas.openxmlformats.org/officeDocument/2006/relationships/hyperlink" Target="https://cases.justia.com/federal/district-courts/pennsylvania/paedce/2:2017cv05388/537208/50/0.pdf?ts=1562761562" TargetMode="External"/><Relationship Id="rId2015" Type="http://schemas.openxmlformats.org/officeDocument/2006/relationships/hyperlink" Target="https://www.la4th.org/opinion/2019/486077.pdf" TargetMode="External"/><Relationship Id="rId2222" Type="http://schemas.openxmlformats.org/officeDocument/2006/relationships/hyperlink" Target="https://law.justia.com/cases/kentucky/supreme-court/2023/2021-sc-0479-mr.html" TargetMode="External"/><Relationship Id="rId2874" Type="http://schemas.openxmlformats.org/officeDocument/2006/relationships/hyperlink" Target="https://casetext.com/case/youngstown-profl-firefighters-iaff-local-312-v-city-of-youngstown" TargetMode="External"/><Relationship Id="rId401" Type="http://schemas.openxmlformats.org/officeDocument/2006/relationships/hyperlink" Target="https://public.fastcase.com/Jhe1Qn%2BmJndQYQU6z%2FeNm1Wc0BhwXqbgUcnfM0G%2F8LGBWKhbC8yUkIyVwLGd8HWj?utm_medium=email&amp;_hsenc=p2ANqtz-85mlG7bjjwBnXQBs8DYGyySvCPBDEvbYyrF7EMhR5VCH2hTuoCLWnOKD3mejXOTkKYawSsNFXD_QLidauQN_0-kPfmHA&amp;_hsmi=226712652&amp;utm_content=226712652&amp;utm_source=hs_email" TargetMode="External"/><Relationship Id="rId846" Type="http://schemas.openxmlformats.org/officeDocument/2006/relationships/hyperlink" Target="https://www.supremecourt.gov/opinions/17pdf/17-965_h315.pdf" TargetMode="External"/><Relationship Id="rId1031" Type="http://schemas.openxmlformats.org/officeDocument/2006/relationships/hyperlink" Target="http://www.legallyspeakingohio.com/wordpress/wp-content/uploads/2013/03/anderson-v-massilon.pdf" TargetMode="External"/><Relationship Id="rId1129" Type="http://schemas.openxmlformats.org/officeDocument/2006/relationships/hyperlink" Target="https://casetext.com/case/perez-v-city-of-denver-4" TargetMode="External"/><Relationship Id="rId1683" Type="http://schemas.openxmlformats.org/officeDocument/2006/relationships/hyperlink" Target="https://cases.justia.com/federal/appellate-courts/ca11/22-10002/22-10002-2023-10-11.pdf?ts=1697045568" TargetMode="External"/><Relationship Id="rId1890" Type="http://schemas.openxmlformats.org/officeDocument/2006/relationships/hyperlink" Target="https://www.dol.gov/sites/dolgov/files/WHD/legacy/files/fab_2020_5.pdf" TargetMode="External"/><Relationship Id="rId1988" Type="http://schemas.openxmlformats.org/officeDocument/2006/relationships/hyperlink" Target="https://law.justia.com/cases/oklahoma/supreme-court/2021/118474.html" TargetMode="External"/><Relationship Id="rId2527" Type="http://schemas.openxmlformats.org/officeDocument/2006/relationships/hyperlink" Target="file:///C:\Users\lawre\AppData\Local\Microsoft\Windows\INetCache\Content.Outlook\L4F26AG7\Mayer%20%5E0%20Corey%202016%20Current%20Issues%20in%20FFD%20evaluations%20of%20LEOs.pdf" TargetMode="External"/><Relationship Id="rId2734" Type="http://schemas.openxmlformats.org/officeDocument/2006/relationships/hyperlink" Target="https://www.supremecourt.ohio.gov/rod/docs/pdf/0/2009/2009-ohio-2597.pdf" TargetMode="External"/><Relationship Id="rId2941" Type="http://schemas.openxmlformats.org/officeDocument/2006/relationships/hyperlink" Target="https://www.scotusblog.com/case-files/cases/new-prime-inc-v-oliveira/" TargetMode="External"/><Relationship Id="rId706" Type="http://schemas.openxmlformats.org/officeDocument/2006/relationships/hyperlink" Target="https://www.supremecourt.gov/opinions/23pdf/22-1178_p8k0.pdf" TargetMode="External"/><Relationship Id="rId913" Type="http://schemas.openxmlformats.org/officeDocument/2006/relationships/hyperlink" Target="https://codes.ohio.gov/ohio-revised-code/section-2744.03" TargetMode="External"/><Relationship Id="rId1336" Type="http://schemas.openxmlformats.org/officeDocument/2006/relationships/hyperlink" Target="https://caselaw.findlaw.com/pa-commonwealth-court/1897108.html" TargetMode="External"/><Relationship Id="rId1543" Type="http://schemas.openxmlformats.org/officeDocument/2006/relationships/hyperlink" Target="https://nola.gov/getattachment/e3454bbc-a629-43a1-b296-8d99f21a3e04/Dyer,-Varrick-9485/" TargetMode="External"/><Relationship Id="rId1750" Type="http://schemas.openxmlformats.org/officeDocument/2006/relationships/hyperlink" Target="https://cases.justia.com/federal/district-courts/south-carolina/scdce/0:2024cv00826/288831/46/0.pdf" TargetMode="External"/><Relationship Id="rId2801" Type="http://schemas.openxmlformats.org/officeDocument/2006/relationships/hyperlink" Target="https://public.fastcase.com/Wl%2B2t%2BeVuI35%2FN70vAMFZsbNGaY2qJ5U2CI4LnVCoihkt6wfuyNvOKbs8su8KP1J" TargetMode="External"/><Relationship Id="rId42" Type="http://schemas.openxmlformats.org/officeDocument/2006/relationships/hyperlink" Target="https://public.fastcase.com/" TargetMode="External"/><Relationship Id="rId1403" Type="http://schemas.openxmlformats.org/officeDocument/2006/relationships/hyperlink" Target="https://public.fastcase.com/" TargetMode="External"/><Relationship Id="rId1610" Type="http://schemas.openxmlformats.org/officeDocument/2006/relationships/hyperlink" Target="https://casetext.com/case/alston-v-spiegel" TargetMode="External"/><Relationship Id="rId1848" Type="http://schemas.openxmlformats.org/officeDocument/2006/relationships/hyperlink" Target="https://public.fastcase.com/J%2FJP6pdidelsXxEE4k%2BLMr0y9kFOAzIUnYfOqh5rzor5PqJTkzf5B1o34%2FZmTTqCNP3Iy4k13qLiNXQ3dhjTd98I5NdjhvTfnAcaeUtmaKs%3D" TargetMode="External"/><Relationship Id="rId191" Type="http://schemas.openxmlformats.org/officeDocument/2006/relationships/hyperlink" Target="https://www.supremecourt.gov/opinions/22pdf/21-1158_p8k0.pdf" TargetMode="External"/><Relationship Id="rId1708" Type="http://schemas.openxmlformats.org/officeDocument/2006/relationships/hyperlink" Target="https://www.eeoc.gov/laws/guidance/questions-and-answers-final-rule-implementing-ada-amendments-act-2008" TargetMode="External"/><Relationship Id="rId1915" Type="http://schemas.openxmlformats.org/officeDocument/2006/relationships/hyperlink" Target="https://www.dol.gov/whd/opinion/FLSA/2005/2005_10_14_40_FLSA.pdf" TargetMode="External"/><Relationship Id="rId289" Type="http://schemas.openxmlformats.org/officeDocument/2006/relationships/hyperlink" Target="https://www.ca4.uscourts.gov/opinions/191632.P.pdf" TargetMode="External"/><Relationship Id="rId496" Type="http://schemas.openxmlformats.org/officeDocument/2006/relationships/hyperlink" Target="https://casetext.com/statute/consolidated-laws-of-new-york/chapter-volunteer-firefighters-benefit/article-2-coverage-and-benefits/section-5-coverage" TargetMode="External"/><Relationship Id="rId2177" Type="http://schemas.openxmlformats.org/officeDocument/2006/relationships/hyperlink" Target="https://www.contracosta.ca.gov/DocumentCenter/View/79107/Final-LEIFI-Ivan-Gutzalenko--2021" TargetMode="External"/><Relationship Id="rId2384" Type="http://schemas.openxmlformats.org/officeDocument/2006/relationships/hyperlink" Target="https://njcourts.gov/attorneys/assets/opinions/appellate/published/a0117-19.pdf?c=WwB" TargetMode="External"/><Relationship Id="rId2591" Type="http://schemas.openxmlformats.org/officeDocument/2006/relationships/hyperlink" Target="https://www.youtube.com/watch?v=RmdIuKRFVuU" TargetMode="External"/><Relationship Id="rId149" Type="http://schemas.openxmlformats.org/officeDocument/2006/relationships/hyperlink" Target="https://natlawreview.com/article/michigan-supreme-court-case-has-potential-guide-drone-and-air-rights-law-nation" TargetMode="External"/><Relationship Id="rId356" Type="http://schemas.openxmlformats.org/officeDocument/2006/relationships/hyperlink" Target="https://d279m997dpfwgl.cloudfront.net/wp/2019/02/EPSON520.pdf" TargetMode="External"/><Relationship Id="rId563" Type="http://schemas.openxmlformats.org/officeDocument/2006/relationships/hyperlink" Target="https://casetext.com/case/state-v-zitney-1" TargetMode="External"/><Relationship Id="rId770" Type="http://schemas.openxmlformats.org/officeDocument/2006/relationships/hyperlink" Target="https://www.washingtonpost.com/nation/interactive/2021/anti-gun-gun-owners/?itid=lk_inline_manual_4" TargetMode="External"/><Relationship Id="rId1193" Type="http://schemas.openxmlformats.org/officeDocument/2006/relationships/hyperlink" Target="https://www.leagle.com/decision/inohco20211007389" TargetMode="External"/><Relationship Id="rId2037" Type="http://schemas.openxmlformats.org/officeDocument/2006/relationships/hyperlink" Target="https://s3.amazonaws.com/jnswire/jns-media/cc/cd/14348583/BaumgartnervChicago.pdf" TargetMode="External"/><Relationship Id="rId2244" Type="http://schemas.openxmlformats.org/officeDocument/2006/relationships/hyperlink" Target="https://www.law.cornell.edu/definitions/uscode.php?width=840&amp;height=800&amp;iframe=true&amp;def_id=42-USC-303628742-1009355614&amp;term_occur=999&amp;term_src=" TargetMode="External"/><Relationship Id="rId2451" Type="http://schemas.openxmlformats.org/officeDocument/2006/relationships/hyperlink" Target="https://cases.justia.com/federal/district-courts/florida/flmdce/8:2025cv02787/448658/35/0.pdf" TargetMode="External"/><Relationship Id="rId2689" Type="http://schemas.openxmlformats.org/officeDocument/2006/relationships/hyperlink" Target="https://www.supremecourt.gov/opinions/22pdf/21-476_c185.pdf" TargetMode="External"/><Relationship Id="rId2896" Type="http://schemas.openxmlformats.org/officeDocument/2006/relationships/hyperlink" Target="http://www.lanermuchin.com/assets/htmldocuments/Board%20Decision-%20Baylor.pdf" TargetMode="External"/><Relationship Id="rId216" Type="http://schemas.openxmlformats.org/officeDocument/2006/relationships/hyperlink" Target="https://caselaw.findlaw.com/mi-court-of-appeals/1912425.html" TargetMode="External"/><Relationship Id="rId423" Type="http://schemas.openxmlformats.org/officeDocument/2006/relationships/hyperlink" Target="https://www.muscalaw.com/blog/understanding-floridas-new-halo-law-and-its-impact-first-amendment-rights" TargetMode="External"/><Relationship Id="rId868" Type="http://schemas.openxmlformats.org/officeDocument/2006/relationships/hyperlink" Target="https://www.congress.gov/crs-product/R45732" TargetMode="External"/><Relationship Id="rId1053" Type="http://schemas.openxmlformats.org/officeDocument/2006/relationships/hyperlink" Target="https://www.pacourts.us/assets/opinions/Commonwealth/out/1089CD24_2-2-26.pdf?cb=1" TargetMode="External"/><Relationship Id="rId1260" Type="http://schemas.openxmlformats.org/officeDocument/2006/relationships/hyperlink" Target="https://law.justia.com/cases/federal/appellate-courts/ca6/19-1416/19-1416-2020-06-05.html" TargetMode="External"/><Relationship Id="rId1498" Type="http://schemas.openxmlformats.org/officeDocument/2006/relationships/hyperlink" Target="https://cases.justia.com/federal/appellate-courts/ca7/24-2908/24-2908-2026-07-16.pdf?ts=1784221283" TargetMode="External"/><Relationship Id="rId2104" Type="http://schemas.openxmlformats.org/officeDocument/2006/relationships/hyperlink" Target="https://cases.justia.com/federal/district-courts/washington/wawdce/2:2023cv01558/327312/54/0.pdf?ts=1747918716" TargetMode="External"/><Relationship Id="rId2549" Type="http://schemas.openxmlformats.org/officeDocument/2006/relationships/hyperlink" Target="https://www.minnesotacomp.com/blog/2018/11/post-traumatic-stress-disorder-may-become-a-presumptive-condition-for-first-responders/" TargetMode="External"/><Relationship Id="rId2756" Type="http://schemas.openxmlformats.org/officeDocument/2006/relationships/hyperlink" Target="https://www.leagle.com/decision/infdco20210518900" TargetMode="External"/><Relationship Id="rId2963" Type="http://schemas.openxmlformats.org/officeDocument/2006/relationships/hyperlink" Target="https://www.hud.gov/program_offices/housing/sfh/reo/goodn/gnndabot" TargetMode="External"/><Relationship Id="rId630" Type="http://schemas.openxmlformats.org/officeDocument/2006/relationships/hyperlink" Target="https://d.docs.live.net/bd9b2eaf6053242e/AppData/Roaming/Microsoft/AppData/Local/Microsoft/Windows/INetCache/IE/XO250S7T/memorandum%20%20affirmed%20%2010347948434547371.pdf" TargetMode="External"/><Relationship Id="rId728" Type="http://schemas.openxmlformats.org/officeDocument/2006/relationships/hyperlink" Target="https://casetext.com/case/baarbe-v-the-syrian-arab-republic" TargetMode="External"/><Relationship Id="rId935" Type="http://schemas.openxmlformats.org/officeDocument/2006/relationships/hyperlink" Target="https://ktla.com/news/local-news/vanessa-bryant-sues-l-a-county-sheriff-over-kobe-bryant-crash-photos/" TargetMode="External"/><Relationship Id="rId1358" Type="http://schemas.openxmlformats.org/officeDocument/2006/relationships/hyperlink" Target="https://public.fastcase.com/jaEE2PXzRXmZ99jOLMt1Ith2qIaSeggCoLDpY1bED9tguFhWPV6Zo6qPtk3o63Z4?utm_medium=email&amp;_hsenc=p2ANqtz-_k3-Q52FXjJQN9NeOgWdHNDXhdU7FtsE1Qhtjng3_RTOztkpkvOWiDZxLNU-kndNaS-F1RaBe3KZirW8vwSyzK6BF9eQ&amp;_hsmi=226712652&amp;utm_content=226712652&amp;utm_source=hs_email" TargetMode="External"/><Relationship Id="rId1565" Type="http://schemas.openxmlformats.org/officeDocument/2006/relationships/hyperlink" Target="https://casetext.com/statute/ohio-revised-code/title-41-labor-and-industry/chapter-4113-miscellaneous-labor-provisions/section-411352-reporting-violation-of-law-by-employer-or-fellow-employee" TargetMode="External"/><Relationship Id="rId1772" Type="http://schemas.openxmlformats.org/officeDocument/2006/relationships/hyperlink" Target="https://caselaw.findlaw.com/court/us-7th-circuit/2104932.html" TargetMode="External"/><Relationship Id="rId2311" Type="http://schemas.openxmlformats.org/officeDocument/2006/relationships/hyperlink" Target="https://public.fastcase.com/9SKwsfNqTc6OieYDhNMyMzpaZgjHFdPajpMUAUycVEOD1%2FIGYL0bkVi40opLVA3rHt12SE41wYoG8BLshtbo2LNVnd3RJLWIEJH0dBI9oDE%3D" TargetMode="External"/><Relationship Id="rId2409" Type="http://schemas.openxmlformats.org/officeDocument/2006/relationships/hyperlink" Target="http://media.ca11.uscourts.gov/opinions/unpub/files/201814142.pdf" TargetMode="External"/><Relationship Id="rId2616" Type="http://schemas.openxmlformats.org/officeDocument/2006/relationships/hyperlink" Target="https://cases.justia.com/federal/appellate-courts/ca4/24-1782/24-1782-2025-06-05.pdf?ts=1749150038" TargetMode="External"/><Relationship Id="rId64" Type="http://schemas.openxmlformats.org/officeDocument/2006/relationships/hyperlink" Target="https://legal.iml.org/file.cfm?key=29946" TargetMode="External"/><Relationship Id="rId1120" Type="http://schemas.openxmlformats.org/officeDocument/2006/relationships/hyperlink" Target="https://public.fastcase.com/H1P9uiW3J20SFp%2BGCG%2BxLTokB0aoklJy6U6lHfy%2FfW4XgHUeDnfzCtV2IraSxfBK?utm_medium=email&amp;_hsmi=226712652&amp;_hsenc=p2ANqtz-_gim38WUKhev0Avzaj483M_b7fed8rsJvlzMdOQbFB_Jpk5Z-" TargetMode="External"/><Relationship Id="rId1218" Type="http://schemas.openxmlformats.org/officeDocument/2006/relationships/hyperlink" Target="https://www.monastlaw.com/blog/ohio-workers-compensation-for-hearing-loss.cfm" TargetMode="External"/><Relationship Id="rId1425" Type="http://schemas.openxmlformats.org/officeDocument/2006/relationships/hyperlink" Target="https://www.congress.gov/bill/117th-congress/house-bill/4445/text" TargetMode="External"/><Relationship Id="rId2823" Type="http://schemas.openxmlformats.org/officeDocument/2006/relationships/hyperlink" Target="https://ecf.ksd.uscourts.gov/cgi-bin/show_public_doc?2018cv2084-60" TargetMode="External"/><Relationship Id="rId1632" Type="http://schemas.openxmlformats.org/officeDocument/2006/relationships/hyperlink" Target="https://public.fastcase.com/Wl%2B2t%2BeVuI35%2FN70vAMFZtTeqjzzEnlP0E9gnOJzg5Beu%2B8e3Ta9mPaMkCNr0Gg4" TargetMode="External"/><Relationship Id="rId1937" Type="http://schemas.openxmlformats.org/officeDocument/2006/relationships/hyperlink" Target="https://baltimorefishbowl.com/stories/howard-county-firefighters-medical-cannabis/" TargetMode="External"/><Relationship Id="rId2199" Type="http://schemas.openxmlformats.org/officeDocument/2006/relationships/hyperlink" Target="https://cases.justia.com/pennsylvania/superior-court/2023-1846-eda-2021.pdf?ts=1703100172" TargetMode="External"/><Relationship Id="rId280" Type="http://schemas.openxmlformats.org/officeDocument/2006/relationships/hyperlink" Target="https://nam11.safelinks.protection.outlook.com/?url=https%3A%2F%2Fethics.ohio.gov%2Feducation%2Fnewsletters%2FVOE_21Q1.pdf&amp;data=04%7C01%7Cbennetlt%40ucmail.uc.edu%7C21c7cf1b1f7e4058bf7908d8d75e7ed7%7Cf5222e6c5fc648eb8f0373db18203b63%7C1%7C0%7C637496150547267494%7CUnknown%7CTWFpbGZsb3d8eyJWIjoiMC4wLjAwMDAiLCJQIjoiV2luMzIiLCJBTiI6Ik1haWwiLCJXVCI6Mn0%3D%7C1000&amp;sdata=UJS7I0zht0Zw8z4G6aqmFUVw3sZ90mRRc9wJuthINkk%3D&amp;reserved=0" TargetMode="External"/><Relationship Id="rId140" Type="http://schemas.openxmlformats.org/officeDocument/2006/relationships/hyperlink" Target="https://cases.justia.com/federal/district-courts/illinois/ilndce/1:2017cv02153/337913/236/0.pdf?ts=1723715563" TargetMode="External"/><Relationship Id="rId378" Type="http://schemas.openxmlformats.org/officeDocument/2006/relationships/hyperlink" Target="https://cases.justia.com/ohio/eighth-district-court-of-appeals/2018-105661.pdf?ts=1528147387" TargetMode="External"/><Relationship Id="rId585" Type="http://schemas.openxmlformats.org/officeDocument/2006/relationships/hyperlink" Target="https://caselaw.findlaw.com/us-dc-circuit/1363158.html" TargetMode="External"/><Relationship Id="rId792" Type="http://schemas.openxmlformats.org/officeDocument/2006/relationships/hyperlink" Target="https://www.law.cornell.edu/uscode/text/8/1182" TargetMode="External"/><Relationship Id="rId2059" Type="http://schemas.openxmlformats.org/officeDocument/2006/relationships/hyperlink" Target="https://cases.justia.com/minnesota/supreme-court/2026-a23-0516.pdf?ts=1773911973" TargetMode="External"/><Relationship Id="rId2266" Type="http://schemas.openxmlformats.org/officeDocument/2006/relationships/hyperlink" Target="https://law.justia.com/cases/federal/appellate-courts/ca2/20-4211/20-4211-2021-10-06.html" TargetMode="External"/><Relationship Id="rId2473" Type="http://schemas.openxmlformats.org/officeDocument/2006/relationships/hyperlink" Target="https://www.pacourts.us/assets/opinions/Commonwealth/out/770CD24_10-22-25.pdf?cb=1" TargetMode="External"/><Relationship Id="rId2680" Type="http://schemas.openxmlformats.org/officeDocument/2006/relationships/hyperlink" Target="https://supreme.justia.com/cases/federal/us/405/150/" TargetMode="External"/><Relationship Id="rId6" Type="http://schemas.openxmlformats.org/officeDocument/2006/relationships/footnotes" Target="footnotes.xml"/><Relationship Id="rId238" Type="http://schemas.openxmlformats.org/officeDocument/2006/relationships/hyperlink" Target="https://www.ca10.uscourts.gov/sites/ca10/files/opinions/010110630282.pdf" TargetMode="External"/><Relationship Id="rId445" Type="http://schemas.openxmlformats.org/officeDocument/2006/relationships/hyperlink" Target="https://public.fastcase.com/jaEE2PXzRXmZ99jOLMt1IgoAeG7S%2FykfBuI6YcrwSiPTGWPBCOsZ9U9hhbKPvFCclEcN8%2BwauJ9ACloifFNsJP5SY607BhdVsV5o4yY4x1s%3D?utm_medium=email&amp;_hsenc=p2ANqtz-_cDTCyDUjf-GWGQHLWs90oLVQoI7WEBtlECxGBA_PvhPlM3MPPBeVtmuAidKContkLHE5q5E9gdRGYeBGS5gCqwJlBfg&amp;_hsmi=226712652&amp;utm_content=226712652&amp;utm_source=hs_email" TargetMode="External"/><Relationship Id="rId652" Type="http://schemas.openxmlformats.org/officeDocument/2006/relationships/hyperlink" Target="https://storage.courtlistener.com/recap/gov.uscourts.cadc.42631/gov.uscourts.cadc.42631.1208806141.0.pdf" TargetMode="External"/><Relationship Id="rId1075" Type="http://schemas.openxmlformats.org/officeDocument/2006/relationships/hyperlink" Target="https://cases.justia.com/kentucky/court-of-appeals/2025-2024-ca-0152-mr.pdf?ts=1748009113" TargetMode="External"/><Relationship Id="rId1282" Type="http://schemas.openxmlformats.org/officeDocument/2006/relationships/hyperlink" Target="https://ohsonline.com/articles/2010/01/04/expanded-cancer-presumption-law.aspx" TargetMode="External"/><Relationship Id="rId2126" Type="http://schemas.openxmlformats.org/officeDocument/2006/relationships/hyperlink" Target="https://caselaw.findlaw.com/court/ca-court-of-appeal/116718051.html" TargetMode="External"/><Relationship Id="rId2333" Type="http://schemas.openxmlformats.org/officeDocument/2006/relationships/hyperlink" Target="https://www.ca10.uscourts.gov/opinions/19/19-2166.pdf" TargetMode="External"/><Relationship Id="rId2540" Type="http://schemas.openxmlformats.org/officeDocument/2006/relationships/hyperlink" Target="http://www.firefighters-exam.com/2019/06/24/tips-on-how-to-pass-your-firefighter-psychological-test/" TargetMode="External"/><Relationship Id="rId2778" Type="http://schemas.openxmlformats.org/officeDocument/2006/relationships/hyperlink" Target="http://www.tncourts.gov/sites/default/files/ronald_ledford_et_al._v._john_ben_sneed_et_al..pdf" TargetMode="External"/><Relationship Id="rId2985" Type="http://schemas.openxmlformats.org/officeDocument/2006/relationships/hyperlink" Target="https://codes.ohio.gov/ohio-revised-code/section-149.43" TargetMode="External"/><Relationship Id="rId305" Type="http://schemas.openxmlformats.org/officeDocument/2006/relationships/hyperlink" Target="https://www.leagle.com/decision/inctco20171226041" TargetMode="External"/><Relationship Id="rId512" Type="http://schemas.openxmlformats.org/officeDocument/2006/relationships/hyperlink" Target="https://casetext.com/statute/california-codes/california-civil-code/division-3-obligations/part-3-obligations-imposed-by-law/section-1714-responsibility-injury-occasioned-by-want-of-ordinary-care-or-skill-in-management-of-property-or-person-firearms-and-ammunition-not-exempted" TargetMode="External"/><Relationship Id="rId957" Type="http://schemas.openxmlformats.org/officeDocument/2006/relationships/hyperlink" Target="https://cases.justia.com/texas/fourteenth-court-of-appeals/2025-14-24-00811-cv.pdf?ts=1765287556" TargetMode="External"/><Relationship Id="rId1142" Type="http://schemas.openxmlformats.org/officeDocument/2006/relationships/hyperlink" Target="https://public.fastcase.com/ZZhmr5v9wN%2FXOe5IsQ%2FqD20iR7BWmLId4hSDI3nXqVWgPhPXw%2BQtkDECKs6HrcpaaA0bYVe7yei9SfZEfso10IPB%2B%2BM5XAOSsASvTO6V770%3D?utm_medium=email&amp;_hsmi=226712652&amp;_hsenc=p2ANqtz-8Ok8gGNpyLe8hTDi80EaJgVLaHo-pifPeTe8oohUIZEvo8GKO7wbe6cb01t7sw656xUcVdVRiPGkXPM8qU1b5G_smouQ&amp;utm_content=226712652&amp;utm_source=hs_email" TargetMode="External"/><Relationship Id="rId1587" Type="http://schemas.openxmlformats.org/officeDocument/2006/relationships/hyperlink" Target="https://www.masslive.com/opinion/2018/05/time_is_now_to_approve_contrac.html" TargetMode="External"/><Relationship Id="rId1794" Type="http://schemas.openxmlformats.org/officeDocument/2006/relationships/hyperlink" Target="https://www.dol.gov/agencies/whd/fact-sheets/56a-regular-rate" TargetMode="External"/><Relationship Id="rId2400" Type="http://schemas.openxmlformats.org/officeDocument/2006/relationships/hyperlink" Target="https://cases.justia.com/federal/appellate-courts/ca6/18-5480/18-5480-2020-01-21.pdf?ts=1579627818" TargetMode="External"/><Relationship Id="rId2638" Type="http://schemas.openxmlformats.org/officeDocument/2006/relationships/hyperlink" Target="https://www.coloradopolitics.com/courts/federal-judge-partially-dismisses-ex-florissant-fire-chiefs-wrongful-termination-claims/article_7d67c6be-898a-11ee-b97e-7732fa191308.html" TargetMode="External"/><Relationship Id="rId2845" Type="http://schemas.openxmlformats.org/officeDocument/2006/relationships/hyperlink" Target="https://www.coloradopolitics.com/2026/06/22/10th-circuit-grants-boulder-weld-districts-fire-chief-immunity-for-firing-union-leader/" TargetMode="External"/><Relationship Id="rId86" Type="http://schemas.openxmlformats.org/officeDocument/2006/relationships/hyperlink" Target="https://www.aol.com/trial-delayed-man-accused-fatally-135028116.html" TargetMode="External"/><Relationship Id="rId817" Type="http://schemas.openxmlformats.org/officeDocument/2006/relationships/hyperlink" Target="https://www.ca2.uscourts.gov/decisions/isysquery/d1288cae-9c73-4842-93cb-329cdd38edc3/3/doc/19-2934_so.pdf" TargetMode="External"/><Relationship Id="rId1002" Type="http://schemas.openxmlformats.org/officeDocument/2006/relationships/hyperlink" Target="https://law.justia.com/cases/texas/fourteenth-court-of-appeals/2022/14-20-00566-cv.html" TargetMode="External"/><Relationship Id="rId1447" Type="http://schemas.openxmlformats.org/officeDocument/2006/relationships/hyperlink" Target="https://scholar.google.com/scholar_case?case=10119606247499891126&amp;q=Rachel+MOSBY+v.+CITY+OF+BYRON,+GEORGIA,&amp;hl=en&amp;as_sdt=6,36" TargetMode="External"/><Relationship Id="rId1654" Type="http://schemas.openxmlformats.org/officeDocument/2006/relationships/hyperlink" Target="https://cases.justia.com/federal/district-courts/maryland/mddce/1:2024cv03580/573207/56/0.pdf?ts=1777474810" TargetMode="External"/><Relationship Id="rId1861" Type="http://schemas.openxmlformats.org/officeDocument/2006/relationships/hyperlink" Target="http://www.firefighterovertime.org/wp-content/uploads/2021/11/US_DIS_VAED_2_20cv595_Memorandum_in_Support_re_41_Joint_MOTION_for_Settl.pdf" TargetMode="External"/><Relationship Id="rId2705" Type="http://schemas.openxmlformats.org/officeDocument/2006/relationships/hyperlink" Target="https://public.courts.in.gov/Decisions/api/Document/Opinion?Id=BlYPkLxVHgH9AX_il3izt1lEOiPnwm0plhkYRvgS1Eap1sEgbSi8um2d6l97LpRN0" TargetMode="External"/><Relationship Id="rId2912" Type="http://schemas.openxmlformats.org/officeDocument/2006/relationships/hyperlink" Target="https://public.fastcase.com/waZtJvSA54UAurM2rmIZzyOaN7WzTWghSlgppuqvnsAjPkds9FfvjtUo5GbcF9G%2FNhiGhSGO5JepPmFj8bD%2B4C9gVbj%2FhO0NJpef3auh%2BAw%3D" TargetMode="External"/><Relationship Id="rId1307" Type="http://schemas.openxmlformats.org/officeDocument/2006/relationships/hyperlink" Target="https://courts.illinois.gov/R23_Orders/AppellateCourt/2019/1stDistrict/1181900_R23.pdf" TargetMode="External"/><Relationship Id="rId1514" Type="http://schemas.openxmlformats.org/officeDocument/2006/relationships/hyperlink" Target="https://www4.courts.ca.gov/opinions/nonpub/B332575.PDF" TargetMode="External"/><Relationship Id="rId1721" Type="http://schemas.openxmlformats.org/officeDocument/2006/relationships/hyperlink" Target="https://www.nfpa.org/assets/files/AboutTheCodes/1582/1582_A2017_FIX_AAA_SD_SRStatements.pdf" TargetMode="External"/><Relationship Id="rId1959" Type="http://schemas.openxmlformats.org/officeDocument/2006/relationships/hyperlink" Target="https://cases.justia.com/federal/district-courts/california/candce/3:2024cv00614/424391/24/0.pdf" TargetMode="External"/><Relationship Id="rId13" Type="http://schemas.openxmlformats.org/officeDocument/2006/relationships/hyperlink" Target="http://www.waveland.com/browse.php?t=708" TargetMode="External"/><Relationship Id="rId1819" Type="http://schemas.openxmlformats.org/officeDocument/2006/relationships/hyperlink" Target="https://www.dol.gov/whd/state/state.htm" TargetMode="External"/><Relationship Id="rId2190" Type="http://schemas.openxmlformats.org/officeDocument/2006/relationships/hyperlink" Target="https://casetext.com/case/kenn-v-eascare-llc-1" TargetMode="External"/><Relationship Id="rId2288" Type="http://schemas.openxmlformats.org/officeDocument/2006/relationships/hyperlink" Target="https://casetext.com/case/imhof-v-del-bd-of-med-licensure-discipline" TargetMode="External"/><Relationship Id="rId2495" Type="http://schemas.openxmlformats.org/officeDocument/2006/relationships/hyperlink" Target="https://app.leg.wa.gov/RCW/default.aspx?cite=18.73.030" TargetMode="External"/><Relationship Id="rId162" Type="http://schemas.openxmlformats.org/officeDocument/2006/relationships/hyperlink" Target="https://caselaw.findlaw.com/court/ma-court-of-appeals/115598993.html" TargetMode="External"/><Relationship Id="rId467" Type="http://schemas.openxmlformats.org/officeDocument/2006/relationships/hyperlink" Target="https://cases.justia.com/kentucky/supreme-court/2024-2023-sc-0062-dg.pdf?ts=1729778750" TargetMode="External"/><Relationship Id="rId1097" Type="http://schemas.openxmlformats.org/officeDocument/2006/relationships/hyperlink" Target="https://ilcourtsaudio.blob.core.windows.net/antilles-resources/resources/19fc956b-c59f-4d15-932a-20de8f3f1feb/Mangiameli%20v.%20Illinois%20Workers%27%20Compensation%20Comm%27n,%202024%20IL%20App%20(1st)%20231397WC-U.pdf" TargetMode="External"/><Relationship Id="rId2050" Type="http://schemas.openxmlformats.org/officeDocument/2006/relationships/hyperlink" Target="https://www.studicata.com/summaries/court-of-appeals-of-ohio/holycross-v-state-board-of-emergency-med-2005-oor7s1/" TargetMode="External"/><Relationship Id="rId2148" Type="http://schemas.openxmlformats.org/officeDocument/2006/relationships/hyperlink" Target="https://www.law.cornell.edu/wex/declarant" TargetMode="External"/><Relationship Id="rId674" Type="http://schemas.openxmlformats.org/officeDocument/2006/relationships/hyperlink" Target="https://www.supremecourt.gov/opinions/24pdf/24a1153_l5gm.pdf" TargetMode="External"/><Relationship Id="rId881" Type="http://schemas.openxmlformats.org/officeDocument/2006/relationships/hyperlink" Target="https://caselaw.findlaw.com/court/us-10th-circuit/116433351.html" TargetMode="External"/><Relationship Id="rId979" Type="http://schemas.openxmlformats.org/officeDocument/2006/relationships/hyperlink" Target="https://www.courts.mo.gov/file.jsp?id=205075" TargetMode="External"/><Relationship Id="rId2355" Type="http://schemas.openxmlformats.org/officeDocument/2006/relationships/hyperlink" Target="https://cdn.ymaws.com/aams.site-ym.com/resource/resmgr/website_resources/aams_statements/aams_statementonbalancebilli.pdf" TargetMode="External"/><Relationship Id="rId2562" Type="http://schemas.openxmlformats.org/officeDocument/2006/relationships/hyperlink" Target="https://www.nycourts.gov/reporter/current/3dseries/2026/2026_04537.shtml" TargetMode="External"/><Relationship Id="rId327" Type="http://schemas.openxmlformats.org/officeDocument/2006/relationships/hyperlink" Target="https://www.ohioattorneygeneral.gov/Media/News-Releases/January-2020/Garfield-Heights-Recycling-Center-Held-in-Contempt" TargetMode="External"/><Relationship Id="rId534" Type="http://schemas.openxmlformats.org/officeDocument/2006/relationships/hyperlink" Target="https://www.delawareonline.com/story/news/local/2016/12/01/ardythe-hope-firefighter-injured-canby-park-blaze-dies/94758432/" TargetMode="External"/><Relationship Id="rId741" Type="http://schemas.openxmlformats.org/officeDocument/2006/relationships/hyperlink" Target="https://ecf.dcd.uscourts.gov/cgi-bin/show_public_doc?2021cv0100-165" TargetMode="External"/><Relationship Id="rId839" Type="http://schemas.openxmlformats.org/officeDocument/2006/relationships/hyperlink" Target="https://cases.justia.com/federal/appellate-courts/ca2/18-1597/18-1597-2019-04-25.pdf?ts=1556202606" TargetMode="External"/><Relationship Id="rId1164" Type="http://schemas.openxmlformats.org/officeDocument/2006/relationships/hyperlink" Target="https://ilcourtsaudio.blob.core.windows.net/antilles-resources/resources/eba608df-6fa9-4d1a-8a11-f48abce29596/City%20of%20Springfield%20v.%20Illinois%20Workers'%20Compensation%20Comm'n,%202022%20IL%20App%20(4th)%20210604WC-U.pdf" TargetMode="External"/><Relationship Id="rId1371" Type="http://schemas.openxmlformats.org/officeDocument/2006/relationships/hyperlink" Target="https://cases.justia.com/federal/district-courts/new-york/nyedce/1:2023cv09066/507538/25/0.pdf?ts=1739862975%20https://media.cadc.uscourts.gov/orders/docs/2025/02/25-5028LDSD.pdf" TargetMode="External"/><Relationship Id="rId1469" Type="http://schemas.openxmlformats.org/officeDocument/2006/relationships/hyperlink" Target="https://www.law.cornell.edu/uscode/text/29/207" TargetMode="External"/><Relationship Id="rId2008" Type="http://schemas.openxmlformats.org/officeDocument/2006/relationships/hyperlink" Target="https://codes.ohio.gov/orc/2925.11" TargetMode="External"/><Relationship Id="rId2215" Type="http://schemas.openxmlformats.org/officeDocument/2006/relationships/hyperlink" Target="https://public.fastcase.com/ZZhmr5v9wN%2FXOe5IsQ%2FqD3dz3eOW5zFOFbDDQpgyn5N1g%2BDYcYq%2BQq5MnHYcUlJvjXUWh8aXMHicyBCjMoSMvWkOcK9%2F08vlf7VzRHHVD0g%3D?utm_medium=email&amp;_hsmi=226712652&amp;_hsenc=p2ANqtz-8FJSrnDbpE5SBLnbpgOtm8bsro6mydF1tKlBKSrXXB7U0G_KpVHeRpWqi1b6f_lyKuKYe1ibmLo31OO_-xt7H5dW8mOA&amp;utm_content=226712652&amp;utm_source=hs_email" TargetMode="External"/><Relationship Id="rId2422" Type="http://schemas.openxmlformats.org/officeDocument/2006/relationships/hyperlink" Target="https://lrus.wolterskluwer.com/store/daily-reporting-suite/antitrust-law-daily/" TargetMode="External"/><Relationship Id="rId2867" Type="http://schemas.openxmlformats.org/officeDocument/2006/relationships/hyperlink" Target="https://ilcourtsaudio.blob.core.windows.net/antilles-resources/resources/a7e1e4b9-d57b-4bd7-9b5d-a27198847cd7/City%20of%20Park%20Ridge%20v.%20IL%20Labor%20Relations%20Bd%202024%20IL%20App%20(1st)%20221924-U.pdf" TargetMode="External"/><Relationship Id="rId601" Type="http://schemas.openxmlformats.org/officeDocument/2006/relationships/hyperlink" Target="https://cases.justia.com/kentucky/court-of-appeals/2019-2019-ca-000504-wc.pdf?ts=1562940239" TargetMode="External"/><Relationship Id="rId1024" Type="http://schemas.openxmlformats.org/officeDocument/2006/relationships/hyperlink" Target="http://www.la-fcca.org/opiniongrid/opinionpdf/2018%20CA%200905%20Decision%20Appeal.pdf" TargetMode="External"/><Relationship Id="rId1231" Type="http://schemas.openxmlformats.org/officeDocument/2006/relationships/hyperlink" Target="https://codes.ohio.gov/orc/gp9.87" TargetMode="External"/><Relationship Id="rId1676" Type="http://schemas.openxmlformats.org/officeDocument/2006/relationships/hyperlink" Target="https://casetext.com/case/fitzgerald-v-city-of-lawrence" TargetMode="External"/><Relationship Id="rId1883" Type="http://schemas.openxmlformats.org/officeDocument/2006/relationships/hyperlink" Target="https://www.law.cornell.edu/uscode/text/29/260" TargetMode="External"/><Relationship Id="rId2727" Type="http://schemas.openxmlformats.org/officeDocument/2006/relationships/hyperlink" Target="https://www.waltontribune.com/article_108b8906-f48f-11ea-baf7-07788894fc4c.html" TargetMode="External"/><Relationship Id="rId2934" Type="http://schemas.openxmlformats.org/officeDocument/2006/relationships/hyperlink" Target="https://law.justia.com/cases/illinois/court-of-appeals-first-appellate-district/2000/1992647.html" TargetMode="External"/><Relationship Id="rId906" Type="http://schemas.openxmlformats.org/officeDocument/2006/relationships/hyperlink" Target="https://firstamendmentwatch.org/arizona-governor-signs-bill-to-restrict-recording-of-police-in-public/" TargetMode="External"/><Relationship Id="rId1329" Type="http://schemas.openxmlformats.org/officeDocument/2006/relationships/hyperlink" Target="https://services.courts.state.wy.us/Documents/Opinions/2018WY75.pdf" TargetMode="External"/><Relationship Id="rId1536" Type="http://schemas.openxmlformats.org/officeDocument/2006/relationships/hyperlink" Target="https://tracking.police1.com/t/8566464/200882223/6399312/0/1006865/?f5d63f87=RlIxLURhaWx5LTItMjctMjU&amp;b44ed14b=ZmVkMzU1YjgtNDZhMi00ZmE0LWI1NWMtNGQ2MDJkZGUzM2M0&amp;x=37c285e3" TargetMode="External"/><Relationship Id="rId1743" Type="http://schemas.openxmlformats.org/officeDocument/2006/relationships/hyperlink" Target="https://www.verywellmind.com/requirements-for-ptsd-diagnosis-2797637" TargetMode="External"/><Relationship Id="rId1950" Type="http://schemas.openxmlformats.org/officeDocument/2006/relationships/hyperlink" Target="https://casetext.com/statute/montana-code/title-2-government-structure-and-administration/chapter-4-administrative-procedure-act/part-7-judicial-review-of-contested-cases/section-2-4-702-effective-until-1012025-initiating-judicial-review-of-contested-cases" TargetMode="External"/><Relationship Id="rId35" Type="http://schemas.openxmlformats.org/officeDocument/2006/relationships/hyperlink" Target="https://www.supremecourt.ohio.gov/rod/docs/pdf/9/2026/2026-Ohio-1842.pdf" TargetMode="External"/><Relationship Id="rId1603" Type="http://schemas.openxmlformats.org/officeDocument/2006/relationships/hyperlink" Target="https://fox8.com/tag/cleveland-ems/" TargetMode="External"/><Relationship Id="rId1810" Type="http://schemas.openxmlformats.org/officeDocument/2006/relationships/hyperlink" Target="https://www.firefighterovertime.org/wp-content/uploads/2024/07/US_DIS_SCD_9_21cv3964_d87991559e1450_ORDER_denying_40_Motion_for_Summary_Judgment_grant.pdf" TargetMode="External"/><Relationship Id="rId184" Type="http://schemas.openxmlformats.org/officeDocument/2006/relationships/hyperlink" Target="https://www.loc.gov/item/usrep509579/" TargetMode="External"/><Relationship Id="rId391" Type="http://schemas.openxmlformats.org/officeDocument/2006/relationships/hyperlink" Target="https://www.supremecourt.gov/opinions/25pdf/24-1068_n7ip.pdf" TargetMode="External"/><Relationship Id="rId1908" Type="http://schemas.openxmlformats.org/officeDocument/2006/relationships/hyperlink" Target="https://cases.justia.com/georgia/court-of-appeals/2019-a19a1310.pdf?ts=1568657244" TargetMode="External"/><Relationship Id="rId2072" Type="http://schemas.openxmlformats.org/officeDocument/2006/relationships/hyperlink" Target="https://law.justia.com/cases/new-york/appellate-division-fourth-department/2025/816-1-ca-24-01193.html" TargetMode="External"/><Relationship Id="rId251" Type="http://schemas.openxmlformats.org/officeDocument/2006/relationships/hyperlink" Target="https://www.opn.ca6.uscourts.gov/opinions.pdf/21a0484n-06.pdf" TargetMode="External"/><Relationship Id="rId489" Type="http://schemas.openxmlformats.org/officeDocument/2006/relationships/hyperlink" Target="https://public.fastcase.com/H1P9uiW3J20SFp%2BGCG%2BxLYPdFYBU6rXmSQ%2By5I06IYNauAow%2BFD183wwpB9seHw0huG9jZnFzDNjvlfgYqLRMXl7VVMzVdIElYOfNiWEhG4%3D?utm_medium=email&amp;_hsmi=226712652&amp;_hsenc=p2ANqtz-9dIeusfdAjuYcHWZc-tZCt-VYwNMyt2XrZBQ64qnpV1yAnhv8veUFYKRs_yaW_VBF9gsQcut_JaRzapEXH-rHIPbxEPQ&amp;utm_content=226712652&amp;utm_source=hs_email" TargetMode="External"/><Relationship Id="rId696" Type="http://schemas.openxmlformats.org/officeDocument/2006/relationships/hyperlink" Target="https://ilcourtsaudio.blob.core.windows.net/antilles-resources/resources/aa9ece1f-338b-4d77-9d21-fd7bfa316d8e/A.A.%20%20v.%20Board%20of%20Education%20of%20Summit%20School%20District%20No.%20104,%202024%20IL%20App%20(1st)%20232451.pdf" TargetMode="External"/><Relationship Id="rId2377" Type="http://schemas.openxmlformats.org/officeDocument/2006/relationships/hyperlink" Target="https://www.courts.state.md.us/sites/default/files/unreported-opinions/0318s19.pdf" TargetMode="External"/><Relationship Id="rId2584" Type="http://schemas.openxmlformats.org/officeDocument/2006/relationships/hyperlink" Target="https://cases.justia.com/texas/thirteenth-court-of-appeals/2026-13-24-00112-cv.pdf?ts=1770913029" TargetMode="External"/><Relationship Id="rId2791" Type="http://schemas.openxmlformats.org/officeDocument/2006/relationships/hyperlink" Target="https://cases.justia.com/utah/court-of-appeals-published/2017-20160099-ca.pdf?ts=1512166432" TargetMode="External"/><Relationship Id="rId349" Type="http://schemas.openxmlformats.org/officeDocument/2006/relationships/hyperlink" Target="https://law.justia.com/cases/illinois/court-of-appeals-fifth-appellate-district/2019/5-18-0064.html" TargetMode="External"/><Relationship Id="rId556" Type="http://schemas.openxmlformats.org/officeDocument/2006/relationships/hyperlink" Target="https://www.953mnc.com/2021/07/19/iu-wins-court-case-can-proceed-with-covid-19-vaccine-requirement/" TargetMode="External"/><Relationship Id="rId763" Type="http://schemas.openxmlformats.org/officeDocument/2006/relationships/hyperlink" Target="https://www.law.cornell.edu/definitions/uscode.php?width=840&amp;height=800&amp;iframe=true&amp;def_id=18-USC-64633832-909420282&amp;term_occur=999&amp;term_src=title:18:part:I:chapter:13:section:249" TargetMode="External"/><Relationship Id="rId1186" Type="http://schemas.openxmlformats.org/officeDocument/2006/relationships/hyperlink" Target="https://law.justia.com/cases/washington/court-of-appeals-division-ii/2021/54914-0.html" TargetMode="External"/><Relationship Id="rId1393" Type="http://schemas.openxmlformats.org/officeDocument/2006/relationships/hyperlink" Target="https://codes.ohio.gov/ohio-revised-code/section-4112.022" TargetMode="External"/><Relationship Id="rId2237" Type="http://schemas.openxmlformats.org/officeDocument/2006/relationships/hyperlink" Target="https://law.justia.com/cases/iowa/court-of-appeals/2023/22-0302.html" TargetMode="External"/><Relationship Id="rId2444" Type="http://schemas.openxmlformats.org/officeDocument/2006/relationships/hyperlink" Target="https://cases.justia.com/ohio/second-district-court-of-appeals/2018-27685.pdf?ts=1526679598" TargetMode="External"/><Relationship Id="rId2889" Type="http://schemas.openxmlformats.org/officeDocument/2006/relationships/hyperlink" Target="https://search.txcourts.gov/SearchMedia.aspx?MediaVersionID=b6a5eb11-d9ee-4713-9079-a7fc018a0d0c&amp;coa=cossup&amp;DT=OPINION&amp;MediaID=180a364b-e3a9-4c3b-bb68-7b88944c20ad" TargetMode="External"/><Relationship Id="rId111" Type="http://schemas.openxmlformats.org/officeDocument/2006/relationships/hyperlink" Target="https://www.cityofsebastopol.gov/city-of-sebastopol-prevails-in-challenge-to-rv-ordinance/" TargetMode="External"/><Relationship Id="rId209" Type="http://schemas.openxmlformats.org/officeDocument/2006/relationships/hyperlink" Target="https://casetext.com/case/united-states-v-raposo-6" TargetMode="External"/><Relationship Id="rId416" Type="http://schemas.openxmlformats.org/officeDocument/2006/relationships/hyperlink" Target="https://www.hbsslaw.com/press/pfas-firefighter-turnout-gear/montana-court-denies-motions-to-dismiss-class-action-lawsuit-fighting-pfas-in-firefighter-turnout-gear" TargetMode="External"/><Relationship Id="rId970" Type="http://schemas.openxmlformats.org/officeDocument/2006/relationships/hyperlink" Target="https://abc7.com/orange-crash-fire-truck-motorcycle-and/5333918/" TargetMode="External"/><Relationship Id="rId1046" Type="http://schemas.openxmlformats.org/officeDocument/2006/relationships/hyperlink" Target="https://codes.ohio.gov/ohio-revised-code/section-109.578" TargetMode="External"/><Relationship Id="rId1253" Type="http://schemas.openxmlformats.org/officeDocument/2006/relationships/hyperlink" Target="https://www.ncjrs.gov/pdffiles1/Digitization/103277NCJRS.pdf" TargetMode="External"/><Relationship Id="rId1698" Type="http://schemas.openxmlformats.org/officeDocument/2006/relationships/hyperlink" Target="https://www.eeoc.gov/laws/guidance/enforcement-guidance-disability-related-inquiries-and-medical-examinations-employees" TargetMode="External"/><Relationship Id="rId2651" Type="http://schemas.openxmlformats.org/officeDocument/2006/relationships/hyperlink" Target="https://cases.justia.com/federal/appellate-courts/ca9/22-15485/22-15485-2024-05-17.pdf?ts=1715961637" TargetMode="External"/><Relationship Id="rId2749" Type="http://schemas.openxmlformats.org/officeDocument/2006/relationships/hyperlink" Target="https://public.fastcase.com/9SKwsfNqTc6OieYDhNMyM4E5bpqRXbc1vzIOBkY5d575kmIDNjPft14UGJ0ygjci" TargetMode="External"/><Relationship Id="rId2956" Type="http://schemas.openxmlformats.org/officeDocument/2006/relationships/hyperlink" Target="https://www.aclufl.org/legislation/hb-75sb-184-criminalizing-bystanders-exercising-first-amendment-rights/" TargetMode="External"/><Relationship Id="rId623" Type="http://schemas.openxmlformats.org/officeDocument/2006/relationships/hyperlink" Target="https://www.ca10.uscourts.gov/opinions/14/14-3157.pdf" TargetMode="External"/><Relationship Id="rId830" Type="http://schemas.openxmlformats.org/officeDocument/2006/relationships/hyperlink" Target="https://www.law.com/newyorklawjournal/2020/02/26/trump-administration-may-withhold-federal-grants-over-sanctuary-policies-2nd-circuit-rules/" TargetMode="External"/><Relationship Id="rId928" Type="http://schemas.openxmlformats.org/officeDocument/2006/relationships/hyperlink" Target="https://casetext.com/case/long-lake-twp-v-maxon" TargetMode="External"/><Relationship Id="rId1460" Type="http://schemas.openxmlformats.org/officeDocument/2006/relationships/hyperlink" Target="https://www.justice.gov/opa/pr/justice-department-files-lawsuit-against-city-houston-sex-discrimination-and-retaliation" TargetMode="External"/><Relationship Id="rId1558" Type="http://schemas.openxmlformats.org/officeDocument/2006/relationships/hyperlink" Target="https://cases.justia.com/federal/district-courts/mississippi/mssdce/3:2024cv00011/123477/12/0.pdf?ts=1706115384" TargetMode="External"/><Relationship Id="rId1765" Type="http://schemas.openxmlformats.org/officeDocument/2006/relationships/hyperlink" Target="https://www.dol.gov/whd/opinion/FMLA/2018/2018_08_28_2A_FMLA.pdf" TargetMode="External"/><Relationship Id="rId2304" Type="http://schemas.openxmlformats.org/officeDocument/2006/relationships/hyperlink" Target="https://casetext.com/case/ramirez-v-talos-gulf-coast-offshore-llc" TargetMode="External"/><Relationship Id="rId2511" Type="http://schemas.openxmlformats.org/officeDocument/2006/relationships/hyperlink" Target="https://www.eeoc.gov/disability-discrimination-and-employment-decisions" TargetMode="External"/><Relationship Id="rId2609" Type="http://schemas.openxmlformats.org/officeDocument/2006/relationships/hyperlink" Target="https://app.midpage.ai/document/geer-v-secretary-department-of-11133637?refG=true" TargetMode="External"/><Relationship Id="rId57" Type="http://schemas.openxmlformats.org/officeDocument/2006/relationships/hyperlink" Target="https://www.justice.gov/usao-edwi/pr/former-restaurant-owner-indicted-arson-and-related-charges" TargetMode="External"/><Relationship Id="rId1113" Type="http://schemas.openxmlformats.org/officeDocument/2006/relationships/hyperlink" Target="https://www.iaff.org/presumptive-health/" TargetMode="External"/><Relationship Id="rId1320" Type="http://schemas.openxmlformats.org/officeDocument/2006/relationships/hyperlink" Target="http://www.eeoc.gov/contact/index.cfm" TargetMode="External"/><Relationship Id="rId1418" Type="http://schemas.openxmlformats.org/officeDocument/2006/relationships/hyperlink" Target="https://public.fastcase.com/J%2FJP6pdidelsXxEE4k%2BLMiptlpkB0gZD0zq9ZoOKNJuhacmaRfGRvhQDw8Dzjp093sUgUkI4CwYYkhqoix%2B0P6g4YOgoDnx2kMnRYwj%2FWdA%3D" TargetMode="External"/><Relationship Id="rId1972" Type="http://schemas.openxmlformats.org/officeDocument/2006/relationships/hyperlink" Target="https://www.nytimes.com/2019/09/19/health/purdue-sackler-opioid-settlement.html" TargetMode="External"/><Relationship Id="rId2816" Type="http://schemas.openxmlformats.org/officeDocument/2006/relationships/hyperlink" Target="http://www.illinoiscourts.gov/R23_Orders/AppellateCourt/2019/1stDistrict/1181422_R23.pdf" TargetMode="External"/><Relationship Id="rId1625" Type="http://schemas.openxmlformats.org/officeDocument/2006/relationships/hyperlink" Target="http://www.paed.uscourts.gov/documents/opinions/20D0393P.pdf" TargetMode="External"/><Relationship Id="rId1832" Type="http://schemas.openxmlformats.org/officeDocument/2006/relationships/hyperlink" Target="https://www.dol.gov/agencies/whd/flsa/misclassification" TargetMode="External"/><Relationship Id="rId2094" Type="http://schemas.openxmlformats.org/officeDocument/2006/relationships/hyperlink" Target="https://law.justia.com/cases/new-york/other-courts/2025/2025-ny-slip-op-51480-u.html" TargetMode="External"/><Relationship Id="rId273" Type="http://schemas.openxmlformats.org/officeDocument/2006/relationships/hyperlink" Target="https://www.usatoday.com/story/news/politics/2021/03/25/supreme-court-police-seizure-includes-shots-fired-fleeing-suspect/6995659002/" TargetMode="External"/><Relationship Id="rId480" Type="http://schemas.openxmlformats.org/officeDocument/2006/relationships/hyperlink" Target="https://www.pacourts.us/assets/opinions/Superior/out/J-S40043-23m%20-%20105940494266483578.pdf?cb=1" TargetMode="External"/><Relationship Id="rId2161" Type="http://schemas.openxmlformats.org/officeDocument/2006/relationships/hyperlink" Target="https://casetext.com/case/newsome-v-inspira-health-network-inc" TargetMode="External"/><Relationship Id="rId2399" Type="http://schemas.openxmlformats.org/officeDocument/2006/relationships/hyperlink" Target="https://public.fastcase.com/Wl%2B2t%2BeVuI35%2FN70vAMFZiXFpIhEfmm%2F8CTY%2Fzzj67xZNFbM2CzcHQjFO%2Fg%2BhpjG" TargetMode="External"/><Relationship Id="rId3005" Type="http://schemas.openxmlformats.org/officeDocument/2006/relationships/fontTable" Target="fontTable.xml"/><Relationship Id="rId133" Type="http://schemas.openxmlformats.org/officeDocument/2006/relationships/hyperlink" Target="https://www.law.cornell.edu/wex/admit" TargetMode="External"/><Relationship Id="rId340" Type="http://schemas.openxmlformats.org/officeDocument/2006/relationships/hyperlink" Target="https://www.supremecourt.gov/opinions/18pdf/18-6210_2co3.pdf" TargetMode="External"/><Relationship Id="rId578" Type="http://schemas.openxmlformats.org/officeDocument/2006/relationships/hyperlink" Target="https://www.oscn.net/applications/oscn/deliverdocument.asp?citeid=486529" TargetMode="External"/><Relationship Id="rId785" Type="http://schemas.openxmlformats.org/officeDocument/2006/relationships/hyperlink" Target="https://www.law.cornell.edu/definitions/uscode.php?width=840&amp;height=800&amp;iframe=true&amp;def_id=8-USC-133271130-1485256779&amp;term_occur=999&amp;term_src=" TargetMode="External"/><Relationship Id="rId992" Type="http://schemas.openxmlformats.org/officeDocument/2006/relationships/hyperlink" Target="https://codes.ohio.gov/ohio-administrative-code/rule-3335-21-12" TargetMode="External"/><Relationship Id="rId2021" Type="http://schemas.openxmlformats.org/officeDocument/2006/relationships/hyperlink" Target="https://cases.justia.com/federal/district-courts/washington/wawdce/2:2023cv01095/324497/258/0.pdf?ts=1785113252" TargetMode="External"/><Relationship Id="rId2259" Type="http://schemas.openxmlformats.org/officeDocument/2006/relationships/hyperlink" Target="https://juddocumentservice.mt.gov/getDocByCTrackId?DocId=398159" TargetMode="External"/><Relationship Id="rId2466" Type="http://schemas.openxmlformats.org/officeDocument/2006/relationships/hyperlink" Target="https://cases.justia.com/federal/district-courts/maryland/mddce/1:2024cv03580/573207/56/0.pdf?ts=1777474810" TargetMode="External"/><Relationship Id="rId2673" Type="http://schemas.openxmlformats.org/officeDocument/2006/relationships/hyperlink" Target="https://casetext.com/case/holt-v-florissant-fire-prot-dist" TargetMode="External"/><Relationship Id="rId2880" Type="http://schemas.openxmlformats.org/officeDocument/2006/relationships/hyperlink" Target="https://cases.justia.com/federal/district-courts/arizona/azdce/2:2023cv00612/1330978/17/0.pdf?ts=1697297155" TargetMode="External"/><Relationship Id="rId200" Type="http://schemas.openxmlformats.org/officeDocument/2006/relationships/hyperlink" Target="https://codes.ohio.gov/ohio-revised-code/section-2925.11" TargetMode="External"/><Relationship Id="rId438" Type="http://schemas.openxmlformats.org/officeDocument/2006/relationships/hyperlink" Target="https://cases.justia.com/federal/appellate-courts/ca3/23-3265/23-3265-2025-05-30.pdf?ts=1748624416" TargetMode="External"/><Relationship Id="rId645" Type="http://schemas.openxmlformats.org/officeDocument/2006/relationships/hyperlink" Target="https://www.firehero.org/fallen-firefighter/albert-a-filosa/" TargetMode="External"/><Relationship Id="rId852" Type="http://schemas.openxmlformats.org/officeDocument/2006/relationships/hyperlink" Target="https://supreme.justia.com/cases/federal/us/584/17-2/" TargetMode="External"/><Relationship Id="rId1068" Type="http://schemas.openxmlformats.org/officeDocument/2006/relationships/hyperlink" Target="https://ilcourtsaudio.blob.core.windows.net/antilles-resources/resources/b97cd9d5-bd7a-4b80-8ae7-ba3200915f21/Village%20of%20Schaumburg%20v.%20VoS%20Firefighters%E2%80%99%20Pension%20Fund%202025%20IL%20App%20(1st)%20241764.pdf" TargetMode="External"/><Relationship Id="rId1275" Type="http://schemas.openxmlformats.org/officeDocument/2006/relationships/hyperlink" Target="http://www.nycourts.gov/courts/AD2/Handdowns/2020/Decisions/D63333.pdf" TargetMode="External"/><Relationship Id="rId1482" Type="http://schemas.openxmlformats.org/officeDocument/2006/relationships/hyperlink" Target="http://41af3k34gprx4f6bg12df75i.wpengine.netdna-cdn.com/wp-content/uploads/sites/19/2016/03/Hurd-v-Lincoln.pdf" TargetMode="External"/><Relationship Id="rId2119" Type="http://schemas.openxmlformats.org/officeDocument/2006/relationships/hyperlink" Target="https://cases.justia.com/federal/district-courts/minnesota/mndce/0:2022cv00602/199430/91/0.pdf?ts=1737802391" TargetMode="External"/><Relationship Id="rId2326" Type="http://schemas.openxmlformats.org/officeDocument/2006/relationships/hyperlink" Target="http://lcapps.co.lucas.oh.us/Courts/Appeals/DecisionsPDF/9824.pdf" TargetMode="External"/><Relationship Id="rId2533" Type="http://schemas.openxmlformats.org/officeDocument/2006/relationships/hyperlink" Target="https://casetext.com/case/commonwealth-v-purnell-10" TargetMode="External"/><Relationship Id="rId2740" Type="http://schemas.openxmlformats.org/officeDocument/2006/relationships/hyperlink" Target="http://www.kcra.com/article/sacramento-firefighter-arrested-on-misdemeanor-sexual-battery-charge/9977725" TargetMode="External"/><Relationship Id="rId2978" Type="http://schemas.openxmlformats.org/officeDocument/2006/relationships/hyperlink" Target="https://www.supremecourt.ohio.gov/rod/docs/pdf/0/2023/2023-Ohio-4593.pdf" TargetMode="External"/><Relationship Id="rId505" Type="http://schemas.openxmlformats.org/officeDocument/2006/relationships/hyperlink" Target="https://www.firehero.org/fallen-firefighter/russell-h-hayes/" TargetMode="External"/><Relationship Id="rId712" Type="http://schemas.openxmlformats.org/officeDocument/2006/relationships/hyperlink" Target="https://caselaw.findlaw.com/court/us-dis-crt-n-d-cal/115575640.html" TargetMode="External"/><Relationship Id="rId1135" Type="http://schemas.openxmlformats.org/officeDocument/2006/relationships/hyperlink" Target="https://law.justia.com/cases/pennsylvania/commonwealth-court/2023/1040-c-d-2021.html" TargetMode="External"/><Relationship Id="rId1342" Type="http://schemas.openxmlformats.org/officeDocument/2006/relationships/hyperlink" Target="https://www.courts.ri.gov/Courts/SupremeCourt/SupremeOpinions/16-170.pdf" TargetMode="External"/><Relationship Id="rId1787" Type="http://schemas.openxmlformats.org/officeDocument/2006/relationships/hyperlink" Target="https://www.iaff.org/wp-content/uploads/FLSA-Manual-2022-Edition_FINAL.22Aug01.pdf" TargetMode="External"/><Relationship Id="rId1994" Type="http://schemas.openxmlformats.org/officeDocument/2006/relationships/hyperlink" Target="https://law.justia.com/cases/louisiana/fourth-circuit-court-of-appeal/2021/2021-ca-0070.html" TargetMode="External"/><Relationship Id="rId2838" Type="http://schemas.openxmlformats.org/officeDocument/2006/relationships/hyperlink" Target="https://d.docs.live.net/bd9b2eaf6053242e/AppData/Roaming/Microsoft/AppData/Local/Microsoft/Windows/INetCache/IE/XO250S7T/01171801lmb.pdf" TargetMode="External"/><Relationship Id="rId79" Type="http://schemas.openxmlformats.org/officeDocument/2006/relationships/hyperlink" Target="https://www.youtube.com/watch?v=pYAlJLy1R8U" TargetMode="External"/><Relationship Id="rId1202" Type="http://schemas.openxmlformats.org/officeDocument/2006/relationships/hyperlink" Target="https://www.youtube.com/watch?v=-Y6r01Pmcaw" TargetMode="External"/><Relationship Id="rId1647" Type="http://schemas.openxmlformats.org/officeDocument/2006/relationships/hyperlink" Target="https://cases.justia.com/federal/appellate-courts/ca11/25-10435/25-10435-2026-08-10.pdf?ts=1786397539" TargetMode="External"/><Relationship Id="rId1854" Type="http://schemas.openxmlformats.org/officeDocument/2006/relationships/hyperlink" Target="https://www.law.cornell.edu/topn/black-connery_fair_labor_standards_act" TargetMode="External"/><Relationship Id="rId2600" Type="http://schemas.openxmlformats.org/officeDocument/2006/relationships/hyperlink" Target="https://codes.ohio.gov/ohio-revised-code/section-117.103" TargetMode="External"/><Relationship Id="rId2905" Type="http://schemas.openxmlformats.org/officeDocument/2006/relationships/hyperlink" Target="https://public.fastcase.com/J%2FJP6pdidelsXxEE4k%2BLMpuDgtfUlpNK4l%2BfqZzcsS95ieNoHEqDlI1ajn81HayMXO5%2FuX2%2ByvyKSn9EyfaN7KpFENL2lTAAz2wo8HtdPeY%3D?utm_medium=email&amp;_hsmi=226712652&amp;_hsenc=p2ANqtz-9t2-miGpzcz6HjEKBpKrn-zhw54ySyRz_VGgy44f1dByScW7c1n8avO_4RXLWc5afGZGbJubbxw9DhHyQbca8WHl796A&amp;utm_content=226712652&amp;utm_source=hs_email" TargetMode="External"/><Relationship Id="rId1507" Type="http://schemas.openxmlformats.org/officeDocument/2006/relationships/hyperlink" Target="https://www.govinfo.gov/content/pkg/USCOURTS-idd-4_24-cv-00303/pdf/USCOURTS-idd-4_24-cv-00303-0.pdf" TargetMode="External"/><Relationship Id="rId1714" Type="http://schemas.openxmlformats.org/officeDocument/2006/relationships/hyperlink" Target="https://public.fastcase.com/J%2FJP6pdidelsXxEE4k%2BLMiM7pwWb%2BJBiIrsmHTSQKCgTGoUCuPbfbRmZbIscWTRrl1YTX4iVhFAcHudcdl9kVeXDJy0GqMwEdaMu5Mx11Z8%3D" TargetMode="External"/><Relationship Id="rId295" Type="http://schemas.openxmlformats.org/officeDocument/2006/relationships/hyperlink" Target="https://law.justia.com/cases/massachusetts/court-of-appeals/2020/19-p-903.html" TargetMode="External"/><Relationship Id="rId1921" Type="http://schemas.openxmlformats.org/officeDocument/2006/relationships/hyperlink" Target="https://d.docs.live.net/bd9b2eaf6053242e/AppData/Roaming/Microsoft/AppData/Local/Microsoft/Windows/INetCache/IE/CTCRXJ99/whdfs23.pdf" TargetMode="External"/><Relationship Id="rId2183" Type="http://schemas.openxmlformats.org/officeDocument/2006/relationships/hyperlink" Target="https://cases.justia.com/federal/district-courts/minnesota/mndce/0:2022cv00839/199889/89/0.pdf?ts=1714059506" TargetMode="External"/><Relationship Id="rId2390" Type="http://schemas.openxmlformats.org/officeDocument/2006/relationships/hyperlink" Target="https://njcourts.gov/attorneys/assets/opinions/appellate/published/a3846-18.pdf?c=Npo" TargetMode="External"/><Relationship Id="rId2488" Type="http://schemas.openxmlformats.org/officeDocument/2006/relationships/hyperlink" Target="https://ilcourtsaudio.blob.core.windows.net/antilles-resources/resources/519d3cc5-abe9-4494-b624-73bca90ee228/Mayer%20v.%20%20Calumet%20Firefighters%20Pension%20Fund,%202024%20IL%20App%20(1st)%20232059-U.pdf" TargetMode="External"/><Relationship Id="rId155" Type="http://schemas.openxmlformats.org/officeDocument/2006/relationships/hyperlink" Target="https://www.supremecourt.gov/opinions/23pdf/22-324_09m1.pdf" TargetMode="External"/><Relationship Id="rId362" Type="http://schemas.openxmlformats.org/officeDocument/2006/relationships/hyperlink" Target="https://www.supremecourt.gov/opinions/17pdf/16-1466_2b3j.pdf" TargetMode="External"/><Relationship Id="rId1297" Type="http://schemas.openxmlformats.org/officeDocument/2006/relationships/hyperlink" Target="https://public.fastcase.com/Wl%2B2t%2BeVuI35%2FN70vAMFZnbY8dI3hkArUDoxTqO4WI%2Fa6TeM7CmZuz1%2Ftkv0oKJ0" TargetMode="External"/><Relationship Id="rId2043" Type="http://schemas.openxmlformats.org/officeDocument/2006/relationships/hyperlink" Target="https://law.justia.com/codes/tennessee/title-50/chapter-1/part-3/section-50-1-304/" TargetMode="External"/><Relationship Id="rId2250" Type="http://schemas.openxmlformats.org/officeDocument/2006/relationships/hyperlink" Target="https://public.fastcase.com/J%2FJP6pdidelsXxEE4k%2BLMv5wihlcRVj4L9YHbnV6MVAF3KBJWQtSNgsG4EjgakbdHjeAvtzGQxxiofGv8pQP2WzdDBJrvHehgIHwsEqWl4I%3D?utm_medium=email&amp;_hsmi=226712652&amp;_hsenc=p2ANqtz-8bxe8uEVUAEFxEuakn9lUGLQUwlcgKmV3pJL4LaqF4K3hrnG0m_YdcBfrpGQgthbsaGFQPAZbt-ltRFFMr5oynBxpKXA&amp;utm_content=226712652&amp;utm_source=hs_email" TargetMode="External"/><Relationship Id="rId2695" Type="http://schemas.openxmlformats.org/officeDocument/2006/relationships/hyperlink" Target="https://www.cbsnews.com/miami/news/florida-supreme-court-turns-down-miami-firefighter-defamation-case/" TargetMode="External"/><Relationship Id="rId222" Type="http://schemas.openxmlformats.org/officeDocument/2006/relationships/hyperlink" Target="https://acis.alabama.gov/displaydocs.cfm?no=1126944&amp;event=6CD0OUEMB" TargetMode="External"/><Relationship Id="rId667" Type="http://schemas.openxmlformats.org/officeDocument/2006/relationships/hyperlink" Target="https://www.portland.gov/federal/documents/10-4-2025-state-city-v-trump-temporary-restraining-order-granted/download" TargetMode="External"/><Relationship Id="rId874" Type="http://schemas.openxmlformats.org/officeDocument/2006/relationships/hyperlink" Target="https://www.supremecourt.gov/opinions/24pdf/23-1363_d1o3.pdf" TargetMode="External"/><Relationship Id="rId2110" Type="http://schemas.openxmlformats.org/officeDocument/2006/relationships/hyperlink" Target="https://cases.justia.com/louisiana/fourth-circuit-court-of-appeal/2025-2024-ca-0437.pdf?ts=1741310103" TargetMode="External"/><Relationship Id="rId2348" Type="http://schemas.openxmlformats.org/officeDocument/2006/relationships/hyperlink" Target="https://public.fastcase.com/Wl%2B2t%2BeVuI35%2FN70vAMFZhZJi56QhK5aeAu9BSRcXQy3N2tA%2FHS1iSBZTTlZLCgr" TargetMode="External"/><Relationship Id="rId2555" Type="http://schemas.openxmlformats.org/officeDocument/2006/relationships/hyperlink" Target="https://www.ca4.uscourts.gov/opinions/232019.U.pdf" TargetMode="External"/><Relationship Id="rId2762" Type="http://schemas.openxmlformats.org/officeDocument/2006/relationships/hyperlink" Target="https://www.supremecourt.ohio.gov/rod/docs/pdf/4/2020/2020-Ohio-5615.pdf" TargetMode="External"/><Relationship Id="rId527" Type="http://schemas.openxmlformats.org/officeDocument/2006/relationships/hyperlink" Target="https://www.flmd.uscourts.gov/judges/harvey-schlesinger" TargetMode="External"/><Relationship Id="rId734" Type="http://schemas.openxmlformats.org/officeDocument/2006/relationships/hyperlink" Target="https://www.nyc.gov/assets/home/downloads/pdf/press-releases/2023/Antonyuk_Amicus_Brief.pdf" TargetMode="External"/><Relationship Id="rId941" Type="http://schemas.openxmlformats.org/officeDocument/2006/relationships/hyperlink" Target="https://public.fastcase.com/Wl%2B2t%2BeVuI35%2FN70vAMFZn8FExk2ons8UFiGzSPZ6Ig%2B2pF54RtCKp9IHiewQM23" TargetMode="External"/><Relationship Id="rId1157" Type="http://schemas.openxmlformats.org/officeDocument/2006/relationships/hyperlink" Target="https://law.justia.com/cases/south-carolina/court-of-appeals/2022/2022-up-437.html" TargetMode="External"/><Relationship Id="rId1364" Type="http://schemas.openxmlformats.org/officeDocument/2006/relationships/hyperlink" Target="https://cases.justia.com/federal/district-courts/kansas/ksdce/2:2023cv02410/149154/93/0.pdf?ts=1748685326" TargetMode="External"/><Relationship Id="rId1571" Type="http://schemas.openxmlformats.org/officeDocument/2006/relationships/hyperlink" Target="http://www.eeoc.gov/laws/statutes/titlevii.cfm" TargetMode="External"/><Relationship Id="rId2208" Type="http://schemas.openxmlformats.org/officeDocument/2006/relationships/hyperlink" Target="https://www.supremecourt.ohio.gov/rod/docs/pdf/3/2023/2023-Ohio-3429.pdf" TargetMode="External"/><Relationship Id="rId2415" Type="http://schemas.openxmlformats.org/officeDocument/2006/relationships/hyperlink" Target="https://www.plaintiffmagazine.com/recent-issues/item/ems-helicopter-crashes-raise-complex-liability-issues" TargetMode="External"/><Relationship Id="rId2622" Type="http://schemas.openxmlformats.org/officeDocument/2006/relationships/hyperlink" Target="https://www.wvxu.org/politics/2025-08-27/michael-washington-wrongful-termination-lawsuit-trial" TargetMode="External"/><Relationship Id="rId70" Type="http://schemas.openxmlformats.org/officeDocument/2006/relationships/hyperlink" Target="https://cases.justia.com/federal/appellate-courts/ca7/24-3163/24-3163-2025-07-22.pdf?ts=1753214416" TargetMode="External"/><Relationship Id="rId801" Type="http://schemas.openxmlformats.org/officeDocument/2006/relationships/hyperlink" Target="https://immigrationequality.org/asylum/asylum-manual/immigration-basics-relief-under-cat/" TargetMode="External"/><Relationship Id="rId1017" Type="http://schemas.openxmlformats.org/officeDocument/2006/relationships/hyperlink" Target="https://courts.illinois.gov/Opinions/SupremeCourt/2020/124610.pdf" TargetMode="External"/><Relationship Id="rId1224" Type="http://schemas.openxmlformats.org/officeDocument/2006/relationships/hyperlink" Target="https://www.courant.com/news/connecticut/hc-xpm-2002-03-02-0203020027-story.html" TargetMode="External"/><Relationship Id="rId1431" Type="http://schemas.openxmlformats.org/officeDocument/2006/relationships/hyperlink" Target="https://casetext.com/case/molchan-v-delmar-fire-dept-1" TargetMode="External"/><Relationship Id="rId1669" Type="http://schemas.openxmlformats.org/officeDocument/2006/relationships/hyperlink" Target="https://www.supremecourt.gov/opinions/24pdf/23-997_6579.pdf" TargetMode="External"/><Relationship Id="rId1876" Type="http://schemas.openxmlformats.org/officeDocument/2006/relationships/hyperlink" Target="https://www.justice.gov/crt/case-document/file/1227366/download" TargetMode="External"/><Relationship Id="rId2927" Type="http://schemas.openxmlformats.org/officeDocument/2006/relationships/hyperlink" Target="https://www.wdel.com/news/wilmington-firefighters-union-wins-chancery-court-appeal-in-battle-over-shift-change/article_9402edda-d9b1-11eb-909c-07bcb0bff090.html" TargetMode="External"/><Relationship Id="rId1529" Type="http://schemas.openxmlformats.org/officeDocument/2006/relationships/hyperlink" Target="https://public.fastcase.com/jaEE2PXzRXmZ99jOLMt1IpDp0JnVzptdty762p2WdacpKzYcIiQ8l1TBeuMep1jV?utm_medium=email&amp;_hsenc=p2ANqtz-9L1bPrfxst6esq_7Z5KFo1lHVisT0fYVrJpGE-zmUOoXZMhssxRXtfaqB6NAX5aJI_oGim2Kqhabp0MlaGnIdzwB2f4A&amp;_hsmi=226712652&amp;utm_content=226712652&amp;utm_source=hs_email" TargetMode="External"/><Relationship Id="rId1736" Type="http://schemas.openxmlformats.org/officeDocument/2006/relationships/hyperlink" Target="https://www.justice.gov/opa/blog/americans-disabilities-act-30th-anniversary-furthering-promise" TargetMode="External"/><Relationship Id="rId1943" Type="http://schemas.openxmlformats.org/officeDocument/2006/relationships/hyperlink" Target="https://www.fireengineering.com/firefighting/medical-marijuana-and-firefighters-creating-a-medical-marijuana-use-policy/" TargetMode="External"/><Relationship Id="rId28" Type="http://schemas.openxmlformats.org/officeDocument/2006/relationships/hyperlink" Target="https://cases.justia.com/federal/appellate-courts/ca4/22-4489/22-4489-2024-07-09.pdf?ts=1720549856" TargetMode="External"/><Relationship Id="rId1803" Type="http://schemas.openxmlformats.org/officeDocument/2006/relationships/hyperlink" Target="https://www.supremecourt.gov/DocketPDF/23/23-217/326778/20240924155125392_2024.09.24%20EMD%20v%20Carrera%20-%20Brief%20for%20Respondents.pdf" TargetMode="External"/><Relationship Id="rId177" Type="http://schemas.openxmlformats.org/officeDocument/2006/relationships/hyperlink" Target="https://www.law.cornell.edu/rules/fre/rule_702" TargetMode="External"/><Relationship Id="rId384" Type="http://schemas.openxmlformats.org/officeDocument/2006/relationships/hyperlink" Target="https://supreme.justia.com/cases/federal/us/391/563/" TargetMode="External"/><Relationship Id="rId591" Type="http://schemas.openxmlformats.org/officeDocument/2006/relationships/hyperlink" Target="http://www.ca5.uscourts.gov/opinions/pub/18/18-51011-CV0.pdf" TargetMode="External"/><Relationship Id="rId2065" Type="http://schemas.openxmlformats.org/officeDocument/2006/relationships/hyperlink" Target="https://cases.justia.com/texas/thirteenth-court-of-appeals/2026-13-25-00099-cv.pdf?ts=1772125541" TargetMode="External"/><Relationship Id="rId2272" Type="http://schemas.openxmlformats.org/officeDocument/2006/relationships/hyperlink" Target="https://www.supremecourt.ohio.gov/rod/docs/pdf/8/2022/2022-Ohio-1489.pdf" TargetMode="External"/><Relationship Id="rId244" Type="http://schemas.openxmlformats.org/officeDocument/2006/relationships/hyperlink" Target="https://www.mainelegislature.org/legis/statutes/17/title17sec2857.html" TargetMode="External"/><Relationship Id="rId689" Type="http://schemas.openxmlformats.org/officeDocument/2006/relationships/hyperlink" Target="https://casetext.com/case/souverneva-v-the-superior-court" TargetMode="External"/><Relationship Id="rId896" Type="http://schemas.openxmlformats.org/officeDocument/2006/relationships/hyperlink" Target="https://public.fastcase.com/ZZhmr5v9wN%2FXOe5IsQ%2FqD1CdH2R29LNK8BT0hnz9oKtXR%2FoMxL2xC63e%2BHHuthpWCwncj7bfE4lB3MomO4uqm4E3oXBdMMZD2IWz0SNqHm0%3D?utm_medium=email&amp;_hsmi=226712652&amp;_hsenc=p2ANqtz-_2XBA_cBQDF2xes7gnarhZ-sbkcdxdJUtVuyLwtAqY2WUUI2XYCC6QqVwiuQaE3r8IP3AVZ-ZehQ2YYsnZUf5Qzx_SHw&amp;utm_content=226712652&amp;utm_source=hs_email" TargetMode="External"/><Relationship Id="rId1081" Type="http://schemas.openxmlformats.org/officeDocument/2006/relationships/hyperlink" Target="https://caselaw.findlaw.com/court/ny-supreme-court/117196656.html" TargetMode="External"/><Relationship Id="rId2577" Type="http://schemas.openxmlformats.org/officeDocument/2006/relationships/hyperlink" Target="https://public.fastcase.com/Jhe1Qn%2BmJndQYQU6z%2FeNm0JH5q8gWciAXAF9bixHugWdaYIct3CF769DEA6AolcFot0MADEgf34paIS5RxXYfLHjDYkVz561VNE3Py00FLo%3D?utm_medium=email&amp;_hsenc=p2ANqtz--lMiV9AKrZhOCKCU8G42zfsMnA0WduNXw5NGIFgBNIi3qKeq5uCBwN2k8_bjKsGZk1kObDueEzHePI446cTwvuol4Y2w&amp;_hsmi=226712652&amp;utm_content=226712652&amp;utm_source=hs_email" TargetMode="External"/><Relationship Id="rId2784" Type="http://schemas.openxmlformats.org/officeDocument/2006/relationships/hyperlink" Target="https://www.dmlp.org/legal-guide/recording-phone-calls-and-conversations" TargetMode="External"/><Relationship Id="rId451" Type="http://schemas.openxmlformats.org/officeDocument/2006/relationships/hyperlink" Target="https://storage.courtlistener.com/recap/gov.uscourts.mdd.559142/gov.uscourts.mdd.559142.21.0.pdf" TargetMode="External"/><Relationship Id="rId549" Type="http://schemas.openxmlformats.org/officeDocument/2006/relationships/hyperlink" Target="https://casetext.com/case/topper-v-thomas" TargetMode="External"/><Relationship Id="rId756" Type="http://schemas.openxmlformats.org/officeDocument/2006/relationships/hyperlink" Target="https://www.ca5.uscourts.gov/opinions/pub/22/22-10077-CV0.pdf" TargetMode="External"/><Relationship Id="rId1179" Type="http://schemas.openxmlformats.org/officeDocument/2006/relationships/hyperlink" Target="https://casetext.com/case/barry-v-the-city-of-chicago" TargetMode="External"/><Relationship Id="rId1386" Type="http://schemas.openxmlformats.org/officeDocument/2006/relationships/hyperlink" Target="https://www.1011now.com/2024/02/05/city-lincoln-settles-lfr-sexual-discrimination-lawsuits-900000/" TargetMode="External"/><Relationship Id="rId1593" Type="http://schemas.openxmlformats.org/officeDocument/2006/relationships/hyperlink" Target="https://casetext.com/case/rice-v-city-of-cincinnati" TargetMode="External"/><Relationship Id="rId2132" Type="http://schemas.openxmlformats.org/officeDocument/2006/relationships/hyperlink" Target="https://www.njcourts.gov/system/files/court-opinions/2024/a1893-22.pdf" TargetMode="External"/><Relationship Id="rId2437" Type="http://schemas.openxmlformats.org/officeDocument/2006/relationships/hyperlink" Target="https://www.supremecourt.gov/opinions/18pdf/17-1660_5ifl.pdf" TargetMode="External"/><Relationship Id="rId2991" Type="http://schemas.openxmlformats.org/officeDocument/2006/relationships/hyperlink" Target="https://www.natlawreview.com/article/congress-votes-to-end-mandatory-arbitration-sexual-assault-and-sexual-harassment" TargetMode="External"/><Relationship Id="rId104" Type="http://schemas.openxmlformats.org/officeDocument/2006/relationships/hyperlink" Target="https://casetext.com/statute/united-states-code/title-18-crimes-and-criminal-procedure/part-i-crimes/chapter-40-importation-manufacture-distribution-and-storage-of-explosive-materials/section-844-penalties" TargetMode="External"/><Relationship Id="rId311" Type="http://schemas.openxmlformats.org/officeDocument/2006/relationships/hyperlink" Target="https://www.rcfp.org/resources/anti-slapp-laws/" TargetMode="External"/><Relationship Id="rId409" Type="http://schemas.openxmlformats.org/officeDocument/2006/relationships/hyperlink" Target="https://www.pacourts.us/assets/opinions/Superior/out/J-S01044-26m%20-%20106707559350028927.pdf?cb=1" TargetMode="External"/><Relationship Id="rId963" Type="http://schemas.openxmlformats.org/officeDocument/2006/relationships/hyperlink" Target="https://cases.justia.com/texas/fourteenth-court-of-appeals/2025-14-24-00312-cv.pdf?ts=1753189995" TargetMode="External"/><Relationship Id="rId1039" Type="http://schemas.openxmlformats.org/officeDocument/2006/relationships/hyperlink" Target="https://public.fastcase.com/Jhe1Qn%2BmJndQYQU6z%2FeNm5P3wAYrkQ98kdLlymoB1tnqkW6UeoR3EEofjHZbRGV948hVvIxCPDS9tpBfFEcmqGTc7kKGvATMMrEucF8thr8%3D?utm_medium=email&amp;_hsenc=p2ANqtz-8jIFUULBvOMnFFZTJscGA3kv4aE6mAq6MuaEb49Zar3qBrOzpASOYVP1MlSDLvHBN7GmUVAcOXynKq8kt28mHQPYsJ8w&amp;_hsmi=226712652&amp;utm_content=226712652&amp;utm_source=hs_email" TargetMode="External"/><Relationship Id="rId1246" Type="http://schemas.openxmlformats.org/officeDocument/2006/relationships/hyperlink" Target="https://casetext.com/case/heneghan-v-city-of-evanston" TargetMode="External"/><Relationship Id="rId1898" Type="http://schemas.openxmlformats.org/officeDocument/2006/relationships/hyperlink" Target="https://www.law.cornell.edu/definitions/uscode.php?width=840&amp;height=800&amp;iframe=true&amp;def_id=29-USC-1193469614-1597622566&amp;term_occur=999&amp;term_src=" TargetMode="External"/><Relationship Id="rId2644" Type="http://schemas.openxmlformats.org/officeDocument/2006/relationships/hyperlink" Target="https://cases.justia.com/michigan/court-of-appeals-unpublished/2024-365464.pdf?ts=1732024807" TargetMode="External"/><Relationship Id="rId2851" Type="http://schemas.openxmlformats.org/officeDocument/2006/relationships/hyperlink" Target="https://cases.justia.com/federal/district-courts/illinois/ilndce/1:2024cv01517/455667/32/0.pdf?ts=1773244215" TargetMode="External"/><Relationship Id="rId2949" Type="http://schemas.openxmlformats.org/officeDocument/2006/relationships/hyperlink" Target="https://caselaw.findlaw.com/court/co-supreme-court/111256.html" TargetMode="External"/><Relationship Id="rId92" Type="http://schemas.openxmlformats.org/officeDocument/2006/relationships/hyperlink" Target="https://www.supremecourt.gov/opinions/24pdf/22-7466new_6479.pdf" TargetMode="External"/><Relationship Id="rId616" Type="http://schemas.openxmlformats.org/officeDocument/2006/relationships/hyperlink" Target="https://www.nfpa.org/codes-and-standards/all-codes-and-standards/list-of-codes-and-standards/detail?code=1582" TargetMode="External"/><Relationship Id="rId823" Type="http://schemas.openxmlformats.org/officeDocument/2006/relationships/hyperlink" Target="https://www.dhs.gov/news/2020/06/18/dhs-statement-supreme-court-decision-daca" TargetMode="External"/><Relationship Id="rId1453" Type="http://schemas.openxmlformats.org/officeDocument/2006/relationships/hyperlink" Target="https://www.uticaod.com/story/news/2020/07/21/court-former-utica-firefighter-not-entitled-to-payment/42260661/" TargetMode="External"/><Relationship Id="rId1660" Type="http://schemas.openxmlformats.org/officeDocument/2006/relationships/hyperlink" Target="https://cases.justia.com/federal/district-courts/ohio/ohsdce/2:2023cv02466/282351/63/0.pdf?ts=1771088328" TargetMode="External"/><Relationship Id="rId1758" Type="http://schemas.openxmlformats.org/officeDocument/2006/relationships/hyperlink" Target="https://public.fastcase.com/9SKwsfNqTc6OieYDhNMyM%2BsbSTu241pOZ38l1fL3GtOxRE1iLhH6RZm0FIyTdVeF1XRK6Ebg7B5equTDg4ZQiMxFMDQEZko4UYsaxrmOuYk%3D" TargetMode="External"/><Relationship Id="rId2504" Type="http://schemas.openxmlformats.org/officeDocument/2006/relationships/hyperlink" Target="https://www.lsc.ohio.gov/assets/organizations/legislative-service-commission/files/involuntary-treatment-for-mental-illness.pdf" TargetMode="External"/><Relationship Id="rId2711" Type="http://schemas.openxmlformats.org/officeDocument/2006/relationships/hyperlink" Target="https://law.justia.com/cases/federal/appellate-courts/ca11/22-10132/22-10132-2022-11-22.html" TargetMode="External"/><Relationship Id="rId2809" Type="http://schemas.openxmlformats.org/officeDocument/2006/relationships/hyperlink" Target="https://www.oregonlaws.org/ors/243.672" TargetMode="External"/><Relationship Id="rId1106" Type="http://schemas.openxmlformats.org/officeDocument/2006/relationships/hyperlink" Target="https://www.jud.ct.gov/external/supapp/Cases/AROap/AP228/AP228.307.pdf" TargetMode="External"/><Relationship Id="rId1313" Type="http://schemas.openxmlformats.org/officeDocument/2006/relationships/hyperlink" Target="https://law.justia.com/cases/new-york/other-courts/2019/2019-ny-slip-op-50647-u.html" TargetMode="External"/><Relationship Id="rId1520" Type="http://schemas.openxmlformats.org/officeDocument/2006/relationships/hyperlink" Target="https://cases.justia.com/federal/appellate-courts/ca8/24-2646/24-2646-2025-07-08.pdf?ts=1751988624" TargetMode="External"/><Relationship Id="rId1965" Type="http://schemas.openxmlformats.org/officeDocument/2006/relationships/hyperlink" Target="https://www.audacy.com/krld/news/local/former-dfr-firefighter-sent-to-prison-for-dwi-accident" TargetMode="External"/><Relationship Id="rId1618" Type="http://schemas.openxmlformats.org/officeDocument/2006/relationships/hyperlink" Target="https://www.law.georgetown.edu/icap/wp-content/uploads/sites/32/2020/07/Bey-2d-Cir.-Opening-Brief-FINAL-7-7-2020.pdf" TargetMode="External"/><Relationship Id="rId1825" Type="http://schemas.openxmlformats.org/officeDocument/2006/relationships/hyperlink" Target="https://cases.justia.com/federal/district-courts/mississippi/mssdce/1:2022cv00356/117172/19/0.pdf?ts=1706287990" TargetMode="External"/><Relationship Id="rId199" Type="http://schemas.openxmlformats.org/officeDocument/2006/relationships/hyperlink" Target="https://apps.legislature.ky.gov/law/statutes/statute.aspx?id=44007" TargetMode="External"/><Relationship Id="rId2087" Type="http://schemas.openxmlformats.org/officeDocument/2006/relationships/hyperlink" Target="https://jpr.azcourts.gov/Portals/0/OpinionFiles/Div1/2025/1%20CA-CR%2024-0549%20Johnson.pdf" TargetMode="External"/><Relationship Id="rId2294" Type="http://schemas.openxmlformats.org/officeDocument/2006/relationships/hyperlink" Target="https://public.fastcase.com/9SKwsfNqTc6OieYDhNMyMwDUrDTC81ScbwpTIsrYww9AFfazNo%2F2HwY6ziqtDhg0Y4a0WNWhiQuswT892BHbSQq1RuZX52VcSFrolfmFpsM%3D" TargetMode="External"/><Relationship Id="rId266" Type="http://schemas.openxmlformats.org/officeDocument/2006/relationships/hyperlink" Target="https://www.supremecourt.gov/opinions/20pdf/19-1414_8m58.pdf" TargetMode="External"/><Relationship Id="rId473" Type="http://schemas.openxmlformats.org/officeDocument/2006/relationships/hyperlink" Target="https://www.hometownlife.com/story/news/2023/05/27/westland-firefighters-brian-woehlke-arson-homicide-investigation/70244259007/" TargetMode="External"/><Relationship Id="rId680" Type="http://schemas.openxmlformats.org/officeDocument/2006/relationships/hyperlink" Target="https://d3i6fh83elv35t.cloudfront.net/static/2025/05/gov.uscourts.txsd_.2000771.58.0_1.pdf" TargetMode="External"/><Relationship Id="rId2154" Type="http://schemas.openxmlformats.org/officeDocument/2006/relationships/hyperlink" Target="https://www.opn.ca6.uscourts.gov/opinions.pdf/24a0095p-06.pdf" TargetMode="External"/><Relationship Id="rId2361" Type="http://schemas.openxmlformats.org/officeDocument/2006/relationships/hyperlink" Target="https://public.fastcase.com/Wl%2B2t%2BeVuI35%2FN70vAMFZu2kCKVGtKJMtqi4A8YrO%2FA1C58cJM7PHa67poZD1rnP" TargetMode="External"/><Relationship Id="rId2599" Type="http://schemas.openxmlformats.org/officeDocument/2006/relationships/hyperlink" Target="https://codes.ohio.gov/ohio-revised-code/section-4113.52" TargetMode="External"/><Relationship Id="rId126" Type="http://schemas.openxmlformats.org/officeDocument/2006/relationships/hyperlink" Target="https://www.indeonline.com/story/news/2013/01/30/massillon-woman-gets-7-years/65001393007/" TargetMode="External"/><Relationship Id="rId333" Type="http://schemas.openxmlformats.org/officeDocument/2006/relationships/hyperlink" Target="https://cases.justia.com/ohio/eighth-district-court-of-appeals/2019-108224.pdf?ts=1576167401" TargetMode="External"/><Relationship Id="rId540" Type="http://schemas.openxmlformats.org/officeDocument/2006/relationships/hyperlink" Target="https://www.ems.gov/newsletter/fall2021/dont_let_railroads_become_roadblocks.html" TargetMode="External"/><Relationship Id="rId778" Type="http://schemas.openxmlformats.org/officeDocument/2006/relationships/hyperlink" Target="https://www.ftc.gov/enforcement/statutes/fair-credit-reporting-act" TargetMode="External"/><Relationship Id="rId985" Type="http://schemas.openxmlformats.org/officeDocument/2006/relationships/hyperlink" Target="https://codes.ohio.gov/ohio-administrative-code/rule-4123:1-3-06" TargetMode="External"/><Relationship Id="rId1170" Type="http://schemas.openxmlformats.org/officeDocument/2006/relationships/hyperlink" Target="https://www.daytondailynews.com/news/west-carrollton-rehire-fire-chief-after-valentine-week-retirement/XSsYoJpSmxdkIIZtoGUpzJ/" TargetMode="External"/><Relationship Id="rId2014" Type="http://schemas.openxmlformats.org/officeDocument/2006/relationships/hyperlink" Target="https://www.law.com/thelegalintelligencer/2020/06/25/judge-halts-opening-of-safe-injection-site-citing-covid-19-pandemic-and-protests/" TargetMode="External"/><Relationship Id="rId2221" Type="http://schemas.openxmlformats.org/officeDocument/2006/relationships/hyperlink" Target="https://public.fastcase.com/ZZhmr5v9wN%2FXOe5IsQ%2FqD6Xk9Se1JBeTiY14mFqaZIC5zf3duAqu51qE94mXCojrTIXHUx6W2UZ5EsVNrKWWswbYRHUo1KFYOQ9M2ppF1oA%3D?utm_medium=email&amp;_hsmi=226712652&amp;_hsenc=p2ANqtz-9aFlMC5FDCM2U0K8x384sblH4I0CGG1sOM-rog5fs89w4bS-qizqdVKzMegY3x51ZczlJkgb2TT7R5d8mF-dWwXy7XkA&amp;utm_content=226712652&amp;utm_source=hs_email" TargetMode="External"/><Relationship Id="rId2459" Type="http://schemas.openxmlformats.org/officeDocument/2006/relationships/hyperlink" Target="https://codes.findlaw.com/ny/general-municipal-law/gmu-sect-205-a.html" TargetMode="External"/><Relationship Id="rId2666" Type="http://schemas.openxmlformats.org/officeDocument/2006/relationships/hyperlink" Target="https://www.courts.ca.gov/opinions/nonpub/C096135.PDF" TargetMode="External"/><Relationship Id="rId2873" Type="http://schemas.openxmlformats.org/officeDocument/2006/relationships/hyperlink" Target="https://casetext.com/case/teague-v-travis-cnty-emergency-servs-dist" TargetMode="External"/><Relationship Id="rId638" Type="http://schemas.openxmlformats.org/officeDocument/2006/relationships/hyperlink" Target="https://www.courthousenews.com/wp-content/uploads/2026/07/fresno-prelim-grants.pdf" TargetMode="External"/><Relationship Id="rId845" Type="http://schemas.openxmlformats.org/officeDocument/2006/relationships/hyperlink" Target="https://www.theguardian.com/world/2014/apr/17/mohammad-hassan-khalid-sentence-five-years-jail-jihad-jane-plot" TargetMode="External"/><Relationship Id="rId1030" Type="http://schemas.openxmlformats.org/officeDocument/2006/relationships/hyperlink" Target="https://www.youtube.com/watch?v=ga_vHeGYQ34" TargetMode="External"/><Relationship Id="rId1268" Type="http://schemas.openxmlformats.org/officeDocument/2006/relationships/hyperlink" Target="https://scholar.google.com/scholar_case?case=5871380462060471996&amp;q=Association+of+Cleveland+Fire+Fighters+IAFF+Local+93+v.+City+of+Cleveland,&amp;hl=en&amp;as_sdt=6,36&amp;as_vis=1" TargetMode="External"/><Relationship Id="rId1475" Type="http://schemas.openxmlformats.org/officeDocument/2006/relationships/hyperlink" Target="http://www.ca5.uscourts.gov/opinions/unpub/18/18-40561.1.pdf" TargetMode="External"/><Relationship Id="rId1682" Type="http://schemas.openxmlformats.org/officeDocument/2006/relationships/hyperlink" Target="https://www.supremecourt.gov/orders/courtorders/062424zor_e18f.pdf" TargetMode="External"/><Relationship Id="rId2319" Type="http://schemas.openxmlformats.org/officeDocument/2006/relationships/hyperlink" Target="https://codes.ohio.gov/ohio-revised-code/section-4765.49" TargetMode="External"/><Relationship Id="rId2526" Type="http://schemas.openxmlformats.org/officeDocument/2006/relationships/hyperlink" Target="https://ceas.uc.edu/academics/departments/aerospace-engineering-mechanics/fire-science/news.html" TargetMode="External"/><Relationship Id="rId2733" Type="http://schemas.openxmlformats.org/officeDocument/2006/relationships/hyperlink" Target="https://www.firehouse.com/careers-education/news/21251649/judge-springfield-ma-city-must-enforce-residency-rules" TargetMode="External"/><Relationship Id="rId400" Type="http://schemas.openxmlformats.org/officeDocument/2006/relationships/hyperlink" Target="https://ilcourtsaudio.blob.core.windows.net/antilles-resources/resources/865bbd6b-111a-42c0-93b7-0362e44b14c7/Carter%20v.%20Fox%20Lake%20Fire%20Protection%20District%202026%20IL%20App%20(2d)%20250374.pdf" TargetMode="External"/><Relationship Id="rId705" Type="http://schemas.openxmlformats.org/officeDocument/2006/relationships/hyperlink" Target="https://www.supremecourt.gov/opinions/23pdf/22-1178_p8k0.pdf" TargetMode="External"/><Relationship Id="rId1128" Type="http://schemas.openxmlformats.org/officeDocument/2006/relationships/hyperlink" Target="https://casetext.com/case/n-douglas-cnty-fire-ems-v-shannon-in-re-shannon" TargetMode="External"/><Relationship Id="rId1335" Type="http://schemas.openxmlformats.org/officeDocument/2006/relationships/hyperlink" Target="https://www.firstrespondercenter.org/cancer/toolsresources/presumptive-legislation-firefighter-cancer-state/" TargetMode="External"/><Relationship Id="rId1542" Type="http://schemas.openxmlformats.org/officeDocument/2006/relationships/hyperlink" Target="https://casetext.com/case/dyer-v-city-of-new-orleans-2" TargetMode="External"/><Relationship Id="rId1987" Type="http://schemas.openxmlformats.org/officeDocument/2006/relationships/hyperlink" Target="https://law.justia.com/cases/louisiana/fourth-circuit-court-of-appeal/2021/2021-ca-0454.html" TargetMode="External"/><Relationship Id="rId2940" Type="http://schemas.openxmlformats.org/officeDocument/2006/relationships/hyperlink" Target="https://casetext.com/case/new-prime-inc-v-oliveira-1?ref=Sb!ZpcU0M" TargetMode="External"/><Relationship Id="rId912" Type="http://schemas.openxmlformats.org/officeDocument/2006/relationships/hyperlink" Target="https://casetext.com/case/dougherty-v-city-of-detroit" TargetMode="External"/><Relationship Id="rId1847" Type="http://schemas.openxmlformats.org/officeDocument/2006/relationships/hyperlink" Target="http://www.firefighterovertime.org/2022/12/12/ca-county-settles-flsa-suit/" TargetMode="External"/><Relationship Id="rId2800" Type="http://schemas.openxmlformats.org/officeDocument/2006/relationships/hyperlink" Target="https://cases.justia.com/federal/appellate-courts/ca9/18-16994/18-16994-2020-03-05.pdf?ts=1583442068" TargetMode="External"/><Relationship Id="rId41" Type="http://schemas.openxmlformats.org/officeDocument/2006/relationships/hyperlink" Target="https://public.fastcase.com/Jhe1Qn%2BmJndQYQU6z%2FeNm57E189vmSMp%2BOS67ay8wFWitKPcCGY4GMdxJS93bY4IOZ1rR%2BpqLAwnmO1MhhKsFw8mOzyCAgo2oZ0ZZPsNViU%3D?utm_medium=email&amp;_hsenc=p2ANqtz-_RDDEsF8WYWrAIUyd_V4g0U3Z9WIVpc4wUXBmJG03XH_ukvjIDW01jf2KlbNNNJy_jYwJIbAOIzBm1vMJk5QjVjhiSog&amp;_hsmi=226712652&amp;utm_content=226712652&amp;utm_source=hs_email" TargetMode="External"/><Relationship Id="rId1402" Type="http://schemas.openxmlformats.org/officeDocument/2006/relationships/hyperlink" Target="https://public.fastcase.com/ZZhmr5v9wN%2FXOe5IsQ%2FqD9BUVBv1kUZp9ZGh4udwVOZOikyKuqCQ4FBlGwYEPhOQ?utm_medium=email&amp;_hsmi=226712652&amp;_hsenc=p2ANqtz-8T0ew8oNT-12TbgKrs2ORAj7WbRAGASG77xIYUvebbTcAbFOuK4r9xkTZLpSPqAw77_8KgP47FqlehaZADxsQlpR3k0g&amp;utm_content=226712652&amp;utm_source=hs_email" TargetMode="External"/><Relationship Id="rId1707" Type="http://schemas.openxmlformats.org/officeDocument/2006/relationships/hyperlink" Target="https://public.fastcase.com/ZZhmr5v9wN%2FXOe5IsQ%2FqD5cOg4uDiWBiDgRVwEX7HkTgzpDy2YRC9dWsCSpL5q7NwLkYpJ%2BBy0X6CQVC4aXC0tZJlDrCMk2fa2%2Fy73T5jjU%3D?utm_medium=email&amp;_hsmi=226712652&amp;_hsenc=p2ANqtz-8FJorPS84jztogf_8o7olLe4m03Y-oUT6vKuzTkvf9gKaTxn2WPOeYqAoz6gwdnY0JMEeLDG0EyTmUqJkqtPPBYQ-lng&amp;utm_content=226712652&amp;utm_source=hs_email" TargetMode="External"/><Relationship Id="rId190" Type="http://schemas.openxmlformats.org/officeDocument/2006/relationships/hyperlink" Target="https://www.justice.gov/opa/pr/false-claims-act-settlements-and-judgments-exceed-2-billion-fiscal-year-2022" TargetMode="External"/><Relationship Id="rId288" Type="http://schemas.openxmlformats.org/officeDocument/2006/relationships/hyperlink" Target="https://www.law.cornell.edu/definitions/uscode.php?width=840&amp;height=800&amp;iframe=true&amp;def_id=18-USC-1230698398-816587252&amp;term_occur=999&amp;term_src=title:18:part:I:chapter:44:section:922" TargetMode="External"/><Relationship Id="rId1914" Type="http://schemas.openxmlformats.org/officeDocument/2006/relationships/hyperlink" Target="http://41af3k34gprx4f6bg12df75i.wpengine.netdna-cdn.com/wp-content/uploads/sites/19/2019/04/Spokane-Valley-Fire-Department-v-IAFF-Local-3701-RULING.pdf" TargetMode="External"/><Relationship Id="rId495" Type="http://schemas.openxmlformats.org/officeDocument/2006/relationships/hyperlink" Target="https://casetext.com/case/maines-v-cronomer-val-fire" TargetMode="External"/><Relationship Id="rId2176" Type="http://schemas.openxmlformats.org/officeDocument/2006/relationships/hyperlink" Target="https://casetext.com/case/gutzalenko-v-city-of-richmond" TargetMode="External"/><Relationship Id="rId2383" Type="http://schemas.openxmlformats.org/officeDocument/2006/relationships/hyperlink" Target="https://www.phillyvoice.com/us-supreme-court-denies-overturn-pennsylvania-non-essential-businesses-coronavirus-gov-wolf/" TargetMode="External"/><Relationship Id="rId2590" Type="http://schemas.openxmlformats.org/officeDocument/2006/relationships/hyperlink" Target="https://www.youtube.com/watch?v=5NXiLsCyQwc" TargetMode="External"/><Relationship Id="rId148" Type="http://schemas.openxmlformats.org/officeDocument/2006/relationships/hyperlink" Target="https://www.courts.michigan.gov/49940f/siteassets/case-documents/uploads/opinions/final/sct/164948_142_01.pdf" TargetMode="External"/><Relationship Id="rId355" Type="http://schemas.openxmlformats.org/officeDocument/2006/relationships/hyperlink" Target="https://www.mass.gov/files/documents/2018/06/22/ASAB%2017-04%20%2044%20Mt.%20Vernon%20St.%2C%20Fitchburg.pdf?_ga=2.103697088.170248601.1551215432-2018690554.1551215432" TargetMode="External"/><Relationship Id="rId562" Type="http://schemas.openxmlformats.org/officeDocument/2006/relationships/hyperlink" Target="https://www.firerescue1.com/arson-investigation/articles/court-rules-pa-man-can-be-re-tried-for-allegedly-setting-blaze-that-killed-3-firefighters-lLEkejoGfuP6GGk9/?utm_source=FireRescue1+Daily&amp;utm_campaign=f787a554cb-EMAIL_CAMPAIGN_2021_04_15_07_27&amp;utm_medium=email&amp;utm_term=0_758bdbeffe-f787a554cb-41607823" TargetMode="External"/><Relationship Id="rId1192" Type="http://schemas.openxmlformats.org/officeDocument/2006/relationships/hyperlink" Target="https://cases.justia.com/montana/supreme-court/2021-da-20-0594.pdf?ts=1634679339" TargetMode="External"/><Relationship Id="rId2036" Type="http://schemas.openxmlformats.org/officeDocument/2006/relationships/hyperlink" Target="https://public.fastcase.com/Jhe1Qn%2BmJndQYQU6z%2FeNm00La4tSCrrnQj5Y3npvm8fdoq4TeulewGlEW3bFFA7N?utm_medium=email&amp;_hsenc=p2ANqtz-8ThEk2xAXh6kES_woWZ5vNzcOTlPOgA5SAfsmD2YLCJ8ZqGGe3eNs5iYP9SOCvDgMCA2VIbcxNqC2sINqsn3X7XvkFGA&amp;_hsmi=226712652&amp;utm_content=226712652&amp;utm_source=hs_email" TargetMode="External"/><Relationship Id="rId2243" Type="http://schemas.openxmlformats.org/officeDocument/2006/relationships/hyperlink" Target="https://www.law.cornell.edu/definitions/uscode.php?width=840&amp;height=800&amp;iframe=true&amp;def_id=42-USC-303628742-1009355614&amp;term_occur=999&amp;term_src=" TargetMode="External"/><Relationship Id="rId2450" Type="http://schemas.openxmlformats.org/officeDocument/2006/relationships/hyperlink" Target="https://cases.justia.com/federal/district-courts/maryland/mddce/1:2024cv03580/573207/56/0.pdf?ts=1777474810" TargetMode="External"/><Relationship Id="rId2688" Type="http://schemas.openxmlformats.org/officeDocument/2006/relationships/hyperlink" Target="https://www.dailymail.co.uk/news/article-12240293/Man-accused-stalking-local-Colorado-musician-stalking-conviction-tossed-Supreme-Court.html" TargetMode="External"/><Relationship Id="rId2895" Type="http://schemas.openxmlformats.org/officeDocument/2006/relationships/hyperlink" Target="https://www.nlrb.gov/news-outreach/news-story/board-rules-that-employers-may-not-offer-severance-agreements-requiring" TargetMode="External"/><Relationship Id="rId215" Type="http://schemas.openxmlformats.org/officeDocument/2006/relationships/hyperlink" Target="https://public.fastcase.com/J%2FJP6pdidelsXxEE4k%2BLMkioZ6zkCvVA2f7m8MUdZzFChRnZ9pflbw23TgjkZYaZMPShomsfddWFkLQb1Ctqwom4ggqunMxdJpiD327M8Vc%3D?utm_medium=email&amp;_hsmi=226712652&amp;_hsenc=p2ANqtz-90P1mb2f8SYEeO6UfPTx4asdEjFOhLhRS07BbmdC1-wrC8kVAiG6jT85m4y6VmZBAFGCFSBZmuZ2NfaZLtEQDLtFBeQ&amp;utm_content=226712652&amp;utm_source=hs_email" TargetMode="External"/><Relationship Id="rId422" Type="http://schemas.openxmlformats.org/officeDocument/2006/relationships/hyperlink" Target="https://www.youtube.com/watch?v=US5dFGLzqQo" TargetMode="External"/><Relationship Id="rId867" Type="http://schemas.openxmlformats.org/officeDocument/2006/relationships/hyperlink" Target="https://www.supremecourt.gov/opinions/24pdf/24-362_mjn0.pdf" TargetMode="External"/><Relationship Id="rId1052" Type="http://schemas.openxmlformats.org/officeDocument/2006/relationships/hyperlink" Target="https://www.op-f.org/files/mgdrop.pdf" TargetMode="External"/><Relationship Id="rId1497" Type="http://schemas.openxmlformats.org/officeDocument/2006/relationships/hyperlink" Target="https://cases.justia.com/federal/district-courts/mississippi/mssdce/3:2025cv00733/130626/17/0.pdf?ts=1785351264" TargetMode="External"/><Relationship Id="rId2103" Type="http://schemas.openxmlformats.org/officeDocument/2006/relationships/hyperlink" Target="https://www.supremecourt.ohio.gov/rod/docs/pdf/5/2025/2025-Ohio-1961.pdf" TargetMode="External"/><Relationship Id="rId2310" Type="http://schemas.openxmlformats.org/officeDocument/2006/relationships/hyperlink" Target="https://www.whistleblowerllc.com/resources/whistleblower-laws/the-federal-false-claims-act/" TargetMode="External"/><Relationship Id="rId2548" Type="http://schemas.openxmlformats.org/officeDocument/2006/relationships/hyperlink" Target="https://www.wci360.com/update-workers-comp-coverage-for-firefighters/" TargetMode="External"/><Relationship Id="rId2755" Type="http://schemas.openxmlformats.org/officeDocument/2006/relationships/hyperlink" Target="https://convention2018.iaff.org/general-counsels-report/" TargetMode="External"/><Relationship Id="rId2962" Type="http://schemas.openxmlformats.org/officeDocument/2006/relationships/hyperlink" Target="https://public.fastcase.com/jaEE2PXzRXmZ99jOLMt1InNcYbqVaI0RKJVNmSUWwC4uBfhrqEaMCXW4t6jftSIgD4%2FHoHLdH48y39slr7kZWrEMnvLTwJnn0bFKh%2B9XZVQ%3D?utm_medium=email&amp;_hsenc=p2ANqtz-9jIRW7ECQxdsfZzinN3lzy-N6WwmOPS0xWaDDWCvHvPAgLyigDSOvaGk0u5IT3PeW4EZ19aOxVZon74RIrJmMQwWSuhw&amp;_hsmi=226712652&amp;utm_content=226712652&amp;utm_source=hs_email" TargetMode="External"/><Relationship Id="rId727" Type="http://schemas.openxmlformats.org/officeDocument/2006/relationships/hyperlink" Target="https://casetext.com/case/baarbe-v-the-syrian-arab-republic" TargetMode="External"/><Relationship Id="rId934" Type="http://schemas.openxmlformats.org/officeDocument/2006/relationships/hyperlink" Target="https://docs.justia.com/cases/federal/district-courts/new-york/nyedce/1:2019cv02400/432390/46" TargetMode="External"/><Relationship Id="rId1357" Type="http://schemas.openxmlformats.org/officeDocument/2006/relationships/hyperlink" Target="https://www.iaff.org/cpat/" TargetMode="External"/><Relationship Id="rId1564" Type="http://schemas.openxmlformats.org/officeDocument/2006/relationships/hyperlink" Target="https://cases.justia.com/federal/district-courts/kansas/ksdce/6:2022cv01032/140026/96/0.pdf?ts=1694273736" TargetMode="External"/><Relationship Id="rId1771" Type="http://schemas.openxmlformats.org/officeDocument/2006/relationships/hyperlink" Target="https://cases.justia.com/indiana/court-of-appeals/2026-25a-pl-01609.pdf?ts=1779819186" TargetMode="External"/><Relationship Id="rId2408" Type="http://schemas.openxmlformats.org/officeDocument/2006/relationships/hyperlink" Target="https://law.justia.com/cases/federal/appellate-courts/ca10/18-7036/18-7036-2019-09-06.html" TargetMode="External"/><Relationship Id="rId2615" Type="http://schemas.openxmlformats.org/officeDocument/2006/relationships/hyperlink" Target="https://cases.justia.com/federal/appellate-courts/ca4/24-1782/24-1782-2025-06-05.pdf?ts=1749150038" TargetMode="External"/><Relationship Id="rId2822" Type="http://schemas.openxmlformats.org/officeDocument/2006/relationships/hyperlink" Target="http://www.iaff421.org/?zone=/unionactive/private_view_page.cfm&amp;page=Know20Your20Rights21" TargetMode="External"/><Relationship Id="rId63" Type="http://schemas.openxmlformats.org/officeDocument/2006/relationships/hyperlink" Target="https://cases.justia.com/georgia/court-of-appeals/2025-a25a0954.pdf?ts=1758208974" TargetMode="External"/><Relationship Id="rId1217" Type="http://schemas.openxmlformats.org/officeDocument/2006/relationships/hyperlink" Target="https://codes.ohio.gov/ohio-revised-code/section-4123.57" TargetMode="External"/><Relationship Id="rId1424" Type="http://schemas.openxmlformats.org/officeDocument/2006/relationships/hyperlink" Target="https://www.firelawblog.com/2022/03/13/court-refuses-to-dismiss-state-law-claims-in-norfolk-retaliation-suit/" TargetMode="External"/><Relationship Id="rId1631" Type="http://schemas.openxmlformats.org/officeDocument/2006/relationships/hyperlink" Target="https://www.law.com/nationallawjournal/2020/03/23/why-ginsburg-joined-a-ruling-civil-rights-advocates-decry-as-terrible/" TargetMode="External"/><Relationship Id="rId1869" Type="http://schemas.openxmlformats.org/officeDocument/2006/relationships/hyperlink" Target="https://www.law.cornell.edu/cfr/text/29/778.215" TargetMode="External"/><Relationship Id="rId1729" Type="http://schemas.openxmlformats.org/officeDocument/2006/relationships/hyperlink" Target="https://www.eeoc.gov/laws/guidance/deafness-and-hearing-impairments-workplace-and-americans-disabilities-act" TargetMode="External"/><Relationship Id="rId1936" Type="http://schemas.openxmlformats.org/officeDocument/2006/relationships/hyperlink" Target="https://www.federalregister.gov/documents/2025/12/23/2025-23846/increasing-medical-marijuana-and-cannabidiol-research" TargetMode="External"/><Relationship Id="rId2198" Type="http://schemas.openxmlformats.org/officeDocument/2006/relationships/hyperlink" Target="https://www.hhs.gov/hipaa/for-professionals/compliance-enforcement/examples/all-cases/index.html" TargetMode="External"/><Relationship Id="rId377" Type="http://schemas.openxmlformats.org/officeDocument/2006/relationships/hyperlink" Target="http://buchanan-labs.com/statutory-damages-for-infringement-of-your-copyrights-and-trademarks/" TargetMode="External"/><Relationship Id="rId584" Type="http://schemas.openxmlformats.org/officeDocument/2006/relationships/hyperlink" Target="https://www.bwc.ohio.gov/downloads/blankpdf/sviu.pdf" TargetMode="External"/><Relationship Id="rId2058" Type="http://schemas.openxmlformats.org/officeDocument/2006/relationships/hyperlink" Target="https://www.ojp.gov/pdffiles/posasph.pdf" TargetMode="External"/><Relationship Id="rId2265" Type="http://schemas.openxmlformats.org/officeDocument/2006/relationships/hyperlink" Target="https://www.facebook.com/watch/?v=2586016544950280" TargetMode="External"/><Relationship Id="rId5" Type="http://schemas.openxmlformats.org/officeDocument/2006/relationships/webSettings" Target="webSettings.xml"/><Relationship Id="rId237" Type="http://schemas.openxmlformats.org/officeDocument/2006/relationships/hyperlink" Target="https://www.iafc.org/blogs/blog/iafc/2022/01/13/supreme-court-decision-on-vaccine-mandates-what-it-means-for-fire-departments" TargetMode="External"/><Relationship Id="rId791" Type="http://schemas.openxmlformats.org/officeDocument/2006/relationships/hyperlink" Target="https://www.law.cornell.edu/definitions/uscode.php?width=840&amp;height=800&amp;iframe=true&amp;def_id=8-USC-2032517217-1201680101&amp;term_occur=999&amp;term_src=" TargetMode="External"/><Relationship Id="rId889" Type="http://schemas.openxmlformats.org/officeDocument/2006/relationships/hyperlink" Target="https://www.courts.ca.gov/opinions/documents/D082048.PDF" TargetMode="External"/><Relationship Id="rId1074" Type="http://schemas.openxmlformats.org/officeDocument/2006/relationships/hyperlink" Target="https://www.leg.state.nv.us/App/NELIS/REL/82nd2023/Bill/9844/Overview" TargetMode="External"/><Relationship Id="rId2472" Type="http://schemas.openxmlformats.org/officeDocument/2006/relationships/hyperlink" Target="https://public.fastcase.com/Jhe1Qn%2BmJndQYQU6z%2FeNm%2BcFVCy5tJw2gy1zfbpkLaze9U67QqLJTV5FE2cJQCoqnSyWDfbWSo3ic5o1p0zHzyDw8vgxY%2BBok5izm2ejH6U%3D?utm_medium=email&amp;_hsenc=p2ANqtz--bkYiy1pyPlPSsVe74xwULcEQroRrEa3UI3GrVMXxBGgBl78iSBqXQuZMV2NG07-VaF6HXpA1gGzG-xJKwbOenCq2wOg&amp;_hsmi=226712652&amp;utm_content=226712652&amp;utm_source=hs_email" TargetMode="External"/><Relationship Id="rId2777" Type="http://schemas.openxmlformats.org/officeDocument/2006/relationships/hyperlink" Target="https://www.nj.com/news/2016/04/ex-nj_firefighter_convicted_of_stealing_disability.html" TargetMode="External"/><Relationship Id="rId444" Type="http://schemas.openxmlformats.org/officeDocument/2006/relationships/hyperlink" Target="https://www.supremecourt.ohio.gov/rod/docs/pdf/0/2025/2025-Ohio-1296.pdf" TargetMode="External"/><Relationship Id="rId651" Type="http://schemas.openxmlformats.org/officeDocument/2006/relationships/hyperlink" Target="https://www.supremecourt.gov/opinions/25pdf/25a443_ba7d.pdf" TargetMode="External"/><Relationship Id="rId749" Type="http://schemas.openxmlformats.org/officeDocument/2006/relationships/hyperlink" Target="https://casetext.com/case/united-states-v-williams-3941" TargetMode="External"/><Relationship Id="rId1281" Type="http://schemas.openxmlformats.org/officeDocument/2006/relationships/hyperlink" Target="https://www.firstrespondercenter.org/cancer/toolsresources/presumptive-legislation-firefighter-cancer-state/" TargetMode="External"/><Relationship Id="rId1379" Type="http://schemas.openxmlformats.org/officeDocument/2006/relationships/hyperlink" Target="https://www.mdcourts.gov/sites/default/files/unreported-opinions/1316s22.pdf" TargetMode="External"/><Relationship Id="rId1586" Type="http://schemas.openxmlformats.org/officeDocument/2006/relationships/hyperlink" Target="https://www.masslive.com/news/2018/05/springfield_city_council_appro_79.html" TargetMode="External"/><Relationship Id="rId2125" Type="http://schemas.openxmlformats.org/officeDocument/2006/relationships/hyperlink" Target="https://www.ems1.com/legal/federal-court-overturns-va-rule-reducing-ambulance-payments" TargetMode="External"/><Relationship Id="rId2332" Type="http://schemas.openxmlformats.org/officeDocument/2006/relationships/hyperlink" Target="https://www.ca8.uscourts.gov/sites/ca8/files/opinions/191343P.pdf" TargetMode="External"/><Relationship Id="rId2984" Type="http://schemas.openxmlformats.org/officeDocument/2006/relationships/hyperlink" Target="https://cases.justia.com/florida/fifth-district-court-of-appeal/2022-5d21-1620.pdf?ts=1666365198" TargetMode="External"/><Relationship Id="rId304" Type="http://schemas.openxmlformats.org/officeDocument/2006/relationships/hyperlink" Target="https://casetext.com/case/25-grant-st-llc-v-city-of-bridgeport" TargetMode="External"/><Relationship Id="rId511" Type="http://schemas.openxmlformats.org/officeDocument/2006/relationships/hyperlink" Target="https://casetext.com/case/gibb-v-stetson" TargetMode="External"/><Relationship Id="rId609" Type="http://schemas.openxmlformats.org/officeDocument/2006/relationships/hyperlink" Target="https://www.courts.ca.gov/opinions/nonpub/A150651.PD" TargetMode="External"/><Relationship Id="rId956" Type="http://schemas.openxmlformats.org/officeDocument/2006/relationships/hyperlink" Target="https://cases.justia.com/louisiana/fourth-circuit-court-of-appeal/2025-2025-ca-0386.pdf?ts=1765847814" TargetMode="External"/><Relationship Id="rId1141" Type="http://schemas.openxmlformats.org/officeDocument/2006/relationships/hyperlink" Target="https://casetext.com/case/dasilva-v-esper-1" TargetMode="External"/><Relationship Id="rId1239" Type="http://schemas.openxmlformats.org/officeDocument/2006/relationships/hyperlink" Target="https://casetext.com/case/malone-v-workers-comp-appeal-bd" TargetMode="External"/><Relationship Id="rId1793" Type="http://schemas.openxmlformats.org/officeDocument/2006/relationships/hyperlink" Target="https://natlawreview.com/article/wage-and-hour-watch-regular-rate-pay-primer-employers" TargetMode="External"/><Relationship Id="rId2637" Type="http://schemas.openxmlformats.org/officeDocument/2006/relationships/hyperlink" Target="https://public.fastcase.com/jaEE2PXzRXmZ99jOLMt1IhQHA9AMm9CcSN%2BGfYyS2p0Y8T4gWwr35mn7gDgy%2FrLSk1%2BX3TZDVCgonvjR5kmTn9ieZn6lPYykAdycfBPhja8%3D?utm_medium=email&amp;_hsenc=p2ANqtz-96viAoOgtBhpN3k-FXu0IciBKBTpaPEffa5PyEi7FQVITmUz8Kiu79qOEJdxGOe1egzOzFwK07j5P1hSXOAN4VGdmpNA&amp;_hsmi=226712652&amp;utm_content=226712652&amp;utm_source=hs_email" TargetMode="External"/><Relationship Id="rId2844" Type="http://schemas.openxmlformats.org/officeDocument/2006/relationships/hyperlink" Target="https://cases.justia.com/federal/appellate-courts/ca10/25-1424/25-1424-2026-06-22.pdf?ts=1782145915" TargetMode="External"/><Relationship Id="rId85" Type="http://schemas.openxmlformats.org/officeDocument/2006/relationships/hyperlink" Target="https://www.cnn.com/2025/05/02/us/oregon-deschutes-national-forest-eviction-hnk" TargetMode="External"/><Relationship Id="rId816" Type="http://schemas.openxmlformats.org/officeDocument/2006/relationships/hyperlink" Target="https://casetext.com/case/in-re-world-trade-ctr-lower-manhattan-disaster-site-litig-8" TargetMode="External"/><Relationship Id="rId1001" Type="http://schemas.openxmlformats.org/officeDocument/2006/relationships/hyperlink" Target="https://law.justia.com/cases/texas/fourteenth-court-of-appeals/2022/14-20-00566-cv.html" TargetMode="External"/><Relationship Id="rId1446" Type="http://schemas.openxmlformats.org/officeDocument/2006/relationships/hyperlink" Target="https://casetext.com/case/mendoza-v-rio-rico-med-1" TargetMode="External"/><Relationship Id="rId1653" Type="http://schemas.openxmlformats.org/officeDocument/2006/relationships/hyperlink" Target="https://cases.justia.com/federal/district-courts/maryland/mddce/1:2024cv03580/573207/56/0.pdf?ts=1777474810" TargetMode="External"/><Relationship Id="rId1860" Type="http://schemas.openxmlformats.org/officeDocument/2006/relationships/hyperlink" Target="https://www.govinfo.gov/content/pkg/USCOURTS-mowd-4_19-cv-00093/pdf/USCOURTS-mowd-4_19-cv-00093-1.pdf" TargetMode="External"/><Relationship Id="rId2704" Type="http://schemas.openxmlformats.org/officeDocument/2006/relationships/hyperlink" Target="https://public.fastcase.com/J%2FJP6pdidelsXxEE4k%2BLMpGubXoiBI9N5c5PiCjiKje3s5hlj34tgYA4JUqhEnHu5%2B5A2YVGp5a5q0QWGlZ62xJPhOyoXNaYGEvkYwXaoTE%3D?utm_medium=email&amp;_hsmi=226712652&amp;_hsenc=p2ANqtz-8eQQAtjUmF0fegxTEoYBNzAO-SWgh5MKAZ8ooS_Vj6VgR_AfS9P2NoltKqIQKTjr9fMeFfYMtr9y658qMKNZJxq-ULqA&amp;utm_content=226712652&amp;utm_source=hs_email" TargetMode="External"/><Relationship Id="rId2911" Type="http://schemas.openxmlformats.org/officeDocument/2006/relationships/hyperlink" Target="https://www.daytondailynews.com/news/west-carrollton-rehire-fire-chief-after-valentine-week-retirement/XSsYoJpSmxdkIIZtoGUpzJ/" TargetMode="External"/><Relationship Id="rId1306" Type="http://schemas.openxmlformats.org/officeDocument/2006/relationships/hyperlink" Target="https://patch.com/ohio/mayfield-hillcrest/mayfield-village-introduces-three-new-firefighters" TargetMode="External"/><Relationship Id="rId1513" Type="http://schemas.openxmlformats.org/officeDocument/2006/relationships/hyperlink" Target="https://www.mdcourts.gov/sites/default/files/unreported-opinions/1234s24.pdf" TargetMode="External"/><Relationship Id="rId1720" Type="http://schemas.openxmlformats.org/officeDocument/2006/relationships/hyperlink" Target="https://www.iafc.org/docs/default-source/1vcos/vws_rrkit_nfpa-1582.pdf?sfvrsn=ca9b9f0d_2" TargetMode="External"/><Relationship Id="rId1958" Type="http://schemas.openxmlformats.org/officeDocument/2006/relationships/hyperlink" Target="https://caselaw.findlaw.com/court/in-court-of-appeals/116468399.html" TargetMode="External"/><Relationship Id="rId12" Type="http://schemas.openxmlformats.org/officeDocument/2006/relationships/image" Target="media/image3.jpeg"/><Relationship Id="rId1818" Type="http://schemas.openxmlformats.org/officeDocument/2006/relationships/hyperlink" Target="https://www.ecfr.gov/current/title-29/subtitle-B/chapter-V/subchapter-B/part-785/subpart-C/subject-group-ECFR3d1222debcd8ec6/section-785.19" TargetMode="External"/><Relationship Id="rId161" Type="http://schemas.openxmlformats.org/officeDocument/2006/relationships/hyperlink" Target="https://cases.justia.com/louisiana/fifth-circuit-court-of-appeal/2023-23-ka-234.pdf?ts=1703704652" TargetMode="External"/><Relationship Id="rId399" Type="http://schemas.openxmlformats.org/officeDocument/2006/relationships/hyperlink" Target="https://cases.justia.com/missouri/court-of-appeals/2026-wd88291.pdf?ts=1779809421" TargetMode="External"/><Relationship Id="rId2287" Type="http://schemas.openxmlformats.org/officeDocument/2006/relationships/hyperlink" Target="https://hudsoncountyview.com/2-ex-north-bergen-ems-workers-file-wrongful-termination-suit-against-township-deputy-ems-chief/" TargetMode="External"/><Relationship Id="rId2494" Type="http://schemas.openxmlformats.org/officeDocument/2006/relationships/hyperlink" Target="https://app.leg.wa.gov/RCW/default.aspx?cite=18.73.030" TargetMode="External"/><Relationship Id="rId259" Type="http://schemas.openxmlformats.org/officeDocument/2006/relationships/hyperlink" Target="https://storage.courtlistener.com/recap/gov.uscourts.txnd.346680/gov.uscourts.txnd.346680.94.0.pdf" TargetMode="External"/><Relationship Id="rId466" Type="http://schemas.openxmlformats.org/officeDocument/2006/relationships/hyperlink" Target="https://www.supremecourt.ohio.gov/rod/docs/pdf/10/2024/2024-Ohio-5181.pdf" TargetMode="External"/><Relationship Id="rId673" Type="http://schemas.openxmlformats.org/officeDocument/2006/relationships/hyperlink" Target="https://cdn.ca9.uscourts.gov/datastore/opinions/2025/07/24/24-542.pdf" TargetMode="External"/><Relationship Id="rId880" Type="http://schemas.openxmlformats.org/officeDocument/2006/relationships/hyperlink" Target="https://www.firelawblog.com/wp-content/uploads/sites/19/2024/10/Light-v.-Pub.-Utils.-Regul.-Auth._-2024-Conn.-Super.-LE.pdf" TargetMode="External"/><Relationship Id="rId1096" Type="http://schemas.openxmlformats.org/officeDocument/2006/relationships/hyperlink" Target="https://cases.justia.com/pennsylvania/commonwealth-court/2024-541-and-589-c-d-2022.pdf?ts=1735057731" TargetMode="External"/><Relationship Id="rId2147" Type="http://schemas.openxmlformats.org/officeDocument/2006/relationships/hyperlink" Target="https://www.law.cornell.edu/rules/fre/" TargetMode="External"/><Relationship Id="rId2354" Type="http://schemas.openxmlformats.org/officeDocument/2006/relationships/hyperlink" Target="https://aams.org/aams-member-alert-negotiated-balance-billing-solution-included-in-legislation/" TargetMode="External"/><Relationship Id="rId2561" Type="http://schemas.openxmlformats.org/officeDocument/2006/relationships/hyperlink" Target="https://public.fastcase.com/Jhe1Qn%2BmJndQYQU6z%2FeNm84TSwxTK6G3n62PkU8179htaq5wGjVaUGYSJZSOVzdWyhegWgMqWmHwKwmFy%2BjUN%2FGu5ej6EThZiUJZJf%2FCENA%3D?utm_medium=email&amp;_hsenc=p2ANqtz--F9WEozIdQ7a7aHBPLqx4N-sY1B7PgbJLvKD0e3ZvBos8ijqQnFOLSe1dlkTtitVjG_F048kZlc8yI0LMoiTGsCqcSQA&amp;_hsmi=226712652&amp;utm_content=226712652&amp;utm_source=hs_email" TargetMode="External"/><Relationship Id="rId2799" Type="http://schemas.openxmlformats.org/officeDocument/2006/relationships/hyperlink" Target="https://www.in.gov/judiciary/opinions/pdf/03062003jsk.pdf" TargetMode="External"/><Relationship Id="rId119" Type="http://schemas.openxmlformats.org/officeDocument/2006/relationships/hyperlink" Target="https://www.wmix94.com/2018/10/11/christopher-woman-found-guilty-of-setting-fire-at-mt-vernon-hotel/" TargetMode="External"/><Relationship Id="rId326" Type="http://schemas.openxmlformats.org/officeDocument/2006/relationships/hyperlink" Target="https://www.supremecourt.gov/opinions/19pdf/18-5924_n6io.pdf" TargetMode="External"/><Relationship Id="rId533" Type="http://schemas.openxmlformats.org/officeDocument/2006/relationships/hyperlink" Target="https://www.delawareonline.com/story/news/local/2016/10/12/injured-wilmington-firefighters-critical-condition/91951672/" TargetMode="External"/><Relationship Id="rId978" Type="http://schemas.openxmlformats.org/officeDocument/2006/relationships/hyperlink" Target="https://law.justia.com/cases/oklahoma/supreme-court/2024/121510.html" TargetMode="External"/><Relationship Id="rId1163" Type="http://schemas.openxmlformats.org/officeDocument/2006/relationships/hyperlink" Target="https://ilcourtsaudio.blob.core.windows.net/antilles-resources/resources/eba608df-6fa9-4d1a-8a11-f48abce29596/City%20of%20Springfield%20v.%20Illinois%20Workers'%20Compensation%20Comm'n,%202022%20IL%20App%20(4th)%20210604WC-U.pdf" TargetMode="External"/><Relationship Id="rId1370" Type="http://schemas.openxmlformats.org/officeDocument/2006/relationships/hyperlink" Target="https://cases.justia.com/federal/district-courts/texas/txsdce/6:2022cv00002/1858056/21/0.pdf?ts=1664555743" TargetMode="External"/><Relationship Id="rId2007" Type="http://schemas.openxmlformats.org/officeDocument/2006/relationships/hyperlink" Target="https://scholar.google.com/scholar_case?case=1228128574784444684&amp;q=Pennsylvania+%22overdose+response%22&amp;hl=en&amp;scisbd=2&amp;as_sdt=6,36&amp;as_ylo=2020" TargetMode="External"/><Relationship Id="rId2214" Type="http://schemas.openxmlformats.org/officeDocument/2006/relationships/hyperlink" Target="https://public.fastcase.com/ZZhmr5v9wN%2FXOe5IsQ%2FqD7GCKb2IB3J54e7ItSmUYP%2BWMLglINdF7XSY%2Fk9VEPoTx4QWBItn6mQ9CDY1KKV2Qj7lzwy8FX40VrBADcTdOUs%3D?utm_medium=email&amp;_hsmi=226712652&amp;_hsenc=p2ANqtz-_DK7zem2LwgE_Zwv-o_RP9UByjQ85WHbLNpM1Ddz9HLFMrLo4_e5BuKmezeF9cnjUjmpRGuKlpbVs2F5114RUdRnDuAQ&amp;utm_content=226712652&amp;utm_source=hs_email" TargetMode="External"/><Relationship Id="rId2659" Type="http://schemas.openxmlformats.org/officeDocument/2006/relationships/hyperlink" Target="https://www.vnews.com/Jonathan-Stone-loses-his-appeal-to-state-supreme-court-to-keep-personnel-records-private-54453646" TargetMode="External"/><Relationship Id="rId2866" Type="http://schemas.openxmlformats.org/officeDocument/2006/relationships/hyperlink" Target="https://www.supremecourt.ohio.gov/rod/docs/pdf/0/2024/2024-Ohio-5174.pdf" TargetMode="External"/><Relationship Id="rId740" Type="http://schemas.openxmlformats.org/officeDocument/2006/relationships/hyperlink" Target="mailto:departmentofhomelandsecurity@messages.dhs.gov" TargetMode="External"/><Relationship Id="rId838" Type="http://schemas.openxmlformats.org/officeDocument/2006/relationships/hyperlink" Target="https://www.law.com/thelegalintelligencer/2019/09/12/court-students-claim-to-want-to-beat-the-record-following-parkland-shooting-was-terroristic-threat/" TargetMode="External"/><Relationship Id="rId1023" Type="http://schemas.openxmlformats.org/officeDocument/2006/relationships/hyperlink" Target="https://casetext.com/case/hicks-v-city-of-ofallon" TargetMode="External"/><Relationship Id="rId1468" Type="http://schemas.openxmlformats.org/officeDocument/2006/relationships/hyperlink" Target="https://public.fastcase.com/Wl%2B2t%2BeVuI35%2FN70vAMFZlbQ%2BrzY3OsVa9hMy3HWGsXkXncgvfLlObTaYTDVckkj" TargetMode="External"/><Relationship Id="rId1675" Type="http://schemas.openxmlformats.org/officeDocument/2006/relationships/hyperlink" Target="https://www.njcourts.gov/system/files/court-opinions/2024/a0448-23.pdf" TargetMode="External"/><Relationship Id="rId1882" Type="http://schemas.openxmlformats.org/officeDocument/2006/relationships/hyperlink" Target="https://casetext.com/case/miller-v-city-of-indianapolis" TargetMode="External"/><Relationship Id="rId2421" Type="http://schemas.openxmlformats.org/officeDocument/2006/relationships/hyperlink" Target="http://business.cch.com/ald/saginawVstat03262019.pdf" TargetMode="External"/><Relationship Id="rId2519" Type="http://schemas.openxmlformats.org/officeDocument/2006/relationships/hyperlink" Target="https://casetext.com/case/abler-v-mayor-of-balt" TargetMode="External"/><Relationship Id="rId2726" Type="http://schemas.openxmlformats.org/officeDocument/2006/relationships/hyperlink" Target="https://casetext.com/case/owens-v-propes" TargetMode="External"/><Relationship Id="rId600" Type="http://schemas.openxmlformats.org/officeDocument/2006/relationships/hyperlink" Target="https://controller.phila.gov/philadelphia-audits/philadelphia-fire-department-department-needs-to-reconsider-its-brownout-rotation-policies/" TargetMode="External"/><Relationship Id="rId1230" Type="http://schemas.openxmlformats.org/officeDocument/2006/relationships/hyperlink" Target="http://codes.ohio.gov/orc/2744.07" TargetMode="External"/><Relationship Id="rId1328" Type="http://schemas.openxmlformats.org/officeDocument/2006/relationships/hyperlink" Target="https://cases.justia.com/federal/district-courts/louisiana/lawdce/5:2018cv00034/160852/18/0.pdf?ts=1532079100" TargetMode="External"/><Relationship Id="rId1535" Type="http://schemas.openxmlformats.org/officeDocument/2006/relationships/hyperlink" Target="https://www.justice.gov/opa/pr/attorney-general-pam-bondi-dismisses-dei-lawsuits-involving-police-officers-and-firefighters" TargetMode="External"/><Relationship Id="rId2933" Type="http://schemas.openxmlformats.org/officeDocument/2006/relationships/hyperlink" Target="http://www.illinoiscourts.gov/Opinions/AppellateCourt/2019/1stDistrict/1172907.pdf" TargetMode="External"/><Relationship Id="rId905" Type="http://schemas.openxmlformats.org/officeDocument/2006/relationships/hyperlink" Target="http://apps.azleg.gov/BillStatus/BillOverview/76770?SessionId=125" TargetMode="External"/><Relationship Id="rId1742" Type="http://schemas.openxmlformats.org/officeDocument/2006/relationships/hyperlink" Target="https://law.resource.org/pub/us/case/reporter/F3/002/2.F3d.1112.92-8306.html" TargetMode="External"/><Relationship Id="rId34" Type="http://schemas.openxmlformats.org/officeDocument/2006/relationships/hyperlink" Target="https://cases.justia.com/north-carolina/supreme-court/2026-101pa24.pdf?ts=1779464497" TargetMode="External"/><Relationship Id="rId1602" Type="http://schemas.openxmlformats.org/officeDocument/2006/relationships/hyperlink" Target="https://www.justice.gov/crt/case-document/file/1419071/download" TargetMode="External"/><Relationship Id="rId183" Type="http://schemas.openxmlformats.org/officeDocument/2006/relationships/hyperlink" Target="https://public.fastcase.com/ZZhmr5v9wN%2FXOe5IsQ%2FqD2w3LkpuglI3nASy1X40hEavWq5Hg6BXuOMAb4Q%2F0qYvRQrnGJSyHTBcFYNZH%2FPWinF4W28EQi7cn4B0%2Besltk8%3D?utm_medium=email&amp;_hsmi=226712652&amp;_hsenc=p2ANqtz--58Ne7SxJ1hr6i-F8FakyHT8npVqzhLBvm91HO15BtcmmyFpQh4X3iW-xWGAEBSVd3N4PHQcOA9a0ODtOxMPf5jkgwuw&amp;utm_content=226712652&amp;utm_source=hs_email" TargetMode="External"/><Relationship Id="rId390" Type="http://schemas.openxmlformats.org/officeDocument/2006/relationships/hyperlink" Target="https://jpr.azcourts.gov/Portals/1/OpinionFiles/Div1/2026/1%20CA-IC%2025-0025%20ADVENTURE%20v.%20KEFFER%20FINAL.pdf?ver=hx0rmccmFEWVVBJi2He9pA%3D%3D" TargetMode="External"/><Relationship Id="rId1907" Type="http://schemas.openxmlformats.org/officeDocument/2006/relationships/hyperlink" Target="https://www.justice.gov/crt/case-document/file/1227366/download" TargetMode="External"/><Relationship Id="rId2071" Type="http://schemas.openxmlformats.org/officeDocument/2006/relationships/hyperlink" Target="https://ilcourtsaudio.blob.core.windows.net/" TargetMode="External"/><Relationship Id="rId250" Type="http://schemas.openxmlformats.org/officeDocument/2006/relationships/hyperlink" Target="https://www.leagle.com/decision/infdco20211108549" TargetMode="External"/><Relationship Id="rId488" Type="http://schemas.openxmlformats.org/officeDocument/2006/relationships/hyperlink" Target="https://public.fastcase.com/H1P9uiW3J20SFp%2BGCG%2BxLbl0r%2FVDwzY9bFFJYqsh2zfJNVHn0JMcdFbkvIZSEaI0?utm_medium=email&amp;_hsmi=226712652&amp;_hsenc=p2ANqtz-8YA_f1AfCb15SVfFtIs0GBJg2UPhrOC0M_f0Fb9rbVagQyKLN71UFoiLhG6tJj5xQri87F989l3qtQXeXvmTCDhcNwWw&amp;utm_content=226712652&amp;utm_source=hs_email" TargetMode="External"/><Relationship Id="rId695" Type="http://schemas.openxmlformats.org/officeDocument/2006/relationships/hyperlink" Target="https://krcrtv.com/news/local/long-awaited-settlement-conference-in-fawn-fire-arson-case-brings-hope-to-victims" TargetMode="External"/><Relationship Id="rId2169" Type="http://schemas.openxmlformats.org/officeDocument/2006/relationships/hyperlink" Target="https://casetext.com/case/vaughn-v-klamath-cnty-fire-dist-no1-1" TargetMode="External"/><Relationship Id="rId2376" Type="http://schemas.openxmlformats.org/officeDocument/2006/relationships/hyperlink" Target="https://courts.illinois.gov/Opinions/SupremeCourt/2020/124610.pdf" TargetMode="External"/><Relationship Id="rId2583" Type="http://schemas.openxmlformats.org/officeDocument/2006/relationships/hyperlink" Target="https://www.orangeobserver.com/news/2024/jun/15/breaking-former-orange-county-fire-rescue-battalion-chief-announces-candidacy-for-county-commission-district-1/" TargetMode="External"/><Relationship Id="rId2790" Type="http://schemas.openxmlformats.org/officeDocument/2006/relationships/hyperlink" Target="https://www.abc4.com/news/justice-files/the-justice-files-a-rape-in-rural-utah/" TargetMode="External"/><Relationship Id="rId110" Type="http://schemas.openxmlformats.org/officeDocument/2006/relationships/hyperlink" Target="https://public.fastcase.com/H1P9uiW3J20SFp%2BGCG%2BxLdyLNTd%2BNZHrq5Wsvr6dKQeFEDZwgsQrm3TmKDWH2%2B1z?utm_medium=email&amp;_hsenc=p2ANqtz--qDncIsqCSeahqkjvoaWhQNyG1yg2f5tRQPi1w8DS9NFdMbI3pDOffIzG2fuU_g9WmDOo8NJeLM9bCUVMHJsMZyGOdjg&amp;_hsmi=226712652&amp;utm_content=226712652&amp;utm_source=hs_email" TargetMode="External"/><Relationship Id="rId348" Type="http://schemas.openxmlformats.org/officeDocument/2006/relationships/hyperlink" Target="https://law.justia.com/cases/new-york/appellate-division-second-department/2019/2017-01910.html" TargetMode="External"/><Relationship Id="rId555" Type="http://schemas.openxmlformats.org/officeDocument/2006/relationships/hyperlink" Target="https://www.14news.com/2021/08/12/supreme-court-wont-stop-indiana-universitys-covid-vaccination-requirement/" TargetMode="External"/><Relationship Id="rId762" Type="http://schemas.openxmlformats.org/officeDocument/2006/relationships/hyperlink" Target="https://www.thestate.com/news/local/crime/article253733108.html" TargetMode="External"/><Relationship Id="rId1185" Type="http://schemas.openxmlformats.org/officeDocument/2006/relationships/hyperlink" Target="https://codes.ohio.gov/ohio-revised-code/section-4123.68" TargetMode="External"/><Relationship Id="rId1392" Type="http://schemas.openxmlformats.org/officeDocument/2006/relationships/hyperlink" Target="https://codes.ohio.gov/ohio-revised-code/section-4112.021" TargetMode="External"/><Relationship Id="rId2029" Type="http://schemas.openxmlformats.org/officeDocument/2006/relationships/hyperlink" Target="https://supreme.justia.com/cases/federal/us/470/532/" TargetMode="External"/><Relationship Id="rId2236" Type="http://schemas.openxmlformats.org/officeDocument/2006/relationships/hyperlink" Target="https://www.courts.wa.gov/opinions/pdf/1001002.pdf" TargetMode="External"/><Relationship Id="rId2443" Type="http://schemas.openxmlformats.org/officeDocument/2006/relationships/hyperlink" Target="https://www.law.cornell.edu/rules/frcp/rule_26" TargetMode="External"/><Relationship Id="rId2650" Type="http://schemas.openxmlformats.org/officeDocument/2006/relationships/hyperlink" Target="https://www.nj.gov/csc/about/meetings/decisions/pdf/2023/01-18-23/A005%20TAYAG-KOSKY%20JOHN.pdf" TargetMode="External"/><Relationship Id="rId2888" Type="http://schemas.openxmlformats.org/officeDocument/2006/relationships/hyperlink" Target="https://law.justia.com/cases/federal/district-courts/virginia/vawdce/6:2021cv00025/122367/36/" TargetMode="External"/><Relationship Id="rId208" Type="http://schemas.openxmlformats.org/officeDocument/2006/relationships/hyperlink" Target="https://www.sccourts.org/opinions//unpublishedopinions/HTMLFiles/COA/2023-UP-014.pdf" TargetMode="External"/><Relationship Id="rId415" Type="http://schemas.openxmlformats.org/officeDocument/2006/relationships/hyperlink" Target="https://cases.justia.com/federal/district-courts/montana/mtdce/2:2025cv00036/80451/160/0.pdf?ts=1768305911" TargetMode="External"/><Relationship Id="rId622" Type="http://schemas.openxmlformats.org/officeDocument/2006/relationships/hyperlink" Target="http://www.ca4.uscourts.gov/Opinions/171419.U.pdf" TargetMode="External"/><Relationship Id="rId1045" Type="http://schemas.openxmlformats.org/officeDocument/2006/relationships/hyperlink" Target="https://codes.ohio.gov/ohio-revised-code/section-109.578" TargetMode="External"/><Relationship Id="rId1252" Type="http://schemas.openxmlformats.org/officeDocument/2006/relationships/hyperlink" Target="https://public.fastcase.com/Wl%2B2t%2BeVuI35%2FN70vAMFZjoMXHbjadZDEq7kSjk%2BwtWPLJ9YZycRPzxEYilorv6v" TargetMode="External"/><Relationship Id="rId1697" Type="http://schemas.openxmlformats.org/officeDocument/2006/relationships/hyperlink" Target="https://public.fastcase.com/ZZhmr5v9wN%2FXOe5IsQ%2FqD3krOQsYv7d%2B2FRanieXHrmbYJPE10W29y6OT9Ia%2FWEvM783GCgc1J%2FsNiq8x9hdfsWhS9nPoC1uzPRzllCUOIc%3D?utm_medium=email&amp;_hsmi=226712652&amp;_hsenc=p2ANqtz-8spF1R7Tf8jpK24zY2dxus9kZGwVA1F9Ooj2BZLJ_FR6fOEX3itYzYoKF0bR9AZ1zkqCBHaC-K0F7fdoWy1HLEeYJb6g&amp;utm_content=226712652&amp;utm_source=hs_email" TargetMode="External"/><Relationship Id="rId2303" Type="http://schemas.openxmlformats.org/officeDocument/2006/relationships/hyperlink" Target="https://www.ca4.uscourts.gov/Opinions/201906.U.pdf" TargetMode="External"/><Relationship Id="rId2510" Type="http://schemas.openxmlformats.org/officeDocument/2006/relationships/hyperlink" Target="https://storage.courtlistener.com/recap/gov.uscourts.flmd.392068/gov.uscourts.flmd.392068.43.0.pdf" TargetMode="External"/><Relationship Id="rId2748" Type="http://schemas.openxmlformats.org/officeDocument/2006/relationships/hyperlink" Target="https://www.cleveland19.com/2020/01/26/year-old-woman-loses-life-after-house-goes-up-flames-clevelands-west-side-adults-children-safely-out/" TargetMode="External"/><Relationship Id="rId2955" Type="http://schemas.openxmlformats.org/officeDocument/2006/relationships/hyperlink" Target="https://www.muscalaw.com/blog/understanding-floridas-new-halo-law-and-its-impact-first-amendment-rights" TargetMode="External"/><Relationship Id="rId927" Type="http://schemas.openxmlformats.org/officeDocument/2006/relationships/hyperlink" Target="https://ad4.nycourts.gov/njs/term/argument/calendar?date=2021-05-27T00:00:00.000Z&amp;venue=1&amp;calnbr=633" TargetMode="External"/><Relationship Id="rId1112" Type="http://schemas.openxmlformats.org/officeDocument/2006/relationships/hyperlink" Target="https://codes.ohio.gov/ohio-revised-code/section-4123.68" TargetMode="External"/><Relationship Id="rId1557" Type="http://schemas.openxmlformats.org/officeDocument/2006/relationships/hyperlink" Target="https://casetext.com/case/potter-v-district-of-columbia-2" TargetMode="External"/><Relationship Id="rId1764" Type="http://schemas.openxmlformats.org/officeDocument/2006/relationships/hyperlink" Target="http://chicagoareafire.com/blog/tag/argonne-national-laboratory-fire-department/" TargetMode="External"/><Relationship Id="rId1971" Type="http://schemas.openxmlformats.org/officeDocument/2006/relationships/hyperlink" Target="https://oag.ca.gov/system/files/attachments/press-docs/Mediator%27s%20Fourth%20Interim%20Report.pdf" TargetMode="External"/><Relationship Id="rId2608" Type="http://schemas.openxmlformats.org/officeDocument/2006/relationships/hyperlink" Target="https://public.fastcase.com/jaEE2PXzRXmZ99jOLMt1Ilcjd44wj1gOUELzUZUXmDmbuUsOiVZitmDUzsj9wpOSz4ErC%2Bb83%2Bac%2Bxbf2Y5XWbaFtY83bMRM%2FnYjCn7PkRA%3D?utm_medium=email&amp;_hsenc=p2ANqtz-_fx1n9_ms4yphjYB4YK1tT4ojMXKWZyFtyDBkZEK1fupUD4WQ_rkXhMfyPQZmyXGwaNXHPYYCETcsN16Fd9R-eiG6PHw&amp;_hsmi=226712652&amp;utm_content=226712652&amp;utm_source=hs_email" TargetMode="External"/><Relationship Id="rId2815" Type="http://schemas.openxmlformats.org/officeDocument/2006/relationships/hyperlink" Target="https://cases.justia.com/texas/ninth-court-of-appeals/2019-09-18-00407-cv-0.pdf?ts=1570180546" TargetMode="External"/><Relationship Id="rId56" Type="http://schemas.openxmlformats.org/officeDocument/2006/relationships/hyperlink" Target="https://public.fastcase.com/jaEE2PXzRXmZ99jOLMt1Io7YtJZzhGRSpWTaEU5VEs33%2BTg9rUAoQurxZOT9gqkAJFaugLm9Mxx2CSeMl9vD0%2FrzAe6H5F%2F5zH2a3krjQxc%3D?utm_medium=email&amp;_hsenc=p2ANqtz--xi3xhqQTQTPjw8tThXPxla5fboNp_lyjnL-u37viXN8Zx1O-9U8osPNb7oBpn1RZ6w4oAGvXBZvBP5z9zhZ_Qvufy4w&amp;_hsmi=226712652&amp;utm_content=226712652&amp;utm_source=hs_email" TargetMode="External"/><Relationship Id="rId1417" Type="http://schemas.openxmlformats.org/officeDocument/2006/relationships/hyperlink" Target="https://casetext.com/case/merrill-v-lane-fire-auth-1" TargetMode="External"/><Relationship Id="rId1624" Type="http://schemas.openxmlformats.org/officeDocument/2006/relationships/hyperlink" Target="https://casetext.com/case/murray-v-city-of-warren-1" TargetMode="External"/><Relationship Id="rId1831" Type="http://schemas.openxmlformats.org/officeDocument/2006/relationships/hyperlink" Target="https://www.dol.gov/newsroom/releases/whd/whd20230524-0" TargetMode="External"/><Relationship Id="rId1929" Type="http://schemas.openxmlformats.org/officeDocument/2006/relationships/hyperlink" Target="https://mgaleg.maryland.gov/mgawebsite/Legislation/Details/sb0439/?ys=2026rs" TargetMode="External"/><Relationship Id="rId2093" Type="http://schemas.openxmlformats.org/officeDocument/2006/relationships/hyperlink" Target="https://www.courts.wa.gov/opinions/pdf/862057.pdf" TargetMode="External"/><Relationship Id="rId2398" Type="http://schemas.openxmlformats.org/officeDocument/2006/relationships/hyperlink" Target="https://casetext.com/case/didonato-v-panatera" TargetMode="External"/><Relationship Id="rId272" Type="http://schemas.openxmlformats.org/officeDocument/2006/relationships/hyperlink" Target="https://www.npr.org/2021/03/25/981297231/supreme-court-dips-gingerly-into-roiling-police-misconduct-waters" TargetMode="External"/><Relationship Id="rId577" Type="http://schemas.openxmlformats.org/officeDocument/2006/relationships/hyperlink" Target="https://fox13now.com/2019/09/11/family-of-fallen-draper-firefighter-suing-state-of-california-for-wrongful-death/" TargetMode="External"/><Relationship Id="rId2160" Type="http://schemas.openxmlformats.org/officeDocument/2006/relationships/hyperlink" Target="https://www.courts.maine.gov/courts/sjc/lawcourt/2024/24me030.pdf" TargetMode="External"/><Relationship Id="rId2258" Type="http://schemas.openxmlformats.org/officeDocument/2006/relationships/hyperlink" Target="https://public.fastcase.com/J%2FJP6pdidelsXxEE4k%2BLMlnZT9Hwtbb0RSX5AXtKQie%2FaJxcYuONay3v%2BauGycaLZPl2uZFZiVR3n7gLzEpChzWsXN2J3yktMkRz%2BOu%2BxAQ%3D" TargetMode="External"/><Relationship Id="rId3004" Type="http://schemas.openxmlformats.org/officeDocument/2006/relationships/hyperlink" Target="https://services.courts.state.wy.us/Documents/Opinions/2018WY75.pdf" TargetMode="External"/><Relationship Id="rId132" Type="http://schemas.openxmlformats.org/officeDocument/2006/relationships/hyperlink" Target="https://www.law.cornell.edu/wex/res_gestae" TargetMode="External"/><Relationship Id="rId784" Type="http://schemas.openxmlformats.org/officeDocument/2006/relationships/hyperlink" Target="https://www.law.cornell.edu/uscode/text/8/1229b" TargetMode="External"/><Relationship Id="rId991" Type="http://schemas.openxmlformats.org/officeDocument/2006/relationships/hyperlink" Target="https://codes.ohio.gov/ohio-revised-code/section-4511.03" TargetMode="External"/><Relationship Id="rId1067" Type="http://schemas.openxmlformats.org/officeDocument/2006/relationships/hyperlink" Target="https://ilcourtsaudio.blob.core.windows.net/antilles-resources/resources/f07642b7-1e8b-438e-bd0d-cfbc858fbc9b/Witteman%20v.%20Brookfield%20Firefighters%20Pension%20Fund%202025%20IL%20App%20(1st)%20241278.pdf" TargetMode="External"/><Relationship Id="rId2020" Type="http://schemas.openxmlformats.org/officeDocument/2006/relationships/hyperlink" Target="https://cases.justia.com/federal/district-courts/ohio/ohndce/1:2024cv01780/310775/29/0.pdf?ts=1786388028" TargetMode="External"/><Relationship Id="rId2465" Type="http://schemas.openxmlformats.org/officeDocument/2006/relationships/hyperlink" Target="https://cases.justia.com/federal/district-courts/kentucky/kyedce/5:2024cv00129/104855/29/0.pdf?ts=1778093974" TargetMode="External"/><Relationship Id="rId2672" Type="http://schemas.openxmlformats.org/officeDocument/2006/relationships/hyperlink" Target="https://midmichigannow.com/news/local/judge-rules-lawsuit-filed-by-former-fire-chief-against-flint-mayor-can-continue" TargetMode="External"/><Relationship Id="rId437" Type="http://schemas.openxmlformats.org/officeDocument/2006/relationships/hyperlink" Target="https://cases.justia.com/federal/district-courts/kentucky/kyedce/6:2024cv00173/106630/18/0.pdf?ts=1750154108" TargetMode="External"/><Relationship Id="rId644" Type="http://schemas.openxmlformats.org/officeDocument/2006/relationships/hyperlink" Target="https://public.fastcase.com/Jhe1Qn%2BmJndQYQU6z%2FeNm525CuDWbNdyVkYCPMsZ0T5YpmzSSkpneXijYslIbSF5OmudrAoxw3Ae8PMhEMNZsP67fNH%2FZ%2FwnrBtLVmm5SAU%3D?utm_medium=email&amp;_hsenc=p2ANqtz-9semzM2ZQJ5MEhp_UWNRAg9Ejc_wupFqaRucLy6fQyzUPCHHSZ-OwHACqIjxggJtdwV9jTjO8a6Rf4TL88Oco6y4mJgQ&amp;_hsmi=226712652&amp;utm_content=226712652&amp;utm_source=hs_email" TargetMode="External"/><Relationship Id="rId851" Type="http://schemas.openxmlformats.org/officeDocument/2006/relationships/hyperlink" Target="http://www.paed.uscourts.gov/documents/opinions/18D0391P.pdf" TargetMode="External"/><Relationship Id="rId1274" Type="http://schemas.openxmlformats.org/officeDocument/2006/relationships/hyperlink" Target="http://lawfilesext.leg.wa.gov/biennium/2019-20/Pdf/Bills/Session%20Laws/House/1913.SL.pdf?cite=2019%20c%20133%20%C2%A7%201" TargetMode="External"/><Relationship Id="rId1481" Type="http://schemas.openxmlformats.org/officeDocument/2006/relationships/hyperlink" Target="https://casetext.com/case/benson-v-city-of-lincoln" TargetMode="External"/><Relationship Id="rId1579" Type="http://schemas.openxmlformats.org/officeDocument/2006/relationships/hyperlink" Target="https://public.fastcase.com/J%2FJP6pdidelsXxEE4k%2BLMlZWglMtowNFAELJodU5Ey8OhOeImHtUqedyG3gviX1KHWia8kZp1W6BpRYSHWWuxJPhh3XCqhBA0xYwY8ImSqA%3D?utm_medium=email&amp;_hsmi=226712652&amp;_hsenc=p2ANqtz-8Opm8993SGrvNEYVYffjIdnWwQ_39Y6IGa88rGJPHsNdF2T_bOfK_XBqNF_9dQMkZM8ini867XF3tJMXcIH4Ec_0OJdg&amp;utm_content=226712652&amp;utm_source=hs_email" TargetMode="External"/><Relationship Id="rId2118" Type="http://schemas.openxmlformats.org/officeDocument/2006/relationships/hyperlink" Target="https://casetext.com/statute/general-laws-of-massachusetts/part-i-administration-of-the-government/title-xxi-labor-and-industries/chapter-149-labor-and-industries/section-149187-health-care-providers-protection-from-retaliatory-action-by-health-care-facilities" TargetMode="External"/><Relationship Id="rId2325" Type="http://schemas.openxmlformats.org/officeDocument/2006/relationships/hyperlink" Target="https://law.justia.com/codes/west-virginia/2017/chapter-55/article-7b/section-55-7b-6/" TargetMode="External"/><Relationship Id="rId2532" Type="http://schemas.openxmlformats.org/officeDocument/2006/relationships/hyperlink" Target="https://search-prod.lis.state.oh.us/solarapi/v1/general_assembly_133/bills/hb308/EN/06?format=pdf" TargetMode="External"/><Relationship Id="rId2977" Type="http://schemas.openxmlformats.org/officeDocument/2006/relationships/hyperlink" Target="https://www.courts.michigan.gov/4a7b7c/siteassets/case-documents/uploads/sct/public/orders/166885_47_01.pdf" TargetMode="External"/><Relationship Id="rId504" Type="http://schemas.openxmlformats.org/officeDocument/2006/relationships/hyperlink" Target="https://apps.usfa.fema.gov/firefighter-fatalities/fatalityData/detail?fatalityId=4784" TargetMode="External"/><Relationship Id="rId711" Type="http://schemas.openxmlformats.org/officeDocument/2006/relationships/hyperlink" Target="https://research.wisc.edu/uncategorized/2023/07/13/federal-interim-rule-implements-tiktok-ban-on-devices-used-in-the-performance-of-federal-contracts/" TargetMode="External"/><Relationship Id="rId949" Type="http://schemas.openxmlformats.org/officeDocument/2006/relationships/hyperlink" Target="https://cases.justia.com/texas/fourteenth-court-of-appeals/2026-14-25-00343-cv.pdf?ts=1782834443" TargetMode="External"/><Relationship Id="rId1134" Type="http://schemas.openxmlformats.org/officeDocument/2006/relationships/hyperlink" Target="https://public.fastcase.com/ZZhmr5v9wN%2FXOe5IsQ%2FqD%2FaLdDTUZ9Bp4i3kiVRF7d97YDP9rIPdBi21RNkcNkR5tUpl7J0i2aSQMqXbficIjpy79lKVHToNjy22tiJ4vWE%3D?utm_medium=email&amp;_hsmi=226712652&amp;_hsenc=p2ANqtz-9MD5NcRenWzxZK3r0B0IWrLCE0j3XNAkXqR3ZxFb7wcv_xjopQQNgTmJWg80Fq-GGoAscEcs0qRLFtSd9eSgTH9vCqyg&amp;utm_content=226712652&amp;utm_source=hs_email" TargetMode="External"/><Relationship Id="rId1341" Type="http://schemas.openxmlformats.org/officeDocument/2006/relationships/hyperlink" Target="file:///C:/Users/lawre/AppData/Local/Microsoft/Windows/INetCache/IE/CTCRXJ99/0788s16.pdf" TargetMode="External"/><Relationship Id="rId1786" Type="http://schemas.openxmlformats.org/officeDocument/2006/relationships/hyperlink" Target="https://www.opn.ca6.uscourts.gov/opinions.pdf/19a0114p-06.pdf" TargetMode="External"/><Relationship Id="rId1993" Type="http://schemas.openxmlformats.org/officeDocument/2006/relationships/hyperlink" Target="https://public.fastcase.com/9SKwsfNqTc6OieYDhNMyM8QDIumtbytcTIYRS7vEe0pQ3%2BAszz%2FAIWxBBPTdhGkJW%2FsZnkZT639gd%2FCKUheamGpg8tPb2WiD4LZsCmDtik8%3D" TargetMode="External"/><Relationship Id="rId2837" Type="http://schemas.openxmlformats.org/officeDocument/2006/relationships/hyperlink" Target="https://d.docs.live.net/bd9b2eaf6053242e/AppData/Roaming/Microsoft/AppData/Local/Microsoft/Windows/INetCache/IE/NZ9VF3P4/Christian-Firefighter.pdf" TargetMode="External"/><Relationship Id="rId78" Type="http://schemas.openxmlformats.org/officeDocument/2006/relationships/hyperlink" Target="https://cases.justia.com/federal/district-courts/massachusetts/madce/1:2025mc91106/281992/17/0.pdf?ts=1747471889" TargetMode="External"/><Relationship Id="rId809" Type="http://schemas.openxmlformats.org/officeDocument/2006/relationships/hyperlink" Target="https://www.govinfo.gov/content/pkg/FR-2020-08-13/pdf/2020-17468.pdf" TargetMode="External"/><Relationship Id="rId1201" Type="http://schemas.openxmlformats.org/officeDocument/2006/relationships/hyperlink" Target="https://wcc.state.ct.us/law/rel-stat/2009/7-314a.htm" TargetMode="External"/><Relationship Id="rId1439" Type="http://schemas.openxmlformats.org/officeDocument/2006/relationships/hyperlink" Target="https://journalstar.com/news/local/crime-and-courts/federal-judge-denies-request-for-injunction-independent-review-in-firefights-lawsuit/article_57be96fb-75f1-5b57-90b3-87e7c60cfb50.html" TargetMode="External"/><Relationship Id="rId1646" Type="http://schemas.openxmlformats.org/officeDocument/2006/relationships/hyperlink" Target="https://law.justia.com/cases/federal/district-courts/maryland/mddce/1:2024cv03292/571304/36/" TargetMode="External"/><Relationship Id="rId1853" Type="http://schemas.openxmlformats.org/officeDocument/2006/relationships/hyperlink" Target="https://www.law.cornell.edu/definitions/uscode.php?width=840&amp;height=800&amp;iframe=true&amp;def_id=29-USC-3641640-1968318500&amp;term_occur=999&amp;term_src=title:29:chapter:9:section:260" TargetMode="External"/><Relationship Id="rId2904" Type="http://schemas.openxmlformats.org/officeDocument/2006/relationships/hyperlink" Target="https://public.fastcase.com/J%2FJP6pdidelsXxEE4k%2BLMtVWis%2BjrVT91gBFG4uyJWEPcpNLWXxLmz%2FQC7BVJHEFVVKmRnSKx2JFHo6ASClx4LYOJwrUPHRSA%2B3C21y5uNo%3D?utm_medium=email&amp;_hsmi=226712652&amp;_hsenc=p2ANqtz-_Z7uUMGtz89TwJ8h7fDGtfvV3sIYognKNnX4gprWQ41uEM6WKF6eTc5YmYCWiY12JCxBXlLKEbrm5nDUGgSrncCZSdVg&amp;utm_content=226712652&amp;utm_source=hs_email" TargetMode="External"/><Relationship Id="rId1506" Type="http://schemas.openxmlformats.org/officeDocument/2006/relationships/hyperlink" Target="https://cases.justia.com/federal/appellate-courts/ca6/25-3700/25-3700-2026-06-15.pdf?ts=1781553648" TargetMode="External"/><Relationship Id="rId1713" Type="http://schemas.openxmlformats.org/officeDocument/2006/relationships/hyperlink" Target="https://public.fastcase.com/J%2FJP6pdidelsXxEE4k%2BLMidRzLaU3lxo2K4zeZ9a%2B%2Fta152zlny6vY4eG3S7CjdliNR92Qo6%2FTtAP%2FPl4klE6l7lrfhMF2W%2BjlSvdCQeS50%3D?utm_medium=email&amp;_hsmi=226712652&amp;_hsenc=p2ANqtz-_s5_cAHUvs_hrwWV9wgyTdwJuYKaiZto7jMWtL6vDykRwEZ1Wuy9IDC9088xTRtPn7fskJqvzz7SBtC6Rp8cJAGJmTVA&amp;utm_content=226712652&amp;utm_source=hs_email" TargetMode="External"/><Relationship Id="rId1920" Type="http://schemas.openxmlformats.org/officeDocument/2006/relationships/hyperlink" Target="https://law.justia.com/cases/federal/district-courts/new-york/nysdce/1:2013cv01015/407972/168/" TargetMode="External"/><Relationship Id="rId294" Type="http://schemas.openxmlformats.org/officeDocument/2006/relationships/hyperlink" Target="http://decisions.courts.state.ny.us/ad3/Decisions/2020/530081.pdf" TargetMode="External"/><Relationship Id="rId2182" Type="http://schemas.openxmlformats.org/officeDocument/2006/relationships/hyperlink" Target="https://cases.justia.com/minnesota/court-of-appeals/2024-a23-1210.pdf?ts=1710536669" TargetMode="External"/><Relationship Id="rId154" Type="http://schemas.openxmlformats.org/officeDocument/2006/relationships/hyperlink" Target="https://haderhvac.com/blog/rv-hvac-absorption-refrigeration/" TargetMode="External"/><Relationship Id="rId361" Type="http://schemas.openxmlformats.org/officeDocument/2006/relationships/hyperlink" Target="https://cases.justia.com/kentucky/supreme-court/2018-2018-sc-000097-tg.pdf?ts=1542294839" TargetMode="External"/><Relationship Id="rId599" Type="http://schemas.openxmlformats.org/officeDocument/2006/relationships/hyperlink" Target="https://www.cdc.gov/niosh/fire/pdfs/face201618.pdf" TargetMode="External"/><Relationship Id="rId2042" Type="http://schemas.openxmlformats.org/officeDocument/2006/relationships/hyperlink" Target="https://cases.justia.com/tennessee/court-of-appeals/2026-m2025-00288-coa-r3-cv.pdf?ts=1779919242" TargetMode="External"/><Relationship Id="rId2487" Type="http://schemas.openxmlformats.org/officeDocument/2006/relationships/hyperlink" Target="https://cases.justia.com/arizona/court-of-appeals-division-one-unpublished/2024-1-ca-ic-23-0013.pdf?ts=1727375455" TargetMode="External"/><Relationship Id="rId2694" Type="http://schemas.openxmlformats.org/officeDocument/2006/relationships/hyperlink" Target="https://law.justia.com/cases/florida/third-district-court-of-appeal/2022/3d21-2413.html" TargetMode="External"/><Relationship Id="rId459" Type="http://schemas.openxmlformats.org/officeDocument/2006/relationships/hyperlink" Target="https://cases.justia.com/new-york/other-courts/2024-2024-ny-slip-op-33987-u.pdf?ts=1731644847" TargetMode="External"/><Relationship Id="rId666" Type="http://schemas.openxmlformats.org/officeDocument/2006/relationships/hyperlink" Target="https://news.wttw.com/2025/10/16/appeals-court-upholds-federal-judge-s-temporary-order-blocking-national-guard-deployment" TargetMode="External"/><Relationship Id="rId873" Type="http://schemas.openxmlformats.org/officeDocument/2006/relationships/hyperlink" Target="https://www.fireengineering.com/firefighting/lawsuit-against-mi-firefighters-who-issued-all-clear-at-fatal-fire-can-continue/?utm_source=fe_daily_newsletter&amp;utm_medium=email&amp;utm_campaign" TargetMode="External"/><Relationship Id="rId1089" Type="http://schemas.openxmlformats.org/officeDocument/2006/relationships/hyperlink" Target="https://ilcourtsaudio.blob.core.windows.net/antilles-resources/resources/09ac8ced-f502-4e22-9f67-a03c9e14d801/Ford%20v.%20Village%20of%20Northbrook,%202025%20IL%20App%20(1st)%20231952-U.pdf" TargetMode="External"/><Relationship Id="rId1296" Type="http://schemas.openxmlformats.org/officeDocument/2006/relationships/hyperlink" Target="http://www.fifthcircuit.org/dmzdocs/OI/PO/2020/54FCDF86-AA62-4720-B56D-B5FDC85663B0.pdf" TargetMode="External"/><Relationship Id="rId2347" Type="http://schemas.openxmlformats.org/officeDocument/2006/relationships/hyperlink" Target="https://www.aele.org/law/Digests/civil168b.html" TargetMode="External"/><Relationship Id="rId2554" Type="http://schemas.openxmlformats.org/officeDocument/2006/relationships/hyperlink" Target="https://leginfo.legislature.ca.gov/faces/codes_displaySection.xhtml?lawCode=LAB&amp;sectionNum=1102.5" TargetMode="External"/><Relationship Id="rId2999" Type="http://schemas.openxmlformats.org/officeDocument/2006/relationships/hyperlink" Target="https://www.wkbn.com/news/coronavirus/dewine-signs-law-giving-covid-19-lawsuit-immunity/" TargetMode="External"/><Relationship Id="rId221" Type="http://schemas.openxmlformats.org/officeDocument/2006/relationships/hyperlink" Target="https://casetext.com/case/the-vill-of-downers-grove-v-vill-square-iii-condo-assn" TargetMode="External"/><Relationship Id="rId319" Type="http://schemas.openxmlformats.org/officeDocument/2006/relationships/hyperlink" Target="https://www.photoshopessentials.com/photo-effects/copyright/" TargetMode="External"/><Relationship Id="rId526" Type="http://schemas.openxmlformats.org/officeDocument/2006/relationships/hyperlink" Target="https://www.merckmanuals.com/professional/dermatologic-disorders/hair-disorders/pseudofolliculitis-barbae" TargetMode="External"/><Relationship Id="rId1156" Type="http://schemas.openxmlformats.org/officeDocument/2006/relationships/hyperlink" Target="https://casetext.com/case/coaxum-v-bd-of-trs" TargetMode="External"/><Relationship Id="rId1363" Type="http://schemas.openxmlformats.org/officeDocument/2006/relationships/hyperlink" Target="https://ktul.com/resources/pdf/dc103f10-071a-4876-bf70-774bb3ddb220-HurtLynnv.COTSummaryJudgmentDecision.pdf" TargetMode="External"/><Relationship Id="rId2207" Type="http://schemas.openxmlformats.org/officeDocument/2006/relationships/hyperlink" Target="https://cases.justia.com/kentucky/court-of-appeals/2023-2022-ca-1113-mr.pdf?ts=1697205894" TargetMode="External"/><Relationship Id="rId2761" Type="http://schemas.openxmlformats.org/officeDocument/2006/relationships/hyperlink" Target="http://masscases.com/cases/app/82/82massappct623.html" TargetMode="External"/><Relationship Id="rId2859" Type="http://schemas.openxmlformats.org/officeDocument/2006/relationships/hyperlink" Target="https://insideinvestigator.org/court-upholds-finding-of-retaliation-against-suffield-firefighter/" TargetMode="External"/><Relationship Id="rId733" Type="http://schemas.openxmlformats.org/officeDocument/2006/relationships/hyperlink" Target="https://www.supremecourt.gov/opinions/22pdf/22a557_0pm1.pdf" TargetMode="External"/><Relationship Id="rId940" Type="http://schemas.openxmlformats.org/officeDocument/2006/relationships/hyperlink" Target="https://www.courts.state.md.us/sites/default/files/unreported-opinions/0614s19.pdf" TargetMode="External"/><Relationship Id="rId1016" Type="http://schemas.openxmlformats.org/officeDocument/2006/relationships/hyperlink" Target="http://www.nycourts.gov/courts/AD2/Handdowns/2020/Decisions/D63290.pdf" TargetMode="External"/><Relationship Id="rId1570" Type="http://schemas.openxmlformats.org/officeDocument/2006/relationships/hyperlink" Target="https://www.iafc.org/membership/iCHIEFS/iCHIEFS-article/department-of-justice-consent-decrees-and-the-fire-service" TargetMode="External"/><Relationship Id="rId1668" Type="http://schemas.openxmlformats.org/officeDocument/2006/relationships/hyperlink" Target="https://cases.justia.com/federal/appellate-courts/ca11/24-12910/24-12910-2025-06-23.pdf?ts=1750690858" TargetMode="External"/><Relationship Id="rId1875" Type="http://schemas.openxmlformats.org/officeDocument/2006/relationships/hyperlink" Target="https://www.justice.gov/servicemembers/other-resources" TargetMode="External"/><Relationship Id="rId2414" Type="http://schemas.openxmlformats.org/officeDocument/2006/relationships/hyperlink" Target="https://assets.documentcloud.org/documents/3933644/Order-Granting-Summary-Judgment.pdf" TargetMode="External"/><Relationship Id="rId2621" Type="http://schemas.openxmlformats.org/officeDocument/2006/relationships/hyperlink" Target="https://supreme.justia.com/cases/federal/us/470/532/" TargetMode="External"/><Relationship Id="rId2719" Type="http://schemas.openxmlformats.org/officeDocument/2006/relationships/hyperlink" Target="https://public.fastcase.com/J%2FJP6pdidelsXxEE4k%2BLMrj3s4T1D9o6YeH1P6QHRjfPwtPh7UBJw6%2FlyLsxvHVQo4RL4odtX24b6W6EIP3%2BuhoyWwf2ZSyK36dgjdjOjEg%3D" TargetMode="External"/><Relationship Id="rId800" Type="http://schemas.openxmlformats.org/officeDocument/2006/relationships/hyperlink" Target="https://fas.org/sgp/crs/intel/RL32276.pdf" TargetMode="External"/><Relationship Id="rId1223" Type="http://schemas.openxmlformats.org/officeDocument/2006/relationships/hyperlink" Target="https://cbcny.org/research/pension-reform-firefighters-will-not-be-running-burning-buildings-age-65" TargetMode="External"/><Relationship Id="rId1430" Type="http://schemas.openxmlformats.org/officeDocument/2006/relationships/hyperlink" Target="https://casetext.com/case/molchan-v-delmar-fire-dept-1" TargetMode="External"/><Relationship Id="rId1528" Type="http://schemas.openxmlformats.org/officeDocument/2006/relationships/hyperlink" Target="https://cases.justia.com/federal/appellate-courts/ca5/24-40626/24-40626-2025-05-01.pdf?ts=1746120629" TargetMode="External"/><Relationship Id="rId2926" Type="http://schemas.openxmlformats.org/officeDocument/2006/relationships/hyperlink" Target="https://perb.delaware.gov/wp-content/uploads/sites/127/2021/07/2020-0765-Order-of-reversal-and-remand-6-28-21-website.pdf" TargetMode="External"/><Relationship Id="rId1735" Type="http://schemas.openxmlformats.org/officeDocument/2006/relationships/hyperlink" Target="https://public.fastcase.com/Wl%2B2t%2BeVuI35%2FN70vAMFZhmmbLojT%2FvpqyhULz0IXhVnEOLZ3Ga%2BMf6ctA4VMmca" TargetMode="External"/><Relationship Id="rId1942" Type="http://schemas.openxmlformats.org/officeDocument/2006/relationships/hyperlink" Target="https://public.fastcase.com/jaEE2PXzRXmZ99jOLMt1It2Tjmgxo5hSPIplN9zr2RKL3xaZLK1Vh5eTa9w8Wk8pfXZv57sP%2BSheWcKHfFgy9Ah5Ev5ZnvIAKgdp6Yn%2FiQI%3D?utm_medium=email&amp;_hsenc=p2ANqtz-_xr08pWLevFeFI8Ge2XvipIP7qRBaDeRzA2aeNOeAMxf3drkc7WBb-blscAE4MgKHVvRlF4GyH0W6s2eAyYhQEv9ZP9w&amp;_hsmi=226712652&amp;utm_content=226712652&amp;utm_source=hs_email" TargetMode="External"/><Relationship Id="rId27" Type="http://schemas.openxmlformats.org/officeDocument/2006/relationships/hyperlink" Target="https://www.supremecourt.gov/opinions/25pdf/25-112_0am4.pdf" TargetMode="External"/><Relationship Id="rId1802" Type="http://schemas.openxmlformats.org/officeDocument/2006/relationships/hyperlink" Target="https://www.supremecourt.gov/opinions/24pdf/23-217_9o6b.pdf" TargetMode="External"/><Relationship Id="rId176" Type="http://schemas.openxmlformats.org/officeDocument/2006/relationships/hyperlink" Target="https://www.law.cornell.edu/rules/fre/rule_702" TargetMode="External"/><Relationship Id="rId383" Type="http://schemas.openxmlformats.org/officeDocument/2006/relationships/hyperlink" Target="https://casetext.com/case/banske-v-city-of-calumet-city" TargetMode="External"/><Relationship Id="rId590" Type="http://schemas.openxmlformats.org/officeDocument/2006/relationships/hyperlink" Target="https://www.aclu.org/sites/default/files/field_document/mckesson_v_doe_cert_petn_and_appendix.pdf" TargetMode="External"/><Relationship Id="rId2064" Type="http://schemas.openxmlformats.org/officeDocument/2006/relationships/hyperlink" Target="https://law.justia.com/cases/new-york/appellate-division-third-department/2026/cv-24-1117-cv-25-0151.html" TargetMode="External"/><Relationship Id="rId2271" Type="http://schemas.openxmlformats.org/officeDocument/2006/relationships/hyperlink" Target="https://public.fastcase.com/waZtJvSA54UAurM2rmIZz3GImxM8vVu83JjC1hitqCF6J52x3NFj71FjQLuzCLQnmvBPUszpB78vzjnxu9to%2Fq0ClMx7mkWBtvY01d0uDxg%3D" TargetMode="External"/><Relationship Id="rId243" Type="http://schemas.openxmlformats.org/officeDocument/2006/relationships/hyperlink" Target="https://www.mainelegislature.org/legis/statutes/17/title17sec2851.html" TargetMode="External"/><Relationship Id="rId450" Type="http://schemas.openxmlformats.org/officeDocument/2006/relationships/hyperlink" Target="https://www.pacourts.us/assets/opinions/Superior/out/J-A11020-24m%20-%20106209941292398313.pdf?cb=1" TargetMode="External"/><Relationship Id="rId688" Type="http://schemas.openxmlformats.org/officeDocument/2006/relationships/hyperlink" Target="https://www.courthousenews.com/dc-circuit-side-eyes-capitol-rioters-argument-that-pepper-spray-is-not-a-dangerous-weapon/" TargetMode="External"/><Relationship Id="rId895" Type="http://schemas.openxmlformats.org/officeDocument/2006/relationships/hyperlink" Target="https://casetext.com/case/whittaker-v-howard-cnty-md" TargetMode="External"/><Relationship Id="rId1080" Type="http://schemas.openxmlformats.org/officeDocument/2006/relationships/hyperlink" Target="https://cases.justia.com/west-virginia/intermediate-court-of-appeals/2025-24-ica-379.pdf?ts=1745964757" TargetMode="External"/><Relationship Id="rId2131" Type="http://schemas.openxmlformats.org/officeDocument/2006/relationships/image" Target="media/image4.png"/><Relationship Id="rId2369" Type="http://schemas.openxmlformats.org/officeDocument/2006/relationships/hyperlink" Target="https://mdcourts.gov/data/opinions/cosa/2020/0318s19.pdf" TargetMode="External"/><Relationship Id="rId2576" Type="http://schemas.openxmlformats.org/officeDocument/2006/relationships/hyperlink" Target="https://nola.gov/getattachment/a5d775b2-685d-43c3-a7ff-ae60a9dcf745/Murphy,-Michael-9697-9698/" TargetMode="External"/><Relationship Id="rId2783" Type="http://schemas.openxmlformats.org/officeDocument/2006/relationships/hyperlink" Target="https://www.dmlp.org/legal-guide/california-recording-law" TargetMode="External"/><Relationship Id="rId2990" Type="http://schemas.openxmlformats.org/officeDocument/2006/relationships/hyperlink" Target="https://www.kktv.com/2022/03/03/biden-sign-bill-ending-forced-arbitration-sexual-harassment-assault-cases/" TargetMode="External"/><Relationship Id="rId103" Type="http://schemas.openxmlformats.org/officeDocument/2006/relationships/hyperlink" Target="https://casetext.com/case/united-states-v-gibson-453" TargetMode="External"/><Relationship Id="rId310" Type="http://schemas.openxmlformats.org/officeDocument/2006/relationships/hyperlink" Target="https://www.ca2.uscourts.gov/decisions/isysquery/2a455a3a-04be-4845-88fb-6da61a7004cf/1/doc/19-3574_opn.pdf" TargetMode="External"/><Relationship Id="rId548" Type="http://schemas.openxmlformats.org/officeDocument/2006/relationships/hyperlink" Target="https://casetext.com/case/in-re-arbitration-between-city-of-ogdensburg" TargetMode="External"/><Relationship Id="rId755" Type="http://schemas.openxmlformats.org/officeDocument/2006/relationships/hyperlink" Target="https://www.supremecourt.gov/opinions/21pdf/21a477_1bo2.pdf" TargetMode="External"/><Relationship Id="rId962" Type="http://schemas.openxmlformats.org/officeDocument/2006/relationships/hyperlink" Target="https://cases.justia.com/virginia/court-of-appeals-unpublished/2025-0990-24-1.pdf?ts=1761062926" TargetMode="External"/><Relationship Id="rId1178" Type="http://schemas.openxmlformats.org/officeDocument/2006/relationships/hyperlink" Target="https://ilcourtsaudio.blob.core.windows.net/antilles-resources/resources/2cab1835-a4bd-4f15-be52-5bbea6ed2024/Roselle%20v.%20BOT%20of%20the%20Roselle%20Firefighters%20Pension%20Fund,%202021%20IL%20App%20(2d)%20200360.pdf" TargetMode="External"/><Relationship Id="rId1385" Type="http://schemas.openxmlformats.org/officeDocument/2006/relationships/hyperlink" Target="https://public.fastcase.com/H1P9uiW3J20SFp%2BGCG%2BxLdAy%2Fo69TrR1K6MVQcVakXAVjkfoheCj%2FALYO7mhCcaM?utm_medium=email&amp;_hsenc=p2ANqtz-_QVKpYjRM7B2Q5-sqKd1q9ccEl8nSIxeJoGOvaUfjL9Y5LBcGC98GOiGM8SvSGdTXKNaMFLIGTEL-_cGBVPHnVUR_G4Q&amp;_hsmi=226712652&amp;utm_content=226712652&amp;utm_source=hs_email" TargetMode="External"/><Relationship Id="rId1592" Type="http://schemas.openxmlformats.org/officeDocument/2006/relationships/hyperlink" Target="https://law.justia.com/cases/texas/fourteenth-court-of-appeals/2022/14-20-00688-cv.html" TargetMode="External"/><Relationship Id="rId2229" Type="http://schemas.openxmlformats.org/officeDocument/2006/relationships/hyperlink" Target="https://www.advisory.com/daily-briefing/2022/10/26/vaccine-mandate" TargetMode="External"/><Relationship Id="rId2436" Type="http://schemas.openxmlformats.org/officeDocument/2006/relationships/hyperlink" Target="https://cases.justia.com/federal/appellate-courts/ca7/17-3060/17-3060-2018-08-14.pdf?ts=1534262420" TargetMode="External"/><Relationship Id="rId2643" Type="http://schemas.openxmlformats.org/officeDocument/2006/relationships/hyperlink" Target="https://www.pacourts.us/assets/opinions/Superior/out/J-A22023-23o%20-%20106151918288524284.pdf?cb=1" TargetMode="External"/><Relationship Id="rId2850" Type="http://schemas.openxmlformats.org/officeDocument/2006/relationships/hyperlink" Target="https://www.qcnews.com/shannon-park-shooting/one-year-later-a-timeline-of-the-tragic-april-29th-shootout-that-shook-charlotte/" TargetMode="External"/><Relationship Id="rId91" Type="http://schemas.openxmlformats.org/officeDocument/2006/relationships/hyperlink" Target="https://public.fastcase.com/jaEE2PXzRXmZ99jOLMt1IvQQ%2FwWODLAEJBukBPNCALgft0sHziy1G1EiNPA2la2I%2Bz7mV9PFJnpwehw24IHtnmGvfRX%2FCWFczT3vlKR%2B0P0%3D?utm_medium=email&amp;_hsenc=p2ANqtz--SWSAGzwwNdnG_VMPYwGihlDivIcGecVdTRk_nr30XIo07pFHIeVloVzlVGarTG9brlCuLB39_kFjuWt_H_cWvO7FD4A&amp;_hsmi=226712652&amp;utm_content=226712652&amp;utm_source=hs_email" TargetMode="External"/><Relationship Id="rId408" Type="http://schemas.openxmlformats.org/officeDocument/2006/relationships/hyperlink" Target="https://cases.justia.com/texas/thirteenth-court-of-appeals/2026-13-24-00335-cr.pdf?ts=1773937817" TargetMode="External"/><Relationship Id="rId615" Type="http://schemas.openxmlformats.org/officeDocument/2006/relationships/hyperlink" Target="http://www2.ca3.uscourts.gov/opinarch/172183p.pdf" TargetMode="External"/><Relationship Id="rId822" Type="http://schemas.openxmlformats.org/officeDocument/2006/relationships/hyperlink" Target="https://www.supremecourt.gov/opinions/19pdf/18-587_5ifl.pdf" TargetMode="External"/><Relationship Id="rId1038" Type="http://schemas.openxmlformats.org/officeDocument/2006/relationships/hyperlink" Target="https://public.fastcase.com/Jhe1Qn%2BmJndQYQU6z%2FeNm3BZXxMtfKvDKUuuTsV2npm66ieHwlmdQlB7eZ5vGA8QuOESb%2F3K1RQvpQEkPuEDUbGjL%2Fa81lCq0WbwpmSle%2Fs%3D?utm_medium=email&amp;_hsenc=p2ANqtz-_5eDAf6zJHZ3x5XTDJZmK3o4KVQ_64dEa2tiItnjUQH6kGchr0D5wuvNQXhbtIIPVnIy-jvGCDQGSZmLLj65ZPiQLHfg&amp;_hsmi=226712652&amp;utm_content=226712652&amp;utm_source=hs_email" TargetMode="External"/><Relationship Id="rId1245" Type="http://schemas.openxmlformats.org/officeDocument/2006/relationships/hyperlink" Target="https://courts.illinois.gov/opinions/SupremeCourt/2012/110012.pdf" TargetMode="External"/><Relationship Id="rId1452" Type="http://schemas.openxmlformats.org/officeDocument/2006/relationships/hyperlink" Target="https://www.nbcnews.com/news/us-news/federal-judge-dismisses-discrimination-lawsuit-transgender-fire-chief-georgia-n1258452" TargetMode="External"/><Relationship Id="rId1897" Type="http://schemas.openxmlformats.org/officeDocument/2006/relationships/hyperlink" Target="https://www.law.cornell.edu/cfr/text/29/553.201" TargetMode="External"/><Relationship Id="rId2503" Type="http://schemas.openxmlformats.org/officeDocument/2006/relationships/hyperlink" Target="https://codes.ohio.gov/ohio-revised-code/section-5122.10/9-17-2014" TargetMode="External"/><Relationship Id="rId2948" Type="http://schemas.openxmlformats.org/officeDocument/2006/relationships/hyperlink" Target="https://www.healthaffairs.org/content/forefront/six-provider-lawsuits-over-no-surprises-act-latest-developments" TargetMode="External"/><Relationship Id="rId1105" Type="http://schemas.openxmlformats.org/officeDocument/2006/relationships/hyperlink" Target="https://ilcourtsaudio.blob.core.windows.net/antilles-resources/resources/6872cb37-ae61-4b36-815c-de4cd8130990/Sobczyk%20v.%20Board%20of%20Trustees%20of%20the%20Rockford%20Firefighters%e2%80%99%20Pension%20Fund,%202024%20IL%20App%20(4th)%20240261-U.pdf" TargetMode="External"/><Relationship Id="rId1312" Type="http://schemas.openxmlformats.org/officeDocument/2006/relationships/hyperlink" Target="https://www.courierpostonline.com/story/news/2019/05/14/terremce-crowder-camden-fire-department-deputy-chief-loses-disability-benefits-dispute/1194598001/" TargetMode="External"/><Relationship Id="rId1757" Type="http://schemas.openxmlformats.org/officeDocument/2006/relationships/hyperlink" Target="https://public.fastcase.com/waZtJvSA54UAurM2rmIZz88A4DX9zJiHVSCLlaywcCbO%2FsN6H35lRLqBQI5YlUXLkpfw%2B63lWcDnyRlZDlxVAe7N7ayvxJpVWQxxLxisTNc%3D" TargetMode="External"/><Relationship Id="rId1964" Type="http://schemas.openxmlformats.org/officeDocument/2006/relationships/hyperlink" Target="https://www.10tv.com/article/news/nation-world/firefighter-charged-killing-pregnant-teen-dui-crash/530-c59458ea-0d76-4ce2-8b1e-022640f424f8" TargetMode="External"/><Relationship Id="rId2710" Type="http://schemas.openxmlformats.org/officeDocument/2006/relationships/hyperlink" Target="https://edmontonjournal.com/news/crime/firefighters-who-start-fires-a-look-at-the-phenomenon-of-firefighter-arson" TargetMode="External"/><Relationship Id="rId2808" Type="http://schemas.openxmlformats.org/officeDocument/2006/relationships/hyperlink" Target="https://www.oregonlaws.org/ors/243.782" TargetMode="External"/><Relationship Id="rId49" Type="http://schemas.openxmlformats.org/officeDocument/2006/relationships/hyperlink" Target="https://www.facebook.com/groups/336997465025309/posts/424479052943816/" TargetMode="External"/><Relationship Id="rId1617" Type="http://schemas.openxmlformats.org/officeDocument/2006/relationships/hyperlink" Target="https://www.jacksonville.com/story/news/courts/2020/11/25/jacksonville-lawsuit-cleanshaven-rule-unfair-black-firefighters/6406374002/" TargetMode="External"/><Relationship Id="rId1824" Type="http://schemas.openxmlformats.org/officeDocument/2006/relationships/hyperlink" Target="http://flsa-optin.com/My%20Docs/2023/Consent%20to%20Sue%20-%20IAFF%20781.pdf" TargetMode="External"/><Relationship Id="rId198" Type="http://schemas.openxmlformats.org/officeDocument/2006/relationships/hyperlink" Target="https://law.justia.com/cases/kentucky/court-of-appeals/2023/2022-ca-0276-mr.html" TargetMode="External"/><Relationship Id="rId2086" Type="http://schemas.openxmlformats.org/officeDocument/2006/relationships/hyperlink" Target="https://jpr.azcourts.gov/Portals/0/OpinionFiles/Div1/2025/1%20CA-CR%2024-0549%20Johnson.pdf" TargetMode="External"/><Relationship Id="rId2293" Type="http://schemas.openxmlformats.org/officeDocument/2006/relationships/hyperlink" Target="https://www.nbcnews.com/news/us-news/u-s-supreme-court-hear-challenges-biden-s-vaccine-mandates-n1286536" TargetMode="External"/><Relationship Id="rId2598" Type="http://schemas.openxmlformats.org/officeDocument/2006/relationships/hyperlink" Target="https://www4.courts.ca.gov/opinions/nonpub/B333041.PDF" TargetMode="External"/><Relationship Id="rId265" Type="http://schemas.openxmlformats.org/officeDocument/2006/relationships/hyperlink" Target="https://www.vulture.com/article/bill-cosby-overturned-sexual-assault-conviction-explained.html" TargetMode="External"/><Relationship Id="rId472" Type="http://schemas.openxmlformats.org/officeDocument/2006/relationships/hyperlink" Target="https://www.osha.gov/ords/imis/establishment.inspection_detail?id=315378885" TargetMode="External"/><Relationship Id="rId2153" Type="http://schemas.openxmlformats.org/officeDocument/2006/relationships/hyperlink" Target="https://webservices.courthousenews.com/sites/Data/AppellateOpinionUploads/2024-17-5--13-46-27-048b5eb5-2700-4a37-ac11-5deaa284f5ce.pdf" TargetMode="External"/><Relationship Id="rId2360" Type="http://schemas.openxmlformats.org/officeDocument/2006/relationships/hyperlink" Target="https://www.supremecourt.gov/opinions/20pdf/20a87_4g15.pdf" TargetMode="External"/><Relationship Id="rId125" Type="http://schemas.openxmlformats.org/officeDocument/2006/relationships/hyperlink" Target="https://www.peoplefor.org/biden-judge-writes-unanimous-opinion-letting-indigent-woman-challenge-her-conviction-unfairly-based" TargetMode="External"/><Relationship Id="rId332" Type="http://schemas.openxmlformats.org/officeDocument/2006/relationships/hyperlink" Target="https://cases.justia.com/federal/appellate-courts/ca11/19-11399/19-11399-2019-12-12.pdf?ts=1576184426" TargetMode="External"/><Relationship Id="rId777" Type="http://schemas.openxmlformats.org/officeDocument/2006/relationships/hyperlink" Target="https://home.treasury.gov/policy-issues/financial-sanctions" TargetMode="External"/><Relationship Id="rId984" Type="http://schemas.openxmlformats.org/officeDocument/2006/relationships/hyperlink" Target="https://casetext.com/case/wakefield-v-williamstown-volunteer-fire-co" TargetMode="External"/><Relationship Id="rId2013" Type="http://schemas.openxmlformats.org/officeDocument/2006/relationships/hyperlink" Target="https://www.law.com/thelegalintelligencer/search/?q=safe+injection+max+mitchell&amp;Submit=Search&amp;publication=The+Legal+Intelligencer&amp;source=falcon&amp;source=decisions&amp;startDate=&amp;endDate=" TargetMode="External"/><Relationship Id="rId2220" Type="http://schemas.openxmlformats.org/officeDocument/2006/relationships/hyperlink" Target="https://public.fastcase.com/ZZhmr5v9wN%2FXOe5IsQ%2FqD3yVZPtM4gE5qxUG0JmvBs4KZKL0kykfWRWAFzVzGOUSCymfVjFMg8ksTGDwIJSWELTF6XkccOjxJx4J8ta6mPQ%3D?utm_medium=email&amp;_hsmi=226712652&amp;_hsenc=p2ANqtz-91z17HDQg9Q71tjjdfZzo5M0dPvb4mrX2MWXe9g7uh0-gjm69ERrplNGPGusNDxTqNwPz_oB2Mm624G4BOe4pHJTgwVA&amp;utm_content=226712652&amp;utm_source=hs_email" TargetMode="External"/><Relationship Id="rId2458" Type="http://schemas.openxmlformats.org/officeDocument/2006/relationships/hyperlink" Target="https://caselaw.findlaw.com/ny-supreme-court-appellate-division/1893546.html" TargetMode="External"/><Relationship Id="rId2665" Type="http://schemas.openxmlformats.org/officeDocument/2006/relationships/hyperlink" Target="https://www.courtswv.gov/sites/default/pubfilesmnt/2023-12/22-ICA-267_MD.pdf" TargetMode="External"/><Relationship Id="rId2872" Type="http://schemas.openxmlformats.org/officeDocument/2006/relationships/hyperlink" Target="https://www.supremecourt.ohio.gov/rod/docs/pdf/8/2024/2024-Ohio-3018.pdf" TargetMode="External"/><Relationship Id="rId637" Type="http://schemas.openxmlformats.org/officeDocument/2006/relationships/hyperlink" Target="https://www.statnews.com/2025/06/16/nih-research-cuts-ruled-illegal-by-federal-judge-william-young/" TargetMode="External"/><Relationship Id="rId844" Type="http://schemas.openxmlformats.org/officeDocument/2006/relationships/hyperlink" Target="https://ij.org/wp-content/uploads/2018/09/16-3480_complete_opn.pdf" TargetMode="External"/><Relationship Id="rId1267" Type="http://schemas.openxmlformats.org/officeDocument/2006/relationships/hyperlink" Target="https://law.justia.com/codes/ohio/2006/orc/jd_14943-4d7.html" TargetMode="External"/><Relationship Id="rId1474" Type="http://schemas.openxmlformats.org/officeDocument/2006/relationships/hyperlink" Target="https://cases.justia.com/federal/appellate-courts/ca5/18-40561/18-40561-2019-07-10.pdf?ts=1562779857" TargetMode="External"/><Relationship Id="rId1681" Type="http://schemas.openxmlformats.org/officeDocument/2006/relationships/hyperlink" Target="https://www.scotusblog.com/case-files/cases/stanley-v-city-of-sanford-florida/" TargetMode="External"/><Relationship Id="rId2318" Type="http://schemas.openxmlformats.org/officeDocument/2006/relationships/hyperlink" Target="https://public.fastcase.com/9SKwsfNqTc6OieYDhNMyM83%2FYLJrcCtVmui0iqpJLDORGkxVmnXPTmwbGH4uC0ci" TargetMode="External"/><Relationship Id="rId2525" Type="http://schemas.openxmlformats.org/officeDocument/2006/relationships/hyperlink" Target="https://gemm.site/2022/02/25/an-off-duty-cop-murdered-his-ex-girlfriend-the-california-highway-patrol-ignored-the-red-flags/" TargetMode="External"/><Relationship Id="rId2732" Type="http://schemas.openxmlformats.org/officeDocument/2006/relationships/hyperlink" Target="https://ilcourtsaudio.blob.core.windows.net/antilles-resources/resources/1d563ea4-a3fa-4fb5-af89-419baa2c8f0f/Cannici%20v.%20Dept%20of%20Employment%20Security%20Board%20of%20Review,%202021%20IL%20App%20(1st)%20181562.pdf" TargetMode="External"/><Relationship Id="rId704" Type="http://schemas.openxmlformats.org/officeDocument/2006/relationships/hyperlink" Target="https://caselaw.findlaw.com/court/us-1st-circuit/116020600.html" TargetMode="External"/><Relationship Id="rId911" Type="http://schemas.openxmlformats.org/officeDocument/2006/relationships/hyperlink" Target="https://casetext.com/case/dougherty-v-city-of-detroit" TargetMode="External"/><Relationship Id="rId1127" Type="http://schemas.openxmlformats.org/officeDocument/2006/relationships/hyperlink" Target="https://casetext.com/case/marion-cnty-fire-dist-1-v-smith-in-re-smith" TargetMode="External"/><Relationship Id="rId1334" Type="http://schemas.openxmlformats.org/officeDocument/2006/relationships/hyperlink" Target="http://tkolb.net/firereports/presumptionreport2009.pdf" TargetMode="External"/><Relationship Id="rId1541" Type="http://schemas.openxmlformats.org/officeDocument/2006/relationships/hyperlink" Target="https://cases.justia.com/federal/district-courts/alabama/alndce/2:2023cv01098/186589/44/0.pdf?ts=1737802006" TargetMode="External"/><Relationship Id="rId1779" Type="http://schemas.openxmlformats.org/officeDocument/2006/relationships/hyperlink" Target="https://public.fastcase.com/Jhe1Qn%2BmJndQYQU6z%2FeNm%2BPcmzEUVte9Pmbex8cM1KJhQVcQIKDJJA5UPuX3qlPH?utm_medium=email&amp;_hsenc=p2ANqtz-9n4bTEROfuVqHNVuq5wnBdHGUWCVVD7aN6VD7jCXCE8dULoI4uW2020fH1jBBreK2QqG5jL3hff-Wxt2LEWhDNRofrqw&amp;_hsmi=226712652&amp;utm_content=226712652&amp;utm_source=hs_email" TargetMode="External"/><Relationship Id="rId1986" Type="http://schemas.openxmlformats.org/officeDocument/2006/relationships/hyperlink" Target="https://dreamcenterforrecovery.com/can-take-suboxone-still-go-work/" TargetMode="External"/><Relationship Id="rId40" Type="http://schemas.openxmlformats.org/officeDocument/2006/relationships/hyperlink" Target="https://cases.justia.com/texas/fifteenth-court-of-appeals/2026-15-24-00010-cv.pdf?ts=1772815197" TargetMode="External"/><Relationship Id="rId1401" Type="http://schemas.openxmlformats.org/officeDocument/2006/relationships/hyperlink" Target="https://public.fastcase.com/ZZhmr5v9wN%2FXOe5IsQ%2FqD6X8aBICmIyWVJScKPpCyRhR7mDWsTx8EU8Grq%2B%2B4ZtL7A%2BZetNPKoBujU7we%2BcNkmURNKpv4aGWRHQtd1T1moA%3D?utm_medium=email&amp;_hsmi=226712652&amp;_hsenc=p2ANqtz-9OBKIBZDi8r8oE28UFobupYGxopyoQah8HvX1c9zj34g5f00t_mZAGDNIEFbeFR3R6TbvecwhsL2yyD5Q92lFJJe2-2g&amp;utm_content=226712652&amp;utm_source=hs_email" TargetMode="External"/><Relationship Id="rId1639" Type="http://schemas.openxmlformats.org/officeDocument/2006/relationships/hyperlink" Target="https://www.leagle.com/cite/142%20F.3d%201082" TargetMode="External"/><Relationship Id="rId1846" Type="http://schemas.openxmlformats.org/officeDocument/2006/relationships/hyperlink" Target="https://public.fastcase.com/J%2FJP6pdidelsXxEE4k%2BLMiCd6Oijia%2Fc6dpDEIpvDgGdBy7usCtPvTYolvlwqFI2OWdzcN0GLk8kd6eOjq%2BBgMFCfp0NjuKJ0H4Eu6Lk4a8%3D?utm_medium=email&amp;_hsmi=226712652&amp;_hsenc=p2ANqtz-_pRHETuUebeWpUr_lBMH_-KDZL8nDlWZhRdTrL-TINRZ0QEuK3FTmopjSHxO-qjinMuMJlbokRF3HYxxN6yYg5FnBUqg&amp;utm_content=226712652&amp;utm_source=hs_email" TargetMode="External"/><Relationship Id="rId1706" Type="http://schemas.openxmlformats.org/officeDocument/2006/relationships/hyperlink" Target="https://www.justice.gov/crt/case-document/file/1583736/download" TargetMode="External"/><Relationship Id="rId1913" Type="http://schemas.openxmlformats.org/officeDocument/2006/relationships/hyperlink" Target="http://41af3k34gprx4f6bg12df75i.wpengine.netdna-cdn.com/wp-content/uploads/sites/19/2019/05/Ramirez-v.-City-of-Fort-Lauderdale-Fire-Rescue_-2019-U.pdf" TargetMode="External"/><Relationship Id="rId287" Type="http://schemas.openxmlformats.org/officeDocument/2006/relationships/hyperlink" Target="http://codes.ohio.gov/orc/2921.43" TargetMode="External"/><Relationship Id="rId494" Type="http://schemas.openxmlformats.org/officeDocument/2006/relationships/hyperlink" Target="https://casetext.com/statute/consolidated-laws-of-new-york/chapter-volunteer-firefighters-benefit/article-2-coverage-and-benefits/section-19-exclusiveness-of-remedy" TargetMode="External"/><Relationship Id="rId2175" Type="http://schemas.openxmlformats.org/officeDocument/2006/relationships/hyperlink" Target="https://richmondside.org/2025/09/11/civil-rights-trial-forced-sedation-richmond-death/" TargetMode="External"/><Relationship Id="rId2382" Type="http://schemas.openxmlformats.org/officeDocument/2006/relationships/hyperlink" Target="https://www.supremecourt.gov/opinions/19pdf/19a1044_pok0.pdf" TargetMode="External"/><Relationship Id="rId147" Type="http://schemas.openxmlformats.org/officeDocument/2006/relationships/hyperlink" Target="https://www.supremecourt.gov/opinions/23pdf/22-982_bq7d.pdf" TargetMode="External"/><Relationship Id="rId354" Type="http://schemas.openxmlformats.org/officeDocument/2006/relationships/hyperlink" Target="https://www.washingtonpost.com/politics/courts_law/abortion-death-penalty-religion-late-night-rulings-show-new-alliances-at-supreme-court/2019/02/08/681cc252-2bb9-11e9-b011-d8500644dc98_story.html?utm_term=.6e954895539e&amp;wpisrc=nl_evening&amp;wpmm=1" TargetMode="External"/><Relationship Id="rId799" Type="http://schemas.openxmlformats.org/officeDocument/2006/relationships/hyperlink" Target="https://www.ohchr.org/en/professionalinterest/pages/cat.aspx" TargetMode="External"/><Relationship Id="rId1191" Type="http://schemas.openxmlformats.org/officeDocument/2006/relationships/hyperlink" Target="https://public.fastcase.com/9SKwsfNqTc6OieYDhNMyM7K54qMUE6VagvA5ZeUquJVblXNtT5CMEmLb%2FOI9awGykkKYC2JU7RwfzsQEOAIcP6T5leBqhSKOtHvIUfiLV%2Fs%3D" TargetMode="External"/><Relationship Id="rId2035" Type="http://schemas.openxmlformats.org/officeDocument/2006/relationships/hyperlink" Target="https://public.fastcase.com/Jhe1Qn%2BmJndQYQU6z%2FeNmxd3J8jpmxXxyeidb6WXrTEciJVACoDQGCX04YyoIKQxWs5hBfmCFqjSsPik5w4la1NJYiz6fo5tDOdYnNwjoT0%3D?utm_medium=email&amp;_hsenc=p2ANqtz-9LzrN1R9Pgrlzgu6Bjb006a7Y-7J4xKc7rzHzZp95cTtgFvjhjxyCpE0IXkHF1YdLpVWdu75zDjIRZyumRHM8CB80GGw&amp;_hsmi=226712652&amp;utm_content=226712652&amp;utm_source=hs_email" TargetMode="External"/><Relationship Id="rId2687" Type="http://schemas.openxmlformats.org/officeDocument/2006/relationships/hyperlink" Target="https://www.supremecourt.gov/opinions/22pdf/22-138_43j7.pdf" TargetMode="External"/><Relationship Id="rId2894" Type="http://schemas.openxmlformats.org/officeDocument/2006/relationships/hyperlink" Target="https://apps.nlrb.gov/link/document.aspx/09031d45839af64d" TargetMode="External"/><Relationship Id="rId561" Type="http://schemas.openxmlformats.org/officeDocument/2006/relationships/hyperlink" Target="https://www2.ca3.uscourts.gov/opinarch/201734p.pdf" TargetMode="External"/><Relationship Id="rId659" Type="http://schemas.openxmlformats.org/officeDocument/2006/relationships/hyperlink" Target="https://www.hstoday.us/perspective/eyes-on-preparedness-federal-courts-block-fema-dhs-immigration-grant-conditions-safeguarding-billions-in-emergency-preparedness-funds/" TargetMode="External"/><Relationship Id="rId866" Type="http://schemas.openxmlformats.org/officeDocument/2006/relationships/hyperlink" Target="https://supreme.justia.com/cases/federal/us/464/287/" TargetMode="External"/><Relationship Id="rId1289" Type="http://schemas.openxmlformats.org/officeDocument/2006/relationships/hyperlink" Target="https://courts.illinois.gov/R23_Orders/AppellateCourt/2020/1stDistrict/1181708_R23.pdf" TargetMode="External"/><Relationship Id="rId1496" Type="http://schemas.openxmlformats.org/officeDocument/2006/relationships/hyperlink" Target="https://cases.justia.com/louisiana/fourth-circuit-court-of-appeal/2026-2025-ca-0870.pdf?ts=1784938638" TargetMode="External"/><Relationship Id="rId2242" Type="http://schemas.openxmlformats.org/officeDocument/2006/relationships/hyperlink" Target="https://www.law.cornell.edu/definitions/uscode.php?width=840&amp;height=800&amp;iframe=true&amp;def_id=42-USC-303628742-1009355614&amp;term_occur=999&amp;term_src=" TargetMode="External"/><Relationship Id="rId2547" Type="http://schemas.openxmlformats.org/officeDocument/2006/relationships/hyperlink" Target="https://www.postbulletin.com/news/public_safety/ptsd-now-an-occupational-disease-for-first-responders/article_27a2353c-15d3-11e9-a864-cb74a37ce7f1.html" TargetMode="External"/><Relationship Id="rId214" Type="http://schemas.openxmlformats.org/officeDocument/2006/relationships/hyperlink" Target="https://public.fastcase.com/J%2FJP6pdidelsXxEE4k%2BLMrejai%2Bw5%2BeDXQox0zGA5TAAjpgBNhW%2BTu8BKpGDyiMDLNszr4O4A0HJdAcQDg8WWefj18tLbckuVQCC3%2F5jGpg%3D?utm_medium=email&amp;_hsmi=226712652&amp;_hsenc=p2ANqtz-8ZmJA9o4nlUCIURyhETyHKM8lkOE8xo-FU4HGJipx6Boh4nCnx77GsOdK5dPH9YVtR5YzBPx6JahAT-_oeRPGcO0F8pg&amp;utm_content=226712652&amp;utm_source=hs_email" TargetMode="External"/><Relationship Id="rId421" Type="http://schemas.openxmlformats.org/officeDocument/2006/relationships/hyperlink" Target="https://www.flhouse.gov/Sections/Documents/loaddoc.aspx?FileName=_s0184er.DOCX&amp;DocumentType=Bill&amp;BillNumber=184&amp;Session=2024" TargetMode="External"/><Relationship Id="rId519" Type="http://schemas.openxmlformats.org/officeDocument/2006/relationships/hyperlink" Target="https://www.nytimes.com/1995/08/16/nyregion/storeowner-guilty-of-arson-where-fireman-died.html" TargetMode="External"/><Relationship Id="rId1051" Type="http://schemas.openxmlformats.org/officeDocument/2006/relationships/hyperlink" Target="https://ecf.ctd.uscourts.gov/cgi-bin/show_public_doc?2025cv0824-74" TargetMode="External"/><Relationship Id="rId1149" Type="http://schemas.openxmlformats.org/officeDocument/2006/relationships/hyperlink" Target="https://public.fastcase.com/J%2FJP6pdidelsXxEE4k%2BLMk0xZflerRl5zZ1fWOEI5mhvpVlhWjp%2F9QDqlOI9DDnF8Aa9%2BfFIJaxfznSW2LItCr2%2FIZnHCYIIWW3H5dl8900%3D?utm_medium=email&amp;_hsmi=226712652&amp;_hsenc=p2ANqtz-9FKeS83U96VoJDZ5OFHU1pICbtYjQvhKtRkoV1KLCJmMon6gHAySjMj0YQylycLU_jnNetJR4aMTbAa4E7Rm7YwE3nmg&amp;utm_content=226712652&amp;utm_source=hs_email" TargetMode="External"/><Relationship Id="rId1356" Type="http://schemas.openxmlformats.org/officeDocument/2006/relationships/hyperlink" Target="https://public.fastcase.com/jaEE2PXzRXmZ99jOLMt1Iuq7qc0gfVcydq4UksJKYaPvhnQoV2Tur9kW43Sd%2BCHWkw1LFd5eYMpsqupxEAJwLBiVNyDEOcfOyFpt494LsV4%3D?utm_medium=email&amp;_hsenc=p2ANqtz-9JDPujkqcb7TpRksmi2p_USQgVGerxf-hzLRNOYIOWKeqjT-lj5XLhttLuYWUDIXmtoE1M_nS89zbeKXXmbJi1pvu4VQ&amp;_hsmi=226712652&amp;utm_content=226712652&amp;utm_source=hs_email" TargetMode="External"/><Relationship Id="rId2102" Type="http://schemas.openxmlformats.org/officeDocument/2006/relationships/hyperlink" Target="https://code.wvlegislature.gov/email/24-6/" TargetMode="External"/><Relationship Id="rId2754" Type="http://schemas.openxmlformats.org/officeDocument/2006/relationships/hyperlink" Target="https://laborlawlosangeles.com/the-city-of-south-pasadena-illegally-dismissed-a-firefighter-supreme-court-denies-review-the-south-pasadenan/" TargetMode="External"/><Relationship Id="rId2961" Type="http://schemas.openxmlformats.org/officeDocument/2006/relationships/hyperlink" Target="https://www.hud.gov/program_offices/housing/sfh/reo/abtrevt" TargetMode="External"/><Relationship Id="rId726" Type="http://schemas.openxmlformats.org/officeDocument/2006/relationships/hyperlink" Target="https://www.nytimes.com/2023/07/04/business/federal-judge-biden-social-media.html?campaign_id=60&amp;emc=edit_na_20230704&amp;instance_id=0&amp;nl=breaking-news&amp;ref=cta&amp;regi_id=215376166&amp;segment_id=138360&amp;user_id=c17b05e2b990d0f39049334bb5d3c889" TargetMode="External"/><Relationship Id="rId933" Type="http://schemas.openxmlformats.org/officeDocument/2006/relationships/hyperlink" Target="https://www.nct911.org/how-location-works-for-911/" TargetMode="External"/><Relationship Id="rId1009" Type="http://schemas.openxmlformats.org/officeDocument/2006/relationships/hyperlink" Target="https://www.zanesvilletimesrecorder.com/story/news/local/2016/12/17/two-dead-after-ambulance-rollover/95557626/" TargetMode="External"/><Relationship Id="rId1563" Type="http://schemas.openxmlformats.org/officeDocument/2006/relationships/hyperlink" Target="https://www.casemine.com/judgement/us/6527768e0e33307ee3c25e6b" TargetMode="External"/><Relationship Id="rId1770" Type="http://schemas.openxmlformats.org/officeDocument/2006/relationships/hyperlink" Target="https://public.fastcase.com/Jhe1Qn%2BmJndQYQU6z%2FeNm%2F%2Bb9tDy%2BB1V4igtWVlHjvKcU%2FnEQkKgvsTuIdmJf7S6TLQrLMKDMyDhy29fvRmn0B54%2B%2FamKhKvK55eX0VsHHI%3D?utm_medium=email&amp;_hsenc=p2ANqtz-_Gg5RXNpIci3yukYVP6b7sh5gmOKa0GsZOAMvLT2R41U8XgM5hohZBV9wwMQTg4BgeHRSn6k2S_n_HEfm4oxMP2E6DqA&amp;_hsmi=226712652&amp;utm_content=226712652&amp;utm_source=hs_email" TargetMode="External"/><Relationship Id="rId1868" Type="http://schemas.openxmlformats.org/officeDocument/2006/relationships/hyperlink" Target="https://www.ecfr.gov/cgi-bin/retrieveECFR?gp=&amp;SID=10f50877082f08568d40dbfeaf119853&amp;mc=true&amp;r=PART&amp;n=pt29.3.778" TargetMode="External"/><Relationship Id="rId2407" Type="http://schemas.openxmlformats.org/officeDocument/2006/relationships/hyperlink" Target="https://www.leagle.com/decision/infdco20190624a02" TargetMode="External"/><Relationship Id="rId2614" Type="http://schemas.openxmlformats.org/officeDocument/2006/relationships/hyperlink" Target="https://www.wtol.com/article/news/local/toledo-fire-lieutenant-fired-investigation-social-media-post-about-charlie-kirk/512-599961fb-9233-4ebc-8628-cfa2b96c7722" TargetMode="External"/><Relationship Id="rId2821" Type="http://schemas.openxmlformats.org/officeDocument/2006/relationships/hyperlink" Target="https://www.law.com/newyorklawjournal/2019/04/29/new-lactation-room-laws-what-employers-need-to-know/" TargetMode="External"/><Relationship Id="rId62" Type="http://schemas.openxmlformats.org/officeDocument/2006/relationships/hyperlink" Target="https://public.fastcase.com/jaEE2PXzRXmZ99jOLMt1Ips4C6WkUGp0KzACPcngYbWmPTLfIWMstLJyRryzc8Dq?utm_medium=email&amp;_hsenc=p2ANqtz-94X9-jvo7aphxCTddVbMuFo0h95bmcaFpGEwlnAd6pPwVsx4xOyg-iR7W5WKYYvAnlQWrH3LVFVTBhWCeJd3O3dSBjuA&amp;_hsmi=226712652&amp;utm_content=226712652&amp;utm_source=hs_email" TargetMode="External"/><Relationship Id="rId1216" Type="http://schemas.openxmlformats.org/officeDocument/2006/relationships/hyperlink" Target="https://www.lasc.org/Opinions/2021/20-0693.C.OPN.pdf" TargetMode="External"/><Relationship Id="rId1423" Type="http://schemas.openxmlformats.org/officeDocument/2006/relationships/hyperlink" Target="https://www.wavy.com/news/local-news/norfolk/special-report-norfolk-under-fire-for-treatment-of-female-employees/" TargetMode="External"/><Relationship Id="rId1630" Type="http://schemas.openxmlformats.org/officeDocument/2006/relationships/hyperlink" Target="https://www.5dca.org/content/download/632688/7189187/file/183494_DC13_03272020_081652_i.pdf" TargetMode="External"/><Relationship Id="rId2919" Type="http://schemas.openxmlformats.org/officeDocument/2006/relationships/hyperlink" Target="https://www.supremecourt.ohio.gov/rod/docs/pdf/8/2022/2022-Ohio-824.pdf" TargetMode="External"/><Relationship Id="rId1728" Type="http://schemas.openxmlformats.org/officeDocument/2006/relationships/hyperlink" Target="https://www.iafc.org/docs/default-source/1vcos/vws_rrkit_nfpa-1582.pdf?sfvrsn=ca9b9f0d_2" TargetMode="External"/><Relationship Id="rId1935" Type="http://schemas.openxmlformats.org/officeDocument/2006/relationships/hyperlink" Target="https://cases.justia.com/federal/district-courts/florida/flmdce/2:2024cv00585/429227/35/0.pdf?ts=1768388107" TargetMode="External"/><Relationship Id="rId2197" Type="http://schemas.openxmlformats.org/officeDocument/2006/relationships/hyperlink" Target="https://public3.pagefreezer.com/browse/HHS.gov/31-12-2020T08:51/https://www.hhs.gov/about/news/2019/12/30/ambulance-company-pays-65000-settle-allegations-longstanding-hipaa-noncompliance.html" TargetMode="External"/><Relationship Id="rId169" Type="http://schemas.openxmlformats.org/officeDocument/2006/relationships/hyperlink" Target="https://cases.justia.com/federal/appellate-courts/ca9/22-16236/22-16236-2023-09-29.pdf?ts=1696005037" TargetMode="External"/><Relationship Id="rId376" Type="http://schemas.openxmlformats.org/officeDocument/2006/relationships/hyperlink" Target="https://cases.justia.com/federal/district-courts/new-york/nyedce/2:2017cv03480/402865/37/0.pdf?ts=1528277681" TargetMode="External"/><Relationship Id="rId583" Type="http://schemas.openxmlformats.org/officeDocument/2006/relationships/hyperlink" Target="http://codes.ohio.gov/oac/4123:1-21-04v1" TargetMode="External"/><Relationship Id="rId790" Type="http://schemas.openxmlformats.org/officeDocument/2006/relationships/hyperlink" Target="https://www.law.cornell.edu/definitions/uscode.php?width=840&amp;height=800&amp;iframe=true&amp;def_id=8-USC-92903111-1485256781&amp;term_occur=999&amp;term_src=title:8:chapter:12:subchapter:II:part:IV:section:1229b" TargetMode="External"/><Relationship Id="rId2057" Type="http://schemas.openxmlformats.org/officeDocument/2006/relationships/hyperlink" Target="https://www.youtube.com/watch?v=_LFgzOE_WU8" TargetMode="External"/><Relationship Id="rId2264" Type="http://schemas.openxmlformats.org/officeDocument/2006/relationships/hyperlink" Target="https://law.justia.com/cases/federal/district-courts/new-york/nysdce/1:2020cv04452/538491/83/" TargetMode="External"/><Relationship Id="rId2471" Type="http://schemas.openxmlformats.org/officeDocument/2006/relationships/hyperlink" Target="https://cases.justia.com/federal/district-courts/south-carolina/scdce/0:2024cv00826/288831/46/0.pdf" TargetMode="External"/><Relationship Id="rId4" Type="http://schemas.openxmlformats.org/officeDocument/2006/relationships/settings" Target="settings.xml"/><Relationship Id="rId236" Type="http://schemas.openxmlformats.org/officeDocument/2006/relationships/hyperlink" Target="https://www.supremecourt.gov/opinions/21pdf/21a244_hgci.pdf" TargetMode="External"/><Relationship Id="rId443" Type="http://schemas.openxmlformats.org/officeDocument/2006/relationships/hyperlink" Target="https://www.supremecourt.ohio.gov/rod/docs/pdf/8/2024/2024-Ohio-5317.pdf" TargetMode="External"/><Relationship Id="rId650" Type="http://schemas.openxmlformats.org/officeDocument/2006/relationships/hyperlink" Target="https://www.google.com/patents/US6848366?dq=inventor+daniel+tanner" TargetMode="External"/><Relationship Id="rId888" Type="http://schemas.openxmlformats.org/officeDocument/2006/relationships/hyperlink" Target="https://cases.justia.com/federal/district-courts/indiana/inndce/3:2023cv00744/115782/36/0.pdf?ts=1705163579" TargetMode="External"/><Relationship Id="rId1073" Type="http://schemas.openxmlformats.org/officeDocument/2006/relationships/hyperlink" Target="file:///C:/Users/lawre/Downloads/25-26180-1.pdf" TargetMode="External"/><Relationship Id="rId1280" Type="http://schemas.openxmlformats.org/officeDocument/2006/relationships/hyperlink" Target="https://public.fastcase.com/Wl%2B2t%2BeVuI35%2FN70vAMFZmh5C6Al26quhK4NpqFpqP3dNIvTBMbQP47YmW18oezY" TargetMode="External"/><Relationship Id="rId2124" Type="http://schemas.openxmlformats.org/officeDocument/2006/relationships/hyperlink" Target="https://www.supremecourt.gov/opinions/23pdf/22-451_7m58.pdf" TargetMode="External"/><Relationship Id="rId2331" Type="http://schemas.openxmlformats.org/officeDocument/2006/relationships/hyperlink" Target="https://www.firehouse.com/ems/news/21025612/bellingham-wa-investigation-probe-firefighters-intubation-dead-body" TargetMode="External"/><Relationship Id="rId2569" Type="http://schemas.openxmlformats.org/officeDocument/2006/relationships/hyperlink" Target="https://www.supremecourt.ohio.gov/rod/docs/pdf/10/2026/2026-Ohio-1981.pdf" TargetMode="External"/><Relationship Id="rId2776" Type="http://schemas.openxmlformats.org/officeDocument/2006/relationships/hyperlink" Target="https://www.nbcphiladelphia.com/news/local/firefighter-fraudulently-collected-disability-pension/151491/" TargetMode="External"/><Relationship Id="rId2983" Type="http://schemas.openxmlformats.org/officeDocument/2006/relationships/hyperlink" Target="https://www.supremecourt.ohio.gov/marsy-s-law-and-crime-victim-rights/" TargetMode="External"/><Relationship Id="rId303" Type="http://schemas.openxmlformats.org/officeDocument/2006/relationships/hyperlink" Target="https://law.justia.com/cases/federal/appellate-courts/ca11/18-15033/18-15033-2020-08-24.html" TargetMode="External"/><Relationship Id="rId748" Type="http://schemas.openxmlformats.org/officeDocument/2006/relationships/hyperlink" Target="https://puenteaz.org/title42/" TargetMode="External"/><Relationship Id="rId955" Type="http://schemas.openxmlformats.org/officeDocument/2006/relationships/hyperlink" Target="https://cases.justia.com/texas/fifth-court-of-appeals/2026-05-24-01403-cv.pdf?ts=1769077961" TargetMode="External"/><Relationship Id="rId1140" Type="http://schemas.openxmlformats.org/officeDocument/2006/relationships/hyperlink" Target="https://www.insurancejournal.com/news/east/2023/06/26/727250.htm" TargetMode="External"/><Relationship Id="rId1378" Type="http://schemas.openxmlformats.org/officeDocument/2006/relationships/hyperlink" Target="https://www.supremecourt.gov/opinions/19pdf/17-1618_hfci.pdf" TargetMode="External"/><Relationship Id="rId1585" Type="http://schemas.openxmlformats.org/officeDocument/2006/relationships/hyperlink" Target="https://public.fastcase.com/J%2FJP6pdidelsXxEE4k%2BLMkGcJRI5fEIWTRrrr5g307eiV2fonCWWxfQ8%2FgFOC0SXeLTzITpIpaPKGCBs2ZuJTAu1fIsNckzREaOIJEOyjuU%3D" TargetMode="External"/><Relationship Id="rId1792" Type="http://schemas.openxmlformats.org/officeDocument/2006/relationships/hyperlink" Target="https://cases.justia.com/federal/district-courts/oklahoma/okedce/6:2023cv00241/34830/33/0.pdf?ts=1732294058" TargetMode="External"/><Relationship Id="rId2429" Type="http://schemas.openxmlformats.org/officeDocument/2006/relationships/hyperlink" Target="https://www.legislature.ohio.gov/legislation/legislation-summary?id=GA132-SB-220" TargetMode="External"/><Relationship Id="rId2636" Type="http://schemas.openxmlformats.org/officeDocument/2006/relationships/hyperlink" Target="https://cases.justia.com/michigan/court-of-appeals-unpublished/2025-368047.pdf?ts=1745586008" TargetMode="External"/><Relationship Id="rId2843" Type="http://schemas.openxmlformats.org/officeDocument/2006/relationships/hyperlink" Target="https://www4.courts.ca.gov/opinions/nonpub/B347429.PDF" TargetMode="External"/><Relationship Id="rId84" Type="http://schemas.openxmlformats.org/officeDocument/2006/relationships/hyperlink" Target="https://ktvz.b-cdn.net/2025/05/TRO-ruling.pdf" TargetMode="External"/><Relationship Id="rId510" Type="http://schemas.openxmlformats.org/officeDocument/2006/relationships/hyperlink" Target="https://casetext.com/statute/california-codes/california-civil-code/division-3-obligations/part-3-obligations-imposed-by-law/section-17149-injury-to-peace-officer-firefighter-or-emergency-medical-personnel" TargetMode="External"/><Relationship Id="rId608" Type="http://schemas.openxmlformats.org/officeDocument/2006/relationships/hyperlink" Target="http://www.illinoiscourts.gov/Opinions/AppellateCourt/2019/1stDistrict/1181163.pdf" TargetMode="External"/><Relationship Id="rId815" Type="http://schemas.openxmlformats.org/officeDocument/2006/relationships/hyperlink" Target="https://www.casemine.com/judgement/us/5fa3a7514653d0732d5bedb1" TargetMode="External"/><Relationship Id="rId1238" Type="http://schemas.openxmlformats.org/officeDocument/2006/relationships/hyperlink" Target="https://www.ethics.ohio.gov/advice/opinions/91-002.pdf" TargetMode="External"/><Relationship Id="rId1445" Type="http://schemas.openxmlformats.org/officeDocument/2006/relationships/hyperlink" Target="https://casetext.com/case/mendoza-v-rio-rico-med-1" TargetMode="External"/><Relationship Id="rId1652" Type="http://schemas.openxmlformats.org/officeDocument/2006/relationships/hyperlink" Target="https://cases.justia.com/federal/district-courts/kentucky/kyedce/5:2024cv00129/104855/29/0.pdf?ts=1778093974" TargetMode="External"/><Relationship Id="rId1000" Type="http://schemas.openxmlformats.org/officeDocument/2006/relationships/hyperlink" Target="https://law.justia.com/cases/virginia/court-of-appeals-unpublished/2022/0124-21-3.html" TargetMode="External"/><Relationship Id="rId1305" Type="http://schemas.openxmlformats.org/officeDocument/2006/relationships/hyperlink" Target="https://www.courtlistener.com/recap/gov.uscourts.ohnd.252466/gov.uscourts.ohnd.252466.26.0.pdf" TargetMode="External"/><Relationship Id="rId1957" Type="http://schemas.openxmlformats.org/officeDocument/2006/relationships/hyperlink" Target="https://casetext.com/statute/montana-code/title-2-government-structure-and-administration/chapter-4-administrative-procedure-act/part-7-judicial-review-of-contested-cases/section-2-4-701-immediate-review-of-agency-action" TargetMode="External"/><Relationship Id="rId2703" Type="http://schemas.openxmlformats.org/officeDocument/2006/relationships/hyperlink" Target="https://public.fastcase.com/J%2FJP6pdidelsXxEE4k%2BLMvAA4wdVAozHclcXP6KMfdj8CYqWYkZ5IhtTDMjNxRFWt37yGVInB8Zz%2FIGBMgeG32vITwI53h9KaHKQGHtOktA%3D?utm_medium=email&amp;_hsmi=226712652&amp;_hsenc=p2ANqtz-_Mw2AEs2jMeK8CMsm-FXL9B_q1HIVWLrxWyxNhgUshAzXtvMAG3R8e40Q3eYuBvp5AUcCDxAlMrpInvyyHAC9DF5hGYw&amp;utm_content=226712652&amp;utm_source=hs_email" TargetMode="External"/><Relationship Id="rId2910" Type="http://schemas.openxmlformats.org/officeDocument/2006/relationships/hyperlink" Target="https://www.journal-news.com/news/local/fairfield-able-rehire-retired-fire-chief/JMPkJQCqJ2eIDqbu2eI8RK/" TargetMode="External"/><Relationship Id="rId1512" Type="http://schemas.openxmlformats.org/officeDocument/2006/relationships/hyperlink" Target="https://public.fastcase.com/Jhe1Qn%2BmJndQYQU6z%2FeNm77nYWugAlzsBoxNmmqkM3E6Q88Vkqy0VZ5SiNrQruK%2B?utm_medium=email&amp;_hsenc=p2ANqtz-9AvFND94NtmZ3W9IwgKnyu4_gZwqiYmIH5_4QpXW_NHE8WVWhb5SJK4Whyo4GFBslMpA9EnrqLvXRYy-" TargetMode="External"/><Relationship Id="rId1817" Type="http://schemas.openxmlformats.org/officeDocument/2006/relationships/hyperlink" Target="https://public.fastcase.com/H1P9uiW3J20SFp%2BGCG%2BxLeHSDVXVzY4x%2FiI%2F4JAOmhXpvt%2FfNBAZjz4LKds0Mto6?utm_medium=email&amp;_hsmi=226712652&amp;_hsenc=p2ANqtz-_SyWNVWtV5-tteBsEO4doKNFedyWegAxLclup35D1iuddv31pPNK7Mxz83D6yx-CsHYOnImh2IAPqInLsAyxym-pCJTQ&amp;utm_content=226712652&amp;utm_source=hs_email" TargetMode="External"/><Relationship Id="rId11" Type="http://schemas.openxmlformats.org/officeDocument/2006/relationships/image" Target="media/image2.png"/><Relationship Id="rId398" Type="http://schemas.openxmlformats.org/officeDocument/2006/relationships/hyperlink" Target="https://stocktonia.org/news/public-safety/2024/08/22/man-given-15-years-to-life-for-fatally-shooting-fire-captain-in-2022/" TargetMode="External"/><Relationship Id="rId2079" Type="http://schemas.openxmlformats.org/officeDocument/2006/relationships/hyperlink" Target="https://cases.justia.com/illinois/court-of-appeals-fifth-appellate-district/2025-5-24-0729-0.pdf?ts=1764692248" TargetMode="External"/><Relationship Id="rId160" Type="http://schemas.openxmlformats.org/officeDocument/2006/relationships/hyperlink" Target="https://wsau.com/2022/03/02/wausau-man-sentenced-in-arson-case/" TargetMode="External"/><Relationship Id="rId2286" Type="http://schemas.openxmlformats.org/officeDocument/2006/relationships/hyperlink" Target="https://public.fastcase.com/waZtJvSA54UAurM2rmIZzwN7i243%2F%2BStZpHYDBkc8sGpJscx%2FQQ27pdU9Jjrp4oC%2BDoaG82WuBlPphdis3f1N3UPtlVqun2jEuCWxYyqQWw%3D" TargetMode="External"/><Relationship Id="rId2493" Type="http://schemas.openxmlformats.org/officeDocument/2006/relationships/hyperlink" Target="https://app.leg.wa.gov/RCW/default.aspx?cite=18.71.200" TargetMode="External"/><Relationship Id="rId258" Type="http://schemas.openxmlformats.org/officeDocument/2006/relationships/hyperlink" Target="https://www.usatoday.com/story/news/politics/2021/08/27/supreme-court-blocks-president-bidens-covid-19-eviction-moratorium/8243599002/" TargetMode="External"/><Relationship Id="rId465" Type="http://schemas.openxmlformats.org/officeDocument/2006/relationships/hyperlink" Target="https://cases.justia.com/arizona/court-of-appeals-division-two-unpublished/2024-2-ca-cr-2024-0065.pdf?ts=1730333249" TargetMode="External"/><Relationship Id="rId672" Type="http://schemas.openxmlformats.org/officeDocument/2006/relationships/hyperlink" Target="https://www2.ca3.uscourts.gov/opinarch/231900p.pdf" TargetMode="External"/><Relationship Id="rId1095" Type="http://schemas.openxmlformats.org/officeDocument/2006/relationships/hyperlink" Target="https://www.courtswv.gov/sites/default/pubfilesmnt/2024-03/23-ICA-446_MD.pdf" TargetMode="External"/><Relationship Id="rId2146" Type="http://schemas.openxmlformats.org/officeDocument/2006/relationships/hyperlink" Target="https://www.dccourts.gov/sites/default/files/2024-05/Austin%20v.%20US%2022-CF-0085.pdf" TargetMode="External"/><Relationship Id="rId2353" Type="http://schemas.openxmlformats.org/officeDocument/2006/relationships/hyperlink" Target="https://cdn.ymaws.com/aams.site-ym.com/resource/resmgr/website_resources/aams_statements/aams_statementonbalancebilli.pdf" TargetMode="External"/><Relationship Id="rId2560" Type="http://schemas.openxmlformats.org/officeDocument/2006/relationships/hyperlink" Target="https://cases.justia.com/federal/district-courts/north-carolina/ncmdce/1:2024cv00450/98804/21/0.pdf?ts=1743522862" TargetMode="External"/><Relationship Id="rId2798" Type="http://schemas.openxmlformats.org/officeDocument/2006/relationships/hyperlink" Target="http://www.tncourts.gov/sites/default/files/moss.paul_.opn_.pdf" TargetMode="External"/><Relationship Id="rId118" Type="http://schemas.openxmlformats.org/officeDocument/2006/relationships/hyperlink" Target="https://ilcourtsaudio.blob.core.windows.net/antilles-resources/resources/b35fd65d-f662-4e1a-abeb-4f9e1aa279eb/People%20v.%20Parke,%202024%20IL%20App%20(5th)%20220703-U.pdf" TargetMode="External"/><Relationship Id="rId325" Type="http://schemas.openxmlformats.org/officeDocument/2006/relationships/hyperlink" Target="https://scholar.google.com/scholar_case?case=11404623739922196630&amp;q=Kumho+Tire+Co.+v.+Carmichael&amp;hl=en&amp;as_sdt=6,36&amp;as_vis=1" TargetMode="External"/><Relationship Id="rId532" Type="http://schemas.openxmlformats.org/officeDocument/2006/relationships/hyperlink" Target="https://law.justia.com/cases/new-york/other-courts/2022/2022-ny-slip-op-34279-u.html" TargetMode="External"/><Relationship Id="rId977" Type="http://schemas.openxmlformats.org/officeDocument/2006/relationships/hyperlink" Target="https://cases.justia.com/texas/fourteenth-court-of-appeals/2024-14-23-00087-cv.pdf?ts=1709819934" TargetMode="External"/><Relationship Id="rId1162" Type="http://schemas.openxmlformats.org/officeDocument/2006/relationships/hyperlink" Target="https://public.fastcase.com/J%2FJP6pdidelsXxEE4k%2BLMgZsxRPxIagHaOxK3V7dyuXFeFyB6fz1Dln4tTh4Jm%2FUrhr8rAmwFuGj0jKVlSZT92lB7laeHNqW0rDlXNrGxCk%3D?utm_medium=email&amp;_hsmi=226712652&amp;_hsenc=p2ANqtz-88sbIkrx-fKIJNKIHom0LKoVEBAjtP4sRnfpcv7MlL8ga8F7YTwpRtQY7XbucL3D6C1qELcyLUMrsKcjyI3sLUlue5QA&amp;utm_content=226712652&amp;utm_source=hs_email" TargetMode="External"/><Relationship Id="rId2006" Type="http://schemas.openxmlformats.org/officeDocument/2006/relationships/hyperlink" Target="https://scholar.google.com/scholar_case?case=8759932085982657853&amp;q=Pennsylvania+%22overdose+response%22&amp;hl=en&amp;as_sdt=6,36&amp;as_ylo=2020" TargetMode="External"/><Relationship Id="rId2213" Type="http://schemas.openxmlformats.org/officeDocument/2006/relationships/hyperlink" Target="https://www.detroitnews.com/story/news/local/oakland-county/2020/12/10/paramedics-case-dead-woman-alive-can-regain-licenses/3883292001/" TargetMode="External"/><Relationship Id="rId2420" Type="http://schemas.openxmlformats.org/officeDocument/2006/relationships/hyperlink" Target="https://law.justia.com/cases/new-york/other-courts/2019/2019-ny-slip-op-30983-u.html" TargetMode="External"/><Relationship Id="rId2658" Type="http://schemas.openxmlformats.org/officeDocument/2006/relationships/hyperlink" Target="https://www.courts.nh.gov/sites/g/files/ehbemt471/files/documents/2024-03/20230083stone.pdf" TargetMode="External"/><Relationship Id="rId2865" Type="http://schemas.openxmlformats.org/officeDocument/2006/relationships/hyperlink" Target="https://www.supremecourt.ohio.gov/rod/docs/pdf/11/2024/2024-Ohio-6002.pdf" TargetMode="External"/><Relationship Id="rId837" Type="http://schemas.openxmlformats.org/officeDocument/2006/relationships/hyperlink" Target="http://www.pacourts.us/assets/opinions/Superior/out/j-s12006-19o%20-%2010413599977313050.pdf" TargetMode="External"/><Relationship Id="rId1022" Type="http://schemas.openxmlformats.org/officeDocument/2006/relationships/hyperlink" Target="http://codes.ohio.gov/orc/4511.03v1" TargetMode="External"/><Relationship Id="rId1467" Type="http://schemas.openxmlformats.org/officeDocument/2006/relationships/hyperlink" Target="https://public.fastcase.com/Wl%2B2t%2BeVuI35%2FN70vAMFZsLQ8Zjgb2jk542DjlxpVQs5PCG3jEwwTTQV0VgsrBHY" TargetMode="External"/><Relationship Id="rId1674" Type="http://schemas.openxmlformats.org/officeDocument/2006/relationships/hyperlink" Target="https://casetext.com/case/hauptrief-v-telford-1" TargetMode="External"/><Relationship Id="rId1881" Type="http://schemas.openxmlformats.org/officeDocument/2006/relationships/hyperlink" Target="https://cdn.ymaws.com/www.roa.org/resource/resmgr/LawReviews/2016/16065-LR.pdf" TargetMode="External"/><Relationship Id="rId2518" Type="http://schemas.openxmlformats.org/officeDocument/2006/relationships/hyperlink" Target="https://www.njcourts.gov/attorneys/assets/opinions/appellate/unpublished/a3633-19.pdf" TargetMode="External"/><Relationship Id="rId2725" Type="http://schemas.openxmlformats.org/officeDocument/2006/relationships/hyperlink" Target="https://www.tncourts.gov/sites/default/files/pryebeverlyopn.pdf" TargetMode="External"/><Relationship Id="rId2932" Type="http://schemas.openxmlformats.org/officeDocument/2006/relationships/hyperlink" Target="https://law.justia.com/cases/new-york/appellate-division-second-department/2019/2016-10658.html" TargetMode="External"/><Relationship Id="rId904" Type="http://schemas.openxmlformats.org/officeDocument/2006/relationships/hyperlink" Target="https://www.eff.org/files/2022/07/11/2022-07-11_-_tenth_circuit_-_irizarry_v_yehia.pdf" TargetMode="External"/><Relationship Id="rId1327" Type="http://schemas.openxmlformats.org/officeDocument/2006/relationships/hyperlink" Target="https://www.courts.state.md.us/data/opinions/cosa/2018/0319s17.pdf" TargetMode="External"/><Relationship Id="rId1534" Type="http://schemas.openxmlformats.org/officeDocument/2006/relationships/hyperlink" Target="https://www.justsecurity.org/wp-content/uploads/2025/02/National-Association-of-Diversity-Officers-in-Higher-Education-v.-Trump-feb-21-2025.pdf" TargetMode="External"/><Relationship Id="rId1741" Type="http://schemas.openxmlformats.org/officeDocument/2006/relationships/hyperlink" Target="https://www.courthousenews.com/firemans-beard-bias-claims-given-a-trim/" TargetMode="External"/><Relationship Id="rId1979" Type="http://schemas.openxmlformats.org/officeDocument/2006/relationships/hyperlink" Target="https://patersontimes.com/2019/12/09/judge-orders-paterson-firefighter-terminated-for-failing-drug-test-reinstated/" TargetMode="External"/><Relationship Id="rId33" Type="http://schemas.openxmlformats.org/officeDocument/2006/relationships/hyperlink" Target="https://www.supremecourt.ohio.gov/rod/docs/pdf/0/2026/2026-Ohio-1849.pdf" TargetMode="External"/><Relationship Id="rId1601" Type="http://schemas.openxmlformats.org/officeDocument/2006/relationships/hyperlink" Target="https://law.justia.com/cases/federal/appellate-courts/ca2/20-456/20-456-2021-06-09.html" TargetMode="External"/><Relationship Id="rId1839" Type="http://schemas.openxmlformats.org/officeDocument/2006/relationships/hyperlink" Target="https://public.fastcase.com/ZZhmr5v9wN%2FXOe5IsQ%2FqD%2Bile%2Foxyp5Z8Q8kvhZNO7gH1c2Z5qHls9xhvmb3awOvR3bsCkmvAqMtioFMMuxMBzUhvRQhP83bmryZorCoTbI%3D?utm_medium=email&amp;_hsmi=226712652&amp;_hsenc=p2ANqtz--nFpNqY7MlHedt-bGY2IVgigc3ATGuPz0zM2ZOCoWHuze-qmefTR0632sWWVlZvaDJFdCD_Gl1V9HSDzdZa4P3MSrw7A&amp;utm_content=226712652&amp;utm_source=hs_email" TargetMode="External"/><Relationship Id="rId182" Type="http://schemas.openxmlformats.org/officeDocument/2006/relationships/hyperlink" Target="https://public.fastcase.com/ZZhmr5v9wN%2FXOe5IsQ%2FqD6Xx7tREqB5H6wemtf0NyhN8u4NUZnGSAantyLeysRAmLMoHIDaVROEStimemn37zFtbEUi2roRyzYg1DUQ2CNY%3D?utm_medium=email&amp;_hsmi=226712652&amp;_hsenc=p2ANqtz--Q_3moeDoiaeECqEOwyhE0ZXPhDkG4WMrF3I2hrcVk-DQ0PMStF7btAcv6bivJ44RNtnNn6LFTST6ermzb3easneInYg&amp;utm_content=226712652&amp;utm_source=hs_email" TargetMode="External"/><Relationship Id="rId1906" Type="http://schemas.openxmlformats.org/officeDocument/2006/relationships/hyperlink" Target="https://www.justice.gov/opa/pr/justice-department-files-lawsuit-against-city-chicago-enforce-userra-rights-us-army-reservist" TargetMode="External"/><Relationship Id="rId487" Type="http://schemas.openxmlformats.org/officeDocument/2006/relationships/hyperlink" Target="https://caselaw.findlaw.com/court/in-court-of-appeals/116108297.html" TargetMode="External"/><Relationship Id="rId694" Type="http://schemas.openxmlformats.org/officeDocument/2006/relationships/hyperlink" Target="https://krcrtv.com/news/local/long-awaited-settlement-conference-in-fawn-fire-arson-case-brings-hope-to-victims" TargetMode="External"/><Relationship Id="rId2070" Type="http://schemas.openxmlformats.org/officeDocument/2006/relationships/hyperlink" Target="https://www.supremecourt.ohio.gov/rod/docs/pdf/11/2026/2026-Ohio-67.pdf" TargetMode="External"/><Relationship Id="rId2168" Type="http://schemas.openxmlformats.org/officeDocument/2006/relationships/hyperlink" Target="https://www.ems1.com/lawsuit/articles/suit-claims-utah-providers-fatally-injected-teen-with-large-ketamine-dose-after-car-crash-nkmBexayJBAx5TCo/" TargetMode="External"/><Relationship Id="rId2375" Type="http://schemas.openxmlformats.org/officeDocument/2006/relationships/hyperlink" Target="https://law.justia.com/cases/texas/first-court-of-appeals/2020/01-19-00255-cv.html" TargetMode="External"/><Relationship Id="rId347" Type="http://schemas.openxmlformats.org/officeDocument/2006/relationships/hyperlink" Target="https://cases.justia.com/texas/second-court-of-appeals/2019-02-18-00333-cr.pdf?ts=1558106104" TargetMode="External"/><Relationship Id="rId999" Type="http://schemas.openxmlformats.org/officeDocument/2006/relationships/hyperlink" Target="https://casetext.com/case/schultz-v-st-clair-cnty-2" TargetMode="External"/><Relationship Id="rId1184" Type="http://schemas.openxmlformats.org/officeDocument/2006/relationships/hyperlink" Target="https://casetext.com/case/regan-v-city-of-philadelphia-workers-comp-appeal-board" TargetMode="External"/><Relationship Id="rId2028" Type="http://schemas.openxmlformats.org/officeDocument/2006/relationships/hyperlink" Target="https://cdn.ca9.uscourts.gov/datastore/memoranda/2026/07/10/25-3863.pdf" TargetMode="External"/><Relationship Id="rId2582" Type="http://schemas.openxmlformats.org/officeDocument/2006/relationships/hyperlink" Target="https://www.govinfo.gov/content/pkg/USCOURTS-ca11-25-11434/pdf/USCOURTS-ca11-25-11434-0.pdf" TargetMode="External"/><Relationship Id="rId2887" Type="http://schemas.openxmlformats.org/officeDocument/2006/relationships/hyperlink" Target="https://casetext.com/case/state-v-state-empt-relations-bd-2" TargetMode="External"/><Relationship Id="rId554" Type="http://schemas.openxmlformats.org/officeDocument/2006/relationships/hyperlink" Target="https://public.fastcase.com/9SKwsfNqTc6OieYDhNMyM3Zf%2BPwzrkIbdAwXmhTtl8LsaOGFJIHcsZBv5iyM%2B426E1WD6poza6PbNV5FFspTPxqJQS%2BqrXpJYGMVjXOs9qA%3D" TargetMode="External"/><Relationship Id="rId761" Type="http://schemas.openxmlformats.org/officeDocument/2006/relationships/hyperlink" Target="https://www.thestate.com/news/local/crime/article120075733.html" TargetMode="External"/><Relationship Id="rId859" Type="http://schemas.openxmlformats.org/officeDocument/2006/relationships/hyperlink" Target="https://www.jud.ct.gov/external/supapp/Cases/AROcr/CR354/CR354.35.pdf" TargetMode="External"/><Relationship Id="rId1391" Type="http://schemas.openxmlformats.org/officeDocument/2006/relationships/hyperlink" Target="https://codes.ohio.gov/ohio-revised-code/section-4112.02" TargetMode="External"/><Relationship Id="rId1489" Type="http://schemas.openxmlformats.org/officeDocument/2006/relationships/hyperlink" Target="https://www.eeoc.gov/eeoc/newsroom/release/6-13-18.cfm" TargetMode="External"/><Relationship Id="rId1696" Type="http://schemas.openxmlformats.org/officeDocument/2006/relationships/hyperlink" Target="https://public.fastcase.com/ZZhmr5v9wN%2FXOe5IsQ%2FqD0vptgQgkTgOc2XpReLMSYnB1s%2FjY6uEmfEHbXjNZYzwjdaE47PHCuenuGKG11vJGyDk8SuwK4ZV%2BjmAhdBj8vo%3D?utm_medium=email&amp;_hsmi=226712652&amp;_hsenc=p2ANqtz-8f3GbrLnvkkmFwGTcrnfHBUbhSWsI9S9n17c5FNvxL__Rb5dkxAl0xkukh9Thg8SYUm21fgYbaYJ57SsEv3B3vwn_tCQ&amp;utm_content=226712652&amp;utm_source=hs_email" TargetMode="External"/><Relationship Id="rId2235" Type="http://schemas.openxmlformats.org/officeDocument/2006/relationships/hyperlink" Target="https://codes.ohio.gov/ohio-revised-code/section-2745.01" TargetMode="External"/><Relationship Id="rId2442" Type="http://schemas.openxmlformats.org/officeDocument/2006/relationships/hyperlink" Target="https://cases.justia.com/federal/district-courts/virginia/vaedce/3:2017cv00167/360316/92/0.pdf?ts=1527856286" TargetMode="External"/><Relationship Id="rId207" Type="http://schemas.openxmlformats.org/officeDocument/2006/relationships/hyperlink" Target="https://law.justia.com/cases/federal/appellate-courts/ca4/21-2059/21-2059-2023-01-19.html" TargetMode="External"/><Relationship Id="rId414" Type="http://schemas.openxmlformats.org/officeDocument/2006/relationships/hyperlink" Target="https://cases.justia.com/federal/district-courts/new-york/nyndce/6:2024cv00956/144608/40/0.pdf?ts=1769171952" TargetMode="External"/><Relationship Id="rId621" Type="http://schemas.openxmlformats.org/officeDocument/2006/relationships/hyperlink" Target="https://cases.justia.com/kentucky/court-of-appeals/2018-2016-ca-001534-mr.pdf?ts=1527861797" TargetMode="External"/><Relationship Id="rId1044" Type="http://schemas.openxmlformats.org/officeDocument/2006/relationships/hyperlink" Target="https://codes.ohio.gov/ohio-revised-code/section-505.381" TargetMode="External"/><Relationship Id="rId1251" Type="http://schemas.openxmlformats.org/officeDocument/2006/relationships/hyperlink" Target="https://www.eeoc.gov/statutes/age-discrimination-employment-act-1967" TargetMode="External"/><Relationship Id="rId1349" Type="http://schemas.openxmlformats.org/officeDocument/2006/relationships/hyperlink" Target="https://public.fastcase.com/Jhe1Qn%2BmJndQYQU6z%2FeNm28hiR351dlql3mVrX%2BsW%2FImhVx6LSAbrfZ7R6LP8TbVpSsTp59uwiaa1M%2BxYMu%2FQBeMVJpWoOyQUcFN4LagzoA%3D?utm_medium=email&amp;_hsenc=p2ANqtz-_AWahbnWxhCpMGQYhqfNcYdYivaiXkQGNq4hyWsJQjqDO6KUeS-ltttGyoOKYk2fjuNkb2NzSqvCRrJD1Iyf-ei7DoTw&amp;_hsmi=226712652&amp;utm_content=226712652&amp;utm_source=hs_email" TargetMode="External"/><Relationship Id="rId2302" Type="http://schemas.openxmlformats.org/officeDocument/2006/relationships/hyperlink" Target="https://codes.ohio.gov/ohio-revised-code/section-4511.194" TargetMode="External"/><Relationship Id="rId2747" Type="http://schemas.openxmlformats.org/officeDocument/2006/relationships/hyperlink" Target="https://www.leagle.com/decision/infdco20211006817" TargetMode="External"/><Relationship Id="rId2954" Type="http://schemas.openxmlformats.org/officeDocument/2006/relationships/hyperlink" Target="https://www.youtube.com/watch?v=US5dFGLzqQo" TargetMode="External"/><Relationship Id="rId719" Type="http://schemas.openxmlformats.org/officeDocument/2006/relationships/hyperlink" Target="https://www.motherjones.com/environment/2015/08/40-percent-californias-fires-are-fought-prison-inmates/" TargetMode="External"/><Relationship Id="rId926" Type="http://schemas.openxmlformats.org/officeDocument/2006/relationships/hyperlink" Target="https://casetext.com/case/christopher-m-v-mineo" TargetMode="External"/><Relationship Id="rId1111" Type="http://schemas.openxmlformats.org/officeDocument/2006/relationships/hyperlink" Target="https://ilcourtsaudio.blob.core.windows.net/antilles-resources/resources/db67e7e2-0717-4638-8c31-3e01bcc193d9/Faruzzi%20v.%20Illinois%20Workers%27%20Compensation%20Comm%27n,%202024%20IL%20App%20(1st)%20231896WC-U.pdf" TargetMode="External"/><Relationship Id="rId1556" Type="http://schemas.openxmlformats.org/officeDocument/2006/relationships/hyperlink" Target="https://public.fastcase.com/H1P9uiW3J20SFp%2BGCG%2BxLZkQf01yoKKyjTHIQ3i58nX%2B%2FAIlJ7l43hvEF8qKhahXQJQ44fkPKDzD6joZ4LsI7iTOFXPdH5%2Fv%2FKD427ldKjE%3D?utm_medium=email&amp;_hsmi=226712652&amp;_hsenc=p2ANqtz-_U89LkNl4P4fsnOucPHRbeGtR2XeKR1phEbD7-UuIt_KCX3oxL0CAr1yX56v7BapUY4ITdG8_rGIJJyhgPBOVmvvkgdg&amp;utm_content=226712652&amp;utm_source=hs_email" TargetMode="External"/><Relationship Id="rId1763" Type="http://schemas.openxmlformats.org/officeDocument/2006/relationships/hyperlink" Target="https://cases.justia.com/federal/district-courts/illinois/ilndce/1:2018cv08500/359885/139/0.pdf?ts=1594372800" TargetMode="External"/><Relationship Id="rId1970" Type="http://schemas.openxmlformats.org/officeDocument/2006/relationships/hyperlink" Target="https://www.nytimes.com/2022/03/03/health/sacklers-purdue-oxycontin-settlement.html" TargetMode="External"/><Relationship Id="rId2607" Type="http://schemas.openxmlformats.org/officeDocument/2006/relationships/hyperlink" Target="https://www.firerescue1.com/legal/l-a-county-pays-7-2m-to-family-of-firefighter-killed-in-firehouse-shooting" TargetMode="External"/><Relationship Id="rId2814" Type="http://schemas.openxmlformats.org/officeDocument/2006/relationships/hyperlink" Target="https://supreme.justia.com/cases/federal/us/391/563" TargetMode="External"/><Relationship Id="rId55" Type="http://schemas.openxmlformats.org/officeDocument/2006/relationships/hyperlink" Target="https://cases.justia.com/pennsylvania/supreme-court/2025-15-wap-2024-0.pdf?ts=1763559882" TargetMode="External"/><Relationship Id="rId1209" Type="http://schemas.openxmlformats.org/officeDocument/2006/relationships/hyperlink" Target="https://www.myarklamiss.com/news/local-news/bastrop-firefighters-fighting-for-their-pay-the-mayor-says-they-deserve-it/" TargetMode="External"/><Relationship Id="rId1416" Type="http://schemas.openxmlformats.org/officeDocument/2006/relationships/hyperlink" Target="https://public.fastcase.com/J%2FJP6pdidelsXxEE4k%2BLMhHGbq56VzoTk1JFKDMbyAsW64naZ9EKqTmGK9O1R3Wr9GeihMDs1Zh2VHQfJhn6l7jf8Y6MJiDUL4WQvVsRKlE%3D?utm_medium=email&amp;_hsmi=226712652&amp;_hsenc=p2ANqtz-8S41Im3p2bNEgWstI4h7IIgl63Egh37Z-OzcnjQev0mJue-BzqLfMZTGtGKB_KMNSyA32EmSFNwIWzkboUxTkEerO4Tg&amp;utm_content=226712652&amp;utm_source=hs_email" TargetMode="External"/><Relationship Id="rId1623" Type="http://schemas.openxmlformats.org/officeDocument/2006/relationships/hyperlink" Target="https://law.justia.com/cases/florida/third-district-court-of-appeal/2020/3d19-1144.html" TargetMode="External"/><Relationship Id="rId1830" Type="http://schemas.openxmlformats.org/officeDocument/2006/relationships/hyperlink" Target="http://www.dol.gov/agencies/whd" TargetMode="External"/><Relationship Id="rId1928" Type="http://schemas.openxmlformats.org/officeDocument/2006/relationships/hyperlink" Target="https://www.njcourts.gov/system/files/court-opinions/2026/a3876-23a3886-23.pdf" TargetMode="External"/><Relationship Id="rId2092" Type="http://schemas.openxmlformats.org/officeDocument/2006/relationships/hyperlink" Target="https://cases.justia.com/alabama/supreme-court/2025-sc-2025-0055.pdf?ts=1756474207" TargetMode="External"/><Relationship Id="rId271" Type="http://schemas.openxmlformats.org/officeDocument/2006/relationships/hyperlink" Target="https://www.supremecourt.gov/opinions/20pdf/19-292_21p3.pdf" TargetMode="External"/><Relationship Id="rId2397" Type="http://schemas.openxmlformats.org/officeDocument/2006/relationships/hyperlink" Target="https://public.fastcase.com/Wl%2B2t%2BeVuI35%2FN70vAMFZqKFItzKKJAOGXNCbwUcRCkzx%2FKqq12PgRkvPC2fj024" TargetMode="External"/><Relationship Id="rId3003" Type="http://schemas.openxmlformats.org/officeDocument/2006/relationships/hyperlink" Target="https://cases.justia.com/texas/supreme-court/2020-18-0216-1.pdf?ts=1593180294" TargetMode="External"/><Relationship Id="rId131" Type="http://schemas.openxmlformats.org/officeDocument/2006/relationships/hyperlink" Target="https://cases.justia.com/texas/fourteenth-court-of-appeals/2024-14-23-00355-cr.pdf?ts=1724329963" TargetMode="External"/><Relationship Id="rId369" Type="http://schemas.openxmlformats.org/officeDocument/2006/relationships/hyperlink" Target="https://cases.justia.com/ohio/ninth-district-court-of-appeals/2018-28746.pdf?ts=1532525904" TargetMode="External"/><Relationship Id="rId576" Type="http://schemas.openxmlformats.org/officeDocument/2006/relationships/hyperlink" Target="https://www.leagle.com/decision/infdco20200526m70" TargetMode="External"/><Relationship Id="rId783" Type="http://schemas.openxmlformats.org/officeDocument/2006/relationships/hyperlink" Target="https://www.supremecourt.gov/opinions/20pdf/19-863_6jgm.pdf" TargetMode="External"/><Relationship Id="rId990" Type="http://schemas.openxmlformats.org/officeDocument/2006/relationships/hyperlink" Target="https://casetext.com/case/city-of-alvin-v-fields" TargetMode="External"/><Relationship Id="rId2257" Type="http://schemas.openxmlformats.org/officeDocument/2006/relationships/hyperlink" Target="https://law.justia.com/cases/texas/first-court-of-appeals/2022/01-21-00422-cv.html" TargetMode="External"/><Relationship Id="rId2464" Type="http://schemas.openxmlformats.org/officeDocument/2006/relationships/hyperlink" Target="https://www.njcourts.gov/system/files/court-opinions/2026/a0161-24.pdf" TargetMode="External"/><Relationship Id="rId2671" Type="http://schemas.openxmlformats.org/officeDocument/2006/relationships/hyperlink" Target="https://cases.justia.com/federal/district-courts/michigan/miedce/2:2023cv10051/366865/15/0.pdf?ts=1700584910" TargetMode="External"/><Relationship Id="rId229" Type="http://schemas.openxmlformats.org/officeDocument/2006/relationships/hyperlink" Target="https://ilcourtsaudio.blob.core.windows.net/antilles-resources/resources/d420bdc6-9c63-45de-9274-2f897cb58b7d/People%20v.%20Griffin,%202022%20IL%20App%20(4th)%20210360-U.pdf" TargetMode="External"/><Relationship Id="rId436" Type="http://schemas.openxmlformats.org/officeDocument/2006/relationships/hyperlink" Target="https://indianacapitalchronicle.com/briefs/buffer-zone-clarification-heads-to-governors-desk/" TargetMode="External"/><Relationship Id="rId643" Type="http://schemas.openxmlformats.org/officeDocument/2006/relationships/hyperlink" Target="https://www.law.cornell.edu/uscode/text/28/1605A" TargetMode="External"/><Relationship Id="rId1066" Type="http://schemas.openxmlformats.org/officeDocument/2006/relationships/hyperlink" Target="https://cases.justia.com/new-york/other-courts/2025-2025-ny-slip-op-33207-u.pdf?ts=1757714614" TargetMode="External"/><Relationship Id="rId1273" Type="http://schemas.openxmlformats.org/officeDocument/2006/relationships/hyperlink" Target="http://app.leg.wa.gov/RCW/default.aspx?cite=51.08.140" TargetMode="External"/><Relationship Id="rId1480" Type="http://schemas.openxmlformats.org/officeDocument/2006/relationships/hyperlink" Target="https://cases.justia.com/federal/district-courts/illinois/ilndce/1:2018cv03054/351942/211/0.pdf?ts=1558430418" TargetMode="External"/><Relationship Id="rId2117" Type="http://schemas.openxmlformats.org/officeDocument/2006/relationships/hyperlink" Target="https://casetext.com/statute/general-laws-of-massachusetts/part-i-administration-of-the-government/title-xxi-labor-and-industries/chapter-149-labor-and-industries/section-149187-health-care-providers-protection-from-retaliatory-action-by-health-care-facilities" TargetMode="External"/><Relationship Id="rId2324" Type="http://schemas.openxmlformats.org/officeDocument/2006/relationships/hyperlink" Target="https://www.zanesvilletimesrecorder.com/story/news/local/2016/12/17/two-dead-after-ambulance-rollover/95557626/" TargetMode="External"/><Relationship Id="rId2769" Type="http://schemas.openxmlformats.org/officeDocument/2006/relationships/hyperlink" Target="https://www.latimes.com/local/lanow/la-me-ln-ex-cal-fire-chief-convicted-stabbing-girlfriend-20150624-story.html" TargetMode="External"/><Relationship Id="rId2976" Type="http://schemas.openxmlformats.org/officeDocument/2006/relationships/hyperlink" Target="https://casetext.com/case/freres-timber-inc-v-the-united-states" TargetMode="External"/><Relationship Id="rId850" Type="http://schemas.openxmlformats.org/officeDocument/2006/relationships/hyperlink" Target="https://www.law.com/newyorklawjournal/2018/06/06/2nd-circuit-revives-911-workers-suit-against-battery-park-city-authority/" TargetMode="External"/><Relationship Id="rId948" Type="http://schemas.openxmlformats.org/officeDocument/2006/relationships/hyperlink" Target="https://www.ems1.com/ems-products/ambulance-safety/articles/6-lifesaving-seat-belt-tips-for-emts-and-paramedics-Xz0h9ek4lqN37Hmc/" TargetMode="External"/><Relationship Id="rId1133" Type="http://schemas.openxmlformats.org/officeDocument/2006/relationships/hyperlink" Target="https://www.pacourts.us/assets/opinions/Commonwealth/out/726CD22_10-3-23.pdf?cb=1" TargetMode="External"/><Relationship Id="rId1578" Type="http://schemas.openxmlformats.org/officeDocument/2006/relationships/hyperlink" Target="https://www.fiercehealthcare.com/providers/hennepin-health-accused-deeply-rooted-racism-following-blackface-excited-delirium" TargetMode="External"/><Relationship Id="rId1785" Type="http://schemas.openxmlformats.org/officeDocument/2006/relationships/hyperlink" Target="https://www.firefighterovertime.org/2018/09/17/battalion/" TargetMode="External"/><Relationship Id="rId1992" Type="http://schemas.openxmlformats.org/officeDocument/2006/relationships/hyperlink" Target="https://www.fox2detroit.com/news/detroit-fire-chief-investigated-for-taking-department-car-to-bar" TargetMode="External"/><Relationship Id="rId2531" Type="http://schemas.openxmlformats.org/officeDocument/2006/relationships/hyperlink" Target="https://law.justia.com/cases/new-york/appellate-division-third-department/2021/532779.html" TargetMode="External"/><Relationship Id="rId2629" Type="http://schemas.openxmlformats.org/officeDocument/2006/relationships/hyperlink" Target="https://dsp.delaware.gov/2023/01/13/former-deputy-fire-chief-arrested-for-rape/" TargetMode="External"/><Relationship Id="rId2836" Type="http://schemas.openxmlformats.org/officeDocument/2006/relationships/hyperlink" Target="http://www.wpri.com/news/supreme-court-sides-with-providence-in-dispute-over-weightlifting-firefighters-disability-pension/1082484435" TargetMode="External"/><Relationship Id="rId77" Type="http://schemas.openxmlformats.org/officeDocument/2006/relationships/hyperlink" Target="https://www.supremecourt.ohio.gov/rod/docs/pdf/7/2025/2025-Ohio-1915.pdf" TargetMode="External"/><Relationship Id="rId503" Type="http://schemas.openxmlformats.org/officeDocument/2006/relationships/hyperlink" Target="https://casetext.com/case/dependent-of-hayes-v-city-of-eldorado-springs" TargetMode="External"/><Relationship Id="rId710" Type="http://schemas.openxmlformats.org/officeDocument/2006/relationships/hyperlink" Target="https://casetext.com/case/coal-for-indep-tech-research-v-abbott" TargetMode="External"/><Relationship Id="rId808" Type="http://schemas.openxmlformats.org/officeDocument/2006/relationships/hyperlink" Target="https://www.govinfo.gov/content/pkg/FR-2020-08-13/pdf/2020-17468.pd" TargetMode="External"/><Relationship Id="rId1340" Type="http://schemas.openxmlformats.org/officeDocument/2006/relationships/hyperlink" Target="https://www.scotusblog.com/case-files/cases/new-prime-inc-v-oliveira/" TargetMode="External"/><Relationship Id="rId1438" Type="http://schemas.openxmlformats.org/officeDocument/2006/relationships/hyperlink" Target="https://scholar.google.com/scholar_case?case=18355840808386135290&amp;hl=en&amp;as_sdt=6&amp;as_vis=1&amp;oi=scholarr" TargetMode="External"/><Relationship Id="rId1645" Type="http://schemas.openxmlformats.org/officeDocument/2006/relationships/hyperlink" Target="http://www.nydailynews.com/new-york/city-pay-98-million-fdny-discrimination-case-article-1.1725702" TargetMode="External"/><Relationship Id="rId1200" Type="http://schemas.openxmlformats.org/officeDocument/2006/relationships/hyperlink" Target="https://www.schafer-and-schafer.com/workers-compensation/heart-and-hypertension/" TargetMode="External"/><Relationship Id="rId1852" Type="http://schemas.openxmlformats.org/officeDocument/2006/relationships/hyperlink" Target="https://www.law.cornell.edu/uscode/text/29/260" TargetMode="External"/><Relationship Id="rId2903" Type="http://schemas.openxmlformats.org/officeDocument/2006/relationships/hyperlink" Target="https://law.justia.com/cases/pennsylvania/commonwealth-court/2022/242-c-d-2022.html" TargetMode="External"/><Relationship Id="rId1505" Type="http://schemas.openxmlformats.org/officeDocument/2006/relationships/hyperlink" Target="https://cases.justia.com/federal/appellate-courts/ca4/25-1440/25-1440-2026-06-24.pdf?ts=1782325881" TargetMode="External"/><Relationship Id="rId1712" Type="http://schemas.openxmlformats.org/officeDocument/2006/relationships/hyperlink" Target="https://law.justia.com/cases/federal/district-courts/delaware/dedce/1:2021cv01726/77337/17/" TargetMode="External"/><Relationship Id="rId293" Type="http://schemas.openxmlformats.org/officeDocument/2006/relationships/hyperlink" Target="https://public.fastcase.com/Wl%2B2t%2BeVuI35%2FN70vAMFZsWJ6AvEppVwuFRKTwz4M5aFuXQum0lUiq0Q02rKgFN1" TargetMode="External"/><Relationship Id="rId2181" Type="http://schemas.openxmlformats.org/officeDocument/2006/relationships/hyperlink" Target="https://public.fastcase.com/H1P9uiW3J20SFp%2BGCG%2BxLWaE5rZYr2H4Ujam%2BycZ4mpAt0doHRie9oUlcl2qsPlk?utm_medium=email&amp;_hsmi=226712652&amp;_hsenc=p2ANqtz-_AW42DW2ZKsbYvGhsf40qi8tEpXVEeEydLzmuxudQnQi0lg_TvDjKAtr1z0dXm_j1xtTRfnovBA_RTcYhjFA_6sdUkCw&amp;utm_content=226712652&amp;utm_source=hs_email" TargetMode="External"/><Relationship Id="rId153" Type="http://schemas.openxmlformats.org/officeDocument/2006/relationships/hyperlink" Target="https://public.fastcase.com/H1P9uiW3J20SFp%2BGCG%2BxLV1UD86YIpCG84PV7X%2BpnT1bSBvGb5%2F4r%2Bji24INAH28OEKlXyJ%2BAop5b2VZ9ytUlZZgkAmHpAE%2FiqsvJv8QoS0%3D?utm_medium=email&amp;_hsmi=226712652&amp;_hsenc=p2ANqtz--ZkRdN2zXdoxrl3owB4KoaH3odsucPmvtI49_VzIkvckm0OogBea4uvwy0e_nUnYms3ZfEOMqgWPnXMJBVQxzHG3rvjg&amp;utm_content=226712652&amp;utm_source=hs_email" TargetMode="External"/><Relationship Id="rId360" Type="http://schemas.openxmlformats.org/officeDocument/2006/relationships/hyperlink" Target="https://cases.justia.com/federal/appellate-courts/ca7/17-3060/17-3060-2018-08-14.pdf?ts=1534262420" TargetMode="External"/><Relationship Id="rId598" Type="http://schemas.openxmlformats.org/officeDocument/2006/relationships/hyperlink" Target="https://shawkeller.com/wp-content/uploads/opinions-pdf/18-1252-CMMPT.pdf" TargetMode="External"/><Relationship Id="rId2041" Type="http://schemas.openxmlformats.org/officeDocument/2006/relationships/hyperlink" Target="https://www.coloradojudicial.gov/system/files/opinions-2026-06/24CA0675.pdf" TargetMode="External"/><Relationship Id="rId2279" Type="http://schemas.openxmlformats.org/officeDocument/2006/relationships/hyperlink" Target="https://www.leagle.com/decision/infdco20220324d64" TargetMode="External"/><Relationship Id="rId2486" Type="http://schemas.openxmlformats.org/officeDocument/2006/relationships/hyperlink" Target="https://afcca.law.af.mil/afcca_opinions/cp/giles_-_40482_u_2091447.pdf" TargetMode="External"/><Relationship Id="rId2693" Type="http://schemas.openxmlformats.org/officeDocument/2006/relationships/hyperlink" Target="https://public.fastcase.com/ppbqSQpNDaJE%2F8PlIk0b8GrZRoSxZNSyZ1IPMsly8LQqd8zJpEjl6u9Blu91YAS9" TargetMode="External"/><Relationship Id="rId220" Type="http://schemas.openxmlformats.org/officeDocument/2006/relationships/hyperlink" Target="https://casetext.com/case/commonwealth-v-wise-36" TargetMode="External"/><Relationship Id="rId458" Type="http://schemas.openxmlformats.org/officeDocument/2006/relationships/hyperlink" Target="https://www.youtube.com/watch?v=teM31tC2TMo" TargetMode="External"/><Relationship Id="rId665" Type="http://schemas.openxmlformats.org/officeDocument/2006/relationships/hyperlink" Target="https://media.ca7.uscourts.gov/cgi-bin/OpinionsWeb/processWebInputExternal.pl?Submit=Display&amp;Path=Y2025/D10-16/C:25-2798:J:PerCuriam:aut:T:op:N:3439487:S:0" TargetMode="External"/><Relationship Id="rId872" Type="http://schemas.openxmlformats.org/officeDocument/2006/relationships/hyperlink" Target="https://cases.justia.com/michigan/court-of-appeals-unpublished/2025-368583.pdf?ts=1747314007" TargetMode="External"/><Relationship Id="rId1088" Type="http://schemas.openxmlformats.org/officeDocument/2006/relationships/hyperlink" Target="https://cases.justia.com/pennsylvania/commonwealth-court/2025-923-c-d-2021.pdf?ts=1742398374" TargetMode="External"/><Relationship Id="rId1295" Type="http://schemas.openxmlformats.org/officeDocument/2006/relationships/hyperlink" Target="https://www.jud.ct.gov/external/supapp/Cases/AROcr/CR334/334CR12.pdf" TargetMode="External"/><Relationship Id="rId2139" Type="http://schemas.openxmlformats.org/officeDocument/2006/relationships/hyperlink" Target="https://revisor.mo.gov/main/OneSection.aspx?section=579.015" TargetMode="External"/><Relationship Id="rId2346" Type="http://schemas.openxmlformats.org/officeDocument/2006/relationships/hyperlink" Target="https://flsenate.gov/Laws/Statutes/2011/112.182" TargetMode="External"/><Relationship Id="rId2553" Type="http://schemas.openxmlformats.org/officeDocument/2006/relationships/hyperlink" Target="https://www4.courts.ca.gov/opinions/nonpub/A174302.PDF" TargetMode="External"/><Relationship Id="rId2760" Type="http://schemas.openxmlformats.org/officeDocument/2006/relationships/hyperlink" Target="https://www.massmunilaw.org/wp-content/uploads/2020/12/DIANE-LAWLESS-v.-CHERYL-ESTRELLA.pdf" TargetMode="External"/><Relationship Id="rId2998" Type="http://schemas.openxmlformats.org/officeDocument/2006/relationships/hyperlink" Target="https://project.wnyc.org/disciplinary-records/" TargetMode="External"/><Relationship Id="rId318" Type="http://schemas.openxmlformats.org/officeDocument/2006/relationships/hyperlink" Target="https://public.fastcase.com/Wl%2B2t%2BeVuI35%2FN70vAMFZgQb9URzc30c5cCnjaV%2BywxWbGQAvCbjQKWk6ixjSD1I" TargetMode="External"/><Relationship Id="rId525" Type="http://schemas.openxmlformats.org/officeDocument/2006/relationships/hyperlink" Target="https://www.firstcoastnews.com/article/news/local/judge-jacksonville-has-mechanism-to-deviate-from-rule-making-black-firefighters-shave/77-7e962b25-bfed-4f9c-817e-ba6883a1f94b" TargetMode="External"/><Relationship Id="rId732" Type="http://schemas.openxmlformats.org/officeDocument/2006/relationships/hyperlink" Target="https://mdcourts.gov/data/opinions/cosa/2023/0021s22.pdf" TargetMode="External"/><Relationship Id="rId1155" Type="http://schemas.openxmlformats.org/officeDocument/2006/relationships/hyperlink" Target="https://casetext.com/case/bolling-v-city-of-montgomery" TargetMode="External"/><Relationship Id="rId1362" Type="http://schemas.openxmlformats.org/officeDocument/2006/relationships/hyperlink" Target="https://www.supremecourt.gov/opinions/24pdf/23-1039_c0n2.pdf" TargetMode="External"/><Relationship Id="rId2206" Type="http://schemas.openxmlformats.org/officeDocument/2006/relationships/hyperlink" Target="https://www.opn.ca6.uscourts.gov/opinions.pdf/23a0237p-06.pdf" TargetMode="External"/><Relationship Id="rId2413" Type="http://schemas.openxmlformats.org/officeDocument/2006/relationships/hyperlink" Target="https://www.fresnobee.com/news/local/article167656267.html" TargetMode="External"/><Relationship Id="rId2620" Type="http://schemas.openxmlformats.org/officeDocument/2006/relationships/hyperlink" Target="https://cases.justia.com/federal/district-courts/ohio/ohsdce/1:2023cv00230/279336/47/0.pdf?ts=1756299215" TargetMode="External"/><Relationship Id="rId2858" Type="http://schemas.openxmlformats.org/officeDocument/2006/relationships/hyperlink" Target="https://civilinquiry.jud.ct.gov/DocumentInquiry/DocumentInquiry.aspx?DocumentNo=29998787" TargetMode="External"/><Relationship Id="rId99" Type="http://schemas.openxmlformats.org/officeDocument/2006/relationships/hyperlink" Target="https://www.justice.gov/opa/pr/justice-department-statements-supreme-courts-decision-tiktok-et-al-v-garland" TargetMode="External"/><Relationship Id="rId1015" Type="http://schemas.openxmlformats.org/officeDocument/2006/relationships/hyperlink" Target="https://public.fastcase.com/Wl%2B2t%2BeVuI35%2FN70vAMFZpcMKjA7NXtV8NizS7yUss6ITpHR1n8JduscQQ47RvF2" TargetMode="External"/><Relationship Id="rId1222" Type="http://schemas.openxmlformats.org/officeDocument/2006/relationships/hyperlink" Target="https://www.doi.gov/sites/doi.gov/files/migrated/flert/training/upload/General-FF-LEO-Retirement-Information-Pamphlet.pdf" TargetMode="External"/><Relationship Id="rId1667" Type="http://schemas.openxmlformats.org/officeDocument/2006/relationships/hyperlink" Target="https://sac.media/2023/05/09/former-west-covina-fire-chief-awarded-4-1-million-in-wrongful-termination-suit/" TargetMode="External"/><Relationship Id="rId1874" Type="http://schemas.openxmlformats.org/officeDocument/2006/relationships/hyperlink" Target="https://public.fastcase.com/Wl%2B2t%2BeVuI35%2FN70vAMFZq7BNtl3UAn66ukthA6exr4OG2Q55i9ib96ohnNtBuMo" TargetMode="External"/><Relationship Id="rId2718" Type="http://schemas.openxmlformats.org/officeDocument/2006/relationships/hyperlink" Target="https://public.fastcase.com/J%2FJP6pdidelsXxEE4k%2BLMrj3s4T1D9o6YeH1P6QHRjfPwtPh7UBJw6%2FlyLsxvHVQo4RL4odtX24b6W6EIP3%2BuhoyWwf2ZSyK36dgjdjOjEg%3D" TargetMode="External"/><Relationship Id="rId2925" Type="http://schemas.openxmlformats.org/officeDocument/2006/relationships/hyperlink" Target="https://www.ketv.com/article/nebraska-supreme-court-sides-with-omaha-fire-union-chief-in-dispute-with-city/37244601" TargetMode="External"/><Relationship Id="rId1527" Type="http://schemas.openxmlformats.org/officeDocument/2006/relationships/hyperlink" Target="https://www.ca5.uscourts.gov/opinions/unpub/24/24-60532.0.pdf" TargetMode="External"/><Relationship Id="rId1734" Type="http://schemas.openxmlformats.org/officeDocument/2006/relationships/hyperlink" Target="https://www.eeoc.gov/facts/pandemic_flu.html?mc_cid=0f5c4e93d9&amp;mc_eid=3f2d24c371" TargetMode="External"/><Relationship Id="rId1941" Type="http://schemas.openxmlformats.org/officeDocument/2006/relationships/hyperlink" Target="https://public.fastcase.com/jaEE2PXzRXmZ99jOLMt1It2Tjmgxo5hSPIplN9zr2RKL3xaZLK1Vh5eTa9w8Wk8pfXZv57sP%2BSheWcKHfFgy9Ah5Ev5ZnvIAKgdp6Yn%2FiQI%3D?utm_medium=email&amp;_hsenc=p2ANqtz-_xr08pWLevFeFI8Ge2XvipIP7qRBaDeRzA2aeNOeAMxf3drkc7WBb-blscAE4MgKHVvRlF4GyH0W6s2eAyYhQEv9ZP9w&amp;_hsmi=226712652&amp;utm_content=226712652&amp;utm_source=hs_email" TargetMode="External"/><Relationship Id="rId26" Type="http://schemas.openxmlformats.org/officeDocument/2006/relationships/hyperlink" Target="https://public.fastcase.com/Jhe1Qn%2BmJndQYQU6z%2FeNm41Z%2FOdo7wEiV%2BXZOn6Ck9WelihsBDHZxfns7L5Vlobe8KCYik0lEXZYSVwiLsKn0UW5%2B2VWsVkokbGOgZx52u8%3D?utm_medium=email&amp;_hsenc=p2ANqtz-9EI0U8e9McRrVX-UJhUyqBaKFqyfeNAikLllF44Be7atxg43fyP-ODCP6rir31MZENUpzNCQwvOHRXOJumMmb9zT3Dpw&amp;_hsmi=226712652&amp;utm_content=226712652&amp;utm_source=hs_email" TargetMode="External"/><Relationship Id="rId175" Type="http://schemas.openxmlformats.org/officeDocument/2006/relationships/hyperlink" Target="https://www.law.cornell.edu/rules/fre/rule_701" TargetMode="External"/><Relationship Id="rId1801" Type="http://schemas.openxmlformats.org/officeDocument/2006/relationships/hyperlink" Target="https://www.reuters.com/legal/government/us-supreme-court-boosts-companies-defense-wage-lawsuits-2025-01-15/" TargetMode="External"/><Relationship Id="rId382" Type="http://schemas.openxmlformats.org/officeDocument/2006/relationships/hyperlink" Target="https://d.docs.live.net/bd9b2eaf6053242e/AppData/Roaming/Microsoft/AppData/Local/Microsoft/Windows/INetCache/IE/XO250S7T/15-70040-CV0.pdf" TargetMode="External"/><Relationship Id="rId687" Type="http://schemas.openxmlformats.org/officeDocument/2006/relationships/hyperlink" Target="https://media.cadc.uscourts.gov/opinions/docs/2025/01/23-3074-2094718.pdf" TargetMode="External"/><Relationship Id="rId2063" Type="http://schemas.openxmlformats.org/officeDocument/2006/relationships/hyperlink" Target="https://cases.justia.com/federal/district-courts/california/caedce/1:2025cv00789/467494/25/0.pdf?ts=1773524860" TargetMode="External"/><Relationship Id="rId2270" Type="http://schemas.openxmlformats.org/officeDocument/2006/relationships/hyperlink" Target="https://www.dallasobserver.com/news/watch-dallas-paramedic-kicks-mentally-ill-man-several-times-before-police-arrive-on-scene-12638001" TargetMode="External"/><Relationship Id="rId2368" Type="http://schemas.openxmlformats.org/officeDocument/2006/relationships/hyperlink" Target="https://public.fastcase.com/Wl%2B2t%2BeVuI35%2FN70vAMFZoN7mlr4hHNtCTnayGEBC4RCM4jvijs5LLDyckRiAx%2Bw" TargetMode="External"/><Relationship Id="rId242" Type="http://schemas.openxmlformats.org/officeDocument/2006/relationships/hyperlink" Target="https://public.fastcase.com/9SKwsfNqTc6OieYDhNMyM84JhiUntSQtUCBlgd6lzoL5y1g0gwdSndjfCHFHqJkk4vcRDuTZ3RRxLgM1%2Fyx%2BQdiK9wqe8J4wfwe4xg454y8%3D" TargetMode="External"/><Relationship Id="rId894" Type="http://schemas.openxmlformats.org/officeDocument/2006/relationships/hyperlink" Target="https://casetext.com/case/gross-v-fbl-fin-servs-inc-3" TargetMode="External"/><Relationship Id="rId1177" Type="http://schemas.openxmlformats.org/officeDocument/2006/relationships/hyperlink" Target="https://ilcourtsaudio.blob.core.windows.net/antilles-resources/resources/51e43aff-4d85-414d-b8bb-128a5f970896/Int%20Assn%20of%20Fire%20Fighters,%20Local%2050%20v.%20City%20of%20Peoria,%202021%20IL%20127040.pdf" TargetMode="External"/><Relationship Id="rId2130" Type="http://schemas.openxmlformats.org/officeDocument/2006/relationships/hyperlink" Target="https://cases.justia.com/kentucky/court-of-appeals/2024-2023-ca-1033-mr.pdf?ts=1727446176" TargetMode="External"/><Relationship Id="rId2575" Type="http://schemas.openxmlformats.org/officeDocument/2006/relationships/hyperlink" Target="https://nola.gov/getattachment/a5d775b2-685d-43c3-a7ff-ae60a9dcf745/Murphy,-Michael-9697-9698/" TargetMode="External"/><Relationship Id="rId2782" Type="http://schemas.openxmlformats.org/officeDocument/2006/relationships/hyperlink" Target="http://www.leginfo.ca.gov/cgi-bin/displaycode?section=pen&amp;group=00001-01000&amp;file=630-638" TargetMode="External"/><Relationship Id="rId102" Type="http://schemas.openxmlformats.org/officeDocument/2006/relationships/hyperlink" Target="https://www.courts.wa.gov/opinions/pdf/855832.pdf" TargetMode="External"/><Relationship Id="rId547" Type="http://schemas.openxmlformats.org/officeDocument/2006/relationships/hyperlink" Target="https://public.fastcase.com/9SKwsfNqTc6OieYDhNMyM9xc2pxP%2FDu9FaHS39uIywoNWZfMpeo5x%2FagXmZgtb6udFSKN2SMusDFZQbDcDfWSogmOURw4QaQEmhtdPNd1MI%3D" TargetMode="External"/><Relationship Id="rId754" Type="http://schemas.openxmlformats.org/officeDocument/2006/relationships/hyperlink" Target="https://www.supremecourt.gov/opinions/21pdf/21a477_1bo2.pdf" TargetMode="External"/><Relationship Id="rId961" Type="http://schemas.openxmlformats.org/officeDocument/2006/relationships/hyperlink" Target="https://cases.justia.com/louisiana/third-circuit-court-of-appeal/2025-ca-0025-0267.pdf?ts=1761751417" TargetMode="External"/><Relationship Id="rId1384" Type="http://schemas.openxmlformats.org/officeDocument/2006/relationships/hyperlink" Target="https://cdnsm5-hosted.civiclive.com/UserFiles/Servers/Server_12810747/File/Opinions/2024/st2020cv00154%2029U.pdf" TargetMode="External"/><Relationship Id="rId1591" Type="http://schemas.openxmlformats.org/officeDocument/2006/relationships/hyperlink" Target="http://media.ca7.uscourts.gov/sound/external/mm.21-2784.21-2784_07_07_2022.mp3" TargetMode="External"/><Relationship Id="rId1689" Type="http://schemas.openxmlformats.org/officeDocument/2006/relationships/hyperlink" Target="https://casetext.com/case/bruno-v-wells-armstrong" TargetMode="External"/><Relationship Id="rId2228" Type="http://schemas.openxmlformats.org/officeDocument/2006/relationships/hyperlink" Target="https://www.nyc.gov/assets/dcas/downloads/pdf/guidelines/faq-vaccine-mandate.pdf" TargetMode="External"/><Relationship Id="rId2435" Type="http://schemas.openxmlformats.org/officeDocument/2006/relationships/hyperlink" Target="https://www.leagle.com/decision/infco20180831084" TargetMode="External"/><Relationship Id="rId2642" Type="http://schemas.openxmlformats.org/officeDocument/2006/relationships/hyperlink" Target="https://cases.justia.com/michigan/court-of-appeals-unpublished/2024-368783.pdf?ts=1734703212" TargetMode="External"/><Relationship Id="rId90" Type="http://schemas.openxmlformats.org/officeDocument/2006/relationships/hyperlink" Target="https://cases.justia.com/pennsylvania/superior-court/2025-76-eda-2024.pdf?ts=1745952844" TargetMode="External"/><Relationship Id="rId407" Type="http://schemas.openxmlformats.org/officeDocument/2006/relationships/hyperlink" Target="https://cases.justia.com/federal/district-courts/new-hampshire/nhdce/1:2024cv00213/63777/56/0.pdf?ts=1775080109" TargetMode="External"/><Relationship Id="rId614" Type="http://schemas.openxmlformats.org/officeDocument/2006/relationships/hyperlink" Target="https://cases.justia.com/pennsylvania/superior-court/2018-1747-wda-2016.pdf?ts=1534790308" TargetMode="External"/><Relationship Id="rId821" Type="http://schemas.openxmlformats.org/officeDocument/2006/relationships/hyperlink" Target="https://www.npr.org/2020/06/25/883312496/supreme-court-sides-with-trump-administration-in-deportation-case" TargetMode="External"/><Relationship Id="rId1037" Type="http://schemas.openxmlformats.org/officeDocument/2006/relationships/hyperlink" Target="https://coa.nmcourts.gov/wp-content/uploads/sites/43/2026/08/August-19-2026-Janet-M.-Di-Luzio-v.-City-of-Santa-Fe-No.-A-1-CA-41627.pdf" TargetMode="External"/><Relationship Id="rId1244" Type="http://schemas.openxmlformats.org/officeDocument/2006/relationships/hyperlink" Target="https://casetext.com/case/heneghan-v-city-of-evanston" TargetMode="External"/><Relationship Id="rId1451" Type="http://schemas.openxmlformats.org/officeDocument/2006/relationships/hyperlink" Target="https://www.firerescue1.com/discrimination/articles/judge-dismisses-discrimination-lawsuit-by-transgender-fire-chief-c9ZJzz1mhPH97dsL/?utm_source=FireRescue1+Daily&amp;utm_campaign=34323ded4f-EMAIL_CAMPAIGN_2021_02_19_07_52&amp;utm_medium=email&amp;utm_term=0_758bdbeffe-34323ded4f-41607823" TargetMode="External"/><Relationship Id="rId1896" Type="http://schemas.openxmlformats.org/officeDocument/2006/relationships/hyperlink" Target="https://public.fastcase.com/Wl%2B2t%2BeVuI35%2FN70vAMFZiOi%2BYkXYMCNnCyjC1oPHdpZa1VeLChap2kxy9UfPfNs" TargetMode="External"/><Relationship Id="rId2502" Type="http://schemas.openxmlformats.org/officeDocument/2006/relationships/hyperlink" Target="https://casetext.com/case/wilson-v-gregory-4" TargetMode="External"/><Relationship Id="rId2947" Type="http://schemas.openxmlformats.org/officeDocument/2006/relationships/hyperlink" Target="https://oneill.law.georgetown.edu/no-surprises-act-litigation-where-we-are-and-what-comes-next/" TargetMode="External"/><Relationship Id="rId919" Type="http://schemas.openxmlformats.org/officeDocument/2006/relationships/hyperlink" Target="https://casetext.com/case/county-of-sacramento-v-lewis" TargetMode="External"/><Relationship Id="rId1104" Type="http://schemas.openxmlformats.org/officeDocument/2006/relationships/hyperlink" Target="https://cases.justia.com/louisiana/fourth-circuit-court-of-appeal/2024-2024-ca-0114.pdf?ts=1727828103" TargetMode="External"/><Relationship Id="rId1311" Type="http://schemas.openxmlformats.org/officeDocument/2006/relationships/hyperlink" Target="http://inmanfitzgibbons.com/illinois-wc-alert-rebutting-the-6f-presumption/" TargetMode="External"/><Relationship Id="rId1549" Type="http://schemas.openxmlformats.org/officeDocument/2006/relationships/hyperlink" Target="https://cases.justia.com/federal/district-courts/illinois/ilndce/1:2022cv04982/419212/136/0.pdf?ts=1728381206" TargetMode="External"/><Relationship Id="rId1756" Type="http://schemas.openxmlformats.org/officeDocument/2006/relationships/hyperlink" Target="https://www.dol.gov/sites/dolgov/files/WHD/opinion-letters/FMLA/2023_05_30_02_FMLA.pdf" TargetMode="External"/><Relationship Id="rId1963" Type="http://schemas.openxmlformats.org/officeDocument/2006/relationships/hyperlink" Target="https://cases.justia.com/texas/fifth-court-of-appeals/2024-05-22-01220-cr.pdf?ts=1708523726" TargetMode="External"/><Relationship Id="rId2807" Type="http://schemas.openxmlformats.org/officeDocument/2006/relationships/hyperlink" Target="https://www.oregonlaws.org/ors/243.650" TargetMode="External"/><Relationship Id="rId48" Type="http://schemas.openxmlformats.org/officeDocument/2006/relationships/hyperlink" Target="https://cases.justia.com/utah/court-of-appeals-published/2025-20241334-ca.pdf?ts=1766864394" TargetMode="External"/><Relationship Id="rId1409" Type="http://schemas.openxmlformats.org/officeDocument/2006/relationships/hyperlink" Target="https://casetext.com/case/united-states-v-townvill-of-harrison" TargetMode="External"/><Relationship Id="rId1616" Type="http://schemas.openxmlformats.org/officeDocument/2006/relationships/hyperlink" Target="https://www.stetson.edu/law/lawreview/media/the-civil-rights-act-of-1991-and-eeoc-enforcement.pdf" TargetMode="External"/><Relationship Id="rId1823" Type="http://schemas.openxmlformats.org/officeDocument/2006/relationships/hyperlink" Target="http://www.flsa-optin.com/index.cfm?zone=/unionactive/form_page.cfm&amp;formID=108277" TargetMode="External"/><Relationship Id="rId197" Type="http://schemas.openxmlformats.org/officeDocument/2006/relationships/hyperlink" Target="https://public.fastcase.com/J%2FJP6pdidelsXxEE4k%2BLMh%2BxgKCWLadJ0%2BOScffwypyz9KPkH6WwjXpW3uRa%2FlRTPk79L8Q2wc49Eb83uFrfiOwpLA5%2BzEeF6Sl%2BnZohK7o%3D?utm_medium=email&amp;_hsmi=226712652&amp;_hsenc=p2ANqtz--JRFw_odmHYH-3piiElV-hEg_p30YKZr85DqTYsa6cCP0cQTh9qrySQOzbjYsHMVm2otLm7TlEchGQvTofiaLZzRru3Q&amp;utm_content=226712652&amp;utm_source=hs_email" TargetMode="External"/><Relationship Id="rId2085" Type="http://schemas.openxmlformats.org/officeDocument/2006/relationships/hyperlink" Target="https://www.njcourts.gov/system/files/court-opinions/2025/a0275-24.pdf" TargetMode="External"/><Relationship Id="rId2292" Type="http://schemas.openxmlformats.org/officeDocument/2006/relationships/hyperlink" Target="https://law.justia.com/cases/federal/district-courts/illinois/ilndce/1:2021cv05039/407354/52/" TargetMode="External"/><Relationship Id="rId264" Type="http://schemas.openxmlformats.org/officeDocument/2006/relationships/hyperlink" Target="https://www.nolo.com/legal-encyclopedia/immunity-exchange-testimony.html" TargetMode="External"/><Relationship Id="rId471" Type="http://schemas.openxmlformats.org/officeDocument/2006/relationships/hyperlink" Target="https://www.opn.ca6.uscourts.gov/opinions.pdf/24a0367n-06.pdf" TargetMode="External"/><Relationship Id="rId2152" Type="http://schemas.openxmlformats.org/officeDocument/2006/relationships/hyperlink" Target="https://cases.justia.com/north-carolina/court-of-appeals/2024-23-881.pdf?ts=1716294565" TargetMode="External"/><Relationship Id="rId2597" Type="http://schemas.openxmlformats.org/officeDocument/2006/relationships/hyperlink" Target="https://www.mass.gov/doc/bailey-casley-v-boston-fire-department-62724/download" TargetMode="External"/><Relationship Id="rId124" Type="http://schemas.openxmlformats.org/officeDocument/2006/relationships/hyperlink" Target="https://www.opn.ca6.uscourts.gov/opinions.pdf/24a0196p-06.pdf" TargetMode="External"/><Relationship Id="rId569" Type="http://schemas.openxmlformats.org/officeDocument/2006/relationships/hyperlink" Target="https://www2.ca3.uscourts.gov/opinarch/192938p.pdf" TargetMode="External"/><Relationship Id="rId776" Type="http://schemas.openxmlformats.org/officeDocument/2006/relationships/hyperlink" Target="https://home.treasury.gov/policy-issues/financial-sanctions/specially-designated-nationals-and-blocked-persons-list-sdn-human-readable-lists" TargetMode="External"/><Relationship Id="rId983" Type="http://schemas.openxmlformats.org/officeDocument/2006/relationships/hyperlink" Target="https://cases.justia.com/michigan/court-of-appeals-unpublished/2023-361624.pdf?ts=1700661618" TargetMode="External"/><Relationship Id="rId1199" Type="http://schemas.openxmlformats.org/officeDocument/2006/relationships/hyperlink" Target="https://www.schafer-and-schafer.com/workers-compensation/" TargetMode="External"/><Relationship Id="rId2457" Type="http://schemas.openxmlformats.org/officeDocument/2006/relationships/hyperlink" Target="http://media.ca11.uscourts.gov/opinions/pub/files/201814687.pdf" TargetMode="External"/><Relationship Id="rId2664" Type="http://schemas.openxmlformats.org/officeDocument/2006/relationships/hyperlink" Target="https://cases.justia.com/federal/district-courts/illinois/ilndce/1:2021cv03620/405182/52/0.pdf?ts=1706027592" TargetMode="External"/><Relationship Id="rId331" Type="http://schemas.openxmlformats.org/officeDocument/2006/relationships/hyperlink" Target="http://www.ca5.uscourts.gov/opinions/unpub/19/19-10878.0.pdf" TargetMode="External"/><Relationship Id="rId429" Type="http://schemas.openxmlformats.org/officeDocument/2006/relationships/hyperlink" Target="https://cases.justia.com/new-york/other-courts/2025-2025-ny-slip-op-33918-u.pdf?ts=1761341322" TargetMode="External"/><Relationship Id="rId636" Type="http://schemas.openxmlformats.org/officeDocument/2006/relationships/hyperlink" Target="https://www.boston.com/news/national-news/2026/07/17/boston-federal-judge-bars-trump-administration-from-using-obscure-clause-to-make-huge-funding-cuts/" TargetMode="External"/><Relationship Id="rId1059" Type="http://schemas.openxmlformats.org/officeDocument/2006/relationships/hyperlink" Target="https://cases.justia.com/arizona/supreme-court/2025-cv-23-0211-pr.pdf?ts=1743008459" TargetMode="External"/><Relationship Id="rId1266" Type="http://schemas.openxmlformats.org/officeDocument/2006/relationships/hyperlink" Target="http://codes.ohio.gov/orc/2743.75" TargetMode="External"/><Relationship Id="rId1473" Type="http://schemas.openxmlformats.org/officeDocument/2006/relationships/hyperlink" Target="https://www.eeoc.gov/federal/reports/upload/pspe.pdf" TargetMode="External"/><Relationship Id="rId2012" Type="http://schemas.openxmlformats.org/officeDocument/2006/relationships/hyperlink" Target="https://www.law.com/thelegalintelligencer/2019/10/02/proposed-safe-injection-site-in-philadelphia-clears-legal-hurdle/" TargetMode="External"/><Relationship Id="rId2317" Type="http://schemas.openxmlformats.org/officeDocument/2006/relationships/hyperlink" Target="https://public.fastcase.com/" TargetMode="External"/><Relationship Id="rId2871" Type="http://schemas.openxmlformats.org/officeDocument/2006/relationships/hyperlink" Target="https://casetext.com/case/intl-assn-of-fire-fighters-local-1366-v-city-of-cedar-falls" TargetMode="External"/><Relationship Id="rId2969" Type="http://schemas.openxmlformats.org/officeDocument/2006/relationships/hyperlink" Target="https://www.law.cornell.edu/cfr/text/24/291.530" TargetMode="External"/><Relationship Id="rId843" Type="http://schemas.openxmlformats.org/officeDocument/2006/relationships/hyperlink" Target="https://www2.ca3.uscourts.gov/opinarch/182648p.pdf" TargetMode="External"/><Relationship Id="rId1126" Type="http://schemas.openxmlformats.org/officeDocument/2006/relationships/hyperlink" Target="https://public.fastcase.com/ZZhmr5v9wN%2FXOe5IsQ%2FqD597Cj8vEFtFKU6dv%2BnWYID0RND2DGxx0gwPm3LnKjbN?utm_medium=email&amp;_hsmi=226712652&amp;_hsenc=p2ANqtz-9VqkDv3iEaCOhGJ0e7W649YKVFgXPPT1K4rwfEfIma89pOhcAxwCchfIpHNeRMlfH4gAwQhfXkNV3ClRJYpxBL670A4g&amp;utm_content=226712652&amp;utm_source=hs_email" TargetMode="External"/><Relationship Id="rId1680" Type="http://schemas.openxmlformats.org/officeDocument/2006/relationships/hyperlink" Target="https://caselaw.findlaw.com/court/us-11th-circuit/115273034.html" TargetMode="External"/><Relationship Id="rId1778" Type="http://schemas.openxmlformats.org/officeDocument/2006/relationships/hyperlink" Target="https://www.courts.wa.gov/opinions/pdf/1031211.pdf" TargetMode="External"/><Relationship Id="rId1985" Type="http://schemas.openxmlformats.org/officeDocument/2006/relationships/hyperlink" Target="https://casetext.com/case/dufrene-v-northshore-ems-llc" TargetMode="External"/><Relationship Id="rId2524" Type="http://schemas.openxmlformats.org/officeDocument/2006/relationships/hyperlink" Target="https://www.sacbee.com/news/local/article257698263.html" TargetMode="External"/><Relationship Id="rId2731" Type="http://schemas.openxmlformats.org/officeDocument/2006/relationships/hyperlink" Target="https://casetext.com/case/imhof-v-del-bd-of-med-licensure-discipline" TargetMode="External"/><Relationship Id="rId2829" Type="http://schemas.openxmlformats.org/officeDocument/2006/relationships/hyperlink" Target="https://cases.justia.com/federal/appellate-courts/ca5/17-40754/17-40754-2018-08-31.pdf?ts=1535736678" TargetMode="External"/><Relationship Id="rId703" Type="http://schemas.openxmlformats.org/officeDocument/2006/relationships/hyperlink" Target="https://cases.justia.com/federal/appellate-courts/cadc/22-3064/22-3064-2024-05-28.pdf?ts=1716910338" TargetMode="External"/><Relationship Id="rId910" Type="http://schemas.openxmlformats.org/officeDocument/2006/relationships/hyperlink" Target="https://public.fastcase.com/waZtJvSA54UAurM2rmIZz7W%2FsumOmHJRMxx6Xd%2FRMYm%2FGY4cQ9ojWggecoIy6%2FUeVcPjYVPSLOvPb0MEmsZAQF%2FZtsixbezDD9jmkmDKasM%3D" TargetMode="External"/><Relationship Id="rId1333" Type="http://schemas.openxmlformats.org/officeDocument/2006/relationships/hyperlink" Target="https://legislature.vermont.gov/assets/Documents/2018/WorkGroups/House%20Commerce/Bills/H.197/H.197~Laura%20Backus%20Hall~NCCI%20White%20Paper%20on%20Firefighter%20Presumptive%20Coverage~3-16-2017.pdf" TargetMode="External"/><Relationship Id="rId1540" Type="http://schemas.openxmlformats.org/officeDocument/2006/relationships/hyperlink" Target="https://www.firerescue1.com/legal/justice-department-drops-alleged-discriminatory-ff-hiring-cases-in-dei-rollback?utm_source=delivra&amp;utm_medium=email&amp;utm_campaign=FR1-Daily-2-27-25&amp;utm_id=8566464&amp;dlv-emuid=fed355b8-46a2-4fa4-b55c-4d602dde33c4&amp;dlv-mlid=8566464" TargetMode="External"/><Relationship Id="rId1638" Type="http://schemas.openxmlformats.org/officeDocument/2006/relationships/hyperlink" Target="https://www.leagle.com/cite/223%20F.3d%20749" TargetMode="External"/><Relationship Id="rId1400" Type="http://schemas.openxmlformats.org/officeDocument/2006/relationships/hyperlink" Target="https://corporate.findlaw.com/human-resources/title-vii-damage-caps-calculating-your-maximum-exposure.html" TargetMode="External"/><Relationship Id="rId1845" Type="http://schemas.openxmlformats.org/officeDocument/2006/relationships/hyperlink" Target="https://public.fastcase.com/J%2FJP6pdidelsXxEE4k%2BLMlJvV4SJAfGPsaCb1kEJI4NiHVvOih0KoHLgsQ3SFDCtHhkE7RYPh6rKF3vfpYjTBRyXwDRXesvaMheieGfjP1w%3D?utm_medium=email&amp;_hsmi=226712652&amp;_hsenc=p2ANqtz--UObyDUMiaZSwq-4NoEzNR5o4eO8V_D5uKHJYL4ZZ256ZhZPYzbGLx-gR6MhxNsQvJKJXWqSitgcrGqHUpT5pkRHztzQ&amp;utm_content=226712652&amp;utm_source=hs_emai" TargetMode="External"/><Relationship Id="rId1705" Type="http://schemas.openxmlformats.org/officeDocument/2006/relationships/hyperlink" Target="https://public.fastcase.com/ZZhmr5v9wN%2FXOe5IsQ%2FqD213NfZOkBOT9oUFU2NATn1Aebu4tmd%2Bdm4Fq8wJV%2BgJ%2FUz5tDo4rrQTf5JLsx7PM2RT%2BnNbiLW8av7Jbge%2Fzbw%3D?utm_medium=email&amp;_hsmi=226712652&amp;_hsenc=p2ANqtz-83LxoyDBgyJFjB5J1tvKo9--ehLEBCqV6koHeoTan0Qm4V8taXVkAh8h56UhoHEEE4y9wodFDrH_2nxx13nTAr7JOLdw&amp;utm_content=226712652&amp;utm_source=hs_email" TargetMode="External"/><Relationship Id="rId1912" Type="http://schemas.openxmlformats.org/officeDocument/2006/relationships/hyperlink" Target="https://www.dol.gov/whd/opinion/search/index.htm?FLSA" TargetMode="External"/><Relationship Id="rId286" Type="http://schemas.openxmlformats.org/officeDocument/2006/relationships/hyperlink" Target="http://codes.ohio.gov/orc/102.01" TargetMode="External"/><Relationship Id="rId493" Type="http://schemas.openxmlformats.org/officeDocument/2006/relationships/hyperlink" Target="https://casetext.com/case/knipper-v-drill-team-of-lindenhurst-fire-dept" TargetMode="External"/><Relationship Id="rId2174" Type="http://schemas.openxmlformats.org/officeDocument/2006/relationships/hyperlink" Target="https://cases.justia.com/federal/appellate-courts/ca10/24-7035/24-7035-2025-08-22.pdf?ts=1755880380" TargetMode="External"/><Relationship Id="rId2381" Type="http://schemas.openxmlformats.org/officeDocument/2006/relationships/hyperlink" Target="https://public.fastcase.com/Wl%2B2t%2BeVuI35%2FN70vAMFZpHUgoz3hp5Nx0V5b99AFirO%2BO19k2h0p4CgWny%2Fxn0a" TargetMode="External"/><Relationship Id="rId146" Type="http://schemas.openxmlformats.org/officeDocument/2006/relationships/hyperlink" Target="https://www.reformer.com/local-news/vermont-supreme-court-rejects-rv-housing-appeal-in-brattleboro/article_1aa8b844-48f7-11ef-b1d5-5784c0449d3d.html" TargetMode="External"/><Relationship Id="rId353" Type="http://schemas.openxmlformats.org/officeDocument/2006/relationships/hyperlink" Target="https://www.apnews.com/50ced4152dc74df1975a925e4fa29038" TargetMode="External"/><Relationship Id="rId560" Type="http://schemas.openxmlformats.org/officeDocument/2006/relationships/hyperlink" Target="https://www.firehouse.com/operations-training/article/21112973/fire-law-should-firefighters-be-armed" TargetMode="External"/><Relationship Id="rId798" Type="http://schemas.openxmlformats.org/officeDocument/2006/relationships/hyperlink" Target="https://www.law.cornell.edu/definitions/uscode.php?width=840&amp;height=800&amp;iframe=true&amp;def_id=8-USC-2124716147-1201680062&amp;term_occur=999&amp;term_src=title:8:chapter:12:subchapter:II:part:IV:section:1229b" TargetMode="External"/><Relationship Id="rId1190" Type="http://schemas.openxmlformats.org/officeDocument/2006/relationships/hyperlink" Target="https://casetext.com/case/bradley-v-city-of-olympia" TargetMode="External"/><Relationship Id="rId2034" Type="http://schemas.openxmlformats.org/officeDocument/2006/relationships/hyperlink" Target="https://www.njcourts.gov/system/files/court-opinions/2026/a_73_24.pdf" TargetMode="External"/><Relationship Id="rId2241" Type="http://schemas.openxmlformats.org/officeDocument/2006/relationships/hyperlink" Target="https://www.law.cornell.edu/uscode/text/42/1395dd" TargetMode="External"/><Relationship Id="rId2479" Type="http://schemas.openxmlformats.org/officeDocument/2006/relationships/hyperlink" Target="https://www.courts.wa.gov/opinions/pdf/D2%2058295-3-II%20Unpublished%20Opinion.pdf" TargetMode="External"/><Relationship Id="rId2686" Type="http://schemas.openxmlformats.org/officeDocument/2006/relationships/hyperlink" Target="https://caselaw.findlaw.com/court/us-7th-circuit/2204869.html" TargetMode="External"/><Relationship Id="rId2893" Type="http://schemas.openxmlformats.org/officeDocument/2006/relationships/hyperlink" Target="file:///C:/Users/lawre/Downloads/Board%20Decision.pdf" TargetMode="External"/><Relationship Id="rId213" Type="http://schemas.openxmlformats.org/officeDocument/2006/relationships/hyperlink" Target="https://law.justia.com/cases/kentucky/court-of-appeals/2022/2022-ca-0258-mr.html" TargetMode="External"/><Relationship Id="rId420" Type="http://schemas.openxmlformats.org/officeDocument/2006/relationships/hyperlink" Target="https://www.flhouse.gov/Sections/Bills/billsdetail.aspx?BillId=78745" TargetMode="External"/><Relationship Id="rId658" Type="http://schemas.openxmlformats.org/officeDocument/2006/relationships/hyperlink" Target="https://www.hstoday.us/fema-dhs-federal-pages/column-federal-courts-block-dhs-and-fema-dei-grant-conditions/" TargetMode="External"/><Relationship Id="rId865" Type="http://schemas.openxmlformats.org/officeDocument/2006/relationships/hyperlink" Target="https://public.fastcase.com/jaEE2PXzRXmZ99jOLMt1IjaUc7vARjVQ5RdI8he5wvr8CafQJWJ892rNp3h%2B5maD?utm_medium=email&amp;_hsenc=p2ANqtz-9yeYIX9OvUysaWxw5S4NvX23y7n2bM1DKt1TGid5472BDGnDkJHyEbdkJMIqnakyd6KQCi4nGEAs4FOkTAkAKzxnAO3A&amp;_hsmi=226712652&amp;utm_content=226712652&amp;utm_source=hs_email" TargetMode="External"/><Relationship Id="rId1050" Type="http://schemas.openxmlformats.org/officeDocument/2006/relationships/hyperlink" Target="https://public.fastcase.com/Jhe1Qn%2BmJndQYQU6z%2FeNm1SSbD0G3ZEWJh7YHZP1lKvwyFhreCu4Zs3UIv3EdnBK?utm_medium=email&amp;_hsenc=p2ANqtz-9nqm6pHuxrJA2eqp98a7_eI9fDSv0sKlRywY7jloQaZjhwJh8mlE2JmH7OUYiPvznSiiSBN3erALyoe2ilWNUf5RREvQ&amp;_hsmi=226712652&amp;utm_content=226712652&amp;utm_source=hs_email" TargetMode="External"/><Relationship Id="rId1288" Type="http://schemas.openxmlformats.org/officeDocument/2006/relationships/hyperlink" Target="https://public.fastcase.com/Wl%2B2t%2BeVuI35%2FN70vAMFZv4uc1sCbMG5dFxJ8lan7QREifr4yKlj8U3C7mB5N4Yr" TargetMode="External"/><Relationship Id="rId1495" Type="http://schemas.openxmlformats.org/officeDocument/2006/relationships/hyperlink" Target="https://public.fastcase.com/Jhe1Qn%2BmJndQYQU6z%2FeNmwkNGC21ZfGHMzbRo4fP8cpz%2BCEZ70RU4N9i%2B957fR2H?utm_medium=email&amp;_hsenc=p2ANqtz-93BCHKeY8rFUHPxU20EYDUZBKoA8xfPL2gbvtqTb-KfZ-jSuPHcMWp2f3aURAUU2s5vJrKmBa580UVad7TZkqQmEMaRQ&amp;_hsmi=226712652&amp;utm_content=226712652&amp;utm_source=hs_email" TargetMode="External"/><Relationship Id="rId2101" Type="http://schemas.openxmlformats.org/officeDocument/2006/relationships/hyperlink" Target="https://cases.justia.com/west-virginia/intermediate-court-of-appeals/2025-24-ica-364.pdf?ts=1749239242" TargetMode="External"/><Relationship Id="rId2339" Type="http://schemas.openxmlformats.org/officeDocument/2006/relationships/hyperlink" Target="https://casetext.com/case/waybright-v-frederick-county-2" TargetMode="External"/><Relationship Id="rId2546" Type="http://schemas.openxmlformats.org/officeDocument/2006/relationships/hyperlink" Target="https://www.firerescue1.com/fallen-firefighters/articles/379994018-Study-More-firefighters-died-by-suicide-than-in-the-line-of-duty-in-2017/" TargetMode="External"/><Relationship Id="rId2753" Type="http://schemas.openxmlformats.org/officeDocument/2006/relationships/hyperlink" Target="https://appellatecases.courtinfo.ca.gov/search/case/disposition.cfm?dist=0&amp;doc_id=2345572&amp;doc_no=S268086&amp;request_token=NiIwLSEmTkw5W1BRSSItTENJQEg0UDxTJSBeRzJSUCAgCg%3D%3D" TargetMode="External"/><Relationship Id="rId2960" Type="http://schemas.openxmlformats.org/officeDocument/2006/relationships/hyperlink" Target="https://isc.idaho.gov/opinions/51312.pdf" TargetMode="External"/><Relationship Id="rId518" Type="http://schemas.openxmlformats.org/officeDocument/2006/relationships/hyperlink" Target="https://law.justia.com/cases/federal/appellate-courts/ca3/22-1892/22-1892-2023-06-30.html" TargetMode="External"/><Relationship Id="rId725" Type="http://schemas.openxmlformats.org/officeDocument/2006/relationships/hyperlink" Target="https://www.washingtonpost.com/documents/738465b3-8221-4ba6-8a91-92171f73482b.pdf?itid=lk_interstitial_manual_10" TargetMode="External"/><Relationship Id="rId932" Type="http://schemas.openxmlformats.org/officeDocument/2006/relationships/hyperlink" Target="https://www.nct911.org/how-location-works-for-911/" TargetMode="External"/><Relationship Id="rId1148" Type="http://schemas.openxmlformats.org/officeDocument/2006/relationships/hyperlink" Target="https://public.fastcase.com/J%2FJP6pdidelsXxEE4k%2BLMqXEJeUJZsYN8XwYWOyUlC0GPh%2F%2Bwkq0xl5anyRaTE9QaHRZkEBmW2yHOKZORN4PlxYhmnon1IB%2FHyIvmx43UH0%3D?utm_medium=email&amp;_hsmi=226712652&amp;_hsenc=p2ANqtz-9rfqpJ9UH1QBxXvlnF05ow2K3pkk0BVnTTX6Sp6SY3f-pdahd0e2LayjJ1D5QImVRxXi3oa7lL84FVoA8yZRWqxdZ-pA&amp;utm_content=226712652&amp;utm_source=hs_email" TargetMode="External"/><Relationship Id="rId1355" Type="http://schemas.openxmlformats.org/officeDocument/2006/relationships/hyperlink" Target="https://cases.justia.com/federal/district-courts/new-york/nysdce/7:2021cv00260/552036/95/0.pdf?ts=1758978240" TargetMode="External"/><Relationship Id="rId1562" Type="http://schemas.openxmlformats.org/officeDocument/2006/relationships/hyperlink" Target="https://storage.courtlistener.com/recap/gov.uscourts.ded.79218/gov.uscourts.ded.79218.29.0.pdf" TargetMode="External"/><Relationship Id="rId2406" Type="http://schemas.openxmlformats.org/officeDocument/2006/relationships/hyperlink" Target="https://scholar.google.com/scholar_case?case=2959279778538737103&amp;hl=en&amp;as_sdt=6,36" TargetMode="External"/><Relationship Id="rId2613" Type="http://schemas.openxmlformats.org/officeDocument/2006/relationships/hyperlink" Target="https://cases.justia.com/federal/appellate-courts/ca8/23-3398/23-3398-2025-08-13.pdf?ts=1755099027" TargetMode="External"/><Relationship Id="rId1008" Type="http://schemas.openxmlformats.org/officeDocument/2006/relationships/hyperlink" Target="https://casetext.com/case/brown-v-ohio-valley-health-servs-educ-corp" TargetMode="External"/><Relationship Id="rId1215" Type="http://schemas.openxmlformats.org/officeDocument/2006/relationships/hyperlink" Target="https://codes.ohio.gov/ohio-revised-code/section-2745.01" TargetMode="External"/><Relationship Id="rId1422" Type="http://schemas.openxmlformats.org/officeDocument/2006/relationships/hyperlink" Target="https://public.fastcase.com/waZtJvSA54UAurM2rmIZzzCYJhAha3GGo3AEN0d5yD5AXzBU0GIzy8sJKIx0m%2BEEHwIyJuWgbxH4Xd2BL4DW9aTliyBT6bOFBbV5rp7%2BS3s%3D" TargetMode="External"/><Relationship Id="rId1867" Type="http://schemas.openxmlformats.org/officeDocument/2006/relationships/hyperlink" Target="https://www.dol.gov/agencies/whd/fact-sheets/56a-regular-rate" TargetMode="External"/><Relationship Id="rId2820" Type="http://schemas.openxmlformats.org/officeDocument/2006/relationships/hyperlink" Target="http://codes.ohio.gov/orc/gp9.61" TargetMode="External"/><Relationship Id="rId2918" Type="http://schemas.openxmlformats.org/officeDocument/2006/relationships/hyperlink" Target="https://www.supremecourt.ohio.gov/rod/docs/pdf/8/2022/2022-Ohio-824.pdf" TargetMode="External"/><Relationship Id="rId61" Type="http://schemas.openxmlformats.org/officeDocument/2006/relationships/hyperlink" Target="https://www.norriseditorial.com" TargetMode="External"/><Relationship Id="rId571" Type="http://schemas.openxmlformats.org/officeDocument/2006/relationships/hyperlink" Target="https://law.justia.com/cases/new-york/appellate-division-second-department/2020/2016-13412.html" TargetMode="External"/><Relationship Id="rId669" Type="http://schemas.openxmlformats.org/officeDocument/2006/relationships/hyperlink" Target="https://rhodeislandcurrent.com/wp-content/uploads/2025/09/IL-v.-FEMA-1.pdf" TargetMode="External"/><Relationship Id="rId876" Type="http://schemas.openxmlformats.org/officeDocument/2006/relationships/hyperlink" Target="https://www.ca5.uscourts.gov/opinions/pub/22/22-40644-CV0.pdf" TargetMode="External"/><Relationship Id="rId1299" Type="http://schemas.openxmlformats.org/officeDocument/2006/relationships/hyperlink" Target="https://courts.illinois.gov/R23_Orders/AppellateCourt/2020/3rdDistrict/3190055_R23.pdf" TargetMode="External"/><Relationship Id="rId1727" Type="http://schemas.openxmlformats.org/officeDocument/2006/relationships/hyperlink" Target="https://www.osha.gov/laws-regs/regulations/standardnumber/1910/1910.95AppF" TargetMode="External"/><Relationship Id="rId1934" Type="http://schemas.openxmlformats.org/officeDocument/2006/relationships/hyperlink" Target="https://ecf.flmd.uscourts.gov/cgi-bin/show_public_doc?2025-00120-37-8-cv" TargetMode="External"/><Relationship Id="rId2252" Type="http://schemas.openxmlformats.org/officeDocument/2006/relationships/hyperlink" Target="https://law.justia.com/cases/california/court-of-appeal/2022/a162508.html" TargetMode="External"/><Relationship Id="rId2557" Type="http://schemas.openxmlformats.org/officeDocument/2006/relationships/hyperlink" Target="https://files.constantcontact.com/c0e462b4101/e141b674-435b-44eb-8111-03664eafd509.pdf" TargetMode="External"/><Relationship Id="rId19" Type="http://schemas.openxmlformats.org/officeDocument/2006/relationships/hyperlink" Target="https://scholar.uc.edu/concern/documents/ht24wm15r?locale=en" TargetMode="External"/><Relationship Id="rId224" Type="http://schemas.openxmlformats.org/officeDocument/2006/relationships/hyperlink" Target="https://ecf.ca8.uscourts.gov/opndir/22/05/212146P.pdf" TargetMode="External"/><Relationship Id="rId431" Type="http://schemas.openxmlformats.org/officeDocument/2006/relationships/hyperlink" Target="https://codes.findlaw.com/ny/general-municipal-law/gmu-sect-205-a/" TargetMode="External"/><Relationship Id="rId529" Type="http://schemas.openxmlformats.org/officeDocument/2006/relationships/hyperlink" Target="https://www.jacksonville.com/story/news/crime/2016/01/16/city-black-firefighters-group-disagree-over-ban-beards/15696316007/" TargetMode="External"/><Relationship Id="rId736" Type="http://schemas.openxmlformats.org/officeDocument/2006/relationships/hyperlink" Target="https://storage.courtlistener.com/recap/gov.uscourts.nynd.134829/gov.uscourts.nynd.134829.27.0_1.pdf" TargetMode="External"/><Relationship Id="rId1061" Type="http://schemas.openxmlformats.org/officeDocument/2006/relationships/hyperlink" Target="https://cases.justia.com/west-virginia/intermediate-court-of-appeals/2025-25-ica-138.pdf?ts=1761335525" TargetMode="External"/><Relationship Id="rId1159" Type="http://schemas.openxmlformats.org/officeDocument/2006/relationships/hyperlink" Target="https://www.chicagotribune.com/news/breaking/chi-retiring-orland-fire-chief-i-didnt-do-anything-wrong-20110823-story.html" TargetMode="External"/><Relationship Id="rId1366" Type="http://schemas.openxmlformats.org/officeDocument/2006/relationships/hyperlink" Target="https://public.fastcase.com/jaEE2PXzRXmZ99jOLMt1IsID3yHeWup657c7MnfFCGnetXQu%2F2QtQOpoVmwfdEc%2F?utm_medium=email&amp;_hsenc=p2ANqtz-_zTSxdS0F5WCwBxFxJfAdL2TYRGfHTDF8aVNcZ9gK5T6kDk6rrKhGST-fn4w1vDtBgvaoCFHlAWmUNSPCbepcJBy8zVw&amp;_hsmi=226712652&amp;utm_content=226712652&amp;utm_source=hs_email" TargetMode="External"/><Relationship Id="rId2112" Type="http://schemas.openxmlformats.org/officeDocument/2006/relationships/hyperlink" Target="https://www4.courts.ca.gov/opinions/nonpub/B332479.PDF" TargetMode="External"/><Relationship Id="rId2196" Type="http://schemas.openxmlformats.org/officeDocument/2006/relationships/hyperlink" Target="https://www.hhs.gov/hipaa/for-professionals/compliance-enforcement/data/enforcement-highlights/index.html" TargetMode="External"/><Relationship Id="rId2417" Type="http://schemas.openxmlformats.org/officeDocument/2006/relationships/hyperlink" Target="https://www.unitypoint.org/peoria/filesimages/Documents/EMS%20Documents/EMS%20Policies/PROCTOR%20Policy%20Dr.%20Huff%2032%20Patient%20Right%20of%20Refusal.pdf" TargetMode="External"/><Relationship Id="rId2764" Type="http://schemas.openxmlformats.org/officeDocument/2006/relationships/hyperlink" Target="https://njcourts.gov/attorneys/assets/opinions/appellate/unpublished/a4576-18.pdf?c=len" TargetMode="External"/><Relationship Id="rId2971" Type="http://schemas.openxmlformats.org/officeDocument/2006/relationships/hyperlink" Target="https://casetext.com/statute/united-states-code/title-5-government-organization-and-employees/part-i-the-agencies-generally/chapter-7-judicial-review/section-706-scope-of-review" TargetMode="External"/><Relationship Id="rId168" Type="http://schemas.openxmlformats.org/officeDocument/2006/relationships/hyperlink" Target="https://casetext.com/case/people-v-hailey-43" TargetMode="External"/><Relationship Id="rId943" Type="http://schemas.openxmlformats.org/officeDocument/2006/relationships/hyperlink" Target="https://law.justia.com/cases/california/supreme-court/2019/s242250.html" TargetMode="External"/><Relationship Id="rId1019" Type="http://schemas.openxmlformats.org/officeDocument/2006/relationships/hyperlink" Target="https://cases.justia.com/texas/seventh-court-of-appeals/2020-07-19-00027-cr.pdf?ts=1586952945" TargetMode="External"/><Relationship Id="rId1573" Type="http://schemas.openxmlformats.org/officeDocument/2006/relationships/hyperlink" Target="https://casetext.com/case/mendoza-v-the-city-of-new-york-3" TargetMode="External"/><Relationship Id="rId1780" Type="http://schemas.openxmlformats.org/officeDocument/2006/relationships/hyperlink" Target="https://cases.justia.com/federal/appellate-courts/ca11/25-10673/25-10673-2026-02-10.pdf?ts=1770737597" TargetMode="External"/><Relationship Id="rId1878" Type="http://schemas.openxmlformats.org/officeDocument/2006/relationships/hyperlink" Target="https://law.justia.com/cases/federal/district-courts/indiana/inndce/2:2019cv00065/97508/61/" TargetMode="External"/><Relationship Id="rId2624" Type="http://schemas.openxmlformats.org/officeDocument/2006/relationships/hyperlink" Target="https://cases.justia.com/indiana/court-of-appeals/2025-24a-pl-02646.pdf?ts=1752863306" TargetMode="External"/><Relationship Id="rId2831" Type="http://schemas.openxmlformats.org/officeDocument/2006/relationships/hyperlink" Target="https://www.usatoday.com/story/news/nation/2014/11/23/florida-deputy-ambush-killed-identified/19446091/" TargetMode="External"/><Relationship Id="rId2929" Type="http://schemas.openxmlformats.org/officeDocument/2006/relationships/hyperlink" Target="file:///C:/Users/lawre/AppData/Local/Temp/%7BC42BFBAC-7840-4BDD-BFF7-18D383BA9C81%7D/19%20CH%2012662%20City%20of%20Chicago%20v.%20Chicago%20Fire%20Fighters%20Union%20Final%20Order%20(12.2.20).pdf" TargetMode="External"/><Relationship Id="rId72" Type="http://schemas.openxmlformats.org/officeDocument/2006/relationships/hyperlink" Target="https://www.casemine.com/judgement/us/66cea7f23f1f7c7a89e60871" TargetMode="External"/><Relationship Id="rId375" Type="http://schemas.openxmlformats.org/officeDocument/2006/relationships/hyperlink" Target="http://www.pacourts.us/assets/opinions/Commonwealth/out/380md17_6-12-18.pdf" TargetMode="External"/><Relationship Id="rId582" Type="http://schemas.openxmlformats.org/officeDocument/2006/relationships/hyperlink" Target="https://www.courtlistener.com/pdf/2020/02/11/state_ex_rel._madison_fire_dist._v._indus._comm..pdf" TargetMode="External"/><Relationship Id="rId803" Type="http://schemas.openxmlformats.org/officeDocument/2006/relationships/hyperlink" Target="https://www.ca4.uscourts.gov/opinions/201119.P.pdf" TargetMode="External"/><Relationship Id="rId1226" Type="http://schemas.openxmlformats.org/officeDocument/2006/relationships/hyperlink" Target="http://www.pacourts.us/assets/opinions/Commonwealth/out/141CD20_3-10-21.pdf?cb=1" TargetMode="External"/><Relationship Id="rId1433" Type="http://schemas.openxmlformats.org/officeDocument/2006/relationships/hyperlink" Target="https://www.firerescue1.com/discrimination/articles/civil-service-commission-sides-with-mass-female-ff-emt-passed-over-for-promotion-OvMbsXKeZfDYHswZ/?utm_source=twitter&amp;utm_medium=social&amp;utm_campaign=dlvrit" TargetMode="External"/><Relationship Id="rId1640" Type="http://schemas.openxmlformats.org/officeDocument/2006/relationships/hyperlink" Target="https://www.eeoc.gov/employees/timeliness.cfm" TargetMode="External"/><Relationship Id="rId1738" Type="http://schemas.openxmlformats.org/officeDocument/2006/relationships/hyperlink" Target="http://media.ca11.uscourts.gov/opinions/unpub/files/201814488.pdf" TargetMode="External"/><Relationship Id="rId2056" Type="http://schemas.openxmlformats.org/officeDocument/2006/relationships/hyperlink" Target="https://public.fastcase.com/Jhe1Qn%2BmJndQYQU6z%2FeNm94x%2BjtPzHFQX2c8S%2Bx9Phdmrv4s2ioOEI%2FF1Ai%2FXC71?utm_medium=email&amp;_hsenc=p2ANqtz-9AeMkmBBV7ab-HOOGxYui1F4KaPFQMcLoSV_UpG8Q7nnWqxWkhxKerqRyhPDwCCdLiDrxj3K5C-zreoAE1nVCtmbRsSQ&amp;_hsmi=226712652&amp;utm_content=226712652&amp;utm_source=hs_email" TargetMode="External"/><Relationship Id="rId2263" Type="http://schemas.openxmlformats.org/officeDocument/2006/relationships/hyperlink" Target="https://codes.ohio.gov/ohio-revised-code/section-4765.49" TargetMode="External"/><Relationship Id="rId2470" Type="http://schemas.openxmlformats.org/officeDocument/2006/relationships/hyperlink" Target="https://www.casemine.com/judgement/us/698dd4328a508cf645e20167" TargetMode="External"/><Relationship Id="rId3" Type="http://schemas.openxmlformats.org/officeDocument/2006/relationships/styles" Target="styles.xml"/><Relationship Id="rId235" Type="http://schemas.openxmlformats.org/officeDocument/2006/relationships/hyperlink" Target="https://www.supremecourt.gov/opinions/21pdf/21a240_d18e.pdf" TargetMode="External"/><Relationship Id="rId442" Type="http://schemas.openxmlformats.org/officeDocument/2006/relationships/hyperlink" Target="https://law.justia.com/cases/new-york/appellate-division-second-department/2025/2023-00001.html" TargetMode="External"/><Relationship Id="rId887" Type="http://schemas.openxmlformats.org/officeDocument/2006/relationships/hyperlink" Target="https://cases.justia.com/federal/district-courts/california/caedce/2:2023cv01147/429644/22/0.pdf?ts=1706172863" TargetMode="External"/><Relationship Id="rId1072" Type="http://schemas.openxmlformats.org/officeDocument/2006/relationships/hyperlink" Target="https://www.socialaw.com/services/slip-opinions/slip-opinion-details/michael-cannata-vs.-town-of-mashpee" TargetMode="External"/><Relationship Id="rId1500" Type="http://schemas.openxmlformats.org/officeDocument/2006/relationships/hyperlink" Target="https://cases.justia.com/federal/appellate-courts/ca4/25-1440/25-1440-2026-06-24.pdf?ts=1782325881" TargetMode="External"/><Relationship Id="rId1945" Type="http://schemas.openxmlformats.org/officeDocument/2006/relationships/hyperlink" Target="https://caselaw.findlaw.com/court/al-supreme-court/117080306.html" TargetMode="External"/><Relationship Id="rId2123" Type="http://schemas.openxmlformats.org/officeDocument/2006/relationships/hyperlink" Target="https://cafc.uscourts.gov/opinions-orders/24-1104.OPINION.12-9-2024_2432337.pdf" TargetMode="External"/><Relationship Id="rId2330" Type="http://schemas.openxmlformats.org/officeDocument/2006/relationships/hyperlink" Target="https://www.emsworld.com/news/1223006/wash-fire-dept-faces-fourth-lawsuit-intubating-dead-patient" TargetMode="External"/><Relationship Id="rId2568" Type="http://schemas.openxmlformats.org/officeDocument/2006/relationships/hyperlink" Target="https://caselaw.findlaw.com/court/co-supreme-court/111256.html" TargetMode="External"/><Relationship Id="rId2775" Type="http://schemas.openxmlformats.org/officeDocument/2006/relationships/hyperlink" Target="https://njcourts.gov/attorneys/assets/opinions/appellate/unpublished/a1619-18.pdf?c=D1L" TargetMode="External"/><Relationship Id="rId2982" Type="http://schemas.openxmlformats.org/officeDocument/2006/relationships/hyperlink" Target="https://www.legislature.ohio.gov/download?key=20348&amp;format=pdf" TargetMode="External"/><Relationship Id="rId302" Type="http://schemas.openxmlformats.org/officeDocument/2006/relationships/hyperlink" Target="http://codes.ohio.gov/oac/123:1-46-02" TargetMode="External"/><Relationship Id="rId747" Type="http://schemas.openxmlformats.org/officeDocument/2006/relationships/hyperlink" Target="https://www.politico.com/news/2022/06/30/white-house-immigration-supreme-court-win-00043667" TargetMode="External"/><Relationship Id="rId954" Type="http://schemas.openxmlformats.org/officeDocument/2006/relationships/hyperlink" Target="https://cases.justia.com/texas/fourteenth-court-of-appeals/2026-14-25-00078-cv.pdf?ts=1770741693" TargetMode="External"/><Relationship Id="rId1377" Type="http://schemas.openxmlformats.org/officeDocument/2006/relationships/hyperlink" Target="uch%20https://www.whitehouse.gov/presidential-actions/2025/01/defending-women-from-gender-ideology-extremism-and-restoring-biological-truth-to-the-federal-government/?utm_medium=email&amp;utm_source=web_app&amp;utm_campaign=digest" TargetMode="External"/><Relationship Id="rId1584" Type="http://schemas.openxmlformats.org/officeDocument/2006/relationships/hyperlink" Target="https://public.fastcase.com/J%2FJP6pdidelsXxEE4k%2BLMk9lGZyD2KG1SaKKnXCNSDrJ6FT2zCg0RErRpvbDUp%2FnT1MfNEdoSlzLl4b4xQ1JtBz9n9NoggrYwpv0z6IMwm8%3D" TargetMode="External"/><Relationship Id="rId1791" Type="http://schemas.openxmlformats.org/officeDocument/2006/relationships/hyperlink" Target="https://www.dol.gov/agencies/whd/fact-sheets/56c-bonuses" TargetMode="External"/><Relationship Id="rId1805" Type="http://schemas.openxmlformats.org/officeDocument/2006/relationships/hyperlink" Target="https://www.law360.com/employment-authority/articles/1701446/okla-ems-dept-shorts-workers-on-ot-former-emt-says" TargetMode="External"/><Relationship Id="rId2428" Type="http://schemas.openxmlformats.org/officeDocument/2006/relationships/hyperlink" Target="http://www.pacourts.us/assets/opinions/Supreme/out/Majority%20Opinion%20%20VacatedRemanded%20%2010378165044604409.pdf?cb=1" TargetMode="External"/><Relationship Id="rId2635" Type="http://schemas.openxmlformats.org/officeDocument/2006/relationships/hyperlink" Target="https://timeero.com/resources-page/employee-gps-tracking-laws" TargetMode="External"/><Relationship Id="rId2842" Type="http://schemas.openxmlformats.org/officeDocument/2006/relationships/hyperlink" Target="https://cases.justia.com/federal/appellate-courts/ca5/25-30305/25-30305-2026-07-17.pdf?ts=1784331031" TargetMode="External"/><Relationship Id="rId83" Type="http://schemas.openxmlformats.org/officeDocument/2006/relationships/hyperlink" Target="https://www.cdcr.ca.gov/capital-punishment/" TargetMode="External"/><Relationship Id="rId179" Type="http://schemas.openxmlformats.org/officeDocument/2006/relationships/hyperlink" Target="https://www.ca4.uscourts.gov/opinions/224307.P.pdf" TargetMode="External"/><Relationship Id="rId386" Type="http://schemas.openxmlformats.org/officeDocument/2006/relationships/hyperlink" Target="https://www.thompsonhine.com/insights/jpml-creates-new-mdl-for-non-afff-firefighter-turnout-gear-litigation/" TargetMode="External"/><Relationship Id="rId593" Type="http://schemas.openxmlformats.org/officeDocument/2006/relationships/hyperlink" Target="https://www.leagle.com/decision/innvco20191115257" TargetMode="External"/><Relationship Id="rId607" Type="http://schemas.openxmlformats.org/officeDocument/2006/relationships/hyperlink" Target="https://www.kansascity.com/news/politics-government/article231974862.html" TargetMode="External"/><Relationship Id="rId814" Type="http://schemas.openxmlformats.org/officeDocument/2006/relationships/hyperlink" Target="https://www.justice.gov/opa/pr/tampa-man-charged-attempting-provide-material-support-isis" TargetMode="External"/><Relationship Id="rId1237" Type="http://schemas.openxmlformats.org/officeDocument/2006/relationships/hyperlink" Target="https://www.aclumaine.org/en/press-releases/yarmouth-residents-aclu-challenge-new-restrictions-who-can-run-town-council" TargetMode="External"/><Relationship Id="rId1444" Type="http://schemas.openxmlformats.org/officeDocument/2006/relationships/hyperlink" Target="https://casetext.com/case/as-v-ocean-cnty-fire-acad-2" TargetMode="External"/><Relationship Id="rId1651" Type="http://schemas.openxmlformats.org/officeDocument/2006/relationships/hyperlink" Target="https://public.fastcase.com/Jhe1Qn%2BmJndQYQU6z%2FeNm2kS7VI9AQpJ451BKRyshBDGiqezkPNA%2BJ4Mc%2Fomhxj3zuPpdWN764R4JuE3lYQbe83p1Nq1XHA6CB8LuiXwXBM%3D?utm_medium=email&amp;_hsenc=p2ANqtz-_xBqvIlP1bgLDQ7-gr0MsyD2cqh9I-7H0nRbwq_ndvk4N-HbAk55liN5jXfY0IgeNEDhFcwLKOWXCSzt7avhQkvFQDlA&amp;_hsmi=226712652&amp;utm_content=226712652&amp;utm_source=hs_email" TargetMode="External"/><Relationship Id="rId1889" Type="http://schemas.openxmlformats.org/officeDocument/2006/relationships/hyperlink" Target="https://www.chestertonin.org/145/Fire-Department" TargetMode="External"/><Relationship Id="rId2067" Type="http://schemas.openxmlformats.org/officeDocument/2006/relationships/hyperlink" Target="https://www.orangeobserver.com/news/2024/jun/15/breaking-former-orange-county-fire-rescue-battalion-chief-announces-candidacy-for-county-commission-district-1/" TargetMode="External"/><Relationship Id="rId2274" Type="http://schemas.openxmlformats.org/officeDocument/2006/relationships/hyperlink" Target="https://casetext.com/case/sutton-v-rockingham-cnty" TargetMode="External"/><Relationship Id="rId2481" Type="http://schemas.openxmlformats.org/officeDocument/2006/relationships/hyperlink" Target="https://hr.cch.com/ELD/FisherLansing042925.pdf" TargetMode="External"/><Relationship Id="rId2702" Type="http://schemas.openxmlformats.org/officeDocument/2006/relationships/hyperlink" Target="https://abc7ny.com/newark-firefighters-firefighter-arrest-gunfire/1228031/" TargetMode="External"/><Relationship Id="rId246" Type="http://schemas.openxmlformats.org/officeDocument/2006/relationships/hyperlink" Target="https://www.mainelegislature.org/legis/statutes/17/title17sec2851.html" TargetMode="External"/><Relationship Id="rId453" Type="http://schemas.openxmlformats.org/officeDocument/2006/relationships/hyperlink" Target="https://casetext.com/case/waybright-v-frederick-county-2" TargetMode="External"/><Relationship Id="rId660" Type="http://schemas.openxmlformats.org/officeDocument/2006/relationships/hyperlink" Target="https://www.hstoday.us/subject-matter-areas/unmanned-vehicles/eyes-in-the-sky-do-cities-need-warrants-for-drones/" TargetMode="External"/><Relationship Id="rId898" Type="http://schemas.openxmlformats.org/officeDocument/2006/relationships/hyperlink" Target="http://www.courtswv.gov/supreme-court/memo-decisions/spring2023/21-0921%20md.pdf" TargetMode="External"/><Relationship Id="rId1083" Type="http://schemas.openxmlformats.org/officeDocument/2006/relationships/hyperlink" Target="https://www.iamresponding.com/" TargetMode="External"/><Relationship Id="rId1290" Type="http://schemas.openxmlformats.org/officeDocument/2006/relationships/hyperlink" Target="http://codes.ohio.gov/orc/gp9.481" TargetMode="External"/><Relationship Id="rId1304" Type="http://schemas.openxmlformats.org/officeDocument/2006/relationships/hyperlink" Target="https://cases.justia.com/washington/supreme-court/2019-96189-1.pdf?ts=1571325618" TargetMode="External"/><Relationship Id="rId1511" Type="http://schemas.openxmlformats.org/officeDocument/2006/relationships/hyperlink" Target="https://cases.justia.com/federal/district-courts/ohio/ohndce/5:2025cv00885/316724/27/0.pdf?ts=1767103886" TargetMode="External"/><Relationship Id="rId1749" Type="http://schemas.openxmlformats.org/officeDocument/2006/relationships/hyperlink" Target="https://www.justice.gov/opa/pr/justice-department-reaches-agreement-city-and-county-denver-resolve-disability-discrimination" TargetMode="External"/><Relationship Id="rId1956" Type="http://schemas.openxmlformats.org/officeDocument/2006/relationships/hyperlink" Target="https://casetext.com/statute/montana-code/title-2-government-structure-and-administration/chapter-4-administrative-procedure-act/part-6-contested-cases/section-2-4-621-when-absent-members-render-decision-proposal-for-decision-and-opportunity-to-submit-findings-and-conclusions-modification-by-agency" TargetMode="External"/><Relationship Id="rId2134" Type="http://schemas.openxmlformats.org/officeDocument/2006/relationships/hyperlink" Target="https://cases.justia.com/ohio/second-district-court-of-appeals/2024-2024-ca-3-0.pdf?ts=1725029311" TargetMode="External"/><Relationship Id="rId2341" Type="http://schemas.openxmlformats.org/officeDocument/2006/relationships/hyperlink" Target="https://casetext.com/case/county-of-sacramento-v-lewis" TargetMode="External"/><Relationship Id="rId2579" Type="http://schemas.openxmlformats.org/officeDocument/2006/relationships/hyperlink" Target="https://search.txcourts.gov/SearchMedia.aspx?MediaVersionID=2b0bcd7a-4ade-4d61-a274-df674ed3857f&amp;coa=coa14&amp;DT=Opinion&amp;MediaID=e76a99e8-4da0-48c8-9433-ea85e5f312cd" TargetMode="External"/><Relationship Id="rId2786" Type="http://schemas.openxmlformats.org/officeDocument/2006/relationships/hyperlink" Target="https://www.dmlp.org/legal-guide/ohio/ohio-recording-law" TargetMode="External"/><Relationship Id="rId2993" Type="http://schemas.openxmlformats.org/officeDocument/2006/relationships/hyperlink" Target="https://urldefense.com/v3/__https:/www.congress.gov/bill/117th-congress/house-bill/2936?r=5&amp;s=1__;!!Bg5easoyC-OII2vlEqY8mTBrtW-N4OJKAQ!emPJ4la1tXumEvgbQHWWkqIJXSqd8F6eECBBP8LY2twTexz4LKxtEOPGOo9tKXCW3_TJ6neddA$" TargetMode="External"/><Relationship Id="rId106" Type="http://schemas.openxmlformats.org/officeDocument/2006/relationships/hyperlink" Target="https://casetext.com/case/jones-v-united-states-147" TargetMode="External"/><Relationship Id="rId313" Type="http://schemas.openxmlformats.org/officeDocument/2006/relationships/hyperlink" Target="https://public.fastcase.com/Wl%2B2t%2BeVuI35%2FN70vAMFZsoxzsfdSpYQWUHzr4LGn9%2B%2B5efEeYPRxdC77jaiEbzw" TargetMode="External"/><Relationship Id="rId758" Type="http://schemas.openxmlformats.org/officeDocument/2006/relationships/hyperlink" Target="https://casetext.com/case/united-states-v-musaibli-1" TargetMode="External"/><Relationship Id="rId965" Type="http://schemas.openxmlformats.org/officeDocument/2006/relationships/hyperlink" Target="https://cases.justia.com/texas/fourteenth-court-of-appeals/2025-14-24-00251-cv.pdf?ts=1745499568" TargetMode="External"/><Relationship Id="rId1150" Type="http://schemas.openxmlformats.org/officeDocument/2006/relationships/hyperlink" Target="https://codes.ohio.gov/ohio-revised-code/section-4123.68" TargetMode="External"/><Relationship Id="rId1388" Type="http://schemas.openxmlformats.org/officeDocument/2006/relationships/hyperlink" Target="https://caselaw.findlaw.com/court/fl-district-court-of-appeal/116085347.html" TargetMode="External"/><Relationship Id="rId1595" Type="http://schemas.openxmlformats.org/officeDocument/2006/relationships/hyperlink" Target="https://law.justia.com/cases/federal/district-courts/california/caedce/1:2018cv00824/337796/49/" TargetMode="External"/><Relationship Id="rId1609" Type="http://schemas.openxmlformats.org/officeDocument/2006/relationships/hyperlink" Target="https://www.charlotteobserver.com/sports/nascar-auto-racing/article241998186.html" TargetMode="External"/><Relationship Id="rId1816" Type="http://schemas.openxmlformats.org/officeDocument/2006/relationships/hyperlink" Target="https://webapps.dol.gov/elaws/otcalculator.htm" TargetMode="External"/><Relationship Id="rId2439" Type="http://schemas.openxmlformats.org/officeDocument/2006/relationships/hyperlink" Target="https://cases.justia.com/federal/district-courts/louisiana/lawdce/5:2018cv00034/160852/18/0.pdf?ts=1532079100" TargetMode="External"/><Relationship Id="rId2646" Type="http://schemas.openxmlformats.org/officeDocument/2006/relationships/hyperlink" Target="https://cases.justia.com/utah/court-of-appeals-published/2024-20220074-ca.pdf?ts=172806708" TargetMode="External"/><Relationship Id="rId2853" Type="http://schemas.openxmlformats.org/officeDocument/2006/relationships/hyperlink" Target="https://www4.courts.ca.gov/opinions/nonpub/B342205.PDF" TargetMode="External"/><Relationship Id="rId10" Type="http://schemas.openxmlformats.org/officeDocument/2006/relationships/image" Target="media/image1.jpeg"/><Relationship Id="rId94" Type="http://schemas.openxmlformats.org/officeDocument/2006/relationships/hyperlink" Target="https://cdn.ca9.uscourts.gov/datastore/opinions/2025/02/24/23-2218.pdf" TargetMode="External"/><Relationship Id="rId397" Type="http://schemas.openxmlformats.org/officeDocument/2006/relationships/hyperlink" Target="https://www4.courts.ca.gov/opinions/nonpub/C102004.PDF" TargetMode="External"/><Relationship Id="rId520" Type="http://schemas.openxmlformats.org/officeDocument/2006/relationships/hyperlink" Target="https://casetext.com/case/city-of-philadelphia-v-healey" TargetMode="External"/><Relationship Id="rId618" Type="http://schemas.openxmlformats.org/officeDocument/2006/relationships/hyperlink" Target="https://www.audiology.org/sites/default/files/audiologytoday/AT%2024.6%20-%20LOW.pdf" TargetMode="External"/><Relationship Id="rId825" Type="http://schemas.openxmlformats.org/officeDocument/2006/relationships/hyperlink" Target="https://oig.justice.gov/special/s0601/final.pdf" TargetMode="External"/><Relationship Id="rId1248" Type="http://schemas.openxmlformats.org/officeDocument/2006/relationships/hyperlink" Target="http://masscases.com/cases/app/82/82massappct623.html" TargetMode="External"/><Relationship Id="rId1455" Type="http://schemas.openxmlformats.org/officeDocument/2006/relationships/hyperlink" Target="https://www.uticaod.com/news/20190404/utica-firefighter-fired-after-sexual-harassment-claim" TargetMode="External"/><Relationship Id="rId1662" Type="http://schemas.openxmlformats.org/officeDocument/2006/relationships/hyperlink" Target="https://acuityinternational.com/blog/nfpa-1582-medication-disqualifications/" TargetMode="External"/><Relationship Id="rId2078" Type="http://schemas.openxmlformats.org/officeDocument/2006/relationships/hyperlink" Target="https://media.ca11.uscourts.gov/opinions/unpub/files/202413197.pdf" TargetMode="External"/><Relationship Id="rId2201" Type="http://schemas.openxmlformats.org/officeDocument/2006/relationships/hyperlink" Target="https://public.fastcase.com/ZZhmr5v9wN%2FXOe5IsQ%2FqD%2B1qjdbNtrbKnJG3uP2WWVmhlF8pu7dlSanIpJbUEtpE?utm_medium=email&amp;_hsmi=226712652&amp;_hsenc=p2ANqtz-_3swjkE_U3wk1h5U8jVat2QL8kZwPHoy86W6A4pHNVHtwV__0ZHK6m0x71w6miyP2O__WwBW9V-f993pnbFbogevKSBQ&amp;utm_content=226712652&amp;utm_source=hs_email" TargetMode="External"/><Relationship Id="rId2285" Type="http://schemas.openxmlformats.org/officeDocument/2006/relationships/hyperlink" Target="https://public.fastcase.com/waZtJvSA54UAurM2rmIZzwN7i243%2F%2BStZpHYDBkc8sGpJscx%2FQQ27pdU9Jjrp4oC%2BDoaG82WuBlPphdis3f1N3UPtlVqun2jEuCWxYyqQWw%3D" TargetMode="External"/><Relationship Id="rId2492" Type="http://schemas.openxmlformats.org/officeDocument/2006/relationships/hyperlink" Target="https://app.leg.wa.gov/RCW/default.aspx?cite=41.26.030" TargetMode="External"/><Relationship Id="rId2506" Type="http://schemas.openxmlformats.org/officeDocument/2006/relationships/hyperlink" Target="https://perma.cc/4EPP-E4TC" TargetMode="External"/><Relationship Id="rId257" Type="http://schemas.openxmlformats.org/officeDocument/2006/relationships/hyperlink" Target="https://www.supremecourt.gov/DocketPDF/20/20A169/181359/20210610165940894_20A169%20Amicus%20Mot.pdf" TargetMode="External"/><Relationship Id="rId464" Type="http://schemas.openxmlformats.org/officeDocument/2006/relationships/hyperlink" Target="https://www.sullivangalleshaw.com/the-professional-rescuers-rule/" TargetMode="External"/><Relationship Id="rId1010" Type="http://schemas.openxmlformats.org/officeDocument/2006/relationships/hyperlink" Target="https://law.justia.com/codes/west-virginia/2017/chapter-55/article-7b/section-55-7b-6/" TargetMode="External"/><Relationship Id="rId1094" Type="http://schemas.openxmlformats.org/officeDocument/2006/relationships/hyperlink" Target="https://cases.justia.com/west-virginia/supreme-court/2025-24-266.pdf?ts=1736880091" TargetMode="External"/><Relationship Id="rId1108" Type="http://schemas.openxmlformats.org/officeDocument/2006/relationships/hyperlink" Target="https://ilcourtsaudio.blob.core.windows.net/antilles-resources/resources/b3c62d52-1215-4e2d-8145-22ad48aed626/Ceyer%20v.%20City%20of%20Berwyn,%202024%20IL%20App%20(1st)%20231538.pdf" TargetMode="External"/><Relationship Id="rId1315" Type="http://schemas.openxmlformats.org/officeDocument/2006/relationships/hyperlink" Target="http://publicdocs.courts.mi.gov/opinions/final/coa/20190226_c340579_35_340579.opn.pdf" TargetMode="External"/><Relationship Id="rId1967" Type="http://schemas.openxmlformats.org/officeDocument/2006/relationships/hyperlink" Target="https://www.ca2.uscourts.gov/decisions/isysquery/8c1d712c-7872-4b25-a064-fe1fbb801f2a/1/doc/22-110_complete_opn.pdf" TargetMode="External"/><Relationship Id="rId2145" Type="http://schemas.openxmlformats.org/officeDocument/2006/relationships/hyperlink" Target="https://www.orangeobserver.com/news/2024/jun/15/breaking-former-orange-county-fire-rescue-battalion-chief-announces-candidacy-for-county-commission-district-1/" TargetMode="External"/><Relationship Id="rId2713" Type="http://schemas.openxmlformats.org/officeDocument/2006/relationships/hyperlink" Target="https://public.fastcase.com/J%2FJP6pdidelsXxEE4k%2BLMjmPooMwsB33SF6fQbdKtm0G0C1GTVTWTSbOoR0BGdHWdmqT3nxx5N34mFb%2FQIY0wnFPK7Gz1IkNE53DDevS6vE%3D?utm_medium=email&amp;_hsmi=226712652&amp;_hsenc=p2ANqtz--MKBV4Y804r56tzWY_uVAuJIZ65L25irdtNU6ZdfUrAAPtscNAIDyxYykxQ2RxJby9_Fy5S6I1PNXJg84F7LwVp6Ejlw&amp;utm_content=226712652&amp;utm_source=hs_email" TargetMode="External"/><Relationship Id="rId2797" Type="http://schemas.openxmlformats.org/officeDocument/2006/relationships/hyperlink" Target="https://www.opn.ca6.uscourts.gov/opinions.pdf/19a0286p-06.pdf" TargetMode="External"/><Relationship Id="rId2920" Type="http://schemas.openxmlformats.org/officeDocument/2006/relationships/hyperlink" Target="https://casetext.com/case/in-re-arbitration-between-city-of-ogdensburg" TargetMode="External"/><Relationship Id="rId117" Type="http://schemas.openxmlformats.org/officeDocument/2006/relationships/hyperlink" Target="https://cases.justia.com/minnesota/court-of-appeals/2024-a23-1836.pdf?ts=1726855674" TargetMode="External"/><Relationship Id="rId671" Type="http://schemas.openxmlformats.org/officeDocument/2006/relationships/hyperlink" Target="https://www2.ca3.uscourts.gov/opinarch/231900p.pdf" TargetMode="External"/><Relationship Id="rId769" Type="http://schemas.openxmlformats.org/officeDocument/2006/relationships/hyperlink" Target="https://www.cnn.com/2021/07/13/politics/handgun-appeals-court/index.html?utm_term=link&amp;utm_content=2021-07-13T19%3A12%3A10&amp;utm_source=twcnnbrk&amp;utm_medium=social" TargetMode="External"/><Relationship Id="rId976" Type="http://schemas.openxmlformats.org/officeDocument/2006/relationships/hyperlink" Target="https://public.fastcase.com/H1P9uiW3J20SFp%2BGCG%2BxLdY6%2FSfit7cxFyw3bnS%2FOidOFypRHxHWNwsmGqo4fSQEV9JpTw1bCRB2JkBf6VgjErq%2BbrT9DkyICOjdjgBVHFs%3D?utm_medium=email&amp;_hsmi=226712652&amp;_hsenc=p2ANqtz-82_plk0g72fbRvFB8NjbgL3Ik8GBcsuuIrmbdbiUiPbF7Kb8UwG6VvxYNyc-qobM2A00y-E3aXbEp-pYTE9TR3ELyYBQ&amp;utm_content=226712652&amp;utm_source=hs_email" TargetMode="External"/><Relationship Id="rId1399" Type="http://schemas.openxmlformats.org/officeDocument/2006/relationships/hyperlink" Target="https://cases.justia.com/federal/district-courts/illinois/ilndce/1:2016cv10156/332956/258/0.pdf?ts=1582820345" TargetMode="External"/><Relationship Id="rId2352" Type="http://schemas.openxmlformats.org/officeDocument/2006/relationships/hyperlink" Target="https://waysandmeans.house.gov/sites/democrats.waysandmeans.house.gov/files/documents/Ways%20and%20Means%20Surprise%20Billing%20Summary_02%2006%2020%20(final).pdf" TargetMode="External"/><Relationship Id="rId2657" Type="http://schemas.openxmlformats.org/officeDocument/2006/relationships/hyperlink" Target="https://www.courts.nh.gov/sites/g/files/ehbemt471/files/documents/2024-03/20230083stone.pdf" TargetMode="External"/><Relationship Id="rId324" Type="http://schemas.openxmlformats.org/officeDocument/2006/relationships/hyperlink" Target="https://www.law.cornell.edu/supct/html/92-102.ZO.html" TargetMode="External"/><Relationship Id="rId531" Type="http://schemas.openxmlformats.org/officeDocument/2006/relationships/hyperlink" Target="https://www.njcourts.gov/sites/default/files/court-opinions/2023/a2431-20.pdf" TargetMode="External"/><Relationship Id="rId629" Type="http://schemas.openxmlformats.org/officeDocument/2006/relationships/hyperlink" Target="https://d.docs.live.net/bd9b2eaf6053242e/AppData/Roaming/Microsoft/AppData/Local/Microsoft/Windows/INetCache/IE/XO250S7T/15-70040-CV0.pdf" TargetMode="External"/><Relationship Id="rId1161" Type="http://schemas.openxmlformats.org/officeDocument/2006/relationships/hyperlink" Target="https://caselaw.findlaw.com/ny-supreme-court/1972528.html" TargetMode="External"/><Relationship Id="rId1259" Type="http://schemas.openxmlformats.org/officeDocument/2006/relationships/hyperlink" Target="https://www.opn.ca6.uscourts.gov/opinions.pdf/20a0579n-06.pdf" TargetMode="External"/><Relationship Id="rId1466" Type="http://schemas.openxmlformats.org/officeDocument/2006/relationships/hyperlink" Target="https://public.fastcase.com/Wl%2B2t%2BeVuI35%2FN70vAMFZpwObr9UCo7RpBGKfgPOWwVQBI%2BjVLV%2FylH6ScWLGBY%2F" TargetMode="External"/><Relationship Id="rId2005" Type="http://schemas.openxmlformats.org/officeDocument/2006/relationships/hyperlink" Target="https://scholar.google.com/scholar_case?case=14934683326774120071&amp;q=Pennsylvania+%22overdose+response%22&amp;hl=en&amp;scisbd=2&amp;as_sdt=6,36&amp;as_ylo=2020" TargetMode="External"/><Relationship Id="rId2212" Type="http://schemas.openxmlformats.org/officeDocument/2006/relationships/hyperlink" Target="https://www.foxnews.com/us/court-rules-first-responders-wrongfully-declared-michigan-woman-dead-cannot-be-sued" TargetMode="External"/><Relationship Id="rId2864" Type="http://schemas.openxmlformats.org/officeDocument/2006/relationships/hyperlink" Target="https://ilcourtsaudio.blob.core.windows.net/antilles-resources/resources/7509d61b-3a3a-4986-bb3a-7cce5964f936/Village%20of%20Roselle%20v.%20Illinois%20Workers'%20Compensation%20Comm'n,%202025%20IL%20App%20(3rd)%20240306WC-U.pdf" TargetMode="External"/><Relationship Id="rId836" Type="http://schemas.openxmlformats.org/officeDocument/2006/relationships/hyperlink" Target="https://www.foxnews.com/politics/supreme-court-green-lights-trumps-immigration-asylum-ban" TargetMode="External"/><Relationship Id="rId1021" Type="http://schemas.openxmlformats.org/officeDocument/2006/relationships/hyperlink" Target="https://cases.justia.com/texas/fourteenth-court-of-appeals/2019-14-17-00811-cv.pdf?ts=1572351542" TargetMode="External"/><Relationship Id="rId1119" Type="http://schemas.openxmlformats.org/officeDocument/2006/relationships/hyperlink" Target="https://public.fastcase.com/H1P9uiW3J20SFp%2BGCG%2BxLadhvM%2BTk6CyYLUbfEuOSnynNWxAhyJMu40rylJQnWa9?utm_medium=email&amp;_hsmi=226712652&amp;_hsenc=p2ANqtz-_Dihe0VmJESjxgjqn36kOhagQU45bmN7CEHRIuj2470_KUhcV7wrW-Y9ruG8-Hj5g_txVmqO_R_d6e-gS-IENa_oPFKQ&amp;utm_content=226712652&amp;utm_source=hs_email" TargetMode="External"/><Relationship Id="rId1673" Type="http://schemas.openxmlformats.org/officeDocument/2006/relationships/hyperlink" Target="https://www.eeoc.gov/laws/guidance/enforcement-guidance-reasonable-accommodation-and-undue-hardship-under-ada" TargetMode="External"/><Relationship Id="rId1880" Type="http://schemas.openxmlformats.org/officeDocument/2006/relationships/hyperlink" Target="https://www.nbcchicago.com/news/local/reservist-sues-civilian-employer-nbc-investigates/153292/" TargetMode="External"/><Relationship Id="rId1978" Type="http://schemas.openxmlformats.org/officeDocument/2006/relationships/hyperlink" Target="https://public.fastcase.com/J%2FJP6pdidelsXxEE4k%2BLMm7PttKNvW62%2BDA0%2BSJrBHAICFIaFusuxX5Jb%2BuxRPK6Bzlob%2BslGSm9QeXJwFgRUwDQqdPl09RLYbpqdskqtWk%3D" TargetMode="External"/><Relationship Id="rId2517" Type="http://schemas.openxmlformats.org/officeDocument/2006/relationships/hyperlink" Target="https://www.njcourts.gov/attorneys/assets/opinions/appellate/unpublished/a3633-19.pdf" TargetMode="External"/><Relationship Id="rId2724" Type="http://schemas.openxmlformats.org/officeDocument/2006/relationships/hyperlink" Target="https://iprospectcheck.com/ohio-background-check/" TargetMode="External"/><Relationship Id="rId2931" Type="http://schemas.openxmlformats.org/officeDocument/2006/relationships/hyperlink" Target="https://njcourts.gov/attorneys/assets/opinions/appellate/unpublished/a2277-18.pdf" TargetMode="External"/><Relationship Id="rId903" Type="http://schemas.openxmlformats.org/officeDocument/2006/relationships/hyperlink" Target="https://firstamendmentwatch.org/10th-circuit-court-of-appeals-upholds-public-right-to-record-police/" TargetMode="External"/><Relationship Id="rId1326" Type="http://schemas.openxmlformats.org/officeDocument/2006/relationships/hyperlink" Target="http://decisions.courts.state.ny.us/ad3/Decisions/2018/526165.pdf" TargetMode="External"/><Relationship Id="rId1533" Type="http://schemas.openxmlformats.org/officeDocument/2006/relationships/hyperlink" Target="https://public.fastcase.com/jaEE2PXzRXmZ99jOLMt1Ig73AWbHngoMRgpe4nLWTO53aGFBbi44KCyxbclUQNrRtdkO5InHzTjZEyqBZ0TTu4M3XLXcJtKtBwk6Y3SN%2BfM%3D?utm_medium=email&amp;_hsenc=p2ANqtz--YVrLxgHNVQCg2RIMQiS4XSu1REbqHDD3q7IV_og8sZIryoVLFG1HLWpJaCKB-X4Qy5JqtbBdGIwkTCURiibvlDX5J7A&amp;_hsmi=226712652&amp;utm_content=226712652&amp;utm_source=hs_email" TargetMode="External"/><Relationship Id="rId1740" Type="http://schemas.openxmlformats.org/officeDocument/2006/relationships/hyperlink" Target="https://www.law.com/thelegalintelligencer/2019/08/12/third-circuit-revives-beard-related-discrimination-claims-against-upenn/" TargetMode="External"/><Relationship Id="rId32" Type="http://schemas.openxmlformats.org/officeDocument/2006/relationships/hyperlink" Target="https://www.casemine.com/judgement/us/6a2b9a31eaa021ae7251d64e" TargetMode="External"/><Relationship Id="rId1600" Type="http://schemas.openxmlformats.org/officeDocument/2006/relationships/hyperlink" Target="https://www.courts.mi.gov/4a7f39/siteassets/case-documents/uploads/opinions/final/coa/20210916_c353618_41_353618.opn.pdf" TargetMode="External"/><Relationship Id="rId1838" Type="http://schemas.openxmlformats.org/officeDocument/2006/relationships/hyperlink" Target="https://public.fastcase.com/ZZhmr5v9wN%2FXOe5IsQ%2FqD6sjDusMj%2BpqHWJB3g3peOqB7r060z1DCjdHIpcn3tRLdaTmRHBEVoaEU7qCAearkbm3vxifIUs5cRZbbsNdVP8%3D?utm_medium=email&amp;_hsmi=226712652&amp;_hsenc=p2ANqtz-8gP-zHi-IOiqpnpXzunEXLHIYbdJXxowLQqk7bE6jqat0-j7JaN5Av0mj-PIwKwb5z_G2Wf06wKlilS-X5H1ndg63rYw&amp;utm_content=226712652&amp;utm_source=hs_email" TargetMode="External"/><Relationship Id="rId181" Type="http://schemas.openxmlformats.org/officeDocument/2006/relationships/hyperlink" Target="https://www.justice.gov/usao-wdnc/pr/asheville-jury-convicts-franklin-nc-man-starting-fire-burned-more-70-acres-federal-land" TargetMode="External"/><Relationship Id="rId1905" Type="http://schemas.openxmlformats.org/officeDocument/2006/relationships/hyperlink" Target="https://www.dol.gov/agencies/vets/programs/userra" TargetMode="External"/><Relationship Id="rId279" Type="http://schemas.openxmlformats.org/officeDocument/2006/relationships/hyperlink" Target="https://ethics.ohio.gov/education/elearning/ecourses.html" TargetMode="External"/><Relationship Id="rId486" Type="http://schemas.openxmlformats.org/officeDocument/2006/relationships/hyperlink" Target="https://livornoandarnett.com/ohios-firemans-rule/" TargetMode="External"/><Relationship Id="rId693" Type="http://schemas.openxmlformats.org/officeDocument/2006/relationships/hyperlink" Target="https://casetext.com/case/people-v-pacheco-286" TargetMode="External"/><Relationship Id="rId2167" Type="http://schemas.openxmlformats.org/officeDocument/2006/relationships/hyperlink" Target="https://www.postandcourier.com/news/charleston-county-ems-ketamine-lawsuit-settlement/article_682c754c-6d10-11ee-ac1b-ef7daf1ea208.html" TargetMode="External"/><Relationship Id="rId2374" Type="http://schemas.openxmlformats.org/officeDocument/2006/relationships/hyperlink" Target="https://www.legislature.ohio.gov/legislation/legislation-documents?id=GA133-HB-606" TargetMode="External"/><Relationship Id="rId2581" Type="http://schemas.openxmlformats.org/officeDocument/2006/relationships/hyperlink" Target="https://www.gao.gov/products/gao-24-107322" TargetMode="External"/><Relationship Id="rId139" Type="http://schemas.openxmlformats.org/officeDocument/2006/relationships/hyperlink" Target="https://law.justia.com/cases/new-york/other-courts/2024/2024-ny-slip-op-51092-u.html" TargetMode="External"/><Relationship Id="rId346" Type="http://schemas.openxmlformats.org/officeDocument/2006/relationships/hyperlink" Target="https://fisheldowney.com/union-dues-deductions-tips-public-employers/" TargetMode="External"/><Relationship Id="rId553" Type="http://schemas.openxmlformats.org/officeDocument/2006/relationships/hyperlink" Target="http://media.ca1.uscourts.gov/pdf.opinions/21-1826P-01A.pdf" TargetMode="External"/><Relationship Id="rId760" Type="http://schemas.openxmlformats.org/officeDocument/2006/relationships/hyperlink" Target="https://www.ca4.uscourts.gov/opinions/173.P.pdf" TargetMode="External"/><Relationship Id="rId998" Type="http://schemas.openxmlformats.org/officeDocument/2006/relationships/hyperlink" Target="https://codes.ohio.gov/ohio-revised-code/section-4511.991" TargetMode="External"/><Relationship Id="rId1183" Type="http://schemas.openxmlformats.org/officeDocument/2006/relationships/hyperlink" Target="https://codes.ohio.gov/ohio-revised-code/section-742.10" TargetMode="External"/><Relationship Id="rId1390" Type="http://schemas.openxmlformats.org/officeDocument/2006/relationships/hyperlink" Target="https://codes.ohio.gov/ohio-revised-code/section-4113.71" TargetMode="External"/><Relationship Id="rId2027" Type="http://schemas.openxmlformats.org/officeDocument/2006/relationships/hyperlink" Target="https://cases.justia.com/federal/district-courts/washington/wawdce/2:2025cv00367/345154/49/0.pdf?ts=1784314094" TargetMode="External"/><Relationship Id="rId2234" Type="http://schemas.openxmlformats.org/officeDocument/2006/relationships/hyperlink" Target="https://law.justia.com/cases/west-virginia/supreme-court/2023/21-0841.html" TargetMode="External"/><Relationship Id="rId2441" Type="http://schemas.openxmlformats.org/officeDocument/2006/relationships/hyperlink" Target="https://www.justice.gov/opa/pr/justice-department-recovers-over-37-billion-false-claims-act-cases-fiscal-year-2017" TargetMode="External"/><Relationship Id="rId2679" Type="http://schemas.openxmlformats.org/officeDocument/2006/relationships/hyperlink" Target="https://www.mspb.gov/decisions/nonprecedential/SANTOS_NICK_SF_0752_20_0114_I_1_FINAL_ORDER_2060932.pdf" TargetMode="External"/><Relationship Id="rId2886" Type="http://schemas.openxmlformats.org/officeDocument/2006/relationships/hyperlink" Target="https://www.supremecourt.ohio.gov/rod/docs/pdf/0/2023/2023-Ohio-2264.pdf" TargetMode="External"/><Relationship Id="rId206" Type="http://schemas.openxmlformats.org/officeDocument/2006/relationships/hyperlink" Target="https://www.npr.org/2022/06/13/1104570419/ohio-dewine-guns-teachers" TargetMode="External"/><Relationship Id="rId413" Type="http://schemas.openxmlformats.org/officeDocument/2006/relationships/hyperlink" Target="https://cases.justia.com/federal/district-courts/georgia/gasdce/2:2024cv00049/96644/96/0.pdf?ts=1771001361" TargetMode="External"/><Relationship Id="rId858" Type="http://schemas.openxmlformats.org/officeDocument/2006/relationships/hyperlink" Target="https://cases.justia.com/washington/court-of-appeals-division-i/2026-87600-7.pdf?ts=1780339477" TargetMode="External"/><Relationship Id="rId1043" Type="http://schemas.openxmlformats.org/officeDocument/2006/relationships/hyperlink" Target="https://www.mass.gov/doc/defarias-paul-v-city-of-gloucester-related-appeals-court-decision-52626/download" TargetMode="External"/><Relationship Id="rId1488" Type="http://schemas.openxmlformats.org/officeDocument/2006/relationships/hyperlink" Target="https://www.eeoc.gov/policy/docs/factemployment_procedures.html" TargetMode="External"/><Relationship Id="rId1695" Type="http://schemas.openxmlformats.org/officeDocument/2006/relationships/hyperlink" Target="https://casetext.com/case/smith-v-city-of-sanford-2" TargetMode="External"/><Relationship Id="rId2539" Type="http://schemas.openxmlformats.org/officeDocument/2006/relationships/hyperlink" Target="https://images.law.com/contrib/content/uploads/documents/399/44956/psych.pdf" TargetMode="External"/><Relationship Id="rId2746" Type="http://schemas.openxmlformats.org/officeDocument/2006/relationships/hyperlink" Target="https://www.rittgers.com/blog/2021/07/what-does-ohios-new-anti-hazing-law-mean/" TargetMode="External"/><Relationship Id="rId2953" Type="http://schemas.openxmlformats.org/officeDocument/2006/relationships/hyperlink" Target="https://www.flhouse.gov/Sections/Documents/loaddoc.aspx?FileName=_s0184er.DOCX&amp;DocumentType=Bill&amp;BillNumber=184&amp;Session=2024" TargetMode="External"/><Relationship Id="rId620" Type="http://schemas.openxmlformats.org/officeDocument/2006/relationships/hyperlink" Target="https://www.justice.gov/opa/pr/justice-department-announces-improvements-public-safety-officers-benefits-program" TargetMode="External"/><Relationship Id="rId718" Type="http://schemas.openxmlformats.org/officeDocument/2006/relationships/hyperlink" Target="https://www.theatlantic.com/politics/archive/2021/07/california-inmate-firefighters/619567/" TargetMode="External"/><Relationship Id="rId925" Type="http://schemas.openxmlformats.org/officeDocument/2006/relationships/hyperlink" Target="https://public.fastcase.com/9SKwsfNqTc6OieYDhNMyM6VI9jzZ8Wjh0KgpobjMibbiOoRUyOE%2BZu2RC4EQbfMf" TargetMode="External"/><Relationship Id="rId1250" Type="http://schemas.openxmlformats.org/officeDocument/2006/relationships/hyperlink" Target="https://wvrecord.com/stories/511075521-ambulance-service-worker-blames-multiple-defendants-for-injuries" TargetMode="External"/><Relationship Id="rId1348" Type="http://schemas.openxmlformats.org/officeDocument/2006/relationships/hyperlink" Target="https://www.casemine.com/judgement/us/6a0be85df21cf013d419bfe6" TargetMode="External"/><Relationship Id="rId1555" Type="http://schemas.openxmlformats.org/officeDocument/2006/relationships/hyperlink" Target="https://ww3.ca2.uscourts.gov/decisions/isysquery/16788bba-62d9-413f-95b7-7dccd6899f82/2/doc/23-482_so.pdf" TargetMode="External"/><Relationship Id="rId1762" Type="http://schemas.openxmlformats.org/officeDocument/2006/relationships/hyperlink" Target="https://public.fastcase.com/Wl%2B2t%2BeVuI35%2FN70vAMFZmLHUFluj8t0T%2BAyFM6B%2B2S9SNpejaiKBu7OSzXfoy%2FQ" TargetMode="External"/><Relationship Id="rId2301" Type="http://schemas.openxmlformats.org/officeDocument/2006/relationships/hyperlink" Target="https://codes.ohio.gov/ohio-revised-code/section-4511.19" TargetMode="External"/><Relationship Id="rId2606" Type="http://schemas.openxmlformats.org/officeDocument/2006/relationships/hyperlink" Target="https://cases.justia.com/california/court-of-appeal/2025-b327744.pdf?ts=1764194477" TargetMode="External"/><Relationship Id="rId1110" Type="http://schemas.openxmlformats.org/officeDocument/2006/relationships/hyperlink" Target="https://www.360connect.com/product-blog/kronos-time-and-attendance-system-types-features-pricing/" TargetMode="External"/><Relationship Id="rId1208" Type="http://schemas.openxmlformats.org/officeDocument/2006/relationships/hyperlink" Target="https://www.knoe.com/content/news/Bastrop-ordered-to-pay-more-than-16-million-to-firemen-after-lawsuit-509570521.html" TargetMode="External"/><Relationship Id="rId1415" Type="http://schemas.openxmlformats.org/officeDocument/2006/relationships/hyperlink" Target="https://supremecourt.nebraska.gov/sites/default/files/a21-954m.pdf" TargetMode="External"/><Relationship Id="rId2813" Type="http://schemas.openxmlformats.org/officeDocument/2006/relationships/hyperlink" Target="http://www.search.txcourts.gov/SearchMedia.aspx?MediaVersionID=c3f113f2-1ba2-49ff-a2ab-1b5420c141ac&amp;coa=coa09&amp;DT=Opinion&amp;MediaID=ad82a5f3-c7c6-4b28-8fe8-0de313580d94" TargetMode="External"/><Relationship Id="rId54" Type="http://schemas.openxmlformats.org/officeDocument/2006/relationships/hyperlink" Target="https://cases.justia.com/pennsylvania/supreme-court/2025-15-wap-2024.pdf?ts=1763559881" TargetMode="External"/><Relationship Id="rId1622" Type="http://schemas.openxmlformats.org/officeDocument/2006/relationships/hyperlink" Target="https://casetext.com/case/threat-v-city-of-cleveland" TargetMode="External"/><Relationship Id="rId1927" Type="http://schemas.openxmlformats.org/officeDocument/2006/relationships/hyperlink" Target="https://cdn.ca9.uscourts.gov/datastore/memoranda/2026/07/21/24-6425.pdf" TargetMode="External"/><Relationship Id="rId2091" Type="http://schemas.openxmlformats.org/officeDocument/2006/relationships/hyperlink" Target="https://cases.justia.com/alabama/supreme-court/2025-sc-2025-0055.pdf?ts=1756474207" TargetMode="External"/><Relationship Id="rId2189" Type="http://schemas.openxmlformats.org/officeDocument/2006/relationships/hyperlink" Target="https://casetext.com/case/currid-v-the-city-of-new-york" TargetMode="External"/><Relationship Id="rId270" Type="http://schemas.openxmlformats.org/officeDocument/2006/relationships/hyperlink" Target="https://www.tcpalm.com/story/news/crime/st-lucie-county/2018/10/05/verdict-deputy-violated-martin-mans-civil-rights/1526605002/" TargetMode="External"/><Relationship Id="rId2396" Type="http://schemas.openxmlformats.org/officeDocument/2006/relationships/hyperlink" Target="https://www.dailynews.com/2020/04/14/coronavirus-judge-upholds-l-a-city-order-to-close-gun-stores/" TargetMode="External"/><Relationship Id="rId3002" Type="http://schemas.openxmlformats.org/officeDocument/2006/relationships/hyperlink" Target="https://public.fastcase.com/Wl%2B2t%2BeVuI35%2FN70vAMFZk1fYI9cwrY3IkIgZcFpE1Hk%2FIolkI7JdZ%2BewTVypbzK" TargetMode="External"/><Relationship Id="rId130" Type="http://schemas.openxmlformats.org/officeDocument/2006/relationships/hyperlink" Target="http://kool.corrections.ky.gov/KOOL/Details/61717" TargetMode="External"/><Relationship Id="rId368" Type="http://schemas.openxmlformats.org/officeDocument/2006/relationships/hyperlink" Target="https://cases.justia.com/federal/appellate-courts/ca5/17-40754/17-40754-2018-08-31.pdf?ts=1535736678" TargetMode="External"/><Relationship Id="rId575" Type="http://schemas.openxmlformats.org/officeDocument/2006/relationships/hyperlink" Target="https://www.utcourts.gov/opinions/supopin/Ipsen%20v.%20Diamond%20Tree%20Experts20200520_20181052_30.pdf" TargetMode="External"/><Relationship Id="rId782" Type="http://schemas.openxmlformats.org/officeDocument/2006/relationships/hyperlink" Target="https://www.law.cornell.edu/definitions/uscode.php?width=840&amp;height=800&amp;iframe=true&amp;def_id=8-USC-2124716147-1201680062&amp;term_occur=999&amp;term_src=title:8:chapter:12:subchapter:II:part:IV:section:1229b" TargetMode="External"/><Relationship Id="rId2049" Type="http://schemas.openxmlformats.org/officeDocument/2006/relationships/hyperlink" Target="https://www.nycourts.gov/reporter/current/3dseries/2026/2026_02494.shtml" TargetMode="External"/><Relationship Id="rId2256" Type="http://schemas.openxmlformats.org/officeDocument/2006/relationships/hyperlink" Target="https://law.justia.com/cases/wyoming/supreme-court/2022/s-21-0278.html" TargetMode="External"/><Relationship Id="rId2463" Type="http://schemas.openxmlformats.org/officeDocument/2006/relationships/hyperlink" Target="https://www.customsmobile.com/regulations/expand/title29_chapterXVII_part1904_subpartC_section1904.5" TargetMode="External"/><Relationship Id="rId2670" Type="http://schemas.openxmlformats.org/officeDocument/2006/relationships/hyperlink" Target="https://casetext.com/case/goodlett-v-town-of-clarksville" TargetMode="External"/><Relationship Id="rId228" Type="http://schemas.openxmlformats.org/officeDocument/2006/relationships/hyperlink" Target="https://www.law.cornell.edu/supct/html/06-5754.ZS.html" TargetMode="External"/><Relationship Id="rId435" Type="http://schemas.openxmlformats.org/officeDocument/2006/relationships/hyperlink" Target="https://www.rcfp.org/indiana-buffer-zone-law-7th-circuit/" TargetMode="External"/><Relationship Id="rId642" Type="http://schemas.openxmlformats.org/officeDocument/2006/relationships/hyperlink" Target="https://www.supremecourt.gov/opinions/25pdf/24-924_3d9g.pdf" TargetMode="External"/><Relationship Id="rId1065" Type="http://schemas.openxmlformats.org/officeDocument/2006/relationships/hyperlink" Target="https://www.courts.state.md.us/sites/default/files/unreported-opinions/1098s22.pdf" TargetMode="External"/><Relationship Id="rId1272" Type="http://schemas.openxmlformats.org/officeDocument/2006/relationships/hyperlink" Target="http://app.leg.wa.gov/RCW/default.aspx?cite=41.26.030" TargetMode="External"/><Relationship Id="rId2116" Type="http://schemas.openxmlformats.org/officeDocument/2006/relationships/hyperlink" Target="https://casetext.com/statute/general-laws-of-massachusetts/part-i-administration-of-the-government/title-xxi-labor-and-industries/chapter-149-labor-and-industries/section-149187-health-care-providers-protection-from-retaliatory-action-by-health-care-facilities" TargetMode="External"/><Relationship Id="rId2323" Type="http://schemas.openxmlformats.org/officeDocument/2006/relationships/hyperlink" Target="https://casetext.com/case/brown-v-ohio-valley-health-servs-educ-corp" TargetMode="External"/><Relationship Id="rId2530" Type="http://schemas.openxmlformats.org/officeDocument/2006/relationships/hyperlink" Target="https://public.fastcase.com/9SKwsfNqTc6OieYDhNMyM%2BsbSTu241pOZ38l1fL3GtOxRE1iLhH6RZm0FIyTdVeF1XRK6Ebg7B5equTDg4ZQiMxFMDQEZko4UYsaxrmOuYk%3D" TargetMode="External"/><Relationship Id="rId2768" Type="http://schemas.openxmlformats.org/officeDocument/2006/relationships/hyperlink" Target="https://www.sacbee.com/news/politics-government/the-state-worker/article23903194.html" TargetMode="External"/><Relationship Id="rId2975" Type="http://schemas.openxmlformats.org/officeDocument/2006/relationships/hyperlink" Target="https://casetext.com/statute/united-states-code/title-5-government-organization-and-employees/part-i-the-agencies-generally/chapter-7-judicial-review/section-706-scope-of-review" TargetMode="External"/><Relationship Id="rId502" Type="http://schemas.openxmlformats.org/officeDocument/2006/relationships/hyperlink" Target="https://casetext.com/case/knipper-v-drill-team-of-lindenhurst-fire-dept" TargetMode="External"/><Relationship Id="rId947" Type="http://schemas.openxmlformats.org/officeDocument/2006/relationships/hyperlink" Target="https://cases.justia.com/louisiana/third-circuit-court-of-appeal/2026-ca-0025-0423.pdf?ts=1782919449" TargetMode="External"/><Relationship Id="rId1132" Type="http://schemas.openxmlformats.org/officeDocument/2006/relationships/hyperlink" Target="https://casetext.com/case/state-ex-rel-city-of-cincinnati-v-indus-commn-of-ohio" TargetMode="External"/><Relationship Id="rId1577" Type="http://schemas.openxmlformats.org/officeDocument/2006/relationships/hyperlink" Target="https://casetext.com/case/brown-v-hennepin-healthcare-sys" TargetMode="External"/><Relationship Id="rId1784" Type="http://schemas.openxmlformats.org/officeDocument/2006/relationships/hyperlink" Target="https://www.firefighterovertime.org/2026/01/04/fourth-circuit-rules-against-battalion-chiefs-in-virginia-flsa-lawsuit/" TargetMode="External"/><Relationship Id="rId1991" Type="http://schemas.openxmlformats.org/officeDocument/2006/relationships/hyperlink" Target="https://www.npr.org/2021/11/01/1051321580/california-judge-drug-companies-opioid-crisis-allergan-endo-johnson-teva" TargetMode="External"/><Relationship Id="rId2628" Type="http://schemas.openxmlformats.org/officeDocument/2006/relationships/hyperlink" Target="https://courts.delaware.gov/Opinions/Download.aspx?id=381340" TargetMode="External"/><Relationship Id="rId2835" Type="http://schemas.openxmlformats.org/officeDocument/2006/relationships/hyperlink" Target="https://d.docs.live.net/bd9b2eaf6053242e/AppData/Roaming/Microsoft/AppData/Local/Microsoft/Windows/INetCache/IE/7HZ56W7X/16-170.pdf" TargetMode="External"/><Relationship Id="rId76" Type="http://schemas.openxmlformats.org/officeDocument/2006/relationships/hyperlink" Target="https://cases.justia.com/florida/third-district-court-of-appeal/2025-3d23-1625.pdf?ts=1750259354" TargetMode="External"/><Relationship Id="rId807" Type="http://schemas.openxmlformats.org/officeDocument/2006/relationships/hyperlink" Target="https://www.justice.gov/opa/pr/two-suburban-chicago-men-convicted-conspiring-provide-material-support-isis" TargetMode="External"/><Relationship Id="rId1437" Type="http://schemas.openxmlformats.org/officeDocument/2006/relationships/hyperlink" Target="https://www.firerescue1.com/lawsuit/articles/judge-dismisses-federal-gender-discrimination-suit-of-fdny-emt-who-posed-for-calendar-v4FDLqPObm3t3BSV/?utm_source=FireRescue1&amp;utm_campaign=dfa53e36a0-EMAIL_CAMPAIGN_2021_10_08_06_27&amp;utm_medium=email&amp;utm_term=0_1d76c7ca1b-dfa53e36a0-91025172" TargetMode="External"/><Relationship Id="rId1644" Type="http://schemas.openxmlformats.org/officeDocument/2006/relationships/hyperlink" Target="https://d.docs.live.net/bd9b2eaf6053242e/AppData/Roaming/Microsoft/AppData/Local/Microsoft/Windows/INetCache/IE/XO250S7T/Phillips-FDNY.pdf" TargetMode="External"/><Relationship Id="rId1851" Type="http://schemas.openxmlformats.org/officeDocument/2006/relationships/hyperlink" Target="https://www.opn.ca6.uscourts.gov/opinions.pdf/21a0485n-06.pdf" TargetMode="External"/><Relationship Id="rId2902" Type="http://schemas.openxmlformats.org/officeDocument/2006/relationships/hyperlink" Target="https://law.justia.com/cases/texas/third-court-of-appeals/2022/03-21-00227-cv.html" TargetMode="External"/><Relationship Id="rId1504" Type="http://schemas.openxmlformats.org/officeDocument/2006/relationships/hyperlink" Target="https://cases.justia.com/federal/district-courts/virginia/vawdce/6:2024cv00051/132979/41/0.pdf?ts=1779390167" TargetMode="External"/><Relationship Id="rId1711" Type="http://schemas.openxmlformats.org/officeDocument/2006/relationships/hyperlink" Target="https://law.justia.com/cases/federal/district-courts/illinois/ilndce/1:2021cv06211/409083/23/" TargetMode="External"/><Relationship Id="rId1949" Type="http://schemas.openxmlformats.org/officeDocument/2006/relationships/hyperlink" Target="https://casetext.com/case/city-of-great-falls-v-intl-assn-of-fire-fighters-loca" TargetMode="External"/><Relationship Id="rId292" Type="http://schemas.openxmlformats.org/officeDocument/2006/relationships/hyperlink" Target="https://www.mwl-law.com/wp-content/uploads/2018/02/SPOLIATION-OF-EVIDENCE-CHART.pdf" TargetMode="External"/><Relationship Id="rId1809" Type="http://schemas.openxmlformats.org/officeDocument/2006/relationships/hyperlink" Target="https://www.militaryonesource.mil/national-guard/employment-support/uniformed-services-employment-and-reemployment-rights-act/" TargetMode="External"/><Relationship Id="rId597" Type="http://schemas.openxmlformats.org/officeDocument/2006/relationships/hyperlink" Target="https://www.bwc.ohio.gov/downloads/blankpdf/C-265.pdf" TargetMode="External"/><Relationship Id="rId2180" Type="http://schemas.openxmlformats.org/officeDocument/2006/relationships/hyperlink" Target="https://public.fastcase.com/" TargetMode="External"/><Relationship Id="rId2278" Type="http://schemas.openxmlformats.org/officeDocument/2006/relationships/hyperlink" Target="https://www.leagle.com/decision/infdco20220324d64" TargetMode="External"/><Relationship Id="rId2485" Type="http://schemas.openxmlformats.org/officeDocument/2006/relationships/hyperlink" Target="https://cases.justia.com/arizona/court-of-appeals-division-two-unpublished/2025-2-ca-ic-2024-0003.pdf?ts=1738026580" TargetMode="External"/><Relationship Id="rId152" Type="http://schemas.openxmlformats.org/officeDocument/2006/relationships/hyperlink" Target="https://www.washingtonexaminer.com/opinion/beltway-confidential/2771350/little-known-michigan-court-case-could-have-massive-constitutional-effects-across-the-nation/" TargetMode="External"/><Relationship Id="rId457" Type="http://schemas.openxmlformats.org/officeDocument/2006/relationships/hyperlink" Target="https://www.youtube.com/watch?v=Y-qURehCp-0" TargetMode="External"/><Relationship Id="rId1087" Type="http://schemas.openxmlformats.org/officeDocument/2006/relationships/hyperlink" Target="https://cases.justia.com/arizona/supreme-court/2025-cv-23-0211-pr.pdf?ts=1743008459" TargetMode="External"/><Relationship Id="rId1294" Type="http://schemas.openxmlformats.org/officeDocument/2006/relationships/hyperlink" Target="https://www.fabf.org/PDF/SummaryOfBenefits.pdf" TargetMode="External"/><Relationship Id="rId2040" Type="http://schemas.openxmlformats.org/officeDocument/2006/relationships/hyperlink" Target="https://www.coloradojudicial.gov/system/files/opinions-2026-06/24CA0675.pdf" TargetMode="External"/><Relationship Id="rId2138" Type="http://schemas.openxmlformats.org/officeDocument/2006/relationships/hyperlink" Target="https://stlouiscriminaldefense.com/" TargetMode="External"/><Relationship Id="rId2692" Type="http://schemas.openxmlformats.org/officeDocument/2006/relationships/hyperlink" Target="https://public.fastcase.com/ZZhmr5v9wN%2FXOe5IsQ%2FqD%2FbRI5yk0CTLrJ1wUlp23a2jtoF9iRGzOsDdRZIWd9GyXFY2izvgsnflzL0%2FFWSL%2FPpsQUa%2FiEphINoTWEFNJVE%3D?utm_medium=email&amp;_hsmi=226712652&amp;_hsenc=p2ANqtz-8tSxN7q872uN51HDKRs8bBT2KkYc5se6Y34IcB-qusszHk_1kcdMtqv3s-tJTiEGYg-zZ48WEGXoPe6gX9Sz_hnuHHnA&amp;utm_content=226712652&amp;utm_source=hs_email" TargetMode="External"/><Relationship Id="rId2997" Type="http://schemas.openxmlformats.org/officeDocument/2006/relationships/hyperlink" Target="https://www.nytimes.com/2020/06/12/nyregion/50a-repeal-police-floyd.html" TargetMode="External"/><Relationship Id="rId664" Type="http://schemas.openxmlformats.org/officeDocument/2006/relationships/hyperlink" Target="https://edition.cnn.com/2025/11/22/politics/judges-block-trump-cutting-grants-cities-counties-hnk" TargetMode="External"/><Relationship Id="rId871" Type="http://schemas.openxmlformats.org/officeDocument/2006/relationships/hyperlink" Target="https://caselaw.findlaw.com/court/crt-app-sec-dis-cal-div-fiv/117326152.html" TargetMode="External"/><Relationship Id="rId969" Type="http://schemas.openxmlformats.org/officeDocument/2006/relationships/hyperlink" Target="https://casetext.com/case/kneeshaw-v-the-superior-court-of-orange-cnty" TargetMode="External"/><Relationship Id="rId1599" Type="http://schemas.openxmlformats.org/officeDocument/2006/relationships/hyperlink" Target="https://casetext.com/case/smith-v-city-of-toledo" TargetMode="External"/><Relationship Id="rId2345" Type="http://schemas.openxmlformats.org/officeDocument/2006/relationships/hyperlink" Target="https://www.supremecourt.ohio.gov/rod/docs/pdf/0/2009/2009-Ohio-1248.pdf" TargetMode="External"/><Relationship Id="rId2552" Type="http://schemas.openxmlformats.org/officeDocument/2006/relationships/hyperlink" Target="https://law.justia.com/cases/new-jersey/supreme-court/2018/a-9-16.html" TargetMode="External"/><Relationship Id="rId317" Type="http://schemas.openxmlformats.org/officeDocument/2006/relationships/hyperlink" Target="https://www.supremecourt.ohio.gov/rod/docs/pdf/9/2020/2020-Ohio-3158.pdf" TargetMode="External"/><Relationship Id="rId524" Type="http://schemas.openxmlformats.org/officeDocument/2006/relationships/hyperlink" Target="https://www.documentcloud.org/documents/23589006-firefighter-suit-terrance-jones-et-al-v-coj-order-finalizing-case011323" TargetMode="External"/><Relationship Id="rId731" Type="http://schemas.openxmlformats.org/officeDocument/2006/relationships/hyperlink" Target="https://casetext.com/case/chairnoff-v-islamic-republic-of-iran-in-re-terrorist-attacks" TargetMode="External"/><Relationship Id="rId1154" Type="http://schemas.openxmlformats.org/officeDocument/2006/relationships/hyperlink" Target="https://public.fastcase.com/J%2FJP6pdidelsXxEE4k%2BLMqkdD5%2F9vomvqFlCkCXbHBZeshVe9dMO69n26VvOOGQ0AfFNIJdHHotvSTHs4WCcjg4h%2FMs%2B3ZGL0GmuYT%2B2kk4%3D?utm_medium=email&amp;_hsmi=226712652&amp;_hsenc=p2ANqtz-9blRBfGvWcvPfjP94U0OWp5xjRToJRFC1FgT4HNxkVt3pCFWJPlaIDL-9MMTlNfF1ZXM41l3Otj_VuO__ziHrFsLR4IQ&amp;utm_content=226712652&amp;utm_source=hs_email" TargetMode="External"/><Relationship Id="rId1361" Type="http://schemas.openxmlformats.org/officeDocument/2006/relationships/hyperlink" Target="https://media.ca7.uscourts.gov/cgi-bin/rssExec.pl?Submit=Display&amp;Path=Y2022/D07-12/C:21-2784:J:PerCuriam:aut:T:npDp:N:2902357:S:0" TargetMode="External"/><Relationship Id="rId1459" Type="http://schemas.openxmlformats.org/officeDocument/2006/relationships/hyperlink" Target="https://www.supremecourt.gov/opinions/19pdf/17-1618_hfci.pdf" TargetMode="External"/><Relationship Id="rId2205" Type="http://schemas.openxmlformats.org/officeDocument/2006/relationships/hyperlink" Target="https://casetext.com/case/sutton-v-rockingham-cnty-1" TargetMode="External"/><Relationship Id="rId2412" Type="http://schemas.openxmlformats.org/officeDocument/2006/relationships/hyperlink" Target="https://www.courts.ca.gov/opinions/nonpub/F076225.PDF" TargetMode="External"/><Relationship Id="rId2857" Type="http://schemas.openxmlformats.org/officeDocument/2006/relationships/hyperlink" Target="https://public.fastcase.com/jaEE2PXzRXmZ99jOLMt1IhwREi1fEuXa5IBCMUROo3DApdLLsb4vyoe8B%2BNXnfOO?utm_medium=email&amp;_hsenc=p2ANqtz-8ABWS4rvuUksFiiSiWwUxDOv17WyJKZy-5as8oPUYz_An6byDKPPy12elR6z5qE4TfB84ipL9se-rQu7mIzXpACN0LEw&amp;_hsmi=226712652&amp;utm_content=226712652&amp;utm_source=hs_email" TargetMode="External"/><Relationship Id="rId98" Type="http://schemas.openxmlformats.org/officeDocument/2006/relationships/hyperlink" Target="https://www.supremecourt.gov/opinions/24pdf/24-656_ca7d.pdf" TargetMode="External"/><Relationship Id="rId829" Type="http://schemas.openxmlformats.org/officeDocument/2006/relationships/hyperlink" Target="https://cdn.ca9.uscourts.gov/datastore/opinions/2020/02/28/19-15716.pdf" TargetMode="External"/><Relationship Id="rId1014" Type="http://schemas.openxmlformats.org/officeDocument/2006/relationships/hyperlink" Target="https://www.tremcopoliceproducts.com/" TargetMode="External"/><Relationship Id="rId1221" Type="http://schemas.openxmlformats.org/officeDocument/2006/relationships/hyperlink" Target="http://www.aele.org/law/Digests/empl6.html" TargetMode="External"/><Relationship Id="rId1666" Type="http://schemas.openxmlformats.org/officeDocument/2006/relationships/hyperlink" Target="https://www4.courts.ca.gov/opinions/nonpub/B332558.PDF" TargetMode="External"/><Relationship Id="rId1873" Type="http://schemas.openxmlformats.org/officeDocument/2006/relationships/hyperlink" Target="https://www.ca4.uscourts.gov/Opinions/191755.P.pdf" TargetMode="External"/><Relationship Id="rId2717" Type="http://schemas.openxmlformats.org/officeDocument/2006/relationships/hyperlink" Target="file:///C:\Users\lawre\AppData\Local\Microsoft\Windows\INetCache\Content.Outlook\L4F26AG7\Case%20Title%20Butler%20v.%20City%20of%20Big%20Spring.pdf" TargetMode="External"/><Relationship Id="rId2924" Type="http://schemas.openxmlformats.org/officeDocument/2006/relationships/hyperlink" Target="file:///C:/Users/lawre/AppData/Local/Temp/N00008009PUB.pdf" TargetMode="External"/><Relationship Id="rId1319" Type="http://schemas.openxmlformats.org/officeDocument/2006/relationships/hyperlink" Target="http://www.eeoc.gov/" TargetMode="External"/><Relationship Id="rId1526" Type="http://schemas.openxmlformats.org/officeDocument/2006/relationships/hyperlink" Target="https://www.justice.gov/usao-edpa/pr/downingtown-man-convicted-exploiting-usdot-disadvantaged-business-program" TargetMode="External"/><Relationship Id="rId1733" Type="http://schemas.openxmlformats.org/officeDocument/2006/relationships/hyperlink" Target="https://public.fastcase.com/Wl%2B2t%2BeVuI35%2FN70vAMFZkkc03nKI8qkpSJ%2FzmzLggswfoR1RvbDETmM60pPGUhc" TargetMode="External"/><Relationship Id="rId1940" Type="http://schemas.openxmlformats.org/officeDocument/2006/relationships/hyperlink" Target="https://www.youtube.com/watch?v=1jL6w0_sguI" TargetMode="External"/><Relationship Id="rId25" Type="http://schemas.openxmlformats.org/officeDocument/2006/relationships/hyperlink" Target="https://cases.justia.com/kentucky/court-of-appeals/2026-2025-ca-0111-mr.pdf?ts=1784901906" TargetMode="External"/><Relationship Id="rId1800" Type="http://schemas.openxmlformats.org/officeDocument/2006/relationships/hyperlink" Target="https://www.supremecourt.gov/opinions/24pdf/23-217_9o6b.pdf" TargetMode="External"/><Relationship Id="rId174" Type="http://schemas.openxmlformats.org/officeDocument/2006/relationships/hyperlink" Target="https://casetext.com/case/united-states-v-weathington-3" TargetMode="External"/><Relationship Id="rId381" Type="http://schemas.openxmlformats.org/officeDocument/2006/relationships/hyperlink" Target="https://www.nytimes.com/2018/04/02/us/politics/supreme-court-rules-for-police-officer-in-excessive-force-case.html" TargetMode="External"/><Relationship Id="rId2062" Type="http://schemas.openxmlformats.org/officeDocument/2006/relationships/hyperlink" Target="https://public.fastcase.com/Jhe1Qn%2BmJndQYQU6z%2FeNm%2BJGkZOBI%2FIR3xMI1hqgTrQGqCoob0t8sJ6Oq4%2B3vNWN?utm_medium=email&amp;_hsenc=p2ANqtz-9C5O8INd3-mOP0XdLpifj0NkMcgvHJMlYVXVlVDxFjxItyF7mxImlUcaWgD0DywBt6olIyvEknUS-SxKw_pSJ1xCMABg&amp;_hsmi=226712652&amp;utm_content=226712652&amp;utm_source=hs_email" TargetMode="External"/><Relationship Id="rId241" Type="http://schemas.openxmlformats.org/officeDocument/2006/relationships/hyperlink" Target="https://public.fastcase.com/9SKwsfNqTc6OieYDhNMyM7D5VS5NTHGa%2BVbO5LbgTVCol88giq6gEwqG77t7xxlVdoZinV7rGr3Vonxjs0f%2FBj%2FzJq07gNCdlFI%2FOtwWHGw%3D" TargetMode="External"/><Relationship Id="rId479" Type="http://schemas.openxmlformats.org/officeDocument/2006/relationships/hyperlink" Target="https://cases.justia.com/indiana/court-of-appeals/2023-23a-ct-00945.pdf?ts=1698084643" TargetMode="External"/><Relationship Id="rId686" Type="http://schemas.openxmlformats.org/officeDocument/2006/relationships/hyperlink" Target="https://www.govinfo.gov/content/pkg/USCOURTS-cofc-1_23-cv-00383/pdf/USCOURTS-cofc-1_23-cv-00383-0.pdf" TargetMode="External"/><Relationship Id="rId893" Type="http://schemas.openxmlformats.org/officeDocument/2006/relationships/hyperlink" Target="https://cases.justia.com/federal/district-courts/kansas/ksdce/6:2022cv01032/140026/96/0.pdf?ts=1694273736" TargetMode="External"/><Relationship Id="rId2367" Type="http://schemas.openxmlformats.org/officeDocument/2006/relationships/hyperlink" Target="https://public.fastcase.com/Wl%2B2t%2BeVuI35%2FN70vAMFZv50h%2Fykh7FShFoRYs3ZTa26w8rY%2BXvT1%2B6dqL4OkZlK" TargetMode="External"/><Relationship Id="rId2574" Type="http://schemas.openxmlformats.org/officeDocument/2006/relationships/hyperlink" Target="https://www.la4th.org/opinion/2025/4959829_1.pdf" TargetMode="External"/><Relationship Id="rId2781" Type="http://schemas.openxmlformats.org/officeDocument/2006/relationships/hyperlink" Target="https://www.dmlp.org/legal-guide/recording-phone-calls-and-conversations" TargetMode="External"/><Relationship Id="rId339" Type="http://schemas.openxmlformats.org/officeDocument/2006/relationships/hyperlink" Target="https://cases.justia.com/federal/appellate-courts/ca7/18-2926/18-2926-2019-07-15.pdf?ts=1563219019" TargetMode="External"/><Relationship Id="rId546" Type="http://schemas.openxmlformats.org/officeDocument/2006/relationships/hyperlink" Target="https://cafc.uscourts.gov/opinions-orders/21-1452.OPINION.4-15-2022_1936831.pdf" TargetMode="External"/><Relationship Id="rId753" Type="http://schemas.openxmlformats.org/officeDocument/2006/relationships/hyperlink" Target="https://www.supremecourt.gov/opinions/20pdf/19-1108_8n5a.pdf" TargetMode="External"/><Relationship Id="rId1176" Type="http://schemas.openxmlformats.org/officeDocument/2006/relationships/hyperlink" Target="https://capeunion.org/contracts/meyers-milias-brown-act" TargetMode="External"/><Relationship Id="rId1383" Type="http://schemas.openxmlformats.org/officeDocument/2006/relationships/hyperlink" Target="https://www.ca5.uscourts.gov/opinions/unpub/23/23-30810.0.pdf" TargetMode="External"/><Relationship Id="rId2227" Type="http://schemas.openxmlformats.org/officeDocument/2006/relationships/hyperlink" Target="https://public.fastcase.com/J%2FJP6pdidelsXxEE4k%2BLMmkKAOu2og4RFw84MS%2B8ggk3sjpW8vutPxLex2RgGn%2Bt2Jik%2FeX8PJts3C%2F6Q%2Fo%2BG%2BiayCxJf82VEENSX79a%2FfU%3D?utm_medium=email&amp;_hsmi=226712652&amp;_hsenc=p2ANqtz-9IQANQQw8c4G50juoB1YOeI9PRU9K182hoTYcfz0uXjPfI5SdzNRjzRb60ER6nqwMSPaZSSyOzlxBsxtCZ7kFqJFFA4g&amp;utm_content=226712652&amp;utm_source=hs_email" TargetMode="External"/><Relationship Id="rId2434" Type="http://schemas.openxmlformats.org/officeDocument/2006/relationships/hyperlink" Target="https://www.njcourts.gov/attorneys/assets/opinions/appellate/unpublished/a4258-16.pdf?cacheID=HAxjRbJ" TargetMode="External"/><Relationship Id="rId2879" Type="http://schemas.openxmlformats.org/officeDocument/2006/relationships/hyperlink" Target="https://jud.ct.gov/Superiorcourt/MOD/DocumentPreview.aspx?RandomKey=6CFC6C5D-9DDA-4D98-859D-8C6104A0B311" TargetMode="External"/><Relationship Id="rId101" Type="http://schemas.openxmlformats.org/officeDocument/2006/relationships/hyperlink" Target="https://cases.justia.com/federal/appellate-courts/ca3/24-1567/24-1567-2024-12-17.pdf?ts=1734458412" TargetMode="External"/><Relationship Id="rId406" Type="http://schemas.openxmlformats.org/officeDocument/2006/relationships/hyperlink" Target="https://supreme.justia.com/cases/federal/us/487/500/" TargetMode="External"/><Relationship Id="rId960" Type="http://schemas.openxmlformats.org/officeDocument/2006/relationships/hyperlink" Target="https://codes.ohio.gov/ohio-revised-code/section-2744.02" TargetMode="External"/><Relationship Id="rId1036" Type="http://schemas.openxmlformats.org/officeDocument/2006/relationships/hyperlink" Target="https://ilcourtsaudio.blob.core.windows.net/antilles-resources/resources/8915be3b-9919-454d-af72-f179ae44351b/Haley%20v.%20East%20Moline%20Firefighters%20Pension%20Fund%202026%20IL%20App%20(4th)%20251251-U.pdf" TargetMode="External"/><Relationship Id="rId1243" Type="http://schemas.openxmlformats.org/officeDocument/2006/relationships/hyperlink" Target="https://www.chandralaw.com/blog/retired-cleveland-fire-division-battalion-chief-files-first-amendment-retaliation-suit-against-city-senior-public-safety-officials" TargetMode="External"/><Relationship Id="rId1590" Type="http://schemas.openxmlformats.org/officeDocument/2006/relationships/hyperlink" Target="http://media.ca7.uscourts.gov/cgi-bin/rssExec.pl?Submit=Display&amp;Path=Y2022/D07-12/C:21-2784:J:PerCuriam:aut:T:npDp:N:2902357:S:0" TargetMode="External"/><Relationship Id="rId1688" Type="http://schemas.openxmlformats.org/officeDocument/2006/relationships/hyperlink" Target="https://cases.justia.com/federal/appellate-courts/ca6/23-3459/23-3459-2024-03-18.pdf?ts=1710795630" TargetMode="External"/><Relationship Id="rId1895" Type="http://schemas.openxmlformats.org/officeDocument/2006/relationships/hyperlink" Target="https://www.wtoc.com/2018/10/12/president-savannah-firefighters-association-arrested-incident-colorado/" TargetMode="External"/><Relationship Id="rId2641" Type="http://schemas.openxmlformats.org/officeDocument/2006/relationships/hyperlink" Target="https://www.wvsd.uscourts.gov/sites/wvsd/files/opinions/MOO_20250102_5_22-cr-00182.pdf" TargetMode="External"/><Relationship Id="rId2739" Type="http://schemas.openxmlformats.org/officeDocument/2006/relationships/hyperlink" Target="https://www.inquisitr.com/4286305/paramedic-and-firefighter-fondle-teen-having-seizures-jared-david-evans-told-intern-i-had-to/" TargetMode="External"/><Relationship Id="rId2946" Type="http://schemas.openxmlformats.org/officeDocument/2006/relationships/hyperlink" Target="https://www.rwjf.org/en/insights/our-research/2023/04/no-surprises-act--perspectives-on-status-of-consumer-protections-against-balance-billing.html" TargetMode="External"/><Relationship Id="rId613" Type="http://schemas.openxmlformats.org/officeDocument/2006/relationships/hyperlink" Target="https://www.firstrespondercenter.org/cancer/toolsresources/presumptive-legislation-firefighter-cancer-state/" TargetMode="External"/><Relationship Id="rId820" Type="http://schemas.openxmlformats.org/officeDocument/2006/relationships/hyperlink" Target="https://www.supremecourt.gov/opinions/19pdf/19-161_g314.pdf" TargetMode="External"/><Relationship Id="rId918" Type="http://schemas.openxmlformats.org/officeDocument/2006/relationships/hyperlink" Target="https://casetext.com/case/doe-v-jackson-local-sch-dist-bd-of-educ" TargetMode="External"/><Relationship Id="rId1450" Type="http://schemas.openxmlformats.org/officeDocument/2006/relationships/hyperlink" Target="https://scholar.google.com/scholar_case?case=1979118509333189928&amp;q=Rachel+MOSBY+v.+CITY+OF+BYRON,+GEORGIA,&amp;hl=en&amp;as_sdt=6,36" TargetMode="External"/><Relationship Id="rId1548" Type="http://schemas.openxmlformats.org/officeDocument/2006/relationships/hyperlink" Target="https://www.njcourts.gov/system/files/court-opinions/2024/a3173-22.pdf" TargetMode="External"/><Relationship Id="rId1755" Type="http://schemas.openxmlformats.org/officeDocument/2006/relationships/hyperlink" Target="https://www.dol.gov/agencies/whd/fmla" TargetMode="External"/><Relationship Id="rId2501" Type="http://schemas.openxmlformats.org/officeDocument/2006/relationships/hyperlink" Target="https://www.opn.ca6.uscourts.gov/opinions.pdf/21a0151p-06.pdf" TargetMode="External"/><Relationship Id="rId1103" Type="http://schemas.openxmlformats.org/officeDocument/2006/relationships/hyperlink" Target="https://www.pacourts.us/assets/opinions/Commonwealth/out/1382CD22_10-10-24.pdf?cb=1" TargetMode="External"/><Relationship Id="rId1310" Type="http://schemas.openxmlformats.org/officeDocument/2006/relationships/hyperlink" Target="http://www.illinoiscourts.gov/R23_Orders/WorkersComp/2019/3180397WC_R23.pdf" TargetMode="External"/><Relationship Id="rId1408" Type="http://schemas.openxmlformats.org/officeDocument/2006/relationships/hyperlink" Target="https://www.dol.gov/sites/dolgov/files/WHD/flsa/PUMP-act_hr2617.pdf" TargetMode="External"/><Relationship Id="rId1962" Type="http://schemas.openxmlformats.org/officeDocument/2006/relationships/hyperlink" Target="https://public.fastcase.com/H1P9uiW3J20SFp%2BGCG%2BxLWxsjT87vgsYeUyD6XhJjN4sWvyHUDi1iD6eePPdFLtF?utm_medium=email&amp;_hsmi=226712652&amp;_hsenc=p2ANqtz-_iI2JExLit36jQEG92m9s-4sdtZgfob1tVRc-o7xFd5g7DvtyOGh3o-vGJ1z88YzXriHS74jMuVuWJoviL5aHAnGRzpg&amp;utm_content=226712652&amp;utm_source=hs_email" TargetMode="External"/><Relationship Id="rId2806" Type="http://schemas.openxmlformats.org/officeDocument/2006/relationships/hyperlink" Target="https://apps.fastcase.com/Research/Pages/Document.aspx?LTID=ymjJQ%2bnA3gcD0uwW%2fXT8m74LrRSQo4n%2fvIMvSs06sm8gvhQE4Uja7b0PnhuF%2f4C2xuQogpx6q5d2KkmcmH7G9BxVUizxwq9%2bCSXj%2fVTkPcKayiYbCxXnu3qAsQnurF1%2fEGlhVwGun1DCyEjfhN2WDA%3d%3d" TargetMode="External"/><Relationship Id="rId47" Type="http://schemas.openxmlformats.org/officeDocument/2006/relationships/hyperlink" Target="https://www.njcourts.gov/system/files/court-opinions/2025/a_1_25.pdf" TargetMode="External"/><Relationship Id="rId1615" Type="http://schemas.openxmlformats.org/officeDocument/2006/relationships/hyperlink" Target="https://casetext.com/statute/united-states-code/title-42-the-public-health-and-welfare/chapter-21-civil-rights/subchapter-vi-equal-employment-opportunities/section-2000e-2-unlawful-employment-practices" TargetMode="External"/><Relationship Id="rId1822" Type="http://schemas.openxmlformats.org/officeDocument/2006/relationships/hyperlink" Target="http://flsa-optin.com/" TargetMode="External"/><Relationship Id="rId196" Type="http://schemas.openxmlformats.org/officeDocument/2006/relationships/hyperlink" Target="https://www.cdc.gov/niosh/fire/pdfs/face201314.pdf" TargetMode="External"/><Relationship Id="rId2084" Type="http://schemas.openxmlformats.org/officeDocument/2006/relationships/hyperlink" Target="https://www.michbar.org/Portals/0/opinions/appeals/2025/102325/84576.pdf" TargetMode="External"/><Relationship Id="rId2291" Type="http://schemas.openxmlformats.org/officeDocument/2006/relationships/hyperlink" Target="https://www.courtlistener.com/opinion/5313531/gauis-horton-individually-and-on-behalf-of-mary-horton-v-st-tammany-fire/" TargetMode="External"/><Relationship Id="rId263" Type="http://schemas.openxmlformats.org/officeDocument/2006/relationships/hyperlink" Target="http://www.pacourts.us/assets/opinions/Supreme/out/j-100-2020mo%20-%20104821740139246918.pdf" TargetMode="External"/><Relationship Id="rId470" Type="http://schemas.openxmlformats.org/officeDocument/2006/relationships/hyperlink" Target="https://cases.justia.com/texas/eleventh-court-of-appeals/2024-11-22-00155-cr.pdf?ts=1726749633" TargetMode="External"/><Relationship Id="rId2151" Type="http://schemas.openxmlformats.org/officeDocument/2006/relationships/hyperlink" Target="https://cases.justia.com/federal/appellate-courts/ca9/21-15252/21-15252-2024-05-20.pdf?ts=1716226339" TargetMode="External"/><Relationship Id="rId2389" Type="http://schemas.openxmlformats.org/officeDocument/2006/relationships/hyperlink" Target="https://firstliberty.org/media/breaking-church-louisville-ky-mayor-reach-agreement-in-dispute-over-drive-in-church-services/" TargetMode="External"/><Relationship Id="rId2596" Type="http://schemas.openxmlformats.org/officeDocument/2006/relationships/hyperlink" Target="https://www.mass.gov/doc/bailey-casley-v-boston-fire-department-2625/download" TargetMode="External"/><Relationship Id="rId123" Type="http://schemas.openxmlformats.org/officeDocument/2006/relationships/hyperlink" Target="https://law.justia.com/cases/new-york/other-courts/2024/2024-ny-slip-op-51294-u.html" TargetMode="External"/><Relationship Id="rId330" Type="http://schemas.openxmlformats.org/officeDocument/2006/relationships/hyperlink" Target="https://public.fastcase.com/Wl%2B2t%2BeVuI35%2FN70vAMFZj1n7kcpr8halXGGcU2zGib4k7w6DLSXX7%2BQNj%2B4S4J7" TargetMode="External"/><Relationship Id="rId568" Type="http://schemas.openxmlformats.org/officeDocument/2006/relationships/hyperlink" Target="http://www.legislature.mi.gov/(S(dodu2xg2ouu1vonwqhxqy4i2))/mileg.aspx?page=getObject&amp;objectName=mcl-750-411h" TargetMode="External"/><Relationship Id="rId775" Type="http://schemas.openxmlformats.org/officeDocument/2006/relationships/hyperlink" Target="https://www.supremecourt.gov/opinions/20pdf/20-297_4g25.pdf" TargetMode="External"/><Relationship Id="rId982" Type="http://schemas.openxmlformats.org/officeDocument/2006/relationships/hyperlink" Target="https://www.supremecourt.ohio.gov/rod/docs/pdf/8/2023/2023-Ohio-4213.pdf" TargetMode="External"/><Relationship Id="rId1198" Type="http://schemas.openxmlformats.org/officeDocument/2006/relationships/hyperlink" Target="https://www.iaff.org/presumptive-health/" TargetMode="External"/><Relationship Id="rId2011" Type="http://schemas.openxmlformats.org/officeDocument/2006/relationships/hyperlink" Target="https://www.courthousenews.com/wp-content/uploads/2020/06/safehouse-pa.pdf" TargetMode="External"/><Relationship Id="rId2249" Type="http://schemas.openxmlformats.org/officeDocument/2006/relationships/hyperlink" Target="https://public.fastcase.com/J%2FJP6pdidelsXxEE4k%2BLMqK%2F7dEyjXc%2F7MSStJKYdkuUI2%2BsluBCAbCgNdX488UO%2BveqO8oLQ0RNBWqaiEFfWGkDgcs9M5oh9hj%2FtPj21RY%3D?utm_medium=email&amp;_hsmi=226712652&amp;_hsenc=p2ANqtz-9TZeiC7Qp2HA_ZU4GxpYYZhIBONOkNnO3yTlBCsoF00PWMECQ5punx4hjGs90LCim5ScH4TNtnDpd9JYQeMwpFQeZwiA&amp;utm_content=226712652&amp;utm_source=hs_email" TargetMode="External"/><Relationship Id="rId2456" Type="http://schemas.openxmlformats.org/officeDocument/2006/relationships/hyperlink" Target="https://www.ca4.uscourts.gov/Opinions/201342.P.pdf" TargetMode="External"/><Relationship Id="rId2663" Type="http://schemas.openxmlformats.org/officeDocument/2006/relationships/hyperlink" Target="https://www.cincinnati.com/story/news/politics/2024/02/08/court-former-fire-chief-michael-washington-can-sue-city/72523727007/" TargetMode="External"/><Relationship Id="rId2870" Type="http://schemas.openxmlformats.org/officeDocument/2006/relationships/hyperlink" Target="https://casetext.com/statute/code-of-iowa/title-i-state-sovereignty-and-management/chapter-17a-iowa-administrative-procedure-act/section-17a19-judicial-review" TargetMode="External"/><Relationship Id="rId428" Type="http://schemas.openxmlformats.org/officeDocument/2006/relationships/hyperlink" Target="https://www.supremecourt.ohio.gov/rod/docs/pdf/12/2025/2025-Ohio-4780.pdf" TargetMode="External"/><Relationship Id="rId635" Type="http://schemas.openxmlformats.org/officeDocument/2006/relationships/hyperlink" Target="https://www.kltv.com/2026/07/19/federal-judge-bars-trump-administration-using-obscure-clause-make-huge-funding-cuts/" TargetMode="External"/><Relationship Id="rId842" Type="http://schemas.openxmlformats.org/officeDocument/2006/relationships/hyperlink" Target="https://d.docs.live.net/bd9b2eaf6053242e/AppData/Local/Microsoft/Windows/INetCache/Content.Outlook/YEHISW7P/331CR865.pdf" TargetMode="External"/><Relationship Id="rId1058" Type="http://schemas.openxmlformats.org/officeDocument/2006/relationships/hyperlink" Target="https://public.fastcase.com/jaEE2PXzRXmZ99jOLMt1IiCZZZpteOfluZOkYG3wMviTSniVMo5h4kc4WRTpe6V8Jg8IM7MTKJ5SfgRKhZGl2tVI6P4U%2BnkSaEwO2dzM8Rk%3D?utm_medium=email&amp;_hsenc=p2ANqtz--UPexxOwqhUZNftyKJhb3R-qXmsyD2qvqkoufxMeh6uEfEbZVRIKhd7hzivD-PUaEhi0YeikRdDbC9teuqS6ORoDRaLQ&amp;_hsmi=226712652&amp;utm_content=226712652&amp;utm_source=hs_email" TargetMode="External"/><Relationship Id="rId1265" Type="http://schemas.openxmlformats.org/officeDocument/2006/relationships/hyperlink" Target="http://codes.ohio.gov/orc/gp9.481" TargetMode="External"/><Relationship Id="rId1472" Type="http://schemas.openxmlformats.org/officeDocument/2006/relationships/hyperlink" Target="https://cases.justia.com/federal/district-courts/illinois/ilndce/1:2016cv10156/332956/114/0.pdf?ts=1547636381" TargetMode="External"/><Relationship Id="rId2109" Type="http://schemas.openxmlformats.org/officeDocument/2006/relationships/hyperlink" Target="https://public.fastcase.com/jaEE2PXzRXmZ99jOLMt1IuWGAIUpkkorrJl529LJ3awEx3zEi%2Byx9rGBI4x8eUTPQhULRQSbbdyTI3aaLB6SYlAXn8jJowYQjsFj%2FU%2FJFgg%3D?utm_medium=email&amp;_hsenc=p2ANqtz-83fSGxDadFaAqcLR0jtt8PGQuvqaI_epd1KGRFswTzY3809DqN4cnTFvjtIk9nPU87syAh5PxEK-y1xpj2mK9t5ywDKQ&amp;_hsmi=226712652&amp;utm_content=226712652&amp;utm_source=hs_email" TargetMode="External"/><Relationship Id="rId2316" Type="http://schemas.openxmlformats.org/officeDocument/2006/relationships/hyperlink" Target="https://www.supremecourt.gov/opinions/20pdf/20-18_cb7d.pdf" TargetMode="External"/><Relationship Id="rId2523" Type="http://schemas.openxmlformats.org/officeDocument/2006/relationships/hyperlink" Target="https://public.fastcase.com/waZtJvSA54UAurM2rmIZz6DHvxBXKDNOBT4bWQ9B2C2XMExqnhPDmJ4RTlgjq%2FCO3g5z%2BjC1yjBDqKCmneuiR5bS8Q3ELHfgftRpjN8MXvk%3D" TargetMode="External"/><Relationship Id="rId2730" Type="http://schemas.openxmlformats.org/officeDocument/2006/relationships/hyperlink" Target="https://www.supremecourt.ohio.gov/rod/docs/pdf/8/2022/2022-Ohio-824.pdf" TargetMode="External"/><Relationship Id="rId2968" Type="http://schemas.openxmlformats.org/officeDocument/2006/relationships/hyperlink" Target="https://www.law.cornell.edu/rio/citation/81_FR_53003" TargetMode="External"/><Relationship Id="rId702" Type="http://schemas.openxmlformats.org/officeDocument/2006/relationships/hyperlink" Target="https://www.supremecourt.gov/opinions/23pdf/22-842_6kg7.pdf" TargetMode="External"/><Relationship Id="rId1125" Type="http://schemas.openxmlformats.org/officeDocument/2006/relationships/hyperlink" Target="https://www.google.com/search?channel=frsc&amp;client=firefox-b-1-d&amp;q=MATTHEW+LONG+v.+CHATTANOOGA+FIRE+AND+POLICE+PENSION+FUND+No.+E2022-01151-COA-R3-CV+%7C+June+20%2C+2023+Session+%7C+" TargetMode="External"/><Relationship Id="rId1332" Type="http://schemas.openxmlformats.org/officeDocument/2006/relationships/hyperlink" Target="http://client.prod.iaff.org/" TargetMode="External"/><Relationship Id="rId1777" Type="http://schemas.openxmlformats.org/officeDocument/2006/relationships/hyperlink" Target="https://www.dol.gov/agencies/vets/programs/userra/USERRA-Pocket-Guide" TargetMode="External"/><Relationship Id="rId1984" Type="http://schemas.openxmlformats.org/officeDocument/2006/relationships/hyperlink" Target="https://casetext.com/case/dufrene-v-northshore-ems-llc" TargetMode="External"/><Relationship Id="rId2828" Type="http://schemas.openxmlformats.org/officeDocument/2006/relationships/hyperlink" Target="http://www.tsc.state.tn.us/sites/default/files/mosspaulzacharyopn.pdf" TargetMode="External"/><Relationship Id="rId69" Type="http://schemas.openxmlformats.org/officeDocument/2006/relationships/hyperlink" Target="https://supreme.justia.com/cases/federal/us/509/579/" TargetMode="External"/><Relationship Id="rId1637" Type="http://schemas.openxmlformats.org/officeDocument/2006/relationships/hyperlink" Target="https://www.leagle.com/decision/infdco20190624a02" TargetMode="External"/><Relationship Id="rId1844" Type="http://schemas.openxmlformats.org/officeDocument/2006/relationships/hyperlink" Target="https://www.shrm.org/resourcesandtools/legal-and-compliance/employment-law/pages/supreme-court-helix-flsa-exemption.aspx" TargetMode="External"/><Relationship Id="rId1704" Type="http://schemas.openxmlformats.org/officeDocument/2006/relationships/hyperlink" Target="https://www.justice.gov/crt/case-document/file/1583736/download" TargetMode="External"/><Relationship Id="rId285" Type="http://schemas.openxmlformats.org/officeDocument/2006/relationships/hyperlink" Target="https://www.ethics.ohio.gov/advice/formaltopics.html" TargetMode="External"/><Relationship Id="rId1911" Type="http://schemas.openxmlformats.org/officeDocument/2006/relationships/hyperlink" Target="https://www.dol.gov/whd/opinion/FLSA/2019/2019_08_08_11_FLSA.pdf" TargetMode="External"/><Relationship Id="rId492" Type="http://schemas.openxmlformats.org/officeDocument/2006/relationships/hyperlink" Target="https://law.justia.com/cases/wisconsin/supreme-court/1989/87-1094-9.html" TargetMode="External"/><Relationship Id="rId797" Type="http://schemas.openxmlformats.org/officeDocument/2006/relationships/hyperlink" Target="https://www.law.cornell.edu/definitions/uscode.php?width=840&amp;height=800&amp;iframe=true&amp;def_id=8-USC-92903111-1485256781&amp;term_occur=999&amp;term_src=" TargetMode="External"/><Relationship Id="rId2173" Type="http://schemas.openxmlformats.org/officeDocument/2006/relationships/hyperlink" Target="https://public.fastcase.com/H1P9uiW3J20SFp%2BGCG%2BxLfXb%2FP0Zem%2FZVE%2B6Qs7i4IO1WpaqZWLhEbCf1wzASLCeHTBrNzAeMbTpuOI06nFKgtuOqPD57vVcxacgyHv1UJc%3D?utm_medium=email&amp;_hsmi=226712652&amp;_hsenc=p2ANqtz-8wnxBiWrzuFD2HrdDPkM1g9CGhbZuaZGzbWbXmLdA56OF31_PY2JQBf09BSmDMlHEKBQ_DWKjsPmFM9QlP1xX06T0eGA&amp;utm_content=226712652&amp;utm_source=hs_email" TargetMode="External"/><Relationship Id="rId2380" Type="http://schemas.openxmlformats.org/officeDocument/2006/relationships/hyperlink" Target="https://www.emsworld.com/press-release/1222611/immi-launches-per4max-restraint-ems-providers" TargetMode="External"/><Relationship Id="rId2478" Type="http://schemas.openxmlformats.org/officeDocument/2006/relationships/hyperlink" Target="https://cases.justia.com/federal/district-courts/illinois/ilndce/1:2021cv05327/407800/161/0.pdf?ts=1751450196" TargetMode="External"/><Relationship Id="rId145" Type="http://schemas.openxmlformats.org/officeDocument/2006/relationships/hyperlink" Target="https://casetext.com/case/in-re-daims" TargetMode="External"/><Relationship Id="rId352" Type="http://schemas.openxmlformats.org/officeDocument/2006/relationships/hyperlink" Target="https://www.supremecourt.gov/opinions/18pdf/18a815_3d9g.pdf" TargetMode="External"/><Relationship Id="rId1287" Type="http://schemas.openxmlformats.org/officeDocument/2006/relationships/hyperlink" Target="https://appellate.nccourts.org/opinions/?c=2&amp;pdf=38946" TargetMode="External"/><Relationship Id="rId2033" Type="http://schemas.openxmlformats.org/officeDocument/2006/relationships/hyperlink" Target="https://public.fastcase.com/Jhe1Qn%2BmJndQYQU6z%2FeNm6ju%2Bd0XMiKIQG0dYFr7cgUzgsifv99YXHK%2BxnD66TJoHk4g2WwtQKDS%2BvASTYn2UbNIVhBuboQ2Vfvy9hViY%2Bk%3D?utm_medium=email&amp;_hsenc=p2ANqtz-8NHhkkKcWj0_qee_n9oiHaTk7VwtWB_afCW5GLhqKW_ltr3Dza-rNcLPsWMOqNw3cx9q-xKyAAVyV_SrzeJvBmwADJtg&amp;_hsmi=226712652&amp;utm_content=226712652&amp;utm_source=hs_email" TargetMode="External"/><Relationship Id="rId2240" Type="http://schemas.openxmlformats.org/officeDocument/2006/relationships/hyperlink" Target="https://public.fastcase.com/J%2FJP6pdidelsXxEE4k%2BLMmal3pmqwL2M3IcdBRYRq7H5oV2dmSosFOkL4d7k98jG9SuahbInE3n2tMql6kX0QUzRKtcMn83zHZ%2BG%2BG9ZYZQ%3D?utm_medium=email&amp;_hsmi=226712652&amp;_hsenc=p2ANqtz-9uf78hORTgLHe72Nq9qJz-C27iwk_m4r2mdnHF-ngJMSp_ULhMnmBHzq8bpBh7J7k34w9BngwpJd6Z97DDjhMn2bZMQA&amp;utm_content=226712652&amp;utm_source=hs_email" TargetMode="External"/><Relationship Id="rId2685" Type="http://schemas.openxmlformats.org/officeDocument/2006/relationships/hyperlink" Target="https://legislation.nysenate.gov/pdf/bills/2021/S8481" TargetMode="External"/><Relationship Id="rId2892" Type="http://schemas.openxmlformats.org/officeDocument/2006/relationships/hyperlink" Target="https://casetext.com/case/murchison-v-city-of-waterbury" TargetMode="External"/><Relationship Id="rId212" Type="http://schemas.openxmlformats.org/officeDocument/2006/relationships/hyperlink" Target="https://law.justia.com/cases/federal/appellate-courts/ca3/22-1079/22-1079-2022-11-29.html" TargetMode="External"/><Relationship Id="rId657" Type="http://schemas.openxmlformats.org/officeDocument/2006/relationships/hyperlink" Target="https://www.hstoday.us/us-national-guard/column-supreme-court-blocks-national-guard-deployment-to-chicago-restricts-presidential-power-under-title-10/" TargetMode="External"/><Relationship Id="rId864" Type="http://schemas.openxmlformats.org/officeDocument/2006/relationships/hyperlink" Target="https://cases.justia.com/federal/district-courts/federal-claims/cofce/1:2020cv00368/40658/107/0.pdf?ts=1757681305" TargetMode="External"/><Relationship Id="rId1494" Type="http://schemas.openxmlformats.org/officeDocument/2006/relationships/hyperlink" Target="http://www.5dca.org/Opinions/Opin2018/011518/5D17-1183.op.pdf" TargetMode="External"/><Relationship Id="rId1799" Type="http://schemas.openxmlformats.org/officeDocument/2006/relationships/hyperlink" Target="https://www.carolinajournal.com/wp-content/uploads/2025/04/cleveland-ot-128-033125-courtorder.pdf" TargetMode="External"/><Relationship Id="rId2100" Type="http://schemas.openxmlformats.org/officeDocument/2006/relationships/hyperlink" Target="https://cases.justia.com/missouri/court-of-appeals/2025-wd87298.pdf?ts=1750174248" TargetMode="External"/><Relationship Id="rId2338" Type="http://schemas.openxmlformats.org/officeDocument/2006/relationships/hyperlink" Target="https://casetext.com/case/county-of-sacramento-v-lewis" TargetMode="External"/><Relationship Id="rId2545" Type="http://schemas.openxmlformats.org/officeDocument/2006/relationships/hyperlink" Target="https://law.justia.com/cases/illinois/court-of-appeals-first-appellate-district/2019/1-18-0388.html" TargetMode="External"/><Relationship Id="rId2752" Type="http://schemas.openxmlformats.org/officeDocument/2006/relationships/hyperlink" Target="https://appellatecases.courtinfo.ca.gov/search/case/disposition.cfm?dist=0&amp;doc_id=2345572&amp;doc_no=S268086&amp;request_token=NiIwLSEmTkw5W1BRSSItTENJQEg0UDxTJSBeRzJSUCAgCg%3D%3D" TargetMode="External"/><Relationship Id="rId517" Type="http://schemas.openxmlformats.org/officeDocument/2006/relationships/hyperlink" Target="https://www.courts.ca.gov/opinions/nonpub/C096220.PDF" TargetMode="External"/><Relationship Id="rId724" Type="http://schemas.openxmlformats.org/officeDocument/2006/relationships/hyperlink" Target="https://ago.mo.gov/docs/default-source/press-releases/missouri-v-biden-ruling.pdf" TargetMode="External"/><Relationship Id="rId931" Type="http://schemas.openxmlformats.org/officeDocument/2006/relationships/hyperlink" Target="https://www.hamiltoncountyohio.gov/UserFiles/Servers/Server_3788196/File/releases/2020/C-200030_12162020.pdf" TargetMode="External"/><Relationship Id="rId1147" Type="http://schemas.openxmlformats.org/officeDocument/2006/relationships/hyperlink" Target="https://casetext.com/case/barnabee-v-the-nyc-fire-pension-fund" TargetMode="External"/><Relationship Id="rId1354" Type="http://schemas.openxmlformats.org/officeDocument/2006/relationships/hyperlink" Target="https://cases.justia.com/montana/supreme-court/2025-da-24-0672.pdf?ts=1759872027" TargetMode="External"/><Relationship Id="rId1561" Type="http://schemas.openxmlformats.org/officeDocument/2006/relationships/hyperlink" Target="https://fedsoc.org/commentary/fedsoc-blog/lawsuits-challenge-law-firm-diversity-programs-as-racially-discriminatory" TargetMode="External"/><Relationship Id="rId2405" Type="http://schemas.openxmlformats.org/officeDocument/2006/relationships/hyperlink" Target="https://oig.hhs.gov/fraud/strike-force/" TargetMode="External"/><Relationship Id="rId2612" Type="http://schemas.openxmlformats.org/officeDocument/2006/relationships/hyperlink" Target="https://cases.justia.com/louisiana/fourth-circuit-court-of-appeal/2025-2025-ca-0114.pdf?ts=1756426619" TargetMode="External"/><Relationship Id="rId60" Type="http://schemas.openxmlformats.org/officeDocument/2006/relationships/hyperlink" Target="https://www.hstoday.us/subject-matter-areas/unmanned-vehicles/eyes-in-the-sky-do-cities-need-warrants-for-drones/" TargetMode="External"/><Relationship Id="rId1007" Type="http://schemas.openxmlformats.org/officeDocument/2006/relationships/hyperlink" Target="https://codes.ohio.gov/ohio-revised-code/section-4511.03" TargetMode="External"/><Relationship Id="rId1214" Type="http://schemas.openxmlformats.org/officeDocument/2006/relationships/hyperlink" Target="https://law.justia.com/cases/missouri/court-of-appeals/2021/wd83430.html" TargetMode="External"/><Relationship Id="rId1421" Type="http://schemas.openxmlformats.org/officeDocument/2006/relationships/hyperlink" Target="https://public.fastcase.com/waZtJvSA54UAurM2rmIZzzCYJhAha3GGo3AEN0d5yD5AXzBU0GIzy8sJKIx0m%2BEEHwIyJuWgbxH4Xd2BL4DW9aTliyBT6bOFBbV5rp7%2BS3s%3D" TargetMode="External"/><Relationship Id="rId1659" Type="http://schemas.openxmlformats.org/officeDocument/2006/relationships/hyperlink" Target="https://www.eeoc.gov/laws/guidance/ada-questions-and-answers" TargetMode="External"/><Relationship Id="rId1866" Type="http://schemas.openxmlformats.org/officeDocument/2006/relationships/hyperlink" Target="http://www.firefighterovertime.org/wp-content/uploads/2021/04/KC-MO-FF-FLSA-Complaint-1.pdf" TargetMode="External"/><Relationship Id="rId2917" Type="http://schemas.openxmlformats.org/officeDocument/2006/relationships/hyperlink" Target="https://www.nwitimes.com/news/local/lake/east-chicago/judge-orders-east-chicago-to-give-firefighters-back-their-old-work-shifts/article_0a0ebd36-f823-513f-a2fc-d1d6d95613d7.html" TargetMode="External"/><Relationship Id="rId1519" Type="http://schemas.openxmlformats.org/officeDocument/2006/relationships/hyperlink" Target="https://storage.courtlistener.com/recap/gov.uscourts.moed.198347/gov.uscourts.moed.198347.70.0.pdf" TargetMode="External"/><Relationship Id="rId1726" Type="http://schemas.openxmlformats.org/officeDocument/2006/relationships/hyperlink" Target="https://www.mass.gov/files/documents/2020/09/29/q19P0676.pdf" TargetMode="External"/><Relationship Id="rId1933" Type="http://schemas.openxmlformats.org/officeDocument/2006/relationships/hyperlink" Target="https://cases.justia.com/louisiana/first-circuit-court-of-appeal/2026-2025cw0332.pdf?ts=1776975731" TargetMode="External"/><Relationship Id="rId18" Type="http://schemas.openxmlformats.org/officeDocument/2006/relationships/hyperlink" Target="https://doi.org/10.7945/av8d-c920" TargetMode="External"/><Relationship Id="rId2195" Type="http://schemas.openxmlformats.org/officeDocument/2006/relationships/hyperlink" Target="https://casetext.com/case/reid-v-med-ctr-healthems" TargetMode="External"/><Relationship Id="rId167" Type="http://schemas.openxmlformats.org/officeDocument/2006/relationships/hyperlink" Target="https://www.denver7.com/news/local-news/colorado-supreme-court-ruled-in-favor-of-reverse-keyword-search-denver-police-used-to-track-arson-suspects" TargetMode="External"/><Relationship Id="rId374" Type="http://schemas.openxmlformats.org/officeDocument/2006/relationships/hyperlink" Target="https://www.supremecourt.gov/opinions/17pdf/16-402_h315.pdf" TargetMode="External"/><Relationship Id="rId581" Type="http://schemas.openxmlformats.org/officeDocument/2006/relationships/hyperlink" Target="https://www.cdc.gov/niosh/fire/reports/face200837.html" TargetMode="External"/><Relationship Id="rId2055" Type="http://schemas.openxmlformats.org/officeDocument/2006/relationships/hyperlink" Target="https://public.fastcase.com/Jhe1Qn%2BmJndQYQU6z%2FeNm2IRLtoYkrU6PXL9o8jwzst%2FNdrzc21hLfx%2B7rIFE%2Fjg?utm_medium=email&amp;_hsenc=p2ANqtz--U5QylLiDrvLvgZPxLp1UD1XwB_7biW9lkq8qHdnYocPTAWXoAY4eWtL30hGAHlHHG6f150Lk3QwJZsSzIIPSSPKfBlQ&amp;_hsmi=226712652&amp;utm_content=226712652&amp;utm_source=hs_email" TargetMode="External"/><Relationship Id="rId2262" Type="http://schemas.openxmlformats.org/officeDocument/2006/relationships/hyperlink" Target="https://public.fastcase.com/J%2FJP6pdidelsXxEE4k%2BLMlzK3ypZvc0Gn%2FjuZDkyq8MI5%2FfINcqrUtBut3YiWnMm%2B6u%2FYbxznYZMXvWFYa2uilbMm7X%2Bw%2FMZe4%2FFjNyk13o%3D" TargetMode="External"/><Relationship Id="rId234" Type="http://schemas.openxmlformats.org/officeDocument/2006/relationships/hyperlink" Target="https://casetext.com/case/2095-stonington-llc-v-vill-of-hoffman-estates" TargetMode="External"/><Relationship Id="rId679" Type="http://schemas.openxmlformats.org/officeDocument/2006/relationships/hyperlink" Target="file:///C:\Users\lawre\AppData\Local\Microsoft\Windows\INetCache\Content.Outlook\PSWGR3E2\state-of-illinois-et-al-v-federal-emergency-management-agency-et-al-complaint-2025.pdf" TargetMode="External"/><Relationship Id="rId886" Type="http://schemas.openxmlformats.org/officeDocument/2006/relationships/hyperlink" Target="https://www.supremecourt.gov/DocketPDF/23/23-1363/321368/20240801101848884_Baker%20v.%20City%20of%20McKinney_%20Texas%20-%20Amicus%20Brief%20in%20Support%20of%20Petitioner.pdf" TargetMode="External"/><Relationship Id="rId2567" Type="http://schemas.openxmlformats.org/officeDocument/2006/relationships/hyperlink" Target="https://public.fastcase.com/Jhe1Qn%2BmJndQYQU6z%2FeNm8xp5bcQpM0LeCpj95rZ5gNEdVG1ibFcIduRcZ%2B3IipaZYnYIym7VYjtpqKVlaUqasfnn8Tz1CVmcjSIlOE%2BPZg%3D?utm_medium=email&amp;_hsenc=p2ANqtz-9jjfQQEOm_2mMKI3z_PNL0spa8WgXuU5UtiIChSVPrFWGJFWa_yPhDa2X3hbtFntOPOz5eOn48J2_-s790WqIcSfBsuw&amp;_hsmi=226712652&amp;utm_content=226712652&amp;utm_source=hs_email" TargetMode="External"/><Relationship Id="rId2774" Type="http://schemas.openxmlformats.org/officeDocument/2006/relationships/hyperlink" Target="https://casetext.com/case/united-states-v-fields-198" TargetMode="External"/><Relationship Id="rId2" Type="http://schemas.openxmlformats.org/officeDocument/2006/relationships/numbering" Target="numbering.xml"/><Relationship Id="rId441" Type="http://schemas.openxmlformats.org/officeDocument/2006/relationships/hyperlink" Target="https://cases.justia.com/arkansas/court-of-appeals/2025-cv-22-305.pdf?ts=1746026138" TargetMode="External"/><Relationship Id="rId539" Type="http://schemas.openxmlformats.org/officeDocument/2006/relationships/hyperlink" Target="http://www.ca5.uscourts.gov/opinions/unpub/22/22-30100.0.pdf" TargetMode="External"/><Relationship Id="rId746" Type="http://schemas.openxmlformats.org/officeDocument/2006/relationships/hyperlink" Target="https://www.supremecourt.gov/opinions/21pdf/21-954_7l48.pdf" TargetMode="External"/><Relationship Id="rId1071" Type="http://schemas.openxmlformats.org/officeDocument/2006/relationships/hyperlink" Target="https://www.dol.gov/agencies/vets/programs/userra/USERRA-Pocket-Guide" TargetMode="External"/><Relationship Id="rId1169" Type="http://schemas.openxmlformats.org/officeDocument/2006/relationships/hyperlink" Target="https://www.journal-news.com/news/local/fairfield-able-rehire-retired-fire-chief/JMPkJQCqJ2eIDqbu2eI8RK/" TargetMode="External"/><Relationship Id="rId1376" Type="http://schemas.openxmlformats.org/officeDocument/2006/relationships/hyperlink" Target="https://codes.ohio.gov/ohio-revised-code/section-4113.71" TargetMode="External"/><Relationship Id="rId1583" Type="http://schemas.openxmlformats.org/officeDocument/2006/relationships/hyperlink" Target="https://public.fastcase.com/J%2FJP6pdidelsXxEE4k%2BLMvlYUX0ZAhRbseqqFnL4gi3bRwNf0Z9RCieiQ7wPaXcpaaE7aExMc6ouwIyWJC8qizoR4DyeCOueQnsNxsVE1Ec%3D" TargetMode="External"/><Relationship Id="rId2122" Type="http://schemas.openxmlformats.org/officeDocument/2006/relationships/hyperlink" Target="https://casetext.com/case/kilpatrick-v-city-of-l-a" TargetMode="External"/><Relationship Id="rId2427" Type="http://schemas.openxmlformats.org/officeDocument/2006/relationships/hyperlink" Target="https://scholar.google.com/scholar_case?case=16398402888190855228&amp;q=Dissell+v.+Cleveland&amp;hl=en&amp;as_sdt=6,36&amp;as_vis=1" TargetMode="External"/><Relationship Id="rId2981" Type="http://schemas.openxmlformats.org/officeDocument/2006/relationships/hyperlink" Target="https://cdn.ca9.uscourts.gov/datastore/opinions/2023/04/17/21-16278.pdf" TargetMode="External"/><Relationship Id="rId301" Type="http://schemas.openxmlformats.org/officeDocument/2006/relationships/hyperlink" Target="http://codes.ohio.gov/orc/2921.43" TargetMode="External"/><Relationship Id="rId953" Type="http://schemas.openxmlformats.org/officeDocument/2006/relationships/hyperlink" Target="https://cases.justia.com/federal/district-courts/new-york/nyndce/6:2022cv01157/135604/81/0.pdf?ts=1772211450" TargetMode="External"/><Relationship Id="rId1029" Type="http://schemas.openxmlformats.org/officeDocument/2006/relationships/hyperlink" Target="http://codes.ohio.gov/orc/2744.07" TargetMode="External"/><Relationship Id="rId1236" Type="http://schemas.openxmlformats.org/officeDocument/2006/relationships/hyperlink" Target="https://public.fastcase.com/Wl%2B2t%2BeVuI35%2FN70vAMFZiwHTxExttVvxvtro3%2Fx3JKRataF5Ade5ddShAB2khcY" TargetMode="External"/><Relationship Id="rId1790" Type="http://schemas.openxmlformats.org/officeDocument/2006/relationships/hyperlink" Target="https://www.dol.gov/sites/dolgov/files/WHD/opinion-letters/FLSA/FLSA-2025-04.pdf" TargetMode="External"/><Relationship Id="rId1888" Type="http://schemas.openxmlformats.org/officeDocument/2006/relationships/hyperlink" Target="https://public.fastcase.com/Wl%2B2t%2BeVuI35%2FN70vAMFZtsu4ffMdPWfOx%2BdxBXmfVAnwIw9ms7kbCEt1faHV%2BzM" TargetMode="External"/><Relationship Id="rId2634" Type="http://schemas.openxmlformats.org/officeDocument/2006/relationships/hyperlink" Target="https://public.fastcase.com/jaEE2PXzRXmZ99jOLMt1Im1keUzBtfiIHvEUrgtpCe4tsCgV6NtJX3IH6wzppmaYdMf24%2B5puOWV6%2FBXnYGObJXUVli9SMl09cYxEMCDiBI%3D?utm_medium=email&amp;_hsenc=p2ANqtz-_d7OiIN91ZAk7Y1LfM1ALZw-U0OSyNxgKb6pVH2Z92AnZk8gKeX6P0Vdjf87FJH4FQPvAXMckV1s5VI4fjARMOTrnriQ&amp;_hsmi=226712652&amp;utm_content=226712652&amp;utm_source=hs_email" TargetMode="External"/><Relationship Id="rId2841" Type="http://schemas.openxmlformats.org/officeDocument/2006/relationships/hyperlink" Target="https://public.fastcase.com/Jhe1Qn%2BmJndQYQU6z%2FeNmzw1MjNfE42lsGXHo5QuLwzGO9v5LOxlzP%2Bh0pvh6sGa84MuJU1YBVqK1ekaBZuy%2F7iVYOwp0Zv%2FyO%2BM%2FzbRTYc%3D?utm_medium=email&amp;_hsenc=p2ANqtz-8yXGd80l_LUWaAnsmB3JMO2ESWYuMTqNd3smnS9LzfREYFdHkYx-1YqdQDmvXovN_D03neIMXoYWANJifdITEhWzlhbw&amp;_hsmi=226712652&amp;utm_content=226712652&amp;utm_source=hs_email" TargetMode="External"/><Relationship Id="rId2939" Type="http://schemas.openxmlformats.org/officeDocument/2006/relationships/hyperlink" Target="https://www.sfgate.com/news/article/Supreme-Court-rules-that-companies-can-require-12931130.php" TargetMode="External"/><Relationship Id="rId82" Type="http://schemas.openxmlformats.org/officeDocument/2006/relationships/hyperlink" Target="https://cases.justia.com/california/supreme-court/2025-s173784.pdf?ts=1746464481" TargetMode="External"/><Relationship Id="rId606" Type="http://schemas.openxmlformats.org/officeDocument/2006/relationships/hyperlink" Target="https://www.firstrespondercenter.org/cancer/toolsresources/presumptive-legislation-firefighter-cancer-state/" TargetMode="External"/><Relationship Id="rId813" Type="http://schemas.openxmlformats.org/officeDocument/2006/relationships/hyperlink" Target="https://casetext.com/case/united-states-v-al-azhari-2" TargetMode="External"/><Relationship Id="rId1443" Type="http://schemas.openxmlformats.org/officeDocument/2006/relationships/hyperlink" Target="https://public.fastcase.com/9SKwsfNqTc6OieYDhNMyMx8HeCj7%2FDJBNdWBqE3NyzJHPN6vSl1mv%2F8RhqlJqRKR" TargetMode="External"/><Relationship Id="rId1650" Type="http://schemas.openxmlformats.org/officeDocument/2006/relationships/hyperlink" Target="https://www.casemine.com/judgement/us/6a52586871db26a4e922f540" TargetMode="External"/><Relationship Id="rId1748" Type="http://schemas.openxmlformats.org/officeDocument/2006/relationships/hyperlink" Target="https://cases.justia.com/louisiana/fourth-circuit-court-of-appeal/2018-2018-ca-0507.pdf?ts=1542839104" TargetMode="External"/><Relationship Id="rId2701" Type="http://schemas.openxmlformats.org/officeDocument/2006/relationships/hyperlink" Target="https://www.njcourts.gov/sites/default/files/court-opinions/2023/a3688-20.pdf" TargetMode="External"/><Relationship Id="rId1303" Type="http://schemas.openxmlformats.org/officeDocument/2006/relationships/hyperlink" Target="https://law.justia.com/cases/new-york/other-courts/2019/2019-ny-slip-op-29363.html" TargetMode="External"/><Relationship Id="rId1510" Type="http://schemas.openxmlformats.org/officeDocument/2006/relationships/hyperlink" Target="https://www.supremecourt.gov/opinions/25pdf/24-109_21o3.pdf" TargetMode="External"/><Relationship Id="rId1955" Type="http://schemas.openxmlformats.org/officeDocument/2006/relationships/hyperlink" Target="https://casetext.com/statute/montana-code/title-39-labor/chapter-31-collective-bargaining-for-public-employees/part-4-unfair-labor-practices/section-39-31-406-hearing-on-complaint-findings-order" TargetMode="External"/><Relationship Id="rId1608" Type="http://schemas.openxmlformats.org/officeDocument/2006/relationships/hyperlink" Target="https://patch.com/massachusetts/brookline/brookline-select-board-votes-appeal-gerald-alston-case" TargetMode="External"/><Relationship Id="rId1815" Type="http://schemas.openxmlformats.org/officeDocument/2006/relationships/hyperlink" Target="https://www.ecfr.gov/current/title-29/section-778.224" TargetMode="External"/><Relationship Id="rId189" Type="http://schemas.openxmlformats.org/officeDocument/2006/relationships/hyperlink" Target="https://www.supremecourt.gov/opinions/22pdf/21-1326_6jfl.pdf" TargetMode="External"/><Relationship Id="rId396" Type="http://schemas.openxmlformats.org/officeDocument/2006/relationships/hyperlink" Target="https://www.supremecourt.ohio.gov/rod/docs/pdf/0/2026/2026-Ohio-1965.pdf" TargetMode="External"/><Relationship Id="rId2077" Type="http://schemas.openxmlformats.org/officeDocument/2006/relationships/hyperlink" Target="https://www.govinfo.gov/content/pkg/USCOURTS-mied-1_19-cr-20167/pdf/USCOURTS-mied-1_19-cr-20167-2.pdf" TargetMode="External"/><Relationship Id="rId2284" Type="http://schemas.openxmlformats.org/officeDocument/2006/relationships/hyperlink" Target="https://public.fastcase.com/waZtJvSA54UAurM2rmIZzwvOxdABv7XvwmmlDXNvdvn51CTV3NslG6Rw0yioxZXL%2BjJOhhNAJF%2FpIN8S52jcKAcJWCdsLYpOkU1PQ4W0%2BbA%3D" TargetMode="External"/><Relationship Id="rId2491" Type="http://schemas.openxmlformats.org/officeDocument/2006/relationships/hyperlink" Target="https://www.firstresponderptsdclaims.com/faq/" TargetMode="External"/><Relationship Id="rId256" Type="http://schemas.openxmlformats.org/officeDocument/2006/relationships/hyperlink" Target="https://www.supremecourt.gov/opinions/20pdf/21a23_ap6c.pdf" TargetMode="External"/><Relationship Id="rId463" Type="http://schemas.openxmlformats.org/officeDocument/2006/relationships/hyperlink" Target="https://casetext.com/case/armstrong-v-mailand" TargetMode="External"/><Relationship Id="rId670" Type="http://schemas.openxmlformats.org/officeDocument/2006/relationships/hyperlink" Target="https://cases.justia.com/pennsylvania/superior-court/2025-1252-eda-2024.pdf?ts=1758220361" TargetMode="External"/><Relationship Id="rId1093" Type="http://schemas.openxmlformats.org/officeDocument/2006/relationships/hyperlink" Target="https://www.nj.gov/treasury/pensions/documents/factsheets/fact15.pdf" TargetMode="External"/><Relationship Id="rId2144" Type="http://schemas.openxmlformats.org/officeDocument/2006/relationships/hyperlink" Target="https://cases.justia.com/federal/appellate-courts/ca11/23-12759/23-12759-2024-07-23.pdf?ts=1721745066" TargetMode="External"/><Relationship Id="rId2351" Type="http://schemas.openxmlformats.org/officeDocument/2006/relationships/hyperlink" Target="https://public.fastcase.com/Wl%2B2t%2BeVuI35%2FN70vAMFZhgQRMSlTmc31zPzZvHhe6G3UFiDUpDiHM1BEG64P0h7" TargetMode="External"/><Relationship Id="rId2589" Type="http://schemas.openxmlformats.org/officeDocument/2006/relationships/hyperlink" Target="https://www.2news.com/news/local/former-sparks-fire-chief-pleads-no-contest-to-drug-related-charge/article_484d699c-7023-11ed-b795-ff8664a2c2d9.html" TargetMode="External"/><Relationship Id="rId2796" Type="http://schemas.openxmlformats.org/officeDocument/2006/relationships/hyperlink" Target="https://supreme.justia.com/cases/federal/us/470/532/" TargetMode="External"/><Relationship Id="rId116" Type="http://schemas.openxmlformats.org/officeDocument/2006/relationships/hyperlink" Target="https://caselaw.findlaw.com/court/az-court-of-appeals/116575227.html" TargetMode="External"/><Relationship Id="rId323" Type="http://schemas.openxmlformats.org/officeDocument/2006/relationships/hyperlink" Target="https://www.courtlistener.com/opinion/4747432/cid-torrez-v-state-of-florida/" TargetMode="External"/><Relationship Id="rId530" Type="http://schemas.openxmlformats.org/officeDocument/2006/relationships/hyperlink" Target="https://law.justia.com/cases/federal/appellate-courts/ca3/21-3019/21-3019-2023-01-25.html" TargetMode="External"/><Relationship Id="rId768" Type="http://schemas.openxmlformats.org/officeDocument/2006/relationships/hyperlink" Target="https://www.ca4.uscourts.gov/opinions/192250.P.pdf" TargetMode="External"/><Relationship Id="rId975" Type="http://schemas.openxmlformats.org/officeDocument/2006/relationships/hyperlink" Target="https://casetext.com/statute/texas-codes/civil-practice-and-remedies-code/title-5-governmental-liability/chapter-101-tort-claims/subchapter-b-tort-liability-of-governmental-units/section-101021-governmental-liability" TargetMode="External"/><Relationship Id="rId1160" Type="http://schemas.openxmlformats.org/officeDocument/2006/relationships/hyperlink" Target="https://ilcourtsaudio.blob.core.windows.net/antilles-resources/resources/afeb172a-b7f7-45e5-889d-a00b38f164df/City%20of%20East%20Peoria%20v.%20Melton,%202022%20IL%20App%20(4th)%20220281-U.pdf" TargetMode="External"/><Relationship Id="rId1398" Type="http://schemas.openxmlformats.org/officeDocument/2006/relationships/hyperlink" Target="https://wtop.com/news/2014/03/dc-firefighter-charged-with-filling-fake-prescriptions/" TargetMode="External"/><Relationship Id="rId2004" Type="http://schemas.openxmlformats.org/officeDocument/2006/relationships/hyperlink" Target="http://www.drugconsumptionroom-international.org/images/pdf/dcr_in_rotterdam_amsterdam.pdf" TargetMode="External"/><Relationship Id="rId2211" Type="http://schemas.openxmlformats.org/officeDocument/2006/relationships/hyperlink" Target="https://www.opn.ca6.uscourts.gov/opinions.pdf/23a0156p-06.pdf" TargetMode="External"/><Relationship Id="rId2449" Type="http://schemas.openxmlformats.org/officeDocument/2006/relationships/hyperlink" Target="https://cases.justia.com/federal/district-courts/virginia/vawdce/5:2025cv00063/135495/23/0.pdf?ts=1785772612" TargetMode="External"/><Relationship Id="rId2656" Type="http://schemas.openxmlformats.org/officeDocument/2006/relationships/hyperlink" Target="https://public.fastcase.com/H1P9uiW3J20SFp%2BGCG%2BxLf0QXfMdGqdqZlQXVQLOVSo%2BRVxC5joRx%2Bn0W0bwooepXLY2KUKQY%2FNa4DzAR11NEG8M8s0LDdmLgDmSoVIjHEI%3D?utm_medium=email&amp;_hsmi=226712652&amp;_hsenc=p2ANqtz--j20uR-GYo6WCSGz4uB5jXz0CJaW80ssMVqf4KPGqbFwk9_LUt6on4Dgf3xdmVustFIoMmyBcwEiGPMrkJq9j9MAGPKA&amp;utm_content=226712652&amp;utm_source=hs_email" TargetMode="External"/><Relationship Id="rId2863" Type="http://schemas.openxmlformats.org/officeDocument/2006/relationships/hyperlink" Target="https://caselaw.findlaw.com/court/ny-supreme-court-appellate-division/117059772.html" TargetMode="External"/><Relationship Id="rId628" Type="http://schemas.openxmlformats.org/officeDocument/2006/relationships/hyperlink" Target="https://www.nytimes.com/2018/04/02/us/politics/supreme-court-rules-for-police-officer-in-excessive-force-case.html" TargetMode="External"/><Relationship Id="rId835" Type="http://schemas.openxmlformats.org/officeDocument/2006/relationships/hyperlink" Target="https://www.foxnews.com/politics/doj-asks-supreme-court-to-allow-enforcement-of-trumps-immigration-asylum-restrictions" TargetMode="External"/><Relationship Id="rId1258" Type="http://schemas.openxmlformats.org/officeDocument/2006/relationships/hyperlink" Target="https://delcode.delaware.gov/title19/c017/index.shtml" TargetMode="External"/><Relationship Id="rId1465" Type="http://schemas.openxmlformats.org/officeDocument/2006/relationships/hyperlink" Target="https://www.leagle.com/cite/951%20F.2d%20320" TargetMode="External"/><Relationship Id="rId1672" Type="http://schemas.openxmlformats.org/officeDocument/2006/relationships/hyperlink" Target="https://abcnews.go.com/Health/1500-nyc-municipal-workers-fired-vaccinated-covid/story?id=82900617" TargetMode="External"/><Relationship Id="rId2309" Type="http://schemas.openxmlformats.org/officeDocument/2006/relationships/hyperlink" Target="https://public.fastcase.com/9SKwsfNqTc6OieYDhNMyMyh4iKdUdl33yaqybd0RVUT7BGA%2FcA7dSWVys7nK48GqCBRY0Irwv50JDrMJhhTjndqcgsIMADMauCadEl5HS9U%3D" TargetMode="External"/><Relationship Id="rId2516" Type="http://schemas.openxmlformats.org/officeDocument/2006/relationships/hyperlink" Target="https://public.fastcase.com/J%2FJP6pdidelsXxEE4k%2BLMmppr1xeX1%2Bm2bW38%2FPoc%2BjXR15UXAVR8dC2RoWWa4H5Xq9pVObZCpSmCaBhyWr74I1EN1To2hIbHKD6%2F8UayPI%3D" TargetMode="External"/><Relationship Id="rId2723" Type="http://schemas.openxmlformats.org/officeDocument/2006/relationships/hyperlink" Target="https://codes.ohio.gov/ohio-revised-code/section-2953.32/4-7-2021" TargetMode="External"/><Relationship Id="rId1020" Type="http://schemas.openxmlformats.org/officeDocument/2006/relationships/hyperlink" Target="https://cases.justia.com/louisiana/fourth-circuit-court-of-appeal/2020-2019-ca-0250.pdf?ts=1578564502" TargetMode="External"/><Relationship Id="rId1118" Type="http://schemas.openxmlformats.org/officeDocument/2006/relationships/hyperlink" Target="https://www.njcourts.gov/system/files/court-opinions/2024/a3332-21.pdf" TargetMode="External"/><Relationship Id="rId1325" Type="http://schemas.openxmlformats.org/officeDocument/2006/relationships/hyperlink" Target="http://www.opn.ca6.uscourts.gov/opinions.pdf/18a0522n-06.pdf" TargetMode="External"/><Relationship Id="rId1532" Type="http://schemas.openxmlformats.org/officeDocument/2006/relationships/hyperlink" Target="https://public.fastcase.com/jaEE2PXzRXmZ99jOLMt1IvrAn%2Bvx0cgAdRJLFzEVE5rZOK58n0UQBGfcsDJAKHyq3V35FHlAbNqGcC8r8dPNnejcnyefccFrDQkDZXnULhU%3D?utm_medium=email&amp;_hsenc=p2ANqtz-8kewSXPlrcM1MOnAYiHvCPklkrBuM3zyFieXeXxpBY7QJCt7ROBRst2YRlv6uOnNoYQgLAyEZN4abHQWMttR1q6BIDag&amp;_hsmi=226712652&amp;utm_content=226712652&amp;utm_source=hs_email" TargetMode="External"/><Relationship Id="rId1977" Type="http://schemas.openxmlformats.org/officeDocument/2006/relationships/hyperlink" Target="https://www.2dca.org/content/download/849844/opinion/211477_DC13_09232022_081840_i.pdf" TargetMode="External"/><Relationship Id="rId2930" Type="http://schemas.openxmlformats.org/officeDocument/2006/relationships/hyperlink" Target="https://public.fastcase.com/Wl%2B2t%2BeVuI35%2FN70vAMFZl7A1gE73iKGMMI%2FPLrMqXgHwn%2FVp9h90PlANd5CkjNU" TargetMode="External"/><Relationship Id="rId902" Type="http://schemas.openxmlformats.org/officeDocument/2006/relationships/hyperlink" Target="https://www.eff.org/files/2022/07/11/2022-07-11_-_tenth_circuit_-_irizarry_v_yehia.pdf" TargetMode="External"/><Relationship Id="rId1837" Type="http://schemas.openxmlformats.org/officeDocument/2006/relationships/hyperlink" Target="https://www.littler.com/publication-press/publication/sixth-circuit-establishes-stricter-standard-granting-notice-flsa" TargetMode="External"/><Relationship Id="rId31" Type="http://schemas.openxmlformats.org/officeDocument/2006/relationships/hyperlink" Target="https://cases.justia.com/virginia/court-of-appeals-unpublished/2026-2083-24-1.pdf?ts=1782229177" TargetMode="External"/><Relationship Id="rId2099" Type="http://schemas.openxmlformats.org/officeDocument/2006/relationships/hyperlink" Target="https://caselaw.findlaw.com/court/us-dis-crt-sd-new-yor/117411673.html" TargetMode="External"/><Relationship Id="rId180" Type="http://schemas.openxmlformats.org/officeDocument/2006/relationships/hyperlink" Target="https://www.carolinajournal.com/federal-appeals-court-throws-out-conviction-for-burning-of-federal-nantahala-forest/" TargetMode="External"/><Relationship Id="rId278" Type="http://schemas.openxmlformats.org/officeDocument/2006/relationships/hyperlink" Target="https://supreme.justia.com/cases/federal/us/547/410/" TargetMode="External"/><Relationship Id="rId1904" Type="http://schemas.openxmlformats.org/officeDocument/2006/relationships/hyperlink" Target="https://www.justice.gov/servicemembers" TargetMode="External"/><Relationship Id="rId485" Type="http://schemas.openxmlformats.org/officeDocument/2006/relationships/hyperlink" Target="https://www.pralaw.com/articles/the-supreme-court-of-new-jersey-rules-that-the-firefighters-rule-has-been-abolished" TargetMode="External"/><Relationship Id="rId692" Type="http://schemas.openxmlformats.org/officeDocument/2006/relationships/hyperlink" Target="https://casetext.com/case/assn-of-cal-ins-cos-v-jones-8" TargetMode="External"/><Relationship Id="rId2166" Type="http://schemas.openxmlformats.org/officeDocument/2006/relationships/hyperlink" Target="https://www.vermontpublic.org/local-news/2024-01-31/burlington-sued-over-claims-of-excessive-force-and-inappropriate-ketamine-use-on-14-year-old" TargetMode="External"/><Relationship Id="rId2373" Type="http://schemas.openxmlformats.org/officeDocument/2006/relationships/hyperlink" Target="https://www.hannah.com/ShowDocument.aspx?BTextID=219206" TargetMode="External"/><Relationship Id="rId2580" Type="http://schemas.openxmlformats.org/officeDocument/2006/relationships/hyperlink" Target="https://cases.justia.com/missouri/court-of-appeals/2026-wd88004.pdf?ts=1772555406" TargetMode="External"/><Relationship Id="rId138" Type="http://schemas.openxmlformats.org/officeDocument/2006/relationships/hyperlink" Target="https://www.law.cornell.edu/rules/fre/rule_803" TargetMode="External"/><Relationship Id="rId345" Type="http://schemas.openxmlformats.org/officeDocument/2006/relationships/hyperlink" Target="https://www.leagle.com/decision/iniaco20190517282" TargetMode="External"/><Relationship Id="rId552" Type="http://schemas.openxmlformats.org/officeDocument/2006/relationships/hyperlink" Target="https://public.fastcase.com/9SKwsfNqTc6OieYDhNMyMw%2FXypC%2BGCgzOI8YVtEGVa9n7jEOxoaSK8egV%2FDY7vKxD%2FnkzijiMqV0cvRDHM3YNZxTynpkQChMaJvb9tBM2DY%3D" TargetMode="External"/><Relationship Id="rId997" Type="http://schemas.openxmlformats.org/officeDocument/2006/relationships/hyperlink" Target="https://codes.ohio.gov/ohio-revised-code/section-4511.03" TargetMode="External"/><Relationship Id="rId1182" Type="http://schemas.openxmlformats.org/officeDocument/2006/relationships/hyperlink" Target="https://codes.ohio.gov/ohio-revised-code/section-742.10" TargetMode="External"/><Relationship Id="rId2026" Type="http://schemas.openxmlformats.org/officeDocument/2006/relationships/hyperlink" Target="https://www.law.cornell.edu/rules/fre/rule_803" TargetMode="External"/><Relationship Id="rId2233" Type="http://schemas.openxmlformats.org/officeDocument/2006/relationships/hyperlink" Target="http://www.ca5.uscourts.gov/opinions/unpub/22/22-60374.0.pdf" TargetMode="External"/><Relationship Id="rId2440" Type="http://schemas.openxmlformats.org/officeDocument/2006/relationships/hyperlink" Target="https://cases.justia.com/federal/district-courts/kentucky/kyedce/5:2016cv00446/81785/59/0.pdf?ts=1529661227" TargetMode="External"/><Relationship Id="rId2678" Type="http://schemas.openxmlformats.org/officeDocument/2006/relationships/hyperlink" Target="https://www.wxii12.com/article/former-ymca-counselor-volunteer-firefighter-pleads-guilty-to-sexually-assaulting-young-boys/28196918" TargetMode="External"/><Relationship Id="rId2885" Type="http://schemas.openxmlformats.org/officeDocument/2006/relationships/hyperlink" Target="http://media.ca1.uscourts.gov/pdf.opinions/22-1320U-01A.pdf" TargetMode="External"/><Relationship Id="rId205" Type="http://schemas.openxmlformats.org/officeDocument/2006/relationships/hyperlink" Target="https://www.legislature.ohio.gov/legislation/legislation-summary?id=GA134-HB-99" TargetMode="External"/><Relationship Id="rId412" Type="http://schemas.openxmlformats.org/officeDocument/2006/relationships/hyperlink" Target="https://cases.justia.com/federal/district-courts/maryland/mddce/1:2025cv00796/578117/19/0.pdf?ts=1771692701" TargetMode="External"/><Relationship Id="rId857" Type="http://schemas.openxmlformats.org/officeDocument/2006/relationships/hyperlink" Target="https://www.njcourts.gov/system/files/court-opinions/2026/a0803-24.pdf" TargetMode="External"/><Relationship Id="rId1042" Type="http://schemas.openxmlformats.org/officeDocument/2006/relationships/hyperlink" Target="https://www.casemine.com/judgement/us/6a2a2b87eaa021ae7251d39f" TargetMode="External"/><Relationship Id="rId1487" Type="http://schemas.openxmlformats.org/officeDocument/2006/relationships/hyperlink" Target="https://cases.justia.com/federal/district-courts/illinois/ilndce/1:2016cv10156/332956/114/0.pdf?ts=1547630986" TargetMode="External"/><Relationship Id="rId1694" Type="http://schemas.openxmlformats.org/officeDocument/2006/relationships/hyperlink" Target="https://www.govinfo.gov/content/pkg/USCOURTS-paed-2_23-cv-00155/pdf/USCOURTS-paed-2_23-cv-00155-0.pdf" TargetMode="External"/><Relationship Id="rId2300" Type="http://schemas.openxmlformats.org/officeDocument/2006/relationships/hyperlink" Target="https://codes.ohio.gov/ohio-revised-code/section-4511.191" TargetMode="External"/><Relationship Id="rId2538" Type="http://schemas.openxmlformats.org/officeDocument/2006/relationships/hyperlink" Target="https://public.fastcase.com/Wl%2B2t%2BeVuI35%2FN70vAMFZkQk422sTW9%2BWIlpk%2BnE1B7e7DrNn16tDd9SfmLDmtL4" TargetMode="External"/><Relationship Id="rId2745" Type="http://schemas.openxmlformats.org/officeDocument/2006/relationships/hyperlink" Target="https://www.dispatch.com/in-depth/news/2021/05/17/broken-pledge-fraternity-hazing-collin-wiant-death-ohio-university/5071265001/" TargetMode="External"/><Relationship Id="rId2952" Type="http://schemas.openxmlformats.org/officeDocument/2006/relationships/hyperlink" Target="https://www.flhouse.gov/Sections/Bills/billsdetail.aspx?BillId=78745" TargetMode="External"/><Relationship Id="rId717" Type="http://schemas.openxmlformats.org/officeDocument/2006/relationships/hyperlink" Target="https://www.kqed.org/news/11784042/inmates-saved-homes-in-the-kincade-fire-theyll-face-an-uphill-battle-getting-firefighting-jobs-after-release" TargetMode="External"/><Relationship Id="rId924" Type="http://schemas.openxmlformats.org/officeDocument/2006/relationships/hyperlink" Target="https://www.npr.org/2021/10/18/1047085626/supreme-court-police-qualified-immunity-cases" TargetMode="External"/><Relationship Id="rId1347" Type="http://schemas.openxmlformats.org/officeDocument/2006/relationships/hyperlink" Target="https://www.boston.com/news/local-news/2024/05/15/former-marshfield-fire-chief-won-more-than-1-5-million-in-retaliation-lawsuit-against-town/" TargetMode="External"/><Relationship Id="rId1554" Type="http://schemas.openxmlformats.org/officeDocument/2006/relationships/hyperlink" Target="https://cases.justia.com/federal/district-courts/texas/txsdce/4:2023cv04777/1945442/28/0.pdf?ts=1723207973" TargetMode="External"/><Relationship Id="rId1761" Type="http://schemas.openxmlformats.org/officeDocument/2006/relationships/hyperlink" Target="https://public.fastcase.com/Wl%2B2t%2BeVuI35%2FN70vAMFZmLHUFluj8t0T%2BAyFM6B%2B2S9SNpejaiKBu7OSzXfoy%2FQ" TargetMode="External"/><Relationship Id="rId1999" Type="http://schemas.openxmlformats.org/officeDocument/2006/relationships/hyperlink" Target="https://www.fireengineering.com/leadership/marijuana-in-the-fire-service-up-in-smoke-part-ii/" TargetMode="External"/><Relationship Id="rId2605" Type="http://schemas.openxmlformats.org/officeDocument/2006/relationships/hyperlink" Target="https://www.dispatch.com/story/news/crime/2025/05/22/columbus-firefighter-child-porn-charges-lancaster-ohio-carson-bigham/83795834007/" TargetMode="External"/><Relationship Id="rId2812" Type="http://schemas.openxmlformats.org/officeDocument/2006/relationships/hyperlink" Target="https://www.opn.ca6.uscourts.gov/opinions.pdf/19a0286p-06.pdf" TargetMode="External"/><Relationship Id="rId53" Type="http://schemas.openxmlformats.org/officeDocument/2006/relationships/hyperlink" Target="https://cases.justia.com/new-jersey/appellate-division-unpublished/2025-a-1179-23.pdf?ts=1765469961" TargetMode="External"/><Relationship Id="rId1207" Type="http://schemas.openxmlformats.org/officeDocument/2006/relationships/hyperlink" Target="https://www.knoe.com/2021/03/21/bastrop-passes-14-million-property-tax/" TargetMode="External"/><Relationship Id="rId1414" Type="http://schemas.openxmlformats.org/officeDocument/2006/relationships/hyperlink" Target="https://www.dol.gov/agencies/whd/nursing-mothers/faq" TargetMode="External"/><Relationship Id="rId1621" Type="http://schemas.openxmlformats.org/officeDocument/2006/relationships/hyperlink" Target="https://law.justia.com/cases/michigan/court-of-appeals-unpublished/2020/350474.html" TargetMode="External"/><Relationship Id="rId1859" Type="http://schemas.openxmlformats.org/officeDocument/2006/relationships/hyperlink" Target="https://supreme.justia.com/cases/federal/us/450/728/" TargetMode="External"/><Relationship Id="rId1719" Type="http://schemas.openxmlformats.org/officeDocument/2006/relationships/hyperlink" Target="https://www.eeoc.gov/time-limits-filing-charge" TargetMode="External"/><Relationship Id="rId1926" Type="http://schemas.openxmlformats.org/officeDocument/2006/relationships/hyperlink" Target="https://www.jems.com/ems-management/medical-marijuana-is-legal-in-fl-why-is-a-paramedic-being-punished/?utm_source=fe_daily_newsletter&amp;utm_medium=email&amp;utm_campaign=2026-8-6&amp;oly_enc_id=0573H1103045H2E" TargetMode="External"/><Relationship Id="rId2090" Type="http://schemas.openxmlformats.org/officeDocument/2006/relationships/hyperlink" Target="https://cdn.ca9.uscourts.gov/datastore/opinions/2025/09/02/24-1044.pdf" TargetMode="External"/><Relationship Id="rId2188" Type="http://schemas.openxmlformats.org/officeDocument/2006/relationships/hyperlink" Target="https://public.fastcase.com/ZZhmr5v9wN%2FXOe5IsQ%2FqDx0vrICWCRjPwrPkFejRzcL5IKaE8Rtd1E1QUMzNRkuXg4QLEVUEQQe1JZ8q921vtt1B6ovVwHeC3EtpH3EMOZQ%3D?utm_medium=email&amp;_hsmi=226712652&amp;_hsenc=p2ANqtz-" TargetMode="External"/><Relationship Id="rId2395" Type="http://schemas.openxmlformats.org/officeDocument/2006/relationships/hyperlink" Target="https://brady-static.s3.amazonaws.com/2020-04-06-29-Order-Denying-TRO-App.pdf" TargetMode="External"/><Relationship Id="rId367" Type="http://schemas.openxmlformats.org/officeDocument/2006/relationships/hyperlink" Target="https://www.cincinnati.com/story/news/crime/crime-and-courts/2018/11/13/pike-county-massacre-wagner-family-arrested-rhoden-family-homicides/1373456002/" TargetMode="External"/><Relationship Id="rId574" Type="http://schemas.openxmlformats.org/officeDocument/2006/relationships/hyperlink" Target="https://mdcourts.gov/data/opinions/coa/2020/49a19.pdf" TargetMode="External"/><Relationship Id="rId2048" Type="http://schemas.openxmlformats.org/officeDocument/2006/relationships/hyperlink" Target="https://law.justia.com/codes/idaho/title-37/chapter-27/article-iv/section-37-2739c/" TargetMode="External"/><Relationship Id="rId2255" Type="http://schemas.openxmlformats.org/officeDocument/2006/relationships/hyperlink" Target="https://mdcourts.gov/data/opinions/cosa/2022/1037s21.pdf" TargetMode="External"/><Relationship Id="rId3001" Type="http://schemas.openxmlformats.org/officeDocument/2006/relationships/hyperlink" Target="https://www.legislature.ohio.gov/legislation/legislation-documents?id=GA133-HB-606" TargetMode="External"/><Relationship Id="rId227" Type="http://schemas.openxmlformats.org/officeDocument/2006/relationships/hyperlink" Target="https://www.law.cornell.edu/supct-cgi/get-us-cite?543+70" TargetMode="External"/><Relationship Id="rId781" Type="http://schemas.openxmlformats.org/officeDocument/2006/relationships/hyperlink" Target="https://www.law.cornell.edu/definitions/uscode.php?width=840&amp;height=800&amp;iframe=true&amp;def_id=8-USC-92903111-1485256781&amp;term_occur=999&amp;term_src=" TargetMode="External"/><Relationship Id="rId879" Type="http://schemas.openxmlformats.org/officeDocument/2006/relationships/hyperlink" Target="https://casetext.com/case/portillo-v-madera-cnty" TargetMode="External"/><Relationship Id="rId2462" Type="http://schemas.openxmlformats.org/officeDocument/2006/relationships/hyperlink" Target="https://www.customsmobile.com/regulations/expand/title29_chapterXVII_part1904_subpartC_section1904.5" TargetMode="External"/><Relationship Id="rId2767" Type="http://schemas.openxmlformats.org/officeDocument/2006/relationships/hyperlink" Target="https://www.courts.ca.gov/opinions/documents/A155107.PDF" TargetMode="External"/><Relationship Id="rId434" Type="http://schemas.openxmlformats.org/officeDocument/2006/relationships/hyperlink" Target="https://www.rcfp.org/wp-content/uploads/2025/08/2025-08-05-RCFP-v.-Rokita-Seventh-Circuit-opinion.pdf" TargetMode="External"/><Relationship Id="rId641" Type="http://schemas.openxmlformats.org/officeDocument/2006/relationships/hyperlink" Target="https://cases.justia.com/federal/appellate-courts/ca6/25-5471/25-5471-2026-05-13.pdf?ts=1778702434" TargetMode="External"/><Relationship Id="rId739" Type="http://schemas.openxmlformats.org/officeDocument/2006/relationships/hyperlink" Target="https://www.supremecourt.gov/opinions/22pdf/22a544_n758.pdf" TargetMode="External"/><Relationship Id="rId1064" Type="http://schemas.openxmlformats.org/officeDocument/2006/relationships/hyperlink" Target="https://www.govinfo.gov/content/pkg/USCOURTS-ncwd-5_24-cv-00192/pdf/USCOURTS-ncwd-5_24-cv-00192-3.pdf" TargetMode="External"/><Relationship Id="rId1271" Type="http://schemas.openxmlformats.org/officeDocument/2006/relationships/hyperlink" Target="https://app.leg.wa.gov/rcw/default.aspx?cite=51.32.185" TargetMode="External"/><Relationship Id="rId1369" Type="http://schemas.openxmlformats.org/officeDocument/2006/relationships/hyperlink" Target="https://cases.justia.com/federal/district-courts/texas/txsdce/6:2022cv00002/1858056/21/0.pdf?ts=1664555743" TargetMode="External"/><Relationship Id="rId1576" Type="http://schemas.openxmlformats.org/officeDocument/2006/relationships/hyperlink" Target="https://public.fastcase.com/J%2FJP6pdidelsXxEE4k%2BLMrA34GsTt5B2s5lqbdzOSKO6ds2%2FFXzTZCAcVKPc5nYGkDv4uUicwcEOayTnLM9q%2BLkNSr7W2Myomwq976TWq68%3D?utm_medium=email&amp;_hsmi=226712652&amp;_hsenc=p2ANqtz--xrBYm_8SOoB1x8n_lzDvQY_7J4w6TZmgBXNCiTskMckRZL1pW5pA7jfVkIgH5lYseuktBIikSAYCDqwL7O8hlSm6fMw&amp;utm_content=226712652&amp;utm_source=hs_email" TargetMode="External"/><Relationship Id="rId2115" Type="http://schemas.openxmlformats.org/officeDocument/2006/relationships/hyperlink" Target="https://caselaw.findlaw.com/court/ma-court-of-appeals/116890923.html" TargetMode="External"/><Relationship Id="rId2322" Type="http://schemas.openxmlformats.org/officeDocument/2006/relationships/hyperlink" Target="https://fisheldowney.com/texas-federal-court-permits-employer-vaccine-mandates-mean-ohio-employers/" TargetMode="External"/><Relationship Id="rId2974" Type="http://schemas.openxmlformats.org/officeDocument/2006/relationships/hyperlink" Target="https://casetext.com/statute/united-states-code/title-5-government-organization-and-employees/part-i-the-agencies-generally/chapter-7-judicial-review/section-706-scope-of-review" TargetMode="External"/><Relationship Id="rId501" Type="http://schemas.openxmlformats.org/officeDocument/2006/relationships/hyperlink" Target="https://casetext.com/statute/consolidated-laws-of-new-york/chapter-civil-practice-law-and-rules/article-32-accelerated-judgment/section-r3211-motion-to-dismiss" TargetMode="External"/><Relationship Id="rId946" Type="http://schemas.openxmlformats.org/officeDocument/2006/relationships/hyperlink" Target="https://www.mdcourts.gov/sites/default/files/unreported-opinions/0042s25.pdf" TargetMode="External"/><Relationship Id="rId1131" Type="http://schemas.openxmlformats.org/officeDocument/2006/relationships/hyperlink" Target="https://www.wftv.com/news/local/appeals-court-ruling-paves-way-orange-county-firefighters-widow-seek-workers-comp-payout/QFOHSP22XNHLXLGDFDZYKLTKMM/" TargetMode="External"/><Relationship Id="rId1229" Type="http://schemas.openxmlformats.org/officeDocument/2006/relationships/hyperlink" Target="https://www.supremecourt.ohio.gov/rod/docs/pdf/0/2020/2020-Ohio-1047.pdf" TargetMode="External"/><Relationship Id="rId1783" Type="http://schemas.openxmlformats.org/officeDocument/2006/relationships/hyperlink" Target="https://www.ca4.uscourts.gov/opinions/231752.P.pdf" TargetMode="External"/><Relationship Id="rId1990" Type="http://schemas.openxmlformats.org/officeDocument/2006/relationships/hyperlink" Target="https://www.npr.org/2021/11/23/1058539458/a-jury-in-ohio-says-americas-big-pharmacy-chains-are-liable-for-the-opioid-epide" TargetMode="External"/><Relationship Id="rId2627" Type="http://schemas.openxmlformats.org/officeDocument/2006/relationships/hyperlink" Target="https://www.courts.state.hi.us/wp-content/uploads/2025/06/CAAP-22-0000641sdo.pdf" TargetMode="External"/><Relationship Id="rId2834" Type="http://schemas.openxmlformats.org/officeDocument/2006/relationships/hyperlink" Target="https://d.docs.live.net/bd9b2eaf6053242e/AppData/Roaming/Microsoft/AppData/Local/Microsoft/Windows/INetCache/IE/7HZ56W7X/sweat.joseph.opn_.pdf" TargetMode="External"/><Relationship Id="rId75" Type="http://schemas.openxmlformats.org/officeDocument/2006/relationships/hyperlink" Target="https://caselaw.findlaw.com/court/ga-court-of-appeals/117421566.html" TargetMode="External"/><Relationship Id="rId806" Type="http://schemas.openxmlformats.org/officeDocument/2006/relationships/hyperlink" Target="https://public.fastcase.com/Wl%2B2t%2BeVuI35%2FN70vAMFZt9ItawWnHyT6tQhkduyZ%2FXLPY%2FAAJ%2BlLBDJZfxklyiH" TargetMode="External"/><Relationship Id="rId1436" Type="http://schemas.openxmlformats.org/officeDocument/2006/relationships/hyperlink" Target="https://www.leagle.com/decision/infdco20210924575" TargetMode="External"/><Relationship Id="rId1643" Type="http://schemas.openxmlformats.org/officeDocument/2006/relationships/hyperlink" Target="https://scholar.google.com/scholar_case?case=9814524894618299702&amp;q=+Eric+Peeples,+et+al.+v.+City+of+Detroit,+et+al,+Civil+Action+No.+13-13858&amp;hl=en&amp;as_sdt=6,36" TargetMode="External"/><Relationship Id="rId1850" Type="http://schemas.openxmlformats.org/officeDocument/2006/relationships/hyperlink" Target="https://public.fastcase.com/9SKwsfNqTc6OieYDhNMyM6wIjV%2FgrP6%2B9MDXlv1tVkNXweOaDt%2BbGPgPJ0OsLFYAPgMRGXfDo03cnu2EwM1JQQOl%2Bf0LG6cX5zSOobt1xqY%3D" TargetMode="External"/><Relationship Id="rId2901" Type="http://schemas.openxmlformats.org/officeDocument/2006/relationships/hyperlink" Target="https://www.nycourts.gov/ctapps/Decisions/2022/Dec22/96opn22-Decision.pdf%20\" TargetMode="External"/><Relationship Id="rId1503" Type="http://schemas.openxmlformats.org/officeDocument/2006/relationships/hyperlink" Target="https://cases.justia.com/federal/appellate-courts/ca7/24-3262/24-3262-2026-06-08.pdf?ts=1780948846" TargetMode="External"/><Relationship Id="rId1710" Type="http://schemas.openxmlformats.org/officeDocument/2006/relationships/hyperlink" Target="https://public.fastcase.com/J%2FJP6pdidelsXxEE4k%2BLMiteJGWvZUfwvvNNihi30%2B3WDxUCsaXKSaCpKvBtAgs2vLiA9OVuPhL49GE7aECM8IIU6kbJlailTpTCbBqx2w4%3D?utm_medium=email&amp;_hsmi=226712652&amp;_hsenc=p2ANqtz---SEadQ3HE9lUqxxQW5cr7Vybxx0tHPHEXMPHfSJcPHzXu-t4fnJYchJuK4CNgA9WWUPQ6Jxn6Xff3x8kPfGcAZk9K8A&amp;utm_content=226712652&amp;utm_source=hs_email" TargetMode="External"/><Relationship Id="rId1948" Type="http://schemas.openxmlformats.org/officeDocument/2006/relationships/hyperlink" Target="https://cases.justia.com/washington/court-of-appeals-division-i/2025-83853-9.pdf?ts=1737494121" TargetMode="External"/><Relationship Id="rId291" Type="http://schemas.openxmlformats.org/officeDocument/2006/relationships/hyperlink" Target="https://law.justia.com/cases/iowa/court-of-appeals/2021/18-1821.html" TargetMode="External"/><Relationship Id="rId1808" Type="http://schemas.openxmlformats.org/officeDocument/2006/relationships/hyperlink" Target="https://media.ca11.uscourts.gov/opinions/pub/files/202211322.pdf" TargetMode="External"/><Relationship Id="rId151" Type="http://schemas.openxmlformats.org/officeDocument/2006/relationships/hyperlink" Target="https://apnews.com/article/michigan-drone-photos-constitution-3c30154b6f1af1b234c1cc8f64945237" TargetMode="External"/><Relationship Id="rId389" Type="http://schemas.openxmlformats.org/officeDocument/2006/relationships/hyperlink" Target="https://cases.justia.com/federal/district-courts/virginia/vawdce/5:2025cv00063/135495/23/0.pdf?ts=1785772612" TargetMode="External"/><Relationship Id="rId596" Type="http://schemas.openxmlformats.org/officeDocument/2006/relationships/hyperlink" Target="https://law.justia.com/cases/new-york/other-courts/2019/2019-ny-slip-op-51525-u.html" TargetMode="External"/><Relationship Id="rId2277" Type="http://schemas.openxmlformats.org/officeDocument/2006/relationships/hyperlink" Target="https://casetext.com/case/cazares-v-rand" TargetMode="External"/><Relationship Id="rId2484" Type="http://schemas.openxmlformats.org/officeDocument/2006/relationships/hyperlink" Target="https://storage.courtlistener.com/recap/gov.uscourts.cod.231472/gov.uscourts.cod.231472.63.0.pdf" TargetMode="External"/><Relationship Id="rId2691" Type="http://schemas.openxmlformats.org/officeDocument/2006/relationships/hyperlink" Target="https://public.fastcase.com/ZZhmr5v9wN%2FXOe5IsQ%2FqD%2FO0LT6Pz0KJcARt671qvqgQi3DbocRDtQ4betl84jRGTGzfHSJMEalmGTdX9780fy05zDa4clbi%2BS%2BLkJBZYf4%3D?utm_medium=email&amp;_hsmi=226712652&amp;_hsenc=p2ANqtz-9l-n7ipvtzcORFmZd03PYol8SHQvcVi0Z6evQ7ScfpqYiZ21zByukFjNZtNWzEIrK0lXEwA0RlErFoyPgnUEJbLhoGpw&amp;utm_content=226712652&amp;utm_source=hs_email" TargetMode="External"/><Relationship Id="rId249" Type="http://schemas.openxmlformats.org/officeDocument/2006/relationships/hyperlink" Target="https://law.justia.com/cases/federal/appellate-courts/ca6/13-3274/13-3274-2014-03-13.html" TargetMode="External"/><Relationship Id="rId456" Type="http://schemas.openxmlformats.org/officeDocument/2006/relationships/hyperlink" Target="https://www.supremecourt.ohio.gov/rod/docs/pdf/8/2024/2024-Ohio-5317.pdf" TargetMode="External"/><Relationship Id="rId663" Type="http://schemas.openxmlformats.org/officeDocument/2006/relationships/hyperlink" Target="https://www.californiacountynews.org/news/2025/11/local-governments-win-injunction-against-trump-administration-restoring-access-dhs" TargetMode="External"/><Relationship Id="rId870" Type="http://schemas.openxmlformats.org/officeDocument/2006/relationships/hyperlink" Target="https://www.justice.gov/usao-wdtx/pr/san-antonio-woman-sentenced-prison-endangering-sapd-helicopter-laser" TargetMode="External"/><Relationship Id="rId1086" Type="http://schemas.openxmlformats.org/officeDocument/2006/relationships/hyperlink" Target="https://cases.justia.com/arizona/supreme-court/2025-cv-23-0211-pr.pdf?ts=1743008459" TargetMode="External"/><Relationship Id="rId1293" Type="http://schemas.openxmlformats.org/officeDocument/2006/relationships/hyperlink" Target="https://public.fastcase.com/Wl%2B2t%2BeVuI35%2FN70vAMFZqIZGQiBixrRs%2FhIZFdJSEICCexWSoup5Rgc2fSfyUDA" TargetMode="External"/><Relationship Id="rId2137" Type="http://schemas.openxmlformats.org/officeDocument/2006/relationships/hyperlink" Target="https://revisor.mo.gov/main/OneSection.aspx?section=195.205" TargetMode="External"/><Relationship Id="rId2344" Type="http://schemas.openxmlformats.org/officeDocument/2006/relationships/hyperlink" Target="https://law.justia.com/cases/delaware/superior-court/2021/n17c-10-149-alr.html" TargetMode="External"/><Relationship Id="rId2551" Type="http://schemas.openxmlformats.org/officeDocument/2006/relationships/hyperlink" Target="https://www.wwlp.com/news/massachusetts/critical-incident-intervention-for-first-responders-bill-signed-into-law/1706453191" TargetMode="External"/><Relationship Id="rId2789" Type="http://schemas.openxmlformats.org/officeDocument/2006/relationships/hyperlink" Target="https://public.fastcase.com/Wl%2B2t%2BeVuI35%2FN70vAMFZp9w48IhR7rqnPPjn28%2FbaO7JZNoqz%2Fb8m3w7iUI6Fbj" TargetMode="External"/><Relationship Id="rId2996" Type="http://schemas.openxmlformats.org/officeDocument/2006/relationships/hyperlink" Target="https://public.fastcase.com/Wl%2B2t%2BeVuI35%2FN70vAMFZlFt1LsN7FOv8IeLOLQpT2HmGMXcCWoYq2MigYjsxegu" TargetMode="External"/><Relationship Id="rId109" Type="http://schemas.openxmlformats.org/officeDocument/2006/relationships/hyperlink" Target="https://www.tncourts.gov/sites/default/files/OpinionsPDFVersion/Majority%20Opinion%20-%20M2023-01176-CCA-R3-CD.pdf" TargetMode="External"/><Relationship Id="rId316" Type="http://schemas.openxmlformats.org/officeDocument/2006/relationships/hyperlink" Target="https://www.opn.ca6.uscourts.gov/opinions.pdf/20a0374n-06.pdf" TargetMode="External"/><Relationship Id="rId523" Type="http://schemas.openxmlformats.org/officeDocument/2006/relationships/hyperlink" Target="https://www.whsv.com/content/news/West-Virginia-firefighter-killed-in-crash-while-responding-to-fire-566946181.html" TargetMode="External"/><Relationship Id="rId968" Type="http://schemas.openxmlformats.org/officeDocument/2006/relationships/hyperlink" Target="https://www.supremecourt.ohio.gov/rod/docs/pdf/7/2025/2025-Ohio-203.pdf" TargetMode="External"/><Relationship Id="rId1153" Type="http://schemas.openxmlformats.org/officeDocument/2006/relationships/hyperlink" Target="https://law.justia.com/cases/pennsylvania/commonwealth-court/2023/12-c-d-2022.html" TargetMode="External"/><Relationship Id="rId1598" Type="http://schemas.openxmlformats.org/officeDocument/2006/relationships/hyperlink" Target="https://public.fastcase.com/9SKwsfNqTc6OieYDhNMyM2CFW33xyjvV9V9tDamXdBOoRSeaTiz5NEXWtNHJhMGDLmAvOr1CXJk0EV3MUdbM2l1WIYIXZemQzLeI%2BSSBPyk%3D" TargetMode="External"/><Relationship Id="rId2204" Type="http://schemas.openxmlformats.org/officeDocument/2006/relationships/hyperlink" Target="http://www.courtswv.gov/supreme-court/docs/fall2023/22-0202-wooton-p.pdf" TargetMode="External"/><Relationship Id="rId2649" Type="http://schemas.openxmlformats.org/officeDocument/2006/relationships/hyperlink" Target="https://www.njcourts.gov/system/files/court-opinions/2024/a1537-22.pdf" TargetMode="External"/><Relationship Id="rId2856" Type="http://schemas.openxmlformats.org/officeDocument/2006/relationships/hyperlink" Target="https://public.fastcase.com/jaEE2PXzRXmZ99jOLMt1Ir%2Bgd4DeQSRcdUE7IJV4ZHQFjK4R6%2FaVKxoGJags6yJ8?utm_medium=email&amp;_hsenc=p2ANqtz-9_dtoT8MCHWol7MkpFQEKniJ3EcCAHTOONesHADifFFZppYBhmnp0t7X96SaR0z0JseLLFRZzCLhs4WSwU0MvvvFbR6g&amp;_hsmi=226712652&amp;utm_content=226712652&amp;utm_source=hs_email" TargetMode="External"/><Relationship Id="rId97" Type="http://schemas.openxmlformats.org/officeDocument/2006/relationships/hyperlink" Target="https://www.rcfp.org/resources/anti-slapp-laws/" TargetMode="External"/><Relationship Id="rId730" Type="http://schemas.openxmlformats.org/officeDocument/2006/relationships/hyperlink" Target="https://www.supremecourt.gov/opinions/22pdf/21-1496_d18f.pdf" TargetMode="External"/><Relationship Id="rId828" Type="http://schemas.openxmlformats.org/officeDocument/2006/relationships/hyperlink" Target="https://www.courthousenews.com/wp-content/uploads/2020/04/G4S.pdf" TargetMode="External"/><Relationship Id="rId1013" Type="http://schemas.openxmlformats.org/officeDocument/2006/relationships/hyperlink" Target="https://law.justia.com/cases/michigan/court-of-appeals-unpublished/2020/351871.html" TargetMode="External"/><Relationship Id="rId1360" Type="http://schemas.openxmlformats.org/officeDocument/2006/relationships/hyperlink" Target="https://www.supremecourt.gov/opinions/23pdf/22-193_q86b.pdf" TargetMode="External"/><Relationship Id="rId1458" Type="http://schemas.openxmlformats.org/officeDocument/2006/relationships/hyperlink" Target="https://casetext.com/case/united-states-v-fields-198" TargetMode="External"/><Relationship Id="rId1665" Type="http://schemas.openxmlformats.org/officeDocument/2006/relationships/hyperlink" Target="https://www.govinfo.gov/content/pkg/USCOURTS-nhd-1_23-cv-00327/pdf/USCOURTS-nhd-1_23-cv-00327-0.pdf" TargetMode="External"/><Relationship Id="rId1872" Type="http://schemas.openxmlformats.org/officeDocument/2006/relationships/hyperlink" Target="https://www.dol.gov/sites/dolgov/files/WHD/legacy/files/fab_2020_7.pdf" TargetMode="External"/><Relationship Id="rId2411" Type="http://schemas.openxmlformats.org/officeDocument/2006/relationships/hyperlink" Target="https://www.in.gov/judiciary/opinions/pdf/07151902rra.pdf" TargetMode="External"/><Relationship Id="rId2509" Type="http://schemas.openxmlformats.org/officeDocument/2006/relationships/hyperlink" Target="https://law.justia.com/cases/louisiana/second-circuit-court-of-appeal/2023/54-841-ca.html" TargetMode="External"/><Relationship Id="rId2716" Type="http://schemas.openxmlformats.org/officeDocument/2006/relationships/hyperlink" Target="https://cases.justia.com/texas/eleventh-court-of-appeals/2022-11-21-00026-cv.pdf?ts=1659010960" TargetMode="External"/><Relationship Id="rId1220" Type="http://schemas.openxmlformats.org/officeDocument/2006/relationships/hyperlink" Target="https://casetext.com/case/prospect-heights-fire-prot-dist-v-dept-of-empt-sec" TargetMode="External"/><Relationship Id="rId1318" Type="http://schemas.openxmlformats.org/officeDocument/2006/relationships/hyperlink" Target="https://cases.justia.com/federal/district-courts/ohio/ohndce/1:2018cv02242/247535/15/0.pdf?ts=1544190248" TargetMode="External"/><Relationship Id="rId1525" Type="http://schemas.openxmlformats.org/officeDocument/2006/relationships/hyperlink" Target="https://www.supremecourt.gov/opinions/24pdf/23-909_f2q3.pdf" TargetMode="External"/><Relationship Id="rId2923" Type="http://schemas.openxmlformats.org/officeDocument/2006/relationships/hyperlink" Target="https://casetext.com/case/in-re-ryan-542034" TargetMode="External"/><Relationship Id="rId1732" Type="http://schemas.openxmlformats.org/officeDocument/2006/relationships/hyperlink" Target="https://cases.justia.com/new-york/other-courts/2020-2020-ny-slip-op-31890-u.pdf?ts=1592946781" TargetMode="External"/><Relationship Id="rId24" Type="http://schemas.openxmlformats.org/officeDocument/2006/relationships/hyperlink" Target="https://cases.justia.com/federal/district-courts/indiana/inndce/3:2025cv00741/124078/29/0.pdf?ts=1787223415" TargetMode="External"/><Relationship Id="rId2299" Type="http://schemas.openxmlformats.org/officeDocument/2006/relationships/hyperlink" Target="https://nmonesource.com/nmos/nmsc/en/item/517877/index.do" TargetMode="External"/><Relationship Id="rId173" Type="http://schemas.openxmlformats.org/officeDocument/2006/relationships/hyperlink" Target="https://public.fastcase.com/ZZhmr5v9wN%2FXOe5IsQ%2FqD2fzv3LeHoflue5q9psYL7ORT%2BZZIoU2RVo8o6kc8WH7t7R2fWOBL%2B6EWJeWP%2BK6nygdTJbos59lEHeljv9w%2F%2Bc%3D?utm_medium=email&amp;_hsmi=226712652&amp;_hsenc=p2ANqtz-9_BwSf3Cp56T9vKm_WV06wXpWhxnLFIP0rTKtRtiI7Ej-XlIsGIA-Piz3XwrAq08q95_o9LD6MRwwtLQfaW73VBnYSKQ&amp;utm_content=226712652&amp;utm_source=hs_email" TargetMode="External"/><Relationship Id="rId380" Type="http://schemas.openxmlformats.org/officeDocument/2006/relationships/hyperlink" Target="https://supreme.justia.com/cases/federal/us/584/17-467/" TargetMode="External"/><Relationship Id="rId2061" Type="http://schemas.openxmlformats.org/officeDocument/2006/relationships/hyperlink" Target="https://flcourts-media.flcourts.gov/content/download/2486201/opinion/Opinion_2025-1955.pdf" TargetMode="External"/><Relationship Id="rId240" Type="http://schemas.openxmlformats.org/officeDocument/2006/relationships/hyperlink" Target="https://www.supremecourt.ohio.gov/rod/docs/pdf/11/2021/2021-Ohio-4568.pdf" TargetMode="External"/><Relationship Id="rId478" Type="http://schemas.openxmlformats.org/officeDocument/2006/relationships/hyperlink" Target="https://cases.justia.com/kentucky/court-of-appeals/2024-2023-ca-0968-mr.pdf?ts=1724421865" TargetMode="External"/><Relationship Id="rId685" Type="http://schemas.openxmlformats.org/officeDocument/2006/relationships/hyperlink" Target="https://cdn.ca9.uscourts.gov/datastore/opinions/2025/03/20/23-55805.pdf" TargetMode="External"/><Relationship Id="rId892" Type="http://schemas.openxmlformats.org/officeDocument/2006/relationships/hyperlink" Target="https://search.txcourts.gov/SearchMedia.aspx?MediaVersionID=0759d8f0-c4e1-4852-8390-4190cacb89f6&amp;coa=coa10&amp;DT=Opinion&amp;MediaID=dc9d0fad-acea-4603-a120-a6519744d885" TargetMode="External"/><Relationship Id="rId2159" Type="http://schemas.openxmlformats.org/officeDocument/2006/relationships/hyperlink" Target="https://www.hmpgloballearningnetwork.com/site/emsworld/feature-story/body-cams-help-new-orleans-ems-protect-providers-while-prioritizing" TargetMode="External"/><Relationship Id="rId2366" Type="http://schemas.openxmlformats.org/officeDocument/2006/relationships/hyperlink" Target="file:///C:/Users/lawre/AppData/Local/Temp/19P0716.pdf" TargetMode="External"/><Relationship Id="rId2573" Type="http://schemas.openxmlformats.org/officeDocument/2006/relationships/hyperlink" Target="https://cases.justia.com/louisiana/fourth-circuit-court-of-appeal/2026-2025-ca-0639-0.pdf?ts=1777519082" TargetMode="External"/><Relationship Id="rId2780" Type="http://schemas.openxmlformats.org/officeDocument/2006/relationships/hyperlink" Target="https://public.fastcase.com/Wl%2B2t%2BeVuI35%2FN70vAMFZoCDqhYmNsbFLjWVRK8omsgUzbu2OUiVNTenINejQyEj" TargetMode="External"/><Relationship Id="rId100" Type="http://schemas.openxmlformats.org/officeDocument/2006/relationships/hyperlink" Target="https://www.usatoday.com/story/tech/2025/01/22/tiktok-ban-download-app-stores-update/77872210007/" TargetMode="External"/><Relationship Id="rId338" Type="http://schemas.openxmlformats.org/officeDocument/2006/relationships/hyperlink" Target="https://www.courts.ca.gov/opinions/nonpub/C087060.PDF" TargetMode="External"/><Relationship Id="rId545" Type="http://schemas.openxmlformats.org/officeDocument/2006/relationships/hyperlink" Target="https://law.justia.com/cases/indiana/court-of-appeals/2022/21a-dn-01379.html" TargetMode="External"/><Relationship Id="rId752" Type="http://schemas.openxmlformats.org/officeDocument/2006/relationships/hyperlink" Target="https://www.lasc.org/opinions/2022/21-0929.CQ.OPN.pdf" TargetMode="External"/><Relationship Id="rId1175" Type="http://schemas.openxmlformats.org/officeDocument/2006/relationships/hyperlink" Target="https://law.justia.com/cases/california/court-of-appeal/2022/a161575.html" TargetMode="External"/><Relationship Id="rId1382" Type="http://schemas.openxmlformats.org/officeDocument/2006/relationships/hyperlink" Target="https://coa.nmcourts.gov/wp-content/uploads/sites/43/2024/09/September-30-2024-Eric-Tafoya-v.-City-of-Espanola-No.-A-1-CA-40276.pdf" TargetMode="External"/><Relationship Id="rId2019" Type="http://schemas.openxmlformats.org/officeDocument/2006/relationships/hyperlink" Target="https://cases.justia.com/kansas/supreme-court/2026-125812.pdf?ts=1787323095" TargetMode="External"/><Relationship Id="rId2226" Type="http://schemas.openxmlformats.org/officeDocument/2006/relationships/hyperlink" Target="https://law.justia.com/cases/new-york/other-courts/2023/2023-ny-slip-op-31298-u.html" TargetMode="External"/><Relationship Id="rId2433" Type="http://schemas.openxmlformats.org/officeDocument/2006/relationships/hyperlink" Target="http://decisions.courts.state.ny.us/ad3/Decisions/2018/526165.pdf" TargetMode="External"/><Relationship Id="rId2640" Type="http://schemas.openxmlformats.org/officeDocument/2006/relationships/hyperlink" Target="https://public.fastcase.com/jaEE2PXzRXmZ99jOLMt1IvnyNWPww1WM4x9Gu%2FtN0VhNRAtIpNmmlJ0KM%2F7ZbO911LK6og3L2kiKY%2FASa5mScG8uOsEhAwFbnlzs62F6rSE%3D?utm_medium=email&amp;_hsenc=p2ANqtz-8WZqH_E7rdb_OeZm87WsAQDzZautt0uiTp2Bj7gwVxym265a6f7pCBzZ-RPNW5j-Z8_i7kqeL1it9h0mjMyyn0Q0mh5A&amp;_hsmi=226712652&amp;utm_content=226712652&amp;utm_source=hs_email" TargetMode="External"/><Relationship Id="rId2878" Type="http://schemas.openxmlformats.org/officeDocument/2006/relationships/hyperlink" Target="https://trellis.law/doc/60559021/complaint-filed" TargetMode="External"/><Relationship Id="rId405" Type="http://schemas.openxmlformats.org/officeDocument/2006/relationships/hyperlink" Target="https://public.fastcase.com/Jhe1Qn%2BmJndQYQU6z%2FeNm2HEaeCCWkcBCeUCujqGNVlbyw33GV3OIPoGmz91llGj?utm_medium=email&amp;_hsenc=p2ANqtz--_2koWPJH8aNw9hArqKJahBiDeDbHde9hJY14uLqxi48R0NPU4q8g0_WpBiId9hecTh5LabDNFfk8DSpNZX48Jer-K6w&amp;_hsmi=226712652&amp;utm_content=226712652&amp;utm_source=hs_email" TargetMode="External"/><Relationship Id="rId612" Type="http://schemas.openxmlformats.org/officeDocument/2006/relationships/hyperlink" Target="http://www.pacourts.us/assets/opinions/Supreme/out/opinion%20announcing%20judgment%20of%20the%20court%20%20reversedremanded%20%2010373870143091493.pdf" TargetMode="External"/><Relationship Id="rId1035" Type="http://schemas.openxmlformats.org/officeDocument/2006/relationships/hyperlink" Target="https://caselaw.findlaw.com/mi-court-of-appeals/1890718.html" TargetMode="External"/><Relationship Id="rId1242" Type="http://schemas.openxmlformats.org/officeDocument/2006/relationships/hyperlink" Target="https://fox8.com/news/cleveland-fire-chief-to-retire-friday/" TargetMode="External"/><Relationship Id="rId1687" Type="http://schemas.openxmlformats.org/officeDocument/2006/relationships/hyperlink" Target="https://www.supremecourt.gov/DocketPDF/23/23-997/307313/20240411092101975_Amicus%20Brief.pdf" TargetMode="External"/><Relationship Id="rId1894" Type="http://schemas.openxmlformats.org/officeDocument/2006/relationships/hyperlink" Target="https://public.fastcase.com/Wl%2B2t%2BeVuI35%2FN70vAMFZqOCIluAWFXT7dyIbWSJtbA2tJbGDR%2F5EmjVBjMYm1QS" TargetMode="External"/><Relationship Id="rId2500" Type="http://schemas.openxmlformats.org/officeDocument/2006/relationships/hyperlink" Target="https://caselaw.findlaw.com/court/us-dis-crt-s-d-ohi-wes-div/2089388.html" TargetMode="External"/><Relationship Id="rId2738" Type="http://schemas.openxmlformats.org/officeDocument/2006/relationships/hyperlink" Target="https://public.fastcase.com/9SKwsfNqTc6OieYDhNMyM%2B9QVlF%2Fi0C7FBtpVDfGBEJTuxz2gLXEBOyZ2MTUN6p67t66EUS4%2BwzN2KZQmb95HSCpSxhJK4uvhgP9XZ8nBIo%3D" TargetMode="External"/><Relationship Id="rId2945" Type="http://schemas.openxmlformats.org/officeDocument/2006/relationships/hyperlink" Target="https://www.ahip.org/news/press-releases/new-survey-shows-no-surprises-act-continues-to-protect-millions-of-americans-from-surprise-medical-bills" TargetMode="External"/><Relationship Id="rId917" Type="http://schemas.openxmlformats.org/officeDocument/2006/relationships/hyperlink" Target="https://casetext.com/case/county-of-sacramento-v-lewis" TargetMode="External"/><Relationship Id="rId1102" Type="http://schemas.openxmlformats.org/officeDocument/2006/relationships/hyperlink" Target="https://www.supremecourt.ohio.gov/rod/docs/pdf/10/2024/2024-Ohio-5010.pdf" TargetMode="External"/><Relationship Id="rId1547" Type="http://schemas.openxmlformats.org/officeDocument/2006/relationships/hyperlink" Target="https://casetext.com/case/page-v-clark-cnty-fire-dist-5" TargetMode="External"/><Relationship Id="rId1754" Type="http://schemas.openxmlformats.org/officeDocument/2006/relationships/hyperlink" Target="https://caselaw.findlaw.com/court/us-dis-crt-d-con/115860244.html" TargetMode="External"/><Relationship Id="rId1961" Type="http://schemas.openxmlformats.org/officeDocument/2006/relationships/hyperlink" Target="http://www.law.cornell.edu/uscode/text/42/12114" TargetMode="External"/><Relationship Id="rId2805" Type="http://schemas.openxmlformats.org/officeDocument/2006/relationships/hyperlink" Target="https://www.supremecourt.ohio.gov/rod/docs/pdf/11/2019/2019-Ohio-5062.pdf" TargetMode="External"/><Relationship Id="rId46" Type="http://schemas.openxmlformats.org/officeDocument/2006/relationships/hyperlink" Target="https://cases.justia.com/texas/first-court-of-appeals/2025-01-23-00905-cv.pdf?ts=1767189326" TargetMode="External"/><Relationship Id="rId1407" Type="http://schemas.openxmlformats.org/officeDocument/2006/relationships/hyperlink" Target="https://www.dol.gov/agencies/whd/fact-sheets/73-flsa-break-time-nursing-mothers" TargetMode="External"/><Relationship Id="rId1614" Type="http://schemas.openxmlformats.org/officeDocument/2006/relationships/hyperlink" Target="https://casetext.com/case/alexander-v-bahou/?PHONE_NUMBER_GROUP=P" TargetMode="External"/><Relationship Id="rId1821" Type="http://schemas.openxmlformats.org/officeDocument/2006/relationships/hyperlink" Target="https://www.firefighterovertime.org/2019/09/16/firefighter-meal-period/" TargetMode="External"/><Relationship Id="rId195" Type="http://schemas.openxmlformats.org/officeDocument/2006/relationships/hyperlink" Target="https://www.justice.gov/usao-edca/pr/siskiyou-county-man-sentenced-1-year-prison-major-fraud-against-united-states-taking" TargetMode="External"/><Relationship Id="rId1919" Type="http://schemas.openxmlformats.org/officeDocument/2006/relationships/hyperlink" Target="http://www.iaff.org/Legal/PDF/1996FLSAManual.pdf" TargetMode="External"/><Relationship Id="rId2083" Type="http://schemas.openxmlformats.org/officeDocument/2006/relationships/hyperlink" Target="https://searchdro.kscourts.gov/documents/pdf/caseDecisions/d2d9aca8-0558-406d-9148-9139f4e8d305_125812.pdf" TargetMode="External"/><Relationship Id="rId2290" Type="http://schemas.openxmlformats.org/officeDocument/2006/relationships/hyperlink" Target="https://www.courts.ri.gov/Courts/SupremeCourt/SupremeOpinions/19-373.pdf?fbclid=IwAR381gBQH8M88N6_xqsP3bwAIxYvF38ngnKZywLKveA_XCbfEKJg9F5lDvI" TargetMode="External"/><Relationship Id="rId2388" Type="http://schemas.openxmlformats.org/officeDocument/2006/relationships/hyperlink" Target="https://public.fastcase.com/Wl%2B2t%2BeVuI35%2FN70vAMFZmo%2BcULZ%2FcXakIqGXvRrcFYkKri8LBojVsP%2FOvCVPfk0" TargetMode="External"/><Relationship Id="rId2595" Type="http://schemas.openxmlformats.org/officeDocument/2006/relationships/hyperlink" Target="file:///C:/Users/lawre/Downloads/25P0275.pdf" TargetMode="External"/><Relationship Id="rId262" Type="http://schemas.openxmlformats.org/officeDocument/2006/relationships/hyperlink" Target="https://cases.justia.com/california/court-of-appeal/2021-b295666.pdf?ts=1625180487" TargetMode="External"/><Relationship Id="rId567" Type="http://schemas.openxmlformats.org/officeDocument/2006/relationships/hyperlink" Target="https://www.leagle.com/decision/inmico20201120334" TargetMode="External"/><Relationship Id="rId1197" Type="http://schemas.openxmlformats.org/officeDocument/2006/relationships/hyperlink" Target="https://casetext.com/case/clark-v-town-of-waterford" TargetMode="External"/><Relationship Id="rId2150" Type="http://schemas.openxmlformats.org/officeDocument/2006/relationships/hyperlink" Target="https://www.law.cornell.edu/wex/excited_utterance" TargetMode="External"/><Relationship Id="rId2248" Type="http://schemas.openxmlformats.org/officeDocument/2006/relationships/hyperlink" Target="https://law.justia.com/cases/michigan/court-of-appeals-unpublished/2022/359110.html" TargetMode="External"/><Relationship Id="rId122" Type="http://schemas.openxmlformats.org/officeDocument/2006/relationships/hyperlink" Target="https://www.firehero.org/fallen-firefighter/charles-e-morton/" TargetMode="External"/><Relationship Id="rId774" Type="http://schemas.openxmlformats.org/officeDocument/2006/relationships/hyperlink" Target="https://www.cincinnati.com/story/news/2021/08/02/attorney-maker-double-drum-magazine-enabled-dayton-mass-shooting/5455812001/" TargetMode="External"/><Relationship Id="rId981" Type="http://schemas.openxmlformats.org/officeDocument/2006/relationships/hyperlink" Target="https://www.supremecourt.ohio.gov/rod/docs/pdf/8/2023/2023-Ohio-4213.pdf" TargetMode="External"/><Relationship Id="rId1057" Type="http://schemas.openxmlformats.org/officeDocument/2006/relationships/hyperlink" Target="https://www4.courts.ca.gov/opinions/nonpub/B338919.PDF" TargetMode="External"/><Relationship Id="rId2010" Type="http://schemas.openxmlformats.org/officeDocument/2006/relationships/hyperlink" Target="https://www.networkforphl.org/_asset/qz5pvn/legal-interventions-to-reduce-overdose.pdf" TargetMode="External"/><Relationship Id="rId2455" Type="http://schemas.openxmlformats.org/officeDocument/2006/relationships/hyperlink" Target="https://public.fastcase.com/J%2FJP6pdidelsXxEE4k%2BLMiptlpkB0gZD0zq9ZoOKNJuhacmaRfGRvhQDw8Dzjp093sUgUkI4CwYYkhqoix%2B0P6g4YOgoDnx2kMnRYwj%2FWdA%3D" TargetMode="External"/><Relationship Id="rId2662" Type="http://schemas.openxmlformats.org/officeDocument/2006/relationships/hyperlink" Target="https://cases.justia.com/federal/district-courts/ohio/ohsdce/1:2023cv00230/279336/13/0.pdf?ts=1707452867" TargetMode="External"/><Relationship Id="rId427" Type="http://schemas.openxmlformats.org/officeDocument/2006/relationships/hyperlink" Target="https://cases.justia.com/montana/supreme-court/2025-da-25-0100.pdf?ts=1761082851" TargetMode="External"/><Relationship Id="rId634" Type="http://schemas.openxmlformats.org/officeDocument/2006/relationships/hyperlink" Target="https://www.canadianlawyermag.com/news/international/boston-judge-rejects-us-administrations-use-of-agency-priorities-clause-in-funding-cuts/394386" TargetMode="External"/><Relationship Id="rId841" Type="http://schemas.openxmlformats.org/officeDocument/2006/relationships/hyperlink" Target="https://cases.justia.com/connecticut/supreme-court/2019-sc20009.pdf?ts=1554984045" TargetMode="External"/><Relationship Id="rId1264" Type="http://schemas.openxmlformats.org/officeDocument/2006/relationships/hyperlink" Target="https://www.supremecourt.ohio.gov/rod/docs/pdf/0/2009/2009-Ohio-2597.pdf" TargetMode="External"/><Relationship Id="rId1471" Type="http://schemas.openxmlformats.org/officeDocument/2006/relationships/hyperlink" Target="https://www.firerescue1.com/lawsuit/articles/former-kan-fire-inspector-loses-discrimination-lawsuit-7znPnJr96hoozkWc/?utm_source=FireRescue1+Member+Newsletter&amp;utm_campaign=c8726896e1-EMAIL_CAMPAIGN_2020_01_21_07_39&amp;utm_medium=email&amp;utm_term=0_758bdbeffe-c8726896e1-41607823" TargetMode="External"/><Relationship Id="rId1569" Type="http://schemas.openxmlformats.org/officeDocument/2006/relationships/hyperlink" Target="https://www.wkbw.com/news/local-news/city-of-buffalo-updating-training-procedures-rolling-out-diversity-training-for-every-department" TargetMode="External"/><Relationship Id="rId2108" Type="http://schemas.openxmlformats.org/officeDocument/2006/relationships/hyperlink" Target="https://law.justia.com/cases/new-york/other-courts/2025/2025-ny-slip-op-25090.html" TargetMode="External"/><Relationship Id="rId2315" Type="http://schemas.openxmlformats.org/officeDocument/2006/relationships/hyperlink" Target="https://www.denverpost.com/2021/09/02/elijah-mclain-charges-manslaughter-negligent-homicide/" TargetMode="External"/><Relationship Id="rId2522" Type="http://schemas.openxmlformats.org/officeDocument/2006/relationships/hyperlink" Target="https://www.ca5.uscourts.gov/opinions/pub/21/21-20085-CV0.pdf" TargetMode="External"/><Relationship Id="rId2967" Type="http://schemas.openxmlformats.org/officeDocument/2006/relationships/hyperlink" Target="https://www.law.cornell.edu/definitions/index.php?width=840&amp;height=800&amp;iframe=true&amp;def_id=9a9967765d66aa590fb1c23dca01a8bd&amp;term_occur=999&amp;term_src=Title:24:Subtitle:B:Chapter:II:Subchapter:I:Part:291:Subpart:F:291.530" TargetMode="External"/><Relationship Id="rId701" Type="http://schemas.openxmlformats.org/officeDocument/2006/relationships/hyperlink" Target="https://www.ca5.uscourts.gov/opinions/pub/17/17-30864-CV4.pdf" TargetMode="External"/><Relationship Id="rId939" Type="http://schemas.openxmlformats.org/officeDocument/2006/relationships/hyperlink" Target="https://www.courts.state.md.us/sites/default/files/unreported-opinions/0614s19.pdf" TargetMode="External"/><Relationship Id="rId1124" Type="http://schemas.openxmlformats.org/officeDocument/2006/relationships/hyperlink" Target="https://cases.justia.com/tennessee/court-of-appeals/2023-e2022-01151-coa-r3-cv.pdf?ts=1703121841" TargetMode="External"/><Relationship Id="rId1331" Type="http://schemas.openxmlformats.org/officeDocument/2006/relationships/hyperlink" Target="https://law.justia.com/codes/new-jersey/2013/title-40a/section-40a-14-178/" TargetMode="External"/><Relationship Id="rId1776" Type="http://schemas.openxmlformats.org/officeDocument/2006/relationships/hyperlink" Target="https://public.fastcase.com/Jhe1Qn%2BmJndQYQU6z%2FeNm2MBH8jjZypB1KxY%2B3GJWtt3pU7LQ0HG1TD%2BuEAPjcSSqkB%2F2Yca8lDVABp6qaMHSj5ZnKz4h2BUwQ71QZi85m8%3D?utm_medium=email&amp;_hsenc=p2ANqtz-_R5GvzVgy1X05e_vCvuMC9Q5e35U1J1WERhCn0fZcvatolnFVOIwTcjgpntEVG0Zn0QYI5aNrPmOIXD_9eLdzthe8Iwg&amp;_hsmi=226712652&amp;utm_content=226712652&amp;utm_source=hs_email" TargetMode="External"/><Relationship Id="rId1983" Type="http://schemas.openxmlformats.org/officeDocument/2006/relationships/hyperlink" Target="https://k2radio.com/federal-appellate-court-upholds-former-casper-doctors-drug-conspiracy-verdict/" TargetMode="External"/><Relationship Id="rId2827" Type="http://schemas.openxmlformats.org/officeDocument/2006/relationships/hyperlink" Target="https://www.njcourts.gov/attorneys/assets/opinions/supreme/a_58_16.pdf" TargetMode="External"/><Relationship Id="rId68" Type="http://schemas.openxmlformats.org/officeDocument/2006/relationships/hyperlink" Target="https://ecf.flmd.uscourts.gov/cgi-bin/show_public_doc?2023-01890-113-6-cv" TargetMode="External"/><Relationship Id="rId1429" Type="http://schemas.openxmlformats.org/officeDocument/2006/relationships/hyperlink" Target="https://www.natlawreview.com/article/congress-votes-to-end-mandatory-arbitration-sexual-assault-and-sexual-harassment" TargetMode="External"/><Relationship Id="rId1636" Type="http://schemas.openxmlformats.org/officeDocument/2006/relationships/hyperlink" Target="https://scholar.google.com/scholar_case?case=2959279778538737103&amp;hl=en&amp;as_sdt=6,36" TargetMode="External"/><Relationship Id="rId1843" Type="http://schemas.openxmlformats.org/officeDocument/2006/relationships/hyperlink" Target="http://www.firefighterovertime.org/2018/09/17/battalion/" TargetMode="External"/><Relationship Id="rId1703" Type="http://schemas.openxmlformats.org/officeDocument/2006/relationships/hyperlink" Target="https://casetext.com/case/mccrea-v-dist-of-columbia-3" TargetMode="External"/><Relationship Id="rId1910" Type="http://schemas.openxmlformats.org/officeDocument/2006/relationships/hyperlink" Target="http://codes.ohio.gov/orc/505.601" TargetMode="External"/><Relationship Id="rId284" Type="http://schemas.openxmlformats.org/officeDocument/2006/relationships/hyperlink" Target="https://www.ethics.ohio.gov/education/gifts.html" TargetMode="External"/><Relationship Id="rId491" Type="http://schemas.openxmlformats.org/officeDocument/2006/relationships/hyperlink" Target="https://casetext.com/case/hering-v-rural-mut-ins-co" TargetMode="External"/><Relationship Id="rId2172" Type="http://schemas.openxmlformats.org/officeDocument/2006/relationships/hyperlink" Target="https://www.ems1.com/ill-emts-charged-murder-patients-death/articles/2-ill-emts-charged-with-murder-appear-in-court-lMnB5h9BN09tUYGl/" TargetMode="External"/><Relationship Id="rId144" Type="http://schemas.openxmlformats.org/officeDocument/2006/relationships/hyperlink" Target="https://cases.justia.com/federal/district-courts/tennessee/tnedce/3:2023cv00220/110152/57/0.pdf?ts=1727268755" TargetMode="External"/><Relationship Id="rId589" Type="http://schemas.openxmlformats.org/officeDocument/2006/relationships/hyperlink" Target="http://www.ca5.uscourts.gov/opinions/pub/17/17-30864-CV2.pdf" TargetMode="External"/><Relationship Id="rId796" Type="http://schemas.openxmlformats.org/officeDocument/2006/relationships/hyperlink" Target="https://www.law.cornell.edu/definitions/uscode.php?width=840&amp;height=800&amp;iframe=true&amp;def_id=8-USC-2032517217-1201680101&amp;term_occur=999&amp;term_src=" TargetMode="External"/><Relationship Id="rId2477" Type="http://schemas.openxmlformats.org/officeDocument/2006/relationships/hyperlink" Target="file:///C:/Users/lawre/Downloads/US_DIS_NYSD_1_19cv11555_COMPLAINT_against_City_of_New_York_City_of_New_Yor.pdf" TargetMode="External"/><Relationship Id="rId2684" Type="http://schemas.openxmlformats.org/officeDocument/2006/relationships/hyperlink" Target="https://law.justia.com/cases/new-york/appellate-division-third-department/2023/535052.html" TargetMode="External"/><Relationship Id="rId351" Type="http://schemas.openxmlformats.org/officeDocument/2006/relationships/hyperlink" Target="https://mdcourts.gov/sites/default/files/unreported-opinions/2279s17.pdf" TargetMode="External"/><Relationship Id="rId449" Type="http://schemas.openxmlformats.org/officeDocument/2006/relationships/hyperlink" Target="https://www.firerescue1.com/firefighter-death/articles/miss-fire-lieutenant-killed-in-gas-station-robbery-jMwIEdZ3rDnt54xe/" TargetMode="External"/><Relationship Id="rId656" Type="http://schemas.openxmlformats.org/officeDocument/2006/relationships/hyperlink" Target="https://cases.justia.com/federal/appellate-courts/ca3/25-2635/25-2635-2025-12-01.pdf?ts=1764612050" TargetMode="External"/><Relationship Id="rId863" Type="http://schemas.openxmlformats.org/officeDocument/2006/relationships/hyperlink" Target="https://app.midpage.ai/document/pierre-grenier-v-city-of-11209117?refG=true" TargetMode="External"/><Relationship Id="rId1079" Type="http://schemas.openxmlformats.org/officeDocument/2006/relationships/hyperlink" Target="https://cases.justia.com/louisiana/fourth-circuit-court-of-appeal/2025-2024-ca-0747.pdf?ts=1746576943" TargetMode="External"/><Relationship Id="rId1286" Type="http://schemas.openxmlformats.org/officeDocument/2006/relationships/hyperlink" Target="https://www.azcourts.gov/Portals/0/OpinionFiles/Div1/2020/1%20CA-IC%2019-0036%20-%20Forbach.pdf" TargetMode="External"/><Relationship Id="rId1493" Type="http://schemas.openxmlformats.org/officeDocument/2006/relationships/hyperlink" Target="http://www.ca5.uscourts.gov/opinions/unpub/17/17-30574.0.pdf" TargetMode="External"/><Relationship Id="rId2032" Type="http://schemas.openxmlformats.org/officeDocument/2006/relationships/hyperlink" Target="https://cases.justia.com/federal/appellate-courts/ca10/25-1118/25-1118-2026-07-06.pdf?ts=1783359113" TargetMode="External"/><Relationship Id="rId2337" Type="http://schemas.openxmlformats.org/officeDocument/2006/relationships/hyperlink" Target="https://law.justia.com/cases/maryland/court-of-special-appeals/2021/2349-19.html" TargetMode="External"/><Relationship Id="rId2544" Type="http://schemas.openxmlformats.org/officeDocument/2006/relationships/hyperlink" Target="https://law.justia.com/cases/new-york/appellate-division-third-department/2019/527240.html" TargetMode="External"/><Relationship Id="rId2891" Type="http://schemas.openxmlformats.org/officeDocument/2006/relationships/hyperlink" Target="https://www.jud.ct.gov/external/supapp/Cases/AROap/AP218/218AP115.pdf" TargetMode="External"/><Relationship Id="rId2989" Type="http://schemas.openxmlformats.org/officeDocument/2006/relationships/hyperlink" Target="https://fisheldowney.com/moving-away-mandatory-arbitration-sexual-assault-harassment-claims/" TargetMode="External"/><Relationship Id="rId211" Type="http://schemas.openxmlformats.org/officeDocument/2006/relationships/hyperlink" Target="https://public.fastcase.com/J%2FJP6pdidelsXxEE4k%2BLMrfSCCaRdL8TI%2B5ioBWNQnh0kDz1GreH4%2B0yNBfnZOTE%2BnPBmU0h571R%2FJckMZe26svndIwXzFkT32fWB37fhjw%3D?utm_medium=email&amp;_hsmi=226712652&amp;_hsenc=p2ANqtz--GP8ZQooCAhfBpKdL9gU4tnEMPEYSQuJhpHC1xgU_R2XIHvEgQGIZy-l9drIqZUjYHZhAeqsmTG1Ww2RK_6TGoVdhMHQ&amp;utm_content=226712652&amp;utm_source=hs_email" TargetMode="External"/><Relationship Id="rId309" Type="http://schemas.openxmlformats.org/officeDocument/2006/relationships/hyperlink" Target="https://www.courts.state.md.us/sites/default/files/unreported-opinions/0614s19.pdf" TargetMode="External"/><Relationship Id="rId516" Type="http://schemas.openxmlformats.org/officeDocument/2006/relationships/hyperlink" Target="https://www.supremecourt.ohio.gov/rod/docs/pdf/8/2023/2023-Ohio-3884.pdf" TargetMode="External"/><Relationship Id="rId1146" Type="http://schemas.openxmlformats.org/officeDocument/2006/relationships/hyperlink" Target="https://casetext.com/case/city-of-wilkes-barre-v-snyder" TargetMode="External"/><Relationship Id="rId1798" Type="http://schemas.openxmlformats.org/officeDocument/2006/relationships/hyperlink" Target="https://public.fastcase.com/jaEE2PXzRXmZ99jOLMt1IrF9wD4fG884AOwA%2B%2B8sYndkdlA95em2xjLqn6HHRdZo?utm_medium=email&amp;_hsenc=p2ANqtz-_k9MVaO09mpQi5ToQ_rMR2msPFl5QNhVfsnrFCoGgDXkRnW8gb34HMapH4044HXAEb1Ni6dZoKu1yFSWgbbZwBVX_IXQ&amp;_hsmi=226712652&amp;utm_content=226712652&amp;utm_source=hs_email" TargetMode="External"/><Relationship Id="rId2751" Type="http://schemas.openxmlformats.org/officeDocument/2006/relationships/hyperlink" Target="https://boston.cbslocal.com/2021/08/05/wellesley-fire-chief-richard-delorie-conflict-of-interest/" TargetMode="External"/><Relationship Id="rId2849" Type="http://schemas.openxmlformats.org/officeDocument/2006/relationships/hyperlink" Target="https://www.qcnews.com/charlotte/court-sides-with-char-meck-fop-in-cmpd-employee-defamation-case/" TargetMode="External"/><Relationship Id="rId723" Type="http://schemas.openxmlformats.org/officeDocument/2006/relationships/hyperlink" Target="https://casetext.com/case/baarbe-v-the-syrian-arab-republic" TargetMode="External"/><Relationship Id="rId930" Type="http://schemas.openxmlformats.org/officeDocument/2006/relationships/hyperlink" Target="https://www.law.cornell.edu/rules/fre/rule_702" TargetMode="External"/><Relationship Id="rId1006" Type="http://schemas.openxmlformats.org/officeDocument/2006/relationships/hyperlink" Target="https://public.fastcase.com/9SKwsfNqTc6OieYDhNMyMxYFAOB%2B8Exz96lCVjgKZ3LX4kIIj1F%2BwgWx84FRdD2XxPjZrEkhT3uMWAcBEArrI0vrm%2B5Vt5gbBlhQIZhqFuE%3D" TargetMode="External"/><Relationship Id="rId1353" Type="http://schemas.openxmlformats.org/officeDocument/2006/relationships/hyperlink" Target="https://cases.justia.com/delaware/superior-court/2025-n25c-08-098-ssa.pdf?ts=1764099129" TargetMode="External"/><Relationship Id="rId1560" Type="http://schemas.openxmlformats.org/officeDocument/2006/relationships/hyperlink" Target="https://www.usnews.com/news/us/articles/2024-01-14/as-legal-challenges-mount-some-companies-retool-diversity-and-inclusion-programs" TargetMode="External"/><Relationship Id="rId1658" Type="http://schemas.openxmlformats.org/officeDocument/2006/relationships/hyperlink" Target="https://public.fastcase.com/Jhe1Qn%2BmJndQYQU6z%2FeNm07xnsMMe9XopEXpzbd8wBfIcwWisDZ8Xdk0vkVeza2z?utm_medium=email&amp;_hsenc=p2ANqtz-9GpH5Yl8KbaQKypiwjwBSc5ZewK71TROtHeH7A0Ky0SFDkHfwzpfrGRkv9wpK-L_sBVpNrip23D5GifO3TaI5YS4qT7w&amp;_hsmi=226712652&amp;utm_content=226712652&amp;utm_source=hs_email" TargetMode="External"/><Relationship Id="rId1865" Type="http://schemas.openxmlformats.org/officeDocument/2006/relationships/hyperlink" Target="https://casetext.com/case/adams-v-city-of-kan-city-1" TargetMode="External"/><Relationship Id="rId2404" Type="http://schemas.openxmlformats.org/officeDocument/2006/relationships/hyperlink" Target="https://public.fastcase.com/Wl%2B2t%2BeVuI35%2FN70vAMFZmE2ukal8IvDC5BUTFBRpPNG0o0%2FGYOYjoFH9I91Iplb" TargetMode="External"/><Relationship Id="rId2611" Type="http://schemas.openxmlformats.org/officeDocument/2006/relationships/hyperlink" Target="https://www.youtube.com/watch?v=J9a7dzpchr4" TargetMode="External"/><Relationship Id="rId2709" Type="http://schemas.openxmlformats.org/officeDocument/2006/relationships/hyperlink" Target="https://burned.journalism.cuny.edu/the-diverse-minds-of-arsonists/" TargetMode="External"/><Relationship Id="rId1213" Type="http://schemas.openxmlformats.org/officeDocument/2006/relationships/hyperlink" Target="https://law.justia.com/cases/ohio/first-district-court-of-appeals/2020/c-190708.html" TargetMode="External"/><Relationship Id="rId1420" Type="http://schemas.openxmlformats.org/officeDocument/2006/relationships/hyperlink" Target="https://apnews.com/article/savannah-discrimination-lawsuits-georgia-courts-181c735cb3d5f318ea6a76e14d237b4a" TargetMode="External"/><Relationship Id="rId1518" Type="http://schemas.openxmlformats.org/officeDocument/2006/relationships/hyperlink" Target="https://public.fastcase.com/jaEE2PXzRXmZ99jOLMt1IuS%2F9HpBr5oZUxWDfnHZUAClV0FMS0FkyPj2D073HVCd?utm_medium=email&amp;_hsenc=p2ANqtz-8Af1EW_JVwBhx0UDxsfrXH8_2s6MlC6Pm7CWzCebAgUkWejdyZMRNp9kjbmr3YiOjRBOAIc4DZsyAhk1nZpl--uaoeAg&amp;_hsmi=226712652&amp;utm_content=226712652&amp;utm_source=hs_email" TargetMode="External"/><Relationship Id="rId2916" Type="http://schemas.openxmlformats.org/officeDocument/2006/relationships/hyperlink" Target="https://law.justia.com/cases/federal/district-courts/indiana/inndce/2:2021cv00154/106960/76/" TargetMode="External"/><Relationship Id="rId1725" Type="http://schemas.openxmlformats.org/officeDocument/2006/relationships/hyperlink" Target="https://public.fastcase.com/Wl%2B2t%2BeVuI35%2FN70vAMFZtupy9a3EvXpG9ydLD29CKGnkdsXWzWbFQljc8xBD5GU" TargetMode="External"/><Relationship Id="rId1932" Type="http://schemas.openxmlformats.org/officeDocument/2006/relationships/hyperlink" Target="https://www.supremecourt.gov/opinions/25pdf/24-1234_g2bh.pdf" TargetMode="External"/><Relationship Id="rId17" Type="http://schemas.openxmlformats.org/officeDocument/2006/relationships/hyperlink" Target="https://scholar.uc.edu/show/dn39x307g" TargetMode="External"/><Relationship Id="rId2194" Type="http://schemas.openxmlformats.org/officeDocument/2006/relationships/hyperlink" Target="https://casetext.com/statute/united-states-code/title-42-the-public-health-and-welfare/chapter-7-social-security/subchapter-xi-general-provisions-peer-review-and-administrative-simplification/part-a-general-provisions/section-1320a-uniform-reporting-systems-for-health-services-facilities-and-organizations" TargetMode="External"/><Relationship Id="rId166" Type="http://schemas.openxmlformats.org/officeDocument/2006/relationships/hyperlink" Target="https://www.9news.com/article/news/local/denver-arson-google-data-fatal-house-fire-colorado-supreme-court-ruling/73-aca77fb3-30d9-4bac-b46c-6d4b4402af16" TargetMode="External"/><Relationship Id="rId373" Type="http://schemas.openxmlformats.org/officeDocument/2006/relationships/hyperlink" Target="http://blog.iaff.org/post/2018/06/05/preparing-for-the-janus-v-afscme-council-31-supreme-court-ruling" TargetMode="External"/><Relationship Id="rId580" Type="http://schemas.openxmlformats.org/officeDocument/2006/relationships/hyperlink" Target="http://publicdocs.courts.mi.gov/OPINIONS/FINAL/COA/20200416_C346057_26_346057OPNORDER.PDF" TargetMode="External"/><Relationship Id="rId2054" Type="http://schemas.openxmlformats.org/officeDocument/2006/relationships/hyperlink" Target="https://www.hipaajournal.com/hipaa-violation-cases/" TargetMode="External"/><Relationship Id="rId2261" Type="http://schemas.openxmlformats.org/officeDocument/2006/relationships/hyperlink" Target="https://www.ems.ohio.gov/trauma-system.aspx" TargetMode="External"/><Relationship Id="rId2499" Type="http://schemas.openxmlformats.org/officeDocument/2006/relationships/hyperlink" Target="https://cases.justia.com/ohio/twelfth-district-court-of-appeals/2023-ca2023-06-039.pdf?ts=1703791198" TargetMode="External"/><Relationship Id="rId1" Type="http://schemas.openxmlformats.org/officeDocument/2006/relationships/customXml" Target="../customXml/item1.xml"/><Relationship Id="rId233" Type="http://schemas.openxmlformats.org/officeDocument/2006/relationships/hyperlink" Target="https://casetext.com/case/2095-stonington-llc-v-vill-of-hoffman-estates" TargetMode="External"/><Relationship Id="rId440" Type="http://schemas.openxmlformats.org/officeDocument/2006/relationships/hyperlink" Target="https://www.supremecourt.gov/opinions/24pdf/23-1239_onjq.pdf" TargetMode="External"/><Relationship Id="rId678" Type="http://schemas.openxmlformats.org/officeDocument/2006/relationships/hyperlink" Target="https://www.supremecourt.gov/opinions/24pdf/24-20_f2bh.pdf" TargetMode="External"/><Relationship Id="rId885" Type="http://schemas.openxmlformats.org/officeDocument/2006/relationships/hyperlink" Target="https://harvardlawreview.org/print/vol-137/baker-v-city-of-mckinney/" TargetMode="External"/><Relationship Id="rId1070" Type="http://schemas.openxmlformats.org/officeDocument/2006/relationships/hyperlink" Target="https://cases.justia.com/washington/supreme-court/2025-103-121-1.pdf?ts=1750950890" TargetMode="External"/><Relationship Id="rId2121" Type="http://schemas.openxmlformats.org/officeDocument/2006/relationships/hyperlink" Target="https://www4.courts.ca.gov/opinions/nonpub/B335656.PDF" TargetMode="External"/><Relationship Id="rId2359" Type="http://schemas.openxmlformats.org/officeDocument/2006/relationships/hyperlink" Target="https://njcourts.gov/attorneys/assets/opinions/appellate/unpublished/a0530-19.pdf" TargetMode="External"/><Relationship Id="rId2566" Type="http://schemas.openxmlformats.org/officeDocument/2006/relationships/hyperlink" Target="https://cases.justia.com/federal/appellate-courts/ca10/25-1159/25-1159-2026-07-07.pdf?ts=1783443762" TargetMode="External"/><Relationship Id="rId2773" Type="http://schemas.openxmlformats.org/officeDocument/2006/relationships/hyperlink" Target="https://public.fastcase.com/Wl%2B2t%2BeVuI35%2FN70vAMFZqQ7Gx1lZ4VLPzvmh59TfRHYGD4c0wvhFgn%2Bs0ncYh62" TargetMode="External"/><Relationship Id="rId2980" Type="http://schemas.openxmlformats.org/officeDocument/2006/relationships/hyperlink" Target="https://www.dispatch.com/story/news/courts/2023/11/30/florida-supreme-court-rules-that-marsys-law-privacy-doesnt-apply-to-police-officers/71758347007/?utm_source=columbusdispatch-dailybriefing-strada&amp;utm_medium=email&amp;utm_campaign=dailybriefing-headline-stack&amp;utm_term=Content%20List%20-%20Stacking%20-%20optimized&amp;utm_content=ncod-columbus-nletter65" TargetMode="External"/><Relationship Id="rId300" Type="http://schemas.openxmlformats.org/officeDocument/2006/relationships/hyperlink" Target="https://www.hamiltoncountyohio.gov/UserFiles/Servers/Server_3788196/File/Government/Departments/Human%20Resources/Ethics%20in%20Government/HamiltonCountyEthicsBooklet.pdf" TargetMode="External"/><Relationship Id="rId538" Type="http://schemas.openxmlformats.org/officeDocument/2006/relationships/hyperlink" Target="https://www.fireengineering.com/firefighting/el-paso-tx-firefighter-injured-while-rendering-care/" TargetMode="External"/><Relationship Id="rId745" Type="http://schemas.openxmlformats.org/officeDocument/2006/relationships/hyperlink" Target="https://www.cadc.uscourts.gov/internet/opinions.nsf/55807FB471B60BB08525888E0051AEA6/$file/21-1087-1956978.pdf" TargetMode="External"/><Relationship Id="rId952" Type="http://schemas.openxmlformats.org/officeDocument/2006/relationships/hyperlink" Target="https://cases.justia.com/texas/first-court-of-appeals/2026-01-25-00359-cv.pdf?ts=1774367002" TargetMode="External"/><Relationship Id="rId1168" Type="http://schemas.openxmlformats.org/officeDocument/2006/relationships/hyperlink" Target="https://www.leagle.com/decision/inohco20220627386" TargetMode="External"/><Relationship Id="rId1375" Type="http://schemas.openxmlformats.org/officeDocument/2006/relationships/hyperlink" Target="https://codes.ohio.gov/ohio-revised-code/section-4112.022" TargetMode="External"/><Relationship Id="rId1582" Type="http://schemas.openxmlformats.org/officeDocument/2006/relationships/hyperlink" Target="https://boingboing.net/2017/11/06/city-of-miami-demands-media-st.html" TargetMode="External"/><Relationship Id="rId2219" Type="http://schemas.openxmlformats.org/officeDocument/2006/relationships/hyperlink" Target="https://public.fastcase.com/ZZhmr5v9wN%2FXOe5IsQ%2FqD1tuyppLBnLrMmR86JNFVAlEsCewO4n%2BqmcnLV2ysm6tZCnkIxWDhw4CT9a2YbHZsY59KqRUUsvnj3oq0k4kZUY%3D?utm_medium=email&amp;_hsmi=226712652&amp;_hsenc=p2ANqtz-_TDFfv4pLQcLfqFCn8pFSxh77smp5fK7rovyeiHf7hqXQSyFbPSdIcgszVq5PNSPeSOT64f2E-JPGn2x6-fH_4dd4mvg&amp;utm_content=226712652&amp;utm_source=hs_email" TargetMode="External"/><Relationship Id="rId2426" Type="http://schemas.openxmlformats.org/officeDocument/2006/relationships/hyperlink" Target="https://docs.justia.com/cases/federal/district-courts/washington/wawdce/2:2017cv01133/248111/33" TargetMode="External"/><Relationship Id="rId2633" Type="http://schemas.openxmlformats.org/officeDocument/2006/relationships/hyperlink" Target="https://www.njcourts.gov/system/files/court-opinions/2025/a1587-23.pdf" TargetMode="External"/><Relationship Id="rId81" Type="http://schemas.openxmlformats.org/officeDocument/2006/relationships/hyperlink" Target="https://cases.justia.com/arizona/supreme-court/2025-cr-24-0264-pr.pdf?ts=1747242027" TargetMode="External"/><Relationship Id="rId605" Type="http://schemas.openxmlformats.org/officeDocument/2006/relationships/hyperlink" Target="https://cases.justia.com/missouri/court-of-appeals/2019-wd81939.pdf?ts=1559661108" TargetMode="External"/><Relationship Id="rId812" Type="http://schemas.openxmlformats.org/officeDocument/2006/relationships/hyperlink" Target="https://www.securityindustry.org/2020/08/13/heres-what-ndaa-section-889-really-means-for-federal-grants/" TargetMode="External"/><Relationship Id="rId1028" Type="http://schemas.openxmlformats.org/officeDocument/2006/relationships/hyperlink" Target="https://www.post-gazette.com/local/west/2006/09/15/Jury-awards-5-million-to-families-in-fire-hose-accident/stories/200609150169" TargetMode="External"/><Relationship Id="rId1235" Type="http://schemas.openxmlformats.org/officeDocument/2006/relationships/hyperlink" Target="https://public.fastcase.com/Wl%2B2t%2BeVuI35%2FN70vAMFZhBwSznuAn%2FrUV3euz1vpuZ8G42r7l80quvA5s5OcZyT" TargetMode="External"/><Relationship Id="rId1442" Type="http://schemas.openxmlformats.org/officeDocument/2006/relationships/hyperlink" Target="https://www.wwlp.com/news/local-news/hampden-county/termination-of-3-westfield-firefighters-vacated-commission-orders-investigation-of-chief/" TargetMode="External"/><Relationship Id="rId1887" Type="http://schemas.openxmlformats.org/officeDocument/2006/relationships/hyperlink" Target="https://www.knoe.com/content/news/Bastrop-mayor-proposes-3-mill-increase-to-repay-debt-from-fireman-lawsuit-513531241.html" TargetMode="External"/><Relationship Id="rId2840" Type="http://schemas.openxmlformats.org/officeDocument/2006/relationships/hyperlink" Target="https://supreme.justia.com/cases/federal/us/391/563/" TargetMode="External"/><Relationship Id="rId2938" Type="http://schemas.openxmlformats.org/officeDocument/2006/relationships/hyperlink" Target="https://www.supremecourt.gov/opinions/17pdf/16-285_q8l1.pdf" TargetMode="External"/><Relationship Id="rId1302" Type="http://schemas.openxmlformats.org/officeDocument/2006/relationships/hyperlink" Target="https://www.courts.ri.gov/Courts/SupremeCourt/SupremeOpinions/17-295.pdf" TargetMode="External"/><Relationship Id="rId1747" Type="http://schemas.openxmlformats.org/officeDocument/2006/relationships/hyperlink" Target="http://www.startribune.com/former-mpls-firefighter-will-be-able-to-sue-for-disability-discrimination-high-court-rules/506468082/" TargetMode="External"/><Relationship Id="rId1954" Type="http://schemas.openxmlformats.org/officeDocument/2006/relationships/hyperlink" Target="https://casetext.com/statute/montana-code/title-2-government-structure-and-administration/chapter-4-administrative-procedure-act/part-7-judicial-review-of-contested-cases/section-2-4-702-effective-until-1012025-initiating-judicial-review-of-contested-cases" TargetMode="External"/><Relationship Id="rId2700" Type="http://schemas.openxmlformats.org/officeDocument/2006/relationships/hyperlink" Target="https://public.fastcase.com/J%2FJP6pdidelsXxEE4k%2BLMtME52xOaCaWV6UEDIP7bM8%2BFioZsbaXPEF4Uybj3YzCUfNXrAB4VqpO9mZPyOoJgEUGCgAECduXHqgYvcPti4I%3D?utm_medium=email&amp;_hsmi=226712652&amp;_hsenc=p2ANqtz--o5Z4w0RvL2X6ywspxSAhs9CG2i2QDJ7wcq_MEc7ECUlDYedCzwhXzcOpR3uJdZVvbiJhZF7E92unvtoIdalIehJ_GiA&amp;utm_content=226712652&amp;utm_source=hs_email" TargetMode="External"/><Relationship Id="rId39" Type="http://schemas.openxmlformats.org/officeDocument/2006/relationships/hyperlink" Target="https://caselaw.findlaw.com/court/tx-court-of-appeals/118277713.html" TargetMode="External"/><Relationship Id="rId1607" Type="http://schemas.openxmlformats.org/officeDocument/2006/relationships/hyperlink" Target="https://public.fastcase.com/9SKwsfNqTc6OieYDhNMyM6Hs9QyuQxgDWvshWHam%2BmmecJULtiEuwgF0cJ0eF8SA" TargetMode="External"/><Relationship Id="rId1814" Type="http://schemas.openxmlformats.org/officeDocument/2006/relationships/hyperlink" Target="https://www.ecfr.gov/current/title-29/section-778.201" TargetMode="External"/><Relationship Id="rId188" Type="http://schemas.openxmlformats.org/officeDocument/2006/relationships/hyperlink" Target="https://public.fastcase.com/ZZhmr5v9wN%2FXOe5IsQ%2FqDyh9W7agvNTeMPH8d1RJsPvP%2Fg5ZmquK03Jneavd35tblyNJzoowc3pRVBJlbMB8OXwMF7nsK7TpaO1eghvi3n8%3D?utm_medium=email&amp;_hsmi=226712652&amp;_hsenc=p2ANqtz-8CWkqPTOXpr4VKRSXFO6n4aimmH3FbbAM7Ve_pkSBcowoTJe6gCXxXh8Df-qrWOoYs_EV26aJQZp9WCJOKGH6IdbP0yQ&amp;utm_content=226712652&amp;utm_source=hs_email" TargetMode="External"/><Relationship Id="rId395" Type="http://schemas.openxmlformats.org/officeDocument/2006/relationships/hyperlink" Target="file:///C:/Users/lawre/Downloads/0182139.PDF" TargetMode="External"/><Relationship Id="rId2076" Type="http://schemas.openxmlformats.org/officeDocument/2006/relationships/hyperlink" Target="https://cases.justia.com/federal/district-courts/utah/utdce/2:2025cv00111/154289/32/0.pdf?ts=1765634947" TargetMode="External"/><Relationship Id="rId2283" Type="http://schemas.openxmlformats.org/officeDocument/2006/relationships/hyperlink" Target="https://public.fastcase.com/waZtJvSA54UAurM2rmIZzwvOxdABv7XvwmmlDXNvdvn51CTV3NslG6Rw0yioxZXL%2BjJOhhNAJF%2FpIN8S52jcKAcJWCdsLYpOkU1PQ4W0%2BbA%3D" TargetMode="External"/><Relationship Id="rId2490" Type="http://schemas.openxmlformats.org/officeDocument/2006/relationships/hyperlink" Target="https://casetext.com/case/shaw-v-kittitas-valley-fire-rescue" TargetMode="External"/><Relationship Id="rId2588" Type="http://schemas.openxmlformats.org/officeDocument/2006/relationships/hyperlink" Target="https://cases.justia.com/federal/district-courts/nevada/nvdce/3:2025cv00159/173760/49/0.pdf" TargetMode="External"/><Relationship Id="rId255" Type="http://schemas.openxmlformats.org/officeDocument/2006/relationships/hyperlink" Target="https://abc7ny.com/new-york-city-harlem-fire-edward-norton/3249411/" TargetMode="External"/><Relationship Id="rId462" Type="http://schemas.openxmlformats.org/officeDocument/2006/relationships/hyperlink" Target="https://codes.findlaw.com/fl/title-x-public-officers-employees-and-records/fl-st-sect-112-182/" TargetMode="External"/><Relationship Id="rId1092" Type="http://schemas.openxmlformats.org/officeDocument/2006/relationships/hyperlink" Target="https://www.njcourts.gov/system/files/court-opinions/2025/a0585-22.pdf" TargetMode="External"/><Relationship Id="rId1397" Type="http://schemas.openxmlformats.org/officeDocument/2006/relationships/hyperlink" Target="https://public.fastcase.com/ZZhmr5v9wN%2FXOe5IsQ%2FqD6jMQR25voU2zetCo1HgS1zBk8tCI%2FmKZ0pb%2BYQBY4PYbj2YxbwIVSZ2pGprXwG4UQ35c6nwrJlu7u4tvaka%2BGk%3D?utm_medium=email&amp;_hsmi=226712652&amp;_hsenc=p2ANqtz-8k0z7Ow52c-ClX2b2IdaHNx0isoBG6vg98c6p6ibbt9CVV8mr3zs9YYXJjoYif24S7rYOdhr1XcCDTZ_K6Y2uCJJR3PQ&amp;utm_content=226712652&amp;utm_source=hs_email" TargetMode="External"/><Relationship Id="rId2143" Type="http://schemas.openxmlformats.org/officeDocument/2006/relationships/hyperlink" Target="https://www.supremecourt.gov/opinions/23pdf/22-193_q86b.pdf" TargetMode="External"/><Relationship Id="rId2350" Type="http://schemas.openxmlformats.org/officeDocument/2006/relationships/hyperlink" Target="https://public.fastcase.com/Wl%2B2t%2BeVuI35%2FN70vAMFZswpqbyXpWGBMOIhfQ%2Fu%2FM0PzW3B3UkJbasWbumeQ3Ct" TargetMode="External"/><Relationship Id="rId2795" Type="http://schemas.openxmlformats.org/officeDocument/2006/relationships/hyperlink" Target="https://public.fastcase.com/Wl%2B2t%2BeVuI35%2FN70vAMFZp5z3tSAREAgVcTB%2FIqZH8qtvSAHBObLTQiDe9yLc084" TargetMode="External"/><Relationship Id="rId115" Type="http://schemas.openxmlformats.org/officeDocument/2006/relationships/hyperlink" Target="https://caselaw.findlaw.com/court/az-court-of-appeals/116575227.html" TargetMode="External"/><Relationship Id="rId322" Type="http://schemas.openxmlformats.org/officeDocument/2006/relationships/hyperlink" Target="https://www.supremecourt.gov/opinions/19pdf/18-1059_e2p3.pdf" TargetMode="External"/><Relationship Id="rId767" Type="http://schemas.openxmlformats.org/officeDocument/2006/relationships/hyperlink" Target="https://www.law.cornell.edu/uscode/text/18/249" TargetMode="External"/><Relationship Id="rId974" Type="http://schemas.openxmlformats.org/officeDocument/2006/relationships/hyperlink" Target="https://casetext.com/case/the-city-of-houston-v-stoffer" TargetMode="External"/><Relationship Id="rId2003" Type="http://schemas.openxmlformats.org/officeDocument/2006/relationships/hyperlink" Target="https://law.justia.com/cases/federal/appellate-courts/ca3/20-1422/20-1422-2021-01-12.html" TargetMode="External"/><Relationship Id="rId2210" Type="http://schemas.openxmlformats.org/officeDocument/2006/relationships/hyperlink" Target="https://public.fastcase.com/ZZhmr5v9wN%2FXOe5IsQ%2FqD%2FMrsYybnhzToDs3pNIz1%2FKuVE%2FXrNjXuEwJjzIPMf50bv4pQ7cB9hbsaZ7iWrESGuHFIj%2FFdpWNLAaphAA7k6c%3D?utm_medium=email&amp;_hsmi=226712652&amp;_hsenc=p2ANqtz-_5oWIy3JVMzQhw9Nc4Op3ZwRC559261JhKrpKmwZ_i9sOC_6POwqnLW9vjaTKG4YfwH8U6J7L56i3T2Eyz1DW0ZK0ATw&amp;utm_content=226712652&amp;utm_source=hs_email" TargetMode="External"/><Relationship Id="rId2448" Type="http://schemas.openxmlformats.org/officeDocument/2006/relationships/hyperlink" Target="https://www.supremecourt.ohio.gov/rod/docs/pdf/4/2018/2018-Ohio-31.pdf" TargetMode="External"/><Relationship Id="rId2655" Type="http://schemas.openxmlformats.org/officeDocument/2006/relationships/hyperlink" Target="https://ilcourtsaudio.blob.core.windows.net/antilles-resources/resources/3038c42d-d9bb-4837-b172-ba33498af3cf/Trapp%20v.%20City%20of%20Burbank%20Firefighters'%20Pension%20Fund,%202024%20IL%20App%20(1st)%20231311-U.pdf" TargetMode="External"/><Relationship Id="rId2862" Type="http://schemas.openxmlformats.org/officeDocument/2006/relationships/hyperlink" Target="https://cases.justia.com/new-hampshire/supreme-court/2025-2024-0097.pdf?ts=1742996506" TargetMode="External"/><Relationship Id="rId627" Type="http://schemas.openxmlformats.org/officeDocument/2006/relationships/hyperlink" Target="https://d.docs.live.net/bd9b2eaf6053242e/AppData/Roaming/Microsoft/AppData/Local/Microsoft/Windows/INetCache/IE/CTCRXJ99/17-467_bqm1.pdf" TargetMode="External"/><Relationship Id="rId834" Type="http://schemas.openxmlformats.org/officeDocument/2006/relationships/hyperlink" Target="https://www.leagle.com/cite/557%20F.3d%201117" TargetMode="External"/><Relationship Id="rId1257" Type="http://schemas.openxmlformats.org/officeDocument/2006/relationships/hyperlink" Target="https://www.natlawreview.com/article/department-justice-report-shows-whistleblowers-consistently-rewarded-through-qui-tam" TargetMode="External"/><Relationship Id="rId1464" Type="http://schemas.openxmlformats.org/officeDocument/2006/relationships/hyperlink" Target="https://www.leagle.com/cite/599%20F.2d%20707" TargetMode="External"/><Relationship Id="rId1671" Type="http://schemas.openxmlformats.org/officeDocument/2006/relationships/hyperlink" Target="https://www.govinfo.gov/content/pkg/USCOURTS-nyed-1_22-cv-05068/pdf/USCOURTS-nyed-1_22-cv-05068-3.pdf" TargetMode="External"/><Relationship Id="rId2308" Type="http://schemas.openxmlformats.org/officeDocument/2006/relationships/hyperlink" Target="https://media.ca11.uscourts.gov/opinions/unpub/files/201814119.pdf" TargetMode="External"/><Relationship Id="rId2515" Type="http://schemas.openxmlformats.org/officeDocument/2006/relationships/hyperlink" Target="https://law.justia.com/cases/florida/first-district-court-of-appeal/2022/19-4601.html" TargetMode="External"/><Relationship Id="rId2722" Type="http://schemas.openxmlformats.org/officeDocument/2006/relationships/hyperlink" Target="https://das.ohio.gov/Portals/0/DASDivisions/HumanResources/Policy/pdf/HR-29%20Implementation%20Guide%20.pdf" TargetMode="External"/><Relationship Id="rId901" Type="http://schemas.openxmlformats.org/officeDocument/2006/relationships/hyperlink" Target="https://public.fastcase.com/J%2FJP6pdidelsXxEE4k%2BLMn3rhSw89wni4akrGgclH4tY407nVvfTRwhYpyTytqAww5i%2BcjDR8DFfgYYxUNnhOrZ4pPx8rv87OEAaoYdIWaw%3D?utm_medium=email&amp;_hsmi=226712652&amp;_hsenc=p2ANqtz--lPKcQUZ00Y_ImXZh39HMz6UO0kEIbng7bmb6odI7o6fRRwj_-I6PCBlRwjLhuflNpZQs-1Wu84wEID-VmUx_pZGrr8w&amp;utm_content=226712652&amp;utm_source=hs_email" TargetMode="External"/><Relationship Id="rId1117" Type="http://schemas.openxmlformats.org/officeDocument/2006/relationships/hyperlink" Target="https://www.nj.gov/treasury/pensions/documents/factsheets/fact15.pdf" TargetMode="External"/><Relationship Id="rId1324" Type="http://schemas.openxmlformats.org/officeDocument/2006/relationships/hyperlink" Target="https://www.bizjournals.com/columbus/news/2018/09/20/new-ohio-law-incentivizes-businesses-that-comply.html" TargetMode="External"/><Relationship Id="rId1531" Type="http://schemas.openxmlformats.org/officeDocument/2006/relationships/hyperlink" Target="https://www.americanbar.org/groups/diversity/diversity_pipeline/projects_initiatives/legal_opportunity_scholarship/" TargetMode="External"/><Relationship Id="rId1769" Type="http://schemas.openxmlformats.org/officeDocument/2006/relationships/hyperlink" Target="https://www.dol.gov/agencies/whd/fact-sheets/22-flsa-hours-worked" TargetMode="External"/><Relationship Id="rId1976" Type="http://schemas.openxmlformats.org/officeDocument/2006/relationships/hyperlink" Target="https://www.jud.ct.gov/external/supapp/Cases/AROap/AP216/216AP25.pdf" TargetMode="External"/><Relationship Id="rId30" Type="http://schemas.openxmlformats.org/officeDocument/2006/relationships/hyperlink" Target="https://cases.justia.com/michigan/court-of-appeals-unpublished/2026-374887.pdf?ts=1784206805" TargetMode="External"/><Relationship Id="rId1629" Type="http://schemas.openxmlformats.org/officeDocument/2006/relationships/hyperlink" Target="http://www.ca2.uscourts.gov/decisions/isysquery/83382276-eb3d-4d56-b5fe-4596b6d0f64b/1/doc/19-1265_so.pdf" TargetMode="External"/><Relationship Id="rId1836" Type="http://schemas.openxmlformats.org/officeDocument/2006/relationships/hyperlink" Target="https://cases.justia.com/federal/appellate-courts/ca5/19-60847/19-60847-2021-01-12.pdf?ts=1610476251" TargetMode="External"/><Relationship Id="rId1903" Type="http://schemas.openxmlformats.org/officeDocument/2006/relationships/hyperlink" Target="https://www.justice.gov/crt-military/employment-rights-userra" TargetMode="External"/><Relationship Id="rId2098" Type="http://schemas.openxmlformats.org/officeDocument/2006/relationships/hyperlink" Target="https://public.fastcase.com/jaEE2PXzRXmZ99jOLMt1Ii3GHq1DqUk6JcIatDazVs2MT6qOPN%2BlSHCpyD6INecs?utm_medium=email&amp;_hsenc=p2ANqtz--mlDS8haOQgu8WvAgxTOdChC-L5bDfnY4D7GnlMH_0KI2lqvAqiMoF8QlUmIn8nD4qRtsgkZAeTqUVI7tJfHdW7459rg&amp;_hsmi=226712652&amp;utm_content=226712652&amp;utm_source=hs_email" TargetMode="External"/><Relationship Id="rId277" Type="http://schemas.openxmlformats.org/officeDocument/2006/relationships/hyperlink" Target="https://public.fastcase.com/Wl%2B2t%2BeVuI35%2FN70vAMFZnSQz8BzpEWSl4qvcEU%2FNgbENUBBcIuF0iEqrodjguq8" TargetMode="External"/><Relationship Id="rId484" Type="http://schemas.openxmlformats.org/officeDocument/2006/relationships/hyperlink" Target="https://www.revisor.mn.gov/statutes/cite/604.06" TargetMode="External"/><Relationship Id="rId2165" Type="http://schemas.openxmlformats.org/officeDocument/2006/relationships/hyperlink" Target="https://www.cbsnews.com/colorado/news/aurora-colorado-paramedic-peter-cichuniec-sentenced-elijah-mcclain/" TargetMode="External"/><Relationship Id="rId137" Type="http://schemas.openxmlformats.org/officeDocument/2006/relationships/hyperlink" Target="https://www.law.cornell.edu/wex/federal_rules_of_evidence" TargetMode="External"/><Relationship Id="rId344" Type="http://schemas.openxmlformats.org/officeDocument/2006/relationships/hyperlink" Target="https://cases.justia.com/illinois/court-of-appeals-fifth-appellate-district/2019-5-18-0064.pdf?ts=1553818548" TargetMode="External"/><Relationship Id="rId691" Type="http://schemas.openxmlformats.org/officeDocument/2006/relationships/hyperlink" Target="https://casetext.com/statute/california-codes/california-penal-code/part-2-of-criminal-procedure/title-6-pleadings-and-proceedings-before-trial/chapter-28a-diversion-of-individuals-with-mental-disorders/section-100136-pretrial-diversion-for-persons-with-mental-disorders" TargetMode="External"/><Relationship Id="rId789" Type="http://schemas.openxmlformats.org/officeDocument/2006/relationships/hyperlink" Target="https://www.law.cornell.edu/definitions/uscode.php?width=840&amp;height=800&amp;iframe=true&amp;def_id=8-USC-2032517217-1201680101&amp;term_occur=999&amp;term_src=" TargetMode="External"/><Relationship Id="rId996" Type="http://schemas.openxmlformats.org/officeDocument/2006/relationships/hyperlink" Target="https://www.courts.michigan.gov/4a237a/siteassets/case-documents/uploads/opinions/final/coa/20220728_c356829_27_356829.opn.pdf" TargetMode="External"/><Relationship Id="rId2025" Type="http://schemas.openxmlformats.org/officeDocument/2006/relationships/hyperlink" Target="https://cases.justia.com/michigan/court-of-appeals-unpublished/2026-377838.pdf?ts=1784293205" TargetMode="External"/><Relationship Id="rId2372" Type="http://schemas.openxmlformats.org/officeDocument/2006/relationships/hyperlink" Target="https://www.wkbn.com/news/coronavirus/dewine-signs-law-giving-covid-19-lawsuit-immunity/" TargetMode="External"/><Relationship Id="rId2677" Type="http://schemas.openxmlformats.org/officeDocument/2006/relationships/hyperlink" Target="https://cases.justia.com/north-carolina/court-of-appeals/2023-22-259.pdf?ts=1694553709" TargetMode="External"/><Relationship Id="rId2884" Type="http://schemas.openxmlformats.org/officeDocument/2006/relationships/hyperlink" Target="https://www.courtnewsohio.gov/cases/2023/SCO/0829/220988.asp" TargetMode="External"/><Relationship Id="rId551" Type="http://schemas.openxmlformats.org/officeDocument/2006/relationships/hyperlink" Target="https://casetext.com/case/oneal-v-city-of-hutchinson" TargetMode="External"/><Relationship Id="rId649" Type="http://schemas.openxmlformats.org/officeDocument/2006/relationships/hyperlink" Target="https://pubs.acs.org/doi/10.1021/cen-09438-notw2" TargetMode="External"/><Relationship Id="rId856" Type="http://schemas.openxmlformats.org/officeDocument/2006/relationships/hyperlink" Target="https://in.reuters.com/article/usa-court-iran/u-s-top-court-forbids-seizure-of-ancient-persian-artifacts-idINKCN1G51ZY" TargetMode="External"/><Relationship Id="rId1181" Type="http://schemas.openxmlformats.org/officeDocument/2006/relationships/hyperlink" Target="https://codes.ohio.gov/ohio-revised-code/section-742.38" TargetMode="External"/><Relationship Id="rId1279" Type="http://schemas.openxmlformats.org/officeDocument/2006/relationships/hyperlink" Target="https://mdcourts.gov/data/opinions/cosa/2020/3381s18.pdf" TargetMode="External"/><Relationship Id="rId1486" Type="http://schemas.openxmlformats.org/officeDocument/2006/relationships/hyperlink" Target="https://www.law.com/nationallawjournal/2019/02/22/11th-circuit-pregnancy-bias-case-tests-2015-supreme-court-ruling/" TargetMode="External"/><Relationship Id="rId2232" Type="http://schemas.openxmlformats.org/officeDocument/2006/relationships/hyperlink" Target="https://public.fastcase.com/J%2FJP6pdidelsXxEE4k%2BLMjJGU1N13mSM0FXq6MPMgI9LSFCmdWs1UmdxMrMk65JbGuZGkm2byIyaUDFttOOFNnpFfmnrOgyejNkkQ3Wd5bI%3D?utm_medium=email&amp;_hsmi=226712652&amp;_hsenc=p2ANqtz--0Qd6DUvdEJ2RTs9adtgmCzU05IEXqUBeE6HSsIcsSfVoNrdaOOcnlphoE_fH7sdYgnejI_LAktN6WZtOuiqSz8dg1eg&amp;utm_content=226712652&amp;utm_source=hs_email" TargetMode="External"/><Relationship Id="rId2537" Type="http://schemas.openxmlformats.org/officeDocument/2006/relationships/hyperlink" Target="https://public.fastcase.com/Wl%2B2t%2BeVuI35%2FN70vAMFZlfrbL2Iv9t8X190JkA%2BKSgGR212V5tgaR0%2FcTyilOxc" TargetMode="External"/><Relationship Id="rId204" Type="http://schemas.openxmlformats.org/officeDocument/2006/relationships/hyperlink" Target="https://news.wosu.org/politics-government/2022-06-13/ohio-governor-signs-bill-allowing-armed-school-employees" TargetMode="External"/><Relationship Id="rId411" Type="http://schemas.openxmlformats.org/officeDocument/2006/relationships/hyperlink" Target="https://cases.justia.com/federal/district-courts/maryland/mddce/1:2025cv00796/578117/19/0.pdf?ts=1771692701" TargetMode="External"/><Relationship Id="rId509" Type="http://schemas.openxmlformats.org/officeDocument/2006/relationships/hyperlink" Target="https://casetext.com/statute/california-codes/california-civil-code/division-3-obligations/part-3-obligations-imposed-by-law/section-17149-injury-to-peace-officer-firefighter-or-emergency-medical-personnel" TargetMode="External"/><Relationship Id="rId1041" Type="http://schemas.openxmlformats.org/officeDocument/2006/relationships/hyperlink" Target="https://www.nycourts.gov/reporter/current/3dseries/2026/2026_03970.shtml" TargetMode="External"/><Relationship Id="rId1139" Type="http://schemas.openxmlformats.org/officeDocument/2006/relationships/hyperlink" Target="https://casetext.com/case/clark-v-town-of-waterford-1" TargetMode="External"/><Relationship Id="rId1346" Type="http://schemas.openxmlformats.org/officeDocument/2006/relationships/hyperlink" Target="https://www.mass.gov/doc/robinson-v-marshfield-sjc-f13825/download" TargetMode="External"/><Relationship Id="rId1693" Type="http://schemas.openxmlformats.org/officeDocument/2006/relationships/hyperlink" Target="https://cases.justia.com/federal/appellate-courts/ca11/22-10002/22-10002-2023-10-11.pdf?ts=1697045568" TargetMode="External"/><Relationship Id="rId1998" Type="http://schemas.openxmlformats.org/officeDocument/2006/relationships/hyperlink" Target="https://www.lexipol.com/resources/blog/can-fire-departments-prohibit-firefighter-off-duty-medical-marijuana-use/" TargetMode="External"/><Relationship Id="rId2744" Type="http://schemas.openxmlformats.org/officeDocument/2006/relationships/hyperlink" Target="https://codes.ohio.gov/ohio-revised-code/section-2903.31" TargetMode="External"/><Relationship Id="rId2951" Type="http://schemas.openxmlformats.org/officeDocument/2006/relationships/hyperlink" Target="https://www.op-f.org/files/mgdrop.pdf" TargetMode="External"/><Relationship Id="rId716" Type="http://schemas.openxmlformats.org/officeDocument/2006/relationships/hyperlink" Target="https://www.cdcr.ca.gov/facility-locator/conservation-camps/camps/" TargetMode="External"/><Relationship Id="rId923" Type="http://schemas.openxmlformats.org/officeDocument/2006/relationships/hyperlink" Target="https://www.supremecourt.gov/opinions/21pdf/20-1668_19m2.pdf" TargetMode="External"/><Relationship Id="rId1553" Type="http://schemas.openxmlformats.org/officeDocument/2006/relationships/hyperlink" Target="https://cases.justia.com/federal/district-courts/texas/txedce/4:2022cv00397/214410/28/0.pdf?ts=1692978420" TargetMode="External"/><Relationship Id="rId1760" Type="http://schemas.openxmlformats.org/officeDocument/2006/relationships/hyperlink" Target="https://www.dol.gov/sites/dolgov/files/WHD/legacy/files/fab_2020_8.pdf" TargetMode="External"/><Relationship Id="rId1858" Type="http://schemas.openxmlformats.org/officeDocument/2006/relationships/hyperlink" Target="https://www.law.cornell.edu/uscode/text/29/216" TargetMode="External"/><Relationship Id="rId2604" Type="http://schemas.openxmlformats.org/officeDocument/2006/relationships/hyperlink" Target="https://public.fastcase.com/jaEE2PXzRXmZ99jOLMt1Io06bpL9%2FLcVXr53aaIUyQvAP5%2BtJH87Oz9onDjzcythnenHIV2f708%2FwR4gt4qkO1f7jeRt%2FKEtj1yUDHm75oU%3D?utm_medium=email&amp;_hsenc=p2ANqtz-_2UmH9uPWr2Na6-FEToPkSf6GcL7PU5KfrxYC2lQgS-z6zkFrF54nulArls3PhR-gkNqFrsBzQlt3BvLsHbxpWeUso_A&amp;_hsmi=226712652&amp;utm_content=226712652&amp;utm_source=hs_email" TargetMode="External"/><Relationship Id="rId2811" Type="http://schemas.openxmlformats.org/officeDocument/2006/relationships/hyperlink" Target="https://law.justia.com/codes/louisiana/2012/rs/title33/rs33-2181/" TargetMode="External"/><Relationship Id="rId52" Type="http://schemas.openxmlformats.org/officeDocument/2006/relationships/hyperlink" Target="https://www.cincinnati-oh.gov/fire/recruiting/requirements-to-apply/" TargetMode="External"/><Relationship Id="rId1206" Type="http://schemas.openxmlformats.org/officeDocument/2006/relationships/hyperlink" Target="https://www.lasc.org/Opinions/2021/20-1231.C.OPN.pdf" TargetMode="External"/><Relationship Id="rId1413" Type="http://schemas.openxmlformats.org/officeDocument/2006/relationships/hyperlink" Target="https://www2.ca3.uscourts.gov/opinarch/213272np.pdf" TargetMode="External"/><Relationship Id="rId1620" Type="http://schemas.openxmlformats.org/officeDocument/2006/relationships/hyperlink" Target="https://public.fastcase.com/Wl%2B2t%2BeVuI35%2FN70vAMFZkzhJOnk32e7%2BdWn1xTx2jApuUgRdcLBLFJLG9W4RHCQ" TargetMode="External"/><Relationship Id="rId2909" Type="http://schemas.openxmlformats.org/officeDocument/2006/relationships/hyperlink" Target="https://www.leagle.com/decision/inohco20220627386" TargetMode="External"/><Relationship Id="rId1718" Type="http://schemas.openxmlformats.org/officeDocument/2006/relationships/hyperlink" Target="https://casetext.com/case/frost-v-provident-life-and-accident-insurance-co-1" TargetMode="External"/><Relationship Id="rId1925" Type="http://schemas.openxmlformats.org/officeDocument/2006/relationships/hyperlink" Target="https://flcourts-media.flcourts.gov/content/download/2492932/opinion/Opinion_2025-0115.pdf" TargetMode="External"/><Relationship Id="rId299" Type="http://schemas.openxmlformats.org/officeDocument/2006/relationships/hyperlink" Target="https://public.fastcase.com/Wl%2B2t%2BeVuI35%2FN70vAMFZg2BMAXQvmThuD9oRUd4r3OTVcwOC01J7TzGKhK5Lojo" TargetMode="External"/><Relationship Id="rId2187" Type="http://schemas.openxmlformats.org/officeDocument/2006/relationships/hyperlink" Target="https://www.courts.maine.gov/courts/sjc/lawcourt/2024/24me012.pdf" TargetMode="External"/><Relationship Id="rId2394" Type="http://schemas.openxmlformats.org/officeDocument/2006/relationships/hyperlink" Target="http://www.ca5.uscourts.gov/opinions/pub/19/19-10280-CV0.pdf" TargetMode="External"/><Relationship Id="rId159" Type="http://schemas.openxmlformats.org/officeDocument/2006/relationships/hyperlink" Target="https://caselaw.findlaw.com/court/wi-court-of-appeals/115735506.html" TargetMode="External"/><Relationship Id="rId366" Type="http://schemas.openxmlformats.org/officeDocument/2006/relationships/hyperlink" Target="https://www.supremecourt.ohio.gov/rod/docs/pdf/0/2018/2018-Ohio-3721.pdf" TargetMode="External"/><Relationship Id="rId573" Type="http://schemas.openxmlformats.org/officeDocument/2006/relationships/hyperlink" Target="http://www.leg.state.fl.us/statutes/index.cfm?App_mode=Display_Statute&amp;Search_String=&amp;URL=0100-0199/0112/Sections/0112.182.html" TargetMode="External"/><Relationship Id="rId780" Type="http://schemas.openxmlformats.org/officeDocument/2006/relationships/hyperlink" Target="https://www.law.cornell.edu/definitions/uscode.php?width=840&amp;height=800&amp;iframe=true&amp;def_id=8-USC-2032517217-1201680101&amp;term_occur=999&amp;term_src=" TargetMode="External"/><Relationship Id="rId2047" Type="http://schemas.openxmlformats.org/officeDocument/2006/relationships/hyperlink" Target="https://cases.justia.com/idaho/supreme-court-criminal/2026-51595.pdf?ts=1778169780" TargetMode="External"/><Relationship Id="rId2254" Type="http://schemas.openxmlformats.org/officeDocument/2006/relationships/hyperlink" Target="https://public.fastcase.com/J%2FJP6pdidelsXxEE4k%2BLMs47M8bX1jWCTU1t0SYWR19Iu9IUPatjWgRJl3RKX2DrLTQazC1ae%2FBWEsyi8L93eaS1AKPtR90SvCK0pYsfZI4%3D" TargetMode="External"/><Relationship Id="rId2461" Type="http://schemas.openxmlformats.org/officeDocument/2006/relationships/hyperlink" Target="https://cases.justia.com/federal/appellate-courts/ca5/25-60108/25-60108-2026-07-21.pdf?ts=1784680232" TargetMode="External"/><Relationship Id="rId2699" Type="http://schemas.openxmlformats.org/officeDocument/2006/relationships/hyperlink" Target="https://law.justia.com/cases/federal/appellate-courts/ca6/21-3832/21-3832-2023-01-25.html" TargetMode="External"/><Relationship Id="rId3000" Type="http://schemas.openxmlformats.org/officeDocument/2006/relationships/hyperlink" Target="https://www.hannah.com/ShowDocument.aspx?BTextID=219206" TargetMode="External"/><Relationship Id="rId226" Type="http://schemas.openxmlformats.org/officeDocument/2006/relationships/hyperlink" Target="https://www.law.cornell.edu/supct/html/90-5721.ZO.html" TargetMode="External"/><Relationship Id="rId433" Type="http://schemas.openxmlformats.org/officeDocument/2006/relationships/hyperlink" Target="https://www.nbcnewyork.com/news/local/father-son-sentenced-to-probation-in-deadly-spring-valley-fire-that-killed-2/4696054/" TargetMode="External"/><Relationship Id="rId878" Type="http://schemas.openxmlformats.org/officeDocument/2006/relationships/hyperlink" Target="https://cases.justia.com/federal/district-courts/federal-claims/cofce/1:2022cv01201/46126/27/0.pdf?ts=1728477951" TargetMode="External"/><Relationship Id="rId1063" Type="http://schemas.openxmlformats.org/officeDocument/2006/relationships/hyperlink" Target="https://www.govinfo.gov/content/pkg/USCOURTS-ncwd-5_24-cv-00192/pdf/USCOURTS-ncwd-5_24-cv-00192-1.pdf" TargetMode="External"/><Relationship Id="rId1270" Type="http://schemas.openxmlformats.org/officeDocument/2006/relationships/hyperlink" Target="https://law.justia.com/cases/washington/court-of-appeals-division-ii/2020/52908-4.html" TargetMode="External"/><Relationship Id="rId2114" Type="http://schemas.openxmlformats.org/officeDocument/2006/relationships/hyperlink" Target="https://cases.justia.com/federal/district-courts/pennsylvania/paedce/2:2023cv00155/604825/106/0.pdf?ts=1739281859" TargetMode="External"/><Relationship Id="rId2559" Type="http://schemas.openxmlformats.org/officeDocument/2006/relationships/hyperlink" Target="https://www.oyez.org/cases/1967/510" TargetMode="External"/><Relationship Id="rId2766" Type="http://schemas.openxmlformats.org/officeDocument/2006/relationships/hyperlink" Target="https://www.lasc.org/Opinions/2020/20-0491.CC.OPN.pdf" TargetMode="External"/><Relationship Id="rId2973" Type="http://schemas.openxmlformats.org/officeDocument/2006/relationships/hyperlink" Target="https://casetext.com/case/perez-v-mortg-bankers-assn" TargetMode="External"/><Relationship Id="rId640" Type="http://schemas.openxmlformats.org/officeDocument/2006/relationships/hyperlink" Target="https://www.supremecourt.gov/opinions/25pdf/25-1083_f204.pdf" TargetMode="External"/><Relationship Id="rId738" Type="http://schemas.openxmlformats.org/officeDocument/2006/relationships/hyperlink" Target="https://www.justice.gov/opa/speech/deputy-attorney-general-lisa-o-monaco-delivers-remarks-atf-academy-graduation" TargetMode="External"/><Relationship Id="rId945" Type="http://schemas.openxmlformats.org/officeDocument/2006/relationships/hyperlink" Target="http://www.supremecourt.ohio.gov/rod/docs/pdf/5/2018/2018-Ohio-3436.pdf" TargetMode="External"/><Relationship Id="rId1368" Type="http://schemas.openxmlformats.org/officeDocument/2006/relationships/hyperlink" Target="https://www.yahoo.com/news/tell-truth-now-girl-addresses-164857744.html" TargetMode="External"/><Relationship Id="rId1575" Type="http://schemas.openxmlformats.org/officeDocument/2006/relationships/hyperlink" Target="https://public.fastcase.com/J%2FJP6pdidelsXxEE4k%2BLMgHzbJp7ohVf6eJnqqVRZsR3ljYGLWqzA%2BaNrEJEjuoSNSzJxXmSxLQZTPvgqQmcEiF1aE%2BspvM2CCoAx4ikJzY%3D?utm_medium=email&amp;_hsmi=226712652&amp;_hsenc=p2ANqtz-8P0uzvemqlc89p8NGs_MEabF92WO0Yw0J6IjilR3LUZDOGdMMkuiwHYzQhEyPy65nnWBVskQbx-uRxwGqC5jWNg9aYuA&amp;utm_content=226712652&amp;utm_source=hs_email" TargetMode="External"/><Relationship Id="rId1782" Type="http://schemas.openxmlformats.org/officeDocument/2006/relationships/hyperlink" Target="https://www.cafc.uscourts.gov/opinions-orders/23-1823.OPINION.12-12-2025_2618923.pdf" TargetMode="External"/><Relationship Id="rId2321" Type="http://schemas.openxmlformats.org/officeDocument/2006/relationships/hyperlink" Target="https://www.natlawreview.com/article/mandatory-vaccination-policy-lawsuit-update-nurses-take-shot-against-hospital-judge" TargetMode="External"/><Relationship Id="rId2419" Type="http://schemas.openxmlformats.org/officeDocument/2006/relationships/hyperlink" Target="https://www.emsworld.com/article/12091816/language-translation-in-emergencies" TargetMode="External"/><Relationship Id="rId2626" Type="http://schemas.openxmlformats.org/officeDocument/2006/relationships/hyperlink" Target="https://public.fastcase.com/jaEE2PXzRXmZ99jOLMt1IqmI6%2FwIkVosxkHnLXFS%2Fh3vCPBsdexRYsXhu3dcS77RM93%2Fb%2FlmP%2FEht28r%2FEOUuz%2BdIsVF1KqStdKclsmvBXo%3D?utm_medium=email&amp;_hsenc=p2ANqtz-_Dn6dsk63fb2EPfPT1163Ju7zkOyiRsNHg_eV5kST7JoaZI-2AGCvSnryJrMriUeP5UHxNkfyzrDvNunm7WCvoOt678w&amp;_hsmi=226712652&amp;utm_content=226712652&amp;utm_source=hs_email" TargetMode="External"/><Relationship Id="rId2833" Type="http://schemas.openxmlformats.org/officeDocument/2006/relationships/hyperlink" Target="https://cases.justia.com/texas/fourteenth-court-of-appeals/2018-14-17-00156-cv.pdf?ts=1523970132" TargetMode="External"/><Relationship Id="rId74" Type="http://schemas.openxmlformats.org/officeDocument/2006/relationships/hyperlink" Target="https://www.justice.gov/usao-mdla/pr/baton-rouge-man-indicted-use-fire-commit-felony-use-fire-maliciously-damage-property" TargetMode="External"/><Relationship Id="rId500" Type="http://schemas.openxmlformats.org/officeDocument/2006/relationships/hyperlink" Target="https://casetext.com/case/malone-v-jacobs" TargetMode="External"/><Relationship Id="rId805" Type="http://schemas.openxmlformats.org/officeDocument/2006/relationships/hyperlink" Target="https://www.npr.org/2021/03/04/973658292/supreme-court-makes-it-harder-for-undocumented-immigrants-to-fight-deportation" TargetMode="External"/><Relationship Id="rId1130" Type="http://schemas.openxmlformats.org/officeDocument/2006/relationships/hyperlink" Target="https://caselaw.findlaw.com/court/fl-district-court-of-appeal/115346402.html" TargetMode="External"/><Relationship Id="rId1228" Type="http://schemas.openxmlformats.org/officeDocument/2006/relationships/hyperlink" Target="https://www.fox19.com/2020/12/16/kyle-plush-wrongful-death-lawsuit-can-proceed-against-cincinnati-employees-appeals-court-says/" TargetMode="External"/><Relationship Id="rId1435" Type="http://schemas.openxmlformats.org/officeDocument/2006/relationships/hyperlink" Target="https://public.fastcase.com/9SKwsfNqTc6OieYDhNMyM7EtuTmvkEcI7U0T89k%2BFJTh0eKfnpK7LfgjErs00V3IPt4y6nTMDAAfexS5sEGnBSDT8xghzv1Bl3HZnDYTQZc%3D" TargetMode="External"/><Relationship Id="rId1642" Type="http://schemas.openxmlformats.org/officeDocument/2006/relationships/hyperlink" Target="https://apps.fastcase.com/Research/Pages/Document.aspx?LTID=nmuHYWyOr%2b3AQipzJYAFoxfLB3OO%2f59bKxwBTjI1BmfqRzjMCJEWOFBsNDL%2by45wqmfNJlXSpZLawvrJl9FKgwtB%2fUqEuGE56NZQIRJncdz5SsmQ19AY6YoAUqCXNuyg7WjzDpnasAs9GwevnZzP8A%3d%3d&amp;ECF=%2c+434+U.S.+412+(1978)" TargetMode="External"/><Relationship Id="rId1947" Type="http://schemas.openxmlformats.org/officeDocument/2006/relationships/hyperlink" Target="https://public.fastcase.com/jaEE2PXzRXmZ99jOLMt1IkeXMb88bktridCVT2cNJQMzpCQ6GgqcAq9z2DsPb3SV?utm_medium=email&amp;_hsenc=p2ANqtz-85xVo1nyN3HdtXmyEBbnKz3steTpDAfhmpvG3xr6TrZ9DYf7Sn2b546JhEk92EHRSHghCxIzSuD7PvUX919GE5tGfx5g&amp;_hsmi=226712652&amp;utm_content=226712652&amp;utm_source=hs_email" TargetMode="External"/><Relationship Id="rId2900" Type="http://schemas.openxmlformats.org/officeDocument/2006/relationships/hyperlink" Target="https://law.justia.com/cases/new-york/court-of-appeals/2022/95.html" TargetMode="External"/><Relationship Id="rId1502" Type="http://schemas.openxmlformats.org/officeDocument/2006/relationships/hyperlink" Target="https://www.govinfo.gov/content/pkg/USCOURTS-idd-4_24-cv-00303/pdf/USCOURTS-idd-4_24-cv-00303-0.pdf" TargetMode="External"/><Relationship Id="rId1807" Type="http://schemas.openxmlformats.org/officeDocument/2006/relationships/hyperlink" Target="https://www.firefighterovertime.org/2024/11/24/settlement-proposed-for-ma-firefighters-following-2023-flsa-lawsuit/" TargetMode="External"/><Relationship Id="rId290" Type="http://schemas.openxmlformats.org/officeDocument/2006/relationships/hyperlink" Target="https://law.justia.com/cases/washington/court-of-appeals-division-ii/2021/53365-1.html" TargetMode="External"/><Relationship Id="rId388" Type="http://schemas.openxmlformats.org/officeDocument/2006/relationships/hyperlink" Target="https://ilcourtsaudio.blob.core.windows.net/antilles-resources/resources/1c448368-41d4-4c8c-ab9a-5c785b8aaec0/Hidalgo%20v.%20Village%20Of%20Romeoville%202026%20IL%20App%20(3d)%20240676-U.pdf" TargetMode="External"/><Relationship Id="rId2069" Type="http://schemas.openxmlformats.org/officeDocument/2006/relationships/hyperlink" Target="https://public.fastcase.com/Jhe1Qn%2BmJndQYQU6z%2FeNm1LICE259A5ulYHxnw3lcJtDWEaUq57rExGHQXd3hU8EgaPHTdGS%2FRk5aoRP0crRKmeZauTqc6nD5gh3xIKTEMg%3D?utm_medium=email&amp;_hsenc=p2ANqtz-9zYvhQr5QF-kHvOgqVEwwEjeDJW6aa7G89aGppWtTq6GnIfdSTK1neKuS-jEFNuUA2B3hULaVGvwBQIPV_0qoJel6h4w&amp;_hsmi=226712652&amp;utm_content=226712652&amp;utm_source=hs_email" TargetMode="External"/><Relationship Id="rId150" Type="http://schemas.openxmlformats.org/officeDocument/2006/relationships/hyperlink" Target="https://dronelife.com/2024/05/08/michigan-supreme-court-allows-drone-surveillance-evidence-in-civil-case/" TargetMode="External"/><Relationship Id="rId595" Type="http://schemas.openxmlformats.org/officeDocument/2006/relationships/hyperlink" Target="https://www.justice.gov/opa/pr/justice-department-announces-improvements-public-safety-officers-benefits-program" TargetMode="External"/><Relationship Id="rId2276" Type="http://schemas.openxmlformats.org/officeDocument/2006/relationships/hyperlink" Target="https://casetext.com/case/cazares-v-rand" TargetMode="External"/><Relationship Id="rId2483" Type="http://schemas.openxmlformats.org/officeDocument/2006/relationships/hyperlink" Target="https://public.fastcase.com/jaEE2PXzRXmZ99jOLMt1IgF1yYEhvQDwrp3nUQiGNB%2BGSciFeLM%2FmBTuULLxAVc6AJd7N%2FBSzM%2BwBsHVa7Iixu%2BNwJWRs9nDd4Lbk0%2BZyEc%3D?utm_medium=email&amp;_hsenc=p2ANqtz-_AJp8PZettrdOWllyvjduuYkYNLjKGvTo7FG_iUypW4feeCV7HNQpd9yy59szCksxig4Y61bV5hSQSKDqcsmFU4r11KQ&amp;_hsmi=226712652&amp;utm_content=226712652&amp;utm_source=hs_email" TargetMode="External"/><Relationship Id="rId2690" Type="http://schemas.openxmlformats.org/officeDocument/2006/relationships/hyperlink" Target="https://www.justice.gov/opa/pr/former-deputy-us-marshal-sentenced-cyberstalking-perjury-and-obstruction" TargetMode="External"/><Relationship Id="rId248" Type="http://schemas.openxmlformats.org/officeDocument/2006/relationships/hyperlink" Target="https://ohiotimes.news/cincinnati-burglar-arm-fee-struck-down-a-giant-scam-says-lawyer/?doing_wp_cron=1637522583.8115420341491699218750" TargetMode="External"/><Relationship Id="rId455" Type="http://schemas.openxmlformats.org/officeDocument/2006/relationships/hyperlink" Target="https://www.firerescue1.com/legal/judge-tosses-out-lawsuit-from-families-of-baltimore-firefighters-killed-in-2022-blaze?utm_source=delivra&amp;utm_medium=email&amp;utm_campaign=FR1-Daily-12-27-24&amp;utm_id=8279434&amp;dlv-emuid=fed355b8-46a2-4fa4-b55c-4d602dde33c4&amp;dlv-mlid=8279434" TargetMode="External"/><Relationship Id="rId662" Type="http://schemas.openxmlformats.org/officeDocument/2006/relationships/hyperlink" Target="https://www.courthousenews.com/wp-content/uploads/2025/11/santa-clara-v-noem-preliminary-injunction.pdf" TargetMode="External"/><Relationship Id="rId1085" Type="http://schemas.openxmlformats.org/officeDocument/2006/relationships/hyperlink" Target="https://caselaw.findlaw.com/court/la-court-of-appeal/117104839.html" TargetMode="External"/><Relationship Id="rId1292" Type="http://schemas.openxmlformats.org/officeDocument/2006/relationships/hyperlink" Target="https://www.firstrespondercenter.org/cancer/toolsresources/presumptive-legislation-firefighter-cancer-state/" TargetMode="External"/><Relationship Id="rId2136" Type="http://schemas.openxmlformats.org/officeDocument/2006/relationships/hyperlink" Target="https://stlouiscriminaldefense.com/missouri-good-samaritan-law/" TargetMode="External"/><Relationship Id="rId2343" Type="http://schemas.openxmlformats.org/officeDocument/2006/relationships/hyperlink" Target="https://www.cdc.gov/niosh/fire/reports/face200709.html" TargetMode="External"/><Relationship Id="rId2550" Type="http://schemas.openxmlformats.org/officeDocument/2006/relationships/hyperlink" Target="https://www.workcompcentral.com/news/article/id/850f78207bb1c8ba2a379062de5cedbf763208fe" TargetMode="External"/><Relationship Id="rId2788" Type="http://schemas.openxmlformats.org/officeDocument/2006/relationships/hyperlink" Target="https://www.courts.ca.gov/opinions/nonpub/D074721.PDF" TargetMode="External"/><Relationship Id="rId2995" Type="http://schemas.openxmlformats.org/officeDocument/2006/relationships/hyperlink" Target="https://pascrell.house.gov/news/documentsingle.aspx?DocumentID=4933" TargetMode="External"/><Relationship Id="rId108" Type="http://schemas.openxmlformats.org/officeDocument/2006/relationships/hyperlink" Target="https://www.supremecourt.ohio.gov/rod/docs/pdf/8/2024/2024-Ohio-5601.pdf" TargetMode="External"/><Relationship Id="rId315" Type="http://schemas.openxmlformats.org/officeDocument/2006/relationships/hyperlink" Target="https://thehill.com/homenews/senate/503496-republican-rift-opens-up-over-qualified-immunity-for-police" TargetMode="External"/><Relationship Id="rId522" Type="http://schemas.openxmlformats.org/officeDocument/2006/relationships/hyperlink" Target="http://courtswv.gov/Intermediate-Court/memo-decisions/Spring2023/22-ICA-216%20md.pdf" TargetMode="External"/><Relationship Id="rId967" Type="http://schemas.openxmlformats.org/officeDocument/2006/relationships/hyperlink" Target="https://cases.justia.com/north-carolina/court-of-appeals/2025-24-790.pdf?ts=1744808209" TargetMode="External"/><Relationship Id="rId1152" Type="http://schemas.openxmlformats.org/officeDocument/2006/relationships/hyperlink" Target="https://www.socialaw.com/services/slip-opinions/slip-opinion-details/mark-tetreault-vs.-board-of-selectmen-of-lynnfield" TargetMode="External"/><Relationship Id="rId1597" Type="http://schemas.openxmlformats.org/officeDocument/2006/relationships/hyperlink" Target="https://public.fastcase.com/9SKwsfNqTc6OieYDhNMyMxPWhQYM2NMtpEG66qqzAJJdyGEqs31WbWeslV8WX8U%2F%2BJtRUyjyQVulPfpekvhmAP57MQmPUZf7QhfjsZd5wHk%3D" TargetMode="External"/><Relationship Id="rId2203" Type="http://schemas.openxmlformats.org/officeDocument/2006/relationships/hyperlink" Target="https://codes.ohio.gov/ohio-revised-code/section-149.43" TargetMode="External"/><Relationship Id="rId2410" Type="http://schemas.openxmlformats.org/officeDocument/2006/relationships/hyperlink" Target="https://cases.justia.com/federal/district-courts/illinois/ilcdce/1:2017cv01212/69571/44/0.pdf?ts=1567070402" TargetMode="External"/><Relationship Id="rId2648" Type="http://schemas.openxmlformats.org/officeDocument/2006/relationships/hyperlink" Target="https://www.opn.ca6.uscourts.gov/opinions.pdf/24a0201p-06.pdf" TargetMode="External"/><Relationship Id="rId2855" Type="http://schemas.openxmlformats.org/officeDocument/2006/relationships/hyperlink" Target="https://cases.justia.com/texas/fourteenth-court-of-appeals/2025-14-24-00613-cv.pdf?ts=1752594731" TargetMode="External"/><Relationship Id="rId96" Type="http://schemas.openxmlformats.org/officeDocument/2006/relationships/hyperlink" Target="https://cases.justia.com/oregon/court-of-appeals/2025-a181038.pdf?ts=1738179139" TargetMode="External"/><Relationship Id="rId827" Type="http://schemas.openxmlformats.org/officeDocument/2006/relationships/hyperlink" Target="https://supreme.justia.com/cases/federal/us/444/507/" TargetMode="External"/><Relationship Id="rId1012" Type="http://schemas.openxmlformats.org/officeDocument/2006/relationships/hyperlink" Target="https://law.justia.com/cases/mississippi/court-of-appeals/2021/2019-ca-01406-coa.html" TargetMode="External"/><Relationship Id="rId1457" Type="http://schemas.openxmlformats.org/officeDocument/2006/relationships/hyperlink" Target="https://public.fastcase.com/Wl%2B2t%2BeVuI35%2FN70vAMFZvXmXpQwu2GjLh16DzgzKzYNu%2FX9mokAK5AXod7BJ9cF" TargetMode="External"/><Relationship Id="rId1664" Type="http://schemas.openxmlformats.org/officeDocument/2006/relationships/hyperlink" Target="https://cases.justia.com/federal/district-courts/south-carolina/scdce/0:2024cv00826/288831/46/0.pdf" TargetMode="External"/><Relationship Id="rId1871" Type="http://schemas.openxmlformats.org/officeDocument/2006/relationships/hyperlink" Target="https://law.justia.com/cases/federal/district-courts/new-york/nysdce/1:2019cv05773/517969/98/" TargetMode="External"/><Relationship Id="rId2508" Type="http://schemas.openxmlformats.org/officeDocument/2006/relationships/hyperlink" Target="https://ilcourtsaudio.blob.core.windows.net/antilles-resources/resources/92cdfb54-2dda-4342-acee-d86ea11493ea/Szymala%20v.%20Romeoville%20Firefighters%27%20Pension%20Fund,%202023%20IL%20App%20(3d)%20220093-U.pdf" TargetMode="External"/><Relationship Id="rId2715" Type="http://schemas.openxmlformats.org/officeDocument/2006/relationships/hyperlink" Target="https://www.supremecourt.ohio.gov/rod/docs/pdf/5/2022/2022-Ohio-2757.pdf" TargetMode="External"/><Relationship Id="rId2922" Type="http://schemas.openxmlformats.org/officeDocument/2006/relationships/hyperlink" Target="https://www.vindy.com/news/local-news/2021/02/judge-rules-city-treated-fire-union-unfairly/" TargetMode="External"/><Relationship Id="rId1317" Type="http://schemas.openxmlformats.org/officeDocument/2006/relationships/hyperlink" Target="http://www.kwgd.com/ohio-general-assembly-alters-statute-of-limitation-for-workers-compensation-claims" TargetMode="External"/><Relationship Id="rId1524" Type="http://schemas.openxmlformats.org/officeDocument/2006/relationships/hyperlink" Target="https://public.fastcase.com/jaEE2PXzRXmZ99jOLMt1Ih1bY1MIzDyw1U7nvkn0d%2B%2FaFhZR3Gd%2F7kjzaTYbL26VJTUSjJADCaSru%2Bl5NmbtQ7Cz5zh1NuQxuUkDcSWUI8U%3D?utm_medium=email&amp;_hsenc=p2ANqtz-_CCOzgPs_whfplvulLfr2w4HcJ6-0Ih3t3c1pVqqN-_dVSpVNg1X0G63L7_Ww7LMQiA0kuqw-PCcDfPecmXjX4Ld1uNw&amp;_hsmi=226712652&amp;utm_content=226712652&amp;utm_source=hs_email" TargetMode="External"/><Relationship Id="rId1731" Type="http://schemas.openxmlformats.org/officeDocument/2006/relationships/hyperlink" Target="https://law.justia.com/cases/louisiana/supreme-court/2015/2013-c-2878.html" TargetMode="External"/><Relationship Id="rId1969" Type="http://schemas.openxmlformats.org/officeDocument/2006/relationships/hyperlink" Target="https://portal.ct.gov/ag/press-releases/2022-press-releases/ag-tong-compels-purdue-and-sacklers-to-pay-six-billion-to-victims-survivors-and-states" TargetMode="External"/><Relationship Id="rId23" Type="http://schemas.openxmlformats.org/officeDocument/2006/relationships/hyperlink" Target="https://cases.justia.com/iowa/court-of-appeals/2026-25-0805.pdf?ts=1787163745" TargetMode="External"/><Relationship Id="rId1829" Type="http://schemas.openxmlformats.org/officeDocument/2006/relationships/hyperlink" Target="https://www.ca2.uscourts.gov/decisions/isysquery/8e9e3763-33d2-40e3-8df3-c0e92234493d/2/doc/21-2095_opn.pdf" TargetMode="External"/><Relationship Id="rId2298" Type="http://schemas.openxmlformats.org/officeDocument/2006/relationships/hyperlink" Target="https://nmonesource.com/nmos/nmsa/en/item/4422/index.do" TargetMode="External"/><Relationship Id="rId172" Type="http://schemas.openxmlformats.org/officeDocument/2006/relationships/hyperlink" Target="https://public.fastcase.com/ZZhmr5v9wN%2FXOe5IsQ%2FqDx2aoAq%2F1J3XMBw8WA8L1d7o8S2WtY%2BTDnBn3n2%2F0y8X6CyWkgilV2OmVPwbi%2FNntkvFVphnueZifNbADUBhdiU%3D?utm_medium=email&amp;_hsmi=226712652&amp;_hsenc=p2ANqtz--A7cSCsQiKnmkWIbrJV3BH1NDDsIsoOUsxX371tCp7kUULX-TDL4poIpgmi8VFxIZ6Go7w0Api1t7_UP6pxMUzbV5FWQ&amp;utm_content=226712652&amp;utm_source=hs_email" TargetMode="External"/><Relationship Id="rId477" Type="http://schemas.openxmlformats.org/officeDocument/2006/relationships/hyperlink" Target="https://www.osha.gov/ords/imis/establishment.inspection_detail?id=315378885" TargetMode="External"/><Relationship Id="rId684" Type="http://schemas.openxmlformats.org/officeDocument/2006/relationships/hyperlink" Target="https://www.youtube.com/watch?v=DMC7Ntd4d4c" TargetMode="External"/><Relationship Id="rId2060" Type="http://schemas.openxmlformats.org/officeDocument/2006/relationships/hyperlink" Target="https://www.revisor.mn.gov/statutes/cite/595.02" TargetMode="External"/><Relationship Id="rId2158" Type="http://schemas.openxmlformats.org/officeDocument/2006/relationships/hyperlink" Target="http://www.opn.ca6.uscourts.gov/opinions.pdf/08a0140p-06.pdf" TargetMode="External"/><Relationship Id="rId2365" Type="http://schemas.openxmlformats.org/officeDocument/2006/relationships/hyperlink" Target="https://public.fastcase.com/Wl%2B2t%2BeVuI35%2FN70vAMFZkrYpDR4hQ33Ax6oS1aJkCwq%2BUGCyTcW0uJ1XV2sRjwT" TargetMode="External"/><Relationship Id="rId337" Type="http://schemas.openxmlformats.org/officeDocument/2006/relationships/hyperlink" Target="https://cases.justia.com/federal/district-courts/pennsylvania/pawdce/3:2018cv00193/249675/37/0.pdf?ts=1571736238" TargetMode="External"/><Relationship Id="rId891" Type="http://schemas.openxmlformats.org/officeDocument/2006/relationships/hyperlink" Target="https://search.txcourts.gov/SearchMedia.aspx?MediaVersionID=0759d8f0-c4e1-4852-8390-4190cacb89f6&amp;coa=coa10&amp;DT=Opinion&amp;MediaID=dc9d0fad-acea-4603-a120-a6519744d885" TargetMode="External"/><Relationship Id="rId989" Type="http://schemas.openxmlformats.org/officeDocument/2006/relationships/hyperlink" Target="https://casetext.com/case/city-of-houston-v-wilson-1" TargetMode="External"/><Relationship Id="rId2018" Type="http://schemas.openxmlformats.org/officeDocument/2006/relationships/hyperlink" Target="https://www.courts.state.md.us/sites/default/files/unreported-opinions/2605s16.pdf" TargetMode="External"/><Relationship Id="rId2572" Type="http://schemas.openxmlformats.org/officeDocument/2006/relationships/hyperlink" Target="https://caselaw.findlaw.com/court/la-court-of-appeal/118312488.html" TargetMode="External"/><Relationship Id="rId2877" Type="http://schemas.openxmlformats.org/officeDocument/2006/relationships/hyperlink" Target="https://cases.justia.com/ohio/tenth-district-court-of-appeals/2023-23ap-37.pdf?ts=1703012831" TargetMode="External"/><Relationship Id="rId544" Type="http://schemas.openxmlformats.org/officeDocument/2006/relationships/hyperlink" Target="https://www.newyorker.com/news/our-columnists/american-racism-and-the-buffalo-massacre" TargetMode="External"/><Relationship Id="rId751" Type="http://schemas.openxmlformats.org/officeDocument/2006/relationships/hyperlink" Target="https://www.lasc.org/opinions/2022/21-0929.CQ.OPN.pdf" TargetMode="External"/><Relationship Id="rId849" Type="http://schemas.openxmlformats.org/officeDocument/2006/relationships/hyperlink" Target="http://www.ca2.uscourts.gov/decisions/isysquery/8c537d01-8133-4435-b4f6-e87aa585d8e4/1/doc/15-2181_opn_2.pdf" TargetMode="External"/><Relationship Id="rId1174" Type="http://schemas.openxmlformats.org/officeDocument/2006/relationships/hyperlink" Target="https://law.justia.com/cases/california/court-of-appeal/2022/a161575.html" TargetMode="External"/><Relationship Id="rId1381" Type="http://schemas.openxmlformats.org/officeDocument/2006/relationships/hyperlink" Target="https://www.opn.ca6.uscourts.gov/opinions.pdf/23a0264p-06.pdf" TargetMode="External"/><Relationship Id="rId1479" Type="http://schemas.openxmlformats.org/officeDocument/2006/relationships/hyperlink" Target="https://caselaw.findlaw.com/us-supreme-court/436/658.html" TargetMode="External"/><Relationship Id="rId1686" Type="http://schemas.openxmlformats.org/officeDocument/2006/relationships/hyperlink" Target="https://www.supremecourt.gov/DocketPDF/23/23-997/311779/20240528141949268_23-997%20Stanley%20Reply%20In%20Support%20of%20Certiorari.pdf" TargetMode="External"/><Relationship Id="rId2225" Type="http://schemas.openxmlformats.org/officeDocument/2006/relationships/hyperlink" Target="https://ilcourtsaudio.blob.core.windows.net/antilles-resources/resources/d0a50835-8b8c-4e4e-96d4-c3b209eadd34/People%20v.%20Peters,%202023%20IL%20App%20(1st)%20211591-U.pdf" TargetMode="External"/><Relationship Id="rId2432" Type="http://schemas.openxmlformats.org/officeDocument/2006/relationships/hyperlink" Target="http://www.opn.ca6.uscourts.gov/opinions.pdf/18a0499n-06.pdf" TargetMode="External"/><Relationship Id="rId404" Type="http://schemas.openxmlformats.org/officeDocument/2006/relationships/hyperlink" Target="https://www.firehero.org/fallen-firefighter/jared-c-lloyd/" TargetMode="External"/><Relationship Id="rId611" Type="http://schemas.openxmlformats.org/officeDocument/2006/relationships/hyperlink" Target="http://www.illinoiscourts.gov/R23_Orders/WorkersComp/2018/2170447WC_R23.pdf" TargetMode="External"/><Relationship Id="rId1034" Type="http://schemas.openxmlformats.org/officeDocument/2006/relationships/hyperlink" Target="http://www.courts.ca.gov/opinions/nonpub/A154587.PDF" TargetMode="External"/><Relationship Id="rId1241" Type="http://schemas.openxmlformats.org/officeDocument/2006/relationships/hyperlink" Target="https://www.leagle.com/decision/infdco20201228943" TargetMode="External"/><Relationship Id="rId1339" Type="http://schemas.openxmlformats.org/officeDocument/2006/relationships/hyperlink" Target="https://casetext.com/case/new-prime-inc-v-oliveira-1?ref=Sb!ZpcU0M" TargetMode="External"/><Relationship Id="rId1893" Type="http://schemas.openxmlformats.org/officeDocument/2006/relationships/hyperlink" Target="https://www.ems1.com/legal/articles/air-medical-company-agrees-to-78m-settlement-for-overtime-ExknCez8O1D6ZfI4/" TargetMode="External"/><Relationship Id="rId2737" Type="http://schemas.openxmlformats.org/officeDocument/2006/relationships/hyperlink" Target="https://www.firehouse.com/careers-education/article/12253067/altruism-and-the-fire-service-firefighter-education" TargetMode="External"/><Relationship Id="rId2944" Type="http://schemas.openxmlformats.org/officeDocument/2006/relationships/hyperlink" Target="https://www.healthaffairs.org/content/forefront/unpacking-no-surprises-act-opportunity-protect-millions" TargetMode="External"/><Relationship Id="rId709" Type="http://schemas.openxmlformats.org/officeDocument/2006/relationships/hyperlink" Target="https://casetext.com/case/quinn-v-the-bd-of-trs-of-fire-dept-of-city-of-ny-pension-fund" TargetMode="External"/><Relationship Id="rId916" Type="http://schemas.openxmlformats.org/officeDocument/2006/relationships/hyperlink" Target="https://cdn.ca9.uscourts.gov/datastore/opinions/2021/12/17/20-35868.pdf" TargetMode="External"/><Relationship Id="rId1101" Type="http://schemas.openxmlformats.org/officeDocument/2006/relationships/hyperlink" Target="https://cases.justia.com/ohio/tenth-district-court-of-appeals/2024-22ap-431.pdf?ts=1728583884" TargetMode="External"/><Relationship Id="rId1546" Type="http://schemas.openxmlformats.org/officeDocument/2006/relationships/hyperlink" Target="https://news.bloomberglaw.com/us-law-week/black-ex-firefighter-barred-from-bringing-racial-bias-lawsuit" TargetMode="External"/><Relationship Id="rId1753" Type="http://schemas.openxmlformats.org/officeDocument/2006/relationships/hyperlink" Target="https://caselaw.findlaw.com/court/us-dis-crt-d-con/115860244.html" TargetMode="External"/><Relationship Id="rId1960" Type="http://schemas.openxmlformats.org/officeDocument/2006/relationships/hyperlink" Target="https://www.understandingtheada.com/blog/2015/02/03/addiction-ada-current-user-safe-harbor/" TargetMode="External"/><Relationship Id="rId2804" Type="http://schemas.openxmlformats.org/officeDocument/2006/relationships/hyperlink" Target="https://www.phoenix.gov/firesite/Documents/fire_mp_10518.pdf" TargetMode="External"/><Relationship Id="rId45" Type="http://schemas.openxmlformats.org/officeDocument/2006/relationships/hyperlink" Target="https://www.youtube.com/watch?v=lqmk210Y9sk" TargetMode="External"/><Relationship Id="rId1406" Type="http://schemas.openxmlformats.org/officeDocument/2006/relationships/hyperlink" Target="https://public.fastcase.com/ZZhmr5v9wN%2FXOe5IsQ%2FqDyz5rhb%2FyBrIG8Au%2Ft3V919eqRG814zcJAmxY3jo6zPUS7MBeKfAuG868JSXjuCSoaubFv3fklmg5wPl%2B%2FhuGG8%3D?utm_medium=email&amp;_hsmi=226712652&amp;_hsenc=p2ANqtz-_V_ICNjbd2RZxHYCrc4la9bLeUstsyddFe2y3dzHQoT8LejGxKFn7KSEl6HhmqEbKKnasxkhMyKJsJTXSn_Oay7PK5pg&amp;utm_content=226712652&amp;utm_source=hs_email" TargetMode="External"/><Relationship Id="rId1613" Type="http://schemas.openxmlformats.org/officeDocument/2006/relationships/hyperlink" Target="https://casetext.com/case/saade-v-city-of-detroit-1" TargetMode="External"/><Relationship Id="rId1820" Type="http://schemas.openxmlformats.org/officeDocument/2006/relationships/hyperlink" Target="https://webapps.dol.gov/elaws/whd/flsa/hoursworked/screenEE4.asp" TargetMode="External"/><Relationship Id="rId194" Type="http://schemas.openxmlformats.org/officeDocument/2006/relationships/hyperlink" Target="https://www.leagle.com/decision/infdco20230413c44" TargetMode="External"/><Relationship Id="rId1918" Type="http://schemas.openxmlformats.org/officeDocument/2006/relationships/hyperlink" Target="https://www.dol.gov/whd/opinion/FLSA/2018/2018_11_08_24_FLSA.pdf" TargetMode="External"/><Relationship Id="rId2082" Type="http://schemas.openxmlformats.org/officeDocument/2006/relationships/hyperlink" Target="https://www.pacourts.us/assets/opinions/Superior/out/J-A19045-25m%20-%20106549181332513446.pdf?cb=1" TargetMode="External"/><Relationship Id="rId261" Type="http://schemas.openxmlformats.org/officeDocument/2006/relationships/hyperlink" Target="https://casetext.com/case/ciempa-v-city-of-del-city" TargetMode="External"/><Relationship Id="rId499" Type="http://schemas.openxmlformats.org/officeDocument/2006/relationships/hyperlink" Target="https://casetext.com/case/theodoreu-v-chester-fire-district" TargetMode="External"/><Relationship Id="rId2387" Type="http://schemas.openxmlformats.org/officeDocument/2006/relationships/hyperlink" Target="https://courts.illinois.gov/R23_Orders/AppellateCourt/2020/1stDistrict/1172189_R23.pdf" TargetMode="External"/><Relationship Id="rId2594" Type="http://schemas.openxmlformats.org/officeDocument/2006/relationships/hyperlink" Target="https://www.wkyc.com/article/news/local/lorain-county/3news-investigates-avon-lake-terminates-fire-chief-investigation-into-workplace-conduct-leadership/95-a94cb6d7-c3ff-4355-be21-18103dc8f3f4" TargetMode="External"/><Relationship Id="rId359" Type="http://schemas.openxmlformats.org/officeDocument/2006/relationships/hyperlink" Target="https://www.supremecourt.gov/opinions/18pdf/17-1660_5ifl.pdf" TargetMode="External"/><Relationship Id="rId566" Type="http://schemas.openxmlformats.org/officeDocument/2006/relationships/hyperlink" Target="https://www.nbcphiladelphia.com/news/local/woman-gets-30-years-in-arson-that-killed-3-delaware-firefighters/2260369/" TargetMode="External"/><Relationship Id="rId773" Type="http://schemas.openxmlformats.org/officeDocument/2006/relationships/hyperlink" Target="https://www.cincinnati.com/story/news/2019/08/05/how-dayton-shooting-happened-maps-video-and-graphics/1923063001/" TargetMode="External"/><Relationship Id="rId1196" Type="http://schemas.openxmlformats.org/officeDocument/2006/relationships/hyperlink" Target="https://www.cleveland.com/metro/2013/08/cleveland_fire_chief_daryl_mcg.html" TargetMode="External"/><Relationship Id="rId2247" Type="http://schemas.openxmlformats.org/officeDocument/2006/relationships/hyperlink" Target="https://www.law.cornell.edu/definitions/uscode.php?width=840&amp;height=800&amp;iframe=true&amp;def_id=42-USC-638938755-1009355610&amp;term_occur=999&amp;term_src=" TargetMode="External"/><Relationship Id="rId2454" Type="http://schemas.openxmlformats.org/officeDocument/2006/relationships/hyperlink" Target="https://casetext.com/case/city-of-tucson-v-the-indus-commn-of-ariz" TargetMode="External"/><Relationship Id="rId2899" Type="http://schemas.openxmlformats.org/officeDocument/2006/relationships/hyperlink" Target="https://law.justia.com/cases/new-york/court-of-appeals/2022/95.html" TargetMode="External"/><Relationship Id="rId121" Type="http://schemas.openxmlformats.org/officeDocument/2006/relationships/hyperlink" Target="https://www.courthousenews.com/wp-content/uploads/2024/09/wholesale-fireworks-ruling.pdf" TargetMode="External"/><Relationship Id="rId219" Type="http://schemas.openxmlformats.org/officeDocument/2006/relationships/hyperlink" Target="https://codes.ohio.gov/ohio-revised-code/section-5589.21" TargetMode="External"/><Relationship Id="rId426" Type="http://schemas.openxmlformats.org/officeDocument/2006/relationships/hyperlink" Target="https://public.fastcase.com/jaEE2PXzRXmZ99jOLMt1ItgJpO3cenZHWG8%2BVkmKxH1HTTAbABiD6rHSJp3pZ1gN%2FmUtcGj1MYmfK4vUiVXj%2F7KJALcf9RQ89nZBN4g9WoM%3D?utm_medium=email&amp;_hsenc=p2ANqtz-8GKw_r7YMLn5ao1TZxs4WqNRhri-535W3eCNA3JduD9CnJg4Ez99C9vjqiY3t5lfrKsWh0EQkMPqhDg1IfFNoFLO22ZQ&amp;_hsmi=226712652&amp;utm_content=226712652&amp;utm_source=hs_email" TargetMode="External"/><Relationship Id="rId633" Type="http://schemas.openxmlformats.org/officeDocument/2006/relationships/hyperlink" Target="https://www.doj.state.or.us/wp-content/uploads/2026/07/ECF-122-Memorandum-and-Order-on-Ps-MSJ-and-Ds-MTD.pdf" TargetMode="External"/><Relationship Id="rId980" Type="http://schemas.openxmlformats.org/officeDocument/2006/relationships/hyperlink" Target="https://cases.justia.com/texas/first-court-of-appeals/2023-01-22-00496-cv.pdf?ts=1703769793" TargetMode="External"/><Relationship Id="rId1056" Type="http://schemas.openxmlformats.org/officeDocument/2006/relationships/hyperlink" Target="https://thedailyrecord.com/files/2025/12/1167s24.pdf" TargetMode="External"/><Relationship Id="rId1263" Type="http://schemas.openxmlformats.org/officeDocument/2006/relationships/hyperlink" Target="https://public.fastcase.com/Wl%2B2t%2BeVuI35%2FN70vAMFZt8kW6J16QTt9TZ%2FuwcLGfAQlmvmDCIs7SYJL9UeqqRt" TargetMode="External"/><Relationship Id="rId2107" Type="http://schemas.openxmlformats.org/officeDocument/2006/relationships/hyperlink" Target="https://cdn.ca9.uscourts.gov/datastore/memoranda/2025/04/30/24-3195.pdf" TargetMode="External"/><Relationship Id="rId2314" Type="http://schemas.openxmlformats.org/officeDocument/2006/relationships/hyperlink" Target="https://www.youtube.com/watch?v=DDCANExSv1Q" TargetMode="External"/><Relationship Id="rId2661" Type="http://schemas.openxmlformats.org/officeDocument/2006/relationships/hyperlink" Target="https://public.fastcase.com/H1P9uiW3J20SFp%2BGCG%2BxLYnumIVIfsGACQtvjphi2XY03JuMe7fj8LYdA6mgqlK3BbmtQ%2FoJ5o3JnUu66xez4U0Yi6wQOqSsnYT7%2FU1%2BNuI%3D?utm_medium=email&amp;_hsmi=226712652&amp;_hsenc=p2ANqtz-_mOZCnm_LbXEmI1zB76drE4EDUF13YglxTvTeEnBHhjbPE-34_IMopnnbUF8mE8HxS5G0Ftb4dM_ZSxt2dhhqJsyxB9A&amp;utm_content=226712652&amp;utm_source=hs_email" TargetMode="External"/><Relationship Id="rId2759" Type="http://schemas.openxmlformats.org/officeDocument/2006/relationships/hyperlink" Target="https://public.fastcase.com/" TargetMode="External"/><Relationship Id="rId2966" Type="http://schemas.openxmlformats.org/officeDocument/2006/relationships/hyperlink" Target="https://www.law.cornell.edu/cfr/text/24/291.530" TargetMode="External"/><Relationship Id="rId840" Type="http://schemas.openxmlformats.org/officeDocument/2006/relationships/hyperlink" Target="https://www.law.com/newyorklawjournal/2019/04/25/split-2nd-circuit-panel-finds-outrageous-ice-conduct-revives-activists-removal-suit/" TargetMode="External"/><Relationship Id="rId938" Type="http://schemas.openxmlformats.org/officeDocument/2006/relationships/hyperlink" Target="http://www.westvalleyfire.com/default.asp?pageid=188&amp;deptid=1" TargetMode="External"/><Relationship Id="rId1470" Type="http://schemas.openxmlformats.org/officeDocument/2006/relationships/hyperlink" Target="http://media.ca11.uscourts.gov/opinions/unpub/files/201810640.pdf" TargetMode="External"/><Relationship Id="rId1568" Type="http://schemas.openxmlformats.org/officeDocument/2006/relationships/hyperlink" Target="https://www.supremecourt.gov/opinions/22pdf/20-1199_hgdj.pdf" TargetMode="External"/><Relationship Id="rId1775" Type="http://schemas.openxmlformats.org/officeDocument/2006/relationships/hyperlink" Target="https://www.dol.gov/agencies/whd/fact-sheets/56c-bonuses" TargetMode="External"/><Relationship Id="rId2521" Type="http://schemas.openxmlformats.org/officeDocument/2006/relationships/hyperlink" Target="https://www.ca5.uscourts.gov/opinions/pub/21/21-20085-CV0.pdf" TargetMode="External"/><Relationship Id="rId2619" Type="http://schemas.openxmlformats.org/officeDocument/2006/relationships/hyperlink" Target="https://www.wtol.com/article/news/crime/port-clinton-fire-chief-kent-johnson-sentenced-to-jail-for-sexual-harassment-case/512-0facde5b-63e1-457e-9908-521ed4a422af" TargetMode="External"/><Relationship Id="rId2826" Type="http://schemas.openxmlformats.org/officeDocument/2006/relationships/hyperlink" Target="https://www.ethics.ohio.gov/education/factsheets/InfoSheet1-Nepotism.pdf" TargetMode="External"/><Relationship Id="rId67" Type="http://schemas.openxmlformats.org/officeDocument/2006/relationships/hyperlink" Target="https://cases.justia.com/federal/district-courts/south-carolina/scdce/2:2024cv02173/290787/65/0.pdf?ts=1756990440" TargetMode="External"/><Relationship Id="rId700" Type="http://schemas.openxmlformats.org/officeDocument/2006/relationships/hyperlink" Target="https://www.courthousenews.com/wp-content/uploads/2024/07/LGBTQ-DNC-ordinance-block-denial.pdf" TargetMode="External"/><Relationship Id="rId1123" Type="http://schemas.openxmlformats.org/officeDocument/2006/relationships/hyperlink" Target="https://cases.justia.com/virginia/court-of-appeals-published/2024-0344-23-1.pdf?ts=1706633278" TargetMode="External"/><Relationship Id="rId1330" Type="http://schemas.openxmlformats.org/officeDocument/2006/relationships/hyperlink" Target="https://www.njcourts.gov/attorneys/assets/opinions/appellate/unpublished/a5206-15.pdf?cacheID=tO9Al6f" TargetMode="External"/><Relationship Id="rId1428" Type="http://schemas.openxmlformats.org/officeDocument/2006/relationships/hyperlink" Target="https://www.kktv.com/2022/03/03/biden-sign-bill-ending-forced-arbitration-sexual-harassment-assault-cases/" TargetMode="External"/><Relationship Id="rId1635" Type="http://schemas.openxmlformats.org/officeDocument/2006/relationships/hyperlink" Target="https://cases.justia.com/federal/appellate-courts/ca11/19-10138/19-10138-2019-10-04.pdf?ts=1570197627" TargetMode="External"/><Relationship Id="rId1982" Type="http://schemas.openxmlformats.org/officeDocument/2006/relationships/hyperlink" Target="https://www.fox10tv.com/2022/06/27/mobile-doctors-supreme-court-win-could-impact-other-pill-mill-convictions/" TargetMode="External"/><Relationship Id="rId1842" Type="http://schemas.openxmlformats.org/officeDocument/2006/relationships/hyperlink" Target="https://www.supremecourt.gov/opinions/22pdf/21-984_j426.pdf" TargetMode="External"/><Relationship Id="rId1702" Type="http://schemas.openxmlformats.org/officeDocument/2006/relationships/hyperlink" Target="https://cases.justia.com/federal/district-courts/tennessee/tnmdce/3:2021cv00807/88141/32/0.pdf" TargetMode="External"/><Relationship Id="rId283" Type="http://schemas.openxmlformats.org/officeDocument/2006/relationships/hyperlink" Target="mailto:susan.willeke@ethics.ohio.gov" TargetMode="External"/><Relationship Id="rId490" Type="http://schemas.openxmlformats.org/officeDocument/2006/relationships/hyperlink" Target="https://public.fastcase.com/" TargetMode="External"/><Relationship Id="rId2171" Type="http://schemas.openxmlformats.org/officeDocument/2006/relationships/hyperlink" Target="https://www.woodtv.com/news/nexstar-media-wire/paramedics-charged-with-murder-after-patient-who-was-in-stretcher-face-down-dies/" TargetMode="External"/><Relationship Id="rId143" Type="http://schemas.openxmlformats.org/officeDocument/2006/relationships/hyperlink" Target="https://www.opn.ca6.uscourts.gov/opinions.pdf/24a0323n-06.pdf" TargetMode="External"/><Relationship Id="rId350" Type="http://schemas.openxmlformats.org/officeDocument/2006/relationships/hyperlink" Target="https://cases.justia.com/federal/district-courts/colorado/codce/1:2017cv02034/173671/65/0.pdf?ts=1551517811" TargetMode="External"/><Relationship Id="rId588" Type="http://schemas.openxmlformats.org/officeDocument/2006/relationships/hyperlink" Target="http://www.ca5.uscourts.gov/opinions/pub/17/17-30864-CV1.pdf" TargetMode="External"/><Relationship Id="rId795" Type="http://schemas.openxmlformats.org/officeDocument/2006/relationships/hyperlink" Target="https://www.law.cornell.edu/definitions/uscode.php?width=840&amp;height=800&amp;iframe=true&amp;def_id=8-USC-92903111-1485256781&amp;term_occur=999&amp;term_src=" TargetMode="External"/><Relationship Id="rId2031" Type="http://schemas.openxmlformats.org/officeDocument/2006/relationships/hyperlink" Target="https://public.fastcase.com/Jhe1Qn%2BmJndQYQU6z%2FeNm1ngVbZVwfb9i9nq%2ByxsJt7eYa6Yri%2FXr9veF2mIoPRbBYalWXjl02DPpQ9AYC5%2BzkBbUV9CJV65Gz31ZPaNAhA%3D?utm_medium=email&amp;_hsenc=p2ANqtz--v_X0_ty2KgZc4cuUGDg0UHRgKtD60M90IuqE8DpMJ6uO5aXr8LyUQmZOmsR5mb8hE3f734Ge27BP-t9ynHj9iUX7jKQ&amp;_hsmi=226712652&amp;utm_content=226712652&amp;utm_source=hs_email" TargetMode="External"/><Relationship Id="rId2269" Type="http://schemas.openxmlformats.org/officeDocument/2006/relationships/hyperlink" Target="https://www.dallasobserver.com/news/after-dpd-review-no-charges-filed-against-former-paramedic-who-kicked-mentally-ill-man-13536919" TargetMode="External"/><Relationship Id="rId2476" Type="http://schemas.openxmlformats.org/officeDocument/2006/relationships/hyperlink" Target="https://cases.justia.com/new-york/other-courts/2025-2025-ny-slip-op-33910-u.pdf?ts=1761341305" TargetMode="External"/><Relationship Id="rId2683" Type="http://schemas.openxmlformats.org/officeDocument/2006/relationships/hyperlink" Target="https://public.fastcase.com/ZZhmr5v9wN%2FXOe5IsQ%2FqD51KXiWhfZ5Tknms713VsyNiKeidGSjUYd5fLyeguf86yRHn46LHKSVIqu1aE%2FP%2F4wzm%2Bs9CN3Gxx%2Fta1hJ8xsU%3D?utm_medium=email&amp;_hsmi=226712652&amp;_hsenc=p2ANqtz--6hfqXp_6GwCwKFg5My80cUvTOTZgLDUuB3F-yLygp7svvTJd39SzNL3yXkJv1N0M6expfT3HAdh1FcYblCg0-pEKOfg&amp;utm_content=226712652&amp;utm_source=hs_email" TargetMode="External"/><Relationship Id="rId2890" Type="http://schemas.openxmlformats.org/officeDocument/2006/relationships/hyperlink" Target="https://abc13.com/prop-b-update-houston-firefighter-pay-parity-texas-supreme-court-proposition-struck-down/13057363/" TargetMode="External"/><Relationship Id="rId9" Type="http://schemas.openxmlformats.org/officeDocument/2006/relationships/hyperlink" Target="https://usfa.bibliovation.com/app/work/255508" TargetMode="External"/><Relationship Id="rId210" Type="http://schemas.openxmlformats.org/officeDocument/2006/relationships/hyperlink" Target="https://law.justia.com/cases/new-jersey/appellate-division-published/2022/a-1868-21.html" TargetMode="External"/><Relationship Id="rId448" Type="http://schemas.openxmlformats.org/officeDocument/2006/relationships/hyperlink" Target="https://www.wjtv.com/news/local-news/court-upholds-mans-conviction-for-killing-jackson-firefighter/" TargetMode="External"/><Relationship Id="rId655" Type="http://schemas.openxmlformats.org/officeDocument/2006/relationships/hyperlink" Target="https://ecf.rid.uscourts.gov/cgi-bin/show_public_doc?2025cv0495-53" TargetMode="External"/><Relationship Id="rId862" Type="http://schemas.openxmlformats.org/officeDocument/2006/relationships/hyperlink" Target="https://www.fs.usda.gov/r06/willamette/fire/info/beachie-creek-fire" TargetMode="External"/><Relationship Id="rId1078" Type="http://schemas.openxmlformats.org/officeDocument/2006/relationships/hyperlink" Target="https://cases.justia.com/louisiana/fourth-circuit-court-of-appeal/2025-2024-ca-0747.pdf?ts=1746576943" TargetMode="External"/><Relationship Id="rId1285" Type="http://schemas.openxmlformats.org/officeDocument/2006/relationships/hyperlink" Target="https://www.opn.ca6.uscourts.gov/opinions.pdf/20a0123p-06.pdf" TargetMode="External"/><Relationship Id="rId1492" Type="http://schemas.openxmlformats.org/officeDocument/2006/relationships/hyperlink" Target="https://cases.justia.com/michigan/court-of-appeals-unpublished/2018-339016.pdf?ts=1535720483" TargetMode="External"/><Relationship Id="rId2129" Type="http://schemas.openxmlformats.org/officeDocument/2006/relationships/hyperlink" Target="https://law.justia.com/cases/new-york/appellate-division-second-department/2024/2019-11168.html" TargetMode="External"/><Relationship Id="rId2336" Type="http://schemas.openxmlformats.org/officeDocument/2006/relationships/hyperlink" Target="https://codes.ohio.gov/ohio-revised-code/section-4765.49" TargetMode="External"/><Relationship Id="rId2543" Type="http://schemas.openxmlformats.org/officeDocument/2006/relationships/hyperlink" Target="https://jgpr.net/wp-content/uploads/2020/04/433-MSJ-Order.pdf" TargetMode="External"/><Relationship Id="rId2750" Type="http://schemas.openxmlformats.org/officeDocument/2006/relationships/hyperlink" Target="https://www.mass.gov/news/wellesley-fire-chief-richard-delorie-pays-10000-civil-penalty-for-violating-conflict-of-interest-law" TargetMode="External"/><Relationship Id="rId2988" Type="http://schemas.openxmlformats.org/officeDocument/2006/relationships/hyperlink" Target="https://www.congress.gov/bill/117th-congress/house-bill/4445/text" TargetMode="External"/><Relationship Id="rId308" Type="http://schemas.openxmlformats.org/officeDocument/2006/relationships/hyperlink" Target="https://www.courts.state.md.us/sites/default/files/unreported-opinions/0614s19.pdf" TargetMode="External"/><Relationship Id="rId515" Type="http://schemas.openxmlformats.org/officeDocument/2006/relationships/hyperlink" Target="https://www.anylaw.com/case/smith-v-city-of-atlantic-city-et-al/d-new-jersey/11-28-2023/WMlWRYwBqcoRgE-ICuER" TargetMode="External"/><Relationship Id="rId722" Type="http://schemas.openxmlformats.org/officeDocument/2006/relationships/hyperlink" Target="https://caselaw.findlaw.com/court/us-7th-circuit/114903686.html" TargetMode="External"/><Relationship Id="rId1145" Type="http://schemas.openxmlformats.org/officeDocument/2006/relationships/hyperlink" Target="https://ilcourtsaudio.blob.core.windows.net/antilles-%20resources/resources/467a406e-7cd0-4d26-a9c9-2d169ea7237c/Ivetic%20v.%20Bensenville%20Fire%20Protection%20District%20No.3,%202023%20IL%20App%20(1st)%20220879-U.pdf" TargetMode="External"/><Relationship Id="rId1352" Type="http://schemas.openxmlformats.org/officeDocument/2006/relationships/hyperlink" Target="https://cases.justia.com/federal/district-courts/virginia/vaedce/2:2025cv00255/573201/8/0.pdf?ts=1769187301" TargetMode="External"/><Relationship Id="rId1797" Type="http://schemas.openxmlformats.org/officeDocument/2006/relationships/hyperlink" Target="https://www.dol.gov/sites/dolgov/files/WHD/legacy/files/2008_05_23_08NA_FLSA.pdf" TargetMode="External"/><Relationship Id="rId2403" Type="http://schemas.openxmlformats.org/officeDocument/2006/relationships/hyperlink" Target="https://cases.justia.com/federal/appellate-courts/ca5/18-30932/18-30932-2019-12-17.pdf?ts=1576629071" TargetMode="External"/><Relationship Id="rId2848" Type="http://schemas.openxmlformats.org/officeDocument/2006/relationships/hyperlink" Target="https://cases.justia.com/north-carolina/court-of-appeals/2026-25-761.pdf?ts=1772641555" TargetMode="External"/><Relationship Id="rId89" Type="http://schemas.openxmlformats.org/officeDocument/2006/relationships/hyperlink" Target="https://www.14news.com/2022/08/18/wife-convicted-murderer-both-charged-death-evansville-firefighter/" TargetMode="External"/><Relationship Id="rId1005" Type="http://schemas.openxmlformats.org/officeDocument/2006/relationships/hyperlink" Target="https://www.fireengineering.com/health-safety/tx-firefighter-dies-after-being-struck/" TargetMode="External"/><Relationship Id="rId1212" Type="http://schemas.openxmlformats.org/officeDocument/2006/relationships/hyperlink" Target="https://www.hamiltoncountyohio.gov/UserFiles/Servers/Server_3788196/File/releases/2021/C-200202_04142021.pdf" TargetMode="External"/><Relationship Id="rId1657" Type="http://schemas.openxmlformats.org/officeDocument/2006/relationships/hyperlink" Target="https://cases.justia.com/federal/district-courts/arkansas/aredce/4:2024cv00350/143122/28/0.pdf?ts=1775058402" TargetMode="External"/><Relationship Id="rId1864" Type="http://schemas.openxmlformats.org/officeDocument/2006/relationships/hyperlink" Target="https://www.leagle.com/decision/infdco20210518900" TargetMode="External"/><Relationship Id="rId2610" Type="http://schemas.openxmlformats.org/officeDocument/2006/relationships/hyperlink" Target="https://www.wtsp.com/article/news/local/ex-fire-chief-convicted-in-child-sex-abuse-trial/67-376283027" TargetMode="External"/><Relationship Id="rId2708" Type="http://schemas.openxmlformats.org/officeDocument/2006/relationships/hyperlink" Target="https://www.cbc.ca/news/canada/edmonton/fires-set-by-firefighters-a-long-standing-problem-experts-say-1.3563183" TargetMode="External"/><Relationship Id="rId2915" Type="http://schemas.openxmlformats.org/officeDocument/2006/relationships/hyperlink" Target="https://law.justia.com/cases/federal/district-courts/indiana/inndce/2:2021cv00154/106960/76/" TargetMode="External"/><Relationship Id="rId1517" Type="http://schemas.openxmlformats.org/officeDocument/2006/relationships/hyperlink" Target="https://cases.justia.com/federal/district-courts/kansas/ksdce/2:2023cv02422/149254/113/0.pdf?ts=1756979784" TargetMode="External"/><Relationship Id="rId1724" Type="http://schemas.openxmlformats.org/officeDocument/2006/relationships/hyperlink" Target="https://casetext.com/case/bey-v-city-of-ny-7" TargetMode="External"/><Relationship Id="rId16" Type="http://schemas.openxmlformats.org/officeDocument/2006/relationships/hyperlink" Target="https://doi.org/10.7945/0dwx-fc52" TargetMode="External"/><Relationship Id="rId1931" Type="http://schemas.openxmlformats.org/officeDocument/2006/relationships/hyperlink" Target="https://www.facebook.com/watch/?v=2023629185244531" TargetMode="External"/><Relationship Id="rId2193" Type="http://schemas.openxmlformats.org/officeDocument/2006/relationships/hyperlink" Target="https://www.lohud.com/story/news/local/rockland/2022/08/16/ramapo-valley-ambulance-corps-defunded/65406353007/" TargetMode="External"/><Relationship Id="rId2498" Type="http://schemas.openxmlformats.org/officeDocument/2006/relationships/hyperlink" Target="https://casetext.com/case/mendoza-v-the-city-of-new-york-3" TargetMode="External"/><Relationship Id="rId165" Type="http://schemas.openxmlformats.org/officeDocument/2006/relationships/hyperlink" Target="https://www.courts.state.co.us/userfiles/file/Court_Probation/Supreme_Court/Opinions/2023/23SA12.pdf?utm_source=substack&amp;utm_medium=email" TargetMode="External"/><Relationship Id="rId372" Type="http://schemas.openxmlformats.org/officeDocument/2006/relationships/hyperlink" Target="https://client.prod.iaff.org/" TargetMode="External"/><Relationship Id="rId677" Type="http://schemas.openxmlformats.org/officeDocument/2006/relationships/hyperlink" Target="https://www.supremecourt.gov/opinions/24pdf/24a884_8n59.pdf" TargetMode="External"/><Relationship Id="rId2053" Type="http://schemas.openxmlformats.org/officeDocument/2006/relationships/hyperlink" Target="https://www.ca4.uscourts.gov/opinions/244620.P.pd" TargetMode="External"/><Relationship Id="rId2260" Type="http://schemas.openxmlformats.org/officeDocument/2006/relationships/hyperlink" Target="http://lcapps.co.lucas.oh.us/Courts/Appeals/DecisionsPDF/10196.pdf" TargetMode="External"/><Relationship Id="rId2358" Type="http://schemas.openxmlformats.org/officeDocument/2006/relationships/hyperlink" Target="https://casetext.com/case/maude-v-city-of-phila" TargetMode="External"/><Relationship Id="rId232" Type="http://schemas.openxmlformats.org/officeDocument/2006/relationships/hyperlink" Target="https://law.justia.com/cases/texas/supreme-court/2022/20-0366-0.html" TargetMode="External"/><Relationship Id="rId884" Type="http://schemas.openxmlformats.org/officeDocument/2006/relationships/hyperlink" Target="https://cases.justia.com/federal/appellate-courts/ca5/22-40644/22-40644-2023-10-11.pdf?ts=1697067069" TargetMode="External"/><Relationship Id="rId2120" Type="http://schemas.openxmlformats.org/officeDocument/2006/relationships/hyperlink" Target="https://www4.courts.ca.gov/opinions/nonpub/B334048.PDF" TargetMode="External"/><Relationship Id="rId2565" Type="http://schemas.openxmlformats.org/officeDocument/2006/relationships/hyperlink" Target="https://wtov9.com/news/local/former-mingo-junction-fire-chief-reinstated-after-hearing" TargetMode="External"/><Relationship Id="rId2772" Type="http://schemas.openxmlformats.org/officeDocument/2006/relationships/hyperlink" Target="https://www.opn.ca6.uscourts.gov/opinions.pdf/20a0268p-06.pdf" TargetMode="External"/><Relationship Id="rId537" Type="http://schemas.openxmlformats.org/officeDocument/2006/relationships/hyperlink" Target="https://www.firerescue1.com/fire-ems/articles/texas-firefighter-plunges-20-feet-off-overpass-at-crash-scene-lBARe4alhxd9zIr4/" TargetMode="External"/><Relationship Id="rId744" Type="http://schemas.openxmlformats.org/officeDocument/2006/relationships/hyperlink" Target="https://www.cadc.uscourts.gov/internet/opinions.nsf/55807FB471B60BB08525888E0051AEA6/$file/21-1087-1956978.pdf" TargetMode="External"/><Relationship Id="rId951" Type="http://schemas.openxmlformats.org/officeDocument/2006/relationships/hyperlink" Target="https://www.supremecourt.ohio.gov/rod/docs/pdf/8/2026/2026-Ohio-2189.pdf" TargetMode="External"/><Relationship Id="rId1167" Type="http://schemas.openxmlformats.org/officeDocument/2006/relationships/hyperlink" Target="https://www.supremecourt.gov/opinions/21pdf/20-603_o758.pdf" TargetMode="External"/><Relationship Id="rId1374" Type="http://schemas.openxmlformats.org/officeDocument/2006/relationships/hyperlink" Target="https://codes.ohio.gov/ohio-revised-code/section-4112.021" TargetMode="External"/><Relationship Id="rId1581" Type="http://schemas.openxmlformats.org/officeDocument/2006/relationships/hyperlink" Target="https://abcnews.go.com/US/miami-firefighters-fired-hanging-noose-black-colleagues-family/story?id=50884714" TargetMode="External"/><Relationship Id="rId1679" Type="http://schemas.openxmlformats.org/officeDocument/2006/relationships/hyperlink" Target="https://www.scotusblog.com/case-files/cases/stanley-v-city-of-sanford-florida/" TargetMode="External"/><Relationship Id="rId2218" Type="http://schemas.openxmlformats.org/officeDocument/2006/relationships/hyperlink" Target="https://www.youtube.com/watch?v=GHO2Qjk4XIo" TargetMode="External"/><Relationship Id="rId2425" Type="http://schemas.openxmlformats.org/officeDocument/2006/relationships/hyperlink" Target="https://cases.justia.com/ohio/fourth-district-court-of-appeals/2019-18ca8-5.pdf?ts=1553894129" TargetMode="External"/><Relationship Id="rId2632" Type="http://schemas.openxmlformats.org/officeDocument/2006/relationships/hyperlink" Target="https://www.njcourts.gov/system/files/court-opinions/2025/a1587-23.pdf" TargetMode="External"/><Relationship Id="rId80" Type="http://schemas.openxmlformats.org/officeDocument/2006/relationships/hyperlink" Target="https://www.usfa.fema.gov/prevention/home-fires/prepare-for-fire/smoke-alarms/" TargetMode="External"/><Relationship Id="rId604" Type="http://schemas.openxmlformats.org/officeDocument/2006/relationships/hyperlink" Target="https://www.cdc.gov/niosh/fire/pdfs/face201314.pdf" TargetMode="External"/><Relationship Id="rId811" Type="http://schemas.openxmlformats.org/officeDocument/2006/relationships/hyperlink" Target="https://www.congress.gov/115/plaws/publ232/PLAW-115publ232.pdf" TargetMode="External"/><Relationship Id="rId1027" Type="http://schemas.openxmlformats.org/officeDocument/2006/relationships/hyperlink" Target="http://www.cnn.com/2010/US/01/29/massachusetts.fire.hose.deaths/index.html" TargetMode="External"/><Relationship Id="rId1234" Type="http://schemas.openxmlformats.org/officeDocument/2006/relationships/hyperlink" Target="http://app.leg.wa.gov/RCW/default.aspx?cite=51.08.140" TargetMode="External"/><Relationship Id="rId1441" Type="http://schemas.openxmlformats.org/officeDocument/2006/relationships/hyperlink" Target="https://www.mass.gov/doc/miltimore-boutin-and-kennedy-v-westfield-fire-commission-52121/download" TargetMode="External"/><Relationship Id="rId1886" Type="http://schemas.openxmlformats.org/officeDocument/2006/relationships/hyperlink" Target="https://www.federalregister.gov/documents/2019/12/16/2019-26447/regular-rate-under-the-fair-labor-standards-act" TargetMode="External"/><Relationship Id="rId2937" Type="http://schemas.openxmlformats.org/officeDocument/2006/relationships/hyperlink" Target="https://www.wwnytv.com/story/39893183/watertown-firefighters-win-legal-victory" TargetMode="External"/><Relationship Id="rId909" Type="http://schemas.openxmlformats.org/officeDocument/2006/relationships/hyperlink" Target="https://www.newscentermaine.com/article/news/local/portland/judge-dismisses-wrongful-death-lawsuit-against-city-all-but-one-portland-police-officer-portland-mental-health/97-9cb6ef72-b53c-4614-9d60-2360cbcd1702" TargetMode="External"/><Relationship Id="rId1301" Type="http://schemas.openxmlformats.org/officeDocument/2006/relationships/hyperlink" Target="https://public.fastcase.com/Wl%2B2t%2BeVuI35%2FN70vAMFZi2NtCwkTvdiKyrWKXTmtjwARSxGp50rXf7QoqUpwr%2BO" TargetMode="External"/><Relationship Id="rId1539" Type="http://schemas.openxmlformats.org/officeDocument/2006/relationships/hyperlink" Target="https://apnews.com/article/dei-trump-executive-order-diversity-834a241a60ee92722ef2443b62572540" TargetMode="External"/><Relationship Id="rId1746" Type="http://schemas.openxmlformats.org/officeDocument/2006/relationships/hyperlink" Target="https://cases.justia.com/minnesota/supreme-court/2019-a17-0141.pdf?ts=1551286256" TargetMode="External"/><Relationship Id="rId1953" Type="http://schemas.openxmlformats.org/officeDocument/2006/relationships/hyperlink" Target="https://casetext.com/statute/montana-code/title-2-government-structure-and-administration/chapter-4-administrative-procedure-act/part-7-judicial-review-of-contested-cases/section-2-4-701-immediate-review-of-agency-action" TargetMode="External"/><Relationship Id="rId38" Type="http://schemas.openxmlformats.org/officeDocument/2006/relationships/hyperlink" Target="https://www.courtswv.gov/sites/default/pubfilesmnt/2026-04/24-79%20Memorandum%20Decision.pdf" TargetMode="External"/><Relationship Id="rId1606" Type="http://schemas.openxmlformats.org/officeDocument/2006/relationships/hyperlink" Target="https://news.bloomberglaw.com/daily-labor-report/doj-says-black-ems-captains-can-prove-bias-without-material-harm" TargetMode="External"/><Relationship Id="rId1813" Type="http://schemas.openxmlformats.org/officeDocument/2006/relationships/hyperlink" Target="https://www.ecfr.gov/current/title-29/section-778.200" TargetMode="External"/><Relationship Id="rId187" Type="http://schemas.openxmlformats.org/officeDocument/2006/relationships/hyperlink" Target="https://casetext.com/case/two-bridges-llc-v-city-of-youngstown" TargetMode="External"/><Relationship Id="rId394" Type="http://schemas.openxmlformats.org/officeDocument/2006/relationships/hyperlink" Target="https://www.casemine.com/judgement/us/6a36782a174bb89f9fdb2fa9" TargetMode="External"/><Relationship Id="rId2075" Type="http://schemas.openxmlformats.org/officeDocument/2006/relationships/hyperlink" Target="https://www4.courts.ca.gov/opinions/nonpub/D085716.PDF" TargetMode="External"/><Relationship Id="rId2282" Type="http://schemas.openxmlformats.org/officeDocument/2006/relationships/hyperlink" Target="https://casetext.com/case/brown-v-medscope-am-corp" TargetMode="External"/><Relationship Id="rId254" Type="http://schemas.openxmlformats.org/officeDocument/2006/relationships/hyperlink" Target="https://www.ca2.uscourts.gov/decisions/isysquery/024ad429-f3ca-4195-b401-1dbc5e6424a8/1/doc/20-4211_opn.pdf" TargetMode="External"/><Relationship Id="rId699" Type="http://schemas.openxmlformats.org/officeDocument/2006/relationships/hyperlink" Target="https://ww3.ca2.uscourts.gov/decisions/isysquery/c68b6681-8ae3-446b-8305-2841de8ec224/1/doc/22-2745_opn.pdf" TargetMode="External"/><Relationship Id="rId1091" Type="http://schemas.openxmlformats.org/officeDocument/2006/relationships/hyperlink" Target="https://cases.justia.com/arizona/court-of-appeals-division-two-unpublished/2025-2-ca-ic-2024-0003.pdf?ts=1738026580" TargetMode="External"/><Relationship Id="rId2587" Type="http://schemas.openxmlformats.org/officeDocument/2006/relationships/hyperlink" Target="https://supreme.justia.com/cases/federal/us/578/14-1280/" TargetMode="External"/><Relationship Id="rId2794" Type="http://schemas.openxmlformats.org/officeDocument/2006/relationships/hyperlink" Target="https://www.courts.ca.gov/opinions/nonpub/D074758.PDF" TargetMode="External"/><Relationship Id="rId114" Type="http://schemas.openxmlformats.org/officeDocument/2006/relationships/hyperlink" Target="https://cases.justia.com/pennsylvania/superior-court/2024-1034-mda-2023.pdf?ts=1729535164" TargetMode="External"/><Relationship Id="rId461" Type="http://schemas.openxmlformats.org/officeDocument/2006/relationships/hyperlink" Target="https://casetext.com/case/christensen-v-murphy" TargetMode="External"/><Relationship Id="rId559" Type="http://schemas.openxmlformats.org/officeDocument/2006/relationships/hyperlink" Target="https://www.supremecourt.ohio.gov/rod/docs/pdf/0/2021/2021-Ohio-2067.pdf" TargetMode="External"/><Relationship Id="rId766" Type="http://schemas.openxmlformats.org/officeDocument/2006/relationships/hyperlink" Target="https://www.law.cornell.edu/definitions/uscode.php?width=840&amp;height=800&amp;iframe=true&amp;def_id=18-USC-64633832-909420282&amp;term_occur=999&amp;term_src=title:18:part:I:chapter:13:section:249" TargetMode="External"/><Relationship Id="rId1189" Type="http://schemas.openxmlformats.org/officeDocument/2006/relationships/hyperlink" Target="https://apps.leg.wa.gov/rcw/default.aspx?cite=51.32.185" TargetMode="External"/><Relationship Id="rId1396" Type="http://schemas.openxmlformats.org/officeDocument/2006/relationships/hyperlink" Target="https://www.reviewjournal.com/local/sex-cover-up-at-las-vegas-fire-station-alleged-in-document/" TargetMode="External"/><Relationship Id="rId2142" Type="http://schemas.openxmlformats.org/officeDocument/2006/relationships/hyperlink" Target="https://www.courts.ca.gov/opinions/nonpub/B322004.PDF" TargetMode="External"/><Relationship Id="rId2447" Type="http://schemas.openxmlformats.org/officeDocument/2006/relationships/hyperlink" Target="http://courtweb.pamd.uscourts.gov/courtwebsearch/ndoh/AlKFf0ZU_k.pdf" TargetMode="External"/><Relationship Id="rId321" Type="http://schemas.openxmlformats.org/officeDocument/2006/relationships/hyperlink" Target="https://www.iowacourts.gov/courtcases/9747/embed/SupremeCourtOpinion" TargetMode="External"/><Relationship Id="rId419" Type="http://schemas.openxmlformats.org/officeDocument/2006/relationships/hyperlink" Target="https://www.casemine.com/judgement/us/6963a657827d4c0685d5653a" TargetMode="External"/><Relationship Id="rId626" Type="http://schemas.openxmlformats.org/officeDocument/2006/relationships/hyperlink" Target="https://codes.findlaw.com/ny/general-municipal-law/gmu-sect-205-a.html" TargetMode="External"/><Relationship Id="rId973" Type="http://schemas.openxmlformats.org/officeDocument/2006/relationships/hyperlink" Target="https://cases.justia.com/michigan/court-of-appeals-unpublished/2024-367862.pdf?ts=1728738006" TargetMode="External"/><Relationship Id="rId1049" Type="http://schemas.openxmlformats.org/officeDocument/2006/relationships/hyperlink" Target="https://www.courtswv.gov/sites/default/pubfilesmnt/2026-02/25-ICA-338_MD.pdf" TargetMode="External"/><Relationship Id="rId1256" Type="http://schemas.openxmlformats.org/officeDocument/2006/relationships/hyperlink" Target="https://casetext.com/case/hayman-v-city-of-wilmington" TargetMode="External"/><Relationship Id="rId2002" Type="http://schemas.openxmlformats.org/officeDocument/2006/relationships/hyperlink" Target="http://futurefirefighters.org/firefighter-drinking-driving/" TargetMode="External"/><Relationship Id="rId2307" Type="http://schemas.openxmlformats.org/officeDocument/2006/relationships/hyperlink" Target="https://casetext.com/case/warren-v-cnty-of-sacramento" TargetMode="External"/><Relationship Id="rId2654" Type="http://schemas.openxmlformats.org/officeDocument/2006/relationships/hyperlink" Target="https://www.rcfp.org/anti-slapp-legal-guide/" TargetMode="External"/><Relationship Id="rId2861" Type="http://schemas.openxmlformats.org/officeDocument/2006/relationships/hyperlink" Target="https://www.universalhub.com/files/jpfirefighter-complaint.pdf" TargetMode="External"/><Relationship Id="rId2959" Type="http://schemas.openxmlformats.org/officeDocument/2006/relationships/hyperlink" Target="https://cases.justia.com/federal/district-courts/connecticut/ctdce/3:2024cv00680/159059/264/0.pdf?ts=1747297635" TargetMode="External"/><Relationship Id="rId833" Type="http://schemas.openxmlformats.org/officeDocument/2006/relationships/hyperlink" Target="https://www.leagle.com/decision/infdco20190919804" TargetMode="External"/><Relationship Id="rId1116" Type="http://schemas.openxmlformats.org/officeDocument/2006/relationships/hyperlink" Target="https://media.ca11.uscourts.gov/opinions/pub/files/202213626.pdf" TargetMode="External"/><Relationship Id="rId1463" Type="http://schemas.openxmlformats.org/officeDocument/2006/relationships/hyperlink" Target="https://www.leagle.com/cite/653%20F.2d%20180" TargetMode="External"/><Relationship Id="rId1670" Type="http://schemas.openxmlformats.org/officeDocument/2006/relationships/hyperlink" Target="https://public.fastcase.com/jaEE2PXzRXmZ99jOLMt1Ipey3nn80Qzm5FjlczUETsDTuQT39ugB8joG6QHEs86OG3nGrKzxwZV4%2Fla6pLxdspdlDpATTrpmmFlVcXapI1M%3D?utm_medium=email&amp;_hsenc=p2ANqtz-8lwnqzIFsmVJzuahWcWVuNvva5eg1m46jktTnS1rNp1Tgpui8ycBPAblsV379ZnZFl8lWnb4zQm5QdddO-2g4KXoMSJQ&amp;_hsmi=226712652&amp;utm_content=226712652&amp;utm_source=hs_email" TargetMode="External"/><Relationship Id="rId1768" Type="http://schemas.openxmlformats.org/officeDocument/2006/relationships/hyperlink" Target="https://webapps.dol.gov/elaws/whd/flsa/hoursworked/screenER44.asp" TargetMode="External"/><Relationship Id="rId2514" Type="http://schemas.openxmlformats.org/officeDocument/2006/relationships/hyperlink" Target="https://law.justia.com/cases/minnesota/court-of-appeals/2022/a22-0507.html" TargetMode="External"/><Relationship Id="rId2721" Type="http://schemas.openxmlformats.org/officeDocument/2006/relationships/hyperlink" Target="https://iprospectcheck.com/the-adverse-action-process-and-how-it-applies-to-employment-background-checks/" TargetMode="External"/><Relationship Id="rId2819" Type="http://schemas.openxmlformats.org/officeDocument/2006/relationships/hyperlink" Target="http://codes.ohio.gov/orc/gp9.481" TargetMode="External"/><Relationship Id="rId900" Type="http://schemas.openxmlformats.org/officeDocument/2006/relationships/hyperlink" Target="https://casetext.com/case/carey-v-town-of-rumford" TargetMode="External"/><Relationship Id="rId1323" Type="http://schemas.openxmlformats.org/officeDocument/2006/relationships/hyperlink" Target="https://www.legislature.ohio.gov/legislation/legislation-summary?id=GA132-SB-220" TargetMode="External"/><Relationship Id="rId1530" Type="http://schemas.openxmlformats.org/officeDocument/2006/relationships/hyperlink" Target="https://www.wlwt.com/article/cincinnati-childrens-investigation-scholarships-minorities/64180173" TargetMode="External"/><Relationship Id="rId1628" Type="http://schemas.openxmlformats.org/officeDocument/2006/relationships/hyperlink" Target="http://www.ca5.uscourts.gov/opinions/pub/19/19-20294-CV0.pdf" TargetMode="External"/><Relationship Id="rId1975" Type="http://schemas.openxmlformats.org/officeDocument/2006/relationships/hyperlink" Target="https://lawandcrime.com/lawsuit/racism-negligence-at-pennsylvania-emergency-call-center-led-to-deaths-lawsuit/" TargetMode="External"/><Relationship Id="rId1835" Type="http://schemas.openxmlformats.org/officeDocument/2006/relationships/hyperlink" Target="https://cases.justia.com/federal/appellate-courts/ca6/22-3101/22-3101-2023-05-19.pdf?ts=1684526463" TargetMode="External"/><Relationship Id="rId1902" Type="http://schemas.openxmlformats.org/officeDocument/2006/relationships/hyperlink" Target="https://public.fastcase.com/Wl%2B2t%2BeVuI35%2FN70vAMFZpr47IXL%2FNqq46QG15nW3r0g0xInlPjrGPn7upgPO%2BUR" TargetMode="External"/><Relationship Id="rId2097" Type="http://schemas.openxmlformats.org/officeDocument/2006/relationships/hyperlink" Target="https://public.fastcase.com/jaEE2PXzRXmZ99jOLMt1Iur66SqTUHCh2%2F6i5JSa4l6hU%2FvLi%2B5AObhTx2DvFKDq?utm_medium=email&amp;_hsenc=p2ANqtz--swmEKE2bBH1yxnsdN_yPFP1ssqGq5KgURTPyK4vIy-QrvDWKI9I9IkKVZfzKsNc7HzZR6NsXw-W4jNuqGESlXN6G9zw&amp;_hsmi=226712652&amp;utm_content=226712652&amp;utm_source=hs_email" TargetMode="External"/><Relationship Id="rId276" Type="http://schemas.openxmlformats.org/officeDocument/2006/relationships/hyperlink" Target="https://www.wicourts.gov/ca/opinion/DisplayDocument.pdf?content=pdf&amp;seqNo=342440" TargetMode="External"/><Relationship Id="rId483" Type="http://schemas.openxmlformats.org/officeDocument/2006/relationships/hyperlink" Target="https://casetext.com/statute/florida-statutes/title-x-public-officers-employees-and-records/chapter-112-public-officers-and-employees-general-provisions/part-i-conditions-of-employment-retirement-travel-expenses/section-112182-firefighter-rule-abolished" TargetMode="External"/><Relationship Id="rId690" Type="http://schemas.openxmlformats.org/officeDocument/2006/relationships/hyperlink" Target="https://casetext.com/case/souverneva-v-the-superior-court" TargetMode="External"/><Relationship Id="rId2164" Type="http://schemas.openxmlformats.org/officeDocument/2006/relationships/hyperlink" Target="https://www.cbsnews.com/colorado/news/former-colorado-paramedic-jeremy-cooper-sentenced-conviction-death-elijah-mcclain/" TargetMode="External"/><Relationship Id="rId2371" Type="http://schemas.openxmlformats.org/officeDocument/2006/relationships/hyperlink" Target="https://codes.ohio.gov/orc/4765.49v1" TargetMode="External"/><Relationship Id="rId136" Type="http://schemas.openxmlformats.org/officeDocument/2006/relationships/hyperlink" Target="https://www.law.cornell.edu/wex/evidence" TargetMode="External"/><Relationship Id="rId343" Type="http://schemas.openxmlformats.org/officeDocument/2006/relationships/hyperlink" Target="https://www.iafc.org/topics-and-tools/resources/resource/iafc-position-drug-and-alcohol-free-awareness" TargetMode="External"/><Relationship Id="rId550" Type="http://schemas.openxmlformats.org/officeDocument/2006/relationships/hyperlink" Target="https://public.fastcase.com/9SKwsfNqTc6OieYDhNMyM3GFxg7E14LGt6irGiW6D0AdOSai6WztEAqO8TQbOt2UAfcs%2Ff2iM4MWcxpFzO0W88e5H95ADB2MkHVFfrY4yKc%3D" TargetMode="External"/><Relationship Id="rId788" Type="http://schemas.openxmlformats.org/officeDocument/2006/relationships/hyperlink" Target="https://www.law.cornell.edu/definitions/uscode.php?width=840&amp;height=800&amp;iframe=true&amp;def_id=8-USC-92903111-1485256781&amp;term_occur=999&amp;term_src=" TargetMode="External"/><Relationship Id="rId995" Type="http://schemas.openxmlformats.org/officeDocument/2006/relationships/hyperlink" Target="https://casetext.com/case/city-of-hous-v-vogel" TargetMode="External"/><Relationship Id="rId1180" Type="http://schemas.openxmlformats.org/officeDocument/2006/relationships/hyperlink" Target="https://casetext.com/case/dilaqua-v-city-of-philadelphia-fire-dept-workers-comp-appeal-board" TargetMode="External"/><Relationship Id="rId2024" Type="http://schemas.openxmlformats.org/officeDocument/2006/relationships/hyperlink" Target="https://cases.justia.com/michigan/court-of-appeals-unpublished/2026-377838.pdf?ts=1784293205" TargetMode="External"/><Relationship Id="rId2231" Type="http://schemas.openxmlformats.org/officeDocument/2006/relationships/hyperlink" Target="https://casetext.com/case/pierre-v-fire-dept-of-the-city-of-ny" TargetMode="External"/><Relationship Id="rId2469" Type="http://schemas.openxmlformats.org/officeDocument/2006/relationships/hyperlink" Target="https://cases.justia.com/texas/fifteenth-court-of-appeals/2026-15-25-00102-cv.pdf?ts=1771951104" TargetMode="External"/><Relationship Id="rId2676" Type="http://schemas.openxmlformats.org/officeDocument/2006/relationships/hyperlink" Target="https://cases.justia.com/federal/district-courts/tennessee/tnmdce/3:2021cv00042/85053/46/0.pdf?ts=1695225093" TargetMode="External"/><Relationship Id="rId2883" Type="http://schemas.openxmlformats.org/officeDocument/2006/relationships/hyperlink" Target="https://codes.ohio.gov/ohio-revised-code/section-124.48" TargetMode="External"/><Relationship Id="rId203" Type="http://schemas.openxmlformats.org/officeDocument/2006/relationships/hyperlink" Target="https://www.legislature.ohio.gov/download?key=19460&amp;format=pdf" TargetMode="External"/><Relationship Id="rId648" Type="http://schemas.openxmlformats.org/officeDocument/2006/relationships/hyperlink" Target="https://www.pacourts.us/assets/opinions/Superior/out/J-S42019-25m%20-%20106685903347676413.pdf?cb=1" TargetMode="External"/><Relationship Id="rId855" Type="http://schemas.openxmlformats.org/officeDocument/2006/relationships/hyperlink" Target="https://d.docs.live.net/bd9b2eaf6053242e/AppData/Roaming/Microsoft/AppData/Local/Microsoft/Windows/INetCache/IE/XO250S7T/16-534_6jfm.pdf" TargetMode="External"/><Relationship Id="rId1040" Type="http://schemas.openxmlformats.org/officeDocument/2006/relationships/hyperlink" Target="https://cases.justia.com/federal/district-courts/pennsylvania/pamdce/1:2024cv00290/141189/15/0.pdf?ts=1784317755" TargetMode="External"/><Relationship Id="rId1278" Type="http://schemas.openxmlformats.org/officeDocument/2006/relationships/hyperlink" Target="https://supreme.justia.com/cases/federal/us/436/658/" TargetMode="External"/><Relationship Id="rId1485" Type="http://schemas.openxmlformats.org/officeDocument/2006/relationships/hyperlink" Target="https://assets.documentcloud.org/documents/5745040/Better-Balance.pdf" TargetMode="External"/><Relationship Id="rId1692" Type="http://schemas.openxmlformats.org/officeDocument/2006/relationships/hyperlink" Target="https://www.justice.gov/opa/pr/justice-department-secures-agreement-city-blaine-minnesota-resolve-discrimination-claim" TargetMode="External"/><Relationship Id="rId2329" Type="http://schemas.openxmlformats.org/officeDocument/2006/relationships/hyperlink" Target="https://casetext.com/case/certification-from-us-dist-court-for-w-dist-of-wash-v-city-of-bellingham" TargetMode="External"/><Relationship Id="rId2536" Type="http://schemas.openxmlformats.org/officeDocument/2006/relationships/hyperlink" Target="https://www.gerberholderlaw.com/workers-comp-ptsd-by-state/" TargetMode="External"/><Relationship Id="rId2743" Type="http://schemas.openxmlformats.org/officeDocument/2006/relationships/hyperlink" Target="https://www.nj.gov/csc/about/meetings/decisions/pdf/2020/4-15-20/A-004%204-15-20.pdf" TargetMode="External"/><Relationship Id="rId410" Type="http://schemas.openxmlformats.org/officeDocument/2006/relationships/hyperlink" Target="https://public.fastcase.com/Jhe1Qn%2BmJndQYQU6z%2FeNm3W8hWyjy%2F1qvTK0bYKmSBd7FCE1skWJo447G5Oh2b2vHFVB1fMS7gUR6rAKwE%2FNSCY%2BUXiquDJL%2FDOTOozOi%2FE%3D?utm_medium=email&amp;_hsenc=p2ANqtz--CwMJ1WgahfFouwurH1AvRaq-FpGCK4j_ZGMvVW2VvGo-JzLehL1L025aP9c9K1EJ-bt_z2jfpLFjtfV3Ucq7sQ0mkPQ&amp;_hsmi=226712652&amp;utm_content=226712652&amp;utm_source=hs_email" TargetMode="External"/><Relationship Id="rId508" Type="http://schemas.openxmlformats.org/officeDocument/2006/relationships/hyperlink" Target="https://casetext.com/statute/california-codes/california-civil-code/division-3-obligations/part-3-obligations-imposed-by-law/section-17149-injury-to-peace-officer-firefighter-or-emergency-medical-personnel" TargetMode="External"/><Relationship Id="rId715" Type="http://schemas.openxmlformats.org/officeDocument/2006/relationships/hyperlink" Target="https://www.cdcr.ca.gov/facility-locator/conservation-camps/" TargetMode="External"/><Relationship Id="rId922" Type="http://schemas.openxmlformats.org/officeDocument/2006/relationships/hyperlink" Target="https://www.supremecourt.gov/opinions/21pdf/20-1539_09m1.pdf" TargetMode="External"/><Relationship Id="rId1138" Type="http://schemas.openxmlformats.org/officeDocument/2006/relationships/hyperlink" Target="https://rilawyersweekly.com/blog/2023/07/05/retired-providence-firefighters-not-barred-from-cancer-benefits/" TargetMode="External"/><Relationship Id="rId1345" Type="http://schemas.openxmlformats.org/officeDocument/2006/relationships/hyperlink" Target="https://public.fastcase.com/Jhe1Qn%2BmJndQYQU6z%2FeNm4EknQ9bna34cDUqwi843otGfsnh4A%2FeYA9Hr6KrteFypi4%2BJsSKfbktA3m%2FwjVXVmU7hL2EQjK1ikmyt15wjVE%3D?utm_medium=email&amp;_hsenc=p2ANqtz--0s-Gqa1uWmBF4bwmJiG-zFePE1DiZBvElWG9MDL4AExGpxO5pGHEbiE5NOgiOIpfGRDMDibK3WS6s5HJa2qaBlry6oQ&amp;_hsmi=226712652&amp;utm_content=226712652&amp;utm_source=hs_email" TargetMode="External"/><Relationship Id="rId1552" Type="http://schemas.openxmlformats.org/officeDocument/2006/relationships/hyperlink" Target="https://www.tncourts.gov/sites/default/files/OpinionsPDFVersion/BoydTaurickOPN.pdf" TargetMode="External"/><Relationship Id="rId1997" Type="http://schemas.openxmlformats.org/officeDocument/2006/relationships/hyperlink" Target="https://www.cnn.com/2021/06/29/americas/mexico-cannabis-decriminalization-intl/index.html?utm_content=2021-06-29T08%3A51%3A14&amp;utm_term=link&amp;utm_source=twcnnbrk&amp;utm_medium=social" TargetMode="External"/><Relationship Id="rId2603" Type="http://schemas.openxmlformats.org/officeDocument/2006/relationships/hyperlink" Target="https://law.justia.com/cases/new-york/appellate-division-second-department/2025/2024-01225.html" TargetMode="External"/><Relationship Id="rId2950" Type="http://schemas.openxmlformats.org/officeDocument/2006/relationships/hyperlink" Target="https://ecf.ctd.uscourts.gov/cgi-bin/show_public_doc?2025cv0824-74" TargetMode="External"/><Relationship Id="rId1205" Type="http://schemas.openxmlformats.org/officeDocument/2006/relationships/hyperlink" Target="https://njcourts.gov/attorneys/assets/opinions/appellate/unpublished/a4070-18.pdf" TargetMode="External"/><Relationship Id="rId1857" Type="http://schemas.openxmlformats.org/officeDocument/2006/relationships/hyperlink" Target="https://www.law.cornell.edu/topn/black-connery_fair_labor_standards_act" TargetMode="External"/><Relationship Id="rId2810" Type="http://schemas.openxmlformats.org/officeDocument/2006/relationships/hyperlink" Target="http://www.fifthcircuit.org/dmzdocs/OI/PO/2019/D2D01276-0CAB-4C3C-8746-E6A5E19BC45A.pdf" TargetMode="External"/><Relationship Id="rId2908" Type="http://schemas.openxmlformats.org/officeDocument/2006/relationships/hyperlink" Target="https://www.supremecourt.ohio.gov/rod/docs/pdf/8/2022/2022-Ohio-2498.pdf" TargetMode="External"/><Relationship Id="rId51" Type="http://schemas.openxmlformats.org/officeDocument/2006/relationships/hyperlink" Target="https://codes.ohio.gov/ohio-revised-code/section-9.481" TargetMode="External"/><Relationship Id="rId1412" Type="http://schemas.openxmlformats.org/officeDocument/2006/relationships/hyperlink" Target="https://public.fastcase.com/ZZhmr5v9wN%2FXOe5IsQ%2FqD%2Bhqb5sNCIqd5RJe%2FxM2hjFRyaJ31hb16ZTOa0HcnlDHTYd64r6bH4XUHVSC8TORCsm2%2BcMn7uR9MfnM7VfyK9g%3D?utm_medium=email&amp;_hsmi=226712652&amp;_hsenc=p2ANqtz-9j81kRsw27tcbjTzGhgoW98dbte_kRv0VGtzskzMbh4aiP0Af373qngGXkbsJh41xl15DsBfvJ97QkgeVHOPx0003AwA&amp;utm_content=226712652&amp;utm_source=hs_email" TargetMode="External"/><Relationship Id="rId1717" Type="http://schemas.openxmlformats.org/officeDocument/2006/relationships/hyperlink" Target="https://www.hmpgloballearningnetwork.com/site/emsworld/original-contribution/sworn-therapy-dog-supports-ohio-responders" TargetMode="External"/><Relationship Id="rId1924" Type="http://schemas.openxmlformats.org/officeDocument/2006/relationships/hyperlink" Target="https://cases.justia.com/federal/appellate-courts/ca6/14-5053/14-5053-2014-11-14.pdf?ts=1415984433" TargetMode="External"/><Relationship Id="rId298" Type="http://schemas.openxmlformats.org/officeDocument/2006/relationships/hyperlink" Target="https://law.justia.com/cases/california/court-of-appeal/2019/h045524.html" TargetMode="External"/><Relationship Id="rId158" Type="http://schemas.openxmlformats.org/officeDocument/2006/relationships/hyperlink" Target="https://cases.justia.com/federal/district-courts/illinois/ilndce/1:2020cv06720/393181/97/0.pdf?ts=1706261425" TargetMode="External"/><Relationship Id="rId2186" Type="http://schemas.openxmlformats.org/officeDocument/2006/relationships/hyperlink" Target="https://bencrump.com/press/attorney-ben-crump-files-personal-injury-lawsuit-against-paramedics-who-refused-to-provide-emergency-care-to-disabled-teen/" TargetMode="External"/><Relationship Id="rId2393" Type="http://schemas.openxmlformats.org/officeDocument/2006/relationships/hyperlink" Target="https://www.npr.org/sections/coronavirus-live-updates/2020/04/12/832644243/kansas-supreme-court-upholds-governors-order-limiting-the-size-of-easter-service" TargetMode="External"/><Relationship Id="rId2698" Type="http://schemas.openxmlformats.org/officeDocument/2006/relationships/hyperlink" Target="https://public.fastcase.com/J%2FJP6pdidelsXxEE4k%2BLMjaDEWROmrH16cfc6gra3ASxsA6ABb5gmKr7dgTVPZFAyucR%2F24MD4mhTmh6U3JDqNSXBmdIcjdrjArbqC4ueHA%3D?utm_medium=email&amp;_hsmi=226712652&amp;_hsenc=p2ANqtz-8djIG1sQ_3FyKMXC40KW2oDEllslyVj_QIL_DW9IJ-72SY8jUMapn9qVvf0Txy9Aeh2fYzSIF_AEMjkupRX651B5mjNw&amp;utm_content=226712652&amp;utm_source=hs_email" TargetMode="External"/><Relationship Id="rId365" Type="http://schemas.openxmlformats.org/officeDocument/2006/relationships/hyperlink" Target="https://www.supremecourt.ohio.gov/rod/docs/pdf/8/2018/2018-Ohio-4109.pdf" TargetMode="External"/><Relationship Id="rId572" Type="http://schemas.openxmlformats.org/officeDocument/2006/relationships/hyperlink" Target="https://codes.findlaw.com/ny/general-obligations-law/gob-sect-11-106.html" TargetMode="External"/><Relationship Id="rId2046" Type="http://schemas.openxmlformats.org/officeDocument/2006/relationships/hyperlink" Target="https://cdn.ca9.uscourts.gov/datastore/memoranda/2026/05/27/24-6656.pdf" TargetMode="External"/><Relationship Id="rId2253" Type="http://schemas.openxmlformats.org/officeDocument/2006/relationships/hyperlink" Target="https://media.ca11.uscourts.gov/opinions/unpub/files/201914294.pdf" TargetMode="External"/><Relationship Id="rId2460" Type="http://schemas.openxmlformats.org/officeDocument/2006/relationships/hyperlink" Target="http://www.supremecourt.ohio.gov/rod/docs/pdf/2/2018/2018-ohio-512.pdf" TargetMode="External"/><Relationship Id="rId225" Type="http://schemas.openxmlformats.org/officeDocument/2006/relationships/hyperlink" Target="https://www.law.cornell.edu/wex/federal_sentencing_guidelines" TargetMode="External"/><Relationship Id="rId432" Type="http://schemas.openxmlformats.org/officeDocument/2006/relationships/hyperlink" Target="https://cases.justia.com/federal/district-courts/new-york/nysdce/7:2024cv04470/623029/85/0.pdf?ts=1756903853" TargetMode="External"/><Relationship Id="rId877" Type="http://schemas.openxmlformats.org/officeDocument/2006/relationships/hyperlink" Target="https://www.mass.gov/doc/grenier-pierre-v-springfield-fire-department-related-appeals-court-decision-101124/download" TargetMode="External"/><Relationship Id="rId1062" Type="http://schemas.openxmlformats.org/officeDocument/2006/relationships/hyperlink" Target="https://ecf.rid.uscourts.gov/cgi-bin/show_public_doc?2025cv0270-20" TargetMode="External"/><Relationship Id="rId2113" Type="http://schemas.openxmlformats.org/officeDocument/2006/relationships/hyperlink" Target="https://leginfo.legislature.ca.gov/faces/codes_displaySection.xhtml?sectionNum=1799.106.&amp;lawCode=HSC" TargetMode="External"/><Relationship Id="rId2320" Type="http://schemas.openxmlformats.org/officeDocument/2006/relationships/hyperlink" Target="https://www.documentcloud.org/documents/20860669-houston-methodist-lawsuit-order-of-dismissal" TargetMode="External"/><Relationship Id="rId2558" Type="http://schemas.openxmlformats.org/officeDocument/2006/relationships/hyperlink" Target="https://omlohio.org/m/newsflash/home/detail/52" TargetMode="External"/><Relationship Id="rId2765" Type="http://schemas.openxmlformats.org/officeDocument/2006/relationships/hyperlink" Target="https://www.fireengineering.com/2020/11/02/495783/nj-firefighter-fired-three-hours-into-first-day-can-stay-on-job-court-rules/?utm_medium=email&amp;utm_campaign=2020-11-03&amp;utm_source=fe_daily_newsletter" TargetMode="External"/><Relationship Id="rId2972" Type="http://schemas.openxmlformats.org/officeDocument/2006/relationships/hyperlink" Target="https://www.supremecourt.gov/opinions/23pdf/22-451_7m58.pdf" TargetMode="External"/><Relationship Id="rId737" Type="http://schemas.openxmlformats.org/officeDocument/2006/relationships/hyperlink" Target="https://www.nbc4i.com/news/local-news/columbus/columbus-gun-laws-dodge-block-on-enforcement-going-into-effect-soon/" TargetMode="External"/><Relationship Id="rId944" Type="http://schemas.openxmlformats.org/officeDocument/2006/relationships/hyperlink" Target="https://law.justia.com/cases/california/supreme-court/2019/s242250.html" TargetMode="External"/><Relationship Id="rId1367" Type="http://schemas.openxmlformats.org/officeDocument/2006/relationships/hyperlink" Target="https://cases.justia.com/delaware/superior-court/2025-n24c-08-154-ceb.pdf?ts=1741208566" TargetMode="External"/><Relationship Id="rId1574" Type="http://schemas.openxmlformats.org/officeDocument/2006/relationships/hyperlink" Target="https://casetext.com/case/crudup-v-city-of-omaha-4" TargetMode="External"/><Relationship Id="rId1781" Type="http://schemas.openxmlformats.org/officeDocument/2006/relationships/hyperlink" Target="https://www.dol.gov/agencies/whd/fact-sheets/17c-overtime-administrative" TargetMode="External"/><Relationship Id="rId2418" Type="http://schemas.openxmlformats.org/officeDocument/2006/relationships/hyperlink" Target="https://www.courts.ca.gov/opinions/nonpub/B284099.PDF" TargetMode="External"/><Relationship Id="rId2625" Type="http://schemas.openxmlformats.org/officeDocument/2006/relationships/hyperlink" Target="https://www.youtube.com/watch?v=roZMeWZrCG4" TargetMode="External"/><Relationship Id="rId2832" Type="http://schemas.openxmlformats.org/officeDocument/2006/relationships/hyperlink" Target="http://www.pacourts.us/assets/opinions/Commonwealth/out/380md17_6-12-18.pdf" TargetMode="External"/><Relationship Id="rId73" Type="http://schemas.openxmlformats.org/officeDocument/2006/relationships/hyperlink" Target="https://www.ca5.uscourts.gov/opinions/unpub/24/24-30496.0.pdf" TargetMode="External"/><Relationship Id="rId804" Type="http://schemas.openxmlformats.org/officeDocument/2006/relationships/hyperlink" Target="https://www.supremecourt.gov/opinions/20pdf/19-438_j4el.pdf" TargetMode="External"/><Relationship Id="rId1227" Type="http://schemas.openxmlformats.org/officeDocument/2006/relationships/hyperlink" Target="https://www.supremecourt.ohio.gov/rod/docs/pdf/0/2020/2020-Ohio-1047.pdf" TargetMode="External"/><Relationship Id="rId1434" Type="http://schemas.openxmlformats.org/officeDocument/2006/relationships/hyperlink" Target="https://www.firerescue1.com/lawsuit/articles/mass-ff-emt-files-gender-discrimination-lawsuit-says-she-was-passed-over-for-promotion-k1Q0mMWcivLWcHoy/" TargetMode="External"/><Relationship Id="rId1641" Type="http://schemas.openxmlformats.org/officeDocument/2006/relationships/hyperlink" Target="https://law.justia.com/cases/federal/appellate-courts/ca11/18-10631/18-10631-2019-03-01.html" TargetMode="External"/><Relationship Id="rId1879" Type="http://schemas.openxmlformats.org/officeDocument/2006/relationships/hyperlink" Target="https://public.fastcase.com/Wl%2B2t%2BeVuI35%2FN70vAMFZpdjKXDmRY5LJSAOUJ86zVs5waUL1YS3yBNtSKE8F5Gl" TargetMode="External"/><Relationship Id="rId1501" Type="http://schemas.openxmlformats.org/officeDocument/2006/relationships/hyperlink" Target="https://cases.justia.com/federal/appellate-courts/ca6/25-3700/25-3700-2026-06-15.pdf?ts=1781553648" TargetMode="External"/><Relationship Id="rId1739" Type="http://schemas.openxmlformats.org/officeDocument/2006/relationships/hyperlink" Target="https://cases.justia.com/federal/appellate-courts/ca3/18-2706/18-2706-2019-08-09.pdf?ts=1565368208" TargetMode="External"/><Relationship Id="rId1946" Type="http://schemas.openxmlformats.org/officeDocument/2006/relationships/hyperlink" Target="https://public.fastcase.com/jaEE2PXzRXmZ99jOLMt1IkwLjDIafZivsAf6axO%2B3QZjm6x80NhvTxxrXJiS64do?utm_medium=email&amp;_hsenc=p2ANqtz-_ZLiMFX9yN1wO2MCWrhyQko1U4dUXhzxPQAtrBDBjCrjbe9Dh7_kNIbfrc-1zaAPZ0Y1FmrwNmXCeWeaeUVjh5p5R-nw&amp;_hsmi=226712652&amp;utm_content=226712652&amp;utm_source=hs_email" TargetMode="External"/><Relationship Id="rId1806" Type="http://schemas.openxmlformats.org/officeDocument/2006/relationships/hyperlink" Target="https://brookline.news/wp-content/uploads/2024/12/jointsettlementfiling.pdf" TargetMode="External"/><Relationship Id="rId387" Type="http://schemas.openxmlformats.org/officeDocument/2006/relationships/hyperlink" Target="https://www.casemine.com/judgement/us/6a70a2cd9499dcd9c1f502f5" TargetMode="External"/><Relationship Id="rId594" Type="http://schemas.openxmlformats.org/officeDocument/2006/relationships/hyperlink" Target="https://www.courts.wa.gov/opinions/pdf/778315.pdf" TargetMode="External"/><Relationship Id="rId2068" Type="http://schemas.openxmlformats.org/officeDocument/2006/relationships/hyperlink" Target="https://cases.justia.com/federal/district-courts/massachusetts/madce/1:2023cv12125/261357/75/0.pdf?ts=1770465752" TargetMode="External"/><Relationship Id="rId2275" Type="http://schemas.openxmlformats.org/officeDocument/2006/relationships/hyperlink" Target="https://casetext.com/case/sutton-v-rockingham-cnty" TargetMode="External"/><Relationship Id="rId247" Type="http://schemas.openxmlformats.org/officeDocument/2006/relationships/hyperlink" Target="https://www.supremecourt.ohio.gov/rod/docs/pdf/1/2021/2021-Ohio-4003.pdf" TargetMode="External"/><Relationship Id="rId899" Type="http://schemas.openxmlformats.org/officeDocument/2006/relationships/hyperlink" Target="https://public.fastcase.com/J%2FJP6pdidelsXxEE4k%2BLMunJfhe1gfK2oI8CQbirV8GXkmoWfCiXuebhhRyeFmnHeojCURMbUHUM%2FZVW6TuThcVt2kPCx5ANtZZIjUvq4TI%3D?utm_medium=email&amp;_hsmi=226712652&amp;_hsenc=p2ANqtz-_4xSG7CmaPWZQuwsNXY4RTJcvgg4B9LMx8R4vNTvpvb0PqojZFKwGqm6HPbOxappi5A6b2YgFEujAqOwM5oeHjK0AsxA&amp;utm_content=226712652&amp;utm_source=hs_email" TargetMode="External"/><Relationship Id="rId1084" Type="http://schemas.openxmlformats.org/officeDocument/2006/relationships/hyperlink" Target="https://cases.justia.com/pennsylvania/commonwealth-court/2025-92-c-d-2024.pdf?ts=1743522170" TargetMode="External"/><Relationship Id="rId2482" Type="http://schemas.openxmlformats.org/officeDocument/2006/relationships/hyperlink" Target="https://www.vitallaw.com/news/discrimination-disability-w-d-mich-firefighter-with-ptsd-fails-to-show-firehouse-dog-was-reasonable-accommodation/eld0112d25548de2942ffb5b58765cda11301" TargetMode="External"/><Relationship Id="rId2787" Type="http://schemas.openxmlformats.org/officeDocument/2006/relationships/hyperlink" Target="https://public.fastcase.com/Wl%2B2t%2BeVuI35%2FN70vAMFZiqDSx6E0DPFzBbugd7jDu14ZTk4ABsQUj2F%2Fw3WIuoM" TargetMode="External"/><Relationship Id="rId107" Type="http://schemas.openxmlformats.org/officeDocument/2006/relationships/hyperlink" Target="https://casetext.com/statute/united-states-code/title-18-crimes-and-criminal-procedure/part-i-crimes/chapter-40-importation-manufacture-distribution-and-storage-of-explosive-materials/section-844-penalties" TargetMode="External"/><Relationship Id="rId454" Type="http://schemas.openxmlformats.org/officeDocument/2006/relationships/hyperlink" Target="https://casetext.com/case/slaughter-v-mayor-city-council-of-balt" TargetMode="External"/><Relationship Id="rId661" Type="http://schemas.openxmlformats.org/officeDocument/2006/relationships/hyperlink" Target="https://cases.justia.com/federal/district-courts/illinois/ilndce/1:2025cv12765/488308/72/0.pdf?ts=1763809095" TargetMode="External"/><Relationship Id="rId759" Type="http://schemas.openxmlformats.org/officeDocument/2006/relationships/hyperlink" Target="https://casetext.com/case/elshinawy-v-united-states-1" TargetMode="External"/><Relationship Id="rId966" Type="http://schemas.openxmlformats.org/officeDocument/2006/relationships/hyperlink" Target="https://ilcourtsaudio.blob.core.windows.net/antilles-resources/resources/95e9af0e-d4e6-4f14-9f68-6c313ea57cfa/Postula%20v.%20Blackard,%202025%20IL%20App%20(3d)%20240464-U.pdf" TargetMode="External"/><Relationship Id="rId1291" Type="http://schemas.openxmlformats.org/officeDocument/2006/relationships/hyperlink" Target="http://www.search.txcourts.gov/SearchMedia.aspx?MediaVersionID=0d5f8f8d-dca0-42cf-9f3d-0b9f0ec4a868&amp;coa=coa12&amp;DT=Opinion&amp;MediaID=3cca35a6-dea2-4898-8844-a6d0a0f59f70" TargetMode="External"/><Relationship Id="rId1389" Type="http://schemas.openxmlformats.org/officeDocument/2006/relationships/hyperlink" Target="https://casetext.com/case/lundberg-v-delta-response-team-llc" TargetMode="External"/><Relationship Id="rId1596" Type="http://schemas.openxmlformats.org/officeDocument/2006/relationships/hyperlink" Target="https://public.fastcase.com/9SKwsfNqTc6OieYDhNMyM%2FTSgbZsxamnZMkEnGgxxe%2FrqLPFRApIhr2w3nhFxBI%2F%2BQAM0CcvCjVB30L3LI5a7qA0dv8E2KAwnqlsNAe5EaM%3D" TargetMode="External"/><Relationship Id="rId2135" Type="http://schemas.openxmlformats.org/officeDocument/2006/relationships/hyperlink" Target="https://cases.justia.com/missouri/court-of-appeals/2024-sd38313.pdf?ts=1724895006" TargetMode="External"/><Relationship Id="rId2342" Type="http://schemas.openxmlformats.org/officeDocument/2006/relationships/hyperlink" Target="https://caselaw.findlaw.com/us-4th-circuit/1602456.html" TargetMode="External"/><Relationship Id="rId2647" Type="http://schemas.openxmlformats.org/officeDocument/2006/relationships/hyperlink" Target="https://www.courts.michigan.gov/siteassets/case-documents/uploads/OPINIONS/FINAL/COA/20240905_C364971_42_364971.OPN.PDF" TargetMode="External"/><Relationship Id="rId2994" Type="http://schemas.openxmlformats.org/officeDocument/2006/relationships/hyperlink" Target="https://urldefense.com/v3/__https:/www.congress.gov/bill/117th-congress/senate-bill/1511__;!!Bg5easoyC-OII2vlEqY8mTBrtW-N4OJKAQ!emPJ4la1tXumEvgbQHWWkqIJXSqd8F6eECBBP8LY2twTexz4LKxtEOPGOo9tKXCW3_TX13KqIA$" TargetMode="External"/><Relationship Id="rId314" Type="http://schemas.openxmlformats.org/officeDocument/2006/relationships/hyperlink" Target="https://www.ca2.uscourts.gov/decisions/isysquery/93d429af-6bc3-4a16-b287-422f5179acac/1/doc/18-3775_opn.pdf" TargetMode="External"/><Relationship Id="rId521" Type="http://schemas.openxmlformats.org/officeDocument/2006/relationships/hyperlink" Target="https://public.fastcase.com/ZZhmr5v9wN%2FXOe5IsQ%2FqDy4piE023A%2FvmSBZ1OCyQDEvBrcypTxVYbDuh3sY1MRUTGEZ3quKqv94bkTO%2F3v9wUJnk5dj4IB3vpOq4w%2BY%2Blk%3D?utm_medium=email&amp;_hsmi=226712652&amp;_hsenc=p2ANqtz-8dDlTMCBDdR7Y6gBwCrwIFOUd7uQb6M2Q9eK5s_ERy0q0NLXHPkcRz9CocUT1WV-MgV98KLfaLWIoQPZBtf1lJjMQcjw&amp;utm_content=226712652&amp;utm_source=hs_email" TargetMode="External"/><Relationship Id="rId619" Type="http://schemas.openxmlformats.org/officeDocument/2006/relationships/hyperlink" Target="https://caselaw.findlaw.com/md-court-of-special-appeals/1897275.html" TargetMode="External"/><Relationship Id="rId1151" Type="http://schemas.openxmlformats.org/officeDocument/2006/relationships/hyperlink" Target="https://www.fifthcircuit.org/dmzdocs/OI/PO/2023/E7D4F8B7-C22B-4814-BFD0-4E0FF0BBD0BE.pdf" TargetMode="External"/><Relationship Id="rId1249" Type="http://schemas.openxmlformats.org/officeDocument/2006/relationships/hyperlink" Target="https://www.courtlistener.com/opinion/4836452/terri-smith-v-kanawha-county-emergency-ambulance-authority/" TargetMode="External"/><Relationship Id="rId2202" Type="http://schemas.openxmlformats.org/officeDocument/2006/relationships/hyperlink" Target="https://codes.ohio.gov/ohio-revised-code/section-4765.12" TargetMode="External"/><Relationship Id="rId2854" Type="http://schemas.openxmlformats.org/officeDocument/2006/relationships/hyperlink" Target="https://cases.justia.com/georgia/court-of-appeals/2025-a25a0947.pdf?ts=1757355224" TargetMode="External"/><Relationship Id="rId95" Type="http://schemas.openxmlformats.org/officeDocument/2006/relationships/hyperlink" Target="https://www.garmin.com/en-US/c/outdoor-recreation/handheld-hiking-gps/?gad_source=1&amp;gclid=Cj0KCQiA_Yq-BhC9ARIsAA6fbAg8Hzg7tt3LxTDrvBKQ6Iq20PiW7TlBW7J0osrwHwlbOwcCFzY0rTcaAu65EALw_wcB" TargetMode="External"/><Relationship Id="rId826" Type="http://schemas.openxmlformats.org/officeDocument/2006/relationships/hyperlink" Target="https://public.fastcase.com/Wl%2B2t%2BeVuI35%2FN70vAMFZkKd%2BuUeGYT9r22oA9ty28Exj1jRAAAURPUljfVU2169" TargetMode="External"/><Relationship Id="rId1011" Type="http://schemas.openxmlformats.org/officeDocument/2006/relationships/hyperlink" Target="https://public.fastcase.com/" TargetMode="External"/><Relationship Id="rId1109" Type="http://schemas.openxmlformats.org/officeDocument/2006/relationships/hyperlink" Target="https://cases.justia.com/federal/district-courts/louisiana/laedce/2:2023cv00439/259406/50/0.pdf?ts=1721728516" TargetMode="External"/><Relationship Id="rId1456" Type="http://schemas.openxmlformats.org/officeDocument/2006/relationships/hyperlink" Target="https://public.fastcase.com/Wl%2B2t%2BeVuI35%2FN70vAMFZs1o8oz3pWgS38oNkfNQDzkHmIv0WM8cJL2w%2BtvmrMCm" TargetMode="External"/><Relationship Id="rId1663" Type="http://schemas.openxmlformats.org/officeDocument/2006/relationships/hyperlink" Target="https://academicworks.cuny.edu/cgi/viewcontent.cgi?article=6894&amp;context=gc_etds" TargetMode="External"/><Relationship Id="rId1870" Type="http://schemas.openxmlformats.org/officeDocument/2006/relationships/hyperlink" Target="https://www.lcwlegal.com/news/cash-in-lieu-must-be-included-in-the-regular-rate-for-overtime-purposes-under-the-flsa-4" TargetMode="External"/><Relationship Id="rId1968" Type="http://schemas.openxmlformats.org/officeDocument/2006/relationships/hyperlink" Target="https://www.npr.org/2023/05/30/1178850879/sackler-family-purdue-pharma-immunity-lawsuits-oxycontin-opioid" TargetMode="External"/><Relationship Id="rId2507" Type="http://schemas.openxmlformats.org/officeDocument/2006/relationships/hyperlink" Target="https://cases.justia.com/washington/court-of-appeals-division-i/2023-84561-6-0.pdf?ts=1696273779" TargetMode="External"/><Relationship Id="rId2714" Type="http://schemas.openxmlformats.org/officeDocument/2006/relationships/hyperlink" Target="https://law.justia.com/cases/federal/appellate-courts/ca10/20-5113/20-5113-2022-08-19.html" TargetMode="External"/><Relationship Id="rId2921" Type="http://schemas.openxmlformats.org/officeDocument/2006/relationships/hyperlink" Target="https://www.supremecourt.ohio.gov/rod/docs/pdf/7/2021/2021-Ohio-4552.pdf" TargetMode="External"/><Relationship Id="rId1316" Type="http://schemas.openxmlformats.org/officeDocument/2006/relationships/hyperlink" Target="https://www.courtlistener.com/pdf/2019/02/08/schneider_v._city_of_lawrence.pdf" TargetMode="External"/><Relationship Id="rId1523" Type="http://schemas.openxmlformats.org/officeDocument/2006/relationships/hyperlink" Target="https://public.fastcase.com/jaEE2PXzRXmZ99jOLMt1Ijy4owdgN11%2FWJRcUJbHoDpxB70E2t6SZ0qkojT0B8Qp?utm_medium=email&amp;_hsenc=p2ANqtz-9VaXpB4njMDCq0a3A4ziHdpnkkhT3_X-uHzr6ZxpzUXb9np6U8cLB4p1ctiAJNyopvqJJhsHP0CMdXEdLkgd2zGecgDw&amp;_hsmi=226712652&amp;utm_content=226712652&amp;utm_source=hs_email" TargetMode="External"/><Relationship Id="rId1730" Type="http://schemas.openxmlformats.org/officeDocument/2006/relationships/hyperlink" Target="https://law.justia.com/cases/louisiana/fifth-circuit-court-of-appeal/2020/19-ca-613.html" TargetMode="External"/><Relationship Id="rId22" Type="http://schemas.openxmlformats.org/officeDocument/2006/relationships/hyperlink" Target="http://opinions.kycourts.net/sc/2025-SC-0487-MR.pdf" TargetMode="External"/><Relationship Id="rId1828" Type="http://schemas.openxmlformats.org/officeDocument/2006/relationships/hyperlink" Target="https://public.fastcase.com/ZZhmr5v9wN%2FXOe5IsQ%2FqD6h7oDGGEaQcvjGxXhP3wdarcxH65lzIz0WHpJ1071%2Fz6z3xzTYinPsWmKTOA4ARnDbKp9ycJPmOcwYRqStxafA%3D?utm_medium=email&amp;_hsmi=226712652&amp;_hsenc=p2ANqtz-8kFbodM_yCEg50hGETq70Ew_rKe4r85tHeNoAUvaEorCUJWcIF_sSd3vzx7ykWUIs8vIjN-q4A8Aji78d1bSF2B0Xuvw&amp;utm_content=226712652&amp;utm_source=hs_email" TargetMode="External"/><Relationship Id="rId171" Type="http://schemas.openxmlformats.org/officeDocument/2006/relationships/hyperlink" Target="https://cases.justia.com/tennessee/court-of-criminal-appeals/2023-m2022-00949-cca-r3-cd.pdf?ts=1695676978" TargetMode="External"/><Relationship Id="rId2297" Type="http://schemas.openxmlformats.org/officeDocument/2006/relationships/hyperlink" Target="https://nmonesource.com/nmos/nmsa/en/item/4422/index.do" TargetMode="External"/><Relationship Id="rId269" Type="http://schemas.openxmlformats.org/officeDocument/2006/relationships/hyperlink" Target="https://casetext.com/case/smith-v-city-of-cumming" TargetMode="External"/><Relationship Id="rId476" Type="http://schemas.openxmlformats.org/officeDocument/2006/relationships/hyperlink" Target="https://www.scribd.com/document/312245216/Career-Probationary-Firefighter-Runs-Out-of-Air-and-Dies-in-Commercial-Structure-Fire" TargetMode="External"/><Relationship Id="rId683" Type="http://schemas.openxmlformats.org/officeDocument/2006/relationships/hyperlink" Target="https://www.supremecourt.gov/opinions/24pdf/23-852_c07d.pdf" TargetMode="External"/><Relationship Id="rId890" Type="http://schemas.openxmlformats.org/officeDocument/2006/relationships/hyperlink" Target="https://casetext.com/case/borel-v-city-of-murrieta" TargetMode="External"/><Relationship Id="rId2157" Type="http://schemas.openxmlformats.org/officeDocument/2006/relationships/hyperlink" Target="https://www.cnn.com/2003/US/Midwest/12/01/died.in.custody/index.html" TargetMode="External"/><Relationship Id="rId2364" Type="http://schemas.openxmlformats.org/officeDocument/2006/relationships/hyperlink" Target="https://www.ems.ohio.gov/links/COVID-19/Legislated%20COVID-19%20Contingency%20Measures%20for%20Ohio%20EMS.pdf" TargetMode="External"/><Relationship Id="rId2571" Type="http://schemas.openxmlformats.org/officeDocument/2006/relationships/hyperlink" Target="https://cases.justia.com/federal/district-courts/virginia/vawdce/6:2024cv00051/132979/41/0.pdf?ts=1779390167" TargetMode="External"/><Relationship Id="rId129" Type="http://schemas.openxmlformats.org/officeDocument/2006/relationships/hyperlink" Target="http://kool.corrections.ky.gov/KOOL/Details/54918" TargetMode="External"/><Relationship Id="rId336" Type="http://schemas.openxmlformats.org/officeDocument/2006/relationships/hyperlink" Target="https://www.in.gov/judiciary/opinions/pdf/10241902eft.pdf" TargetMode="External"/><Relationship Id="rId543" Type="http://schemas.openxmlformats.org/officeDocument/2006/relationships/hyperlink" Target="https://www.newyorker.com/news/our-local-correspondents/what-the-supreme-courts-gun-ruling-means-for-new-york" TargetMode="External"/><Relationship Id="rId988" Type="http://schemas.openxmlformats.org/officeDocument/2006/relationships/hyperlink" Target="https://cases.justia.com/georgia/court-of-appeals/2023-a23a1037.pdf?ts=1697652631" TargetMode="External"/><Relationship Id="rId1173" Type="http://schemas.openxmlformats.org/officeDocument/2006/relationships/hyperlink" Target="https://info.bwc.ohio.gov/for-employers/workers-compensation-claims/recreational-waiver" TargetMode="External"/><Relationship Id="rId1380" Type="http://schemas.openxmlformats.org/officeDocument/2006/relationships/hyperlink" Target="https://www.supremecourt.gov/DocketPDF/23/23-1039/335322/20241216192608136_23-1039_Ames_Amicus_Brief_iso_Vacatur.pdf" TargetMode="External"/><Relationship Id="rId2017" Type="http://schemas.openxmlformats.org/officeDocument/2006/relationships/hyperlink" Target="https://law.justia.com/cases/new-york/other-courts/2019/2019-ny-slip-op-51419-u.html" TargetMode="External"/><Relationship Id="rId2224" Type="http://schemas.openxmlformats.org/officeDocument/2006/relationships/hyperlink" Target="https://cookcountyrecord.com/stories/641740005-labor-board-judge-chicago-trampled-union-bargaining-rights-by-firing-workers-who-refused-covid-vax" TargetMode="External"/><Relationship Id="rId2669" Type="http://schemas.openxmlformats.org/officeDocument/2006/relationships/hyperlink" Target="https://casetext.com/statute/indiana-code/title-36-local-government/article-8-public-safety/chapter-3-safety-boards-disciplinary-procedures/section-36-8-3-4-police-officers-and-firefighters-discipline-demotion-and-dismissal-hearings-appeals-administrative-leave" TargetMode="External"/><Relationship Id="rId2876" Type="http://schemas.openxmlformats.org/officeDocument/2006/relationships/hyperlink" Target="https://www.cadc.uscourts.gov/internet/opinions.nsf/AF29B804749163DE85258AC500547458/$file/22-1261-2040755.pdf" TargetMode="External"/><Relationship Id="rId403" Type="http://schemas.openxmlformats.org/officeDocument/2006/relationships/hyperlink" Target="https://www.dailymail.com/news/article-9746389/Fatal-assisted-living-fire-linked-cleaning-ritual.html" TargetMode="External"/><Relationship Id="rId750" Type="http://schemas.openxmlformats.org/officeDocument/2006/relationships/hyperlink" Target="https://www.timesofisrael.com/january-6-defendant-denies-boyfriend-plotted-to-shoot-up-synagogue/" TargetMode="External"/><Relationship Id="rId848" Type="http://schemas.openxmlformats.org/officeDocument/2006/relationships/hyperlink" Target="https://www.nytimes.com/2018/06/22/us/politics/supreme-court-warrants-cell-phone-privacy.html" TargetMode="External"/><Relationship Id="rId1033" Type="http://schemas.openxmlformats.org/officeDocument/2006/relationships/hyperlink" Target="https://apps.fastcase.com/Research/Pages/Document.aspx?LTID=Xw8aOGbEV5h7mh6RjPEl9n63ZALwBpLWbymlVcyIbGaFEyS5AIee4aT6cgn2wg4uWWJVckzCvxLzei9%2b4Apj1XP1P42mrmnHytE1H7bv0g2rI4G%2bkqbz4sFzRUBCZSj0unPMTNwoqsGxjmJqgIPe%2fA%3d%3d&amp;ECF=(1999)+21+Cal.4th+226" TargetMode="External"/><Relationship Id="rId1478" Type="http://schemas.openxmlformats.org/officeDocument/2006/relationships/hyperlink" Target="https://law.justia.com/cases/federal/district-courts/illinois/ilndce/1:2018cv03054/351942/211/" TargetMode="External"/><Relationship Id="rId1685" Type="http://schemas.openxmlformats.org/officeDocument/2006/relationships/hyperlink" Target="https://www.supremecourt.gov/DocketPDF/23/23-997/309679/20240513145152474_23-997%20Brief%20in%20Opposition%20Final.pdf" TargetMode="External"/><Relationship Id="rId1892" Type="http://schemas.openxmlformats.org/officeDocument/2006/relationships/hyperlink" Target="https://law.justia.com/cases/federal/appellate-courts/ca8/19-1414/19-1414-2020-08-17.html" TargetMode="External"/><Relationship Id="rId2431" Type="http://schemas.openxmlformats.org/officeDocument/2006/relationships/hyperlink" Target="https://www.supremecourt.ohio.gov/rod/docs/pdf/8/2018/2018-Ohio-4602.pdf" TargetMode="External"/><Relationship Id="rId2529" Type="http://schemas.openxmlformats.org/officeDocument/2006/relationships/hyperlink" Target="https://public.fastcase.com/9SKwsfNqTc6OieYDhNMyM%2BsbSTu241pOZ38l1fL3GtOxRE1iLhH6RZm0FIyTdVeF1XRK6Ebg7B5equTDg4ZQiMxFMDQEZko4UYsaxrmOuYk%3D" TargetMode="External"/><Relationship Id="rId2736" Type="http://schemas.openxmlformats.org/officeDocument/2006/relationships/hyperlink" Target="https://casetext.com/case/fitzgerald-v-botetourt-cnty" TargetMode="External"/><Relationship Id="rId610" Type="http://schemas.openxmlformats.org/officeDocument/2006/relationships/hyperlink" Target="https://njcourts.gov/attorneys/assets/opinions/appellate/unpublished/a1346-17.pdf" TargetMode="External"/><Relationship Id="rId708" Type="http://schemas.openxmlformats.org/officeDocument/2006/relationships/hyperlink" Target="https://www.newsandsentinel.com/news/local-news/2024/03/appeals-court-ruling-vacating-capitol-rioters-sentence-could-impact-dozens-of-jan-6-cases/" TargetMode="External"/><Relationship Id="rId915" Type="http://schemas.openxmlformats.org/officeDocument/2006/relationships/hyperlink" Target="https://codes.ohio.gov/ohio-revised-code/section-3746.24" TargetMode="External"/><Relationship Id="rId1240" Type="http://schemas.openxmlformats.org/officeDocument/2006/relationships/hyperlink" Target="https://law.justia.com/cases/new-york/other-courts/2020/2020-ny-slip-op-34353-u.html" TargetMode="External"/><Relationship Id="rId1338" Type="http://schemas.openxmlformats.org/officeDocument/2006/relationships/hyperlink" Target="https://www.sfgate.com/news/article/Supreme-Court-rules-that-companies-can-require-12931130.php" TargetMode="External"/><Relationship Id="rId1545" Type="http://schemas.openxmlformats.org/officeDocument/2006/relationships/hyperlink" Target="https://cases.justia.com/federal/district-courts/illinois/ilndce/1:2022cv01419/413396/37/0.pdf?ts=1732013718" TargetMode="External"/><Relationship Id="rId2943" Type="http://schemas.openxmlformats.org/officeDocument/2006/relationships/hyperlink" Target="https://www.healthaffairs.org/content/forefront/no-surprises-act-litigation-status-check" TargetMode="External"/><Relationship Id="rId1100" Type="http://schemas.openxmlformats.org/officeDocument/2006/relationships/hyperlink" Target="https://www.ca4.uscourts.gov/opinions/221081.U.pdf" TargetMode="External"/><Relationship Id="rId1405" Type="http://schemas.openxmlformats.org/officeDocument/2006/relationships/hyperlink" Target="https://public.fastcase.com/ZZhmr5v9wN%2FXOe5IsQ%2FqD4teBhUqY7wvbGAswNzyBMaksiAAx9CoK%2F0glr7LeyIGy7%2BIvTMMfnsD4C1w01llLSbg%2FSmkDMg22UrZNbleClI%3D?utm_medium=email&amp;_hsmi=226712652&amp;_hsenc=p2ANqtz--0kKIYBqY11A1vHL3K3LnOM9OT3ZDxvHId5EPEJRai0C-xgNPiCQqUNedXVxiPbPjxDggmQ5V534mtY9qGSRF7_b-8gg&amp;utm_content=226712652&amp;utm_source=hs_email" TargetMode="External"/><Relationship Id="rId1752" Type="http://schemas.openxmlformats.org/officeDocument/2006/relationships/hyperlink" Target="https://casetext.com/case/kocsis-v-multi-care-management-inc" TargetMode="External"/><Relationship Id="rId2803" Type="http://schemas.openxmlformats.org/officeDocument/2006/relationships/hyperlink" Target="https://cases.justia.com/federal/district-courts/tennessee/tnmdce/3:2018cv00148/73469/36/0.pdf?ts=1576934308" TargetMode="External"/><Relationship Id="rId44" Type="http://schemas.openxmlformats.org/officeDocument/2006/relationships/hyperlink" Target="https://www.supremecourt.gov/opinions/25pdf/24-624_b07d.pdf" TargetMode="External"/><Relationship Id="rId1612" Type="http://schemas.openxmlformats.org/officeDocument/2006/relationships/hyperlink" Target="https://casetext.com/case/saade-v-city-of-detroit-1" TargetMode="External"/><Relationship Id="rId1917" Type="http://schemas.openxmlformats.org/officeDocument/2006/relationships/hyperlink" Target="https://www.dol.gov/whd/opinion/FLSA/2018/2018_01_05_05_FLSA.pdf" TargetMode="External"/><Relationship Id="rId193" Type="http://schemas.openxmlformats.org/officeDocument/2006/relationships/hyperlink" Target="https://public.fastcase.com/ZZhmr5v9wN%2FXOe5IsQ%2FqDwpaI7JNx0yucAfBBTCYhVf6eRN0F6j2PHZ4Bf4v9PLOEuaobgTYEa8%2BzQGGWxAHAgvFhF3yj4k41BJEkNmdniM%3D?utm_medium=email&amp;_hsmi=226712652&amp;_hsenc=p2ANqtz-_dwT49KfhNPpDq3N3VwSjkZTEUiwZEDoqDlulVdR_yzkAg6581Fi_9SACtWrDkZJ_u8Xp6dukkkP4Lu33go_UmHv0HyQ&amp;utm_content=226712652&amp;utm_source=hs_email" TargetMode="External"/><Relationship Id="rId498" Type="http://schemas.openxmlformats.org/officeDocument/2006/relationships/hyperlink" Target="https://casetext.com/case/brady-v-village-of-malverne" TargetMode="External"/><Relationship Id="rId2081" Type="http://schemas.openxmlformats.org/officeDocument/2006/relationships/hyperlink" Target="https://cases.justia.com/georgia/court-of-appeals/2025-a25a1173.pdf?ts=1761847932" TargetMode="External"/><Relationship Id="rId2179" Type="http://schemas.openxmlformats.org/officeDocument/2006/relationships/hyperlink" Target="https://casetext.com/case/louis-v-liberty-cnty-emergency-med-servs-3" TargetMode="External"/><Relationship Id="rId260" Type="http://schemas.openxmlformats.org/officeDocument/2006/relationships/hyperlink" Target="https://indianexpress.com/article/world/supreme-court-allows-revival-of-trump-era-remain-in-mexico-asylum-policy-7469812/" TargetMode="External"/><Relationship Id="rId2386" Type="http://schemas.openxmlformats.org/officeDocument/2006/relationships/hyperlink" Target="http://www.leg.state.fl.us/statutes/index.cfm?App_mode=Display_Statute&amp;Search_String=&amp;URL=0100-0199/0112/Sections/0112.182.html" TargetMode="External"/><Relationship Id="rId2593" Type="http://schemas.openxmlformats.org/officeDocument/2006/relationships/hyperlink" Target="https://www.youtube.com/watch?v=NQ_XX2qp684" TargetMode="External"/><Relationship Id="rId120" Type="http://schemas.openxmlformats.org/officeDocument/2006/relationships/hyperlink" Target="https://www.kfvs12.com/story/30947819/christopher-il-woman-arrested-on-arson-charges/" TargetMode="External"/><Relationship Id="rId358" Type="http://schemas.openxmlformats.org/officeDocument/2006/relationships/hyperlink" Target="https://ceas.uc.edu/content/dam/refresh/ceas-62/documents/academics/departments/aerospace-engineering-&amp;-engineering-mechanics/fire-science/1Jan.%202019%20Newsletter%20ADA%200.pdf" TargetMode="External"/><Relationship Id="rId565" Type="http://schemas.openxmlformats.org/officeDocument/2006/relationships/hyperlink" Target="https://www.radio.com/kcbsradio/news/local/oakland-fire-stations-may-close-due-to-budget-deficit" TargetMode="External"/><Relationship Id="rId772" Type="http://schemas.openxmlformats.org/officeDocument/2006/relationships/hyperlink" Target="https://www.cincinnati.com/story/news/2020/08/01/dayton-shootings-oregon-district-year-later/5521896002/" TargetMode="External"/><Relationship Id="rId1195" Type="http://schemas.openxmlformats.org/officeDocument/2006/relationships/hyperlink" Target="https://www.cleveland.com/cityhall/2021/09/federal-appellate-court-upholds-first-amendment-case-brought-against-cleveland-by-retired-battalion-chief.html" TargetMode="External"/><Relationship Id="rId2039" Type="http://schemas.openxmlformats.org/officeDocument/2006/relationships/hyperlink" Target="https://www.coloradojudicial.gov/system/files/opinions-2026-06/24CA1002.pdf" TargetMode="External"/><Relationship Id="rId2246" Type="http://schemas.openxmlformats.org/officeDocument/2006/relationships/hyperlink" Target="https://www.law.cornell.edu/definitions/uscode.php?width=840&amp;height=800&amp;iframe=true&amp;def_id=42-USC-303628742-1009355614&amp;term_occur=999&amp;term_src=" TargetMode="External"/><Relationship Id="rId2453" Type="http://schemas.openxmlformats.org/officeDocument/2006/relationships/hyperlink" Target="https://casetext.com/case/city-of-tucson-v-the-indus-commn-of-ariz" TargetMode="External"/><Relationship Id="rId2660" Type="http://schemas.openxmlformats.org/officeDocument/2006/relationships/hyperlink" Target="https://indepthnh.org/2023/11/14/rep-jon-stones-records-as-a-cop-are-humiliating-lawyer-tells-nh-supreme-court/" TargetMode="External"/><Relationship Id="rId2898" Type="http://schemas.openxmlformats.org/officeDocument/2006/relationships/hyperlink" Target="https://caselaw.findlaw.com/us-7th-circuit/2104809.html" TargetMode="External"/><Relationship Id="rId218" Type="http://schemas.openxmlformats.org/officeDocument/2006/relationships/hyperlink" Target="https://local12.com/news/local/blocked-railroad-crossings-ohio-supreme-court-ruling-no-more-fines-trains-safety-butler-county-lockland-emergencies-csx-transportation-anti-blocking-law-federal-railroad-administration-cincinnati-local-12-wkrc-tristate-ohio-kentucky-indiana-news" TargetMode="External"/><Relationship Id="rId425" Type="http://schemas.openxmlformats.org/officeDocument/2006/relationships/hyperlink" Target="https://cases.justia.com/connecticut/court-of-appeals/2025-ac46735.pdf?ts=1766582340" TargetMode="External"/><Relationship Id="rId632" Type="http://schemas.openxmlformats.org/officeDocument/2006/relationships/hyperlink" Target="https://public.fastcase.com/Jhe1Qn%2BmJndQYQU6z%2FeNm6y%2ButKVHQ7qplXbc9U9gWaO0ooWSN9ntzBjMGV9FUUQ?utm_medium=email&amp;_hsenc=p2ANqtz-_Z4fCy207wA-GVpVh4JS6wIyKK4xAt9PwjI-H5ckiw2tYlLKp3PzFWQuUG8qe1JOGf1y8GbQNr8qUECGdNhBetcdlP1w&amp;_hsmi=226712652&amp;utm_content=226712652&amp;utm_source=hs_email" TargetMode="External"/><Relationship Id="rId1055" Type="http://schemas.openxmlformats.org/officeDocument/2006/relationships/hyperlink" Target="https://www.courtswv.gov/sites/default/pubfilesmnt/2025-12/25-ICA-222_MD.pdf" TargetMode="External"/><Relationship Id="rId1262" Type="http://schemas.openxmlformats.org/officeDocument/2006/relationships/hyperlink" Target="https://www.workplacefairness.org/whistleblower-retaliation-claim-OH" TargetMode="External"/><Relationship Id="rId2106" Type="http://schemas.openxmlformats.org/officeDocument/2006/relationships/hyperlink" Target="https://caselaw.findlaw.com/court/ak-supreme-court/117230404.html" TargetMode="External"/><Relationship Id="rId2313" Type="http://schemas.openxmlformats.org/officeDocument/2006/relationships/hyperlink" Target="https://www.leagle.com/decision/infdco20210811a71" TargetMode="External"/><Relationship Id="rId2520" Type="http://schemas.openxmlformats.org/officeDocument/2006/relationships/hyperlink" Target="https://casetext.com/case/abler-v-mayor-of-balt" TargetMode="External"/><Relationship Id="rId2758" Type="http://schemas.openxmlformats.org/officeDocument/2006/relationships/hyperlink" Target="https://www.wfmj.com/story/41405965/chief-working-under-last-chance-agreement-angers-youngstown-firefighters" TargetMode="External"/><Relationship Id="rId2965" Type="http://schemas.openxmlformats.org/officeDocument/2006/relationships/hyperlink" Target="https://www.law.cornell.edu/definitions/index.php?width=840&amp;height=800&amp;iframe=true&amp;def_id=977e8a5a6738f2296549dee03e70816a&amp;term_occur=999&amp;term_src=Title:24:Subtitle:B:Chapter:II:Subchapter:I:Part:291:Subpart:F:291.530" TargetMode="External"/><Relationship Id="rId937" Type="http://schemas.openxmlformats.org/officeDocument/2006/relationships/hyperlink" Target="https://leginfo.legislature.ca.gov/faces/billTextClient.xhtml?bill_id=201920200AB2655" TargetMode="External"/><Relationship Id="rId1122" Type="http://schemas.openxmlformats.org/officeDocument/2006/relationships/hyperlink" Target="https://www.osc.ny.gov/retirement/publications/1512/accidental-disability" TargetMode="External"/><Relationship Id="rId1567" Type="http://schemas.openxmlformats.org/officeDocument/2006/relationships/hyperlink" Target="https://www.cincinnati.com/story/news/2018/12/21/fire-captain-alleges-sexual-harassment-after-any-given-sunday-shown-station/2393196002/" TargetMode="External"/><Relationship Id="rId1774" Type="http://schemas.openxmlformats.org/officeDocument/2006/relationships/hyperlink" Target="https://cases.justia.com/california/court-of-appeal/2026-f089576.pdf?ts=1776802194" TargetMode="External"/><Relationship Id="rId1981" Type="http://schemas.openxmlformats.org/officeDocument/2006/relationships/hyperlink" Target="https://www.supremecourt.gov/docket/docketfiles/html/public/20-7934.html" TargetMode="External"/><Relationship Id="rId2618" Type="http://schemas.openxmlformats.org/officeDocument/2006/relationships/hyperlink" Target="https://supreme.justia.com/cases/federal/us/376/254/" TargetMode="External"/><Relationship Id="rId2825" Type="http://schemas.openxmlformats.org/officeDocument/2006/relationships/hyperlink" Target="http://www.ncsl.org/research/ethics/50-state-table-nepotism-restrictions.aspx" TargetMode="External"/><Relationship Id="rId66" Type="http://schemas.openxmlformats.org/officeDocument/2006/relationships/hyperlink" Target="https://cases.justia.com/wyoming/supreme-court/2025-s-24-0295.pdf?ts=1757689246" TargetMode="External"/><Relationship Id="rId1427" Type="http://schemas.openxmlformats.org/officeDocument/2006/relationships/hyperlink" Target="https://fisheldowney.com/moving-away-mandatory-arbitration-sexual-assault-harassment-claims/" TargetMode="External"/><Relationship Id="rId1634" Type="http://schemas.openxmlformats.org/officeDocument/2006/relationships/hyperlink" Target="https://cases.justia.com/federal/district-courts/alabama/alsdce/2:2018cv00293/62967/26/0.pdf?ts=1571995051" TargetMode="External"/><Relationship Id="rId1841" Type="http://schemas.openxmlformats.org/officeDocument/2006/relationships/hyperlink" Target="https://law.justia.com/cases/federal/district-courts/california/casdce/3:2022cv00487/730899/28/" TargetMode="External"/><Relationship Id="rId1939" Type="http://schemas.openxmlformats.org/officeDocument/2006/relationships/hyperlink" Target="https://www.firefighternation.com/fire-leadership/what-does-president-trumps-new-marijuana-directive-mean-for-you-as-a-fire-chief/" TargetMode="External"/><Relationship Id="rId1701" Type="http://schemas.openxmlformats.org/officeDocument/2006/relationships/hyperlink" Target="https://casetext.com/case/meyer-v-city-of-chehalis" TargetMode="External"/><Relationship Id="rId282" Type="http://schemas.openxmlformats.org/officeDocument/2006/relationships/hyperlink" Target="http://www.ethics.ohio.gov" TargetMode="External"/><Relationship Id="rId587" Type="http://schemas.openxmlformats.org/officeDocument/2006/relationships/hyperlink" Target="https://www.newsday.com/long-island/crime/west-hempstead-man-menaced-fire-volunteer-with-gun-police-say-1.12068135" TargetMode="External"/><Relationship Id="rId2170" Type="http://schemas.openxmlformats.org/officeDocument/2006/relationships/hyperlink" Target="https://cdn.ca9.uscourts.gov/datastore/opinions/2024/04/15/22-15546.pdf" TargetMode="External"/><Relationship Id="rId2268" Type="http://schemas.openxmlformats.org/officeDocument/2006/relationships/hyperlink" Target="https://www.dallasobserver.com/news/kyle-vess-court-rules-lawsuit-against-city-and-former-paramedic-can-move-forward-14303422" TargetMode="External"/><Relationship Id="rId8" Type="http://schemas.openxmlformats.org/officeDocument/2006/relationships/hyperlink" Target="https://doi.org/10.7945/j6c2-q930" TargetMode="External"/><Relationship Id="rId142" Type="http://schemas.openxmlformats.org/officeDocument/2006/relationships/hyperlink" Target="https://www.law.cornell.edu/rules/fre/rule_702" TargetMode="External"/><Relationship Id="rId447" Type="http://schemas.openxmlformats.org/officeDocument/2006/relationships/hyperlink" Target="https://www.courts.ms.gov/images/Opinions/CO182132.pdf" TargetMode="External"/><Relationship Id="rId794" Type="http://schemas.openxmlformats.org/officeDocument/2006/relationships/hyperlink" Target="https://www.law.cornell.edu/uscode/text/8/1227" TargetMode="External"/><Relationship Id="rId1077" Type="http://schemas.openxmlformats.org/officeDocument/2006/relationships/hyperlink" Target="https://www.jud.ct.gov/external/supapp/Cases/AROap/AP232/AP232.214.pdf" TargetMode="External"/><Relationship Id="rId2030" Type="http://schemas.openxmlformats.org/officeDocument/2006/relationships/hyperlink" Target="https://supreme.justia.com/cases/federal/us/470/532/" TargetMode="External"/><Relationship Id="rId2128" Type="http://schemas.openxmlformats.org/officeDocument/2006/relationships/hyperlink" Target="https://casetext.com/case/state-v-soliz-24" TargetMode="External"/><Relationship Id="rId2475" Type="http://schemas.openxmlformats.org/officeDocument/2006/relationships/hyperlink" Target="https://www.firerescue1.com/legal/tenn-supreme-court-reinstates-denial-of-ptsd-benefits-for-former-firefighter?utm_source=delivra&amp;utm_medium=email&amp;utm_campaign=FR1-Daily-10-15-25&amp;utm_id=9641961&amp;dlv-emuid=fed355b8-46a2-4fa4-b55c-4d602dde33c4&amp;dlv-mlid=964196" TargetMode="External"/><Relationship Id="rId2682" Type="http://schemas.openxmlformats.org/officeDocument/2006/relationships/hyperlink" Target="https://law.justia.com/cases/federal/appellate-courts/ca5/22-40438/22-40438-2023-08-15.html" TargetMode="External"/><Relationship Id="rId2987" Type="http://schemas.openxmlformats.org/officeDocument/2006/relationships/hyperlink" Target="https://www.congress.gov/bill/117th-congress/house-bill/4445/text" TargetMode="External"/><Relationship Id="rId654" Type="http://schemas.openxmlformats.org/officeDocument/2006/relationships/hyperlink" Target="https://www.supremecourt.gov/opinions/24pdf/24a931_2c83.pdf" TargetMode="External"/><Relationship Id="rId861" Type="http://schemas.openxmlformats.org/officeDocument/2006/relationships/hyperlink" Target="https://www.fs.usda.gov/r06/willamette/fire/info/beachie-creek-fire" TargetMode="External"/><Relationship Id="rId959" Type="http://schemas.openxmlformats.org/officeDocument/2006/relationships/hyperlink" Target="https://cases.justia.com/texas/first-court-of-appeals/2025-01-24-00936-cv.pdf?ts=1762265344" TargetMode="External"/><Relationship Id="rId1284" Type="http://schemas.openxmlformats.org/officeDocument/2006/relationships/hyperlink" Target="http://www.pacourts.us/assets/opinions/Commonwealth/out/1156cd19_5-6-20.pdf" TargetMode="External"/><Relationship Id="rId1491" Type="http://schemas.openxmlformats.org/officeDocument/2006/relationships/hyperlink" Target="https://www.eeoc.gov/laws/guidance/pregnancy_guidance.cfm" TargetMode="External"/><Relationship Id="rId1589" Type="http://schemas.openxmlformats.org/officeDocument/2006/relationships/hyperlink" Target="https://codes.ohio.gov/ohio-revised-code/section-9.481" TargetMode="External"/><Relationship Id="rId2335" Type="http://schemas.openxmlformats.org/officeDocument/2006/relationships/hyperlink" Target="https://codes.ohio.gov/ohio-revised-code/section-4765.49" TargetMode="External"/><Relationship Id="rId2542" Type="http://schemas.openxmlformats.org/officeDocument/2006/relationships/hyperlink" Target="https://public.fastcase.com/Wl%2B2t%2BeVuI35%2FN70vAMFZkkc03nKI8qkpSJ%2FzmzLggswfoR1RvbDETmM60pPGUhc" TargetMode="External"/><Relationship Id="rId307" Type="http://schemas.openxmlformats.org/officeDocument/2006/relationships/hyperlink" Target="https://www.myfloridacfo.com/division/agents/Industry/News/PubAdjRegs.htm" TargetMode="External"/><Relationship Id="rId514" Type="http://schemas.openxmlformats.org/officeDocument/2006/relationships/hyperlink" Target="https://casetext.com/case/calatayud-iii-v-state" TargetMode="External"/><Relationship Id="rId721" Type="http://schemas.openxmlformats.org/officeDocument/2006/relationships/hyperlink" Target="https://www.theguardian.com/us-news/2023/oct/27/lawsuit-dismissed-texas-greg-abbott-transport-immigration" TargetMode="External"/><Relationship Id="rId1144" Type="http://schemas.openxmlformats.org/officeDocument/2006/relationships/hyperlink" Target="https://law.justia.com/cases/texas/fourth-court-of-appeals/2023/04-22-00347-cv.html" TargetMode="External"/><Relationship Id="rId1351" Type="http://schemas.openxmlformats.org/officeDocument/2006/relationships/hyperlink" Target="https://cases.justia.com/federal/district-courts/connecticut/ctdce/3:2025cv00524/164327/45/0.pdf?ts=1773222843" TargetMode="External"/><Relationship Id="rId1449" Type="http://schemas.openxmlformats.org/officeDocument/2006/relationships/hyperlink" Target="https://scholar.google.com/scholar_case?case=10119606247499891126&amp;q=Rachel+MOSBY+v.+CITY+OF+BYRON,+GEORGIA,&amp;hl=en&amp;as_sdt=6,36" TargetMode="External"/><Relationship Id="rId1796" Type="http://schemas.openxmlformats.org/officeDocument/2006/relationships/hyperlink" Target="https://www.dol.gov/agencies/whd/fact-sheets/22-flsa-hours-worked" TargetMode="External"/><Relationship Id="rId2402" Type="http://schemas.openxmlformats.org/officeDocument/2006/relationships/hyperlink" Target="https://cases.justia.com/texas/first-court-of-appeals/2019-01-19-00450-cv.pdf?ts=1577798110" TargetMode="External"/><Relationship Id="rId2847" Type="http://schemas.openxmlformats.org/officeDocument/2006/relationships/hyperlink" Target="https://public.fastcase.com/Jhe1Qn%2BmJndQYQU6z%2FeNm%2FDGnkNPmF%2FGN9ENyHmXzZguwABevXHo%2FJOs4DZQ3ccvXn%2B8i7GPeSKXZ%2FJuUaa2eSmBPBV%2FroWj%2BWUiix8FppM%3D?utm_medium=email&amp;_hsenc=p2ANqtz-9ln45T61k1McKPYzdFhYaqHVpy9H3-ipNGhojNaHNF5Osr6BUzI4NGniJzh20R42JdVxn_jn5CFBBvjphJmsP_Zy8_gA&amp;_hsmi=226712652&amp;utm_content=226712652&amp;utm_source=hs_email" TargetMode="External"/><Relationship Id="rId88" Type="http://schemas.openxmlformats.org/officeDocument/2006/relationships/hyperlink" Target="https://www.14news.com/2024/06/17/convicted-killer-evansville-firefighter-set-be-sentenced-this-afternoon/" TargetMode="External"/><Relationship Id="rId819" Type="http://schemas.openxmlformats.org/officeDocument/2006/relationships/hyperlink" Target="https://public.fastcase.com/Wl%2B2t%2BeVuI35%2FN70vAMFZjEZMJsNZYCv20xfss0VwbYGceb09nWBJue7evWvO5N%2B" TargetMode="External"/><Relationship Id="rId1004" Type="http://schemas.openxmlformats.org/officeDocument/2006/relationships/hyperlink" Target="https://law.justia.com/cases/texas/thirteenth-court-of-appeals/2022/13-20-00315-cv.html" TargetMode="External"/><Relationship Id="rId1211" Type="http://schemas.openxmlformats.org/officeDocument/2006/relationships/hyperlink" Target="https://www.baltimoresun.com/maryland/baltimore-city/bs-md-ci-lawsuit-opinion-20210817-vlhba6nhe5dnfayycibxat2sli-story.html" TargetMode="External"/><Relationship Id="rId1656" Type="http://schemas.openxmlformats.org/officeDocument/2006/relationships/hyperlink" Target="https://ecf.flmd.uscourts.gov/cgi-bin/show_public_doc?2025-02787-49-8-cv" TargetMode="External"/><Relationship Id="rId1863" Type="http://schemas.openxmlformats.org/officeDocument/2006/relationships/hyperlink" Target="https://public.fastcase.com/9SKwsfNqTc6OieYDhNMyM%2Bd%2B2eK88WBpQndaMaa6S5BNLFOYsG1I8lL7zJutyS4p" TargetMode="External"/><Relationship Id="rId2707" Type="http://schemas.openxmlformats.org/officeDocument/2006/relationships/hyperlink" Target="https://www.firerescue1.com/arson-investigation/articles/understanding-the-firefighter-arsonist-j06dtElH3OMZMwBS/" TargetMode="External"/><Relationship Id="rId2914" Type="http://schemas.openxmlformats.org/officeDocument/2006/relationships/hyperlink" Target="https://www.theledger.com/story/news/local/2022/05/20/lakeland-fire-department-leaders-retaliated-against-union-members-commission-says/9852984002/?mc_cid=a677467851&amp;mc_eid=3f2d24c371" TargetMode="External"/><Relationship Id="rId1309" Type="http://schemas.openxmlformats.org/officeDocument/2006/relationships/hyperlink" Target="https://cases.justia.com/ohio/eighth-district-court-of-appeals/2019-108059.pdf?ts=1558624525" TargetMode="External"/><Relationship Id="rId1516" Type="http://schemas.openxmlformats.org/officeDocument/2006/relationships/hyperlink" Target="https://www.casemine.com/judgement/us/6736ce6c5891a561b0d805aa" TargetMode="External"/><Relationship Id="rId1723" Type="http://schemas.openxmlformats.org/officeDocument/2006/relationships/hyperlink" Target="https://www.law.georgetown.edu/icap/wp-content/uploads/sites/32/2020/07/Bey-2d-Cir.-Opening-Brief-FINAL-7-7-2020.pdf" TargetMode="External"/><Relationship Id="rId1930" Type="http://schemas.openxmlformats.org/officeDocument/2006/relationships/hyperlink" Target="https://mgaleg.maryland.gov/2026RS/bills/sb/sb0439T.pdf" TargetMode="External"/><Relationship Id="rId15" Type="http://schemas.openxmlformats.org/officeDocument/2006/relationships/hyperlink" Target="https://doi.org/10.7945/j6c2-q930" TargetMode="External"/><Relationship Id="rId2192" Type="http://schemas.openxmlformats.org/officeDocument/2006/relationships/hyperlink" Target="https://cases.justia.com/federal/district-courts/new-york/nysdce/7:2022cv04047/580058/37/0.pdf?ts=1703868116" TargetMode="External"/><Relationship Id="rId164" Type="http://schemas.openxmlformats.org/officeDocument/2006/relationships/hyperlink" Target="https://www.supremecourt.ohio.gov/forms/all-forms/crime-victims-marsys-law-rights/112" TargetMode="External"/><Relationship Id="rId371" Type="http://schemas.openxmlformats.org/officeDocument/2006/relationships/hyperlink" Target="https://www.supremecourt.gov/opinions/17pdf/16-1466_2b3j.pdf" TargetMode="External"/><Relationship Id="rId2052" Type="http://schemas.openxmlformats.org/officeDocument/2006/relationships/hyperlink" Target="https://www.dccourts.gov/sites/default/files/2026-05/Dargan%20%20v.%20D.C.%20Office%20of%20Employee%20Appeals.%2024-CV-1001.pdf" TargetMode="External"/><Relationship Id="rId2497" Type="http://schemas.openxmlformats.org/officeDocument/2006/relationships/hyperlink" Target="https://casetext.com/case/sotomayor-v-city-of-new-york" TargetMode="External"/><Relationship Id="rId469" Type="http://schemas.openxmlformats.org/officeDocument/2006/relationships/hyperlink" Target="https://www.firehero.org/fallen-firefighter/charles-e-morton/" TargetMode="External"/><Relationship Id="rId676" Type="http://schemas.openxmlformats.org/officeDocument/2006/relationships/hyperlink" Target="https://www.supremecourt.gov/opinions/24pdf/24a1153_l5gm.pdf" TargetMode="External"/><Relationship Id="rId883" Type="http://schemas.openxmlformats.org/officeDocument/2006/relationships/hyperlink" Target="https://caselaw.findlaw.com/court/us-5th-circuit/115838888.html" TargetMode="External"/><Relationship Id="rId1099" Type="http://schemas.openxmlformats.org/officeDocument/2006/relationships/hyperlink" Target="https://ilcourtsaudio.blob.core.windows.net/antilles-resources/resources/cb295fe3-77b3-494e-ba2f-aabcd601915c/Barz%20v.%20Village%20of%20Hazel%20Crest%20Firefighters%20Pension%20Fund,%202024%20IL%20App%20(1st)%20240137-U.pdf" TargetMode="External"/><Relationship Id="rId2357" Type="http://schemas.openxmlformats.org/officeDocument/2006/relationships/hyperlink" Target="https://casetext.com/case/benny-v-concord-partners-46th-st-llc-2" TargetMode="External"/><Relationship Id="rId2564" Type="http://schemas.openxmlformats.org/officeDocument/2006/relationships/hyperlink" Target="https://www.heraldstaronline.com/news/local-news/2025/05/former-mingo-fire-chief-indicted-by-grand-jury/" TargetMode="External"/><Relationship Id="rId231" Type="http://schemas.openxmlformats.org/officeDocument/2006/relationships/hyperlink" Target="https://law.justia.com/cases/virginia/court-of-appeals-unpublished/2022/0509-21-2.html" TargetMode="External"/><Relationship Id="rId329" Type="http://schemas.openxmlformats.org/officeDocument/2006/relationships/hyperlink" Target="https://public.fastcase.com/Wl%2B2t%2BeVuI35%2FN70vAMFZiMSkjeFjM9WB95jitKYLwuiXut%2FEoidjwwdPtdsEj9z" TargetMode="External"/><Relationship Id="rId536" Type="http://schemas.openxmlformats.org/officeDocument/2006/relationships/hyperlink" Target="https://casetext.com/case/as-horner-inc-v-navarrette-4" TargetMode="External"/><Relationship Id="rId1166" Type="http://schemas.openxmlformats.org/officeDocument/2006/relationships/hyperlink" Target="https://cases.justia.com/new-york/other-courts/2022-2022-ny-slip-op-32197-u.pdf?ts=1657833320" TargetMode="External"/><Relationship Id="rId1373" Type="http://schemas.openxmlformats.org/officeDocument/2006/relationships/hyperlink" Target="https://codes.ohio.gov/ohio-revised-code/section-4112.02" TargetMode="External"/><Relationship Id="rId2217" Type="http://schemas.openxmlformats.org/officeDocument/2006/relationships/hyperlink" Target="https://casetext.com/case/people-v-finley-127" TargetMode="External"/><Relationship Id="rId2771" Type="http://schemas.openxmlformats.org/officeDocument/2006/relationships/hyperlink" Target="https://public.fastcase.com/Wl%2B2t%2BeVuI35%2FN70vAMFZiys29g9i6WW2vOdml2B4dJUoMj0gy8QWoByD0pzloLe" TargetMode="External"/><Relationship Id="rId2869" Type="http://schemas.openxmlformats.org/officeDocument/2006/relationships/hyperlink" Target="https://www.supremecourt.ohio.gov/rod/docs/pdf/8/2024/2024-Ohio-4787.pdf" TargetMode="External"/><Relationship Id="rId743" Type="http://schemas.openxmlformats.org/officeDocument/2006/relationships/hyperlink" Target="https://middlemarketgrowth.org/podcast-tyler-brennan-racedayquads/" TargetMode="External"/><Relationship Id="rId950" Type="http://schemas.openxmlformats.org/officeDocument/2006/relationships/hyperlink" Target="https://cases.justia.com/texas/fourth-court-of-appeals/2026-04-25-00487-cr.pdf?ts=1782304969" TargetMode="External"/><Relationship Id="rId1026" Type="http://schemas.openxmlformats.org/officeDocument/2006/relationships/hyperlink" Target="https://www.fireapparatusmagazine.com/articles/print/volume-22/issue-3/features/hose-alert-a-firefighter-s-commonsense-solution-to-a-serious-problem.html" TargetMode="External"/><Relationship Id="rId1580" Type="http://schemas.openxmlformats.org/officeDocument/2006/relationships/hyperlink" Target="https://www.courtlistener.com/opinion/7859269/city-of-miami-v-david-rivera/" TargetMode="External"/><Relationship Id="rId1678" Type="http://schemas.openxmlformats.org/officeDocument/2006/relationships/hyperlink" Target="https://www.scotusblog.com/2024/06/court-adds-seven-cases-to-next-terms-docket/" TargetMode="External"/><Relationship Id="rId1885" Type="http://schemas.openxmlformats.org/officeDocument/2006/relationships/hyperlink" Target="http://www.firefighterovertime.org/wp-content/uploads/2018/03/DFW-FLSA-Complaint-2018.pdf" TargetMode="External"/><Relationship Id="rId2424" Type="http://schemas.openxmlformats.org/officeDocument/2006/relationships/hyperlink" Target="http://www.pacourts.us/assets/opinions/Superior/out/memorandum%20%20affirmed%20%2010388943251531544.pdf" TargetMode="External"/><Relationship Id="rId2631" Type="http://schemas.openxmlformats.org/officeDocument/2006/relationships/hyperlink" Target="https://www.ca5.uscourts.gov/opinions/pub/23/23-10881-CV0.pdf" TargetMode="External"/><Relationship Id="rId2729" Type="http://schemas.openxmlformats.org/officeDocument/2006/relationships/hyperlink" Target="https://www.supremecourt.ohio.gov/rod/docs/pdf/8/2022/2022-Ohio-824.pdf" TargetMode="External"/><Relationship Id="rId2936" Type="http://schemas.openxmlformats.org/officeDocument/2006/relationships/hyperlink" Target="https://www.watertowndailytimes.com/news03/lawyer-fees-for-watertown-fire-department-dispute-nearing-800000-20190207" TargetMode="External"/><Relationship Id="rId603" Type="http://schemas.openxmlformats.org/officeDocument/2006/relationships/hyperlink" Target="http://41af3k34gprx4f6bg12df75i.wpengine.netdna-cdn.com/wp-content/uploads/sites/19/2019/07/Marvaso-v.-Adams_-2019-U.S.-Dist.-LEXIS-114276.pdf" TargetMode="External"/><Relationship Id="rId810" Type="http://schemas.openxmlformats.org/officeDocument/2006/relationships/hyperlink" Target="https://www.govinfo.gov/content/pkg/FR-2020-08-13/pdf/2020-17468.pdf" TargetMode="External"/><Relationship Id="rId908" Type="http://schemas.openxmlformats.org/officeDocument/2006/relationships/hyperlink" Target="https://public.fastcase.com/waZtJvSA54UAurM2rmIZzzd7nmMG05wthWSY4rh3YOX2SQqdjQ2bWm74KVsbZSPmzEoqJnKOxl0hCOa8LdPZAi50MjJV0MwcRqnMVHWnvKI%3D" TargetMode="External"/><Relationship Id="rId1233" Type="http://schemas.openxmlformats.org/officeDocument/2006/relationships/hyperlink" Target="http://app.leg.wa.gov/RCW/default.aspx?cite=41.26.030" TargetMode="External"/><Relationship Id="rId1440" Type="http://schemas.openxmlformats.org/officeDocument/2006/relationships/hyperlink" Target="https://www.leagle.com/decision/infdco20210812991" TargetMode="External"/><Relationship Id="rId1538" Type="http://schemas.openxmlformats.org/officeDocument/2006/relationships/hyperlink" Target="https://apnews.com/hub/diversity-equity-and-inclusion" TargetMode="External"/><Relationship Id="rId1300" Type="http://schemas.openxmlformats.org/officeDocument/2006/relationships/hyperlink" Target="https://courts.illinois.gov/R23_Orders/WorkersComp/2020/1190373WC_R23.pdf" TargetMode="External"/><Relationship Id="rId1745" Type="http://schemas.openxmlformats.org/officeDocument/2006/relationships/hyperlink" Target="https://www.leagle.com/decision/infdco20190708957" TargetMode="External"/><Relationship Id="rId1952" Type="http://schemas.openxmlformats.org/officeDocument/2006/relationships/hyperlink" Target="https://casetext.com/statute/montana-code/title-2-government-structure-and-administration/chapter-4-administrative-procedure-act/part-6-contested-cases/section-2-4-621-when-absent-members-render-decision-proposal-for-decision-and-opportunity-to-submit-findings-and-conclusions-modification-by-agency" TargetMode="External"/><Relationship Id="rId37" Type="http://schemas.openxmlformats.org/officeDocument/2006/relationships/hyperlink" Target="https://ecf.ca8.uscourts.gov/opndir/26/04/242159P.pdf" TargetMode="External"/><Relationship Id="rId1605" Type="http://schemas.openxmlformats.org/officeDocument/2006/relationships/hyperlink" Target="https://www.cleveland19.com/2021/07/27/court-rules-favor-five-cleveland-ems-captains-who-claimed-discrimination-against-their-boss/" TargetMode="External"/><Relationship Id="rId1812" Type="http://schemas.openxmlformats.org/officeDocument/2006/relationships/hyperlink" Target="https://www.ecfr.gov/current/title-29/subtitle-B/chapter-V/subchapter-B/part-778" TargetMode="External"/><Relationship Id="rId186" Type="http://schemas.openxmlformats.org/officeDocument/2006/relationships/hyperlink" Target="https://casetext.com/case/people-v-smith-9160" TargetMode="External"/><Relationship Id="rId393" Type="http://schemas.openxmlformats.org/officeDocument/2006/relationships/hyperlink" Target="https://monographs.iarc.who.int/agents-classified-by-the-iarc/" TargetMode="External"/><Relationship Id="rId2074" Type="http://schemas.openxmlformats.org/officeDocument/2006/relationships/hyperlink" Target="https://law.justia.com/cases/new-york/appellate-division-first-department/2025/index-no-153104-18-appeal-no-5428-case-no-2024-01885.html" TargetMode="External"/><Relationship Id="rId2281" Type="http://schemas.openxmlformats.org/officeDocument/2006/relationships/hyperlink" Target="https://casetext.com/case/brown-v-medscope-am-corp" TargetMode="External"/><Relationship Id="rId253" Type="http://schemas.openxmlformats.org/officeDocument/2006/relationships/hyperlink" Target="https://public.fastcase.com/9SKwsfNqTc6OieYDhNMyM6jgODeMvtNo11ZvDvT9dExI019FDNN4wp%2BIWQLSUMw%2BxfaNzZaXSMuB0brgu1SRuIg3s6kJiaNRSylEv%2FkVP98%3D" TargetMode="External"/><Relationship Id="rId460" Type="http://schemas.openxmlformats.org/officeDocument/2006/relationships/hyperlink" Target="https://grsl.com/firefighters-rule-struck-down-by-new-jersey-supreme-court/" TargetMode="External"/><Relationship Id="rId698" Type="http://schemas.openxmlformats.org/officeDocument/2006/relationships/hyperlink" Target="https://www.supremecourt.gov/opinions/23pdf/22-915_8o6b.pdf" TargetMode="External"/><Relationship Id="rId1090" Type="http://schemas.openxmlformats.org/officeDocument/2006/relationships/hyperlink" Target="https://cases.justia.com/missouri/court-of-appeals/2025-wd87111.pdf?ts=1739982610" TargetMode="External"/><Relationship Id="rId2141" Type="http://schemas.openxmlformats.org/officeDocument/2006/relationships/hyperlink" Target="https://stlouiscriminaldefense.com/practice-areas/st-louis-murder-defense-attorney/" TargetMode="External"/><Relationship Id="rId2379" Type="http://schemas.openxmlformats.org/officeDocument/2006/relationships/hyperlink" Target="https://www.txcourts.gov/media/1447243/181085f-1.pdf" TargetMode="External"/><Relationship Id="rId2586" Type="http://schemas.openxmlformats.org/officeDocument/2006/relationships/hyperlink" Target="https://cases.justia.com/federal/district-courts/illinois/ilndce/1:2025cv10892/485962/24/0.pdf?ts=1769597667" TargetMode="External"/><Relationship Id="rId2793" Type="http://schemas.openxmlformats.org/officeDocument/2006/relationships/hyperlink" Target="https://www.heraldextra.com/news/local/crime-and-courts/millard-county-fire-chief-charged-with-raping-two-women-will/article_32fa3eae-85cc-5928-a493-88a75082f506.html" TargetMode="External"/><Relationship Id="rId113" Type="http://schemas.openxmlformats.org/officeDocument/2006/relationships/hyperlink" Target="https://cases.justia.com/ohio/seventh-district-court-of-appeals/2024-24-be-0004.pdf?ts=1730297340" TargetMode="External"/><Relationship Id="rId320" Type="http://schemas.openxmlformats.org/officeDocument/2006/relationships/hyperlink" Target="https://cdm17027.contentdm.oclc.org/digital/collection/p17027coll5/id/26716/rec/1" TargetMode="External"/><Relationship Id="rId558" Type="http://schemas.openxmlformats.org/officeDocument/2006/relationships/hyperlink" Target="https://casetext.com/case/taylor-v-bd-of-trs-of-firefighters-ret-plan-of-st-louis" TargetMode="External"/><Relationship Id="rId765" Type="http://schemas.openxmlformats.org/officeDocument/2006/relationships/hyperlink" Target="https://www.law.cornell.edu/definitions/uscode.php?width=840&amp;height=800&amp;iframe=true&amp;def_id=18-USC-1846489032-909420281&amp;term_occur=999&amp;term_src=title:18:part:I:chapter:13:section:249" TargetMode="External"/><Relationship Id="rId972" Type="http://schemas.openxmlformats.org/officeDocument/2006/relationships/hyperlink" Target="https://cases.justia.com/pennsylvania/commonwealth-court/2024-1232-c-d-2023.pdf?ts=1729783758" TargetMode="External"/><Relationship Id="rId1188" Type="http://schemas.openxmlformats.org/officeDocument/2006/relationships/hyperlink" Target="http://app.leg.wa.gov/RCW/default.aspx?cite=51.08.140" TargetMode="External"/><Relationship Id="rId1395" Type="http://schemas.openxmlformats.org/officeDocument/2006/relationships/hyperlink" Target="https://cases.justia.com/federal/district-courts/nevada/nvdce/2:2021cv01405/151510/46/0.pdf" TargetMode="External"/><Relationship Id="rId2001" Type="http://schemas.openxmlformats.org/officeDocument/2006/relationships/hyperlink" Target="https://www.firerescue1.com/dwi/articles/fire-dept-changes-rules-after-firefighter-dwi-arrests-rmaW6QcL6R9YmTqf/" TargetMode="External"/><Relationship Id="rId2239" Type="http://schemas.openxmlformats.org/officeDocument/2006/relationships/hyperlink" Target="https://public.fastcase.com/J%2FJP6pdidelsXxEE4k%2BLMhEAWViZoZCNNVQqGGOJQe0x0uZjPj6basWGo2LdR7ZdZ7mXMibE%2B6q63t6QJEFPzY8xsgWYqrexPGowqeVKLtU%3D?utm_medium=email&amp;_hsmi=226712652&amp;_hsenc=p2ANqtz-_6354qi3IFHsOx1ZsytROIPRrzR7P7WEO-" TargetMode="External"/><Relationship Id="rId2446" Type="http://schemas.openxmlformats.org/officeDocument/2006/relationships/hyperlink" Target="https://scholar.google.com/scholar_case?case=10284773024569378667&amp;hl=en&amp;as_sdt=6&amp;as_vis=1&amp;oi=scholarr" TargetMode="External"/><Relationship Id="rId2653" Type="http://schemas.openxmlformats.org/officeDocument/2006/relationships/hyperlink" Target="https://casetext.com/case/medina-v-columbia-river-fire-rescue" TargetMode="External"/><Relationship Id="rId2860" Type="http://schemas.openxmlformats.org/officeDocument/2006/relationships/hyperlink" Target="https://public.fastcase.com/jaEE2PXzRXmZ99jOLMt1IpPvzvvllZ7Rrt4VKwyGVntYyQb9IRuNiNqVshy4%2Bl2z%2BsY6VEZuB3eEVHjKlzOdk%2FP8W50g7Bl84BsJ%2BT14tOs%3D?utm_medium=email&amp;_hsenc=p2ANqtz-8_cjXUjI5LfLOi5ALG6MFLDFJJrn3rZsNciOMXnsNsHK54iflcoWeqPuq6ELEpSWLnjpVW4QqFeFKVqziKDzXrD-fT4Q&amp;_hsmi=226712652&amp;utm_content=226712652&amp;utm_source=hs_email" TargetMode="External"/><Relationship Id="rId418" Type="http://schemas.openxmlformats.org/officeDocument/2006/relationships/hyperlink" Target="https://www.hbsslaw.com/press/pfas-firefighter-turnout-gear/butte-montana-files-class-action-lawsuit-fighting-pfas-in-firefighter-turnout-gear-to-aid-those-facing-costly-replacements" TargetMode="External"/><Relationship Id="rId625" Type="http://schemas.openxmlformats.org/officeDocument/2006/relationships/hyperlink" Target="https://caselaw.findlaw.com/ny-supreme-court-appellate-division/1893546.html" TargetMode="External"/><Relationship Id="rId832" Type="http://schemas.openxmlformats.org/officeDocument/2006/relationships/hyperlink" Target="https://cases.justia.com/federal/appellate-courts/ca9/17-35634/17-35634-2019-10-21.pdf?ts=1571677280" TargetMode="External"/><Relationship Id="rId1048" Type="http://schemas.openxmlformats.org/officeDocument/2006/relationships/hyperlink" Target="https://cases.justia.com/new-york/other-courts/2026-2026-ny-slip-op-30695-u.pdf?ts=1773178122" TargetMode="External"/><Relationship Id="rId1255" Type="http://schemas.openxmlformats.org/officeDocument/2006/relationships/hyperlink" Target="https://www.delawareonline.com/story/news/2019/04/26/former-wilmington-fire-chief-gets-prison-time-theft/3588123002/" TargetMode="External"/><Relationship Id="rId1462" Type="http://schemas.openxmlformats.org/officeDocument/2006/relationships/hyperlink" Target="http://media.ca11.uscourts.gov/opinions/pub/files/201814687.pdf" TargetMode="External"/><Relationship Id="rId2306" Type="http://schemas.openxmlformats.org/officeDocument/2006/relationships/hyperlink" Target="https://www.cbsnews.com/news/los-angeles-settlement-families-photos-kobe-bryant-helicopter-crash/" TargetMode="External"/><Relationship Id="rId2513" Type="http://schemas.openxmlformats.org/officeDocument/2006/relationships/hyperlink" Target="https://public.fastcase.com/J%2FJP6pdidelsXxEE4k%2BLMrxVcam7rKBSdRgmN0M2d%2BrW9J8HXjyMcs%2BCJsDK%2Fusk%2B2E9D%2F1BAqASOG07gYFsTW16dm6lb%2FBgwI52A7gDyzw%3D?utm_medium=email&amp;_hsmi=226712652&amp;_hsenc=p2ANqtz-9PBrRsgZ6dWHR_pYoIAB1lqWQVVefDA3UXzg06QZf9i4O0NAY5ywCEjL-xcfOhIm7moLGvuFP1IQS4Gks-qJ07TvkP3Q&amp;utm_content=226712652&amp;utm_source=hs_email" TargetMode="External"/><Relationship Id="rId2958" Type="http://schemas.openxmlformats.org/officeDocument/2006/relationships/hyperlink" Target="https://ethics.ohio.gov/education/newsletters/VOE_25Q3.pdf" TargetMode="External"/><Relationship Id="rId1115" Type="http://schemas.openxmlformats.org/officeDocument/2006/relationships/hyperlink" Target="https://www.ncbi.nlm.nih.gov/pmc/articles/PMC10455106/" TargetMode="External"/><Relationship Id="rId1322" Type="http://schemas.openxmlformats.org/officeDocument/2006/relationships/hyperlink" Target="https://caselaw.findlaw.com/us-9th-circuit/1864754.html" TargetMode="External"/><Relationship Id="rId1767" Type="http://schemas.openxmlformats.org/officeDocument/2006/relationships/hyperlink" Target="https://www.ecfr.gov/current/title-29/subtitle-B/chapter-V/subchapter-B/part-785/subpart-C/subject-group-ECFRecc40629d2c64c8/section-785.22" TargetMode="External"/><Relationship Id="rId1974" Type="http://schemas.openxmlformats.org/officeDocument/2006/relationships/hyperlink" Target="https://public.fastcase.com/J%2FJP6pdidelsXxEE4k%2BLMjguDlksD8dKELdpfFWP9cYBmH83FdbmlTzl%2FYR%2FGHKVJmTrfPX2dR0kqVK5JcTrQwWj0Xyj7G2BHa1wkLBWvR8%3D?utm_medium=email&amp;_hsmi=226712652&amp;_hsenc=p2ANqtz-8X8hd1OyKx9xBVWTYyyRcKWZqDrqGklavKHA9oFy03k-3f0cMxPP9GwSn13jNQOldot2axaAKjxlo1irLgFnquT2grYg&amp;utm_content=226712652&amp;utm_source=hs_email" TargetMode="External"/><Relationship Id="rId2720" Type="http://schemas.openxmlformats.org/officeDocument/2006/relationships/hyperlink" Target="https://iprospectcheck.com/background-checks-employment-guide/" TargetMode="External"/><Relationship Id="rId2818" Type="http://schemas.openxmlformats.org/officeDocument/2006/relationships/hyperlink" Target="http://www.sconet.state.oh.us/rod/docs/pdf/0/2009/2009-Ohio-2597.pdf" TargetMode="External"/><Relationship Id="rId59" Type="http://schemas.openxmlformats.org/officeDocument/2006/relationships/hyperlink" Target="https://www.voltacharger.com/blogs/news/what-causes-phone-chargers-to-explode-and-how-to-avoid-it?srsltid=AfmBOor-D0Mt5iX7UDwb-r4sqdnXak-6s4LPkG62kZWVkLQCSPJSBjBB" TargetMode="External"/><Relationship Id="rId1627" Type="http://schemas.openxmlformats.org/officeDocument/2006/relationships/hyperlink" Target="https://public.fastcase.com/Wl%2B2t%2BeVuI35%2FN70vAMFZu9WSCqieY3u1gfnWEwDVajGcV1Qbmc97gDjPt%2BB6d9C" TargetMode="External"/><Relationship Id="rId1834" Type="http://schemas.openxmlformats.org/officeDocument/2006/relationships/hyperlink" Target="https://public.fastcase.com/ZZhmr5v9wN%2FXOe5IsQ%2FqDwe%2Bl2bMb8hsQzBhmq%2BKFWjfsnc%2Brn1NgeRpqQFDQ7VnnNgPvPdQabSyR0vz9Y1rYYCnr8USzlwvvvJ%2BE3sgG14%3D?utm_medium=email&amp;_hsmi=226712652&amp;_hsenc=p2ANqtz-9yLx0aoJRhvv2Vy8uTc7HU3fN6k1djWwCn0_TOB1MuUA7MVtIjTAZu2eDX0z4FTqDgKj_XXmkUdS-aKvCM9lVim5p6Eg&amp;utm_content=226712652&amp;utm_source=hs_email" TargetMode="External"/><Relationship Id="rId2096" Type="http://schemas.openxmlformats.org/officeDocument/2006/relationships/hyperlink" Target="https://cases.justia.com/texas/fifteenth-court-of-appeals/2025-15-24-00048-cv.pdf?ts=1753365777" TargetMode="External"/><Relationship Id="rId1901" Type="http://schemas.openxmlformats.org/officeDocument/2006/relationships/hyperlink" Target="https://www.justice.gov/opa/pr/covid-19-servicemembers-civil-rights-message-assistant-attorney-general" TargetMode="External"/><Relationship Id="rId275" Type="http://schemas.openxmlformats.org/officeDocument/2006/relationships/hyperlink" Target="https://www.wicourts.gov/ca/opinion/DisplayDocument.pdf?content=pdf&amp;seqNo=342440" TargetMode="External"/><Relationship Id="rId482" Type="http://schemas.openxmlformats.org/officeDocument/2006/relationships/hyperlink" Target="https://cases.justia.com/new-york/other-courts/2024-2024-ny-slip-op-31696-u.pdf?ts=1716238363" TargetMode="External"/><Relationship Id="rId2163" Type="http://schemas.openxmlformats.org/officeDocument/2006/relationships/hyperlink" Target="https://casetext.com/statute/united-states-code/title-28-judiciary-and-judicial-procedure/part-v-procedure/chapter-123-fees-and-costs/section-1920-taxation-of-costs" TargetMode="External"/><Relationship Id="rId2370" Type="http://schemas.openxmlformats.org/officeDocument/2006/relationships/hyperlink" Target="https://law.justia.com/cases/new-york/appellate-division-second-department/2020/2018-14386.html" TargetMode="External"/><Relationship Id="rId135" Type="http://schemas.openxmlformats.org/officeDocument/2006/relationships/hyperlink" Target="https://www.law.cornell.edu/wex/hearsay" TargetMode="External"/><Relationship Id="rId342" Type="http://schemas.openxmlformats.org/officeDocument/2006/relationships/hyperlink" Target="https://law.justia.com/cases/federal/appellate-courts/ca7/17-3030/17-3030-2018-08-22.html" TargetMode="External"/><Relationship Id="rId787" Type="http://schemas.openxmlformats.org/officeDocument/2006/relationships/hyperlink" Target="https://www.law.cornell.edu/definitions/uscode.php?width=840&amp;height=800&amp;iframe=true&amp;def_id=8-USC-2124716147-1201680062&amp;term_occur=999&amp;term_src=title:8:chapter:12:subchapter:II:part:IV:section:1229b" TargetMode="External"/><Relationship Id="rId994" Type="http://schemas.openxmlformats.org/officeDocument/2006/relationships/hyperlink" Target="https://cms7files1.revize.com/starkcountyoh/f22-16.wbh.sl.pdf" TargetMode="External"/><Relationship Id="rId2023" Type="http://schemas.openxmlformats.org/officeDocument/2006/relationships/hyperlink" Target="https://www.njcourts.gov/system/files/court-opinions/2026/a1374-24.pdf" TargetMode="External"/><Relationship Id="rId2230" Type="http://schemas.openxmlformats.org/officeDocument/2006/relationships/hyperlink" Target="https://www.cbsnews.com/newyork/news/judge-strikes-down-pba-vaccine-mandate-orders-new-york-city-to-reinstate-unvaccinated-members/" TargetMode="External"/><Relationship Id="rId2468" Type="http://schemas.openxmlformats.org/officeDocument/2006/relationships/hyperlink" Target="https://www.courts.michigan.gov/494b62/siteassets/case-documents/uploads/opinions/final/coa/20260317_c372830_50_372830.opn.pdf" TargetMode="External"/><Relationship Id="rId2675" Type="http://schemas.openxmlformats.org/officeDocument/2006/relationships/hyperlink" Target="https://cases.justia.com/federal/district-courts/louisiana/lamdce/3:2021cv00287/59089/59/0.pdf?ts=1697816120" TargetMode="External"/><Relationship Id="rId2882" Type="http://schemas.openxmlformats.org/officeDocument/2006/relationships/hyperlink" Target="https://www.supremecourt.ohio.gov/rod/docs/pdf/0/2023/2023-Ohio-2976.pdf" TargetMode="External"/><Relationship Id="rId202" Type="http://schemas.openxmlformats.org/officeDocument/2006/relationships/hyperlink" Target="https://www.supremecourt.ohio.gov/rod/docs/pdf/0/2021/2021-ohio-2067.pdf" TargetMode="External"/><Relationship Id="rId647" Type="http://schemas.openxmlformats.org/officeDocument/2006/relationships/hyperlink" Target="https://www.hstoday.us/subject-matter-areas/counterterrorism/9-11-litigation-is-building-a-new-legal-framework-for-foreign-terrorist-accountability/" TargetMode="External"/><Relationship Id="rId854" Type="http://schemas.openxmlformats.org/officeDocument/2006/relationships/hyperlink" Target="https://www.law.com/newyorklawjournal/2018/03/29/ny-high-court-allows-nypd-to-evade-giving-foil-requested-information-about-muslim-surveillance/" TargetMode="External"/><Relationship Id="rId1277" Type="http://schemas.openxmlformats.org/officeDocument/2006/relationships/hyperlink" Target="https://public.fastcase.com/Wl%2B2t%2BeVuI35%2FN70vAMFZp5steAbFsjz8D5zs28wLVD2J2xhMYzUEH8PyP%2BVbQO%2B" TargetMode="External"/><Relationship Id="rId1484" Type="http://schemas.openxmlformats.org/officeDocument/2006/relationships/hyperlink" Target="https://assets.documentcloud.org/documents/5745041/Eeoc.pdf" TargetMode="External"/><Relationship Id="rId1691" Type="http://schemas.openxmlformats.org/officeDocument/2006/relationships/hyperlink" Target="https://www.mass.gov/doc/grenier-pierre-v-springfield-fire-department-related-superior-court-decision-3823/download" TargetMode="External"/><Relationship Id="rId2328" Type="http://schemas.openxmlformats.org/officeDocument/2006/relationships/hyperlink" Target="https://casetext.com/statute/revised-code-of-washington/title-68-cemeteries-morgues-and-human-remains/chapter-6850-human-remains/section-6850160-right-to-control-disposition-of-remains-liability-of-funeral-establishment-or-cemetery-authority-liability-for-cost" TargetMode="External"/><Relationship Id="rId2535" Type="http://schemas.openxmlformats.org/officeDocument/2006/relationships/hyperlink" Target="https://www.firerescue1.com/ptsd/articles/ohio-house-passes-bill-expanding-first-responders-workers-compensation-for-ptsd-QXXQPU6H47rb9Z8o/" TargetMode="External"/><Relationship Id="rId2742" Type="http://schemas.openxmlformats.org/officeDocument/2006/relationships/hyperlink" Target="https://public.fastcase.com/9SKwsfNqTc6OieYDhNMyMyDFWJKG68%2FxrxDgF%2ByOzsjPpcL4jvi7QzZ2AR2rzbKPcZbDkGArV5tenVtyFKk%2FX7II2Lot3PKpssqnJQodheI%253" TargetMode="External"/><Relationship Id="rId507" Type="http://schemas.openxmlformats.org/officeDocument/2006/relationships/hyperlink" Target="https://casetext.com/case/vann-v-city-of-san-francisco" TargetMode="External"/><Relationship Id="rId714" Type="http://schemas.openxmlformats.org/officeDocument/2006/relationships/hyperlink" Target="https://www.cdcr.ca.gov/facility-locator/conservation-camps/" TargetMode="External"/><Relationship Id="rId921" Type="http://schemas.openxmlformats.org/officeDocument/2006/relationships/hyperlink" Target="https://www.supremecourt.gov/opinions/21pdf/20-1668_19m2.pdf" TargetMode="External"/><Relationship Id="rId1137" Type="http://schemas.openxmlformats.org/officeDocument/2006/relationships/hyperlink" Target="https://casetext.com/case/the-providence-retired-police-firefighters-assn-v-city-of-providence" TargetMode="External"/><Relationship Id="rId1344" Type="http://schemas.openxmlformats.org/officeDocument/2006/relationships/hyperlink" Target="https://cases.justia.com/federal/appellate-courts/ca6/25-3885/25-3885-2026-07-17.pdf?ts=1784323840" TargetMode="External"/><Relationship Id="rId1551" Type="http://schemas.openxmlformats.org/officeDocument/2006/relationships/hyperlink" Target="https://supreme.justia.com/cases/federal/us/564/338/" TargetMode="External"/><Relationship Id="rId1789" Type="http://schemas.openxmlformats.org/officeDocument/2006/relationships/hyperlink" Target="https://osc.gov/Services/Pages/USERRA-Employee.aspx" TargetMode="External"/><Relationship Id="rId1996" Type="http://schemas.openxmlformats.org/officeDocument/2006/relationships/hyperlink" Target="https://cases.justia.com/federal/appellate-courts/ca10/19-1049/19-1049-2020-04-07.pdf?ts=1586277066" TargetMode="External"/><Relationship Id="rId2602" Type="http://schemas.openxmlformats.org/officeDocument/2006/relationships/hyperlink" Target="https://cases.justia.com/illinois/court-of-appeals-second-appellate-district/2025-2-24-0565.pdf?ts=1765847849" TargetMode="External"/><Relationship Id="rId50" Type="http://schemas.openxmlformats.org/officeDocument/2006/relationships/hyperlink" Target="https://law.justia.com/cases/kentucky/supreme-court/2025/2023-sc-0395-dg.html" TargetMode="External"/><Relationship Id="rId1204" Type="http://schemas.openxmlformats.org/officeDocument/2006/relationships/hyperlink" Target="https://www.alexdell.com/news/79/NEW-YORK-COURTS-CLARIFY-DEFINITION-OF-ACCIDENT-FOR-DISABILITY-RETIREMENT-PURPOSES/" TargetMode="External"/><Relationship Id="rId1411" Type="http://schemas.openxmlformats.org/officeDocument/2006/relationships/hyperlink" Target="https://public.fastcase.com/ZZhmr5v9wN%2FXOe5IsQ%2FqD5GEiR8JSLFSN2NHQUjL%2BLjuVtwCOTZwj5nD2zQQ%2BwtpHt7pljoilZmodoPEUPL5r9NdmF5u2B1LY%2FXPhwSo6GU%3D?utm_medium=email&amp;_hsmi=226712652&amp;_hsenc=p2ANqtz-8SXYDP1HnWQE4kbMGe0V_9TllXrxMri8_HVcmLnhw39Rwsl622P5fZw6IGKcYm90xDZflJsj-2gnz1pneYjju0n1QAHw&amp;utm_content=226712652&amp;utm_source=hs_email" TargetMode="External"/><Relationship Id="rId1649" Type="http://schemas.openxmlformats.org/officeDocument/2006/relationships/hyperlink" Target="https://public.fastcase.com/Jhe1Qn%2BmJndQYQU6z%2FeNm%2BBAkVyVw7qfp1FLZhLRneZoYclJ%2FVT7s6PXMIJoJS6%2B?utm_medium=email&amp;_hsenc=p2ANqtz-8PpRuVev0Ah_XktOEuEmMt0agUMxrVPAo9u5l7IUNDD8PU7k6rzhxTWeOW-diGg6ug4Y_W0mxcgZfTt2tSbUoxEpMhGQ&amp;_hsmi=226712652&amp;utm_content=226712652&amp;utm_source=hs_email" TargetMode="External"/><Relationship Id="rId1856" Type="http://schemas.openxmlformats.org/officeDocument/2006/relationships/hyperlink" Target="https://www.law.cornell.edu/definitions/uscode.php?width=840&amp;height=800&amp;iframe=true&amp;def_id=29-USC-1193469627-1968318500&amp;term_occur=999&amp;term_src=title:29:chapter:9:section:260" TargetMode="External"/><Relationship Id="rId2907" Type="http://schemas.openxmlformats.org/officeDocument/2006/relationships/hyperlink" Target="https://public.fastcase.com/J%2FJP6pdidelsXxEE4k%2BLMgRuGoPztfGYl4rgyWIW4hR9R3ye4G%2Brlx4oNbvfkD7bo5Sl3SUFyCNYsXscEScOvl5B7KBk99Bt%2FA1OCEhfyl0%3D" TargetMode="External"/><Relationship Id="rId1509" Type="http://schemas.openxmlformats.org/officeDocument/2006/relationships/hyperlink" Target="https://www.supremecourt.gov/opinions/25pdf/24-109_21o3.pdf" TargetMode="External"/><Relationship Id="rId1716" Type="http://schemas.openxmlformats.org/officeDocument/2006/relationships/hyperlink" Target="https://public.fastcase.com/9SKwsfNqTc6OieYDhNMyM6vC7U3N6pFiGGudI%2FRRBa2RM8NFylVCIr30mZgiL1xCGi%2BB4TwUGi23U%2F4WBRTxtqosYxdtzzhHp1yF4K4Z7P8%3D" TargetMode="External"/><Relationship Id="rId1923" Type="http://schemas.openxmlformats.org/officeDocument/2006/relationships/hyperlink" Target="https://www.ohioauditor.gov/trainings/lgoc/2018/Fair%20Labor%20Standards%20Act%20for%20Firefighters.pdf" TargetMode="External"/><Relationship Id="rId297" Type="http://schemas.openxmlformats.org/officeDocument/2006/relationships/hyperlink" Target="https://supreme.justia.com/cases/federal/us/468/897/" TargetMode="External"/><Relationship Id="rId2185" Type="http://schemas.openxmlformats.org/officeDocument/2006/relationships/hyperlink" Target="https://www.ca5.uscourts.gov/opinions/unpub/23/23-20375.0.pdf" TargetMode="External"/><Relationship Id="rId2392" Type="http://schemas.openxmlformats.org/officeDocument/2006/relationships/hyperlink" Target="https://www.pennlive.com/news/2020/04/split-pa-supreme-court-rejects-latest-challenge-to-gov-wolfs-coronavirus-business-shutdown-order.html" TargetMode="External"/><Relationship Id="rId157" Type="http://schemas.openxmlformats.org/officeDocument/2006/relationships/hyperlink" Target="https://cases.justia.com/michigan/court-of-appeals-published/2024-364264.pdf?ts=1708092018" TargetMode="External"/><Relationship Id="rId364" Type="http://schemas.openxmlformats.org/officeDocument/2006/relationships/hyperlink" Target="https://www.wicourts.gov/sc/opinion/DisplayDocument.pdf?content=pdf&amp;seqNo=224718" TargetMode="External"/><Relationship Id="rId2045" Type="http://schemas.openxmlformats.org/officeDocument/2006/relationships/hyperlink" Target="https://www.legislature.mi.gov/Laws/MCL?objectName=MCL-691-1405" TargetMode="External"/><Relationship Id="rId2697" Type="http://schemas.openxmlformats.org/officeDocument/2006/relationships/hyperlink" Target="https://www.thefire.org/first-amendment-library/decision/pickering-v-board-of-education-of-township-high-school-district-205-will-cou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22C58-E3D9-4450-945B-3C981AE1C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1756</TotalTime>
  <Pages>1396</Pages>
  <Words>678970</Words>
  <Characters>3870134</Characters>
  <Application>Microsoft Office Word</Application>
  <DocSecurity>0</DocSecurity>
  <Lines>32251</Lines>
  <Paragraphs>9080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Note:  </vt:lpstr>
      <vt:lpstr>Rule 701. Opinion Testimony by Lay Witnesses; https://www.law.cornell.edu/rules/</vt:lpstr>
      <vt:lpstr>Rule 702. Testimony by Expert Witnesses; https://www.law.cornell.edu/rules/fre/r</vt:lpstr>
      <vt:lpstr>Note: See July 25, 2023 article, “Federal Appeals Court throws out conviction fo</vt:lpstr>
      <vt:lpstr>See Jan. 6, 2022 DoJ Press Release: “Asheville Jury Convicts Franklin, N.C. Man </vt:lpstr>
      <vt:lpstr>Note: See Feb. 7, 2023, the U.S. Department of Justice press release: “False Cla</vt:lpstr>
      <vt:lpstr>Note: See Feb. 7, 2023, the U.S. Department of Justice press release: “False Cla</vt:lpstr>
      <vt:lpstr>    OH: TEACHERS CAN HAVE FIREARMS – WITH SCHOOL PERMISSION - 24 HRS TRAINING – REQU</vt:lpstr>
      <vt:lpstr>See also Ohio Revised Code: Section 5589.21 | Obstruction of roads by railroads.</vt:lpstr>
      <vt:lpstr>IL: ANNUAL TESTING FIRE ALARMS REQ. EACH 48 UNITS – CONDO ASSOC. MUST GET OWNERS</vt:lpstr>
      <vt:lpstr>On June 21, 2022, in The Village of Downers Grove v. Village Square III Condomin</vt:lpstr>
    </vt:vector>
  </TitlesOfParts>
  <Company>University of Cincinnati</Company>
  <LinksUpToDate>false</LinksUpToDate>
  <CharactersWithSpaces>4540024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Lawrence Bennett</dc:creator>
  <cp:lastModifiedBy>Lawrence Bennett</cp:lastModifiedBy>
  <cp:revision>1924</cp:revision>
  <cp:lastPrinted>2020-10-31T11:04:00Z</cp:lastPrinted>
  <dcterms:created xsi:type="dcterms:W3CDTF">2024-06-22T16:03:00Z</dcterms:created>
  <dcterms:modified xsi:type="dcterms:W3CDTF">2026-09-04T16:07:00Z</dcterms:modified>
</cp:coreProperties>
</file>